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64491727" w:displacedByCustomXml="next"/>
    <w:sdt>
      <w:sdtPr>
        <w:rPr>
          <w:rFonts w:asciiTheme="minorHAnsi" w:eastAsiaTheme="minorEastAsia" w:hAnsiTheme="minorHAnsi" w:cstheme="minorBidi"/>
        </w:rPr>
        <w:id w:val="-1929874493"/>
        <w:docPartObj>
          <w:docPartGallery w:val="Cover Pages"/>
          <w:docPartUnique/>
        </w:docPartObj>
      </w:sdtPr>
      <w:sdtEndPr>
        <w:rPr>
          <w:rFonts w:asciiTheme="majorHAnsi" w:eastAsiaTheme="minorHAnsi" w:hAnsiTheme="majorHAnsi" w:cstheme="majorHAnsi"/>
          <w:b/>
          <w:bCs/>
          <w:sz w:val="48"/>
          <w:szCs w:val="48"/>
        </w:rPr>
      </w:sdtEndPr>
      <w:sdtContent>
        <w:p w14:paraId="49A2D21D" w14:textId="77777777" w:rsidR="00AF3B3C" w:rsidRPr="003C0E2F" w:rsidRDefault="00AF3B3C" w:rsidP="00502B64">
          <w:pPr>
            <w:pStyle w:val="NoSpacing"/>
            <w:jc w:val="center"/>
            <w:rPr>
              <w:rFonts w:asciiTheme="minorHAnsi" w:eastAsiaTheme="minorEastAsia" w:hAnsiTheme="minorHAnsi" w:cstheme="minorBidi"/>
            </w:rPr>
          </w:pPr>
        </w:p>
        <w:p w14:paraId="284F19F5" w14:textId="58F9D7FE" w:rsidR="00502B64" w:rsidRPr="003C0E2F" w:rsidRDefault="00502B64" w:rsidP="00502B64">
          <w:pPr>
            <w:pStyle w:val="NoSpacing"/>
            <w:jc w:val="center"/>
            <w:rPr>
              <w:b/>
              <w:bCs/>
              <w:i w:val="0"/>
              <w:iCs/>
              <w:sz w:val="36"/>
              <w:szCs w:val="36"/>
            </w:rPr>
          </w:pPr>
          <w:r w:rsidRPr="003C0E2F">
            <w:rPr>
              <w:b/>
              <w:bCs/>
              <w:i w:val="0"/>
              <w:iCs/>
              <w:sz w:val="36"/>
              <w:szCs w:val="36"/>
            </w:rPr>
            <w:t>ANGLIA RUSKIN UNIVERSITY</w:t>
          </w:r>
        </w:p>
        <w:p w14:paraId="62BB9CC7" w14:textId="05C0E470" w:rsidR="008C4243" w:rsidRPr="003C0E2F" w:rsidRDefault="00502B64" w:rsidP="008C4243">
          <w:pPr>
            <w:pStyle w:val="NoSpacing"/>
            <w:jc w:val="center"/>
            <w:rPr>
              <w:b/>
              <w:bCs/>
              <w:i w:val="0"/>
              <w:iCs/>
              <w:sz w:val="28"/>
              <w:szCs w:val="28"/>
            </w:rPr>
          </w:pPr>
          <w:r w:rsidRPr="003C0E2F">
            <w:rPr>
              <w:b/>
              <w:bCs/>
              <w:i w:val="0"/>
              <w:iCs/>
              <w:sz w:val="28"/>
              <w:szCs w:val="28"/>
            </w:rPr>
            <w:t>FACULTY OF SCIENCE AND ENGINEERING</w:t>
          </w:r>
        </w:p>
        <w:p w14:paraId="54084646" w14:textId="17D27E68" w:rsidR="008C4243" w:rsidRPr="003C0E2F" w:rsidRDefault="008C4243" w:rsidP="008C4243">
          <w:pPr>
            <w:pStyle w:val="NoSpacing"/>
            <w:jc w:val="center"/>
          </w:pPr>
          <w:r w:rsidRPr="003C0E2F">
            <w:rPr>
              <w:b/>
              <w:bCs/>
              <w:i w:val="0"/>
              <w:iCs/>
              <w:sz w:val="28"/>
              <w:szCs w:val="28"/>
            </w:rPr>
            <w:t>SCHOOL OF LIFE SCIENCES</w:t>
          </w:r>
        </w:p>
        <w:sdt>
          <w:sdtPr>
            <w:rPr>
              <w:rStyle w:val="TitleChar"/>
              <w:b/>
              <w:bCs/>
              <w:smallCaps/>
            </w:rPr>
            <w:alias w:val="Title"/>
            <w:tag w:val=""/>
            <w:id w:val="1735040861"/>
            <w:placeholder>
              <w:docPart w:val="B5DCF6F982E24C62A6252ABF2D0221AB"/>
            </w:placeholder>
            <w:dataBinding w:prefixMappings="xmlns:ns0='http://purl.org/dc/elements/1.1/' xmlns:ns1='http://schemas.openxmlformats.org/package/2006/metadata/core-properties' " w:xpath="/ns1:coreProperties[1]/ns0:title[1]" w:storeItemID="{6C3C8BC8-F283-45AE-878A-BAB7291924A1}"/>
            <w:text/>
          </w:sdtPr>
          <w:sdtEndPr>
            <w:rPr>
              <w:rStyle w:val="TitleChar"/>
            </w:rPr>
          </w:sdtEndPr>
          <w:sdtContent>
            <w:p w14:paraId="34B46C18" w14:textId="626B8004" w:rsidR="00691DC0" w:rsidRPr="003C0E2F" w:rsidRDefault="00441C01" w:rsidP="000A769F">
              <w:pPr>
                <w:pStyle w:val="Title"/>
                <w:spacing w:line="360" w:lineRule="auto"/>
                <w:rPr>
                  <w:rStyle w:val="TitleChar"/>
                  <w:b/>
                  <w:bCs/>
                  <w:smallCaps/>
                </w:rPr>
              </w:pPr>
              <w:r w:rsidRPr="003C0E2F">
                <w:rPr>
                  <w:rStyle w:val="TitleChar"/>
                  <w:b/>
                  <w:bCs/>
                  <w:smallCaps/>
                </w:rPr>
                <w:t>Modulation of TLR4 Signalling by Novel Synthetic Glycolipids</w:t>
              </w:r>
            </w:p>
          </w:sdtContent>
        </w:sdt>
        <w:bookmarkEnd w:id="0"/>
        <w:p w14:paraId="1252C6A6" w14:textId="77777777" w:rsidR="00502B64" w:rsidRPr="003C0E2F" w:rsidRDefault="00502B64" w:rsidP="00502B64">
          <w:pPr>
            <w:pStyle w:val="NoSpacing"/>
            <w:jc w:val="center"/>
            <w:rPr>
              <w:sz w:val="28"/>
              <w:szCs w:val="28"/>
            </w:rPr>
          </w:pPr>
        </w:p>
        <w:p w14:paraId="14894EF8" w14:textId="72A72C13" w:rsidR="00502B64" w:rsidRPr="003C0E2F" w:rsidRDefault="00502B64" w:rsidP="00502B64">
          <w:pPr>
            <w:pStyle w:val="NoSpacing"/>
            <w:jc w:val="center"/>
            <w:rPr>
              <w:i w:val="0"/>
              <w:iCs/>
              <w:sz w:val="28"/>
              <w:szCs w:val="28"/>
            </w:rPr>
          </w:pPr>
          <w:r w:rsidRPr="003C0E2F">
            <w:rPr>
              <w:i w:val="0"/>
              <w:iCs/>
              <w:sz w:val="28"/>
              <w:szCs w:val="28"/>
            </w:rPr>
            <w:t>CHARYS PALMER</w:t>
          </w:r>
        </w:p>
        <w:p w14:paraId="3EDF5549" w14:textId="482DFEA0" w:rsidR="00424399" w:rsidRPr="003C0E2F" w:rsidRDefault="00367E12" w:rsidP="00424399">
          <w:pPr>
            <w:pStyle w:val="NoSpacing"/>
            <w:jc w:val="center"/>
            <w:rPr>
              <w:i w:val="0"/>
              <w:iCs/>
              <w:sz w:val="28"/>
              <w:szCs w:val="28"/>
            </w:rPr>
          </w:pPr>
          <w:r>
            <w:rPr>
              <w:i w:val="0"/>
              <w:iCs/>
              <w:sz w:val="28"/>
              <w:szCs w:val="28"/>
            </w:rPr>
            <w:t>SEPTEMBER</w:t>
          </w:r>
          <w:r w:rsidR="0031702B" w:rsidRPr="003C0E2F">
            <w:rPr>
              <w:i w:val="0"/>
              <w:iCs/>
              <w:sz w:val="28"/>
              <w:szCs w:val="28"/>
            </w:rPr>
            <w:t xml:space="preserve"> </w:t>
          </w:r>
          <w:r w:rsidR="00B51363" w:rsidRPr="003C0E2F">
            <w:rPr>
              <w:i w:val="0"/>
              <w:iCs/>
              <w:sz w:val="28"/>
              <w:szCs w:val="28"/>
            </w:rPr>
            <w:t>2021</w:t>
          </w:r>
        </w:p>
        <w:p w14:paraId="6A6BED99" w14:textId="77777777" w:rsidR="00B51363" w:rsidRPr="003C0E2F" w:rsidRDefault="00B51363" w:rsidP="00502B64">
          <w:pPr>
            <w:pStyle w:val="NoSpacing"/>
            <w:jc w:val="center"/>
            <w:rPr>
              <w:sz w:val="28"/>
              <w:szCs w:val="28"/>
            </w:rPr>
          </w:pPr>
        </w:p>
        <w:p w14:paraId="09A0776A" w14:textId="318754F2" w:rsidR="00502B64" w:rsidRPr="003C0E2F" w:rsidRDefault="00502B64" w:rsidP="00502B64">
          <w:pPr>
            <w:pStyle w:val="NoSpacing"/>
            <w:jc w:val="center"/>
            <w:rPr>
              <w:sz w:val="28"/>
              <w:szCs w:val="28"/>
            </w:rPr>
          </w:pPr>
          <w:r w:rsidRPr="003C0E2F">
            <w:rPr>
              <w:sz w:val="28"/>
              <w:szCs w:val="28"/>
            </w:rPr>
            <w:t>Thesis submitted in partial fulfilment of the requirements of Anglia Ruskin University Doctor of Philosophy</w:t>
          </w:r>
          <w:r w:rsidR="00F16CF5" w:rsidRPr="003C0E2F">
            <w:rPr>
              <w:sz w:val="28"/>
              <w:szCs w:val="28"/>
            </w:rPr>
            <w:t xml:space="preserve"> in</w:t>
          </w:r>
          <w:r w:rsidRPr="003C0E2F">
            <w:rPr>
              <w:sz w:val="28"/>
              <w:szCs w:val="28"/>
            </w:rPr>
            <w:t xml:space="preserve"> Biomedical Science</w:t>
          </w:r>
        </w:p>
        <w:p w14:paraId="2C1F360E" w14:textId="77777777" w:rsidR="00502B64" w:rsidRPr="003C0E2F" w:rsidRDefault="00502B64" w:rsidP="00502B64">
          <w:pPr>
            <w:pStyle w:val="NoSpacing"/>
            <w:jc w:val="center"/>
            <w:rPr>
              <w:sz w:val="28"/>
              <w:szCs w:val="28"/>
            </w:rPr>
          </w:pPr>
        </w:p>
        <w:p w14:paraId="72B5D05E" w14:textId="59575DDA" w:rsidR="00691DC0" w:rsidRPr="003C0E2F" w:rsidRDefault="00691DC0" w:rsidP="00424399">
          <w:pPr>
            <w:pStyle w:val="NoSpacing"/>
            <w:jc w:val="center"/>
            <w:rPr>
              <w:b/>
              <w:bCs/>
              <w:sz w:val="48"/>
              <w:szCs w:val="48"/>
            </w:rPr>
          </w:pPr>
          <w:r w:rsidRPr="003C0E2F">
            <w:rPr>
              <w:b/>
              <w:bCs/>
              <w:sz w:val="48"/>
              <w:szCs w:val="48"/>
            </w:rPr>
            <w:br w:type="page"/>
          </w:r>
        </w:p>
      </w:sdtContent>
    </w:sdt>
    <w:p w14:paraId="79E6ACCF" w14:textId="5A2FFDAC" w:rsidR="001F0D64" w:rsidRPr="003C0E2F" w:rsidRDefault="004262CF" w:rsidP="000A2A17">
      <w:pPr>
        <w:pStyle w:val="Heading1"/>
        <w:numPr>
          <w:ilvl w:val="0"/>
          <w:numId w:val="0"/>
        </w:numPr>
        <w:ind w:left="1069"/>
      </w:pPr>
      <w:r>
        <w:lastRenderedPageBreak/>
        <w:t>I.</w:t>
      </w:r>
      <w:r>
        <w:tab/>
      </w:r>
      <w:r>
        <w:tab/>
      </w:r>
      <w:r w:rsidR="00FF6223" w:rsidRPr="003C0E2F">
        <w:t>Abbreviations</w:t>
      </w:r>
    </w:p>
    <w:p w14:paraId="1C41B1D7" w14:textId="77777777" w:rsidR="00F366CC" w:rsidRPr="003C0E2F" w:rsidRDefault="00F366CC" w:rsidP="00F366CC"/>
    <w:tbl>
      <w:tblPr>
        <w:tblW w:w="22616" w:type="dxa"/>
        <w:tblLook w:val="04A0" w:firstRow="1" w:lastRow="0" w:firstColumn="1" w:lastColumn="0" w:noHBand="0" w:noVBand="1"/>
      </w:tblPr>
      <w:tblGrid>
        <w:gridCol w:w="12376"/>
        <w:gridCol w:w="10240"/>
      </w:tblGrid>
      <w:tr w:rsidR="003C0E2F" w:rsidRPr="003C0E2F" w14:paraId="4D46D3BF" w14:textId="77777777" w:rsidTr="003735FB">
        <w:trPr>
          <w:trHeight w:val="300"/>
        </w:trPr>
        <w:tc>
          <w:tcPr>
            <w:tcW w:w="12376" w:type="dxa"/>
            <w:tcBorders>
              <w:top w:val="nil"/>
              <w:left w:val="nil"/>
              <w:bottom w:val="nil"/>
              <w:right w:val="nil"/>
            </w:tcBorders>
            <w:shd w:val="clear" w:color="auto" w:fill="auto"/>
            <w:noWrap/>
            <w:vAlign w:val="bottom"/>
          </w:tcPr>
          <w:tbl>
            <w:tblPr>
              <w:tblW w:w="9697" w:type="dxa"/>
              <w:tblLook w:val="04A0" w:firstRow="1" w:lastRow="0" w:firstColumn="1" w:lastColumn="0" w:noHBand="0" w:noVBand="1"/>
            </w:tblPr>
            <w:tblGrid>
              <w:gridCol w:w="1880"/>
              <w:gridCol w:w="7817"/>
            </w:tblGrid>
            <w:tr w:rsidR="003C0E2F" w:rsidRPr="003C0E2F" w14:paraId="7FFF5167" w14:textId="77777777" w:rsidTr="00267E91">
              <w:trPr>
                <w:trHeight w:val="280"/>
              </w:trPr>
              <w:tc>
                <w:tcPr>
                  <w:tcW w:w="1880" w:type="dxa"/>
                  <w:tcBorders>
                    <w:top w:val="nil"/>
                    <w:left w:val="nil"/>
                    <w:bottom w:val="nil"/>
                    <w:right w:val="nil"/>
                  </w:tcBorders>
                  <w:shd w:val="clear" w:color="auto" w:fill="auto"/>
                  <w:noWrap/>
                  <w:vAlign w:val="bottom"/>
                  <w:hideMark/>
                </w:tcPr>
                <w:p w14:paraId="456D6DCA"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ANOVA</w:t>
                  </w:r>
                </w:p>
              </w:tc>
              <w:tc>
                <w:tcPr>
                  <w:tcW w:w="7817" w:type="dxa"/>
                  <w:tcBorders>
                    <w:top w:val="nil"/>
                    <w:left w:val="nil"/>
                    <w:bottom w:val="nil"/>
                    <w:right w:val="nil"/>
                  </w:tcBorders>
                  <w:shd w:val="clear" w:color="auto" w:fill="auto"/>
                  <w:noWrap/>
                  <w:vAlign w:val="bottom"/>
                  <w:hideMark/>
                </w:tcPr>
                <w:p w14:paraId="1219B9F3" w14:textId="77777777"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Analysis of variance</w:t>
                  </w:r>
                </w:p>
              </w:tc>
            </w:tr>
            <w:tr w:rsidR="003C0E2F" w:rsidRPr="003C0E2F" w14:paraId="5485FDB8" w14:textId="77777777" w:rsidTr="00267E91">
              <w:trPr>
                <w:trHeight w:val="280"/>
              </w:trPr>
              <w:tc>
                <w:tcPr>
                  <w:tcW w:w="1880" w:type="dxa"/>
                  <w:tcBorders>
                    <w:top w:val="nil"/>
                    <w:left w:val="nil"/>
                    <w:bottom w:val="nil"/>
                    <w:right w:val="nil"/>
                  </w:tcBorders>
                  <w:shd w:val="clear" w:color="auto" w:fill="auto"/>
                  <w:noWrap/>
                  <w:vAlign w:val="bottom"/>
                  <w:hideMark/>
                </w:tcPr>
                <w:p w14:paraId="00E2CA1E" w14:textId="77777777" w:rsidR="003735FB" w:rsidRPr="003C0E2F" w:rsidRDefault="003735FB" w:rsidP="003735FB">
                  <w:pPr>
                    <w:spacing w:after="0" w:line="240" w:lineRule="auto"/>
                    <w:rPr>
                      <w:rFonts w:ascii="Calibri" w:eastAsia="Times New Roman" w:hAnsi="Calibri" w:cs="Calibri"/>
                      <w:b/>
                      <w:bCs/>
                    </w:rPr>
                  </w:pPr>
                  <w:proofErr w:type="spellStart"/>
                  <w:r w:rsidRPr="003C0E2F">
                    <w:rPr>
                      <w:rFonts w:ascii="Calibri" w:eastAsia="Times New Roman" w:hAnsi="Calibri" w:cs="Calibri"/>
                      <w:b/>
                      <w:bCs/>
                    </w:rPr>
                    <w:t>Blk</w:t>
                  </w:r>
                  <w:proofErr w:type="spellEnd"/>
                  <w:r w:rsidRPr="003C0E2F">
                    <w:rPr>
                      <w:rFonts w:ascii="Calibri" w:eastAsia="Times New Roman" w:hAnsi="Calibri" w:cs="Calibri"/>
                      <w:b/>
                      <w:bCs/>
                    </w:rPr>
                    <w:t xml:space="preserve"> AB</w:t>
                  </w:r>
                </w:p>
              </w:tc>
              <w:tc>
                <w:tcPr>
                  <w:tcW w:w="7817" w:type="dxa"/>
                  <w:tcBorders>
                    <w:top w:val="nil"/>
                    <w:left w:val="nil"/>
                    <w:bottom w:val="nil"/>
                    <w:right w:val="nil"/>
                  </w:tcBorders>
                  <w:shd w:val="clear" w:color="auto" w:fill="auto"/>
                  <w:noWrap/>
                  <w:vAlign w:val="bottom"/>
                  <w:hideMark/>
                </w:tcPr>
                <w:p w14:paraId="17709161" w14:textId="77777777"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Blocking Antibody</w:t>
                  </w:r>
                </w:p>
              </w:tc>
            </w:tr>
            <w:tr w:rsidR="003C0E2F" w:rsidRPr="003C0E2F" w14:paraId="61085877" w14:textId="77777777" w:rsidTr="00267E91">
              <w:trPr>
                <w:trHeight w:val="280"/>
              </w:trPr>
              <w:tc>
                <w:tcPr>
                  <w:tcW w:w="1880" w:type="dxa"/>
                  <w:tcBorders>
                    <w:top w:val="nil"/>
                    <w:left w:val="nil"/>
                    <w:bottom w:val="nil"/>
                    <w:right w:val="nil"/>
                  </w:tcBorders>
                  <w:shd w:val="clear" w:color="auto" w:fill="auto"/>
                  <w:noWrap/>
                  <w:vAlign w:val="bottom"/>
                  <w:hideMark/>
                </w:tcPr>
                <w:p w14:paraId="33636C20"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Cas1</w:t>
                  </w:r>
                </w:p>
              </w:tc>
              <w:tc>
                <w:tcPr>
                  <w:tcW w:w="7817" w:type="dxa"/>
                  <w:tcBorders>
                    <w:top w:val="nil"/>
                    <w:left w:val="nil"/>
                    <w:bottom w:val="nil"/>
                    <w:right w:val="nil"/>
                  </w:tcBorders>
                  <w:shd w:val="clear" w:color="auto" w:fill="auto"/>
                  <w:noWrap/>
                  <w:vAlign w:val="bottom"/>
                  <w:hideMark/>
                </w:tcPr>
                <w:p w14:paraId="0837D58E" w14:textId="77777777"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Caspase 1</w:t>
                  </w:r>
                </w:p>
              </w:tc>
            </w:tr>
            <w:tr w:rsidR="003C0E2F" w:rsidRPr="003C0E2F" w14:paraId="46247E2E" w14:textId="77777777" w:rsidTr="00267E91">
              <w:trPr>
                <w:trHeight w:val="280"/>
              </w:trPr>
              <w:tc>
                <w:tcPr>
                  <w:tcW w:w="1880" w:type="dxa"/>
                  <w:tcBorders>
                    <w:top w:val="nil"/>
                    <w:left w:val="nil"/>
                    <w:bottom w:val="nil"/>
                    <w:right w:val="nil"/>
                  </w:tcBorders>
                  <w:shd w:val="clear" w:color="auto" w:fill="auto"/>
                  <w:noWrap/>
                  <w:vAlign w:val="bottom"/>
                  <w:hideMark/>
                </w:tcPr>
                <w:p w14:paraId="1836A9B2"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CD14</w:t>
                  </w:r>
                </w:p>
              </w:tc>
              <w:tc>
                <w:tcPr>
                  <w:tcW w:w="7817" w:type="dxa"/>
                  <w:tcBorders>
                    <w:top w:val="nil"/>
                    <w:left w:val="nil"/>
                    <w:bottom w:val="nil"/>
                    <w:right w:val="nil"/>
                  </w:tcBorders>
                  <w:shd w:val="clear" w:color="auto" w:fill="auto"/>
                  <w:noWrap/>
                  <w:vAlign w:val="bottom"/>
                  <w:hideMark/>
                </w:tcPr>
                <w:p w14:paraId="0418CAB0" w14:textId="288B6D40"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Cluster</w:t>
                  </w:r>
                  <w:r w:rsidR="007A74C2" w:rsidRPr="003C0E2F">
                    <w:rPr>
                      <w:rFonts w:ascii="Calibri" w:eastAsia="Times New Roman" w:hAnsi="Calibri" w:cs="Calibri"/>
                    </w:rPr>
                    <w:t xml:space="preserve"> </w:t>
                  </w:r>
                  <w:r w:rsidRPr="003C0E2F">
                    <w:rPr>
                      <w:rFonts w:ascii="Calibri" w:eastAsia="Times New Roman" w:hAnsi="Calibri" w:cs="Calibri"/>
                    </w:rPr>
                    <w:t>of differentiation 14</w:t>
                  </w:r>
                </w:p>
              </w:tc>
            </w:tr>
            <w:tr w:rsidR="003C0E2F" w:rsidRPr="003C0E2F" w14:paraId="70DCFE65" w14:textId="77777777" w:rsidTr="00267E91">
              <w:trPr>
                <w:trHeight w:val="280"/>
              </w:trPr>
              <w:tc>
                <w:tcPr>
                  <w:tcW w:w="1880" w:type="dxa"/>
                  <w:tcBorders>
                    <w:top w:val="nil"/>
                    <w:left w:val="nil"/>
                    <w:bottom w:val="nil"/>
                    <w:right w:val="nil"/>
                  </w:tcBorders>
                  <w:shd w:val="clear" w:color="auto" w:fill="auto"/>
                  <w:noWrap/>
                  <w:vAlign w:val="bottom"/>
                  <w:hideMark/>
                </w:tcPr>
                <w:p w14:paraId="0109860D"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CD30</w:t>
                  </w:r>
                </w:p>
              </w:tc>
              <w:tc>
                <w:tcPr>
                  <w:tcW w:w="7817" w:type="dxa"/>
                  <w:tcBorders>
                    <w:top w:val="nil"/>
                    <w:left w:val="nil"/>
                    <w:bottom w:val="nil"/>
                    <w:right w:val="nil"/>
                  </w:tcBorders>
                  <w:shd w:val="clear" w:color="auto" w:fill="auto"/>
                  <w:noWrap/>
                  <w:vAlign w:val="bottom"/>
                  <w:hideMark/>
                </w:tcPr>
                <w:p w14:paraId="6568644E" w14:textId="77777777"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Cluster of differentiation 30</w:t>
                  </w:r>
                </w:p>
              </w:tc>
            </w:tr>
            <w:tr w:rsidR="003C0E2F" w:rsidRPr="003C0E2F" w14:paraId="456E9AD0" w14:textId="77777777" w:rsidTr="00267E91">
              <w:trPr>
                <w:trHeight w:val="280"/>
              </w:trPr>
              <w:tc>
                <w:tcPr>
                  <w:tcW w:w="1880" w:type="dxa"/>
                  <w:tcBorders>
                    <w:top w:val="nil"/>
                    <w:left w:val="nil"/>
                    <w:bottom w:val="nil"/>
                    <w:right w:val="nil"/>
                  </w:tcBorders>
                  <w:shd w:val="clear" w:color="auto" w:fill="auto"/>
                  <w:noWrap/>
                  <w:vAlign w:val="bottom"/>
                  <w:hideMark/>
                </w:tcPr>
                <w:p w14:paraId="691849DF"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CD36</w:t>
                  </w:r>
                </w:p>
              </w:tc>
              <w:tc>
                <w:tcPr>
                  <w:tcW w:w="7817" w:type="dxa"/>
                  <w:tcBorders>
                    <w:top w:val="nil"/>
                    <w:left w:val="nil"/>
                    <w:bottom w:val="nil"/>
                    <w:right w:val="nil"/>
                  </w:tcBorders>
                  <w:shd w:val="clear" w:color="auto" w:fill="auto"/>
                  <w:noWrap/>
                  <w:vAlign w:val="bottom"/>
                  <w:hideMark/>
                </w:tcPr>
                <w:p w14:paraId="63D6E07A" w14:textId="77777777"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Cluster of differentiation 36</w:t>
                  </w:r>
                </w:p>
              </w:tc>
            </w:tr>
            <w:tr w:rsidR="003C0E2F" w:rsidRPr="003C0E2F" w14:paraId="77E3E11C" w14:textId="77777777" w:rsidTr="00267E91">
              <w:trPr>
                <w:trHeight w:val="280"/>
              </w:trPr>
              <w:tc>
                <w:tcPr>
                  <w:tcW w:w="1880" w:type="dxa"/>
                  <w:tcBorders>
                    <w:top w:val="nil"/>
                    <w:left w:val="nil"/>
                    <w:bottom w:val="nil"/>
                    <w:right w:val="nil"/>
                  </w:tcBorders>
                  <w:shd w:val="clear" w:color="auto" w:fill="auto"/>
                  <w:noWrap/>
                  <w:vAlign w:val="bottom"/>
                  <w:hideMark/>
                </w:tcPr>
                <w:p w14:paraId="3F35E605"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CD86</w:t>
                  </w:r>
                </w:p>
              </w:tc>
              <w:tc>
                <w:tcPr>
                  <w:tcW w:w="7817" w:type="dxa"/>
                  <w:tcBorders>
                    <w:top w:val="nil"/>
                    <w:left w:val="nil"/>
                    <w:bottom w:val="nil"/>
                    <w:right w:val="nil"/>
                  </w:tcBorders>
                  <w:shd w:val="clear" w:color="auto" w:fill="auto"/>
                  <w:noWrap/>
                  <w:vAlign w:val="bottom"/>
                  <w:hideMark/>
                </w:tcPr>
                <w:p w14:paraId="11C61A19" w14:textId="77777777"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Cluster of differentiation 86</w:t>
                  </w:r>
                </w:p>
              </w:tc>
            </w:tr>
            <w:tr w:rsidR="003C0E2F" w:rsidRPr="003C0E2F" w14:paraId="36570124" w14:textId="77777777" w:rsidTr="00267E91">
              <w:trPr>
                <w:trHeight w:val="280"/>
              </w:trPr>
              <w:tc>
                <w:tcPr>
                  <w:tcW w:w="1880" w:type="dxa"/>
                  <w:tcBorders>
                    <w:top w:val="nil"/>
                    <w:left w:val="nil"/>
                    <w:bottom w:val="nil"/>
                    <w:right w:val="nil"/>
                  </w:tcBorders>
                  <w:shd w:val="clear" w:color="auto" w:fill="auto"/>
                  <w:noWrap/>
                  <w:vAlign w:val="bottom"/>
                  <w:hideMark/>
                </w:tcPr>
                <w:p w14:paraId="7C3FD991"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CEP</w:t>
                  </w:r>
                </w:p>
              </w:tc>
              <w:tc>
                <w:tcPr>
                  <w:tcW w:w="7817" w:type="dxa"/>
                  <w:tcBorders>
                    <w:top w:val="nil"/>
                    <w:left w:val="nil"/>
                    <w:bottom w:val="nil"/>
                    <w:right w:val="nil"/>
                  </w:tcBorders>
                  <w:shd w:val="clear" w:color="auto" w:fill="auto"/>
                  <w:noWrap/>
                  <w:vAlign w:val="bottom"/>
                  <w:hideMark/>
                </w:tcPr>
                <w:p w14:paraId="388A8D2E" w14:textId="0B609B40"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2-(ω-</w:t>
                  </w:r>
                  <w:r w:rsidR="00280F74" w:rsidRPr="003C0E2F">
                    <w:rPr>
                      <w:rFonts w:ascii="Calibri" w:eastAsia="Times New Roman" w:hAnsi="Calibri" w:cs="Calibri"/>
                    </w:rPr>
                    <w:t>carboxyethyl) pyrrole</w:t>
                  </w:r>
                </w:p>
              </w:tc>
            </w:tr>
            <w:tr w:rsidR="003C0E2F" w:rsidRPr="003C0E2F" w14:paraId="22A5534F" w14:textId="77777777" w:rsidTr="00267E91">
              <w:trPr>
                <w:trHeight w:val="280"/>
              </w:trPr>
              <w:tc>
                <w:tcPr>
                  <w:tcW w:w="1880" w:type="dxa"/>
                  <w:tcBorders>
                    <w:top w:val="nil"/>
                    <w:left w:val="nil"/>
                    <w:bottom w:val="nil"/>
                    <w:right w:val="nil"/>
                  </w:tcBorders>
                  <w:shd w:val="clear" w:color="auto" w:fill="auto"/>
                  <w:noWrap/>
                  <w:vAlign w:val="bottom"/>
                  <w:hideMark/>
                </w:tcPr>
                <w:p w14:paraId="42D39D57"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CpG</w:t>
                  </w:r>
                </w:p>
              </w:tc>
              <w:tc>
                <w:tcPr>
                  <w:tcW w:w="7817" w:type="dxa"/>
                  <w:tcBorders>
                    <w:top w:val="nil"/>
                    <w:left w:val="nil"/>
                    <w:bottom w:val="nil"/>
                    <w:right w:val="nil"/>
                  </w:tcBorders>
                  <w:shd w:val="clear" w:color="auto" w:fill="auto"/>
                  <w:noWrap/>
                  <w:vAlign w:val="bottom"/>
                  <w:hideMark/>
                </w:tcPr>
                <w:p w14:paraId="4B47F596" w14:textId="77777777"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5'- Cytosine, phosphate, Guanine -3' Sequence</w:t>
                  </w:r>
                </w:p>
              </w:tc>
            </w:tr>
            <w:tr w:rsidR="003C0E2F" w:rsidRPr="003C0E2F" w14:paraId="2614D8CA" w14:textId="77777777" w:rsidTr="00267E91">
              <w:trPr>
                <w:trHeight w:val="280"/>
              </w:trPr>
              <w:tc>
                <w:tcPr>
                  <w:tcW w:w="1880" w:type="dxa"/>
                  <w:tcBorders>
                    <w:top w:val="nil"/>
                    <w:left w:val="nil"/>
                    <w:bottom w:val="nil"/>
                    <w:right w:val="nil"/>
                  </w:tcBorders>
                  <w:shd w:val="clear" w:color="auto" w:fill="auto"/>
                  <w:noWrap/>
                  <w:vAlign w:val="bottom"/>
                  <w:hideMark/>
                </w:tcPr>
                <w:p w14:paraId="3B79D30B"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CRP</w:t>
                  </w:r>
                </w:p>
              </w:tc>
              <w:tc>
                <w:tcPr>
                  <w:tcW w:w="7817" w:type="dxa"/>
                  <w:tcBorders>
                    <w:top w:val="nil"/>
                    <w:left w:val="nil"/>
                    <w:bottom w:val="nil"/>
                    <w:right w:val="nil"/>
                  </w:tcBorders>
                  <w:shd w:val="clear" w:color="auto" w:fill="auto"/>
                  <w:noWrap/>
                  <w:vAlign w:val="bottom"/>
                  <w:hideMark/>
                </w:tcPr>
                <w:p w14:paraId="4BA22290" w14:textId="77777777"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C-reactive protein</w:t>
                  </w:r>
                </w:p>
              </w:tc>
            </w:tr>
            <w:tr w:rsidR="003C0E2F" w:rsidRPr="003C0E2F" w14:paraId="7946295F" w14:textId="77777777" w:rsidTr="00267E91">
              <w:trPr>
                <w:trHeight w:val="280"/>
              </w:trPr>
              <w:tc>
                <w:tcPr>
                  <w:tcW w:w="1880" w:type="dxa"/>
                  <w:tcBorders>
                    <w:top w:val="nil"/>
                    <w:left w:val="nil"/>
                    <w:bottom w:val="nil"/>
                    <w:right w:val="nil"/>
                  </w:tcBorders>
                  <w:shd w:val="clear" w:color="auto" w:fill="auto"/>
                  <w:noWrap/>
                  <w:vAlign w:val="bottom"/>
                  <w:hideMark/>
                </w:tcPr>
                <w:p w14:paraId="08CD7522" w14:textId="77777777" w:rsidR="003735FB" w:rsidRPr="003C0E2F" w:rsidRDefault="003735FB" w:rsidP="003735FB">
                  <w:pPr>
                    <w:spacing w:after="0" w:line="240" w:lineRule="auto"/>
                    <w:rPr>
                      <w:rFonts w:eastAsia="Times New Roman" w:cstheme="minorHAnsi"/>
                      <w:b/>
                      <w:bCs/>
                    </w:rPr>
                  </w:pPr>
                  <w:r w:rsidRPr="003C0E2F">
                    <w:rPr>
                      <w:rFonts w:eastAsia="Times New Roman" w:cstheme="minorHAnsi"/>
                      <w:b/>
                      <w:bCs/>
                    </w:rPr>
                    <w:t>DAMP</w:t>
                  </w:r>
                </w:p>
              </w:tc>
              <w:tc>
                <w:tcPr>
                  <w:tcW w:w="7817" w:type="dxa"/>
                  <w:tcBorders>
                    <w:top w:val="nil"/>
                    <w:left w:val="nil"/>
                    <w:bottom w:val="nil"/>
                    <w:right w:val="nil"/>
                  </w:tcBorders>
                  <w:shd w:val="clear" w:color="auto" w:fill="auto"/>
                  <w:noWrap/>
                  <w:vAlign w:val="bottom"/>
                  <w:hideMark/>
                </w:tcPr>
                <w:p w14:paraId="4D135239" w14:textId="77777777" w:rsidR="003735FB" w:rsidRPr="003C0E2F" w:rsidRDefault="003735FB" w:rsidP="003735FB">
                  <w:pPr>
                    <w:spacing w:after="0" w:line="240" w:lineRule="auto"/>
                    <w:rPr>
                      <w:rFonts w:eastAsia="Times New Roman" w:cstheme="minorHAnsi"/>
                    </w:rPr>
                  </w:pPr>
                  <w:r w:rsidRPr="003C0E2F">
                    <w:rPr>
                      <w:rFonts w:eastAsia="Times New Roman" w:cstheme="minorHAnsi"/>
                    </w:rPr>
                    <w:t>Damage associated molecular pattern</w:t>
                  </w:r>
                </w:p>
              </w:tc>
            </w:tr>
            <w:tr w:rsidR="003C0E2F" w:rsidRPr="003C0E2F" w14:paraId="12BEC638" w14:textId="77777777" w:rsidTr="00267E91">
              <w:trPr>
                <w:trHeight w:val="280"/>
              </w:trPr>
              <w:tc>
                <w:tcPr>
                  <w:tcW w:w="1880" w:type="dxa"/>
                  <w:tcBorders>
                    <w:top w:val="nil"/>
                    <w:left w:val="nil"/>
                    <w:bottom w:val="nil"/>
                    <w:right w:val="nil"/>
                  </w:tcBorders>
                  <w:shd w:val="clear" w:color="auto" w:fill="auto"/>
                  <w:noWrap/>
                  <w:vAlign w:val="bottom"/>
                  <w:hideMark/>
                </w:tcPr>
                <w:p w14:paraId="13AE2B75" w14:textId="77777777" w:rsidR="003735FB" w:rsidRPr="003C0E2F" w:rsidRDefault="003735FB" w:rsidP="003735FB">
                  <w:pPr>
                    <w:spacing w:after="0" w:line="240" w:lineRule="auto"/>
                    <w:rPr>
                      <w:rFonts w:eastAsia="Times New Roman" w:cstheme="minorHAnsi"/>
                      <w:b/>
                      <w:bCs/>
                    </w:rPr>
                  </w:pPr>
                  <w:r w:rsidRPr="003C0E2F">
                    <w:rPr>
                      <w:rFonts w:eastAsia="Times New Roman" w:cstheme="minorHAnsi"/>
                      <w:b/>
                      <w:bCs/>
                    </w:rPr>
                    <w:t>DNA</w:t>
                  </w:r>
                </w:p>
              </w:tc>
              <w:tc>
                <w:tcPr>
                  <w:tcW w:w="7817" w:type="dxa"/>
                  <w:tcBorders>
                    <w:top w:val="nil"/>
                    <w:left w:val="nil"/>
                    <w:bottom w:val="nil"/>
                    <w:right w:val="nil"/>
                  </w:tcBorders>
                  <w:shd w:val="clear" w:color="auto" w:fill="auto"/>
                  <w:noWrap/>
                  <w:vAlign w:val="bottom"/>
                  <w:hideMark/>
                </w:tcPr>
                <w:p w14:paraId="1BC5EA6B" w14:textId="0D4503DA" w:rsidR="001977ED" w:rsidRPr="003C0E2F" w:rsidRDefault="003735FB" w:rsidP="003735FB">
                  <w:pPr>
                    <w:spacing w:after="0" w:line="240" w:lineRule="auto"/>
                    <w:rPr>
                      <w:rFonts w:eastAsia="Times New Roman" w:cstheme="minorHAnsi"/>
                    </w:rPr>
                  </w:pPr>
                  <w:r w:rsidRPr="003C0E2F">
                    <w:rPr>
                      <w:rFonts w:eastAsia="Times New Roman" w:cstheme="minorHAnsi"/>
                    </w:rPr>
                    <w:t>Deoxyribonucleic acid</w:t>
                  </w:r>
                </w:p>
              </w:tc>
            </w:tr>
            <w:tr w:rsidR="003C0E2F" w:rsidRPr="003C0E2F" w14:paraId="04F109AF" w14:textId="77777777" w:rsidTr="00267E91">
              <w:trPr>
                <w:trHeight w:val="280"/>
              </w:trPr>
              <w:tc>
                <w:tcPr>
                  <w:tcW w:w="1880" w:type="dxa"/>
                  <w:tcBorders>
                    <w:top w:val="nil"/>
                    <w:left w:val="nil"/>
                    <w:bottom w:val="nil"/>
                    <w:right w:val="nil"/>
                  </w:tcBorders>
                  <w:shd w:val="clear" w:color="auto" w:fill="auto"/>
                  <w:noWrap/>
                  <w:vAlign w:val="bottom"/>
                </w:tcPr>
                <w:p w14:paraId="6D1C6CF2" w14:textId="48F1A545" w:rsidR="001977ED" w:rsidRPr="003C0E2F" w:rsidRDefault="001977ED" w:rsidP="003735FB">
                  <w:pPr>
                    <w:spacing w:after="0" w:line="240" w:lineRule="auto"/>
                    <w:rPr>
                      <w:rFonts w:eastAsia="Times New Roman" w:cstheme="minorHAnsi"/>
                      <w:b/>
                      <w:bCs/>
                    </w:rPr>
                  </w:pPr>
                  <w:r w:rsidRPr="003C0E2F">
                    <w:rPr>
                      <w:rFonts w:eastAsia="Times New Roman" w:cstheme="minorHAnsi"/>
                      <w:b/>
                      <w:bCs/>
                    </w:rPr>
                    <w:t>DTT</w:t>
                  </w:r>
                </w:p>
              </w:tc>
              <w:tc>
                <w:tcPr>
                  <w:tcW w:w="7817" w:type="dxa"/>
                  <w:tcBorders>
                    <w:top w:val="nil"/>
                    <w:left w:val="nil"/>
                    <w:bottom w:val="nil"/>
                    <w:right w:val="nil"/>
                  </w:tcBorders>
                  <w:shd w:val="clear" w:color="auto" w:fill="auto"/>
                  <w:noWrap/>
                  <w:vAlign w:val="bottom"/>
                </w:tcPr>
                <w:p w14:paraId="768C71A7" w14:textId="7ABE6A7F" w:rsidR="001977ED" w:rsidRPr="003C0E2F" w:rsidRDefault="001977ED" w:rsidP="003735FB">
                  <w:pPr>
                    <w:spacing w:after="0" w:line="240" w:lineRule="auto"/>
                    <w:rPr>
                      <w:rFonts w:eastAsia="Times New Roman" w:cstheme="minorHAnsi"/>
                    </w:rPr>
                  </w:pPr>
                  <w:r w:rsidRPr="003C0E2F">
                    <w:rPr>
                      <w:rFonts w:cstheme="minorHAnsi"/>
                      <w:shd w:val="clear" w:color="auto" w:fill="FFFFFF"/>
                    </w:rPr>
                    <w:t>Dithiothreitol</w:t>
                  </w:r>
                </w:p>
              </w:tc>
            </w:tr>
            <w:tr w:rsidR="003C0E2F" w:rsidRPr="003C0E2F" w14:paraId="224460A2" w14:textId="77777777" w:rsidTr="00267E91">
              <w:trPr>
                <w:trHeight w:val="280"/>
              </w:trPr>
              <w:tc>
                <w:tcPr>
                  <w:tcW w:w="1880" w:type="dxa"/>
                  <w:tcBorders>
                    <w:top w:val="nil"/>
                    <w:left w:val="nil"/>
                    <w:bottom w:val="nil"/>
                    <w:right w:val="nil"/>
                  </w:tcBorders>
                  <w:shd w:val="clear" w:color="auto" w:fill="auto"/>
                  <w:noWrap/>
                  <w:vAlign w:val="bottom"/>
                  <w:hideMark/>
                </w:tcPr>
                <w:p w14:paraId="3BC7006D" w14:textId="77777777" w:rsidR="003735FB" w:rsidRPr="003C0E2F" w:rsidRDefault="003735FB" w:rsidP="003735FB">
                  <w:pPr>
                    <w:spacing w:after="0" w:line="240" w:lineRule="auto"/>
                    <w:rPr>
                      <w:rFonts w:eastAsia="Times New Roman" w:cstheme="minorHAnsi"/>
                      <w:b/>
                      <w:bCs/>
                    </w:rPr>
                  </w:pPr>
                  <w:r w:rsidRPr="003C0E2F">
                    <w:rPr>
                      <w:rFonts w:eastAsia="Times New Roman" w:cstheme="minorHAnsi"/>
                      <w:b/>
                      <w:bCs/>
                    </w:rPr>
                    <w:t>dsRNA</w:t>
                  </w:r>
                </w:p>
              </w:tc>
              <w:tc>
                <w:tcPr>
                  <w:tcW w:w="7817" w:type="dxa"/>
                  <w:tcBorders>
                    <w:top w:val="nil"/>
                    <w:left w:val="nil"/>
                    <w:bottom w:val="nil"/>
                    <w:right w:val="nil"/>
                  </w:tcBorders>
                  <w:shd w:val="clear" w:color="auto" w:fill="auto"/>
                  <w:noWrap/>
                  <w:vAlign w:val="bottom"/>
                  <w:hideMark/>
                </w:tcPr>
                <w:p w14:paraId="5C682445" w14:textId="77777777" w:rsidR="003735FB" w:rsidRPr="003C0E2F" w:rsidRDefault="003735FB" w:rsidP="003735FB">
                  <w:pPr>
                    <w:spacing w:after="0" w:line="240" w:lineRule="auto"/>
                    <w:rPr>
                      <w:rFonts w:eastAsia="Times New Roman" w:cstheme="minorHAnsi"/>
                    </w:rPr>
                  </w:pPr>
                  <w:r w:rsidRPr="003C0E2F">
                    <w:rPr>
                      <w:rFonts w:eastAsia="Times New Roman" w:cstheme="minorHAnsi"/>
                    </w:rPr>
                    <w:t>Double Stranded Ribonucleic Acid</w:t>
                  </w:r>
                </w:p>
              </w:tc>
            </w:tr>
            <w:tr w:rsidR="003C0E2F" w:rsidRPr="003C0E2F" w14:paraId="46DBBF28" w14:textId="77777777" w:rsidTr="00267E91">
              <w:trPr>
                <w:trHeight w:val="280"/>
              </w:trPr>
              <w:tc>
                <w:tcPr>
                  <w:tcW w:w="1880" w:type="dxa"/>
                  <w:tcBorders>
                    <w:top w:val="nil"/>
                    <w:left w:val="nil"/>
                    <w:bottom w:val="nil"/>
                    <w:right w:val="nil"/>
                  </w:tcBorders>
                  <w:shd w:val="clear" w:color="auto" w:fill="auto"/>
                  <w:noWrap/>
                  <w:vAlign w:val="bottom"/>
                  <w:hideMark/>
                </w:tcPr>
                <w:p w14:paraId="343BDA1B" w14:textId="77777777" w:rsidR="003735FB" w:rsidRPr="003C0E2F" w:rsidRDefault="003735FB" w:rsidP="003735FB">
                  <w:pPr>
                    <w:spacing w:after="0" w:line="240" w:lineRule="auto"/>
                    <w:rPr>
                      <w:rFonts w:eastAsia="Times New Roman" w:cstheme="minorHAnsi"/>
                      <w:b/>
                      <w:bCs/>
                    </w:rPr>
                  </w:pPr>
                  <w:r w:rsidRPr="003C0E2F">
                    <w:rPr>
                      <w:rFonts w:eastAsia="Times New Roman" w:cstheme="minorHAnsi"/>
                      <w:b/>
                      <w:bCs/>
                    </w:rPr>
                    <w:t>ECL</w:t>
                  </w:r>
                </w:p>
              </w:tc>
              <w:tc>
                <w:tcPr>
                  <w:tcW w:w="7817" w:type="dxa"/>
                  <w:tcBorders>
                    <w:top w:val="nil"/>
                    <w:left w:val="nil"/>
                    <w:bottom w:val="nil"/>
                    <w:right w:val="nil"/>
                  </w:tcBorders>
                  <w:shd w:val="clear" w:color="auto" w:fill="auto"/>
                  <w:noWrap/>
                  <w:vAlign w:val="bottom"/>
                  <w:hideMark/>
                </w:tcPr>
                <w:p w14:paraId="772AFA93" w14:textId="77777777" w:rsidR="003735FB" w:rsidRPr="003C0E2F" w:rsidRDefault="003735FB" w:rsidP="003735FB">
                  <w:pPr>
                    <w:spacing w:after="0" w:line="240" w:lineRule="auto"/>
                    <w:rPr>
                      <w:rFonts w:eastAsia="Times New Roman" w:cstheme="minorHAnsi"/>
                    </w:rPr>
                  </w:pPr>
                  <w:r w:rsidRPr="003C0E2F">
                    <w:rPr>
                      <w:rFonts w:eastAsia="Times New Roman" w:cstheme="minorHAnsi"/>
                    </w:rPr>
                    <w:t xml:space="preserve">Enhanced chemiluminescence </w:t>
                  </w:r>
                </w:p>
              </w:tc>
            </w:tr>
            <w:tr w:rsidR="003C0E2F" w:rsidRPr="003C0E2F" w14:paraId="698CCFFB" w14:textId="77777777" w:rsidTr="00267E91">
              <w:trPr>
                <w:trHeight w:val="280"/>
              </w:trPr>
              <w:tc>
                <w:tcPr>
                  <w:tcW w:w="1880" w:type="dxa"/>
                  <w:tcBorders>
                    <w:top w:val="nil"/>
                    <w:left w:val="nil"/>
                    <w:bottom w:val="nil"/>
                    <w:right w:val="nil"/>
                  </w:tcBorders>
                  <w:shd w:val="clear" w:color="auto" w:fill="auto"/>
                  <w:noWrap/>
                  <w:vAlign w:val="bottom"/>
                  <w:hideMark/>
                </w:tcPr>
                <w:p w14:paraId="77412EC7" w14:textId="77777777" w:rsidR="003735FB" w:rsidRPr="003C0E2F" w:rsidRDefault="003735FB" w:rsidP="003735FB">
                  <w:pPr>
                    <w:spacing w:after="0" w:line="240" w:lineRule="auto"/>
                    <w:rPr>
                      <w:rFonts w:eastAsia="Times New Roman" w:cstheme="minorHAnsi"/>
                      <w:b/>
                      <w:bCs/>
                    </w:rPr>
                  </w:pPr>
                  <w:r w:rsidRPr="003C0E2F">
                    <w:rPr>
                      <w:rFonts w:eastAsia="Times New Roman" w:cstheme="minorHAnsi"/>
                      <w:b/>
                      <w:bCs/>
                    </w:rPr>
                    <w:t>ELISA</w:t>
                  </w:r>
                </w:p>
              </w:tc>
              <w:tc>
                <w:tcPr>
                  <w:tcW w:w="7817" w:type="dxa"/>
                  <w:tcBorders>
                    <w:top w:val="nil"/>
                    <w:left w:val="nil"/>
                    <w:bottom w:val="nil"/>
                    <w:right w:val="nil"/>
                  </w:tcBorders>
                  <w:shd w:val="clear" w:color="auto" w:fill="auto"/>
                  <w:noWrap/>
                  <w:vAlign w:val="bottom"/>
                  <w:hideMark/>
                </w:tcPr>
                <w:p w14:paraId="1AAC92EA" w14:textId="77777777" w:rsidR="003735FB" w:rsidRPr="003C0E2F" w:rsidRDefault="003735FB" w:rsidP="003735FB">
                  <w:pPr>
                    <w:spacing w:after="0" w:line="240" w:lineRule="auto"/>
                    <w:rPr>
                      <w:rFonts w:eastAsia="Times New Roman" w:cstheme="minorHAnsi"/>
                    </w:rPr>
                  </w:pPr>
                  <w:r w:rsidRPr="003C0E2F">
                    <w:rPr>
                      <w:rFonts w:eastAsia="Times New Roman" w:cstheme="minorHAnsi"/>
                    </w:rPr>
                    <w:t>Enzyme linked immunosorbent assay</w:t>
                  </w:r>
                </w:p>
              </w:tc>
            </w:tr>
            <w:tr w:rsidR="003C0E2F" w:rsidRPr="003C0E2F" w14:paraId="29686814" w14:textId="77777777" w:rsidTr="00267E91">
              <w:trPr>
                <w:trHeight w:val="280"/>
              </w:trPr>
              <w:tc>
                <w:tcPr>
                  <w:tcW w:w="1880" w:type="dxa"/>
                  <w:tcBorders>
                    <w:top w:val="nil"/>
                    <w:left w:val="nil"/>
                    <w:bottom w:val="nil"/>
                    <w:right w:val="nil"/>
                  </w:tcBorders>
                  <w:shd w:val="clear" w:color="auto" w:fill="auto"/>
                  <w:noWrap/>
                  <w:vAlign w:val="bottom"/>
                  <w:hideMark/>
                </w:tcPr>
                <w:p w14:paraId="5A13BA22" w14:textId="063E1FD4" w:rsidR="003735FB" w:rsidRPr="003C0E2F" w:rsidRDefault="007A0F7C" w:rsidP="003735FB">
                  <w:pPr>
                    <w:spacing w:after="0" w:line="240" w:lineRule="auto"/>
                    <w:rPr>
                      <w:rFonts w:eastAsia="Times New Roman" w:cstheme="minorHAnsi"/>
                      <w:b/>
                      <w:bCs/>
                    </w:rPr>
                  </w:pPr>
                  <w:r w:rsidRPr="003C0E2F">
                    <w:rPr>
                      <w:rFonts w:eastAsia="Times New Roman" w:cstheme="minorHAnsi"/>
                      <w:b/>
                      <w:bCs/>
                    </w:rPr>
                    <w:t>EOTAXIN</w:t>
                  </w:r>
                  <w:r w:rsidR="003735FB" w:rsidRPr="003C0E2F">
                    <w:rPr>
                      <w:rFonts w:eastAsia="Times New Roman" w:cstheme="minorHAnsi"/>
                      <w:b/>
                      <w:bCs/>
                    </w:rPr>
                    <w:t>-1</w:t>
                  </w:r>
                </w:p>
              </w:tc>
              <w:tc>
                <w:tcPr>
                  <w:tcW w:w="7817" w:type="dxa"/>
                  <w:tcBorders>
                    <w:top w:val="nil"/>
                    <w:left w:val="nil"/>
                    <w:bottom w:val="nil"/>
                    <w:right w:val="nil"/>
                  </w:tcBorders>
                  <w:shd w:val="clear" w:color="auto" w:fill="auto"/>
                  <w:noWrap/>
                  <w:vAlign w:val="bottom"/>
                  <w:hideMark/>
                </w:tcPr>
                <w:p w14:paraId="41D87E0C" w14:textId="77777777" w:rsidR="003735FB" w:rsidRPr="003C0E2F" w:rsidRDefault="003735FB" w:rsidP="003735FB">
                  <w:pPr>
                    <w:spacing w:after="0" w:line="240" w:lineRule="auto"/>
                    <w:rPr>
                      <w:rFonts w:eastAsia="Times New Roman" w:cstheme="minorHAnsi"/>
                    </w:rPr>
                  </w:pPr>
                  <w:r w:rsidRPr="003C0E2F">
                    <w:rPr>
                      <w:rFonts w:eastAsia="Times New Roman" w:cstheme="minorHAnsi"/>
                    </w:rPr>
                    <w:t>Eosinophil chemotactic protein 1</w:t>
                  </w:r>
                </w:p>
              </w:tc>
            </w:tr>
            <w:tr w:rsidR="003C0E2F" w:rsidRPr="003C0E2F" w14:paraId="1662F572" w14:textId="77777777" w:rsidTr="00267E91">
              <w:trPr>
                <w:trHeight w:val="280"/>
              </w:trPr>
              <w:tc>
                <w:tcPr>
                  <w:tcW w:w="1880" w:type="dxa"/>
                  <w:tcBorders>
                    <w:top w:val="nil"/>
                    <w:left w:val="nil"/>
                    <w:bottom w:val="nil"/>
                    <w:right w:val="nil"/>
                  </w:tcBorders>
                  <w:shd w:val="clear" w:color="auto" w:fill="auto"/>
                  <w:noWrap/>
                  <w:vAlign w:val="bottom"/>
                  <w:hideMark/>
                </w:tcPr>
                <w:p w14:paraId="256D9950" w14:textId="79BAB731" w:rsidR="003735FB" w:rsidRPr="003C0E2F" w:rsidRDefault="007A0F7C" w:rsidP="003735FB">
                  <w:pPr>
                    <w:spacing w:after="0" w:line="240" w:lineRule="auto"/>
                    <w:rPr>
                      <w:rFonts w:eastAsia="Times New Roman" w:cstheme="minorHAnsi"/>
                      <w:b/>
                      <w:bCs/>
                    </w:rPr>
                  </w:pPr>
                  <w:r w:rsidRPr="003C0E2F">
                    <w:rPr>
                      <w:rFonts w:eastAsia="Times New Roman" w:cstheme="minorHAnsi"/>
                      <w:b/>
                      <w:bCs/>
                    </w:rPr>
                    <w:t>EOTAXIN</w:t>
                  </w:r>
                  <w:r w:rsidR="003735FB" w:rsidRPr="003C0E2F">
                    <w:rPr>
                      <w:rFonts w:eastAsia="Times New Roman" w:cstheme="minorHAnsi"/>
                      <w:b/>
                      <w:bCs/>
                    </w:rPr>
                    <w:t>-2</w:t>
                  </w:r>
                </w:p>
              </w:tc>
              <w:tc>
                <w:tcPr>
                  <w:tcW w:w="7817" w:type="dxa"/>
                  <w:tcBorders>
                    <w:top w:val="nil"/>
                    <w:left w:val="nil"/>
                    <w:bottom w:val="nil"/>
                    <w:right w:val="nil"/>
                  </w:tcBorders>
                  <w:shd w:val="clear" w:color="auto" w:fill="auto"/>
                  <w:noWrap/>
                  <w:vAlign w:val="bottom"/>
                  <w:hideMark/>
                </w:tcPr>
                <w:p w14:paraId="789F67ED" w14:textId="77777777" w:rsidR="003735FB" w:rsidRPr="003C0E2F" w:rsidRDefault="003735FB" w:rsidP="003735FB">
                  <w:pPr>
                    <w:spacing w:after="0" w:line="240" w:lineRule="auto"/>
                    <w:rPr>
                      <w:rFonts w:eastAsia="Times New Roman" w:cstheme="minorHAnsi"/>
                    </w:rPr>
                  </w:pPr>
                  <w:r w:rsidRPr="003C0E2F">
                    <w:rPr>
                      <w:rFonts w:eastAsia="Times New Roman" w:cstheme="minorHAnsi"/>
                    </w:rPr>
                    <w:t>Eosinophil chemotactic protein 2</w:t>
                  </w:r>
                </w:p>
              </w:tc>
            </w:tr>
            <w:tr w:rsidR="003C0E2F" w:rsidRPr="003C0E2F" w14:paraId="663F2A9F" w14:textId="77777777" w:rsidTr="00267E91">
              <w:trPr>
                <w:trHeight w:val="280"/>
              </w:trPr>
              <w:tc>
                <w:tcPr>
                  <w:tcW w:w="1880" w:type="dxa"/>
                  <w:tcBorders>
                    <w:top w:val="nil"/>
                    <w:left w:val="nil"/>
                    <w:bottom w:val="nil"/>
                    <w:right w:val="nil"/>
                  </w:tcBorders>
                  <w:shd w:val="clear" w:color="auto" w:fill="auto"/>
                  <w:noWrap/>
                  <w:vAlign w:val="bottom"/>
                  <w:hideMark/>
                </w:tcPr>
                <w:p w14:paraId="6D6EE41D"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ERK</w:t>
                  </w:r>
                </w:p>
              </w:tc>
              <w:tc>
                <w:tcPr>
                  <w:tcW w:w="7817" w:type="dxa"/>
                  <w:tcBorders>
                    <w:top w:val="nil"/>
                    <w:left w:val="nil"/>
                    <w:bottom w:val="nil"/>
                    <w:right w:val="nil"/>
                  </w:tcBorders>
                  <w:shd w:val="clear" w:color="auto" w:fill="auto"/>
                  <w:noWrap/>
                  <w:vAlign w:val="bottom"/>
                  <w:hideMark/>
                </w:tcPr>
                <w:p w14:paraId="5232143C" w14:textId="77777777"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Extracellular signal-related kinase</w:t>
                  </w:r>
                </w:p>
              </w:tc>
            </w:tr>
            <w:tr w:rsidR="003C0E2F" w:rsidRPr="003C0E2F" w14:paraId="21F7C657" w14:textId="77777777" w:rsidTr="00267E91">
              <w:trPr>
                <w:trHeight w:val="280"/>
              </w:trPr>
              <w:tc>
                <w:tcPr>
                  <w:tcW w:w="1880" w:type="dxa"/>
                  <w:tcBorders>
                    <w:top w:val="nil"/>
                    <w:left w:val="nil"/>
                    <w:bottom w:val="nil"/>
                    <w:right w:val="nil"/>
                  </w:tcBorders>
                  <w:shd w:val="clear" w:color="auto" w:fill="auto"/>
                  <w:noWrap/>
                  <w:vAlign w:val="bottom"/>
                  <w:hideMark/>
                </w:tcPr>
                <w:p w14:paraId="2052F406" w14:textId="57276FDB"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FP (FP7,</w:t>
                  </w:r>
                  <w:r w:rsidR="00280F74" w:rsidRPr="003C0E2F">
                    <w:rPr>
                      <w:rFonts w:ascii="Calibri" w:eastAsia="Times New Roman" w:hAnsi="Calibri" w:cs="Calibri"/>
                      <w:b/>
                      <w:bCs/>
                    </w:rPr>
                    <w:t xml:space="preserve"> </w:t>
                  </w:r>
                  <w:r w:rsidRPr="003C0E2F">
                    <w:rPr>
                      <w:rFonts w:ascii="Calibri" w:eastAsia="Times New Roman" w:hAnsi="Calibri" w:cs="Calibri"/>
                      <w:b/>
                      <w:bCs/>
                    </w:rPr>
                    <w:t>FP12…)</w:t>
                  </w:r>
                </w:p>
              </w:tc>
              <w:tc>
                <w:tcPr>
                  <w:tcW w:w="7817" w:type="dxa"/>
                  <w:tcBorders>
                    <w:top w:val="nil"/>
                    <w:left w:val="nil"/>
                    <w:bottom w:val="nil"/>
                    <w:right w:val="nil"/>
                  </w:tcBorders>
                  <w:shd w:val="clear" w:color="auto" w:fill="auto"/>
                  <w:noWrap/>
                  <w:vAlign w:val="bottom"/>
                  <w:hideMark/>
                </w:tcPr>
                <w:p w14:paraId="296850FD" w14:textId="246F9195" w:rsidR="003735FB" w:rsidRPr="003C0E2F" w:rsidRDefault="00280F74" w:rsidP="003735FB">
                  <w:pPr>
                    <w:spacing w:after="0" w:line="240" w:lineRule="auto"/>
                    <w:rPr>
                      <w:rFonts w:ascii="Calibri" w:eastAsia="Times New Roman" w:hAnsi="Calibri" w:cs="Calibri"/>
                    </w:rPr>
                  </w:pPr>
                  <w:r w:rsidRPr="003C0E2F">
                    <w:rPr>
                      <w:rFonts w:ascii="Calibri" w:eastAsia="Times New Roman" w:hAnsi="Calibri" w:cs="Calibri"/>
                    </w:rPr>
                    <w:t>Francesco</w:t>
                  </w:r>
                  <w:r w:rsidR="003735FB" w:rsidRPr="003C0E2F">
                    <w:rPr>
                      <w:rFonts w:ascii="Calibri" w:eastAsia="Times New Roman" w:hAnsi="Calibri" w:cs="Calibri"/>
                    </w:rPr>
                    <w:t xml:space="preserve"> Peri (Francesco Peri 7, Francesco Peri 12…) small molecule series naming</w:t>
                  </w:r>
                </w:p>
              </w:tc>
            </w:tr>
            <w:tr w:rsidR="003C0E2F" w:rsidRPr="003C0E2F" w14:paraId="56564A0E" w14:textId="77777777" w:rsidTr="00267E91">
              <w:trPr>
                <w:trHeight w:val="280"/>
              </w:trPr>
              <w:tc>
                <w:tcPr>
                  <w:tcW w:w="1880" w:type="dxa"/>
                  <w:tcBorders>
                    <w:top w:val="nil"/>
                    <w:left w:val="nil"/>
                    <w:bottom w:val="nil"/>
                    <w:right w:val="nil"/>
                  </w:tcBorders>
                  <w:shd w:val="clear" w:color="auto" w:fill="auto"/>
                  <w:noWrap/>
                  <w:vAlign w:val="bottom"/>
                  <w:hideMark/>
                </w:tcPr>
                <w:p w14:paraId="3980B592"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GCSF</w:t>
                  </w:r>
                </w:p>
              </w:tc>
              <w:tc>
                <w:tcPr>
                  <w:tcW w:w="7817" w:type="dxa"/>
                  <w:tcBorders>
                    <w:top w:val="nil"/>
                    <w:left w:val="nil"/>
                    <w:bottom w:val="nil"/>
                    <w:right w:val="nil"/>
                  </w:tcBorders>
                  <w:shd w:val="clear" w:color="auto" w:fill="auto"/>
                  <w:noWrap/>
                  <w:vAlign w:val="bottom"/>
                  <w:hideMark/>
                </w:tcPr>
                <w:p w14:paraId="19C28433" w14:textId="77777777"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Granulocyte colony-stimulating factor</w:t>
                  </w:r>
                </w:p>
              </w:tc>
            </w:tr>
            <w:tr w:rsidR="003C0E2F" w:rsidRPr="003C0E2F" w14:paraId="4C505A59" w14:textId="77777777" w:rsidTr="00267E91">
              <w:trPr>
                <w:trHeight w:val="280"/>
              </w:trPr>
              <w:tc>
                <w:tcPr>
                  <w:tcW w:w="1880" w:type="dxa"/>
                  <w:tcBorders>
                    <w:top w:val="nil"/>
                    <w:left w:val="nil"/>
                    <w:bottom w:val="nil"/>
                    <w:right w:val="nil"/>
                  </w:tcBorders>
                  <w:shd w:val="clear" w:color="auto" w:fill="auto"/>
                  <w:noWrap/>
                  <w:vAlign w:val="bottom"/>
                  <w:hideMark/>
                </w:tcPr>
                <w:p w14:paraId="4763D766"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GM-CSF</w:t>
                  </w:r>
                </w:p>
              </w:tc>
              <w:tc>
                <w:tcPr>
                  <w:tcW w:w="7817" w:type="dxa"/>
                  <w:tcBorders>
                    <w:top w:val="nil"/>
                    <w:left w:val="nil"/>
                    <w:bottom w:val="nil"/>
                    <w:right w:val="nil"/>
                  </w:tcBorders>
                  <w:shd w:val="clear" w:color="auto" w:fill="auto"/>
                  <w:noWrap/>
                  <w:vAlign w:val="bottom"/>
                  <w:hideMark/>
                </w:tcPr>
                <w:p w14:paraId="5C4B3580" w14:textId="54865EEE"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Granulocyte-</w:t>
                  </w:r>
                  <w:r w:rsidR="008F561F" w:rsidRPr="003C0E2F">
                    <w:rPr>
                      <w:rFonts w:ascii="Calibri" w:eastAsia="Times New Roman" w:hAnsi="Calibri" w:cs="Calibri"/>
                    </w:rPr>
                    <w:t>macrophage</w:t>
                  </w:r>
                  <w:r w:rsidRPr="003C0E2F">
                    <w:rPr>
                      <w:rFonts w:ascii="Calibri" w:eastAsia="Times New Roman" w:hAnsi="Calibri" w:cs="Calibri"/>
                    </w:rPr>
                    <w:t xml:space="preserve"> colony-stimulating factor</w:t>
                  </w:r>
                </w:p>
              </w:tc>
            </w:tr>
            <w:tr w:rsidR="003C0E2F" w:rsidRPr="003C0E2F" w14:paraId="006AC055" w14:textId="77777777" w:rsidTr="00267E91">
              <w:trPr>
                <w:trHeight w:val="280"/>
              </w:trPr>
              <w:tc>
                <w:tcPr>
                  <w:tcW w:w="1880" w:type="dxa"/>
                  <w:tcBorders>
                    <w:top w:val="nil"/>
                    <w:left w:val="nil"/>
                    <w:bottom w:val="nil"/>
                    <w:right w:val="nil"/>
                  </w:tcBorders>
                  <w:shd w:val="clear" w:color="auto" w:fill="auto"/>
                  <w:noWrap/>
                  <w:vAlign w:val="bottom"/>
                  <w:hideMark/>
                </w:tcPr>
                <w:p w14:paraId="41A6E2EC"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HDL</w:t>
                  </w:r>
                </w:p>
              </w:tc>
              <w:tc>
                <w:tcPr>
                  <w:tcW w:w="7817" w:type="dxa"/>
                  <w:tcBorders>
                    <w:top w:val="nil"/>
                    <w:left w:val="nil"/>
                    <w:bottom w:val="nil"/>
                    <w:right w:val="nil"/>
                  </w:tcBorders>
                  <w:shd w:val="clear" w:color="auto" w:fill="auto"/>
                  <w:noWrap/>
                  <w:vAlign w:val="bottom"/>
                  <w:hideMark/>
                </w:tcPr>
                <w:p w14:paraId="3A5C425D" w14:textId="2F1016BE" w:rsidR="003735FB" w:rsidRPr="003C0E2F" w:rsidRDefault="003735FB" w:rsidP="003735FB">
                  <w:pPr>
                    <w:spacing w:after="0" w:line="240" w:lineRule="auto"/>
                    <w:rPr>
                      <w:rFonts w:ascii="Calibri" w:eastAsia="Times New Roman" w:hAnsi="Calibri" w:cs="Calibri"/>
                    </w:rPr>
                  </w:pPr>
                  <w:r w:rsidRPr="003C0E2F">
                    <w:rPr>
                      <w:rFonts w:ascii="Calibri" w:eastAsia="Times New Roman" w:hAnsi="Calibri" w:cs="Calibri"/>
                    </w:rPr>
                    <w:t>H</w:t>
                  </w:r>
                  <w:r w:rsidR="000719FA" w:rsidRPr="003C0E2F">
                    <w:rPr>
                      <w:rFonts w:ascii="Calibri" w:eastAsia="Times New Roman" w:hAnsi="Calibri" w:cs="Calibri"/>
                    </w:rPr>
                    <w:t>igh-density</w:t>
                  </w:r>
                  <w:r w:rsidRPr="003C0E2F">
                    <w:rPr>
                      <w:rFonts w:ascii="Calibri" w:eastAsia="Times New Roman" w:hAnsi="Calibri" w:cs="Calibri"/>
                    </w:rPr>
                    <w:t xml:space="preserve"> lipoprotein</w:t>
                  </w:r>
                </w:p>
              </w:tc>
            </w:tr>
            <w:tr w:rsidR="003C0E2F" w:rsidRPr="003C0E2F" w14:paraId="6CDA504D" w14:textId="77777777" w:rsidTr="00267E91">
              <w:trPr>
                <w:trHeight w:val="280"/>
              </w:trPr>
              <w:tc>
                <w:tcPr>
                  <w:tcW w:w="1880" w:type="dxa"/>
                  <w:tcBorders>
                    <w:top w:val="nil"/>
                    <w:left w:val="nil"/>
                    <w:bottom w:val="nil"/>
                    <w:right w:val="nil"/>
                  </w:tcBorders>
                  <w:shd w:val="clear" w:color="auto" w:fill="auto"/>
                  <w:noWrap/>
                  <w:vAlign w:val="bottom"/>
                  <w:hideMark/>
                </w:tcPr>
                <w:p w14:paraId="1A61287D" w14:textId="77777777" w:rsidR="003735FB" w:rsidRPr="003C0E2F" w:rsidRDefault="003735FB" w:rsidP="003735FB">
                  <w:pPr>
                    <w:spacing w:after="0" w:line="240" w:lineRule="auto"/>
                    <w:rPr>
                      <w:rFonts w:ascii="Calibri" w:eastAsia="Times New Roman" w:hAnsi="Calibri" w:cs="Calibri"/>
                      <w:b/>
                      <w:bCs/>
                    </w:rPr>
                  </w:pPr>
                  <w:r w:rsidRPr="003C0E2F">
                    <w:rPr>
                      <w:rFonts w:ascii="Calibri" w:eastAsia="Times New Roman" w:hAnsi="Calibri" w:cs="Calibri"/>
                      <w:b/>
                      <w:bCs/>
                    </w:rPr>
                    <w:t>HRP</w:t>
                  </w:r>
                </w:p>
              </w:tc>
              <w:tc>
                <w:tcPr>
                  <w:tcW w:w="7817" w:type="dxa"/>
                  <w:tcBorders>
                    <w:top w:val="nil"/>
                    <w:left w:val="nil"/>
                    <w:bottom w:val="nil"/>
                    <w:right w:val="nil"/>
                  </w:tcBorders>
                  <w:shd w:val="clear" w:color="auto" w:fill="auto"/>
                  <w:noWrap/>
                  <w:vAlign w:val="bottom"/>
                  <w:hideMark/>
                </w:tcPr>
                <w:p w14:paraId="1C5B1250" w14:textId="57DD12CF" w:rsidR="003735FB" w:rsidRPr="003C0E2F" w:rsidRDefault="00280F74" w:rsidP="003735FB">
                  <w:pPr>
                    <w:spacing w:after="0" w:line="240" w:lineRule="auto"/>
                    <w:rPr>
                      <w:rFonts w:ascii="Calibri" w:eastAsia="Times New Roman" w:hAnsi="Calibri" w:cs="Calibri"/>
                    </w:rPr>
                  </w:pPr>
                  <w:r w:rsidRPr="003C0E2F">
                    <w:rPr>
                      <w:rFonts w:ascii="Calibri" w:eastAsia="Times New Roman" w:hAnsi="Calibri" w:cs="Calibri"/>
                    </w:rPr>
                    <w:t>Horseradish</w:t>
                  </w:r>
                  <w:r w:rsidR="003735FB" w:rsidRPr="003C0E2F">
                    <w:rPr>
                      <w:rFonts w:ascii="Calibri" w:eastAsia="Times New Roman" w:hAnsi="Calibri" w:cs="Calibri"/>
                    </w:rPr>
                    <w:t xml:space="preserve"> peroxidase</w:t>
                  </w:r>
                </w:p>
              </w:tc>
            </w:tr>
            <w:tr w:rsidR="003C0E2F" w:rsidRPr="003C0E2F" w14:paraId="2A078302" w14:textId="77777777" w:rsidTr="00267E91">
              <w:trPr>
                <w:trHeight w:val="280"/>
              </w:trPr>
              <w:tc>
                <w:tcPr>
                  <w:tcW w:w="1880" w:type="dxa"/>
                  <w:tcBorders>
                    <w:top w:val="nil"/>
                    <w:left w:val="nil"/>
                    <w:bottom w:val="nil"/>
                    <w:right w:val="nil"/>
                  </w:tcBorders>
                  <w:shd w:val="clear" w:color="auto" w:fill="auto"/>
                  <w:noWrap/>
                  <w:vAlign w:val="bottom"/>
                  <w:hideMark/>
                </w:tcPr>
                <w:p w14:paraId="0E479C3D" w14:textId="73BC82FD"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I-309</w:t>
                  </w:r>
                </w:p>
              </w:tc>
              <w:tc>
                <w:tcPr>
                  <w:tcW w:w="7817" w:type="dxa"/>
                  <w:tcBorders>
                    <w:top w:val="nil"/>
                    <w:left w:val="nil"/>
                    <w:bottom w:val="nil"/>
                    <w:right w:val="nil"/>
                  </w:tcBorders>
                  <w:shd w:val="clear" w:color="auto" w:fill="auto"/>
                  <w:noWrap/>
                  <w:vAlign w:val="bottom"/>
                  <w:hideMark/>
                </w:tcPr>
                <w:p w14:paraId="6C418E93" w14:textId="13C9C3FA"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Small-inducible cytokine A1</w:t>
                  </w:r>
                </w:p>
              </w:tc>
            </w:tr>
            <w:tr w:rsidR="003C0E2F" w:rsidRPr="003C0E2F" w14:paraId="33622FCC" w14:textId="77777777" w:rsidTr="00267E91">
              <w:trPr>
                <w:trHeight w:val="280"/>
              </w:trPr>
              <w:tc>
                <w:tcPr>
                  <w:tcW w:w="1880" w:type="dxa"/>
                  <w:tcBorders>
                    <w:top w:val="nil"/>
                    <w:left w:val="nil"/>
                    <w:bottom w:val="nil"/>
                    <w:right w:val="nil"/>
                  </w:tcBorders>
                  <w:shd w:val="clear" w:color="auto" w:fill="auto"/>
                  <w:noWrap/>
                  <w:vAlign w:val="bottom"/>
                  <w:hideMark/>
                </w:tcPr>
                <w:p w14:paraId="7D39A2E3" w14:textId="69563922"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iCAM-1</w:t>
                  </w:r>
                </w:p>
              </w:tc>
              <w:tc>
                <w:tcPr>
                  <w:tcW w:w="7817" w:type="dxa"/>
                  <w:tcBorders>
                    <w:top w:val="nil"/>
                    <w:left w:val="nil"/>
                    <w:bottom w:val="nil"/>
                    <w:right w:val="nil"/>
                  </w:tcBorders>
                  <w:shd w:val="clear" w:color="auto" w:fill="auto"/>
                  <w:noWrap/>
                  <w:vAlign w:val="bottom"/>
                  <w:hideMark/>
                </w:tcPr>
                <w:p w14:paraId="272AE364" w14:textId="02380758"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Intercellular adhesion molecule 1</w:t>
                  </w:r>
                </w:p>
              </w:tc>
            </w:tr>
            <w:tr w:rsidR="003C0E2F" w:rsidRPr="003C0E2F" w14:paraId="34F885F5" w14:textId="77777777" w:rsidTr="00267E91">
              <w:trPr>
                <w:trHeight w:val="280"/>
              </w:trPr>
              <w:tc>
                <w:tcPr>
                  <w:tcW w:w="1880" w:type="dxa"/>
                  <w:tcBorders>
                    <w:top w:val="nil"/>
                    <w:left w:val="nil"/>
                    <w:bottom w:val="nil"/>
                    <w:right w:val="nil"/>
                  </w:tcBorders>
                  <w:shd w:val="clear" w:color="auto" w:fill="auto"/>
                  <w:noWrap/>
                  <w:vAlign w:val="bottom"/>
                  <w:hideMark/>
                </w:tcPr>
                <w:p w14:paraId="58D06EFD" w14:textId="1C7D1E54"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IFNAR</w:t>
                  </w:r>
                </w:p>
              </w:tc>
              <w:tc>
                <w:tcPr>
                  <w:tcW w:w="7817" w:type="dxa"/>
                  <w:tcBorders>
                    <w:top w:val="nil"/>
                    <w:left w:val="nil"/>
                    <w:bottom w:val="nil"/>
                    <w:right w:val="nil"/>
                  </w:tcBorders>
                  <w:shd w:val="clear" w:color="auto" w:fill="auto"/>
                  <w:noWrap/>
                  <w:vAlign w:val="bottom"/>
                  <w:hideMark/>
                </w:tcPr>
                <w:p w14:paraId="4F3EBD7F" w14:textId="54BA6803"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Interferon alpha/beta receptor</w:t>
                  </w:r>
                </w:p>
              </w:tc>
            </w:tr>
            <w:tr w:rsidR="003C0E2F" w:rsidRPr="003C0E2F" w14:paraId="72B044E5" w14:textId="77777777" w:rsidTr="00267E91">
              <w:trPr>
                <w:trHeight w:val="280"/>
              </w:trPr>
              <w:tc>
                <w:tcPr>
                  <w:tcW w:w="1880" w:type="dxa"/>
                  <w:tcBorders>
                    <w:top w:val="nil"/>
                    <w:left w:val="nil"/>
                    <w:bottom w:val="nil"/>
                    <w:right w:val="nil"/>
                  </w:tcBorders>
                  <w:shd w:val="clear" w:color="auto" w:fill="auto"/>
                  <w:noWrap/>
                  <w:vAlign w:val="bottom"/>
                  <w:hideMark/>
                </w:tcPr>
                <w:p w14:paraId="3D37D328" w14:textId="26DAEFD7"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IFNα</w:t>
                  </w:r>
                </w:p>
              </w:tc>
              <w:tc>
                <w:tcPr>
                  <w:tcW w:w="7817" w:type="dxa"/>
                  <w:tcBorders>
                    <w:top w:val="nil"/>
                    <w:left w:val="nil"/>
                    <w:bottom w:val="nil"/>
                    <w:right w:val="nil"/>
                  </w:tcBorders>
                  <w:shd w:val="clear" w:color="auto" w:fill="auto"/>
                  <w:noWrap/>
                  <w:vAlign w:val="bottom"/>
                  <w:hideMark/>
                </w:tcPr>
                <w:p w14:paraId="21AC867E" w14:textId="1D4A0DCD"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Interferon alpha</w:t>
                  </w:r>
                </w:p>
              </w:tc>
            </w:tr>
            <w:tr w:rsidR="003C0E2F" w:rsidRPr="003C0E2F" w14:paraId="7E777062" w14:textId="77777777" w:rsidTr="00267E91">
              <w:trPr>
                <w:trHeight w:val="280"/>
              </w:trPr>
              <w:tc>
                <w:tcPr>
                  <w:tcW w:w="1880" w:type="dxa"/>
                  <w:tcBorders>
                    <w:top w:val="nil"/>
                    <w:left w:val="nil"/>
                    <w:bottom w:val="nil"/>
                    <w:right w:val="nil"/>
                  </w:tcBorders>
                  <w:shd w:val="clear" w:color="auto" w:fill="auto"/>
                  <w:noWrap/>
                  <w:vAlign w:val="bottom"/>
                  <w:hideMark/>
                </w:tcPr>
                <w:p w14:paraId="6F4FFD13" w14:textId="49F80B8D"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IFNβ</w:t>
                  </w:r>
                </w:p>
              </w:tc>
              <w:tc>
                <w:tcPr>
                  <w:tcW w:w="7817" w:type="dxa"/>
                  <w:tcBorders>
                    <w:top w:val="nil"/>
                    <w:left w:val="nil"/>
                    <w:bottom w:val="nil"/>
                    <w:right w:val="nil"/>
                  </w:tcBorders>
                  <w:shd w:val="clear" w:color="auto" w:fill="auto"/>
                  <w:noWrap/>
                  <w:vAlign w:val="bottom"/>
                  <w:hideMark/>
                </w:tcPr>
                <w:p w14:paraId="6AACB3B7" w14:textId="6C77733D"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Interferon beta</w:t>
                  </w:r>
                </w:p>
              </w:tc>
            </w:tr>
            <w:tr w:rsidR="003C0E2F" w:rsidRPr="003C0E2F" w14:paraId="1D082CD7" w14:textId="77777777" w:rsidTr="00267E91">
              <w:trPr>
                <w:trHeight w:val="280"/>
              </w:trPr>
              <w:tc>
                <w:tcPr>
                  <w:tcW w:w="1880" w:type="dxa"/>
                  <w:tcBorders>
                    <w:top w:val="nil"/>
                    <w:left w:val="nil"/>
                    <w:bottom w:val="nil"/>
                    <w:right w:val="nil"/>
                  </w:tcBorders>
                  <w:shd w:val="clear" w:color="auto" w:fill="auto"/>
                  <w:noWrap/>
                  <w:vAlign w:val="bottom"/>
                  <w:hideMark/>
                </w:tcPr>
                <w:p w14:paraId="471F57F0" w14:textId="5F5F80DD" w:rsidR="001A2988" w:rsidRPr="003C0E2F" w:rsidRDefault="001A2988" w:rsidP="003735FB">
                  <w:pPr>
                    <w:spacing w:after="0" w:line="240" w:lineRule="auto"/>
                    <w:rPr>
                      <w:rFonts w:ascii="Calibri" w:eastAsia="Times New Roman" w:hAnsi="Calibri" w:cs="Calibri"/>
                      <w:b/>
                      <w:bCs/>
                    </w:rPr>
                  </w:pPr>
                  <w:proofErr w:type="spellStart"/>
                  <w:r w:rsidRPr="003C0E2F">
                    <w:rPr>
                      <w:rFonts w:ascii="Calibri" w:eastAsia="Times New Roman" w:hAnsi="Calibri" w:cs="Calibri"/>
                      <w:b/>
                      <w:bCs/>
                    </w:rPr>
                    <w:t>IFNγ</w:t>
                  </w:r>
                  <w:proofErr w:type="spellEnd"/>
                </w:p>
              </w:tc>
              <w:tc>
                <w:tcPr>
                  <w:tcW w:w="7817" w:type="dxa"/>
                  <w:tcBorders>
                    <w:top w:val="nil"/>
                    <w:left w:val="nil"/>
                    <w:bottom w:val="nil"/>
                    <w:right w:val="nil"/>
                  </w:tcBorders>
                  <w:shd w:val="clear" w:color="auto" w:fill="auto"/>
                  <w:noWrap/>
                  <w:vAlign w:val="bottom"/>
                  <w:hideMark/>
                </w:tcPr>
                <w:p w14:paraId="187D613D" w14:textId="3135939E"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Interferon gamma</w:t>
                  </w:r>
                </w:p>
              </w:tc>
            </w:tr>
            <w:tr w:rsidR="003C0E2F" w:rsidRPr="003C0E2F" w14:paraId="07172C48" w14:textId="77777777" w:rsidTr="00267E91">
              <w:trPr>
                <w:trHeight w:val="280"/>
              </w:trPr>
              <w:tc>
                <w:tcPr>
                  <w:tcW w:w="1880" w:type="dxa"/>
                  <w:tcBorders>
                    <w:top w:val="nil"/>
                    <w:left w:val="nil"/>
                    <w:bottom w:val="nil"/>
                    <w:right w:val="nil"/>
                  </w:tcBorders>
                  <w:shd w:val="clear" w:color="auto" w:fill="auto"/>
                  <w:noWrap/>
                  <w:vAlign w:val="bottom"/>
                  <w:hideMark/>
                </w:tcPr>
                <w:p w14:paraId="5DACF91D" w14:textId="3EA686BB"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 xml:space="preserve">IgG </w:t>
                  </w:r>
                </w:p>
              </w:tc>
              <w:tc>
                <w:tcPr>
                  <w:tcW w:w="7817" w:type="dxa"/>
                  <w:tcBorders>
                    <w:top w:val="nil"/>
                    <w:left w:val="nil"/>
                    <w:bottom w:val="nil"/>
                    <w:right w:val="nil"/>
                  </w:tcBorders>
                  <w:shd w:val="clear" w:color="auto" w:fill="auto"/>
                  <w:noWrap/>
                  <w:vAlign w:val="bottom"/>
                  <w:hideMark/>
                </w:tcPr>
                <w:p w14:paraId="4FDDB28A" w14:textId="27B9205C"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Immunoglobulin G</w:t>
                  </w:r>
                </w:p>
              </w:tc>
            </w:tr>
            <w:tr w:rsidR="003C0E2F" w:rsidRPr="003C0E2F" w14:paraId="7A3EEE0D" w14:textId="77777777" w:rsidTr="00267E91">
              <w:trPr>
                <w:trHeight w:val="280"/>
              </w:trPr>
              <w:tc>
                <w:tcPr>
                  <w:tcW w:w="1880" w:type="dxa"/>
                  <w:tcBorders>
                    <w:top w:val="nil"/>
                    <w:left w:val="nil"/>
                    <w:bottom w:val="nil"/>
                    <w:right w:val="nil"/>
                  </w:tcBorders>
                  <w:shd w:val="clear" w:color="auto" w:fill="auto"/>
                  <w:noWrap/>
                  <w:vAlign w:val="bottom"/>
                  <w:hideMark/>
                </w:tcPr>
                <w:p w14:paraId="1F0A78F6" w14:textId="22219358"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IKK</w:t>
                  </w:r>
                </w:p>
              </w:tc>
              <w:tc>
                <w:tcPr>
                  <w:tcW w:w="7817" w:type="dxa"/>
                  <w:tcBorders>
                    <w:top w:val="nil"/>
                    <w:left w:val="nil"/>
                    <w:bottom w:val="nil"/>
                    <w:right w:val="nil"/>
                  </w:tcBorders>
                  <w:shd w:val="clear" w:color="auto" w:fill="auto"/>
                  <w:noWrap/>
                  <w:vAlign w:val="bottom"/>
                  <w:hideMark/>
                </w:tcPr>
                <w:p w14:paraId="6FCF2EAF" w14:textId="12F49138"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Inhibitor of nuclear factor kappa-B kinase</w:t>
                  </w:r>
                </w:p>
              </w:tc>
            </w:tr>
            <w:tr w:rsidR="003C0E2F" w:rsidRPr="003C0E2F" w14:paraId="0DE80DB3" w14:textId="77777777" w:rsidTr="00267E91">
              <w:trPr>
                <w:trHeight w:val="280"/>
              </w:trPr>
              <w:tc>
                <w:tcPr>
                  <w:tcW w:w="1880" w:type="dxa"/>
                  <w:tcBorders>
                    <w:top w:val="nil"/>
                    <w:left w:val="nil"/>
                    <w:bottom w:val="nil"/>
                    <w:right w:val="nil"/>
                  </w:tcBorders>
                  <w:shd w:val="clear" w:color="auto" w:fill="auto"/>
                  <w:noWrap/>
                  <w:vAlign w:val="bottom"/>
                  <w:hideMark/>
                </w:tcPr>
                <w:p w14:paraId="5B3F59F0" w14:textId="36B0D72A"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IL-10</w:t>
                  </w:r>
                </w:p>
              </w:tc>
              <w:tc>
                <w:tcPr>
                  <w:tcW w:w="7817" w:type="dxa"/>
                  <w:tcBorders>
                    <w:top w:val="nil"/>
                    <w:left w:val="nil"/>
                    <w:bottom w:val="nil"/>
                    <w:right w:val="nil"/>
                  </w:tcBorders>
                  <w:shd w:val="clear" w:color="auto" w:fill="auto"/>
                  <w:noWrap/>
                  <w:vAlign w:val="bottom"/>
                  <w:hideMark/>
                </w:tcPr>
                <w:p w14:paraId="286A37B6" w14:textId="2FB82088"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10</w:t>
                  </w:r>
                </w:p>
              </w:tc>
            </w:tr>
            <w:tr w:rsidR="003C0E2F" w:rsidRPr="003C0E2F" w14:paraId="5CF0B67F" w14:textId="77777777" w:rsidTr="00267E91">
              <w:trPr>
                <w:trHeight w:val="280"/>
              </w:trPr>
              <w:tc>
                <w:tcPr>
                  <w:tcW w:w="1880" w:type="dxa"/>
                  <w:tcBorders>
                    <w:top w:val="nil"/>
                    <w:left w:val="nil"/>
                    <w:bottom w:val="nil"/>
                    <w:right w:val="nil"/>
                  </w:tcBorders>
                  <w:shd w:val="clear" w:color="auto" w:fill="auto"/>
                  <w:noWrap/>
                  <w:vAlign w:val="bottom"/>
                  <w:hideMark/>
                </w:tcPr>
                <w:p w14:paraId="1A623192" w14:textId="2CA5CB5A"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IL-11</w:t>
                  </w:r>
                </w:p>
              </w:tc>
              <w:tc>
                <w:tcPr>
                  <w:tcW w:w="7817" w:type="dxa"/>
                  <w:tcBorders>
                    <w:top w:val="nil"/>
                    <w:left w:val="nil"/>
                    <w:bottom w:val="nil"/>
                    <w:right w:val="nil"/>
                  </w:tcBorders>
                  <w:shd w:val="clear" w:color="auto" w:fill="auto"/>
                  <w:noWrap/>
                  <w:vAlign w:val="bottom"/>
                  <w:hideMark/>
                </w:tcPr>
                <w:p w14:paraId="44146197" w14:textId="458AC590"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11</w:t>
                  </w:r>
                </w:p>
              </w:tc>
            </w:tr>
            <w:tr w:rsidR="003C0E2F" w:rsidRPr="003C0E2F" w14:paraId="4154DED5" w14:textId="77777777" w:rsidTr="00267E91">
              <w:trPr>
                <w:trHeight w:val="280"/>
              </w:trPr>
              <w:tc>
                <w:tcPr>
                  <w:tcW w:w="1880" w:type="dxa"/>
                  <w:tcBorders>
                    <w:top w:val="nil"/>
                    <w:left w:val="nil"/>
                    <w:bottom w:val="nil"/>
                    <w:right w:val="nil"/>
                  </w:tcBorders>
                  <w:shd w:val="clear" w:color="auto" w:fill="auto"/>
                  <w:noWrap/>
                  <w:vAlign w:val="bottom"/>
                  <w:hideMark/>
                </w:tcPr>
                <w:p w14:paraId="1995FB68" w14:textId="1C9BBDD7"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IL-12p40</w:t>
                  </w:r>
                </w:p>
              </w:tc>
              <w:tc>
                <w:tcPr>
                  <w:tcW w:w="7817" w:type="dxa"/>
                  <w:tcBorders>
                    <w:top w:val="nil"/>
                    <w:left w:val="nil"/>
                    <w:bottom w:val="nil"/>
                    <w:right w:val="nil"/>
                  </w:tcBorders>
                  <w:shd w:val="clear" w:color="auto" w:fill="auto"/>
                  <w:noWrap/>
                  <w:vAlign w:val="bottom"/>
                  <w:hideMark/>
                </w:tcPr>
                <w:p w14:paraId="29DA9362" w14:textId="1C34C6A0"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12 p40 subunit</w:t>
                  </w:r>
                </w:p>
              </w:tc>
            </w:tr>
            <w:tr w:rsidR="003C0E2F" w:rsidRPr="003C0E2F" w14:paraId="6AC3964E" w14:textId="77777777" w:rsidTr="00267E91">
              <w:trPr>
                <w:trHeight w:val="280"/>
              </w:trPr>
              <w:tc>
                <w:tcPr>
                  <w:tcW w:w="1880" w:type="dxa"/>
                  <w:tcBorders>
                    <w:top w:val="nil"/>
                    <w:left w:val="nil"/>
                    <w:bottom w:val="nil"/>
                    <w:right w:val="nil"/>
                  </w:tcBorders>
                  <w:shd w:val="clear" w:color="auto" w:fill="auto"/>
                  <w:noWrap/>
                  <w:vAlign w:val="bottom"/>
                  <w:hideMark/>
                </w:tcPr>
                <w:p w14:paraId="6FF56F1D" w14:textId="432EC1AA"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IL-12p70</w:t>
                  </w:r>
                </w:p>
              </w:tc>
              <w:tc>
                <w:tcPr>
                  <w:tcW w:w="7817" w:type="dxa"/>
                  <w:tcBorders>
                    <w:top w:val="nil"/>
                    <w:left w:val="nil"/>
                    <w:bottom w:val="nil"/>
                    <w:right w:val="nil"/>
                  </w:tcBorders>
                  <w:shd w:val="clear" w:color="auto" w:fill="auto"/>
                  <w:noWrap/>
                  <w:vAlign w:val="bottom"/>
                  <w:hideMark/>
                </w:tcPr>
                <w:p w14:paraId="35B48E4B" w14:textId="69A6057F"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12 p70 subunit</w:t>
                  </w:r>
                </w:p>
              </w:tc>
            </w:tr>
            <w:tr w:rsidR="003C0E2F" w:rsidRPr="003C0E2F" w14:paraId="11BB8F78" w14:textId="77777777" w:rsidTr="00267E91">
              <w:trPr>
                <w:trHeight w:val="280"/>
              </w:trPr>
              <w:tc>
                <w:tcPr>
                  <w:tcW w:w="1880" w:type="dxa"/>
                  <w:tcBorders>
                    <w:top w:val="nil"/>
                    <w:left w:val="nil"/>
                    <w:bottom w:val="nil"/>
                    <w:right w:val="nil"/>
                  </w:tcBorders>
                  <w:shd w:val="clear" w:color="auto" w:fill="auto"/>
                  <w:noWrap/>
                  <w:vAlign w:val="bottom"/>
                  <w:hideMark/>
                </w:tcPr>
                <w:p w14:paraId="6C6A1DFA" w14:textId="73E9D373"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IL-13</w:t>
                  </w:r>
                </w:p>
              </w:tc>
              <w:tc>
                <w:tcPr>
                  <w:tcW w:w="7817" w:type="dxa"/>
                  <w:tcBorders>
                    <w:top w:val="nil"/>
                    <w:left w:val="nil"/>
                    <w:bottom w:val="nil"/>
                    <w:right w:val="nil"/>
                  </w:tcBorders>
                  <w:shd w:val="clear" w:color="auto" w:fill="auto"/>
                  <w:noWrap/>
                  <w:vAlign w:val="bottom"/>
                  <w:hideMark/>
                </w:tcPr>
                <w:p w14:paraId="3E0CF263" w14:textId="037E3B3A"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13</w:t>
                  </w:r>
                </w:p>
              </w:tc>
            </w:tr>
            <w:tr w:rsidR="003C0E2F" w:rsidRPr="003C0E2F" w14:paraId="64A6F0A4" w14:textId="77777777" w:rsidTr="00267E91">
              <w:trPr>
                <w:trHeight w:val="280"/>
              </w:trPr>
              <w:tc>
                <w:tcPr>
                  <w:tcW w:w="1880" w:type="dxa"/>
                  <w:tcBorders>
                    <w:top w:val="nil"/>
                    <w:left w:val="nil"/>
                    <w:bottom w:val="nil"/>
                    <w:right w:val="nil"/>
                  </w:tcBorders>
                  <w:shd w:val="clear" w:color="auto" w:fill="auto"/>
                  <w:noWrap/>
                  <w:vAlign w:val="bottom"/>
                  <w:hideMark/>
                </w:tcPr>
                <w:p w14:paraId="637B975A" w14:textId="122E41C3"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IL-15</w:t>
                  </w:r>
                </w:p>
              </w:tc>
              <w:tc>
                <w:tcPr>
                  <w:tcW w:w="7817" w:type="dxa"/>
                  <w:tcBorders>
                    <w:top w:val="nil"/>
                    <w:left w:val="nil"/>
                    <w:bottom w:val="nil"/>
                    <w:right w:val="nil"/>
                  </w:tcBorders>
                  <w:shd w:val="clear" w:color="auto" w:fill="auto"/>
                  <w:noWrap/>
                  <w:vAlign w:val="bottom"/>
                  <w:hideMark/>
                </w:tcPr>
                <w:p w14:paraId="176A50B5" w14:textId="1C8A4708"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15</w:t>
                  </w:r>
                </w:p>
              </w:tc>
            </w:tr>
            <w:tr w:rsidR="003C0E2F" w:rsidRPr="003C0E2F" w14:paraId="0AF2D80D" w14:textId="77777777" w:rsidTr="00267E91">
              <w:trPr>
                <w:trHeight w:val="280"/>
              </w:trPr>
              <w:tc>
                <w:tcPr>
                  <w:tcW w:w="1880" w:type="dxa"/>
                  <w:tcBorders>
                    <w:top w:val="nil"/>
                    <w:left w:val="nil"/>
                    <w:bottom w:val="nil"/>
                    <w:right w:val="nil"/>
                  </w:tcBorders>
                  <w:shd w:val="clear" w:color="auto" w:fill="auto"/>
                  <w:noWrap/>
                  <w:vAlign w:val="bottom"/>
                  <w:hideMark/>
                </w:tcPr>
                <w:p w14:paraId="736AA8F4" w14:textId="7B7BDDE7"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IL-16</w:t>
                  </w:r>
                </w:p>
              </w:tc>
              <w:tc>
                <w:tcPr>
                  <w:tcW w:w="7817" w:type="dxa"/>
                  <w:tcBorders>
                    <w:top w:val="nil"/>
                    <w:left w:val="nil"/>
                    <w:bottom w:val="nil"/>
                    <w:right w:val="nil"/>
                  </w:tcBorders>
                  <w:shd w:val="clear" w:color="auto" w:fill="auto"/>
                  <w:noWrap/>
                  <w:vAlign w:val="bottom"/>
                  <w:hideMark/>
                </w:tcPr>
                <w:p w14:paraId="5DE08FA0" w14:textId="55276E6C"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16</w:t>
                  </w:r>
                </w:p>
              </w:tc>
            </w:tr>
            <w:tr w:rsidR="003C0E2F" w:rsidRPr="003C0E2F" w14:paraId="39E884A8" w14:textId="77777777" w:rsidTr="00267E91">
              <w:trPr>
                <w:trHeight w:val="280"/>
              </w:trPr>
              <w:tc>
                <w:tcPr>
                  <w:tcW w:w="1880" w:type="dxa"/>
                  <w:tcBorders>
                    <w:top w:val="nil"/>
                    <w:left w:val="nil"/>
                    <w:bottom w:val="nil"/>
                    <w:right w:val="nil"/>
                  </w:tcBorders>
                  <w:shd w:val="clear" w:color="auto" w:fill="auto"/>
                  <w:noWrap/>
                  <w:vAlign w:val="bottom"/>
                  <w:hideMark/>
                </w:tcPr>
                <w:p w14:paraId="215725EB" w14:textId="50E34DA1"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IL-17A</w:t>
                  </w:r>
                </w:p>
              </w:tc>
              <w:tc>
                <w:tcPr>
                  <w:tcW w:w="7817" w:type="dxa"/>
                  <w:tcBorders>
                    <w:top w:val="nil"/>
                    <w:left w:val="nil"/>
                    <w:bottom w:val="nil"/>
                    <w:right w:val="nil"/>
                  </w:tcBorders>
                  <w:shd w:val="clear" w:color="auto" w:fill="auto"/>
                  <w:noWrap/>
                  <w:vAlign w:val="bottom"/>
                  <w:hideMark/>
                </w:tcPr>
                <w:p w14:paraId="27566EE1" w14:textId="3C92710E"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17</w:t>
                  </w:r>
                </w:p>
              </w:tc>
            </w:tr>
            <w:tr w:rsidR="003C0E2F" w:rsidRPr="003C0E2F" w14:paraId="4FFF4995" w14:textId="77777777" w:rsidTr="00267E91">
              <w:trPr>
                <w:trHeight w:val="280"/>
              </w:trPr>
              <w:tc>
                <w:tcPr>
                  <w:tcW w:w="1880" w:type="dxa"/>
                  <w:tcBorders>
                    <w:top w:val="nil"/>
                    <w:left w:val="nil"/>
                    <w:bottom w:val="nil"/>
                    <w:right w:val="nil"/>
                  </w:tcBorders>
                  <w:shd w:val="clear" w:color="auto" w:fill="auto"/>
                  <w:noWrap/>
                  <w:vAlign w:val="bottom"/>
                  <w:hideMark/>
                </w:tcPr>
                <w:p w14:paraId="2835EF7C" w14:textId="22B59B7D"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IL-1R</w:t>
                  </w:r>
                </w:p>
              </w:tc>
              <w:tc>
                <w:tcPr>
                  <w:tcW w:w="7817" w:type="dxa"/>
                  <w:tcBorders>
                    <w:top w:val="nil"/>
                    <w:left w:val="nil"/>
                    <w:bottom w:val="nil"/>
                    <w:right w:val="nil"/>
                  </w:tcBorders>
                  <w:shd w:val="clear" w:color="auto" w:fill="auto"/>
                  <w:noWrap/>
                  <w:vAlign w:val="bottom"/>
                  <w:hideMark/>
                </w:tcPr>
                <w:p w14:paraId="38312258" w14:textId="1A5ACEF9"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1 receptor</w:t>
                  </w:r>
                </w:p>
              </w:tc>
            </w:tr>
            <w:tr w:rsidR="003C0E2F" w:rsidRPr="003C0E2F" w14:paraId="616B3FAC" w14:textId="77777777" w:rsidTr="00267E91">
              <w:trPr>
                <w:trHeight w:val="280"/>
              </w:trPr>
              <w:tc>
                <w:tcPr>
                  <w:tcW w:w="1880" w:type="dxa"/>
                  <w:tcBorders>
                    <w:top w:val="nil"/>
                    <w:left w:val="nil"/>
                    <w:bottom w:val="nil"/>
                    <w:right w:val="nil"/>
                  </w:tcBorders>
                  <w:shd w:val="clear" w:color="auto" w:fill="auto"/>
                  <w:noWrap/>
                  <w:vAlign w:val="bottom"/>
                  <w:hideMark/>
                </w:tcPr>
                <w:p w14:paraId="0FB6BB23" w14:textId="59687261"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IL-1α</w:t>
                  </w:r>
                </w:p>
              </w:tc>
              <w:tc>
                <w:tcPr>
                  <w:tcW w:w="7817" w:type="dxa"/>
                  <w:tcBorders>
                    <w:top w:val="nil"/>
                    <w:left w:val="nil"/>
                    <w:bottom w:val="nil"/>
                    <w:right w:val="nil"/>
                  </w:tcBorders>
                  <w:shd w:val="clear" w:color="auto" w:fill="auto"/>
                  <w:noWrap/>
                  <w:vAlign w:val="bottom"/>
                  <w:hideMark/>
                </w:tcPr>
                <w:p w14:paraId="7035F7AB" w14:textId="62C91F76"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1 alpha</w:t>
                  </w:r>
                </w:p>
              </w:tc>
            </w:tr>
            <w:tr w:rsidR="003C0E2F" w:rsidRPr="003C0E2F" w14:paraId="6195152E" w14:textId="77777777" w:rsidTr="00267E91">
              <w:trPr>
                <w:trHeight w:val="280"/>
              </w:trPr>
              <w:tc>
                <w:tcPr>
                  <w:tcW w:w="1880" w:type="dxa"/>
                  <w:tcBorders>
                    <w:top w:val="nil"/>
                    <w:left w:val="nil"/>
                    <w:bottom w:val="nil"/>
                    <w:right w:val="nil"/>
                  </w:tcBorders>
                  <w:shd w:val="clear" w:color="auto" w:fill="auto"/>
                  <w:noWrap/>
                  <w:vAlign w:val="bottom"/>
                  <w:hideMark/>
                </w:tcPr>
                <w:p w14:paraId="6A76A0B1" w14:textId="2BE23D6B"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lastRenderedPageBreak/>
                    <w:t>IL-1β</w:t>
                  </w:r>
                </w:p>
              </w:tc>
              <w:tc>
                <w:tcPr>
                  <w:tcW w:w="7817" w:type="dxa"/>
                  <w:tcBorders>
                    <w:top w:val="nil"/>
                    <w:left w:val="nil"/>
                    <w:bottom w:val="nil"/>
                    <w:right w:val="nil"/>
                  </w:tcBorders>
                  <w:shd w:val="clear" w:color="auto" w:fill="auto"/>
                  <w:noWrap/>
                  <w:vAlign w:val="bottom"/>
                  <w:hideMark/>
                </w:tcPr>
                <w:p w14:paraId="63FFA620" w14:textId="383FABF1"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1 beta</w:t>
                  </w:r>
                </w:p>
              </w:tc>
            </w:tr>
            <w:tr w:rsidR="003C0E2F" w:rsidRPr="003C0E2F" w14:paraId="2784F02C" w14:textId="77777777" w:rsidTr="00267E91">
              <w:trPr>
                <w:trHeight w:val="280"/>
              </w:trPr>
              <w:tc>
                <w:tcPr>
                  <w:tcW w:w="1880" w:type="dxa"/>
                  <w:tcBorders>
                    <w:top w:val="nil"/>
                    <w:left w:val="nil"/>
                    <w:bottom w:val="nil"/>
                    <w:right w:val="nil"/>
                  </w:tcBorders>
                  <w:shd w:val="clear" w:color="auto" w:fill="auto"/>
                  <w:noWrap/>
                  <w:vAlign w:val="bottom"/>
                  <w:hideMark/>
                </w:tcPr>
                <w:p w14:paraId="2F5A73B5" w14:textId="0197E2D2"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IL-2</w:t>
                  </w:r>
                </w:p>
              </w:tc>
              <w:tc>
                <w:tcPr>
                  <w:tcW w:w="7817" w:type="dxa"/>
                  <w:tcBorders>
                    <w:top w:val="nil"/>
                    <w:left w:val="nil"/>
                    <w:bottom w:val="nil"/>
                    <w:right w:val="nil"/>
                  </w:tcBorders>
                  <w:shd w:val="clear" w:color="auto" w:fill="auto"/>
                  <w:noWrap/>
                  <w:vAlign w:val="bottom"/>
                  <w:hideMark/>
                </w:tcPr>
                <w:p w14:paraId="3C15B31B" w14:textId="0AC8E9D3"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2</w:t>
                  </w:r>
                </w:p>
              </w:tc>
            </w:tr>
            <w:tr w:rsidR="003C0E2F" w:rsidRPr="003C0E2F" w14:paraId="647C445F" w14:textId="77777777" w:rsidTr="00267E91">
              <w:trPr>
                <w:trHeight w:val="280"/>
              </w:trPr>
              <w:tc>
                <w:tcPr>
                  <w:tcW w:w="1880" w:type="dxa"/>
                  <w:tcBorders>
                    <w:top w:val="nil"/>
                    <w:left w:val="nil"/>
                    <w:bottom w:val="nil"/>
                    <w:right w:val="nil"/>
                  </w:tcBorders>
                  <w:shd w:val="clear" w:color="auto" w:fill="auto"/>
                  <w:noWrap/>
                  <w:vAlign w:val="bottom"/>
                  <w:hideMark/>
                </w:tcPr>
                <w:p w14:paraId="31FE87E6" w14:textId="32DECA5B"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IL-6R</w:t>
                  </w:r>
                </w:p>
              </w:tc>
              <w:tc>
                <w:tcPr>
                  <w:tcW w:w="7817" w:type="dxa"/>
                  <w:tcBorders>
                    <w:top w:val="nil"/>
                    <w:left w:val="nil"/>
                    <w:bottom w:val="nil"/>
                    <w:right w:val="nil"/>
                  </w:tcBorders>
                  <w:shd w:val="clear" w:color="auto" w:fill="auto"/>
                  <w:noWrap/>
                  <w:vAlign w:val="bottom"/>
                  <w:hideMark/>
                </w:tcPr>
                <w:p w14:paraId="0CB05A13" w14:textId="04FA0715"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6 receptor</w:t>
                  </w:r>
                </w:p>
              </w:tc>
            </w:tr>
            <w:tr w:rsidR="003C0E2F" w:rsidRPr="003C0E2F" w14:paraId="5B224BB7" w14:textId="77777777" w:rsidTr="00267E91">
              <w:trPr>
                <w:trHeight w:val="280"/>
              </w:trPr>
              <w:tc>
                <w:tcPr>
                  <w:tcW w:w="1880" w:type="dxa"/>
                  <w:tcBorders>
                    <w:top w:val="nil"/>
                    <w:left w:val="nil"/>
                    <w:bottom w:val="nil"/>
                    <w:right w:val="nil"/>
                  </w:tcBorders>
                  <w:shd w:val="clear" w:color="auto" w:fill="auto"/>
                  <w:noWrap/>
                  <w:vAlign w:val="bottom"/>
                  <w:hideMark/>
                </w:tcPr>
                <w:p w14:paraId="0E57D691" w14:textId="03C802DF"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IL-8</w:t>
                  </w:r>
                </w:p>
              </w:tc>
              <w:tc>
                <w:tcPr>
                  <w:tcW w:w="7817" w:type="dxa"/>
                  <w:tcBorders>
                    <w:top w:val="nil"/>
                    <w:left w:val="nil"/>
                    <w:bottom w:val="nil"/>
                    <w:right w:val="nil"/>
                  </w:tcBorders>
                  <w:shd w:val="clear" w:color="auto" w:fill="auto"/>
                  <w:noWrap/>
                  <w:vAlign w:val="bottom"/>
                  <w:hideMark/>
                </w:tcPr>
                <w:p w14:paraId="5ACF3B49" w14:textId="71FAAF0A"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 8</w:t>
                  </w:r>
                </w:p>
              </w:tc>
            </w:tr>
            <w:tr w:rsidR="003C0E2F" w:rsidRPr="003C0E2F" w14:paraId="1984FC14" w14:textId="77777777" w:rsidTr="00267E91">
              <w:trPr>
                <w:trHeight w:val="280"/>
              </w:trPr>
              <w:tc>
                <w:tcPr>
                  <w:tcW w:w="1880" w:type="dxa"/>
                  <w:tcBorders>
                    <w:top w:val="nil"/>
                    <w:left w:val="nil"/>
                    <w:bottom w:val="nil"/>
                    <w:right w:val="nil"/>
                  </w:tcBorders>
                  <w:shd w:val="clear" w:color="auto" w:fill="auto"/>
                  <w:noWrap/>
                  <w:vAlign w:val="bottom"/>
                  <w:hideMark/>
                </w:tcPr>
                <w:p w14:paraId="4DBF9069" w14:textId="340FFE6E"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IP10</w:t>
                  </w:r>
                </w:p>
              </w:tc>
              <w:tc>
                <w:tcPr>
                  <w:tcW w:w="7817" w:type="dxa"/>
                  <w:tcBorders>
                    <w:top w:val="nil"/>
                    <w:left w:val="nil"/>
                    <w:bottom w:val="nil"/>
                    <w:right w:val="nil"/>
                  </w:tcBorders>
                  <w:shd w:val="clear" w:color="auto" w:fill="auto"/>
                  <w:noWrap/>
                  <w:vAlign w:val="bottom"/>
                  <w:hideMark/>
                </w:tcPr>
                <w:p w14:paraId="4913D952" w14:textId="7ECE0CEE"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Interferon gamma induced protein 10</w:t>
                  </w:r>
                </w:p>
              </w:tc>
            </w:tr>
            <w:tr w:rsidR="003C0E2F" w:rsidRPr="003C0E2F" w14:paraId="486D4812" w14:textId="77777777" w:rsidTr="00267E91">
              <w:trPr>
                <w:trHeight w:val="280"/>
              </w:trPr>
              <w:tc>
                <w:tcPr>
                  <w:tcW w:w="1880" w:type="dxa"/>
                  <w:tcBorders>
                    <w:top w:val="nil"/>
                    <w:left w:val="nil"/>
                    <w:bottom w:val="nil"/>
                    <w:right w:val="nil"/>
                  </w:tcBorders>
                  <w:shd w:val="clear" w:color="auto" w:fill="auto"/>
                  <w:noWrap/>
                  <w:vAlign w:val="bottom"/>
                  <w:hideMark/>
                </w:tcPr>
                <w:p w14:paraId="1DC74437" w14:textId="54637F94"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IRAK1</w:t>
                  </w:r>
                </w:p>
              </w:tc>
              <w:tc>
                <w:tcPr>
                  <w:tcW w:w="7817" w:type="dxa"/>
                  <w:tcBorders>
                    <w:top w:val="nil"/>
                    <w:left w:val="nil"/>
                    <w:bottom w:val="nil"/>
                    <w:right w:val="nil"/>
                  </w:tcBorders>
                  <w:shd w:val="clear" w:color="auto" w:fill="auto"/>
                  <w:noWrap/>
                  <w:vAlign w:val="bottom"/>
                  <w:hideMark/>
                </w:tcPr>
                <w:p w14:paraId="0090A742" w14:textId="25AEC11B"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Interleukin-1 receptor-associated kinase 1</w:t>
                  </w:r>
                </w:p>
              </w:tc>
            </w:tr>
            <w:tr w:rsidR="003C0E2F" w:rsidRPr="003C0E2F" w14:paraId="4AE97349" w14:textId="77777777" w:rsidTr="00267E91">
              <w:trPr>
                <w:trHeight w:val="280"/>
              </w:trPr>
              <w:tc>
                <w:tcPr>
                  <w:tcW w:w="1880" w:type="dxa"/>
                  <w:tcBorders>
                    <w:top w:val="nil"/>
                    <w:left w:val="nil"/>
                    <w:bottom w:val="nil"/>
                    <w:right w:val="nil"/>
                  </w:tcBorders>
                  <w:shd w:val="clear" w:color="auto" w:fill="auto"/>
                  <w:noWrap/>
                  <w:vAlign w:val="bottom"/>
                  <w:hideMark/>
                </w:tcPr>
                <w:p w14:paraId="2372C41E" w14:textId="0A52DEFE"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IRAK4</w:t>
                  </w:r>
                </w:p>
              </w:tc>
              <w:tc>
                <w:tcPr>
                  <w:tcW w:w="7817" w:type="dxa"/>
                  <w:tcBorders>
                    <w:top w:val="nil"/>
                    <w:left w:val="nil"/>
                    <w:bottom w:val="nil"/>
                    <w:right w:val="nil"/>
                  </w:tcBorders>
                  <w:shd w:val="clear" w:color="auto" w:fill="auto"/>
                  <w:noWrap/>
                  <w:vAlign w:val="bottom"/>
                  <w:hideMark/>
                </w:tcPr>
                <w:p w14:paraId="04DA6F38" w14:textId="6F3DEB08"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Interleukin-1 receptor-associated kinase 4</w:t>
                  </w:r>
                </w:p>
              </w:tc>
            </w:tr>
            <w:tr w:rsidR="003C0E2F" w:rsidRPr="003C0E2F" w14:paraId="7FF5C8C3" w14:textId="77777777" w:rsidTr="00267E91">
              <w:trPr>
                <w:trHeight w:val="280"/>
              </w:trPr>
              <w:tc>
                <w:tcPr>
                  <w:tcW w:w="1880" w:type="dxa"/>
                  <w:tcBorders>
                    <w:top w:val="nil"/>
                    <w:left w:val="nil"/>
                    <w:bottom w:val="nil"/>
                    <w:right w:val="nil"/>
                  </w:tcBorders>
                  <w:shd w:val="clear" w:color="auto" w:fill="auto"/>
                  <w:noWrap/>
                  <w:vAlign w:val="bottom"/>
                  <w:hideMark/>
                </w:tcPr>
                <w:p w14:paraId="78F89D58" w14:textId="6EA2E56F"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IRF-3</w:t>
                  </w:r>
                </w:p>
              </w:tc>
              <w:tc>
                <w:tcPr>
                  <w:tcW w:w="7817" w:type="dxa"/>
                  <w:tcBorders>
                    <w:top w:val="nil"/>
                    <w:left w:val="nil"/>
                    <w:bottom w:val="nil"/>
                    <w:right w:val="nil"/>
                  </w:tcBorders>
                  <w:shd w:val="clear" w:color="auto" w:fill="auto"/>
                  <w:noWrap/>
                  <w:vAlign w:val="bottom"/>
                  <w:hideMark/>
                </w:tcPr>
                <w:p w14:paraId="74B93366" w14:textId="56F0537A"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Interferon regulatory factor 3</w:t>
                  </w:r>
                </w:p>
              </w:tc>
            </w:tr>
            <w:tr w:rsidR="003C0E2F" w:rsidRPr="003C0E2F" w14:paraId="438DD260" w14:textId="77777777" w:rsidTr="00267E91">
              <w:trPr>
                <w:trHeight w:val="280"/>
              </w:trPr>
              <w:tc>
                <w:tcPr>
                  <w:tcW w:w="1880" w:type="dxa"/>
                  <w:tcBorders>
                    <w:top w:val="nil"/>
                    <w:left w:val="nil"/>
                    <w:bottom w:val="nil"/>
                    <w:right w:val="nil"/>
                  </w:tcBorders>
                  <w:shd w:val="clear" w:color="auto" w:fill="auto"/>
                  <w:noWrap/>
                  <w:vAlign w:val="bottom"/>
                  <w:hideMark/>
                </w:tcPr>
                <w:p w14:paraId="1323D2A9" w14:textId="31947980"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I-TAC</w:t>
                  </w:r>
                </w:p>
              </w:tc>
              <w:tc>
                <w:tcPr>
                  <w:tcW w:w="7817" w:type="dxa"/>
                  <w:tcBorders>
                    <w:top w:val="nil"/>
                    <w:left w:val="nil"/>
                    <w:bottom w:val="nil"/>
                    <w:right w:val="nil"/>
                  </w:tcBorders>
                  <w:shd w:val="clear" w:color="auto" w:fill="auto"/>
                  <w:noWrap/>
                  <w:vAlign w:val="bottom"/>
                  <w:hideMark/>
                </w:tcPr>
                <w:p w14:paraId="60554D92" w14:textId="04A1B4A6"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Interferon-inducible T-cell alpha chemoattractant</w:t>
                  </w:r>
                </w:p>
              </w:tc>
            </w:tr>
            <w:tr w:rsidR="003C0E2F" w:rsidRPr="003C0E2F" w14:paraId="69400985" w14:textId="77777777" w:rsidTr="00267E91">
              <w:trPr>
                <w:trHeight w:val="280"/>
              </w:trPr>
              <w:tc>
                <w:tcPr>
                  <w:tcW w:w="1880" w:type="dxa"/>
                  <w:tcBorders>
                    <w:top w:val="nil"/>
                    <w:left w:val="nil"/>
                    <w:bottom w:val="nil"/>
                    <w:right w:val="nil"/>
                  </w:tcBorders>
                  <w:shd w:val="clear" w:color="auto" w:fill="auto"/>
                  <w:noWrap/>
                  <w:vAlign w:val="bottom"/>
                  <w:hideMark/>
                </w:tcPr>
                <w:p w14:paraId="32CC7BC7" w14:textId="5D6EFA77"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JNK</w:t>
                  </w:r>
                </w:p>
              </w:tc>
              <w:tc>
                <w:tcPr>
                  <w:tcW w:w="7817" w:type="dxa"/>
                  <w:tcBorders>
                    <w:top w:val="nil"/>
                    <w:left w:val="nil"/>
                    <w:bottom w:val="nil"/>
                    <w:right w:val="nil"/>
                  </w:tcBorders>
                  <w:shd w:val="clear" w:color="auto" w:fill="auto"/>
                  <w:noWrap/>
                  <w:vAlign w:val="bottom"/>
                  <w:hideMark/>
                </w:tcPr>
                <w:p w14:paraId="69B53F08" w14:textId="53AFA38A"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c-Jun N-terminal kinase</w:t>
                  </w:r>
                </w:p>
              </w:tc>
            </w:tr>
            <w:tr w:rsidR="003C0E2F" w:rsidRPr="003C0E2F" w14:paraId="54B2E815" w14:textId="77777777" w:rsidTr="00267E91">
              <w:trPr>
                <w:trHeight w:val="280"/>
              </w:trPr>
              <w:tc>
                <w:tcPr>
                  <w:tcW w:w="1880" w:type="dxa"/>
                  <w:tcBorders>
                    <w:top w:val="nil"/>
                    <w:left w:val="nil"/>
                    <w:bottom w:val="nil"/>
                    <w:right w:val="nil"/>
                  </w:tcBorders>
                  <w:shd w:val="clear" w:color="auto" w:fill="auto"/>
                  <w:noWrap/>
                  <w:vAlign w:val="bottom"/>
                  <w:hideMark/>
                </w:tcPr>
                <w:p w14:paraId="58BA1792" w14:textId="6D352D4D"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KC</w:t>
                  </w:r>
                </w:p>
              </w:tc>
              <w:tc>
                <w:tcPr>
                  <w:tcW w:w="7817" w:type="dxa"/>
                  <w:tcBorders>
                    <w:top w:val="nil"/>
                    <w:left w:val="nil"/>
                    <w:bottom w:val="nil"/>
                    <w:right w:val="nil"/>
                  </w:tcBorders>
                  <w:shd w:val="clear" w:color="auto" w:fill="auto"/>
                  <w:noWrap/>
                  <w:vAlign w:val="bottom"/>
                  <w:hideMark/>
                </w:tcPr>
                <w:p w14:paraId="76271739" w14:textId="2756F66E"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Keratinocyte chemoattractant </w:t>
                  </w:r>
                </w:p>
              </w:tc>
            </w:tr>
            <w:tr w:rsidR="003C0E2F" w:rsidRPr="003C0E2F" w14:paraId="0BF9D72F" w14:textId="77777777" w:rsidTr="00267E91">
              <w:trPr>
                <w:trHeight w:val="280"/>
              </w:trPr>
              <w:tc>
                <w:tcPr>
                  <w:tcW w:w="1880" w:type="dxa"/>
                  <w:tcBorders>
                    <w:top w:val="nil"/>
                    <w:left w:val="nil"/>
                    <w:bottom w:val="nil"/>
                    <w:right w:val="nil"/>
                  </w:tcBorders>
                  <w:shd w:val="clear" w:color="auto" w:fill="auto"/>
                  <w:noWrap/>
                  <w:vAlign w:val="bottom"/>
                  <w:hideMark/>
                </w:tcPr>
                <w:p w14:paraId="6E7E4990" w14:textId="6D629328"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KO</w:t>
                  </w:r>
                </w:p>
              </w:tc>
              <w:tc>
                <w:tcPr>
                  <w:tcW w:w="7817" w:type="dxa"/>
                  <w:tcBorders>
                    <w:top w:val="nil"/>
                    <w:left w:val="nil"/>
                    <w:bottom w:val="nil"/>
                    <w:right w:val="nil"/>
                  </w:tcBorders>
                  <w:shd w:val="clear" w:color="auto" w:fill="auto"/>
                  <w:noWrap/>
                  <w:vAlign w:val="bottom"/>
                  <w:hideMark/>
                </w:tcPr>
                <w:p w14:paraId="7DD914A4" w14:textId="1451816E"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Knockout</w:t>
                  </w:r>
                </w:p>
              </w:tc>
            </w:tr>
            <w:tr w:rsidR="003C0E2F" w:rsidRPr="003C0E2F" w14:paraId="505E9AC6" w14:textId="77777777" w:rsidTr="00267E91">
              <w:trPr>
                <w:trHeight w:val="280"/>
              </w:trPr>
              <w:tc>
                <w:tcPr>
                  <w:tcW w:w="1880" w:type="dxa"/>
                  <w:tcBorders>
                    <w:top w:val="nil"/>
                    <w:left w:val="nil"/>
                    <w:bottom w:val="nil"/>
                    <w:right w:val="nil"/>
                  </w:tcBorders>
                  <w:shd w:val="clear" w:color="auto" w:fill="auto"/>
                  <w:noWrap/>
                  <w:vAlign w:val="bottom"/>
                  <w:hideMark/>
                </w:tcPr>
                <w:p w14:paraId="0AC0E671" w14:textId="29BBED0D"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LBP</w:t>
                  </w:r>
                </w:p>
              </w:tc>
              <w:tc>
                <w:tcPr>
                  <w:tcW w:w="7817" w:type="dxa"/>
                  <w:tcBorders>
                    <w:top w:val="nil"/>
                    <w:left w:val="nil"/>
                    <w:bottom w:val="nil"/>
                    <w:right w:val="nil"/>
                  </w:tcBorders>
                  <w:shd w:val="clear" w:color="auto" w:fill="auto"/>
                  <w:noWrap/>
                  <w:vAlign w:val="bottom"/>
                  <w:hideMark/>
                </w:tcPr>
                <w:p w14:paraId="255531A7" w14:textId="73068862"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Lipopolysaccharide binding protein</w:t>
                  </w:r>
                </w:p>
              </w:tc>
            </w:tr>
            <w:tr w:rsidR="003C0E2F" w:rsidRPr="003C0E2F" w14:paraId="4133DC73" w14:textId="77777777" w:rsidTr="00267E91">
              <w:trPr>
                <w:trHeight w:val="280"/>
              </w:trPr>
              <w:tc>
                <w:tcPr>
                  <w:tcW w:w="1880" w:type="dxa"/>
                  <w:tcBorders>
                    <w:top w:val="nil"/>
                    <w:left w:val="nil"/>
                    <w:bottom w:val="nil"/>
                    <w:right w:val="nil"/>
                  </w:tcBorders>
                  <w:shd w:val="clear" w:color="auto" w:fill="auto"/>
                  <w:noWrap/>
                  <w:vAlign w:val="bottom"/>
                  <w:hideMark/>
                </w:tcPr>
                <w:p w14:paraId="5864863B" w14:textId="2ADF8A08"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LDL</w:t>
                  </w:r>
                </w:p>
              </w:tc>
              <w:tc>
                <w:tcPr>
                  <w:tcW w:w="7817" w:type="dxa"/>
                  <w:tcBorders>
                    <w:top w:val="nil"/>
                    <w:left w:val="nil"/>
                    <w:bottom w:val="nil"/>
                    <w:right w:val="nil"/>
                  </w:tcBorders>
                  <w:shd w:val="clear" w:color="auto" w:fill="auto"/>
                  <w:noWrap/>
                  <w:vAlign w:val="bottom"/>
                  <w:hideMark/>
                </w:tcPr>
                <w:p w14:paraId="237E5948" w14:textId="2CC1CEF3"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Low-density lipoprotein</w:t>
                  </w:r>
                </w:p>
              </w:tc>
            </w:tr>
            <w:tr w:rsidR="003C0E2F" w:rsidRPr="003C0E2F" w14:paraId="7C51F353" w14:textId="77777777" w:rsidTr="00267E91">
              <w:trPr>
                <w:trHeight w:val="280"/>
              </w:trPr>
              <w:tc>
                <w:tcPr>
                  <w:tcW w:w="1880" w:type="dxa"/>
                  <w:tcBorders>
                    <w:top w:val="nil"/>
                    <w:left w:val="nil"/>
                    <w:bottom w:val="nil"/>
                    <w:right w:val="nil"/>
                  </w:tcBorders>
                  <w:shd w:val="clear" w:color="auto" w:fill="auto"/>
                  <w:noWrap/>
                  <w:vAlign w:val="bottom"/>
                  <w:hideMark/>
                </w:tcPr>
                <w:p w14:paraId="7D9CF194" w14:textId="34AC40F6"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LIX</w:t>
                  </w:r>
                </w:p>
              </w:tc>
              <w:tc>
                <w:tcPr>
                  <w:tcW w:w="7817" w:type="dxa"/>
                  <w:tcBorders>
                    <w:top w:val="nil"/>
                    <w:left w:val="nil"/>
                    <w:bottom w:val="nil"/>
                    <w:right w:val="nil"/>
                  </w:tcBorders>
                  <w:shd w:val="clear" w:color="auto" w:fill="auto"/>
                  <w:noWrap/>
                  <w:vAlign w:val="bottom"/>
                  <w:hideMark/>
                </w:tcPr>
                <w:p w14:paraId="08ECB7C0" w14:textId="25228E8A"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C-X-C motif chemokine 5</w:t>
                  </w:r>
                </w:p>
              </w:tc>
            </w:tr>
            <w:tr w:rsidR="003C0E2F" w:rsidRPr="003C0E2F" w14:paraId="26D44E1E" w14:textId="77777777" w:rsidTr="00267E91">
              <w:trPr>
                <w:trHeight w:val="280"/>
              </w:trPr>
              <w:tc>
                <w:tcPr>
                  <w:tcW w:w="1880" w:type="dxa"/>
                  <w:tcBorders>
                    <w:top w:val="nil"/>
                    <w:left w:val="nil"/>
                    <w:bottom w:val="nil"/>
                    <w:right w:val="nil"/>
                  </w:tcBorders>
                  <w:shd w:val="clear" w:color="auto" w:fill="auto"/>
                  <w:noWrap/>
                  <w:vAlign w:val="bottom"/>
                  <w:hideMark/>
                </w:tcPr>
                <w:p w14:paraId="6EF0A84B" w14:textId="08CFBFC5"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LPS</w:t>
                  </w:r>
                </w:p>
              </w:tc>
              <w:tc>
                <w:tcPr>
                  <w:tcW w:w="7817" w:type="dxa"/>
                  <w:tcBorders>
                    <w:top w:val="nil"/>
                    <w:left w:val="nil"/>
                    <w:bottom w:val="nil"/>
                    <w:right w:val="nil"/>
                  </w:tcBorders>
                  <w:shd w:val="clear" w:color="auto" w:fill="auto"/>
                  <w:noWrap/>
                  <w:vAlign w:val="bottom"/>
                  <w:hideMark/>
                </w:tcPr>
                <w:p w14:paraId="217529E1" w14:textId="084ED6F1"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Lipopolysaccharide</w:t>
                  </w:r>
                </w:p>
              </w:tc>
            </w:tr>
            <w:tr w:rsidR="003C0E2F" w:rsidRPr="003C0E2F" w14:paraId="4BF9FEFF" w14:textId="77777777" w:rsidTr="00267E91">
              <w:trPr>
                <w:trHeight w:val="280"/>
              </w:trPr>
              <w:tc>
                <w:tcPr>
                  <w:tcW w:w="1880" w:type="dxa"/>
                  <w:tcBorders>
                    <w:top w:val="nil"/>
                    <w:left w:val="nil"/>
                    <w:bottom w:val="nil"/>
                    <w:right w:val="nil"/>
                  </w:tcBorders>
                  <w:shd w:val="clear" w:color="auto" w:fill="auto"/>
                  <w:noWrap/>
                  <w:vAlign w:val="bottom"/>
                  <w:hideMark/>
                </w:tcPr>
                <w:p w14:paraId="39C5A346" w14:textId="1EAB319B"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LRR</w:t>
                  </w:r>
                </w:p>
              </w:tc>
              <w:tc>
                <w:tcPr>
                  <w:tcW w:w="7817" w:type="dxa"/>
                  <w:tcBorders>
                    <w:top w:val="nil"/>
                    <w:left w:val="nil"/>
                    <w:bottom w:val="nil"/>
                    <w:right w:val="nil"/>
                  </w:tcBorders>
                  <w:shd w:val="clear" w:color="auto" w:fill="auto"/>
                  <w:noWrap/>
                  <w:vAlign w:val="bottom"/>
                  <w:hideMark/>
                </w:tcPr>
                <w:p w14:paraId="6E158E1E" w14:textId="54C58E21"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Leucine rich repeat</w:t>
                  </w:r>
                </w:p>
              </w:tc>
            </w:tr>
            <w:tr w:rsidR="003C0E2F" w:rsidRPr="003C0E2F" w14:paraId="0209894C" w14:textId="77777777" w:rsidTr="00267E91">
              <w:trPr>
                <w:trHeight w:val="280"/>
              </w:trPr>
              <w:tc>
                <w:tcPr>
                  <w:tcW w:w="1880" w:type="dxa"/>
                  <w:tcBorders>
                    <w:top w:val="nil"/>
                    <w:left w:val="nil"/>
                    <w:bottom w:val="nil"/>
                    <w:right w:val="nil"/>
                  </w:tcBorders>
                  <w:shd w:val="clear" w:color="auto" w:fill="auto"/>
                  <w:noWrap/>
                  <w:vAlign w:val="bottom"/>
                  <w:hideMark/>
                </w:tcPr>
                <w:p w14:paraId="50B85E45" w14:textId="6F30B9C3"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M1</w:t>
                  </w:r>
                </w:p>
              </w:tc>
              <w:tc>
                <w:tcPr>
                  <w:tcW w:w="7817" w:type="dxa"/>
                  <w:tcBorders>
                    <w:top w:val="nil"/>
                    <w:left w:val="nil"/>
                    <w:bottom w:val="nil"/>
                    <w:right w:val="nil"/>
                  </w:tcBorders>
                  <w:shd w:val="clear" w:color="auto" w:fill="auto"/>
                  <w:noWrap/>
                  <w:vAlign w:val="bottom"/>
                  <w:hideMark/>
                </w:tcPr>
                <w:p w14:paraId="4C054A8B" w14:textId="0AE80B5D"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Classically activated macrophage</w:t>
                  </w:r>
                </w:p>
              </w:tc>
            </w:tr>
            <w:tr w:rsidR="003C0E2F" w:rsidRPr="003C0E2F" w14:paraId="21FCE13A" w14:textId="77777777" w:rsidTr="00267E91">
              <w:trPr>
                <w:trHeight w:val="280"/>
              </w:trPr>
              <w:tc>
                <w:tcPr>
                  <w:tcW w:w="1880" w:type="dxa"/>
                  <w:tcBorders>
                    <w:top w:val="nil"/>
                    <w:left w:val="nil"/>
                    <w:bottom w:val="nil"/>
                    <w:right w:val="nil"/>
                  </w:tcBorders>
                  <w:shd w:val="clear" w:color="auto" w:fill="auto"/>
                  <w:noWrap/>
                  <w:vAlign w:val="bottom"/>
                  <w:hideMark/>
                </w:tcPr>
                <w:p w14:paraId="42E4D112" w14:textId="7F0EC172"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M2</w:t>
                  </w:r>
                </w:p>
              </w:tc>
              <w:tc>
                <w:tcPr>
                  <w:tcW w:w="7817" w:type="dxa"/>
                  <w:tcBorders>
                    <w:top w:val="nil"/>
                    <w:left w:val="nil"/>
                    <w:bottom w:val="nil"/>
                    <w:right w:val="nil"/>
                  </w:tcBorders>
                  <w:shd w:val="clear" w:color="auto" w:fill="auto"/>
                  <w:noWrap/>
                  <w:vAlign w:val="bottom"/>
                  <w:hideMark/>
                </w:tcPr>
                <w:p w14:paraId="5F357CAD" w14:textId="11BBA63B"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Alternately activated macrophage</w:t>
                  </w:r>
                </w:p>
              </w:tc>
            </w:tr>
            <w:tr w:rsidR="003C0E2F" w:rsidRPr="003C0E2F" w14:paraId="6B9BA072" w14:textId="77777777" w:rsidTr="00267E91">
              <w:trPr>
                <w:trHeight w:val="280"/>
              </w:trPr>
              <w:tc>
                <w:tcPr>
                  <w:tcW w:w="1880" w:type="dxa"/>
                  <w:tcBorders>
                    <w:top w:val="nil"/>
                    <w:left w:val="nil"/>
                    <w:bottom w:val="nil"/>
                    <w:right w:val="nil"/>
                  </w:tcBorders>
                  <w:shd w:val="clear" w:color="auto" w:fill="auto"/>
                  <w:noWrap/>
                  <w:vAlign w:val="bottom"/>
                  <w:hideMark/>
                </w:tcPr>
                <w:p w14:paraId="7D592284" w14:textId="744B3559" w:rsidR="001A2988" w:rsidRPr="003C0E2F" w:rsidRDefault="001A2988" w:rsidP="003735FB">
                  <w:pPr>
                    <w:spacing w:after="0" w:line="240" w:lineRule="auto"/>
                    <w:rPr>
                      <w:rFonts w:ascii="Calibri" w:eastAsia="Times New Roman" w:hAnsi="Calibri" w:cs="Calibri"/>
                      <w:b/>
                      <w:bCs/>
                    </w:rPr>
                  </w:pPr>
                  <w:proofErr w:type="spellStart"/>
                  <w:r w:rsidRPr="003C0E2F">
                    <w:rPr>
                      <w:rFonts w:ascii="Calibri" w:eastAsia="Times New Roman" w:hAnsi="Calibri" w:cs="Calibri"/>
                      <w:b/>
                      <w:bCs/>
                    </w:rPr>
                    <w:t>mAB</w:t>
                  </w:r>
                  <w:proofErr w:type="spellEnd"/>
                </w:p>
              </w:tc>
              <w:tc>
                <w:tcPr>
                  <w:tcW w:w="7817" w:type="dxa"/>
                  <w:tcBorders>
                    <w:top w:val="nil"/>
                    <w:left w:val="nil"/>
                    <w:bottom w:val="nil"/>
                    <w:right w:val="nil"/>
                  </w:tcBorders>
                  <w:shd w:val="clear" w:color="auto" w:fill="auto"/>
                  <w:noWrap/>
                  <w:vAlign w:val="bottom"/>
                  <w:hideMark/>
                </w:tcPr>
                <w:p w14:paraId="5F8E27D9" w14:textId="3BC3FE9B"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Monoclonal antibody</w:t>
                  </w:r>
                </w:p>
              </w:tc>
            </w:tr>
            <w:tr w:rsidR="003C0E2F" w:rsidRPr="003C0E2F" w14:paraId="672E4957" w14:textId="77777777" w:rsidTr="00267E91">
              <w:trPr>
                <w:trHeight w:val="280"/>
              </w:trPr>
              <w:tc>
                <w:tcPr>
                  <w:tcW w:w="1880" w:type="dxa"/>
                  <w:tcBorders>
                    <w:top w:val="nil"/>
                    <w:left w:val="nil"/>
                    <w:bottom w:val="nil"/>
                    <w:right w:val="nil"/>
                  </w:tcBorders>
                  <w:shd w:val="clear" w:color="auto" w:fill="auto"/>
                  <w:noWrap/>
                  <w:vAlign w:val="bottom"/>
                  <w:hideMark/>
                </w:tcPr>
                <w:p w14:paraId="4C6735D7" w14:textId="70F63359"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Mal</w:t>
                  </w:r>
                </w:p>
              </w:tc>
              <w:tc>
                <w:tcPr>
                  <w:tcW w:w="7817" w:type="dxa"/>
                  <w:tcBorders>
                    <w:top w:val="nil"/>
                    <w:left w:val="nil"/>
                    <w:bottom w:val="nil"/>
                    <w:right w:val="nil"/>
                  </w:tcBorders>
                  <w:shd w:val="clear" w:color="auto" w:fill="auto"/>
                  <w:noWrap/>
                  <w:vAlign w:val="bottom"/>
                  <w:hideMark/>
                </w:tcPr>
                <w:p w14:paraId="2E895FD5" w14:textId="5D494FA7"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Myelin and lymphocyte protein</w:t>
                  </w:r>
                </w:p>
              </w:tc>
            </w:tr>
            <w:tr w:rsidR="003C0E2F" w:rsidRPr="003C0E2F" w14:paraId="5A2117BC" w14:textId="77777777" w:rsidTr="00267E91">
              <w:trPr>
                <w:trHeight w:val="280"/>
              </w:trPr>
              <w:tc>
                <w:tcPr>
                  <w:tcW w:w="1880" w:type="dxa"/>
                  <w:tcBorders>
                    <w:top w:val="nil"/>
                    <w:left w:val="nil"/>
                    <w:bottom w:val="nil"/>
                    <w:right w:val="nil"/>
                  </w:tcBorders>
                  <w:shd w:val="clear" w:color="auto" w:fill="auto"/>
                  <w:noWrap/>
                  <w:vAlign w:val="bottom"/>
                  <w:hideMark/>
                </w:tcPr>
                <w:p w14:paraId="75C07C13" w14:textId="672CC693"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MAPK</w:t>
                  </w:r>
                </w:p>
              </w:tc>
              <w:tc>
                <w:tcPr>
                  <w:tcW w:w="7817" w:type="dxa"/>
                  <w:tcBorders>
                    <w:top w:val="nil"/>
                    <w:left w:val="nil"/>
                    <w:bottom w:val="nil"/>
                    <w:right w:val="nil"/>
                  </w:tcBorders>
                  <w:shd w:val="clear" w:color="auto" w:fill="auto"/>
                  <w:noWrap/>
                  <w:vAlign w:val="bottom"/>
                  <w:hideMark/>
                </w:tcPr>
                <w:p w14:paraId="7464CD33" w14:textId="73CCF205"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Mitogen activated protein kinase </w:t>
                  </w:r>
                </w:p>
              </w:tc>
            </w:tr>
            <w:tr w:rsidR="003C0E2F" w:rsidRPr="003C0E2F" w14:paraId="239B41ED" w14:textId="77777777" w:rsidTr="00267E91">
              <w:trPr>
                <w:trHeight w:val="280"/>
              </w:trPr>
              <w:tc>
                <w:tcPr>
                  <w:tcW w:w="1880" w:type="dxa"/>
                  <w:tcBorders>
                    <w:top w:val="nil"/>
                    <w:left w:val="nil"/>
                    <w:bottom w:val="nil"/>
                    <w:right w:val="nil"/>
                  </w:tcBorders>
                  <w:shd w:val="clear" w:color="auto" w:fill="auto"/>
                  <w:noWrap/>
                  <w:vAlign w:val="bottom"/>
                  <w:hideMark/>
                </w:tcPr>
                <w:p w14:paraId="42986B07" w14:textId="4325E7DF"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MCP-1</w:t>
                  </w:r>
                </w:p>
              </w:tc>
              <w:tc>
                <w:tcPr>
                  <w:tcW w:w="7817" w:type="dxa"/>
                  <w:tcBorders>
                    <w:top w:val="nil"/>
                    <w:left w:val="nil"/>
                    <w:bottom w:val="nil"/>
                    <w:right w:val="nil"/>
                  </w:tcBorders>
                  <w:shd w:val="clear" w:color="auto" w:fill="auto"/>
                  <w:noWrap/>
                  <w:vAlign w:val="bottom"/>
                  <w:hideMark/>
                </w:tcPr>
                <w:p w14:paraId="6C4EBC50" w14:textId="63F1CBEE"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Monocyte chemoattractant protein 1</w:t>
                  </w:r>
                </w:p>
              </w:tc>
            </w:tr>
            <w:tr w:rsidR="003C0E2F" w:rsidRPr="003C0E2F" w14:paraId="178E7FF3" w14:textId="77777777" w:rsidTr="00267E91">
              <w:trPr>
                <w:trHeight w:val="280"/>
              </w:trPr>
              <w:tc>
                <w:tcPr>
                  <w:tcW w:w="1880" w:type="dxa"/>
                  <w:tcBorders>
                    <w:top w:val="nil"/>
                    <w:left w:val="nil"/>
                    <w:bottom w:val="nil"/>
                    <w:right w:val="nil"/>
                  </w:tcBorders>
                  <w:shd w:val="clear" w:color="auto" w:fill="auto"/>
                  <w:noWrap/>
                  <w:vAlign w:val="bottom"/>
                  <w:hideMark/>
                </w:tcPr>
                <w:p w14:paraId="163CD420" w14:textId="21BF7EDC"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MCP-2</w:t>
                  </w:r>
                </w:p>
              </w:tc>
              <w:tc>
                <w:tcPr>
                  <w:tcW w:w="7817" w:type="dxa"/>
                  <w:tcBorders>
                    <w:top w:val="nil"/>
                    <w:left w:val="nil"/>
                    <w:bottom w:val="nil"/>
                    <w:right w:val="nil"/>
                  </w:tcBorders>
                  <w:shd w:val="clear" w:color="auto" w:fill="auto"/>
                  <w:noWrap/>
                  <w:vAlign w:val="bottom"/>
                  <w:hideMark/>
                </w:tcPr>
                <w:p w14:paraId="36A29DDA" w14:textId="26A2A321"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Monocyte chemoattractant protein 2</w:t>
                  </w:r>
                </w:p>
              </w:tc>
            </w:tr>
            <w:tr w:rsidR="003C0E2F" w:rsidRPr="003C0E2F" w14:paraId="3C4D23A8" w14:textId="77777777" w:rsidTr="00267E91">
              <w:trPr>
                <w:trHeight w:val="280"/>
              </w:trPr>
              <w:tc>
                <w:tcPr>
                  <w:tcW w:w="1880" w:type="dxa"/>
                  <w:tcBorders>
                    <w:top w:val="nil"/>
                    <w:left w:val="nil"/>
                    <w:bottom w:val="nil"/>
                    <w:right w:val="nil"/>
                  </w:tcBorders>
                  <w:shd w:val="clear" w:color="auto" w:fill="auto"/>
                  <w:noWrap/>
                  <w:vAlign w:val="bottom"/>
                  <w:hideMark/>
                </w:tcPr>
                <w:p w14:paraId="50CF5941" w14:textId="176FCBFA"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M-CSF</w:t>
                  </w:r>
                </w:p>
              </w:tc>
              <w:tc>
                <w:tcPr>
                  <w:tcW w:w="7817" w:type="dxa"/>
                  <w:tcBorders>
                    <w:top w:val="nil"/>
                    <w:left w:val="nil"/>
                    <w:bottom w:val="nil"/>
                    <w:right w:val="nil"/>
                  </w:tcBorders>
                  <w:shd w:val="clear" w:color="auto" w:fill="auto"/>
                  <w:noWrap/>
                  <w:vAlign w:val="bottom"/>
                  <w:hideMark/>
                </w:tcPr>
                <w:p w14:paraId="3D9FF37F" w14:textId="56F5CEF5"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Macrophage colony-stimulating factor 1</w:t>
                  </w:r>
                </w:p>
              </w:tc>
            </w:tr>
            <w:tr w:rsidR="003C0E2F" w:rsidRPr="003C0E2F" w14:paraId="5F961A3C" w14:textId="77777777" w:rsidTr="00267E91">
              <w:trPr>
                <w:trHeight w:val="280"/>
              </w:trPr>
              <w:tc>
                <w:tcPr>
                  <w:tcW w:w="1880" w:type="dxa"/>
                  <w:tcBorders>
                    <w:top w:val="nil"/>
                    <w:left w:val="nil"/>
                    <w:bottom w:val="nil"/>
                    <w:right w:val="nil"/>
                  </w:tcBorders>
                  <w:shd w:val="clear" w:color="auto" w:fill="auto"/>
                  <w:noWrap/>
                  <w:vAlign w:val="bottom"/>
                  <w:hideMark/>
                </w:tcPr>
                <w:p w14:paraId="765DB9AC" w14:textId="49A61E03"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MD-2</w:t>
                  </w:r>
                </w:p>
              </w:tc>
              <w:tc>
                <w:tcPr>
                  <w:tcW w:w="7817" w:type="dxa"/>
                  <w:tcBorders>
                    <w:top w:val="nil"/>
                    <w:left w:val="nil"/>
                    <w:bottom w:val="nil"/>
                    <w:right w:val="nil"/>
                  </w:tcBorders>
                  <w:shd w:val="clear" w:color="auto" w:fill="auto"/>
                  <w:noWrap/>
                  <w:vAlign w:val="bottom"/>
                  <w:hideMark/>
                </w:tcPr>
                <w:p w14:paraId="04A8ECEE" w14:textId="41314E06"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Myeloid differentiation factor 2, lymphocyte antigen 96</w:t>
                  </w:r>
                </w:p>
              </w:tc>
            </w:tr>
            <w:tr w:rsidR="003C0E2F" w:rsidRPr="003C0E2F" w14:paraId="26607E1A" w14:textId="77777777" w:rsidTr="00267E91">
              <w:trPr>
                <w:trHeight w:val="280"/>
              </w:trPr>
              <w:tc>
                <w:tcPr>
                  <w:tcW w:w="1880" w:type="dxa"/>
                  <w:tcBorders>
                    <w:top w:val="nil"/>
                    <w:left w:val="nil"/>
                    <w:bottom w:val="nil"/>
                    <w:right w:val="nil"/>
                  </w:tcBorders>
                  <w:shd w:val="clear" w:color="auto" w:fill="auto"/>
                  <w:noWrap/>
                  <w:vAlign w:val="bottom"/>
                  <w:hideMark/>
                </w:tcPr>
                <w:p w14:paraId="1C795D58" w14:textId="3F350DE1"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MDA</w:t>
                  </w:r>
                </w:p>
              </w:tc>
              <w:tc>
                <w:tcPr>
                  <w:tcW w:w="7817" w:type="dxa"/>
                  <w:tcBorders>
                    <w:top w:val="nil"/>
                    <w:left w:val="nil"/>
                    <w:bottom w:val="nil"/>
                    <w:right w:val="nil"/>
                  </w:tcBorders>
                  <w:shd w:val="clear" w:color="auto" w:fill="auto"/>
                  <w:noWrap/>
                  <w:vAlign w:val="bottom"/>
                  <w:hideMark/>
                </w:tcPr>
                <w:p w14:paraId="76FEC1DF" w14:textId="6429F20C"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Malondialdehyde</w:t>
                  </w:r>
                </w:p>
              </w:tc>
            </w:tr>
            <w:tr w:rsidR="003C0E2F" w:rsidRPr="003C0E2F" w14:paraId="1C91914E" w14:textId="77777777" w:rsidTr="00267E91">
              <w:trPr>
                <w:trHeight w:val="280"/>
              </w:trPr>
              <w:tc>
                <w:tcPr>
                  <w:tcW w:w="1880" w:type="dxa"/>
                  <w:tcBorders>
                    <w:top w:val="nil"/>
                    <w:left w:val="nil"/>
                    <w:bottom w:val="nil"/>
                    <w:right w:val="nil"/>
                  </w:tcBorders>
                  <w:shd w:val="clear" w:color="auto" w:fill="auto"/>
                  <w:noWrap/>
                  <w:vAlign w:val="bottom"/>
                  <w:hideMark/>
                </w:tcPr>
                <w:p w14:paraId="5ED2691C" w14:textId="47D4787E"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MIG</w:t>
                  </w:r>
                </w:p>
              </w:tc>
              <w:tc>
                <w:tcPr>
                  <w:tcW w:w="7817" w:type="dxa"/>
                  <w:tcBorders>
                    <w:top w:val="nil"/>
                    <w:left w:val="nil"/>
                    <w:bottom w:val="nil"/>
                    <w:right w:val="nil"/>
                  </w:tcBorders>
                  <w:shd w:val="clear" w:color="auto" w:fill="auto"/>
                  <w:noWrap/>
                  <w:vAlign w:val="bottom"/>
                  <w:hideMark/>
                </w:tcPr>
                <w:p w14:paraId="491743D1" w14:textId="738D1A16" w:rsidR="001A2988" w:rsidRPr="003C0E2F" w:rsidRDefault="001A2988" w:rsidP="003735FB">
                  <w:pPr>
                    <w:spacing w:after="0" w:line="240" w:lineRule="auto"/>
                    <w:rPr>
                      <w:rFonts w:ascii="Calibri" w:eastAsia="Times New Roman" w:hAnsi="Calibri" w:cs="Calibri"/>
                    </w:rPr>
                  </w:pPr>
                  <w:proofErr w:type="spellStart"/>
                  <w:r w:rsidRPr="003C0E2F">
                    <w:rPr>
                      <w:rFonts w:ascii="Calibri" w:eastAsia="Times New Roman" w:hAnsi="Calibri" w:cs="Calibri"/>
                    </w:rPr>
                    <w:t>Monokine</w:t>
                  </w:r>
                  <w:proofErr w:type="spellEnd"/>
                  <w:r w:rsidRPr="003C0E2F">
                    <w:rPr>
                      <w:rFonts w:ascii="Calibri" w:eastAsia="Times New Roman" w:hAnsi="Calibri" w:cs="Calibri"/>
                    </w:rPr>
                    <w:t xml:space="preserve"> induced by gamma-INF</w:t>
                  </w:r>
                </w:p>
              </w:tc>
            </w:tr>
            <w:tr w:rsidR="003C0E2F" w:rsidRPr="003C0E2F" w14:paraId="0A8EB0C5" w14:textId="77777777" w:rsidTr="00267E91">
              <w:trPr>
                <w:trHeight w:val="280"/>
              </w:trPr>
              <w:tc>
                <w:tcPr>
                  <w:tcW w:w="1880" w:type="dxa"/>
                  <w:tcBorders>
                    <w:top w:val="nil"/>
                    <w:left w:val="nil"/>
                    <w:bottom w:val="nil"/>
                    <w:right w:val="nil"/>
                  </w:tcBorders>
                  <w:shd w:val="clear" w:color="auto" w:fill="auto"/>
                  <w:noWrap/>
                  <w:vAlign w:val="bottom"/>
                  <w:hideMark/>
                </w:tcPr>
                <w:p w14:paraId="178011CA" w14:textId="26B39C61"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MIP-1α</w:t>
                  </w:r>
                </w:p>
              </w:tc>
              <w:tc>
                <w:tcPr>
                  <w:tcW w:w="7817" w:type="dxa"/>
                  <w:tcBorders>
                    <w:top w:val="nil"/>
                    <w:left w:val="nil"/>
                    <w:bottom w:val="nil"/>
                    <w:right w:val="nil"/>
                  </w:tcBorders>
                  <w:shd w:val="clear" w:color="auto" w:fill="auto"/>
                  <w:noWrap/>
                  <w:vAlign w:val="bottom"/>
                  <w:hideMark/>
                </w:tcPr>
                <w:p w14:paraId="27372B8E" w14:textId="6342C254"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Macrophage inflammatory protein 1 alpha</w:t>
                  </w:r>
                </w:p>
              </w:tc>
            </w:tr>
            <w:tr w:rsidR="003C0E2F" w:rsidRPr="003C0E2F" w14:paraId="15D5AB5B" w14:textId="77777777" w:rsidTr="00267E91">
              <w:trPr>
                <w:trHeight w:val="280"/>
              </w:trPr>
              <w:tc>
                <w:tcPr>
                  <w:tcW w:w="1880" w:type="dxa"/>
                  <w:tcBorders>
                    <w:top w:val="nil"/>
                    <w:left w:val="nil"/>
                    <w:bottom w:val="nil"/>
                    <w:right w:val="nil"/>
                  </w:tcBorders>
                  <w:shd w:val="clear" w:color="auto" w:fill="auto"/>
                  <w:noWrap/>
                  <w:vAlign w:val="bottom"/>
                  <w:hideMark/>
                </w:tcPr>
                <w:p w14:paraId="1F20224D" w14:textId="31F28758"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 xml:space="preserve">MIP-1α </w:t>
                  </w:r>
                </w:p>
              </w:tc>
              <w:tc>
                <w:tcPr>
                  <w:tcW w:w="7817" w:type="dxa"/>
                  <w:tcBorders>
                    <w:top w:val="nil"/>
                    <w:left w:val="nil"/>
                    <w:bottom w:val="nil"/>
                    <w:right w:val="nil"/>
                  </w:tcBorders>
                  <w:shd w:val="clear" w:color="auto" w:fill="auto"/>
                  <w:noWrap/>
                  <w:vAlign w:val="bottom"/>
                  <w:hideMark/>
                </w:tcPr>
                <w:p w14:paraId="2ED0A84F" w14:textId="4A7C2F82"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Macrophage inflammatory protein 1 alpha</w:t>
                  </w:r>
                </w:p>
              </w:tc>
            </w:tr>
            <w:tr w:rsidR="003C0E2F" w:rsidRPr="003C0E2F" w14:paraId="08CC829D" w14:textId="77777777" w:rsidTr="00267E91">
              <w:trPr>
                <w:trHeight w:val="280"/>
              </w:trPr>
              <w:tc>
                <w:tcPr>
                  <w:tcW w:w="1880" w:type="dxa"/>
                  <w:tcBorders>
                    <w:top w:val="nil"/>
                    <w:left w:val="nil"/>
                    <w:bottom w:val="nil"/>
                    <w:right w:val="nil"/>
                  </w:tcBorders>
                  <w:shd w:val="clear" w:color="auto" w:fill="auto"/>
                  <w:noWrap/>
                  <w:vAlign w:val="bottom"/>
                  <w:hideMark/>
                </w:tcPr>
                <w:p w14:paraId="411B6E91" w14:textId="7BF3D91D"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MIP-1β</w:t>
                  </w:r>
                </w:p>
              </w:tc>
              <w:tc>
                <w:tcPr>
                  <w:tcW w:w="7817" w:type="dxa"/>
                  <w:tcBorders>
                    <w:top w:val="nil"/>
                    <w:left w:val="nil"/>
                    <w:bottom w:val="nil"/>
                    <w:right w:val="nil"/>
                  </w:tcBorders>
                  <w:shd w:val="clear" w:color="auto" w:fill="auto"/>
                  <w:noWrap/>
                  <w:vAlign w:val="bottom"/>
                  <w:hideMark/>
                </w:tcPr>
                <w:p w14:paraId="546D8678" w14:textId="4427DDB8"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Macrophage inflammatory protein 1-beta</w:t>
                  </w:r>
                </w:p>
              </w:tc>
            </w:tr>
            <w:tr w:rsidR="003C0E2F" w:rsidRPr="003C0E2F" w14:paraId="2D10128A" w14:textId="77777777" w:rsidTr="00267E91">
              <w:trPr>
                <w:trHeight w:val="280"/>
              </w:trPr>
              <w:tc>
                <w:tcPr>
                  <w:tcW w:w="1880" w:type="dxa"/>
                  <w:tcBorders>
                    <w:top w:val="nil"/>
                    <w:left w:val="nil"/>
                    <w:bottom w:val="nil"/>
                    <w:right w:val="nil"/>
                  </w:tcBorders>
                  <w:shd w:val="clear" w:color="auto" w:fill="auto"/>
                  <w:noWrap/>
                  <w:vAlign w:val="bottom"/>
                  <w:hideMark/>
                </w:tcPr>
                <w:p w14:paraId="28BB6C6C" w14:textId="4F1CD7AF"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MIP-1γ</w:t>
                  </w:r>
                </w:p>
              </w:tc>
              <w:tc>
                <w:tcPr>
                  <w:tcW w:w="7817" w:type="dxa"/>
                  <w:tcBorders>
                    <w:top w:val="nil"/>
                    <w:left w:val="nil"/>
                    <w:bottom w:val="nil"/>
                    <w:right w:val="nil"/>
                  </w:tcBorders>
                  <w:shd w:val="clear" w:color="auto" w:fill="auto"/>
                  <w:noWrap/>
                  <w:vAlign w:val="bottom"/>
                  <w:hideMark/>
                </w:tcPr>
                <w:p w14:paraId="393B253B" w14:textId="15F95043"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Macrophage inflammatory protein 1 gamma</w:t>
                  </w:r>
                </w:p>
              </w:tc>
            </w:tr>
            <w:tr w:rsidR="003C0E2F" w:rsidRPr="003C0E2F" w14:paraId="255CCC63" w14:textId="77777777" w:rsidTr="00267E91">
              <w:trPr>
                <w:trHeight w:val="280"/>
              </w:trPr>
              <w:tc>
                <w:tcPr>
                  <w:tcW w:w="1880" w:type="dxa"/>
                  <w:tcBorders>
                    <w:top w:val="nil"/>
                    <w:left w:val="nil"/>
                    <w:bottom w:val="nil"/>
                    <w:right w:val="nil"/>
                  </w:tcBorders>
                  <w:shd w:val="clear" w:color="auto" w:fill="auto"/>
                  <w:noWrap/>
                  <w:vAlign w:val="bottom"/>
                  <w:hideMark/>
                </w:tcPr>
                <w:p w14:paraId="5CA40442" w14:textId="53833A24"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MIP-1δ</w:t>
                  </w:r>
                </w:p>
              </w:tc>
              <w:tc>
                <w:tcPr>
                  <w:tcW w:w="7817" w:type="dxa"/>
                  <w:tcBorders>
                    <w:top w:val="nil"/>
                    <w:left w:val="nil"/>
                    <w:bottom w:val="nil"/>
                    <w:right w:val="nil"/>
                  </w:tcBorders>
                  <w:shd w:val="clear" w:color="auto" w:fill="auto"/>
                  <w:noWrap/>
                  <w:vAlign w:val="bottom"/>
                  <w:hideMark/>
                </w:tcPr>
                <w:p w14:paraId="1B4446CC" w14:textId="5F917C88"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Macrophage inflammatory protein 1-delta</w:t>
                  </w:r>
                </w:p>
              </w:tc>
            </w:tr>
            <w:tr w:rsidR="003C0E2F" w:rsidRPr="003C0E2F" w14:paraId="4D97A0A5" w14:textId="77777777" w:rsidTr="00267E91">
              <w:trPr>
                <w:trHeight w:val="280"/>
              </w:trPr>
              <w:tc>
                <w:tcPr>
                  <w:tcW w:w="1880" w:type="dxa"/>
                  <w:tcBorders>
                    <w:top w:val="nil"/>
                    <w:left w:val="nil"/>
                    <w:bottom w:val="nil"/>
                    <w:right w:val="nil"/>
                  </w:tcBorders>
                  <w:shd w:val="clear" w:color="auto" w:fill="auto"/>
                  <w:noWrap/>
                  <w:vAlign w:val="bottom"/>
                  <w:hideMark/>
                </w:tcPr>
                <w:p w14:paraId="7419C85B" w14:textId="5FCFD296"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MKK</w:t>
                  </w:r>
                </w:p>
              </w:tc>
              <w:tc>
                <w:tcPr>
                  <w:tcW w:w="7817" w:type="dxa"/>
                  <w:tcBorders>
                    <w:top w:val="nil"/>
                    <w:left w:val="nil"/>
                    <w:bottom w:val="nil"/>
                    <w:right w:val="nil"/>
                  </w:tcBorders>
                  <w:shd w:val="clear" w:color="auto" w:fill="auto"/>
                  <w:noWrap/>
                  <w:vAlign w:val="bottom"/>
                  <w:hideMark/>
                </w:tcPr>
                <w:p w14:paraId="1C283576" w14:textId="0BA87409"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Mitogen Activated Protein Kinase </w:t>
                  </w:r>
                  <w:proofErr w:type="spellStart"/>
                  <w:r w:rsidRPr="003C0E2F">
                    <w:rPr>
                      <w:rFonts w:ascii="Calibri" w:eastAsia="Times New Roman" w:hAnsi="Calibri" w:cs="Calibri"/>
                    </w:rPr>
                    <w:t>Kinase</w:t>
                  </w:r>
                  <w:proofErr w:type="spellEnd"/>
                </w:p>
              </w:tc>
            </w:tr>
            <w:tr w:rsidR="003C0E2F" w:rsidRPr="003C0E2F" w14:paraId="1C8CE506" w14:textId="77777777" w:rsidTr="00267E91">
              <w:trPr>
                <w:trHeight w:val="280"/>
              </w:trPr>
              <w:tc>
                <w:tcPr>
                  <w:tcW w:w="1880" w:type="dxa"/>
                  <w:tcBorders>
                    <w:top w:val="nil"/>
                    <w:left w:val="nil"/>
                    <w:bottom w:val="nil"/>
                    <w:right w:val="nil"/>
                  </w:tcBorders>
                  <w:shd w:val="clear" w:color="auto" w:fill="auto"/>
                  <w:noWrap/>
                  <w:vAlign w:val="bottom"/>
                  <w:hideMark/>
                </w:tcPr>
                <w:p w14:paraId="4CFABD4C" w14:textId="1928FC13" w:rsidR="001A2988" w:rsidRPr="003C0E2F" w:rsidRDefault="001A2988" w:rsidP="003735FB">
                  <w:pPr>
                    <w:spacing w:after="0" w:line="240" w:lineRule="auto"/>
                    <w:rPr>
                      <w:rFonts w:ascii="Calibri" w:eastAsia="Times New Roman" w:hAnsi="Calibri" w:cs="Calibri"/>
                      <w:b/>
                      <w:bCs/>
                    </w:rPr>
                  </w:pPr>
                  <w:proofErr w:type="spellStart"/>
                  <w:r w:rsidRPr="003C0E2F">
                    <w:rPr>
                      <w:rFonts w:ascii="Calibri" w:eastAsia="Times New Roman" w:hAnsi="Calibri" w:cs="Calibri"/>
                      <w:b/>
                      <w:bCs/>
                    </w:rPr>
                    <w:t>mmLDL</w:t>
                  </w:r>
                  <w:proofErr w:type="spellEnd"/>
                </w:p>
              </w:tc>
              <w:tc>
                <w:tcPr>
                  <w:tcW w:w="7817" w:type="dxa"/>
                  <w:tcBorders>
                    <w:top w:val="nil"/>
                    <w:left w:val="nil"/>
                    <w:bottom w:val="nil"/>
                    <w:right w:val="nil"/>
                  </w:tcBorders>
                  <w:shd w:val="clear" w:color="auto" w:fill="auto"/>
                  <w:noWrap/>
                  <w:vAlign w:val="bottom"/>
                  <w:hideMark/>
                </w:tcPr>
                <w:p w14:paraId="4A3CE0E7" w14:textId="474A0152"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Minimally modified low-density lipoprotein</w:t>
                  </w:r>
                </w:p>
              </w:tc>
            </w:tr>
            <w:tr w:rsidR="003C0E2F" w:rsidRPr="003C0E2F" w14:paraId="22267648" w14:textId="77777777" w:rsidTr="00267E91">
              <w:trPr>
                <w:trHeight w:val="280"/>
              </w:trPr>
              <w:tc>
                <w:tcPr>
                  <w:tcW w:w="1880" w:type="dxa"/>
                  <w:tcBorders>
                    <w:top w:val="nil"/>
                    <w:left w:val="nil"/>
                    <w:bottom w:val="nil"/>
                    <w:right w:val="nil"/>
                  </w:tcBorders>
                  <w:shd w:val="clear" w:color="auto" w:fill="auto"/>
                  <w:noWrap/>
                  <w:vAlign w:val="bottom"/>
                  <w:hideMark/>
                </w:tcPr>
                <w:p w14:paraId="643AC841" w14:textId="0B7E1913"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MMP</w:t>
                  </w:r>
                </w:p>
              </w:tc>
              <w:tc>
                <w:tcPr>
                  <w:tcW w:w="7817" w:type="dxa"/>
                  <w:tcBorders>
                    <w:top w:val="nil"/>
                    <w:left w:val="nil"/>
                    <w:bottom w:val="nil"/>
                    <w:right w:val="nil"/>
                  </w:tcBorders>
                  <w:shd w:val="clear" w:color="auto" w:fill="auto"/>
                  <w:noWrap/>
                  <w:vAlign w:val="bottom"/>
                  <w:hideMark/>
                </w:tcPr>
                <w:p w14:paraId="3E2164D8" w14:textId="04DA4E16"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Matrix Metalloproteinase</w:t>
                  </w:r>
                </w:p>
              </w:tc>
            </w:tr>
            <w:tr w:rsidR="003C0E2F" w:rsidRPr="003C0E2F" w14:paraId="2E049588" w14:textId="77777777" w:rsidTr="00267E91">
              <w:trPr>
                <w:trHeight w:val="280"/>
              </w:trPr>
              <w:tc>
                <w:tcPr>
                  <w:tcW w:w="1880" w:type="dxa"/>
                  <w:tcBorders>
                    <w:top w:val="nil"/>
                    <w:left w:val="nil"/>
                    <w:bottom w:val="nil"/>
                    <w:right w:val="nil"/>
                  </w:tcBorders>
                  <w:shd w:val="clear" w:color="auto" w:fill="auto"/>
                  <w:noWrap/>
                  <w:vAlign w:val="bottom"/>
                  <w:hideMark/>
                </w:tcPr>
                <w:p w14:paraId="38946A65" w14:textId="7BC8B9A5"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MPLA</w:t>
                  </w:r>
                </w:p>
              </w:tc>
              <w:tc>
                <w:tcPr>
                  <w:tcW w:w="7817" w:type="dxa"/>
                  <w:tcBorders>
                    <w:top w:val="nil"/>
                    <w:left w:val="nil"/>
                    <w:bottom w:val="nil"/>
                    <w:right w:val="nil"/>
                  </w:tcBorders>
                  <w:shd w:val="clear" w:color="auto" w:fill="auto"/>
                  <w:noWrap/>
                  <w:vAlign w:val="bottom"/>
                  <w:hideMark/>
                </w:tcPr>
                <w:p w14:paraId="30C26E0C" w14:textId="765B152C" w:rsidR="001A2988" w:rsidRPr="003C0E2F" w:rsidRDefault="001A2988" w:rsidP="003735FB">
                  <w:pPr>
                    <w:spacing w:after="0" w:line="240" w:lineRule="auto"/>
                    <w:rPr>
                      <w:rFonts w:ascii="Calibri" w:eastAsia="Times New Roman" w:hAnsi="Calibri" w:cs="Calibri"/>
                    </w:rPr>
                  </w:pPr>
                  <w:proofErr w:type="spellStart"/>
                  <w:r w:rsidRPr="003C0E2F">
                    <w:rPr>
                      <w:rFonts w:ascii="Calibri" w:eastAsia="Times New Roman" w:hAnsi="Calibri" w:cs="Calibri"/>
                    </w:rPr>
                    <w:t>Monophosphoryl</w:t>
                  </w:r>
                  <w:proofErr w:type="spellEnd"/>
                  <w:r w:rsidRPr="003C0E2F">
                    <w:rPr>
                      <w:rFonts w:ascii="Calibri" w:eastAsia="Times New Roman" w:hAnsi="Calibri" w:cs="Calibri"/>
                    </w:rPr>
                    <w:t> lipid A</w:t>
                  </w:r>
                </w:p>
              </w:tc>
            </w:tr>
            <w:tr w:rsidR="003C0E2F" w:rsidRPr="003C0E2F" w14:paraId="52CD3E8D" w14:textId="77777777" w:rsidTr="00267E91">
              <w:trPr>
                <w:trHeight w:val="280"/>
              </w:trPr>
              <w:tc>
                <w:tcPr>
                  <w:tcW w:w="1880" w:type="dxa"/>
                  <w:tcBorders>
                    <w:top w:val="nil"/>
                    <w:left w:val="nil"/>
                    <w:bottom w:val="nil"/>
                    <w:right w:val="nil"/>
                  </w:tcBorders>
                  <w:shd w:val="clear" w:color="auto" w:fill="auto"/>
                  <w:noWrap/>
                  <w:vAlign w:val="bottom"/>
                  <w:hideMark/>
                </w:tcPr>
                <w:p w14:paraId="00E94DB7" w14:textId="30289F39"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MyD88</w:t>
                  </w:r>
                </w:p>
              </w:tc>
              <w:tc>
                <w:tcPr>
                  <w:tcW w:w="7817" w:type="dxa"/>
                  <w:tcBorders>
                    <w:top w:val="nil"/>
                    <w:left w:val="nil"/>
                    <w:bottom w:val="nil"/>
                    <w:right w:val="nil"/>
                  </w:tcBorders>
                  <w:shd w:val="clear" w:color="auto" w:fill="auto"/>
                  <w:noWrap/>
                  <w:vAlign w:val="bottom"/>
                  <w:hideMark/>
                </w:tcPr>
                <w:p w14:paraId="115707A7" w14:textId="0C6E9E64"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Myeloid differentiation factor primary response 88</w:t>
                  </w:r>
                </w:p>
              </w:tc>
            </w:tr>
            <w:tr w:rsidR="003C0E2F" w:rsidRPr="003C0E2F" w14:paraId="08AEF9C4" w14:textId="77777777" w:rsidTr="00267E91">
              <w:trPr>
                <w:trHeight w:val="280"/>
              </w:trPr>
              <w:tc>
                <w:tcPr>
                  <w:tcW w:w="1880" w:type="dxa"/>
                  <w:tcBorders>
                    <w:top w:val="nil"/>
                    <w:left w:val="nil"/>
                    <w:bottom w:val="nil"/>
                    <w:right w:val="nil"/>
                  </w:tcBorders>
                  <w:shd w:val="clear" w:color="auto" w:fill="auto"/>
                  <w:noWrap/>
                  <w:vAlign w:val="bottom"/>
                  <w:hideMark/>
                </w:tcPr>
                <w:p w14:paraId="26E584FF" w14:textId="5DDFC696"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NF-</w:t>
                  </w:r>
                  <w:proofErr w:type="spellStart"/>
                  <w:r w:rsidRPr="003C0E2F">
                    <w:rPr>
                      <w:rFonts w:ascii="Calibri" w:eastAsia="Times New Roman" w:hAnsi="Calibri" w:cs="Calibri"/>
                      <w:b/>
                      <w:bCs/>
                    </w:rPr>
                    <w:t>κB</w:t>
                  </w:r>
                  <w:proofErr w:type="spellEnd"/>
                  <w:r w:rsidRPr="003C0E2F">
                    <w:rPr>
                      <w:rFonts w:ascii="Calibri" w:eastAsia="Times New Roman" w:hAnsi="Calibri" w:cs="Calibri"/>
                      <w:b/>
                      <w:bCs/>
                    </w:rPr>
                    <w:t xml:space="preserve"> </w:t>
                  </w:r>
                </w:p>
              </w:tc>
              <w:tc>
                <w:tcPr>
                  <w:tcW w:w="7817" w:type="dxa"/>
                  <w:tcBorders>
                    <w:top w:val="nil"/>
                    <w:left w:val="nil"/>
                    <w:bottom w:val="nil"/>
                    <w:right w:val="nil"/>
                  </w:tcBorders>
                  <w:shd w:val="clear" w:color="auto" w:fill="auto"/>
                  <w:noWrap/>
                  <w:vAlign w:val="bottom"/>
                  <w:hideMark/>
                </w:tcPr>
                <w:p w14:paraId="4E2BFDA8" w14:textId="5C248792"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Nuclear Factor kappa-light-chain-enhancer of activated B cells</w:t>
                  </w:r>
                </w:p>
              </w:tc>
            </w:tr>
            <w:tr w:rsidR="003C0E2F" w:rsidRPr="003C0E2F" w14:paraId="09247DB9" w14:textId="77777777" w:rsidTr="00267E91">
              <w:trPr>
                <w:trHeight w:val="280"/>
              </w:trPr>
              <w:tc>
                <w:tcPr>
                  <w:tcW w:w="1880" w:type="dxa"/>
                  <w:tcBorders>
                    <w:top w:val="nil"/>
                    <w:left w:val="nil"/>
                    <w:bottom w:val="nil"/>
                    <w:right w:val="nil"/>
                  </w:tcBorders>
                  <w:shd w:val="clear" w:color="auto" w:fill="auto"/>
                  <w:noWrap/>
                  <w:vAlign w:val="bottom"/>
                  <w:hideMark/>
                </w:tcPr>
                <w:p w14:paraId="3BB07E9D" w14:textId="2B30B2D7" w:rsidR="001A2988" w:rsidRPr="003C0E2F" w:rsidRDefault="001A2988" w:rsidP="003735FB">
                  <w:pPr>
                    <w:spacing w:after="0" w:line="240" w:lineRule="auto"/>
                    <w:rPr>
                      <w:rFonts w:ascii="Calibri" w:eastAsia="Times New Roman" w:hAnsi="Calibri" w:cs="Calibri"/>
                      <w:b/>
                      <w:bCs/>
                    </w:rPr>
                  </w:pPr>
                  <w:proofErr w:type="spellStart"/>
                  <w:r w:rsidRPr="003C0E2F">
                    <w:rPr>
                      <w:rFonts w:ascii="Calibri" w:eastAsia="Times New Roman" w:hAnsi="Calibri" w:cs="Calibri"/>
                      <w:b/>
                      <w:bCs/>
                    </w:rPr>
                    <w:t>nLDL</w:t>
                  </w:r>
                  <w:proofErr w:type="spellEnd"/>
                </w:p>
              </w:tc>
              <w:tc>
                <w:tcPr>
                  <w:tcW w:w="7817" w:type="dxa"/>
                  <w:tcBorders>
                    <w:top w:val="nil"/>
                    <w:left w:val="nil"/>
                    <w:bottom w:val="nil"/>
                    <w:right w:val="nil"/>
                  </w:tcBorders>
                  <w:shd w:val="clear" w:color="auto" w:fill="auto"/>
                  <w:noWrap/>
                  <w:vAlign w:val="bottom"/>
                  <w:hideMark/>
                </w:tcPr>
                <w:p w14:paraId="7CF61F87" w14:textId="50A8CA8B"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Native low-density lipoprotein</w:t>
                  </w:r>
                </w:p>
              </w:tc>
            </w:tr>
            <w:tr w:rsidR="003C0E2F" w:rsidRPr="003C0E2F" w14:paraId="715BB969" w14:textId="77777777" w:rsidTr="00267E91">
              <w:trPr>
                <w:trHeight w:val="280"/>
              </w:trPr>
              <w:tc>
                <w:tcPr>
                  <w:tcW w:w="1880" w:type="dxa"/>
                  <w:tcBorders>
                    <w:top w:val="nil"/>
                    <w:left w:val="nil"/>
                    <w:bottom w:val="nil"/>
                    <w:right w:val="nil"/>
                  </w:tcBorders>
                  <w:shd w:val="clear" w:color="auto" w:fill="auto"/>
                  <w:noWrap/>
                  <w:vAlign w:val="bottom"/>
                  <w:hideMark/>
                </w:tcPr>
                <w:p w14:paraId="57F7E976" w14:textId="1D63D9EF"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NLRP3</w:t>
                  </w:r>
                </w:p>
              </w:tc>
              <w:tc>
                <w:tcPr>
                  <w:tcW w:w="7817" w:type="dxa"/>
                  <w:tcBorders>
                    <w:top w:val="nil"/>
                    <w:left w:val="nil"/>
                    <w:bottom w:val="nil"/>
                    <w:right w:val="nil"/>
                  </w:tcBorders>
                  <w:shd w:val="clear" w:color="auto" w:fill="auto"/>
                  <w:noWrap/>
                  <w:vAlign w:val="bottom"/>
                  <w:hideMark/>
                </w:tcPr>
                <w:p w14:paraId="5CC44A1A" w14:textId="622CA229"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NACHT, LRR and PYD domains-containing protein 3</w:t>
                  </w:r>
                </w:p>
              </w:tc>
            </w:tr>
            <w:tr w:rsidR="003C0E2F" w:rsidRPr="003C0E2F" w14:paraId="24204B52" w14:textId="77777777" w:rsidTr="00267E91">
              <w:trPr>
                <w:trHeight w:val="280"/>
              </w:trPr>
              <w:tc>
                <w:tcPr>
                  <w:tcW w:w="1880" w:type="dxa"/>
                  <w:tcBorders>
                    <w:top w:val="nil"/>
                    <w:left w:val="nil"/>
                    <w:bottom w:val="nil"/>
                    <w:right w:val="nil"/>
                  </w:tcBorders>
                  <w:shd w:val="clear" w:color="auto" w:fill="auto"/>
                  <w:noWrap/>
                  <w:vAlign w:val="bottom"/>
                  <w:hideMark/>
                </w:tcPr>
                <w:p w14:paraId="66E4D58C" w14:textId="292938D1"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NS</w:t>
                  </w:r>
                </w:p>
              </w:tc>
              <w:tc>
                <w:tcPr>
                  <w:tcW w:w="7817" w:type="dxa"/>
                  <w:tcBorders>
                    <w:top w:val="nil"/>
                    <w:left w:val="nil"/>
                    <w:bottom w:val="nil"/>
                    <w:right w:val="nil"/>
                  </w:tcBorders>
                  <w:shd w:val="clear" w:color="auto" w:fill="auto"/>
                  <w:noWrap/>
                  <w:vAlign w:val="bottom"/>
                  <w:hideMark/>
                </w:tcPr>
                <w:p w14:paraId="73E144FB" w14:textId="0C9272D1"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Non-significant</w:t>
                  </w:r>
                </w:p>
              </w:tc>
            </w:tr>
            <w:tr w:rsidR="003C0E2F" w:rsidRPr="003C0E2F" w14:paraId="54649DE4" w14:textId="77777777" w:rsidTr="00267E91">
              <w:trPr>
                <w:trHeight w:val="280"/>
              </w:trPr>
              <w:tc>
                <w:tcPr>
                  <w:tcW w:w="1880" w:type="dxa"/>
                  <w:tcBorders>
                    <w:top w:val="nil"/>
                    <w:left w:val="nil"/>
                    <w:bottom w:val="nil"/>
                    <w:right w:val="nil"/>
                  </w:tcBorders>
                  <w:shd w:val="clear" w:color="auto" w:fill="auto"/>
                  <w:noWrap/>
                  <w:vAlign w:val="bottom"/>
                  <w:hideMark/>
                </w:tcPr>
                <w:p w14:paraId="05F63F44" w14:textId="0BFDEB1D" w:rsidR="001A2988" w:rsidRPr="003C0E2F" w:rsidRDefault="001A2988" w:rsidP="003735FB">
                  <w:pPr>
                    <w:spacing w:after="0" w:line="240" w:lineRule="auto"/>
                    <w:rPr>
                      <w:rFonts w:ascii="Calibri" w:eastAsia="Times New Roman" w:hAnsi="Calibri" w:cs="Calibri"/>
                      <w:b/>
                      <w:bCs/>
                    </w:rPr>
                  </w:pPr>
                  <w:proofErr w:type="spellStart"/>
                  <w:r w:rsidRPr="003C0E2F">
                    <w:rPr>
                      <w:rFonts w:ascii="Calibri" w:eastAsia="Times New Roman" w:hAnsi="Calibri" w:cs="Calibri"/>
                      <w:b/>
                      <w:bCs/>
                    </w:rPr>
                    <w:t>oxHDL</w:t>
                  </w:r>
                  <w:proofErr w:type="spellEnd"/>
                </w:p>
              </w:tc>
              <w:tc>
                <w:tcPr>
                  <w:tcW w:w="7817" w:type="dxa"/>
                  <w:tcBorders>
                    <w:top w:val="nil"/>
                    <w:left w:val="nil"/>
                    <w:bottom w:val="nil"/>
                    <w:right w:val="nil"/>
                  </w:tcBorders>
                  <w:shd w:val="clear" w:color="auto" w:fill="auto"/>
                  <w:noWrap/>
                  <w:vAlign w:val="bottom"/>
                  <w:hideMark/>
                </w:tcPr>
                <w:p w14:paraId="52E5C933" w14:textId="2E841C85"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Oxidised high-density lipoprotein</w:t>
                  </w:r>
                </w:p>
              </w:tc>
            </w:tr>
            <w:tr w:rsidR="003C0E2F" w:rsidRPr="003C0E2F" w14:paraId="40C62437" w14:textId="77777777" w:rsidTr="00267E91">
              <w:trPr>
                <w:trHeight w:val="280"/>
              </w:trPr>
              <w:tc>
                <w:tcPr>
                  <w:tcW w:w="1880" w:type="dxa"/>
                  <w:tcBorders>
                    <w:top w:val="nil"/>
                    <w:left w:val="nil"/>
                    <w:bottom w:val="nil"/>
                    <w:right w:val="nil"/>
                  </w:tcBorders>
                  <w:shd w:val="clear" w:color="auto" w:fill="auto"/>
                  <w:noWrap/>
                  <w:vAlign w:val="bottom"/>
                  <w:hideMark/>
                </w:tcPr>
                <w:p w14:paraId="330A110A" w14:textId="45E93603" w:rsidR="001A2988" w:rsidRPr="003C0E2F" w:rsidRDefault="001A2988" w:rsidP="003735FB">
                  <w:pPr>
                    <w:spacing w:after="0" w:line="240" w:lineRule="auto"/>
                    <w:rPr>
                      <w:rFonts w:ascii="Calibri" w:eastAsia="Times New Roman" w:hAnsi="Calibri" w:cs="Calibri"/>
                      <w:b/>
                      <w:bCs/>
                    </w:rPr>
                  </w:pPr>
                  <w:proofErr w:type="spellStart"/>
                  <w:r w:rsidRPr="003C0E2F">
                    <w:rPr>
                      <w:rFonts w:ascii="Calibri" w:eastAsia="Times New Roman" w:hAnsi="Calibri" w:cs="Calibri"/>
                      <w:b/>
                      <w:bCs/>
                    </w:rPr>
                    <w:t>oxLDL</w:t>
                  </w:r>
                  <w:proofErr w:type="spellEnd"/>
                </w:p>
              </w:tc>
              <w:tc>
                <w:tcPr>
                  <w:tcW w:w="7817" w:type="dxa"/>
                  <w:tcBorders>
                    <w:top w:val="nil"/>
                    <w:left w:val="nil"/>
                    <w:bottom w:val="nil"/>
                    <w:right w:val="nil"/>
                  </w:tcBorders>
                  <w:shd w:val="clear" w:color="auto" w:fill="auto"/>
                  <w:noWrap/>
                  <w:vAlign w:val="bottom"/>
                  <w:hideMark/>
                </w:tcPr>
                <w:p w14:paraId="243C84FA" w14:textId="461ADD8B"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Oxidised low-density lipoprotein</w:t>
                  </w:r>
                </w:p>
              </w:tc>
            </w:tr>
            <w:tr w:rsidR="003C0E2F" w:rsidRPr="003C0E2F" w14:paraId="6EE7F31A" w14:textId="77777777" w:rsidTr="00267E91">
              <w:trPr>
                <w:trHeight w:val="280"/>
              </w:trPr>
              <w:tc>
                <w:tcPr>
                  <w:tcW w:w="1880" w:type="dxa"/>
                  <w:tcBorders>
                    <w:top w:val="nil"/>
                    <w:left w:val="nil"/>
                    <w:bottom w:val="nil"/>
                    <w:right w:val="nil"/>
                  </w:tcBorders>
                  <w:shd w:val="clear" w:color="auto" w:fill="auto"/>
                  <w:noWrap/>
                  <w:vAlign w:val="bottom"/>
                  <w:hideMark/>
                </w:tcPr>
                <w:p w14:paraId="0C683111" w14:textId="38F1B559" w:rsidR="001A2988" w:rsidRPr="003C0E2F" w:rsidRDefault="001A2988" w:rsidP="003735FB">
                  <w:pPr>
                    <w:spacing w:after="0" w:line="240" w:lineRule="auto"/>
                    <w:rPr>
                      <w:rFonts w:ascii="Calibri" w:eastAsia="Times New Roman" w:hAnsi="Calibri" w:cs="Calibri"/>
                      <w:b/>
                      <w:bCs/>
                    </w:rPr>
                  </w:pPr>
                  <w:proofErr w:type="spellStart"/>
                  <w:r w:rsidRPr="003C0E2F">
                    <w:rPr>
                      <w:rFonts w:ascii="Calibri" w:eastAsia="Times New Roman" w:hAnsi="Calibri" w:cs="Calibri"/>
                      <w:b/>
                      <w:bCs/>
                    </w:rPr>
                    <w:t>oxPC</w:t>
                  </w:r>
                  <w:proofErr w:type="spellEnd"/>
                </w:p>
              </w:tc>
              <w:tc>
                <w:tcPr>
                  <w:tcW w:w="7817" w:type="dxa"/>
                  <w:tcBorders>
                    <w:top w:val="nil"/>
                    <w:left w:val="nil"/>
                    <w:bottom w:val="nil"/>
                    <w:right w:val="nil"/>
                  </w:tcBorders>
                  <w:shd w:val="clear" w:color="auto" w:fill="auto"/>
                  <w:noWrap/>
                  <w:vAlign w:val="bottom"/>
                  <w:hideMark/>
                </w:tcPr>
                <w:p w14:paraId="142F1FE9" w14:textId="073F17C4"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Oxidised phosphocholine</w:t>
                  </w:r>
                </w:p>
              </w:tc>
            </w:tr>
            <w:tr w:rsidR="003C0E2F" w:rsidRPr="003C0E2F" w14:paraId="40B2C99C" w14:textId="77777777" w:rsidTr="00267E91">
              <w:trPr>
                <w:trHeight w:val="280"/>
              </w:trPr>
              <w:tc>
                <w:tcPr>
                  <w:tcW w:w="1880" w:type="dxa"/>
                  <w:tcBorders>
                    <w:top w:val="nil"/>
                    <w:left w:val="nil"/>
                    <w:bottom w:val="nil"/>
                    <w:right w:val="nil"/>
                  </w:tcBorders>
                  <w:shd w:val="clear" w:color="auto" w:fill="auto"/>
                  <w:noWrap/>
                  <w:vAlign w:val="bottom"/>
                  <w:hideMark/>
                </w:tcPr>
                <w:p w14:paraId="536614E5" w14:textId="286E1D8E" w:rsidR="001A2988" w:rsidRPr="003C0E2F" w:rsidRDefault="001A2988" w:rsidP="003735FB">
                  <w:pPr>
                    <w:spacing w:after="0" w:line="240" w:lineRule="auto"/>
                    <w:rPr>
                      <w:rFonts w:ascii="Calibri" w:eastAsia="Times New Roman" w:hAnsi="Calibri" w:cs="Calibri"/>
                      <w:b/>
                      <w:bCs/>
                    </w:rPr>
                  </w:pPr>
                  <w:proofErr w:type="spellStart"/>
                  <w:r w:rsidRPr="003C0E2F">
                    <w:rPr>
                      <w:rFonts w:ascii="Calibri" w:eastAsia="Times New Roman" w:hAnsi="Calibri" w:cs="Calibri"/>
                      <w:b/>
                      <w:bCs/>
                    </w:rPr>
                    <w:t>oxPE</w:t>
                  </w:r>
                  <w:proofErr w:type="spellEnd"/>
                </w:p>
              </w:tc>
              <w:tc>
                <w:tcPr>
                  <w:tcW w:w="7817" w:type="dxa"/>
                  <w:tcBorders>
                    <w:top w:val="nil"/>
                    <w:left w:val="nil"/>
                    <w:bottom w:val="nil"/>
                    <w:right w:val="nil"/>
                  </w:tcBorders>
                  <w:shd w:val="clear" w:color="auto" w:fill="auto"/>
                  <w:noWrap/>
                  <w:vAlign w:val="bottom"/>
                  <w:hideMark/>
                </w:tcPr>
                <w:p w14:paraId="0E3C7720" w14:textId="2F4AA2B1"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Oxidised phosphatidylethanolamine</w:t>
                  </w:r>
                </w:p>
              </w:tc>
            </w:tr>
            <w:tr w:rsidR="003C0E2F" w:rsidRPr="003C0E2F" w14:paraId="01320816" w14:textId="77777777" w:rsidTr="00267E91">
              <w:trPr>
                <w:trHeight w:val="280"/>
              </w:trPr>
              <w:tc>
                <w:tcPr>
                  <w:tcW w:w="1880" w:type="dxa"/>
                  <w:tcBorders>
                    <w:top w:val="nil"/>
                    <w:left w:val="nil"/>
                    <w:bottom w:val="nil"/>
                    <w:right w:val="nil"/>
                  </w:tcBorders>
                  <w:shd w:val="clear" w:color="auto" w:fill="auto"/>
                  <w:noWrap/>
                  <w:vAlign w:val="bottom"/>
                  <w:hideMark/>
                </w:tcPr>
                <w:p w14:paraId="25ED4E59" w14:textId="366A900A"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PAMP</w:t>
                  </w:r>
                </w:p>
              </w:tc>
              <w:tc>
                <w:tcPr>
                  <w:tcW w:w="7817" w:type="dxa"/>
                  <w:tcBorders>
                    <w:top w:val="nil"/>
                    <w:left w:val="nil"/>
                    <w:bottom w:val="nil"/>
                    <w:right w:val="nil"/>
                  </w:tcBorders>
                  <w:shd w:val="clear" w:color="auto" w:fill="auto"/>
                  <w:noWrap/>
                  <w:vAlign w:val="bottom"/>
                  <w:hideMark/>
                </w:tcPr>
                <w:p w14:paraId="1BE37CA8" w14:textId="63A9599B"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Pathogen associated molecular pattern</w:t>
                  </w:r>
                </w:p>
              </w:tc>
            </w:tr>
            <w:tr w:rsidR="003C0E2F" w:rsidRPr="003C0E2F" w14:paraId="21C5C060" w14:textId="77777777" w:rsidTr="00267E91">
              <w:trPr>
                <w:trHeight w:val="280"/>
              </w:trPr>
              <w:tc>
                <w:tcPr>
                  <w:tcW w:w="1880" w:type="dxa"/>
                  <w:tcBorders>
                    <w:top w:val="nil"/>
                    <w:left w:val="nil"/>
                    <w:bottom w:val="nil"/>
                    <w:right w:val="nil"/>
                  </w:tcBorders>
                  <w:shd w:val="clear" w:color="auto" w:fill="auto"/>
                  <w:noWrap/>
                  <w:vAlign w:val="bottom"/>
                  <w:hideMark/>
                </w:tcPr>
                <w:p w14:paraId="776CD94E" w14:textId="02022F43"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PDGF-BB</w:t>
                  </w:r>
                </w:p>
              </w:tc>
              <w:tc>
                <w:tcPr>
                  <w:tcW w:w="7817" w:type="dxa"/>
                  <w:tcBorders>
                    <w:top w:val="nil"/>
                    <w:left w:val="nil"/>
                    <w:bottom w:val="nil"/>
                    <w:right w:val="nil"/>
                  </w:tcBorders>
                  <w:shd w:val="clear" w:color="auto" w:fill="auto"/>
                  <w:noWrap/>
                  <w:vAlign w:val="bottom"/>
                  <w:hideMark/>
                </w:tcPr>
                <w:p w14:paraId="25D970B6" w14:textId="1425F0C2"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Platelet-derived growth factor BB</w:t>
                  </w:r>
                </w:p>
              </w:tc>
            </w:tr>
            <w:tr w:rsidR="003C0E2F" w:rsidRPr="003C0E2F" w14:paraId="3E6F8936" w14:textId="77777777" w:rsidTr="00267E91">
              <w:trPr>
                <w:trHeight w:val="280"/>
              </w:trPr>
              <w:tc>
                <w:tcPr>
                  <w:tcW w:w="1880" w:type="dxa"/>
                  <w:tcBorders>
                    <w:top w:val="nil"/>
                    <w:left w:val="nil"/>
                    <w:bottom w:val="nil"/>
                    <w:right w:val="nil"/>
                  </w:tcBorders>
                  <w:shd w:val="clear" w:color="auto" w:fill="auto"/>
                  <w:noWrap/>
                  <w:vAlign w:val="bottom"/>
                  <w:hideMark/>
                </w:tcPr>
                <w:p w14:paraId="3A71D694" w14:textId="11DFF471"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PMA</w:t>
                  </w:r>
                </w:p>
              </w:tc>
              <w:tc>
                <w:tcPr>
                  <w:tcW w:w="7817" w:type="dxa"/>
                  <w:tcBorders>
                    <w:top w:val="nil"/>
                    <w:left w:val="nil"/>
                    <w:bottom w:val="nil"/>
                    <w:right w:val="nil"/>
                  </w:tcBorders>
                  <w:shd w:val="clear" w:color="auto" w:fill="auto"/>
                  <w:noWrap/>
                  <w:vAlign w:val="bottom"/>
                  <w:hideMark/>
                </w:tcPr>
                <w:p w14:paraId="3C41ABFB" w14:textId="4A91B0AF"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Phorbol 12-myristate 13-acetate</w:t>
                  </w:r>
                </w:p>
              </w:tc>
            </w:tr>
            <w:tr w:rsidR="003C0E2F" w:rsidRPr="003C0E2F" w14:paraId="7688470B" w14:textId="77777777" w:rsidTr="00267E91">
              <w:trPr>
                <w:trHeight w:val="280"/>
              </w:trPr>
              <w:tc>
                <w:tcPr>
                  <w:tcW w:w="1880" w:type="dxa"/>
                  <w:tcBorders>
                    <w:top w:val="nil"/>
                    <w:left w:val="nil"/>
                    <w:bottom w:val="nil"/>
                    <w:right w:val="nil"/>
                  </w:tcBorders>
                  <w:shd w:val="clear" w:color="auto" w:fill="auto"/>
                  <w:noWrap/>
                  <w:vAlign w:val="bottom"/>
                  <w:hideMark/>
                </w:tcPr>
                <w:p w14:paraId="57EFABF7" w14:textId="30E3E623"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lastRenderedPageBreak/>
                    <w:t>RANTES</w:t>
                  </w:r>
                </w:p>
              </w:tc>
              <w:tc>
                <w:tcPr>
                  <w:tcW w:w="7817" w:type="dxa"/>
                  <w:tcBorders>
                    <w:top w:val="nil"/>
                    <w:left w:val="nil"/>
                    <w:bottom w:val="nil"/>
                    <w:right w:val="nil"/>
                  </w:tcBorders>
                  <w:shd w:val="clear" w:color="auto" w:fill="auto"/>
                  <w:noWrap/>
                  <w:vAlign w:val="bottom"/>
                  <w:hideMark/>
                </w:tcPr>
                <w:p w14:paraId="20A50A49" w14:textId="5CDA5494"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Regulated upon Activation Normal T Cell Expressed and Secreted</w:t>
                  </w:r>
                </w:p>
              </w:tc>
            </w:tr>
            <w:tr w:rsidR="003C0E2F" w:rsidRPr="003C0E2F" w14:paraId="70DF346B" w14:textId="77777777" w:rsidTr="00267E91">
              <w:trPr>
                <w:trHeight w:val="280"/>
              </w:trPr>
              <w:tc>
                <w:tcPr>
                  <w:tcW w:w="1880" w:type="dxa"/>
                  <w:tcBorders>
                    <w:top w:val="nil"/>
                    <w:left w:val="nil"/>
                    <w:bottom w:val="nil"/>
                    <w:right w:val="nil"/>
                  </w:tcBorders>
                  <w:shd w:val="clear" w:color="auto" w:fill="auto"/>
                  <w:noWrap/>
                  <w:vAlign w:val="bottom"/>
                  <w:hideMark/>
                </w:tcPr>
                <w:p w14:paraId="651A577F" w14:textId="6DA5277C"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RAW264</w:t>
                  </w:r>
                </w:p>
              </w:tc>
              <w:tc>
                <w:tcPr>
                  <w:tcW w:w="7817" w:type="dxa"/>
                  <w:tcBorders>
                    <w:top w:val="nil"/>
                    <w:left w:val="nil"/>
                    <w:bottom w:val="nil"/>
                    <w:right w:val="nil"/>
                  </w:tcBorders>
                  <w:shd w:val="clear" w:color="auto" w:fill="auto"/>
                  <w:noWrap/>
                  <w:vAlign w:val="bottom"/>
                  <w:hideMark/>
                </w:tcPr>
                <w:p w14:paraId="3E9B8F8F" w14:textId="43A5831A"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Immortalised mouse macrophage cell line</w:t>
                  </w:r>
                </w:p>
              </w:tc>
            </w:tr>
            <w:tr w:rsidR="003C0E2F" w:rsidRPr="003C0E2F" w14:paraId="44A1702E" w14:textId="77777777" w:rsidTr="00267E91">
              <w:trPr>
                <w:trHeight w:val="280"/>
              </w:trPr>
              <w:tc>
                <w:tcPr>
                  <w:tcW w:w="1880" w:type="dxa"/>
                  <w:tcBorders>
                    <w:top w:val="nil"/>
                    <w:left w:val="nil"/>
                    <w:bottom w:val="nil"/>
                    <w:right w:val="nil"/>
                  </w:tcBorders>
                  <w:shd w:val="clear" w:color="auto" w:fill="auto"/>
                  <w:noWrap/>
                  <w:vAlign w:val="bottom"/>
                  <w:hideMark/>
                </w:tcPr>
                <w:p w14:paraId="3DEAD40C" w14:textId="7917F5D8"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R-Form (Ra, Re…)</w:t>
                  </w:r>
                </w:p>
              </w:tc>
              <w:tc>
                <w:tcPr>
                  <w:tcW w:w="7817" w:type="dxa"/>
                  <w:tcBorders>
                    <w:top w:val="nil"/>
                    <w:left w:val="nil"/>
                    <w:bottom w:val="nil"/>
                    <w:right w:val="nil"/>
                  </w:tcBorders>
                  <w:shd w:val="clear" w:color="auto" w:fill="auto"/>
                  <w:noWrap/>
                  <w:vAlign w:val="bottom"/>
                  <w:hideMark/>
                </w:tcPr>
                <w:p w14:paraId="74D5AED7" w14:textId="41CB0353"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Rough Form</w:t>
                  </w:r>
                </w:p>
              </w:tc>
            </w:tr>
            <w:tr w:rsidR="003C0E2F" w:rsidRPr="003C0E2F" w14:paraId="3D12F037" w14:textId="77777777" w:rsidTr="00267E91">
              <w:trPr>
                <w:trHeight w:val="280"/>
              </w:trPr>
              <w:tc>
                <w:tcPr>
                  <w:tcW w:w="1880" w:type="dxa"/>
                  <w:tcBorders>
                    <w:top w:val="nil"/>
                    <w:left w:val="nil"/>
                    <w:bottom w:val="nil"/>
                    <w:right w:val="nil"/>
                  </w:tcBorders>
                  <w:shd w:val="clear" w:color="auto" w:fill="auto"/>
                  <w:noWrap/>
                  <w:vAlign w:val="bottom"/>
                  <w:hideMark/>
                </w:tcPr>
                <w:p w14:paraId="00597B24" w14:textId="77C9C4FD"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RNA</w:t>
                  </w:r>
                </w:p>
              </w:tc>
              <w:tc>
                <w:tcPr>
                  <w:tcW w:w="7817" w:type="dxa"/>
                  <w:tcBorders>
                    <w:top w:val="nil"/>
                    <w:left w:val="nil"/>
                    <w:bottom w:val="nil"/>
                    <w:right w:val="nil"/>
                  </w:tcBorders>
                  <w:shd w:val="clear" w:color="auto" w:fill="auto"/>
                  <w:noWrap/>
                  <w:vAlign w:val="bottom"/>
                  <w:hideMark/>
                </w:tcPr>
                <w:p w14:paraId="03D5D32C" w14:textId="4AFDA9C3"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Ribonucleic acid</w:t>
                  </w:r>
                </w:p>
              </w:tc>
            </w:tr>
            <w:tr w:rsidR="003C0E2F" w:rsidRPr="003C0E2F" w14:paraId="716C3AEA" w14:textId="77777777" w:rsidTr="00267E91">
              <w:trPr>
                <w:trHeight w:val="280"/>
              </w:trPr>
              <w:tc>
                <w:tcPr>
                  <w:tcW w:w="1880" w:type="dxa"/>
                  <w:tcBorders>
                    <w:top w:val="nil"/>
                    <w:left w:val="nil"/>
                    <w:bottom w:val="nil"/>
                    <w:right w:val="nil"/>
                  </w:tcBorders>
                  <w:shd w:val="clear" w:color="auto" w:fill="auto"/>
                  <w:noWrap/>
                  <w:vAlign w:val="bottom"/>
                  <w:hideMark/>
                </w:tcPr>
                <w:p w14:paraId="1A963CCB" w14:textId="754F4849"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ROS</w:t>
                  </w:r>
                </w:p>
              </w:tc>
              <w:tc>
                <w:tcPr>
                  <w:tcW w:w="7817" w:type="dxa"/>
                  <w:tcBorders>
                    <w:top w:val="nil"/>
                    <w:left w:val="nil"/>
                    <w:bottom w:val="nil"/>
                    <w:right w:val="nil"/>
                  </w:tcBorders>
                  <w:shd w:val="clear" w:color="auto" w:fill="auto"/>
                  <w:noWrap/>
                  <w:vAlign w:val="bottom"/>
                  <w:hideMark/>
                </w:tcPr>
                <w:p w14:paraId="10A6FE08" w14:textId="5BB73334"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Reactive oxygen species</w:t>
                  </w:r>
                </w:p>
              </w:tc>
            </w:tr>
            <w:tr w:rsidR="003C0E2F" w:rsidRPr="003C0E2F" w14:paraId="3C9170DA" w14:textId="77777777" w:rsidTr="00267E91">
              <w:trPr>
                <w:trHeight w:val="280"/>
              </w:trPr>
              <w:tc>
                <w:tcPr>
                  <w:tcW w:w="1880" w:type="dxa"/>
                  <w:tcBorders>
                    <w:top w:val="nil"/>
                    <w:left w:val="nil"/>
                    <w:bottom w:val="nil"/>
                    <w:right w:val="nil"/>
                  </w:tcBorders>
                  <w:shd w:val="clear" w:color="auto" w:fill="auto"/>
                  <w:noWrap/>
                  <w:vAlign w:val="bottom"/>
                  <w:hideMark/>
                </w:tcPr>
                <w:p w14:paraId="601D242F" w14:textId="553BD70D"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SAPK</w:t>
                  </w:r>
                </w:p>
              </w:tc>
              <w:tc>
                <w:tcPr>
                  <w:tcW w:w="7817" w:type="dxa"/>
                  <w:tcBorders>
                    <w:top w:val="nil"/>
                    <w:left w:val="nil"/>
                    <w:bottom w:val="nil"/>
                    <w:right w:val="nil"/>
                  </w:tcBorders>
                  <w:shd w:val="clear" w:color="auto" w:fill="auto"/>
                  <w:noWrap/>
                  <w:vAlign w:val="bottom"/>
                  <w:hideMark/>
                </w:tcPr>
                <w:p w14:paraId="5901FE9B" w14:textId="23399FBB"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Stress-activated protein kinase</w:t>
                  </w:r>
                </w:p>
              </w:tc>
            </w:tr>
            <w:tr w:rsidR="003C0E2F" w:rsidRPr="003C0E2F" w14:paraId="10169BC9" w14:textId="77777777" w:rsidTr="00267E91">
              <w:trPr>
                <w:trHeight w:val="280"/>
              </w:trPr>
              <w:tc>
                <w:tcPr>
                  <w:tcW w:w="1880" w:type="dxa"/>
                  <w:tcBorders>
                    <w:top w:val="nil"/>
                    <w:left w:val="nil"/>
                    <w:bottom w:val="nil"/>
                    <w:right w:val="nil"/>
                  </w:tcBorders>
                  <w:shd w:val="clear" w:color="auto" w:fill="auto"/>
                  <w:noWrap/>
                  <w:vAlign w:val="bottom"/>
                  <w:hideMark/>
                </w:tcPr>
                <w:p w14:paraId="32A32E4B" w14:textId="59578A4C"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SD</w:t>
                  </w:r>
                </w:p>
              </w:tc>
              <w:tc>
                <w:tcPr>
                  <w:tcW w:w="7817" w:type="dxa"/>
                  <w:tcBorders>
                    <w:top w:val="nil"/>
                    <w:left w:val="nil"/>
                    <w:bottom w:val="nil"/>
                    <w:right w:val="nil"/>
                  </w:tcBorders>
                  <w:shd w:val="clear" w:color="auto" w:fill="auto"/>
                  <w:noWrap/>
                  <w:vAlign w:val="bottom"/>
                  <w:hideMark/>
                </w:tcPr>
                <w:p w14:paraId="3933B795" w14:textId="492D09B9"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Standard deviation</w:t>
                  </w:r>
                </w:p>
              </w:tc>
            </w:tr>
            <w:tr w:rsidR="003C0E2F" w:rsidRPr="003C0E2F" w14:paraId="7A9124C1" w14:textId="77777777" w:rsidTr="00267E91">
              <w:trPr>
                <w:trHeight w:val="280"/>
              </w:trPr>
              <w:tc>
                <w:tcPr>
                  <w:tcW w:w="1880" w:type="dxa"/>
                  <w:tcBorders>
                    <w:top w:val="nil"/>
                    <w:left w:val="nil"/>
                    <w:bottom w:val="nil"/>
                    <w:right w:val="nil"/>
                  </w:tcBorders>
                  <w:shd w:val="clear" w:color="auto" w:fill="auto"/>
                  <w:noWrap/>
                  <w:vAlign w:val="bottom"/>
                  <w:hideMark/>
                </w:tcPr>
                <w:p w14:paraId="4E631A87" w14:textId="6BEF3B63"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SDF-1α</w:t>
                  </w:r>
                </w:p>
              </w:tc>
              <w:tc>
                <w:tcPr>
                  <w:tcW w:w="7817" w:type="dxa"/>
                  <w:tcBorders>
                    <w:top w:val="nil"/>
                    <w:left w:val="nil"/>
                    <w:bottom w:val="nil"/>
                    <w:right w:val="nil"/>
                  </w:tcBorders>
                  <w:shd w:val="clear" w:color="auto" w:fill="auto"/>
                  <w:noWrap/>
                  <w:vAlign w:val="bottom"/>
                  <w:hideMark/>
                </w:tcPr>
                <w:p w14:paraId="4AFD82D6" w14:textId="77895DAD"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Stromal cell-derived factor 1 alpha</w:t>
                  </w:r>
                </w:p>
              </w:tc>
            </w:tr>
            <w:tr w:rsidR="003C0E2F" w:rsidRPr="003C0E2F" w14:paraId="71E9CD26" w14:textId="77777777" w:rsidTr="00267E91">
              <w:trPr>
                <w:trHeight w:val="280"/>
              </w:trPr>
              <w:tc>
                <w:tcPr>
                  <w:tcW w:w="1880" w:type="dxa"/>
                  <w:tcBorders>
                    <w:top w:val="nil"/>
                    <w:left w:val="nil"/>
                    <w:bottom w:val="nil"/>
                    <w:right w:val="nil"/>
                  </w:tcBorders>
                  <w:shd w:val="clear" w:color="auto" w:fill="auto"/>
                  <w:noWrap/>
                  <w:vAlign w:val="bottom"/>
                  <w:hideMark/>
                </w:tcPr>
                <w:p w14:paraId="2D3BF83A" w14:textId="665708E1"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S-Form</w:t>
                  </w:r>
                </w:p>
              </w:tc>
              <w:tc>
                <w:tcPr>
                  <w:tcW w:w="7817" w:type="dxa"/>
                  <w:tcBorders>
                    <w:top w:val="nil"/>
                    <w:left w:val="nil"/>
                    <w:bottom w:val="nil"/>
                    <w:right w:val="nil"/>
                  </w:tcBorders>
                  <w:shd w:val="clear" w:color="auto" w:fill="auto"/>
                  <w:noWrap/>
                  <w:vAlign w:val="bottom"/>
                  <w:hideMark/>
                </w:tcPr>
                <w:p w14:paraId="70AE8323" w14:textId="7B5D4B91"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Smooth Form</w:t>
                  </w:r>
                </w:p>
              </w:tc>
            </w:tr>
            <w:tr w:rsidR="003C0E2F" w:rsidRPr="003C0E2F" w14:paraId="6E3E0D1E" w14:textId="77777777" w:rsidTr="00267E91">
              <w:trPr>
                <w:trHeight w:val="280"/>
              </w:trPr>
              <w:tc>
                <w:tcPr>
                  <w:tcW w:w="1880" w:type="dxa"/>
                  <w:tcBorders>
                    <w:top w:val="nil"/>
                    <w:left w:val="nil"/>
                    <w:bottom w:val="nil"/>
                    <w:right w:val="nil"/>
                  </w:tcBorders>
                  <w:shd w:val="clear" w:color="auto" w:fill="auto"/>
                  <w:noWrap/>
                  <w:vAlign w:val="bottom"/>
                  <w:hideMark/>
                </w:tcPr>
                <w:p w14:paraId="31701953" w14:textId="50463BA4"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SMC</w:t>
                  </w:r>
                </w:p>
              </w:tc>
              <w:tc>
                <w:tcPr>
                  <w:tcW w:w="7817" w:type="dxa"/>
                  <w:tcBorders>
                    <w:top w:val="nil"/>
                    <w:left w:val="nil"/>
                    <w:bottom w:val="nil"/>
                    <w:right w:val="nil"/>
                  </w:tcBorders>
                  <w:shd w:val="clear" w:color="auto" w:fill="auto"/>
                  <w:noWrap/>
                  <w:vAlign w:val="bottom"/>
                  <w:hideMark/>
                </w:tcPr>
                <w:p w14:paraId="34885BFF" w14:textId="6A7A3358"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Smooth Muscle Cell</w:t>
                  </w:r>
                </w:p>
              </w:tc>
            </w:tr>
            <w:tr w:rsidR="003C0E2F" w:rsidRPr="003C0E2F" w14:paraId="0783472E" w14:textId="77777777" w:rsidTr="00267E91">
              <w:trPr>
                <w:trHeight w:val="280"/>
              </w:trPr>
              <w:tc>
                <w:tcPr>
                  <w:tcW w:w="1880" w:type="dxa"/>
                  <w:tcBorders>
                    <w:top w:val="nil"/>
                    <w:left w:val="nil"/>
                    <w:bottom w:val="nil"/>
                    <w:right w:val="nil"/>
                  </w:tcBorders>
                  <w:shd w:val="clear" w:color="auto" w:fill="auto"/>
                  <w:noWrap/>
                  <w:vAlign w:val="bottom"/>
                  <w:hideMark/>
                </w:tcPr>
                <w:p w14:paraId="5D8A1CAD" w14:textId="33251D9E"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SR-Form</w:t>
                  </w:r>
                </w:p>
              </w:tc>
              <w:tc>
                <w:tcPr>
                  <w:tcW w:w="7817" w:type="dxa"/>
                  <w:tcBorders>
                    <w:top w:val="nil"/>
                    <w:left w:val="nil"/>
                    <w:bottom w:val="nil"/>
                    <w:right w:val="nil"/>
                  </w:tcBorders>
                  <w:shd w:val="clear" w:color="auto" w:fill="auto"/>
                  <w:noWrap/>
                  <w:vAlign w:val="bottom"/>
                  <w:hideMark/>
                </w:tcPr>
                <w:p w14:paraId="167AFE87" w14:textId="13599833"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Semi-rough Form</w:t>
                  </w:r>
                </w:p>
              </w:tc>
            </w:tr>
            <w:tr w:rsidR="003C0E2F" w:rsidRPr="003C0E2F" w14:paraId="379E2CB0" w14:textId="77777777" w:rsidTr="00267E91">
              <w:trPr>
                <w:trHeight w:val="280"/>
              </w:trPr>
              <w:tc>
                <w:tcPr>
                  <w:tcW w:w="1880" w:type="dxa"/>
                  <w:tcBorders>
                    <w:top w:val="nil"/>
                    <w:left w:val="nil"/>
                    <w:bottom w:val="nil"/>
                    <w:right w:val="nil"/>
                  </w:tcBorders>
                  <w:shd w:val="clear" w:color="auto" w:fill="auto"/>
                  <w:noWrap/>
                  <w:vAlign w:val="bottom"/>
                  <w:hideMark/>
                </w:tcPr>
                <w:p w14:paraId="524E63C9" w14:textId="3675B800" w:rsidR="001A2988" w:rsidRPr="003C0E2F" w:rsidRDefault="001A2988" w:rsidP="003735FB">
                  <w:pPr>
                    <w:spacing w:after="0" w:line="240" w:lineRule="auto"/>
                    <w:rPr>
                      <w:rFonts w:ascii="Calibri" w:eastAsia="Times New Roman" w:hAnsi="Calibri" w:cs="Calibri"/>
                      <w:b/>
                      <w:bCs/>
                    </w:rPr>
                  </w:pPr>
                  <w:proofErr w:type="spellStart"/>
                  <w:r w:rsidRPr="003C0E2F">
                    <w:rPr>
                      <w:rFonts w:ascii="Calibri" w:eastAsia="Times New Roman" w:hAnsi="Calibri" w:cs="Calibri"/>
                      <w:b/>
                      <w:bCs/>
                    </w:rPr>
                    <w:t>ssRNA</w:t>
                  </w:r>
                  <w:proofErr w:type="spellEnd"/>
                </w:p>
              </w:tc>
              <w:tc>
                <w:tcPr>
                  <w:tcW w:w="7817" w:type="dxa"/>
                  <w:tcBorders>
                    <w:top w:val="nil"/>
                    <w:left w:val="nil"/>
                    <w:bottom w:val="nil"/>
                    <w:right w:val="nil"/>
                  </w:tcBorders>
                  <w:shd w:val="clear" w:color="auto" w:fill="auto"/>
                  <w:noWrap/>
                  <w:vAlign w:val="bottom"/>
                  <w:hideMark/>
                </w:tcPr>
                <w:p w14:paraId="2456F914" w14:textId="48706C81"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Single Stranded Ribonucleic Acid</w:t>
                  </w:r>
                </w:p>
              </w:tc>
            </w:tr>
            <w:tr w:rsidR="003C0E2F" w:rsidRPr="003C0E2F" w14:paraId="7E971FB1" w14:textId="77777777" w:rsidTr="00267E91">
              <w:trPr>
                <w:trHeight w:val="280"/>
              </w:trPr>
              <w:tc>
                <w:tcPr>
                  <w:tcW w:w="1880" w:type="dxa"/>
                  <w:tcBorders>
                    <w:top w:val="nil"/>
                    <w:left w:val="nil"/>
                    <w:bottom w:val="nil"/>
                    <w:right w:val="nil"/>
                  </w:tcBorders>
                  <w:shd w:val="clear" w:color="auto" w:fill="auto"/>
                  <w:noWrap/>
                  <w:vAlign w:val="bottom"/>
                  <w:hideMark/>
                </w:tcPr>
                <w:p w14:paraId="4A252D29" w14:textId="30E10ABC"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STAT-1</w:t>
                  </w:r>
                </w:p>
              </w:tc>
              <w:tc>
                <w:tcPr>
                  <w:tcW w:w="7817" w:type="dxa"/>
                  <w:tcBorders>
                    <w:top w:val="nil"/>
                    <w:left w:val="nil"/>
                    <w:bottom w:val="nil"/>
                    <w:right w:val="nil"/>
                  </w:tcBorders>
                  <w:shd w:val="clear" w:color="auto" w:fill="auto"/>
                  <w:noWrap/>
                  <w:vAlign w:val="bottom"/>
                  <w:hideMark/>
                </w:tcPr>
                <w:p w14:paraId="0F4253D7" w14:textId="0B4094C5"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Signal transducer and activator of transcription 1-alpha/beta</w:t>
                  </w:r>
                </w:p>
              </w:tc>
            </w:tr>
            <w:tr w:rsidR="003C0E2F" w:rsidRPr="003C0E2F" w14:paraId="63A1B3DD" w14:textId="77777777" w:rsidTr="00267E91">
              <w:trPr>
                <w:trHeight w:val="280"/>
              </w:trPr>
              <w:tc>
                <w:tcPr>
                  <w:tcW w:w="1880" w:type="dxa"/>
                  <w:tcBorders>
                    <w:top w:val="nil"/>
                    <w:left w:val="nil"/>
                    <w:bottom w:val="nil"/>
                    <w:right w:val="nil"/>
                  </w:tcBorders>
                  <w:shd w:val="clear" w:color="auto" w:fill="auto"/>
                  <w:noWrap/>
                  <w:vAlign w:val="bottom"/>
                  <w:hideMark/>
                </w:tcPr>
                <w:p w14:paraId="06A7B92C" w14:textId="2CB6A1F6"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TAB1</w:t>
                  </w:r>
                </w:p>
              </w:tc>
              <w:tc>
                <w:tcPr>
                  <w:tcW w:w="7817" w:type="dxa"/>
                  <w:tcBorders>
                    <w:top w:val="nil"/>
                    <w:left w:val="nil"/>
                    <w:bottom w:val="nil"/>
                    <w:right w:val="nil"/>
                  </w:tcBorders>
                  <w:shd w:val="clear" w:color="auto" w:fill="auto"/>
                  <w:noWrap/>
                  <w:vAlign w:val="bottom"/>
                  <w:hideMark/>
                </w:tcPr>
                <w:p w14:paraId="6B7787CD" w14:textId="6CEBA2C9"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TAK1-binding protein 1</w:t>
                  </w:r>
                </w:p>
              </w:tc>
            </w:tr>
            <w:tr w:rsidR="003C0E2F" w:rsidRPr="003C0E2F" w14:paraId="54E61B32" w14:textId="77777777" w:rsidTr="00267E91">
              <w:trPr>
                <w:trHeight w:val="280"/>
              </w:trPr>
              <w:tc>
                <w:tcPr>
                  <w:tcW w:w="1880" w:type="dxa"/>
                  <w:tcBorders>
                    <w:top w:val="nil"/>
                    <w:left w:val="nil"/>
                    <w:bottom w:val="nil"/>
                    <w:right w:val="nil"/>
                  </w:tcBorders>
                  <w:shd w:val="clear" w:color="auto" w:fill="auto"/>
                  <w:noWrap/>
                  <w:vAlign w:val="bottom"/>
                  <w:hideMark/>
                </w:tcPr>
                <w:p w14:paraId="4D7E10CF" w14:textId="37666EF1"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TAB2</w:t>
                  </w:r>
                </w:p>
              </w:tc>
              <w:tc>
                <w:tcPr>
                  <w:tcW w:w="7817" w:type="dxa"/>
                  <w:tcBorders>
                    <w:top w:val="nil"/>
                    <w:left w:val="nil"/>
                    <w:bottom w:val="nil"/>
                    <w:right w:val="nil"/>
                  </w:tcBorders>
                  <w:shd w:val="clear" w:color="auto" w:fill="auto"/>
                  <w:noWrap/>
                  <w:vAlign w:val="bottom"/>
                  <w:hideMark/>
                </w:tcPr>
                <w:p w14:paraId="7857A1C6" w14:textId="6F409D5F"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TAK1-binding protein 2</w:t>
                  </w:r>
                </w:p>
              </w:tc>
            </w:tr>
            <w:tr w:rsidR="003C0E2F" w:rsidRPr="003C0E2F" w14:paraId="56A8BD70" w14:textId="77777777" w:rsidTr="00267E91">
              <w:trPr>
                <w:trHeight w:val="280"/>
              </w:trPr>
              <w:tc>
                <w:tcPr>
                  <w:tcW w:w="1880" w:type="dxa"/>
                  <w:tcBorders>
                    <w:top w:val="nil"/>
                    <w:left w:val="nil"/>
                    <w:bottom w:val="nil"/>
                    <w:right w:val="nil"/>
                  </w:tcBorders>
                  <w:shd w:val="clear" w:color="auto" w:fill="auto"/>
                  <w:noWrap/>
                  <w:vAlign w:val="bottom"/>
                  <w:hideMark/>
                </w:tcPr>
                <w:p w14:paraId="1AAE2728" w14:textId="2D26AB6C"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TAK1</w:t>
                  </w:r>
                </w:p>
              </w:tc>
              <w:tc>
                <w:tcPr>
                  <w:tcW w:w="7817" w:type="dxa"/>
                  <w:tcBorders>
                    <w:top w:val="nil"/>
                    <w:left w:val="nil"/>
                    <w:bottom w:val="nil"/>
                    <w:right w:val="nil"/>
                  </w:tcBorders>
                  <w:shd w:val="clear" w:color="auto" w:fill="auto"/>
                  <w:noWrap/>
                  <w:vAlign w:val="bottom"/>
                  <w:hideMark/>
                </w:tcPr>
                <w:p w14:paraId="2620E2C7" w14:textId="562EADDC"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Transforming growth factor beta-activated kinase 1</w:t>
                  </w:r>
                </w:p>
              </w:tc>
            </w:tr>
            <w:tr w:rsidR="003C0E2F" w:rsidRPr="003C0E2F" w14:paraId="49B552BE" w14:textId="77777777" w:rsidTr="00267E91">
              <w:trPr>
                <w:trHeight w:val="280"/>
              </w:trPr>
              <w:tc>
                <w:tcPr>
                  <w:tcW w:w="1880" w:type="dxa"/>
                  <w:tcBorders>
                    <w:top w:val="nil"/>
                    <w:left w:val="nil"/>
                    <w:bottom w:val="nil"/>
                    <w:right w:val="nil"/>
                  </w:tcBorders>
                  <w:shd w:val="clear" w:color="auto" w:fill="auto"/>
                  <w:noWrap/>
                  <w:vAlign w:val="bottom"/>
                  <w:hideMark/>
                </w:tcPr>
                <w:p w14:paraId="22786707" w14:textId="7EF6C12F"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TBK1</w:t>
                  </w:r>
                </w:p>
              </w:tc>
              <w:tc>
                <w:tcPr>
                  <w:tcW w:w="7817" w:type="dxa"/>
                  <w:tcBorders>
                    <w:top w:val="nil"/>
                    <w:left w:val="nil"/>
                    <w:bottom w:val="nil"/>
                    <w:right w:val="nil"/>
                  </w:tcBorders>
                  <w:shd w:val="clear" w:color="auto" w:fill="auto"/>
                  <w:noWrap/>
                  <w:vAlign w:val="bottom"/>
                  <w:hideMark/>
                </w:tcPr>
                <w:p w14:paraId="00153C42" w14:textId="463EDD56"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TANK-binding kinase 1</w:t>
                  </w:r>
                </w:p>
              </w:tc>
            </w:tr>
            <w:tr w:rsidR="003C0E2F" w:rsidRPr="003C0E2F" w14:paraId="0798181E" w14:textId="77777777" w:rsidTr="00267E91">
              <w:trPr>
                <w:trHeight w:val="280"/>
              </w:trPr>
              <w:tc>
                <w:tcPr>
                  <w:tcW w:w="1880" w:type="dxa"/>
                  <w:tcBorders>
                    <w:top w:val="nil"/>
                    <w:left w:val="nil"/>
                    <w:bottom w:val="nil"/>
                    <w:right w:val="nil"/>
                  </w:tcBorders>
                  <w:shd w:val="clear" w:color="auto" w:fill="auto"/>
                  <w:noWrap/>
                  <w:vAlign w:val="bottom"/>
                  <w:hideMark/>
                </w:tcPr>
                <w:p w14:paraId="4C3427A7" w14:textId="384CCD31"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TBS-T</w:t>
                  </w:r>
                </w:p>
              </w:tc>
              <w:tc>
                <w:tcPr>
                  <w:tcW w:w="7817" w:type="dxa"/>
                  <w:tcBorders>
                    <w:top w:val="nil"/>
                    <w:left w:val="nil"/>
                    <w:bottom w:val="nil"/>
                    <w:right w:val="nil"/>
                  </w:tcBorders>
                  <w:shd w:val="clear" w:color="auto" w:fill="auto"/>
                  <w:noWrap/>
                  <w:vAlign w:val="bottom"/>
                  <w:hideMark/>
                </w:tcPr>
                <w:p w14:paraId="07E216FA" w14:textId="48C68583"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Tris buffered saline with Tween 20</w:t>
                  </w:r>
                </w:p>
              </w:tc>
            </w:tr>
            <w:tr w:rsidR="003C0E2F" w:rsidRPr="003C0E2F" w14:paraId="59E1B95C" w14:textId="77777777" w:rsidTr="00267E91">
              <w:trPr>
                <w:trHeight w:val="280"/>
              </w:trPr>
              <w:tc>
                <w:tcPr>
                  <w:tcW w:w="1880" w:type="dxa"/>
                  <w:tcBorders>
                    <w:top w:val="nil"/>
                    <w:left w:val="nil"/>
                    <w:bottom w:val="nil"/>
                    <w:right w:val="nil"/>
                  </w:tcBorders>
                  <w:shd w:val="clear" w:color="auto" w:fill="auto"/>
                  <w:noWrap/>
                  <w:vAlign w:val="bottom"/>
                  <w:hideMark/>
                </w:tcPr>
                <w:p w14:paraId="70E1D937" w14:textId="37F3615B"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TECK</w:t>
                  </w:r>
                </w:p>
              </w:tc>
              <w:tc>
                <w:tcPr>
                  <w:tcW w:w="7817" w:type="dxa"/>
                  <w:tcBorders>
                    <w:top w:val="nil"/>
                    <w:left w:val="nil"/>
                    <w:bottom w:val="nil"/>
                    <w:right w:val="nil"/>
                  </w:tcBorders>
                  <w:shd w:val="clear" w:color="auto" w:fill="auto"/>
                  <w:noWrap/>
                  <w:vAlign w:val="bottom"/>
                  <w:hideMark/>
                </w:tcPr>
                <w:p w14:paraId="2356F42A" w14:textId="5E914DBA"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Thymus-expressed chemokine</w:t>
                  </w:r>
                </w:p>
              </w:tc>
            </w:tr>
            <w:tr w:rsidR="003C0E2F" w:rsidRPr="003C0E2F" w14:paraId="33B2E682" w14:textId="77777777" w:rsidTr="00267E91">
              <w:trPr>
                <w:trHeight w:val="280"/>
              </w:trPr>
              <w:tc>
                <w:tcPr>
                  <w:tcW w:w="1880" w:type="dxa"/>
                  <w:tcBorders>
                    <w:top w:val="nil"/>
                    <w:left w:val="nil"/>
                    <w:bottom w:val="nil"/>
                    <w:right w:val="nil"/>
                  </w:tcBorders>
                  <w:shd w:val="clear" w:color="auto" w:fill="auto"/>
                  <w:noWrap/>
                  <w:vAlign w:val="bottom"/>
                  <w:hideMark/>
                </w:tcPr>
                <w:p w14:paraId="4390F0EA" w14:textId="004BB54A"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TGFβ</w:t>
                  </w:r>
                </w:p>
              </w:tc>
              <w:tc>
                <w:tcPr>
                  <w:tcW w:w="7817" w:type="dxa"/>
                  <w:tcBorders>
                    <w:top w:val="nil"/>
                    <w:left w:val="nil"/>
                    <w:bottom w:val="nil"/>
                    <w:right w:val="nil"/>
                  </w:tcBorders>
                  <w:shd w:val="clear" w:color="auto" w:fill="auto"/>
                  <w:noWrap/>
                  <w:vAlign w:val="bottom"/>
                  <w:hideMark/>
                </w:tcPr>
                <w:p w14:paraId="2A770977" w14:textId="279065CB"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Transforming growth factor beta</w:t>
                  </w:r>
                </w:p>
              </w:tc>
            </w:tr>
            <w:tr w:rsidR="003C0E2F" w:rsidRPr="003C0E2F" w14:paraId="553B5B40" w14:textId="77777777" w:rsidTr="00267E91">
              <w:trPr>
                <w:trHeight w:val="280"/>
              </w:trPr>
              <w:tc>
                <w:tcPr>
                  <w:tcW w:w="1880" w:type="dxa"/>
                  <w:tcBorders>
                    <w:top w:val="nil"/>
                    <w:left w:val="nil"/>
                    <w:bottom w:val="nil"/>
                    <w:right w:val="nil"/>
                  </w:tcBorders>
                  <w:shd w:val="clear" w:color="auto" w:fill="auto"/>
                  <w:noWrap/>
                  <w:vAlign w:val="bottom"/>
                  <w:hideMark/>
                </w:tcPr>
                <w:p w14:paraId="7141DF9E" w14:textId="6929CB45"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THP-1</w:t>
                  </w:r>
                </w:p>
              </w:tc>
              <w:tc>
                <w:tcPr>
                  <w:tcW w:w="7817" w:type="dxa"/>
                  <w:tcBorders>
                    <w:top w:val="nil"/>
                    <w:left w:val="nil"/>
                    <w:bottom w:val="nil"/>
                    <w:right w:val="nil"/>
                  </w:tcBorders>
                  <w:shd w:val="clear" w:color="auto" w:fill="auto"/>
                  <w:noWrap/>
                  <w:vAlign w:val="bottom"/>
                  <w:hideMark/>
                </w:tcPr>
                <w:p w14:paraId="072C9ACD" w14:textId="483A089F"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human monocyte cell line</w:t>
                  </w:r>
                </w:p>
              </w:tc>
            </w:tr>
            <w:tr w:rsidR="003C0E2F" w:rsidRPr="003C0E2F" w14:paraId="3E49A20C" w14:textId="77777777" w:rsidTr="00267E91">
              <w:trPr>
                <w:trHeight w:val="280"/>
              </w:trPr>
              <w:tc>
                <w:tcPr>
                  <w:tcW w:w="1880" w:type="dxa"/>
                  <w:tcBorders>
                    <w:top w:val="nil"/>
                    <w:left w:val="nil"/>
                    <w:bottom w:val="nil"/>
                    <w:right w:val="nil"/>
                  </w:tcBorders>
                  <w:shd w:val="clear" w:color="auto" w:fill="auto"/>
                  <w:noWrap/>
                  <w:vAlign w:val="bottom"/>
                  <w:hideMark/>
                </w:tcPr>
                <w:p w14:paraId="6128899A" w14:textId="6F607DD2"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TIMP-1</w:t>
                  </w:r>
                </w:p>
              </w:tc>
              <w:tc>
                <w:tcPr>
                  <w:tcW w:w="7817" w:type="dxa"/>
                  <w:tcBorders>
                    <w:top w:val="nil"/>
                    <w:left w:val="nil"/>
                    <w:bottom w:val="nil"/>
                    <w:right w:val="nil"/>
                  </w:tcBorders>
                  <w:shd w:val="clear" w:color="auto" w:fill="auto"/>
                  <w:noWrap/>
                  <w:vAlign w:val="bottom"/>
                  <w:hideMark/>
                </w:tcPr>
                <w:p w14:paraId="6B33D39A" w14:textId="04568537"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Tissue inhibitor of metalloproteinases 1</w:t>
                  </w:r>
                </w:p>
              </w:tc>
            </w:tr>
            <w:tr w:rsidR="003C0E2F" w:rsidRPr="003C0E2F" w14:paraId="5F489F6A" w14:textId="77777777" w:rsidTr="00267E91">
              <w:trPr>
                <w:trHeight w:val="280"/>
              </w:trPr>
              <w:tc>
                <w:tcPr>
                  <w:tcW w:w="1880" w:type="dxa"/>
                  <w:tcBorders>
                    <w:top w:val="nil"/>
                    <w:left w:val="nil"/>
                    <w:bottom w:val="nil"/>
                    <w:right w:val="nil"/>
                  </w:tcBorders>
                  <w:shd w:val="clear" w:color="auto" w:fill="auto"/>
                  <w:noWrap/>
                  <w:vAlign w:val="bottom"/>
                  <w:hideMark/>
                </w:tcPr>
                <w:p w14:paraId="29DA7DCD" w14:textId="12AD5C83"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TIMP-2</w:t>
                  </w:r>
                </w:p>
              </w:tc>
              <w:tc>
                <w:tcPr>
                  <w:tcW w:w="7817" w:type="dxa"/>
                  <w:tcBorders>
                    <w:top w:val="nil"/>
                    <w:left w:val="nil"/>
                    <w:bottom w:val="nil"/>
                    <w:right w:val="nil"/>
                  </w:tcBorders>
                  <w:shd w:val="clear" w:color="auto" w:fill="auto"/>
                  <w:noWrap/>
                  <w:vAlign w:val="bottom"/>
                  <w:hideMark/>
                </w:tcPr>
                <w:p w14:paraId="3E18FA57" w14:textId="0F5B44FF"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Tissue inhibitor of metalloproteinases 2</w:t>
                  </w:r>
                </w:p>
              </w:tc>
            </w:tr>
            <w:tr w:rsidR="003C0E2F" w:rsidRPr="003C0E2F" w14:paraId="1BABBB38" w14:textId="77777777" w:rsidTr="00267E91">
              <w:trPr>
                <w:trHeight w:val="280"/>
              </w:trPr>
              <w:tc>
                <w:tcPr>
                  <w:tcW w:w="1880" w:type="dxa"/>
                  <w:tcBorders>
                    <w:top w:val="nil"/>
                    <w:left w:val="nil"/>
                    <w:bottom w:val="nil"/>
                    <w:right w:val="nil"/>
                  </w:tcBorders>
                  <w:shd w:val="clear" w:color="auto" w:fill="auto"/>
                  <w:noWrap/>
                  <w:vAlign w:val="bottom"/>
                  <w:hideMark/>
                </w:tcPr>
                <w:p w14:paraId="00188E1D" w14:textId="36343B33"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TLR (TLR</w:t>
                  </w:r>
                  <w:proofErr w:type="gramStart"/>
                  <w:r w:rsidRPr="003C0E2F">
                    <w:rPr>
                      <w:rFonts w:ascii="Calibri" w:eastAsia="Times New Roman" w:hAnsi="Calibri" w:cs="Calibri"/>
                      <w:b/>
                      <w:bCs/>
                    </w:rPr>
                    <w:t>1,TLR</w:t>
                  </w:r>
                  <w:proofErr w:type="gramEnd"/>
                  <w:r w:rsidRPr="003C0E2F">
                    <w:rPr>
                      <w:rFonts w:ascii="Calibri" w:eastAsia="Times New Roman" w:hAnsi="Calibri" w:cs="Calibri"/>
                      <w:b/>
                      <w:bCs/>
                    </w:rPr>
                    <w:t>2…)</w:t>
                  </w:r>
                </w:p>
              </w:tc>
              <w:tc>
                <w:tcPr>
                  <w:tcW w:w="7817" w:type="dxa"/>
                  <w:tcBorders>
                    <w:top w:val="nil"/>
                    <w:left w:val="nil"/>
                    <w:bottom w:val="nil"/>
                    <w:right w:val="nil"/>
                  </w:tcBorders>
                  <w:shd w:val="clear" w:color="auto" w:fill="auto"/>
                  <w:noWrap/>
                  <w:vAlign w:val="bottom"/>
                  <w:hideMark/>
                </w:tcPr>
                <w:p w14:paraId="49109187" w14:textId="208158EF"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Toll-like receptor (Toll-like receptor 1, Toll-like receptor 2, etc…)</w:t>
                  </w:r>
                </w:p>
              </w:tc>
            </w:tr>
            <w:tr w:rsidR="003C0E2F" w:rsidRPr="003C0E2F" w14:paraId="35CDFB12" w14:textId="77777777" w:rsidTr="00267E91">
              <w:trPr>
                <w:trHeight w:val="280"/>
              </w:trPr>
              <w:tc>
                <w:tcPr>
                  <w:tcW w:w="1880" w:type="dxa"/>
                  <w:tcBorders>
                    <w:top w:val="nil"/>
                    <w:left w:val="nil"/>
                    <w:bottom w:val="nil"/>
                    <w:right w:val="nil"/>
                  </w:tcBorders>
                  <w:shd w:val="clear" w:color="auto" w:fill="auto"/>
                  <w:noWrap/>
                  <w:vAlign w:val="bottom"/>
                  <w:hideMark/>
                </w:tcPr>
                <w:p w14:paraId="263A05EC" w14:textId="5D576ACE"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TMB</w:t>
                  </w:r>
                </w:p>
              </w:tc>
              <w:tc>
                <w:tcPr>
                  <w:tcW w:w="7817" w:type="dxa"/>
                  <w:tcBorders>
                    <w:top w:val="nil"/>
                    <w:left w:val="nil"/>
                    <w:bottom w:val="nil"/>
                    <w:right w:val="nil"/>
                  </w:tcBorders>
                  <w:shd w:val="clear" w:color="auto" w:fill="auto"/>
                  <w:noWrap/>
                  <w:vAlign w:val="bottom"/>
                  <w:hideMark/>
                </w:tcPr>
                <w:p w14:paraId="1B01F984" w14:textId="606DAE52"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3,3',5,5'-Tetramethylbenzidine</w:t>
                  </w:r>
                </w:p>
              </w:tc>
            </w:tr>
            <w:tr w:rsidR="003C0E2F" w:rsidRPr="003C0E2F" w14:paraId="6E075A8A" w14:textId="77777777" w:rsidTr="00267E91">
              <w:trPr>
                <w:trHeight w:val="280"/>
              </w:trPr>
              <w:tc>
                <w:tcPr>
                  <w:tcW w:w="1880" w:type="dxa"/>
                  <w:tcBorders>
                    <w:top w:val="nil"/>
                    <w:left w:val="nil"/>
                    <w:bottom w:val="nil"/>
                    <w:right w:val="nil"/>
                  </w:tcBorders>
                  <w:shd w:val="clear" w:color="auto" w:fill="auto"/>
                  <w:noWrap/>
                  <w:vAlign w:val="bottom"/>
                  <w:hideMark/>
                </w:tcPr>
                <w:p w14:paraId="3A25AB45" w14:textId="30FDBC4C"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TNF RI</w:t>
                  </w:r>
                </w:p>
              </w:tc>
              <w:tc>
                <w:tcPr>
                  <w:tcW w:w="7817" w:type="dxa"/>
                  <w:tcBorders>
                    <w:top w:val="nil"/>
                    <w:left w:val="nil"/>
                    <w:bottom w:val="nil"/>
                    <w:right w:val="nil"/>
                  </w:tcBorders>
                  <w:shd w:val="clear" w:color="auto" w:fill="auto"/>
                  <w:noWrap/>
                  <w:vAlign w:val="bottom"/>
                  <w:hideMark/>
                </w:tcPr>
                <w:p w14:paraId="522845B7" w14:textId="1AD0D485"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Tumour necrosis factor receptor 1</w:t>
                  </w:r>
                </w:p>
              </w:tc>
            </w:tr>
            <w:tr w:rsidR="003C0E2F" w:rsidRPr="003C0E2F" w14:paraId="16F458CB" w14:textId="77777777" w:rsidTr="00267E91">
              <w:trPr>
                <w:trHeight w:val="280"/>
              </w:trPr>
              <w:tc>
                <w:tcPr>
                  <w:tcW w:w="1880" w:type="dxa"/>
                  <w:tcBorders>
                    <w:top w:val="nil"/>
                    <w:left w:val="nil"/>
                    <w:bottom w:val="nil"/>
                    <w:right w:val="nil"/>
                  </w:tcBorders>
                  <w:shd w:val="clear" w:color="auto" w:fill="auto"/>
                  <w:noWrap/>
                  <w:vAlign w:val="bottom"/>
                  <w:hideMark/>
                </w:tcPr>
                <w:p w14:paraId="2B2950E7" w14:textId="3876BF9A"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TNF RII</w:t>
                  </w:r>
                </w:p>
              </w:tc>
              <w:tc>
                <w:tcPr>
                  <w:tcW w:w="7817" w:type="dxa"/>
                  <w:tcBorders>
                    <w:top w:val="nil"/>
                    <w:left w:val="nil"/>
                    <w:bottom w:val="nil"/>
                    <w:right w:val="nil"/>
                  </w:tcBorders>
                  <w:shd w:val="clear" w:color="auto" w:fill="auto"/>
                  <w:noWrap/>
                  <w:vAlign w:val="bottom"/>
                  <w:hideMark/>
                </w:tcPr>
                <w:p w14:paraId="6B116FA1" w14:textId="4E3A79F7"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Tumour necrosis factor receptor 2</w:t>
                  </w:r>
                </w:p>
              </w:tc>
            </w:tr>
            <w:tr w:rsidR="003C0E2F" w:rsidRPr="003C0E2F" w14:paraId="4A344D44" w14:textId="77777777" w:rsidTr="00267E91">
              <w:trPr>
                <w:trHeight w:val="280"/>
              </w:trPr>
              <w:tc>
                <w:tcPr>
                  <w:tcW w:w="1880" w:type="dxa"/>
                  <w:tcBorders>
                    <w:top w:val="nil"/>
                    <w:left w:val="nil"/>
                    <w:bottom w:val="nil"/>
                    <w:right w:val="nil"/>
                  </w:tcBorders>
                  <w:shd w:val="clear" w:color="auto" w:fill="auto"/>
                  <w:noWrap/>
                  <w:vAlign w:val="bottom"/>
                  <w:hideMark/>
                </w:tcPr>
                <w:p w14:paraId="36FF2D67" w14:textId="439C2212"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TNFα</w:t>
                  </w:r>
                </w:p>
              </w:tc>
              <w:tc>
                <w:tcPr>
                  <w:tcW w:w="7817" w:type="dxa"/>
                  <w:tcBorders>
                    <w:top w:val="nil"/>
                    <w:left w:val="nil"/>
                    <w:bottom w:val="nil"/>
                    <w:right w:val="nil"/>
                  </w:tcBorders>
                  <w:shd w:val="clear" w:color="auto" w:fill="auto"/>
                  <w:noWrap/>
                  <w:vAlign w:val="bottom"/>
                  <w:hideMark/>
                </w:tcPr>
                <w:p w14:paraId="767D9118" w14:textId="766AF238"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Tumour Necrosis Factor alpha</w:t>
                  </w:r>
                </w:p>
              </w:tc>
            </w:tr>
            <w:tr w:rsidR="003C0E2F" w:rsidRPr="003C0E2F" w14:paraId="02D416FA" w14:textId="77777777" w:rsidTr="00267E91">
              <w:trPr>
                <w:trHeight w:val="280"/>
              </w:trPr>
              <w:tc>
                <w:tcPr>
                  <w:tcW w:w="1880" w:type="dxa"/>
                  <w:tcBorders>
                    <w:top w:val="nil"/>
                    <w:left w:val="nil"/>
                    <w:bottom w:val="nil"/>
                    <w:right w:val="nil"/>
                  </w:tcBorders>
                  <w:shd w:val="clear" w:color="auto" w:fill="auto"/>
                  <w:noWrap/>
                  <w:vAlign w:val="bottom"/>
                  <w:hideMark/>
                </w:tcPr>
                <w:p w14:paraId="5384F3CE" w14:textId="19C8F4F9"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TRAF6</w:t>
                  </w:r>
                </w:p>
              </w:tc>
              <w:tc>
                <w:tcPr>
                  <w:tcW w:w="7817" w:type="dxa"/>
                  <w:tcBorders>
                    <w:top w:val="nil"/>
                    <w:left w:val="nil"/>
                    <w:bottom w:val="nil"/>
                    <w:right w:val="nil"/>
                  </w:tcBorders>
                  <w:shd w:val="clear" w:color="auto" w:fill="auto"/>
                  <w:noWrap/>
                  <w:vAlign w:val="bottom"/>
                  <w:hideMark/>
                </w:tcPr>
                <w:p w14:paraId="2E8A1854" w14:textId="122BF14E"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TNF receptor-associated factor 6</w:t>
                  </w:r>
                </w:p>
              </w:tc>
            </w:tr>
            <w:tr w:rsidR="003C0E2F" w:rsidRPr="003C0E2F" w14:paraId="2DB18557" w14:textId="77777777" w:rsidTr="00267E91">
              <w:trPr>
                <w:trHeight w:val="280"/>
              </w:trPr>
              <w:tc>
                <w:tcPr>
                  <w:tcW w:w="1880" w:type="dxa"/>
                  <w:tcBorders>
                    <w:top w:val="nil"/>
                    <w:left w:val="nil"/>
                    <w:bottom w:val="nil"/>
                    <w:right w:val="nil"/>
                  </w:tcBorders>
                  <w:shd w:val="clear" w:color="auto" w:fill="auto"/>
                  <w:noWrap/>
                  <w:vAlign w:val="bottom"/>
                  <w:hideMark/>
                </w:tcPr>
                <w:p w14:paraId="1D821ABD" w14:textId="196E8779"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TRAM</w:t>
                  </w:r>
                </w:p>
              </w:tc>
              <w:tc>
                <w:tcPr>
                  <w:tcW w:w="7817" w:type="dxa"/>
                  <w:tcBorders>
                    <w:top w:val="nil"/>
                    <w:left w:val="nil"/>
                    <w:bottom w:val="nil"/>
                    <w:right w:val="nil"/>
                  </w:tcBorders>
                  <w:shd w:val="clear" w:color="auto" w:fill="auto"/>
                  <w:noWrap/>
                  <w:vAlign w:val="bottom"/>
                  <w:hideMark/>
                </w:tcPr>
                <w:p w14:paraId="234874B2" w14:textId="56F3EADF"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Translocating chain-associated membrane protein</w:t>
                  </w:r>
                </w:p>
              </w:tc>
            </w:tr>
            <w:tr w:rsidR="003C0E2F" w:rsidRPr="003C0E2F" w14:paraId="3851F38C" w14:textId="77777777" w:rsidTr="00267E91">
              <w:trPr>
                <w:trHeight w:val="280"/>
              </w:trPr>
              <w:tc>
                <w:tcPr>
                  <w:tcW w:w="1880" w:type="dxa"/>
                  <w:tcBorders>
                    <w:top w:val="nil"/>
                    <w:left w:val="nil"/>
                    <w:bottom w:val="nil"/>
                    <w:right w:val="nil"/>
                  </w:tcBorders>
                  <w:shd w:val="clear" w:color="auto" w:fill="auto"/>
                  <w:noWrap/>
                  <w:vAlign w:val="bottom"/>
                  <w:hideMark/>
                </w:tcPr>
                <w:p w14:paraId="0E5528AF" w14:textId="475BF63F"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TRIF</w:t>
                  </w:r>
                </w:p>
              </w:tc>
              <w:tc>
                <w:tcPr>
                  <w:tcW w:w="7817" w:type="dxa"/>
                  <w:tcBorders>
                    <w:top w:val="nil"/>
                    <w:left w:val="nil"/>
                    <w:bottom w:val="nil"/>
                    <w:right w:val="nil"/>
                  </w:tcBorders>
                  <w:shd w:val="clear" w:color="auto" w:fill="auto"/>
                  <w:noWrap/>
                  <w:vAlign w:val="bottom"/>
                  <w:hideMark/>
                </w:tcPr>
                <w:p w14:paraId="74067F63" w14:textId="39995C04"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TIR domain containing adaptor inducing interferon beta</w:t>
                  </w:r>
                </w:p>
              </w:tc>
            </w:tr>
            <w:tr w:rsidR="003C0E2F" w:rsidRPr="003C0E2F" w14:paraId="6586323B" w14:textId="77777777" w:rsidTr="00267E91">
              <w:trPr>
                <w:trHeight w:val="280"/>
              </w:trPr>
              <w:tc>
                <w:tcPr>
                  <w:tcW w:w="1880" w:type="dxa"/>
                  <w:tcBorders>
                    <w:top w:val="nil"/>
                    <w:left w:val="nil"/>
                    <w:bottom w:val="nil"/>
                    <w:right w:val="nil"/>
                  </w:tcBorders>
                  <w:shd w:val="clear" w:color="auto" w:fill="auto"/>
                  <w:noWrap/>
                  <w:vAlign w:val="bottom"/>
                  <w:hideMark/>
                </w:tcPr>
                <w:p w14:paraId="3AF921FE" w14:textId="02B8A510"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VCAM-1</w:t>
                  </w:r>
                </w:p>
              </w:tc>
              <w:tc>
                <w:tcPr>
                  <w:tcW w:w="7817" w:type="dxa"/>
                  <w:tcBorders>
                    <w:top w:val="nil"/>
                    <w:left w:val="nil"/>
                    <w:bottom w:val="nil"/>
                    <w:right w:val="nil"/>
                  </w:tcBorders>
                  <w:shd w:val="clear" w:color="auto" w:fill="auto"/>
                  <w:noWrap/>
                  <w:vAlign w:val="bottom"/>
                  <w:hideMark/>
                </w:tcPr>
                <w:p w14:paraId="0299E8D7" w14:textId="3C6DD20F"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Vascular cell adhesion protein 1</w:t>
                  </w:r>
                </w:p>
              </w:tc>
            </w:tr>
            <w:tr w:rsidR="003C0E2F" w:rsidRPr="003C0E2F" w14:paraId="71FC7A28" w14:textId="77777777" w:rsidTr="00267E91">
              <w:trPr>
                <w:trHeight w:val="280"/>
              </w:trPr>
              <w:tc>
                <w:tcPr>
                  <w:tcW w:w="1880" w:type="dxa"/>
                  <w:tcBorders>
                    <w:top w:val="nil"/>
                    <w:left w:val="nil"/>
                    <w:bottom w:val="nil"/>
                    <w:right w:val="nil"/>
                  </w:tcBorders>
                  <w:shd w:val="clear" w:color="auto" w:fill="auto"/>
                  <w:noWrap/>
                  <w:vAlign w:val="bottom"/>
                  <w:hideMark/>
                </w:tcPr>
                <w:p w14:paraId="6841EF21" w14:textId="6082521C"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VEGF</w:t>
                  </w:r>
                </w:p>
              </w:tc>
              <w:tc>
                <w:tcPr>
                  <w:tcW w:w="7817" w:type="dxa"/>
                  <w:tcBorders>
                    <w:top w:val="nil"/>
                    <w:left w:val="nil"/>
                    <w:bottom w:val="nil"/>
                    <w:right w:val="nil"/>
                  </w:tcBorders>
                  <w:shd w:val="clear" w:color="auto" w:fill="auto"/>
                  <w:noWrap/>
                  <w:vAlign w:val="bottom"/>
                  <w:hideMark/>
                </w:tcPr>
                <w:p w14:paraId="447FB2D5" w14:textId="26AE970D"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Vascular endothelial growth factor</w:t>
                  </w:r>
                </w:p>
              </w:tc>
            </w:tr>
            <w:tr w:rsidR="003C0E2F" w:rsidRPr="003C0E2F" w14:paraId="73ACE55F" w14:textId="77777777" w:rsidTr="00267E91">
              <w:trPr>
                <w:trHeight w:val="280"/>
              </w:trPr>
              <w:tc>
                <w:tcPr>
                  <w:tcW w:w="1880" w:type="dxa"/>
                  <w:tcBorders>
                    <w:top w:val="nil"/>
                    <w:left w:val="nil"/>
                    <w:bottom w:val="nil"/>
                    <w:right w:val="nil"/>
                  </w:tcBorders>
                  <w:shd w:val="clear" w:color="auto" w:fill="auto"/>
                  <w:noWrap/>
                  <w:vAlign w:val="bottom"/>
                  <w:hideMark/>
                </w:tcPr>
                <w:p w14:paraId="7DE73621" w14:textId="0D82BD33"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WT</w:t>
                  </w:r>
                </w:p>
              </w:tc>
              <w:tc>
                <w:tcPr>
                  <w:tcW w:w="7817" w:type="dxa"/>
                  <w:tcBorders>
                    <w:top w:val="nil"/>
                    <w:left w:val="nil"/>
                    <w:bottom w:val="nil"/>
                    <w:right w:val="nil"/>
                  </w:tcBorders>
                  <w:shd w:val="clear" w:color="auto" w:fill="auto"/>
                  <w:noWrap/>
                  <w:vAlign w:val="bottom"/>
                  <w:hideMark/>
                </w:tcPr>
                <w:p w14:paraId="2A149BE2" w14:textId="1CCF9C98"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Wildtype</w:t>
                  </w:r>
                </w:p>
              </w:tc>
            </w:tr>
            <w:tr w:rsidR="003C0E2F" w:rsidRPr="003C0E2F" w14:paraId="05170B37" w14:textId="77777777" w:rsidTr="00267E91">
              <w:trPr>
                <w:trHeight w:val="280"/>
              </w:trPr>
              <w:tc>
                <w:tcPr>
                  <w:tcW w:w="1880" w:type="dxa"/>
                  <w:tcBorders>
                    <w:top w:val="nil"/>
                    <w:left w:val="nil"/>
                    <w:bottom w:val="nil"/>
                    <w:right w:val="nil"/>
                  </w:tcBorders>
                  <w:shd w:val="clear" w:color="auto" w:fill="auto"/>
                  <w:noWrap/>
                  <w:vAlign w:val="bottom"/>
                  <w:hideMark/>
                </w:tcPr>
                <w:p w14:paraId="4AE85729" w14:textId="08481ED1"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XCL1</w:t>
                  </w:r>
                </w:p>
              </w:tc>
              <w:tc>
                <w:tcPr>
                  <w:tcW w:w="7817" w:type="dxa"/>
                  <w:tcBorders>
                    <w:top w:val="nil"/>
                    <w:left w:val="nil"/>
                    <w:bottom w:val="nil"/>
                    <w:right w:val="nil"/>
                  </w:tcBorders>
                  <w:shd w:val="clear" w:color="auto" w:fill="auto"/>
                  <w:noWrap/>
                  <w:vAlign w:val="bottom"/>
                  <w:hideMark/>
                </w:tcPr>
                <w:p w14:paraId="4E649E3B" w14:textId="24A05474"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 xml:space="preserve">X-C Motif Chemokine Ligand 1, </w:t>
                  </w:r>
                  <w:proofErr w:type="spellStart"/>
                  <w:r w:rsidRPr="003C0E2F">
                    <w:rPr>
                      <w:rFonts w:ascii="Calibri" w:eastAsia="Times New Roman" w:hAnsi="Calibri" w:cs="Calibri"/>
                    </w:rPr>
                    <w:t>Lymphotaxin</w:t>
                  </w:r>
                  <w:proofErr w:type="spellEnd"/>
                </w:p>
              </w:tc>
            </w:tr>
            <w:tr w:rsidR="003C0E2F" w:rsidRPr="003C0E2F" w14:paraId="5D82EF52" w14:textId="77777777" w:rsidTr="00267E91">
              <w:trPr>
                <w:trHeight w:val="280"/>
              </w:trPr>
              <w:tc>
                <w:tcPr>
                  <w:tcW w:w="1880" w:type="dxa"/>
                  <w:tcBorders>
                    <w:top w:val="nil"/>
                    <w:left w:val="nil"/>
                    <w:bottom w:val="nil"/>
                    <w:right w:val="nil"/>
                  </w:tcBorders>
                  <w:shd w:val="clear" w:color="auto" w:fill="auto"/>
                  <w:noWrap/>
                  <w:vAlign w:val="bottom"/>
                  <w:hideMark/>
                </w:tcPr>
                <w:p w14:paraId="6015DEEC" w14:textId="39ED7EDD"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TYK (TYK</w:t>
                  </w:r>
                  <w:proofErr w:type="gramStart"/>
                  <w:r w:rsidRPr="003C0E2F">
                    <w:rPr>
                      <w:rFonts w:ascii="Calibri" w:eastAsia="Times New Roman" w:hAnsi="Calibri" w:cs="Calibri"/>
                      <w:b/>
                      <w:bCs/>
                    </w:rPr>
                    <w:t>1..</w:t>
                  </w:r>
                  <w:proofErr w:type="gramEnd"/>
                  <w:r w:rsidRPr="003C0E2F">
                    <w:rPr>
                      <w:rFonts w:ascii="Calibri" w:eastAsia="Times New Roman" w:hAnsi="Calibri" w:cs="Calibri"/>
                      <w:b/>
                      <w:bCs/>
                    </w:rPr>
                    <w:t>)</w:t>
                  </w:r>
                </w:p>
              </w:tc>
              <w:tc>
                <w:tcPr>
                  <w:tcW w:w="7817" w:type="dxa"/>
                  <w:tcBorders>
                    <w:top w:val="nil"/>
                    <w:left w:val="nil"/>
                    <w:bottom w:val="nil"/>
                    <w:right w:val="nil"/>
                  </w:tcBorders>
                  <w:shd w:val="clear" w:color="auto" w:fill="auto"/>
                  <w:noWrap/>
                  <w:vAlign w:val="bottom"/>
                  <w:hideMark/>
                </w:tcPr>
                <w:p w14:paraId="4215E870" w14:textId="1D750CF1"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Tyrosine kinase (Tyrosine Kinase 1 etc)</w:t>
                  </w:r>
                </w:p>
              </w:tc>
            </w:tr>
            <w:tr w:rsidR="003C0E2F" w:rsidRPr="003C0E2F" w14:paraId="654E5537" w14:textId="77777777" w:rsidTr="00267E91">
              <w:trPr>
                <w:trHeight w:val="280"/>
              </w:trPr>
              <w:tc>
                <w:tcPr>
                  <w:tcW w:w="1880" w:type="dxa"/>
                  <w:tcBorders>
                    <w:top w:val="nil"/>
                    <w:left w:val="nil"/>
                    <w:bottom w:val="nil"/>
                    <w:right w:val="nil"/>
                  </w:tcBorders>
                  <w:shd w:val="clear" w:color="auto" w:fill="auto"/>
                  <w:noWrap/>
                  <w:vAlign w:val="bottom"/>
                  <w:hideMark/>
                </w:tcPr>
                <w:p w14:paraId="03240671" w14:textId="3CE510EF"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JAK1</w:t>
                  </w:r>
                </w:p>
              </w:tc>
              <w:tc>
                <w:tcPr>
                  <w:tcW w:w="7817" w:type="dxa"/>
                  <w:tcBorders>
                    <w:top w:val="nil"/>
                    <w:left w:val="nil"/>
                    <w:bottom w:val="nil"/>
                    <w:right w:val="nil"/>
                  </w:tcBorders>
                  <w:shd w:val="clear" w:color="auto" w:fill="auto"/>
                  <w:noWrap/>
                  <w:vAlign w:val="bottom"/>
                  <w:hideMark/>
                </w:tcPr>
                <w:p w14:paraId="1817D4E0" w14:textId="12D350C2"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Janus activated kinase 1</w:t>
                  </w:r>
                </w:p>
              </w:tc>
            </w:tr>
            <w:tr w:rsidR="003C0E2F" w:rsidRPr="003C0E2F" w14:paraId="1BEDA5C0" w14:textId="77777777" w:rsidTr="00267E91">
              <w:trPr>
                <w:trHeight w:val="280"/>
              </w:trPr>
              <w:tc>
                <w:tcPr>
                  <w:tcW w:w="1880" w:type="dxa"/>
                  <w:tcBorders>
                    <w:top w:val="nil"/>
                    <w:left w:val="nil"/>
                    <w:bottom w:val="nil"/>
                    <w:right w:val="nil"/>
                  </w:tcBorders>
                  <w:shd w:val="clear" w:color="auto" w:fill="auto"/>
                  <w:noWrap/>
                  <w:vAlign w:val="bottom"/>
                  <w:hideMark/>
                </w:tcPr>
                <w:p w14:paraId="09280689" w14:textId="293C24CB"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MS</w:t>
                  </w:r>
                </w:p>
              </w:tc>
              <w:tc>
                <w:tcPr>
                  <w:tcW w:w="7817" w:type="dxa"/>
                  <w:tcBorders>
                    <w:top w:val="nil"/>
                    <w:left w:val="nil"/>
                    <w:bottom w:val="nil"/>
                    <w:right w:val="nil"/>
                  </w:tcBorders>
                  <w:shd w:val="clear" w:color="auto" w:fill="auto"/>
                  <w:noWrap/>
                  <w:vAlign w:val="bottom"/>
                  <w:hideMark/>
                </w:tcPr>
                <w:p w14:paraId="5F8F6A4B" w14:textId="06CEF939"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Multiple sclerosis</w:t>
                  </w:r>
                </w:p>
              </w:tc>
            </w:tr>
            <w:tr w:rsidR="003C0E2F" w:rsidRPr="003C0E2F" w14:paraId="63ED5B4C" w14:textId="77777777" w:rsidTr="00267E91">
              <w:trPr>
                <w:trHeight w:val="280"/>
              </w:trPr>
              <w:tc>
                <w:tcPr>
                  <w:tcW w:w="1880" w:type="dxa"/>
                  <w:tcBorders>
                    <w:top w:val="nil"/>
                    <w:left w:val="nil"/>
                    <w:bottom w:val="nil"/>
                    <w:right w:val="nil"/>
                  </w:tcBorders>
                  <w:shd w:val="clear" w:color="auto" w:fill="auto"/>
                  <w:noWrap/>
                  <w:vAlign w:val="bottom"/>
                  <w:hideMark/>
                </w:tcPr>
                <w:p w14:paraId="06FC7CD0" w14:textId="0627E5D2" w:rsidR="001A2988" w:rsidRPr="003C0E2F" w:rsidRDefault="001A2988" w:rsidP="003735FB">
                  <w:pPr>
                    <w:spacing w:after="0" w:line="240" w:lineRule="auto"/>
                    <w:rPr>
                      <w:rFonts w:ascii="Calibri" w:eastAsia="Times New Roman" w:hAnsi="Calibri" w:cs="Calibri"/>
                      <w:b/>
                      <w:bCs/>
                    </w:rPr>
                  </w:pPr>
                  <w:r w:rsidRPr="003C0E2F">
                    <w:rPr>
                      <w:rFonts w:ascii="Calibri" w:eastAsia="Times New Roman" w:hAnsi="Calibri" w:cs="Calibri"/>
                      <w:b/>
                      <w:bCs/>
                    </w:rPr>
                    <w:t>HMEC</w:t>
                  </w:r>
                </w:p>
              </w:tc>
              <w:tc>
                <w:tcPr>
                  <w:tcW w:w="7817" w:type="dxa"/>
                  <w:tcBorders>
                    <w:top w:val="nil"/>
                    <w:left w:val="nil"/>
                    <w:bottom w:val="nil"/>
                    <w:right w:val="nil"/>
                  </w:tcBorders>
                  <w:shd w:val="clear" w:color="auto" w:fill="auto"/>
                  <w:noWrap/>
                  <w:vAlign w:val="bottom"/>
                  <w:hideMark/>
                </w:tcPr>
                <w:p w14:paraId="1F4CE4AC" w14:textId="2B4C7047" w:rsidR="001A2988" w:rsidRPr="003C0E2F" w:rsidRDefault="001A2988" w:rsidP="003735FB">
                  <w:pPr>
                    <w:spacing w:after="0" w:line="240" w:lineRule="auto"/>
                    <w:rPr>
                      <w:rFonts w:ascii="Calibri" w:eastAsia="Times New Roman" w:hAnsi="Calibri" w:cs="Calibri"/>
                    </w:rPr>
                  </w:pPr>
                  <w:r w:rsidRPr="003C0E2F">
                    <w:rPr>
                      <w:rFonts w:ascii="Calibri" w:eastAsia="Times New Roman" w:hAnsi="Calibri" w:cs="Calibri"/>
                    </w:rPr>
                    <w:t>Human mammary epithelial cell</w:t>
                  </w:r>
                </w:p>
              </w:tc>
            </w:tr>
            <w:tr w:rsidR="003C0E2F" w:rsidRPr="003C0E2F" w14:paraId="4389B57F" w14:textId="77777777" w:rsidTr="00267E91">
              <w:trPr>
                <w:trHeight w:val="280"/>
              </w:trPr>
              <w:tc>
                <w:tcPr>
                  <w:tcW w:w="1880" w:type="dxa"/>
                  <w:tcBorders>
                    <w:top w:val="nil"/>
                    <w:left w:val="nil"/>
                    <w:bottom w:val="nil"/>
                    <w:right w:val="nil"/>
                  </w:tcBorders>
                  <w:shd w:val="clear" w:color="auto" w:fill="auto"/>
                  <w:noWrap/>
                  <w:vAlign w:val="bottom"/>
                  <w:hideMark/>
                </w:tcPr>
                <w:p w14:paraId="23D45105" w14:textId="2E7C0B2B" w:rsidR="001A2988" w:rsidRPr="003C0E2F" w:rsidRDefault="001A2988" w:rsidP="003735FB">
                  <w:pPr>
                    <w:spacing w:after="0" w:line="240" w:lineRule="auto"/>
                    <w:rPr>
                      <w:rFonts w:ascii="Calibri" w:eastAsia="Times New Roman" w:hAnsi="Calibri" w:cs="Calibri"/>
                      <w:b/>
                      <w:bCs/>
                    </w:rPr>
                  </w:pPr>
                </w:p>
              </w:tc>
              <w:tc>
                <w:tcPr>
                  <w:tcW w:w="7817" w:type="dxa"/>
                  <w:tcBorders>
                    <w:top w:val="nil"/>
                    <w:left w:val="nil"/>
                    <w:bottom w:val="nil"/>
                    <w:right w:val="nil"/>
                  </w:tcBorders>
                  <w:shd w:val="clear" w:color="auto" w:fill="auto"/>
                  <w:noWrap/>
                  <w:vAlign w:val="bottom"/>
                  <w:hideMark/>
                </w:tcPr>
                <w:p w14:paraId="23350190" w14:textId="67C52D03" w:rsidR="001A2988" w:rsidRPr="003C0E2F" w:rsidRDefault="001A2988" w:rsidP="003735FB">
                  <w:pPr>
                    <w:spacing w:after="0" w:line="240" w:lineRule="auto"/>
                    <w:rPr>
                      <w:rFonts w:ascii="Calibri" w:eastAsia="Times New Roman" w:hAnsi="Calibri" w:cs="Calibri"/>
                    </w:rPr>
                  </w:pPr>
                </w:p>
              </w:tc>
            </w:tr>
            <w:tr w:rsidR="003C0E2F" w:rsidRPr="003C0E2F" w14:paraId="5A9320C3" w14:textId="77777777" w:rsidTr="00895BDB">
              <w:trPr>
                <w:trHeight w:val="280"/>
              </w:trPr>
              <w:tc>
                <w:tcPr>
                  <w:tcW w:w="1880" w:type="dxa"/>
                  <w:tcBorders>
                    <w:top w:val="nil"/>
                    <w:left w:val="nil"/>
                    <w:bottom w:val="nil"/>
                    <w:right w:val="nil"/>
                  </w:tcBorders>
                  <w:shd w:val="clear" w:color="auto" w:fill="auto"/>
                  <w:noWrap/>
                  <w:vAlign w:val="bottom"/>
                </w:tcPr>
                <w:p w14:paraId="1504AE38" w14:textId="3AA1CF0F" w:rsidR="001A2988" w:rsidRPr="003C0E2F" w:rsidRDefault="001A2988" w:rsidP="003735FB">
                  <w:pPr>
                    <w:spacing w:after="0" w:line="240" w:lineRule="auto"/>
                    <w:rPr>
                      <w:rFonts w:ascii="Calibri" w:eastAsia="Times New Roman" w:hAnsi="Calibri" w:cs="Calibri"/>
                      <w:b/>
                      <w:bCs/>
                    </w:rPr>
                  </w:pPr>
                </w:p>
              </w:tc>
              <w:tc>
                <w:tcPr>
                  <w:tcW w:w="7817" w:type="dxa"/>
                  <w:tcBorders>
                    <w:top w:val="nil"/>
                    <w:left w:val="nil"/>
                    <w:bottom w:val="nil"/>
                    <w:right w:val="nil"/>
                  </w:tcBorders>
                  <w:shd w:val="clear" w:color="auto" w:fill="auto"/>
                  <w:noWrap/>
                  <w:vAlign w:val="bottom"/>
                </w:tcPr>
                <w:p w14:paraId="6F9C4F17" w14:textId="286B622B" w:rsidR="001A2988" w:rsidRPr="003C0E2F" w:rsidRDefault="001A2988" w:rsidP="003735FB">
                  <w:pPr>
                    <w:spacing w:after="0" w:line="240" w:lineRule="auto"/>
                    <w:rPr>
                      <w:rFonts w:ascii="Calibri" w:eastAsia="Times New Roman" w:hAnsi="Calibri" w:cs="Calibri"/>
                    </w:rPr>
                  </w:pPr>
                </w:p>
              </w:tc>
            </w:tr>
          </w:tbl>
          <w:p w14:paraId="2B3738DE" w14:textId="0B839F15" w:rsidR="000B1B9E" w:rsidRPr="003C0E2F" w:rsidRDefault="000B1B9E" w:rsidP="006D5FFC">
            <w:pPr>
              <w:spacing w:line="276" w:lineRule="auto"/>
            </w:pPr>
          </w:p>
        </w:tc>
        <w:tc>
          <w:tcPr>
            <w:tcW w:w="10240" w:type="dxa"/>
            <w:tcBorders>
              <w:top w:val="nil"/>
              <w:left w:val="nil"/>
              <w:bottom w:val="nil"/>
              <w:right w:val="nil"/>
            </w:tcBorders>
            <w:shd w:val="clear" w:color="auto" w:fill="auto"/>
            <w:noWrap/>
            <w:vAlign w:val="bottom"/>
          </w:tcPr>
          <w:p w14:paraId="008D7179" w14:textId="0DB8F45F" w:rsidR="000B1B9E" w:rsidRPr="003C0E2F" w:rsidRDefault="000B1B9E" w:rsidP="006D5FFC">
            <w:pPr>
              <w:spacing w:line="276" w:lineRule="auto"/>
            </w:pPr>
          </w:p>
        </w:tc>
      </w:tr>
      <w:tr w:rsidR="003C0E2F" w:rsidRPr="003C0E2F" w14:paraId="0A3DC43E" w14:textId="77777777" w:rsidTr="003735FB">
        <w:trPr>
          <w:trHeight w:val="300"/>
        </w:trPr>
        <w:tc>
          <w:tcPr>
            <w:tcW w:w="12376" w:type="dxa"/>
            <w:tcBorders>
              <w:top w:val="nil"/>
              <w:left w:val="nil"/>
              <w:bottom w:val="nil"/>
              <w:right w:val="nil"/>
            </w:tcBorders>
            <w:shd w:val="clear" w:color="auto" w:fill="auto"/>
            <w:noWrap/>
            <w:vAlign w:val="bottom"/>
          </w:tcPr>
          <w:p w14:paraId="31362759" w14:textId="37BB8A14" w:rsidR="000B1B9E" w:rsidRPr="003C0E2F" w:rsidRDefault="003735FB" w:rsidP="006D5FFC">
            <w:pPr>
              <w:spacing w:line="276" w:lineRule="auto"/>
            </w:pPr>
            <w:r w:rsidRPr="003C0E2F">
              <w:lastRenderedPageBreak/>
              <w:br w:type="page"/>
            </w:r>
          </w:p>
        </w:tc>
        <w:tc>
          <w:tcPr>
            <w:tcW w:w="10240" w:type="dxa"/>
            <w:tcBorders>
              <w:top w:val="nil"/>
              <w:left w:val="nil"/>
              <w:bottom w:val="nil"/>
              <w:right w:val="nil"/>
            </w:tcBorders>
            <w:shd w:val="clear" w:color="auto" w:fill="auto"/>
            <w:noWrap/>
            <w:vAlign w:val="bottom"/>
          </w:tcPr>
          <w:p w14:paraId="059041ED" w14:textId="537A8F71" w:rsidR="000B1B9E" w:rsidRPr="003C0E2F" w:rsidRDefault="000B1B9E" w:rsidP="006D5FFC">
            <w:pPr>
              <w:spacing w:line="276" w:lineRule="auto"/>
            </w:pPr>
          </w:p>
        </w:tc>
      </w:tr>
    </w:tbl>
    <w:p w14:paraId="3B31FF75" w14:textId="0027FF90" w:rsidR="00590AA7" w:rsidRPr="003C0E2F" w:rsidRDefault="003735FB">
      <w:pPr>
        <w:spacing w:line="259" w:lineRule="auto"/>
      </w:pPr>
      <w:r w:rsidRPr="003C0E2F">
        <w:br w:type="page"/>
      </w:r>
    </w:p>
    <w:p w14:paraId="067DA137" w14:textId="1D4E9187" w:rsidR="00267E91" w:rsidRPr="003C0E2F" w:rsidRDefault="004262CF" w:rsidP="004262CF">
      <w:pPr>
        <w:pStyle w:val="Heading1"/>
        <w:numPr>
          <w:ilvl w:val="0"/>
          <w:numId w:val="0"/>
        </w:numPr>
        <w:ind w:left="1069"/>
      </w:pPr>
      <w:r>
        <w:lastRenderedPageBreak/>
        <w:t xml:space="preserve">II. </w:t>
      </w:r>
      <w:r>
        <w:tab/>
      </w:r>
      <w:r w:rsidR="00267E91" w:rsidRPr="003C0E2F">
        <w:t>Abstract</w:t>
      </w:r>
    </w:p>
    <w:p w14:paraId="43926A24" w14:textId="51E4920D" w:rsidR="00C30973" w:rsidRPr="003C0E2F" w:rsidRDefault="00C30973" w:rsidP="00DA38BB">
      <w:pPr>
        <w:rPr>
          <w:b/>
          <w:bCs/>
        </w:rPr>
      </w:pPr>
    </w:p>
    <w:p w14:paraId="367C3D04" w14:textId="573D82BE" w:rsidR="00F16CF5" w:rsidRPr="003C0E2F" w:rsidRDefault="00424399" w:rsidP="00FC7B97">
      <w:pPr>
        <w:rPr>
          <w:b/>
          <w:bCs/>
        </w:rPr>
      </w:pPr>
      <w:r w:rsidRPr="003C0E2F">
        <w:rPr>
          <w:b/>
          <w:bCs/>
        </w:rPr>
        <w:t>MODULATION OF TLR4 SIGNALLING BY NOVEL SYNTHETIC GLYCOLIPIDS</w:t>
      </w:r>
      <w:r w:rsidR="00F50018" w:rsidRPr="003C0E2F">
        <w:rPr>
          <w:b/>
          <w:bCs/>
        </w:rPr>
        <w:t xml:space="preserve"> - </w:t>
      </w:r>
      <w:proofErr w:type="spellStart"/>
      <w:r w:rsidR="00F50018" w:rsidRPr="003C0E2F">
        <w:rPr>
          <w:b/>
          <w:bCs/>
        </w:rPr>
        <w:t>Charys</w:t>
      </w:r>
      <w:proofErr w:type="spellEnd"/>
      <w:r w:rsidR="00F50018" w:rsidRPr="003C0E2F">
        <w:rPr>
          <w:b/>
          <w:bCs/>
        </w:rPr>
        <w:t xml:space="preserve"> Palmer (2021)</w:t>
      </w:r>
    </w:p>
    <w:p w14:paraId="4CB16295" w14:textId="71367E8F" w:rsidR="00C47D55" w:rsidRPr="003C0E2F" w:rsidRDefault="00C47D55" w:rsidP="00C47D55">
      <w:r w:rsidRPr="003C0E2F">
        <w:rPr>
          <w:b/>
          <w:bCs/>
        </w:rPr>
        <w:t>Background:</w:t>
      </w:r>
      <w:r w:rsidRPr="003C0E2F">
        <w:t xml:space="preserve"> Vascular diseases represent a significant burden on healthcare systems in the developed world, heavily contributing to mortality and morbidity. TLR4 is an innate immune receptor</w:t>
      </w:r>
      <w:r w:rsidR="008E75C6" w:rsidRPr="003C0E2F">
        <w:t xml:space="preserve"> integral to host defence against pathogens. However</w:t>
      </w:r>
      <w:r w:rsidR="00B46E39" w:rsidRPr="003C0E2F">
        <w:t>,</w:t>
      </w:r>
      <w:r w:rsidR="008E75C6" w:rsidRPr="003C0E2F">
        <w:t xml:space="preserve"> overactivation of this response can </w:t>
      </w:r>
      <w:r w:rsidR="00704C83" w:rsidRPr="003C0E2F">
        <w:t xml:space="preserve">be </w:t>
      </w:r>
      <w:r w:rsidRPr="003C0E2F">
        <w:t>detrimental and is associated with development and progression of chronic inflammatory</w:t>
      </w:r>
      <w:r w:rsidR="00EF3181" w:rsidRPr="003C0E2F">
        <w:t xml:space="preserve"> </w:t>
      </w:r>
      <w:r w:rsidRPr="003C0E2F">
        <w:t>based conditions such as vascular diseases. Modulation of TLR4 activity therefore represents a potential avenue for development of pharmacological interventions</w:t>
      </w:r>
      <w:r w:rsidR="00131464" w:rsidRPr="003C0E2F">
        <w:t>.</w:t>
      </w:r>
    </w:p>
    <w:p w14:paraId="4C1FBA8E" w14:textId="4DB0430C" w:rsidR="00C47D55" w:rsidRPr="003C0E2F" w:rsidRDefault="00C47D55" w:rsidP="00C47D55">
      <w:r w:rsidRPr="003C0E2F">
        <w:rPr>
          <w:b/>
          <w:bCs/>
        </w:rPr>
        <w:t>Objective:</w:t>
      </w:r>
      <w:r w:rsidRPr="003C0E2F">
        <w:t xml:space="preserve"> Professor Peri (University of Milano)</w:t>
      </w:r>
      <w:r w:rsidR="00030A76" w:rsidRPr="003C0E2F">
        <w:t xml:space="preserve"> has</w:t>
      </w:r>
      <w:r w:rsidRPr="003C0E2F">
        <w:t xml:space="preserve"> developed a series of synthetic glycolipid small molecule modulators of TLR4. The current body of work aimed to screen and assess the potential of </w:t>
      </w:r>
      <w:r w:rsidR="00131464" w:rsidRPr="003C0E2F">
        <w:t>several predicted agonist and antagonist</w:t>
      </w:r>
      <w:r w:rsidRPr="003C0E2F">
        <w:t>s to affect TLR4 signalling in a cellular system, investigate the mechanism of action of these compounds and to determine their validity as modulators of haematopoietic TLR4 signalling in human and mouse cell lines.</w:t>
      </w:r>
    </w:p>
    <w:p w14:paraId="7844BDE9" w14:textId="5277B5ED" w:rsidR="00C47D55" w:rsidRPr="003C0E2F" w:rsidRDefault="00C47D55" w:rsidP="00C47D55">
      <w:r w:rsidRPr="003C0E2F">
        <w:rPr>
          <w:b/>
          <w:bCs/>
        </w:rPr>
        <w:t>Methods:</w:t>
      </w:r>
      <w:r w:rsidRPr="003C0E2F">
        <w:t xml:space="preserve"> Human and mouse </w:t>
      </w:r>
      <w:r w:rsidR="008F561F" w:rsidRPr="003C0E2F">
        <w:t>monocyte</w:t>
      </w:r>
      <w:r w:rsidRPr="003C0E2F">
        <w:t xml:space="preserve"> and </w:t>
      </w:r>
      <w:r w:rsidR="008F561F" w:rsidRPr="003C0E2F">
        <w:t>macrophage</w:t>
      </w:r>
      <w:r w:rsidR="00AB05D5" w:rsidRPr="003C0E2F">
        <w:t xml:space="preserve">s </w:t>
      </w:r>
      <w:r w:rsidRPr="003C0E2F">
        <w:t>were used as a model</w:t>
      </w:r>
      <w:r w:rsidR="00AB05D5" w:rsidRPr="003C0E2F">
        <w:t xml:space="preserve">. </w:t>
      </w:r>
      <w:r w:rsidRPr="003C0E2F">
        <w:t xml:space="preserve">MTT was used to determine cytotoxic </w:t>
      </w:r>
      <w:r w:rsidR="008F561F" w:rsidRPr="003C0E2F">
        <w:t>effect</w:t>
      </w:r>
      <w:r w:rsidRPr="003C0E2F">
        <w:t xml:space="preserve">s of ligands and small molecule antagonists and agonists. TLR4 activation was stimulated by exposure </w:t>
      </w:r>
      <w:r w:rsidR="00030A76" w:rsidRPr="003C0E2F">
        <w:t xml:space="preserve">of cells </w:t>
      </w:r>
      <w:r w:rsidRPr="003C0E2F">
        <w:t xml:space="preserve">to bacterial endotoxin or sterile oxidised lipids and </w:t>
      </w:r>
      <w:r w:rsidR="008F561F" w:rsidRPr="003C0E2F">
        <w:t>effect</w:t>
      </w:r>
      <w:r w:rsidRPr="003C0E2F">
        <w:t xml:space="preserve">s. FP compounds were tested in the presence or absence of TLR4 ligands. </w:t>
      </w:r>
      <w:r w:rsidR="008612D0" w:rsidRPr="003C0E2F">
        <w:t>T</w:t>
      </w:r>
      <w:r w:rsidRPr="003C0E2F">
        <w:t>wo readouts</w:t>
      </w:r>
      <w:r w:rsidR="008612D0" w:rsidRPr="003C0E2F">
        <w:t xml:space="preserve"> were used: </w:t>
      </w:r>
      <w:r w:rsidRPr="003C0E2F">
        <w:t xml:space="preserve">activation </w:t>
      </w:r>
      <w:r w:rsidR="00623C8F" w:rsidRPr="003C0E2F">
        <w:t>of signalling mediators</w:t>
      </w:r>
      <w:r w:rsidRPr="003C0E2F">
        <w:t xml:space="preserve"> and </w:t>
      </w:r>
      <w:r w:rsidR="00AB05D5" w:rsidRPr="003C0E2F">
        <w:t>endpoint</w:t>
      </w:r>
      <w:r w:rsidRPr="003C0E2F">
        <w:t xml:space="preserve"> proinflammatory protein</w:t>
      </w:r>
      <w:r w:rsidR="00AB05D5" w:rsidRPr="003C0E2F">
        <w:t xml:space="preserve"> production. These were</w:t>
      </w:r>
      <w:r w:rsidRPr="003C0E2F">
        <w:t xml:space="preserve"> measured </w:t>
      </w:r>
      <w:r w:rsidR="00AB05D5" w:rsidRPr="003C0E2F">
        <w:t>using</w:t>
      </w:r>
      <w:r w:rsidRPr="003C0E2F">
        <w:t xml:space="preserve"> </w:t>
      </w:r>
      <w:r w:rsidR="00030A76" w:rsidRPr="003C0E2F">
        <w:t>Western</w:t>
      </w:r>
      <w:r w:rsidRPr="003C0E2F">
        <w:t xml:space="preserve"> blot, </w:t>
      </w:r>
      <w:r w:rsidR="008612D0" w:rsidRPr="003C0E2F">
        <w:t>ELISA,</w:t>
      </w:r>
      <w:r w:rsidRPr="003C0E2F">
        <w:t xml:space="preserve"> and</w:t>
      </w:r>
      <w:r w:rsidR="008A3B68" w:rsidRPr="003C0E2F">
        <w:t xml:space="preserve"> a proinflammatory protein antibody array</w:t>
      </w:r>
      <w:r w:rsidRPr="003C0E2F">
        <w:t xml:space="preserve">. </w:t>
      </w:r>
    </w:p>
    <w:p w14:paraId="00369C2B" w14:textId="309EE4F6" w:rsidR="00C47D55" w:rsidRPr="003C0E2F" w:rsidRDefault="00C47D55" w:rsidP="00C47D55">
      <w:r w:rsidRPr="003C0E2F">
        <w:rPr>
          <w:b/>
          <w:bCs/>
        </w:rPr>
        <w:t>Results:</w:t>
      </w:r>
      <w:r w:rsidRPr="003C0E2F">
        <w:t xml:space="preserve"> Screenin</w:t>
      </w:r>
      <w:r w:rsidR="00131464" w:rsidRPr="003C0E2F">
        <w:t>g</w:t>
      </w:r>
      <w:r w:rsidRPr="003C0E2F">
        <w:t xml:space="preserve"> revealed two antagonists and one agonist which were selected for further mechanistic studies. FP7 and FP12 were shown to negatively regulate both </w:t>
      </w:r>
      <w:r w:rsidR="00131464" w:rsidRPr="003C0E2F">
        <w:t xml:space="preserve">human and mouse </w:t>
      </w:r>
      <w:r w:rsidR="00932BC2" w:rsidRPr="003C0E2F">
        <w:t>MyD88</w:t>
      </w:r>
      <w:r w:rsidR="00131464" w:rsidRPr="003C0E2F">
        <w:t xml:space="preserve">-dependent signalling </w:t>
      </w:r>
      <w:r w:rsidRPr="003C0E2F">
        <w:t>and</w:t>
      </w:r>
      <w:r w:rsidR="00131464" w:rsidRPr="003C0E2F">
        <w:t xml:space="preserve"> human</w:t>
      </w:r>
      <w:r w:rsidRPr="003C0E2F">
        <w:t xml:space="preserve"> </w:t>
      </w:r>
      <w:r w:rsidR="00A9277D" w:rsidRPr="003C0E2F">
        <w:t>TRIF-</w:t>
      </w:r>
      <w:r w:rsidR="009E0322" w:rsidRPr="003C0E2F">
        <w:t>dependent</w:t>
      </w:r>
      <w:r w:rsidRPr="003C0E2F">
        <w:t xml:space="preserve"> </w:t>
      </w:r>
      <w:r w:rsidR="00131464" w:rsidRPr="003C0E2F">
        <w:t>pathways</w:t>
      </w:r>
      <w:r w:rsidRPr="003C0E2F">
        <w:t xml:space="preserve">. FP11 and FP18 </w:t>
      </w:r>
      <w:r w:rsidR="00BA1517" w:rsidRPr="003C0E2F">
        <w:t>were</w:t>
      </w:r>
      <w:r w:rsidRPr="003C0E2F">
        <w:t xml:space="preserve"> more </w:t>
      </w:r>
      <w:r w:rsidR="008F561F" w:rsidRPr="003C0E2F">
        <w:lastRenderedPageBreak/>
        <w:t>effect</w:t>
      </w:r>
      <w:r w:rsidRPr="003C0E2F">
        <w:t xml:space="preserve">ive at inducing </w:t>
      </w:r>
      <w:r w:rsidR="00932BC2" w:rsidRPr="003C0E2F">
        <w:t>MyD88</w:t>
      </w:r>
      <w:r w:rsidRPr="003C0E2F">
        <w:t>-</w:t>
      </w:r>
      <w:r w:rsidR="009E0322" w:rsidRPr="003C0E2F">
        <w:t>dependent</w:t>
      </w:r>
      <w:r w:rsidRPr="003C0E2F">
        <w:t xml:space="preserve"> signalling than TRIF</w:t>
      </w:r>
      <w:r w:rsidR="00131464" w:rsidRPr="003C0E2F">
        <w:t>-dependent but may still activate signalling via IFNAR</w:t>
      </w:r>
      <w:r w:rsidRPr="003C0E2F">
        <w:t>.</w:t>
      </w:r>
    </w:p>
    <w:p w14:paraId="4A11CF4C" w14:textId="75C6ABE6" w:rsidR="00131464" w:rsidRPr="003C0E2F" w:rsidRDefault="00C47D55" w:rsidP="00C47D55">
      <w:r w:rsidRPr="003C0E2F">
        <w:rPr>
          <w:b/>
          <w:bCs/>
        </w:rPr>
        <w:t xml:space="preserve">Conclusions: </w:t>
      </w:r>
      <w:r w:rsidRPr="003C0E2F">
        <w:t xml:space="preserve">Results from the current body of work provide novel evidence towards the </w:t>
      </w:r>
      <w:r w:rsidR="008F561F" w:rsidRPr="003C0E2F">
        <w:t>effect</w:t>
      </w:r>
      <w:r w:rsidRPr="003C0E2F">
        <w:t>s and mechanism of action of FP antagonists and agonists as modulators of TLR4-</w:t>
      </w:r>
      <w:r w:rsidR="009E0322" w:rsidRPr="003C0E2F">
        <w:t>dependent</w:t>
      </w:r>
      <w:r w:rsidRPr="003C0E2F">
        <w:t xml:space="preserve"> proinflammatory signalling. Together, this helps to validate </w:t>
      </w:r>
      <w:r w:rsidR="00AB05D5" w:rsidRPr="003C0E2F">
        <w:t xml:space="preserve">two antagonist and two agonist </w:t>
      </w:r>
      <w:r w:rsidR="00131464" w:rsidRPr="003C0E2F">
        <w:t>molecules as</w:t>
      </w:r>
      <w:r w:rsidRPr="003C0E2F">
        <w:t xml:space="preserve"> potential novel therapeutics for further preclinical investigations for treatment of inflammatory</w:t>
      </w:r>
      <w:r w:rsidR="00EF3181" w:rsidRPr="003C0E2F">
        <w:t xml:space="preserve"> </w:t>
      </w:r>
      <w:r w:rsidRPr="003C0E2F">
        <w:t>based disorders.</w:t>
      </w:r>
    </w:p>
    <w:p w14:paraId="7A8B1402" w14:textId="448B7A13" w:rsidR="002C356D" w:rsidRPr="003C0E2F" w:rsidRDefault="002C356D" w:rsidP="00C47D55"/>
    <w:p w14:paraId="58B69049" w14:textId="1012C0B6" w:rsidR="002C356D" w:rsidRPr="003C0E2F" w:rsidRDefault="002C356D" w:rsidP="00C47D55">
      <w:pPr>
        <w:rPr>
          <w:b/>
          <w:bCs/>
        </w:rPr>
      </w:pPr>
      <w:r w:rsidRPr="003C0E2F">
        <w:rPr>
          <w:b/>
          <w:bCs/>
        </w:rPr>
        <w:t>LAY SUMMARY</w:t>
      </w:r>
    </w:p>
    <w:p w14:paraId="4A822B6B" w14:textId="65D42D23" w:rsidR="00EA7FEB" w:rsidRPr="003C0E2F" w:rsidRDefault="00EA7FEB" w:rsidP="00EA7FEB">
      <w:r w:rsidRPr="003C0E2F">
        <w:t>Heart disease is a major contributor to death and long-term disability in the developed world. There is evidence to suggest that some abnormal signalling in cells may contribute to disease progression. In response to the presence of bacterial threat, an immune</w:t>
      </w:r>
      <w:r w:rsidR="00461DEA" w:rsidRPr="003C0E2F">
        <w:t xml:space="preserve"> </w:t>
      </w:r>
      <w:r w:rsidRPr="003C0E2F">
        <w:t xml:space="preserve">system is activated which initiates a defensive reaction. This response is broad and can cause damage to both the threat and the host organism. In some cases, the immune system can also be activated without a threat present and has been implicated in a range of diseases, including heart disease. As such, specific control of the immune system may provide a means of treatment. Further to this, increasing activity of specific molecules such as Toll like receptor 4 (TLR4) may also be of value in initiating immune response. To determine if a series of potential drug candidates were capable to affect TLR4, immune cells were used to test the activation and suppression capability of several candidates. Two of these </w:t>
      </w:r>
      <w:proofErr w:type="gramStart"/>
      <w:r w:rsidRPr="003C0E2F">
        <w:t>were capable of reducing</w:t>
      </w:r>
      <w:proofErr w:type="gramEnd"/>
      <w:r w:rsidRPr="003C0E2F">
        <w:t xml:space="preserve"> activation of TLR4 caused by bacterial products, and two others caused activation of the system. These were selected as candidates of interest and investigated further to determine </w:t>
      </w:r>
      <w:proofErr w:type="gramStart"/>
      <w:r w:rsidRPr="003C0E2F">
        <w:t>the means by which</w:t>
      </w:r>
      <w:proofErr w:type="gramEnd"/>
      <w:r w:rsidRPr="003C0E2F">
        <w:t xml:space="preserve"> they could interact with signalling. This provided evidence of the effects of these drug candidates and their value as items of interest for further clinical investigation.</w:t>
      </w:r>
    </w:p>
    <w:p w14:paraId="284A80DC" w14:textId="77777777" w:rsidR="00C47D55" w:rsidRPr="003C0E2F" w:rsidRDefault="00C47D55" w:rsidP="00C47D55">
      <w:pPr>
        <w:spacing w:line="259" w:lineRule="auto"/>
      </w:pPr>
      <w:r w:rsidRPr="003C0E2F">
        <w:br w:type="page"/>
      </w:r>
    </w:p>
    <w:p w14:paraId="343E30F8" w14:textId="7B6C0460" w:rsidR="0039352F" w:rsidRPr="003C0E2F" w:rsidRDefault="004262CF" w:rsidP="004262CF">
      <w:pPr>
        <w:pStyle w:val="Heading1"/>
        <w:numPr>
          <w:ilvl w:val="0"/>
          <w:numId w:val="0"/>
        </w:numPr>
        <w:ind w:left="1069"/>
      </w:pPr>
      <w:r>
        <w:lastRenderedPageBreak/>
        <w:t xml:space="preserve">III. </w:t>
      </w:r>
      <w:r>
        <w:tab/>
      </w:r>
      <w:r w:rsidR="0039352F" w:rsidRPr="003C0E2F">
        <w:t>Acknowledgements</w:t>
      </w:r>
    </w:p>
    <w:p w14:paraId="6E216C7A" w14:textId="31199DCD" w:rsidR="001542EC" w:rsidRPr="003C0E2F" w:rsidRDefault="001542EC">
      <w:pPr>
        <w:spacing w:line="259" w:lineRule="auto"/>
      </w:pPr>
    </w:p>
    <w:p w14:paraId="3EC78788" w14:textId="572B89D1" w:rsidR="002E2790" w:rsidRPr="003C0E2F" w:rsidRDefault="00817628" w:rsidP="00C231FA">
      <w:r w:rsidRPr="003C0E2F">
        <w:t xml:space="preserve">I am grateful to my supervisory team; </w:t>
      </w:r>
      <w:proofErr w:type="spellStart"/>
      <w:r w:rsidRPr="003C0E2F">
        <w:t>Grisha</w:t>
      </w:r>
      <w:proofErr w:type="spellEnd"/>
      <w:r w:rsidRPr="003C0E2F">
        <w:t xml:space="preserve"> </w:t>
      </w:r>
      <w:proofErr w:type="spellStart"/>
      <w:r w:rsidRPr="003C0E2F">
        <w:t>Pirianov</w:t>
      </w:r>
      <w:proofErr w:type="spellEnd"/>
      <w:r w:rsidRPr="003C0E2F">
        <w:t>, Richard Jones and Felicity Savage, for regular</w:t>
      </w:r>
      <w:r w:rsidR="002E2790" w:rsidRPr="003C0E2F">
        <w:t xml:space="preserve"> guidance and support </w:t>
      </w:r>
      <w:r w:rsidRPr="003C0E2F">
        <w:t xml:space="preserve">throughout my project. Thank you for all the </w:t>
      </w:r>
      <w:r w:rsidR="002E2790" w:rsidRPr="003C0E2F">
        <w:t>advice, feedback over the course of my studies.</w:t>
      </w:r>
    </w:p>
    <w:p w14:paraId="5A2357D5" w14:textId="77777777" w:rsidR="007A26A9" w:rsidRPr="003C0E2F" w:rsidRDefault="00817628" w:rsidP="00C231FA">
      <w:r w:rsidRPr="003C0E2F">
        <w:t>I would also like to t</w:t>
      </w:r>
      <w:r w:rsidR="00C231FA" w:rsidRPr="003C0E2F">
        <w:t xml:space="preserve">hank Francesco Peri, Fabio </w:t>
      </w:r>
      <w:proofErr w:type="spellStart"/>
      <w:proofErr w:type="gramStart"/>
      <w:r w:rsidR="00C231FA" w:rsidRPr="003C0E2F">
        <w:t>Fucchini</w:t>
      </w:r>
      <w:proofErr w:type="spellEnd"/>
      <w:proofErr w:type="gramEnd"/>
      <w:r w:rsidR="00C231FA" w:rsidRPr="003C0E2F">
        <w:t xml:space="preserve"> and the </w:t>
      </w:r>
      <w:r w:rsidR="00B11E3D" w:rsidRPr="003C0E2F">
        <w:t xml:space="preserve">collaborative team at </w:t>
      </w:r>
      <w:r w:rsidR="00C231FA" w:rsidRPr="003C0E2F">
        <w:t>University of Milano for provision of agonists and antagonists used throughout this project. FP compounds were designed by Francesco Peri</w:t>
      </w:r>
      <w:r w:rsidR="00B11E3D" w:rsidRPr="003C0E2F">
        <w:t xml:space="preserve"> and c</w:t>
      </w:r>
      <w:r w:rsidR="00C231FA" w:rsidRPr="003C0E2F">
        <w:t>ompounds were prepared</w:t>
      </w:r>
      <w:r w:rsidR="00B11E3D" w:rsidRPr="003C0E2F">
        <w:t xml:space="preserve"> </w:t>
      </w:r>
      <w:r w:rsidR="00C231FA" w:rsidRPr="003C0E2F">
        <w:t>by the collaborative team and sent in lyophilised form for us</w:t>
      </w:r>
      <w:r w:rsidRPr="003C0E2F">
        <w:t>e regularly</w:t>
      </w:r>
      <w:r w:rsidR="00C231FA" w:rsidRPr="003C0E2F">
        <w:t xml:space="preserve"> throughout the project. </w:t>
      </w:r>
    </w:p>
    <w:p w14:paraId="3DA28A97" w14:textId="13CA7CD3" w:rsidR="00C231FA" w:rsidRPr="003C0E2F" w:rsidRDefault="00C231FA" w:rsidP="00C231FA">
      <w:r w:rsidRPr="003C0E2F">
        <w:t xml:space="preserve">LPS variants were </w:t>
      </w:r>
      <w:r w:rsidR="00817628" w:rsidRPr="003C0E2F">
        <w:t xml:space="preserve">also </w:t>
      </w:r>
      <w:r w:rsidRPr="003C0E2F">
        <w:t xml:space="preserve">kindly provided by INNAXON (Tewkesbury). </w:t>
      </w:r>
      <w:r w:rsidR="00817628" w:rsidRPr="003C0E2F">
        <w:t>I would like to further thank</w:t>
      </w:r>
      <w:r w:rsidR="00B11E3D" w:rsidRPr="003C0E2F">
        <w:t xml:space="preserve"> </w:t>
      </w:r>
      <w:r w:rsidRPr="003C0E2F">
        <w:t>Frank Neuman for feedback and on written work</w:t>
      </w:r>
      <w:r w:rsidR="00B11E3D" w:rsidRPr="003C0E2F">
        <w:t>,</w:t>
      </w:r>
      <w:r w:rsidRPr="003C0E2F">
        <w:t xml:space="preserve"> advice for endotoxin removal and creating an endotoxin free work </w:t>
      </w:r>
      <w:r w:rsidR="004839EF" w:rsidRPr="003C0E2F">
        <w:t>environment</w:t>
      </w:r>
      <w:r w:rsidR="00817628" w:rsidRPr="003C0E2F">
        <w:t>, preparation of compounds solubilised in endotoxin free water</w:t>
      </w:r>
      <w:r w:rsidRPr="003C0E2F">
        <w:t xml:space="preserve"> </w:t>
      </w:r>
      <w:r w:rsidR="004839EF" w:rsidRPr="003C0E2F">
        <w:t xml:space="preserve">and LAL assays carried out on </w:t>
      </w:r>
      <w:r w:rsidR="000857D7" w:rsidRPr="003C0E2F">
        <w:t xml:space="preserve">reagent </w:t>
      </w:r>
      <w:r w:rsidR="004839EF" w:rsidRPr="003C0E2F">
        <w:t>preparations.</w:t>
      </w:r>
      <w:r w:rsidRPr="003C0E2F">
        <w:t xml:space="preserve"> </w:t>
      </w:r>
    </w:p>
    <w:p w14:paraId="5DD06473" w14:textId="3D41758B" w:rsidR="00817628" w:rsidRPr="003C0E2F" w:rsidRDefault="00817628" w:rsidP="00097C41">
      <w:r w:rsidRPr="003C0E2F">
        <w:t xml:space="preserve">I am also grateful to </w:t>
      </w:r>
      <w:r w:rsidR="00C231FA" w:rsidRPr="003C0E2F">
        <w:t xml:space="preserve">David </w:t>
      </w:r>
      <w:proofErr w:type="spellStart"/>
      <w:r w:rsidR="00C231FA" w:rsidRPr="003C0E2F">
        <w:t>Leake</w:t>
      </w:r>
      <w:proofErr w:type="spellEnd"/>
      <w:r w:rsidRPr="003C0E2F">
        <w:t xml:space="preserve"> for discussion and advice on working with and producing </w:t>
      </w:r>
      <w:proofErr w:type="spellStart"/>
      <w:r w:rsidR="001A2988" w:rsidRPr="003C0E2F">
        <w:t>oxLDL</w:t>
      </w:r>
      <w:proofErr w:type="spellEnd"/>
      <w:r w:rsidRPr="003C0E2F">
        <w:t xml:space="preserve"> and </w:t>
      </w:r>
      <w:r w:rsidR="00C231FA" w:rsidRPr="003C0E2F">
        <w:t>Reading University for access to facilities and</w:t>
      </w:r>
      <w:r w:rsidRPr="003C0E2F">
        <w:t xml:space="preserve"> </w:t>
      </w:r>
      <w:r w:rsidR="00C231FA" w:rsidRPr="003C0E2F">
        <w:t>provi</w:t>
      </w:r>
      <w:r w:rsidRPr="003C0E2F">
        <w:t>ding</w:t>
      </w:r>
      <w:r w:rsidR="00C231FA" w:rsidRPr="003C0E2F">
        <w:t xml:space="preserve"> of LDL used throughout this project. </w:t>
      </w:r>
      <w:r w:rsidRPr="003C0E2F">
        <w:t xml:space="preserve">Thank you also to </w:t>
      </w:r>
      <w:proofErr w:type="spellStart"/>
      <w:r w:rsidR="00C231FA" w:rsidRPr="003C0E2F">
        <w:t>Feroz</w:t>
      </w:r>
      <w:proofErr w:type="spellEnd"/>
      <w:r w:rsidR="00C231FA" w:rsidRPr="003C0E2F">
        <w:t xml:space="preserve"> Ahmad provided training in</w:t>
      </w:r>
      <w:r w:rsidRPr="003C0E2F">
        <w:t xml:space="preserve"> dialysis and</w:t>
      </w:r>
      <w:r w:rsidR="00C231FA" w:rsidRPr="003C0E2F">
        <w:t xml:space="preserve"> oxidation of LDL, as well as preparing and differentiating primary </w:t>
      </w:r>
      <w:r w:rsidR="008F561F" w:rsidRPr="003C0E2F">
        <w:t>macrophage</w:t>
      </w:r>
      <w:r w:rsidR="00C231FA" w:rsidRPr="003C0E2F">
        <w:t xml:space="preserve">s for experiments carried out at Reading University. </w:t>
      </w:r>
    </w:p>
    <w:p w14:paraId="325779B7" w14:textId="77777777" w:rsidR="00237F1B" w:rsidRPr="003C0E2F" w:rsidRDefault="007A26A9" w:rsidP="00817628">
      <w:r w:rsidRPr="003C0E2F">
        <w:t>Finally, I would like to thank my family for personal advice and support and my grandparents for their continued financial support throughout</w:t>
      </w:r>
      <w:r w:rsidR="00C1782F" w:rsidRPr="003C0E2F">
        <w:t xml:space="preserve"> </w:t>
      </w:r>
      <w:proofErr w:type="gramStart"/>
      <w:r w:rsidR="00C1782F" w:rsidRPr="003C0E2F">
        <w:t>all of</w:t>
      </w:r>
      <w:proofErr w:type="gramEnd"/>
      <w:r w:rsidRPr="003C0E2F">
        <w:t xml:space="preserve"> my studies. </w:t>
      </w:r>
    </w:p>
    <w:p w14:paraId="469CB31D" w14:textId="162ADAA0" w:rsidR="00817628" w:rsidRPr="003C0E2F" w:rsidRDefault="00817628" w:rsidP="00817628">
      <w:r w:rsidRPr="003C0E2F">
        <w:t>This project was funded</w:t>
      </w:r>
      <w:r w:rsidR="00AC5AC8" w:rsidRPr="003C0E2F">
        <w:t xml:space="preserve"> for 3 years </w:t>
      </w:r>
      <w:r w:rsidRPr="003C0E2F">
        <w:t>as part of a PhD studentship at Anglia Ruskin University</w:t>
      </w:r>
      <w:r w:rsidR="00866CCA" w:rsidRPr="003C0E2F">
        <w:t>.</w:t>
      </w:r>
    </w:p>
    <w:p w14:paraId="33A80DFA" w14:textId="1A3A22B9" w:rsidR="0039352F" w:rsidRPr="003C0E2F" w:rsidRDefault="0039352F" w:rsidP="00097C41">
      <w:pPr>
        <w:rPr>
          <w:b/>
          <w:bCs/>
          <w:sz w:val="48"/>
          <w:szCs w:val="48"/>
        </w:rPr>
      </w:pPr>
      <w:r w:rsidRPr="003C0E2F">
        <w:br w:type="page"/>
      </w:r>
    </w:p>
    <w:p w14:paraId="6D0FA459" w14:textId="58249389" w:rsidR="00691DC0" w:rsidRPr="003C0E2F" w:rsidRDefault="004262CF" w:rsidP="004262CF">
      <w:pPr>
        <w:pStyle w:val="Heading1"/>
        <w:numPr>
          <w:ilvl w:val="0"/>
          <w:numId w:val="0"/>
        </w:numPr>
        <w:ind w:left="1069"/>
      </w:pPr>
      <w:r>
        <w:lastRenderedPageBreak/>
        <w:t xml:space="preserve">IV. </w:t>
      </w:r>
      <w:r>
        <w:tab/>
      </w:r>
      <w:r w:rsidR="00691DC0" w:rsidRPr="003C0E2F">
        <w:t>Contents</w:t>
      </w:r>
    </w:p>
    <w:p w14:paraId="5C96D713" w14:textId="77777777" w:rsidR="00FB2FD3" w:rsidRPr="003C0E2F" w:rsidRDefault="00FB2FD3" w:rsidP="00FB2FD3"/>
    <w:sdt>
      <w:sdtPr>
        <w:rPr>
          <w:rFonts w:asciiTheme="minorHAnsi" w:eastAsiaTheme="minorEastAsia" w:hAnsiTheme="minorHAnsi" w:cstheme="minorBidi"/>
          <w:color w:val="auto"/>
          <w:sz w:val="22"/>
          <w:szCs w:val="22"/>
          <w:lang w:val="en-GB" w:eastAsia="ja-JP"/>
        </w:rPr>
        <w:id w:val="937944546"/>
        <w:docPartObj>
          <w:docPartGallery w:val="Table of Contents"/>
          <w:docPartUnique/>
        </w:docPartObj>
      </w:sdtPr>
      <w:sdtEndPr>
        <w:rPr>
          <w:b/>
          <w:bCs/>
          <w:noProof/>
        </w:rPr>
      </w:sdtEndPr>
      <w:sdtContent>
        <w:p w14:paraId="0A86428A" w14:textId="7E1BA950" w:rsidR="00FB2FD3" w:rsidRPr="003C0E2F" w:rsidRDefault="00FB2FD3" w:rsidP="00FB2FD3">
          <w:pPr>
            <w:pStyle w:val="TOCHeading"/>
            <w:rPr>
              <w:color w:val="auto"/>
            </w:rPr>
          </w:pPr>
        </w:p>
        <w:p w14:paraId="5F1918E6" w14:textId="2CB09670" w:rsidR="00042D88" w:rsidRPr="003C0E2F" w:rsidRDefault="00042D88" w:rsidP="00042D88">
          <w:pPr>
            <w:pStyle w:val="TOC1"/>
            <w:numPr>
              <w:ilvl w:val="0"/>
              <w:numId w:val="27"/>
            </w:numPr>
          </w:pPr>
          <w:r w:rsidRPr="003C0E2F">
            <w:t>Abbreviations</w:t>
          </w:r>
          <w:r w:rsidRPr="003C0E2F">
            <w:tab/>
          </w:r>
          <w:proofErr w:type="spellStart"/>
          <w:r w:rsidR="00FE4E8D" w:rsidRPr="003C0E2F">
            <w:t>i</w:t>
          </w:r>
          <w:proofErr w:type="spellEnd"/>
        </w:p>
        <w:p w14:paraId="6E6A888C" w14:textId="3AB94830" w:rsidR="00042D88" w:rsidRPr="003C0E2F" w:rsidRDefault="00042D88" w:rsidP="00042D88">
          <w:pPr>
            <w:pStyle w:val="TOC1"/>
            <w:numPr>
              <w:ilvl w:val="0"/>
              <w:numId w:val="27"/>
            </w:numPr>
          </w:pPr>
          <w:r w:rsidRPr="003C0E2F">
            <w:t>Abstract</w:t>
          </w:r>
          <w:r w:rsidRPr="003C0E2F">
            <w:tab/>
          </w:r>
          <w:r w:rsidR="00FE4E8D" w:rsidRPr="003C0E2F">
            <w:t>iv</w:t>
          </w:r>
        </w:p>
        <w:p w14:paraId="4F604975" w14:textId="09F34D56" w:rsidR="00042D88" w:rsidRPr="003C0E2F" w:rsidRDefault="00042D88" w:rsidP="00042D88">
          <w:pPr>
            <w:pStyle w:val="TOC1"/>
            <w:numPr>
              <w:ilvl w:val="0"/>
              <w:numId w:val="27"/>
            </w:numPr>
          </w:pPr>
          <w:r w:rsidRPr="003C0E2F">
            <w:t>Acknowledgements</w:t>
          </w:r>
          <w:r w:rsidRPr="003C0E2F">
            <w:tab/>
          </w:r>
          <w:r w:rsidR="00FE4E8D" w:rsidRPr="003C0E2F">
            <w:t>vi</w:t>
          </w:r>
        </w:p>
        <w:p w14:paraId="5A21EAA0" w14:textId="54CB94BA" w:rsidR="00042D88" w:rsidRPr="003C0E2F" w:rsidRDefault="00042D88" w:rsidP="00042D88">
          <w:pPr>
            <w:pStyle w:val="TOC1"/>
            <w:numPr>
              <w:ilvl w:val="0"/>
              <w:numId w:val="27"/>
            </w:numPr>
          </w:pPr>
          <w:r w:rsidRPr="003C0E2F">
            <w:t>Contents</w:t>
          </w:r>
          <w:r w:rsidRPr="003C0E2F">
            <w:tab/>
          </w:r>
          <w:r w:rsidR="00FE4E8D" w:rsidRPr="003C0E2F">
            <w:t>vii</w:t>
          </w:r>
        </w:p>
        <w:p w14:paraId="662EF67A" w14:textId="489AB294" w:rsidR="00FE4E8D" w:rsidRPr="003C0E2F" w:rsidRDefault="00FE4E8D" w:rsidP="00042D88">
          <w:pPr>
            <w:pStyle w:val="TOC1"/>
            <w:numPr>
              <w:ilvl w:val="0"/>
              <w:numId w:val="27"/>
            </w:numPr>
          </w:pPr>
          <w:r w:rsidRPr="003C0E2F">
            <w:t>Figures</w:t>
          </w:r>
          <w:r w:rsidRPr="003C0E2F">
            <w:tab/>
            <w:t>xiii</w:t>
          </w:r>
        </w:p>
        <w:p w14:paraId="05922F12" w14:textId="17584849" w:rsidR="00FE4E8D" w:rsidRPr="003C0E2F" w:rsidRDefault="00FE4E8D" w:rsidP="00042D88">
          <w:pPr>
            <w:pStyle w:val="TOC1"/>
            <w:numPr>
              <w:ilvl w:val="0"/>
              <w:numId w:val="27"/>
            </w:numPr>
          </w:pPr>
          <w:r w:rsidRPr="003C0E2F">
            <w:t>Publications</w:t>
          </w:r>
          <w:r w:rsidRPr="003C0E2F">
            <w:tab/>
            <w:t>xvi</w:t>
          </w:r>
        </w:p>
        <w:p w14:paraId="167FE566" w14:textId="0BFDE3E4" w:rsidR="00042D88" w:rsidRPr="003C0E2F" w:rsidRDefault="00FE4E8D" w:rsidP="00042D88">
          <w:pPr>
            <w:pStyle w:val="TOC1"/>
            <w:numPr>
              <w:ilvl w:val="0"/>
              <w:numId w:val="27"/>
            </w:numPr>
          </w:pPr>
          <w:r w:rsidRPr="003C0E2F">
            <w:t>Copyright Disclaimer</w:t>
          </w:r>
          <w:r w:rsidR="00042D88" w:rsidRPr="003C0E2F">
            <w:tab/>
          </w:r>
          <w:r w:rsidRPr="003C0E2F">
            <w:t>xvi</w:t>
          </w:r>
        </w:p>
        <w:p w14:paraId="466337EC" w14:textId="7F411611" w:rsidR="00FB2FD3" w:rsidRPr="003C0E2F" w:rsidRDefault="00FB2FD3">
          <w:pPr>
            <w:pStyle w:val="TOC1"/>
            <w:rPr>
              <w:rFonts w:cstheme="minorBidi"/>
              <w:noProof/>
            </w:rPr>
          </w:pPr>
          <w:r w:rsidRPr="003C0E2F">
            <w:fldChar w:fldCharType="begin"/>
          </w:r>
          <w:r w:rsidRPr="003C0E2F">
            <w:instrText xml:space="preserve"> TOC \o "1-3" \h \z \u </w:instrText>
          </w:r>
          <w:r w:rsidRPr="003C0E2F">
            <w:fldChar w:fldCharType="separate"/>
          </w:r>
          <w:hyperlink w:anchor="_Toc82882335" w:history="1">
            <w:r w:rsidRPr="003C0E2F">
              <w:rPr>
                <w:rStyle w:val="Hyperlink"/>
                <w:noProof/>
                <w:color w:val="auto"/>
              </w:rPr>
              <w:t>1.</w:t>
            </w:r>
            <w:r w:rsidRPr="003C0E2F">
              <w:rPr>
                <w:rFonts w:cstheme="minorBidi"/>
                <w:noProof/>
              </w:rPr>
              <w:tab/>
            </w:r>
            <w:r w:rsidRPr="003C0E2F">
              <w:rPr>
                <w:rStyle w:val="Hyperlink"/>
                <w:noProof/>
                <w:color w:val="auto"/>
              </w:rPr>
              <w:t>Introduction</w:t>
            </w:r>
            <w:r w:rsidRPr="003C0E2F">
              <w:rPr>
                <w:noProof/>
                <w:webHidden/>
              </w:rPr>
              <w:tab/>
            </w:r>
            <w:r w:rsidRPr="003C0E2F">
              <w:rPr>
                <w:noProof/>
                <w:webHidden/>
              </w:rPr>
              <w:fldChar w:fldCharType="begin"/>
            </w:r>
            <w:r w:rsidRPr="003C0E2F">
              <w:rPr>
                <w:noProof/>
                <w:webHidden/>
              </w:rPr>
              <w:instrText xml:space="preserve"> PAGEREF _Toc82882335 \h </w:instrText>
            </w:r>
            <w:r w:rsidRPr="003C0E2F">
              <w:rPr>
                <w:noProof/>
                <w:webHidden/>
              </w:rPr>
            </w:r>
            <w:r w:rsidRPr="003C0E2F">
              <w:rPr>
                <w:noProof/>
                <w:webHidden/>
              </w:rPr>
              <w:fldChar w:fldCharType="separate"/>
            </w:r>
            <w:r w:rsidR="000F2276">
              <w:rPr>
                <w:noProof/>
                <w:webHidden/>
              </w:rPr>
              <w:t>1</w:t>
            </w:r>
            <w:r w:rsidRPr="003C0E2F">
              <w:rPr>
                <w:noProof/>
                <w:webHidden/>
              </w:rPr>
              <w:fldChar w:fldCharType="end"/>
            </w:r>
          </w:hyperlink>
        </w:p>
        <w:p w14:paraId="67652CF4" w14:textId="3716D715" w:rsidR="00FB2FD3" w:rsidRPr="003C0E2F" w:rsidRDefault="00BB038D">
          <w:pPr>
            <w:pStyle w:val="TOC2"/>
            <w:tabs>
              <w:tab w:val="left" w:pos="880"/>
              <w:tab w:val="right" w:leader="dot" w:pos="9016"/>
            </w:tabs>
            <w:rPr>
              <w:rFonts w:cstheme="minorBidi"/>
              <w:noProof/>
            </w:rPr>
          </w:pPr>
          <w:hyperlink w:anchor="_Toc82882336" w:history="1">
            <w:r w:rsidR="00FB2FD3" w:rsidRPr="003C0E2F">
              <w:rPr>
                <w:rStyle w:val="Hyperlink"/>
                <w:noProof/>
                <w:color w:val="auto"/>
              </w:rPr>
              <w:t>1.1.</w:t>
            </w:r>
            <w:r w:rsidR="00FB2FD3" w:rsidRPr="003C0E2F">
              <w:rPr>
                <w:rFonts w:cstheme="minorBidi"/>
                <w:noProof/>
              </w:rPr>
              <w:tab/>
            </w:r>
            <w:r w:rsidR="00FB2FD3" w:rsidRPr="003C0E2F">
              <w:rPr>
                <w:rStyle w:val="Hyperlink"/>
                <w:noProof/>
                <w:color w:val="auto"/>
              </w:rPr>
              <w:t>Toll-like receptors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_Toc82882336 \h </w:instrText>
            </w:r>
            <w:r w:rsidR="00FB2FD3" w:rsidRPr="003C0E2F">
              <w:rPr>
                <w:noProof/>
                <w:webHidden/>
              </w:rPr>
            </w:r>
            <w:r w:rsidR="00FB2FD3" w:rsidRPr="003C0E2F">
              <w:rPr>
                <w:noProof/>
                <w:webHidden/>
              </w:rPr>
              <w:fldChar w:fldCharType="separate"/>
            </w:r>
            <w:r w:rsidR="000F2276">
              <w:rPr>
                <w:noProof/>
                <w:webHidden/>
              </w:rPr>
              <w:t>4</w:t>
            </w:r>
            <w:r w:rsidR="00FB2FD3" w:rsidRPr="003C0E2F">
              <w:rPr>
                <w:noProof/>
                <w:webHidden/>
              </w:rPr>
              <w:fldChar w:fldCharType="end"/>
            </w:r>
          </w:hyperlink>
        </w:p>
        <w:p w14:paraId="2F7A6CC6" w14:textId="52C9296D" w:rsidR="00FB2FD3" w:rsidRPr="003C0E2F" w:rsidRDefault="00BB038D">
          <w:pPr>
            <w:pStyle w:val="TOC3"/>
            <w:tabs>
              <w:tab w:val="left" w:pos="1320"/>
              <w:tab w:val="right" w:leader="dot" w:pos="9016"/>
            </w:tabs>
            <w:rPr>
              <w:rFonts w:cstheme="minorBidi"/>
              <w:noProof/>
            </w:rPr>
          </w:pPr>
          <w:hyperlink w:anchor="_Toc82882337" w:history="1">
            <w:r w:rsidR="00FB2FD3" w:rsidRPr="003C0E2F">
              <w:rPr>
                <w:rStyle w:val="Hyperlink"/>
                <w:noProof/>
                <w:color w:val="auto"/>
              </w:rPr>
              <w:t>1.1.1.</w:t>
            </w:r>
            <w:r w:rsidR="00FB2FD3" w:rsidRPr="003C0E2F">
              <w:rPr>
                <w:rFonts w:cstheme="minorBidi"/>
                <w:noProof/>
              </w:rPr>
              <w:tab/>
            </w:r>
            <w:r w:rsidR="00FB2FD3" w:rsidRPr="003C0E2F">
              <w:rPr>
                <w:rStyle w:val="Hyperlink"/>
                <w:noProof/>
                <w:color w:val="auto"/>
              </w:rPr>
              <w:t>Structure and function of toll-like receptors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_Toc82882337 \h </w:instrText>
            </w:r>
            <w:r w:rsidR="00FB2FD3" w:rsidRPr="003C0E2F">
              <w:rPr>
                <w:noProof/>
                <w:webHidden/>
              </w:rPr>
            </w:r>
            <w:r w:rsidR="00FB2FD3" w:rsidRPr="003C0E2F">
              <w:rPr>
                <w:noProof/>
                <w:webHidden/>
              </w:rPr>
              <w:fldChar w:fldCharType="separate"/>
            </w:r>
            <w:r w:rsidR="000F2276">
              <w:rPr>
                <w:noProof/>
                <w:webHidden/>
              </w:rPr>
              <w:t>6</w:t>
            </w:r>
            <w:r w:rsidR="00FB2FD3" w:rsidRPr="003C0E2F">
              <w:rPr>
                <w:noProof/>
                <w:webHidden/>
              </w:rPr>
              <w:fldChar w:fldCharType="end"/>
            </w:r>
          </w:hyperlink>
        </w:p>
        <w:p w14:paraId="06ABC37F" w14:textId="63F374D8" w:rsidR="00FB2FD3" w:rsidRPr="003C0E2F" w:rsidRDefault="00BB038D">
          <w:pPr>
            <w:pStyle w:val="TOC3"/>
            <w:tabs>
              <w:tab w:val="left" w:pos="1320"/>
              <w:tab w:val="right" w:leader="dot" w:pos="9016"/>
            </w:tabs>
            <w:rPr>
              <w:rFonts w:cstheme="minorBidi"/>
              <w:noProof/>
            </w:rPr>
          </w:pPr>
          <w:hyperlink w:anchor="_Toc82882338" w:history="1">
            <w:r w:rsidR="00FB2FD3" w:rsidRPr="003C0E2F">
              <w:rPr>
                <w:rStyle w:val="Hyperlink"/>
                <w:noProof/>
                <w:color w:val="auto"/>
              </w:rPr>
              <w:t>1.1.2.</w:t>
            </w:r>
            <w:r w:rsidR="00FB2FD3" w:rsidRPr="003C0E2F">
              <w:rPr>
                <w:rFonts w:cstheme="minorBidi"/>
                <w:noProof/>
              </w:rPr>
              <w:tab/>
            </w:r>
            <w:r w:rsidR="00FB2FD3" w:rsidRPr="003C0E2F">
              <w:rPr>
                <w:rStyle w:val="Hyperlink"/>
                <w:noProof/>
                <w:color w:val="auto"/>
              </w:rPr>
              <w:t>Ligands of toll-like receptors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_Toc82882338 \h </w:instrText>
            </w:r>
            <w:r w:rsidR="00FB2FD3" w:rsidRPr="003C0E2F">
              <w:rPr>
                <w:noProof/>
                <w:webHidden/>
              </w:rPr>
            </w:r>
            <w:r w:rsidR="00FB2FD3" w:rsidRPr="003C0E2F">
              <w:rPr>
                <w:noProof/>
                <w:webHidden/>
              </w:rPr>
              <w:fldChar w:fldCharType="separate"/>
            </w:r>
            <w:r w:rsidR="000F2276">
              <w:rPr>
                <w:noProof/>
                <w:webHidden/>
              </w:rPr>
              <w:t>10</w:t>
            </w:r>
            <w:r w:rsidR="00FB2FD3" w:rsidRPr="003C0E2F">
              <w:rPr>
                <w:noProof/>
                <w:webHidden/>
              </w:rPr>
              <w:fldChar w:fldCharType="end"/>
            </w:r>
          </w:hyperlink>
        </w:p>
        <w:p w14:paraId="06779145" w14:textId="757A5F08" w:rsidR="00FB2FD3" w:rsidRPr="003C0E2F" w:rsidRDefault="00BB038D">
          <w:pPr>
            <w:pStyle w:val="TOC3"/>
            <w:tabs>
              <w:tab w:val="left" w:pos="1320"/>
              <w:tab w:val="right" w:leader="dot" w:pos="9016"/>
            </w:tabs>
            <w:rPr>
              <w:rFonts w:cstheme="minorBidi"/>
              <w:noProof/>
            </w:rPr>
          </w:pPr>
          <w:hyperlink w:anchor="_Toc82882339" w:history="1">
            <w:r w:rsidR="00FB2FD3" w:rsidRPr="003C0E2F">
              <w:rPr>
                <w:rStyle w:val="Hyperlink"/>
                <w:noProof/>
                <w:color w:val="auto"/>
              </w:rPr>
              <w:t>1.1.3.</w:t>
            </w:r>
            <w:r w:rsidR="00FB2FD3" w:rsidRPr="003C0E2F">
              <w:rPr>
                <w:rFonts w:cstheme="minorBidi"/>
                <w:noProof/>
              </w:rPr>
              <w:tab/>
            </w:r>
            <w:r w:rsidR="00FB2FD3" w:rsidRPr="003C0E2F">
              <w:rPr>
                <w:rStyle w:val="Hyperlink"/>
                <w:noProof/>
                <w:color w:val="auto"/>
              </w:rPr>
              <w:t>Ligands of sterile inflammation</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_Toc82882339 \h </w:instrText>
            </w:r>
            <w:r w:rsidR="00FB2FD3" w:rsidRPr="003C0E2F">
              <w:rPr>
                <w:noProof/>
                <w:webHidden/>
              </w:rPr>
            </w:r>
            <w:r w:rsidR="00FB2FD3" w:rsidRPr="003C0E2F">
              <w:rPr>
                <w:noProof/>
                <w:webHidden/>
              </w:rPr>
              <w:fldChar w:fldCharType="separate"/>
            </w:r>
            <w:r w:rsidR="000F2276">
              <w:rPr>
                <w:noProof/>
                <w:webHidden/>
              </w:rPr>
              <w:t>12</w:t>
            </w:r>
            <w:r w:rsidR="00FB2FD3" w:rsidRPr="003C0E2F">
              <w:rPr>
                <w:noProof/>
                <w:webHidden/>
              </w:rPr>
              <w:fldChar w:fldCharType="end"/>
            </w:r>
          </w:hyperlink>
        </w:p>
        <w:p w14:paraId="340CA509" w14:textId="7CC772BF" w:rsidR="00FB2FD3" w:rsidRPr="003C0E2F" w:rsidRDefault="00BB038D">
          <w:pPr>
            <w:pStyle w:val="TOC3"/>
            <w:tabs>
              <w:tab w:val="left" w:pos="1320"/>
              <w:tab w:val="right" w:leader="dot" w:pos="9016"/>
            </w:tabs>
            <w:rPr>
              <w:rFonts w:cstheme="minorBidi"/>
              <w:noProof/>
            </w:rPr>
          </w:pPr>
          <w:hyperlink w:anchor="_Toc82882340" w:history="1">
            <w:r w:rsidR="00FB2FD3" w:rsidRPr="003C0E2F">
              <w:rPr>
                <w:rStyle w:val="Hyperlink"/>
                <w:noProof/>
                <w:color w:val="auto"/>
              </w:rPr>
              <w:t>1.1.4.</w:t>
            </w:r>
            <w:r w:rsidR="00FB2FD3" w:rsidRPr="003C0E2F">
              <w:rPr>
                <w:rFonts w:cstheme="minorBidi"/>
                <w:noProof/>
              </w:rPr>
              <w:tab/>
            </w:r>
            <w:r w:rsidR="00FB2FD3" w:rsidRPr="003C0E2F">
              <w:rPr>
                <w:rStyle w:val="Hyperlink"/>
                <w:noProof/>
                <w:color w:val="auto"/>
              </w:rPr>
              <w:t>Activation of toll-like receptor signalling in human and murine models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_Toc82882340 \h </w:instrText>
            </w:r>
            <w:r w:rsidR="00FB2FD3" w:rsidRPr="003C0E2F">
              <w:rPr>
                <w:noProof/>
                <w:webHidden/>
              </w:rPr>
            </w:r>
            <w:r w:rsidR="00FB2FD3" w:rsidRPr="003C0E2F">
              <w:rPr>
                <w:noProof/>
                <w:webHidden/>
              </w:rPr>
              <w:fldChar w:fldCharType="separate"/>
            </w:r>
            <w:r w:rsidR="000F2276">
              <w:rPr>
                <w:noProof/>
                <w:webHidden/>
              </w:rPr>
              <w:t>14</w:t>
            </w:r>
            <w:r w:rsidR="00FB2FD3" w:rsidRPr="003C0E2F">
              <w:rPr>
                <w:noProof/>
                <w:webHidden/>
              </w:rPr>
              <w:fldChar w:fldCharType="end"/>
            </w:r>
          </w:hyperlink>
        </w:p>
        <w:p w14:paraId="6424211C" w14:textId="6BC4416E" w:rsidR="00FB2FD3" w:rsidRPr="003C0E2F" w:rsidRDefault="00BB038D">
          <w:pPr>
            <w:pStyle w:val="TOC2"/>
            <w:tabs>
              <w:tab w:val="left" w:pos="880"/>
              <w:tab w:val="right" w:leader="dot" w:pos="9016"/>
            </w:tabs>
            <w:rPr>
              <w:rFonts w:cstheme="minorBidi"/>
              <w:noProof/>
            </w:rPr>
          </w:pPr>
          <w:hyperlink w:anchor="_Toc82882341" w:history="1">
            <w:r w:rsidR="00FB2FD3" w:rsidRPr="003C0E2F">
              <w:rPr>
                <w:rStyle w:val="Hyperlink"/>
                <w:noProof/>
                <w:color w:val="auto"/>
              </w:rPr>
              <w:t>1.2.</w:t>
            </w:r>
            <w:r w:rsidR="00FB2FD3" w:rsidRPr="003C0E2F">
              <w:rPr>
                <w:rFonts w:cstheme="minorBidi"/>
                <w:noProof/>
              </w:rPr>
              <w:tab/>
            </w:r>
            <w:r w:rsidR="00FB2FD3" w:rsidRPr="003C0E2F">
              <w:rPr>
                <w:rStyle w:val="Hyperlink"/>
                <w:noProof/>
                <w:color w:val="auto"/>
              </w:rPr>
              <w:t>Toll-like receptor 4</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_Toc82882341 \h </w:instrText>
            </w:r>
            <w:r w:rsidR="00FB2FD3" w:rsidRPr="003C0E2F">
              <w:rPr>
                <w:noProof/>
                <w:webHidden/>
              </w:rPr>
            </w:r>
            <w:r w:rsidR="00FB2FD3" w:rsidRPr="003C0E2F">
              <w:rPr>
                <w:noProof/>
                <w:webHidden/>
              </w:rPr>
              <w:fldChar w:fldCharType="separate"/>
            </w:r>
            <w:r w:rsidR="000F2276">
              <w:rPr>
                <w:noProof/>
                <w:webHidden/>
              </w:rPr>
              <w:t>16</w:t>
            </w:r>
            <w:r w:rsidR="00FB2FD3" w:rsidRPr="003C0E2F">
              <w:rPr>
                <w:noProof/>
                <w:webHidden/>
              </w:rPr>
              <w:fldChar w:fldCharType="end"/>
            </w:r>
          </w:hyperlink>
        </w:p>
        <w:p w14:paraId="59171D04" w14:textId="5170FE2E" w:rsidR="00FB2FD3" w:rsidRPr="003C0E2F" w:rsidRDefault="00BB038D">
          <w:pPr>
            <w:pStyle w:val="TOC3"/>
            <w:tabs>
              <w:tab w:val="left" w:pos="1320"/>
              <w:tab w:val="right" w:leader="dot" w:pos="9016"/>
            </w:tabs>
            <w:rPr>
              <w:rFonts w:cstheme="minorBidi"/>
              <w:noProof/>
            </w:rPr>
          </w:pPr>
          <w:hyperlink w:anchor="_Toc82882342" w:history="1">
            <w:r w:rsidR="00FB2FD3" w:rsidRPr="003C0E2F">
              <w:rPr>
                <w:rStyle w:val="Hyperlink"/>
                <w:noProof/>
                <w:color w:val="auto"/>
              </w:rPr>
              <w:t>1.2.1.</w:t>
            </w:r>
            <w:r w:rsidR="00FB2FD3" w:rsidRPr="003C0E2F">
              <w:rPr>
                <w:rFonts w:cstheme="minorBidi"/>
                <w:noProof/>
              </w:rPr>
              <w:tab/>
            </w:r>
            <w:r w:rsidR="00FB2FD3" w:rsidRPr="003C0E2F">
              <w:rPr>
                <w:rStyle w:val="Hyperlink"/>
                <w:noProof/>
                <w:color w:val="auto"/>
              </w:rPr>
              <w:t>The role LBP, CD14 and MD-2 in TLR4 signalling</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_Toc82882342 \h </w:instrText>
            </w:r>
            <w:r w:rsidR="00FB2FD3" w:rsidRPr="003C0E2F">
              <w:rPr>
                <w:noProof/>
                <w:webHidden/>
              </w:rPr>
            </w:r>
            <w:r w:rsidR="00FB2FD3" w:rsidRPr="003C0E2F">
              <w:rPr>
                <w:noProof/>
                <w:webHidden/>
              </w:rPr>
              <w:fldChar w:fldCharType="separate"/>
            </w:r>
            <w:r w:rsidR="000F2276">
              <w:rPr>
                <w:noProof/>
                <w:webHidden/>
              </w:rPr>
              <w:t>18</w:t>
            </w:r>
            <w:r w:rsidR="00FB2FD3" w:rsidRPr="003C0E2F">
              <w:rPr>
                <w:noProof/>
                <w:webHidden/>
              </w:rPr>
              <w:fldChar w:fldCharType="end"/>
            </w:r>
          </w:hyperlink>
        </w:p>
        <w:p w14:paraId="66C1073B" w14:textId="3EA5880F" w:rsidR="00FB2FD3" w:rsidRPr="003C0E2F" w:rsidRDefault="00BB038D">
          <w:pPr>
            <w:pStyle w:val="TOC2"/>
            <w:tabs>
              <w:tab w:val="left" w:pos="880"/>
              <w:tab w:val="right" w:leader="dot" w:pos="9016"/>
            </w:tabs>
            <w:rPr>
              <w:rFonts w:cstheme="minorBidi"/>
              <w:noProof/>
            </w:rPr>
          </w:pPr>
          <w:hyperlink w:anchor="_Toc82882343" w:history="1">
            <w:r w:rsidR="00FB2FD3" w:rsidRPr="003C0E2F">
              <w:rPr>
                <w:rStyle w:val="Hyperlink"/>
                <w:noProof/>
                <w:color w:val="auto"/>
              </w:rPr>
              <w:t>1.3.</w:t>
            </w:r>
            <w:r w:rsidR="00FB2FD3" w:rsidRPr="003C0E2F">
              <w:rPr>
                <w:rFonts w:cstheme="minorBidi"/>
                <w:noProof/>
              </w:rPr>
              <w:tab/>
            </w:r>
            <w:r w:rsidR="00FB2FD3" w:rsidRPr="003C0E2F">
              <w:rPr>
                <w:rStyle w:val="Hyperlink"/>
                <w:noProof/>
                <w:color w:val="auto"/>
              </w:rPr>
              <w:t>Activation of TLR4 signalling pathways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_Toc82882343 \h </w:instrText>
            </w:r>
            <w:r w:rsidR="00FB2FD3" w:rsidRPr="003C0E2F">
              <w:rPr>
                <w:noProof/>
                <w:webHidden/>
              </w:rPr>
            </w:r>
            <w:r w:rsidR="00FB2FD3" w:rsidRPr="003C0E2F">
              <w:rPr>
                <w:noProof/>
                <w:webHidden/>
              </w:rPr>
              <w:fldChar w:fldCharType="separate"/>
            </w:r>
            <w:r w:rsidR="000F2276">
              <w:rPr>
                <w:noProof/>
                <w:webHidden/>
              </w:rPr>
              <w:t>21</w:t>
            </w:r>
            <w:r w:rsidR="00FB2FD3" w:rsidRPr="003C0E2F">
              <w:rPr>
                <w:noProof/>
                <w:webHidden/>
              </w:rPr>
              <w:fldChar w:fldCharType="end"/>
            </w:r>
          </w:hyperlink>
        </w:p>
        <w:p w14:paraId="163F480A" w14:textId="0A6A8867" w:rsidR="00FB2FD3" w:rsidRPr="003C0E2F" w:rsidRDefault="00BB038D">
          <w:pPr>
            <w:pStyle w:val="TOC3"/>
            <w:tabs>
              <w:tab w:val="left" w:pos="1320"/>
              <w:tab w:val="right" w:leader="dot" w:pos="9016"/>
            </w:tabs>
            <w:rPr>
              <w:rFonts w:cstheme="minorBidi"/>
              <w:noProof/>
            </w:rPr>
          </w:pPr>
          <w:hyperlink w:anchor="_Toc82882344" w:history="1">
            <w:r w:rsidR="00FB2FD3" w:rsidRPr="003C0E2F">
              <w:rPr>
                <w:rStyle w:val="Hyperlink"/>
                <w:noProof/>
                <w:color w:val="auto"/>
              </w:rPr>
              <w:t>1.3.1.</w:t>
            </w:r>
            <w:r w:rsidR="00FB2FD3" w:rsidRPr="003C0E2F">
              <w:rPr>
                <w:rFonts w:cstheme="minorBidi"/>
                <w:noProof/>
              </w:rPr>
              <w:tab/>
            </w:r>
            <w:r w:rsidR="00FB2FD3" w:rsidRPr="003C0E2F">
              <w:rPr>
                <w:rStyle w:val="Hyperlink"/>
                <w:noProof/>
                <w:color w:val="auto"/>
              </w:rPr>
              <w:t>MyD88-dependent TLR4 signalling pathway</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_Toc82882344 \h </w:instrText>
            </w:r>
            <w:r w:rsidR="00FB2FD3" w:rsidRPr="003C0E2F">
              <w:rPr>
                <w:noProof/>
                <w:webHidden/>
              </w:rPr>
            </w:r>
            <w:r w:rsidR="00FB2FD3" w:rsidRPr="003C0E2F">
              <w:rPr>
                <w:noProof/>
                <w:webHidden/>
              </w:rPr>
              <w:fldChar w:fldCharType="separate"/>
            </w:r>
            <w:r w:rsidR="000F2276">
              <w:rPr>
                <w:noProof/>
                <w:webHidden/>
              </w:rPr>
              <w:t>23</w:t>
            </w:r>
            <w:r w:rsidR="00FB2FD3" w:rsidRPr="003C0E2F">
              <w:rPr>
                <w:noProof/>
                <w:webHidden/>
              </w:rPr>
              <w:fldChar w:fldCharType="end"/>
            </w:r>
          </w:hyperlink>
        </w:p>
        <w:p w14:paraId="14BB66CD" w14:textId="6F85AD95" w:rsidR="00FB2FD3" w:rsidRPr="003C0E2F" w:rsidRDefault="00BB038D">
          <w:pPr>
            <w:pStyle w:val="TOC3"/>
            <w:tabs>
              <w:tab w:val="left" w:pos="1320"/>
              <w:tab w:val="right" w:leader="dot" w:pos="9016"/>
            </w:tabs>
            <w:rPr>
              <w:rFonts w:cstheme="minorBidi"/>
              <w:noProof/>
            </w:rPr>
          </w:pPr>
          <w:hyperlink w:anchor="_Toc82882345" w:history="1">
            <w:r w:rsidR="00FB2FD3" w:rsidRPr="003C0E2F">
              <w:rPr>
                <w:rStyle w:val="Hyperlink"/>
                <w:noProof/>
                <w:color w:val="auto"/>
              </w:rPr>
              <w:t>1.3.2.</w:t>
            </w:r>
            <w:r w:rsidR="00FB2FD3" w:rsidRPr="003C0E2F">
              <w:rPr>
                <w:rFonts w:cstheme="minorBidi"/>
                <w:noProof/>
              </w:rPr>
              <w:tab/>
            </w:r>
            <w:r w:rsidR="00FB2FD3" w:rsidRPr="003C0E2F">
              <w:rPr>
                <w:rStyle w:val="Hyperlink"/>
                <w:noProof/>
                <w:color w:val="auto"/>
              </w:rPr>
              <w:t>TRIF-dependent TLR4 signalling pathway</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_Toc82882345 \h </w:instrText>
            </w:r>
            <w:r w:rsidR="00FB2FD3" w:rsidRPr="003C0E2F">
              <w:rPr>
                <w:noProof/>
                <w:webHidden/>
              </w:rPr>
            </w:r>
            <w:r w:rsidR="00FB2FD3" w:rsidRPr="003C0E2F">
              <w:rPr>
                <w:noProof/>
                <w:webHidden/>
              </w:rPr>
              <w:fldChar w:fldCharType="separate"/>
            </w:r>
            <w:r w:rsidR="000F2276">
              <w:rPr>
                <w:noProof/>
                <w:webHidden/>
              </w:rPr>
              <w:t>24</w:t>
            </w:r>
            <w:r w:rsidR="00FB2FD3" w:rsidRPr="003C0E2F">
              <w:rPr>
                <w:noProof/>
                <w:webHidden/>
              </w:rPr>
              <w:fldChar w:fldCharType="end"/>
            </w:r>
          </w:hyperlink>
        </w:p>
        <w:p w14:paraId="74637EAA" w14:textId="07153EA6" w:rsidR="00FB2FD3" w:rsidRPr="003C0E2F" w:rsidRDefault="00BB038D">
          <w:pPr>
            <w:pStyle w:val="TOC3"/>
            <w:tabs>
              <w:tab w:val="left" w:pos="1320"/>
              <w:tab w:val="right" w:leader="dot" w:pos="9016"/>
            </w:tabs>
            <w:rPr>
              <w:rFonts w:cstheme="minorBidi"/>
              <w:noProof/>
            </w:rPr>
          </w:pPr>
          <w:hyperlink w:anchor="_Toc82882346" w:history="1">
            <w:r w:rsidR="00FB2FD3" w:rsidRPr="003C0E2F">
              <w:rPr>
                <w:rStyle w:val="Hyperlink"/>
                <w:noProof/>
                <w:color w:val="auto"/>
              </w:rPr>
              <w:t>1.3.3.</w:t>
            </w:r>
            <w:r w:rsidR="00FB2FD3" w:rsidRPr="003C0E2F">
              <w:rPr>
                <w:rFonts w:cstheme="minorBidi"/>
                <w:noProof/>
              </w:rPr>
              <w:tab/>
            </w:r>
            <w:r w:rsidR="00FB2FD3" w:rsidRPr="003C0E2F">
              <w:rPr>
                <w:rStyle w:val="Hyperlink"/>
                <w:noProof/>
                <w:color w:val="auto"/>
              </w:rPr>
              <w:t>Proinflammatory protein production via TLR4 signalling pathways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_Toc82882346 \h </w:instrText>
            </w:r>
            <w:r w:rsidR="00FB2FD3" w:rsidRPr="003C0E2F">
              <w:rPr>
                <w:noProof/>
                <w:webHidden/>
              </w:rPr>
            </w:r>
            <w:r w:rsidR="00FB2FD3" w:rsidRPr="003C0E2F">
              <w:rPr>
                <w:noProof/>
                <w:webHidden/>
              </w:rPr>
              <w:fldChar w:fldCharType="separate"/>
            </w:r>
            <w:r w:rsidR="000F2276">
              <w:rPr>
                <w:noProof/>
                <w:webHidden/>
              </w:rPr>
              <w:t>26</w:t>
            </w:r>
            <w:r w:rsidR="00FB2FD3" w:rsidRPr="003C0E2F">
              <w:rPr>
                <w:noProof/>
                <w:webHidden/>
              </w:rPr>
              <w:fldChar w:fldCharType="end"/>
            </w:r>
          </w:hyperlink>
        </w:p>
        <w:p w14:paraId="27FF48CE" w14:textId="0DC60BEF" w:rsidR="00FB2FD3" w:rsidRPr="003C0E2F" w:rsidRDefault="00BB038D">
          <w:pPr>
            <w:pStyle w:val="TOC3"/>
            <w:tabs>
              <w:tab w:val="left" w:pos="1320"/>
              <w:tab w:val="right" w:leader="dot" w:pos="9016"/>
            </w:tabs>
            <w:rPr>
              <w:rFonts w:cstheme="minorBidi"/>
              <w:noProof/>
            </w:rPr>
          </w:pPr>
          <w:hyperlink w:anchor="_Toc82882347" w:history="1">
            <w:r w:rsidR="00FB2FD3" w:rsidRPr="003C0E2F">
              <w:rPr>
                <w:rStyle w:val="Hyperlink"/>
                <w:noProof/>
                <w:color w:val="auto"/>
              </w:rPr>
              <w:t>1.3.4.</w:t>
            </w:r>
            <w:r w:rsidR="00FB2FD3" w:rsidRPr="003C0E2F">
              <w:rPr>
                <w:rFonts w:cstheme="minorBidi"/>
                <w:noProof/>
              </w:rPr>
              <w:tab/>
            </w:r>
            <w:r w:rsidR="00FB2FD3" w:rsidRPr="003C0E2F">
              <w:rPr>
                <w:rStyle w:val="Hyperlink"/>
                <w:noProof/>
                <w:color w:val="auto"/>
              </w:rPr>
              <w:t>Interferon beta and Interferon alpha/beta receptors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_Toc82882347 \h </w:instrText>
            </w:r>
            <w:r w:rsidR="00FB2FD3" w:rsidRPr="003C0E2F">
              <w:rPr>
                <w:noProof/>
                <w:webHidden/>
              </w:rPr>
            </w:r>
            <w:r w:rsidR="00FB2FD3" w:rsidRPr="003C0E2F">
              <w:rPr>
                <w:noProof/>
                <w:webHidden/>
              </w:rPr>
              <w:fldChar w:fldCharType="separate"/>
            </w:r>
            <w:r w:rsidR="000F2276">
              <w:rPr>
                <w:noProof/>
                <w:webHidden/>
              </w:rPr>
              <w:t>29</w:t>
            </w:r>
            <w:r w:rsidR="00FB2FD3" w:rsidRPr="003C0E2F">
              <w:rPr>
                <w:noProof/>
                <w:webHidden/>
              </w:rPr>
              <w:fldChar w:fldCharType="end"/>
            </w:r>
          </w:hyperlink>
        </w:p>
        <w:p w14:paraId="0798C2DB" w14:textId="6A35FAEB" w:rsidR="00FB2FD3" w:rsidRPr="003C0E2F" w:rsidRDefault="00BB038D">
          <w:pPr>
            <w:pStyle w:val="TOC2"/>
            <w:tabs>
              <w:tab w:val="left" w:pos="880"/>
              <w:tab w:val="right" w:leader="dot" w:pos="9016"/>
            </w:tabs>
            <w:rPr>
              <w:rFonts w:cstheme="minorBidi"/>
              <w:noProof/>
            </w:rPr>
          </w:pPr>
          <w:hyperlink w:anchor="_Toc82882348" w:history="1">
            <w:r w:rsidR="00FB2FD3" w:rsidRPr="003C0E2F">
              <w:rPr>
                <w:rStyle w:val="Hyperlink"/>
                <w:noProof/>
                <w:color w:val="auto"/>
              </w:rPr>
              <w:t>1.4.</w:t>
            </w:r>
            <w:r w:rsidR="00FB2FD3" w:rsidRPr="003C0E2F">
              <w:rPr>
                <w:rFonts w:cstheme="minorBidi"/>
                <w:noProof/>
              </w:rPr>
              <w:tab/>
            </w:r>
            <w:r w:rsidR="00FB2FD3" w:rsidRPr="003C0E2F">
              <w:rPr>
                <w:rStyle w:val="Hyperlink"/>
                <w:noProof/>
                <w:color w:val="auto"/>
              </w:rPr>
              <w:t>LPS as a master TLR4 ligand</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_Toc82882348 \h </w:instrText>
            </w:r>
            <w:r w:rsidR="00FB2FD3" w:rsidRPr="003C0E2F">
              <w:rPr>
                <w:noProof/>
                <w:webHidden/>
              </w:rPr>
            </w:r>
            <w:r w:rsidR="00FB2FD3" w:rsidRPr="003C0E2F">
              <w:rPr>
                <w:noProof/>
                <w:webHidden/>
              </w:rPr>
              <w:fldChar w:fldCharType="separate"/>
            </w:r>
            <w:r w:rsidR="000F2276">
              <w:rPr>
                <w:noProof/>
                <w:webHidden/>
              </w:rPr>
              <w:t>30</w:t>
            </w:r>
            <w:r w:rsidR="00FB2FD3" w:rsidRPr="003C0E2F">
              <w:rPr>
                <w:noProof/>
                <w:webHidden/>
              </w:rPr>
              <w:fldChar w:fldCharType="end"/>
            </w:r>
          </w:hyperlink>
        </w:p>
        <w:p w14:paraId="0A7811FF" w14:textId="66FAFE21" w:rsidR="00FB2FD3" w:rsidRPr="003C0E2F" w:rsidRDefault="00BB038D">
          <w:pPr>
            <w:pStyle w:val="TOC3"/>
            <w:tabs>
              <w:tab w:val="left" w:pos="1320"/>
              <w:tab w:val="right" w:leader="dot" w:pos="9016"/>
            </w:tabs>
            <w:rPr>
              <w:rFonts w:cstheme="minorBidi"/>
              <w:noProof/>
            </w:rPr>
          </w:pPr>
          <w:hyperlink w:anchor="_Toc82882349" w:history="1">
            <w:r w:rsidR="00FB2FD3" w:rsidRPr="003C0E2F">
              <w:rPr>
                <w:rStyle w:val="Hyperlink"/>
                <w:noProof/>
                <w:color w:val="auto"/>
              </w:rPr>
              <w:t>1.4.1.</w:t>
            </w:r>
            <w:r w:rsidR="00FB2FD3" w:rsidRPr="003C0E2F">
              <w:rPr>
                <w:rFonts w:cstheme="minorBidi"/>
                <w:noProof/>
              </w:rPr>
              <w:tab/>
            </w:r>
            <w:r w:rsidR="00FB2FD3" w:rsidRPr="003C0E2F">
              <w:rPr>
                <w:rStyle w:val="Hyperlink"/>
                <w:noProof/>
                <w:color w:val="auto"/>
              </w:rPr>
              <w:t>LPS structure and variations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_Toc82882349 \h </w:instrText>
            </w:r>
            <w:r w:rsidR="00FB2FD3" w:rsidRPr="003C0E2F">
              <w:rPr>
                <w:noProof/>
                <w:webHidden/>
              </w:rPr>
            </w:r>
            <w:r w:rsidR="00FB2FD3" w:rsidRPr="003C0E2F">
              <w:rPr>
                <w:noProof/>
                <w:webHidden/>
              </w:rPr>
              <w:fldChar w:fldCharType="separate"/>
            </w:r>
            <w:r w:rsidR="000F2276">
              <w:rPr>
                <w:noProof/>
                <w:webHidden/>
              </w:rPr>
              <w:t>31</w:t>
            </w:r>
            <w:r w:rsidR="00FB2FD3" w:rsidRPr="003C0E2F">
              <w:rPr>
                <w:noProof/>
                <w:webHidden/>
              </w:rPr>
              <w:fldChar w:fldCharType="end"/>
            </w:r>
          </w:hyperlink>
        </w:p>
        <w:p w14:paraId="3B570D39" w14:textId="40EC51B6" w:rsidR="00FB2FD3" w:rsidRPr="003C0E2F" w:rsidRDefault="00BB038D">
          <w:pPr>
            <w:pStyle w:val="TOC2"/>
            <w:tabs>
              <w:tab w:val="left" w:pos="880"/>
              <w:tab w:val="right" w:leader="dot" w:pos="9016"/>
            </w:tabs>
            <w:rPr>
              <w:rFonts w:cstheme="minorBidi"/>
              <w:noProof/>
            </w:rPr>
          </w:pPr>
          <w:hyperlink w:anchor="_Toc82882350" w:history="1">
            <w:r w:rsidR="00FB2FD3" w:rsidRPr="003C0E2F">
              <w:rPr>
                <w:rStyle w:val="Hyperlink"/>
                <w:noProof/>
                <w:color w:val="auto"/>
              </w:rPr>
              <w:t>1.5.</w:t>
            </w:r>
            <w:r w:rsidR="00FB2FD3" w:rsidRPr="003C0E2F">
              <w:rPr>
                <w:rFonts w:cstheme="minorBidi"/>
                <w:noProof/>
              </w:rPr>
              <w:tab/>
            </w:r>
            <w:r w:rsidR="00FB2FD3" w:rsidRPr="003C0E2F">
              <w:rPr>
                <w:rStyle w:val="Hyperlink"/>
                <w:noProof/>
                <w:color w:val="auto"/>
              </w:rPr>
              <w:t>Cardiovascular diseases: risk factors and pathology</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_Toc82882350 \h </w:instrText>
            </w:r>
            <w:r w:rsidR="00FB2FD3" w:rsidRPr="003C0E2F">
              <w:rPr>
                <w:noProof/>
                <w:webHidden/>
              </w:rPr>
            </w:r>
            <w:r w:rsidR="00FB2FD3" w:rsidRPr="003C0E2F">
              <w:rPr>
                <w:noProof/>
                <w:webHidden/>
              </w:rPr>
              <w:fldChar w:fldCharType="separate"/>
            </w:r>
            <w:r w:rsidR="000F2276">
              <w:rPr>
                <w:noProof/>
                <w:webHidden/>
              </w:rPr>
              <w:t>34</w:t>
            </w:r>
            <w:r w:rsidR="00FB2FD3" w:rsidRPr="003C0E2F">
              <w:rPr>
                <w:noProof/>
                <w:webHidden/>
              </w:rPr>
              <w:fldChar w:fldCharType="end"/>
            </w:r>
          </w:hyperlink>
        </w:p>
        <w:p w14:paraId="15A31648" w14:textId="4E0AC0ED" w:rsidR="00FB2FD3" w:rsidRPr="003C0E2F" w:rsidRDefault="00BB038D">
          <w:pPr>
            <w:pStyle w:val="TOC3"/>
            <w:tabs>
              <w:tab w:val="left" w:pos="1320"/>
              <w:tab w:val="right" w:leader="dot" w:pos="9016"/>
            </w:tabs>
            <w:rPr>
              <w:rFonts w:cstheme="minorBidi"/>
              <w:noProof/>
            </w:rPr>
          </w:pPr>
          <w:hyperlink w:anchor="_Toc82882351" w:history="1">
            <w:r w:rsidR="00FB2FD3" w:rsidRPr="003C0E2F">
              <w:rPr>
                <w:rStyle w:val="Hyperlink"/>
                <w:noProof/>
                <w:color w:val="auto"/>
              </w:rPr>
              <w:t>1.5.1.</w:t>
            </w:r>
            <w:r w:rsidR="00FB2FD3" w:rsidRPr="003C0E2F">
              <w:rPr>
                <w:rFonts w:cstheme="minorBidi"/>
                <w:noProof/>
              </w:rPr>
              <w:tab/>
            </w:r>
            <w:r w:rsidR="00FB2FD3" w:rsidRPr="003C0E2F">
              <w:rPr>
                <w:rStyle w:val="Hyperlink"/>
                <w:noProof/>
                <w:color w:val="auto"/>
              </w:rPr>
              <w:t>Oxidised Low-Density Lipoprotein and the role of sterile inflammation in atherosclerosis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_Toc82882351 \h </w:instrText>
            </w:r>
            <w:r w:rsidR="00FB2FD3" w:rsidRPr="003C0E2F">
              <w:rPr>
                <w:noProof/>
                <w:webHidden/>
              </w:rPr>
            </w:r>
            <w:r w:rsidR="00FB2FD3" w:rsidRPr="003C0E2F">
              <w:rPr>
                <w:noProof/>
                <w:webHidden/>
              </w:rPr>
              <w:fldChar w:fldCharType="separate"/>
            </w:r>
            <w:r w:rsidR="000F2276">
              <w:rPr>
                <w:noProof/>
                <w:webHidden/>
              </w:rPr>
              <w:t>36</w:t>
            </w:r>
            <w:r w:rsidR="00FB2FD3" w:rsidRPr="003C0E2F">
              <w:rPr>
                <w:noProof/>
                <w:webHidden/>
              </w:rPr>
              <w:fldChar w:fldCharType="end"/>
            </w:r>
          </w:hyperlink>
        </w:p>
        <w:p w14:paraId="2C9A8214" w14:textId="1F067A45" w:rsidR="00FB2FD3" w:rsidRPr="003C0E2F" w:rsidRDefault="00BB038D">
          <w:pPr>
            <w:pStyle w:val="TOC3"/>
            <w:tabs>
              <w:tab w:val="left" w:pos="1320"/>
              <w:tab w:val="right" w:leader="dot" w:pos="9016"/>
            </w:tabs>
            <w:rPr>
              <w:rFonts w:cstheme="minorBidi"/>
              <w:noProof/>
            </w:rPr>
          </w:pPr>
          <w:hyperlink w:anchor="_Toc82882352" w:history="1">
            <w:r w:rsidR="00FB2FD3" w:rsidRPr="003C0E2F">
              <w:rPr>
                <w:rStyle w:val="Hyperlink"/>
                <w:noProof/>
                <w:color w:val="auto"/>
              </w:rPr>
              <w:t>1.5.2.</w:t>
            </w:r>
            <w:r w:rsidR="00FB2FD3" w:rsidRPr="003C0E2F">
              <w:rPr>
                <w:rFonts w:cstheme="minorBidi"/>
                <w:noProof/>
              </w:rPr>
              <w:tab/>
            </w:r>
            <w:r w:rsidR="00FB2FD3" w:rsidRPr="003C0E2F">
              <w:rPr>
                <w:rStyle w:val="Hyperlink"/>
                <w:noProof/>
                <w:color w:val="auto"/>
              </w:rPr>
              <w:t>Pharmacological treatment of cardiovascular diseases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_Toc82882352 \h </w:instrText>
            </w:r>
            <w:r w:rsidR="00FB2FD3" w:rsidRPr="003C0E2F">
              <w:rPr>
                <w:noProof/>
                <w:webHidden/>
              </w:rPr>
            </w:r>
            <w:r w:rsidR="00FB2FD3" w:rsidRPr="003C0E2F">
              <w:rPr>
                <w:noProof/>
                <w:webHidden/>
              </w:rPr>
              <w:fldChar w:fldCharType="separate"/>
            </w:r>
            <w:r w:rsidR="000F2276">
              <w:rPr>
                <w:noProof/>
                <w:webHidden/>
              </w:rPr>
              <w:t>39</w:t>
            </w:r>
            <w:r w:rsidR="00FB2FD3" w:rsidRPr="003C0E2F">
              <w:rPr>
                <w:noProof/>
                <w:webHidden/>
              </w:rPr>
              <w:fldChar w:fldCharType="end"/>
            </w:r>
          </w:hyperlink>
        </w:p>
        <w:p w14:paraId="3E7CFC67" w14:textId="07F8F41D" w:rsidR="00FB2FD3" w:rsidRPr="003C0E2F" w:rsidRDefault="00BB038D">
          <w:pPr>
            <w:pStyle w:val="TOC3"/>
            <w:tabs>
              <w:tab w:val="left" w:pos="1320"/>
              <w:tab w:val="right" w:leader="dot" w:pos="9016"/>
            </w:tabs>
            <w:rPr>
              <w:rFonts w:cstheme="minorBidi"/>
              <w:noProof/>
            </w:rPr>
          </w:pPr>
          <w:hyperlink w:anchor="_Toc82882353" w:history="1">
            <w:r w:rsidR="00FB2FD3" w:rsidRPr="003C0E2F">
              <w:rPr>
                <w:rStyle w:val="Hyperlink"/>
                <w:noProof/>
                <w:color w:val="auto"/>
              </w:rPr>
              <w:t>1.5.3.</w:t>
            </w:r>
            <w:r w:rsidR="00FB2FD3" w:rsidRPr="003C0E2F">
              <w:rPr>
                <w:rFonts w:cstheme="minorBidi"/>
                <w:noProof/>
              </w:rPr>
              <w:tab/>
            </w:r>
            <w:r w:rsidR="00FB2FD3" w:rsidRPr="003C0E2F">
              <w:rPr>
                <w:rStyle w:val="Hyperlink"/>
                <w:noProof/>
                <w:color w:val="auto"/>
              </w:rPr>
              <w:t>Modulation of TLR4 signalling as a strategy of pharmacological intervention of cardiovascular diseases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_Toc82882353 \h </w:instrText>
            </w:r>
            <w:r w:rsidR="00FB2FD3" w:rsidRPr="003C0E2F">
              <w:rPr>
                <w:noProof/>
                <w:webHidden/>
              </w:rPr>
            </w:r>
            <w:r w:rsidR="00FB2FD3" w:rsidRPr="003C0E2F">
              <w:rPr>
                <w:noProof/>
                <w:webHidden/>
              </w:rPr>
              <w:fldChar w:fldCharType="separate"/>
            </w:r>
            <w:r w:rsidR="000F2276">
              <w:rPr>
                <w:noProof/>
                <w:webHidden/>
              </w:rPr>
              <w:t>41</w:t>
            </w:r>
            <w:r w:rsidR="00FB2FD3" w:rsidRPr="003C0E2F">
              <w:rPr>
                <w:noProof/>
                <w:webHidden/>
              </w:rPr>
              <w:fldChar w:fldCharType="end"/>
            </w:r>
          </w:hyperlink>
        </w:p>
        <w:p w14:paraId="5BEBCBAA" w14:textId="1054EF47" w:rsidR="00FB2FD3" w:rsidRPr="003C0E2F" w:rsidRDefault="00BB038D">
          <w:pPr>
            <w:pStyle w:val="TOC2"/>
            <w:tabs>
              <w:tab w:val="left" w:pos="880"/>
              <w:tab w:val="right" w:leader="dot" w:pos="9016"/>
            </w:tabs>
            <w:rPr>
              <w:rFonts w:cstheme="minorBidi"/>
              <w:noProof/>
            </w:rPr>
          </w:pPr>
          <w:hyperlink w:anchor="_Toc82882354" w:history="1">
            <w:r w:rsidR="00FB2FD3" w:rsidRPr="003C0E2F">
              <w:rPr>
                <w:rStyle w:val="Hyperlink"/>
                <w:noProof/>
                <w:color w:val="auto"/>
              </w:rPr>
              <w:t>1.6.</w:t>
            </w:r>
            <w:r w:rsidR="00FB2FD3" w:rsidRPr="003C0E2F">
              <w:rPr>
                <w:rFonts w:cstheme="minorBidi"/>
                <w:noProof/>
              </w:rPr>
              <w:tab/>
            </w:r>
            <w:r w:rsidR="00FB2FD3" w:rsidRPr="003C0E2F">
              <w:rPr>
                <w:rStyle w:val="Hyperlink"/>
                <w:noProof/>
                <w:color w:val="auto"/>
              </w:rPr>
              <w:t>The role of immune system in physiological and pathological inflammation: monocytes/macrophages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_Toc82882354 \h </w:instrText>
            </w:r>
            <w:r w:rsidR="00FB2FD3" w:rsidRPr="003C0E2F">
              <w:rPr>
                <w:noProof/>
                <w:webHidden/>
              </w:rPr>
            </w:r>
            <w:r w:rsidR="00FB2FD3" w:rsidRPr="003C0E2F">
              <w:rPr>
                <w:noProof/>
                <w:webHidden/>
              </w:rPr>
              <w:fldChar w:fldCharType="separate"/>
            </w:r>
            <w:r w:rsidR="000F2276">
              <w:rPr>
                <w:noProof/>
                <w:webHidden/>
              </w:rPr>
              <w:t>43</w:t>
            </w:r>
            <w:r w:rsidR="00FB2FD3" w:rsidRPr="003C0E2F">
              <w:rPr>
                <w:noProof/>
                <w:webHidden/>
              </w:rPr>
              <w:fldChar w:fldCharType="end"/>
            </w:r>
          </w:hyperlink>
        </w:p>
        <w:p w14:paraId="7FF12733" w14:textId="41AFA9F6" w:rsidR="00FB2FD3" w:rsidRPr="003C0E2F" w:rsidRDefault="00BB038D">
          <w:pPr>
            <w:pStyle w:val="TOC3"/>
            <w:tabs>
              <w:tab w:val="left" w:pos="1320"/>
              <w:tab w:val="right" w:leader="dot" w:pos="9016"/>
            </w:tabs>
            <w:rPr>
              <w:rFonts w:cstheme="minorBidi"/>
              <w:noProof/>
            </w:rPr>
          </w:pPr>
          <w:hyperlink w:anchor="_Toc82882355" w:history="1">
            <w:r w:rsidR="00FB2FD3" w:rsidRPr="003C0E2F">
              <w:rPr>
                <w:rStyle w:val="Hyperlink"/>
                <w:noProof/>
                <w:color w:val="auto"/>
              </w:rPr>
              <w:t>1.6.1.</w:t>
            </w:r>
            <w:r w:rsidR="00FB2FD3" w:rsidRPr="003C0E2F">
              <w:rPr>
                <w:rFonts w:cstheme="minorBidi"/>
                <w:noProof/>
              </w:rPr>
              <w:tab/>
            </w:r>
            <w:r w:rsidR="00FB2FD3" w:rsidRPr="003C0E2F">
              <w:rPr>
                <w:rStyle w:val="Hyperlink"/>
                <w:noProof/>
                <w:color w:val="auto"/>
              </w:rPr>
              <w:t>The role of TLR4, monocytes and macrophage polarisation in atherosclerosis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_Toc82882355 \h </w:instrText>
            </w:r>
            <w:r w:rsidR="00FB2FD3" w:rsidRPr="003C0E2F">
              <w:rPr>
                <w:noProof/>
                <w:webHidden/>
              </w:rPr>
            </w:r>
            <w:r w:rsidR="00FB2FD3" w:rsidRPr="003C0E2F">
              <w:rPr>
                <w:noProof/>
                <w:webHidden/>
              </w:rPr>
              <w:fldChar w:fldCharType="separate"/>
            </w:r>
            <w:r w:rsidR="000F2276">
              <w:rPr>
                <w:noProof/>
                <w:webHidden/>
              </w:rPr>
              <w:t>45</w:t>
            </w:r>
            <w:r w:rsidR="00FB2FD3" w:rsidRPr="003C0E2F">
              <w:rPr>
                <w:noProof/>
                <w:webHidden/>
              </w:rPr>
              <w:fldChar w:fldCharType="end"/>
            </w:r>
          </w:hyperlink>
        </w:p>
        <w:p w14:paraId="6179C5B0" w14:textId="38F8D82A" w:rsidR="00FB2FD3" w:rsidRPr="003C0E2F" w:rsidRDefault="00BB038D">
          <w:pPr>
            <w:pStyle w:val="TOC3"/>
            <w:tabs>
              <w:tab w:val="left" w:pos="1320"/>
              <w:tab w:val="right" w:leader="dot" w:pos="9016"/>
            </w:tabs>
            <w:rPr>
              <w:rFonts w:cstheme="minorBidi"/>
              <w:noProof/>
            </w:rPr>
          </w:pPr>
          <w:hyperlink w:anchor="_Toc82882356" w:history="1">
            <w:r w:rsidR="00FB2FD3" w:rsidRPr="003C0E2F">
              <w:rPr>
                <w:rStyle w:val="Hyperlink"/>
                <w:noProof/>
                <w:color w:val="auto"/>
              </w:rPr>
              <w:t>1.6.2.</w:t>
            </w:r>
            <w:r w:rsidR="00FB2FD3" w:rsidRPr="003C0E2F">
              <w:rPr>
                <w:rFonts w:cstheme="minorBidi"/>
                <w:noProof/>
              </w:rPr>
              <w:tab/>
            </w:r>
            <w:r w:rsidR="00FB2FD3" w:rsidRPr="003C0E2F">
              <w:rPr>
                <w:rStyle w:val="Hyperlink"/>
                <w:noProof/>
                <w:color w:val="auto"/>
              </w:rPr>
              <w:t>Primary versus THP-1 responses of monocytes and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_Toc82882356 \h </w:instrText>
            </w:r>
            <w:r w:rsidR="00FB2FD3" w:rsidRPr="003C0E2F">
              <w:rPr>
                <w:noProof/>
                <w:webHidden/>
              </w:rPr>
            </w:r>
            <w:r w:rsidR="00FB2FD3" w:rsidRPr="003C0E2F">
              <w:rPr>
                <w:noProof/>
                <w:webHidden/>
              </w:rPr>
              <w:fldChar w:fldCharType="separate"/>
            </w:r>
            <w:r w:rsidR="000F2276">
              <w:rPr>
                <w:noProof/>
                <w:webHidden/>
              </w:rPr>
              <w:t>47</w:t>
            </w:r>
            <w:r w:rsidR="00FB2FD3" w:rsidRPr="003C0E2F">
              <w:rPr>
                <w:noProof/>
                <w:webHidden/>
              </w:rPr>
              <w:fldChar w:fldCharType="end"/>
            </w:r>
          </w:hyperlink>
        </w:p>
        <w:p w14:paraId="17A1DC03" w14:textId="63D55452" w:rsidR="00FB2FD3" w:rsidRPr="003C0E2F" w:rsidRDefault="00BB038D">
          <w:pPr>
            <w:pStyle w:val="TOC2"/>
            <w:tabs>
              <w:tab w:val="left" w:pos="880"/>
              <w:tab w:val="right" w:leader="dot" w:pos="9016"/>
            </w:tabs>
            <w:rPr>
              <w:rFonts w:cstheme="minorBidi"/>
              <w:noProof/>
            </w:rPr>
          </w:pPr>
          <w:hyperlink w:anchor="_Toc82882357" w:history="1">
            <w:r w:rsidR="00FB2FD3" w:rsidRPr="003C0E2F">
              <w:rPr>
                <w:rStyle w:val="Hyperlink"/>
                <w:noProof/>
                <w:color w:val="auto"/>
              </w:rPr>
              <w:t>1.7.</w:t>
            </w:r>
            <w:r w:rsidR="00FB2FD3" w:rsidRPr="003C0E2F">
              <w:rPr>
                <w:rFonts w:cstheme="minorBidi"/>
                <w:noProof/>
              </w:rPr>
              <w:tab/>
            </w:r>
            <w:r w:rsidR="00FB2FD3" w:rsidRPr="003C0E2F">
              <w:rPr>
                <w:rStyle w:val="Hyperlink"/>
                <w:noProof/>
                <w:color w:val="auto"/>
              </w:rPr>
              <w:t>Cancer immunotherapy and TLRs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_Toc82882357 \h </w:instrText>
            </w:r>
            <w:r w:rsidR="00FB2FD3" w:rsidRPr="003C0E2F">
              <w:rPr>
                <w:noProof/>
                <w:webHidden/>
              </w:rPr>
            </w:r>
            <w:r w:rsidR="00FB2FD3" w:rsidRPr="003C0E2F">
              <w:rPr>
                <w:noProof/>
                <w:webHidden/>
              </w:rPr>
              <w:fldChar w:fldCharType="separate"/>
            </w:r>
            <w:r w:rsidR="000F2276">
              <w:rPr>
                <w:noProof/>
                <w:webHidden/>
              </w:rPr>
              <w:t>48</w:t>
            </w:r>
            <w:r w:rsidR="00FB2FD3" w:rsidRPr="003C0E2F">
              <w:rPr>
                <w:noProof/>
                <w:webHidden/>
              </w:rPr>
              <w:fldChar w:fldCharType="end"/>
            </w:r>
          </w:hyperlink>
        </w:p>
        <w:p w14:paraId="37822838" w14:textId="3EB8FD9B" w:rsidR="00FB2FD3" w:rsidRPr="003C0E2F" w:rsidRDefault="00BB038D">
          <w:pPr>
            <w:pStyle w:val="TOC2"/>
            <w:tabs>
              <w:tab w:val="left" w:pos="880"/>
              <w:tab w:val="right" w:leader="dot" w:pos="9016"/>
            </w:tabs>
            <w:rPr>
              <w:rFonts w:cstheme="minorBidi"/>
              <w:noProof/>
            </w:rPr>
          </w:pPr>
          <w:hyperlink w:anchor="_Toc82882358" w:history="1">
            <w:r w:rsidR="00FB2FD3" w:rsidRPr="003C0E2F">
              <w:rPr>
                <w:rStyle w:val="Hyperlink"/>
                <w:noProof/>
                <w:color w:val="auto"/>
              </w:rPr>
              <w:t>1.8.</w:t>
            </w:r>
            <w:r w:rsidR="00FB2FD3" w:rsidRPr="003C0E2F">
              <w:rPr>
                <w:rFonts w:cstheme="minorBidi"/>
                <w:noProof/>
              </w:rPr>
              <w:tab/>
            </w:r>
            <w:r w:rsidR="00FB2FD3" w:rsidRPr="003C0E2F">
              <w:rPr>
                <w:rStyle w:val="Hyperlink"/>
                <w:noProof/>
                <w:color w:val="auto"/>
              </w:rPr>
              <w:t>Modulation of TLR4 by novel lipid A mimetic molecules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_Toc82882358 \h </w:instrText>
            </w:r>
            <w:r w:rsidR="00FB2FD3" w:rsidRPr="003C0E2F">
              <w:rPr>
                <w:noProof/>
                <w:webHidden/>
              </w:rPr>
            </w:r>
            <w:r w:rsidR="00FB2FD3" w:rsidRPr="003C0E2F">
              <w:rPr>
                <w:noProof/>
                <w:webHidden/>
              </w:rPr>
              <w:fldChar w:fldCharType="separate"/>
            </w:r>
            <w:r w:rsidR="000F2276">
              <w:rPr>
                <w:noProof/>
                <w:webHidden/>
              </w:rPr>
              <w:t>50</w:t>
            </w:r>
            <w:r w:rsidR="00FB2FD3" w:rsidRPr="003C0E2F">
              <w:rPr>
                <w:noProof/>
                <w:webHidden/>
              </w:rPr>
              <w:fldChar w:fldCharType="end"/>
            </w:r>
          </w:hyperlink>
        </w:p>
        <w:p w14:paraId="174DD0FA" w14:textId="65E5BB38" w:rsidR="00FB2FD3" w:rsidRPr="003C0E2F" w:rsidRDefault="00BB038D">
          <w:pPr>
            <w:pStyle w:val="TOC1"/>
            <w:rPr>
              <w:rFonts w:cstheme="minorBidi"/>
              <w:noProof/>
            </w:rPr>
          </w:pPr>
          <w:hyperlink w:anchor="_Toc82882359" w:history="1">
            <w:r w:rsidR="00FB2FD3" w:rsidRPr="003C0E2F">
              <w:rPr>
                <w:rStyle w:val="Hyperlink"/>
                <w:noProof/>
                <w:color w:val="auto"/>
              </w:rPr>
              <w:t>2.</w:t>
            </w:r>
            <w:r w:rsidR="00FB2FD3" w:rsidRPr="003C0E2F">
              <w:rPr>
                <w:rFonts w:cstheme="minorBidi"/>
                <w:noProof/>
              </w:rPr>
              <w:tab/>
            </w:r>
            <w:r w:rsidR="00FB2FD3" w:rsidRPr="003C0E2F">
              <w:rPr>
                <w:rStyle w:val="Hyperlink"/>
                <w:noProof/>
                <w:color w:val="auto"/>
              </w:rPr>
              <w:t>Aims and objectives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_Toc82882359 \h </w:instrText>
            </w:r>
            <w:r w:rsidR="00FB2FD3" w:rsidRPr="003C0E2F">
              <w:rPr>
                <w:noProof/>
                <w:webHidden/>
              </w:rPr>
            </w:r>
            <w:r w:rsidR="00FB2FD3" w:rsidRPr="003C0E2F">
              <w:rPr>
                <w:noProof/>
                <w:webHidden/>
              </w:rPr>
              <w:fldChar w:fldCharType="separate"/>
            </w:r>
            <w:r w:rsidR="000F2276">
              <w:rPr>
                <w:noProof/>
                <w:webHidden/>
              </w:rPr>
              <w:t>54</w:t>
            </w:r>
            <w:r w:rsidR="00FB2FD3" w:rsidRPr="003C0E2F">
              <w:rPr>
                <w:noProof/>
                <w:webHidden/>
              </w:rPr>
              <w:fldChar w:fldCharType="end"/>
            </w:r>
          </w:hyperlink>
        </w:p>
        <w:p w14:paraId="1F56B820" w14:textId="3BC7263A" w:rsidR="00FB2FD3" w:rsidRPr="003C0E2F" w:rsidRDefault="00BB038D">
          <w:pPr>
            <w:pStyle w:val="TOC1"/>
            <w:rPr>
              <w:rFonts w:cstheme="minorBidi"/>
              <w:noProof/>
            </w:rPr>
          </w:pPr>
          <w:hyperlink w:anchor="_Toc82882360" w:history="1">
            <w:r w:rsidR="00FB2FD3" w:rsidRPr="003C0E2F">
              <w:rPr>
                <w:rStyle w:val="Hyperlink"/>
                <w:noProof/>
                <w:color w:val="auto"/>
              </w:rPr>
              <w:t>3.</w:t>
            </w:r>
            <w:r w:rsidR="00FB2FD3" w:rsidRPr="003C0E2F">
              <w:rPr>
                <w:rFonts w:cstheme="minorBidi"/>
                <w:noProof/>
              </w:rPr>
              <w:tab/>
            </w:r>
            <w:r w:rsidR="00FB2FD3" w:rsidRPr="003C0E2F">
              <w:rPr>
                <w:rStyle w:val="Hyperlink"/>
                <w:noProof/>
                <w:color w:val="auto"/>
              </w:rPr>
              <w:t>Materials and Methods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_Toc82882360 \h </w:instrText>
            </w:r>
            <w:r w:rsidR="00FB2FD3" w:rsidRPr="003C0E2F">
              <w:rPr>
                <w:noProof/>
                <w:webHidden/>
              </w:rPr>
            </w:r>
            <w:r w:rsidR="00FB2FD3" w:rsidRPr="003C0E2F">
              <w:rPr>
                <w:noProof/>
                <w:webHidden/>
              </w:rPr>
              <w:fldChar w:fldCharType="separate"/>
            </w:r>
            <w:r w:rsidR="000F2276">
              <w:rPr>
                <w:noProof/>
                <w:webHidden/>
              </w:rPr>
              <w:t>57</w:t>
            </w:r>
            <w:r w:rsidR="00FB2FD3" w:rsidRPr="003C0E2F">
              <w:rPr>
                <w:noProof/>
                <w:webHidden/>
              </w:rPr>
              <w:fldChar w:fldCharType="end"/>
            </w:r>
          </w:hyperlink>
        </w:p>
        <w:p w14:paraId="5CE26B08" w14:textId="75796DD9" w:rsidR="00FB2FD3" w:rsidRPr="003C0E2F" w:rsidRDefault="00BB038D">
          <w:pPr>
            <w:pStyle w:val="TOC2"/>
            <w:tabs>
              <w:tab w:val="left" w:pos="880"/>
              <w:tab w:val="right" w:leader="dot" w:pos="9016"/>
            </w:tabs>
            <w:rPr>
              <w:rFonts w:cstheme="minorBidi"/>
              <w:noProof/>
            </w:rPr>
          </w:pPr>
          <w:hyperlink w:anchor="_Toc82882361" w:history="1">
            <w:r w:rsidR="00FB2FD3" w:rsidRPr="003C0E2F">
              <w:rPr>
                <w:rStyle w:val="Hyperlink"/>
                <w:noProof/>
                <w:color w:val="auto"/>
              </w:rPr>
              <w:t>3.1.</w:t>
            </w:r>
            <w:r w:rsidR="00FB2FD3" w:rsidRPr="003C0E2F">
              <w:rPr>
                <w:rFonts w:cstheme="minorBidi"/>
                <w:noProof/>
              </w:rPr>
              <w:tab/>
            </w:r>
            <w:r w:rsidR="00FB2FD3" w:rsidRPr="003C0E2F">
              <w:rPr>
                <w:rStyle w:val="Hyperlink"/>
                <w:noProof/>
                <w:color w:val="auto"/>
              </w:rPr>
              <w:t>FP compound preparation</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_Toc82882361 \h </w:instrText>
            </w:r>
            <w:r w:rsidR="00FB2FD3" w:rsidRPr="003C0E2F">
              <w:rPr>
                <w:noProof/>
                <w:webHidden/>
              </w:rPr>
            </w:r>
            <w:r w:rsidR="00FB2FD3" w:rsidRPr="003C0E2F">
              <w:rPr>
                <w:noProof/>
                <w:webHidden/>
              </w:rPr>
              <w:fldChar w:fldCharType="separate"/>
            </w:r>
            <w:r w:rsidR="000F2276">
              <w:rPr>
                <w:noProof/>
                <w:webHidden/>
              </w:rPr>
              <w:t>57</w:t>
            </w:r>
            <w:r w:rsidR="00FB2FD3" w:rsidRPr="003C0E2F">
              <w:rPr>
                <w:noProof/>
                <w:webHidden/>
              </w:rPr>
              <w:fldChar w:fldCharType="end"/>
            </w:r>
          </w:hyperlink>
        </w:p>
        <w:p w14:paraId="7530EFB7" w14:textId="6EF1AA5D" w:rsidR="00FB2FD3" w:rsidRPr="003C0E2F" w:rsidRDefault="00BB038D">
          <w:pPr>
            <w:pStyle w:val="TOC2"/>
            <w:tabs>
              <w:tab w:val="left" w:pos="880"/>
              <w:tab w:val="right" w:leader="dot" w:pos="9016"/>
            </w:tabs>
            <w:rPr>
              <w:rFonts w:cstheme="minorBidi"/>
              <w:noProof/>
            </w:rPr>
          </w:pPr>
          <w:hyperlink w:anchor="_Toc82882362" w:history="1">
            <w:r w:rsidR="00FB2FD3" w:rsidRPr="003C0E2F">
              <w:rPr>
                <w:rStyle w:val="Hyperlink"/>
                <w:noProof/>
                <w:color w:val="auto"/>
              </w:rPr>
              <w:t>3.2.</w:t>
            </w:r>
            <w:r w:rsidR="00FB2FD3" w:rsidRPr="003C0E2F">
              <w:rPr>
                <w:rFonts w:cstheme="minorBidi"/>
                <w:noProof/>
              </w:rPr>
              <w:tab/>
            </w:r>
            <w:r w:rsidR="00FB2FD3" w:rsidRPr="003C0E2F">
              <w:rPr>
                <w:rStyle w:val="Hyperlink"/>
                <w:noProof/>
                <w:color w:val="auto"/>
              </w:rPr>
              <w:t>Production of hydroperoxide and oxysterol-rich oxLDL forms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_Toc82882362 \h </w:instrText>
            </w:r>
            <w:r w:rsidR="00FB2FD3" w:rsidRPr="003C0E2F">
              <w:rPr>
                <w:noProof/>
                <w:webHidden/>
              </w:rPr>
            </w:r>
            <w:r w:rsidR="00FB2FD3" w:rsidRPr="003C0E2F">
              <w:rPr>
                <w:noProof/>
                <w:webHidden/>
              </w:rPr>
              <w:fldChar w:fldCharType="separate"/>
            </w:r>
            <w:r w:rsidR="000F2276">
              <w:rPr>
                <w:noProof/>
                <w:webHidden/>
              </w:rPr>
              <w:t>60</w:t>
            </w:r>
            <w:r w:rsidR="00FB2FD3" w:rsidRPr="003C0E2F">
              <w:rPr>
                <w:noProof/>
                <w:webHidden/>
              </w:rPr>
              <w:fldChar w:fldCharType="end"/>
            </w:r>
          </w:hyperlink>
        </w:p>
        <w:p w14:paraId="71692934" w14:textId="4B40DC13" w:rsidR="00FB2FD3" w:rsidRPr="003C0E2F" w:rsidRDefault="00BB038D">
          <w:pPr>
            <w:pStyle w:val="TOC2"/>
            <w:tabs>
              <w:tab w:val="left" w:pos="880"/>
              <w:tab w:val="right" w:leader="dot" w:pos="9016"/>
            </w:tabs>
            <w:rPr>
              <w:rFonts w:cstheme="minorBidi"/>
              <w:noProof/>
            </w:rPr>
          </w:pPr>
          <w:hyperlink w:anchor="_Toc82882363" w:history="1">
            <w:r w:rsidR="00FB2FD3" w:rsidRPr="003C0E2F">
              <w:rPr>
                <w:rStyle w:val="Hyperlink"/>
                <w:noProof/>
                <w:color w:val="auto"/>
              </w:rPr>
              <w:t>3.3.</w:t>
            </w:r>
            <w:r w:rsidR="00FB2FD3" w:rsidRPr="003C0E2F">
              <w:rPr>
                <w:rFonts w:cstheme="minorBidi"/>
                <w:noProof/>
              </w:rPr>
              <w:tab/>
            </w:r>
            <w:r w:rsidR="00FB2FD3" w:rsidRPr="003C0E2F">
              <w:rPr>
                <w:rStyle w:val="Hyperlink"/>
                <w:noProof/>
                <w:color w:val="auto"/>
              </w:rPr>
              <w:t>Tissue culture</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_Toc82882363 \h </w:instrText>
            </w:r>
            <w:r w:rsidR="00FB2FD3" w:rsidRPr="003C0E2F">
              <w:rPr>
                <w:noProof/>
                <w:webHidden/>
              </w:rPr>
            </w:r>
            <w:r w:rsidR="00FB2FD3" w:rsidRPr="003C0E2F">
              <w:rPr>
                <w:noProof/>
                <w:webHidden/>
              </w:rPr>
              <w:fldChar w:fldCharType="separate"/>
            </w:r>
            <w:r w:rsidR="000F2276">
              <w:rPr>
                <w:noProof/>
                <w:webHidden/>
              </w:rPr>
              <w:t>61</w:t>
            </w:r>
            <w:r w:rsidR="00FB2FD3" w:rsidRPr="003C0E2F">
              <w:rPr>
                <w:noProof/>
                <w:webHidden/>
              </w:rPr>
              <w:fldChar w:fldCharType="end"/>
            </w:r>
          </w:hyperlink>
        </w:p>
        <w:p w14:paraId="6A5E951E" w14:textId="609ED0D3" w:rsidR="00FB2FD3" w:rsidRPr="003C0E2F" w:rsidRDefault="00BB038D">
          <w:pPr>
            <w:pStyle w:val="TOC3"/>
            <w:tabs>
              <w:tab w:val="left" w:pos="1320"/>
              <w:tab w:val="right" w:leader="dot" w:pos="9016"/>
            </w:tabs>
            <w:rPr>
              <w:rFonts w:cstheme="minorBidi"/>
              <w:noProof/>
            </w:rPr>
          </w:pPr>
          <w:hyperlink w:anchor="_Toc82882364" w:history="1">
            <w:r w:rsidR="00FB2FD3" w:rsidRPr="003C0E2F">
              <w:rPr>
                <w:rStyle w:val="Hyperlink"/>
                <w:noProof/>
                <w:color w:val="auto"/>
              </w:rPr>
              <w:t>3.3.1.</w:t>
            </w:r>
            <w:r w:rsidR="00FB2FD3" w:rsidRPr="003C0E2F">
              <w:rPr>
                <w:rFonts w:cstheme="minorBidi"/>
                <w:noProof/>
              </w:rPr>
              <w:tab/>
            </w:r>
            <w:r w:rsidR="00FB2FD3" w:rsidRPr="003C0E2F">
              <w:rPr>
                <w:rStyle w:val="Hyperlink"/>
                <w:noProof/>
                <w:color w:val="auto"/>
              </w:rPr>
              <w:t>THP-1 monocytes and macrophage maintenance and differentiation</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_Toc82882364 \h </w:instrText>
            </w:r>
            <w:r w:rsidR="00FB2FD3" w:rsidRPr="003C0E2F">
              <w:rPr>
                <w:noProof/>
                <w:webHidden/>
              </w:rPr>
            </w:r>
            <w:r w:rsidR="00FB2FD3" w:rsidRPr="003C0E2F">
              <w:rPr>
                <w:noProof/>
                <w:webHidden/>
              </w:rPr>
              <w:fldChar w:fldCharType="separate"/>
            </w:r>
            <w:r w:rsidR="000F2276">
              <w:rPr>
                <w:noProof/>
                <w:webHidden/>
              </w:rPr>
              <w:t>61</w:t>
            </w:r>
            <w:r w:rsidR="00FB2FD3" w:rsidRPr="003C0E2F">
              <w:rPr>
                <w:noProof/>
                <w:webHidden/>
              </w:rPr>
              <w:fldChar w:fldCharType="end"/>
            </w:r>
          </w:hyperlink>
        </w:p>
        <w:p w14:paraId="498B8906" w14:textId="60E5751B" w:rsidR="00FB2FD3" w:rsidRPr="003C0E2F" w:rsidRDefault="00BB038D">
          <w:pPr>
            <w:pStyle w:val="TOC3"/>
            <w:tabs>
              <w:tab w:val="left" w:pos="1320"/>
              <w:tab w:val="right" w:leader="dot" w:pos="9016"/>
            </w:tabs>
            <w:rPr>
              <w:rFonts w:cstheme="minorBidi"/>
              <w:noProof/>
            </w:rPr>
          </w:pPr>
          <w:hyperlink w:anchor="_Toc82882365" w:history="1">
            <w:r w:rsidR="00FB2FD3" w:rsidRPr="003C0E2F">
              <w:rPr>
                <w:rStyle w:val="Hyperlink"/>
                <w:noProof/>
                <w:color w:val="auto"/>
              </w:rPr>
              <w:t>3.3.2.</w:t>
            </w:r>
            <w:r w:rsidR="00FB2FD3" w:rsidRPr="003C0E2F">
              <w:rPr>
                <w:rFonts w:cstheme="minorBidi"/>
                <w:noProof/>
              </w:rPr>
              <w:tab/>
            </w:r>
            <w:r w:rsidR="00FB2FD3" w:rsidRPr="003C0E2F">
              <w:rPr>
                <w:rStyle w:val="Hyperlink"/>
                <w:noProof/>
                <w:color w:val="auto"/>
              </w:rPr>
              <w:t>PBMC isolation, maintenance, and differentiation</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_Toc82882365 \h </w:instrText>
            </w:r>
            <w:r w:rsidR="00FB2FD3" w:rsidRPr="003C0E2F">
              <w:rPr>
                <w:noProof/>
                <w:webHidden/>
              </w:rPr>
            </w:r>
            <w:r w:rsidR="00FB2FD3" w:rsidRPr="003C0E2F">
              <w:rPr>
                <w:noProof/>
                <w:webHidden/>
              </w:rPr>
              <w:fldChar w:fldCharType="separate"/>
            </w:r>
            <w:r w:rsidR="000F2276">
              <w:rPr>
                <w:noProof/>
                <w:webHidden/>
              </w:rPr>
              <w:t>61</w:t>
            </w:r>
            <w:r w:rsidR="00FB2FD3" w:rsidRPr="003C0E2F">
              <w:rPr>
                <w:noProof/>
                <w:webHidden/>
              </w:rPr>
              <w:fldChar w:fldCharType="end"/>
            </w:r>
          </w:hyperlink>
        </w:p>
        <w:p w14:paraId="09147EF4" w14:textId="3CFB2FFF" w:rsidR="00FB2FD3" w:rsidRPr="003C0E2F" w:rsidRDefault="00BB038D">
          <w:pPr>
            <w:pStyle w:val="TOC3"/>
            <w:tabs>
              <w:tab w:val="left" w:pos="1320"/>
              <w:tab w:val="right" w:leader="dot" w:pos="9016"/>
            </w:tabs>
            <w:rPr>
              <w:rFonts w:cstheme="minorBidi"/>
              <w:noProof/>
            </w:rPr>
          </w:pPr>
          <w:hyperlink w:anchor="_Toc82882366" w:history="1">
            <w:r w:rsidR="00FB2FD3" w:rsidRPr="003C0E2F">
              <w:rPr>
                <w:rStyle w:val="Hyperlink"/>
                <w:noProof/>
                <w:color w:val="auto"/>
              </w:rPr>
              <w:t>3.3.3.</w:t>
            </w:r>
            <w:r w:rsidR="00FB2FD3" w:rsidRPr="003C0E2F">
              <w:rPr>
                <w:rFonts w:cstheme="minorBidi"/>
                <w:noProof/>
              </w:rPr>
              <w:tab/>
            </w:r>
            <w:r w:rsidR="00FB2FD3" w:rsidRPr="003C0E2F">
              <w:rPr>
                <w:rStyle w:val="Hyperlink"/>
                <w:noProof/>
                <w:color w:val="auto"/>
              </w:rPr>
              <w:t>RAW264 maintenance</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_Toc82882366 \h </w:instrText>
            </w:r>
            <w:r w:rsidR="00FB2FD3" w:rsidRPr="003C0E2F">
              <w:rPr>
                <w:noProof/>
                <w:webHidden/>
              </w:rPr>
            </w:r>
            <w:r w:rsidR="00FB2FD3" w:rsidRPr="003C0E2F">
              <w:rPr>
                <w:noProof/>
                <w:webHidden/>
              </w:rPr>
              <w:fldChar w:fldCharType="separate"/>
            </w:r>
            <w:r w:rsidR="000F2276">
              <w:rPr>
                <w:noProof/>
                <w:webHidden/>
              </w:rPr>
              <w:t>61</w:t>
            </w:r>
            <w:r w:rsidR="00FB2FD3" w:rsidRPr="003C0E2F">
              <w:rPr>
                <w:noProof/>
                <w:webHidden/>
              </w:rPr>
              <w:fldChar w:fldCharType="end"/>
            </w:r>
          </w:hyperlink>
        </w:p>
        <w:p w14:paraId="72570CF6" w14:textId="75BD2811" w:rsidR="00FB2FD3" w:rsidRPr="003C0E2F" w:rsidRDefault="00BB038D">
          <w:pPr>
            <w:pStyle w:val="TOC3"/>
            <w:tabs>
              <w:tab w:val="left" w:pos="1320"/>
              <w:tab w:val="right" w:leader="dot" w:pos="9016"/>
            </w:tabs>
            <w:rPr>
              <w:rFonts w:cstheme="minorBidi"/>
              <w:noProof/>
            </w:rPr>
          </w:pPr>
          <w:hyperlink w:anchor="_Toc82882367" w:history="1">
            <w:r w:rsidR="00FB2FD3" w:rsidRPr="003C0E2F">
              <w:rPr>
                <w:rStyle w:val="Hyperlink"/>
                <w:noProof/>
                <w:color w:val="auto"/>
              </w:rPr>
              <w:t>3.3.4.</w:t>
            </w:r>
            <w:r w:rsidR="00FB2FD3" w:rsidRPr="003C0E2F">
              <w:rPr>
                <w:rFonts w:cstheme="minorBidi"/>
                <w:noProof/>
              </w:rPr>
              <w:tab/>
            </w:r>
            <w:r w:rsidR="00FB2FD3" w:rsidRPr="003C0E2F">
              <w:rPr>
                <w:rStyle w:val="Hyperlink"/>
                <w:noProof/>
                <w:color w:val="auto"/>
              </w:rPr>
              <w:t>Plating cells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_Toc82882367 \h </w:instrText>
            </w:r>
            <w:r w:rsidR="00FB2FD3" w:rsidRPr="003C0E2F">
              <w:rPr>
                <w:noProof/>
                <w:webHidden/>
              </w:rPr>
            </w:r>
            <w:r w:rsidR="00FB2FD3" w:rsidRPr="003C0E2F">
              <w:rPr>
                <w:noProof/>
                <w:webHidden/>
              </w:rPr>
              <w:fldChar w:fldCharType="separate"/>
            </w:r>
            <w:r w:rsidR="000F2276">
              <w:rPr>
                <w:noProof/>
                <w:webHidden/>
              </w:rPr>
              <w:t>62</w:t>
            </w:r>
            <w:r w:rsidR="00FB2FD3" w:rsidRPr="003C0E2F">
              <w:rPr>
                <w:noProof/>
                <w:webHidden/>
              </w:rPr>
              <w:fldChar w:fldCharType="end"/>
            </w:r>
          </w:hyperlink>
        </w:p>
        <w:p w14:paraId="10992DA9" w14:textId="2C25DB20" w:rsidR="00FB2FD3" w:rsidRPr="003C0E2F" w:rsidRDefault="00BB038D">
          <w:pPr>
            <w:pStyle w:val="TOC3"/>
            <w:tabs>
              <w:tab w:val="left" w:pos="1320"/>
              <w:tab w:val="right" w:leader="dot" w:pos="9016"/>
            </w:tabs>
            <w:rPr>
              <w:rFonts w:cstheme="minorBidi"/>
              <w:noProof/>
            </w:rPr>
          </w:pPr>
          <w:hyperlink w:anchor="_Toc82882368" w:history="1">
            <w:r w:rsidR="00FB2FD3" w:rsidRPr="003C0E2F">
              <w:rPr>
                <w:rStyle w:val="Hyperlink"/>
                <w:noProof/>
                <w:color w:val="auto"/>
              </w:rPr>
              <w:t>3.3.5.</w:t>
            </w:r>
            <w:r w:rsidR="00FB2FD3" w:rsidRPr="003C0E2F">
              <w:rPr>
                <w:rFonts w:cstheme="minorBidi"/>
                <w:noProof/>
              </w:rPr>
              <w:tab/>
            </w:r>
            <w:r w:rsidR="00FB2FD3" w:rsidRPr="003C0E2F">
              <w:rPr>
                <w:rStyle w:val="Hyperlink"/>
                <w:noProof/>
                <w:color w:val="auto"/>
              </w:rPr>
              <w:t>MTT cell viability assays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_Toc82882368 \h </w:instrText>
            </w:r>
            <w:r w:rsidR="00FB2FD3" w:rsidRPr="003C0E2F">
              <w:rPr>
                <w:noProof/>
                <w:webHidden/>
              </w:rPr>
            </w:r>
            <w:r w:rsidR="00FB2FD3" w:rsidRPr="003C0E2F">
              <w:rPr>
                <w:noProof/>
                <w:webHidden/>
              </w:rPr>
              <w:fldChar w:fldCharType="separate"/>
            </w:r>
            <w:r w:rsidR="000F2276">
              <w:rPr>
                <w:noProof/>
                <w:webHidden/>
              </w:rPr>
              <w:t>62</w:t>
            </w:r>
            <w:r w:rsidR="00FB2FD3" w:rsidRPr="003C0E2F">
              <w:rPr>
                <w:noProof/>
                <w:webHidden/>
              </w:rPr>
              <w:fldChar w:fldCharType="end"/>
            </w:r>
          </w:hyperlink>
        </w:p>
        <w:p w14:paraId="5F795C46" w14:textId="0E7F2126" w:rsidR="00FB2FD3" w:rsidRPr="003C0E2F" w:rsidRDefault="00BB038D">
          <w:pPr>
            <w:pStyle w:val="TOC2"/>
            <w:tabs>
              <w:tab w:val="left" w:pos="880"/>
              <w:tab w:val="right" w:leader="dot" w:pos="9016"/>
            </w:tabs>
            <w:rPr>
              <w:rFonts w:cstheme="minorBidi"/>
              <w:noProof/>
            </w:rPr>
          </w:pPr>
          <w:hyperlink w:anchor="_Toc82882369" w:history="1">
            <w:r w:rsidR="00FB2FD3" w:rsidRPr="003C0E2F">
              <w:rPr>
                <w:rStyle w:val="Hyperlink"/>
                <w:noProof/>
                <w:color w:val="auto"/>
              </w:rPr>
              <w:t>3.4.</w:t>
            </w:r>
            <w:r w:rsidR="00FB2FD3" w:rsidRPr="003C0E2F">
              <w:rPr>
                <w:rFonts w:cstheme="minorBidi"/>
                <w:noProof/>
              </w:rPr>
              <w:tab/>
            </w:r>
            <w:r w:rsidR="00FB2FD3" w:rsidRPr="003C0E2F">
              <w:rPr>
                <w:rStyle w:val="Hyperlink"/>
                <w:noProof/>
                <w:color w:val="auto"/>
              </w:rPr>
              <w:t>Sample treatment and collection</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_Toc82882369 \h </w:instrText>
            </w:r>
            <w:r w:rsidR="00FB2FD3" w:rsidRPr="003C0E2F">
              <w:rPr>
                <w:noProof/>
                <w:webHidden/>
              </w:rPr>
            </w:r>
            <w:r w:rsidR="00FB2FD3" w:rsidRPr="003C0E2F">
              <w:rPr>
                <w:noProof/>
                <w:webHidden/>
              </w:rPr>
              <w:fldChar w:fldCharType="separate"/>
            </w:r>
            <w:r w:rsidR="000F2276">
              <w:rPr>
                <w:noProof/>
                <w:webHidden/>
              </w:rPr>
              <w:t>63</w:t>
            </w:r>
            <w:r w:rsidR="00FB2FD3" w:rsidRPr="003C0E2F">
              <w:rPr>
                <w:noProof/>
                <w:webHidden/>
              </w:rPr>
              <w:fldChar w:fldCharType="end"/>
            </w:r>
          </w:hyperlink>
        </w:p>
        <w:p w14:paraId="4DD5C5E4" w14:textId="0A9E570D" w:rsidR="00FB2FD3" w:rsidRPr="003C0E2F" w:rsidRDefault="00BB038D">
          <w:pPr>
            <w:pStyle w:val="TOC3"/>
            <w:tabs>
              <w:tab w:val="left" w:pos="1320"/>
              <w:tab w:val="right" w:leader="dot" w:pos="9016"/>
            </w:tabs>
            <w:rPr>
              <w:rFonts w:cstheme="minorBidi"/>
              <w:noProof/>
            </w:rPr>
          </w:pPr>
          <w:hyperlink w:anchor="_Toc82882370" w:history="1">
            <w:r w:rsidR="00FB2FD3" w:rsidRPr="003C0E2F">
              <w:rPr>
                <w:rStyle w:val="Hyperlink"/>
                <w:noProof/>
                <w:color w:val="auto"/>
              </w:rPr>
              <w:t>3.4.1.</w:t>
            </w:r>
            <w:r w:rsidR="00FB2FD3" w:rsidRPr="003C0E2F">
              <w:rPr>
                <w:rFonts w:cstheme="minorBidi"/>
                <w:noProof/>
              </w:rPr>
              <w:tab/>
            </w:r>
            <w:r w:rsidR="00FB2FD3" w:rsidRPr="003C0E2F">
              <w:rPr>
                <w:rStyle w:val="Hyperlink"/>
                <w:noProof/>
                <w:color w:val="auto"/>
              </w:rPr>
              <w:t>FP compound screening and preliminary investigation in monocytes and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_Toc82882370 \h </w:instrText>
            </w:r>
            <w:r w:rsidR="00FB2FD3" w:rsidRPr="003C0E2F">
              <w:rPr>
                <w:noProof/>
                <w:webHidden/>
              </w:rPr>
            </w:r>
            <w:r w:rsidR="00FB2FD3" w:rsidRPr="003C0E2F">
              <w:rPr>
                <w:noProof/>
                <w:webHidden/>
              </w:rPr>
              <w:fldChar w:fldCharType="separate"/>
            </w:r>
            <w:r w:rsidR="000F2276">
              <w:rPr>
                <w:noProof/>
                <w:webHidden/>
              </w:rPr>
              <w:t>63</w:t>
            </w:r>
            <w:r w:rsidR="00FB2FD3" w:rsidRPr="003C0E2F">
              <w:rPr>
                <w:noProof/>
                <w:webHidden/>
              </w:rPr>
              <w:fldChar w:fldCharType="end"/>
            </w:r>
          </w:hyperlink>
        </w:p>
        <w:p w14:paraId="1D159B37" w14:textId="4404F744" w:rsidR="00FB2FD3" w:rsidRPr="003C0E2F" w:rsidRDefault="00BB038D">
          <w:pPr>
            <w:pStyle w:val="TOC3"/>
            <w:tabs>
              <w:tab w:val="left" w:pos="1320"/>
              <w:tab w:val="right" w:leader="dot" w:pos="9016"/>
            </w:tabs>
            <w:rPr>
              <w:rFonts w:cstheme="minorBidi"/>
              <w:noProof/>
            </w:rPr>
          </w:pPr>
          <w:hyperlink w:anchor="_Toc82882371" w:history="1">
            <w:r w:rsidR="00FB2FD3" w:rsidRPr="003C0E2F">
              <w:rPr>
                <w:rStyle w:val="Hyperlink"/>
                <w:noProof/>
                <w:color w:val="auto"/>
              </w:rPr>
              <w:t>3.4.2.</w:t>
            </w:r>
            <w:r w:rsidR="00FB2FD3" w:rsidRPr="003C0E2F">
              <w:rPr>
                <w:rFonts w:cstheme="minorBidi"/>
                <w:noProof/>
              </w:rPr>
              <w:tab/>
            </w:r>
            <w:r w:rsidR="00FB2FD3" w:rsidRPr="003C0E2F">
              <w:rPr>
                <w:rStyle w:val="Hyperlink"/>
                <w:noProof/>
                <w:color w:val="auto"/>
              </w:rPr>
              <w:t>Measurement of P65 NF-κB, P38 MAPK, JNK, ERK, TBK1 and STAT-1 phosphorylation</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_Toc82882371 \h </w:instrText>
            </w:r>
            <w:r w:rsidR="00FB2FD3" w:rsidRPr="003C0E2F">
              <w:rPr>
                <w:noProof/>
                <w:webHidden/>
              </w:rPr>
            </w:r>
            <w:r w:rsidR="00FB2FD3" w:rsidRPr="003C0E2F">
              <w:rPr>
                <w:noProof/>
                <w:webHidden/>
              </w:rPr>
              <w:fldChar w:fldCharType="separate"/>
            </w:r>
            <w:r w:rsidR="000F2276">
              <w:rPr>
                <w:noProof/>
                <w:webHidden/>
              </w:rPr>
              <w:t>63</w:t>
            </w:r>
            <w:r w:rsidR="00FB2FD3" w:rsidRPr="003C0E2F">
              <w:rPr>
                <w:noProof/>
                <w:webHidden/>
              </w:rPr>
              <w:fldChar w:fldCharType="end"/>
            </w:r>
          </w:hyperlink>
        </w:p>
        <w:p w14:paraId="60F04939" w14:textId="3806C523" w:rsidR="00FB2FD3" w:rsidRPr="003C0E2F" w:rsidRDefault="00BB038D">
          <w:pPr>
            <w:pStyle w:val="TOC3"/>
            <w:tabs>
              <w:tab w:val="left" w:pos="1320"/>
              <w:tab w:val="right" w:leader="dot" w:pos="9016"/>
            </w:tabs>
            <w:rPr>
              <w:rFonts w:cstheme="minorBidi"/>
              <w:noProof/>
            </w:rPr>
          </w:pPr>
          <w:hyperlink w:anchor="_Toc82882372" w:history="1">
            <w:r w:rsidR="00FB2FD3" w:rsidRPr="003C0E2F">
              <w:rPr>
                <w:rStyle w:val="Hyperlink"/>
                <w:noProof/>
                <w:color w:val="auto"/>
              </w:rPr>
              <w:t>3.4.3.</w:t>
            </w:r>
            <w:r w:rsidR="00FB2FD3" w:rsidRPr="003C0E2F">
              <w:rPr>
                <w:rFonts w:cstheme="minorBidi"/>
                <w:noProof/>
              </w:rPr>
              <w:tab/>
            </w:r>
            <w:r w:rsidR="00FB2FD3" w:rsidRPr="003C0E2F">
              <w:rPr>
                <w:rStyle w:val="Hyperlink"/>
                <w:noProof/>
                <w:color w:val="auto"/>
              </w:rPr>
              <w:t>Pre- post and simultaneous FP/LPS experimental design</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_Toc82882372 \h </w:instrText>
            </w:r>
            <w:r w:rsidR="00FB2FD3" w:rsidRPr="003C0E2F">
              <w:rPr>
                <w:noProof/>
                <w:webHidden/>
              </w:rPr>
            </w:r>
            <w:r w:rsidR="00FB2FD3" w:rsidRPr="003C0E2F">
              <w:rPr>
                <w:noProof/>
                <w:webHidden/>
              </w:rPr>
              <w:fldChar w:fldCharType="separate"/>
            </w:r>
            <w:r w:rsidR="000F2276">
              <w:rPr>
                <w:noProof/>
                <w:webHidden/>
              </w:rPr>
              <w:t>64</w:t>
            </w:r>
            <w:r w:rsidR="00FB2FD3" w:rsidRPr="003C0E2F">
              <w:rPr>
                <w:noProof/>
                <w:webHidden/>
              </w:rPr>
              <w:fldChar w:fldCharType="end"/>
            </w:r>
          </w:hyperlink>
        </w:p>
        <w:p w14:paraId="7D35EB0B" w14:textId="15AAD96B" w:rsidR="00FB2FD3" w:rsidRPr="003C0E2F" w:rsidRDefault="00BB038D">
          <w:pPr>
            <w:pStyle w:val="TOC3"/>
            <w:tabs>
              <w:tab w:val="left" w:pos="1320"/>
              <w:tab w:val="right" w:leader="dot" w:pos="9016"/>
            </w:tabs>
            <w:rPr>
              <w:rFonts w:cstheme="minorBidi"/>
              <w:noProof/>
            </w:rPr>
          </w:pPr>
          <w:hyperlink w:anchor="_Toc82882373" w:history="1">
            <w:r w:rsidR="00FB2FD3" w:rsidRPr="003C0E2F">
              <w:rPr>
                <w:rStyle w:val="Hyperlink"/>
                <w:noProof/>
                <w:color w:val="auto"/>
              </w:rPr>
              <w:t>3.4.4.</w:t>
            </w:r>
            <w:r w:rsidR="00FB2FD3" w:rsidRPr="003C0E2F">
              <w:rPr>
                <w:rFonts w:cstheme="minorBidi"/>
                <w:noProof/>
              </w:rPr>
              <w:tab/>
            </w:r>
            <w:r w:rsidR="00FB2FD3" w:rsidRPr="003C0E2F">
              <w:rPr>
                <w:rStyle w:val="Hyperlink"/>
                <w:noProof/>
                <w:color w:val="auto"/>
              </w:rPr>
              <w:t>OxLDL experiments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_Toc82882373 \h </w:instrText>
            </w:r>
            <w:r w:rsidR="00FB2FD3" w:rsidRPr="003C0E2F">
              <w:rPr>
                <w:noProof/>
                <w:webHidden/>
              </w:rPr>
            </w:r>
            <w:r w:rsidR="00FB2FD3" w:rsidRPr="003C0E2F">
              <w:rPr>
                <w:noProof/>
                <w:webHidden/>
              </w:rPr>
              <w:fldChar w:fldCharType="separate"/>
            </w:r>
            <w:r w:rsidR="000F2276">
              <w:rPr>
                <w:noProof/>
                <w:webHidden/>
              </w:rPr>
              <w:t>64</w:t>
            </w:r>
            <w:r w:rsidR="00FB2FD3" w:rsidRPr="003C0E2F">
              <w:rPr>
                <w:noProof/>
                <w:webHidden/>
              </w:rPr>
              <w:fldChar w:fldCharType="end"/>
            </w:r>
          </w:hyperlink>
        </w:p>
        <w:p w14:paraId="1886EEF3" w14:textId="47F0B0CB" w:rsidR="00FB2FD3" w:rsidRPr="003C0E2F" w:rsidRDefault="00BB038D">
          <w:pPr>
            <w:pStyle w:val="TOC3"/>
            <w:tabs>
              <w:tab w:val="left" w:pos="1320"/>
              <w:tab w:val="right" w:leader="dot" w:pos="9016"/>
            </w:tabs>
            <w:rPr>
              <w:rFonts w:cstheme="minorBidi"/>
              <w:noProof/>
            </w:rPr>
          </w:pPr>
          <w:hyperlink w:anchor="_Toc82882374" w:history="1">
            <w:r w:rsidR="00FB2FD3" w:rsidRPr="003C0E2F">
              <w:rPr>
                <w:rStyle w:val="Hyperlink"/>
                <w:noProof/>
                <w:color w:val="auto"/>
              </w:rPr>
              <w:t>3.4.5.</w:t>
            </w:r>
            <w:r w:rsidR="00FB2FD3" w:rsidRPr="003C0E2F">
              <w:rPr>
                <w:rFonts w:cstheme="minorBidi"/>
                <w:noProof/>
              </w:rPr>
              <w:tab/>
            </w:r>
            <w:r w:rsidR="00FB2FD3" w:rsidRPr="003C0E2F">
              <w:rPr>
                <w:rStyle w:val="Hyperlink"/>
                <w:noProof/>
                <w:color w:val="auto"/>
              </w:rPr>
              <w:t>LPS chemotype selection experiments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_Toc82882374 \h </w:instrText>
            </w:r>
            <w:r w:rsidR="00FB2FD3" w:rsidRPr="003C0E2F">
              <w:rPr>
                <w:noProof/>
                <w:webHidden/>
              </w:rPr>
            </w:r>
            <w:r w:rsidR="00FB2FD3" w:rsidRPr="003C0E2F">
              <w:rPr>
                <w:noProof/>
                <w:webHidden/>
              </w:rPr>
              <w:fldChar w:fldCharType="separate"/>
            </w:r>
            <w:r w:rsidR="000F2276">
              <w:rPr>
                <w:noProof/>
                <w:webHidden/>
              </w:rPr>
              <w:t>64</w:t>
            </w:r>
            <w:r w:rsidR="00FB2FD3" w:rsidRPr="003C0E2F">
              <w:rPr>
                <w:noProof/>
                <w:webHidden/>
              </w:rPr>
              <w:fldChar w:fldCharType="end"/>
            </w:r>
          </w:hyperlink>
        </w:p>
        <w:p w14:paraId="0B898DC3" w14:textId="637F531C" w:rsidR="00FB2FD3" w:rsidRPr="003C0E2F" w:rsidRDefault="00BB038D">
          <w:pPr>
            <w:pStyle w:val="TOC3"/>
            <w:tabs>
              <w:tab w:val="left" w:pos="1320"/>
              <w:tab w:val="right" w:leader="dot" w:pos="9016"/>
            </w:tabs>
            <w:rPr>
              <w:rFonts w:cstheme="minorBidi"/>
              <w:noProof/>
            </w:rPr>
          </w:pPr>
          <w:hyperlink w:anchor="_Toc82882375" w:history="1">
            <w:r w:rsidR="00FB2FD3" w:rsidRPr="003C0E2F">
              <w:rPr>
                <w:rStyle w:val="Hyperlink"/>
                <w:noProof/>
                <w:color w:val="auto"/>
              </w:rPr>
              <w:t>3.4.6.</w:t>
            </w:r>
            <w:r w:rsidR="00FB2FD3" w:rsidRPr="003C0E2F">
              <w:rPr>
                <w:rFonts w:cstheme="minorBidi"/>
                <w:noProof/>
              </w:rPr>
              <w:tab/>
            </w:r>
            <w:r w:rsidR="00FB2FD3" w:rsidRPr="003C0E2F">
              <w:rPr>
                <w:rStyle w:val="Hyperlink"/>
                <w:noProof/>
                <w:color w:val="auto"/>
              </w:rPr>
              <w:t>Interferon alpha/beta receptor blocking experiments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_Toc82882375 \h </w:instrText>
            </w:r>
            <w:r w:rsidR="00FB2FD3" w:rsidRPr="003C0E2F">
              <w:rPr>
                <w:noProof/>
                <w:webHidden/>
              </w:rPr>
            </w:r>
            <w:r w:rsidR="00FB2FD3" w:rsidRPr="003C0E2F">
              <w:rPr>
                <w:noProof/>
                <w:webHidden/>
              </w:rPr>
              <w:fldChar w:fldCharType="separate"/>
            </w:r>
            <w:r w:rsidR="000F2276">
              <w:rPr>
                <w:noProof/>
                <w:webHidden/>
              </w:rPr>
              <w:t>65</w:t>
            </w:r>
            <w:r w:rsidR="00FB2FD3" w:rsidRPr="003C0E2F">
              <w:rPr>
                <w:noProof/>
                <w:webHidden/>
              </w:rPr>
              <w:fldChar w:fldCharType="end"/>
            </w:r>
          </w:hyperlink>
        </w:p>
        <w:p w14:paraId="37102F22" w14:textId="099E0E35" w:rsidR="00FB2FD3" w:rsidRPr="003C0E2F" w:rsidRDefault="00BB038D">
          <w:pPr>
            <w:pStyle w:val="TOC3"/>
            <w:tabs>
              <w:tab w:val="left" w:pos="1320"/>
              <w:tab w:val="right" w:leader="dot" w:pos="9016"/>
            </w:tabs>
            <w:rPr>
              <w:rFonts w:cstheme="minorBidi"/>
              <w:noProof/>
            </w:rPr>
          </w:pPr>
          <w:hyperlink w:anchor="_Toc82882376" w:history="1">
            <w:r w:rsidR="00FB2FD3" w:rsidRPr="003C0E2F">
              <w:rPr>
                <w:rStyle w:val="Hyperlink"/>
                <w:noProof/>
                <w:color w:val="auto"/>
              </w:rPr>
              <w:t>3.4.7.</w:t>
            </w:r>
            <w:r w:rsidR="00FB2FD3" w:rsidRPr="003C0E2F">
              <w:rPr>
                <w:rFonts w:cstheme="minorBidi"/>
                <w:noProof/>
              </w:rPr>
              <w:tab/>
            </w:r>
            <w:r w:rsidR="00FB2FD3" w:rsidRPr="003C0E2F">
              <w:rPr>
                <w:rStyle w:val="Hyperlink"/>
                <w:noProof/>
                <w:color w:val="auto"/>
              </w:rPr>
              <w:t>Collection of medium</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_Toc82882376 \h </w:instrText>
            </w:r>
            <w:r w:rsidR="00FB2FD3" w:rsidRPr="003C0E2F">
              <w:rPr>
                <w:noProof/>
                <w:webHidden/>
              </w:rPr>
            </w:r>
            <w:r w:rsidR="00FB2FD3" w:rsidRPr="003C0E2F">
              <w:rPr>
                <w:noProof/>
                <w:webHidden/>
              </w:rPr>
              <w:fldChar w:fldCharType="separate"/>
            </w:r>
            <w:r w:rsidR="000F2276">
              <w:rPr>
                <w:noProof/>
                <w:webHidden/>
              </w:rPr>
              <w:t>65</w:t>
            </w:r>
            <w:r w:rsidR="00FB2FD3" w:rsidRPr="003C0E2F">
              <w:rPr>
                <w:noProof/>
                <w:webHidden/>
              </w:rPr>
              <w:fldChar w:fldCharType="end"/>
            </w:r>
          </w:hyperlink>
        </w:p>
        <w:p w14:paraId="02ECF529" w14:textId="309AB32D" w:rsidR="00FB2FD3" w:rsidRPr="003C0E2F" w:rsidRDefault="00BB038D">
          <w:pPr>
            <w:pStyle w:val="TOC3"/>
            <w:tabs>
              <w:tab w:val="left" w:pos="1320"/>
              <w:tab w:val="right" w:leader="dot" w:pos="9016"/>
            </w:tabs>
            <w:rPr>
              <w:rFonts w:cstheme="minorBidi"/>
              <w:noProof/>
            </w:rPr>
          </w:pPr>
          <w:hyperlink w:anchor="_Toc82882377" w:history="1">
            <w:r w:rsidR="00FB2FD3" w:rsidRPr="003C0E2F">
              <w:rPr>
                <w:rStyle w:val="Hyperlink"/>
                <w:noProof/>
                <w:color w:val="auto"/>
              </w:rPr>
              <w:t>3.4.8.</w:t>
            </w:r>
            <w:r w:rsidR="00FB2FD3" w:rsidRPr="003C0E2F">
              <w:rPr>
                <w:rFonts w:cstheme="minorBidi"/>
                <w:noProof/>
              </w:rPr>
              <w:tab/>
            </w:r>
            <w:r w:rsidR="00FB2FD3" w:rsidRPr="003C0E2F">
              <w:rPr>
                <w:rStyle w:val="Hyperlink"/>
                <w:noProof/>
                <w:color w:val="auto"/>
              </w:rPr>
              <w:t>Protein extraction</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_Toc82882377 \h </w:instrText>
            </w:r>
            <w:r w:rsidR="00FB2FD3" w:rsidRPr="003C0E2F">
              <w:rPr>
                <w:noProof/>
                <w:webHidden/>
              </w:rPr>
            </w:r>
            <w:r w:rsidR="00FB2FD3" w:rsidRPr="003C0E2F">
              <w:rPr>
                <w:noProof/>
                <w:webHidden/>
              </w:rPr>
              <w:fldChar w:fldCharType="separate"/>
            </w:r>
            <w:r w:rsidR="000F2276">
              <w:rPr>
                <w:noProof/>
                <w:webHidden/>
              </w:rPr>
              <w:t>65</w:t>
            </w:r>
            <w:r w:rsidR="00FB2FD3" w:rsidRPr="003C0E2F">
              <w:rPr>
                <w:noProof/>
                <w:webHidden/>
              </w:rPr>
              <w:fldChar w:fldCharType="end"/>
            </w:r>
          </w:hyperlink>
        </w:p>
        <w:p w14:paraId="5785D626" w14:textId="4603CA3F" w:rsidR="00FB2FD3" w:rsidRPr="003C0E2F" w:rsidRDefault="00BB038D">
          <w:pPr>
            <w:pStyle w:val="TOC3"/>
            <w:tabs>
              <w:tab w:val="left" w:pos="1320"/>
              <w:tab w:val="right" w:leader="dot" w:pos="9016"/>
            </w:tabs>
            <w:rPr>
              <w:rFonts w:cstheme="minorBidi"/>
              <w:noProof/>
            </w:rPr>
          </w:pPr>
          <w:hyperlink w:anchor="_Toc82882378" w:history="1">
            <w:r w:rsidR="00FB2FD3" w:rsidRPr="003C0E2F">
              <w:rPr>
                <w:rStyle w:val="Hyperlink"/>
                <w:noProof/>
                <w:color w:val="auto"/>
              </w:rPr>
              <w:t>3.4.9.</w:t>
            </w:r>
            <w:r w:rsidR="00FB2FD3" w:rsidRPr="003C0E2F">
              <w:rPr>
                <w:rFonts w:cstheme="minorBidi"/>
                <w:noProof/>
              </w:rPr>
              <w:tab/>
            </w:r>
            <w:r w:rsidR="00FB2FD3" w:rsidRPr="003C0E2F">
              <w:rPr>
                <w:rStyle w:val="Hyperlink"/>
                <w:noProof/>
                <w:color w:val="auto"/>
              </w:rPr>
              <w:t>Measurement of protein concentration</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_Toc82882378 \h </w:instrText>
            </w:r>
            <w:r w:rsidR="00FB2FD3" w:rsidRPr="003C0E2F">
              <w:rPr>
                <w:noProof/>
                <w:webHidden/>
              </w:rPr>
            </w:r>
            <w:r w:rsidR="00FB2FD3" w:rsidRPr="003C0E2F">
              <w:rPr>
                <w:noProof/>
                <w:webHidden/>
              </w:rPr>
              <w:fldChar w:fldCharType="separate"/>
            </w:r>
            <w:r w:rsidR="000F2276">
              <w:rPr>
                <w:noProof/>
                <w:webHidden/>
              </w:rPr>
              <w:t>66</w:t>
            </w:r>
            <w:r w:rsidR="00FB2FD3" w:rsidRPr="003C0E2F">
              <w:rPr>
                <w:noProof/>
                <w:webHidden/>
              </w:rPr>
              <w:fldChar w:fldCharType="end"/>
            </w:r>
          </w:hyperlink>
        </w:p>
        <w:p w14:paraId="447548BF" w14:textId="3ECBD10D" w:rsidR="00FB2FD3" w:rsidRPr="003C0E2F" w:rsidRDefault="00BB038D">
          <w:pPr>
            <w:pStyle w:val="TOC2"/>
            <w:tabs>
              <w:tab w:val="left" w:pos="880"/>
              <w:tab w:val="right" w:leader="dot" w:pos="9016"/>
            </w:tabs>
            <w:rPr>
              <w:rFonts w:cstheme="minorBidi"/>
              <w:noProof/>
            </w:rPr>
          </w:pPr>
          <w:hyperlink w:anchor="_Toc82882379" w:history="1">
            <w:r w:rsidR="00FB2FD3" w:rsidRPr="003C0E2F">
              <w:rPr>
                <w:rStyle w:val="Hyperlink"/>
                <w:noProof/>
                <w:color w:val="auto"/>
              </w:rPr>
              <w:t>3.5.</w:t>
            </w:r>
            <w:r w:rsidR="00FB2FD3" w:rsidRPr="003C0E2F">
              <w:rPr>
                <w:rFonts w:cstheme="minorBidi"/>
                <w:noProof/>
              </w:rPr>
              <w:tab/>
            </w:r>
            <w:r w:rsidR="00FB2FD3" w:rsidRPr="003C0E2F">
              <w:rPr>
                <w:rStyle w:val="Hyperlink"/>
                <w:noProof/>
                <w:color w:val="auto"/>
              </w:rPr>
              <w:t>ELISA</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_Toc82882379 \h </w:instrText>
            </w:r>
            <w:r w:rsidR="00FB2FD3" w:rsidRPr="003C0E2F">
              <w:rPr>
                <w:noProof/>
                <w:webHidden/>
              </w:rPr>
            </w:r>
            <w:r w:rsidR="00FB2FD3" w:rsidRPr="003C0E2F">
              <w:rPr>
                <w:noProof/>
                <w:webHidden/>
              </w:rPr>
              <w:fldChar w:fldCharType="separate"/>
            </w:r>
            <w:r w:rsidR="000F2276">
              <w:rPr>
                <w:noProof/>
                <w:webHidden/>
              </w:rPr>
              <w:t>67</w:t>
            </w:r>
            <w:r w:rsidR="00FB2FD3" w:rsidRPr="003C0E2F">
              <w:rPr>
                <w:noProof/>
                <w:webHidden/>
              </w:rPr>
              <w:fldChar w:fldCharType="end"/>
            </w:r>
          </w:hyperlink>
        </w:p>
        <w:p w14:paraId="6274A92B" w14:textId="55A6376F" w:rsidR="00FB2FD3" w:rsidRPr="003C0E2F" w:rsidRDefault="00BB038D">
          <w:pPr>
            <w:pStyle w:val="TOC2"/>
            <w:tabs>
              <w:tab w:val="left" w:pos="880"/>
              <w:tab w:val="right" w:leader="dot" w:pos="9016"/>
            </w:tabs>
            <w:rPr>
              <w:rFonts w:cstheme="minorBidi"/>
              <w:noProof/>
            </w:rPr>
          </w:pPr>
          <w:hyperlink w:anchor="_Toc82882380" w:history="1">
            <w:r w:rsidR="00FB2FD3" w:rsidRPr="003C0E2F">
              <w:rPr>
                <w:rStyle w:val="Hyperlink"/>
                <w:noProof/>
                <w:color w:val="auto"/>
              </w:rPr>
              <w:t>3.6.</w:t>
            </w:r>
            <w:r w:rsidR="00FB2FD3" w:rsidRPr="003C0E2F">
              <w:rPr>
                <w:rFonts w:cstheme="minorBidi"/>
                <w:noProof/>
              </w:rPr>
              <w:tab/>
            </w:r>
            <w:r w:rsidR="00FB2FD3" w:rsidRPr="003C0E2F">
              <w:rPr>
                <w:rStyle w:val="Hyperlink"/>
                <w:noProof/>
                <w:color w:val="auto"/>
              </w:rPr>
              <w:t>SDS-Page and Western blot</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_Toc82882380 \h </w:instrText>
            </w:r>
            <w:r w:rsidR="00FB2FD3" w:rsidRPr="003C0E2F">
              <w:rPr>
                <w:noProof/>
                <w:webHidden/>
              </w:rPr>
            </w:r>
            <w:r w:rsidR="00FB2FD3" w:rsidRPr="003C0E2F">
              <w:rPr>
                <w:noProof/>
                <w:webHidden/>
              </w:rPr>
              <w:fldChar w:fldCharType="separate"/>
            </w:r>
            <w:r w:rsidR="000F2276">
              <w:rPr>
                <w:noProof/>
                <w:webHidden/>
              </w:rPr>
              <w:t>68</w:t>
            </w:r>
            <w:r w:rsidR="00FB2FD3" w:rsidRPr="003C0E2F">
              <w:rPr>
                <w:noProof/>
                <w:webHidden/>
              </w:rPr>
              <w:fldChar w:fldCharType="end"/>
            </w:r>
          </w:hyperlink>
        </w:p>
        <w:p w14:paraId="308AB209" w14:textId="57DF6ECE" w:rsidR="00FB2FD3" w:rsidRPr="003C0E2F" w:rsidRDefault="00BB038D">
          <w:pPr>
            <w:pStyle w:val="TOC2"/>
            <w:tabs>
              <w:tab w:val="left" w:pos="880"/>
              <w:tab w:val="right" w:leader="dot" w:pos="9016"/>
            </w:tabs>
            <w:rPr>
              <w:rFonts w:cstheme="minorBidi"/>
              <w:noProof/>
            </w:rPr>
          </w:pPr>
          <w:hyperlink w:anchor="_Toc82882381" w:history="1">
            <w:r w:rsidR="00FB2FD3" w:rsidRPr="003C0E2F">
              <w:rPr>
                <w:rStyle w:val="Hyperlink"/>
                <w:noProof/>
                <w:color w:val="auto"/>
              </w:rPr>
              <w:t>3.7.</w:t>
            </w:r>
            <w:r w:rsidR="00FB2FD3" w:rsidRPr="003C0E2F">
              <w:rPr>
                <w:rFonts w:cstheme="minorBidi"/>
                <w:noProof/>
              </w:rPr>
              <w:tab/>
            </w:r>
            <w:r w:rsidR="00FB2FD3" w:rsidRPr="003C0E2F">
              <w:rPr>
                <w:rStyle w:val="Hyperlink"/>
                <w:noProof/>
                <w:color w:val="auto"/>
              </w:rPr>
              <w:t>Human inflammation antibody array</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_Toc82882381 \h </w:instrText>
            </w:r>
            <w:r w:rsidR="00FB2FD3" w:rsidRPr="003C0E2F">
              <w:rPr>
                <w:noProof/>
                <w:webHidden/>
              </w:rPr>
            </w:r>
            <w:r w:rsidR="00FB2FD3" w:rsidRPr="003C0E2F">
              <w:rPr>
                <w:noProof/>
                <w:webHidden/>
              </w:rPr>
              <w:fldChar w:fldCharType="separate"/>
            </w:r>
            <w:r w:rsidR="000F2276">
              <w:rPr>
                <w:noProof/>
                <w:webHidden/>
              </w:rPr>
              <w:t>69</w:t>
            </w:r>
            <w:r w:rsidR="00FB2FD3" w:rsidRPr="003C0E2F">
              <w:rPr>
                <w:noProof/>
                <w:webHidden/>
              </w:rPr>
              <w:fldChar w:fldCharType="end"/>
            </w:r>
          </w:hyperlink>
        </w:p>
        <w:p w14:paraId="53DCCDD3" w14:textId="7AFEFFE6" w:rsidR="00FB2FD3" w:rsidRPr="003C0E2F" w:rsidRDefault="00BB038D">
          <w:pPr>
            <w:pStyle w:val="TOC2"/>
            <w:tabs>
              <w:tab w:val="left" w:pos="880"/>
              <w:tab w:val="right" w:leader="dot" w:pos="9016"/>
            </w:tabs>
            <w:rPr>
              <w:rFonts w:cstheme="minorBidi"/>
              <w:noProof/>
            </w:rPr>
          </w:pPr>
          <w:hyperlink w:anchor="_Toc82882382" w:history="1">
            <w:r w:rsidR="00FB2FD3" w:rsidRPr="003C0E2F">
              <w:rPr>
                <w:rStyle w:val="Hyperlink"/>
                <w:noProof/>
                <w:color w:val="auto"/>
              </w:rPr>
              <w:t>3.8.</w:t>
            </w:r>
            <w:r w:rsidR="00FB2FD3" w:rsidRPr="003C0E2F">
              <w:rPr>
                <w:rFonts w:cstheme="minorBidi"/>
                <w:noProof/>
              </w:rPr>
              <w:tab/>
            </w:r>
            <w:r w:rsidR="00FB2FD3" w:rsidRPr="003C0E2F">
              <w:rPr>
                <w:rStyle w:val="Hyperlink"/>
                <w:noProof/>
                <w:color w:val="auto"/>
              </w:rPr>
              <w:t>Quantification and statistical analysis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_Toc82882382 \h </w:instrText>
            </w:r>
            <w:r w:rsidR="00FB2FD3" w:rsidRPr="003C0E2F">
              <w:rPr>
                <w:noProof/>
                <w:webHidden/>
              </w:rPr>
            </w:r>
            <w:r w:rsidR="00FB2FD3" w:rsidRPr="003C0E2F">
              <w:rPr>
                <w:noProof/>
                <w:webHidden/>
              </w:rPr>
              <w:fldChar w:fldCharType="separate"/>
            </w:r>
            <w:r w:rsidR="000F2276">
              <w:rPr>
                <w:noProof/>
                <w:webHidden/>
              </w:rPr>
              <w:t>70</w:t>
            </w:r>
            <w:r w:rsidR="00FB2FD3" w:rsidRPr="003C0E2F">
              <w:rPr>
                <w:noProof/>
                <w:webHidden/>
              </w:rPr>
              <w:fldChar w:fldCharType="end"/>
            </w:r>
          </w:hyperlink>
        </w:p>
        <w:p w14:paraId="58D0E73A" w14:textId="19553B37" w:rsidR="00FB2FD3" w:rsidRPr="003C0E2F" w:rsidRDefault="00BB038D">
          <w:pPr>
            <w:pStyle w:val="TOC1"/>
            <w:rPr>
              <w:rFonts w:cstheme="minorBidi"/>
              <w:noProof/>
            </w:rPr>
          </w:pPr>
          <w:hyperlink w:anchor="_Toc82882383" w:history="1">
            <w:r w:rsidR="00FB2FD3" w:rsidRPr="003C0E2F">
              <w:rPr>
                <w:rStyle w:val="Hyperlink"/>
                <w:noProof/>
                <w:color w:val="auto"/>
              </w:rPr>
              <w:t>4.</w:t>
            </w:r>
            <w:r w:rsidR="00FB2FD3" w:rsidRPr="003C0E2F">
              <w:rPr>
                <w:rFonts w:cstheme="minorBidi"/>
                <w:noProof/>
              </w:rPr>
              <w:tab/>
            </w:r>
            <w:r w:rsidR="00FB2FD3" w:rsidRPr="003C0E2F">
              <w:rPr>
                <w:rStyle w:val="Hyperlink"/>
                <w:noProof/>
                <w:color w:val="auto"/>
              </w:rPr>
              <w:t>Results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_Toc82882383 \h </w:instrText>
            </w:r>
            <w:r w:rsidR="00FB2FD3" w:rsidRPr="003C0E2F">
              <w:rPr>
                <w:noProof/>
                <w:webHidden/>
              </w:rPr>
            </w:r>
            <w:r w:rsidR="00FB2FD3" w:rsidRPr="003C0E2F">
              <w:rPr>
                <w:noProof/>
                <w:webHidden/>
              </w:rPr>
              <w:fldChar w:fldCharType="separate"/>
            </w:r>
            <w:r w:rsidR="000F2276">
              <w:rPr>
                <w:noProof/>
                <w:webHidden/>
              </w:rPr>
              <w:t>71</w:t>
            </w:r>
            <w:r w:rsidR="00FB2FD3" w:rsidRPr="003C0E2F">
              <w:rPr>
                <w:noProof/>
                <w:webHidden/>
              </w:rPr>
              <w:fldChar w:fldCharType="end"/>
            </w:r>
          </w:hyperlink>
        </w:p>
        <w:p w14:paraId="61437229" w14:textId="625C2149" w:rsidR="00FB2FD3" w:rsidRPr="003C0E2F" w:rsidRDefault="00BB038D">
          <w:pPr>
            <w:pStyle w:val="TOC2"/>
            <w:tabs>
              <w:tab w:val="left" w:pos="880"/>
              <w:tab w:val="right" w:leader="dot" w:pos="9016"/>
            </w:tabs>
            <w:rPr>
              <w:rFonts w:cstheme="minorBidi"/>
              <w:noProof/>
            </w:rPr>
          </w:pPr>
          <w:hyperlink w:anchor="_Toc82882384" w:history="1">
            <w:r w:rsidR="00FB2FD3" w:rsidRPr="003C0E2F">
              <w:rPr>
                <w:rStyle w:val="Hyperlink"/>
                <w:noProof/>
                <w:color w:val="auto"/>
              </w:rPr>
              <w:t>4.1.</w:t>
            </w:r>
            <w:r w:rsidR="00FB2FD3" w:rsidRPr="003C0E2F">
              <w:rPr>
                <w:rFonts w:cstheme="minorBidi"/>
                <w:noProof/>
              </w:rPr>
              <w:tab/>
            </w:r>
            <w:r w:rsidR="00FB2FD3" w:rsidRPr="003C0E2F">
              <w:rPr>
                <w:rStyle w:val="Hyperlink"/>
                <w:noProof/>
                <w:color w:val="auto"/>
              </w:rPr>
              <w:t>Investigating the effects of FP7 and FP7 derivative molecules on MyD88-dependent TLR4-driven signalling in THP-1 human monocytes and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_Toc82882384 \h </w:instrText>
            </w:r>
            <w:r w:rsidR="00FB2FD3" w:rsidRPr="003C0E2F">
              <w:rPr>
                <w:noProof/>
                <w:webHidden/>
              </w:rPr>
            </w:r>
            <w:r w:rsidR="00FB2FD3" w:rsidRPr="003C0E2F">
              <w:rPr>
                <w:noProof/>
                <w:webHidden/>
              </w:rPr>
              <w:fldChar w:fldCharType="separate"/>
            </w:r>
            <w:r w:rsidR="000F2276">
              <w:rPr>
                <w:noProof/>
                <w:webHidden/>
              </w:rPr>
              <w:t>72</w:t>
            </w:r>
            <w:r w:rsidR="00FB2FD3" w:rsidRPr="003C0E2F">
              <w:rPr>
                <w:noProof/>
                <w:webHidden/>
              </w:rPr>
              <w:fldChar w:fldCharType="end"/>
            </w:r>
          </w:hyperlink>
        </w:p>
        <w:p w14:paraId="737F83C8" w14:textId="5D982A9A" w:rsidR="00FB2FD3" w:rsidRPr="003C0E2F" w:rsidRDefault="00BB038D">
          <w:pPr>
            <w:pStyle w:val="TOC3"/>
            <w:tabs>
              <w:tab w:val="left" w:pos="1320"/>
              <w:tab w:val="right" w:leader="dot" w:pos="9016"/>
            </w:tabs>
            <w:rPr>
              <w:rFonts w:cstheme="minorBidi"/>
              <w:noProof/>
            </w:rPr>
          </w:pPr>
          <w:hyperlink w:anchor="_Toc82882385" w:history="1">
            <w:r w:rsidR="00FB2FD3" w:rsidRPr="003C0E2F">
              <w:rPr>
                <w:rStyle w:val="Hyperlink"/>
                <w:noProof/>
                <w:color w:val="auto"/>
              </w:rPr>
              <w:t>4.1.1.</w:t>
            </w:r>
            <w:r w:rsidR="00FB2FD3" w:rsidRPr="003C0E2F">
              <w:rPr>
                <w:rFonts w:cstheme="minorBidi"/>
                <w:noProof/>
              </w:rPr>
              <w:tab/>
            </w:r>
            <w:r w:rsidR="00FB2FD3" w:rsidRPr="003C0E2F">
              <w:rPr>
                <w:rStyle w:val="Hyperlink"/>
                <w:noProof/>
                <w:color w:val="auto"/>
              </w:rPr>
              <w:t>FP7 and FP7 derivatives do not negatively impact THP-1 human monocyte or macrophage cell viability</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_Toc82882385 \h </w:instrText>
            </w:r>
            <w:r w:rsidR="00FB2FD3" w:rsidRPr="003C0E2F">
              <w:rPr>
                <w:noProof/>
                <w:webHidden/>
              </w:rPr>
            </w:r>
            <w:r w:rsidR="00FB2FD3" w:rsidRPr="003C0E2F">
              <w:rPr>
                <w:noProof/>
                <w:webHidden/>
              </w:rPr>
              <w:fldChar w:fldCharType="separate"/>
            </w:r>
            <w:r w:rsidR="000F2276">
              <w:rPr>
                <w:noProof/>
                <w:webHidden/>
              </w:rPr>
              <w:t>73</w:t>
            </w:r>
            <w:r w:rsidR="00FB2FD3" w:rsidRPr="003C0E2F">
              <w:rPr>
                <w:noProof/>
                <w:webHidden/>
              </w:rPr>
              <w:fldChar w:fldCharType="end"/>
            </w:r>
          </w:hyperlink>
        </w:p>
        <w:p w14:paraId="7DEF7747" w14:textId="792E1DAB" w:rsidR="00FB2FD3" w:rsidRPr="003C0E2F" w:rsidRDefault="00BB038D">
          <w:pPr>
            <w:pStyle w:val="TOC3"/>
            <w:tabs>
              <w:tab w:val="left" w:pos="1320"/>
              <w:tab w:val="right" w:leader="dot" w:pos="9016"/>
            </w:tabs>
            <w:rPr>
              <w:rFonts w:cstheme="minorBidi"/>
              <w:noProof/>
            </w:rPr>
          </w:pPr>
          <w:hyperlink w:anchor="_Toc82882386" w:history="1">
            <w:r w:rsidR="00FB2FD3" w:rsidRPr="003C0E2F">
              <w:rPr>
                <w:rStyle w:val="Hyperlink"/>
                <w:noProof/>
                <w:color w:val="auto"/>
              </w:rPr>
              <w:t>4.1.2.</w:t>
            </w:r>
            <w:r w:rsidR="00FB2FD3" w:rsidRPr="003C0E2F">
              <w:rPr>
                <w:rFonts w:cstheme="minorBidi"/>
                <w:noProof/>
              </w:rPr>
              <w:tab/>
            </w:r>
            <w:r w:rsidR="00FB2FD3" w:rsidRPr="003C0E2F">
              <w:rPr>
                <w:rStyle w:val="Hyperlink"/>
                <w:noProof/>
                <w:color w:val="auto"/>
              </w:rPr>
              <w:t>Differential effects of FP7 derivatives on TLR4-dependent IL-8 production in THP-1 monocytes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_Toc82882386 \h </w:instrText>
            </w:r>
            <w:r w:rsidR="00FB2FD3" w:rsidRPr="003C0E2F">
              <w:rPr>
                <w:noProof/>
                <w:webHidden/>
              </w:rPr>
            </w:r>
            <w:r w:rsidR="00FB2FD3" w:rsidRPr="003C0E2F">
              <w:rPr>
                <w:noProof/>
                <w:webHidden/>
              </w:rPr>
              <w:fldChar w:fldCharType="separate"/>
            </w:r>
            <w:r w:rsidR="000F2276">
              <w:rPr>
                <w:noProof/>
                <w:webHidden/>
              </w:rPr>
              <w:t>76</w:t>
            </w:r>
            <w:r w:rsidR="00FB2FD3" w:rsidRPr="003C0E2F">
              <w:rPr>
                <w:noProof/>
                <w:webHidden/>
              </w:rPr>
              <w:fldChar w:fldCharType="end"/>
            </w:r>
          </w:hyperlink>
        </w:p>
        <w:p w14:paraId="66BFE716" w14:textId="04154E38" w:rsidR="00FB2FD3" w:rsidRPr="003C0E2F" w:rsidRDefault="00BB038D">
          <w:pPr>
            <w:pStyle w:val="TOC3"/>
            <w:tabs>
              <w:tab w:val="left" w:pos="1320"/>
              <w:tab w:val="right" w:leader="dot" w:pos="9016"/>
            </w:tabs>
            <w:rPr>
              <w:rFonts w:cstheme="minorBidi"/>
              <w:noProof/>
            </w:rPr>
          </w:pPr>
          <w:hyperlink w:anchor="_Toc82882387" w:history="1">
            <w:r w:rsidR="00FB2FD3" w:rsidRPr="003C0E2F">
              <w:rPr>
                <w:rStyle w:val="Hyperlink"/>
                <w:noProof/>
                <w:color w:val="auto"/>
              </w:rPr>
              <w:t>4.1.3.</w:t>
            </w:r>
            <w:r w:rsidR="00FB2FD3" w:rsidRPr="003C0E2F">
              <w:rPr>
                <w:rFonts w:cstheme="minorBidi"/>
                <w:noProof/>
              </w:rPr>
              <w:tab/>
            </w:r>
            <w:r w:rsidR="00FB2FD3" w:rsidRPr="003C0E2F">
              <w:rPr>
                <w:rStyle w:val="Hyperlink"/>
                <w:noProof/>
                <w:color w:val="auto"/>
              </w:rPr>
              <w:t>FP7 negatively regulates the production of TLR4-dependent proinflammatory proteins (IL-1β, IL-8, IL-6, MIP-1α, ICAM-1) in THP-1 human monocytes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_Toc82882387 \h </w:instrText>
            </w:r>
            <w:r w:rsidR="00FB2FD3" w:rsidRPr="003C0E2F">
              <w:rPr>
                <w:noProof/>
                <w:webHidden/>
              </w:rPr>
            </w:r>
            <w:r w:rsidR="00FB2FD3" w:rsidRPr="003C0E2F">
              <w:rPr>
                <w:noProof/>
                <w:webHidden/>
              </w:rPr>
              <w:fldChar w:fldCharType="separate"/>
            </w:r>
            <w:r w:rsidR="000F2276">
              <w:rPr>
                <w:noProof/>
                <w:webHidden/>
              </w:rPr>
              <w:t>79</w:t>
            </w:r>
            <w:r w:rsidR="00FB2FD3" w:rsidRPr="003C0E2F">
              <w:rPr>
                <w:noProof/>
                <w:webHidden/>
              </w:rPr>
              <w:fldChar w:fldCharType="end"/>
            </w:r>
          </w:hyperlink>
        </w:p>
        <w:p w14:paraId="6B11206A" w14:textId="3392EE58" w:rsidR="00FB2FD3" w:rsidRPr="003C0E2F" w:rsidRDefault="00BB038D">
          <w:pPr>
            <w:pStyle w:val="TOC3"/>
            <w:tabs>
              <w:tab w:val="left" w:pos="1320"/>
              <w:tab w:val="right" w:leader="dot" w:pos="9016"/>
            </w:tabs>
            <w:rPr>
              <w:rFonts w:cstheme="minorBidi"/>
              <w:noProof/>
            </w:rPr>
          </w:pPr>
          <w:hyperlink w:anchor="_Toc82882388" w:history="1">
            <w:r w:rsidR="00FB2FD3" w:rsidRPr="003C0E2F">
              <w:rPr>
                <w:rStyle w:val="Hyperlink"/>
                <w:noProof/>
                <w:color w:val="auto"/>
              </w:rPr>
              <w:t>4.1.4.</w:t>
            </w:r>
            <w:r w:rsidR="00FB2FD3" w:rsidRPr="003C0E2F">
              <w:rPr>
                <w:rFonts w:cstheme="minorBidi"/>
                <w:noProof/>
              </w:rPr>
              <w:tab/>
            </w:r>
            <w:r w:rsidR="00FB2FD3" w:rsidRPr="003C0E2F">
              <w:rPr>
                <w:rStyle w:val="Hyperlink"/>
                <w:noProof/>
                <w:color w:val="auto"/>
              </w:rPr>
              <w:t>FP7 negatively regulates the production of TLR4/MyD88-dependent proinflammatory signalling in THP-1 derived human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_Toc82882388 \h </w:instrText>
            </w:r>
            <w:r w:rsidR="00FB2FD3" w:rsidRPr="003C0E2F">
              <w:rPr>
                <w:noProof/>
                <w:webHidden/>
              </w:rPr>
            </w:r>
            <w:r w:rsidR="00FB2FD3" w:rsidRPr="003C0E2F">
              <w:rPr>
                <w:noProof/>
                <w:webHidden/>
              </w:rPr>
              <w:fldChar w:fldCharType="separate"/>
            </w:r>
            <w:r w:rsidR="000F2276">
              <w:rPr>
                <w:noProof/>
                <w:webHidden/>
              </w:rPr>
              <w:t>84</w:t>
            </w:r>
            <w:r w:rsidR="00FB2FD3" w:rsidRPr="003C0E2F">
              <w:rPr>
                <w:noProof/>
                <w:webHidden/>
              </w:rPr>
              <w:fldChar w:fldCharType="end"/>
            </w:r>
          </w:hyperlink>
        </w:p>
        <w:p w14:paraId="0B157228" w14:textId="57D3DEDB" w:rsidR="00FB2FD3" w:rsidRPr="003C0E2F" w:rsidRDefault="00BB038D">
          <w:pPr>
            <w:pStyle w:val="TOC3"/>
            <w:tabs>
              <w:tab w:val="left" w:pos="1320"/>
              <w:tab w:val="right" w:leader="dot" w:pos="9016"/>
            </w:tabs>
            <w:rPr>
              <w:rFonts w:cstheme="minorBidi"/>
              <w:noProof/>
            </w:rPr>
          </w:pPr>
          <w:hyperlink w:anchor="_Toc82882389" w:history="1">
            <w:r w:rsidR="00FB2FD3" w:rsidRPr="003C0E2F">
              <w:rPr>
                <w:rStyle w:val="Hyperlink"/>
                <w:noProof/>
                <w:color w:val="auto"/>
              </w:rPr>
              <w:t>4.1.5.</w:t>
            </w:r>
            <w:r w:rsidR="00FB2FD3" w:rsidRPr="003C0E2F">
              <w:rPr>
                <w:rFonts w:cstheme="minorBidi"/>
                <w:noProof/>
              </w:rPr>
              <w:tab/>
            </w:r>
            <w:r w:rsidR="00FB2FD3" w:rsidRPr="003C0E2F">
              <w:rPr>
                <w:rStyle w:val="Hyperlink"/>
                <w:noProof/>
                <w:color w:val="auto"/>
              </w:rPr>
              <w:t>FP12 negatively regulates the production of TLR4-dependent proinflammatory proteins (IL-1 β, IL-6) and activation of signalling mediators in THP-1 human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_Toc82882389 \h </w:instrText>
            </w:r>
            <w:r w:rsidR="00FB2FD3" w:rsidRPr="003C0E2F">
              <w:rPr>
                <w:noProof/>
                <w:webHidden/>
              </w:rPr>
            </w:r>
            <w:r w:rsidR="00FB2FD3" w:rsidRPr="003C0E2F">
              <w:rPr>
                <w:noProof/>
                <w:webHidden/>
              </w:rPr>
              <w:fldChar w:fldCharType="separate"/>
            </w:r>
            <w:r w:rsidR="000F2276">
              <w:rPr>
                <w:noProof/>
                <w:webHidden/>
              </w:rPr>
              <w:t>87</w:t>
            </w:r>
            <w:r w:rsidR="00FB2FD3" w:rsidRPr="003C0E2F">
              <w:rPr>
                <w:noProof/>
                <w:webHidden/>
              </w:rPr>
              <w:fldChar w:fldCharType="end"/>
            </w:r>
          </w:hyperlink>
        </w:p>
        <w:p w14:paraId="50C90E85" w14:textId="486AD8A7" w:rsidR="00FB2FD3" w:rsidRPr="003C0E2F" w:rsidRDefault="00BB038D">
          <w:pPr>
            <w:pStyle w:val="TOC3"/>
            <w:tabs>
              <w:tab w:val="left" w:pos="1320"/>
              <w:tab w:val="right" w:leader="dot" w:pos="9016"/>
            </w:tabs>
            <w:rPr>
              <w:rFonts w:cstheme="minorBidi"/>
              <w:noProof/>
            </w:rPr>
          </w:pPr>
          <w:hyperlink w:anchor="_Toc82882390" w:history="1">
            <w:r w:rsidR="00FB2FD3" w:rsidRPr="003C0E2F">
              <w:rPr>
                <w:rStyle w:val="Hyperlink"/>
                <w:noProof/>
                <w:color w:val="auto"/>
              </w:rPr>
              <w:t>4.1.6.</w:t>
            </w:r>
            <w:r w:rsidR="00FB2FD3" w:rsidRPr="003C0E2F">
              <w:rPr>
                <w:rFonts w:cstheme="minorBidi"/>
                <w:noProof/>
              </w:rPr>
              <w:tab/>
            </w:r>
            <w:r w:rsidR="00FB2FD3" w:rsidRPr="003C0E2F">
              <w:rPr>
                <w:rStyle w:val="Hyperlink"/>
                <w:noProof/>
                <w:color w:val="auto"/>
              </w:rPr>
              <w:t>FP7 and FP12 negatively regulate LPS-stimulated proinflammatory proteins production in THP-1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_Toc82882390 \h </w:instrText>
            </w:r>
            <w:r w:rsidR="00FB2FD3" w:rsidRPr="003C0E2F">
              <w:rPr>
                <w:noProof/>
                <w:webHidden/>
              </w:rPr>
            </w:r>
            <w:r w:rsidR="00FB2FD3" w:rsidRPr="003C0E2F">
              <w:rPr>
                <w:noProof/>
                <w:webHidden/>
              </w:rPr>
              <w:fldChar w:fldCharType="separate"/>
            </w:r>
            <w:r w:rsidR="000F2276">
              <w:rPr>
                <w:noProof/>
                <w:webHidden/>
              </w:rPr>
              <w:t>91</w:t>
            </w:r>
            <w:r w:rsidR="00FB2FD3" w:rsidRPr="003C0E2F">
              <w:rPr>
                <w:noProof/>
                <w:webHidden/>
              </w:rPr>
              <w:fldChar w:fldCharType="end"/>
            </w:r>
          </w:hyperlink>
        </w:p>
        <w:p w14:paraId="4C3EE1AD" w14:textId="7BDD4C23" w:rsidR="00FB2FD3" w:rsidRPr="003C0E2F" w:rsidRDefault="00BB038D">
          <w:pPr>
            <w:pStyle w:val="TOC3"/>
            <w:tabs>
              <w:tab w:val="left" w:pos="1320"/>
              <w:tab w:val="right" w:leader="dot" w:pos="9016"/>
            </w:tabs>
            <w:rPr>
              <w:rFonts w:cstheme="minorBidi"/>
              <w:noProof/>
            </w:rPr>
          </w:pPr>
          <w:hyperlink w:anchor="_Toc82882391" w:history="1">
            <w:r w:rsidR="00FB2FD3" w:rsidRPr="003C0E2F">
              <w:rPr>
                <w:rStyle w:val="Hyperlink"/>
                <w:noProof/>
                <w:color w:val="auto"/>
              </w:rPr>
              <w:t>4.1.7.</w:t>
            </w:r>
            <w:r w:rsidR="00FB2FD3" w:rsidRPr="003C0E2F">
              <w:rPr>
                <w:rFonts w:cstheme="minorBidi"/>
                <w:noProof/>
              </w:rPr>
              <w:tab/>
            </w:r>
            <w:r w:rsidR="00FB2FD3" w:rsidRPr="003C0E2F">
              <w:rPr>
                <w:rStyle w:val="Hyperlink"/>
                <w:noProof/>
                <w:color w:val="auto"/>
              </w:rPr>
              <w:t>FP7 and FP12 downregulate LPS/TLR4-induced proinflammatory cytokines irrespective of time of administration (in pre, simultaneous and post LPS treatment)</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_Toc82882391 \h </w:instrText>
            </w:r>
            <w:r w:rsidR="00FB2FD3" w:rsidRPr="003C0E2F">
              <w:rPr>
                <w:noProof/>
                <w:webHidden/>
              </w:rPr>
            </w:r>
            <w:r w:rsidR="00FB2FD3" w:rsidRPr="003C0E2F">
              <w:rPr>
                <w:noProof/>
                <w:webHidden/>
              </w:rPr>
              <w:fldChar w:fldCharType="separate"/>
            </w:r>
            <w:r w:rsidR="000F2276">
              <w:rPr>
                <w:noProof/>
                <w:webHidden/>
              </w:rPr>
              <w:t>93</w:t>
            </w:r>
            <w:r w:rsidR="00FB2FD3" w:rsidRPr="003C0E2F">
              <w:rPr>
                <w:noProof/>
                <w:webHidden/>
              </w:rPr>
              <w:fldChar w:fldCharType="end"/>
            </w:r>
          </w:hyperlink>
        </w:p>
        <w:p w14:paraId="23649020" w14:textId="7BE6FADB" w:rsidR="00FB2FD3" w:rsidRPr="003C0E2F" w:rsidRDefault="00BB038D">
          <w:pPr>
            <w:pStyle w:val="TOC3"/>
            <w:tabs>
              <w:tab w:val="left" w:pos="1320"/>
              <w:tab w:val="right" w:leader="dot" w:pos="9016"/>
            </w:tabs>
            <w:rPr>
              <w:rFonts w:cstheme="minorBidi"/>
              <w:noProof/>
            </w:rPr>
          </w:pPr>
          <w:hyperlink w:anchor="_Toc82882392" w:history="1">
            <w:r w:rsidR="00FB2FD3" w:rsidRPr="003C0E2F">
              <w:rPr>
                <w:rStyle w:val="Hyperlink"/>
                <w:noProof/>
                <w:color w:val="auto"/>
              </w:rPr>
              <w:t>4.1.8.</w:t>
            </w:r>
            <w:r w:rsidR="00FB2FD3" w:rsidRPr="003C0E2F">
              <w:rPr>
                <w:rFonts w:cstheme="minorBidi"/>
                <w:noProof/>
              </w:rPr>
              <w:tab/>
            </w:r>
            <w:r w:rsidR="00FB2FD3" w:rsidRPr="003C0E2F">
              <w:rPr>
                <w:rStyle w:val="Hyperlink"/>
                <w:noProof/>
                <w:color w:val="auto"/>
              </w:rPr>
              <w:t>FP7 downregulates LPS/TLR4-induced proinflammatory cytokines in primary PBMC derived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_Toc82882392 \h </w:instrText>
            </w:r>
            <w:r w:rsidR="00FB2FD3" w:rsidRPr="003C0E2F">
              <w:rPr>
                <w:noProof/>
                <w:webHidden/>
              </w:rPr>
            </w:r>
            <w:r w:rsidR="00FB2FD3" w:rsidRPr="003C0E2F">
              <w:rPr>
                <w:noProof/>
                <w:webHidden/>
              </w:rPr>
              <w:fldChar w:fldCharType="separate"/>
            </w:r>
            <w:r w:rsidR="000F2276">
              <w:rPr>
                <w:noProof/>
                <w:webHidden/>
              </w:rPr>
              <w:t>95</w:t>
            </w:r>
            <w:r w:rsidR="00FB2FD3" w:rsidRPr="003C0E2F">
              <w:rPr>
                <w:noProof/>
                <w:webHidden/>
              </w:rPr>
              <w:fldChar w:fldCharType="end"/>
            </w:r>
          </w:hyperlink>
        </w:p>
        <w:p w14:paraId="63F9F324" w14:textId="1C82046F" w:rsidR="00FB2FD3" w:rsidRPr="003C0E2F" w:rsidRDefault="00BB038D">
          <w:pPr>
            <w:pStyle w:val="TOC3"/>
            <w:tabs>
              <w:tab w:val="left" w:pos="1320"/>
              <w:tab w:val="right" w:leader="dot" w:pos="9016"/>
            </w:tabs>
            <w:rPr>
              <w:rFonts w:cstheme="minorBidi"/>
              <w:noProof/>
            </w:rPr>
          </w:pPr>
          <w:hyperlink w:anchor="_Toc82882393" w:history="1">
            <w:r w:rsidR="00FB2FD3" w:rsidRPr="003C0E2F">
              <w:rPr>
                <w:rStyle w:val="Hyperlink"/>
                <w:noProof/>
                <w:color w:val="auto"/>
              </w:rPr>
              <w:t>4.1.9.</w:t>
            </w:r>
            <w:r w:rsidR="00FB2FD3" w:rsidRPr="003C0E2F">
              <w:rPr>
                <w:rFonts w:cstheme="minorBidi"/>
                <w:noProof/>
              </w:rPr>
              <w:tab/>
            </w:r>
            <w:r w:rsidR="00FB2FD3" w:rsidRPr="003C0E2F">
              <w:rPr>
                <w:rStyle w:val="Hyperlink"/>
                <w:noProof/>
                <w:color w:val="auto"/>
              </w:rPr>
              <w:t>FP7 downregulates oxLDL-mediated TLR4 activation in THP-1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_Toc82882393 \h </w:instrText>
            </w:r>
            <w:r w:rsidR="00FB2FD3" w:rsidRPr="003C0E2F">
              <w:rPr>
                <w:noProof/>
                <w:webHidden/>
              </w:rPr>
            </w:r>
            <w:r w:rsidR="00FB2FD3" w:rsidRPr="003C0E2F">
              <w:rPr>
                <w:noProof/>
                <w:webHidden/>
              </w:rPr>
              <w:fldChar w:fldCharType="separate"/>
            </w:r>
            <w:r w:rsidR="000F2276">
              <w:rPr>
                <w:noProof/>
                <w:webHidden/>
              </w:rPr>
              <w:t>98</w:t>
            </w:r>
            <w:r w:rsidR="00FB2FD3" w:rsidRPr="003C0E2F">
              <w:rPr>
                <w:noProof/>
                <w:webHidden/>
              </w:rPr>
              <w:fldChar w:fldCharType="end"/>
            </w:r>
          </w:hyperlink>
        </w:p>
        <w:p w14:paraId="06F18BEA" w14:textId="2D8B4BD7" w:rsidR="00FB2FD3" w:rsidRPr="003C0E2F" w:rsidRDefault="00BB038D">
          <w:pPr>
            <w:pStyle w:val="TOC3"/>
            <w:tabs>
              <w:tab w:val="left" w:pos="1320"/>
              <w:tab w:val="right" w:leader="dot" w:pos="9016"/>
            </w:tabs>
            <w:rPr>
              <w:rFonts w:cstheme="minorBidi"/>
              <w:noProof/>
            </w:rPr>
          </w:pPr>
          <w:hyperlink w:anchor="_Toc82882394" w:history="1">
            <w:r w:rsidR="00FB2FD3" w:rsidRPr="003C0E2F">
              <w:rPr>
                <w:rStyle w:val="Hyperlink"/>
                <w:noProof/>
                <w:color w:val="auto"/>
              </w:rPr>
              <w:t>4.1.10.</w:t>
            </w:r>
            <w:r w:rsidR="00FB2FD3" w:rsidRPr="003C0E2F">
              <w:rPr>
                <w:rFonts w:cstheme="minorBidi"/>
                <w:noProof/>
              </w:rPr>
              <w:tab/>
            </w:r>
            <w:r w:rsidR="00FB2FD3" w:rsidRPr="003C0E2F">
              <w:rPr>
                <w:rStyle w:val="Hyperlink"/>
                <w:noProof/>
                <w:color w:val="auto"/>
              </w:rPr>
              <w:t>FP11 and FP18 function as agonists, upregulating TLR4-dependent proinflammatory signalling in THP-1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_Toc82882394 \h </w:instrText>
            </w:r>
            <w:r w:rsidR="00FB2FD3" w:rsidRPr="003C0E2F">
              <w:rPr>
                <w:noProof/>
                <w:webHidden/>
              </w:rPr>
            </w:r>
            <w:r w:rsidR="00FB2FD3" w:rsidRPr="003C0E2F">
              <w:rPr>
                <w:noProof/>
                <w:webHidden/>
              </w:rPr>
              <w:fldChar w:fldCharType="separate"/>
            </w:r>
            <w:r w:rsidR="000F2276">
              <w:rPr>
                <w:noProof/>
                <w:webHidden/>
              </w:rPr>
              <w:t>103</w:t>
            </w:r>
            <w:r w:rsidR="00FB2FD3" w:rsidRPr="003C0E2F">
              <w:rPr>
                <w:noProof/>
                <w:webHidden/>
              </w:rPr>
              <w:fldChar w:fldCharType="end"/>
            </w:r>
          </w:hyperlink>
        </w:p>
        <w:p w14:paraId="7B914FB2" w14:textId="36E1DBF6" w:rsidR="00FB2FD3" w:rsidRPr="003C0E2F" w:rsidRDefault="00BB038D">
          <w:pPr>
            <w:pStyle w:val="TOC3"/>
            <w:tabs>
              <w:tab w:val="left" w:pos="1320"/>
              <w:tab w:val="right" w:leader="dot" w:pos="9016"/>
            </w:tabs>
            <w:rPr>
              <w:rFonts w:cstheme="minorBidi"/>
              <w:noProof/>
            </w:rPr>
          </w:pPr>
          <w:hyperlink w:anchor="_Toc82882395" w:history="1">
            <w:r w:rsidR="00FB2FD3" w:rsidRPr="003C0E2F">
              <w:rPr>
                <w:rStyle w:val="Hyperlink"/>
                <w:noProof/>
                <w:color w:val="auto"/>
              </w:rPr>
              <w:t>4.1.11.</w:t>
            </w:r>
            <w:r w:rsidR="00FB2FD3" w:rsidRPr="003C0E2F">
              <w:rPr>
                <w:rFonts w:cstheme="minorBidi"/>
                <w:noProof/>
              </w:rPr>
              <w:tab/>
            </w:r>
            <w:r w:rsidR="00FB2FD3" w:rsidRPr="003C0E2F">
              <w:rPr>
                <w:rStyle w:val="Hyperlink"/>
                <w:noProof/>
                <w:color w:val="auto"/>
              </w:rPr>
              <w:t>Summary</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_Toc82882395 \h </w:instrText>
            </w:r>
            <w:r w:rsidR="00FB2FD3" w:rsidRPr="003C0E2F">
              <w:rPr>
                <w:noProof/>
                <w:webHidden/>
              </w:rPr>
            </w:r>
            <w:r w:rsidR="00FB2FD3" w:rsidRPr="003C0E2F">
              <w:rPr>
                <w:noProof/>
                <w:webHidden/>
              </w:rPr>
              <w:fldChar w:fldCharType="separate"/>
            </w:r>
            <w:r w:rsidR="000F2276">
              <w:rPr>
                <w:noProof/>
                <w:webHidden/>
              </w:rPr>
              <w:t>107</w:t>
            </w:r>
            <w:r w:rsidR="00FB2FD3" w:rsidRPr="003C0E2F">
              <w:rPr>
                <w:noProof/>
                <w:webHidden/>
              </w:rPr>
              <w:fldChar w:fldCharType="end"/>
            </w:r>
          </w:hyperlink>
        </w:p>
        <w:p w14:paraId="10AB48A4" w14:textId="15DCAD40" w:rsidR="00FB2FD3" w:rsidRPr="003C0E2F" w:rsidRDefault="00BB038D">
          <w:pPr>
            <w:pStyle w:val="TOC2"/>
            <w:tabs>
              <w:tab w:val="left" w:pos="880"/>
              <w:tab w:val="right" w:leader="dot" w:pos="9016"/>
            </w:tabs>
            <w:rPr>
              <w:rFonts w:cstheme="minorBidi"/>
              <w:noProof/>
            </w:rPr>
          </w:pPr>
          <w:hyperlink w:anchor="_Toc82882396" w:history="1">
            <w:r w:rsidR="00FB2FD3" w:rsidRPr="003C0E2F">
              <w:rPr>
                <w:rStyle w:val="Hyperlink"/>
                <w:noProof/>
                <w:color w:val="auto"/>
              </w:rPr>
              <w:t>4.2.</w:t>
            </w:r>
            <w:r w:rsidR="00FB2FD3" w:rsidRPr="003C0E2F">
              <w:rPr>
                <w:rFonts w:cstheme="minorBidi"/>
                <w:noProof/>
              </w:rPr>
              <w:tab/>
            </w:r>
            <w:r w:rsidR="00FB2FD3" w:rsidRPr="003C0E2F">
              <w:rPr>
                <w:rStyle w:val="Hyperlink"/>
                <w:noProof/>
                <w:color w:val="auto"/>
              </w:rPr>
              <w:t>FP7 downregulates LPS/TLR4-induced proinflammatory proteins production in both human (THP-1) and murine (RAW264)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_Toc82882396 \h </w:instrText>
            </w:r>
            <w:r w:rsidR="00FB2FD3" w:rsidRPr="003C0E2F">
              <w:rPr>
                <w:noProof/>
                <w:webHidden/>
              </w:rPr>
            </w:r>
            <w:r w:rsidR="00FB2FD3" w:rsidRPr="003C0E2F">
              <w:rPr>
                <w:noProof/>
                <w:webHidden/>
              </w:rPr>
              <w:fldChar w:fldCharType="separate"/>
            </w:r>
            <w:r w:rsidR="000F2276">
              <w:rPr>
                <w:noProof/>
                <w:webHidden/>
              </w:rPr>
              <w:t>109</w:t>
            </w:r>
            <w:r w:rsidR="00FB2FD3" w:rsidRPr="003C0E2F">
              <w:rPr>
                <w:noProof/>
                <w:webHidden/>
              </w:rPr>
              <w:fldChar w:fldCharType="end"/>
            </w:r>
          </w:hyperlink>
        </w:p>
        <w:p w14:paraId="160E817D" w14:textId="6D2E663A" w:rsidR="00FB2FD3" w:rsidRPr="003C0E2F" w:rsidRDefault="00BB038D">
          <w:pPr>
            <w:pStyle w:val="TOC3"/>
            <w:tabs>
              <w:tab w:val="left" w:pos="1320"/>
              <w:tab w:val="right" w:leader="dot" w:pos="9016"/>
            </w:tabs>
            <w:rPr>
              <w:rFonts w:cstheme="minorBidi"/>
              <w:noProof/>
            </w:rPr>
          </w:pPr>
          <w:hyperlink w:anchor="_Toc82882397" w:history="1">
            <w:r w:rsidR="00FB2FD3" w:rsidRPr="003C0E2F">
              <w:rPr>
                <w:rStyle w:val="Hyperlink"/>
                <w:noProof/>
                <w:color w:val="auto"/>
              </w:rPr>
              <w:t>4.2.1.</w:t>
            </w:r>
            <w:r w:rsidR="00FB2FD3" w:rsidRPr="003C0E2F">
              <w:rPr>
                <w:rFonts w:cstheme="minorBidi"/>
                <w:noProof/>
              </w:rPr>
              <w:tab/>
            </w:r>
            <w:r w:rsidR="00FB2FD3" w:rsidRPr="003C0E2F">
              <w:rPr>
                <w:rStyle w:val="Hyperlink"/>
                <w:noProof/>
                <w:color w:val="auto"/>
              </w:rPr>
              <w:t>FP7 has no effect on mouse RAW264 mouse macrophage cell viability</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_Toc82882397 \h </w:instrText>
            </w:r>
            <w:r w:rsidR="00FB2FD3" w:rsidRPr="003C0E2F">
              <w:rPr>
                <w:noProof/>
                <w:webHidden/>
              </w:rPr>
            </w:r>
            <w:r w:rsidR="00FB2FD3" w:rsidRPr="003C0E2F">
              <w:rPr>
                <w:noProof/>
                <w:webHidden/>
              </w:rPr>
              <w:fldChar w:fldCharType="separate"/>
            </w:r>
            <w:r w:rsidR="000F2276">
              <w:rPr>
                <w:noProof/>
                <w:webHidden/>
              </w:rPr>
              <w:t>110</w:t>
            </w:r>
            <w:r w:rsidR="00FB2FD3" w:rsidRPr="003C0E2F">
              <w:rPr>
                <w:noProof/>
                <w:webHidden/>
              </w:rPr>
              <w:fldChar w:fldCharType="end"/>
            </w:r>
          </w:hyperlink>
        </w:p>
        <w:p w14:paraId="458A5DF2" w14:textId="3D76A390" w:rsidR="00FB2FD3" w:rsidRPr="003C0E2F" w:rsidRDefault="00BB038D">
          <w:pPr>
            <w:pStyle w:val="TOC3"/>
            <w:tabs>
              <w:tab w:val="left" w:pos="1320"/>
              <w:tab w:val="right" w:leader="dot" w:pos="9016"/>
            </w:tabs>
            <w:rPr>
              <w:rFonts w:cstheme="minorBidi"/>
              <w:noProof/>
            </w:rPr>
          </w:pPr>
          <w:hyperlink w:anchor="_Toc82882398" w:history="1">
            <w:r w:rsidR="00FB2FD3" w:rsidRPr="003C0E2F">
              <w:rPr>
                <w:rStyle w:val="Hyperlink"/>
                <w:noProof/>
                <w:color w:val="auto"/>
              </w:rPr>
              <w:t>4.2.2.</w:t>
            </w:r>
            <w:r w:rsidR="00FB2FD3" w:rsidRPr="003C0E2F">
              <w:rPr>
                <w:rFonts w:cstheme="minorBidi"/>
                <w:noProof/>
              </w:rPr>
              <w:tab/>
            </w:r>
            <w:r w:rsidR="00FB2FD3" w:rsidRPr="003C0E2F">
              <w:rPr>
                <w:rStyle w:val="Hyperlink"/>
                <w:noProof/>
                <w:color w:val="auto"/>
              </w:rPr>
              <w:t>FP7 negatively regulates the production of TLR4-dependent IL-6 but not KC in RAW264 mouse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_Toc82882398 \h </w:instrText>
            </w:r>
            <w:r w:rsidR="00FB2FD3" w:rsidRPr="003C0E2F">
              <w:rPr>
                <w:noProof/>
                <w:webHidden/>
              </w:rPr>
            </w:r>
            <w:r w:rsidR="00FB2FD3" w:rsidRPr="003C0E2F">
              <w:rPr>
                <w:noProof/>
                <w:webHidden/>
              </w:rPr>
              <w:fldChar w:fldCharType="separate"/>
            </w:r>
            <w:r w:rsidR="000F2276">
              <w:rPr>
                <w:noProof/>
                <w:webHidden/>
              </w:rPr>
              <w:t>111</w:t>
            </w:r>
            <w:r w:rsidR="00FB2FD3" w:rsidRPr="003C0E2F">
              <w:rPr>
                <w:noProof/>
                <w:webHidden/>
              </w:rPr>
              <w:fldChar w:fldCharType="end"/>
            </w:r>
          </w:hyperlink>
        </w:p>
        <w:p w14:paraId="6842D5F8" w14:textId="05775C99" w:rsidR="00FB2FD3" w:rsidRPr="003C0E2F" w:rsidRDefault="00BB038D">
          <w:pPr>
            <w:pStyle w:val="TOC3"/>
            <w:tabs>
              <w:tab w:val="left" w:pos="1320"/>
              <w:tab w:val="right" w:leader="dot" w:pos="9016"/>
            </w:tabs>
            <w:rPr>
              <w:rFonts w:cstheme="minorBidi"/>
              <w:noProof/>
            </w:rPr>
          </w:pPr>
          <w:hyperlink w:anchor="_Toc82882399" w:history="1">
            <w:r w:rsidR="00FB2FD3" w:rsidRPr="003C0E2F">
              <w:rPr>
                <w:rStyle w:val="Hyperlink"/>
                <w:noProof/>
                <w:color w:val="auto"/>
              </w:rPr>
              <w:t>4.2.3.</w:t>
            </w:r>
            <w:r w:rsidR="00FB2FD3" w:rsidRPr="003C0E2F">
              <w:rPr>
                <w:rFonts w:cstheme="minorBidi"/>
                <w:noProof/>
              </w:rPr>
              <w:tab/>
            </w:r>
            <w:r w:rsidR="00FB2FD3" w:rsidRPr="003C0E2F">
              <w:rPr>
                <w:rStyle w:val="Hyperlink"/>
                <w:noProof/>
                <w:color w:val="auto"/>
              </w:rPr>
              <w:t>FP7 differentially modulates activation of TLR4 signalling pathways in RAW264 mouse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_Toc82882399 \h </w:instrText>
            </w:r>
            <w:r w:rsidR="00FB2FD3" w:rsidRPr="003C0E2F">
              <w:rPr>
                <w:noProof/>
                <w:webHidden/>
              </w:rPr>
            </w:r>
            <w:r w:rsidR="00FB2FD3" w:rsidRPr="003C0E2F">
              <w:rPr>
                <w:noProof/>
                <w:webHidden/>
              </w:rPr>
              <w:fldChar w:fldCharType="separate"/>
            </w:r>
            <w:r w:rsidR="000F2276">
              <w:rPr>
                <w:noProof/>
                <w:webHidden/>
              </w:rPr>
              <w:t>112</w:t>
            </w:r>
            <w:r w:rsidR="00FB2FD3" w:rsidRPr="003C0E2F">
              <w:rPr>
                <w:noProof/>
                <w:webHidden/>
              </w:rPr>
              <w:fldChar w:fldCharType="end"/>
            </w:r>
          </w:hyperlink>
        </w:p>
        <w:p w14:paraId="671768C1" w14:textId="4EAF2870" w:rsidR="00FB2FD3" w:rsidRPr="003C0E2F" w:rsidRDefault="00BB038D">
          <w:pPr>
            <w:pStyle w:val="TOC3"/>
            <w:tabs>
              <w:tab w:val="left" w:pos="1320"/>
              <w:tab w:val="right" w:leader="dot" w:pos="9016"/>
            </w:tabs>
            <w:rPr>
              <w:rFonts w:cstheme="minorBidi"/>
              <w:noProof/>
            </w:rPr>
          </w:pPr>
          <w:hyperlink w:anchor="_Toc82882400" w:history="1">
            <w:r w:rsidR="00FB2FD3" w:rsidRPr="003C0E2F">
              <w:rPr>
                <w:rStyle w:val="Hyperlink"/>
                <w:noProof/>
                <w:color w:val="auto"/>
              </w:rPr>
              <w:t>4.2.4.</w:t>
            </w:r>
            <w:r w:rsidR="00FB2FD3" w:rsidRPr="003C0E2F">
              <w:rPr>
                <w:rFonts w:cstheme="minorBidi"/>
                <w:noProof/>
              </w:rPr>
              <w:tab/>
            </w:r>
            <w:r w:rsidR="00FB2FD3" w:rsidRPr="003C0E2F">
              <w:rPr>
                <w:rStyle w:val="Hyperlink"/>
                <w:noProof/>
                <w:color w:val="auto"/>
              </w:rPr>
              <w:t>Summary</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_Toc82882400 \h </w:instrText>
            </w:r>
            <w:r w:rsidR="00FB2FD3" w:rsidRPr="003C0E2F">
              <w:rPr>
                <w:noProof/>
                <w:webHidden/>
              </w:rPr>
            </w:r>
            <w:r w:rsidR="00FB2FD3" w:rsidRPr="003C0E2F">
              <w:rPr>
                <w:noProof/>
                <w:webHidden/>
              </w:rPr>
              <w:fldChar w:fldCharType="separate"/>
            </w:r>
            <w:r w:rsidR="000F2276">
              <w:rPr>
                <w:noProof/>
                <w:webHidden/>
              </w:rPr>
              <w:t>115</w:t>
            </w:r>
            <w:r w:rsidR="00FB2FD3" w:rsidRPr="003C0E2F">
              <w:rPr>
                <w:noProof/>
                <w:webHidden/>
              </w:rPr>
              <w:fldChar w:fldCharType="end"/>
            </w:r>
          </w:hyperlink>
        </w:p>
        <w:p w14:paraId="081A8FE7" w14:textId="4E664787" w:rsidR="00FB2FD3" w:rsidRPr="003C0E2F" w:rsidRDefault="00BB038D">
          <w:pPr>
            <w:pStyle w:val="TOC2"/>
            <w:tabs>
              <w:tab w:val="left" w:pos="880"/>
              <w:tab w:val="right" w:leader="dot" w:pos="9016"/>
            </w:tabs>
            <w:rPr>
              <w:rFonts w:cstheme="minorBidi"/>
              <w:noProof/>
            </w:rPr>
          </w:pPr>
          <w:hyperlink w:anchor="_Toc82882401" w:history="1">
            <w:r w:rsidR="00FB2FD3" w:rsidRPr="003C0E2F">
              <w:rPr>
                <w:rStyle w:val="Hyperlink"/>
                <w:noProof/>
                <w:color w:val="auto"/>
              </w:rPr>
              <w:t>4.3.</w:t>
            </w:r>
            <w:r w:rsidR="00FB2FD3" w:rsidRPr="003C0E2F">
              <w:rPr>
                <w:rFonts w:cstheme="minorBidi"/>
                <w:noProof/>
              </w:rPr>
              <w:tab/>
            </w:r>
            <w:r w:rsidR="00FB2FD3" w:rsidRPr="003C0E2F">
              <w:rPr>
                <w:rStyle w:val="Hyperlink"/>
                <w:noProof/>
                <w:color w:val="auto"/>
              </w:rPr>
              <w:t>FP synthetic glycolipids can modulate TRIF-dependent TLR4 signalling in THP-1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_Toc82882401 \h </w:instrText>
            </w:r>
            <w:r w:rsidR="00FB2FD3" w:rsidRPr="003C0E2F">
              <w:rPr>
                <w:noProof/>
                <w:webHidden/>
              </w:rPr>
            </w:r>
            <w:r w:rsidR="00FB2FD3" w:rsidRPr="003C0E2F">
              <w:rPr>
                <w:noProof/>
                <w:webHidden/>
              </w:rPr>
              <w:fldChar w:fldCharType="separate"/>
            </w:r>
            <w:r w:rsidR="000F2276">
              <w:rPr>
                <w:noProof/>
                <w:webHidden/>
              </w:rPr>
              <w:t>116</w:t>
            </w:r>
            <w:r w:rsidR="00FB2FD3" w:rsidRPr="003C0E2F">
              <w:rPr>
                <w:noProof/>
                <w:webHidden/>
              </w:rPr>
              <w:fldChar w:fldCharType="end"/>
            </w:r>
          </w:hyperlink>
        </w:p>
        <w:p w14:paraId="7E0F57F2" w14:textId="6B6A75AC" w:rsidR="00FB2FD3" w:rsidRPr="003C0E2F" w:rsidRDefault="00BB038D">
          <w:pPr>
            <w:pStyle w:val="TOC3"/>
            <w:tabs>
              <w:tab w:val="left" w:pos="1320"/>
              <w:tab w:val="right" w:leader="dot" w:pos="9016"/>
            </w:tabs>
            <w:rPr>
              <w:rFonts w:cstheme="minorBidi"/>
              <w:noProof/>
            </w:rPr>
          </w:pPr>
          <w:hyperlink w:anchor="_Toc82882402" w:history="1">
            <w:r w:rsidR="00FB2FD3" w:rsidRPr="003C0E2F">
              <w:rPr>
                <w:rStyle w:val="Hyperlink"/>
                <w:noProof/>
                <w:color w:val="auto"/>
              </w:rPr>
              <w:t>4.3.1.</w:t>
            </w:r>
            <w:r w:rsidR="00FB2FD3" w:rsidRPr="003C0E2F">
              <w:rPr>
                <w:rFonts w:cstheme="minorBidi"/>
                <w:noProof/>
              </w:rPr>
              <w:tab/>
            </w:r>
            <w:r w:rsidR="00FB2FD3" w:rsidRPr="003C0E2F">
              <w:rPr>
                <w:rStyle w:val="Hyperlink"/>
                <w:noProof/>
                <w:color w:val="auto"/>
              </w:rPr>
              <w:t>LPS variants differentially activate TRIF-dependent signalling in THP-1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_Toc82882402 \h </w:instrText>
            </w:r>
            <w:r w:rsidR="00FB2FD3" w:rsidRPr="003C0E2F">
              <w:rPr>
                <w:noProof/>
                <w:webHidden/>
              </w:rPr>
            </w:r>
            <w:r w:rsidR="00FB2FD3" w:rsidRPr="003C0E2F">
              <w:rPr>
                <w:noProof/>
                <w:webHidden/>
              </w:rPr>
              <w:fldChar w:fldCharType="separate"/>
            </w:r>
            <w:r w:rsidR="000F2276">
              <w:rPr>
                <w:noProof/>
                <w:webHidden/>
              </w:rPr>
              <w:t>117</w:t>
            </w:r>
            <w:r w:rsidR="00FB2FD3" w:rsidRPr="003C0E2F">
              <w:rPr>
                <w:noProof/>
                <w:webHidden/>
              </w:rPr>
              <w:fldChar w:fldCharType="end"/>
            </w:r>
          </w:hyperlink>
        </w:p>
        <w:p w14:paraId="2DADE69C" w14:textId="728CA8C9" w:rsidR="00FB2FD3" w:rsidRPr="003C0E2F" w:rsidRDefault="00BB038D">
          <w:pPr>
            <w:pStyle w:val="TOC3"/>
            <w:tabs>
              <w:tab w:val="left" w:pos="1320"/>
              <w:tab w:val="right" w:leader="dot" w:pos="9016"/>
            </w:tabs>
            <w:rPr>
              <w:rFonts w:cstheme="minorBidi"/>
              <w:noProof/>
            </w:rPr>
          </w:pPr>
          <w:hyperlink w:anchor="_Toc82882403" w:history="1">
            <w:r w:rsidR="00FB2FD3" w:rsidRPr="003C0E2F">
              <w:rPr>
                <w:rStyle w:val="Hyperlink"/>
                <w:noProof/>
                <w:color w:val="auto"/>
              </w:rPr>
              <w:t>4.3.2.</w:t>
            </w:r>
            <w:r w:rsidR="00FB2FD3" w:rsidRPr="003C0E2F">
              <w:rPr>
                <w:rFonts w:cstheme="minorBidi"/>
                <w:noProof/>
              </w:rPr>
              <w:tab/>
            </w:r>
            <w:r w:rsidR="00FB2FD3" w:rsidRPr="003C0E2F">
              <w:rPr>
                <w:rStyle w:val="Hyperlink"/>
                <w:noProof/>
                <w:color w:val="auto"/>
              </w:rPr>
              <w:t>FP7 and FP12 negatively regulate TRIF-dependent TBK1 phosphorylation in THP-1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_Toc82882403 \h </w:instrText>
            </w:r>
            <w:r w:rsidR="00FB2FD3" w:rsidRPr="003C0E2F">
              <w:rPr>
                <w:noProof/>
                <w:webHidden/>
              </w:rPr>
            </w:r>
            <w:r w:rsidR="00FB2FD3" w:rsidRPr="003C0E2F">
              <w:rPr>
                <w:noProof/>
                <w:webHidden/>
              </w:rPr>
              <w:fldChar w:fldCharType="separate"/>
            </w:r>
            <w:r w:rsidR="000F2276">
              <w:rPr>
                <w:noProof/>
                <w:webHidden/>
              </w:rPr>
              <w:t>124</w:t>
            </w:r>
            <w:r w:rsidR="00FB2FD3" w:rsidRPr="003C0E2F">
              <w:rPr>
                <w:noProof/>
                <w:webHidden/>
              </w:rPr>
              <w:fldChar w:fldCharType="end"/>
            </w:r>
          </w:hyperlink>
        </w:p>
        <w:p w14:paraId="0374C6B7" w14:textId="7D0BB2E7" w:rsidR="00FB2FD3" w:rsidRPr="003C0E2F" w:rsidRDefault="00BB038D">
          <w:pPr>
            <w:pStyle w:val="TOC3"/>
            <w:tabs>
              <w:tab w:val="left" w:pos="1320"/>
              <w:tab w:val="right" w:leader="dot" w:pos="9016"/>
            </w:tabs>
            <w:rPr>
              <w:rFonts w:cstheme="minorBidi"/>
              <w:noProof/>
            </w:rPr>
          </w:pPr>
          <w:hyperlink w:anchor="_Toc82882404" w:history="1">
            <w:r w:rsidR="00FB2FD3" w:rsidRPr="003C0E2F">
              <w:rPr>
                <w:rStyle w:val="Hyperlink"/>
                <w:noProof/>
                <w:color w:val="auto"/>
              </w:rPr>
              <w:t>4.3.3.</w:t>
            </w:r>
            <w:r w:rsidR="00FB2FD3" w:rsidRPr="003C0E2F">
              <w:rPr>
                <w:rFonts w:cstheme="minorBidi"/>
                <w:noProof/>
              </w:rPr>
              <w:tab/>
            </w:r>
            <w:r w:rsidR="00FB2FD3" w:rsidRPr="003C0E2F">
              <w:rPr>
                <w:rStyle w:val="Hyperlink"/>
                <w:noProof/>
                <w:color w:val="auto"/>
              </w:rPr>
              <w:t>FP7 and FP12 negatively regulate LPS-induced IP10 and IFNβ production in THP-1 macrophages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_Toc82882404 \h </w:instrText>
            </w:r>
            <w:r w:rsidR="00FB2FD3" w:rsidRPr="003C0E2F">
              <w:rPr>
                <w:noProof/>
                <w:webHidden/>
              </w:rPr>
            </w:r>
            <w:r w:rsidR="00FB2FD3" w:rsidRPr="003C0E2F">
              <w:rPr>
                <w:noProof/>
                <w:webHidden/>
              </w:rPr>
              <w:fldChar w:fldCharType="separate"/>
            </w:r>
            <w:r w:rsidR="000F2276">
              <w:rPr>
                <w:noProof/>
                <w:webHidden/>
              </w:rPr>
              <w:t>125</w:t>
            </w:r>
            <w:r w:rsidR="00FB2FD3" w:rsidRPr="003C0E2F">
              <w:rPr>
                <w:noProof/>
                <w:webHidden/>
              </w:rPr>
              <w:fldChar w:fldCharType="end"/>
            </w:r>
          </w:hyperlink>
        </w:p>
        <w:p w14:paraId="31F81E5E" w14:textId="2CEEADA0" w:rsidR="00FB2FD3" w:rsidRPr="003C0E2F" w:rsidRDefault="00BB038D">
          <w:pPr>
            <w:pStyle w:val="TOC3"/>
            <w:tabs>
              <w:tab w:val="left" w:pos="1320"/>
              <w:tab w:val="right" w:leader="dot" w:pos="9016"/>
            </w:tabs>
            <w:rPr>
              <w:rFonts w:cstheme="minorBidi"/>
              <w:noProof/>
            </w:rPr>
          </w:pPr>
          <w:hyperlink w:anchor="_Toc82882405" w:history="1">
            <w:r w:rsidR="00FB2FD3" w:rsidRPr="003C0E2F">
              <w:rPr>
                <w:rStyle w:val="Hyperlink"/>
                <w:noProof/>
                <w:color w:val="auto"/>
              </w:rPr>
              <w:t>4.3.4.</w:t>
            </w:r>
            <w:r w:rsidR="00FB2FD3" w:rsidRPr="003C0E2F">
              <w:rPr>
                <w:rFonts w:cstheme="minorBidi"/>
                <w:noProof/>
              </w:rPr>
              <w:tab/>
            </w:r>
            <w:r w:rsidR="00FB2FD3" w:rsidRPr="003C0E2F">
              <w:rPr>
                <w:rStyle w:val="Hyperlink"/>
                <w:noProof/>
                <w:color w:val="auto"/>
              </w:rPr>
              <w:t>FP7 and FP12 negatively regulate IFNAR signalling via TLR4</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_Toc82882405 \h </w:instrText>
            </w:r>
            <w:r w:rsidR="00FB2FD3" w:rsidRPr="003C0E2F">
              <w:rPr>
                <w:noProof/>
                <w:webHidden/>
              </w:rPr>
            </w:r>
            <w:r w:rsidR="00FB2FD3" w:rsidRPr="003C0E2F">
              <w:rPr>
                <w:noProof/>
                <w:webHidden/>
              </w:rPr>
              <w:fldChar w:fldCharType="separate"/>
            </w:r>
            <w:r w:rsidR="000F2276">
              <w:rPr>
                <w:noProof/>
                <w:webHidden/>
              </w:rPr>
              <w:t>128</w:t>
            </w:r>
            <w:r w:rsidR="00FB2FD3" w:rsidRPr="003C0E2F">
              <w:rPr>
                <w:noProof/>
                <w:webHidden/>
              </w:rPr>
              <w:fldChar w:fldCharType="end"/>
            </w:r>
          </w:hyperlink>
        </w:p>
        <w:p w14:paraId="16B1C55B" w14:textId="7E25FB5B" w:rsidR="00FB2FD3" w:rsidRPr="003C0E2F" w:rsidRDefault="00BB038D">
          <w:pPr>
            <w:pStyle w:val="TOC3"/>
            <w:tabs>
              <w:tab w:val="left" w:pos="1320"/>
              <w:tab w:val="right" w:leader="dot" w:pos="9016"/>
            </w:tabs>
            <w:rPr>
              <w:rFonts w:cstheme="minorBidi"/>
              <w:noProof/>
            </w:rPr>
          </w:pPr>
          <w:hyperlink w:anchor="_Toc82882406" w:history="1">
            <w:r w:rsidR="00FB2FD3" w:rsidRPr="003C0E2F">
              <w:rPr>
                <w:rStyle w:val="Hyperlink"/>
                <w:noProof/>
                <w:color w:val="auto"/>
              </w:rPr>
              <w:t>4.3.5.</w:t>
            </w:r>
            <w:r w:rsidR="00FB2FD3" w:rsidRPr="003C0E2F">
              <w:rPr>
                <w:rFonts w:cstheme="minorBidi"/>
                <w:noProof/>
              </w:rPr>
              <w:tab/>
            </w:r>
            <w:r w:rsidR="00FB2FD3" w:rsidRPr="003C0E2F">
              <w:rPr>
                <w:rStyle w:val="Hyperlink"/>
                <w:noProof/>
                <w:color w:val="auto"/>
              </w:rPr>
              <w:t>IFNAR blocking antibody inhibits activation of FP11 and FP18 induced-STAT-1 phosphorylation</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_Toc82882406 \h </w:instrText>
            </w:r>
            <w:r w:rsidR="00FB2FD3" w:rsidRPr="003C0E2F">
              <w:rPr>
                <w:noProof/>
                <w:webHidden/>
              </w:rPr>
            </w:r>
            <w:r w:rsidR="00FB2FD3" w:rsidRPr="003C0E2F">
              <w:rPr>
                <w:noProof/>
                <w:webHidden/>
              </w:rPr>
              <w:fldChar w:fldCharType="separate"/>
            </w:r>
            <w:r w:rsidR="000F2276">
              <w:rPr>
                <w:noProof/>
                <w:webHidden/>
              </w:rPr>
              <w:t>138</w:t>
            </w:r>
            <w:r w:rsidR="00FB2FD3" w:rsidRPr="003C0E2F">
              <w:rPr>
                <w:noProof/>
                <w:webHidden/>
              </w:rPr>
              <w:fldChar w:fldCharType="end"/>
            </w:r>
          </w:hyperlink>
        </w:p>
        <w:p w14:paraId="3CECF94B" w14:textId="449574D0" w:rsidR="00FB2FD3" w:rsidRPr="003C0E2F" w:rsidRDefault="00BB038D">
          <w:pPr>
            <w:pStyle w:val="TOC3"/>
            <w:tabs>
              <w:tab w:val="left" w:pos="1320"/>
              <w:tab w:val="right" w:leader="dot" w:pos="9016"/>
            </w:tabs>
            <w:rPr>
              <w:rFonts w:cstheme="minorBidi"/>
              <w:noProof/>
            </w:rPr>
          </w:pPr>
          <w:hyperlink w:anchor="_Toc82882407" w:history="1">
            <w:r w:rsidR="00FB2FD3" w:rsidRPr="003C0E2F">
              <w:rPr>
                <w:rStyle w:val="Hyperlink"/>
                <w:noProof/>
                <w:color w:val="auto"/>
              </w:rPr>
              <w:t>4.3.6.</w:t>
            </w:r>
            <w:r w:rsidR="00FB2FD3" w:rsidRPr="003C0E2F">
              <w:rPr>
                <w:rFonts w:cstheme="minorBidi"/>
                <w:noProof/>
              </w:rPr>
              <w:tab/>
            </w:r>
            <w:r w:rsidR="00FB2FD3" w:rsidRPr="003C0E2F">
              <w:rPr>
                <w:rStyle w:val="Hyperlink"/>
                <w:noProof/>
                <w:color w:val="auto"/>
              </w:rPr>
              <w:t>Summary</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_Toc82882407 \h </w:instrText>
            </w:r>
            <w:r w:rsidR="00FB2FD3" w:rsidRPr="003C0E2F">
              <w:rPr>
                <w:noProof/>
                <w:webHidden/>
              </w:rPr>
            </w:r>
            <w:r w:rsidR="00FB2FD3" w:rsidRPr="003C0E2F">
              <w:rPr>
                <w:noProof/>
                <w:webHidden/>
              </w:rPr>
              <w:fldChar w:fldCharType="separate"/>
            </w:r>
            <w:r w:rsidR="000F2276">
              <w:rPr>
                <w:noProof/>
                <w:webHidden/>
              </w:rPr>
              <w:t>139</w:t>
            </w:r>
            <w:r w:rsidR="00FB2FD3" w:rsidRPr="003C0E2F">
              <w:rPr>
                <w:noProof/>
                <w:webHidden/>
              </w:rPr>
              <w:fldChar w:fldCharType="end"/>
            </w:r>
          </w:hyperlink>
        </w:p>
        <w:p w14:paraId="6A2485CA" w14:textId="3D1C59E1" w:rsidR="00FB2FD3" w:rsidRPr="003C0E2F" w:rsidRDefault="00BB038D">
          <w:pPr>
            <w:pStyle w:val="TOC1"/>
            <w:rPr>
              <w:rFonts w:cstheme="minorBidi"/>
              <w:noProof/>
            </w:rPr>
          </w:pPr>
          <w:hyperlink w:anchor="_Toc82882408" w:history="1">
            <w:r w:rsidR="00FB2FD3" w:rsidRPr="003C0E2F">
              <w:rPr>
                <w:rStyle w:val="Hyperlink"/>
                <w:noProof/>
                <w:color w:val="auto"/>
              </w:rPr>
              <w:t>5.</w:t>
            </w:r>
            <w:r w:rsidR="00FB2FD3" w:rsidRPr="003C0E2F">
              <w:rPr>
                <w:rFonts w:cstheme="minorBidi"/>
                <w:noProof/>
              </w:rPr>
              <w:tab/>
            </w:r>
            <w:r w:rsidR="00FB2FD3" w:rsidRPr="003C0E2F">
              <w:rPr>
                <w:rStyle w:val="Hyperlink"/>
                <w:noProof/>
                <w:color w:val="auto"/>
              </w:rPr>
              <w:t>Discussion</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_Toc82882408 \h </w:instrText>
            </w:r>
            <w:r w:rsidR="00FB2FD3" w:rsidRPr="003C0E2F">
              <w:rPr>
                <w:noProof/>
                <w:webHidden/>
              </w:rPr>
            </w:r>
            <w:r w:rsidR="00FB2FD3" w:rsidRPr="003C0E2F">
              <w:rPr>
                <w:noProof/>
                <w:webHidden/>
              </w:rPr>
              <w:fldChar w:fldCharType="separate"/>
            </w:r>
            <w:r w:rsidR="000F2276">
              <w:rPr>
                <w:noProof/>
                <w:webHidden/>
              </w:rPr>
              <w:t>140</w:t>
            </w:r>
            <w:r w:rsidR="00FB2FD3" w:rsidRPr="003C0E2F">
              <w:rPr>
                <w:noProof/>
                <w:webHidden/>
              </w:rPr>
              <w:fldChar w:fldCharType="end"/>
            </w:r>
          </w:hyperlink>
        </w:p>
        <w:p w14:paraId="162D8488" w14:textId="313A9397" w:rsidR="00FB2FD3" w:rsidRPr="003C0E2F" w:rsidRDefault="00BB038D">
          <w:pPr>
            <w:pStyle w:val="TOC2"/>
            <w:tabs>
              <w:tab w:val="left" w:pos="880"/>
              <w:tab w:val="right" w:leader="dot" w:pos="9016"/>
            </w:tabs>
            <w:rPr>
              <w:rFonts w:cstheme="minorBidi"/>
              <w:noProof/>
            </w:rPr>
          </w:pPr>
          <w:hyperlink w:anchor="_Toc82882409" w:history="1">
            <w:r w:rsidR="00FB2FD3" w:rsidRPr="003C0E2F">
              <w:rPr>
                <w:rStyle w:val="Hyperlink"/>
                <w:noProof/>
                <w:color w:val="auto"/>
              </w:rPr>
              <w:t>5.1.</w:t>
            </w:r>
            <w:r w:rsidR="00FB2FD3" w:rsidRPr="003C0E2F">
              <w:rPr>
                <w:rFonts w:cstheme="minorBidi"/>
                <w:noProof/>
              </w:rPr>
              <w:tab/>
            </w:r>
            <w:r w:rsidR="00FB2FD3" w:rsidRPr="003C0E2F">
              <w:rPr>
                <w:rStyle w:val="Hyperlink"/>
                <w:noProof/>
                <w:color w:val="auto"/>
              </w:rPr>
              <w:t>Screening and identification of potential FP targets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_Toc82882409 \h </w:instrText>
            </w:r>
            <w:r w:rsidR="00FB2FD3" w:rsidRPr="003C0E2F">
              <w:rPr>
                <w:noProof/>
                <w:webHidden/>
              </w:rPr>
            </w:r>
            <w:r w:rsidR="00FB2FD3" w:rsidRPr="003C0E2F">
              <w:rPr>
                <w:noProof/>
                <w:webHidden/>
              </w:rPr>
              <w:fldChar w:fldCharType="separate"/>
            </w:r>
            <w:r w:rsidR="000F2276">
              <w:rPr>
                <w:noProof/>
                <w:webHidden/>
              </w:rPr>
              <w:t>142</w:t>
            </w:r>
            <w:r w:rsidR="00FB2FD3" w:rsidRPr="003C0E2F">
              <w:rPr>
                <w:noProof/>
                <w:webHidden/>
              </w:rPr>
              <w:fldChar w:fldCharType="end"/>
            </w:r>
          </w:hyperlink>
        </w:p>
        <w:p w14:paraId="6B420954" w14:textId="4BD0F0AD" w:rsidR="00FB2FD3" w:rsidRPr="003C0E2F" w:rsidRDefault="00BB038D">
          <w:pPr>
            <w:pStyle w:val="TOC2"/>
            <w:tabs>
              <w:tab w:val="left" w:pos="880"/>
              <w:tab w:val="right" w:leader="dot" w:pos="9016"/>
            </w:tabs>
            <w:rPr>
              <w:rFonts w:cstheme="minorBidi"/>
              <w:noProof/>
            </w:rPr>
          </w:pPr>
          <w:hyperlink w:anchor="_Toc82882410" w:history="1">
            <w:r w:rsidR="00FB2FD3" w:rsidRPr="003C0E2F">
              <w:rPr>
                <w:rStyle w:val="Hyperlink"/>
                <w:noProof/>
                <w:color w:val="auto"/>
              </w:rPr>
              <w:t>5.2.</w:t>
            </w:r>
            <w:r w:rsidR="00FB2FD3" w:rsidRPr="003C0E2F">
              <w:rPr>
                <w:rFonts w:cstheme="minorBidi"/>
                <w:noProof/>
              </w:rPr>
              <w:tab/>
            </w:r>
            <w:r w:rsidR="00FB2FD3" w:rsidRPr="003C0E2F">
              <w:rPr>
                <w:rStyle w:val="Hyperlink"/>
                <w:noProof/>
                <w:color w:val="auto"/>
              </w:rPr>
              <w:t>FP7 and FP12 function as antagonists in MyD88-dependent TLR4 signalling</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_Toc82882410 \h </w:instrText>
            </w:r>
            <w:r w:rsidR="00FB2FD3" w:rsidRPr="003C0E2F">
              <w:rPr>
                <w:noProof/>
                <w:webHidden/>
              </w:rPr>
            </w:r>
            <w:r w:rsidR="00FB2FD3" w:rsidRPr="003C0E2F">
              <w:rPr>
                <w:noProof/>
                <w:webHidden/>
              </w:rPr>
              <w:fldChar w:fldCharType="separate"/>
            </w:r>
            <w:r w:rsidR="000F2276">
              <w:rPr>
                <w:noProof/>
                <w:webHidden/>
              </w:rPr>
              <w:t>144</w:t>
            </w:r>
            <w:r w:rsidR="00FB2FD3" w:rsidRPr="003C0E2F">
              <w:rPr>
                <w:noProof/>
                <w:webHidden/>
              </w:rPr>
              <w:fldChar w:fldCharType="end"/>
            </w:r>
          </w:hyperlink>
        </w:p>
        <w:p w14:paraId="5F6CD6FF" w14:textId="103702A0" w:rsidR="00FB2FD3" w:rsidRPr="003C0E2F" w:rsidRDefault="00BB038D">
          <w:pPr>
            <w:pStyle w:val="TOC2"/>
            <w:tabs>
              <w:tab w:val="left" w:pos="880"/>
              <w:tab w:val="right" w:leader="dot" w:pos="9016"/>
            </w:tabs>
            <w:rPr>
              <w:rFonts w:cstheme="minorBidi"/>
              <w:noProof/>
            </w:rPr>
          </w:pPr>
          <w:hyperlink w:anchor="_Toc82882411" w:history="1">
            <w:r w:rsidR="00FB2FD3" w:rsidRPr="003C0E2F">
              <w:rPr>
                <w:rStyle w:val="Hyperlink"/>
                <w:noProof/>
                <w:color w:val="auto"/>
              </w:rPr>
              <w:t>5.3.</w:t>
            </w:r>
            <w:r w:rsidR="00FB2FD3" w:rsidRPr="003C0E2F">
              <w:rPr>
                <w:rFonts w:cstheme="minorBidi"/>
                <w:noProof/>
              </w:rPr>
              <w:tab/>
            </w:r>
            <w:r w:rsidR="00FB2FD3" w:rsidRPr="003C0E2F">
              <w:rPr>
                <w:rStyle w:val="Hyperlink"/>
                <w:noProof/>
                <w:color w:val="auto"/>
              </w:rPr>
              <w:t>FP7 negatively regulates TLR4 signalling in response to ligands of sterile Inflammation</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_Toc82882411 \h </w:instrText>
            </w:r>
            <w:r w:rsidR="00FB2FD3" w:rsidRPr="003C0E2F">
              <w:rPr>
                <w:noProof/>
                <w:webHidden/>
              </w:rPr>
            </w:r>
            <w:r w:rsidR="00FB2FD3" w:rsidRPr="003C0E2F">
              <w:rPr>
                <w:noProof/>
                <w:webHidden/>
              </w:rPr>
              <w:fldChar w:fldCharType="separate"/>
            </w:r>
            <w:r w:rsidR="000F2276">
              <w:rPr>
                <w:noProof/>
                <w:webHidden/>
              </w:rPr>
              <w:t>148</w:t>
            </w:r>
            <w:r w:rsidR="00FB2FD3" w:rsidRPr="003C0E2F">
              <w:rPr>
                <w:noProof/>
                <w:webHidden/>
              </w:rPr>
              <w:fldChar w:fldCharType="end"/>
            </w:r>
          </w:hyperlink>
        </w:p>
        <w:p w14:paraId="6D80DBA9" w14:textId="3D8A7F3B" w:rsidR="00FB2FD3" w:rsidRPr="003C0E2F" w:rsidRDefault="00BB038D">
          <w:pPr>
            <w:pStyle w:val="TOC2"/>
            <w:tabs>
              <w:tab w:val="left" w:pos="880"/>
              <w:tab w:val="right" w:leader="dot" w:pos="9016"/>
            </w:tabs>
            <w:rPr>
              <w:rFonts w:cstheme="minorBidi"/>
              <w:noProof/>
            </w:rPr>
          </w:pPr>
          <w:hyperlink w:anchor="_Toc82882412" w:history="1">
            <w:r w:rsidR="00FB2FD3" w:rsidRPr="003C0E2F">
              <w:rPr>
                <w:rStyle w:val="Hyperlink"/>
                <w:noProof/>
                <w:color w:val="auto"/>
              </w:rPr>
              <w:t>5.4.</w:t>
            </w:r>
            <w:r w:rsidR="00FB2FD3" w:rsidRPr="003C0E2F">
              <w:rPr>
                <w:rFonts w:cstheme="minorBidi"/>
                <w:noProof/>
              </w:rPr>
              <w:tab/>
            </w:r>
            <w:r w:rsidR="00FB2FD3" w:rsidRPr="003C0E2F">
              <w:rPr>
                <w:rStyle w:val="Hyperlink"/>
                <w:noProof/>
                <w:color w:val="auto"/>
              </w:rPr>
              <w:t>Comparability of FP7 effects between human and murine TLR4</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_Toc82882412 \h </w:instrText>
            </w:r>
            <w:r w:rsidR="00FB2FD3" w:rsidRPr="003C0E2F">
              <w:rPr>
                <w:noProof/>
                <w:webHidden/>
              </w:rPr>
            </w:r>
            <w:r w:rsidR="00FB2FD3" w:rsidRPr="003C0E2F">
              <w:rPr>
                <w:noProof/>
                <w:webHidden/>
              </w:rPr>
              <w:fldChar w:fldCharType="separate"/>
            </w:r>
            <w:r w:rsidR="000F2276">
              <w:rPr>
                <w:noProof/>
                <w:webHidden/>
              </w:rPr>
              <w:t>151</w:t>
            </w:r>
            <w:r w:rsidR="00FB2FD3" w:rsidRPr="003C0E2F">
              <w:rPr>
                <w:noProof/>
                <w:webHidden/>
              </w:rPr>
              <w:fldChar w:fldCharType="end"/>
            </w:r>
          </w:hyperlink>
        </w:p>
        <w:p w14:paraId="0377D93C" w14:textId="7D7A2AB1" w:rsidR="00FB2FD3" w:rsidRPr="003C0E2F" w:rsidRDefault="00BB038D">
          <w:pPr>
            <w:pStyle w:val="TOC2"/>
            <w:tabs>
              <w:tab w:val="left" w:pos="880"/>
              <w:tab w:val="right" w:leader="dot" w:pos="9016"/>
            </w:tabs>
            <w:rPr>
              <w:rFonts w:cstheme="minorBidi"/>
              <w:noProof/>
            </w:rPr>
          </w:pPr>
          <w:hyperlink w:anchor="_Toc82882413" w:history="1">
            <w:r w:rsidR="00FB2FD3" w:rsidRPr="003C0E2F">
              <w:rPr>
                <w:rStyle w:val="Hyperlink"/>
                <w:noProof/>
                <w:color w:val="auto"/>
              </w:rPr>
              <w:t>5.5.</w:t>
            </w:r>
            <w:r w:rsidR="00FB2FD3" w:rsidRPr="003C0E2F">
              <w:rPr>
                <w:rFonts w:cstheme="minorBidi"/>
                <w:noProof/>
              </w:rPr>
              <w:tab/>
            </w:r>
            <w:r w:rsidR="00FB2FD3" w:rsidRPr="003C0E2F">
              <w:rPr>
                <w:rStyle w:val="Hyperlink"/>
                <w:noProof/>
                <w:color w:val="auto"/>
              </w:rPr>
              <w:t>Differential effect of LPS from different bacterial strains on TLR4 signalling and link to antagonistic effects of FP compounds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_Toc82882413 \h </w:instrText>
            </w:r>
            <w:r w:rsidR="00FB2FD3" w:rsidRPr="003C0E2F">
              <w:rPr>
                <w:noProof/>
                <w:webHidden/>
              </w:rPr>
            </w:r>
            <w:r w:rsidR="00FB2FD3" w:rsidRPr="003C0E2F">
              <w:rPr>
                <w:noProof/>
                <w:webHidden/>
              </w:rPr>
              <w:fldChar w:fldCharType="separate"/>
            </w:r>
            <w:r w:rsidR="000F2276">
              <w:rPr>
                <w:noProof/>
                <w:webHidden/>
              </w:rPr>
              <w:t>153</w:t>
            </w:r>
            <w:r w:rsidR="00FB2FD3" w:rsidRPr="003C0E2F">
              <w:rPr>
                <w:noProof/>
                <w:webHidden/>
              </w:rPr>
              <w:fldChar w:fldCharType="end"/>
            </w:r>
          </w:hyperlink>
        </w:p>
        <w:p w14:paraId="27D58992" w14:textId="62556E4C" w:rsidR="00FB2FD3" w:rsidRPr="003C0E2F" w:rsidRDefault="00BB038D">
          <w:pPr>
            <w:pStyle w:val="TOC2"/>
            <w:tabs>
              <w:tab w:val="left" w:pos="880"/>
              <w:tab w:val="right" w:leader="dot" w:pos="9016"/>
            </w:tabs>
            <w:rPr>
              <w:rFonts w:cstheme="minorBidi"/>
              <w:noProof/>
            </w:rPr>
          </w:pPr>
          <w:hyperlink w:anchor="_Toc82882414" w:history="1">
            <w:r w:rsidR="00FB2FD3" w:rsidRPr="003C0E2F">
              <w:rPr>
                <w:rStyle w:val="Hyperlink"/>
                <w:noProof/>
                <w:color w:val="auto"/>
              </w:rPr>
              <w:t>5.6.</w:t>
            </w:r>
            <w:r w:rsidR="00FB2FD3" w:rsidRPr="003C0E2F">
              <w:rPr>
                <w:rFonts w:cstheme="minorBidi"/>
                <w:noProof/>
              </w:rPr>
              <w:tab/>
            </w:r>
            <w:r w:rsidR="00FB2FD3" w:rsidRPr="003C0E2F">
              <w:rPr>
                <w:rStyle w:val="Hyperlink"/>
                <w:noProof/>
                <w:color w:val="auto"/>
              </w:rPr>
              <w:t>FP7 and FP12 negatively regulate TRIF-dependent TLR4 signalling</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_Toc82882414 \h </w:instrText>
            </w:r>
            <w:r w:rsidR="00FB2FD3" w:rsidRPr="003C0E2F">
              <w:rPr>
                <w:noProof/>
                <w:webHidden/>
              </w:rPr>
            </w:r>
            <w:r w:rsidR="00FB2FD3" w:rsidRPr="003C0E2F">
              <w:rPr>
                <w:noProof/>
                <w:webHidden/>
              </w:rPr>
              <w:fldChar w:fldCharType="separate"/>
            </w:r>
            <w:r w:rsidR="000F2276">
              <w:rPr>
                <w:noProof/>
                <w:webHidden/>
              </w:rPr>
              <w:t>155</w:t>
            </w:r>
            <w:r w:rsidR="00FB2FD3" w:rsidRPr="003C0E2F">
              <w:rPr>
                <w:noProof/>
                <w:webHidden/>
              </w:rPr>
              <w:fldChar w:fldCharType="end"/>
            </w:r>
          </w:hyperlink>
        </w:p>
        <w:p w14:paraId="460B7769" w14:textId="656EB282" w:rsidR="00FB2FD3" w:rsidRPr="003C0E2F" w:rsidRDefault="00BB038D">
          <w:pPr>
            <w:pStyle w:val="TOC2"/>
            <w:tabs>
              <w:tab w:val="left" w:pos="880"/>
              <w:tab w:val="right" w:leader="dot" w:pos="9016"/>
            </w:tabs>
            <w:rPr>
              <w:rFonts w:cstheme="minorBidi"/>
              <w:noProof/>
            </w:rPr>
          </w:pPr>
          <w:hyperlink w:anchor="_Toc82882415" w:history="1">
            <w:r w:rsidR="00FB2FD3" w:rsidRPr="003C0E2F">
              <w:rPr>
                <w:rStyle w:val="Hyperlink"/>
                <w:noProof/>
                <w:color w:val="auto"/>
              </w:rPr>
              <w:t>5.7.</w:t>
            </w:r>
            <w:r w:rsidR="00FB2FD3" w:rsidRPr="003C0E2F">
              <w:rPr>
                <w:rFonts w:cstheme="minorBidi"/>
                <w:noProof/>
              </w:rPr>
              <w:tab/>
            </w:r>
            <w:r w:rsidR="00FB2FD3" w:rsidRPr="003C0E2F">
              <w:rPr>
                <w:rStyle w:val="Hyperlink"/>
                <w:noProof/>
                <w:color w:val="auto"/>
              </w:rPr>
              <w:t>FP11 and FP18 upregulate MyD88 and TRIF-dependent TLR4 signalling</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_Toc82882415 \h </w:instrText>
            </w:r>
            <w:r w:rsidR="00FB2FD3" w:rsidRPr="003C0E2F">
              <w:rPr>
                <w:noProof/>
                <w:webHidden/>
              </w:rPr>
            </w:r>
            <w:r w:rsidR="00FB2FD3" w:rsidRPr="003C0E2F">
              <w:rPr>
                <w:noProof/>
                <w:webHidden/>
              </w:rPr>
              <w:fldChar w:fldCharType="separate"/>
            </w:r>
            <w:r w:rsidR="000F2276">
              <w:rPr>
                <w:noProof/>
                <w:webHidden/>
              </w:rPr>
              <w:t>159</w:t>
            </w:r>
            <w:r w:rsidR="00FB2FD3" w:rsidRPr="003C0E2F">
              <w:rPr>
                <w:noProof/>
                <w:webHidden/>
              </w:rPr>
              <w:fldChar w:fldCharType="end"/>
            </w:r>
          </w:hyperlink>
        </w:p>
        <w:p w14:paraId="40F0DB06" w14:textId="6FEADEE3" w:rsidR="00FB2FD3" w:rsidRPr="003C0E2F" w:rsidRDefault="00BB038D">
          <w:pPr>
            <w:pStyle w:val="TOC2"/>
            <w:tabs>
              <w:tab w:val="left" w:pos="880"/>
              <w:tab w:val="right" w:leader="dot" w:pos="9016"/>
            </w:tabs>
            <w:rPr>
              <w:rFonts w:cstheme="minorBidi"/>
              <w:noProof/>
            </w:rPr>
          </w:pPr>
          <w:hyperlink w:anchor="_Toc82882416" w:history="1">
            <w:r w:rsidR="00FB2FD3" w:rsidRPr="003C0E2F">
              <w:rPr>
                <w:rStyle w:val="Hyperlink"/>
                <w:noProof/>
                <w:color w:val="auto"/>
              </w:rPr>
              <w:t>5.8.</w:t>
            </w:r>
            <w:r w:rsidR="00FB2FD3" w:rsidRPr="003C0E2F">
              <w:rPr>
                <w:rFonts w:cstheme="minorBidi"/>
                <w:noProof/>
              </w:rPr>
              <w:tab/>
            </w:r>
            <w:r w:rsidR="00FB2FD3" w:rsidRPr="003C0E2F">
              <w:rPr>
                <w:rStyle w:val="Hyperlink"/>
                <w:noProof/>
                <w:color w:val="auto"/>
              </w:rPr>
              <w:t>Limitations and Future Work</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_Toc82882416 \h </w:instrText>
            </w:r>
            <w:r w:rsidR="00FB2FD3" w:rsidRPr="003C0E2F">
              <w:rPr>
                <w:noProof/>
                <w:webHidden/>
              </w:rPr>
            </w:r>
            <w:r w:rsidR="00FB2FD3" w:rsidRPr="003C0E2F">
              <w:rPr>
                <w:noProof/>
                <w:webHidden/>
              </w:rPr>
              <w:fldChar w:fldCharType="separate"/>
            </w:r>
            <w:r w:rsidR="000F2276">
              <w:rPr>
                <w:noProof/>
                <w:webHidden/>
              </w:rPr>
              <w:t>160</w:t>
            </w:r>
            <w:r w:rsidR="00FB2FD3" w:rsidRPr="003C0E2F">
              <w:rPr>
                <w:noProof/>
                <w:webHidden/>
              </w:rPr>
              <w:fldChar w:fldCharType="end"/>
            </w:r>
          </w:hyperlink>
        </w:p>
        <w:p w14:paraId="730F53E3" w14:textId="5D3DF293" w:rsidR="00FB2FD3" w:rsidRPr="003C0E2F" w:rsidRDefault="00BB038D">
          <w:pPr>
            <w:pStyle w:val="TOC1"/>
            <w:rPr>
              <w:rFonts w:cstheme="minorBidi"/>
              <w:noProof/>
            </w:rPr>
          </w:pPr>
          <w:hyperlink w:anchor="_Toc82882417" w:history="1">
            <w:r w:rsidR="00FB2FD3" w:rsidRPr="003C0E2F">
              <w:rPr>
                <w:rStyle w:val="Hyperlink"/>
                <w:noProof/>
                <w:color w:val="auto"/>
              </w:rPr>
              <w:t>6.</w:t>
            </w:r>
            <w:r w:rsidR="00FB2FD3" w:rsidRPr="003C0E2F">
              <w:rPr>
                <w:rFonts w:cstheme="minorBidi"/>
                <w:noProof/>
              </w:rPr>
              <w:tab/>
            </w:r>
            <w:r w:rsidR="00FB2FD3" w:rsidRPr="003C0E2F">
              <w:rPr>
                <w:rStyle w:val="Hyperlink"/>
                <w:noProof/>
                <w:color w:val="auto"/>
              </w:rPr>
              <w:t>Conclusions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_Toc82882417 \h </w:instrText>
            </w:r>
            <w:r w:rsidR="00FB2FD3" w:rsidRPr="003C0E2F">
              <w:rPr>
                <w:noProof/>
                <w:webHidden/>
              </w:rPr>
            </w:r>
            <w:r w:rsidR="00FB2FD3" w:rsidRPr="003C0E2F">
              <w:rPr>
                <w:noProof/>
                <w:webHidden/>
              </w:rPr>
              <w:fldChar w:fldCharType="separate"/>
            </w:r>
            <w:r w:rsidR="000F2276">
              <w:rPr>
                <w:noProof/>
                <w:webHidden/>
              </w:rPr>
              <w:t>162</w:t>
            </w:r>
            <w:r w:rsidR="00FB2FD3" w:rsidRPr="003C0E2F">
              <w:rPr>
                <w:noProof/>
                <w:webHidden/>
              </w:rPr>
              <w:fldChar w:fldCharType="end"/>
            </w:r>
          </w:hyperlink>
        </w:p>
        <w:p w14:paraId="2E121C15" w14:textId="2401B4DC" w:rsidR="00FB2FD3" w:rsidRPr="003C0E2F" w:rsidRDefault="00BB038D">
          <w:pPr>
            <w:pStyle w:val="TOC1"/>
            <w:rPr>
              <w:rFonts w:cstheme="minorBidi"/>
              <w:noProof/>
            </w:rPr>
          </w:pPr>
          <w:hyperlink w:anchor="_Toc82882418" w:history="1">
            <w:r w:rsidR="00FB2FD3" w:rsidRPr="003C0E2F">
              <w:rPr>
                <w:rStyle w:val="Hyperlink"/>
                <w:noProof/>
                <w:color w:val="auto"/>
              </w:rPr>
              <w:t>7.</w:t>
            </w:r>
            <w:r w:rsidR="00FB2FD3" w:rsidRPr="003C0E2F">
              <w:rPr>
                <w:rFonts w:cstheme="minorBidi"/>
                <w:noProof/>
              </w:rPr>
              <w:tab/>
            </w:r>
            <w:r w:rsidR="00FB2FD3" w:rsidRPr="003C0E2F">
              <w:rPr>
                <w:rStyle w:val="Hyperlink"/>
                <w:noProof/>
                <w:color w:val="auto"/>
              </w:rPr>
              <w:t>References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_Toc82882418 \h </w:instrText>
            </w:r>
            <w:r w:rsidR="00FB2FD3" w:rsidRPr="003C0E2F">
              <w:rPr>
                <w:noProof/>
                <w:webHidden/>
              </w:rPr>
            </w:r>
            <w:r w:rsidR="00FB2FD3" w:rsidRPr="003C0E2F">
              <w:rPr>
                <w:noProof/>
                <w:webHidden/>
              </w:rPr>
              <w:fldChar w:fldCharType="separate"/>
            </w:r>
            <w:r w:rsidR="000F2276">
              <w:rPr>
                <w:noProof/>
                <w:webHidden/>
              </w:rPr>
              <w:t>164</w:t>
            </w:r>
            <w:r w:rsidR="00FB2FD3" w:rsidRPr="003C0E2F">
              <w:rPr>
                <w:noProof/>
                <w:webHidden/>
              </w:rPr>
              <w:fldChar w:fldCharType="end"/>
            </w:r>
          </w:hyperlink>
        </w:p>
        <w:p w14:paraId="07CC2BC5" w14:textId="1979FDC0" w:rsidR="00FB2FD3" w:rsidRPr="003C0E2F" w:rsidRDefault="00BB038D">
          <w:pPr>
            <w:pStyle w:val="TOC1"/>
            <w:rPr>
              <w:rFonts w:cstheme="minorBidi"/>
              <w:noProof/>
            </w:rPr>
          </w:pPr>
          <w:hyperlink w:anchor="_Toc82882419" w:history="1">
            <w:r w:rsidR="00FB2FD3" w:rsidRPr="003C0E2F">
              <w:rPr>
                <w:rStyle w:val="Hyperlink"/>
                <w:noProof/>
                <w:color w:val="auto"/>
              </w:rPr>
              <w:t>APPENDIX I – FP Compounds Preparations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_Toc82882419 \h </w:instrText>
            </w:r>
            <w:r w:rsidR="00FB2FD3" w:rsidRPr="003C0E2F">
              <w:rPr>
                <w:noProof/>
                <w:webHidden/>
              </w:rPr>
            </w:r>
            <w:r w:rsidR="00FB2FD3" w:rsidRPr="003C0E2F">
              <w:rPr>
                <w:noProof/>
                <w:webHidden/>
              </w:rPr>
              <w:fldChar w:fldCharType="separate"/>
            </w:r>
            <w:r w:rsidR="000F2276">
              <w:rPr>
                <w:noProof/>
                <w:webHidden/>
              </w:rPr>
              <w:t>188</w:t>
            </w:r>
            <w:r w:rsidR="00FB2FD3" w:rsidRPr="003C0E2F">
              <w:rPr>
                <w:noProof/>
                <w:webHidden/>
              </w:rPr>
              <w:fldChar w:fldCharType="end"/>
            </w:r>
          </w:hyperlink>
        </w:p>
        <w:p w14:paraId="3EB7EBC0" w14:textId="757653B0" w:rsidR="00FB2FD3" w:rsidRPr="003C0E2F" w:rsidRDefault="00BB038D">
          <w:pPr>
            <w:pStyle w:val="TOC1"/>
            <w:rPr>
              <w:rFonts w:cstheme="minorBidi"/>
              <w:noProof/>
            </w:rPr>
          </w:pPr>
          <w:hyperlink w:anchor="_Toc82882420" w:history="1">
            <w:r w:rsidR="00FB2FD3" w:rsidRPr="003C0E2F">
              <w:rPr>
                <w:rStyle w:val="Hyperlink"/>
                <w:noProof/>
                <w:color w:val="auto"/>
              </w:rPr>
              <w:t>APPENDIX II – LPS Variants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_Toc82882420 \h </w:instrText>
            </w:r>
            <w:r w:rsidR="00FB2FD3" w:rsidRPr="003C0E2F">
              <w:rPr>
                <w:noProof/>
                <w:webHidden/>
              </w:rPr>
            </w:r>
            <w:r w:rsidR="00FB2FD3" w:rsidRPr="003C0E2F">
              <w:rPr>
                <w:noProof/>
                <w:webHidden/>
              </w:rPr>
              <w:fldChar w:fldCharType="separate"/>
            </w:r>
            <w:r w:rsidR="000F2276">
              <w:rPr>
                <w:noProof/>
                <w:webHidden/>
              </w:rPr>
              <w:t>190</w:t>
            </w:r>
            <w:r w:rsidR="00FB2FD3" w:rsidRPr="003C0E2F">
              <w:rPr>
                <w:noProof/>
                <w:webHidden/>
              </w:rPr>
              <w:fldChar w:fldCharType="end"/>
            </w:r>
          </w:hyperlink>
        </w:p>
        <w:p w14:paraId="30DBEDA8" w14:textId="4FC06500" w:rsidR="00FB2FD3" w:rsidRPr="003C0E2F" w:rsidRDefault="00BB038D">
          <w:pPr>
            <w:pStyle w:val="TOC1"/>
            <w:rPr>
              <w:rFonts w:cstheme="minorBidi"/>
              <w:noProof/>
            </w:rPr>
          </w:pPr>
          <w:hyperlink w:anchor="_Toc82882421" w:history="1">
            <w:r w:rsidR="00FB2FD3" w:rsidRPr="003C0E2F">
              <w:rPr>
                <w:rStyle w:val="Hyperlink"/>
                <w:noProof/>
                <w:color w:val="auto"/>
              </w:rPr>
              <w:t>APPENDIX III – Array Dot Blots</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_Toc82882421 \h </w:instrText>
            </w:r>
            <w:r w:rsidR="00FB2FD3" w:rsidRPr="003C0E2F">
              <w:rPr>
                <w:noProof/>
                <w:webHidden/>
              </w:rPr>
            </w:r>
            <w:r w:rsidR="00FB2FD3" w:rsidRPr="003C0E2F">
              <w:rPr>
                <w:noProof/>
                <w:webHidden/>
              </w:rPr>
              <w:fldChar w:fldCharType="separate"/>
            </w:r>
            <w:r w:rsidR="000F2276">
              <w:rPr>
                <w:noProof/>
                <w:webHidden/>
              </w:rPr>
              <w:t>191</w:t>
            </w:r>
            <w:r w:rsidR="00FB2FD3" w:rsidRPr="003C0E2F">
              <w:rPr>
                <w:noProof/>
                <w:webHidden/>
              </w:rPr>
              <w:fldChar w:fldCharType="end"/>
            </w:r>
          </w:hyperlink>
        </w:p>
        <w:p w14:paraId="003915C2" w14:textId="5CEA320A" w:rsidR="00FB2FD3" w:rsidRPr="003C0E2F" w:rsidRDefault="00BB038D">
          <w:pPr>
            <w:pStyle w:val="TOC1"/>
            <w:rPr>
              <w:rFonts w:cstheme="minorBidi"/>
              <w:noProof/>
            </w:rPr>
          </w:pPr>
          <w:hyperlink w:anchor="_Toc82882422" w:history="1">
            <w:r w:rsidR="00FB2FD3" w:rsidRPr="003C0E2F">
              <w:rPr>
                <w:rStyle w:val="Hyperlink"/>
                <w:noProof/>
                <w:color w:val="auto"/>
              </w:rPr>
              <w:t>APPENDIX IV – Additional Data (Mouse)</w:t>
            </w:r>
            <w:r w:rsidR="00FB2FD3" w:rsidRPr="003C0E2F">
              <w:rPr>
                <w:noProof/>
                <w:webHidden/>
              </w:rPr>
              <w:tab/>
            </w:r>
            <w:r w:rsidR="00FB2FD3" w:rsidRPr="003C0E2F">
              <w:rPr>
                <w:noProof/>
                <w:webHidden/>
              </w:rPr>
              <w:fldChar w:fldCharType="begin"/>
            </w:r>
            <w:r w:rsidR="00FB2FD3" w:rsidRPr="003C0E2F">
              <w:rPr>
                <w:noProof/>
                <w:webHidden/>
              </w:rPr>
              <w:instrText xml:space="preserve"> PAGEREF _Toc82882422 \h </w:instrText>
            </w:r>
            <w:r w:rsidR="00FB2FD3" w:rsidRPr="003C0E2F">
              <w:rPr>
                <w:noProof/>
                <w:webHidden/>
              </w:rPr>
            </w:r>
            <w:r w:rsidR="00FB2FD3" w:rsidRPr="003C0E2F">
              <w:rPr>
                <w:noProof/>
                <w:webHidden/>
              </w:rPr>
              <w:fldChar w:fldCharType="separate"/>
            </w:r>
            <w:r w:rsidR="000F2276">
              <w:rPr>
                <w:noProof/>
                <w:webHidden/>
              </w:rPr>
              <w:t>193</w:t>
            </w:r>
            <w:r w:rsidR="00FB2FD3" w:rsidRPr="003C0E2F">
              <w:rPr>
                <w:noProof/>
                <w:webHidden/>
              </w:rPr>
              <w:fldChar w:fldCharType="end"/>
            </w:r>
          </w:hyperlink>
        </w:p>
        <w:p w14:paraId="2C901487" w14:textId="45E8DCED" w:rsidR="00FB2FD3" w:rsidRPr="003C0E2F" w:rsidRDefault="00FB2FD3">
          <w:r w:rsidRPr="003C0E2F">
            <w:rPr>
              <w:b/>
              <w:bCs/>
              <w:noProof/>
            </w:rPr>
            <w:fldChar w:fldCharType="end"/>
          </w:r>
        </w:p>
      </w:sdtContent>
    </w:sdt>
    <w:p w14:paraId="563B5C2D" w14:textId="77777777" w:rsidR="000C37C6" w:rsidRPr="003C0E2F" w:rsidRDefault="000C37C6">
      <w:pPr>
        <w:spacing w:line="259" w:lineRule="auto"/>
        <w:rPr>
          <w:b/>
          <w:bCs/>
          <w:noProof/>
          <w:sz w:val="48"/>
          <w:szCs w:val="48"/>
        </w:rPr>
      </w:pPr>
      <w:r w:rsidRPr="003C0E2F">
        <w:rPr>
          <w:noProof/>
        </w:rPr>
        <w:br w:type="page"/>
      </w:r>
    </w:p>
    <w:p w14:paraId="5537484B" w14:textId="666291B8" w:rsidR="009F6735" w:rsidRPr="003C0E2F" w:rsidRDefault="004262CF" w:rsidP="004262CF">
      <w:pPr>
        <w:pStyle w:val="Heading1"/>
        <w:numPr>
          <w:ilvl w:val="0"/>
          <w:numId w:val="0"/>
        </w:numPr>
        <w:ind w:left="1069"/>
        <w:rPr>
          <w:noProof/>
        </w:rPr>
      </w:pPr>
      <w:r>
        <w:rPr>
          <w:noProof/>
        </w:rPr>
        <w:lastRenderedPageBreak/>
        <w:t xml:space="preserve">V. </w:t>
      </w:r>
      <w:r>
        <w:rPr>
          <w:noProof/>
        </w:rPr>
        <w:tab/>
      </w:r>
      <w:r w:rsidR="009F6735" w:rsidRPr="003C0E2F">
        <w:rPr>
          <w:noProof/>
        </w:rPr>
        <w:t>Figures</w:t>
      </w:r>
    </w:p>
    <w:p w14:paraId="3014C68E" w14:textId="77777777" w:rsidR="00426052" w:rsidRPr="003C0E2F" w:rsidRDefault="00426052" w:rsidP="00426052"/>
    <w:p w14:paraId="5E3CCBD8" w14:textId="571E55BD" w:rsidR="006A17A0" w:rsidRPr="003C0E2F" w:rsidRDefault="006A17A0">
      <w:pPr>
        <w:pStyle w:val="TableofFigures"/>
        <w:tabs>
          <w:tab w:val="right" w:leader="dot" w:pos="9016"/>
        </w:tabs>
        <w:rPr>
          <w:rFonts w:cstheme="minorBidi"/>
          <w:caps w:val="0"/>
          <w:noProof/>
          <w:sz w:val="22"/>
          <w:szCs w:val="22"/>
        </w:rPr>
      </w:pPr>
      <w:r w:rsidRPr="003C0E2F">
        <w:rPr>
          <w:rFonts w:ascii="Calibri Light" w:eastAsia="Dotum" w:hAnsi="Calibri Light"/>
          <w:noProof/>
        </w:rPr>
        <w:fldChar w:fldCharType="begin"/>
      </w:r>
      <w:r w:rsidRPr="003C0E2F">
        <w:rPr>
          <w:rFonts w:ascii="Calibri Light" w:eastAsia="Dotum" w:hAnsi="Calibri Light"/>
          <w:noProof/>
        </w:rPr>
        <w:instrText xml:space="preserve"> TOC \h \z \c "Figure" </w:instrText>
      </w:r>
      <w:r w:rsidRPr="003C0E2F">
        <w:rPr>
          <w:rFonts w:ascii="Calibri Light" w:eastAsia="Dotum" w:hAnsi="Calibri Light"/>
          <w:noProof/>
        </w:rPr>
        <w:fldChar w:fldCharType="separate"/>
      </w:r>
      <w:hyperlink w:anchor="_Toc82882942" w:history="1">
        <w:r w:rsidRPr="003C0E2F">
          <w:rPr>
            <w:rStyle w:val="Hyperlink"/>
            <w:noProof/>
            <w:color w:val="auto"/>
          </w:rPr>
          <w:t>Figure 1. Structure of extracellular TLR4/MD-2 signalling complex.</w:t>
        </w:r>
        <w:r w:rsidRPr="003C0E2F">
          <w:rPr>
            <w:noProof/>
            <w:webHidden/>
          </w:rPr>
          <w:tab/>
        </w:r>
        <w:r w:rsidRPr="003C0E2F">
          <w:rPr>
            <w:noProof/>
            <w:webHidden/>
          </w:rPr>
          <w:fldChar w:fldCharType="begin"/>
        </w:r>
        <w:r w:rsidRPr="003C0E2F">
          <w:rPr>
            <w:noProof/>
            <w:webHidden/>
          </w:rPr>
          <w:instrText xml:space="preserve"> PAGEREF _Toc82882942 \h </w:instrText>
        </w:r>
        <w:r w:rsidRPr="003C0E2F">
          <w:rPr>
            <w:noProof/>
            <w:webHidden/>
          </w:rPr>
        </w:r>
        <w:r w:rsidRPr="003C0E2F">
          <w:rPr>
            <w:noProof/>
            <w:webHidden/>
          </w:rPr>
          <w:fldChar w:fldCharType="separate"/>
        </w:r>
        <w:r w:rsidR="000F2276">
          <w:rPr>
            <w:noProof/>
            <w:webHidden/>
          </w:rPr>
          <w:t>6</w:t>
        </w:r>
        <w:r w:rsidRPr="003C0E2F">
          <w:rPr>
            <w:noProof/>
            <w:webHidden/>
          </w:rPr>
          <w:fldChar w:fldCharType="end"/>
        </w:r>
      </w:hyperlink>
    </w:p>
    <w:p w14:paraId="5D650A90" w14:textId="4EDDBA43" w:rsidR="006A17A0" w:rsidRPr="003C0E2F" w:rsidRDefault="00BB038D">
      <w:pPr>
        <w:pStyle w:val="TableofFigures"/>
        <w:tabs>
          <w:tab w:val="right" w:leader="dot" w:pos="9016"/>
        </w:tabs>
        <w:rPr>
          <w:rFonts w:cstheme="minorBidi"/>
          <w:caps w:val="0"/>
          <w:noProof/>
          <w:sz w:val="22"/>
          <w:szCs w:val="22"/>
        </w:rPr>
      </w:pPr>
      <w:hyperlink w:anchor="_Toc82882943" w:history="1">
        <w:r w:rsidR="006A17A0" w:rsidRPr="003C0E2F">
          <w:rPr>
            <w:rStyle w:val="Hyperlink"/>
            <w:noProof/>
            <w:color w:val="auto"/>
          </w:rPr>
          <w:t>Figure 2. Crystal structure of TIR domain of TLR2.</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_Toc82882943 \h </w:instrText>
        </w:r>
        <w:r w:rsidR="006A17A0" w:rsidRPr="003C0E2F">
          <w:rPr>
            <w:noProof/>
            <w:webHidden/>
          </w:rPr>
        </w:r>
        <w:r w:rsidR="006A17A0" w:rsidRPr="003C0E2F">
          <w:rPr>
            <w:noProof/>
            <w:webHidden/>
          </w:rPr>
          <w:fldChar w:fldCharType="separate"/>
        </w:r>
        <w:r w:rsidR="000F2276">
          <w:rPr>
            <w:noProof/>
            <w:webHidden/>
          </w:rPr>
          <w:t>8</w:t>
        </w:r>
        <w:r w:rsidR="006A17A0" w:rsidRPr="003C0E2F">
          <w:rPr>
            <w:noProof/>
            <w:webHidden/>
          </w:rPr>
          <w:fldChar w:fldCharType="end"/>
        </w:r>
      </w:hyperlink>
    </w:p>
    <w:p w14:paraId="08532223" w14:textId="3E745F90" w:rsidR="006A17A0" w:rsidRPr="003C0E2F" w:rsidRDefault="00BB038D">
      <w:pPr>
        <w:pStyle w:val="TableofFigures"/>
        <w:tabs>
          <w:tab w:val="right" w:leader="dot" w:pos="9016"/>
        </w:tabs>
        <w:rPr>
          <w:rFonts w:cstheme="minorBidi"/>
          <w:caps w:val="0"/>
          <w:noProof/>
          <w:sz w:val="22"/>
          <w:szCs w:val="22"/>
        </w:rPr>
      </w:pPr>
      <w:hyperlink w:anchor="_Toc82882944" w:history="1">
        <w:r w:rsidR="006A17A0" w:rsidRPr="003C0E2F">
          <w:rPr>
            <w:rStyle w:val="Hyperlink"/>
            <w:noProof/>
            <w:color w:val="auto"/>
          </w:rPr>
          <w:t xml:space="preserve">Figure 3. </w:t>
        </w:r>
        <w:r w:rsidR="006A17A0" w:rsidRPr="003C0E2F">
          <w:t>Binding of LPS to TLR4/MD-2</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_Toc82882944 \h </w:instrText>
        </w:r>
        <w:r w:rsidR="006A17A0" w:rsidRPr="003C0E2F">
          <w:rPr>
            <w:noProof/>
            <w:webHidden/>
          </w:rPr>
        </w:r>
        <w:r w:rsidR="006A17A0" w:rsidRPr="003C0E2F">
          <w:rPr>
            <w:noProof/>
            <w:webHidden/>
          </w:rPr>
          <w:fldChar w:fldCharType="separate"/>
        </w:r>
        <w:r w:rsidR="000F2276">
          <w:rPr>
            <w:noProof/>
            <w:webHidden/>
          </w:rPr>
          <w:t>19</w:t>
        </w:r>
        <w:r w:rsidR="006A17A0" w:rsidRPr="003C0E2F">
          <w:rPr>
            <w:noProof/>
            <w:webHidden/>
          </w:rPr>
          <w:fldChar w:fldCharType="end"/>
        </w:r>
      </w:hyperlink>
    </w:p>
    <w:p w14:paraId="78515ACC" w14:textId="65A6EB24" w:rsidR="006A17A0" w:rsidRPr="003C0E2F" w:rsidRDefault="00BB038D">
      <w:pPr>
        <w:pStyle w:val="TableofFigures"/>
        <w:tabs>
          <w:tab w:val="right" w:leader="dot" w:pos="9016"/>
        </w:tabs>
        <w:rPr>
          <w:rFonts w:cstheme="minorBidi"/>
          <w:caps w:val="0"/>
          <w:noProof/>
          <w:sz w:val="22"/>
          <w:szCs w:val="22"/>
        </w:rPr>
      </w:pPr>
      <w:hyperlink w:anchor="_Toc82882945" w:history="1">
        <w:r w:rsidR="006A17A0" w:rsidRPr="003C0E2F">
          <w:rPr>
            <w:rStyle w:val="Hyperlink"/>
            <w:noProof/>
            <w:color w:val="auto"/>
          </w:rPr>
          <w:t>Figure 4. TLR4 signalling via MyD88-dependent and TRIF-dependent signalling pathways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_Toc82882945 \h </w:instrText>
        </w:r>
        <w:r w:rsidR="006A17A0" w:rsidRPr="003C0E2F">
          <w:rPr>
            <w:noProof/>
            <w:webHidden/>
          </w:rPr>
        </w:r>
        <w:r w:rsidR="006A17A0" w:rsidRPr="003C0E2F">
          <w:rPr>
            <w:noProof/>
            <w:webHidden/>
          </w:rPr>
          <w:fldChar w:fldCharType="separate"/>
        </w:r>
        <w:r w:rsidR="000F2276">
          <w:rPr>
            <w:noProof/>
            <w:webHidden/>
          </w:rPr>
          <w:t>22</w:t>
        </w:r>
        <w:r w:rsidR="006A17A0" w:rsidRPr="003C0E2F">
          <w:rPr>
            <w:noProof/>
            <w:webHidden/>
          </w:rPr>
          <w:fldChar w:fldCharType="end"/>
        </w:r>
      </w:hyperlink>
    </w:p>
    <w:p w14:paraId="64154C41" w14:textId="0B7A3988" w:rsidR="006A17A0" w:rsidRPr="003C0E2F" w:rsidRDefault="00BB038D">
      <w:pPr>
        <w:pStyle w:val="TableofFigures"/>
        <w:tabs>
          <w:tab w:val="right" w:leader="dot" w:pos="9016"/>
        </w:tabs>
        <w:rPr>
          <w:rFonts w:cstheme="minorBidi"/>
          <w:caps w:val="0"/>
          <w:noProof/>
          <w:sz w:val="22"/>
          <w:szCs w:val="22"/>
        </w:rPr>
      </w:pPr>
      <w:hyperlink w:anchor="_Toc82882946" w:history="1">
        <w:r w:rsidR="006A17A0" w:rsidRPr="003C0E2F">
          <w:rPr>
            <w:rStyle w:val="Hyperlink"/>
            <w:noProof/>
            <w:color w:val="auto"/>
          </w:rPr>
          <w:t>Figure 5. Structural diagram representing different LPS chemotypes.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_Toc82882946 \h </w:instrText>
        </w:r>
        <w:r w:rsidR="006A17A0" w:rsidRPr="003C0E2F">
          <w:rPr>
            <w:noProof/>
            <w:webHidden/>
          </w:rPr>
        </w:r>
        <w:r w:rsidR="006A17A0" w:rsidRPr="003C0E2F">
          <w:rPr>
            <w:noProof/>
            <w:webHidden/>
          </w:rPr>
          <w:fldChar w:fldCharType="separate"/>
        </w:r>
        <w:r w:rsidR="000F2276">
          <w:rPr>
            <w:noProof/>
            <w:webHidden/>
          </w:rPr>
          <w:t>32</w:t>
        </w:r>
        <w:r w:rsidR="006A17A0" w:rsidRPr="003C0E2F">
          <w:rPr>
            <w:noProof/>
            <w:webHidden/>
          </w:rPr>
          <w:fldChar w:fldCharType="end"/>
        </w:r>
      </w:hyperlink>
    </w:p>
    <w:p w14:paraId="201B351A" w14:textId="2578D1CD" w:rsidR="006A17A0" w:rsidRPr="003C0E2F" w:rsidRDefault="00BB038D">
      <w:pPr>
        <w:pStyle w:val="TableofFigures"/>
        <w:tabs>
          <w:tab w:val="right" w:leader="dot" w:pos="9016"/>
        </w:tabs>
        <w:rPr>
          <w:rFonts w:cstheme="minorBidi"/>
          <w:caps w:val="0"/>
          <w:noProof/>
          <w:sz w:val="22"/>
          <w:szCs w:val="22"/>
        </w:rPr>
      </w:pPr>
      <w:hyperlink w:anchor="_Toc82882947" w:history="1">
        <w:r w:rsidR="006A17A0" w:rsidRPr="003C0E2F">
          <w:rPr>
            <w:rStyle w:val="Hyperlink"/>
            <w:noProof/>
            <w:color w:val="auto"/>
          </w:rPr>
          <w:t>Figure 6. Progression or normal vessel to formation of atherosclerotic plaque.</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_Toc82882947 \h </w:instrText>
        </w:r>
        <w:r w:rsidR="006A17A0" w:rsidRPr="003C0E2F">
          <w:rPr>
            <w:noProof/>
            <w:webHidden/>
          </w:rPr>
        </w:r>
        <w:r w:rsidR="006A17A0" w:rsidRPr="003C0E2F">
          <w:rPr>
            <w:noProof/>
            <w:webHidden/>
          </w:rPr>
          <w:fldChar w:fldCharType="separate"/>
        </w:r>
        <w:r w:rsidR="000F2276">
          <w:rPr>
            <w:noProof/>
            <w:webHidden/>
          </w:rPr>
          <w:t>35</w:t>
        </w:r>
        <w:r w:rsidR="006A17A0" w:rsidRPr="003C0E2F">
          <w:rPr>
            <w:noProof/>
            <w:webHidden/>
          </w:rPr>
          <w:fldChar w:fldCharType="end"/>
        </w:r>
      </w:hyperlink>
    </w:p>
    <w:p w14:paraId="4ED0F7F7" w14:textId="7BFED18C" w:rsidR="006A17A0" w:rsidRPr="003C0E2F" w:rsidRDefault="00BB038D">
      <w:pPr>
        <w:pStyle w:val="TableofFigures"/>
        <w:tabs>
          <w:tab w:val="right" w:leader="dot" w:pos="9016"/>
        </w:tabs>
        <w:rPr>
          <w:rFonts w:cstheme="minorBidi"/>
          <w:caps w:val="0"/>
          <w:noProof/>
          <w:sz w:val="22"/>
          <w:szCs w:val="22"/>
        </w:rPr>
      </w:pPr>
      <w:hyperlink w:anchor="_Toc82882948" w:history="1">
        <w:r w:rsidR="006A17A0" w:rsidRPr="003C0E2F">
          <w:rPr>
            <w:rStyle w:val="Hyperlink"/>
            <w:noProof/>
            <w:color w:val="auto"/>
          </w:rPr>
          <w:t xml:space="preserve">Figure 7. Structure two proposed modulators of oxLDL associated activation of proinflammatory signalling.  </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_Toc82882948 \h </w:instrText>
        </w:r>
        <w:r w:rsidR="006A17A0" w:rsidRPr="003C0E2F">
          <w:rPr>
            <w:noProof/>
            <w:webHidden/>
          </w:rPr>
        </w:r>
        <w:r w:rsidR="006A17A0" w:rsidRPr="003C0E2F">
          <w:rPr>
            <w:noProof/>
            <w:webHidden/>
          </w:rPr>
          <w:fldChar w:fldCharType="separate"/>
        </w:r>
        <w:r w:rsidR="000F2276">
          <w:rPr>
            <w:noProof/>
            <w:webHidden/>
          </w:rPr>
          <w:t>42</w:t>
        </w:r>
        <w:r w:rsidR="006A17A0" w:rsidRPr="003C0E2F">
          <w:rPr>
            <w:noProof/>
            <w:webHidden/>
          </w:rPr>
          <w:fldChar w:fldCharType="end"/>
        </w:r>
      </w:hyperlink>
    </w:p>
    <w:p w14:paraId="41C5B08C" w14:textId="68AA265B" w:rsidR="006A17A0" w:rsidRPr="003C0E2F" w:rsidRDefault="00BB038D">
      <w:pPr>
        <w:pStyle w:val="TableofFigures"/>
        <w:tabs>
          <w:tab w:val="right" w:leader="dot" w:pos="9016"/>
        </w:tabs>
        <w:rPr>
          <w:rFonts w:cstheme="minorBidi"/>
          <w:caps w:val="0"/>
          <w:noProof/>
          <w:sz w:val="22"/>
          <w:szCs w:val="22"/>
        </w:rPr>
      </w:pPr>
      <w:hyperlink w:anchor="_Toc82882949" w:history="1">
        <w:r w:rsidR="006A17A0" w:rsidRPr="003C0E2F">
          <w:rPr>
            <w:rStyle w:val="Hyperlink"/>
            <w:noProof/>
            <w:color w:val="auto"/>
          </w:rPr>
          <w:t>Figure 8. Recruitment to cells to atherosclerotic plaques.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_Toc82882949 \h </w:instrText>
        </w:r>
        <w:r w:rsidR="006A17A0" w:rsidRPr="003C0E2F">
          <w:rPr>
            <w:noProof/>
            <w:webHidden/>
          </w:rPr>
        </w:r>
        <w:r w:rsidR="006A17A0" w:rsidRPr="003C0E2F">
          <w:rPr>
            <w:noProof/>
            <w:webHidden/>
          </w:rPr>
          <w:fldChar w:fldCharType="separate"/>
        </w:r>
        <w:r w:rsidR="000F2276">
          <w:rPr>
            <w:noProof/>
            <w:webHidden/>
          </w:rPr>
          <w:t>46</w:t>
        </w:r>
        <w:r w:rsidR="006A17A0" w:rsidRPr="003C0E2F">
          <w:rPr>
            <w:noProof/>
            <w:webHidden/>
          </w:rPr>
          <w:fldChar w:fldCharType="end"/>
        </w:r>
      </w:hyperlink>
    </w:p>
    <w:p w14:paraId="5812C153" w14:textId="0A2690D9" w:rsidR="006A17A0" w:rsidRPr="003C0E2F" w:rsidRDefault="00BB038D">
      <w:pPr>
        <w:pStyle w:val="TableofFigures"/>
        <w:tabs>
          <w:tab w:val="right" w:leader="dot" w:pos="9016"/>
        </w:tabs>
        <w:rPr>
          <w:rFonts w:cstheme="minorBidi"/>
          <w:caps w:val="0"/>
          <w:noProof/>
          <w:sz w:val="22"/>
          <w:szCs w:val="22"/>
        </w:rPr>
      </w:pPr>
      <w:hyperlink w:anchor="_Toc82882950" w:history="1">
        <w:r w:rsidR="006A17A0" w:rsidRPr="003C0E2F">
          <w:rPr>
            <w:rStyle w:val="Hyperlink"/>
            <w:noProof/>
            <w:color w:val="auto"/>
          </w:rPr>
          <w:t>Figure 9. Lipid A mimetic molecules..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_Toc82882950 \h </w:instrText>
        </w:r>
        <w:r w:rsidR="006A17A0" w:rsidRPr="003C0E2F">
          <w:rPr>
            <w:noProof/>
            <w:webHidden/>
          </w:rPr>
        </w:r>
        <w:r w:rsidR="006A17A0" w:rsidRPr="003C0E2F">
          <w:rPr>
            <w:noProof/>
            <w:webHidden/>
          </w:rPr>
          <w:fldChar w:fldCharType="separate"/>
        </w:r>
        <w:r w:rsidR="000F2276">
          <w:rPr>
            <w:noProof/>
            <w:webHidden/>
          </w:rPr>
          <w:t>51</w:t>
        </w:r>
        <w:r w:rsidR="006A17A0" w:rsidRPr="003C0E2F">
          <w:rPr>
            <w:noProof/>
            <w:webHidden/>
          </w:rPr>
          <w:fldChar w:fldCharType="end"/>
        </w:r>
      </w:hyperlink>
    </w:p>
    <w:p w14:paraId="628F7E84" w14:textId="11DA4B76" w:rsidR="006A17A0" w:rsidRPr="003C0E2F" w:rsidRDefault="00BB038D">
      <w:pPr>
        <w:pStyle w:val="TableofFigures"/>
        <w:tabs>
          <w:tab w:val="right" w:leader="dot" w:pos="9016"/>
        </w:tabs>
        <w:rPr>
          <w:rFonts w:cstheme="minorBidi"/>
          <w:caps w:val="0"/>
          <w:noProof/>
          <w:sz w:val="22"/>
          <w:szCs w:val="22"/>
        </w:rPr>
      </w:pPr>
      <w:hyperlink w:anchor="_Toc82882951" w:history="1">
        <w:r w:rsidR="006A17A0" w:rsidRPr="003C0E2F">
          <w:rPr>
            <w:rStyle w:val="Hyperlink"/>
            <w:noProof/>
            <w:color w:val="auto"/>
          </w:rPr>
          <w:t>Figure 10. Structure of antagonists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_Toc82882951 \h </w:instrText>
        </w:r>
        <w:r w:rsidR="006A17A0" w:rsidRPr="003C0E2F">
          <w:rPr>
            <w:noProof/>
            <w:webHidden/>
          </w:rPr>
        </w:r>
        <w:r w:rsidR="006A17A0" w:rsidRPr="003C0E2F">
          <w:rPr>
            <w:noProof/>
            <w:webHidden/>
          </w:rPr>
          <w:fldChar w:fldCharType="separate"/>
        </w:r>
        <w:r w:rsidR="000F2276">
          <w:rPr>
            <w:noProof/>
            <w:webHidden/>
          </w:rPr>
          <w:t>58</w:t>
        </w:r>
        <w:r w:rsidR="006A17A0" w:rsidRPr="003C0E2F">
          <w:rPr>
            <w:noProof/>
            <w:webHidden/>
          </w:rPr>
          <w:fldChar w:fldCharType="end"/>
        </w:r>
      </w:hyperlink>
    </w:p>
    <w:p w14:paraId="35F58757" w14:textId="19E984DA" w:rsidR="006A17A0" w:rsidRPr="003C0E2F" w:rsidRDefault="00BB038D">
      <w:pPr>
        <w:pStyle w:val="TableofFigures"/>
        <w:tabs>
          <w:tab w:val="right" w:leader="dot" w:pos="9016"/>
        </w:tabs>
        <w:rPr>
          <w:rFonts w:cstheme="minorBidi"/>
          <w:caps w:val="0"/>
          <w:noProof/>
          <w:sz w:val="22"/>
          <w:szCs w:val="22"/>
        </w:rPr>
      </w:pPr>
      <w:hyperlink w:anchor="_Toc82882952" w:history="1">
        <w:r w:rsidR="006A17A0" w:rsidRPr="003C0E2F">
          <w:rPr>
            <w:rStyle w:val="Hyperlink"/>
            <w:noProof/>
            <w:color w:val="auto"/>
          </w:rPr>
          <w:t>Figure 11. Structure of agonists.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_Toc82882952 \h </w:instrText>
        </w:r>
        <w:r w:rsidR="006A17A0" w:rsidRPr="003C0E2F">
          <w:rPr>
            <w:noProof/>
            <w:webHidden/>
          </w:rPr>
        </w:r>
        <w:r w:rsidR="006A17A0" w:rsidRPr="003C0E2F">
          <w:rPr>
            <w:noProof/>
            <w:webHidden/>
          </w:rPr>
          <w:fldChar w:fldCharType="separate"/>
        </w:r>
        <w:r w:rsidR="000F2276">
          <w:rPr>
            <w:noProof/>
            <w:webHidden/>
          </w:rPr>
          <w:t>59</w:t>
        </w:r>
        <w:r w:rsidR="006A17A0" w:rsidRPr="003C0E2F">
          <w:rPr>
            <w:noProof/>
            <w:webHidden/>
          </w:rPr>
          <w:fldChar w:fldCharType="end"/>
        </w:r>
      </w:hyperlink>
    </w:p>
    <w:p w14:paraId="2755D1F9" w14:textId="723CD853" w:rsidR="006A17A0" w:rsidRPr="003C0E2F" w:rsidRDefault="00BB038D">
      <w:pPr>
        <w:pStyle w:val="TableofFigures"/>
        <w:tabs>
          <w:tab w:val="right" w:leader="dot" w:pos="9016"/>
        </w:tabs>
        <w:rPr>
          <w:rFonts w:cstheme="minorBidi"/>
          <w:caps w:val="0"/>
          <w:noProof/>
          <w:sz w:val="22"/>
          <w:szCs w:val="22"/>
        </w:rPr>
      </w:pPr>
      <w:hyperlink w:anchor="_Toc82882953" w:history="1">
        <w:r w:rsidR="006A17A0" w:rsidRPr="003C0E2F">
          <w:rPr>
            <w:rStyle w:val="Hyperlink"/>
            <w:noProof/>
            <w:color w:val="auto"/>
          </w:rPr>
          <w:t xml:space="preserve">Figure 12. The effect </w:t>
        </w:r>
        <w:r w:rsidR="006A17A0" w:rsidRPr="003C0E2F">
          <w:rPr>
            <w:rStyle w:val="Hyperlink"/>
            <w:bCs/>
            <w:noProof/>
            <w:color w:val="auto"/>
          </w:rPr>
          <w:t>of FP series Lipid A mimetics on THP-1 monocyte viability</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_Toc82882953 \h </w:instrText>
        </w:r>
        <w:r w:rsidR="006A17A0" w:rsidRPr="003C0E2F">
          <w:rPr>
            <w:noProof/>
            <w:webHidden/>
          </w:rPr>
        </w:r>
        <w:r w:rsidR="006A17A0" w:rsidRPr="003C0E2F">
          <w:rPr>
            <w:noProof/>
            <w:webHidden/>
          </w:rPr>
          <w:fldChar w:fldCharType="separate"/>
        </w:r>
        <w:r w:rsidR="000F2276">
          <w:rPr>
            <w:noProof/>
            <w:webHidden/>
          </w:rPr>
          <w:t>74</w:t>
        </w:r>
        <w:r w:rsidR="006A17A0" w:rsidRPr="003C0E2F">
          <w:rPr>
            <w:noProof/>
            <w:webHidden/>
          </w:rPr>
          <w:fldChar w:fldCharType="end"/>
        </w:r>
      </w:hyperlink>
    </w:p>
    <w:p w14:paraId="22650E3B" w14:textId="7E330871" w:rsidR="006A17A0" w:rsidRPr="003C0E2F" w:rsidRDefault="00BB038D">
      <w:pPr>
        <w:pStyle w:val="TableofFigures"/>
        <w:tabs>
          <w:tab w:val="right" w:leader="dot" w:pos="9016"/>
        </w:tabs>
        <w:rPr>
          <w:caps w:val="0"/>
          <w:noProof/>
          <w:sz w:val="22"/>
          <w:szCs w:val="22"/>
        </w:rPr>
      </w:pPr>
      <w:hyperlink w:anchor="_Toc82882954" w:history="1">
        <w:r w:rsidR="006A17A0" w:rsidRPr="003C0E2F">
          <w:rPr>
            <w:rStyle w:val="Hyperlink"/>
            <w:noProof/>
            <w:color w:val="auto"/>
          </w:rPr>
          <w:t>Figure 13. The effect of FP series Lipid A mimetics on THP-1 macrophage viability.</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_Toc82882954 \h </w:instrText>
        </w:r>
        <w:r w:rsidR="006A17A0" w:rsidRPr="003C0E2F">
          <w:rPr>
            <w:noProof/>
            <w:webHidden/>
          </w:rPr>
        </w:r>
        <w:r w:rsidR="006A17A0" w:rsidRPr="003C0E2F">
          <w:rPr>
            <w:noProof/>
            <w:webHidden/>
          </w:rPr>
          <w:fldChar w:fldCharType="separate"/>
        </w:r>
        <w:r w:rsidR="000F2276">
          <w:rPr>
            <w:noProof/>
            <w:webHidden/>
          </w:rPr>
          <w:t>75</w:t>
        </w:r>
        <w:r w:rsidR="006A17A0" w:rsidRPr="003C0E2F">
          <w:rPr>
            <w:noProof/>
            <w:webHidden/>
          </w:rPr>
          <w:fldChar w:fldCharType="end"/>
        </w:r>
      </w:hyperlink>
    </w:p>
    <w:p w14:paraId="19DFBFEF" w14:textId="207B1505" w:rsidR="006A17A0" w:rsidRPr="003C0E2F" w:rsidRDefault="00BB038D">
      <w:pPr>
        <w:pStyle w:val="TableofFigures"/>
        <w:tabs>
          <w:tab w:val="right" w:leader="dot" w:pos="9016"/>
        </w:tabs>
        <w:rPr>
          <w:caps w:val="0"/>
          <w:noProof/>
          <w:sz w:val="22"/>
          <w:szCs w:val="22"/>
        </w:rPr>
      </w:pPr>
      <w:hyperlink w:anchor="_Toc82882955" w:history="1">
        <w:r w:rsidR="006A17A0" w:rsidRPr="003C0E2F">
          <w:rPr>
            <w:rStyle w:val="Hyperlink"/>
            <w:rFonts w:eastAsiaTheme="minorHAnsi"/>
            <w:noProof/>
            <w:color w:val="auto"/>
            <w:lang w:eastAsia="en-US"/>
          </w:rPr>
          <w:t>Figure 14. The effect of FP7, FP10, FP12 and FP116 on IL-8 production in THP-1 monocytes..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_Toc82882955 \h </w:instrText>
        </w:r>
        <w:r w:rsidR="006A17A0" w:rsidRPr="003C0E2F">
          <w:rPr>
            <w:noProof/>
            <w:webHidden/>
          </w:rPr>
        </w:r>
        <w:r w:rsidR="006A17A0" w:rsidRPr="003C0E2F">
          <w:rPr>
            <w:noProof/>
            <w:webHidden/>
          </w:rPr>
          <w:fldChar w:fldCharType="separate"/>
        </w:r>
        <w:r w:rsidR="000F2276">
          <w:rPr>
            <w:noProof/>
            <w:webHidden/>
          </w:rPr>
          <w:t>76</w:t>
        </w:r>
        <w:r w:rsidR="006A17A0" w:rsidRPr="003C0E2F">
          <w:rPr>
            <w:noProof/>
            <w:webHidden/>
          </w:rPr>
          <w:fldChar w:fldCharType="end"/>
        </w:r>
      </w:hyperlink>
    </w:p>
    <w:p w14:paraId="37D2E6C7" w14:textId="7D643709" w:rsidR="006A17A0" w:rsidRPr="003C0E2F" w:rsidRDefault="00BB038D">
      <w:pPr>
        <w:pStyle w:val="TableofFigures"/>
        <w:tabs>
          <w:tab w:val="right" w:leader="dot" w:pos="9016"/>
        </w:tabs>
        <w:rPr>
          <w:caps w:val="0"/>
          <w:noProof/>
          <w:sz w:val="22"/>
          <w:szCs w:val="22"/>
        </w:rPr>
      </w:pPr>
      <w:hyperlink w:anchor="_Toc82882956" w:history="1">
        <w:r w:rsidR="006A17A0" w:rsidRPr="003C0E2F">
          <w:rPr>
            <w:rStyle w:val="Hyperlink"/>
            <w:noProof/>
            <w:color w:val="auto"/>
          </w:rPr>
          <w:t>Figure 15. The effect of FP11 and FP111 on IL-8 production in THP-1 monocytes.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_Toc82882956 \h </w:instrText>
        </w:r>
        <w:r w:rsidR="006A17A0" w:rsidRPr="003C0E2F">
          <w:rPr>
            <w:noProof/>
            <w:webHidden/>
          </w:rPr>
        </w:r>
        <w:r w:rsidR="006A17A0" w:rsidRPr="003C0E2F">
          <w:rPr>
            <w:noProof/>
            <w:webHidden/>
          </w:rPr>
          <w:fldChar w:fldCharType="separate"/>
        </w:r>
        <w:r w:rsidR="000F2276">
          <w:rPr>
            <w:noProof/>
            <w:webHidden/>
          </w:rPr>
          <w:t>77</w:t>
        </w:r>
        <w:r w:rsidR="006A17A0" w:rsidRPr="003C0E2F">
          <w:rPr>
            <w:noProof/>
            <w:webHidden/>
          </w:rPr>
          <w:fldChar w:fldCharType="end"/>
        </w:r>
      </w:hyperlink>
    </w:p>
    <w:p w14:paraId="30EC278D" w14:textId="0B4846F3" w:rsidR="006A17A0" w:rsidRPr="003C0E2F" w:rsidRDefault="00BB038D">
      <w:pPr>
        <w:pStyle w:val="TableofFigures"/>
        <w:tabs>
          <w:tab w:val="right" w:leader="dot" w:pos="9016"/>
        </w:tabs>
        <w:rPr>
          <w:rFonts w:cstheme="minorBidi"/>
          <w:caps w:val="0"/>
          <w:noProof/>
          <w:sz w:val="22"/>
          <w:szCs w:val="22"/>
        </w:rPr>
      </w:pPr>
      <w:hyperlink w:anchor="_Toc82882957" w:history="1">
        <w:r w:rsidR="006A17A0" w:rsidRPr="003C0E2F">
          <w:rPr>
            <w:rStyle w:val="Hyperlink"/>
            <w:noProof/>
            <w:color w:val="auto"/>
          </w:rPr>
          <w:t>Figure 16. The effect of FP7 on IL-8 production in THP-1 monocytes.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_Toc82882957 \h </w:instrText>
        </w:r>
        <w:r w:rsidR="006A17A0" w:rsidRPr="003C0E2F">
          <w:rPr>
            <w:noProof/>
            <w:webHidden/>
          </w:rPr>
        </w:r>
        <w:r w:rsidR="006A17A0" w:rsidRPr="003C0E2F">
          <w:rPr>
            <w:noProof/>
            <w:webHidden/>
          </w:rPr>
          <w:fldChar w:fldCharType="separate"/>
        </w:r>
        <w:r w:rsidR="000F2276">
          <w:rPr>
            <w:noProof/>
            <w:webHidden/>
          </w:rPr>
          <w:t>79</w:t>
        </w:r>
        <w:r w:rsidR="006A17A0" w:rsidRPr="003C0E2F">
          <w:rPr>
            <w:noProof/>
            <w:webHidden/>
          </w:rPr>
          <w:fldChar w:fldCharType="end"/>
        </w:r>
      </w:hyperlink>
    </w:p>
    <w:p w14:paraId="6EB61C18" w14:textId="387CD41F" w:rsidR="006A17A0" w:rsidRPr="003C0E2F" w:rsidRDefault="00BB038D">
      <w:pPr>
        <w:pStyle w:val="TableofFigures"/>
        <w:tabs>
          <w:tab w:val="right" w:leader="dot" w:pos="9016"/>
        </w:tabs>
        <w:rPr>
          <w:rFonts w:cstheme="minorBidi"/>
          <w:caps w:val="0"/>
          <w:noProof/>
          <w:sz w:val="22"/>
          <w:szCs w:val="22"/>
        </w:rPr>
      </w:pPr>
      <w:hyperlink w:anchor="_Toc82882958" w:history="1">
        <w:r w:rsidR="006A17A0" w:rsidRPr="003C0E2F">
          <w:rPr>
            <w:rStyle w:val="Hyperlink"/>
            <w:noProof/>
            <w:color w:val="auto"/>
          </w:rPr>
          <w:t>Figure 17. The effect of FP7 on IL-6 production in THP-1 monocytes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_Toc82882958 \h </w:instrText>
        </w:r>
        <w:r w:rsidR="006A17A0" w:rsidRPr="003C0E2F">
          <w:rPr>
            <w:noProof/>
            <w:webHidden/>
          </w:rPr>
        </w:r>
        <w:r w:rsidR="006A17A0" w:rsidRPr="003C0E2F">
          <w:rPr>
            <w:noProof/>
            <w:webHidden/>
          </w:rPr>
          <w:fldChar w:fldCharType="separate"/>
        </w:r>
        <w:r w:rsidR="000F2276">
          <w:rPr>
            <w:noProof/>
            <w:webHidden/>
          </w:rPr>
          <w:t>80</w:t>
        </w:r>
        <w:r w:rsidR="006A17A0" w:rsidRPr="003C0E2F">
          <w:rPr>
            <w:noProof/>
            <w:webHidden/>
          </w:rPr>
          <w:fldChar w:fldCharType="end"/>
        </w:r>
      </w:hyperlink>
    </w:p>
    <w:p w14:paraId="5B60B6AF" w14:textId="369B9BD4" w:rsidR="006A17A0" w:rsidRPr="003C0E2F" w:rsidRDefault="00BB038D">
      <w:pPr>
        <w:pStyle w:val="TableofFigures"/>
        <w:tabs>
          <w:tab w:val="right" w:leader="dot" w:pos="9016"/>
        </w:tabs>
        <w:rPr>
          <w:rFonts w:cstheme="minorBidi"/>
          <w:caps w:val="0"/>
          <w:noProof/>
          <w:sz w:val="22"/>
          <w:szCs w:val="22"/>
        </w:rPr>
      </w:pPr>
      <w:hyperlink w:anchor="_Toc82882959" w:history="1">
        <w:r w:rsidR="006A17A0" w:rsidRPr="003C0E2F">
          <w:rPr>
            <w:rStyle w:val="Hyperlink"/>
            <w:noProof/>
            <w:color w:val="auto"/>
          </w:rPr>
          <w:t>Figure 18. The effect of FP7 on IL-12 production in THP-1 monocytes.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_Toc82882959 \h </w:instrText>
        </w:r>
        <w:r w:rsidR="006A17A0" w:rsidRPr="003C0E2F">
          <w:rPr>
            <w:noProof/>
            <w:webHidden/>
          </w:rPr>
        </w:r>
        <w:r w:rsidR="006A17A0" w:rsidRPr="003C0E2F">
          <w:rPr>
            <w:noProof/>
            <w:webHidden/>
          </w:rPr>
          <w:fldChar w:fldCharType="separate"/>
        </w:r>
        <w:r w:rsidR="000F2276">
          <w:rPr>
            <w:noProof/>
            <w:webHidden/>
          </w:rPr>
          <w:t>81</w:t>
        </w:r>
        <w:r w:rsidR="006A17A0" w:rsidRPr="003C0E2F">
          <w:rPr>
            <w:noProof/>
            <w:webHidden/>
          </w:rPr>
          <w:fldChar w:fldCharType="end"/>
        </w:r>
      </w:hyperlink>
    </w:p>
    <w:p w14:paraId="284D3C0E" w14:textId="7CDAE59C" w:rsidR="006A17A0" w:rsidRPr="003C0E2F" w:rsidRDefault="00BB038D">
      <w:pPr>
        <w:pStyle w:val="TableofFigures"/>
        <w:tabs>
          <w:tab w:val="right" w:leader="dot" w:pos="9016"/>
        </w:tabs>
        <w:rPr>
          <w:rFonts w:cstheme="minorBidi"/>
          <w:caps w:val="0"/>
          <w:noProof/>
          <w:sz w:val="22"/>
          <w:szCs w:val="22"/>
        </w:rPr>
      </w:pPr>
      <w:hyperlink w:anchor="_Toc82882960" w:history="1">
        <w:r w:rsidR="006A17A0" w:rsidRPr="003C0E2F">
          <w:rPr>
            <w:rStyle w:val="Hyperlink"/>
            <w:noProof/>
            <w:color w:val="auto"/>
          </w:rPr>
          <w:t>Figure 19. The effect of FP7 on MIP-1α production in THP-1 monocytes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_Toc82882960 \h </w:instrText>
        </w:r>
        <w:r w:rsidR="006A17A0" w:rsidRPr="003C0E2F">
          <w:rPr>
            <w:noProof/>
            <w:webHidden/>
          </w:rPr>
        </w:r>
        <w:r w:rsidR="006A17A0" w:rsidRPr="003C0E2F">
          <w:rPr>
            <w:noProof/>
            <w:webHidden/>
          </w:rPr>
          <w:fldChar w:fldCharType="separate"/>
        </w:r>
        <w:r w:rsidR="000F2276">
          <w:rPr>
            <w:noProof/>
            <w:webHidden/>
          </w:rPr>
          <w:t>81</w:t>
        </w:r>
        <w:r w:rsidR="006A17A0" w:rsidRPr="003C0E2F">
          <w:rPr>
            <w:noProof/>
            <w:webHidden/>
          </w:rPr>
          <w:fldChar w:fldCharType="end"/>
        </w:r>
      </w:hyperlink>
    </w:p>
    <w:p w14:paraId="3605AED1" w14:textId="5DAAB811" w:rsidR="006A17A0" w:rsidRPr="003C0E2F" w:rsidRDefault="00BB038D">
      <w:pPr>
        <w:pStyle w:val="TableofFigures"/>
        <w:tabs>
          <w:tab w:val="right" w:leader="dot" w:pos="9016"/>
        </w:tabs>
        <w:rPr>
          <w:rFonts w:cstheme="minorBidi"/>
          <w:caps w:val="0"/>
          <w:noProof/>
          <w:sz w:val="22"/>
          <w:szCs w:val="22"/>
        </w:rPr>
      </w:pPr>
      <w:hyperlink w:anchor="_Toc82882961" w:history="1">
        <w:r w:rsidR="006A17A0" w:rsidRPr="003C0E2F">
          <w:rPr>
            <w:rStyle w:val="Hyperlink"/>
            <w:noProof/>
            <w:color w:val="auto"/>
          </w:rPr>
          <w:t>Figure 20. The effect of FP7 on iCAM-1 production in THP-1 monocytes.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_Toc82882961 \h </w:instrText>
        </w:r>
        <w:r w:rsidR="006A17A0" w:rsidRPr="003C0E2F">
          <w:rPr>
            <w:noProof/>
            <w:webHidden/>
          </w:rPr>
        </w:r>
        <w:r w:rsidR="006A17A0" w:rsidRPr="003C0E2F">
          <w:rPr>
            <w:noProof/>
            <w:webHidden/>
          </w:rPr>
          <w:fldChar w:fldCharType="separate"/>
        </w:r>
        <w:r w:rsidR="000F2276">
          <w:rPr>
            <w:noProof/>
            <w:webHidden/>
          </w:rPr>
          <w:t>82</w:t>
        </w:r>
        <w:r w:rsidR="006A17A0" w:rsidRPr="003C0E2F">
          <w:rPr>
            <w:noProof/>
            <w:webHidden/>
          </w:rPr>
          <w:fldChar w:fldCharType="end"/>
        </w:r>
      </w:hyperlink>
    </w:p>
    <w:p w14:paraId="13105794" w14:textId="16C5A474" w:rsidR="006A17A0" w:rsidRPr="003C0E2F" w:rsidRDefault="00BB038D">
      <w:pPr>
        <w:pStyle w:val="TableofFigures"/>
        <w:tabs>
          <w:tab w:val="right" w:leader="dot" w:pos="9016"/>
        </w:tabs>
        <w:rPr>
          <w:rFonts w:cstheme="minorBidi"/>
          <w:caps w:val="0"/>
          <w:noProof/>
          <w:sz w:val="22"/>
          <w:szCs w:val="22"/>
        </w:rPr>
      </w:pPr>
      <w:hyperlink w:anchor="_Toc82882962" w:history="1">
        <w:r w:rsidR="006A17A0" w:rsidRPr="003C0E2F">
          <w:rPr>
            <w:rStyle w:val="Hyperlink"/>
            <w:noProof/>
            <w:color w:val="auto"/>
          </w:rPr>
          <w:t>Figure 21. The effect of FP7 on IL-1</w:t>
        </w:r>
        <w:r w:rsidR="006A17A0" w:rsidRPr="003C0E2F">
          <w:rPr>
            <w:rStyle w:val="Hyperlink"/>
            <w:rFonts w:ascii="Symbol" w:hAnsi="Symbol"/>
            <w:noProof/>
            <w:color w:val="auto"/>
          </w:rPr>
          <w:t></w:t>
        </w:r>
        <w:r w:rsidR="006A17A0" w:rsidRPr="003C0E2F">
          <w:rPr>
            <w:rStyle w:val="Hyperlink"/>
            <w:noProof/>
            <w:color w:val="auto"/>
          </w:rPr>
          <w:t xml:space="preserve"> production in THP-1 monocytes.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_Toc82882962 \h </w:instrText>
        </w:r>
        <w:r w:rsidR="006A17A0" w:rsidRPr="003C0E2F">
          <w:rPr>
            <w:noProof/>
            <w:webHidden/>
          </w:rPr>
        </w:r>
        <w:r w:rsidR="006A17A0" w:rsidRPr="003C0E2F">
          <w:rPr>
            <w:noProof/>
            <w:webHidden/>
          </w:rPr>
          <w:fldChar w:fldCharType="separate"/>
        </w:r>
        <w:r w:rsidR="000F2276">
          <w:rPr>
            <w:noProof/>
            <w:webHidden/>
          </w:rPr>
          <w:t>83</w:t>
        </w:r>
        <w:r w:rsidR="006A17A0" w:rsidRPr="003C0E2F">
          <w:rPr>
            <w:noProof/>
            <w:webHidden/>
          </w:rPr>
          <w:fldChar w:fldCharType="end"/>
        </w:r>
      </w:hyperlink>
    </w:p>
    <w:p w14:paraId="74FC7F76" w14:textId="1618458D" w:rsidR="006A17A0" w:rsidRPr="003C0E2F" w:rsidRDefault="00BB038D">
      <w:pPr>
        <w:pStyle w:val="TableofFigures"/>
        <w:tabs>
          <w:tab w:val="right" w:leader="dot" w:pos="9016"/>
        </w:tabs>
        <w:rPr>
          <w:rFonts w:cstheme="minorBidi"/>
          <w:caps w:val="0"/>
          <w:noProof/>
          <w:sz w:val="22"/>
          <w:szCs w:val="22"/>
        </w:rPr>
      </w:pPr>
      <w:hyperlink w:anchor="_Toc82882963" w:history="1">
        <w:r w:rsidR="006A17A0" w:rsidRPr="003C0E2F">
          <w:rPr>
            <w:rStyle w:val="Hyperlink"/>
            <w:noProof/>
            <w:color w:val="auto"/>
          </w:rPr>
          <w:t>Figure 22. The effect of FP7 on IL-8 and IL-6 production in THP-1 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_Toc82882963 \h </w:instrText>
        </w:r>
        <w:r w:rsidR="006A17A0" w:rsidRPr="003C0E2F">
          <w:rPr>
            <w:noProof/>
            <w:webHidden/>
          </w:rPr>
        </w:r>
        <w:r w:rsidR="006A17A0" w:rsidRPr="003C0E2F">
          <w:rPr>
            <w:noProof/>
            <w:webHidden/>
          </w:rPr>
          <w:fldChar w:fldCharType="separate"/>
        </w:r>
        <w:r w:rsidR="000F2276">
          <w:rPr>
            <w:noProof/>
            <w:webHidden/>
          </w:rPr>
          <w:t>84</w:t>
        </w:r>
        <w:r w:rsidR="006A17A0" w:rsidRPr="003C0E2F">
          <w:rPr>
            <w:noProof/>
            <w:webHidden/>
          </w:rPr>
          <w:fldChar w:fldCharType="end"/>
        </w:r>
      </w:hyperlink>
    </w:p>
    <w:p w14:paraId="15B2C2A3" w14:textId="3E91EB8A" w:rsidR="006A17A0" w:rsidRPr="003C0E2F" w:rsidRDefault="00BB038D">
      <w:pPr>
        <w:pStyle w:val="TableofFigures"/>
        <w:tabs>
          <w:tab w:val="right" w:leader="dot" w:pos="9016"/>
        </w:tabs>
        <w:rPr>
          <w:rFonts w:cstheme="minorBidi"/>
          <w:caps w:val="0"/>
          <w:noProof/>
          <w:sz w:val="22"/>
          <w:szCs w:val="22"/>
        </w:rPr>
      </w:pPr>
      <w:hyperlink w:anchor="_Toc82882964" w:history="1">
        <w:r w:rsidR="006A17A0" w:rsidRPr="003C0E2F">
          <w:rPr>
            <w:rStyle w:val="Hyperlink"/>
            <w:noProof/>
            <w:color w:val="auto"/>
          </w:rPr>
          <w:t xml:space="preserve">Figure 23. The effect of FP7 on P65/NF-κB and P38 MAPK phosphorylation in THP-1 </w:t>
        </w:r>
        <w:r w:rsidR="00876806" w:rsidRPr="003C0E2F">
          <w:rPr>
            <w:rStyle w:val="Hyperlink"/>
            <w:noProof/>
            <w:color w:val="auto"/>
          </w:rPr>
          <w:t xml:space="preserve">      </w:t>
        </w:r>
        <w:r w:rsidR="006A17A0" w:rsidRPr="003C0E2F">
          <w:rPr>
            <w:rStyle w:val="Hyperlink"/>
            <w:noProof/>
            <w:color w:val="auto"/>
          </w:rPr>
          <w:t>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_Toc82882964 \h </w:instrText>
        </w:r>
        <w:r w:rsidR="006A17A0" w:rsidRPr="003C0E2F">
          <w:rPr>
            <w:noProof/>
            <w:webHidden/>
          </w:rPr>
        </w:r>
        <w:r w:rsidR="006A17A0" w:rsidRPr="003C0E2F">
          <w:rPr>
            <w:noProof/>
            <w:webHidden/>
          </w:rPr>
          <w:fldChar w:fldCharType="separate"/>
        </w:r>
        <w:r w:rsidR="000F2276">
          <w:rPr>
            <w:noProof/>
            <w:webHidden/>
          </w:rPr>
          <w:t>85</w:t>
        </w:r>
        <w:r w:rsidR="006A17A0" w:rsidRPr="003C0E2F">
          <w:rPr>
            <w:noProof/>
            <w:webHidden/>
          </w:rPr>
          <w:fldChar w:fldCharType="end"/>
        </w:r>
      </w:hyperlink>
    </w:p>
    <w:p w14:paraId="05E1A8EE" w14:textId="204CB233" w:rsidR="006A17A0" w:rsidRPr="003C0E2F" w:rsidRDefault="00BB038D">
      <w:pPr>
        <w:pStyle w:val="TableofFigures"/>
        <w:tabs>
          <w:tab w:val="right" w:leader="dot" w:pos="9016"/>
        </w:tabs>
        <w:rPr>
          <w:rFonts w:cstheme="minorBidi"/>
          <w:caps w:val="0"/>
          <w:noProof/>
          <w:sz w:val="22"/>
          <w:szCs w:val="22"/>
        </w:rPr>
      </w:pPr>
      <w:hyperlink w:anchor="_Toc82882965" w:history="1">
        <w:r w:rsidR="006A17A0" w:rsidRPr="003C0E2F">
          <w:rPr>
            <w:rStyle w:val="Hyperlink"/>
            <w:noProof/>
            <w:color w:val="auto"/>
          </w:rPr>
          <w:t>Figure 24. The effect of FP12 on IL-1β production in THP-1 monocytes and 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_Toc82882965 \h </w:instrText>
        </w:r>
        <w:r w:rsidR="006A17A0" w:rsidRPr="003C0E2F">
          <w:rPr>
            <w:noProof/>
            <w:webHidden/>
          </w:rPr>
        </w:r>
        <w:r w:rsidR="006A17A0" w:rsidRPr="003C0E2F">
          <w:rPr>
            <w:noProof/>
            <w:webHidden/>
          </w:rPr>
          <w:fldChar w:fldCharType="separate"/>
        </w:r>
        <w:r w:rsidR="000F2276">
          <w:rPr>
            <w:noProof/>
            <w:webHidden/>
          </w:rPr>
          <w:t>87</w:t>
        </w:r>
        <w:r w:rsidR="006A17A0" w:rsidRPr="003C0E2F">
          <w:rPr>
            <w:noProof/>
            <w:webHidden/>
          </w:rPr>
          <w:fldChar w:fldCharType="end"/>
        </w:r>
      </w:hyperlink>
    </w:p>
    <w:p w14:paraId="3D1A7167" w14:textId="443902F6" w:rsidR="006A17A0" w:rsidRPr="003C0E2F" w:rsidRDefault="00BB038D">
      <w:pPr>
        <w:pStyle w:val="TableofFigures"/>
        <w:tabs>
          <w:tab w:val="right" w:leader="dot" w:pos="9016"/>
        </w:tabs>
        <w:rPr>
          <w:rFonts w:cstheme="minorBidi"/>
          <w:caps w:val="0"/>
          <w:noProof/>
          <w:sz w:val="22"/>
          <w:szCs w:val="22"/>
        </w:rPr>
      </w:pPr>
      <w:hyperlink w:anchor="_Toc82882966" w:history="1">
        <w:r w:rsidR="006A17A0" w:rsidRPr="003C0E2F">
          <w:rPr>
            <w:rStyle w:val="Hyperlink"/>
            <w:noProof/>
            <w:color w:val="auto"/>
          </w:rPr>
          <w:t>Figure 25. The effect of FP12 on IL-6 production in THP-1 monocytes and 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_Toc82882966 \h </w:instrText>
        </w:r>
        <w:r w:rsidR="006A17A0" w:rsidRPr="003C0E2F">
          <w:rPr>
            <w:noProof/>
            <w:webHidden/>
          </w:rPr>
        </w:r>
        <w:r w:rsidR="006A17A0" w:rsidRPr="003C0E2F">
          <w:rPr>
            <w:noProof/>
            <w:webHidden/>
          </w:rPr>
          <w:fldChar w:fldCharType="separate"/>
        </w:r>
        <w:r w:rsidR="000F2276">
          <w:rPr>
            <w:noProof/>
            <w:webHidden/>
          </w:rPr>
          <w:t>88</w:t>
        </w:r>
        <w:r w:rsidR="006A17A0" w:rsidRPr="003C0E2F">
          <w:rPr>
            <w:noProof/>
            <w:webHidden/>
          </w:rPr>
          <w:fldChar w:fldCharType="end"/>
        </w:r>
      </w:hyperlink>
    </w:p>
    <w:p w14:paraId="3A7D4613" w14:textId="01E4176E" w:rsidR="006A17A0" w:rsidRPr="003C0E2F" w:rsidRDefault="00BB038D">
      <w:pPr>
        <w:pStyle w:val="TableofFigures"/>
        <w:tabs>
          <w:tab w:val="right" w:leader="dot" w:pos="9016"/>
        </w:tabs>
        <w:rPr>
          <w:rFonts w:cstheme="minorBidi"/>
          <w:caps w:val="0"/>
          <w:noProof/>
          <w:sz w:val="22"/>
          <w:szCs w:val="22"/>
        </w:rPr>
      </w:pPr>
      <w:hyperlink w:anchor="_Toc82882967" w:history="1">
        <w:r w:rsidR="006A17A0" w:rsidRPr="003C0E2F">
          <w:rPr>
            <w:rStyle w:val="Hyperlink"/>
            <w:noProof/>
            <w:color w:val="auto"/>
          </w:rPr>
          <w:t>Figure 26. The effect of FP12 on NF-κB and P38 MAPK phosphorylation in THP-1 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_Toc82882967 \h </w:instrText>
        </w:r>
        <w:r w:rsidR="006A17A0" w:rsidRPr="003C0E2F">
          <w:rPr>
            <w:noProof/>
            <w:webHidden/>
          </w:rPr>
        </w:r>
        <w:r w:rsidR="006A17A0" w:rsidRPr="003C0E2F">
          <w:rPr>
            <w:noProof/>
            <w:webHidden/>
          </w:rPr>
          <w:fldChar w:fldCharType="separate"/>
        </w:r>
        <w:r w:rsidR="000F2276">
          <w:rPr>
            <w:noProof/>
            <w:webHidden/>
          </w:rPr>
          <w:t>89</w:t>
        </w:r>
        <w:r w:rsidR="006A17A0" w:rsidRPr="003C0E2F">
          <w:rPr>
            <w:noProof/>
            <w:webHidden/>
          </w:rPr>
          <w:fldChar w:fldCharType="end"/>
        </w:r>
      </w:hyperlink>
    </w:p>
    <w:p w14:paraId="72F60F94" w14:textId="5504ADE0" w:rsidR="006A17A0" w:rsidRPr="003C0E2F" w:rsidRDefault="00BB038D">
      <w:pPr>
        <w:pStyle w:val="TableofFigures"/>
        <w:tabs>
          <w:tab w:val="right" w:leader="dot" w:pos="9016"/>
        </w:tabs>
        <w:rPr>
          <w:rFonts w:cstheme="minorBidi"/>
          <w:caps w:val="0"/>
          <w:noProof/>
          <w:sz w:val="22"/>
          <w:szCs w:val="22"/>
        </w:rPr>
      </w:pPr>
      <w:hyperlink w:anchor="_Toc82882968" w:history="1">
        <w:r w:rsidR="006A17A0" w:rsidRPr="003C0E2F">
          <w:rPr>
            <w:rStyle w:val="Hyperlink"/>
            <w:noProof/>
            <w:color w:val="auto"/>
          </w:rPr>
          <w:t>Figure 27. FP7 and FP12 downregulate MyD88-dependent cytokines at different treatment timings.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_Toc82882968 \h </w:instrText>
        </w:r>
        <w:r w:rsidR="006A17A0" w:rsidRPr="003C0E2F">
          <w:rPr>
            <w:noProof/>
            <w:webHidden/>
          </w:rPr>
        </w:r>
        <w:r w:rsidR="006A17A0" w:rsidRPr="003C0E2F">
          <w:rPr>
            <w:noProof/>
            <w:webHidden/>
          </w:rPr>
          <w:fldChar w:fldCharType="separate"/>
        </w:r>
        <w:r w:rsidR="000F2276">
          <w:rPr>
            <w:noProof/>
            <w:webHidden/>
          </w:rPr>
          <w:t>94</w:t>
        </w:r>
        <w:r w:rsidR="006A17A0" w:rsidRPr="003C0E2F">
          <w:rPr>
            <w:noProof/>
            <w:webHidden/>
          </w:rPr>
          <w:fldChar w:fldCharType="end"/>
        </w:r>
      </w:hyperlink>
    </w:p>
    <w:p w14:paraId="64C0A84F" w14:textId="296BFECC" w:rsidR="006A17A0" w:rsidRPr="003C0E2F" w:rsidRDefault="00BB038D">
      <w:pPr>
        <w:pStyle w:val="TableofFigures"/>
        <w:tabs>
          <w:tab w:val="right" w:leader="dot" w:pos="9016"/>
        </w:tabs>
        <w:rPr>
          <w:rFonts w:cstheme="minorBidi"/>
          <w:caps w:val="0"/>
          <w:noProof/>
          <w:sz w:val="22"/>
          <w:szCs w:val="22"/>
        </w:rPr>
      </w:pPr>
      <w:hyperlink w:anchor="_Toc82882969" w:history="1">
        <w:r w:rsidR="006A17A0" w:rsidRPr="003C0E2F">
          <w:rPr>
            <w:rStyle w:val="Hyperlink"/>
            <w:noProof/>
            <w:color w:val="auto"/>
          </w:rPr>
          <w:t xml:space="preserve">Figure 28. The effect of FP7 on IL-6, </w:t>
        </w:r>
        <w:r w:rsidR="006A17A0" w:rsidRPr="003C0E2F">
          <w:rPr>
            <w:rStyle w:val="Hyperlink"/>
            <w:bCs/>
            <w:noProof/>
            <w:color w:val="auto"/>
          </w:rPr>
          <w:t>IL-8 and IL-1</w:t>
        </w:r>
        <w:r w:rsidR="006A17A0" w:rsidRPr="003C0E2F">
          <w:rPr>
            <w:rStyle w:val="Hyperlink"/>
            <w:rFonts w:ascii="Calibri" w:hAnsi="Calibri" w:cs="Calibri"/>
            <w:bCs/>
            <w:noProof/>
            <w:color w:val="auto"/>
          </w:rPr>
          <w:t>β</w:t>
        </w:r>
        <w:r w:rsidR="006A17A0" w:rsidRPr="003C0E2F">
          <w:rPr>
            <w:rStyle w:val="Hyperlink"/>
            <w:noProof/>
            <w:color w:val="auto"/>
          </w:rPr>
          <w:t xml:space="preserve"> production in PMBC-derived 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_Toc82882969 \h </w:instrText>
        </w:r>
        <w:r w:rsidR="006A17A0" w:rsidRPr="003C0E2F">
          <w:rPr>
            <w:noProof/>
            <w:webHidden/>
          </w:rPr>
        </w:r>
        <w:r w:rsidR="006A17A0" w:rsidRPr="003C0E2F">
          <w:rPr>
            <w:noProof/>
            <w:webHidden/>
          </w:rPr>
          <w:fldChar w:fldCharType="separate"/>
        </w:r>
        <w:r w:rsidR="000F2276">
          <w:rPr>
            <w:noProof/>
            <w:webHidden/>
          </w:rPr>
          <w:t>95</w:t>
        </w:r>
        <w:r w:rsidR="006A17A0" w:rsidRPr="003C0E2F">
          <w:rPr>
            <w:noProof/>
            <w:webHidden/>
          </w:rPr>
          <w:fldChar w:fldCharType="end"/>
        </w:r>
      </w:hyperlink>
    </w:p>
    <w:p w14:paraId="4E05CF2B" w14:textId="2A8ED277" w:rsidR="006A17A0" w:rsidRPr="003C0E2F" w:rsidRDefault="00BB038D">
      <w:pPr>
        <w:pStyle w:val="TableofFigures"/>
        <w:tabs>
          <w:tab w:val="right" w:leader="dot" w:pos="9016"/>
        </w:tabs>
        <w:rPr>
          <w:rFonts w:cstheme="minorBidi"/>
          <w:caps w:val="0"/>
          <w:noProof/>
          <w:sz w:val="22"/>
          <w:szCs w:val="22"/>
        </w:rPr>
      </w:pPr>
      <w:hyperlink w:anchor="_Toc82882970" w:history="1">
        <w:r w:rsidR="006A17A0" w:rsidRPr="003C0E2F">
          <w:rPr>
            <w:rStyle w:val="Hyperlink"/>
            <w:noProof/>
            <w:color w:val="auto"/>
          </w:rPr>
          <w:t>Figure 29. The effect of FP7 on p-p65/NF-</w:t>
        </w:r>
        <w:r w:rsidR="006A17A0" w:rsidRPr="003C0E2F">
          <w:rPr>
            <w:rStyle w:val="Hyperlink"/>
            <w:rFonts w:ascii="Calibri" w:hAnsi="Calibri" w:cs="Calibri"/>
            <w:noProof/>
            <w:color w:val="auto"/>
          </w:rPr>
          <w:t>κ</w:t>
        </w:r>
        <w:r w:rsidR="006A17A0" w:rsidRPr="003C0E2F">
          <w:rPr>
            <w:rStyle w:val="Hyperlink"/>
            <w:noProof/>
            <w:color w:val="auto"/>
          </w:rPr>
          <w:t xml:space="preserve">B and p-P38 activation in </w:t>
        </w:r>
        <w:r w:rsidR="006A17A0" w:rsidRPr="003C0E2F">
          <w:rPr>
            <w:rStyle w:val="Hyperlink"/>
            <w:bCs/>
            <w:noProof/>
            <w:color w:val="auto"/>
          </w:rPr>
          <w:t xml:space="preserve">PBMC derived </w:t>
        </w:r>
        <w:r w:rsidR="00876806" w:rsidRPr="003C0E2F">
          <w:rPr>
            <w:rStyle w:val="Hyperlink"/>
            <w:bCs/>
            <w:noProof/>
            <w:color w:val="auto"/>
          </w:rPr>
          <w:t xml:space="preserve">       </w:t>
        </w:r>
        <w:r w:rsidR="006A17A0" w:rsidRPr="003C0E2F">
          <w:rPr>
            <w:rStyle w:val="Hyperlink"/>
            <w:bCs/>
            <w:noProof/>
            <w:color w:val="auto"/>
          </w:rPr>
          <w:t>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_Toc82882970 \h </w:instrText>
        </w:r>
        <w:r w:rsidR="006A17A0" w:rsidRPr="003C0E2F">
          <w:rPr>
            <w:noProof/>
            <w:webHidden/>
          </w:rPr>
        </w:r>
        <w:r w:rsidR="006A17A0" w:rsidRPr="003C0E2F">
          <w:rPr>
            <w:noProof/>
            <w:webHidden/>
          </w:rPr>
          <w:fldChar w:fldCharType="separate"/>
        </w:r>
        <w:r w:rsidR="000F2276">
          <w:rPr>
            <w:noProof/>
            <w:webHidden/>
          </w:rPr>
          <w:t>96</w:t>
        </w:r>
        <w:r w:rsidR="006A17A0" w:rsidRPr="003C0E2F">
          <w:rPr>
            <w:noProof/>
            <w:webHidden/>
          </w:rPr>
          <w:fldChar w:fldCharType="end"/>
        </w:r>
      </w:hyperlink>
    </w:p>
    <w:p w14:paraId="4FE970BF" w14:textId="0950FC43" w:rsidR="006A17A0" w:rsidRPr="003C0E2F" w:rsidRDefault="00BB038D">
      <w:pPr>
        <w:pStyle w:val="TableofFigures"/>
        <w:tabs>
          <w:tab w:val="right" w:leader="dot" w:pos="9016"/>
        </w:tabs>
        <w:rPr>
          <w:rFonts w:cstheme="minorBidi"/>
          <w:caps w:val="0"/>
          <w:noProof/>
          <w:sz w:val="22"/>
          <w:szCs w:val="22"/>
        </w:rPr>
      </w:pPr>
      <w:hyperlink w:anchor="_Toc82882971" w:history="1">
        <w:r w:rsidR="006A17A0" w:rsidRPr="003C0E2F">
          <w:rPr>
            <w:rStyle w:val="Hyperlink"/>
            <w:noProof/>
            <w:color w:val="auto"/>
          </w:rPr>
          <w:t>Figure 30. The effect of oxLDL on THP-1 macrophage cell viability.</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_Toc82882971 \h </w:instrText>
        </w:r>
        <w:r w:rsidR="006A17A0" w:rsidRPr="003C0E2F">
          <w:rPr>
            <w:noProof/>
            <w:webHidden/>
          </w:rPr>
        </w:r>
        <w:r w:rsidR="006A17A0" w:rsidRPr="003C0E2F">
          <w:rPr>
            <w:noProof/>
            <w:webHidden/>
          </w:rPr>
          <w:fldChar w:fldCharType="separate"/>
        </w:r>
        <w:r w:rsidR="000F2276">
          <w:rPr>
            <w:noProof/>
            <w:webHidden/>
          </w:rPr>
          <w:t>99</w:t>
        </w:r>
        <w:r w:rsidR="006A17A0" w:rsidRPr="003C0E2F">
          <w:rPr>
            <w:noProof/>
            <w:webHidden/>
          </w:rPr>
          <w:fldChar w:fldCharType="end"/>
        </w:r>
      </w:hyperlink>
    </w:p>
    <w:p w14:paraId="49973E35" w14:textId="71B14200" w:rsidR="006A17A0" w:rsidRPr="003C0E2F" w:rsidRDefault="00BB038D">
      <w:pPr>
        <w:pStyle w:val="TableofFigures"/>
        <w:tabs>
          <w:tab w:val="right" w:leader="dot" w:pos="9016"/>
        </w:tabs>
        <w:rPr>
          <w:rFonts w:cstheme="minorBidi"/>
          <w:caps w:val="0"/>
          <w:noProof/>
          <w:sz w:val="22"/>
          <w:szCs w:val="22"/>
        </w:rPr>
      </w:pPr>
      <w:hyperlink w:anchor="_Toc82882972" w:history="1">
        <w:r w:rsidR="006A17A0" w:rsidRPr="003C0E2F">
          <w:rPr>
            <w:rStyle w:val="Hyperlink"/>
            <w:noProof/>
            <w:color w:val="auto"/>
          </w:rPr>
          <w:t>Figure 31</w:t>
        </w:r>
        <w:r w:rsidR="006A17A0" w:rsidRPr="003C0E2F">
          <w:rPr>
            <w:rStyle w:val="Hyperlink"/>
            <w:bCs/>
            <w:noProof/>
            <w:color w:val="auto"/>
          </w:rPr>
          <w:t>. FP7 downregulates IL-1β secretion in response to oxLDL in THP-1 derived 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_Toc82882972 \h </w:instrText>
        </w:r>
        <w:r w:rsidR="006A17A0" w:rsidRPr="003C0E2F">
          <w:rPr>
            <w:noProof/>
            <w:webHidden/>
          </w:rPr>
        </w:r>
        <w:r w:rsidR="006A17A0" w:rsidRPr="003C0E2F">
          <w:rPr>
            <w:noProof/>
            <w:webHidden/>
          </w:rPr>
          <w:fldChar w:fldCharType="separate"/>
        </w:r>
        <w:r w:rsidR="000F2276">
          <w:rPr>
            <w:noProof/>
            <w:webHidden/>
          </w:rPr>
          <w:t>100</w:t>
        </w:r>
        <w:r w:rsidR="006A17A0" w:rsidRPr="003C0E2F">
          <w:rPr>
            <w:noProof/>
            <w:webHidden/>
          </w:rPr>
          <w:fldChar w:fldCharType="end"/>
        </w:r>
      </w:hyperlink>
    </w:p>
    <w:p w14:paraId="4A3A4388" w14:textId="39E3061A" w:rsidR="006A17A0" w:rsidRPr="003C0E2F" w:rsidRDefault="00BB038D">
      <w:pPr>
        <w:pStyle w:val="TableofFigures"/>
        <w:tabs>
          <w:tab w:val="right" w:leader="dot" w:pos="9016"/>
        </w:tabs>
        <w:rPr>
          <w:rFonts w:cstheme="minorBidi"/>
          <w:caps w:val="0"/>
          <w:noProof/>
          <w:sz w:val="22"/>
          <w:szCs w:val="22"/>
        </w:rPr>
      </w:pPr>
      <w:hyperlink w:anchor="_Toc82882973" w:history="1">
        <w:r w:rsidR="006A17A0" w:rsidRPr="003C0E2F">
          <w:rPr>
            <w:rStyle w:val="Hyperlink"/>
            <w:noProof/>
            <w:color w:val="auto"/>
          </w:rPr>
          <w:t xml:space="preserve">Figure 32. </w:t>
        </w:r>
        <w:r w:rsidR="006A17A0" w:rsidRPr="003C0E2F">
          <w:rPr>
            <w:rStyle w:val="Hyperlink"/>
            <w:bCs/>
            <w:noProof/>
            <w:color w:val="auto"/>
          </w:rPr>
          <w:t xml:space="preserve">FP7 downregulates IL-6 secretion in response to oxLDL in THP-1 derived </w:t>
        </w:r>
        <w:r w:rsidR="00876806" w:rsidRPr="003C0E2F">
          <w:rPr>
            <w:rStyle w:val="Hyperlink"/>
            <w:bCs/>
            <w:noProof/>
            <w:color w:val="auto"/>
          </w:rPr>
          <w:t xml:space="preserve">   </w:t>
        </w:r>
        <w:r w:rsidR="006A17A0" w:rsidRPr="003C0E2F">
          <w:rPr>
            <w:rStyle w:val="Hyperlink"/>
            <w:bCs/>
            <w:noProof/>
            <w:color w:val="auto"/>
          </w:rPr>
          <w:t>macrophages.</w:t>
        </w:r>
        <w:r w:rsidR="006A17A0" w:rsidRPr="003C0E2F">
          <w:rPr>
            <w:rStyle w:val="Hyperlink"/>
            <w:noProof/>
            <w:color w:val="auto"/>
          </w:rPr>
          <w:t>.</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_Toc82882973 \h </w:instrText>
        </w:r>
        <w:r w:rsidR="006A17A0" w:rsidRPr="003C0E2F">
          <w:rPr>
            <w:noProof/>
            <w:webHidden/>
          </w:rPr>
        </w:r>
        <w:r w:rsidR="006A17A0" w:rsidRPr="003C0E2F">
          <w:rPr>
            <w:noProof/>
            <w:webHidden/>
          </w:rPr>
          <w:fldChar w:fldCharType="separate"/>
        </w:r>
        <w:r w:rsidR="000F2276">
          <w:rPr>
            <w:noProof/>
            <w:webHidden/>
          </w:rPr>
          <w:t>101</w:t>
        </w:r>
        <w:r w:rsidR="006A17A0" w:rsidRPr="003C0E2F">
          <w:rPr>
            <w:noProof/>
            <w:webHidden/>
          </w:rPr>
          <w:fldChar w:fldCharType="end"/>
        </w:r>
      </w:hyperlink>
    </w:p>
    <w:p w14:paraId="383D8ECD" w14:textId="749C820B" w:rsidR="006A17A0" w:rsidRPr="003C0E2F" w:rsidRDefault="00BB038D">
      <w:pPr>
        <w:pStyle w:val="TableofFigures"/>
        <w:tabs>
          <w:tab w:val="right" w:leader="dot" w:pos="9016"/>
        </w:tabs>
        <w:rPr>
          <w:rFonts w:cstheme="minorBidi"/>
          <w:caps w:val="0"/>
          <w:noProof/>
          <w:sz w:val="22"/>
          <w:szCs w:val="22"/>
        </w:rPr>
      </w:pPr>
      <w:hyperlink w:anchor="_Toc82882974" w:history="1">
        <w:r w:rsidR="006A17A0" w:rsidRPr="003C0E2F">
          <w:rPr>
            <w:rStyle w:val="Hyperlink"/>
            <w:noProof/>
            <w:color w:val="auto"/>
          </w:rPr>
          <w:t xml:space="preserve">Figure 33. </w:t>
        </w:r>
        <w:r w:rsidR="006A17A0" w:rsidRPr="003C0E2F">
          <w:rPr>
            <w:rStyle w:val="Hyperlink"/>
            <w:bCs/>
            <w:noProof/>
            <w:color w:val="auto"/>
          </w:rPr>
          <w:t xml:space="preserve">FP7 downregulates IL-8 secretion in response to oxLDL in THP-1 derived </w:t>
        </w:r>
        <w:r w:rsidR="00876806" w:rsidRPr="003C0E2F">
          <w:rPr>
            <w:rStyle w:val="Hyperlink"/>
            <w:bCs/>
            <w:noProof/>
            <w:color w:val="auto"/>
          </w:rPr>
          <w:t xml:space="preserve">    </w:t>
        </w:r>
        <w:r w:rsidR="006A17A0" w:rsidRPr="003C0E2F">
          <w:rPr>
            <w:rStyle w:val="Hyperlink"/>
            <w:bCs/>
            <w:noProof/>
            <w:color w:val="auto"/>
          </w:rPr>
          <w:t>macrophages.</w:t>
        </w:r>
        <w:r w:rsidR="006A17A0" w:rsidRPr="003C0E2F">
          <w:rPr>
            <w:rStyle w:val="Hyperlink"/>
            <w:noProof/>
            <w:color w:val="auto"/>
          </w:rPr>
          <w:t>.</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_Toc82882974 \h </w:instrText>
        </w:r>
        <w:r w:rsidR="006A17A0" w:rsidRPr="003C0E2F">
          <w:rPr>
            <w:noProof/>
            <w:webHidden/>
          </w:rPr>
        </w:r>
        <w:r w:rsidR="006A17A0" w:rsidRPr="003C0E2F">
          <w:rPr>
            <w:noProof/>
            <w:webHidden/>
          </w:rPr>
          <w:fldChar w:fldCharType="separate"/>
        </w:r>
        <w:r w:rsidR="000F2276">
          <w:rPr>
            <w:noProof/>
            <w:webHidden/>
          </w:rPr>
          <w:t>102</w:t>
        </w:r>
        <w:r w:rsidR="006A17A0" w:rsidRPr="003C0E2F">
          <w:rPr>
            <w:noProof/>
            <w:webHidden/>
          </w:rPr>
          <w:fldChar w:fldCharType="end"/>
        </w:r>
      </w:hyperlink>
    </w:p>
    <w:p w14:paraId="2C9C1282" w14:textId="33124B48" w:rsidR="006A17A0" w:rsidRPr="003C0E2F" w:rsidRDefault="00BB038D">
      <w:pPr>
        <w:pStyle w:val="TableofFigures"/>
        <w:tabs>
          <w:tab w:val="right" w:leader="dot" w:pos="9016"/>
        </w:tabs>
        <w:rPr>
          <w:rFonts w:cstheme="minorBidi"/>
          <w:caps w:val="0"/>
          <w:noProof/>
          <w:sz w:val="22"/>
          <w:szCs w:val="22"/>
        </w:rPr>
      </w:pPr>
      <w:hyperlink w:anchor="_Toc82882975" w:history="1">
        <w:r w:rsidR="006A17A0" w:rsidRPr="003C0E2F">
          <w:rPr>
            <w:rStyle w:val="Hyperlink"/>
            <w:noProof/>
            <w:color w:val="auto"/>
          </w:rPr>
          <w:t>Figure 34. FP11 upregulates NF-</w:t>
        </w:r>
        <w:r w:rsidR="006A17A0" w:rsidRPr="003C0E2F">
          <w:rPr>
            <w:rStyle w:val="Hyperlink"/>
            <w:rFonts w:ascii="Calibri" w:hAnsi="Calibri" w:cs="Calibri"/>
            <w:noProof/>
            <w:color w:val="auto"/>
          </w:rPr>
          <w:t>κ</w:t>
        </w:r>
        <w:r w:rsidR="006A17A0" w:rsidRPr="003C0E2F">
          <w:rPr>
            <w:rStyle w:val="Hyperlink"/>
            <w:noProof/>
            <w:color w:val="auto"/>
          </w:rPr>
          <w:t>B phosphorylation.</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_Toc82882975 \h </w:instrText>
        </w:r>
        <w:r w:rsidR="006A17A0" w:rsidRPr="003C0E2F">
          <w:rPr>
            <w:noProof/>
            <w:webHidden/>
          </w:rPr>
        </w:r>
        <w:r w:rsidR="006A17A0" w:rsidRPr="003C0E2F">
          <w:rPr>
            <w:noProof/>
            <w:webHidden/>
          </w:rPr>
          <w:fldChar w:fldCharType="separate"/>
        </w:r>
        <w:r w:rsidR="000F2276">
          <w:rPr>
            <w:noProof/>
            <w:webHidden/>
          </w:rPr>
          <w:t>105</w:t>
        </w:r>
        <w:r w:rsidR="006A17A0" w:rsidRPr="003C0E2F">
          <w:rPr>
            <w:noProof/>
            <w:webHidden/>
          </w:rPr>
          <w:fldChar w:fldCharType="end"/>
        </w:r>
      </w:hyperlink>
    </w:p>
    <w:p w14:paraId="7A7EDC5D" w14:textId="01D4638D" w:rsidR="006A17A0" w:rsidRPr="003C0E2F" w:rsidRDefault="00BB038D">
      <w:pPr>
        <w:pStyle w:val="TableofFigures"/>
        <w:tabs>
          <w:tab w:val="right" w:leader="dot" w:pos="9016"/>
        </w:tabs>
        <w:rPr>
          <w:rFonts w:cstheme="minorBidi"/>
          <w:caps w:val="0"/>
          <w:noProof/>
          <w:sz w:val="22"/>
          <w:szCs w:val="22"/>
        </w:rPr>
      </w:pPr>
      <w:hyperlink w:anchor="_Toc82882976" w:history="1">
        <w:r w:rsidR="006A17A0" w:rsidRPr="003C0E2F">
          <w:rPr>
            <w:rStyle w:val="Hyperlink"/>
            <w:noProof/>
            <w:color w:val="auto"/>
          </w:rPr>
          <w:t>Figure 35. FP11 and FP18 upregulate IL-1β production in THP-1 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_Toc82882976 \h </w:instrText>
        </w:r>
        <w:r w:rsidR="006A17A0" w:rsidRPr="003C0E2F">
          <w:rPr>
            <w:noProof/>
            <w:webHidden/>
          </w:rPr>
        </w:r>
        <w:r w:rsidR="006A17A0" w:rsidRPr="003C0E2F">
          <w:rPr>
            <w:noProof/>
            <w:webHidden/>
          </w:rPr>
          <w:fldChar w:fldCharType="separate"/>
        </w:r>
        <w:r w:rsidR="000F2276">
          <w:rPr>
            <w:noProof/>
            <w:webHidden/>
          </w:rPr>
          <w:t>106</w:t>
        </w:r>
        <w:r w:rsidR="006A17A0" w:rsidRPr="003C0E2F">
          <w:rPr>
            <w:noProof/>
            <w:webHidden/>
          </w:rPr>
          <w:fldChar w:fldCharType="end"/>
        </w:r>
      </w:hyperlink>
    </w:p>
    <w:p w14:paraId="6FD8E580" w14:textId="136F5E7A" w:rsidR="006A17A0" w:rsidRPr="003C0E2F" w:rsidRDefault="00BB038D">
      <w:pPr>
        <w:pStyle w:val="TableofFigures"/>
        <w:tabs>
          <w:tab w:val="right" w:leader="dot" w:pos="9016"/>
        </w:tabs>
        <w:rPr>
          <w:rFonts w:cstheme="minorBidi"/>
          <w:caps w:val="0"/>
          <w:noProof/>
          <w:sz w:val="22"/>
          <w:szCs w:val="22"/>
        </w:rPr>
      </w:pPr>
      <w:hyperlink w:anchor="_Toc82882977" w:history="1">
        <w:r w:rsidR="006A17A0" w:rsidRPr="003C0E2F">
          <w:rPr>
            <w:rStyle w:val="Hyperlink"/>
            <w:noProof/>
            <w:color w:val="auto"/>
          </w:rPr>
          <w:t>Figure 36.</w:t>
        </w:r>
        <w:r w:rsidR="006A17A0" w:rsidRPr="003C0E2F">
          <w:rPr>
            <w:rStyle w:val="Hyperlink"/>
            <w:bCs/>
            <w:noProof/>
            <w:color w:val="auto"/>
          </w:rPr>
          <w:t>The effect of FP7 on RAW264 cell viability</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_Toc82882977 \h </w:instrText>
        </w:r>
        <w:r w:rsidR="006A17A0" w:rsidRPr="003C0E2F">
          <w:rPr>
            <w:noProof/>
            <w:webHidden/>
          </w:rPr>
        </w:r>
        <w:r w:rsidR="006A17A0" w:rsidRPr="003C0E2F">
          <w:rPr>
            <w:noProof/>
            <w:webHidden/>
          </w:rPr>
          <w:fldChar w:fldCharType="separate"/>
        </w:r>
        <w:r w:rsidR="000F2276">
          <w:rPr>
            <w:noProof/>
            <w:webHidden/>
          </w:rPr>
          <w:t>110</w:t>
        </w:r>
        <w:r w:rsidR="006A17A0" w:rsidRPr="003C0E2F">
          <w:rPr>
            <w:noProof/>
            <w:webHidden/>
          </w:rPr>
          <w:fldChar w:fldCharType="end"/>
        </w:r>
      </w:hyperlink>
    </w:p>
    <w:p w14:paraId="6EE95A4E" w14:textId="2A82AC6C" w:rsidR="006A17A0" w:rsidRPr="003C0E2F" w:rsidRDefault="00BB038D">
      <w:pPr>
        <w:pStyle w:val="TableofFigures"/>
        <w:tabs>
          <w:tab w:val="right" w:leader="dot" w:pos="9016"/>
        </w:tabs>
        <w:rPr>
          <w:rFonts w:cstheme="minorBidi"/>
          <w:caps w:val="0"/>
          <w:noProof/>
          <w:sz w:val="22"/>
          <w:szCs w:val="22"/>
        </w:rPr>
      </w:pPr>
      <w:hyperlink w:anchor="_Toc82882978" w:history="1">
        <w:r w:rsidR="006A17A0" w:rsidRPr="003C0E2F">
          <w:rPr>
            <w:rStyle w:val="Hyperlink"/>
            <w:noProof/>
            <w:color w:val="auto"/>
          </w:rPr>
          <w:t>Figure 37. The effect of FP7 on KC and IL-6 production in RAW264 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_Toc82882978 \h </w:instrText>
        </w:r>
        <w:r w:rsidR="006A17A0" w:rsidRPr="003C0E2F">
          <w:rPr>
            <w:noProof/>
            <w:webHidden/>
          </w:rPr>
        </w:r>
        <w:r w:rsidR="006A17A0" w:rsidRPr="003C0E2F">
          <w:rPr>
            <w:noProof/>
            <w:webHidden/>
          </w:rPr>
          <w:fldChar w:fldCharType="separate"/>
        </w:r>
        <w:r w:rsidR="000F2276">
          <w:rPr>
            <w:noProof/>
            <w:webHidden/>
          </w:rPr>
          <w:t>111</w:t>
        </w:r>
        <w:r w:rsidR="006A17A0" w:rsidRPr="003C0E2F">
          <w:rPr>
            <w:noProof/>
            <w:webHidden/>
          </w:rPr>
          <w:fldChar w:fldCharType="end"/>
        </w:r>
      </w:hyperlink>
    </w:p>
    <w:p w14:paraId="093A5774" w14:textId="6F8D1255" w:rsidR="006A17A0" w:rsidRPr="003C0E2F" w:rsidRDefault="00BB038D">
      <w:pPr>
        <w:pStyle w:val="TableofFigures"/>
        <w:tabs>
          <w:tab w:val="right" w:leader="dot" w:pos="9016"/>
        </w:tabs>
        <w:rPr>
          <w:rFonts w:cstheme="minorBidi"/>
          <w:caps w:val="0"/>
          <w:noProof/>
          <w:sz w:val="22"/>
          <w:szCs w:val="22"/>
        </w:rPr>
      </w:pPr>
      <w:hyperlink w:anchor="_Toc82882979" w:history="1">
        <w:r w:rsidR="006A17A0" w:rsidRPr="003C0E2F">
          <w:rPr>
            <w:rStyle w:val="Hyperlink"/>
            <w:noProof/>
            <w:color w:val="auto"/>
          </w:rPr>
          <w:t>Figure 38. The effect of FP7 on LPS induced P38 MAPK and NF-κB activation in RAW264 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_Toc82882979 \h </w:instrText>
        </w:r>
        <w:r w:rsidR="006A17A0" w:rsidRPr="003C0E2F">
          <w:rPr>
            <w:noProof/>
            <w:webHidden/>
          </w:rPr>
        </w:r>
        <w:r w:rsidR="006A17A0" w:rsidRPr="003C0E2F">
          <w:rPr>
            <w:noProof/>
            <w:webHidden/>
          </w:rPr>
          <w:fldChar w:fldCharType="separate"/>
        </w:r>
        <w:r w:rsidR="000F2276">
          <w:rPr>
            <w:noProof/>
            <w:webHidden/>
          </w:rPr>
          <w:t>112</w:t>
        </w:r>
        <w:r w:rsidR="006A17A0" w:rsidRPr="003C0E2F">
          <w:rPr>
            <w:noProof/>
            <w:webHidden/>
          </w:rPr>
          <w:fldChar w:fldCharType="end"/>
        </w:r>
      </w:hyperlink>
    </w:p>
    <w:p w14:paraId="1E39AD06" w14:textId="6EEF4919" w:rsidR="006A17A0" w:rsidRPr="003C0E2F" w:rsidRDefault="00BB038D">
      <w:pPr>
        <w:pStyle w:val="TableofFigures"/>
        <w:tabs>
          <w:tab w:val="right" w:leader="dot" w:pos="9016"/>
        </w:tabs>
        <w:rPr>
          <w:rFonts w:cstheme="minorBidi"/>
          <w:caps w:val="0"/>
          <w:noProof/>
          <w:sz w:val="22"/>
          <w:szCs w:val="22"/>
        </w:rPr>
      </w:pPr>
      <w:hyperlink w:anchor="_Toc82882980" w:history="1">
        <w:r w:rsidR="006A17A0" w:rsidRPr="003C0E2F">
          <w:rPr>
            <w:rStyle w:val="Hyperlink"/>
            <w:noProof/>
            <w:color w:val="auto"/>
          </w:rPr>
          <w:t>Figure 39. The effect</w:t>
        </w:r>
        <w:r w:rsidR="006A17A0" w:rsidRPr="003C0E2F">
          <w:rPr>
            <w:rStyle w:val="Hyperlink"/>
            <w:bCs/>
            <w:noProof/>
            <w:color w:val="auto"/>
          </w:rPr>
          <w:t xml:space="preserve"> of FP7 on LPS induced ERK and JNK activation in RAW264 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_Toc82882980 \h </w:instrText>
        </w:r>
        <w:r w:rsidR="006A17A0" w:rsidRPr="003C0E2F">
          <w:rPr>
            <w:noProof/>
            <w:webHidden/>
          </w:rPr>
        </w:r>
        <w:r w:rsidR="006A17A0" w:rsidRPr="003C0E2F">
          <w:rPr>
            <w:noProof/>
            <w:webHidden/>
          </w:rPr>
          <w:fldChar w:fldCharType="separate"/>
        </w:r>
        <w:r w:rsidR="000F2276">
          <w:rPr>
            <w:noProof/>
            <w:webHidden/>
          </w:rPr>
          <w:t>113</w:t>
        </w:r>
        <w:r w:rsidR="006A17A0" w:rsidRPr="003C0E2F">
          <w:rPr>
            <w:noProof/>
            <w:webHidden/>
          </w:rPr>
          <w:fldChar w:fldCharType="end"/>
        </w:r>
      </w:hyperlink>
    </w:p>
    <w:p w14:paraId="25AF7548" w14:textId="24E52682" w:rsidR="006A17A0" w:rsidRPr="003C0E2F" w:rsidRDefault="00BB038D">
      <w:pPr>
        <w:pStyle w:val="TableofFigures"/>
        <w:tabs>
          <w:tab w:val="right" w:leader="dot" w:pos="9016"/>
        </w:tabs>
        <w:rPr>
          <w:rFonts w:cstheme="minorBidi"/>
          <w:caps w:val="0"/>
          <w:noProof/>
          <w:sz w:val="22"/>
          <w:szCs w:val="22"/>
        </w:rPr>
      </w:pPr>
      <w:hyperlink w:anchor="_Toc82882981" w:history="1">
        <w:r w:rsidR="006A17A0" w:rsidRPr="003C0E2F">
          <w:rPr>
            <w:rStyle w:val="Hyperlink"/>
            <w:noProof/>
            <w:color w:val="auto"/>
          </w:rPr>
          <w:t>Figure 40. Timing of LPS induced TLR4 signalling by three different LPS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_Toc82882981 \h </w:instrText>
        </w:r>
        <w:r w:rsidR="006A17A0" w:rsidRPr="003C0E2F">
          <w:rPr>
            <w:noProof/>
            <w:webHidden/>
          </w:rPr>
        </w:r>
        <w:r w:rsidR="006A17A0" w:rsidRPr="003C0E2F">
          <w:rPr>
            <w:noProof/>
            <w:webHidden/>
          </w:rPr>
          <w:fldChar w:fldCharType="separate"/>
        </w:r>
        <w:r w:rsidR="000F2276">
          <w:rPr>
            <w:noProof/>
            <w:webHidden/>
          </w:rPr>
          <w:t>118</w:t>
        </w:r>
        <w:r w:rsidR="006A17A0" w:rsidRPr="003C0E2F">
          <w:rPr>
            <w:noProof/>
            <w:webHidden/>
          </w:rPr>
          <w:fldChar w:fldCharType="end"/>
        </w:r>
      </w:hyperlink>
    </w:p>
    <w:p w14:paraId="5733042D" w14:textId="40232355" w:rsidR="006A17A0" w:rsidRPr="003C0E2F" w:rsidRDefault="00BB038D">
      <w:pPr>
        <w:pStyle w:val="TableofFigures"/>
        <w:tabs>
          <w:tab w:val="right" w:leader="dot" w:pos="9016"/>
        </w:tabs>
        <w:rPr>
          <w:rFonts w:cstheme="minorBidi"/>
          <w:caps w:val="0"/>
          <w:noProof/>
          <w:sz w:val="22"/>
          <w:szCs w:val="22"/>
        </w:rPr>
      </w:pPr>
      <w:hyperlink w:anchor="_Toc82882982" w:history="1">
        <w:r w:rsidR="006A17A0" w:rsidRPr="003C0E2F">
          <w:rPr>
            <w:rStyle w:val="Hyperlink"/>
            <w:noProof/>
            <w:color w:val="auto"/>
          </w:rPr>
          <w:t>Figure 41. LPS variants differentially activate STAT-1.</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_Toc82882982 \h </w:instrText>
        </w:r>
        <w:r w:rsidR="006A17A0" w:rsidRPr="003C0E2F">
          <w:rPr>
            <w:noProof/>
            <w:webHidden/>
          </w:rPr>
        </w:r>
        <w:r w:rsidR="006A17A0" w:rsidRPr="003C0E2F">
          <w:rPr>
            <w:noProof/>
            <w:webHidden/>
          </w:rPr>
          <w:fldChar w:fldCharType="separate"/>
        </w:r>
        <w:r w:rsidR="000F2276">
          <w:rPr>
            <w:noProof/>
            <w:webHidden/>
          </w:rPr>
          <w:t>119</w:t>
        </w:r>
        <w:r w:rsidR="006A17A0" w:rsidRPr="003C0E2F">
          <w:rPr>
            <w:noProof/>
            <w:webHidden/>
          </w:rPr>
          <w:fldChar w:fldCharType="end"/>
        </w:r>
      </w:hyperlink>
    </w:p>
    <w:p w14:paraId="5B3414F4" w14:textId="29421C39" w:rsidR="006A17A0" w:rsidRPr="003C0E2F" w:rsidRDefault="00BB038D">
      <w:pPr>
        <w:pStyle w:val="TableofFigures"/>
        <w:tabs>
          <w:tab w:val="right" w:leader="dot" w:pos="9016"/>
        </w:tabs>
        <w:rPr>
          <w:rFonts w:cstheme="minorBidi"/>
          <w:caps w:val="0"/>
          <w:noProof/>
          <w:sz w:val="22"/>
          <w:szCs w:val="22"/>
        </w:rPr>
      </w:pPr>
      <w:hyperlink w:anchor="_Toc82882983" w:history="1">
        <w:r w:rsidR="006A17A0" w:rsidRPr="003C0E2F">
          <w:rPr>
            <w:rStyle w:val="Hyperlink"/>
            <w:noProof/>
            <w:color w:val="auto"/>
          </w:rPr>
          <w:t>Figure 42. Timing of LPS induced TLR4/TRIF-dependent signalling by S.minnesota (S-Form) LPS.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_Toc82882983 \h </w:instrText>
        </w:r>
        <w:r w:rsidR="006A17A0" w:rsidRPr="003C0E2F">
          <w:rPr>
            <w:noProof/>
            <w:webHidden/>
          </w:rPr>
        </w:r>
        <w:r w:rsidR="006A17A0" w:rsidRPr="003C0E2F">
          <w:rPr>
            <w:noProof/>
            <w:webHidden/>
          </w:rPr>
          <w:fldChar w:fldCharType="separate"/>
        </w:r>
        <w:r w:rsidR="000F2276">
          <w:rPr>
            <w:noProof/>
            <w:webHidden/>
          </w:rPr>
          <w:t>120</w:t>
        </w:r>
        <w:r w:rsidR="006A17A0" w:rsidRPr="003C0E2F">
          <w:rPr>
            <w:noProof/>
            <w:webHidden/>
          </w:rPr>
          <w:fldChar w:fldCharType="end"/>
        </w:r>
      </w:hyperlink>
    </w:p>
    <w:p w14:paraId="7814AFFA" w14:textId="35D4A239" w:rsidR="006A17A0" w:rsidRPr="003C0E2F" w:rsidRDefault="00BB038D">
      <w:pPr>
        <w:pStyle w:val="TableofFigures"/>
        <w:tabs>
          <w:tab w:val="right" w:leader="dot" w:pos="9016"/>
        </w:tabs>
        <w:rPr>
          <w:rFonts w:cstheme="minorBidi"/>
          <w:caps w:val="0"/>
          <w:noProof/>
          <w:sz w:val="22"/>
          <w:szCs w:val="22"/>
        </w:rPr>
      </w:pPr>
      <w:hyperlink w:anchor="_Toc82882984" w:history="1">
        <w:r w:rsidR="006A17A0" w:rsidRPr="003C0E2F">
          <w:rPr>
            <w:rStyle w:val="Hyperlink"/>
            <w:noProof/>
            <w:color w:val="auto"/>
          </w:rPr>
          <w:t>Figure 43. Timing of IFN</w:t>
        </w:r>
        <w:r w:rsidR="006A17A0" w:rsidRPr="003C0E2F">
          <w:rPr>
            <w:rStyle w:val="Hyperlink"/>
            <w:rFonts w:ascii="Symbol" w:hAnsi="Symbol"/>
            <w:noProof/>
            <w:color w:val="auto"/>
          </w:rPr>
          <w:t></w:t>
        </w:r>
        <w:r w:rsidR="006A17A0" w:rsidRPr="003C0E2F">
          <w:rPr>
            <w:rStyle w:val="Hyperlink"/>
            <w:noProof/>
            <w:color w:val="auto"/>
          </w:rPr>
          <w:t xml:space="preserve"> and IP10 production following LPS stimulation in THP-1 </w:t>
        </w:r>
        <w:r w:rsidR="00876806" w:rsidRPr="003C0E2F">
          <w:rPr>
            <w:rStyle w:val="Hyperlink"/>
            <w:noProof/>
            <w:color w:val="auto"/>
          </w:rPr>
          <w:t xml:space="preserve">    </w:t>
        </w:r>
        <w:r w:rsidR="006A17A0" w:rsidRPr="003C0E2F">
          <w:rPr>
            <w:rStyle w:val="Hyperlink"/>
            <w:noProof/>
            <w:color w:val="auto"/>
          </w:rPr>
          <w:t>macrophages.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_Toc82882984 \h </w:instrText>
        </w:r>
        <w:r w:rsidR="006A17A0" w:rsidRPr="003C0E2F">
          <w:rPr>
            <w:noProof/>
            <w:webHidden/>
          </w:rPr>
        </w:r>
        <w:r w:rsidR="006A17A0" w:rsidRPr="003C0E2F">
          <w:rPr>
            <w:noProof/>
            <w:webHidden/>
          </w:rPr>
          <w:fldChar w:fldCharType="separate"/>
        </w:r>
        <w:r w:rsidR="000F2276">
          <w:rPr>
            <w:noProof/>
            <w:webHidden/>
          </w:rPr>
          <w:t>121</w:t>
        </w:r>
        <w:r w:rsidR="006A17A0" w:rsidRPr="003C0E2F">
          <w:rPr>
            <w:noProof/>
            <w:webHidden/>
          </w:rPr>
          <w:fldChar w:fldCharType="end"/>
        </w:r>
      </w:hyperlink>
    </w:p>
    <w:p w14:paraId="4CAFF3C5" w14:textId="3AA8A56A" w:rsidR="006A17A0" w:rsidRPr="003C0E2F" w:rsidRDefault="00BB038D">
      <w:pPr>
        <w:pStyle w:val="TableofFigures"/>
        <w:tabs>
          <w:tab w:val="right" w:leader="dot" w:pos="9016"/>
        </w:tabs>
        <w:rPr>
          <w:rFonts w:cstheme="minorBidi"/>
          <w:caps w:val="0"/>
          <w:noProof/>
          <w:sz w:val="22"/>
          <w:szCs w:val="22"/>
        </w:rPr>
      </w:pPr>
      <w:hyperlink w:anchor="_Toc82882985" w:history="1">
        <w:r w:rsidR="006A17A0" w:rsidRPr="003C0E2F">
          <w:rPr>
            <w:rStyle w:val="Hyperlink"/>
            <w:noProof/>
            <w:color w:val="auto"/>
          </w:rPr>
          <w:t xml:space="preserve">Figure 44. FP7 and FP12 display similar antagonistic effects on THP-1 macrophages stimulated by S-form </w:t>
        </w:r>
        <w:r w:rsidR="006A17A0" w:rsidRPr="003C0E2F">
          <w:rPr>
            <w:rStyle w:val="Hyperlink"/>
            <w:iCs/>
            <w:noProof/>
            <w:color w:val="auto"/>
          </w:rPr>
          <w:t xml:space="preserve">S. Minnesota </w:t>
        </w:r>
        <w:r w:rsidR="006A17A0" w:rsidRPr="003C0E2F">
          <w:rPr>
            <w:rStyle w:val="Hyperlink"/>
            <w:noProof/>
            <w:color w:val="auto"/>
          </w:rPr>
          <w:t xml:space="preserve">LPS as previously used Re-form </w:t>
        </w:r>
        <w:r w:rsidR="006A17A0" w:rsidRPr="003C0E2F">
          <w:rPr>
            <w:rStyle w:val="Hyperlink"/>
            <w:iCs/>
            <w:noProof/>
            <w:color w:val="auto"/>
          </w:rPr>
          <w:t xml:space="preserve">S.minnesota </w:t>
        </w:r>
        <w:r w:rsidR="006A17A0" w:rsidRPr="003C0E2F">
          <w:rPr>
            <w:rStyle w:val="Hyperlink"/>
            <w:noProof/>
            <w:color w:val="auto"/>
          </w:rPr>
          <w:t>LPS.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_Toc82882985 \h </w:instrText>
        </w:r>
        <w:r w:rsidR="006A17A0" w:rsidRPr="003C0E2F">
          <w:rPr>
            <w:noProof/>
            <w:webHidden/>
          </w:rPr>
        </w:r>
        <w:r w:rsidR="006A17A0" w:rsidRPr="003C0E2F">
          <w:rPr>
            <w:noProof/>
            <w:webHidden/>
          </w:rPr>
          <w:fldChar w:fldCharType="separate"/>
        </w:r>
        <w:r w:rsidR="000F2276">
          <w:rPr>
            <w:noProof/>
            <w:webHidden/>
          </w:rPr>
          <w:t>122</w:t>
        </w:r>
        <w:r w:rsidR="006A17A0" w:rsidRPr="003C0E2F">
          <w:rPr>
            <w:noProof/>
            <w:webHidden/>
          </w:rPr>
          <w:fldChar w:fldCharType="end"/>
        </w:r>
      </w:hyperlink>
    </w:p>
    <w:p w14:paraId="1527A06A" w14:textId="61CA16BB" w:rsidR="006A17A0" w:rsidRPr="003C0E2F" w:rsidRDefault="00BB038D">
      <w:pPr>
        <w:pStyle w:val="TableofFigures"/>
        <w:tabs>
          <w:tab w:val="right" w:leader="dot" w:pos="9016"/>
        </w:tabs>
        <w:rPr>
          <w:rFonts w:cstheme="minorBidi"/>
          <w:caps w:val="0"/>
          <w:noProof/>
          <w:sz w:val="22"/>
          <w:szCs w:val="22"/>
        </w:rPr>
      </w:pPr>
      <w:hyperlink w:anchor="_Toc82882986" w:history="1">
        <w:r w:rsidR="006A17A0" w:rsidRPr="003C0E2F">
          <w:rPr>
            <w:rStyle w:val="Hyperlink"/>
            <w:noProof/>
            <w:color w:val="auto"/>
          </w:rPr>
          <w:t>Figure 45. FP7 and FP12 negatively regulate LPS induced TBK1 phosphorylation</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_Toc82882986 \h </w:instrText>
        </w:r>
        <w:r w:rsidR="006A17A0" w:rsidRPr="003C0E2F">
          <w:rPr>
            <w:noProof/>
            <w:webHidden/>
          </w:rPr>
        </w:r>
        <w:r w:rsidR="006A17A0" w:rsidRPr="003C0E2F">
          <w:rPr>
            <w:noProof/>
            <w:webHidden/>
          </w:rPr>
          <w:fldChar w:fldCharType="separate"/>
        </w:r>
        <w:r w:rsidR="000F2276">
          <w:rPr>
            <w:noProof/>
            <w:webHidden/>
          </w:rPr>
          <w:t>124</w:t>
        </w:r>
        <w:r w:rsidR="006A17A0" w:rsidRPr="003C0E2F">
          <w:rPr>
            <w:noProof/>
            <w:webHidden/>
          </w:rPr>
          <w:fldChar w:fldCharType="end"/>
        </w:r>
      </w:hyperlink>
    </w:p>
    <w:p w14:paraId="2C41BFCD" w14:textId="6E404403" w:rsidR="006A17A0" w:rsidRPr="003C0E2F" w:rsidRDefault="00BB038D">
      <w:pPr>
        <w:pStyle w:val="TableofFigures"/>
        <w:tabs>
          <w:tab w:val="right" w:leader="dot" w:pos="9016"/>
        </w:tabs>
        <w:rPr>
          <w:rFonts w:cstheme="minorBidi"/>
          <w:caps w:val="0"/>
          <w:noProof/>
          <w:sz w:val="22"/>
          <w:szCs w:val="22"/>
        </w:rPr>
      </w:pPr>
      <w:hyperlink w:anchor="_Toc82882987" w:history="1">
        <w:r w:rsidR="006A17A0" w:rsidRPr="003C0E2F">
          <w:rPr>
            <w:rStyle w:val="Hyperlink"/>
            <w:noProof/>
            <w:color w:val="auto"/>
          </w:rPr>
          <w:t>Figure 46. FP7 and FP12 negatively regular LPS induced IFNβ and IP10.</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_Toc82882987 \h </w:instrText>
        </w:r>
        <w:r w:rsidR="006A17A0" w:rsidRPr="003C0E2F">
          <w:rPr>
            <w:noProof/>
            <w:webHidden/>
          </w:rPr>
        </w:r>
        <w:r w:rsidR="006A17A0" w:rsidRPr="003C0E2F">
          <w:rPr>
            <w:noProof/>
            <w:webHidden/>
          </w:rPr>
          <w:fldChar w:fldCharType="separate"/>
        </w:r>
        <w:r w:rsidR="000F2276">
          <w:rPr>
            <w:noProof/>
            <w:webHidden/>
          </w:rPr>
          <w:t>125</w:t>
        </w:r>
        <w:r w:rsidR="006A17A0" w:rsidRPr="003C0E2F">
          <w:rPr>
            <w:noProof/>
            <w:webHidden/>
          </w:rPr>
          <w:fldChar w:fldCharType="end"/>
        </w:r>
      </w:hyperlink>
    </w:p>
    <w:p w14:paraId="7167E546" w14:textId="2BCA8499" w:rsidR="006A17A0" w:rsidRPr="003C0E2F" w:rsidRDefault="00BB038D">
      <w:pPr>
        <w:pStyle w:val="TableofFigures"/>
        <w:tabs>
          <w:tab w:val="right" w:leader="dot" w:pos="9016"/>
        </w:tabs>
        <w:rPr>
          <w:rFonts w:cstheme="minorBidi"/>
          <w:caps w:val="0"/>
          <w:noProof/>
          <w:sz w:val="22"/>
          <w:szCs w:val="22"/>
        </w:rPr>
      </w:pPr>
      <w:hyperlink w:anchor="_Toc82882988" w:history="1">
        <w:r w:rsidR="006A17A0" w:rsidRPr="003C0E2F">
          <w:rPr>
            <w:rStyle w:val="Hyperlink"/>
            <w:noProof/>
            <w:color w:val="auto"/>
          </w:rPr>
          <w:t>Figure 47. FP7 and FP12</w:t>
        </w:r>
        <w:r w:rsidR="00876806" w:rsidRPr="003C0E2F">
          <w:rPr>
            <w:rStyle w:val="Hyperlink"/>
            <w:noProof/>
            <w:color w:val="auto"/>
          </w:rPr>
          <w:t xml:space="preserve"> </w:t>
        </w:r>
        <w:r w:rsidR="006A17A0" w:rsidRPr="003C0E2F">
          <w:rPr>
            <w:rStyle w:val="Hyperlink"/>
            <w:noProof/>
            <w:color w:val="auto"/>
          </w:rPr>
          <w:t>downregulate IFNβ and IP10 production in prior and simultaneous treatments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_Toc82882988 \h </w:instrText>
        </w:r>
        <w:r w:rsidR="006A17A0" w:rsidRPr="003C0E2F">
          <w:rPr>
            <w:noProof/>
            <w:webHidden/>
          </w:rPr>
        </w:r>
        <w:r w:rsidR="006A17A0" w:rsidRPr="003C0E2F">
          <w:rPr>
            <w:noProof/>
            <w:webHidden/>
          </w:rPr>
          <w:fldChar w:fldCharType="separate"/>
        </w:r>
        <w:r w:rsidR="000F2276">
          <w:rPr>
            <w:noProof/>
            <w:webHidden/>
          </w:rPr>
          <w:t>126</w:t>
        </w:r>
        <w:r w:rsidR="006A17A0" w:rsidRPr="003C0E2F">
          <w:rPr>
            <w:noProof/>
            <w:webHidden/>
          </w:rPr>
          <w:fldChar w:fldCharType="end"/>
        </w:r>
      </w:hyperlink>
    </w:p>
    <w:p w14:paraId="39D3AB69" w14:textId="27FC5155" w:rsidR="006A17A0" w:rsidRPr="003C0E2F" w:rsidRDefault="00BB038D">
      <w:pPr>
        <w:pStyle w:val="TableofFigures"/>
        <w:tabs>
          <w:tab w:val="right" w:leader="dot" w:pos="9016"/>
        </w:tabs>
        <w:rPr>
          <w:rFonts w:cstheme="minorBidi"/>
          <w:caps w:val="0"/>
          <w:noProof/>
          <w:sz w:val="22"/>
          <w:szCs w:val="22"/>
        </w:rPr>
      </w:pPr>
      <w:hyperlink w:anchor="_Toc82882989" w:history="1">
        <w:r w:rsidR="006A17A0" w:rsidRPr="003C0E2F">
          <w:rPr>
            <w:rStyle w:val="Hyperlink"/>
            <w:noProof/>
            <w:color w:val="auto"/>
          </w:rPr>
          <w:t>Figure 48. Optimisation of IFN</w:t>
        </w:r>
        <w:r w:rsidR="006A17A0" w:rsidRPr="003C0E2F">
          <w:rPr>
            <w:rStyle w:val="Hyperlink"/>
            <w:rFonts w:ascii="Symbol" w:hAnsi="Symbol"/>
            <w:noProof/>
            <w:color w:val="auto"/>
          </w:rPr>
          <w:t></w:t>
        </w:r>
        <w:r w:rsidR="006A17A0" w:rsidRPr="003C0E2F">
          <w:rPr>
            <w:rStyle w:val="Hyperlink"/>
            <w:noProof/>
            <w:color w:val="auto"/>
          </w:rPr>
          <w:t xml:space="preserve"> and IFNAR blocking antibody concentration and timings</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_Toc82882989 \h </w:instrText>
        </w:r>
        <w:r w:rsidR="006A17A0" w:rsidRPr="003C0E2F">
          <w:rPr>
            <w:noProof/>
            <w:webHidden/>
          </w:rPr>
        </w:r>
        <w:r w:rsidR="006A17A0" w:rsidRPr="003C0E2F">
          <w:rPr>
            <w:noProof/>
            <w:webHidden/>
          </w:rPr>
          <w:fldChar w:fldCharType="separate"/>
        </w:r>
        <w:r w:rsidR="000F2276">
          <w:rPr>
            <w:noProof/>
            <w:webHidden/>
          </w:rPr>
          <w:t>128</w:t>
        </w:r>
        <w:r w:rsidR="006A17A0" w:rsidRPr="003C0E2F">
          <w:rPr>
            <w:noProof/>
            <w:webHidden/>
          </w:rPr>
          <w:fldChar w:fldCharType="end"/>
        </w:r>
      </w:hyperlink>
    </w:p>
    <w:p w14:paraId="0863B417" w14:textId="56DAD27A" w:rsidR="006A17A0" w:rsidRPr="003C0E2F" w:rsidRDefault="00BB038D">
      <w:pPr>
        <w:pStyle w:val="TableofFigures"/>
        <w:tabs>
          <w:tab w:val="right" w:leader="dot" w:pos="9016"/>
        </w:tabs>
        <w:rPr>
          <w:rFonts w:cstheme="minorBidi"/>
          <w:caps w:val="0"/>
          <w:noProof/>
          <w:sz w:val="22"/>
          <w:szCs w:val="22"/>
        </w:rPr>
      </w:pPr>
      <w:hyperlink w:anchor="_Toc82882990" w:history="1">
        <w:r w:rsidR="006A17A0" w:rsidRPr="003C0E2F">
          <w:rPr>
            <w:rStyle w:val="Hyperlink"/>
            <w:noProof/>
            <w:color w:val="auto"/>
          </w:rPr>
          <w:t>Figure 49. FP7 and FP12 negatively regulated LPS induced STAT-1 phosphorylation</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_Toc82882990 \h </w:instrText>
        </w:r>
        <w:r w:rsidR="006A17A0" w:rsidRPr="003C0E2F">
          <w:rPr>
            <w:noProof/>
            <w:webHidden/>
          </w:rPr>
        </w:r>
        <w:r w:rsidR="006A17A0" w:rsidRPr="003C0E2F">
          <w:rPr>
            <w:noProof/>
            <w:webHidden/>
          </w:rPr>
          <w:fldChar w:fldCharType="separate"/>
        </w:r>
        <w:r w:rsidR="000F2276">
          <w:rPr>
            <w:noProof/>
            <w:webHidden/>
          </w:rPr>
          <w:t>129</w:t>
        </w:r>
        <w:r w:rsidR="006A17A0" w:rsidRPr="003C0E2F">
          <w:rPr>
            <w:noProof/>
            <w:webHidden/>
          </w:rPr>
          <w:fldChar w:fldCharType="end"/>
        </w:r>
      </w:hyperlink>
    </w:p>
    <w:p w14:paraId="74007AC5" w14:textId="04F8E806" w:rsidR="006A17A0" w:rsidRPr="003C0E2F" w:rsidRDefault="00BB038D">
      <w:pPr>
        <w:pStyle w:val="TableofFigures"/>
        <w:tabs>
          <w:tab w:val="right" w:leader="dot" w:pos="9016"/>
        </w:tabs>
        <w:rPr>
          <w:rFonts w:cstheme="minorBidi"/>
          <w:caps w:val="0"/>
          <w:noProof/>
          <w:sz w:val="22"/>
          <w:szCs w:val="22"/>
        </w:rPr>
      </w:pPr>
      <w:hyperlink w:anchor="_Toc82882991" w:history="1">
        <w:r w:rsidR="006A17A0" w:rsidRPr="003C0E2F">
          <w:rPr>
            <w:rStyle w:val="Hyperlink"/>
            <w:noProof/>
            <w:color w:val="auto"/>
          </w:rPr>
          <w:t>Figure 50. FP7 and FP12 negatively regulated LPS induced STAT-1 phosphorylation</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_Toc82882991 \h </w:instrText>
        </w:r>
        <w:r w:rsidR="006A17A0" w:rsidRPr="003C0E2F">
          <w:rPr>
            <w:noProof/>
            <w:webHidden/>
          </w:rPr>
        </w:r>
        <w:r w:rsidR="006A17A0" w:rsidRPr="003C0E2F">
          <w:rPr>
            <w:noProof/>
            <w:webHidden/>
          </w:rPr>
          <w:fldChar w:fldCharType="separate"/>
        </w:r>
        <w:r w:rsidR="000F2276">
          <w:rPr>
            <w:noProof/>
            <w:webHidden/>
          </w:rPr>
          <w:t>130</w:t>
        </w:r>
        <w:r w:rsidR="006A17A0" w:rsidRPr="003C0E2F">
          <w:rPr>
            <w:noProof/>
            <w:webHidden/>
          </w:rPr>
          <w:fldChar w:fldCharType="end"/>
        </w:r>
      </w:hyperlink>
    </w:p>
    <w:p w14:paraId="5172BC0B" w14:textId="347A731D" w:rsidR="006A17A0" w:rsidRPr="003C0E2F" w:rsidRDefault="00BB038D">
      <w:pPr>
        <w:pStyle w:val="TableofFigures"/>
        <w:tabs>
          <w:tab w:val="right" w:leader="dot" w:pos="9016"/>
        </w:tabs>
        <w:rPr>
          <w:rFonts w:cstheme="minorBidi"/>
          <w:caps w:val="0"/>
          <w:noProof/>
          <w:sz w:val="22"/>
          <w:szCs w:val="22"/>
        </w:rPr>
      </w:pPr>
      <w:hyperlink w:anchor="_Toc82882992" w:history="1">
        <w:r w:rsidR="006A17A0" w:rsidRPr="003C0E2F">
          <w:rPr>
            <w:rStyle w:val="Hyperlink"/>
            <w:noProof/>
            <w:color w:val="auto"/>
          </w:rPr>
          <w:t>Figure 51. FP7 and FP12 negatively regulate LPS induced IP10 production.</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_Toc82882992 \h </w:instrText>
        </w:r>
        <w:r w:rsidR="006A17A0" w:rsidRPr="003C0E2F">
          <w:rPr>
            <w:noProof/>
            <w:webHidden/>
          </w:rPr>
        </w:r>
        <w:r w:rsidR="006A17A0" w:rsidRPr="003C0E2F">
          <w:rPr>
            <w:noProof/>
            <w:webHidden/>
          </w:rPr>
          <w:fldChar w:fldCharType="separate"/>
        </w:r>
        <w:r w:rsidR="000F2276">
          <w:rPr>
            <w:noProof/>
            <w:webHidden/>
          </w:rPr>
          <w:t>131</w:t>
        </w:r>
        <w:r w:rsidR="006A17A0" w:rsidRPr="003C0E2F">
          <w:rPr>
            <w:noProof/>
            <w:webHidden/>
          </w:rPr>
          <w:fldChar w:fldCharType="end"/>
        </w:r>
      </w:hyperlink>
    </w:p>
    <w:p w14:paraId="39A4E22A" w14:textId="628D2F2E" w:rsidR="006A17A0" w:rsidRPr="003C0E2F" w:rsidRDefault="00BB038D">
      <w:pPr>
        <w:pStyle w:val="TableofFigures"/>
        <w:tabs>
          <w:tab w:val="right" w:leader="dot" w:pos="9016"/>
        </w:tabs>
        <w:rPr>
          <w:rFonts w:cstheme="minorBidi"/>
          <w:caps w:val="0"/>
          <w:noProof/>
          <w:sz w:val="22"/>
          <w:szCs w:val="22"/>
        </w:rPr>
      </w:pPr>
      <w:hyperlink w:anchor="_Toc82882993" w:history="1">
        <w:r w:rsidR="006A17A0" w:rsidRPr="003C0E2F">
          <w:rPr>
            <w:rStyle w:val="Hyperlink"/>
            <w:noProof/>
            <w:color w:val="auto"/>
          </w:rPr>
          <w:t>Figure 52. FP7 and FP12 negatively regulated LPS induced STAT-1 phosphorylation.</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_Toc82882993 \h </w:instrText>
        </w:r>
        <w:r w:rsidR="006A17A0" w:rsidRPr="003C0E2F">
          <w:rPr>
            <w:noProof/>
            <w:webHidden/>
          </w:rPr>
        </w:r>
        <w:r w:rsidR="006A17A0" w:rsidRPr="003C0E2F">
          <w:rPr>
            <w:noProof/>
            <w:webHidden/>
          </w:rPr>
          <w:fldChar w:fldCharType="separate"/>
        </w:r>
        <w:r w:rsidR="000F2276">
          <w:rPr>
            <w:noProof/>
            <w:webHidden/>
          </w:rPr>
          <w:t>132</w:t>
        </w:r>
        <w:r w:rsidR="006A17A0" w:rsidRPr="003C0E2F">
          <w:rPr>
            <w:noProof/>
            <w:webHidden/>
          </w:rPr>
          <w:fldChar w:fldCharType="end"/>
        </w:r>
      </w:hyperlink>
    </w:p>
    <w:p w14:paraId="05853BE1" w14:textId="0E7BEF79" w:rsidR="006A17A0" w:rsidRPr="003C0E2F" w:rsidRDefault="00BB038D">
      <w:pPr>
        <w:pStyle w:val="TableofFigures"/>
        <w:tabs>
          <w:tab w:val="right" w:leader="dot" w:pos="9016"/>
        </w:tabs>
        <w:rPr>
          <w:rFonts w:cstheme="minorBidi"/>
          <w:caps w:val="0"/>
          <w:noProof/>
          <w:sz w:val="22"/>
          <w:szCs w:val="22"/>
        </w:rPr>
      </w:pPr>
      <w:hyperlink w:anchor="_Toc82882994" w:history="1">
        <w:r w:rsidR="006A17A0" w:rsidRPr="003C0E2F">
          <w:rPr>
            <w:rStyle w:val="Hyperlink"/>
            <w:noProof/>
            <w:color w:val="auto"/>
          </w:rPr>
          <w:t xml:space="preserve">Figure 53. FP11 and FP18 have no effect on TBK1 phosphorylation. </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_Toc82882994 \h </w:instrText>
        </w:r>
        <w:r w:rsidR="006A17A0" w:rsidRPr="003C0E2F">
          <w:rPr>
            <w:noProof/>
            <w:webHidden/>
          </w:rPr>
        </w:r>
        <w:r w:rsidR="006A17A0" w:rsidRPr="003C0E2F">
          <w:rPr>
            <w:noProof/>
            <w:webHidden/>
          </w:rPr>
          <w:fldChar w:fldCharType="separate"/>
        </w:r>
        <w:r w:rsidR="000F2276">
          <w:rPr>
            <w:noProof/>
            <w:webHidden/>
          </w:rPr>
          <w:t>133</w:t>
        </w:r>
        <w:r w:rsidR="006A17A0" w:rsidRPr="003C0E2F">
          <w:rPr>
            <w:noProof/>
            <w:webHidden/>
          </w:rPr>
          <w:fldChar w:fldCharType="end"/>
        </w:r>
      </w:hyperlink>
    </w:p>
    <w:p w14:paraId="6356D950" w14:textId="3AAD451B" w:rsidR="006A17A0" w:rsidRPr="003C0E2F" w:rsidRDefault="00BB038D">
      <w:pPr>
        <w:pStyle w:val="TableofFigures"/>
        <w:tabs>
          <w:tab w:val="right" w:leader="dot" w:pos="9016"/>
        </w:tabs>
        <w:rPr>
          <w:rFonts w:cstheme="minorBidi"/>
          <w:caps w:val="0"/>
          <w:noProof/>
          <w:sz w:val="22"/>
          <w:szCs w:val="22"/>
        </w:rPr>
      </w:pPr>
      <w:hyperlink w:anchor="_Toc82882995" w:history="1">
        <w:r w:rsidR="006A17A0" w:rsidRPr="003C0E2F">
          <w:rPr>
            <w:rStyle w:val="Hyperlink"/>
            <w:noProof/>
            <w:color w:val="auto"/>
          </w:rPr>
          <w:t>Figure 54. Timing of (A) FP11 and (B) FP18 induced STAT-1 phosphorylation.</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_Toc82882995 \h </w:instrText>
        </w:r>
        <w:r w:rsidR="006A17A0" w:rsidRPr="003C0E2F">
          <w:rPr>
            <w:noProof/>
            <w:webHidden/>
          </w:rPr>
        </w:r>
        <w:r w:rsidR="006A17A0" w:rsidRPr="003C0E2F">
          <w:rPr>
            <w:noProof/>
            <w:webHidden/>
          </w:rPr>
          <w:fldChar w:fldCharType="separate"/>
        </w:r>
        <w:r w:rsidR="000F2276">
          <w:rPr>
            <w:noProof/>
            <w:webHidden/>
          </w:rPr>
          <w:t>134</w:t>
        </w:r>
        <w:r w:rsidR="006A17A0" w:rsidRPr="003C0E2F">
          <w:rPr>
            <w:noProof/>
            <w:webHidden/>
          </w:rPr>
          <w:fldChar w:fldCharType="end"/>
        </w:r>
      </w:hyperlink>
    </w:p>
    <w:p w14:paraId="15DBC335" w14:textId="6B1DB1A8" w:rsidR="006A17A0" w:rsidRPr="003C0E2F" w:rsidRDefault="00BB038D">
      <w:pPr>
        <w:pStyle w:val="TableofFigures"/>
        <w:tabs>
          <w:tab w:val="right" w:leader="dot" w:pos="9016"/>
        </w:tabs>
        <w:rPr>
          <w:rFonts w:cstheme="minorBidi"/>
          <w:caps w:val="0"/>
          <w:noProof/>
          <w:sz w:val="22"/>
          <w:szCs w:val="22"/>
        </w:rPr>
      </w:pPr>
      <w:hyperlink w:anchor="_Toc82882996" w:history="1">
        <w:r w:rsidR="006A17A0" w:rsidRPr="003C0E2F">
          <w:rPr>
            <w:rStyle w:val="Hyperlink"/>
            <w:noProof/>
            <w:color w:val="auto"/>
          </w:rPr>
          <w:t>Figure 55. FP11 and FP18 upregulate STAT-1 phosphorylation.</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_Toc82882996 \h </w:instrText>
        </w:r>
        <w:r w:rsidR="006A17A0" w:rsidRPr="003C0E2F">
          <w:rPr>
            <w:noProof/>
            <w:webHidden/>
          </w:rPr>
        </w:r>
        <w:r w:rsidR="006A17A0" w:rsidRPr="003C0E2F">
          <w:rPr>
            <w:noProof/>
            <w:webHidden/>
          </w:rPr>
          <w:fldChar w:fldCharType="separate"/>
        </w:r>
        <w:r w:rsidR="000F2276">
          <w:rPr>
            <w:noProof/>
            <w:webHidden/>
          </w:rPr>
          <w:t>135</w:t>
        </w:r>
        <w:r w:rsidR="006A17A0" w:rsidRPr="003C0E2F">
          <w:rPr>
            <w:noProof/>
            <w:webHidden/>
          </w:rPr>
          <w:fldChar w:fldCharType="end"/>
        </w:r>
      </w:hyperlink>
    </w:p>
    <w:p w14:paraId="2ADC865F" w14:textId="3415AA35" w:rsidR="006A17A0" w:rsidRPr="003C0E2F" w:rsidRDefault="00BB038D">
      <w:pPr>
        <w:pStyle w:val="TableofFigures"/>
        <w:tabs>
          <w:tab w:val="right" w:leader="dot" w:pos="9016"/>
        </w:tabs>
        <w:rPr>
          <w:rFonts w:cstheme="minorBidi"/>
          <w:caps w:val="0"/>
          <w:noProof/>
          <w:sz w:val="22"/>
          <w:szCs w:val="22"/>
        </w:rPr>
      </w:pPr>
      <w:hyperlink w:anchor="_Toc82882997" w:history="1">
        <w:r w:rsidR="006A17A0" w:rsidRPr="003C0E2F">
          <w:rPr>
            <w:rStyle w:val="Hyperlink"/>
            <w:noProof/>
            <w:color w:val="auto"/>
          </w:rPr>
          <w:t>Figure 56.</w:t>
        </w:r>
        <w:r w:rsidR="006A17A0" w:rsidRPr="003C0E2F">
          <w:rPr>
            <w:rStyle w:val="Hyperlink"/>
            <w:iCs/>
            <w:noProof/>
            <w:color w:val="auto"/>
          </w:rPr>
          <w:t xml:space="preserve"> FP11 and FP18 have no significant effect on IFN</w:t>
        </w:r>
        <w:r w:rsidR="006A17A0" w:rsidRPr="003C0E2F">
          <w:rPr>
            <w:rStyle w:val="Hyperlink"/>
            <w:iCs/>
            <w:noProof/>
            <w:color w:val="auto"/>
            <w:lang w:val="el-GR"/>
          </w:rPr>
          <w:t>β</w:t>
        </w:r>
        <w:r w:rsidR="006A17A0" w:rsidRPr="003C0E2F">
          <w:rPr>
            <w:rStyle w:val="Hyperlink"/>
            <w:iCs/>
            <w:noProof/>
            <w:color w:val="auto"/>
          </w:rPr>
          <w:t xml:space="preserve"> production</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_Toc82882997 \h </w:instrText>
        </w:r>
        <w:r w:rsidR="006A17A0" w:rsidRPr="003C0E2F">
          <w:rPr>
            <w:noProof/>
            <w:webHidden/>
          </w:rPr>
        </w:r>
        <w:r w:rsidR="006A17A0" w:rsidRPr="003C0E2F">
          <w:rPr>
            <w:noProof/>
            <w:webHidden/>
          </w:rPr>
          <w:fldChar w:fldCharType="separate"/>
        </w:r>
        <w:r w:rsidR="000F2276">
          <w:rPr>
            <w:noProof/>
            <w:webHidden/>
          </w:rPr>
          <w:t>136</w:t>
        </w:r>
        <w:r w:rsidR="006A17A0" w:rsidRPr="003C0E2F">
          <w:rPr>
            <w:noProof/>
            <w:webHidden/>
          </w:rPr>
          <w:fldChar w:fldCharType="end"/>
        </w:r>
      </w:hyperlink>
    </w:p>
    <w:p w14:paraId="691BB43D" w14:textId="4047AEC6" w:rsidR="006A17A0" w:rsidRPr="003C0E2F" w:rsidRDefault="00BB038D">
      <w:pPr>
        <w:pStyle w:val="TableofFigures"/>
        <w:tabs>
          <w:tab w:val="right" w:leader="dot" w:pos="9016"/>
        </w:tabs>
        <w:rPr>
          <w:rFonts w:cstheme="minorBidi"/>
          <w:caps w:val="0"/>
          <w:noProof/>
          <w:sz w:val="22"/>
          <w:szCs w:val="22"/>
        </w:rPr>
      </w:pPr>
      <w:hyperlink w:anchor="_Toc82882998" w:history="1">
        <w:r w:rsidR="006A17A0" w:rsidRPr="003C0E2F">
          <w:rPr>
            <w:rStyle w:val="Hyperlink"/>
            <w:noProof/>
            <w:color w:val="auto"/>
          </w:rPr>
          <w:t>Figure 57. FP11 and FP18 have no significant effect on IP10 production..</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_Toc82882998 \h </w:instrText>
        </w:r>
        <w:r w:rsidR="006A17A0" w:rsidRPr="003C0E2F">
          <w:rPr>
            <w:noProof/>
            <w:webHidden/>
          </w:rPr>
        </w:r>
        <w:r w:rsidR="006A17A0" w:rsidRPr="003C0E2F">
          <w:rPr>
            <w:noProof/>
            <w:webHidden/>
          </w:rPr>
          <w:fldChar w:fldCharType="separate"/>
        </w:r>
        <w:r w:rsidR="000F2276">
          <w:rPr>
            <w:noProof/>
            <w:webHidden/>
          </w:rPr>
          <w:t>137</w:t>
        </w:r>
        <w:r w:rsidR="006A17A0" w:rsidRPr="003C0E2F">
          <w:rPr>
            <w:noProof/>
            <w:webHidden/>
          </w:rPr>
          <w:fldChar w:fldCharType="end"/>
        </w:r>
      </w:hyperlink>
    </w:p>
    <w:p w14:paraId="66DE7E2C" w14:textId="7BE22B39" w:rsidR="006A17A0" w:rsidRPr="003C0E2F" w:rsidRDefault="00BB038D">
      <w:pPr>
        <w:pStyle w:val="TableofFigures"/>
        <w:tabs>
          <w:tab w:val="right" w:leader="dot" w:pos="9016"/>
        </w:tabs>
        <w:rPr>
          <w:rFonts w:cstheme="minorBidi"/>
          <w:caps w:val="0"/>
          <w:noProof/>
          <w:sz w:val="22"/>
          <w:szCs w:val="22"/>
        </w:rPr>
      </w:pPr>
      <w:hyperlink w:anchor="_Toc82882999" w:history="1">
        <w:r w:rsidR="006A17A0" w:rsidRPr="003C0E2F">
          <w:rPr>
            <w:rStyle w:val="Hyperlink"/>
            <w:noProof/>
            <w:color w:val="auto"/>
          </w:rPr>
          <w:t>Figure 58. FP11 and FP18 indirectly activate STAT-1 via IFNAR.</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_Toc82882999 \h </w:instrText>
        </w:r>
        <w:r w:rsidR="006A17A0" w:rsidRPr="003C0E2F">
          <w:rPr>
            <w:noProof/>
            <w:webHidden/>
          </w:rPr>
        </w:r>
        <w:r w:rsidR="006A17A0" w:rsidRPr="003C0E2F">
          <w:rPr>
            <w:noProof/>
            <w:webHidden/>
          </w:rPr>
          <w:fldChar w:fldCharType="separate"/>
        </w:r>
        <w:r w:rsidR="000F2276">
          <w:rPr>
            <w:noProof/>
            <w:webHidden/>
          </w:rPr>
          <w:t>138</w:t>
        </w:r>
        <w:r w:rsidR="006A17A0" w:rsidRPr="003C0E2F">
          <w:rPr>
            <w:noProof/>
            <w:webHidden/>
          </w:rPr>
          <w:fldChar w:fldCharType="end"/>
        </w:r>
      </w:hyperlink>
    </w:p>
    <w:p w14:paraId="009B3B0D" w14:textId="76283487" w:rsidR="006A17A0" w:rsidRPr="003C0E2F" w:rsidRDefault="00BB038D">
      <w:pPr>
        <w:pStyle w:val="TableofFigures"/>
        <w:tabs>
          <w:tab w:val="right" w:leader="dot" w:pos="9016"/>
        </w:tabs>
        <w:rPr>
          <w:rFonts w:cstheme="minorBidi"/>
          <w:caps w:val="0"/>
          <w:noProof/>
          <w:sz w:val="22"/>
          <w:szCs w:val="22"/>
        </w:rPr>
      </w:pPr>
      <w:hyperlink w:anchor="_Toc82883000" w:history="1">
        <w:r w:rsidR="006A17A0" w:rsidRPr="003C0E2F">
          <w:rPr>
            <w:rStyle w:val="Hyperlink"/>
            <w:noProof/>
            <w:color w:val="auto"/>
          </w:rPr>
          <w:t>Figure 59. FP7 and FP12 negatively regulate LPS induced MyD88-dependent signalling</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_Toc82883000 \h </w:instrText>
        </w:r>
        <w:r w:rsidR="006A17A0" w:rsidRPr="003C0E2F">
          <w:rPr>
            <w:noProof/>
            <w:webHidden/>
          </w:rPr>
        </w:r>
        <w:r w:rsidR="006A17A0" w:rsidRPr="003C0E2F">
          <w:rPr>
            <w:noProof/>
            <w:webHidden/>
          </w:rPr>
          <w:fldChar w:fldCharType="separate"/>
        </w:r>
        <w:r w:rsidR="000F2276">
          <w:rPr>
            <w:noProof/>
            <w:webHidden/>
          </w:rPr>
          <w:t>144</w:t>
        </w:r>
        <w:r w:rsidR="006A17A0" w:rsidRPr="003C0E2F">
          <w:rPr>
            <w:noProof/>
            <w:webHidden/>
          </w:rPr>
          <w:fldChar w:fldCharType="end"/>
        </w:r>
      </w:hyperlink>
    </w:p>
    <w:p w14:paraId="5E3505C3" w14:textId="2544212F" w:rsidR="006A17A0" w:rsidRPr="003C0E2F" w:rsidRDefault="00BB038D">
      <w:pPr>
        <w:pStyle w:val="TableofFigures"/>
        <w:tabs>
          <w:tab w:val="right" w:leader="dot" w:pos="9016"/>
        </w:tabs>
        <w:rPr>
          <w:rFonts w:cstheme="minorBidi"/>
          <w:caps w:val="0"/>
          <w:noProof/>
          <w:sz w:val="22"/>
          <w:szCs w:val="22"/>
        </w:rPr>
      </w:pPr>
      <w:hyperlink w:anchor="_Toc82883001" w:history="1">
        <w:r w:rsidR="006A17A0" w:rsidRPr="003C0E2F">
          <w:rPr>
            <w:rStyle w:val="Hyperlink"/>
            <w:noProof/>
            <w:color w:val="auto"/>
          </w:rPr>
          <w:t xml:space="preserve">Figure 60. FP7 and FP12 can negatively regulate TRIF-dependent </w:t>
        </w:r>
        <w:r w:rsidR="00876806" w:rsidRPr="003C0E2F">
          <w:rPr>
            <w:rStyle w:val="Hyperlink"/>
            <w:noProof/>
            <w:color w:val="auto"/>
          </w:rPr>
          <w:t>SIGNALLING</w:t>
        </w:r>
        <w:r w:rsidR="006A17A0" w:rsidRPr="003C0E2F">
          <w:rPr>
            <w:rStyle w:val="Hyperlink"/>
            <w:noProof/>
            <w:color w:val="auto"/>
          </w:rPr>
          <w:t>.</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_Toc82883001 \h </w:instrText>
        </w:r>
        <w:r w:rsidR="006A17A0" w:rsidRPr="003C0E2F">
          <w:rPr>
            <w:noProof/>
            <w:webHidden/>
          </w:rPr>
        </w:r>
        <w:r w:rsidR="006A17A0" w:rsidRPr="003C0E2F">
          <w:rPr>
            <w:noProof/>
            <w:webHidden/>
          </w:rPr>
          <w:fldChar w:fldCharType="separate"/>
        </w:r>
        <w:r w:rsidR="000F2276">
          <w:rPr>
            <w:noProof/>
            <w:webHidden/>
          </w:rPr>
          <w:t>156</w:t>
        </w:r>
        <w:r w:rsidR="006A17A0" w:rsidRPr="003C0E2F">
          <w:rPr>
            <w:noProof/>
            <w:webHidden/>
          </w:rPr>
          <w:fldChar w:fldCharType="end"/>
        </w:r>
      </w:hyperlink>
    </w:p>
    <w:p w14:paraId="332AF1D8" w14:textId="10C6BA95" w:rsidR="006A17A0" w:rsidRPr="003C0E2F" w:rsidRDefault="00BB038D">
      <w:pPr>
        <w:pStyle w:val="TableofFigures"/>
        <w:tabs>
          <w:tab w:val="right" w:leader="dot" w:pos="9016"/>
        </w:tabs>
        <w:rPr>
          <w:rFonts w:cstheme="minorBidi"/>
          <w:caps w:val="0"/>
          <w:noProof/>
          <w:sz w:val="22"/>
          <w:szCs w:val="22"/>
        </w:rPr>
      </w:pPr>
      <w:hyperlink w:anchor="_Toc82883002" w:history="1">
        <w:r w:rsidR="006A17A0" w:rsidRPr="003C0E2F">
          <w:rPr>
            <w:rStyle w:val="Hyperlink"/>
            <w:noProof/>
            <w:color w:val="auto"/>
          </w:rPr>
          <w:t>Figure 61. FP7 and FP12 indirectly downregulate STAT-1 phosphorylation via IFNAR</w:t>
        </w:r>
        <w:r w:rsidR="006A17A0" w:rsidRPr="003C0E2F">
          <w:rPr>
            <w:noProof/>
            <w:webHidden/>
          </w:rPr>
          <w:tab/>
        </w:r>
        <w:r w:rsidR="006A17A0" w:rsidRPr="003C0E2F">
          <w:rPr>
            <w:noProof/>
            <w:webHidden/>
          </w:rPr>
          <w:fldChar w:fldCharType="begin"/>
        </w:r>
        <w:r w:rsidR="006A17A0" w:rsidRPr="003C0E2F">
          <w:rPr>
            <w:noProof/>
            <w:webHidden/>
          </w:rPr>
          <w:instrText xml:space="preserve"> PAGEREF _Toc82883002 \h </w:instrText>
        </w:r>
        <w:r w:rsidR="006A17A0" w:rsidRPr="003C0E2F">
          <w:rPr>
            <w:noProof/>
            <w:webHidden/>
          </w:rPr>
        </w:r>
        <w:r w:rsidR="006A17A0" w:rsidRPr="003C0E2F">
          <w:rPr>
            <w:noProof/>
            <w:webHidden/>
          </w:rPr>
          <w:fldChar w:fldCharType="separate"/>
        </w:r>
        <w:r w:rsidR="000F2276">
          <w:rPr>
            <w:noProof/>
            <w:webHidden/>
          </w:rPr>
          <w:t>157</w:t>
        </w:r>
        <w:r w:rsidR="006A17A0" w:rsidRPr="003C0E2F">
          <w:rPr>
            <w:noProof/>
            <w:webHidden/>
          </w:rPr>
          <w:fldChar w:fldCharType="end"/>
        </w:r>
      </w:hyperlink>
    </w:p>
    <w:p w14:paraId="5FA68543" w14:textId="118CAEE8" w:rsidR="009F6735" w:rsidRPr="003C0E2F" w:rsidRDefault="006A17A0" w:rsidP="0018164B">
      <w:pPr>
        <w:spacing w:after="240"/>
        <w:rPr>
          <w:rFonts w:ascii="Calibri Light" w:eastAsia="Dotum" w:hAnsi="Calibri Light"/>
          <w:bCs/>
          <w:noProof/>
          <w:szCs w:val="48"/>
        </w:rPr>
      </w:pPr>
      <w:r w:rsidRPr="003C0E2F">
        <w:rPr>
          <w:rFonts w:ascii="Calibri Light" w:eastAsia="Dotum" w:hAnsi="Calibri Light"/>
          <w:noProof/>
        </w:rPr>
        <w:fldChar w:fldCharType="end"/>
      </w:r>
      <w:r w:rsidR="009F6735" w:rsidRPr="003C0E2F">
        <w:rPr>
          <w:rFonts w:ascii="Calibri Light" w:eastAsia="Dotum" w:hAnsi="Calibri Light"/>
          <w:noProof/>
        </w:rPr>
        <w:br w:type="page"/>
      </w:r>
    </w:p>
    <w:p w14:paraId="3085A6FB" w14:textId="5325A61D" w:rsidR="00E8528F" w:rsidRPr="003C0E2F" w:rsidRDefault="004262CF" w:rsidP="004262CF">
      <w:pPr>
        <w:pStyle w:val="Heading1"/>
        <w:numPr>
          <w:ilvl w:val="0"/>
          <w:numId w:val="0"/>
        </w:numPr>
        <w:ind w:left="1069"/>
      </w:pPr>
      <w:r>
        <w:lastRenderedPageBreak/>
        <w:t xml:space="preserve">VI. </w:t>
      </w:r>
      <w:r>
        <w:tab/>
      </w:r>
      <w:r w:rsidR="00E8528F" w:rsidRPr="003C0E2F">
        <w:t>Publications</w:t>
      </w:r>
    </w:p>
    <w:p w14:paraId="1263B238" w14:textId="77777777" w:rsidR="00E8528F" w:rsidRPr="003C0E2F" w:rsidRDefault="00E8528F" w:rsidP="00E8528F"/>
    <w:p w14:paraId="15B8C951" w14:textId="77777777" w:rsidR="00E8528F" w:rsidRPr="003C0E2F" w:rsidRDefault="00E8528F" w:rsidP="00E8528F">
      <w:r w:rsidRPr="003C0E2F">
        <w:t>There are two articles currently published in relation to the following body of work and two further articles which are currently either under review or in progress prior to submission for this year.</w:t>
      </w:r>
    </w:p>
    <w:p w14:paraId="75E6021C" w14:textId="041E39B9" w:rsidR="008E2B7B" w:rsidRPr="003C0E2F" w:rsidRDefault="008E2B7B" w:rsidP="008E2B7B">
      <w:pPr>
        <w:numPr>
          <w:ilvl w:val="0"/>
          <w:numId w:val="28"/>
        </w:numPr>
        <w:spacing w:after="0" w:line="360" w:lineRule="auto"/>
        <w:rPr>
          <w:rFonts w:cstheme="minorHAnsi"/>
        </w:rPr>
      </w:pPr>
      <w:proofErr w:type="spellStart"/>
      <w:r w:rsidRPr="003C0E2F">
        <w:rPr>
          <w:rFonts w:cstheme="minorHAnsi"/>
          <w:shd w:val="clear" w:color="auto" w:fill="FFFFFF"/>
        </w:rPr>
        <w:t>Facchini</w:t>
      </w:r>
      <w:proofErr w:type="spellEnd"/>
      <w:r w:rsidRPr="003C0E2F">
        <w:rPr>
          <w:rFonts w:cstheme="minorHAnsi"/>
          <w:shd w:val="clear" w:color="auto" w:fill="FFFFFF"/>
        </w:rPr>
        <w:t xml:space="preserve"> FA, </w:t>
      </w:r>
      <w:proofErr w:type="spellStart"/>
      <w:r w:rsidRPr="003C0E2F">
        <w:rPr>
          <w:rFonts w:cstheme="minorHAnsi"/>
          <w:shd w:val="clear" w:color="auto" w:fill="FFFFFF"/>
        </w:rPr>
        <w:t>Minotti</w:t>
      </w:r>
      <w:proofErr w:type="spellEnd"/>
      <w:r w:rsidRPr="003C0E2F">
        <w:rPr>
          <w:rFonts w:cstheme="minorHAnsi"/>
          <w:shd w:val="clear" w:color="auto" w:fill="FFFFFF"/>
        </w:rPr>
        <w:t xml:space="preserve"> A, </w:t>
      </w:r>
      <w:proofErr w:type="spellStart"/>
      <w:r w:rsidRPr="003C0E2F">
        <w:rPr>
          <w:rFonts w:cstheme="minorHAnsi"/>
          <w:shd w:val="clear" w:color="auto" w:fill="FFFFFF"/>
        </w:rPr>
        <w:t>Luraghi</w:t>
      </w:r>
      <w:proofErr w:type="spellEnd"/>
      <w:r w:rsidRPr="003C0E2F">
        <w:rPr>
          <w:rFonts w:cstheme="minorHAnsi"/>
          <w:shd w:val="clear" w:color="auto" w:fill="FFFFFF"/>
        </w:rPr>
        <w:t xml:space="preserve"> A, </w:t>
      </w:r>
      <w:proofErr w:type="spellStart"/>
      <w:r w:rsidRPr="003C0E2F">
        <w:rPr>
          <w:rFonts w:cstheme="minorHAnsi"/>
          <w:shd w:val="clear" w:color="auto" w:fill="FFFFFF"/>
        </w:rPr>
        <w:t>Romerio</w:t>
      </w:r>
      <w:proofErr w:type="spellEnd"/>
      <w:r w:rsidRPr="003C0E2F">
        <w:rPr>
          <w:rFonts w:cstheme="minorHAnsi"/>
          <w:shd w:val="clear" w:color="auto" w:fill="FFFFFF"/>
        </w:rPr>
        <w:t xml:space="preserve"> A, </w:t>
      </w:r>
      <w:proofErr w:type="spellStart"/>
      <w:r w:rsidRPr="003C0E2F">
        <w:rPr>
          <w:rFonts w:cstheme="minorHAnsi"/>
          <w:shd w:val="clear" w:color="auto" w:fill="FFFFFF"/>
        </w:rPr>
        <w:t>Gotri</w:t>
      </w:r>
      <w:proofErr w:type="spellEnd"/>
      <w:r w:rsidRPr="003C0E2F">
        <w:rPr>
          <w:rFonts w:cstheme="minorHAnsi"/>
          <w:shd w:val="clear" w:color="auto" w:fill="FFFFFF"/>
        </w:rPr>
        <w:t xml:space="preserve"> N, Matamoros-</w:t>
      </w:r>
      <w:proofErr w:type="spellStart"/>
      <w:r w:rsidRPr="003C0E2F">
        <w:rPr>
          <w:rFonts w:cstheme="minorHAnsi"/>
          <w:shd w:val="clear" w:color="auto" w:fill="FFFFFF"/>
        </w:rPr>
        <w:t>Recio</w:t>
      </w:r>
      <w:proofErr w:type="spellEnd"/>
      <w:r w:rsidRPr="003C0E2F">
        <w:rPr>
          <w:rFonts w:cstheme="minorHAnsi"/>
          <w:shd w:val="clear" w:color="auto" w:fill="FFFFFF"/>
        </w:rPr>
        <w:t xml:space="preserve"> A, Iannucci A, </w:t>
      </w:r>
      <w:r w:rsidRPr="003C0E2F">
        <w:rPr>
          <w:rFonts w:cstheme="minorHAnsi"/>
          <w:b/>
          <w:bCs/>
          <w:shd w:val="clear" w:color="auto" w:fill="FFFFFF"/>
        </w:rPr>
        <w:t>Palmer C</w:t>
      </w:r>
      <w:r w:rsidRPr="003C0E2F">
        <w:rPr>
          <w:rFonts w:cstheme="minorHAnsi"/>
          <w:shd w:val="clear" w:color="auto" w:fill="FFFFFF"/>
        </w:rPr>
        <w:t xml:space="preserve">, Wang G, Ingram R, Martin-Santamaria S, </w:t>
      </w:r>
      <w:proofErr w:type="spellStart"/>
      <w:r w:rsidRPr="003C0E2F">
        <w:rPr>
          <w:rFonts w:cstheme="minorHAnsi"/>
          <w:shd w:val="clear" w:color="auto" w:fill="FFFFFF"/>
        </w:rPr>
        <w:t>Pirianov</w:t>
      </w:r>
      <w:proofErr w:type="spellEnd"/>
      <w:r w:rsidRPr="003C0E2F">
        <w:rPr>
          <w:rFonts w:cstheme="minorHAnsi"/>
          <w:shd w:val="clear" w:color="auto" w:fill="FFFFFF"/>
        </w:rPr>
        <w:t xml:space="preserve"> G, De Andrea M, Valvano MA, Peri F. </w:t>
      </w:r>
      <w:r w:rsidRPr="003C0E2F">
        <w:rPr>
          <w:rFonts w:cstheme="minorHAnsi"/>
        </w:rPr>
        <w:t xml:space="preserve">Synthetic Glycolipids as Molecular Vaccine Adjuvants: Mechanism of Action in Human Cells and In Vivo Activity </w:t>
      </w:r>
      <w:r w:rsidRPr="003C0E2F">
        <w:rPr>
          <w:rFonts w:cstheme="minorHAnsi"/>
          <w:shd w:val="clear" w:color="auto" w:fill="FFFFFF"/>
        </w:rPr>
        <w:t>J Med Chem. 2021 Aug 26;64(16):12261-12272.</w:t>
      </w:r>
      <w:r w:rsidR="00AC277E">
        <w:rPr>
          <w:rFonts w:cstheme="minorHAnsi"/>
          <w:shd w:val="clear" w:color="auto" w:fill="FFFFFF"/>
        </w:rPr>
        <w:br/>
      </w:r>
    </w:p>
    <w:p w14:paraId="18A4C089" w14:textId="36C8E9C9" w:rsidR="008E2B7B" w:rsidRPr="00AC277E" w:rsidRDefault="00BB038D" w:rsidP="00455469">
      <w:pPr>
        <w:numPr>
          <w:ilvl w:val="0"/>
          <w:numId w:val="28"/>
        </w:numPr>
        <w:spacing w:after="0" w:line="360" w:lineRule="auto"/>
        <w:rPr>
          <w:rFonts w:cstheme="minorHAnsi"/>
        </w:rPr>
      </w:pPr>
      <w:hyperlink r:id="rId10" w:history="1">
        <w:r w:rsidR="008E2B7B" w:rsidRPr="00AC277E">
          <w:rPr>
            <w:rStyle w:val="Hyperlink"/>
            <w:rFonts w:cstheme="minorHAnsi"/>
            <w:b/>
            <w:bCs/>
            <w:color w:val="auto"/>
            <w:u w:val="none"/>
          </w:rPr>
          <w:t>Palmer C</w:t>
        </w:r>
      </w:hyperlink>
      <w:r w:rsidR="008E2B7B" w:rsidRPr="00AC277E">
        <w:rPr>
          <w:rFonts w:cstheme="minorHAnsi"/>
        </w:rPr>
        <w:t xml:space="preserve">, </w:t>
      </w:r>
      <w:proofErr w:type="spellStart"/>
      <w:r w:rsidR="008E2B7B" w:rsidRPr="00AC277E">
        <w:rPr>
          <w:rFonts w:cstheme="minorHAnsi"/>
        </w:rPr>
        <w:t>Facchini</w:t>
      </w:r>
      <w:proofErr w:type="spellEnd"/>
      <w:r w:rsidR="008E2B7B" w:rsidRPr="00AC277E">
        <w:rPr>
          <w:rFonts w:cstheme="minorHAnsi"/>
        </w:rPr>
        <w:t xml:space="preserve"> F, </w:t>
      </w:r>
      <w:hyperlink r:id="rId11" w:history="1">
        <w:r w:rsidR="008E2B7B" w:rsidRPr="00AC277E">
          <w:rPr>
            <w:rStyle w:val="Hyperlink"/>
            <w:rFonts w:cstheme="minorHAnsi"/>
            <w:color w:val="auto"/>
            <w:u w:val="none"/>
          </w:rPr>
          <w:t>Peri F</w:t>
        </w:r>
      </w:hyperlink>
      <w:r w:rsidR="008E2B7B" w:rsidRPr="00AC277E">
        <w:rPr>
          <w:rFonts w:cstheme="minorHAnsi"/>
        </w:rPr>
        <w:t xml:space="preserve">, </w:t>
      </w:r>
      <w:hyperlink r:id="rId12" w:history="1">
        <w:r w:rsidR="008E2B7B" w:rsidRPr="00AC277E">
          <w:rPr>
            <w:rStyle w:val="Hyperlink"/>
            <w:rFonts w:cstheme="minorHAnsi"/>
            <w:color w:val="auto"/>
            <w:u w:val="none"/>
          </w:rPr>
          <w:t>Neumann F</w:t>
        </w:r>
      </w:hyperlink>
      <w:r w:rsidR="008E2B7B" w:rsidRPr="00AC277E">
        <w:rPr>
          <w:rFonts w:cstheme="minorHAnsi"/>
        </w:rPr>
        <w:t xml:space="preserve">, </w:t>
      </w:r>
      <w:hyperlink r:id="rId13" w:history="1">
        <w:proofErr w:type="spellStart"/>
        <w:r w:rsidR="008E2B7B" w:rsidRPr="00AC277E">
          <w:rPr>
            <w:rStyle w:val="highlight"/>
            <w:rFonts w:cstheme="minorHAnsi"/>
          </w:rPr>
          <w:t>Pirianov</w:t>
        </w:r>
        <w:proofErr w:type="spellEnd"/>
        <w:r w:rsidR="008E2B7B" w:rsidRPr="00AC277E">
          <w:rPr>
            <w:rStyle w:val="Hyperlink"/>
            <w:rFonts w:cstheme="minorHAnsi"/>
            <w:color w:val="auto"/>
            <w:u w:val="none"/>
          </w:rPr>
          <w:t xml:space="preserve"> G</w:t>
        </w:r>
      </w:hyperlink>
      <w:r w:rsidR="008E2B7B" w:rsidRPr="00AC277E">
        <w:rPr>
          <w:rFonts w:cstheme="minorHAnsi"/>
        </w:rPr>
        <w:t xml:space="preserve">. </w:t>
      </w:r>
      <w:bookmarkStart w:id="1" w:name="_Hlk82444425"/>
      <w:r w:rsidR="008E2B7B" w:rsidRPr="00AC277E">
        <w:rPr>
          <w:rFonts w:cstheme="minorHAnsi"/>
        </w:rPr>
        <w:t xml:space="preserve">The synthetic glycolipid-based TLR4 antagonist FP7 negatively regulates TRIF-dependent TLR4 signalling in macrophages </w:t>
      </w:r>
      <w:bookmarkEnd w:id="1"/>
      <w:r w:rsidR="008E2B7B" w:rsidRPr="00AC277E">
        <w:fldChar w:fldCharType="begin"/>
      </w:r>
      <w:r w:rsidR="008E2B7B" w:rsidRPr="00AC277E">
        <w:rPr>
          <w:rFonts w:cstheme="minorHAnsi"/>
        </w:rPr>
        <w:instrText xml:space="preserve"> HYPERLINK "https://www.ncbi.nlm.nih.gov/pubmed/30208782" \o "Innate immunity." </w:instrText>
      </w:r>
      <w:r w:rsidR="008E2B7B" w:rsidRPr="00AC277E">
        <w:fldChar w:fldCharType="separate"/>
      </w:r>
      <w:r w:rsidR="008E2B7B" w:rsidRPr="00AC277E">
        <w:rPr>
          <w:rStyle w:val="Hyperlink"/>
          <w:rFonts w:cstheme="minorHAnsi"/>
          <w:color w:val="auto"/>
          <w:u w:val="none"/>
        </w:rPr>
        <w:t>Innate Immun.</w:t>
      </w:r>
      <w:r w:rsidR="008E2B7B" w:rsidRPr="00AC277E">
        <w:rPr>
          <w:rStyle w:val="Hyperlink"/>
          <w:rFonts w:cstheme="minorHAnsi"/>
          <w:color w:val="auto"/>
          <w:u w:val="none"/>
        </w:rPr>
        <w:fldChar w:fldCharType="end"/>
      </w:r>
      <w:r w:rsidR="008E2B7B" w:rsidRPr="00AC277E">
        <w:rPr>
          <w:rFonts w:cstheme="minorHAnsi"/>
        </w:rPr>
        <w:t xml:space="preserve"> </w:t>
      </w:r>
      <w:r w:rsidR="008E2B7B" w:rsidRPr="00AC277E">
        <w:rPr>
          <w:rFonts w:cstheme="minorHAnsi"/>
          <w:shd w:val="clear" w:color="auto" w:fill="FFFFFF"/>
        </w:rPr>
        <w:t xml:space="preserve">2021 Apr;27(3):275-284. </w:t>
      </w:r>
      <w:r w:rsidR="00AC277E" w:rsidRPr="00AC277E">
        <w:rPr>
          <w:rFonts w:cstheme="minorHAnsi"/>
          <w:shd w:val="clear" w:color="auto" w:fill="FFFFFF"/>
        </w:rPr>
        <w:br/>
      </w:r>
    </w:p>
    <w:p w14:paraId="2113A567" w14:textId="12C94DC5" w:rsidR="008E2B7B" w:rsidRPr="000A2A17" w:rsidRDefault="00BB038D" w:rsidP="000A2A17">
      <w:pPr>
        <w:pStyle w:val="ListParagraph"/>
        <w:numPr>
          <w:ilvl w:val="0"/>
          <w:numId w:val="28"/>
        </w:numPr>
        <w:spacing w:line="360" w:lineRule="auto"/>
        <w:rPr>
          <w:rFonts w:cstheme="minorHAnsi"/>
          <w:b/>
          <w:lang w:eastAsia="en-GB"/>
        </w:rPr>
      </w:pPr>
      <w:hyperlink r:id="rId14" w:history="1">
        <w:r w:rsidR="008E2B7B" w:rsidRPr="000A2A17">
          <w:rPr>
            <w:rStyle w:val="Hyperlink"/>
            <w:rFonts w:cstheme="minorHAnsi"/>
            <w:b/>
            <w:bCs/>
            <w:color w:val="auto"/>
            <w:u w:val="none"/>
          </w:rPr>
          <w:t>Palmer C</w:t>
        </w:r>
      </w:hyperlink>
      <w:r w:rsidR="008E2B7B" w:rsidRPr="000A2A17">
        <w:rPr>
          <w:rFonts w:cstheme="minorHAnsi"/>
        </w:rPr>
        <w:t xml:space="preserve">, </w:t>
      </w:r>
      <w:hyperlink r:id="rId15" w:history="1">
        <w:r w:rsidR="008E2B7B" w:rsidRPr="000A2A17">
          <w:rPr>
            <w:rStyle w:val="Hyperlink"/>
            <w:rFonts w:cstheme="minorHAnsi"/>
            <w:color w:val="auto"/>
            <w:u w:val="none"/>
          </w:rPr>
          <w:t>Neumann F</w:t>
        </w:r>
      </w:hyperlink>
      <w:r w:rsidR="008E2B7B" w:rsidRPr="000A2A17">
        <w:rPr>
          <w:rFonts w:cstheme="minorHAnsi"/>
        </w:rPr>
        <w:t xml:space="preserve">, </w:t>
      </w:r>
      <w:hyperlink r:id="rId16" w:history="1">
        <w:r w:rsidR="008E2B7B" w:rsidRPr="000A2A17">
          <w:rPr>
            <w:rStyle w:val="Hyperlink"/>
            <w:rFonts w:cstheme="minorHAnsi"/>
            <w:color w:val="auto"/>
            <w:u w:val="none"/>
          </w:rPr>
          <w:t>Ahmad F</w:t>
        </w:r>
      </w:hyperlink>
      <w:r w:rsidR="008E2B7B" w:rsidRPr="000A2A17">
        <w:rPr>
          <w:rFonts w:cstheme="minorHAnsi"/>
        </w:rPr>
        <w:t xml:space="preserve">, </w:t>
      </w:r>
      <w:hyperlink r:id="rId17" w:history="1">
        <w:proofErr w:type="spellStart"/>
        <w:r w:rsidR="008E2B7B" w:rsidRPr="000A2A17">
          <w:rPr>
            <w:rStyle w:val="Hyperlink"/>
            <w:rFonts w:cstheme="minorHAnsi"/>
            <w:color w:val="auto"/>
            <w:u w:val="none"/>
          </w:rPr>
          <w:t>Leake</w:t>
        </w:r>
        <w:proofErr w:type="spellEnd"/>
        <w:r w:rsidR="008E2B7B" w:rsidRPr="000A2A17">
          <w:rPr>
            <w:rStyle w:val="Hyperlink"/>
            <w:rFonts w:cstheme="minorHAnsi"/>
            <w:color w:val="auto"/>
            <w:u w:val="none"/>
          </w:rPr>
          <w:t xml:space="preserve"> DS</w:t>
        </w:r>
      </w:hyperlink>
      <w:r w:rsidR="008E2B7B" w:rsidRPr="000A2A17">
        <w:rPr>
          <w:rFonts w:cstheme="minorHAnsi"/>
        </w:rPr>
        <w:t xml:space="preserve">, Peri F, </w:t>
      </w:r>
      <w:hyperlink r:id="rId18" w:history="1">
        <w:proofErr w:type="spellStart"/>
        <w:r w:rsidR="008E2B7B" w:rsidRPr="000A2A17">
          <w:rPr>
            <w:rStyle w:val="highlight"/>
            <w:rFonts w:cstheme="minorHAnsi"/>
          </w:rPr>
          <w:t>Pirianov</w:t>
        </w:r>
        <w:proofErr w:type="spellEnd"/>
        <w:r w:rsidR="008E2B7B" w:rsidRPr="000A2A17">
          <w:rPr>
            <w:rStyle w:val="Hyperlink"/>
            <w:rFonts w:cstheme="minorHAnsi"/>
            <w:color w:val="auto"/>
            <w:u w:val="none"/>
          </w:rPr>
          <w:t xml:space="preserve"> G</w:t>
        </w:r>
      </w:hyperlink>
      <w:r w:rsidR="008E2B7B" w:rsidRPr="000A2A17">
        <w:rPr>
          <w:rFonts w:cstheme="minorHAnsi"/>
        </w:rPr>
        <w:t xml:space="preserve">. The synthetic </w:t>
      </w:r>
      <w:proofErr w:type="gramStart"/>
      <w:r w:rsidR="008E2B7B" w:rsidRPr="000A2A17">
        <w:rPr>
          <w:rFonts w:cstheme="minorHAnsi"/>
        </w:rPr>
        <w:t>glycolipid-based</w:t>
      </w:r>
      <w:proofErr w:type="gramEnd"/>
      <w:r w:rsidR="008E2B7B" w:rsidRPr="000A2A17">
        <w:rPr>
          <w:rFonts w:cstheme="minorHAnsi"/>
        </w:rPr>
        <w:t xml:space="preserve"> TLR4 antagonist FP7 negatively regulates in vitro and in vivo haematopoietic and non-haematopoietic vascular TLR4 signalling. </w:t>
      </w:r>
      <w:hyperlink r:id="rId19" w:tooltip="Innate immunity." w:history="1">
        <w:r w:rsidR="008E2B7B" w:rsidRPr="000A2A17">
          <w:rPr>
            <w:rStyle w:val="Hyperlink"/>
            <w:rFonts w:cstheme="minorHAnsi"/>
            <w:color w:val="auto"/>
            <w:u w:val="none"/>
          </w:rPr>
          <w:t>Innate Immun.</w:t>
        </w:r>
      </w:hyperlink>
      <w:r w:rsidR="008E2B7B" w:rsidRPr="000A2A17">
        <w:rPr>
          <w:rFonts w:cstheme="minorHAnsi"/>
        </w:rPr>
        <w:t xml:space="preserve"> 2018, 24(7):411-421.</w:t>
      </w:r>
      <w:r w:rsidR="00AC277E" w:rsidRPr="000A2A17">
        <w:rPr>
          <w:rFonts w:cstheme="minorHAnsi"/>
        </w:rPr>
        <w:br/>
      </w:r>
    </w:p>
    <w:p w14:paraId="09BD3611" w14:textId="77777777" w:rsidR="008E2B7B" w:rsidRPr="003C0E2F" w:rsidRDefault="00BB038D" w:rsidP="008E2B7B">
      <w:pPr>
        <w:numPr>
          <w:ilvl w:val="0"/>
          <w:numId w:val="28"/>
        </w:numPr>
        <w:spacing w:after="0" w:line="360" w:lineRule="auto"/>
        <w:rPr>
          <w:rFonts w:ascii="Arial" w:hAnsi="Arial" w:cs="Arial"/>
          <w:szCs w:val="24"/>
        </w:rPr>
      </w:pPr>
      <w:hyperlink r:id="rId20" w:history="1">
        <w:proofErr w:type="spellStart"/>
        <w:r w:rsidR="008E2B7B" w:rsidRPr="003C0E2F">
          <w:rPr>
            <w:rStyle w:val="Hyperlink"/>
            <w:rFonts w:cstheme="minorHAnsi"/>
            <w:color w:val="auto"/>
            <w:szCs w:val="24"/>
            <w:u w:val="none"/>
          </w:rPr>
          <w:t>Facchini</w:t>
        </w:r>
        <w:proofErr w:type="spellEnd"/>
        <w:r w:rsidR="008E2B7B" w:rsidRPr="003C0E2F">
          <w:rPr>
            <w:rStyle w:val="Hyperlink"/>
            <w:rFonts w:cstheme="minorHAnsi"/>
            <w:color w:val="auto"/>
            <w:szCs w:val="24"/>
            <w:u w:val="none"/>
          </w:rPr>
          <w:t xml:space="preserve"> FA</w:t>
        </w:r>
      </w:hyperlink>
      <w:r w:rsidR="008E2B7B" w:rsidRPr="003C0E2F">
        <w:rPr>
          <w:rFonts w:cstheme="minorHAnsi"/>
          <w:szCs w:val="24"/>
        </w:rPr>
        <w:t xml:space="preserve">, </w:t>
      </w:r>
      <w:hyperlink r:id="rId21" w:history="1">
        <w:proofErr w:type="spellStart"/>
        <w:r w:rsidR="008E2B7B" w:rsidRPr="003C0E2F">
          <w:rPr>
            <w:rStyle w:val="Hyperlink"/>
            <w:rFonts w:cstheme="minorHAnsi"/>
            <w:color w:val="auto"/>
            <w:szCs w:val="24"/>
            <w:u w:val="none"/>
          </w:rPr>
          <w:t>Zaffaroni</w:t>
        </w:r>
        <w:proofErr w:type="spellEnd"/>
        <w:r w:rsidR="008E2B7B" w:rsidRPr="003C0E2F">
          <w:rPr>
            <w:rStyle w:val="Hyperlink"/>
            <w:rFonts w:cstheme="minorHAnsi"/>
            <w:color w:val="auto"/>
            <w:szCs w:val="24"/>
            <w:u w:val="none"/>
          </w:rPr>
          <w:t xml:space="preserve"> L</w:t>
        </w:r>
      </w:hyperlink>
      <w:r w:rsidR="008E2B7B" w:rsidRPr="003C0E2F">
        <w:rPr>
          <w:rFonts w:cstheme="minorHAnsi"/>
          <w:szCs w:val="24"/>
        </w:rPr>
        <w:t xml:space="preserve">, </w:t>
      </w:r>
      <w:hyperlink r:id="rId22" w:history="1">
        <w:proofErr w:type="spellStart"/>
        <w:r w:rsidR="008E2B7B" w:rsidRPr="003C0E2F">
          <w:rPr>
            <w:rStyle w:val="Hyperlink"/>
            <w:rFonts w:cstheme="minorHAnsi"/>
            <w:color w:val="auto"/>
            <w:szCs w:val="24"/>
            <w:u w:val="none"/>
          </w:rPr>
          <w:t>Minotti</w:t>
        </w:r>
        <w:proofErr w:type="spellEnd"/>
        <w:r w:rsidR="008E2B7B" w:rsidRPr="003C0E2F">
          <w:rPr>
            <w:rStyle w:val="Hyperlink"/>
            <w:rFonts w:cstheme="minorHAnsi"/>
            <w:color w:val="auto"/>
            <w:szCs w:val="24"/>
            <w:u w:val="none"/>
          </w:rPr>
          <w:t xml:space="preserve"> A</w:t>
        </w:r>
      </w:hyperlink>
      <w:r w:rsidR="008E2B7B" w:rsidRPr="003C0E2F">
        <w:rPr>
          <w:rFonts w:cstheme="minorHAnsi"/>
          <w:szCs w:val="24"/>
        </w:rPr>
        <w:t xml:space="preserve">, </w:t>
      </w:r>
      <w:hyperlink r:id="rId23" w:history="1">
        <w:proofErr w:type="spellStart"/>
        <w:r w:rsidR="008E2B7B" w:rsidRPr="003C0E2F">
          <w:rPr>
            <w:rStyle w:val="Hyperlink"/>
            <w:rFonts w:cstheme="minorHAnsi"/>
            <w:color w:val="auto"/>
            <w:szCs w:val="24"/>
            <w:u w:val="none"/>
          </w:rPr>
          <w:t>Rapisarda</w:t>
        </w:r>
        <w:proofErr w:type="spellEnd"/>
        <w:r w:rsidR="008E2B7B" w:rsidRPr="003C0E2F">
          <w:rPr>
            <w:rStyle w:val="Hyperlink"/>
            <w:rFonts w:cstheme="minorHAnsi"/>
            <w:color w:val="auto"/>
            <w:szCs w:val="24"/>
            <w:u w:val="none"/>
          </w:rPr>
          <w:t xml:space="preserve"> S</w:t>
        </w:r>
      </w:hyperlink>
      <w:r w:rsidR="008E2B7B" w:rsidRPr="003C0E2F">
        <w:rPr>
          <w:rFonts w:cstheme="minorHAnsi"/>
          <w:szCs w:val="24"/>
        </w:rPr>
        <w:t xml:space="preserve">, </w:t>
      </w:r>
      <w:hyperlink r:id="rId24" w:history="1">
        <w:r w:rsidR="008E2B7B" w:rsidRPr="003C0E2F">
          <w:rPr>
            <w:rStyle w:val="Hyperlink"/>
            <w:rFonts w:cstheme="minorHAnsi"/>
            <w:color w:val="auto"/>
            <w:szCs w:val="24"/>
            <w:u w:val="none"/>
          </w:rPr>
          <w:t>Calabrese V</w:t>
        </w:r>
      </w:hyperlink>
      <w:r w:rsidR="008E2B7B" w:rsidRPr="003C0E2F">
        <w:rPr>
          <w:rFonts w:cstheme="minorHAnsi"/>
          <w:szCs w:val="24"/>
        </w:rPr>
        <w:t xml:space="preserve">, </w:t>
      </w:r>
      <w:hyperlink r:id="rId25" w:history="1">
        <w:proofErr w:type="spellStart"/>
        <w:r w:rsidR="008E2B7B" w:rsidRPr="003C0E2F">
          <w:rPr>
            <w:rStyle w:val="Hyperlink"/>
            <w:rFonts w:cstheme="minorHAnsi"/>
            <w:color w:val="auto"/>
            <w:szCs w:val="24"/>
            <w:u w:val="none"/>
          </w:rPr>
          <w:t>Forcella</w:t>
        </w:r>
        <w:proofErr w:type="spellEnd"/>
        <w:r w:rsidR="008E2B7B" w:rsidRPr="003C0E2F">
          <w:rPr>
            <w:rStyle w:val="Hyperlink"/>
            <w:rFonts w:cstheme="minorHAnsi"/>
            <w:color w:val="auto"/>
            <w:szCs w:val="24"/>
            <w:u w:val="none"/>
          </w:rPr>
          <w:t xml:space="preserve"> M</w:t>
        </w:r>
      </w:hyperlink>
      <w:r w:rsidR="008E2B7B" w:rsidRPr="003C0E2F">
        <w:rPr>
          <w:rFonts w:cstheme="minorHAnsi"/>
          <w:szCs w:val="24"/>
        </w:rPr>
        <w:t xml:space="preserve">, </w:t>
      </w:r>
      <w:hyperlink r:id="rId26" w:history="1">
        <w:proofErr w:type="spellStart"/>
        <w:r w:rsidR="008E2B7B" w:rsidRPr="003C0E2F">
          <w:rPr>
            <w:rStyle w:val="Hyperlink"/>
            <w:rFonts w:cstheme="minorHAnsi"/>
            <w:color w:val="auto"/>
            <w:szCs w:val="24"/>
            <w:u w:val="none"/>
          </w:rPr>
          <w:t>Fusi</w:t>
        </w:r>
        <w:proofErr w:type="spellEnd"/>
        <w:r w:rsidR="008E2B7B" w:rsidRPr="003C0E2F">
          <w:rPr>
            <w:rStyle w:val="Hyperlink"/>
            <w:rFonts w:cstheme="minorHAnsi"/>
            <w:color w:val="auto"/>
            <w:szCs w:val="24"/>
            <w:u w:val="none"/>
          </w:rPr>
          <w:t xml:space="preserve"> P</w:t>
        </w:r>
      </w:hyperlink>
      <w:r w:rsidR="008E2B7B" w:rsidRPr="003C0E2F">
        <w:rPr>
          <w:rFonts w:cstheme="minorHAnsi"/>
          <w:szCs w:val="24"/>
        </w:rPr>
        <w:t xml:space="preserve">, </w:t>
      </w:r>
      <w:hyperlink r:id="rId27" w:history="1">
        <w:proofErr w:type="spellStart"/>
        <w:r w:rsidR="008E2B7B" w:rsidRPr="003C0E2F">
          <w:rPr>
            <w:rStyle w:val="Hyperlink"/>
            <w:rFonts w:cstheme="minorHAnsi"/>
            <w:color w:val="auto"/>
            <w:szCs w:val="24"/>
            <w:u w:val="none"/>
          </w:rPr>
          <w:t>Airoldi</w:t>
        </w:r>
        <w:proofErr w:type="spellEnd"/>
        <w:r w:rsidR="008E2B7B" w:rsidRPr="003C0E2F">
          <w:rPr>
            <w:rStyle w:val="Hyperlink"/>
            <w:rFonts w:cstheme="minorHAnsi"/>
            <w:color w:val="auto"/>
            <w:szCs w:val="24"/>
            <w:u w:val="none"/>
          </w:rPr>
          <w:t xml:space="preserve"> C</w:t>
        </w:r>
      </w:hyperlink>
      <w:r w:rsidR="008E2B7B" w:rsidRPr="003C0E2F">
        <w:rPr>
          <w:rFonts w:cstheme="minorHAnsi"/>
          <w:szCs w:val="24"/>
        </w:rPr>
        <w:t xml:space="preserve">, </w:t>
      </w:r>
      <w:hyperlink r:id="rId28" w:history="1">
        <w:proofErr w:type="spellStart"/>
        <w:r w:rsidR="008E2B7B" w:rsidRPr="003C0E2F">
          <w:rPr>
            <w:rStyle w:val="Hyperlink"/>
            <w:rFonts w:cstheme="minorHAnsi"/>
            <w:color w:val="auto"/>
            <w:szCs w:val="24"/>
            <w:u w:val="none"/>
          </w:rPr>
          <w:t>Ciaramelli</w:t>
        </w:r>
        <w:proofErr w:type="spellEnd"/>
        <w:r w:rsidR="008E2B7B" w:rsidRPr="003C0E2F">
          <w:rPr>
            <w:rStyle w:val="Hyperlink"/>
            <w:rFonts w:cstheme="minorHAnsi"/>
            <w:color w:val="auto"/>
            <w:szCs w:val="24"/>
            <w:u w:val="none"/>
          </w:rPr>
          <w:t xml:space="preserve"> C</w:t>
        </w:r>
      </w:hyperlink>
      <w:r w:rsidR="008E2B7B" w:rsidRPr="003C0E2F">
        <w:rPr>
          <w:rFonts w:cstheme="minorHAnsi"/>
          <w:szCs w:val="24"/>
        </w:rPr>
        <w:t xml:space="preserve">, </w:t>
      </w:r>
      <w:hyperlink r:id="rId29" w:history="1">
        <w:proofErr w:type="spellStart"/>
        <w:r w:rsidR="008E2B7B" w:rsidRPr="003C0E2F">
          <w:rPr>
            <w:rStyle w:val="Hyperlink"/>
            <w:rFonts w:cstheme="minorHAnsi"/>
            <w:color w:val="auto"/>
            <w:szCs w:val="24"/>
            <w:u w:val="none"/>
          </w:rPr>
          <w:t>Billod</w:t>
        </w:r>
        <w:proofErr w:type="spellEnd"/>
        <w:r w:rsidR="008E2B7B" w:rsidRPr="003C0E2F">
          <w:rPr>
            <w:rStyle w:val="Hyperlink"/>
            <w:rFonts w:cstheme="minorHAnsi"/>
            <w:color w:val="auto"/>
            <w:szCs w:val="24"/>
            <w:u w:val="none"/>
          </w:rPr>
          <w:t xml:space="preserve"> JM</w:t>
        </w:r>
      </w:hyperlink>
      <w:r w:rsidR="008E2B7B" w:rsidRPr="003C0E2F">
        <w:rPr>
          <w:rFonts w:cstheme="minorHAnsi"/>
          <w:szCs w:val="24"/>
        </w:rPr>
        <w:t xml:space="preserve">, </w:t>
      </w:r>
      <w:hyperlink r:id="rId30" w:history="1">
        <w:proofErr w:type="spellStart"/>
        <w:r w:rsidR="008E2B7B" w:rsidRPr="003C0E2F">
          <w:rPr>
            <w:rStyle w:val="Hyperlink"/>
            <w:rFonts w:cstheme="minorHAnsi"/>
            <w:color w:val="auto"/>
            <w:szCs w:val="24"/>
            <w:u w:val="none"/>
          </w:rPr>
          <w:t>Schromm</w:t>
        </w:r>
        <w:proofErr w:type="spellEnd"/>
        <w:r w:rsidR="008E2B7B" w:rsidRPr="003C0E2F">
          <w:rPr>
            <w:rStyle w:val="Hyperlink"/>
            <w:rFonts w:cstheme="minorHAnsi"/>
            <w:color w:val="auto"/>
            <w:szCs w:val="24"/>
            <w:u w:val="none"/>
          </w:rPr>
          <w:t xml:space="preserve"> AB</w:t>
        </w:r>
      </w:hyperlink>
      <w:r w:rsidR="008E2B7B" w:rsidRPr="003C0E2F">
        <w:rPr>
          <w:rFonts w:cstheme="minorHAnsi"/>
          <w:szCs w:val="24"/>
        </w:rPr>
        <w:t xml:space="preserve">, </w:t>
      </w:r>
      <w:hyperlink r:id="rId31" w:history="1">
        <w:r w:rsidR="008E2B7B" w:rsidRPr="003C0E2F">
          <w:rPr>
            <w:rStyle w:val="Hyperlink"/>
            <w:rFonts w:cstheme="minorHAnsi"/>
            <w:color w:val="auto"/>
            <w:szCs w:val="24"/>
            <w:u w:val="none"/>
          </w:rPr>
          <w:t>Braun H</w:t>
        </w:r>
      </w:hyperlink>
      <w:r w:rsidR="008E2B7B" w:rsidRPr="003C0E2F">
        <w:rPr>
          <w:rFonts w:cstheme="minorHAnsi"/>
          <w:szCs w:val="24"/>
        </w:rPr>
        <w:t xml:space="preserve">, </w:t>
      </w:r>
      <w:hyperlink r:id="rId32" w:history="1">
        <w:r w:rsidR="008E2B7B" w:rsidRPr="003C0E2F">
          <w:rPr>
            <w:rStyle w:val="Hyperlink"/>
            <w:rFonts w:cstheme="minorHAnsi"/>
            <w:b/>
            <w:bCs/>
            <w:color w:val="auto"/>
            <w:szCs w:val="24"/>
            <w:u w:val="none"/>
          </w:rPr>
          <w:t>Palmer C</w:t>
        </w:r>
      </w:hyperlink>
      <w:r w:rsidR="008E2B7B" w:rsidRPr="003C0E2F">
        <w:rPr>
          <w:rFonts w:cstheme="minorHAnsi"/>
          <w:szCs w:val="24"/>
        </w:rPr>
        <w:t xml:space="preserve">, </w:t>
      </w:r>
      <w:hyperlink r:id="rId33" w:history="1">
        <w:proofErr w:type="spellStart"/>
        <w:r w:rsidR="008E2B7B" w:rsidRPr="003C0E2F">
          <w:rPr>
            <w:rStyle w:val="Hyperlink"/>
            <w:rFonts w:cstheme="minorHAnsi"/>
            <w:color w:val="auto"/>
            <w:szCs w:val="24"/>
            <w:u w:val="none"/>
          </w:rPr>
          <w:t>Beyaert</w:t>
        </w:r>
        <w:proofErr w:type="spellEnd"/>
        <w:r w:rsidR="008E2B7B" w:rsidRPr="003C0E2F">
          <w:rPr>
            <w:rStyle w:val="Hyperlink"/>
            <w:rFonts w:cstheme="minorHAnsi"/>
            <w:color w:val="auto"/>
            <w:szCs w:val="24"/>
            <w:u w:val="none"/>
          </w:rPr>
          <w:t xml:space="preserve"> R</w:t>
        </w:r>
      </w:hyperlink>
      <w:r w:rsidR="008E2B7B" w:rsidRPr="003C0E2F">
        <w:rPr>
          <w:rFonts w:cstheme="minorHAnsi"/>
          <w:szCs w:val="24"/>
        </w:rPr>
        <w:t xml:space="preserve">, </w:t>
      </w:r>
      <w:hyperlink r:id="rId34" w:history="1">
        <w:proofErr w:type="spellStart"/>
        <w:r w:rsidR="008E2B7B" w:rsidRPr="003C0E2F">
          <w:rPr>
            <w:rStyle w:val="Hyperlink"/>
            <w:rFonts w:cstheme="minorHAnsi"/>
            <w:color w:val="auto"/>
            <w:szCs w:val="24"/>
            <w:u w:val="none"/>
          </w:rPr>
          <w:t>Lapenta</w:t>
        </w:r>
        <w:proofErr w:type="spellEnd"/>
        <w:r w:rsidR="008E2B7B" w:rsidRPr="003C0E2F">
          <w:rPr>
            <w:rStyle w:val="Hyperlink"/>
            <w:rFonts w:cstheme="minorHAnsi"/>
            <w:color w:val="auto"/>
            <w:szCs w:val="24"/>
            <w:u w:val="none"/>
          </w:rPr>
          <w:t xml:space="preserve"> F</w:t>
        </w:r>
      </w:hyperlink>
      <w:r w:rsidR="008E2B7B" w:rsidRPr="003C0E2F">
        <w:rPr>
          <w:rFonts w:cstheme="minorHAnsi"/>
          <w:szCs w:val="24"/>
        </w:rPr>
        <w:t xml:space="preserve">, </w:t>
      </w:r>
      <w:hyperlink r:id="rId35" w:history="1">
        <w:proofErr w:type="spellStart"/>
        <w:r w:rsidR="008E2B7B" w:rsidRPr="003C0E2F">
          <w:rPr>
            <w:rStyle w:val="Hyperlink"/>
            <w:rFonts w:cstheme="minorHAnsi"/>
            <w:color w:val="auto"/>
            <w:szCs w:val="24"/>
            <w:u w:val="none"/>
          </w:rPr>
          <w:t>Jerala</w:t>
        </w:r>
        <w:proofErr w:type="spellEnd"/>
        <w:r w:rsidR="008E2B7B" w:rsidRPr="003C0E2F">
          <w:rPr>
            <w:rStyle w:val="Hyperlink"/>
            <w:rFonts w:cstheme="minorHAnsi"/>
            <w:color w:val="auto"/>
            <w:szCs w:val="24"/>
            <w:u w:val="none"/>
          </w:rPr>
          <w:t xml:space="preserve"> R</w:t>
        </w:r>
      </w:hyperlink>
      <w:r w:rsidR="008E2B7B" w:rsidRPr="003C0E2F">
        <w:rPr>
          <w:rFonts w:cstheme="minorHAnsi"/>
          <w:szCs w:val="24"/>
        </w:rPr>
        <w:t>,</w:t>
      </w:r>
      <w:r w:rsidR="008E2B7B" w:rsidRPr="003C0E2F">
        <w:rPr>
          <w:rFonts w:cstheme="minorHAnsi"/>
          <w:b/>
          <w:szCs w:val="24"/>
        </w:rPr>
        <w:t xml:space="preserve"> </w:t>
      </w:r>
      <w:hyperlink r:id="rId36" w:history="1">
        <w:proofErr w:type="spellStart"/>
        <w:r w:rsidR="008E2B7B" w:rsidRPr="003C0E2F">
          <w:rPr>
            <w:rStyle w:val="highlight"/>
            <w:rFonts w:cstheme="minorHAnsi"/>
            <w:bCs/>
            <w:szCs w:val="24"/>
          </w:rPr>
          <w:t>Pirianov</w:t>
        </w:r>
        <w:proofErr w:type="spellEnd"/>
        <w:r w:rsidR="008E2B7B" w:rsidRPr="003C0E2F">
          <w:rPr>
            <w:rStyle w:val="Hyperlink"/>
            <w:rFonts w:cstheme="minorHAnsi"/>
            <w:bCs/>
            <w:color w:val="auto"/>
            <w:szCs w:val="24"/>
            <w:u w:val="none"/>
          </w:rPr>
          <w:t xml:space="preserve"> G</w:t>
        </w:r>
      </w:hyperlink>
      <w:r w:rsidR="008E2B7B" w:rsidRPr="003C0E2F">
        <w:rPr>
          <w:rFonts w:cstheme="minorHAnsi"/>
          <w:szCs w:val="24"/>
        </w:rPr>
        <w:t xml:space="preserve">, </w:t>
      </w:r>
      <w:hyperlink r:id="rId37" w:history="1">
        <w:r w:rsidR="008E2B7B" w:rsidRPr="003C0E2F">
          <w:rPr>
            <w:rStyle w:val="Hyperlink"/>
            <w:rFonts w:cstheme="minorHAnsi"/>
            <w:color w:val="auto"/>
            <w:szCs w:val="24"/>
            <w:u w:val="none"/>
          </w:rPr>
          <w:t>Peri F</w:t>
        </w:r>
      </w:hyperlink>
      <w:r w:rsidR="008E2B7B" w:rsidRPr="003C0E2F">
        <w:rPr>
          <w:rFonts w:cstheme="minorHAnsi"/>
          <w:szCs w:val="24"/>
        </w:rPr>
        <w:t xml:space="preserve">. Structure-Activity Relationship in Monosaccharide-Based Toll-Like Receptor 4 (TLR4) Antagonists. </w:t>
      </w:r>
      <w:hyperlink r:id="rId38" w:tooltip="Journal of medicinal chemistry." w:history="1">
        <w:r w:rsidR="008E2B7B" w:rsidRPr="003C0E2F">
          <w:rPr>
            <w:rStyle w:val="Hyperlink"/>
            <w:rFonts w:cstheme="minorHAnsi"/>
            <w:color w:val="auto"/>
            <w:szCs w:val="24"/>
            <w:u w:val="none"/>
          </w:rPr>
          <w:t>J Med Chem.</w:t>
        </w:r>
      </w:hyperlink>
      <w:r w:rsidR="008E2B7B" w:rsidRPr="003C0E2F">
        <w:rPr>
          <w:rFonts w:cstheme="minorHAnsi"/>
          <w:szCs w:val="24"/>
        </w:rPr>
        <w:t>12;61(7):2895-2909, 2018</w:t>
      </w:r>
      <w:r w:rsidR="008E2B7B" w:rsidRPr="003C0E2F">
        <w:rPr>
          <w:rFonts w:ascii="Arial" w:hAnsi="Arial" w:cs="Arial"/>
          <w:szCs w:val="24"/>
        </w:rPr>
        <w:t>.</w:t>
      </w:r>
    </w:p>
    <w:p w14:paraId="0F069E91" w14:textId="5DA3B762" w:rsidR="00725BA7" w:rsidRDefault="00725BA7" w:rsidP="00E8528F"/>
    <w:p w14:paraId="6CBF05C9" w14:textId="77777777" w:rsidR="004262CF" w:rsidRPr="003C0E2F" w:rsidRDefault="004262CF" w:rsidP="00E8528F"/>
    <w:p w14:paraId="0769A8A3" w14:textId="319C8B96" w:rsidR="00FC7B97" w:rsidRPr="003C0E2F" w:rsidRDefault="004262CF" w:rsidP="004262CF">
      <w:pPr>
        <w:pStyle w:val="Heading1"/>
        <w:numPr>
          <w:ilvl w:val="0"/>
          <w:numId w:val="0"/>
        </w:numPr>
        <w:ind w:left="1069"/>
        <w:rPr>
          <w:noProof/>
        </w:rPr>
      </w:pPr>
      <w:r>
        <w:rPr>
          <w:noProof/>
        </w:rPr>
        <w:t xml:space="preserve">VII. </w:t>
      </w:r>
      <w:r>
        <w:rPr>
          <w:noProof/>
        </w:rPr>
        <w:tab/>
      </w:r>
      <w:r w:rsidR="00FC7B97" w:rsidRPr="003C0E2F">
        <w:rPr>
          <w:noProof/>
        </w:rPr>
        <w:t xml:space="preserve">Copyright </w:t>
      </w:r>
      <w:r w:rsidR="00FC7B97" w:rsidRPr="003C0E2F">
        <w:t>Disclaimer</w:t>
      </w:r>
    </w:p>
    <w:p w14:paraId="53A75C1B" w14:textId="77777777" w:rsidR="00FC7B97" w:rsidRPr="003C0E2F" w:rsidRDefault="00FC7B97" w:rsidP="00FC7B97">
      <w:r w:rsidRPr="003C0E2F">
        <w:t xml:space="preserve">The following work is copyright Anglia Ruskin University and </w:t>
      </w:r>
      <w:proofErr w:type="spellStart"/>
      <w:r w:rsidRPr="003C0E2F">
        <w:t>Charys</w:t>
      </w:r>
      <w:proofErr w:type="spellEnd"/>
      <w:r w:rsidRPr="003C0E2F">
        <w:t xml:space="preserve"> Palmer.</w:t>
      </w:r>
    </w:p>
    <w:p w14:paraId="7B7736B3" w14:textId="4D3DB721" w:rsidR="00FC7B97" w:rsidRPr="003C0E2F" w:rsidRDefault="00FC7B97" w:rsidP="00FC7B97">
      <w:pPr>
        <w:sectPr w:rsidR="00FC7B97" w:rsidRPr="003C0E2F" w:rsidSect="00784257">
          <w:footerReference w:type="default" r:id="rId39"/>
          <w:footerReference w:type="first" r:id="rId40"/>
          <w:pgSz w:w="11906" w:h="16838"/>
          <w:pgMar w:top="1440" w:right="1440" w:bottom="1440" w:left="1440" w:header="708" w:footer="708" w:gutter="0"/>
          <w:pgNumType w:fmt="lowerRoman" w:start="0"/>
          <w:cols w:space="708"/>
          <w:titlePg/>
          <w:docGrid w:linePitch="360"/>
        </w:sectPr>
      </w:pPr>
    </w:p>
    <w:p w14:paraId="19FC4BC6" w14:textId="4586061F" w:rsidR="00076099" w:rsidRPr="003C0E2F" w:rsidRDefault="00F64F9A" w:rsidP="003735FB">
      <w:pPr>
        <w:pStyle w:val="Heading1"/>
      </w:pPr>
      <w:bookmarkStart w:id="2" w:name="_Toc80013715"/>
      <w:bookmarkStart w:id="3" w:name="_Toc82882335"/>
      <w:r w:rsidRPr="003C0E2F">
        <w:lastRenderedPageBreak/>
        <w:t>Introduction</w:t>
      </w:r>
      <w:bookmarkEnd w:id="2"/>
      <w:bookmarkEnd w:id="3"/>
      <w:r w:rsidRPr="003C0E2F">
        <w:tab/>
      </w:r>
    </w:p>
    <w:p w14:paraId="4A940635" w14:textId="1F064A0D" w:rsidR="00C47D55" w:rsidRPr="003C0E2F" w:rsidRDefault="00C47D55" w:rsidP="00C47D55">
      <w:r w:rsidRPr="003C0E2F">
        <w:t xml:space="preserve">TLRs are a family of innate immune receptors referred to as pattern recognition receptors. The Innate immune system is part of a predefined encoded response which provide a fast, generalised reaction to pathogens. TLRs provide a protective </w:t>
      </w:r>
      <w:r w:rsidR="008F561F" w:rsidRPr="003C0E2F">
        <w:t>effect</w:t>
      </w:r>
      <w:r w:rsidRPr="003C0E2F">
        <w:t xml:space="preserve"> against invading pathogens and are involved in initialising the inflammatory response. However, aberrant TLR activity has been associated with sepsis, diabetes, metabolic syndrome, cardiovascular diseases, neurodegenerative diseases, and stroke </w:t>
      </w:r>
      <w:sdt>
        <w:sdtPr>
          <w:tag w:val="MENDELEY_CITATION_v3_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"/>
          <w:id w:val="1029368923"/>
          <w:placeholder>
            <w:docPart w:val="DefaultPlaceholder_-1854013440"/>
          </w:placeholder>
        </w:sdtPr>
        <w:sdtEndPr/>
        <w:sdtContent>
          <w:r w:rsidR="00F257B9">
            <w:rPr>
              <w:rFonts w:eastAsia="Times New Roman"/>
            </w:rPr>
            <w:t>(</w:t>
          </w:r>
          <w:proofErr w:type="spellStart"/>
          <w:r w:rsidR="00F257B9">
            <w:rPr>
              <w:rFonts w:eastAsia="Times New Roman"/>
            </w:rPr>
            <w:t>Higashimori</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2011; </w:t>
          </w:r>
          <w:proofErr w:type="spellStart"/>
          <w:r w:rsidR="00F257B9">
            <w:rPr>
              <w:rFonts w:eastAsia="Times New Roman"/>
            </w:rPr>
            <w:t>Hernanz</w:t>
          </w:r>
          <w:proofErr w:type="spellEnd"/>
          <w:r w:rsidR="00F257B9">
            <w:rPr>
              <w:rFonts w:eastAsia="Times New Roman"/>
            </w:rPr>
            <w:t xml:space="preserve"> </w:t>
          </w:r>
          <w:r w:rsidR="00F257B9">
            <w:rPr>
              <w:rFonts w:eastAsia="Times New Roman"/>
              <w:i/>
              <w:iCs/>
            </w:rPr>
            <w:t>et al.</w:t>
          </w:r>
          <w:r w:rsidR="00F257B9">
            <w:rPr>
              <w:rFonts w:eastAsia="Times New Roman"/>
            </w:rPr>
            <w:t>, 2015)</w:t>
          </w:r>
        </w:sdtContent>
      </w:sdt>
      <w:r w:rsidR="00C91167" w:rsidRPr="003C0E2F">
        <w:t>.</w:t>
      </w:r>
      <w:r w:rsidRPr="003C0E2F">
        <w:t xml:space="preserve"> Among these, cardiovascular disease</w:t>
      </w:r>
      <w:r w:rsidR="00654A0D" w:rsidRPr="003C0E2F">
        <w:t>s</w:t>
      </w:r>
      <w:r w:rsidRPr="003C0E2F">
        <w:t xml:space="preserve"> represent a significant impact on global healthcare, being the leading cause of mortality and morbidity in the developed world</w:t>
      </w:r>
      <w:r w:rsidR="00B216E8" w:rsidRPr="003C0E2F">
        <w:t xml:space="preserve"> </w:t>
      </w:r>
      <w:sdt>
        <w:sdtPr>
          <w:tag w:val="MENDELEY_CITATION_v3_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"/>
          <w:id w:val="746540976"/>
          <w:placeholder>
            <w:docPart w:val="DefaultPlaceholder_-1854013440"/>
          </w:placeholder>
        </w:sdtPr>
        <w:sdtEndPr/>
        <w:sdtContent>
          <w:r w:rsidR="00F257B9">
            <w:rPr>
              <w:rFonts w:eastAsia="Times New Roman"/>
            </w:rPr>
            <w:t xml:space="preserve">(Wilkins </w:t>
          </w:r>
          <w:r w:rsidR="00F257B9">
            <w:rPr>
              <w:rFonts w:eastAsia="Times New Roman"/>
              <w:i/>
              <w:iCs/>
            </w:rPr>
            <w:t>et al.</w:t>
          </w:r>
          <w:r w:rsidR="00F257B9">
            <w:rPr>
              <w:rFonts w:eastAsia="Times New Roman"/>
            </w:rPr>
            <w:t>, 2017)</w:t>
          </w:r>
        </w:sdtContent>
      </w:sdt>
      <w:r w:rsidR="00C91167" w:rsidRPr="003C0E2F">
        <w:t>.</w:t>
      </w:r>
      <w:r w:rsidRPr="003C0E2F">
        <w:t xml:space="preserve"> The absence of TLR4 has been shown to protect against experimental models of cardiovascular disease</w:t>
      </w:r>
      <w:r w:rsidR="00654A0D" w:rsidRPr="003C0E2F">
        <w:t>s</w:t>
      </w:r>
      <w:r w:rsidRPr="003C0E2F">
        <w:t xml:space="preserve"> in animal-based studies </w:t>
      </w:r>
      <w:sdt>
        <w:sdtPr>
          <w:tag w:val="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"/>
          <w:id w:val="1426380069"/>
          <w:placeholder>
            <w:docPart w:val="DefaultPlaceholder_-1854013440"/>
          </w:placeholder>
        </w:sdtPr>
        <w:sdtEndPr/>
        <w:sdtContent>
          <w:r w:rsidR="00F257B9">
            <w:rPr>
              <w:rFonts w:eastAsia="Times New Roman"/>
            </w:rPr>
            <w:t xml:space="preserve">(Michelsen </w:t>
          </w:r>
          <w:r w:rsidR="00F257B9">
            <w:rPr>
              <w:rFonts w:eastAsia="Times New Roman"/>
              <w:i/>
              <w:iCs/>
            </w:rPr>
            <w:t>et al.</w:t>
          </w:r>
          <w:r w:rsidR="00F257B9">
            <w:rPr>
              <w:rFonts w:eastAsia="Times New Roman"/>
            </w:rPr>
            <w:t xml:space="preserve">, 2004; Owens </w:t>
          </w:r>
          <w:r w:rsidR="00F257B9">
            <w:rPr>
              <w:rFonts w:eastAsia="Times New Roman"/>
              <w:i/>
              <w:iCs/>
            </w:rPr>
            <w:t>et al.</w:t>
          </w:r>
          <w:r w:rsidR="00F257B9">
            <w:rPr>
              <w:rFonts w:eastAsia="Times New Roman"/>
            </w:rPr>
            <w:t>, 2011)</w:t>
          </w:r>
        </w:sdtContent>
      </w:sdt>
      <w:r w:rsidRPr="003C0E2F">
        <w:t xml:space="preserve">. This suggests that molecules capable of reducing TLR activity may be of clinical interest. </w:t>
      </w:r>
    </w:p>
    <w:p w14:paraId="2BBF071B" w14:textId="0EFBA040" w:rsidR="00C47D55" w:rsidRPr="003C0E2F" w:rsidRDefault="00C47D55" w:rsidP="00C47D55">
      <w:r w:rsidRPr="003C0E2F">
        <w:t>TLR4 is known as the receptor for g</w:t>
      </w:r>
      <w:r w:rsidR="00654A0D" w:rsidRPr="003C0E2F">
        <w:t>ram-negative bacteria</w:t>
      </w:r>
      <w:r w:rsidRPr="003C0E2F">
        <w:t xml:space="preserve">. The receptor detects the presence of </w:t>
      </w:r>
      <w:r w:rsidR="00654A0D" w:rsidRPr="003C0E2F">
        <w:t xml:space="preserve">gram-negative </w:t>
      </w:r>
      <w:r w:rsidRPr="003C0E2F">
        <w:t xml:space="preserve">bacteria through binding to LPS, a component of the bacterial outer membrane. </w:t>
      </w:r>
      <w:bookmarkStart w:id="4" w:name="_Hlk82353291"/>
      <w:r w:rsidRPr="003C0E2F">
        <w:t xml:space="preserve">LPS </w:t>
      </w:r>
      <w:r w:rsidR="00654A0D" w:rsidRPr="003C0E2F">
        <w:t>is not bound</w:t>
      </w:r>
      <w:r w:rsidRPr="003C0E2F">
        <w:t xml:space="preserve"> directly</w:t>
      </w:r>
      <w:r w:rsidR="00654A0D" w:rsidRPr="003C0E2F">
        <w:t xml:space="preserve"> to TLR4</w:t>
      </w:r>
      <w:r w:rsidRPr="003C0E2F">
        <w:t xml:space="preserve">, but rather delivered </w:t>
      </w:r>
      <w:r w:rsidR="00654A0D" w:rsidRPr="003C0E2F">
        <w:t>via LBP and CD14 to a</w:t>
      </w:r>
      <w:r w:rsidR="00686B28" w:rsidRPr="003C0E2F">
        <w:t xml:space="preserve"> hydrophobic pocket on the</w:t>
      </w:r>
      <w:r w:rsidRPr="003C0E2F">
        <w:t xml:space="preserve"> co-receptor (MD-2) which is attached </w:t>
      </w:r>
      <w:r w:rsidR="00654A0D" w:rsidRPr="003C0E2F">
        <w:t>in complex with</w:t>
      </w:r>
      <w:r w:rsidRPr="003C0E2F">
        <w:t xml:space="preserve"> the TLR4 ectodomain. This interaction </w:t>
      </w:r>
      <w:r w:rsidR="00686B28" w:rsidRPr="003C0E2F">
        <w:t xml:space="preserve">causes a conformational change </w:t>
      </w:r>
      <w:r w:rsidR="0005532C" w:rsidRPr="003C0E2F">
        <w:t>in the F126 loop of</w:t>
      </w:r>
      <w:r w:rsidR="00686B28" w:rsidRPr="003C0E2F">
        <w:t xml:space="preserve"> MD-2 which </w:t>
      </w:r>
      <w:r w:rsidR="0005532C" w:rsidRPr="003C0E2F">
        <w:t xml:space="preserve">re-positions several residues important for initiating </w:t>
      </w:r>
      <w:proofErr w:type="spellStart"/>
      <w:r w:rsidR="0005532C" w:rsidRPr="003C0E2F">
        <w:t>dimerisation</w:t>
      </w:r>
      <w:proofErr w:type="spellEnd"/>
      <w:r w:rsidR="0005532C" w:rsidRPr="003C0E2F">
        <w:t xml:space="preserve"> of TLR4. A remaining </w:t>
      </w:r>
      <w:r w:rsidR="000740CC" w:rsidRPr="003C0E2F">
        <w:t xml:space="preserve">free acyl chain of Lipid A interacts with a hydrophobic patch on the second receptor, forming the </w:t>
      </w:r>
      <w:r w:rsidR="00B61441" w:rsidRPr="003C0E2F">
        <w:t xml:space="preserve">TLR4/MD2 </w:t>
      </w:r>
      <w:r w:rsidR="00085C72" w:rsidRPr="003C0E2F">
        <w:t>signalling</w:t>
      </w:r>
      <w:r w:rsidR="00B61441" w:rsidRPr="003C0E2F">
        <w:t xml:space="preserve"> complex</w:t>
      </w:r>
      <w:r w:rsidR="003E40BB" w:rsidRPr="003C0E2F">
        <w:t xml:space="preserve"> </w:t>
      </w:r>
      <w:sdt>
        <w:sdtPr>
          <w:tag w:val="MENDELEY_CITATION_v3_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"/>
          <w:id w:val="545955609"/>
          <w:placeholder>
            <w:docPart w:val="DefaultPlaceholder_-1854013440"/>
          </w:placeholder>
        </w:sdtPr>
        <w:sdtEndPr/>
        <w:sdtContent>
          <w:r w:rsidR="00F257B9">
            <w:rPr>
              <w:rFonts w:eastAsia="Times New Roman"/>
            </w:rPr>
            <w:t xml:space="preserve">(Park </w:t>
          </w:r>
          <w:r w:rsidR="00F257B9">
            <w:rPr>
              <w:rFonts w:eastAsia="Times New Roman"/>
              <w:i/>
              <w:iCs/>
            </w:rPr>
            <w:t>et al.</w:t>
          </w:r>
          <w:r w:rsidR="00F257B9">
            <w:rPr>
              <w:rFonts w:eastAsia="Times New Roman"/>
            </w:rPr>
            <w:t>, 2009)</w:t>
          </w:r>
        </w:sdtContent>
      </w:sdt>
      <w:r w:rsidR="000740CC" w:rsidRPr="003C0E2F">
        <w:t xml:space="preserve">. </w:t>
      </w:r>
      <w:proofErr w:type="spellStart"/>
      <w:r w:rsidR="00735E7E" w:rsidRPr="003C0E2F">
        <w:t>Dimerisation</w:t>
      </w:r>
      <w:proofErr w:type="spellEnd"/>
      <w:r w:rsidR="00735E7E" w:rsidRPr="003C0E2F">
        <w:t xml:space="preserve"> of TLR4 causes the </w:t>
      </w:r>
      <w:r w:rsidR="00686B28" w:rsidRPr="003C0E2F">
        <w:t>intracellular signalling domain</w:t>
      </w:r>
      <w:r w:rsidR="00B61441" w:rsidRPr="003C0E2F">
        <w:t>s of these receptors</w:t>
      </w:r>
      <w:r w:rsidR="000740CC" w:rsidRPr="003C0E2F">
        <w:t xml:space="preserve"> to come together</w:t>
      </w:r>
      <w:r w:rsidR="00B744F5" w:rsidRPr="003C0E2F">
        <w:t>, creating a dimer whi</w:t>
      </w:r>
      <w:r w:rsidR="00E9306C" w:rsidRPr="003C0E2F">
        <w:t>ch</w:t>
      </w:r>
      <w:r w:rsidR="00B744F5" w:rsidRPr="003C0E2F">
        <w:t xml:space="preserve"> acts as a scaffold for Mal/MyD88 and </w:t>
      </w:r>
      <w:r w:rsidR="00E9306C" w:rsidRPr="003C0E2F">
        <w:t>TRAM/</w:t>
      </w:r>
      <w:r w:rsidR="00B744F5" w:rsidRPr="003C0E2F">
        <w:t>TRIF</w:t>
      </w:r>
      <w:r w:rsidR="00E9306C" w:rsidRPr="003C0E2F">
        <w:t xml:space="preserve">. </w:t>
      </w:r>
      <w:r w:rsidR="00B41F43" w:rsidRPr="003C0E2F">
        <w:t>Signalling via</w:t>
      </w:r>
      <w:r w:rsidR="00686B28" w:rsidRPr="003C0E2F">
        <w:t xml:space="preserve"> </w:t>
      </w:r>
      <w:r w:rsidR="00932BC2" w:rsidRPr="003C0E2F">
        <w:t>MyD88</w:t>
      </w:r>
      <w:r w:rsidR="00686B28" w:rsidRPr="003C0E2F">
        <w:t xml:space="preserve"> or TRIF</w:t>
      </w:r>
      <w:r w:rsidR="00B41F43" w:rsidRPr="003C0E2F">
        <w:t xml:space="preserve"> </w:t>
      </w:r>
      <w:r w:rsidR="00E9306C" w:rsidRPr="003C0E2F">
        <w:t xml:space="preserve">dependent </w:t>
      </w:r>
      <w:r w:rsidR="00B41F43" w:rsidRPr="003C0E2F">
        <w:t>pathways</w:t>
      </w:r>
      <w:r w:rsidR="00B61441" w:rsidRPr="003C0E2F">
        <w:t xml:space="preserve"> and</w:t>
      </w:r>
      <w:r w:rsidR="00C91167" w:rsidRPr="003C0E2F">
        <w:t xml:space="preserve"> results in</w:t>
      </w:r>
      <w:r w:rsidR="00686B28" w:rsidRPr="003C0E2F">
        <w:t xml:space="preserve"> endpoint production of pro-inflammatory </w:t>
      </w:r>
      <w:r w:rsidR="00C91167" w:rsidRPr="003C0E2F">
        <w:t>cytokines</w:t>
      </w:r>
      <w:r w:rsidR="00686B28" w:rsidRPr="003C0E2F">
        <w:t xml:space="preserve"> </w:t>
      </w:r>
      <w:r w:rsidR="00C91167" w:rsidRPr="003C0E2F">
        <w:t>and</w:t>
      </w:r>
      <w:r w:rsidR="00686B28" w:rsidRPr="003C0E2F">
        <w:t xml:space="preserve"> interferons</w:t>
      </w:r>
      <w:r w:rsidR="00101D1F" w:rsidRPr="003C0E2F">
        <w:t>.</w:t>
      </w:r>
      <w:r w:rsidRPr="003C0E2F">
        <w:t xml:space="preserve"> </w:t>
      </w:r>
      <w:bookmarkEnd w:id="4"/>
      <w:r w:rsidRPr="003C0E2F">
        <w:t xml:space="preserve">While this is an important defence mechanism, </w:t>
      </w:r>
      <w:r w:rsidR="00B915CA" w:rsidRPr="003C0E2F">
        <w:t>th</w:t>
      </w:r>
      <w:r w:rsidR="00C91167" w:rsidRPr="003C0E2F">
        <w:t>is</w:t>
      </w:r>
      <w:r w:rsidR="00B915CA" w:rsidRPr="003C0E2F">
        <w:t xml:space="preserve"> response is broad and nonspecific, </w:t>
      </w:r>
      <w:r w:rsidRPr="003C0E2F">
        <w:lastRenderedPageBreak/>
        <w:t>caus</w:t>
      </w:r>
      <w:r w:rsidR="00B915CA" w:rsidRPr="003C0E2F">
        <w:t>ing</w:t>
      </w:r>
      <w:r w:rsidRPr="003C0E2F">
        <w:t xml:space="preserve"> damage</w:t>
      </w:r>
      <w:r w:rsidR="00B915CA" w:rsidRPr="003C0E2F">
        <w:t xml:space="preserve"> both to invading pathogens a</w:t>
      </w:r>
      <w:r w:rsidR="005D337F" w:rsidRPr="003C0E2F">
        <w:t>s well as</w:t>
      </w:r>
      <w:r w:rsidRPr="003C0E2F">
        <w:t xml:space="preserve"> </w:t>
      </w:r>
      <w:r w:rsidR="004F0974" w:rsidRPr="003C0E2F">
        <w:t>to host tissues</w:t>
      </w:r>
      <w:r w:rsidR="00C91167" w:rsidRPr="003C0E2F">
        <w:t>, which</w:t>
      </w:r>
      <w:r w:rsidR="004F0974" w:rsidRPr="003C0E2F">
        <w:t xml:space="preserve"> may be</w:t>
      </w:r>
      <w:r w:rsidRPr="003C0E2F">
        <w:t xml:space="preserve"> detrimental to heath if sustained. </w:t>
      </w:r>
    </w:p>
    <w:p w14:paraId="21FC0352" w14:textId="767BDBBF" w:rsidR="000B4D51" w:rsidRPr="003C0E2F" w:rsidRDefault="00C47D55" w:rsidP="00C47D55">
      <w:r w:rsidRPr="003C0E2F">
        <w:t>It is thought that sterile inflammation</w:t>
      </w:r>
      <w:r w:rsidR="009C1423" w:rsidRPr="003C0E2F">
        <w:t xml:space="preserve"> rather than bacterial induced inflammation</w:t>
      </w:r>
      <w:r w:rsidRPr="003C0E2F">
        <w:t xml:space="preserve"> is linked to many chronic inflammatory based diseases </w:t>
      </w:r>
      <w:sdt>
        <w:sdtPr>
          <w:tag w:val="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"/>
          <w:id w:val="-1633083560"/>
          <w:placeholder>
            <w:docPart w:val="DefaultPlaceholder_-1854013440"/>
          </w:placeholder>
        </w:sdtPr>
        <w:sdtEndPr/>
        <w:sdtContent>
          <w:r w:rsidR="00F257B9">
            <w:rPr>
              <w:rFonts w:eastAsia="Times New Roman"/>
            </w:rPr>
            <w:t>(</w:t>
          </w:r>
          <w:proofErr w:type="spellStart"/>
          <w:r w:rsidR="00F257B9">
            <w:rPr>
              <w:rFonts w:eastAsia="Times New Roman"/>
            </w:rPr>
            <w:t>Kolodgie</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2002; Chai </w:t>
          </w:r>
          <w:r w:rsidR="00F257B9">
            <w:rPr>
              <w:rFonts w:eastAsia="Times New Roman"/>
              <w:i/>
              <w:iCs/>
            </w:rPr>
            <w:t>et al.</w:t>
          </w:r>
          <w:r w:rsidR="00F257B9">
            <w:rPr>
              <w:rFonts w:eastAsia="Times New Roman"/>
            </w:rPr>
            <w:t>, 2005)</w:t>
          </w:r>
        </w:sdtContent>
      </w:sdt>
      <w:r w:rsidR="00B216E8" w:rsidRPr="003C0E2F">
        <w:t>.</w:t>
      </w:r>
      <w:r w:rsidRPr="003C0E2F">
        <w:t xml:space="preserve"> Aside from LPS, TLR4 has been shown to be activated by a variety of self-</w:t>
      </w:r>
      <w:r w:rsidR="004F0974" w:rsidRPr="003C0E2F">
        <w:t xml:space="preserve">derived </w:t>
      </w:r>
      <w:r w:rsidRPr="003C0E2F">
        <w:t xml:space="preserve">molecules including fibronectin, </w:t>
      </w:r>
      <w:proofErr w:type="spellStart"/>
      <w:r w:rsidRPr="003C0E2F">
        <w:t>heatshock</w:t>
      </w:r>
      <w:proofErr w:type="spellEnd"/>
      <w:r w:rsidRPr="003C0E2F">
        <w:t xml:space="preserve"> proteins, small fragments of </w:t>
      </w:r>
      <w:r w:rsidR="004F0974" w:rsidRPr="003C0E2F">
        <w:t>hyaluronan and</w:t>
      </w:r>
      <w:r w:rsidRPr="003C0E2F">
        <w:t xml:space="preserve"> oxidised lo</w:t>
      </w:r>
      <w:r w:rsidR="000719FA" w:rsidRPr="003C0E2F">
        <w:t>w-density</w:t>
      </w:r>
      <w:r w:rsidRPr="003C0E2F">
        <w:t xml:space="preserve"> lipoproteins (LDL) </w:t>
      </w:r>
      <w:sdt>
        <w:sdtPr>
          <w:tag w:val="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"/>
          <w:id w:val="-154068872"/>
          <w:placeholder>
            <w:docPart w:val="DefaultPlaceholder_-1854013440"/>
          </w:placeholder>
        </w:sdtPr>
        <w:sdtEndPr/>
        <w:sdtContent>
          <w:r w:rsidR="00F257B9">
            <w:rPr>
              <w:rFonts w:eastAsia="Times New Roman"/>
            </w:rPr>
            <w:t xml:space="preserve">(Taylor </w:t>
          </w:r>
          <w:r w:rsidR="00F257B9">
            <w:rPr>
              <w:rFonts w:eastAsia="Times New Roman"/>
              <w:i/>
              <w:iCs/>
            </w:rPr>
            <w:t>et al.</w:t>
          </w:r>
          <w:r w:rsidR="00F257B9">
            <w:rPr>
              <w:rFonts w:eastAsia="Times New Roman"/>
            </w:rPr>
            <w:t xml:space="preserve">, 2004; Miller </w:t>
          </w:r>
          <w:r w:rsidR="00F257B9">
            <w:rPr>
              <w:rFonts w:eastAsia="Times New Roman"/>
              <w:i/>
              <w:iCs/>
            </w:rPr>
            <w:t>et al.</w:t>
          </w:r>
          <w:r w:rsidR="00F257B9">
            <w:rPr>
              <w:rFonts w:eastAsia="Times New Roman"/>
            </w:rPr>
            <w:t>, 2005)</w:t>
          </w:r>
        </w:sdtContent>
      </w:sdt>
      <w:r w:rsidR="00B216E8" w:rsidRPr="003C0E2F">
        <w:t>.</w:t>
      </w:r>
      <w:r w:rsidRPr="003C0E2F">
        <w:t xml:space="preserve"> </w:t>
      </w:r>
      <w:r w:rsidR="00B915CA" w:rsidRPr="003C0E2F">
        <w:t>Absence of TLR4 has been shown to provide protective effects against cardiovascular disease progression in mice</w:t>
      </w:r>
      <w:r w:rsidR="00C91167" w:rsidRPr="003C0E2F">
        <w:t>, implicating TLR4 in disease pathology</w:t>
      </w:r>
      <w:r w:rsidR="00B915CA" w:rsidRPr="003C0E2F">
        <w:t xml:space="preserve"> (</w:t>
      </w:r>
      <w:r w:rsidR="00B915CA" w:rsidRPr="003C0E2F">
        <w:rPr>
          <w:rFonts w:eastAsia="Times New Roman"/>
        </w:rPr>
        <w:t xml:space="preserve">Michelsen </w:t>
      </w:r>
      <w:r w:rsidR="00B915CA" w:rsidRPr="003C0E2F">
        <w:rPr>
          <w:rFonts w:eastAsia="Times New Roman"/>
          <w:i/>
          <w:iCs/>
        </w:rPr>
        <w:t>et al.</w:t>
      </w:r>
      <w:r w:rsidR="00B915CA" w:rsidRPr="003C0E2F">
        <w:rPr>
          <w:rFonts w:eastAsia="Times New Roman"/>
        </w:rPr>
        <w:t xml:space="preserve">, 2004; Owens </w:t>
      </w:r>
      <w:r w:rsidR="00B915CA" w:rsidRPr="003C0E2F">
        <w:rPr>
          <w:rFonts w:eastAsia="Times New Roman"/>
          <w:i/>
          <w:iCs/>
        </w:rPr>
        <w:t>et al.</w:t>
      </w:r>
      <w:r w:rsidR="00B915CA" w:rsidRPr="003C0E2F">
        <w:rPr>
          <w:rFonts w:eastAsia="Times New Roman"/>
        </w:rPr>
        <w:t xml:space="preserve">, 2011). </w:t>
      </w:r>
      <w:r w:rsidRPr="003C0E2F">
        <w:t xml:space="preserve">The presence of molecules such as </w:t>
      </w:r>
      <w:proofErr w:type="spellStart"/>
      <w:r w:rsidR="001A2988" w:rsidRPr="003C0E2F">
        <w:t>oxLDL</w:t>
      </w:r>
      <w:proofErr w:type="spellEnd"/>
      <w:r w:rsidRPr="003C0E2F">
        <w:t xml:space="preserve"> in atherosclerotic lesions may be linked to the sustained inflammatory response associated with the condition</w:t>
      </w:r>
      <w:r w:rsidR="004F0974" w:rsidRPr="003C0E2F">
        <w:t xml:space="preserve"> and may drive TLR4 involvement in atherosclerotic progression</w:t>
      </w:r>
      <w:r w:rsidR="00B915CA" w:rsidRPr="003C0E2F">
        <w:rPr>
          <w:rFonts w:eastAsia="Times New Roman"/>
        </w:rPr>
        <w:t xml:space="preserve">. </w:t>
      </w:r>
      <w:bookmarkStart w:id="5" w:name="_Hlk82027214"/>
      <w:r w:rsidR="000B4D51" w:rsidRPr="003C0E2F">
        <w:t xml:space="preserve">TLR4 activation can occur in response to both LPS and </w:t>
      </w:r>
      <w:proofErr w:type="spellStart"/>
      <w:r w:rsidR="000B4D51" w:rsidRPr="003C0E2F">
        <w:t>oxLDL</w:t>
      </w:r>
      <w:proofErr w:type="spellEnd"/>
      <w:r w:rsidR="000B4D51" w:rsidRPr="003C0E2F">
        <w:t xml:space="preserve">, despite structural differences between these molecules. Recognition of LPS by TLR4 relies on interaction of LPS with TLR4 and MD-2 to form dimers, aided in by a delivery system involving LBP and CD14. TLR4 activity in response to </w:t>
      </w:r>
      <w:proofErr w:type="spellStart"/>
      <w:r w:rsidR="000B4D51" w:rsidRPr="003C0E2F">
        <w:t>OxLDL</w:t>
      </w:r>
      <w:proofErr w:type="spellEnd"/>
      <w:r w:rsidR="000B4D51" w:rsidRPr="003C0E2F">
        <w:t xml:space="preserve"> is also associated with involvement of other receptors including TLR2, TLR6 and CD36, the absence of which may diminish responsiveness to </w:t>
      </w:r>
      <w:proofErr w:type="spellStart"/>
      <w:r w:rsidR="000B4D51" w:rsidRPr="003C0E2F">
        <w:t>oxLDL</w:t>
      </w:r>
      <w:proofErr w:type="spellEnd"/>
      <w:r w:rsidR="000B4D51" w:rsidRPr="003C0E2F">
        <w:t xml:space="preserve"> </w:t>
      </w:r>
      <w:sdt>
        <w:sdtPr>
          <w:tag w:val="MENDELEY_CITATION_v3_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"/>
          <w:id w:val="-1167094182"/>
          <w:placeholder>
            <w:docPart w:val="3C1E966522F24DCABCA5C7FD28DAD2BA"/>
          </w:placeholder>
        </w:sdtPr>
        <w:sdtEndPr/>
        <w:sdtContent>
          <w:r w:rsidR="00F257B9">
            <w:rPr>
              <w:rFonts w:eastAsia="Times New Roman"/>
            </w:rPr>
            <w:t xml:space="preserve">(Stewart </w:t>
          </w:r>
          <w:r w:rsidR="00F257B9">
            <w:rPr>
              <w:rFonts w:eastAsia="Times New Roman"/>
              <w:i/>
              <w:iCs/>
            </w:rPr>
            <w:t>et al.</w:t>
          </w:r>
          <w:r w:rsidR="00F257B9">
            <w:rPr>
              <w:rFonts w:eastAsia="Times New Roman"/>
            </w:rPr>
            <w:t>, 2010)</w:t>
          </w:r>
        </w:sdtContent>
      </w:sdt>
      <w:r w:rsidR="000B4D51" w:rsidRPr="003C0E2F">
        <w:t xml:space="preserve">. </w:t>
      </w:r>
      <w:bookmarkEnd w:id="5"/>
      <w:r w:rsidRPr="003C0E2F">
        <w:t>These sterile ligands are thought to interact with TLRs in a different manner to LPS.</w:t>
      </w:r>
      <w:r w:rsidR="00B915CA" w:rsidRPr="003C0E2F">
        <w:t xml:space="preserve"> </w:t>
      </w:r>
    </w:p>
    <w:p w14:paraId="5A806735" w14:textId="7A3660A8" w:rsidR="00C47D55" w:rsidRPr="003C0E2F" w:rsidRDefault="00B915CA" w:rsidP="00C47D55">
      <w:r w:rsidRPr="003C0E2F">
        <w:t xml:space="preserve">Despite the obvious involvement of TLR4 in disease progression complete removal or blocking of TLR4 activity may not be desirable due to the important role of TLR4 in host-defence. </w:t>
      </w:r>
      <w:r w:rsidR="004434E7" w:rsidRPr="003C0E2F">
        <w:t>S</w:t>
      </w:r>
      <w:r w:rsidR="00023652" w:rsidRPr="003C0E2F">
        <w:t>uppression of TNF</w:t>
      </w:r>
      <w:r w:rsidR="00023652" w:rsidRPr="003C0E2F">
        <w:rPr>
          <w:rFonts w:cstheme="minorHAnsi"/>
        </w:rPr>
        <w:t>α</w:t>
      </w:r>
      <w:r w:rsidR="00023652" w:rsidRPr="003C0E2F">
        <w:t xml:space="preserve"> may result in the re-emergence of dormant </w:t>
      </w:r>
      <w:r w:rsidR="00FA6E71" w:rsidRPr="003C0E2F">
        <w:t>infections</w:t>
      </w:r>
      <w:r w:rsidR="00023652" w:rsidRPr="003C0E2F">
        <w:t xml:space="preserve"> </w:t>
      </w:r>
      <w:sdt>
        <w:sdtPr>
          <w:tag w:val="MENDELEY_CITATION_v3_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"/>
          <w:id w:val="-929495387"/>
          <w:placeholder>
            <w:docPart w:val="646505F3329648238F0B601E97A6AA21"/>
          </w:placeholder>
        </w:sdtPr>
        <w:sdtEndPr/>
        <w:sdtContent>
          <w:r w:rsidR="00F257B9">
            <w:rPr>
              <w:rFonts w:eastAsia="Times New Roman"/>
            </w:rPr>
            <w:t xml:space="preserve">(Lin </w:t>
          </w:r>
          <w:r w:rsidR="00F257B9">
            <w:rPr>
              <w:rFonts w:eastAsia="Times New Roman"/>
              <w:i/>
              <w:iCs/>
            </w:rPr>
            <w:t>et al.</w:t>
          </w:r>
          <w:r w:rsidR="00F257B9">
            <w:rPr>
              <w:rFonts w:eastAsia="Times New Roman"/>
            </w:rPr>
            <w:t>, 2010)</w:t>
          </w:r>
        </w:sdtContent>
      </w:sdt>
      <w:r w:rsidR="00023652" w:rsidRPr="003C0E2F">
        <w:t xml:space="preserve">. A more nuanced approach in modulation of TLR4 receptor activity </w:t>
      </w:r>
      <w:r w:rsidR="006B51AB" w:rsidRPr="003C0E2F">
        <w:t xml:space="preserve">that allows for a reduction in activation, while retaining immune functionality, </w:t>
      </w:r>
      <w:r w:rsidR="00023652" w:rsidRPr="003C0E2F">
        <w:t>may therefore be</w:t>
      </w:r>
      <w:r w:rsidR="00A57F91" w:rsidRPr="003C0E2F">
        <w:t xml:space="preserve"> more appropriate</w:t>
      </w:r>
      <w:r w:rsidR="00023652" w:rsidRPr="003C0E2F">
        <w:t>.</w:t>
      </w:r>
    </w:p>
    <w:p w14:paraId="78C8F300" w14:textId="7A427278" w:rsidR="00762026" w:rsidRPr="003C0E2F" w:rsidRDefault="00C47D55" w:rsidP="00C47D55">
      <w:r w:rsidRPr="003C0E2F">
        <w:t xml:space="preserve">A series of small molecule </w:t>
      </w:r>
      <w:r w:rsidR="0023263E" w:rsidRPr="003C0E2F">
        <w:t xml:space="preserve">agonists and </w:t>
      </w:r>
      <w:r w:rsidRPr="003C0E2F">
        <w:t xml:space="preserve">antagonists of TLR4 were </w:t>
      </w:r>
      <w:r w:rsidR="00BB70B4" w:rsidRPr="003C0E2F">
        <w:t xml:space="preserve">designed and </w:t>
      </w:r>
      <w:r w:rsidRPr="003C0E2F">
        <w:t xml:space="preserve">developed by Professor Peri (University of Milano). These molecules shared structural similarities to the active </w:t>
      </w:r>
      <w:r w:rsidR="0023263E" w:rsidRPr="003C0E2F">
        <w:t xml:space="preserve">Lipid A </w:t>
      </w:r>
      <w:r w:rsidRPr="003C0E2F">
        <w:t>moiety of LPS, responsible for binding to and triggering TLR4 signalling</w:t>
      </w:r>
      <w:r w:rsidR="0023263E" w:rsidRPr="003C0E2F">
        <w:t xml:space="preserve">, and were designated </w:t>
      </w:r>
      <w:r w:rsidR="0023263E" w:rsidRPr="003C0E2F">
        <w:lastRenderedPageBreak/>
        <w:t>as ‘FP’ followed by an identifying number</w:t>
      </w:r>
      <w:r w:rsidRPr="003C0E2F">
        <w:t xml:space="preserve">. </w:t>
      </w:r>
      <w:r w:rsidR="0023263E" w:rsidRPr="003C0E2F">
        <w:t xml:space="preserve">Some of these </w:t>
      </w:r>
      <w:r w:rsidRPr="003C0E2F">
        <w:t xml:space="preserve">compounds have previously been shown to downregulate </w:t>
      </w:r>
      <w:r w:rsidR="0023263E" w:rsidRPr="003C0E2F">
        <w:t>LPS</w:t>
      </w:r>
      <w:r w:rsidR="000A1BFB" w:rsidRPr="003C0E2F">
        <w:t xml:space="preserve"> induced</w:t>
      </w:r>
      <w:r w:rsidR="0023263E" w:rsidRPr="003C0E2F">
        <w:t xml:space="preserve"> </w:t>
      </w:r>
      <w:r w:rsidRPr="003C0E2F">
        <w:t>TLR4</w:t>
      </w:r>
      <w:r w:rsidR="00A9277D" w:rsidRPr="003C0E2F">
        <w:t>-</w:t>
      </w:r>
      <w:r w:rsidR="009E0322" w:rsidRPr="003C0E2F">
        <w:t>dependent</w:t>
      </w:r>
      <w:r w:rsidRPr="003C0E2F">
        <w:t xml:space="preserve"> signalling and are thought to interact with the MD-2 co-receptor of TLR4 in a similar way to LP</w:t>
      </w:r>
      <w:r w:rsidR="0023263E" w:rsidRPr="003C0E2F">
        <w:t>S</w:t>
      </w:r>
      <w:r w:rsidRPr="003C0E2F">
        <w:t xml:space="preserve"> </w:t>
      </w:r>
      <w:sdt>
        <w:sdtPr>
          <w:tag w:val="MENDELEY_CITATION_v3_eyJjaXRhdGlvbklEIjoiTUVOREVMRVlfQ0lUQVRJT05fYzdjZWM5ZmEtMzk0MC00YzU0LWE3Y2YtMDA2NTcyMDM3M2Nl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
          <w:id w:val="979194169"/>
          <w:placeholder>
            <w:docPart w:val="DefaultPlaceholder_-1854013440"/>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r w:rsidRPr="003C0E2F">
        <w:t xml:space="preserve">. </w:t>
      </w:r>
      <w:r w:rsidR="0023263E" w:rsidRPr="003C0E2F">
        <w:t>They</w:t>
      </w:r>
      <w:r w:rsidRPr="003C0E2F">
        <w:t xml:space="preserve"> are thought to be highly specific to TLR4, and studies have shown that FP7 does not affect several other TLRs</w:t>
      </w:r>
      <w:r w:rsidR="0023263E" w:rsidRPr="003C0E2F">
        <w:t>,</w:t>
      </w:r>
      <w:r w:rsidRPr="003C0E2F">
        <w:t xml:space="preserve"> which are stimulated by different ligands </w:t>
      </w:r>
      <w:sdt>
        <w:sdtPr>
          <w:tag w:val="MENDELEY_CITATION_v3_eyJjaXRhdGlvbklEIjoiTUVOREVMRVlfQ0lUQVRJT05fNzkwMDRkNjAtZDE3Zi00NDFhLWJjNzEtMzA0NWY5Mzk4NmM3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
          <w:id w:val="1998606731"/>
          <w:placeholder>
            <w:docPart w:val="DefaultPlaceholder_-1854013440"/>
          </w:placeholder>
        </w:sdtPr>
        <w:sdtEndPr/>
        <w:sdtContent>
          <w:r w:rsidR="00F257B9">
            <w:rPr>
              <w:rFonts w:eastAsia="Times New Roman"/>
            </w:rPr>
            <w:t>(Perrin-</w:t>
          </w:r>
          <w:proofErr w:type="spellStart"/>
          <w:r w:rsidR="00F257B9">
            <w:rPr>
              <w:rFonts w:eastAsia="Times New Roman"/>
            </w:rPr>
            <w:t>Cocon</w:t>
          </w:r>
          <w:proofErr w:type="spellEnd"/>
          <w:r w:rsidR="00F257B9">
            <w:rPr>
              <w:rFonts w:eastAsia="Times New Roman"/>
            </w:rPr>
            <w:t xml:space="preserve"> </w:t>
          </w:r>
          <w:r w:rsidR="00F257B9">
            <w:rPr>
              <w:rFonts w:eastAsia="Times New Roman"/>
              <w:i/>
              <w:iCs/>
            </w:rPr>
            <w:t>et al.</w:t>
          </w:r>
          <w:r w:rsidR="00F257B9">
            <w:rPr>
              <w:rFonts w:eastAsia="Times New Roman"/>
            </w:rPr>
            <w:t>, 2017)</w:t>
          </w:r>
        </w:sdtContent>
      </w:sdt>
      <w:r w:rsidRPr="003C0E2F">
        <w:t xml:space="preserve">. Further investigation of these molecules is required to understand the more specific </w:t>
      </w:r>
      <w:r w:rsidR="008F561F" w:rsidRPr="003C0E2F">
        <w:t>effect</w:t>
      </w:r>
      <w:r w:rsidRPr="003C0E2F">
        <w:t xml:space="preserve">s and differences between </w:t>
      </w:r>
      <w:r w:rsidR="0023263E" w:rsidRPr="003C0E2F">
        <w:t xml:space="preserve">each of the </w:t>
      </w:r>
      <w:r w:rsidRPr="003C0E2F">
        <w:t xml:space="preserve">structural variants. In this regard, FP7 and its derivative series were </w:t>
      </w:r>
      <w:r w:rsidR="0023263E" w:rsidRPr="003C0E2F">
        <w:t>evaluated</w:t>
      </w:r>
      <w:r w:rsidR="00E82396" w:rsidRPr="003C0E2F">
        <w:t xml:space="preserve"> here</w:t>
      </w:r>
      <w:r w:rsidRPr="003C0E2F">
        <w:t xml:space="preserve"> in both human and mouse </w:t>
      </w:r>
      <w:r w:rsidR="008F561F" w:rsidRPr="003C0E2F">
        <w:t>macrophage</w:t>
      </w:r>
      <w:r w:rsidRPr="003C0E2F">
        <w:t xml:space="preserve"> cell lines. </w:t>
      </w:r>
      <w:r w:rsidR="00762026" w:rsidRPr="003C0E2F">
        <w:br w:type="page"/>
      </w:r>
    </w:p>
    <w:p w14:paraId="0E53F300" w14:textId="18382B3B" w:rsidR="0068651C" w:rsidRPr="003C0E2F" w:rsidRDefault="00F64F9A" w:rsidP="00BE5236">
      <w:pPr>
        <w:pStyle w:val="Heading2"/>
      </w:pPr>
      <w:bookmarkStart w:id="6" w:name="_Toc80013716"/>
      <w:bookmarkStart w:id="7" w:name="_Toc82882336"/>
      <w:r w:rsidRPr="003C0E2F">
        <w:lastRenderedPageBreak/>
        <w:t xml:space="preserve">Toll-like </w:t>
      </w:r>
      <w:r w:rsidR="005E3B51" w:rsidRPr="003C0E2F">
        <w:t>r</w:t>
      </w:r>
      <w:r w:rsidRPr="003C0E2F">
        <w:t>eceptors</w:t>
      </w:r>
      <w:bookmarkEnd w:id="6"/>
      <w:bookmarkEnd w:id="7"/>
    </w:p>
    <w:p w14:paraId="06646E69" w14:textId="640656EC" w:rsidR="00C47D55" w:rsidRPr="003C0E2F" w:rsidRDefault="00C47D55" w:rsidP="00C47D55">
      <w:r w:rsidRPr="003C0E2F">
        <w:t xml:space="preserve">Toll-like receptors are a class of transmembrane glycoproteins found in both invertebrate and vertebrate species. Originally discovered in fruit flies, drosophila toll was associated with dorsoventral patterning </w:t>
      </w:r>
      <w:sdt>
        <w:sdtPr>
          <w:rPr>
            <w:color w:val="000000"/>
          </w:rPr>
          <w:tag w:val="MENDELEY_CITATION_v3_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"/>
          <w:id w:val="1458602992"/>
          <w:placeholder>
            <w:docPart w:val="DefaultPlaceholder_-1854013440"/>
          </w:placeholder>
        </w:sdtPr>
        <w:sdtEndPr/>
        <w:sdtContent>
          <w:r w:rsidR="00F257B9" w:rsidRPr="00F257B9">
            <w:rPr>
              <w:color w:val="000000"/>
            </w:rPr>
            <w:t>(Belvin and Anderson, 1996)</w:t>
          </w:r>
        </w:sdtContent>
      </w:sdt>
      <w:r w:rsidRPr="003C0E2F">
        <w:t xml:space="preserve">, and later in the response to fungal and bacterial infections </w:t>
      </w:r>
      <w:sdt>
        <w:sdtPr>
          <w:tag w:val="MENDELEY_CITATION_v3_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"/>
          <w:id w:val="-1186050080"/>
          <w:placeholder>
            <w:docPart w:val="DefaultPlaceholder_-1854013440"/>
          </w:placeholder>
        </w:sdtPr>
        <w:sdtEndPr/>
        <w:sdtContent>
          <w:r w:rsidR="00F257B9">
            <w:rPr>
              <w:rFonts w:eastAsia="Times New Roman"/>
            </w:rPr>
            <w:t xml:space="preserve">(Lemaitre </w:t>
          </w:r>
          <w:r w:rsidR="00F257B9">
            <w:rPr>
              <w:rFonts w:eastAsia="Times New Roman"/>
              <w:i/>
              <w:iCs/>
            </w:rPr>
            <w:t>et al.</w:t>
          </w:r>
          <w:r w:rsidR="00F257B9">
            <w:rPr>
              <w:rFonts w:eastAsia="Times New Roman"/>
            </w:rPr>
            <w:t xml:space="preserve">, 1996; Michel </w:t>
          </w:r>
          <w:r w:rsidR="00F257B9">
            <w:rPr>
              <w:rFonts w:eastAsia="Times New Roman"/>
              <w:i/>
              <w:iCs/>
            </w:rPr>
            <w:t>et al.</w:t>
          </w:r>
          <w:r w:rsidR="00F257B9">
            <w:rPr>
              <w:rFonts w:eastAsia="Times New Roman"/>
            </w:rPr>
            <w:t>, 2001)</w:t>
          </w:r>
        </w:sdtContent>
      </w:sdt>
      <w:r w:rsidRPr="003C0E2F">
        <w:t xml:space="preserve">. </w:t>
      </w:r>
      <w:bookmarkStart w:id="8" w:name="_Hlk80818540"/>
      <w:r w:rsidRPr="003C0E2F">
        <w:t xml:space="preserve">A human homologue of toll </w:t>
      </w:r>
      <w:r w:rsidR="00FB0D64" w:rsidRPr="003C0E2F">
        <w:t xml:space="preserve">was later identified </w:t>
      </w:r>
      <w:bookmarkStart w:id="9" w:name="_Hlk80818527"/>
      <w:r w:rsidR="009C1423" w:rsidRPr="003C0E2F">
        <w:t>and described</w:t>
      </w:r>
      <w:r w:rsidR="008C4123" w:rsidRPr="003C0E2F">
        <w:t xml:space="preserve">, being </w:t>
      </w:r>
      <w:proofErr w:type="gramStart"/>
      <w:r w:rsidR="008C4123" w:rsidRPr="003C0E2F">
        <w:t xml:space="preserve">similar </w:t>
      </w:r>
      <w:bookmarkEnd w:id="8"/>
      <w:r w:rsidR="008C4123" w:rsidRPr="003C0E2F">
        <w:t>to</w:t>
      </w:r>
      <w:proofErr w:type="gramEnd"/>
      <w:r w:rsidR="008C4123" w:rsidRPr="003C0E2F">
        <w:t xml:space="preserve"> drosophila toll but exhibiting one LRR region rather than two separated regions of LRRs</w:t>
      </w:r>
      <w:r w:rsidR="009C1423" w:rsidRPr="003C0E2F">
        <w:t xml:space="preserve"> </w:t>
      </w:r>
      <w:bookmarkEnd w:id="9"/>
      <w:sdt>
        <w:sdtPr>
          <w:rPr>
            <w:color w:val="000000"/>
          </w:rPr>
          <w:tag w:val="MENDELEY_CITATION_v3_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"/>
          <w:id w:val="209773338"/>
          <w:placeholder>
            <w:docPart w:val="DefaultPlaceholder_-1854013440"/>
          </w:placeholder>
        </w:sdtPr>
        <w:sdtEndPr/>
        <w:sdtContent>
          <w:r w:rsidR="00F257B9" w:rsidRPr="00F257B9">
            <w:rPr>
              <w:color w:val="000000"/>
            </w:rPr>
            <w:t>(</w:t>
          </w:r>
          <w:proofErr w:type="spellStart"/>
          <w:r w:rsidR="00F257B9" w:rsidRPr="00F257B9">
            <w:rPr>
              <w:color w:val="000000"/>
            </w:rPr>
            <w:t>Medzhitov</w:t>
          </w:r>
          <w:proofErr w:type="spellEnd"/>
          <w:r w:rsidR="00F257B9" w:rsidRPr="00F257B9">
            <w:rPr>
              <w:color w:val="000000"/>
            </w:rPr>
            <w:t>, Preston-Hurlburt and Janeway, 1997)</w:t>
          </w:r>
        </w:sdtContent>
      </w:sdt>
      <w:r w:rsidRPr="003C0E2F">
        <w:t xml:space="preserve">. </w:t>
      </w:r>
    </w:p>
    <w:p w14:paraId="55EC6F83" w14:textId="111DC446" w:rsidR="00C47D55" w:rsidRPr="003C0E2F" w:rsidRDefault="00C47D55" w:rsidP="00C47D55">
      <w:r w:rsidRPr="003C0E2F">
        <w:t xml:space="preserve">The number of different TLRs found in species can vary </w:t>
      </w:r>
      <w:r w:rsidR="00CF33DB" w:rsidRPr="003C0E2F">
        <w:t xml:space="preserve">greatly, ranging </w:t>
      </w:r>
      <w:r w:rsidRPr="003C0E2F">
        <w:t xml:space="preserve">between </w:t>
      </w:r>
      <w:r w:rsidR="00750A7E" w:rsidRPr="003C0E2F">
        <w:t>one</w:t>
      </w:r>
      <w:r w:rsidRPr="003C0E2F">
        <w:t xml:space="preserve"> </w:t>
      </w:r>
      <w:r w:rsidR="00CF33DB" w:rsidRPr="003C0E2F">
        <w:t>and</w:t>
      </w:r>
      <w:r w:rsidRPr="003C0E2F">
        <w:t xml:space="preserve"> hundreds in some invertebrates.</w:t>
      </w:r>
      <w:r w:rsidR="00CF33DB" w:rsidRPr="003C0E2F">
        <w:t xml:space="preserve"> However, i</w:t>
      </w:r>
      <w:r w:rsidRPr="003C0E2F">
        <w:t xml:space="preserve">n some cases, this high variability in number of TLRs may be </w:t>
      </w:r>
      <w:r w:rsidR="00CF33DB" w:rsidRPr="003C0E2F">
        <w:t>the result of</w:t>
      </w:r>
      <w:r w:rsidRPr="003C0E2F">
        <w:t xml:space="preserve"> repeat</w:t>
      </w:r>
      <w:r w:rsidR="00CF33DB" w:rsidRPr="003C0E2F">
        <w:t xml:space="preserve"> coding </w:t>
      </w:r>
      <w:r w:rsidRPr="003C0E2F">
        <w:t xml:space="preserve">of the same receptor </w:t>
      </w:r>
      <w:sdt>
        <w:sdtPr>
          <w:tag w:val="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"/>
          <w:id w:val="1114173134"/>
          <w:placeholder>
            <w:docPart w:val="DefaultPlaceholder_-1854013440"/>
          </w:placeholder>
        </w:sdtPr>
        <w:sdtEndPr/>
        <w:sdtContent>
          <w:r w:rsidR="00F257B9">
            <w:rPr>
              <w:rFonts w:eastAsia="Times New Roman"/>
            </w:rPr>
            <w:t xml:space="preserve">(Pujol </w:t>
          </w:r>
          <w:r w:rsidR="00F257B9">
            <w:rPr>
              <w:rFonts w:eastAsia="Times New Roman"/>
              <w:i/>
              <w:iCs/>
            </w:rPr>
            <w:t>et al.</w:t>
          </w:r>
          <w:r w:rsidR="00F257B9">
            <w:rPr>
              <w:rFonts w:eastAsia="Times New Roman"/>
            </w:rPr>
            <w:t xml:space="preserve">, 2001; Davidson </w:t>
          </w:r>
          <w:r w:rsidR="00F257B9">
            <w:rPr>
              <w:rFonts w:eastAsia="Times New Roman"/>
              <w:i/>
              <w:iCs/>
            </w:rPr>
            <w:t>et al.</w:t>
          </w:r>
          <w:r w:rsidR="00F257B9">
            <w:rPr>
              <w:rFonts w:eastAsia="Times New Roman"/>
            </w:rPr>
            <w:t xml:space="preserve">, 2008; Buckley and </w:t>
          </w:r>
          <w:proofErr w:type="spellStart"/>
          <w:r w:rsidR="00F257B9">
            <w:rPr>
              <w:rFonts w:eastAsia="Times New Roman"/>
            </w:rPr>
            <w:t>Rast</w:t>
          </w:r>
          <w:proofErr w:type="spellEnd"/>
          <w:r w:rsidR="00F257B9">
            <w:rPr>
              <w:rFonts w:eastAsia="Times New Roman"/>
            </w:rPr>
            <w:t>, 2012)</w:t>
          </w:r>
        </w:sdtContent>
      </w:sdt>
      <w:r w:rsidRPr="003C0E2F">
        <w:t>. In vertebrates the number of TLRs is typically more</w:t>
      </w:r>
      <w:r w:rsidR="00CF33DB" w:rsidRPr="003C0E2F">
        <w:t xml:space="preserve"> </w:t>
      </w:r>
      <w:r w:rsidRPr="003C0E2F">
        <w:t>consistent, with most species having a similar array of TLRs</w:t>
      </w:r>
      <w:r w:rsidR="00DE0F69" w:rsidRPr="003C0E2F">
        <w:t xml:space="preserve"> which is much more conserved between species and is likely due to their immunological importance</w:t>
      </w:r>
      <w:r w:rsidRPr="003C0E2F">
        <w:t xml:space="preserve">. </w:t>
      </w:r>
      <w:r w:rsidR="00DE0F69" w:rsidRPr="003C0E2F">
        <w:t xml:space="preserve">Conversely, </w:t>
      </w:r>
      <w:r w:rsidR="00643DC5" w:rsidRPr="003C0E2F">
        <w:t>t</w:t>
      </w:r>
      <w:r w:rsidRPr="003C0E2F">
        <w:t>he high amount of variation in number of TLRs in invertebrates may be related to their de</w:t>
      </w:r>
      <w:r w:rsidR="005A2A14" w:rsidRPr="003C0E2F">
        <w:t>v</w:t>
      </w:r>
      <w:r w:rsidRPr="003C0E2F">
        <w:t>elopment</w:t>
      </w:r>
      <w:r w:rsidR="00372259" w:rsidRPr="003C0E2F">
        <w:t>al role</w:t>
      </w:r>
      <w:r w:rsidRPr="003C0E2F">
        <w:t>.</w:t>
      </w:r>
    </w:p>
    <w:p w14:paraId="5D56DA6C" w14:textId="589B84D2" w:rsidR="00643DC5" w:rsidRPr="003C0E2F" w:rsidRDefault="00643DC5" w:rsidP="00C47D55">
      <w:r w:rsidRPr="003C0E2F">
        <w:t xml:space="preserve">Vertebrate TLRs are an important part of the innate immune response. TLRs recognise and bind to broad classes of molecules, known as PAMPs (Pathogen associated molecular patterns), associated with the presence of pathogens and regulate the inflammatory response.  Following recognition of PAMPs the TLR ectodomain forms dimers. This causes subsequent intracellular </w:t>
      </w:r>
      <w:proofErr w:type="spellStart"/>
      <w:r w:rsidRPr="003C0E2F">
        <w:t>dimerisation</w:t>
      </w:r>
      <w:proofErr w:type="spellEnd"/>
      <w:r w:rsidRPr="003C0E2F">
        <w:t xml:space="preserve"> of TIR signalling domains which triggers an intracellular signalling cascade and facilitates transcription and production of proinflammatory proteins. While there is variation between TLRs between species, much of the functional activity of these receptors is conserved indicating the importance of TLRs in species survival. While this provides a necessary defensive response to pathogens, sustained activation of the TLRs can also be damaging.</w:t>
      </w:r>
    </w:p>
    <w:p w14:paraId="1C665349" w14:textId="454100A9" w:rsidR="00447197" w:rsidRPr="003C0E2F" w:rsidRDefault="00C47D55" w:rsidP="00C47D55">
      <w:r w:rsidRPr="003C0E2F">
        <w:t xml:space="preserve">There are six main families of vertebrate TLRs. The TLR1, TLR7 and TLR11 families all contain several TLRs within the group, whereas TLR3, TLR4 and TLR5 families consist of only one TLR in each case. </w:t>
      </w:r>
      <w:r w:rsidRPr="003C0E2F">
        <w:lastRenderedPageBreak/>
        <w:t>These families are thought to have been present at the point of divergence between</w:t>
      </w:r>
      <w:r w:rsidR="00643DC5" w:rsidRPr="003C0E2F">
        <w:t xml:space="preserve"> all</w:t>
      </w:r>
      <w:r w:rsidRPr="003C0E2F">
        <w:t xml:space="preserve"> vertebrate species, though TLR15 from the TLR1 group similarities may be the result of</w:t>
      </w:r>
      <w:r w:rsidR="00643DC5" w:rsidRPr="003C0E2F">
        <w:t xml:space="preserve"> some</w:t>
      </w:r>
      <w:r w:rsidRPr="003C0E2F">
        <w:t xml:space="preserve"> convergent evolution of a paralogue within birds and reptiles </w:t>
      </w:r>
      <w:sdt>
        <w:sdtPr>
          <w:tag w:val="MENDELEY_CITATION_v3_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"/>
          <w:id w:val="-757216485"/>
          <w:placeholder>
            <w:docPart w:val="DefaultPlaceholder_-1854013440"/>
          </w:placeholder>
        </w:sdtPr>
        <w:sdtEndPr/>
        <w:sdtContent>
          <w:r w:rsidR="00F257B9">
            <w:rPr>
              <w:rFonts w:eastAsia="Times New Roman"/>
            </w:rPr>
            <w:t>(</w:t>
          </w:r>
          <w:proofErr w:type="spellStart"/>
          <w:r w:rsidR="00F257B9">
            <w:rPr>
              <w:rFonts w:eastAsia="Times New Roman"/>
            </w:rPr>
            <w:t>Temperley</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2008; Boyd </w:t>
          </w:r>
          <w:r w:rsidR="00F257B9">
            <w:rPr>
              <w:rFonts w:eastAsia="Times New Roman"/>
              <w:i/>
              <w:iCs/>
            </w:rPr>
            <w:t>et al.</w:t>
          </w:r>
          <w:r w:rsidR="00F257B9">
            <w:rPr>
              <w:rFonts w:eastAsia="Times New Roman"/>
            </w:rPr>
            <w:t>, 2012)</w:t>
          </w:r>
        </w:sdtContent>
      </w:sdt>
      <w:r w:rsidRPr="003C0E2F">
        <w:t>. Human</w:t>
      </w:r>
      <w:r w:rsidR="00643DC5" w:rsidRPr="003C0E2F">
        <w:t>s</w:t>
      </w:r>
      <w:r w:rsidRPr="003C0E2F">
        <w:t xml:space="preserve"> do not express a representative of the TLR11 family, though a pseudogene for this receptor has been reported</w:t>
      </w:r>
      <w:r w:rsidR="00643DC5" w:rsidRPr="003C0E2F">
        <w:t>,</w:t>
      </w:r>
      <w:r w:rsidRPr="003C0E2F">
        <w:t xml:space="preserve"> suggesting an ancestral presence of TLR11. This could have been selected against due to redundancy of this receptor in humans, or perhaps self-initiated responses that made TLR11 presence less viable as a protection strategy. </w:t>
      </w:r>
      <w:r w:rsidR="00643DC5" w:rsidRPr="003C0E2F">
        <w:t xml:space="preserve">In most cases, Vertebrate species exhibit one representative TLR from each receptor family </w:t>
      </w:r>
      <w:sdt>
        <w:sdtPr>
          <w:tag w:val="MENDELEY_CITATION_v3_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"/>
          <w:id w:val="-285964762"/>
          <w:placeholder>
            <w:docPart w:val="3F3F3C0E42F64BB3B11EBFA28D8248B2"/>
          </w:placeholder>
        </w:sdtPr>
        <w:sdtEndPr/>
        <w:sdtContent>
          <w:r w:rsidR="00F257B9">
            <w:rPr>
              <w:rFonts w:eastAsia="Times New Roman"/>
            </w:rPr>
            <w:t xml:space="preserve">(Roach </w:t>
          </w:r>
          <w:r w:rsidR="00F257B9">
            <w:rPr>
              <w:rFonts w:eastAsia="Times New Roman"/>
              <w:i/>
              <w:iCs/>
            </w:rPr>
            <w:t>et al.</w:t>
          </w:r>
          <w:r w:rsidR="00F257B9">
            <w:rPr>
              <w:rFonts w:eastAsia="Times New Roman"/>
            </w:rPr>
            <w:t>, 2005)</w:t>
          </w:r>
        </w:sdtContent>
      </w:sdt>
      <w:r w:rsidR="00643DC5" w:rsidRPr="003C0E2F">
        <w:t xml:space="preserve">. These typically have </w:t>
      </w:r>
      <w:r w:rsidR="009D59A0" w:rsidRPr="003C0E2F">
        <w:t>somewhat</w:t>
      </w:r>
      <w:r w:rsidR="00643DC5" w:rsidRPr="003C0E2F">
        <w:t xml:space="preserve"> conserved structure and function between vertebrate species, indicative of the</w:t>
      </w:r>
      <w:r w:rsidR="00C82DDE" w:rsidRPr="003C0E2F">
        <w:t>ir</w:t>
      </w:r>
      <w:r w:rsidR="00643DC5" w:rsidRPr="003C0E2F">
        <w:t xml:space="preserve"> importan</w:t>
      </w:r>
      <w:r w:rsidR="00387AEF" w:rsidRPr="003C0E2F">
        <w:t>ce in host-defence and survival.</w:t>
      </w:r>
    </w:p>
    <w:p w14:paraId="550B1E49" w14:textId="688BDEDB" w:rsidR="00447197" w:rsidRPr="003C0E2F" w:rsidRDefault="00447197">
      <w:pPr>
        <w:spacing w:line="259" w:lineRule="auto"/>
      </w:pPr>
      <w:r w:rsidRPr="003C0E2F">
        <w:br w:type="page"/>
      </w:r>
    </w:p>
    <w:p w14:paraId="1DD591B5" w14:textId="653868CA" w:rsidR="00F64F9A" w:rsidRPr="003C0E2F" w:rsidRDefault="00396C42" w:rsidP="00101D1F">
      <w:pPr>
        <w:pStyle w:val="Heading3"/>
      </w:pPr>
      <w:r w:rsidRPr="003C0E2F">
        <w:lastRenderedPageBreak/>
        <w:t xml:space="preserve"> </w:t>
      </w:r>
      <w:bookmarkStart w:id="10" w:name="_Toc80013717"/>
      <w:bookmarkStart w:id="11" w:name="_Toc82882337"/>
      <w:r w:rsidR="00F64F9A" w:rsidRPr="003C0E2F">
        <w:t xml:space="preserve">Structure and </w:t>
      </w:r>
      <w:r w:rsidR="000A1BFB" w:rsidRPr="003C0E2F">
        <w:t>f</w:t>
      </w:r>
      <w:r w:rsidR="00F64F9A" w:rsidRPr="003C0E2F">
        <w:t xml:space="preserve">unction of </w:t>
      </w:r>
      <w:r w:rsidR="005E3B51" w:rsidRPr="003C0E2F">
        <w:t>t</w:t>
      </w:r>
      <w:r w:rsidR="000A1BFB" w:rsidRPr="003C0E2F">
        <w:t>oll-</w:t>
      </w:r>
      <w:r w:rsidR="005E3B51" w:rsidRPr="003C0E2F">
        <w:t>l</w:t>
      </w:r>
      <w:r w:rsidR="000A1BFB" w:rsidRPr="003C0E2F">
        <w:t xml:space="preserve">ike </w:t>
      </w:r>
      <w:r w:rsidR="00882288" w:rsidRPr="003C0E2F">
        <w:t>r</w:t>
      </w:r>
      <w:r w:rsidR="000A1BFB" w:rsidRPr="003C0E2F">
        <w:t>eceptors</w:t>
      </w:r>
      <w:bookmarkEnd w:id="10"/>
      <w:bookmarkEnd w:id="11"/>
    </w:p>
    <w:p w14:paraId="38649A9A" w14:textId="52EC799B" w:rsidR="00B44048" w:rsidRPr="003C0E2F" w:rsidRDefault="00C47D55" w:rsidP="00C47D55">
      <w:bookmarkStart w:id="12" w:name="_Ref496089067"/>
      <w:r w:rsidRPr="003C0E2F">
        <w:t xml:space="preserve">TLRs are transmembrane glycoproteins made up of an extracellular domain, responsible for ligand recognition, connected via an alpha helix to an intracellular signalling domain similar </w:t>
      </w:r>
      <w:r w:rsidR="00711D74" w:rsidRPr="003C0E2F">
        <w:t xml:space="preserve">in structure </w:t>
      </w:r>
      <w:r w:rsidRPr="003C0E2F">
        <w:t xml:space="preserve">to that of IL-1R </w:t>
      </w:r>
      <w:sdt>
        <w:sdtPr>
          <w:rPr>
            <w:color w:val="000000"/>
          </w:rPr>
          <w:tag w:val="MENDELEY_CITATION_v3_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"/>
          <w:id w:val="219638379"/>
          <w:placeholder>
            <w:docPart w:val="DefaultPlaceholder_-1854013440"/>
          </w:placeholder>
        </w:sdtPr>
        <w:sdtEndPr/>
        <w:sdtContent>
          <w:r w:rsidR="00F257B9" w:rsidRPr="00F257B9">
            <w:rPr>
              <w:color w:val="000000"/>
            </w:rPr>
            <w:t>(Botos, Segal and Davies, 2011)</w:t>
          </w:r>
        </w:sdtContent>
      </w:sdt>
      <w:r w:rsidRPr="003C0E2F">
        <w:t xml:space="preserve">.  The extracellular domain of </w:t>
      </w:r>
      <w:r w:rsidR="00711D74" w:rsidRPr="003C0E2F">
        <w:t xml:space="preserve">the </w:t>
      </w:r>
      <w:r w:rsidRPr="003C0E2F">
        <w:t xml:space="preserve">TLRs is made up of 6-28 LRR regions with 2-5 cystines at the C-terminus </w:t>
      </w:r>
      <w:sdt>
        <w:sdtPr>
          <w:tag w:val="MENDELEY_CITATION_v3_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"/>
          <w:id w:val="-832291549"/>
          <w:placeholder>
            <w:docPart w:val="DefaultPlaceholder_-1854013440"/>
          </w:placeholder>
        </w:sdtPr>
        <w:sdtEndPr/>
        <w:sdtContent>
          <w:r w:rsidR="00F257B9">
            <w:rPr>
              <w:rFonts w:eastAsia="Times New Roman"/>
            </w:rPr>
            <w:t xml:space="preserve">(Matsushima </w:t>
          </w:r>
          <w:r w:rsidR="00F257B9">
            <w:rPr>
              <w:rFonts w:eastAsia="Times New Roman"/>
              <w:i/>
              <w:iCs/>
            </w:rPr>
            <w:t>et al.</w:t>
          </w:r>
          <w:r w:rsidR="00F257B9">
            <w:rPr>
              <w:rFonts w:eastAsia="Times New Roman"/>
            </w:rPr>
            <w:t>, 2007)</w:t>
          </w:r>
        </w:sdtContent>
      </w:sdt>
      <w:r w:rsidRPr="003C0E2F">
        <w:t>. This gives TLRs a typical solenoid or horseshoe shaped structure which may allow for greater flexibility</w:t>
      </w:r>
      <w:r w:rsidR="007B769A" w:rsidRPr="003C0E2F">
        <w:t xml:space="preserve"> (Figure 1)</w:t>
      </w:r>
      <w:r w:rsidRPr="003C0E2F">
        <w:t xml:space="preserve">. </w:t>
      </w:r>
      <w:bookmarkEnd w:id="12"/>
    </w:p>
    <w:p w14:paraId="065BF783" w14:textId="77777777" w:rsidR="00FC18F5" w:rsidRPr="003C0E2F" w:rsidRDefault="00FC18F5" w:rsidP="00C47D55"/>
    <w:p w14:paraId="1D657FE5" w14:textId="4EE34542" w:rsidR="00930A71" w:rsidRPr="003C0E2F" w:rsidRDefault="00237EE2" w:rsidP="00101D1F">
      <w:pPr>
        <w:jc w:val="center"/>
      </w:pPr>
      <w:r w:rsidRPr="003C0E2F">
        <w:rPr>
          <w:noProof/>
        </w:rPr>
        <w:drawing>
          <wp:inline distT="0" distB="0" distL="0" distR="0" wp14:anchorId="7FE4E31F" wp14:editId="58767733">
            <wp:extent cx="5809177" cy="3571875"/>
            <wp:effectExtent l="0" t="0" r="1270" b="0"/>
            <wp:docPr id="26" name="Picture 26" descr="A picture containing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flower&#10;&#10;Description automatically generated"/>
                    <pic:cNvPicPr/>
                  </pic:nvPicPr>
                  <pic:blipFill rotWithShape="1">
                    <a:blip r:embed="rId41" cstate="print">
                      <a:extLst>
                        <a:ext uri="{28A0092B-C50C-407E-A947-70E740481C1C}">
                          <a14:useLocalDpi xmlns:a14="http://schemas.microsoft.com/office/drawing/2010/main" val="0"/>
                        </a:ext>
                      </a:extLst>
                    </a:blip>
                    <a:srcRect l="14730" t="16346" r="13916" b="6597"/>
                    <a:stretch/>
                  </pic:blipFill>
                  <pic:spPr bwMode="auto">
                    <a:xfrm>
                      <a:off x="0" y="0"/>
                      <a:ext cx="5826826" cy="3582727"/>
                    </a:xfrm>
                    <a:prstGeom prst="rect">
                      <a:avLst/>
                    </a:prstGeom>
                    <a:ln>
                      <a:noFill/>
                    </a:ln>
                    <a:extLst>
                      <a:ext uri="{53640926-AAD7-44D8-BBD7-CCE9431645EC}">
                        <a14:shadowObscured xmlns:a14="http://schemas.microsoft.com/office/drawing/2010/main"/>
                      </a:ext>
                    </a:extLst>
                  </pic:spPr>
                </pic:pic>
              </a:graphicData>
            </a:graphic>
          </wp:inline>
        </w:drawing>
      </w:r>
    </w:p>
    <w:p w14:paraId="4E468CC7" w14:textId="743E17F8" w:rsidR="007B769A" w:rsidRPr="003C0E2F" w:rsidRDefault="00894C18" w:rsidP="00FB2FD3">
      <w:pPr>
        <w:pStyle w:val="NoSpacing"/>
        <w:rPr>
          <w:rStyle w:val="NoSpacingChar"/>
          <w:i/>
        </w:rPr>
      </w:pPr>
      <w:bookmarkStart w:id="13" w:name="_Toc48514462"/>
      <w:bookmarkStart w:id="14" w:name="_Toc48514813"/>
      <w:bookmarkStart w:id="15" w:name="_Toc55583723"/>
      <w:bookmarkStart w:id="16" w:name="_Toc55584900"/>
      <w:bookmarkStart w:id="17" w:name="_Toc60584016"/>
      <w:bookmarkStart w:id="18" w:name="_Toc60638136"/>
      <w:bookmarkStart w:id="19" w:name="_Toc60638854"/>
      <w:bookmarkStart w:id="20" w:name="_Toc63111988"/>
      <w:bookmarkStart w:id="21" w:name="_Toc63112205"/>
      <w:bookmarkStart w:id="22" w:name="_Toc63270345"/>
      <w:bookmarkStart w:id="23" w:name="_Toc64533212"/>
      <w:bookmarkStart w:id="24" w:name="_Toc64551759"/>
      <w:bookmarkStart w:id="25" w:name="_Toc80013803"/>
      <w:bookmarkStart w:id="26" w:name="_Toc82882942"/>
      <w:r w:rsidRPr="003C0E2F">
        <w:rPr>
          <w:rStyle w:val="NoSpacingChar"/>
          <w:i/>
        </w:rPr>
        <w:t xml:space="preserve">Figure </w:t>
      </w:r>
      <w:r w:rsidRPr="003C0E2F">
        <w:rPr>
          <w:rStyle w:val="NoSpacingChar"/>
          <w:i/>
        </w:rPr>
        <w:fldChar w:fldCharType="begin"/>
      </w:r>
      <w:r w:rsidRPr="003C0E2F">
        <w:rPr>
          <w:rStyle w:val="NoSpacingChar"/>
          <w:i/>
        </w:rPr>
        <w:instrText xml:space="preserve"> SEQ Figure \* ARABIC </w:instrText>
      </w:r>
      <w:r w:rsidRPr="003C0E2F">
        <w:rPr>
          <w:rStyle w:val="NoSpacingChar"/>
          <w:i/>
        </w:rPr>
        <w:fldChar w:fldCharType="separate"/>
      </w:r>
      <w:r w:rsidR="000F2276">
        <w:rPr>
          <w:rStyle w:val="NoSpacingChar"/>
          <w:i/>
          <w:noProof/>
        </w:rPr>
        <w:t>1</w:t>
      </w:r>
      <w:r w:rsidRPr="003C0E2F">
        <w:rPr>
          <w:rStyle w:val="NoSpacingChar"/>
          <w:i/>
        </w:rPr>
        <w:fldChar w:fldCharType="end"/>
      </w:r>
      <w:r w:rsidRPr="003C0E2F">
        <w:rPr>
          <w:rStyle w:val="NoSpacingChar"/>
          <w:i/>
        </w:rPr>
        <w:t xml:space="preserve">. </w:t>
      </w:r>
      <w:bookmarkEnd w:id="13"/>
      <w:bookmarkEnd w:id="14"/>
      <w:bookmarkEnd w:id="15"/>
      <w:bookmarkEnd w:id="16"/>
      <w:bookmarkEnd w:id="17"/>
      <w:bookmarkEnd w:id="18"/>
      <w:bookmarkEnd w:id="19"/>
      <w:bookmarkEnd w:id="20"/>
      <w:bookmarkEnd w:id="21"/>
      <w:bookmarkEnd w:id="22"/>
      <w:bookmarkEnd w:id="23"/>
      <w:bookmarkEnd w:id="24"/>
      <w:r w:rsidR="00430FF7" w:rsidRPr="003C0E2F">
        <w:rPr>
          <w:rStyle w:val="NoSpacingChar"/>
          <w:i/>
        </w:rPr>
        <w:t xml:space="preserve">Structure of </w:t>
      </w:r>
      <w:r w:rsidR="00DC0403" w:rsidRPr="003C0E2F">
        <w:rPr>
          <w:rStyle w:val="NoSpacingChar"/>
          <w:i/>
        </w:rPr>
        <w:t xml:space="preserve">extracellular </w:t>
      </w:r>
      <w:r w:rsidR="00430FF7" w:rsidRPr="003C0E2F">
        <w:rPr>
          <w:rStyle w:val="NoSpacingChar"/>
          <w:i/>
        </w:rPr>
        <w:t>TLR</w:t>
      </w:r>
      <w:r w:rsidR="00E01920" w:rsidRPr="003C0E2F">
        <w:rPr>
          <w:rStyle w:val="NoSpacingChar"/>
          <w:i/>
        </w:rPr>
        <w:t>4/MD-2 signalling complex</w:t>
      </w:r>
      <w:r w:rsidR="00FC18F5" w:rsidRPr="003C0E2F">
        <w:rPr>
          <w:rStyle w:val="NoSpacingChar"/>
          <w:i/>
        </w:rPr>
        <w:t>.</w:t>
      </w:r>
      <w:r w:rsidR="00E01920" w:rsidRPr="003C0E2F">
        <w:rPr>
          <w:rStyle w:val="NoSpacingChar"/>
          <w:i/>
        </w:rPr>
        <w:t xml:space="preserve"> Blue = TLR4</w:t>
      </w:r>
      <w:r w:rsidR="003C7D8C" w:rsidRPr="003C0E2F">
        <w:rPr>
          <w:rStyle w:val="NoSpacingChar"/>
          <w:i/>
        </w:rPr>
        <w:t xml:space="preserve"> (light/dark - dimer)</w:t>
      </w:r>
      <w:r w:rsidR="00E01920" w:rsidRPr="003C0E2F">
        <w:rPr>
          <w:rStyle w:val="NoSpacingChar"/>
          <w:i/>
        </w:rPr>
        <w:t xml:space="preserve">, </w:t>
      </w:r>
      <w:r w:rsidR="003C7D8C" w:rsidRPr="003C0E2F">
        <w:rPr>
          <w:rStyle w:val="NoSpacingChar"/>
          <w:i/>
        </w:rPr>
        <w:t>Green = MD-2 (light/dark – associated with corresponding TLR4)</w:t>
      </w:r>
      <w:r w:rsidR="00E01920" w:rsidRPr="003C0E2F">
        <w:rPr>
          <w:rStyle w:val="NoSpacingChar"/>
          <w:i/>
        </w:rPr>
        <w:t xml:space="preserve">, </w:t>
      </w:r>
      <w:r w:rsidR="003C7D8C" w:rsidRPr="003C0E2F">
        <w:rPr>
          <w:rStyle w:val="NoSpacingChar"/>
          <w:i/>
        </w:rPr>
        <w:t>Red</w:t>
      </w:r>
      <w:r w:rsidR="00E01920" w:rsidRPr="003C0E2F">
        <w:rPr>
          <w:rStyle w:val="NoSpacingChar"/>
          <w:i/>
        </w:rPr>
        <w:t xml:space="preserve"> = </w:t>
      </w:r>
      <w:r w:rsidR="003C7D8C" w:rsidRPr="003C0E2F">
        <w:rPr>
          <w:rStyle w:val="NoSpacingChar"/>
          <w:i/>
        </w:rPr>
        <w:t>Lipid IV A ligand bound to MD-2</w:t>
      </w:r>
      <w:r w:rsidR="0061058B" w:rsidRPr="003C0E2F">
        <w:rPr>
          <w:rStyle w:val="NoSpacingChar"/>
          <w:i/>
        </w:rPr>
        <w:t xml:space="preserve"> pocket</w:t>
      </w:r>
      <w:r w:rsidR="00E01920" w:rsidRPr="003C0E2F">
        <w:rPr>
          <w:rStyle w:val="NoSpacingChar"/>
          <w:i/>
        </w:rPr>
        <w:t xml:space="preserve">, PDB </w:t>
      </w:r>
      <w:r w:rsidR="003C7D8C" w:rsidRPr="003C0E2F">
        <w:rPr>
          <w:rStyle w:val="NoSpacingChar"/>
          <w:i/>
        </w:rPr>
        <w:t>ID</w:t>
      </w:r>
      <w:r w:rsidR="00E01920" w:rsidRPr="003C0E2F">
        <w:rPr>
          <w:rStyle w:val="NoSpacingChar"/>
          <w:i/>
        </w:rPr>
        <w:t>:</w:t>
      </w:r>
      <w:r w:rsidR="003C7D8C" w:rsidRPr="003C0E2F">
        <w:rPr>
          <w:rStyle w:val="NoSpacingChar"/>
          <w:i/>
        </w:rPr>
        <w:t xml:space="preserve"> 3VQ1</w:t>
      </w:r>
      <w:r w:rsidR="00AD07C7" w:rsidRPr="003C0E2F">
        <w:rPr>
          <w:rStyle w:val="NoSpacingChar"/>
          <w:i/>
        </w:rPr>
        <w:t xml:space="preserve"> </w:t>
      </w:r>
      <w:sdt>
        <w:sdtPr>
          <w:rPr>
            <w:rStyle w:val="NoSpacingChar"/>
            <w:i/>
          </w:rPr>
          <w:tag w:val="MENDELEY_CITATION_v3_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"/>
          <w:id w:val="869107108"/>
          <w:placeholder>
            <w:docPart w:val="DefaultPlaceholder_-1854013440"/>
          </w:placeholder>
        </w:sdtPr>
        <w:sdtEndPr>
          <w:rPr>
            <w:rStyle w:val="NoSpacingChar"/>
          </w:rPr>
        </w:sdtEndPr>
        <w:sdtContent>
          <w:r w:rsidR="00F257B9">
            <w:rPr>
              <w:rFonts w:eastAsia="Times New Roman"/>
            </w:rPr>
            <w:t>(</w:t>
          </w:r>
          <w:proofErr w:type="spellStart"/>
          <w:r w:rsidR="00F257B9">
            <w:rPr>
              <w:rFonts w:eastAsia="Times New Roman"/>
            </w:rPr>
            <w:t>Ohto</w:t>
          </w:r>
          <w:proofErr w:type="spellEnd"/>
          <w:r w:rsidR="00F257B9">
            <w:rPr>
              <w:rFonts w:eastAsia="Times New Roman"/>
            </w:rPr>
            <w:t xml:space="preserve"> </w:t>
          </w:r>
          <w:r w:rsidR="00F257B9">
            <w:rPr>
              <w:rFonts w:eastAsia="Times New Roman"/>
              <w:i w:val="0"/>
              <w:iCs/>
            </w:rPr>
            <w:t>et al.</w:t>
          </w:r>
          <w:r w:rsidR="00F257B9">
            <w:rPr>
              <w:rFonts w:eastAsia="Times New Roman"/>
            </w:rPr>
            <w:t>, 2012)</w:t>
          </w:r>
        </w:sdtContent>
      </w:sdt>
      <w:r w:rsidR="00E01920" w:rsidRPr="003C0E2F">
        <w:rPr>
          <w:rStyle w:val="NoSpacingChar"/>
          <w:i/>
        </w:rPr>
        <w:t>. Image</w:t>
      </w:r>
      <w:r w:rsidR="00FC18F5" w:rsidRPr="003C0E2F">
        <w:rPr>
          <w:rStyle w:val="NoSpacingChar"/>
          <w:i/>
        </w:rPr>
        <w:t>s</w:t>
      </w:r>
      <w:r w:rsidR="00E01920" w:rsidRPr="003C0E2F">
        <w:rPr>
          <w:rStyle w:val="NoSpacingChar"/>
          <w:i/>
        </w:rPr>
        <w:t xml:space="preserve"> produced using protein imager</w:t>
      </w:r>
      <w:r w:rsidR="00CD26F2" w:rsidRPr="003C0E2F">
        <w:rPr>
          <w:rStyle w:val="NoSpacingChar"/>
          <w:i/>
        </w:rPr>
        <w:t xml:space="preserve"> </w:t>
      </w:r>
      <w:sdt>
        <w:sdtPr>
          <w:rPr>
            <w:rStyle w:val="NoSpacingChar"/>
            <w:color w:val="000000"/>
          </w:rPr>
          <w:tag w:val="MENDELEY_CITATION_v3_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"/>
          <w:id w:val="1171292288"/>
          <w:placeholder>
            <w:docPart w:val="DefaultPlaceholder_-1854013440"/>
          </w:placeholder>
        </w:sdtPr>
        <w:sdtEndPr>
          <w:rPr>
            <w:rStyle w:val="NoSpacingChar"/>
          </w:rPr>
        </w:sdtEndPr>
        <w:sdtContent>
          <w:r w:rsidR="00F257B9" w:rsidRPr="00F257B9">
            <w:rPr>
              <w:rStyle w:val="NoSpacingChar"/>
              <w:color w:val="000000"/>
            </w:rPr>
            <w:t>(</w:t>
          </w:r>
          <w:proofErr w:type="spellStart"/>
          <w:r w:rsidR="00F257B9" w:rsidRPr="00F257B9">
            <w:rPr>
              <w:rStyle w:val="NoSpacingChar"/>
              <w:color w:val="000000"/>
            </w:rPr>
            <w:t>Tomasello</w:t>
          </w:r>
          <w:proofErr w:type="spellEnd"/>
          <w:r w:rsidR="00F257B9" w:rsidRPr="00F257B9">
            <w:rPr>
              <w:rStyle w:val="NoSpacingChar"/>
              <w:color w:val="000000"/>
            </w:rPr>
            <w:t xml:space="preserve">, Armenia and </w:t>
          </w:r>
          <w:proofErr w:type="spellStart"/>
          <w:r w:rsidR="00F257B9" w:rsidRPr="00F257B9">
            <w:rPr>
              <w:rStyle w:val="NoSpacingChar"/>
              <w:color w:val="000000"/>
            </w:rPr>
            <w:t>Molla</w:t>
          </w:r>
          <w:proofErr w:type="spellEnd"/>
          <w:r w:rsidR="00F257B9" w:rsidRPr="00F257B9">
            <w:rPr>
              <w:rStyle w:val="NoSpacingChar"/>
              <w:color w:val="000000"/>
            </w:rPr>
            <w:t>, 2020)</w:t>
          </w:r>
        </w:sdtContent>
      </w:sdt>
      <w:r w:rsidR="00E76CC8" w:rsidRPr="003C0E2F">
        <w:rPr>
          <w:rStyle w:val="NoSpacingChar"/>
          <w:i/>
        </w:rPr>
        <w:t>.</w:t>
      </w:r>
      <w:bookmarkEnd w:id="25"/>
      <w:bookmarkEnd w:id="26"/>
    </w:p>
    <w:p w14:paraId="221BD0F7" w14:textId="77777777" w:rsidR="007B769A" w:rsidRPr="003C0E2F" w:rsidRDefault="007B769A" w:rsidP="00237EE2">
      <w:pPr>
        <w:pStyle w:val="NoSpacing"/>
      </w:pPr>
    </w:p>
    <w:p w14:paraId="6176CFAE" w14:textId="72461B71" w:rsidR="000A058F" w:rsidRPr="003C0E2F" w:rsidRDefault="005B274E" w:rsidP="005B274E">
      <w:bookmarkStart w:id="27" w:name="_Hlk82444397"/>
      <w:r w:rsidRPr="003C0E2F">
        <w:lastRenderedPageBreak/>
        <w:t xml:space="preserve">LRR structures are a common among receptors and signalling molecules, and are regions which are typically associated functional activity, facilitating protein interactions. These structures have been reported in a host of organisms, from bacteria to humans. In addition to TLR4, CD14 also have LRR regions which are associated with ligand interaction </w:t>
      </w:r>
      <w:sdt>
        <w:sdtPr>
          <w:tag w:val="MENDELEY_CITATION_v3_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"/>
          <w:id w:val="-1201698206"/>
          <w:placeholder>
            <w:docPart w:val="DefaultPlaceholder_-1854013440"/>
          </w:placeholder>
        </w:sdtPr>
        <w:sdtEndPr/>
        <w:sdtContent>
          <w:r w:rsidR="00F257B9">
            <w:rPr>
              <w:rFonts w:eastAsia="Times New Roman"/>
            </w:rPr>
            <w:t xml:space="preserve">(Kim </w:t>
          </w:r>
          <w:r w:rsidR="00F257B9">
            <w:rPr>
              <w:rFonts w:eastAsia="Times New Roman"/>
              <w:i/>
              <w:iCs/>
            </w:rPr>
            <w:t>et al.</w:t>
          </w:r>
          <w:r w:rsidR="00F257B9">
            <w:rPr>
              <w:rFonts w:eastAsia="Times New Roman"/>
            </w:rPr>
            <w:t>, 2005)</w:t>
          </w:r>
        </w:sdtContent>
      </w:sdt>
      <w:r w:rsidRPr="003C0E2F">
        <w:t>. NLRs, another group of innate immune receptor, are known to have a similar LRR ectodomain. NLRP3, important for IL-1</w:t>
      </w:r>
      <w:r w:rsidRPr="003C0E2F">
        <w:rPr>
          <w:rFonts w:ascii="Calibri" w:hAnsi="Calibri" w:cs="Calibri"/>
        </w:rPr>
        <w:t xml:space="preserve">β production, has been shown to contain the LRR motif which aids in interactions with NEK7 and subsequent inflammasome activation </w:t>
      </w:r>
      <w:sdt>
        <w:sdtPr>
          <w:rPr>
            <w:rFonts w:ascii="Calibri" w:hAnsi="Calibri" w:cs="Calibri"/>
          </w:rPr>
          <w:tag w:val="MENDELEY_CITATION_v3_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"/>
          <w:id w:val="-652225099"/>
          <w:placeholder>
            <w:docPart w:val="DefaultPlaceholder_-1854013440"/>
          </w:placeholder>
        </w:sdtPr>
        <w:sdtEndPr/>
        <w:sdtContent>
          <w:r w:rsidR="00F257B9">
            <w:rPr>
              <w:rFonts w:eastAsia="Times New Roman"/>
            </w:rPr>
            <w:t xml:space="preserve">(Sharif </w:t>
          </w:r>
          <w:r w:rsidR="00F257B9">
            <w:rPr>
              <w:rFonts w:eastAsia="Times New Roman"/>
              <w:i/>
              <w:iCs/>
            </w:rPr>
            <w:t>et al.</w:t>
          </w:r>
          <w:r w:rsidR="00F257B9">
            <w:rPr>
              <w:rFonts w:eastAsia="Times New Roman"/>
            </w:rPr>
            <w:t>, 2019)</w:t>
          </w:r>
        </w:sdtContent>
      </w:sdt>
      <w:r w:rsidRPr="003C0E2F">
        <w:rPr>
          <w:rFonts w:ascii="Calibri" w:hAnsi="Calibri" w:cs="Calibri"/>
        </w:rPr>
        <w:t xml:space="preserve">. </w:t>
      </w:r>
      <w:bookmarkEnd w:id="27"/>
      <w:r w:rsidRPr="003C0E2F">
        <w:t>T</w:t>
      </w:r>
      <w:r w:rsidR="0026765E" w:rsidRPr="003C0E2F">
        <w:t>LRs are typically quite similar in structure to one another</w:t>
      </w:r>
      <w:r w:rsidR="0026765E" w:rsidRPr="003C0E2F">
        <w:rPr>
          <w:rFonts w:ascii="Calibri" w:hAnsi="Calibri" w:cs="Calibri"/>
        </w:rPr>
        <w:t xml:space="preserve">, but the </w:t>
      </w:r>
      <w:r w:rsidR="00C47D55" w:rsidRPr="003C0E2F">
        <w:t>LRR regions can vary</w:t>
      </w:r>
      <w:r w:rsidR="00271CB2" w:rsidRPr="003C0E2F">
        <w:t xml:space="preserve"> considerably</w:t>
      </w:r>
      <w:r w:rsidR="00C47D55" w:rsidRPr="003C0E2F">
        <w:t xml:space="preserve"> in lengt</w:t>
      </w:r>
      <w:r w:rsidR="0026765E" w:rsidRPr="003C0E2F">
        <w:t>h</w:t>
      </w:r>
      <w:r w:rsidR="00C47D55" w:rsidRPr="003C0E2F">
        <w:t xml:space="preserve">, from around 22-30 residues </w:t>
      </w:r>
      <w:sdt>
        <w:sdtPr>
          <w:rPr>
            <w:color w:val="000000"/>
          </w:rPr>
          <w:tag w:val="MENDELEY_CITATION_v3_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"/>
          <w:id w:val="1306117304"/>
          <w:placeholder>
            <w:docPart w:val="DefaultPlaceholder_-1854013440"/>
          </w:placeholder>
        </w:sdtPr>
        <w:sdtEndPr/>
        <w:sdtContent>
          <w:r w:rsidR="00F257B9" w:rsidRPr="00F257B9">
            <w:rPr>
              <w:color w:val="000000"/>
            </w:rPr>
            <w:t>(Mi and Lee, 2008)</w:t>
          </w:r>
        </w:sdtContent>
      </w:sdt>
      <w:r w:rsidR="008C4123" w:rsidRPr="003C0E2F">
        <w:t>.</w:t>
      </w:r>
      <w:r w:rsidR="00C47D55" w:rsidRPr="003C0E2F">
        <w:t xml:space="preserve"> Most of the variation between TLR ectodomains occurs in the middle of the LRR region, where ligand binding is thought to occur.</w:t>
      </w:r>
      <w:r w:rsidR="00C47D55" w:rsidRPr="003C0E2F">
        <w:rPr>
          <w:i/>
          <w:iCs/>
        </w:rPr>
        <w:t xml:space="preserve"> </w:t>
      </w:r>
    </w:p>
    <w:p w14:paraId="6C251626" w14:textId="5C390AE2" w:rsidR="00C47D55" w:rsidRPr="003C0E2F" w:rsidRDefault="0026765E" w:rsidP="00C47D55">
      <w:pPr>
        <w:rPr>
          <w:iCs/>
        </w:rPr>
      </w:pPr>
      <w:r w:rsidRPr="003C0E2F">
        <w:rPr>
          <w:iCs/>
        </w:rPr>
        <w:t xml:space="preserve">Although the structure of TLRs </w:t>
      </w:r>
      <w:proofErr w:type="gramStart"/>
      <w:r w:rsidRPr="003C0E2F">
        <w:rPr>
          <w:iCs/>
        </w:rPr>
        <w:t>are</w:t>
      </w:r>
      <w:proofErr w:type="gramEnd"/>
      <w:r w:rsidRPr="003C0E2F">
        <w:rPr>
          <w:iCs/>
        </w:rPr>
        <w:t xml:space="preserve"> relatively conserved between vertebrates, owing to functional significance, the structure of invertebrate TLRs is not the same. The most obvious</w:t>
      </w:r>
      <w:r w:rsidR="00C47D55" w:rsidRPr="003C0E2F">
        <w:rPr>
          <w:iCs/>
        </w:rPr>
        <w:t xml:space="preserve"> difference between vertebrate and invertebrate TLRs is the breaking up of th</w:t>
      </w:r>
      <w:r w:rsidR="00271CB2" w:rsidRPr="003C0E2F">
        <w:rPr>
          <w:iCs/>
        </w:rPr>
        <w:t>is</w:t>
      </w:r>
      <w:r w:rsidR="00C47D55" w:rsidRPr="003C0E2F">
        <w:rPr>
          <w:iCs/>
        </w:rPr>
        <w:t xml:space="preserve"> LRR region by a cysteine cluster in invertebrates, </w:t>
      </w:r>
      <w:r w:rsidR="00271CB2" w:rsidRPr="003C0E2F">
        <w:rPr>
          <w:iCs/>
        </w:rPr>
        <w:t xml:space="preserve">which in turn creates a </w:t>
      </w:r>
      <w:r w:rsidR="00C47D55" w:rsidRPr="003C0E2F">
        <w:rPr>
          <w:iCs/>
        </w:rPr>
        <w:t>long and short chain LRR region</w:t>
      </w:r>
      <w:r w:rsidR="00271CB2" w:rsidRPr="003C0E2F">
        <w:rPr>
          <w:iCs/>
        </w:rPr>
        <w:t xml:space="preserve"> in such species TLRs</w:t>
      </w:r>
      <w:r w:rsidR="00C47D55" w:rsidRPr="003C0E2F">
        <w:rPr>
          <w:iCs/>
        </w:rPr>
        <w:t xml:space="preserve"> </w:t>
      </w:r>
      <w:sdt>
        <w:sdtPr>
          <w:rPr>
            <w:iCs/>
          </w:rPr>
          <w:tag w:val="MENDELEY_CITATION_v3_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"/>
          <w:id w:val="1136532602"/>
          <w:placeholder>
            <w:docPart w:val="DefaultPlaceholder_-1854013440"/>
          </w:placeholder>
        </w:sdtPr>
        <w:sdtEndPr/>
        <w:sdtContent>
          <w:r w:rsidR="00F257B9">
            <w:rPr>
              <w:rFonts w:eastAsia="Times New Roman"/>
            </w:rPr>
            <w:t xml:space="preserve">(Rock </w:t>
          </w:r>
          <w:r w:rsidR="00F257B9">
            <w:rPr>
              <w:rFonts w:eastAsia="Times New Roman"/>
              <w:i/>
              <w:iCs/>
            </w:rPr>
            <w:t>et al.</w:t>
          </w:r>
          <w:r w:rsidR="00F257B9">
            <w:rPr>
              <w:rFonts w:eastAsia="Times New Roman"/>
            </w:rPr>
            <w:t>, 1998)</w:t>
          </w:r>
        </w:sdtContent>
      </w:sdt>
      <w:r w:rsidR="00C47D55" w:rsidRPr="003C0E2F">
        <w:rPr>
          <w:iCs/>
        </w:rPr>
        <w:t>This likely co</w:t>
      </w:r>
      <w:r w:rsidR="00271CB2" w:rsidRPr="003C0E2F">
        <w:rPr>
          <w:iCs/>
        </w:rPr>
        <w:t>rresponds</w:t>
      </w:r>
      <w:r w:rsidR="00C47D55" w:rsidRPr="003C0E2F">
        <w:rPr>
          <w:iCs/>
        </w:rPr>
        <w:t xml:space="preserve"> to the functional difference</w:t>
      </w:r>
      <w:r w:rsidRPr="003C0E2F">
        <w:rPr>
          <w:iCs/>
        </w:rPr>
        <w:t xml:space="preserve"> </w:t>
      </w:r>
      <w:r w:rsidR="006726EA" w:rsidRPr="003C0E2F">
        <w:rPr>
          <w:iCs/>
        </w:rPr>
        <w:t>of</w:t>
      </w:r>
      <w:r w:rsidRPr="003C0E2F">
        <w:rPr>
          <w:iCs/>
        </w:rPr>
        <w:t xml:space="preserve"> TLRs</w:t>
      </w:r>
      <w:r w:rsidR="00C47D55" w:rsidRPr="003C0E2F">
        <w:rPr>
          <w:iCs/>
        </w:rPr>
        <w:t xml:space="preserve"> between </w:t>
      </w:r>
      <w:r w:rsidR="00271CB2" w:rsidRPr="003C0E2F">
        <w:rPr>
          <w:iCs/>
        </w:rPr>
        <w:t xml:space="preserve">such </w:t>
      </w:r>
      <w:r w:rsidR="00C47D55" w:rsidRPr="003C0E2F">
        <w:rPr>
          <w:iCs/>
        </w:rPr>
        <w:t xml:space="preserve">organisms. </w:t>
      </w:r>
    </w:p>
    <w:p w14:paraId="65CF9302" w14:textId="0C28893B" w:rsidR="00C47D55" w:rsidRPr="003C0E2F" w:rsidRDefault="00C47D55" w:rsidP="00C47D55">
      <w:r w:rsidRPr="003C0E2F">
        <w:rPr>
          <w:iCs/>
        </w:rPr>
        <w:t xml:space="preserve">TLRs are heavily glycosylated, though this glycosylation is not thought to be associated with ligand recognition. While removal of glycosylation sites may impair TLR activity, it does not necessarily inhibit </w:t>
      </w:r>
      <w:r w:rsidR="00271CB2" w:rsidRPr="003C0E2F">
        <w:rPr>
          <w:iCs/>
        </w:rPr>
        <w:t xml:space="preserve">binding or </w:t>
      </w:r>
      <w:r w:rsidRPr="003C0E2F">
        <w:rPr>
          <w:iCs/>
        </w:rPr>
        <w:t xml:space="preserve">recognition of ligands </w:t>
      </w:r>
      <w:sdt>
        <w:sdtPr>
          <w:rPr>
            <w:iCs/>
          </w:rPr>
          <w:tag w:val="MENDELEY_CITATION_v3_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"/>
          <w:id w:val="1324165727"/>
          <w:placeholder>
            <w:docPart w:val="DefaultPlaceholder_-1854013440"/>
          </w:placeholder>
        </w:sdtPr>
        <w:sdtEndPr/>
        <w:sdtContent>
          <w:r w:rsidR="00F257B9">
            <w:rPr>
              <w:rFonts w:eastAsia="Times New Roman"/>
            </w:rPr>
            <w:t xml:space="preserve">(Liu </w:t>
          </w:r>
          <w:r w:rsidR="00F257B9">
            <w:rPr>
              <w:rFonts w:eastAsia="Times New Roman"/>
              <w:i/>
              <w:iCs/>
            </w:rPr>
            <w:t>et al.</w:t>
          </w:r>
          <w:r w:rsidR="00F257B9">
            <w:rPr>
              <w:rFonts w:eastAsia="Times New Roman"/>
            </w:rPr>
            <w:t>, 2008)</w:t>
          </w:r>
        </w:sdtContent>
      </w:sdt>
      <w:r w:rsidRPr="003C0E2F">
        <w:rPr>
          <w:iCs/>
        </w:rPr>
        <w:t xml:space="preserve">. Despite this, the glycosylation sites of TLRs </w:t>
      </w:r>
      <w:r w:rsidR="008612D0" w:rsidRPr="003C0E2F">
        <w:rPr>
          <w:iCs/>
        </w:rPr>
        <w:t>are</w:t>
      </w:r>
      <w:r w:rsidRPr="003C0E2F">
        <w:rPr>
          <w:iCs/>
        </w:rPr>
        <w:t xml:space="preserve"> highly conserved across species, suggesting these are</w:t>
      </w:r>
      <w:r w:rsidR="00271CB2" w:rsidRPr="003C0E2F">
        <w:rPr>
          <w:iCs/>
        </w:rPr>
        <w:t xml:space="preserve"> functionally</w:t>
      </w:r>
      <w:r w:rsidRPr="003C0E2F">
        <w:rPr>
          <w:iCs/>
        </w:rPr>
        <w:t xml:space="preserve"> important. TLR2 secretion </w:t>
      </w:r>
      <w:r w:rsidR="00271CB2" w:rsidRPr="003C0E2F">
        <w:rPr>
          <w:iCs/>
        </w:rPr>
        <w:t>is shown to</w:t>
      </w:r>
      <w:r w:rsidRPr="003C0E2F">
        <w:rPr>
          <w:iCs/>
        </w:rPr>
        <w:t xml:space="preserve"> be impaired by the removal of two specific glycosylation sites </w:t>
      </w:r>
      <w:sdt>
        <w:sdtPr>
          <w:rPr>
            <w:iCs/>
            <w:color w:val="000000"/>
          </w:rPr>
          <w:tag w:val="MENDELEY_CITATION_v3_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"/>
          <w:id w:val="-997957657"/>
          <w:placeholder>
            <w:docPart w:val="DefaultPlaceholder_-1854013440"/>
          </w:placeholder>
        </w:sdtPr>
        <w:sdtEndPr/>
        <w:sdtContent>
          <w:r w:rsidR="00F257B9" w:rsidRPr="00F257B9">
            <w:rPr>
              <w:iCs/>
              <w:color w:val="000000"/>
            </w:rPr>
            <w:t>(Weber, Morse and Gay, 2004)</w:t>
          </w:r>
        </w:sdtContent>
      </w:sdt>
      <w:r w:rsidR="0060191A" w:rsidRPr="003C0E2F">
        <w:rPr>
          <w:iCs/>
        </w:rPr>
        <w:t xml:space="preserve">, </w:t>
      </w:r>
      <w:r w:rsidRPr="003C0E2F">
        <w:rPr>
          <w:iCs/>
        </w:rPr>
        <w:t xml:space="preserve">and TLR4 is </w:t>
      </w:r>
      <w:r w:rsidR="00271CB2" w:rsidRPr="003C0E2F">
        <w:rPr>
          <w:iCs/>
        </w:rPr>
        <w:t xml:space="preserve">also </w:t>
      </w:r>
      <w:r w:rsidR="009E0322" w:rsidRPr="003C0E2F">
        <w:rPr>
          <w:iCs/>
        </w:rPr>
        <w:t>dependent</w:t>
      </w:r>
      <w:r w:rsidRPr="003C0E2F">
        <w:rPr>
          <w:iCs/>
        </w:rPr>
        <w:t xml:space="preserve"> on </w:t>
      </w:r>
      <w:r w:rsidR="00271CB2" w:rsidRPr="003C0E2F">
        <w:rPr>
          <w:iCs/>
        </w:rPr>
        <w:t>some of these glycosylation</w:t>
      </w:r>
      <w:r w:rsidRPr="003C0E2F">
        <w:rPr>
          <w:iCs/>
        </w:rPr>
        <w:t xml:space="preserve"> sites for transport to the cell surface</w:t>
      </w:r>
      <w:sdt>
        <w:sdtPr>
          <w:rPr>
            <w:iCs/>
            <w:color w:val="000000"/>
          </w:rPr>
          <w:tag w:val="MENDELEY_CITATION_v3_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"/>
          <w:id w:val="109328640"/>
          <w:placeholder>
            <w:docPart w:val="DefaultPlaceholder_-1854013440"/>
          </w:placeholder>
        </w:sdtPr>
        <w:sdtEndPr/>
        <w:sdtContent>
          <w:r w:rsidR="00F257B9" w:rsidRPr="00F257B9">
            <w:rPr>
              <w:iCs/>
              <w:color w:val="000000"/>
            </w:rPr>
            <w:t xml:space="preserve">(da Silva Correia and </w:t>
          </w:r>
          <w:proofErr w:type="spellStart"/>
          <w:r w:rsidR="00F257B9" w:rsidRPr="00F257B9">
            <w:rPr>
              <w:iCs/>
              <w:color w:val="000000"/>
            </w:rPr>
            <w:t>Ulevitch</w:t>
          </w:r>
          <w:proofErr w:type="spellEnd"/>
          <w:r w:rsidR="00F257B9" w:rsidRPr="00F257B9">
            <w:rPr>
              <w:iCs/>
              <w:color w:val="000000"/>
            </w:rPr>
            <w:t>, 2002)</w:t>
          </w:r>
        </w:sdtContent>
      </w:sdt>
      <w:r w:rsidRPr="003C0E2F">
        <w:rPr>
          <w:iCs/>
        </w:rPr>
        <w:t xml:space="preserve">. Asparagine residue mutations in TLRs </w:t>
      </w:r>
      <w:r w:rsidR="00271CB2" w:rsidRPr="003C0E2F">
        <w:rPr>
          <w:iCs/>
        </w:rPr>
        <w:t xml:space="preserve">can </w:t>
      </w:r>
      <w:r w:rsidRPr="003C0E2F">
        <w:rPr>
          <w:iCs/>
        </w:rPr>
        <w:t xml:space="preserve">affect glycosylation sites, but the reduction in TLR activity seen following </w:t>
      </w:r>
      <w:r w:rsidR="00271CB2" w:rsidRPr="003C0E2F">
        <w:rPr>
          <w:iCs/>
        </w:rPr>
        <w:t>such mutations</w:t>
      </w:r>
      <w:r w:rsidRPr="003C0E2F">
        <w:rPr>
          <w:iCs/>
        </w:rPr>
        <w:t xml:space="preserve"> is thought to be the result of </w:t>
      </w:r>
      <w:r w:rsidR="00271CB2" w:rsidRPr="003C0E2F">
        <w:rPr>
          <w:iCs/>
        </w:rPr>
        <w:t xml:space="preserve">structural or </w:t>
      </w:r>
      <w:r w:rsidRPr="003C0E2F">
        <w:rPr>
          <w:iCs/>
        </w:rPr>
        <w:t xml:space="preserve">conformational changes rather than the loss of </w:t>
      </w:r>
      <w:r w:rsidR="00271CB2" w:rsidRPr="003C0E2F">
        <w:rPr>
          <w:iCs/>
        </w:rPr>
        <w:t xml:space="preserve">a </w:t>
      </w:r>
      <w:r w:rsidRPr="003C0E2F">
        <w:rPr>
          <w:iCs/>
        </w:rPr>
        <w:t>glycosylation</w:t>
      </w:r>
      <w:r w:rsidR="00271CB2" w:rsidRPr="003C0E2F">
        <w:rPr>
          <w:iCs/>
        </w:rPr>
        <w:t xml:space="preserve"> site</w:t>
      </w:r>
      <w:r w:rsidRPr="003C0E2F">
        <w:rPr>
          <w:iCs/>
        </w:rPr>
        <w:t xml:space="preserve"> itself </w:t>
      </w:r>
      <w:sdt>
        <w:sdtPr>
          <w:rPr>
            <w:iCs/>
          </w:rPr>
          <w:tag w:val="MENDELEY_CITATION_v3_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"/>
          <w:id w:val="744623557"/>
          <w:placeholder>
            <w:docPart w:val="DefaultPlaceholder_-1854013440"/>
          </w:placeholder>
        </w:sdtPr>
        <w:sdtEndPr/>
        <w:sdtContent>
          <w:r w:rsidR="00F257B9">
            <w:rPr>
              <w:rFonts w:eastAsia="Times New Roman"/>
            </w:rPr>
            <w:t xml:space="preserve">(Weber, Morse and Gay, 2004; Liu </w:t>
          </w:r>
          <w:r w:rsidR="00F257B9">
            <w:rPr>
              <w:rFonts w:eastAsia="Times New Roman"/>
              <w:i/>
              <w:iCs/>
            </w:rPr>
            <w:t>et al.</w:t>
          </w:r>
          <w:r w:rsidR="00F257B9">
            <w:rPr>
              <w:rFonts w:eastAsia="Times New Roman"/>
            </w:rPr>
            <w:t>, 2008)</w:t>
          </w:r>
        </w:sdtContent>
      </w:sdt>
      <w:r w:rsidR="00960A91" w:rsidRPr="003C0E2F">
        <w:t xml:space="preserve">. </w:t>
      </w:r>
      <w:r w:rsidRPr="003C0E2F">
        <w:t>Glycosylation of TLRs is</w:t>
      </w:r>
      <w:r w:rsidR="00CE3C89" w:rsidRPr="003C0E2F">
        <w:t xml:space="preserve"> therefore</w:t>
      </w:r>
      <w:r w:rsidRPr="003C0E2F">
        <w:t xml:space="preserve"> important in </w:t>
      </w:r>
      <w:r w:rsidRPr="003C0E2F">
        <w:lastRenderedPageBreak/>
        <w:t>receptor processing and secretion but may not be directly involved in the binding effic</w:t>
      </w:r>
      <w:r w:rsidR="00CE3C89" w:rsidRPr="003C0E2F">
        <w:t>ien</w:t>
      </w:r>
      <w:r w:rsidRPr="003C0E2F">
        <w:t xml:space="preserve">cy of the receptor. </w:t>
      </w:r>
    </w:p>
    <w:p w14:paraId="4211B300" w14:textId="77777777" w:rsidR="00960A91" w:rsidRPr="003C0E2F" w:rsidRDefault="00960A91" w:rsidP="00960A91">
      <w:pPr>
        <w:keepNext/>
        <w:jc w:val="center"/>
      </w:pPr>
      <w:r w:rsidRPr="003C0E2F">
        <w:rPr>
          <w:noProof/>
        </w:rPr>
        <w:drawing>
          <wp:inline distT="0" distB="0" distL="0" distR="0" wp14:anchorId="264758CC" wp14:editId="1A26618E">
            <wp:extent cx="4368086" cy="3371850"/>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6155" b="3057"/>
                    <a:stretch/>
                  </pic:blipFill>
                  <pic:spPr bwMode="auto">
                    <a:xfrm>
                      <a:off x="0" y="0"/>
                      <a:ext cx="4386715" cy="3386231"/>
                    </a:xfrm>
                    <a:prstGeom prst="rect">
                      <a:avLst/>
                    </a:prstGeom>
                    <a:noFill/>
                    <a:ln>
                      <a:noFill/>
                    </a:ln>
                    <a:extLst>
                      <a:ext uri="{53640926-AAD7-44D8-BBD7-CCE9431645EC}">
                        <a14:shadowObscured xmlns:a14="http://schemas.microsoft.com/office/drawing/2010/main"/>
                      </a:ext>
                    </a:extLst>
                  </pic:spPr>
                </pic:pic>
              </a:graphicData>
            </a:graphic>
          </wp:inline>
        </w:drawing>
      </w:r>
    </w:p>
    <w:p w14:paraId="5687795A" w14:textId="7D34D490" w:rsidR="00960A91" w:rsidRPr="003C0E2F" w:rsidRDefault="00960A91" w:rsidP="00FB2FD3">
      <w:pPr>
        <w:pStyle w:val="NoSpacing"/>
      </w:pPr>
      <w:bookmarkStart w:id="28" w:name="_Toc80013804"/>
      <w:bookmarkStart w:id="29" w:name="_Toc82882943"/>
      <w:r w:rsidRPr="003C0E2F">
        <w:t xml:space="preserve">Figure </w:t>
      </w:r>
      <w:r w:rsidR="00BB038D">
        <w:fldChar w:fldCharType="begin"/>
      </w:r>
      <w:r w:rsidR="00BB038D">
        <w:instrText xml:space="preserve"> SEQ Figure \* ARABIC </w:instrText>
      </w:r>
      <w:r w:rsidR="00BB038D">
        <w:fldChar w:fldCharType="separate"/>
      </w:r>
      <w:r w:rsidR="000F2276">
        <w:rPr>
          <w:noProof/>
        </w:rPr>
        <w:t>2</w:t>
      </w:r>
      <w:r w:rsidR="00BB038D">
        <w:rPr>
          <w:noProof/>
        </w:rPr>
        <w:fldChar w:fldCharType="end"/>
      </w:r>
      <w:r w:rsidRPr="003C0E2F">
        <w:t xml:space="preserve">. Crystal structure of </w:t>
      </w:r>
      <w:r w:rsidR="007364D5" w:rsidRPr="003C0E2F">
        <w:t>TIR</w:t>
      </w:r>
      <w:r w:rsidRPr="003C0E2F">
        <w:t xml:space="preserve"> domain of TLR2. Alpha Helices are designated as A-E from N- to C- terminus. </w:t>
      </w:r>
      <w:r w:rsidRPr="003C0E2F">
        <w:rPr>
          <w:rStyle w:val="NoSpacingChar"/>
          <w:i/>
        </w:rPr>
        <w:t xml:space="preserve">PDB ID: 1FYW </w:t>
      </w:r>
      <w:sdt>
        <w:sdtPr>
          <w:rPr>
            <w:rStyle w:val="NoSpacingChar"/>
            <w:i/>
          </w:rPr>
          <w:tag w:val="MENDELEY_CITATION_v3_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"/>
          <w:id w:val="-121227560"/>
          <w:placeholder>
            <w:docPart w:val="D27AEA45F743480CB30BBD9E794F87D7"/>
          </w:placeholder>
        </w:sdtPr>
        <w:sdtEndPr>
          <w:rPr>
            <w:rStyle w:val="NoSpacingChar"/>
          </w:rPr>
        </w:sdtEndPr>
        <w:sdtContent>
          <w:r w:rsidR="00F257B9">
            <w:rPr>
              <w:rFonts w:eastAsia="Times New Roman"/>
            </w:rPr>
            <w:t xml:space="preserve">(Xu </w:t>
          </w:r>
          <w:r w:rsidR="00F257B9">
            <w:rPr>
              <w:rFonts w:eastAsia="Times New Roman"/>
              <w:i w:val="0"/>
              <w:iCs/>
            </w:rPr>
            <w:t>et al.</w:t>
          </w:r>
          <w:r w:rsidR="00F257B9">
            <w:rPr>
              <w:rFonts w:eastAsia="Times New Roman"/>
            </w:rPr>
            <w:t>, 2000)</w:t>
          </w:r>
        </w:sdtContent>
      </w:sdt>
      <w:r w:rsidRPr="003C0E2F">
        <w:rPr>
          <w:rStyle w:val="NoSpacingChar"/>
          <w:i/>
        </w:rPr>
        <w:t xml:space="preserve">. Images produced using protein imager </w:t>
      </w:r>
      <w:sdt>
        <w:sdtPr>
          <w:rPr>
            <w:rStyle w:val="NoSpacingChar"/>
            <w:color w:val="000000"/>
          </w:rPr>
          <w:tag w:val="MENDELEY_CITATION_v3_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"/>
          <w:id w:val="-825743224"/>
          <w:placeholder>
            <w:docPart w:val="1066832DC09A497AB87DBD4EA19BEBF4"/>
          </w:placeholder>
        </w:sdtPr>
        <w:sdtEndPr>
          <w:rPr>
            <w:rStyle w:val="NoSpacingChar"/>
          </w:rPr>
        </w:sdtEndPr>
        <w:sdtContent>
          <w:r w:rsidR="00F257B9" w:rsidRPr="00F257B9">
            <w:rPr>
              <w:rStyle w:val="NoSpacingChar"/>
              <w:color w:val="000000"/>
            </w:rPr>
            <w:t>(</w:t>
          </w:r>
          <w:proofErr w:type="spellStart"/>
          <w:r w:rsidR="00F257B9" w:rsidRPr="00F257B9">
            <w:rPr>
              <w:rStyle w:val="NoSpacingChar"/>
              <w:color w:val="000000"/>
            </w:rPr>
            <w:t>Tomasello</w:t>
          </w:r>
          <w:proofErr w:type="spellEnd"/>
          <w:r w:rsidR="00F257B9" w:rsidRPr="00F257B9">
            <w:rPr>
              <w:rStyle w:val="NoSpacingChar"/>
              <w:color w:val="000000"/>
            </w:rPr>
            <w:t xml:space="preserve">, Armenia and </w:t>
          </w:r>
          <w:proofErr w:type="spellStart"/>
          <w:r w:rsidR="00F257B9" w:rsidRPr="00F257B9">
            <w:rPr>
              <w:rStyle w:val="NoSpacingChar"/>
              <w:color w:val="000000"/>
            </w:rPr>
            <w:t>Molla</w:t>
          </w:r>
          <w:proofErr w:type="spellEnd"/>
          <w:r w:rsidR="00F257B9" w:rsidRPr="00F257B9">
            <w:rPr>
              <w:rStyle w:val="NoSpacingChar"/>
              <w:color w:val="000000"/>
            </w:rPr>
            <w:t>, 2020)</w:t>
          </w:r>
        </w:sdtContent>
      </w:sdt>
      <w:bookmarkEnd w:id="28"/>
      <w:bookmarkEnd w:id="29"/>
    </w:p>
    <w:p w14:paraId="4187BC8A" w14:textId="77777777" w:rsidR="00960A91" w:rsidRPr="003C0E2F" w:rsidRDefault="00960A91" w:rsidP="00960A91"/>
    <w:p w14:paraId="3CF24089" w14:textId="18AAE160" w:rsidR="00A63B7E" w:rsidRPr="003C0E2F" w:rsidRDefault="00C47D55" w:rsidP="00960A91">
      <w:r w:rsidRPr="003C0E2F">
        <w:t xml:space="preserve">TLR ectodomains are known to form dimers on recognition of PAMPS. These dimers may be in the form of heterodimer or homodimers. TLR2 forms heterodimers with TLR1 or TLR6 in a ligand specific manner which may allow for more nuanced threat detection of </w:t>
      </w:r>
      <w:proofErr w:type="spellStart"/>
      <w:r w:rsidRPr="003C0E2F">
        <w:t>triacylated</w:t>
      </w:r>
      <w:proofErr w:type="spellEnd"/>
      <w:r w:rsidRPr="003C0E2F">
        <w:t xml:space="preserve"> and diacylated lipopeptides respectively </w:t>
      </w:r>
      <w:sdt>
        <w:sdtPr>
          <w:rPr>
            <w:color w:val="000000"/>
          </w:rPr>
          <w:tag w:val="MENDELEY_CITATION_v3_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"/>
          <w:id w:val="1778903229"/>
          <w:placeholder>
            <w:docPart w:val="DefaultPlaceholder_-1854013440"/>
          </w:placeholder>
        </w:sdtPr>
        <w:sdtEndPr/>
        <w:sdtContent>
          <w:r w:rsidR="00F257B9" w:rsidRPr="00F257B9">
            <w:rPr>
              <w:color w:val="000000"/>
            </w:rPr>
            <w:t>(Mi and Lee, 2008)</w:t>
          </w:r>
        </w:sdtContent>
      </w:sdt>
      <w:r w:rsidRPr="003C0E2F">
        <w:t>. TLR4 typically forms a homodimer when bound to LPS, but it is though</w:t>
      </w:r>
      <w:r w:rsidR="00AD07C7" w:rsidRPr="003C0E2F">
        <w:t>t</w:t>
      </w:r>
      <w:r w:rsidRPr="003C0E2F">
        <w:t xml:space="preserve"> that a TLR4/TLR6 heterodimer may be involved in activity relating to amyloid-β and </w:t>
      </w:r>
      <w:proofErr w:type="spellStart"/>
      <w:r w:rsidR="001A2988" w:rsidRPr="003C0E2F">
        <w:t>oxLDL</w:t>
      </w:r>
      <w:proofErr w:type="spellEnd"/>
      <w:r w:rsidRPr="003C0E2F">
        <w:t xml:space="preserve"> </w:t>
      </w:r>
      <w:sdt>
        <w:sdtPr>
          <w:tag w:val="MENDELEY_CITATION_v3_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"/>
          <w:id w:val="-1675181099"/>
          <w:placeholder>
            <w:docPart w:val="DefaultPlaceholder_-1854013440"/>
          </w:placeholder>
        </w:sdtPr>
        <w:sdtEndPr/>
        <w:sdtContent>
          <w:r w:rsidR="00F257B9">
            <w:rPr>
              <w:rFonts w:eastAsia="Times New Roman"/>
            </w:rPr>
            <w:t xml:space="preserve">(Stewart </w:t>
          </w:r>
          <w:r w:rsidR="00F257B9">
            <w:rPr>
              <w:rFonts w:eastAsia="Times New Roman"/>
              <w:i/>
              <w:iCs/>
            </w:rPr>
            <w:t>et al.</w:t>
          </w:r>
          <w:r w:rsidR="00F257B9">
            <w:rPr>
              <w:rFonts w:eastAsia="Times New Roman"/>
            </w:rPr>
            <w:t>, 2010)</w:t>
          </w:r>
        </w:sdtContent>
      </w:sdt>
      <w:r w:rsidRPr="003C0E2F">
        <w:t xml:space="preserve">. Heterodimers may allow for recognition of a greater variety of ligand. Following ectodomain </w:t>
      </w:r>
      <w:proofErr w:type="spellStart"/>
      <w:r w:rsidRPr="003C0E2F">
        <w:t>dimeri</w:t>
      </w:r>
      <w:r w:rsidR="00654A0D" w:rsidRPr="003C0E2F">
        <w:t>sation</w:t>
      </w:r>
      <w:proofErr w:type="spellEnd"/>
      <w:r w:rsidRPr="003C0E2F">
        <w:t>, the intracellular regions of TLRs are also brought together.</w:t>
      </w:r>
    </w:p>
    <w:p w14:paraId="68EBF2E6" w14:textId="4BB76E59" w:rsidR="007D1FF0" w:rsidRPr="003C0E2F" w:rsidRDefault="00C47D55" w:rsidP="00C47D55">
      <w:r w:rsidRPr="003C0E2F">
        <w:lastRenderedPageBreak/>
        <w:t xml:space="preserve">The intracellular </w:t>
      </w:r>
      <w:r w:rsidR="006947D3" w:rsidRPr="003C0E2F">
        <w:t xml:space="preserve">signalling, </w:t>
      </w:r>
      <w:r w:rsidRPr="003C0E2F">
        <w:t>TIR domain</w:t>
      </w:r>
      <w:r w:rsidR="00CB6F74" w:rsidRPr="003C0E2F">
        <w:t xml:space="preserve"> containing </w:t>
      </w:r>
      <w:r w:rsidRPr="003C0E2F">
        <w:t xml:space="preserve">region of TLRs is structurally </w:t>
      </w:r>
      <w:proofErr w:type="gramStart"/>
      <w:r w:rsidRPr="003C0E2F">
        <w:t>similar to</w:t>
      </w:r>
      <w:proofErr w:type="gramEnd"/>
      <w:r w:rsidRPr="003C0E2F">
        <w:t xml:space="preserve"> in signalling domain of IL-1</w:t>
      </w:r>
      <w:r w:rsidR="006947D3" w:rsidRPr="003C0E2F">
        <w:t>R</w:t>
      </w:r>
      <w:sdt>
        <w:sdtPr>
          <w:rPr>
            <w:color w:val="000000"/>
          </w:rPr>
          <w:tag w:val="MENDELEY_CITATION_v3_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"/>
          <w:id w:val="-1560167625"/>
          <w:placeholder>
            <w:docPart w:val="DefaultPlaceholder_-1854013440"/>
          </w:placeholder>
        </w:sdtPr>
        <w:sdtEndPr/>
        <w:sdtContent>
          <w:r w:rsidR="00F257B9" w:rsidRPr="00F257B9">
            <w:rPr>
              <w:color w:val="000000"/>
            </w:rPr>
            <w:t>(Botos, Segal and Davies, 2011)</w:t>
          </w:r>
        </w:sdtContent>
      </w:sdt>
      <w:r w:rsidRPr="003C0E2F">
        <w:t xml:space="preserve">. The crystal structure analysis of TLR </w:t>
      </w:r>
      <w:r w:rsidR="00CB6F74" w:rsidRPr="003C0E2F">
        <w:t>cytoplasmic</w:t>
      </w:r>
      <w:r w:rsidRPr="003C0E2F">
        <w:t xml:space="preserve"> </w:t>
      </w:r>
      <w:r w:rsidR="007364D5" w:rsidRPr="003C0E2F">
        <w:t xml:space="preserve">TIR </w:t>
      </w:r>
      <w:r w:rsidRPr="003C0E2F">
        <w:t xml:space="preserve">domains determines these to be made up of a </w:t>
      </w:r>
      <w:r w:rsidR="00C7727C" w:rsidRPr="003C0E2F">
        <w:rPr>
          <w:rFonts w:cstheme="minorHAnsi"/>
        </w:rPr>
        <w:t>β</w:t>
      </w:r>
      <w:r w:rsidR="00C7727C" w:rsidRPr="003C0E2F">
        <w:t xml:space="preserve">-sheet </w:t>
      </w:r>
      <w:r w:rsidR="00773726" w:rsidRPr="003C0E2F">
        <w:t xml:space="preserve">core </w:t>
      </w:r>
      <w:r w:rsidRPr="003C0E2F">
        <w:t xml:space="preserve">and five α-helices </w:t>
      </w:r>
      <w:r w:rsidR="00C7727C" w:rsidRPr="003C0E2F">
        <w:t>surrounding</w:t>
      </w:r>
      <w:r w:rsidR="00773726" w:rsidRPr="003C0E2F">
        <w:t>,</w:t>
      </w:r>
      <w:r w:rsidRPr="003C0E2F">
        <w:t xml:space="preserve"> designated A-E</w:t>
      </w:r>
      <w:r w:rsidR="008B2BE1" w:rsidRPr="003C0E2F">
        <w:t xml:space="preserve"> (Figure 2)</w:t>
      </w:r>
      <w:r w:rsidRPr="003C0E2F">
        <w:t xml:space="preserve">. While the signalling domains of TLRs are relatively comparable to one another, there are some conformational differences seen between TLRs </w:t>
      </w:r>
      <w:sdt>
        <w:sdtPr>
          <w:tag w:val="MENDELEY_CITATION_v3_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"/>
          <w:id w:val="-1787488664"/>
          <w:placeholder>
            <w:docPart w:val="DefaultPlaceholder_-1854013440"/>
          </w:placeholder>
        </w:sdtPr>
        <w:sdtEndPr/>
        <w:sdtContent>
          <w:r w:rsidR="00F257B9">
            <w:rPr>
              <w:rFonts w:eastAsia="Times New Roman"/>
            </w:rPr>
            <w:t xml:space="preserve">(Xu </w:t>
          </w:r>
          <w:r w:rsidR="00F257B9">
            <w:rPr>
              <w:rFonts w:eastAsia="Times New Roman"/>
              <w:i/>
              <w:iCs/>
            </w:rPr>
            <w:t>et al.</w:t>
          </w:r>
          <w:r w:rsidR="00F257B9">
            <w:rPr>
              <w:rFonts w:eastAsia="Times New Roman"/>
            </w:rPr>
            <w:t>, 2000)</w:t>
          </w:r>
        </w:sdtContent>
      </w:sdt>
      <w:r w:rsidRPr="003C0E2F">
        <w:t>. There is a highly conserved region between TLRs which is loca</w:t>
      </w:r>
      <w:r w:rsidR="00ED39BC" w:rsidRPr="003C0E2F">
        <w:t xml:space="preserve">ted just before </w:t>
      </w:r>
      <w:r w:rsidRPr="003C0E2F">
        <w:t>α-helix</w:t>
      </w:r>
      <w:r w:rsidR="00D0322C" w:rsidRPr="003C0E2F">
        <w:t xml:space="preserve"> B</w:t>
      </w:r>
      <w:r w:rsidR="00ED39BC" w:rsidRPr="003C0E2F">
        <w:t xml:space="preserve"> referred to as the BB loop (Figure 2)</w:t>
      </w:r>
      <w:r w:rsidRPr="003C0E2F">
        <w:t xml:space="preserve">. The BB loop </w:t>
      </w:r>
      <w:r w:rsidR="006947D3" w:rsidRPr="003C0E2F">
        <w:t>area of the TIR domain</w:t>
      </w:r>
      <w:r w:rsidRPr="003C0E2F">
        <w:t xml:space="preserve"> is thought to be important in interactions with adaptor molecules such as </w:t>
      </w:r>
      <w:r w:rsidR="00932BC2" w:rsidRPr="003C0E2F">
        <w:t>MyD88</w:t>
      </w:r>
      <w:r w:rsidRPr="003C0E2F">
        <w:t xml:space="preserve">  </w:t>
      </w:r>
      <w:sdt>
        <w:sdtPr>
          <w:tag w:val="MENDELEY_CITATION_v3_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"/>
          <w:id w:val="-415632229"/>
          <w:placeholder>
            <w:docPart w:val="DefaultPlaceholder_-1854013440"/>
          </w:placeholder>
        </w:sdtPr>
        <w:sdtEndPr/>
        <w:sdtContent>
          <w:r w:rsidR="00F257B9">
            <w:rPr>
              <w:rFonts w:eastAsia="Times New Roman"/>
            </w:rPr>
            <w:t xml:space="preserve">(Xu </w:t>
          </w:r>
          <w:r w:rsidR="00F257B9">
            <w:rPr>
              <w:rFonts w:eastAsia="Times New Roman"/>
              <w:i/>
              <w:iCs/>
            </w:rPr>
            <w:t>et al.</w:t>
          </w:r>
          <w:r w:rsidR="00F257B9">
            <w:rPr>
              <w:rFonts w:eastAsia="Times New Roman"/>
            </w:rPr>
            <w:t>, 2000)</w:t>
          </w:r>
        </w:sdtContent>
      </w:sdt>
      <w:r w:rsidRPr="003C0E2F">
        <w:t>. Mutations in this region are associated with</w:t>
      </w:r>
      <w:r w:rsidR="006947D3" w:rsidRPr="003C0E2F">
        <w:t xml:space="preserve"> subsequent</w:t>
      </w:r>
      <w:r w:rsidRPr="003C0E2F">
        <w:t xml:space="preserve"> loss of receptor function, suggesting the integral role of the BB-loop in signalling </w:t>
      </w:r>
      <w:sdt>
        <w:sdtPr>
          <w:tag w:val="MENDELEY_CITATION_v3_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"/>
          <w:id w:val="-1143036723"/>
          <w:placeholder>
            <w:docPart w:val="DefaultPlaceholder_-1854013440"/>
          </w:placeholder>
        </w:sdtPr>
        <w:sdtEndPr/>
        <w:sdtContent>
          <w:r w:rsidR="00F257B9">
            <w:rPr>
              <w:rFonts w:eastAsia="Times New Roman"/>
            </w:rPr>
            <w:t xml:space="preserve">(Slack </w:t>
          </w:r>
          <w:r w:rsidR="00F257B9">
            <w:rPr>
              <w:rFonts w:eastAsia="Times New Roman"/>
              <w:i/>
              <w:iCs/>
            </w:rPr>
            <w:t>et al.</w:t>
          </w:r>
          <w:r w:rsidR="00F257B9">
            <w:rPr>
              <w:rFonts w:eastAsia="Times New Roman"/>
            </w:rPr>
            <w:t>, 2000)</w:t>
          </w:r>
        </w:sdtContent>
      </w:sdt>
      <w:r w:rsidR="00CA6880" w:rsidRPr="003C0E2F">
        <w:t>. The TIR domain of TLR4 interacts with TIR domains on MyD88 and TRIF to facilitate signal transduction.</w:t>
      </w:r>
      <w:r w:rsidR="007D1FF0" w:rsidRPr="003C0E2F">
        <w:br w:type="page"/>
      </w:r>
    </w:p>
    <w:p w14:paraId="2543985C" w14:textId="62E1A349" w:rsidR="00F64F9A" w:rsidRPr="003C0E2F" w:rsidRDefault="00831442" w:rsidP="00447197">
      <w:pPr>
        <w:pStyle w:val="Heading3"/>
      </w:pPr>
      <w:r w:rsidRPr="003C0E2F">
        <w:lastRenderedPageBreak/>
        <w:t xml:space="preserve"> </w:t>
      </w:r>
      <w:bookmarkStart w:id="30" w:name="_Toc80013718"/>
      <w:bookmarkStart w:id="31" w:name="_Toc82882338"/>
      <w:r w:rsidR="00F64F9A" w:rsidRPr="003C0E2F">
        <w:t xml:space="preserve">Ligands of </w:t>
      </w:r>
      <w:r w:rsidR="005E3B51" w:rsidRPr="003C0E2F">
        <w:t>t</w:t>
      </w:r>
      <w:r w:rsidR="000A1BFB" w:rsidRPr="003C0E2F">
        <w:t>oll-</w:t>
      </w:r>
      <w:r w:rsidR="005E3B51" w:rsidRPr="003C0E2F">
        <w:t>l</w:t>
      </w:r>
      <w:r w:rsidR="000A1BFB" w:rsidRPr="003C0E2F">
        <w:t xml:space="preserve">ike </w:t>
      </w:r>
      <w:r w:rsidR="00882288" w:rsidRPr="003C0E2F">
        <w:t>r</w:t>
      </w:r>
      <w:r w:rsidR="000A1BFB" w:rsidRPr="003C0E2F">
        <w:t>eceptors</w:t>
      </w:r>
      <w:bookmarkEnd w:id="30"/>
      <w:bookmarkEnd w:id="31"/>
    </w:p>
    <w:p w14:paraId="7C0D374D" w14:textId="36A68D5E" w:rsidR="00C47D55" w:rsidRPr="003C0E2F" w:rsidRDefault="00C47D55" w:rsidP="00C47D55">
      <w:r w:rsidRPr="003C0E2F">
        <w:t>TLRs detect the presence of pathogens through</w:t>
      </w:r>
      <w:r w:rsidR="00296951" w:rsidRPr="003C0E2F">
        <w:t xml:space="preserve"> binding to and recognising</w:t>
      </w:r>
      <w:r w:rsidRPr="003C0E2F">
        <w:t xml:space="preserve"> molecules associated with their presence. These </w:t>
      </w:r>
      <w:r w:rsidR="00181817" w:rsidRPr="003C0E2F">
        <w:t xml:space="preserve">ligands </w:t>
      </w:r>
      <w:r w:rsidRPr="003C0E2F">
        <w:t xml:space="preserve">can vary </w:t>
      </w:r>
      <w:r w:rsidR="009E0322" w:rsidRPr="003C0E2F">
        <w:t>dependent</w:t>
      </w:r>
      <w:r w:rsidRPr="003C0E2F">
        <w:t xml:space="preserve"> on the specific receptor involved, but usually consist of pathogen associated nucleic acids or shed components. The location of each TLR is often associated with the type of molecule</w:t>
      </w:r>
      <w:r w:rsidR="00181817" w:rsidRPr="003C0E2F">
        <w:t xml:space="preserve"> that</w:t>
      </w:r>
      <w:r w:rsidRPr="003C0E2F">
        <w:t xml:space="preserve"> it is detecting. TLRs which detect genetic material such as dsRNA or CpG DNA are </w:t>
      </w:r>
      <w:r w:rsidR="00181817" w:rsidRPr="003C0E2F">
        <w:t xml:space="preserve">typically </w:t>
      </w:r>
      <w:r w:rsidRPr="003C0E2F">
        <w:t xml:space="preserve">located in endosomal compartments, whereas those associated with external components such as LPS or flagellin are found on the surface membrane of the cell </w:t>
      </w:r>
      <w:sdt>
        <w:sdtPr>
          <w:rPr>
            <w:color w:val="000000"/>
          </w:rPr>
          <w:tag w:val="MENDELEY_CITATION_v3_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"/>
          <w:id w:val="-2094068435"/>
          <w:placeholder>
            <w:docPart w:val="DefaultPlaceholder_-1854013440"/>
          </w:placeholder>
        </w:sdtPr>
        <w:sdtEndPr/>
        <w:sdtContent>
          <w:r w:rsidR="00F257B9" w:rsidRPr="00F257B9">
            <w:rPr>
              <w:color w:val="000000"/>
            </w:rPr>
            <w:t xml:space="preserve">(Lee, Avalos and </w:t>
          </w:r>
          <w:proofErr w:type="spellStart"/>
          <w:r w:rsidR="00F257B9" w:rsidRPr="00F257B9">
            <w:rPr>
              <w:color w:val="000000"/>
            </w:rPr>
            <w:t>Ploegh</w:t>
          </w:r>
          <w:proofErr w:type="spellEnd"/>
          <w:r w:rsidR="00F257B9" w:rsidRPr="00F257B9">
            <w:rPr>
              <w:color w:val="000000"/>
            </w:rPr>
            <w:t>, 2012)</w:t>
          </w:r>
        </w:sdtContent>
      </w:sdt>
      <w:r w:rsidRPr="003C0E2F">
        <w:t>. These</w:t>
      </w:r>
      <w:r w:rsidR="00181817" w:rsidRPr="003C0E2F">
        <w:t xml:space="preserve"> molecules</w:t>
      </w:r>
      <w:r w:rsidRPr="003C0E2F">
        <w:t xml:space="preserve"> bind to the receptors and cause </w:t>
      </w:r>
      <w:proofErr w:type="spellStart"/>
      <w:r w:rsidRPr="003C0E2F">
        <w:t>dimeri</w:t>
      </w:r>
      <w:r w:rsidR="00654A0D" w:rsidRPr="003C0E2F">
        <w:t>sation</w:t>
      </w:r>
      <w:proofErr w:type="spellEnd"/>
      <w:r w:rsidRPr="003C0E2F">
        <w:t xml:space="preserve"> to occur, which activates the subsequent signalling chain through </w:t>
      </w:r>
      <w:r w:rsidR="00527774" w:rsidRPr="003C0E2F">
        <w:t xml:space="preserve">intracellular </w:t>
      </w:r>
      <w:r w:rsidR="00932BC2" w:rsidRPr="003C0E2F">
        <w:t>MyD88</w:t>
      </w:r>
      <w:r w:rsidRPr="003C0E2F">
        <w:t xml:space="preserve"> or TRIF</w:t>
      </w:r>
      <w:r w:rsidR="00181817" w:rsidRPr="003C0E2F">
        <w:t xml:space="preserve"> recruitment</w:t>
      </w:r>
      <w:r w:rsidRPr="003C0E2F">
        <w:t>.</w:t>
      </w:r>
    </w:p>
    <w:p w14:paraId="79B30B54" w14:textId="10AEAE36" w:rsidR="000C124A" w:rsidRPr="003C0E2F" w:rsidRDefault="00C47D55" w:rsidP="00C47D55">
      <w:r w:rsidRPr="003C0E2F">
        <w:t>Humans are known to possess 10 TLRs, TLR1-TLR10</w:t>
      </w:r>
      <w:r w:rsidR="002E2A29" w:rsidRPr="003C0E2F">
        <w:t>,</w:t>
      </w:r>
      <w:r w:rsidRPr="003C0E2F">
        <w:t xml:space="preserve"> which are associated with different classes of ligands. TLR1, TLR2, TLR4, TLR6, and TLR5 are found on the outer membrane of the cell. TLR2 is known to detect </w:t>
      </w:r>
      <w:proofErr w:type="spellStart"/>
      <w:r w:rsidRPr="003C0E2F">
        <w:t>triacylated</w:t>
      </w:r>
      <w:proofErr w:type="spellEnd"/>
      <w:r w:rsidRPr="003C0E2F">
        <w:t xml:space="preserve"> and diacylated lipopeptides</w:t>
      </w:r>
      <w:r w:rsidR="002E2A29" w:rsidRPr="003C0E2F">
        <w:t>, forming heterodimers</w:t>
      </w:r>
      <w:r w:rsidRPr="003C0E2F">
        <w:t xml:space="preserve"> in conjunction with TLR2 and TLR6 </w:t>
      </w:r>
      <w:r w:rsidR="002E2A29" w:rsidRPr="003C0E2F">
        <w:t xml:space="preserve">to recognise these </w:t>
      </w:r>
      <w:r w:rsidRPr="003C0E2F">
        <w:t>respectively</w:t>
      </w:r>
      <w:r w:rsidR="007E4A9F" w:rsidRPr="003C0E2F">
        <w:t xml:space="preserve"> </w:t>
      </w:r>
      <w:sdt>
        <w:sdtPr>
          <w:rPr>
            <w:color w:val="000000"/>
          </w:rPr>
          <w:tag w:val="MENDELEY_CITATION_v3_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"/>
          <w:id w:val="879744683"/>
          <w:placeholder>
            <w:docPart w:val="DefaultPlaceholder_-1854013440"/>
          </w:placeholder>
        </w:sdtPr>
        <w:sdtEndPr/>
        <w:sdtContent>
          <w:r w:rsidR="00F257B9" w:rsidRPr="00F257B9">
            <w:rPr>
              <w:color w:val="000000"/>
            </w:rPr>
            <w:t>(Mi and Lee, 2008)</w:t>
          </w:r>
        </w:sdtContent>
      </w:sdt>
      <w:r w:rsidRPr="003C0E2F">
        <w:t xml:space="preserve">. TLR4 is known as the receptor for gram-negative </w:t>
      </w:r>
      <w:r w:rsidR="002E2A29" w:rsidRPr="003C0E2F">
        <w:t xml:space="preserve">bacteria via </w:t>
      </w:r>
      <w:r w:rsidRPr="003C0E2F">
        <w:t>associated</w:t>
      </w:r>
      <w:r w:rsidR="002E2A29" w:rsidRPr="003C0E2F">
        <w:t xml:space="preserve"> endotoxin (</w:t>
      </w:r>
      <w:r w:rsidRPr="003C0E2F">
        <w:t>LPS</w:t>
      </w:r>
      <w:r w:rsidR="002E2A29" w:rsidRPr="003C0E2F">
        <w:t>)</w:t>
      </w:r>
      <w:r w:rsidRPr="003C0E2F">
        <w:t xml:space="preserve"> and TLR5 is respon</w:t>
      </w:r>
      <w:r w:rsidR="002E2A29" w:rsidRPr="003C0E2F">
        <w:t xml:space="preserve">sible for detection of </w:t>
      </w:r>
      <w:r w:rsidRPr="003C0E2F">
        <w:t xml:space="preserve">flagellin </w:t>
      </w:r>
      <w:sdt>
        <w:sdtPr>
          <w:rPr>
            <w:color w:val="000000"/>
          </w:rPr>
          <w:tag w:val="MENDELEY_CITATION_v3_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"/>
          <w:id w:val="-1274469992"/>
          <w:placeholder>
            <w:docPart w:val="DefaultPlaceholder_-1854013440"/>
          </w:placeholder>
        </w:sdtPr>
        <w:sdtEndPr/>
        <w:sdtContent>
          <w:r w:rsidR="00F257B9" w:rsidRPr="00F257B9">
            <w:rPr>
              <w:color w:val="000000"/>
            </w:rPr>
            <w:t xml:space="preserve">(O’Neill, </w:t>
          </w:r>
          <w:proofErr w:type="spellStart"/>
          <w:r w:rsidR="00F257B9" w:rsidRPr="00F257B9">
            <w:rPr>
              <w:color w:val="000000"/>
            </w:rPr>
            <w:t>Golenbock</w:t>
          </w:r>
          <w:proofErr w:type="spellEnd"/>
          <w:r w:rsidR="00F257B9" w:rsidRPr="00F257B9">
            <w:rPr>
              <w:color w:val="000000"/>
            </w:rPr>
            <w:t xml:space="preserve"> and Bowie, 2013)</w:t>
          </w:r>
        </w:sdtContent>
      </w:sdt>
      <w:r w:rsidRPr="003C0E2F">
        <w:t>. In endosomal compartments, TLR3, TLR7, TLR8 and TLR9 detect</w:t>
      </w:r>
      <w:r w:rsidR="00080A0D" w:rsidRPr="003C0E2F">
        <w:t xml:space="preserve"> the presence of pathogen associated</w:t>
      </w:r>
      <w:r w:rsidRPr="003C0E2F">
        <w:t xml:space="preserve"> nucleic acids. TLR3 detects dsRNA (Liu et al., 2008), </w:t>
      </w:r>
      <w:proofErr w:type="spellStart"/>
      <w:r w:rsidRPr="003C0E2F">
        <w:t>ssRNA</w:t>
      </w:r>
      <w:proofErr w:type="spellEnd"/>
      <w:r w:rsidRPr="003C0E2F">
        <w:t xml:space="preserve"> is detected by TLR7 and TLR8, and CpG DNA by TLR9 </w:t>
      </w:r>
      <w:sdt>
        <w:sdtPr>
          <w:rPr>
            <w:color w:val="000000"/>
          </w:rPr>
          <w:tag w:val="MENDELEY_CITATION_v3_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"/>
          <w:id w:val="50506328"/>
          <w:placeholder>
            <w:docPart w:val="DefaultPlaceholder_-1854013440"/>
          </w:placeholder>
        </w:sdtPr>
        <w:sdtEndPr/>
        <w:sdtContent>
          <w:r w:rsidR="00F257B9" w:rsidRPr="00F257B9">
            <w:rPr>
              <w:color w:val="000000"/>
            </w:rPr>
            <w:t xml:space="preserve">(O’Neill, </w:t>
          </w:r>
          <w:proofErr w:type="spellStart"/>
          <w:r w:rsidR="00F257B9" w:rsidRPr="00F257B9">
            <w:rPr>
              <w:color w:val="000000"/>
            </w:rPr>
            <w:t>Golenbock</w:t>
          </w:r>
          <w:proofErr w:type="spellEnd"/>
          <w:r w:rsidR="00F257B9" w:rsidRPr="00F257B9">
            <w:rPr>
              <w:color w:val="000000"/>
            </w:rPr>
            <w:t xml:space="preserve"> and Bowie, 2013)</w:t>
          </w:r>
        </w:sdtContent>
      </w:sdt>
      <w:r w:rsidRPr="003C0E2F">
        <w:t>. Together, these provide a</w:t>
      </w:r>
      <w:r w:rsidR="00080A0D" w:rsidRPr="003C0E2F">
        <w:t>n automatic</w:t>
      </w:r>
      <w:r w:rsidRPr="003C0E2F">
        <w:t xml:space="preserve"> detection system for a broad range of invading pathogens</w:t>
      </w:r>
      <w:r w:rsidR="00080A0D" w:rsidRPr="003C0E2F">
        <w:t xml:space="preserve"> and produce </w:t>
      </w:r>
      <w:r w:rsidR="008612D0" w:rsidRPr="003C0E2F">
        <w:t>an</w:t>
      </w:r>
      <w:r w:rsidR="00080A0D" w:rsidRPr="003C0E2F">
        <w:t xml:space="preserve"> initial non-specific response to threats before more specialised processes come into action</w:t>
      </w:r>
      <w:r w:rsidRPr="003C0E2F">
        <w:t>.</w:t>
      </w:r>
      <w:r w:rsidR="000C35C4" w:rsidRPr="003C0E2F">
        <w:t xml:space="preserve"> </w:t>
      </w:r>
      <w:r w:rsidR="00080A0D" w:rsidRPr="003C0E2F">
        <w:t>While TLR1-9 all have recognised ligands, t</w:t>
      </w:r>
      <w:r w:rsidRPr="003C0E2F">
        <w:t>he role of TLR10</w:t>
      </w:r>
      <w:r w:rsidR="00080A0D" w:rsidRPr="003C0E2F">
        <w:t xml:space="preserve"> in immune function</w:t>
      </w:r>
      <w:r w:rsidRPr="003C0E2F">
        <w:t xml:space="preserve"> is less understood</w:t>
      </w:r>
      <w:r w:rsidR="00080A0D" w:rsidRPr="003C0E2F">
        <w:t>.</w:t>
      </w:r>
    </w:p>
    <w:p w14:paraId="179941AA" w14:textId="2966B820" w:rsidR="00C47D55" w:rsidRPr="003C0E2F" w:rsidRDefault="00080A0D" w:rsidP="00C47D55">
      <w:proofErr w:type="gramStart"/>
      <w:r w:rsidRPr="003C0E2F">
        <w:t>As yet</w:t>
      </w:r>
      <w:proofErr w:type="gramEnd"/>
      <w:r w:rsidRPr="003C0E2F">
        <w:t>, TLR10 has no</w:t>
      </w:r>
      <w:r w:rsidR="00C47D55" w:rsidRPr="003C0E2F">
        <w:t xml:space="preserve"> known associated ligands. An apparent regulatory </w:t>
      </w:r>
      <w:r w:rsidR="008F561F" w:rsidRPr="003C0E2F">
        <w:t>effect</w:t>
      </w:r>
      <w:r w:rsidR="00C47D55" w:rsidRPr="003C0E2F">
        <w:t xml:space="preserve"> of TLR10 on other TLRs has been observed, as blocking of the receptor can lead to upregulation of TLR2</w:t>
      </w:r>
      <w:r w:rsidR="000C35C4" w:rsidRPr="003C0E2F">
        <w:t>. M</w:t>
      </w:r>
      <w:r w:rsidR="00C47D55" w:rsidRPr="003C0E2F">
        <w:t xml:space="preserve">ice transfected with human TLR10 show suppressed cytokine release via </w:t>
      </w:r>
      <w:r w:rsidR="00932BC2" w:rsidRPr="003C0E2F">
        <w:t>MyD88</w:t>
      </w:r>
      <w:r w:rsidR="00C47D55" w:rsidRPr="003C0E2F">
        <w:t xml:space="preserve"> and </w:t>
      </w:r>
      <w:r w:rsidR="00A9277D" w:rsidRPr="003C0E2F">
        <w:t>TRIF-</w:t>
      </w:r>
      <w:r w:rsidR="009E0322" w:rsidRPr="003C0E2F">
        <w:t>dependent</w:t>
      </w:r>
      <w:r w:rsidR="00C47D55" w:rsidRPr="003C0E2F">
        <w:t xml:space="preserve"> inhibition</w:t>
      </w:r>
      <w:r w:rsidR="000C35C4" w:rsidRPr="003C0E2F">
        <w:t xml:space="preserve"> </w:t>
      </w:r>
      <w:sdt>
        <w:sdtPr>
          <w:tag w:val="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"/>
          <w:id w:val="-833380496"/>
          <w:placeholder>
            <w:docPart w:val="DefaultPlaceholder_-1854013440"/>
          </w:placeholder>
        </w:sdtPr>
        <w:sdtEndPr/>
        <w:sdtContent>
          <w:r w:rsidR="00F257B9">
            <w:rPr>
              <w:rFonts w:eastAsia="Times New Roman"/>
            </w:rPr>
            <w:t>(</w:t>
          </w:r>
          <w:proofErr w:type="spellStart"/>
          <w:r w:rsidR="00F257B9">
            <w:rPr>
              <w:rFonts w:eastAsia="Times New Roman"/>
            </w:rPr>
            <w:t>Oosting</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2014; Jiang </w:t>
          </w:r>
          <w:r w:rsidR="00F257B9">
            <w:rPr>
              <w:rFonts w:eastAsia="Times New Roman"/>
              <w:i/>
              <w:iCs/>
            </w:rPr>
            <w:t>et al.</w:t>
          </w:r>
          <w:r w:rsidR="00F257B9">
            <w:rPr>
              <w:rFonts w:eastAsia="Times New Roman"/>
            </w:rPr>
            <w:t>, 2016)</w:t>
          </w:r>
        </w:sdtContent>
      </w:sdt>
      <w:r w:rsidR="00C47D55" w:rsidRPr="003C0E2F">
        <w:t xml:space="preserve">. This may suggest an immunomodulatory function of the receptor but is yet to be confirmed under normal conditions. </w:t>
      </w:r>
    </w:p>
    <w:p w14:paraId="4A2380BE" w14:textId="77777777" w:rsidR="00C47D55" w:rsidRPr="003C0E2F" w:rsidRDefault="00C47D55">
      <w:pPr>
        <w:spacing w:line="259" w:lineRule="auto"/>
      </w:pPr>
      <w:r w:rsidRPr="003C0E2F">
        <w:br w:type="page"/>
      </w:r>
    </w:p>
    <w:p w14:paraId="7515FAFD" w14:textId="5E34FEFC" w:rsidR="00F64F9A" w:rsidRPr="003C0E2F" w:rsidRDefault="00831442" w:rsidP="00D55B0E">
      <w:pPr>
        <w:pStyle w:val="Heading3"/>
      </w:pPr>
      <w:r w:rsidRPr="003C0E2F">
        <w:lastRenderedPageBreak/>
        <w:t xml:space="preserve"> </w:t>
      </w:r>
      <w:bookmarkStart w:id="32" w:name="_Toc80013719"/>
      <w:bookmarkStart w:id="33" w:name="_Toc82882339"/>
      <w:r w:rsidR="00F64F9A" w:rsidRPr="003C0E2F">
        <w:t xml:space="preserve">Ligands of </w:t>
      </w:r>
      <w:r w:rsidR="000A1BFB" w:rsidRPr="003C0E2F">
        <w:t>s</w:t>
      </w:r>
      <w:r w:rsidR="00F64F9A" w:rsidRPr="003C0E2F">
        <w:t xml:space="preserve">terile </w:t>
      </w:r>
      <w:r w:rsidR="000A1BFB" w:rsidRPr="003C0E2F">
        <w:t>i</w:t>
      </w:r>
      <w:r w:rsidR="00F64F9A" w:rsidRPr="003C0E2F">
        <w:t>nflammation</w:t>
      </w:r>
      <w:bookmarkEnd w:id="32"/>
      <w:bookmarkEnd w:id="33"/>
    </w:p>
    <w:p w14:paraId="5C5EBA9C" w14:textId="352AC464" w:rsidR="00C47D55" w:rsidRPr="003C0E2F" w:rsidRDefault="00C47D55" w:rsidP="00C47D55">
      <w:r w:rsidRPr="003C0E2F">
        <w:t>Aside from the classic ligands associated directly with pathogenic invasion, TLRs have also been seen to react to some endogenous host-derived molecul</w:t>
      </w:r>
      <w:r w:rsidR="000C124A" w:rsidRPr="003C0E2F">
        <w:t>es</w:t>
      </w:r>
      <w:r w:rsidRPr="003C0E2F">
        <w:t>, known as DAMPs</w:t>
      </w:r>
      <w:r w:rsidR="007A0F7C" w:rsidRPr="003C0E2F">
        <w:t xml:space="preserve"> (Damage Associated Molecular </w:t>
      </w:r>
      <w:r w:rsidR="000C124A" w:rsidRPr="003C0E2F">
        <w:t>Patterns)</w:t>
      </w:r>
      <w:r w:rsidRPr="003C0E2F">
        <w:t>. These DAMPs m</w:t>
      </w:r>
      <w:r w:rsidR="000C124A" w:rsidRPr="003C0E2F">
        <w:t>a</w:t>
      </w:r>
      <w:r w:rsidRPr="003C0E2F">
        <w:t>y be indicative of an otherwise undetected infection, whereby pathogens inflict damage to surrounding cells and tissue causing the release of these molecules which stimulate receptors</w:t>
      </w:r>
      <w:r w:rsidR="000C124A" w:rsidRPr="003C0E2F">
        <w:t xml:space="preserve"> as indirect signs of a threat</w:t>
      </w:r>
      <w:r w:rsidRPr="003C0E2F">
        <w:t xml:space="preserve">. These </w:t>
      </w:r>
      <w:r w:rsidR="000C124A" w:rsidRPr="003C0E2F">
        <w:t xml:space="preserve">DAMPs </w:t>
      </w:r>
      <w:r w:rsidRPr="003C0E2F">
        <w:t xml:space="preserve">include molecules such as </w:t>
      </w:r>
      <w:proofErr w:type="spellStart"/>
      <w:r w:rsidRPr="003C0E2F">
        <w:t>heatshock</w:t>
      </w:r>
      <w:proofErr w:type="spellEnd"/>
      <w:r w:rsidRPr="003C0E2F">
        <w:t xml:space="preserve"> proteins, fibronectin, small fragments of hyaluronan and oxidised </w:t>
      </w:r>
      <w:r w:rsidR="008612D0" w:rsidRPr="003C0E2F">
        <w:t>lipids,</w:t>
      </w:r>
      <w:r w:rsidRPr="003C0E2F">
        <w:t xml:space="preserve"> among others. In some cases, DAMPs are thought to trigger TLR response in the absence of pathogens and may be associated with the aberrant receptor activity</w:t>
      </w:r>
      <w:r w:rsidR="000C124A" w:rsidRPr="003C0E2F">
        <w:t xml:space="preserve"> seen in</w:t>
      </w:r>
      <w:r w:rsidRPr="003C0E2F">
        <w:t xml:space="preserve"> many disease pathologies.</w:t>
      </w:r>
    </w:p>
    <w:p w14:paraId="27E13CB2" w14:textId="5D1D898B" w:rsidR="00C76B5C" w:rsidRPr="003C0E2F" w:rsidRDefault="000C124A" w:rsidP="00C47D55">
      <w:r w:rsidRPr="003C0E2F">
        <w:t>S</w:t>
      </w:r>
      <w:r w:rsidR="00C47D55" w:rsidRPr="003C0E2F">
        <w:t xml:space="preserve">terile ligands of TLRs may be responsible for the sustained activation of </w:t>
      </w:r>
      <w:r w:rsidRPr="003C0E2F">
        <w:t>inflammatory response in</w:t>
      </w:r>
      <w:r w:rsidR="00C47D55" w:rsidRPr="003C0E2F">
        <w:t xml:space="preserve"> inflammatory based </w:t>
      </w:r>
      <w:r w:rsidRPr="003C0E2F">
        <w:t>conditions</w:t>
      </w:r>
      <w:r w:rsidR="0027708C" w:rsidRPr="003C0E2F">
        <w:t xml:space="preserve">. </w:t>
      </w:r>
      <w:proofErr w:type="spellStart"/>
      <w:r w:rsidR="001A2988" w:rsidRPr="003C0E2F">
        <w:t>OxLDL</w:t>
      </w:r>
      <w:proofErr w:type="spellEnd"/>
      <w:r w:rsidR="00C47D55" w:rsidRPr="003C0E2F">
        <w:t xml:space="preserve"> has been implicated in cardiovascular disease and may contribute to disease progression. </w:t>
      </w:r>
      <w:r w:rsidR="003D2863" w:rsidRPr="003C0E2F">
        <w:t xml:space="preserve">Activation of TLR4 response by </w:t>
      </w:r>
      <w:proofErr w:type="spellStart"/>
      <w:r w:rsidR="003D2863" w:rsidRPr="003C0E2F">
        <w:t>oxLDL</w:t>
      </w:r>
      <w:proofErr w:type="spellEnd"/>
      <w:r w:rsidR="003D2863" w:rsidRPr="003C0E2F">
        <w:t xml:space="preserve"> is thought to involve several alternate receptors to canonical TLR4 activation by LPS, including TLR2, TLR6 and CD36 </w:t>
      </w:r>
      <w:sdt>
        <w:sdtPr>
          <w:tag w:val="MENDELEY_CITATION_v3_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"/>
          <w:id w:val="-1516459225"/>
          <w:placeholder>
            <w:docPart w:val="03093A1257994FC195670024652F0444"/>
          </w:placeholder>
        </w:sdtPr>
        <w:sdtEndPr/>
        <w:sdtContent>
          <w:r w:rsidR="00F257B9">
            <w:rPr>
              <w:rFonts w:eastAsia="Times New Roman"/>
            </w:rPr>
            <w:t xml:space="preserve">(Stewart </w:t>
          </w:r>
          <w:r w:rsidR="00F257B9">
            <w:rPr>
              <w:rFonts w:eastAsia="Times New Roman"/>
              <w:i/>
              <w:iCs/>
            </w:rPr>
            <w:t>et al.</w:t>
          </w:r>
          <w:r w:rsidR="00F257B9">
            <w:rPr>
              <w:rFonts w:eastAsia="Times New Roman"/>
            </w:rPr>
            <w:t>, 2010)</w:t>
          </w:r>
        </w:sdtContent>
      </w:sdt>
      <w:r w:rsidR="003D2863" w:rsidRPr="003C0E2F">
        <w:t xml:space="preserve">. </w:t>
      </w:r>
      <w:r w:rsidR="00C47D55" w:rsidRPr="003C0E2F">
        <w:t xml:space="preserve">High levels of circulating </w:t>
      </w:r>
      <w:proofErr w:type="spellStart"/>
      <w:r w:rsidR="001A2988" w:rsidRPr="003C0E2F">
        <w:t>oxLDL</w:t>
      </w:r>
      <w:proofErr w:type="spellEnd"/>
      <w:r w:rsidR="00C47D55" w:rsidRPr="003C0E2F">
        <w:t xml:space="preserve"> and CD36 have been associated with high</w:t>
      </w:r>
      <w:r w:rsidR="00E16D03" w:rsidRPr="003C0E2F">
        <w:t>-</w:t>
      </w:r>
      <w:r w:rsidR="00C47D55" w:rsidRPr="003C0E2F">
        <w:t xml:space="preserve">risk groups </w:t>
      </w:r>
      <w:sdt>
        <w:sdtPr>
          <w:tag w:val="MENDELEY_CITATION_v3_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"/>
          <w:id w:val="-134799933"/>
          <w:placeholder>
            <w:docPart w:val="DefaultPlaceholder_-1854013440"/>
          </w:placeholder>
        </w:sdtPr>
        <w:sdtEndPr/>
        <w:sdtContent>
          <w:r w:rsidR="00F257B9">
            <w:rPr>
              <w:rFonts w:eastAsia="Times New Roman"/>
            </w:rPr>
            <w:t xml:space="preserve">(Ramos-Arellano </w:t>
          </w:r>
          <w:r w:rsidR="00F257B9">
            <w:rPr>
              <w:rFonts w:eastAsia="Times New Roman"/>
              <w:i/>
              <w:iCs/>
            </w:rPr>
            <w:t>et al.</w:t>
          </w:r>
          <w:r w:rsidR="00F257B9">
            <w:rPr>
              <w:rFonts w:eastAsia="Times New Roman"/>
            </w:rPr>
            <w:t>, 2014)</w:t>
          </w:r>
        </w:sdtContent>
      </w:sdt>
      <w:r w:rsidR="00C76B5C" w:rsidRPr="003C0E2F">
        <w:t xml:space="preserve"> and are associated with TLR4 activation of </w:t>
      </w:r>
      <w:r w:rsidR="008F561F" w:rsidRPr="003C0E2F">
        <w:t>macrophage</w:t>
      </w:r>
      <w:r w:rsidR="00C76B5C" w:rsidRPr="003C0E2F">
        <w:t xml:space="preserve">s as well as the formation of foam cells, an important </w:t>
      </w:r>
      <w:r w:rsidR="00C320C3" w:rsidRPr="003C0E2F">
        <w:t>part of</w:t>
      </w:r>
      <w:r w:rsidR="00C76B5C" w:rsidRPr="003C0E2F">
        <w:t xml:space="preserve"> atherosclerotic plaque progression</w:t>
      </w:r>
      <w:r w:rsidR="00C47D55" w:rsidRPr="003C0E2F">
        <w:t xml:space="preserve"> </w:t>
      </w:r>
      <w:sdt>
        <w:sdtPr>
          <w:tag w:val="MENDELEY_CITATION_v3_eyJjaXRhdGlvbklEIjoiTUVOREVMRVlfQ0lUQVRJT05fNjk2YjhiNWYtN2Y2YS00ZmI5LTkyNmItNGMwY2YwNDRmN2Vk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V0sInByb3BlcnRpZXMiOnsibm90ZUluZGV4IjowfSwiaXNFZGl0ZWQiOmZhbHNlLCJtYW51YWxPdmVycmlkZSI6eyJpc01hbnVhbGx5T3ZlcnJpZGVuIjpmYWxzZSwiY2l0ZXByb2NUZXh0IjoiKENow6F2ZXotU8OhbmNoZXogPGk+ZXQgYWwuPC9pPiwgMjAxNCkiLCJtYW51YWxPdmVycmlkZVRleHQiOiIifX0="/>
          <w:id w:val="-1847862492"/>
          <w:placeholder>
            <w:docPart w:val="DefaultPlaceholder_-1854013440"/>
          </w:placeholder>
        </w:sdtPr>
        <w:sdtEndPr/>
        <w:sdtContent>
          <w:r w:rsidR="00F257B9">
            <w:rPr>
              <w:rFonts w:eastAsia="Times New Roman"/>
            </w:rPr>
            <w:t xml:space="preserve">(Chávez-Sánchez </w:t>
          </w:r>
          <w:r w:rsidR="00F257B9">
            <w:rPr>
              <w:rFonts w:eastAsia="Times New Roman"/>
              <w:i/>
              <w:iCs/>
            </w:rPr>
            <w:t>et al.</w:t>
          </w:r>
          <w:r w:rsidR="00F257B9">
            <w:rPr>
              <w:rFonts w:eastAsia="Times New Roman"/>
            </w:rPr>
            <w:t>, 2014)</w:t>
          </w:r>
        </w:sdtContent>
      </w:sdt>
      <w:r w:rsidR="00C76B5C" w:rsidRPr="003C0E2F">
        <w:t xml:space="preserve">. </w:t>
      </w:r>
      <w:r w:rsidR="00C320C3" w:rsidRPr="003C0E2F">
        <w:t>Further to this, s</w:t>
      </w:r>
      <w:r w:rsidR="00C47D55" w:rsidRPr="003C0E2F">
        <w:t xml:space="preserve">elf-nucleic acids </w:t>
      </w:r>
      <w:r w:rsidR="00C320C3" w:rsidRPr="003C0E2F">
        <w:t>have</w:t>
      </w:r>
      <w:r w:rsidR="00C47D55" w:rsidRPr="003C0E2F">
        <w:t xml:space="preserve"> also</w:t>
      </w:r>
      <w:r w:rsidR="00C320C3" w:rsidRPr="003C0E2F">
        <w:t xml:space="preserve"> been shown to</w:t>
      </w:r>
      <w:r w:rsidR="00C47D55" w:rsidRPr="003C0E2F">
        <w:t xml:space="preserve"> cause aberrant activation of TLR9. TLR9 can be activated by mitochondrial DNA which has been implicated as a contributing factor to sustained inflammation seen in patients post severe trauma </w:t>
      </w:r>
      <w:sdt>
        <w:sdtPr>
          <w:tag w:val="MENDELEY_CITATION_v3_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"/>
          <w:id w:val="-1549149494"/>
          <w:placeholder>
            <w:docPart w:val="DefaultPlaceholder_-1854013440"/>
          </w:placeholder>
        </w:sdtPr>
        <w:sdtEndPr/>
        <w:sdtContent>
          <w:r w:rsidR="00F257B9">
            <w:rPr>
              <w:rFonts w:eastAsia="Times New Roman"/>
            </w:rPr>
            <w:t xml:space="preserve">(Zhang </w:t>
          </w:r>
          <w:r w:rsidR="00F257B9">
            <w:rPr>
              <w:rFonts w:eastAsia="Times New Roman"/>
              <w:i/>
              <w:iCs/>
            </w:rPr>
            <w:t>et al.</w:t>
          </w:r>
          <w:r w:rsidR="00F257B9">
            <w:rPr>
              <w:rFonts w:eastAsia="Times New Roman"/>
            </w:rPr>
            <w:t>, 2010)</w:t>
          </w:r>
        </w:sdtContent>
      </w:sdt>
      <w:r w:rsidR="00C47D55" w:rsidRPr="003C0E2F">
        <w:t xml:space="preserve"> and has </w:t>
      </w:r>
      <w:r w:rsidR="00C76B5C" w:rsidRPr="003C0E2F">
        <w:t xml:space="preserve">also </w:t>
      </w:r>
      <w:r w:rsidR="00C47D55" w:rsidRPr="003C0E2F">
        <w:t xml:space="preserve">been associated with IL-1β production and inflammasome activation </w:t>
      </w:r>
      <w:sdt>
        <w:sdtPr>
          <w:tag w:val="MENDELEY_CITATION_v3_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"/>
          <w:id w:val="-1217575973"/>
          <w:placeholder>
            <w:docPart w:val="DefaultPlaceholder_-1854013440"/>
          </w:placeholder>
        </w:sdtPr>
        <w:sdtEndPr/>
        <w:sdtContent>
          <w:r w:rsidR="00F257B9">
            <w:rPr>
              <w:rFonts w:eastAsia="Times New Roman"/>
            </w:rPr>
            <w:t xml:space="preserve">(Shimada </w:t>
          </w:r>
          <w:r w:rsidR="00F257B9">
            <w:rPr>
              <w:rFonts w:eastAsia="Times New Roman"/>
              <w:i/>
              <w:iCs/>
            </w:rPr>
            <w:t>et al.</w:t>
          </w:r>
          <w:r w:rsidR="00F257B9">
            <w:rPr>
              <w:rFonts w:eastAsia="Times New Roman"/>
            </w:rPr>
            <w:t>, 2012)</w:t>
          </w:r>
        </w:sdtContent>
      </w:sdt>
      <w:r w:rsidR="00C76B5C" w:rsidRPr="003C0E2F">
        <w:t>.</w:t>
      </w:r>
      <w:r w:rsidR="00C47D55" w:rsidRPr="003C0E2F">
        <w:t xml:space="preserve"> TLR9 may also be activated by IgG bound chromatin, which has been implicated in lupus</w:t>
      </w:r>
      <w:r w:rsidR="000300B3" w:rsidRPr="003C0E2F">
        <w:t xml:space="preserve"> </w:t>
      </w:r>
      <w:sdt>
        <w:sdtPr>
          <w:tag w:val="MENDELEY_CITATION_v3_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"/>
          <w:id w:val="70865513"/>
          <w:placeholder>
            <w:docPart w:val="DefaultPlaceholder_-1854013440"/>
          </w:placeholder>
        </w:sdtPr>
        <w:sdtEndPr/>
        <w:sdtContent>
          <w:r w:rsidR="00F257B9">
            <w:rPr>
              <w:rFonts w:eastAsia="Times New Roman"/>
            </w:rPr>
            <w:t xml:space="preserve">(Hoque </w:t>
          </w:r>
          <w:r w:rsidR="00F257B9">
            <w:rPr>
              <w:rFonts w:eastAsia="Times New Roman"/>
              <w:i/>
              <w:iCs/>
            </w:rPr>
            <w:t>et al.</w:t>
          </w:r>
          <w:r w:rsidR="00F257B9">
            <w:rPr>
              <w:rFonts w:eastAsia="Times New Roman"/>
            </w:rPr>
            <w:t>, 2011)</w:t>
          </w:r>
        </w:sdtContent>
      </w:sdt>
      <w:r w:rsidR="00C47D55" w:rsidRPr="003C0E2F">
        <w:t>. Therefore,</w:t>
      </w:r>
      <w:r w:rsidR="00C76B5C" w:rsidRPr="003C0E2F">
        <w:t xml:space="preserve"> </w:t>
      </w:r>
      <w:r w:rsidR="00C47D55" w:rsidRPr="003C0E2F">
        <w:t>sterile ligands of TLRs are of clinical interest</w:t>
      </w:r>
      <w:r w:rsidR="00C76B5C" w:rsidRPr="003C0E2F">
        <w:t xml:space="preserve"> </w:t>
      </w:r>
      <w:r w:rsidR="00C47D55" w:rsidRPr="003C0E2F">
        <w:t xml:space="preserve">in development of strategies for combatting inflammatory based diseases. </w:t>
      </w:r>
    </w:p>
    <w:p w14:paraId="1D1CD37D" w14:textId="0F61D6DF" w:rsidR="00202FC2" w:rsidRPr="003C0E2F" w:rsidRDefault="00C76B5C" w:rsidP="00C47D55">
      <w:r w:rsidRPr="003C0E2F">
        <w:t>S</w:t>
      </w:r>
      <w:r w:rsidR="00C47D55" w:rsidRPr="003C0E2F">
        <w:t xml:space="preserve">terile ligands may interact with receptors differently than PAMPs. Some are thought to cause formation of </w:t>
      </w:r>
      <w:r w:rsidRPr="003C0E2F">
        <w:t xml:space="preserve">unique </w:t>
      </w:r>
      <w:r w:rsidR="00C47D55" w:rsidRPr="003C0E2F">
        <w:t>heterodimer</w:t>
      </w:r>
      <w:r w:rsidRPr="003C0E2F">
        <w:t xml:space="preserve"> combinations </w:t>
      </w:r>
      <w:r w:rsidR="00C47D55" w:rsidRPr="003C0E2F">
        <w:t>in response to activation. TLR4 and TLR6</w:t>
      </w:r>
      <w:r w:rsidR="001615FD" w:rsidRPr="003C0E2F">
        <w:t xml:space="preserve"> are</w:t>
      </w:r>
      <w:r w:rsidR="00C47D55" w:rsidRPr="003C0E2F">
        <w:t xml:space="preserve"> thought </w:t>
      </w:r>
      <w:r w:rsidR="00C47D55" w:rsidRPr="003C0E2F">
        <w:lastRenderedPageBreak/>
        <w:t xml:space="preserve">to form a heterodimer in response to </w:t>
      </w:r>
      <w:proofErr w:type="spellStart"/>
      <w:r w:rsidR="001A2988" w:rsidRPr="003C0E2F">
        <w:t>oxLDL</w:t>
      </w:r>
      <w:proofErr w:type="spellEnd"/>
      <w:r w:rsidR="00C47D55" w:rsidRPr="003C0E2F">
        <w:t xml:space="preserve"> and </w:t>
      </w:r>
      <w:r w:rsidRPr="003C0E2F">
        <w:t>amyloid-β</w:t>
      </w:r>
      <w:r w:rsidR="00C47D55" w:rsidRPr="003C0E2F">
        <w:t xml:space="preserve"> stimulation</w:t>
      </w:r>
      <w:r w:rsidRPr="003C0E2F">
        <w:t xml:space="preserve"> and </w:t>
      </w:r>
      <w:r w:rsidR="00C47D55" w:rsidRPr="003C0E2F">
        <w:t xml:space="preserve">TLR2 and TLR4 are both important in hyaluronan driven inflammation </w:t>
      </w:r>
      <w:sdt>
        <w:sdtPr>
          <w:tag w:val="MENDELEY_CITATION_v3_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"/>
          <w:id w:val="-710958557"/>
          <w:placeholder>
            <w:docPart w:val="DefaultPlaceholder_-1854013440"/>
          </w:placeholder>
        </w:sdtPr>
        <w:sdtEndPr/>
        <w:sdtContent>
          <w:r w:rsidR="00F257B9">
            <w:rPr>
              <w:rFonts w:eastAsia="Times New Roman"/>
            </w:rPr>
            <w:t xml:space="preserve">(Jiang </w:t>
          </w:r>
          <w:r w:rsidR="00F257B9">
            <w:rPr>
              <w:rFonts w:eastAsia="Times New Roman"/>
              <w:i/>
              <w:iCs/>
            </w:rPr>
            <w:t>et al.</w:t>
          </w:r>
          <w:r w:rsidR="00F257B9">
            <w:rPr>
              <w:rFonts w:eastAsia="Times New Roman"/>
            </w:rPr>
            <w:t>, 2005)</w:t>
          </w:r>
        </w:sdtContent>
      </w:sdt>
      <w:r w:rsidR="00C47D55" w:rsidRPr="003C0E2F">
        <w:t>.</w:t>
      </w:r>
      <w:r w:rsidRPr="003C0E2F">
        <w:t xml:space="preserve"> Other receptors may also be associated with ligand recognition processes.</w:t>
      </w:r>
      <w:r w:rsidR="00C47D55" w:rsidRPr="003C0E2F">
        <w:t xml:space="preserve"> CD36 has been shown to be indispensable in </w:t>
      </w:r>
      <w:proofErr w:type="spellStart"/>
      <w:r w:rsidR="001A2988" w:rsidRPr="003C0E2F">
        <w:t>oxLDL</w:t>
      </w:r>
      <w:proofErr w:type="spellEnd"/>
      <w:r w:rsidR="000A1BFB" w:rsidRPr="003C0E2F">
        <w:t xml:space="preserve"> induced</w:t>
      </w:r>
      <w:r w:rsidR="00C47D55" w:rsidRPr="003C0E2F">
        <w:t xml:space="preserve"> inflammation. A lack of CD36 was associated with downregulation of </w:t>
      </w:r>
      <w:proofErr w:type="spellStart"/>
      <w:r w:rsidR="001A2988" w:rsidRPr="003C0E2F">
        <w:t>oxLDL</w:t>
      </w:r>
      <w:proofErr w:type="spellEnd"/>
      <w:r w:rsidR="00C47D55" w:rsidRPr="003C0E2F">
        <w:t xml:space="preserve"> stimulated production of MIP-2 and RANTES in mice. A reduction was also seen in NF-</w:t>
      </w:r>
      <w:proofErr w:type="spellStart"/>
      <w:r w:rsidR="00C47D55" w:rsidRPr="003C0E2F">
        <w:t>κB</w:t>
      </w:r>
      <w:proofErr w:type="spellEnd"/>
      <w:r w:rsidR="00C47D55" w:rsidRPr="003C0E2F">
        <w:t xml:space="preserve"> activation in response to </w:t>
      </w:r>
      <w:proofErr w:type="spellStart"/>
      <w:r w:rsidR="001A2988" w:rsidRPr="003C0E2F">
        <w:t>oxLDL</w:t>
      </w:r>
      <w:proofErr w:type="spellEnd"/>
      <w:r w:rsidR="00C47D55" w:rsidRPr="003C0E2F">
        <w:t xml:space="preserve"> and </w:t>
      </w:r>
      <w:r w:rsidRPr="003C0E2F">
        <w:t>amyloid-β</w:t>
      </w:r>
      <w:r w:rsidR="00C47D55" w:rsidRPr="003C0E2F">
        <w:t xml:space="preserve"> in absence of CD36, whereas the presence or absence of CD14 does not appear to be important </w:t>
      </w:r>
      <w:sdt>
        <w:sdtPr>
          <w:tag w:val="MENDELEY_CITATION_v3_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"/>
          <w:id w:val="963316411"/>
          <w:placeholder>
            <w:docPart w:val="DefaultPlaceholder_-1854013440"/>
          </w:placeholder>
        </w:sdtPr>
        <w:sdtEndPr/>
        <w:sdtContent>
          <w:r w:rsidR="00F257B9">
            <w:rPr>
              <w:rFonts w:eastAsia="Times New Roman"/>
            </w:rPr>
            <w:t xml:space="preserve">(Stewart </w:t>
          </w:r>
          <w:r w:rsidR="00F257B9">
            <w:rPr>
              <w:rFonts w:eastAsia="Times New Roman"/>
              <w:i/>
              <w:iCs/>
            </w:rPr>
            <w:t>et al.</w:t>
          </w:r>
          <w:r w:rsidR="00F257B9">
            <w:rPr>
              <w:rFonts w:eastAsia="Times New Roman"/>
            </w:rPr>
            <w:t>, 2010)</w:t>
          </w:r>
        </w:sdtContent>
      </w:sdt>
      <w:r w:rsidR="00C47D55" w:rsidRPr="003C0E2F">
        <w:t>. Due to the different mechanisms that pathogen and host originating ligands are recognised through, antagonists of TLRs in response may interact with DAMP</w:t>
      </w:r>
      <w:r w:rsidR="00A9277D" w:rsidRPr="003C0E2F">
        <w:t>-</w:t>
      </w:r>
      <w:r w:rsidR="009E0322" w:rsidRPr="003C0E2F">
        <w:t>dependent</w:t>
      </w:r>
      <w:r w:rsidR="00C47D55" w:rsidRPr="003C0E2F">
        <w:t xml:space="preserve"> signalling differently to </w:t>
      </w:r>
      <w:r w:rsidR="00A14868" w:rsidRPr="003C0E2F">
        <w:t xml:space="preserve">canonical </w:t>
      </w:r>
      <w:r w:rsidR="00C47D55" w:rsidRPr="003C0E2F">
        <w:t>PAMPs</w:t>
      </w:r>
      <w:r w:rsidR="008612D0" w:rsidRPr="003C0E2F">
        <w:t>.</w:t>
      </w:r>
      <w:r w:rsidR="00202FC2" w:rsidRPr="003C0E2F">
        <w:t xml:space="preserve"> </w:t>
      </w:r>
    </w:p>
    <w:p w14:paraId="32955D46" w14:textId="77777777" w:rsidR="00202FC2" w:rsidRPr="003C0E2F" w:rsidRDefault="00202FC2">
      <w:pPr>
        <w:spacing w:line="259" w:lineRule="auto"/>
      </w:pPr>
      <w:r w:rsidRPr="003C0E2F">
        <w:br w:type="page"/>
      </w:r>
    </w:p>
    <w:p w14:paraId="3929E4A3" w14:textId="0A926B5C" w:rsidR="00C47D55" w:rsidRPr="003C0E2F" w:rsidRDefault="00202FC2" w:rsidP="00D55B0E">
      <w:pPr>
        <w:pStyle w:val="Heading3"/>
      </w:pPr>
      <w:bookmarkStart w:id="34" w:name="_Toc80013720"/>
      <w:bookmarkStart w:id="35" w:name="_Toc82882340"/>
      <w:r w:rsidRPr="003C0E2F">
        <w:lastRenderedPageBreak/>
        <w:t>A</w:t>
      </w:r>
      <w:r w:rsidR="00C47D55" w:rsidRPr="003C0E2F">
        <w:t xml:space="preserve">ctivation of </w:t>
      </w:r>
      <w:r w:rsidR="005E3B51" w:rsidRPr="003C0E2F">
        <w:t>t</w:t>
      </w:r>
      <w:r w:rsidR="000A1BFB" w:rsidRPr="003C0E2F">
        <w:t>oll-</w:t>
      </w:r>
      <w:r w:rsidR="005E3B51" w:rsidRPr="003C0E2F">
        <w:t>l</w:t>
      </w:r>
      <w:r w:rsidR="000A1BFB" w:rsidRPr="003C0E2F">
        <w:t xml:space="preserve">ike </w:t>
      </w:r>
      <w:r w:rsidR="00882288" w:rsidRPr="003C0E2F">
        <w:t>r</w:t>
      </w:r>
      <w:r w:rsidR="000A1BFB" w:rsidRPr="003C0E2F">
        <w:t>eceptor</w:t>
      </w:r>
      <w:r w:rsidR="00C47D55" w:rsidRPr="003C0E2F">
        <w:t xml:space="preserve"> signalling in human and m</w:t>
      </w:r>
      <w:r w:rsidRPr="003C0E2F">
        <w:t>urine models</w:t>
      </w:r>
      <w:bookmarkEnd w:id="34"/>
      <w:bookmarkEnd w:id="35"/>
    </w:p>
    <w:p w14:paraId="1735259F" w14:textId="77777777" w:rsidR="00C47D55" w:rsidRPr="003C0E2F" w:rsidRDefault="00C47D55" w:rsidP="00C47D55">
      <w:r w:rsidRPr="003C0E2F">
        <w:t xml:space="preserve">Mice a regularly used as a model for investigating cardiovascular disease through angiotensin stimulated atherosclerotic development. Translation of findings into an animal model is an important bridging step towards proving the clinical relevance of a new molecule in a living system. However, fundamental differences between humans and mice can sometimes lead to differences in response to such interventions. The immune response of mice is geared towards tolerance to repeated stimuli </w:t>
      </w:r>
      <w:proofErr w:type="gramStart"/>
      <w:r w:rsidRPr="003C0E2F">
        <w:t>in order to</w:t>
      </w:r>
      <w:proofErr w:type="gramEnd"/>
      <w:r w:rsidRPr="003C0E2F">
        <w:t xml:space="preserve"> prevent tissue damage. This </w:t>
      </w:r>
      <w:proofErr w:type="gramStart"/>
      <w:r w:rsidRPr="003C0E2F">
        <w:t>is in contrast to</w:t>
      </w:r>
      <w:proofErr w:type="gramEnd"/>
      <w:r w:rsidRPr="003C0E2F">
        <w:t xml:space="preserve"> humans which utilise a strategy of resistance whereby threats are eliminated quickly. This difference in immune strategies may be due to the difference in the environments in which humans and mice find themselves in. The difference between human and mouse immune system response may result in difficulties in translating findings from studies in mice to humans. </w:t>
      </w:r>
    </w:p>
    <w:p w14:paraId="6CF10785" w14:textId="12772EF1" w:rsidR="00C47D55" w:rsidRPr="003C0E2F" w:rsidRDefault="00C47D55" w:rsidP="00C47D55">
      <w:r w:rsidRPr="003C0E2F">
        <w:t xml:space="preserve">While human and mouse TLRs share some similarities, there are distinct differences in the expression, </w:t>
      </w:r>
      <w:r w:rsidR="00202FC2" w:rsidRPr="003C0E2F">
        <w:t>activity,</w:t>
      </w:r>
      <w:r w:rsidRPr="003C0E2F">
        <w:t xml:space="preserve"> and distribution of receptors between humans and mice. Humans have 10 known TLRs, whereas 12 TLRs have been identified in mice so far. Humans are known to possess TLRs 1-10, while mice possess TLRs 1-7 and 9-13. TLR8 is absent in mice and TLR12 and TLR13 are absent in humans, with TLR11 only being present in the form of a pseudogene. In mice, TLR2 is expressed in the T-cells, but not in humans where circulating leukocyte TLR2 expression is more pronounced than in mice. Poly I:C can result in TLR3</w:t>
      </w:r>
      <w:r w:rsidR="00A9277D" w:rsidRPr="003C0E2F">
        <w:t>-</w:t>
      </w:r>
      <w:r w:rsidR="009E0322" w:rsidRPr="003C0E2F">
        <w:t>dependent</w:t>
      </w:r>
      <w:r w:rsidRPr="003C0E2F">
        <w:t xml:space="preserve"> </w:t>
      </w:r>
      <w:r w:rsidR="001A0D81" w:rsidRPr="003C0E2F">
        <w:t>NF-</w:t>
      </w:r>
      <w:proofErr w:type="spellStart"/>
      <w:r w:rsidR="001A0D81" w:rsidRPr="003C0E2F">
        <w:t>κB</w:t>
      </w:r>
      <w:proofErr w:type="spellEnd"/>
      <w:r w:rsidRPr="003C0E2F">
        <w:t xml:space="preserve"> and MAPK activation, resulting in downstream TNFα and IL-6 production in mice, but not humans</w:t>
      </w:r>
      <w:r w:rsidR="000300B3" w:rsidRPr="003C0E2F">
        <w:t xml:space="preserve"> </w:t>
      </w:r>
      <w:sdt>
        <w:sdtPr>
          <w:tag w:val="MENDELEY_CITATION_v3_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"/>
          <w:id w:val="-1883399413"/>
          <w:placeholder>
            <w:docPart w:val="DefaultPlaceholder_-1854013440"/>
          </w:placeholder>
        </w:sdtPr>
        <w:sdtEndPr/>
        <w:sdtContent>
          <w:r w:rsidR="00F257B9">
            <w:rPr>
              <w:rFonts w:eastAsia="Times New Roman"/>
            </w:rPr>
            <w:t xml:space="preserve">(Lundberg </w:t>
          </w:r>
          <w:r w:rsidR="00F257B9">
            <w:rPr>
              <w:rFonts w:eastAsia="Times New Roman"/>
              <w:i/>
              <w:iCs/>
            </w:rPr>
            <w:t>et al.</w:t>
          </w:r>
          <w:r w:rsidR="00F257B9">
            <w:rPr>
              <w:rFonts w:eastAsia="Times New Roman"/>
            </w:rPr>
            <w:t>, 2007)</w:t>
          </w:r>
        </w:sdtContent>
      </w:sdt>
      <w:r w:rsidRPr="003C0E2F">
        <w:t xml:space="preserve">. Mouse susceptibility to LPS cytotoxic </w:t>
      </w:r>
      <w:r w:rsidR="008F561F" w:rsidRPr="003C0E2F">
        <w:t>effect</w:t>
      </w:r>
      <w:r w:rsidRPr="003C0E2F">
        <w:t xml:space="preserve">s </w:t>
      </w:r>
      <w:r w:rsidR="008612D0" w:rsidRPr="003C0E2F">
        <w:t>is</w:t>
      </w:r>
      <w:r w:rsidRPr="003C0E2F">
        <w:t xml:space="preserve"> markedly reduced as compared to humans which require lower doses for cytotoxicity due to resistance mechanisms in mice </w:t>
      </w:r>
      <w:sdt>
        <w:sdtPr>
          <w:tag w:val="MENDELEY_CITATION_v3_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"/>
          <w:id w:val="-144670995"/>
          <w:placeholder>
            <w:docPart w:val="DefaultPlaceholder_-1854013440"/>
          </w:placeholder>
        </w:sdtPr>
        <w:sdtEndPr/>
        <w:sdtContent>
          <w:r w:rsidR="00F257B9">
            <w:rPr>
              <w:rFonts w:eastAsia="Times New Roman"/>
            </w:rPr>
            <w:t>(</w:t>
          </w:r>
          <w:proofErr w:type="spellStart"/>
          <w:r w:rsidR="00F257B9">
            <w:rPr>
              <w:rFonts w:eastAsia="Times New Roman"/>
            </w:rPr>
            <w:t>Matsuguchi</w:t>
          </w:r>
          <w:proofErr w:type="spellEnd"/>
          <w:r w:rsidR="00F257B9">
            <w:rPr>
              <w:rFonts w:eastAsia="Times New Roman"/>
            </w:rPr>
            <w:t xml:space="preserve"> </w:t>
          </w:r>
          <w:r w:rsidR="00F257B9">
            <w:rPr>
              <w:rFonts w:eastAsia="Times New Roman"/>
              <w:i/>
              <w:iCs/>
            </w:rPr>
            <w:t>et al.</w:t>
          </w:r>
          <w:r w:rsidR="00F257B9">
            <w:rPr>
              <w:rFonts w:eastAsia="Times New Roman"/>
            </w:rPr>
            <w:t>, 2000)</w:t>
          </w:r>
        </w:sdtContent>
      </w:sdt>
      <w:r w:rsidRPr="003C0E2F">
        <w:t xml:space="preserve"> Conversely, mice are more sensitive to TLR5 based recognition of flagellin. </w:t>
      </w:r>
      <w:r w:rsidR="00202FC2" w:rsidRPr="003C0E2F">
        <w:t>V</w:t>
      </w:r>
      <w:r w:rsidRPr="003C0E2F">
        <w:t xml:space="preserve">ariations in TLR </w:t>
      </w:r>
      <w:r w:rsidR="00202FC2" w:rsidRPr="003C0E2F">
        <w:t>responses such as this could</w:t>
      </w:r>
      <w:r w:rsidRPr="003C0E2F">
        <w:t xml:space="preserve"> potentially affect the comparability of human and mouse </w:t>
      </w:r>
      <w:r w:rsidR="00202FC2" w:rsidRPr="003C0E2F">
        <w:rPr>
          <w:i/>
          <w:iCs/>
        </w:rPr>
        <w:t xml:space="preserve">in vivo </w:t>
      </w:r>
      <w:r w:rsidR="00202FC2" w:rsidRPr="003C0E2F">
        <w:t>models</w:t>
      </w:r>
      <w:r w:rsidRPr="003C0E2F">
        <w:t>.</w:t>
      </w:r>
    </w:p>
    <w:p w14:paraId="3DA838FD" w14:textId="0CF193BE" w:rsidR="000B48CD" w:rsidRPr="003C0E2F" w:rsidRDefault="00C47D55" w:rsidP="00C47D55">
      <w:r w:rsidRPr="003C0E2F">
        <w:lastRenderedPageBreak/>
        <w:t xml:space="preserve">While both humans and mice are known to possess TLR4, mouse TLR4 may react to ligands slightly differently than human TLR4. In this regard, </w:t>
      </w:r>
      <w:proofErr w:type="spellStart"/>
      <w:r w:rsidRPr="003C0E2F">
        <w:t>Tetracyclated</w:t>
      </w:r>
      <w:proofErr w:type="spellEnd"/>
      <w:r w:rsidRPr="003C0E2F">
        <w:t xml:space="preserve"> lipid </w:t>
      </w:r>
      <w:proofErr w:type="spellStart"/>
      <w:r w:rsidRPr="003C0E2F">
        <w:t>IVa</w:t>
      </w:r>
      <w:proofErr w:type="spellEnd"/>
      <w:r w:rsidRPr="003C0E2F">
        <w:t xml:space="preserve"> was shown act as an agonist of mouse receptor activity, while functioning as an antagonist in humans </w:t>
      </w:r>
      <w:sdt>
        <w:sdtPr>
          <w:tag w:val="MENDELEY_CITATION_v3_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"/>
          <w:id w:val="-750734108"/>
          <w:placeholder>
            <w:docPart w:val="DefaultPlaceholder_-1854013440"/>
          </w:placeholder>
        </w:sdtPr>
        <w:sdtEndPr/>
        <w:sdtContent>
          <w:r w:rsidR="00F257B9">
            <w:rPr>
              <w:rFonts w:eastAsia="Times New Roman"/>
            </w:rPr>
            <w:t>(</w:t>
          </w:r>
          <w:proofErr w:type="spellStart"/>
          <w:r w:rsidR="00F257B9">
            <w:rPr>
              <w:rFonts w:eastAsia="Times New Roman"/>
            </w:rPr>
            <w:t>Ohto</w:t>
          </w:r>
          <w:proofErr w:type="spellEnd"/>
          <w:r w:rsidR="00F257B9">
            <w:rPr>
              <w:rFonts w:eastAsia="Times New Roman"/>
            </w:rPr>
            <w:t xml:space="preserve"> </w:t>
          </w:r>
          <w:r w:rsidR="00F257B9">
            <w:rPr>
              <w:rFonts w:eastAsia="Times New Roman"/>
              <w:i/>
              <w:iCs/>
            </w:rPr>
            <w:t>et al.</w:t>
          </w:r>
          <w:r w:rsidR="00F257B9">
            <w:rPr>
              <w:rFonts w:eastAsia="Times New Roman"/>
            </w:rPr>
            <w:t>, 2012)</w:t>
          </w:r>
        </w:sdtContent>
      </w:sdt>
      <w:r w:rsidRPr="003C0E2F">
        <w:t>.</w:t>
      </w:r>
      <w:r w:rsidR="0056695B" w:rsidRPr="003C0E2F">
        <w:t xml:space="preserve"> </w:t>
      </w:r>
      <w:bookmarkStart w:id="36" w:name="_Hlk82332319"/>
      <w:r w:rsidR="0056695B" w:rsidRPr="003C0E2F">
        <w:t xml:space="preserve">The MD-2 co-receptor is attached to TLR4 and facilitates ligand interaction through binding of acyl chains from Lipid A into a hydrophobic pocket on the co-receptor, alongside interactions with a second patch on the second recruited TLR4 receptor </w:t>
      </w:r>
      <w:sdt>
        <w:sdtPr>
          <w:tag w:val="MENDELEY_CITATION_v3_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"/>
          <w:id w:val="951046949"/>
          <w:placeholder>
            <w:docPart w:val="D487B2F0A99246E3B3ADFF6226B19F54"/>
          </w:placeholder>
        </w:sdtPr>
        <w:sdtEndPr/>
        <w:sdtContent>
          <w:r w:rsidR="00F257B9">
            <w:rPr>
              <w:rFonts w:eastAsia="Times New Roman"/>
            </w:rPr>
            <w:t xml:space="preserve">(Park </w:t>
          </w:r>
          <w:r w:rsidR="00F257B9">
            <w:rPr>
              <w:rFonts w:eastAsia="Times New Roman"/>
              <w:i/>
              <w:iCs/>
            </w:rPr>
            <w:t>et al.</w:t>
          </w:r>
          <w:r w:rsidR="00F257B9">
            <w:rPr>
              <w:rFonts w:eastAsia="Times New Roman"/>
            </w:rPr>
            <w:t>, 2009)</w:t>
          </w:r>
        </w:sdtContent>
      </w:sdt>
      <w:r w:rsidR="0056695B" w:rsidRPr="003C0E2F">
        <w:t xml:space="preserve">Antagonism may occur by binding of mimetic molecules to the hydrophobic pocket of MD-2, which are fully accommodated in the hydrophobic pocket, preventing subsequent binding by LPS. </w:t>
      </w:r>
      <w:r w:rsidRPr="003C0E2F">
        <w:t xml:space="preserve">It has been suggested that short chain lipid A molecules exhibit antagonistic </w:t>
      </w:r>
      <w:r w:rsidR="008F561F" w:rsidRPr="003C0E2F">
        <w:t>effect</w:t>
      </w:r>
      <w:r w:rsidRPr="003C0E2F">
        <w:t xml:space="preserve">s in mice, whereas long chains are more </w:t>
      </w:r>
      <w:r w:rsidR="008F561F" w:rsidRPr="003C0E2F">
        <w:t>effect</w:t>
      </w:r>
      <w:r w:rsidRPr="003C0E2F">
        <w:t xml:space="preserve">ive in human models. This may be due to differences in the MD-2 receptor between species </w:t>
      </w:r>
      <w:bookmarkStart w:id="37" w:name="_Hlk82873527"/>
      <w:sdt>
        <w:sdtPr>
          <w:tag w:val="MENDELEY_CITATION_v3_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"/>
          <w:id w:val="1293086323"/>
          <w:placeholder>
            <w:docPart w:val="DefaultPlaceholder_-1854013440"/>
          </w:placeholder>
        </w:sdtPr>
        <w:sdtEndPr/>
        <w:sdtContent>
          <w:r w:rsidR="00F257B9">
            <w:rPr>
              <w:rFonts w:eastAsia="Times New Roman"/>
            </w:rPr>
            <w:t>(</w:t>
          </w:r>
          <w:proofErr w:type="spellStart"/>
          <w:r w:rsidR="00F257B9">
            <w:rPr>
              <w:rFonts w:eastAsia="Times New Roman"/>
            </w:rPr>
            <w:t>Chebrolu</w:t>
          </w:r>
          <w:proofErr w:type="spellEnd"/>
          <w:r w:rsidR="00F257B9">
            <w:rPr>
              <w:rFonts w:eastAsia="Times New Roman"/>
            </w:rPr>
            <w:t xml:space="preserve"> </w:t>
          </w:r>
          <w:r w:rsidR="00F257B9">
            <w:rPr>
              <w:rFonts w:eastAsia="Times New Roman"/>
              <w:i/>
              <w:iCs/>
            </w:rPr>
            <w:t>et al.</w:t>
          </w:r>
          <w:r w:rsidR="00F257B9">
            <w:rPr>
              <w:rFonts w:eastAsia="Times New Roman"/>
            </w:rPr>
            <w:t>, 2015)</w:t>
          </w:r>
        </w:sdtContent>
      </w:sdt>
      <w:r w:rsidRPr="003C0E2F">
        <w:t>.</w:t>
      </w:r>
      <w:bookmarkStart w:id="38" w:name="_Hlk82331623"/>
      <w:bookmarkEnd w:id="37"/>
      <w:r w:rsidR="00BF4D58" w:rsidRPr="003C0E2F">
        <w:t xml:space="preserve"> The means of antagonist action by these molecules is thought to be one of competitive exclusion, thus a reduction in binding efficiency caused by structural differences of MD-2 could result in the lower </w:t>
      </w:r>
      <w:bookmarkEnd w:id="38"/>
      <w:r w:rsidR="00BF4D58" w:rsidRPr="003C0E2F">
        <w:t>antagonistic potential.</w:t>
      </w:r>
      <w:r w:rsidR="009736F9" w:rsidRPr="003C0E2F">
        <w:t xml:space="preserve"> </w:t>
      </w:r>
      <w:bookmarkEnd w:id="36"/>
      <w:r w:rsidRPr="003C0E2F">
        <w:t xml:space="preserve">It is therefore important to investigate the activity of TLR4 modulators in both humans and mouse model systems. The verification of findings in mouse cells, as well as human cell lines will help to inform future </w:t>
      </w:r>
      <w:r w:rsidRPr="003C0E2F">
        <w:rPr>
          <w:i/>
          <w:iCs/>
        </w:rPr>
        <w:t xml:space="preserve">in vivo </w:t>
      </w:r>
      <w:r w:rsidRPr="003C0E2F">
        <w:t>studies.</w:t>
      </w:r>
      <w:r w:rsidR="000B48CD" w:rsidRPr="003C0E2F">
        <w:br w:type="page"/>
      </w:r>
    </w:p>
    <w:p w14:paraId="44A5FAFC" w14:textId="4B24206B" w:rsidR="006F5048" w:rsidRPr="003C0E2F" w:rsidRDefault="000A1BFB" w:rsidP="00BE5236">
      <w:pPr>
        <w:pStyle w:val="Heading2"/>
      </w:pPr>
      <w:bookmarkStart w:id="39" w:name="_Toc80013721"/>
      <w:bookmarkStart w:id="40" w:name="_Toc82882341"/>
      <w:r w:rsidRPr="003C0E2F">
        <w:lastRenderedPageBreak/>
        <w:t>Toll-</w:t>
      </w:r>
      <w:r w:rsidR="005E3B51" w:rsidRPr="003C0E2F">
        <w:t>l</w:t>
      </w:r>
      <w:r w:rsidRPr="003C0E2F">
        <w:t>ike</w:t>
      </w:r>
      <w:r w:rsidR="00F64F9A" w:rsidRPr="003C0E2F">
        <w:t xml:space="preserve"> </w:t>
      </w:r>
      <w:r w:rsidR="005E3B51" w:rsidRPr="003C0E2F">
        <w:t>r</w:t>
      </w:r>
      <w:r w:rsidR="00F64F9A" w:rsidRPr="003C0E2F">
        <w:t>eceptor 4</w:t>
      </w:r>
      <w:bookmarkEnd w:id="39"/>
      <w:bookmarkEnd w:id="40"/>
      <w:r w:rsidR="006F5048" w:rsidRPr="003C0E2F">
        <w:t xml:space="preserve"> </w:t>
      </w:r>
    </w:p>
    <w:p w14:paraId="608D1488" w14:textId="554D9930" w:rsidR="00C47D55" w:rsidRPr="003C0E2F" w:rsidRDefault="000A1BFB" w:rsidP="00C47D55">
      <w:r w:rsidRPr="003C0E2F">
        <w:t>Toll-Like</w:t>
      </w:r>
      <w:r w:rsidR="00C47D55" w:rsidRPr="003C0E2F">
        <w:t xml:space="preserve"> receptor 4 (TLR4) is expressed in both hematopoietic and non-hematopoietic cells within the body</w:t>
      </w:r>
      <w:r w:rsidR="007222EB" w:rsidRPr="003C0E2F">
        <w:t>.</w:t>
      </w:r>
      <w:r w:rsidR="00C47D55" w:rsidRPr="003C0E2F">
        <w:t xml:space="preserve"> Deletion of TLR4 in mice is associated with a subsequent lack of LPS response and </w:t>
      </w:r>
      <w:r w:rsidR="007222EB" w:rsidRPr="003C0E2F">
        <w:t xml:space="preserve">increased </w:t>
      </w:r>
      <w:r w:rsidR="00C47D55" w:rsidRPr="003C0E2F">
        <w:t>susceptibility to g</w:t>
      </w:r>
      <w:r w:rsidR="00654A0D" w:rsidRPr="003C0E2F">
        <w:t>ram-negative</w:t>
      </w:r>
      <w:r w:rsidR="00C47D55" w:rsidRPr="003C0E2F">
        <w:t xml:space="preserve"> infection</w:t>
      </w:r>
      <w:r w:rsidR="00196928" w:rsidRPr="003C0E2F">
        <w:t xml:space="preserve"> </w:t>
      </w:r>
      <w:sdt>
        <w:sdtPr>
          <w:tag w:val="MENDELEY_CITATION_v3_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"/>
          <w:id w:val="-1625537599"/>
          <w:placeholder>
            <w:docPart w:val="DefaultPlaceholder_-1854013440"/>
          </w:placeholder>
        </w:sdtPr>
        <w:sdtEndPr/>
        <w:sdtContent>
          <w:r w:rsidR="00F257B9">
            <w:rPr>
              <w:rFonts w:eastAsia="Times New Roman"/>
            </w:rPr>
            <w:t>(</w:t>
          </w:r>
          <w:proofErr w:type="spellStart"/>
          <w:r w:rsidR="00F257B9">
            <w:rPr>
              <w:rFonts w:eastAsia="Times New Roman"/>
            </w:rPr>
            <w:t>Poltorak</w:t>
          </w:r>
          <w:proofErr w:type="spellEnd"/>
          <w:r w:rsidR="00F257B9">
            <w:rPr>
              <w:rFonts w:eastAsia="Times New Roman"/>
            </w:rPr>
            <w:t xml:space="preserve"> </w:t>
          </w:r>
          <w:r w:rsidR="00F257B9">
            <w:rPr>
              <w:rFonts w:eastAsia="Times New Roman"/>
              <w:i/>
              <w:iCs/>
            </w:rPr>
            <w:t>et al.</w:t>
          </w:r>
          <w:r w:rsidR="00F257B9">
            <w:rPr>
              <w:rFonts w:eastAsia="Times New Roman"/>
            </w:rPr>
            <w:t>, 1998)</w:t>
          </w:r>
        </w:sdtContent>
      </w:sdt>
      <w:r w:rsidR="00C47D55" w:rsidRPr="003C0E2F">
        <w:t xml:space="preserve">. </w:t>
      </w:r>
      <w:r w:rsidR="007222EB" w:rsidRPr="003C0E2F">
        <w:t>TLR4 is therefore known as the receptor for gram-negative bacteria through this capacity to bind to and initiate an inflammatory response in the presence of gram-negative associated LPS.</w:t>
      </w:r>
    </w:p>
    <w:p w14:paraId="1F59932E" w14:textId="2F385BD5" w:rsidR="00C47D55" w:rsidRPr="003C0E2F" w:rsidRDefault="00C47D55" w:rsidP="00C47D55">
      <w:r w:rsidRPr="003C0E2F">
        <w:t xml:space="preserve">TLR4 does not recognise the presence of LPS directly. Instead, the ligand is delivered by CD14 and LBP to the hydrophobic pocket of the MD-2 co-receptor (Figure </w:t>
      </w:r>
      <w:r w:rsidR="002D3955" w:rsidRPr="003C0E2F">
        <w:t>3</w:t>
      </w:r>
      <w:r w:rsidRPr="003C0E2F">
        <w:t>)</w:t>
      </w:r>
      <w:r w:rsidR="00196928" w:rsidRPr="003C0E2F">
        <w:t xml:space="preserve"> </w:t>
      </w:r>
      <w:sdt>
        <w:sdtPr>
          <w:rPr>
            <w:color w:val="000000"/>
          </w:rPr>
          <w:tag w:val="MENDELEY_CITATION_v3_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"/>
          <w:id w:val="678784484"/>
          <w:placeholder>
            <w:docPart w:val="DefaultPlaceholder_-1854013440"/>
          </w:placeholder>
        </w:sdtPr>
        <w:sdtEndPr/>
        <w:sdtContent>
          <w:r w:rsidR="00F257B9" w:rsidRPr="00F257B9">
            <w:rPr>
              <w:color w:val="000000"/>
            </w:rPr>
            <w:t>(</w:t>
          </w:r>
          <w:proofErr w:type="spellStart"/>
          <w:r w:rsidR="00F257B9" w:rsidRPr="00F257B9">
            <w:rPr>
              <w:color w:val="000000"/>
            </w:rPr>
            <w:t>Oblak</w:t>
          </w:r>
          <w:proofErr w:type="spellEnd"/>
          <w:r w:rsidR="00F257B9" w:rsidRPr="00F257B9">
            <w:rPr>
              <w:color w:val="000000"/>
            </w:rPr>
            <w:t xml:space="preserve"> and </w:t>
          </w:r>
          <w:proofErr w:type="spellStart"/>
          <w:r w:rsidR="00F257B9" w:rsidRPr="00F257B9">
            <w:rPr>
              <w:color w:val="000000"/>
            </w:rPr>
            <w:t>Jerala</w:t>
          </w:r>
          <w:proofErr w:type="spellEnd"/>
          <w:r w:rsidR="00F257B9" w:rsidRPr="00F257B9">
            <w:rPr>
              <w:color w:val="000000"/>
            </w:rPr>
            <w:t>, 2015)</w:t>
          </w:r>
        </w:sdtContent>
      </w:sdt>
      <w:r w:rsidRPr="003C0E2F">
        <w:t>.</w:t>
      </w:r>
      <w:r w:rsidR="008F3D73" w:rsidRPr="003C0E2F">
        <w:t xml:space="preserve"> </w:t>
      </w:r>
      <w:bookmarkStart w:id="41" w:name="_Hlk82025367"/>
      <w:r w:rsidR="00B76A1D" w:rsidRPr="003C0E2F">
        <w:t xml:space="preserve">Agonistic activity is driven by accommodation of acyl chains within the hydrophobic pocket of MD-2 </w:t>
      </w:r>
      <w:r w:rsidR="006C3CC0" w:rsidRPr="003C0E2F">
        <w:t>alongside an</w:t>
      </w:r>
      <w:r w:rsidR="00B76A1D" w:rsidRPr="003C0E2F">
        <w:t xml:space="preserve"> additional chain outside of this pocket</w:t>
      </w:r>
      <w:r w:rsidR="006C3CC0" w:rsidRPr="003C0E2F">
        <w:t xml:space="preserve"> which</w:t>
      </w:r>
      <w:r w:rsidR="00B76A1D" w:rsidRPr="003C0E2F">
        <w:t xml:space="preserve"> interacts with a hydrophobic region on the surface of a second recruited TLR4, serving to stabilise the receptor complex </w:t>
      </w:r>
      <w:sdt>
        <w:sdtPr>
          <w:rPr>
            <w:color w:val="000000"/>
          </w:rPr>
          <w:tag w:val="MENDELEY_CITATION_v3_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"/>
          <w:id w:val="1933781130"/>
          <w:placeholder>
            <w:docPart w:val="2ED880863FAA4F68824551E95F9DA2AB"/>
          </w:placeholder>
        </w:sdtPr>
        <w:sdtEndPr/>
        <w:sdtContent>
          <w:r w:rsidR="00F257B9" w:rsidRPr="00F257B9">
            <w:rPr>
              <w:color w:val="000000"/>
            </w:rPr>
            <w:t>(</w:t>
          </w:r>
          <w:proofErr w:type="spellStart"/>
          <w:r w:rsidR="00F257B9" w:rsidRPr="00F257B9">
            <w:rPr>
              <w:color w:val="000000"/>
            </w:rPr>
            <w:t>Oblak</w:t>
          </w:r>
          <w:proofErr w:type="spellEnd"/>
          <w:r w:rsidR="00F257B9" w:rsidRPr="00F257B9">
            <w:rPr>
              <w:color w:val="000000"/>
            </w:rPr>
            <w:t xml:space="preserve"> and </w:t>
          </w:r>
          <w:proofErr w:type="spellStart"/>
          <w:r w:rsidR="00F257B9" w:rsidRPr="00F257B9">
            <w:rPr>
              <w:color w:val="000000"/>
            </w:rPr>
            <w:t>Jerala</w:t>
          </w:r>
          <w:proofErr w:type="spellEnd"/>
          <w:r w:rsidR="00F257B9" w:rsidRPr="00F257B9">
            <w:rPr>
              <w:color w:val="000000"/>
            </w:rPr>
            <w:t>, 2015)</w:t>
          </w:r>
        </w:sdtContent>
      </w:sdt>
      <w:r w:rsidR="00B76A1D" w:rsidRPr="003C0E2F">
        <w:t xml:space="preserve"> </w:t>
      </w:r>
      <w:r w:rsidRPr="003C0E2F">
        <w:t xml:space="preserve">This </w:t>
      </w:r>
      <w:bookmarkEnd w:id="41"/>
      <w:r w:rsidRPr="003C0E2F">
        <w:t xml:space="preserve">triggers a conformational change which initiates </w:t>
      </w:r>
      <w:proofErr w:type="spellStart"/>
      <w:r w:rsidRPr="003C0E2F">
        <w:t>homodimeri</w:t>
      </w:r>
      <w:r w:rsidR="00654A0D" w:rsidRPr="003C0E2F">
        <w:t>sation</w:t>
      </w:r>
      <w:proofErr w:type="spellEnd"/>
      <w:r w:rsidRPr="003C0E2F">
        <w:t xml:space="preserve"> of the receptor complex. Intracellular signalling is then initialised by the adaptor proteins </w:t>
      </w:r>
      <w:r w:rsidR="00932BC2" w:rsidRPr="003C0E2F">
        <w:t>MyD88</w:t>
      </w:r>
      <w:r w:rsidRPr="003C0E2F">
        <w:t xml:space="preserve"> and M</w:t>
      </w:r>
      <w:r w:rsidR="00F37DA5" w:rsidRPr="003C0E2F">
        <w:t>al</w:t>
      </w:r>
      <w:r w:rsidRPr="003C0E2F">
        <w:t xml:space="preserve"> or TRIF and TRAM which initiate activation of two separate pathways </w:t>
      </w:r>
      <w:sdt>
        <w:sdtPr>
          <w:rPr>
            <w:color w:val="000000"/>
          </w:rPr>
          <w:tag w:val="MENDELEY_CITATION_v3_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"/>
          <w:id w:val="1130206580"/>
          <w:placeholder>
            <w:docPart w:val="DefaultPlaceholder_-1854013440"/>
          </w:placeholder>
        </w:sdtPr>
        <w:sdtEndPr/>
        <w:sdtContent>
          <w:r w:rsidR="00F257B9" w:rsidRPr="00F257B9">
            <w:rPr>
              <w:color w:val="000000"/>
            </w:rPr>
            <w:t>(Kenny and O’Neill, 2008)</w:t>
          </w:r>
        </w:sdtContent>
      </w:sdt>
      <w:r w:rsidRPr="003C0E2F">
        <w:t xml:space="preserve">. These result in downstream phosphorylation and activation </w:t>
      </w:r>
      <w:r w:rsidR="00623C8F" w:rsidRPr="003C0E2F">
        <w:t>of signalling mediators</w:t>
      </w:r>
      <w:r w:rsidRPr="003C0E2F">
        <w:t>, NF-</w:t>
      </w:r>
      <w:proofErr w:type="spellStart"/>
      <w:r w:rsidRPr="003C0E2F">
        <w:t>κB</w:t>
      </w:r>
      <w:proofErr w:type="spellEnd"/>
      <w:r w:rsidRPr="003C0E2F">
        <w:t xml:space="preserve"> and MAPKs, and subsequent production of proinflammatory proteins.</w:t>
      </w:r>
    </w:p>
    <w:p w14:paraId="4A700328" w14:textId="0EE43E9F" w:rsidR="00C47D55" w:rsidRPr="003C0E2F" w:rsidRDefault="00C47D55" w:rsidP="00C47D55">
      <w:r w:rsidRPr="003C0E2F">
        <w:t xml:space="preserve">Following recognition of ligands, </w:t>
      </w:r>
      <w:proofErr w:type="spellStart"/>
      <w:r w:rsidRPr="003C0E2F">
        <w:t>dimeri</w:t>
      </w:r>
      <w:r w:rsidR="00654A0D" w:rsidRPr="003C0E2F">
        <w:t>sation</w:t>
      </w:r>
      <w:proofErr w:type="spellEnd"/>
      <w:r w:rsidRPr="003C0E2F">
        <w:t xml:space="preserve"> of TLR4 ectodomain occurs. Subsequent </w:t>
      </w:r>
      <w:proofErr w:type="spellStart"/>
      <w:r w:rsidRPr="003C0E2F">
        <w:t>dimeri</w:t>
      </w:r>
      <w:r w:rsidR="00654A0D" w:rsidRPr="003C0E2F">
        <w:t>sation</w:t>
      </w:r>
      <w:proofErr w:type="spellEnd"/>
      <w:r w:rsidRPr="003C0E2F">
        <w:t xml:space="preserve"> of intracellular signalling domains occurs and initiates recruitment of </w:t>
      </w:r>
      <w:r w:rsidR="00932BC2" w:rsidRPr="003C0E2F">
        <w:t>MyD88</w:t>
      </w:r>
      <w:r w:rsidRPr="003C0E2F">
        <w:t xml:space="preserve"> or TRIF, facilitated by bridging adaptors M</w:t>
      </w:r>
      <w:r w:rsidR="00F37DA5" w:rsidRPr="003C0E2F">
        <w:t>al</w:t>
      </w:r>
      <w:r w:rsidRPr="003C0E2F">
        <w:t xml:space="preserve"> and TRAM. This initiates a signalling cascade that results in the release of </w:t>
      </w:r>
      <w:r w:rsidR="001A0D81" w:rsidRPr="003C0E2F">
        <w:t>NF-</w:t>
      </w:r>
      <w:proofErr w:type="spellStart"/>
      <w:r w:rsidR="001A0D81" w:rsidRPr="003C0E2F">
        <w:t>κB</w:t>
      </w:r>
      <w:proofErr w:type="spellEnd"/>
      <w:r w:rsidRPr="003C0E2F">
        <w:t xml:space="preserve"> and MAPKs; JNK (c-JUN N-terminal kinase), ERK (extracellular signal-regulated kinase) and </w:t>
      </w:r>
      <w:r w:rsidR="00274B79" w:rsidRPr="003C0E2F">
        <w:t>P38</w:t>
      </w:r>
      <w:r w:rsidRPr="003C0E2F">
        <w:t>. This causes subsequent production of proinflammatory proteins or interferons.</w:t>
      </w:r>
      <w:r w:rsidRPr="003C0E2F">
        <w:tab/>
      </w:r>
    </w:p>
    <w:p w14:paraId="44509646" w14:textId="51669542" w:rsidR="00CD2586" w:rsidRPr="003C0E2F" w:rsidRDefault="00C47D55" w:rsidP="00C47D55">
      <w:r w:rsidRPr="003C0E2F">
        <w:t>TLR4 has been associated with a wide variety of inflammatory based diseases including</w:t>
      </w:r>
      <w:r w:rsidR="002F570D" w:rsidRPr="003C0E2F">
        <w:t xml:space="preserve"> sepsis</w:t>
      </w:r>
      <w:r w:rsidR="00CD2586" w:rsidRPr="003C0E2F">
        <w:t xml:space="preserve">. TLR4 response to LPS has also been associated with conditions such as sepsis, where aberrant activation of the receptor results in a sustained inflammatory state that is damaging and potentially life-threatening </w:t>
      </w:r>
      <w:sdt>
        <w:sdtPr>
          <w:tag w:val="MENDELEY_CITATION_v3_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"/>
          <w:id w:val="329637297"/>
          <w:placeholder>
            <w:docPart w:val="73974FE3C15E4A58BFA2FF3CA3786AF4"/>
          </w:placeholder>
        </w:sdtPr>
        <w:sdtEndPr/>
        <w:sdtContent>
          <w:r w:rsidR="00F257B9">
            <w:rPr>
              <w:rFonts w:eastAsia="Times New Roman"/>
            </w:rPr>
            <w:t>(</w:t>
          </w:r>
          <w:proofErr w:type="spellStart"/>
          <w:r w:rsidR="00F257B9">
            <w:rPr>
              <w:rFonts w:eastAsia="Times New Roman"/>
            </w:rPr>
            <w:t>Kuzmich</w:t>
          </w:r>
          <w:proofErr w:type="spellEnd"/>
          <w:r w:rsidR="00F257B9">
            <w:rPr>
              <w:rFonts w:eastAsia="Times New Roman"/>
            </w:rPr>
            <w:t xml:space="preserve"> </w:t>
          </w:r>
          <w:r w:rsidR="00F257B9">
            <w:rPr>
              <w:rFonts w:eastAsia="Times New Roman"/>
              <w:i/>
              <w:iCs/>
            </w:rPr>
            <w:t>et al.</w:t>
          </w:r>
          <w:r w:rsidR="00F257B9">
            <w:rPr>
              <w:rFonts w:eastAsia="Times New Roman"/>
            </w:rPr>
            <w:t>, 2017)</w:t>
          </w:r>
        </w:sdtContent>
      </w:sdt>
      <w:r w:rsidR="00CD2586" w:rsidRPr="003C0E2F">
        <w:t xml:space="preserve">. This contributed to around 11 million deaths worldwide in 2017, </w:t>
      </w:r>
      <w:r w:rsidR="00CD2586" w:rsidRPr="003C0E2F">
        <w:lastRenderedPageBreak/>
        <w:t xml:space="preserve">though survival rates have improved over the last three decades </w:t>
      </w:r>
      <w:sdt>
        <w:sdtPr>
          <w:tag w:val="MENDELEY_CITATION_v3_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"/>
          <w:id w:val="1174997430"/>
          <w:placeholder>
            <w:docPart w:val="73974FE3C15E4A58BFA2FF3CA3786AF4"/>
          </w:placeholder>
        </w:sdtPr>
        <w:sdtEndPr/>
        <w:sdtContent>
          <w:r w:rsidR="00F257B9">
            <w:rPr>
              <w:rFonts w:eastAsia="Times New Roman"/>
            </w:rPr>
            <w:t xml:space="preserve">(Rudd </w:t>
          </w:r>
          <w:r w:rsidR="00F257B9">
            <w:rPr>
              <w:rFonts w:eastAsia="Times New Roman"/>
              <w:i/>
              <w:iCs/>
            </w:rPr>
            <w:t>et al.</w:t>
          </w:r>
          <w:r w:rsidR="00F257B9">
            <w:rPr>
              <w:rFonts w:eastAsia="Times New Roman"/>
            </w:rPr>
            <w:t>, 2020)</w:t>
          </w:r>
        </w:sdtContent>
      </w:sdt>
      <w:r w:rsidR="00CD2586" w:rsidRPr="003C0E2F">
        <w:t>. However, sepsis can also have long lasting after</w:t>
      </w:r>
      <w:r w:rsidR="008F561F" w:rsidRPr="003C0E2F">
        <w:t>effect</w:t>
      </w:r>
      <w:r w:rsidR="00CD2586" w:rsidRPr="003C0E2F">
        <w:t xml:space="preserve">s and may contribute to impaired immune functionality in survivors </w:t>
      </w:r>
      <w:sdt>
        <w:sdtPr>
          <w:tag w:val="MENDELEY_CITATION_v3_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"/>
          <w:id w:val="-1900892993"/>
          <w:placeholder>
            <w:docPart w:val="73974FE3C15E4A58BFA2FF3CA3786AF4"/>
          </w:placeholder>
        </w:sdtPr>
        <w:sdtEndPr/>
        <w:sdtContent>
          <w:r w:rsidR="00F257B9">
            <w:rPr>
              <w:rFonts w:eastAsia="Times New Roman"/>
            </w:rPr>
            <w:t>(</w:t>
          </w:r>
          <w:proofErr w:type="spellStart"/>
          <w:r w:rsidR="00F257B9">
            <w:rPr>
              <w:rFonts w:eastAsia="Times New Roman"/>
            </w:rPr>
            <w:t>Ammer-Herrmenau</w:t>
          </w:r>
          <w:proofErr w:type="spellEnd"/>
          <w:r w:rsidR="00F257B9">
            <w:rPr>
              <w:rFonts w:eastAsia="Times New Roman"/>
            </w:rPr>
            <w:t xml:space="preserve"> </w:t>
          </w:r>
          <w:r w:rsidR="00F257B9">
            <w:rPr>
              <w:rFonts w:eastAsia="Times New Roman"/>
              <w:i/>
              <w:iCs/>
            </w:rPr>
            <w:t>et al.</w:t>
          </w:r>
          <w:r w:rsidR="00F257B9">
            <w:rPr>
              <w:rFonts w:eastAsia="Times New Roman"/>
            </w:rPr>
            <w:t>, 2019)</w:t>
          </w:r>
        </w:sdtContent>
      </w:sdt>
      <w:r w:rsidR="00CD2586" w:rsidRPr="003C0E2F">
        <w:t xml:space="preserve">. Further to this, </w:t>
      </w:r>
      <w:r w:rsidRPr="003C0E2F">
        <w:t>cardiovascular and neurodegenerative diseases</w:t>
      </w:r>
      <w:r w:rsidR="00CD2586" w:rsidRPr="003C0E2F">
        <w:t xml:space="preserve"> have been associated with TLR4 </w:t>
      </w:r>
      <w:r w:rsidR="00B87581" w:rsidRPr="003C0E2F">
        <w:t>activation,</w:t>
      </w:r>
      <w:r w:rsidR="00CD2586" w:rsidRPr="003C0E2F">
        <w:t xml:space="preserve"> but the involvement may not be linked to canonical activation of the receptor by LPS</w:t>
      </w:r>
      <w:r w:rsidR="00196928" w:rsidRPr="003C0E2F">
        <w:t xml:space="preserve"> </w:t>
      </w:r>
      <w:sdt>
        <w:sdtPr>
          <w:tag w:val="MENDELEY_CITATION_v3_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"/>
          <w:id w:val="-480317925"/>
          <w:placeholder>
            <w:docPart w:val="DefaultPlaceholder_-1854013440"/>
          </w:placeholder>
        </w:sdtPr>
        <w:sdtEndPr/>
        <w:sdtContent>
          <w:r w:rsidR="00F257B9">
            <w:rPr>
              <w:rFonts w:eastAsia="Times New Roman"/>
            </w:rPr>
            <w:t>(</w:t>
          </w:r>
          <w:proofErr w:type="spellStart"/>
          <w:r w:rsidR="00F257B9">
            <w:rPr>
              <w:rFonts w:eastAsia="Times New Roman"/>
            </w:rPr>
            <w:t>Higashimori</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2011; </w:t>
          </w:r>
          <w:proofErr w:type="spellStart"/>
          <w:r w:rsidR="00F257B9">
            <w:rPr>
              <w:rFonts w:eastAsia="Times New Roman"/>
            </w:rPr>
            <w:t>Hernanz</w:t>
          </w:r>
          <w:proofErr w:type="spellEnd"/>
          <w:r w:rsidR="00F257B9">
            <w:rPr>
              <w:rFonts w:eastAsia="Times New Roman"/>
            </w:rPr>
            <w:t xml:space="preserve"> </w:t>
          </w:r>
          <w:r w:rsidR="00F257B9">
            <w:rPr>
              <w:rFonts w:eastAsia="Times New Roman"/>
              <w:i/>
              <w:iCs/>
            </w:rPr>
            <w:t>et al.</w:t>
          </w:r>
          <w:r w:rsidR="00F257B9">
            <w:rPr>
              <w:rFonts w:eastAsia="Times New Roman"/>
            </w:rPr>
            <w:t>, 2015)</w:t>
          </w:r>
        </w:sdtContent>
      </w:sdt>
      <w:r w:rsidRPr="003C0E2F">
        <w:t>.</w:t>
      </w:r>
      <w:r w:rsidR="007222EB" w:rsidRPr="003C0E2F">
        <w:t xml:space="preserve"> </w:t>
      </w:r>
      <w:r w:rsidR="00CD2586" w:rsidRPr="003C0E2F">
        <w:t>There is therefore a need to modulate TLR4 in specific conditions.</w:t>
      </w:r>
    </w:p>
    <w:p w14:paraId="49A001C7" w14:textId="3EB66E94" w:rsidR="00C47D55" w:rsidRPr="003C0E2F" w:rsidRDefault="00CD2586" w:rsidP="00C47D55">
      <w:pPr>
        <w:rPr>
          <w:b/>
          <w:bCs/>
        </w:rPr>
      </w:pPr>
      <w:r w:rsidRPr="003C0E2F">
        <w:t>C</w:t>
      </w:r>
      <w:r w:rsidR="00C47D55" w:rsidRPr="003C0E2F">
        <w:t xml:space="preserve">ardiovascular disease represents a major contributor to mortality and morbidity in the developed world. </w:t>
      </w:r>
      <w:r w:rsidR="007222EB" w:rsidRPr="003C0E2F">
        <w:t xml:space="preserve">TLR4 is also known be activated by endogenous molecules such as small fragments of hyaluronan and </w:t>
      </w:r>
      <w:proofErr w:type="spellStart"/>
      <w:r w:rsidR="001A2988" w:rsidRPr="003C0E2F">
        <w:t>oxLDL</w:t>
      </w:r>
      <w:proofErr w:type="spellEnd"/>
      <w:r w:rsidR="007222EB" w:rsidRPr="003C0E2F">
        <w:t xml:space="preserve"> which are often referred to as DAMPs or ligands of sterile inflammation and may be involved in progression of cardiovascular disease </w:t>
      </w:r>
      <w:sdt>
        <w:sdtPr>
          <w:tag w:val="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"/>
          <w:id w:val="-1796289484"/>
          <w:placeholder>
            <w:docPart w:val="F8E27EF8FBB34F3E96995139F0F6B97D"/>
          </w:placeholder>
        </w:sdtPr>
        <w:sdtEndPr/>
        <w:sdtContent>
          <w:r w:rsidR="00F257B9">
            <w:rPr>
              <w:rFonts w:eastAsia="Times New Roman"/>
            </w:rPr>
            <w:t xml:space="preserve">(Xu </w:t>
          </w:r>
          <w:r w:rsidR="00F257B9">
            <w:rPr>
              <w:rFonts w:eastAsia="Times New Roman"/>
              <w:i/>
              <w:iCs/>
            </w:rPr>
            <w:t>et al.</w:t>
          </w:r>
          <w:r w:rsidR="00F257B9">
            <w:rPr>
              <w:rFonts w:eastAsia="Times New Roman"/>
            </w:rPr>
            <w:t xml:space="preserve">, 2001; Taylor </w:t>
          </w:r>
          <w:r w:rsidR="00F257B9">
            <w:rPr>
              <w:rFonts w:eastAsia="Times New Roman"/>
              <w:i/>
              <w:iCs/>
            </w:rPr>
            <w:t>et al.</w:t>
          </w:r>
          <w:r w:rsidR="00F257B9">
            <w:rPr>
              <w:rFonts w:eastAsia="Times New Roman"/>
            </w:rPr>
            <w:t>, 2004)</w:t>
          </w:r>
        </w:sdtContent>
      </w:sdt>
      <w:r w:rsidR="007222EB" w:rsidRPr="003C0E2F">
        <w:t xml:space="preserve">. </w:t>
      </w:r>
      <w:r w:rsidR="00C47D55" w:rsidRPr="003C0E2F">
        <w:t>As such, therapeutic strategies involving modulation of TLR4 response</w:t>
      </w:r>
      <w:r w:rsidR="007222EB" w:rsidRPr="003C0E2F">
        <w:t>, and more specifically TLR4 response to the presence of sterile ligands,</w:t>
      </w:r>
      <w:r w:rsidR="00C47D55" w:rsidRPr="003C0E2F">
        <w:t xml:space="preserve"> could be beneficial in treatment </w:t>
      </w:r>
      <w:r w:rsidRPr="003C0E2F">
        <w:t xml:space="preserve">in these </w:t>
      </w:r>
      <w:r w:rsidR="00C47D55" w:rsidRPr="003C0E2F">
        <w:t xml:space="preserve">conditions. </w:t>
      </w:r>
      <w:r w:rsidR="00C47D55" w:rsidRPr="003C0E2F">
        <w:rPr>
          <w:b/>
          <w:bCs/>
        </w:rPr>
        <w:br w:type="page"/>
      </w:r>
    </w:p>
    <w:p w14:paraId="3836A0D5" w14:textId="7C43305B" w:rsidR="00F64F9A" w:rsidRPr="003C0E2F" w:rsidRDefault="0006649C" w:rsidP="00D55B0E">
      <w:pPr>
        <w:pStyle w:val="Heading3"/>
      </w:pPr>
      <w:bookmarkStart w:id="42" w:name="_Toc80013722"/>
      <w:bookmarkStart w:id="43" w:name="_Toc82882342"/>
      <w:bookmarkStart w:id="44" w:name="_Hlk64284381"/>
      <w:r w:rsidRPr="003C0E2F">
        <w:lastRenderedPageBreak/>
        <w:t xml:space="preserve">The role </w:t>
      </w:r>
      <w:r w:rsidR="00F64F9A" w:rsidRPr="003C0E2F">
        <w:t>LBP</w:t>
      </w:r>
      <w:r w:rsidRPr="003C0E2F">
        <w:t>,</w:t>
      </w:r>
      <w:r w:rsidR="00F64F9A" w:rsidRPr="003C0E2F">
        <w:t xml:space="preserve"> CD14 and MD</w:t>
      </w:r>
      <w:r w:rsidR="002345B5" w:rsidRPr="003C0E2F">
        <w:t>-</w:t>
      </w:r>
      <w:r w:rsidR="00F64F9A" w:rsidRPr="003C0E2F">
        <w:t>2</w:t>
      </w:r>
      <w:r w:rsidRPr="003C0E2F">
        <w:t xml:space="preserve"> in </w:t>
      </w:r>
      <w:r w:rsidR="000A1BFB" w:rsidRPr="003C0E2F">
        <w:t>TLR4</w:t>
      </w:r>
      <w:r w:rsidRPr="003C0E2F">
        <w:t xml:space="preserve"> signalling</w:t>
      </w:r>
      <w:bookmarkEnd w:id="42"/>
      <w:bookmarkEnd w:id="43"/>
    </w:p>
    <w:p w14:paraId="365C632A" w14:textId="6FC6FA08" w:rsidR="00A60315" w:rsidRPr="003C0E2F" w:rsidRDefault="00C47D55" w:rsidP="00C47D55">
      <w:r w:rsidRPr="003C0E2F">
        <w:t>LBP and CD14 facilitate ligand recognition through binding and presenting LPS to MD-2. LBP is a long acute phase protein</w:t>
      </w:r>
      <w:r w:rsidR="00A60315" w:rsidRPr="003C0E2F">
        <w:t xml:space="preserve"> which is pr</w:t>
      </w:r>
      <w:r w:rsidRPr="003C0E2F">
        <w:t>oduced in the live</w:t>
      </w:r>
      <w:r w:rsidR="00A60315" w:rsidRPr="003C0E2F">
        <w:t>r and exists in a soluble state which</w:t>
      </w:r>
      <w:r w:rsidRPr="003C0E2F">
        <w:t xml:space="preserve"> enters the blood stream. Circulating LBP has a high affinity for LPS and will bind to </w:t>
      </w:r>
      <w:r w:rsidR="00A60315" w:rsidRPr="003C0E2F">
        <w:t>this in the bloodstream</w:t>
      </w:r>
      <w:r w:rsidR="00196928" w:rsidRPr="003C0E2F">
        <w:t xml:space="preserve"> </w:t>
      </w:r>
      <w:sdt>
        <w:sdtPr>
          <w:rPr>
            <w:color w:val="000000"/>
          </w:rPr>
          <w:tag w:val="MENDELEY_CITATION_v3_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"/>
          <w:id w:val="-1462953333"/>
          <w:placeholder>
            <w:docPart w:val="DefaultPlaceholder_-1854013440"/>
          </w:placeholder>
        </w:sdtPr>
        <w:sdtEndPr/>
        <w:sdtContent>
          <w:r w:rsidR="00F257B9" w:rsidRPr="00F257B9">
            <w:rPr>
              <w:color w:val="000000"/>
            </w:rPr>
            <w:t>(</w:t>
          </w:r>
          <w:proofErr w:type="spellStart"/>
          <w:r w:rsidR="00F257B9" w:rsidRPr="00F257B9">
            <w:rPr>
              <w:color w:val="000000"/>
            </w:rPr>
            <w:t>Palsson</w:t>
          </w:r>
          <w:proofErr w:type="spellEnd"/>
          <w:r w:rsidR="00F257B9" w:rsidRPr="00F257B9">
            <w:rPr>
              <w:color w:val="000000"/>
            </w:rPr>
            <w:t>-McDermott and O’Neill, 2004)</w:t>
          </w:r>
        </w:sdtContent>
      </w:sdt>
      <w:r w:rsidRPr="003C0E2F">
        <w:t>. LBP attaches to LPS</w:t>
      </w:r>
      <w:r w:rsidR="00A60315" w:rsidRPr="003C0E2F">
        <w:t xml:space="preserve"> and subsequently </w:t>
      </w:r>
      <w:r w:rsidRPr="003C0E2F">
        <w:t xml:space="preserve">can present </w:t>
      </w:r>
      <w:r w:rsidR="00A60315" w:rsidRPr="003C0E2F">
        <w:t xml:space="preserve">the </w:t>
      </w:r>
      <w:r w:rsidRPr="003C0E2F">
        <w:t xml:space="preserve">molecule to CD14. </w:t>
      </w:r>
    </w:p>
    <w:p w14:paraId="7E87F61B" w14:textId="050AA13D" w:rsidR="00C47D55" w:rsidRPr="003C0E2F" w:rsidRDefault="00C47D55" w:rsidP="00C47D55">
      <w:pPr>
        <w:rPr>
          <w:noProof/>
        </w:rPr>
      </w:pPr>
      <w:r w:rsidRPr="003C0E2F">
        <w:t xml:space="preserve">CD14 can </w:t>
      </w:r>
      <w:r w:rsidR="00A60315" w:rsidRPr="003C0E2F">
        <w:t>exist</w:t>
      </w:r>
      <w:r w:rsidRPr="003C0E2F">
        <w:t xml:space="preserve"> either </w:t>
      </w:r>
      <w:r w:rsidR="00A60315" w:rsidRPr="003C0E2F">
        <w:t xml:space="preserve">as a </w:t>
      </w:r>
      <w:r w:rsidRPr="003C0E2F">
        <w:t xml:space="preserve">membrane bound </w:t>
      </w:r>
      <w:r w:rsidR="00A60315" w:rsidRPr="003C0E2F">
        <w:t>protein or may be</w:t>
      </w:r>
      <w:r w:rsidRPr="003C0E2F">
        <w:t xml:space="preserve"> soluble in nature. LBP is thought to aid in the transfer of LPS to CD14 but may not always be necessary for LPS recognition</w:t>
      </w:r>
      <w:r w:rsidR="00A60315" w:rsidRPr="003C0E2F">
        <w:t xml:space="preserve">. </w:t>
      </w:r>
      <w:r w:rsidRPr="003C0E2F">
        <w:t>CD14/LPS complex formation</w:t>
      </w:r>
      <w:r w:rsidR="00A60315" w:rsidRPr="003C0E2F">
        <w:t xml:space="preserve"> has also been reported to</w:t>
      </w:r>
      <w:r w:rsidRPr="003C0E2F">
        <w:t xml:space="preserve"> occur in the absence of LBP </w:t>
      </w:r>
      <w:sdt>
        <w:sdtPr>
          <w:tag w:val="MENDELEY_CITATION_v3_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"/>
          <w:id w:val="-1482621518"/>
          <w:placeholder>
            <w:docPart w:val="DefaultPlaceholder_-1854013440"/>
          </w:placeholder>
        </w:sdtPr>
        <w:sdtEndPr/>
        <w:sdtContent>
          <w:r w:rsidR="00F257B9">
            <w:rPr>
              <w:rFonts w:eastAsia="Times New Roman"/>
            </w:rPr>
            <w:t>(</w:t>
          </w:r>
          <w:proofErr w:type="spellStart"/>
          <w:r w:rsidR="00F257B9">
            <w:rPr>
              <w:rFonts w:eastAsia="Times New Roman"/>
            </w:rPr>
            <w:t>Hailman</w:t>
          </w:r>
          <w:proofErr w:type="spellEnd"/>
          <w:r w:rsidR="00F257B9">
            <w:rPr>
              <w:rFonts w:eastAsia="Times New Roman"/>
            </w:rPr>
            <w:t xml:space="preserve"> </w:t>
          </w:r>
          <w:r w:rsidR="00F257B9">
            <w:rPr>
              <w:rFonts w:eastAsia="Times New Roman"/>
              <w:i/>
              <w:iCs/>
            </w:rPr>
            <w:t>et al.</w:t>
          </w:r>
          <w:r w:rsidR="00F257B9">
            <w:rPr>
              <w:rFonts w:eastAsia="Times New Roman"/>
            </w:rPr>
            <w:t>, 1994)</w:t>
          </w:r>
        </w:sdtContent>
      </w:sdt>
      <w:r w:rsidRPr="003C0E2F">
        <w:t>. Where LBP does facilitate LPS binding, the acute phase protein interacts with the inner curve of CD14, forming a complex to deliver LPS. This interaction only occurs when LBP is bound to LPS and not between L</w:t>
      </w:r>
      <w:r w:rsidR="00A60315" w:rsidRPr="003C0E2F">
        <w:t>BP</w:t>
      </w:r>
      <w:r w:rsidRPr="003C0E2F">
        <w:t xml:space="preserve"> and CD14 alone </w:t>
      </w:r>
      <w:sdt>
        <w:sdtPr>
          <w:rPr>
            <w:color w:val="000000"/>
          </w:rPr>
          <w:tag w:val="MENDELEY_CITATION_v3_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"/>
          <w:id w:val="788554021"/>
          <w:placeholder>
            <w:docPart w:val="DefaultPlaceholder_-1854013440"/>
          </w:placeholder>
        </w:sdtPr>
        <w:sdtEndPr/>
        <w:sdtContent>
          <w:r w:rsidR="00F257B9" w:rsidRPr="00F257B9">
            <w:rPr>
              <w:color w:val="000000"/>
            </w:rPr>
            <w:t>(Kim and Kim, 2017)</w:t>
          </w:r>
        </w:sdtContent>
      </w:sdt>
      <w:r w:rsidR="00A60315" w:rsidRPr="003C0E2F">
        <w:t xml:space="preserve">. </w:t>
      </w:r>
      <w:bookmarkStart w:id="45" w:name="_Hlk82341074"/>
      <w:r w:rsidRPr="003C0E2F">
        <w:t xml:space="preserve">Following </w:t>
      </w:r>
      <w:r w:rsidR="00A60315" w:rsidRPr="003C0E2F">
        <w:t>the interaction resulting in</w:t>
      </w:r>
      <w:r w:rsidRPr="003C0E2F">
        <w:t xml:space="preserve"> LPS/LBP/CD14 complex formation, LPS is transferred to CD14 through </w:t>
      </w:r>
      <w:r w:rsidR="00A60315" w:rsidRPr="003C0E2F">
        <w:t xml:space="preserve">a series of </w:t>
      </w:r>
      <w:r w:rsidRPr="003C0E2F">
        <w:t>brief</w:t>
      </w:r>
      <w:r w:rsidR="00D57AB4" w:rsidRPr="003C0E2F">
        <w:t xml:space="preserve"> electrostatic</w:t>
      </w:r>
      <w:r w:rsidRPr="003C0E2F">
        <w:t xml:space="preserve"> interactions</w:t>
      </w:r>
      <w:r w:rsidR="00EB642B" w:rsidRPr="003C0E2F">
        <w:t xml:space="preserve"> between a basic region of LBP and the acidic inner arch of CD14 which are only initiated when LBP is boun</w:t>
      </w:r>
      <w:r w:rsidR="00D57AB4" w:rsidRPr="003C0E2F">
        <w:t>d, after which</w:t>
      </w:r>
      <w:r w:rsidRPr="003C0E2F">
        <w:t xml:space="preserve"> LBP dissociates from LPS/CD14</w:t>
      </w:r>
      <w:r w:rsidR="00F91F7E" w:rsidRPr="003C0E2F">
        <w:t xml:space="preserve">, which was determined using </w:t>
      </w:r>
      <w:r w:rsidR="00F91F7E" w:rsidRPr="003C0E2F">
        <w:rPr>
          <w:shd w:val="clear" w:color="auto" w:fill="FFFFFF"/>
        </w:rPr>
        <w:t>Single-molecule fluorescence microscopy</w:t>
      </w:r>
      <w:r w:rsidR="00D57AB4" w:rsidRPr="003C0E2F">
        <w:t xml:space="preserve"> </w:t>
      </w:r>
      <w:sdt>
        <w:sdtPr>
          <w:rPr>
            <w:color w:val="000000"/>
          </w:rPr>
          <w:tag w:val="MENDELEY_CITATION_v3_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"/>
          <w:id w:val="-965744700"/>
          <w:placeholder>
            <w:docPart w:val="4CABB25BFB384F028B3A1B8340059AFE"/>
          </w:placeholder>
        </w:sdtPr>
        <w:sdtEndPr/>
        <w:sdtContent>
          <w:r w:rsidR="00F257B9" w:rsidRPr="00F257B9">
            <w:rPr>
              <w:color w:val="000000"/>
            </w:rPr>
            <w:t>(Kim and Kim, 2017)</w:t>
          </w:r>
        </w:sdtContent>
      </w:sdt>
      <w:r w:rsidRPr="003C0E2F">
        <w:t>. CD14 then serves to deliver LPS to the MD-2 co-receptor</w:t>
      </w:r>
      <w:r w:rsidR="00A92BD4" w:rsidRPr="003C0E2F">
        <w:t xml:space="preserve">, which may have a higher binding affinity for LPS than does CD14 </w:t>
      </w:r>
      <w:r w:rsidR="00F91F7E" w:rsidRPr="003C0E2F">
        <w:t>(</w:t>
      </w:r>
      <w:proofErr w:type="spellStart"/>
      <w:r w:rsidR="00F91F7E" w:rsidRPr="003C0E2F">
        <w:rPr>
          <w:rFonts w:eastAsia="Times New Roman"/>
        </w:rPr>
        <w:t>Koraha</w:t>
      </w:r>
      <w:proofErr w:type="spellEnd"/>
      <w:r w:rsidR="00F91F7E" w:rsidRPr="003C0E2F">
        <w:rPr>
          <w:rFonts w:eastAsia="Times New Roman"/>
        </w:rPr>
        <w:t xml:space="preserve"> </w:t>
      </w:r>
      <w:r w:rsidR="00F91F7E" w:rsidRPr="003C0E2F">
        <w:rPr>
          <w:rFonts w:eastAsia="Times New Roman"/>
          <w:i/>
          <w:iCs/>
        </w:rPr>
        <w:t>et al.</w:t>
      </w:r>
      <w:r w:rsidR="00F91F7E" w:rsidRPr="003C0E2F">
        <w:rPr>
          <w:rFonts w:eastAsia="Times New Roman"/>
        </w:rPr>
        <w:t>, 2005)</w:t>
      </w:r>
      <w:r w:rsidRPr="003C0E2F">
        <w:t xml:space="preserve">. </w:t>
      </w:r>
      <w:r w:rsidR="002A586F" w:rsidRPr="003C0E2F">
        <w:t>However, CD14 appears to be capable of binding to a broader range of LPS molecules than MD-2, being less specific in binding to molecules with different levels of acylation perhaps due to its role in other TLR signalling pathways (</w:t>
      </w:r>
      <w:proofErr w:type="spellStart"/>
      <w:r w:rsidR="002A586F" w:rsidRPr="003C0E2F">
        <w:rPr>
          <w:rFonts w:eastAsia="Times New Roman"/>
        </w:rPr>
        <w:t>Koraha</w:t>
      </w:r>
      <w:proofErr w:type="spellEnd"/>
      <w:r w:rsidR="002A586F" w:rsidRPr="003C0E2F">
        <w:rPr>
          <w:rFonts w:eastAsia="Times New Roman"/>
        </w:rPr>
        <w:t xml:space="preserve"> </w:t>
      </w:r>
      <w:r w:rsidR="002A586F" w:rsidRPr="003C0E2F">
        <w:rPr>
          <w:rFonts w:eastAsia="Times New Roman"/>
          <w:i/>
          <w:iCs/>
        </w:rPr>
        <w:t>et al.</w:t>
      </w:r>
      <w:r w:rsidR="002A586F" w:rsidRPr="003C0E2F">
        <w:rPr>
          <w:rFonts w:eastAsia="Times New Roman"/>
        </w:rPr>
        <w:t>, 2005)</w:t>
      </w:r>
      <w:r w:rsidR="002A586F" w:rsidRPr="003C0E2F">
        <w:t xml:space="preserve">. </w:t>
      </w:r>
      <w:r w:rsidR="00D57AB4" w:rsidRPr="003C0E2F">
        <w:t>CD14</w:t>
      </w:r>
      <w:r w:rsidR="00F91F7E" w:rsidRPr="003C0E2F">
        <w:t xml:space="preserve"> </w:t>
      </w:r>
      <w:r w:rsidR="002A586F" w:rsidRPr="003C0E2F">
        <w:t xml:space="preserve">does not appear to be associated with TLR4/MD-2 in the active signalling complex and </w:t>
      </w:r>
      <w:r w:rsidR="00F91F7E" w:rsidRPr="003C0E2F">
        <w:t>may</w:t>
      </w:r>
      <w:r w:rsidR="002A586F" w:rsidRPr="003C0E2F">
        <w:t xml:space="preserve"> only</w:t>
      </w:r>
      <w:r w:rsidR="00F91F7E" w:rsidRPr="003C0E2F">
        <w:t xml:space="preserve"> have a temporary</w:t>
      </w:r>
      <w:r w:rsidR="00D57AB4" w:rsidRPr="003C0E2F">
        <w:t xml:space="preserve"> associat</w:t>
      </w:r>
      <w:r w:rsidR="00F91F7E" w:rsidRPr="003C0E2F">
        <w:t>ion</w:t>
      </w:r>
      <w:r w:rsidR="002A586F" w:rsidRPr="003C0E2F">
        <w:t>;</w:t>
      </w:r>
      <w:r w:rsidR="00D57AB4" w:rsidRPr="003C0E2F">
        <w:t xml:space="preserve"> depositing LPS before dissociating</w:t>
      </w:r>
      <w:r w:rsidR="00A92BD4" w:rsidRPr="003C0E2F">
        <w:t xml:space="preserve"> once LPS is transferred</w:t>
      </w:r>
      <w:r w:rsidR="00CF05E0" w:rsidRPr="003C0E2F">
        <w:t xml:space="preserve"> </w:t>
      </w:r>
      <w:sdt>
        <w:sdtPr>
          <w:tag w:val="MENDELEY_CITATION_v3_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"/>
          <w:id w:val="890391448"/>
          <w:placeholder>
            <w:docPart w:val="DefaultPlaceholder_-1854013440"/>
          </w:placeholder>
        </w:sdtPr>
        <w:sdtEndPr/>
        <w:sdtContent>
          <w:r w:rsidR="00F257B9">
            <w:rPr>
              <w:rFonts w:eastAsia="Times New Roman"/>
            </w:rPr>
            <w:t xml:space="preserve">(Akashi </w:t>
          </w:r>
          <w:r w:rsidR="00F257B9">
            <w:rPr>
              <w:rFonts w:eastAsia="Times New Roman"/>
              <w:i/>
              <w:iCs/>
            </w:rPr>
            <w:t>et al.</w:t>
          </w:r>
          <w:r w:rsidR="00F257B9">
            <w:rPr>
              <w:rFonts w:eastAsia="Times New Roman"/>
            </w:rPr>
            <w:t>, 2003)</w:t>
          </w:r>
        </w:sdtContent>
      </w:sdt>
      <w:r w:rsidR="00D57AB4" w:rsidRPr="003C0E2F">
        <w:t>.</w:t>
      </w:r>
      <w:r w:rsidR="00DD07E1" w:rsidRPr="003C0E2F">
        <w:t xml:space="preserve"> TLR4 signalling in response to LPS can still be achieved in absence of CD14, but absence of MD-2 abolishes receptor functionality</w:t>
      </w:r>
      <w:r w:rsidR="002A586F" w:rsidRPr="003C0E2F">
        <w:t xml:space="preserve"> </w:t>
      </w:r>
      <w:sdt>
        <w:sdtPr>
          <w:tag w:val="MENDELEY_CITATION_v3_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"/>
          <w:id w:val="1444810460"/>
          <w:placeholder>
            <w:docPart w:val="DefaultPlaceholder_-1854013440"/>
          </w:placeholder>
        </w:sdtPr>
        <w:sdtEndPr/>
        <w:sdtContent>
          <w:r w:rsidR="00F257B9">
            <w:rPr>
              <w:rFonts w:eastAsia="Times New Roman"/>
            </w:rPr>
            <w:t>(</w:t>
          </w:r>
          <w:proofErr w:type="spellStart"/>
          <w:r w:rsidR="00F257B9">
            <w:rPr>
              <w:rFonts w:eastAsia="Times New Roman"/>
            </w:rPr>
            <w:t>Haziot</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1998; Nagai </w:t>
          </w:r>
          <w:r w:rsidR="00F257B9">
            <w:rPr>
              <w:rFonts w:eastAsia="Times New Roman"/>
              <w:i/>
              <w:iCs/>
            </w:rPr>
            <w:t>et al.</w:t>
          </w:r>
          <w:r w:rsidR="00F257B9">
            <w:rPr>
              <w:rFonts w:eastAsia="Times New Roman"/>
            </w:rPr>
            <w:t>, 2002)</w:t>
          </w:r>
        </w:sdtContent>
      </w:sdt>
      <w:r w:rsidR="00DD07E1" w:rsidRPr="003C0E2F">
        <w:t xml:space="preserve">. </w:t>
      </w:r>
      <w:bookmarkEnd w:id="45"/>
      <w:r w:rsidRPr="003C0E2F">
        <w:t xml:space="preserve">CD14 and LBP are important external proteins which aid in </w:t>
      </w:r>
      <w:r w:rsidRPr="003C0E2F">
        <w:lastRenderedPageBreak/>
        <w:t>the recognition of LPS by the receptor</w:t>
      </w:r>
      <w:r w:rsidR="00A60315" w:rsidRPr="003C0E2F">
        <w:t xml:space="preserve"> by functioning as a delivery </w:t>
      </w:r>
      <w:r w:rsidR="008612D0" w:rsidRPr="003C0E2F">
        <w:t>system but</w:t>
      </w:r>
      <w:r w:rsidRPr="003C0E2F">
        <w:t xml:space="preserve"> are not always necessary for LPS associated TLR4 signalling.</w:t>
      </w:r>
    </w:p>
    <w:p w14:paraId="115CB297" w14:textId="77777777" w:rsidR="004E3766" w:rsidRPr="003C0E2F" w:rsidRDefault="004E3766" w:rsidP="004E3766">
      <w:pPr>
        <w:jc w:val="center"/>
      </w:pPr>
      <w:r w:rsidRPr="003C0E2F">
        <w:rPr>
          <w:noProof/>
        </w:rPr>
        <w:drawing>
          <wp:inline distT="0" distB="0" distL="0" distR="0" wp14:anchorId="7D1387E5" wp14:editId="71514F21">
            <wp:extent cx="5706176" cy="2962275"/>
            <wp:effectExtent l="0" t="0" r="8890" b="0"/>
            <wp:docPr id="25" name="Picture 2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Map&#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5747505" cy="2983731"/>
                    </a:xfrm>
                    <a:prstGeom prst="rect">
                      <a:avLst/>
                    </a:prstGeom>
                    <a:noFill/>
                    <a:ln>
                      <a:noFill/>
                    </a:ln>
                  </pic:spPr>
                </pic:pic>
              </a:graphicData>
            </a:graphic>
          </wp:inline>
        </w:drawing>
      </w:r>
    </w:p>
    <w:p w14:paraId="2C3C05AD" w14:textId="77777777" w:rsidR="004E3766" w:rsidRPr="003C0E2F" w:rsidRDefault="004E3766" w:rsidP="004E3766">
      <w:pPr>
        <w:pStyle w:val="NoSpacing"/>
      </w:pPr>
      <w:bookmarkStart w:id="46" w:name="_Toc48514463"/>
      <w:bookmarkStart w:id="47" w:name="_Toc48514814"/>
      <w:bookmarkStart w:id="48" w:name="_Toc55583724"/>
      <w:bookmarkStart w:id="49" w:name="_Toc55584901"/>
      <w:bookmarkStart w:id="50" w:name="_Toc60584017"/>
      <w:bookmarkStart w:id="51" w:name="_Toc60638137"/>
      <w:bookmarkStart w:id="52" w:name="_Toc60638855"/>
      <w:bookmarkStart w:id="53" w:name="_Toc63111989"/>
      <w:bookmarkStart w:id="54" w:name="_Toc63112206"/>
      <w:bookmarkStart w:id="55" w:name="_Toc63270346"/>
      <w:bookmarkStart w:id="56" w:name="_Toc64533213"/>
      <w:bookmarkStart w:id="57" w:name="_Toc64551760"/>
    </w:p>
    <w:p w14:paraId="15B287E1" w14:textId="7F628BF9" w:rsidR="004E3766" w:rsidRPr="003C0E2F" w:rsidRDefault="004E3766" w:rsidP="00FB2FD3">
      <w:pPr>
        <w:pStyle w:val="NoSpacing"/>
      </w:pPr>
      <w:bookmarkStart w:id="58" w:name="_Toc80013805"/>
      <w:bookmarkStart w:id="59" w:name="_Toc82882944"/>
      <w:r w:rsidRPr="003C0E2F">
        <w:t xml:space="preserve">Figure </w:t>
      </w:r>
      <w:r w:rsidR="00BB038D">
        <w:fldChar w:fldCharType="begin"/>
      </w:r>
      <w:r w:rsidR="00BB038D">
        <w:instrText xml:space="preserve"> SEQ Figure \* ARABIC </w:instrText>
      </w:r>
      <w:r w:rsidR="00BB038D">
        <w:fldChar w:fldCharType="separate"/>
      </w:r>
      <w:r w:rsidR="000F2276">
        <w:rPr>
          <w:noProof/>
        </w:rPr>
        <w:t>3</w:t>
      </w:r>
      <w:r w:rsidR="00BB038D">
        <w:rPr>
          <w:noProof/>
        </w:rPr>
        <w:fldChar w:fldCharType="end"/>
      </w:r>
      <w:r w:rsidRPr="003C0E2F">
        <w:t xml:space="preserve">. </w:t>
      </w:r>
      <w:r w:rsidR="006A17A0" w:rsidRPr="003C0E2F">
        <w:t xml:space="preserve">Binding of LPS to TLR4/MD-2 </w:t>
      </w:r>
      <w:r w:rsidRPr="003C0E2F">
        <w:t xml:space="preserve">A) The Lipid A domain of </w:t>
      </w:r>
      <w:proofErr w:type="gramStart"/>
      <w:r w:rsidRPr="003C0E2F">
        <w:t>E.coli</w:t>
      </w:r>
      <w:proofErr w:type="gramEnd"/>
      <w:r w:rsidRPr="003C0E2F">
        <w:t xml:space="preserve"> LPS bound to the hydrophobic pocket of MD-2, viewed from above, forms a </w:t>
      </w:r>
      <w:proofErr w:type="spellStart"/>
      <w:r w:rsidRPr="003C0E2F">
        <w:t>dimerisation</w:t>
      </w:r>
      <w:proofErr w:type="spellEnd"/>
      <w:r w:rsidRPr="003C0E2F">
        <w:t xml:space="preserve"> interface, interacting with the recruited TLR ectodomain. B) 5 lipid chains are bound within the pocket of MD-2, while one extends outside, </w:t>
      </w:r>
      <w:proofErr w:type="spellStart"/>
      <w:r w:rsidRPr="003C0E2F">
        <w:t>maing</w:t>
      </w:r>
      <w:proofErr w:type="spellEnd"/>
      <w:r w:rsidRPr="003C0E2F">
        <w:t xml:space="preserve"> contact a patch on the second recruited TLR4 receptor. The phosphate groups bind to the receptor complex through interaction with positively charged residues on each of the TLR4 receptors. PBD ID: 3FFXI </w:t>
      </w:r>
      <w:r w:rsidRPr="003C0E2F">
        <w:fldChar w:fldCharType="begin"/>
      </w:r>
      <w:r w:rsidRPr="003C0E2F">
        <w:instrText xml:space="preserve"> ADDIN ZOTERO_ITEM CSL_CITATION {"citationID":"6HGxCd0R","properties":{"formattedCitation":"(Park et al., 2009)","plainCitation":"(Park et al., 2009)","noteIndex":0},"citationItems":[{"id":"D4EpMB4q/98FLZdw5","uris":["http://zotero.org/users/local/jMGZRail/items/BQGDZW8B"],"uri":["http://zotero.org/users/local/jMGZRail/items/BQGDZW8B"],"itemData":{"id":53,"type":"article-journal","abstract":"The lipopolysaccharide (LPS) of Gram negative bacteria is a well-known inducer of the innate immune response. Toll-like receptor (TLR) 4 and myeloid differentiation factor 2 (MD-2) form a heterodimer that recognizes a common 'pattern' in structurally diverse LPS molecules. To understand the ligand specificity and receptor activation mechanism of the TLR4-MD-2-LPS complex we determined its crystal structure. LPS binding induced the formation of an m-shaped receptor multimer composed of two copies of the TLR4-MD-2-LPS complex arranged symmetrically. LPS interacts with a large hydrophobic pocket in MD-2 and directly bridges the two components of the multimer. Five of the six lipid chains of LPS are buried deep inside the pocket and the remaining chain is exposed to the surface of MD-2, forming a hydrophobic interaction with the conserved phenylalanines of TLR4. The F126 loop of MD-2 undergoes localized structural change and supports this core hydrophobic interface by making hydrophilic interactions with TLR4. Comparison with the structures of tetra-acylated antagonists bound to MD-2 indicates that two other lipid chains in LPS displace the phosphorylated glucosamine backbone by approximately 5 A towards the solvent area. This structural shift allows phosphate groups of LPS to contribute to receptor multimerization by forming ionic interactions with a cluster of positively charged residues in TLR4 and MD-2. The TLR4-MD-2-LPS structure illustrates the remarkable versatility of the ligand recognition mechanisms employed by the TLR family, which is essential for defence against diverse microbial infection.","container-title":"Nature","DOI":"10.1038/nature07830","ISSN":"1476-4687","issue":"7242","journalAbbreviation":"Nature","language":"eng","note":"PMID: 19252480","page":"1191-1195","source":"PubMed","title":"The structural basis of lipopolysaccharide recognition by the TLR4-MD-2 complex","volume":"458","author":[{"family":"Park","given":"Beom Seok"},{"family":"Song","given":"Dong Hyun"},{"family":"Kim","given":"Ho Min"},{"family":"Choi","given":"Byong-Seok"},{"family":"Lee","given":"Hayyoung"},{"family":"Lee","given":"Jie-Oh"}],"issued":{"date-parts":[["2009",4,30]]}}}],"schema":"https://github.com/citation-style-language/schema/raw/master/csl-citation.json"} </w:instrText>
      </w:r>
      <w:r w:rsidRPr="003C0E2F">
        <w:fldChar w:fldCharType="separate"/>
      </w:r>
      <w:sdt>
        <w:sdtPr>
          <w:tag w:val="MENDELEY_CITATION_v3_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"/>
          <w:id w:val="1555050758"/>
          <w:placeholder>
            <w:docPart w:val="74608C4CAED1471981B0F19381158CC4"/>
          </w:placeholder>
        </w:sdtPr>
        <w:sdtEndPr/>
        <w:sdtContent>
          <w:r w:rsidR="00F257B9">
            <w:rPr>
              <w:rFonts w:eastAsia="Times New Roman"/>
            </w:rPr>
            <w:t xml:space="preserve">(Park </w:t>
          </w:r>
          <w:r w:rsidR="00F257B9">
            <w:rPr>
              <w:rFonts w:eastAsia="Times New Roman"/>
              <w:i w:val="0"/>
              <w:iCs/>
            </w:rPr>
            <w:t>et al.</w:t>
          </w:r>
          <w:r w:rsidR="00F257B9">
            <w:rPr>
              <w:rFonts w:eastAsia="Times New Roman"/>
            </w:rPr>
            <w:t>, 2009)</w:t>
          </w:r>
        </w:sdtContent>
      </w:sdt>
      <w:r w:rsidRPr="003C0E2F">
        <w:fldChar w:fldCharType="end"/>
      </w:r>
      <w:r w:rsidRPr="003C0E2F">
        <w:t>.</w:t>
      </w:r>
      <w:bookmarkEnd w:id="46"/>
      <w:bookmarkEnd w:id="47"/>
      <w:bookmarkEnd w:id="48"/>
      <w:bookmarkEnd w:id="49"/>
      <w:bookmarkEnd w:id="50"/>
      <w:bookmarkEnd w:id="51"/>
      <w:bookmarkEnd w:id="52"/>
      <w:bookmarkEnd w:id="53"/>
      <w:bookmarkEnd w:id="54"/>
      <w:bookmarkEnd w:id="55"/>
      <w:bookmarkEnd w:id="56"/>
      <w:bookmarkEnd w:id="57"/>
      <w:r w:rsidRPr="003C0E2F">
        <w:t xml:space="preserve"> Images produced using protein imager </w:t>
      </w:r>
      <w:sdt>
        <w:sdtPr>
          <w:rPr>
            <w:i w:val="0"/>
            <w:color w:val="000000"/>
          </w:rPr>
          <w:tag w:val="MENDELEY_CITATION_v3_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"/>
          <w:id w:val="154194571"/>
          <w:placeholder>
            <w:docPart w:val="A02E1A9DAFD94D5D82075E6B9E8737F1"/>
          </w:placeholder>
        </w:sdtPr>
        <w:sdtEndPr/>
        <w:sdtContent>
          <w:r w:rsidR="00F257B9" w:rsidRPr="00F257B9">
            <w:rPr>
              <w:i w:val="0"/>
              <w:color w:val="000000"/>
            </w:rPr>
            <w:t>(</w:t>
          </w:r>
          <w:proofErr w:type="spellStart"/>
          <w:r w:rsidR="00F257B9" w:rsidRPr="00F257B9">
            <w:rPr>
              <w:i w:val="0"/>
              <w:color w:val="000000"/>
            </w:rPr>
            <w:t>Tomasello</w:t>
          </w:r>
          <w:proofErr w:type="spellEnd"/>
          <w:r w:rsidR="00F257B9" w:rsidRPr="00F257B9">
            <w:rPr>
              <w:i w:val="0"/>
              <w:color w:val="000000"/>
            </w:rPr>
            <w:t xml:space="preserve">, Armenia and </w:t>
          </w:r>
          <w:proofErr w:type="spellStart"/>
          <w:r w:rsidR="00F257B9" w:rsidRPr="00F257B9">
            <w:rPr>
              <w:i w:val="0"/>
              <w:color w:val="000000"/>
            </w:rPr>
            <w:t>Molla</w:t>
          </w:r>
          <w:proofErr w:type="spellEnd"/>
          <w:r w:rsidR="00F257B9" w:rsidRPr="00F257B9">
            <w:rPr>
              <w:i w:val="0"/>
              <w:color w:val="000000"/>
            </w:rPr>
            <w:t>, 2020)</w:t>
          </w:r>
        </w:sdtContent>
      </w:sdt>
      <w:bookmarkEnd w:id="58"/>
      <w:bookmarkEnd w:id="59"/>
    </w:p>
    <w:p w14:paraId="18A5E2B9" w14:textId="77777777" w:rsidR="004E3766" w:rsidRPr="003C0E2F" w:rsidRDefault="004E3766" w:rsidP="00C47D55"/>
    <w:p w14:paraId="18587681" w14:textId="55787736" w:rsidR="0009156C" w:rsidRPr="003C0E2F" w:rsidRDefault="00C47D55" w:rsidP="00C47D55">
      <w:r w:rsidRPr="003C0E2F">
        <w:t xml:space="preserve">TLR4 differs from other TLRs </w:t>
      </w:r>
      <w:r w:rsidR="004206C1" w:rsidRPr="003C0E2F">
        <w:t>in that it</w:t>
      </w:r>
      <w:r w:rsidRPr="003C0E2F">
        <w:t xml:space="preserve"> is the only receptor which relies on a co</w:t>
      </w:r>
      <w:r w:rsidR="004206C1" w:rsidRPr="003C0E2F">
        <w:t>-</w:t>
      </w:r>
      <w:r w:rsidRPr="003C0E2F">
        <w:t xml:space="preserve">receptor molecule </w:t>
      </w:r>
      <w:proofErr w:type="gramStart"/>
      <w:r w:rsidRPr="003C0E2F">
        <w:t>in order to</w:t>
      </w:r>
      <w:proofErr w:type="gramEnd"/>
      <w:r w:rsidRPr="003C0E2F">
        <w:t xml:space="preserve"> detect its associated ligand. MD-2 is bound to TLR4 and has been shown to be crucial in ligand recognition. Absence of MD-2 results in failure of TLR4 response to LPS </w:t>
      </w:r>
      <w:sdt>
        <w:sdtPr>
          <w:tag w:val="MENDELEY_CITATION_v3_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"/>
          <w:id w:val="-1240407727"/>
          <w:placeholder>
            <w:docPart w:val="DefaultPlaceholder_-1854013440"/>
          </w:placeholder>
        </w:sdtPr>
        <w:sdtEndPr/>
        <w:sdtContent>
          <w:r w:rsidR="00F257B9">
            <w:rPr>
              <w:rFonts w:eastAsia="Times New Roman"/>
            </w:rPr>
            <w:t xml:space="preserve">(Nagai </w:t>
          </w:r>
          <w:r w:rsidR="00F257B9">
            <w:rPr>
              <w:rFonts w:eastAsia="Times New Roman"/>
              <w:i/>
              <w:iCs/>
            </w:rPr>
            <w:t>et al.</w:t>
          </w:r>
          <w:r w:rsidR="00F257B9">
            <w:rPr>
              <w:rFonts w:eastAsia="Times New Roman"/>
            </w:rPr>
            <w:t>, 2002)</w:t>
          </w:r>
        </w:sdtContent>
      </w:sdt>
      <w:r w:rsidR="002A0D3B" w:rsidRPr="003C0E2F">
        <w:t xml:space="preserve">. </w:t>
      </w:r>
      <w:r w:rsidRPr="003C0E2F">
        <w:t>The MD-2 co</w:t>
      </w:r>
      <w:r w:rsidR="0009156C" w:rsidRPr="003C0E2F">
        <w:t>-</w:t>
      </w:r>
      <w:r w:rsidRPr="003C0E2F">
        <w:t>receptor i</w:t>
      </w:r>
      <w:r w:rsidR="0009156C" w:rsidRPr="003C0E2F">
        <w:t>s f</w:t>
      </w:r>
      <w:r w:rsidR="00F80E29" w:rsidRPr="003C0E2F">
        <w:t>orm</w:t>
      </w:r>
      <w:r w:rsidRPr="003C0E2F">
        <w:t xml:space="preserve">ed in such a way that a hydrophobic pocket is present between two antiparallel beta sheets. This </w:t>
      </w:r>
      <w:r w:rsidR="0009156C" w:rsidRPr="003C0E2F">
        <w:t xml:space="preserve">hydrophobic </w:t>
      </w:r>
      <w:r w:rsidRPr="003C0E2F">
        <w:t xml:space="preserve">pocket has a high binding affinity to the acyl chains of LPS. </w:t>
      </w:r>
      <w:r w:rsidRPr="003C0E2F">
        <w:lastRenderedPageBreak/>
        <w:t>When LPS is delivered to the MD-2 co-receptor, this causes a conformational change</w:t>
      </w:r>
      <w:r w:rsidR="0009156C" w:rsidRPr="003C0E2F">
        <w:t xml:space="preserve"> in MD-2</w:t>
      </w:r>
      <w:r w:rsidRPr="003C0E2F">
        <w:t xml:space="preserve"> which is associated with recruitment of the second TLR4 </w:t>
      </w:r>
      <w:r w:rsidR="00196928" w:rsidRPr="003C0E2F">
        <w:t>receptor</w:t>
      </w:r>
      <w:r w:rsidR="0009156C" w:rsidRPr="003C0E2F">
        <w:t>, facilita</w:t>
      </w:r>
      <w:r w:rsidR="001615FD" w:rsidRPr="003C0E2F">
        <w:t xml:space="preserve">tes </w:t>
      </w:r>
      <w:r w:rsidR="0009156C" w:rsidRPr="003C0E2F">
        <w:t xml:space="preserve">receptor </w:t>
      </w:r>
      <w:proofErr w:type="spellStart"/>
      <w:r w:rsidR="0009156C" w:rsidRPr="003C0E2F">
        <w:t>dimerisation</w:t>
      </w:r>
      <w:proofErr w:type="spellEnd"/>
      <w:r w:rsidR="0009156C" w:rsidRPr="003C0E2F">
        <w:t xml:space="preserve"> and subsequent intracellular signal domain associations</w:t>
      </w:r>
      <w:r w:rsidR="00A35892" w:rsidRPr="003C0E2F">
        <w:t xml:space="preserve"> (Figure 3 A)</w:t>
      </w:r>
      <w:r w:rsidR="002A0D3B" w:rsidRPr="003C0E2F">
        <w:t xml:space="preserve"> </w:t>
      </w:r>
      <w:sdt>
        <w:sdtPr>
          <w:tag w:val="MENDELEY_CITATION_v3_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"/>
          <w:id w:val="-335458584"/>
          <w:placeholder>
            <w:docPart w:val="D32532C5C38B4B3A8251D697B34CB0C0"/>
          </w:placeholder>
        </w:sdtPr>
        <w:sdtEndPr/>
        <w:sdtContent>
          <w:r w:rsidR="00F257B9">
            <w:rPr>
              <w:rFonts w:eastAsia="Times New Roman"/>
            </w:rPr>
            <w:t>(</w:t>
          </w:r>
          <w:proofErr w:type="spellStart"/>
          <w:r w:rsidR="00F257B9">
            <w:rPr>
              <w:rFonts w:eastAsia="Times New Roman"/>
            </w:rPr>
            <w:t>Ohto</w:t>
          </w:r>
          <w:proofErr w:type="spellEnd"/>
          <w:r w:rsidR="00F257B9">
            <w:rPr>
              <w:rFonts w:eastAsia="Times New Roman"/>
            </w:rPr>
            <w:t xml:space="preserve"> </w:t>
          </w:r>
          <w:r w:rsidR="00F257B9">
            <w:rPr>
              <w:rFonts w:eastAsia="Times New Roman"/>
              <w:i/>
              <w:iCs/>
            </w:rPr>
            <w:t>et al.</w:t>
          </w:r>
          <w:r w:rsidR="00F257B9">
            <w:rPr>
              <w:rFonts w:eastAsia="Times New Roman"/>
            </w:rPr>
            <w:t>, 2012; Kim and Kim, 2017)</w:t>
          </w:r>
        </w:sdtContent>
      </w:sdt>
      <w:r w:rsidR="002A0D3B" w:rsidRPr="003C0E2F">
        <w:t xml:space="preserve">. </w:t>
      </w:r>
      <w:r w:rsidRPr="003C0E2F">
        <w:t>The essential role of MD-2 in ligand recognition make</w:t>
      </w:r>
      <w:r w:rsidR="0009156C" w:rsidRPr="003C0E2F">
        <w:t>s</w:t>
      </w:r>
      <w:r w:rsidRPr="003C0E2F">
        <w:t xml:space="preserve"> this a good choice to target for modulators of TLR4.</w:t>
      </w:r>
      <w:bookmarkEnd w:id="44"/>
    </w:p>
    <w:p w14:paraId="42783C9B" w14:textId="693D15C7" w:rsidR="002A158F" w:rsidRPr="003C0E2F" w:rsidRDefault="00C47D55" w:rsidP="00C47D55">
      <w:r w:rsidRPr="003C0E2F">
        <w:t>It was originally thought that all acyl chains of LPS were located within the hydrophobic pocket upon LPS binding to MD-2 and the conformational change in the co-receptor was related to accommodation of these</w:t>
      </w:r>
      <w:r w:rsidR="0009156C" w:rsidRPr="003C0E2F">
        <w:t xml:space="preserve"> chains</w:t>
      </w:r>
      <w:r w:rsidRPr="003C0E2F">
        <w:t xml:space="preserve">. However, crystal structure analysis revealed that 6 chain </w:t>
      </w:r>
      <w:r w:rsidR="008612D0" w:rsidRPr="003C0E2F">
        <w:rPr>
          <w:i/>
          <w:iCs/>
        </w:rPr>
        <w:t>Escherichia coli</w:t>
      </w:r>
      <w:r w:rsidRPr="003C0E2F">
        <w:t xml:space="preserve"> LPS has acyl chains do not all fit within th</w:t>
      </w:r>
      <w:r w:rsidR="0009156C" w:rsidRPr="003C0E2F">
        <w:t>e</w:t>
      </w:r>
      <w:r w:rsidRPr="003C0E2F">
        <w:t xml:space="preserve"> pocket (Figure </w:t>
      </w:r>
      <w:r w:rsidR="00A35892" w:rsidRPr="003C0E2F">
        <w:t>3</w:t>
      </w:r>
      <w:r w:rsidR="00F85B81" w:rsidRPr="003C0E2F">
        <w:t xml:space="preserve"> </w:t>
      </w:r>
      <w:r w:rsidR="00A35892" w:rsidRPr="003C0E2F">
        <w:t>B</w:t>
      </w:r>
      <w:r w:rsidRPr="003C0E2F">
        <w:t xml:space="preserve">). One of these chains remains </w:t>
      </w:r>
      <w:r w:rsidR="00E76CC8" w:rsidRPr="003C0E2F">
        <w:t xml:space="preserve">projecting </w:t>
      </w:r>
      <w:r w:rsidRPr="003C0E2F">
        <w:t>outside and interacts with a hydrophobic patch on the second recruited TLR4 receptor</w:t>
      </w:r>
      <w:r w:rsidR="007834E4" w:rsidRPr="003C0E2F">
        <w:t xml:space="preserve"> </w:t>
      </w:r>
      <w:sdt>
        <w:sdtPr>
          <w:tag w:val="MENDELEY_CITATION_v3_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"/>
          <w:id w:val="555277307"/>
          <w:placeholder>
            <w:docPart w:val="DefaultPlaceholder_-1854013440"/>
          </w:placeholder>
        </w:sdtPr>
        <w:sdtEndPr/>
        <w:sdtContent>
          <w:r w:rsidR="00F257B9">
            <w:rPr>
              <w:rFonts w:eastAsia="Times New Roman"/>
            </w:rPr>
            <w:t xml:space="preserve">(Park </w:t>
          </w:r>
          <w:r w:rsidR="00F257B9">
            <w:rPr>
              <w:rFonts w:eastAsia="Times New Roman"/>
              <w:i/>
              <w:iCs/>
            </w:rPr>
            <w:t>et al.</w:t>
          </w:r>
          <w:r w:rsidR="00F257B9">
            <w:rPr>
              <w:rFonts w:eastAsia="Times New Roman"/>
            </w:rPr>
            <w:t>, 2009)</w:t>
          </w:r>
        </w:sdtContent>
      </w:sdt>
      <w:r w:rsidRPr="003C0E2F">
        <w:t>A synthetic TLR4 agonist, Neoseptin-3, is</w:t>
      </w:r>
      <w:r w:rsidR="0009156C" w:rsidRPr="003C0E2F">
        <w:t xml:space="preserve"> also</w:t>
      </w:r>
      <w:r w:rsidRPr="003C0E2F">
        <w:t xml:space="preserve"> known to interact with th</w:t>
      </w:r>
      <w:r w:rsidR="0009156C" w:rsidRPr="003C0E2F">
        <w:t>e hydrophobic</w:t>
      </w:r>
      <w:r w:rsidRPr="003C0E2F">
        <w:t xml:space="preserve"> </w:t>
      </w:r>
      <w:r w:rsidR="0009156C" w:rsidRPr="003C0E2F">
        <w:t>region</w:t>
      </w:r>
      <w:r w:rsidRPr="003C0E2F">
        <w:t xml:space="preserve"> of the receptor and can induce TLR4 signalling, exhibiting similar conformational changes as seen by LPS despite not being structurally similar </w:t>
      </w:r>
      <w:sdt>
        <w:sdtPr>
          <w:tag w:val="MENDELEY_CITATION_v3_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"/>
          <w:id w:val="-1411231151"/>
          <w:placeholder>
            <w:docPart w:val="DefaultPlaceholder_-1854013440"/>
          </w:placeholder>
        </w:sdtPr>
        <w:sdtEndPr/>
        <w:sdtContent>
          <w:r w:rsidR="00F257B9">
            <w:rPr>
              <w:rFonts w:eastAsia="Times New Roman"/>
            </w:rPr>
            <w:t xml:space="preserve">(Wang </w:t>
          </w:r>
          <w:r w:rsidR="00F257B9">
            <w:rPr>
              <w:rFonts w:eastAsia="Times New Roman"/>
              <w:i/>
              <w:iCs/>
            </w:rPr>
            <w:t>et al.</w:t>
          </w:r>
          <w:r w:rsidR="00F257B9">
            <w:rPr>
              <w:rFonts w:eastAsia="Times New Roman"/>
            </w:rPr>
            <w:t>, 2016)</w:t>
          </w:r>
        </w:sdtContent>
      </w:sdt>
      <w:r w:rsidRPr="003C0E2F">
        <w:t xml:space="preserve">. </w:t>
      </w:r>
      <w:r w:rsidR="00347513" w:rsidRPr="003C0E2F">
        <w:t xml:space="preserve">Though it is not clear at present, interaction with this interface is thought to drive </w:t>
      </w:r>
      <w:proofErr w:type="spellStart"/>
      <w:r w:rsidR="00347513" w:rsidRPr="003C0E2F">
        <w:t>dimerisation</w:t>
      </w:r>
      <w:proofErr w:type="spellEnd"/>
      <w:r w:rsidR="00347513" w:rsidRPr="003C0E2F">
        <w:t xml:space="preserve"> in response to LPS binding.</w:t>
      </w:r>
    </w:p>
    <w:p w14:paraId="7C55803C" w14:textId="662CA5C3" w:rsidR="00734ABD" w:rsidRPr="003C0E2F" w:rsidRDefault="00734ABD" w:rsidP="00BE5236"/>
    <w:p w14:paraId="36447BFE" w14:textId="39826C63" w:rsidR="00734ABD" w:rsidRPr="003C0E2F" w:rsidRDefault="00734ABD" w:rsidP="00A65AA6">
      <w:pPr>
        <w:jc w:val="center"/>
      </w:pPr>
      <w:r w:rsidRPr="003C0E2F">
        <w:br w:type="page"/>
      </w:r>
    </w:p>
    <w:p w14:paraId="20A61AF0" w14:textId="09F43EFE" w:rsidR="006A423D" w:rsidRPr="003C0E2F" w:rsidRDefault="0006649C" w:rsidP="00BE5236">
      <w:pPr>
        <w:pStyle w:val="Heading2"/>
      </w:pPr>
      <w:bookmarkStart w:id="60" w:name="_Toc80013723"/>
      <w:bookmarkStart w:id="61" w:name="_Toc82882343"/>
      <w:r w:rsidRPr="003C0E2F">
        <w:lastRenderedPageBreak/>
        <w:t xml:space="preserve">Activation of </w:t>
      </w:r>
      <w:r w:rsidR="000A1BFB" w:rsidRPr="003C0E2F">
        <w:t>TLR4</w:t>
      </w:r>
      <w:r w:rsidR="006A423D" w:rsidRPr="003C0E2F">
        <w:t xml:space="preserve"> </w:t>
      </w:r>
      <w:r w:rsidRPr="003C0E2F">
        <w:t>s</w:t>
      </w:r>
      <w:r w:rsidR="006A423D" w:rsidRPr="003C0E2F">
        <w:t>ignalling</w:t>
      </w:r>
      <w:r w:rsidR="00F830E3" w:rsidRPr="003C0E2F">
        <w:t xml:space="preserve"> </w:t>
      </w:r>
      <w:r w:rsidRPr="003C0E2F">
        <w:t>p</w:t>
      </w:r>
      <w:r w:rsidR="00F830E3" w:rsidRPr="003C0E2F">
        <w:t>athways</w:t>
      </w:r>
      <w:bookmarkEnd w:id="60"/>
      <w:bookmarkEnd w:id="61"/>
    </w:p>
    <w:p w14:paraId="2A51187A" w14:textId="57053029" w:rsidR="001574CD" w:rsidRPr="003C0E2F" w:rsidRDefault="00C47D55" w:rsidP="00C47D55">
      <w:r w:rsidRPr="003C0E2F">
        <w:t xml:space="preserve">TLR4 differs from other TLRs in that it has been associate with both </w:t>
      </w:r>
      <w:r w:rsidR="00932BC2" w:rsidRPr="003C0E2F">
        <w:t>MyD88</w:t>
      </w:r>
      <w:r w:rsidRPr="003C0E2F">
        <w:t xml:space="preserve"> and </w:t>
      </w:r>
      <w:r w:rsidR="00A9277D" w:rsidRPr="003C0E2F">
        <w:t>TRIF-</w:t>
      </w:r>
      <w:r w:rsidR="009E0322" w:rsidRPr="003C0E2F">
        <w:t>dependent</w:t>
      </w:r>
      <w:r w:rsidRPr="003C0E2F">
        <w:t xml:space="preserve"> signalling pathways. </w:t>
      </w:r>
      <w:proofErr w:type="spellStart"/>
      <w:r w:rsidRPr="003C0E2F">
        <w:t>Dimerisation</w:t>
      </w:r>
      <w:proofErr w:type="spellEnd"/>
      <w:r w:rsidRPr="003C0E2F">
        <w:t xml:space="preserve"> of the ectodomains of TLR4 results in a corresponding </w:t>
      </w:r>
      <w:proofErr w:type="spellStart"/>
      <w:r w:rsidRPr="003C0E2F">
        <w:t>dimerisation</w:t>
      </w:r>
      <w:proofErr w:type="spellEnd"/>
      <w:r w:rsidRPr="003C0E2F">
        <w:t xml:space="preserve"> of </w:t>
      </w:r>
      <w:r w:rsidR="007364D5" w:rsidRPr="003C0E2F">
        <w:t xml:space="preserve">TIR </w:t>
      </w:r>
      <w:r w:rsidRPr="003C0E2F">
        <w:t xml:space="preserve">domains which recruit either </w:t>
      </w:r>
      <w:r w:rsidR="00932BC2" w:rsidRPr="003C0E2F">
        <w:t>MyD88</w:t>
      </w:r>
      <w:r w:rsidRPr="003C0E2F">
        <w:t xml:space="preserve"> or TRIF signalling molecules. </w:t>
      </w:r>
      <w:r w:rsidR="00F51B1C" w:rsidRPr="003C0E2F">
        <w:t xml:space="preserve">The intracellular region of TLR4 does not allow for direct interaction and requires the aid of bridging adaptor proteins Mal and TRAM to facilitate interactions with MyD88 and TRIF respectively </w:t>
      </w:r>
      <w:sdt>
        <w:sdtPr>
          <w:rPr>
            <w:color w:val="000000"/>
          </w:rPr>
          <w:tag w:val="MENDELEY_CITATION_v3_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"/>
          <w:id w:val="279379822"/>
          <w:placeholder>
            <w:docPart w:val="402BA591C1B34D208834B55EE3D3752E"/>
          </w:placeholder>
        </w:sdtPr>
        <w:sdtEndPr/>
        <w:sdtContent>
          <w:r w:rsidR="00F257B9" w:rsidRPr="00F257B9">
            <w:rPr>
              <w:color w:val="000000"/>
            </w:rPr>
            <w:t>(Kenny and O’Neill, 2008)</w:t>
          </w:r>
        </w:sdtContent>
      </w:sdt>
      <w:bookmarkStart w:id="62" w:name="_Hlk82375408"/>
      <w:r w:rsidR="00F51B1C" w:rsidRPr="003C0E2F">
        <w:t xml:space="preserve">. </w:t>
      </w:r>
      <w:r w:rsidR="00AE542E" w:rsidRPr="003C0E2F">
        <w:t>Mal and TRAM</w:t>
      </w:r>
      <w:r w:rsidR="00F51B1C" w:rsidRPr="003C0E2F">
        <w:t xml:space="preserve"> contain TIR domains which interface with the TIR domain of TLR4, as well as those of MyD88 and TRIF respectively</w:t>
      </w:r>
      <w:r w:rsidR="00AE542E" w:rsidRPr="003C0E2F">
        <w:t xml:space="preserve"> </w:t>
      </w:r>
      <w:sdt>
        <w:sdtPr>
          <w:tag w:val="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"/>
          <w:id w:val="1945043225"/>
          <w:placeholder>
            <w:docPart w:val="DefaultPlaceholder_-1854013440"/>
          </w:placeholder>
        </w:sdtPr>
        <w:sdtEndPr/>
        <w:sdtContent>
          <w:r w:rsidR="00F257B9">
            <w:rPr>
              <w:rFonts w:eastAsia="Times New Roman"/>
            </w:rPr>
            <w:t>(</w:t>
          </w:r>
          <w:proofErr w:type="spellStart"/>
          <w:r w:rsidR="00F257B9">
            <w:rPr>
              <w:rFonts w:eastAsia="Times New Roman"/>
            </w:rPr>
            <w:t>Ve</w:t>
          </w:r>
          <w:proofErr w:type="spellEnd"/>
          <w:r w:rsidR="00F257B9">
            <w:rPr>
              <w:rFonts w:eastAsia="Times New Roman"/>
            </w:rPr>
            <w:t xml:space="preserve"> </w:t>
          </w:r>
          <w:r w:rsidR="00F257B9">
            <w:rPr>
              <w:rFonts w:eastAsia="Times New Roman"/>
              <w:i/>
              <w:iCs/>
            </w:rPr>
            <w:t>et al.</w:t>
          </w:r>
          <w:r w:rsidR="00F257B9">
            <w:rPr>
              <w:rFonts w:eastAsia="Times New Roman"/>
            </w:rPr>
            <w:t>, 2012, 2017)</w:t>
          </w:r>
        </w:sdtContent>
      </w:sdt>
      <w:r w:rsidR="00AE542E" w:rsidRPr="003C0E2F">
        <w:t xml:space="preserve">. </w:t>
      </w:r>
      <w:r w:rsidR="00AE110D" w:rsidRPr="003C0E2F">
        <w:t xml:space="preserve">Mal is proposed to have a phosphatidylinositol 4,5-bisphosphate region which is important for membrane recruitment </w:t>
      </w:r>
      <w:sdt>
        <w:sdtPr>
          <w:rPr>
            <w:color w:val="000000"/>
          </w:rPr>
          <w:tag w:val="MENDELEY_CITATION_v3_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"/>
          <w:id w:val="-847555220"/>
          <w:placeholder>
            <w:docPart w:val="DefaultPlaceholder_-1854013440"/>
          </w:placeholder>
        </w:sdtPr>
        <w:sdtEndPr/>
        <w:sdtContent>
          <w:r w:rsidR="00F257B9" w:rsidRPr="00F257B9">
            <w:rPr>
              <w:rFonts w:eastAsia="Times New Roman"/>
              <w:color w:val="000000"/>
            </w:rPr>
            <w:t xml:space="preserve">(Kagan and </w:t>
          </w:r>
          <w:proofErr w:type="spellStart"/>
          <w:r w:rsidR="00F257B9" w:rsidRPr="00F257B9">
            <w:rPr>
              <w:rFonts w:eastAsia="Times New Roman"/>
              <w:color w:val="000000"/>
            </w:rPr>
            <w:t>Medzhitov</w:t>
          </w:r>
          <w:proofErr w:type="spellEnd"/>
          <w:r w:rsidR="00F257B9" w:rsidRPr="00F257B9">
            <w:rPr>
              <w:rFonts w:eastAsia="Times New Roman"/>
              <w:color w:val="000000"/>
            </w:rPr>
            <w:t>, 2006)</w:t>
          </w:r>
        </w:sdtContent>
      </w:sdt>
      <w:r w:rsidR="00AE110D" w:rsidRPr="003C0E2F">
        <w:t xml:space="preserve"> </w:t>
      </w:r>
      <w:r w:rsidR="009B0AE8" w:rsidRPr="003C0E2F">
        <w:rPr>
          <w:rFonts w:eastAsia="Times New Roman"/>
        </w:rPr>
        <w:t xml:space="preserve">while TRAM is bound to the membrane and relocates upon activation of TRIF signalling </w:t>
      </w:r>
      <w:sdt>
        <w:sdtPr>
          <w:rPr>
            <w:rFonts w:eastAsia="Times New Roman"/>
          </w:rPr>
          <w:tag w:val="MENDELEY_CITATION_v3_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"/>
          <w:id w:val="-1953322026"/>
          <w:placeholder>
            <w:docPart w:val="DefaultPlaceholder_-1854013440"/>
          </w:placeholder>
        </w:sdtPr>
        <w:sdtEndPr/>
        <w:sdtContent>
          <w:r w:rsidR="00F257B9">
            <w:rPr>
              <w:rFonts w:eastAsia="Times New Roman"/>
            </w:rPr>
            <w:t xml:space="preserve">(Rowe </w:t>
          </w:r>
          <w:r w:rsidR="00F257B9">
            <w:rPr>
              <w:rFonts w:eastAsia="Times New Roman"/>
              <w:i/>
              <w:iCs/>
            </w:rPr>
            <w:t>et al.</w:t>
          </w:r>
          <w:r w:rsidR="00F257B9">
            <w:rPr>
              <w:rFonts w:eastAsia="Times New Roman"/>
            </w:rPr>
            <w:t xml:space="preserve">, 2006; </w:t>
          </w:r>
          <w:proofErr w:type="spellStart"/>
          <w:r w:rsidR="00F257B9">
            <w:rPr>
              <w:rFonts w:eastAsia="Times New Roman"/>
            </w:rPr>
            <w:t>Tanimura</w:t>
          </w:r>
          <w:proofErr w:type="spellEnd"/>
          <w:r w:rsidR="00F257B9">
            <w:rPr>
              <w:rFonts w:eastAsia="Times New Roman"/>
            </w:rPr>
            <w:t xml:space="preserve"> </w:t>
          </w:r>
          <w:r w:rsidR="00F257B9">
            <w:rPr>
              <w:rFonts w:eastAsia="Times New Roman"/>
              <w:i/>
              <w:iCs/>
            </w:rPr>
            <w:t>et al.</w:t>
          </w:r>
          <w:r w:rsidR="00F257B9">
            <w:rPr>
              <w:rFonts w:eastAsia="Times New Roman"/>
            </w:rPr>
            <w:t>, 2008)</w:t>
          </w:r>
        </w:sdtContent>
      </w:sdt>
      <w:r w:rsidR="009B0AE8" w:rsidRPr="003C0E2F">
        <w:rPr>
          <w:rFonts w:eastAsia="Times New Roman"/>
        </w:rPr>
        <w:t xml:space="preserve"> </w:t>
      </w:r>
      <w:r w:rsidR="000D0CC6" w:rsidRPr="003C0E2F">
        <w:t>Various binding sites have been proposed</w:t>
      </w:r>
      <w:r w:rsidR="00AE542E" w:rsidRPr="003C0E2F">
        <w:t xml:space="preserve"> for </w:t>
      </w:r>
      <w:r w:rsidR="00F51B1C" w:rsidRPr="003C0E2F">
        <w:t>TIR-TIR</w:t>
      </w:r>
      <w:r w:rsidR="00AE542E" w:rsidRPr="003C0E2F">
        <w:t xml:space="preserve"> interaction</w:t>
      </w:r>
      <w:r w:rsidR="00F51B1C" w:rsidRPr="003C0E2F">
        <w:t>s</w:t>
      </w:r>
      <w:r w:rsidR="000D0CC6" w:rsidRPr="003C0E2F">
        <w:t xml:space="preserve">, but </w:t>
      </w:r>
      <w:proofErr w:type="gramStart"/>
      <w:r w:rsidR="000D0CC6" w:rsidRPr="003C0E2F">
        <w:t>as yet</w:t>
      </w:r>
      <w:proofErr w:type="gramEnd"/>
      <w:r w:rsidR="000D0CC6" w:rsidRPr="003C0E2F">
        <w:t xml:space="preserve"> are</w:t>
      </w:r>
      <w:r w:rsidR="00AE542E" w:rsidRPr="003C0E2F">
        <w:t xml:space="preserve"> these have</w:t>
      </w:r>
      <w:r w:rsidR="000D0CC6" w:rsidRPr="003C0E2F">
        <w:t xml:space="preserve"> not</w:t>
      </w:r>
      <w:r w:rsidR="00AE542E" w:rsidRPr="003C0E2F">
        <w:t xml:space="preserve"> been</w:t>
      </w:r>
      <w:r w:rsidR="000D0CC6" w:rsidRPr="003C0E2F">
        <w:t xml:space="preserve"> confirmed.</w:t>
      </w:r>
      <w:r w:rsidR="00F51B1C" w:rsidRPr="003C0E2F">
        <w:t xml:space="preserve"> However, </w:t>
      </w:r>
      <w:proofErr w:type="spellStart"/>
      <w:r w:rsidR="00F51B1C" w:rsidRPr="003C0E2F">
        <w:t>d</w:t>
      </w:r>
      <w:r w:rsidR="001470D3" w:rsidRPr="003C0E2F">
        <w:t>imerisation</w:t>
      </w:r>
      <w:proofErr w:type="spellEnd"/>
      <w:r w:rsidR="001470D3" w:rsidRPr="003C0E2F">
        <w:t xml:space="preserve"> of TLR4 </w:t>
      </w:r>
      <w:r w:rsidR="00106810" w:rsidRPr="003C0E2F">
        <w:t xml:space="preserve">ectodomains, which brings together the TIR domains </w:t>
      </w:r>
      <w:r w:rsidR="00A34235" w:rsidRPr="003C0E2F">
        <w:t xml:space="preserve">of </w:t>
      </w:r>
      <w:r w:rsidR="00106810" w:rsidRPr="003C0E2F">
        <w:t>TLR4</w:t>
      </w:r>
      <w:r w:rsidR="00F51B1C" w:rsidRPr="003C0E2F">
        <w:t xml:space="preserve"> may</w:t>
      </w:r>
      <w:r w:rsidR="00106810" w:rsidRPr="003C0E2F">
        <w:t xml:space="preserve"> </w:t>
      </w:r>
      <w:r w:rsidR="00A34235" w:rsidRPr="003C0E2F">
        <w:t>causes an increase in affinity</w:t>
      </w:r>
      <w:r w:rsidR="00F51B1C" w:rsidRPr="003C0E2F">
        <w:t xml:space="preserve"> for TIR-TIR interactions through formation of a cooperative assembly </w:t>
      </w:r>
      <w:sdt>
        <w:sdtPr>
          <w:tag w:val="MENDELEY_CITATION_v3_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"/>
          <w:id w:val="-1249731135"/>
          <w:placeholder>
            <w:docPart w:val="B7FD4C6823F04FA28BB814211C53171A"/>
          </w:placeholder>
        </w:sdtPr>
        <w:sdtEndPr/>
        <w:sdtContent>
          <w:r w:rsidR="00F257B9">
            <w:rPr>
              <w:rFonts w:eastAsia="Times New Roman"/>
            </w:rPr>
            <w:t>(</w:t>
          </w:r>
          <w:proofErr w:type="spellStart"/>
          <w:r w:rsidR="00F257B9">
            <w:rPr>
              <w:rFonts w:eastAsia="Times New Roman"/>
            </w:rPr>
            <w:t>Nimma</w:t>
          </w:r>
          <w:proofErr w:type="spellEnd"/>
          <w:r w:rsidR="00F257B9">
            <w:rPr>
              <w:rFonts w:eastAsia="Times New Roman"/>
            </w:rPr>
            <w:t xml:space="preserve"> </w:t>
          </w:r>
          <w:r w:rsidR="00F257B9">
            <w:rPr>
              <w:rFonts w:eastAsia="Times New Roman"/>
              <w:i/>
              <w:iCs/>
            </w:rPr>
            <w:t>et al.</w:t>
          </w:r>
          <w:r w:rsidR="00F257B9">
            <w:rPr>
              <w:rFonts w:eastAsia="Times New Roman"/>
            </w:rPr>
            <w:t>, 2017)</w:t>
          </w:r>
        </w:sdtContent>
      </w:sdt>
      <w:r w:rsidR="001574CD" w:rsidRPr="003C0E2F">
        <w:t>.</w:t>
      </w:r>
      <w:r w:rsidR="00422AB7" w:rsidRPr="003C0E2F">
        <w:t xml:space="preserve"> </w:t>
      </w:r>
    </w:p>
    <w:bookmarkEnd w:id="62"/>
    <w:p w14:paraId="3087C481" w14:textId="1DFDAC59" w:rsidR="003821B5" w:rsidRPr="003C0E2F" w:rsidRDefault="003821B5" w:rsidP="00C47D55">
      <w:r w:rsidRPr="003C0E2F">
        <w:t>MyD88 signalling</w:t>
      </w:r>
      <w:r w:rsidR="009321F5" w:rsidRPr="003C0E2F">
        <w:t xml:space="preserve"> occurs through formation of the </w:t>
      </w:r>
      <w:proofErr w:type="spellStart"/>
      <w:r w:rsidR="009321F5" w:rsidRPr="003C0E2F">
        <w:t>Mydd</w:t>
      </w:r>
      <w:r w:rsidR="007E76D2" w:rsidRPr="003C0E2F">
        <w:t>o</w:t>
      </w:r>
      <w:r w:rsidR="009321F5" w:rsidRPr="003C0E2F">
        <w:t>some</w:t>
      </w:r>
      <w:proofErr w:type="spellEnd"/>
      <w:r w:rsidR="009321F5" w:rsidRPr="003C0E2F">
        <w:t>, where</w:t>
      </w:r>
      <w:r w:rsidR="00A34235" w:rsidRPr="003C0E2F">
        <w:t>b</w:t>
      </w:r>
      <w:r w:rsidR="009321F5" w:rsidRPr="003C0E2F">
        <w:t>y</w:t>
      </w:r>
      <w:r w:rsidRPr="003C0E2F">
        <w:t xml:space="preserve"> recruitment of</w:t>
      </w:r>
      <w:r w:rsidR="00CB2380" w:rsidRPr="003C0E2F">
        <w:t xml:space="preserve"> MyD88 and</w:t>
      </w:r>
      <w:r w:rsidRPr="003C0E2F">
        <w:t xml:space="preserve"> IRAKs</w:t>
      </w:r>
      <w:r w:rsidR="009321F5" w:rsidRPr="003C0E2F">
        <w:t xml:space="preserve"> forms a platform signal transduction</w:t>
      </w:r>
      <w:r w:rsidR="00487C73" w:rsidRPr="003C0E2F">
        <w:t xml:space="preserve"> </w:t>
      </w:r>
      <w:sdt>
        <w:sdtPr>
          <w:rPr>
            <w:color w:val="000000"/>
          </w:rPr>
          <w:tag w:val="MENDELEY_CITATION_v3_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"/>
          <w:id w:val="-730771114"/>
          <w:placeholder>
            <w:docPart w:val="DefaultPlaceholder_-1854013440"/>
          </w:placeholder>
        </w:sdtPr>
        <w:sdtEndPr/>
        <w:sdtContent>
          <w:r w:rsidR="00F257B9" w:rsidRPr="00F257B9">
            <w:rPr>
              <w:color w:val="000000"/>
            </w:rPr>
            <w:t>(Lin, Lo and Wu, 2010)</w:t>
          </w:r>
        </w:sdtContent>
      </w:sdt>
      <w:r w:rsidR="009321F5" w:rsidRPr="003C0E2F">
        <w:t xml:space="preserve">. Downstream </w:t>
      </w:r>
      <w:r w:rsidR="00A0415D" w:rsidRPr="003C0E2F">
        <w:t>activation of NF-</w:t>
      </w:r>
      <w:proofErr w:type="spellStart"/>
      <w:r w:rsidR="00A0415D" w:rsidRPr="003C0E2F">
        <w:t>κB</w:t>
      </w:r>
      <w:proofErr w:type="spellEnd"/>
      <w:r w:rsidR="00A0415D" w:rsidRPr="003C0E2F">
        <w:t xml:space="preserve"> and</w:t>
      </w:r>
      <w:r w:rsidR="009321F5" w:rsidRPr="003C0E2F">
        <w:t xml:space="preserve"> MAPKs lea</w:t>
      </w:r>
      <w:r w:rsidR="00A0415D" w:rsidRPr="003C0E2F">
        <w:t>d</w:t>
      </w:r>
      <w:r w:rsidR="009321F5" w:rsidRPr="003C0E2F">
        <w:t xml:space="preserve"> to endpoint production of proinflammatory cytokines. </w:t>
      </w:r>
      <w:r w:rsidR="00163068" w:rsidRPr="003C0E2F">
        <w:t xml:space="preserve">Absence of MyD88 may diminish, but not abolish response to LPS </w:t>
      </w:r>
      <w:r w:rsidR="00121280" w:rsidRPr="003C0E2F">
        <w:t>leading</w:t>
      </w:r>
      <w:r w:rsidR="00163068" w:rsidRPr="003C0E2F">
        <w:t xml:space="preserve"> to the </w:t>
      </w:r>
      <w:r w:rsidR="00121280" w:rsidRPr="003C0E2F">
        <w:t>proposal of</w:t>
      </w:r>
      <w:r w:rsidR="00163068" w:rsidRPr="003C0E2F">
        <w:t xml:space="preserve"> an MyD88 </w:t>
      </w:r>
      <w:r w:rsidR="00121280" w:rsidRPr="003C0E2F">
        <w:t xml:space="preserve">dependent signalling pathway. This alternate pathway was attributed to TRIF </w:t>
      </w:r>
      <w:sdt>
        <w:sdtPr>
          <w:rPr>
            <w:color w:val="000000"/>
          </w:rPr>
          <w:tag w:val="MENDELEY_CITATION_v3_eyJjaXRhdGlvbklEIjoiTUVOREVMRVlfQ0lUQVRJT05fOGY2YTQ5MzAtY2VhNC00YzBjLWEwNzUtM2M1YjQxZDA2YWNi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GVuIjp0cnVlLCJjaXRlcHJvY1RleHQiOiIoWWFtYW1vdG8gPGk+ZXQgYWwuPC9pPiwgMjAwMykiLCJtYW51YWxPdmVycmlkZVRleHQiOiIoWWFtYW1vdG8gZXQgYWwuLCAyMDAzKS4ifX0="/>
          <w:id w:val="777301450"/>
          <w:placeholder>
            <w:docPart w:val="FFDEAA31E3C94AECA6E1A11861D14FF9"/>
          </w:placeholder>
        </w:sdtPr>
        <w:sdtEndPr/>
        <w:sdtContent>
          <w:r w:rsidR="00F257B9" w:rsidRPr="00F257B9">
            <w:rPr>
              <w:rFonts w:eastAsia="Times New Roman"/>
              <w:color w:val="000000"/>
            </w:rPr>
            <w:t>(Yamamoto et al., 2003).</w:t>
          </w:r>
        </w:sdtContent>
      </w:sdt>
      <w:r w:rsidR="00121280" w:rsidRPr="003C0E2F">
        <w:t xml:space="preserve"> </w:t>
      </w:r>
      <w:r w:rsidR="009321F5" w:rsidRPr="003C0E2F">
        <w:t>TRIF dependent signalling occurs following endosomal relocation of TLR4, TBK1 and IRF activation. These pathways further interact, with MyD88 signalling impaired by the absence of TRIF</w:t>
      </w:r>
      <w:r w:rsidR="009F4C6C" w:rsidRPr="003C0E2F">
        <w:t xml:space="preserve">  </w:t>
      </w:r>
      <w:sdt>
        <w:sdtPr>
          <w:tag w:val="MENDELEY_CITATION_v3_eyJjaXRhdGlvbklEIjoiTUVOREVMRVlfQ0lUQVRJT05fOTJjZTViM2YtMzc3OS00OWRhLThmOTYtYTc1NjkyZDY4MWEx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W4iOmZhbHNlLCJjaXRlcHJvY1RleHQiOiIoWWFtYW1vdG8gPGk+ZXQgYWwuPC9pPiwgMjAwMykiLCJtYW51YWxPdmVycmlkZVRleHQiOiIifX0="/>
          <w:id w:val="807827725"/>
          <w:placeholder>
            <w:docPart w:val="29D0AA6D25AA4507964EA1AF97FE7341"/>
          </w:placeholder>
        </w:sdtPr>
        <w:sdtEndPr/>
        <w:sdtContent>
          <w:r w:rsidR="00F257B9">
            <w:rPr>
              <w:rFonts w:eastAsia="Times New Roman"/>
            </w:rPr>
            <w:t xml:space="preserve">(Yamamoto </w:t>
          </w:r>
          <w:r w:rsidR="00F257B9">
            <w:rPr>
              <w:rFonts w:eastAsia="Times New Roman"/>
              <w:i/>
              <w:iCs/>
            </w:rPr>
            <w:t>et al.</w:t>
          </w:r>
          <w:r w:rsidR="00F257B9">
            <w:rPr>
              <w:rFonts w:eastAsia="Times New Roman"/>
            </w:rPr>
            <w:t>, 2003)</w:t>
          </w:r>
        </w:sdtContent>
      </w:sdt>
      <w:r w:rsidR="009321F5" w:rsidRPr="003C0E2F">
        <w:t xml:space="preserve">. </w:t>
      </w:r>
      <w:r w:rsidR="00C47D55" w:rsidRPr="003C0E2F">
        <w:t xml:space="preserve">These </w:t>
      </w:r>
      <w:r w:rsidR="001C4C16" w:rsidRPr="003C0E2F">
        <w:t xml:space="preserve">intracellular signalling cascades </w:t>
      </w:r>
      <w:r w:rsidR="00C47D55" w:rsidRPr="003C0E2F">
        <w:t>results in downstream production of proinflammatory proteins and interferons</w:t>
      </w:r>
      <w:r w:rsidR="001470D3" w:rsidRPr="003C0E2F">
        <w:t xml:space="preserve"> (Figure 4)</w:t>
      </w:r>
      <w:r w:rsidR="00C47D55" w:rsidRPr="003C0E2F">
        <w:t>.</w:t>
      </w:r>
    </w:p>
    <w:p w14:paraId="4A96126A" w14:textId="77777777" w:rsidR="003821B5" w:rsidRPr="003C0E2F" w:rsidRDefault="003821B5">
      <w:pPr>
        <w:spacing w:line="259" w:lineRule="auto"/>
      </w:pPr>
      <w:r w:rsidRPr="003C0E2F">
        <w:br w:type="page"/>
      </w:r>
    </w:p>
    <w:p w14:paraId="2CFE69F8" w14:textId="5A32098F" w:rsidR="00C81626" w:rsidRPr="003C0E2F" w:rsidRDefault="00C81626" w:rsidP="00425C0D">
      <w:pPr>
        <w:jc w:val="center"/>
        <w:rPr>
          <w:noProof/>
          <w:highlight w:val="yellow"/>
        </w:rPr>
      </w:pPr>
    </w:p>
    <w:p w14:paraId="638AE192" w14:textId="194E3BE3" w:rsidR="00031462" w:rsidRPr="003C0E2F" w:rsidRDefault="006459AD" w:rsidP="00894C18">
      <w:pPr>
        <w:pStyle w:val="NoSpacing"/>
      </w:pPr>
      <w:bookmarkStart w:id="63" w:name="_Toc48514464"/>
      <w:bookmarkStart w:id="64" w:name="_Toc48514815"/>
      <w:bookmarkStart w:id="65" w:name="_Toc55583725"/>
      <w:bookmarkStart w:id="66" w:name="_Toc55584902"/>
      <w:bookmarkStart w:id="67" w:name="_Toc60584018"/>
      <w:bookmarkStart w:id="68" w:name="_Toc60638138"/>
      <w:bookmarkStart w:id="69" w:name="_Toc60638856"/>
      <w:bookmarkStart w:id="70" w:name="_Toc63111990"/>
      <w:bookmarkStart w:id="71" w:name="_Toc63112207"/>
      <w:bookmarkStart w:id="72" w:name="_Toc63270347"/>
      <w:bookmarkStart w:id="73" w:name="_Toc64533214"/>
      <w:bookmarkStart w:id="74" w:name="_Toc64551761"/>
      <w:bookmarkStart w:id="75" w:name="_Toc80013806"/>
      <w:r w:rsidRPr="003C0E2F">
        <w:rPr>
          <w:noProof/>
        </w:rPr>
        <w:drawing>
          <wp:inline distT="0" distB="0" distL="0" distR="0" wp14:anchorId="695C3E77" wp14:editId="09120F0F">
            <wp:extent cx="5731510" cy="51808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31510" cy="5180871"/>
                    </a:xfrm>
                    <a:prstGeom prst="rect">
                      <a:avLst/>
                    </a:prstGeom>
                  </pic:spPr>
                </pic:pic>
              </a:graphicData>
            </a:graphic>
          </wp:inline>
        </w:drawing>
      </w:r>
    </w:p>
    <w:p w14:paraId="0940641E" w14:textId="59596886" w:rsidR="00C34E1A" w:rsidRPr="003C0E2F" w:rsidRDefault="00894C18" w:rsidP="00FB2FD3">
      <w:pPr>
        <w:pStyle w:val="NoSpacing"/>
      </w:pPr>
      <w:bookmarkStart w:id="76" w:name="_Toc82882945"/>
      <w:r w:rsidRPr="003C0E2F">
        <w:t xml:space="preserve">Figure </w:t>
      </w:r>
      <w:r w:rsidR="00BB038D">
        <w:fldChar w:fldCharType="begin"/>
      </w:r>
      <w:r w:rsidR="00BB038D">
        <w:instrText xml:space="preserve"> SEQ Figure \* ARABIC </w:instrText>
      </w:r>
      <w:r w:rsidR="00BB038D">
        <w:fldChar w:fldCharType="separate"/>
      </w:r>
      <w:r w:rsidR="000F2276">
        <w:rPr>
          <w:noProof/>
        </w:rPr>
        <w:t>4</w:t>
      </w:r>
      <w:r w:rsidR="00BB038D">
        <w:rPr>
          <w:noProof/>
        </w:rPr>
        <w:fldChar w:fldCharType="end"/>
      </w:r>
      <w:r w:rsidR="0035500F" w:rsidRPr="003C0E2F">
        <w:t>.</w:t>
      </w:r>
      <w:r w:rsidRPr="003C0E2F">
        <w:t xml:space="preserve"> </w:t>
      </w:r>
      <w:r w:rsidR="00817406" w:rsidRPr="003C0E2F">
        <w:t xml:space="preserve">TLR4 </w:t>
      </w:r>
      <w:r w:rsidR="006C4BF3" w:rsidRPr="003C0E2F">
        <w:t xml:space="preserve">signalling via </w:t>
      </w:r>
      <w:r w:rsidR="00817406" w:rsidRPr="003C0E2F">
        <w:t>MyD88-dependent and TRIF-dependent</w:t>
      </w:r>
      <w:r w:rsidR="006C4BF3" w:rsidRPr="003C0E2F">
        <w:t xml:space="preserve"> signalling pathways</w:t>
      </w:r>
      <w:r w:rsidRPr="003C0E2F">
        <w:t xml:space="preserve">. LBP and CD14 serve as a delivery system for LPS to the MD-2 co-receptor. These form a complex which initiates </w:t>
      </w:r>
      <w:proofErr w:type="spellStart"/>
      <w:r w:rsidRPr="003C0E2F">
        <w:t>dimer</w:t>
      </w:r>
      <w:r w:rsidR="00856375" w:rsidRPr="003C0E2F">
        <w:t>isa</w:t>
      </w:r>
      <w:r w:rsidR="00654A0D" w:rsidRPr="003C0E2F">
        <w:t>tion</w:t>
      </w:r>
      <w:proofErr w:type="spellEnd"/>
      <w:r w:rsidRPr="003C0E2F">
        <w:t xml:space="preserve"> of the ectodomains, recruitment of adaptor molecules and initiates intracellular </w:t>
      </w:r>
      <w:bookmarkEnd w:id="63"/>
      <w:bookmarkEnd w:id="64"/>
      <w:r w:rsidR="006C4BF3" w:rsidRPr="003C0E2F">
        <w:t xml:space="preserve">MyD88-depedent signalling leading to </w:t>
      </w:r>
      <w:r w:rsidR="003C0E2F" w:rsidRPr="003C0E2F">
        <w:t>downstream</w:t>
      </w:r>
      <w:r w:rsidR="006C4BF3" w:rsidRPr="003C0E2F">
        <w:t xml:space="preserve"> MAPK and NF-</w:t>
      </w:r>
      <w:proofErr w:type="spellStart"/>
      <w:r w:rsidR="006C4BF3" w:rsidRPr="003C0E2F">
        <w:t>κB</w:t>
      </w:r>
      <w:proofErr w:type="spellEnd"/>
      <w:r w:rsidR="006C4BF3" w:rsidRPr="003C0E2F">
        <w:t xml:space="preserve"> activation and subsequent proinflammatory protein production, or TRIF-dependent signalling via TRAF3 and TBK1 which results in IRF activation and endpoint production of interferons</w:t>
      </w:r>
      <w:bookmarkEnd w:id="65"/>
      <w:bookmarkEnd w:id="66"/>
      <w:bookmarkEnd w:id="67"/>
      <w:bookmarkEnd w:id="68"/>
      <w:bookmarkEnd w:id="69"/>
      <w:bookmarkEnd w:id="70"/>
      <w:bookmarkEnd w:id="71"/>
      <w:bookmarkEnd w:id="72"/>
      <w:bookmarkEnd w:id="73"/>
      <w:bookmarkEnd w:id="74"/>
      <w:bookmarkEnd w:id="75"/>
      <w:r w:rsidR="006C4BF3" w:rsidRPr="003C0E2F">
        <w:t xml:space="preserve"> </w:t>
      </w:r>
      <w:sdt>
        <w:sdtPr>
          <w:rPr>
            <w:i w:val="0"/>
            <w:color w:val="000000"/>
          </w:rPr>
          <w:tag w:val="MENDELEY_CITATION_v3_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"/>
          <w:id w:val="269051054"/>
          <w:placeholder>
            <w:docPart w:val="DefaultPlaceholder_-1854013440"/>
          </w:placeholder>
        </w:sdtPr>
        <w:sdtEndPr/>
        <w:sdtContent>
          <w:r w:rsidR="00F257B9" w:rsidRPr="00F257B9">
            <w:rPr>
              <w:i w:val="0"/>
              <w:color w:val="000000"/>
            </w:rPr>
            <w:t>(Wang et al., 2001; Lu, Yeh and Ohashi, 2008)</w:t>
          </w:r>
        </w:sdtContent>
      </w:sdt>
      <w:bookmarkEnd w:id="76"/>
    </w:p>
    <w:p w14:paraId="47590F85" w14:textId="77777777" w:rsidR="00C34E1A" w:rsidRPr="003C0E2F" w:rsidRDefault="00C34E1A">
      <w:pPr>
        <w:spacing w:line="259" w:lineRule="auto"/>
        <w:rPr>
          <w:rFonts w:asciiTheme="majorHAnsi" w:eastAsiaTheme="minorHAnsi" w:hAnsiTheme="majorHAnsi" w:cstheme="majorHAnsi"/>
          <w:i/>
          <w:lang w:eastAsia="en-US"/>
        </w:rPr>
      </w:pPr>
      <w:r w:rsidRPr="003C0E2F">
        <w:br w:type="page"/>
      </w:r>
    </w:p>
    <w:p w14:paraId="22C4E73E" w14:textId="4C85D04C" w:rsidR="00F64F9A" w:rsidRPr="003C0E2F" w:rsidRDefault="00176899" w:rsidP="00D55B0E">
      <w:pPr>
        <w:pStyle w:val="Heading3"/>
      </w:pPr>
      <w:r w:rsidRPr="003C0E2F">
        <w:lastRenderedPageBreak/>
        <w:t xml:space="preserve"> </w:t>
      </w:r>
      <w:bookmarkStart w:id="77" w:name="_Toc80013724"/>
      <w:bookmarkStart w:id="78" w:name="_Toc82882344"/>
      <w:r w:rsidR="00932BC2" w:rsidRPr="003C0E2F">
        <w:t>MyD88</w:t>
      </w:r>
      <w:r w:rsidR="00F64F9A" w:rsidRPr="003C0E2F">
        <w:t>-</w:t>
      </w:r>
      <w:r w:rsidR="009E0322" w:rsidRPr="003C0E2F">
        <w:t>dependent</w:t>
      </w:r>
      <w:r w:rsidR="00F64F9A" w:rsidRPr="003C0E2F">
        <w:t xml:space="preserve"> </w:t>
      </w:r>
      <w:r w:rsidR="000A1BFB" w:rsidRPr="003C0E2F">
        <w:t>TLR4</w:t>
      </w:r>
      <w:r w:rsidR="0006649C" w:rsidRPr="003C0E2F">
        <w:t xml:space="preserve"> </w:t>
      </w:r>
      <w:r w:rsidR="000A1BFB" w:rsidRPr="003C0E2F">
        <w:t>s</w:t>
      </w:r>
      <w:r w:rsidR="00F64F9A" w:rsidRPr="003C0E2F">
        <w:t xml:space="preserve">ignalling </w:t>
      </w:r>
      <w:r w:rsidR="000A1BFB" w:rsidRPr="003C0E2F">
        <w:t>p</w:t>
      </w:r>
      <w:r w:rsidR="00F64F9A" w:rsidRPr="003C0E2F">
        <w:t>athway</w:t>
      </w:r>
      <w:bookmarkEnd w:id="77"/>
      <w:bookmarkEnd w:id="78"/>
    </w:p>
    <w:p w14:paraId="4932A454" w14:textId="7EA0B037" w:rsidR="00840AB8" w:rsidRPr="003C0E2F" w:rsidRDefault="00932BC2" w:rsidP="00C47D55">
      <w:r w:rsidRPr="003C0E2F">
        <w:t>MyD88</w:t>
      </w:r>
      <w:r w:rsidR="00A9277D" w:rsidRPr="003C0E2F">
        <w:t>-</w:t>
      </w:r>
      <w:r w:rsidR="009E0322" w:rsidRPr="003C0E2F">
        <w:t>dependent</w:t>
      </w:r>
      <w:r w:rsidR="00C47D55" w:rsidRPr="003C0E2F">
        <w:t xml:space="preserve"> signalling is </w:t>
      </w:r>
      <w:r w:rsidR="00840AB8" w:rsidRPr="003C0E2F">
        <w:t>activated</w:t>
      </w:r>
      <w:r w:rsidR="00C47D55" w:rsidRPr="003C0E2F">
        <w:t xml:space="preserve"> following stimulation of TLR4 with LPS. For signal transduction to occur, a signalling complex i</w:t>
      </w:r>
      <w:r w:rsidR="0009156C" w:rsidRPr="003C0E2F">
        <w:t>s f</w:t>
      </w:r>
      <w:r w:rsidR="00F80E29" w:rsidRPr="003C0E2F">
        <w:t>orm</w:t>
      </w:r>
      <w:r w:rsidR="00C47D55" w:rsidRPr="003C0E2F">
        <w:t>ed with M</w:t>
      </w:r>
      <w:r w:rsidRPr="003C0E2F">
        <w:t>al</w:t>
      </w:r>
      <w:r w:rsidR="00C47D55" w:rsidRPr="003C0E2F">
        <w:t xml:space="preserve">, </w:t>
      </w:r>
      <w:r w:rsidRPr="003C0E2F">
        <w:t>MyD88</w:t>
      </w:r>
      <w:r w:rsidR="00C47D55" w:rsidRPr="003C0E2F">
        <w:t xml:space="preserve"> and the intracellular region of TLR4. Cleavage of Mal by Cas1 initiates the signalling cascade for </w:t>
      </w:r>
      <w:r w:rsidRPr="003C0E2F">
        <w:t>MyD88</w:t>
      </w:r>
      <w:r w:rsidR="00A9277D" w:rsidRPr="003C0E2F">
        <w:t>-</w:t>
      </w:r>
      <w:r w:rsidR="009E0322" w:rsidRPr="003C0E2F">
        <w:t>dependent</w:t>
      </w:r>
      <w:r w:rsidR="00C47D55" w:rsidRPr="003C0E2F">
        <w:t xml:space="preserve"> signalling. Inhibition of Cas1 prevents cleavage of Mal and can result in subsequent inhibition of </w:t>
      </w:r>
      <w:r w:rsidRPr="003C0E2F">
        <w:t>MyD88</w:t>
      </w:r>
      <w:r w:rsidR="00A9277D" w:rsidRPr="003C0E2F">
        <w:t>-</w:t>
      </w:r>
      <w:r w:rsidR="009E0322" w:rsidRPr="003C0E2F">
        <w:t>dependent</w:t>
      </w:r>
      <w:r w:rsidR="00C47D55" w:rsidRPr="003C0E2F">
        <w:t xml:space="preserve"> TLR4 signallin</w:t>
      </w:r>
      <w:r w:rsidR="00C714E2" w:rsidRPr="003C0E2F">
        <w:t xml:space="preserve">g </w:t>
      </w:r>
      <w:sdt>
        <w:sdtPr>
          <w:tag w:val="MENDELEY_CITATION_v3_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"/>
          <w:id w:val="2079481107"/>
          <w:placeholder>
            <w:docPart w:val="DefaultPlaceholder_-1854013440"/>
          </w:placeholder>
        </w:sdtPr>
        <w:sdtEndPr/>
        <w:sdtContent>
          <w:r w:rsidR="00F257B9">
            <w:rPr>
              <w:rFonts w:eastAsia="Times New Roman"/>
            </w:rPr>
            <w:t>(</w:t>
          </w:r>
          <w:proofErr w:type="spellStart"/>
          <w:r w:rsidR="00F257B9">
            <w:rPr>
              <w:rFonts w:eastAsia="Times New Roman"/>
            </w:rPr>
            <w:t>Miggin</w:t>
          </w:r>
          <w:proofErr w:type="spellEnd"/>
          <w:r w:rsidR="00F257B9">
            <w:rPr>
              <w:rFonts w:eastAsia="Times New Roman"/>
            </w:rPr>
            <w:t xml:space="preserve"> </w:t>
          </w:r>
          <w:r w:rsidR="00F257B9">
            <w:rPr>
              <w:rFonts w:eastAsia="Times New Roman"/>
              <w:i/>
              <w:iCs/>
            </w:rPr>
            <w:t>et al.</w:t>
          </w:r>
          <w:r w:rsidR="00F257B9">
            <w:rPr>
              <w:rFonts w:eastAsia="Times New Roman"/>
            </w:rPr>
            <w:t>, 2007)</w:t>
          </w:r>
        </w:sdtContent>
      </w:sdt>
      <w:r w:rsidR="00C47D55" w:rsidRPr="003C0E2F">
        <w:t xml:space="preserve">. </w:t>
      </w:r>
      <w:r w:rsidR="00840AB8" w:rsidRPr="003C0E2F">
        <w:t xml:space="preserve">Cas1 is therefore an integral accessory to </w:t>
      </w:r>
      <w:r w:rsidRPr="003C0E2F">
        <w:t>MyD88</w:t>
      </w:r>
      <w:r w:rsidR="00840AB8" w:rsidRPr="003C0E2F">
        <w:t>-</w:t>
      </w:r>
      <w:r w:rsidR="009E0322" w:rsidRPr="003C0E2F">
        <w:t>dependent</w:t>
      </w:r>
      <w:r w:rsidR="00840AB8" w:rsidRPr="003C0E2F">
        <w:t xml:space="preserve"> signalling, following which IRAKs 1 and 4 are recruited to the process. </w:t>
      </w:r>
    </w:p>
    <w:p w14:paraId="58B6197D" w14:textId="4AD9987A" w:rsidR="00C47D55" w:rsidRPr="003C0E2F" w:rsidRDefault="00C47D55" w:rsidP="00C47D55">
      <w:r w:rsidRPr="003C0E2F">
        <w:t>IRAK1 and IRAK4 were shown to play an important role in LPS</w:t>
      </w:r>
      <w:r w:rsidR="000A1BFB" w:rsidRPr="003C0E2F">
        <w:t xml:space="preserve"> induced</w:t>
      </w:r>
      <w:r w:rsidRPr="003C0E2F">
        <w:t xml:space="preserve"> signalling. IRAK deficiency produce</w:t>
      </w:r>
      <w:r w:rsidR="00840AB8" w:rsidRPr="003C0E2F">
        <w:t>s</w:t>
      </w:r>
      <w:r w:rsidRPr="003C0E2F">
        <w:t xml:space="preserve"> a slight reduction in downstream NF-</w:t>
      </w:r>
      <w:proofErr w:type="spellStart"/>
      <w:r w:rsidRPr="003C0E2F">
        <w:t>κB</w:t>
      </w:r>
      <w:proofErr w:type="spellEnd"/>
      <w:r w:rsidRPr="003C0E2F">
        <w:t xml:space="preserve"> and MAPKs </w:t>
      </w:r>
      <w:r w:rsidR="00C714E2" w:rsidRPr="003C0E2F">
        <w:t xml:space="preserve">activation </w:t>
      </w:r>
      <w:sdt>
        <w:sdtPr>
          <w:tag w:val="MENDELEY_CITATION_v3_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"/>
          <w:id w:val="835269994"/>
          <w:placeholder>
            <w:docPart w:val="DefaultPlaceholder_-1854013440"/>
          </w:placeholder>
        </w:sdtPr>
        <w:sdtEndPr/>
        <w:sdtContent>
          <w:r w:rsidR="00F257B9">
            <w:rPr>
              <w:rFonts w:eastAsia="Times New Roman"/>
            </w:rPr>
            <w:t>(</w:t>
          </w:r>
          <w:proofErr w:type="spellStart"/>
          <w:r w:rsidR="00F257B9">
            <w:rPr>
              <w:rFonts w:eastAsia="Times New Roman"/>
            </w:rPr>
            <w:t>Swantek</w:t>
          </w:r>
          <w:proofErr w:type="spellEnd"/>
          <w:r w:rsidR="00F257B9">
            <w:rPr>
              <w:rFonts w:eastAsia="Times New Roman"/>
            </w:rPr>
            <w:t xml:space="preserve"> </w:t>
          </w:r>
          <w:r w:rsidR="00F257B9">
            <w:rPr>
              <w:rFonts w:eastAsia="Times New Roman"/>
              <w:i/>
              <w:iCs/>
            </w:rPr>
            <w:t>et al.</w:t>
          </w:r>
          <w:r w:rsidR="00F257B9">
            <w:rPr>
              <w:rFonts w:eastAsia="Times New Roman"/>
            </w:rPr>
            <w:t>, 2000)</w:t>
          </w:r>
        </w:sdtContent>
      </w:sdt>
      <w:r w:rsidRPr="003C0E2F">
        <w:t xml:space="preserve">. IRAK4 deficiency can prevent IL-6, TNFα and </w:t>
      </w:r>
      <w:r w:rsidR="007A0F7C" w:rsidRPr="003C0E2F">
        <w:t>IL-1</w:t>
      </w:r>
      <w:r w:rsidRPr="003C0E2F">
        <w:t xml:space="preserve"> production in response to LPS challenge in KO mice, which showed almost complete inhibition compared to WT animals</w:t>
      </w:r>
      <w:r w:rsidR="00F37DA5" w:rsidRPr="003C0E2F">
        <w:t xml:space="preserve"> </w:t>
      </w:r>
      <w:bookmarkStart w:id="79" w:name="_Hlk80819019"/>
      <w:sdt>
        <w:sdtPr>
          <w:tag w:val="MENDELEY_CITATION_v3_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"/>
          <w:id w:val="1963075903"/>
          <w:placeholder>
            <w:docPart w:val="DefaultPlaceholder_-1854013440"/>
          </w:placeholder>
        </w:sdtPr>
        <w:sdtEndPr/>
        <w:sdtContent>
          <w:r w:rsidR="00F257B9">
            <w:rPr>
              <w:rFonts w:eastAsia="Times New Roman"/>
            </w:rPr>
            <w:t xml:space="preserve">(Suzuki </w:t>
          </w:r>
          <w:r w:rsidR="00F257B9">
            <w:rPr>
              <w:rFonts w:eastAsia="Times New Roman"/>
              <w:i/>
              <w:iCs/>
            </w:rPr>
            <w:t>et al.</w:t>
          </w:r>
          <w:r w:rsidR="00F257B9">
            <w:rPr>
              <w:rFonts w:eastAsia="Times New Roman"/>
            </w:rPr>
            <w:t>, 2002)</w:t>
          </w:r>
        </w:sdtContent>
      </w:sdt>
      <w:bookmarkEnd w:id="79"/>
      <w:r w:rsidRPr="003C0E2F">
        <w:t xml:space="preserve">. Survivability of animals following </w:t>
      </w:r>
      <w:r w:rsidR="00F65A5C" w:rsidRPr="003C0E2F">
        <w:rPr>
          <w:i/>
          <w:iCs/>
        </w:rPr>
        <w:t xml:space="preserve">Staphylococcus </w:t>
      </w:r>
      <w:r w:rsidRPr="003C0E2F">
        <w:rPr>
          <w:i/>
          <w:iCs/>
        </w:rPr>
        <w:t>aureus</w:t>
      </w:r>
      <w:r w:rsidRPr="003C0E2F">
        <w:t xml:space="preserve"> infection was severely impaired, with 0% survival rate after 10 days, compared to 80% in WT mice. However, KO mice were protected from LPS</w:t>
      </w:r>
      <w:r w:rsidR="000A1BFB" w:rsidRPr="003C0E2F">
        <w:t xml:space="preserve"> induced</w:t>
      </w:r>
      <w:r w:rsidRPr="003C0E2F">
        <w:t xml:space="preserve"> septic shock </w:t>
      </w:r>
      <w:sdt>
        <w:sdtPr>
          <w:tag w:val="MENDELEY_CITATION_v3_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"/>
          <w:id w:val="-667095951"/>
          <w:placeholder>
            <w:docPart w:val="DefaultPlaceholder_-1854013440"/>
          </w:placeholder>
        </w:sdtPr>
        <w:sdtEndPr/>
        <w:sdtContent>
          <w:r w:rsidR="00F257B9">
            <w:rPr>
              <w:rFonts w:eastAsia="Times New Roman"/>
            </w:rPr>
            <w:t xml:space="preserve">(Suzuki </w:t>
          </w:r>
          <w:r w:rsidR="00F257B9">
            <w:rPr>
              <w:rFonts w:eastAsia="Times New Roman"/>
              <w:i/>
              <w:iCs/>
            </w:rPr>
            <w:t>et al.</w:t>
          </w:r>
          <w:r w:rsidR="00F257B9">
            <w:rPr>
              <w:rFonts w:eastAsia="Times New Roman"/>
            </w:rPr>
            <w:t>, 2002)</w:t>
          </w:r>
        </w:sdtContent>
      </w:sdt>
      <w:r w:rsidRPr="003C0E2F">
        <w:t>. This showed that IRAKs, and more specifically IRAK4, are in important part of LPS</w:t>
      </w:r>
      <w:r w:rsidR="000A1BFB" w:rsidRPr="003C0E2F">
        <w:t xml:space="preserve"> induced</w:t>
      </w:r>
      <w:r w:rsidRPr="003C0E2F">
        <w:t xml:space="preserve"> TLR4 signalling.</w:t>
      </w:r>
    </w:p>
    <w:p w14:paraId="4D1E57B2" w14:textId="541F7807" w:rsidR="00C47D55" w:rsidRPr="003C0E2F" w:rsidRDefault="00C47D55" w:rsidP="00C47D55">
      <w:r w:rsidRPr="003C0E2F">
        <w:t xml:space="preserve">Beyond IRAK recruitment, TRAF 6 has been shown to be an important part of </w:t>
      </w:r>
      <w:r w:rsidR="00932BC2" w:rsidRPr="003C0E2F">
        <w:t>MyD88</w:t>
      </w:r>
      <w:r w:rsidR="00A9277D" w:rsidRPr="003C0E2F">
        <w:t>-</w:t>
      </w:r>
      <w:r w:rsidR="009E0322" w:rsidRPr="003C0E2F">
        <w:t>dependent</w:t>
      </w:r>
      <w:r w:rsidRPr="003C0E2F">
        <w:t xml:space="preserve"> signalling. Following LPS stimulation, TRAF6 deficient </w:t>
      </w:r>
      <w:r w:rsidR="008F561F" w:rsidRPr="003C0E2F">
        <w:t>macrophage</w:t>
      </w:r>
      <w:r w:rsidRPr="003C0E2F">
        <w:t xml:space="preserve">s showed a delay in IKK and MAPK activation and a substantial reduction of TNFα and IL-6 was seen after at 4 and 12 hours </w:t>
      </w:r>
      <w:sdt>
        <w:sdtPr>
          <w:rPr>
            <w:color w:val="000000"/>
          </w:rPr>
          <w:tag w:val="MENDELEY_CITATION_v3_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"/>
          <w:id w:val="-589619208"/>
          <w:placeholder>
            <w:docPart w:val="DefaultPlaceholder_-1854013440"/>
          </w:placeholder>
          <w15:appearance w15:val="hidden"/>
        </w:sdtPr>
        <w:sdtEndPr/>
        <w:sdtContent>
          <w:r w:rsidR="00F257B9" w:rsidRPr="00F257B9">
            <w:rPr>
              <w:color w:val="000000"/>
            </w:rPr>
            <w:t>(</w:t>
          </w:r>
          <w:proofErr w:type="spellStart"/>
          <w:r w:rsidR="00F257B9" w:rsidRPr="00F257B9">
            <w:rPr>
              <w:color w:val="000000"/>
            </w:rPr>
            <w:t>Gohda</w:t>
          </w:r>
          <w:proofErr w:type="spellEnd"/>
          <w:r w:rsidR="00F257B9" w:rsidRPr="00F257B9">
            <w:rPr>
              <w:color w:val="000000"/>
            </w:rPr>
            <w:t>, Matsumura and Inoue, 2004)</w:t>
          </w:r>
        </w:sdtContent>
      </w:sdt>
      <w:r w:rsidRPr="003C0E2F">
        <w:t xml:space="preserve">. This was proposed to be a result of </w:t>
      </w:r>
      <w:r w:rsidR="00672491" w:rsidRPr="003C0E2F">
        <w:t xml:space="preserve">a </w:t>
      </w:r>
      <w:r w:rsidRPr="003C0E2F">
        <w:t xml:space="preserve">secondary late </w:t>
      </w:r>
      <w:r w:rsidR="00672491" w:rsidRPr="003C0E2F">
        <w:t xml:space="preserve">phase </w:t>
      </w:r>
      <w:r w:rsidRPr="003C0E2F">
        <w:t>activation of NF-</w:t>
      </w:r>
      <w:proofErr w:type="spellStart"/>
      <w:r w:rsidRPr="003C0E2F">
        <w:t>κB</w:t>
      </w:r>
      <w:proofErr w:type="spellEnd"/>
      <w:r w:rsidRPr="003C0E2F">
        <w:t xml:space="preserve"> and may be the result of synergistic activation of I</w:t>
      </w:r>
      <w:r w:rsidR="008612D0" w:rsidRPr="003C0E2F">
        <w:t>KK</w:t>
      </w:r>
      <w:r w:rsidRPr="003C0E2F">
        <w:t>s via TRIF</w:t>
      </w:r>
      <w:r w:rsidR="00C660DB" w:rsidRPr="003C0E2F">
        <w:t xml:space="preserve"> </w:t>
      </w:r>
      <w:sdt>
        <w:sdtPr>
          <w:tag w:val="MENDELEY_CITATION_v3_eyJjaXRhdGlvbklEIjoiTUVOREVMRVlfQ0lUQVRJT05fYWNjYTBkMjctYTY4Ni00OGI5LTliNTUtZjk2ZjZlYzQzNmVh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W4iOmZhbHNlLCJjaXRlcHJvY1RleHQiOiIoWWFtYW1vdG8gPGk+ZXQgYWwuPC9pPiwgMjAwMykiLCJtYW51YWxPdmVycmlkZVRleHQiOiIifX0="/>
          <w:id w:val="-1703018915"/>
          <w:placeholder>
            <w:docPart w:val="DefaultPlaceholder_-1854013440"/>
          </w:placeholder>
        </w:sdtPr>
        <w:sdtEndPr/>
        <w:sdtContent>
          <w:r w:rsidR="00F257B9">
            <w:rPr>
              <w:rFonts w:eastAsia="Times New Roman"/>
            </w:rPr>
            <w:t xml:space="preserve">(Yamamoto </w:t>
          </w:r>
          <w:r w:rsidR="00F257B9">
            <w:rPr>
              <w:rFonts w:eastAsia="Times New Roman"/>
              <w:i/>
              <w:iCs/>
            </w:rPr>
            <w:t>et al.</w:t>
          </w:r>
          <w:r w:rsidR="00F257B9">
            <w:rPr>
              <w:rFonts w:eastAsia="Times New Roman"/>
            </w:rPr>
            <w:t>, 2003)</w:t>
          </w:r>
        </w:sdtContent>
      </w:sdt>
      <w:r w:rsidRPr="003C0E2F">
        <w:t>. Phosphorylation of IKK leads to release of NF-</w:t>
      </w:r>
      <w:proofErr w:type="spellStart"/>
      <w:r w:rsidRPr="003C0E2F">
        <w:t>κB</w:t>
      </w:r>
      <w:proofErr w:type="spellEnd"/>
      <w:r w:rsidRPr="003C0E2F">
        <w:t xml:space="preserve">, whereas MKK6 is associated with JNK and </w:t>
      </w:r>
      <w:r w:rsidR="00274B79" w:rsidRPr="003C0E2F">
        <w:t>P38</w:t>
      </w:r>
      <w:r w:rsidRPr="003C0E2F">
        <w:t xml:space="preserve"> MAPK pathways. </w:t>
      </w:r>
    </w:p>
    <w:p w14:paraId="5F7EC6C2" w14:textId="1D9BDC6A" w:rsidR="00C47D55" w:rsidRPr="003C0E2F" w:rsidRDefault="00C47D55">
      <w:pPr>
        <w:spacing w:line="259" w:lineRule="auto"/>
      </w:pPr>
      <w:r w:rsidRPr="003C0E2F">
        <w:br w:type="page"/>
      </w:r>
    </w:p>
    <w:p w14:paraId="76E80385" w14:textId="6036C10C" w:rsidR="00F64F9A" w:rsidRPr="003C0E2F" w:rsidRDefault="00F64F9A" w:rsidP="00D55B0E">
      <w:pPr>
        <w:pStyle w:val="Heading3"/>
      </w:pPr>
      <w:bookmarkStart w:id="80" w:name="_Toc80013725"/>
      <w:bookmarkStart w:id="81" w:name="_Toc82882345"/>
      <w:r w:rsidRPr="003C0E2F">
        <w:lastRenderedPageBreak/>
        <w:t>TRIF</w:t>
      </w:r>
      <w:r w:rsidR="00B51C2B" w:rsidRPr="003C0E2F">
        <w:t>-</w:t>
      </w:r>
      <w:r w:rsidR="009E0322" w:rsidRPr="003C0E2F">
        <w:t>dependent</w:t>
      </w:r>
      <w:r w:rsidRPr="003C0E2F">
        <w:t xml:space="preserve"> </w:t>
      </w:r>
      <w:r w:rsidR="000A1BFB" w:rsidRPr="003C0E2F">
        <w:t>TLR4</w:t>
      </w:r>
      <w:r w:rsidR="0006649C" w:rsidRPr="003C0E2F">
        <w:t xml:space="preserve"> </w:t>
      </w:r>
      <w:r w:rsidR="000A1BFB" w:rsidRPr="003C0E2F">
        <w:t>s</w:t>
      </w:r>
      <w:r w:rsidRPr="003C0E2F">
        <w:t xml:space="preserve">ignalling </w:t>
      </w:r>
      <w:r w:rsidR="00B51C2B" w:rsidRPr="003C0E2F">
        <w:t>p</w:t>
      </w:r>
      <w:r w:rsidRPr="003C0E2F">
        <w:t>athway</w:t>
      </w:r>
      <w:bookmarkEnd w:id="80"/>
      <w:bookmarkEnd w:id="81"/>
    </w:p>
    <w:p w14:paraId="08D854AE" w14:textId="76079D69" w:rsidR="00436117" w:rsidRPr="003C0E2F" w:rsidRDefault="00C47D55" w:rsidP="00C47D55">
      <w:bookmarkStart w:id="82" w:name="_Hlk80909058"/>
      <w:r w:rsidRPr="003C0E2F">
        <w:t xml:space="preserve">TLR4 signalling can still occur in the absence of </w:t>
      </w:r>
      <w:r w:rsidR="00932BC2" w:rsidRPr="003C0E2F">
        <w:t>MyD88</w:t>
      </w:r>
      <w:r w:rsidRPr="003C0E2F">
        <w:t xml:space="preserve">. </w:t>
      </w:r>
      <w:bookmarkStart w:id="83" w:name="_Hlk80956724"/>
      <w:r w:rsidR="00436117" w:rsidRPr="003C0E2F">
        <w:t xml:space="preserve">While </w:t>
      </w:r>
      <w:r w:rsidR="003348EC" w:rsidRPr="003C0E2F">
        <w:t xml:space="preserve">it was observed that responsiveness to LPS is diminished </w:t>
      </w:r>
      <w:r w:rsidR="00436117" w:rsidRPr="003C0E2F">
        <w:t xml:space="preserve">in absence of MyD88, </w:t>
      </w:r>
      <w:r w:rsidR="003348EC" w:rsidRPr="003C0E2F">
        <w:t>there remained some activation of NF-</w:t>
      </w:r>
      <w:proofErr w:type="spellStart"/>
      <w:r w:rsidR="003348EC" w:rsidRPr="003C0E2F">
        <w:t>κB</w:t>
      </w:r>
      <w:proofErr w:type="spellEnd"/>
      <w:r w:rsidR="003348EC" w:rsidRPr="003C0E2F">
        <w:t>, MAPKS, IRF-3 and IP-10 releas</w:t>
      </w:r>
      <w:r w:rsidR="0029378B" w:rsidRPr="003C0E2F">
        <w:t>e</w:t>
      </w:r>
      <w:r w:rsidR="003348EC" w:rsidRPr="003C0E2F">
        <w:t xml:space="preserve"> </w:t>
      </w:r>
      <w:sdt>
        <w:sdtPr>
          <w:tag w:val="MENDELEY_CITATION_v3_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"/>
          <w:id w:val="688640515"/>
          <w:placeholder>
            <w:docPart w:val="DefaultPlaceholder_-1854013440"/>
          </w:placeholder>
        </w:sdtPr>
        <w:sdtEndPr/>
        <w:sdtContent>
          <w:r w:rsidR="00F257B9">
            <w:rPr>
              <w:rFonts w:eastAsia="Times New Roman"/>
            </w:rPr>
            <w:t xml:space="preserve">(Kawai </w:t>
          </w:r>
          <w:r w:rsidR="00F257B9">
            <w:rPr>
              <w:rFonts w:eastAsia="Times New Roman"/>
              <w:i/>
              <w:iCs/>
            </w:rPr>
            <w:t>et al.</w:t>
          </w:r>
          <w:r w:rsidR="00F257B9">
            <w:rPr>
              <w:rFonts w:eastAsia="Times New Roman"/>
            </w:rPr>
            <w:t>, 1999, 2001)</w:t>
          </w:r>
        </w:sdtContent>
      </w:sdt>
      <w:r w:rsidR="003348EC" w:rsidRPr="003C0E2F">
        <w:t>.</w:t>
      </w:r>
      <w:r w:rsidR="00436117" w:rsidRPr="003C0E2F">
        <w:t xml:space="preserve"> </w:t>
      </w:r>
      <w:r w:rsidR="00376739" w:rsidRPr="003C0E2F">
        <w:t>Th</w:t>
      </w:r>
      <w:r w:rsidR="003348EC" w:rsidRPr="003C0E2F">
        <w:t>is</w:t>
      </w:r>
      <w:r w:rsidR="00436117" w:rsidRPr="003C0E2F">
        <w:t xml:space="preserve"> responsiveness to LPS in absence of MyD88 led to the proposal of an</w:t>
      </w:r>
      <w:r w:rsidR="00376739" w:rsidRPr="003C0E2F">
        <w:t xml:space="preserve"> </w:t>
      </w:r>
      <w:r w:rsidR="0029378B" w:rsidRPr="003C0E2F">
        <w:t>alternate MyD88-</w:t>
      </w:r>
      <w:r w:rsidR="00376739" w:rsidRPr="003C0E2F">
        <w:t>independent pathway</w:t>
      </w:r>
      <w:r w:rsidR="00436117" w:rsidRPr="003C0E2F">
        <w:t>, which</w:t>
      </w:r>
      <w:r w:rsidR="00376739" w:rsidRPr="003C0E2F">
        <w:t xml:space="preserve"> was later attributed to a TRIF-dependent signalling cascade </w:t>
      </w:r>
      <w:sdt>
        <w:sdtPr>
          <w:rPr>
            <w:color w:val="000000"/>
          </w:rPr>
          <w:tag w:val="MENDELEY_CITATION_v3_eyJjaXRhdGlvbklEIjoiTUVOREVMRVlfQ0lUQVRJT05fMmJhMGFmZTAtMmZkNC00NzRhLWJkMWQtY2I2NjNiNTE4N2Jm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GVuIjp0cnVlLCJjaXRlcHJvY1RleHQiOiIoWWFtYW1vdG8gPGk+ZXQgYWwuPC9pPiwgMjAwMykiLCJtYW51YWxPdmVycmlkZVRleHQiOiIoWWFtYW1vdG8gZXQgYWwuLCAyMDAzKS4ifX0="/>
          <w:id w:val="-53925477"/>
          <w:placeholder>
            <w:docPart w:val="DefaultPlaceholder_-1854013440"/>
          </w:placeholder>
        </w:sdtPr>
        <w:sdtEndPr/>
        <w:sdtContent>
          <w:r w:rsidR="00F257B9" w:rsidRPr="00F257B9">
            <w:rPr>
              <w:rFonts w:eastAsia="Times New Roman"/>
              <w:color w:val="000000"/>
            </w:rPr>
            <w:t>(Yamamoto et al., 2003).</w:t>
          </w:r>
        </w:sdtContent>
      </w:sdt>
      <w:r w:rsidR="00436117" w:rsidRPr="003C0E2F">
        <w:t xml:space="preserve"> </w:t>
      </w:r>
      <w:bookmarkEnd w:id="83"/>
    </w:p>
    <w:bookmarkEnd w:id="82"/>
    <w:p w14:paraId="22A7AF3A" w14:textId="084F5B91" w:rsidR="00C47D55" w:rsidRPr="003C0E2F" w:rsidRDefault="00C47D55" w:rsidP="00C47D55">
      <w:r w:rsidRPr="003C0E2F">
        <w:t xml:space="preserve">TLR4 is the only TLR known to utilise both </w:t>
      </w:r>
      <w:r w:rsidR="00932BC2" w:rsidRPr="003C0E2F">
        <w:t>MyD88</w:t>
      </w:r>
      <w:r w:rsidRPr="003C0E2F">
        <w:t xml:space="preserve"> and </w:t>
      </w:r>
      <w:r w:rsidR="00A9277D" w:rsidRPr="003C0E2F">
        <w:t>TRIF-</w:t>
      </w:r>
      <w:r w:rsidR="009E0322" w:rsidRPr="003C0E2F">
        <w:t>dependent</w:t>
      </w:r>
      <w:r w:rsidRPr="003C0E2F">
        <w:t xml:space="preserve"> signalling, where others are usually associated with one or the other. TLR4</w:t>
      </w:r>
      <w:r w:rsidR="00E56AB6" w:rsidRPr="003C0E2F">
        <w:t xml:space="preserve"> activation</w:t>
      </w:r>
      <w:r w:rsidRPr="003C0E2F">
        <w:t xml:space="preserve"> was shown to be impaired in absence of TRIF and </w:t>
      </w:r>
      <w:r w:rsidR="00E56AB6" w:rsidRPr="003C0E2F">
        <w:t xml:space="preserve">capacity for </w:t>
      </w:r>
      <w:r w:rsidRPr="003C0E2F">
        <w:t>NF-</w:t>
      </w:r>
      <w:proofErr w:type="spellStart"/>
      <w:r w:rsidRPr="003C0E2F">
        <w:t>κB</w:t>
      </w:r>
      <w:proofErr w:type="spellEnd"/>
      <w:r w:rsidRPr="003C0E2F">
        <w:t xml:space="preserve"> activation was lost in </w:t>
      </w:r>
      <w:r w:rsidR="00932BC2" w:rsidRPr="003C0E2F">
        <w:t>MyD88</w:t>
      </w:r>
      <w:r w:rsidRPr="003C0E2F">
        <w:t xml:space="preserve"> and TRIF deficient mice</w:t>
      </w:r>
      <w:r w:rsidR="004D795C" w:rsidRPr="003C0E2F">
        <w:t xml:space="preserve"> </w:t>
      </w:r>
      <w:sdt>
        <w:sdtPr>
          <w:tag w:val="MENDELEY_CITATION_v3_eyJjaXRhdGlvbklEIjoiTUVOREVMRVlfQ0lUQVRJT05fMTNkYmE5NmYtMmFiZi00MzEzLTgwNDQtYjczYjdhOWNmZDkw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W4iOmZhbHNlLCJjaXRlcHJvY1RleHQiOiIoWWFtYW1vdG8gPGk+ZXQgYWwuPC9pPiwgMjAwMykiLCJtYW51YWxPdmVycmlkZVRleHQiOiIifX0="/>
          <w:id w:val="200060875"/>
          <w:placeholder>
            <w:docPart w:val="DefaultPlaceholder_-1854013440"/>
          </w:placeholder>
        </w:sdtPr>
        <w:sdtEndPr/>
        <w:sdtContent>
          <w:r w:rsidR="00F257B9">
            <w:rPr>
              <w:rFonts w:eastAsia="Times New Roman"/>
            </w:rPr>
            <w:t xml:space="preserve">(Yamamoto </w:t>
          </w:r>
          <w:r w:rsidR="00F257B9">
            <w:rPr>
              <w:rFonts w:eastAsia="Times New Roman"/>
              <w:i/>
              <w:iCs/>
            </w:rPr>
            <w:t>et al.</w:t>
          </w:r>
          <w:r w:rsidR="00F257B9">
            <w:rPr>
              <w:rFonts w:eastAsia="Times New Roman"/>
            </w:rPr>
            <w:t>, 2003)</w:t>
          </w:r>
        </w:sdtContent>
      </w:sdt>
      <w:r w:rsidRPr="003C0E2F">
        <w:t xml:space="preserve">. As with </w:t>
      </w:r>
      <w:r w:rsidR="00932BC2" w:rsidRPr="003C0E2F">
        <w:t>MyD88</w:t>
      </w:r>
      <w:r w:rsidRPr="003C0E2F">
        <w:t>-</w:t>
      </w:r>
      <w:r w:rsidR="009E0322" w:rsidRPr="003C0E2F">
        <w:t>dependent</w:t>
      </w:r>
      <w:r w:rsidRPr="003C0E2F">
        <w:t xml:space="preserve"> signalling, an adapt</w:t>
      </w:r>
      <w:r w:rsidR="00657CA3" w:rsidRPr="003C0E2F">
        <w:t>o</w:t>
      </w:r>
      <w:r w:rsidRPr="003C0E2F">
        <w:t xml:space="preserve">r protein is required to facilitate the interaction with the signalling domain. </w:t>
      </w:r>
      <w:bookmarkStart w:id="84" w:name="_Hlk80832850"/>
      <w:r w:rsidRPr="003C0E2F">
        <w:t>Electronegative TRAM bridges TRIF and the signalling domain of TLR4 to allow for interaction between th</w:t>
      </w:r>
      <w:r w:rsidR="009026CE" w:rsidRPr="003C0E2F">
        <w:t xml:space="preserve">e two, </w:t>
      </w:r>
      <w:bookmarkEnd w:id="84"/>
      <w:r w:rsidR="009026CE" w:rsidRPr="003C0E2F">
        <w:t xml:space="preserve">which are generally positively charged and would otherwise not be </w:t>
      </w:r>
      <w:r w:rsidR="002A0546" w:rsidRPr="003C0E2F">
        <w:t>interact</w:t>
      </w:r>
      <w:r w:rsidR="009026CE" w:rsidRPr="003C0E2F">
        <w:t xml:space="preserve"> with one another. </w:t>
      </w:r>
      <w:r w:rsidRPr="003C0E2F">
        <w:t xml:space="preserve">Absence of TRAM in peritoneal </w:t>
      </w:r>
      <w:r w:rsidR="008F561F" w:rsidRPr="003C0E2F">
        <w:t>macrophage</w:t>
      </w:r>
      <w:r w:rsidRPr="003C0E2F">
        <w:t xml:space="preserve">s and lung fibroblasts were both associated with an absence of </w:t>
      </w:r>
      <w:r w:rsidR="00E56AB6" w:rsidRPr="003C0E2F">
        <w:t xml:space="preserve">downstream phosphorylation of </w:t>
      </w:r>
      <w:r w:rsidRPr="003C0E2F">
        <w:t xml:space="preserve">STAT-1 compared to controls, while Poly I:C stimulated cells showed no difference in WT and KO cells </w:t>
      </w:r>
      <w:sdt>
        <w:sdtPr>
          <w:tag w:val="MENDELEY_CITATION_v3_eyJjaXRhdGlvbklEIjoiTUVOREVMRVlfQ0lUQVRJT05fNTcwYzYwNTgtM2FhYi00MzIyLWExY2MtZmNlYTAwM2ZhODEz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W4iOmZhbHNlLCJjaXRlcHJvY1RleHQiOiIoWWFtYW1vdG8gPGk+ZXQgYWwuPC9pPiwgMjAwMykiLCJtYW51YWxPdmVycmlkZVRleHQiOiIifX0="/>
          <w:id w:val="455767648"/>
          <w:placeholder>
            <w:docPart w:val="DefaultPlaceholder_-1854013440"/>
          </w:placeholder>
        </w:sdtPr>
        <w:sdtEndPr/>
        <w:sdtContent>
          <w:r w:rsidR="00F257B9">
            <w:rPr>
              <w:rFonts w:eastAsia="Times New Roman"/>
            </w:rPr>
            <w:t xml:space="preserve">(Yamamoto </w:t>
          </w:r>
          <w:r w:rsidR="00F257B9">
            <w:rPr>
              <w:rFonts w:eastAsia="Times New Roman"/>
              <w:i/>
              <w:iCs/>
            </w:rPr>
            <w:t>et al.</w:t>
          </w:r>
          <w:r w:rsidR="00F257B9">
            <w:rPr>
              <w:rFonts w:eastAsia="Times New Roman"/>
            </w:rPr>
            <w:t>, 2003)</w:t>
          </w:r>
        </w:sdtContent>
      </w:sdt>
      <w:r w:rsidR="002A0546" w:rsidRPr="003C0E2F">
        <w:t>.</w:t>
      </w:r>
    </w:p>
    <w:p w14:paraId="15F9F97F" w14:textId="53EB4C54" w:rsidR="00C47D55" w:rsidRPr="003C0E2F" w:rsidRDefault="00C47D55" w:rsidP="00C47D55">
      <w:r w:rsidRPr="003C0E2F">
        <w:t xml:space="preserve">While </w:t>
      </w:r>
      <w:r w:rsidR="00A9277D" w:rsidRPr="003C0E2F">
        <w:t>TRIF-</w:t>
      </w:r>
      <w:r w:rsidR="009E0322" w:rsidRPr="003C0E2F">
        <w:t>dependent</w:t>
      </w:r>
      <w:r w:rsidRPr="003C0E2F">
        <w:t xml:space="preserve"> signalling can</w:t>
      </w:r>
      <w:r w:rsidR="00E56AB6" w:rsidRPr="003C0E2F">
        <w:t xml:space="preserve"> still</w:t>
      </w:r>
      <w:r w:rsidRPr="003C0E2F">
        <w:t xml:space="preserve"> occur in the absence of </w:t>
      </w:r>
      <w:r w:rsidR="00932BC2" w:rsidRPr="003C0E2F">
        <w:t>MyD88</w:t>
      </w:r>
      <w:r w:rsidRPr="003C0E2F">
        <w:t xml:space="preserve">, the </w:t>
      </w:r>
      <w:r w:rsidR="00E56AB6" w:rsidRPr="003C0E2F">
        <w:t>sam</w:t>
      </w:r>
      <w:r w:rsidRPr="003C0E2F">
        <w:t>e is not the case</w:t>
      </w:r>
      <w:r w:rsidR="00E56AB6" w:rsidRPr="003C0E2F">
        <w:t xml:space="preserve"> for </w:t>
      </w:r>
      <w:r w:rsidR="00932BC2" w:rsidRPr="003C0E2F">
        <w:t>MyD88</w:t>
      </w:r>
      <w:r w:rsidR="00E56AB6" w:rsidRPr="003C0E2F">
        <w:t>-</w:t>
      </w:r>
      <w:r w:rsidR="009E0322" w:rsidRPr="003C0E2F">
        <w:t>dependent</w:t>
      </w:r>
      <w:r w:rsidR="00E56AB6" w:rsidRPr="003C0E2F">
        <w:t xml:space="preserve"> signalling</w:t>
      </w:r>
      <w:r w:rsidRPr="003C0E2F">
        <w:t>. Absence of TRIF can result in a lack of response to stimuli and TRAM deficient mice also showed diminished response to LPS as compared to wild-type mice, where negligible levels of TNFα, IL-6 and IL-12 production in 1-100ng/</w:t>
      </w:r>
      <w:r w:rsidR="00005854" w:rsidRPr="003C0E2F">
        <w:t xml:space="preserve">mL </w:t>
      </w:r>
      <w:r w:rsidRPr="003C0E2F">
        <w:t xml:space="preserve">treatments versus control animals, suggesting an important involvement of TRIF/TRAM associated signalling in </w:t>
      </w:r>
      <w:r w:rsidR="00932BC2" w:rsidRPr="003C0E2F">
        <w:t>MyD88</w:t>
      </w:r>
      <w:r w:rsidR="00E56AB6" w:rsidRPr="003C0E2F">
        <w:t>-</w:t>
      </w:r>
      <w:r w:rsidR="009E0322" w:rsidRPr="003C0E2F">
        <w:t>dependent</w:t>
      </w:r>
      <w:r w:rsidR="00E56AB6" w:rsidRPr="003C0E2F">
        <w:t xml:space="preserve"> </w:t>
      </w:r>
      <w:r w:rsidRPr="003C0E2F">
        <w:t>proinflammatory cytokine production</w:t>
      </w:r>
      <w:r w:rsidR="004D795C" w:rsidRPr="003C0E2F">
        <w:t xml:space="preserve"> </w:t>
      </w:r>
      <w:sdt>
        <w:sdtPr>
          <w:tag w:val="MENDELEY_CITATION_v3_eyJjaXRhdGlvbklEIjoiTUVOREVMRVlfQ0lUQVRJT05fMWFmZWYyYzItYWU5ZS00MTBkLWI1N2YtZTA1NzY4MmIyOGNm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W4iOmZhbHNlLCJjaXRlcHJvY1RleHQiOiIoWWFtYW1vdG8gPGk+ZXQgYWwuPC9pPiwgMjAwMykiLCJtYW51YWxPdmVycmlkZVRleHQiOiIifX0="/>
          <w:id w:val="-149226402"/>
          <w:placeholder>
            <w:docPart w:val="DefaultPlaceholder_-1854013440"/>
          </w:placeholder>
        </w:sdtPr>
        <w:sdtEndPr/>
        <w:sdtContent>
          <w:r w:rsidR="00F257B9">
            <w:rPr>
              <w:rFonts w:eastAsia="Times New Roman"/>
            </w:rPr>
            <w:t xml:space="preserve">(Yamamoto </w:t>
          </w:r>
          <w:r w:rsidR="00F257B9">
            <w:rPr>
              <w:rFonts w:eastAsia="Times New Roman"/>
              <w:i/>
              <w:iCs/>
            </w:rPr>
            <w:t>et al.</w:t>
          </w:r>
          <w:r w:rsidR="00F257B9">
            <w:rPr>
              <w:rFonts w:eastAsia="Times New Roman"/>
            </w:rPr>
            <w:t>, 2003)</w:t>
          </w:r>
        </w:sdtContent>
      </w:sdt>
      <w:r w:rsidRPr="003C0E2F">
        <w:t xml:space="preserve">. TRIF has been proposed to contain binding sites for TRAF6, and therefore TRAF6 was thought to be involved in TRIF </w:t>
      </w:r>
      <w:r w:rsidR="004D795C" w:rsidRPr="003C0E2F">
        <w:t xml:space="preserve">signalling </w:t>
      </w:r>
      <w:sdt>
        <w:sdtPr>
          <w:tag w:val="MENDELEY_CITATION_v3_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"/>
          <w:id w:val="998620609"/>
          <w:placeholder>
            <w:docPart w:val="DefaultPlaceholder_-1854013440"/>
          </w:placeholder>
        </w:sdtPr>
        <w:sdtEndPr/>
        <w:sdtContent>
          <w:r w:rsidR="00F257B9">
            <w:rPr>
              <w:rFonts w:eastAsia="Times New Roman"/>
            </w:rPr>
            <w:t xml:space="preserve">(Sato </w:t>
          </w:r>
          <w:r w:rsidR="00F257B9">
            <w:rPr>
              <w:rFonts w:eastAsia="Times New Roman"/>
              <w:i/>
              <w:iCs/>
            </w:rPr>
            <w:t>et al.</w:t>
          </w:r>
          <w:r w:rsidR="00F257B9">
            <w:rPr>
              <w:rFonts w:eastAsia="Times New Roman"/>
            </w:rPr>
            <w:t>, 2003)</w:t>
          </w:r>
        </w:sdtContent>
      </w:sdt>
      <w:r w:rsidR="004D795C" w:rsidRPr="003C0E2F">
        <w:t>.</w:t>
      </w:r>
      <w:r w:rsidRPr="003C0E2F">
        <w:t xml:space="preserve"> However, TRAF6 deficiency had no apparent impact on </w:t>
      </w:r>
      <w:r w:rsidR="00A9277D" w:rsidRPr="003C0E2F">
        <w:t>TRIF-</w:t>
      </w:r>
      <w:r w:rsidR="009E0322" w:rsidRPr="003C0E2F">
        <w:t>dependent</w:t>
      </w:r>
      <w:r w:rsidRPr="003C0E2F">
        <w:t xml:space="preserve"> </w:t>
      </w:r>
      <w:r w:rsidR="009E42FE" w:rsidRPr="003C0E2F">
        <w:t>IP10</w:t>
      </w:r>
      <w:r w:rsidRPr="003C0E2F">
        <w:t xml:space="preserve"> and CD86 expression. Conversely, TRAF6 was found to be essential for </w:t>
      </w:r>
      <w:r w:rsidR="00932BC2" w:rsidRPr="003C0E2F">
        <w:t>MyD88</w:t>
      </w:r>
      <w:r w:rsidR="00A9277D" w:rsidRPr="003C0E2F">
        <w:t>-</w:t>
      </w:r>
      <w:r w:rsidR="009E0322" w:rsidRPr="003C0E2F">
        <w:t>dependent</w:t>
      </w:r>
      <w:r w:rsidRPr="003C0E2F">
        <w:t xml:space="preserve"> signalling </w:t>
      </w:r>
      <w:sdt>
        <w:sdtPr>
          <w:rPr>
            <w:color w:val="000000"/>
          </w:rPr>
          <w:tag w:val="MENDELEY_CITATION_v3_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"/>
          <w:id w:val="-716514638"/>
          <w:placeholder>
            <w:docPart w:val="DefaultPlaceholder_-1854013440"/>
          </w:placeholder>
        </w:sdtPr>
        <w:sdtEndPr/>
        <w:sdtContent>
          <w:r w:rsidR="00F257B9" w:rsidRPr="00F257B9">
            <w:rPr>
              <w:color w:val="000000"/>
            </w:rPr>
            <w:t>(</w:t>
          </w:r>
          <w:proofErr w:type="spellStart"/>
          <w:r w:rsidR="00F257B9" w:rsidRPr="00F257B9">
            <w:rPr>
              <w:color w:val="000000"/>
            </w:rPr>
            <w:t>Gohda</w:t>
          </w:r>
          <w:proofErr w:type="spellEnd"/>
          <w:r w:rsidR="00F257B9" w:rsidRPr="00F257B9">
            <w:rPr>
              <w:color w:val="000000"/>
            </w:rPr>
            <w:t xml:space="preserve">, </w:t>
          </w:r>
          <w:r w:rsidR="00F257B9" w:rsidRPr="00F257B9">
            <w:rPr>
              <w:color w:val="000000"/>
            </w:rPr>
            <w:lastRenderedPageBreak/>
            <w:t>Matsumura and Inoue, 2004)</w:t>
          </w:r>
        </w:sdtContent>
      </w:sdt>
      <w:r w:rsidRPr="003C0E2F">
        <w:t xml:space="preserve">. TRAF6 may facilitate cross-pathway interactions as TRAF6 facilitates phosphorylation of IKK and MKK6 via a complex consisting of TAK1, TAB1 and TAB2 </w:t>
      </w:r>
      <w:sdt>
        <w:sdtPr>
          <w:tag w:val="MENDELEY_CITATION_v3_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"/>
          <w:id w:val="979803501"/>
          <w:placeholder>
            <w:docPart w:val="DefaultPlaceholder_-1854013440"/>
          </w:placeholder>
        </w:sdtPr>
        <w:sdtEndPr/>
        <w:sdtContent>
          <w:r w:rsidR="00F257B9">
            <w:rPr>
              <w:rFonts w:eastAsia="Times New Roman"/>
            </w:rPr>
            <w:t xml:space="preserve">(Wang </w:t>
          </w:r>
          <w:r w:rsidR="00F257B9">
            <w:rPr>
              <w:rFonts w:eastAsia="Times New Roman"/>
              <w:i/>
              <w:iCs/>
            </w:rPr>
            <w:t>et al.</w:t>
          </w:r>
          <w:r w:rsidR="00F257B9">
            <w:rPr>
              <w:rFonts w:eastAsia="Times New Roman"/>
            </w:rPr>
            <w:t>, 2001)</w:t>
          </w:r>
        </w:sdtContent>
      </w:sdt>
      <w:r w:rsidRPr="003C0E2F">
        <w:t>. TRIF may be associated with these TRAF6 interactions and thus play a</w:t>
      </w:r>
      <w:r w:rsidR="00E56AB6" w:rsidRPr="003C0E2F">
        <w:t>n essential</w:t>
      </w:r>
      <w:r w:rsidRPr="003C0E2F">
        <w:t xml:space="preserve"> role in </w:t>
      </w:r>
      <w:r w:rsidR="00932BC2" w:rsidRPr="003C0E2F">
        <w:t>MyD88</w:t>
      </w:r>
      <w:r w:rsidRPr="003C0E2F">
        <w:t>-</w:t>
      </w:r>
      <w:r w:rsidR="009E0322" w:rsidRPr="003C0E2F">
        <w:t>dependent</w:t>
      </w:r>
      <w:r w:rsidRPr="003C0E2F">
        <w:t xml:space="preserve"> signalling. This could explain the necessity of TRIF for </w:t>
      </w:r>
      <w:r w:rsidR="00932BC2" w:rsidRPr="003C0E2F">
        <w:t>MyD88</w:t>
      </w:r>
      <w:r w:rsidR="00A9277D" w:rsidRPr="003C0E2F">
        <w:t>-</w:t>
      </w:r>
      <w:r w:rsidR="009E0322" w:rsidRPr="003C0E2F">
        <w:t>dependent</w:t>
      </w:r>
      <w:r w:rsidRPr="003C0E2F">
        <w:t xml:space="preserve"> cytokine production.</w:t>
      </w:r>
    </w:p>
    <w:p w14:paraId="07BB41FE" w14:textId="0D9E4EBB" w:rsidR="003B7120" w:rsidRPr="003C0E2F" w:rsidRDefault="00C47D55" w:rsidP="00C47D55">
      <w:r w:rsidRPr="003C0E2F">
        <w:t xml:space="preserve">Following LPS stimulation, endocytosis of the TLR4 receptor complex occurs to initiate </w:t>
      </w:r>
      <w:r w:rsidR="00A9277D" w:rsidRPr="003C0E2F">
        <w:t>TRIF-</w:t>
      </w:r>
      <w:r w:rsidR="009E0322" w:rsidRPr="003C0E2F">
        <w:t>dependent</w:t>
      </w:r>
      <w:r w:rsidRPr="003C0E2F">
        <w:t xml:space="preserve"> signalling. Receptor internalisation can occur within 60-120 minutes of LPS stimulation of the receptor, and perhaps prior</w:t>
      </w:r>
      <w:sdt>
        <w:sdtPr>
          <w:tag w:val="MENDELEY_CITATION_v3_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"/>
          <w:id w:val="-673339482"/>
          <w:placeholder>
            <w:docPart w:val="DefaultPlaceholder_-1854013440"/>
          </w:placeholder>
        </w:sdtPr>
        <w:sdtEndPr/>
        <w:sdtContent>
          <w:r w:rsidR="00F257B9">
            <w:rPr>
              <w:rFonts w:eastAsia="Times New Roman"/>
            </w:rPr>
            <w:t xml:space="preserve">(Kobayashi </w:t>
          </w:r>
          <w:r w:rsidR="00F257B9">
            <w:rPr>
              <w:rFonts w:eastAsia="Times New Roman"/>
              <w:i/>
              <w:iCs/>
            </w:rPr>
            <w:t>et al.</w:t>
          </w:r>
          <w:r w:rsidR="00F257B9">
            <w:rPr>
              <w:rFonts w:eastAsia="Times New Roman"/>
            </w:rPr>
            <w:t>, 2006)</w:t>
          </w:r>
        </w:sdtContent>
      </w:sdt>
      <w:r w:rsidRPr="003C0E2F">
        <w:t xml:space="preserve">. </w:t>
      </w:r>
      <w:bookmarkStart w:id="85" w:name="_Hlk82377861"/>
      <w:r w:rsidR="008936F1" w:rsidRPr="003C0E2F">
        <w:t xml:space="preserve">TLR4 endocytosis is reliant on dynamin and as such, </w:t>
      </w:r>
      <w:proofErr w:type="spellStart"/>
      <w:r w:rsidR="008936F1" w:rsidRPr="003C0E2F">
        <w:t>dynasore</w:t>
      </w:r>
      <w:proofErr w:type="spellEnd"/>
      <w:r w:rsidR="008936F1" w:rsidRPr="003C0E2F">
        <w:t xml:space="preserve"> inhibition of dynamin can prevent endocytosis of the receptor complex. </w:t>
      </w:r>
      <w:bookmarkStart w:id="86" w:name="_Hlk82377912"/>
      <w:bookmarkEnd w:id="85"/>
      <w:r w:rsidR="008936F1" w:rsidRPr="003C0E2F">
        <w:t xml:space="preserve">The use of </w:t>
      </w:r>
      <w:proofErr w:type="spellStart"/>
      <w:r w:rsidR="008936F1" w:rsidRPr="003C0E2F">
        <w:t>dynasore</w:t>
      </w:r>
      <w:proofErr w:type="spellEnd"/>
      <w:r w:rsidR="008936F1" w:rsidRPr="003C0E2F">
        <w:t xml:space="preserve"> could inhibit LPS induced TRIF-dependent signalling, while still allowing for some diminished NF-</w:t>
      </w:r>
      <w:proofErr w:type="spellStart"/>
      <w:r w:rsidR="008936F1" w:rsidRPr="003C0E2F">
        <w:t>κB</w:t>
      </w:r>
      <w:proofErr w:type="spellEnd"/>
      <w:r w:rsidR="008936F1" w:rsidRPr="003C0E2F">
        <w:t xml:space="preserve"> activity </w:t>
      </w:r>
      <w:sdt>
        <w:sdtPr>
          <w:tag w:val="MENDELEY_CITATION_v3_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"/>
          <w:id w:val="-867752536"/>
          <w:placeholder>
            <w:docPart w:val="AD0138C9C42E415F99A0700A751BD5A4"/>
          </w:placeholder>
        </w:sdtPr>
        <w:sdtEndPr/>
        <w:sdtContent>
          <w:r w:rsidR="00F257B9">
            <w:rPr>
              <w:rFonts w:eastAsia="Times New Roman"/>
            </w:rPr>
            <w:t xml:space="preserve">(Kagan </w:t>
          </w:r>
          <w:r w:rsidR="00F257B9">
            <w:rPr>
              <w:rFonts w:eastAsia="Times New Roman"/>
              <w:i/>
              <w:iCs/>
            </w:rPr>
            <w:t>et al.</w:t>
          </w:r>
          <w:r w:rsidR="00F257B9">
            <w:rPr>
              <w:rFonts w:eastAsia="Times New Roman"/>
            </w:rPr>
            <w:t>, 2008)</w:t>
          </w:r>
        </w:sdtContent>
      </w:sdt>
      <w:bookmarkEnd w:id="86"/>
      <w:r w:rsidR="008936F1" w:rsidRPr="003C0E2F">
        <w:t xml:space="preserve">. Receptor internalisation is thus thought to be integral to TRIF-dependent signalling. Further to this, TRAF3 is indispensable for TRIF mediated production of IFN and IP10 and has been shown to colocalise with TRIF/TRAM within cells following relocation to the endosome </w:t>
      </w:r>
      <w:sdt>
        <w:sdtPr>
          <w:tag w:val="MENDELEY_CITATION_v3_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"/>
          <w:id w:val="-986007534"/>
          <w:placeholder>
            <w:docPart w:val="AD0138C9C42E415F99A0700A751BD5A4"/>
          </w:placeholder>
        </w:sdtPr>
        <w:sdtEndPr/>
        <w:sdtContent>
          <w:r w:rsidR="00F257B9">
            <w:rPr>
              <w:rFonts w:eastAsia="Times New Roman"/>
            </w:rPr>
            <w:t>(</w:t>
          </w:r>
          <w:proofErr w:type="spellStart"/>
          <w:r w:rsidR="00F257B9">
            <w:rPr>
              <w:rFonts w:eastAsia="Times New Roman"/>
            </w:rPr>
            <w:t>Tanimura</w:t>
          </w:r>
          <w:proofErr w:type="spellEnd"/>
          <w:r w:rsidR="00F257B9">
            <w:rPr>
              <w:rFonts w:eastAsia="Times New Roman"/>
            </w:rPr>
            <w:t xml:space="preserve"> </w:t>
          </w:r>
          <w:r w:rsidR="00F257B9">
            <w:rPr>
              <w:rFonts w:eastAsia="Times New Roman"/>
              <w:i/>
              <w:iCs/>
            </w:rPr>
            <w:t>et al.</w:t>
          </w:r>
          <w:r w:rsidR="00F257B9">
            <w:rPr>
              <w:rFonts w:eastAsia="Times New Roman"/>
            </w:rPr>
            <w:t>, 2008)</w:t>
          </w:r>
        </w:sdtContent>
      </w:sdt>
      <w:r w:rsidR="008936F1" w:rsidRPr="003C0E2F">
        <w:t xml:space="preserve">. </w:t>
      </w:r>
      <w:r w:rsidR="00396732" w:rsidRPr="003C0E2F">
        <w:t xml:space="preserve">LBP </w:t>
      </w:r>
      <w:r w:rsidRPr="003C0E2F">
        <w:t xml:space="preserve">and CD14 are thought to play a much more significant role in </w:t>
      </w:r>
      <w:r w:rsidR="00A9277D" w:rsidRPr="003C0E2F">
        <w:t>TRIF-</w:t>
      </w:r>
      <w:r w:rsidR="009E0322" w:rsidRPr="003C0E2F">
        <w:t>dependent</w:t>
      </w:r>
      <w:r w:rsidRPr="003C0E2F">
        <w:t xml:space="preserve"> signalling</w:t>
      </w:r>
      <w:r w:rsidR="009D16BB" w:rsidRPr="003C0E2F">
        <w:t xml:space="preserve"> than </w:t>
      </w:r>
      <w:r w:rsidR="00932BC2" w:rsidRPr="003C0E2F">
        <w:t>MyD88</w:t>
      </w:r>
      <w:r w:rsidR="009D16BB" w:rsidRPr="003C0E2F">
        <w:t>-</w:t>
      </w:r>
      <w:r w:rsidR="009E0322" w:rsidRPr="003C0E2F">
        <w:t>dependent</w:t>
      </w:r>
      <w:r w:rsidR="009D16BB" w:rsidRPr="003C0E2F">
        <w:t xml:space="preserve"> signalling</w:t>
      </w:r>
      <w:r w:rsidRPr="003C0E2F">
        <w:t xml:space="preserve"> and are important for receptor internalisation </w:t>
      </w:r>
      <w:sdt>
        <w:sdtPr>
          <w:tag w:val="MENDELEY_CITATION_v3_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"/>
          <w:id w:val="-748893480"/>
          <w:placeholder>
            <w:docPart w:val="DefaultPlaceholder_-1854013440"/>
          </w:placeholder>
        </w:sdtPr>
        <w:sdtEndPr/>
        <w:sdtContent>
          <w:r w:rsidR="00F257B9">
            <w:rPr>
              <w:rFonts w:eastAsia="Times New Roman"/>
            </w:rPr>
            <w:t xml:space="preserve">(Tsukamoto </w:t>
          </w:r>
          <w:r w:rsidR="00F257B9">
            <w:rPr>
              <w:rFonts w:eastAsia="Times New Roman"/>
              <w:i/>
              <w:iCs/>
            </w:rPr>
            <w:t>et al.</w:t>
          </w:r>
          <w:r w:rsidR="00F257B9">
            <w:rPr>
              <w:rFonts w:eastAsia="Times New Roman"/>
            </w:rPr>
            <w:t>, 2018)</w:t>
          </w:r>
        </w:sdtContent>
      </w:sdt>
      <w:r w:rsidRPr="003C0E2F">
        <w:t xml:space="preserve">. </w:t>
      </w:r>
      <w:r w:rsidR="009E42FE" w:rsidRPr="003C0E2F">
        <w:t>TBK1</w:t>
      </w:r>
      <w:r w:rsidRPr="003C0E2F">
        <w:t xml:space="preserve"> and IRF</w:t>
      </w:r>
      <w:r w:rsidR="007A0F7C" w:rsidRPr="003C0E2F">
        <w:t>-</w:t>
      </w:r>
      <w:r w:rsidRPr="003C0E2F">
        <w:t xml:space="preserve">3 are phosphorylated </w:t>
      </w:r>
      <w:r w:rsidR="009D16BB" w:rsidRPr="003C0E2F">
        <w:t>within</w:t>
      </w:r>
      <w:r w:rsidRPr="003C0E2F">
        <w:t xml:space="preserve"> 30-120 minutes of LPS exposure. However, without LBP, IRF</w:t>
      </w:r>
      <w:r w:rsidR="007A0F7C" w:rsidRPr="003C0E2F">
        <w:t>-</w:t>
      </w:r>
      <w:r w:rsidRPr="003C0E2F">
        <w:t xml:space="preserve">3 appears to be absent and </w:t>
      </w:r>
      <w:r w:rsidR="009E42FE" w:rsidRPr="003C0E2F">
        <w:t>TBK1</w:t>
      </w:r>
      <w:r w:rsidRPr="003C0E2F">
        <w:t xml:space="preserve"> phosphorylation is </w:t>
      </w:r>
      <w:r w:rsidR="009D16BB" w:rsidRPr="003C0E2F">
        <w:t xml:space="preserve">somewhat </w:t>
      </w:r>
      <w:r w:rsidRPr="003C0E2F">
        <w:t xml:space="preserve">diminished. This is </w:t>
      </w:r>
      <w:r w:rsidR="009D16BB" w:rsidRPr="003C0E2F">
        <w:t xml:space="preserve">further </w:t>
      </w:r>
      <w:r w:rsidRPr="003C0E2F">
        <w:t xml:space="preserve">reflected in IFNβ production </w:t>
      </w:r>
      <w:sdt>
        <w:sdtPr>
          <w:tag w:val="MENDELEY_CITATION_v3_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"/>
          <w:id w:val="802660000"/>
          <w:placeholder>
            <w:docPart w:val="DefaultPlaceholder_-1854013440"/>
          </w:placeholder>
        </w:sdtPr>
        <w:sdtEndPr/>
        <w:sdtContent>
          <w:r w:rsidR="00F257B9">
            <w:rPr>
              <w:rFonts w:eastAsia="Times New Roman"/>
            </w:rPr>
            <w:t xml:space="preserve">(Tsukamoto </w:t>
          </w:r>
          <w:r w:rsidR="00F257B9">
            <w:rPr>
              <w:rFonts w:eastAsia="Times New Roman"/>
              <w:i/>
              <w:iCs/>
            </w:rPr>
            <w:t>et al.</w:t>
          </w:r>
          <w:r w:rsidR="00F257B9">
            <w:rPr>
              <w:rFonts w:eastAsia="Times New Roman"/>
            </w:rPr>
            <w:t>, 2018)</w:t>
          </w:r>
        </w:sdtContent>
      </w:sdt>
      <w:r w:rsidR="006E0B58" w:rsidRPr="003C0E2F">
        <w:t xml:space="preserve">. </w:t>
      </w:r>
      <w:r w:rsidR="00932BC2" w:rsidRPr="003C0E2F">
        <w:t>MyD88</w:t>
      </w:r>
      <w:r w:rsidRPr="003C0E2F">
        <w:t>-</w:t>
      </w:r>
      <w:r w:rsidR="009E0322" w:rsidRPr="003C0E2F">
        <w:t>dependent</w:t>
      </w:r>
      <w:r w:rsidRPr="003C0E2F">
        <w:t xml:space="preserve"> signalling is therefore thought to be initiated from the plasma membrane, while </w:t>
      </w:r>
      <w:r w:rsidR="00A9277D" w:rsidRPr="003C0E2F">
        <w:t>TRIF-</w:t>
      </w:r>
      <w:r w:rsidR="009E0322" w:rsidRPr="003C0E2F">
        <w:t>dependent</w:t>
      </w:r>
      <w:r w:rsidRPr="003C0E2F">
        <w:t xml:space="preserve"> signalling occurs from endosomes. Endocytosis of the receptor complex is therefore an important part in </w:t>
      </w:r>
      <w:r w:rsidR="00A9277D" w:rsidRPr="003C0E2F">
        <w:t>TRIF-</w:t>
      </w:r>
      <w:r w:rsidR="009E0322" w:rsidRPr="003C0E2F">
        <w:t>dependent</w:t>
      </w:r>
      <w:r w:rsidRPr="003C0E2F">
        <w:t xml:space="preserve"> signalling and vital for downstream IFN production.</w:t>
      </w:r>
      <w:r w:rsidR="003B7120" w:rsidRPr="003C0E2F">
        <w:br w:type="page"/>
      </w:r>
    </w:p>
    <w:p w14:paraId="3DDC08E4" w14:textId="7AE1F5EA" w:rsidR="00F64F9A" w:rsidRPr="003C0E2F" w:rsidRDefault="00831442" w:rsidP="00D55B0E">
      <w:pPr>
        <w:pStyle w:val="Heading3"/>
      </w:pPr>
      <w:r w:rsidRPr="003C0E2F">
        <w:lastRenderedPageBreak/>
        <w:t xml:space="preserve"> </w:t>
      </w:r>
      <w:bookmarkStart w:id="87" w:name="_Toc80013726"/>
      <w:bookmarkStart w:id="88" w:name="_Toc82882346"/>
      <w:r w:rsidR="00F64F9A" w:rsidRPr="003C0E2F">
        <w:t xml:space="preserve">Proinflammatory </w:t>
      </w:r>
      <w:r w:rsidR="008A7BE5" w:rsidRPr="003C0E2F">
        <w:t>p</w:t>
      </w:r>
      <w:r w:rsidR="00F64F9A" w:rsidRPr="003C0E2F">
        <w:t xml:space="preserve">rotein </w:t>
      </w:r>
      <w:r w:rsidR="008A7BE5" w:rsidRPr="003C0E2F">
        <w:t>p</w:t>
      </w:r>
      <w:r w:rsidR="00F64F9A" w:rsidRPr="003C0E2F">
        <w:t>roduction</w:t>
      </w:r>
      <w:r w:rsidR="0006649C" w:rsidRPr="003C0E2F">
        <w:t xml:space="preserve"> via TLR4 signalling pathways</w:t>
      </w:r>
      <w:bookmarkEnd w:id="87"/>
      <w:bookmarkEnd w:id="88"/>
    </w:p>
    <w:p w14:paraId="3C7EFA98" w14:textId="0FDFF194" w:rsidR="00C47D55" w:rsidRPr="003C0E2F" w:rsidRDefault="00C47D55" w:rsidP="00C47D55">
      <w:r w:rsidRPr="003C0E2F">
        <w:t xml:space="preserve">TLR4 activation is associated with downstream production of numerous proinflammatory cytokines and chemokines. These may then go on to interact with further cytokine associated receptors to produce </w:t>
      </w:r>
      <w:r w:rsidR="00B67F96" w:rsidRPr="003C0E2F">
        <w:t>a cascading chain of cytokine/receptor interactions and production</w:t>
      </w:r>
      <w:r w:rsidRPr="003C0E2F">
        <w:t>. LPS stimulation has been shown to induce various interleukins and other proinflammatory proteins including IL-1β, IL-6, IL-8, TNFα, MMPs and Interferons among others</w:t>
      </w:r>
      <w:r w:rsidR="00A16FC1" w:rsidRPr="003C0E2F">
        <w:t xml:space="preserve"> </w:t>
      </w:r>
      <w:sdt>
        <w:sdtPr>
          <w:tag w:val="MENDELEY_CITATION_v3_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"/>
          <w:id w:val="1597667975"/>
          <w:placeholder>
            <w:docPart w:val="DefaultPlaceholder_-1854013440"/>
          </w:placeholder>
        </w:sdtPr>
        <w:sdtEndPr/>
        <w:sdtContent>
          <w:r w:rsidR="00F257B9">
            <w:rPr>
              <w:rFonts w:eastAsia="Times New Roman"/>
            </w:rPr>
            <w:t xml:space="preserve">(Suzuki </w:t>
          </w:r>
          <w:r w:rsidR="00F257B9">
            <w:rPr>
              <w:rFonts w:eastAsia="Times New Roman"/>
              <w:i/>
              <w:iCs/>
            </w:rPr>
            <w:t>et al.</w:t>
          </w:r>
          <w:r w:rsidR="00F257B9">
            <w:rPr>
              <w:rFonts w:eastAsia="Times New Roman"/>
            </w:rPr>
            <w:t xml:space="preserve">, 2002; </w:t>
          </w:r>
          <w:proofErr w:type="spellStart"/>
          <w:r w:rsidR="00F257B9">
            <w:rPr>
              <w:rFonts w:eastAsia="Times New Roman"/>
            </w:rPr>
            <w:t>Gohda</w:t>
          </w:r>
          <w:proofErr w:type="spellEnd"/>
          <w:r w:rsidR="00F257B9">
            <w:rPr>
              <w:rFonts w:eastAsia="Times New Roman"/>
            </w:rPr>
            <w:t>, Matsumura and Inoue, 2004)</w:t>
          </w:r>
        </w:sdtContent>
      </w:sdt>
      <w:r w:rsidRPr="003C0E2F">
        <w:t xml:space="preserve">. These proinflammatory proteins represent an </w:t>
      </w:r>
      <w:r w:rsidR="00FE14F4" w:rsidRPr="003C0E2F">
        <w:t>endpoint</w:t>
      </w:r>
      <w:r w:rsidRPr="003C0E2F">
        <w:t xml:space="preserve"> for TLR4 signalling </w:t>
      </w:r>
      <w:r w:rsidR="00FE14F4" w:rsidRPr="003C0E2F">
        <w:t xml:space="preserve">and can have biological and clinical significance, </w:t>
      </w:r>
      <w:r w:rsidRPr="003C0E2F">
        <w:t xml:space="preserve">thus </w:t>
      </w:r>
      <w:r w:rsidR="00FE14F4" w:rsidRPr="003C0E2F">
        <w:t xml:space="preserve">representing </w:t>
      </w:r>
      <w:r w:rsidRPr="003C0E2F">
        <w:t>reasonable targets to assess the</w:t>
      </w:r>
      <w:r w:rsidR="00FE14F4" w:rsidRPr="003C0E2F">
        <w:t xml:space="preserve"> </w:t>
      </w:r>
      <w:r w:rsidR="008F561F" w:rsidRPr="003C0E2F">
        <w:t>effect</w:t>
      </w:r>
      <w:r w:rsidR="00FE14F4" w:rsidRPr="003C0E2F">
        <w:t>iveness and</w:t>
      </w:r>
      <w:r w:rsidRPr="003C0E2F">
        <w:t xml:space="preserve"> validity of TLR4 modulators. The role of these molecules in both normal immune function and pathogenesis is thus important to consider.</w:t>
      </w:r>
    </w:p>
    <w:p w14:paraId="6E605FF3" w14:textId="5D0D4B69" w:rsidR="00C47D55" w:rsidRPr="003C0E2F" w:rsidRDefault="008F561F" w:rsidP="00C47D55">
      <w:r w:rsidRPr="003C0E2F">
        <w:t>Monocyte</w:t>
      </w:r>
      <w:r w:rsidR="00C47D55" w:rsidRPr="003C0E2F">
        <w:t xml:space="preserve">s and </w:t>
      </w:r>
      <w:r w:rsidRPr="003C0E2F">
        <w:t>macrophage</w:t>
      </w:r>
      <w:r w:rsidR="00C47D55" w:rsidRPr="003C0E2F">
        <w:t xml:space="preserve">s are known to produce </w:t>
      </w:r>
      <w:r w:rsidR="007A0F7C" w:rsidRPr="003C0E2F">
        <w:t>IL-1</w:t>
      </w:r>
      <w:r w:rsidR="00C47D55" w:rsidRPr="003C0E2F">
        <w:t xml:space="preserve">β which is subsequently released from cells. </w:t>
      </w:r>
      <w:r w:rsidR="007A0F7C" w:rsidRPr="003C0E2F">
        <w:t>IL-1</w:t>
      </w:r>
      <w:r w:rsidR="00C47D55" w:rsidRPr="003C0E2F">
        <w:t>β can</w:t>
      </w:r>
      <w:r w:rsidR="00C41760" w:rsidRPr="003C0E2F">
        <w:t xml:space="preserve"> further</w:t>
      </w:r>
      <w:r w:rsidR="00C47D55" w:rsidRPr="003C0E2F">
        <w:t xml:space="preserve"> upregulate various chemokines and cytokines, and may stimulate SMC proliferation</w:t>
      </w:r>
      <w:r w:rsidR="008612D0" w:rsidRPr="003C0E2F">
        <w:t xml:space="preserve"> </w:t>
      </w:r>
      <w:sdt>
        <w:sdtPr>
          <w:rPr>
            <w:color w:val="000000"/>
          </w:rPr>
          <w:tag w:val="MENDELEY_CITATION_v3_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"/>
          <w:id w:val="2066757372"/>
          <w:placeholder>
            <w:docPart w:val="DefaultPlaceholder_-1854013440"/>
          </w:placeholder>
        </w:sdtPr>
        <w:sdtEndPr/>
        <w:sdtContent>
          <w:r w:rsidR="00F257B9" w:rsidRPr="00F257B9">
            <w:rPr>
              <w:rFonts w:eastAsia="Times New Roman"/>
              <w:color w:val="000000"/>
            </w:rPr>
            <w:t>(</w:t>
          </w:r>
          <w:proofErr w:type="spellStart"/>
          <w:r w:rsidR="00F257B9" w:rsidRPr="00F257B9">
            <w:rPr>
              <w:rFonts w:eastAsia="Times New Roman"/>
              <w:color w:val="000000"/>
            </w:rPr>
            <w:t>Nathe</w:t>
          </w:r>
          <w:proofErr w:type="spellEnd"/>
          <w:r w:rsidR="00F257B9" w:rsidRPr="00F257B9">
            <w:rPr>
              <w:rFonts w:eastAsia="Times New Roman"/>
              <w:color w:val="000000"/>
            </w:rPr>
            <w:t xml:space="preserve"> et al., 2002</w:t>
          </w:r>
        </w:sdtContent>
      </w:sdt>
      <w:r w:rsidR="00C47D55" w:rsidRPr="003C0E2F">
        <w:t>). NLRP3 Inflammasome activation is involved in the cleavage of the IL-1β precurso</w:t>
      </w:r>
      <w:r w:rsidR="00C41760" w:rsidRPr="003C0E2F">
        <w:t>r f</w:t>
      </w:r>
      <w:r w:rsidR="00F80E29" w:rsidRPr="003C0E2F">
        <w:t>orm</w:t>
      </w:r>
      <w:r w:rsidR="00C47D55" w:rsidRPr="003C0E2F">
        <w:t xml:space="preserve"> by caspa</w:t>
      </w:r>
      <w:r w:rsidR="00C41760" w:rsidRPr="003C0E2F">
        <w:t>s</w:t>
      </w:r>
      <w:r w:rsidR="00C47D55" w:rsidRPr="003C0E2F">
        <w:t xml:space="preserve">e-1. An increased level of inflammasome activation have been reported in human carotid plaques and elevated levels of </w:t>
      </w:r>
      <w:r w:rsidR="007A0F7C" w:rsidRPr="003C0E2F">
        <w:t>IL-1</w:t>
      </w:r>
      <w:r w:rsidR="00C47D55" w:rsidRPr="003C0E2F">
        <w:t>β and IL-18 were also reportedly present</w:t>
      </w:r>
      <w:r w:rsidR="00A16FC1" w:rsidRPr="003C0E2F">
        <w:t xml:space="preserve"> </w:t>
      </w:r>
      <w:sdt>
        <w:sdtPr>
          <w:tag w:val="MENDELEY_CITATION_v3_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"/>
          <w:id w:val="-1876533172"/>
          <w:placeholder>
            <w:docPart w:val="DefaultPlaceholder_-1854013440"/>
          </w:placeholder>
        </w:sdtPr>
        <w:sdtEndPr/>
        <w:sdtContent>
          <w:r w:rsidR="00F257B9">
            <w:rPr>
              <w:rFonts w:eastAsia="Times New Roman"/>
            </w:rPr>
            <w:t>(</w:t>
          </w:r>
          <w:proofErr w:type="spellStart"/>
          <w:r w:rsidR="00F257B9">
            <w:rPr>
              <w:rFonts w:eastAsia="Times New Roman"/>
            </w:rPr>
            <w:t>Kirii</w:t>
          </w:r>
          <w:proofErr w:type="spellEnd"/>
          <w:r w:rsidR="00F257B9">
            <w:rPr>
              <w:rFonts w:eastAsia="Times New Roman"/>
            </w:rPr>
            <w:t xml:space="preserve"> </w:t>
          </w:r>
          <w:r w:rsidR="00F257B9">
            <w:rPr>
              <w:rFonts w:eastAsia="Times New Roman"/>
              <w:i/>
              <w:iCs/>
            </w:rPr>
            <w:t>et al.</w:t>
          </w:r>
          <w:r w:rsidR="00F257B9">
            <w:rPr>
              <w:rFonts w:eastAsia="Times New Roman"/>
            </w:rPr>
            <w:t>, 2003)</w:t>
          </w:r>
        </w:sdtContent>
      </w:sdt>
      <w:r w:rsidR="00C47D55" w:rsidRPr="003C0E2F">
        <w:t xml:space="preserve">. IL-1β deficiency </w:t>
      </w:r>
      <w:r w:rsidR="00A16FC1" w:rsidRPr="003C0E2F">
        <w:t>has also been</w:t>
      </w:r>
      <w:r w:rsidR="00C47D55" w:rsidRPr="003C0E2F">
        <w:t xml:space="preserve"> proposed to </w:t>
      </w:r>
      <w:r w:rsidR="00C41760" w:rsidRPr="003C0E2F">
        <w:t xml:space="preserve">provide </w:t>
      </w:r>
      <w:r w:rsidR="00C47D55" w:rsidRPr="003C0E2F">
        <w:t xml:space="preserve">protective </w:t>
      </w:r>
      <w:r w:rsidRPr="003C0E2F">
        <w:t>effect</w:t>
      </w:r>
      <w:r w:rsidR="00C47D55" w:rsidRPr="003C0E2F">
        <w:t xml:space="preserve">s against atherosclerotic plaque development, </w:t>
      </w:r>
      <w:r w:rsidR="00C41760" w:rsidRPr="003C0E2F">
        <w:t xml:space="preserve">potentially </w:t>
      </w:r>
      <w:r w:rsidR="00C47D55" w:rsidRPr="003C0E2F">
        <w:t xml:space="preserve">granting a 33% reduction. Lack of </w:t>
      </w:r>
      <w:r w:rsidR="007A0F7C" w:rsidRPr="003C0E2F">
        <w:t>IL-1</w:t>
      </w:r>
      <w:r w:rsidR="00C47D55" w:rsidRPr="003C0E2F">
        <w:t xml:space="preserve">β was associated with subsequent downregulation of VCAM-1 and MCP-1 and may bring about a reduction in further </w:t>
      </w:r>
      <w:r w:rsidRPr="003C0E2F">
        <w:t>monocyte</w:t>
      </w:r>
      <w:r w:rsidR="00C47D55" w:rsidRPr="003C0E2F">
        <w:t xml:space="preserve"> recruitment </w:t>
      </w:r>
      <w:r w:rsidR="00C41760" w:rsidRPr="003C0E2F">
        <w:t>into atherosclerotic plaque sites</w:t>
      </w:r>
      <w:r w:rsidR="00A16FC1" w:rsidRPr="003C0E2F">
        <w:t xml:space="preserve"> </w:t>
      </w:r>
      <w:sdt>
        <w:sdtPr>
          <w:tag w:val="MENDELEY_CITATION_v3_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"/>
          <w:id w:val="-97634357"/>
          <w:placeholder>
            <w:docPart w:val="DefaultPlaceholder_-1854013440"/>
          </w:placeholder>
        </w:sdtPr>
        <w:sdtEndPr/>
        <w:sdtContent>
          <w:r w:rsidR="00F257B9">
            <w:rPr>
              <w:rFonts w:eastAsia="Times New Roman"/>
            </w:rPr>
            <w:t>(</w:t>
          </w:r>
          <w:proofErr w:type="spellStart"/>
          <w:r w:rsidR="00F257B9">
            <w:rPr>
              <w:rFonts w:eastAsia="Times New Roman"/>
            </w:rPr>
            <w:t>Paramel</w:t>
          </w:r>
          <w:proofErr w:type="spellEnd"/>
          <w:r w:rsidR="00F257B9">
            <w:rPr>
              <w:rFonts w:eastAsia="Times New Roman"/>
            </w:rPr>
            <w:t xml:space="preserve"> Varghese </w:t>
          </w:r>
          <w:r w:rsidR="00F257B9">
            <w:rPr>
              <w:rFonts w:eastAsia="Times New Roman"/>
              <w:i/>
              <w:iCs/>
            </w:rPr>
            <w:t>et al.</w:t>
          </w:r>
          <w:r w:rsidR="00F257B9">
            <w:rPr>
              <w:rFonts w:eastAsia="Times New Roman"/>
            </w:rPr>
            <w:t>, 2016)</w:t>
          </w:r>
        </w:sdtContent>
      </w:sdt>
      <w:r w:rsidR="00C47D55" w:rsidRPr="003C0E2F">
        <w:t>. IL-1β may also be produced in the presence of cholesterol crystals, in absence of LPS</w:t>
      </w:r>
      <w:r w:rsidR="00FE3A14" w:rsidRPr="003C0E2F">
        <w:t xml:space="preserve"> </w:t>
      </w:r>
      <w:sdt>
        <w:sdtPr>
          <w:tag w:val="MENDELEY_CITATION_v3_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"/>
          <w:id w:val="-410691949"/>
          <w:placeholder>
            <w:docPart w:val="DefaultPlaceholder_-1854013440"/>
          </w:placeholder>
        </w:sdtPr>
        <w:sdtEndPr/>
        <w:sdtContent>
          <w:r w:rsidR="00F257B9">
            <w:rPr>
              <w:rFonts w:eastAsia="Times New Roman"/>
            </w:rPr>
            <w:t>(</w:t>
          </w:r>
          <w:proofErr w:type="spellStart"/>
          <w:r w:rsidR="00F257B9">
            <w:rPr>
              <w:rFonts w:eastAsia="Times New Roman"/>
            </w:rPr>
            <w:t>Rajamäki</w:t>
          </w:r>
          <w:proofErr w:type="spellEnd"/>
          <w:r w:rsidR="00F257B9">
            <w:rPr>
              <w:rFonts w:eastAsia="Times New Roman"/>
            </w:rPr>
            <w:t xml:space="preserve"> </w:t>
          </w:r>
          <w:r w:rsidR="00F257B9">
            <w:rPr>
              <w:rFonts w:eastAsia="Times New Roman"/>
              <w:i/>
              <w:iCs/>
            </w:rPr>
            <w:t>et al.</w:t>
          </w:r>
          <w:r w:rsidR="00F257B9">
            <w:rPr>
              <w:rFonts w:eastAsia="Times New Roman"/>
            </w:rPr>
            <w:t>, 2010)</w:t>
          </w:r>
        </w:sdtContent>
      </w:sdt>
      <w:r w:rsidR="00C47D55" w:rsidRPr="003C0E2F">
        <w:t xml:space="preserve">. </w:t>
      </w:r>
      <w:r w:rsidR="007A0F7C" w:rsidRPr="003C0E2F">
        <w:t>IL-1</w:t>
      </w:r>
      <w:r w:rsidR="00C47D55" w:rsidRPr="003C0E2F">
        <w:t xml:space="preserve">β is therefore an important target to consider </w:t>
      </w:r>
      <w:r w:rsidR="00D83AB0" w:rsidRPr="003C0E2F">
        <w:t xml:space="preserve">when investigating the value of </w:t>
      </w:r>
      <w:r w:rsidR="002352E9" w:rsidRPr="003C0E2F">
        <w:t xml:space="preserve">pharmacological </w:t>
      </w:r>
      <w:r w:rsidR="00D83AB0" w:rsidRPr="003C0E2F">
        <w:t xml:space="preserve">interventions intended </w:t>
      </w:r>
      <w:r w:rsidR="00C47D55" w:rsidRPr="003C0E2F">
        <w:t>for treatment of cardiovascular disease</w:t>
      </w:r>
      <w:r w:rsidR="00B72B2D" w:rsidRPr="003C0E2F">
        <w:t>s</w:t>
      </w:r>
      <w:r w:rsidR="00C47D55" w:rsidRPr="003C0E2F">
        <w:t>.</w:t>
      </w:r>
    </w:p>
    <w:p w14:paraId="024DD91A" w14:textId="5457F420" w:rsidR="00C47D55" w:rsidRPr="003C0E2F" w:rsidRDefault="00C47D55" w:rsidP="00C47D55">
      <w:r w:rsidRPr="003C0E2F">
        <w:t xml:space="preserve">IL-6 plays both positive and negative roles in immune regulation and disease pathology. IL-6 is responsible for a variety of processes in immune function and haematopoiesis. These include functions such as stimulating production of variety of acute phase </w:t>
      </w:r>
      <w:r w:rsidR="00A16FC1" w:rsidRPr="003C0E2F">
        <w:t>proteins</w:t>
      </w:r>
      <w:r w:rsidRPr="003C0E2F">
        <w:t xml:space="preserve">; CRP, Fibrinogen, Serum </w:t>
      </w:r>
      <w:r w:rsidRPr="003C0E2F">
        <w:lastRenderedPageBreak/>
        <w:t>amyloid A and Hepcidin</w:t>
      </w:r>
      <w:r w:rsidR="00FE3A14" w:rsidRPr="003C0E2F">
        <w:t xml:space="preserve"> </w:t>
      </w:r>
      <w:sdt>
        <w:sdtPr>
          <w:tag w:val="MENDELEY_CITATION_v3_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"/>
          <w:id w:val="1537848975"/>
          <w:placeholder>
            <w:docPart w:val="DefaultPlaceholder_-1854013440"/>
          </w:placeholder>
        </w:sdtPr>
        <w:sdtEndPr/>
        <w:sdtContent>
          <w:r w:rsidR="00F257B9">
            <w:rPr>
              <w:rFonts w:eastAsia="Times New Roman"/>
            </w:rPr>
            <w:t xml:space="preserve">(Heinrich, </w:t>
          </w:r>
          <w:proofErr w:type="spellStart"/>
          <w:r w:rsidR="00F257B9">
            <w:rPr>
              <w:rFonts w:eastAsia="Times New Roman"/>
            </w:rPr>
            <w:t>Castellt</w:t>
          </w:r>
          <w:proofErr w:type="spellEnd"/>
          <w:r w:rsidR="00F257B9">
            <w:rPr>
              <w:rFonts w:eastAsia="Times New Roman"/>
            </w:rPr>
            <w:t xml:space="preserve"> and </w:t>
          </w:r>
          <w:proofErr w:type="spellStart"/>
          <w:r w:rsidR="00F257B9">
            <w:rPr>
              <w:rFonts w:eastAsia="Times New Roman"/>
            </w:rPr>
            <w:t>Andust</w:t>
          </w:r>
          <w:proofErr w:type="spellEnd"/>
          <w:r w:rsidR="00F257B9">
            <w:rPr>
              <w:rFonts w:eastAsia="Times New Roman"/>
            </w:rPr>
            <w:t xml:space="preserve">, 1990; </w:t>
          </w:r>
          <w:proofErr w:type="spellStart"/>
          <w:r w:rsidR="00F257B9">
            <w:rPr>
              <w:rFonts w:eastAsia="Times New Roman"/>
            </w:rPr>
            <w:t>Gillmore</w:t>
          </w:r>
          <w:proofErr w:type="spellEnd"/>
          <w:r w:rsidR="00F257B9">
            <w:rPr>
              <w:rFonts w:eastAsia="Times New Roman"/>
            </w:rPr>
            <w:t xml:space="preserve"> </w:t>
          </w:r>
          <w:r w:rsidR="00F257B9">
            <w:rPr>
              <w:rFonts w:eastAsia="Times New Roman"/>
              <w:i/>
              <w:iCs/>
            </w:rPr>
            <w:t>et al.</w:t>
          </w:r>
          <w:r w:rsidR="00F257B9">
            <w:rPr>
              <w:rFonts w:eastAsia="Times New Roman"/>
            </w:rPr>
            <w:t>, 2001)</w:t>
          </w:r>
        </w:sdtContent>
      </w:sdt>
      <w:r w:rsidRPr="003C0E2F">
        <w:t xml:space="preserve"> and involvement </w:t>
      </w:r>
      <w:r w:rsidR="00F912AE" w:rsidRPr="003C0E2F">
        <w:t xml:space="preserve">in </w:t>
      </w:r>
      <w:r w:rsidRPr="003C0E2F">
        <w:t xml:space="preserve">some aspects of T-cell differentiation </w:t>
      </w:r>
      <w:sdt>
        <w:sdtPr>
          <w:tag w:val="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"/>
          <w:id w:val="2117245456"/>
          <w:placeholder>
            <w:docPart w:val="DefaultPlaceholder_-1854013440"/>
          </w:placeholder>
        </w:sdtPr>
        <w:sdtEndPr/>
        <w:sdtContent>
          <w:r w:rsidR="00F257B9">
            <w:rPr>
              <w:rFonts w:eastAsia="Times New Roman"/>
            </w:rPr>
            <w:t>(</w:t>
          </w:r>
          <w:proofErr w:type="spellStart"/>
          <w:r w:rsidR="00F257B9">
            <w:rPr>
              <w:rFonts w:eastAsia="Times New Roman"/>
            </w:rPr>
            <w:t>Bettelli</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2006; Yuk </w:t>
          </w:r>
          <w:r w:rsidR="00F257B9">
            <w:rPr>
              <w:rFonts w:eastAsia="Times New Roman"/>
              <w:i/>
              <w:iCs/>
            </w:rPr>
            <w:t>et al.</w:t>
          </w:r>
          <w:r w:rsidR="00F257B9">
            <w:rPr>
              <w:rFonts w:eastAsia="Times New Roman"/>
            </w:rPr>
            <w:t>, 2017)</w:t>
          </w:r>
        </w:sdtContent>
      </w:sdt>
      <w:r w:rsidRPr="003C0E2F">
        <w:t>. IL-6 is also responsible for producing py</w:t>
      </w:r>
      <w:r w:rsidR="00F912AE" w:rsidRPr="003C0E2F">
        <w:t>r</w:t>
      </w:r>
      <w:r w:rsidRPr="003C0E2F">
        <w:t xml:space="preserve">ogenic </w:t>
      </w:r>
      <w:r w:rsidR="008F561F" w:rsidRPr="003C0E2F">
        <w:t>effect</w:t>
      </w:r>
      <w:r w:rsidRPr="003C0E2F">
        <w:t xml:space="preserve">s </w:t>
      </w:r>
      <w:sdt>
        <w:sdtPr>
          <w:tag w:val="MENDELEY_CITATION_v3_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"/>
          <w:id w:val="-978146274"/>
          <w:placeholder>
            <w:docPart w:val="DefaultPlaceholder_-1854013440"/>
          </w:placeholder>
        </w:sdtPr>
        <w:sdtEndPr/>
        <w:sdtContent>
          <w:r w:rsidR="00F257B9">
            <w:rPr>
              <w:rFonts w:eastAsia="Times New Roman"/>
            </w:rPr>
            <w:t xml:space="preserve">(Chai </w:t>
          </w:r>
          <w:r w:rsidR="00F257B9">
            <w:rPr>
              <w:rFonts w:eastAsia="Times New Roman"/>
              <w:i/>
              <w:iCs/>
            </w:rPr>
            <w:t>et al.</w:t>
          </w:r>
          <w:r w:rsidR="00F257B9">
            <w:rPr>
              <w:rFonts w:eastAsia="Times New Roman"/>
            </w:rPr>
            <w:t>, 1996)</w:t>
          </w:r>
        </w:sdtContent>
      </w:sdt>
      <w:r w:rsidRPr="003C0E2F">
        <w:t>. It may be released in response to sterile stimuli following damage and can be elevated in patients following surgical procedures in an age</w:t>
      </w:r>
      <w:r w:rsidR="00A9277D" w:rsidRPr="003C0E2F">
        <w:t>-</w:t>
      </w:r>
      <w:r w:rsidR="009E0322" w:rsidRPr="003C0E2F">
        <w:t>dependent</w:t>
      </w:r>
      <w:r w:rsidRPr="003C0E2F">
        <w:t xml:space="preserve"> association (</w:t>
      </w:r>
      <w:proofErr w:type="spellStart"/>
      <w:sdt>
        <w:sdtPr>
          <w:rPr>
            <w:color w:val="000000"/>
          </w:rPr>
          <w:tag w:val="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"/>
          <w:id w:val="-266922271"/>
          <w:placeholder>
            <w:docPart w:val="DefaultPlaceholder_-1854013440"/>
          </w:placeholder>
        </w:sdtPr>
        <w:sdtEndPr/>
        <w:sdtContent>
          <w:r w:rsidR="00F257B9" w:rsidRPr="00F257B9">
            <w:rPr>
              <w:rFonts w:eastAsia="Times New Roman"/>
              <w:color w:val="000000"/>
            </w:rPr>
            <w:t>Giannoudis</w:t>
          </w:r>
          <w:proofErr w:type="spellEnd"/>
          <w:r w:rsidR="00F257B9" w:rsidRPr="00F257B9">
            <w:rPr>
              <w:rFonts w:eastAsia="Times New Roman"/>
              <w:color w:val="000000"/>
            </w:rPr>
            <w:t xml:space="preserve"> et al., 2010; Howell et al., 2016</w:t>
          </w:r>
        </w:sdtContent>
      </w:sdt>
      <w:r w:rsidRPr="003C0E2F">
        <w:t>). Elevated levels of IL-6 have also been associated with various inflammatory based disease. IL-6</w:t>
      </w:r>
      <w:r w:rsidR="000A1BFB" w:rsidRPr="003C0E2F">
        <w:t xml:space="preserve"> induced</w:t>
      </w:r>
      <w:r w:rsidRPr="003C0E2F">
        <w:t xml:space="preserve"> upregulation of VEGF has been associated with rheumatoid arthritis </w:t>
      </w:r>
      <w:sdt>
        <w:sdtPr>
          <w:tag w:val="MENDELEY_CITATION_v3_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"/>
          <w:id w:val="1742056696"/>
          <w:placeholder>
            <w:docPart w:val="DefaultPlaceholder_-1854013440"/>
          </w:placeholder>
        </w:sdtPr>
        <w:sdtEndPr/>
        <w:sdtContent>
          <w:r w:rsidR="00F257B9">
            <w:rPr>
              <w:rFonts w:eastAsia="Times New Roman"/>
            </w:rPr>
            <w:t xml:space="preserve">(Nakahara </w:t>
          </w:r>
          <w:r w:rsidR="00F257B9">
            <w:rPr>
              <w:rFonts w:eastAsia="Times New Roman"/>
              <w:i/>
              <w:iCs/>
            </w:rPr>
            <w:t>et al.</w:t>
          </w:r>
          <w:r w:rsidR="00F257B9">
            <w:rPr>
              <w:rFonts w:eastAsia="Times New Roman"/>
            </w:rPr>
            <w:t>, 2003)</w:t>
          </w:r>
        </w:sdtContent>
      </w:sdt>
      <w:r w:rsidRPr="003C0E2F">
        <w:t xml:space="preserve">. In this regard, IL-6 was found to produce a synergistic increase in VEGF in conjunction with IL-1β or TNFα, which was not observed between IL-1β and TNFα in absence of IL-6. In blocking IL-6R with an anti-IL-6R </w:t>
      </w:r>
      <w:proofErr w:type="spellStart"/>
      <w:r w:rsidR="00A30511" w:rsidRPr="003C0E2F">
        <w:t>mAB</w:t>
      </w:r>
      <w:proofErr w:type="spellEnd"/>
      <w:r w:rsidRPr="003C0E2F">
        <w:t xml:space="preserve">, this synergistic </w:t>
      </w:r>
      <w:r w:rsidR="008F561F" w:rsidRPr="003C0E2F">
        <w:t>effect</w:t>
      </w:r>
      <w:r w:rsidRPr="003C0E2F">
        <w:t xml:space="preserve"> was also diminished. </w:t>
      </w:r>
      <w:r w:rsidR="009C58C8" w:rsidRPr="003C0E2F">
        <w:t>T</w:t>
      </w:r>
      <w:r w:rsidRPr="003C0E2F">
        <w:t xml:space="preserve">his </w:t>
      </w:r>
      <w:r w:rsidR="008F561F" w:rsidRPr="003C0E2F">
        <w:t>effect</w:t>
      </w:r>
      <w:r w:rsidRPr="003C0E2F">
        <w:t xml:space="preserve"> may be responsible for improved conditions of rheumatoid arthritis patients which has been associated with anti-IL-6R </w:t>
      </w:r>
      <w:proofErr w:type="spellStart"/>
      <w:r w:rsidRPr="003C0E2F">
        <w:t>mAB</w:t>
      </w:r>
      <w:proofErr w:type="spellEnd"/>
      <w:r w:rsidRPr="003C0E2F">
        <w:t xml:space="preserve"> therapy </w:t>
      </w:r>
      <w:sdt>
        <w:sdtPr>
          <w:tag w:val="MENDELEY_CITATION_v3_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"/>
          <w:id w:val="1480267633"/>
          <w:placeholder>
            <w:docPart w:val="DefaultPlaceholder_-1854013440"/>
          </w:placeholder>
        </w:sdtPr>
        <w:sdtEndPr/>
        <w:sdtContent>
          <w:r w:rsidR="00F257B9">
            <w:rPr>
              <w:rFonts w:eastAsia="Times New Roman"/>
            </w:rPr>
            <w:t xml:space="preserve">(Nakahara </w:t>
          </w:r>
          <w:r w:rsidR="00F257B9">
            <w:rPr>
              <w:rFonts w:eastAsia="Times New Roman"/>
              <w:i/>
              <w:iCs/>
            </w:rPr>
            <w:t>et al.</w:t>
          </w:r>
          <w:r w:rsidR="00F257B9">
            <w:rPr>
              <w:rFonts w:eastAsia="Times New Roman"/>
            </w:rPr>
            <w:t>, 2003)</w:t>
          </w:r>
        </w:sdtContent>
      </w:sdt>
      <w:r w:rsidRPr="003C0E2F">
        <w:t xml:space="preserve">. A </w:t>
      </w:r>
      <w:r w:rsidR="00A30511" w:rsidRPr="003C0E2F">
        <w:t>large-scale</w:t>
      </w:r>
      <w:r w:rsidRPr="003C0E2F">
        <w:t xml:space="preserve"> meta-analysis of cardiovascular disease development over several years found elevated IL-6 levels to be a significant predictor of cardiovascular</w:t>
      </w:r>
      <w:r w:rsidR="00BE1239" w:rsidRPr="003C0E2F">
        <w:t xml:space="preserve"> risk </w:t>
      </w:r>
      <w:sdt>
        <w:sdtPr>
          <w:tag w:val="MENDELEY_CITATION_v3_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"/>
          <w:id w:val="743530328"/>
          <w:placeholder>
            <w:docPart w:val="DefaultPlaceholder_-1854013440"/>
          </w:placeholder>
        </w:sdtPr>
        <w:sdtEndPr/>
        <w:sdtContent>
          <w:r w:rsidR="00F257B9">
            <w:rPr>
              <w:rFonts w:eastAsia="Times New Roman"/>
            </w:rPr>
            <w:t xml:space="preserve">(Zhang </w:t>
          </w:r>
          <w:r w:rsidR="00F257B9">
            <w:rPr>
              <w:rFonts w:eastAsia="Times New Roman"/>
              <w:i/>
              <w:iCs/>
            </w:rPr>
            <w:t>et al.</w:t>
          </w:r>
          <w:r w:rsidR="00F257B9">
            <w:rPr>
              <w:rFonts w:eastAsia="Times New Roman"/>
            </w:rPr>
            <w:t>, 2018)</w:t>
          </w:r>
        </w:sdtContent>
      </w:sdt>
      <w:r w:rsidRPr="003C0E2F">
        <w:t>. This could be associated with the role that IL-6 and TNFα are thought to play in endothelial dysfunction, as has been seen in diabetic mice (</w:t>
      </w:r>
      <w:sdt>
        <w:sdtPr>
          <w:rPr>
            <w:color w:val="000000"/>
          </w:rPr>
          <w:tag w:val="MENDELEY_CITATION_v3_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"/>
          <w:id w:val="-1455545498"/>
          <w:placeholder>
            <w:docPart w:val="DefaultPlaceholder_-1854013440"/>
          </w:placeholder>
        </w:sdtPr>
        <w:sdtEndPr/>
        <w:sdtContent>
          <w:r w:rsidR="00F257B9" w:rsidRPr="00F257B9">
            <w:rPr>
              <w:rFonts w:eastAsia="Times New Roman"/>
              <w:color w:val="000000"/>
            </w:rPr>
            <w:t>Lee et al., 2017</w:t>
          </w:r>
        </w:sdtContent>
      </w:sdt>
      <w:r w:rsidRPr="003C0E2F">
        <w:t>). IL-6 is therefore another important target for modulation of TLR4 signalling.</w:t>
      </w:r>
    </w:p>
    <w:p w14:paraId="66A66840" w14:textId="03C42455" w:rsidR="00A30511" w:rsidRPr="003C0E2F" w:rsidRDefault="00C47D55" w:rsidP="00C47D55">
      <w:r w:rsidRPr="003C0E2F">
        <w:t xml:space="preserve">TNFα was originally discovered and </w:t>
      </w:r>
      <w:proofErr w:type="gramStart"/>
      <w:r w:rsidRPr="003C0E2F">
        <w:t>its</w:t>
      </w:r>
      <w:proofErr w:type="gramEnd"/>
      <w:r w:rsidRPr="003C0E2F">
        <w:t xml:space="preserve"> noticed for its role in cell death and potential as an anti-</w:t>
      </w:r>
      <w:r w:rsidR="00BE1239" w:rsidRPr="003C0E2F">
        <w:t>tumour</w:t>
      </w:r>
      <w:r w:rsidRPr="003C0E2F">
        <w:t xml:space="preserve"> agent. TNFα production is associated with further cytokine and chemokine production via TNFR1/TNFR2 and release of </w:t>
      </w:r>
      <w:r w:rsidR="00F348C5" w:rsidRPr="003C0E2F">
        <w:t>MMPs</w:t>
      </w:r>
      <w:r w:rsidRPr="003C0E2F">
        <w:t xml:space="preserve"> </w:t>
      </w:r>
      <w:sdt>
        <w:sdtPr>
          <w:tag w:val="MENDELEY_CITATION_v3_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"/>
          <w:id w:val="939656892"/>
          <w:placeholder>
            <w:docPart w:val="DefaultPlaceholder_-1854013440"/>
          </w:placeholder>
        </w:sdtPr>
        <w:sdtEndPr/>
        <w:sdtContent>
          <w:r w:rsidR="00F257B9">
            <w:rPr>
              <w:rFonts w:eastAsia="Times New Roman"/>
            </w:rPr>
            <w:t xml:space="preserve">(Ramesh and Reeves, 2002; Hosokawa </w:t>
          </w:r>
          <w:r w:rsidR="00F257B9">
            <w:rPr>
              <w:rFonts w:eastAsia="Times New Roman"/>
              <w:i/>
              <w:iCs/>
            </w:rPr>
            <w:t>et al.</w:t>
          </w:r>
          <w:r w:rsidR="00F257B9">
            <w:rPr>
              <w:rFonts w:eastAsia="Times New Roman"/>
            </w:rPr>
            <w:t>, 2019)</w:t>
          </w:r>
        </w:sdtContent>
      </w:sdt>
      <w:r w:rsidRPr="003C0E2F">
        <w:t>. TNFα is released early following TLR4 activation</w:t>
      </w:r>
      <w:r w:rsidR="00E86BB6" w:rsidRPr="003C0E2F">
        <w:t xml:space="preserve"> by LPS</w:t>
      </w:r>
      <w:r w:rsidRPr="003C0E2F">
        <w:t xml:space="preserve"> at </w:t>
      </w:r>
      <w:proofErr w:type="gramStart"/>
      <w:r w:rsidRPr="003C0E2F">
        <w:t>sufficient quantities</w:t>
      </w:r>
      <w:proofErr w:type="gramEnd"/>
      <w:r w:rsidR="00BD21C3" w:rsidRPr="003C0E2F">
        <w:t xml:space="preserve"> to be detectible</w:t>
      </w:r>
      <w:r w:rsidR="00F65B50" w:rsidRPr="003C0E2F">
        <w:t xml:space="preserve"> </w:t>
      </w:r>
      <w:r w:rsidRPr="003C0E2F">
        <w:t xml:space="preserve">within </w:t>
      </w:r>
      <w:r w:rsidR="000106DE" w:rsidRPr="003C0E2F">
        <w:t>3</w:t>
      </w:r>
      <w:r w:rsidRPr="003C0E2F">
        <w:t xml:space="preserve"> hours </w:t>
      </w:r>
      <w:sdt>
        <w:sdtPr>
          <w:tag w:val="MENDELEY_CITATION_v3_eyJjaXRhdGlvbklEIjoiTUVOREVMRVlfQ0lUQVRJT05fZGQzNWMzOWEtMWQxMi00ZmM4LTllZDgtMWU0ZDQ5MDBjN2Iw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
          <w:id w:val="-1451244063"/>
          <w:placeholder>
            <w:docPart w:val="DefaultPlaceholder_-1854013440"/>
          </w:placeholder>
        </w:sdtPr>
        <w:sdtEndPr/>
        <w:sdtContent>
          <w:r w:rsidR="00F257B9">
            <w:rPr>
              <w:rFonts w:eastAsia="Times New Roman"/>
            </w:rPr>
            <w:t xml:space="preserve">(Huber </w:t>
          </w:r>
          <w:r w:rsidR="00F257B9">
            <w:rPr>
              <w:rFonts w:eastAsia="Times New Roman"/>
              <w:i/>
              <w:iCs/>
            </w:rPr>
            <w:t>et al.</w:t>
          </w:r>
          <w:r w:rsidR="00F257B9">
            <w:rPr>
              <w:rFonts w:eastAsia="Times New Roman"/>
            </w:rPr>
            <w:t>, 2006)</w:t>
          </w:r>
        </w:sdtContent>
      </w:sdt>
      <w:r w:rsidRPr="003C0E2F">
        <w:t>. TNFα may further activate NF-</w:t>
      </w:r>
      <w:proofErr w:type="spellStart"/>
      <w:r w:rsidRPr="003C0E2F">
        <w:t>κB</w:t>
      </w:r>
      <w:proofErr w:type="spellEnd"/>
      <w:r w:rsidRPr="003C0E2F">
        <w:t xml:space="preserve"> via its associated receptor and produce a secondary, later activation after initial TLR4 activation </w:t>
      </w:r>
      <w:sdt>
        <w:sdtPr>
          <w:tag w:val="MENDELEY_CITATION_v3_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"/>
          <w:id w:val="-1640949810"/>
          <w:placeholder>
            <w:docPart w:val="DefaultPlaceholder_-1854013440"/>
          </w:placeholder>
        </w:sdtPr>
        <w:sdtEndPr/>
        <w:sdtContent>
          <w:r w:rsidR="00F257B9">
            <w:rPr>
              <w:rFonts w:eastAsia="Times New Roman"/>
            </w:rPr>
            <w:t xml:space="preserve">(Han </w:t>
          </w:r>
          <w:r w:rsidR="00F257B9">
            <w:rPr>
              <w:rFonts w:eastAsia="Times New Roman"/>
              <w:i/>
              <w:iCs/>
            </w:rPr>
            <w:t>et al.</w:t>
          </w:r>
          <w:r w:rsidR="00F257B9">
            <w:rPr>
              <w:rFonts w:eastAsia="Times New Roman"/>
            </w:rPr>
            <w:t>, 2002)</w:t>
          </w:r>
        </w:sdtContent>
      </w:sdt>
      <w:r w:rsidRPr="003C0E2F">
        <w:t xml:space="preserve">. Elevated TNFα is also associated with an increase in ROS and </w:t>
      </w:r>
      <w:r w:rsidR="00A30511" w:rsidRPr="003C0E2F">
        <w:t>subsequently</w:t>
      </w:r>
      <w:r w:rsidRPr="003C0E2F">
        <w:t xml:space="preserve"> implicated in endothelial dysfunction </w:t>
      </w:r>
      <w:sdt>
        <w:sdtPr>
          <w:tag w:val="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"/>
          <w:id w:val="1680086595"/>
          <w:placeholder>
            <w:docPart w:val="DefaultPlaceholder_-1854013440"/>
          </w:placeholder>
        </w:sdtPr>
        <w:sdtEndPr/>
        <w:sdtContent>
          <w:r w:rsidR="00F257B9">
            <w:rPr>
              <w:rFonts w:eastAsia="Times New Roman"/>
            </w:rPr>
            <w:t xml:space="preserve">(Zhang </w:t>
          </w:r>
          <w:r w:rsidR="00F257B9">
            <w:rPr>
              <w:rFonts w:eastAsia="Times New Roman"/>
              <w:i/>
              <w:iCs/>
            </w:rPr>
            <w:t>et al.</w:t>
          </w:r>
          <w:r w:rsidR="00F257B9">
            <w:rPr>
              <w:rFonts w:eastAsia="Times New Roman"/>
            </w:rPr>
            <w:t xml:space="preserve">, 2009; Lee </w:t>
          </w:r>
          <w:r w:rsidR="00F257B9">
            <w:rPr>
              <w:rFonts w:eastAsia="Times New Roman"/>
              <w:i/>
              <w:iCs/>
            </w:rPr>
            <w:t>et al.</w:t>
          </w:r>
          <w:r w:rsidR="00F257B9">
            <w:rPr>
              <w:rFonts w:eastAsia="Times New Roman"/>
            </w:rPr>
            <w:t>, 2017)</w:t>
          </w:r>
        </w:sdtContent>
      </w:sdt>
      <w:r w:rsidRPr="003C0E2F">
        <w:t>. In addition, TNFα has been implicated in Parkinson’s and may exacerbate neurodegeneration (</w:t>
      </w:r>
      <w:sdt>
        <w:sdtPr>
          <w:rPr>
            <w:color w:val="000000"/>
          </w:rPr>
          <w:tag w:val="MENDELEY_CITATION_v3_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"/>
          <w:id w:val="598449938"/>
          <w:placeholder>
            <w:docPart w:val="DefaultPlaceholder_-1854013440"/>
          </w:placeholder>
        </w:sdtPr>
        <w:sdtEndPr/>
        <w:sdtContent>
          <w:r w:rsidR="00F257B9" w:rsidRPr="00F257B9">
            <w:rPr>
              <w:rFonts w:eastAsia="Times New Roman"/>
              <w:color w:val="000000"/>
            </w:rPr>
            <w:t>Boka et al., 1994)</w:t>
          </w:r>
        </w:sdtContent>
      </w:sdt>
      <w:r w:rsidRPr="003C0E2F">
        <w:t xml:space="preserve">. However, suppression of TNFα may allow </w:t>
      </w:r>
      <w:r w:rsidR="004F6741" w:rsidRPr="003C0E2F">
        <w:t xml:space="preserve">for </w:t>
      </w:r>
      <w:r w:rsidRPr="003C0E2F">
        <w:t xml:space="preserve">the resurgence </w:t>
      </w:r>
      <w:r w:rsidRPr="003C0E2F">
        <w:lastRenderedPageBreak/>
        <w:t xml:space="preserve">of dormant infections </w:t>
      </w:r>
      <w:sdt>
        <w:sdtPr>
          <w:tag w:val="MENDELEY_CITATION_v3_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"/>
          <w:id w:val="141081195"/>
          <w:placeholder>
            <w:docPart w:val="DefaultPlaceholder_-1854013440"/>
          </w:placeholder>
        </w:sdtPr>
        <w:sdtEndPr/>
        <w:sdtContent>
          <w:r w:rsidR="00F257B9">
            <w:rPr>
              <w:rFonts w:eastAsia="Times New Roman"/>
            </w:rPr>
            <w:t xml:space="preserve">(Lin </w:t>
          </w:r>
          <w:r w:rsidR="00F257B9">
            <w:rPr>
              <w:rFonts w:eastAsia="Times New Roman"/>
              <w:i/>
              <w:iCs/>
            </w:rPr>
            <w:t>et al.</w:t>
          </w:r>
          <w:r w:rsidR="00F257B9">
            <w:rPr>
              <w:rFonts w:eastAsia="Times New Roman"/>
            </w:rPr>
            <w:t>, 2010)</w:t>
          </w:r>
        </w:sdtContent>
      </w:sdt>
      <w:r w:rsidR="00E246B8" w:rsidRPr="003C0E2F">
        <w:t xml:space="preserve">. </w:t>
      </w:r>
      <w:r w:rsidRPr="003C0E2F">
        <w:t>As such, complete suppression of TNFα may not always be a desirable outcome for treatment strategies.</w:t>
      </w:r>
    </w:p>
    <w:p w14:paraId="187E08C2" w14:textId="77777777" w:rsidR="00A30511" w:rsidRPr="003C0E2F" w:rsidRDefault="00A30511">
      <w:pPr>
        <w:spacing w:line="259" w:lineRule="auto"/>
      </w:pPr>
      <w:r w:rsidRPr="003C0E2F">
        <w:br w:type="page"/>
      </w:r>
    </w:p>
    <w:p w14:paraId="7143B060" w14:textId="6FB73E50" w:rsidR="00F64F9A" w:rsidRPr="003C0E2F" w:rsidRDefault="00F64F9A" w:rsidP="00D55B0E">
      <w:pPr>
        <w:pStyle w:val="Heading3"/>
      </w:pPr>
      <w:bookmarkStart w:id="89" w:name="_Toc80013727"/>
      <w:bookmarkStart w:id="90" w:name="_Toc82882347"/>
      <w:r w:rsidRPr="003C0E2F">
        <w:lastRenderedPageBreak/>
        <w:t xml:space="preserve">Interferon beta and Interferon </w:t>
      </w:r>
      <w:r w:rsidR="000A1BFB" w:rsidRPr="003C0E2F">
        <w:t>a</w:t>
      </w:r>
      <w:r w:rsidRPr="003C0E2F">
        <w:t>lpha/</w:t>
      </w:r>
      <w:r w:rsidR="000A1BFB" w:rsidRPr="003C0E2F">
        <w:t>b</w:t>
      </w:r>
      <w:r w:rsidRPr="003C0E2F">
        <w:t xml:space="preserve">eta </w:t>
      </w:r>
      <w:r w:rsidR="007406E3" w:rsidRPr="003C0E2F">
        <w:t>r</w:t>
      </w:r>
      <w:r w:rsidRPr="003C0E2F">
        <w:t>eceptor</w:t>
      </w:r>
      <w:r w:rsidR="0006649C" w:rsidRPr="003C0E2F">
        <w:t>s</w:t>
      </w:r>
      <w:bookmarkEnd w:id="89"/>
      <w:bookmarkEnd w:id="90"/>
      <w:r w:rsidRPr="003C0E2F">
        <w:t xml:space="preserve"> </w:t>
      </w:r>
    </w:p>
    <w:p w14:paraId="21F5D14E" w14:textId="22BB8E9B" w:rsidR="00C47D55" w:rsidRPr="003C0E2F" w:rsidRDefault="00C47D55" w:rsidP="00C47D55">
      <w:r w:rsidRPr="003C0E2F">
        <w:t xml:space="preserve">Interferons are separated into two main groups, type I interferons, and type II interferons. Type I interferons consist of many structurally similar molecules, while type II interferons have only 1 representative in </w:t>
      </w:r>
      <w:proofErr w:type="spellStart"/>
      <w:r w:rsidRPr="003C0E2F">
        <w:t>IFNγ</w:t>
      </w:r>
      <w:proofErr w:type="spellEnd"/>
      <w:r w:rsidRPr="003C0E2F">
        <w:t>. IFNAR signalling is the associated with type 1 interferons including IFNβ. IFNβ</w:t>
      </w:r>
      <w:r w:rsidR="00A9277D" w:rsidRPr="003C0E2F">
        <w:t>-</w:t>
      </w:r>
      <w:r w:rsidR="009E0322" w:rsidRPr="003C0E2F">
        <w:t>dependent</w:t>
      </w:r>
      <w:r w:rsidRPr="003C0E2F">
        <w:t xml:space="preserve"> IFNAR signalling occurs via JAK/STAT pathways. The type I interferon receptor is comprised of two units; IFNAR1 and IFNAR 2 which are associate with TYK2 </w:t>
      </w:r>
      <w:r w:rsidR="002F570D" w:rsidRPr="003C0E2F">
        <w:t>and</w:t>
      </w:r>
      <w:r w:rsidRPr="003C0E2F">
        <w:t xml:space="preserve"> </w:t>
      </w:r>
      <w:r w:rsidR="008612D0" w:rsidRPr="003C0E2F">
        <w:t>JAK1,</w:t>
      </w:r>
      <w:r w:rsidRPr="003C0E2F">
        <w:t xml:space="preserve"> respectively. Phosphorylation of TYK2/JAK1 following activation of the receptor facilitates further phosphorylation of STATs. IFNβ is associated with further production of </w:t>
      </w:r>
      <w:r w:rsidR="009E42FE" w:rsidRPr="003C0E2F">
        <w:t>IP10</w:t>
      </w:r>
      <w:r w:rsidRPr="003C0E2F">
        <w:t xml:space="preserve"> and NO release from cells. Type-1 interferon neutralising antibodies </w:t>
      </w:r>
      <w:proofErr w:type="gramStart"/>
      <w:r w:rsidRPr="003C0E2F">
        <w:t>are capable of causing</w:t>
      </w:r>
      <w:proofErr w:type="gramEnd"/>
      <w:r w:rsidRPr="003C0E2F">
        <w:t xml:space="preserve"> a significant reduction in nitrate levels following stimulation </w:t>
      </w:r>
      <w:sdt>
        <w:sdtPr>
          <w:tag w:val="MENDELEY_CITATION_v3_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"/>
          <w:id w:val="-1867821432"/>
          <w:placeholder>
            <w:docPart w:val="DefaultPlaceholder_-1854013440"/>
          </w:placeholder>
        </w:sdtPr>
        <w:sdtEndPr/>
        <w:sdtContent>
          <w:r w:rsidR="00F257B9">
            <w:rPr>
              <w:rFonts w:eastAsia="Times New Roman"/>
            </w:rPr>
            <w:t>(</w:t>
          </w:r>
          <w:proofErr w:type="spellStart"/>
          <w:r w:rsidR="00F257B9">
            <w:rPr>
              <w:rFonts w:eastAsia="Times New Roman"/>
            </w:rPr>
            <w:t>Zughaier</w:t>
          </w:r>
          <w:proofErr w:type="spellEnd"/>
          <w:r w:rsidR="00F257B9">
            <w:rPr>
              <w:rFonts w:eastAsia="Times New Roman"/>
            </w:rPr>
            <w:t xml:space="preserve"> </w:t>
          </w:r>
          <w:r w:rsidR="00F257B9">
            <w:rPr>
              <w:rFonts w:eastAsia="Times New Roman"/>
              <w:i/>
              <w:iCs/>
            </w:rPr>
            <w:t>et al.</w:t>
          </w:r>
          <w:r w:rsidR="00F257B9">
            <w:rPr>
              <w:rFonts w:eastAsia="Times New Roman"/>
            </w:rPr>
            <w:t>, 2005)</w:t>
          </w:r>
        </w:sdtContent>
      </w:sdt>
      <w:r w:rsidRPr="003C0E2F">
        <w:t>.</w:t>
      </w:r>
    </w:p>
    <w:p w14:paraId="127FD720" w14:textId="0E20BE82" w:rsidR="00545C87" w:rsidRPr="003C0E2F" w:rsidRDefault="00C47D55" w:rsidP="00C47D55">
      <w:r w:rsidRPr="003C0E2F">
        <w:t xml:space="preserve">Interferon therapies have been investigated for treatment of a range of conditions. IFNβ therapies have been shown to have some positive </w:t>
      </w:r>
      <w:r w:rsidR="008F561F" w:rsidRPr="003C0E2F">
        <w:t>effect</w:t>
      </w:r>
      <w:r w:rsidRPr="003C0E2F">
        <w:t xml:space="preserve"> in MS patients </w:t>
      </w:r>
      <w:sdt>
        <w:sdtPr>
          <w:tag w:val="MENDELEY_CITATION_v3_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"/>
          <w:id w:val="535230497"/>
          <w:placeholder>
            <w:docPart w:val="DefaultPlaceholder_-1854013440"/>
          </w:placeholder>
        </w:sdtPr>
        <w:sdtEndPr/>
        <w:sdtContent>
          <w:r w:rsidR="00F257B9">
            <w:rPr>
              <w:rFonts w:eastAsia="Times New Roman"/>
            </w:rPr>
            <w:t>(</w:t>
          </w:r>
          <w:proofErr w:type="spellStart"/>
          <w:r w:rsidR="00F257B9">
            <w:rPr>
              <w:rFonts w:eastAsia="Times New Roman"/>
            </w:rPr>
            <w:t>Maimaitijiang</w:t>
          </w:r>
          <w:proofErr w:type="spellEnd"/>
          <w:r w:rsidR="00F257B9">
            <w:rPr>
              <w:rFonts w:eastAsia="Times New Roman"/>
            </w:rPr>
            <w:t xml:space="preserve"> </w:t>
          </w:r>
          <w:r w:rsidR="00F257B9">
            <w:rPr>
              <w:rFonts w:eastAsia="Times New Roman"/>
              <w:i/>
              <w:iCs/>
            </w:rPr>
            <w:t>et al.</w:t>
          </w:r>
          <w:r w:rsidR="00F257B9">
            <w:rPr>
              <w:rFonts w:eastAsia="Times New Roman"/>
            </w:rPr>
            <w:t>, 2019)</w:t>
          </w:r>
        </w:sdtContent>
      </w:sdt>
      <w:r w:rsidRPr="003C0E2F">
        <w:t>. IFNβ may also show some anti-cancer potential, with the potential bring about a reduction in processes associated with recurrence of triple-negative breast cancer in a HMEC model system</w:t>
      </w:r>
      <w:r w:rsidR="00E0534C" w:rsidRPr="003C0E2F">
        <w:t xml:space="preserve"> </w:t>
      </w:r>
      <w:sdt>
        <w:sdtPr>
          <w:tag w:val="MENDELEY_CITATION_v3_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"/>
          <w:id w:val="1737365217"/>
          <w:placeholder>
            <w:docPart w:val="DefaultPlaceholder_-1854013440"/>
          </w:placeholder>
        </w:sdtPr>
        <w:sdtEndPr/>
        <w:sdtContent>
          <w:r w:rsidR="00F257B9">
            <w:rPr>
              <w:rFonts w:eastAsia="Times New Roman"/>
            </w:rPr>
            <w:t xml:space="preserve">(Doherty </w:t>
          </w:r>
          <w:r w:rsidR="00F257B9">
            <w:rPr>
              <w:rFonts w:eastAsia="Times New Roman"/>
              <w:i/>
              <w:iCs/>
            </w:rPr>
            <w:t>et al.</w:t>
          </w:r>
          <w:r w:rsidR="00F257B9">
            <w:rPr>
              <w:rFonts w:eastAsia="Times New Roman"/>
            </w:rPr>
            <w:t>, 2017)</w:t>
          </w:r>
        </w:sdtContent>
      </w:sdt>
      <w:r w:rsidRPr="003C0E2F">
        <w:t xml:space="preserve">. However, not all </w:t>
      </w:r>
      <w:r w:rsidR="008F561F" w:rsidRPr="003C0E2F">
        <w:t>effect</w:t>
      </w:r>
      <w:r w:rsidRPr="003C0E2F">
        <w:t>s of IFNβ are universally positive. IFNβ may prevent attachment and differentiation of monocytic cells, causing detachment though not apoptosis. This is thought to be through an impairment in VLA-5 integrin functionality by calpain-1</w:t>
      </w:r>
      <w:r w:rsidR="00E0534C" w:rsidRPr="003C0E2F">
        <w:t xml:space="preserve"> </w:t>
      </w:r>
      <w:sdt>
        <w:sdtPr>
          <w:tag w:val="MENDELEY_CITATION_v3_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"/>
          <w:id w:val="-67272225"/>
          <w:placeholder>
            <w:docPart w:val="DefaultPlaceholder_-1854013440"/>
          </w:placeholder>
        </w:sdtPr>
        <w:sdtEndPr/>
        <w:sdtContent>
          <w:r w:rsidR="00F257B9">
            <w:rPr>
              <w:rFonts w:eastAsia="Times New Roman"/>
            </w:rPr>
            <w:t>(</w:t>
          </w:r>
          <w:proofErr w:type="spellStart"/>
          <w:r w:rsidR="00F257B9">
            <w:rPr>
              <w:rFonts w:eastAsia="Times New Roman"/>
            </w:rPr>
            <w:t>Yıldırım</w:t>
          </w:r>
          <w:proofErr w:type="spellEnd"/>
          <w:r w:rsidR="00F257B9">
            <w:rPr>
              <w:rFonts w:eastAsia="Times New Roman"/>
            </w:rPr>
            <w:t xml:space="preserve"> </w:t>
          </w:r>
          <w:r w:rsidR="00F257B9">
            <w:rPr>
              <w:rFonts w:eastAsia="Times New Roman"/>
              <w:i/>
              <w:iCs/>
            </w:rPr>
            <w:t>et al.</w:t>
          </w:r>
          <w:r w:rsidR="00F257B9">
            <w:rPr>
              <w:rFonts w:eastAsia="Times New Roman"/>
            </w:rPr>
            <w:t>, 2015)</w:t>
          </w:r>
        </w:sdtContent>
      </w:sdt>
      <w:r w:rsidRPr="003C0E2F">
        <w:t xml:space="preserve">. Anti-angiogenic </w:t>
      </w:r>
      <w:r w:rsidR="008F561F" w:rsidRPr="003C0E2F">
        <w:t>effect</w:t>
      </w:r>
      <w:r w:rsidRPr="003C0E2F">
        <w:t xml:space="preserve">s of IFNβ may contribute to ischemia. Blocking of IFNβ can stimulate proliferation of VSMCs and may aid in angiogenesis, allowing for the creation of collateral arteries which may aid in bypassing arterial occlusions </w:t>
      </w:r>
      <w:sdt>
        <w:sdtPr>
          <w:rPr>
            <w:color w:val="000000"/>
          </w:rPr>
          <w:tag w:val="MENDELEY_CITATION_v3_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"/>
          <w:id w:val="378984292"/>
          <w:placeholder>
            <w:docPart w:val="DefaultPlaceholder_-1854013440"/>
          </w:placeholder>
        </w:sdtPr>
        <w:sdtEndPr/>
        <w:sdtContent>
          <w:r w:rsidR="00F257B9" w:rsidRPr="00F257B9">
            <w:rPr>
              <w:rFonts w:eastAsia="Times New Roman"/>
              <w:color w:val="000000"/>
            </w:rPr>
            <w:t>(Schirmer, Bot and …, 2010)</w:t>
          </w:r>
        </w:sdtContent>
      </w:sdt>
      <w:r w:rsidRPr="003C0E2F">
        <w:t>. Modulation of IFNβ may be beneficial or detrimental in disease pathology depending on the situation.</w:t>
      </w:r>
      <w:r w:rsidR="00545C87" w:rsidRPr="003C0E2F">
        <w:br w:type="page"/>
      </w:r>
    </w:p>
    <w:p w14:paraId="4CD25852" w14:textId="38590417" w:rsidR="00F64F9A" w:rsidRPr="003C0E2F" w:rsidRDefault="00F64F9A" w:rsidP="00BE5236">
      <w:pPr>
        <w:pStyle w:val="Heading2"/>
      </w:pPr>
      <w:bookmarkStart w:id="91" w:name="_Toc80013728"/>
      <w:bookmarkStart w:id="92" w:name="_Toc82882348"/>
      <w:r w:rsidRPr="003C0E2F">
        <w:lastRenderedPageBreak/>
        <w:t>L</w:t>
      </w:r>
      <w:r w:rsidR="0006649C" w:rsidRPr="003C0E2F">
        <w:t xml:space="preserve">PS as a master </w:t>
      </w:r>
      <w:r w:rsidR="000A1BFB" w:rsidRPr="003C0E2F">
        <w:t>TLR4</w:t>
      </w:r>
      <w:r w:rsidR="0006649C" w:rsidRPr="003C0E2F">
        <w:t xml:space="preserve"> ligand</w:t>
      </w:r>
      <w:bookmarkEnd w:id="91"/>
      <w:bookmarkEnd w:id="92"/>
    </w:p>
    <w:p w14:paraId="12156747" w14:textId="04E334EB" w:rsidR="00C47D55" w:rsidRPr="003C0E2F" w:rsidRDefault="00C47D55" w:rsidP="00C47D55">
      <w:r w:rsidRPr="003C0E2F">
        <w:t xml:space="preserve">LPS is a glycolipid form part of the outer membrane of most gram-negative bacteria. This serves as a protective barrier to the organism and provides a layer of resistance to external threats such as bacteriophages, immune elements, or antibiotics. It is possible for some gram-negative bacteria to remain viable despite blockade of Lipid A synthesis, though growth may be slower in modified strains </w:t>
      </w:r>
      <w:sdt>
        <w:sdtPr>
          <w:tag w:val="MENDELEY_CITATION_v3_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"/>
          <w:id w:val="-811948304"/>
          <w:placeholder>
            <w:docPart w:val="DefaultPlaceholder_-1854013440"/>
          </w:placeholder>
        </w:sdtPr>
        <w:sdtEndPr/>
        <w:sdtContent>
          <w:r w:rsidR="00F257B9">
            <w:rPr>
              <w:rFonts w:eastAsia="Times New Roman"/>
            </w:rPr>
            <w:t>(</w:t>
          </w:r>
          <w:proofErr w:type="spellStart"/>
          <w:r w:rsidR="00F257B9">
            <w:rPr>
              <w:rFonts w:eastAsia="Times New Roman"/>
            </w:rPr>
            <w:t>Steeghs</w:t>
          </w:r>
          <w:proofErr w:type="spellEnd"/>
          <w:r w:rsidR="00F257B9">
            <w:rPr>
              <w:rFonts w:eastAsia="Times New Roman"/>
            </w:rPr>
            <w:t xml:space="preserve"> </w:t>
          </w:r>
          <w:r w:rsidR="00F257B9">
            <w:rPr>
              <w:rFonts w:eastAsia="Times New Roman"/>
              <w:i/>
              <w:iCs/>
            </w:rPr>
            <w:t>et al.</w:t>
          </w:r>
          <w:r w:rsidR="00F257B9">
            <w:rPr>
              <w:rFonts w:eastAsia="Times New Roman"/>
            </w:rPr>
            <w:t>, 1998)</w:t>
          </w:r>
        </w:sdtContent>
      </w:sdt>
      <w:r w:rsidRPr="003C0E2F">
        <w:t xml:space="preserve">. However, LPS deficient variants are likely to be more susceptible to antibiotics and other threats which would otherwise be resisted </w:t>
      </w:r>
      <w:sdt>
        <w:sdtPr>
          <w:tag w:val="MENDELEY_CITATION_v3_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"/>
          <w:id w:val="-1659756762"/>
          <w:placeholder>
            <w:docPart w:val="DefaultPlaceholder_-1854013440"/>
          </w:placeholder>
        </w:sdtPr>
        <w:sdtEndPr/>
        <w:sdtContent>
          <w:r w:rsidR="00F257B9">
            <w:rPr>
              <w:rFonts w:eastAsia="Times New Roman"/>
            </w:rPr>
            <w:t>(</w:t>
          </w:r>
          <w:proofErr w:type="spellStart"/>
          <w:r w:rsidR="00F257B9">
            <w:rPr>
              <w:rFonts w:eastAsia="Times New Roman"/>
            </w:rPr>
            <w:t>Steeghs</w:t>
          </w:r>
          <w:proofErr w:type="spellEnd"/>
          <w:r w:rsidR="00F257B9">
            <w:rPr>
              <w:rFonts w:eastAsia="Times New Roman"/>
            </w:rPr>
            <w:t xml:space="preserve"> </w:t>
          </w:r>
          <w:r w:rsidR="00F257B9">
            <w:rPr>
              <w:rFonts w:eastAsia="Times New Roman"/>
              <w:i/>
              <w:iCs/>
            </w:rPr>
            <w:t>et al.</w:t>
          </w:r>
          <w:r w:rsidR="00F257B9">
            <w:rPr>
              <w:rFonts w:eastAsia="Times New Roman"/>
            </w:rPr>
            <w:t>, 2001)</w:t>
          </w:r>
        </w:sdtContent>
      </w:sdt>
      <w:r w:rsidRPr="003C0E2F">
        <w:t>. LPS provides a barrier against large hydrophobic molecules entering bacterial cells, which can be lost in its absence.</w:t>
      </w:r>
    </w:p>
    <w:p w14:paraId="5A27CCE8" w14:textId="6FE6E45B" w:rsidR="00C47D55" w:rsidRPr="003C0E2F" w:rsidRDefault="00C47D55" w:rsidP="00C47D55">
      <w:r w:rsidRPr="003C0E2F">
        <w:t>When g</w:t>
      </w:r>
      <w:r w:rsidR="00654A0D" w:rsidRPr="003C0E2F">
        <w:t>ram-negative</w:t>
      </w:r>
      <w:r w:rsidRPr="003C0E2F">
        <w:t xml:space="preserve"> bacteria are present in an organism, these outer membrane components such as LPS are shed and picked up by immune system. LPS it is recognised and can stimulate an inflammatory response via TLR4 which helps to deal with the associated bacterial threat. Pathogens must employ various strategies to avoid detection by the immune system and may make modifications to the LPS structure (Al-Qutab et al., 2006). Structural variations in LPS </w:t>
      </w:r>
      <w:r w:rsidR="002F570D" w:rsidRPr="003C0E2F">
        <w:t>may</w:t>
      </w:r>
      <w:r w:rsidRPr="003C0E2F">
        <w:t xml:space="preserve"> lead to a </w:t>
      </w:r>
      <w:r w:rsidR="002F570D" w:rsidRPr="003C0E2F">
        <w:t>different immune response</w:t>
      </w:r>
      <w:r w:rsidRPr="003C0E2F">
        <w:t xml:space="preserve"> to unique </w:t>
      </w:r>
      <w:r w:rsidR="002F570D" w:rsidRPr="003C0E2F">
        <w:t xml:space="preserve">to these </w:t>
      </w:r>
      <w:r w:rsidRPr="003C0E2F">
        <w:t xml:space="preserve">LPS </w:t>
      </w:r>
      <w:r w:rsidR="002F570D" w:rsidRPr="003C0E2F">
        <w:t>variants as pathogens attempt to circumvent immune detection</w:t>
      </w:r>
      <w:r w:rsidRPr="003C0E2F">
        <w:t xml:space="preserve">. </w:t>
      </w:r>
    </w:p>
    <w:p w14:paraId="5A61A8CB" w14:textId="119B4D2C" w:rsidR="006B0E70" w:rsidRPr="003C0E2F" w:rsidRDefault="00C47D55" w:rsidP="006B0E70">
      <w:r w:rsidRPr="003C0E2F">
        <w:t xml:space="preserve">Different species of LPS may differentially activate TLR4 based </w:t>
      </w:r>
      <w:r w:rsidR="00932BC2" w:rsidRPr="003C0E2F">
        <w:t>MyD88</w:t>
      </w:r>
      <w:r w:rsidRPr="003C0E2F">
        <w:t xml:space="preserve"> or TRIF -</w:t>
      </w:r>
      <w:r w:rsidR="009E0322" w:rsidRPr="003C0E2F">
        <w:t>dependent</w:t>
      </w:r>
      <w:r w:rsidRPr="003C0E2F">
        <w:t xml:space="preserve"> signalling, activating one or the other to a lesser or greater extent. Following exposure to several species of LPS, </w:t>
      </w:r>
      <w:r w:rsidR="00D15B13" w:rsidRPr="003C0E2F">
        <w:rPr>
          <w:i/>
        </w:rPr>
        <w:t>Salmonella</w:t>
      </w:r>
      <w:r w:rsidRPr="003C0E2F">
        <w:t xml:space="preserve"> LPS was found to be more </w:t>
      </w:r>
      <w:r w:rsidR="008F561F" w:rsidRPr="003C0E2F">
        <w:t>effect</w:t>
      </w:r>
      <w:r w:rsidRPr="003C0E2F">
        <w:t xml:space="preserve">ive at inducing </w:t>
      </w:r>
      <w:r w:rsidR="00932BC2" w:rsidRPr="003C0E2F">
        <w:t>MyD88</w:t>
      </w:r>
      <w:r w:rsidRPr="003C0E2F">
        <w:t>-in</w:t>
      </w:r>
      <w:r w:rsidR="009E0322" w:rsidRPr="003C0E2F">
        <w:t>dependent</w:t>
      </w:r>
      <w:r w:rsidRPr="003C0E2F">
        <w:t xml:space="preserve"> IFNβ inducible NO production, while </w:t>
      </w:r>
      <w:proofErr w:type="gramStart"/>
      <w:r w:rsidR="008612D0" w:rsidRPr="003C0E2F">
        <w:rPr>
          <w:i/>
          <w:iCs/>
        </w:rPr>
        <w:t>E.coli</w:t>
      </w:r>
      <w:proofErr w:type="gramEnd"/>
      <w:r w:rsidRPr="003C0E2F">
        <w:t xml:space="preserve"> LPS was more </w:t>
      </w:r>
      <w:r w:rsidR="008F561F" w:rsidRPr="003C0E2F">
        <w:t>effect</w:t>
      </w:r>
      <w:r w:rsidRPr="003C0E2F">
        <w:t xml:space="preserve">ive at inducing </w:t>
      </w:r>
      <w:r w:rsidR="00932BC2" w:rsidRPr="003C0E2F">
        <w:t>MyD88</w:t>
      </w:r>
      <w:r w:rsidRPr="003C0E2F">
        <w:t xml:space="preserve"> associated TNFα than either </w:t>
      </w:r>
      <w:r w:rsidR="008612D0" w:rsidRPr="003C0E2F">
        <w:rPr>
          <w:i/>
        </w:rPr>
        <w:t>S</w:t>
      </w:r>
      <w:r w:rsidR="00F65A5C" w:rsidRPr="003C0E2F">
        <w:rPr>
          <w:i/>
        </w:rPr>
        <w:t xml:space="preserve">almonella </w:t>
      </w:r>
      <w:proofErr w:type="spellStart"/>
      <w:r w:rsidR="008612D0" w:rsidRPr="003C0E2F">
        <w:rPr>
          <w:i/>
        </w:rPr>
        <w:t>minnesota</w:t>
      </w:r>
      <w:proofErr w:type="spellEnd"/>
      <w:r w:rsidRPr="003C0E2F">
        <w:t xml:space="preserve"> or </w:t>
      </w:r>
      <w:r w:rsidRPr="003C0E2F">
        <w:rPr>
          <w:i/>
          <w:iCs/>
        </w:rPr>
        <w:t>S</w:t>
      </w:r>
      <w:r w:rsidR="00F65A5C" w:rsidRPr="003C0E2F">
        <w:rPr>
          <w:i/>
          <w:iCs/>
        </w:rPr>
        <w:t xml:space="preserve">almonella </w:t>
      </w:r>
      <w:r w:rsidRPr="003C0E2F">
        <w:rPr>
          <w:i/>
          <w:iCs/>
        </w:rPr>
        <w:t>typhimurium</w:t>
      </w:r>
      <w:r w:rsidRPr="003C0E2F">
        <w:t xml:space="preserve"> </w:t>
      </w:r>
      <w:sdt>
        <w:sdtPr>
          <w:tag w:val="MENDELEY_CITATION_v3_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"/>
          <w:id w:val="-749573306"/>
          <w:placeholder>
            <w:docPart w:val="DefaultPlaceholder_-1854013440"/>
          </w:placeholder>
        </w:sdtPr>
        <w:sdtEndPr/>
        <w:sdtContent>
          <w:r w:rsidR="00F257B9">
            <w:rPr>
              <w:rFonts w:eastAsia="Times New Roman"/>
            </w:rPr>
            <w:t>(</w:t>
          </w:r>
          <w:proofErr w:type="spellStart"/>
          <w:r w:rsidR="00F257B9">
            <w:rPr>
              <w:rFonts w:eastAsia="Times New Roman"/>
            </w:rPr>
            <w:t>Zughaier</w:t>
          </w:r>
          <w:proofErr w:type="spellEnd"/>
          <w:r w:rsidR="00F257B9">
            <w:rPr>
              <w:rFonts w:eastAsia="Times New Roman"/>
            </w:rPr>
            <w:t xml:space="preserve"> </w:t>
          </w:r>
          <w:r w:rsidR="00F257B9">
            <w:rPr>
              <w:rFonts w:eastAsia="Times New Roman"/>
              <w:i/>
              <w:iCs/>
            </w:rPr>
            <w:t>et al.</w:t>
          </w:r>
          <w:r w:rsidR="00F257B9">
            <w:rPr>
              <w:rFonts w:eastAsia="Times New Roman"/>
            </w:rPr>
            <w:t>, 2005)</w:t>
          </w:r>
        </w:sdtContent>
      </w:sdt>
      <w:r w:rsidRPr="003C0E2F">
        <w:t xml:space="preserve">. </w:t>
      </w:r>
      <w:r w:rsidR="006B0E70" w:rsidRPr="003C0E2F">
        <w:t>The difference in MyD88-dependent or TRIF-dependent signalling responses to different LPS species could relate CD14 and LBP interactions, which are thought to be of greater importance for TRIF-dependent signalling</w:t>
      </w:r>
      <w:sdt>
        <w:sdtPr>
          <w:tag w:val="MENDELEY_CITATION_v3_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"/>
          <w:id w:val="2029755552"/>
          <w:placeholder>
            <w:docPart w:val="2B3B6FDE0787435B8223C419954B4848"/>
          </w:placeholder>
        </w:sdtPr>
        <w:sdtEndPr/>
        <w:sdtContent>
          <w:r w:rsidR="00F257B9">
            <w:rPr>
              <w:rFonts w:eastAsia="Times New Roman"/>
            </w:rPr>
            <w:t xml:space="preserve">(Tsukamoto </w:t>
          </w:r>
          <w:r w:rsidR="00F257B9">
            <w:rPr>
              <w:rFonts w:eastAsia="Times New Roman"/>
              <w:i/>
              <w:iCs/>
            </w:rPr>
            <w:t>et al.</w:t>
          </w:r>
          <w:r w:rsidR="00F257B9">
            <w:rPr>
              <w:rFonts w:eastAsia="Times New Roman"/>
            </w:rPr>
            <w:t>, 2018)</w:t>
          </w:r>
        </w:sdtContent>
      </w:sdt>
    </w:p>
    <w:p w14:paraId="20CF4CCF" w14:textId="6F956D47" w:rsidR="00C47D55" w:rsidRPr="003C0E2F" w:rsidRDefault="00C47D55" w:rsidP="00C47D55">
      <w:pPr>
        <w:rPr>
          <w:b/>
          <w:bCs/>
        </w:rPr>
      </w:pPr>
      <w:r w:rsidRPr="003C0E2F">
        <w:t xml:space="preserve"> </w:t>
      </w:r>
      <w:r w:rsidRPr="003C0E2F">
        <w:br w:type="page"/>
      </w:r>
    </w:p>
    <w:p w14:paraId="3C932EF6" w14:textId="6F295C85" w:rsidR="00F64F9A" w:rsidRPr="003C0E2F" w:rsidRDefault="00473D8D" w:rsidP="00D55B0E">
      <w:pPr>
        <w:pStyle w:val="Heading3"/>
      </w:pPr>
      <w:bookmarkStart w:id="93" w:name="_Toc80013729"/>
      <w:bookmarkStart w:id="94" w:name="_Toc82882349"/>
      <w:bookmarkStart w:id="95" w:name="_Hlk64284569"/>
      <w:r w:rsidRPr="003C0E2F">
        <w:lastRenderedPageBreak/>
        <w:t xml:space="preserve">LPS </w:t>
      </w:r>
      <w:r w:rsidR="00DF3108" w:rsidRPr="003C0E2F">
        <w:t>s</w:t>
      </w:r>
      <w:r w:rsidR="00F64F9A" w:rsidRPr="003C0E2F">
        <w:t xml:space="preserve">tructure and </w:t>
      </w:r>
      <w:r w:rsidR="00DF3108" w:rsidRPr="003C0E2F">
        <w:t>v</w:t>
      </w:r>
      <w:r w:rsidR="00F64F9A" w:rsidRPr="003C0E2F">
        <w:t>ariation</w:t>
      </w:r>
      <w:r w:rsidR="00DF3108" w:rsidRPr="003C0E2F">
        <w:t>s</w:t>
      </w:r>
      <w:bookmarkEnd w:id="93"/>
      <w:bookmarkEnd w:id="94"/>
    </w:p>
    <w:p w14:paraId="2E9D18B3" w14:textId="0E242BB3" w:rsidR="00C47D55" w:rsidRPr="003C0E2F" w:rsidRDefault="00D140FD" w:rsidP="00C47D55">
      <w:r w:rsidRPr="003C0E2F">
        <w:t xml:space="preserve"> </w:t>
      </w:r>
      <w:r w:rsidR="00C47D55" w:rsidRPr="003C0E2F">
        <w:t>The structure of LPS can vary between species, though it is typically comprised of three distinct regions. These three regions are referred to as the O-antigen, polysaccharide core and Lipid A domain</w:t>
      </w:r>
      <w:r w:rsidR="00F17BF5" w:rsidRPr="003C0E2F">
        <w:t xml:space="preserve"> (Figure 5)</w:t>
      </w:r>
      <w:r w:rsidR="00C47D55" w:rsidRPr="003C0E2F">
        <w:t xml:space="preserve">. Of these, the Lipid A domain is the active moiety that interacts with the hydrophobic pocket of MD-2. While the different regions of LPS can vary between bacterial species, the Lipid A domain remains relatively conserved across strains and is thus the region that is recognised by TLR4/MD-2 </w:t>
      </w:r>
      <w:sdt>
        <w:sdtPr>
          <w:rPr>
            <w:color w:val="000000"/>
          </w:rPr>
          <w:tag w:val="MENDELEY_CITATION_v3_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"/>
          <w:id w:val="-860582229"/>
          <w:placeholder>
            <w:docPart w:val="DefaultPlaceholder_-1854013440"/>
          </w:placeholder>
        </w:sdtPr>
        <w:sdtEndPr/>
        <w:sdtContent>
          <w:r w:rsidR="00F257B9" w:rsidRPr="00F257B9">
            <w:rPr>
              <w:color w:val="000000"/>
            </w:rPr>
            <w:t xml:space="preserve">(Mi and Lee, 2008; </w:t>
          </w:r>
          <w:proofErr w:type="spellStart"/>
          <w:r w:rsidR="00F257B9" w:rsidRPr="00F257B9">
            <w:rPr>
              <w:color w:val="000000"/>
            </w:rPr>
            <w:t>Oblak</w:t>
          </w:r>
          <w:proofErr w:type="spellEnd"/>
          <w:r w:rsidR="00F257B9" w:rsidRPr="00F257B9">
            <w:rPr>
              <w:color w:val="000000"/>
            </w:rPr>
            <w:t xml:space="preserve"> and </w:t>
          </w:r>
          <w:proofErr w:type="spellStart"/>
          <w:r w:rsidR="00F257B9" w:rsidRPr="00F257B9">
            <w:rPr>
              <w:color w:val="000000"/>
            </w:rPr>
            <w:t>Jerala</w:t>
          </w:r>
          <w:proofErr w:type="spellEnd"/>
          <w:r w:rsidR="00F257B9" w:rsidRPr="00F257B9">
            <w:rPr>
              <w:color w:val="000000"/>
            </w:rPr>
            <w:t>, 2015)</w:t>
          </w:r>
        </w:sdtContent>
      </w:sdt>
      <w:r w:rsidR="00C47D55" w:rsidRPr="003C0E2F">
        <w:t>.</w:t>
      </w:r>
    </w:p>
    <w:p w14:paraId="5BC954FB" w14:textId="3A996786" w:rsidR="00C47D55" w:rsidRPr="003C0E2F" w:rsidRDefault="00C47D55" w:rsidP="00C47D55">
      <w:r w:rsidRPr="003C0E2F">
        <w:t xml:space="preserve">Structural modifications can occur in the Lipid A domain of LPS. Highly acylated forms of LPS are more potent activators of immune response than less acylated forms. In this regard, hexa-acylated Lipid A structures have been shown to be more </w:t>
      </w:r>
      <w:r w:rsidR="008F561F" w:rsidRPr="003C0E2F">
        <w:t>effect</w:t>
      </w:r>
      <w:r w:rsidRPr="003C0E2F">
        <w:t xml:space="preserve">ive at inducing TLR4 signalling. An optimal acyl chain length of 10 carbons has been proposed, though 8 is considered sufficient to induce a response </w:t>
      </w:r>
      <w:sdt>
        <w:sdtPr>
          <w:tag w:val="MENDELEY_CITATION_v3_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"/>
          <w:id w:val="1577858718"/>
          <w:placeholder>
            <w:docPart w:val="DefaultPlaceholder_-1854013440"/>
          </w:placeholder>
        </w:sdtPr>
        <w:sdtEndPr/>
        <w:sdtContent>
          <w:r w:rsidR="00F257B9">
            <w:rPr>
              <w:rFonts w:eastAsia="Times New Roman"/>
            </w:rPr>
            <w:t>(</w:t>
          </w:r>
          <w:proofErr w:type="spellStart"/>
          <w:r w:rsidR="00F257B9">
            <w:rPr>
              <w:rFonts w:eastAsia="Times New Roman"/>
            </w:rPr>
            <w:t>Stöver</w:t>
          </w:r>
          <w:proofErr w:type="spellEnd"/>
          <w:r w:rsidR="00F257B9">
            <w:rPr>
              <w:rFonts w:eastAsia="Times New Roman"/>
            </w:rPr>
            <w:t xml:space="preserve"> </w:t>
          </w:r>
          <w:r w:rsidR="00F257B9">
            <w:rPr>
              <w:rFonts w:eastAsia="Times New Roman"/>
              <w:i/>
              <w:iCs/>
            </w:rPr>
            <w:t>et al.</w:t>
          </w:r>
          <w:r w:rsidR="00F257B9">
            <w:rPr>
              <w:rFonts w:eastAsia="Times New Roman"/>
            </w:rPr>
            <w:t>, 2004)</w:t>
          </w:r>
        </w:sdtContent>
      </w:sdt>
      <w:r w:rsidRPr="003C0E2F">
        <w:t xml:space="preserve">. </w:t>
      </w:r>
      <w:proofErr w:type="spellStart"/>
      <w:r w:rsidRPr="003C0E2F">
        <w:rPr>
          <w:i/>
          <w:iCs/>
        </w:rPr>
        <w:t>Porphyromonas</w:t>
      </w:r>
      <w:proofErr w:type="spellEnd"/>
      <w:r w:rsidRPr="003C0E2F">
        <w:rPr>
          <w:i/>
          <w:iCs/>
        </w:rPr>
        <w:t xml:space="preserve"> </w:t>
      </w:r>
      <w:proofErr w:type="spellStart"/>
      <w:r w:rsidRPr="003C0E2F">
        <w:rPr>
          <w:i/>
          <w:iCs/>
        </w:rPr>
        <w:t>gingivalis</w:t>
      </w:r>
      <w:proofErr w:type="spellEnd"/>
      <w:r w:rsidRPr="003C0E2F">
        <w:t xml:space="preserve"> may present with either tetra-acylated or penta-acylated variants of the Lipid A region in the presence of different environmental stimuli. In medium containing hemin, </w:t>
      </w:r>
      <w:proofErr w:type="spellStart"/>
      <w:proofErr w:type="gramStart"/>
      <w:r w:rsidRPr="003C0E2F">
        <w:rPr>
          <w:i/>
          <w:iCs/>
        </w:rPr>
        <w:t>P.gingivalis</w:t>
      </w:r>
      <w:proofErr w:type="spellEnd"/>
      <w:proofErr w:type="gramEnd"/>
      <w:r w:rsidRPr="003C0E2F">
        <w:t xml:space="preserve"> Lipid A converts to the tetra acylated form which does not stimulate immune response as </w:t>
      </w:r>
      <w:r w:rsidR="008F561F" w:rsidRPr="003C0E2F">
        <w:t>effect</w:t>
      </w:r>
      <w:r w:rsidRPr="003C0E2F">
        <w:t>ively</w:t>
      </w:r>
      <w:r w:rsidR="00B31B54" w:rsidRPr="003C0E2F">
        <w:t xml:space="preserve"> </w:t>
      </w:r>
      <w:sdt>
        <w:sdtPr>
          <w:tag w:val="MENDELEY_CITATION_v3_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"/>
          <w:id w:val="-2044748314"/>
          <w:placeholder>
            <w:docPart w:val="DefaultPlaceholder_-1854013440"/>
          </w:placeholder>
        </w:sdtPr>
        <w:sdtEndPr/>
        <w:sdtContent>
          <w:r w:rsidR="00F257B9">
            <w:rPr>
              <w:rFonts w:eastAsia="Times New Roman"/>
            </w:rPr>
            <w:t xml:space="preserve">(Al-Qutub </w:t>
          </w:r>
          <w:r w:rsidR="00F257B9">
            <w:rPr>
              <w:rFonts w:eastAsia="Times New Roman"/>
              <w:i/>
              <w:iCs/>
            </w:rPr>
            <w:t>et al.</w:t>
          </w:r>
          <w:r w:rsidR="00F257B9">
            <w:rPr>
              <w:rFonts w:eastAsia="Times New Roman"/>
            </w:rPr>
            <w:t xml:space="preserve">, 2006; Ding </w:t>
          </w:r>
          <w:r w:rsidR="00F257B9">
            <w:rPr>
              <w:rFonts w:eastAsia="Times New Roman"/>
              <w:i/>
              <w:iCs/>
            </w:rPr>
            <w:t>et al.</w:t>
          </w:r>
          <w:r w:rsidR="00F257B9">
            <w:rPr>
              <w:rFonts w:eastAsia="Times New Roman"/>
            </w:rPr>
            <w:t>, 2013)</w:t>
          </w:r>
        </w:sdtContent>
      </w:sdt>
      <w:r w:rsidRPr="003C0E2F">
        <w:t>. Modifications to the Lipid A domain of LPS may therefore provide a mechanism for gram-negative bacteria to circumvent immune detection.</w:t>
      </w:r>
    </w:p>
    <w:p w14:paraId="6DAD42AB" w14:textId="7272BCD1" w:rsidR="007445DB" w:rsidRPr="003C0E2F" w:rsidRDefault="00C47D55" w:rsidP="00C47D55">
      <w:r w:rsidRPr="003C0E2F">
        <w:t xml:space="preserve">LPS can be separated into further chemotypes </w:t>
      </w:r>
      <w:r w:rsidR="009E0322" w:rsidRPr="003C0E2F">
        <w:t>dependent</w:t>
      </w:r>
      <w:r w:rsidRPr="003C0E2F">
        <w:t xml:space="preserve"> on the structure of the O-antigen and Polysaccharide core regions. These LPS chemotypes are separated into three main categories: smooth, semi-rough and rough type LPS. Smooth, S-form LPS has a full polysaccharide chain and usually represents the wild-type composition and semi-rough or S</w:t>
      </w:r>
      <w:r w:rsidR="00F80E29" w:rsidRPr="003C0E2F">
        <w:t>R-Form</w:t>
      </w:r>
      <w:r w:rsidRPr="003C0E2F">
        <w:t xml:space="preserve"> may have a reduction in the number of repeating units in the O antigen region, while rough, or R-form LPS show a further reduction in residues within the polysaccharide core (</w:t>
      </w:r>
      <w:sdt>
        <w:sdtPr>
          <w:rPr>
            <w:color w:val="000000"/>
          </w:rPr>
          <w:tag w:val="MENDELEY_CITATION_v3_eyJjaXRhdGlvbklEIjoiTUVOREVMRVlfQ0lUQVRJT05fN2NhMjZhYmQtNWRkNy00OGEyLThmYzYtYjYzNmY1NDg0ZDgx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JIdWJlciBldCBhbC4sIDIwMDYiLCJpc01hbnVhbGx5T3ZlcnJpZGRlbiI6dHJ1ZX19"/>
          <w:id w:val="862257510"/>
          <w:placeholder>
            <w:docPart w:val="DefaultPlaceholder_-1854013440"/>
          </w:placeholder>
        </w:sdtPr>
        <w:sdtEndPr/>
        <w:sdtContent>
          <w:r w:rsidR="00F257B9" w:rsidRPr="00F257B9">
            <w:rPr>
              <w:rFonts w:eastAsia="Times New Roman"/>
              <w:color w:val="000000"/>
            </w:rPr>
            <w:t>Huber et al., 2006</w:t>
          </w:r>
        </w:sdtContent>
      </w:sdt>
      <w:r w:rsidRPr="003C0E2F">
        <w:t xml:space="preserve">). These are further broken down into categories that identify the number of residues present. Incomplete forms are named in </w:t>
      </w:r>
      <w:r w:rsidRPr="003C0E2F">
        <w:lastRenderedPageBreak/>
        <w:t xml:space="preserve">sequence Ra, Rb, </w:t>
      </w:r>
      <w:proofErr w:type="spellStart"/>
      <w:r w:rsidRPr="003C0E2F">
        <w:t>Rc</w:t>
      </w:r>
      <w:proofErr w:type="spellEnd"/>
      <w:r w:rsidRPr="003C0E2F">
        <w:t xml:space="preserve"> and so on, based on the number of residues absent from the polysaccharide chain (Figure </w:t>
      </w:r>
      <w:r w:rsidR="002D3955" w:rsidRPr="003C0E2F">
        <w:t>5</w:t>
      </w:r>
      <w:r w:rsidRPr="003C0E2F">
        <w:t>).</w:t>
      </w:r>
    </w:p>
    <w:bookmarkEnd w:id="95"/>
    <w:p w14:paraId="758D62CC" w14:textId="77777777" w:rsidR="000519A9" w:rsidRPr="003C0E2F" w:rsidRDefault="000519A9" w:rsidP="00BE5236"/>
    <w:p w14:paraId="3B0554B1" w14:textId="68CF21AA" w:rsidR="007445DB" w:rsidRPr="003C0E2F" w:rsidRDefault="00AD2D34" w:rsidP="000519A9">
      <w:pPr>
        <w:jc w:val="center"/>
      </w:pPr>
      <w:r w:rsidRPr="003C0E2F">
        <w:rPr>
          <w:noProof/>
        </w:rPr>
        <w:drawing>
          <wp:inline distT="0" distB="0" distL="0" distR="0" wp14:anchorId="19E4B4F9" wp14:editId="286A8069">
            <wp:extent cx="5731510" cy="4746625"/>
            <wp:effectExtent l="0" t="0" r="2540" b="0"/>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31510" cy="4746625"/>
                    </a:xfrm>
                    <a:prstGeom prst="rect">
                      <a:avLst/>
                    </a:prstGeom>
                  </pic:spPr>
                </pic:pic>
              </a:graphicData>
            </a:graphic>
          </wp:inline>
        </w:drawing>
      </w:r>
    </w:p>
    <w:p w14:paraId="2ABEF41E" w14:textId="5F59EF14" w:rsidR="00894C18" w:rsidRPr="003C0E2F" w:rsidRDefault="00894C18" w:rsidP="00FB2FD3">
      <w:pPr>
        <w:pStyle w:val="NoSpacing"/>
      </w:pPr>
      <w:bookmarkStart w:id="96" w:name="_Ref48739304"/>
      <w:bookmarkStart w:id="97" w:name="_Toc48514465"/>
      <w:bookmarkStart w:id="98" w:name="_Toc48514816"/>
      <w:bookmarkStart w:id="99" w:name="_Toc55583726"/>
      <w:bookmarkStart w:id="100" w:name="_Toc55584903"/>
      <w:bookmarkStart w:id="101" w:name="_Toc60584019"/>
      <w:bookmarkStart w:id="102" w:name="_Toc60638139"/>
      <w:bookmarkStart w:id="103" w:name="_Toc60638857"/>
      <w:bookmarkStart w:id="104" w:name="_Toc63111991"/>
      <w:bookmarkStart w:id="105" w:name="_Toc63112208"/>
      <w:bookmarkStart w:id="106" w:name="_Toc63270348"/>
      <w:bookmarkStart w:id="107" w:name="_Toc64533215"/>
      <w:bookmarkStart w:id="108" w:name="_Toc64551762"/>
      <w:bookmarkStart w:id="109" w:name="_Toc80013807"/>
      <w:bookmarkStart w:id="110" w:name="_Toc82882946"/>
      <w:r w:rsidRPr="003C0E2F">
        <w:t xml:space="preserve">Figure </w:t>
      </w:r>
      <w:r w:rsidR="00BB038D">
        <w:fldChar w:fldCharType="begin"/>
      </w:r>
      <w:r w:rsidR="00BB038D">
        <w:instrText xml:space="preserve"> SEQ Figure \* ARABIC </w:instrText>
      </w:r>
      <w:r w:rsidR="00BB038D">
        <w:fldChar w:fldCharType="separate"/>
      </w:r>
      <w:r w:rsidR="000F2276">
        <w:rPr>
          <w:noProof/>
        </w:rPr>
        <w:t>5</w:t>
      </w:r>
      <w:r w:rsidR="00BB038D">
        <w:rPr>
          <w:noProof/>
        </w:rPr>
        <w:fldChar w:fldCharType="end"/>
      </w:r>
      <w:bookmarkEnd w:id="96"/>
      <w:r w:rsidRPr="003C0E2F">
        <w:t>. Structural diagram</w:t>
      </w:r>
      <w:r w:rsidR="00CD67BC" w:rsidRPr="003C0E2F">
        <w:t xml:space="preserve"> representing </w:t>
      </w:r>
      <w:r w:rsidRPr="003C0E2F">
        <w:t xml:space="preserve">different LPS </w:t>
      </w:r>
      <w:r w:rsidR="000C3497" w:rsidRPr="003C0E2F">
        <w:t>c</w:t>
      </w:r>
      <w:r w:rsidRPr="003C0E2F">
        <w:t>hemotypes. S-form, SR-</w:t>
      </w:r>
      <w:r w:rsidR="008612D0" w:rsidRPr="003C0E2F">
        <w:t>form,</w:t>
      </w:r>
      <w:r w:rsidRPr="003C0E2F">
        <w:t xml:space="preserve"> and </w:t>
      </w:r>
      <w:r w:rsidR="00F80E29" w:rsidRPr="003C0E2F">
        <w:t>R-Form</w:t>
      </w:r>
      <w:r w:rsidRPr="003C0E2F">
        <w:t xml:space="preserve"> LPS are defined by the number of sugar residues present, whereby </w:t>
      </w:r>
      <w:r w:rsidR="00F80E29" w:rsidRPr="003C0E2F">
        <w:t>R-Form</w:t>
      </w:r>
      <w:r w:rsidRPr="003C0E2F">
        <w:t xml:space="preserve"> LPS are subdivided into further categories </w:t>
      </w:r>
      <w:bookmarkStart w:id="111" w:name="_Hlk80819749"/>
      <w:r w:rsidR="001B5893" w:rsidRPr="003C0E2F">
        <w:t>associated with a</w:t>
      </w:r>
      <w:r w:rsidRPr="003C0E2F">
        <w:t xml:space="preserve"> </w:t>
      </w:r>
      <w:r w:rsidR="001B5893" w:rsidRPr="003C0E2F">
        <w:t>decrease</w:t>
      </w:r>
      <w:r w:rsidRPr="003C0E2F">
        <w:t xml:space="preserve"> in chain length </w:t>
      </w:r>
      <w:bookmarkEnd w:id="97"/>
      <w:bookmarkEnd w:id="98"/>
      <w:bookmarkEnd w:id="111"/>
      <w:sdt>
        <w:sdtPr>
          <w:tag w:val="MENDELEY_CITATION_v3_eyJjaXRhdGlvbklEIjoiTUVOREVMRVlfQ0lUQVRJT05fYWQwMTA4NTYtYzYyZS00OGQ1LTk4MmEtYThkYWE1ZDQ4MTBj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
          <w:id w:val="-157539754"/>
          <w:placeholder>
            <w:docPart w:val="DefaultPlaceholder_-1854013440"/>
          </w:placeholder>
        </w:sdtPr>
        <w:sdtEndPr/>
        <w:sdtContent>
          <w:r w:rsidR="00F257B9">
            <w:rPr>
              <w:rFonts w:eastAsia="Times New Roman"/>
            </w:rPr>
            <w:t xml:space="preserve">(Huber </w:t>
          </w:r>
          <w:r w:rsidR="00F257B9">
            <w:rPr>
              <w:rFonts w:eastAsia="Times New Roman"/>
              <w:i w:val="0"/>
              <w:iCs/>
            </w:rPr>
            <w:t>et al.</w:t>
          </w:r>
          <w:r w:rsidR="00F257B9">
            <w:rPr>
              <w:rFonts w:eastAsia="Times New Roman"/>
            </w:rPr>
            <w:t>, 2006)</w:t>
          </w:r>
        </w:sdtContent>
      </w:sdt>
      <w:r w:rsidRPr="003C0E2F">
        <w:t>.</w:t>
      </w:r>
      <w:bookmarkEnd w:id="99"/>
      <w:bookmarkEnd w:id="100"/>
      <w:bookmarkEnd w:id="101"/>
      <w:bookmarkEnd w:id="102"/>
      <w:bookmarkEnd w:id="103"/>
      <w:bookmarkEnd w:id="104"/>
      <w:bookmarkEnd w:id="105"/>
      <w:bookmarkEnd w:id="106"/>
      <w:bookmarkEnd w:id="107"/>
      <w:bookmarkEnd w:id="108"/>
      <w:bookmarkEnd w:id="109"/>
      <w:bookmarkEnd w:id="110"/>
    </w:p>
    <w:p w14:paraId="2C49802F" w14:textId="59C66288" w:rsidR="007445DB" w:rsidRPr="003C0E2F" w:rsidRDefault="007445DB" w:rsidP="00BE5236"/>
    <w:p w14:paraId="3A741964" w14:textId="027D0A7B" w:rsidR="00831442" w:rsidRPr="003C0E2F" w:rsidRDefault="00C47D55" w:rsidP="00C47D55">
      <w:bookmarkStart w:id="112" w:name="_Hlk80012957"/>
      <w:r w:rsidRPr="003C0E2F">
        <w:t>Modifications to the O-antigen and Polysaccharide core region of LPS may also result in different biologically significant interactions and may exist within a species</w:t>
      </w:r>
      <w:r w:rsidR="00B31B54" w:rsidRPr="003C0E2F">
        <w:t xml:space="preserve"> </w:t>
      </w:r>
      <w:sdt>
        <w:sdtPr>
          <w:tag w:val="MENDELEY_CITATION_v3_eyJjaXRhdGlvbklEIjoiTUVOREVMRVlfQ0lUQVRJT05fMGIzYTRlOGYtYWJiMy00NzIzLWEyNTMtYmJjNmJjODUwNGM0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
          <w:id w:val="2116935915"/>
          <w:placeholder>
            <w:docPart w:val="DefaultPlaceholder_-1854013440"/>
          </w:placeholder>
        </w:sdtPr>
        <w:sdtEndPr/>
        <w:sdtContent>
          <w:r w:rsidR="00F257B9">
            <w:rPr>
              <w:rFonts w:eastAsia="Times New Roman"/>
            </w:rPr>
            <w:t xml:space="preserve">(Huber </w:t>
          </w:r>
          <w:r w:rsidR="00F257B9">
            <w:rPr>
              <w:rFonts w:eastAsia="Times New Roman"/>
              <w:i/>
              <w:iCs/>
            </w:rPr>
            <w:t>et al.</w:t>
          </w:r>
          <w:r w:rsidR="00F257B9">
            <w:rPr>
              <w:rFonts w:eastAsia="Times New Roman"/>
            </w:rPr>
            <w:t>, 2006)</w:t>
          </w:r>
        </w:sdtContent>
      </w:sdt>
      <w:r w:rsidRPr="003C0E2F">
        <w:t xml:space="preserve">. S-form and R-form LPS may differentially activate TLR4 </w:t>
      </w:r>
      <w:r w:rsidR="00932BC2" w:rsidRPr="003C0E2F">
        <w:t>MyD88</w:t>
      </w:r>
      <w:r w:rsidRPr="003C0E2F">
        <w:t>-</w:t>
      </w:r>
      <w:r w:rsidR="009E0322" w:rsidRPr="003C0E2F">
        <w:t>dependent</w:t>
      </w:r>
      <w:r w:rsidRPr="003C0E2F">
        <w:t xml:space="preserve"> and </w:t>
      </w:r>
      <w:r w:rsidR="00A9277D" w:rsidRPr="003C0E2F">
        <w:t>TRIF-</w:t>
      </w:r>
      <w:r w:rsidR="009E0322" w:rsidRPr="003C0E2F">
        <w:t>dependent</w:t>
      </w:r>
      <w:r w:rsidRPr="003C0E2F">
        <w:t xml:space="preserve"> signalling </w:t>
      </w:r>
      <w:r w:rsidRPr="003C0E2F">
        <w:lastRenderedPageBreak/>
        <w:t xml:space="preserve">pathways. R-form LPS </w:t>
      </w:r>
      <w:proofErr w:type="gramStart"/>
      <w:r w:rsidRPr="003C0E2F">
        <w:t>are capable of inducing</w:t>
      </w:r>
      <w:proofErr w:type="gramEnd"/>
      <w:r w:rsidRPr="003C0E2F">
        <w:t xml:space="preserve"> higher levels of TNFα than S-Form </w:t>
      </w:r>
      <w:sdt>
        <w:sdtPr>
          <w:tag w:val="MENDELEY_CITATION_v3_eyJjaXRhdGlvbklEIjoiTUVOREVMRVlfQ0lUQVRJT05fNjkwNzNmZGEtYjhkMy00MjhmLTk0ZmQtZDI1ZDQwNTM0YmUx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
          <w:id w:val="-1468668391"/>
          <w:placeholder>
            <w:docPart w:val="DefaultPlaceholder_-1854013440"/>
          </w:placeholder>
        </w:sdtPr>
        <w:sdtEndPr/>
        <w:sdtContent>
          <w:r w:rsidR="00F257B9">
            <w:rPr>
              <w:rFonts w:eastAsia="Times New Roman"/>
            </w:rPr>
            <w:t xml:space="preserve">(Huber </w:t>
          </w:r>
          <w:r w:rsidR="00F257B9">
            <w:rPr>
              <w:rFonts w:eastAsia="Times New Roman"/>
              <w:i/>
              <w:iCs/>
            </w:rPr>
            <w:t>et al.</w:t>
          </w:r>
          <w:r w:rsidR="00F257B9">
            <w:rPr>
              <w:rFonts w:eastAsia="Times New Roman"/>
            </w:rPr>
            <w:t>, 2006)</w:t>
          </w:r>
        </w:sdtContent>
      </w:sdt>
      <w:r w:rsidRPr="003C0E2F">
        <w:t xml:space="preserve">. Further to this, S-form LPS may be more </w:t>
      </w:r>
      <w:r w:rsidR="009E0322" w:rsidRPr="003C0E2F">
        <w:t>dependent</w:t>
      </w:r>
      <w:r w:rsidRPr="003C0E2F">
        <w:t xml:space="preserve"> extracellular delivery components CD14 to be recognised by TLR4. IL-6 production following S-LPS treatment appears to be more </w:t>
      </w:r>
      <w:r w:rsidR="007A7EEE" w:rsidRPr="003C0E2F">
        <w:t>dependent</w:t>
      </w:r>
      <w:r w:rsidRPr="003C0E2F">
        <w:t xml:space="preserve"> on LBP and CD14 than R-form LPS for which high concentrations alone are sufficient to produce a similar increase </w:t>
      </w:r>
      <w:sdt>
        <w:sdtPr>
          <w:tag w:val="MENDELEY_CITATION_v3_eyJjaXRhdGlvbklEIjoiTUVOREVMRVlfQ0lUQVRJT05fZTMyMjZjYjEtZDM0Ni00ZDk3LWI5MjktMDc3YTkwYWE0OTBh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
          <w:id w:val="1373806221"/>
          <w:placeholder>
            <w:docPart w:val="DefaultPlaceholder_-1854013440"/>
          </w:placeholder>
        </w:sdtPr>
        <w:sdtEndPr/>
        <w:sdtContent>
          <w:r w:rsidR="00F257B9">
            <w:rPr>
              <w:rFonts w:eastAsia="Times New Roman"/>
            </w:rPr>
            <w:t xml:space="preserve">(Huber </w:t>
          </w:r>
          <w:r w:rsidR="00F257B9">
            <w:rPr>
              <w:rFonts w:eastAsia="Times New Roman"/>
              <w:i/>
              <w:iCs/>
            </w:rPr>
            <w:t>et al.</w:t>
          </w:r>
          <w:r w:rsidR="00F257B9">
            <w:rPr>
              <w:rFonts w:eastAsia="Times New Roman"/>
            </w:rPr>
            <w:t>, 2006)</w:t>
          </w:r>
        </w:sdtContent>
      </w:sdt>
      <w:r w:rsidRPr="003C0E2F">
        <w:t xml:space="preserve">It is interesting to note that LBP and CD14 are also more important for </w:t>
      </w:r>
      <w:r w:rsidR="00A9277D" w:rsidRPr="003C0E2F">
        <w:t>TRIF-</w:t>
      </w:r>
      <w:r w:rsidR="007A7EEE" w:rsidRPr="003C0E2F">
        <w:t>dependent</w:t>
      </w:r>
      <w:r w:rsidR="00372E8D" w:rsidRPr="003C0E2F">
        <w:t xml:space="preserve"> </w:t>
      </w:r>
      <w:r w:rsidRPr="003C0E2F">
        <w:t xml:space="preserve">signalling </w:t>
      </w:r>
      <w:sdt>
        <w:sdtPr>
          <w:tag w:val="MENDELEY_CITATION_v3_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"/>
          <w:id w:val="27152639"/>
          <w:placeholder>
            <w:docPart w:val="DefaultPlaceholder_-1854013440"/>
          </w:placeholder>
        </w:sdtPr>
        <w:sdtEndPr/>
        <w:sdtContent>
          <w:r w:rsidR="00F257B9">
            <w:rPr>
              <w:rFonts w:eastAsia="Times New Roman"/>
            </w:rPr>
            <w:t xml:space="preserve">(Tsukamoto </w:t>
          </w:r>
          <w:r w:rsidR="00F257B9">
            <w:rPr>
              <w:rFonts w:eastAsia="Times New Roman"/>
              <w:i/>
              <w:iCs/>
            </w:rPr>
            <w:t>et al.</w:t>
          </w:r>
          <w:r w:rsidR="00F257B9">
            <w:rPr>
              <w:rFonts w:eastAsia="Times New Roman"/>
            </w:rPr>
            <w:t>, 2018)</w:t>
          </w:r>
        </w:sdtContent>
      </w:sdt>
      <w:r w:rsidRPr="003C0E2F">
        <w:t xml:space="preserve">. As the O-antigen region of LPS may play an important role in protection of gram-negative bacteria from </w:t>
      </w:r>
      <w:r w:rsidR="008F561F" w:rsidRPr="003C0E2F">
        <w:t>Macrophage</w:t>
      </w:r>
      <w:r w:rsidRPr="003C0E2F">
        <w:t xml:space="preserve"> uptake, reductions in this region could represent a means to reduce defence in exchange for stealth </w:t>
      </w:r>
      <w:sdt>
        <w:sdtPr>
          <w:rPr>
            <w:color w:val="000000"/>
          </w:rPr>
          <w:tag w:val="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"/>
          <w:id w:val="267978580"/>
          <w:placeholder>
            <w:docPart w:val="DefaultPlaceholder_-1854013440"/>
          </w:placeholder>
        </w:sdtPr>
        <w:sdtEndPr/>
        <w:sdtContent>
          <w:r w:rsidR="00F257B9" w:rsidRPr="00F257B9">
            <w:rPr>
              <w:color w:val="000000"/>
            </w:rPr>
            <w:t xml:space="preserve">(Murray, </w:t>
          </w:r>
          <w:proofErr w:type="spellStart"/>
          <w:r w:rsidR="00F257B9" w:rsidRPr="00F257B9">
            <w:rPr>
              <w:color w:val="000000"/>
            </w:rPr>
            <w:t>Attridge</w:t>
          </w:r>
          <w:proofErr w:type="spellEnd"/>
          <w:r w:rsidR="00F257B9" w:rsidRPr="00F257B9">
            <w:rPr>
              <w:color w:val="000000"/>
            </w:rPr>
            <w:t xml:space="preserve"> and Morona, 2006)</w:t>
          </w:r>
        </w:sdtContent>
      </w:sdt>
      <w:r w:rsidRPr="003C0E2F">
        <w:t xml:space="preserve"> Modifications to LPS structure may therefore be a trade-off between protective </w:t>
      </w:r>
      <w:r w:rsidR="008F561F" w:rsidRPr="003C0E2F">
        <w:t>effect</w:t>
      </w:r>
      <w:r w:rsidRPr="003C0E2F">
        <w:t>s of the LPS barrier and means to</w:t>
      </w:r>
      <w:r w:rsidR="00210C2E" w:rsidRPr="003C0E2F">
        <w:t xml:space="preserve"> </w:t>
      </w:r>
      <w:r w:rsidR="008F561F" w:rsidRPr="003C0E2F">
        <w:t>effect</w:t>
      </w:r>
      <w:r w:rsidR="00210C2E" w:rsidRPr="003C0E2F">
        <w:t>ively</w:t>
      </w:r>
      <w:r w:rsidRPr="003C0E2F">
        <w:t xml:space="preserve"> evade of immune detection.</w:t>
      </w:r>
      <w:r w:rsidR="00831442" w:rsidRPr="003C0E2F">
        <w:br w:type="page"/>
      </w:r>
    </w:p>
    <w:bookmarkEnd w:id="112"/>
    <w:p w14:paraId="65D0D313" w14:textId="062ADB1D" w:rsidR="00F64F9A" w:rsidRPr="003C0E2F" w:rsidRDefault="00831442" w:rsidP="0093072B">
      <w:pPr>
        <w:pStyle w:val="Heading2"/>
      </w:pPr>
      <w:r w:rsidRPr="003C0E2F">
        <w:lastRenderedPageBreak/>
        <w:t xml:space="preserve"> </w:t>
      </w:r>
      <w:bookmarkStart w:id="113" w:name="_Toc80013730"/>
      <w:bookmarkStart w:id="114" w:name="_Toc82882350"/>
      <w:r w:rsidR="00BD5F2D" w:rsidRPr="003C0E2F">
        <w:t xml:space="preserve">Cardiovascular </w:t>
      </w:r>
      <w:r w:rsidR="000A1BFB" w:rsidRPr="003C0E2F">
        <w:t>d</w:t>
      </w:r>
      <w:r w:rsidR="00BD5F2D" w:rsidRPr="003C0E2F">
        <w:t>isease</w:t>
      </w:r>
      <w:r w:rsidR="0006649C" w:rsidRPr="003C0E2F">
        <w:t>s:</w:t>
      </w:r>
      <w:r w:rsidR="00461FE1" w:rsidRPr="003C0E2F">
        <w:t xml:space="preserve"> </w:t>
      </w:r>
      <w:r w:rsidR="000A1BFB" w:rsidRPr="003C0E2F">
        <w:t>r</w:t>
      </w:r>
      <w:r w:rsidR="00461FE1" w:rsidRPr="003C0E2F">
        <w:t>isk</w:t>
      </w:r>
      <w:r w:rsidR="0006649C" w:rsidRPr="003C0E2F">
        <w:t xml:space="preserve"> </w:t>
      </w:r>
      <w:r w:rsidR="000A1BFB" w:rsidRPr="003C0E2F">
        <w:t>f</w:t>
      </w:r>
      <w:r w:rsidR="0006649C" w:rsidRPr="003C0E2F">
        <w:t>actors</w:t>
      </w:r>
      <w:r w:rsidR="00461FE1" w:rsidRPr="003C0E2F">
        <w:t xml:space="preserve"> and </w:t>
      </w:r>
      <w:r w:rsidR="000A1BFB" w:rsidRPr="003C0E2F">
        <w:t>p</w:t>
      </w:r>
      <w:r w:rsidR="00461FE1" w:rsidRPr="003C0E2F">
        <w:t>athology</w:t>
      </w:r>
      <w:bookmarkEnd w:id="113"/>
      <w:bookmarkEnd w:id="114"/>
    </w:p>
    <w:p w14:paraId="3BDA3F4F" w14:textId="1BBC8ECF" w:rsidR="00C47D55" w:rsidRPr="003C0E2F" w:rsidRDefault="00C47D55" w:rsidP="00C47D55">
      <w:r w:rsidRPr="003C0E2F">
        <w:t>Cardiovascular diseases are one of the leading causes of mortality and morbidity in the developed world. Around 45% of deaths in Europe are attributed to cardiovascular disease, including ischemic heart disease and stroke, and represents a significant burden on healthcare system around the world (</w:t>
      </w:r>
      <w:sdt>
        <w:sdtPr>
          <w:rPr>
            <w:color w:val="000000"/>
          </w:rPr>
          <w:tag w:val="MENDELEY_CITATION_v3_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"/>
          <w:id w:val="1485593739"/>
          <w:placeholder>
            <w:docPart w:val="DefaultPlaceholder_-1854013440"/>
          </w:placeholder>
        </w:sdtPr>
        <w:sdtEndPr/>
        <w:sdtContent>
          <w:r w:rsidR="00F257B9" w:rsidRPr="00F257B9">
            <w:rPr>
              <w:rFonts w:eastAsia="Times New Roman"/>
              <w:color w:val="000000"/>
            </w:rPr>
            <w:t>Wilkins et al., 2017</w:t>
          </w:r>
        </w:sdtContent>
      </w:sdt>
      <w:r w:rsidRPr="003C0E2F">
        <w:t>). Cardiovascular disease is therefore an important target for development of novel pharmacological intervention strategies.</w:t>
      </w:r>
    </w:p>
    <w:p w14:paraId="3EBB87DA" w14:textId="1FB127F4" w:rsidR="00C47D55" w:rsidRPr="003C0E2F" w:rsidRDefault="00C47D55" w:rsidP="00C47D55">
      <w:r w:rsidRPr="003C0E2F">
        <w:t xml:space="preserve">The relationship between developed countries and higher prevalence of cardiovascular disease points to the potential of social and lifestyle-based risk factors which </w:t>
      </w:r>
      <w:r w:rsidR="006C6932" w:rsidRPr="003C0E2F">
        <w:t>may be</w:t>
      </w:r>
      <w:r w:rsidRPr="003C0E2F">
        <w:t xml:space="preserve"> possible to modify through behavioural interventions in areas. The main risk factors for cardiovascular disease consist of smoking, diabetes, hyperlipidaemia, and elevated blood pressure </w:t>
      </w:r>
      <w:sdt>
        <w:sdtPr>
          <w:tag w:val="MENDELEY_CITATION_v3_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"/>
          <w:id w:val="1427853654"/>
          <w:placeholder>
            <w:docPart w:val="DefaultPlaceholder_-1854013440"/>
          </w:placeholder>
        </w:sdtPr>
        <w:sdtEndPr/>
        <w:sdtContent>
          <w:r w:rsidR="00F257B9">
            <w:rPr>
              <w:rFonts w:eastAsia="Times New Roman"/>
            </w:rPr>
            <w:t>(</w:t>
          </w:r>
          <w:proofErr w:type="spellStart"/>
          <w:r w:rsidR="00F257B9">
            <w:rPr>
              <w:rFonts w:eastAsia="Times New Roman"/>
            </w:rPr>
            <w:t>Khot</w:t>
          </w:r>
          <w:proofErr w:type="spellEnd"/>
          <w:r w:rsidR="00F257B9">
            <w:rPr>
              <w:rFonts w:eastAsia="Times New Roman"/>
            </w:rPr>
            <w:t xml:space="preserve"> </w:t>
          </w:r>
          <w:r w:rsidR="00F257B9">
            <w:rPr>
              <w:rFonts w:eastAsia="Times New Roman"/>
              <w:i/>
              <w:iCs/>
            </w:rPr>
            <w:t>et al.</w:t>
          </w:r>
          <w:r w:rsidR="00F257B9">
            <w:rPr>
              <w:rFonts w:eastAsia="Times New Roman"/>
            </w:rPr>
            <w:t>, 2003)</w:t>
          </w:r>
        </w:sdtContent>
      </w:sdt>
      <w:r w:rsidRPr="003C0E2F">
        <w:t>. Risk factors are largely avoidable through behavioural alterations and adoption of healthy lifestyle choices. Smoking is a major risk factor which can lead to endothelial dysfunction (</w:t>
      </w:r>
      <w:proofErr w:type="spellStart"/>
      <w:sdt>
        <w:sdtPr>
          <w:rPr>
            <w:color w:val="000000"/>
          </w:rPr>
          <w:tag w:val="MENDELEY_CITATION_v3_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"/>
          <w:id w:val="-182435739"/>
          <w:placeholder>
            <w:docPart w:val="DefaultPlaceholder_-1854013440"/>
          </w:placeholder>
        </w:sdtPr>
        <w:sdtEndPr/>
        <w:sdtContent>
          <w:r w:rsidR="00F257B9" w:rsidRPr="00F257B9">
            <w:rPr>
              <w:rFonts w:eastAsia="Times New Roman"/>
              <w:color w:val="000000"/>
            </w:rPr>
            <w:t>Widlansky</w:t>
          </w:r>
          <w:proofErr w:type="spellEnd"/>
          <w:r w:rsidR="00F257B9" w:rsidRPr="00F257B9">
            <w:rPr>
              <w:rFonts w:eastAsia="Times New Roman"/>
              <w:color w:val="000000"/>
            </w:rPr>
            <w:t xml:space="preserve"> et al., 2003</w:t>
          </w:r>
        </w:sdtContent>
      </w:sdt>
      <w:r w:rsidRPr="003C0E2F">
        <w:t xml:space="preserve">) and is further associated in both men and women with an earlier onset of cardiovascular </w:t>
      </w:r>
      <w:r w:rsidR="00FD6CCF" w:rsidRPr="003C0E2F">
        <w:t xml:space="preserve">events </w:t>
      </w:r>
      <w:sdt>
        <w:sdtPr>
          <w:tag w:val="MENDELEY_CITATION_v3_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"/>
          <w:id w:val="941884272"/>
          <w:placeholder>
            <w:docPart w:val="DefaultPlaceholder_-1854013440"/>
          </w:placeholder>
        </w:sdtPr>
        <w:sdtEndPr/>
        <w:sdtContent>
          <w:r w:rsidR="00F257B9">
            <w:rPr>
              <w:rFonts w:eastAsia="Times New Roman"/>
            </w:rPr>
            <w:t>(</w:t>
          </w:r>
          <w:proofErr w:type="spellStart"/>
          <w:r w:rsidR="00F257B9">
            <w:rPr>
              <w:rFonts w:eastAsia="Times New Roman"/>
            </w:rPr>
            <w:t>Khot</w:t>
          </w:r>
          <w:proofErr w:type="spellEnd"/>
          <w:r w:rsidR="00F257B9">
            <w:rPr>
              <w:rFonts w:eastAsia="Times New Roman"/>
            </w:rPr>
            <w:t xml:space="preserve"> </w:t>
          </w:r>
          <w:r w:rsidR="00F257B9">
            <w:rPr>
              <w:rFonts w:eastAsia="Times New Roman"/>
              <w:i/>
              <w:iCs/>
            </w:rPr>
            <w:t>et al.</w:t>
          </w:r>
          <w:r w:rsidR="00F257B9">
            <w:rPr>
              <w:rFonts w:eastAsia="Times New Roman"/>
            </w:rPr>
            <w:t>, 2003)</w:t>
          </w:r>
        </w:sdtContent>
      </w:sdt>
      <w:r w:rsidRPr="003C0E2F">
        <w:t xml:space="preserve">. </w:t>
      </w:r>
    </w:p>
    <w:p w14:paraId="3B577AFB" w14:textId="397C1466" w:rsidR="00C47D55" w:rsidRPr="003C0E2F" w:rsidRDefault="00C47D55" w:rsidP="00C47D55">
      <w:r w:rsidRPr="003C0E2F">
        <w:t>The relationship with alcohol consumption</w:t>
      </w:r>
      <w:r w:rsidR="00933817" w:rsidRPr="003C0E2F">
        <w:t xml:space="preserve"> and cardiovascular risk</w:t>
      </w:r>
      <w:r w:rsidRPr="003C0E2F">
        <w:t xml:space="preserve"> is thought to be more complex. While high levels of alcohol consumption are linked to hypertension and cardiovascular risk </w:t>
      </w:r>
      <w:sdt>
        <w:sdtPr>
          <w:tag w:val="MENDELEY_CITATION_v3_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"/>
          <w:id w:val="1008174657"/>
          <w:placeholder>
            <w:docPart w:val="DefaultPlaceholder_-1854013440"/>
          </w:placeholder>
        </w:sdtPr>
        <w:sdtEndPr/>
        <w:sdtContent>
          <w:r w:rsidR="00F257B9">
            <w:rPr>
              <w:rFonts w:eastAsia="Times New Roman"/>
            </w:rPr>
            <w:t xml:space="preserve">(Xu </w:t>
          </w:r>
          <w:r w:rsidR="00F257B9">
            <w:rPr>
              <w:rFonts w:eastAsia="Times New Roman"/>
              <w:i/>
              <w:iCs/>
            </w:rPr>
            <w:t>et al.</w:t>
          </w:r>
          <w:r w:rsidR="00F257B9">
            <w:rPr>
              <w:rFonts w:eastAsia="Times New Roman"/>
            </w:rPr>
            <w:t>, 2001)</w:t>
          </w:r>
        </w:sdtContent>
      </w:sdt>
      <w:r w:rsidRPr="003C0E2F">
        <w:t>, moderate alcohol consumption appears to be beneficial in reducing cardiovascular risk as compared to no alcohol consumption</w:t>
      </w:r>
      <w:r w:rsidR="00933817" w:rsidRPr="003C0E2F">
        <w:t xml:space="preserve"> at all</w:t>
      </w:r>
      <w:sdt>
        <w:sdtPr>
          <w:rPr>
            <w:color w:val="000000"/>
          </w:rPr>
          <w:tag w:val="MENDELEY_CITATION_v3_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"/>
          <w:id w:val="-1937905155"/>
          <w:placeholder>
            <w:docPart w:val="DefaultPlaceholder_-1854013440"/>
          </w:placeholder>
        </w:sdtPr>
        <w:sdtEndPr/>
        <w:sdtContent>
          <w:r w:rsidR="00F257B9" w:rsidRPr="00F257B9">
            <w:rPr>
              <w:color w:val="000000"/>
            </w:rPr>
            <w:t>(</w:t>
          </w:r>
          <w:proofErr w:type="spellStart"/>
          <w:r w:rsidR="00F257B9" w:rsidRPr="00F257B9">
            <w:rPr>
              <w:color w:val="000000"/>
            </w:rPr>
            <w:t>Ronksley</w:t>
          </w:r>
          <w:proofErr w:type="spellEnd"/>
          <w:r w:rsidR="00F257B9" w:rsidRPr="00F257B9">
            <w:rPr>
              <w:color w:val="000000"/>
            </w:rPr>
            <w:t>, Brien and Turner, 2011)</w:t>
          </w:r>
        </w:sdtContent>
      </w:sdt>
      <w:r w:rsidR="000D60C0" w:rsidRPr="003C0E2F">
        <w:t xml:space="preserve">. </w:t>
      </w:r>
      <w:r w:rsidRPr="003C0E2F">
        <w:t xml:space="preserve">Moderate alcohol consumption has been linked to an increase in HDL which may contribute to the protective </w:t>
      </w:r>
      <w:r w:rsidR="008F561F" w:rsidRPr="003C0E2F">
        <w:t>effect</w:t>
      </w:r>
      <w:r w:rsidRPr="003C0E2F">
        <w:t xml:space="preserve">s seen in this regard (Brien et al., 2011). It is possible that these </w:t>
      </w:r>
      <w:r w:rsidR="008F561F" w:rsidRPr="003C0E2F">
        <w:t>effect</w:t>
      </w:r>
      <w:r w:rsidRPr="003C0E2F">
        <w:t>s may also be associated with the type of alcohol being consumed</w:t>
      </w:r>
      <w:r w:rsidR="00933817" w:rsidRPr="003C0E2F">
        <w:t>, whereby</w:t>
      </w:r>
      <w:r w:rsidRPr="003C0E2F">
        <w:t xml:space="preserve"> beer and wine may be associated with greater protective </w:t>
      </w:r>
      <w:r w:rsidR="008F561F" w:rsidRPr="003C0E2F">
        <w:t>effect</w:t>
      </w:r>
      <w:r w:rsidRPr="003C0E2F">
        <w:t xml:space="preserve">s than consumption of spirits </w:t>
      </w:r>
      <w:sdt>
        <w:sdtPr>
          <w:tag w:val="MENDELEY_CITATION_v3_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"/>
          <w:id w:val="2119176801"/>
          <w:placeholder>
            <w:docPart w:val="DefaultPlaceholder_-1854013440"/>
          </w:placeholder>
        </w:sdtPr>
        <w:sdtEndPr/>
        <w:sdtContent>
          <w:r w:rsidR="00F257B9">
            <w:rPr>
              <w:rFonts w:eastAsia="Times New Roman"/>
            </w:rPr>
            <w:t>(</w:t>
          </w:r>
          <w:proofErr w:type="spellStart"/>
          <w:r w:rsidR="00F257B9">
            <w:rPr>
              <w:rFonts w:eastAsia="Times New Roman"/>
            </w:rPr>
            <w:t>Chiva</w:t>
          </w:r>
          <w:proofErr w:type="spellEnd"/>
          <w:r w:rsidR="00F257B9">
            <w:rPr>
              <w:rFonts w:eastAsia="Times New Roman"/>
            </w:rPr>
            <w:t xml:space="preserve">-Blanch </w:t>
          </w:r>
          <w:r w:rsidR="00F257B9">
            <w:rPr>
              <w:rFonts w:eastAsia="Times New Roman"/>
              <w:i/>
              <w:iCs/>
            </w:rPr>
            <w:t>et al.</w:t>
          </w:r>
          <w:r w:rsidR="00F257B9">
            <w:rPr>
              <w:rFonts w:eastAsia="Times New Roman"/>
            </w:rPr>
            <w:t>, 2013)</w:t>
          </w:r>
        </w:sdtContent>
      </w:sdt>
      <w:r w:rsidRPr="003C0E2F">
        <w:t>. This suggests a more dose-</w:t>
      </w:r>
      <w:r w:rsidR="009E0322" w:rsidRPr="003C0E2F">
        <w:t>dependent</w:t>
      </w:r>
      <w:r w:rsidRPr="003C0E2F">
        <w:t xml:space="preserve"> relationship between alcohol and cardiovascular disease.</w:t>
      </w:r>
    </w:p>
    <w:p w14:paraId="7789443F" w14:textId="6F9B9AD6" w:rsidR="00DE741F" w:rsidRPr="003C0E2F" w:rsidRDefault="00C47D55" w:rsidP="00BE5236">
      <w:r w:rsidRPr="003C0E2F">
        <w:t xml:space="preserve">Atherosclerosis is an inflammatory based condition, characterised by the accumulation of lipids in the intima following damage to the endothelium (Figure </w:t>
      </w:r>
      <w:r w:rsidR="00562939" w:rsidRPr="003C0E2F">
        <w:t>6</w:t>
      </w:r>
      <w:r w:rsidRPr="003C0E2F">
        <w:t xml:space="preserve">). Initial damage occurs as the result of </w:t>
      </w:r>
      <w:r w:rsidRPr="003C0E2F">
        <w:lastRenderedPageBreak/>
        <w:t xml:space="preserve">stress factors such as hypertension and can lead to endothelial dysfunction. Endothelial dysfunction following damage leads to production of chemoattractant molecules and the recruitment of </w:t>
      </w:r>
      <w:r w:rsidR="008F561F" w:rsidRPr="003C0E2F">
        <w:t>monocyte</w:t>
      </w:r>
      <w:r w:rsidRPr="003C0E2F">
        <w:t xml:space="preserve">s, and other leukocytes </w:t>
      </w:r>
      <w:sdt>
        <w:sdtPr>
          <w:rPr>
            <w:color w:val="000000"/>
          </w:rPr>
          <w:tag w:val="MENDELEY_CITATION_v3_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"/>
          <w:id w:val="749863237"/>
          <w:placeholder>
            <w:docPart w:val="DefaultPlaceholder_-1854013440"/>
          </w:placeholder>
        </w:sdtPr>
        <w:sdtEndPr/>
        <w:sdtContent>
          <w:r w:rsidR="00F257B9" w:rsidRPr="00F257B9">
            <w:rPr>
              <w:color w:val="000000"/>
            </w:rPr>
            <w:t>(Wang and Bennett, 2012)</w:t>
          </w:r>
        </w:sdtContent>
      </w:sdt>
      <w:r w:rsidR="008F561F" w:rsidRPr="003C0E2F">
        <w:t>. Macrophage</w:t>
      </w:r>
      <w:r w:rsidRPr="003C0E2F">
        <w:t xml:space="preserve">s in the endothelium consume </w:t>
      </w:r>
      <w:proofErr w:type="spellStart"/>
      <w:r w:rsidR="001A2988" w:rsidRPr="003C0E2F">
        <w:t>oxLDL</w:t>
      </w:r>
      <w:proofErr w:type="spellEnd"/>
      <w:r w:rsidRPr="003C0E2F">
        <w:t xml:space="preserve"> which fails to break down efficiently, resulting in the formation of senescent foam cells. Release of inflammatory proteins causes further production of chemoattractant molecules and migration of smooth muscle cells into plaques</w:t>
      </w:r>
      <w:r w:rsidR="0015753F" w:rsidRPr="003C0E2F">
        <w:t xml:space="preserve"> </w:t>
      </w:r>
      <w:sdt>
        <w:sdtPr>
          <w:rPr>
            <w:color w:val="000000"/>
          </w:rPr>
          <w:tag w:val="MENDELEY_CITATION_v3_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"/>
          <w:id w:val="-1435201271"/>
          <w:placeholder>
            <w:docPart w:val="DefaultPlaceholder_-1854013440"/>
          </w:placeholder>
        </w:sdtPr>
        <w:sdtEndPr/>
        <w:sdtContent>
          <w:r w:rsidR="00F257B9" w:rsidRPr="00F257B9">
            <w:rPr>
              <w:color w:val="000000"/>
            </w:rPr>
            <w:t>(Wang and Bennett, 2012)</w:t>
          </w:r>
        </w:sdtContent>
      </w:sdt>
      <w:r w:rsidRPr="003C0E2F">
        <w:t>. These combined factors contribute to the development of atherosclerotic plaque and sustained inflammatory response therein.</w:t>
      </w:r>
    </w:p>
    <w:p w14:paraId="11D108A0" w14:textId="77777777" w:rsidR="00DE741F" w:rsidRPr="003C0E2F" w:rsidRDefault="00DE741F" w:rsidP="00BE5236"/>
    <w:p w14:paraId="51D442C4" w14:textId="4761E5C6" w:rsidR="00C81626" w:rsidRPr="003C0E2F" w:rsidRDefault="00CD06C1" w:rsidP="00050515">
      <w:pPr>
        <w:jc w:val="center"/>
      </w:pPr>
      <w:r w:rsidRPr="003C0E2F">
        <w:rPr>
          <w:noProof/>
        </w:rPr>
        <w:drawing>
          <wp:inline distT="0" distB="0" distL="0" distR="0" wp14:anchorId="683E015E" wp14:editId="41C7DA49">
            <wp:extent cx="4791075" cy="3865526"/>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98665" cy="3871649"/>
                    </a:xfrm>
                    <a:prstGeom prst="rect">
                      <a:avLst/>
                    </a:prstGeom>
                    <a:noFill/>
                    <a:ln>
                      <a:noFill/>
                    </a:ln>
                  </pic:spPr>
                </pic:pic>
              </a:graphicData>
            </a:graphic>
          </wp:inline>
        </w:drawing>
      </w:r>
    </w:p>
    <w:p w14:paraId="1DBA967D" w14:textId="4C331430" w:rsidR="00C778A9" w:rsidRPr="003C0E2F" w:rsidRDefault="00763D37" w:rsidP="00FB2FD3">
      <w:pPr>
        <w:pStyle w:val="NoSpacing"/>
      </w:pPr>
      <w:bookmarkStart w:id="115" w:name="_Toc48514817"/>
      <w:bookmarkStart w:id="116" w:name="_Toc55583727"/>
      <w:bookmarkStart w:id="117" w:name="_Toc55584904"/>
      <w:bookmarkStart w:id="118" w:name="_Toc60584020"/>
      <w:bookmarkStart w:id="119" w:name="_Toc60638140"/>
      <w:bookmarkStart w:id="120" w:name="_Toc60638858"/>
      <w:bookmarkStart w:id="121" w:name="_Toc63111992"/>
      <w:bookmarkStart w:id="122" w:name="_Toc63112209"/>
      <w:bookmarkStart w:id="123" w:name="_Toc63270349"/>
      <w:bookmarkStart w:id="124" w:name="_Toc64533216"/>
      <w:bookmarkStart w:id="125" w:name="_Toc64551763"/>
      <w:bookmarkStart w:id="126" w:name="_Toc80013808"/>
      <w:bookmarkStart w:id="127" w:name="_Toc82882947"/>
      <w:r w:rsidRPr="003C0E2F">
        <w:t>Figure</w:t>
      </w:r>
      <w:r w:rsidR="00C81626" w:rsidRPr="003C0E2F">
        <w:t xml:space="preserve"> </w:t>
      </w:r>
      <w:r w:rsidR="00862981">
        <w:fldChar w:fldCharType="begin"/>
      </w:r>
      <w:r w:rsidR="00862981">
        <w:instrText xml:space="preserve"> SEQ Figure \* ARABIC </w:instrText>
      </w:r>
      <w:r w:rsidR="00862981">
        <w:fldChar w:fldCharType="separate"/>
      </w:r>
      <w:r w:rsidR="000F2276">
        <w:rPr>
          <w:noProof/>
        </w:rPr>
        <w:t>6</w:t>
      </w:r>
      <w:r w:rsidR="00862981">
        <w:rPr>
          <w:noProof/>
        </w:rPr>
        <w:fldChar w:fldCharType="end"/>
      </w:r>
      <w:r w:rsidR="006D5FFC" w:rsidRPr="003C0E2F">
        <w:t>.</w:t>
      </w:r>
      <w:r w:rsidR="00C81626" w:rsidRPr="003C0E2F">
        <w:t xml:space="preserve"> Progression or normal vessel to formation of atherosclerotic plaque. A = normal vessel, B = thickening of the vessel wall and subendothelial layer, migration of vascular smooth muscle, C = Atherosclerosis</w:t>
      </w:r>
      <w:r w:rsidR="009373BF" w:rsidRPr="003C0E2F">
        <w:t>, plaque formation and narrowing of lumen</w:t>
      </w:r>
      <w:r w:rsidR="00C81626" w:rsidRPr="003C0E2F">
        <w:t xml:space="preserve"> </w:t>
      </w:r>
      <w:sdt>
        <w:sdtPr>
          <w:tag w:val="MENDELEY_CITATION_v3_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"/>
          <w:id w:val="-1886780737"/>
          <w:placeholder>
            <w:docPart w:val="DefaultPlaceholder_-1854013440"/>
          </w:placeholder>
        </w:sdtPr>
        <w:sdtEndPr/>
        <w:sdtContent>
          <w:r w:rsidR="00F257B9">
            <w:rPr>
              <w:rFonts w:eastAsia="Times New Roman"/>
            </w:rPr>
            <w:t xml:space="preserve">(Xu </w:t>
          </w:r>
          <w:r w:rsidR="00F257B9">
            <w:rPr>
              <w:rFonts w:eastAsia="Times New Roman"/>
              <w:i w:val="0"/>
              <w:iCs/>
            </w:rPr>
            <w:t>et al.</w:t>
          </w:r>
          <w:r w:rsidR="00F257B9">
            <w:rPr>
              <w:rFonts w:eastAsia="Times New Roman"/>
            </w:rPr>
            <w:t>, 2017)</w:t>
          </w:r>
        </w:sdtContent>
      </w:sdt>
      <w:r w:rsidR="00C81626" w:rsidRPr="003C0E2F">
        <w:t>.</w:t>
      </w:r>
      <w:bookmarkEnd w:id="115"/>
      <w:bookmarkEnd w:id="116"/>
      <w:bookmarkEnd w:id="117"/>
      <w:bookmarkEnd w:id="118"/>
      <w:bookmarkEnd w:id="119"/>
      <w:bookmarkEnd w:id="120"/>
      <w:bookmarkEnd w:id="121"/>
      <w:bookmarkEnd w:id="122"/>
      <w:bookmarkEnd w:id="123"/>
      <w:bookmarkEnd w:id="124"/>
      <w:bookmarkEnd w:id="125"/>
      <w:bookmarkEnd w:id="126"/>
      <w:bookmarkEnd w:id="127"/>
    </w:p>
    <w:p w14:paraId="10132BE1" w14:textId="298F3FE3" w:rsidR="0015753F" w:rsidRPr="003C0E2F" w:rsidRDefault="0015753F">
      <w:pPr>
        <w:spacing w:line="259" w:lineRule="auto"/>
        <w:rPr>
          <w:rFonts w:asciiTheme="majorHAnsi" w:eastAsiaTheme="minorHAnsi" w:hAnsiTheme="majorHAnsi" w:cstheme="majorHAnsi"/>
          <w:i/>
          <w:lang w:eastAsia="en-US"/>
        </w:rPr>
      </w:pPr>
      <w:r w:rsidRPr="003C0E2F">
        <w:br w:type="page"/>
      </w:r>
    </w:p>
    <w:p w14:paraId="759C6724" w14:textId="7CA89EB2" w:rsidR="002109C0" w:rsidRPr="003C0E2F" w:rsidRDefault="002109C0" w:rsidP="00D55B0E">
      <w:pPr>
        <w:pStyle w:val="Heading3"/>
      </w:pPr>
      <w:bookmarkStart w:id="128" w:name="_Toc80013731"/>
      <w:bookmarkStart w:id="129" w:name="_Toc82882351"/>
      <w:r w:rsidRPr="003C0E2F">
        <w:lastRenderedPageBreak/>
        <w:t>Ox</w:t>
      </w:r>
      <w:r w:rsidR="0027708C" w:rsidRPr="003C0E2F">
        <w:t xml:space="preserve">idised </w:t>
      </w:r>
      <w:r w:rsidRPr="003C0E2F">
        <w:t>L</w:t>
      </w:r>
      <w:r w:rsidR="001A2988" w:rsidRPr="003C0E2F">
        <w:t>ow-</w:t>
      </w:r>
      <w:r w:rsidRPr="003C0E2F">
        <w:t>D</w:t>
      </w:r>
      <w:r w:rsidR="001A2988" w:rsidRPr="003C0E2F">
        <w:t xml:space="preserve">ensity </w:t>
      </w:r>
      <w:r w:rsidRPr="003C0E2F">
        <w:t>L</w:t>
      </w:r>
      <w:r w:rsidR="001A2988" w:rsidRPr="003C0E2F">
        <w:t>ipoprotein</w:t>
      </w:r>
      <w:r w:rsidRPr="003C0E2F">
        <w:t xml:space="preserve"> and the </w:t>
      </w:r>
      <w:r w:rsidR="00D8239E" w:rsidRPr="003C0E2F">
        <w:t>r</w:t>
      </w:r>
      <w:r w:rsidRPr="003C0E2F">
        <w:t xml:space="preserve">ole of </w:t>
      </w:r>
      <w:r w:rsidR="00D8239E" w:rsidRPr="003C0E2F">
        <w:t>s</w:t>
      </w:r>
      <w:r w:rsidRPr="003C0E2F">
        <w:t xml:space="preserve">terile </w:t>
      </w:r>
      <w:r w:rsidR="00D8239E" w:rsidRPr="003C0E2F">
        <w:t>i</w:t>
      </w:r>
      <w:r w:rsidRPr="003C0E2F">
        <w:t xml:space="preserve">nflammation in </w:t>
      </w:r>
      <w:r w:rsidR="00D8239E" w:rsidRPr="003C0E2F">
        <w:t>a</w:t>
      </w:r>
      <w:r w:rsidRPr="003C0E2F">
        <w:t>therosclerosis</w:t>
      </w:r>
      <w:bookmarkEnd w:id="128"/>
      <w:bookmarkEnd w:id="129"/>
    </w:p>
    <w:p w14:paraId="2F3A6A52" w14:textId="75CEA707" w:rsidR="00C47D55" w:rsidRPr="003C0E2F" w:rsidRDefault="001A2988" w:rsidP="00C47D55">
      <w:pPr>
        <w:pStyle w:val="NoSpacing"/>
        <w:rPr>
          <w:rFonts w:asciiTheme="minorHAnsi" w:eastAsiaTheme="minorEastAsia" w:hAnsiTheme="minorHAnsi" w:cstheme="minorBidi"/>
          <w:i w:val="0"/>
          <w:lang w:eastAsia="ja-JP"/>
        </w:rPr>
      </w:pPr>
      <w:proofErr w:type="spellStart"/>
      <w:r w:rsidRPr="003C0E2F">
        <w:rPr>
          <w:rFonts w:asciiTheme="minorHAnsi" w:eastAsiaTheme="minorEastAsia" w:hAnsiTheme="minorHAnsi" w:cstheme="minorBidi"/>
          <w:i w:val="0"/>
          <w:lang w:eastAsia="ja-JP"/>
        </w:rPr>
        <w:t>OxLDL</w:t>
      </w:r>
      <w:proofErr w:type="spellEnd"/>
      <w:r w:rsidR="00C47D55" w:rsidRPr="003C0E2F">
        <w:rPr>
          <w:rFonts w:asciiTheme="minorHAnsi" w:eastAsiaTheme="minorEastAsia" w:hAnsiTheme="minorHAnsi" w:cstheme="minorBidi"/>
          <w:i w:val="0"/>
          <w:lang w:eastAsia="ja-JP"/>
        </w:rPr>
        <w:t xml:space="preserve"> is comprised of a large variety of lipid molecules including cholesterol, phospholipids, and others (Table 1). Of these, it is the cholesterol and polyunsaturated fatty acids which are susceptible to oxidation. Oxidation of these complex molecules can result in hundreds of structurally different products</w:t>
      </w:r>
      <w:r w:rsidR="0015753F" w:rsidRPr="003C0E2F">
        <w:rPr>
          <w:rFonts w:asciiTheme="minorHAnsi" w:eastAsiaTheme="minorEastAsia" w:hAnsiTheme="minorHAnsi" w:cstheme="minorBidi"/>
          <w:i w:val="0"/>
          <w:lang w:eastAsia="ja-JP"/>
        </w:rPr>
        <w:t xml:space="preserve"> </w:t>
      </w:r>
      <w:sdt>
        <w:sdtPr>
          <w:rPr>
            <w:rFonts w:asciiTheme="minorHAnsi" w:eastAsiaTheme="minorEastAsia" w:hAnsiTheme="minorHAnsi" w:cstheme="minorBidi"/>
            <w:i w:val="0"/>
            <w:color w:val="000000"/>
            <w:lang w:eastAsia="ja-JP"/>
          </w:rPr>
          <w:tag w:val="MENDELEY_CITATION_v3_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"/>
          <w:id w:val="96984462"/>
          <w:placeholder>
            <w:docPart w:val="DefaultPlaceholder_-1854013440"/>
          </w:placeholder>
        </w:sdtPr>
        <w:sdtEndPr/>
        <w:sdtContent>
          <w:r w:rsidR="00F257B9" w:rsidRPr="00F257B9">
            <w:rPr>
              <w:rFonts w:asciiTheme="minorHAnsi" w:eastAsiaTheme="minorEastAsia" w:hAnsiTheme="minorHAnsi" w:cstheme="minorBidi"/>
              <w:i w:val="0"/>
              <w:color w:val="000000"/>
              <w:lang w:eastAsia="ja-JP"/>
            </w:rPr>
            <w:t xml:space="preserve">(Miller and </w:t>
          </w:r>
          <w:proofErr w:type="spellStart"/>
          <w:r w:rsidR="00F257B9" w:rsidRPr="00F257B9">
            <w:rPr>
              <w:rFonts w:asciiTheme="minorHAnsi" w:eastAsiaTheme="minorEastAsia" w:hAnsiTheme="minorHAnsi" w:cstheme="minorBidi"/>
              <w:i w:val="0"/>
              <w:color w:val="000000"/>
              <w:lang w:eastAsia="ja-JP"/>
            </w:rPr>
            <w:t>Shyy</w:t>
          </w:r>
          <w:proofErr w:type="spellEnd"/>
          <w:r w:rsidR="00F257B9" w:rsidRPr="00F257B9">
            <w:rPr>
              <w:rFonts w:asciiTheme="minorHAnsi" w:eastAsiaTheme="minorEastAsia" w:hAnsiTheme="minorHAnsi" w:cstheme="minorBidi"/>
              <w:i w:val="0"/>
              <w:color w:val="000000"/>
              <w:lang w:eastAsia="ja-JP"/>
            </w:rPr>
            <w:t>, 2017)</w:t>
          </w:r>
        </w:sdtContent>
      </w:sdt>
      <w:r w:rsidR="00C47D55" w:rsidRPr="003C0E2F">
        <w:rPr>
          <w:rFonts w:asciiTheme="minorHAnsi" w:eastAsiaTheme="minorEastAsia" w:hAnsiTheme="minorHAnsi" w:cstheme="minorBidi"/>
          <w:i w:val="0"/>
          <w:lang w:eastAsia="ja-JP"/>
        </w:rPr>
        <w:t xml:space="preserve">. While the main association with </w:t>
      </w:r>
      <w:proofErr w:type="spellStart"/>
      <w:r w:rsidRPr="003C0E2F">
        <w:rPr>
          <w:rFonts w:asciiTheme="minorHAnsi" w:eastAsiaTheme="minorEastAsia" w:hAnsiTheme="minorHAnsi" w:cstheme="minorBidi"/>
          <w:i w:val="0"/>
          <w:lang w:eastAsia="ja-JP"/>
        </w:rPr>
        <w:t>oxLDL</w:t>
      </w:r>
      <w:proofErr w:type="spellEnd"/>
      <w:r w:rsidR="00C47D55" w:rsidRPr="003C0E2F">
        <w:rPr>
          <w:rFonts w:asciiTheme="minorHAnsi" w:eastAsiaTheme="minorEastAsia" w:hAnsiTheme="minorHAnsi" w:cstheme="minorBidi"/>
          <w:i w:val="0"/>
          <w:lang w:eastAsia="ja-JP"/>
        </w:rPr>
        <w:t xml:space="preserve"> is that of disease, oxidised lipids in the body are known to be involved in both positive and negative processes. </w:t>
      </w:r>
    </w:p>
    <w:p w14:paraId="4B40CEDB" w14:textId="77777777" w:rsidR="0015753F" w:rsidRPr="003C0E2F" w:rsidRDefault="0015753F" w:rsidP="00C47D55">
      <w:pPr>
        <w:pStyle w:val="NoSpacing"/>
      </w:pPr>
    </w:p>
    <w:p w14:paraId="24F12347" w14:textId="4B651B2A" w:rsidR="001F472E" w:rsidRPr="003C0E2F" w:rsidRDefault="001F472E" w:rsidP="00FB2FD3">
      <w:pPr>
        <w:pStyle w:val="NoSpacing"/>
      </w:pPr>
      <w:r w:rsidRPr="003C0E2F">
        <w:t xml:space="preserve">Table </w:t>
      </w:r>
      <w:r w:rsidR="00862981">
        <w:fldChar w:fldCharType="begin"/>
      </w:r>
      <w:r w:rsidR="00862981">
        <w:instrText xml:space="preserve"> SEQ Table \* ARABIC </w:instrText>
      </w:r>
      <w:r w:rsidR="00862981">
        <w:fldChar w:fldCharType="separate"/>
      </w:r>
      <w:r w:rsidR="000F2276">
        <w:rPr>
          <w:noProof/>
        </w:rPr>
        <w:t>1</w:t>
      </w:r>
      <w:r w:rsidR="00862981">
        <w:rPr>
          <w:noProof/>
        </w:rPr>
        <w:fldChar w:fldCharType="end"/>
      </w:r>
      <w:r w:rsidR="00625346" w:rsidRPr="003C0E2F">
        <w:t xml:space="preserve">. </w:t>
      </w:r>
      <w:r w:rsidR="00C47D55" w:rsidRPr="003C0E2F">
        <w:t xml:space="preserve">The composition of </w:t>
      </w:r>
      <w:proofErr w:type="spellStart"/>
      <w:r w:rsidR="001A2988" w:rsidRPr="003C0E2F">
        <w:t>oxLDL</w:t>
      </w:r>
      <w:proofErr w:type="spellEnd"/>
      <w:r w:rsidR="00C47D55" w:rsidRPr="003C0E2F">
        <w:t xml:space="preserve"> (Miller and </w:t>
      </w:r>
      <w:proofErr w:type="spellStart"/>
      <w:r w:rsidR="00C47D55" w:rsidRPr="003C0E2F">
        <w:t>Shyy</w:t>
      </w:r>
      <w:proofErr w:type="spellEnd"/>
      <w:r w:rsidR="00C47D55" w:rsidRPr="003C0E2F">
        <w:t>, 2017b)</w:t>
      </w:r>
    </w:p>
    <w:tbl>
      <w:tblPr>
        <w:tblStyle w:val="PlainTable5"/>
        <w:tblW w:w="0" w:type="auto"/>
        <w:tblLook w:val="04A0" w:firstRow="1" w:lastRow="0" w:firstColumn="1" w:lastColumn="0" w:noHBand="0" w:noVBand="1"/>
      </w:tblPr>
      <w:tblGrid>
        <w:gridCol w:w="3544"/>
        <w:gridCol w:w="3402"/>
      </w:tblGrid>
      <w:tr w:rsidR="003C0E2F" w:rsidRPr="003C0E2F" w14:paraId="7D833C9C" w14:textId="77777777" w:rsidTr="00625346">
        <w:trPr>
          <w:cnfStyle w:val="100000000000" w:firstRow="1" w:lastRow="0" w:firstColumn="0" w:lastColumn="0" w:oddVBand="0" w:evenVBand="0" w:oddHBand="0" w:evenHBand="0" w:firstRowFirstColumn="0" w:firstRowLastColumn="0" w:lastRowFirstColumn="0" w:lastRowLastColumn="0"/>
          <w:trHeight w:val="392"/>
        </w:trPr>
        <w:tc>
          <w:tcPr>
            <w:cnfStyle w:val="001000000100" w:firstRow="0" w:lastRow="0" w:firstColumn="1" w:lastColumn="0" w:oddVBand="0" w:evenVBand="0" w:oddHBand="0" w:evenHBand="0" w:firstRowFirstColumn="1" w:firstRowLastColumn="0" w:lastRowFirstColumn="0" w:lastRowLastColumn="0"/>
            <w:tcW w:w="3544" w:type="dxa"/>
          </w:tcPr>
          <w:p w14:paraId="3F8CC710" w14:textId="77777777" w:rsidR="002109C0" w:rsidRPr="003C0E2F" w:rsidRDefault="002109C0" w:rsidP="004F419A">
            <w:pPr>
              <w:pStyle w:val="ListParagraph"/>
              <w:spacing w:line="276" w:lineRule="auto"/>
            </w:pPr>
          </w:p>
        </w:tc>
        <w:tc>
          <w:tcPr>
            <w:tcW w:w="3402" w:type="dxa"/>
            <w:hideMark/>
          </w:tcPr>
          <w:p w14:paraId="16BD76CC" w14:textId="77777777" w:rsidR="002109C0" w:rsidRPr="003C0E2F" w:rsidRDefault="002109C0" w:rsidP="004F419A">
            <w:pPr>
              <w:spacing w:line="276" w:lineRule="auto"/>
              <w:cnfStyle w:val="100000000000" w:firstRow="1" w:lastRow="0" w:firstColumn="0" w:lastColumn="0" w:oddVBand="0" w:evenVBand="0" w:oddHBand="0" w:evenHBand="0" w:firstRowFirstColumn="0" w:firstRowLastColumn="0" w:lastRowFirstColumn="0" w:lastRowLastColumn="0"/>
            </w:pPr>
            <w:r w:rsidRPr="003C0E2F">
              <w:t>Approx. number of molecules</w:t>
            </w:r>
          </w:p>
        </w:tc>
      </w:tr>
      <w:tr w:rsidR="003C0E2F" w:rsidRPr="003C0E2F" w14:paraId="67BCC140" w14:textId="77777777" w:rsidTr="00625346">
        <w:trPr>
          <w:cnfStyle w:val="000000100000" w:firstRow="0" w:lastRow="0" w:firstColumn="0" w:lastColumn="0" w:oddVBand="0" w:evenVBand="0" w:oddHBand="1"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3544" w:type="dxa"/>
            <w:hideMark/>
          </w:tcPr>
          <w:p w14:paraId="2EB917F8" w14:textId="77777777" w:rsidR="002109C0" w:rsidRPr="003C0E2F" w:rsidRDefault="002109C0" w:rsidP="004F419A">
            <w:pPr>
              <w:pStyle w:val="ListParagraph"/>
              <w:spacing w:line="276" w:lineRule="auto"/>
            </w:pPr>
            <w:r w:rsidRPr="003C0E2F">
              <w:t>Unesterified Cholesterol</w:t>
            </w:r>
          </w:p>
        </w:tc>
        <w:tc>
          <w:tcPr>
            <w:tcW w:w="3402" w:type="dxa"/>
            <w:hideMark/>
          </w:tcPr>
          <w:p w14:paraId="0DD96322" w14:textId="77777777" w:rsidR="002109C0" w:rsidRPr="003C0E2F" w:rsidRDefault="002109C0" w:rsidP="004F419A">
            <w:pPr>
              <w:spacing w:line="276" w:lineRule="auto"/>
              <w:cnfStyle w:val="000000100000" w:firstRow="0" w:lastRow="0" w:firstColumn="0" w:lastColumn="0" w:oddVBand="0" w:evenVBand="0" w:oddHBand="1" w:evenHBand="0" w:firstRowFirstColumn="0" w:firstRowLastColumn="0" w:lastRowFirstColumn="0" w:lastRowLastColumn="0"/>
            </w:pPr>
            <w:r w:rsidRPr="003C0E2F">
              <w:t>600</w:t>
            </w:r>
          </w:p>
        </w:tc>
      </w:tr>
      <w:tr w:rsidR="003C0E2F" w:rsidRPr="003C0E2F" w14:paraId="148C157C" w14:textId="77777777" w:rsidTr="00625346">
        <w:trPr>
          <w:trHeight w:val="392"/>
        </w:trPr>
        <w:tc>
          <w:tcPr>
            <w:cnfStyle w:val="001000000000" w:firstRow="0" w:lastRow="0" w:firstColumn="1" w:lastColumn="0" w:oddVBand="0" w:evenVBand="0" w:oddHBand="0" w:evenHBand="0" w:firstRowFirstColumn="0" w:firstRowLastColumn="0" w:lastRowFirstColumn="0" w:lastRowLastColumn="0"/>
            <w:tcW w:w="3544" w:type="dxa"/>
            <w:hideMark/>
          </w:tcPr>
          <w:p w14:paraId="4F4EB367" w14:textId="77777777" w:rsidR="002109C0" w:rsidRPr="003C0E2F" w:rsidRDefault="002109C0" w:rsidP="004F419A">
            <w:pPr>
              <w:pStyle w:val="ListParagraph"/>
              <w:spacing w:line="276" w:lineRule="auto"/>
            </w:pPr>
            <w:r w:rsidRPr="003C0E2F">
              <w:t>Cholesterol Esters</w:t>
            </w:r>
          </w:p>
        </w:tc>
        <w:tc>
          <w:tcPr>
            <w:tcW w:w="3402" w:type="dxa"/>
            <w:hideMark/>
          </w:tcPr>
          <w:p w14:paraId="194559A0" w14:textId="77777777" w:rsidR="002109C0" w:rsidRPr="003C0E2F" w:rsidRDefault="002109C0" w:rsidP="004F419A">
            <w:pPr>
              <w:spacing w:line="276" w:lineRule="auto"/>
              <w:cnfStyle w:val="000000000000" w:firstRow="0" w:lastRow="0" w:firstColumn="0" w:lastColumn="0" w:oddVBand="0" w:evenVBand="0" w:oddHBand="0" w:evenHBand="0" w:firstRowFirstColumn="0" w:firstRowLastColumn="0" w:lastRowFirstColumn="0" w:lastRowLastColumn="0"/>
            </w:pPr>
            <w:r w:rsidRPr="003C0E2F">
              <w:t>1600</w:t>
            </w:r>
          </w:p>
        </w:tc>
      </w:tr>
      <w:tr w:rsidR="003C0E2F" w:rsidRPr="003C0E2F" w14:paraId="3AFE8BB5" w14:textId="77777777" w:rsidTr="00625346">
        <w:trPr>
          <w:cnfStyle w:val="000000100000" w:firstRow="0" w:lastRow="0" w:firstColumn="0" w:lastColumn="0" w:oddVBand="0" w:evenVBand="0" w:oddHBand="1" w:evenHBand="0" w:firstRowFirstColumn="0" w:firstRowLastColumn="0" w:lastRowFirstColumn="0" w:lastRowLastColumn="0"/>
          <w:trHeight w:val="392"/>
        </w:trPr>
        <w:tc>
          <w:tcPr>
            <w:cnfStyle w:val="001000000000" w:firstRow="0" w:lastRow="0" w:firstColumn="1" w:lastColumn="0" w:oddVBand="0" w:evenVBand="0" w:oddHBand="0" w:evenHBand="0" w:firstRowFirstColumn="0" w:firstRowLastColumn="0" w:lastRowFirstColumn="0" w:lastRowLastColumn="0"/>
            <w:tcW w:w="3544" w:type="dxa"/>
            <w:hideMark/>
          </w:tcPr>
          <w:p w14:paraId="5D20FF07" w14:textId="77777777" w:rsidR="002109C0" w:rsidRPr="003C0E2F" w:rsidRDefault="002109C0" w:rsidP="004F419A">
            <w:pPr>
              <w:pStyle w:val="ListParagraph"/>
              <w:spacing w:line="276" w:lineRule="auto"/>
            </w:pPr>
            <w:r w:rsidRPr="003C0E2F">
              <w:t>Phospholipids</w:t>
            </w:r>
          </w:p>
        </w:tc>
        <w:tc>
          <w:tcPr>
            <w:tcW w:w="3402" w:type="dxa"/>
            <w:hideMark/>
          </w:tcPr>
          <w:p w14:paraId="55E4863C" w14:textId="77777777" w:rsidR="002109C0" w:rsidRPr="003C0E2F" w:rsidRDefault="002109C0" w:rsidP="004F419A">
            <w:pPr>
              <w:spacing w:line="276" w:lineRule="auto"/>
              <w:cnfStyle w:val="000000100000" w:firstRow="0" w:lastRow="0" w:firstColumn="0" w:lastColumn="0" w:oddVBand="0" w:evenVBand="0" w:oddHBand="1" w:evenHBand="0" w:firstRowFirstColumn="0" w:firstRowLastColumn="0" w:lastRowFirstColumn="0" w:lastRowLastColumn="0"/>
            </w:pPr>
            <w:r w:rsidRPr="003C0E2F">
              <w:t>700</w:t>
            </w:r>
          </w:p>
        </w:tc>
      </w:tr>
      <w:tr w:rsidR="003C0E2F" w:rsidRPr="003C0E2F" w14:paraId="2A0B9036" w14:textId="77777777" w:rsidTr="00625346">
        <w:trPr>
          <w:trHeight w:val="392"/>
        </w:trPr>
        <w:tc>
          <w:tcPr>
            <w:cnfStyle w:val="001000000000" w:firstRow="0" w:lastRow="0" w:firstColumn="1" w:lastColumn="0" w:oddVBand="0" w:evenVBand="0" w:oddHBand="0" w:evenHBand="0" w:firstRowFirstColumn="0" w:firstRowLastColumn="0" w:lastRowFirstColumn="0" w:lastRowLastColumn="0"/>
            <w:tcW w:w="3544" w:type="dxa"/>
            <w:hideMark/>
          </w:tcPr>
          <w:p w14:paraId="52426569" w14:textId="77777777" w:rsidR="002109C0" w:rsidRPr="003C0E2F" w:rsidRDefault="002109C0" w:rsidP="004F419A">
            <w:pPr>
              <w:pStyle w:val="ListParagraph"/>
              <w:spacing w:line="276" w:lineRule="auto"/>
            </w:pPr>
            <w:r w:rsidRPr="003C0E2F">
              <w:t>Triglycerides</w:t>
            </w:r>
          </w:p>
        </w:tc>
        <w:tc>
          <w:tcPr>
            <w:tcW w:w="3402" w:type="dxa"/>
            <w:hideMark/>
          </w:tcPr>
          <w:p w14:paraId="583951FF" w14:textId="77777777" w:rsidR="002109C0" w:rsidRPr="003C0E2F" w:rsidRDefault="002109C0" w:rsidP="004F419A">
            <w:pPr>
              <w:spacing w:line="276" w:lineRule="auto"/>
              <w:cnfStyle w:val="000000000000" w:firstRow="0" w:lastRow="0" w:firstColumn="0" w:lastColumn="0" w:oddVBand="0" w:evenVBand="0" w:oddHBand="0" w:evenHBand="0" w:firstRowFirstColumn="0" w:firstRowLastColumn="0" w:lastRowFirstColumn="0" w:lastRowLastColumn="0"/>
            </w:pPr>
            <w:r w:rsidRPr="003C0E2F">
              <w:t>185</w:t>
            </w:r>
          </w:p>
        </w:tc>
      </w:tr>
      <w:tr w:rsidR="003C0E2F" w:rsidRPr="003C0E2F" w14:paraId="7E8251AC" w14:textId="77777777" w:rsidTr="00625346">
        <w:trPr>
          <w:cnfStyle w:val="000000100000" w:firstRow="0" w:lastRow="0" w:firstColumn="0" w:lastColumn="0" w:oddVBand="0" w:evenVBand="0" w:oddHBand="1" w:evenHBand="0" w:firstRowFirstColumn="0" w:firstRowLastColumn="0" w:lastRowFirstColumn="0" w:lastRowLastColumn="0"/>
          <w:trHeight w:val="392"/>
        </w:trPr>
        <w:tc>
          <w:tcPr>
            <w:cnfStyle w:val="001000000000" w:firstRow="0" w:lastRow="0" w:firstColumn="1" w:lastColumn="0" w:oddVBand="0" w:evenVBand="0" w:oddHBand="0" w:evenHBand="0" w:firstRowFirstColumn="0" w:firstRowLastColumn="0" w:lastRowFirstColumn="0" w:lastRowLastColumn="0"/>
            <w:tcW w:w="3544" w:type="dxa"/>
            <w:hideMark/>
          </w:tcPr>
          <w:p w14:paraId="18A822AA" w14:textId="67BAE520" w:rsidR="002109C0" w:rsidRPr="003C0E2F" w:rsidRDefault="002109C0" w:rsidP="004F419A">
            <w:pPr>
              <w:pStyle w:val="ListParagraph"/>
              <w:spacing w:line="276" w:lineRule="auto"/>
            </w:pPr>
            <w:r w:rsidRPr="003C0E2F">
              <w:t>Apolipoprotein B</w:t>
            </w:r>
            <w:r w:rsidR="000B48CD" w:rsidRPr="003C0E2F">
              <w:t>-</w:t>
            </w:r>
            <w:r w:rsidRPr="003C0E2F">
              <w:t>100</w:t>
            </w:r>
          </w:p>
        </w:tc>
        <w:tc>
          <w:tcPr>
            <w:tcW w:w="3402" w:type="dxa"/>
            <w:hideMark/>
          </w:tcPr>
          <w:p w14:paraId="05468C55" w14:textId="77777777" w:rsidR="002109C0" w:rsidRPr="003C0E2F" w:rsidRDefault="002109C0" w:rsidP="004F419A">
            <w:pPr>
              <w:spacing w:line="276" w:lineRule="auto"/>
              <w:cnfStyle w:val="000000100000" w:firstRow="0" w:lastRow="0" w:firstColumn="0" w:lastColumn="0" w:oddVBand="0" w:evenVBand="0" w:oddHBand="1" w:evenHBand="0" w:firstRowFirstColumn="0" w:firstRowLastColumn="0" w:lastRowFirstColumn="0" w:lastRowLastColumn="0"/>
            </w:pPr>
            <w:r w:rsidRPr="003C0E2F">
              <w:t>1</w:t>
            </w:r>
          </w:p>
        </w:tc>
      </w:tr>
    </w:tbl>
    <w:p w14:paraId="64B07955" w14:textId="77777777" w:rsidR="0015753F" w:rsidRPr="003C0E2F" w:rsidRDefault="00DF2085" w:rsidP="00625346">
      <w:bookmarkStart w:id="130" w:name="_Ref496089458"/>
      <w:r w:rsidRPr="003C0E2F">
        <w:br/>
      </w:r>
      <w:bookmarkEnd w:id="130"/>
    </w:p>
    <w:p w14:paraId="022718E8" w14:textId="5569B23D" w:rsidR="00625346" w:rsidRPr="003C0E2F" w:rsidRDefault="00625346" w:rsidP="00625346">
      <w:r w:rsidRPr="003C0E2F">
        <w:t xml:space="preserve">There are a variety of oxidised lipids present in the body which have a plethora of roles within the body. Among these are </w:t>
      </w:r>
      <w:proofErr w:type="spellStart"/>
      <w:r w:rsidR="00CE4613" w:rsidRPr="003C0E2F">
        <w:t>o</w:t>
      </w:r>
      <w:r w:rsidRPr="003C0E2F">
        <w:t>xPC</w:t>
      </w:r>
      <w:proofErr w:type="spellEnd"/>
      <w:r w:rsidRPr="003C0E2F">
        <w:t xml:space="preserve"> (oxidised phosphocholine), </w:t>
      </w:r>
      <w:proofErr w:type="spellStart"/>
      <w:r w:rsidR="00CE4613" w:rsidRPr="003C0E2F">
        <w:t>o</w:t>
      </w:r>
      <w:r w:rsidRPr="003C0E2F">
        <w:t>xPE</w:t>
      </w:r>
      <w:proofErr w:type="spellEnd"/>
      <w:r w:rsidRPr="003C0E2F">
        <w:t xml:space="preserve"> (oxidised phosphatidylethanolamine), </w:t>
      </w:r>
      <w:proofErr w:type="spellStart"/>
      <w:r w:rsidRPr="003C0E2F">
        <w:t>oxCE</w:t>
      </w:r>
      <w:proofErr w:type="spellEnd"/>
      <w:r w:rsidRPr="003C0E2F">
        <w:t xml:space="preserve"> (Oxidised Cholesterol Esters), MDA (malondialdehyde) and CEP (2-(ω-</w:t>
      </w:r>
      <w:proofErr w:type="gramStart"/>
      <w:r w:rsidRPr="003C0E2F">
        <w:t>carboxyethyl)pyrrole</w:t>
      </w:r>
      <w:proofErr w:type="gramEnd"/>
      <w:r w:rsidRPr="003C0E2F">
        <w:t xml:space="preserve">). These serve roles in wound healing and homeostasis, </w:t>
      </w:r>
      <w:r w:rsidR="008612D0" w:rsidRPr="003C0E2F">
        <w:t>antioxidant,</w:t>
      </w:r>
      <w:r w:rsidRPr="003C0E2F">
        <w:t xml:space="preserve"> and protective anti-</w:t>
      </w:r>
      <w:r w:rsidR="009345DA" w:rsidRPr="003C0E2F">
        <w:t>microbial</w:t>
      </w:r>
      <w:r w:rsidRPr="003C0E2F">
        <w:t xml:space="preserve"> functions. On the other hand, oxidised lipids are thought to contribute to a range of adverse </w:t>
      </w:r>
      <w:r w:rsidR="008F561F" w:rsidRPr="003C0E2F">
        <w:t>effect</w:t>
      </w:r>
      <w:r w:rsidRPr="003C0E2F">
        <w:t xml:space="preserve"> </w:t>
      </w:r>
      <w:r w:rsidR="009345DA" w:rsidRPr="003C0E2F">
        <w:t>such</w:t>
      </w:r>
      <w:r w:rsidRPr="003C0E2F">
        <w:t xml:space="preserve"> as inflammation and inflammasome activation, foam cell formation, platelet activation and may also exhibit a synergistic </w:t>
      </w:r>
      <w:r w:rsidR="008F561F" w:rsidRPr="003C0E2F">
        <w:t>effect</w:t>
      </w:r>
      <w:r w:rsidRPr="003C0E2F">
        <w:t xml:space="preserve"> with LPS that overstimulates immune response </w:t>
      </w:r>
      <w:sdt>
        <w:sdtPr>
          <w:rPr>
            <w:color w:val="000000"/>
          </w:rPr>
          <w:tag w:val="MENDELEY_CITATION_v3_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"/>
          <w:id w:val="-722372335"/>
          <w:placeholder>
            <w:docPart w:val="DefaultPlaceholder_-1854013440"/>
          </w:placeholder>
        </w:sdtPr>
        <w:sdtEndPr/>
        <w:sdtContent>
          <w:r w:rsidR="00F257B9" w:rsidRPr="00F257B9">
            <w:rPr>
              <w:color w:val="000000"/>
            </w:rPr>
            <w:t xml:space="preserve">(Miller and </w:t>
          </w:r>
          <w:proofErr w:type="spellStart"/>
          <w:r w:rsidR="00F257B9" w:rsidRPr="00F257B9">
            <w:rPr>
              <w:color w:val="000000"/>
            </w:rPr>
            <w:t>Shyy</w:t>
          </w:r>
          <w:proofErr w:type="spellEnd"/>
          <w:r w:rsidR="00F257B9" w:rsidRPr="00F257B9">
            <w:rPr>
              <w:color w:val="000000"/>
            </w:rPr>
            <w:t>, 2017)</w:t>
          </w:r>
        </w:sdtContent>
      </w:sdt>
      <w:r w:rsidRPr="003C0E2F">
        <w:t xml:space="preserve">. The role of oxidised lipids in the body is complex and may be both beneficial and harmful </w:t>
      </w:r>
      <w:r w:rsidR="009E0322" w:rsidRPr="003C0E2F">
        <w:t>dependent</w:t>
      </w:r>
      <w:r w:rsidRPr="003C0E2F">
        <w:t xml:space="preserve"> on the specific context.</w:t>
      </w:r>
    </w:p>
    <w:p w14:paraId="0EDE7E7A" w14:textId="43BF5200" w:rsidR="00E474C1" w:rsidRPr="003C0E2F" w:rsidRDefault="002109C0" w:rsidP="00BE5236">
      <w:pPr>
        <w:rPr>
          <w:noProof/>
          <w:lang w:eastAsia="en-GB"/>
        </w:rPr>
      </w:pPr>
      <w:r w:rsidRPr="003C0E2F">
        <w:lastRenderedPageBreak/>
        <w:t>TLRs are known to be involved in progression of atherosclerosis. However, the method of activation in conditions such as atherosclerosis is through to be the result of non-bacterial ligands</w:t>
      </w:r>
      <w:r w:rsidR="0027708C" w:rsidRPr="003C0E2F">
        <w:t xml:space="preserve">. </w:t>
      </w:r>
      <w:proofErr w:type="spellStart"/>
      <w:r w:rsidR="001A2988" w:rsidRPr="003C0E2F">
        <w:t>OxLDL</w:t>
      </w:r>
      <w:proofErr w:type="spellEnd"/>
      <w:r w:rsidRPr="003C0E2F">
        <w:t xml:space="preserve"> is prevalent in atherosclerotic plaques and is known to play an important part in foam cell formation. In this regard, TLR4 has been shown to be involved in internalisation of </w:t>
      </w:r>
      <w:proofErr w:type="spellStart"/>
      <w:r w:rsidR="001A2988" w:rsidRPr="003C0E2F">
        <w:t>oxLDL</w:t>
      </w:r>
      <w:proofErr w:type="spellEnd"/>
      <w:r w:rsidRPr="003C0E2F">
        <w:t xml:space="preserve"> by which absence or blocking of the receptor has prevented this event </w:t>
      </w:r>
      <w:sdt>
        <w:sdtPr>
          <w:tag w:val="MENDELEY_CITATION_v3_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V0sInByb3BlcnRpZXMiOnsibm90ZUluZGV4IjowfSwiaXNFZGl0ZWQiOmZhbHNlLCJtYW51YWxPdmVycmlkZSI6eyJpc01hbnVhbGx5T3ZlcnJpZGVuIjpmYWxzZSwiY2l0ZXByb2NUZXh0IjoiKEhvd2VsbCA8aT5ldCBhbC48L2k+LCAyMDExOyBDaMOhdmV6LVPDoW5jaGV6IDxpPmV0IGFsLjwvaT4sIDIwMTQpIiwibWFudWFsT3ZlcnJpZGVUZXh0IjoiIn19"/>
          <w:id w:val="1735044672"/>
          <w:placeholder>
            <w:docPart w:val="DefaultPlaceholder_-1854013440"/>
          </w:placeholder>
        </w:sdtPr>
        <w:sdtEndPr/>
        <w:sdtContent>
          <w:r w:rsidR="00F257B9">
            <w:rPr>
              <w:rFonts w:eastAsia="Times New Roman"/>
            </w:rPr>
            <w:t xml:space="preserve">(Howell </w:t>
          </w:r>
          <w:r w:rsidR="00F257B9">
            <w:rPr>
              <w:rFonts w:eastAsia="Times New Roman"/>
              <w:i/>
              <w:iCs/>
            </w:rPr>
            <w:t>et al.</w:t>
          </w:r>
          <w:r w:rsidR="00F257B9">
            <w:rPr>
              <w:rFonts w:eastAsia="Times New Roman"/>
            </w:rPr>
            <w:t xml:space="preserve">, 2011; Chávez-Sánchez </w:t>
          </w:r>
          <w:r w:rsidR="00F257B9">
            <w:rPr>
              <w:rFonts w:eastAsia="Times New Roman"/>
              <w:i/>
              <w:iCs/>
            </w:rPr>
            <w:t>et al.</w:t>
          </w:r>
          <w:r w:rsidR="00F257B9">
            <w:rPr>
              <w:rFonts w:eastAsia="Times New Roman"/>
            </w:rPr>
            <w:t>, 2014)</w:t>
          </w:r>
        </w:sdtContent>
      </w:sdt>
      <w:r w:rsidRPr="003C0E2F">
        <w:t xml:space="preserve">. However, </w:t>
      </w:r>
      <w:proofErr w:type="spellStart"/>
      <w:r w:rsidR="001A2988" w:rsidRPr="003C0E2F">
        <w:t>oxLDL</w:t>
      </w:r>
      <w:proofErr w:type="spellEnd"/>
      <w:r w:rsidRPr="003C0E2F">
        <w:t xml:space="preserve"> is involved in activation of the receptor via different mechanics to that seen in LPS activation.</w:t>
      </w:r>
      <w:r w:rsidR="001B4697" w:rsidRPr="003C0E2F">
        <w:rPr>
          <w:noProof/>
          <w:lang w:eastAsia="en-GB"/>
        </w:rPr>
        <w:t xml:space="preserve"> </w:t>
      </w:r>
    </w:p>
    <w:p w14:paraId="67FC77BD" w14:textId="03F37E00" w:rsidR="003E69B5" w:rsidRPr="003C0E2F" w:rsidRDefault="001A2988" w:rsidP="003E69B5">
      <w:proofErr w:type="spellStart"/>
      <w:r w:rsidRPr="003C0E2F">
        <w:t>OxLDL</w:t>
      </w:r>
      <w:proofErr w:type="spellEnd"/>
      <w:r w:rsidR="003E69B5" w:rsidRPr="003C0E2F">
        <w:t xml:space="preserve"> produced by different methods in the lab may have different </w:t>
      </w:r>
      <w:r w:rsidR="008F561F" w:rsidRPr="003C0E2F">
        <w:t>effect</w:t>
      </w:r>
      <w:r w:rsidR="003E69B5" w:rsidRPr="003C0E2F">
        <w:t>s on cell response and signalling. NF-</w:t>
      </w:r>
      <w:proofErr w:type="spellStart"/>
      <w:r w:rsidR="003E69B5" w:rsidRPr="003C0E2F">
        <w:t>κB</w:t>
      </w:r>
      <w:proofErr w:type="spellEnd"/>
      <w:r w:rsidR="003E69B5" w:rsidRPr="003C0E2F">
        <w:t xml:space="preserve"> activation has been demonstrated following </w:t>
      </w:r>
      <w:proofErr w:type="spellStart"/>
      <w:r w:rsidRPr="003C0E2F">
        <w:t>oxLDL</w:t>
      </w:r>
      <w:proofErr w:type="spellEnd"/>
      <w:r w:rsidR="003E69B5" w:rsidRPr="003C0E2F">
        <w:t xml:space="preserve"> stimulation in some cases</w:t>
      </w:r>
      <w:sdt>
        <w:sdtPr>
          <w:tag w:val="MENDELEY_CITATION_v3_eyJjaXRhdGlvbklEIjoiTUVOREVMRVlfQ0lUQVRJT05fMmVlMDc3ZmYtMDNkNi00OTYzLTkxZjktMTY0YjdhZGQ2NTc1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V0sInByb3BlcnRpZXMiOnsibm90ZUluZGV4IjowfSwiaXNFZGl0ZWQiOmZhbHNlLCJtYW51YWxPdmVycmlkZSI6eyJpc01hbnVhbGx5T3ZlcnJpZGVuIjpmYWxzZSwiY2l0ZXByb2NUZXh0IjoiKENow6F2ZXotU8OhbmNoZXogPGk+ZXQgYWwuPC9pPiwgMjAxNCkiLCJtYW51YWxPdmVycmlkZVRleHQiOiIifX0="/>
          <w:id w:val="229045532"/>
          <w:placeholder>
            <w:docPart w:val="9683EFF5EE9045B79DD32429DB798485"/>
          </w:placeholder>
        </w:sdtPr>
        <w:sdtEndPr/>
        <w:sdtContent>
          <w:r w:rsidR="00F257B9">
            <w:rPr>
              <w:rFonts w:eastAsia="Times New Roman"/>
            </w:rPr>
            <w:t xml:space="preserve">(Chávez-Sánchez </w:t>
          </w:r>
          <w:r w:rsidR="00F257B9">
            <w:rPr>
              <w:rFonts w:eastAsia="Times New Roman"/>
              <w:i/>
              <w:iCs/>
            </w:rPr>
            <w:t>et al.</w:t>
          </w:r>
          <w:r w:rsidR="00F257B9">
            <w:rPr>
              <w:rFonts w:eastAsia="Times New Roman"/>
            </w:rPr>
            <w:t>, 2014)</w:t>
          </w:r>
        </w:sdtContent>
      </w:sdt>
      <w:r w:rsidR="003E69B5" w:rsidRPr="003C0E2F">
        <w:t xml:space="preserve">. However, minimally </w:t>
      </w:r>
      <w:proofErr w:type="spellStart"/>
      <w:r w:rsidRPr="003C0E2F">
        <w:t>oxLDL</w:t>
      </w:r>
      <w:proofErr w:type="spellEnd"/>
      <w:r w:rsidR="003E69B5" w:rsidRPr="003C0E2F">
        <w:t xml:space="preserve"> (</w:t>
      </w:r>
      <w:proofErr w:type="spellStart"/>
      <w:r w:rsidR="003E69B5" w:rsidRPr="003C0E2F">
        <w:t>mmLDL</w:t>
      </w:r>
      <w:proofErr w:type="spellEnd"/>
      <w:r w:rsidR="003E69B5" w:rsidRPr="003C0E2F">
        <w:t>) may activate ERK and JNK signalling pathways, but not NF-</w:t>
      </w:r>
      <w:proofErr w:type="spellStart"/>
      <w:r w:rsidR="003E69B5" w:rsidRPr="003C0E2F">
        <w:t>κB</w:t>
      </w:r>
      <w:proofErr w:type="spellEnd"/>
      <w:r w:rsidR="003E69B5" w:rsidRPr="003C0E2F">
        <w:t xml:space="preserve"> </w:t>
      </w:r>
      <w:sdt>
        <w:sdtPr>
          <w:tag w:val="MENDELEY_CITATION_v3_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"/>
          <w:id w:val="11422298"/>
          <w:placeholder>
            <w:docPart w:val="9683EFF5EE9045B79DD32429DB798485"/>
          </w:placeholder>
        </w:sdtPr>
        <w:sdtEndPr/>
        <w:sdtContent>
          <w:r w:rsidR="00F257B9">
            <w:rPr>
              <w:rFonts w:eastAsia="Times New Roman"/>
            </w:rPr>
            <w:t xml:space="preserve">(Choi </w:t>
          </w:r>
          <w:r w:rsidR="00F257B9">
            <w:rPr>
              <w:rFonts w:eastAsia="Times New Roman"/>
              <w:i/>
              <w:iCs/>
            </w:rPr>
            <w:t>et al.</w:t>
          </w:r>
          <w:r w:rsidR="00F257B9">
            <w:rPr>
              <w:rFonts w:eastAsia="Times New Roman"/>
            </w:rPr>
            <w:t>, 2012)</w:t>
          </w:r>
        </w:sdtContent>
      </w:sdt>
      <w:r w:rsidR="003E69B5" w:rsidRPr="003C0E2F">
        <w:t xml:space="preserve">. Further, </w:t>
      </w:r>
      <w:proofErr w:type="spellStart"/>
      <w:r w:rsidR="003E69B5" w:rsidRPr="003C0E2F">
        <w:t>mmLDL</w:t>
      </w:r>
      <w:proofErr w:type="spellEnd"/>
      <w:r w:rsidR="003E69B5" w:rsidRPr="003C0E2F">
        <w:t xml:space="preserve"> produced through using the </w:t>
      </w:r>
      <w:r w:rsidR="003E69B5" w:rsidRPr="003C0E2F">
        <w:rPr>
          <w:i/>
        </w:rPr>
        <w:t xml:space="preserve">in vitro </w:t>
      </w:r>
      <w:r w:rsidR="003E69B5" w:rsidRPr="003C0E2F">
        <w:t xml:space="preserve">15-lipooxygenase modification method is not thought to bind to CD36 </w:t>
      </w:r>
      <w:sdt>
        <w:sdtPr>
          <w:rPr>
            <w:color w:val="000000"/>
          </w:rPr>
          <w:tag w:val="MENDELEY_CITATION_v3_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"/>
          <w:id w:val="1964684864"/>
          <w:placeholder>
            <w:docPart w:val="9683EFF5EE9045B79DD32429DB798485"/>
          </w:placeholder>
        </w:sdtPr>
        <w:sdtEndPr/>
        <w:sdtContent>
          <w:r w:rsidR="00F257B9" w:rsidRPr="00F257B9">
            <w:rPr>
              <w:color w:val="000000"/>
            </w:rPr>
            <w:t xml:space="preserve">(Miller and </w:t>
          </w:r>
          <w:proofErr w:type="spellStart"/>
          <w:r w:rsidR="00F257B9" w:rsidRPr="00F257B9">
            <w:rPr>
              <w:color w:val="000000"/>
            </w:rPr>
            <w:t>Shyy</w:t>
          </w:r>
          <w:proofErr w:type="spellEnd"/>
          <w:r w:rsidR="00F257B9" w:rsidRPr="00F257B9">
            <w:rPr>
              <w:color w:val="000000"/>
            </w:rPr>
            <w:t>, 2017)</w:t>
          </w:r>
        </w:sdtContent>
      </w:sdt>
      <w:r w:rsidR="003E69B5" w:rsidRPr="003C0E2F">
        <w:fldChar w:fldCharType="begin"/>
      </w:r>
      <w:r w:rsidR="003E69B5" w:rsidRPr="003C0E2F">
        <w:instrText xml:space="preserve"> ADDIN ZOTERO_ITEM CSL_CITATION {"citationID":"SaI49sv1","properties":{"formattedCitation":"(Miller and Shyy, 2017a)","plainCitation":"(Miller and Shyy, 2017a)","noteIndex":0},"citationItems":[{"id":90,"uris":["http://zotero.org/users/local/jMGZRail/items/ACIFWY7T"],"uri":["http://zotero.org/users/local/jMGZRail/items/ACIFWY7T"],"itemData":{"id":90,"type":"article-journal","abstract":"Oxidized low-density lipoprotein (OxLDL), which contains hundreds of different oxidized lipid molecules, is a hallmark of hyperlipidemia and atherosclerosis. The same oxidized lipids found in OxLDL are also formed in apoptotic cells, and are present in tissues as well as in the circulation under pathological conditions. In many disease contexts, oxidized lipids constitute damage signals, or patterns, that activate pattern-recognition receptors (PRRs) and significantly contribute to inflammation. Here, we review recent discoveries and emerging trends in the field of oxidized lipids and the regulation of inflammation, focusing on oxidation products of polyunsaturated fatty acids esterified into cholesteryl esters (CEs) and phospholipids (PLs). We also highlight context-dependent activation and biased agonism of Toll-like receptor-4 (TLR4) and the NLRP3 inflammasome, among other signaling pathways activated by oxidized lipids.","container-title":"Trends in Endocrinology &amp; Metabolism","DOI":"10.1016/j.tem.2016.11.002","ISSN":"1043-2760","issue":"2","journalAbbreviation":"Trends in Endocrinology &amp; Metabolism","language":"en","page":"143-152","source":"ScienceDirect","title":"Context-Dependent Role of Oxidized Lipids and Lipoproteins in Inflammation","volume":"28","author":[{"family":"Miller","given":"Yury I."},{"family":"Shyy","given":"John Y. -J."}],"issued":{"date-parts":[["2017",2,1]]}}}],"schema":"https://github.com/citation-style-language/schema/raw/master/csl-citation.json"} </w:instrText>
      </w:r>
      <w:r w:rsidR="003E69B5" w:rsidRPr="003C0E2F">
        <w:fldChar w:fldCharType="end"/>
      </w:r>
      <w:r w:rsidR="003E69B5" w:rsidRPr="003C0E2F">
        <w:t xml:space="preserve">. This suggests that the method by which </w:t>
      </w:r>
      <w:proofErr w:type="spellStart"/>
      <w:r w:rsidRPr="003C0E2F">
        <w:t>oxLDL</w:t>
      </w:r>
      <w:proofErr w:type="spellEnd"/>
      <w:r w:rsidR="003E69B5" w:rsidRPr="003C0E2F">
        <w:t xml:space="preserve"> is produced can have an impact on the final product and its receptor interactions.</w:t>
      </w:r>
    </w:p>
    <w:p w14:paraId="17F3FC1C" w14:textId="67AEEB5C" w:rsidR="008F6FB4" w:rsidRPr="003C0E2F" w:rsidRDefault="00B70A26" w:rsidP="008F6FB4">
      <w:r w:rsidRPr="003C0E2F">
        <w:t>Activation</w:t>
      </w:r>
      <w:r w:rsidR="00E474C1" w:rsidRPr="003C0E2F">
        <w:t xml:space="preserve"> of TLR4</w:t>
      </w:r>
      <w:r w:rsidR="00A9277D" w:rsidRPr="003C0E2F">
        <w:t>-</w:t>
      </w:r>
      <w:r w:rsidR="009E0322" w:rsidRPr="003C0E2F">
        <w:t>dependent</w:t>
      </w:r>
      <w:r w:rsidR="00E474C1" w:rsidRPr="003C0E2F">
        <w:t xml:space="preserve"> signalling by </w:t>
      </w:r>
      <w:proofErr w:type="spellStart"/>
      <w:r w:rsidR="001A2988" w:rsidRPr="003C0E2F">
        <w:t>oxLDL</w:t>
      </w:r>
      <w:proofErr w:type="spellEnd"/>
      <w:r w:rsidR="00E474C1" w:rsidRPr="003C0E2F">
        <w:t xml:space="preserve"> involves a cluster of receptors, including TLR4. Upregulation IL-6 and IL-1β following </w:t>
      </w:r>
      <w:proofErr w:type="spellStart"/>
      <w:r w:rsidR="001A2988" w:rsidRPr="003C0E2F">
        <w:t>oxLDL</w:t>
      </w:r>
      <w:proofErr w:type="spellEnd"/>
      <w:r w:rsidR="00E474C1" w:rsidRPr="003C0E2F">
        <w:t xml:space="preserve"> stimulation has been shown to be </w:t>
      </w:r>
      <w:r w:rsidR="009E0322" w:rsidRPr="003C0E2F">
        <w:t>dependent</w:t>
      </w:r>
      <w:r w:rsidR="00E474C1" w:rsidRPr="003C0E2F">
        <w:t xml:space="preserve"> on TLR4, but also TLR2 and CD36. Blocking of any of these receptors is associated with a partial reduction in cytokine production, although TLR2 is not seen as important in foam cell formation</w:t>
      </w:r>
      <w:sdt>
        <w:sdtPr>
          <w:tag w:val="MENDELEY_CITATION_v3_eyJjaXRhdGlvbklEIjoiTUVOREVMRVlfQ0lUQVRJT05fMWQwMTA4MGMtNzJmMC00YWQ4LWFlYjUtYmMzNDFhMWVmOTEy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V0sInByb3BlcnRpZXMiOnsibm90ZUluZGV4IjowfSwiaXNFZGl0ZWQiOmZhbHNlLCJtYW51YWxPdmVycmlkZSI6eyJpc01hbnVhbGx5T3ZlcnJpZGVuIjpmYWxzZSwiY2l0ZXByb2NUZXh0IjoiKENow6F2ZXotU8OhbmNoZXogPGk+ZXQgYWwuPC9pPiwgMjAxNCkiLCJtYW51YWxPdmVycmlkZVRleHQiOiIifX0="/>
          <w:id w:val="-1421413073"/>
          <w:placeholder>
            <w:docPart w:val="DefaultPlaceholder_-1854013440"/>
          </w:placeholder>
        </w:sdtPr>
        <w:sdtEndPr/>
        <w:sdtContent>
          <w:r w:rsidR="00F257B9">
            <w:rPr>
              <w:rFonts w:eastAsia="Times New Roman"/>
            </w:rPr>
            <w:t xml:space="preserve">(Chávez-Sánchez </w:t>
          </w:r>
          <w:r w:rsidR="00F257B9">
            <w:rPr>
              <w:rFonts w:eastAsia="Times New Roman"/>
              <w:i/>
              <w:iCs/>
            </w:rPr>
            <w:t>et al.</w:t>
          </w:r>
          <w:r w:rsidR="00F257B9">
            <w:rPr>
              <w:rFonts w:eastAsia="Times New Roman"/>
            </w:rPr>
            <w:t>, 2014)</w:t>
          </w:r>
        </w:sdtContent>
      </w:sdt>
      <w:r w:rsidR="00E474C1" w:rsidRPr="003C0E2F">
        <w:t xml:space="preserve">. CD36 and </w:t>
      </w:r>
      <w:proofErr w:type="spellStart"/>
      <w:r w:rsidR="001A2988" w:rsidRPr="003C0E2F">
        <w:t>oxLDL</w:t>
      </w:r>
      <w:proofErr w:type="spellEnd"/>
      <w:r w:rsidR="00E474C1" w:rsidRPr="003C0E2F">
        <w:t xml:space="preserve"> have been reported at higher levels among obese subjects which represent a </w:t>
      </w:r>
      <w:r w:rsidR="009345DA" w:rsidRPr="003C0E2F">
        <w:t>high-risk</w:t>
      </w:r>
      <w:r w:rsidR="00E474C1" w:rsidRPr="003C0E2F">
        <w:t xml:space="preserve"> factor for cardiovascular disease pathologies</w:t>
      </w:r>
      <w:sdt>
        <w:sdtPr>
          <w:tag w:val="MENDELEY_CITATION_v3_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"/>
          <w:id w:val="-473142478"/>
          <w:placeholder>
            <w:docPart w:val="DefaultPlaceholder_-1854013440"/>
          </w:placeholder>
        </w:sdtPr>
        <w:sdtEndPr/>
        <w:sdtContent>
          <w:r w:rsidR="00F257B9">
            <w:rPr>
              <w:rFonts w:eastAsia="Times New Roman"/>
            </w:rPr>
            <w:t xml:space="preserve">(Ramos-Arellano </w:t>
          </w:r>
          <w:r w:rsidR="00F257B9">
            <w:rPr>
              <w:rFonts w:eastAsia="Times New Roman"/>
              <w:i/>
              <w:iCs/>
            </w:rPr>
            <w:t>et al.</w:t>
          </w:r>
          <w:r w:rsidR="00F257B9">
            <w:rPr>
              <w:rFonts w:eastAsia="Times New Roman"/>
            </w:rPr>
            <w:t>, 2014)</w:t>
          </w:r>
        </w:sdtContent>
      </w:sdt>
      <w:r w:rsidR="00E474C1" w:rsidRPr="003C0E2F">
        <w:t>. CD36 is associated with TLR4/TLR6</w:t>
      </w:r>
      <w:r w:rsidR="00A9277D" w:rsidRPr="003C0E2F">
        <w:t>-</w:t>
      </w:r>
      <w:r w:rsidR="009E0322" w:rsidRPr="003C0E2F">
        <w:t>dependent</w:t>
      </w:r>
      <w:r w:rsidR="00E474C1" w:rsidRPr="003C0E2F">
        <w:t xml:space="preserve"> signalling induced by </w:t>
      </w:r>
      <w:proofErr w:type="spellStart"/>
      <w:r w:rsidR="001A2988" w:rsidRPr="003C0E2F">
        <w:t>oxLDL</w:t>
      </w:r>
      <w:proofErr w:type="spellEnd"/>
      <w:r w:rsidR="00E474C1" w:rsidRPr="003C0E2F">
        <w:t xml:space="preserve"> and is indispensable in activation of </w:t>
      </w:r>
      <w:proofErr w:type="spellStart"/>
      <w:r w:rsidR="001A2988" w:rsidRPr="003C0E2F">
        <w:t>oxLDL</w:t>
      </w:r>
      <w:proofErr w:type="spellEnd"/>
      <w:r w:rsidR="000A1BFB" w:rsidRPr="003C0E2F">
        <w:t xml:space="preserve"> induced</w:t>
      </w:r>
      <w:r w:rsidR="00E474C1" w:rsidRPr="003C0E2F">
        <w:t xml:space="preserve"> inflammation </w:t>
      </w:r>
      <w:bookmarkStart w:id="131" w:name="_Hlk82026363"/>
      <w:sdt>
        <w:sdtPr>
          <w:tag w:val="MENDELEY_CITATION_v3_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"/>
          <w:id w:val="-1144571872"/>
          <w:placeholder>
            <w:docPart w:val="DefaultPlaceholder_-1854013440"/>
          </w:placeholder>
        </w:sdtPr>
        <w:sdtEndPr/>
        <w:sdtContent>
          <w:r w:rsidR="00F257B9">
            <w:rPr>
              <w:rFonts w:eastAsia="Times New Roman"/>
            </w:rPr>
            <w:t xml:space="preserve">(Stewart </w:t>
          </w:r>
          <w:r w:rsidR="00F257B9">
            <w:rPr>
              <w:rFonts w:eastAsia="Times New Roman"/>
              <w:i/>
              <w:iCs/>
            </w:rPr>
            <w:t>et al.</w:t>
          </w:r>
          <w:r w:rsidR="00F257B9">
            <w:rPr>
              <w:rFonts w:eastAsia="Times New Roman"/>
            </w:rPr>
            <w:t>, 2010)</w:t>
          </w:r>
        </w:sdtContent>
      </w:sdt>
      <w:r w:rsidR="00E474C1" w:rsidRPr="003C0E2F">
        <w:t xml:space="preserve">. </w:t>
      </w:r>
      <w:bookmarkStart w:id="132" w:name="_Hlk82871228"/>
      <w:bookmarkEnd w:id="131"/>
      <w:r w:rsidR="008F6FB4" w:rsidRPr="003C0E2F">
        <w:t xml:space="preserve">Oxidised phospholipids are partially involved in CD36 binding and may form attachments to apoprotein </w:t>
      </w:r>
      <w:sdt>
        <w:sdtPr>
          <w:tag w:val="MENDELEY_CITATION_v3_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"/>
          <w:id w:val="-1703853883"/>
          <w:placeholder>
            <w:docPart w:val="16CDEC252D5F4276AADB1FAC8C913C8F"/>
          </w:placeholder>
        </w:sdtPr>
        <w:sdtEndPr/>
        <w:sdtContent>
          <w:r w:rsidR="00F257B9">
            <w:rPr>
              <w:rFonts w:eastAsia="Times New Roman"/>
            </w:rPr>
            <w:t>(</w:t>
          </w:r>
          <w:proofErr w:type="spellStart"/>
          <w:r w:rsidR="00F257B9">
            <w:rPr>
              <w:rFonts w:eastAsia="Times New Roman"/>
            </w:rPr>
            <w:t>Boullier</w:t>
          </w:r>
          <w:proofErr w:type="spellEnd"/>
          <w:r w:rsidR="00F257B9">
            <w:rPr>
              <w:rFonts w:eastAsia="Times New Roman"/>
            </w:rPr>
            <w:t xml:space="preserve"> </w:t>
          </w:r>
          <w:r w:rsidR="00F257B9">
            <w:rPr>
              <w:rFonts w:eastAsia="Times New Roman"/>
              <w:i/>
              <w:iCs/>
            </w:rPr>
            <w:t>et al.</w:t>
          </w:r>
          <w:r w:rsidR="00F257B9">
            <w:rPr>
              <w:rFonts w:eastAsia="Times New Roman"/>
            </w:rPr>
            <w:t>, 2000)</w:t>
          </w:r>
        </w:sdtContent>
      </w:sdt>
      <w:r w:rsidR="008F6FB4" w:rsidRPr="003C0E2F">
        <w:t xml:space="preserve">. More recently a carboxyl group present in 7-ketocholesteryl-9-carboxynonanoate has been shown to be critical for </w:t>
      </w:r>
      <w:proofErr w:type="spellStart"/>
      <w:r w:rsidR="008F6FB4" w:rsidRPr="003C0E2F">
        <w:t>oxLDL</w:t>
      </w:r>
      <w:proofErr w:type="spellEnd"/>
      <w:r w:rsidR="008F6FB4" w:rsidRPr="003C0E2F">
        <w:t xml:space="preserve"> binding to CD36 and activation of downstream signalling mediators </w:t>
      </w:r>
      <w:sdt>
        <w:sdtPr>
          <w:tag w:val="MENDELEY_CITATION_v3_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"/>
          <w:id w:val="-1067494405"/>
          <w:placeholder>
            <w:docPart w:val="16CDEC252D5F4276AADB1FAC8C913C8F"/>
          </w:placeholder>
        </w:sdtPr>
        <w:sdtEndPr/>
        <w:sdtContent>
          <w:r w:rsidR="00F257B9">
            <w:rPr>
              <w:rFonts w:eastAsia="Times New Roman"/>
            </w:rPr>
            <w:t xml:space="preserve">(Li </w:t>
          </w:r>
          <w:r w:rsidR="00F257B9">
            <w:rPr>
              <w:rFonts w:eastAsia="Times New Roman"/>
              <w:i/>
              <w:iCs/>
            </w:rPr>
            <w:t>et al.</w:t>
          </w:r>
          <w:r w:rsidR="00F257B9">
            <w:rPr>
              <w:rFonts w:eastAsia="Times New Roman"/>
            </w:rPr>
            <w:t>, 2017)</w:t>
          </w:r>
        </w:sdtContent>
      </w:sdt>
      <w:r w:rsidR="008F6FB4" w:rsidRPr="003C0E2F">
        <w:t>.</w:t>
      </w:r>
      <w:bookmarkEnd w:id="132"/>
    </w:p>
    <w:p w14:paraId="343E868E" w14:textId="2C1FA61E" w:rsidR="00E474C1" w:rsidRPr="003C0E2F" w:rsidRDefault="00E474C1" w:rsidP="00BE5236">
      <w:r w:rsidRPr="003C0E2F">
        <w:lastRenderedPageBreak/>
        <w:t xml:space="preserve">It has also been suggested that urokinase receptor may be involved in </w:t>
      </w:r>
      <w:proofErr w:type="spellStart"/>
      <w:r w:rsidR="001A2988" w:rsidRPr="003C0E2F">
        <w:t>oxLDL</w:t>
      </w:r>
      <w:proofErr w:type="spellEnd"/>
      <w:r w:rsidR="000A1BFB" w:rsidRPr="003C0E2F">
        <w:t xml:space="preserve"> induced</w:t>
      </w:r>
      <w:r w:rsidRPr="003C0E2F">
        <w:t xml:space="preserve"> production and can affect IL-6 and IL-8 production, as well as colony stimulating factors G-CSF (granulocyte colony stimulating factor) and GM-CSF (granulocyte-</w:t>
      </w:r>
      <w:r w:rsidR="008F561F" w:rsidRPr="003C0E2F">
        <w:t>macrophage</w:t>
      </w:r>
      <w:r w:rsidRPr="003C0E2F">
        <w:t xml:space="preserve"> colony stimulating factor) in vascular smooth muscle cells following </w:t>
      </w:r>
      <w:r w:rsidR="00CE4613" w:rsidRPr="003C0E2F">
        <w:t>activation</w:t>
      </w:r>
      <w:r w:rsidR="00B03737" w:rsidRPr="003C0E2F">
        <w:t xml:space="preserve"> </w:t>
      </w:r>
      <w:sdt>
        <w:sdtPr>
          <w:tag w:val="MENDELEY_CITATION_v3_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"/>
          <w:id w:val="-223452652"/>
          <w:placeholder>
            <w:docPart w:val="DefaultPlaceholder_-1854013440"/>
          </w:placeholder>
        </w:sdtPr>
        <w:sdtEndPr/>
        <w:sdtContent>
          <w:r w:rsidR="00F257B9">
            <w:rPr>
              <w:rFonts w:eastAsia="Times New Roman"/>
            </w:rPr>
            <w:t>(</w:t>
          </w:r>
          <w:proofErr w:type="spellStart"/>
          <w:r w:rsidR="00F257B9">
            <w:rPr>
              <w:rFonts w:eastAsia="Times New Roman"/>
            </w:rPr>
            <w:t>Kiyan</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r w:rsidRPr="003C0E2F">
        <w:t>.</w:t>
      </w:r>
      <w:r w:rsidR="003E69B5" w:rsidRPr="003C0E2F">
        <w:t xml:space="preserve"> </w:t>
      </w:r>
      <w:r w:rsidRPr="003C0E2F">
        <w:t xml:space="preserve"> As such, molecules only interacting with TLR4 </w:t>
      </w:r>
      <w:r w:rsidR="00CE4613" w:rsidRPr="003C0E2F">
        <w:t>could</w:t>
      </w:r>
      <w:r w:rsidRPr="003C0E2F">
        <w:t xml:space="preserve"> be less </w:t>
      </w:r>
      <w:r w:rsidR="008F561F" w:rsidRPr="003C0E2F">
        <w:t>effect</w:t>
      </w:r>
      <w:r w:rsidRPr="003C0E2F">
        <w:t xml:space="preserve">ive </w:t>
      </w:r>
      <w:r w:rsidR="00CE4613" w:rsidRPr="003C0E2F">
        <w:t>at preventing activation by</w:t>
      </w:r>
      <w:r w:rsidRPr="003C0E2F">
        <w:t xml:space="preserve"> sterile ligands</w:t>
      </w:r>
      <w:r w:rsidR="00CE4613" w:rsidRPr="003C0E2F">
        <w:t xml:space="preserve"> as compared to LPS</w:t>
      </w:r>
      <w:r w:rsidRPr="003C0E2F">
        <w:t>.</w:t>
      </w:r>
    </w:p>
    <w:p w14:paraId="0BE2551D" w14:textId="66057CD3" w:rsidR="003B7120" w:rsidRPr="003C0E2F" w:rsidRDefault="003B7120" w:rsidP="00E83F28">
      <w:r w:rsidRPr="003C0E2F">
        <w:br w:type="page"/>
      </w:r>
    </w:p>
    <w:p w14:paraId="4F479136" w14:textId="32ADF599" w:rsidR="00F64F9A" w:rsidRPr="003C0E2F" w:rsidRDefault="00F64F9A" w:rsidP="00D55B0E">
      <w:pPr>
        <w:pStyle w:val="Heading3"/>
      </w:pPr>
      <w:bookmarkStart w:id="133" w:name="_Toc80013732"/>
      <w:bookmarkStart w:id="134" w:name="_Toc82882352"/>
      <w:r w:rsidRPr="003C0E2F">
        <w:lastRenderedPageBreak/>
        <w:t xml:space="preserve">Pharmacological </w:t>
      </w:r>
      <w:r w:rsidR="0006649C" w:rsidRPr="003C0E2F">
        <w:t>treatment of cardiovascular diseases</w:t>
      </w:r>
      <w:bookmarkEnd w:id="133"/>
      <w:bookmarkEnd w:id="134"/>
    </w:p>
    <w:p w14:paraId="761051D0" w14:textId="731DB051" w:rsidR="00C47D55" w:rsidRPr="003C0E2F" w:rsidRDefault="00C47D55" w:rsidP="00C47D55">
      <w:r w:rsidRPr="003C0E2F">
        <w:t xml:space="preserve">The typical method of intervention for cardiovascular disease in </w:t>
      </w:r>
      <w:r w:rsidR="00E16D03" w:rsidRPr="003C0E2F">
        <w:t>high-risk</w:t>
      </w:r>
      <w:r w:rsidRPr="003C0E2F">
        <w:t xml:space="preserve"> groups is the use of statins. These help to manage the risk factors such as inflammation, thrombogenicity reduction, and improved endothelial function (</w:t>
      </w:r>
      <w:proofErr w:type="spellStart"/>
      <w:sdt>
        <w:sdtPr>
          <w:rPr>
            <w:color w:val="000000"/>
          </w:rPr>
          <w:tag w:val="MENDELEY_CITATION_v3_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"/>
          <w:id w:val="-328059567"/>
          <w:placeholder>
            <w:docPart w:val="DefaultPlaceholder_-1854013440"/>
          </w:placeholder>
        </w:sdtPr>
        <w:sdtEndPr/>
        <w:sdtContent>
          <w:r w:rsidR="00F257B9" w:rsidRPr="00F257B9">
            <w:rPr>
              <w:color w:val="000000"/>
            </w:rPr>
            <w:t>Riccioni</w:t>
          </w:r>
          <w:proofErr w:type="spellEnd"/>
          <w:r w:rsidR="00F257B9" w:rsidRPr="00F257B9">
            <w:rPr>
              <w:color w:val="000000"/>
            </w:rPr>
            <w:t xml:space="preserve"> and </w:t>
          </w:r>
          <w:proofErr w:type="spellStart"/>
          <w:r w:rsidR="00F257B9" w:rsidRPr="00F257B9">
            <w:rPr>
              <w:color w:val="000000"/>
            </w:rPr>
            <w:t>Sblendorio</w:t>
          </w:r>
          <w:proofErr w:type="spellEnd"/>
          <w:r w:rsidR="00F257B9" w:rsidRPr="00F257B9">
            <w:rPr>
              <w:color w:val="000000"/>
            </w:rPr>
            <w:t>, 2012</w:t>
          </w:r>
        </w:sdtContent>
      </w:sdt>
      <w:r w:rsidRPr="003C0E2F">
        <w:t>). Statins</w:t>
      </w:r>
      <w:r w:rsidR="00DF6BF6" w:rsidRPr="003C0E2F">
        <w:t xml:space="preserve"> can</w:t>
      </w:r>
      <w:r w:rsidRPr="003C0E2F">
        <w:t xml:space="preserve"> indirectly affect TLR4 through </w:t>
      </w:r>
      <w:r w:rsidR="00A611C5" w:rsidRPr="003C0E2F">
        <w:t xml:space="preserve">disruptive </w:t>
      </w:r>
      <w:r w:rsidRPr="003C0E2F">
        <w:t>lipid raft modifications</w:t>
      </w:r>
      <w:r w:rsidR="00A611C5" w:rsidRPr="003C0E2F">
        <w:t xml:space="preserve"> </w:t>
      </w:r>
      <w:sdt>
        <w:sdtPr>
          <w:tag w:val="MENDELEY_CITATION_v3_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"/>
          <w:id w:val="-2042268993"/>
          <w:placeholder>
            <w:docPart w:val="DefaultPlaceholder_-1854013440"/>
          </w:placeholder>
        </w:sdtPr>
        <w:sdtEndPr/>
        <w:sdtContent>
          <w:r w:rsidR="00F257B9">
            <w:rPr>
              <w:rFonts w:eastAsia="Times New Roman"/>
            </w:rPr>
            <w:t>(</w:t>
          </w:r>
          <w:proofErr w:type="spellStart"/>
          <w:r w:rsidR="00F257B9">
            <w:rPr>
              <w:rFonts w:eastAsia="Times New Roman"/>
            </w:rPr>
            <w:t>Chansrichavala</w:t>
          </w:r>
          <w:proofErr w:type="spellEnd"/>
          <w:r w:rsidR="00F257B9">
            <w:rPr>
              <w:rFonts w:eastAsia="Times New Roman"/>
            </w:rPr>
            <w:t xml:space="preserve"> </w:t>
          </w:r>
          <w:r w:rsidR="00F257B9">
            <w:rPr>
              <w:rFonts w:eastAsia="Times New Roman"/>
              <w:i/>
              <w:iCs/>
            </w:rPr>
            <w:t>et al.</w:t>
          </w:r>
          <w:r w:rsidR="00F257B9">
            <w:rPr>
              <w:rFonts w:eastAsia="Times New Roman"/>
            </w:rPr>
            <w:t>, 2010)</w:t>
          </w:r>
        </w:sdtContent>
      </w:sdt>
      <w:r w:rsidRPr="003C0E2F">
        <w:t xml:space="preserve">. These modifications to the lipid raft may also affect </w:t>
      </w:r>
      <w:proofErr w:type="gramStart"/>
      <w:r w:rsidRPr="003C0E2F">
        <w:t>a number of</w:t>
      </w:r>
      <w:proofErr w:type="gramEnd"/>
      <w:r w:rsidRPr="003C0E2F">
        <w:t xml:space="preserve"> other receptors which are shuttled to this region of the cell membrane following activation. Statin therapy is widely considered safe and </w:t>
      </w:r>
      <w:r w:rsidR="008F561F" w:rsidRPr="003C0E2F">
        <w:t>effect</w:t>
      </w:r>
      <w:r w:rsidRPr="003C0E2F">
        <w:t xml:space="preserve">ive form of management. These can be used in combination with other strategies such as anticoagulants and ACE inhibitors which are more </w:t>
      </w:r>
      <w:r w:rsidR="008F561F" w:rsidRPr="003C0E2F">
        <w:t>effect</w:t>
      </w:r>
      <w:r w:rsidRPr="003C0E2F">
        <w:t xml:space="preserve">ive in reducing mortality in synergy with one another </w:t>
      </w:r>
      <w:sdt>
        <w:sdtPr>
          <w:tag w:val="MENDELEY_CITATION_v3_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"/>
          <w:id w:val="-1508207912"/>
          <w:placeholder>
            <w:docPart w:val="DefaultPlaceholder_-1854013440"/>
          </w:placeholder>
        </w:sdtPr>
        <w:sdtEndPr/>
        <w:sdtContent>
          <w:r w:rsidR="00F257B9">
            <w:rPr>
              <w:rFonts w:eastAsia="Times New Roman"/>
            </w:rPr>
            <w:t>(</w:t>
          </w:r>
          <w:proofErr w:type="spellStart"/>
          <w:r w:rsidR="00F257B9">
            <w:rPr>
              <w:rFonts w:eastAsia="Times New Roman"/>
            </w:rPr>
            <w:t>Kashani</w:t>
          </w:r>
          <w:proofErr w:type="spellEnd"/>
          <w:r w:rsidR="00F257B9">
            <w:rPr>
              <w:rFonts w:eastAsia="Times New Roman"/>
            </w:rPr>
            <w:t xml:space="preserve"> </w:t>
          </w:r>
          <w:r w:rsidR="00F257B9">
            <w:rPr>
              <w:rFonts w:eastAsia="Times New Roman"/>
              <w:i/>
              <w:iCs/>
            </w:rPr>
            <w:t>et al.</w:t>
          </w:r>
          <w:r w:rsidR="00F257B9">
            <w:rPr>
              <w:rFonts w:eastAsia="Times New Roman"/>
            </w:rPr>
            <w:t>, 2006)</w:t>
          </w:r>
        </w:sdtContent>
      </w:sdt>
      <w:r w:rsidRPr="003C0E2F">
        <w:t>.</w:t>
      </w:r>
    </w:p>
    <w:p w14:paraId="6B1F837C" w14:textId="7F3BF300" w:rsidR="00C47D55" w:rsidRPr="003C0E2F" w:rsidRDefault="00C47D55" w:rsidP="00C47D55">
      <w:r w:rsidRPr="003C0E2F">
        <w:t xml:space="preserve">HDL has the potential to de-oxidise LDL, becoming oxidised itself. </w:t>
      </w:r>
      <w:bookmarkStart w:id="135" w:name="_Hlk82382505"/>
      <w:r w:rsidR="009D23B4" w:rsidRPr="003C0E2F">
        <w:t xml:space="preserve">Higher hydrophilic attraction of HDL may spontaneously transfer </w:t>
      </w:r>
      <w:proofErr w:type="spellStart"/>
      <w:r w:rsidR="009D23B4" w:rsidRPr="003C0E2F">
        <w:t>oxPC</w:t>
      </w:r>
      <w:proofErr w:type="spellEnd"/>
      <w:r w:rsidR="009D23B4" w:rsidRPr="003C0E2F">
        <w:t xml:space="preserve"> and oxidised cholesterol from the </w:t>
      </w:r>
      <w:r w:rsidR="003578E6" w:rsidRPr="003C0E2F">
        <w:t xml:space="preserve">surface of LDL </w:t>
      </w:r>
      <w:sdt>
        <w:sdtPr>
          <w:tag w:val="MENDELEY_CITATION_v3_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"/>
          <w:id w:val="1598447778"/>
          <w:placeholder>
            <w:docPart w:val="DefaultPlaceholder_-1854013440"/>
          </w:placeholder>
        </w:sdtPr>
        <w:sdtEndPr/>
        <w:sdtContent>
          <w:r w:rsidR="00F257B9">
            <w:rPr>
              <w:rFonts w:eastAsia="Times New Roman"/>
            </w:rPr>
            <w:t xml:space="preserve">(Parthasarathy, Barnett and Fong, 1990; </w:t>
          </w:r>
          <w:proofErr w:type="spellStart"/>
          <w:r w:rsidR="00F257B9">
            <w:rPr>
              <w:rFonts w:eastAsia="Times New Roman"/>
            </w:rPr>
            <w:t>Rasmiena</w:t>
          </w:r>
          <w:proofErr w:type="spellEnd"/>
          <w:r w:rsidR="00F257B9">
            <w:rPr>
              <w:rFonts w:eastAsia="Times New Roman"/>
            </w:rPr>
            <w:t xml:space="preserve"> </w:t>
          </w:r>
          <w:r w:rsidR="00F257B9">
            <w:rPr>
              <w:rFonts w:eastAsia="Times New Roman"/>
              <w:i/>
              <w:iCs/>
            </w:rPr>
            <w:t>et al.</w:t>
          </w:r>
          <w:r w:rsidR="00F257B9">
            <w:rPr>
              <w:rFonts w:eastAsia="Times New Roman"/>
            </w:rPr>
            <w:t>, 2016)</w:t>
          </w:r>
        </w:sdtContent>
      </w:sdt>
      <w:r w:rsidR="009D23B4" w:rsidRPr="003C0E2F">
        <w:t xml:space="preserve">. </w:t>
      </w:r>
      <w:bookmarkEnd w:id="135"/>
      <w:r w:rsidRPr="003C0E2F">
        <w:t xml:space="preserve">This oxidation can be removed from </w:t>
      </w:r>
      <w:r w:rsidR="00E66F5C" w:rsidRPr="003C0E2F">
        <w:t>ox</w:t>
      </w:r>
      <w:r w:rsidR="00DF6BF6" w:rsidRPr="003C0E2F">
        <w:t xml:space="preserve">idised </w:t>
      </w:r>
      <w:r w:rsidRPr="003C0E2F">
        <w:t xml:space="preserve">HDL in the liver, but not from </w:t>
      </w:r>
      <w:proofErr w:type="spellStart"/>
      <w:proofErr w:type="gramStart"/>
      <w:r w:rsidR="001A2988" w:rsidRPr="003C0E2F">
        <w:t>oxLDL</w:t>
      </w:r>
      <w:proofErr w:type="spellEnd"/>
      <w:r w:rsidR="009D23B4" w:rsidRPr="003C0E2F">
        <w:t xml:space="preserve"> </w:t>
      </w:r>
      <w:r w:rsidRPr="003C0E2F">
        <w:t>.</w:t>
      </w:r>
      <w:proofErr w:type="gramEnd"/>
      <w:r w:rsidRPr="003C0E2F">
        <w:t xml:space="preserve"> Thus, HDL plays an important role in the clearance of lipid peroxides</w:t>
      </w:r>
      <w:r w:rsidR="00A611C5" w:rsidRPr="003C0E2F">
        <w:t xml:space="preserve"> </w:t>
      </w:r>
      <w:sdt>
        <w:sdtPr>
          <w:tag w:val="MENDELEY_CITATION_v3_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"/>
          <w:id w:val="-12685877"/>
          <w:placeholder>
            <w:docPart w:val="DefaultPlaceholder_-1854013440"/>
          </w:placeholder>
        </w:sdtPr>
        <w:sdtEndPr/>
        <w:sdtContent>
          <w:r w:rsidR="00F257B9">
            <w:rPr>
              <w:rFonts w:eastAsia="Times New Roman"/>
            </w:rPr>
            <w:t>(</w:t>
          </w:r>
          <w:proofErr w:type="spellStart"/>
          <w:r w:rsidR="00F257B9">
            <w:rPr>
              <w:rFonts w:eastAsia="Times New Roman"/>
            </w:rPr>
            <w:t>Linna</w:t>
          </w:r>
          <w:proofErr w:type="spellEnd"/>
          <w:r w:rsidR="00F257B9">
            <w:rPr>
              <w:rFonts w:eastAsia="Times New Roman"/>
            </w:rPr>
            <w:t xml:space="preserve"> </w:t>
          </w:r>
          <w:r w:rsidR="00F257B9">
            <w:rPr>
              <w:rFonts w:eastAsia="Times New Roman"/>
              <w:i/>
              <w:iCs/>
            </w:rPr>
            <w:t>et al.</w:t>
          </w:r>
          <w:r w:rsidR="00F257B9">
            <w:rPr>
              <w:rFonts w:eastAsia="Times New Roman"/>
            </w:rPr>
            <w:t>, 2013)</w:t>
          </w:r>
        </w:sdtContent>
      </w:sdt>
      <w:r w:rsidRPr="003C0E2F">
        <w:t xml:space="preserve">. Due to the role of </w:t>
      </w:r>
      <w:proofErr w:type="spellStart"/>
      <w:r w:rsidR="001A2988" w:rsidRPr="003C0E2F">
        <w:t>oxLDL</w:t>
      </w:r>
      <w:proofErr w:type="spellEnd"/>
      <w:r w:rsidRPr="003C0E2F">
        <w:t xml:space="preserve"> in atherosclerosis, HDL levels have been of interest as a means of intervention. However, treatment strategies that artificially increase HDL have </w:t>
      </w:r>
      <w:r w:rsidR="00EE1DDF" w:rsidRPr="003C0E2F">
        <w:t xml:space="preserve">been somewhat </w:t>
      </w:r>
      <w:r w:rsidR="00DF6BF6" w:rsidRPr="003C0E2F">
        <w:t>in</w:t>
      </w:r>
      <w:r w:rsidR="008F561F" w:rsidRPr="003C0E2F">
        <w:t>effect</w:t>
      </w:r>
      <w:r w:rsidR="00DF6BF6" w:rsidRPr="003C0E2F">
        <w:t>ual</w:t>
      </w:r>
      <w:r w:rsidR="00EE1DDF" w:rsidRPr="003C0E2F">
        <w:t xml:space="preserve"> </w:t>
      </w:r>
      <w:sdt>
        <w:sdtPr>
          <w:tag w:val="MENDELEY_CITATION_v3_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"/>
          <w:id w:val="898627297"/>
          <w:placeholder>
            <w:docPart w:val="DefaultPlaceholder_-1854013440"/>
          </w:placeholder>
        </w:sdtPr>
        <w:sdtEndPr/>
        <w:sdtContent>
          <w:r w:rsidR="00F257B9">
            <w:rPr>
              <w:rFonts w:eastAsia="Times New Roman"/>
            </w:rPr>
            <w:t>(</w:t>
          </w:r>
          <w:proofErr w:type="spellStart"/>
          <w:r w:rsidR="00F257B9">
            <w:rPr>
              <w:rFonts w:eastAsia="Times New Roman"/>
            </w:rPr>
            <w:t>Linna</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2013; </w:t>
          </w:r>
          <w:proofErr w:type="spellStart"/>
          <w:r w:rsidR="00F257B9">
            <w:rPr>
              <w:rFonts w:eastAsia="Times New Roman"/>
            </w:rPr>
            <w:t>Kingwell</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r w:rsidRPr="003C0E2F">
        <w:t>.</w:t>
      </w:r>
    </w:p>
    <w:p w14:paraId="33040DAE" w14:textId="1E3B69A3" w:rsidR="00C47D55" w:rsidRPr="003C0E2F" w:rsidRDefault="00C47D55" w:rsidP="00C47D55">
      <w:r w:rsidRPr="003C0E2F">
        <w:t>Cytokines play a part in development of atherosclerosis and cardiovascular disease. As such, therapies targeting cytokines and their associated receptors have been investigated in the past.  Recently an IL-1β targeting antibody, Canakinumab, was shown to reduce rates of cardiovascular events in patients when associated with reduced IL-6 levels following treatment</w:t>
      </w:r>
      <w:r w:rsidR="00EE1DDF" w:rsidRPr="003C0E2F">
        <w:t xml:space="preserve"> </w:t>
      </w:r>
      <w:sdt>
        <w:sdtPr>
          <w:tag w:val="MENDELEY_CITATION_v3_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"/>
          <w:id w:val="1070625913"/>
          <w:placeholder>
            <w:docPart w:val="DefaultPlaceholder_-1854013440"/>
          </w:placeholder>
        </w:sdtPr>
        <w:sdtEndPr/>
        <w:sdtContent>
          <w:r w:rsidR="00F257B9">
            <w:rPr>
              <w:rFonts w:eastAsia="Times New Roman"/>
            </w:rPr>
            <w:t>(</w:t>
          </w:r>
          <w:proofErr w:type="spellStart"/>
          <w:r w:rsidR="00F257B9">
            <w:rPr>
              <w:rFonts w:eastAsia="Times New Roman"/>
            </w:rPr>
            <w:t>Ridker</w:t>
          </w:r>
          <w:proofErr w:type="spellEnd"/>
          <w:r w:rsidR="00F257B9">
            <w:rPr>
              <w:rFonts w:eastAsia="Times New Roman"/>
            </w:rPr>
            <w:t xml:space="preserve"> </w:t>
          </w:r>
          <w:r w:rsidR="00F257B9">
            <w:rPr>
              <w:rFonts w:eastAsia="Times New Roman"/>
              <w:i/>
              <w:iCs/>
            </w:rPr>
            <w:t>et al.</w:t>
          </w:r>
          <w:r w:rsidR="00F257B9">
            <w:rPr>
              <w:rFonts w:eastAsia="Times New Roman"/>
            </w:rPr>
            <w:t>, 2018)</w:t>
          </w:r>
        </w:sdtContent>
      </w:sdt>
      <w:r w:rsidRPr="003C0E2F">
        <w:t xml:space="preserve">. However, one potential issue with cytokine targeted therapies is that the function of many cytokines may overlap and therefore target one may not result in an overall improvement. </w:t>
      </w:r>
    </w:p>
    <w:p w14:paraId="3D8D99C3" w14:textId="0DE19F5C" w:rsidR="00C47D55" w:rsidRPr="003C0E2F" w:rsidRDefault="00C47D55" w:rsidP="00C47D55">
      <w:r w:rsidRPr="003C0E2F">
        <w:t xml:space="preserve">A complication that can arise in some cases of cardiovascular disease is abdominal aneurysm formation. Atherosclerosis has been linked to aneurysm formation as luminal narrowing may result </w:t>
      </w:r>
      <w:r w:rsidRPr="003C0E2F">
        <w:lastRenderedPageBreak/>
        <w:t xml:space="preserve">in a compensatory </w:t>
      </w:r>
      <w:r w:rsidR="008F561F" w:rsidRPr="003C0E2F">
        <w:t>effect</w:t>
      </w:r>
      <w:r w:rsidRPr="003C0E2F">
        <w:t xml:space="preserve"> whereby the blood vessel widens to prevent blockage </w:t>
      </w:r>
      <w:sdt>
        <w:sdtPr>
          <w:rPr>
            <w:color w:val="000000"/>
          </w:rPr>
          <w:tag w:val="MENDELEY_CITATION_v3_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"/>
          <w:id w:val="-1580674020"/>
          <w:placeholder>
            <w:docPart w:val="DefaultPlaceholder_-1854013440"/>
          </w:placeholder>
        </w:sdtPr>
        <w:sdtEndPr/>
        <w:sdtContent>
          <w:r w:rsidR="00F257B9" w:rsidRPr="00F257B9">
            <w:rPr>
              <w:color w:val="000000"/>
            </w:rPr>
            <w:t>(</w:t>
          </w:r>
          <w:proofErr w:type="spellStart"/>
          <w:r w:rsidR="00F257B9" w:rsidRPr="00F257B9">
            <w:rPr>
              <w:color w:val="000000"/>
            </w:rPr>
            <w:t>Sakalihasan</w:t>
          </w:r>
          <w:proofErr w:type="spellEnd"/>
          <w:r w:rsidR="00F257B9" w:rsidRPr="00F257B9">
            <w:rPr>
              <w:color w:val="000000"/>
            </w:rPr>
            <w:t xml:space="preserve">, </w:t>
          </w:r>
          <w:proofErr w:type="spellStart"/>
          <w:r w:rsidR="00F257B9" w:rsidRPr="00F257B9">
            <w:rPr>
              <w:color w:val="000000"/>
            </w:rPr>
            <w:t>Limet</w:t>
          </w:r>
          <w:proofErr w:type="spellEnd"/>
          <w:r w:rsidR="00F257B9" w:rsidRPr="00F257B9">
            <w:rPr>
              <w:color w:val="000000"/>
            </w:rPr>
            <w:t xml:space="preserve"> and </w:t>
          </w:r>
          <w:proofErr w:type="spellStart"/>
          <w:r w:rsidR="00F257B9" w:rsidRPr="00F257B9">
            <w:rPr>
              <w:color w:val="000000"/>
            </w:rPr>
            <w:t>Defawe</w:t>
          </w:r>
          <w:proofErr w:type="spellEnd"/>
          <w:r w:rsidR="00F257B9" w:rsidRPr="00F257B9">
            <w:rPr>
              <w:color w:val="000000"/>
            </w:rPr>
            <w:t>, 2005)</w:t>
          </w:r>
        </w:sdtContent>
      </w:sdt>
      <w:r w:rsidRPr="003C0E2F">
        <w:t xml:space="preserve">. Levels of TIMP-2 and PAI-1 have been linked to formation of aneurisms, or alternative </w:t>
      </w:r>
      <w:proofErr w:type="spellStart"/>
      <w:r w:rsidRPr="003C0E2F">
        <w:t>athero</w:t>
      </w:r>
      <w:proofErr w:type="spellEnd"/>
      <w:r w:rsidRPr="003C0E2F">
        <w:t>-occlusive disease whereby remodelling does not occur and luminal narrowing reduces blood flow</w:t>
      </w:r>
      <w:r w:rsidR="00E27239" w:rsidRPr="003C0E2F">
        <w:t xml:space="preserve"> </w:t>
      </w:r>
      <w:sdt>
        <w:sdtPr>
          <w:tag w:val="MENDELEY_CITATION_v3_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"/>
          <w:id w:val="-934737964"/>
          <w:placeholder>
            <w:docPart w:val="DefaultPlaceholder_-1854013440"/>
          </w:placeholder>
        </w:sdtPr>
        <w:sdtEndPr/>
        <w:sdtContent>
          <w:r w:rsidR="00F257B9">
            <w:rPr>
              <w:rFonts w:eastAsia="Times New Roman"/>
            </w:rPr>
            <w:t>(</w:t>
          </w:r>
          <w:proofErr w:type="spellStart"/>
          <w:r w:rsidR="00F257B9">
            <w:rPr>
              <w:rFonts w:eastAsia="Times New Roman"/>
            </w:rPr>
            <w:t>Defawe</w:t>
          </w:r>
          <w:proofErr w:type="spellEnd"/>
          <w:r w:rsidR="00F257B9">
            <w:rPr>
              <w:rFonts w:eastAsia="Times New Roman"/>
            </w:rPr>
            <w:t xml:space="preserve"> </w:t>
          </w:r>
          <w:r w:rsidR="00F257B9">
            <w:rPr>
              <w:rFonts w:eastAsia="Times New Roman"/>
              <w:i/>
              <w:iCs/>
            </w:rPr>
            <w:t>et al.</w:t>
          </w:r>
          <w:r w:rsidR="00F257B9">
            <w:rPr>
              <w:rFonts w:eastAsia="Times New Roman"/>
            </w:rPr>
            <w:t>, 2003)</w:t>
          </w:r>
        </w:sdtContent>
      </w:sdt>
      <w:r w:rsidRPr="003C0E2F">
        <w:t xml:space="preserve">. While luminal widening may improve blood flow, there is a risk of rupture of the associated with this countermeasure. Current treatment for aneurysms requires surgical intervention by means of a high-risk procedure. In the case of rupture, there is a very small timeframe within which surgical intervention may be successful. Screening methods allow for early detection in </w:t>
      </w:r>
      <w:r w:rsidR="00E16D03" w:rsidRPr="003C0E2F">
        <w:t>high-risk</w:t>
      </w:r>
      <w:r w:rsidRPr="003C0E2F">
        <w:t xml:space="preserve"> individuals. However, many asymptomatic cases go undiagnosed (Kent et al., 2010). This can pose a serious risk to health and survival.</w:t>
      </w:r>
    </w:p>
    <w:p w14:paraId="7E617B9C" w14:textId="59A3E2F0" w:rsidR="0093072B" w:rsidRPr="003C0E2F" w:rsidRDefault="00C47D55" w:rsidP="00C47D55">
      <w:pPr>
        <w:rPr>
          <w:b/>
          <w:bCs/>
        </w:rPr>
      </w:pPr>
      <w:r w:rsidRPr="003C0E2F">
        <w:t xml:space="preserve">MMPs are responsible for breaking down collagen and elastin and are associated with plaque destabilisation and arterial remodelling. MMP9 has been seen at elevated levels in aneurisms. This involvement of MMPs has made them of interest in the control of aneurism formation </w:t>
      </w:r>
      <w:proofErr w:type="gramStart"/>
      <w:r w:rsidRPr="003C0E2F">
        <w:t>through the use of</w:t>
      </w:r>
      <w:proofErr w:type="gramEnd"/>
      <w:r w:rsidRPr="003C0E2F">
        <w:t xml:space="preserve"> protease inhibitors</w:t>
      </w:r>
      <w:r w:rsidR="00E27239" w:rsidRPr="003C0E2F">
        <w:t xml:space="preserve"> </w:t>
      </w:r>
      <w:sdt>
        <w:sdtPr>
          <w:tag w:val="MENDELEY_CITATION_v3_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"/>
          <w:id w:val="-1502112107"/>
          <w:placeholder>
            <w:docPart w:val="DefaultPlaceholder_-1854013440"/>
          </w:placeholder>
        </w:sdtPr>
        <w:sdtEndPr/>
        <w:sdtContent>
          <w:r w:rsidR="00F257B9">
            <w:rPr>
              <w:rFonts w:eastAsia="Times New Roman"/>
            </w:rPr>
            <w:t>(</w:t>
          </w:r>
          <w:proofErr w:type="spellStart"/>
          <w:r w:rsidR="00F257B9">
            <w:rPr>
              <w:rFonts w:eastAsia="Times New Roman"/>
            </w:rPr>
            <w:t>Defawe</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2003; </w:t>
          </w:r>
          <w:proofErr w:type="spellStart"/>
          <w:r w:rsidR="00F257B9">
            <w:rPr>
              <w:rFonts w:eastAsia="Times New Roman"/>
            </w:rPr>
            <w:t>Sakalihasan</w:t>
          </w:r>
          <w:proofErr w:type="spellEnd"/>
          <w:r w:rsidR="00F257B9">
            <w:rPr>
              <w:rFonts w:eastAsia="Times New Roman"/>
            </w:rPr>
            <w:t xml:space="preserve">, </w:t>
          </w:r>
          <w:proofErr w:type="spellStart"/>
          <w:r w:rsidR="00F257B9">
            <w:rPr>
              <w:rFonts w:eastAsia="Times New Roman"/>
            </w:rPr>
            <w:t>Limet</w:t>
          </w:r>
          <w:proofErr w:type="spellEnd"/>
          <w:r w:rsidR="00F257B9">
            <w:rPr>
              <w:rFonts w:eastAsia="Times New Roman"/>
            </w:rPr>
            <w:t xml:space="preserve"> and </w:t>
          </w:r>
          <w:proofErr w:type="spellStart"/>
          <w:r w:rsidR="00F257B9">
            <w:rPr>
              <w:rFonts w:eastAsia="Times New Roman"/>
            </w:rPr>
            <w:t>Defawe</w:t>
          </w:r>
          <w:proofErr w:type="spellEnd"/>
          <w:r w:rsidR="00F257B9">
            <w:rPr>
              <w:rFonts w:eastAsia="Times New Roman"/>
            </w:rPr>
            <w:t>, 2005)</w:t>
          </w:r>
        </w:sdtContent>
      </w:sdt>
      <w:r w:rsidRPr="003C0E2F">
        <w:t xml:space="preserve">. </w:t>
      </w:r>
      <w:r w:rsidR="008612D0" w:rsidRPr="003C0E2F">
        <w:t>Doxycycline</w:t>
      </w:r>
      <w:r w:rsidRPr="003C0E2F">
        <w:t xml:space="preserve"> has shown positive </w:t>
      </w:r>
      <w:r w:rsidR="008F561F" w:rsidRPr="003C0E2F">
        <w:t>effect</w:t>
      </w:r>
      <w:r w:rsidRPr="003C0E2F">
        <w:t xml:space="preserve">s in reducing MMP9 and subsequently reducing the formation of aneurisms, though does not appear to have a broader </w:t>
      </w:r>
      <w:r w:rsidR="008F561F" w:rsidRPr="003C0E2F">
        <w:t>effect</w:t>
      </w:r>
      <w:r w:rsidRPr="003C0E2F">
        <w:t xml:space="preserve"> on </w:t>
      </w:r>
      <w:proofErr w:type="gramStart"/>
      <w:r w:rsidRPr="003C0E2F">
        <w:t>atherosclerosis as a whole</w:t>
      </w:r>
      <w:proofErr w:type="gramEnd"/>
      <w:r w:rsidRPr="003C0E2F">
        <w:t xml:space="preserve"> (</w:t>
      </w:r>
      <w:sdt>
        <w:sdtPr>
          <w:rPr>
            <w:color w:val="000000"/>
          </w:rPr>
          <w:tag w:val="MENDELEY_CITATION_v3_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"/>
          <w:id w:val="536088676"/>
          <w:placeholder>
            <w:docPart w:val="DefaultPlaceholder_-1854013440"/>
          </w:placeholder>
        </w:sdtPr>
        <w:sdtEndPr/>
        <w:sdtContent>
          <w:r w:rsidR="00F257B9" w:rsidRPr="00F257B9">
            <w:rPr>
              <w:color w:val="000000"/>
            </w:rPr>
            <w:t>Manning, Cassis and Daugherty, 2003</w:t>
          </w:r>
        </w:sdtContent>
      </w:sdt>
      <w:r w:rsidRPr="003C0E2F">
        <w:t>). TLR4 is overexpressed in human aneurismal aortas and TRIF knockout animals show protection from aneurism formation</w:t>
      </w:r>
      <w:r w:rsidR="00E27239" w:rsidRPr="003C0E2F">
        <w:t xml:space="preserve"> </w:t>
      </w:r>
      <w:sdt>
        <w:sdtPr>
          <w:tag w:val="MENDELEY_CITATION_v3_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"/>
          <w:id w:val="-1633473213"/>
          <w:placeholder>
            <w:docPart w:val="DefaultPlaceholder_-1854013440"/>
          </w:placeholder>
        </w:sdtPr>
        <w:sdtEndPr/>
        <w:sdtContent>
          <w:r w:rsidR="00F257B9">
            <w:rPr>
              <w:rFonts w:eastAsia="Times New Roman"/>
            </w:rPr>
            <w:t>(</w:t>
          </w:r>
          <w:proofErr w:type="spellStart"/>
          <w:r w:rsidR="00F257B9">
            <w:rPr>
              <w:rFonts w:eastAsia="Times New Roman"/>
            </w:rPr>
            <w:t>Vorkapic</w:t>
          </w:r>
          <w:proofErr w:type="spellEnd"/>
          <w:r w:rsidR="00F257B9">
            <w:rPr>
              <w:rFonts w:eastAsia="Times New Roman"/>
            </w:rPr>
            <w:t xml:space="preserve"> </w:t>
          </w:r>
          <w:r w:rsidR="00F257B9">
            <w:rPr>
              <w:rFonts w:eastAsia="Times New Roman"/>
              <w:i/>
              <w:iCs/>
            </w:rPr>
            <w:t>et al.</w:t>
          </w:r>
          <w:r w:rsidR="00F257B9">
            <w:rPr>
              <w:rFonts w:eastAsia="Times New Roman"/>
            </w:rPr>
            <w:t>, 2015)</w:t>
          </w:r>
        </w:sdtContent>
      </w:sdt>
      <w:r w:rsidRPr="003C0E2F">
        <w:t xml:space="preserve">. Thus, TLR4 and specifically </w:t>
      </w:r>
      <w:r w:rsidR="00A9277D" w:rsidRPr="003C0E2F">
        <w:t>TRIF-</w:t>
      </w:r>
      <w:r w:rsidR="009E0322" w:rsidRPr="003C0E2F">
        <w:t>dependent</w:t>
      </w:r>
      <w:r w:rsidRPr="003C0E2F">
        <w:t xml:space="preserve"> signalling may be important targets for risk reduction.</w:t>
      </w:r>
      <w:r w:rsidR="003B7120" w:rsidRPr="003C0E2F">
        <w:br w:type="page"/>
      </w:r>
    </w:p>
    <w:p w14:paraId="079A9CD0" w14:textId="1409C930" w:rsidR="00F64F9A" w:rsidRPr="003C0E2F" w:rsidRDefault="00F64F9A" w:rsidP="00D55B0E">
      <w:pPr>
        <w:pStyle w:val="Heading3"/>
      </w:pPr>
      <w:bookmarkStart w:id="136" w:name="_Toc80013733"/>
      <w:bookmarkStart w:id="137" w:name="_Toc82882353"/>
      <w:r w:rsidRPr="003C0E2F">
        <w:lastRenderedPageBreak/>
        <w:t xml:space="preserve">Modulation of </w:t>
      </w:r>
      <w:r w:rsidR="00DF6BF6" w:rsidRPr="003C0E2F">
        <w:t>TLR</w:t>
      </w:r>
      <w:r w:rsidRPr="003C0E2F">
        <w:t xml:space="preserve">4 </w:t>
      </w:r>
      <w:r w:rsidR="000A1BFB" w:rsidRPr="003C0E2F">
        <w:t>s</w:t>
      </w:r>
      <w:r w:rsidRPr="003C0E2F">
        <w:t xml:space="preserve">ignalling as a </w:t>
      </w:r>
      <w:r w:rsidR="0016097E" w:rsidRPr="003C0E2F">
        <w:t>s</w:t>
      </w:r>
      <w:r w:rsidRPr="003C0E2F">
        <w:t xml:space="preserve">trategy of </w:t>
      </w:r>
      <w:r w:rsidR="0016097E" w:rsidRPr="003C0E2F">
        <w:t>p</w:t>
      </w:r>
      <w:r w:rsidRPr="003C0E2F">
        <w:t xml:space="preserve">harmacological </w:t>
      </w:r>
      <w:r w:rsidR="0016097E" w:rsidRPr="003C0E2F">
        <w:t>i</w:t>
      </w:r>
      <w:r w:rsidRPr="003C0E2F">
        <w:t xml:space="preserve">ntervention </w:t>
      </w:r>
      <w:r w:rsidR="0006649C" w:rsidRPr="003C0E2F">
        <w:t>of</w:t>
      </w:r>
      <w:r w:rsidRPr="003C0E2F">
        <w:t xml:space="preserve"> </w:t>
      </w:r>
      <w:r w:rsidR="00943686" w:rsidRPr="003C0E2F">
        <w:t>c</w:t>
      </w:r>
      <w:r w:rsidR="0006649C" w:rsidRPr="003C0E2F">
        <w:t>ardio</w:t>
      </w:r>
      <w:r w:rsidR="00A81D9E" w:rsidRPr="003C0E2F">
        <w:t>v</w:t>
      </w:r>
      <w:r w:rsidRPr="003C0E2F">
        <w:t xml:space="preserve">ascular </w:t>
      </w:r>
      <w:r w:rsidR="00943686" w:rsidRPr="003C0E2F">
        <w:t>d</w:t>
      </w:r>
      <w:r w:rsidRPr="003C0E2F">
        <w:t>isease</w:t>
      </w:r>
      <w:r w:rsidR="00A81D9E" w:rsidRPr="003C0E2F">
        <w:t>s</w:t>
      </w:r>
      <w:bookmarkEnd w:id="136"/>
      <w:bookmarkEnd w:id="137"/>
      <w:r w:rsidRPr="003C0E2F">
        <w:tab/>
      </w:r>
    </w:p>
    <w:p w14:paraId="40162FB1" w14:textId="630B5613" w:rsidR="00C47D55" w:rsidRPr="003C0E2F" w:rsidRDefault="00C47D55" w:rsidP="00C47D55">
      <w:r w:rsidRPr="003C0E2F">
        <w:t xml:space="preserve">TLR4 is known to play an important part in the progression of atherosclerotic disease. This has been demonstrated in TLR4 deficient mice, which are shown to be protected from development of experimentally induced atherosclerosis </w:t>
      </w:r>
      <w:sdt>
        <w:sdtPr>
          <w:tag w:val="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"/>
          <w:id w:val="-410382689"/>
          <w:placeholder>
            <w:docPart w:val="DefaultPlaceholder_-1854013440"/>
          </w:placeholder>
        </w:sdtPr>
        <w:sdtEndPr/>
        <w:sdtContent>
          <w:r w:rsidR="00F257B9">
            <w:rPr>
              <w:rFonts w:eastAsia="Times New Roman"/>
            </w:rPr>
            <w:t xml:space="preserve">(Michelsen </w:t>
          </w:r>
          <w:r w:rsidR="00F257B9">
            <w:rPr>
              <w:rFonts w:eastAsia="Times New Roman"/>
              <w:i/>
              <w:iCs/>
            </w:rPr>
            <w:t>et al.</w:t>
          </w:r>
          <w:r w:rsidR="00F257B9">
            <w:rPr>
              <w:rFonts w:eastAsia="Times New Roman"/>
            </w:rPr>
            <w:t xml:space="preserve">, 2004; Owens </w:t>
          </w:r>
          <w:r w:rsidR="00F257B9">
            <w:rPr>
              <w:rFonts w:eastAsia="Times New Roman"/>
              <w:i/>
              <w:iCs/>
            </w:rPr>
            <w:t>et al.</w:t>
          </w:r>
          <w:r w:rsidR="00F257B9">
            <w:rPr>
              <w:rFonts w:eastAsia="Times New Roman"/>
            </w:rPr>
            <w:t>, 2011)</w:t>
          </w:r>
        </w:sdtContent>
      </w:sdt>
      <w:r w:rsidRPr="003C0E2F">
        <w:t xml:space="preserve">. TLR4 </w:t>
      </w:r>
      <w:r w:rsidR="00545150" w:rsidRPr="003C0E2F">
        <w:t>is known to be involved</w:t>
      </w:r>
      <w:r w:rsidRPr="003C0E2F">
        <w:t xml:space="preserve"> in the sustained inflammatory response </w:t>
      </w:r>
      <w:r w:rsidR="00545150" w:rsidRPr="003C0E2F">
        <w:t xml:space="preserve">as </w:t>
      </w:r>
      <w:r w:rsidRPr="003C0E2F">
        <w:t xml:space="preserve">seen in atherosclerotic plaques. </w:t>
      </w:r>
      <w:r w:rsidR="009E42FE" w:rsidRPr="003C0E2F">
        <w:t>IP10</w:t>
      </w:r>
      <w:r w:rsidRPr="003C0E2F">
        <w:t xml:space="preserve">, IL-6 and IL-8 have been linked to the proliferation and migration of SMCs into atherosclerotic lesions </w:t>
      </w:r>
      <w:sdt>
        <w:sdtPr>
          <w:tag w:val="MENDELEY_CITATION_v3_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"/>
          <w:id w:val="1092901295"/>
          <w:placeholder>
            <w:docPart w:val="DefaultPlaceholder_-1854013440"/>
          </w:placeholder>
        </w:sdtPr>
        <w:sdtEndPr/>
        <w:sdtContent>
          <w:r w:rsidR="00F257B9">
            <w:rPr>
              <w:rFonts w:eastAsia="Times New Roman"/>
            </w:rPr>
            <w:t>(</w:t>
          </w:r>
          <w:proofErr w:type="spellStart"/>
          <w:r w:rsidR="00F257B9">
            <w:rPr>
              <w:rFonts w:eastAsia="Times New Roman"/>
            </w:rPr>
            <w:t>Vink</w:t>
          </w:r>
          <w:proofErr w:type="spellEnd"/>
          <w:r w:rsidR="00F257B9">
            <w:rPr>
              <w:rFonts w:eastAsia="Times New Roman"/>
            </w:rPr>
            <w:t xml:space="preserve"> </w:t>
          </w:r>
          <w:r w:rsidR="00F257B9">
            <w:rPr>
              <w:rFonts w:eastAsia="Times New Roman"/>
              <w:i/>
              <w:iCs/>
            </w:rPr>
            <w:t>et al.</w:t>
          </w:r>
          <w:r w:rsidR="00F257B9">
            <w:rPr>
              <w:rFonts w:eastAsia="Times New Roman"/>
            </w:rPr>
            <w:t>, 2002)</w:t>
          </w:r>
        </w:sdtContent>
      </w:sdt>
      <w:r w:rsidRPr="003C0E2F">
        <w:t xml:space="preserve"> and chemoattractant molecules such as MCP-1 and MIP-1 and RANTES which facilitate </w:t>
      </w:r>
      <w:r w:rsidR="008F561F" w:rsidRPr="003C0E2F">
        <w:t>macrophage</w:t>
      </w:r>
      <w:r w:rsidRPr="003C0E2F">
        <w:t xml:space="preserve"> infiltration may be induced through TLR4 </w:t>
      </w:r>
      <w:sdt>
        <w:sdtPr>
          <w:tag w:val="MENDELEY_CITATION_v3_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"/>
          <w:id w:val="646404043"/>
          <w:placeholder>
            <w:docPart w:val="DefaultPlaceholder_-1854013440"/>
          </w:placeholder>
        </w:sdtPr>
        <w:sdtEndPr/>
        <w:sdtContent>
          <w:r w:rsidR="00F257B9">
            <w:rPr>
              <w:rFonts w:eastAsia="Times New Roman"/>
            </w:rPr>
            <w:t>(</w:t>
          </w:r>
          <w:proofErr w:type="spellStart"/>
          <w:r w:rsidR="00F257B9">
            <w:rPr>
              <w:rFonts w:eastAsia="Times New Roman"/>
            </w:rPr>
            <w:t>Vink</w:t>
          </w:r>
          <w:proofErr w:type="spellEnd"/>
          <w:r w:rsidR="00F257B9">
            <w:rPr>
              <w:rFonts w:eastAsia="Times New Roman"/>
            </w:rPr>
            <w:t xml:space="preserve"> </w:t>
          </w:r>
          <w:r w:rsidR="00F257B9">
            <w:rPr>
              <w:rFonts w:eastAsia="Times New Roman"/>
              <w:i/>
              <w:iCs/>
            </w:rPr>
            <w:t>et al.</w:t>
          </w:r>
          <w:r w:rsidR="00F257B9">
            <w:rPr>
              <w:rFonts w:eastAsia="Times New Roman"/>
            </w:rPr>
            <w:t>, 2002)</w:t>
          </w:r>
        </w:sdtContent>
      </w:sdt>
      <w:r w:rsidRPr="003C0E2F">
        <w:t xml:space="preserve">. There is also evidence to suggest TLR4 plays an important part in foam cell formation </w:t>
      </w:r>
      <w:sdt>
        <w:sdtPr>
          <w:rPr>
            <w:color w:val="000000"/>
          </w:rPr>
          <w:tag w:val="MENDELEY_CITATION_v3_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"/>
          <w:id w:val="21596050"/>
          <w:placeholder>
            <w:docPart w:val="DefaultPlaceholder_-1854013440"/>
          </w:placeholder>
        </w:sdtPr>
        <w:sdtEndPr/>
        <w:sdtContent>
          <w:r w:rsidR="00F257B9" w:rsidRPr="00F257B9">
            <w:rPr>
              <w:color w:val="000000"/>
            </w:rPr>
            <w:t>(Hansson and Libby, 2006)</w:t>
          </w:r>
        </w:sdtContent>
      </w:sdt>
      <w:r w:rsidRPr="003C0E2F">
        <w:t>. Therefore, Modulators of TLR4 activity may provide new avenues of treatment for inflammatory based cardiovascular diseases.</w:t>
      </w:r>
    </w:p>
    <w:p w14:paraId="1250EE2D" w14:textId="74C616DD" w:rsidR="00C47D55" w:rsidRPr="003C0E2F" w:rsidRDefault="00C47D55" w:rsidP="00C47D55">
      <w:r w:rsidRPr="003C0E2F">
        <w:t xml:space="preserve">Several strategies exist that have been tested </w:t>
      </w:r>
      <w:proofErr w:type="gramStart"/>
      <w:r w:rsidRPr="003C0E2F">
        <w:t>as a means to</w:t>
      </w:r>
      <w:proofErr w:type="gramEnd"/>
      <w:r w:rsidRPr="003C0E2F">
        <w:t xml:space="preserve"> prevent TLR4 activation in response to LPS. Pharmacological intervention has involved the targeting of various parts of the activation process. These may attempt to sequester LPS, to inhibit delivery molecules such as LBP and CD14, to prevent binding to MD-2/TLR4, or to interact with TLR4 directly </w:t>
      </w:r>
      <w:sdt>
        <w:sdtPr>
          <w:rPr>
            <w:color w:val="000000"/>
          </w:rPr>
          <w:tag w:val="MENDELEY_CITATION_v3_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"/>
          <w:id w:val="-2140948376"/>
          <w:placeholder>
            <w:docPart w:val="DefaultPlaceholder_-1854013440"/>
          </w:placeholder>
        </w:sdtPr>
        <w:sdtEndPr/>
        <w:sdtContent>
          <w:r w:rsidR="00F257B9" w:rsidRPr="00F257B9">
            <w:rPr>
              <w:color w:val="000000"/>
            </w:rPr>
            <w:t>(Peri and Piazza, 2012)</w:t>
          </w:r>
        </w:sdtContent>
      </w:sdt>
      <w:r w:rsidRPr="003C0E2F">
        <w:t xml:space="preserve">. </w:t>
      </w:r>
      <w:r w:rsidR="009E2FB3" w:rsidRPr="003C0E2F">
        <w:t xml:space="preserve">A good recent example is the CANTOS trial, which showed that limiting the bioavailability of IL-1β (produced mainly via TLR4 pathways) reduced clinical cardiovascular events by 15% in a trial with over 10000 patients who had recently had a heart attack </w:t>
      </w:r>
      <w:sdt>
        <w:sdtPr>
          <w:tag w:val="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"/>
          <w:id w:val="1163655551"/>
          <w:placeholder>
            <w:docPart w:val="9B864765E96C49319D847FFA4169CCA1"/>
          </w:placeholder>
        </w:sdtPr>
        <w:sdtEndPr/>
        <w:sdtContent>
          <w:r w:rsidR="00F257B9">
            <w:rPr>
              <w:rFonts w:eastAsia="Times New Roman"/>
            </w:rPr>
            <w:t>(</w:t>
          </w:r>
          <w:proofErr w:type="spellStart"/>
          <w:r w:rsidR="00F257B9">
            <w:rPr>
              <w:rFonts w:eastAsia="Times New Roman"/>
            </w:rPr>
            <w:t>Ridker</w:t>
          </w:r>
          <w:proofErr w:type="spellEnd"/>
          <w:r w:rsidR="00F257B9">
            <w:rPr>
              <w:rFonts w:eastAsia="Times New Roman"/>
            </w:rPr>
            <w:t xml:space="preserve"> </w:t>
          </w:r>
          <w:r w:rsidR="00F257B9">
            <w:rPr>
              <w:rFonts w:eastAsia="Times New Roman"/>
              <w:i/>
              <w:iCs/>
            </w:rPr>
            <w:t>et al.</w:t>
          </w:r>
          <w:r w:rsidR="00F257B9">
            <w:rPr>
              <w:rFonts w:eastAsia="Times New Roman"/>
            </w:rPr>
            <w:t>, 2017)</w:t>
          </w:r>
        </w:sdtContent>
      </w:sdt>
      <w:r w:rsidR="009E2FB3" w:rsidRPr="003C0E2F">
        <w:t xml:space="preserve">. </w:t>
      </w:r>
      <w:r w:rsidR="0009439B" w:rsidRPr="003C0E2F">
        <w:t>The findings of this report strongly support the use of TLR4 regulation as a potential therapeutic target for control or management of aneurism and atherosclerosis.</w:t>
      </w:r>
    </w:p>
    <w:p w14:paraId="369F6A3B" w14:textId="106EF886" w:rsidR="00C47D55" w:rsidRPr="003C0E2F" w:rsidRDefault="00C47D55" w:rsidP="00CD33F9">
      <w:r w:rsidRPr="003C0E2F">
        <w:t>Several compounds have been found to negatively regulate TLR4</w:t>
      </w:r>
      <w:r w:rsidR="00A9277D" w:rsidRPr="003C0E2F">
        <w:t>-</w:t>
      </w:r>
      <w:r w:rsidR="009E0322" w:rsidRPr="003C0E2F">
        <w:t>dependent</w:t>
      </w:r>
      <w:r w:rsidRPr="003C0E2F">
        <w:t xml:space="preserve"> inflammation following </w:t>
      </w:r>
      <w:proofErr w:type="spellStart"/>
      <w:r w:rsidR="001A2988" w:rsidRPr="003C0E2F">
        <w:t>oxLDL</w:t>
      </w:r>
      <w:proofErr w:type="spellEnd"/>
      <w:r w:rsidRPr="003C0E2F">
        <w:t xml:space="preserve"> stimulation. </w:t>
      </w:r>
      <w:bookmarkStart w:id="138" w:name="_Hlk82420883"/>
      <w:r w:rsidRPr="003C0E2F">
        <w:t xml:space="preserve">Lycopene (Figure </w:t>
      </w:r>
      <w:r w:rsidR="00562939" w:rsidRPr="003C0E2F">
        <w:t>7 A</w:t>
      </w:r>
      <w:r w:rsidRPr="003C0E2F">
        <w:t>) has recently been shown to reduce oxysterol</w:t>
      </w:r>
      <w:r w:rsidR="000A1BFB" w:rsidRPr="003C0E2F">
        <w:t xml:space="preserve"> induced</w:t>
      </w:r>
      <w:r w:rsidRPr="003C0E2F">
        <w:t xml:space="preserve"> cytokine production in THP-1 </w:t>
      </w:r>
      <w:r w:rsidR="008F561F" w:rsidRPr="003C0E2F">
        <w:t>macrophage</w:t>
      </w:r>
      <w:r w:rsidRPr="003C0E2F">
        <w:t>s via inhibition of TLR4</w:t>
      </w:r>
      <w:r w:rsidR="00A9277D" w:rsidRPr="003C0E2F">
        <w:t>-</w:t>
      </w:r>
      <w:r w:rsidR="009E0322" w:rsidRPr="003C0E2F">
        <w:t>dependent</w:t>
      </w:r>
      <w:r w:rsidRPr="003C0E2F">
        <w:t xml:space="preserve"> </w:t>
      </w:r>
      <w:r w:rsidR="001A0D81" w:rsidRPr="003C0E2F">
        <w:t>NF-</w:t>
      </w:r>
      <w:proofErr w:type="spellStart"/>
      <w:r w:rsidR="001A0D81" w:rsidRPr="003C0E2F">
        <w:t>κB</w:t>
      </w:r>
      <w:proofErr w:type="spellEnd"/>
      <w:r w:rsidRPr="003C0E2F">
        <w:t xml:space="preserve"> and MAPKs</w:t>
      </w:r>
      <w:r w:rsidR="009873F0" w:rsidRPr="003C0E2F">
        <w:t xml:space="preserve">, possibly through disrupting receptor complex formation </w:t>
      </w:r>
      <w:proofErr w:type="gramStart"/>
      <w:r w:rsidR="00E912A5" w:rsidRPr="003C0E2F">
        <w:t>as a result of</w:t>
      </w:r>
      <w:proofErr w:type="gramEnd"/>
      <w:r w:rsidR="00F96D24" w:rsidRPr="003C0E2F">
        <w:t xml:space="preserve"> lipophilic</w:t>
      </w:r>
      <w:r w:rsidR="009873F0" w:rsidRPr="003C0E2F">
        <w:t xml:space="preserve"> interacti</w:t>
      </w:r>
      <w:r w:rsidR="00F96D24" w:rsidRPr="003C0E2F">
        <w:t>on</w:t>
      </w:r>
      <w:r w:rsidR="009873F0" w:rsidRPr="003C0E2F">
        <w:t xml:space="preserve"> with cell </w:t>
      </w:r>
      <w:r w:rsidR="009873F0" w:rsidRPr="003C0E2F">
        <w:lastRenderedPageBreak/>
        <w:t>membranes rather than direct</w:t>
      </w:r>
      <w:r w:rsidR="00E912A5" w:rsidRPr="003C0E2F">
        <w:t>ly</w:t>
      </w:r>
      <w:r w:rsidR="009873F0" w:rsidRPr="003C0E2F">
        <w:t xml:space="preserve"> binding to TLR4/MD-2</w:t>
      </w:r>
      <w:r w:rsidRPr="003C0E2F">
        <w:t xml:space="preserve"> </w:t>
      </w:r>
      <w:sdt>
        <w:sdtPr>
          <w:tag w:val="MENDELEY_CITATION_v3_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"/>
          <w:id w:val="1748758607"/>
          <w:placeholder>
            <w:docPart w:val="DefaultPlaceholder_-1854013440"/>
          </w:placeholder>
        </w:sdtPr>
        <w:sdtEndPr/>
        <w:sdtContent>
          <w:r w:rsidR="00F257B9">
            <w:rPr>
              <w:rFonts w:eastAsia="Times New Roman"/>
            </w:rPr>
            <w:t>(</w:t>
          </w:r>
          <w:proofErr w:type="spellStart"/>
          <w:r w:rsidR="00F257B9">
            <w:rPr>
              <w:rFonts w:eastAsia="Times New Roman"/>
            </w:rPr>
            <w:t>Palozza</w:t>
          </w:r>
          <w:proofErr w:type="spellEnd"/>
          <w:r w:rsidR="00F257B9">
            <w:rPr>
              <w:rFonts w:eastAsia="Times New Roman"/>
            </w:rPr>
            <w:t xml:space="preserve"> </w:t>
          </w:r>
          <w:r w:rsidR="00F257B9">
            <w:rPr>
              <w:rFonts w:eastAsia="Times New Roman"/>
              <w:i/>
              <w:iCs/>
            </w:rPr>
            <w:t>et al.</w:t>
          </w:r>
          <w:r w:rsidR="00F257B9">
            <w:rPr>
              <w:rFonts w:eastAsia="Times New Roman"/>
            </w:rPr>
            <w:t>, 2011)</w:t>
          </w:r>
        </w:sdtContent>
      </w:sdt>
      <w:r w:rsidRPr="003C0E2F">
        <w:t xml:space="preserve">. Similarly, </w:t>
      </w:r>
      <w:proofErr w:type="spellStart"/>
      <w:r w:rsidRPr="003C0E2F">
        <w:t>Puerarin</w:t>
      </w:r>
      <w:proofErr w:type="spellEnd"/>
      <w:r w:rsidRPr="003C0E2F">
        <w:t xml:space="preserve"> (Figure </w:t>
      </w:r>
      <w:r w:rsidR="00562939" w:rsidRPr="003C0E2F">
        <w:t xml:space="preserve">7 </w:t>
      </w:r>
      <w:r w:rsidR="00D87DF9" w:rsidRPr="003C0E2F">
        <w:t>B</w:t>
      </w:r>
      <w:r w:rsidRPr="003C0E2F">
        <w:t xml:space="preserve">), a plant derived isoflavone, has been shown to decrease the </w:t>
      </w:r>
      <w:proofErr w:type="spellStart"/>
      <w:r w:rsidR="001A2988" w:rsidRPr="003C0E2F">
        <w:t>oxLDL</w:t>
      </w:r>
      <w:proofErr w:type="spellEnd"/>
      <w:r w:rsidR="000A1BFB" w:rsidRPr="003C0E2F">
        <w:t xml:space="preserve"> induced</w:t>
      </w:r>
      <w:r w:rsidRPr="003C0E2F">
        <w:t xml:space="preserve"> proinflammatory response in </w:t>
      </w:r>
      <w:r w:rsidR="008F561F" w:rsidRPr="003C0E2F">
        <w:t>macrophage</w:t>
      </w:r>
      <w:r w:rsidRPr="003C0E2F">
        <w:t>s via a TLR4/</w:t>
      </w:r>
      <w:r w:rsidR="001A0D81" w:rsidRPr="003C0E2F">
        <w:t>NF-</w:t>
      </w:r>
      <w:proofErr w:type="spellStart"/>
      <w:r w:rsidR="001A0D81" w:rsidRPr="003C0E2F">
        <w:t>κB</w:t>
      </w:r>
      <w:proofErr w:type="spellEnd"/>
      <w:r w:rsidRPr="003C0E2F">
        <w:t xml:space="preserve"> and downregulate CD36 </w:t>
      </w:r>
      <w:sdt>
        <w:sdtPr>
          <w:tag w:val="MENDELEY_CITATION_v3_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"/>
          <w:id w:val="-1293745588"/>
          <w:placeholder>
            <w:docPart w:val="DefaultPlaceholder_-1854013440"/>
          </w:placeholder>
        </w:sdtPr>
        <w:sdtEndPr/>
        <w:sdtContent>
          <w:r w:rsidR="00F257B9">
            <w:rPr>
              <w:rFonts w:eastAsia="Times New Roman"/>
            </w:rPr>
            <w:t xml:space="preserve">(Zhang </w:t>
          </w:r>
          <w:r w:rsidR="00F257B9">
            <w:rPr>
              <w:rFonts w:eastAsia="Times New Roman"/>
              <w:i/>
              <w:iCs/>
            </w:rPr>
            <w:t>et al.</w:t>
          </w:r>
          <w:r w:rsidR="00F257B9">
            <w:rPr>
              <w:rFonts w:eastAsia="Times New Roman"/>
            </w:rPr>
            <w:t>, 2015)</w:t>
          </w:r>
        </w:sdtContent>
      </w:sdt>
      <w:r w:rsidRPr="003C0E2F">
        <w:t>.</w:t>
      </w:r>
      <w:r w:rsidR="009873F0" w:rsidRPr="003C0E2F">
        <w:t xml:space="preserve"> However, the exact means by which these molecules affect </w:t>
      </w:r>
      <w:proofErr w:type="spellStart"/>
      <w:r w:rsidR="009873F0" w:rsidRPr="003C0E2F">
        <w:t>oxLDL</w:t>
      </w:r>
      <w:proofErr w:type="spellEnd"/>
      <w:r w:rsidR="009873F0" w:rsidRPr="003C0E2F">
        <w:t xml:space="preserve"> induced TLR4 signalling remains to be elucidated.</w:t>
      </w:r>
      <w:r w:rsidRPr="003C0E2F">
        <w:t xml:space="preserve"> </w:t>
      </w:r>
      <w:bookmarkEnd w:id="138"/>
      <w:r w:rsidRPr="003C0E2F">
        <w:t xml:space="preserve">The results suggest that TLR4 modulators may be </w:t>
      </w:r>
      <w:r w:rsidR="008F561F" w:rsidRPr="003C0E2F">
        <w:t>effect</w:t>
      </w:r>
      <w:r w:rsidRPr="003C0E2F">
        <w:t xml:space="preserve">ive in reducing </w:t>
      </w:r>
      <w:proofErr w:type="spellStart"/>
      <w:r w:rsidR="001A2988" w:rsidRPr="003C0E2F">
        <w:t>oxLDL</w:t>
      </w:r>
      <w:proofErr w:type="spellEnd"/>
      <w:r w:rsidR="000A1BFB" w:rsidRPr="003C0E2F">
        <w:t xml:space="preserve"> induced</w:t>
      </w:r>
      <w:r w:rsidRPr="003C0E2F">
        <w:t xml:space="preserve"> signalling.</w:t>
      </w:r>
    </w:p>
    <w:p w14:paraId="792D089F" w14:textId="138EBFE8" w:rsidR="00C47D55" w:rsidRPr="003C0E2F" w:rsidRDefault="005C2A95" w:rsidP="00CD33F9">
      <w:pPr>
        <w:rPr>
          <w:b/>
          <w:bCs/>
        </w:rPr>
      </w:pPr>
      <w:r w:rsidRPr="003C0E2F">
        <w:rPr>
          <w:b/>
          <w:bCs/>
          <w:noProof/>
        </w:rPr>
        <w:drawing>
          <wp:inline distT="0" distB="0" distL="0" distR="0" wp14:anchorId="6664DD74" wp14:editId="610AF37A">
            <wp:extent cx="5234505" cy="4546121"/>
            <wp:effectExtent l="0" t="0" r="4445" b="6985"/>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5242196" cy="4552801"/>
                    </a:xfrm>
                    <a:prstGeom prst="rect">
                      <a:avLst/>
                    </a:prstGeom>
                  </pic:spPr>
                </pic:pic>
              </a:graphicData>
            </a:graphic>
          </wp:inline>
        </w:drawing>
      </w:r>
    </w:p>
    <w:p w14:paraId="1B6BDB7E" w14:textId="111D318C" w:rsidR="00CD33F9" w:rsidRPr="003C0E2F" w:rsidRDefault="00763D37" w:rsidP="00FB2FD3">
      <w:pPr>
        <w:pStyle w:val="NoSpacing"/>
      </w:pPr>
      <w:bookmarkStart w:id="139" w:name="_Toc48514819"/>
      <w:bookmarkStart w:id="140" w:name="_Toc55583728"/>
      <w:bookmarkStart w:id="141" w:name="_Toc55584905"/>
      <w:bookmarkStart w:id="142" w:name="_Toc60584021"/>
      <w:bookmarkStart w:id="143" w:name="_Toc60638141"/>
      <w:bookmarkStart w:id="144" w:name="_Toc60638859"/>
      <w:bookmarkStart w:id="145" w:name="_Toc63111993"/>
      <w:bookmarkStart w:id="146" w:name="_Toc63112210"/>
      <w:bookmarkStart w:id="147" w:name="_Toc63270350"/>
      <w:bookmarkStart w:id="148" w:name="_Toc64533217"/>
      <w:bookmarkStart w:id="149" w:name="_Toc64551764"/>
      <w:bookmarkStart w:id="150" w:name="_Toc80013809"/>
      <w:bookmarkStart w:id="151" w:name="_Toc82882948"/>
      <w:r w:rsidRPr="003C0E2F">
        <w:t>Figure</w:t>
      </w:r>
      <w:r w:rsidR="005877DF" w:rsidRPr="003C0E2F">
        <w:t xml:space="preserve"> </w:t>
      </w:r>
      <w:r w:rsidR="00862981">
        <w:fldChar w:fldCharType="begin"/>
      </w:r>
      <w:r w:rsidR="00862981">
        <w:instrText xml:space="preserve"> SEQ Figure \* ARABIC </w:instrText>
      </w:r>
      <w:r w:rsidR="00862981">
        <w:fldChar w:fldCharType="separate"/>
      </w:r>
      <w:r w:rsidR="000F2276">
        <w:rPr>
          <w:noProof/>
        </w:rPr>
        <w:t>7</w:t>
      </w:r>
      <w:r w:rsidR="00862981">
        <w:rPr>
          <w:noProof/>
        </w:rPr>
        <w:fldChar w:fldCharType="end"/>
      </w:r>
      <w:r w:rsidR="005877DF" w:rsidRPr="003C0E2F">
        <w:t xml:space="preserve">. Structure two proposed modulators of </w:t>
      </w:r>
      <w:proofErr w:type="spellStart"/>
      <w:r w:rsidR="001A2988" w:rsidRPr="003C0E2F">
        <w:t>oxLDL</w:t>
      </w:r>
      <w:proofErr w:type="spellEnd"/>
      <w:r w:rsidR="005877DF" w:rsidRPr="003C0E2F">
        <w:t xml:space="preserve"> associated activation of proinflammatory signalling.  A = Lycopene, B= </w:t>
      </w:r>
      <w:proofErr w:type="spellStart"/>
      <w:r w:rsidR="005877DF" w:rsidRPr="003C0E2F">
        <w:t>Puerarin</w:t>
      </w:r>
      <w:bookmarkEnd w:id="139"/>
      <w:bookmarkEnd w:id="140"/>
      <w:bookmarkEnd w:id="141"/>
      <w:bookmarkEnd w:id="142"/>
      <w:bookmarkEnd w:id="143"/>
      <w:bookmarkEnd w:id="144"/>
      <w:proofErr w:type="spellEnd"/>
      <w:r w:rsidR="005877DF" w:rsidRPr="003C0E2F">
        <w:t xml:space="preserve"> </w:t>
      </w:r>
      <w:sdt>
        <w:sdtPr>
          <w:tag w:val="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"/>
          <w:id w:val="-1420249729"/>
          <w:placeholder>
            <w:docPart w:val="DefaultPlaceholder_-1854013440"/>
          </w:placeholder>
        </w:sdtPr>
        <w:sdtEndPr/>
        <w:sdtContent>
          <w:r w:rsidR="00F257B9">
            <w:rPr>
              <w:rFonts w:eastAsia="Times New Roman"/>
            </w:rPr>
            <w:t>(</w:t>
          </w:r>
          <w:proofErr w:type="spellStart"/>
          <w:r w:rsidR="00F257B9">
            <w:rPr>
              <w:rFonts w:eastAsia="Times New Roman"/>
            </w:rPr>
            <w:t>Palozza</w:t>
          </w:r>
          <w:proofErr w:type="spellEnd"/>
          <w:r w:rsidR="00F257B9">
            <w:rPr>
              <w:rFonts w:eastAsia="Times New Roman"/>
            </w:rPr>
            <w:t xml:space="preserve"> </w:t>
          </w:r>
          <w:r w:rsidR="00F257B9">
            <w:rPr>
              <w:rFonts w:eastAsia="Times New Roman"/>
              <w:i w:val="0"/>
              <w:iCs/>
            </w:rPr>
            <w:t>et al.</w:t>
          </w:r>
          <w:r w:rsidR="00F257B9">
            <w:rPr>
              <w:rFonts w:eastAsia="Times New Roman"/>
            </w:rPr>
            <w:t xml:space="preserve">, 2011; Zhang </w:t>
          </w:r>
          <w:r w:rsidR="00F257B9">
            <w:rPr>
              <w:rFonts w:eastAsia="Times New Roman"/>
              <w:i w:val="0"/>
              <w:iCs/>
            </w:rPr>
            <w:t>et al.</w:t>
          </w:r>
          <w:r w:rsidR="00F257B9">
            <w:rPr>
              <w:rFonts w:eastAsia="Times New Roman"/>
            </w:rPr>
            <w:t>, 2015)</w:t>
          </w:r>
        </w:sdtContent>
      </w:sdt>
      <w:bookmarkEnd w:id="145"/>
      <w:bookmarkEnd w:id="146"/>
      <w:bookmarkEnd w:id="147"/>
      <w:bookmarkEnd w:id="148"/>
      <w:bookmarkEnd w:id="149"/>
      <w:bookmarkEnd w:id="150"/>
      <w:bookmarkEnd w:id="151"/>
    </w:p>
    <w:p w14:paraId="32EEBE37" w14:textId="77777777" w:rsidR="00CD33F9" w:rsidRPr="003C0E2F" w:rsidRDefault="00CD33F9">
      <w:pPr>
        <w:spacing w:line="259" w:lineRule="auto"/>
        <w:rPr>
          <w:rFonts w:asciiTheme="majorHAnsi" w:eastAsiaTheme="minorHAnsi" w:hAnsiTheme="majorHAnsi" w:cstheme="majorHAnsi"/>
          <w:i/>
          <w:lang w:eastAsia="en-US"/>
        </w:rPr>
      </w:pPr>
      <w:r w:rsidRPr="003C0E2F">
        <w:br w:type="page"/>
      </w:r>
    </w:p>
    <w:p w14:paraId="517E8305" w14:textId="50CC131C" w:rsidR="00F64F9A" w:rsidRPr="003C0E2F" w:rsidRDefault="00A81D9E" w:rsidP="00CD33F9">
      <w:pPr>
        <w:pStyle w:val="Heading2"/>
      </w:pPr>
      <w:bookmarkStart w:id="152" w:name="_Toc80013734"/>
      <w:bookmarkStart w:id="153" w:name="_Toc82882354"/>
      <w:r w:rsidRPr="003C0E2F">
        <w:lastRenderedPageBreak/>
        <w:t xml:space="preserve">The role of </w:t>
      </w:r>
      <w:r w:rsidR="00F854B8" w:rsidRPr="003C0E2F">
        <w:t>i</w:t>
      </w:r>
      <w:r w:rsidRPr="003C0E2F">
        <w:t xml:space="preserve">mmune system in physiological and pathological inflammation: </w:t>
      </w:r>
      <w:r w:rsidR="008F561F" w:rsidRPr="003C0E2F">
        <w:t>monocyte</w:t>
      </w:r>
      <w:r w:rsidR="00F64F9A" w:rsidRPr="003C0E2F">
        <w:t>s</w:t>
      </w:r>
      <w:r w:rsidRPr="003C0E2F">
        <w:t>/</w:t>
      </w:r>
      <w:r w:rsidR="008F561F" w:rsidRPr="003C0E2F">
        <w:t>macrophage</w:t>
      </w:r>
      <w:r w:rsidR="00F64F9A" w:rsidRPr="003C0E2F">
        <w:t>s</w:t>
      </w:r>
      <w:bookmarkEnd w:id="152"/>
      <w:bookmarkEnd w:id="153"/>
    </w:p>
    <w:p w14:paraId="387AD076" w14:textId="2B8D994E" w:rsidR="00C47D55" w:rsidRPr="003C0E2F" w:rsidRDefault="008F561F" w:rsidP="00682821">
      <w:r w:rsidRPr="003C0E2F">
        <w:t>Monocyte</w:t>
      </w:r>
      <w:r w:rsidR="00C47D55" w:rsidRPr="003C0E2F">
        <w:t xml:space="preserve">s and </w:t>
      </w:r>
      <w:r w:rsidRPr="003C0E2F">
        <w:t>macrophage</w:t>
      </w:r>
      <w:r w:rsidR="00C47D55" w:rsidRPr="003C0E2F">
        <w:t>s are important regulators of immunity and homeostasis throughout the body</w:t>
      </w:r>
      <w:r w:rsidRPr="003C0E2F">
        <w:t>. Monocyte</w:t>
      </w:r>
      <w:r w:rsidR="00C47D55" w:rsidRPr="003C0E2F">
        <w:t>s are mobile and circulate in the blood, make up around 10% of nucleated cells present in human blood</w:t>
      </w:r>
      <w:r w:rsidRPr="003C0E2F">
        <w:t>. Macrophage</w:t>
      </w:r>
      <w:r w:rsidR="00C47D55" w:rsidRPr="003C0E2F">
        <w:t xml:space="preserve">s </w:t>
      </w:r>
      <w:proofErr w:type="gramStart"/>
      <w:r w:rsidR="00C47D55" w:rsidRPr="003C0E2F">
        <w:t>are located in</w:t>
      </w:r>
      <w:proofErr w:type="gramEnd"/>
      <w:r w:rsidR="00C47D55" w:rsidRPr="003C0E2F">
        <w:t xml:space="preserve"> specific tissues where they reside as resident </w:t>
      </w:r>
      <w:r w:rsidRPr="003C0E2F">
        <w:t>macrophage</w:t>
      </w:r>
      <w:r w:rsidR="00C47D55" w:rsidRPr="003C0E2F">
        <w:t>s or a</w:t>
      </w:r>
      <w:r w:rsidR="00F348C5" w:rsidRPr="003C0E2F">
        <w:t>r</w:t>
      </w:r>
      <w:r w:rsidR="00F80E29" w:rsidRPr="003C0E2F">
        <w:t>e</w:t>
      </w:r>
      <w:r w:rsidR="00F348C5" w:rsidRPr="003C0E2F">
        <w:t xml:space="preserve"> f</w:t>
      </w:r>
      <w:r w:rsidR="00F80E29" w:rsidRPr="003C0E2F">
        <w:t>orm</w:t>
      </w:r>
      <w:r w:rsidR="00C47D55" w:rsidRPr="003C0E2F">
        <w:t xml:space="preserve">ed from </w:t>
      </w:r>
      <w:r w:rsidRPr="003C0E2F">
        <w:t>monocyte</w:t>
      </w:r>
      <w:r w:rsidR="00C47D55" w:rsidRPr="003C0E2F">
        <w:t xml:space="preserve">s at sites of inflammation. Resident </w:t>
      </w:r>
      <w:r w:rsidRPr="003C0E2F">
        <w:t>macrophage</w:t>
      </w:r>
      <w:r w:rsidR="00C47D55" w:rsidRPr="003C0E2F">
        <w:t xml:space="preserve"> populations have been found to self-maintain populations within tissue and may not require additions in the form of </w:t>
      </w:r>
      <w:r w:rsidRPr="003C0E2F">
        <w:t>monocyte</w:t>
      </w:r>
      <w:r w:rsidR="00C47D55" w:rsidRPr="003C0E2F">
        <w:t xml:space="preserve"> derived </w:t>
      </w:r>
      <w:r w:rsidRPr="003C0E2F">
        <w:t>macrophage</w:t>
      </w:r>
      <w:r w:rsidR="00C47D55" w:rsidRPr="003C0E2F">
        <w:t xml:space="preserve">s </w:t>
      </w:r>
      <w:sdt>
        <w:sdtPr>
          <w:tag w:val="MENDELEY_CITATION_v3_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"/>
          <w:id w:val="-1530408809"/>
          <w:placeholder>
            <w:docPart w:val="DefaultPlaceholder_-1854013440"/>
          </w:placeholder>
        </w:sdtPr>
        <w:sdtEndPr/>
        <w:sdtContent>
          <w:r w:rsidR="00F257B9">
            <w:rPr>
              <w:rFonts w:eastAsia="Times New Roman"/>
            </w:rPr>
            <w:t xml:space="preserve">(Hashimoto </w:t>
          </w:r>
          <w:r w:rsidR="00F257B9">
            <w:rPr>
              <w:rFonts w:eastAsia="Times New Roman"/>
              <w:i/>
              <w:iCs/>
            </w:rPr>
            <w:t>et al.</w:t>
          </w:r>
          <w:r w:rsidR="00F257B9">
            <w:rPr>
              <w:rFonts w:eastAsia="Times New Roman"/>
            </w:rPr>
            <w:t>, 2013)</w:t>
          </w:r>
        </w:sdtContent>
      </w:sdt>
      <w:r w:rsidR="00C47D55" w:rsidRPr="003C0E2F">
        <w:t xml:space="preserve">. </w:t>
      </w:r>
    </w:p>
    <w:p w14:paraId="5A9C1CFA" w14:textId="19680418" w:rsidR="00C47D55" w:rsidRPr="003C0E2F" w:rsidRDefault="008F561F" w:rsidP="00682821">
      <w:r w:rsidRPr="003C0E2F">
        <w:t>Monocyte</w:t>
      </w:r>
      <w:r w:rsidR="00C47D55" w:rsidRPr="003C0E2F">
        <w:t xml:space="preserve">s may be separated into several subsets, associated with different levels </w:t>
      </w:r>
      <w:r w:rsidR="008612D0" w:rsidRPr="003C0E2F">
        <w:t>of</w:t>
      </w:r>
      <w:r w:rsidR="00C47D55" w:rsidRPr="003C0E2F">
        <w:t xml:space="preserve"> surface receptor expression, usually of CD14 and CD16. The two main subsets are CD14+ CD16- and CD14+ CD16+, although further low CD14 variants and other less defined versions exist which can be identified via flow cytometry </w:t>
      </w:r>
      <w:sdt>
        <w:sdtPr>
          <w:rPr>
            <w:color w:val="000000"/>
          </w:rPr>
          <w:tag w:val="MENDELEY_CITATION_v3_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"/>
          <w:id w:val="783005706"/>
          <w:placeholder>
            <w:docPart w:val="DefaultPlaceholder_-1854013440"/>
          </w:placeholder>
        </w:sdtPr>
        <w:sdtEndPr/>
        <w:sdtContent>
          <w:r w:rsidR="00F257B9" w:rsidRPr="00F257B9">
            <w:rPr>
              <w:color w:val="000000"/>
            </w:rPr>
            <w:t>(Ziegler-</w:t>
          </w:r>
          <w:proofErr w:type="spellStart"/>
          <w:r w:rsidR="00F257B9" w:rsidRPr="00F257B9">
            <w:rPr>
              <w:color w:val="000000"/>
            </w:rPr>
            <w:t>Heitbrock</w:t>
          </w:r>
          <w:proofErr w:type="spellEnd"/>
          <w:r w:rsidR="00F257B9" w:rsidRPr="00F257B9">
            <w:rPr>
              <w:color w:val="000000"/>
            </w:rPr>
            <w:t xml:space="preserve"> and Hofer, 2013)</w:t>
          </w:r>
        </w:sdtContent>
      </w:sdt>
      <w:r w:rsidR="00C47D55" w:rsidRPr="003C0E2F">
        <w:t xml:space="preserve">. These different subsets may contribute to functionally significant physiological </w:t>
      </w:r>
      <w:r w:rsidRPr="003C0E2F">
        <w:t>effect</w:t>
      </w:r>
      <w:r w:rsidR="00C47D55" w:rsidRPr="003C0E2F">
        <w:t xml:space="preserve">s. For example, subsets of </w:t>
      </w:r>
      <w:r w:rsidRPr="003C0E2F">
        <w:t>monocyte</w:t>
      </w:r>
      <w:r w:rsidR="00C47D55" w:rsidRPr="003C0E2F">
        <w:t xml:space="preserve">s may in part be associated with a predisposition to develop into </w:t>
      </w:r>
      <w:r w:rsidRPr="003C0E2F">
        <w:t>macrophage</w:t>
      </w:r>
      <w:r w:rsidR="00C47D55" w:rsidRPr="003C0E2F">
        <w:t xml:space="preserve">s or dendritic cells (Randolph et al., 2002). The ratio of different </w:t>
      </w:r>
      <w:r w:rsidRPr="003C0E2F">
        <w:t>monocyte</w:t>
      </w:r>
      <w:r w:rsidR="00C47D55" w:rsidRPr="003C0E2F">
        <w:t xml:space="preserve"> subsets may vary throughout infection, though the exact role of these population shifts is not entirely clear</w:t>
      </w:r>
      <w:r w:rsidR="00CD33F9" w:rsidRPr="003C0E2F">
        <w:t xml:space="preserve"> </w:t>
      </w:r>
      <w:sdt>
        <w:sdtPr>
          <w:rPr>
            <w:color w:val="000000"/>
          </w:rPr>
          <w:tag w:val="MENDELEY_CITATION_v3_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"/>
          <w:id w:val="-1901206710"/>
          <w:placeholder>
            <w:docPart w:val="DefaultPlaceholder_-1854013440"/>
          </w:placeholder>
        </w:sdtPr>
        <w:sdtEndPr/>
        <w:sdtContent>
          <w:r w:rsidR="00F257B9" w:rsidRPr="00F257B9">
            <w:rPr>
              <w:color w:val="000000"/>
            </w:rPr>
            <w:t>(Ziegler-</w:t>
          </w:r>
          <w:proofErr w:type="spellStart"/>
          <w:r w:rsidR="00F257B9" w:rsidRPr="00F257B9">
            <w:rPr>
              <w:color w:val="000000"/>
            </w:rPr>
            <w:t>Heitbrock</w:t>
          </w:r>
          <w:proofErr w:type="spellEnd"/>
          <w:r w:rsidR="00F257B9" w:rsidRPr="00F257B9">
            <w:rPr>
              <w:color w:val="000000"/>
            </w:rPr>
            <w:t xml:space="preserve"> and Hofer, 2013)</w:t>
          </w:r>
        </w:sdtContent>
      </w:sdt>
      <w:r w:rsidRPr="003C0E2F">
        <w:t>. Monocyte</w:t>
      </w:r>
      <w:r w:rsidR="00C47D55" w:rsidRPr="003C0E2F">
        <w:t xml:space="preserve">s populations are therefore considered to be heterogeneous and may change in respond to environmental variations. </w:t>
      </w:r>
    </w:p>
    <w:p w14:paraId="14523B23" w14:textId="233848F7" w:rsidR="00EA6343" w:rsidRPr="003C0E2F" w:rsidRDefault="008F561F" w:rsidP="00682821">
      <w:pPr>
        <w:rPr>
          <w:b/>
          <w:bCs/>
        </w:rPr>
      </w:pPr>
      <w:r w:rsidRPr="003C0E2F">
        <w:t>Monocyte</w:t>
      </w:r>
      <w:r w:rsidR="00C47D55" w:rsidRPr="003C0E2F">
        <w:t xml:space="preserve">s are recruited by chemoattractant molecules and may differentiate into </w:t>
      </w:r>
      <w:r w:rsidRPr="003C0E2F">
        <w:t>macrophage</w:t>
      </w:r>
      <w:r w:rsidR="00C47D55" w:rsidRPr="003C0E2F">
        <w:t xml:space="preserve">s which can subsequently be divided in two main phenotypic forms. M1 </w:t>
      </w:r>
      <w:r w:rsidRPr="003C0E2F">
        <w:t>macrophage</w:t>
      </w:r>
      <w:r w:rsidR="00C47D55" w:rsidRPr="003C0E2F">
        <w:t xml:space="preserve">s are activate by LPS or </w:t>
      </w:r>
      <w:proofErr w:type="spellStart"/>
      <w:r w:rsidR="00C47D55" w:rsidRPr="003C0E2F">
        <w:t>IFNγ</w:t>
      </w:r>
      <w:proofErr w:type="spellEnd"/>
      <w:r w:rsidR="00C47D55" w:rsidRPr="003C0E2F">
        <w:t xml:space="preserve"> and associated with an aggressive response via pro-inflammatory cytokine production and </w:t>
      </w:r>
      <w:proofErr w:type="spellStart"/>
      <w:r w:rsidR="00C47D55" w:rsidRPr="003C0E2F">
        <w:t>iNOS</w:t>
      </w:r>
      <w:proofErr w:type="spellEnd"/>
      <w:r w:rsidR="00C47D55" w:rsidRPr="003C0E2F">
        <w:t xml:space="preserve">. Alternately IL-4 activated M2 </w:t>
      </w:r>
      <w:r w:rsidRPr="003C0E2F">
        <w:t>macrophage</w:t>
      </w:r>
      <w:r w:rsidR="00C47D55" w:rsidRPr="003C0E2F">
        <w:t xml:space="preserve">s serve the functions of repair and homeostasis and is associated with expression of arginase-1 and CD206 </w:t>
      </w:r>
      <w:sdt>
        <w:sdtPr>
          <w:tag w:val="MENDELEY_CITATION_v3_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"/>
          <w:id w:val="-774712526"/>
          <w:placeholder>
            <w:docPart w:val="DefaultPlaceholder_-1854013440"/>
          </w:placeholder>
        </w:sdtPr>
        <w:sdtEndPr/>
        <w:sdtContent>
          <w:r w:rsidR="00F257B9">
            <w:rPr>
              <w:rFonts w:eastAsia="Times New Roman"/>
            </w:rPr>
            <w:t xml:space="preserve">(de Waal </w:t>
          </w:r>
          <w:proofErr w:type="spellStart"/>
          <w:r w:rsidR="00F257B9">
            <w:rPr>
              <w:rFonts w:eastAsia="Times New Roman"/>
            </w:rPr>
            <w:t>Malefyt</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1993; </w:t>
          </w:r>
          <w:proofErr w:type="spellStart"/>
          <w:r w:rsidR="00F257B9">
            <w:rPr>
              <w:rFonts w:eastAsia="Times New Roman"/>
            </w:rPr>
            <w:t>Orecchioni</w:t>
          </w:r>
          <w:proofErr w:type="spellEnd"/>
          <w:r w:rsidR="00F257B9">
            <w:rPr>
              <w:rFonts w:eastAsia="Times New Roman"/>
            </w:rPr>
            <w:t xml:space="preserve"> </w:t>
          </w:r>
          <w:r w:rsidR="00F257B9">
            <w:rPr>
              <w:rFonts w:eastAsia="Times New Roman"/>
              <w:i/>
              <w:iCs/>
            </w:rPr>
            <w:t>et al.</w:t>
          </w:r>
          <w:r w:rsidR="00F257B9">
            <w:rPr>
              <w:rFonts w:eastAsia="Times New Roman"/>
            </w:rPr>
            <w:t>, 2019)</w:t>
          </w:r>
        </w:sdtContent>
      </w:sdt>
      <w:r w:rsidR="00C47D55" w:rsidRPr="003C0E2F">
        <w:t xml:space="preserve">. These phenotypes are not necessarily fixed and M1 and M2 </w:t>
      </w:r>
      <w:r w:rsidRPr="003C0E2F">
        <w:t>macrophage</w:t>
      </w:r>
      <w:r w:rsidR="00C47D55" w:rsidRPr="003C0E2F">
        <w:t xml:space="preserve">s may be subdivided or exist in intermediate states between the two </w:t>
      </w:r>
      <w:sdt>
        <w:sdtPr>
          <w:tag w:val="MENDELEY_CITATION_v3_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"/>
          <w:id w:val="1073625455"/>
          <w:placeholder>
            <w:docPart w:val="DefaultPlaceholder_-1854013440"/>
          </w:placeholder>
        </w:sdtPr>
        <w:sdtEndPr/>
        <w:sdtContent>
          <w:r w:rsidR="00F257B9">
            <w:rPr>
              <w:rFonts w:eastAsia="Times New Roman"/>
            </w:rPr>
            <w:t xml:space="preserve">(Murray </w:t>
          </w:r>
          <w:r w:rsidR="00F257B9">
            <w:rPr>
              <w:rFonts w:eastAsia="Times New Roman"/>
              <w:i/>
              <w:iCs/>
            </w:rPr>
            <w:t>et al.</w:t>
          </w:r>
          <w:r w:rsidR="00F257B9">
            <w:rPr>
              <w:rFonts w:eastAsia="Times New Roman"/>
            </w:rPr>
            <w:t>, 2014)</w:t>
          </w:r>
        </w:sdtContent>
      </w:sdt>
      <w:r w:rsidR="00C47D55" w:rsidRPr="003C0E2F">
        <w:t xml:space="preserve">. M1 and M2 </w:t>
      </w:r>
      <w:r w:rsidRPr="003C0E2F">
        <w:lastRenderedPageBreak/>
        <w:t>macrophage</w:t>
      </w:r>
      <w:r w:rsidR="00C47D55" w:rsidRPr="003C0E2F">
        <w:t>s are therefore considered to be proinflammatory or anti-inflammatory forms respectively though may exist in more specific specialised states to respond to localised situations.</w:t>
      </w:r>
      <w:r w:rsidR="00EA6343" w:rsidRPr="003C0E2F">
        <w:br w:type="page"/>
      </w:r>
    </w:p>
    <w:p w14:paraId="7D753E24" w14:textId="52255BC2" w:rsidR="00F64F9A" w:rsidRPr="003C0E2F" w:rsidRDefault="00A81D9E" w:rsidP="00D55B0E">
      <w:pPr>
        <w:pStyle w:val="Heading3"/>
      </w:pPr>
      <w:bookmarkStart w:id="154" w:name="_Toc80013735"/>
      <w:bookmarkStart w:id="155" w:name="_Toc82882355"/>
      <w:r w:rsidRPr="003C0E2F">
        <w:lastRenderedPageBreak/>
        <w:t xml:space="preserve">The role of </w:t>
      </w:r>
      <w:r w:rsidR="000E5FCB" w:rsidRPr="003C0E2F">
        <w:t xml:space="preserve">TLR4, </w:t>
      </w:r>
      <w:r w:rsidR="008F561F" w:rsidRPr="003C0E2F">
        <w:t>monocyte</w:t>
      </w:r>
      <w:r w:rsidR="000E5FCB" w:rsidRPr="003C0E2F">
        <w:t>s</w:t>
      </w:r>
      <w:r w:rsidR="00F64F9A" w:rsidRPr="003C0E2F">
        <w:t xml:space="preserve"> and </w:t>
      </w:r>
      <w:r w:rsidR="008F561F" w:rsidRPr="003C0E2F">
        <w:t>macrophage</w:t>
      </w:r>
      <w:r w:rsidR="00F64F9A" w:rsidRPr="003C0E2F">
        <w:t xml:space="preserve"> polarisation in </w:t>
      </w:r>
      <w:r w:rsidR="001F4675" w:rsidRPr="003C0E2F">
        <w:t>a</w:t>
      </w:r>
      <w:r w:rsidR="000E5FCB" w:rsidRPr="003C0E2F">
        <w:t>therosclerosis</w:t>
      </w:r>
      <w:bookmarkEnd w:id="154"/>
      <w:bookmarkEnd w:id="155"/>
    </w:p>
    <w:p w14:paraId="5BA5A53D" w14:textId="72548A14" w:rsidR="000E5FCB" w:rsidRPr="003C0E2F" w:rsidRDefault="00C47D55" w:rsidP="00F348C5">
      <w:r w:rsidRPr="003C0E2F">
        <w:t xml:space="preserve">Adhesion molecules facilitate cellular attachment to the extracellular matrix. VEGF and MCP can regulate the attachment of </w:t>
      </w:r>
      <w:r w:rsidR="008F561F" w:rsidRPr="003C0E2F">
        <w:t>monocyte</w:t>
      </w:r>
      <w:r w:rsidRPr="003C0E2F">
        <w:t>s and facilitate transport of cells through the endothelial barrier and into the arterial wall (</w:t>
      </w:r>
      <w:sdt>
        <w:sdtPr>
          <w:rPr>
            <w:color w:val="000000"/>
          </w:rPr>
          <w:tag w:val="MENDELEY_CITATION_v3_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"/>
          <w:id w:val="1454359296"/>
          <w:placeholder>
            <w:docPart w:val="DefaultPlaceholder_-1854013440"/>
          </w:placeholder>
        </w:sdtPr>
        <w:sdtEndPr/>
        <w:sdtContent>
          <w:r w:rsidR="00F257B9" w:rsidRPr="00F257B9">
            <w:rPr>
              <w:rFonts w:eastAsia="Times New Roman"/>
              <w:color w:val="000000"/>
            </w:rPr>
            <w:t>Stadler et al., 2007</w:t>
          </w:r>
        </w:sdtContent>
      </w:sdt>
      <w:r w:rsidRPr="003C0E2F">
        <w:t xml:space="preserve">). These play an important role in damage and repair mechanisms in blood vessels. Absence of VEGF-2 can result in impaired capacity for vascular remodelling and thrombus repair </w:t>
      </w:r>
      <w:sdt>
        <w:sdtPr>
          <w:tag w:val="MENDELEY_CITATION_v3_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"/>
          <w:id w:val="-1794671812"/>
          <w:placeholder>
            <w:docPart w:val="DefaultPlaceholder_-1854013440"/>
          </w:placeholder>
        </w:sdtPr>
        <w:sdtEndPr/>
        <w:sdtContent>
          <w:r w:rsidR="00F257B9">
            <w:rPr>
              <w:rFonts w:eastAsia="Times New Roman"/>
            </w:rPr>
            <w:t xml:space="preserve">(Alias </w:t>
          </w:r>
          <w:r w:rsidR="00F257B9">
            <w:rPr>
              <w:rFonts w:eastAsia="Times New Roman"/>
              <w:i/>
              <w:iCs/>
            </w:rPr>
            <w:t>et al.</w:t>
          </w:r>
          <w:r w:rsidR="00F257B9">
            <w:rPr>
              <w:rFonts w:eastAsia="Times New Roman"/>
            </w:rPr>
            <w:t>, 2014)</w:t>
          </w:r>
        </w:sdtContent>
      </w:sdt>
      <w:r w:rsidRPr="003C0E2F">
        <w:t xml:space="preserve">. Alternatively, adhesion molecules have also been implicated in atherosclerosis, allowing </w:t>
      </w:r>
      <w:r w:rsidR="008F561F" w:rsidRPr="003C0E2F">
        <w:t>monocyte</w:t>
      </w:r>
      <w:r w:rsidRPr="003C0E2F">
        <w:t xml:space="preserve">s to </w:t>
      </w:r>
      <w:proofErr w:type="gramStart"/>
      <w:r w:rsidRPr="003C0E2F">
        <w:t>enter into</w:t>
      </w:r>
      <w:proofErr w:type="gramEnd"/>
      <w:r w:rsidRPr="003C0E2F">
        <w:t xml:space="preserve"> plaques and contribute to the sustained inflammatory condition </w:t>
      </w:r>
      <w:sdt>
        <w:sdtPr>
          <w:rPr>
            <w:color w:val="000000"/>
          </w:rPr>
          <w:tag w:val="MENDELEY_CITATION_v3_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"/>
          <w:id w:val="-1432046503"/>
          <w:placeholder>
            <w:docPart w:val="DefaultPlaceholder_-1854013440"/>
          </w:placeholder>
        </w:sdtPr>
        <w:sdtEndPr/>
        <w:sdtContent>
          <w:r w:rsidR="00F257B9" w:rsidRPr="00F257B9">
            <w:rPr>
              <w:rFonts w:eastAsia="Times New Roman"/>
              <w:color w:val="000000"/>
            </w:rPr>
            <w:t>(</w:t>
          </w:r>
          <w:proofErr w:type="spellStart"/>
          <w:r w:rsidR="00F257B9" w:rsidRPr="00F257B9">
            <w:rPr>
              <w:rFonts w:eastAsia="Times New Roman"/>
              <w:color w:val="000000"/>
            </w:rPr>
            <w:t>Potteaux</w:t>
          </w:r>
          <w:proofErr w:type="spellEnd"/>
          <w:r w:rsidR="00F257B9" w:rsidRPr="00F257B9">
            <w:rPr>
              <w:rFonts w:eastAsia="Times New Roman"/>
              <w:color w:val="000000"/>
            </w:rPr>
            <w:t xml:space="preserve"> et al., 2011</w:t>
          </w:r>
        </w:sdtContent>
      </w:sdt>
      <w:r w:rsidRPr="003C0E2F">
        <w:t xml:space="preserve">). </w:t>
      </w:r>
    </w:p>
    <w:p w14:paraId="526F9834" w14:textId="6AC20901" w:rsidR="000E5FCB" w:rsidRPr="003C0E2F" w:rsidRDefault="00C47D55" w:rsidP="00BE5236">
      <w:r w:rsidRPr="003C0E2F">
        <w:t xml:space="preserve">In atherosclerosis, </w:t>
      </w:r>
      <w:r w:rsidR="008F561F" w:rsidRPr="003C0E2F">
        <w:t>monocyte</w:t>
      </w:r>
      <w:r w:rsidRPr="003C0E2F">
        <w:t xml:space="preserve">s circulating in the blood and are recruited into plaques where they differentiate into </w:t>
      </w:r>
      <w:r w:rsidR="008F561F" w:rsidRPr="003C0E2F">
        <w:t>macrophage</w:t>
      </w:r>
      <w:r w:rsidRPr="003C0E2F">
        <w:t xml:space="preserve">s (Figure </w:t>
      </w:r>
      <w:r w:rsidR="00562939" w:rsidRPr="003C0E2F">
        <w:t>8</w:t>
      </w:r>
      <w:r w:rsidRPr="003C0E2F">
        <w:t xml:space="preserve">). These </w:t>
      </w:r>
      <w:r w:rsidR="008F561F" w:rsidRPr="003C0E2F">
        <w:t>macrophage</w:t>
      </w:r>
      <w:r w:rsidRPr="003C0E2F">
        <w:t>s accumulated in the arterial wall can become polari</w:t>
      </w:r>
      <w:r w:rsidR="000719FA" w:rsidRPr="003C0E2F">
        <w:t>sed</w:t>
      </w:r>
      <w:r w:rsidRPr="003C0E2F">
        <w:t xml:space="preserve"> into proinflammatory (M1) or anti-inflammatory (M2) subtypes. Higher levels of M1 </w:t>
      </w:r>
      <w:r w:rsidR="008F561F" w:rsidRPr="003C0E2F">
        <w:t>macrophage</w:t>
      </w:r>
      <w:r w:rsidRPr="003C0E2F">
        <w:t xml:space="preserve">s in atherosclerotic plaques are associated with greater plaque instability </w:t>
      </w:r>
      <w:sdt>
        <w:sdtPr>
          <w:tag w:val="MENDELEY_CITATION_v3_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"/>
          <w:id w:val="-1596313653"/>
          <w:placeholder>
            <w:docPart w:val="DefaultPlaceholder_-1854013440"/>
          </w:placeholder>
        </w:sdtPr>
        <w:sdtEndPr/>
        <w:sdtContent>
          <w:r w:rsidR="00F257B9">
            <w:rPr>
              <w:rFonts w:eastAsia="Times New Roman"/>
            </w:rPr>
            <w:t xml:space="preserve">(Cho </w:t>
          </w:r>
          <w:r w:rsidR="00F257B9">
            <w:rPr>
              <w:rFonts w:eastAsia="Times New Roman"/>
              <w:i/>
              <w:iCs/>
            </w:rPr>
            <w:t>et al.</w:t>
          </w:r>
          <w:r w:rsidR="00F257B9">
            <w:rPr>
              <w:rFonts w:eastAsia="Times New Roman"/>
            </w:rPr>
            <w:t>, 2013)</w:t>
          </w:r>
        </w:sdtContent>
      </w:sdt>
      <w:r w:rsidRPr="003C0E2F">
        <w:t xml:space="preserve"> These are associated with elevated levels of IL-6, MCP-1 and </w:t>
      </w:r>
      <w:r w:rsidR="00F348C5" w:rsidRPr="003C0E2F">
        <w:t>MMPs</w:t>
      </w:r>
      <w:r w:rsidRPr="003C0E2F">
        <w:t xml:space="preserve"> and can become foam cells through endocytosing LDL within the plaques, which may be oxidised externally or in lysosomes within the cell </w:t>
      </w:r>
      <w:sdt>
        <w:sdtPr>
          <w:rPr>
            <w:color w:val="000000"/>
          </w:rPr>
          <w:tag w:val="MENDELEY_CITATION_v3_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"/>
          <w:id w:val="812758131"/>
          <w:placeholder>
            <w:docPart w:val="DefaultPlaceholder_-1854013440"/>
          </w:placeholder>
        </w:sdtPr>
        <w:sdtEndPr/>
        <w:sdtContent>
          <w:r w:rsidR="00F257B9" w:rsidRPr="00F257B9">
            <w:rPr>
              <w:color w:val="000000"/>
            </w:rPr>
            <w:t xml:space="preserve">(Ahmad and </w:t>
          </w:r>
          <w:proofErr w:type="spellStart"/>
          <w:r w:rsidR="00F257B9" w:rsidRPr="00F257B9">
            <w:rPr>
              <w:color w:val="000000"/>
            </w:rPr>
            <w:t>Leake</w:t>
          </w:r>
          <w:proofErr w:type="spellEnd"/>
          <w:r w:rsidR="00F257B9" w:rsidRPr="00F257B9">
            <w:rPr>
              <w:color w:val="000000"/>
            </w:rPr>
            <w:t>, 2019)</w:t>
          </w:r>
        </w:sdtContent>
      </w:sdt>
      <w:r w:rsidRPr="003C0E2F">
        <w:t xml:space="preserve">. These then contribute to production of a range of inflammatory cytokines, chemoattractant molecules and </w:t>
      </w:r>
      <w:r w:rsidR="00F348C5" w:rsidRPr="003C0E2F">
        <w:t>MMPs</w:t>
      </w:r>
      <w:r w:rsidRPr="003C0E2F">
        <w:t xml:space="preserve"> which cause further recruitment of leucocytes, smooth muscle cell migration, matrix degradation and necrosis of cells within plaques which are associated with a reduction in plaque stability (</w:t>
      </w:r>
      <w:proofErr w:type="spellStart"/>
      <w:sdt>
        <w:sdtPr>
          <w:rPr>
            <w:color w:val="000000"/>
          </w:rPr>
          <w:tag w:val="MENDELEY_CITATION_v3_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"/>
          <w:id w:val="-530029956"/>
          <w:placeholder>
            <w:docPart w:val="DefaultPlaceholder_-1854013440"/>
          </w:placeholder>
        </w:sdtPr>
        <w:sdtEndPr/>
        <w:sdtContent>
          <w:r w:rsidR="00F257B9" w:rsidRPr="00F257B9">
            <w:rPr>
              <w:rFonts w:eastAsia="Times New Roman"/>
              <w:color w:val="000000"/>
            </w:rPr>
            <w:t>Vink</w:t>
          </w:r>
          <w:proofErr w:type="spellEnd"/>
          <w:r w:rsidR="00F257B9" w:rsidRPr="00F257B9">
            <w:rPr>
              <w:rFonts w:eastAsia="Times New Roman"/>
              <w:color w:val="000000"/>
            </w:rPr>
            <w:t xml:space="preserve"> et al., 2002; den Dekker et al., 2010</w:t>
          </w:r>
        </w:sdtContent>
      </w:sdt>
      <w:r w:rsidRPr="003C0E2F">
        <w:t xml:space="preserve">). As </w:t>
      </w:r>
      <w:r w:rsidR="008F561F" w:rsidRPr="003C0E2F">
        <w:t>monocyte</w:t>
      </w:r>
      <w:r w:rsidRPr="003C0E2F">
        <w:t xml:space="preserve">s and </w:t>
      </w:r>
      <w:r w:rsidR="008F561F" w:rsidRPr="003C0E2F">
        <w:t>macrophage</w:t>
      </w:r>
      <w:r w:rsidRPr="003C0E2F">
        <w:t xml:space="preserve">s play an important part in disease progression and can be cultured, these have been selected as an </w:t>
      </w:r>
      <w:r w:rsidRPr="003C0E2F">
        <w:rPr>
          <w:i/>
          <w:iCs/>
        </w:rPr>
        <w:t>in vitro</w:t>
      </w:r>
      <w:r w:rsidRPr="003C0E2F">
        <w:t xml:space="preserve"> model for the basis of this work.</w:t>
      </w:r>
    </w:p>
    <w:p w14:paraId="3F914FFC" w14:textId="5F7B3A9F" w:rsidR="00A36276" w:rsidRPr="003C0E2F" w:rsidRDefault="00107A1C" w:rsidP="00F348C5">
      <w:pPr>
        <w:jc w:val="center"/>
      </w:pPr>
      <w:r w:rsidRPr="003C0E2F">
        <w:rPr>
          <w:noProof/>
        </w:rPr>
        <w:lastRenderedPageBreak/>
        <w:drawing>
          <wp:inline distT="0" distB="0" distL="0" distR="0" wp14:anchorId="4C51ACA6" wp14:editId="2FDB70F8">
            <wp:extent cx="5731510" cy="5065395"/>
            <wp:effectExtent l="0" t="0" r="2540" b="1905"/>
            <wp:docPr id="31" name="Picture 3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medium confidenc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31510" cy="5065395"/>
                    </a:xfrm>
                    <a:prstGeom prst="rect">
                      <a:avLst/>
                    </a:prstGeom>
                  </pic:spPr>
                </pic:pic>
              </a:graphicData>
            </a:graphic>
          </wp:inline>
        </w:drawing>
      </w:r>
    </w:p>
    <w:p w14:paraId="768323FC" w14:textId="4E24767E" w:rsidR="00F348C5" w:rsidRPr="003C0E2F" w:rsidRDefault="00F348C5" w:rsidP="00FB2FD3">
      <w:pPr>
        <w:pStyle w:val="NoSpacing"/>
      </w:pPr>
      <w:bookmarkStart w:id="156" w:name="_Toc48514820"/>
      <w:bookmarkStart w:id="157" w:name="_Toc55583729"/>
      <w:bookmarkStart w:id="158" w:name="_Toc55584906"/>
      <w:bookmarkStart w:id="159" w:name="_Toc60584022"/>
      <w:bookmarkStart w:id="160" w:name="_Toc60638142"/>
      <w:bookmarkStart w:id="161" w:name="_Toc60638860"/>
      <w:bookmarkStart w:id="162" w:name="_Toc63111994"/>
      <w:bookmarkStart w:id="163" w:name="_Toc63112211"/>
      <w:bookmarkStart w:id="164" w:name="_Toc63270351"/>
      <w:bookmarkStart w:id="165" w:name="_Toc64533218"/>
      <w:bookmarkStart w:id="166" w:name="_Toc64551765"/>
      <w:bookmarkStart w:id="167" w:name="_Toc80013810"/>
      <w:bookmarkStart w:id="168" w:name="_Toc82882949"/>
      <w:r w:rsidRPr="003C0E2F">
        <w:t xml:space="preserve">Figure </w:t>
      </w:r>
      <w:r w:rsidR="00862981">
        <w:fldChar w:fldCharType="begin"/>
      </w:r>
      <w:r w:rsidR="00862981">
        <w:instrText xml:space="preserve"> SEQ Figure \* ARABIC </w:instrText>
      </w:r>
      <w:r w:rsidR="00862981">
        <w:fldChar w:fldCharType="separate"/>
      </w:r>
      <w:r w:rsidR="000F2276">
        <w:rPr>
          <w:noProof/>
        </w:rPr>
        <w:t>8</w:t>
      </w:r>
      <w:r w:rsidR="00862981">
        <w:rPr>
          <w:noProof/>
        </w:rPr>
        <w:fldChar w:fldCharType="end"/>
      </w:r>
      <w:r w:rsidRPr="003C0E2F">
        <w:t xml:space="preserve">. </w:t>
      </w:r>
      <w:bookmarkEnd w:id="156"/>
      <w:bookmarkEnd w:id="157"/>
      <w:bookmarkEnd w:id="158"/>
      <w:bookmarkEnd w:id="159"/>
      <w:bookmarkEnd w:id="160"/>
      <w:bookmarkEnd w:id="161"/>
      <w:r w:rsidRPr="003C0E2F">
        <w:t>Recruitment to cells to atherosclerotic plaques. The formation of atherosclerotic plaques is associated with accumulation of lipids in the intima</w:t>
      </w:r>
      <w:r w:rsidR="00AD6844" w:rsidRPr="003C0E2F">
        <w:t>,</w:t>
      </w:r>
      <w:r w:rsidRPr="003C0E2F">
        <w:t xml:space="preserve"> recruitment of leukocytes</w:t>
      </w:r>
      <w:r w:rsidR="00AD6844" w:rsidRPr="003C0E2F">
        <w:t xml:space="preserve">, foam cell formation and </w:t>
      </w:r>
      <w:r w:rsidR="00B1617C" w:rsidRPr="003C0E2F">
        <w:t>infiltration of SMCs</w:t>
      </w:r>
      <w:r w:rsidR="008F561F" w:rsidRPr="003C0E2F">
        <w:t>. Macrophage</w:t>
      </w:r>
      <w:r w:rsidRPr="003C0E2F">
        <w:t>s form foam cells through endocytosis of LDL within plaques and contribute to the sustained inflammatory response</w:t>
      </w:r>
      <w:r w:rsidR="00B1617C" w:rsidRPr="003C0E2F">
        <w:t xml:space="preserve"> which facilitates further recruitment of leukocytes, SMC proliferation and the formation of fibrous cap and necrotic core</w:t>
      </w:r>
      <w:r w:rsidRPr="003C0E2F">
        <w:t xml:space="preserve"> </w:t>
      </w:r>
      <w:sdt>
        <w:sdtPr>
          <w:rPr>
            <w:i w:val="0"/>
            <w:color w:val="000000"/>
          </w:rPr>
          <w:tag w:val="MENDELEY_CITATION_v3_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"/>
          <w:id w:val="905651554"/>
          <w:placeholder>
            <w:docPart w:val="03B8CE75686B4F1299146CDA617B97BC"/>
          </w:placeholder>
        </w:sdtPr>
        <w:sdtEndPr/>
        <w:sdtContent>
          <w:r w:rsidR="00F257B9" w:rsidRPr="00F257B9">
            <w:rPr>
              <w:i w:val="0"/>
              <w:color w:val="000000"/>
            </w:rPr>
            <w:t>(Hansson and Libby, 2006)</w:t>
          </w:r>
        </w:sdtContent>
      </w:sdt>
      <w:bookmarkEnd w:id="162"/>
      <w:bookmarkEnd w:id="163"/>
      <w:bookmarkEnd w:id="164"/>
      <w:bookmarkEnd w:id="165"/>
      <w:bookmarkEnd w:id="166"/>
      <w:bookmarkEnd w:id="167"/>
      <w:bookmarkEnd w:id="168"/>
    </w:p>
    <w:p w14:paraId="21370F48" w14:textId="1177E4CD" w:rsidR="003B7120" w:rsidRPr="003C0E2F" w:rsidRDefault="003B7120" w:rsidP="00BE5236">
      <w:r w:rsidRPr="003C0E2F">
        <w:br w:type="page"/>
      </w:r>
    </w:p>
    <w:p w14:paraId="15DDD76D" w14:textId="1DE76B95" w:rsidR="00F64F9A" w:rsidRPr="003C0E2F" w:rsidRDefault="00F64F9A" w:rsidP="00D55B0E">
      <w:pPr>
        <w:pStyle w:val="Heading3"/>
      </w:pPr>
      <w:bookmarkStart w:id="169" w:name="_Toc80013736"/>
      <w:bookmarkStart w:id="170" w:name="_Toc82882356"/>
      <w:r w:rsidRPr="003C0E2F">
        <w:lastRenderedPageBreak/>
        <w:t xml:space="preserve">Primary </w:t>
      </w:r>
      <w:r w:rsidR="0002103D" w:rsidRPr="003C0E2F">
        <w:t>v</w:t>
      </w:r>
      <w:r w:rsidRPr="003C0E2F">
        <w:t xml:space="preserve">ersus </w:t>
      </w:r>
      <w:r w:rsidR="00BE1401" w:rsidRPr="003C0E2F">
        <w:t>THP-1</w:t>
      </w:r>
      <w:r w:rsidRPr="003C0E2F">
        <w:t xml:space="preserve"> </w:t>
      </w:r>
      <w:r w:rsidR="0002103D" w:rsidRPr="003C0E2F">
        <w:t>r</w:t>
      </w:r>
      <w:r w:rsidRPr="003C0E2F">
        <w:t>esponse</w:t>
      </w:r>
      <w:r w:rsidR="00A81D9E" w:rsidRPr="003C0E2F">
        <w:t>s</w:t>
      </w:r>
      <w:r w:rsidRPr="003C0E2F">
        <w:t xml:space="preserve"> of </w:t>
      </w:r>
      <w:r w:rsidR="008F561F" w:rsidRPr="003C0E2F">
        <w:t>monocyte</w:t>
      </w:r>
      <w:r w:rsidRPr="003C0E2F">
        <w:t xml:space="preserve">s and </w:t>
      </w:r>
      <w:r w:rsidR="008F561F" w:rsidRPr="003C0E2F">
        <w:t>macrophage</w:t>
      </w:r>
      <w:r w:rsidRPr="003C0E2F">
        <w:t>s</w:t>
      </w:r>
      <w:bookmarkEnd w:id="169"/>
      <w:bookmarkEnd w:id="170"/>
    </w:p>
    <w:p w14:paraId="1F3FAE45" w14:textId="1ED5BABF" w:rsidR="00A36276" w:rsidRPr="003C0E2F" w:rsidRDefault="00C47D55" w:rsidP="00BE5236">
      <w:bookmarkStart w:id="171" w:name="_Hlk82440526"/>
      <w:r w:rsidRPr="003C0E2F">
        <w:t xml:space="preserve">THP-1 cells are an immortalised monocytic cell line derived from leukemic human </w:t>
      </w:r>
      <w:r w:rsidR="008F561F" w:rsidRPr="003C0E2F">
        <w:t>monocyte</w:t>
      </w:r>
      <w:r w:rsidRPr="003C0E2F">
        <w:t xml:space="preserve">s. These are a commonly used representative of human </w:t>
      </w:r>
      <w:r w:rsidR="008F561F" w:rsidRPr="003C0E2F">
        <w:t>monocyte</w:t>
      </w:r>
      <w:r w:rsidRPr="003C0E2F">
        <w:t xml:space="preserve"> and </w:t>
      </w:r>
      <w:r w:rsidR="008F561F" w:rsidRPr="003C0E2F">
        <w:t>macrophage</w:t>
      </w:r>
      <w:r w:rsidRPr="003C0E2F">
        <w:t xml:space="preserve"> responses, although there is some difference between THP-1 cell activity and primary cell response. THP-1 </w:t>
      </w:r>
      <w:r w:rsidR="008F561F" w:rsidRPr="003C0E2F">
        <w:t>monocyte</w:t>
      </w:r>
      <w:r w:rsidRPr="003C0E2F">
        <w:t xml:space="preserve">s and </w:t>
      </w:r>
      <w:r w:rsidR="008F561F" w:rsidRPr="003C0E2F">
        <w:t>macrophage</w:t>
      </w:r>
      <w:r w:rsidRPr="003C0E2F">
        <w:t xml:space="preserve"> have previously been shown to express IL-1β, IL-6, IL-8 and TNFα in response to LPS stimulation, though may not produce </w:t>
      </w:r>
      <w:proofErr w:type="spellStart"/>
      <w:r w:rsidRPr="003C0E2F">
        <w:t>iNOS</w:t>
      </w:r>
      <w:proofErr w:type="spellEnd"/>
      <w:r w:rsidRPr="003C0E2F">
        <w:t xml:space="preserve"> </w:t>
      </w:r>
      <w:sdt>
        <w:sdtPr>
          <w:tag w:val="MENDELEY_CITATION_v3_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"/>
          <w:id w:val="-241946150"/>
          <w:placeholder>
            <w:docPart w:val="DefaultPlaceholder_-1854013440"/>
          </w:placeholder>
        </w:sdtPr>
        <w:sdtEndPr/>
        <w:sdtContent>
          <w:r w:rsidR="00F257B9">
            <w:rPr>
              <w:rFonts w:eastAsia="Times New Roman"/>
            </w:rPr>
            <w:t>(</w:t>
          </w:r>
          <w:proofErr w:type="spellStart"/>
          <w:r w:rsidR="00F257B9">
            <w:rPr>
              <w:rFonts w:eastAsia="Times New Roman"/>
            </w:rPr>
            <w:t>Chanput</w:t>
          </w:r>
          <w:proofErr w:type="spellEnd"/>
          <w:r w:rsidR="00F257B9">
            <w:rPr>
              <w:rFonts w:eastAsia="Times New Roman"/>
            </w:rPr>
            <w:t xml:space="preserve"> </w:t>
          </w:r>
          <w:r w:rsidR="00F257B9">
            <w:rPr>
              <w:rFonts w:eastAsia="Times New Roman"/>
              <w:i/>
              <w:iCs/>
            </w:rPr>
            <w:t>et al.</w:t>
          </w:r>
          <w:r w:rsidR="00F257B9">
            <w:rPr>
              <w:rFonts w:eastAsia="Times New Roman"/>
            </w:rPr>
            <w:t>, 2010)</w:t>
          </w:r>
        </w:sdtContent>
      </w:sdt>
      <w:r w:rsidRPr="003C0E2F">
        <w:t xml:space="preserve">. This lack of </w:t>
      </w:r>
      <w:proofErr w:type="spellStart"/>
      <w:r w:rsidRPr="003C0E2F">
        <w:t>iNOS</w:t>
      </w:r>
      <w:proofErr w:type="spellEnd"/>
      <w:r w:rsidRPr="003C0E2F">
        <w:t xml:space="preserve"> production appears to be paralleled in primary cells also </w:t>
      </w:r>
      <w:sdt>
        <w:sdtPr>
          <w:tag w:val="MENDELEY_CITATION_v3_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"/>
          <w:id w:val="-1713726020"/>
          <w:placeholder>
            <w:docPart w:val="DefaultPlaceholder_-1854013440"/>
          </w:placeholder>
        </w:sdtPr>
        <w:sdtEndPr/>
        <w:sdtContent>
          <w:r w:rsidR="00F257B9">
            <w:rPr>
              <w:rFonts w:eastAsia="Times New Roman"/>
            </w:rPr>
            <w:t>(</w:t>
          </w:r>
          <w:proofErr w:type="spellStart"/>
          <w:r w:rsidR="00F257B9">
            <w:rPr>
              <w:rFonts w:eastAsia="Times New Roman"/>
            </w:rPr>
            <w:t>Skorokhod</w:t>
          </w:r>
          <w:proofErr w:type="spellEnd"/>
          <w:r w:rsidR="00F257B9">
            <w:rPr>
              <w:rFonts w:eastAsia="Times New Roman"/>
            </w:rPr>
            <w:t xml:space="preserve"> </w:t>
          </w:r>
          <w:r w:rsidR="00F257B9">
            <w:rPr>
              <w:rFonts w:eastAsia="Times New Roman"/>
              <w:i/>
              <w:iCs/>
            </w:rPr>
            <w:t>et al.</w:t>
          </w:r>
          <w:r w:rsidR="00F257B9">
            <w:rPr>
              <w:rFonts w:eastAsia="Times New Roman"/>
            </w:rPr>
            <w:t>, 2007)</w:t>
          </w:r>
        </w:sdtContent>
      </w:sdt>
      <w:r w:rsidRPr="003C0E2F">
        <w:t xml:space="preserve">. However, further studies have reported </w:t>
      </w:r>
      <w:proofErr w:type="spellStart"/>
      <w:r w:rsidRPr="003C0E2F">
        <w:t>iNOS</w:t>
      </w:r>
      <w:proofErr w:type="spellEnd"/>
      <w:r w:rsidRPr="003C0E2F">
        <w:t xml:space="preserve"> production in </w:t>
      </w:r>
      <w:r w:rsidR="008F561F" w:rsidRPr="003C0E2F">
        <w:t>macrophage</w:t>
      </w:r>
      <w:r w:rsidRPr="003C0E2F">
        <w:t>s</w:t>
      </w:r>
      <w:r w:rsidR="002E485F" w:rsidRPr="003C0E2F">
        <w:t xml:space="preserve"> </w:t>
      </w:r>
      <w:bookmarkStart w:id="172" w:name="_Hlk80819869"/>
      <w:sdt>
        <w:sdtPr>
          <w:tag w:val="MENDELEY_CITATION_v3_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"/>
          <w:id w:val="2083025206"/>
          <w:placeholder>
            <w:docPart w:val="12B26F0E92EC492C842F141FD8A50B8A"/>
          </w:placeholder>
        </w:sdtPr>
        <w:sdtEndPr/>
        <w:sdtContent>
          <w:r w:rsidR="00F257B9">
            <w:rPr>
              <w:rFonts w:eastAsia="Times New Roman"/>
            </w:rPr>
            <w:t>(</w:t>
          </w:r>
          <w:proofErr w:type="spellStart"/>
          <w:r w:rsidR="00F257B9">
            <w:rPr>
              <w:rFonts w:eastAsia="Times New Roman"/>
            </w:rPr>
            <w:t>Zughaier</w:t>
          </w:r>
          <w:proofErr w:type="spellEnd"/>
          <w:r w:rsidR="00F257B9">
            <w:rPr>
              <w:rFonts w:eastAsia="Times New Roman"/>
            </w:rPr>
            <w:t xml:space="preserve"> </w:t>
          </w:r>
          <w:r w:rsidR="00F257B9">
            <w:rPr>
              <w:rFonts w:eastAsia="Times New Roman"/>
              <w:i/>
              <w:iCs/>
            </w:rPr>
            <w:t>et al.</w:t>
          </w:r>
          <w:r w:rsidR="00F257B9">
            <w:rPr>
              <w:rFonts w:eastAsia="Times New Roman"/>
            </w:rPr>
            <w:t>, 2005)</w:t>
          </w:r>
        </w:sdtContent>
      </w:sdt>
      <w:bookmarkEnd w:id="172"/>
      <w:r w:rsidRPr="003C0E2F">
        <w:t>. This disparity may be the result of experimental difference such as use of LPS of different origins</w:t>
      </w:r>
      <w:r w:rsidR="002E485F" w:rsidRPr="003C0E2F">
        <w:t>.</w:t>
      </w:r>
      <w:r w:rsidR="0057165B" w:rsidRPr="003C0E2F">
        <w:t xml:space="preserve"> </w:t>
      </w:r>
      <w:r w:rsidRPr="003C0E2F">
        <w:t xml:space="preserve">Similarities in timed </w:t>
      </w:r>
      <w:r w:rsidR="008F561F" w:rsidRPr="003C0E2F">
        <w:t>effect</w:t>
      </w:r>
      <w:r w:rsidRPr="003C0E2F">
        <w:t xml:space="preserve">s are </w:t>
      </w:r>
      <w:r w:rsidR="0057165B" w:rsidRPr="003C0E2F">
        <w:t>typically</w:t>
      </w:r>
      <w:r w:rsidRPr="003C0E2F">
        <w:t xml:space="preserve"> observed in cytokine production, </w:t>
      </w:r>
      <w:bookmarkStart w:id="173" w:name="_Hlk80820000"/>
      <w:r w:rsidRPr="003C0E2F">
        <w:t xml:space="preserve">whereby </w:t>
      </w:r>
      <w:r w:rsidR="00446F6F" w:rsidRPr="003C0E2F">
        <w:t xml:space="preserve">the </w:t>
      </w:r>
      <w:r w:rsidR="00255451" w:rsidRPr="003C0E2F">
        <w:t>release of</w:t>
      </w:r>
      <w:r w:rsidRPr="003C0E2F">
        <w:t xml:space="preserve"> TNFα is comparable between THP-1 cells and PBMCs</w:t>
      </w:r>
      <w:r w:rsidR="00096BF7" w:rsidRPr="003C0E2F">
        <w:t xml:space="preserve"> </w:t>
      </w:r>
      <w:bookmarkEnd w:id="173"/>
      <w:sdt>
        <w:sdtPr>
          <w:tag w:val="MENDELEY_CITATION_v3_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"/>
          <w:id w:val="-1975206048"/>
          <w:placeholder>
            <w:docPart w:val="DefaultPlaceholder_-1854013440"/>
          </w:placeholder>
        </w:sdtPr>
        <w:sdtEndPr/>
        <w:sdtContent>
          <w:r w:rsidR="00F257B9">
            <w:rPr>
              <w:rFonts w:eastAsia="Times New Roman"/>
            </w:rPr>
            <w:t>(</w:t>
          </w:r>
          <w:proofErr w:type="spellStart"/>
          <w:r w:rsidR="00F257B9">
            <w:rPr>
              <w:rFonts w:eastAsia="Times New Roman"/>
            </w:rPr>
            <w:t>Bruckmeier</w:t>
          </w:r>
          <w:proofErr w:type="spellEnd"/>
          <w:r w:rsidR="00F257B9">
            <w:rPr>
              <w:rFonts w:eastAsia="Times New Roman"/>
            </w:rPr>
            <w:t xml:space="preserve"> </w:t>
          </w:r>
          <w:r w:rsidR="00F257B9">
            <w:rPr>
              <w:rFonts w:eastAsia="Times New Roman"/>
              <w:i/>
              <w:iCs/>
            </w:rPr>
            <w:t>et al.</w:t>
          </w:r>
          <w:r w:rsidR="00F257B9">
            <w:rPr>
              <w:rFonts w:eastAsia="Times New Roman"/>
            </w:rPr>
            <w:t>, 2012)</w:t>
          </w:r>
        </w:sdtContent>
      </w:sdt>
      <w:r w:rsidRPr="003C0E2F">
        <w:t xml:space="preserve">. </w:t>
      </w:r>
      <w:r w:rsidR="0057165B" w:rsidRPr="003C0E2F">
        <w:t>Despite this, f</w:t>
      </w:r>
      <w:r w:rsidRPr="003C0E2F">
        <w:t xml:space="preserve">ollowing stimulation </w:t>
      </w:r>
      <w:r w:rsidR="0057165B" w:rsidRPr="003C0E2F">
        <w:t xml:space="preserve">LPS can elicit a much </w:t>
      </w:r>
      <w:r w:rsidRPr="003C0E2F">
        <w:t>stronger response</w:t>
      </w:r>
      <w:r w:rsidR="0057165B" w:rsidRPr="003C0E2F">
        <w:t xml:space="preserve"> in PBMCs than in THP-1 cells</w:t>
      </w:r>
      <w:r w:rsidRPr="003C0E2F">
        <w:t xml:space="preserve"> through expression of higher concentrations of TLR4 associated cytokines </w:t>
      </w:r>
      <w:sdt>
        <w:sdtPr>
          <w:tag w:val="MENDELEY_CITATION_v3_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"/>
          <w:id w:val="1027294567"/>
          <w:placeholder>
            <w:docPart w:val="DefaultPlaceholder_-1854013440"/>
          </w:placeholder>
        </w:sdtPr>
        <w:sdtEndPr/>
        <w:sdtContent>
          <w:r w:rsidR="00F257B9">
            <w:rPr>
              <w:rFonts w:eastAsia="Times New Roman"/>
            </w:rPr>
            <w:t>(</w:t>
          </w:r>
          <w:proofErr w:type="spellStart"/>
          <w:r w:rsidR="00F257B9">
            <w:rPr>
              <w:rFonts w:eastAsia="Times New Roman"/>
            </w:rPr>
            <w:t>Bruckmeier</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2012; </w:t>
          </w:r>
          <w:proofErr w:type="spellStart"/>
          <w:r w:rsidR="00F257B9">
            <w:rPr>
              <w:rFonts w:eastAsia="Times New Roman"/>
            </w:rPr>
            <w:t>Schildberger</w:t>
          </w:r>
          <w:proofErr w:type="spellEnd"/>
          <w:r w:rsidR="00F257B9">
            <w:rPr>
              <w:rFonts w:eastAsia="Times New Roman"/>
            </w:rPr>
            <w:t xml:space="preserve"> </w:t>
          </w:r>
          <w:r w:rsidR="00F257B9">
            <w:rPr>
              <w:rFonts w:eastAsia="Times New Roman"/>
              <w:i/>
              <w:iCs/>
            </w:rPr>
            <w:t>et al.</w:t>
          </w:r>
          <w:r w:rsidR="00F257B9">
            <w:rPr>
              <w:rFonts w:eastAsia="Times New Roman"/>
            </w:rPr>
            <w:t>, 2013)</w:t>
          </w:r>
        </w:sdtContent>
      </w:sdt>
      <w:r w:rsidRPr="003C0E2F">
        <w:t xml:space="preserve">. Further to this, PMA differentiated THP-1 </w:t>
      </w:r>
      <w:r w:rsidR="008F561F" w:rsidRPr="003C0E2F">
        <w:t>macrophage</w:t>
      </w:r>
      <w:r w:rsidRPr="003C0E2F">
        <w:t>s may not show the same expression profiles as primary cells in association with M1/M2 phenotypes. For example, CD206 expression does not appear to associate with M2 phenotype in THP-1 cells</w:t>
      </w:r>
      <w:r w:rsidR="0057165B" w:rsidRPr="003C0E2F">
        <w:t xml:space="preserve"> despite being present in PBMCs</w:t>
      </w:r>
      <w:r w:rsidRPr="003C0E2F">
        <w:t>. Additionally, CD163 appears to be absent</w:t>
      </w:r>
      <w:r w:rsidR="00096BF7" w:rsidRPr="003C0E2F">
        <w:t xml:space="preserve"> </w:t>
      </w:r>
      <w:sdt>
        <w:sdtPr>
          <w:tag w:val="MENDELEY_CITATION_v3_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"/>
          <w:id w:val="1531376655"/>
          <w:placeholder>
            <w:docPart w:val="DefaultPlaceholder_-1854013440"/>
          </w:placeholder>
        </w:sdtPr>
        <w:sdtEndPr/>
        <w:sdtContent>
          <w:r w:rsidR="00F257B9">
            <w:rPr>
              <w:rFonts w:eastAsia="Times New Roman"/>
            </w:rPr>
            <w:t xml:space="preserve">(Tedesco </w:t>
          </w:r>
          <w:r w:rsidR="00F257B9">
            <w:rPr>
              <w:rFonts w:eastAsia="Times New Roman"/>
              <w:i/>
              <w:iCs/>
            </w:rPr>
            <w:t>et al.</w:t>
          </w:r>
          <w:r w:rsidR="00F257B9">
            <w:rPr>
              <w:rFonts w:eastAsia="Times New Roman"/>
            </w:rPr>
            <w:t>, 2018)</w:t>
          </w:r>
        </w:sdtContent>
      </w:sdt>
      <w:r w:rsidRPr="003C0E2F">
        <w:t xml:space="preserve">. In most cases, studies carried out in THP-1 cells can provide a decent representation of normal </w:t>
      </w:r>
      <w:r w:rsidR="008F561F" w:rsidRPr="003C0E2F">
        <w:t>monocyte</w:t>
      </w:r>
      <w:r w:rsidRPr="003C0E2F">
        <w:t xml:space="preserve"> and </w:t>
      </w:r>
      <w:r w:rsidR="008F561F" w:rsidRPr="003C0E2F">
        <w:t>macrophage</w:t>
      </w:r>
      <w:r w:rsidRPr="003C0E2F">
        <w:t xml:space="preserve"> function and predict response in PBMC, </w:t>
      </w:r>
      <w:r w:rsidR="0057165B" w:rsidRPr="003C0E2F">
        <w:t>but</w:t>
      </w:r>
      <w:r w:rsidRPr="003C0E2F">
        <w:t xml:space="preserve"> it is necessary to verify results in primary and full</w:t>
      </w:r>
      <w:r w:rsidR="0057165B" w:rsidRPr="003C0E2F">
        <w:t xml:space="preserve"> </w:t>
      </w:r>
      <w:r w:rsidRPr="003C0E2F">
        <w:t xml:space="preserve">system </w:t>
      </w:r>
      <w:r w:rsidR="0057165B" w:rsidRPr="003C0E2F">
        <w:rPr>
          <w:i/>
          <w:iCs/>
        </w:rPr>
        <w:t xml:space="preserve">in vivo </w:t>
      </w:r>
      <w:r w:rsidRPr="003C0E2F">
        <w:t>models where possible.</w:t>
      </w:r>
    </w:p>
    <w:p w14:paraId="667BAE10" w14:textId="44B64346" w:rsidR="00545C87" w:rsidRPr="003C0E2F" w:rsidRDefault="00545C87" w:rsidP="00BE5236">
      <w:r w:rsidRPr="003C0E2F">
        <w:br w:type="page"/>
      </w:r>
    </w:p>
    <w:p w14:paraId="09510BAE" w14:textId="19AB2851" w:rsidR="000A3629" w:rsidRPr="003C0E2F" w:rsidRDefault="000A3629" w:rsidP="000A3629">
      <w:pPr>
        <w:pStyle w:val="Heading2"/>
      </w:pPr>
      <w:bookmarkStart w:id="174" w:name="_Toc80013737"/>
      <w:bookmarkStart w:id="175" w:name="_Toc82882357"/>
      <w:bookmarkStart w:id="176" w:name="_Hlk64284783"/>
      <w:bookmarkEnd w:id="171"/>
      <w:r w:rsidRPr="003C0E2F">
        <w:lastRenderedPageBreak/>
        <w:t xml:space="preserve">Cancer </w:t>
      </w:r>
      <w:r w:rsidR="00F10B6F" w:rsidRPr="003C0E2F">
        <w:t>i</w:t>
      </w:r>
      <w:r w:rsidRPr="003C0E2F">
        <w:t>mmunotherapy and TLRs</w:t>
      </w:r>
      <w:bookmarkEnd w:id="174"/>
      <w:bookmarkEnd w:id="175"/>
    </w:p>
    <w:p w14:paraId="155D4AAD" w14:textId="77777777" w:rsidR="00C47D55" w:rsidRPr="003C0E2F" w:rsidRDefault="00C47D55" w:rsidP="00C47D55">
      <w:r w:rsidRPr="003C0E2F">
        <w:t xml:space="preserve">Immunotherapeutic strategies take advantage of the natural systems by which the immune system removes potential malignancies from the body. Natural defence mechanisms </w:t>
      </w:r>
      <w:proofErr w:type="gramStart"/>
      <w:r w:rsidRPr="003C0E2F">
        <w:t>are capable of recognising</w:t>
      </w:r>
      <w:proofErr w:type="gramEnd"/>
      <w:r w:rsidRPr="003C0E2F">
        <w:t xml:space="preserve"> and potentially suppressing the development of aberrant host-derived cells within the body. Cancer immunotherapy encompasses methods of stimulation of immune response through strategies such as vaccination using cancer associated antigens, external development to specific antibodies, innate immune stimulation, and cytokine treatments. </w:t>
      </w:r>
    </w:p>
    <w:p w14:paraId="39080D73" w14:textId="6336D600" w:rsidR="00C47D55" w:rsidRPr="003C0E2F" w:rsidRDefault="00C47D55" w:rsidP="00C47D55">
      <w:r w:rsidRPr="003C0E2F">
        <w:t xml:space="preserve">Despite the promise of immunotherapeutic strategies </w:t>
      </w:r>
      <w:proofErr w:type="gramStart"/>
      <w:r w:rsidRPr="003C0E2F">
        <w:t>as a means to</w:t>
      </w:r>
      <w:proofErr w:type="gramEnd"/>
      <w:r w:rsidRPr="003C0E2F">
        <w:t xml:space="preserve"> combat cancers, many early immunotherapy strategies did not yield much success. This may be in part due to the ability of many cancers to suppress natural immune response </w:t>
      </w:r>
      <w:proofErr w:type="gramStart"/>
      <w:r w:rsidRPr="003C0E2F">
        <w:t>in order to</w:t>
      </w:r>
      <w:proofErr w:type="gramEnd"/>
      <w:r w:rsidRPr="003C0E2F">
        <w:t xml:space="preserve"> circumvent detection. More recently, combination therapies have shown more success. Pre-treatment of patients with lymphodepleting chemotherapy was shown to improve the </w:t>
      </w:r>
      <w:r w:rsidR="008F561F" w:rsidRPr="003C0E2F">
        <w:t>effect</w:t>
      </w:r>
      <w:r w:rsidRPr="003C0E2F">
        <w:t>iveness of T-cell and IL-2</w:t>
      </w:r>
      <w:r w:rsidR="00A9277D" w:rsidRPr="003C0E2F">
        <w:t>-</w:t>
      </w:r>
      <w:r w:rsidR="009E0322" w:rsidRPr="003C0E2F">
        <w:t>dependent</w:t>
      </w:r>
      <w:r w:rsidRPr="003C0E2F">
        <w:t xml:space="preserve"> therapies in treatment of metastatic melanoma </w:t>
      </w:r>
      <w:sdt>
        <w:sdtPr>
          <w:tag w:val="MENDELEY_CITATION_v3_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"/>
          <w:id w:val="-569881039"/>
          <w:placeholder>
            <w:docPart w:val="DefaultPlaceholder_-1854013440"/>
          </w:placeholder>
        </w:sdtPr>
        <w:sdtEndPr/>
        <w:sdtContent>
          <w:r w:rsidR="00F257B9">
            <w:rPr>
              <w:rFonts w:eastAsia="Times New Roman"/>
            </w:rPr>
            <w:t xml:space="preserve">(Rosenberg and Dudley, 2009; Sharma </w:t>
          </w:r>
          <w:r w:rsidR="00F257B9">
            <w:rPr>
              <w:rFonts w:eastAsia="Times New Roman"/>
              <w:i/>
              <w:iCs/>
            </w:rPr>
            <w:t>et al.</w:t>
          </w:r>
          <w:r w:rsidR="00F257B9">
            <w:rPr>
              <w:rFonts w:eastAsia="Times New Roman"/>
            </w:rPr>
            <w:t>, 2011)</w:t>
          </w:r>
        </w:sdtContent>
      </w:sdt>
      <w:r w:rsidRPr="003C0E2F">
        <w:t>. Combination therapies thereby represent an interesting avenue for development of novel cancer treatment strategies.</w:t>
      </w:r>
    </w:p>
    <w:p w14:paraId="6197D5B6" w14:textId="0D5100BA" w:rsidR="00577912" w:rsidRPr="003C0E2F" w:rsidRDefault="00C47D55" w:rsidP="00C47D55">
      <w:r w:rsidRPr="003C0E2F">
        <w:t xml:space="preserve">TLR agonists have the potential to improve the </w:t>
      </w:r>
      <w:r w:rsidR="008F561F" w:rsidRPr="003C0E2F">
        <w:t>effect</w:t>
      </w:r>
      <w:r w:rsidRPr="003C0E2F">
        <w:t xml:space="preserve">iveness of cancer immunotherapies through priming immune response. TLR agonists have previously show potential to be used as adjuvants for anticancer vaccines. Activation of antigen producing cells, such as </w:t>
      </w:r>
      <w:r w:rsidR="008F561F" w:rsidRPr="003C0E2F">
        <w:t>macrophage</w:t>
      </w:r>
      <w:r w:rsidRPr="003C0E2F">
        <w:t>s and dendritic cells, can also be used to prime T-cells in cancer immunotherapies. A synthetic glycolipid, CCL-34, has recently been shown stimulate autophagy via TLR4 and upregulate T-cell proliferation, which contributed to antigen specific immune activity in mice</w:t>
      </w:r>
      <w:r w:rsidR="00B96D61" w:rsidRPr="003C0E2F">
        <w:t xml:space="preserve"> </w:t>
      </w:r>
      <w:sdt>
        <w:sdtPr>
          <w:tag w:val="MENDELEY_CITATION_v3_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"/>
          <w:id w:val="-1052689103"/>
          <w:placeholder>
            <w:docPart w:val="DefaultPlaceholder_-1854013440"/>
          </w:placeholder>
        </w:sdtPr>
        <w:sdtEndPr/>
        <w:sdtContent>
          <w:r w:rsidR="00F257B9">
            <w:rPr>
              <w:rFonts w:eastAsia="Times New Roman"/>
            </w:rPr>
            <w:t xml:space="preserve">(Chou </w:t>
          </w:r>
          <w:r w:rsidR="00F257B9">
            <w:rPr>
              <w:rFonts w:eastAsia="Times New Roman"/>
              <w:i/>
              <w:iCs/>
            </w:rPr>
            <w:t>et al.</w:t>
          </w:r>
          <w:r w:rsidR="00F257B9">
            <w:rPr>
              <w:rFonts w:eastAsia="Times New Roman"/>
            </w:rPr>
            <w:t>, 2020)</w:t>
          </w:r>
        </w:sdtContent>
      </w:sdt>
      <w:r w:rsidRPr="003C0E2F">
        <w:t xml:space="preserve">.  TLR2 upregulation can help to counteract the immunosuppressive </w:t>
      </w:r>
      <w:r w:rsidR="008F561F" w:rsidRPr="003C0E2F">
        <w:t>effect</w:t>
      </w:r>
      <w:r w:rsidRPr="003C0E2F">
        <w:t xml:space="preserve"> of Treg cells and lead to tumour regression </w:t>
      </w:r>
      <w:sdt>
        <w:sdtPr>
          <w:tag w:val="MENDELEY_CITATION_v3_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"/>
          <w:id w:val="288935238"/>
          <w:placeholder>
            <w:docPart w:val="DefaultPlaceholder_-1854013440"/>
          </w:placeholder>
        </w:sdtPr>
        <w:sdtEndPr/>
        <w:sdtContent>
          <w:r w:rsidR="00F257B9">
            <w:rPr>
              <w:rFonts w:eastAsia="Times New Roman"/>
            </w:rPr>
            <w:t xml:space="preserve">(Zhang </w:t>
          </w:r>
          <w:r w:rsidR="00F257B9">
            <w:rPr>
              <w:rFonts w:eastAsia="Times New Roman"/>
              <w:i/>
              <w:iCs/>
            </w:rPr>
            <w:t>et al.</w:t>
          </w:r>
          <w:r w:rsidR="00F257B9">
            <w:rPr>
              <w:rFonts w:eastAsia="Times New Roman"/>
            </w:rPr>
            <w:t>, 2011)</w:t>
          </w:r>
        </w:sdtContent>
      </w:sdt>
      <w:r w:rsidRPr="003C0E2F">
        <w:t xml:space="preserve"> Further to this, co-delivery of multiple TLR activators may also act as potent adjuvants may provide stronger synergistic </w:t>
      </w:r>
      <w:r w:rsidR="008F561F" w:rsidRPr="003C0E2F">
        <w:t>effect</w:t>
      </w:r>
      <w:r w:rsidRPr="003C0E2F">
        <w:t xml:space="preserve">s. Combined MPLA/CpG administration using lipid nanocarriers can facilitate concurrent activation of TLR4 and TLR9 and has been shown to exhibit </w:t>
      </w:r>
      <w:r w:rsidRPr="003C0E2F">
        <w:lastRenderedPageBreak/>
        <w:t xml:space="preserve">stronger anti-tumorigenic </w:t>
      </w:r>
      <w:r w:rsidR="008F561F" w:rsidRPr="003C0E2F">
        <w:t>effect</w:t>
      </w:r>
      <w:r w:rsidRPr="003C0E2F">
        <w:t xml:space="preserve">s and T-cell stimulatory responses than alone or in conjunction without nanocarrier delivery </w:t>
      </w:r>
      <w:sdt>
        <w:sdtPr>
          <w:tag w:val="MENDELEY_CITATION_v3_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"/>
          <w:id w:val="1447267838"/>
          <w:placeholder>
            <w:docPart w:val="DefaultPlaceholder_-1854013440"/>
          </w:placeholder>
        </w:sdtPr>
        <w:sdtEndPr/>
        <w:sdtContent>
          <w:r w:rsidR="00F257B9">
            <w:rPr>
              <w:rFonts w:eastAsia="Times New Roman"/>
            </w:rPr>
            <w:t xml:space="preserve">(Kuai </w:t>
          </w:r>
          <w:r w:rsidR="00F257B9">
            <w:rPr>
              <w:rFonts w:eastAsia="Times New Roman"/>
              <w:i/>
              <w:iCs/>
            </w:rPr>
            <w:t>et al.</w:t>
          </w:r>
          <w:r w:rsidR="00F257B9">
            <w:rPr>
              <w:rFonts w:eastAsia="Times New Roman"/>
            </w:rPr>
            <w:t>, 2018)</w:t>
          </w:r>
        </w:sdtContent>
      </w:sdt>
      <w:r w:rsidRPr="003C0E2F">
        <w:t xml:space="preserve"> Despite positive </w:t>
      </w:r>
      <w:r w:rsidR="008F561F" w:rsidRPr="003C0E2F">
        <w:t>effect</w:t>
      </w:r>
      <w:r w:rsidRPr="003C0E2F">
        <w:t xml:space="preserve">s seen in some TLR therapies, there have also been negative </w:t>
      </w:r>
      <w:r w:rsidR="008F561F" w:rsidRPr="003C0E2F">
        <w:t>effect</w:t>
      </w:r>
      <w:r w:rsidRPr="003C0E2F">
        <w:t xml:space="preserve">s seen in response to TLR agonists. This may depend in part on the exact mechanism by which agonists are affecting TLR signalling. While some TLR2 agonists may downregulate the Treg suppressive </w:t>
      </w:r>
      <w:r w:rsidR="008F561F" w:rsidRPr="003C0E2F">
        <w:t>effect</w:t>
      </w:r>
      <w:r w:rsidRPr="003C0E2F">
        <w:t xml:space="preserve">s, TLR4 upregulation by HMGB1 has been shown to increase immunosuppressive </w:t>
      </w:r>
      <w:r w:rsidR="008F561F" w:rsidRPr="003C0E2F">
        <w:t>effect</w:t>
      </w:r>
      <w:r w:rsidRPr="003C0E2F">
        <w:t xml:space="preserve">s in Treg cells which may facilitate cancer progression </w:t>
      </w:r>
      <w:sdt>
        <w:sdtPr>
          <w:tag w:val="MENDELEY_CITATION_v3_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"/>
          <w:id w:val="308611748"/>
          <w:placeholder>
            <w:docPart w:val="DefaultPlaceholder_-1854013440"/>
          </w:placeholder>
        </w:sdtPr>
        <w:sdtEndPr/>
        <w:sdtContent>
          <w:r w:rsidR="00F257B9">
            <w:rPr>
              <w:rFonts w:eastAsia="Times New Roman"/>
            </w:rPr>
            <w:t xml:space="preserve">(Zhu </w:t>
          </w:r>
          <w:r w:rsidR="00F257B9">
            <w:rPr>
              <w:rFonts w:eastAsia="Times New Roman"/>
              <w:i/>
              <w:iCs/>
            </w:rPr>
            <w:t>et al.</w:t>
          </w:r>
          <w:r w:rsidR="00F257B9">
            <w:rPr>
              <w:rFonts w:eastAsia="Times New Roman"/>
            </w:rPr>
            <w:t>, 2011)</w:t>
          </w:r>
        </w:sdtContent>
      </w:sdt>
      <w:r w:rsidRPr="003C0E2F">
        <w:t xml:space="preserve"> Novel antagonists which provide differential activation of TLR signalling may be of interest in TLR agonists used in conjunction with cancer immunotherapies.</w:t>
      </w:r>
      <w:bookmarkEnd w:id="176"/>
      <w:r w:rsidR="00577912" w:rsidRPr="003C0E2F">
        <w:br w:type="page"/>
      </w:r>
    </w:p>
    <w:p w14:paraId="7A9E3D3F" w14:textId="76347357" w:rsidR="00F64F9A" w:rsidRPr="003C0E2F" w:rsidRDefault="00F64F9A" w:rsidP="000A3629">
      <w:pPr>
        <w:pStyle w:val="Heading2"/>
      </w:pPr>
      <w:bookmarkStart w:id="177" w:name="_Toc80013738"/>
      <w:bookmarkStart w:id="178" w:name="_Toc82882358"/>
      <w:r w:rsidRPr="003C0E2F">
        <w:lastRenderedPageBreak/>
        <w:t xml:space="preserve">Modulation of TLR4 by </w:t>
      </w:r>
      <w:r w:rsidR="00BC03B9" w:rsidRPr="003C0E2F">
        <w:t>n</w:t>
      </w:r>
      <w:r w:rsidRPr="003C0E2F">
        <w:t xml:space="preserve">ovel </w:t>
      </w:r>
      <w:r w:rsidR="000A1BFB" w:rsidRPr="003C0E2F">
        <w:t>l</w:t>
      </w:r>
      <w:r w:rsidRPr="003C0E2F">
        <w:t xml:space="preserve">ipid A </w:t>
      </w:r>
      <w:r w:rsidR="00BC03B9" w:rsidRPr="003C0E2F">
        <w:t>m</w:t>
      </w:r>
      <w:r w:rsidRPr="003C0E2F">
        <w:t xml:space="preserve">imetic </w:t>
      </w:r>
      <w:r w:rsidR="00BC03B9" w:rsidRPr="003C0E2F">
        <w:t>m</w:t>
      </w:r>
      <w:r w:rsidRPr="003C0E2F">
        <w:t>olecules</w:t>
      </w:r>
      <w:bookmarkEnd w:id="177"/>
      <w:bookmarkEnd w:id="178"/>
    </w:p>
    <w:p w14:paraId="7B4D0C62" w14:textId="68B00002" w:rsidR="00C47D55" w:rsidRPr="003C0E2F" w:rsidRDefault="00C47D55" w:rsidP="00C47D55">
      <w:r w:rsidRPr="003C0E2F">
        <w:t xml:space="preserve">Previously two TLR4 antagonists have reached clinical trials for the treatment of sepsis. </w:t>
      </w:r>
      <w:proofErr w:type="spellStart"/>
      <w:r w:rsidRPr="003C0E2F">
        <w:t>Eritoran</w:t>
      </w:r>
      <w:proofErr w:type="spellEnd"/>
      <w:r w:rsidRPr="003C0E2F">
        <w:t xml:space="preserve"> functioned as a competitive antagonist which prevented LPS binding to accessory molecules such as CD14 and LBP and subsequently the MD-2 pocket </w:t>
      </w:r>
      <w:sdt>
        <w:sdtPr>
          <w:tag w:val="MENDELEY_CITATION_v3_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"/>
          <w:id w:val="714481014"/>
          <w:placeholder>
            <w:docPart w:val="DefaultPlaceholder_-1854013440"/>
          </w:placeholder>
        </w:sdtPr>
        <w:sdtEndPr/>
        <w:sdtContent>
          <w:r w:rsidR="00F257B9">
            <w:rPr>
              <w:rFonts w:eastAsia="Times New Roman"/>
            </w:rPr>
            <w:t xml:space="preserve">(Kim </w:t>
          </w:r>
          <w:r w:rsidR="00F257B9">
            <w:rPr>
              <w:rFonts w:eastAsia="Times New Roman"/>
              <w:i/>
              <w:iCs/>
            </w:rPr>
            <w:t>et al.</w:t>
          </w:r>
          <w:r w:rsidR="00F257B9">
            <w:rPr>
              <w:rFonts w:eastAsia="Times New Roman"/>
            </w:rPr>
            <w:t>, 2007)</w:t>
          </w:r>
        </w:sdtContent>
      </w:sdt>
      <w:r w:rsidRPr="003C0E2F">
        <w:t xml:space="preserve">, while TAK242 is thought to interact with TLR4 signalling through binding to the intracellular signalling domain </w:t>
      </w:r>
      <w:sdt>
        <w:sdtPr>
          <w:tag w:val="MENDELEY_CITATION_v3_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"/>
          <w:id w:val="587501265"/>
          <w:placeholder>
            <w:docPart w:val="DefaultPlaceholder_-1854013440"/>
          </w:placeholder>
        </w:sdtPr>
        <w:sdtEndPr/>
        <w:sdtContent>
          <w:r w:rsidR="00F257B9">
            <w:rPr>
              <w:rFonts w:eastAsia="Times New Roman"/>
            </w:rPr>
            <w:t xml:space="preserve">(Takashima </w:t>
          </w:r>
          <w:r w:rsidR="00F257B9">
            <w:rPr>
              <w:rFonts w:eastAsia="Times New Roman"/>
              <w:i/>
              <w:iCs/>
            </w:rPr>
            <w:t>et al.</w:t>
          </w:r>
          <w:r w:rsidR="00F257B9">
            <w:rPr>
              <w:rFonts w:eastAsia="Times New Roman"/>
            </w:rPr>
            <w:t>, 2009)</w:t>
          </w:r>
        </w:sdtContent>
      </w:sdt>
      <w:r w:rsidRPr="003C0E2F">
        <w:t xml:space="preserve">. TAK242 appeared to function as a specific </w:t>
      </w:r>
      <w:r w:rsidR="00932BC2" w:rsidRPr="003C0E2F">
        <w:t>MyD88</w:t>
      </w:r>
      <w:r w:rsidR="00A9277D" w:rsidRPr="003C0E2F">
        <w:t>-</w:t>
      </w:r>
      <w:r w:rsidR="009E0322" w:rsidRPr="003C0E2F">
        <w:t>dependent</w:t>
      </w:r>
      <w:r w:rsidRPr="003C0E2F">
        <w:t xml:space="preserve"> antagonist </w:t>
      </w:r>
      <w:sdt>
        <w:sdtPr>
          <w:tag w:val="MENDELEY_CITATION_v3_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"/>
          <w:id w:val="1198586194"/>
          <w:placeholder>
            <w:docPart w:val="DefaultPlaceholder_-1854013440"/>
          </w:placeholder>
        </w:sdtPr>
        <w:sdtEndPr/>
        <w:sdtContent>
          <w:r w:rsidR="00F257B9">
            <w:rPr>
              <w:rFonts w:eastAsia="Times New Roman"/>
            </w:rPr>
            <w:t xml:space="preserve">(Kawamoto </w:t>
          </w:r>
          <w:r w:rsidR="00F257B9">
            <w:rPr>
              <w:rFonts w:eastAsia="Times New Roman"/>
              <w:i/>
              <w:iCs/>
            </w:rPr>
            <w:t>et al.</w:t>
          </w:r>
          <w:r w:rsidR="00F257B9">
            <w:rPr>
              <w:rFonts w:eastAsia="Times New Roman"/>
            </w:rPr>
            <w:t>, 2008)</w:t>
          </w:r>
        </w:sdtContent>
      </w:sdt>
      <w:r w:rsidRPr="003C0E2F">
        <w:t xml:space="preserve">. However, both molecules were discontinued in various phases of clinical evaluation due to lack of efficacy on upscaling. TAK242 failed to suppress sepsis related cytokine production, while </w:t>
      </w:r>
      <w:proofErr w:type="spellStart"/>
      <w:r w:rsidRPr="003C0E2F">
        <w:t>Eritoran</w:t>
      </w:r>
      <w:proofErr w:type="spellEnd"/>
      <w:r w:rsidRPr="003C0E2F">
        <w:t xml:space="preserve"> was discontinued after phase 3 large scale studies failed to replicate earlier success </w:t>
      </w:r>
      <w:sdt>
        <w:sdtPr>
          <w:tag w:val="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"/>
          <w:id w:val="1592741726"/>
          <w:placeholder>
            <w:docPart w:val="DefaultPlaceholder_-1854013440"/>
          </w:placeholder>
        </w:sdtPr>
        <w:sdtEndPr/>
        <w:sdtContent>
          <w:r w:rsidR="00F257B9">
            <w:rPr>
              <w:rFonts w:eastAsia="Times New Roman"/>
            </w:rPr>
            <w:t xml:space="preserve">(Rice </w:t>
          </w:r>
          <w:r w:rsidR="00F257B9">
            <w:rPr>
              <w:rFonts w:eastAsia="Times New Roman"/>
              <w:i/>
              <w:iCs/>
            </w:rPr>
            <w:t>et al.</w:t>
          </w:r>
          <w:r w:rsidR="00F257B9">
            <w:rPr>
              <w:rFonts w:eastAsia="Times New Roman"/>
            </w:rPr>
            <w:t xml:space="preserve">, 2010; Opal </w:t>
          </w:r>
          <w:r w:rsidR="00F257B9">
            <w:rPr>
              <w:rFonts w:eastAsia="Times New Roman"/>
              <w:i/>
              <w:iCs/>
            </w:rPr>
            <w:t>et al.</w:t>
          </w:r>
          <w:r w:rsidR="00F257B9">
            <w:rPr>
              <w:rFonts w:eastAsia="Times New Roman"/>
            </w:rPr>
            <w:t>, 2013)</w:t>
          </w:r>
        </w:sdtContent>
      </w:sdt>
      <w:r w:rsidRPr="003C0E2F">
        <w:t>.</w:t>
      </w:r>
      <w:r w:rsidR="0057165B" w:rsidRPr="003C0E2F">
        <w:t xml:space="preserve"> Alternative methods of sequestering LPS using </w:t>
      </w:r>
      <w:r w:rsidR="008612D0" w:rsidRPr="003C0E2F">
        <w:t>Polymyxin</w:t>
      </w:r>
      <w:r w:rsidR="0057165B" w:rsidRPr="003C0E2F">
        <w:t xml:space="preserve"> B have also proved in</w:t>
      </w:r>
      <w:r w:rsidR="008F561F" w:rsidRPr="003C0E2F">
        <w:t>effect</w:t>
      </w:r>
      <w:r w:rsidR="0057165B" w:rsidRPr="003C0E2F">
        <w:t xml:space="preserve">ual in sepsis treatments. </w:t>
      </w:r>
      <w:r w:rsidR="008612D0" w:rsidRPr="003C0E2F">
        <w:t>Polymyxin</w:t>
      </w:r>
      <w:r w:rsidR="0057165B" w:rsidRPr="003C0E2F">
        <w:t xml:space="preserve"> B can bind to LPS and may be used to remove LPS from samples. However, Polymyxin B could not bring about a reduction in the level of circulating LPS in patients suffering from sepsis </w:t>
      </w:r>
      <w:sdt>
        <w:sdtPr>
          <w:tag w:val="MENDELEY_CITATION_v3_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"/>
          <w:id w:val="729427481"/>
          <w:placeholder>
            <w:docPart w:val="50FF9EDE09F84EEC936C7961AA8213C7"/>
          </w:placeholder>
        </w:sdtPr>
        <w:sdtEndPr/>
        <w:sdtContent>
          <w:r w:rsidR="00F257B9">
            <w:rPr>
              <w:rFonts w:eastAsia="Times New Roman"/>
            </w:rPr>
            <w:t xml:space="preserve">(Vincent </w:t>
          </w:r>
          <w:r w:rsidR="00F257B9">
            <w:rPr>
              <w:rFonts w:eastAsia="Times New Roman"/>
              <w:i/>
              <w:iCs/>
            </w:rPr>
            <w:t>et al.</w:t>
          </w:r>
          <w:r w:rsidR="00F257B9">
            <w:rPr>
              <w:rFonts w:eastAsia="Times New Roman"/>
            </w:rPr>
            <w:t>, 2005)</w:t>
          </w:r>
        </w:sdtContent>
      </w:sdt>
      <w:r w:rsidR="0057165B" w:rsidRPr="003C0E2F">
        <w:t xml:space="preserve">. A further meta-analysis of </w:t>
      </w:r>
      <w:r w:rsidR="008612D0" w:rsidRPr="003C0E2F">
        <w:t>Polymyxin</w:t>
      </w:r>
      <w:r w:rsidR="0057165B" w:rsidRPr="003C0E2F">
        <w:t xml:space="preserve"> B in sepsis trials showed no significant </w:t>
      </w:r>
      <w:r w:rsidR="008F561F" w:rsidRPr="003C0E2F">
        <w:t>effect</w:t>
      </w:r>
      <w:r w:rsidR="0057165B" w:rsidRPr="003C0E2F">
        <w:t xml:space="preserve"> on 28-day mortality from 6 separate trials in 857 participants </w:t>
      </w:r>
      <w:sdt>
        <w:sdtPr>
          <w:rPr>
            <w:color w:val="000000"/>
          </w:rPr>
          <w:tag w:val="MENDELEY_CITATION_v3_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"/>
          <w:id w:val="1321768132"/>
          <w:placeholder>
            <w:docPart w:val="50FF9EDE09F84EEC936C7961AA8213C7"/>
          </w:placeholder>
        </w:sdtPr>
        <w:sdtEndPr/>
        <w:sdtContent>
          <w:r w:rsidR="00F257B9" w:rsidRPr="00F257B9">
            <w:rPr>
              <w:rFonts w:eastAsia="Times New Roman"/>
              <w:color w:val="000000"/>
            </w:rPr>
            <w:t>(</w:t>
          </w:r>
          <w:proofErr w:type="spellStart"/>
          <w:r w:rsidR="00F257B9" w:rsidRPr="00F257B9">
            <w:rPr>
              <w:rFonts w:eastAsia="Times New Roman"/>
              <w:color w:val="000000"/>
            </w:rPr>
            <w:t>Fujii</w:t>
          </w:r>
          <w:proofErr w:type="spellEnd"/>
          <w:r w:rsidR="00F257B9" w:rsidRPr="00F257B9">
            <w:rPr>
              <w:rFonts w:eastAsia="Times New Roman"/>
              <w:color w:val="000000"/>
            </w:rPr>
            <w:t xml:space="preserve"> et al., 2018</w:t>
          </w:r>
        </w:sdtContent>
      </w:sdt>
      <w:r w:rsidR="0057165B" w:rsidRPr="003C0E2F">
        <w:t>).</w:t>
      </w:r>
      <w:r w:rsidRPr="003C0E2F">
        <w:t xml:space="preserve"> As such, there is a clinical interest in identifying new TLR4 modulators.</w:t>
      </w:r>
    </w:p>
    <w:p w14:paraId="55E11731" w14:textId="6F5A2139" w:rsidR="00C47D55" w:rsidRPr="003C0E2F" w:rsidRDefault="00C47D55" w:rsidP="00C47D55">
      <w:r w:rsidRPr="003C0E2F">
        <w:t xml:space="preserve">Lipid A mimetics are structurally analogous of the lipid A domain of LPS (Figure </w:t>
      </w:r>
      <w:r w:rsidR="00562939" w:rsidRPr="003C0E2F">
        <w:t>9</w:t>
      </w:r>
      <w:r w:rsidRPr="003C0E2F">
        <w:t xml:space="preserve">). These molecules may interact with TLR4/MD-2 in a comparable way to LPS, but not necessarily cause activation of the receptor. Synthetic glycolipids can be formed through modification of existing molecules such as Lipid </w:t>
      </w:r>
      <w:proofErr w:type="spellStart"/>
      <w:r w:rsidRPr="003C0E2F">
        <w:t>IVa</w:t>
      </w:r>
      <w:proofErr w:type="spellEnd"/>
      <w:r w:rsidRPr="003C0E2F">
        <w:t xml:space="preserve"> or Lipid X. </w:t>
      </w:r>
      <w:proofErr w:type="spellStart"/>
      <w:r w:rsidRPr="003C0E2F">
        <w:t>Deacylation</w:t>
      </w:r>
      <w:proofErr w:type="spellEnd"/>
      <w:r w:rsidRPr="003C0E2F">
        <w:t xml:space="preserve">, glucosamine backbone modification and phosphate group removal can be achieved within bacterial strains </w:t>
      </w:r>
      <w:proofErr w:type="gramStart"/>
      <w:r w:rsidRPr="003C0E2F">
        <w:t>through the use of</w:t>
      </w:r>
      <w:proofErr w:type="gramEnd"/>
      <w:r w:rsidRPr="003C0E2F">
        <w:t xml:space="preserve"> enzymatic reactions. These strategies can be employed to develop unique synthetic molecules with controlled structures, designed for specific activity </w:t>
      </w:r>
      <w:sdt>
        <w:sdtPr>
          <w:rPr>
            <w:color w:val="000000"/>
          </w:rPr>
          <w:tag w:val="MENDELEY_CITATION_v3_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"/>
          <w:id w:val="93756061"/>
          <w:placeholder>
            <w:docPart w:val="DefaultPlaceholder_-1854013440"/>
          </w:placeholder>
        </w:sdtPr>
        <w:sdtEndPr/>
        <w:sdtContent>
          <w:r w:rsidR="00F257B9" w:rsidRPr="00F257B9">
            <w:rPr>
              <w:color w:val="000000"/>
            </w:rPr>
            <w:t>(Peri and Calabrese, 2014)</w:t>
          </w:r>
        </w:sdtContent>
      </w:sdt>
      <w:r w:rsidRPr="003C0E2F">
        <w:t>. In previous studies, these molecules have been shown to function in both an agonistic and antagonistic manner on TLR4</w:t>
      </w:r>
      <w:r w:rsidR="000A1BFB" w:rsidRPr="003C0E2F">
        <w:t xml:space="preserve"> induced</w:t>
      </w:r>
      <w:r w:rsidRPr="003C0E2F">
        <w:t xml:space="preserve"> signalling, as do LPS lipid A variants </w:t>
      </w:r>
      <w:sdt>
        <w:sdtPr>
          <w:tag w:val="MENDELEY_CITATION_v3_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"/>
          <w:id w:val="-1089547287"/>
          <w:placeholder>
            <w:docPart w:val="DefaultPlaceholder_-1854013440"/>
          </w:placeholder>
        </w:sdtPr>
        <w:sdtEndPr/>
        <w:sdtContent>
          <w:bookmarkStart w:id="179" w:name="_Hlk80820103"/>
          <w:r w:rsidR="00F257B9">
            <w:rPr>
              <w:rFonts w:eastAsia="Times New Roman"/>
            </w:rPr>
            <w:t xml:space="preserve">(Peri and Piazza, 2012; </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bookmarkEnd w:id="179"/>
      <w:r w:rsidRPr="003C0E2F">
        <w:t xml:space="preserve">. </w:t>
      </w:r>
    </w:p>
    <w:p w14:paraId="1812F0AF" w14:textId="661B9DB4" w:rsidR="00E437DF" w:rsidRPr="003C0E2F" w:rsidRDefault="00816BC4" w:rsidP="00E437DF">
      <w:r w:rsidRPr="003C0E2F">
        <w:rPr>
          <w:noProof/>
        </w:rPr>
        <w:lastRenderedPageBreak/>
        <w:drawing>
          <wp:inline distT="0" distB="0" distL="0" distR="0" wp14:anchorId="2D68C25C" wp14:editId="601C14F2">
            <wp:extent cx="5731510" cy="3202940"/>
            <wp:effectExtent l="0" t="0" r="254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5731510" cy="3202940"/>
                    </a:xfrm>
                    <a:prstGeom prst="rect">
                      <a:avLst/>
                    </a:prstGeom>
                  </pic:spPr>
                </pic:pic>
              </a:graphicData>
            </a:graphic>
          </wp:inline>
        </w:drawing>
      </w:r>
    </w:p>
    <w:p w14:paraId="29A834E1" w14:textId="5F6F8FEB" w:rsidR="00E437DF" w:rsidRPr="003C0E2F" w:rsidRDefault="00E437DF" w:rsidP="00FB2FD3">
      <w:pPr>
        <w:pStyle w:val="NoSpacing"/>
      </w:pPr>
      <w:bookmarkStart w:id="180" w:name="_Toc48514821"/>
      <w:bookmarkStart w:id="181" w:name="_Toc55583730"/>
      <w:bookmarkStart w:id="182" w:name="_Toc55584907"/>
      <w:bookmarkStart w:id="183" w:name="_Toc60584023"/>
      <w:bookmarkStart w:id="184" w:name="_Toc60638143"/>
      <w:bookmarkStart w:id="185" w:name="_Toc60638861"/>
      <w:bookmarkStart w:id="186" w:name="_Toc63111995"/>
      <w:bookmarkStart w:id="187" w:name="_Toc63112212"/>
      <w:bookmarkStart w:id="188" w:name="_Toc63270352"/>
      <w:bookmarkStart w:id="189" w:name="_Toc64533219"/>
      <w:bookmarkStart w:id="190" w:name="_Toc64551766"/>
      <w:bookmarkStart w:id="191" w:name="_Toc80013811"/>
      <w:bookmarkStart w:id="192" w:name="_Toc82882950"/>
      <w:r w:rsidRPr="003C0E2F">
        <w:t xml:space="preserve">Figure </w:t>
      </w:r>
      <w:r w:rsidR="00862981">
        <w:fldChar w:fldCharType="begin"/>
      </w:r>
      <w:r w:rsidR="00862981">
        <w:instrText xml:space="preserve"> SEQ Figure \* ARABIC </w:instrText>
      </w:r>
      <w:r w:rsidR="00862981">
        <w:fldChar w:fldCharType="separate"/>
      </w:r>
      <w:r w:rsidR="000F2276">
        <w:rPr>
          <w:noProof/>
        </w:rPr>
        <w:t>9</w:t>
      </w:r>
      <w:r w:rsidR="00862981">
        <w:rPr>
          <w:noProof/>
        </w:rPr>
        <w:fldChar w:fldCharType="end"/>
      </w:r>
      <w:r w:rsidR="00C47D55" w:rsidRPr="003C0E2F">
        <w:t>.</w:t>
      </w:r>
      <w:r w:rsidRPr="003C0E2F">
        <w:t xml:space="preserve"> </w:t>
      </w:r>
      <w:bookmarkEnd w:id="180"/>
      <w:bookmarkEnd w:id="181"/>
      <w:bookmarkEnd w:id="182"/>
      <w:bookmarkEnd w:id="183"/>
      <w:bookmarkEnd w:id="184"/>
      <w:bookmarkEnd w:id="185"/>
      <w:r w:rsidR="00C47D55" w:rsidRPr="003C0E2F">
        <w:t>Lipid A mimetic molecules. Comparative structure of</w:t>
      </w:r>
      <w:r w:rsidR="0056322A" w:rsidRPr="003C0E2F">
        <w:t xml:space="preserve"> A)</w:t>
      </w:r>
      <w:r w:rsidR="00C47D55" w:rsidRPr="003C0E2F">
        <w:t xml:space="preserve"> E. coli lipid A</w:t>
      </w:r>
      <w:r w:rsidR="0056322A" w:rsidRPr="003C0E2F">
        <w:t xml:space="preserve">, B) </w:t>
      </w:r>
      <w:r w:rsidR="00C47D55" w:rsidRPr="003C0E2F">
        <w:t xml:space="preserve">lipid </w:t>
      </w:r>
      <w:r w:rsidR="0056322A" w:rsidRPr="003C0E2F">
        <w:t>X</w:t>
      </w:r>
      <w:r w:rsidR="00C47D55" w:rsidRPr="003C0E2F">
        <w:t xml:space="preserve"> and</w:t>
      </w:r>
      <w:r w:rsidR="0056322A" w:rsidRPr="003C0E2F">
        <w:t xml:space="preserve"> C)</w:t>
      </w:r>
      <w:r w:rsidR="00C47D55" w:rsidRPr="003C0E2F">
        <w:t xml:space="preserve"> lipid A mimetic molecule</w:t>
      </w:r>
      <w:r w:rsidR="009A4EED" w:rsidRPr="003C0E2F">
        <w:t xml:space="preserve"> structures.</w:t>
      </w:r>
      <w:r w:rsidR="00C47D55" w:rsidRPr="003C0E2F">
        <w:t xml:space="preserve"> </w:t>
      </w:r>
      <w:r w:rsidR="00F17BF5" w:rsidRPr="003C0E2F">
        <w:t xml:space="preserve">R1/R2 differ between molecule </w:t>
      </w:r>
      <w:r w:rsidR="00612837" w:rsidRPr="003C0E2F">
        <w:t>(</w:t>
      </w:r>
      <w:r w:rsidR="00F17BF5" w:rsidRPr="003C0E2F">
        <w:t>1-3</w:t>
      </w:r>
      <w:r w:rsidR="00612837" w:rsidRPr="003C0E2F">
        <w:t>)</w:t>
      </w:r>
      <w:r w:rsidR="00F17BF5" w:rsidRPr="003C0E2F">
        <w:t xml:space="preserve">. </w:t>
      </w:r>
      <w:r w:rsidR="00612837" w:rsidRPr="003C0E2F">
        <w:t xml:space="preserve">C </w:t>
      </w:r>
      <w:r w:rsidR="00C47D55" w:rsidRPr="003C0E2F">
        <w:t xml:space="preserve">3 = FP7 </w:t>
      </w:r>
      <w:sdt>
        <w:sdtPr>
          <w:tag w:val="MENDELEY_CITATION_v3_eyJjaXRhdGlvbklEIjoiTUVOREVMRVlfQ0lUQVRJT05fMDkwYWY2YWUtZGE5Mi00MzZkLWJhYWQtYTE0ZTExOWQxNTZm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
          <w:id w:val="371574188"/>
          <w:placeholder>
            <w:docPart w:val="DefaultPlaceholder_-1854013440"/>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val="0"/>
              <w:iCs/>
            </w:rPr>
            <w:t>et al.</w:t>
          </w:r>
          <w:r w:rsidR="00F257B9">
            <w:rPr>
              <w:rFonts w:eastAsia="Times New Roman"/>
            </w:rPr>
            <w:t>, 2014)</w:t>
          </w:r>
        </w:sdtContent>
      </w:sdt>
      <w:r w:rsidR="00C47D55" w:rsidRPr="003C0E2F">
        <w:t>.</w:t>
      </w:r>
      <w:bookmarkEnd w:id="186"/>
      <w:bookmarkEnd w:id="187"/>
      <w:bookmarkEnd w:id="188"/>
      <w:bookmarkEnd w:id="189"/>
      <w:bookmarkEnd w:id="190"/>
      <w:bookmarkEnd w:id="191"/>
      <w:bookmarkEnd w:id="192"/>
    </w:p>
    <w:p w14:paraId="5777555F" w14:textId="77777777" w:rsidR="00E437DF" w:rsidRPr="003C0E2F" w:rsidRDefault="00E437DF" w:rsidP="00BE5236"/>
    <w:p w14:paraId="194F778F" w14:textId="6E99621C" w:rsidR="002D659D" w:rsidRPr="003C0E2F" w:rsidRDefault="00C47D55" w:rsidP="002F00FF">
      <w:r w:rsidRPr="003C0E2F">
        <w:t xml:space="preserve">The importance of acyl chain interactions is a factor in antagonistic </w:t>
      </w:r>
      <w:r w:rsidR="008F561F" w:rsidRPr="003C0E2F">
        <w:t>effect</w:t>
      </w:r>
      <w:r w:rsidRPr="003C0E2F">
        <w:t xml:space="preserve">s of LPS and lipid A mimetics. </w:t>
      </w:r>
      <w:proofErr w:type="spellStart"/>
      <w:r w:rsidRPr="003C0E2F">
        <w:t>Eritoran</w:t>
      </w:r>
      <w:proofErr w:type="spellEnd"/>
      <w:r w:rsidRPr="003C0E2F">
        <w:t xml:space="preserve"> is a modified structural variant of </w:t>
      </w:r>
      <w:proofErr w:type="spellStart"/>
      <w:r w:rsidRPr="003C0E2F">
        <w:rPr>
          <w:i/>
          <w:iCs/>
        </w:rPr>
        <w:t>Rhodobacter</w:t>
      </w:r>
      <w:proofErr w:type="spellEnd"/>
      <w:r w:rsidRPr="003C0E2F">
        <w:rPr>
          <w:i/>
          <w:iCs/>
        </w:rPr>
        <w:t xml:space="preserve"> </w:t>
      </w:r>
      <w:proofErr w:type="spellStart"/>
      <w:r w:rsidRPr="003C0E2F">
        <w:rPr>
          <w:i/>
          <w:iCs/>
        </w:rPr>
        <w:t>sphaeroides</w:t>
      </w:r>
      <w:proofErr w:type="spellEnd"/>
      <w:r w:rsidRPr="003C0E2F">
        <w:t xml:space="preserve"> Lipid A. While penta-acylated </w:t>
      </w:r>
      <w:proofErr w:type="gramStart"/>
      <w:r w:rsidR="008612D0" w:rsidRPr="003C0E2F">
        <w:rPr>
          <w:i/>
          <w:iCs/>
        </w:rPr>
        <w:t>E.coli</w:t>
      </w:r>
      <w:proofErr w:type="gramEnd"/>
      <w:r w:rsidRPr="003C0E2F">
        <w:t xml:space="preserve"> LPS fills the MD-2 pocket with five of its six acyl chains, the excess chain remains outside in an interaction with a hydrophobic patch on the opposing TLR4 receptor </w:t>
      </w:r>
      <w:sdt>
        <w:sdtPr>
          <w:tag w:val="MENDELEY_CITATION_v3_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"/>
          <w:id w:val="1695263158"/>
          <w:placeholder>
            <w:docPart w:val="DefaultPlaceholder_-1854013440"/>
          </w:placeholder>
        </w:sdtPr>
        <w:sdtEndPr/>
        <w:sdtContent>
          <w:r w:rsidR="00F257B9">
            <w:rPr>
              <w:rFonts w:eastAsia="Times New Roman"/>
            </w:rPr>
            <w:t xml:space="preserve">(Park </w:t>
          </w:r>
          <w:r w:rsidR="00F257B9">
            <w:rPr>
              <w:rFonts w:eastAsia="Times New Roman"/>
              <w:i/>
              <w:iCs/>
            </w:rPr>
            <w:t>et al.</w:t>
          </w:r>
          <w:r w:rsidR="00F257B9">
            <w:rPr>
              <w:rFonts w:eastAsia="Times New Roman"/>
            </w:rPr>
            <w:t>, 2009)</w:t>
          </w:r>
        </w:sdtContent>
      </w:sdt>
      <w:r w:rsidRPr="003C0E2F">
        <w:t xml:space="preserve">. In contrast, the four chains of </w:t>
      </w:r>
      <w:proofErr w:type="spellStart"/>
      <w:r w:rsidRPr="003C0E2F">
        <w:t>eritoran</w:t>
      </w:r>
      <w:proofErr w:type="spellEnd"/>
      <w:r w:rsidRPr="003C0E2F">
        <w:t xml:space="preserve"> are all located within the MD-2 pocket without external interactions </w:t>
      </w:r>
      <w:sdt>
        <w:sdtPr>
          <w:tag w:val="MENDELEY_CITATION_v3_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"/>
          <w:id w:val="1527897924"/>
          <w:placeholder>
            <w:docPart w:val="DefaultPlaceholder_-1854013440"/>
          </w:placeholder>
        </w:sdtPr>
        <w:sdtEndPr/>
        <w:sdtContent>
          <w:r w:rsidR="00F257B9">
            <w:rPr>
              <w:rFonts w:eastAsia="Times New Roman"/>
            </w:rPr>
            <w:t xml:space="preserve">(Kim </w:t>
          </w:r>
          <w:r w:rsidR="00F257B9">
            <w:rPr>
              <w:rFonts w:eastAsia="Times New Roman"/>
              <w:i/>
              <w:iCs/>
            </w:rPr>
            <w:t>et al.</w:t>
          </w:r>
          <w:r w:rsidR="00F257B9">
            <w:rPr>
              <w:rFonts w:eastAsia="Times New Roman"/>
            </w:rPr>
            <w:t xml:space="preserve">, 2007; </w:t>
          </w:r>
          <w:proofErr w:type="spellStart"/>
          <w:r w:rsidR="00F257B9">
            <w:rPr>
              <w:rFonts w:eastAsia="Times New Roman"/>
            </w:rPr>
            <w:t>Ohto</w:t>
          </w:r>
          <w:proofErr w:type="spellEnd"/>
          <w:r w:rsidR="00F257B9">
            <w:rPr>
              <w:rFonts w:eastAsia="Times New Roman"/>
            </w:rPr>
            <w:t xml:space="preserve"> </w:t>
          </w:r>
          <w:r w:rsidR="00F257B9">
            <w:rPr>
              <w:rFonts w:eastAsia="Times New Roman"/>
              <w:i/>
              <w:iCs/>
            </w:rPr>
            <w:t>et al.</w:t>
          </w:r>
          <w:r w:rsidR="00F257B9">
            <w:rPr>
              <w:rFonts w:eastAsia="Times New Roman"/>
            </w:rPr>
            <w:t>, 2012)</w:t>
          </w:r>
        </w:sdtContent>
      </w:sdt>
      <w:r w:rsidRPr="003C0E2F">
        <w:t xml:space="preserve">. This protrusion of </w:t>
      </w:r>
      <w:proofErr w:type="gramStart"/>
      <w:r w:rsidR="008612D0" w:rsidRPr="003C0E2F">
        <w:rPr>
          <w:i/>
          <w:iCs/>
        </w:rPr>
        <w:t>E.coli</w:t>
      </w:r>
      <w:proofErr w:type="gramEnd"/>
      <w:r w:rsidRPr="003C0E2F">
        <w:t xml:space="preserve"> lipid A might explain the increased antagonism of highly acylated LPS molecules compared to less acylated variants. Furthermore, higher acylation of Lipid A is associated with stronger response to the ligand </w:t>
      </w:r>
      <w:sdt>
        <w:sdtPr>
          <w:tag w:val="MENDELEY_CITATION_v3_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"/>
          <w:id w:val="-981156598"/>
          <w:placeholder>
            <w:docPart w:val="DefaultPlaceholder_-1854013440"/>
          </w:placeholder>
        </w:sdtPr>
        <w:sdtEndPr/>
        <w:sdtContent>
          <w:r w:rsidR="00F257B9">
            <w:rPr>
              <w:rFonts w:eastAsia="Times New Roman"/>
            </w:rPr>
            <w:t>(</w:t>
          </w:r>
          <w:proofErr w:type="spellStart"/>
          <w:r w:rsidR="00F257B9">
            <w:rPr>
              <w:rFonts w:eastAsia="Times New Roman"/>
            </w:rPr>
            <w:t>Stöver</w:t>
          </w:r>
          <w:proofErr w:type="spellEnd"/>
          <w:r w:rsidR="00F257B9">
            <w:rPr>
              <w:rFonts w:eastAsia="Times New Roman"/>
            </w:rPr>
            <w:t xml:space="preserve"> </w:t>
          </w:r>
          <w:r w:rsidR="00F257B9">
            <w:rPr>
              <w:rFonts w:eastAsia="Times New Roman"/>
              <w:i/>
              <w:iCs/>
            </w:rPr>
            <w:t>et al.</w:t>
          </w:r>
          <w:r w:rsidR="00F257B9">
            <w:rPr>
              <w:rFonts w:eastAsia="Times New Roman"/>
            </w:rPr>
            <w:t>, 2004)</w:t>
          </w:r>
        </w:sdtContent>
      </w:sdt>
      <w:r w:rsidRPr="003C0E2F">
        <w:t xml:space="preserve">. Thus, less acylated synthetic molecules are likely to show more antagonistic </w:t>
      </w:r>
      <w:r w:rsidR="008F561F" w:rsidRPr="003C0E2F">
        <w:t>effect</w:t>
      </w:r>
      <w:r w:rsidRPr="003C0E2F">
        <w:t>s.</w:t>
      </w:r>
    </w:p>
    <w:p w14:paraId="020B6EDF" w14:textId="2970E96B" w:rsidR="00C47D55" w:rsidRPr="003C0E2F" w:rsidRDefault="00C47D55" w:rsidP="002F00FF">
      <w:bookmarkStart w:id="193" w:name="_Hlk82428287"/>
      <w:r w:rsidRPr="003C0E2F">
        <w:t xml:space="preserve">FP7 series molecules, including FP10, FP12, FP7 and FP116 are structural analogues of Lipid X. They are comprised of a monosaccharide backbone with two phosphate groups and two acyl chains which vary slightly in length between molecules </w:t>
      </w:r>
      <w:sdt>
        <w:sdtPr>
          <w:rPr>
            <w:color w:val="000000"/>
          </w:rPr>
          <w:tag w:val="MENDELEY_CITATION_v3_eyJjaXRhdGlvbklEIjoiTUVOREVMRVlfQ0lUQVRJT05fMTQ0OGJiM2UtZDVmZS00NjU0LTg1MDktODk4NTI2Y2U1ODhj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GYWNjaGluaSA8aT5ldCBhbC48L2k+LCAyMDE4KSIsIm1hbnVhbE92ZXJyaWRlVGV4dCI6IihGYWNjaGluaSBldCBhbC4sIDIwMTgpLiIsImlzTWFudWFsbHlPdmVycmlkZGVuIjp0cnVlfX0="/>
          <w:id w:val="705295220"/>
          <w:placeholder>
            <w:docPart w:val="DefaultPlaceholder_-1854013440"/>
          </w:placeholder>
        </w:sdtPr>
        <w:sdtEndPr/>
        <w:sdtContent>
          <w:r w:rsidR="00F257B9" w:rsidRPr="00F257B9">
            <w:rPr>
              <w:rFonts w:eastAsia="Times New Roman"/>
              <w:color w:val="000000"/>
            </w:rPr>
            <w:t>(</w:t>
          </w:r>
          <w:proofErr w:type="spellStart"/>
          <w:r w:rsidR="00F257B9" w:rsidRPr="00F257B9">
            <w:rPr>
              <w:rFonts w:eastAsia="Times New Roman"/>
              <w:color w:val="000000"/>
            </w:rPr>
            <w:t>Facchini</w:t>
          </w:r>
          <w:proofErr w:type="spellEnd"/>
          <w:r w:rsidR="00F257B9" w:rsidRPr="00F257B9">
            <w:rPr>
              <w:rFonts w:eastAsia="Times New Roman"/>
              <w:color w:val="000000"/>
            </w:rPr>
            <w:t xml:space="preserve"> et al., 2018).</w:t>
          </w:r>
        </w:sdtContent>
      </w:sdt>
      <w:r w:rsidRPr="003C0E2F">
        <w:t xml:space="preserve"> FP7 has previously been shown to </w:t>
      </w:r>
      <w:r w:rsidRPr="003C0E2F">
        <w:lastRenderedPageBreak/>
        <w:t>inhibit TLR4</w:t>
      </w:r>
      <w:r w:rsidR="00A9277D" w:rsidRPr="003C0E2F">
        <w:t>-</w:t>
      </w:r>
      <w:r w:rsidR="009E0322" w:rsidRPr="003C0E2F">
        <w:t>dependent</w:t>
      </w:r>
      <w:r w:rsidRPr="003C0E2F">
        <w:t xml:space="preserve"> NF-</w:t>
      </w:r>
      <w:proofErr w:type="spellStart"/>
      <w:r w:rsidRPr="003C0E2F">
        <w:t>κB</w:t>
      </w:r>
      <w:proofErr w:type="spellEnd"/>
      <w:r w:rsidRPr="003C0E2F">
        <w:t xml:space="preserve"> signalling in H</w:t>
      </w:r>
      <w:r w:rsidR="008612D0" w:rsidRPr="003C0E2F">
        <w:t>EK</w:t>
      </w:r>
      <w:r w:rsidRPr="003C0E2F">
        <w:t xml:space="preserve">-blue cells and TNFα in mouse </w:t>
      </w:r>
      <w:r w:rsidR="008F561F" w:rsidRPr="003C0E2F">
        <w:t>macrophage</w:t>
      </w:r>
      <w:r w:rsidRPr="003C0E2F">
        <w:t xml:space="preserve">s </w:t>
      </w:r>
      <w:sdt>
        <w:sdtPr>
          <w:tag w:val="MENDELEY_CITATION_v3_eyJjaXRhdGlvbklEIjoiTUVOREVMRVlfQ0lUQVRJT05fMmNkMTE3ZjktYjlkNC00NDdmLTgwZjAtOTVhOWUwNTYzYjc4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
          <w:id w:val="1065225717"/>
          <w:placeholder>
            <w:docPart w:val="DefaultPlaceholder_-1854013440"/>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r w:rsidRPr="003C0E2F">
        <w:t>. In addition, FP7 has been shown to prevent viral activation of TLR4 in response in dendritic cells. IL-8, IL-6 and MIP-1β levels were reduced in FP7 treated samples, as compared to LPS alone and can inhibit LPS/TLR4 upregulation of glycolysis</w:t>
      </w:r>
      <w:r w:rsidR="003D1BD4" w:rsidRPr="003C0E2F">
        <w:t xml:space="preserve"> </w:t>
      </w:r>
      <w:sdt>
        <w:sdtPr>
          <w:tag w:val="MENDELEY_CITATION_v3_eyJjaXRhdGlvbklEIjoiTUVOREVMRVlfQ0lUQVRJT05fMjhmN2U1M2QtMWUyYS00ZTBhLWI3YTQtZmRiYzJmYTNiMDdi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
          <w:id w:val="-1194534111"/>
          <w:placeholder>
            <w:docPart w:val="DefaultPlaceholder_-1854013440"/>
          </w:placeholder>
        </w:sdtPr>
        <w:sdtEndPr/>
        <w:sdtContent>
          <w:r w:rsidR="00F257B9">
            <w:rPr>
              <w:rFonts w:eastAsia="Times New Roman"/>
            </w:rPr>
            <w:t>(Perrin-</w:t>
          </w:r>
          <w:proofErr w:type="spellStart"/>
          <w:r w:rsidR="00F257B9">
            <w:rPr>
              <w:rFonts w:eastAsia="Times New Roman"/>
            </w:rPr>
            <w:t>Cocon</w:t>
          </w:r>
          <w:proofErr w:type="spellEnd"/>
          <w:r w:rsidR="00F257B9">
            <w:rPr>
              <w:rFonts w:eastAsia="Times New Roman"/>
            </w:rPr>
            <w:t xml:space="preserve"> </w:t>
          </w:r>
          <w:r w:rsidR="00F257B9">
            <w:rPr>
              <w:rFonts w:eastAsia="Times New Roman"/>
              <w:i/>
              <w:iCs/>
            </w:rPr>
            <w:t>et al.</w:t>
          </w:r>
          <w:r w:rsidR="00F257B9">
            <w:rPr>
              <w:rFonts w:eastAsia="Times New Roman"/>
            </w:rPr>
            <w:t>, 2017)</w:t>
          </w:r>
        </w:sdtContent>
      </w:sdt>
      <w:r w:rsidRPr="003C0E2F">
        <w:t>. FP7 may remove CD14 from the cell surface by stimulating internalisation of CD14 but does not facilitate internalisation of MD-2/TLR4</w:t>
      </w:r>
      <w:r w:rsidR="008376E0" w:rsidRPr="003C0E2F">
        <w:t xml:space="preserve"> </w:t>
      </w:r>
      <w:sdt>
        <w:sdtPr>
          <w:tag w:val="MENDELEY_CITATION_v3_eyJjaXRhdGlvbklEIjoiTUVOREVMRVlfQ0lUQVRJT05fZjU3YTU4NmYtODZmNi00OTM4LTgyNWMtOGQ0ZGM2MzY5MjIw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
          <w:id w:val="-181290423"/>
          <w:placeholder>
            <w:docPart w:val="67DA86A78E6D400588F7F558755F13FA"/>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r w:rsidRPr="003C0E2F">
        <w:t xml:space="preserve">. The compound has been proposed to interact with CD14 and MD-2 in a similar way to Lipid A and </w:t>
      </w:r>
      <w:proofErr w:type="spellStart"/>
      <w:r w:rsidRPr="003C0E2F">
        <w:t>Eritoran</w:t>
      </w:r>
      <w:proofErr w:type="spellEnd"/>
      <w:r w:rsidRPr="003C0E2F">
        <w:t xml:space="preserve">, whereby the acyl chains of FP7 occupy the hydrophobic pocket of the co-receptor </w:t>
      </w:r>
      <w:sdt>
        <w:sdtPr>
          <w:tag w:val="MENDELEY_CITATION_v3_eyJjaXRhdGlvbklEIjoiTUVOREVMRVlfQ0lUQVRJT05fZTI4MGFmOTQtZDU0Zi00Yzc2LTg3NGYtM2U3M2QwNjM4ZmQ1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
          <w:id w:val="1134064214"/>
          <w:placeholder>
            <w:docPart w:val="DefaultPlaceholder_-1854013440"/>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r w:rsidRPr="003C0E2F">
        <w:t>. FP7 functions as a strong antagonist of LPS</w:t>
      </w:r>
      <w:r w:rsidR="000A1BFB" w:rsidRPr="003C0E2F">
        <w:t xml:space="preserve"> induced</w:t>
      </w:r>
      <w:r w:rsidRPr="003C0E2F">
        <w:t xml:space="preserve"> TLR4 signalling, but is incapable of preventing activation of other TLRs, TLR1/TLR2, TLR2/TLR6 or TLR3 in response to PAM3CSK4, peptidoglycan or dsRNA respectively </w:t>
      </w:r>
      <w:sdt>
        <w:sdtPr>
          <w:tag w:val="MENDELEY_CITATION_v3_eyJjaXRhdGlvbklEIjoiTUVOREVMRVlfQ0lUQVRJT05fMjRjNzdjNjItMmY2Ny00ODk0LWExNTUtMDVmM2NjNGVkOTFl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
          <w:id w:val="1436028004"/>
          <w:placeholder>
            <w:docPart w:val="DefaultPlaceholder_-1854013440"/>
          </w:placeholder>
        </w:sdtPr>
        <w:sdtEndPr/>
        <w:sdtContent>
          <w:r w:rsidR="00F257B9">
            <w:rPr>
              <w:rFonts w:eastAsia="Times New Roman"/>
            </w:rPr>
            <w:t>(Perrin-</w:t>
          </w:r>
          <w:proofErr w:type="spellStart"/>
          <w:r w:rsidR="00F257B9">
            <w:rPr>
              <w:rFonts w:eastAsia="Times New Roman"/>
            </w:rPr>
            <w:t>Cocon</w:t>
          </w:r>
          <w:proofErr w:type="spellEnd"/>
          <w:r w:rsidR="00F257B9">
            <w:rPr>
              <w:rFonts w:eastAsia="Times New Roman"/>
            </w:rPr>
            <w:t xml:space="preserve"> </w:t>
          </w:r>
          <w:r w:rsidR="00F257B9">
            <w:rPr>
              <w:rFonts w:eastAsia="Times New Roman"/>
              <w:i/>
              <w:iCs/>
            </w:rPr>
            <w:t>et al.</w:t>
          </w:r>
          <w:r w:rsidR="00F257B9">
            <w:rPr>
              <w:rFonts w:eastAsia="Times New Roman"/>
            </w:rPr>
            <w:t>, 2017)</w:t>
          </w:r>
        </w:sdtContent>
      </w:sdt>
      <w:r w:rsidRPr="003C0E2F">
        <w:t>.</w:t>
      </w:r>
      <w:r w:rsidR="002D659D" w:rsidRPr="003C0E2F">
        <w:t xml:space="preserve"> FP7 is therefore thought to compete with LPS for occupation of MD-2, an effect which may be compounded by removal of CD14 from the cell surface through endocytosis </w:t>
      </w:r>
      <w:sdt>
        <w:sdtPr>
          <w:tag w:val="MENDELEY_CITATION_v3_eyJjaXRhdGlvbklEIjoiTUVOREVMRVlfQ0lUQVRJT05fYzM1MjU3ZDAtNDM2Zi00NDZmLTljNjEtZTgwMjBiMDJjYWU4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
          <w:id w:val="1886369757"/>
          <w:placeholder>
            <w:docPart w:val="135FDC7E77E241B98DE7A6242FEBF1D6"/>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r w:rsidR="002D659D" w:rsidRPr="003C0E2F">
        <w:t>.</w:t>
      </w:r>
      <w:r w:rsidRPr="003C0E2F">
        <w:t xml:space="preserve"> </w:t>
      </w:r>
      <w:r w:rsidR="002D659D" w:rsidRPr="003C0E2F">
        <w:t xml:space="preserve">In addition, aggregative states of these molecules may also affect activity. LPS, Lipid A and FP7 form aggregates at a critical point. Antagonistic properties as associated with lamellar aggregates, while non-lamellar cubic symmetry is associated with agonistic properties </w:t>
      </w:r>
      <w:sdt>
        <w:sdtPr>
          <w:tag w:val="MENDELEY_CITATION_v3_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"/>
          <w:id w:val="1425688620"/>
          <w:placeholder>
            <w:docPart w:val="0C1D251870C041AEA1388C1B7DCA384D"/>
          </w:placeholder>
        </w:sdtPr>
        <w:sdtEndPr/>
        <w:sdtContent>
          <w:r w:rsidR="00F257B9">
            <w:rPr>
              <w:rFonts w:eastAsia="Times New Roman"/>
            </w:rPr>
            <w:t xml:space="preserve">(Mueller </w:t>
          </w:r>
          <w:r w:rsidR="00F257B9">
            <w:rPr>
              <w:rFonts w:eastAsia="Times New Roman"/>
              <w:i/>
              <w:iCs/>
            </w:rPr>
            <w:t>et al.</w:t>
          </w:r>
          <w:r w:rsidR="00F257B9">
            <w:rPr>
              <w:rFonts w:eastAsia="Times New Roman"/>
            </w:rPr>
            <w:t xml:space="preserve">, 2004; </w:t>
          </w:r>
          <w:proofErr w:type="spellStart"/>
          <w:r w:rsidR="00F257B9">
            <w:rPr>
              <w:rFonts w:eastAsia="Times New Roman"/>
            </w:rPr>
            <w:t>Gutsmann</w:t>
          </w:r>
          <w:proofErr w:type="spellEnd"/>
          <w:r w:rsidR="00F257B9">
            <w:rPr>
              <w:rFonts w:eastAsia="Times New Roman"/>
            </w:rPr>
            <w:t xml:space="preserve">, </w:t>
          </w:r>
          <w:proofErr w:type="spellStart"/>
          <w:r w:rsidR="00F257B9">
            <w:rPr>
              <w:rFonts w:eastAsia="Times New Roman"/>
            </w:rPr>
            <w:t>Schromm</w:t>
          </w:r>
          <w:proofErr w:type="spellEnd"/>
          <w:r w:rsidR="00F257B9">
            <w:rPr>
              <w:rFonts w:eastAsia="Times New Roman"/>
            </w:rPr>
            <w:t xml:space="preserve"> and Brandenburg, 2007)</w:t>
          </w:r>
        </w:sdtContent>
      </w:sdt>
      <w:r w:rsidR="002D659D" w:rsidRPr="003C0E2F">
        <w:t xml:space="preserve">. However, while FP10 and FP12 present as lamellar structures, FP7 appears to form non-lamellar structures, which may affect antagonistic activity </w:t>
      </w:r>
      <w:sdt>
        <w:sdtPr>
          <w:tag w:val="MENDELEY_CITATION_v3_eyJjaXRhdGlvbklEIjoiTUVOREVMRVlfQ0lUQVRJT05fMDQyODQwODItYWFhZS00YmNlLTg4MjQtZmUxYmIxNjM5OWJk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kZW4iOmZhbHNlLCJjaXRlcHJvY1RleHQiOiIoRmFjY2hpbmkgPGk+ZXQgYWwuPC9pPiwgMjAxOCkiLCJtYW51YWxPdmVycmlkZVRleHQiOiIifX0="/>
          <w:id w:val="-839235467"/>
          <w:placeholder>
            <w:docPart w:val="6D11391497F44C93ACE8A5516DED1E53"/>
          </w:placeholder>
        </w:sdtPr>
        <w:sdtEndPr/>
        <w:sdtContent>
          <w:r w:rsidR="00F257B9">
            <w:rPr>
              <w:rFonts w:eastAsia="Times New Roman"/>
            </w:rPr>
            <w:t>(</w:t>
          </w:r>
          <w:proofErr w:type="spellStart"/>
          <w:r w:rsidR="00F257B9">
            <w:rPr>
              <w:rFonts w:eastAsia="Times New Roman"/>
            </w:rPr>
            <w:t>Facchini</w:t>
          </w:r>
          <w:proofErr w:type="spellEnd"/>
          <w:r w:rsidR="00F257B9">
            <w:rPr>
              <w:rFonts w:eastAsia="Times New Roman"/>
            </w:rPr>
            <w:t xml:space="preserve"> </w:t>
          </w:r>
          <w:r w:rsidR="00F257B9">
            <w:rPr>
              <w:rFonts w:eastAsia="Times New Roman"/>
              <w:i/>
              <w:iCs/>
            </w:rPr>
            <w:t>et al.</w:t>
          </w:r>
          <w:r w:rsidR="00F257B9">
            <w:rPr>
              <w:rFonts w:eastAsia="Times New Roman"/>
            </w:rPr>
            <w:t>, 2018)</w:t>
          </w:r>
        </w:sdtContent>
      </w:sdt>
      <w:r w:rsidR="002D659D" w:rsidRPr="003C0E2F">
        <w:t xml:space="preserve">. Conversely, Structure-activity analysis of FP11 predicted positioning of one chain into the channel of MD-2, and FP11 and FP18 phosphate groups were predicted to interact with MD-2 residues linked to agonistic effects of </w:t>
      </w:r>
      <w:proofErr w:type="gramStart"/>
      <w:r w:rsidR="002D659D" w:rsidRPr="003C0E2F">
        <w:rPr>
          <w:i/>
          <w:iCs/>
        </w:rPr>
        <w:t>E.coli</w:t>
      </w:r>
      <w:proofErr w:type="gramEnd"/>
      <w:r w:rsidR="002D659D" w:rsidRPr="003C0E2F">
        <w:t xml:space="preserve"> LPS </w:t>
      </w:r>
      <w:sdt>
        <w:sdtPr>
          <w:tag w:val="MENDELEY_CITATION_v3_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"/>
          <w:id w:val="1555887543"/>
          <w:placeholder>
            <w:docPart w:val="F4846370A95842D4AB8D4B603E775756"/>
          </w:placeholder>
        </w:sdtPr>
        <w:sdtEndPr/>
        <w:sdtContent>
          <w:r w:rsidR="00F257B9">
            <w:rPr>
              <w:rFonts w:eastAsia="Times New Roman"/>
            </w:rPr>
            <w:t>(</w:t>
          </w:r>
          <w:proofErr w:type="spellStart"/>
          <w:r w:rsidR="00F257B9">
            <w:rPr>
              <w:rFonts w:eastAsia="Times New Roman"/>
            </w:rPr>
            <w:t>Facchini</w:t>
          </w:r>
          <w:proofErr w:type="spellEnd"/>
          <w:r w:rsidR="00F257B9">
            <w:rPr>
              <w:rFonts w:eastAsia="Times New Roman"/>
            </w:rPr>
            <w:t xml:space="preserve"> </w:t>
          </w:r>
          <w:r w:rsidR="00F257B9">
            <w:rPr>
              <w:rFonts w:eastAsia="Times New Roman"/>
              <w:i/>
              <w:iCs/>
            </w:rPr>
            <w:t>et al.</w:t>
          </w:r>
          <w:r w:rsidR="00F257B9">
            <w:rPr>
              <w:rFonts w:eastAsia="Times New Roman"/>
            </w:rPr>
            <w:t>, 2021)</w:t>
          </w:r>
        </w:sdtContent>
      </w:sdt>
      <w:r w:rsidR="002D659D" w:rsidRPr="003C0E2F">
        <w:t>. FP7, FP10 and FP12 are predicted to have favourable binding positions for antagonis</w:t>
      </w:r>
      <w:r w:rsidR="006C372A" w:rsidRPr="003C0E2F">
        <w:t>m</w:t>
      </w:r>
      <w:r w:rsidR="002D659D" w:rsidRPr="003C0E2F">
        <w:t xml:space="preserve">, while FP11 and FP18 interactions are predicted to confer agonistic behaviour </w:t>
      </w:r>
      <w:sdt>
        <w:sdtPr>
          <w:tag w:val="MENDELEY_CITATION_v3_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kZW4iOmZhbHNlLCJjaXRlcHJvY1RleHQiOiIoRmFjY2hpbmkgPGk+ZXQgYWwuPC9pPiwgMjAxOCwgMjAyMSkiLCJtYW51YWxPdmVycmlkZVRleHQiOiIifX0="/>
          <w:id w:val="-684602412"/>
          <w:placeholder>
            <w:docPart w:val="4D62AD876F33481A9708A28C853B9A07"/>
          </w:placeholder>
        </w:sdtPr>
        <w:sdtEndPr/>
        <w:sdtContent>
          <w:r w:rsidR="00F257B9">
            <w:rPr>
              <w:rFonts w:eastAsia="Times New Roman"/>
            </w:rPr>
            <w:t>(</w:t>
          </w:r>
          <w:proofErr w:type="spellStart"/>
          <w:r w:rsidR="00F257B9">
            <w:rPr>
              <w:rFonts w:eastAsia="Times New Roman"/>
            </w:rPr>
            <w:t>Facchini</w:t>
          </w:r>
          <w:proofErr w:type="spellEnd"/>
          <w:r w:rsidR="00F257B9">
            <w:rPr>
              <w:rFonts w:eastAsia="Times New Roman"/>
            </w:rPr>
            <w:t xml:space="preserve"> </w:t>
          </w:r>
          <w:r w:rsidR="00F257B9">
            <w:rPr>
              <w:rFonts w:eastAsia="Times New Roman"/>
              <w:i/>
              <w:iCs/>
            </w:rPr>
            <w:t>et al.</w:t>
          </w:r>
          <w:r w:rsidR="00F257B9">
            <w:rPr>
              <w:rFonts w:eastAsia="Times New Roman"/>
            </w:rPr>
            <w:t>, 2018, 2021)</w:t>
          </w:r>
        </w:sdtContent>
      </w:sdt>
      <w:r w:rsidR="002D659D" w:rsidRPr="003C0E2F">
        <w:t xml:space="preserve">. </w:t>
      </w:r>
      <w:bookmarkStart w:id="194" w:name="_Hlk80820330"/>
    </w:p>
    <w:bookmarkEnd w:id="193"/>
    <w:bookmarkEnd w:id="194"/>
    <w:p w14:paraId="73A23049" w14:textId="1A90BDBB" w:rsidR="002B235A" w:rsidRPr="003C0E2F" w:rsidRDefault="00C47D55" w:rsidP="002F00FF">
      <w:r w:rsidRPr="003C0E2F">
        <w:t xml:space="preserve">FP7 has also been shown to </w:t>
      </w:r>
      <w:proofErr w:type="gramStart"/>
      <w:r w:rsidRPr="003C0E2F">
        <w:t xml:space="preserve">have an </w:t>
      </w:r>
      <w:r w:rsidR="008F561F" w:rsidRPr="003C0E2F">
        <w:t>effect</w:t>
      </w:r>
      <w:r w:rsidRPr="003C0E2F">
        <w:t xml:space="preserve"> on</w:t>
      </w:r>
      <w:proofErr w:type="gramEnd"/>
      <w:r w:rsidRPr="003C0E2F">
        <w:t xml:space="preserve"> inflammation induced by sterile ligands. FP7 exhibits protective </w:t>
      </w:r>
      <w:r w:rsidR="008F561F" w:rsidRPr="003C0E2F">
        <w:t>effect</w:t>
      </w:r>
      <w:r w:rsidRPr="003C0E2F">
        <w:t xml:space="preserve">s against influenza in mice, whereby lethality is thought to be the product of DAMPs such as </w:t>
      </w:r>
      <w:proofErr w:type="spellStart"/>
      <w:r w:rsidR="00D15B13" w:rsidRPr="003C0E2F">
        <w:t>o</w:t>
      </w:r>
      <w:r w:rsidRPr="003C0E2F">
        <w:t>xPAPC</w:t>
      </w:r>
      <w:proofErr w:type="spellEnd"/>
      <w:r w:rsidRPr="003C0E2F">
        <w:t xml:space="preserve"> and HMGB1 inducing subsequent cytokine storm. In this regard, FP7 </w:t>
      </w:r>
      <w:proofErr w:type="gramStart"/>
      <w:r w:rsidRPr="003C0E2F">
        <w:t>was capable of reducing</w:t>
      </w:r>
      <w:proofErr w:type="gramEnd"/>
      <w:r w:rsidRPr="003C0E2F">
        <w:t xml:space="preserve"> influenza</w:t>
      </w:r>
      <w:r w:rsidR="00A9277D" w:rsidRPr="003C0E2F">
        <w:t>-</w:t>
      </w:r>
      <w:r w:rsidR="009E0322" w:rsidRPr="003C0E2F">
        <w:t>dependent</w:t>
      </w:r>
      <w:r w:rsidRPr="003C0E2F">
        <w:t xml:space="preserve"> expression of IL-1β, TNFα, IFNβ, RANTES, KC and IL-6 RNA </w:t>
      </w:r>
      <w:sdt>
        <w:sdtPr>
          <w:tag w:val="MENDELEY_CITATION_v3_eyJjaXRhdGlvbklEIjoiTUVOREVMRVlfQ0lUQVRJT05fNmY4MjYxN2QtYWE4Yy00ZGQ2LTk3YzQtMjU1MjAzMzdjYTNm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
          <w:id w:val="-147209363"/>
          <w:placeholder>
            <w:docPart w:val="DefaultPlaceholder_-1854013440"/>
          </w:placeholder>
        </w:sdtPr>
        <w:sdtEndPr/>
        <w:sdtContent>
          <w:r w:rsidR="00F257B9">
            <w:rPr>
              <w:rFonts w:eastAsia="Times New Roman"/>
            </w:rPr>
            <w:t>(Perrin-</w:t>
          </w:r>
          <w:proofErr w:type="spellStart"/>
          <w:r w:rsidR="00F257B9">
            <w:rPr>
              <w:rFonts w:eastAsia="Times New Roman"/>
            </w:rPr>
            <w:lastRenderedPageBreak/>
            <w:t>Cocon</w:t>
          </w:r>
          <w:proofErr w:type="spellEnd"/>
          <w:r w:rsidR="00F257B9">
            <w:rPr>
              <w:rFonts w:eastAsia="Times New Roman"/>
            </w:rPr>
            <w:t xml:space="preserve"> </w:t>
          </w:r>
          <w:r w:rsidR="00F257B9">
            <w:rPr>
              <w:rFonts w:eastAsia="Times New Roman"/>
              <w:i/>
              <w:iCs/>
            </w:rPr>
            <w:t>et al.</w:t>
          </w:r>
          <w:r w:rsidR="00F257B9">
            <w:rPr>
              <w:rFonts w:eastAsia="Times New Roman"/>
            </w:rPr>
            <w:t>, 2017)</w:t>
          </w:r>
        </w:sdtContent>
      </w:sdt>
      <w:r w:rsidRPr="003C0E2F">
        <w:t>. Further to this, FP7 was shown to protect against LPS</w:t>
      </w:r>
      <w:r w:rsidR="000A1BFB" w:rsidRPr="003C0E2F">
        <w:t xml:space="preserve"> induced</w:t>
      </w:r>
      <w:r w:rsidRPr="003C0E2F">
        <w:t xml:space="preserve"> ALS </w:t>
      </w:r>
      <w:r w:rsidR="009E0322" w:rsidRPr="003C0E2F">
        <w:t>dependent</w:t>
      </w:r>
      <w:r w:rsidRPr="003C0E2F">
        <w:t xml:space="preserve"> motoneuronal death in mouse models </w:t>
      </w:r>
      <w:sdt>
        <w:sdtPr>
          <w:tag w:val="MENDELEY_CITATION_v3_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"/>
          <w:id w:val="12275843"/>
          <w:placeholder>
            <w:docPart w:val="DefaultPlaceholder_-1854013440"/>
          </w:placeholder>
        </w:sdtPr>
        <w:sdtEndPr/>
        <w:sdtContent>
          <w:r w:rsidR="00F257B9">
            <w:rPr>
              <w:rFonts w:eastAsia="Times New Roman"/>
            </w:rPr>
            <w:t xml:space="preserve">(de Paola </w:t>
          </w:r>
          <w:r w:rsidR="00F257B9">
            <w:rPr>
              <w:rFonts w:eastAsia="Times New Roman"/>
              <w:i/>
              <w:iCs/>
            </w:rPr>
            <w:t>et al.</w:t>
          </w:r>
          <w:r w:rsidR="00F257B9">
            <w:rPr>
              <w:rFonts w:eastAsia="Times New Roman"/>
            </w:rPr>
            <w:t>, 2016)</w:t>
          </w:r>
        </w:sdtContent>
      </w:sdt>
      <w:r w:rsidRPr="003C0E2F">
        <w:t xml:space="preserve">. FP7 may then be capable of regulating TLR4 signalling resultant of other ligands of sterile inflammation. </w:t>
      </w:r>
      <w:bookmarkStart w:id="195" w:name="_Hlk82873829"/>
      <w:r w:rsidR="007273C6" w:rsidRPr="003C0E2F">
        <w:t xml:space="preserve">It is important to consider the translatability of findings in cell-based models into future animal and human studies. Differences in TLR4/MD-2 structures between species may affect binding and subsequent impact of molecules on TLR4 signalling in different species </w:t>
      </w:r>
      <w:sdt>
        <w:sdtPr>
          <w:tag w:val="MENDELEY_CITATION_v3_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"/>
          <w:id w:val="2113625280"/>
          <w:placeholder>
            <w:docPart w:val="570322EBE31D4E93A538B2D59C916257"/>
          </w:placeholder>
        </w:sdtPr>
        <w:sdtEndPr/>
        <w:sdtContent>
          <w:r w:rsidR="00F257B9">
            <w:rPr>
              <w:rFonts w:eastAsia="Times New Roman"/>
            </w:rPr>
            <w:t>(</w:t>
          </w:r>
          <w:proofErr w:type="spellStart"/>
          <w:r w:rsidR="00F257B9">
            <w:rPr>
              <w:rFonts w:eastAsia="Times New Roman"/>
            </w:rPr>
            <w:t>Chebrolu</w:t>
          </w:r>
          <w:proofErr w:type="spellEnd"/>
          <w:r w:rsidR="00F257B9">
            <w:rPr>
              <w:rFonts w:eastAsia="Times New Roman"/>
            </w:rPr>
            <w:t xml:space="preserve"> </w:t>
          </w:r>
          <w:r w:rsidR="00F257B9">
            <w:rPr>
              <w:rFonts w:eastAsia="Times New Roman"/>
              <w:i/>
              <w:iCs/>
            </w:rPr>
            <w:t>et al.</w:t>
          </w:r>
          <w:r w:rsidR="00F257B9">
            <w:rPr>
              <w:rFonts w:eastAsia="Times New Roman"/>
            </w:rPr>
            <w:t>, 2015)</w:t>
          </w:r>
        </w:sdtContent>
      </w:sdt>
      <w:r w:rsidR="007273C6" w:rsidRPr="003C0E2F">
        <w:t>. Therefore, cross-species comparisons are required to determine the effects of lipid A mimetic molecules on human vs mouse TLR4 activity. Further to this, lipid A mimetic molecules</w:t>
      </w:r>
      <w:r w:rsidR="003F2892" w:rsidRPr="003C0E2F">
        <w:t xml:space="preserve"> </w:t>
      </w:r>
      <w:proofErr w:type="gramStart"/>
      <w:r w:rsidR="003F2892" w:rsidRPr="003C0E2F">
        <w:t>as a result of</w:t>
      </w:r>
      <w:proofErr w:type="gramEnd"/>
      <w:r w:rsidR="003F2892" w:rsidRPr="003C0E2F">
        <w:t xml:space="preserve"> poor solubility in organic solvents</w:t>
      </w:r>
      <w:r w:rsidR="007273C6" w:rsidRPr="003C0E2F">
        <w:t xml:space="preserve"> may require alternative methods of delivery. A lipid nanocarrier, </w:t>
      </w:r>
      <w:proofErr w:type="spellStart"/>
      <w:r w:rsidR="007273C6" w:rsidRPr="003C0E2F">
        <w:t>Lipodiq</w:t>
      </w:r>
      <w:proofErr w:type="spellEnd"/>
      <w:r w:rsidR="007273C6" w:rsidRPr="003C0E2F">
        <w:t xml:space="preserve">, has previously been used and shown to be effective in facilitating FP7 delivery in mice via subcutaneous co-delivery </w:t>
      </w:r>
      <w:sdt>
        <w:sdtPr>
          <w:tag w:val="MENDELEY_CITATION_v3_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"/>
          <w:id w:val="-1522314582"/>
          <w:placeholder>
            <w:docPart w:val="83C8CA54BD744A978A8F91E5152DE828"/>
          </w:placeholder>
        </w:sdtPr>
        <w:sdtEndPr/>
        <w:sdtContent>
          <w:r w:rsidR="00F257B9">
            <w:rPr>
              <w:rFonts w:eastAsia="Times New Roman"/>
            </w:rPr>
            <w:t>(</w:t>
          </w:r>
          <w:proofErr w:type="spellStart"/>
          <w:r w:rsidR="00F257B9">
            <w:rPr>
              <w:rFonts w:eastAsia="Times New Roman"/>
            </w:rPr>
            <w:t>Charys</w:t>
          </w:r>
          <w:proofErr w:type="spellEnd"/>
          <w:r w:rsidR="00F257B9">
            <w:rPr>
              <w:rFonts w:eastAsia="Times New Roman"/>
            </w:rPr>
            <w:t xml:space="preserve"> Palmer </w:t>
          </w:r>
          <w:r w:rsidR="00F257B9">
            <w:rPr>
              <w:rFonts w:eastAsia="Times New Roman"/>
              <w:i/>
              <w:iCs/>
            </w:rPr>
            <w:t>et al.</w:t>
          </w:r>
          <w:r w:rsidR="00F257B9">
            <w:rPr>
              <w:rFonts w:eastAsia="Times New Roman"/>
            </w:rPr>
            <w:t>, 2018)</w:t>
          </w:r>
        </w:sdtContent>
      </w:sdt>
      <w:r w:rsidR="007273C6" w:rsidRPr="003C0E2F">
        <w:t>.</w:t>
      </w:r>
      <w:bookmarkEnd w:id="195"/>
      <w:r w:rsidR="007273C6" w:rsidRPr="003C0E2F">
        <w:t xml:space="preserve"> </w:t>
      </w:r>
      <w:r w:rsidRPr="003C0E2F">
        <w:t>There is a growing amount of evidence towards the potential of FP7 as a potent TLR4 antagonist. As such, FP7 represents a good candidate for further preclinical and clinical investigation.</w:t>
      </w:r>
    </w:p>
    <w:p w14:paraId="4637C17B" w14:textId="77777777" w:rsidR="007273C6" w:rsidRPr="003C0E2F" w:rsidRDefault="007273C6" w:rsidP="002F00FF"/>
    <w:p w14:paraId="11581252" w14:textId="45446D9C" w:rsidR="00C86D6F" w:rsidRPr="003C0E2F" w:rsidRDefault="00C86D6F" w:rsidP="002F00FF">
      <w:r w:rsidRPr="003C0E2F">
        <w:br w:type="page"/>
      </w:r>
    </w:p>
    <w:p w14:paraId="76C0435C" w14:textId="247FB8CC" w:rsidR="004D0E61" w:rsidRPr="003C0E2F" w:rsidRDefault="004D0E61" w:rsidP="00F80EA4">
      <w:pPr>
        <w:pStyle w:val="Heading1"/>
      </w:pPr>
      <w:bookmarkStart w:id="196" w:name="_Toc80013739"/>
      <w:bookmarkStart w:id="197" w:name="_Toc82882359"/>
      <w:r w:rsidRPr="003C0E2F">
        <w:lastRenderedPageBreak/>
        <w:t xml:space="preserve">Aims and </w:t>
      </w:r>
      <w:r w:rsidR="000A1BFB" w:rsidRPr="003C0E2F">
        <w:t>o</w:t>
      </w:r>
      <w:r w:rsidRPr="003C0E2F">
        <w:t>bjectives</w:t>
      </w:r>
      <w:bookmarkEnd w:id="196"/>
      <w:bookmarkEnd w:id="197"/>
    </w:p>
    <w:p w14:paraId="09EB356A" w14:textId="54C31DAA" w:rsidR="00F80EA4" w:rsidRPr="003C0E2F" w:rsidRDefault="004D0E61" w:rsidP="002F00FF">
      <w:bookmarkStart w:id="198" w:name="_Hlk62953477"/>
      <w:r w:rsidRPr="003C0E2F">
        <w:t>The main aim</w:t>
      </w:r>
      <w:r w:rsidR="00A81D9E" w:rsidRPr="003C0E2F">
        <w:t xml:space="preserve"> of the study</w:t>
      </w:r>
      <w:r w:rsidRPr="003C0E2F">
        <w:t xml:space="preserve"> was to investigate the </w:t>
      </w:r>
      <w:r w:rsidR="008F561F" w:rsidRPr="003C0E2F">
        <w:t>effect</w:t>
      </w:r>
      <w:r w:rsidRPr="003C0E2F">
        <w:t xml:space="preserve">s of novel TLR4 modulators (FP7, FP10, FP12, FP116, FP11, FP111, FP18) on TLR4 signalling pathways in </w:t>
      </w:r>
      <w:r w:rsidR="00A81D9E" w:rsidRPr="003C0E2F">
        <w:t>human</w:t>
      </w:r>
      <w:r w:rsidR="004B4CB0" w:rsidRPr="003C0E2F">
        <w:t xml:space="preserve"> and mouse </w:t>
      </w:r>
      <w:r w:rsidR="008F561F" w:rsidRPr="003C0E2F">
        <w:t>monocyte</w:t>
      </w:r>
      <w:r w:rsidR="00AF2EA2" w:rsidRPr="003C0E2F">
        <w:t>s/</w:t>
      </w:r>
      <w:r w:rsidR="008F561F" w:rsidRPr="003C0E2F">
        <w:t>macrophage</w:t>
      </w:r>
      <w:r w:rsidRPr="003C0E2F">
        <w:t>s</w:t>
      </w:r>
      <w:r w:rsidR="00AF2EA2" w:rsidRPr="003C0E2F">
        <w:t xml:space="preserve"> cell</w:t>
      </w:r>
      <w:r w:rsidR="00A3260A" w:rsidRPr="003C0E2F">
        <w:t xml:space="preserve"> models</w:t>
      </w:r>
      <w:r w:rsidRPr="003C0E2F">
        <w:t xml:space="preserve"> and to determine their potential to modulate the </w:t>
      </w:r>
      <w:r w:rsidR="004B4CB0" w:rsidRPr="003C0E2F">
        <w:t xml:space="preserve">TLR4-mediated </w:t>
      </w:r>
      <w:r w:rsidRPr="003C0E2F">
        <w:t>inflammatory response</w:t>
      </w:r>
      <w:r w:rsidR="004B4CB0" w:rsidRPr="003C0E2F">
        <w:t>s.</w:t>
      </w:r>
      <w:r w:rsidR="00F80EA4" w:rsidRPr="003C0E2F">
        <w:t xml:space="preserve"> </w:t>
      </w:r>
    </w:p>
    <w:p w14:paraId="2D3B5653" w14:textId="34B1C68C" w:rsidR="00F80EA4" w:rsidRPr="003C0E2F" w:rsidRDefault="004D0E61" w:rsidP="002F00FF">
      <w:r w:rsidRPr="003C0E2F">
        <w:t xml:space="preserve">The main objectives of this project </w:t>
      </w:r>
      <w:r w:rsidR="002F00FF" w:rsidRPr="003C0E2F">
        <w:t>wer</w:t>
      </w:r>
      <w:r w:rsidRPr="003C0E2F">
        <w:t>e as follows:</w:t>
      </w:r>
    </w:p>
    <w:p w14:paraId="231AC34D" w14:textId="77777777" w:rsidR="00F80EA4" w:rsidRPr="003C0E2F" w:rsidRDefault="00F80EA4" w:rsidP="002F00FF"/>
    <w:p w14:paraId="170598BF" w14:textId="37116F67" w:rsidR="004D0E61" w:rsidRPr="003C0E2F" w:rsidRDefault="004D0E61" w:rsidP="002F00FF">
      <w:pPr>
        <w:pStyle w:val="ListParagraph"/>
        <w:numPr>
          <w:ilvl w:val="0"/>
          <w:numId w:val="10"/>
        </w:numPr>
        <w:spacing w:line="480" w:lineRule="auto"/>
      </w:pPr>
      <w:r w:rsidRPr="003C0E2F">
        <w:t xml:space="preserve">To investigate the </w:t>
      </w:r>
      <w:r w:rsidR="008F561F" w:rsidRPr="003C0E2F">
        <w:t>effect</w:t>
      </w:r>
      <w:r w:rsidRPr="003C0E2F">
        <w:t xml:space="preserve"> of FP7, FP7 derivatives and ligands (LPS, </w:t>
      </w:r>
      <w:proofErr w:type="spellStart"/>
      <w:r w:rsidR="001A2988" w:rsidRPr="003C0E2F">
        <w:t>oxLDL</w:t>
      </w:r>
      <w:proofErr w:type="spellEnd"/>
      <w:r w:rsidRPr="003C0E2F">
        <w:t xml:space="preserve">) on THP-1 </w:t>
      </w:r>
      <w:r w:rsidR="008F561F" w:rsidRPr="003C0E2F">
        <w:t>monocyte</w:t>
      </w:r>
      <w:r w:rsidRPr="003C0E2F">
        <w:t>/</w:t>
      </w:r>
      <w:r w:rsidR="008F561F" w:rsidRPr="003C0E2F">
        <w:t>macrophage</w:t>
      </w:r>
      <w:r w:rsidRPr="003C0E2F">
        <w:t xml:space="preserve">s and RAW264 </w:t>
      </w:r>
      <w:r w:rsidR="008F561F" w:rsidRPr="003C0E2F">
        <w:t>macrophage</w:t>
      </w:r>
      <w:r w:rsidRPr="003C0E2F">
        <w:t xml:space="preserve"> cell viability</w:t>
      </w:r>
      <w:r w:rsidR="00AF774A" w:rsidRPr="003C0E2F">
        <w:t>.</w:t>
      </w:r>
    </w:p>
    <w:p w14:paraId="033680E8" w14:textId="5C55E18A" w:rsidR="007F2C1C" w:rsidRPr="003C0E2F" w:rsidRDefault="007F2C1C" w:rsidP="002F00FF">
      <w:pPr>
        <w:pStyle w:val="ListParagraph"/>
        <w:numPr>
          <w:ilvl w:val="1"/>
          <w:numId w:val="10"/>
        </w:numPr>
        <w:spacing w:line="480" w:lineRule="auto"/>
      </w:pPr>
      <w:r w:rsidRPr="003C0E2F">
        <w:t xml:space="preserve">Ideally all </w:t>
      </w:r>
      <w:r w:rsidR="007933E0" w:rsidRPr="003C0E2F">
        <w:t xml:space="preserve">small </w:t>
      </w:r>
      <w:r w:rsidRPr="003C0E2F">
        <w:t xml:space="preserve">molecules should be well tolerated by </w:t>
      </w:r>
      <w:r w:rsidR="008F561F" w:rsidRPr="003C0E2F">
        <w:t>monocyte</w:t>
      </w:r>
      <w:r w:rsidR="003E0183" w:rsidRPr="003C0E2F">
        <w:t>s/</w:t>
      </w:r>
      <w:r w:rsidR="008F561F" w:rsidRPr="003C0E2F">
        <w:t>macrophage</w:t>
      </w:r>
      <w:r w:rsidR="003E0183" w:rsidRPr="003C0E2F">
        <w:t>s</w:t>
      </w:r>
      <w:r w:rsidRPr="003C0E2F">
        <w:t xml:space="preserve">. </w:t>
      </w:r>
      <w:r w:rsidR="00691BBA" w:rsidRPr="003C0E2F">
        <w:t xml:space="preserve">Optimal </w:t>
      </w:r>
      <w:r w:rsidRPr="003C0E2F">
        <w:t xml:space="preserve">concentrations for treatments </w:t>
      </w:r>
      <w:r w:rsidR="00BA1517" w:rsidRPr="003C0E2F">
        <w:t>were</w:t>
      </w:r>
      <w:r w:rsidRPr="003C0E2F">
        <w:t xml:space="preserve"> selected based on results.</w:t>
      </w:r>
    </w:p>
    <w:p w14:paraId="65BA62B7" w14:textId="77777777" w:rsidR="00F80EA4" w:rsidRPr="003C0E2F" w:rsidRDefault="00F80EA4" w:rsidP="00F80EA4">
      <w:pPr>
        <w:pStyle w:val="ListParagraph"/>
        <w:spacing w:line="480" w:lineRule="auto"/>
        <w:ind w:left="1440"/>
      </w:pPr>
    </w:p>
    <w:p w14:paraId="4CC19786" w14:textId="1CD5B415" w:rsidR="004D0E61" w:rsidRPr="003C0E2F" w:rsidRDefault="004D0E61" w:rsidP="002F00FF">
      <w:pPr>
        <w:pStyle w:val="ListParagraph"/>
        <w:numPr>
          <w:ilvl w:val="0"/>
          <w:numId w:val="10"/>
        </w:numPr>
        <w:spacing w:line="480" w:lineRule="auto"/>
      </w:pPr>
      <w:r w:rsidRPr="003C0E2F">
        <w:t xml:space="preserve">To carry out </w:t>
      </w:r>
      <w:r w:rsidR="00AF774A" w:rsidRPr="003C0E2F">
        <w:t xml:space="preserve">an initial </w:t>
      </w:r>
      <w:r w:rsidRPr="003C0E2F">
        <w:t>screening</w:t>
      </w:r>
      <w:r w:rsidR="00AF774A" w:rsidRPr="003C0E2F">
        <w:t xml:space="preserve"> in THP-1 </w:t>
      </w:r>
      <w:r w:rsidR="008F561F" w:rsidRPr="003C0E2F">
        <w:t>monocyte</w:t>
      </w:r>
      <w:r w:rsidR="00AF774A" w:rsidRPr="003C0E2F">
        <w:t>s</w:t>
      </w:r>
      <w:r w:rsidRPr="003C0E2F">
        <w:t xml:space="preserve"> to select potent TLR4 modulators from a series of FP7 and derivatives. </w:t>
      </w:r>
    </w:p>
    <w:p w14:paraId="39DEDC1A" w14:textId="79CF4E5E" w:rsidR="004D0E61" w:rsidRPr="003C0E2F" w:rsidRDefault="004D0E61" w:rsidP="002F00FF">
      <w:pPr>
        <w:pStyle w:val="ListParagraph"/>
        <w:numPr>
          <w:ilvl w:val="1"/>
          <w:numId w:val="10"/>
        </w:numPr>
        <w:spacing w:line="480" w:lineRule="auto"/>
      </w:pPr>
      <w:r w:rsidRPr="003C0E2F">
        <w:t>FP7</w:t>
      </w:r>
      <w:r w:rsidR="00AF774A" w:rsidRPr="003C0E2F">
        <w:t>, FP10, FP12 and FP116</w:t>
      </w:r>
      <w:r w:rsidRPr="003C0E2F">
        <w:t xml:space="preserve"> have been designed to act as antagonists of TLR4. </w:t>
      </w:r>
      <w:r w:rsidR="00AF774A" w:rsidRPr="003C0E2F">
        <w:t xml:space="preserve">Previous data suggests that FP7 can </w:t>
      </w:r>
      <w:r w:rsidR="00691BBA" w:rsidRPr="003C0E2F">
        <w:t>down</w:t>
      </w:r>
      <w:r w:rsidR="00AF774A" w:rsidRPr="003C0E2F">
        <w:t>regulate TLR4</w:t>
      </w:r>
      <w:r w:rsidR="00A9277D" w:rsidRPr="003C0E2F">
        <w:t>-</w:t>
      </w:r>
      <w:r w:rsidR="009E0322" w:rsidRPr="003C0E2F">
        <w:t>dependent</w:t>
      </w:r>
      <w:r w:rsidR="00AF774A" w:rsidRPr="003C0E2F">
        <w:t xml:space="preserve"> signalling in reporter </w:t>
      </w:r>
      <w:r w:rsidR="00F757DA" w:rsidRPr="003C0E2F">
        <w:t xml:space="preserve">cells </w:t>
      </w:r>
      <w:sdt>
        <w:sdtPr>
          <w:tag w:val="MENDELEY_CITATION_v3_eyJjaXRhdGlvbklEIjoiTUVOREVMRVlfQ0lUQVRJT05fNTFkYzc2MGItZjk1Ny00MGYyLWFiYmUtNWZmODM5MWFjMWUz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GYWNjaGluaSA8aT5ldCBhbC48L2k+LCAyMDE4KSIsIm1hbnVhbE92ZXJyaWRlVGV4dCI6IiJ9fQ=="/>
          <w:id w:val="338667838"/>
          <w:placeholder>
            <w:docPart w:val="DefaultPlaceholder_-1854013440"/>
          </w:placeholder>
        </w:sdtPr>
        <w:sdtEndPr/>
        <w:sdtContent>
          <w:r w:rsidR="00F257B9">
            <w:rPr>
              <w:rFonts w:eastAsia="Times New Roman"/>
            </w:rPr>
            <w:t>(</w:t>
          </w:r>
          <w:proofErr w:type="spellStart"/>
          <w:r w:rsidR="00F257B9">
            <w:rPr>
              <w:rFonts w:eastAsia="Times New Roman"/>
            </w:rPr>
            <w:t>Facchini</w:t>
          </w:r>
          <w:proofErr w:type="spellEnd"/>
          <w:r w:rsidR="00F257B9">
            <w:rPr>
              <w:rFonts w:eastAsia="Times New Roman"/>
            </w:rPr>
            <w:t xml:space="preserve"> </w:t>
          </w:r>
          <w:r w:rsidR="00F257B9">
            <w:rPr>
              <w:rFonts w:eastAsia="Times New Roman"/>
              <w:i/>
              <w:iCs/>
            </w:rPr>
            <w:t>et al.</w:t>
          </w:r>
          <w:r w:rsidR="00F257B9">
            <w:rPr>
              <w:rFonts w:eastAsia="Times New Roman"/>
            </w:rPr>
            <w:t>, 2018)</w:t>
          </w:r>
        </w:sdtContent>
      </w:sdt>
      <w:r w:rsidR="00F757DA" w:rsidRPr="003C0E2F">
        <w:t xml:space="preserve">. If </w:t>
      </w:r>
      <w:r w:rsidRPr="003C0E2F">
        <w:t>this is the case, a reduction will be seen in TLR4</w:t>
      </w:r>
      <w:r w:rsidR="00A9277D" w:rsidRPr="003C0E2F">
        <w:t>-</w:t>
      </w:r>
      <w:r w:rsidR="009E0322" w:rsidRPr="003C0E2F">
        <w:t>dependent</w:t>
      </w:r>
      <w:r w:rsidRPr="003C0E2F">
        <w:t xml:space="preserve"> </w:t>
      </w:r>
      <w:r w:rsidR="00AF774A" w:rsidRPr="003C0E2F">
        <w:t xml:space="preserve">IL-8 </w:t>
      </w:r>
      <w:r w:rsidRPr="003C0E2F">
        <w:t xml:space="preserve">production following LPS exposure as TLR4 signalling pathways are inhibited. The opposite </w:t>
      </w:r>
      <w:r w:rsidR="008F561F" w:rsidRPr="003C0E2F">
        <w:t>effect</w:t>
      </w:r>
      <w:r w:rsidRPr="003C0E2F">
        <w:t xml:space="preserve"> will be seen for</w:t>
      </w:r>
      <w:r w:rsidR="00AF774A" w:rsidRPr="003C0E2F">
        <w:t xml:space="preserve"> FP11 and FP111</w:t>
      </w:r>
      <w:r w:rsidRPr="003C0E2F">
        <w:t xml:space="preserve"> which are designed to act as TLR4 agonists.</w:t>
      </w:r>
    </w:p>
    <w:p w14:paraId="0FF9BFF9" w14:textId="0A0E7664" w:rsidR="00F80EA4" w:rsidRPr="003C0E2F" w:rsidRDefault="00F80EA4">
      <w:pPr>
        <w:spacing w:line="259" w:lineRule="auto"/>
      </w:pPr>
      <w:r w:rsidRPr="003C0E2F">
        <w:br w:type="page"/>
      </w:r>
    </w:p>
    <w:p w14:paraId="35AEA4EB" w14:textId="6A05AB59" w:rsidR="004D0E61" w:rsidRPr="003C0E2F" w:rsidRDefault="004D0E61" w:rsidP="002F00FF">
      <w:pPr>
        <w:pStyle w:val="ListParagraph"/>
        <w:numPr>
          <w:ilvl w:val="0"/>
          <w:numId w:val="10"/>
        </w:numPr>
        <w:spacing w:line="480" w:lineRule="auto"/>
        <w:rPr>
          <w:b/>
        </w:rPr>
      </w:pPr>
      <w:r w:rsidRPr="003C0E2F">
        <w:lastRenderedPageBreak/>
        <w:t xml:space="preserve">To identify therapeutic targets for selected FP7 candidate(s) in TLR4 signalling in human THP-1 </w:t>
      </w:r>
      <w:r w:rsidR="008F561F" w:rsidRPr="003C0E2F">
        <w:t>monocyte</w:t>
      </w:r>
      <w:r w:rsidRPr="003C0E2F">
        <w:t>s/</w:t>
      </w:r>
      <w:r w:rsidR="008F561F" w:rsidRPr="003C0E2F">
        <w:t>macrophage</w:t>
      </w:r>
      <w:r w:rsidRPr="003C0E2F">
        <w:t>s</w:t>
      </w:r>
      <w:r w:rsidR="001508FF" w:rsidRPr="003C0E2F">
        <w:t>.</w:t>
      </w:r>
      <w:r w:rsidR="00691BBA" w:rsidRPr="003C0E2F">
        <w:t xml:space="preserve"> Two readouts (TLR4-</w:t>
      </w:r>
      <w:r w:rsidR="009E0322" w:rsidRPr="003C0E2F">
        <w:t>dependent</w:t>
      </w:r>
      <w:r w:rsidR="00691BBA" w:rsidRPr="003C0E2F">
        <w:t xml:space="preserve"> </w:t>
      </w:r>
      <w:r w:rsidR="00623C8F" w:rsidRPr="003C0E2F">
        <w:t>signalling mediator</w:t>
      </w:r>
      <w:r w:rsidR="00691BBA" w:rsidRPr="003C0E2F">
        <w:t xml:space="preserve"> activation and release of proinflammatory proteins) to monitor the </w:t>
      </w:r>
      <w:r w:rsidR="008F561F" w:rsidRPr="003C0E2F">
        <w:t>effect</w:t>
      </w:r>
      <w:r w:rsidR="00691BBA" w:rsidRPr="003C0E2F">
        <w:t xml:space="preserve"> of FP compounds </w:t>
      </w:r>
      <w:r w:rsidR="00BA1517" w:rsidRPr="003C0E2F">
        <w:t>we</w:t>
      </w:r>
      <w:r w:rsidR="00691BBA" w:rsidRPr="003C0E2F">
        <w:t xml:space="preserve">re </w:t>
      </w:r>
      <w:r w:rsidR="00FC0536" w:rsidRPr="003C0E2F">
        <w:t>used</w:t>
      </w:r>
      <w:r w:rsidR="00691BBA" w:rsidRPr="003C0E2F">
        <w:t>.</w:t>
      </w:r>
    </w:p>
    <w:p w14:paraId="07F98C30" w14:textId="36486D62" w:rsidR="004D0E61" w:rsidRPr="003C0E2F" w:rsidRDefault="004D0E61" w:rsidP="002F00FF">
      <w:pPr>
        <w:pStyle w:val="ListParagraph"/>
        <w:numPr>
          <w:ilvl w:val="1"/>
          <w:numId w:val="10"/>
        </w:numPr>
        <w:spacing w:line="480" w:lineRule="auto"/>
      </w:pPr>
      <w:r w:rsidRPr="003C0E2F">
        <w:t>If TLR4</w:t>
      </w:r>
      <w:r w:rsidR="00A9277D" w:rsidRPr="003C0E2F">
        <w:t>-</w:t>
      </w:r>
      <w:r w:rsidR="009E0322" w:rsidRPr="003C0E2F">
        <w:t>dependent</w:t>
      </w:r>
      <w:r w:rsidRPr="003C0E2F">
        <w:t xml:space="preserve"> </w:t>
      </w:r>
      <w:r w:rsidR="00AF774A" w:rsidRPr="003C0E2F">
        <w:t>IL-8</w:t>
      </w:r>
      <w:r w:rsidRPr="003C0E2F">
        <w:t xml:space="preserve"> production is </w:t>
      </w:r>
      <w:r w:rsidR="00AF774A" w:rsidRPr="003C0E2F">
        <w:t>downregulated</w:t>
      </w:r>
      <w:r w:rsidRPr="003C0E2F">
        <w:t xml:space="preserve"> following treatment FP7 or other candidates, then downregulation of </w:t>
      </w:r>
      <w:r w:rsidR="001A0D81" w:rsidRPr="003C0E2F">
        <w:t>NF-</w:t>
      </w:r>
      <w:proofErr w:type="spellStart"/>
      <w:r w:rsidR="001A0D81" w:rsidRPr="003C0E2F">
        <w:t>κB</w:t>
      </w:r>
      <w:proofErr w:type="spellEnd"/>
      <w:r w:rsidRPr="003C0E2F">
        <w:t xml:space="preserve"> or MAPK (TLR4 </w:t>
      </w:r>
      <w:r w:rsidR="00623C8F" w:rsidRPr="003C0E2F">
        <w:t>signalling mediators</w:t>
      </w:r>
      <w:r w:rsidRPr="003C0E2F">
        <w:t>) signalling pathways will be observed following LPS stimulation.</w:t>
      </w:r>
      <w:r w:rsidR="00AF774A" w:rsidRPr="003C0E2F">
        <w:t xml:space="preserve"> This has already been seen in reporter cell lines for </w:t>
      </w:r>
      <w:r w:rsidR="007A74C2" w:rsidRPr="003C0E2F">
        <w:t>NF-</w:t>
      </w:r>
      <w:proofErr w:type="spellStart"/>
      <w:r w:rsidR="007A74C2" w:rsidRPr="003C0E2F">
        <w:t>κB</w:t>
      </w:r>
      <w:proofErr w:type="spellEnd"/>
      <w:r w:rsidR="00AF774A" w:rsidRPr="003C0E2F">
        <w:t xml:space="preserve"> so it seems reasonable that the same </w:t>
      </w:r>
      <w:r w:rsidR="008F561F" w:rsidRPr="003C0E2F">
        <w:t>effect</w:t>
      </w:r>
      <w:r w:rsidR="00AF774A" w:rsidRPr="003C0E2F">
        <w:t xml:space="preserve"> would be seen in THP-1 </w:t>
      </w:r>
      <w:r w:rsidR="008F561F" w:rsidRPr="003C0E2F">
        <w:t>macrophage</w:t>
      </w:r>
      <w:r w:rsidR="00AF774A" w:rsidRPr="003C0E2F">
        <w:t xml:space="preserve">s. </w:t>
      </w:r>
    </w:p>
    <w:p w14:paraId="139911E2" w14:textId="77777777" w:rsidR="00F80EA4" w:rsidRPr="003C0E2F" w:rsidRDefault="00F80EA4" w:rsidP="00F80EA4">
      <w:pPr>
        <w:pStyle w:val="ListParagraph"/>
        <w:spacing w:line="480" w:lineRule="auto"/>
        <w:ind w:left="1440"/>
      </w:pPr>
    </w:p>
    <w:p w14:paraId="4A2E9E54" w14:textId="1CA43AEA" w:rsidR="001508FF" w:rsidRPr="003C0E2F" w:rsidRDefault="001508FF" w:rsidP="002F00FF">
      <w:pPr>
        <w:pStyle w:val="ListParagraph"/>
        <w:numPr>
          <w:ilvl w:val="0"/>
          <w:numId w:val="10"/>
        </w:numPr>
        <w:spacing w:line="480" w:lineRule="auto"/>
        <w:rPr>
          <w:b/>
        </w:rPr>
      </w:pPr>
      <w:r w:rsidRPr="003C0E2F">
        <w:t>To determine cross-species translatability of findings between human and mouse</w:t>
      </w:r>
      <w:r w:rsidR="00BD2943" w:rsidRPr="003C0E2F">
        <w:t xml:space="preserve"> cell </w:t>
      </w:r>
      <w:r w:rsidRPr="003C0E2F">
        <w:t>models.</w:t>
      </w:r>
    </w:p>
    <w:p w14:paraId="44494F7B" w14:textId="3B2C1342" w:rsidR="007F2C1C" w:rsidRPr="003C0E2F" w:rsidRDefault="00AF774A" w:rsidP="002F00FF">
      <w:pPr>
        <w:pStyle w:val="ListParagraph"/>
        <w:numPr>
          <w:ilvl w:val="1"/>
          <w:numId w:val="10"/>
        </w:numPr>
        <w:spacing w:line="480" w:lineRule="auto"/>
      </w:pPr>
      <w:r w:rsidRPr="003C0E2F">
        <w:t xml:space="preserve">FP7 has been shown to protect against influenza lethality and motoneuron death in ALS models in </w:t>
      </w:r>
      <w:r w:rsidR="00F757DA" w:rsidRPr="003C0E2F">
        <w:t xml:space="preserve">mice </w:t>
      </w:r>
      <w:sdt>
        <w:sdtPr>
          <w:tag w:val="MENDELEY_CITATION_v3_eyJjaXRhdGlvbklEIjoiTUVOREVMRVlfQ0lUQVRJT05fMmFiODkzZTktOTFlMS00OWIyLTkwZmItMzVhMWVhODVjMGI5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"/>
          <w:id w:val="-1370448472"/>
          <w:placeholder>
            <w:docPart w:val="DefaultPlaceholder_-1854013440"/>
          </w:placeholder>
        </w:sdtPr>
        <w:sdtEndPr/>
        <w:sdtContent>
          <w:r w:rsidR="00F257B9">
            <w:rPr>
              <w:rFonts w:eastAsia="Times New Roman"/>
            </w:rPr>
            <w:t xml:space="preserve">(de Paola </w:t>
          </w:r>
          <w:r w:rsidR="00F257B9">
            <w:rPr>
              <w:rFonts w:eastAsia="Times New Roman"/>
              <w:i/>
              <w:iCs/>
            </w:rPr>
            <w:t>et al.</w:t>
          </w:r>
          <w:r w:rsidR="00F257B9">
            <w:rPr>
              <w:rFonts w:eastAsia="Times New Roman"/>
            </w:rPr>
            <w:t>, 2016; Perrin-</w:t>
          </w:r>
          <w:proofErr w:type="spellStart"/>
          <w:r w:rsidR="00F257B9">
            <w:rPr>
              <w:rFonts w:eastAsia="Times New Roman"/>
            </w:rPr>
            <w:t>Cocon</w:t>
          </w:r>
          <w:proofErr w:type="spellEnd"/>
          <w:r w:rsidR="00F257B9">
            <w:rPr>
              <w:rFonts w:eastAsia="Times New Roman"/>
            </w:rPr>
            <w:t xml:space="preserve"> </w:t>
          </w:r>
          <w:r w:rsidR="00F257B9">
            <w:rPr>
              <w:rFonts w:eastAsia="Times New Roman"/>
              <w:i/>
              <w:iCs/>
            </w:rPr>
            <w:t>et al.</w:t>
          </w:r>
          <w:r w:rsidR="00F257B9">
            <w:rPr>
              <w:rFonts w:eastAsia="Times New Roman"/>
            </w:rPr>
            <w:t>, 2017)</w:t>
          </w:r>
        </w:sdtContent>
      </w:sdt>
      <w:r w:rsidR="00F757DA" w:rsidRPr="003C0E2F">
        <w:t xml:space="preserve">. It is </w:t>
      </w:r>
      <w:r w:rsidR="001508FF" w:rsidRPr="003C0E2F">
        <w:t xml:space="preserve">reasonable to assume that antagonistic </w:t>
      </w:r>
      <w:r w:rsidR="008F561F" w:rsidRPr="003C0E2F">
        <w:t>effect</w:t>
      </w:r>
      <w:r w:rsidR="001508FF" w:rsidRPr="003C0E2F">
        <w:t>s seen in human cell</w:t>
      </w:r>
      <w:r w:rsidR="00CA0EE1" w:rsidRPr="003C0E2F">
        <w:t>s</w:t>
      </w:r>
      <w:r w:rsidR="001508FF" w:rsidRPr="003C0E2F">
        <w:t xml:space="preserve"> should translate into mouse models. Therefore, TLR4</w:t>
      </w:r>
      <w:r w:rsidR="000A1BFB" w:rsidRPr="003C0E2F">
        <w:t xml:space="preserve"> induced</w:t>
      </w:r>
      <w:r w:rsidR="001508FF" w:rsidRPr="003C0E2F">
        <w:t xml:space="preserve"> cytokine production should be downregulated in FP7 and FP12 treated mouse </w:t>
      </w:r>
      <w:r w:rsidR="008F561F" w:rsidRPr="003C0E2F">
        <w:t>macrophage</w:t>
      </w:r>
      <w:r w:rsidR="001508FF" w:rsidRPr="003C0E2F">
        <w:t>s.</w:t>
      </w:r>
    </w:p>
    <w:p w14:paraId="7C039AC2" w14:textId="77777777" w:rsidR="00F80EA4" w:rsidRPr="003C0E2F" w:rsidRDefault="00F80EA4" w:rsidP="00F80EA4">
      <w:pPr>
        <w:pStyle w:val="ListParagraph"/>
        <w:spacing w:line="480" w:lineRule="auto"/>
        <w:ind w:left="1440"/>
      </w:pPr>
    </w:p>
    <w:p w14:paraId="0B83C57D" w14:textId="12D0CD6C" w:rsidR="004D0E61" w:rsidRPr="003C0E2F" w:rsidRDefault="004D0E61" w:rsidP="002F00FF">
      <w:pPr>
        <w:pStyle w:val="ListParagraph"/>
        <w:numPr>
          <w:ilvl w:val="0"/>
          <w:numId w:val="10"/>
        </w:numPr>
        <w:spacing w:line="480" w:lineRule="auto"/>
        <w:rPr>
          <w:b/>
        </w:rPr>
      </w:pPr>
      <w:r w:rsidRPr="003C0E2F">
        <w:t>To investigate the potential of FP7 to modulate TLR4 proinflammatory signalling in response to ligands of sterile inflammation (</w:t>
      </w:r>
      <w:proofErr w:type="spellStart"/>
      <w:r w:rsidR="001A2988" w:rsidRPr="003C0E2F">
        <w:t>oxLDL</w:t>
      </w:r>
      <w:proofErr w:type="spellEnd"/>
      <w:r w:rsidRPr="003C0E2F">
        <w:t>)</w:t>
      </w:r>
      <w:r w:rsidR="00CA0EE1" w:rsidRPr="003C0E2F">
        <w:t xml:space="preserve"> which are associated with vascular diseases.</w:t>
      </w:r>
    </w:p>
    <w:p w14:paraId="593BFACA" w14:textId="42C12D7E" w:rsidR="004D0E61" w:rsidRPr="003C0E2F" w:rsidRDefault="004D0E61" w:rsidP="002F00FF">
      <w:pPr>
        <w:pStyle w:val="ListParagraph"/>
        <w:numPr>
          <w:ilvl w:val="1"/>
          <w:numId w:val="10"/>
        </w:numPr>
        <w:spacing w:line="480" w:lineRule="auto"/>
      </w:pPr>
      <w:r w:rsidRPr="003C0E2F">
        <w:t>LPS is accepted as a specific ligand for TLR4</w:t>
      </w:r>
      <w:r w:rsidR="0027708C" w:rsidRPr="003C0E2F">
        <w:t xml:space="preserve">. </w:t>
      </w:r>
      <w:proofErr w:type="spellStart"/>
      <w:r w:rsidR="001A2988" w:rsidRPr="003C0E2F">
        <w:t>OxLDL</w:t>
      </w:r>
      <w:proofErr w:type="spellEnd"/>
      <w:r w:rsidRPr="003C0E2F">
        <w:t xml:space="preserve"> have been shown to trigger sterile inflammation via different receptors including TLR4. As the ability of FP7 to inhibit LPS/TLR4</w:t>
      </w:r>
      <w:r w:rsidR="000A1BFB" w:rsidRPr="003C0E2F">
        <w:t xml:space="preserve"> induced</w:t>
      </w:r>
      <w:r w:rsidRPr="003C0E2F">
        <w:t xml:space="preserve"> signalling, it is expected that this small molecule </w:t>
      </w:r>
      <w:r w:rsidR="00AF774A" w:rsidRPr="003C0E2F">
        <w:t>could</w:t>
      </w:r>
      <w:r w:rsidRPr="003C0E2F">
        <w:t xml:space="preserve"> modulate TLR4</w:t>
      </w:r>
      <w:r w:rsidR="000A1BFB" w:rsidRPr="003C0E2F">
        <w:t xml:space="preserve"> induced</w:t>
      </w:r>
      <w:r w:rsidRPr="003C0E2F">
        <w:t xml:space="preserve"> signalling in response to </w:t>
      </w:r>
      <w:proofErr w:type="spellStart"/>
      <w:r w:rsidR="001A2988" w:rsidRPr="003C0E2F">
        <w:t>oxLDL</w:t>
      </w:r>
      <w:proofErr w:type="spellEnd"/>
      <w:r w:rsidR="00AF774A" w:rsidRPr="003C0E2F">
        <w:t xml:space="preserve"> as well</w:t>
      </w:r>
      <w:r w:rsidRPr="003C0E2F">
        <w:t>.</w:t>
      </w:r>
    </w:p>
    <w:p w14:paraId="57195B55" w14:textId="02D1A1E7" w:rsidR="00F80EA4" w:rsidRPr="003C0E2F" w:rsidRDefault="00F80EA4">
      <w:pPr>
        <w:spacing w:line="259" w:lineRule="auto"/>
      </w:pPr>
      <w:r w:rsidRPr="003C0E2F">
        <w:br w:type="page"/>
      </w:r>
    </w:p>
    <w:p w14:paraId="0EED56CB" w14:textId="73E02ED8" w:rsidR="001508FF" w:rsidRPr="003C0E2F" w:rsidRDefault="001508FF" w:rsidP="002F00FF">
      <w:pPr>
        <w:pStyle w:val="ListParagraph"/>
        <w:numPr>
          <w:ilvl w:val="0"/>
          <w:numId w:val="10"/>
        </w:numPr>
        <w:spacing w:line="480" w:lineRule="auto"/>
        <w:rPr>
          <w:b/>
        </w:rPr>
      </w:pPr>
      <w:r w:rsidRPr="003C0E2F">
        <w:lastRenderedPageBreak/>
        <w:t xml:space="preserve">To determine if FP7 and FP12 </w:t>
      </w:r>
      <w:r w:rsidR="00AB2115" w:rsidRPr="003C0E2F">
        <w:t xml:space="preserve">have the </w:t>
      </w:r>
      <w:r w:rsidR="00146385" w:rsidRPr="003C0E2F">
        <w:t>potential</w:t>
      </w:r>
      <w:r w:rsidRPr="003C0E2F">
        <w:t xml:space="preserve"> of affecting alternat</w:t>
      </w:r>
      <w:r w:rsidR="00146385" w:rsidRPr="003C0E2F">
        <w:t>iv</w:t>
      </w:r>
      <w:r w:rsidRPr="003C0E2F">
        <w:t xml:space="preserve">e pathway of TLR4 via TRIF </w:t>
      </w:r>
      <w:r w:rsidR="006D70D7" w:rsidRPr="003C0E2F">
        <w:t xml:space="preserve">signalling pathways </w:t>
      </w:r>
      <w:r w:rsidRPr="003C0E2F">
        <w:t xml:space="preserve">in human THP-1 </w:t>
      </w:r>
      <w:r w:rsidR="008F561F" w:rsidRPr="003C0E2F">
        <w:t>macrophage</w:t>
      </w:r>
      <w:r w:rsidRPr="003C0E2F">
        <w:t>s.</w:t>
      </w:r>
    </w:p>
    <w:p w14:paraId="26F6B93C" w14:textId="746C7115" w:rsidR="001508FF" w:rsidRPr="003C0E2F" w:rsidRDefault="001508FF" w:rsidP="002F00FF">
      <w:pPr>
        <w:pStyle w:val="ListParagraph"/>
        <w:numPr>
          <w:ilvl w:val="1"/>
          <w:numId w:val="10"/>
        </w:numPr>
        <w:spacing w:line="480" w:lineRule="auto"/>
        <w:rPr>
          <w:b/>
        </w:rPr>
      </w:pPr>
      <w:r w:rsidRPr="003C0E2F">
        <w:rPr>
          <w:bCs/>
        </w:rPr>
        <w:t xml:space="preserve">As FP7 and FP12 </w:t>
      </w:r>
      <w:r w:rsidR="00F757DA" w:rsidRPr="003C0E2F">
        <w:rPr>
          <w:bCs/>
        </w:rPr>
        <w:t xml:space="preserve">interact with MD-2 and cause internalisation of CD14 </w:t>
      </w:r>
      <w:sdt>
        <w:sdtPr>
          <w:rPr>
            <w:bCs/>
          </w:rPr>
          <w:tag w:val="MENDELEY_CITATION_v3_eyJjaXRhdGlvbklEIjoiTUVOREVMRVlfQ0lUQVRJT05fMjU2YzEwYmYtYzA2Yy00NjkzLWI2NTAtMWYzM2Q5ZDhlODFk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
          <w:id w:val="164984687"/>
          <w:placeholder>
            <w:docPart w:val="DefaultPlaceholder_-1854013440"/>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r w:rsidR="00F757DA" w:rsidRPr="003C0E2F">
        <w:rPr>
          <w:bCs/>
        </w:rPr>
        <w:t xml:space="preserve">and </w:t>
      </w:r>
      <w:r w:rsidR="00A9277D" w:rsidRPr="003C0E2F">
        <w:rPr>
          <w:bCs/>
        </w:rPr>
        <w:t>TRIF-</w:t>
      </w:r>
      <w:r w:rsidR="009E0322" w:rsidRPr="003C0E2F">
        <w:rPr>
          <w:bCs/>
        </w:rPr>
        <w:t>dependent</w:t>
      </w:r>
      <w:r w:rsidR="00F757DA" w:rsidRPr="003C0E2F">
        <w:rPr>
          <w:bCs/>
        </w:rPr>
        <w:t xml:space="preserve"> signalling is more </w:t>
      </w:r>
      <w:r w:rsidR="009E0322" w:rsidRPr="003C0E2F">
        <w:rPr>
          <w:bCs/>
        </w:rPr>
        <w:t>dependent</w:t>
      </w:r>
      <w:r w:rsidR="00F757DA" w:rsidRPr="003C0E2F">
        <w:rPr>
          <w:bCs/>
        </w:rPr>
        <w:t xml:space="preserve"> on CD14 than </w:t>
      </w:r>
      <w:r w:rsidR="00932BC2" w:rsidRPr="003C0E2F">
        <w:rPr>
          <w:bCs/>
        </w:rPr>
        <w:t>MyD88</w:t>
      </w:r>
      <w:r w:rsidR="00F757DA" w:rsidRPr="003C0E2F">
        <w:rPr>
          <w:bCs/>
        </w:rPr>
        <w:t>-</w:t>
      </w:r>
      <w:r w:rsidR="009E0322" w:rsidRPr="003C0E2F">
        <w:rPr>
          <w:bCs/>
        </w:rPr>
        <w:t>dependent</w:t>
      </w:r>
      <w:r w:rsidR="00F757DA" w:rsidRPr="003C0E2F">
        <w:rPr>
          <w:bCs/>
        </w:rPr>
        <w:t xml:space="preserve"> signalling, FP7 and FP12 should be capable of preventing LPS</w:t>
      </w:r>
      <w:r w:rsidR="000A1BFB" w:rsidRPr="003C0E2F">
        <w:rPr>
          <w:bCs/>
        </w:rPr>
        <w:t xml:space="preserve"> induced</w:t>
      </w:r>
      <w:r w:rsidR="00F757DA" w:rsidRPr="003C0E2F">
        <w:rPr>
          <w:bCs/>
        </w:rPr>
        <w:t xml:space="preserve"> TLR4 signalling via TRIF. FP7 and FP12 should therefore cause a</w:t>
      </w:r>
      <w:r w:rsidR="00880EAD" w:rsidRPr="003C0E2F">
        <w:rPr>
          <w:bCs/>
        </w:rPr>
        <w:t xml:space="preserve"> reduction of activation</w:t>
      </w:r>
      <w:r w:rsidR="00F757DA" w:rsidRPr="003C0E2F">
        <w:rPr>
          <w:bCs/>
        </w:rPr>
        <w:t xml:space="preserve"> of </w:t>
      </w:r>
      <w:r w:rsidR="00A9277D" w:rsidRPr="003C0E2F">
        <w:rPr>
          <w:bCs/>
        </w:rPr>
        <w:t>TRIF-</w:t>
      </w:r>
      <w:r w:rsidR="009E0322" w:rsidRPr="003C0E2F">
        <w:rPr>
          <w:bCs/>
        </w:rPr>
        <w:t>dependent</w:t>
      </w:r>
      <w:r w:rsidR="00F757DA" w:rsidRPr="003C0E2F">
        <w:rPr>
          <w:bCs/>
        </w:rPr>
        <w:t xml:space="preserve"> signalling molecules </w:t>
      </w:r>
      <w:r w:rsidR="009E42FE" w:rsidRPr="003C0E2F">
        <w:rPr>
          <w:bCs/>
        </w:rPr>
        <w:t>TBK1</w:t>
      </w:r>
      <w:r w:rsidR="00F757DA" w:rsidRPr="003C0E2F">
        <w:rPr>
          <w:bCs/>
        </w:rPr>
        <w:t xml:space="preserve"> and IRF-3 and downregulat</w:t>
      </w:r>
      <w:r w:rsidR="00C02C10" w:rsidRPr="003C0E2F">
        <w:rPr>
          <w:bCs/>
        </w:rPr>
        <w:t>ion of</w:t>
      </w:r>
      <w:r w:rsidR="00F757DA" w:rsidRPr="003C0E2F">
        <w:rPr>
          <w:bCs/>
        </w:rPr>
        <w:t xml:space="preserve"> </w:t>
      </w:r>
      <w:r w:rsidR="00C02C10" w:rsidRPr="003C0E2F">
        <w:rPr>
          <w:bCs/>
        </w:rPr>
        <w:t>production</w:t>
      </w:r>
      <w:r w:rsidR="00AE56AE" w:rsidRPr="003C0E2F">
        <w:rPr>
          <w:bCs/>
        </w:rPr>
        <w:t xml:space="preserve"> of </w:t>
      </w:r>
      <w:r w:rsidR="00F757DA" w:rsidRPr="003C0E2F">
        <w:rPr>
          <w:bCs/>
        </w:rPr>
        <w:t>interferons.</w:t>
      </w:r>
    </w:p>
    <w:p w14:paraId="1FD4BD0A" w14:textId="77777777" w:rsidR="00F80EA4" w:rsidRPr="003C0E2F" w:rsidRDefault="00F80EA4" w:rsidP="00F80EA4">
      <w:pPr>
        <w:pStyle w:val="ListParagraph"/>
        <w:spacing w:line="480" w:lineRule="auto"/>
        <w:ind w:left="1440"/>
        <w:rPr>
          <w:b/>
        </w:rPr>
      </w:pPr>
    </w:p>
    <w:p w14:paraId="3709C072" w14:textId="256E362F" w:rsidR="001C0FFD" w:rsidRPr="003C0E2F" w:rsidRDefault="001C0FFD" w:rsidP="002F00FF">
      <w:pPr>
        <w:pStyle w:val="ListParagraph"/>
        <w:numPr>
          <w:ilvl w:val="0"/>
          <w:numId w:val="10"/>
        </w:numPr>
        <w:spacing w:line="480" w:lineRule="auto"/>
        <w:rPr>
          <w:b/>
        </w:rPr>
      </w:pPr>
      <w:r w:rsidRPr="003C0E2F">
        <w:t xml:space="preserve">To determine </w:t>
      </w:r>
      <w:r w:rsidR="007E6F2F" w:rsidRPr="003C0E2F">
        <w:t>the potential of</w:t>
      </w:r>
      <w:r w:rsidRPr="003C0E2F">
        <w:t xml:space="preserve"> FP11 and FP18 </w:t>
      </w:r>
      <w:r w:rsidR="007E6F2F" w:rsidRPr="003C0E2F">
        <w:t>to activate</w:t>
      </w:r>
      <w:r w:rsidRPr="003C0E2F">
        <w:t xml:space="preserve"> TLR4</w:t>
      </w:r>
      <w:r w:rsidR="00993DAA" w:rsidRPr="003C0E2F">
        <w:t>-</w:t>
      </w:r>
      <w:r w:rsidR="009E0322" w:rsidRPr="003C0E2F">
        <w:t>dependent</w:t>
      </w:r>
      <w:r w:rsidRPr="003C0E2F">
        <w:t xml:space="preserve"> </w:t>
      </w:r>
      <w:r w:rsidR="00932BC2" w:rsidRPr="003C0E2F">
        <w:t>MyD88</w:t>
      </w:r>
      <w:r w:rsidRPr="003C0E2F">
        <w:t xml:space="preserve"> and </w:t>
      </w:r>
      <w:r w:rsidR="00A9277D" w:rsidRPr="003C0E2F">
        <w:t>TRIF-</w:t>
      </w:r>
      <w:r w:rsidR="009E0322" w:rsidRPr="003C0E2F">
        <w:t>dependent</w:t>
      </w:r>
      <w:r w:rsidRPr="003C0E2F">
        <w:t xml:space="preserve"> signalling in human THP-1 </w:t>
      </w:r>
      <w:r w:rsidR="008F561F" w:rsidRPr="003C0E2F">
        <w:t>macrophage</w:t>
      </w:r>
      <w:r w:rsidRPr="003C0E2F">
        <w:t>s.</w:t>
      </w:r>
    </w:p>
    <w:p w14:paraId="2D8DF431" w14:textId="385F5A91" w:rsidR="00F80EA4" w:rsidRPr="003C0E2F" w:rsidRDefault="001C0FFD" w:rsidP="00F80EA4">
      <w:pPr>
        <w:pStyle w:val="ListParagraph"/>
        <w:numPr>
          <w:ilvl w:val="1"/>
          <w:numId w:val="10"/>
        </w:numPr>
        <w:spacing w:line="480" w:lineRule="auto"/>
      </w:pPr>
      <w:r w:rsidRPr="003C0E2F">
        <w:t xml:space="preserve">TLR4 agonists FP11 and FP18 </w:t>
      </w:r>
      <w:r w:rsidR="00BA1517" w:rsidRPr="003C0E2F">
        <w:t>were</w:t>
      </w:r>
      <w:r w:rsidRPr="003C0E2F">
        <w:t xml:space="preserve"> expected increase phosphorylation of TLR4/</w:t>
      </w:r>
      <w:r w:rsidR="00932BC2" w:rsidRPr="003C0E2F">
        <w:t>MyD88</w:t>
      </w:r>
      <w:r w:rsidR="00A9277D" w:rsidRPr="003C0E2F">
        <w:t>-</w:t>
      </w:r>
      <w:r w:rsidR="009E0322" w:rsidRPr="003C0E2F">
        <w:t>dependent</w:t>
      </w:r>
      <w:r w:rsidRPr="003C0E2F">
        <w:t xml:space="preserve"> </w:t>
      </w:r>
      <w:r w:rsidR="001A0D81" w:rsidRPr="003C0E2F">
        <w:t>NF-</w:t>
      </w:r>
      <w:proofErr w:type="spellStart"/>
      <w:r w:rsidR="001A0D81" w:rsidRPr="003C0E2F">
        <w:t>κB</w:t>
      </w:r>
      <w:proofErr w:type="spellEnd"/>
      <w:r w:rsidRPr="003C0E2F">
        <w:t xml:space="preserve"> or MAPK, as well as </w:t>
      </w:r>
      <w:r w:rsidR="00F52DB6" w:rsidRPr="003C0E2F">
        <w:t xml:space="preserve">the production of </w:t>
      </w:r>
      <w:r w:rsidRPr="003C0E2F">
        <w:t xml:space="preserve">associated downstream </w:t>
      </w:r>
      <w:r w:rsidR="00F52DB6" w:rsidRPr="003C0E2F">
        <w:t>proinflammatory proteins.</w:t>
      </w:r>
      <w:bookmarkEnd w:id="198"/>
    </w:p>
    <w:p w14:paraId="3D22331C" w14:textId="77777777" w:rsidR="00F80EA4" w:rsidRPr="003C0E2F" w:rsidRDefault="00F80EA4">
      <w:pPr>
        <w:spacing w:line="259" w:lineRule="auto"/>
      </w:pPr>
      <w:r w:rsidRPr="003C0E2F">
        <w:br w:type="page"/>
      </w:r>
    </w:p>
    <w:p w14:paraId="48D2153F" w14:textId="0CAA2A61" w:rsidR="00D3097F" w:rsidRPr="003C0E2F" w:rsidRDefault="00D3097F" w:rsidP="00BE5236">
      <w:pPr>
        <w:pStyle w:val="Heading1"/>
      </w:pPr>
      <w:bookmarkStart w:id="199" w:name="_Toc80013740"/>
      <w:bookmarkStart w:id="200" w:name="_Toc82882360"/>
      <w:r w:rsidRPr="003C0E2F">
        <w:lastRenderedPageBreak/>
        <w:t>Materials and Methods</w:t>
      </w:r>
      <w:bookmarkEnd w:id="199"/>
      <w:bookmarkEnd w:id="200"/>
      <w:r w:rsidRPr="003C0E2F">
        <w:tab/>
      </w:r>
    </w:p>
    <w:p w14:paraId="61739CAF" w14:textId="44363505" w:rsidR="00F757DA" w:rsidRPr="003C0E2F" w:rsidRDefault="00F757DA" w:rsidP="00F757DA">
      <w:r w:rsidRPr="003C0E2F">
        <w:t xml:space="preserve">Human THP-1 </w:t>
      </w:r>
      <w:r w:rsidR="008F561F" w:rsidRPr="003C0E2F">
        <w:t>monocyte</w:t>
      </w:r>
      <w:r w:rsidRPr="003C0E2F">
        <w:t xml:space="preserve">s and mouse RAW264 </w:t>
      </w:r>
      <w:r w:rsidR="008F561F" w:rsidRPr="003C0E2F">
        <w:t>Macrophage</w:t>
      </w:r>
      <w:r w:rsidRPr="003C0E2F">
        <w:t xml:space="preserve">s were used as an </w:t>
      </w:r>
      <w:r w:rsidRPr="003C0E2F">
        <w:rPr>
          <w:i/>
          <w:iCs/>
        </w:rPr>
        <w:t>in vitro</w:t>
      </w:r>
      <w:r w:rsidRPr="003C0E2F">
        <w:t xml:space="preserve"> model of vascular disease for investigation into the </w:t>
      </w:r>
      <w:r w:rsidR="008F561F" w:rsidRPr="003C0E2F">
        <w:t>effect</w:t>
      </w:r>
      <w:r w:rsidRPr="003C0E2F">
        <w:t xml:space="preserve">s of FP7 and derivative molecules on LPS and </w:t>
      </w:r>
      <w:proofErr w:type="spellStart"/>
      <w:r w:rsidR="001A2988" w:rsidRPr="003C0E2F">
        <w:t>oxLDL</w:t>
      </w:r>
      <w:proofErr w:type="spellEnd"/>
      <w:r w:rsidR="000A1BFB" w:rsidRPr="003C0E2F">
        <w:t xml:space="preserve"> induced</w:t>
      </w:r>
      <w:r w:rsidRPr="003C0E2F">
        <w:t xml:space="preserve"> activation of TLR4 proinflammatory signalling pathways.</w:t>
      </w:r>
    </w:p>
    <w:p w14:paraId="6D2B310E" w14:textId="6F74D505" w:rsidR="00E83093" w:rsidRPr="003C0E2F" w:rsidRDefault="00F757DA" w:rsidP="00F757DA">
      <w:r w:rsidRPr="003C0E2F">
        <w:t>Functional activity of TLR4 was measured on two levels; activation of TLR4</w:t>
      </w:r>
      <w:r w:rsidR="000A1BFB" w:rsidRPr="003C0E2F">
        <w:t xml:space="preserve"> induced</w:t>
      </w:r>
      <w:r w:rsidRPr="003C0E2F">
        <w:t xml:space="preserve"> </w:t>
      </w:r>
      <w:r w:rsidR="00623C8F" w:rsidRPr="003C0E2F">
        <w:t>signalling mediator</w:t>
      </w:r>
      <w:r w:rsidRPr="003C0E2F">
        <w:t xml:space="preserve"> recruitment and endpoint production of proinflammatory proteins. For this, Western blot, </w:t>
      </w:r>
      <w:r w:rsidR="008612D0" w:rsidRPr="003C0E2F">
        <w:t>ELISA,</w:t>
      </w:r>
      <w:r w:rsidRPr="003C0E2F">
        <w:t xml:space="preserve"> and </w:t>
      </w:r>
      <w:r w:rsidR="008A3B68" w:rsidRPr="003C0E2F">
        <w:t>a proinflammatory protein antibody array</w:t>
      </w:r>
      <w:r w:rsidRPr="003C0E2F">
        <w:t xml:space="preserve"> were used to analyse samples obtained from the intracellular and extracellular environment.</w:t>
      </w:r>
    </w:p>
    <w:p w14:paraId="2C44DA33" w14:textId="77777777" w:rsidR="00F757DA" w:rsidRPr="003C0E2F" w:rsidRDefault="00F757DA" w:rsidP="00F757DA"/>
    <w:p w14:paraId="502C4C67" w14:textId="593CB18A" w:rsidR="00D3097F" w:rsidRPr="003C0E2F" w:rsidRDefault="00D3097F" w:rsidP="00BE5236">
      <w:pPr>
        <w:pStyle w:val="Heading2"/>
      </w:pPr>
      <w:bookmarkStart w:id="201" w:name="_Toc80013741"/>
      <w:bookmarkStart w:id="202" w:name="_Toc82882361"/>
      <w:r w:rsidRPr="003C0E2F">
        <w:t xml:space="preserve">FP </w:t>
      </w:r>
      <w:r w:rsidR="00D81250" w:rsidRPr="003C0E2F">
        <w:t>c</w:t>
      </w:r>
      <w:r w:rsidRPr="003C0E2F">
        <w:t>ompound</w:t>
      </w:r>
      <w:r w:rsidR="00212FAC" w:rsidRPr="003C0E2F">
        <w:t xml:space="preserve"> </w:t>
      </w:r>
      <w:r w:rsidR="00D81250" w:rsidRPr="003C0E2F">
        <w:t>p</w:t>
      </w:r>
      <w:r w:rsidR="00212FAC" w:rsidRPr="003C0E2F">
        <w:t>reparation</w:t>
      </w:r>
      <w:bookmarkEnd w:id="201"/>
      <w:bookmarkEnd w:id="202"/>
    </w:p>
    <w:p w14:paraId="4486E39E" w14:textId="26080974" w:rsidR="0047330D" w:rsidRPr="003C0E2F" w:rsidRDefault="00D87DF9" w:rsidP="00F757DA">
      <w:r w:rsidRPr="003C0E2F">
        <w:t>Prof Francesco Peri (University of Milano-Bicocca, Milan, Italy) is an internationally recogni</w:t>
      </w:r>
      <w:r w:rsidR="003031B6" w:rsidRPr="003C0E2F">
        <w:t>s</w:t>
      </w:r>
      <w:r w:rsidRPr="003C0E2F">
        <w:t xml:space="preserve">ed expert in medicinal chemistry and drug discovery and development. In last 10 years, his research has been focused on the development of novel molecules as lead compounds for pharmacological intervention on Toll-Like Receptors (TLRs). </w:t>
      </w:r>
      <w:proofErr w:type="gramStart"/>
      <w:r w:rsidRPr="003C0E2F">
        <w:t>In particular, his</w:t>
      </w:r>
      <w:proofErr w:type="gramEnd"/>
      <w:r w:rsidRPr="003C0E2F">
        <w:t xml:space="preserve"> group developed new synthetic glycolipids able to modulate the activity of TLR4 in agonistic (FP11. </w:t>
      </w:r>
      <w:proofErr w:type="gramStart"/>
      <w:r w:rsidRPr="003C0E2F">
        <w:t>18  etc</w:t>
      </w:r>
      <w:proofErr w:type="gramEnd"/>
      <w:r w:rsidRPr="003C0E2F">
        <w:t xml:space="preserve">) and antagonistic manner (FP7 etc) From 2015 to 2018, he coordinated the Horizon2020-funded MSCA-ETN European project </w:t>
      </w:r>
      <w:proofErr w:type="spellStart"/>
      <w:r w:rsidRPr="003C0E2F">
        <w:t>TOLLerant</w:t>
      </w:r>
      <w:proofErr w:type="spellEnd"/>
      <w:r w:rsidRPr="003C0E2F">
        <w:t xml:space="preserve"> (Toll-Like Receptor 4 activation and function in diseases: an integrated chemical-biology approach).</w:t>
      </w:r>
    </w:p>
    <w:p w14:paraId="17BD914C" w14:textId="5E72366C" w:rsidR="00573853" w:rsidRPr="003C0E2F" w:rsidRDefault="00573853" w:rsidP="00F757DA">
      <w:bookmarkStart w:id="203" w:name="_Hlk82433650"/>
      <w:r w:rsidRPr="003C0E2F">
        <w:t xml:space="preserve">The FP series TLR4 antagonises share structural homology to Lipid X (Figure 9). They are synthetic glycolipids with a single sugar backbone with two attached phosphate groups and two acyl chains which vary in length between the different molecules. As the acyl chains of </w:t>
      </w:r>
      <w:proofErr w:type="gramStart"/>
      <w:r w:rsidRPr="003C0E2F">
        <w:t>Lipid</w:t>
      </w:r>
      <w:proofErr w:type="gramEnd"/>
      <w:r w:rsidRPr="003C0E2F">
        <w:t xml:space="preserve"> A and mimetic compounds are associated with binding to the hydrophobic pocket of MD-2 differences in acyl chain length may result in different strength of interaction and antagonism between these molecules.</w:t>
      </w:r>
      <w:r w:rsidR="00460528" w:rsidRPr="003C0E2F">
        <w:t xml:space="preserve"> </w:t>
      </w:r>
      <w:r w:rsidR="00460528" w:rsidRPr="003C0E2F">
        <w:lastRenderedPageBreak/>
        <w:t>Computational modelling was used to confirm docking of FP7, FP10, FP12 and FP116 in CD14 and MD-2</w:t>
      </w:r>
      <w:r w:rsidR="00D01970" w:rsidRPr="003C0E2F">
        <w:t xml:space="preserve"> </w:t>
      </w:r>
      <w:sdt>
        <w:sdtPr>
          <w:tag w:val="MENDELEY_CITATION_v3_eyJjaXRhdGlvbklEIjoiTUVOREVMRVlfQ0lUQVRJT05fNjQ2MDQxYjItMmUwNy00NDlmLWE4NjItYjIyZjZhMzVhOGRl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kZW4iOmZhbHNlLCJjaXRlcHJvY1RleHQiOiIoRmFjY2hpbmkgPGk+ZXQgYWwuPC9pPiwgMjAxOCkiLCJtYW51YWxPdmVycmlkZVRleHQiOiIifX0="/>
          <w:id w:val="-1432889133"/>
          <w:placeholder>
            <w:docPart w:val="DefaultPlaceholder_-1854013440"/>
          </w:placeholder>
        </w:sdtPr>
        <w:sdtEndPr/>
        <w:sdtContent>
          <w:r w:rsidR="00F257B9">
            <w:rPr>
              <w:rFonts w:eastAsia="Times New Roman"/>
            </w:rPr>
            <w:t>(</w:t>
          </w:r>
          <w:proofErr w:type="spellStart"/>
          <w:r w:rsidR="00F257B9">
            <w:rPr>
              <w:rFonts w:eastAsia="Times New Roman"/>
            </w:rPr>
            <w:t>Facchini</w:t>
          </w:r>
          <w:proofErr w:type="spellEnd"/>
          <w:r w:rsidR="00F257B9">
            <w:rPr>
              <w:rFonts w:eastAsia="Times New Roman"/>
            </w:rPr>
            <w:t xml:space="preserve"> </w:t>
          </w:r>
          <w:r w:rsidR="00F257B9">
            <w:rPr>
              <w:rFonts w:eastAsia="Times New Roman"/>
              <w:i/>
              <w:iCs/>
            </w:rPr>
            <w:t>et al.</w:t>
          </w:r>
          <w:r w:rsidR="00F257B9">
            <w:rPr>
              <w:rFonts w:eastAsia="Times New Roman"/>
            </w:rPr>
            <w:t>, 2018)</w:t>
          </w:r>
        </w:sdtContent>
      </w:sdt>
    </w:p>
    <w:p w14:paraId="0F7E2067" w14:textId="77777777" w:rsidR="00C91167" w:rsidRPr="003C0E2F" w:rsidRDefault="00C91167" w:rsidP="00F757DA"/>
    <w:p w14:paraId="32AB2CD8" w14:textId="5CAFE940" w:rsidR="00BF5029" w:rsidRPr="003C0E2F" w:rsidRDefault="00395BF6" w:rsidP="00BF5029">
      <w:pPr>
        <w:keepNext/>
        <w:jc w:val="center"/>
      </w:pPr>
      <w:r w:rsidRPr="003C0E2F">
        <w:rPr>
          <w:noProof/>
        </w:rPr>
        <w:drawing>
          <wp:inline distT="0" distB="0" distL="0" distR="0" wp14:anchorId="26FC99EF" wp14:editId="72DBECCD">
            <wp:extent cx="4372890" cy="3994030"/>
            <wp:effectExtent l="0" t="0" r="889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4382421" cy="4002735"/>
                    </a:xfrm>
                    <a:prstGeom prst="rect">
                      <a:avLst/>
                    </a:prstGeom>
                  </pic:spPr>
                </pic:pic>
              </a:graphicData>
            </a:graphic>
          </wp:inline>
        </w:drawing>
      </w:r>
    </w:p>
    <w:p w14:paraId="064A4961" w14:textId="0C73CF18" w:rsidR="00840A74" w:rsidRPr="003C0E2F" w:rsidRDefault="00BF5029" w:rsidP="00840A74">
      <w:pPr>
        <w:pStyle w:val="NoSpacing"/>
      </w:pPr>
      <w:bookmarkStart w:id="204" w:name="_Toc60638862"/>
      <w:bookmarkStart w:id="205" w:name="_Toc63111996"/>
      <w:bookmarkStart w:id="206" w:name="_Toc63112213"/>
      <w:bookmarkStart w:id="207" w:name="_Toc63270353"/>
      <w:bookmarkStart w:id="208" w:name="_Toc64533220"/>
      <w:bookmarkStart w:id="209" w:name="_Toc64551767"/>
      <w:bookmarkStart w:id="210" w:name="_Toc80013812"/>
      <w:bookmarkStart w:id="211" w:name="_Toc82882951"/>
      <w:r w:rsidRPr="003C0E2F">
        <w:t xml:space="preserve">Figure </w:t>
      </w:r>
      <w:r w:rsidR="00862981">
        <w:fldChar w:fldCharType="begin"/>
      </w:r>
      <w:r w:rsidR="00862981">
        <w:instrText xml:space="preserve"> SEQ Figure \* ARABIC </w:instrText>
      </w:r>
      <w:r w:rsidR="00862981">
        <w:fldChar w:fldCharType="separate"/>
      </w:r>
      <w:r w:rsidR="000F2276">
        <w:rPr>
          <w:noProof/>
        </w:rPr>
        <w:t>10</w:t>
      </w:r>
      <w:r w:rsidR="00862981">
        <w:rPr>
          <w:noProof/>
        </w:rPr>
        <w:fldChar w:fldCharType="end"/>
      </w:r>
      <w:bookmarkStart w:id="212" w:name="_Toc48514823"/>
      <w:bookmarkStart w:id="213" w:name="_Toc55583731"/>
      <w:bookmarkStart w:id="214" w:name="_Toc55584909"/>
      <w:bookmarkStart w:id="215" w:name="_Toc60584025"/>
      <w:bookmarkStart w:id="216" w:name="_Hlk51427622"/>
      <w:r w:rsidR="00840A74" w:rsidRPr="003C0E2F">
        <w:t xml:space="preserve">. </w:t>
      </w:r>
      <w:bookmarkEnd w:id="204"/>
      <w:bookmarkEnd w:id="212"/>
      <w:bookmarkEnd w:id="213"/>
      <w:bookmarkEnd w:id="214"/>
      <w:bookmarkEnd w:id="215"/>
      <w:r w:rsidR="00F757DA" w:rsidRPr="003C0E2F">
        <w:t xml:space="preserve">Structure of </w:t>
      </w:r>
      <w:r w:rsidR="000C3497" w:rsidRPr="003C0E2F">
        <w:t>a</w:t>
      </w:r>
      <w:r w:rsidR="00F757DA" w:rsidRPr="003C0E2F">
        <w:t xml:space="preserve">ntagonists; </w:t>
      </w:r>
      <w:r w:rsidR="00D87DF9" w:rsidRPr="003C0E2F">
        <w:t xml:space="preserve">FP7, FP10, FP12 and FP111 are monosaccharide synthetic glycolipids which share structural similarity to </w:t>
      </w:r>
      <w:r w:rsidR="003D4FCE" w:rsidRPr="003C0E2F">
        <w:t>Lipid X (Left)</w:t>
      </w:r>
      <w:r w:rsidR="00D87DF9" w:rsidRPr="003C0E2F">
        <w:t xml:space="preserve"> They differ from one another by variation in the length of the two acyl chains</w:t>
      </w:r>
      <w:r w:rsidR="00546A77" w:rsidRPr="003C0E2F">
        <w:t xml:space="preserve"> associated with MD-2 </w:t>
      </w:r>
      <w:r w:rsidR="00573853" w:rsidRPr="003C0E2F">
        <w:t xml:space="preserve">pocket </w:t>
      </w:r>
      <w:r w:rsidR="00546A77" w:rsidRPr="003C0E2F">
        <w:t>binding</w:t>
      </w:r>
      <w:r w:rsidR="00D87DF9" w:rsidRPr="003C0E2F">
        <w:t xml:space="preserve"> </w:t>
      </w:r>
      <w:sdt>
        <w:sdtPr>
          <w:tag w:val="MENDELEY_CITATION_v3_eyJjaXRhdGlvbklEIjoiTUVOREVMRVlfQ0lUQVRJT05fNmEyZDc4MWEtMjUyOS00NWRkLTgwZDMtZWFkZTY2NDFkMGJl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GYWNjaGluaSA8aT5ldCBhbC48L2k+LCAyMDE4KSIsIm1hbnVhbE92ZXJyaWRlVGV4dCI6IiJ9fQ=="/>
          <w:id w:val="1782144707"/>
          <w:placeholder>
            <w:docPart w:val="DefaultPlaceholder_-1854013440"/>
          </w:placeholder>
        </w:sdtPr>
        <w:sdtEndPr/>
        <w:sdtContent>
          <w:r w:rsidR="00F257B9">
            <w:rPr>
              <w:rFonts w:eastAsia="Times New Roman"/>
            </w:rPr>
            <w:t>(</w:t>
          </w:r>
          <w:proofErr w:type="spellStart"/>
          <w:r w:rsidR="00F257B9">
            <w:rPr>
              <w:rFonts w:eastAsia="Times New Roman"/>
            </w:rPr>
            <w:t>Facchini</w:t>
          </w:r>
          <w:proofErr w:type="spellEnd"/>
          <w:r w:rsidR="00F257B9">
            <w:rPr>
              <w:rFonts w:eastAsia="Times New Roman"/>
            </w:rPr>
            <w:t xml:space="preserve"> </w:t>
          </w:r>
          <w:r w:rsidR="00F257B9">
            <w:rPr>
              <w:rFonts w:eastAsia="Times New Roman"/>
              <w:i w:val="0"/>
              <w:iCs/>
            </w:rPr>
            <w:t>et al.</w:t>
          </w:r>
          <w:r w:rsidR="00F257B9">
            <w:rPr>
              <w:rFonts w:eastAsia="Times New Roman"/>
            </w:rPr>
            <w:t>, 2018)</w:t>
          </w:r>
        </w:sdtContent>
      </w:sdt>
      <w:bookmarkEnd w:id="205"/>
      <w:bookmarkEnd w:id="206"/>
      <w:bookmarkEnd w:id="207"/>
      <w:bookmarkEnd w:id="208"/>
      <w:bookmarkEnd w:id="209"/>
      <w:bookmarkEnd w:id="210"/>
      <w:bookmarkEnd w:id="211"/>
    </w:p>
    <w:bookmarkEnd w:id="216"/>
    <w:p w14:paraId="29B82E84" w14:textId="1D5F5EAA" w:rsidR="00D15B13" w:rsidRPr="003C0E2F" w:rsidRDefault="00D15B13">
      <w:pPr>
        <w:spacing w:line="259" w:lineRule="auto"/>
      </w:pPr>
    </w:p>
    <w:p w14:paraId="6EBF6A16" w14:textId="77777777" w:rsidR="003031B6" w:rsidRPr="003C0E2F" w:rsidRDefault="003031B6">
      <w:pPr>
        <w:spacing w:line="259" w:lineRule="auto"/>
      </w:pPr>
    </w:p>
    <w:p w14:paraId="604B5BD6" w14:textId="77559FC8" w:rsidR="00E13791" w:rsidRPr="003C0E2F" w:rsidRDefault="00573853" w:rsidP="00F757DA">
      <w:r w:rsidRPr="003C0E2F">
        <w:t>Agonist series FP compounds differ structurally to the antagonist series.</w:t>
      </w:r>
      <w:r w:rsidR="00D01970" w:rsidRPr="003C0E2F">
        <w:t xml:space="preserve"> </w:t>
      </w:r>
      <w:r w:rsidR="00612F94" w:rsidRPr="003C0E2F">
        <w:t>Activity of these molecules was predicted to switch from antagonism to agonism based on the ratio of phosphate groups to acyl chains (</w:t>
      </w:r>
      <w:proofErr w:type="spellStart"/>
      <w:r w:rsidR="00612F94" w:rsidRPr="003C0E2F">
        <w:t>Facchini</w:t>
      </w:r>
      <w:proofErr w:type="spellEnd"/>
      <w:r w:rsidR="00612F94" w:rsidRPr="003C0E2F">
        <w:t xml:space="preserve"> </w:t>
      </w:r>
      <w:r w:rsidR="00612F94" w:rsidRPr="003C0E2F">
        <w:rPr>
          <w:i/>
          <w:iCs/>
        </w:rPr>
        <w:t xml:space="preserve">et al., </w:t>
      </w:r>
      <w:r w:rsidR="00612F94" w:rsidRPr="003C0E2F">
        <w:t>2021). FP11 and FP18 are</w:t>
      </w:r>
      <w:r w:rsidR="0047330D" w:rsidRPr="003C0E2F">
        <w:t xml:space="preserve"> also single sugar molecules but</w:t>
      </w:r>
      <w:r w:rsidRPr="003C0E2F">
        <w:t xml:space="preserve"> carry an additional carbon chain in place of the second phosphate group seen in the antagonist series</w:t>
      </w:r>
      <w:r w:rsidR="00D01970" w:rsidRPr="003C0E2F">
        <w:t>, while FP111 has a second phosphate group in place of hydrogen (Figure 10)</w:t>
      </w:r>
      <w:r w:rsidRPr="003C0E2F">
        <w:t xml:space="preserve">. </w:t>
      </w:r>
      <w:r w:rsidR="0047330D" w:rsidRPr="003C0E2F">
        <w:t xml:space="preserve">In much the same way as with the </w:t>
      </w:r>
      <w:r w:rsidR="0047330D" w:rsidRPr="003C0E2F">
        <w:lastRenderedPageBreak/>
        <w:t>antagonist series, FP11 and FP18 vary structurally in the length of acyl chains. MPLA was used as a second comparison along with LPS in experiments involving FP antagonists.</w:t>
      </w:r>
    </w:p>
    <w:bookmarkEnd w:id="203"/>
    <w:p w14:paraId="7B1C7C37" w14:textId="77777777" w:rsidR="00C91167" w:rsidRPr="003C0E2F" w:rsidRDefault="00C91167" w:rsidP="00F757DA"/>
    <w:p w14:paraId="7CF0C147" w14:textId="1701836E" w:rsidR="00840A74" w:rsidRPr="003C0E2F" w:rsidRDefault="005D37EC" w:rsidP="00005854">
      <w:r w:rsidRPr="003C0E2F">
        <w:rPr>
          <w:noProof/>
        </w:rPr>
        <w:drawing>
          <wp:inline distT="0" distB="0" distL="0" distR="0" wp14:anchorId="301BBE32" wp14:editId="4C505775">
            <wp:extent cx="5731510" cy="4848860"/>
            <wp:effectExtent l="0" t="0" r="2540" b="889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5731510" cy="4848860"/>
                    </a:xfrm>
                    <a:prstGeom prst="rect">
                      <a:avLst/>
                    </a:prstGeom>
                  </pic:spPr>
                </pic:pic>
              </a:graphicData>
            </a:graphic>
          </wp:inline>
        </w:drawing>
      </w:r>
    </w:p>
    <w:p w14:paraId="4FE43C13" w14:textId="6A959D96" w:rsidR="0047330D" w:rsidRPr="003C0E2F" w:rsidRDefault="00840A74" w:rsidP="0047330D">
      <w:pPr>
        <w:pStyle w:val="NoSpacing"/>
      </w:pPr>
      <w:bookmarkStart w:id="217" w:name="_Toc48514824"/>
      <w:bookmarkStart w:id="218" w:name="_Toc55583732"/>
      <w:bookmarkStart w:id="219" w:name="_Toc55584910"/>
      <w:bookmarkStart w:id="220" w:name="_Toc60584026"/>
      <w:bookmarkStart w:id="221" w:name="_Toc60638144"/>
      <w:bookmarkStart w:id="222" w:name="_Toc60638863"/>
      <w:bookmarkStart w:id="223" w:name="_Toc63111997"/>
      <w:bookmarkStart w:id="224" w:name="_Toc63112214"/>
      <w:bookmarkStart w:id="225" w:name="_Toc63270354"/>
      <w:bookmarkStart w:id="226" w:name="_Toc64533221"/>
      <w:bookmarkStart w:id="227" w:name="_Toc64551768"/>
      <w:bookmarkStart w:id="228" w:name="_Toc80013813"/>
      <w:bookmarkStart w:id="229" w:name="_Toc82882952"/>
      <w:r w:rsidRPr="003C0E2F">
        <w:t xml:space="preserve">Figure </w:t>
      </w:r>
      <w:r w:rsidR="00862981">
        <w:fldChar w:fldCharType="begin"/>
      </w:r>
      <w:r w:rsidR="00862981">
        <w:instrText xml:space="preserve"> SEQ Figure \* ARABIC </w:instrText>
      </w:r>
      <w:r w:rsidR="00862981">
        <w:fldChar w:fldCharType="separate"/>
      </w:r>
      <w:r w:rsidR="000F2276">
        <w:rPr>
          <w:noProof/>
        </w:rPr>
        <w:t>11</w:t>
      </w:r>
      <w:r w:rsidR="00862981">
        <w:rPr>
          <w:noProof/>
        </w:rPr>
        <w:fldChar w:fldCharType="end"/>
      </w:r>
      <w:r w:rsidR="00BF5029" w:rsidRPr="003C0E2F">
        <w:rPr>
          <w:noProof/>
        </w:rPr>
        <w:t>.</w:t>
      </w:r>
      <w:r w:rsidRPr="003C0E2F">
        <w:t xml:space="preserve"> </w:t>
      </w:r>
      <w:bookmarkStart w:id="230" w:name="_Hlk51427695"/>
      <w:r w:rsidRPr="003C0E2F">
        <w:t xml:space="preserve">Structure of </w:t>
      </w:r>
      <w:r w:rsidR="000C3497" w:rsidRPr="003C0E2F">
        <w:t>a</w:t>
      </w:r>
      <w:r w:rsidRPr="003C0E2F">
        <w:t xml:space="preserve">gonists; FP11, FP111, FP18 </w:t>
      </w:r>
      <w:r w:rsidR="0047330D" w:rsidRPr="003C0E2F">
        <w:t>share some structural similarity with</w:t>
      </w:r>
      <w:r w:rsidRPr="003C0E2F">
        <w:t xml:space="preserve"> MPLA</w:t>
      </w:r>
      <w:bookmarkEnd w:id="217"/>
      <w:bookmarkEnd w:id="218"/>
      <w:bookmarkEnd w:id="219"/>
      <w:bookmarkEnd w:id="220"/>
      <w:bookmarkEnd w:id="221"/>
      <w:bookmarkEnd w:id="222"/>
      <w:bookmarkEnd w:id="223"/>
      <w:bookmarkEnd w:id="224"/>
      <w:bookmarkEnd w:id="225"/>
      <w:bookmarkEnd w:id="226"/>
      <w:bookmarkEnd w:id="227"/>
      <w:bookmarkEnd w:id="230"/>
      <w:r w:rsidR="0047330D" w:rsidRPr="003C0E2F">
        <w:t xml:space="preserve"> (</w:t>
      </w:r>
      <w:r w:rsidR="000B0D82" w:rsidRPr="003C0E2F">
        <w:t>left</w:t>
      </w:r>
      <w:r w:rsidR="0047330D" w:rsidRPr="003C0E2F">
        <w:t>)</w:t>
      </w:r>
      <w:r w:rsidR="00B53D43" w:rsidRPr="003C0E2F">
        <w:t>.</w:t>
      </w:r>
      <w:bookmarkEnd w:id="228"/>
      <w:bookmarkEnd w:id="229"/>
    </w:p>
    <w:p w14:paraId="08C2B5DE" w14:textId="77777777" w:rsidR="0047330D" w:rsidRPr="003C0E2F" w:rsidRDefault="0047330D" w:rsidP="0047330D"/>
    <w:p w14:paraId="68BCE3D5" w14:textId="3461E302" w:rsidR="00F757DA" w:rsidRPr="003C0E2F" w:rsidRDefault="007348C4" w:rsidP="0047330D">
      <w:r w:rsidRPr="003C0E2F">
        <w:t>Lyophili</w:t>
      </w:r>
      <w:r w:rsidR="003031B6" w:rsidRPr="003C0E2F">
        <w:t>s</w:t>
      </w:r>
      <w:r w:rsidRPr="003C0E2F">
        <w:t xml:space="preserve">ed </w:t>
      </w:r>
      <w:r w:rsidR="0047330D" w:rsidRPr="003C0E2F">
        <w:t>FP compounds were prepared at the University of Milano and delivered to Anglia Ruskin University. Compounds were reconstituted in either DMSO alone, DMSO/Ethanol at a 1:1 ratio</w:t>
      </w:r>
      <w:r w:rsidR="007273E3" w:rsidRPr="003C0E2F">
        <w:t xml:space="preserve"> (Appendix I)</w:t>
      </w:r>
      <w:r w:rsidR="0047330D" w:rsidRPr="003C0E2F">
        <w:t xml:space="preserve">, or water with heat and sonication used to aid </w:t>
      </w:r>
      <w:r w:rsidR="004C0A78" w:rsidRPr="003C0E2F">
        <w:t xml:space="preserve">in </w:t>
      </w:r>
      <w:r w:rsidR="0047330D" w:rsidRPr="003C0E2F">
        <w:t xml:space="preserve">solubilisation of compounds where required. </w:t>
      </w:r>
      <w:r w:rsidR="00F757DA" w:rsidRPr="003C0E2F">
        <w:rPr>
          <w:highlight w:val="lightGray"/>
        </w:rPr>
        <w:br w:type="page"/>
      </w:r>
    </w:p>
    <w:p w14:paraId="4E7BF8D0" w14:textId="64ADC11D" w:rsidR="00D3097F" w:rsidRPr="003C0E2F" w:rsidRDefault="00D3097F" w:rsidP="00F757DA">
      <w:pPr>
        <w:pStyle w:val="Heading2"/>
      </w:pPr>
      <w:bookmarkStart w:id="231" w:name="_Toc80013742"/>
      <w:bookmarkStart w:id="232" w:name="_Toc82882362"/>
      <w:r w:rsidRPr="003C0E2F">
        <w:lastRenderedPageBreak/>
        <w:t xml:space="preserve">Production of </w:t>
      </w:r>
      <w:r w:rsidR="00D81250" w:rsidRPr="003C0E2F">
        <w:t>h</w:t>
      </w:r>
      <w:r w:rsidRPr="003C0E2F">
        <w:t xml:space="preserve">ydroperoxide and </w:t>
      </w:r>
      <w:r w:rsidR="001A2988" w:rsidRPr="003C0E2F">
        <w:t>oxysterol-rich</w:t>
      </w:r>
      <w:r w:rsidRPr="003C0E2F">
        <w:t xml:space="preserve"> </w:t>
      </w:r>
      <w:proofErr w:type="spellStart"/>
      <w:r w:rsidR="001A2988" w:rsidRPr="003C0E2F">
        <w:t>oxLDL</w:t>
      </w:r>
      <w:proofErr w:type="spellEnd"/>
      <w:r w:rsidRPr="003C0E2F">
        <w:t xml:space="preserve"> forms</w:t>
      </w:r>
      <w:bookmarkEnd w:id="231"/>
      <w:bookmarkEnd w:id="232"/>
    </w:p>
    <w:p w14:paraId="1167EC66" w14:textId="2CC301F8" w:rsidR="00F757DA" w:rsidRPr="003C0E2F" w:rsidRDefault="00F757DA" w:rsidP="00F757DA">
      <w:r w:rsidRPr="003C0E2F">
        <w:t xml:space="preserve">Oxidation of LDL was carried out following the protocol previously described for production of lipid hydroperoxide or </w:t>
      </w:r>
      <w:r w:rsidR="001A2988" w:rsidRPr="003C0E2F">
        <w:t>oxysterol-rich</w:t>
      </w:r>
      <w:r w:rsidRPr="003C0E2F">
        <w:t xml:space="preserve"> </w:t>
      </w:r>
      <w:proofErr w:type="spellStart"/>
      <w:r w:rsidR="001A2988" w:rsidRPr="003C0E2F">
        <w:t>oxLDL</w:t>
      </w:r>
      <w:proofErr w:type="spellEnd"/>
      <w:r w:rsidRPr="003C0E2F">
        <w:t xml:space="preserve"> </w:t>
      </w:r>
      <w:sdt>
        <w:sdtPr>
          <w:rPr>
            <w:color w:val="000000"/>
          </w:rPr>
          <w:tag w:val="MENDELEY_CITATION_v3_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"/>
          <w:id w:val="1432079732"/>
          <w:placeholder>
            <w:docPart w:val="DefaultPlaceholder_-1854013440"/>
          </w:placeholder>
        </w:sdtPr>
        <w:sdtEndPr/>
        <w:sdtContent>
          <w:r w:rsidR="00F257B9" w:rsidRPr="00F257B9">
            <w:rPr>
              <w:color w:val="000000"/>
            </w:rPr>
            <w:t xml:space="preserve">(Gerry, Satchell and </w:t>
          </w:r>
          <w:proofErr w:type="spellStart"/>
          <w:r w:rsidR="00F257B9" w:rsidRPr="00F257B9">
            <w:rPr>
              <w:color w:val="000000"/>
            </w:rPr>
            <w:t>Leake</w:t>
          </w:r>
          <w:proofErr w:type="spellEnd"/>
          <w:r w:rsidR="00F257B9" w:rsidRPr="00F257B9">
            <w:rPr>
              <w:color w:val="000000"/>
            </w:rPr>
            <w:t>, 2008</w:t>
          </w:r>
        </w:sdtContent>
      </w:sdt>
      <w:r w:rsidRPr="003C0E2F">
        <w:t xml:space="preserve">). In the presence of copper ions, hydroperoxide and oxysterol forms of LDL may be produced. At higher temperatures there is an initial increase in the levels of hydroperoxides created, which subsequently degrade leaving mainly oxysterol forms of </w:t>
      </w:r>
      <w:proofErr w:type="spellStart"/>
      <w:r w:rsidR="001A2988" w:rsidRPr="003C0E2F">
        <w:t>oxLDL</w:t>
      </w:r>
      <w:proofErr w:type="spellEnd"/>
      <w:r w:rsidRPr="003C0E2F">
        <w:t xml:space="preserve">. At lower temperatures, the process is lengthened, allowing for the development of hydroperoxides and negligible levels of oxysterols. As such, temperature control in the oxidation process allows for the creation of two distinct forms of </w:t>
      </w:r>
      <w:proofErr w:type="spellStart"/>
      <w:r w:rsidR="001A2988" w:rsidRPr="003C0E2F">
        <w:t>oxLDL</w:t>
      </w:r>
      <w:proofErr w:type="spellEnd"/>
      <w:r w:rsidR="008612D0" w:rsidRPr="003C0E2F">
        <w:t>:</w:t>
      </w:r>
      <w:r w:rsidRPr="003C0E2F">
        <w:t xml:space="preserve"> hydroperoxide-rich and oxysterol-rich </w:t>
      </w:r>
      <w:proofErr w:type="spellStart"/>
      <w:r w:rsidR="001A2988" w:rsidRPr="003C0E2F">
        <w:t>oxLDL</w:t>
      </w:r>
      <w:proofErr w:type="spellEnd"/>
      <w:r w:rsidRPr="003C0E2F">
        <w:t>.</w:t>
      </w:r>
    </w:p>
    <w:p w14:paraId="5AE4C006" w14:textId="2DFAA967" w:rsidR="00F757DA" w:rsidRPr="003C0E2F" w:rsidRDefault="00F757DA" w:rsidP="00F757DA">
      <w:bookmarkStart w:id="233" w:name="_Hlk82428767"/>
      <w:r w:rsidRPr="003C0E2F">
        <w:t>Native LDL (</w:t>
      </w:r>
      <w:proofErr w:type="spellStart"/>
      <w:r w:rsidRPr="003C0E2F">
        <w:t>nLDL</w:t>
      </w:r>
      <w:proofErr w:type="spellEnd"/>
      <w:r w:rsidRPr="003C0E2F">
        <w:t xml:space="preserve">) was </w:t>
      </w:r>
      <w:r w:rsidR="003D5A79" w:rsidRPr="003C0E2F">
        <w:t>ethically</w:t>
      </w:r>
      <w:r w:rsidRPr="003C0E2F">
        <w:t xml:space="preserve"> </w:t>
      </w:r>
      <w:r w:rsidR="000729C6" w:rsidRPr="003C0E2F">
        <w:t xml:space="preserve">obtained </w:t>
      </w:r>
      <w:r w:rsidRPr="003C0E2F">
        <w:t xml:space="preserve">from healthy </w:t>
      </w:r>
      <w:r w:rsidR="003D5A79" w:rsidRPr="003C0E2F">
        <w:t xml:space="preserve">volunteer </w:t>
      </w:r>
      <w:r w:rsidRPr="003C0E2F">
        <w:t xml:space="preserve">donors at Reading </w:t>
      </w:r>
      <w:r w:rsidR="003D5A79" w:rsidRPr="003C0E2F">
        <w:t>U</w:t>
      </w:r>
      <w:r w:rsidRPr="003C0E2F">
        <w:t>niversity</w:t>
      </w:r>
      <w:bookmarkEnd w:id="233"/>
      <w:r w:rsidRPr="003C0E2F">
        <w:t>. Oxidation was carried out through a series of dialysis steps including against copper sulphate. 2mg/</w:t>
      </w:r>
      <w:r w:rsidR="00005854" w:rsidRPr="003C0E2F">
        <w:t xml:space="preserve">mL </w:t>
      </w:r>
      <w:proofErr w:type="spellStart"/>
      <w:r w:rsidRPr="003C0E2F">
        <w:t>nLDL</w:t>
      </w:r>
      <w:proofErr w:type="spellEnd"/>
      <w:r w:rsidR="00005854" w:rsidRPr="003C0E2F">
        <w:t xml:space="preserve"> (measured </w:t>
      </w:r>
      <w:proofErr w:type="gramStart"/>
      <w:r w:rsidR="00005854" w:rsidRPr="003C0E2F">
        <w:t xml:space="preserve">via </w:t>
      </w:r>
      <w:r w:rsidR="00612837" w:rsidRPr="003C0E2F">
        <w:t xml:space="preserve"> L</w:t>
      </w:r>
      <w:r w:rsidR="00005854" w:rsidRPr="003C0E2F">
        <w:t>owry</w:t>
      </w:r>
      <w:proofErr w:type="gramEnd"/>
      <w:r w:rsidR="00005854" w:rsidRPr="003C0E2F">
        <w:t xml:space="preserve"> assay)</w:t>
      </w:r>
      <w:r w:rsidRPr="003C0E2F">
        <w:t xml:space="preserve"> was used during the process. Overnight steps were carried out at 4</w:t>
      </w:r>
      <w:bookmarkStart w:id="234" w:name="_Hlk80821120"/>
      <w:r w:rsidR="002323B4" w:rsidRPr="003C0E2F">
        <w:rPr>
          <w:rFonts w:cstheme="minorHAnsi"/>
          <w:vertAlign w:val="superscript"/>
        </w:rPr>
        <w:t>o</w:t>
      </w:r>
      <w:r w:rsidR="002323B4" w:rsidRPr="003C0E2F">
        <w:t>C</w:t>
      </w:r>
      <w:bookmarkEnd w:id="234"/>
      <w:r w:rsidR="002323B4" w:rsidRPr="003C0E2F">
        <w:rPr>
          <w:rFonts w:cstheme="minorHAnsi"/>
          <w:vertAlign w:val="superscript"/>
        </w:rPr>
        <w:t xml:space="preserve"> </w:t>
      </w:r>
      <w:r w:rsidRPr="003C0E2F">
        <w:t>in IL buffer per 10mg LDL unless otherwise stated. EDTA present from the extraction process was removed, as this would chelate Cu2+, through overnight dialysis against Phosphate buffer (140mM NaCl, 8.1mM Na2HPO, 1.9mM NaH2PO4, pH7.4). This was followed by a further overnight dialysis against MOPS buffer (10mM MOPS, 150mM NaCl, pH7.4, treated with washed chelex-100). Another overnight dialysis was carried in MOPS buffer with CuSO</w:t>
      </w:r>
      <w:r w:rsidRPr="003C0E2F">
        <w:rPr>
          <w:vertAlign w:val="subscript"/>
        </w:rPr>
        <w:t>4</w:t>
      </w:r>
      <w:r w:rsidRPr="003C0E2F">
        <w:t xml:space="preserve"> (10µM) added to the dialysis bag and in the surrounding buffer. This step was carried out at either </w:t>
      </w:r>
      <w:r w:rsidR="002323B4" w:rsidRPr="003C0E2F">
        <w:t>4</w:t>
      </w:r>
      <w:r w:rsidR="002323B4" w:rsidRPr="003C0E2F">
        <w:rPr>
          <w:rFonts w:cstheme="minorHAnsi"/>
          <w:vertAlign w:val="superscript"/>
        </w:rPr>
        <w:t>o</w:t>
      </w:r>
      <w:r w:rsidR="002323B4" w:rsidRPr="003C0E2F">
        <w:t xml:space="preserve">C </w:t>
      </w:r>
      <w:r w:rsidRPr="003C0E2F">
        <w:t xml:space="preserve">for production of </w:t>
      </w:r>
      <w:r w:rsidR="001A2988" w:rsidRPr="003C0E2F">
        <w:t>hydroperoxide-rich</w:t>
      </w:r>
      <w:r w:rsidRPr="003C0E2F">
        <w:t xml:space="preserve"> </w:t>
      </w:r>
      <w:proofErr w:type="spellStart"/>
      <w:r w:rsidR="001A2988" w:rsidRPr="003C0E2F">
        <w:t>oxLDL</w:t>
      </w:r>
      <w:proofErr w:type="spellEnd"/>
      <w:r w:rsidRPr="003C0E2F">
        <w:t xml:space="preserve"> or 37</w:t>
      </w:r>
      <w:r w:rsidR="002323B4" w:rsidRPr="003C0E2F">
        <w:rPr>
          <w:rFonts w:cstheme="minorHAnsi"/>
          <w:vertAlign w:val="superscript"/>
        </w:rPr>
        <w:t>o</w:t>
      </w:r>
      <w:r w:rsidR="002323B4" w:rsidRPr="003C0E2F">
        <w:t>C</w:t>
      </w:r>
      <w:r w:rsidRPr="003C0E2F">
        <w:t xml:space="preserve"> for </w:t>
      </w:r>
      <w:r w:rsidR="001A2988" w:rsidRPr="003C0E2F">
        <w:t>oxysterol-rich</w:t>
      </w:r>
      <w:r w:rsidRPr="003C0E2F">
        <w:t xml:space="preserve"> </w:t>
      </w:r>
      <w:proofErr w:type="spellStart"/>
      <w:r w:rsidR="001A2988" w:rsidRPr="003C0E2F">
        <w:t>oxLDL</w:t>
      </w:r>
      <w:proofErr w:type="spellEnd"/>
      <w:r w:rsidRPr="003C0E2F">
        <w:t>. Oxidation was stopped via addition of 1mM EDTA to the dialysis bag and dialysed overnight against phosphate buffer containing 100µM EDTA to chelate Cu</w:t>
      </w:r>
      <w:r w:rsidRPr="003C0E2F">
        <w:rPr>
          <w:vertAlign w:val="superscript"/>
        </w:rPr>
        <w:t>2+</w:t>
      </w:r>
      <w:r w:rsidR="002323B4" w:rsidRPr="003C0E2F">
        <w:t xml:space="preserve">. </w:t>
      </w:r>
      <w:r w:rsidRPr="003C0E2F">
        <w:t>The final products were filter sterilised (0.2µm).</w:t>
      </w:r>
      <w:r w:rsidR="00612837" w:rsidRPr="003C0E2F">
        <w:t xml:space="preserve"> Oxidation was confirmed by HPLC analysis and concentration</w:t>
      </w:r>
      <w:r w:rsidRPr="003C0E2F">
        <w:t xml:space="preserve"> was determined via Lowry assay</w:t>
      </w:r>
      <w:r w:rsidR="00036650" w:rsidRPr="003C0E2F">
        <w:t xml:space="preserve"> </w:t>
      </w:r>
      <w:sdt>
        <w:sdtPr>
          <w:rPr>
            <w:color w:val="000000"/>
          </w:rPr>
          <w:tag w:val="MENDELEY_CITATION_v3_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"/>
          <w:id w:val="822925308"/>
          <w:placeholder>
            <w:docPart w:val="C121F144830040A68D015361EBEE8108"/>
          </w:placeholder>
        </w:sdtPr>
        <w:sdtEndPr/>
        <w:sdtContent>
          <w:r w:rsidR="00F257B9" w:rsidRPr="00F257B9">
            <w:rPr>
              <w:color w:val="000000"/>
            </w:rPr>
            <w:t xml:space="preserve">(Gerry, Satchell and </w:t>
          </w:r>
          <w:proofErr w:type="spellStart"/>
          <w:r w:rsidR="00F257B9" w:rsidRPr="00F257B9">
            <w:rPr>
              <w:color w:val="000000"/>
            </w:rPr>
            <w:t>Leake</w:t>
          </w:r>
          <w:proofErr w:type="spellEnd"/>
          <w:r w:rsidR="00F257B9" w:rsidRPr="00F257B9">
            <w:rPr>
              <w:color w:val="000000"/>
            </w:rPr>
            <w:t>, 2008</w:t>
          </w:r>
        </w:sdtContent>
      </w:sdt>
      <w:r w:rsidR="00036650" w:rsidRPr="003C0E2F">
        <w:t>)</w:t>
      </w:r>
      <w:r w:rsidRPr="003C0E2F">
        <w:t>. Experiments were carried out within two weeks.</w:t>
      </w:r>
    </w:p>
    <w:p w14:paraId="144DA559" w14:textId="14A77E26" w:rsidR="00F757DA" w:rsidRPr="003C0E2F" w:rsidRDefault="00F757DA">
      <w:pPr>
        <w:spacing w:line="259" w:lineRule="auto"/>
      </w:pPr>
      <w:r w:rsidRPr="003C0E2F">
        <w:br w:type="page"/>
      </w:r>
    </w:p>
    <w:p w14:paraId="050524E6" w14:textId="1FF905D9" w:rsidR="00D3097F" w:rsidRPr="003C0E2F" w:rsidRDefault="00D3097F" w:rsidP="00BE5236">
      <w:pPr>
        <w:pStyle w:val="Heading2"/>
      </w:pPr>
      <w:bookmarkStart w:id="235" w:name="_Toc80013743"/>
      <w:bookmarkStart w:id="236" w:name="_Toc82882363"/>
      <w:r w:rsidRPr="003C0E2F">
        <w:lastRenderedPageBreak/>
        <w:t>Tissue culture</w:t>
      </w:r>
      <w:bookmarkEnd w:id="235"/>
      <w:bookmarkEnd w:id="236"/>
      <w:r w:rsidRPr="003C0E2F">
        <w:tab/>
      </w:r>
    </w:p>
    <w:p w14:paraId="47F39AE3" w14:textId="452729A2" w:rsidR="00D3097F" w:rsidRPr="003C0E2F" w:rsidRDefault="00F757DA" w:rsidP="00BE5236">
      <w:r w:rsidRPr="003C0E2F">
        <w:t xml:space="preserve">Human THP-1 and mouse RAW264 </w:t>
      </w:r>
      <w:r w:rsidR="008F561F" w:rsidRPr="003C0E2F">
        <w:t>macrophage</w:t>
      </w:r>
      <w:r w:rsidRPr="003C0E2F">
        <w:t xml:space="preserve">s were used as an </w:t>
      </w:r>
      <w:r w:rsidRPr="003C0E2F">
        <w:rPr>
          <w:i/>
          <w:iCs/>
        </w:rPr>
        <w:t>in vitro</w:t>
      </w:r>
      <w:r w:rsidRPr="003C0E2F">
        <w:t xml:space="preserve"> model of vascular disease for investigation into the </w:t>
      </w:r>
      <w:r w:rsidR="008F561F" w:rsidRPr="003C0E2F">
        <w:t>effect</w:t>
      </w:r>
      <w:r w:rsidRPr="003C0E2F">
        <w:t xml:space="preserve">s of FP7 and FP12 on </w:t>
      </w:r>
      <w:proofErr w:type="gramStart"/>
      <w:r w:rsidRPr="003C0E2F">
        <w:t>LPS</w:t>
      </w:r>
      <w:r w:rsidR="007B18FC" w:rsidRPr="003C0E2F">
        <w:t xml:space="preserve"> </w:t>
      </w:r>
      <w:r w:rsidR="000A1BFB" w:rsidRPr="003C0E2F">
        <w:t xml:space="preserve"> induced</w:t>
      </w:r>
      <w:proofErr w:type="gramEnd"/>
      <w:r w:rsidRPr="003C0E2F">
        <w:t xml:space="preserve"> activation of TLR4 proinflammatory signalling pathways. All cells were recovered and maintained for at least one week in T-75 flasks from frozen storage prior to any experimental procedures.</w:t>
      </w:r>
    </w:p>
    <w:p w14:paraId="4059B04E" w14:textId="77777777" w:rsidR="00F757DA" w:rsidRPr="003C0E2F" w:rsidRDefault="00F757DA" w:rsidP="00BE5236"/>
    <w:p w14:paraId="6789E1AF" w14:textId="6BADD3BA" w:rsidR="00D3097F" w:rsidRPr="003C0E2F" w:rsidRDefault="00D3097F" w:rsidP="00D55B0E">
      <w:pPr>
        <w:pStyle w:val="Heading3"/>
      </w:pPr>
      <w:bookmarkStart w:id="237" w:name="_Toc80013744"/>
      <w:bookmarkStart w:id="238" w:name="_Toc82882364"/>
      <w:r w:rsidRPr="003C0E2F">
        <w:t xml:space="preserve">THP-1 </w:t>
      </w:r>
      <w:r w:rsidR="008F561F" w:rsidRPr="003C0E2F">
        <w:t>monocyte</w:t>
      </w:r>
      <w:r w:rsidRPr="003C0E2F">
        <w:t xml:space="preserve">s and </w:t>
      </w:r>
      <w:r w:rsidR="008F561F" w:rsidRPr="003C0E2F">
        <w:t>macrophage</w:t>
      </w:r>
      <w:r w:rsidRPr="003C0E2F">
        <w:t xml:space="preserve"> </w:t>
      </w:r>
      <w:r w:rsidR="009F0A33" w:rsidRPr="003C0E2F">
        <w:t>m</w:t>
      </w:r>
      <w:r w:rsidRPr="003C0E2F">
        <w:t xml:space="preserve">aintenance and </w:t>
      </w:r>
      <w:r w:rsidR="009F0A33" w:rsidRPr="003C0E2F">
        <w:t>d</w:t>
      </w:r>
      <w:r w:rsidRPr="003C0E2F">
        <w:t>ifferentiation</w:t>
      </w:r>
      <w:bookmarkEnd w:id="237"/>
      <w:bookmarkEnd w:id="238"/>
    </w:p>
    <w:p w14:paraId="5C0DEC2A" w14:textId="660A2FB3" w:rsidR="00D3097F" w:rsidRPr="003C0E2F" w:rsidRDefault="00F757DA" w:rsidP="00BE5236">
      <w:r w:rsidRPr="003C0E2F">
        <w:t xml:space="preserve">THP-1 cells were cultured in Gibco™ Roswell Park Memorial Institute (RPMI) 1640 medium (+10% heat inactivated </w:t>
      </w:r>
      <w:proofErr w:type="spellStart"/>
      <w:r w:rsidRPr="003C0E2F">
        <w:t>fetal</w:t>
      </w:r>
      <w:proofErr w:type="spellEnd"/>
      <w:r w:rsidRPr="003C0E2F">
        <w:t xml:space="preserve"> bovine serum (</w:t>
      </w:r>
      <w:proofErr w:type="spellStart"/>
      <w:r w:rsidRPr="003C0E2F">
        <w:t>HiFBS</w:t>
      </w:r>
      <w:proofErr w:type="spellEnd"/>
      <w:r w:rsidRPr="003C0E2F">
        <w:t>), +1% Glutamine, +1% Penicillin/Streptomycin). Cells were split 2-3 times weekly and maintained at a density of ~300x106 cells/ml. For differentiation of THP-1 cells 25nM of PMA (Phorbol 12-myristate 13-acetate) was added to plated cells for 3 days before washing 3x with fresh medium. Cells were then left to rest for overnight before treatment.</w:t>
      </w:r>
    </w:p>
    <w:p w14:paraId="2FD4C69C" w14:textId="30089D30" w:rsidR="003A614C" w:rsidRPr="003C0E2F" w:rsidRDefault="003A614C" w:rsidP="00BE5236"/>
    <w:p w14:paraId="5582FC26" w14:textId="55AE6DE0" w:rsidR="003A614C" w:rsidRPr="003C0E2F" w:rsidRDefault="003A614C" w:rsidP="003A614C">
      <w:pPr>
        <w:pStyle w:val="Heading3"/>
      </w:pPr>
      <w:r w:rsidRPr="003C0E2F">
        <w:t xml:space="preserve"> </w:t>
      </w:r>
      <w:bookmarkStart w:id="239" w:name="_Toc80013745"/>
      <w:bookmarkStart w:id="240" w:name="_Toc82882365"/>
      <w:bookmarkStart w:id="241" w:name="_Hlk82439691"/>
      <w:r w:rsidRPr="003C0E2F">
        <w:t xml:space="preserve">PBMC isolation, </w:t>
      </w:r>
      <w:r w:rsidR="00752536" w:rsidRPr="003C0E2F">
        <w:t>maintenance,</w:t>
      </w:r>
      <w:r w:rsidR="00F62245" w:rsidRPr="003C0E2F">
        <w:t xml:space="preserve"> and differentiation</w:t>
      </w:r>
      <w:bookmarkEnd w:id="239"/>
      <w:bookmarkEnd w:id="240"/>
    </w:p>
    <w:p w14:paraId="381F8CB3" w14:textId="45039B30" w:rsidR="00B1465C" w:rsidRPr="003C0E2F" w:rsidRDefault="002B0A0C" w:rsidP="00B1465C">
      <w:bookmarkStart w:id="242" w:name="_Hlk82439593"/>
      <w:bookmarkEnd w:id="241"/>
      <w:r w:rsidRPr="003C0E2F">
        <w:t>Human monocytes</w:t>
      </w:r>
      <w:r w:rsidR="00B1465C" w:rsidRPr="003C0E2F">
        <w:t xml:space="preserve"> were isolated from blood, ethically obtained from </w:t>
      </w:r>
      <w:r w:rsidR="00460528" w:rsidRPr="003C0E2F">
        <w:t>voluntary donors at Reading University.</w:t>
      </w:r>
      <w:r w:rsidRPr="003C0E2F">
        <w:t xml:space="preserve"> Monocytes were grown in RPMI (+10% human serum) for 10-14 days, changed every 3</w:t>
      </w:r>
      <w:r w:rsidR="00230186" w:rsidRPr="003C0E2F">
        <w:t>-4</w:t>
      </w:r>
      <w:r w:rsidRPr="003C0E2F">
        <w:t xml:space="preserve"> days, prior to differentiation into macrophages via stimulation with GM-CSF (25ng/ml) for 3 days.</w:t>
      </w:r>
    </w:p>
    <w:bookmarkEnd w:id="242"/>
    <w:p w14:paraId="00CBC336" w14:textId="77777777" w:rsidR="00F757DA" w:rsidRPr="003C0E2F" w:rsidRDefault="00F757DA" w:rsidP="00BE5236"/>
    <w:p w14:paraId="1D29EDFD" w14:textId="1C5AC831" w:rsidR="00D3097F" w:rsidRPr="003C0E2F" w:rsidRDefault="009F0A33" w:rsidP="00D55B0E">
      <w:pPr>
        <w:pStyle w:val="Heading3"/>
      </w:pPr>
      <w:r w:rsidRPr="003C0E2F">
        <w:t xml:space="preserve"> </w:t>
      </w:r>
      <w:bookmarkStart w:id="243" w:name="_Toc80013746"/>
      <w:bookmarkStart w:id="244" w:name="_Toc82882366"/>
      <w:r w:rsidR="00D3097F" w:rsidRPr="003C0E2F">
        <w:t xml:space="preserve">RAW264 </w:t>
      </w:r>
      <w:r w:rsidRPr="003C0E2F">
        <w:t>m</w:t>
      </w:r>
      <w:r w:rsidR="00D3097F" w:rsidRPr="003C0E2F">
        <w:t>aintenance</w:t>
      </w:r>
      <w:bookmarkEnd w:id="243"/>
      <w:bookmarkEnd w:id="244"/>
      <w:r w:rsidR="00D3097F" w:rsidRPr="003C0E2F">
        <w:t xml:space="preserve"> </w:t>
      </w:r>
    </w:p>
    <w:p w14:paraId="0ABB0C0B" w14:textId="3E86D3BA" w:rsidR="00D3097F" w:rsidRPr="003C0E2F" w:rsidRDefault="00F757DA" w:rsidP="00BE5236">
      <w:r w:rsidRPr="003C0E2F">
        <w:t xml:space="preserve">Raw 264 cells were cultured in DMEM (+10% </w:t>
      </w:r>
      <w:proofErr w:type="spellStart"/>
      <w:r w:rsidRPr="003C0E2F">
        <w:t>HiFBS</w:t>
      </w:r>
      <w:proofErr w:type="spellEnd"/>
      <w:r w:rsidRPr="003C0E2F">
        <w:t xml:space="preserve">, +1% Penicillin/Streptomycin) in T-75 flasks. Medium was changed 3 times </w:t>
      </w:r>
      <w:r w:rsidR="00460528" w:rsidRPr="003C0E2F">
        <w:t xml:space="preserve">per week </w:t>
      </w:r>
      <w:r w:rsidRPr="003C0E2F">
        <w:t>and cells split after reaching 60-70% confluence.</w:t>
      </w:r>
    </w:p>
    <w:p w14:paraId="14DF0B64" w14:textId="65FB2C01" w:rsidR="00A26C9B" w:rsidRPr="003C0E2F" w:rsidRDefault="00A26C9B">
      <w:pPr>
        <w:spacing w:line="259" w:lineRule="auto"/>
      </w:pPr>
      <w:r w:rsidRPr="003C0E2F">
        <w:br w:type="page"/>
      </w:r>
    </w:p>
    <w:p w14:paraId="44C9B672" w14:textId="6758833C" w:rsidR="00D3097F" w:rsidRPr="003C0E2F" w:rsidRDefault="009F0A33" w:rsidP="00D55B0E">
      <w:pPr>
        <w:pStyle w:val="Heading3"/>
      </w:pPr>
      <w:r w:rsidRPr="003C0E2F">
        <w:lastRenderedPageBreak/>
        <w:t xml:space="preserve"> </w:t>
      </w:r>
      <w:bookmarkStart w:id="245" w:name="_Toc80013747"/>
      <w:bookmarkStart w:id="246" w:name="_Toc82882367"/>
      <w:r w:rsidR="00D3097F" w:rsidRPr="003C0E2F">
        <w:t xml:space="preserve">Plating </w:t>
      </w:r>
      <w:r w:rsidRPr="003C0E2F">
        <w:t>c</w:t>
      </w:r>
      <w:r w:rsidR="00D3097F" w:rsidRPr="003C0E2F">
        <w:t>ells</w:t>
      </w:r>
      <w:bookmarkEnd w:id="245"/>
      <w:bookmarkEnd w:id="246"/>
    </w:p>
    <w:p w14:paraId="58265BA3" w14:textId="39AB7F93" w:rsidR="00F757DA" w:rsidRPr="003C0E2F" w:rsidRDefault="00F757DA" w:rsidP="003A614C">
      <w:r w:rsidRPr="003C0E2F">
        <w:t>THP-1 cell suspensions were prepared for plating at a density of 5x105 cells/</w:t>
      </w:r>
      <w:r w:rsidR="00005854" w:rsidRPr="003C0E2F">
        <w:t xml:space="preserve">mL </w:t>
      </w:r>
      <w:r w:rsidRPr="003C0E2F">
        <w:t>while RAW264 were prepared at 2x105 cells/ml. For each plating, the same volume of medium was used each time to give relative cell density. 96 well plates used 100μl of cell suspension, 24 wells used 500μl, 12 wells used 1.5</w:t>
      </w:r>
      <w:r w:rsidR="00005854" w:rsidRPr="003C0E2F">
        <w:t xml:space="preserve">mL </w:t>
      </w:r>
      <w:r w:rsidRPr="003C0E2F">
        <w:t>and 6 wells used 3ml.</w:t>
      </w:r>
    </w:p>
    <w:p w14:paraId="034A06CB" w14:textId="77777777" w:rsidR="003A614C" w:rsidRPr="003C0E2F" w:rsidRDefault="003A614C" w:rsidP="003A614C"/>
    <w:p w14:paraId="2D7F619A" w14:textId="55979922" w:rsidR="00D3097F" w:rsidRPr="003C0E2F" w:rsidRDefault="00D3097F" w:rsidP="00C91167">
      <w:pPr>
        <w:pStyle w:val="Heading3"/>
      </w:pPr>
      <w:bookmarkStart w:id="247" w:name="_Toc80013748"/>
      <w:bookmarkStart w:id="248" w:name="_Toc82882368"/>
      <w:r w:rsidRPr="003C0E2F">
        <w:t xml:space="preserve">MTT </w:t>
      </w:r>
      <w:r w:rsidR="009F0A33" w:rsidRPr="003C0E2F">
        <w:t>c</w:t>
      </w:r>
      <w:r w:rsidRPr="003C0E2F">
        <w:t xml:space="preserve">ell </w:t>
      </w:r>
      <w:r w:rsidR="009F0A33" w:rsidRPr="003C0E2F">
        <w:t>v</w:t>
      </w:r>
      <w:r w:rsidRPr="003C0E2F">
        <w:t xml:space="preserve">iability </w:t>
      </w:r>
      <w:r w:rsidR="009F0A33" w:rsidRPr="003C0E2F">
        <w:t>a</w:t>
      </w:r>
      <w:r w:rsidRPr="003C0E2F">
        <w:t>ssays</w:t>
      </w:r>
      <w:bookmarkEnd w:id="247"/>
      <w:bookmarkEnd w:id="248"/>
    </w:p>
    <w:p w14:paraId="3B404510" w14:textId="5B2B48D7" w:rsidR="00FC7702" w:rsidRPr="003C0E2F" w:rsidRDefault="00F757DA" w:rsidP="00BE5236">
      <w:r w:rsidRPr="003C0E2F">
        <w:t xml:space="preserve">The assess the </w:t>
      </w:r>
      <w:r w:rsidR="008F561F" w:rsidRPr="003C0E2F">
        <w:t>effect</w:t>
      </w:r>
      <w:r w:rsidRPr="003C0E2F">
        <w:t xml:space="preserve"> of </w:t>
      </w:r>
      <w:r w:rsidR="001A2988" w:rsidRPr="003C0E2F">
        <w:t>oxysterol-rich</w:t>
      </w:r>
      <w:r w:rsidRPr="003C0E2F">
        <w:t xml:space="preserve"> </w:t>
      </w:r>
      <w:proofErr w:type="spellStart"/>
      <w:r w:rsidR="001A2988" w:rsidRPr="003C0E2F">
        <w:t>oxLDL</w:t>
      </w:r>
      <w:proofErr w:type="spellEnd"/>
      <w:r w:rsidRPr="003C0E2F">
        <w:t xml:space="preserve">, </w:t>
      </w:r>
      <w:r w:rsidR="001A2988" w:rsidRPr="003C0E2F">
        <w:t>hydroperoxide-rich</w:t>
      </w:r>
      <w:r w:rsidRPr="003C0E2F">
        <w:t xml:space="preserve"> </w:t>
      </w:r>
      <w:proofErr w:type="spellStart"/>
      <w:r w:rsidR="001A2988" w:rsidRPr="003C0E2F">
        <w:t>oxLDL</w:t>
      </w:r>
      <w:proofErr w:type="spellEnd"/>
      <w:r w:rsidRPr="003C0E2F">
        <w:t>, FP7 and FP7 derivatives, on cell viability, MTT assay was used. THP-1 and Raw264 cells were seeded on 96 well plates. Cells were treated with each drug at concentrations in the range of 0-20µM for FP7 and 0-10µM for each derivative in three to six repeats. Plates were then placed in an incubator overnight (18 hours) prior to application of MTT reagent for 2 hours. 10% SDS was used to lyse cells and solubilise formazan crystals overnight. Plates were read at 620nm.</w:t>
      </w:r>
    </w:p>
    <w:p w14:paraId="6DD840EB" w14:textId="77777777" w:rsidR="00F757DA" w:rsidRPr="003C0E2F" w:rsidRDefault="00F757DA" w:rsidP="00BE5236"/>
    <w:p w14:paraId="56C104A6" w14:textId="77777777" w:rsidR="003A614C" w:rsidRPr="003C0E2F" w:rsidRDefault="003A614C">
      <w:pPr>
        <w:spacing w:line="259" w:lineRule="auto"/>
        <w:rPr>
          <w:b/>
          <w:bCs/>
        </w:rPr>
      </w:pPr>
      <w:r w:rsidRPr="003C0E2F">
        <w:br w:type="page"/>
      </w:r>
    </w:p>
    <w:p w14:paraId="3AE2D312" w14:textId="066B2041" w:rsidR="00D3097F" w:rsidRPr="003C0E2F" w:rsidRDefault="00D3097F" w:rsidP="00BE5236">
      <w:pPr>
        <w:pStyle w:val="Heading2"/>
      </w:pPr>
      <w:bookmarkStart w:id="249" w:name="_Toc80013749"/>
      <w:bookmarkStart w:id="250" w:name="_Toc82882369"/>
      <w:r w:rsidRPr="003C0E2F">
        <w:lastRenderedPageBreak/>
        <w:t>Sample treatment and collection</w:t>
      </w:r>
      <w:bookmarkEnd w:id="249"/>
      <w:bookmarkEnd w:id="250"/>
    </w:p>
    <w:p w14:paraId="601A47CE" w14:textId="4981E651" w:rsidR="005877DF" w:rsidRPr="003C0E2F" w:rsidRDefault="00F757DA" w:rsidP="00BE5236">
      <w:r w:rsidRPr="003C0E2F">
        <w:t xml:space="preserve">Cells were pre-treated with FP7 or FP12 using concentrations ranging from 0.1-10 µM in presence </w:t>
      </w:r>
      <w:r w:rsidR="00776480" w:rsidRPr="003C0E2F">
        <w:t>or</w:t>
      </w:r>
      <w:r w:rsidRPr="003C0E2F">
        <w:t xml:space="preserve"> absence of LPS </w:t>
      </w:r>
      <w:r w:rsidR="007B18FC" w:rsidRPr="003C0E2F">
        <w:t xml:space="preserve">(Provided by </w:t>
      </w:r>
      <w:proofErr w:type="spellStart"/>
      <w:r w:rsidR="007B18FC" w:rsidRPr="003C0E2F">
        <w:t>Innaxon</w:t>
      </w:r>
      <w:proofErr w:type="spellEnd"/>
      <w:r w:rsidR="002D1F71" w:rsidRPr="003C0E2F">
        <w:t xml:space="preserve"> – See Appendix I</w:t>
      </w:r>
      <w:r w:rsidR="007273E3" w:rsidRPr="003C0E2F">
        <w:t>I</w:t>
      </w:r>
      <w:r w:rsidR="007B18FC" w:rsidRPr="003C0E2F">
        <w:t>)</w:t>
      </w:r>
      <w:r w:rsidRPr="003C0E2F">
        <w:t>. 100 ng/</w:t>
      </w:r>
      <w:r w:rsidR="00005854" w:rsidRPr="003C0E2F">
        <w:t xml:space="preserve">mL </w:t>
      </w:r>
      <w:r w:rsidRPr="003C0E2F">
        <w:t xml:space="preserve">LPS was used for activation of THP-1 or RAW264 cells. </w:t>
      </w:r>
      <w:r w:rsidR="00504096" w:rsidRPr="003C0E2F">
        <w:t xml:space="preserve">Samples absent compounds were treated with vehicle only (DMSO or 1:1 Ethanol/DMSO). </w:t>
      </w:r>
      <w:r w:rsidRPr="003C0E2F">
        <w:t xml:space="preserve">Collection time points were ranged between 30 minutes and 6 hours for lysates and 2 hours to 24 hours (overnight) for culture supernatant after ligand exposure </w:t>
      </w:r>
      <w:r w:rsidR="009E0322" w:rsidRPr="003C0E2F">
        <w:t>dependent</w:t>
      </w:r>
      <w:r w:rsidRPr="003C0E2F">
        <w:t xml:space="preserve"> on specific purpose.</w:t>
      </w:r>
    </w:p>
    <w:p w14:paraId="1196004F" w14:textId="77777777" w:rsidR="00F757DA" w:rsidRPr="003C0E2F" w:rsidRDefault="00F757DA" w:rsidP="00BE5236"/>
    <w:p w14:paraId="6BCDE87C" w14:textId="0E4174AC" w:rsidR="005877DF" w:rsidRPr="003C0E2F" w:rsidRDefault="005877DF" w:rsidP="00D55B0E">
      <w:pPr>
        <w:pStyle w:val="Heading3"/>
      </w:pPr>
      <w:r w:rsidRPr="003C0E2F">
        <w:t xml:space="preserve"> </w:t>
      </w:r>
      <w:bookmarkStart w:id="251" w:name="_Toc80013750"/>
      <w:bookmarkStart w:id="252" w:name="_Toc82882370"/>
      <w:r w:rsidR="002A562C" w:rsidRPr="003C0E2F">
        <w:t>FP c</w:t>
      </w:r>
      <w:r w:rsidRPr="003C0E2F">
        <w:t xml:space="preserve">ompound </w:t>
      </w:r>
      <w:r w:rsidR="002A562C" w:rsidRPr="003C0E2F">
        <w:t>s</w:t>
      </w:r>
      <w:r w:rsidRPr="003C0E2F">
        <w:t xml:space="preserve">creening </w:t>
      </w:r>
      <w:r w:rsidR="00A47778" w:rsidRPr="003C0E2F">
        <w:t xml:space="preserve">and preliminary investigation in </w:t>
      </w:r>
      <w:r w:rsidR="008F561F" w:rsidRPr="003C0E2F">
        <w:t>monocyte</w:t>
      </w:r>
      <w:r w:rsidR="00A47778" w:rsidRPr="003C0E2F">
        <w:t xml:space="preserve">s and </w:t>
      </w:r>
      <w:r w:rsidR="008F561F" w:rsidRPr="003C0E2F">
        <w:t>macrophage</w:t>
      </w:r>
      <w:r w:rsidR="00A47778" w:rsidRPr="003C0E2F">
        <w:t>s</w:t>
      </w:r>
      <w:bookmarkEnd w:id="251"/>
      <w:bookmarkEnd w:id="252"/>
    </w:p>
    <w:p w14:paraId="4AA539E4" w14:textId="66C41199" w:rsidR="007C2721" w:rsidRPr="003C0E2F" w:rsidRDefault="00F757DA" w:rsidP="00BE5236">
      <w:r w:rsidRPr="003C0E2F">
        <w:t xml:space="preserve">THP-1 </w:t>
      </w:r>
      <w:r w:rsidR="008F561F" w:rsidRPr="003C0E2F">
        <w:t>monocyte</w:t>
      </w:r>
      <w:r w:rsidRPr="003C0E2F">
        <w:t>s were prepared on 6 well plates and left overnight to settle. Cells were treated with FP7, FP10, FP12, FP116, FP11 or FP111 at concentrations of 0.1, 1, 5 and 10μM for 1 hour, following which 100ng/</w:t>
      </w:r>
      <w:r w:rsidR="00005854" w:rsidRPr="003C0E2F">
        <w:t xml:space="preserve">mL </w:t>
      </w:r>
      <w:r w:rsidRPr="003C0E2F">
        <w:t xml:space="preserve">LPS was added to medium to stimulate TLR4, or FP7 remained in absence of LPS. Medium was collected from wells after </w:t>
      </w:r>
      <w:r w:rsidR="008612D0" w:rsidRPr="003C0E2F">
        <w:t>24-hour</w:t>
      </w:r>
      <w:r w:rsidRPr="003C0E2F">
        <w:t xml:space="preserve"> exposure to LPS to measure cytokines present in the medium. Further investigations of FP7 and FP12 in </w:t>
      </w:r>
      <w:r w:rsidR="008F561F" w:rsidRPr="003C0E2F">
        <w:t>Monocyte</w:t>
      </w:r>
      <w:r w:rsidRPr="003C0E2F">
        <w:t xml:space="preserve">s and </w:t>
      </w:r>
      <w:r w:rsidR="008F561F" w:rsidRPr="003C0E2F">
        <w:t>macrophage</w:t>
      </w:r>
      <w:r w:rsidRPr="003C0E2F">
        <w:t>s follow a similar design. ELISA was used downstream to determine cytokine concentration in culture medium.</w:t>
      </w:r>
    </w:p>
    <w:p w14:paraId="50B3EE72" w14:textId="18052FDD" w:rsidR="00CA039E" w:rsidRPr="003C0E2F" w:rsidRDefault="00CA039E" w:rsidP="00BE5236">
      <w:pPr>
        <w:spacing w:line="259" w:lineRule="auto"/>
        <w:rPr>
          <w:b/>
          <w:bCs/>
        </w:rPr>
      </w:pPr>
    </w:p>
    <w:p w14:paraId="1A09FADE" w14:textId="77777777" w:rsidR="00A26C9B" w:rsidRPr="003C0E2F" w:rsidRDefault="00A26C9B" w:rsidP="00BE5236">
      <w:pPr>
        <w:spacing w:line="259" w:lineRule="auto"/>
      </w:pPr>
    </w:p>
    <w:p w14:paraId="0768DE17" w14:textId="39A2D3F0" w:rsidR="00CA039E" w:rsidRPr="003C0E2F" w:rsidRDefault="00CA039E" w:rsidP="00D55B0E">
      <w:pPr>
        <w:pStyle w:val="Heading3"/>
      </w:pPr>
      <w:r w:rsidRPr="003C0E2F">
        <w:t xml:space="preserve"> </w:t>
      </w:r>
      <w:bookmarkStart w:id="253" w:name="_Toc80013751"/>
      <w:bookmarkStart w:id="254" w:name="_Toc82882371"/>
      <w:r w:rsidR="00BC5091" w:rsidRPr="003C0E2F">
        <w:t>Measurement of</w:t>
      </w:r>
      <w:r w:rsidRPr="003C0E2F">
        <w:t xml:space="preserve"> </w:t>
      </w:r>
      <w:r w:rsidR="007A74C2" w:rsidRPr="003C0E2F">
        <w:t>P65 NF-</w:t>
      </w:r>
      <w:proofErr w:type="spellStart"/>
      <w:r w:rsidR="007A74C2" w:rsidRPr="003C0E2F">
        <w:t>κB</w:t>
      </w:r>
      <w:proofErr w:type="spellEnd"/>
      <w:r w:rsidRPr="003C0E2F">
        <w:t xml:space="preserve">, </w:t>
      </w:r>
      <w:r w:rsidR="00274B79" w:rsidRPr="003C0E2F">
        <w:t>P38 MAPK</w:t>
      </w:r>
      <w:r w:rsidRPr="003C0E2F">
        <w:t xml:space="preserve">, JNK, ERK, </w:t>
      </w:r>
      <w:r w:rsidR="009E42FE" w:rsidRPr="003C0E2F">
        <w:t>TBK1</w:t>
      </w:r>
      <w:r w:rsidR="00F44A14" w:rsidRPr="003C0E2F">
        <w:t xml:space="preserve"> and </w:t>
      </w:r>
      <w:r w:rsidRPr="003C0E2F">
        <w:t xml:space="preserve">STAT-1 </w:t>
      </w:r>
      <w:r w:rsidR="00F30B68" w:rsidRPr="003C0E2F">
        <w:t>phosphorylation</w:t>
      </w:r>
      <w:bookmarkEnd w:id="253"/>
      <w:bookmarkEnd w:id="254"/>
    </w:p>
    <w:p w14:paraId="5DCF37B6" w14:textId="0AE3F5A0" w:rsidR="00865479" w:rsidRPr="003C0E2F" w:rsidRDefault="00F757DA" w:rsidP="00BE5236">
      <w:r w:rsidRPr="003C0E2F">
        <w:t>Timing was determined for LPS</w:t>
      </w:r>
      <w:r w:rsidR="000A1BFB" w:rsidRPr="003C0E2F">
        <w:t xml:space="preserve"> induced</w:t>
      </w:r>
      <w:r w:rsidRPr="003C0E2F">
        <w:t xml:space="preserve"> </w:t>
      </w:r>
      <w:r w:rsidR="00274B79" w:rsidRPr="003C0E2F">
        <w:t>P38</w:t>
      </w:r>
      <w:r w:rsidRPr="003C0E2F">
        <w:t xml:space="preserve"> MAPK, </w:t>
      </w:r>
      <w:r w:rsidR="00274B79" w:rsidRPr="003C0E2F">
        <w:t>p</w:t>
      </w:r>
      <w:r w:rsidRPr="003C0E2F">
        <w:t>65</w:t>
      </w:r>
      <w:r w:rsidR="00274B79" w:rsidRPr="003C0E2F">
        <w:t>/</w:t>
      </w:r>
      <w:r w:rsidRPr="003C0E2F">
        <w:t>NF-</w:t>
      </w:r>
      <w:proofErr w:type="spellStart"/>
      <w:r w:rsidRPr="003C0E2F">
        <w:t>κB</w:t>
      </w:r>
      <w:proofErr w:type="spellEnd"/>
      <w:r w:rsidRPr="003C0E2F">
        <w:t xml:space="preserve">, JNK, ERK, </w:t>
      </w:r>
      <w:r w:rsidR="009E42FE" w:rsidRPr="003C0E2F">
        <w:t>TBK1</w:t>
      </w:r>
      <w:r w:rsidR="00395C63" w:rsidRPr="003C0E2F">
        <w:t xml:space="preserve"> </w:t>
      </w:r>
      <w:r w:rsidRPr="003C0E2F">
        <w:t>and STAT-1 phosphorylation in THP-1 and RAW264 cells from timing experiments up to 6 hours.  Selected collection times ranged from 15 minutes to 2.5 hours. Cells were treated with FP7 concentration ranging from 0.1-10μM, or 10μM if only one concentration was used, prior to 100ng/</w:t>
      </w:r>
      <w:r w:rsidR="00005854" w:rsidRPr="003C0E2F">
        <w:t xml:space="preserve">mL </w:t>
      </w:r>
      <w:r w:rsidRPr="003C0E2F">
        <w:t xml:space="preserve">LPS and </w:t>
      </w:r>
      <w:r w:rsidRPr="003C0E2F">
        <w:lastRenderedPageBreak/>
        <w:t>collected at appropriate intervals. Cell lysates were processed and carried forward for Western Blot Analysis.</w:t>
      </w:r>
    </w:p>
    <w:p w14:paraId="3E436AFD" w14:textId="1C150FAE" w:rsidR="007C2721" w:rsidRPr="003C0E2F" w:rsidRDefault="007C2721" w:rsidP="00D55B0E">
      <w:pPr>
        <w:pStyle w:val="Heading3"/>
      </w:pPr>
      <w:r w:rsidRPr="003C0E2F">
        <w:t xml:space="preserve"> </w:t>
      </w:r>
      <w:bookmarkStart w:id="255" w:name="_Toc80013752"/>
      <w:bookmarkStart w:id="256" w:name="_Toc82882372"/>
      <w:proofErr w:type="gramStart"/>
      <w:r w:rsidRPr="003C0E2F">
        <w:t xml:space="preserve">Pre- </w:t>
      </w:r>
      <w:r w:rsidR="00F30B68" w:rsidRPr="003C0E2F">
        <w:t>p</w:t>
      </w:r>
      <w:r w:rsidRPr="003C0E2F">
        <w:t>ost and</w:t>
      </w:r>
      <w:proofErr w:type="gramEnd"/>
      <w:r w:rsidRPr="003C0E2F">
        <w:t xml:space="preserve"> </w:t>
      </w:r>
      <w:r w:rsidR="00F30B68" w:rsidRPr="003C0E2F">
        <w:t>s</w:t>
      </w:r>
      <w:r w:rsidRPr="003C0E2F">
        <w:t xml:space="preserve">imultaneous FP/LPS </w:t>
      </w:r>
      <w:r w:rsidR="00F30B68" w:rsidRPr="003C0E2F">
        <w:t>e</w:t>
      </w:r>
      <w:r w:rsidRPr="003C0E2F">
        <w:t>xperime</w:t>
      </w:r>
      <w:r w:rsidR="00D46C87" w:rsidRPr="003C0E2F">
        <w:t>ntal design</w:t>
      </w:r>
      <w:bookmarkEnd w:id="255"/>
      <w:bookmarkEnd w:id="256"/>
    </w:p>
    <w:p w14:paraId="3381C00A" w14:textId="3B1869EE" w:rsidR="005C1719" w:rsidRPr="003C0E2F" w:rsidRDefault="00F757DA" w:rsidP="00F757DA">
      <w:r w:rsidRPr="003C0E2F">
        <w:t>Treatment timing was investigated to determine if FP7 or FP12 could affect LPS</w:t>
      </w:r>
      <w:r w:rsidR="000A1BFB" w:rsidRPr="003C0E2F">
        <w:t xml:space="preserve"> induced</w:t>
      </w:r>
      <w:r w:rsidRPr="003C0E2F">
        <w:t xml:space="preserve"> TLR4 signalling at different time points before and after LPS exposure. Cells were either pre-treated with 10μM FP7/FP12 for 30 minutes prior to LPS exposure, at the same time as, or 30 minutes after LPS had been added to wells. Culture medium was collected from plates and used for analysis of cytokine levels after overnight exposure.</w:t>
      </w:r>
    </w:p>
    <w:p w14:paraId="33ED178E" w14:textId="77777777" w:rsidR="00F757DA" w:rsidRPr="003C0E2F" w:rsidRDefault="00F757DA" w:rsidP="00F757DA"/>
    <w:p w14:paraId="775F2E3F" w14:textId="20EF6048" w:rsidR="005C1719" w:rsidRPr="003C0E2F" w:rsidRDefault="005C1719" w:rsidP="00D55B0E">
      <w:pPr>
        <w:pStyle w:val="Heading3"/>
      </w:pPr>
      <w:r w:rsidRPr="003C0E2F">
        <w:t xml:space="preserve"> </w:t>
      </w:r>
      <w:bookmarkStart w:id="257" w:name="_Toc80013753"/>
      <w:bookmarkStart w:id="258" w:name="_Toc82882373"/>
      <w:proofErr w:type="spellStart"/>
      <w:r w:rsidR="001A2988" w:rsidRPr="003C0E2F">
        <w:t>OxLDL</w:t>
      </w:r>
      <w:proofErr w:type="spellEnd"/>
      <w:r w:rsidRPr="003C0E2F">
        <w:t xml:space="preserve"> </w:t>
      </w:r>
      <w:r w:rsidR="00D46C87" w:rsidRPr="003C0E2F">
        <w:t>e</w:t>
      </w:r>
      <w:r w:rsidRPr="003C0E2F">
        <w:t>xperiments</w:t>
      </w:r>
      <w:bookmarkEnd w:id="257"/>
      <w:bookmarkEnd w:id="258"/>
    </w:p>
    <w:p w14:paraId="1A186762" w14:textId="4C0A1AEE" w:rsidR="00C9458B" w:rsidRPr="003C0E2F" w:rsidRDefault="00F757DA" w:rsidP="00BE5236">
      <w:r w:rsidRPr="003C0E2F">
        <w:t xml:space="preserve">THP-1 </w:t>
      </w:r>
      <w:r w:rsidR="008F561F" w:rsidRPr="003C0E2F">
        <w:t>macrophage</w:t>
      </w:r>
      <w:r w:rsidRPr="003C0E2F">
        <w:t xml:space="preserve">s were exposed to </w:t>
      </w:r>
      <w:proofErr w:type="spellStart"/>
      <w:r w:rsidR="001A2988" w:rsidRPr="003C0E2F">
        <w:t>oxLDL</w:t>
      </w:r>
      <w:proofErr w:type="spellEnd"/>
      <w:r w:rsidRPr="003C0E2F">
        <w:t xml:space="preserve"> at concentrations of 10-100µg/ml. Following results obtained from MTT experiments for safe concentrations for use in THP-1 cells. THP-1 </w:t>
      </w:r>
      <w:r w:rsidR="008F561F" w:rsidRPr="003C0E2F">
        <w:t>macrophage</w:t>
      </w:r>
      <w:r w:rsidRPr="003C0E2F">
        <w:t xml:space="preserve">s were exposed to either oxysterol-rich </w:t>
      </w:r>
      <w:proofErr w:type="spellStart"/>
      <w:r w:rsidR="001A2988" w:rsidRPr="003C0E2F">
        <w:t>oxLDL</w:t>
      </w:r>
      <w:proofErr w:type="spellEnd"/>
      <w:r w:rsidRPr="003C0E2F">
        <w:t xml:space="preserve"> at 10-50µg/ml, hydroperoxide-rich </w:t>
      </w:r>
      <w:proofErr w:type="spellStart"/>
      <w:r w:rsidR="001A2988" w:rsidRPr="003C0E2F">
        <w:t>oxLDL</w:t>
      </w:r>
      <w:proofErr w:type="spellEnd"/>
      <w:r w:rsidRPr="003C0E2F">
        <w:t xml:space="preserve"> at 10-100µg/</w:t>
      </w:r>
      <w:r w:rsidR="00005854" w:rsidRPr="003C0E2F">
        <w:t xml:space="preserve">mL </w:t>
      </w:r>
      <w:r w:rsidRPr="003C0E2F">
        <w:t xml:space="preserve">or </w:t>
      </w:r>
      <w:proofErr w:type="spellStart"/>
      <w:r w:rsidRPr="003C0E2F">
        <w:t>nLDL</w:t>
      </w:r>
      <w:proofErr w:type="spellEnd"/>
      <w:r w:rsidRPr="003C0E2F">
        <w:t xml:space="preserve"> 50µg/</w:t>
      </w:r>
      <w:r w:rsidR="00005854" w:rsidRPr="003C0E2F">
        <w:t xml:space="preserve">mL </w:t>
      </w:r>
      <w:r w:rsidRPr="003C0E2F">
        <w:t>with or without 1</w:t>
      </w:r>
      <w:r w:rsidR="00B837FE" w:rsidRPr="003C0E2F">
        <w:t xml:space="preserve"> hour</w:t>
      </w:r>
      <w:r w:rsidRPr="003C0E2F">
        <w:t xml:space="preserve"> pre-treatment of 10 µM FP7. Culture medium was collected after overnight exposure for cytokine analysis.</w:t>
      </w:r>
    </w:p>
    <w:p w14:paraId="283F0DC3" w14:textId="0BE9D85D" w:rsidR="00C9458B" w:rsidRPr="003C0E2F" w:rsidRDefault="00C9458B" w:rsidP="00BE5236">
      <w:pPr>
        <w:spacing w:line="259" w:lineRule="auto"/>
        <w:rPr>
          <w:b/>
          <w:bCs/>
        </w:rPr>
      </w:pPr>
    </w:p>
    <w:p w14:paraId="600DD9BF" w14:textId="1F63FA49" w:rsidR="00C9458B" w:rsidRPr="003C0E2F" w:rsidRDefault="00C9458B" w:rsidP="00D55B0E">
      <w:pPr>
        <w:pStyle w:val="Heading3"/>
      </w:pPr>
      <w:r w:rsidRPr="003C0E2F">
        <w:t xml:space="preserve"> </w:t>
      </w:r>
      <w:bookmarkStart w:id="259" w:name="_Toc80013754"/>
      <w:bookmarkStart w:id="260" w:name="_Toc82882374"/>
      <w:r w:rsidRPr="003C0E2F">
        <w:t xml:space="preserve">LPS </w:t>
      </w:r>
      <w:r w:rsidR="00D46C87" w:rsidRPr="003C0E2F">
        <w:t>c</w:t>
      </w:r>
      <w:r w:rsidRPr="003C0E2F">
        <w:t xml:space="preserve">hemotype </w:t>
      </w:r>
      <w:r w:rsidR="00D46C87" w:rsidRPr="003C0E2F">
        <w:t>s</w:t>
      </w:r>
      <w:r w:rsidRPr="003C0E2F">
        <w:t xml:space="preserve">election </w:t>
      </w:r>
      <w:r w:rsidR="00D46C87" w:rsidRPr="003C0E2F">
        <w:t>e</w:t>
      </w:r>
      <w:r w:rsidRPr="003C0E2F">
        <w:t>xperiments</w:t>
      </w:r>
      <w:bookmarkEnd w:id="259"/>
      <w:bookmarkEnd w:id="260"/>
    </w:p>
    <w:p w14:paraId="39BE2197" w14:textId="71ED54B9" w:rsidR="00F07847" w:rsidRPr="003C0E2F" w:rsidRDefault="00F757DA" w:rsidP="00F757DA">
      <w:r w:rsidRPr="003C0E2F">
        <w:t xml:space="preserve">Initial LPS selection experiments were carried out with </w:t>
      </w:r>
      <w:proofErr w:type="spellStart"/>
      <w:proofErr w:type="gramStart"/>
      <w:r w:rsidR="008612D0" w:rsidRPr="003C0E2F">
        <w:rPr>
          <w:i/>
        </w:rPr>
        <w:t>S.minnesota</w:t>
      </w:r>
      <w:proofErr w:type="spellEnd"/>
      <w:proofErr w:type="gramEnd"/>
      <w:r w:rsidRPr="003C0E2F">
        <w:t xml:space="preserve"> S-form, Re-form, Ra-form, Lipid A and MPLA and </w:t>
      </w:r>
      <w:r w:rsidR="008612D0" w:rsidRPr="003C0E2F">
        <w:rPr>
          <w:i/>
          <w:iCs/>
        </w:rPr>
        <w:t>E.coli</w:t>
      </w:r>
      <w:r w:rsidRPr="003C0E2F">
        <w:t xml:space="preserve"> Ra-Form and Lipid A</w:t>
      </w:r>
      <w:r w:rsidR="00C97898" w:rsidRPr="003C0E2F">
        <w:t xml:space="preserve"> (Appendix </w:t>
      </w:r>
      <w:r w:rsidR="007273E3" w:rsidRPr="003C0E2F">
        <w:t>I</w:t>
      </w:r>
      <w:r w:rsidR="00C97898" w:rsidRPr="003C0E2F">
        <w:t>I)</w:t>
      </w:r>
      <w:r w:rsidRPr="003C0E2F">
        <w:t xml:space="preserve">, alongside </w:t>
      </w:r>
      <w:proofErr w:type="spellStart"/>
      <w:r w:rsidRPr="003C0E2F">
        <w:t>IFNγ</w:t>
      </w:r>
      <w:proofErr w:type="spellEnd"/>
      <w:r w:rsidRPr="003C0E2F">
        <w:t xml:space="preserve"> as positive STAT-1 activator. Later experiments used only </w:t>
      </w:r>
      <w:proofErr w:type="spellStart"/>
      <w:proofErr w:type="gramStart"/>
      <w:r w:rsidR="008612D0" w:rsidRPr="003C0E2F">
        <w:rPr>
          <w:i/>
        </w:rPr>
        <w:t>S.minnesota</w:t>
      </w:r>
      <w:proofErr w:type="spellEnd"/>
      <w:proofErr w:type="gramEnd"/>
      <w:r w:rsidRPr="003C0E2F">
        <w:t xml:space="preserve"> variants. Lysates were collected from 0-6 hours for STAT-1 and </w:t>
      </w:r>
      <w:r w:rsidR="009E42FE" w:rsidRPr="003C0E2F">
        <w:t>TBK1</w:t>
      </w:r>
      <w:r w:rsidRPr="003C0E2F">
        <w:t xml:space="preserve"> detection and at 2, 6 and 24 hours post LPS for IFNβ and </w:t>
      </w:r>
      <w:r w:rsidR="009E42FE" w:rsidRPr="003C0E2F">
        <w:t>IP10</w:t>
      </w:r>
      <w:r w:rsidRPr="003C0E2F">
        <w:t xml:space="preserve"> analysis.</w:t>
      </w:r>
    </w:p>
    <w:p w14:paraId="3A770285" w14:textId="77777777" w:rsidR="00F757DA" w:rsidRPr="003C0E2F" w:rsidRDefault="00F757DA" w:rsidP="00F757DA"/>
    <w:p w14:paraId="10C0773A" w14:textId="77777777" w:rsidR="00A26C9B" w:rsidRPr="003C0E2F" w:rsidRDefault="00A26C9B">
      <w:pPr>
        <w:spacing w:line="259" w:lineRule="auto"/>
        <w:rPr>
          <w:b/>
          <w:bCs/>
        </w:rPr>
      </w:pPr>
      <w:r w:rsidRPr="003C0E2F">
        <w:br w:type="page"/>
      </w:r>
    </w:p>
    <w:p w14:paraId="0D51F415" w14:textId="251E26BA" w:rsidR="000F2E19" w:rsidRPr="003C0E2F" w:rsidRDefault="00D46C87" w:rsidP="00D55B0E">
      <w:pPr>
        <w:pStyle w:val="Heading3"/>
      </w:pPr>
      <w:r w:rsidRPr="003C0E2F">
        <w:lastRenderedPageBreak/>
        <w:t xml:space="preserve"> </w:t>
      </w:r>
      <w:bookmarkStart w:id="261" w:name="_Toc80013755"/>
      <w:bookmarkStart w:id="262" w:name="_Toc82882375"/>
      <w:r w:rsidR="000F2E19" w:rsidRPr="003C0E2F">
        <w:t xml:space="preserve">Interferon </w:t>
      </w:r>
      <w:r w:rsidR="000A1BFB" w:rsidRPr="003C0E2F">
        <w:t>a</w:t>
      </w:r>
      <w:r w:rsidR="000F2E19" w:rsidRPr="003C0E2F">
        <w:t>lpha/</w:t>
      </w:r>
      <w:r w:rsidR="000A1BFB" w:rsidRPr="003C0E2F">
        <w:t>b</w:t>
      </w:r>
      <w:r w:rsidR="000F2E19" w:rsidRPr="003C0E2F">
        <w:t xml:space="preserve">eta </w:t>
      </w:r>
      <w:r w:rsidRPr="003C0E2F">
        <w:t>r</w:t>
      </w:r>
      <w:r w:rsidR="000F2E19" w:rsidRPr="003C0E2F">
        <w:t xml:space="preserve">eceptor </w:t>
      </w:r>
      <w:r w:rsidRPr="003C0E2F">
        <w:t>b</w:t>
      </w:r>
      <w:r w:rsidR="000F2E19" w:rsidRPr="003C0E2F">
        <w:t xml:space="preserve">locking </w:t>
      </w:r>
      <w:r w:rsidRPr="003C0E2F">
        <w:t>e</w:t>
      </w:r>
      <w:r w:rsidR="000F2E19" w:rsidRPr="003C0E2F">
        <w:t>xperiments</w:t>
      </w:r>
      <w:bookmarkEnd w:id="261"/>
      <w:bookmarkEnd w:id="262"/>
      <w:r w:rsidR="009007F8" w:rsidRPr="003C0E2F">
        <w:t xml:space="preserve"> </w:t>
      </w:r>
    </w:p>
    <w:p w14:paraId="5CD268A2" w14:textId="5D5E64F4" w:rsidR="005C1719" w:rsidRPr="003C0E2F" w:rsidRDefault="00F757DA" w:rsidP="00F757DA">
      <w:r w:rsidRPr="003C0E2F">
        <w:t>To prevent IFNβ signalling through IFNAR, a blocking antibody was used to prevent receptor activation. Initial experiments were carried out to confirm optimal concentration and collection time for IFNβ</w:t>
      </w:r>
      <w:r w:rsidR="000A1BFB" w:rsidRPr="003C0E2F">
        <w:t xml:space="preserve"> induced</w:t>
      </w:r>
      <w:r w:rsidRPr="003C0E2F">
        <w:t xml:space="preserve"> STAT-1 phosphorylation. A range of concentrations from 1-20ng IFNβ were used and timepoints of 5, 15, 30, 45 and 60 minutes to optimise experiments. An IFNAR blocking antibody was then tested at concentrations of 0.25, 1, 3 and 5 ng/</w:t>
      </w:r>
      <w:r w:rsidR="00005854" w:rsidRPr="003C0E2F">
        <w:t xml:space="preserve">mL </w:t>
      </w:r>
      <w:r w:rsidRPr="003C0E2F">
        <w:t>to determine appropriate concentrations for IFNAR neutralisation. IFNAR blocking antibody exposure was carried out 30 minutes prior to IFN</w:t>
      </w:r>
      <w:proofErr w:type="gramStart"/>
      <w:r w:rsidRPr="003C0E2F">
        <w:t>β  Further</w:t>
      </w:r>
      <w:proofErr w:type="gramEnd"/>
      <w:r w:rsidRPr="003C0E2F">
        <w:t xml:space="preserve"> investigation was carried out into the </w:t>
      </w:r>
      <w:r w:rsidR="008F561F" w:rsidRPr="003C0E2F">
        <w:t>effect</w:t>
      </w:r>
      <w:r w:rsidRPr="003C0E2F">
        <w:t>s of IFNAR blocking on LPS</w:t>
      </w:r>
      <w:r w:rsidR="000A1BFB" w:rsidRPr="003C0E2F">
        <w:t xml:space="preserve"> induced</w:t>
      </w:r>
      <w:r w:rsidRPr="003C0E2F">
        <w:t xml:space="preserve"> STAT-1 phosphorylation and IFNβ was used to confirm </w:t>
      </w:r>
      <w:r w:rsidR="008F561F" w:rsidRPr="003C0E2F">
        <w:t>effect</w:t>
      </w:r>
      <w:r w:rsidRPr="003C0E2F">
        <w:t>iveness of IFNAR blocking.</w:t>
      </w:r>
    </w:p>
    <w:p w14:paraId="2AD3A318" w14:textId="77777777" w:rsidR="00F757DA" w:rsidRPr="003C0E2F" w:rsidRDefault="00F757DA" w:rsidP="00F757DA"/>
    <w:p w14:paraId="0F04FEB9" w14:textId="6204F8CC" w:rsidR="00D3097F" w:rsidRPr="003C0E2F" w:rsidRDefault="001129DE" w:rsidP="00D55B0E">
      <w:pPr>
        <w:pStyle w:val="Heading3"/>
      </w:pPr>
      <w:r w:rsidRPr="003C0E2F">
        <w:t xml:space="preserve"> </w:t>
      </w:r>
      <w:bookmarkStart w:id="263" w:name="_Toc80013756"/>
      <w:bookmarkStart w:id="264" w:name="_Toc82882376"/>
      <w:r w:rsidR="00D3097F" w:rsidRPr="003C0E2F">
        <w:t>Collection of medium</w:t>
      </w:r>
      <w:bookmarkEnd w:id="263"/>
      <w:bookmarkEnd w:id="264"/>
    </w:p>
    <w:p w14:paraId="0FC53A28" w14:textId="121678B3" w:rsidR="00BA590E" w:rsidRPr="003C0E2F" w:rsidRDefault="00F757DA" w:rsidP="00BE5236">
      <w:r w:rsidRPr="003C0E2F">
        <w:t>Culture supernatant was collected before lysis of cells from 2 hours onwards and placed in a pre-labelled Eppendorf or falcon tubes</w:t>
      </w:r>
      <w:r w:rsidR="008F561F" w:rsidRPr="003C0E2F">
        <w:t>. Monocyte</w:t>
      </w:r>
      <w:r w:rsidRPr="003C0E2F">
        <w:t>s were removed via centrifugation 5 minutes at 1000rpm and set aside for lysis. The remaining supernatant was further centrifuged at 3000 or 13000rpm for 5 minutes to remove any remaining debris and subsequent supernatant was retained for analysis.</w:t>
      </w:r>
      <w:r w:rsidR="00BA590E" w:rsidRPr="003C0E2F">
        <w:t xml:space="preserve"> </w:t>
      </w:r>
    </w:p>
    <w:p w14:paraId="56972AAB" w14:textId="42AAB4C0" w:rsidR="00BE5236" w:rsidRPr="003C0E2F" w:rsidRDefault="00BE5236" w:rsidP="00BE5236">
      <w:pPr>
        <w:spacing w:line="259" w:lineRule="auto"/>
      </w:pPr>
    </w:p>
    <w:p w14:paraId="004CD4D7" w14:textId="61D29229" w:rsidR="00D3097F" w:rsidRPr="003C0E2F" w:rsidRDefault="001129DE" w:rsidP="00D55B0E">
      <w:pPr>
        <w:pStyle w:val="Heading3"/>
      </w:pPr>
      <w:r w:rsidRPr="003C0E2F">
        <w:t xml:space="preserve"> </w:t>
      </w:r>
      <w:bookmarkStart w:id="265" w:name="_Toc80013757"/>
      <w:bookmarkStart w:id="266" w:name="_Toc82882377"/>
      <w:r w:rsidR="00D3097F" w:rsidRPr="003C0E2F">
        <w:t xml:space="preserve">Protein </w:t>
      </w:r>
      <w:r w:rsidRPr="003C0E2F">
        <w:t>e</w:t>
      </w:r>
      <w:r w:rsidR="00D3097F" w:rsidRPr="003C0E2F">
        <w:t>xtraction</w:t>
      </w:r>
      <w:bookmarkEnd w:id="265"/>
      <w:bookmarkEnd w:id="266"/>
      <w:r w:rsidR="009007F8" w:rsidRPr="003C0E2F">
        <w:t xml:space="preserve"> </w:t>
      </w:r>
    </w:p>
    <w:p w14:paraId="6CAF9A2D" w14:textId="6DB0BB7D" w:rsidR="00BE5236" w:rsidRPr="003C0E2F" w:rsidRDefault="00F757DA" w:rsidP="00BE5236">
      <w:r w:rsidRPr="003C0E2F">
        <w:t>Cell lysates were collected 30 minutes to 6 hours after LPS exposure. THP-1 medium and cells were transferred from plates to pre-labelled falcon tubes and centrifuged at 1000rpm for 5 minutes. Culture medium was collected for further analysis, and pellet washed using 10</w:t>
      </w:r>
      <w:r w:rsidR="00005854" w:rsidRPr="003C0E2F">
        <w:t xml:space="preserve">mL </w:t>
      </w:r>
      <w:r w:rsidRPr="003C0E2F">
        <w:t>cold PBS. Cells were then centrifuged again at 3000rpm for 3 minutes to remove PBS. For RAW264 cells, medium was removed from plates containing PBS added to each well to wash cells. Cells were scraped from the bottom of wells and transferred to a 15</w:t>
      </w:r>
      <w:r w:rsidR="00005854" w:rsidRPr="003C0E2F">
        <w:t xml:space="preserve">mL </w:t>
      </w:r>
      <w:r w:rsidRPr="003C0E2F">
        <w:t xml:space="preserve">centrifuge tube. These were then centrifuged at </w:t>
      </w:r>
      <w:r w:rsidRPr="003C0E2F">
        <w:lastRenderedPageBreak/>
        <w:t>3000rpm for 3 minutes. PBS was then discarded, and tubes blotted to remove excess liquid. Lysis (RIPA) buffer was then added. All samples were sonicated in an ice cooled water bath for 10 minutes before being left to stand on ice for 20 minutes. Cells were centrifuged at 13,000rpm for 20 minutes and supernatant transferred into a new tube. A BCA assay was used to determine the concentration of protein in cell lysates.</w:t>
      </w:r>
    </w:p>
    <w:p w14:paraId="54FF867A" w14:textId="77777777" w:rsidR="00F757DA" w:rsidRPr="003C0E2F" w:rsidRDefault="00F757DA" w:rsidP="00BE5236"/>
    <w:p w14:paraId="6318F235" w14:textId="02D810DC" w:rsidR="00D3097F" w:rsidRPr="003C0E2F" w:rsidRDefault="00D3097F" w:rsidP="00D55B0E">
      <w:pPr>
        <w:pStyle w:val="Heading3"/>
      </w:pPr>
      <w:bookmarkStart w:id="267" w:name="_Toc80013758"/>
      <w:bookmarkStart w:id="268" w:name="_Toc82882378"/>
      <w:r w:rsidRPr="003C0E2F">
        <w:t xml:space="preserve">Measurement of </w:t>
      </w:r>
      <w:r w:rsidR="001129DE" w:rsidRPr="003C0E2F">
        <w:t>p</w:t>
      </w:r>
      <w:r w:rsidRPr="003C0E2F">
        <w:t xml:space="preserve">rotein </w:t>
      </w:r>
      <w:r w:rsidR="001129DE" w:rsidRPr="003C0E2F">
        <w:t>c</w:t>
      </w:r>
      <w:r w:rsidRPr="003C0E2F">
        <w:t>oncentration</w:t>
      </w:r>
      <w:bookmarkEnd w:id="267"/>
      <w:bookmarkEnd w:id="268"/>
    </w:p>
    <w:p w14:paraId="7B659B48" w14:textId="415EED6D" w:rsidR="00BE5236" w:rsidRPr="003C0E2F" w:rsidRDefault="00F757DA" w:rsidP="00F757DA">
      <w:r w:rsidRPr="003C0E2F">
        <w:t xml:space="preserve">A bicinchoninic acid (BCA) assay (Pierce) was used to determine the protein concentration of each </w:t>
      </w:r>
      <w:r w:rsidR="003854E0" w:rsidRPr="003C0E2F">
        <w:t xml:space="preserve">lysate </w:t>
      </w:r>
      <w:r w:rsidRPr="003C0E2F">
        <w:t>sample for carrying forward to ELISA</w:t>
      </w:r>
      <w:r w:rsidR="003854E0" w:rsidRPr="003C0E2F">
        <w:t xml:space="preserve"> or Western Blot</w:t>
      </w:r>
      <w:r w:rsidRPr="003C0E2F">
        <w:t xml:space="preserve">. </w:t>
      </w:r>
      <w:r w:rsidR="003854E0" w:rsidRPr="003C0E2F">
        <w:t>A standard set of concentrations was prepared using BSA from 0-6mg/</w:t>
      </w:r>
      <w:r w:rsidR="00005854" w:rsidRPr="003C0E2F">
        <w:t xml:space="preserve">mL </w:t>
      </w:r>
      <w:r w:rsidR="003854E0" w:rsidRPr="003C0E2F">
        <w:t>for comparison to unknown samples. 5µl of each sample and standard preparations were added to wells in duplicate. Plates were then</w:t>
      </w:r>
      <w:r w:rsidRPr="003C0E2F">
        <w:t xml:space="preserve"> left develop at 37</w:t>
      </w:r>
      <w:r w:rsidR="002323B4" w:rsidRPr="003C0E2F">
        <w:rPr>
          <w:rFonts w:cstheme="minorHAnsi"/>
          <w:vertAlign w:val="superscript"/>
        </w:rPr>
        <w:t>o</w:t>
      </w:r>
      <w:r w:rsidR="002323B4" w:rsidRPr="003C0E2F">
        <w:t>C</w:t>
      </w:r>
      <w:r w:rsidRPr="003C0E2F">
        <w:t xml:space="preserve"> </w:t>
      </w:r>
      <w:r w:rsidR="003854E0" w:rsidRPr="003C0E2F">
        <w:t xml:space="preserve">for 30 minutes or </w:t>
      </w:r>
      <w:r w:rsidRPr="003C0E2F">
        <w:t>until</w:t>
      </w:r>
      <w:r w:rsidR="003854E0" w:rsidRPr="003C0E2F">
        <w:t xml:space="preserve"> sufficient</w:t>
      </w:r>
      <w:r w:rsidRPr="003C0E2F">
        <w:t xml:space="preserve"> colour </w:t>
      </w:r>
      <w:r w:rsidR="003854E0" w:rsidRPr="003C0E2F">
        <w:t>development was observed</w:t>
      </w:r>
      <w:r w:rsidRPr="003C0E2F">
        <w:t xml:space="preserve">. Absorbance was read at </w:t>
      </w:r>
      <w:r w:rsidR="00016B34" w:rsidRPr="003C0E2F">
        <w:t>620</w:t>
      </w:r>
      <w:r w:rsidRPr="003C0E2F">
        <w:t>nm using</w:t>
      </w:r>
      <w:r w:rsidR="00016B34" w:rsidRPr="003C0E2F">
        <w:t xml:space="preserve"> TECAN</w:t>
      </w:r>
      <w:r w:rsidRPr="003C0E2F">
        <w:t xml:space="preserve"> microplate reader</w:t>
      </w:r>
      <w:r w:rsidR="002F56DA" w:rsidRPr="003C0E2F">
        <w:t>. C</w:t>
      </w:r>
      <w:r w:rsidRPr="003C0E2F">
        <w:t>oncentrations determined from the standard curve formula produced in Excel (Microsoft).</w:t>
      </w:r>
      <w:r w:rsidR="00BE5236" w:rsidRPr="003C0E2F">
        <w:br w:type="page"/>
      </w:r>
    </w:p>
    <w:p w14:paraId="21A5FAF7" w14:textId="2A441275" w:rsidR="00BA590E" w:rsidRPr="003C0E2F" w:rsidRDefault="00BA590E" w:rsidP="00BE5236">
      <w:pPr>
        <w:pStyle w:val="Heading2"/>
      </w:pPr>
      <w:bookmarkStart w:id="269" w:name="_Toc80013759"/>
      <w:bookmarkStart w:id="270" w:name="_Toc82882379"/>
      <w:r w:rsidRPr="003C0E2F">
        <w:lastRenderedPageBreak/>
        <w:t>ELISA</w:t>
      </w:r>
      <w:bookmarkEnd w:id="269"/>
      <w:bookmarkEnd w:id="270"/>
    </w:p>
    <w:p w14:paraId="066E52A0" w14:textId="741E579C" w:rsidR="00F757DA" w:rsidRPr="003C0E2F" w:rsidRDefault="00F757DA" w:rsidP="00F757DA">
      <w:r w:rsidRPr="003C0E2F">
        <w:t xml:space="preserve">Pro-inflammatory Protein production was measured using ELISA. For this, IL-8 was selected for initial screening of compounds in THP-1 cells. FP7 was further analysed for </w:t>
      </w:r>
      <w:r w:rsidR="008F561F" w:rsidRPr="003C0E2F">
        <w:t>effect</w:t>
      </w:r>
      <w:r w:rsidRPr="003C0E2F">
        <w:t xml:space="preserve">s on IL-6, IL-8, MIP-1α and I-CAM-1 in THP-1 </w:t>
      </w:r>
      <w:r w:rsidR="008F561F" w:rsidRPr="003C0E2F">
        <w:t>monocyte</w:t>
      </w:r>
      <w:r w:rsidRPr="003C0E2F">
        <w:t xml:space="preserve">s, </w:t>
      </w:r>
      <w:r w:rsidR="007A0F7C" w:rsidRPr="003C0E2F">
        <w:t>IL-6</w:t>
      </w:r>
      <w:r w:rsidRPr="003C0E2F">
        <w:t xml:space="preserve">, IL-8 and IL-1β and KC and IL-6 in RAW264 </w:t>
      </w:r>
      <w:r w:rsidR="008F561F" w:rsidRPr="003C0E2F">
        <w:t>Macrophage</w:t>
      </w:r>
      <w:r w:rsidRPr="003C0E2F">
        <w:t xml:space="preserve">s. </w:t>
      </w:r>
    </w:p>
    <w:p w14:paraId="0E2ECDB6" w14:textId="30FFD8FC" w:rsidR="00F757DA" w:rsidRPr="003C0E2F" w:rsidRDefault="00F757DA" w:rsidP="00F757DA">
      <w:pPr>
        <w:rPr>
          <w:b/>
          <w:bCs/>
        </w:rPr>
      </w:pPr>
      <w:r w:rsidRPr="003C0E2F">
        <w:t>Standards were prepared as per kit protocol (</w:t>
      </w:r>
      <w:proofErr w:type="spellStart"/>
      <w:r w:rsidRPr="003C0E2F">
        <w:t>RayBiotech</w:t>
      </w:r>
      <w:proofErr w:type="spellEnd"/>
      <w:r w:rsidRPr="003C0E2F">
        <w:t xml:space="preserve"> inc.) using provided reagents. 100µl of each standard was loaded onto the plate and an optimisation was carried out for each experiment to determine the appropriate volume of medium required for samples to fall within the standard range. Samples shaken gently for 2 hours at room temperature.</w:t>
      </w:r>
    </w:p>
    <w:p w14:paraId="375F8B1D" w14:textId="6768B4BE" w:rsidR="00F757DA" w:rsidRPr="003C0E2F" w:rsidRDefault="00F757DA" w:rsidP="00BE5236">
      <w:r w:rsidRPr="003C0E2F">
        <w:t>Following this, wells were washed 4 times before 1 hour application of 100µl biotinylated antibody (IL-6/IL-8/MIP-1α/I-CAM-1/IL-1β/KC), with gentle shaking. Plates were then washed again and 100µl Horseradish peroxidase (HRP)-Streptavidin conjugate secondary antibody applied for 45 minutes. A final wash was carried out before addition of 100µl TMB (tetramethylbenzidine) substrate solution to each well. TMB is oxidised in by HRP in the presence of hydrogen peroxide producing a blue colour. Plates were shaken gently in the dark while colour developed. 0.2M sulfuric acid was used to stop the reaction, changing this to a yellow colour and resulting in greater sensitivity. Plates were read at 450nm.</w:t>
      </w:r>
    </w:p>
    <w:p w14:paraId="60558DEA" w14:textId="7D111872" w:rsidR="00CB6487" w:rsidRPr="003C0E2F" w:rsidRDefault="00F757DA" w:rsidP="00BE5236">
      <w:r w:rsidRPr="003C0E2F">
        <w:t xml:space="preserve">IFNβ was measured as a representative </w:t>
      </w:r>
      <w:r w:rsidR="00A9277D" w:rsidRPr="003C0E2F">
        <w:t>TRIF-</w:t>
      </w:r>
      <w:r w:rsidR="009E0322" w:rsidRPr="003C0E2F">
        <w:t>dependent</w:t>
      </w:r>
      <w:r w:rsidRPr="003C0E2F">
        <w:t xml:space="preserve"> TLR4 activation. For this, an R&amp;D systems pre-coated plate ELISA kit was used. The assay was carried out and all standards prepared as per Human IFNβ </w:t>
      </w:r>
      <w:proofErr w:type="spellStart"/>
      <w:r w:rsidRPr="003C0E2F">
        <w:t>Quantikine</w:t>
      </w:r>
      <w:proofErr w:type="spellEnd"/>
      <w:r w:rsidRPr="003C0E2F">
        <w:t xml:space="preserve"> ELISA kit protocol (R&amp;D Systems, USA) using the reagents provided. An optimisation experiment was carried out to determine necessary dilution for medium before a full test.</w:t>
      </w:r>
    </w:p>
    <w:p w14:paraId="061E7132" w14:textId="11A17120" w:rsidR="00776480" w:rsidRPr="003C0E2F" w:rsidRDefault="00776480">
      <w:pPr>
        <w:spacing w:line="259" w:lineRule="auto"/>
      </w:pPr>
      <w:r w:rsidRPr="003C0E2F">
        <w:br w:type="page"/>
      </w:r>
    </w:p>
    <w:p w14:paraId="60A18E50" w14:textId="4866725B" w:rsidR="00D3097F" w:rsidRPr="003C0E2F" w:rsidRDefault="00776480" w:rsidP="00BE5236">
      <w:pPr>
        <w:pStyle w:val="Heading2"/>
      </w:pPr>
      <w:bookmarkStart w:id="271" w:name="_Toc80013760"/>
      <w:bookmarkStart w:id="272" w:name="_Toc82882380"/>
      <w:r w:rsidRPr="003C0E2F">
        <w:lastRenderedPageBreak/>
        <w:t xml:space="preserve">SDS-Page and </w:t>
      </w:r>
      <w:r w:rsidR="006A53A0" w:rsidRPr="003C0E2F">
        <w:t xml:space="preserve">Western </w:t>
      </w:r>
      <w:r w:rsidR="000A1BFB" w:rsidRPr="003C0E2F">
        <w:t>b</w:t>
      </w:r>
      <w:r w:rsidR="006A53A0" w:rsidRPr="003C0E2F">
        <w:t>lot</w:t>
      </w:r>
      <w:bookmarkEnd w:id="271"/>
      <w:bookmarkEnd w:id="272"/>
    </w:p>
    <w:p w14:paraId="52470F9F" w14:textId="1C850A9F" w:rsidR="00776480" w:rsidRPr="003C0E2F" w:rsidRDefault="00776480" w:rsidP="00776480">
      <w:r w:rsidRPr="003C0E2F">
        <w:t xml:space="preserve">20-50 µg protein was taken from cell lysates, calculated from each sample using BCA assay results, and used for Western blot analysis. </w:t>
      </w:r>
      <w:bookmarkStart w:id="273" w:name="_Hlk80822034"/>
      <w:r w:rsidR="001977ED" w:rsidRPr="003C0E2F">
        <w:t>Blue loading buffer (</w:t>
      </w:r>
      <w:r w:rsidR="002323B4" w:rsidRPr="003C0E2F">
        <w:t>187.5mM Tris-HCL, 6% SDS, 30% Glycerol, 0.03% Bromophenol Blue</w:t>
      </w:r>
      <w:r w:rsidR="001977ED" w:rsidRPr="003C0E2F">
        <w:t>)</w:t>
      </w:r>
      <w:r w:rsidRPr="003C0E2F">
        <w:t xml:space="preserve"> </w:t>
      </w:r>
      <w:r w:rsidR="002323B4" w:rsidRPr="003C0E2F">
        <w:t xml:space="preserve">+ </w:t>
      </w:r>
      <w:r w:rsidR="001977ED" w:rsidRPr="003C0E2F">
        <w:t xml:space="preserve">125mM </w:t>
      </w:r>
      <w:r w:rsidR="002323B4" w:rsidRPr="003C0E2F">
        <w:t>DTT (Cell Signalling</w:t>
      </w:r>
      <w:r w:rsidR="00BF0330" w:rsidRPr="003C0E2F">
        <w:t>: 77225</w:t>
      </w:r>
      <w:r w:rsidR="002323B4" w:rsidRPr="003C0E2F">
        <w:t xml:space="preserve">) </w:t>
      </w:r>
      <w:r w:rsidRPr="003C0E2F">
        <w:t xml:space="preserve">was added </w:t>
      </w:r>
      <w:r w:rsidR="001977ED" w:rsidRPr="003C0E2F">
        <w:t xml:space="preserve">1:3 </w:t>
      </w:r>
      <w:r w:rsidRPr="003C0E2F">
        <w:t xml:space="preserve">to each sample </w:t>
      </w:r>
      <w:bookmarkEnd w:id="273"/>
      <w:r w:rsidR="001977ED" w:rsidRPr="003C0E2F">
        <w:t xml:space="preserve">at </w:t>
      </w:r>
      <w:r w:rsidRPr="003C0E2F">
        <w:t>and tubes were heated to 80</w:t>
      </w:r>
      <w:r w:rsidR="002323B4" w:rsidRPr="003C0E2F">
        <w:rPr>
          <w:rFonts w:cstheme="minorHAnsi"/>
          <w:vertAlign w:val="superscript"/>
        </w:rPr>
        <w:t>o</w:t>
      </w:r>
      <w:r w:rsidR="002323B4" w:rsidRPr="003C0E2F">
        <w:t>C</w:t>
      </w:r>
      <w:r w:rsidRPr="003C0E2F">
        <w:t xml:space="preserve"> for 5 minutes. Prepared samples were then loaded onto a precast 10% polyacrylamide gel (Bio-Rad). Gels were run at 200v for 30 minutes.</w:t>
      </w:r>
    </w:p>
    <w:p w14:paraId="738090AD" w14:textId="402AD1E0" w:rsidR="00652CB9" w:rsidRPr="003C0E2F" w:rsidRDefault="00F757DA" w:rsidP="00F757DA">
      <w:r w:rsidRPr="003C0E2F">
        <w:t xml:space="preserve">Western blot analysis was used to ascertain the relative level of </w:t>
      </w:r>
      <w:r w:rsidR="00274B79" w:rsidRPr="003C0E2F">
        <w:t>p</w:t>
      </w:r>
      <w:r w:rsidRPr="003C0E2F">
        <w:t>65</w:t>
      </w:r>
      <w:r w:rsidR="00274B79" w:rsidRPr="003C0E2F">
        <w:t>/</w:t>
      </w:r>
      <w:r w:rsidRPr="003C0E2F">
        <w:t>NF-</w:t>
      </w:r>
      <w:proofErr w:type="spellStart"/>
      <w:r w:rsidRPr="003C0E2F">
        <w:t>κB</w:t>
      </w:r>
      <w:proofErr w:type="spellEnd"/>
      <w:r w:rsidRPr="003C0E2F">
        <w:t xml:space="preserve">, </w:t>
      </w:r>
      <w:r w:rsidR="00274B79" w:rsidRPr="003C0E2F">
        <w:t>P38</w:t>
      </w:r>
      <w:r w:rsidRPr="003C0E2F">
        <w:t xml:space="preserve"> MAPK, ERK, JNK and STAT-1 phosphorylation following LPS stimulation and treatment. Cell lysates were processed as previously described and stored at on ice for immediate use, or at -20 for later analysis. BCA was used to measure protein in lysates before preparation of samples.</w:t>
      </w:r>
    </w:p>
    <w:p w14:paraId="353615FB" w14:textId="03987D3F" w:rsidR="00D3097F" w:rsidRPr="003C0E2F" w:rsidRDefault="00F757DA" w:rsidP="00101D1F">
      <w:r w:rsidRPr="003C0E2F">
        <w:t xml:space="preserve">Trans-Blot Turbo transfer system (Bio-Rad) was used to transfer proteins onto PVDF membranes. 5% skimmed milk in tris-buffered-saline (TBS) was prepared and used as a blocking solution. Membranes were blocked with 5% milk for 1 hour before exposure to the primary antibodies from Cell </w:t>
      </w:r>
      <w:r w:rsidR="007A7EEE" w:rsidRPr="003C0E2F">
        <w:t>Signalling:</w:t>
      </w:r>
      <w:r w:rsidRPr="003C0E2F">
        <w:t xml:space="preserve"> phospho-</w:t>
      </w:r>
      <w:r w:rsidR="00274B79" w:rsidRPr="003C0E2F">
        <w:t>P38</w:t>
      </w:r>
      <w:r w:rsidRPr="003C0E2F">
        <w:t xml:space="preserve"> (4511), phospho-p65 (3031), phospho-</w:t>
      </w:r>
      <w:r w:rsidR="009E42FE" w:rsidRPr="003C0E2F">
        <w:t>TBK1</w:t>
      </w:r>
      <w:r w:rsidRPr="003C0E2F">
        <w:t xml:space="preserve"> (5483), phospho-IRF-3 (4947) or phospho-STAT-1 (9167). Phospho-antibodies were prepared in 2% milk + TBS and membranes were incubated at 4</w:t>
      </w:r>
      <w:r w:rsidR="002323B4" w:rsidRPr="003C0E2F">
        <w:rPr>
          <w:rFonts w:cstheme="minorHAnsi"/>
          <w:vertAlign w:val="superscript"/>
        </w:rPr>
        <w:t>o</w:t>
      </w:r>
      <w:r w:rsidR="002323B4" w:rsidRPr="003C0E2F">
        <w:t>C</w:t>
      </w:r>
      <w:r w:rsidRPr="003C0E2F">
        <w:t xml:space="preserve"> for 28-48hrs.  Membranes were then washed with TBS</w:t>
      </w:r>
      <w:r w:rsidR="00F80E29" w:rsidRPr="003C0E2F">
        <w:t>-</w:t>
      </w:r>
      <w:r w:rsidRPr="003C0E2F">
        <w:t>T 3 times before application of the secondary antibody (anti-mouse or anti-rabbit HRP). Cell signalling β-actin (12262) was used as a loading control for each blot. Incubation was for 1 hour with β-Actin, then 1 hour with anti-mouse antibody.</w:t>
      </w:r>
    </w:p>
    <w:p w14:paraId="051ED6DC" w14:textId="44471057" w:rsidR="00FC7702" w:rsidRPr="003C0E2F" w:rsidRDefault="00F757DA" w:rsidP="00F757DA">
      <w:r w:rsidRPr="003C0E2F">
        <w:t xml:space="preserve">Following antibody incubation, ECL substrate was used to visualise the blots and the signal was detected either by digital imaging through </w:t>
      </w:r>
      <w:proofErr w:type="spellStart"/>
      <w:r w:rsidRPr="003C0E2F">
        <w:t>Genesys</w:t>
      </w:r>
      <w:proofErr w:type="spellEnd"/>
      <w:r w:rsidRPr="003C0E2F">
        <w:t xml:space="preserve"> (</w:t>
      </w:r>
      <w:proofErr w:type="spellStart"/>
      <w:r w:rsidRPr="003C0E2F">
        <w:t>Synaptics</w:t>
      </w:r>
      <w:proofErr w:type="spellEnd"/>
      <w:r w:rsidRPr="003C0E2F">
        <w:t xml:space="preserve">, UK) or using photographic film in the darkroom. Densitometry analysis was carried out via </w:t>
      </w:r>
      <w:proofErr w:type="spellStart"/>
      <w:r w:rsidRPr="003C0E2F">
        <w:t>GeneTools</w:t>
      </w:r>
      <w:proofErr w:type="spellEnd"/>
      <w:r w:rsidRPr="003C0E2F">
        <w:t xml:space="preserve"> (</w:t>
      </w:r>
      <w:proofErr w:type="spellStart"/>
      <w:r w:rsidRPr="003C0E2F">
        <w:t>Syngene</w:t>
      </w:r>
      <w:proofErr w:type="spellEnd"/>
      <w:r w:rsidRPr="003C0E2F">
        <w:t>) to give quantifiable data, normalised to β-Actin loading controls.</w:t>
      </w:r>
    </w:p>
    <w:p w14:paraId="754AC114" w14:textId="65FF6F29" w:rsidR="00574D8D" w:rsidRPr="003C0E2F" w:rsidRDefault="00574D8D">
      <w:pPr>
        <w:spacing w:line="259" w:lineRule="auto"/>
      </w:pPr>
      <w:r w:rsidRPr="003C0E2F">
        <w:br w:type="page"/>
      </w:r>
    </w:p>
    <w:p w14:paraId="5740D96E" w14:textId="74C52699" w:rsidR="00D3097F" w:rsidRPr="003C0E2F" w:rsidRDefault="00D3097F" w:rsidP="00BE5236">
      <w:pPr>
        <w:pStyle w:val="Heading2"/>
      </w:pPr>
      <w:bookmarkStart w:id="274" w:name="_Toc80013761"/>
      <w:bookmarkStart w:id="275" w:name="_Toc82882381"/>
      <w:r w:rsidRPr="003C0E2F">
        <w:lastRenderedPageBreak/>
        <w:t xml:space="preserve">Human </w:t>
      </w:r>
      <w:r w:rsidR="00882288" w:rsidRPr="003C0E2F">
        <w:t>i</w:t>
      </w:r>
      <w:r w:rsidRPr="003C0E2F">
        <w:t xml:space="preserve">nflammation </w:t>
      </w:r>
      <w:r w:rsidR="00882288" w:rsidRPr="003C0E2F">
        <w:t>a</w:t>
      </w:r>
      <w:r w:rsidRPr="003C0E2F">
        <w:t xml:space="preserve">ntibody </w:t>
      </w:r>
      <w:r w:rsidR="00186DBD" w:rsidRPr="003C0E2F">
        <w:t>a</w:t>
      </w:r>
      <w:r w:rsidRPr="003C0E2F">
        <w:t>rray</w:t>
      </w:r>
      <w:bookmarkEnd w:id="274"/>
      <w:bookmarkEnd w:id="275"/>
      <w:r w:rsidRPr="003C0E2F">
        <w:tab/>
      </w:r>
    </w:p>
    <w:p w14:paraId="451844A7" w14:textId="1378C817" w:rsidR="00F33CB1" w:rsidRPr="003C0E2F" w:rsidRDefault="008A3B68" w:rsidP="00BE5236">
      <w:r w:rsidRPr="003C0E2F">
        <w:t>A proinflammatory protein antibody array</w:t>
      </w:r>
      <w:r w:rsidR="00F33CB1" w:rsidRPr="003C0E2F">
        <w:t xml:space="preserve"> was used to provide an overview of protein production following stimulation with LPS and FP antagonist series compounds, or subsequent downregulation of LPS stimulated proinflammatory protein production with FP antagonist series compounds. Human and mouse proinflammatory protein arrays were purchased from </w:t>
      </w:r>
      <w:proofErr w:type="spellStart"/>
      <w:r w:rsidR="00F33CB1" w:rsidRPr="003C0E2F">
        <w:t>RayBiotech</w:t>
      </w:r>
      <w:proofErr w:type="spellEnd"/>
      <w:r w:rsidR="00F33CB1" w:rsidRPr="003C0E2F">
        <w:t xml:space="preserve"> (</w:t>
      </w:r>
      <w:proofErr w:type="spellStart"/>
      <w:r w:rsidR="00260454" w:rsidRPr="003C0E2F">
        <w:t>RayBio</w:t>
      </w:r>
      <w:proofErr w:type="spellEnd"/>
      <w:r w:rsidR="00260454" w:rsidRPr="003C0E2F">
        <w:t>, USA - C-Series Human Inflammation Antibody Array</w:t>
      </w:r>
      <w:r w:rsidR="00F33CB1" w:rsidRPr="003C0E2F">
        <w:t>) and carried out as per protocol instructions. THP-1 cells were exposed to 100ng/</w:t>
      </w:r>
      <w:r w:rsidR="00005854" w:rsidRPr="003C0E2F">
        <w:t xml:space="preserve">mL </w:t>
      </w:r>
      <w:r w:rsidR="00F33CB1" w:rsidRPr="003C0E2F">
        <w:t xml:space="preserve">LPS in presence or absence of 10 </w:t>
      </w:r>
      <w:proofErr w:type="spellStart"/>
      <w:r w:rsidR="00F33CB1" w:rsidRPr="003C0E2F">
        <w:t>μM</w:t>
      </w:r>
      <w:proofErr w:type="spellEnd"/>
      <w:r w:rsidR="00F33CB1" w:rsidRPr="003C0E2F">
        <w:t xml:space="preserve"> antagonist series compounds, or 10μM agonist series compounds alone. Medium was collected from plates and </w:t>
      </w:r>
      <w:proofErr w:type="gramStart"/>
      <w:r w:rsidR="00F33CB1" w:rsidRPr="003C0E2F">
        <w:t>cells</w:t>
      </w:r>
      <w:proofErr w:type="gramEnd"/>
      <w:r w:rsidR="00F33CB1" w:rsidRPr="003C0E2F">
        <w:t xml:space="preserve"> or cell debris removed through centrifugation at 13000rpm for 5 minutes. Samples were stored at 4</w:t>
      </w:r>
      <w:r w:rsidR="002323B4" w:rsidRPr="003C0E2F">
        <w:rPr>
          <w:rFonts w:cstheme="minorHAnsi"/>
          <w:vertAlign w:val="superscript"/>
        </w:rPr>
        <w:t>o</w:t>
      </w:r>
      <w:r w:rsidR="002323B4" w:rsidRPr="003C0E2F">
        <w:t>C</w:t>
      </w:r>
      <w:r w:rsidR="00F33CB1" w:rsidRPr="003C0E2F">
        <w:t xml:space="preserve"> for immediate use or stored at -20</w:t>
      </w:r>
      <w:r w:rsidR="002323B4" w:rsidRPr="003C0E2F">
        <w:rPr>
          <w:rFonts w:cstheme="minorHAnsi"/>
          <w:vertAlign w:val="superscript"/>
        </w:rPr>
        <w:t>o</w:t>
      </w:r>
      <w:r w:rsidR="002323B4" w:rsidRPr="003C0E2F">
        <w:t>C</w:t>
      </w:r>
      <w:r w:rsidR="00F33CB1" w:rsidRPr="003C0E2F">
        <w:t xml:space="preserve"> for later processing. </w:t>
      </w:r>
      <w:r w:rsidR="009A49E2" w:rsidRPr="003C0E2F">
        <w:t xml:space="preserve">Initial optimisation of sample dilution from a comparison between untreated and LPS treated samples suggested that no dilution of culture medium was required for assessment of most proinflammatory proteins produced by THP-1 macrophages. </w:t>
      </w:r>
      <w:r w:rsidR="00F33CB1" w:rsidRPr="003C0E2F">
        <w:t>Array membranes were blocked using the kit provided blocking solution and 1</w:t>
      </w:r>
      <w:r w:rsidR="00005854" w:rsidRPr="003C0E2F">
        <w:t xml:space="preserve">mL </w:t>
      </w:r>
      <w:r w:rsidR="00F33CB1" w:rsidRPr="003C0E2F">
        <w:t xml:space="preserve">of undiluted medium atop each membrane overnight at </w:t>
      </w:r>
      <w:r w:rsidR="002323B4" w:rsidRPr="003C0E2F">
        <w:t>4</w:t>
      </w:r>
      <w:r w:rsidR="002323B4" w:rsidRPr="003C0E2F">
        <w:rPr>
          <w:rFonts w:cstheme="minorHAnsi"/>
          <w:vertAlign w:val="superscript"/>
        </w:rPr>
        <w:t>o</w:t>
      </w:r>
      <w:r w:rsidR="002323B4" w:rsidRPr="003C0E2F">
        <w:t>C</w:t>
      </w:r>
      <w:r w:rsidR="00F33CB1" w:rsidRPr="003C0E2F">
        <w:t xml:space="preserve"> to measure the concentration of proteins released </w:t>
      </w:r>
      <w:r w:rsidR="009A49E2" w:rsidRPr="003C0E2F">
        <w:t xml:space="preserve">by THP-1 macrophages </w:t>
      </w:r>
      <w:r w:rsidR="00F33CB1" w:rsidRPr="003C0E2F">
        <w:t xml:space="preserve">in culture supernatants. </w:t>
      </w:r>
      <w:r w:rsidR="00BB441D" w:rsidRPr="003C0E2F">
        <w:t xml:space="preserve">Membranes were washed and exposed to a biotinylated antibody cocktail, followed by secondary HRP-conjugate before application of detection solution as per kit instructions. Membranes were then sandwiched between two thin plastic sheets for visualisation via </w:t>
      </w:r>
      <w:proofErr w:type="spellStart"/>
      <w:r w:rsidR="00BB441D" w:rsidRPr="003C0E2F">
        <w:t>Genesys</w:t>
      </w:r>
      <w:proofErr w:type="spellEnd"/>
      <w:r w:rsidR="00BB441D" w:rsidRPr="003C0E2F">
        <w:t xml:space="preserve"> (</w:t>
      </w:r>
      <w:proofErr w:type="spellStart"/>
      <w:r w:rsidR="00BB441D" w:rsidRPr="003C0E2F">
        <w:t>Synaptics</w:t>
      </w:r>
      <w:proofErr w:type="spellEnd"/>
      <w:r w:rsidR="00BB441D" w:rsidRPr="003C0E2F">
        <w:t xml:space="preserve">, UK). Relative concentrations were quantified using </w:t>
      </w:r>
      <w:proofErr w:type="spellStart"/>
      <w:r w:rsidR="00BB441D" w:rsidRPr="003C0E2F">
        <w:t>GeneTools</w:t>
      </w:r>
      <w:proofErr w:type="spellEnd"/>
      <w:r w:rsidR="00BB441D" w:rsidRPr="003C0E2F">
        <w:t xml:space="preserve"> (</w:t>
      </w:r>
      <w:proofErr w:type="spellStart"/>
      <w:r w:rsidR="00BB441D" w:rsidRPr="003C0E2F">
        <w:t>Synaptics</w:t>
      </w:r>
      <w:proofErr w:type="spellEnd"/>
      <w:r w:rsidR="00BB441D" w:rsidRPr="003C0E2F">
        <w:t xml:space="preserve">, UK) software </w:t>
      </w:r>
      <w:r w:rsidR="0086051B" w:rsidRPr="003C0E2F">
        <w:t>from dot blots</w:t>
      </w:r>
      <w:r w:rsidR="00AF60E7" w:rsidRPr="003C0E2F">
        <w:t xml:space="preserve"> (Example</w:t>
      </w:r>
      <w:r w:rsidR="005A64AA" w:rsidRPr="003C0E2F">
        <w:t xml:space="preserve"> in A</w:t>
      </w:r>
      <w:r w:rsidR="00AF60E7" w:rsidRPr="003C0E2F">
        <w:t>ppendix III – Figure S1)</w:t>
      </w:r>
      <w:r w:rsidR="0086051B" w:rsidRPr="003C0E2F">
        <w:t xml:space="preserve"> </w:t>
      </w:r>
      <w:r w:rsidR="00BB441D" w:rsidRPr="003C0E2F">
        <w:t xml:space="preserve">and are shown </w:t>
      </w:r>
      <w:r w:rsidR="0086051B" w:rsidRPr="003C0E2F">
        <w:t xml:space="preserve">in tables </w:t>
      </w:r>
      <w:r w:rsidR="00BB441D" w:rsidRPr="003C0E2F">
        <w:t>as fold increase versus the levels obtained from control blots.</w:t>
      </w:r>
    </w:p>
    <w:p w14:paraId="2EC40598" w14:textId="77777777" w:rsidR="00F33CB1" w:rsidRPr="003C0E2F" w:rsidRDefault="00F33CB1" w:rsidP="00BE5236"/>
    <w:p w14:paraId="3CF46247" w14:textId="77777777" w:rsidR="003A614C" w:rsidRPr="003C0E2F" w:rsidRDefault="003A614C">
      <w:pPr>
        <w:spacing w:line="259" w:lineRule="auto"/>
        <w:rPr>
          <w:b/>
          <w:bCs/>
        </w:rPr>
      </w:pPr>
      <w:r w:rsidRPr="003C0E2F">
        <w:br w:type="page"/>
      </w:r>
    </w:p>
    <w:p w14:paraId="6BBEA892" w14:textId="5281144B" w:rsidR="00652CB9" w:rsidRPr="003C0E2F" w:rsidRDefault="00F07847" w:rsidP="00BE5236">
      <w:pPr>
        <w:pStyle w:val="Heading2"/>
      </w:pPr>
      <w:bookmarkStart w:id="276" w:name="_Toc80013762"/>
      <w:bookmarkStart w:id="277" w:name="_Toc82882382"/>
      <w:r w:rsidRPr="003C0E2F">
        <w:lastRenderedPageBreak/>
        <w:t xml:space="preserve">Quantification and </w:t>
      </w:r>
      <w:r w:rsidR="00186DBD" w:rsidRPr="003C0E2F">
        <w:t>s</w:t>
      </w:r>
      <w:r w:rsidR="00D3097F" w:rsidRPr="003C0E2F">
        <w:t xml:space="preserve">tatistical </w:t>
      </w:r>
      <w:r w:rsidR="00882288" w:rsidRPr="003C0E2F">
        <w:t>a</w:t>
      </w:r>
      <w:r w:rsidR="00D3097F" w:rsidRPr="003C0E2F">
        <w:t>nalysis</w:t>
      </w:r>
      <w:bookmarkEnd w:id="276"/>
      <w:bookmarkEnd w:id="277"/>
      <w:r w:rsidR="00D3097F" w:rsidRPr="003C0E2F">
        <w:tab/>
      </w:r>
    </w:p>
    <w:p w14:paraId="4F9F1F4E" w14:textId="0937BF46" w:rsidR="00FC7702" w:rsidRPr="003C0E2F" w:rsidRDefault="00F757DA" w:rsidP="00BE5236">
      <w:pPr>
        <w:rPr>
          <w:sz w:val="48"/>
          <w:szCs w:val="48"/>
        </w:rPr>
      </w:pPr>
      <w:bookmarkStart w:id="278" w:name="_Toc38543290"/>
      <w:r w:rsidRPr="003C0E2F">
        <w:t xml:space="preserve">Statistical analysis and graph production were carried out in GraphPad Prism 6 software (GraphPad Software, Inc). Statistical analysis was carried out via analysis of variance (ANOVA) with a post hoc test (Tukey). Results are expressed as the mean +/- Standard Deviation. Quantification of all data from </w:t>
      </w:r>
      <w:r w:rsidR="00030A76" w:rsidRPr="003C0E2F">
        <w:t>Western</w:t>
      </w:r>
      <w:r w:rsidRPr="003C0E2F">
        <w:t xml:space="preserve"> blot and antibody array were carried out via </w:t>
      </w:r>
      <w:proofErr w:type="spellStart"/>
      <w:r w:rsidRPr="003C0E2F">
        <w:t>GeneTools</w:t>
      </w:r>
      <w:proofErr w:type="spellEnd"/>
      <w:r w:rsidRPr="003C0E2F">
        <w:t xml:space="preserve"> (</w:t>
      </w:r>
      <w:proofErr w:type="spellStart"/>
      <w:r w:rsidRPr="003C0E2F">
        <w:t>Syngene</w:t>
      </w:r>
      <w:proofErr w:type="spellEnd"/>
      <w:r w:rsidRPr="003C0E2F">
        <w:t xml:space="preserve">). Concentration </w:t>
      </w:r>
      <w:r w:rsidR="008612D0" w:rsidRPr="003C0E2F">
        <w:t>was</w:t>
      </w:r>
      <w:r w:rsidRPr="003C0E2F">
        <w:t xml:space="preserve"> calculated from ELISA using Excel (Microsoft) or GraphPad Prism 6 (GraphPad Software, Inc). </w:t>
      </w:r>
      <w:r w:rsidR="00FC7702" w:rsidRPr="003C0E2F">
        <w:br w:type="page"/>
      </w:r>
    </w:p>
    <w:p w14:paraId="0A7B997F" w14:textId="2024C7D9" w:rsidR="00D3097F" w:rsidRPr="003C0E2F" w:rsidRDefault="00D3097F" w:rsidP="00BE5236">
      <w:pPr>
        <w:pStyle w:val="Heading1"/>
      </w:pPr>
      <w:bookmarkStart w:id="279" w:name="_Toc80013763"/>
      <w:bookmarkStart w:id="280" w:name="_Toc82882383"/>
      <w:r w:rsidRPr="003C0E2F">
        <w:lastRenderedPageBreak/>
        <w:t>Results</w:t>
      </w:r>
      <w:bookmarkEnd w:id="278"/>
      <w:bookmarkEnd w:id="279"/>
      <w:bookmarkEnd w:id="280"/>
      <w:r w:rsidRPr="003C0E2F">
        <w:t xml:space="preserve"> </w:t>
      </w:r>
    </w:p>
    <w:p w14:paraId="1F16EF99" w14:textId="6D3CD19A" w:rsidR="0036411B" w:rsidRPr="003C0E2F" w:rsidRDefault="00F757DA" w:rsidP="00840A74">
      <w:r w:rsidRPr="003C0E2F">
        <w:t xml:space="preserve">FP compounds are a series of Lipid A mimetic molecules, structurally </w:t>
      </w:r>
      <w:proofErr w:type="gramStart"/>
      <w:r w:rsidRPr="003C0E2F">
        <w:t>similar to</w:t>
      </w:r>
      <w:proofErr w:type="gramEnd"/>
      <w:r w:rsidRPr="003C0E2F">
        <w:t xml:space="preserve"> Lipid A, developed and produced by Francesco Peri (University of Milano). Preliminary success of FP7 in initial studies prompted the formulation of further variants, which have previously been assessed for docking potential </w:t>
      </w:r>
      <w:r w:rsidRPr="003C0E2F">
        <w:rPr>
          <w:i/>
          <w:iCs/>
        </w:rPr>
        <w:t>in situ</w:t>
      </w:r>
      <w:r w:rsidRPr="003C0E2F">
        <w:t xml:space="preserve"> via </w:t>
      </w:r>
      <w:proofErr w:type="spellStart"/>
      <w:r w:rsidRPr="003C0E2F">
        <w:t>AutoDock</w:t>
      </w:r>
      <w:proofErr w:type="spellEnd"/>
      <w:r w:rsidRPr="003C0E2F">
        <w:t>. All four antagonists showed potential to interact with TLR4/MD-2 in an antagonistic formation (</w:t>
      </w:r>
      <w:proofErr w:type="spellStart"/>
      <w:r w:rsidRPr="003C0E2F">
        <w:t>Facchini</w:t>
      </w:r>
      <w:proofErr w:type="spellEnd"/>
      <w:r w:rsidRPr="003C0E2F">
        <w:t xml:space="preserve"> et al., 2018). The antagonist series molecules are comprised of a single sugar backbone with two acyl chains and two phosphate groups attached. They are similar in structure to Lipid X and differ from each other only in the length of acyl chains. TLR4 agonist series molecules, FP11 and FP18 more closely resemble MPLA and may thereby exhibit comparable </w:t>
      </w:r>
      <w:r w:rsidR="008F561F" w:rsidRPr="003C0E2F">
        <w:t>effect</w:t>
      </w:r>
      <w:r w:rsidRPr="003C0E2F">
        <w:t xml:space="preserve">s. However, further analysis was required </w:t>
      </w:r>
      <w:proofErr w:type="gramStart"/>
      <w:r w:rsidRPr="003C0E2F">
        <w:t>in order to</w:t>
      </w:r>
      <w:proofErr w:type="gramEnd"/>
      <w:r w:rsidRPr="003C0E2F">
        <w:t xml:space="preserve"> validate and understand the mechanisms behind the agonist and antagonistic properties of these novel series of mono-sugar synthetic glycolipids.</w:t>
      </w:r>
    </w:p>
    <w:p w14:paraId="5E6D5D80" w14:textId="77777777" w:rsidR="00840A74" w:rsidRPr="003C0E2F" w:rsidRDefault="00840A74" w:rsidP="00BE5236"/>
    <w:p w14:paraId="7DA10EC4" w14:textId="77777777" w:rsidR="00D26BBD" w:rsidRPr="003C0E2F" w:rsidRDefault="00D26BBD">
      <w:pPr>
        <w:spacing w:line="259" w:lineRule="auto"/>
        <w:rPr>
          <w:b/>
          <w:bCs/>
        </w:rPr>
      </w:pPr>
      <w:bookmarkStart w:id="281" w:name="OLE_LINK1"/>
      <w:bookmarkStart w:id="282" w:name="_Toc38543291"/>
      <w:r w:rsidRPr="003C0E2F">
        <w:br w:type="page"/>
      </w:r>
    </w:p>
    <w:p w14:paraId="2F238393" w14:textId="147C34E1" w:rsidR="00D3097F" w:rsidRPr="003C0E2F" w:rsidRDefault="00D3097F" w:rsidP="00BE5236">
      <w:pPr>
        <w:pStyle w:val="Heading2"/>
      </w:pPr>
      <w:bookmarkStart w:id="283" w:name="_Toc80013764"/>
      <w:bookmarkStart w:id="284" w:name="_Ref80013942"/>
      <w:bookmarkStart w:id="285" w:name="_Toc82882384"/>
      <w:r w:rsidRPr="003C0E2F">
        <w:lastRenderedPageBreak/>
        <w:t xml:space="preserve">Investigating the </w:t>
      </w:r>
      <w:r w:rsidR="008F561F" w:rsidRPr="003C0E2F">
        <w:t>effect</w:t>
      </w:r>
      <w:r w:rsidRPr="003C0E2F">
        <w:t xml:space="preserve">s of FP7 and FP7 derivative molecules on </w:t>
      </w:r>
      <w:r w:rsidR="00932BC2" w:rsidRPr="003C0E2F">
        <w:t>MyD88</w:t>
      </w:r>
      <w:r w:rsidR="00B5057C" w:rsidRPr="003C0E2F">
        <w:t>-</w:t>
      </w:r>
      <w:r w:rsidR="009E0322" w:rsidRPr="003C0E2F">
        <w:t>dependent</w:t>
      </w:r>
      <w:r w:rsidRPr="003C0E2F">
        <w:t xml:space="preserve"> TLR4-driven signalling in THP-1 human </w:t>
      </w:r>
      <w:r w:rsidR="008F561F" w:rsidRPr="003C0E2F">
        <w:t>monocyte</w:t>
      </w:r>
      <w:r w:rsidRPr="003C0E2F">
        <w:t xml:space="preserve">s and </w:t>
      </w:r>
      <w:r w:rsidR="008F561F" w:rsidRPr="003C0E2F">
        <w:t>macrophage</w:t>
      </w:r>
      <w:r w:rsidRPr="003C0E2F">
        <w:t>s</w:t>
      </w:r>
      <w:bookmarkEnd w:id="281"/>
      <w:bookmarkEnd w:id="282"/>
      <w:bookmarkEnd w:id="283"/>
      <w:bookmarkEnd w:id="284"/>
      <w:bookmarkEnd w:id="285"/>
      <w:r w:rsidRPr="003C0E2F">
        <w:tab/>
      </w:r>
    </w:p>
    <w:p w14:paraId="7C05507C" w14:textId="7436A671" w:rsidR="009E741A" w:rsidRPr="003C0E2F" w:rsidRDefault="009E741A" w:rsidP="009E741A">
      <w:bookmarkStart w:id="286" w:name="_Hlk82443121"/>
      <w:r w:rsidRPr="003C0E2F">
        <w:t xml:space="preserve">The THP-1 cell line are an immortalised human monocytic cell line, regularly used as a representation of monocyte and macrophage behaviour. They provide a general representation of human TLR4 </w:t>
      </w:r>
      <w:r w:rsidR="00386B1D" w:rsidRPr="003C0E2F">
        <w:t>signalling in monocytes and macrophages, though THP-1 cells</w:t>
      </w:r>
      <w:r w:rsidRPr="003C0E2F">
        <w:t xml:space="preserve"> may</w:t>
      </w:r>
      <w:r w:rsidR="00386B1D" w:rsidRPr="003C0E2F">
        <w:t xml:space="preserve"> produce a weaker response to endotoxic challenge than primary human equivalents </w:t>
      </w:r>
      <w:sdt>
        <w:sdtPr>
          <w:tag w:val="MENDELEY_CITATION_v3_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"/>
          <w:id w:val="-296839277"/>
          <w:placeholder>
            <w:docPart w:val="26DFD0AAB1314B24AF8671199499E6F5"/>
          </w:placeholder>
        </w:sdtPr>
        <w:sdtEndPr/>
        <w:sdtContent>
          <w:r w:rsidR="00F257B9">
            <w:rPr>
              <w:rFonts w:eastAsia="Times New Roman"/>
            </w:rPr>
            <w:t>(</w:t>
          </w:r>
          <w:proofErr w:type="spellStart"/>
          <w:r w:rsidR="00F257B9">
            <w:rPr>
              <w:rFonts w:eastAsia="Times New Roman"/>
            </w:rPr>
            <w:t>Bruckmeier</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2012; </w:t>
          </w:r>
          <w:proofErr w:type="spellStart"/>
          <w:r w:rsidR="00F257B9">
            <w:rPr>
              <w:rFonts w:eastAsia="Times New Roman"/>
            </w:rPr>
            <w:t>Schildberger</w:t>
          </w:r>
          <w:proofErr w:type="spellEnd"/>
          <w:r w:rsidR="00F257B9">
            <w:rPr>
              <w:rFonts w:eastAsia="Times New Roman"/>
            </w:rPr>
            <w:t xml:space="preserve"> </w:t>
          </w:r>
          <w:r w:rsidR="00F257B9">
            <w:rPr>
              <w:rFonts w:eastAsia="Times New Roman"/>
              <w:i/>
              <w:iCs/>
            </w:rPr>
            <w:t>et al.</w:t>
          </w:r>
          <w:r w:rsidR="00F257B9">
            <w:rPr>
              <w:rFonts w:eastAsia="Times New Roman"/>
            </w:rPr>
            <w:t>, 2013)</w:t>
          </w:r>
        </w:sdtContent>
      </w:sdt>
      <w:r w:rsidR="00386B1D" w:rsidRPr="003C0E2F">
        <w:t>. As such, THP-1 cells provide a good representative model for human TLR4 activity in monocytes and macrophages, but additional experiments</w:t>
      </w:r>
      <w:r w:rsidR="00543F26" w:rsidRPr="003C0E2F">
        <w:t xml:space="preserve"> to confirm results</w:t>
      </w:r>
      <w:r w:rsidR="00386B1D" w:rsidRPr="003C0E2F">
        <w:t xml:space="preserve"> in primary and </w:t>
      </w:r>
      <w:r w:rsidR="00386B1D" w:rsidRPr="003C0E2F">
        <w:rPr>
          <w:i/>
          <w:iCs/>
        </w:rPr>
        <w:t>in vitro</w:t>
      </w:r>
      <w:r w:rsidR="00386B1D" w:rsidRPr="003C0E2F">
        <w:t xml:space="preserve"> models </w:t>
      </w:r>
      <w:r w:rsidR="00543F26" w:rsidRPr="003C0E2F">
        <w:t>may also be</w:t>
      </w:r>
      <w:r w:rsidR="00386B1D" w:rsidRPr="003C0E2F">
        <w:t xml:space="preserve"> </w:t>
      </w:r>
      <w:r w:rsidR="00543F26" w:rsidRPr="003C0E2F">
        <w:t>necessary</w:t>
      </w:r>
      <w:r w:rsidR="00386B1D" w:rsidRPr="003C0E2F">
        <w:t>.</w:t>
      </w:r>
    </w:p>
    <w:bookmarkEnd w:id="286"/>
    <w:p w14:paraId="084BCD31" w14:textId="4D31AD51" w:rsidR="00543F26" w:rsidRPr="003C0E2F" w:rsidRDefault="00F757DA" w:rsidP="00F757DA">
      <w:r w:rsidRPr="003C0E2F">
        <w:t xml:space="preserve">THP-1 </w:t>
      </w:r>
      <w:r w:rsidR="008F561F" w:rsidRPr="003C0E2F">
        <w:t>monocyte</w:t>
      </w:r>
      <w:r w:rsidRPr="003C0E2F">
        <w:t xml:space="preserve">s were treated with concentrations of each drug ranging from 1-10 µM for each experiment. In each case and MTT assay was carried out to determine the </w:t>
      </w:r>
      <w:r w:rsidR="008F561F" w:rsidRPr="003C0E2F">
        <w:t>effect</w:t>
      </w:r>
      <w:r w:rsidRPr="003C0E2F">
        <w:t xml:space="preserve">s of each compound on THP-1 </w:t>
      </w:r>
      <w:r w:rsidR="008F561F" w:rsidRPr="003C0E2F">
        <w:t>monocyte</w:t>
      </w:r>
      <w:r w:rsidRPr="003C0E2F">
        <w:t xml:space="preserve"> viability following treatment. ELISA was used to assess the potential of FP7 and derivatives to block activation of TLR4. IL-8 was selected as a TLR4 specific marker to assess the potential of each molecule to downregulate TLR4 signalling following LPS exposure. FP7 was assessed further in IL-6, MIP-1</w:t>
      </w:r>
      <w:r w:rsidR="007C7F34" w:rsidRPr="003C0E2F">
        <w:rPr>
          <w:rFonts w:cstheme="minorHAnsi"/>
        </w:rPr>
        <w:t>α</w:t>
      </w:r>
      <w:r w:rsidRPr="003C0E2F">
        <w:t xml:space="preserve">, and iCAM-1 production following initial positive results seen in </w:t>
      </w:r>
      <w:r w:rsidR="007A0F7C" w:rsidRPr="003C0E2F">
        <w:t>IL-8</w:t>
      </w:r>
      <w:r w:rsidRPr="003C0E2F">
        <w:t xml:space="preserve"> screening.</w:t>
      </w:r>
    </w:p>
    <w:p w14:paraId="05D2EB19" w14:textId="77777777" w:rsidR="00543F26" w:rsidRPr="003C0E2F" w:rsidRDefault="00543F26">
      <w:pPr>
        <w:spacing w:line="259" w:lineRule="auto"/>
      </w:pPr>
      <w:r w:rsidRPr="003C0E2F">
        <w:br w:type="page"/>
      </w:r>
    </w:p>
    <w:p w14:paraId="0BC46B14" w14:textId="3CE6AE6E" w:rsidR="00D3097F" w:rsidRPr="003C0E2F" w:rsidRDefault="00D3097F" w:rsidP="00F80EA4">
      <w:pPr>
        <w:pStyle w:val="Heading3"/>
      </w:pPr>
      <w:bookmarkStart w:id="287" w:name="_Toc38543292"/>
      <w:bookmarkStart w:id="288" w:name="_Toc80013765"/>
      <w:bookmarkStart w:id="289" w:name="_Toc82882385"/>
      <w:r w:rsidRPr="003C0E2F">
        <w:lastRenderedPageBreak/>
        <w:t>FP7 and FP7 derivatives do not negatively impact THP</w:t>
      </w:r>
      <w:r w:rsidR="00EA59F2" w:rsidRPr="003C0E2F">
        <w:t>-</w:t>
      </w:r>
      <w:r w:rsidRPr="003C0E2F">
        <w:t xml:space="preserve">1 human </w:t>
      </w:r>
      <w:r w:rsidR="008F561F" w:rsidRPr="003C0E2F">
        <w:t>monocyte</w:t>
      </w:r>
      <w:r w:rsidRPr="003C0E2F">
        <w:t xml:space="preserve"> or </w:t>
      </w:r>
      <w:r w:rsidR="008F561F" w:rsidRPr="003C0E2F">
        <w:t>macrophage</w:t>
      </w:r>
      <w:r w:rsidRPr="003C0E2F">
        <w:t xml:space="preserve"> cell viability</w:t>
      </w:r>
      <w:bookmarkEnd w:id="287"/>
      <w:bookmarkEnd w:id="288"/>
      <w:bookmarkEnd w:id="289"/>
    </w:p>
    <w:p w14:paraId="6BFF84A6" w14:textId="7147EC29" w:rsidR="00F757DA" w:rsidRPr="003C0E2F" w:rsidRDefault="00F757DA" w:rsidP="00F757DA">
      <w:pPr>
        <w:pStyle w:val="NoSpacing"/>
        <w:rPr>
          <w:rFonts w:asciiTheme="minorHAnsi" w:eastAsiaTheme="minorEastAsia" w:hAnsiTheme="minorHAnsi" w:cstheme="minorBidi"/>
          <w:i w:val="0"/>
          <w:lang w:eastAsia="ja-JP"/>
        </w:rPr>
      </w:pPr>
      <w:r w:rsidRPr="003C0E2F">
        <w:rPr>
          <w:rFonts w:asciiTheme="minorHAnsi" w:eastAsiaTheme="minorEastAsia" w:hAnsiTheme="minorHAnsi" w:cstheme="minorBidi"/>
          <w:i w:val="0"/>
          <w:lang w:eastAsia="ja-JP"/>
        </w:rPr>
        <w:t xml:space="preserve">THP-1 </w:t>
      </w:r>
      <w:r w:rsidR="008F561F" w:rsidRPr="003C0E2F">
        <w:rPr>
          <w:rFonts w:asciiTheme="minorHAnsi" w:eastAsiaTheme="minorEastAsia" w:hAnsiTheme="minorHAnsi" w:cstheme="minorBidi"/>
          <w:i w:val="0"/>
          <w:lang w:eastAsia="ja-JP"/>
        </w:rPr>
        <w:t>monocyte</w:t>
      </w:r>
      <w:r w:rsidRPr="003C0E2F">
        <w:rPr>
          <w:rFonts w:asciiTheme="minorHAnsi" w:eastAsiaTheme="minorEastAsia" w:hAnsiTheme="minorHAnsi" w:cstheme="minorBidi"/>
          <w:i w:val="0"/>
          <w:lang w:eastAsia="ja-JP"/>
        </w:rPr>
        <w:t xml:space="preserve">s were selected for initial screening experiments involving FP compounds. An initial assessment was necessary to evaluate any possible toxicity of compounds within each system. To determine the </w:t>
      </w:r>
      <w:r w:rsidR="008F561F" w:rsidRPr="003C0E2F">
        <w:rPr>
          <w:rFonts w:asciiTheme="minorHAnsi" w:eastAsiaTheme="minorEastAsia" w:hAnsiTheme="minorHAnsi" w:cstheme="minorBidi"/>
          <w:i w:val="0"/>
          <w:lang w:eastAsia="ja-JP"/>
        </w:rPr>
        <w:t>effect</w:t>
      </w:r>
      <w:r w:rsidRPr="003C0E2F">
        <w:rPr>
          <w:rFonts w:asciiTheme="minorHAnsi" w:eastAsiaTheme="minorEastAsia" w:hAnsiTheme="minorHAnsi" w:cstheme="minorBidi"/>
          <w:i w:val="0"/>
          <w:lang w:eastAsia="ja-JP"/>
        </w:rPr>
        <w:t xml:space="preserve"> of FP7 on viability of THP-1 </w:t>
      </w:r>
      <w:r w:rsidR="008F561F" w:rsidRPr="003C0E2F">
        <w:rPr>
          <w:rFonts w:asciiTheme="minorHAnsi" w:eastAsiaTheme="minorEastAsia" w:hAnsiTheme="minorHAnsi" w:cstheme="minorBidi"/>
          <w:i w:val="0"/>
          <w:lang w:eastAsia="ja-JP"/>
        </w:rPr>
        <w:t>monocyte</w:t>
      </w:r>
      <w:r w:rsidRPr="003C0E2F">
        <w:rPr>
          <w:rFonts w:asciiTheme="minorHAnsi" w:eastAsiaTheme="minorEastAsia" w:hAnsiTheme="minorHAnsi" w:cstheme="minorBidi"/>
          <w:i w:val="0"/>
          <w:lang w:eastAsia="ja-JP"/>
        </w:rPr>
        <w:t xml:space="preserve">s and </w:t>
      </w:r>
      <w:r w:rsidR="008F561F" w:rsidRPr="003C0E2F">
        <w:rPr>
          <w:rFonts w:asciiTheme="minorHAnsi" w:eastAsiaTheme="minorEastAsia" w:hAnsiTheme="minorHAnsi" w:cstheme="minorBidi"/>
          <w:i w:val="0"/>
          <w:lang w:eastAsia="ja-JP"/>
        </w:rPr>
        <w:t>macrophage</w:t>
      </w:r>
      <w:r w:rsidRPr="003C0E2F">
        <w:rPr>
          <w:rFonts w:asciiTheme="minorHAnsi" w:eastAsiaTheme="minorEastAsia" w:hAnsiTheme="minorHAnsi" w:cstheme="minorBidi"/>
          <w:i w:val="0"/>
          <w:lang w:eastAsia="ja-JP"/>
        </w:rPr>
        <w:t xml:space="preserve">s an MTT assay was carried out (Figure </w:t>
      </w:r>
      <w:r w:rsidR="001F17A7" w:rsidRPr="003C0E2F">
        <w:rPr>
          <w:rFonts w:asciiTheme="minorHAnsi" w:eastAsiaTheme="minorEastAsia" w:hAnsiTheme="minorHAnsi" w:cstheme="minorBidi"/>
          <w:i w:val="0"/>
          <w:lang w:eastAsia="ja-JP"/>
        </w:rPr>
        <w:t>12</w:t>
      </w:r>
      <w:r w:rsidRPr="003C0E2F">
        <w:rPr>
          <w:rFonts w:asciiTheme="minorHAnsi" w:eastAsiaTheme="minorEastAsia" w:hAnsiTheme="minorHAnsi" w:cstheme="minorBidi"/>
          <w:i w:val="0"/>
          <w:lang w:eastAsia="ja-JP"/>
        </w:rPr>
        <w:t xml:space="preserve">). </w:t>
      </w:r>
    </w:p>
    <w:p w14:paraId="2405507B" w14:textId="01C1F9DF" w:rsidR="00D3097F" w:rsidRPr="003C0E2F" w:rsidRDefault="00F757DA" w:rsidP="00F757DA">
      <w:pPr>
        <w:pStyle w:val="NoSpacing"/>
        <w:rPr>
          <w:rFonts w:asciiTheme="minorHAnsi" w:eastAsiaTheme="minorEastAsia" w:hAnsiTheme="minorHAnsi" w:cstheme="minorBidi"/>
          <w:i w:val="0"/>
          <w:lang w:eastAsia="ja-JP"/>
        </w:rPr>
      </w:pPr>
      <w:r w:rsidRPr="003C0E2F">
        <w:rPr>
          <w:rFonts w:asciiTheme="minorHAnsi" w:eastAsiaTheme="minorEastAsia" w:hAnsiTheme="minorHAnsi" w:cstheme="minorBidi"/>
          <w:i w:val="0"/>
          <w:lang w:eastAsia="ja-JP"/>
        </w:rPr>
        <w:t xml:space="preserve">MTT Assay results suggested there was no significant reduction in cell viability after exposure to FP7 or derivatives up to 10 µM for each derivative in THP-1 </w:t>
      </w:r>
      <w:r w:rsidR="008F561F" w:rsidRPr="003C0E2F">
        <w:rPr>
          <w:rFonts w:asciiTheme="minorHAnsi" w:eastAsiaTheme="minorEastAsia" w:hAnsiTheme="minorHAnsi" w:cstheme="minorBidi"/>
          <w:i w:val="0"/>
          <w:lang w:eastAsia="ja-JP"/>
        </w:rPr>
        <w:t>monocyte</w:t>
      </w:r>
      <w:r w:rsidRPr="003C0E2F">
        <w:rPr>
          <w:rFonts w:asciiTheme="minorHAnsi" w:eastAsiaTheme="minorEastAsia" w:hAnsiTheme="minorHAnsi" w:cstheme="minorBidi"/>
          <w:i w:val="0"/>
          <w:lang w:eastAsia="ja-JP"/>
        </w:rPr>
        <w:t xml:space="preserve">s. From these results, it was determined than that FP7 and derivatives were safe for use in THP-1 </w:t>
      </w:r>
      <w:r w:rsidR="008F561F" w:rsidRPr="003C0E2F">
        <w:rPr>
          <w:rFonts w:asciiTheme="minorHAnsi" w:eastAsiaTheme="minorEastAsia" w:hAnsiTheme="minorHAnsi" w:cstheme="minorBidi"/>
          <w:i w:val="0"/>
          <w:lang w:eastAsia="ja-JP"/>
        </w:rPr>
        <w:t>monocyte</w:t>
      </w:r>
      <w:r w:rsidRPr="003C0E2F">
        <w:rPr>
          <w:rFonts w:asciiTheme="minorHAnsi" w:eastAsiaTheme="minorEastAsia" w:hAnsiTheme="minorHAnsi" w:cstheme="minorBidi"/>
          <w:i w:val="0"/>
          <w:lang w:eastAsia="ja-JP"/>
        </w:rPr>
        <w:t>s up to the maximum testes. A safe range of 0-10 µM was accepted as suitable for use in further experiments.</w:t>
      </w:r>
    </w:p>
    <w:p w14:paraId="32D478CC" w14:textId="4E472ED0" w:rsidR="00543F26" w:rsidRPr="003C0E2F" w:rsidRDefault="00543F26" w:rsidP="00543F26">
      <w:r w:rsidRPr="003C0E2F">
        <w:t xml:space="preserve">For further investigation into the effects of FP compounds on TLR4 signalling, THP-1 Macrophages were utilised as a model system. In THP-1 macrophages FP7, FP12, FP11 and FP18 were all well tolerated up to 10μM concentrations (Figure </w:t>
      </w:r>
      <w:r w:rsidR="001F17A7" w:rsidRPr="003C0E2F">
        <w:t>13</w:t>
      </w:r>
      <w:r w:rsidRPr="003C0E2F">
        <w:t>). 0-10μM was therefore also acceptable for future experiments involving THP-1 macrophages.</w:t>
      </w:r>
    </w:p>
    <w:p w14:paraId="099BA34D" w14:textId="77777777" w:rsidR="00543F26" w:rsidRPr="003C0E2F" w:rsidRDefault="00543F26" w:rsidP="00F757DA">
      <w:pPr>
        <w:pStyle w:val="NoSpacing"/>
      </w:pPr>
    </w:p>
    <w:p w14:paraId="7AED36F4" w14:textId="48D43639" w:rsidR="00D3097F" w:rsidRPr="003C0E2F" w:rsidRDefault="00F93AFB" w:rsidP="00BE5236">
      <w:r w:rsidRPr="003C0E2F">
        <w:object w:dxaOrig="11935" w:dyaOrig="10903" w14:anchorId="1889B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8pt;height:417.6pt" o:ole="">
            <v:imagedata r:id="rId52" o:title=""/>
          </v:shape>
          <o:OLEObject Type="Embed" ProgID="Prism6.Document" ShapeID="_x0000_i1025" DrawAspect="Content" ObjectID="_1701584983" r:id="rId53"/>
        </w:object>
      </w:r>
    </w:p>
    <w:p w14:paraId="47C975E3" w14:textId="77777777" w:rsidR="00BF5029" w:rsidRPr="003C0E2F" w:rsidRDefault="00BF5029" w:rsidP="00E959C5">
      <w:pPr>
        <w:pStyle w:val="NoSpacing"/>
      </w:pPr>
      <w:bookmarkStart w:id="290" w:name="_Ref36730229"/>
      <w:bookmarkStart w:id="291" w:name="_Toc48514825"/>
      <w:bookmarkStart w:id="292" w:name="_Toc55583733"/>
      <w:bookmarkStart w:id="293" w:name="_Toc55584911"/>
      <w:bookmarkStart w:id="294" w:name="_Toc60584027"/>
    </w:p>
    <w:p w14:paraId="79621849" w14:textId="66218BF8" w:rsidR="00D3097F" w:rsidRPr="003C0E2F" w:rsidRDefault="00763D37" w:rsidP="00E959C5">
      <w:pPr>
        <w:pStyle w:val="NoSpacing"/>
        <w:rPr>
          <w:noProof/>
        </w:rPr>
      </w:pPr>
      <w:bookmarkStart w:id="295" w:name="_Toc60638145"/>
      <w:bookmarkStart w:id="296" w:name="_Toc60638865"/>
      <w:bookmarkStart w:id="297" w:name="_Toc63111999"/>
      <w:bookmarkStart w:id="298" w:name="_Toc63112216"/>
      <w:bookmarkStart w:id="299" w:name="_Toc63270356"/>
      <w:bookmarkStart w:id="300" w:name="_Toc64533223"/>
      <w:bookmarkStart w:id="301" w:name="_Toc64551770"/>
      <w:bookmarkStart w:id="302" w:name="_Toc80013814"/>
      <w:bookmarkStart w:id="303" w:name="_Toc82882953"/>
      <w:r w:rsidRPr="003C0E2F">
        <w:t>Figure</w:t>
      </w:r>
      <w:r w:rsidR="00D3097F" w:rsidRPr="003C0E2F">
        <w:t xml:space="preserve"> </w:t>
      </w:r>
      <w:r w:rsidR="00862981">
        <w:fldChar w:fldCharType="begin"/>
      </w:r>
      <w:r w:rsidR="00862981">
        <w:instrText xml:space="preserve"> SEQ Figure \* ARABIC </w:instrText>
      </w:r>
      <w:r w:rsidR="00862981">
        <w:fldChar w:fldCharType="separate"/>
      </w:r>
      <w:r w:rsidR="000F2276">
        <w:rPr>
          <w:noProof/>
        </w:rPr>
        <w:t>12</w:t>
      </w:r>
      <w:r w:rsidR="00862981">
        <w:rPr>
          <w:noProof/>
        </w:rPr>
        <w:fldChar w:fldCharType="end"/>
      </w:r>
      <w:bookmarkEnd w:id="290"/>
      <w:r w:rsidR="003273B5" w:rsidRPr="003C0E2F">
        <w:t xml:space="preserve">. </w:t>
      </w:r>
      <w:bookmarkStart w:id="304" w:name="_Hlk80822625"/>
      <w:r w:rsidR="003273B5" w:rsidRPr="003C0E2F">
        <w:t>The effect</w:t>
      </w:r>
      <w:bookmarkStart w:id="305" w:name="OLE_LINK2"/>
      <w:r w:rsidR="00D3097F" w:rsidRPr="003C0E2F">
        <w:t xml:space="preserve"> </w:t>
      </w:r>
      <w:r w:rsidR="00D3097F" w:rsidRPr="003C0E2F">
        <w:rPr>
          <w:bCs/>
        </w:rPr>
        <w:t xml:space="preserve">of </w:t>
      </w:r>
      <w:r w:rsidR="00BF0330" w:rsidRPr="003C0E2F">
        <w:rPr>
          <w:bCs/>
        </w:rPr>
        <w:t>FP series Lipid A mimetics</w:t>
      </w:r>
      <w:r w:rsidR="00D3097F" w:rsidRPr="003C0E2F">
        <w:rPr>
          <w:bCs/>
        </w:rPr>
        <w:t xml:space="preserve"> on THP-1 </w:t>
      </w:r>
      <w:r w:rsidR="00E10D61" w:rsidRPr="003C0E2F">
        <w:rPr>
          <w:bCs/>
        </w:rPr>
        <w:t>monocyte</w:t>
      </w:r>
      <w:r w:rsidR="00D3097F" w:rsidRPr="003C0E2F">
        <w:rPr>
          <w:bCs/>
        </w:rPr>
        <w:t xml:space="preserve"> viability</w:t>
      </w:r>
      <w:bookmarkEnd w:id="304"/>
      <w:r w:rsidR="00D3097F" w:rsidRPr="003C0E2F">
        <w:rPr>
          <w:bCs/>
        </w:rPr>
        <w:t xml:space="preserve">. </w:t>
      </w:r>
      <w:r w:rsidR="00D3097F" w:rsidRPr="003C0E2F">
        <w:t xml:space="preserve">Cells were treated with FP7 (0-20 </w:t>
      </w:r>
      <w:r w:rsidR="00D3097F" w:rsidRPr="003C0E2F">
        <w:rPr>
          <w:rFonts w:ascii="Calibri" w:hAnsi="Calibri" w:cs="Calibri"/>
        </w:rPr>
        <w:t>µ</w:t>
      </w:r>
      <w:r w:rsidR="00D3097F" w:rsidRPr="003C0E2F">
        <w:t xml:space="preserve">M) or 5 derived molecules (0-10 </w:t>
      </w:r>
      <w:r w:rsidR="00D3097F" w:rsidRPr="003C0E2F">
        <w:rPr>
          <w:rFonts w:ascii="Calibri" w:hAnsi="Calibri" w:cs="Calibri"/>
        </w:rPr>
        <w:t>µ</w:t>
      </w:r>
      <w:r w:rsidR="00D3097F" w:rsidRPr="003C0E2F">
        <w:t>M) in presence (grey) and absence (black) of LPS (100ng/ml).</w:t>
      </w:r>
      <w:r w:rsidR="00504096" w:rsidRPr="003C0E2F">
        <w:t xml:space="preserve"> </w:t>
      </w:r>
      <w:r w:rsidR="003C0E2F" w:rsidRPr="003C0E2F">
        <w:t>C</w:t>
      </w:r>
      <w:r w:rsidR="00504096" w:rsidRPr="003C0E2F">
        <w:t>ontrols</w:t>
      </w:r>
      <w:r w:rsidR="003C0E2F" w:rsidRPr="003C0E2F">
        <w:t xml:space="preserve"> (0)</w:t>
      </w:r>
      <w:r w:rsidR="00504096" w:rsidRPr="003C0E2F">
        <w:t xml:space="preserve"> were treated with vehicle only.</w:t>
      </w:r>
      <w:r w:rsidR="00D3097F" w:rsidRPr="003C0E2F">
        <w:t xml:space="preserve"> Plates were incubated overnight (18 hours) prior to addition of MTT reagent. Results are shown as mean +/- SD of 6 repeats expressed as a percentage relative to the control set. (0 µM/no drug) +/- SD of three separate treatments.  Statistical comparison between different groups was found to be non- significant.</w:t>
      </w:r>
      <w:r w:rsidR="00D3097F" w:rsidRPr="003C0E2F">
        <w:rPr>
          <w:noProof/>
        </w:rPr>
        <w:t xml:space="preserve"> </w:t>
      </w:r>
      <w:r w:rsidR="00D3097F" w:rsidRPr="003C0E2F">
        <w:rPr>
          <w:bCs/>
        </w:rPr>
        <w:t>(A) FP7 (B) FP11 (C) FP111 (D) FP10 (E) FP12 (F) FP116.</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5"/>
    </w:p>
    <w:p w14:paraId="434AAD38" w14:textId="77777777" w:rsidR="00D3097F" w:rsidRPr="003C0E2F" w:rsidRDefault="00D3097F" w:rsidP="00BE5236"/>
    <w:p w14:paraId="76C94713" w14:textId="63F95EFF" w:rsidR="00D3097F" w:rsidRPr="003C0E2F" w:rsidRDefault="00F93AFB" w:rsidP="00BE5236">
      <w:r w:rsidRPr="003C0E2F">
        <w:rPr>
          <w:noProof/>
        </w:rPr>
        <w:lastRenderedPageBreak/>
        <w:drawing>
          <wp:inline distT="0" distB="0" distL="0" distR="0" wp14:anchorId="1BF29C8B" wp14:editId="0160EBC2">
            <wp:extent cx="6078461" cy="37623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83432" cy="3765452"/>
                    </a:xfrm>
                    <a:prstGeom prst="rect">
                      <a:avLst/>
                    </a:prstGeom>
                    <a:noFill/>
                    <a:ln>
                      <a:noFill/>
                    </a:ln>
                  </pic:spPr>
                </pic:pic>
              </a:graphicData>
            </a:graphic>
          </wp:inline>
        </w:drawing>
      </w:r>
    </w:p>
    <w:p w14:paraId="5378C6D1" w14:textId="77777777" w:rsidR="00BF5029" w:rsidRPr="003C0E2F" w:rsidRDefault="00BF5029" w:rsidP="00E959C5">
      <w:pPr>
        <w:pStyle w:val="NoSpacing"/>
      </w:pPr>
      <w:bookmarkStart w:id="306" w:name="_Ref36740938"/>
      <w:bookmarkStart w:id="307" w:name="_Toc48514826"/>
      <w:bookmarkStart w:id="308" w:name="_Toc55583734"/>
      <w:bookmarkStart w:id="309" w:name="_Toc55584912"/>
      <w:bookmarkStart w:id="310" w:name="_Toc60584028"/>
    </w:p>
    <w:p w14:paraId="22B88A08" w14:textId="3ECE0205" w:rsidR="00543F26" w:rsidRPr="003C0E2F" w:rsidRDefault="00763D37" w:rsidP="00E959C5">
      <w:pPr>
        <w:pStyle w:val="NoSpacing"/>
      </w:pPr>
      <w:bookmarkStart w:id="311" w:name="_Toc60638146"/>
      <w:bookmarkStart w:id="312" w:name="_Toc60638866"/>
      <w:bookmarkStart w:id="313" w:name="_Toc63112000"/>
      <w:bookmarkStart w:id="314" w:name="_Toc63112217"/>
      <w:bookmarkStart w:id="315" w:name="_Toc63270357"/>
      <w:bookmarkStart w:id="316" w:name="_Toc64533224"/>
      <w:bookmarkStart w:id="317" w:name="_Toc64551771"/>
      <w:bookmarkStart w:id="318" w:name="_Toc80013815"/>
      <w:bookmarkStart w:id="319" w:name="_Toc82882954"/>
      <w:r w:rsidRPr="003C0E2F">
        <w:t>Figure</w:t>
      </w:r>
      <w:r w:rsidR="00D3097F" w:rsidRPr="003C0E2F">
        <w:t xml:space="preserve"> </w:t>
      </w:r>
      <w:r w:rsidR="00862981">
        <w:fldChar w:fldCharType="begin"/>
      </w:r>
      <w:r w:rsidR="00862981">
        <w:instrText xml:space="preserve"> SEQ Figure \* ARABIC </w:instrText>
      </w:r>
      <w:r w:rsidR="00862981">
        <w:fldChar w:fldCharType="separate"/>
      </w:r>
      <w:r w:rsidR="000F2276">
        <w:rPr>
          <w:noProof/>
        </w:rPr>
        <w:t>13</w:t>
      </w:r>
      <w:r w:rsidR="00862981">
        <w:rPr>
          <w:noProof/>
        </w:rPr>
        <w:fldChar w:fldCharType="end"/>
      </w:r>
      <w:bookmarkEnd w:id="306"/>
      <w:r w:rsidR="003273B5" w:rsidRPr="003C0E2F">
        <w:t xml:space="preserve">. </w:t>
      </w:r>
      <w:r w:rsidR="00E10D61" w:rsidRPr="003C0E2F">
        <w:t xml:space="preserve">The effect </w:t>
      </w:r>
      <w:r w:rsidR="00E10D61" w:rsidRPr="003C0E2F">
        <w:rPr>
          <w:bCs/>
        </w:rPr>
        <w:t>of FP series Lipid A mimetics on THP-1 macrophage viability</w:t>
      </w:r>
      <w:r w:rsidR="00D3097F" w:rsidRPr="003C0E2F">
        <w:t>. Cells were treated with FPF, FP12, FP11 or FP18 (0-10 µM) in presence (grey) and absence (black) of LPS (100ng/ml).</w:t>
      </w:r>
      <w:r w:rsidR="00504096" w:rsidRPr="003C0E2F">
        <w:t xml:space="preserve"> </w:t>
      </w:r>
      <w:r w:rsidR="003C0E2F" w:rsidRPr="003C0E2F">
        <w:t>C</w:t>
      </w:r>
      <w:r w:rsidR="00504096" w:rsidRPr="003C0E2F">
        <w:t>ontrols</w:t>
      </w:r>
      <w:r w:rsidR="003C0E2F" w:rsidRPr="003C0E2F">
        <w:t xml:space="preserve"> (0)</w:t>
      </w:r>
      <w:r w:rsidR="00504096" w:rsidRPr="003C0E2F">
        <w:t xml:space="preserve"> were treated with vehicle only. </w:t>
      </w:r>
      <w:r w:rsidR="00D3097F" w:rsidRPr="003C0E2F">
        <w:t>Plates were incubated overnight (18 hours) prior to addition of MTT reagent. Results are shown as mean +/- SD of 6 repeats expressed as a percentage relative to the control set. (0 µM/no drug) +/- SD of three separate treatments.  Statistical comparison between different groups was found to be non- significant. (A) FP7 (B) FP12 (C) FP11 (D) FP18.</w:t>
      </w:r>
      <w:bookmarkEnd w:id="307"/>
      <w:bookmarkEnd w:id="308"/>
      <w:bookmarkEnd w:id="309"/>
      <w:bookmarkEnd w:id="310"/>
      <w:bookmarkEnd w:id="311"/>
      <w:bookmarkEnd w:id="312"/>
      <w:bookmarkEnd w:id="313"/>
      <w:bookmarkEnd w:id="314"/>
      <w:bookmarkEnd w:id="315"/>
      <w:bookmarkEnd w:id="316"/>
      <w:bookmarkEnd w:id="317"/>
      <w:bookmarkEnd w:id="318"/>
      <w:bookmarkEnd w:id="319"/>
    </w:p>
    <w:p w14:paraId="5CD5E268" w14:textId="77777777" w:rsidR="00543F26" w:rsidRPr="003C0E2F" w:rsidRDefault="00543F26">
      <w:pPr>
        <w:spacing w:line="259" w:lineRule="auto"/>
        <w:rPr>
          <w:rFonts w:asciiTheme="majorHAnsi" w:eastAsiaTheme="minorHAnsi" w:hAnsiTheme="majorHAnsi" w:cstheme="majorHAnsi"/>
          <w:i/>
          <w:lang w:eastAsia="en-US"/>
        </w:rPr>
      </w:pPr>
      <w:r w:rsidRPr="003C0E2F">
        <w:br w:type="page"/>
      </w:r>
    </w:p>
    <w:p w14:paraId="796542FD" w14:textId="54A215C1" w:rsidR="00D3097F" w:rsidRPr="003C0E2F" w:rsidRDefault="00D65A5F" w:rsidP="00D55B0E">
      <w:pPr>
        <w:pStyle w:val="Heading3"/>
      </w:pPr>
      <w:bookmarkStart w:id="320" w:name="_Toc38543293"/>
      <w:r w:rsidRPr="003C0E2F">
        <w:lastRenderedPageBreak/>
        <w:t xml:space="preserve"> </w:t>
      </w:r>
      <w:bookmarkStart w:id="321" w:name="_Toc80013766"/>
      <w:bookmarkStart w:id="322" w:name="_Toc82882386"/>
      <w:r w:rsidR="00D3097F" w:rsidRPr="003C0E2F">
        <w:t xml:space="preserve">Differential </w:t>
      </w:r>
      <w:r w:rsidR="008F561F" w:rsidRPr="003C0E2F">
        <w:t>effect</w:t>
      </w:r>
      <w:r w:rsidR="00D3097F" w:rsidRPr="003C0E2F">
        <w:t>s of FP7 derivatives on TLR4-</w:t>
      </w:r>
      <w:r w:rsidR="009E0322" w:rsidRPr="003C0E2F">
        <w:t>dependent</w:t>
      </w:r>
      <w:r w:rsidR="00D3097F" w:rsidRPr="003C0E2F">
        <w:t xml:space="preserve"> IL-8 production in THP-1 </w:t>
      </w:r>
      <w:r w:rsidR="008F561F" w:rsidRPr="003C0E2F">
        <w:t>monocyte</w:t>
      </w:r>
      <w:r w:rsidR="00D3097F" w:rsidRPr="003C0E2F">
        <w:t>s</w:t>
      </w:r>
      <w:bookmarkEnd w:id="320"/>
      <w:bookmarkEnd w:id="321"/>
      <w:bookmarkEnd w:id="322"/>
      <w:r w:rsidR="00D3097F" w:rsidRPr="003C0E2F">
        <w:tab/>
      </w:r>
    </w:p>
    <w:p w14:paraId="41AF75EE" w14:textId="069BA93F" w:rsidR="00D3097F" w:rsidRPr="003C0E2F" w:rsidRDefault="00F757DA" w:rsidP="00F757DA">
      <w:r w:rsidRPr="003C0E2F">
        <w:t xml:space="preserve">FP7 derivatives were screened using for </w:t>
      </w:r>
      <w:r w:rsidR="008F561F" w:rsidRPr="003C0E2F">
        <w:t>effect</w:t>
      </w:r>
      <w:r w:rsidRPr="003C0E2F">
        <w:t>s on TLR4</w:t>
      </w:r>
      <w:r w:rsidR="00A9277D" w:rsidRPr="003C0E2F">
        <w:t>-</w:t>
      </w:r>
      <w:r w:rsidR="009E0322" w:rsidRPr="003C0E2F">
        <w:t>dependent</w:t>
      </w:r>
      <w:r w:rsidRPr="003C0E2F">
        <w:t xml:space="preserve"> IL-8 production in THP-1 </w:t>
      </w:r>
      <w:r w:rsidR="008F561F" w:rsidRPr="003C0E2F">
        <w:t>monocyte</w:t>
      </w:r>
      <w:r w:rsidRPr="003C0E2F">
        <w:t xml:space="preserve">s </w:t>
      </w:r>
      <w:proofErr w:type="gramStart"/>
      <w:r w:rsidRPr="003C0E2F">
        <w:t>in order to</w:t>
      </w:r>
      <w:proofErr w:type="gramEnd"/>
      <w:r w:rsidRPr="003C0E2F">
        <w:t xml:space="preserve"> select potential antagonists to use further in this project. Preliminary data based on </w:t>
      </w:r>
      <w:r w:rsidRPr="003C0E2F">
        <w:rPr>
          <w:i/>
          <w:iCs/>
        </w:rPr>
        <w:t>in silico</w:t>
      </w:r>
      <w:r w:rsidRPr="003C0E2F">
        <w:t xml:space="preserve"> analysis obtained from collaborator Professor Peri suggested FP10, FP12 and FP116 may have antagonistic properties, while FP11 and FP111 were expected to act as agonists of the receptor.</w:t>
      </w:r>
      <w:r w:rsidR="00E30E30" w:rsidRPr="003C0E2F">
        <w:object w:dxaOrig="11251" w:dyaOrig="7740" w14:anchorId="14E58D63">
          <v:shape id="_x0000_i1026" type="#_x0000_t75" style="width:454.2pt;height:309.6pt" o:ole="">
            <v:imagedata r:id="rId55" o:title=""/>
          </v:shape>
          <o:OLEObject Type="Embed" ProgID="Prism6.Document" ShapeID="_x0000_i1026" DrawAspect="Content" ObjectID="_1701584984" r:id="rId56"/>
        </w:object>
      </w:r>
      <w:bookmarkStart w:id="323" w:name="_Ref36747463"/>
    </w:p>
    <w:p w14:paraId="034BF7BE" w14:textId="21F4BDB3" w:rsidR="00D3097F" w:rsidRPr="003C0E2F" w:rsidRDefault="00763D37" w:rsidP="00BE5236">
      <w:pPr>
        <w:rPr>
          <w:rStyle w:val="NoSpacingChar"/>
        </w:rPr>
      </w:pPr>
      <w:bookmarkStart w:id="324" w:name="_Toc48514827"/>
      <w:bookmarkStart w:id="325" w:name="_Toc55583735"/>
      <w:bookmarkStart w:id="326" w:name="_Toc55584913"/>
      <w:bookmarkStart w:id="327" w:name="_Toc60584029"/>
      <w:bookmarkStart w:id="328" w:name="_Toc60638147"/>
      <w:bookmarkStart w:id="329" w:name="_Toc60638867"/>
      <w:bookmarkStart w:id="330" w:name="_Toc63112001"/>
      <w:bookmarkStart w:id="331" w:name="_Toc63112218"/>
      <w:bookmarkStart w:id="332" w:name="_Toc63270358"/>
      <w:bookmarkStart w:id="333" w:name="_Toc64533225"/>
      <w:bookmarkStart w:id="334" w:name="_Toc64551772"/>
      <w:bookmarkStart w:id="335" w:name="_Toc80013816"/>
      <w:bookmarkStart w:id="336" w:name="_Toc82882955"/>
      <w:r w:rsidRPr="003C0E2F">
        <w:rPr>
          <w:rStyle w:val="NoSpacingChar"/>
        </w:rPr>
        <w:t>Figure</w:t>
      </w:r>
      <w:r w:rsidR="00D3097F" w:rsidRPr="003C0E2F">
        <w:rPr>
          <w:rStyle w:val="NoSpacingChar"/>
        </w:rPr>
        <w:t xml:space="preserve"> </w:t>
      </w:r>
      <w:r w:rsidR="00D3097F" w:rsidRPr="003C0E2F">
        <w:rPr>
          <w:rStyle w:val="NoSpacingChar"/>
        </w:rPr>
        <w:fldChar w:fldCharType="begin"/>
      </w:r>
      <w:r w:rsidR="00D3097F" w:rsidRPr="003C0E2F">
        <w:rPr>
          <w:rStyle w:val="NoSpacingChar"/>
        </w:rPr>
        <w:instrText xml:space="preserve"> SEQ Figure \* ARABIC </w:instrText>
      </w:r>
      <w:r w:rsidR="00D3097F" w:rsidRPr="003C0E2F">
        <w:rPr>
          <w:rStyle w:val="NoSpacingChar"/>
        </w:rPr>
        <w:fldChar w:fldCharType="separate"/>
      </w:r>
      <w:r w:rsidR="000F2276">
        <w:rPr>
          <w:rStyle w:val="NoSpacingChar"/>
          <w:noProof/>
        </w:rPr>
        <w:t>14</w:t>
      </w:r>
      <w:r w:rsidR="00D3097F" w:rsidRPr="003C0E2F">
        <w:rPr>
          <w:rStyle w:val="NoSpacingChar"/>
        </w:rPr>
        <w:fldChar w:fldCharType="end"/>
      </w:r>
      <w:bookmarkEnd w:id="323"/>
      <w:r w:rsidR="003273B5" w:rsidRPr="003C0E2F">
        <w:rPr>
          <w:rStyle w:val="NoSpacingChar"/>
        </w:rPr>
        <w:t>. The effect</w:t>
      </w:r>
      <w:bookmarkStart w:id="337" w:name="_Hlk36747044"/>
      <w:r w:rsidR="00D3097F" w:rsidRPr="003C0E2F">
        <w:rPr>
          <w:rStyle w:val="NoSpacingChar"/>
        </w:rPr>
        <w:t xml:space="preserve"> of FP7 (A), FP10 (B), FP12 (C) and FP116 (D) on IL-8 </w:t>
      </w:r>
      <w:r w:rsidR="00395C63" w:rsidRPr="003C0E2F">
        <w:rPr>
          <w:rStyle w:val="NoSpacingChar"/>
        </w:rPr>
        <w:t>p</w:t>
      </w:r>
      <w:r w:rsidR="00D3097F" w:rsidRPr="003C0E2F">
        <w:rPr>
          <w:rStyle w:val="NoSpacingChar"/>
        </w:rPr>
        <w:t xml:space="preserve">roduction in THP-1 </w:t>
      </w:r>
      <w:r w:rsidR="00395C63" w:rsidRPr="003C0E2F">
        <w:rPr>
          <w:rStyle w:val="NoSpacingChar"/>
        </w:rPr>
        <w:t>m</w:t>
      </w:r>
      <w:r w:rsidR="008F561F" w:rsidRPr="003C0E2F">
        <w:rPr>
          <w:rStyle w:val="NoSpacingChar"/>
        </w:rPr>
        <w:t>onocyte</w:t>
      </w:r>
      <w:r w:rsidR="00D3097F" w:rsidRPr="003C0E2F">
        <w:rPr>
          <w:rStyle w:val="NoSpacingChar"/>
        </w:rPr>
        <w:t xml:space="preserve">s. </w:t>
      </w:r>
      <w:bookmarkEnd w:id="337"/>
      <w:r w:rsidR="00D3097F" w:rsidRPr="003C0E2F">
        <w:rPr>
          <w:rStyle w:val="NoSpacingChar"/>
        </w:rPr>
        <w:t>Cells were pre-treated with FP7, FP10, FP12 or FP116 (0-10µM) for 1 hour prior to exposure to LPS (100ng/ml).</w:t>
      </w:r>
      <w:r w:rsidR="00F01D38" w:rsidRPr="003C0E2F">
        <w:rPr>
          <w:rStyle w:val="NoSpacingChar"/>
        </w:rPr>
        <w:t xml:space="preserve"> </w:t>
      </w:r>
      <w:r w:rsidR="00BD3E38" w:rsidRPr="003C0E2F">
        <w:rPr>
          <w:rStyle w:val="NoSpacingChar"/>
        </w:rPr>
        <w:t>Untreated control</w:t>
      </w:r>
      <w:r w:rsidR="00504096" w:rsidRPr="003C0E2F">
        <w:rPr>
          <w:rStyle w:val="NoSpacingChar"/>
        </w:rPr>
        <w:t xml:space="preserve"> </w:t>
      </w:r>
      <w:r w:rsidR="00A2094F" w:rsidRPr="003C0E2F">
        <w:rPr>
          <w:rStyle w:val="NoSpacingChar"/>
        </w:rPr>
        <w:t>(-)</w:t>
      </w:r>
      <w:r w:rsidR="00BD3E38" w:rsidRPr="003C0E2F">
        <w:rPr>
          <w:rStyle w:val="NoSpacingChar"/>
        </w:rPr>
        <w:t xml:space="preserve"> is with vehicle only. </w:t>
      </w:r>
      <w:r w:rsidR="00D3097F" w:rsidRPr="003C0E2F">
        <w:rPr>
          <w:rStyle w:val="NoSpacingChar"/>
        </w:rPr>
        <w:t xml:space="preserve">Culture medium was collected after 18 </w:t>
      </w:r>
      <w:proofErr w:type="gramStart"/>
      <w:r w:rsidR="00D3097F" w:rsidRPr="003C0E2F">
        <w:rPr>
          <w:rStyle w:val="NoSpacingChar"/>
        </w:rPr>
        <w:t>hours</w:t>
      </w:r>
      <w:proofErr w:type="gramEnd"/>
      <w:r w:rsidR="00D3097F" w:rsidRPr="003C0E2F">
        <w:rPr>
          <w:rStyle w:val="NoSpacingChar"/>
        </w:rPr>
        <w:t xml:space="preserve"> and IL-8 production was measured via ELISA. Results are shown as mean ±SD of three separate treatments. Statistically significant results indicated as *** P&lt;0.001 ** P&lt;0.01 *P&lt;0.05 for control vs LPS and LPS vs LPS+FP treated samples.</w:t>
      </w:r>
      <w:bookmarkEnd w:id="324"/>
      <w:bookmarkEnd w:id="325"/>
      <w:bookmarkEnd w:id="326"/>
      <w:bookmarkEnd w:id="327"/>
      <w:bookmarkEnd w:id="328"/>
      <w:bookmarkEnd w:id="329"/>
      <w:bookmarkEnd w:id="330"/>
      <w:bookmarkEnd w:id="331"/>
      <w:bookmarkEnd w:id="332"/>
      <w:bookmarkEnd w:id="333"/>
      <w:bookmarkEnd w:id="334"/>
      <w:bookmarkEnd w:id="335"/>
      <w:bookmarkEnd w:id="336"/>
      <w:r w:rsidR="00F01D38" w:rsidRPr="003C0E2F">
        <w:rPr>
          <w:rStyle w:val="NoSpacingChar"/>
        </w:rPr>
        <w:t xml:space="preserve"> </w:t>
      </w:r>
    </w:p>
    <w:p w14:paraId="63F98BB4" w14:textId="23D47CF3" w:rsidR="00F757DA" w:rsidRPr="003C0E2F" w:rsidRDefault="00F757DA" w:rsidP="00F757DA">
      <w:bookmarkStart w:id="338" w:name="_Hlk80832357"/>
      <w:r w:rsidRPr="003C0E2F">
        <w:lastRenderedPageBreak/>
        <w:t>FP7 demonstrated a dose-</w:t>
      </w:r>
      <w:r w:rsidR="009E0322" w:rsidRPr="003C0E2F">
        <w:t>dependent</w:t>
      </w:r>
      <w:r w:rsidRPr="003C0E2F">
        <w:t xml:space="preserve"> </w:t>
      </w:r>
      <w:r w:rsidR="008F561F" w:rsidRPr="003C0E2F">
        <w:t>effect</w:t>
      </w:r>
      <w:r w:rsidRPr="003C0E2F">
        <w:t xml:space="preserve"> on IL-8 production (Figure 14a) with 10µM FP7 downregulating IL-8 production to levels comparable to the control</w:t>
      </w:r>
      <w:r w:rsidR="00BB2D8D" w:rsidRPr="003C0E2F">
        <w:t xml:space="preserve"> and IC50 of approximately 3</w:t>
      </w:r>
      <w:r w:rsidR="00BB2D8D" w:rsidRPr="003C0E2F">
        <w:rPr>
          <w:rFonts w:cstheme="minorHAnsi"/>
        </w:rPr>
        <w:t>μ</w:t>
      </w:r>
      <w:r w:rsidR="00BB2D8D" w:rsidRPr="003C0E2F">
        <w:t>M</w:t>
      </w:r>
      <w:r w:rsidRPr="003C0E2F">
        <w:t>. FP10 and FP12 (Figure 14</w:t>
      </w:r>
      <w:r w:rsidR="00D87DF9" w:rsidRPr="003C0E2F">
        <w:t>B</w:t>
      </w:r>
      <w:r w:rsidRPr="003C0E2F">
        <w:t xml:space="preserve"> and Figure 14</w:t>
      </w:r>
      <w:r w:rsidR="00D87DF9" w:rsidRPr="003C0E2F">
        <w:t>C</w:t>
      </w:r>
      <w:r w:rsidRPr="003C0E2F">
        <w:t xml:space="preserve">) both produced a similar, but less pronounced </w:t>
      </w:r>
      <w:r w:rsidR="008F561F" w:rsidRPr="003C0E2F">
        <w:t>effect</w:t>
      </w:r>
      <w:r w:rsidRPr="003C0E2F">
        <w:t xml:space="preserve"> on IL-8 production.</w:t>
      </w:r>
      <w:r w:rsidR="00BB2D8D" w:rsidRPr="003C0E2F">
        <w:t xml:space="preserve"> However, while FP12 has an IC50 around 8</w:t>
      </w:r>
      <w:r w:rsidR="00BB2D8D" w:rsidRPr="003C0E2F">
        <w:rPr>
          <w:rFonts w:cstheme="minorHAnsi"/>
        </w:rPr>
        <w:t>μ</w:t>
      </w:r>
      <w:r w:rsidR="00BB2D8D" w:rsidRPr="003C0E2F">
        <w:t>M, FP10 is &gt;10</w:t>
      </w:r>
      <w:r w:rsidR="00BB2D8D" w:rsidRPr="003C0E2F">
        <w:rPr>
          <w:rFonts w:cstheme="minorHAnsi"/>
        </w:rPr>
        <w:t>μ</w:t>
      </w:r>
      <w:r w:rsidR="00BB2D8D" w:rsidRPr="003C0E2F">
        <w:t>M.</w:t>
      </w:r>
      <w:r w:rsidRPr="003C0E2F">
        <w:t xml:space="preserve"> </w:t>
      </w:r>
      <w:bookmarkEnd w:id="338"/>
      <w:r w:rsidRPr="003C0E2F">
        <w:t>FP116 had no significant impact on IL-8 production</w:t>
      </w:r>
      <w:r w:rsidR="00BB2D8D" w:rsidRPr="003C0E2F">
        <w:t xml:space="preserve"> up to 10</w:t>
      </w:r>
      <w:r w:rsidR="00BB2D8D" w:rsidRPr="003C0E2F">
        <w:rPr>
          <w:rFonts w:cstheme="minorHAnsi"/>
        </w:rPr>
        <w:t>μM</w:t>
      </w:r>
      <w:r w:rsidRPr="003C0E2F">
        <w:t xml:space="preserve"> (Figure 14</w:t>
      </w:r>
      <w:r w:rsidR="00D87DF9" w:rsidRPr="003C0E2F">
        <w:t>D</w:t>
      </w:r>
      <w:r w:rsidRPr="003C0E2F">
        <w:t>)</w:t>
      </w:r>
      <w:r w:rsidR="003273B5" w:rsidRPr="003C0E2F">
        <w:t>. The effect</w:t>
      </w:r>
      <w:r w:rsidRPr="003C0E2F">
        <w:t xml:space="preserve"> was not as potent as for FP7 and was only significant at the highest concentration of 10µM. No significant </w:t>
      </w:r>
      <w:r w:rsidR="008F561F" w:rsidRPr="003C0E2F">
        <w:t>effect</w:t>
      </w:r>
      <w:r w:rsidRPr="003C0E2F">
        <w:t xml:space="preserve"> was seen for FP116 in THP-1 </w:t>
      </w:r>
      <w:r w:rsidR="008F561F" w:rsidRPr="003C0E2F">
        <w:t>monocyte</w:t>
      </w:r>
      <w:r w:rsidRPr="003C0E2F">
        <w:t xml:space="preserve">s. </w:t>
      </w:r>
      <w:bookmarkStart w:id="339" w:name="_Hlk80831978"/>
      <w:r w:rsidR="00BB2D8D" w:rsidRPr="003C0E2F">
        <w:t>FP7 and FP12 were shown to be more effective in downregulating IL-8 production than FP10 or FP116, for which the IC50 would be &gt;10</w:t>
      </w:r>
      <w:r w:rsidR="00BB2D8D" w:rsidRPr="003C0E2F">
        <w:rPr>
          <w:rFonts w:cstheme="minorHAnsi"/>
        </w:rPr>
        <w:t>μ</w:t>
      </w:r>
      <w:r w:rsidR="00BB2D8D" w:rsidRPr="003C0E2F">
        <w:t>M. Thus, FP7 and FP12 were</w:t>
      </w:r>
      <w:r w:rsidRPr="003C0E2F">
        <w:t xml:space="preserve"> selected for further investigation, while FP10 and FP116 were disregarded for the remainder of the project.</w:t>
      </w:r>
      <w:bookmarkEnd w:id="339"/>
    </w:p>
    <w:p w14:paraId="29CA2915" w14:textId="77777777" w:rsidR="00BB2D8D" w:rsidRPr="003C0E2F" w:rsidRDefault="00BB2D8D" w:rsidP="00F757DA"/>
    <w:p w14:paraId="74B9CD01" w14:textId="77777777" w:rsidR="00BB2D8D" w:rsidRPr="003C0E2F" w:rsidRDefault="00BB2D8D" w:rsidP="00BB2D8D">
      <w:r w:rsidRPr="003C0E2F">
        <w:object w:dxaOrig="11251" w:dyaOrig="4104" w14:anchorId="696C244F">
          <v:shape id="_x0000_i1027" type="#_x0000_t75" style="width:454.2pt;height:165.6pt" o:ole="">
            <v:imagedata r:id="rId57" o:title=""/>
          </v:shape>
          <o:OLEObject Type="Embed" ProgID="Prism6.Document" ShapeID="_x0000_i1027" DrawAspect="Content" ObjectID="_1701584985" r:id="rId58"/>
        </w:object>
      </w:r>
    </w:p>
    <w:p w14:paraId="16FA8532" w14:textId="73F0491E" w:rsidR="00BB2D8D" w:rsidRPr="003C0E2F" w:rsidRDefault="00BB2D8D" w:rsidP="00BB2D8D">
      <w:pPr>
        <w:pStyle w:val="NoSpacing"/>
        <w:rPr>
          <w:i w:val="0"/>
          <w:iCs/>
        </w:rPr>
      </w:pPr>
      <w:bookmarkStart w:id="340" w:name="_Ref36747652"/>
      <w:bookmarkStart w:id="341" w:name="_Toc48514828"/>
      <w:bookmarkStart w:id="342" w:name="_Toc55583736"/>
      <w:bookmarkStart w:id="343" w:name="_Toc55584914"/>
      <w:bookmarkStart w:id="344" w:name="_Toc60584030"/>
      <w:bookmarkStart w:id="345" w:name="_Toc60638148"/>
      <w:bookmarkStart w:id="346" w:name="_Toc60638868"/>
      <w:bookmarkStart w:id="347" w:name="_Toc63112002"/>
      <w:bookmarkStart w:id="348" w:name="_Toc63112219"/>
      <w:bookmarkStart w:id="349" w:name="_Toc63270359"/>
      <w:bookmarkStart w:id="350" w:name="_Toc64533226"/>
      <w:bookmarkStart w:id="351" w:name="_Toc64551773"/>
      <w:bookmarkStart w:id="352" w:name="_Toc80013817"/>
      <w:bookmarkStart w:id="353" w:name="_Toc82882956"/>
      <w:r w:rsidRPr="003C0E2F">
        <w:rPr>
          <w:i w:val="0"/>
          <w:iCs/>
        </w:rPr>
        <w:t xml:space="preserve">Figure </w:t>
      </w:r>
      <w:r w:rsidR="008A5744" w:rsidRPr="003C0E2F">
        <w:rPr>
          <w:i w:val="0"/>
          <w:iCs/>
        </w:rPr>
        <w:fldChar w:fldCharType="begin"/>
      </w:r>
      <w:r w:rsidR="008A5744" w:rsidRPr="003C0E2F">
        <w:rPr>
          <w:i w:val="0"/>
          <w:iCs/>
        </w:rPr>
        <w:instrText xml:space="preserve"> SEQ Figure \* ARABIC </w:instrText>
      </w:r>
      <w:r w:rsidR="008A5744" w:rsidRPr="003C0E2F">
        <w:rPr>
          <w:i w:val="0"/>
          <w:iCs/>
        </w:rPr>
        <w:fldChar w:fldCharType="separate"/>
      </w:r>
      <w:r w:rsidR="000F2276">
        <w:rPr>
          <w:i w:val="0"/>
          <w:iCs/>
          <w:noProof/>
        </w:rPr>
        <w:t>15</w:t>
      </w:r>
      <w:r w:rsidR="008A5744" w:rsidRPr="003C0E2F">
        <w:rPr>
          <w:i w:val="0"/>
          <w:iCs/>
          <w:noProof/>
        </w:rPr>
        <w:fldChar w:fldCharType="end"/>
      </w:r>
      <w:bookmarkEnd w:id="340"/>
      <w:r w:rsidRPr="003C0E2F">
        <w:rPr>
          <w:i w:val="0"/>
          <w:iCs/>
        </w:rPr>
        <w:t>. The effect</w:t>
      </w:r>
      <w:r w:rsidRPr="003C0E2F">
        <w:rPr>
          <w:bCs/>
          <w:i w:val="0"/>
          <w:iCs/>
        </w:rPr>
        <w:t xml:space="preserve"> of FP11 (A) and FP111 (B) on IL-8 production in THP-1 monocytes.</w:t>
      </w:r>
      <w:r w:rsidRPr="003C0E2F">
        <w:rPr>
          <w:i w:val="0"/>
          <w:iCs/>
        </w:rPr>
        <w:t xml:space="preserve"> Cells were pre-treated with FP11 or FP111 (0-10µM) for 1 hour prior to exposure to LPS (100ng/ml). </w:t>
      </w:r>
      <w:r w:rsidRPr="003C0E2F">
        <w:rPr>
          <w:rStyle w:val="NoSpacingChar"/>
          <w:i/>
          <w:iCs/>
        </w:rPr>
        <w:t xml:space="preserve">Untreated control </w:t>
      </w:r>
      <w:r w:rsidR="00A2094F" w:rsidRPr="003C0E2F">
        <w:rPr>
          <w:rStyle w:val="NoSpacingChar"/>
          <w:i/>
          <w:iCs/>
        </w:rPr>
        <w:t>(-)</w:t>
      </w:r>
      <w:r w:rsidRPr="003C0E2F">
        <w:rPr>
          <w:rStyle w:val="NoSpacingChar"/>
          <w:i/>
          <w:iCs/>
        </w:rPr>
        <w:t xml:space="preserve"> is with vehicle only. </w:t>
      </w:r>
      <w:r w:rsidRPr="003C0E2F">
        <w:rPr>
          <w:i w:val="0"/>
          <w:iCs/>
        </w:rPr>
        <w:t xml:space="preserve">Culture medium was collected after 18 </w:t>
      </w:r>
      <w:proofErr w:type="gramStart"/>
      <w:r w:rsidRPr="003C0E2F">
        <w:rPr>
          <w:i w:val="0"/>
          <w:iCs/>
        </w:rPr>
        <w:t>hours</w:t>
      </w:r>
      <w:proofErr w:type="gramEnd"/>
      <w:r w:rsidRPr="003C0E2F">
        <w:rPr>
          <w:i w:val="0"/>
          <w:iCs/>
        </w:rPr>
        <w:t xml:space="preserve"> and IL-8 production was measured via ELISA. Results are shown as mean ±SD of three separate treatments. Statistically significant results are indicated as *** P&lt;0.001 ** P&lt;0.01 *P&lt;0.05 for control vs LPS and LPS vs LPS+FP treated samples.</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1E52CC16" w14:textId="77777777" w:rsidR="00BB2D8D" w:rsidRPr="003C0E2F" w:rsidRDefault="00BB2D8D" w:rsidP="00F757DA"/>
    <w:p w14:paraId="1731E27E" w14:textId="14406F9D" w:rsidR="00F757DA" w:rsidRPr="003C0E2F" w:rsidRDefault="00F757DA" w:rsidP="00F757DA">
      <w:r w:rsidRPr="003C0E2F">
        <w:lastRenderedPageBreak/>
        <w:t xml:space="preserve">From the agonist series, only FP11 appeared to have a significant </w:t>
      </w:r>
      <w:r w:rsidR="008F561F" w:rsidRPr="003C0E2F">
        <w:t>effect</w:t>
      </w:r>
      <w:r w:rsidRPr="003C0E2F">
        <w:t xml:space="preserve"> in increasing IL-8 production in THP-1 </w:t>
      </w:r>
      <w:r w:rsidR="008F561F" w:rsidRPr="003C0E2F">
        <w:t>monocyte</w:t>
      </w:r>
      <w:r w:rsidRPr="003C0E2F">
        <w:t xml:space="preserve">s, both in the presence </w:t>
      </w:r>
      <w:r w:rsidR="00776480" w:rsidRPr="003C0E2F">
        <w:t>or</w:t>
      </w:r>
      <w:r w:rsidRPr="003C0E2F">
        <w:t xml:space="preserve"> absence of LPS at 10 µM and 5-10µM respectively (Figure 15). Comparatively, FP111 does not appear to increase IL-8. FP11 can function as a mild agonist of TLR4. FP11 was carried forward for further investigation.</w:t>
      </w:r>
    </w:p>
    <w:p w14:paraId="465CB67D" w14:textId="77777777" w:rsidR="00F757DA" w:rsidRPr="003C0E2F" w:rsidRDefault="00F757DA" w:rsidP="00F757DA"/>
    <w:p w14:paraId="5F62CCD0" w14:textId="77777777" w:rsidR="00D3097F" w:rsidRPr="003C0E2F" w:rsidRDefault="00D3097F" w:rsidP="00BE5236"/>
    <w:p w14:paraId="40F7AB11" w14:textId="77777777" w:rsidR="00F80EA4" w:rsidRPr="003C0E2F" w:rsidRDefault="00F80EA4">
      <w:pPr>
        <w:spacing w:line="259" w:lineRule="auto"/>
        <w:rPr>
          <w:b/>
          <w:bCs/>
        </w:rPr>
      </w:pPr>
      <w:bookmarkStart w:id="354" w:name="OLE_LINK5"/>
      <w:bookmarkStart w:id="355" w:name="_Toc80013767"/>
      <w:bookmarkStart w:id="356" w:name="_Toc38543294"/>
      <w:r w:rsidRPr="003C0E2F">
        <w:br w:type="page"/>
      </w:r>
    </w:p>
    <w:p w14:paraId="0C8D5804" w14:textId="0DCE5DF8" w:rsidR="00D3097F" w:rsidRPr="003C0E2F" w:rsidRDefault="00D3097F" w:rsidP="00D55B0E">
      <w:pPr>
        <w:pStyle w:val="Heading3"/>
      </w:pPr>
      <w:bookmarkStart w:id="357" w:name="_Toc82882387"/>
      <w:r w:rsidRPr="003C0E2F">
        <w:lastRenderedPageBreak/>
        <w:t>FP7 negatively regulates the production of TLR4-</w:t>
      </w:r>
      <w:r w:rsidR="009E0322" w:rsidRPr="003C0E2F">
        <w:t>dependent</w:t>
      </w:r>
      <w:r w:rsidRPr="003C0E2F">
        <w:t xml:space="preserve"> proinflammatory proteins (IL-1β, IL-8, IL-6, MIP-1α, </w:t>
      </w:r>
      <w:r w:rsidR="00724D38" w:rsidRPr="003C0E2F">
        <w:t>I</w:t>
      </w:r>
      <w:r w:rsidRPr="003C0E2F">
        <w:t xml:space="preserve">CAM-1) in THP-1 human </w:t>
      </w:r>
      <w:r w:rsidR="008F561F" w:rsidRPr="003C0E2F">
        <w:t>monocyte</w:t>
      </w:r>
      <w:r w:rsidRPr="003C0E2F">
        <w:t>s</w:t>
      </w:r>
      <w:bookmarkEnd w:id="354"/>
      <w:bookmarkEnd w:id="355"/>
      <w:bookmarkEnd w:id="357"/>
      <w:r w:rsidRPr="003C0E2F">
        <w:tab/>
      </w:r>
      <w:bookmarkEnd w:id="356"/>
    </w:p>
    <w:p w14:paraId="37E5F906" w14:textId="04DA336C" w:rsidR="00D3097F" w:rsidRPr="003C0E2F" w:rsidRDefault="00F757DA" w:rsidP="00BE5236">
      <w:r w:rsidRPr="003C0E2F">
        <w:t xml:space="preserve">Further evaluation of FP7 was required to understand the </w:t>
      </w:r>
      <w:r w:rsidR="008F561F" w:rsidRPr="003C0E2F">
        <w:t>effect</w:t>
      </w:r>
      <w:r w:rsidRPr="003C0E2F">
        <w:t xml:space="preserve"> on TLR4 signalling. ELISA was used to investigate the </w:t>
      </w:r>
      <w:r w:rsidR="008F561F" w:rsidRPr="003C0E2F">
        <w:t>effect</w:t>
      </w:r>
      <w:r w:rsidRPr="003C0E2F">
        <w:t xml:space="preserve">s of FP7 on TLR4 signalling. Measurements were made for the </w:t>
      </w:r>
      <w:r w:rsidR="008F561F" w:rsidRPr="003C0E2F">
        <w:t>effect</w:t>
      </w:r>
      <w:r w:rsidRPr="003C0E2F">
        <w:t xml:space="preserve"> of FP7 on cytokine production and release taken from medium and cell lysate samples. Results indicated a dose-</w:t>
      </w:r>
      <w:r w:rsidR="009E0322" w:rsidRPr="003C0E2F">
        <w:t>dependent</w:t>
      </w:r>
      <w:r w:rsidRPr="003C0E2F">
        <w:t xml:space="preserve"> downregulation of inflammatory proteins produced in response to LPS. FP7 significantly reduced levels of IL-8 in cell lysate at 1-5µM and culture medium at 5µM (Figure 16). However, these did not reach comparable levels to control and FP7 only samples. </w:t>
      </w:r>
      <w:bookmarkStart w:id="358" w:name="_Hlk82633488"/>
      <w:bookmarkStart w:id="359" w:name="_Hlk82635027"/>
      <w:r w:rsidR="00DA5BED" w:rsidRPr="003C0E2F">
        <w:t xml:space="preserve">The difference between expression and secretion </w:t>
      </w:r>
      <w:r w:rsidR="006A3D60" w:rsidRPr="003C0E2F">
        <w:t>could be related to biphasic IL-8 release dependent on autocrine effects via TNF</w:t>
      </w:r>
      <w:r w:rsidR="006A3D60" w:rsidRPr="003C0E2F">
        <w:rPr>
          <w:rFonts w:cstheme="minorHAnsi"/>
        </w:rPr>
        <w:t>α</w:t>
      </w:r>
      <w:r w:rsidR="00DA5BED" w:rsidRPr="003C0E2F">
        <w:t xml:space="preserve"> </w:t>
      </w:r>
      <w:bookmarkEnd w:id="358"/>
      <w:r w:rsidR="006A3D60" w:rsidRPr="003C0E2F">
        <w:t>and IL-1</w:t>
      </w:r>
      <w:r w:rsidR="006A3D60" w:rsidRPr="003C0E2F">
        <w:rPr>
          <w:rFonts w:cstheme="minorHAnsi"/>
        </w:rPr>
        <w:t>β</w:t>
      </w:r>
      <w:r w:rsidR="00FA35C5" w:rsidRPr="003C0E2F">
        <w:rPr>
          <w:rFonts w:cstheme="minorHAnsi"/>
        </w:rPr>
        <w:t xml:space="preserve"> </w:t>
      </w:r>
      <w:sdt>
        <w:sdtPr>
          <w:rPr>
            <w:rFonts w:cstheme="minorHAnsi"/>
          </w:rPr>
          <w:tag w:val="MENDELEY_CITATION_v3_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"/>
          <w:id w:val="-698162358"/>
          <w:placeholder>
            <w:docPart w:val="A4C7FF103EE44B27921DCE2C186E31FC"/>
          </w:placeholder>
        </w:sdtPr>
        <w:sdtEndPr/>
        <w:sdtContent>
          <w:r w:rsidR="00F257B9">
            <w:rPr>
              <w:rFonts w:eastAsia="Times New Roman"/>
            </w:rPr>
            <w:t>(</w:t>
          </w:r>
          <w:proofErr w:type="spellStart"/>
          <w:r w:rsidR="00F257B9">
            <w:rPr>
              <w:rFonts w:eastAsia="Times New Roman"/>
            </w:rPr>
            <w:t>Cassatella</w:t>
          </w:r>
          <w:proofErr w:type="spellEnd"/>
          <w:r w:rsidR="00F257B9">
            <w:rPr>
              <w:rFonts w:eastAsia="Times New Roman"/>
            </w:rPr>
            <w:t xml:space="preserve"> </w:t>
          </w:r>
          <w:r w:rsidR="00F257B9">
            <w:rPr>
              <w:rFonts w:eastAsia="Times New Roman"/>
              <w:i/>
              <w:iCs/>
            </w:rPr>
            <w:t>et al.</w:t>
          </w:r>
          <w:r w:rsidR="00F257B9">
            <w:rPr>
              <w:rFonts w:eastAsia="Times New Roman"/>
            </w:rPr>
            <w:t>, 1993)</w:t>
          </w:r>
        </w:sdtContent>
      </w:sdt>
      <w:r w:rsidR="00FA35C5" w:rsidRPr="003C0E2F">
        <w:rPr>
          <w:rFonts w:cstheme="minorHAnsi"/>
        </w:rPr>
        <w:t>; for which downregulation by FP7 might also impact</w:t>
      </w:r>
      <w:r w:rsidR="006A3D60" w:rsidRPr="003C0E2F">
        <w:rPr>
          <w:rFonts w:cstheme="minorHAnsi"/>
        </w:rPr>
        <w:t xml:space="preserve"> </w:t>
      </w:r>
      <w:r w:rsidR="00FA35C5" w:rsidRPr="003C0E2F">
        <w:rPr>
          <w:rFonts w:cstheme="minorHAnsi"/>
        </w:rPr>
        <w:t>late phase IL-8 production.</w:t>
      </w:r>
      <w:bookmarkEnd w:id="359"/>
      <w:r w:rsidR="00FA35C5" w:rsidRPr="003C0E2F">
        <w:rPr>
          <w:rFonts w:cstheme="minorHAnsi"/>
        </w:rPr>
        <w:t xml:space="preserve"> </w:t>
      </w:r>
      <w:r w:rsidRPr="003C0E2F">
        <w:t xml:space="preserve">This suggests that FP7 can partially inhibit IL-8 production in THP-1 </w:t>
      </w:r>
      <w:r w:rsidR="008F561F" w:rsidRPr="003C0E2F">
        <w:t>monocyte</w:t>
      </w:r>
      <w:r w:rsidRPr="003C0E2F">
        <w:t xml:space="preserve">s at this concentration. </w:t>
      </w:r>
    </w:p>
    <w:p w14:paraId="0C8F1E2B" w14:textId="3359220D" w:rsidR="00D3097F" w:rsidRPr="003C0E2F" w:rsidRDefault="00E30E30" w:rsidP="00BE5236">
      <w:r w:rsidRPr="003C0E2F">
        <w:object w:dxaOrig="11112" w:dyaOrig="4020" w14:anchorId="1FA3B0E5">
          <v:shape id="_x0000_i1028" type="#_x0000_t75" style="width:453pt;height:165.6pt" o:ole="">
            <v:imagedata r:id="rId59" o:title=""/>
          </v:shape>
          <o:OLEObject Type="Embed" ProgID="Prism6.Document" ShapeID="_x0000_i1028" DrawAspect="Content" ObjectID="_1701584986" r:id="rId60"/>
        </w:object>
      </w:r>
    </w:p>
    <w:p w14:paraId="698519EE" w14:textId="698E9D2A" w:rsidR="00D3097F" w:rsidRPr="003C0E2F" w:rsidRDefault="00763D37" w:rsidP="00A2094F">
      <w:pPr>
        <w:pStyle w:val="NoSpacing"/>
      </w:pPr>
      <w:bookmarkStart w:id="360" w:name="_Ref36756055"/>
      <w:bookmarkStart w:id="361" w:name="_Toc48514829"/>
      <w:bookmarkStart w:id="362" w:name="_Toc55583737"/>
      <w:bookmarkStart w:id="363" w:name="_Toc55584915"/>
      <w:bookmarkStart w:id="364" w:name="_Toc60584031"/>
      <w:bookmarkStart w:id="365" w:name="_Toc60638149"/>
      <w:bookmarkStart w:id="366" w:name="_Toc60638869"/>
      <w:bookmarkStart w:id="367" w:name="_Toc63112003"/>
      <w:bookmarkStart w:id="368" w:name="_Toc63112220"/>
      <w:bookmarkStart w:id="369" w:name="_Toc63270360"/>
      <w:bookmarkStart w:id="370" w:name="_Toc64533227"/>
      <w:bookmarkStart w:id="371" w:name="_Toc64551774"/>
      <w:bookmarkStart w:id="372" w:name="_Toc80013818"/>
      <w:bookmarkStart w:id="373" w:name="_Toc82882957"/>
      <w:r w:rsidRPr="003C0E2F">
        <w:t>Figure</w:t>
      </w:r>
      <w:r w:rsidR="00D3097F" w:rsidRPr="003C0E2F">
        <w:t xml:space="preserve"> </w:t>
      </w:r>
      <w:r w:rsidR="00862981">
        <w:fldChar w:fldCharType="begin"/>
      </w:r>
      <w:r w:rsidR="00862981">
        <w:instrText xml:space="preserve"> SEQ Figure \* ARABIC </w:instrText>
      </w:r>
      <w:r w:rsidR="00862981">
        <w:fldChar w:fldCharType="separate"/>
      </w:r>
      <w:r w:rsidR="000F2276">
        <w:rPr>
          <w:noProof/>
        </w:rPr>
        <w:t>16</w:t>
      </w:r>
      <w:r w:rsidR="00862981">
        <w:rPr>
          <w:noProof/>
        </w:rPr>
        <w:fldChar w:fldCharType="end"/>
      </w:r>
      <w:bookmarkEnd w:id="360"/>
      <w:r w:rsidR="003273B5" w:rsidRPr="003C0E2F">
        <w:t>. The effect</w:t>
      </w:r>
      <w:r w:rsidR="00D3097F" w:rsidRPr="003C0E2F">
        <w:t xml:space="preserve"> of FP7 on IL-8 production in THP-1 </w:t>
      </w:r>
      <w:r w:rsidR="00395C63" w:rsidRPr="003C0E2F">
        <w:t>m</w:t>
      </w:r>
      <w:r w:rsidR="008F561F" w:rsidRPr="003C0E2F">
        <w:t>onocyte</w:t>
      </w:r>
      <w:r w:rsidR="00D3097F" w:rsidRPr="003C0E2F">
        <w:t>s. Cells were pre-treated with FP7 (0-5µM) for 1 hour prior to exposure to LPS (100ng/ml).</w:t>
      </w:r>
      <w:r w:rsidR="00F01D38" w:rsidRPr="003C0E2F">
        <w:t xml:space="preserve"> </w:t>
      </w:r>
      <w:r w:rsidR="00504096" w:rsidRPr="003C0E2F">
        <w:rPr>
          <w:rStyle w:val="NoSpacingChar"/>
          <w:i/>
        </w:rPr>
        <w:t xml:space="preserve">Untreated control </w:t>
      </w:r>
      <w:r w:rsidR="006C1C48" w:rsidRPr="003C0E2F">
        <w:rPr>
          <w:rStyle w:val="NoSpacingChar"/>
          <w:i/>
        </w:rPr>
        <w:t>(</w:t>
      </w:r>
      <w:r w:rsidR="00504096" w:rsidRPr="003C0E2F">
        <w:rPr>
          <w:rStyle w:val="NoSpacingChar"/>
          <w:i/>
        </w:rPr>
        <w:t>-</w:t>
      </w:r>
      <w:r w:rsidR="006C1C48" w:rsidRPr="003C0E2F">
        <w:rPr>
          <w:rStyle w:val="NoSpacingChar"/>
          <w:i/>
        </w:rPr>
        <w:t>)</w:t>
      </w:r>
      <w:r w:rsidR="00504096" w:rsidRPr="003C0E2F">
        <w:rPr>
          <w:rStyle w:val="NoSpacingChar"/>
          <w:i/>
        </w:rPr>
        <w:t xml:space="preserve"> is with vehicle only</w:t>
      </w:r>
      <w:r w:rsidR="00BD3E38" w:rsidRPr="003C0E2F">
        <w:rPr>
          <w:rStyle w:val="NoSpacingChar"/>
          <w:i/>
        </w:rPr>
        <w:t xml:space="preserve">. </w:t>
      </w:r>
      <w:r w:rsidR="00D3097F" w:rsidRPr="003C0E2F">
        <w:t xml:space="preserve"> IL-8 production in culture cell lysates (A) and culture medium (B) were measured using ELISA after 18 hours (</w:t>
      </w:r>
      <w:proofErr w:type="spellStart"/>
      <w:r w:rsidR="00D3097F" w:rsidRPr="003C0E2F">
        <w:t>Ray</w:t>
      </w:r>
      <w:r w:rsidR="007134F8" w:rsidRPr="003C0E2F">
        <w:t>B</w:t>
      </w:r>
      <w:r w:rsidR="00D3097F" w:rsidRPr="003C0E2F">
        <w:t>iotech</w:t>
      </w:r>
      <w:proofErr w:type="spellEnd"/>
      <w:r w:rsidR="00D3097F" w:rsidRPr="003C0E2F">
        <w:t>). Results are shown as mean ±SD of three separate treatments. Statistically significant results are indicated as *** P&lt;0.001 ** P&lt;0.01 *P&lt;0.05 for control vs LPS and LPS vs LPS/FP7 treated samples.</w:t>
      </w:r>
      <w:bookmarkEnd w:id="361"/>
      <w:bookmarkEnd w:id="362"/>
      <w:bookmarkEnd w:id="363"/>
      <w:bookmarkEnd w:id="364"/>
      <w:bookmarkEnd w:id="365"/>
      <w:bookmarkEnd w:id="366"/>
      <w:bookmarkEnd w:id="367"/>
      <w:bookmarkEnd w:id="368"/>
      <w:bookmarkEnd w:id="369"/>
      <w:bookmarkEnd w:id="370"/>
      <w:bookmarkEnd w:id="371"/>
      <w:bookmarkEnd w:id="372"/>
      <w:bookmarkEnd w:id="373"/>
    </w:p>
    <w:p w14:paraId="693FFA0E" w14:textId="5E0F1859" w:rsidR="007C2721" w:rsidRPr="003C0E2F" w:rsidRDefault="00F757DA" w:rsidP="00BE5236">
      <w:r w:rsidRPr="003C0E2F">
        <w:lastRenderedPageBreak/>
        <w:t xml:space="preserve">Treatment with 5µM FP7 also significantly reduced levels of IL-6 release in medium following LPS stimulation. This was to a level comparable to control samples (Figure 17). However, the level of IL-6 present within cells was unaffected by LPS after 18 hours, suggesting the </w:t>
      </w:r>
      <w:r w:rsidR="008F561F" w:rsidRPr="003C0E2F">
        <w:t>effect</w:t>
      </w:r>
      <w:r w:rsidRPr="003C0E2F">
        <w:t xml:space="preserve"> of LPS on IL-6 production is no longer active at this point.</w:t>
      </w:r>
    </w:p>
    <w:p w14:paraId="7E0C3DDB" w14:textId="77777777" w:rsidR="00F757DA" w:rsidRPr="003C0E2F" w:rsidRDefault="00F757DA" w:rsidP="00BE5236"/>
    <w:p w14:paraId="3513033D" w14:textId="4646E748" w:rsidR="00D3097F" w:rsidRPr="003C0E2F" w:rsidRDefault="00E30E30" w:rsidP="00BE5236">
      <w:r w:rsidRPr="003C0E2F">
        <w:object w:dxaOrig="10975" w:dyaOrig="3898" w14:anchorId="65C61449">
          <v:shape id="_x0000_i1029" type="#_x0000_t75" style="width:453.6pt;height:158.4pt" o:ole="">
            <v:imagedata r:id="rId61" o:title=""/>
          </v:shape>
          <o:OLEObject Type="Embed" ProgID="Prism6.Document" ShapeID="_x0000_i1029" DrawAspect="Content" ObjectID="_1701584987" r:id="rId62"/>
        </w:object>
      </w:r>
    </w:p>
    <w:p w14:paraId="35700052" w14:textId="0CF88663" w:rsidR="00D3097F" w:rsidRPr="003C0E2F" w:rsidRDefault="00763D37" w:rsidP="00A2094F">
      <w:pPr>
        <w:pStyle w:val="NoSpacing"/>
      </w:pPr>
      <w:bookmarkStart w:id="374" w:name="_Toc48514830"/>
      <w:bookmarkStart w:id="375" w:name="_Toc55583738"/>
      <w:bookmarkStart w:id="376" w:name="_Toc55584916"/>
      <w:bookmarkStart w:id="377" w:name="_Toc60584032"/>
      <w:bookmarkStart w:id="378" w:name="_Toc60638150"/>
      <w:bookmarkStart w:id="379" w:name="_Toc60638870"/>
      <w:bookmarkStart w:id="380" w:name="_Toc63112004"/>
      <w:bookmarkStart w:id="381" w:name="_Toc63112221"/>
      <w:bookmarkStart w:id="382" w:name="_Toc63270361"/>
      <w:bookmarkStart w:id="383" w:name="_Toc64533228"/>
      <w:bookmarkStart w:id="384" w:name="_Toc64551775"/>
      <w:bookmarkStart w:id="385" w:name="_Toc80013819"/>
      <w:bookmarkStart w:id="386" w:name="_Toc82882958"/>
      <w:r w:rsidRPr="003C0E2F">
        <w:t>Figure</w:t>
      </w:r>
      <w:r w:rsidR="00D3097F" w:rsidRPr="003C0E2F">
        <w:t xml:space="preserve"> </w:t>
      </w:r>
      <w:r w:rsidR="00862981">
        <w:fldChar w:fldCharType="begin"/>
      </w:r>
      <w:r w:rsidR="00862981">
        <w:instrText xml:space="preserve"> SEQ Figure \* ARABIC </w:instrText>
      </w:r>
      <w:r w:rsidR="00862981">
        <w:fldChar w:fldCharType="separate"/>
      </w:r>
      <w:r w:rsidR="000F2276">
        <w:rPr>
          <w:noProof/>
        </w:rPr>
        <w:t>17</w:t>
      </w:r>
      <w:r w:rsidR="00862981">
        <w:rPr>
          <w:noProof/>
        </w:rPr>
        <w:fldChar w:fldCharType="end"/>
      </w:r>
      <w:r w:rsidR="003273B5" w:rsidRPr="003C0E2F">
        <w:t>. The effect</w:t>
      </w:r>
      <w:bookmarkStart w:id="387" w:name="OLE_LINK3"/>
      <w:r w:rsidR="00D3097F" w:rsidRPr="003C0E2F">
        <w:t xml:space="preserve"> of FP7 on IL-6 production in THP-1 </w:t>
      </w:r>
      <w:r w:rsidR="00395C63" w:rsidRPr="003C0E2F">
        <w:t>m</w:t>
      </w:r>
      <w:r w:rsidR="008F561F" w:rsidRPr="003C0E2F">
        <w:t>onocyte</w:t>
      </w:r>
      <w:r w:rsidR="00D3097F" w:rsidRPr="003C0E2F">
        <w:t xml:space="preserve">s </w:t>
      </w:r>
      <w:r w:rsidR="00395C63" w:rsidRPr="003C0E2F">
        <w:t>ce</w:t>
      </w:r>
      <w:r w:rsidR="00D3097F" w:rsidRPr="003C0E2F">
        <w:t>lls were pre-treated with FP7 (0-5µM) for 1 hour prior to exposure to LPS (100ng/ml).</w:t>
      </w:r>
      <w:r w:rsidR="00F01D38" w:rsidRPr="003C0E2F">
        <w:rPr>
          <w:rStyle w:val="NoSpacingChar"/>
          <w:i/>
        </w:rPr>
        <w:t xml:space="preserve">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only</w:t>
      </w:r>
      <w:r w:rsidR="00BD3E38" w:rsidRPr="003C0E2F">
        <w:rPr>
          <w:rStyle w:val="NoSpacingChar"/>
          <w:i/>
        </w:rPr>
        <w:t xml:space="preserve">. </w:t>
      </w:r>
      <w:r w:rsidR="00D3097F" w:rsidRPr="003C0E2F">
        <w:t>IL-6 production in culture cell lysates (A) and culture medium (B) were measured using ELISA after 18 hours (</w:t>
      </w:r>
      <w:proofErr w:type="spellStart"/>
      <w:r w:rsidR="00D3097F" w:rsidRPr="003C0E2F">
        <w:t>Ray</w:t>
      </w:r>
      <w:r w:rsidR="007134F8" w:rsidRPr="003C0E2F">
        <w:t>B</w:t>
      </w:r>
      <w:r w:rsidR="00D3097F" w:rsidRPr="003C0E2F">
        <w:t>iotech</w:t>
      </w:r>
      <w:proofErr w:type="spellEnd"/>
      <w:r w:rsidR="00D3097F" w:rsidRPr="003C0E2F">
        <w:t>). Results are shown as mean ±SD of three separate treatments. Statistically significant results are indicated as *** P&lt;0.001 ** P&lt;0.01 *P&lt;0.05 for control vs LPS and LPS vs LPS/FP7 treated samples.</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24C9165E" w14:textId="77777777" w:rsidR="00D3097F" w:rsidRPr="003C0E2F" w:rsidRDefault="00D3097F" w:rsidP="00BE5236">
      <w:pPr>
        <w:rPr>
          <w:noProof/>
          <w:lang w:eastAsia="en-GB"/>
        </w:rPr>
      </w:pPr>
    </w:p>
    <w:p w14:paraId="327F2CA3" w14:textId="7763A5EB" w:rsidR="00D3097F" w:rsidRPr="003C0E2F" w:rsidRDefault="00F757DA" w:rsidP="00BE5236">
      <w:pPr>
        <w:rPr>
          <w:noProof/>
          <w:lang w:eastAsia="en-GB"/>
        </w:rPr>
      </w:pPr>
      <w:r w:rsidRPr="003C0E2F">
        <w:rPr>
          <w:noProof/>
          <w:lang w:eastAsia="en-GB"/>
        </w:rPr>
        <w:t xml:space="preserve">LPS showed no </w:t>
      </w:r>
      <w:r w:rsidR="008F561F" w:rsidRPr="003C0E2F">
        <w:rPr>
          <w:noProof/>
          <w:lang w:eastAsia="en-GB"/>
        </w:rPr>
        <w:t>effect</w:t>
      </w:r>
      <w:r w:rsidRPr="003C0E2F">
        <w:rPr>
          <w:noProof/>
          <w:lang w:eastAsia="en-GB"/>
        </w:rPr>
        <w:t xml:space="preserve"> on IL-12 production following overnight treatment in either cell lysate or culture medium. FP7 had no significant </w:t>
      </w:r>
      <w:r w:rsidR="008F561F" w:rsidRPr="003C0E2F">
        <w:rPr>
          <w:noProof/>
          <w:lang w:eastAsia="en-GB"/>
        </w:rPr>
        <w:t>effect</w:t>
      </w:r>
      <w:r w:rsidRPr="003C0E2F">
        <w:rPr>
          <w:noProof/>
          <w:lang w:eastAsia="en-GB"/>
        </w:rPr>
        <w:t xml:space="preserve"> in the presence of absence of LPS (Figure </w:t>
      </w:r>
      <w:r w:rsidR="001F17A7" w:rsidRPr="003C0E2F">
        <w:rPr>
          <w:noProof/>
          <w:lang w:eastAsia="en-GB"/>
        </w:rPr>
        <w:t>18</w:t>
      </w:r>
      <w:r w:rsidRPr="003C0E2F">
        <w:rPr>
          <w:noProof/>
          <w:lang w:eastAsia="en-GB"/>
        </w:rPr>
        <w:t xml:space="preserve">). IL-12 may therefore not be an appopriate target for evaluating the </w:t>
      </w:r>
      <w:r w:rsidR="008F561F" w:rsidRPr="003C0E2F">
        <w:rPr>
          <w:noProof/>
          <w:lang w:eastAsia="en-GB"/>
        </w:rPr>
        <w:t>effect</w:t>
      </w:r>
      <w:r w:rsidRPr="003C0E2F">
        <w:rPr>
          <w:noProof/>
          <w:lang w:eastAsia="en-GB"/>
        </w:rPr>
        <w:t xml:space="preserve"> of TLR4 antagonists.</w:t>
      </w:r>
    </w:p>
    <w:p w14:paraId="53E041DB" w14:textId="77777777" w:rsidR="00D3097F" w:rsidRPr="003C0E2F" w:rsidRDefault="00D3097F" w:rsidP="00BE5236">
      <w:r w:rsidRPr="003C0E2F">
        <w:object w:dxaOrig="10958" w:dyaOrig="3912" w14:anchorId="7B051F37">
          <v:shape id="_x0000_i1030" type="#_x0000_t75" style="width:453.6pt;height:158.4pt" o:ole="">
            <v:imagedata r:id="rId63" o:title=""/>
          </v:shape>
          <o:OLEObject Type="Embed" ProgID="Prism6.Document" ShapeID="_x0000_i1030" DrawAspect="Content" ObjectID="_1701584988" r:id="rId64"/>
        </w:object>
      </w:r>
    </w:p>
    <w:p w14:paraId="5D4B43D3" w14:textId="0B7F7737" w:rsidR="00D3097F" w:rsidRPr="003C0E2F" w:rsidRDefault="00763D37" w:rsidP="00A2094F">
      <w:pPr>
        <w:pStyle w:val="NoSpacing"/>
      </w:pPr>
      <w:bookmarkStart w:id="388" w:name="_Ref36756436"/>
      <w:bookmarkStart w:id="389" w:name="_Toc48514831"/>
      <w:bookmarkStart w:id="390" w:name="_Toc55583739"/>
      <w:bookmarkStart w:id="391" w:name="_Toc55584917"/>
      <w:bookmarkStart w:id="392" w:name="_Toc60584033"/>
      <w:bookmarkStart w:id="393" w:name="_Toc60638151"/>
      <w:bookmarkStart w:id="394" w:name="_Toc60638871"/>
      <w:bookmarkStart w:id="395" w:name="_Toc63112005"/>
      <w:bookmarkStart w:id="396" w:name="_Toc63112222"/>
      <w:bookmarkStart w:id="397" w:name="_Toc63270362"/>
      <w:bookmarkStart w:id="398" w:name="_Toc64533229"/>
      <w:bookmarkStart w:id="399" w:name="_Toc64551776"/>
      <w:bookmarkStart w:id="400" w:name="_Toc80013820"/>
      <w:bookmarkStart w:id="401" w:name="_Toc82882959"/>
      <w:r w:rsidRPr="003C0E2F">
        <w:t>Figure</w:t>
      </w:r>
      <w:r w:rsidR="00D3097F" w:rsidRPr="003C0E2F">
        <w:t xml:space="preserve"> </w:t>
      </w:r>
      <w:r w:rsidR="00862981">
        <w:fldChar w:fldCharType="begin"/>
      </w:r>
      <w:r w:rsidR="00862981">
        <w:instrText xml:space="preserve"> SEQ Figure \* ARABIC </w:instrText>
      </w:r>
      <w:r w:rsidR="00862981">
        <w:fldChar w:fldCharType="separate"/>
      </w:r>
      <w:r w:rsidR="000F2276">
        <w:rPr>
          <w:noProof/>
        </w:rPr>
        <w:t>18</w:t>
      </w:r>
      <w:r w:rsidR="00862981">
        <w:rPr>
          <w:noProof/>
        </w:rPr>
        <w:fldChar w:fldCharType="end"/>
      </w:r>
      <w:bookmarkEnd w:id="388"/>
      <w:r w:rsidR="003273B5" w:rsidRPr="003C0E2F">
        <w:t>. The effect</w:t>
      </w:r>
      <w:r w:rsidR="00D3097F" w:rsidRPr="003C0E2F">
        <w:t xml:space="preserve"> of FP7 on IL-12 production in THP-1 </w:t>
      </w:r>
      <w:r w:rsidR="00395C63" w:rsidRPr="003C0E2F">
        <w:t>m</w:t>
      </w:r>
      <w:r w:rsidR="008F561F" w:rsidRPr="003C0E2F">
        <w:t>onocyte</w:t>
      </w:r>
      <w:r w:rsidR="00D3097F" w:rsidRPr="003C0E2F">
        <w:t xml:space="preserve">s. Cells were pre-treated with FP7 (0-5µM) for 1 hour prior to exposure to LPS (100ng/ml).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only</w:t>
      </w:r>
      <w:r w:rsidR="00BD3E38" w:rsidRPr="003C0E2F">
        <w:rPr>
          <w:rStyle w:val="NoSpacingChar"/>
          <w:i/>
        </w:rPr>
        <w:t xml:space="preserve">. </w:t>
      </w:r>
      <w:r w:rsidR="00D3097F" w:rsidRPr="003C0E2F">
        <w:t xml:space="preserve">IL-12 production in culture cell lysates (A) and culture medium (B) were measured using ELISA after 18 hours </w:t>
      </w:r>
      <w:r w:rsidR="007134F8" w:rsidRPr="003C0E2F">
        <w:t>(</w:t>
      </w:r>
      <w:proofErr w:type="spellStart"/>
      <w:r w:rsidR="00D3097F" w:rsidRPr="003C0E2F">
        <w:t>Ray</w:t>
      </w:r>
      <w:r w:rsidR="007134F8" w:rsidRPr="003C0E2F">
        <w:t>B</w:t>
      </w:r>
      <w:r w:rsidR="00D3097F" w:rsidRPr="003C0E2F">
        <w:t>iotech</w:t>
      </w:r>
      <w:proofErr w:type="spellEnd"/>
      <w:r w:rsidR="00D3097F" w:rsidRPr="003C0E2F">
        <w:t>). Results are shown as mean ±SD of three separate treatments. Statistically significant results are indicated as *** P&lt;0.001 ** P&lt;0.01 *P&lt;0.05 for control vs LPS and LPS vs LPS/FP7 treated samples.</w:t>
      </w:r>
      <w:bookmarkEnd w:id="389"/>
      <w:bookmarkEnd w:id="390"/>
      <w:bookmarkEnd w:id="391"/>
      <w:bookmarkEnd w:id="392"/>
      <w:bookmarkEnd w:id="393"/>
      <w:bookmarkEnd w:id="394"/>
      <w:bookmarkEnd w:id="395"/>
      <w:bookmarkEnd w:id="396"/>
      <w:bookmarkEnd w:id="397"/>
      <w:bookmarkEnd w:id="398"/>
      <w:bookmarkEnd w:id="399"/>
      <w:bookmarkEnd w:id="400"/>
      <w:bookmarkEnd w:id="401"/>
    </w:p>
    <w:p w14:paraId="65B677A1" w14:textId="04D6AA30" w:rsidR="00D3097F" w:rsidRPr="003C0E2F" w:rsidRDefault="002F594A" w:rsidP="00BE5236">
      <w:r w:rsidRPr="003C0E2F">
        <w:object w:dxaOrig="11112" w:dyaOrig="3917" w14:anchorId="0E8B7400">
          <v:shape id="_x0000_i1031" type="#_x0000_t75" style="width:453pt;height:158.4pt" o:ole="">
            <v:imagedata r:id="rId65" o:title=""/>
          </v:shape>
          <o:OLEObject Type="Embed" ProgID="Prism6.Document" ShapeID="_x0000_i1031" DrawAspect="Content" ObjectID="_1701584989" r:id="rId66"/>
        </w:object>
      </w:r>
    </w:p>
    <w:p w14:paraId="2418393A" w14:textId="768A83BF" w:rsidR="00D3097F" w:rsidRPr="003C0E2F" w:rsidRDefault="00763D37" w:rsidP="00A2094F">
      <w:pPr>
        <w:pStyle w:val="NoSpacing"/>
      </w:pPr>
      <w:bookmarkStart w:id="402" w:name="_Ref36759382"/>
      <w:bookmarkStart w:id="403" w:name="_Toc48514832"/>
      <w:bookmarkStart w:id="404" w:name="_Toc55583740"/>
      <w:bookmarkStart w:id="405" w:name="_Toc55584918"/>
      <w:bookmarkStart w:id="406" w:name="_Toc60584034"/>
      <w:bookmarkStart w:id="407" w:name="_Toc60638152"/>
      <w:bookmarkStart w:id="408" w:name="_Toc60638872"/>
      <w:bookmarkStart w:id="409" w:name="_Toc63112006"/>
      <w:bookmarkStart w:id="410" w:name="_Toc63112223"/>
      <w:bookmarkStart w:id="411" w:name="_Toc63270363"/>
      <w:bookmarkStart w:id="412" w:name="_Toc64533230"/>
      <w:bookmarkStart w:id="413" w:name="_Toc64551777"/>
      <w:bookmarkStart w:id="414" w:name="_Toc80013821"/>
      <w:bookmarkStart w:id="415" w:name="_Toc82882960"/>
      <w:r w:rsidRPr="003C0E2F">
        <w:t>Figure</w:t>
      </w:r>
      <w:r w:rsidR="00D3097F" w:rsidRPr="003C0E2F">
        <w:t xml:space="preserve"> </w:t>
      </w:r>
      <w:r w:rsidR="00862981">
        <w:fldChar w:fldCharType="begin"/>
      </w:r>
      <w:r w:rsidR="00862981">
        <w:instrText xml:space="preserve"> SEQ Figure \* ARABIC </w:instrText>
      </w:r>
      <w:r w:rsidR="00862981">
        <w:fldChar w:fldCharType="separate"/>
      </w:r>
      <w:r w:rsidR="000F2276">
        <w:rPr>
          <w:noProof/>
        </w:rPr>
        <w:t>19</w:t>
      </w:r>
      <w:r w:rsidR="00862981">
        <w:rPr>
          <w:noProof/>
        </w:rPr>
        <w:fldChar w:fldCharType="end"/>
      </w:r>
      <w:bookmarkEnd w:id="402"/>
      <w:r w:rsidR="003273B5" w:rsidRPr="003C0E2F">
        <w:t>. The effect</w:t>
      </w:r>
      <w:r w:rsidR="00D3097F" w:rsidRPr="003C0E2F">
        <w:t xml:space="preserve"> of FP7 on MIP-1α production in THP-1 </w:t>
      </w:r>
      <w:r w:rsidR="00395C63" w:rsidRPr="003C0E2F">
        <w:t>m</w:t>
      </w:r>
      <w:r w:rsidR="008F561F" w:rsidRPr="003C0E2F">
        <w:t>onocyte</w:t>
      </w:r>
      <w:r w:rsidR="00D3097F" w:rsidRPr="003C0E2F">
        <w:t xml:space="preserve">s. Cells were pre-treated with FP7 (0-5µM) for 1 hour prior to exposure to LPS (100ng/ml).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only</w:t>
      </w:r>
      <w:r w:rsidR="00BD3E38" w:rsidRPr="003C0E2F">
        <w:rPr>
          <w:rStyle w:val="NoSpacingChar"/>
          <w:i/>
        </w:rPr>
        <w:t xml:space="preserve">. </w:t>
      </w:r>
      <w:r w:rsidR="00D3097F" w:rsidRPr="003C0E2F">
        <w:t>MIP-1α production in culture cell lysates(A) and culture medium (B) were measured using ELISA after 18 hours (</w:t>
      </w:r>
      <w:proofErr w:type="spellStart"/>
      <w:r w:rsidR="00D3097F" w:rsidRPr="003C0E2F">
        <w:t>Ray</w:t>
      </w:r>
      <w:r w:rsidR="007134F8" w:rsidRPr="003C0E2F">
        <w:t>B</w:t>
      </w:r>
      <w:r w:rsidR="00D3097F" w:rsidRPr="003C0E2F">
        <w:t>iotech</w:t>
      </w:r>
      <w:proofErr w:type="spellEnd"/>
      <w:r w:rsidR="00D3097F" w:rsidRPr="003C0E2F">
        <w:t>). Results are shown as mean ±SD of three separate treatments. Statistically significant results are indicated as *** P&lt;0.001 ** P&lt;0.01 *P&lt;0.05 for control vs LPS and LPS vs LPS/FP7 treated samples.</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7F0C606F" w14:textId="0D969B18" w:rsidR="00F757DA" w:rsidRPr="003C0E2F" w:rsidRDefault="00F757DA" w:rsidP="00E959C5">
      <w:pPr>
        <w:pStyle w:val="NoSpacing"/>
        <w:rPr>
          <w:rFonts w:asciiTheme="minorHAnsi" w:eastAsiaTheme="minorEastAsia" w:hAnsiTheme="minorHAnsi" w:cstheme="minorBidi"/>
          <w:i w:val="0"/>
          <w:lang w:eastAsia="ja-JP"/>
        </w:rPr>
      </w:pPr>
      <w:r w:rsidRPr="003C0E2F">
        <w:rPr>
          <w:rFonts w:asciiTheme="minorHAnsi" w:eastAsiaTheme="minorEastAsia" w:hAnsiTheme="minorHAnsi" w:cstheme="minorBidi"/>
          <w:i w:val="0"/>
          <w:lang w:eastAsia="ja-JP"/>
        </w:rPr>
        <w:lastRenderedPageBreak/>
        <w:t>MIP-1α was downregulated by FP7 in medium MIP-1α (Figure 19</w:t>
      </w:r>
      <w:r w:rsidR="00D87DF9" w:rsidRPr="003C0E2F">
        <w:rPr>
          <w:rFonts w:asciiTheme="minorHAnsi" w:eastAsiaTheme="minorEastAsia" w:hAnsiTheme="minorHAnsi" w:cstheme="minorBidi"/>
          <w:i w:val="0"/>
          <w:lang w:eastAsia="ja-JP"/>
        </w:rPr>
        <w:t>B</w:t>
      </w:r>
      <w:r w:rsidRPr="003C0E2F">
        <w:rPr>
          <w:rFonts w:asciiTheme="minorHAnsi" w:eastAsiaTheme="minorEastAsia" w:hAnsiTheme="minorHAnsi" w:cstheme="minorBidi"/>
          <w:i w:val="0"/>
          <w:lang w:eastAsia="ja-JP"/>
        </w:rPr>
        <w:t>) while internal levels were unaffected (Figure 19</w:t>
      </w:r>
      <w:r w:rsidR="00D87DF9" w:rsidRPr="003C0E2F">
        <w:rPr>
          <w:rFonts w:asciiTheme="minorHAnsi" w:eastAsiaTheme="minorEastAsia" w:hAnsiTheme="minorHAnsi" w:cstheme="minorBidi"/>
          <w:i w:val="0"/>
          <w:lang w:eastAsia="ja-JP"/>
        </w:rPr>
        <w:t>A</w:t>
      </w:r>
      <w:r w:rsidRPr="003C0E2F">
        <w:rPr>
          <w:rFonts w:asciiTheme="minorHAnsi" w:eastAsiaTheme="minorEastAsia" w:hAnsiTheme="minorHAnsi" w:cstheme="minorBidi"/>
          <w:i w:val="0"/>
          <w:lang w:eastAsia="ja-JP"/>
        </w:rPr>
        <w:t xml:space="preserve">). FP7 significantly reduced MIP-1α at 10µM in medium, but cell lysates showed no significant reduction after overnight exposure. This suggests FP7 prevented release of MIP-1α. </w:t>
      </w:r>
    </w:p>
    <w:p w14:paraId="56CC9AE7" w14:textId="3CAFBAF2" w:rsidR="00D3097F" w:rsidRPr="003C0E2F" w:rsidRDefault="002F594A" w:rsidP="00C60F1F">
      <w:pPr>
        <w:pStyle w:val="NoSpacing"/>
        <w:jc w:val="center"/>
      </w:pPr>
      <w:r w:rsidRPr="003C0E2F">
        <w:object w:dxaOrig="6523" w:dyaOrig="4284" w14:anchorId="16EDD096">
          <v:shape id="_x0000_i1032" type="#_x0000_t75" style="width:353.4pt;height:230.4pt" o:ole="">
            <v:imagedata r:id="rId67" o:title=""/>
          </v:shape>
          <o:OLEObject Type="Embed" ProgID="Prism6.Document" ShapeID="_x0000_i1032" DrawAspect="Content" ObjectID="_1701584990" r:id="rId68"/>
        </w:object>
      </w:r>
    </w:p>
    <w:p w14:paraId="025F857C" w14:textId="4B4E0E32" w:rsidR="00D3097F" w:rsidRPr="003C0E2F" w:rsidRDefault="00763D37" w:rsidP="00A2094F">
      <w:pPr>
        <w:pStyle w:val="NoSpacing"/>
      </w:pPr>
      <w:bookmarkStart w:id="416" w:name="_Ref36759769"/>
      <w:bookmarkStart w:id="417" w:name="_Toc48514833"/>
      <w:bookmarkStart w:id="418" w:name="_Toc55583741"/>
      <w:bookmarkStart w:id="419" w:name="_Toc55584919"/>
      <w:bookmarkStart w:id="420" w:name="_Toc60584035"/>
      <w:bookmarkStart w:id="421" w:name="_Toc60638153"/>
      <w:bookmarkStart w:id="422" w:name="_Toc60638873"/>
      <w:bookmarkStart w:id="423" w:name="_Toc63112007"/>
      <w:bookmarkStart w:id="424" w:name="_Toc63112224"/>
      <w:bookmarkStart w:id="425" w:name="_Toc63270364"/>
      <w:bookmarkStart w:id="426" w:name="_Toc64533231"/>
      <w:bookmarkStart w:id="427" w:name="_Toc64551778"/>
      <w:bookmarkStart w:id="428" w:name="_Toc80013822"/>
      <w:bookmarkStart w:id="429" w:name="_Toc82882961"/>
      <w:r w:rsidRPr="003C0E2F">
        <w:t>Figure</w:t>
      </w:r>
      <w:r w:rsidR="00D3097F" w:rsidRPr="003C0E2F">
        <w:t xml:space="preserve"> </w:t>
      </w:r>
      <w:r w:rsidR="00862981">
        <w:fldChar w:fldCharType="begin"/>
      </w:r>
      <w:r w:rsidR="00862981">
        <w:instrText xml:space="preserve"> SEQ Figure \* ARABIC </w:instrText>
      </w:r>
      <w:r w:rsidR="00862981">
        <w:fldChar w:fldCharType="separate"/>
      </w:r>
      <w:r w:rsidR="000F2276">
        <w:rPr>
          <w:noProof/>
        </w:rPr>
        <w:t>20</w:t>
      </w:r>
      <w:r w:rsidR="00862981">
        <w:rPr>
          <w:noProof/>
        </w:rPr>
        <w:fldChar w:fldCharType="end"/>
      </w:r>
      <w:bookmarkEnd w:id="416"/>
      <w:r w:rsidR="003273B5" w:rsidRPr="003C0E2F">
        <w:t>. The effect</w:t>
      </w:r>
      <w:r w:rsidR="00D3097F" w:rsidRPr="003C0E2F">
        <w:t xml:space="preserve"> of FP7 on iCAM-1 production in THP-1 </w:t>
      </w:r>
      <w:r w:rsidR="00395C63" w:rsidRPr="003C0E2F">
        <w:t>m</w:t>
      </w:r>
      <w:r w:rsidR="008F561F" w:rsidRPr="003C0E2F">
        <w:t>onocyte</w:t>
      </w:r>
      <w:r w:rsidR="00D3097F" w:rsidRPr="003C0E2F">
        <w:t xml:space="preserve">s. Cells were pre-treated with FP7 (0-5µM) for 1 hour prior to exposure to LPS (100ng/ml).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only</w:t>
      </w:r>
      <w:r w:rsidR="00BD3E38" w:rsidRPr="003C0E2F">
        <w:rPr>
          <w:rStyle w:val="NoSpacingChar"/>
          <w:i/>
        </w:rPr>
        <w:t xml:space="preserve">. </w:t>
      </w:r>
      <w:r w:rsidR="00D3097F" w:rsidRPr="003C0E2F">
        <w:t>iCAM-1 production in culture medium was measured using ELISA after 18 hours (</w:t>
      </w:r>
      <w:proofErr w:type="spellStart"/>
      <w:r w:rsidR="00D3097F" w:rsidRPr="003C0E2F">
        <w:t>Ray</w:t>
      </w:r>
      <w:r w:rsidR="003C28EF" w:rsidRPr="003C0E2F">
        <w:t>B</w:t>
      </w:r>
      <w:r w:rsidR="00D3097F" w:rsidRPr="003C0E2F">
        <w:t>iotech</w:t>
      </w:r>
      <w:proofErr w:type="spellEnd"/>
      <w:r w:rsidR="00D3097F" w:rsidRPr="003C0E2F">
        <w:t>). Results are shown as mean ±SD of three separate treatments. Statistically significant results are indicated as *** P&lt;0.001 ** P&lt;0.01 *P&lt;0.05 for control vs LPS and LPS vs LPS/FP7 treated samples.</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373F69F4" w14:textId="77777777" w:rsidR="00FA7831" w:rsidRPr="003C0E2F" w:rsidRDefault="00FA7831" w:rsidP="00E959C5">
      <w:pPr>
        <w:pStyle w:val="NoSpacing"/>
      </w:pPr>
    </w:p>
    <w:p w14:paraId="2590994D" w14:textId="3EC1B693" w:rsidR="00D3097F" w:rsidRPr="003C0E2F" w:rsidRDefault="00F757DA" w:rsidP="00E959C5">
      <w:pPr>
        <w:pStyle w:val="NoSpacing"/>
        <w:rPr>
          <w:rFonts w:asciiTheme="minorHAnsi" w:eastAsiaTheme="minorEastAsia" w:hAnsiTheme="minorHAnsi" w:cstheme="minorBidi"/>
          <w:i w:val="0"/>
          <w:lang w:eastAsia="ja-JP"/>
        </w:rPr>
      </w:pPr>
      <w:r w:rsidRPr="003C0E2F">
        <w:rPr>
          <w:rFonts w:asciiTheme="minorHAnsi" w:eastAsiaTheme="minorEastAsia" w:hAnsiTheme="minorHAnsi" w:cstheme="minorBidi"/>
          <w:i w:val="0"/>
          <w:lang w:eastAsia="ja-JP"/>
        </w:rPr>
        <w:t xml:space="preserve">Further measurements of culture medium showed a similar </w:t>
      </w:r>
      <w:r w:rsidR="008F561F" w:rsidRPr="003C0E2F">
        <w:rPr>
          <w:rFonts w:asciiTheme="minorHAnsi" w:eastAsiaTheme="minorEastAsia" w:hAnsiTheme="minorHAnsi" w:cstheme="minorBidi"/>
          <w:i w:val="0"/>
          <w:lang w:eastAsia="ja-JP"/>
        </w:rPr>
        <w:t>effect</w:t>
      </w:r>
      <w:r w:rsidRPr="003C0E2F">
        <w:rPr>
          <w:rFonts w:asciiTheme="minorHAnsi" w:eastAsiaTheme="minorEastAsia" w:hAnsiTheme="minorHAnsi" w:cstheme="minorBidi"/>
          <w:i w:val="0"/>
          <w:lang w:eastAsia="ja-JP"/>
        </w:rPr>
        <w:t xml:space="preserve"> in ICAM and IL-1β. FP7 was capable of negatively regulating LPS stimulated production of ICAM-1 (Figure 20) and IL-1β (Figure 21). In this regard, FP7 showed the most pronounced </w:t>
      </w:r>
      <w:r w:rsidR="008F561F" w:rsidRPr="003C0E2F">
        <w:rPr>
          <w:rFonts w:asciiTheme="minorHAnsi" w:eastAsiaTheme="minorEastAsia" w:hAnsiTheme="minorHAnsi" w:cstheme="minorBidi"/>
          <w:i w:val="0"/>
          <w:lang w:eastAsia="ja-JP"/>
        </w:rPr>
        <w:t>effect</w:t>
      </w:r>
      <w:r w:rsidRPr="003C0E2F">
        <w:rPr>
          <w:rFonts w:asciiTheme="minorHAnsi" w:eastAsiaTheme="minorEastAsia" w:hAnsiTheme="minorHAnsi" w:cstheme="minorBidi"/>
          <w:i w:val="0"/>
          <w:lang w:eastAsia="ja-JP"/>
        </w:rPr>
        <w:t xml:space="preserve"> in IL-1β production as compared to any other.</w:t>
      </w:r>
    </w:p>
    <w:p w14:paraId="3755DBBE" w14:textId="1FA7D096" w:rsidR="00D3097F" w:rsidRPr="003C0E2F" w:rsidRDefault="002F594A" w:rsidP="00C60F1F">
      <w:pPr>
        <w:pStyle w:val="NoSpacing"/>
        <w:jc w:val="center"/>
      </w:pPr>
      <w:r w:rsidRPr="003C0E2F">
        <w:object w:dxaOrig="6206" w:dyaOrig="4284" w14:anchorId="3C67C0E4">
          <v:shape id="_x0000_i1033" type="#_x0000_t75" style="width:374.4pt;height:259.2pt" o:ole="">
            <v:imagedata r:id="rId69" o:title=""/>
          </v:shape>
          <o:OLEObject Type="Embed" ProgID="Prism6.Document" ShapeID="_x0000_i1033" DrawAspect="Content" ObjectID="_1701584991" r:id="rId70"/>
        </w:object>
      </w:r>
      <w:bookmarkStart w:id="430" w:name="_Ref36759831"/>
    </w:p>
    <w:p w14:paraId="73DBDE6A" w14:textId="035D309C" w:rsidR="00D3097F" w:rsidRPr="003C0E2F" w:rsidRDefault="00763D37" w:rsidP="00A2094F">
      <w:pPr>
        <w:pStyle w:val="NoSpacing"/>
      </w:pPr>
      <w:bookmarkStart w:id="431" w:name="_Toc48514834"/>
      <w:bookmarkStart w:id="432" w:name="_Toc55583742"/>
      <w:bookmarkStart w:id="433" w:name="_Toc55584920"/>
      <w:bookmarkStart w:id="434" w:name="_Toc60584036"/>
      <w:bookmarkStart w:id="435" w:name="_Toc60638154"/>
      <w:bookmarkStart w:id="436" w:name="_Toc60638874"/>
      <w:bookmarkStart w:id="437" w:name="_Toc63112008"/>
      <w:bookmarkStart w:id="438" w:name="_Toc63112225"/>
      <w:bookmarkStart w:id="439" w:name="_Toc63270365"/>
      <w:bookmarkStart w:id="440" w:name="_Toc64533232"/>
      <w:bookmarkStart w:id="441" w:name="_Toc64551779"/>
      <w:bookmarkStart w:id="442" w:name="_Toc80013823"/>
      <w:bookmarkStart w:id="443" w:name="_Toc82882962"/>
      <w:r w:rsidRPr="003C0E2F">
        <w:t>Figure</w:t>
      </w:r>
      <w:r w:rsidR="00D3097F" w:rsidRPr="003C0E2F">
        <w:t xml:space="preserve"> </w:t>
      </w:r>
      <w:r w:rsidR="00862981">
        <w:fldChar w:fldCharType="begin"/>
      </w:r>
      <w:r w:rsidR="00862981">
        <w:instrText xml:space="preserve"> SEQ Figure \* ARABIC </w:instrText>
      </w:r>
      <w:r w:rsidR="00862981">
        <w:fldChar w:fldCharType="separate"/>
      </w:r>
      <w:r w:rsidR="000F2276">
        <w:rPr>
          <w:noProof/>
        </w:rPr>
        <w:t>21</w:t>
      </w:r>
      <w:r w:rsidR="00862981">
        <w:rPr>
          <w:noProof/>
        </w:rPr>
        <w:fldChar w:fldCharType="end"/>
      </w:r>
      <w:bookmarkEnd w:id="430"/>
      <w:r w:rsidR="003273B5" w:rsidRPr="003C0E2F">
        <w:t>. The effect</w:t>
      </w:r>
      <w:r w:rsidR="00D3097F" w:rsidRPr="003C0E2F">
        <w:t xml:space="preserve"> of FP7 on IL-1b production in THP-1 </w:t>
      </w:r>
      <w:r w:rsidR="00395C63" w:rsidRPr="003C0E2F">
        <w:t>m</w:t>
      </w:r>
      <w:r w:rsidR="003273B5" w:rsidRPr="003C0E2F">
        <w:t>onocyte</w:t>
      </w:r>
      <w:r w:rsidR="00D3097F" w:rsidRPr="003C0E2F">
        <w:t xml:space="preserve">s. Cells were pre-treated with FP7 (0-5µM) for 1 hour prior to exposure to LPS (100ng/ml).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only</w:t>
      </w:r>
      <w:r w:rsidR="00BD3E38" w:rsidRPr="003C0E2F">
        <w:rPr>
          <w:rStyle w:val="NoSpacingChar"/>
          <w:i/>
        </w:rPr>
        <w:t xml:space="preserve">. </w:t>
      </w:r>
      <w:r w:rsidR="00D3097F" w:rsidRPr="003C0E2F">
        <w:t xml:space="preserve">IL-1β production in culture medium was measured using ELISA </w:t>
      </w:r>
      <w:bookmarkStart w:id="444" w:name="OLE_LINK4"/>
      <w:r w:rsidR="00D3097F" w:rsidRPr="003C0E2F">
        <w:t xml:space="preserve">after 18 hours </w:t>
      </w:r>
      <w:bookmarkEnd w:id="444"/>
      <w:r w:rsidR="00D3097F" w:rsidRPr="003C0E2F">
        <w:t>(</w:t>
      </w:r>
      <w:proofErr w:type="spellStart"/>
      <w:r w:rsidR="00D3097F" w:rsidRPr="003C0E2F">
        <w:t>Ray</w:t>
      </w:r>
      <w:r w:rsidR="007134F8" w:rsidRPr="003C0E2F">
        <w:t>B</w:t>
      </w:r>
      <w:r w:rsidR="00D3097F" w:rsidRPr="003C0E2F">
        <w:t>iotech</w:t>
      </w:r>
      <w:proofErr w:type="spellEnd"/>
      <w:r w:rsidR="00D3097F" w:rsidRPr="003C0E2F">
        <w:t>). Results are shown as mean ±SD of three separate treatments. Statistically significant results are indicated as *** P&lt;0.001 ** P&lt;0.01 *P&lt;0.05 for control vs LPS and LPS vs LPS/FP7 treated samples.</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42B824BF" w14:textId="73363D66" w:rsidR="00F5580E" w:rsidRPr="003C0E2F" w:rsidRDefault="00F5580E" w:rsidP="00E959C5">
      <w:pPr>
        <w:pStyle w:val="NoSpacing"/>
      </w:pPr>
    </w:p>
    <w:p w14:paraId="2AA421CB" w14:textId="63FFFBD7" w:rsidR="008E3FA7" w:rsidRPr="003C0E2F" w:rsidRDefault="008E3FA7" w:rsidP="008E3FA7">
      <w:pPr>
        <w:rPr>
          <w:rFonts w:cstheme="minorHAnsi"/>
        </w:rPr>
      </w:pPr>
      <w:r w:rsidRPr="003C0E2F">
        <w:t>While these proinflammatory proteins are all dependent on LPS and TLR4 signalling, various secondary effects come into action following initial signalling by TLR4. For example, NLRP3 inflammasome activation is required for IL-1</w:t>
      </w:r>
      <w:r w:rsidRPr="003C0E2F">
        <w:rPr>
          <w:rFonts w:cstheme="minorHAnsi"/>
        </w:rPr>
        <w:t>β</w:t>
      </w:r>
      <w:r w:rsidRPr="003C0E2F">
        <w:t xml:space="preserve"> </w:t>
      </w:r>
      <w:proofErr w:type="gramStart"/>
      <w:r w:rsidRPr="003C0E2F">
        <w:t>activation ,</w:t>
      </w:r>
      <w:proofErr w:type="gramEnd"/>
      <w:r w:rsidRPr="003C0E2F">
        <w:t xml:space="preserve"> subsequent autocrine activation of cytokine receptor, for example by TNF</w:t>
      </w:r>
      <w:r w:rsidRPr="003C0E2F">
        <w:rPr>
          <w:rFonts w:cstheme="minorHAnsi"/>
        </w:rPr>
        <w:t>α</w:t>
      </w:r>
      <w:r w:rsidRPr="003C0E2F">
        <w:t xml:space="preserve"> and IL-1</w:t>
      </w:r>
      <w:r w:rsidRPr="003C0E2F">
        <w:rPr>
          <w:rFonts w:cstheme="minorHAnsi"/>
        </w:rPr>
        <w:t xml:space="preserve">β, which can affect levels of IL-8 expression </w:t>
      </w:r>
      <w:sdt>
        <w:sdtPr>
          <w:rPr>
            <w:rFonts w:cstheme="minorHAnsi"/>
          </w:rPr>
          <w:tag w:val="MENDELEY_CITATION_v3_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"/>
          <w:id w:val="-498190496"/>
          <w:placeholder>
            <w:docPart w:val="50145DF6F66F4F948ED8BFA8ED19811D"/>
          </w:placeholder>
        </w:sdtPr>
        <w:sdtEndPr/>
        <w:sdtContent>
          <w:r w:rsidR="00F257B9">
            <w:rPr>
              <w:rFonts w:eastAsia="Times New Roman"/>
            </w:rPr>
            <w:t>(</w:t>
          </w:r>
          <w:proofErr w:type="spellStart"/>
          <w:r w:rsidR="00F257B9">
            <w:rPr>
              <w:rFonts w:eastAsia="Times New Roman"/>
            </w:rPr>
            <w:t>Cassatella</w:t>
          </w:r>
          <w:proofErr w:type="spellEnd"/>
          <w:r w:rsidR="00F257B9">
            <w:rPr>
              <w:rFonts w:eastAsia="Times New Roman"/>
            </w:rPr>
            <w:t xml:space="preserve"> </w:t>
          </w:r>
          <w:r w:rsidR="00F257B9">
            <w:rPr>
              <w:rFonts w:eastAsia="Times New Roman"/>
              <w:i/>
              <w:iCs/>
            </w:rPr>
            <w:t>et al.</w:t>
          </w:r>
          <w:r w:rsidR="00F257B9">
            <w:rPr>
              <w:rFonts w:eastAsia="Times New Roman"/>
            </w:rPr>
            <w:t>, 1993)</w:t>
          </w:r>
        </w:sdtContent>
      </w:sdt>
      <w:r w:rsidRPr="003C0E2F">
        <w:rPr>
          <w:rFonts w:cstheme="minorHAnsi"/>
        </w:rPr>
        <w:t xml:space="preserve"> </w:t>
      </w:r>
      <w:r w:rsidRPr="003C0E2F">
        <w:t>and further synergistic effects may occur, as seen in VEGF production dependent IL-6 signalling which can be increased in conjunction with IL-1</w:t>
      </w:r>
      <w:r w:rsidRPr="003C0E2F">
        <w:rPr>
          <w:rFonts w:cstheme="minorHAnsi"/>
        </w:rPr>
        <w:t>β</w:t>
      </w:r>
      <w:r w:rsidRPr="003C0E2F">
        <w:t xml:space="preserve"> or TNF</w:t>
      </w:r>
      <w:r w:rsidRPr="003C0E2F">
        <w:rPr>
          <w:rFonts w:cstheme="minorHAnsi"/>
        </w:rPr>
        <w:t>α</w:t>
      </w:r>
      <w:r w:rsidRPr="003C0E2F">
        <w:t xml:space="preserve"> </w:t>
      </w:r>
      <w:sdt>
        <w:sdtPr>
          <w:tag w:val="MENDELEY_CITATION_v3_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"/>
          <w:id w:val="-965118130"/>
          <w:placeholder>
            <w:docPart w:val="59250FF165D04BF085A61A7192071464"/>
          </w:placeholder>
        </w:sdtPr>
        <w:sdtEndPr/>
        <w:sdtContent>
          <w:r w:rsidR="00F257B9">
            <w:rPr>
              <w:rFonts w:eastAsia="Times New Roman"/>
            </w:rPr>
            <w:t xml:space="preserve">(Nakahara </w:t>
          </w:r>
          <w:r w:rsidR="00F257B9">
            <w:rPr>
              <w:rFonts w:eastAsia="Times New Roman"/>
              <w:i/>
              <w:iCs/>
            </w:rPr>
            <w:t>et al.</w:t>
          </w:r>
          <w:r w:rsidR="00F257B9">
            <w:rPr>
              <w:rFonts w:eastAsia="Times New Roman"/>
            </w:rPr>
            <w:t>, 2003)</w:t>
          </w:r>
        </w:sdtContent>
      </w:sdt>
      <w:r w:rsidRPr="003C0E2F">
        <w:t>. This effect effects may account for the different levels of upregulation of different cytokines following TLR4 signalling.</w:t>
      </w:r>
    </w:p>
    <w:p w14:paraId="741235D0" w14:textId="2628BC25" w:rsidR="007C2721" w:rsidRPr="003C0E2F" w:rsidRDefault="007C2721" w:rsidP="00BE5236">
      <w:bookmarkStart w:id="445" w:name="_Toc38543295"/>
      <w:bookmarkStart w:id="446" w:name="OLE_LINK6"/>
    </w:p>
    <w:p w14:paraId="2775056D" w14:textId="23815457" w:rsidR="00D3097F" w:rsidRPr="003C0E2F" w:rsidRDefault="00D3097F" w:rsidP="00D55B0E">
      <w:pPr>
        <w:pStyle w:val="Heading3"/>
      </w:pPr>
      <w:bookmarkStart w:id="447" w:name="_Toc80013768"/>
      <w:bookmarkStart w:id="448" w:name="_Toc82882388"/>
      <w:r w:rsidRPr="003C0E2F">
        <w:lastRenderedPageBreak/>
        <w:t>FP7 negatively regulate</w:t>
      </w:r>
      <w:r w:rsidR="00CA2DAB" w:rsidRPr="003C0E2F">
        <w:t>s</w:t>
      </w:r>
      <w:r w:rsidRPr="003C0E2F">
        <w:t xml:space="preserve"> the production of TLR4/</w:t>
      </w:r>
      <w:r w:rsidR="00932BC2" w:rsidRPr="003C0E2F">
        <w:t>MyD88</w:t>
      </w:r>
      <w:r w:rsidRPr="003C0E2F">
        <w:t>-</w:t>
      </w:r>
      <w:r w:rsidR="009E0322" w:rsidRPr="003C0E2F">
        <w:t>dependent</w:t>
      </w:r>
      <w:r w:rsidRPr="003C0E2F">
        <w:t xml:space="preserve"> proinflammatory signalling in THP-1 derived human </w:t>
      </w:r>
      <w:r w:rsidR="008F561F" w:rsidRPr="003C0E2F">
        <w:t>macrophage</w:t>
      </w:r>
      <w:r w:rsidRPr="003C0E2F">
        <w:t>s</w:t>
      </w:r>
      <w:bookmarkEnd w:id="445"/>
      <w:bookmarkEnd w:id="447"/>
      <w:bookmarkEnd w:id="448"/>
    </w:p>
    <w:bookmarkEnd w:id="446"/>
    <w:p w14:paraId="23F25D4B" w14:textId="1F64E511" w:rsidR="00FA7831" w:rsidRPr="003C0E2F" w:rsidRDefault="003273B5" w:rsidP="00BE5236">
      <w:r w:rsidRPr="003C0E2F">
        <w:t>Monocyte</w:t>
      </w:r>
      <w:r w:rsidR="00F757DA" w:rsidRPr="003C0E2F">
        <w:t xml:space="preserve">s are mobile and circulate in the blood and are recruited to specific locations via chemoattractant molecules. In atherosclerosis, </w:t>
      </w:r>
      <w:r w:rsidR="008F561F" w:rsidRPr="003C0E2F">
        <w:t>monocyte</w:t>
      </w:r>
      <w:r w:rsidR="00F757DA" w:rsidRPr="003C0E2F">
        <w:t xml:space="preserve">s cross the endothelial barrier and differentiate into more static </w:t>
      </w:r>
      <w:r w:rsidR="008F561F" w:rsidRPr="003C0E2F">
        <w:t>macrophage</w:t>
      </w:r>
      <w:r w:rsidR="00F757DA" w:rsidRPr="003C0E2F">
        <w:t xml:space="preserve">s within plaques where they contribute to the sustained inflammatory response. The response of </w:t>
      </w:r>
      <w:r w:rsidR="008F561F" w:rsidRPr="003C0E2F">
        <w:t>macrophage</w:t>
      </w:r>
      <w:r w:rsidR="00F757DA" w:rsidRPr="003C0E2F">
        <w:t xml:space="preserve">s may differ from </w:t>
      </w:r>
      <w:r w:rsidR="008F561F" w:rsidRPr="003C0E2F">
        <w:t>monocyte</w:t>
      </w:r>
      <w:r w:rsidR="00F757DA" w:rsidRPr="003C0E2F">
        <w:t xml:space="preserve">s in the level of cytokine production. Both cell types, </w:t>
      </w:r>
      <w:r w:rsidR="008F561F" w:rsidRPr="003C0E2F">
        <w:t>monocyte</w:t>
      </w:r>
      <w:r w:rsidR="007A7EEE" w:rsidRPr="003C0E2F">
        <w:t>s,</w:t>
      </w:r>
      <w:r w:rsidR="00F757DA" w:rsidRPr="003C0E2F">
        <w:t xml:space="preserve"> and </w:t>
      </w:r>
      <w:r w:rsidR="008F561F" w:rsidRPr="003C0E2F">
        <w:t>macrophage</w:t>
      </w:r>
      <w:r w:rsidR="00F757DA" w:rsidRPr="003C0E2F">
        <w:t xml:space="preserve">s, express TLR4 on the cell surface. Following LPS exposure, </w:t>
      </w:r>
      <w:r w:rsidR="008F561F" w:rsidRPr="003C0E2F">
        <w:t>macrophage</w:t>
      </w:r>
      <w:r w:rsidR="00F757DA" w:rsidRPr="003C0E2F">
        <w:t>s were polari</w:t>
      </w:r>
      <w:r w:rsidR="000719FA" w:rsidRPr="003C0E2F">
        <w:t>sed</w:t>
      </w:r>
      <w:r w:rsidR="00F757DA" w:rsidRPr="003C0E2F">
        <w:t xml:space="preserve"> as M1 type </w:t>
      </w:r>
      <w:r w:rsidR="008F561F" w:rsidRPr="003C0E2F">
        <w:t>macrophage</w:t>
      </w:r>
      <w:r w:rsidR="00F757DA" w:rsidRPr="003C0E2F">
        <w:t>s and produced release various cytokines and chemokines in the process of inflammatory response.</w:t>
      </w:r>
    </w:p>
    <w:p w14:paraId="41134FE0" w14:textId="77777777" w:rsidR="00F757DA" w:rsidRPr="003C0E2F" w:rsidRDefault="00F757DA" w:rsidP="00BE5236"/>
    <w:p w14:paraId="729CA258" w14:textId="22A36061" w:rsidR="005B10E5" w:rsidRPr="003C0E2F" w:rsidRDefault="002F594A" w:rsidP="00BE5236">
      <w:r w:rsidRPr="003C0E2F">
        <w:object w:dxaOrig="10831" w:dyaOrig="4109" w14:anchorId="3DC61190">
          <v:shape id="_x0000_i1034" type="#_x0000_t75" style="width:453.6pt;height:172.8pt" o:ole="">
            <v:imagedata r:id="rId71" o:title=""/>
          </v:shape>
          <o:OLEObject Type="Embed" ProgID="Prism6.Document" ShapeID="_x0000_i1034" DrawAspect="Content" ObjectID="_1701584992" r:id="rId72"/>
        </w:object>
      </w:r>
    </w:p>
    <w:p w14:paraId="7E0CEC6C" w14:textId="3ED00091" w:rsidR="005B10E5" w:rsidRPr="003C0E2F" w:rsidRDefault="00763D37" w:rsidP="00A2094F">
      <w:pPr>
        <w:pStyle w:val="NoSpacing"/>
      </w:pPr>
      <w:bookmarkStart w:id="449" w:name="_Ref36765396"/>
      <w:bookmarkStart w:id="450" w:name="_Toc48514835"/>
      <w:bookmarkStart w:id="451" w:name="_Toc55583743"/>
      <w:bookmarkStart w:id="452" w:name="_Toc55584921"/>
      <w:bookmarkStart w:id="453" w:name="_Toc60584037"/>
      <w:bookmarkStart w:id="454" w:name="_Toc60638155"/>
      <w:bookmarkStart w:id="455" w:name="_Toc60638875"/>
      <w:bookmarkStart w:id="456" w:name="_Toc63112009"/>
      <w:bookmarkStart w:id="457" w:name="_Toc63112226"/>
      <w:bookmarkStart w:id="458" w:name="_Toc63270366"/>
      <w:bookmarkStart w:id="459" w:name="_Toc64533233"/>
      <w:bookmarkStart w:id="460" w:name="_Toc64551780"/>
      <w:bookmarkStart w:id="461" w:name="_Toc80013824"/>
      <w:bookmarkStart w:id="462" w:name="_Toc82882963"/>
      <w:r w:rsidRPr="003C0E2F">
        <w:t>Figure</w:t>
      </w:r>
      <w:r w:rsidR="005B10E5" w:rsidRPr="003C0E2F">
        <w:t xml:space="preserve"> </w:t>
      </w:r>
      <w:r w:rsidR="00862981">
        <w:fldChar w:fldCharType="begin"/>
      </w:r>
      <w:r w:rsidR="00862981">
        <w:instrText xml:space="preserve"> SEQ Figure \* ARABIC </w:instrText>
      </w:r>
      <w:r w:rsidR="00862981">
        <w:fldChar w:fldCharType="separate"/>
      </w:r>
      <w:r w:rsidR="000F2276">
        <w:rPr>
          <w:noProof/>
        </w:rPr>
        <w:t>22</w:t>
      </w:r>
      <w:r w:rsidR="00862981">
        <w:rPr>
          <w:noProof/>
        </w:rPr>
        <w:fldChar w:fldCharType="end"/>
      </w:r>
      <w:bookmarkEnd w:id="449"/>
      <w:r w:rsidR="003273B5" w:rsidRPr="003C0E2F">
        <w:t>. The effect</w:t>
      </w:r>
      <w:r w:rsidR="005B10E5" w:rsidRPr="003C0E2F">
        <w:t xml:space="preserve"> of FP7 on IL-8</w:t>
      </w:r>
      <w:r w:rsidR="008A689E" w:rsidRPr="003C0E2F">
        <w:t xml:space="preserve"> and IL-6</w:t>
      </w:r>
      <w:r w:rsidR="005B10E5" w:rsidRPr="003C0E2F">
        <w:t xml:space="preserve"> production in THP-1 </w:t>
      </w:r>
      <w:r w:rsidR="00395C63" w:rsidRPr="003C0E2F">
        <w:t>m</w:t>
      </w:r>
      <w:r w:rsidR="008F561F" w:rsidRPr="003C0E2F">
        <w:t>acrophage</w:t>
      </w:r>
      <w:r w:rsidR="005B10E5" w:rsidRPr="003C0E2F">
        <w:t>s. Cells were pre-treated with FP7 (0-10µM) for 1 hour before being exposed to LPS (100ng/ml) and incubated overnight.</w:t>
      </w:r>
      <w:r w:rsidR="00F01D38" w:rsidRPr="003C0E2F">
        <w:rPr>
          <w:rStyle w:val="NoSpacingChar"/>
          <w:i/>
        </w:rPr>
        <w:t xml:space="preserve">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only</w:t>
      </w:r>
      <w:r w:rsidR="00BD3E38" w:rsidRPr="003C0E2F">
        <w:rPr>
          <w:rStyle w:val="NoSpacingChar"/>
          <w:i/>
        </w:rPr>
        <w:t xml:space="preserve">. </w:t>
      </w:r>
      <w:r w:rsidR="005B10E5" w:rsidRPr="003C0E2F">
        <w:t xml:space="preserve"> Levels of</w:t>
      </w:r>
      <w:r w:rsidR="008A689E" w:rsidRPr="003C0E2F">
        <w:t xml:space="preserve"> (A)</w:t>
      </w:r>
      <w:r w:rsidR="005B10E5" w:rsidRPr="003C0E2F">
        <w:t xml:space="preserve"> IL-8 </w:t>
      </w:r>
      <w:r w:rsidR="008A689E" w:rsidRPr="003C0E2F">
        <w:t xml:space="preserve">and (B) IL-6 </w:t>
      </w:r>
      <w:r w:rsidR="005B10E5" w:rsidRPr="003C0E2F">
        <w:t>present in culture medium was measured using ELISA (Ray-Biotech, USA). Results are shown as mean ±SD of three separate treatments. Statistically significant results are indicated as *** P&lt;0.001 ** P&lt;0.01 *P&lt;0.05 for control vs LPS and LPS vs LPS+FP7 treated samples.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E3B8EA4" w14:textId="77777777" w:rsidR="005B10E5" w:rsidRPr="003C0E2F" w:rsidRDefault="005B10E5" w:rsidP="00E959C5">
      <w:pPr>
        <w:pStyle w:val="NoSpacing"/>
      </w:pPr>
    </w:p>
    <w:p w14:paraId="425A931A" w14:textId="035B9843" w:rsidR="00D3097F" w:rsidRPr="003C0E2F" w:rsidRDefault="00F757DA" w:rsidP="00BE5236">
      <w:r w:rsidRPr="003C0E2F">
        <w:lastRenderedPageBreak/>
        <w:t xml:space="preserve">The </w:t>
      </w:r>
      <w:r w:rsidR="008F561F" w:rsidRPr="003C0E2F">
        <w:t>effect</w:t>
      </w:r>
      <w:r w:rsidRPr="003C0E2F">
        <w:t xml:space="preserve"> of FP7 on LPS</w:t>
      </w:r>
      <w:r w:rsidR="000A1BFB" w:rsidRPr="003C0E2F">
        <w:t xml:space="preserve"> induced</w:t>
      </w:r>
      <w:r w:rsidRPr="003C0E2F">
        <w:t xml:space="preserve"> proinflammatory signalling was explored further in THP-1 </w:t>
      </w:r>
      <w:r w:rsidR="008F561F" w:rsidRPr="003C0E2F">
        <w:t>macrophage</w:t>
      </w:r>
      <w:r w:rsidRPr="003C0E2F">
        <w:t xml:space="preserve">s. ELISA was used to determine levels of IL-6 and IL-8 release in the culture medium following LPS stimulation. A similar pattern was seen, as in THP-1 </w:t>
      </w:r>
      <w:r w:rsidR="008F561F" w:rsidRPr="003C0E2F">
        <w:t>monocyte</w:t>
      </w:r>
      <w:r w:rsidRPr="003C0E2F">
        <w:t>s. LPS</w:t>
      </w:r>
      <w:r w:rsidR="000A1BFB" w:rsidRPr="003C0E2F">
        <w:t xml:space="preserve"> induced</w:t>
      </w:r>
      <w:r w:rsidRPr="003C0E2F">
        <w:t xml:space="preserve"> production of IL-6 and IL-8 was downregulated following LPS stimulation of cells (Figure 22). FP7 significantly reduced IL-6 production with as little as 0.1 µM compared to LPS activated samples and reduced this to a level almost comparable to the control at 10 µM treatment. IL-8 was downregulated to a level comparable to the control following treatment with only 1 µM FP7. This suggests that FP7 can reduce TLR4</w:t>
      </w:r>
      <w:r w:rsidR="000A1BFB" w:rsidRPr="003C0E2F">
        <w:t xml:space="preserve"> induced</w:t>
      </w:r>
      <w:r w:rsidRPr="003C0E2F">
        <w:t xml:space="preserve"> cytokine production in THP-1 derived </w:t>
      </w:r>
      <w:r w:rsidR="008F561F" w:rsidRPr="003C0E2F">
        <w:t>macrophage</w:t>
      </w:r>
      <w:r w:rsidRPr="003C0E2F">
        <w:t xml:space="preserve">s as well as </w:t>
      </w:r>
      <w:r w:rsidR="008F561F" w:rsidRPr="003C0E2F">
        <w:t>monocyte</w:t>
      </w:r>
      <w:r w:rsidRPr="003C0E2F">
        <w:t>s.</w:t>
      </w:r>
    </w:p>
    <w:p w14:paraId="4E7B67E1" w14:textId="77777777" w:rsidR="00F757DA" w:rsidRPr="003C0E2F" w:rsidRDefault="00F757DA" w:rsidP="00BE5236"/>
    <w:p w14:paraId="27CA3712" w14:textId="1D920C60" w:rsidR="00D3097F" w:rsidRPr="003C0E2F" w:rsidRDefault="002F594A" w:rsidP="00BE5236">
      <w:r w:rsidRPr="003C0E2F">
        <w:object w:dxaOrig="11503" w:dyaOrig="5489" w14:anchorId="3B4AEE54">
          <v:shape id="_x0000_i1035" type="#_x0000_t75" style="width:453.6pt;height:3in" o:ole="">
            <v:imagedata r:id="rId73" o:title=""/>
          </v:shape>
          <o:OLEObject Type="Embed" ProgID="Prism6.Document" ShapeID="_x0000_i1035" DrawAspect="Content" ObjectID="_1701584993" r:id="rId74"/>
        </w:object>
      </w:r>
    </w:p>
    <w:p w14:paraId="792277DD" w14:textId="76D30A4A" w:rsidR="009829F7" w:rsidRPr="003C0E2F" w:rsidRDefault="00763D37" w:rsidP="00A2094F">
      <w:pPr>
        <w:pStyle w:val="NoSpacing"/>
      </w:pPr>
      <w:bookmarkStart w:id="463" w:name="_Ref37404749"/>
      <w:bookmarkStart w:id="464" w:name="_Ref37404684"/>
      <w:bookmarkStart w:id="465" w:name="_Toc48514836"/>
      <w:bookmarkStart w:id="466" w:name="_Toc55583744"/>
      <w:bookmarkStart w:id="467" w:name="_Toc55584922"/>
      <w:bookmarkStart w:id="468" w:name="_Toc60584038"/>
      <w:bookmarkStart w:id="469" w:name="_Toc60638156"/>
      <w:bookmarkStart w:id="470" w:name="_Toc60638876"/>
      <w:bookmarkStart w:id="471" w:name="_Toc63112010"/>
      <w:bookmarkStart w:id="472" w:name="_Toc63112227"/>
      <w:bookmarkStart w:id="473" w:name="_Toc63270367"/>
      <w:bookmarkStart w:id="474" w:name="_Toc64533234"/>
      <w:bookmarkStart w:id="475" w:name="_Toc64551781"/>
      <w:bookmarkStart w:id="476" w:name="_Toc80013825"/>
      <w:bookmarkStart w:id="477" w:name="_Toc82882964"/>
      <w:r w:rsidRPr="003C0E2F">
        <w:t>Figure</w:t>
      </w:r>
      <w:r w:rsidR="00D3097F" w:rsidRPr="003C0E2F">
        <w:t xml:space="preserve"> </w:t>
      </w:r>
      <w:r w:rsidR="00862981">
        <w:fldChar w:fldCharType="begin"/>
      </w:r>
      <w:r w:rsidR="00862981">
        <w:instrText xml:space="preserve"> SEQ Figure \* ARABIC </w:instrText>
      </w:r>
      <w:r w:rsidR="00862981">
        <w:fldChar w:fldCharType="separate"/>
      </w:r>
      <w:r w:rsidR="000F2276">
        <w:rPr>
          <w:noProof/>
        </w:rPr>
        <w:t>23</w:t>
      </w:r>
      <w:r w:rsidR="00862981">
        <w:rPr>
          <w:noProof/>
        </w:rPr>
        <w:fldChar w:fldCharType="end"/>
      </w:r>
      <w:bookmarkEnd w:id="463"/>
      <w:r w:rsidR="003273B5" w:rsidRPr="003C0E2F">
        <w:t>. The effect</w:t>
      </w:r>
      <w:r w:rsidR="00D3097F" w:rsidRPr="003C0E2F">
        <w:t xml:space="preserve"> of FP7 on</w:t>
      </w:r>
      <w:r w:rsidR="00C01CEE" w:rsidRPr="003C0E2F">
        <w:t xml:space="preserve"> </w:t>
      </w:r>
      <w:r w:rsidR="00274B79" w:rsidRPr="003C0E2F">
        <w:t>P65/NF-</w:t>
      </w:r>
      <w:proofErr w:type="spellStart"/>
      <w:r w:rsidR="00274B79" w:rsidRPr="003C0E2F">
        <w:t>κB</w:t>
      </w:r>
      <w:proofErr w:type="spellEnd"/>
      <w:r w:rsidR="00274B79" w:rsidRPr="003C0E2F">
        <w:t xml:space="preserve"> </w:t>
      </w:r>
      <w:r w:rsidR="00D3097F" w:rsidRPr="003C0E2F">
        <w:t xml:space="preserve">and </w:t>
      </w:r>
      <w:r w:rsidR="00274B79" w:rsidRPr="003C0E2F">
        <w:t>P38</w:t>
      </w:r>
      <w:r w:rsidR="00D3097F" w:rsidRPr="003C0E2F">
        <w:t xml:space="preserve"> </w:t>
      </w:r>
      <w:r w:rsidR="00C01CEE" w:rsidRPr="003C0E2F">
        <w:t xml:space="preserve">MAPK </w:t>
      </w:r>
      <w:r w:rsidR="00D3097F" w:rsidRPr="003C0E2F">
        <w:t xml:space="preserve">phosphorylation in THP-1 </w:t>
      </w:r>
      <w:r w:rsidR="008F561F" w:rsidRPr="003C0E2F">
        <w:t>macrophage</w:t>
      </w:r>
      <w:r w:rsidR="00D3097F" w:rsidRPr="003C0E2F">
        <w:t>s. Cells were pre-treated with FP7 (0-10µM) for 1 hour before being exposed to LPS (100ng/ml) for 1 hour</w:t>
      </w:r>
      <w:r w:rsidR="00F01D38" w:rsidRPr="003C0E2F">
        <w:t xml:space="preserve">.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only</w:t>
      </w:r>
      <w:r w:rsidR="00BD3E38" w:rsidRPr="003C0E2F">
        <w:rPr>
          <w:rStyle w:val="NoSpacingChar"/>
          <w:i/>
        </w:rPr>
        <w:t xml:space="preserve">. </w:t>
      </w:r>
      <w:r w:rsidR="00D3097F" w:rsidRPr="003C0E2F">
        <w:t xml:space="preserve">Cell lysate was analysed via </w:t>
      </w:r>
      <w:r w:rsidR="00030A76" w:rsidRPr="003C0E2F">
        <w:t>Western</w:t>
      </w:r>
      <w:r w:rsidR="00D3097F" w:rsidRPr="003C0E2F">
        <w:t xml:space="preserve"> blot to determine levels of </w:t>
      </w:r>
      <w:r w:rsidR="00274B79" w:rsidRPr="003C0E2F">
        <w:t>P65/NF-</w:t>
      </w:r>
      <w:proofErr w:type="spellStart"/>
      <w:r w:rsidR="00274B79" w:rsidRPr="003C0E2F">
        <w:t>κB</w:t>
      </w:r>
      <w:proofErr w:type="spellEnd"/>
      <w:r w:rsidR="00274B79" w:rsidRPr="003C0E2F">
        <w:t xml:space="preserve"> </w:t>
      </w:r>
      <w:r w:rsidR="00D3097F" w:rsidRPr="003C0E2F">
        <w:t xml:space="preserve">and </w:t>
      </w:r>
      <w:r w:rsidR="00274B79" w:rsidRPr="003C0E2F">
        <w:t>P38</w:t>
      </w:r>
      <w:r w:rsidR="007A74C2" w:rsidRPr="003C0E2F">
        <w:t xml:space="preserve"> MAPK</w:t>
      </w:r>
      <w:r w:rsidR="00D3097F" w:rsidRPr="003C0E2F">
        <w:t xml:space="preserve"> phosphorylation. Results are shown as mean ±SD of three separate treatments. Statistically significant results are indicated as *** P&lt;0.001 ** P&lt;0.01 *P&lt;0.05 for control vs LPS and LPS vs LPS+FP7 treated samples.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1BEBC4A9" w14:textId="77777777" w:rsidR="00FA7831" w:rsidRPr="003C0E2F" w:rsidRDefault="00FA7831" w:rsidP="009829F7"/>
    <w:p w14:paraId="13AF7EB0" w14:textId="3546A605" w:rsidR="00D3097F" w:rsidRPr="003C0E2F" w:rsidRDefault="00F757DA" w:rsidP="008B440A">
      <w:r w:rsidRPr="003C0E2F">
        <w:t xml:space="preserve">TLR4 activations results in downstream phosphorylation of </w:t>
      </w:r>
      <w:r w:rsidR="00274B79" w:rsidRPr="003C0E2F">
        <w:t>P65/NF-</w:t>
      </w:r>
      <w:proofErr w:type="spellStart"/>
      <w:r w:rsidR="00274B79" w:rsidRPr="003C0E2F">
        <w:t>κB</w:t>
      </w:r>
      <w:proofErr w:type="spellEnd"/>
      <w:r w:rsidR="00274B79" w:rsidRPr="003C0E2F">
        <w:t xml:space="preserve"> </w:t>
      </w:r>
      <w:r w:rsidRPr="003C0E2F">
        <w:t xml:space="preserve">and </w:t>
      </w:r>
      <w:r w:rsidR="00274B79" w:rsidRPr="003C0E2F">
        <w:t>P38</w:t>
      </w:r>
      <w:r w:rsidRPr="003C0E2F">
        <w:t xml:space="preserve"> MAPK, which facilitate transcription and release of proinflammatory proteins. To determine the </w:t>
      </w:r>
      <w:r w:rsidR="008F561F" w:rsidRPr="003C0E2F">
        <w:t>effect</w:t>
      </w:r>
      <w:r w:rsidRPr="003C0E2F">
        <w:t xml:space="preserve"> of FP7 on </w:t>
      </w:r>
      <w:r w:rsidR="00932BC2" w:rsidRPr="003C0E2F">
        <w:t>MyD88</w:t>
      </w:r>
      <w:r w:rsidRPr="003C0E2F">
        <w:t>-</w:t>
      </w:r>
      <w:r w:rsidR="009E0322" w:rsidRPr="003C0E2F">
        <w:t>dependent</w:t>
      </w:r>
      <w:r w:rsidRPr="003C0E2F">
        <w:t xml:space="preserve"> TLR4 signalling in THP-1 </w:t>
      </w:r>
      <w:r w:rsidR="008F561F" w:rsidRPr="003C0E2F">
        <w:t>macrophage</w:t>
      </w:r>
      <w:r w:rsidRPr="003C0E2F">
        <w:t xml:space="preserve">s, the </w:t>
      </w:r>
      <w:r w:rsidR="008F561F" w:rsidRPr="003C0E2F">
        <w:t>effect</w:t>
      </w:r>
      <w:r w:rsidRPr="003C0E2F">
        <w:t xml:space="preserve"> on </w:t>
      </w:r>
      <w:r w:rsidR="00274B79" w:rsidRPr="003C0E2F">
        <w:t>P65/NF-</w:t>
      </w:r>
      <w:proofErr w:type="spellStart"/>
      <w:r w:rsidR="00274B79" w:rsidRPr="003C0E2F">
        <w:t>κB</w:t>
      </w:r>
      <w:proofErr w:type="spellEnd"/>
      <w:r w:rsidR="00274B79" w:rsidRPr="003C0E2F">
        <w:t xml:space="preserve"> </w:t>
      </w:r>
      <w:r w:rsidRPr="003C0E2F">
        <w:t>(Figure 23</w:t>
      </w:r>
      <w:r w:rsidR="00395C63" w:rsidRPr="003C0E2F">
        <w:t>A</w:t>
      </w:r>
      <w:r w:rsidRPr="003C0E2F">
        <w:t xml:space="preserve">) and </w:t>
      </w:r>
      <w:r w:rsidR="00274B79" w:rsidRPr="003C0E2F">
        <w:t>P38</w:t>
      </w:r>
      <w:r w:rsidRPr="003C0E2F">
        <w:t xml:space="preserve"> MAPK (Figure 23</w:t>
      </w:r>
      <w:r w:rsidR="00395C63" w:rsidRPr="003C0E2F">
        <w:t>B</w:t>
      </w:r>
      <w:r w:rsidRPr="003C0E2F">
        <w:t xml:space="preserve">) phosphorylation were measured via Western Blot analysis. Both </w:t>
      </w:r>
      <w:r w:rsidR="00623C8F" w:rsidRPr="003C0E2F">
        <w:t>signalling mediators</w:t>
      </w:r>
      <w:r w:rsidRPr="003C0E2F">
        <w:t xml:space="preserve"> were significantly downregulated in the presence of FP7. Again, this </w:t>
      </w:r>
      <w:r w:rsidR="008F561F" w:rsidRPr="003C0E2F">
        <w:t>effect</w:t>
      </w:r>
      <w:r w:rsidRPr="003C0E2F">
        <w:t xml:space="preserve"> was seen with as little as little as 0.1μM FP7. This suggests FP7 can affect TLR4 signalling and downstream proinflammatory protein release through a partial inhibition of NF-</w:t>
      </w:r>
      <w:proofErr w:type="spellStart"/>
      <w:r w:rsidRPr="003C0E2F">
        <w:t>κB</w:t>
      </w:r>
      <w:proofErr w:type="spellEnd"/>
      <w:r w:rsidRPr="003C0E2F">
        <w:t xml:space="preserve"> and </w:t>
      </w:r>
      <w:r w:rsidR="00274B79" w:rsidRPr="003C0E2F">
        <w:t>P38</w:t>
      </w:r>
      <w:r w:rsidRPr="003C0E2F">
        <w:t xml:space="preserve"> MAPK activation </w:t>
      </w:r>
      <w:sdt>
        <w:sdtPr>
          <w:rPr>
            <w:color w:val="000000"/>
          </w:rPr>
          <w:tag w:val="MENDELEY_CITATION_v3_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"/>
          <w:id w:val="24762960"/>
          <w:placeholder>
            <w:docPart w:val="DefaultPlaceholder_-1854013440"/>
          </w:placeholder>
        </w:sdtPr>
        <w:sdtEndPr/>
        <w:sdtContent>
          <w:r w:rsidR="00F257B9" w:rsidRPr="00F257B9">
            <w:rPr>
              <w:rFonts w:eastAsia="Times New Roman"/>
              <w:color w:val="000000"/>
            </w:rPr>
            <w:t>(C. Palmer et al., 2018)</w:t>
          </w:r>
        </w:sdtContent>
      </w:sdt>
      <w:r w:rsidR="00D3097F" w:rsidRPr="003C0E2F">
        <w:br w:type="page"/>
      </w:r>
    </w:p>
    <w:p w14:paraId="4E9BF4E9" w14:textId="7A811319" w:rsidR="00D3097F" w:rsidRPr="003C0E2F" w:rsidRDefault="00D3097F" w:rsidP="00D55B0E">
      <w:pPr>
        <w:pStyle w:val="Heading3"/>
      </w:pPr>
      <w:bookmarkStart w:id="478" w:name="_Toc38543296"/>
      <w:bookmarkStart w:id="479" w:name="_Toc80013769"/>
      <w:bookmarkStart w:id="480" w:name="_Toc82882389"/>
      <w:r w:rsidRPr="003C0E2F">
        <w:lastRenderedPageBreak/>
        <w:t>FP12 negatively regulates the production of TLR4</w:t>
      </w:r>
      <w:r w:rsidR="00A9277D" w:rsidRPr="003C0E2F">
        <w:t>-</w:t>
      </w:r>
      <w:r w:rsidR="009E0322" w:rsidRPr="003C0E2F">
        <w:t>dependent</w:t>
      </w:r>
      <w:r w:rsidRPr="003C0E2F">
        <w:t xml:space="preserve"> proinflammatory proteins (IL-1 β</w:t>
      </w:r>
      <w:r w:rsidR="00C01CEE" w:rsidRPr="003C0E2F">
        <w:t xml:space="preserve">, </w:t>
      </w:r>
      <w:r w:rsidRPr="003C0E2F">
        <w:t xml:space="preserve">IL-6) </w:t>
      </w:r>
      <w:r w:rsidR="006F4B68" w:rsidRPr="003C0E2F">
        <w:t xml:space="preserve">and activation of signalling mediators </w:t>
      </w:r>
      <w:r w:rsidRPr="003C0E2F">
        <w:t xml:space="preserve">in THP-1 human </w:t>
      </w:r>
      <w:r w:rsidR="008F561F" w:rsidRPr="003C0E2F">
        <w:t>m</w:t>
      </w:r>
      <w:r w:rsidR="006F4B68" w:rsidRPr="003C0E2F">
        <w:t>acrophage</w:t>
      </w:r>
      <w:r w:rsidRPr="003C0E2F">
        <w:t>s</w:t>
      </w:r>
      <w:bookmarkEnd w:id="478"/>
      <w:bookmarkEnd w:id="479"/>
      <w:bookmarkEnd w:id="480"/>
    </w:p>
    <w:p w14:paraId="11B7AA6A" w14:textId="1F59CED5" w:rsidR="00F757DA" w:rsidRPr="003C0E2F" w:rsidRDefault="00F757DA" w:rsidP="00F757DA">
      <w:r w:rsidRPr="003C0E2F">
        <w:t xml:space="preserve">FP7 and FP12 are structurally similar, where FP12 only differs in a shorter acyl chain length. This may confer some differences in functional activity of the molecules, though FP12 is still designed and expected to function as an antagonist. Initial screening showed that FP12 could represent another good candidate from the antagonist series to investigate further. Preliminary toxicity and IL-8 screening results indicated that FP12 was safely tolerated in THP-1 </w:t>
      </w:r>
      <w:r w:rsidR="008F561F" w:rsidRPr="003C0E2F">
        <w:t>monocyte</w:t>
      </w:r>
      <w:r w:rsidRPr="003C0E2F">
        <w:t xml:space="preserve">s and </w:t>
      </w:r>
      <w:r w:rsidR="008F561F" w:rsidRPr="003C0E2F">
        <w:t>macrophage</w:t>
      </w:r>
      <w:r w:rsidRPr="003C0E2F">
        <w:t>s and downregulated TLR4</w:t>
      </w:r>
      <w:r w:rsidR="000A1BFB" w:rsidRPr="003C0E2F">
        <w:t xml:space="preserve"> induced</w:t>
      </w:r>
      <w:r w:rsidRPr="003C0E2F">
        <w:t xml:space="preserve"> IL-8 production. To further assess the potential of FP12 as a novel TLR4 antagonist, ELISA and Western blot analysis were carried in both </w:t>
      </w:r>
      <w:r w:rsidR="008F561F" w:rsidRPr="003C0E2F">
        <w:t>monocyte</w:t>
      </w:r>
      <w:r w:rsidRPr="003C0E2F">
        <w:t xml:space="preserve">s and </w:t>
      </w:r>
      <w:r w:rsidR="008F561F" w:rsidRPr="003C0E2F">
        <w:t>macrophage</w:t>
      </w:r>
      <w:r w:rsidRPr="003C0E2F">
        <w:t>s.</w:t>
      </w:r>
    </w:p>
    <w:p w14:paraId="555287E0" w14:textId="77777777" w:rsidR="00F757DA" w:rsidRPr="003C0E2F" w:rsidRDefault="00F757DA" w:rsidP="00F757DA"/>
    <w:p w14:paraId="0512B0D3" w14:textId="443C6200" w:rsidR="00F757DA" w:rsidRPr="003C0E2F" w:rsidRDefault="008A689E" w:rsidP="00F757DA">
      <w:r w:rsidRPr="003C0E2F">
        <w:rPr>
          <w:noProof/>
        </w:rPr>
        <w:drawing>
          <wp:inline distT="0" distB="0" distL="0" distR="0" wp14:anchorId="470412F5" wp14:editId="1F4F6758">
            <wp:extent cx="5731510" cy="2265680"/>
            <wp:effectExtent l="0" t="0" r="254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2265680"/>
                    </a:xfrm>
                    <a:prstGeom prst="rect">
                      <a:avLst/>
                    </a:prstGeom>
                    <a:noFill/>
                    <a:ln>
                      <a:noFill/>
                    </a:ln>
                  </pic:spPr>
                </pic:pic>
              </a:graphicData>
            </a:graphic>
          </wp:inline>
        </w:drawing>
      </w:r>
    </w:p>
    <w:p w14:paraId="391631CB" w14:textId="0F6273FE" w:rsidR="00F757DA" w:rsidRPr="003C0E2F" w:rsidRDefault="00F757DA" w:rsidP="00A2094F">
      <w:pPr>
        <w:pStyle w:val="NoSpacing"/>
      </w:pPr>
      <w:bookmarkStart w:id="481" w:name="_Ref37404738"/>
      <w:bookmarkStart w:id="482" w:name="_Toc48514837"/>
      <w:bookmarkStart w:id="483" w:name="_Toc55583745"/>
      <w:bookmarkStart w:id="484" w:name="_Toc55584923"/>
      <w:bookmarkStart w:id="485" w:name="_Toc60584039"/>
      <w:bookmarkStart w:id="486" w:name="_Toc60638157"/>
      <w:bookmarkStart w:id="487" w:name="_Toc60638877"/>
      <w:bookmarkStart w:id="488" w:name="_Toc63112011"/>
      <w:bookmarkStart w:id="489" w:name="_Toc63112228"/>
      <w:bookmarkStart w:id="490" w:name="_Toc63270368"/>
      <w:bookmarkStart w:id="491" w:name="_Toc64533235"/>
      <w:bookmarkStart w:id="492" w:name="_Toc64551782"/>
      <w:bookmarkStart w:id="493" w:name="_Toc80013826"/>
      <w:bookmarkStart w:id="494" w:name="_Toc82882965"/>
      <w:r w:rsidRPr="003C0E2F">
        <w:t xml:space="preserve">Figure </w:t>
      </w:r>
      <w:r w:rsidR="00862981">
        <w:fldChar w:fldCharType="begin"/>
      </w:r>
      <w:r w:rsidR="00862981">
        <w:instrText xml:space="preserve"> SEQ Figure \* ARABIC </w:instrText>
      </w:r>
      <w:r w:rsidR="00862981">
        <w:fldChar w:fldCharType="separate"/>
      </w:r>
      <w:r w:rsidR="000F2276">
        <w:rPr>
          <w:noProof/>
        </w:rPr>
        <w:t>24</w:t>
      </w:r>
      <w:r w:rsidR="00862981">
        <w:rPr>
          <w:noProof/>
        </w:rPr>
        <w:fldChar w:fldCharType="end"/>
      </w:r>
      <w:bookmarkEnd w:id="481"/>
      <w:r w:rsidR="003273B5" w:rsidRPr="003C0E2F">
        <w:t>. The effect</w:t>
      </w:r>
      <w:r w:rsidRPr="003C0E2F">
        <w:t xml:space="preserve"> of FP12 on IL-1β production in THP-1 </w:t>
      </w:r>
      <w:r w:rsidR="008F561F" w:rsidRPr="003C0E2F">
        <w:t>monocyte</w:t>
      </w:r>
      <w:r w:rsidRPr="003C0E2F">
        <w:t xml:space="preserve">s (A) and </w:t>
      </w:r>
      <w:r w:rsidR="008F561F" w:rsidRPr="003C0E2F">
        <w:t>macrophage</w:t>
      </w:r>
      <w:r w:rsidRPr="003C0E2F">
        <w:t>s (B). Cells were pre-treated with FP12 (0-10µM) for 1 hour prior to exposure to LPS (100ng/ml).</w:t>
      </w:r>
      <w:r w:rsidR="00F01D38" w:rsidRPr="003C0E2F">
        <w:rPr>
          <w:rStyle w:val="NoSpacingChar"/>
          <w:i/>
        </w:rPr>
        <w:t xml:space="preserve">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only</w:t>
      </w:r>
      <w:r w:rsidR="00BD3E38" w:rsidRPr="003C0E2F">
        <w:rPr>
          <w:rStyle w:val="NoSpacingChar"/>
          <w:i/>
        </w:rPr>
        <w:t xml:space="preserve">. </w:t>
      </w:r>
      <w:r w:rsidRPr="003C0E2F">
        <w:t xml:space="preserve"> IL-1β production in culture medium was measured using ELISA after 18 hours (</w:t>
      </w:r>
      <w:proofErr w:type="spellStart"/>
      <w:r w:rsidRPr="003C0E2F">
        <w:t>RayBiotech</w:t>
      </w:r>
      <w:proofErr w:type="spellEnd"/>
      <w:r w:rsidRPr="003C0E2F">
        <w:t>). Results are shown as mean ±SD of three separate treatments. Statistically significant results are indicated as *** P&lt;0.001 ** P&lt;0.01 *P&lt;0.05 for control vs LPS and LPS vs LPS/FP12 treated samples.</w:t>
      </w:r>
      <w:bookmarkEnd w:id="482"/>
      <w:bookmarkEnd w:id="483"/>
      <w:bookmarkEnd w:id="484"/>
      <w:bookmarkEnd w:id="485"/>
      <w:bookmarkEnd w:id="486"/>
      <w:bookmarkEnd w:id="487"/>
      <w:bookmarkEnd w:id="488"/>
      <w:bookmarkEnd w:id="489"/>
      <w:bookmarkEnd w:id="490"/>
      <w:bookmarkEnd w:id="491"/>
      <w:bookmarkEnd w:id="492"/>
      <w:bookmarkEnd w:id="493"/>
      <w:bookmarkEnd w:id="494"/>
    </w:p>
    <w:p w14:paraId="2AC9A99F" w14:textId="77777777" w:rsidR="00F757DA" w:rsidRPr="003C0E2F" w:rsidRDefault="00F757DA" w:rsidP="00F757DA">
      <w:pPr>
        <w:pStyle w:val="NoSpacing"/>
      </w:pPr>
    </w:p>
    <w:p w14:paraId="262EF55D" w14:textId="34AB8464" w:rsidR="00F757DA" w:rsidRPr="003C0E2F" w:rsidRDefault="00F757DA" w:rsidP="00F757DA">
      <w:r w:rsidRPr="003C0E2F">
        <w:lastRenderedPageBreak/>
        <w:t>Following overnight activation of TLR4 signalling with LPS, IL-1β production was significantly increased as compared to the control</w:t>
      </w:r>
      <w:r w:rsidR="008F561F" w:rsidRPr="003C0E2F">
        <w:t>. Monocyte</w:t>
      </w:r>
      <w:r w:rsidRPr="003C0E2F">
        <w:t>s (Figure 24</w:t>
      </w:r>
      <w:r w:rsidR="00395C63" w:rsidRPr="003C0E2F">
        <w:t>A</w:t>
      </w:r>
      <w:r w:rsidRPr="003C0E2F">
        <w:t xml:space="preserve">) exhibited a smaller increase in IL-1β production as compared to </w:t>
      </w:r>
      <w:r w:rsidR="008F561F" w:rsidRPr="003C0E2F">
        <w:t>macrophage</w:t>
      </w:r>
      <w:r w:rsidRPr="003C0E2F">
        <w:t>s (Figure 24</w:t>
      </w:r>
      <w:r w:rsidR="00395C63" w:rsidRPr="003C0E2F">
        <w:t>B</w:t>
      </w:r>
      <w:r w:rsidRPr="003C0E2F">
        <w:t>), however 1μM FP12 was sufficient to produce a significant reduction in IL-1β production in both cases.</w:t>
      </w:r>
    </w:p>
    <w:p w14:paraId="03F47E09" w14:textId="3F843391" w:rsidR="00D3097F" w:rsidRPr="003C0E2F" w:rsidRDefault="00F757DA" w:rsidP="00F757DA">
      <w:r w:rsidRPr="003C0E2F">
        <w:t xml:space="preserve">IL-6 production was significantly upregulated by LPS and negatively regulated by FP12 in both THP-1 </w:t>
      </w:r>
      <w:r w:rsidR="008F561F" w:rsidRPr="003C0E2F">
        <w:t>monocyte</w:t>
      </w:r>
      <w:r w:rsidRPr="003C0E2F">
        <w:t xml:space="preserve">s and </w:t>
      </w:r>
      <w:r w:rsidR="008F561F" w:rsidRPr="003C0E2F">
        <w:t>macrophage</w:t>
      </w:r>
      <w:r w:rsidRPr="003C0E2F">
        <w:t xml:space="preserve">s (Figure 25). As with IL-1β, </w:t>
      </w:r>
      <w:r w:rsidR="008F561F" w:rsidRPr="003C0E2F">
        <w:t>macrophage</w:t>
      </w:r>
      <w:r w:rsidRPr="003C0E2F">
        <w:t>s (Figure 25</w:t>
      </w:r>
      <w:r w:rsidR="00395C63" w:rsidRPr="003C0E2F">
        <w:t>B</w:t>
      </w:r>
      <w:r w:rsidRPr="003C0E2F">
        <w:t xml:space="preserve">) were more responsive to LPS stimulation than </w:t>
      </w:r>
      <w:r w:rsidR="008F561F" w:rsidRPr="003C0E2F">
        <w:t>monocyte</w:t>
      </w:r>
      <w:r w:rsidRPr="003C0E2F">
        <w:t>s (Figure 25</w:t>
      </w:r>
      <w:r w:rsidR="00395C63" w:rsidRPr="003C0E2F">
        <w:t>A</w:t>
      </w:r>
      <w:r w:rsidRPr="003C0E2F">
        <w:t xml:space="preserve">). FP12 was efficient in downregulating IL-6 production in </w:t>
      </w:r>
      <w:r w:rsidR="008F561F" w:rsidRPr="003C0E2F">
        <w:t>macrophage</w:t>
      </w:r>
      <w:r w:rsidRPr="003C0E2F">
        <w:t xml:space="preserve">s at as little as 0.1μM in </w:t>
      </w:r>
      <w:r w:rsidR="008F561F" w:rsidRPr="003C0E2F">
        <w:t>macrophage</w:t>
      </w:r>
      <w:r w:rsidRPr="003C0E2F">
        <w:t xml:space="preserve">s, though was only sufficient to produce a significant reduction in </w:t>
      </w:r>
      <w:r w:rsidR="008F561F" w:rsidRPr="003C0E2F">
        <w:t>monocyte</w:t>
      </w:r>
      <w:r w:rsidRPr="003C0E2F">
        <w:t>s at 5µM.</w:t>
      </w:r>
    </w:p>
    <w:p w14:paraId="4DBB1286" w14:textId="77777777" w:rsidR="008723E3" w:rsidRPr="003C0E2F" w:rsidRDefault="008723E3" w:rsidP="00F757DA"/>
    <w:p w14:paraId="56BB024C" w14:textId="7E196D0B" w:rsidR="00F757DA" w:rsidRPr="003C0E2F" w:rsidRDefault="002F594A" w:rsidP="00F757DA">
      <w:r w:rsidRPr="003C0E2F">
        <w:rPr>
          <w:noProof/>
        </w:rPr>
        <w:drawing>
          <wp:inline distT="0" distB="0" distL="0" distR="0" wp14:anchorId="45F1536A" wp14:editId="25E2851D">
            <wp:extent cx="5727700" cy="2052955"/>
            <wp:effectExtent l="0" t="0" r="6350" b="444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27700" cy="2052955"/>
                    </a:xfrm>
                    <a:prstGeom prst="rect">
                      <a:avLst/>
                    </a:prstGeom>
                    <a:noFill/>
                    <a:ln>
                      <a:noFill/>
                    </a:ln>
                  </pic:spPr>
                </pic:pic>
              </a:graphicData>
            </a:graphic>
          </wp:inline>
        </w:drawing>
      </w:r>
    </w:p>
    <w:p w14:paraId="15173B08" w14:textId="33D20CEC" w:rsidR="00D3097F" w:rsidRPr="003C0E2F" w:rsidRDefault="00763D37" w:rsidP="00A2094F">
      <w:pPr>
        <w:pStyle w:val="NoSpacing"/>
        <w:rPr>
          <w:highlight w:val="red"/>
        </w:rPr>
      </w:pPr>
      <w:bookmarkStart w:id="495" w:name="_Ref36833293"/>
      <w:bookmarkStart w:id="496" w:name="_Toc48514838"/>
      <w:bookmarkStart w:id="497" w:name="_Toc55583746"/>
      <w:bookmarkStart w:id="498" w:name="_Toc55584924"/>
      <w:bookmarkStart w:id="499" w:name="_Toc60584040"/>
      <w:bookmarkStart w:id="500" w:name="_Toc60638158"/>
      <w:bookmarkStart w:id="501" w:name="_Toc60638878"/>
      <w:bookmarkStart w:id="502" w:name="_Toc63112012"/>
      <w:bookmarkStart w:id="503" w:name="_Toc63112229"/>
      <w:bookmarkStart w:id="504" w:name="_Toc63270369"/>
      <w:bookmarkStart w:id="505" w:name="_Toc64533236"/>
      <w:bookmarkStart w:id="506" w:name="_Toc64551783"/>
      <w:bookmarkStart w:id="507" w:name="_Toc80013827"/>
      <w:bookmarkStart w:id="508" w:name="_Toc82882966"/>
      <w:r w:rsidRPr="003C0E2F">
        <w:t>Figure</w:t>
      </w:r>
      <w:r w:rsidR="00D3097F" w:rsidRPr="003C0E2F">
        <w:t xml:space="preserve"> </w:t>
      </w:r>
      <w:r w:rsidR="00862981">
        <w:fldChar w:fldCharType="begin"/>
      </w:r>
      <w:r w:rsidR="00862981">
        <w:instrText xml:space="preserve"> SEQ Figure \* ARABIC </w:instrText>
      </w:r>
      <w:r w:rsidR="00862981">
        <w:fldChar w:fldCharType="separate"/>
      </w:r>
      <w:r w:rsidR="000F2276">
        <w:rPr>
          <w:noProof/>
        </w:rPr>
        <w:t>25</w:t>
      </w:r>
      <w:r w:rsidR="00862981">
        <w:rPr>
          <w:noProof/>
        </w:rPr>
        <w:fldChar w:fldCharType="end"/>
      </w:r>
      <w:bookmarkEnd w:id="495"/>
      <w:r w:rsidR="003273B5" w:rsidRPr="003C0E2F">
        <w:t>. The effect</w:t>
      </w:r>
      <w:r w:rsidR="00D3097F" w:rsidRPr="003C0E2F">
        <w:t xml:space="preserve"> of FP12 on IL-6 production in THP-1 </w:t>
      </w:r>
      <w:r w:rsidR="008F561F" w:rsidRPr="003C0E2F">
        <w:t>monocyte</w:t>
      </w:r>
      <w:r w:rsidR="00D3097F" w:rsidRPr="003C0E2F">
        <w:t xml:space="preserve">s (A) and </w:t>
      </w:r>
      <w:r w:rsidR="008F561F" w:rsidRPr="003C0E2F">
        <w:t>macrophage</w:t>
      </w:r>
      <w:r w:rsidR="00D3097F" w:rsidRPr="003C0E2F">
        <w:t xml:space="preserve">s (B). Cells were pre-treated with FP12 (0-10µM) for 1 hour prior to exposure to LPS (100ng/ml).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only</w:t>
      </w:r>
      <w:r w:rsidR="00BD3E38" w:rsidRPr="003C0E2F">
        <w:rPr>
          <w:rStyle w:val="NoSpacingChar"/>
          <w:i/>
        </w:rPr>
        <w:t xml:space="preserve">. </w:t>
      </w:r>
      <w:r w:rsidR="00D3097F" w:rsidRPr="003C0E2F">
        <w:t>IL-6 production in culture medium was measured using ELISA after 18 hours (</w:t>
      </w:r>
      <w:proofErr w:type="spellStart"/>
      <w:r w:rsidR="00D3097F" w:rsidRPr="003C0E2F">
        <w:t>Ray</w:t>
      </w:r>
      <w:r w:rsidR="00C01CEE" w:rsidRPr="003C0E2F">
        <w:t>B</w:t>
      </w:r>
      <w:r w:rsidR="00D3097F" w:rsidRPr="003C0E2F">
        <w:t>iotech</w:t>
      </w:r>
      <w:proofErr w:type="spellEnd"/>
      <w:r w:rsidR="00D3097F" w:rsidRPr="003C0E2F">
        <w:t>). Results are shown as mean ±SD of three separate treatments. Statistically significant results are indicated as *** P&lt;0.001 ** P&lt;0.01 *P&lt;0.05 for control vs LPS and LPS vs LPS/FP12 treated samples.</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34015454" w14:textId="77777777" w:rsidR="00445083" w:rsidRPr="003C0E2F" w:rsidRDefault="00445083" w:rsidP="00BE5236"/>
    <w:p w14:paraId="0B2AFCE7" w14:textId="66A15E25" w:rsidR="00F757DA" w:rsidRPr="003C0E2F" w:rsidRDefault="00F757DA" w:rsidP="00F757DA">
      <w:r w:rsidRPr="003C0E2F">
        <w:lastRenderedPageBreak/>
        <w:t xml:space="preserve">While initial experiments suggested FP7 may be more </w:t>
      </w:r>
      <w:r w:rsidR="008F561F" w:rsidRPr="003C0E2F">
        <w:t>effect</w:t>
      </w:r>
      <w:r w:rsidRPr="003C0E2F">
        <w:t xml:space="preserve">ive in downregulating IL-8 production as compared to FP12, the data for IL-6 suggested a more potent regulatory </w:t>
      </w:r>
      <w:r w:rsidR="008F561F" w:rsidRPr="003C0E2F">
        <w:t>effect</w:t>
      </w:r>
      <w:r w:rsidRPr="003C0E2F">
        <w:t xml:space="preserve"> in response to FP12. Both FP12 and FP7 required at least 5µM to significantly reduced IL-6 production in </w:t>
      </w:r>
      <w:r w:rsidR="008F561F" w:rsidRPr="003C0E2F">
        <w:t>macrophage</w:t>
      </w:r>
      <w:r w:rsidRPr="003C0E2F">
        <w:t xml:space="preserve">s and were more </w:t>
      </w:r>
      <w:r w:rsidR="008F561F" w:rsidRPr="003C0E2F">
        <w:t>effect</w:t>
      </w:r>
      <w:r w:rsidRPr="003C0E2F">
        <w:t xml:space="preserve">ive in reducing cytokine release in </w:t>
      </w:r>
      <w:r w:rsidR="008F561F" w:rsidRPr="003C0E2F">
        <w:t>macrophage</w:t>
      </w:r>
      <w:r w:rsidRPr="003C0E2F">
        <w:t>s. However, FP12 produced a more significant reduction in IL-6 production at lower concentrations as compared to FP7 in this case.</w:t>
      </w:r>
    </w:p>
    <w:p w14:paraId="20CD24AA" w14:textId="77777777" w:rsidR="00F757DA" w:rsidRPr="003C0E2F" w:rsidRDefault="00F757DA" w:rsidP="00F757DA"/>
    <w:p w14:paraId="790459CF" w14:textId="589F46AC" w:rsidR="00F757DA" w:rsidRPr="003C0E2F" w:rsidRDefault="002F594A" w:rsidP="00F757DA">
      <w:r w:rsidRPr="003C0E2F">
        <w:rPr>
          <w:noProof/>
        </w:rPr>
        <w:drawing>
          <wp:inline distT="0" distB="0" distL="0" distR="0" wp14:anchorId="23E08E69" wp14:editId="350D41BA">
            <wp:extent cx="5727700" cy="2691130"/>
            <wp:effectExtent l="0" t="0" r="635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27700" cy="2691130"/>
                    </a:xfrm>
                    <a:prstGeom prst="rect">
                      <a:avLst/>
                    </a:prstGeom>
                    <a:noFill/>
                    <a:ln>
                      <a:noFill/>
                    </a:ln>
                  </pic:spPr>
                </pic:pic>
              </a:graphicData>
            </a:graphic>
          </wp:inline>
        </w:drawing>
      </w:r>
    </w:p>
    <w:p w14:paraId="36F6420D" w14:textId="4F49914C" w:rsidR="00F757DA" w:rsidRPr="003C0E2F" w:rsidRDefault="00F757DA" w:rsidP="00A2094F">
      <w:pPr>
        <w:pStyle w:val="NoSpacing"/>
      </w:pPr>
      <w:bookmarkStart w:id="509" w:name="_Toc48514839"/>
      <w:bookmarkStart w:id="510" w:name="_Toc55583747"/>
      <w:bookmarkStart w:id="511" w:name="_Toc55584925"/>
      <w:bookmarkStart w:id="512" w:name="_Toc60584041"/>
      <w:bookmarkStart w:id="513" w:name="_Toc60638159"/>
      <w:bookmarkStart w:id="514" w:name="_Toc60638879"/>
      <w:bookmarkStart w:id="515" w:name="_Toc63112013"/>
      <w:bookmarkStart w:id="516" w:name="_Toc63112230"/>
      <w:bookmarkStart w:id="517" w:name="_Toc63270370"/>
      <w:bookmarkStart w:id="518" w:name="_Toc64533237"/>
      <w:bookmarkStart w:id="519" w:name="_Toc64551784"/>
      <w:bookmarkStart w:id="520" w:name="_Toc80013828"/>
      <w:bookmarkStart w:id="521" w:name="_Toc82882967"/>
      <w:r w:rsidRPr="003C0E2F">
        <w:t xml:space="preserve">Figure </w:t>
      </w:r>
      <w:r w:rsidR="00862981">
        <w:fldChar w:fldCharType="begin"/>
      </w:r>
      <w:r w:rsidR="00862981">
        <w:instrText xml:space="preserve"> SEQ Figure \* ARABIC </w:instrText>
      </w:r>
      <w:r w:rsidR="00862981">
        <w:fldChar w:fldCharType="separate"/>
      </w:r>
      <w:r w:rsidR="000F2276">
        <w:rPr>
          <w:noProof/>
        </w:rPr>
        <w:t>26</w:t>
      </w:r>
      <w:r w:rsidR="00862981">
        <w:rPr>
          <w:noProof/>
        </w:rPr>
        <w:fldChar w:fldCharType="end"/>
      </w:r>
      <w:r w:rsidR="003273B5" w:rsidRPr="003C0E2F">
        <w:t>. The effect</w:t>
      </w:r>
      <w:r w:rsidRPr="003C0E2F">
        <w:t xml:space="preserve"> of FP12 on NF-</w:t>
      </w:r>
      <w:proofErr w:type="spellStart"/>
      <w:r w:rsidRPr="003C0E2F">
        <w:t>κB</w:t>
      </w:r>
      <w:proofErr w:type="spellEnd"/>
      <w:r w:rsidRPr="003C0E2F">
        <w:t xml:space="preserve"> and </w:t>
      </w:r>
      <w:r w:rsidR="00274B79" w:rsidRPr="003C0E2F">
        <w:t>P38</w:t>
      </w:r>
      <w:r w:rsidRPr="003C0E2F">
        <w:t xml:space="preserve"> MAPK phosphorylation in THP-1 </w:t>
      </w:r>
      <w:r w:rsidR="008F561F" w:rsidRPr="003C0E2F">
        <w:t>macrophage</w:t>
      </w:r>
      <w:r w:rsidRPr="003C0E2F">
        <w:t>s. Cells were pre-treated with FP7 (0-10µM) for 1 hour before being exposed to LPS (100ng/ml) for 1 hour.</w:t>
      </w:r>
      <w:r w:rsidR="00F01D38" w:rsidRPr="003C0E2F">
        <w:rPr>
          <w:rStyle w:val="NoSpacingChar"/>
          <w:i/>
        </w:rPr>
        <w:t xml:space="preserve">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only</w:t>
      </w:r>
      <w:r w:rsidR="00BD3E38" w:rsidRPr="003C0E2F">
        <w:rPr>
          <w:rStyle w:val="NoSpacingChar"/>
          <w:i/>
        </w:rPr>
        <w:t xml:space="preserve">. </w:t>
      </w:r>
      <w:r w:rsidRPr="003C0E2F">
        <w:t xml:space="preserve">Cell lysate was analysed via </w:t>
      </w:r>
      <w:r w:rsidR="00030A76" w:rsidRPr="003C0E2F">
        <w:t>Western</w:t>
      </w:r>
      <w:r w:rsidRPr="003C0E2F">
        <w:t xml:space="preserve"> blot to determine levels of </w:t>
      </w:r>
      <w:r w:rsidR="007F7D74" w:rsidRPr="003C0E2F">
        <w:t>NF-</w:t>
      </w:r>
      <w:proofErr w:type="spellStart"/>
      <w:r w:rsidR="007F7D74" w:rsidRPr="003C0E2F">
        <w:t>κB</w:t>
      </w:r>
      <w:proofErr w:type="spellEnd"/>
      <w:r w:rsidR="007F7D74" w:rsidRPr="003C0E2F">
        <w:t xml:space="preserve"> </w:t>
      </w:r>
      <w:r w:rsidRPr="003C0E2F">
        <w:t xml:space="preserve">and </w:t>
      </w:r>
      <w:r w:rsidR="00274B79" w:rsidRPr="003C0E2F">
        <w:t>P38</w:t>
      </w:r>
      <w:r w:rsidRPr="003C0E2F">
        <w:t xml:space="preserve"> MAPK phosphorylation</w:t>
      </w:r>
      <w:r w:rsidR="007F7D74" w:rsidRPr="003C0E2F">
        <w:t xml:space="preserve"> using the same blot</w:t>
      </w:r>
      <w:r w:rsidRPr="003C0E2F">
        <w:t>. Results are shown as mean ±SD of three separate treatments. Statistically significant results are indicated as *** P&lt;0.001 ** P&lt;0.01 *P&lt;0.05 for control vs LPS and LPS vs LPS+FP12 treated samples.</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5479E405" w14:textId="77777777" w:rsidR="00F757DA" w:rsidRPr="003C0E2F" w:rsidRDefault="00F757DA" w:rsidP="00F757DA">
      <w:pPr>
        <w:pStyle w:val="NoSpacing"/>
      </w:pPr>
    </w:p>
    <w:p w14:paraId="5A4B20B0" w14:textId="5B23EF8B" w:rsidR="00D3097F" w:rsidRPr="003C0E2F" w:rsidRDefault="00F757DA" w:rsidP="00F757DA">
      <w:r w:rsidRPr="003C0E2F">
        <w:t xml:space="preserve">Further analysis of the signalling pathways involved in FP12 inhibition of LPS/TLR4 signalling was carried out via </w:t>
      </w:r>
      <w:r w:rsidR="00030A76" w:rsidRPr="003C0E2F">
        <w:t>Western</w:t>
      </w:r>
      <w:r w:rsidRPr="003C0E2F">
        <w:t xml:space="preserve"> blot analysis. </w:t>
      </w:r>
      <w:r w:rsidR="00274B79" w:rsidRPr="003C0E2F">
        <w:t>P65/NF-</w:t>
      </w:r>
      <w:proofErr w:type="spellStart"/>
      <w:r w:rsidR="00274B79" w:rsidRPr="003C0E2F">
        <w:t>κB</w:t>
      </w:r>
      <w:proofErr w:type="spellEnd"/>
      <w:r w:rsidR="00274B79" w:rsidRPr="003C0E2F">
        <w:t xml:space="preserve"> </w:t>
      </w:r>
      <w:r w:rsidRPr="003C0E2F">
        <w:t xml:space="preserve">and </w:t>
      </w:r>
      <w:r w:rsidR="00274B79" w:rsidRPr="003C0E2F">
        <w:t>P38</w:t>
      </w:r>
      <w:r w:rsidRPr="003C0E2F">
        <w:t xml:space="preserve"> MAPK phosphorylation were significantly </w:t>
      </w:r>
      <w:r w:rsidRPr="003C0E2F">
        <w:lastRenderedPageBreak/>
        <w:t xml:space="preserve">reduced in pre-treated samples. While </w:t>
      </w:r>
      <w:r w:rsidR="00274B79" w:rsidRPr="003C0E2F">
        <w:t>P38</w:t>
      </w:r>
      <w:r w:rsidRPr="003C0E2F">
        <w:t xml:space="preserve"> MAPK phosphorylation was significantly reduced at 0.1µM, </w:t>
      </w:r>
      <w:r w:rsidR="00274B79" w:rsidRPr="003C0E2F">
        <w:t>P65/NF-</w:t>
      </w:r>
      <w:proofErr w:type="spellStart"/>
      <w:r w:rsidR="00274B79" w:rsidRPr="003C0E2F">
        <w:t>κB</w:t>
      </w:r>
      <w:proofErr w:type="spellEnd"/>
      <w:r w:rsidR="00274B79" w:rsidRPr="003C0E2F">
        <w:t xml:space="preserve"> </w:t>
      </w:r>
      <w:r w:rsidRPr="003C0E2F">
        <w:t xml:space="preserve">was only significantly downregulated at 5µM (Figure 26). As compared to FP7, FP12 appears to show a slightly less pronounced </w:t>
      </w:r>
      <w:r w:rsidR="008F561F" w:rsidRPr="003C0E2F">
        <w:t>effect</w:t>
      </w:r>
      <w:r w:rsidRPr="003C0E2F">
        <w:t xml:space="preserve"> on </w:t>
      </w:r>
      <w:r w:rsidR="00274B79" w:rsidRPr="003C0E2F">
        <w:t xml:space="preserve">P65/NF-ΚB </w:t>
      </w:r>
      <w:r w:rsidRPr="003C0E2F">
        <w:t xml:space="preserve">and </w:t>
      </w:r>
      <w:r w:rsidR="00274B79" w:rsidRPr="003C0E2F">
        <w:t>P38</w:t>
      </w:r>
      <w:r w:rsidRPr="003C0E2F">
        <w:t xml:space="preserve"> MAPK at lower </w:t>
      </w:r>
      <w:r w:rsidR="00672E7A" w:rsidRPr="003C0E2F">
        <w:t>concentrations but can significantly downregulate both to a level comparable to the control at 10</w:t>
      </w:r>
      <w:r w:rsidR="00672E7A" w:rsidRPr="003C0E2F">
        <w:rPr>
          <w:rFonts w:cstheme="minorHAnsi"/>
        </w:rPr>
        <w:t>μ</w:t>
      </w:r>
      <w:r w:rsidR="00672E7A" w:rsidRPr="003C0E2F">
        <w:t>M.</w:t>
      </w:r>
    </w:p>
    <w:p w14:paraId="2E8B5473" w14:textId="77777777" w:rsidR="00D3097F" w:rsidRPr="003C0E2F" w:rsidRDefault="00D3097F" w:rsidP="00BE5236">
      <w:pPr>
        <w:rPr>
          <w:highlight w:val="red"/>
        </w:rPr>
      </w:pPr>
    </w:p>
    <w:p w14:paraId="32337FEB" w14:textId="77777777" w:rsidR="00D3097F" w:rsidRPr="003C0E2F" w:rsidRDefault="00D3097F" w:rsidP="00BE5236">
      <w:pPr>
        <w:rPr>
          <w:highlight w:val="red"/>
        </w:rPr>
      </w:pPr>
      <w:r w:rsidRPr="003C0E2F">
        <w:rPr>
          <w:highlight w:val="red"/>
        </w:rPr>
        <w:br w:type="page"/>
      </w:r>
    </w:p>
    <w:p w14:paraId="7CBF206D" w14:textId="2BE6DBDB" w:rsidR="00D3097F" w:rsidRPr="003C0E2F" w:rsidRDefault="00A80715" w:rsidP="00D55B0E">
      <w:pPr>
        <w:pStyle w:val="Heading3"/>
      </w:pPr>
      <w:bookmarkStart w:id="522" w:name="_Toc38543297"/>
      <w:r w:rsidRPr="003C0E2F">
        <w:lastRenderedPageBreak/>
        <w:t xml:space="preserve"> </w:t>
      </w:r>
      <w:bookmarkStart w:id="523" w:name="_Toc80013770"/>
      <w:bookmarkStart w:id="524" w:name="_Toc82882390"/>
      <w:r w:rsidR="00D3097F" w:rsidRPr="003C0E2F">
        <w:t>FP7 and FP12 negatively regulate LPS</w:t>
      </w:r>
      <w:r w:rsidR="00B50FDA" w:rsidRPr="003C0E2F">
        <w:t>-</w:t>
      </w:r>
      <w:r w:rsidR="00D3097F" w:rsidRPr="003C0E2F">
        <w:t>stimulated proinflammatory protein</w:t>
      </w:r>
      <w:r w:rsidR="00C01CEE" w:rsidRPr="003C0E2F">
        <w:t>s</w:t>
      </w:r>
      <w:r w:rsidR="00D3097F" w:rsidRPr="003C0E2F">
        <w:t xml:space="preserve"> production in THP-1 </w:t>
      </w:r>
      <w:r w:rsidR="008F561F" w:rsidRPr="003C0E2F">
        <w:t>macrophage</w:t>
      </w:r>
      <w:r w:rsidR="00D3097F" w:rsidRPr="003C0E2F">
        <w:t>s.</w:t>
      </w:r>
      <w:bookmarkEnd w:id="522"/>
      <w:bookmarkEnd w:id="523"/>
      <w:bookmarkEnd w:id="524"/>
    </w:p>
    <w:p w14:paraId="7D2BF7CD" w14:textId="070ABAE7" w:rsidR="00672E7A" w:rsidRPr="003C0E2F" w:rsidRDefault="008A3B68" w:rsidP="00672E7A">
      <w:bookmarkStart w:id="525" w:name="_Ref36762473"/>
      <w:r w:rsidRPr="003C0E2F">
        <w:t>A proinflammatory protein antibody array</w:t>
      </w:r>
      <w:r w:rsidR="00672E7A" w:rsidRPr="003C0E2F">
        <w:t xml:space="preserve"> was used to give an overview of proinflammatory protein production in response to LPS and subsequent suppression when pre-treated with FP7 or FP12. This gave an overview to identify the relevant targets for further investigation (Table 2). Values are representative of fold difference versus </w:t>
      </w:r>
      <w:r w:rsidR="00A80715" w:rsidRPr="003C0E2F">
        <w:t>untreated</w:t>
      </w:r>
      <w:r w:rsidR="00E10D61" w:rsidRPr="003C0E2F">
        <w:t xml:space="preserve"> cells</w:t>
      </w:r>
      <w:r w:rsidR="00A80715" w:rsidRPr="003C0E2F">
        <w:t xml:space="preserve"> (vehicle only)</w:t>
      </w:r>
      <w:r w:rsidR="00672E7A" w:rsidRPr="003C0E2F">
        <w:t>, the value of which was taken to be 1 for each protein listed. Therefore, values for LPS can be taken as a fold increase relative to the control. Values that exceeded a two-fold increase were considered potentially of interest and highlighted in green. Values for samples pre-treated with FP7 or FP12 were considered of interest if a 50% reduction was seen relative to LPS.</w:t>
      </w:r>
    </w:p>
    <w:p w14:paraId="7476B279" w14:textId="42F5BFE7" w:rsidR="009829F7" w:rsidRPr="003C0E2F" w:rsidRDefault="00672E7A" w:rsidP="00672E7A">
      <w:pPr>
        <w:rPr>
          <w:rFonts w:asciiTheme="majorHAnsi" w:eastAsiaTheme="minorHAnsi" w:hAnsiTheme="majorHAnsi" w:cstheme="majorHAnsi"/>
          <w:i/>
          <w:lang w:eastAsia="en-US"/>
        </w:rPr>
      </w:pPr>
      <w:r w:rsidRPr="003C0E2F">
        <w:t xml:space="preserve">LPS stimulation of THP-1 </w:t>
      </w:r>
      <w:r w:rsidR="008F561F" w:rsidRPr="003C0E2F">
        <w:t>macrophage</w:t>
      </w:r>
      <w:r w:rsidRPr="003C0E2F">
        <w:t xml:space="preserve">s produced greater than two-fold increase in an array of proinflammatory mediators </w:t>
      </w:r>
      <w:r w:rsidR="007A7EEE" w:rsidRPr="003C0E2F">
        <w:t>including</w:t>
      </w:r>
      <w:r w:rsidRPr="003C0E2F">
        <w:t xml:space="preserve"> </w:t>
      </w:r>
      <w:r w:rsidR="007A0F7C" w:rsidRPr="003C0E2F">
        <w:rPr>
          <w:rStyle w:val="Strong"/>
          <w:b w:val="0"/>
          <w:bCs w:val="0"/>
        </w:rPr>
        <w:t>EOTAXIN</w:t>
      </w:r>
      <w:r w:rsidR="007A0F7C" w:rsidRPr="003C0E2F">
        <w:rPr>
          <w:rStyle w:val="Strong"/>
        </w:rPr>
        <w:t>-</w:t>
      </w:r>
      <w:r w:rsidRPr="003C0E2F">
        <w:t xml:space="preserve">-1, GCSF, GM-CSF, iCAM-1, I-309, IL-1α, IL-1β, IL-4, IL-6, </w:t>
      </w:r>
      <w:r w:rsidR="007A0F7C" w:rsidRPr="003C0E2F">
        <w:t>IL-1</w:t>
      </w:r>
      <w:r w:rsidRPr="003C0E2F">
        <w:t xml:space="preserve">0, IL-11, IL-13, </w:t>
      </w:r>
      <w:r w:rsidR="009E42FE" w:rsidRPr="003C0E2F">
        <w:t>IP10</w:t>
      </w:r>
      <w:r w:rsidRPr="003C0E2F">
        <w:t xml:space="preserve">, MCP-1, MCP-2, MIP-1α, MIP-1β and TNFα. </w:t>
      </w:r>
      <w:bookmarkStart w:id="526" w:name="_Hlk80830852"/>
      <w:r w:rsidR="003B6E9B" w:rsidRPr="003C0E2F">
        <w:t xml:space="preserve">In most cases, proteins upregulated by LPS are negatively regulated by FP7 and FP12. An exception to this, for both FP7 and FP12, Is MIP-1β which does not appear to show any reduction.  In addition to this, FP12 does not appear to have as pronounced effect on GCSF, I-309 or MIP-1α. </w:t>
      </w:r>
      <w:bookmarkStart w:id="527" w:name="_Hlk80831653"/>
      <w:r w:rsidR="003B6E9B" w:rsidRPr="003C0E2F">
        <w:t xml:space="preserve">This gives the appearance that FP7 may be more effective overall at downregulating proinflammatory protein production than FP12. However, array data may not be the best direct representation of protein levels in the medium. </w:t>
      </w:r>
      <w:r w:rsidR="003D198D" w:rsidRPr="003C0E2F">
        <w:t>Wh</w:t>
      </w:r>
      <w:r w:rsidRPr="003C0E2F">
        <w:t>ile IL-8 was previously shown to be elevated significantly in response to LPS in previous experiments, it does not appear to increase when measured via array due to the levels being too high and subsequent signal being saturated</w:t>
      </w:r>
      <w:r w:rsidR="003D198D" w:rsidRPr="003C0E2F">
        <w:t>, making any differences indistinguishable</w:t>
      </w:r>
      <w:r w:rsidRPr="003C0E2F">
        <w:t>.</w:t>
      </w:r>
      <w:bookmarkEnd w:id="526"/>
      <w:r w:rsidRPr="003C0E2F">
        <w:t xml:space="preserve"> </w:t>
      </w:r>
      <w:r w:rsidR="003D198D" w:rsidRPr="003C0E2F">
        <w:t xml:space="preserve">Additionally, IL-6 appears to produce a 300-fold increase following LPS production, which was not as pronounced previously on ELISA. While the array can give a reasonable overview, any protein of interest must be verified by more quantitative means of analysis such as ELISA </w:t>
      </w:r>
      <w:proofErr w:type="gramStart"/>
      <w:r w:rsidR="003D198D" w:rsidRPr="003C0E2F">
        <w:t>in order to</w:t>
      </w:r>
      <w:proofErr w:type="gramEnd"/>
      <w:r w:rsidR="003D198D" w:rsidRPr="003C0E2F">
        <w:t xml:space="preserve"> draw conclusions from.</w:t>
      </w:r>
      <w:bookmarkEnd w:id="527"/>
      <w:r w:rsidR="009829F7" w:rsidRPr="003C0E2F">
        <w:br w:type="page"/>
      </w:r>
    </w:p>
    <w:p w14:paraId="1EDE6327" w14:textId="7794D5F0" w:rsidR="00D3097F" w:rsidRPr="003C0E2F" w:rsidRDefault="00D3097F" w:rsidP="00E959C5">
      <w:pPr>
        <w:pStyle w:val="NoSpacing"/>
      </w:pPr>
      <w:bookmarkStart w:id="528" w:name="_Ref48584753"/>
      <w:r w:rsidRPr="003C0E2F">
        <w:lastRenderedPageBreak/>
        <w:t xml:space="preserve">Table </w:t>
      </w:r>
      <w:r w:rsidR="00862981">
        <w:fldChar w:fldCharType="begin"/>
      </w:r>
      <w:r w:rsidR="00862981">
        <w:instrText xml:space="preserve"> SEQ Table \* ARABIC </w:instrText>
      </w:r>
      <w:r w:rsidR="00862981">
        <w:fldChar w:fldCharType="separate"/>
      </w:r>
      <w:r w:rsidR="000F2276">
        <w:rPr>
          <w:noProof/>
        </w:rPr>
        <w:t>2</w:t>
      </w:r>
      <w:r w:rsidR="00862981">
        <w:rPr>
          <w:noProof/>
        </w:rPr>
        <w:fldChar w:fldCharType="end"/>
      </w:r>
      <w:bookmarkEnd w:id="525"/>
      <w:bookmarkEnd w:id="528"/>
      <w:r w:rsidRPr="003C0E2F">
        <w:t>. FP7 and FP12 negatively regulate LPS</w:t>
      </w:r>
      <w:r w:rsidR="000A1BFB" w:rsidRPr="003C0E2F">
        <w:t xml:space="preserve"> induced</w:t>
      </w:r>
      <w:r w:rsidRPr="003C0E2F">
        <w:t xml:space="preserve"> proinflammatory protein production in THP-1 </w:t>
      </w:r>
      <w:r w:rsidR="008F561F" w:rsidRPr="003C0E2F">
        <w:t>macrophage</w:t>
      </w:r>
      <w:r w:rsidRPr="003C0E2F">
        <w:t xml:space="preserve">s. THP-1 </w:t>
      </w:r>
      <w:r w:rsidR="008F561F" w:rsidRPr="003C0E2F">
        <w:t>macrophage</w:t>
      </w:r>
      <w:r w:rsidRPr="003C0E2F">
        <w:t xml:space="preserve">s were treated with FP7 or FP12 (10µM) for 1 hour prior to LPS (100ng/ml) exposure. Culture medium collected after </w:t>
      </w:r>
      <w:r w:rsidR="007A7EEE" w:rsidRPr="003C0E2F">
        <w:t>18-hour</w:t>
      </w:r>
      <w:r w:rsidRPr="003C0E2F">
        <w:t xml:space="preserve"> incubation. A human inflammation array (</w:t>
      </w:r>
      <w:proofErr w:type="spellStart"/>
      <w:r w:rsidRPr="003C0E2F">
        <w:t>Ray</w:t>
      </w:r>
      <w:r w:rsidR="00C01CEE" w:rsidRPr="003C0E2F">
        <w:t>B</w:t>
      </w:r>
      <w:r w:rsidRPr="003C0E2F">
        <w:t>iotech</w:t>
      </w:r>
      <w:proofErr w:type="spellEnd"/>
      <w:r w:rsidRPr="003C0E2F">
        <w:t xml:space="preserve">). Green = </w:t>
      </w:r>
      <w:r w:rsidR="007A7EEE" w:rsidRPr="003C0E2F">
        <w:t>2-fold</w:t>
      </w:r>
      <w:r w:rsidRPr="003C0E2F">
        <w:t xml:space="preserve"> increase vs </w:t>
      </w:r>
      <w:r w:rsidR="00E10D61" w:rsidRPr="003C0E2F">
        <w:t xml:space="preserve">untreated </w:t>
      </w:r>
      <w:r w:rsidRPr="003C0E2F">
        <w:t>control</w:t>
      </w:r>
      <w:r w:rsidR="00E10D61" w:rsidRPr="003C0E2F">
        <w:t xml:space="preserve"> (vehicle only)</w:t>
      </w:r>
      <w:r w:rsidRPr="003C0E2F">
        <w:t>. Red = 50% decrease vs LPS.</w:t>
      </w:r>
    </w:p>
    <w:p w14:paraId="736C2543" w14:textId="77777777" w:rsidR="009829F7" w:rsidRPr="003C0E2F" w:rsidRDefault="009829F7" w:rsidP="00E959C5">
      <w:pPr>
        <w:pStyle w:val="NoSpacing"/>
      </w:pPr>
    </w:p>
    <w:tbl>
      <w:tblPr>
        <w:tblW w:w="7790" w:type="dxa"/>
        <w:jc w:val="center"/>
        <w:tblLook w:val="04A0" w:firstRow="1" w:lastRow="0" w:firstColumn="1" w:lastColumn="0" w:noHBand="0" w:noVBand="1"/>
      </w:tblPr>
      <w:tblGrid>
        <w:gridCol w:w="1587"/>
        <w:gridCol w:w="844"/>
        <w:gridCol w:w="732"/>
        <w:gridCol w:w="732"/>
        <w:gridCol w:w="1587"/>
        <w:gridCol w:w="844"/>
        <w:gridCol w:w="732"/>
        <w:gridCol w:w="732"/>
      </w:tblGrid>
      <w:tr w:rsidR="003C0E2F" w:rsidRPr="003C0E2F" w14:paraId="76D8F9D4" w14:textId="77777777" w:rsidTr="009D57AC">
        <w:trPr>
          <w:trHeight w:val="619"/>
          <w:jc w:val="center"/>
        </w:trPr>
        <w:tc>
          <w:tcPr>
            <w:tcW w:w="1587" w:type="dxa"/>
            <w:tcBorders>
              <w:top w:val="single" w:sz="12" w:space="0" w:color="auto"/>
              <w:left w:val="single" w:sz="12" w:space="0" w:color="auto"/>
              <w:bottom w:val="single" w:sz="12" w:space="0" w:color="auto"/>
              <w:right w:val="single" w:sz="8" w:space="0" w:color="auto"/>
            </w:tcBorders>
            <w:vAlign w:val="bottom"/>
            <w:hideMark/>
          </w:tcPr>
          <w:p w14:paraId="548E941A" w14:textId="77777777" w:rsidR="00D3097F" w:rsidRPr="003C0E2F" w:rsidRDefault="00D3097F" w:rsidP="00EE17F5">
            <w:pPr>
              <w:spacing w:after="0" w:line="276" w:lineRule="auto"/>
              <w:rPr>
                <w:rStyle w:val="Strong"/>
                <w:b w:val="0"/>
                <w:bCs w:val="0"/>
              </w:rPr>
            </w:pPr>
            <w:r w:rsidRPr="003C0E2F">
              <w:rPr>
                <w:rStyle w:val="Strong"/>
              </w:rPr>
              <w:t>Inflammatory Proteins</w:t>
            </w:r>
          </w:p>
        </w:tc>
        <w:tc>
          <w:tcPr>
            <w:tcW w:w="844" w:type="dxa"/>
            <w:tcBorders>
              <w:top w:val="single" w:sz="12" w:space="0" w:color="auto"/>
              <w:left w:val="nil"/>
              <w:bottom w:val="single" w:sz="12" w:space="0" w:color="auto"/>
              <w:right w:val="single" w:sz="4" w:space="0" w:color="auto"/>
            </w:tcBorders>
            <w:noWrap/>
            <w:vAlign w:val="center"/>
            <w:hideMark/>
          </w:tcPr>
          <w:p w14:paraId="7CD4877A" w14:textId="77777777" w:rsidR="00D3097F" w:rsidRPr="003C0E2F" w:rsidRDefault="00D3097F" w:rsidP="00EE17F5">
            <w:pPr>
              <w:spacing w:after="0" w:line="276" w:lineRule="auto"/>
              <w:rPr>
                <w:rStyle w:val="Strong"/>
                <w:b w:val="0"/>
                <w:bCs w:val="0"/>
              </w:rPr>
            </w:pPr>
            <w:r w:rsidRPr="003C0E2F">
              <w:rPr>
                <w:rStyle w:val="Strong"/>
              </w:rPr>
              <w:t>LPS</w:t>
            </w:r>
          </w:p>
        </w:tc>
        <w:tc>
          <w:tcPr>
            <w:tcW w:w="732" w:type="dxa"/>
            <w:tcBorders>
              <w:top w:val="single" w:sz="12" w:space="0" w:color="auto"/>
              <w:left w:val="nil"/>
              <w:bottom w:val="single" w:sz="12" w:space="0" w:color="auto"/>
              <w:right w:val="single" w:sz="4" w:space="0" w:color="auto"/>
            </w:tcBorders>
            <w:vAlign w:val="center"/>
            <w:hideMark/>
          </w:tcPr>
          <w:p w14:paraId="005E51F4" w14:textId="77777777" w:rsidR="00D3097F" w:rsidRPr="003C0E2F" w:rsidRDefault="00D3097F" w:rsidP="00EE17F5">
            <w:pPr>
              <w:spacing w:after="0" w:line="276" w:lineRule="auto"/>
              <w:rPr>
                <w:rStyle w:val="Strong"/>
                <w:b w:val="0"/>
                <w:bCs w:val="0"/>
              </w:rPr>
            </w:pPr>
            <w:r w:rsidRPr="003C0E2F">
              <w:rPr>
                <w:rStyle w:val="Strong"/>
              </w:rPr>
              <w:t>LPS/</w:t>
            </w:r>
            <w:r w:rsidRPr="003C0E2F">
              <w:rPr>
                <w:rStyle w:val="Strong"/>
              </w:rPr>
              <w:br/>
              <w:t>FP7</w:t>
            </w:r>
          </w:p>
        </w:tc>
        <w:tc>
          <w:tcPr>
            <w:tcW w:w="732" w:type="dxa"/>
            <w:tcBorders>
              <w:top w:val="single" w:sz="12" w:space="0" w:color="auto"/>
              <w:left w:val="nil"/>
              <w:bottom w:val="single" w:sz="12" w:space="0" w:color="auto"/>
              <w:right w:val="single" w:sz="12" w:space="0" w:color="auto"/>
            </w:tcBorders>
            <w:vAlign w:val="center"/>
            <w:hideMark/>
          </w:tcPr>
          <w:p w14:paraId="3D7AB038" w14:textId="77777777" w:rsidR="00D3097F" w:rsidRPr="003C0E2F" w:rsidRDefault="00D3097F" w:rsidP="00EE17F5">
            <w:pPr>
              <w:spacing w:after="0" w:line="276" w:lineRule="auto"/>
              <w:rPr>
                <w:rStyle w:val="Strong"/>
                <w:b w:val="0"/>
                <w:bCs w:val="0"/>
              </w:rPr>
            </w:pPr>
            <w:r w:rsidRPr="003C0E2F">
              <w:rPr>
                <w:rStyle w:val="Strong"/>
              </w:rPr>
              <w:t>LPS/</w:t>
            </w:r>
            <w:r w:rsidRPr="003C0E2F">
              <w:rPr>
                <w:rStyle w:val="Strong"/>
              </w:rPr>
              <w:br/>
              <w:t>FP12</w:t>
            </w:r>
          </w:p>
        </w:tc>
        <w:tc>
          <w:tcPr>
            <w:tcW w:w="1587" w:type="dxa"/>
            <w:tcBorders>
              <w:top w:val="single" w:sz="12" w:space="0" w:color="auto"/>
              <w:left w:val="single" w:sz="12" w:space="0" w:color="auto"/>
              <w:bottom w:val="single" w:sz="12" w:space="0" w:color="auto"/>
              <w:right w:val="single" w:sz="8" w:space="0" w:color="auto"/>
            </w:tcBorders>
            <w:vAlign w:val="bottom"/>
            <w:hideMark/>
          </w:tcPr>
          <w:p w14:paraId="26C71F20" w14:textId="77777777" w:rsidR="00D3097F" w:rsidRPr="003C0E2F" w:rsidRDefault="00D3097F" w:rsidP="00EE17F5">
            <w:pPr>
              <w:spacing w:after="0" w:line="276" w:lineRule="auto"/>
              <w:rPr>
                <w:rStyle w:val="Strong"/>
                <w:b w:val="0"/>
                <w:bCs w:val="0"/>
              </w:rPr>
            </w:pPr>
            <w:r w:rsidRPr="003C0E2F">
              <w:rPr>
                <w:rStyle w:val="Strong"/>
              </w:rPr>
              <w:t>Inflammatory Proteins</w:t>
            </w:r>
          </w:p>
        </w:tc>
        <w:tc>
          <w:tcPr>
            <w:tcW w:w="844" w:type="dxa"/>
            <w:tcBorders>
              <w:top w:val="single" w:sz="12" w:space="0" w:color="auto"/>
              <w:left w:val="nil"/>
              <w:bottom w:val="single" w:sz="12" w:space="0" w:color="auto"/>
              <w:right w:val="single" w:sz="4" w:space="0" w:color="auto"/>
            </w:tcBorders>
            <w:noWrap/>
            <w:vAlign w:val="center"/>
            <w:hideMark/>
          </w:tcPr>
          <w:p w14:paraId="4001DB21" w14:textId="77777777" w:rsidR="00D3097F" w:rsidRPr="003C0E2F" w:rsidRDefault="00D3097F" w:rsidP="00EE17F5">
            <w:pPr>
              <w:spacing w:after="0" w:line="276" w:lineRule="auto"/>
              <w:rPr>
                <w:rStyle w:val="Strong"/>
                <w:b w:val="0"/>
                <w:bCs w:val="0"/>
              </w:rPr>
            </w:pPr>
            <w:r w:rsidRPr="003C0E2F">
              <w:rPr>
                <w:rStyle w:val="Strong"/>
              </w:rPr>
              <w:t>LPS</w:t>
            </w:r>
          </w:p>
        </w:tc>
        <w:tc>
          <w:tcPr>
            <w:tcW w:w="732" w:type="dxa"/>
            <w:tcBorders>
              <w:top w:val="single" w:sz="12" w:space="0" w:color="auto"/>
              <w:left w:val="nil"/>
              <w:bottom w:val="single" w:sz="12" w:space="0" w:color="auto"/>
              <w:right w:val="single" w:sz="4" w:space="0" w:color="auto"/>
            </w:tcBorders>
            <w:vAlign w:val="center"/>
            <w:hideMark/>
          </w:tcPr>
          <w:p w14:paraId="224045ED" w14:textId="77777777" w:rsidR="00D3097F" w:rsidRPr="003C0E2F" w:rsidRDefault="00D3097F" w:rsidP="00EE17F5">
            <w:pPr>
              <w:spacing w:after="0" w:line="276" w:lineRule="auto"/>
              <w:rPr>
                <w:rStyle w:val="Strong"/>
                <w:b w:val="0"/>
                <w:bCs w:val="0"/>
              </w:rPr>
            </w:pPr>
            <w:r w:rsidRPr="003C0E2F">
              <w:rPr>
                <w:rStyle w:val="Strong"/>
              </w:rPr>
              <w:t>LPS/</w:t>
            </w:r>
            <w:r w:rsidRPr="003C0E2F">
              <w:rPr>
                <w:rStyle w:val="Strong"/>
              </w:rPr>
              <w:br/>
              <w:t>FP7</w:t>
            </w:r>
          </w:p>
        </w:tc>
        <w:tc>
          <w:tcPr>
            <w:tcW w:w="732" w:type="dxa"/>
            <w:tcBorders>
              <w:top w:val="single" w:sz="12" w:space="0" w:color="auto"/>
              <w:left w:val="nil"/>
              <w:bottom w:val="single" w:sz="12" w:space="0" w:color="auto"/>
              <w:right w:val="single" w:sz="12" w:space="0" w:color="auto"/>
            </w:tcBorders>
            <w:vAlign w:val="center"/>
            <w:hideMark/>
          </w:tcPr>
          <w:p w14:paraId="16C74CC6" w14:textId="77777777" w:rsidR="00D3097F" w:rsidRPr="003C0E2F" w:rsidRDefault="00D3097F" w:rsidP="00EE17F5">
            <w:pPr>
              <w:spacing w:after="0" w:line="276" w:lineRule="auto"/>
              <w:rPr>
                <w:rStyle w:val="Strong"/>
                <w:b w:val="0"/>
                <w:bCs w:val="0"/>
              </w:rPr>
            </w:pPr>
            <w:r w:rsidRPr="003C0E2F">
              <w:rPr>
                <w:rStyle w:val="Strong"/>
              </w:rPr>
              <w:t>LPS/</w:t>
            </w:r>
            <w:r w:rsidRPr="003C0E2F">
              <w:rPr>
                <w:rStyle w:val="Strong"/>
              </w:rPr>
              <w:br/>
              <w:t>FP12</w:t>
            </w:r>
          </w:p>
        </w:tc>
      </w:tr>
      <w:tr w:rsidR="003C0E2F" w:rsidRPr="003C0E2F" w14:paraId="63EB890D" w14:textId="77777777" w:rsidTr="009D57AC">
        <w:trPr>
          <w:trHeight w:val="206"/>
          <w:jc w:val="center"/>
        </w:trPr>
        <w:tc>
          <w:tcPr>
            <w:tcW w:w="1587" w:type="dxa"/>
            <w:tcBorders>
              <w:top w:val="single" w:sz="12" w:space="0" w:color="auto"/>
              <w:left w:val="single" w:sz="12" w:space="0" w:color="auto"/>
              <w:bottom w:val="single" w:sz="4" w:space="0" w:color="auto"/>
              <w:right w:val="nil"/>
            </w:tcBorders>
            <w:noWrap/>
            <w:vAlign w:val="bottom"/>
            <w:hideMark/>
          </w:tcPr>
          <w:p w14:paraId="7CF5392A" w14:textId="5CA9CD83" w:rsidR="00D3097F" w:rsidRPr="003C0E2F" w:rsidRDefault="00D3097F" w:rsidP="00EE17F5">
            <w:pPr>
              <w:spacing w:after="0" w:line="276" w:lineRule="auto"/>
              <w:rPr>
                <w:rStyle w:val="Strong"/>
                <w:b w:val="0"/>
                <w:bCs w:val="0"/>
              </w:rPr>
            </w:pPr>
            <w:r w:rsidRPr="003C0E2F">
              <w:rPr>
                <w:rStyle w:val="Strong"/>
              </w:rPr>
              <w:t xml:space="preserve">1. </w:t>
            </w:r>
            <w:r w:rsidR="007A0F7C" w:rsidRPr="003C0E2F">
              <w:rPr>
                <w:rStyle w:val="Strong"/>
              </w:rPr>
              <w:t>EOTAXIN</w:t>
            </w:r>
            <w:r w:rsidRPr="003C0E2F">
              <w:rPr>
                <w:rStyle w:val="Strong"/>
              </w:rPr>
              <w:t>-1</w:t>
            </w:r>
          </w:p>
        </w:tc>
        <w:tc>
          <w:tcPr>
            <w:tcW w:w="844" w:type="dxa"/>
            <w:tcBorders>
              <w:top w:val="single" w:sz="12" w:space="0" w:color="auto"/>
              <w:left w:val="single" w:sz="8" w:space="0" w:color="auto"/>
              <w:bottom w:val="single" w:sz="4" w:space="0" w:color="auto"/>
              <w:right w:val="single" w:sz="4" w:space="0" w:color="auto"/>
            </w:tcBorders>
            <w:shd w:val="clear" w:color="auto" w:fill="C6EFCE"/>
            <w:noWrap/>
            <w:vAlign w:val="bottom"/>
            <w:hideMark/>
          </w:tcPr>
          <w:p w14:paraId="669F09E6" w14:textId="77777777" w:rsidR="00D3097F" w:rsidRPr="003C0E2F" w:rsidRDefault="00D3097F" w:rsidP="00EE17F5">
            <w:pPr>
              <w:spacing w:after="0" w:line="276" w:lineRule="auto"/>
              <w:rPr>
                <w:rStyle w:val="Strong"/>
                <w:b w:val="0"/>
                <w:bCs w:val="0"/>
              </w:rPr>
            </w:pPr>
            <w:r w:rsidRPr="003C0E2F">
              <w:rPr>
                <w:rStyle w:val="Strong"/>
                <w:b w:val="0"/>
                <w:bCs w:val="0"/>
              </w:rPr>
              <w:t>5.95</w:t>
            </w:r>
          </w:p>
        </w:tc>
        <w:tc>
          <w:tcPr>
            <w:tcW w:w="732" w:type="dxa"/>
            <w:tcBorders>
              <w:top w:val="single" w:sz="12" w:space="0" w:color="auto"/>
              <w:left w:val="single" w:sz="4" w:space="0" w:color="auto"/>
              <w:bottom w:val="single" w:sz="4" w:space="0" w:color="auto"/>
              <w:right w:val="single" w:sz="4" w:space="0" w:color="auto"/>
            </w:tcBorders>
            <w:shd w:val="clear" w:color="auto" w:fill="FFC7CE"/>
            <w:noWrap/>
            <w:vAlign w:val="bottom"/>
            <w:hideMark/>
          </w:tcPr>
          <w:p w14:paraId="7E4BB051" w14:textId="77777777" w:rsidR="00D3097F" w:rsidRPr="003C0E2F" w:rsidRDefault="00D3097F" w:rsidP="00EE17F5">
            <w:pPr>
              <w:spacing w:after="0" w:line="276" w:lineRule="auto"/>
              <w:rPr>
                <w:rStyle w:val="Strong"/>
                <w:b w:val="0"/>
                <w:bCs w:val="0"/>
              </w:rPr>
            </w:pPr>
            <w:r w:rsidRPr="003C0E2F">
              <w:rPr>
                <w:rStyle w:val="Strong"/>
                <w:b w:val="0"/>
                <w:bCs w:val="0"/>
              </w:rPr>
              <w:t>0.97</w:t>
            </w:r>
          </w:p>
        </w:tc>
        <w:tc>
          <w:tcPr>
            <w:tcW w:w="732" w:type="dxa"/>
            <w:tcBorders>
              <w:top w:val="single" w:sz="12" w:space="0" w:color="auto"/>
              <w:left w:val="single" w:sz="4" w:space="0" w:color="auto"/>
              <w:bottom w:val="single" w:sz="4" w:space="0" w:color="auto"/>
              <w:right w:val="single" w:sz="12" w:space="0" w:color="auto"/>
            </w:tcBorders>
            <w:shd w:val="clear" w:color="auto" w:fill="FFC7CE"/>
            <w:noWrap/>
            <w:vAlign w:val="bottom"/>
            <w:hideMark/>
          </w:tcPr>
          <w:p w14:paraId="38B8059E" w14:textId="77777777" w:rsidR="00D3097F" w:rsidRPr="003C0E2F" w:rsidRDefault="00D3097F" w:rsidP="00EE17F5">
            <w:pPr>
              <w:spacing w:after="0" w:line="276" w:lineRule="auto"/>
              <w:rPr>
                <w:rStyle w:val="Strong"/>
                <w:b w:val="0"/>
                <w:bCs w:val="0"/>
              </w:rPr>
            </w:pPr>
            <w:r w:rsidRPr="003C0E2F">
              <w:rPr>
                <w:rStyle w:val="Strong"/>
                <w:b w:val="0"/>
                <w:bCs w:val="0"/>
              </w:rPr>
              <w:t>1.10</w:t>
            </w:r>
          </w:p>
        </w:tc>
        <w:tc>
          <w:tcPr>
            <w:tcW w:w="1587" w:type="dxa"/>
            <w:tcBorders>
              <w:top w:val="single" w:sz="12" w:space="0" w:color="auto"/>
              <w:left w:val="single" w:sz="12" w:space="0" w:color="auto"/>
              <w:bottom w:val="single" w:sz="4" w:space="0" w:color="auto"/>
              <w:right w:val="single" w:sz="8" w:space="0" w:color="auto"/>
            </w:tcBorders>
            <w:noWrap/>
            <w:vAlign w:val="bottom"/>
            <w:hideMark/>
          </w:tcPr>
          <w:p w14:paraId="06BC5159" w14:textId="77777777" w:rsidR="00D3097F" w:rsidRPr="003C0E2F" w:rsidRDefault="00D3097F" w:rsidP="00EE17F5">
            <w:pPr>
              <w:spacing w:after="0" w:line="276" w:lineRule="auto"/>
              <w:rPr>
                <w:rStyle w:val="Strong"/>
                <w:b w:val="0"/>
                <w:bCs w:val="0"/>
              </w:rPr>
            </w:pPr>
            <w:r w:rsidRPr="003C0E2F">
              <w:rPr>
                <w:rStyle w:val="Strong"/>
              </w:rPr>
              <w:t>21. IL-13</w:t>
            </w:r>
          </w:p>
        </w:tc>
        <w:tc>
          <w:tcPr>
            <w:tcW w:w="844" w:type="dxa"/>
            <w:tcBorders>
              <w:top w:val="single" w:sz="12" w:space="0" w:color="auto"/>
              <w:left w:val="single" w:sz="8" w:space="0" w:color="auto"/>
              <w:bottom w:val="single" w:sz="4" w:space="0" w:color="auto"/>
              <w:right w:val="single" w:sz="4" w:space="0" w:color="auto"/>
            </w:tcBorders>
            <w:shd w:val="clear" w:color="auto" w:fill="C6EFCE"/>
            <w:noWrap/>
            <w:vAlign w:val="bottom"/>
            <w:hideMark/>
          </w:tcPr>
          <w:p w14:paraId="018979BC" w14:textId="77777777" w:rsidR="00D3097F" w:rsidRPr="003C0E2F" w:rsidRDefault="00D3097F" w:rsidP="00EE17F5">
            <w:pPr>
              <w:spacing w:after="0" w:line="276" w:lineRule="auto"/>
              <w:rPr>
                <w:rStyle w:val="Strong"/>
                <w:b w:val="0"/>
                <w:bCs w:val="0"/>
              </w:rPr>
            </w:pPr>
            <w:r w:rsidRPr="003C0E2F">
              <w:rPr>
                <w:rStyle w:val="Strong"/>
                <w:b w:val="0"/>
                <w:bCs w:val="0"/>
              </w:rPr>
              <w:t>2.38</w:t>
            </w:r>
          </w:p>
        </w:tc>
        <w:tc>
          <w:tcPr>
            <w:tcW w:w="732" w:type="dxa"/>
            <w:tcBorders>
              <w:top w:val="single" w:sz="12" w:space="0" w:color="auto"/>
              <w:left w:val="single" w:sz="4" w:space="0" w:color="auto"/>
              <w:bottom w:val="single" w:sz="4" w:space="0" w:color="auto"/>
              <w:right w:val="single" w:sz="4" w:space="0" w:color="auto"/>
            </w:tcBorders>
            <w:shd w:val="clear" w:color="auto" w:fill="FFC7CE"/>
            <w:noWrap/>
            <w:vAlign w:val="bottom"/>
            <w:hideMark/>
          </w:tcPr>
          <w:p w14:paraId="120FCFD5" w14:textId="77777777" w:rsidR="00D3097F" w:rsidRPr="003C0E2F" w:rsidRDefault="00D3097F" w:rsidP="00EE17F5">
            <w:pPr>
              <w:spacing w:after="0" w:line="276" w:lineRule="auto"/>
              <w:rPr>
                <w:rStyle w:val="Strong"/>
                <w:b w:val="0"/>
                <w:bCs w:val="0"/>
              </w:rPr>
            </w:pPr>
            <w:r w:rsidRPr="003C0E2F">
              <w:rPr>
                <w:rStyle w:val="Strong"/>
                <w:b w:val="0"/>
                <w:bCs w:val="0"/>
              </w:rPr>
              <w:t>0.91</w:t>
            </w:r>
          </w:p>
        </w:tc>
        <w:tc>
          <w:tcPr>
            <w:tcW w:w="732" w:type="dxa"/>
            <w:tcBorders>
              <w:top w:val="single" w:sz="12" w:space="0" w:color="auto"/>
              <w:left w:val="single" w:sz="4" w:space="0" w:color="auto"/>
              <w:bottom w:val="single" w:sz="4" w:space="0" w:color="auto"/>
              <w:right w:val="single" w:sz="12" w:space="0" w:color="auto"/>
            </w:tcBorders>
            <w:shd w:val="clear" w:color="auto" w:fill="FFC7CE"/>
            <w:noWrap/>
            <w:vAlign w:val="bottom"/>
            <w:hideMark/>
          </w:tcPr>
          <w:p w14:paraId="03A4CA24" w14:textId="77777777" w:rsidR="00D3097F" w:rsidRPr="003C0E2F" w:rsidRDefault="00D3097F" w:rsidP="00EE17F5">
            <w:pPr>
              <w:spacing w:after="0" w:line="276" w:lineRule="auto"/>
              <w:rPr>
                <w:rStyle w:val="Strong"/>
                <w:b w:val="0"/>
                <w:bCs w:val="0"/>
              </w:rPr>
            </w:pPr>
            <w:r w:rsidRPr="003C0E2F">
              <w:rPr>
                <w:rStyle w:val="Strong"/>
                <w:b w:val="0"/>
                <w:bCs w:val="0"/>
              </w:rPr>
              <w:t>0.49</w:t>
            </w:r>
          </w:p>
        </w:tc>
      </w:tr>
      <w:tr w:rsidR="003C0E2F" w:rsidRPr="003C0E2F" w14:paraId="0A92B38C"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5DF5A23B" w14:textId="5B52350D" w:rsidR="00D3097F" w:rsidRPr="003C0E2F" w:rsidRDefault="00D3097F" w:rsidP="00EE17F5">
            <w:pPr>
              <w:spacing w:after="0" w:line="276" w:lineRule="auto"/>
              <w:rPr>
                <w:rStyle w:val="Strong"/>
                <w:b w:val="0"/>
                <w:bCs w:val="0"/>
              </w:rPr>
            </w:pPr>
            <w:r w:rsidRPr="003C0E2F">
              <w:rPr>
                <w:rStyle w:val="Strong"/>
              </w:rPr>
              <w:t xml:space="preserve">2. </w:t>
            </w:r>
            <w:r w:rsidR="007A0F7C" w:rsidRPr="003C0E2F">
              <w:rPr>
                <w:rStyle w:val="Strong"/>
              </w:rPr>
              <w:t>EOTAXIN</w:t>
            </w:r>
            <w:r w:rsidRPr="003C0E2F">
              <w:rPr>
                <w:rStyle w:val="Strong"/>
              </w:rPr>
              <w:t>-2</w:t>
            </w:r>
          </w:p>
        </w:tc>
        <w:tc>
          <w:tcPr>
            <w:tcW w:w="844" w:type="dxa"/>
            <w:tcBorders>
              <w:top w:val="nil"/>
              <w:left w:val="single" w:sz="8" w:space="0" w:color="auto"/>
              <w:bottom w:val="single" w:sz="4" w:space="0" w:color="auto"/>
              <w:right w:val="single" w:sz="4" w:space="0" w:color="auto"/>
            </w:tcBorders>
            <w:noWrap/>
            <w:vAlign w:val="bottom"/>
            <w:hideMark/>
          </w:tcPr>
          <w:p w14:paraId="335DA62C" w14:textId="77777777" w:rsidR="00D3097F" w:rsidRPr="003C0E2F" w:rsidRDefault="00D3097F" w:rsidP="00EE17F5">
            <w:pPr>
              <w:spacing w:after="0" w:line="276" w:lineRule="auto"/>
              <w:rPr>
                <w:rStyle w:val="Strong"/>
                <w:b w:val="0"/>
                <w:bCs w:val="0"/>
              </w:rPr>
            </w:pPr>
            <w:r w:rsidRPr="003C0E2F">
              <w:rPr>
                <w:rStyle w:val="Strong"/>
                <w:b w:val="0"/>
                <w:bCs w:val="0"/>
              </w:rPr>
              <w:t>1.06</w:t>
            </w:r>
          </w:p>
        </w:tc>
        <w:tc>
          <w:tcPr>
            <w:tcW w:w="732" w:type="dxa"/>
            <w:tcBorders>
              <w:top w:val="nil"/>
              <w:left w:val="nil"/>
              <w:bottom w:val="single" w:sz="4" w:space="0" w:color="auto"/>
              <w:right w:val="single" w:sz="4" w:space="0" w:color="auto"/>
            </w:tcBorders>
            <w:noWrap/>
            <w:vAlign w:val="bottom"/>
            <w:hideMark/>
          </w:tcPr>
          <w:p w14:paraId="2ABCBFAD" w14:textId="77777777" w:rsidR="00D3097F" w:rsidRPr="003C0E2F" w:rsidRDefault="00D3097F" w:rsidP="00EE17F5">
            <w:pPr>
              <w:spacing w:after="0" w:line="276" w:lineRule="auto"/>
              <w:rPr>
                <w:rStyle w:val="Strong"/>
                <w:b w:val="0"/>
                <w:bCs w:val="0"/>
              </w:rPr>
            </w:pPr>
            <w:r w:rsidRPr="003C0E2F">
              <w:rPr>
                <w:rStyle w:val="Strong"/>
                <w:b w:val="0"/>
                <w:bCs w:val="0"/>
              </w:rPr>
              <w:t>1.20</w:t>
            </w:r>
          </w:p>
        </w:tc>
        <w:tc>
          <w:tcPr>
            <w:tcW w:w="732" w:type="dxa"/>
            <w:tcBorders>
              <w:top w:val="nil"/>
              <w:left w:val="nil"/>
              <w:bottom w:val="single" w:sz="4" w:space="0" w:color="auto"/>
              <w:right w:val="single" w:sz="12" w:space="0" w:color="auto"/>
            </w:tcBorders>
            <w:noWrap/>
            <w:vAlign w:val="bottom"/>
            <w:hideMark/>
          </w:tcPr>
          <w:p w14:paraId="26121396" w14:textId="77777777" w:rsidR="00D3097F" w:rsidRPr="003C0E2F" w:rsidRDefault="00D3097F" w:rsidP="00EE17F5">
            <w:pPr>
              <w:spacing w:after="0" w:line="276" w:lineRule="auto"/>
              <w:rPr>
                <w:rStyle w:val="Strong"/>
                <w:b w:val="0"/>
                <w:bCs w:val="0"/>
              </w:rPr>
            </w:pPr>
            <w:r w:rsidRPr="003C0E2F">
              <w:rPr>
                <w:rStyle w:val="Strong"/>
                <w:b w:val="0"/>
                <w:bCs w:val="0"/>
              </w:rPr>
              <w:t>1.36</w:t>
            </w:r>
          </w:p>
        </w:tc>
        <w:tc>
          <w:tcPr>
            <w:tcW w:w="1587" w:type="dxa"/>
            <w:tcBorders>
              <w:top w:val="nil"/>
              <w:left w:val="single" w:sz="12" w:space="0" w:color="auto"/>
              <w:bottom w:val="single" w:sz="4" w:space="0" w:color="auto"/>
              <w:right w:val="single" w:sz="8" w:space="0" w:color="auto"/>
            </w:tcBorders>
            <w:noWrap/>
            <w:vAlign w:val="bottom"/>
            <w:hideMark/>
          </w:tcPr>
          <w:p w14:paraId="1E861CC3" w14:textId="77777777" w:rsidR="00D3097F" w:rsidRPr="003C0E2F" w:rsidRDefault="00D3097F" w:rsidP="00EE17F5">
            <w:pPr>
              <w:spacing w:after="0" w:line="276" w:lineRule="auto"/>
              <w:rPr>
                <w:rStyle w:val="Strong"/>
                <w:b w:val="0"/>
                <w:bCs w:val="0"/>
              </w:rPr>
            </w:pPr>
            <w:r w:rsidRPr="003C0E2F">
              <w:rPr>
                <w:rStyle w:val="Strong"/>
              </w:rPr>
              <w:t>22. IL-15</w:t>
            </w:r>
          </w:p>
        </w:tc>
        <w:tc>
          <w:tcPr>
            <w:tcW w:w="844" w:type="dxa"/>
            <w:tcBorders>
              <w:top w:val="nil"/>
              <w:left w:val="nil"/>
              <w:bottom w:val="single" w:sz="4" w:space="0" w:color="auto"/>
              <w:right w:val="single" w:sz="4" w:space="0" w:color="auto"/>
            </w:tcBorders>
            <w:noWrap/>
            <w:vAlign w:val="bottom"/>
            <w:hideMark/>
          </w:tcPr>
          <w:p w14:paraId="1A0A3251" w14:textId="77777777" w:rsidR="00D3097F" w:rsidRPr="003C0E2F" w:rsidRDefault="00D3097F" w:rsidP="00EE17F5">
            <w:pPr>
              <w:spacing w:after="0" w:line="276" w:lineRule="auto"/>
              <w:rPr>
                <w:rStyle w:val="Strong"/>
                <w:b w:val="0"/>
                <w:bCs w:val="0"/>
              </w:rPr>
            </w:pPr>
            <w:r w:rsidRPr="003C0E2F">
              <w:rPr>
                <w:rStyle w:val="Strong"/>
                <w:b w:val="0"/>
                <w:bCs w:val="0"/>
              </w:rPr>
              <w:t>0.71</w:t>
            </w:r>
          </w:p>
        </w:tc>
        <w:tc>
          <w:tcPr>
            <w:tcW w:w="732" w:type="dxa"/>
            <w:tcBorders>
              <w:top w:val="nil"/>
              <w:left w:val="nil"/>
              <w:bottom w:val="single" w:sz="4" w:space="0" w:color="auto"/>
              <w:right w:val="single" w:sz="4" w:space="0" w:color="auto"/>
            </w:tcBorders>
            <w:noWrap/>
            <w:vAlign w:val="bottom"/>
            <w:hideMark/>
          </w:tcPr>
          <w:p w14:paraId="14392039" w14:textId="77777777" w:rsidR="00D3097F" w:rsidRPr="003C0E2F" w:rsidRDefault="00D3097F" w:rsidP="00EE17F5">
            <w:pPr>
              <w:spacing w:after="0" w:line="276" w:lineRule="auto"/>
              <w:rPr>
                <w:rStyle w:val="Strong"/>
                <w:b w:val="0"/>
                <w:bCs w:val="0"/>
              </w:rPr>
            </w:pPr>
            <w:r w:rsidRPr="003C0E2F">
              <w:rPr>
                <w:rStyle w:val="Strong"/>
                <w:b w:val="0"/>
                <w:bCs w:val="0"/>
              </w:rPr>
              <w:t>0.58</w:t>
            </w:r>
          </w:p>
        </w:tc>
        <w:tc>
          <w:tcPr>
            <w:tcW w:w="732" w:type="dxa"/>
            <w:tcBorders>
              <w:top w:val="nil"/>
              <w:left w:val="nil"/>
              <w:bottom w:val="single" w:sz="4" w:space="0" w:color="auto"/>
              <w:right w:val="single" w:sz="12" w:space="0" w:color="auto"/>
            </w:tcBorders>
            <w:noWrap/>
            <w:vAlign w:val="bottom"/>
            <w:hideMark/>
          </w:tcPr>
          <w:p w14:paraId="6E95F987" w14:textId="77777777" w:rsidR="00D3097F" w:rsidRPr="003C0E2F" w:rsidRDefault="00D3097F" w:rsidP="00EE17F5">
            <w:pPr>
              <w:spacing w:after="0" w:line="276" w:lineRule="auto"/>
              <w:rPr>
                <w:rStyle w:val="Strong"/>
                <w:b w:val="0"/>
                <w:bCs w:val="0"/>
              </w:rPr>
            </w:pPr>
            <w:r w:rsidRPr="003C0E2F">
              <w:rPr>
                <w:rStyle w:val="Strong"/>
                <w:b w:val="0"/>
                <w:bCs w:val="0"/>
              </w:rPr>
              <w:t>0.83</w:t>
            </w:r>
          </w:p>
        </w:tc>
      </w:tr>
      <w:tr w:rsidR="003C0E2F" w:rsidRPr="003C0E2F" w14:paraId="7EC9265A"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38FEACF2" w14:textId="77777777" w:rsidR="00D3097F" w:rsidRPr="003C0E2F" w:rsidRDefault="00D3097F" w:rsidP="00EE17F5">
            <w:pPr>
              <w:spacing w:after="0" w:line="276" w:lineRule="auto"/>
              <w:rPr>
                <w:rStyle w:val="Strong"/>
                <w:b w:val="0"/>
                <w:bCs w:val="0"/>
              </w:rPr>
            </w:pPr>
            <w:r w:rsidRPr="003C0E2F">
              <w:rPr>
                <w:rStyle w:val="Strong"/>
              </w:rPr>
              <w:t>3. GCSF</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1D3D8467" w14:textId="77777777" w:rsidR="00D3097F" w:rsidRPr="003C0E2F" w:rsidRDefault="00D3097F" w:rsidP="00EE17F5">
            <w:pPr>
              <w:spacing w:after="0" w:line="276" w:lineRule="auto"/>
              <w:rPr>
                <w:rStyle w:val="Strong"/>
                <w:b w:val="0"/>
                <w:bCs w:val="0"/>
              </w:rPr>
            </w:pPr>
            <w:r w:rsidRPr="003C0E2F">
              <w:rPr>
                <w:rStyle w:val="Strong"/>
                <w:b w:val="0"/>
                <w:bCs w:val="0"/>
              </w:rPr>
              <w:t>2.08</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5C0D17A4" w14:textId="77777777" w:rsidR="00D3097F" w:rsidRPr="003C0E2F" w:rsidRDefault="00D3097F" w:rsidP="00EE17F5">
            <w:pPr>
              <w:spacing w:after="0" w:line="276" w:lineRule="auto"/>
              <w:rPr>
                <w:rStyle w:val="Strong"/>
                <w:b w:val="0"/>
                <w:bCs w:val="0"/>
              </w:rPr>
            </w:pPr>
            <w:r w:rsidRPr="003C0E2F">
              <w:rPr>
                <w:rStyle w:val="Strong"/>
                <w:b w:val="0"/>
                <w:bCs w:val="0"/>
              </w:rPr>
              <w:t>1.03</w:t>
            </w:r>
          </w:p>
        </w:tc>
        <w:tc>
          <w:tcPr>
            <w:tcW w:w="732" w:type="dxa"/>
            <w:tcBorders>
              <w:top w:val="nil"/>
              <w:left w:val="nil"/>
              <w:bottom w:val="single" w:sz="4" w:space="0" w:color="auto"/>
              <w:right w:val="single" w:sz="12" w:space="0" w:color="auto"/>
            </w:tcBorders>
            <w:noWrap/>
            <w:vAlign w:val="bottom"/>
            <w:hideMark/>
          </w:tcPr>
          <w:p w14:paraId="7D50DF91" w14:textId="77777777" w:rsidR="00D3097F" w:rsidRPr="003C0E2F" w:rsidRDefault="00D3097F" w:rsidP="00EE17F5">
            <w:pPr>
              <w:spacing w:after="0" w:line="276" w:lineRule="auto"/>
              <w:rPr>
                <w:rStyle w:val="Strong"/>
                <w:b w:val="0"/>
                <w:bCs w:val="0"/>
              </w:rPr>
            </w:pPr>
            <w:r w:rsidRPr="003C0E2F">
              <w:rPr>
                <w:rStyle w:val="Strong"/>
                <w:b w:val="0"/>
                <w:bCs w:val="0"/>
              </w:rPr>
              <w:t>1.61</w:t>
            </w:r>
          </w:p>
        </w:tc>
        <w:tc>
          <w:tcPr>
            <w:tcW w:w="1587" w:type="dxa"/>
            <w:tcBorders>
              <w:top w:val="nil"/>
              <w:left w:val="single" w:sz="12" w:space="0" w:color="auto"/>
              <w:bottom w:val="single" w:sz="4" w:space="0" w:color="auto"/>
              <w:right w:val="single" w:sz="8" w:space="0" w:color="auto"/>
            </w:tcBorders>
            <w:noWrap/>
            <w:vAlign w:val="bottom"/>
            <w:hideMark/>
          </w:tcPr>
          <w:p w14:paraId="229DBA95" w14:textId="77777777" w:rsidR="00D3097F" w:rsidRPr="003C0E2F" w:rsidRDefault="00D3097F" w:rsidP="00EE17F5">
            <w:pPr>
              <w:spacing w:after="0" w:line="276" w:lineRule="auto"/>
              <w:rPr>
                <w:rStyle w:val="Strong"/>
                <w:b w:val="0"/>
                <w:bCs w:val="0"/>
              </w:rPr>
            </w:pPr>
            <w:r w:rsidRPr="003C0E2F">
              <w:rPr>
                <w:rStyle w:val="Strong"/>
              </w:rPr>
              <w:t>23. IL-16</w:t>
            </w:r>
          </w:p>
        </w:tc>
        <w:tc>
          <w:tcPr>
            <w:tcW w:w="844" w:type="dxa"/>
            <w:tcBorders>
              <w:top w:val="nil"/>
              <w:left w:val="nil"/>
              <w:bottom w:val="single" w:sz="4" w:space="0" w:color="auto"/>
              <w:right w:val="single" w:sz="4" w:space="0" w:color="auto"/>
            </w:tcBorders>
            <w:noWrap/>
            <w:vAlign w:val="bottom"/>
            <w:hideMark/>
          </w:tcPr>
          <w:p w14:paraId="180BB82E" w14:textId="77777777" w:rsidR="00D3097F" w:rsidRPr="003C0E2F" w:rsidRDefault="00D3097F" w:rsidP="00EE17F5">
            <w:pPr>
              <w:spacing w:after="0" w:line="276" w:lineRule="auto"/>
              <w:rPr>
                <w:rStyle w:val="Strong"/>
                <w:b w:val="0"/>
                <w:bCs w:val="0"/>
              </w:rPr>
            </w:pPr>
            <w:r w:rsidRPr="003C0E2F">
              <w:rPr>
                <w:rStyle w:val="Strong"/>
                <w:b w:val="0"/>
                <w:bCs w:val="0"/>
              </w:rPr>
              <w:t>1.53</w:t>
            </w:r>
          </w:p>
        </w:tc>
        <w:tc>
          <w:tcPr>
            <w:tcW w:w="732" w:type="dxa"/>
            <w:tcBorders>
              <w:top w:val="nil"/>
              <w:left w:val="nil"/>
              <w:bottom w:val="single" w:sz="4" w:space="0" w:color="auto"/>
              <w:right w:val="single" w:sz="4" w:space="0" w:color="auto"/>
            </w:tcBorders>
            <w:noWrap/>
            <w:vAlign w:val="bottom"/>
            <w:hideMark/>
          </w:tcPr>
          <w:p w14:paraId="14A56C38" w14:textId="77777777" w:rsidR="00D3097F" w:rsidRPr="003C0E2F" w:rsidRDefault="00D3097F" w:rsidP="00EE17F5">
            <w:pPr>
              <w:spacing w:after="0" w:line="276" w:lineRule="auto"/>
              <w:rPr>
                <w:rStyle w:val="Strong"/>
                <w:b w:val="0"/>
                <w:bCs w:val="0"/>
              </w:rPr>
            </w:pPr>
            <w:r w:rsidRPr="003C0E2F">
              <w:rPr>
                <w:rStyle w:val="Strong"/>
                <w:b w:val="0"/>
                <w:bCs w:val="0"/>
              </w:rPr>
              <w:t>1.09</w:t>
            </w:r>
          </w:p>
        </w:tc>
        <w:tc>
          <w:tcPr>
            <w:tcW w:w="732" w:type="dxa"/>
            <w:tcBorders>
              <w:top w:val="nil"/>
              <w:left w:val="nil"/>
              <w:bottom w:val="single" w:sz="4" w:space="0" w:color="auto"/>
              <w:right w:val="single" w:sz="12" w:space="0" w:color="auto"/>
            </w:tcBorders>
            <w:noWrap/>
            <w:vAlign w:val="bottom"/>
            <w:hideMark/>
          </w:tcPr>
          <w:p w14:paraId="293559F7" w14:textId="77777777" w:rsidR="00D3097F" w:rsidRPr="003C0E2F" w:rsidRDefault="00D3097F" w:rsidP="00EE17F5">
            <w:pPr>
              <w:spacing w:after="0" w:line="276" w:lineRule="auto"/>
              <w:rPr>
                <w:rStyle w:val="Strong"/>
                <w:b w:val="0"/>
                <w:bCs w:val="0"/>
              </w:rPr>
            </w:pPr>
            <w:r w:rsidRPr="003C0E2F">
              <w:rPr>
                <w:rStyle w:val="Strong"/>
                <w:b w:val="0"/>
                <w:bCs w:val="0"/>
              </w:rPr>
              <w:t>1.34</w:t>
            </w:r>
          </w:p>
        </w:tc>
      </w:tr>
      <w:tr w:rsidR="003C0E2F" w:rsidRPr="003C0E2F" w14:paraId="24E608EB" w14:textId="77777777" w:rsidTr="00A47778">
        <w:trPr>
          <w:trHeight w:val="70"/>
          <w:jc w:val="center"/>
        </w:trPr>
        <w:tc>
          <w:tcPr>
            <w:tcW w:w="1587" w:type="dxa"/>
            <w:tcBorders>
              <w:top w:val="nil"/>
              <w:left w:val="single" w:sz="12" w:space="0" w:color="auto"/>
              <w:bottom w:val="single" w:sz="4" w:space="0" w:color="auto"/>
              <w:right w:val="nil"/>
            </w:tcBorders>
            <w:noWrap/>
            <w:vAlign w:val="bottom"/>
            <w:hideMark/>
          </w:tcPr>
          <w:p w14:paraId="05D151CB" w14:textId="77777777" w:rsidR="00D3097F" w:rsidRPr="003C0E2F" w:rsidRDefault="00D3097F" w:rsidP="00EE17F5">
            <w:pPr>
              <w:spacing w:after="0" w:line="276" w:lineRule="auto"/>
              <w:rPr>
                <w:rStyle w:val="Strong"/>
                <w:b w:val="0"/>
                <w:bCs w:val="0"/>
              </w:rPr>
            </w:pPr>
            <w:r w:rsidRPr="003C0E2F">
              <w:rPr>
                <w:rStyle w:val="Strong"/>
              </w:rPr>
              <w:t>4. GM-CSF</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4A3B9F67" w14:textId="77777777" w:rsidR="00D3097F" w:rsidRPr="003C0E2F" w:rsidRDefault="00D3097F" w:rsidP="00EE17F5">
            <w:pPr>
              <w:spacing w:after="0" w:line="276" w:lineRule="auto"/>
              <w:rPr>
                <w:rStyle w:val="Strong"/>
                <w:b w:val="0"/>
                <w:bCs w:val="0"/>
              </w:rPr>
            </w:pPr>
            <w:r w:rsidRPr="003C0E2F">
              <w:rPr>
                <w:rStyle w:val="Strong"/>
                <w:b w:val="0"/>
                <w:bCs w:val="0"/>
              </w:rPr>
              <w:t>3.71</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6C5F1745" w14:textId="77777777" w:rsidR="00D3097F" w:rsidRPr="003C0E2F" w:rsidRDefault="00D3097F" w:rsidP="00EE17F5">
            <w:pPr>
              <w:spacing w:after="0" w:line="276" w:lineRule="auto"/>
              <w:rPr>
                <w:rStyle w:val="Strong"/>
                <w:b w:val="0"/>
                <w:bCs w:val="0"/>
              </w:rPr>
            </w:pPr>
            <w:r w:rsidRPr="003C0E2F">
              <w:rPr>
                <w:rStyle w:val="Strong"/>
                <w:b w:val="0"/>
                <w:bCs w:val="0"/>
              </w:rPr>
              <w:t>0.46</w:t>
            </w:r>
          </w:p>
        </w:tc>
        <w:tc>
          <w:tcPr>
            <w:tcW w:w="732"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170C9EA4" w14:textId="77777777" w:rsidR="00D3097F" w:rsidRPr="003C0E2F" w:rsidRDefault="00D3097F" w:rsidP="00EE17F5">
            <w:pPr>
              <w:spacing w:after="0" w:line="276" w:lineRule="auto"/>
              <w:rPr>
                <w:rStyle w:val="Strong"/>
                <w:b w:val="0"/>
                <w:bCs w:val="0"/>
              </w:rPr>
            </w:pPr>
            <w:r w:rsidRPr="003C0E2F">
              <w:rPr>
                <w:rStyle w:val="Strong"/>
                <w:b w:val="0"/>
                <w:bCs w:val="0"/>
              </w:rPr>
              <w:t>0.35</w:t>
            </w:r>
          </w:p>
        </w:tc>
        <w:tc>
          <w:tcPr>
            <w:tcW w:w="1587" w:type="dxa"/>
            <w:tcBorders>
              <w:top w:val="nil"/>
              <w:left w:val="single" w:sz="12" w:space="0" w:color="auto"/>
              <w:bottom w:val="single" w:sz="4" w:space="0" w:color="auto"/>
              <w:right w:val="single" w:sz="8" w:space="0" w:color="auto"/>
            </w:tcBorders>
            <w:noWrap/>
            <w:vAlign w:val="bottom"/>
            <w:hideMark/>
          </w:tcPr>
          <w:p w14:paraId="5A2EB4B2" w14:textId="77777777" w:rsidR="00D3097F" w:rsidRPr="003C0E2F" w:rsidRDefault="00D3097F" w:rsidP="00EE17F5">
            <w:pPr>
              <w:spacing w:after="0" w:line="276" w:lineRule="auto"/>
              <w:rPr>
                <w:rStyle w:val="Strong"/>
                <w:b w:val="0"/>
                <w:bCs w:val="0"/>
              </w:rPr>
            </w:pPr>
            <w:r w:rsidRPr="003C0E2F">
              <w:rPr>
                <w:rStyle w:val="Strong"/>
              </w:rPr>
              <w:t>24. IL-17A</w:t>
            </w:r>
          </w:p>
        </w:tc>
        <w:tc>
          <w:tcPr>
            <w:tcW w:w="844" w:type="dxa"/>
            <w:tcBorders>
              <w:top w:val="nil"/>
              <w:left w:val="nil"/>
              <w:bottom w:val="single" w:sz="4" w:space="0" w:color="auto"/>
              <w:right w:val="single" w:sz="4" w:space="0" w:color="auto"/>
            </w:tcBorders>
            <w:noWrap/>
            <w:vAlign w:val="bottom"/>
            <w:hideMark/>
          </w:tcPr>
          <w:p w14:paraId="4CD6F691" w14:textId="77777777" w:rsidR="00D3097F" w:rsidRPr="003C0E2F" w:rsidRDefault="00D3097F" w:rsidP="00EE17F5">
            <w:pPr>
              <w:spacing w:after="0" w:line="276" w:lineRule="auto"/>
              <w:rPr>
                <w:rStyle w:val="Strong"/>
                <w:b w:val="0"/>
                <w:bCs w:val="0"/>
              </w:rPr>
            </w:pPr>
            <w:r w:rsidRPr="003C0E2F">
              <w:rPr>
                <w:rStyle w:val="Strong"/>
                <w:b w:val="0"/>
                <w:bCs w:val="0"/>
              </w:rPr>
              <w:t>0.88</w:t>
            </w:r>
          </w:p>
        </w:tc>
        <w:tc>
          <w:tcPr>
            <w:tcW w:w="732" w:type="dxa"/>
            <w:tcBorders>
              <w:top w:val="nil"/>
              <w:left w:val="nil"/>
              <w:bottom w:val="single" w:sz="4" w:space="0" w:color="auto"/>
              <w:right w:val="single" w:sz="4" w:space="0" w:color="auto"/>
            </w:tcBorders>
            <w:noWrap/>
            <w:vAlign w:val="bottom"/>
            <w:hideMark/>
          </w:tcPr>
          <w:p w14:paraId="6DBDF3B6" w14:textId="77777777" w:rsidR="00D3097F" w:rsidRPr="003C0E2F" w:rsidRDefault="00D3097F" w:rsidP="00EE17F5">
            <w:pPr>
              <w:spacing w:after="0" w:line="276" w:lineRule="auto"/>
              <w:rPr>
                <w:rStyle w:val="Strong"/>
                <w:b w:val="0"/>
                <w:bCs w:val="0"/>
              </w:rPr>
            </w:pPr>
            <w:r w:rsidRPr="003C0E2F">
              <w:rPr>
                <w:rStyle w:val="Strong"/>
                <w:b w:val="0"/>
                <w:bCs w:val="0"/>
              </w:rPr>
              <w:t>0.83</w:t>
            </w:r>
          </w:p>
        </w:tc>
        <w:tc>
          <w:tcPr>
            <w:tcW w:w="732" w:type="dxa"/>
            <w:tcBorders>
              <w:top w:val="nil"/>
              <w:left w:val="nil"/>
              <w:bottom w:val="single" w:sz="4" w:space="0" w:color="auto"/>
              <w:right w:val="single" w:sz="12" w:space="0" w:color="auto"/>
            </w:tcBorders>
            <w:noWrap/>
            <w:vAlign w:val="bottom"/>
            <w:hideMark/>
          </w:tcPr>
          <w:p w14:paraId="2B3B818F" w14:textId="77777777" w:rsidR="00D3097F" w:rsidRPr="003C0E2F" w:rsidRDefault="00D3097F" w:rsidP="00EE17F5">
            <w:pPr>
              <w:spacing w:after="0" w:line="276" w:lineRule="auto"/>
              <w:rPr>
                <w:rStyle w:val="Strong"/>
                <w:b w:val="0"/>
                <w:bCs w:val="0"/>
              </w:rPr>
            </w:pPr>
            <w:r w:rsidRPr="003C0E2F">
              <w:rPr>
                <w:rStyle w:val="Strong"/>
                <w:b w:val="0"/>
                <w:bCs w:val="0"/>
              </w:rPr>
              <w:t>0.76</w:t>
            </w:r>
          </w:p>
        </w:tc>
      </w:tr>
      <w:tr w:rsidR="003C0E2F" w:rsidRPr="003C0E2F" w14:paraId="631F1A74"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27F0DB2A" w14:textId="77777777" w:rsidR="00D3097F" w:rsidRPr="003C0E2F" w:rsidRDefault="00D3097F" w:rsidP="00EE17F5">
            <w:pPr>
              <w:spacing w:after="0" w:line="276" w:lineRule="auto"/>
              <w:rPr>
                <w:rStyle w:val="Strong"/>
                <w:b w:val="0"/>
                <w:bCs w:val="0"/>
              </w:rPr>
            </w:pPr>
            <w:r w:rsidRPr="003C0E2F">
              <w:rPr>
                <w:rStyle w:val="Strong"/>
              </w:rPr>
              <w:t>5. iCAM-1</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5E14B226" w14:textId="77777777" w:rsidR="00D3097F" w:rsidRPr="003C0E2F" w:rsidRDefault="00D3097F" w:rsidP="00EE17F5">
            <w:pPr>
              <w:spacing w:after="0" w:line="276" w:lineRule="auto"/>
              <w:rPr>
                <w:rStyle w:val="Strong"/>
                <w:b w:val="0"/>
                <w:bCs w:val="0"/>
              </w:rPr>
            </w:pPr>
            <w:r w:rsidRPr="003C0E2F">
              <w:rPr>
                <w:rStyle w:val="Strong"/>
                <w:b w:val="0"/>
                <w:bCs w:val="0"/>
              </w:rPr>
              <w:t>3.21</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5B03381D" w14:textId="77777777" w:rsidR="00D3097F" w:rsidRPr="003C0E2F" w:rsidRDefault="00D3097F" w:rsidP="00EE17F5">
            <w:pPr>
              <w:spacing w:after="0" w:line="276" w:lineRule="auto"/>
              <w:rPr>
                <w:rStyle w:val="Strong"/>
                <w:b w:val="0"/>
                <w:bCs w:val="0"/>
              </w:rPr>
            </w:pPr>
            <w:r w:rsidRPr="003C0E2F">
              <w:rPr>
                <w:rStyle w:val="Strong"/>
                <w:b w:val="0"/>
                <w:bCs w:val="0"/>
              </w:rPr>
              <w:t>1.59</w:t>
            </w:r>
          </w:p>
        </w:tc>
        <w:tc>
          <w:tcPr>
            <w:tcW w:w="732" w:type="dxa"/>
            <w:tcBorders>
              <w:top w:val="nil"/>
              <w:left w:val="nil"/>
              <w:bottom w:val="single" w:sz="4" w:space="0" w:color="auto"/>
              <w:right w:val="single" w:sz="12" w:space="0" w:color="auto"/>
            </w:tcBorders>
            <w:noWrap/>
            <w:vAlign w:val="bottom"/>
            <w:hideMark/>
          </w:tcPr>
          <w:p w14:paraId="258CA859" w14:textId="77777777" w:rsidR="00D3097F" w:rsidRPr="003C0E2F" w:rsidRDefault="00D3097F" w:rsidP="00EE17F5">
            <w:pPr>
              <w:spacing w:after="0" w:line="276" w:lineRule="auto"/>
              <w:rPr>
                <w:rStyle w:val="Strong"/>
                <w:b w:val="0"/>
                <w:bCs w:val="0"/>
              </w:rPr>
            </w:pPr>
            <w:r w:rsidRPr="003C0E2F">
              <w:rPr>
                <w:rStyle w:val="Strong"/>
                <w:b w:val="0"/>
                <w:bCs w:val="0"/>
              </w:rPr>
              <w:t>2.09</w:t>
            </w:r>
          </w:p>
        </w:tc>
        <w:tc>
          <w:tcPr>
            <w:tcW w:w="1587" w:type="dxa"/>
            <w:tcBorders>
              <w:top w:val="nil"/>
              <w:left w:val="single" w:sz="12" w:space="0" w:color="auto"/>
              <w:bottom w:val="single" w:sz="4" w:space="0" w:color="auto"/>
              <w:right w:val="single" w:sz="8" w:space="0" w:color="auto"/>
            </w:tcBorders>
            <w:noWrap/>
            <w:vAlign w:val="bottom"/>
            <w:hideMark/>
          </w:tcPr>
          <w:p w14:paraId="202322D2" w14:textId="3D010E35" w:rsidR="00D3097F" w:rsidRPr="003C0E2F" w:rsidRDefault="00D3097F" w:rsidP="00EE17F5">
            <w:pPr>
              <w:spacing w:after="0" w:line="276" w:lineRule="auto"/>
              <w:rPr>
                <w:rStyle w:val="Strong"/>
                <w:b w:val="0"/>
                <w:bCs w:val="0"/>
              </w:rPr>
            </w:pPr>
            <w:r w:rsidRPr="003C0E2F">
              <w:rPr>
                <w:rStyle w:val="Strong"/>
              </w:rPr>
              <w:t xml:space="preserve">25. </w:t>
            </w:r>
            <w:r w:rsidR="009E42FE" w:rsidRPr="003C0E2F">
              <w:rPr>
                <w:rStyle w:val="Strong"/>
              </w:rPr>
              <w:t>IP10</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7EFB8683" w14:textId="77777777" w:rsidR="00D3097F" w:rsidRPr="003C0E2F" w:rsidRDefault="00D3097F" w:rsidP="00EE17F5">
            <w:pPr>
              <w:spacing w:after="0" w:line="276" w:lineRule="auto"/>
              <w:rPr>
                <w:rStyle w:val="Strong"/>
                <w:b w:val="0"/>
                <w:bCs w:val="0"/>
              </w:rPr>
            </w:pPr>
            <w:r w:rsidRPr="003C0E2F">
              <w:rPr>
                <w:rStyle w:val="Strong"/>
                <w:b w:val="0"/>
                <w:bCs w:val="0"/>
              </w:rPr>
              <w:t>8.09</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12644096" w14:textId="77777777" w:rsidR="00D3097F" w:rsidRPr="003C0E2F" w:rsidRDefault="00D3097F" w:rsidP="00EE17F5">
            <w:pPr>
              <w:spacing w:after="0" w:line="276" w:lineRule="auto"/>
              <w:rPr>
                <w:rStyle w:val="Strong"/>
                <w:b w:val="0"/>
                <w:bCs w:val="0"/>
              </w:rPr>
            </w:pPr>
            <w:r w:rsidRPr="003C0E2F">
              <w:rPr>
                <w:rStyle w:val="Strong"/>
                <w:b w:val="0"/>
                <w:bCs w:val="0"/>
              </w:rPr>
              <w:t>1.49</w:t>
            </w:r>
          </w:p>
        </w:tc>
        <w:tc>
          <w:tcPr>
            <w:tcW w:w="732"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2B0E6AAC" w14:textId="77777777" w:rsidR="00D3097F" w:rsidRPr="003C0E2F" w:rsidRDefault="00D3097F" w:rsidP="00EE17F5">
            <w:pPr>
              <w:spacing w:after="0" w:line="276" w:lineRule="auto"/>
              <w:rPr>
                <w:rStyle w:val="Strong"/>
                <w:b w:val="0"/>
                <w:bCs w:val="0"/>
              </w:rPr>
            </w:pPr>
            <w:r w:rsidRPr="003C0E2F">
              <w:rPr>
                <w:rStyle w:val="Strong"/>
                <w:b w:val="0"/>
                <w:bCs w:val="0"/>
              </w:rPr>
              <w:t>1.57</w:t>
            </w:r>
          </w:p>
        </w:tc>
      </w:tr>
      <w:tr w:rsidR="003C0E2F" w:rsidRPr="003C0E2F" w14:paraId="1B9F3007"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3B46C967" w14:textId="77777777" w:rsidR="00D3097F" w:rsidRPr="003C0E2F" w:rsidRDefault="00D3097F" w:rsidP="00EE17F5">
            <w:pPr>
              <w:spacing w:after="0" w:line="276" w:lineRule="auto"/>
              <w:rPr>
                <w:rStyle w:val="Strong"/>
                <w:b w:val="0"/>
                <w:bCs w:val="0"/>
              </w:rPr>
            </w:pPr>
            <w:r w:rsidRPr="003C0E2F">
              <w:rPr>
                <w:rStyle w:val="Strong"/>
              </w:rPr>
              <w:t xml:space="preserve">6. </w:t>
            </w:r>
            <w:proofErr w:type="spellStart"/>
            <w:r w:rsidRPr="003C0E2F">
              <w:rPr>
                <w:rStyle w:val="Strong"/>
              </w:rPr>
              <w:t>IFNγ</w:t>
            </w:r>
            <w:proofErr w:type="spellEnd"/>
          </w:p>
        </w:tc>
        <w:tc>
          <w:tcPr>
            <w:tcW w:w="844" w:type="dxa"/>
            <w:tcBorders>
              <w:top w:val="nil"/>
              <w:left w:val="single" w:sz="8" w:space="0" w:color="auto"/>
              <w:bottom w:val="single" w:sz="4" w:space="0" w:color="auto"/>
              <w:right w:val="single" w:sz="4" w:space="0" w:color="auto"/>
            </w:tcBorders>
            <w:noWrap/>
            <w:vAlign w:val="bottom"/>
            <w:hideMark/>
          </w:tcPr>
          <w:p w14:paraId="25A95886" w14:textId="77777777" w:rsidR="00D3097F" w:rsidRPr="003C0E2F" w:rsidRDefault="00D3097F" w:rsidP="00EE17F5">
            <w:pPr>
              <w:spacing w:after="0" w:line="276" w:lineRule="auto"/>
              <w:rPr>
                <w:rStyle w:val="Strong"/>
                <w:b w:val="0"/>
                <w:bCs w:val="0"/>
              </w:rPr>
            </w:pPr>
            <w:r w:rsidRPr="003C0E2F">
              <w:rPr>
                <w:rStyle w:val="Strong"/>
                <w:b w:val="0"/>
                <w:bCs w:val="0"/>
              </w:rPr>
              <w:t>0.19</w:t>
            </w:r>
          </w:p>
        </w:tc>
        <w:tc>
          <w:tcPr>
            <w:tcW w:w="732" w:type="dxa"/>
            <w:tcBorders>
              <w:top w:val="nil"/>
              <w:left w:val="nil"/>
              <w:bottom w:val="single" w:sz="4" w:space="0" w:color="auto"/>
              <w:right w:val="single" w:sz="4" w:space="0" w:color="auto"/>
            </w:tcBorders>
            <w:noWrap/>
            <w:vAlign w:val="bottom"/>
            <w:hideMark/>
          </w:tcPr>
          <w:p w14:paraId="6CB5D9EE" w14:textId="77777777" w:rsidR="00D3097F" w:rsidRPr="003C0E2F" w:rsidRDefault="00D3097F" w:rsidP="00EE17F5">
            <w:pPr>
              <w:spacing w:after="0" w:line="276" w:lineRule="auto"/>
              <w:rPr>
                <w:rStyle w:val="Strong"/>
                <w:b w:val="0"/>
                <w:bCs w:val="0"/>
              </w:rPr>
            </w:pPr>
            <w:r w:rsidRPr="003C0E2F">
              <w:rPr>
                <w:rStyle w:val="Strong"/>
                <w:b w:val="0"/>
                <w:bCs w:val="0"/>
              </w:rPr>
              <w:t>0.19</w:t>
            </w:r>
          </w:p>
        </w:tc>
        <w:tc>
          <w:tcPr>
            <w:tcW w:w="732" w:type="dxa"/>
            <w:tcBorders>
              <w:top w:val="nil"/>
              <w:left w:val="nil"/>
              <w:bottom w:val="single" w:sz="4" w:space="0" w:color="auto"/>
              <w:right w:val="single" w:sz="12" w:space="0" w:color="auto"/>
            </w:tcBorders>
            <w:noWrap/>
            <w:vAlign w:val="bottom"/>
            <w:hideMark/>
          </w:tcPr>
          <w:p w14:paraId="177663B8" w14:textId="77777777" w:rsidR="00D3097F" w:rsidRPr="003C0E2F" w:rsidRDefault="00D3097F" w:rsidP="00EE17F5">
            <w:pPr>
              <w:spacing w:after="0" w:line="276" w:lineRule="auto"/>
              <w:rPr>
                <w:rStyle w:val="Strong"/>
                <w:b w:val="0"/>
                <w:bCs w:val="0"/>
              </w:rPr>
            </w:pPr>
            <w:r w:rsidRPr="003C0E2F">
              <w:rPr>
                <w:rStyle w:val="Strong"/>
                <w:b w:val="0"/>
                <w:bCs w:val="0"/>
              </w:rPr>
              <w:t>0.32</w:t>
            </w:r>
          </w:p>
        </w:tc>
        <w:tc>
          <w:tcPr>
            <w:tcW w:w="1587" w:type="dxa"/>
            <w:tcBorders>
              <w:top w:val="nil"/>
              <w:left w:val="single" w:sz="12" w:space="0" w:color="auto"/>
              <w:bottom w:val="single" w:sz="4" w:space="0" w:color="auto"/>
              <w:right w:val="single" w:sz="8" w:space="0" w:color="auto"/>
            </w:tcBorders>
            <w:noWrap/>
            <w:vAlign w:val="bottom"/>
            <w:hideMark/>
          </w:tcPr>
          <w:p w14:paraId="33DC3ED2" w14:textId="77777777" w:rsidR="00D3097F" w:rsidRPr="003C0E2F" w:rsidRDefault="00D3097F" w:rsidP="00EE17F5">
            <w:pPr>
              <w:spacing w:after="0" w:line="276" w:lineRule="auto"/>
              <w:rPr>
                <w:rStyle w:val="Strong"/>
                <w:b w:val="0"/>
                <w:bCs w:val="0"/>
              </w:rPr>
            </w:pPr>
            <w:r w:rsidRPr="003C0E2F">
              <w:rPr>
                <w:rStyle w:val="Strong"/>
              </w:rPr>
              <w:t>26. MCP-1</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2362C1E0" w14:textId="77777777" w:rsidR="00D3097F" w:rsidRPr="003C0E2F" w:rsidRDefault="00D3097F" w:rsidP="00EE17F5">
            <w:pPr>
              <w:spacing w:after="0" w:line="276" w:lineRule="auto"/>
              <w:rPr>
                <w:rStyle w:val="Strong"/>
                <w:b w:val="0"/>
                <w:bCs w:val="0"/>
              </w:rPr>
            </w:pPr>
            <w:r w:rsidRPr="003C0E2F">
              <w:rPr>
                <w:rStyle w:val="Strong"/>
                <w:b w:val="0"/>
                <w:bCs w:val="0"/>
              </w:rPr>
              <w:t>19.82</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1EB48212" w14:textId="77777777" w:rsidR="00D3097F" w:rsidRPr="003C0E2F" w:rsidRDefault="00D3097F" w:rsidP="00EE17F5">
            <w:pPr>
              <w:spacing w:after="0" w:line="276" w:lineRule="auto"/>
              <w:rPr>
                <w:rStyle w:val="Strong"/>
                <w:b w:val="0"/>
                <w:bCs w:val="0"/>
              </w:rPr>
            </w:pPr>
            <w:r w:rsidRPr="003C0E2F">
              <w:rPr>
                <w:rStyle w:val="Strong"/>
                <w:b w:val="0"/>
                <w:bCs w:val="0"/>
              </w:rPr>
              <w:t>3.33</w:t>
            </w:r>
          </w:p>
        </w:tc>
        <w:tc>
          <w:tcPr>
            <w:tcW w:w="732"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0DEEC243" w14:textId="77777777" w:rsidR="00D3097F" w:rsidRPr="003C0E2F" w:rsidRDefault="00D3097F" w:rsidP="00EE17F5">
            <w:pPr>
              <w:spacing w:after="0" w:line="276" w:lineRule="auto"/>
              <w:rPr>
                <w:rStyle w:val="Strong"/>
                <w:b w:val="0"/>
                <w:bCs w:val="0"/>
              </w:rPr>
            </w:pPr>
            <w:r w:rsidRPr="003C0E2F">
              <w:rPr>
                <w:rStyle w:val="Strong"/>
                <w:b w:val="0"/>
                <w:bCs w:val="0"/>
              </w:rPr>
              <w:t>9.01</w:t>
            </w:r>
          </w:p>
        </w:tc>
      </w:tr>
      <w:tr w:rsidR="003C0E2F" w:rsidRPr="003C0E2F" w14:paraId="5CB7062C"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45022C0C" w14:textId="77777777" w:rsidR="00D3097F" w:rsidRPr="003C0E2F" w:rsidRDefault="00D3097F" w:rsidP="00EE17F5">
            <w:pPr>
              <w:spacing w:after="0" w:line="276" w:lineRule="auto"/>
              <w:rPr>
                <w:rStyle w:val="Strong"/>
                <w:b w:val="0"/>
                <w:bCs w:val="0"/>
              </w:rPr>
            </w:pPr>
            <w:r w:rsidRPr="003C0E2F">
              <w:rPr>
                <w:rStyle w:val="Strong"/>
              </w:rPr>
              <w:t>7. I-309</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7F60A857" w14:textId="77777777" w:rsidR="00D3097F" w:rsidRPr="003C0E2F" w:rsidRDefault="00D3097F" w:rsidP="00EE17F5">
            <w:pPr>
              <w:spacing w:after="0" w:line="276" w:lineRule="auto"/>
              <w:rPr>
                <w:rStyle w:val="Strong"/>
                <w:b w:val="0"/>
                <w:bCs w:val="0"/>
              </w:rPr>
            </w:pPr>
            <w:r w:rsidRPr="003C0E2F">
              <w:rPr>
                <w:rStyle w:val="Strong"/>
                <w:b w:val="0"/>
                <w:bCs w:val="0"/>
              </w:rPr>
              <w:t>5.63</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3A270598" w14:textId="77777777" w:rsidR="00D3097F" w:rsidRPr="003C0E2F" w:rsidRDefault="00D3097F" w:rsidP="00EE17F5">
            <w:pPr>
              <w:spacing w:after="0" w:line="276" w:lineRule="auto"/>
              <w:rPr>
                <w:rStyle w:val="Strong"/>
                <w:b w:val="0"/>
                <w:bCs w:val="0"/>
              </w:rPr>
            </w:pPr>
            <w:r w:rsidRPr="003C0E2F">
              <w:rPr>
                <w:rStyle w:val="Strong"/>
                <w:b w:val="0"/>
                <w:bCs w:val="0"/>
              </w:rPr>
              <w:t>1.96</w:t>
            </w:r>
          </w:p>
        </w:tc>
        <w:tc>
          <w:tcPr>
            <w:tcW w:w="732" w:type="dxa"/>
            <w:tcBorders>
              <w:top w:val="nil"/>
              <w:left w:val="nil"/>
              <w:bottom w:val="single" w:sz="4" w:space="0" w:color="auto"/>
              <w:right w:val="single" w:sz="12" w:space="0" w:color="auto"/>
            </w:tcBorders>
            <w:noWrap/>
            <w:vAlign w:val="bottom"/>
            <w:hideMark/>
          </w:tcPr>
          <w:p w14:paraId="060E78F4" w14:textId="77777777" w:rsidR="00D3097F" w:rsidRPr="003C0E2F" w:rsidRDefault="00D3097F" w:rsidP="00EE17F5">
            <w:pPr>
              <w:spacing w:after="0" w:line="276" w:lineRule="auto"/>
              <w:rPr>
                <w:rStyle w:val="Strong"/>
                <w:b w:val="0"/>
                <w:bCs w:val="0"/>
              </w:rPr>
            </w:pPr>
            <w:r w:rsidRPr="003C0E2F">
              <w:rPr>
                <w:rStyle w:val="Strong"/>
                <w:b w:val="0"/>
                <w:bCs w:val="0"/>
              </w:rPr>
              <w:t>4.12</w:t>
            </w:r>
          </w:p>
        </w:tc>
        <w:tc>
          <w:tcPr>
            <w:tcW w:w="1587" w:type="dxa"/>
            <w:tcBorders>
              <w:top w:val="nil"/>
              <w:left w:val="single" w:sz="12" w:space="0" w:color="auto"/>
              <w:bottom w:val="single" w:sz="4" w:space="0" w:color="auto"/>
              <w:right w:val="single" w:sz="8" w:space="0" w:color="auto"/>
            </w:tcBorders>
            <w:noWrap/>
            <w:vAlign w:val="bottom"/>
            <w:hideMark/>
          </w:tcPr>
          <w:p w14:paraId="7442EF38" w14:textId="77777777" w:rsidR="00D3097F" w:rsidRPr="003C0E2F" w:rsidRDefault="00D3097F" w:rsidP="00EE17F5">
            <w:pPr>
              <w:spacing w:after="0" w:line="276" w:lineRule="auto"/>
              <w:rPr>
                <w:rStyle w:val="Strong"/>
                <w:b w:val="0"/>
                <w:bCs w:val="0"/>
              </w:rPr>
            </w:pPr>
            <w:r w:rsidRPr="003C0E2F">
              <w:rPr>
                <w:rStyle w:val="Strong"/>
              </w:rPr>
              <w:t>27. MCP-2</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46E03B98" w14:textId="77777777" w:rsidR="00D3097F" w:rsidRPr="003C0E2F" w:rsidRDefault="00D3097F" w:rsidP="00EE17F5">
            <w:pPr>
              <w:spacing w:after="0" w:line="276" w:lineRule="auto"/>
              <w:rPr>
                <w:rStyle w:val="Strong"/>
                <w:b w:val="0"/>
                <w:bCs w:val="0"/>
              </w:rPr>
            </w:pPr>
            <w:r w:rsidRPr="003C0E2F">
              <w:rPr>
                <w:rStyle w:val="Strong"/>
                <w:b w:val="0"/>
                <w:bCs w:val="0"/>
              </w:rPr>
              <w:t>146.71</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235B00A0" w14:textId="77777777" w:rsidR="00D3097F" w:rsidRPr="003C0E2F" w:rsidRDefault="00D3097F" w:rsidP="00EE17F5">
            <w:pPr>
              <w:spacing w:after="0" w:line="276" w:lineRule="auto"/>
              <w:rPr>
                <w:rStyle w:val="Strong"/>
                <w:b w:val="0"/>
                <w:bCs w:val="0"/>
              </w:rPr>
            </w:pPr>
            <w:r w:rsidRPr="003C0E2F">
              <w:rPr>
                <w:rStyle w:val="Strong"/>
                <w:b w:val="0"/>
                <w:bCs w:val="0"/>
              </w:rPr>
              <w:t>1.66</w:t>
            </w:r>
          </w:p>
        </w:tc>
        <w:tc>
          <w:tcPr>
            <w:tcW w:w="732"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7533BBC2" w14:textId="77777777" w:rsidR="00D3097F" w:rsidRPr="003C0E2F" w:rsidRDefault="00D3097F" w:rsidP="00EE17F5">
            <w:pPr>
              <w:spacing w:after="0" w:line="276" w:lineRule="auto"/>
              <w:rPr>
                <w:rStyle w:val="Strong"/>
                <w:b w:val="0"/>
                <w:bCs w:val="0"/>
              </w:rPr>
            </w:pPr>
            <w:r w:rsidRPr="003C0E2F">
              <w:rPr>
                <w:rStyle w:val="Strong"/>
                <w:b w:val="0"/>
                <w:bCs w:val="0"/>
              </w:rPr>
              <w:t>4.43</w:t>
            </w:r>
          </w:p>
        </w:tc>
      </w:tr>
      <w:tr w:rsidR="003C0E2F" w:rsidRPr="003C0E2F" w14:paraId="257DC945"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7474BA32" w14:textId="77777777" w:rsidR="00D3097F" w:rsidRPr="003C0E2F" w:rsidRDefault="00D3097F" w:rsidP="00EE17F5">
            <w:pPr>
              <w:spacing w:after="0" w:line="276" w:lineRule="auto"/>
              <w:rPr>
                <w:rStyle w:val="Strong"/>
                <w:b w:val="0"/>
                <w:bCs w:val="0"/>
              </w:rPr>
            </w:pPr>
            <w:r w:rsidRPr="003C0E2F">
              <w:rPr>
                <w:rStyle w:val="Strong"/>
              </w:rPr>
              <w:t>8. IL-1α</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3D1805CD" w14:textId="77777777" w:rsidR="00D3097F" w:rsidRPr="003C0E2F" w:rsidRDefault="00D3097F" w:rsidP="00EE17F5">
            <w:pPr>
              <w:spacing w:after="0" w:line="276" w:lineRule="auto"/>
              <w:rPr>
                <w:rStyle w:val="Strong"/>
                <w:b w:val="0"/>
                <w:bCs w:val="0"/>
              </w:rPr>
            </w:pPr>
            <w:r w:rsidRPr="003C0E2F">
              <w:rPr>
                <w:rStyle w:val="Strong"/>
                <w:b w:val="0"/>
                <w:bCs w:val="0"/>
              </w:rPr>
              <w:t>3.71</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5DA36A34" w14:textId="77777777" w:rsidR="00D3097F" w:rsidRPr="003C0E2F" w:rsidRDefault="00D3097F" w:rsidP="00EE17F5">
            <w:pPr>
              <w:spacing w:after="0" w:line="276" w:lineRule="auto"/>
              <w:rPr>
                <w:rStyle w:val="Strong"/>
                <w:b w:val="0"/>
                <w:bCs w:val="0"/>
              </w:rPr>
            </w:pPr>
            <w:r w:rsidRPr="003C0E2F">
              <w:rPr>
                <w:rStyle w:val="Strong"/>
                <w:b w:val="0"/>
                <w:bCs w:val="0"/>
              </w:rPr>
              <w:t>0.19</w:t>
            </w:r>
          </w:p>
        </w:tc>
        <w:tc>
          <w:tcPr>
            <w:tcW w:w="732"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612E39D6" w14:textId="77777777" w:rsidR="00D3097F" w:rsidRPr="003C0E2F" w:rsidRDefault="00D3097F" w:rsidP="00EE17F5">
            <w:pPr>
              <w:spacing w:after="0" w:line="276" w:lineRule="auto"/>
              <w:rPr>
                <w:rStyle w:val="Strong"/>
                <w:b w:val="0"/>
                <w:bCs w:val="0"/>
              </w:rPr>
            </w:pPr>
            <w:r w:rsidRPr="003C0E2F">
              <w:rPr>
                <w:rStyle w:val="Strong"/>
                <w:b w:val="0"/>
                <w:bCs w:val="0"/>
              </w:rPr>
              <w:t>1.82</w:t>
            </w:r>
          </w:p>
        </w:tc>
        <w:tc>
          <w:tcPr>
            <w:tcW w:w="1587" w:type="dxa"/>
            <w:tcBorders>
              <w:top w:val="nil"/>
              <w:left w:val="single" w:sz="12" w:space="0" w:color="auto"/>
              <w:bottom w:val="single" w:sz="4" w:space="0" w:color="auto"/>
              <w:right w:val="single" w:sz="8" w:space="0" w:color="auto"/>
            </w:tcBorders>
            <w:noWrap/>
            <w:vAlign w:val="bottom"/>
            <w:hideMark/>
          </w:tcPr>
          <w:p w14:paraId="456DA4A1" w14:textId="77777777" w:rsidR="00D3097F" w:rsidRPr="003C0E2F" w:rsidRDefault="00D3097F" w:rsidP="00EE17F5">
            <w:pPr>
              <w:spacing w:after="0" w:line="276" w:lineRule="auto"/>
              <w:rPr>
                <w:rStyle w:val="Strong"/>
                <w:b w:val="0"/>
                <w:bCs w:val="0"/>
              </w:rPr>
            </w:pPr>
            <w:r w:rsidRPr="003C0E2F">
              <w:rPr>
                <w:rStyle w:val="Strong"/>
              </w:rPr>
              <w:t>28. M-CSF</w:t>
            </w:r>
          </w:p>
        </w:tc>
        <w:tc>
          <w:tcPr>
            <w:tcW w:w="844" w:type="dxa"/>
            <w:tcBorders>
              <w:top w:val="nil"/>
              <w:left w:val="nil"/>
              <w:bottom w:val="single" w:sz="4" w:space="0" w:color="auto"/>
              <w:right w:val="single" w:sz="4" w:space="0" w:color="auto"/>
            </w:tcBorders>
            <w:noWrap/>
            <w:vAlign w:val="bottom"/>
            <w:hideMark/>
          </w:tcPr>
          <w:p w14:paraId="1A517ED2" w14:textId="77777777" w:rsidR="00D3097F" w:rsidRPr="003C0E2F" w:rsidRDefault="00D3097F" w:rsidP="00EE17F5">
            <w:pPr>
              <w:spacing w:after="0" w:line="276" w:lineRule="auto"/>
              <w:rPr>
                <w:rStyle w:val="Strong"/>
                <w:b w:val="0"/>
                <w:bCs w:val="0"/>
              </w:rPr>
            </w:pPr>
            <w:r w:rsidRPr="003C0E2F">
              <w:rPr>
                <w:rStyle w:val="Strong"/>
                <w:b w:val="0"/>
                <w:bCs w:val="0"/>
              </w:rPr>
              <w:t>0.59</w:t>
            </w:r>
          </w:p>
        </w:tc>
        <w:tc>
          <w:tcPr>
            <w:tcW w:w="732" w:type="dxa"/>
            <w:tcBorders>
              <w:top w:val="nil"/>
              <w:left w:val="nil"/>
              <w:bottom w:val="single" w:sz="4" w:space="0" w:color="auto"/>
              <w:right w:val="single" w:sz="4" w:space="0" w:color="auto"/>
            </w:tcBorders>
            <w:noWrap/>
            <w:vAlign w:val="bottom"/>
            <w:hideMark/>
          </w:tcPr>
          <w:p w14:paraId="437AF8F5" w14:textId="77777777" w:rsidR="00D3097F" w:rsidRPr="003C0E2F" w:rsidRDefault="00D3097F" w:rsidP="00EE17F5">
            <w:pPr>
              <w:spacing w:after="0" w:line="276" w:lineRule="auto"/>
              <w:rPr>
                <w:rStyle w:val="Strong"/>
                <w:b w:val="0"/>
                <w:bCs w:val="0"/>
              </w:rPr>
            </w:pPr>
            <w:r w:rsidRPr="003C0E2F">
              <w:rPr>
                <w:rStyle w:val="Strong"/>
                <w:b w:val="0"/>
                <w:bCs w:val="0"/>
              </w:rPr>
              <w:t>0.98</w:t>
            </w:r>
          </w:p>
        </w:tc>
        <w:tc>
          <w:tcPr>
            <w:tcW w:w="732" w:type="dxa"/>
            <w:tcBorders>
              <w:top w:val="nil"/>
              <w:left w:val="nil"/>
              <w:bottom w:val="single" w:sz="4" w:space="0" w:color="auto"/>
              <w:right w:val="single" w:sz="12" w:space="0" w:color="auto"/>
            </w:tcBorders>
            <w:noWrap/>
            <w:vAlign w:val="bottom"/>
            <w:hideMark/>
          </w:tcPr>
          <w:p w14:paraId="5FADB175" w14:textId="77777777" w:rsidR="00D3097F" w:rsidRPr="003C0E2F" w:rsidRDefault="00D3097F" w:rsidP="00EE17F5">
            <w:pPr>
              <w:spacing w:after="0" w:line="276" w:lineRule="auto"/>
              <w:rPr>
                <w:rStyle w:val="Strong"/>
                <w:b w:val="0"/>
                <w:bCs w:val="0"/>
              </w:rPr>
            </w:pPr>
            <w:r w:rsidRPr="003C0E2F">
              <w:rPr>
                <w:rStyle w:val="Strong"/>
                <w:b w:val="0"/>
                <w:bCs w:val="0"/>
              </w:rPr>
              <w:t>1.00</w:t>
            </w:r>
          </w:p>
        </w:tc>
      </w:tr>
      <w:tr w:rsidR="003C0E2F" w:rsidRPr="003C0E2F" w14:paraId="36738F36"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659F27E4" w14:textId="77777777" w:rsidR="00D3097F" w:rsidRPr="003C0E2F" w:rsidRDefault="00D3097F" w:rsidP="00EE17F5">
            <w:pPr>
              <w:spacing w:after="0" w:line="276" w:lineRule="auto"/>
              <w:rPr>
                <w:rStyle w:val="Strong"/>
                <w:b w:val="0"/>
                <w:bCs w:val="0"/>
              </w:rPr>
            </w:pPr>
            <w:r w:rsidRPr="003C0E2F">
              <w:rPr>
                <w:rStyle w:val="Strong"/>
              </w:rPr>
              <w:t>9. IL-1β</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25CA4F24" w14:textId="77777777" w:rsidR="00D3097F" w:rsidRPr="003C0E2F" w:rsidRDefault="00D3097F" w:rsidP="00EE17F5">
            <w:pPr>
              <w:spacing w:after="0" w:line="276" w:lineRule="auto"/>
              <w:rPr>
                <w:rStyle w:val="Strong"/>
                <w:b w:val="0"/>
                <w:bCs w:val="0"/>
              </w:rPr>
            </w:pPr>
            <w:r w:rsidRPr="003C0E2F">
              <w:rPr>
                <w:rStyle w:val="Strong"/>
                <w:b w:val="0"/>
                <w:bCs w:val="0"/>
              </w:rPr>
              <w:t>7.86</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5D4ACE79" w14:textId="77777777" w:rsidR="00D3097F" w:rsidRPr="003C0E2F" w:rsidRDefault="00D3097F" w:rsidP="00EE17F5">
            <w:pPr>
              <w:spacing w:after="0" w:line="276" w:lineRule="auto"/>
              <w:rPr>
                <w:rStyle w:val="Strong"/>
                <w:b w:val="0"/>
                <w:bCs w:val="0"/>
              </w:rPr>
            </w:pPr>
            <w:r w:rsidRPr="003C0E2F">
              <w:rPr>
                <w:rStyle w:val="Strong"/>
                <w:b w:val="0"/>
                <w:bCs w:val="0"/>
              </w:rPr>
              <w:t>1.72</w:t>
            </w:r>
          </w:p>
        </w:tc>
        <w:tc>
          <w:tcPr>
            <w:tcW w:w="732"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19DFF337" w14:textId="77777777" w:rsidR="00D3097F" w:rsidRPr="003C0E2F" w:rsidRDefault="00D3097F" w:rsidP="00EE17F5">
            <w:pPr>
              <w:spacing w:after="0" w:line="276" w:lineRule="auto"/>
              <w:rPr>
                <w:rStyle w:val="Strong"/>
                <w:b w:val="0"/>
                <w:bCs w:val="0"/>
              </w:rPr>
            </w:pPr>
            <w:r w:rsidRPr="003C0E2F">
              <w:rPr>
                <w:rStyle w:val="Strong"/>
                <w:b w:val="0"/>
                <w:bCs w:val="0"/>
              </w:rPr>
              <w:t>2.60</w:t>
            </w:r>
          </w:p>
        </w:tc>
        <w:tc>
          <w:tcPr>
            <w:tcW w:w="1587" w:type="dxa"/>
            <w:tcBorders>
              <w:top w:val="nil"/>
              <w:left w:val="single" w:sz="12" w:space="0" w:color="auto"/>
              <w:bottom w:val="single" w:sz="4" w:space="0" w:color="auto"/>
              <w:right w:val="single" w:sz="8" w:space="0" w:color="auto"/>
            </w:tcBorders>
            <w:noWrap/>
            <w:vAlign w:val="bottom"/>
            <w:hideMark/>
          </w:tcPr>
          <w:p w14:paraId="3F82571A" w14:textId="77777777" w:rsidR="00D3097F" w:rsidRPr="003C0E2F" w:rsidRDefault="00D3097F" w:rsidP="00EE17F5">
            <w:pPr>
              <w:spacing w:after="0" w:line="276" w:lineRule="auto"/>
              <w:rPr>
                <w:rStyle w:val="Strong"/>
                <w:b w:val="0"/>
                <w:bCs w:val="0"/>
              </w:rPr>
            </w:pPr>
            <w:r w:rsidRPr="003C0E2F">
              <w:rPr>
                <w:rStyle w:val="Strong"/>
              </w:rPr>
              <w:t>29. MIG</w:t>
            </w:r>
          </w:p>
        </w:tc>
        <w:tc>
          <w:tcPr>
            <w:tcW w:w="844" w:type="dxa"/>
            <w:tcBorders>
              <w:top w:val="nil"/>
              <w:left w:val="nil"/>
              <w:bottom w:val="single" w:sz="4" w:space="0" w:color="auto"/>
              <w:right w:val="single" w:sz="4" w:space="0" w:color="auto"/>
            </w:tcBorders>
            <w:noWrap/>
            <w:vAlign w:val="bottom"/>
            <w:hideMark/>
          </w:tcPr>
          <w:p w14:paraId="06545D49" w14:textId="77777777" w:rsidR="00D3097F" w:rsidRPr="003C0E2F" w:rsidRDefault="00D3097F" w:rsidP="00EE17F5">
            <w:pPr>
              <w:spacing w:after="0" w:line="276" w:lineRule="auto"/>
              <w:rPr>
                <w:rStyle w:val="Strong"/>
                <w:b w:val="0"/>
                <w:bCs w:val="0"/>
              </w:rPr>
            </w:pPr>
            <w:r w:rsidRPr="003C0E2F">
              <w:rPr>
                <w:rStyle w:val="Strong"/>
                <w:b w:val="0"/>
                <w:bCs w:val="0"/>
              </w:rPr>
              <w:t>0.23</w:t>
            </w:r>
          </w:p>
        </w:tc>
        <w:tc>
          <w:tcPr>
            <w:tcW w:w="732" w:type="dxa"/>
            <w:tcBorders>
              <w:top w:val="nil"/>
              <w:left w:val="nil"/>
              <w:bottom w:val="single" w:sz="4" w:space="0" w:color="auto"/>
              <w:right w:val="single" w:sz="4" w:space="0" w:color="auto"/>
            </w:tcBorders>
            <w:noWrap/>
            <w:vAlign w:val="bottom"/>
            <w:hideMark/>
          </w:tcPr>
          <w:p w14:paraId="6D8B6F04" w14:textId="77777777" w:rsidR="00D3097F" w:rsidRPr="003C0E2F" w:rsidRDefault="00D3097F" w:rsidP="00EE17F5">
            <w:pPr>
              <w:spacing w:after="0" w:line="276" w:lineRule="auto"/>
              <w:rPr>
                <w:rStyle w:val="Strong"/>
                <w:b w:val="0"/>
                <w:bCs w:val="0"/>
              </w:rPr>
            </w:pPr>
            <w:r w:rsidRPr="003C0E2F">
              <w:rPr>
                <w:rStyle w:val="Strong"/>
                <w:b w:val="0"/>
                <w:bCs w:val="0"/>
              </w:rPr>
              <w:t>0.36</w:t>
            </w:r>
          </w:p>
        </w:tc>
        <w:tc>
          <w:tcPr>
            <w:tcW w:w="732" w:type="dxa"/>
            <w:tcBorders>
              <w:top w:val="nil"/>
              <w:left w:val="nil"/>
              <w:bottom w:val="single" w:sz="4" w:space="0" w:color="auto"/>
              <w:right w:val="single" w:sz="12" w:space="0" w:color="auto"/>
            </w:tcBorders>
            <w:noWrap/>
            <w:vAlign w:val="bottom"/>
            <w:hideMark/>
          </w:tcPr>
          <w:p w14:paraId="192EE0D2" w14:textId="77777777" w:rsidR="00D3097F" w:rsidRPr="003C0E2F" w:rsidRDefault="00D3097F" w:rsidP="00EE17F5">
            <w:pPr>
              <w:spacing w:after="0" w:line="276" w:lineRule="auto"/>
              <w:rPr>
                <w:rStyle w:val="Strong"/>
                <w:b w:val="0"/>
                <w:bCs w:val="0"/>
              </w:rPr>
            </w:pPr>
            <w:r w:rsidRPr="003C0E2F">
              <w:rPr>
                <w:rStyle w:val="Strong"/>
                <w:b w:val="0"/>
                <w:bCs w:val="0"/>
              </w:rPr>
              <w:t>1.53</w:t>
            </w:r>
          </w:p>
        </w:tc>
      </w:tr>
      <w:tr w:rsidR="003C0E2F" w:rsidRPr="003C0E2F" w14:paraId="4970B13F"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0A49E9EE" w14:textId="77777777" w:rsidR="00D3097F" w:rsidRPr="003C0E2F" w:rsidRDefault="00D3097F" w:rsidP="00EE17F5">
            <w:pPr>
              <w:spacing w:after="0" w:line="276" w:lineRule="auto"/>
              <w:rPr>
                <w:rStyle w:val="Strong"/>
                <w:b w:val="0"/>
                <w:bCs w:val="0"/>
              </w:rPr>
            </w:pPr>
            <w:r w:rsidRPr="003C0E2F">
              <w:rPr>
                <w:rStyle w:val="Strong"/>
              </w:rPr>
              <w:t>10. IL-2</w:t>
            </w:r>
          </w:p>
        </w:tc>
        <w:tc>
          <w:tcPr>
            <w:tcW w:w="844" w:type="dxa"/>
            <w:tcBorders>
              <w:top w:val="nil"/>
              <w:left w:val="single" w:sz="8" w:space="0" w:color="auto"/>
              <w:bottom w:val="single" w:sz="4" w:space="0" w:color="auto"/>
              <w:right w:val="single" w:sz="4" w:space="0" w:color="auto"/>
            </w:tcBorders>
            <w:noWrap/>
            <w:vAlign w:val="bottom"/>
            <w:hideMark/>
          </w:tcPr>
          <w:p w14:paraId="50A004BC" w14:textId="77777777" w:rsidR="00D3097F" w:rsidRPr="003C0E2F" w:rsidRDefault="00D3097F" w:rsidP="00EE17F5">
            <w:pPr>
              <w:spacing w:after="0" w:line="276" w:lineRule="auto"/>
              <w:rPr>
                <w:rStyle w:val="Strong"/>
                <w:b w:val="0"/>
                <w:bCs w:val="0"/>
              </w:rPr>
            </w:pPr>
            <w:r w:rsidRPr="003C0E2F">
              <w:rPr>
                <w:rStyle w:val="Strong"/>
                <w:b w:val="0"/>
                <w:bCs w:val="0"/>
              </w:rPr>
              <w:t>0.45</w:t>
            </w:r>
          </w:p>
        </w:tc>
        <w:tc>
          <w:tcPr>
            <w:tcW w:w="732" w:type="dxa"/>
            <w:tcBorders>
              <w:top w:val="nil"/>
              <w:left w:val="nil"/>
              <w:bottom w:val="single" w:sz="4" w:space="0" w:color="auto"/>
              <w:right w:val="single" w:sz="4" w:space="0" w:color="auto"/>
            </w:tcBorders>
            <w:noWrap/>
            <w:vAlign w:val="bottom"/>
            <w:hideMark/>
          </w:tcPr>
          <w:p w14:paraId="25E27FC2" w14:textId="77777777" w:rsidR="00D3097F" w:rsidRPr="003C0E2F" w:rsidRDefault="00D3097F" w:rsidP="00EE17F5">
            <w:pPr>
              <w:spacing w:after="0" w:line="276" w:lineRule="auto"/>
              <w:rPr>
                <w:rStyle w:val="Strong"/>
                <w:b w:val="0"/>
                <w:bCs w:val="0"/>
              </w:rPr>
            </w:pPr>
            <w:r w:rsidRPr="003C0E2F">
              <w:rPr>
                <w:rStyle w:val="Strong"/>
                <w:b w:val="0"/>
                <w:bCs w:val="0"/>
              </w:rPr>
              <w:t>1.09</w:t>
            </w:r>
          </w:p>
        </w:tc>
        <w:tc>
          <w:tcPr>
            <w:tcW w:w="732" w:type="dxa"/>
            <w:tcBorders>
              <w:top w:val="nil"/>
              <w:left w:val="nil"/>
              <w:bottom w:val="single" w:sz="4" w:space="0" w:color="auto"/>
              <w:right w:val="single" w:sz="12" w:space="0" w:color="auto"/>
            </w:tcBorders>
            <w:noWrap/>
            <w:vAlign w:val="bottom"/>
            <w:hideMark/>
          </w:tcPr>
          <w:p w14:paraId="7D4BF8AF" w14:textId="77777777" w:rsidR="00D3097F" w:rsidRPr="003C0E2F" w:rsidRDefault="00D3097F" w:rsidP="00EE17F5">
            <w:pPr>
              <w:spacing w:after="0" w:line="276" w:lineRule="auto"/>
              <w:rPr>
                <w:rStyle w:val="Strong"/>
                <w:b w:val="0"/>
                <w:bCs w:val="0"/>
              </w:rPr>
            </w:pPr>
            <w:r w:rsidRPr="003C0E2F">
              <w:rPr>
                <w:rStyle w:val="Strong"/>
                <w:b w:val="0"/>
                <w:bCs w:val="0"/>
              </w:rPr>
              <w:t>1.18</w:t>
            </w:r>
          </w:p>
        </w:tc>
        <w:tc>
          <w:tcPr>
            <w:tcW w:w="1587" w:type="dxa"/>
            <w:tcBorders>
              <w:top w:val="nil"/>
              <w:left w:val="single" w:sz="12" w:space="0" w:color="auto"/>
              <w:bottom w:val="single" w:sz="4" w:space="0" w:color="auto"/>
              <w:right w:val="single" w:sz="8" w:space="0" w:color="auto"/>
            </w:tcBorders>
            <w:noWrap/>
            <w:vAlign w:val="bottom"/>
            <w:hideMark/>
          </w:tcPr>
          <w:p w14:paraId="66904F27" w14:textId="77777777" w:rsidR="00D3097F" w:rsidRPr="003C0E2F" w:rsidRDefault="00D3097F" w:rsidP="00EE17F5">
            <w:pPr>
              <w:spacing w:after="0" w:line="276" w:lineRule="auto"/>
              <w:rPr>
                <w:rStyle w:val="Strong"/>
                <w:b w:val="0"/>
                <w:bCs w:val="0"/>
              </w:rPr>
            </w:pPr>
            <w:r w:rsidRPr="003C0E2F">
              <w:rPr>
                <w:rStyle w:val="Strong"/>
              </w:rPr>
              <w:t>30. MIP-1α</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4939757E" w14:textId="77777777" w:rsidR="00D3097F" w:rsidRPr="003C0E2F" w:rsidRDefault="00D3097F" w:rsidP="00EE17F5">
            <w:pPr>
              <w:spacing w:after="0" w:line="276" w:lineRule="auto"/>
              <w:rPr>
                <w:rStyle w:val="Strong"/>
                <w:b w:val="0"/>
                <w:bCs w:val="0"/>
              </w:rPr>
            </w:pPr>
            <w:r w:rsidRPr="003C0E2F">
              <w:rPr>
                <w:rStyle w:val="Strong"/>
                <w:b w:val="0"/>
                <w:bCs w:val="0"/>
              </w:rPr>
              <w:t>15.53</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3C5D32F2" w14:textId="77777777" w:rsidR="00D3097F" w:rsidRPr="003C0E2F" w:rsidRDefault="00D3097F" w:rsidP="00EE17F5">
            <w:pPr>
              <w:spacing w:after="0" w:line="276" w:lineRule="auto"/>
              <w:rPr>
                <w:rStyle w:val="Strong"/>
                <w:b w:val="0"/>
                <w:bCs w:val="0"/>
              </w:rPr>
            </w:pPr>
            <w:r w:rsidRPr="003C0E2F">
              <w:rPr>
                <w:rStyle w:val="Strong"/>
                <w:b w:val="0"/>
                <w:bCs w:val="0"/>
              </w:rPr>
              <w:t>5.37</w:t>
            </w:r>
          </w:p>
        </w:tc>
        <w:tc>
          <w:tcPr>
            <w:tcW w:w="732" w:type="dxa"/>
            <w:tcBorders>
              <w:top w:val="nil"/>
              <w:left w:val="nil"/>
              <w:bottom w:val="single" w:sz="4" w:space="0" w:color="auto"/>
              <w:right w:val="single" w:sz="12" w:space="0" w:color="auto"/>
            </w:tcBorders>
            <w:noWrap/>
            <w:vAlign w:val="bottom"/>
            <w:hideMark/>
          </w:tcPr>
          <w:p w14:paraId="5E785563" w14:textId="77777777" w:rsidR="00D3097F" w:rsidRPr="003C0E2F" w:rsidRDefault="00D3097F" w:rsidP="00EE17F5">
            <w:pPr>
              <w:spacing w:after="0" w:line="276" w:lineRule="auto"/>
              <w:rPr>
                <w:rStyle w:val="Strong"/>
                <w:b w:val="0"/>
                <w:bCs w:val="0"/>
              </w:rPr>
            </w:pPr>
            <w:r w:rsidRPr="003C0E2F">
              <w:rPr>
                <w:rStyle w:val="Strong"/>
                <w:b w:val="0"/>
                <w:bCs w:val="0"/>
              </w:rPr>
              <w:t>13.07</w:t>
            </w:r>
          </w:p>
        </w:tc>
      </w:tr>
      <w:tr w:rsidR="003C0E2F" w:rsidRPr="003C0E2F" w14:paraId="0AD06F78"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034CA884" w14:textId="77777777" w:rsidR="00D3097F" w:rsidRPr="003C0E2F" w:rsidRDefault="00D3097F" w:rsidP="00EE17F5">
            <w:pPr>
              <w:spacing w:after="0" w:line="276" w:lineRule="auto"/>
              <w:rPr>
                <w:rStyle w:val="Strong"/>
                <w:b w:val="0"/>
                <w:bCs w:val="0"/>
              </w:rPr>
            </w:pPr>
            <w:r w:rsidRPr="003C0E2F">
              <w:rPr>
                <w:rStyle w:val="Strong"/>
              </w:rPr>
              <w:t>11. IL-3</w:t>
            </w:r>
          </w:p>
        </w:tc>
        <w:tc>
          <w:tcPr>
            <w:tcW w:w="844" w:type="dxa"/>
            <w:tcBorders>
              <w:top w:val="nil"/>
              <w:left w:val="single" w:sz="8" w:space="0" w:color="auto"/>
              <w:bottom w:val="single" w:sz="4" w:space="0" w:color="auto"/>
              <w:right w:val="single" w:sz="4" w:space="0" w:color="auto"/>
            </w:tcBorders>
            <w:noWrap/>
            <w:vAlign w:val="bottom"/>
            <w:hideMark/>
          </w:tcPr>
          <w:p w14:paraId="2EE96F46" w14:textId="77777777" w:rsidR="00D3097F" w:rsidRPr="003C0E2F" w:rsidRDefault="00D3097F" w:rsidP="00EE17F5">
            <w:pPr>
              <w:spacing w:after="0" w:line="276" w:lineRule="auto"/>
              <w:rPr>
                <w:rStyle w:val="Strong"/>
                <w:b w:val="0"/>
                <w:bCs w:val="0"/>
              </w:rPr>
            </w:pPr>
            <w:r w:rsidRPr="003C0E2F">
              <w:rPr>
                <w:rStyle w:val="Strong"/>
                <w:b w:val="0"/>
                <w:bCs w:val="0"/>
              </w:rPr>
              <w:t>1.03</w:t>
            </w:r>
          </w:p>
        </w:tc>
        <w:tc>
          <w:tcPr>
            <w:tcW w:w="732" w:type="dxa"/>
            <w:tcBorders>
              <w:top w:val="nil"/>
              <w:left w:val="nil"/>
              <w:bottom w:val="single" w:sz="4" w:space="0" w:color="auto"/>
              <w:right w:val="single" w:sz="4" w:space="0" w:color="auto"/>
            </w:tcBorders>
            <w:noWrap/>
            <w:vAlign w:val="bottom"/>
            <w:hideMark/>
          </w:tcPr>
          <w:p w14:paraId="4C5EA76C" w14:textId="77777777" w:rsidR="00D3097F" w:rsidRPr="003C0E2F" w:rsidRDefault="00D3097F" w:rsidP="00EE17F5">
            <w:pPr>
              <w:spacing w:after="0" w:line="276" w:lineRule="auto"/>
              <w:rPr>
                <w:rStyle w:val="Strong"/>
                <w:b w:val="0"/>
                <w:bCs w:val="0"/>
              </w:rPr>
            </w:pPr>
            <w:r w:rsidRPr="003C0E2F">
              <w:rPr>
                <w:rStyle w:val="Strong"/>
                <w:b w:val="0"/>
                <w:bCs w:val="0"/>
              </w:rPr>
              <w:t>1.05</w:t>
            </w:r>
          </w:p>
        </w:tc>
        <w:tc>
          <w:tcPr>
            <w:tcW w:w="732" w:type="dxa"/>
            <w:tcBorders>
              <w:top w:val="nil"/>
              <w:left w:val="nil"/>
              <w:bottom w:val="single" w:sz="4" w:space="0" w:color="auto"/>
              <w:right w:val="single" w:sz="12" w:space="0" w:color="auto"/>
            </w:tcBorders>
            <w:noWrap/>
            <w:vAlign w:val="bottom"/>
            <w:hideMark/>
          </w:tcPr>
          <w:p w14:paraId="6649C6A7" w14:textId="77777777" w:rsidR="00D3097F" w:rsidRPr="003C0E2F" w:rsidRDefault="00D3097F" w:rsidP="00EE17F5">
            <w:pPr>
              <w:spacing w:after="0" w:line="276" w:lineRule="auto"/>
              <w:rPr>
                <w:rStyle w:val="Strong"/>
                <w:b w:val="0"/>
                <w:bCs w:val="0"/>
              </w:rPr>
            </w:pPr>
            <w:r w:rsidRPr="003C0E2F">
              <w:rPr>
                <w:rStyle w:val="Strong"/>
                <w:b w:val="0"/>
                <w:bCs w:val="0"/>
              </w:rPr>
              <w:t>1.07</w:t>
            </w:r>
          </w:p>
        </w:tc>
        <w:tc>
          <w:tcPr>
            <w:tcW w:w="1587" w:type="dxa"/>
            <w:tcBorders>
              <w:top w:val="nil"/>
              <w:left w:val="single" w:sz="12" w:space="0" w:color="auto"/>
              <w:bottom w:val="single" w:sz="4" w:space="0" w:color="auto"/>
              <w:right w:val="single" w:sz="8" w:space="0" w:color="auto"/>
            </w:tcBorders>
            <w:noWrap/>
            <w:vAlign w:val="bottom"/>
            <w:hideMark/>
          </w:tcPr>
          <w:p w14:paraId="3756EE81" w14:textId="77777777" w:rsidR="00D3097F" w:rsidRPr="003C0E2F" w:rsidRDefault="00D3097F" w:rsidP="00EE17F5">
            <w:pPr>
              <w:spacing w:after="0" w:line="276" w:lineRule="auto"/>
              <w:rPr>
                <w:rStyle w:val="Strong"/>
                <w:b w:val="0"/>
                <w:bCs w:val="0"/>
              </w:rPr>
            </w:pPr>
            <w:r w:rsidRPr="003C0E2F">
              <w:rPr>
                <w:rStyle w:val="Strong"/>
              </w:rPr>
              <w:t>31. MIP-1β</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1D088BAE" w14:textId="77777777" w:rsidR="00D3097F" w:rsidRPr="003C0E2F" w:rsidRDefault="00D3097F" w:rsidP="00EE17F5">
            <w:pPr>
              <w:spacing w:after="0" w:line="276" w:lineRule="auto"/>
              <w:rPr>
                <w:rStyle w:val="Strong"/>
                <w:b w:val="0"/>
                <w:bCs w:val="0"/>
              </w:rPr>
            </w:pPr>
            <w:r w:rsidRPr="003C0E2F">
              <w:rPr>
                <w:rStyle w:val="Strong"/>
                <w:b w:val="0"/>
                <w:bCs w:val="0"/>
              </w:rPr>
              <w:t>2.54</w:t>
            </w:r>
          </w:p>
        </w:tc>
        <w:tc>
          <w:tcPr>
            <w:tcW w:w="732" w:type="dxa"/>
            <w:tcBorders>
              <w:top w:val="nil"/>
              <w:left w:val="nil"/>
              <w:bottom w:val="single" w:sz="4" w:space="0" w:color="auto"/>
              <w:right w:val="single" w:sz="4" w:space="0" w:color="auto"/>
            </w:tcBorders>
            <w:noWrap/>
            <w:vAlign w:val="bottom"/>
            <w:hideMark/>
          </w:tcPr>
          <w:p w14:paraId="6BE34A41" w14:textId="77777777" w:rsidR="00D3097F" w:rsidRPr="003C0E2F" w:rsidRDefault="00D3097F" w:rsidP="00EE17F5">
            <w:pPr>
              <w:spacing w:after="0" w:line="276" w:lineRule="auto"/>
              <w:rPr>
                <w:rStyle w:val="Strong"/>
                <w:b w:val="0"/>
                <w:bCs w:val="0"/>
              </w:rPr>
            </w:pPr>
            <w:r w:rsidRPr="003C0E2F">
              <w:rPr>
                <w:rStyle w:val="Strong"/>
                <w:b w:val="0"/>
                <w:bCs w:val="0"/>
              </w:rPr>
              <w:t>2.21</w:t>
            </w:r>
          </w:p>
        </w:tc>
        <w:tc>
          <w:tcPr>
            <w:tcW w:w="732" w:type="dxa"/>
            <w:tcBorders>
              <w:top w:val="nil"/>
              <w:left w:val="nil"/>
              <w:bottom w:val="single" w:sz="4" w:space="0" w:color="auto"/>
              <w:right w:val="single" w:sz="12" w:space="0" w:color="auto"/>
            </w:tcBorders>
            <w:noWrap/>
            <w:vAlign w:val="bottom"/>
            <w:hideMark/>
          </w:tcPr>
          <w:p w14:paraId="09A49AB9" w14:textId="77777777" w:rsidR="00D3097F" w:rsidRPr="003C0E2F" w:rsidRDefault="00D3097F" w:rsidP="00EE17F5">
            <w:pPr>
              <w:spacing w:after="0" w:line="276" w:lineRule="auto"/>
              <w:rPr>
                <w:rStyle w:val="Strong"/>
                <w:b w:val="0"/>
                <w:bCs w:val="0"/>
              </w:rPr>
            </w:pPr>
            <w:r w:rsidRPr="003C0E2F">
              <w:rPr>
                <w:rStyle w:val="Strong"/>
                <w:b w:val="0"/>
                <w:bCs w:val="0"/>
              </w:rPr>
              <w:t>2.73</w:t>
            </w:r>
          </w:p>
        </w:tc>
      </w:tr>
      <w:tr w:rsidR="003C0E2F" w:rsidRPr="003C0E2F" w14:paraId="71CDF68D"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79511446" w14:textId="77777777" w:rsidR="00D3097F" w:rsidRPr="003C0E2F" w:rsidRDefault="00D3097F" w:rsidP="00EE17F5">
            <w:pPr>
              <w:spacing w:after="0" w:line="276" w:lineRule="auto"/>
              <w:rPr>
                <w:rStyle w:val="Strong"/>
                <w:b w:val="0"/>
                <w:bCs w:val="0"/>
              </w:rPr>
            </w:pPr>
            <w:r w:rsidRPr="003C0E2F">
              <w:rPr>
                <w:rStyle w:val="Strong"/>
              </w:rPr>
              <w:t>12. IL-4</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3683BEC9" w14:textId="77777777" w:rsidR="00D3097F" w:rsidRPr="003C0E2F" w:rsidRDefault="00D3097F" w:rsidP="00EE17F5">
            <w:pPr>
              <w:spacing w:after="0" w:line="276" w:lineRule="auto"/>
              <w:rPr>
                <w:rStyle w:val="Strong"/>
                <w:b w:val="0"/>
                <w:bCs w:val="0"/>
              </w:rPr>
            </w:pPr>
            <w:r w:rsidRPr="003C0E2F">
              <w:rPr>
                <w:rStyle w:val="Strong"/>
                <w:b w:val="0"/>
                <w:bCs w:val="0"/>
              </w:rPr>
              <w:t>4.69</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773AFA82" w14:textId="77777777" w:rsidR="00D3097F" w:rsidRPr="003C0E2F" w:rsidRDefault="00D3097F" w:rsidP="00EE17F5">
            <w:pPr>
              <w:spacing w:after="0" w:line="276" w:lineRule="auto"/>
              <w:rPr>
                <w:rStyle w:val="Strong"/>
                <w:b w:val="0"/>
                <w:bCs w:val="0"/>
              </w:rPr>
            </w:pPr>
            <w:r w:rsidRPr="003C0E2F">
              <w:rPr>
                <w:rStyle w:val="Strong"/>
                <w:b w:val="0"/>
                <w:bCs w:val="0"/>
              </w:rPr>
              <w:t>0.84</w:t>
            </w:r>
          </w:p>
        </w:tc>
        <w:tc>
          <w:tcPr>
            <w:tcW w:w="732"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2CA95719" w14:textId="77777777" w:rsidR="00D3097F" w:rsidRPr="003C0E2F" w:rsidRDefault="00D3097F" w:rsidP="00EE17F5">
            <w:pPr>
              <w:spacing w:after="0" w:line="276" w:lineRule="auto"/>
              <w:rPr>
                <w:rStyle w:val="Strong"/>
                <w:b w:val="0"/>
                <w:bCs w:val="0"/>
              </w:rPr>
            </w:pPr>
            <w:r w:rsidRPr="003C0E2F">
              <w:rPr>
                <w:rStyle w:val="Strong"/>
                <w:b w:val="0"/>
                <w:bCs w:val="0"/>
              </w:rPr>
              <w:t>0.95</w:t>
            </w:r>
          </w:p>
        </w:tc>
        <w:tc>
          <w:tcPr>
            <w:tcW w:w="1587" w:type="dxa"/>
            <w:tcBorders>
              <w:top w:val="nil"/>
              <w:left w:val="single" w:sz="12" w:space="0" w:color="auto"/>
              <w:bottom w:val="single" w:sz="4" w:space="0" w:color="auto"/>
              <w:right w:val="single" w:sz="8" w:space="0" w:color="auto"/>
            </w:tcBorders>
            <w:noWrap/>
            <w:vAlign w:val="bottom"/>
            <w:hideMark/>
          </w:tcPr>
          <w:p w14:paraId="777F15F2" w14:textId="77777777" w:rsidR="00D3097F" w:rsidRPr="003C0E2F" w:rsidRDefault="00D3097F" w:rsidP="00EE17F5">
            <w:pPr>
              <w:spacing w:after="0" w:line="276" w:lineRule="auto"/>
              <w:rPr>
                <w:rStyle w:val="Strong"/>
                <w:b w:val="0"/>
                <w:bCs w:val="0"/>
              </w:rPr>
            </w:pPr>
            <w:r w:rsidRPr="003C0E2F">
              <w:rPr>
                <w:rStyle w:val="Strong"/>
              </w:rPr>
              <w:t>32. MIP-1δ</w:t>
            </w:r>
          </w:p>
        </w:tc>
        <w:tc>
          <w:tcPr>
            <w:tcW w:w="844" w:type="dxa"/>
            <w:tcBorders>
              <w:top w:val="nil"/>
              <w:left w:val="nil"/>
              <w:bottom w:val="single" w:sz="4" w:space="0" w:color="auto"/>
              <w:right w:val="single" w:sz="4" w:space="0" w:color="auto"/>
            </w:tcBorders>
            <w:noWrap/>
            <w:vAlign w:val="bottom"/>
            <w:hideMark/>
          </w:tcPr>
          <w:p w14:paraId="6179EA23" w14:textId="77777777" w:rsidR="00D3097F" w:rsidRPr="003C0E2F" w:rsidRDefault="00D3097F" w:rsidP="00EE17F5">
            <w:pPr>
              <w:spacing w:after="0" w:line="276" w:lineRule="auto"/>
              <w:rPr>
                <w:rStyle w:val="Strong"/>
                <w:b w:val="0"/>
                <w:bCs w:val="0"/>
              </w:rPr>
            </w:pPr>
            <w:r w:rsidRPr="003C0E2F">
              <w:rPr>
                <w:rStyle w:val="Strong"/>
                <w:b w:val="0"/>
                <w:bCs w:val="0"/>
              </w:rPr>
              <w:t>1.39</w:t>
            </w:r>
          </w:p>
        </w:tc>
        <w:tc>
          <w:tcPr>
            <w:tcW w:w="732" w:type="dxa"/>
            <w:tcBorders>
              <w:top w:val="single" w:sz="4" w:space="0" w:color="auto"/>
              <w:left w:val="single" w:sz="4" w:space="0" w:color="auto"/>
              <w:bottom w:val="single" w:sz="4" w:space="0" w:color="auto"/>
              <w:right w:val="single" w:sz="4" w:space="0" w:color="auto"/>
            </w:tcBorders>
            <w:noWrap/>
            <w:vAlign w:val="bottom"/>
            <w:hideMark/>
          </w:tcPr>
          <w:p w14:paraId="1D18190F" w14:textId="77777777" w:rsidR="00D3097F" w:rsidRPr="003C0E2F" w:rsidRDefault="00D3097F" w:rsidP="00EE17F5">
            <w:pPr>
              <w:spacing w:after="0" w:line="276" w:lineRule="auto"/>
              <w:rPr>
                <w:rStyle w:val="Strong"/>
                <w:b w:val="0"/>
                <w:bCs w:val="0"/>
              </w:rPr>
            </w:pPr>
            <w:r w:rsidRPr="003C0E2F">
              <w:rPr>
                <w:rStyle w:val="Strong"/>
                <w:b w:val="0"/>
                <w:bCs w:val="0"/>
              </w:rPr>
              <w:t>0.68</w:t>
            </w:r>
          </w:p>
        </w:tc>
        <w:tc>
          <w:tcPr>
            <w:tcW w:w="732" w:type="dxa"/>
            <w:tcBorders>
              <w:top w:val="single" w:sz="4" w:space="0" w:color="auto"/>
              <w:left w:val="single" w:sz="4" w:space="0" w:color="auto"/>
              <w:bottom w:val="single" w:sz="4" w:space="0" w:color="auto"/>
              <w:right w:val="single" w:sz="12" w:space="0" w:color="auto"/>
            </w:tcBorders>
            <w:noWrap/>
            <w:vAlign w:val="bottom"/>
            <w:hideMark/>
          </w:tcPr>
          <w:p w14:paraId="40860DD8" w14:textId="77777777" w:rsidR="00D3097F" w:rsidRPr="003C0E2F" w:rsidRDefault="00D3097F" w:rsidP="00EE17F5">
            <w:pPr>
              <w:spacing w:after="0" w:line="276" w:lineRule="auto"/>
              <w:rPr>
                <w:rStyle w:val="Strong"/>
                <w:b w:val="0"/>
                <w:bCs w:val="0"/>
              </w:rPr>
            </w:pPr>
            <w:r w:rsidRPr="003C0E2F">
              <w:rPr>
                <w:rStyle w:val="Strong"/>
                <w:b w:val="0"/>
                <w:bCs w:val="0"/>
              </w:rPr>
              <w:t>0.44</w:t>
            </w:r>
          </w:p>
        </w:tc>
      </w:tr>
      <w:tr w:rsidR="003C0E2F" w:rsidRPr="003C0E2F" w14:paraId="607266A7"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05786C52" w14:textId="77777777" w:rsidR="00D3097F" w:rsidRPr="003C0E2F" w:rsidRDefault="00D3097F" w:rsidP="00EE17F5">
            <w:pPr>
              <w:spacing w:after="0" w:line="276" w:lineRule="auto"/>
              <w:rPr>
                <w:rStyle w:val="Strong"/>
                <w:b w:val="0"/>
                <w:bCs w:val="0"/>
              </w:rPr>
            </w:pPr>
            <w:r w:rsidRPr="003C0E2F">
              <w:rPr>
                <w:rStyle w:val="Strong"/>
              </w:rPr>
              <w:t>13. IL-6</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77E04B3F" w14:textId="77777777" w:rsidR="00D3097F" w:rsidRPr="003C0E2F" w:rsidRDefault="00D3097F" w:rsidP="00EE17F5">
            <w:pPr>
              <w:spacing w:after="0" w:line="276" w:lineRule="auto"/>
              <w:rPr>
                <w:rStyle w:val="Strong"/>
                <w:b w:val="0"/>
                <w:bCs w:val="0"/>
              </w:rPr>
            </w:pPr>
            <w:r w:rsidRPr="003C0E2F">
              <w:rPr>
                <w:rStyle w:val="Strong"/>
                <w:b w:val="0"/>
                <w:bCs w:val="0"/>
              </w:rPr>
              <w:t>299.34</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72B39856" w14:textId="77777777" w:rsidR="00D3097F" w:rsidRPr="003C0E2F" w:rsidRDefault="00D3097F" w:rsidP="00EE17F5">
            <w:pPr>
              <w:spacing w:after="0" w:line="276" w:lineRule="auto"/>
              <w:rPr>
                <w:rStyle w:val="Strong"/>
                <w:b w:val="0"/>
                <w:bCs w:val="0"/>
              </w:rPr>
            </w:pPr>
            <w:r w:rsidRPr="003C0E2F">
              <w:rPr>
                <w:rStyle w:val="Strong"/>
                <w:b w:val="0"/>
                <w:bCs w:val="0"/>
              </w:rPr>
              <w:t>0.65</w:t>
            </w:r>
          </w:p>
        </w:tc>
        <w:tc>
          <w:tcPr>
            <w:tcW w:w="732"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6EE7FD2C" w14:textId="77777777" w:rsidR="00D3097F" w:rsidRPr="003C0E2F" w:rsidRDefault="00D3097F" w:rsidP="00EE17F5">
            <w:pPr>
              <w:spacing w:after="0" w:line="276" w:lineRule="auto"/>
              <w:rPr>
                <w:rStyle w:val="Strong"/>
                <w:b w:val="0"/>
                <w:bCs w:val="0"/>
              </w:rPr>
            </w:pPr>
            <w:r w:rsidRPr="003C0E2F">
              <w:rPr>
                <w:rStyle w:val="Strong"/>
                <w:b w:val="0"/>
                <w:bCs w:val="0"/>
              </w:rPr>
              <w:t>3.86</w:t>
            </w:r>
          </w:p>
        </w:tc>
        <w:tc>
          <w:tcPr>
            <w:tcW w:w="1587" w:type="dxa"/>
            <w:tcBorders>
              <w:top w:val="nil"/>
              <w:left w:val="single" w:sz="12" w:space="0" w:color="auto"/>
              <w:bottom w:val="single" w:sz="4" w:space="0" w:color="auto"/>
              <w:right w:val="single" w:sz="8" w:space="0" w:color="auto"/>
            </w:tcBorders>
            <w:noWrap/>
            <w:vAlign w:val="bottom"/>
            <w:hideMark/>
          </w:tcPr>
          <w:p w14:paraId="54E86A68" w14:textId="77777777" w:rsidR="00D3097F" w:rsidRPr="003C0E2F" w:rsidRDefault="00D3097F" w:rsidP="00EE17F5">
            <w:pPr>
              <w:spacing w:after="0" w:line="276" w:lineRule="auto"/>
              <w:rPr>
                <w:rStyle w:val="Strong"/>
                <w:b w:val="0"/>
                <w:bCs w:val="0"/>
              </w:rPr>
            </w:pPr>
            <w:r w:rsidRPr="003C0E2F">
              <w:rPr>
                <w:rStyle w:val="Strong"/>
              </w:rPr>
              <w:t>33. RANTES</w:t>
            </w:r>
          </w:p>
        </w:tc>
        <w:tc>
          <w:tcPr>
            <w:tcW w:w="844" w:type="dxa"/>
            <w:tcBorders>
              <w:top w:val="nil"/>
              <w:left w:val="nil"/>
              <w:bottom w:val="single" w:sz="4" w:space="0" w:color="auto"/>
              <w:right w:val="single" w:sz="4" w:space="0" w:color="auto"/>
            </w:tcBorders>
            <w:noWrap/>
            <w:vAlign w:val="bottom"/>
            <w:hideMark/>
          </w:tcPr>
          <w:p w14:paraId="7347077F" w14:textId="77777777" w:rsidR="00D3097F" w:rsidRPr="003C0E2F" w:rsidRDefault="00D3097F" w:rsidP="00EE17F5">
            <w:pPr>
              <w:spacing w:after="0" w:line="276" w:lineRule="auto"/>
              <w:rPr>
                <w:rStyle w:val="Strong"/>
                <w:b w:val="0"/>
                <w:bCs w:val="0"/>
              </w:rPr>
            </w:pPr>
            <w:r w:rsidRPr="003C0E2F">
              <w:rPr>
                <w:rStyle w:val="Strong"/>
                <w:b w:val="0"/>
                <w:bCs w:val="0"/>
              </w:rPr>
              <w:t>0.98</w:t>
            </w:r>
          </w:p>
        </w:tc>
        <w:tc>
          <w:tcPr>
            <w:tcW w:w="732" w:type="dxa"/>
            <w:tcBorders>
              <w:top w:val="nil"/>
              <w:left w:val="nil"/>
              <w:bottom w:val="single" w:sz="4" w:space="0" w:color="auto"/>
              <w:right w:val="single" w:sz="4" w:space="0" w:color="auto"/>
            </w:tcBorders>
            <w:noWrap/>
            <w:vAlign w:val="bottom"/>
            <w:hideMark/>
          </w:tcPr>
          <w:p w14:paraId="06F78CAD" w14:textId="77777777" w:rsidR="00D3097F" w:rsidRPr="003C0E2F" w:rsidRDefault="00D3097F" w:rsidP="00EE17F5">
            <w:pPr>
              <w:spacing w:after="0" w:line="276" w:lineRule="auto"/>
              <w:rPr>
                <w:rStyle w:val="Strong"/>
                <w:b w:val="0"/>
                <w:bCs w:val="0"/>
              </w:rPr>
            </w:pPr>
            <w:r w:rsidRPr="003C0E2F">
              <w:rPr>
                <w:rStyle w:val="Strong"/>
                <w:b w:val="0"/>
                <w:bCs w:val="0"/>
              </w:rPr>
              <w:t>0.83</w:t>
            </w:r>
          </w:p>
        </w:tc>
        <w:tc>
          <w:tcPr>
            <w:tcW w:w="732" w:type="dxa"/>
            <w:tcBorders>
              <w:top w:val="nil"/>
              <w:left w:val="nil"/>
              <w:bottom w:val="single" w:sz="4" w:space="0" w:color="auto"/>
              <w:right w:val="single" w:sz="12" w:space="0" w:color="auto"/>
            </w:tcBorders>
            <w:noWrap/>
            <w:vAlign w:val="bottom"/>
            <w:hideMark/>
          </w:tcPr>
          <w:p w14:paraId="61DC6DEF" w14:textId="77777777" w:rsidR="00D3097F" w:rsidRPr="003C0E2F" w:rsidRDefault="00D3097F" w:rsidP="00EE17F5">
            <w:pPr>
              <w:spacing w:after="0" w:line="276" w:lineRule="auto"/>
              <w:rPr>
                <w:rStyle w:val="Strong"/>
                <w:b w:val="0"/>
                <w:bCs w:val="0"/>
              </w:rPr>
            </w:pPr>
            <w:r w:rsidRPr="003C0E2F">
              <w:rPr>
                <w:rStyle w:val="Strong"/>
                <w:b w:val="0"/>
                <w:bCs w:val="0"/>
              </w:rPr>
              <w:t>0.85</w:t>
            </w:r>
          </w:p>
        </w:tc>
      </w:tr>
      <w:tr w:rsidR="003C0E2F" w:rsidRPr="003C0E2F" w14:paraId="09DA50B5"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1FD90609" w14:textId="77777777" w:rsidR="00D3097F" w:rsidRPr="003C0E2F" w:rsidRDefault="00D3097F" w:rsidP="00EE17F5">
            <w:pPr>
              <w:spacing w:after="0" w:line="276" w:lineRule="auto"/>
              <w:rPr>
                <w:rStyle w:val="Strong"/>
                <w:b w:val="0"/>
                <w:bCs w:val="0"/>
              </w:rPr>
            </w:pPr>
            <w:r w:rsidRPr="003C0E2F">
              <w:rPr>
                <w:rStyle w:val="Strong"/>
              </w:rPr>
              <w:t>14. IL-6R</w:t>
            </w:r>
          </w:p>
        </w:tc>
        <w:tc>
          <w:tcPr>
            <w:tcW w:w="844" w:type="dxa"/>
            <w:tcBorders>
              <w:top w:val="nil"/>
              <w:left w:val="single" w:sz="8" w:space="0" w:color="auto"/>
              <w:bottom w:val="single" w:sz="4" w:space="0" w:color="auto"/>
              <w:right w:val="single" w:sz="4" w:space="0" w:color="auto"/>
            </w:tcBorders>
            <w:noWrap/>
            <w:vAlign w:val="bottom"/>
            <w:hideMark/>
          </w:tcPr>
          <w:p w14:paraId="63C95A4A" w14:textId="77777777" w:rsidR="00D3097F" w:rsidRPr="003C0E2F" w:rsidRDefault="00D3097F" w:rsidP="00EE17F5">
            <w:pPr>
              <w:spacing w:after="0" w:line="276" w:lineRule="auto"/>
              <w:rPr>
                <w:rStyle w:val="Strong"/>
                <w:b w:val="0"/>
                <w:bCs w:val="0"/>
              </w:rPr>
            </w:pPr>
            <w:r w:rsidRPr="003C0E2F">
              <w:rPr>
                <w:rStyle w:val="Strong"/>
                <w:b w:val="0"/>
                <w:bCs w:val="0"/>
              </w:rPr>
              <w:t>1.60</w:t>
            </w:r>
          </w:p>
        </w:tc>
        <w:tc>
          <w:tcPr>
            <w:tcW w:w="732" w:type="dxa"/>
            <w:tcBorders>
              <w:top w:val="nil"/>
              <w:left w:val="nil"/>
              <w:bottom w:val="single" w:sz="4" w:space="0" w:color="auto"/>
              <w:right w:val="single" w:sz="4" w:space="0" w:color="auto"/>
            </w:tcBorders>
            <w:noWrap/>
            <w:vAlign w:val="bottom"/>
            <w:hideMark/>
          </w:tcPr>
          <w:p w14:paraId="3E99AC9D" w14:textId="77777777" w:rsidR="00D3097F" w:rsidRPr="003C0E2F" w:rsidRDefault="00D3097F" w:rsidP="00EE17F5">
            <w:pPr>
              <w:spacing w:after="0" w:line="276" w:lineRule="auto"/>
              <w:rPr>
                <w:rStyle w:val="Strong"/>
                <w:b w:val="0"/>
                <w:bCs w:val="0"/>
              </w:rPr>
            </w:pPr>
            <w:r w:rsidRPr="003C0E2F">
              <w:rPr>
                <w:rStyle w:val="Strong"/>
                <w:b w:val="0"/>
                <w:bCs w:val="0"/>
              </w:rPr>
              <w:t>2.03</w:t>
            </w:r>
          </w:p>
        </w:tc>
        <w:tc>
          <w:tcPr>
            <w:tcW w:w="732" w:type="dxa"/>
            <w:tcBorders>
              <w:top w:val="nil"/>
              <w:left w:val="nil"/>
              <w:bottom w:val="single" w:sz="4" w:space="0" w:color="auto"/>
              <w:right w:val="single" w:sz="12" w:space="0" w:color="auto"/>
            </w:tcBorders>
            <w:noWrap/>
            <w:vAlign w:val="bottom"/>
            <w:hideMark/>
          </w:tcPr>
          <w:p w14:paraId="287FD3CF" w14:textId="77777777" w:rsidR="00D3097F" w:rsidRPr="003C0E2F" w:rsidRDefault="00D3097F" w:rsidP="00EE17F5">
            <w:pPr>
              <w:spacing w:after="0" w:line="276" w:lineRule="auto"/>
              <w:rPr>
                <w:rStyle w:val="Strong"/>
                <w:b w:val="0"/>
                <w:bCs w:val="0"/>
              </w:rPr>
            </w:pPr>
            <w:r w:rsidRPr="003C0E2F">
              <w:rPr>
                <w:rStyle w:val="Strong"/>
                <w:b w:val="0"/>
                <w:bCs w:val="0"/>
              </w:rPr>
              <w:t>2.30</w:t>
            </w:r>
          </w:p>
        </w:tc>
        <w:tc>
          <w:tcPr>
            <w:tcW w:w="1587" w:type="dxa"/>
            <w:tcBorders>
              <w:top w:val="nil"/>
              <w:left w:val="single" w:sz="12" w:space="0" w:color="auto"/>
              <w:bottom w:val="single" w:sz="4" w:space="0" w:color="auto"/>
              <w:right w:val="single" w:sz="8" w:space="0" w:color="auto"/>
            </w:tcBorders>
            <w:noWrap/>
            <w:vAlign w:val="bottom"/>
            <w:hideMark/>
          </w:tcPr>
          <w:p w14:paraId="4AED7EB2" w14:textId="77777777" w:rsidR="00D3097F" w:rsidRPr="003C0E2F" w:rsidRDefault="00D3097F" w:rsidP="00EE17F5">
            <w:pPr>
              <w:spacing w:after="0" w:line="276" w:lineRule="auto"/>
              <w:rPr>
                <w:rStyle w:val="Strong"/>
                <w:b w:val="0"/>
                <w:bCs w:val="0"/>
              </w:rPr>
            </w:pPr>
            <w:r w:rsidRPr="003C0E2F">
              <w:rPr>
                <w:rStyle w:val="Strong"/>
              </w:rPr>
              <w:t>34. TGFβ</w:t>
            </w:r>
          </w:p>
        </w:tc>
        <w:tc>
          <w:tcPr>
            <w:tcW w:w="844" w:type="dxa"/>
            <w:tcBorders>
              <w:top w:val="nil"/>
              <w:left w:val="nil"/>
              <w:bottom w:val="single" w:sz="4" w:space="0" w:color="auto"/>
              <w:right w:val="single" w:sz="4" w:space="0" w:color="auto"/>
            </w:tcBorders>
            <w:noWrap/>
            <w:vAlign w:val="bottom"/>
            <w:hideMark/>
          </w:tcPr>
          <w:p w14:paraId="14224BFB" w14:textId="77777777" w:rsidR="00D3097F" w:rsidRPr="003C0E2F" w:rsidRDefault="00D3097F" w:rsidP="00EE17F5">
            <w:pPr>
              <w:spacing w:after="0" w:line="276" w:lineRule="auto"/>
              <w:rPr>
                <w:rStyle w:val="Strong"/>
                <w:b w:val="0"/>
                <w:bCs w:val="0"/>
              </w:rPr>
            </w:pPr>
            <w:r w:rsidRPr="003C0E2F">
              <w:rPr>
                <w:rStyle w:val="Strong"/>
                <w:b w:val="0"/>
                <w:bCs w:val="0"/>
              </w:rPr>
              <w:t>0.83</w:t>
            </w:r>
          </w:p>
        </w:tc>
        <w:tc>
          <w:tcPr>
            <w:tcW w:w="732" w:type="dxa"/>
            <w:tcBorders>
              <w:top w:val="nil"/>
              <w:left w:val="nil"/>
              <w:bottom w:val="single" w:sz="4" w:space="0" w:color="auto"/>
              <w:right w:val="single" w:sz="4" w:space="0" w:color="auto"/>
            </w:tcBorders>
            <w:noWrap/>
            <w:vAlign w:val="bottom"/>
            <w:hideMark/>
          </w:tcPr>
          <w:p w14:paraId="02C9A372" w14:textId="77777777" w:rsidR="00D3097F" w:rsidRPr="003C0E2F" w:rsidRDefault="00D3097F" w:rsidP="00EE17F5">
            <w:pPr>
              <w:spacing w:after="0" w:line="276" w:lineRule="auto"/>
              <w:rPr>
                <w:rStyle w:val="Strong"/>
                <w:b w:val="0"/>
                <w:bCs w:val="0"/>
              </w:rPr>
            </w:pPr>
            <w:r w:rsidRPr="003C0E2F">
              <w:rPr>
                <w:rStyle w:val="Strong"/>
                <w:b w:val="0"/>
                <w:bCs w:val="0"/>
              </w:rPr>
              <w:t>0.86</w:t>
            </w:r>
          </w:p>
        </w:tc>
        <w:tc>
          <w:tcPr>
            <w:tcW w:w="732" w:type="dxa"/>
            <w:tcBorders>
              <w:top w:val="nil"/>
              <w:left w:val="nil"/>
              <w:bottom w:val="single" w:sz="4" w:space="0" w:color="auto"/>
              <w:right w:val="single" w:sz="12" w:space="0" w:color="auto"/>
            </w:tcBorders>
            <w:noWrap/>
            <w:vAlign w:val="bottom"/>
            <w:hideMark/>
          </w:tcPr>
          <w:p w14:paraId="0C8FF5EE" w14:textId="77777777" w:rsidR="00D3097F" w:rsidRPr="003C0E2F" w:rsidRDefault="00D3097F" w:rsidP="00EE17F5">
            <w:pPr>
              <w:spacing w:after="0" w:line="276" w:lineRule="auto"/>
              <w:rPr>
                <w:rStyle w:val="Strong"/>
                <w:b w:val="0"/>
                <w:bCs w:val="0"/>
              </w:rPr>
            </w:pPr>
            <w:r w:rsidRPr="003C0E2F">
              <w:rPr>
                <w:rStyle w:val="Strong"/>
                <w:b w:val="0"/>
                <w:bCs w:val="0"/>
              </w:rPr>
              <w:t>0.89</w:t>
            </w:r>
          </w:p>
        </w:tc>
      </w:tr>
      <w:tr w:rsidR="003C0E2F" w:rsidRPr="003C0E2F" w14:paraId="2509FCC4"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1756DE6D" w14:textId="77777777" w:rsidR="00D3097F" w:rsidRPr="003C0E2F" w:rsidRDefault="00D3097F" w:rsidP="00EE17F5">
            <w:pPr>
              <w:spacing w:after="0" w:line="276" w:lineRule="auto"/>
              <w:rPr>
                <w:rStyle w:val="Strong"/>
                <w:b w:val="0"/>
                <w:bCs w:val="0"/>
              </w:rPr>
            </w:pPr>
            <w:r w:rsidRPr="003C0E2F">
              <w:rPr>
                <w:rStyle w:val="Strong"/>
              </w:rPr>
              <w:t>15. IL-7</w:t>
            </w:r>
          </w:p>
        </w:tc>
        <w:tc>
          <w:tcPr>
            <w:tcW w:w="844" w:type="dxa"/>
            <w:tcBorders>
              <w:top w:val="nil"/>
              <w:left w:val="single" w:sz="8" w:space="0" w:color="auto"/>
              <w:bottom w:val="single" w:sz="4" w:space="0" w:color="auto"/>
              <w:right w:val="single" w:sz="4" w:space="0" w:color="auto"/>
            </w:tcBorders>
            <w:noWrap/>
            <w:vAlign w:val="bottom"/>
            <w:hideMark/>
          </w:tcPr>
          <w:p w14:paraId="7A9FCC65" w14:textId="77777777" w:rsidR="00D3097F" w:rsidRPr="003C0E2F" w:rsidRDefault="00D3097F" w:rsidP="00EE17F5">
            <w:pPr>
              <w:spacing w:after="0" w:line="276" w:lineRule="auto"/>
              <w:rPr>
                <w:rStyle w:val="Strong"/>
                <w:b w:val="0"/>
                <w:bCs w:val="0"/>
              </w:rPr>
            </w:pPr>
            <w:r w:rsidRPr="003C0E2F">
              <w:rPr>
                <w:rStyle w:val="Strong"/>
                <w:b w:val="0"/>
                <w:bCs w:val="0"/>
              </w:rPr>
              <w:t>1.00</w:t>
            </w:r>
          </w:p>
        </w:tc>
        <w:tc>
          <w:tcPr>
            <w:tcW w:w="732" w:type="dxa"/>
            <w:tcBorders>
              <w:top w:val="nil"/>
              <w:left w:val="nil"/>
              <w:bottom w:val="single" w:sz="4" w:space="0" w:color="auto"/>
              <w:right w:val="single" w:sz="4" w:space="0" w:color="auto"/>
            </w:tcBorders>
            <w:noWrap/>
            <w:vAlign w:val="bottom"/>
            <w:hideMark/>
          </w:tcPr>
          <w:p w14:paraId="5F713EF8" w14:textId="77777777" w:rsidR="00D3097F" w:rsidRPr="003C0E2F" w:rsidRDefault="00D3097F" w:rsidP="00EE17F5">
            <w:pPr>
              <w:spacing w:after="0" w:line="276" w:lineRule="auto"/>
              <w:rPr>
                <w:rStyle w:val="Strong"/>
                <w:b w:val="0"/>
                <w:bCs w:val="0"/>
              </w:rPr>
            </w:pPr>
            <w:r w:rsidRPr="003C0E2F">
              <w:rPr>
                <w:rStyle w:val="Strong"/>
                <w:b w:val="0"/>
                <w:bCs w:val="0"/>
              </w:rPr>
              <w:t>1.00</w:t>
            </w:r>
          </w:p>
        </w:tc>
        <w:tc>
          <w:tcPr>
            <w:tcW w:w="732" w:type="dxa"/>
            <w:tcBorders>
              <w:top w:val="nil"/>
              <w:left w:val="nil"/>
              <w:bottom w:val="single" w:sz="4" w:space="0" w:color="auto"/>
              <w:right w:val="single" w:sz="12" w:space="0" w:color="auto"/>
            </w:tcBorders>
            <w:noWrap/>
            <w:vAlign w:val="bottom"/>
            <w:hideMark/>
          </w:tcPr>
          <w:p w14:paraId="168988BD" w14:textId="77777777" w:rsidR="00D3097F" w:rsidRPr="003C0E2F" w:rsidRDefault="00D3097F" w:rsidP="00EE17F5">
            <w:pPr>
              <w:spacing w:after="0" w:line="276" w:lineRule="auto"/>
              <w:rPr>
                <w:rStyle w:val="Strong"/>
                <w:b w:val="0"/>
                <w:bCs w:val="0"/>
              </w:rPr>
            </w:pPr>
            <w:r w:rsidRPr="003C0E2F">
              <w:rPr>
                <w:rStyle w:val="Strong"/>
                <w:b w:val="0"/>
                <w:bCs w:val="0"/>
              </w:rPr>
              <w:t>2.84</w:t>
            </w:r>
          </w:p>
        </w:tc>
        <w:tc>
          <w:tcPr>
            <w:tcW w:w="1587" w:type="dxa"/>
            <w:tcBorders>
              <w:top w:val="nil"/>
              <w:left w:val="single" w:sz="12" w:space="0" w:color="auto"/>
              <w:bottom w:val="single" w:sz="4" w:space="0" w:color="auto"/>
              <w:right w:val="single" w:sz="8" w:space="0" w:color="auto"/>
            </w:tcBorders>
            <w:noWrap/>
            <w:vAlign w:val="bottom"/>
            <w:hideMark/>
          </w:tcPr>
          <w:p w14:paraId="354F6991" w14:textId="77777777" w:rsidR="00D3097F" w:rsidRPr="003C0E2F" w:rsidRDefault="00D3097F" w:rsidP="00EE17F5">
            <w:pPr>
              <w:spacing w:after="0" w:line="276" w:lineRule="auto"/>
              <w:rPr>
                <w:rStyle w:val="Strong"/>
                <w:b w:val="0"/>
                <w:bCs w:val="0"/>
              </w:rPr>
            </w:pPr>
            <w:r w:rsidRPr="003C0E2F">
              <w:rPr>
                <w:rStyle w:val="Strong"/>
              </w:rPr>
              <w:t>35. TNFα</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4291AE47" w14:textId="77777777" w:rsidR="00D3097F" w:rsidRPr="003C0E2F" w:rsidRDefault="00D3097F" w:rsidP="00EE17F5">
            <w:pPr>
              <w:spacing w:after="0" w:line="276" w:lineRule="auto"/>
              <w:rPr>
                <w:rStyle w:val="Strong"/>
                <w:b w:val="0"/>
                <w:bCs w:val="0"/>
              </w:rPr>
            </w:pPr>
            <w:r w:rsidRPr="003C0E2F">
              <w:rPr>
                <w:rStyle w:val="Strong"/>
                <w:b w:val="0"/>
                <w:bCs w:val="0"/>
              </w:rPr>
              <w:t>15.88</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69D7A206" w14:textId="77777777" w:rsidR="00D3097F" w:rsidRPr="003C0E2F" w:rsidRDefault="00D3097F" w:rsidP="00EE17F5">
            <w:pPr>
              <w:spacing w:after="0" w:line="276" w:lineRule="auto"/>
              <w:rPr>
                <w:rStyle w:val="Strong"/>
                <w:b w:val="0"/>
                <w:bCs w:val="0"/>
              </w:rPr>
            </w:pPr>
            <w:r w:rsidRPr="003C0E2F">
              <w:rPr>
                <w:rStyle w:val="Strong"/>
                <w:b w:val="0"/>
                <w:bCs w:val="0"/>
              </w:rPr>
              <w:t>0.93</w:t>
            </w:r>
          </w:p>
        </w:tc>
        <w:tc>
          <w:tcPr>
            <w:tcW w:w="732"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106F9DEB" w14:textId="77777777" w:rsidR="00D3097F" w:rsidRPr="003C0E2F" w:rsidRDefault="00D3097F" w:rsidP="00EE17F5">
            <w:pPr>
              <w:spacing w:after="0" w:line="276" w:lineRule="auto"/>
              <w:rPr>
                <w:rStyle w:val="Strong"/>
                <w:b w:val="0"/>
                <w:bCs w:val="0"/>
              </w:rPr>
            </w:pPr>
            <w:r w:rsidRPr="003C0E2F">
              <w:rPr>
                <w:rStyle w:val="Strong"/>
                <w:b w:val="0"/>
                <w:bCs w:val="0"/>
              </w:rPr>
              <w:t>1.31</w:t>
            </w:r>
          </w:p>
        </w:tc>
      </w:tr>
      <w:tr w:rsidR="003C0E2F" w:rsidRPr="003C0E2F" w14:paraId="06024A36"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0B32AE1E" w14:textId="77777777" w:rsidR="00D3097F" w:rsidRPr="003C0E2F" w:rsidRDefault="00D3097F" w:rsidP="00EE17F5">
            <w:pPr>
              <w:spacing w:after="0" w:line="276" w:lineRule="auto"/>
              <w:rPr>
                <w:rStyle w:val="Strong"/>
                <w:b w:val="0"/>
                <w:bCs w:val="0"/>
              </w:rPr>
            </w:pPr>
            <w:r w:rsidRPr="003C0E2F">
              <w:rPr>
                <w:rStyle w:val="Strong"/>
              </w:rPr>
              <w:t>16. IL-8</w:t>
            </w:r>
          </w:p>
        </w:tc>
        <w:tc>
          <w:tcPr>
            <w:tcW w:w="844" w:type="dxa"/>
            <w:tcBorders>
              <w:top w:val="nil"/>
              <w:left w:val="single" w:sz="8" w:space="0" w:color="auto"/>
              <w:bottom w:val="single" w:sz="4" w:space="0" w:color="auto"/>
              <w:right w:val="single" w:sz="4" w:space="0" w:color="auto"/>
            </w:tcBorders>
            <w:noWrap/>
            <w:vAlign w:val="bottom"/>
            <w:hideMark/>
          </w:tcPr>
          <w:p w14:paraId="324E703E" w14:textId="77777777" w:rsidR="00D3097F" w:rsidRPr="003C0E2F" w:rsidRDefault="00D3097F" w:rsidP="00EE17F5">
            <w:pPr>
              <w:spacing w:after="0" w:line="276" w:lineRule="auto"/>
              <w:rPr>
                <w:rStyle w:val="Strong"/>
                <w:b w:val="0"/>
                <w:bCs w:val="0"/>
              </w:rPr>
            </w:pPr>
            <w:r w:rsidRPr="003C0E2F">
              <w:rPr>
                <w:rStyle w:val="Strong"/>
                <w:b w:val="0"/>
                <w:bCs w:val="0"/>
              </w:rPr>
              <w:t>1.36</w:t>
            </w:r>
          </w:p>
        </w:tc>
        <w:tc>
          <w:tcPr>
            <w:tcW w:w="732" w:type="dxa"/>
            <w:tcBorders>
              <w:top w:val="nil"/>
              <w:left w:val="nil"/>
              <w:bottom w:val="single" w:sz="4" w:space="0" w:color="auto"/>
              <w:right w:val="single" w:sz="4" w:space="0" w:color="auto"/>
            </w:tcBorders>
            <w:noWrap/>
            <w:vAlign w:val="bottom"/>
            <w:hideMark/>
          </w:tcPr>
          <w:p w14:paraId="0634CEF9" w14:textId="77777777" w:rsidR="00D3097F" w:rsidRPr="003C0E2F" w:rsidRDefault="00D3097F" w:rsidP="00EE17F5">
            <w:pPr>
              <w:spacing w:after="0" w:line="276" w:lineRule="auto"/>
              <w:rPr>
                <w:rStyle w:val="Strong"/>
                <w:b w:val="0"/>
                <w:bCs w:val="0"/>
              </w:rPr>
            </w:pPr>
            <w:r w:rsidRPr="003C0E2F">
              <w:rPr>
                <w:rStyle w:val="Strong"/>
                <w:b w:val="0"/>
                <w:bCs w:val="0"/>
              </w:rPr>
              <w:t>1.07</w:t>
            </w:r>
          </w:p>
        </w:tc>
        <w:tc>
          <w:tcPr>
            <w:tcW w:w="732" w:type="dxa"/>
            <w:tcBorders>
              <w:top w:val="nil"/>
              <w:left w:val="nil"/>
              <w:bottom w:val="single" w:sz="4" w:space="0" w:color="auto"/>
              <w:right w:val="single" w:sz="12" w:space="0" w:color="auto"/>
            </w:tcBorders>
            <w:noWrap/>
            <w:vAlign w:val="bottom"/>
            <w:hideMark/>
          </w:tcPr>
          <w:p w14:paraId="32F4CEC5" w14:textId="77777777" w:rsidR="00D3097F" w:rsidRPr="003C0E2F" w:rsidRDefault="00D3097F" w:rsidP="00EE17F5">
            <w:pPr>
              <w:spacing w:after="0" w:line="276" w:lineRule="auto"/>
              <w:rPr>
                <w:rStyle w:val="Strong"/>
                <w:b w:val="0"/>
                <w:bCs w:val="0"/>
              </w:rPr>
            </w:pPr>
            <w:r w:rsidRPr="003C0E2F">
              <w:rPr>
                <w:rStyle w:val="Strong"/>
                <w:b w:val="0"/>
                <w:bCs w:val="0"/>
              </w:rPr>
              <w:t>1.26</w:t>
            </w:r>
          </w:p>
        </w:tc>
        <w:tc>
          <w:tcPr>
            <w:tcW w:w="1587" w:type="dxa"/>
            <w:tcBorders>
              <w:top w:val="nil"/>
              <w:left w:val="single" w:sz="12" w:space="0" w:color="auto"/>
              <w:bottom w:val="single" w:sz="4" w:space="0" w:color="auto"/>
              <w:right w:val="single" w:sz="8" w:space="0" w:color="auto"/>
            </w:tcBorders>
            <w:noWrap/>
            <w:vAlign w:val="bottom"/>
            <w:hideMark/>
          </w:tcPr>
          <w:p w14:paraId="74AD2AC3" w14:textId="77777777" w:rsidR="00D3097F" w:rsidRPr="003C0E2F" w:rsidRDefault="00D3097F" w:rsidP="00EE17F5">
            <w:pPr>
              <w:spacing w:after="0" w:line="276" w:lineRule="auto"/>
              <w:rPr>
                <w:rStyle w:val="Strong"/>
                <w:b w:val="0"/>
                <w:bCs w:val="0"/>
              </w:rPr>
            </w:pPr>
            <w:r w:rsidRPr="003C0E2F">
              <w:rPr>
                <w:rStyle w:val="Strong"/>
              </w:rPr>
              <w:t>36. TNFβ</w:t>
            </w:r>
          </w:p>
        </w:tc>
        <w:tc>
          <w:tcPr>
            <w:tcW w:w="844" w:type="dxa"/>
            <w:tcBorders>
              <w:top w:val="nil"/>
              <w:left w:val="nil"/>
              <w:bottom w:val="single" w:sz="4" w:space="0" w:color="auto"/>
              <w:right w:val="single" w:sz="4" w:space="0" w:color="auto"/>
            </w:tcBorders>
            <w:noWrap/>
            <w:vAlign w:val="bottom"/>
            <w:hideMark/>
          </w:tcPr>
          <w:p w14:paraId="324E7AD2" w14:textId="77777777" w:rsidR="00D3097F" w:rsidRPr="003C0E2F" w:rsidRDefault="00D3097F" w:rsidP="00EE17F5">
            <w:pPr>
              <w:spacing w:after="0" w:line="276" w:lineRule="auto"/>
              <w:rPr>
                <w:rStyle w:val="Strong"/>
                <w:b w:val="0"/>
                <w:bCs w:val="0"/>
              </w:rPr>
            </w:pPr>
            <w:r w:rsidRPr="003C0E2F">
              <w:rPr>
                <w:rStyle w:val="Strong"/>
                <w:b w:val="0"/>
                <w:bCs w:val="0"/>
              </w:rPr>
              <w:t>0.75</w:t>
            </w:r>
          </w:p>
        </w:tc>
        <w:tc>
          <w:tcPr>
            <w:tcW w:w="732" w:type="dxa"/>
            <w:tcBorders>
              <w:top w:val="nil"/>
              <w:left w:val="nil"/>
              <w:bottom w:val="single" w:sz="4" w:space="0" w:color="auto"/>
              <w:right w:val="single" w:sz="4" w:space="0" w:color="auto"/>
            </w:tcBorders>
            <w:noWrap/>
            <w:vAlign w:val="bottom"/>
            <w:hideMark/>
          </w:tcPr>
          <w:p w14:paraId="07CA870F" w14:textId="77777777" w:rsidR="00D3097F" w:rsidRPr="003C0E2F" w:rsidRDefault="00D3097F" w:rsidP="00EE17F5">
            <w:pPr>
              <w:spacing w:after="0" w:line="276" w:lineRule="auto"/>
              <w:rPr>
                <w:rStyle w:val="Strong"/>
                <w:b w:val="0"/>
                <w:bCs w:val="0"/>
              </w:rPr>
            </w:pPr>
            <w:r w:rsidRPr="003C0E2F">
              <w:rPr>
                <w:rStyle w:val="Strong"/>
                <w:b w:val="0"/>
                <w:bCs w:val="0"/>
              </w:rPr>
              <w:t>1.42</w:t>
            </w:r>
          </w:p>
        </w:tc>
        <w:tc>
          <w:tcPr>
            <w:tcW w:w="732" w:type="dxa"/>
            <w:tcBorders>
              <w:top w:val="nil"/>
              <w:left w:val="nil"/>
              <w:bottom w:val="single" w:sz="4" w:space="0" w:color="auto"/>
              <w:right w:val="single" w:sz="12" w:space="0" w:color="auto"/>
            </w:tcBorders>
            <w:noWrap/>
            <w:vAlign w:val="bottom"/>
            <w:hideMark/>
          </w:tcPr>
          <w:p w14:paraId="7FAC09D6" w14:textId="77777777" w:rsidR="00D3097F" w:rsidRPr="003C0E2F" w:rsidRDefault="00D3097F" w:rsidP="00EE17F5">
            <w:pPr>
              <w:spacing w:after="0" w:line="276" w:lineRule="auto"/>
              <w:rPr>
                <w:rStyle w:val="Strong"/>
                <w:b w:val="0"/>
                <w:bCs w:val="0"/>
              </w:rPr>
            </w:pPr>
            <w:r w:rsidRPr="003C0E2F">
              <w:rPr>
                <w:rStyle w:val="Strong"/>
                <w:b w:val="0"/>
                <w:bCs w:val="0"/>
              </w:rPr>
              <w:t>1.80</w:t>
            </w:r>
          </w:p>
        </w:tc>
      </w:tr>
      <w:tr w:rsidR="003C0E2F" w:rsidRPr="003C0E2F" w14:paraId="1D2F95F8"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20E5A9A6" w14:textId="77777777" w:rsidR="00D3097F" w:rsidRPr="003C0E2F" w:rsidRDefault="00D3097F" w:rsidP="00EE17F5">
            <w:pPr>
              <w:spacing w:after="0" w:line="276" w:lineRule="auto"/>
              <w:rPr>
                <w:rStyle w:val="Strong"/>
                <w:b w:val="0"/>
                <w:bCs w:val="0"/>
              </w:rPr>
            </w:pPr>
            <w:r w:rsidRPr="003C0E2F">
              <w:rPr>
                <w:rStyle w:val="Strong"/>
              </w:rPr>
              <w:t>17. IL-10</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25AA0957" w14:textId="77777777" w:rsidR="00D3097F" w:rsidRPr="003C0E2F" w:rsidRDefault="00D3097F" w:rsidP="00EE17F5">
            <w:pPr>
              <w:spacing w:after="0" w:line="276" w:lineRule="auto"/>
              <w:rPr>
                <w:rStyle w:val="Strong"/>
                <w:b w:val="0"/>
                <w:bCs w:val="0"/>
              </w:rPr>
            </w:pPr>
            <w:r w:rsidRPr="003C0E2F">
              <w:rPr>
                <w:rStyle w:val="Strong"/>
                <w:b w:val="0"/>
                <w:bCs w:val="0"/>
              </w:rPr>
              <w:t>7.00</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073525C0" w14:textId="77777777" w:rsidR="00D3097F" w:rsidRPr="003C0E2F" w:rsidRDefault="00D3097F" w:rsidP="00EE17F5">
            <w:pPr>
              <w:spacing w:after="0" w:line="276" w:lineRule="auto"/>
              <w:rPr>
                <w:rStyle w:val="Strong"/>
                <w:b w:val="0"/>
                <w:bCs w:val="0"/>
              </w:rPr>
            </w:pPr>
            <w:r w:rsidRPr="003C0E2F">
              <w:rPr>
                <w:rStyle w:val="Strong"/>
                <w:b w:val="0"/>
                <w:bCs w:val="0"/>
              </w:rPr>
              <w:t>1.42</w:t>
            </w:r>
          </w:p>
        </w:tc>
        <w:tc>
          <w:tcPr>
            <w:tcW w:w="732"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1CF5F3BE" w14:textId="77777777" w:rsidR="00D3097F" w:rsidRPr="003C0E2F" w:rsidRDefault="00D3097F" w:rsidP="00EE17F5">
            <w:pPr>
              <w:spacing w:after="0" w:line="276" w:lineRule="auto"/>
              <w:rPr>
                <w:rStyle w:val="Strong"/>
                <w:b w:val="0"/>
                <w:bCs w:val="0"/>
              </w:rPr>
            </w:pPr>
            <w:r w:rsidRPr="003C0E2F">
              <w:rPr>
                <w:rStyle w:val="Strong"/>
                <w:b w:val="0"/>
                <w:bCs w:val="0"/>
              </w:rPr>
              <w:t>3.34</w:t>
            </w:r>
          </w:p>
        </w:tc>
        <w:tc>
          <w:tcPr>
            <w:tcW w:w="1587" w:type="dxa"/>
            <w:tcBorders>
              <w:top w:val="nil"/>
              <w:left w:val="single" w:sz="12" w:space="0" w:color="auto"/>
              <w:bottom w:val="single" w:sz="4" w:space="0" w:color="auto"/>
              <w:right w:val="single" w:sz="8" w:space="0" w:color="auto"/>
            </w:tcBorders>
            <w:noWrap/>
            <w:vAlign w:val="bottom"/>
            <w:hideMark/>
          </w:tcPr>
          <w:p w14:paraId="22949452" w14:textId="77777777" w:rsidR="00D3097F" w:rsidRPr="003C0E2F" w:rsidRDefault="00D3097F" w:rsidP="00EE17F5">
            <w:pPr>
              <w:spacing w:after="0" w:line="276" w:lineRule="auto"/>
              <w:rPr>
                <w:rStyle w:val="Strong"/>
                <w:b w:val="0"/>
                <w:bCs w:val="0"/>
              </w:rPr>
            </w:pPr>
            <w:r w:rsidRPr="003C0E2F">
              <w:rPr>
                <w:rStyle w:val="Strong"/>
              </w:rPr>
              <w:t>37. TNF RI</w:t>
            </w:r>
          </w:p>
        </w:tc>
        <w:tc>
          <w:tcPr>
            <w:tcW w:w="844" w:type="dxa"/>
            <w:tcBorders>
              <w:top w:val="nil"/>
              <w:left w:val="nil"/>
              <w:bottom w:val="single" w:sz="4" w:space="0" w:color="auto"/>
              <w:right w:val="single" w:sz="4" w:space="0" w:color="auto"/>
            </w:tcBorders>
            <w:noWrap/>
            <w:vAlign w:val="bottom"/>
            <w:hideMark/>
          </w:tcPr>
          <w:p w14:paraId="390ACE87" w14:textId="77777777" w:rsidR="00D3097F" w:rsidRPr="003C0E2F" w:rsidRDefault="00D3097F" w:rsidP="00EE17F5">
            <w:pPr>
              <w:spacing w:after="0" w:line="276" w:lineRule="auto"/>
              <w:rPr>
                <w:rStyle w:val="Strong"/>
                <w:b w:val="0"/>
                <w:bCs w:val="0"/>
              </w:rPr>
            </w:pPr>
            <w:r w:rsidRPr="003C0E2F">
              <w:rPr>
                <w:rStyle w:val="Strong"/>
                <w:b w:val="0"/>
                <w:bCs w:val="0"/>
              </w:rPr>
              <w:t>1.31</w:t>
            </w:r>
          </w:p>
        </w:tc>
        <w:tc>
          <w:tcPr>
            <w:tcW w:w="732" w:type="dxa"/>
            <w:tcBorders>
              <w:top w:val="nil"/>
              <w:left w:val="nil"/>
              <w:bottom w:val="single" w:sz="4" w:space="0" w:color="auto"/>
              <w:right w:val="single" w:sz="4" w:space="0" w:color="auto"/>
            </w:tcBorders>
            <w:noWrap/>
            <w:vAlign w:val="bottom"/>
            <w:hideMark/>
          </w:tcPr>
          <w:p w14:paraId="6EA1E87B" w14:textId="77777777" w:rsidR="00D3097F" w:rsidRPr="003C0E2F" w:rsidRDefault="00D3097F" w:rsidP="00EE17F5">
            <w:pPr>
              <w:spacing w:after="0" w:line="276" w:lineRule="auto"/>
              <w:rPr>
                <w:rStyle w:val="Strong"/>
                <w:b w:val="0"/>
                <w:bCs w:val="0"/>
              </w:rPr>
            </w:pPr>
            <w:r w:rsidRPr="003C0E2F">
              <w:rPr>
                <w:rStyle w:val="Strong"/>
                <w:b w:val="0"/>
                <w:bCs w:val="0"/>
              </w:rPr>
              <w:t>1.27</w:t>
            </w:r>
          </w:p>
        </w:tc>
        <w:tc>
          <w:tcPr>
            <w:tcW w:w="732" w:type="dxa"/>
            <w:tcBorders>
              <w:top w:val="nil"/>
              <w:left w:val="nil"/>
              <w:bottom w:val="single" w:sz="4" w:space="0" w:color="auto"/>
              <w:right w:val="single" w:sz="12" w:space="0" w:color="auto"/>
            </w:tcBorders>
            <w:noWrap/>
            <w:vAlign w:val="bottom"/>
            <w:hideMark/>
          </w:tcPr>
          <w:p w14:paraId="5460B5E9" w14:textId="77777777" w:rsidR="00D3097F" w:rsidRPr="003C0E2F" w:rsidRDefault="00D3097F" w:rsidP="00EE17F5">
            <w:pPr>
              <w:spacing w:after="0" w:line="276" w:lineRule="auto"/>
              <w:rPr>
                <w:rStyle w:val="Strong"/>
                <w:b w:val="0"/>
                <w:bCs w:val="0"/>
              </w:rPr>
            </w:pPr>
            <w:r w:rsidRPr="003C0E2F">
              <w:rPr>
                <w:rStyle w:val="Strong"/>
                <w:b w:val="0"/>
                <w:bCs w:val="0"/>
              </w:rPr>
              <w:t>1.19</w:t>
            </w:r>
          </w:p>
        </w:tc>
      </w:tr>
      <w:tr w:rsidR="003C0E2F" w:rsidRPr="003C0E2F" w14:paraId="6BCBDAD0"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45991B44" w14:textId="77777777" w:rsidR="00D3097F" w:rsidRPr="003C0E2F" w:rsidRDefault="00D3097F" w:rsidP="00EE17F5">
            <w:pPr>
              <w:spacing w:after="0" w:line="276" w:lineRule="auto"/>
              <w:rPr>
                <w:rStyle w:val="Strong"/>
                <w:b w:val="0"/>
                <w:bCs w:val="0"/>
              </w:rPr>
            </w:pPr>
            <w:r w:rsidRPr="003C0E2F">
              <w:rPr>
                <w:rStyle w:val="Strong"/>
              </w:rPr>
              <w:t>18. IL-11</w:t>
            </w:r>
          </w:p>
        </w:tc>
        <w:tc>
          <w:tcPr>
            <w:tcW w:w="844" w:type="dxa"/>
            <w:tcBorders>
              <w:top w:val="single" w:sz="4" w:space="0" w:color="auto"/>
              <w:left w:val="single" w:sz="8" w:space="0" w:color="auto"/>
              <w:bottom w:val="single" w:sz="4" w:space="0" w:color="auto"/>
              <w:right w:val="single" w:sz="4" w:space="0" w:color="auto"/>
            </w:tcBorders>
            <w:shd w:val="clear" w:color="auto" w:fill="C6EFCE"/>
            <w:noWrap/>
            <w:vAlign w:val="bottom"/>
            <w:hideMark/>
          </w:tcPr>
          <w:p w14:paraId="1DB7E72E" w14:textId="77777777" w:rsidR="00D3097F" w:rsidRPr="003C0E2F" w:rsidRDefault="00D3097F" w:rsidP="00EE17F5">
            <w:pPr>
              <w:spacing w:after="0" w:line="276" w:lineRule="auto"/>
              <w:rPr>
                <w:rStyle w:val="Strong"/>
                <w:b w:val="0"/>
                <w:bCs w:val="0"/>
              </w:rPr>
            </w:pPr>
            <w:r w:rsidRPr="003C0E2F">
              <w:rPr>
                <w:rStyle w:val="Strong"/>
                <w:b w:val="0"/>
                <w:bCs w:val="0"/>
              </w:rPr>
              <w:t>2.35</w:t>
            </w:r>
          </w:p>
        </w:tc>
        <w:tc>
          <w:tcPr>
            <w:tcW w:w="732"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332CA3A2" w14:textId="77777777" w:rsidR="00D3097F" w:rsidRPr="003C0E2F" w:rsidRDefault="00D3097F" w:rsidP="00EE17F5">
            <w:pPr>
              <w:spacing w:after="0" w:line="276" w:lineRule="auto"/>
              <w:rPr>
                <w:rStyle w:val="Strong"/>
                <w:b w:val="0"/>
                <w:bCs w:val="0"/>
              </w:rPr>
            </w:pPr>
            <w:r w:rsidRPr="003C0E2F">
              <w:rPr>
                <w:rStyle w:val="Strong"/>
                <w:b w:val="0"/>
                <w:bCs w:val="0"/>
              </w:rPr>
              <w:t>0.48</w:t>
            </w:r>
          </w:p>
        </w:tc>
        <w:tc>
          <w:tcPr>
            <w:tcW w:w="732"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528E421C" w14:textId="77777777" w:rsidR="00D3097F" w:rsidRPr="003C0E2F" w:rsidRDefault="00D3097F" w:rsidP="00EE17F5">
            <w:pPr>
              <w:spacing w:after="0" w:line="276" w:lineRule="auto"/>
              <w:rPr>
                <w:rStyle w:val="Strong"/>
                <w:b w:val="0"/>
                <w:bCs w:val="0"/>
              </w:rPr>
            </w:pPr>
            <w:r w:rsidRPr="003C0E2F">
              <w:rPr>
                <w:rStyle w:val="Strong"/>
                <w:b w:val="0"/>
                <w:bCs w:val="0"/>
              </w:rPr>
              <w:t>0.43</w:t>
            </w:r>
          </w:p>
        </w:tc>
        <w:tc>
          <w:tcPr>
            <w:tcW w:w="1587" w:type="dxa"/>
            <w:tcBorders>
              <w:top w:val="nil"/>
              <w:left w:val="single" w:sz="12" w:space="0" w:color="auto"/>
              <w:bottom w:val="single" w:sz="4" w:space="0" w:color="auto"/>
              <w:right w:val="single" w:sz="8" w:space="0" w:color="auto"/>
            </w:tcBorders>
            <w:noWrap/>
            <w:vAlign w:val="bottom"/>
            <w:hideMark/>
          </w:tcPr>
          <w:p w14:paraId="368B1838" w14:textId="77777777" w:rsidR="00D3097F" w:rsidRPr="003C0E2F" w:rsidRDefault="00D3097F" w:rsidP="00EE17F5">
            <w:pPr>
              <w:spacing w:after="0" w:line="276" w:lineRule="auto"/>
              <w:rPr>
                <w:rStyle w:val="Strong"/>
                <w:b w:val="0"/>
                <w:bCs w:val="0"/>
              </w:rPr>
            </w:pPr>
            <w:r w:rsidRPr="003C0E2F">
              <w:rPr>
                <w:rStyle w:val="Strong"/>
              </w:rPr>
              <w:t>38. TNFII</w:t>
            </w:r>
          </w:p>
        </w:tc>
        <w:tc>
          <w:tcPr>
            <w:tcW w:w="844" w:type="dxa"/>
            <w:tcBorders>
              <w:top w:val="nil"/>
              <w:left w:val="nil"/>
              <w:bottom w:val="single" w:sz="4" w:space="0" w:color="auto"/>
              <w:right w:val="single" w:sz="4" w:space="0" w:color="auto"/>
            </w:tcBorders>
            <w:noWrap/>
            <w:vAlign w:val="bottom"/>
            <w:hideMark/>
          </w:tcPr>
          <w:p w14:paraId="112CF357" w14:textId="77777777" w:rsidR="00D3097F" w:rsidRPr="003C0E2F" w:rsidRDefault="00D3097F" w:rsidP="00EE17F5">
            <w:pPr>
              <w:spacing w:after="0" w:line="276" w:lineRule="auto"/>
              <w:rPr>
                <w:rStyle w:val="Strong"/>
                <w:b w:val="0"/>
                <w:bCs w:val="0"/>
              </w:rPr>
            </w:pPr>
            <w:r w:rsidRPr="003C0E2F">
              <w:rPr>
                <w:rStyle w:val="Strong"/>
                <w:b w:val="0"/>
                <w:bCs w:val="0"/>
              </w:rPr>
              <w:t>1.39</w:t>
            </w:r>
          </w:p>
        </w:tc>
        <w:tc>
          <w:tcPr>
            <w:tcW w:w="732" w:type="dxa"/>
            <w:tcBorders>
              <w:top w:val="nil"/>
              <w:left w:val="nil"/>
              <w:bottom w:val="single" w:sz="4" w:space="0" w:color="auto"/>
              <w:right w:val="single" w:sz="4" w:space="0" w:color="auto"/>
            </w:tcBorders>
            <w:noWrap/>
            <w:vAlign w:val="bottom"/>
            <w:hideMark/>
          </w:tcPr>
          <w:p w14:paraId="047FFFAA" w14:textId="77777777" w:rsidR="00D3097F" w:rsidRPr="003C0E2F" w:rsidRDefault="00D3097F" w:rsidP="00EE17F5">
            <w:pPr>
              <w:spacing w:after="0" w:line="276" w:lineRule="auto"/>
              <w:rPr>
                <w:rStyle w:val="Strong"/>
                <w:b w:val="0"/>
                <w:bCs w:val="0"/>
              </w:rPr>
            </w:pPr>
            <w:r w:rsidRPr="003C0E2F">
              <w:rPr>
                <w:rStyle w:val="Strong"/>
                <w:b w:val="0"/>
                <w:bCs w:val="0"/>
              </w:rPr>
              <w:t>1.10</w:t>
            </w:r>
          </w:p>
        </w:tc>
        <w:tc>
          <w:tcPr>
            <w:tcW w:w="732" w:type="dxa"/>
            <w:tcBorders>
              <w:top w:val="nil"/>
              <w:left w:val="nil"/>
              <w:bottom w:val="single" w:sz="4" w:space="0" w:color="auto"/>
              <w:right w:val="single" w:sz="12" w:space="0" w:color="auto"/>
            </w:tcBorders>
            <w:noWrap/>
            <w:vAlign w:val="bottom"/>
            <w:hideMark/>
          </w:tcPr>
          <w:p w14:paraId="3D7FD2EE" w14:textId="77777777" w:rsidR="00D3097F" w:rsidRPr="003C0E2F" w:rsidRDefault="00D3097F" w:rsidP="00EE17F5">
            <w:pPr>
              <w:spacing w:after="0" w:line="276" w:lineRule="auto"/>
              <w:rPr>
                <w:rStyle w:val="Strong"/>
                <w:b w:val="0"/>
                <w:bCs w:val="0"/>
              </w:rPr>
            </w:pPr>
            <w:r w:rsidRPr="003C0E2F">
              <w:rPr>
                <w:rStyle w:val="Strong"/>
                <w:b w:val="0"/>
                <w:bCs w:val="0"/>
              </w:rPr>
              <w:t>1.15</w:t>
            </w:r>
          </w:p>
        </w:tc>
      </w:tr>
      <w:tr w:rsidR="003C0E2F" w:rsidRPr="003C0E2F" w14:paraId="4541AFF6" w14:textId="77777777" w:rsidTr="009D57AC">
        <w:trPr>
          <w:trHeight w:val="206"/>
          <w:jc w:val="center"/>
        </w:trPr>
        <w:tc>
          <w:tcPr>
            <w:tcW w:w="1587" w:type="dxa"/>
            <w:tcBorders>
              <w:top w:val="nil"/>
              <w:left w:val="single" w:sz="12" w:space="0" w:color="auto"/>
              <w:bottom w:val="single" w:sz="4" w:space="0" w:color="auto"/>
              <w:right w:val="nil"/>
            </w:tcBorders>
            <w:noWrap/>
            <w:vAlign w:val="bottom"/>
            <w:hideMark/>
          </w:tcPr>
          <w:p w14:paraId="06963C0D" w14:textId="77777777" w:rsidR="00D3097F" w:rsidRPr="003C0E2F" w:rsidRDefault="00D3097F" w:rsidP="00EE17F5">
            <w:pPr>
              <w:spacing w:after="0" w:line="276" w:lineRule="auto"/>
              <w:rPr>
                <w:rStyle w:val="Strong"/>
                <w:b w:val="0"/>
                <w:bCs w:val="0"/>
              </w:rPr>
            </w:pPr>
            <w:r w:rsidRPr="003C0E2F">
              <w:rPr>
                <w:rStyle w:val="Strong"/>
              </w:rPr>
              <w:t>19. IL-12p40</w:t>
            </w:r>
          </w:p>
        </w:tc>
        <w:tc>
          <w:tcPr>
            <w:tcW w:w="844" w:type="dxa"/>
            <w:tcBorders>
              <w:top w:val="nil"/>
              <w:left w:val="single" w:sz="8" w:space="0" w:color="auto"/>
              <w:bottom w:val="single" w:sz="4" w:space="0" w:color="auto"/>
              <w:right w:val="single" w:sz="4" w:space="0" w:color="auto"/>
            </w:tcBorders>
            <w:noWrap/>
            <w:vAlign w:val="bottom"/>
            <w:hideMark/>
          </w:tcPr>
          <w:p w14:paraId="4C8A7425" w14:textId="77777777" w:rsidR="00D3097F" w:rsidRPr="003C0E2F" w:rsidRDefault="00D3097F" w:rsidP="00EE17F5">
            <w:pPr>
              <w:spacing w:after="0" w:line="276" w:lineRule="auto"/>
              <w:rPr>
                <w:rStyle w:val="Strong"/>
                <w:b w:val="0"/>
                <w:bCs w:val="0"/>
              </w:rPr>
            </w:pPr>
            <w:r w:rsidRPr="003C0E2F">
              <w:rPr>
                <w:rStyle w:val="Strong"/>
                <w:b w:val="0"/>
                <w:bCs w:val="0"/>
              </w:rPr>
              <w:t>1.73</w:t>
            </w:r>
          </w:p>
        </w:tc>
        <w:tc>
          <w:tcPr>
            <w:tcW w:w="732" w:type="dxa"/>
            <w:tcBorders>
              <w:top w:val="nil"/>
              <w:left w:val="nil"/>
              <w:bottom w:val="single" w:sz="4" w:space="0" w:color="auto"/>
              <w:right w:val="single" w:sz="4" w:space="0" w:color="auto"/>
            </w:tcBorders>
            <w:noWrap/>
            <w:vAlign w:val="bottom"/>
            <w:hideMark/>
          </w:tcPr>
          <w:p w14:paraId="76969CD5" w14:textId="77777777" w:rsidR="00D3097F" w:rsidRPr="003C0E2F" w:rsidRDefault="00D3097F" w:rsidP="00EE17F5">
            <w:pPr>
              <w:spacing w:after="0" w:line="276" w:lineRule="auto"/>
              <w:rPr>
                <w:rStyle w:val="Strong"/>
                <w:b w:val="0"/>
                <w:bCs w:val="0"/>
              </w:rPr>
            </w:pPr>
            <w:r w:rsidRPr="003C0E2F">
              <w:rPr>
                <w:rStyle w:val="Strong"/>
                <w:b w:val="0"/>
                <w:bCs w:val="0"/>
              </w:rPr>
              <w:t>1.26</w:t>
            </w:r>
          </w:p>
        </w:tc>
        <w:tc>
          <w:tcPr>
            <w:tcW w:w="732" w:type="dxa"/>
            <w:tcBorders>
              <w:top w:val="nil"/>
              <w:left w:val="nil"/>
              <w:bottom w:val="single" w:sz="4" w:space="0" w:color="auto"/>
              <w:right w:val="single" w:sz="12" w:space="0" w:color="auto"/>
            </w:tcBorders>
            <w:noWrap/>
            <w:vAlign w:val="bottom"/>
            <w:hideMark/>
          </w:tcPr>
          <w:p w14:paraId="0B0B9F14" w14:textId="77777777" w:rsidR="00D3097F" w:rsidRPr="003C0E2F" w:rsidRDefault="00D3097F" w:rsidP="00EE17F5">
            <w:pPr>
              <w:spacing w:after="0" w:line="276" w:lineRule="auto"/>
              <w:rPr>
                <w:rStyle w:val="Strong"/>
                <w:b w:val="0"/>
                <w:bCs w:val="0"/>
              </w:rPr>
            </w:pPr>
            <w:r w:rsidRPr="003C0E2F">
              <w:rPr>
                <w:rStyle w:val="Strong"/>
                <w:b w:val="0"/>
                <w:bCs w:val="0"/>
              </w:rPr>
              <w:t>1.15</w:t>
            </w:r>
          </w:p>
        </w:tc>
        <w:tc>
          <w:tcPr>
            <w:tcW w:w="1587" w:type="dxa"/>
            <w:tcBorders>
              <w:top w:val="nil"/>
              <w:left w:val="single" w:sz="12" w:space="0" w:color="auto"/>
              <w:bottom w:val="single" w:sz="4" w:space="0" w:color="auto"/>
              <w:right w:val="single" w:sz="8" w:space="0" w:color="auto"/>
            </w:tcBorders>
            <w:noWrap/>
            <w:vAlign w:val="bottom"/>
            <w:hideMark/>
          </w:tcPr>
          <w:p w14:paraId="57E273F1" w14:textId="77777777" w:rsidR="00D3097F" w:rsidRPr="003C0E2F" w:rsidRDefault="00D3097F" w:rsidP="00EE17F5">
            <w:pPr>
              <w:spacing w:after="0" w:line="276" w:lineRule="auto"/>
              <w:rPr>
                <w:rStyle w:val="Strong"/>
                <w:b w:val="0"/>
                <w:bCs w:val="0"/>
              </w:rPr>
            </w:pPr>
            <w:r w:rsidRPr="003C0E2F">
              <w:rPr>
                <w:rStyle w:val="Strong"/>
              </w:rPr>
              <w:t>39. PGDFBB</w:t>
            </w:r>
          </w:p>
        </w:tc>
        <w:tc>
          <w:tcPr>
            <w:tcW w:w="844" w:type="dxa"/>
            <w:tcBorders>
              <w:top w:val="nil"/>
              <w:left w:val="nil"/>
              <w:bottom w:val="single" w:sz="4" w:space="0" w:color="auto"/>
              <w:right w:val="single" w:sz="4" w:space="0" w:color="auto"/>
            </w:tcBorders>
            <w:noWrap/>
            <w:vAlign w:val="bottom"/>
            <w:hideMark/>
          </w:tcPr>
          <w:p w14:paraId="2586CECD" w14:textId="77777777" w:rsidR="00D3097F" w:rsidRPr="003C0E2F" w:rsidRDefault="00D3097F" w:rsidP="00EE17F5">
            <w:pPr>
              <w:spacing w:after="0" w:line="276" w:lineRule="auto"/>
              <w:rPr>
                <w:rStyle w:val="Strong"/>
                <w:b w:val="0"/>
                <w:bCs w:val="0"/>
              </w:rPr>
            </w:pPr>
            <w:r w:rsidRPr="003C0E2F">
              <w:rPr>
                <w:rStyle w:val="Strong"/>
                <w:b w:val="0"/>
                <w:bCs w:val="0"/>
              </w:rPr>
              <w:t>0.25</w:t>
            </w:r>
          </w:p>
        </w:tc>
        <w:tc>
          <w:tcPr>
            <w:tcW w:w="732" w:type="dxa"/>
            <w:tcBorders>
              <w:top w:val="nil"/>
              <w:left w:val="nil"/>
              <w:bottom w:val="single" w:sz="4" w:space="0" w:color="auto"/>
              <w:right w:val="single" w:sz="4" w:space="0" w:color="auto"/>
            </w:tcBorders>
            <w:noWrap/>
            <w:vAlign w:val="bottom"/>
            <w:hideMark/>
          </w:tcPr>
          <w:p w14:paraId="3FB857AE" w14:textId="77777777" w:rsidR="00D3097F" w:rsidRPr="003C0E2F" w:rsidRDefault="00D3097F" w:rsidP="00EE17F5">
            <w:pPr>
              <w:spacing w:after="0" w:line="276" w:lineRule="auto"/>
              <w:rPr>
                <w:rStyle w:val="Strong"/>
                <w:b w:val="0"/>
                <w:bCs w:val="0"/>
              </w:rPr>
            </w:pPr>
            <w:r w:rsidRPr="003C0E2F">
              <w:rPr>
                <w:rStyle w:val="Strong"/>
                <w:b w:val="0"/>
                <w:bCs w:val="0"/>
              </w:rPr>
              <w:t>2.31</w:t>
            </w:r>
          </w:p>
        </w:tc>
        <w:tc>
          <w:tcPr>
            <w:tcW w:w="732" w:type="dxa"/>
            <w:tcBorders>
              <w:top w:val="nil"/>
              <w:left w:val="nil"/>
              <w:bottom w:val="single" w:sz="4" w:space="0" w:color="auto"/>
              <w:right w:val="single" w:sz="12" w:space="0" w:color="auto"/>
            </w:tcBorders>
            <w:noWrap/>
            <w:vAlign w:val="bottom"/>
            <w:hideMark/>
          </w:tcPr>
          <w:p w14:paraId="1E087372" w14:textId="77777777" w:rsidR="00D3097F" w:rsidRPr="003C0E2F" w:rsidRDefault="00D3097F" w:rsidP="00EE17F5">
            <w:pPr>
              <w:spacing w:after="0" w:line="276" w:lineRule="auto"/>
              <w:rPr>
                <w:rStyle w:val="Strong"/>
                <w:b w:val="0"/>
                <w:bCs w:val="0"/>
              </w:rPr>
            </w:pPr>
            <w:r w:rsidRPr="003C0E2F">
              <w:rPr>
                <w:rStyle w:val="Strong"/>
                <w:b w:val="0"/>
                <w:bCs w:val="0"/>
              </w:rPr>
              <w:t>0.93</w:t>
            </w:r>
          </w:p>
        </w:tc>
      </w:tr>
      <w:tr w:rsidR="003C0E2F" w:rsidRPr="003C0E2F" w14:paraId="447532A0" w14:textId="77777777" w:rsidTr="009D57AC">
        <w:trPr>
          <w:trHeight w:val="70"/>
          <w:jc w:val="center"/>
        </w:trPr>
        <w:tc>
          <w:tcPr>
            <w:tcW w:w="1587" w:type="dxa"/>
            <w:tcBorders>
              <w:top w:val="nil"/>
              <w:left w:val="single" w:sz="12" w:space="0" w:color="auto"/>
              <w:bottom w:val="single" w:sz="12" w:space="0" w:color="auto"/>
              <w:right w:val="nil"/>
            </w:tcBorders>
            <w:noWrap/>
            <w:vAlign w:val="bottom"/>
            <w:hideMark/>
          </w:tcPr>
          <w:p w14:paraId="04083827" w14:textId="77777777" w:rsidR="00D3097F" w:rsidRPr="003C0E2F" w:rsidRDefault="00D3097F" w:rsidP="00EE17F5">
            <w:pPr>
              <w:spacing w:after="0" w:line="276" w:lineRule="auto"/>
              <w:rPr>
                <w:rStyle w:val="Strong"/>
                <w:b w:val="0"/>
                <w:bCs w:val="0"/>
              </w:rPr>
            </w:pPr>
            <w:r w:rsidRPr="003C0E2F">
              <w:rPr>
                <w:rStyle w:val="Strong"/>
              </w:rPr>
              <w:t>20. IL-12p70</w:t>
            </w:r>
          </w:p>
        </w:tc>
        <w:tc>
          <w:tcPr>
            <w:tcW w:w="844" w:type="dxa"/>
            <w:tcBorders>
              <w:top w:val="nil"/>
              <w:left w:val="single" w:sz="8" w:space="0" w:color="auto"/>
              <w:bottom w:val="single" w:sz="12" w:space="0" w:color="auto"/>
              <w:right w:val="single" w:sz="4" w:space="0" w:color="auto"/>
            </w:tcBorders>
            <w:noWrap/>
            <w:vAlign w:val="bottom"/>
            <w:hideMark/>
          </w:tcPr>
          <w:p w14:paraId="4A5EE418" w14:textId="77777777" w:rsidR="00D3097F" w:rsidRPr="003C0E2F" w:rsidRDefault="00D3097F" w:rsidP="00EE17F5">
            <w:pPr>
              <w:spacing w:after="0" w:line="276" w:lineRule="auto"/>
              <w:rPr>
                <w:rStyle w:val="Strong"/>
                <w:b w:val="0"/>
                <w:bCs w:val="0"/>
              </w:rPr>
            </w:pPr>
            <w:r w:rsidRPr="003C0E2F">
              <w:rPr>
                <w:rStyle w:val="Strong"/>
                <w:b w:val="0"/>
                <w:bCs w:val="0"/>
              </w:rPr>
              <w:t>1.43</w:t>
            </w:r>
          </w:p>
        </w:tc>
        <w:tc>
          <w:tcPr>
            <w:tcW w:w="732" w:type="dxa"/>
            <w:tcBorders>
              <w:top w:val="single" w:sz="4" w:space="0" w:color="auto"/>
              <w:left w:val="single" w:sz="4" w:space="0" w:color="auto"/>
              <w:bottom w:val="single" w:sz="12" w:space="0" w:color="auto"/>
              <w:right w:val="single" w:sz="4" w:space="0" w:color="auto"/>
            </w:tcBorders>
            <w:noWrap/>
            <w:vAlign w:val="bottom"/>
            <w:hideMark/>
          </w:tcPr>
          <w:p w14:paraId="356141D7" w14:textId="77777777" w:rsidR="00D3097F" w:rsidRPr="003C0E2F" w:rsidRDefault="00D3097F" w:rsidP="00EE17F5">
            <w:pPr>
              <w:spacing w:after="0" w:line="276" w:lineRule="auto"/>
              <w:rPr>
                <w:rStyle w:val="Strong"/>
                <w:b w:val="0"/>
                <w:bCs w:val="0"/>
              </w:rPr>
            </w:pPr>
            <w:r w:rsidRPr="003C0E2F">
              <w:rPr>
                <w:rStyle w:val="Strong"/>
                <w:b w:val="0"/>
                <w:bCs w:val="0"/>
              </w:rPr>
              <w:t>0.13</w:t>
            </w:r>
          </w:p>
        </w:tc>
        <w:tc>
          <w:tcPr>
            <w:tcW w:w="732" w:type="dxa"/>
            <w:tcBorders>
              <w:top w:val="nil"/>
              <w:left w:val="nil"/>
              <w:bottom w:val="single" w:sz="12" w:space="0" w:color="auto"/>
              <w:right w:val="single" w:sz="12" w:space="0" w:color="auto"/>
            </w:tcBorders>
            <w:noWrap/>
            <w:vAlign w:val="bottom"/>
            <w:hideMark/>
          </w:tcPr>
          <w:p w14:paraId="6F2795C4" w14:textId="77777777" w:rsidR="00D3097F" w:rsidRPr="003C0E2F" w:rsidRDefault="00D3097F" w:rsidP="00EE17F5">
            <w:pPr>
              <w:spacing w:after="0" w:line="276" w:lineRule="auto"/>
              <w:rPr>
                <w:rStyle w:val="Strong"/>
                <w:b w:val="0"/>
                <w:bCs w:val="0"/>
              </w:rPr>
            </w:pPr>
            <w:r w:rsidRPr="003C0E2F">
              <w:rPr>
                <w:rStyle w:val="Strong"/>
                <w:b w:val="0"/>
                <w:bCs w:val="0"/>
              </w:rPr>
              <w:t>1.01</w:t>
            </w:r>
          </w:p>
        </w:tc>
        <w:tc>
          <w:tcPr>
            <w:tcW w:w="1587" w:type="dxa"/>
            <w:tcBorders>
              <w:top w:val="nil"/>
              <w:left w:val="single" w:sz="12" w:space="0" w:color="auto"/>
              <w:bottom w:val="single" w:sz="12" w:space="0" w:color="auto"/>
              <w:right w:val="single" w:sz="8" w:space="0" w:color="auto"/>
            </w:tcBorders>
            <w:noWrap/>
            <w:vAlign w:val="bottom"/>
            <w:hideMark/>
          </w:tcPr>
          <w:p w14:paraId="5CA9770A" w14:textId="77777777" w:rsidR="00D3097F" w:rsidRPr="003C0E2F" w:rsidRDefault="00D3097F" w:rsidP="00EE17F5">
            <w:pPr>
              <w:spacing w:after="0" w:line="276" w:lineRule="auto"/>
              <w:rPr>
                <w:rStyle w:val="Strong"/>
                <w:b w:val="0"/>
                <w:bCs w:val="0"/>
              </w:rPr>
            </w:pPr>
            <w:r w:rsidRPr="003C0E2F">
              <w:rPr>
                <w:rStyle w:val="Strong"/>
              </w:rPr>
              <w:t>40. TIMP-2</w:t>
            </w:r>
          </w:p>
        </w:tc>
        <w:tc>
          <w:tcPr>
            <w:tcW w:w="844" w:type="dxa"/>
            <w:tcBorders>
              <w:top w:val="nil"/>
              <w:left w:val="nil"/>
              <w:bottom w:val="single" w:sz="12" w:space="0" w:color="auto"/>
              <w:right w:val="single" w:sz="4" w:space="0" w:color="auto"/>
            </w:tcBorders>
            <w:noWrap/>
            <w:vAlign w:val="bottom"/>
            <w:hideMark/>
          </w:tcPr>
          <w:p w14:paraId="6C4897C4" w14:textId="77777777" w:rsidR="00D3097F" w:rsidRPr="003C0E2F" w:rsidRDefault="00D3097F" w:rsidP="00EE17F5">
            <w:pPr>
              <w:spacing w:after="0" w:line="276" w:lineRule="auto"/>
              <w:rPr>
                <w:rStyle w:val="Strong"/>
                <w:b w:val="0"/>
                <w:bCs w:val="0"/>
              </w:rPr>
            </w:pPr>
            <w:r w:rsidRPr="003C0E2F">
              <w:rPr>
                <w:rStyle w:val="Strong"/>
                <w:b w:val="0"/>
                <w:bCs w:val="0"/>
              </w:rPr>
              <w:t>1.02</w:t>
            </w:r>
          </w:p>
        </w:tc>
        <w:tc>
          <w:tcPr>
            <w:tcW w:w="732" w:type="dxa"/>
            <w:tcBorders>
              <w:top w:val="nil"/>
              <w:left w:val="nil"/>
              <w:bottom w:val="single" w:sz="12" w:space="0" w:color="auto"/>
              <w:right w:val="single" w:sz="4" w:space="0" w:color="auto"/>
            </w:tcBorders>
            <w:noWrap/>
            <w:vAlign w:val="bottom"/>
            <w:hideMark/>
          </w:tcPr>
          <w:p w14:paraId="37F331F0" w14:textId="77777777" w:rsidR="00D3097F" w:rsidRPr="003C0E2F" w:rsidRDefault="00D3097F" w:rsidP="00EE17F5">
            <w:pPr>
              <w:spacing w:after="0" w:line="276" w:lineRule="auto"/>
              <w:rPr>
                <w:rStyle w:val="Strong"/>
                <w:b w:val="0"/>
                <w:bCs w:val="0"/>
              </w:rPr>
            </w:pPr>
            <w:r w:rsidRPr="003C0E2F">
              <w:rPr>
                <w:rStyle w:val="Strong"/>
                <w:b w:val="0"/>
                <w:bCs w:val="0"/>
              </w:rPr>
              <w:t>1.09</w:t>
            </w:r>
          </w:p>
        </w:tc>
        <w:tc>
          <w:tcPr>
            <w:tcW w:w="732" w:type="dxa"/>
            <w:tcBorders>
              <w:top w:val="nil"/>
              <w:left w:val="nil"/>
              <w:bottom w:val="single" w:sz="12" w:space="0" w:color="auto"/>
              <w:right w:val="single" w:sz="12" w:space="0" w:color="auto"/>
            </w:tcBorders>
            <w:noWrap/>
            <w:vAlign w:val="bottom"/>
            <w:hideMark/>
          </w:tcPr>
          <w:p w14:paraId="07CFA838" w14:textId="77777777" w:rsidR="00D3097F" w:rsidRPr="003C0E2F" w:rsidRDefault="00D3097F" w:rsidP="00EE17F5">
            <w:pPr>
              <w:spacing w:after="0" w:line="276" w:lineRule="auto"/>
              <w:rPr>
                <w:rStyle w:val="Strong"/>
                <w:b w:val="0"/>
                <w:bCs w:val="0"/>
              </w:rPr>
            </w:pPr>
            <w:r w:rsidRPr="003C0E2F">
              <w:rPr>
                <w:rStyle w:val="Strong"/>
                <w:b w:val="0"/>
                <w:bCs w:val="0"/>
              </w:rPr>
              <w:t>0.98</w:t>
            </w:r>
          </w:p>
        </w:tc>
      </w:tr>
    </w:tbl>
    <w:p w14:paraId="36B3F0C3" w14:textId="77777777" w:rsidR="00D3097F" w:rsidRPr="003C0E2F" w:rsidRDefault="00D3097F" w:rsidP="00BE5236">
      <w:r w:rsidRPr="003C0E2F">
        <w:br w:type="page"/>
      </w:r>
    </w:p>
    <w:p w14:paraId="30283C16" w14:textId="25438F8D" w:rsidR="00D3097F" w:rsidRPr="003C0E2F" w:rsidRDefault="00A80715" w:rsidP="00D55B0E">
      <w:pPr>
        <w:pStyle w:val="Heading3"/>
      </w:pPr>
      <w:bookmarkStart w:id="529" w:name="_Toc38543298"/>
      <w:r w:rsidRPr="003C0E2F">
        <w:lastRenderedPageBreak/>
        <w:t xml:space="preserve"> </w:t>
      </w:r>
      <w:bookmarkStart w:id="530" w:name="_Toc80013771"/>
      <w:bookmarkStart w:id="531" w:name="_Toc82882391"/>
      <w:r w:rsidR="00D3097F" w:rsidRPr="003C0E2F">
        <w:t>FP7 and FP12 downregulate LPS/TLR4</w:t>
      </w:r>
      <w:r w:rsidR="0007019A" w:rsidRPr="003C0E2F">
        <w:t>-</w:t>
      </w:r>
      <w:r w:rsidR="000A1BFB" w:rsidRPr="003C0E2F">
        <w:t>induced</w:t>
      </w:r>
      <w:r w:rsidR="00D3097F" w:rsidRPr="003C0E2F">
        <w:t xml:space="preserve"> proinflammatory cytokines </w:t>
      </w:r>
      <w:r w:rsidR="00C01CEE" w:rsidRPr="003C0E2F">
        <w:t xml:space="preserve">irrespective of </w:t>
      </w:r>
      <w:r w:rsidR="0007019A" w:rsidRPr="003C0E2F">
        <w:t>time</w:t>
      </w:r>
      <w:r w:rsidR="00C01CEE" w:rsidRPr="003C0E2F">
        <w:t xml:space="preserve"> of administration (</w:t>
      </w:r>
      <w:r w:rsidR="00D3097F" w:rsidRPr="003C0E2F">
        <w:t>in pre, simultaneous and post LPS treatment</w:t>
      </w:r>
      <w:bookmarkEnd w:id="529"/>
      <w:r w:rsidR="00C01CEE" w:rsidRPr="003C0E2F">
        <w:t>)</w:t>
      </w:r>
      <w:bookmarkEnd w:id="530"/>
      <w:bookmarkEnd w:id="531"/>
    </w:p>
    <w:p w14:paraId="64D4FD07" w14:textId="7F5CFF58" w:rsidR="00B97A2A" w:rsidRPr="003C0E2F" w:rsidRDefault="00672E7A" w:rsidP="00672E7A">
      <w:r w:rsidRPr="003C0E2F">
        <w:t>LPS binds to MD</w:t>
      </w:r>
      <w:r w:rsidR="002345B5" w:rsidRPr="003C0E2F">
        <w:t>-</w:t>
      </w:r>
      <w:r w:rsidRPr="003C0E2F">
        <w:t xml:space="preserve">2/TLR4 causing receptor </w:t>
      </w:r>
      <w:proofErr w:type="spellStart"/>
      <w:r w:rsidRPr="003C0E2F">
        <w:t>dimeri</w:t>
      </w:r>
      <w:r w:rsidR="00654A0D" w:rsidRPr="003C0E2F">
        <w:t>sation</w:t>
      </w:r>
      <w:proofErr w:type="spellEnd"/>
      <w:r w:rsidRPr="003C0E2F">
        <w:t xml:space="preserve"> and activation of </w:t>
      </w:r>
      <w:r w:rsidR="00932BC2" w:rsidRPr="003C0E2F">
        <w:t>MyD88</w:t>
      </w:r>
      <w:r w:rsidR="00A9277D" w:rsidRPr="003C0E2F">
        <w:t>-</w:t>
      </w:r>
      <w:r w:rsidR="009E0322" w:rsidRPr="003C0E2F">
        <w:t>dependent</w:t>
      </w:r>
      <w:r w:rsidRPr="003C0E2F">
        <w:t xml:space="preserve"> signalling via adaptor protein Mal. This triggers the signalling cascade, resulting in release of downstream transcriptional molecules within 30-60 minutes of LPS exposure. FP7 and FP12 are thought to interact with MD-2 in a similar manner to LPS and may prevent LPS binding to the receptor through a mechanism of competitive exclusion </w:t>
      </w:r>
      <w:sdt>
        <w:sdtPr>
          <w:tag w:val="MENDELEY_CITATION_v3_eyJjaXRhdGlvbklEIjoiTUVOREVMRVlfQ0lUQVRJT05fMThlMTA2ZTItMDk5NC00YWQ1LWJkZDMtZDlkYzM5MTM5NDYz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LH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DaWdoZXR0aSA8aT5ldCBhbC48L2k+LCAyMDE0OyBGYWNjaGluaSA8aT5ldCBhbC48L2k+LCAyMDE4KSIsIm1hbnVhbE92ZXJyaWRlVGV4dCI6IiJ9fQ=="/>
          <w:id w:val="111254468"/>
          <w:placeholder>
            <w:docPart w:val="DefaultPlaceholder_-1854013440"/>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2014; </w:t>
          </w:r>
          <w:proofErr w:type="spellStart"/>
          <w:r w:rsidR="00F257B9">
            <w:rPr>
              <w:rFonts w:eastAsia="Times New Roman"/>
            </w:rPr>
            <w:t>Facchini</w:t>
          </w:r>
          <w:proofErr w:type="spellEnd"/>
          <w:r w:rsidR="00F257B9">
            <w:rPr>
              <w:rFonts w:eastAsia="Times New Roman"/>
            </w:rPr>
            <w:t xml:space="preserve"> </w:t>
          </w:r>
          <w:r w:rsidR="00F257B9">
            <w:rPr>
              <w:rFonts w:eastAsia="Times New Roman"/>
              <w:i/>
              <w:iCs/>
            </w:rPr>
            <w:t>et al.</w:t>
          </w:r>
          <w:r w:rsidR="00F257B9">
            <w:rPr>
              <w:rFonts w:eastAsia="Times New Roman"/>
            </w:rPr>
            <w:t>, 2018)</w:t>
          </w:r>
        </w:sdtContent>
      </w:sdt>
      <w:r w:rsidRPr="003C0E2F">
        <w:t xml:space="preserve"> and might then be expected to show reduced </w:t>
      </w:r>
      <w:r w:rsidR="008F561F" w:rsidRPr="003C0E2F">
        <w:t>effect</w:t>
      </w:r>
      <w:r w:rsidRPr="003C0E2F">
        <w:t>s after LPS is already occupying the hydrophobic pocket.</w:t>
      </w:r>
    </w:p>
    <w:p w14:paraId="0F67CEC2" w14:textId="4EDBCF4A" w:rsidR="00672E7A" w:rsidRPr="003C0E2F" w:rsidRDefault="00672E7A" w:rsidP="00672E7A">
      <w:r w:rsidRPr="003C0E2F">
        <w:t xml:space="preserve">Previous results were based on pre-treatment of cells with TLR4 antagonists before LPS exposure. To better understand interaction of FP7 and FP12 timing on signalling, THP-1 cells were treated at 30 minutes before, simultaneously and 30 minutes after LPS exposure. Following stimulation, levels of TNFα, IL-1β and IL-6 are significantly downregulated by FP7 and FP12 in all treatments (Figure 27). These data confirm previous results seen in array analysis (Table </w:t>
      </w:r>
      <w:r w:rsidR="00A80715" w:rsidRPr="003C0E2F">
        <w:t>4</w:t>
      </w:r>
      <w:r w:rsidRPr="003C0E2F">
        <w:t>). This suggests FP7 and FP12 negatively affect TLR4-</w:t>
      </w:r>
      <w:r w:rsidR="009E0322" w:rsidRPr="003C0E2F">
        <w:t>dependent</w:t>
      </w:r>
      <w:r w:rsidRPr="003C0E2F">
        <w:t xml:space="preserve"> proinflammatory protein production in THP-1 </w:t>
      </w:r>
      <w:r w:rsidR="008F561F" w:rsidRPr="003C0E2F">
        <w:t>macrophage</w:t>
      </w:r>
      <w:r w:rsidRPr="003C0E2F">
        <w:t>s.</w:t>
      </w:r>
    </w:p>
    <w:p w14:paraId="61AC2059" w14:textId="13FA9152" w:rsidR="00CF5896" w:rsidRPr="003C0E2F" w:rsidRDefault="00CF5896" w:rsidP="00672E7A">
      <w:bookmarkStart w:id="532" w:name="_Hlk80830461"/>
      <w:r w:rsidRPr="003C0E2F">
        <w:t xml:space="preserve">Unexpectedly, FP7 and FP12 downregulated cytokine production even after LPS exposure. This could suggest that these molecules have a higher binding affinity to the hydrophobic pocket of MD-2 than does LPS, resulting in displacement of LPS by FP7 or FP12. However, signal transduction would be expected to have occurred at this point and the exact mechanism of action is unclear. Further investigation is required to </w:t>
      </w:r>
      <w:r w:rsidR="003B6E9B" w:rsidRPr="003C0E2F">
        <w:t xml:space="preserve">fully </w:t>
      </w:r>
      <w:r w:rsidRPr="003C0E2F">
        <w:t>understand this interaction.</w:t>
      </w:r>
    </w:p>
    <w:bookmarkEnd w:id="532"/>
    <w:p w14:paraId="10E5FFE2" w14:textId="77777777" w:rsidR="00CF5896" w:rsidRPr="003C0E2F" w:rsidRDefault="00CF5896" w:rsidP="00672E7A"/>
    <w:p w14:paraId="587E29F5" w14:textId="77777777" w:rsidR="00B97A2A" w:rsidRPr="003C0E2F" w:rsidRDefault="00B97A2A" w:rsidP="00B97A2A"/>
    <w:p w14:paraId="7B1C8187" w14:textId="40141477" w:rsidR="00B97A2A" w:rsidRPr="003C0E2F" w:rsidRDefault="00CF5896" w:rsidP="00B97A2A">
      <w:pPr>
        <w:jc w:val="center"/>
      </w:pPr>
      <w:r w:rsidRPr="003C0E2F">
        <w:object w:dxaOrig="11395" w:dyaOrig="8160" w14:anchorId="2A63FA18">
          <v:shape id="_x0000_i1036" type="#_x0000_t75" style="width:439.2pt;height:324pt" o:ole="">
            <v:imagedata r:id="rId78" o:title="" cropbottom="3041f" cropright="4117f"/>
          </v:shape>
          <o:OLEObject Type="Embed" ProgID="Prism6.Document" ShapeID="_x0000_i1036" DrawAspect="Content" ObjectID="_1701584994" r:id="rId79"/>
        </w:object>
      </w:r>
    </w:p>
    <w:p w14:paraId="0FA21CF8" w14:textId="5712526E" w:rsidR="00B97A2A" w:rsidRPr="003C0E2F" w:rsidRDefault="00B97A2A" w:rsidP="00A2094F">
      <w:pPr>
        <w:pStyle w:val="NoSpacing"/>
      </w:pPr>
      <w:bookmarkStart w:id="533" w:name="_Toc48514840"/>
      <w:bookmarkStart w:id="534" w:name="_Toc55583748"/>
      <w:bookmarkStart w:id="535" w:name="_Toc55584926"/>
      <w:bookmarkStart w:id="536" w:name="_Toc60584042"/>
      <w:bookmarkStart w:id="537" w:name="_Toc60638160"/>
      <w:bookmarkStart w:id="538" w:name="_Toc60638880"/>
      <w:bookmarkStart w:id="539" w:name="_Toc63112014"/>
      <w:bookmarkStart w:id="540" w:name="_Toc63112231"/>
      <w:bookmarkStart w:id="541" w:name="_Toc63270371"/>
      <w:bookmarkStart w:id="542" w:name="_Toc64533238"/>
      <w:bookmarkStart w:id="543" w:name="_Toc64551785"/>
      <w:bookmarkStart w:id="544" w:name="_Toc80013829"/>
      <w:bookmarkStart w:id="545" w:name="_Toc82882968"/>
      <w:r w:rsidRPr="003C0E2F">
        <w:t xml:space="preserve">Figure </w:t>
      </w:r>
      <w:r w:rsidR="00862981">
        <w:fldChar w:fldCharType="begin"/>
      </w:r>
      <w:r w:rsidR="00862981">
        <w:instrText xml:space="preserve"> SEQ Figure \* ARABIC </w:instrText>
      </w:r>
      <w:r w:rsidR="00862981">
        <w:fldChar w:fldCharType="separate"/>
      </w:r>
      <w:r w:rsidR="000F2276">
        <w:rPr>
          <w:noProof/>
        </w:rPr>
        <w:t>27</w:t>
      </w:r>
      <w:r w:rsidR="00862981">
        <w:rPr>
          <w:noProof/>
        </w:rPr>
        <w:fldChar w:fldCharType="end"/>
      </w:r>
      <w:r w:rsidRPr="003C0E2F">
        <w:t xml:space="preserve">. FP7 and FP12 downregulate MyD88-dependent cytokines at different treatment timings. (A) IL-1β, (B) IL-6 and (C) TNFα. THP-1 macrophages were treated with FP7 or FP12 (10µM) 30 minutes prior (-30), simultaneously (0) or 30 minutes after (+30) LPS (100ng/ml) exposure. </w:t>
      </w:r>
      <w:r w:rsidRPr="003C0E2F">
        <w:rPr>
          <w:rStyle w:val="NoSpacingChar"/>
          <w:i/>
        </w:rPr>
        <w:t xml:space="preserve">Untreated control is with vehicle only. </w:t>
      </w:r>
      <w:r w:rsidRPr="003C0E2F">
        <w:t>Culture supernatants were then collected at 2 or 18 hours and IL-6, IL-1β, TNFα and IFNβ levels measured via ELISA. Results are shown as mean ±SD of three separate treatments. Statistically significant results are indicated as *** P&lt;0.001 ** P&lt;0.01 *P&lt;0.05 for control vs LPS and LPS vs LPS+FP12 treated samples.</w:t>
      </w:r>
      <w:bookmarkEnd w:id="533"/>
      <w:bookmarkEnd w:id="534"/>
      <w:bookmarkEnd w:id="535"/>
      <w:bookmarkEnd w:id="536"/>
      <w:bookmarkEnd w:id="537"/>
      <w:bookmarkEnd w:id="538"/>
      <w:bookmarkEnd w:id="539"/>
      <w:bookmarkEnd w:id="540"/>
      <w:bookmarkEnd w:id="541"/>
      <w:bookmarkEnd w:id="542"/>
      <w:bookmarkEnd w:id="543"/>
      <w:bookmarkEnd w:id="544"/>
      <w:bookmarkEnd w:id="545"/>
    </w:p>
    <w:p w14:paraId="070D7591" w14:textId="77777777" w:rsidR="00B97A2A" w:rsidRPr="003C0E2F" w:rsidRDefault="00B97A2A" w:rsidP="00672E7A"/>
    <w:p w14:paraId="6A0A8D2E" w14:textId="77777777" w:rsidR="00672E7A" w:rsidRPr="003C0E2F" w:rsidRDefault="00672E7A" w:rsidP="00672E7A">
      <w:r w:rsidRPr="003C0E2F">
        <w:t> </w:t>
      </w:r>
    </w:p>
    <w:p w14:paraId="231C7D45" w14:textId="77777777" w:rsidR="00672E7A" w:rsidRPr="003C0E2F" w:rsidRDefault="00672E7A">
      <w:pPr>
        <w:spacing w:line="259" w:lineRule="auto"/>
      </w:pPr>
      <w:r w:rsidRPr="003C0E2F">
        <w:rPr>
          <w:b/>
          <w:bCs/>
        </w:rPr>
        <w:br w:type="page"/>
      </w:r>
    </w:p>
    <w:p w14:paraId="0D7C26F5" w14:textId="503BE817" w:rsidR="009558E6" w:rsidRPr="003C0E2F" w:rsidRDefault="00A80715" w:rsidP="00E90F98">
      <w:pPr>
        <w:pStyle w:val="Heading3"/>
      </w:pPr>
      <w:r w:rsidRPr="003C0E2F">
        <w:lastRenderedPageBreak/>
        <w:t xml:space="preserve"> </w:t>
      </w:r>
      <w:bookmarkStart w:id="546" w:name="_Toc80013772"/>
      <w:bookmarkStart w:id="547" w:name="_Toc82882392"/>
      <w:r w:rsidR="009558E6" w:rsidRPr="003C0E2F">
        <w:t>FP7 downregulate</w:t>
      </w:r>
      <w:r w:rsidR="0072775F" w:rsidRPr="003C0E2F">
        <w:t>s</w:t>
      </w:r>
      <w:r w:rsidR="009558E6" w:rsidRPr="003C0E2F">
        <w:t xml:space="preserve"> LPS/TLR4</w:t>
      </w:r>
      <w:r w:rsidR="00667A02" w:rsidRPr="003C0E2F">
        <w:t>-</w:t>
      </w:r>
      <w:r w:rsidR="000A1BFB" w:rsidRPr="003C0E2F">
        <w:t>induced</w:t>
      </w:r>
      <w:r w:rsidR="009558E6" w:rsidRPr="003C0E2F">
        <w:t xml:space="preserve"> proinflammatory cytokines in primary </w:t>
      </w:r>
      <w:r w:rsidR="00A9277D" w:rsidRPr="003C0E2F">
        <w:t>PBMC derived</w:t>
      </w:r>
      <w:r w:rsidR="000C4A70" w:rsidRPr="003C0E2F">
        <w:t xml:space="preserve"> </w:t>
      </w:r>
      <w:r w:rsidR="008F561F" w:rsidRPr="003C0E2F">
        <w:t>macrophage</w:t>
      </w:r>
      <w:r w:rsidR="000C4A70" w:rsidRPr="003C0E2F">
        <w:t>s</w:t>
      </w:r>
      <w:bookmarkEnd w:id="546"/>
      <w:bookmarkEnd w:id="547"/>
    </w:p>
    <w:p w14:paraId="4B7AFBBF" w14:textId="20ACE704" w:rsidR="00DB5677" w:rsidRPr="003C0E2F" w:rsidRDefault="00672E7A" w:rsidP="0072775F">
      <w:r w:rsidRPr="003C0E2F">
        <w:t xml:space="preserve">THP-1 derived </w:t>
      </w:r>
      <w:r w:rsidR="008F561F" w:rsidRPr="003C0E2F">
        <w:t>macrophage</w:t>
      </w:r>
      <w:r w:rsidRPr="003C0E2F">
        <w:t xml:space="preserve">s and primary derived </w:t>
      </w:r>
      <w:r w:rsidR="008F561F" w:rsidRPr="003C0E2F">
        <w:t>macrophage</w:t>
      </w:r>
      <w:r w:rsidRPr="003C0E2F">
        <w:t xml:space="preserve">s respond differently to stimulus. Although cytokine production is generally comparable between THP-1 </w:t>
      </w:r>
      <w:r w:rsidR="008F561F" w:rsidRPr="003C0E2F">
        <w:t>macrophage</w:t>
      </w:r>
      <w:r w:rsidRPr="003C0E2F">
        <w:t xml:space="preserve">s and primary cells, PBMCs are known to have a higher response to LPS stimulation as compared to THP-1 cells which could impact antagonistic activity of FP7 or FP12. Additionally, the expression of M1 and M2 phenotype markers can differ between cell types. PBMC derived </w:t>
      </w:r>
      <w:r w:rsidR="008F561F" w:rsidRPr="003C0E2F">
        <w:t>macrophage</w:t>
      </w:r>
      <w:r w:rsidRPr="003C0E2F">
        <w:t>s were prepared from isolated PBMCs in 10% FCS for 7 days at Reading University</w:t>
      </w:r>
      <w:r w:rsidR="008F561F" w:rsidRPr="003C0E2F">
        <w:t>. Macrophage</w:t>
      </w:r>
      <w:r w:rsidRPr="003C0E2F">
        <w:t xml:space="preserve">s were treated with FP7 in presence </w:t>
      </w:r>
      <w:r w:rsidR="00776480" w:rsidRPr="003C0E2F">
        <w:t>or</w:t>
      </w:r>
      <w:r w:rsidRPr="003C0E2F">
        <w:t xml:space="preserve"> absence of LPS to determine the comparability of results obtained in THP-1 </w:t>
      </w:r>
      <w:r w:rsidR="008F561F" w:rsidRPr="003C0E2F">
        <w:t>macrophage</w:t>
      </w:r>
      <w:r w:rsidRPr="003C0E2F">
        <w:t>s to primary cell response.</w:t>
      </w:r>
    </w:p>
    <w:p w14:paraId="3A062700" w14:textId="77777777" w:rsidR="00672E7A" w:rsidRPr="003C0E2F" w:rsidRDefault="00672E7A" w:rsidP="0072775F"/>
    <w:bookmarkStart w:id="548" w:name="_Toc55583749"/>
    <w:p w14:paraId="67D62282" w14:textId="44F234BD" w:rsidR="003C657C" w:rsidRPr="003C0E2F" w:rsidRDefault="006C447C" w:rsidP="00492EA1">
      <w:r w:rsidRPr="003C0E2F">
        <w:object w:dxaOrig="10692" w:dyaOrig="4284" w14:anchorId="057AA776">
          <v:shape id="_x0000_i1037" type="#_x0000_t75" style="width:453pt;height:180pt" o:ole="">
            <v:imagedata r:id="rId80" o:title=""/>
          </v:shape>
          <o:OLEObject Type="Embed" ProgID="Prism6.Document" ShapeID="_x0000_i1037" DrawAspect="Content" ObjectID="_1701584995" r:id="rId81"/>
        </w:object>
      </w:r>
      <w:bookmarkStart w:id="549" w:name="OLE_LINK9"/>
    </w:p>
    <w:p w14:paraId="7B4790B2" w14:textId="2F7EF466" w:rsidR="00351CF4" w:rsidRPr="003C0E2F" w:rsidRDefault="00763D37" w:rsidP="00A2094F">
      <w:pPr>
        <w:pStyle w:val="NoSpacing"/>
      </w:pPr>
      <w:bookmarkStart w:id="550" w:name="_Toc55584927"/>
      <w:bookmarkStart w:id="551" w:name="_Toc60584043"/>
      <w:bookmarkStart w:id="552" w:name="_Toc60638161"/>
      <w:bookmarkStart w:id="553" w:name="_Toc60638881"/>
      <w:bookmarkStart w:id="554" w:name="_Toc63112015"/>
      <w:bookmarkStart w:id="555" w:name="_Toc63112232"/>
      <w:bookmarkStart w:id="556" w:name="_Toc63270372"/>
      <w:bookmarkStart w:id="557" w:name="_Toc64533239"/>
      <w:bookmarkStart w:id="558" w:name="_Toc64551786"/>
      <w:bookmarkStart w:id="559" w:name="_Toc80013830"/>
      <w:bookmarkStart w:id="560" w:name="_Toc82882969"/>
      <w:r w:rsidRPr="003C0E2F">
        <w:t>Figure</w:t>
      </w:r>
      <w:r w:rsidR="00351CF4" w:rsidRPr="003C0E2F">
        <w:t xml:space="preserve"> </w:t>
      </w:r>
      <w:r w:rsidR="00862981">
        <w:fldChar w:fldCharType="begin"/>
      </w:r>
      <w:r w:rsidR="00862981">
        <w:instrText xml:space="preserve"> SEQ Figure \* ARABIC </w:instrText>
      </w:r>
      <w:r w:rsidR="00862981">
        <w:fldChar w:fldCharType="separate"/>
      </w:r>
      <w:r w:rsidR="000F2276">
        <w:rPr>
          <w:noProof/>
        </w:rPr>
        <w:t>28</w:t>
      </w:r>
      <w:r w:rsidR="00862981">
        <w:rPr>
          <w:noProof/>
        </w:rPr>
        <w:fldChar w:fldCharType="end"/>
      </w:r>
      <w:r w:rsidR="003273B5" w:rsidRPr="003C0E2F">
        <w:t>. The effect</w:t>
      </w:r>
      <w:r w:rsidR="00351CF4" w:rsidRPr="003C0E2F">
        <w:t xml:space="preserve"> of FP7 on </w:t>
      </w:r>
      <w:r w:rsidR="00085474" w:rsidRPr="003C0E2F">
        <w:t xml:space="preserve">IL-6, </w:t>
      </w:r>
      <w:r w:rsidR="00351CF4" w:rsidRPr="003C0E2F">
        <w:t>IL-8</w:t>
      </w:r>
      <w:r w:rsidR="00085474" w:rsidRPr="003C0E2F">
        <w:t xml:space="preserve"> and </w:t>
      </w:r>
      <w:r w:rsidR="007A0F7C" w:rsidRPr="003C0E2F">
        <w:t>IL-1</w:t>
      </w:r>
      <w:r w:rsidR="00085474" w:rsidRPr="003C0E2F">
        <w:t>β</w:t>
      </w:r>
      <w:r w:rsidR="00351CF4" w:rsidRPr="003C0E2F">
        <w:t xml:space="preserve"> production in </w:t>
      </w:r>
      <w:r w:rsidR="000C4A70" w:rsidRPr="003C0E2F">
        <w:t xml:space="preserve">PMBC-derived </w:t>
      </w:r>
      <w:r w:rsidR="008F561F" w:rsidRPr="003C0E2F">
        <w:t>macrophage</w:t>
      </w:r>
      <w:r w:rsidR="000C4A70" w:rsidRPr="003C0E2F">
        <w:t>s</w:t>
      </w:r>
      <w:r w:rsidR="00351CF4" w:rsidRPr="003C0E2F">
        <w:t>. Cells were pre-treated with FP7 (</w:t>
      </w:r>
      <w:r w:rsidR="00085474" w:rsidRPr="003C0E2F">
        <w:t>10</w:t>
      </w:r>
      <w:r w:rsidR="00351CF4" w:rsidRPr="003C0E2F">
        <w:t>µM) for 1 hour prior to exposure to LPS (100ng/ml).</w:t>
      </w:r>
      <w:r w:rsidR="00F01D38" w:rsidRPr="003C0E2F">
        <w:t xml:space="preserve"> </w:t>
      </w:r>
      <w:r w:rsidR="00504096" w:rsidRPr="003C0E2F">
        <w:rPr>
          <w:rStyle w:val="NoSpacingChar"/>
          <w:i/>
        </w:rPr>
        <w:t xml:space="preserve">Untreated control, FP7 </w:t>
      </w:r>
      <w:r w:rsidR="00A2094F" w:rsidRPr="003C0E2F">
        <w:rPr>
          <w:rStyle w:val="NoSpacingChar"/>
          <w:i/>
        </w:rPr>
        <w:t>(-)</w:t>
      </w:r>
      <w:r w:rsidR="00504096" w:rsidRPr="003C0E2F">
        <w:rPr>
          <w:rStyle w:val="NoSpacingChar"/>
          <w:i/>
        </w:rPr>
        <w:t xml:space="preserve">. is with vehicle </w:t>
      </w:r>
      <w:proofErr w:type="gramStart"/>
      <w:r w:rsidR="00504096" w:rsidRPr="003C0E2F">
        <w:rPr>
          <w:rStyle w:val="NoSpacingChar"/>
          <w:i/>
        </w:rPr>
        <w:t xml:space="preserve">only </w:t>
      </w:r>
      <w:r w:rsidR="00BD3E38" w:rsidRPr="003C0E2F">
        <w:rPr>
          <w:rStyle w:val="NoSpacingChar"/>
          <w:i/>
        </w:rPr>
        <w:t>.</w:t>
      </w:r>
      <w:proofErr w:type="gramEnd"/>
      <w:r w:rsidR="00BD3E38" w:rsidRPr="003C0E2F">
        <w:rPr>
          <w:rStyle w:val="NoSpacingChar"/>
          <w:i/>
        </w:rPr>
        <w:t xml:space="preserve"> </w:t>
      </w:r>
      <w:r w:rsidR="006C447C" w:rsidRPr="003C0E2F">
        <w:t>Culture medium</w:t>
      </w:r>
      <w:r w:rsidR="00085474" w:rsidRPr="003C0E2F">
        <w:t xml:space="preserve"> was collected and expression of</w:t>
      </w:r>
      <w:r w:rsidR="006C447C" w:rsidRPr="003C0E2F">
        <w:t xml:space="preserve"> (A)</w:t>
      </w:r>
      <w:r w:rsidR="00085474" w:rsidRPr="003C0E2F">
        <w:t xml:space="preserve"> IL-6</w:t>
      </w:r>
      <w:r w:rsidR="006C447C" w:rsidRPr="003C0E2F">
        <w:t xml:space="preserve">, (B) </w:t>
      </w:r>
      <w:r w:rsidR="00085474" w:rsidRPr="003C0E2F">
        <w:t xml:space="preserve">IL-8 and </w:t>
      </w:r>
      <w:r w:rsidR="006C447C" w:rsidRPr="003C0E2F">
        <w:t xml:space="preserve">(C) </w:t>
      </w:r>
      <w:r w:rsidR="00085474" w:rsidRPr="003C0E2F">
        <w:t xml:space="preserve">IL-1β </w:t>
      </w:r>
      <w:r w:rsidR="00351CF4" w:rsidRPr="003C0E2F">
        <w:t>were measured using ELISA after 18 hours (</w:t>
      </w:r>
      <w:proofErr w:type="spellStart"/>
      <w:r w:rsidR="00351CF4" w:rsidRPr="003C0E2F">
        <w:t>RayBiotech</w:t>
      </w:r>
      <w:proofErr w:type="spellEnd"/>
      <w:r w:rsidR="00351CF4" w:rsidRPr="003C0E2F">
        <w:t>). Results are shown as mean ±SD of t</w:t>
      </w:r>
      <w:r w:rsidR="00085474" w:rsidRPr="003C0E2F">
        <w:t>wo</w:t>
      </w:r>
      <w:r w:rsidR="00351CF4" w:rsidRPr="003C0E2F">
        <w:t xml:space="preserve"> separate treatments. Statistically significant results are indicated as *** P&lt;0.001 ** P&lt;0.01 *P&lt;0.05 for control vs LPS and LPS vs LPS/FP7 treated samples.</w:t>
      </w:r>
      <w:bookmarkEnd w:id="548"/>
      <w:bookmarkEnd w:id="550"/>
      <w:bookmarkEnd w:id="551"/>
      <w:bookmarkEnd w:id="552"/>
      <w:bookmarkEnd w:id="553"/>
      <w:bookmarkEnd w:id="554"/>
      <w:bookmarkEnd w:id="555"/>
      <w:bookmarkEnd w:id="556"/>
      <w:bookmarkEnd w:id="557"/>
      <w:bookmarkEnd w:id="558"/>
      <w:bookmarkEnd w:id="559"/>
      <w:bookmarkEnd w:id="560"/>
    </w:p>
    <w:p w14:paraId="737F1BCF" w14:textId="1178CF4A" w:rsidR="00492EA1" w:rsidRPr="003C0E2F" w:rsidRDefault="00492EA1" w:rsidP="00DB5677">
      <w:pPr>
        <w:spacing w:line="259" w:lineRule="auto"/>
        <w:rPr>
          <w:i/>
          <w:iCs/>
        </w:rPr>
      </w:pPr>
    </w:p>
    <w:bookmarkEnd w:id="549"/>
    <w:p w14:paraId="3034EDE7" w14:textId="080D937A" w:rsidR="00672E7A" w:rsidRPr="003C0E2F" w:rsidRDefault="00672E7A" w:rsidP="00672E7A">
      <w:r w:rsidRPr="003C0E2F">
        <w:t>FP7 and FP12 negatively regulated LPS/TLR4</w:t>
      </w:r>
      <w:r w:rsidR="000A1BFB" w:rsidRPr="003C0E2F">
        <w:t xml:space="preserve"> induced</w:t>
      </w:r>
      <w:r w:rsidRPr="003C0E2F">
        <w:t xml:space="preserve"> cytokine production in primary </w:t>
      </w:r>
      <w:r w:rsidR="008F561F" w:rsidRPr="003C0E2F">
        <w:t>macrophage</w:t>
      </w:r>
      <w:r w:rsidRPr="003C0E2F">
        <w:t xml:space="preserve">s (Figure 28). Primary </w:t>
      </w:r>
      <w:r w:rsidR="008F561F" w:rsidRPr="003C0E2F">
        <w:t>macrophage</w:t>
      </w:r>
      <w:r w:rsidRPr="003C0E2F">
        <w:t>s produced a significant increase in cytokine levels in response to LPS. IL-6, IL-8 and IL-1β levels were substantially elevated in LPS treated samples as compared to the controls. 1 hour pre-treatment with FP7 was sufficient to bring about a reduction in LPS/TLR4</w:t>
      </w:r>
      <w:r w:rsidR="000A1BFB" w:rsidRPr="003C0E2F">
        <w:t xml:space="preserve"> induced</w:t>
      </w:r>
      <w:r w:rsidRPr="003C0E2F">
        <w:t xml:space="preserve"> IL-6 and IL-1β production, but not IL-8. However, FP7 did not bring down levels of any cytokine to that of the control samples. This preliminary data suggests that FP7 is capable of partial inhibition of TLR4</w:t>
      </w:r>
      <w:r w:rsidR="00A9277D" w:rsidRPr="003C0E2F">
        <w:t>-</w:t>
      </w:r>
      <w:r w:rsidR="009E0322" w:rsidRPr="003C0E2F">
        <w:t>dependent</w:t>
      </w:r>
      <w:r w:rsidRPr="003C0E2F">
        <w:t xml:space="preserve"> cytokine production in PMBC-derived </w:t>
      </w:r>
      <w:r w:rsidR="008F561F" w:rsidRPr="003C0E2F">
        <w:t>macrophage</w:t>
      </w:r>
      <w:r w:rsidRPr="003C0E2F">
        <w:t xml:space="preserve">s. in response to LPS as the same concentration as was used to treat THP-1 </w:t>
      </w:r>
      <w:r w:rsidR="008F561F" w:rsidRPr="003C0E2F">
        <w:t>macrophage</w:t>
      </w:r>
      <w:r w:rsidRPr="003C0E2F">
        <w:t>s.</w:t>
      </w:r>
    </w:p>
    <w:p w14:paraId="59C7E216" w14:textId="27C0F2F2" w:rsidR="0072775F" w:rsidRPr="003C0E2F" w:rsidRDefault="002C7EF0" w:rsidP="00672E7A">
      <w:r w:rsidRPr="003C0E2F">
        <w:object w:dxaOrig="7313" w:dyaOrig="5040" w14:anchorId="76E0CE42">
          <v:shape id="_x0000_i1038" type="#_x0000_t75" style="width:366.6pt;height:252pt" o:ole="">
            <v:imagedata r:id="rId82" o:title=""/>
          </v:shape>
          <o:OLEObject Type="Embed" ProgID="Prism6.Document" ShapeID="_x0000_i1038" DrawAspect="Content" ObjectID="_1701584996" r:id="rId83"/>
        </w:object>
      </w:r>
    </w:p>
    <w:p w14:paraId="6884CAC8" w14:textId="510C226C" w:rsidR="00085474" w:rsidRPr="003C0E2F" w:rsidRDefault="00763D37" w:rsidP="00A2094F">
      <w:pPr>
        <w:pStyle w:val="NoSpacing"/>
      </w:pPr>
      <w:bookmarkStart w:id="561" w:name="_Toc55583750"/>
      <w:bookmarkStart w:id="562" w:name="_Toc55584928"/>
      <w:bookmarkStart w:id="563" w:name="_Toc60584044"/>
      <w:bookmarkStart w:id="564" w:name="_Toc60638162"/>
      <w:bookmarkStart w:id="565" w:name="_Toc60638882"/>
      <w:bookmarkStart w:id="566" w:name="_Toc63112016"/>
      <w:bookmarkStart w:id="567" w:name="_Toc63112233"/>
      <w:bookmarkStart w:id="568" w:name="_Toc63270373"/>
      <w:bookmarkStart w:id="569" w:name="_Toc64533240"/>
      <w:bookmarkStart w:id="570" w:name="_Toc64551787"/>
      <w:bookmarkStart w:id="571" w:name="_Toc80013831"/>
      <w:bookmarkStart w:id="572" w:name="_Toc82882970"/>
      <w:r w:rsidRPr="003C0E2F">
        <w:t>Figure</w:t>
      </w:r>
      <w:r w:rsidR="00085474" w:rsidRPr="003C0E2F">
        <w:t xml:space="preserve"> </w:t>
      </w:r>
      <w:r w:rsidR="00862981">
        <w:fldChar w:fldCharType="begin"/>
      </w:r>
      <w:r w:rsidR="00862981">
        <w:instrText xml:space="preserve"> SEQ Figure \* ARABIC </w:instrText>
      </w:r>
      <w:r w:rsidR="00862981">
        <w:fldChar w:fldCharType="separate"/>
      </w:r>
      <w:r w:rsidR="000F2276">
        <w:rPr>
          <w:noProof/>
        </w:rPr>
        <w:t>29</w:t>
      </w:r>
      <w:r w:rsidR="00862981">
        <w:rPr>
          <w:noProof/>
        </w:rPr>
        <w:fldChar w:fldCharType="end"/>
      </w:r>
      <w:r w:rsidR="003273B5" w:rsidRPr="003C0E2F">
        <w:t>. The effect</w:t>
      </w:r>
      <w:r w:rsidR="00085474" w:rsidRPr="003C0E2F">
        <w:t xml:space="preserve"> of FP7 on p-p65/NF-</w:t>
      </w:r>
      <w:proofErr w:type="spellStart"/>
      <w:r w:rsidR="00085474" w:rsidRPr="003C0E2F">
        <w:t>κB</w:t>
      </w:r>
      <w:proofErr w:type="spellEnd"/>
      <w:r w:rsidR="00085474" w:rsidRPr="003C0E2F">
        <w:t xml:space="preserve"> and p-</w:t>
      </w:r>
      <w:r w:rsidR="00274B79" w:rsidRPr="003C0E2F">
        <w:t>P38</w:t>
      </w:r>
      <w:r w:rsidR="00085474" w:rsidRPr="003C0E2F">
        <w:t xml:space="preserve"> activation in </w:t>
      </w:r>
      <w:r w:rsidR="00A9277D" w:rsidRPr="003C0E2F">
        <w:t>PBMC derived</w:t>
      </w:r>
      <w:r w:rsidR="000C4A70" w:rsidRPr="003C0E2F">
        <w:t xml:space="preserve"> </w:t>
      </w:r>
      <w:r w:rsidR="008F561F" w:rsidRPr="003C0E2F">
        <w:t>macrophage</w:t>
      </w:r>
      <w:r w:rsidR="00FA7831" w:rsidRPr="003C0E2F">
        <w:t>s.</w:t>
      </w:r>
      <w:r w:rsidR="00085474" w:rsidRPr="003C0E2F">
        <w:t xml:space="preserve"> Cells were pre-treated with FP7 (10µM) for 1 hour prior to exposure to LPS (100ng/ml). </w:t>
      </w:r>
      <w:r w:rsidR="00BD3E38" w:rsidRPr="003C0E2F">
        <w:rPr>
          <w:rStyle w:val="NoSpacingChar"/>
          <w:i/>
        </w:rPr>
        <w:t>Untreated control is with vehicle only.</w:t>
      </w:r>
      <w:r w:rsidR="007F7D74" w:rsidRPr="003C0E2F">
        <w:rPr>
          <w:rStyle w:val="NoSpacingChar"/>
          <w:i/>
        </w:rPr>
        <w:t xml:space="preserve"> </w:t>
      </w:r>
      <w:r w:rsidR="00085474" w:rsidRPr="003C0E2F">
        <w:t xml:space="preserve">Cell lysates were collected after 1 hour and analysed via </w:t>
      </w:r>
      <w:r w:rsidR="00030A76" w:rsidRPr="003C0E2F">
        <w:t>Western</w:t>
      </w:r>
      <w:r w:rsidR="00085474" w:rsidRPr="003C0E2F">
        <w:t xml:space="preserve"> blot for relative levels of P65 and </w:t>
      </w:r>
      <w:r w:rsidR="00274B79" w:rsidRPr="003C0E2F">
        <w:t>P38</w:t>
      </w:r>
      <w:r w:rsidR="00085474" w:rsidRPr="003C0E2F">
        <w:t xml:space="preserve"> phosphorylation</w:t>
      </w:r>
      <w:r w:rsidR="007F7D74" w:rsidRPr="003C0E2F">
        <w:t xml:space="preserve"> using the same blot</w:t>
      </w:r>
      <w:r w:rsidR="00085474" w:rsidRPr="003C0E2F">
        <w:t>. Results are shown as mean ±SD of three separate treatments. Statistically significant results are indicated as *** P&lt;0.001 ** P&lt;0.01 *P&lt;0.05 for control vs LPS and LPS vs LPS/FP7.</w:t>
      </w:r>
      <w:r w:rsidR="002C7EF0" w:rsidRPr="003C0E2F">
        <w:t xml:space="preserve"> C</w:t>
      </w:r>
      <w:r w:rsidR="007F7D74" w:rsidRPr="003C0E2F">
        <w:t xml:space="preserve"> </w:t>
      </w:r>
      <w:r w:rsidR="002C7EF0" w:rsidRPr="003C0E2F">
        <w:t>=</w:t>
      </w:r>
      <w:r w:rsidR="007F7D74" w:rsidRPr="003C0E2F">
        <w:t xml:space="preserve"> c</w:t>
      </w:r>
      <w:r w:rsidR="002C7EF0" w:rsidRPr="003C0E2F">
        <w:t>ontrol, L</w:t>
      </w:r>
      <w:r w:rsidR="007F7D74" w:rsidRPr="003C0E2F">
        <w:t xml:space="preserve"> </w:t>
      </w:r>
      <w:r w:rsidR="002C7EF0" w:rsidRPr="003C0E2F">
        <w:t>=</w:t>
      </w:r>
      <w:r w:rsidR="007F7D74" w:rsidRPr="003C0E2F">
        <w:t xml:space="preserve"> </w:t>
      </w:r>
      <w:r w:rsidR="002C7EF0" w:rsidRPr="003C0E2F">
        <w:t>LPS, F</w:t>
      </w:r>
      <w:r w:rsidR="007F7D74" w:rsidRPr="003C0E2F">
        <w:t xml:space="preserve"> </w:t>
      </w:r>
      <w:r w:rsidR="002C7EF0" w:rsidRPr="003C0E2F">
        <w:t>=</w:t>
      </w:r>
      <w:r w:rsidR="007F7D74" w:rsidRPr="003C0E2F">
        <w:t xml:space="preserve"> </w:t>
      </w:r>
      <w:r w:rsidR="002C7EF0" w:rsidRPr="003C0E2F">
        <w:t>FP7.</w:t>
      </w:r>
      <w:bookmarkEnd w:id="561"/>
      <w:bookmarkEnd w:id="562"/>
      <w:bookmarkEnd w:id="563"/>
      <w:bookmarkEnd w:id="564"/>
      <w:bookmarkEnd w:id="565"/>
      <w:bookmarkEnd w:id="566"/>
      <w:bookmarkEnd w:id="567"/>
      <w:bookmarkEnd w:id="568"/>
      <w:bookmarkEnd w:id="569"/>
      <w:bookmarkEnd w:id="570"/>
      <w:bookmarkEnd w:id="571"/>
      <w:bookmarkEnd w:id="572"/>
    </w:p>
    <w:p w14:paraId="1C9E4D57" w14:textId="0FD1CA19" w:rsidR="002C7EF0" w:rsidRPr="003C0E2F" w:rsidRDefault="002C7EF0" w:rsidP="00E959C5">
      <w:pPr>
        <w:pStyle w:val="NoSpacing"/>
      </w:pPr>
    </w:p>
    <w:p w14:paraId="5EC793D1" w14:textId="373882B8" w:rsidR="009376FE" w:rsidRPr="003C0E2F" w:rsidRDefault="00672E7A" w:rsidP="0072775F">
      <w:r w:rsidRPr="003C0E2F">
        <w:t>Western blot was used to determine level of NF-</w:t>
      </w:r>
      <w:proofErr w:type="spellStart"/>
      <w:r w:rsidRPr="003C0E2F">
        <w:t>κB</w:t>
      </w:r>
      <w:proofErr w:type="spellEnd"/>
      <w:r w:rsidRPr="003C0E2F">
        <w:t xml:space="preserve">/P65 and </w:t>
      </w:r>
      <w:r w:rsidR="00274B79" w:rsidRPr="003C0E2F">
        <w:t>P38</w:t>
      </w:r>
      <w:r w:rsidRPr="003C0E2F">
        <w:t xml:space="preserve"> phosphorylation in primary </w:t>
      </w:r>
      <w:r w:rsidR="008F561F" w:rsidRPr="003C0E2F">
        <w:t>macrophage</w:t>
      </w:r>
      <w:r w:rsidRPr="003C0E2F">
        <w:t>s (Figure 29). LPS produced a similar increase in p-</w:t>
      </w:r>
      <w:r w:rsidR="00274B79" w:rsidRPr="003C0E2F">
        <w:t>P38</w:t>
      </w:r>
      <w:r w:rsidRPr="003C0E2F">
        <w:t xml:space="preserve"> and p-p65 as seen in THP-1 </w:t>
      </w:r>
      <w:r w:rsidR="008F561F" w:rsidRPr="003C0E2F">
        <w:t>macrophage</w:t>
      </w:r>
      <w:r w:rsidRPr="003C0E2F">
        <w:t xml:space="preserve">s at 1 hour. FP7 was capable of significantly reducing phosphorylation of these signalling molecules in response to LPS. These results suggest that FP7 may have a comparable antagonistic </w:t>
      </w:r>
      <w:r w:rsidR="008F561F" w:rsidRPr="003C0E2F">
        <w:t>effect</w:t>
      </w:r>
      <w:r w:rsidRPr="003C0E2F">
        <w:t xml:space="preserve"> on </w:t>
      </w:r>
      <w:r w:rsidR="00932BC2" w:rsidRPr="003C0E2F">
        <w:t>MyD88</w:t>
      </w:r>
      <w:r w:rsidR="00A9277D" w:rsidRPr="003C0E2F">
        <w:t>-</w:t>
      </w:r>
      <w:r w:rsidR="009E0322" w:rsidRPr="003C0E2F">
        <w:t>dependent</w:t>
      </w:r>
      <w:r w:rsidRPr="003C0E2F">
        <w:t xml:space="preserve"> signalling and endpoint pro-inflammatory protein production in primary human </w:t>
      </w:r>
      <w:r w:rsidR="008F561F" w:rsidRPr="003C0E2F">
        <w:t>macrophage</w:t>
      </w:r>
      <w:r w:rsidRPr="003C0E2F">
        <w:t xml:space="preserve">s to that seen previously in THP-1 derived </w:t>
      </w:r>
      <w:r w:rsidR="008F561F" w:rsidRPr="003C0E2F">
        <w:t>macrophage</w:t>
      </w:r>
      <w:r w:rsidRPr="003C0E2F">
        <w:t>s.</w:t>
      </w:r>
      <w:r w:rsidR="009376FE" w:rsidRPr="003C0E2F">
        <w:t xml:space="preserve"> </w:t>
      </w:r>
    </w:p>
    <w:p w14:paraId="0B728B06" w14:textId="62B0F4FB" w:rsidR="00B97A2A" w:rsidRPr="003C0E2F" w:rsidRDefault="00B97A2A" w:rsidP="00B97A2A">
      <w:bookmarkStart w:id="573" w:name="_Hlk80829629"/>
      <w:bookmarkStart w:id="574" w:name="_Hlk80829486"/>
      <w:r w:rsidRPr="003C0E2F">
        <w:t xml:space="preserve">Primary cells represent human physiology more effectively than immortalised cell lines and can help </w:t>
      </w:r>
      <w:proofErr w:type="gramStart"/>
      <w:r w:rsidRPr="003C0E2F">
        <w:t>to  provide</w:t>
      </w:r>
      <w:proofErr w:type="gramEnd"/>
      <w:r w:rsidRPr="003C0E2F">
        <w:t xml:space="preserve"> greater validity to previous results. While THP-1 cells and PBMCs are somewhat comparable, LPS stimulated TLR4 activity in THP-1 macrophages may be lower than that observed in PBMCs. It is therefore important to see if results obtained with FP7 in THP-1 macrophages can translate into PBMCs.</w:t>
      </w:r>
    </w:p>
    <w:p w14:paraId="01B9CB1F" w14:textId="46152795" w:rsidR="0072775F" w:rsidRPr="003C0E2F" w:rsidRDefault="009376FE" w:rsidP="0072775F">
      <w:bookmarkStart w:id="575" w:name="_Hlk80829616"/>
      <w:bookmarkEnd w:id="573"/>
      <w:r w:rsidRPr="003C0E2F">
        <w:t xml:space="preserve">While the effect of FP7 on PBMCs and THP-1 macrophages show similar </w:t>
      </w:r>
      <w:r w:rsidR="00A06A8A" w:rsidRPr="003C0E2F">
        <w:t>antagonistic</w:t>
      </w:r>
      <w:r w:rsidRPr="003C0E2F">
        <w:t xml:space="preserve"> effects following LPS stimulation, FP7 appears to be less effective overall in PBMCs. While 10µM FP7 was high enough to produce a significant decrease in IL-8, this was not the case for PBMC where 10µM FP7 had no effect on IL-8 production. The effect of FP7 on IL-6 and IL-1</w:t>
      </w:r>
      <w:r w:rsidRPr="003C0E2F">
        <w:rPr>
          <w:rFonts w:cstheme="minorHAnsi"/>
        </w:rPr>
        <w:t>β</w:t>
      </w:r>
      <w:r w:rsidRPr="003C0E2F">
        <w:t xml:space="preserve"> were also markedly lower, with limited data suggesting an IC50 of 10</w:t>
      </w:r>
      <w:r w:rsidRPr="003C0E2F">
        <w:rPr>
          <w:rFonts w:cstheme="minorHAnsi"/>
        </w:rPr>
        <w:t>μ</w:t>
      </w:r>
      <w:r w:rsidRPr="003C0E2F">
        <w:t>M or higher. This reduced effect is also seen in signalling mediators</w:t>
      </w:r>
      <w:r w:rsidR="00A06A8A" w:rsidRPr="003C0E2F">
        <w:t xml:space="preserve"> NF-</w:t>
      </w:r>
      <w:proofErr w:type="spellStart"/>
      <w:r w:rsidR="00A06A8A" w:rsidRPr="003C0E2F">
        <w:rPr>
          <w:rFonts w:ascii="Calibri" w:hAnsi="Calibri" w:cs="Calibri"/>
        </w:rPr>
        <w:t>κ</w:t>
      </w:r>
      <w:r w:rsidR="00A06A8A" w:rsidRPr="003C0E2F">
        <w:t>B</w:t>
      </w:r>
      <w:proofErr w:type="spellEnd"/>
      <w:r w:rsidR="00A06A8A" w:rsidRPr="003C0E2F">
        <w:t xml:space="preserve"> and P38. </w:t>
      </w:r>
      <w:r w:rsidR="00B97A2A" w:rsidRPr="003C0E2F">
        <w:t>Higher concentrations or alternative delivery methods may be necessary to increase the effects of FP7 or FP12 in PBMCs.</w:t>
      </w:r>
    </w:p>
    <w:bookmarkEnd w:id="574"/>
    <w:bookmarkEnd w:id="575"/>
    <w:p w14:paraId="1FAE3393" w14:textId="77777777" w:rsidR="009558E6" w:rsidRPr="003C0E2F" w:rsidRDefault="009558E6" w:rsidP="009558E6"/>
    <w:p w14:paraId="2533C2EA" w14:textId="77777777" w:rsidR="00A47778" w:rsidRPr="003C0E2F" w:rsidRDefault="00A47778" w:rsidP="00BE5236"/>
    <w:p w14:paraId="36A6BE21" w14:textId="77777777" w:rsidR="00A47778" w:rsidRPr="003C0E2F" w:rsidRDefault="00A47778" w:rsidP="00BE5236">
      <w:pPr>
        <w:spacing w:line="259" w:lineRule="auto"/>
      </w:pPr>
      <w:r w:rsidRPr="003C0E2F">
        <w:br w:type="page"/>
      </w:r>
    </w:p>
    <w:p w14:paraId="20B67853" w14:textId="416D573E" w:rsidR="00D3097F" w:rsidRPr="003C0E2F" w:rsidRDefault="00D3097F" w:rsidP="00D55B0E">
      <w:pPr>
        <w:pStyle w:val="Heading3"/>
      </w:pPr>
      <w:r w:rsidRPr="003C0E2F">
        <w:lastRenderedPageBreak/>
        <w:t xml:space="preserve"> </w:t>
      </w:r>
      <w:bookmarkStart w:id="576" w:name="_Toc38543299"/>
      <w:bookmarkStart w:id="577" w:name="_Toc80013773"/>
      <w:bookmarkStart w:id="578" w:name="_Toc82882393"/>
      <w:r w:rsidRPr="003C0E2F">
        <w:t xml:space="preserve">FP7 downregulates </w:t>
      </w:r>
      <w:proofErr w:type="spellStart"/>
      <w:r w:rsidR="001A2988" w:rsidRPr="003C0E2F">
        <w:t>oxLDL</w:t>
      </w:r>
      <w:proofErr w:type="spellEnd"/>
      <w:r w:rsidR="000C4A70" w:rsidRPr="003C0E2F">
        <w:t>-</w:t>
      </w:r>
      <w:r w:rsidRPr="003C0E2F">
        <w:t xml:space="preserve">mediated TLR4 activation in THP-1 </w:t>
      </w:r>
      <w:r w:rsidR="008F561F" w:rsidRPr="003C0E2F">
        <w:t>macrophage</w:t>
      </w:r>
      <w:r w:rsidRPr="003C0E2F">
        <w:t>s</w:t>
      </w:r>
      <w:bookmarkEnd w:id="576"/>
      <w:bookmarkEnd w:id="577"/>
      <w:bookmarkEnd w:id="578"/>
      <w:r w:rsidRPr="003C0E2F">
        <w:t xml:space="preserve"> </w:t>
      </w:r>
    </w:p>
    <w:p w14:paraId="27605132" w14:textId="3EF3890A" w:rsidR="00672E7A" w:rsidRPr="003C0E2F" w:rsidRDefault="00672E7A" w:rsidP="00672E7A">
      <w:r w:rsidRPr="003C0E2F">
        <w:t>In many inflammatory based diseases, LPS is not thought the be the activator of TLR4 signalling and called sterile ligands of inflammation have been proposed in the absence of endotoxin</w:t>
      </w:r>
      <w:r w:rsidR="0027708C" w:rsidRPr="003C0E2F">
        <w:t xml:space="preserve">. </w:t>
      </w:r>
      <w:proofErr w:type="spellStart"/>
      <w:r w:rsidR="001A2988" w:rsidRPr="003C0E2F">
        <w:t>OxLDL</w:t>
      </w:r>
      <w:proofErr w:type="spellEnd"/>
      <w:r w:rsidRPr="003C0E2F">
        <w:t xml:space="preserve"> is thought to play a part in cardiovascular pathology and has been suggested to affect TLR4 signalling. It is therefore necessary to understand the potential of FP7 and FP12 to negatively regulate TLR4 activation in response to sterile ligands, which may function through unconventional means. </w:t>
      </w:r>
    </w:p>
    <w:p w14:paraId="3517B33D" w14:textId="63A789B3" w:rsidR="00672E7A" w:rsidRPr="003C0E2F" w:rsidRDefault="001A2988" w:rsidP="00672E7A">
      <w:proofErr w:type="spellStart"/>
      <w:r w:rsidRPr="003C0E2F">
        <w:t>OxLDL</w:t>
      </w:r>
      <w:proofErr w:type="spellEnd"/>
      <w:r w:rsidR="00672E7A" w:rsidRPr="003C0E2F">
        <w:t xml:space="preserve"> can be produced in the presence of transition ions. Hydroperoxide </w:t>
      </w:r>
      <w:proofErr w:type="spellStart"/>
      <w:r w:rsidRPr="003C0E2F">
        <w:t>oxLDL</w:t>
      </w:r>
      <w:proofErr w:type="spellEnd"/>
      <w:r w:rsidR="00672E7A" w:rsidRPr="003C0E2F">
        <w:t xml:space="preserve"> is produced rapidly at room temperature, and subsequently degrades at higher temperatures. Oxysterol </w:t>
      </w:r>
      <w:proofErr w:type="spellStart"/>
      <w:r w:rsidRPr="003C0E2F">
        <w:t>oxLDL</w:t>
      </w:r>
      <w:proofErr w:type="spellEnd"/>
      <w:r w:rsidR="00672E7A" w:rsidRPr="003C0E2F">
        <w:t xml:space="preserve"> is produced more slowly than </w:t>
      </w:r>
      <w:r w:rsidRPr="003C0E2F">
        <w:t>hydroperoxide-rich</w:t>
      </w:r>
      <w:r w:rsidR="00672E7A" w:rsidRPr="003C0E2F">
        <w:t xml:space="preserve"> </w:t>
      </w:r>
      <w:proofErr w:type="spellStart"/>
      <w:r w:rsidRPr="003C0E2F">
        <w:t>oxLDL</w:t>
      </w:r>
      <w:proofErr w:type="spellEnd"/>
      <w:r w:rsidR="00672E7A" w:rsidRPr="003C0E2F">
        <w:t>. Lower temperatures (4</w:t>
      </w:r>
      <w:r w:rsidR="00672E7A" w:rsidRPr="003C0E2F">
        <w:rPr>
          <w:vertAlign w:val="superscript"/>
        </w:rPr>
        <w:t>o</w:t>
      </w:r>
      <w:r w:rsidR="00672E7A" w:rsidRPr="003C0E2F">
        <w:t xml:space="preserve">c) allow the formation of </w:t>
      </w:r>
      <w:r w:rsidRPr="003C0E2F">
        <w:t>hydroperoxide-rich</w:t>
      </w:r>
      <w:r w:rsidR="00672E7A" w:rsidRPr="003C0E2F">
        <w:t xml:space="preserve"> </w:t>
      </w:r>
      <w:proofErr w:type="spellStart"/>
      <w:r w:rsidRPr="003C0E2F">
        <w:t>oxLDL</w:t>
      </w:r>
      <w:proofErr w:type="spellEnd"/>
      <w:r w:rsidR="00672E7A" w:rsidRPr="003C0E2F">
        <w:t xml:space="preserve"> by slowing production and degradation processes and stopping the reaction while hydroperoxides peak and oxysterol levels remain low. Conversely, higher temperature (37</w:t>
      </w:r>
      <w:r w:rsidR="00672E7A" w:rsidRPr="003C0E2F">
        <w:rPr>
          <w:vertAlign w:val="superscript"/>
        </w:rPr>
        <w:t>o</w:t>
      </w:r>
      <w:r w:rsidR="00672E7A" w:rsidRPr="003C0E2F">
        <w:t xml:space="preserve">c) allows for rapid formation of oxysterols, while hydroperoxides degrade, to create </w:t>
      </w:r>
      <w:r w:rsidRPr="003C0E2F">
        <w:t>oxysterol-rich</w:t>
      </w:r>
      <w:r w:rsidR="00672E7A" w:rsidRPr="003C0E2F">
        <w:t xml:space="preserve"> </w:t>
      </w:r>
      <w:proofErr w:type="spellStart"/>
      <w:r w:rsidRPr="003C0E2F">
        <w:t>oxLDL</w:t>
      </w:r>
      <w:proofErr w:type="spellEnd"/>
      <w:r w:rsidR="00672E7A" w:rsidRPr="003C0E2F">
        <w:t xml:space="preserve">. These variant forms may have different biological </w:t>
      </w:r>
      <w:r w:rsidR="008F561F" w:rsidRPr="003C0E2F">
        <w:t>effect</w:t>
      </w:r>
      <w:r w:rsidR="00672E7A" w:rsidRPr="003C0E2F">
        <w:t>s and are of interest to explore further.</w:t>
      </w:r>
    </w:p>
    <w:p w14:paraId="69440E2D" w14:textId="67765B6D" w:rsidR="00672E7A" w:rsidRPr="003C0E2F" w:rsidRDefault="00672E7A" w:rsidP="00672E7A">
      <w:r w:rsidRPr="003C0E2F">
        <w:t xml:space="preserve">To investigate the </w:t>
      </w:r>
      <w:r w:rsidR="008F561F" w:rsidRPr="003C0E2F">
        <w:t>effect</w:t>
      </w:r>
      <w:r w:rsidRPr="003C0E2F">
        <w:t xml:space="preserve"> of FP7 on </w:t>
      </w:r>
      <w:proofErr w:type="spellStart"/>
      <w:r w:rsidR="001A2988" w:rsidRPr="003C0E2F">
        <w:t>oxLDL</w:t>
      </w:r>
      <w:proofErr w:type="spellEnd"/>
      <w:r w:rsidR="000A1BFB" w:rsidRPr="003C0E2F">
        <w:t xml:space="preserve"> induced</w:t>
      </w:r>
      <w:r w:rsidRPr="003C0E2F">
        <w:t xml:space="preserve"> proinflammatory signalling, a series of experimental optimisation steps were required. Cell viability screening was carried out to determine safe concentration for use in future experiments. From this, 0-50 µg/</w:t>
      </w:r>
      <w:r w:rsidR="00005854" w:rsidRPr="003C0E2F">
        <w:rPr>
          <w:rFonts w:asciiTheme="majorHAnsi" w:hAnsiTheme="majorHAnsi"/>
        </w:rPr>
        <w:t xml:space="preserve">mL </w:t>
      </w:r>
      <w:r w:rsidRPr="003C0E2F">
        <w:t>oxysterol and 100 µg/</w:t>
      </w:r>
      <w:r w:rsidR="00005854" w:rsidRPr="003C0E2F">
        <w:rPr>
          <w:rFonts w:asciiTheme="majorHAnsi" w:hAnsiTheme="majorHAnsi"/>
        </w:rPr>
        <w:t xml:space="preserve">mL </w:t>
      </w:r>
      <w:r w:rsidR="001A2988" w:rsidRPr="003C0E2F">
        <w:t>hydroperoxide-rich</w:t>
      </w:r>
      <w:r w:rsidRPr="003C0E2F">
        <w:t xml:space="preserve"> </w:t>
      </w:r>
      <w:proofErr w:type="spellStart"/>
      <w:r w:rsidR="001A2988" w:rsidRPr="003C0E2F">
        <w:t>oxLDL</w:t>
      </w:r>
      <w:proofErr w:type="spellEnd"/>
      <w:r w:rsidRPr="003C0E2F">
        <w:t xml:space="preserve"> concentrations were selected for investigation. Cytokine production and </w:t>
      </w:r>
      <w:r w:rsidR="00623C8F" w:rsidRPr="003C0E2F">
        <w:t>signalling mediator</w:t>
      </w:r>
      <w:r w:rsidRPr="003C0E2F">
        <w:t xml:space="preserve"> activation was measured following exposure to 10, 50 and 100 µg/</w:t>
      </w:r>
      <w:r w:rsidR="00005854" w:rsidRPr="003C0E2F">
        <w:rPr>
          <w:rFonts w:asciiTheme="majorHAnsi" w:hAnsiTheme="majorHAnsi"/>
        </w:rPr>
        <w:t xml:space="preserve">mL </w:t>
      </w:r>
      <w:proofErr w:type="spellStart"/>
      <w:r w:rsidR="001A2988" w:rsidRPr="003C0E2F">
        <w:t>oxLDL</w:t>
      </w:r>
      <w:proofErr w:type="spellEnd"/>
      <w:r w:rsidRPr="003C0E2F">
        <w:t>, with and without pre-treatment with 10 µM of FP7.</w:t>
      </w:r>
    </w:p>
    <w:p w14:paraId="3EBDD966" w14:textId="0211405A" w:rsidR="0085585E" w:rsidRPr="003C0E2F" w:rsidRDefault="00672E7A" w:rsidP="00672E7A">
      <w:pPr>
        <w:rPr>
          <w:b/>
          <w:i/>
          <w:iCs/>
        </w:rPr>
      </w:pPr>
      <w:r w:rsidRPr="003C0E2F">
        <w:t xml:space="preserve">First, to assess the </w:t>
      </w:r>
      <w:r w:rsidR="008F561F" w:rsidRPr="003C0E2F">
        <w:t>effect</w:t>
      </w:r>
      <w:r w:rsidRPr="003C0E2F">
        <w:t xml:space="preserve"> of </w:t>
      </w:r>
      <w:proofErr w:type="spellStart"/>
      <w:r w:rsidR="001A2988" w:rsidRPr="003C0E2F">
        <w:t>oxLDL</w:t>
      </w:r>
      <w:proofErr w:type="spellEnd"/>
      <w:r w:rsidRPr="003C0E2F">
        <w:t xml:space="preserve"> onTHP-1</w:t>
      </w:r>
      <w:r w:rsidR="008F561F" w:rsidRPr="003C0E2F">
        <w:t>macrophage</w:t>
      </w:r>
      <w:r w:rsidRPr="003C0E2F">
        <w:t xml:space="preserve">s cell viability, an MTT assay was carried out using </w:t>
      </w:r>
      <w:proofErr w:type="spellStart"/>
      <w:r w:rsidR="001A2988" w:rsidRPr="003C0E2F">
        <w:t>oxLDL</w:t>
      </w:r>
      <w:proofErr w:type="spellEnd"/>
      <w:r w:rsidRPr="003C0E2F">
        <w:t xml:space="preserve"> ranging from 0-100 µg/ml. Both forms of </w:t>
      </w:r>
      <w:proofErr w:type="spellStart"/>
      <w:r w:rsidR="001A2988" w:rsidRPr="003C0E2F">
        <w:t>oxLDL</w:t>
      </w:r>
      <w:proofErr w:type="spellEnd"/>
      <w:r w:rsidRPr="003C0E2F">
        <w:t xml:space="preserve"> were well tolerated in THP-1 </w:t>
      </w:r>
      <w:r w:rsidR="008F561F" w:rsidRPr="003C0E2F">
        <w:t>macrophage</w:t>
      </w:r>
      <w:r w:rsidRPr="003C0E2F">
        <w:t xml:space="preserve">s. However, a significant reduction in cell viability was seen in cells exposed to </w:t>
      </w:r>
      <w:r w:rsidR="001A2988" w:rsidRPr="003C0E2F">
        <w:t>oxysterol-rich</w:t>
      </w:r>
      <w:r w:rsidRPr="003C0E2F">
        <w:t xml:space="preserve"> </w:t>
      </w:r>
      <w:proofErr w:type="spellStart"/>
      <w:r w:rsidR="001A2988" w:rsidRPr="003C0E2F">
        <w:t>oxLDL</w:t>
      </w:r>
      <w:proofErr w:type="spellEnd"/>
      <w:r w:rsidRPr="003C0E2F">
        <w:t xml:space="preserve"> at concentrations greater than </w:t>
      </w:r>
      <w:r w:rsidR="00744871" w:rsidRPr="003C0E2F">
        <w:rPr>
          <w:rFonts w:asciiTheme="majorHAnsi" w:hAnsiTheme="majorHAnsi"/>
        </w:rPr>
        <w:t>5</w:t>
      </w:r>
      <w:r w:rsidRPr="003C0E2F">
        <w:t>0 µg/</w:t>
      </w:r>
      <w:r w:rsidR="00005854" w:rsidRPr="003C0E2F">
        <w:t xml:space="preserve">mL </w:t>
      </w:r>
      <w:r w:rsidRPr="003C0E2F">
        <w:t xml:space="preserve">in THP-1 </w:t>
      </w:r>
      <w:r w:rsidR="008F561F" w:rsidRPr="003C0E2F">
        <w:t>macrophage</w:t>
      </w:r>
      <w:r w:rsidRPr="003C0E2F">
        <w:t xml:space="preserve">s, but not </w:t>
      </w:r>
      <w:r w:rsidR="001A2988" w:rsidRPr="003C0E2F">
        <w:t>hydroperoxide-</w:t>
      </w:r>
      <w:r w:rsidR="001A2988" w:rsidRPr="003C0E2F">
        <w:lastRenderedPageBreak/>
        <w:t>rich</w:t>
      </w:r>
      <w:r w:rsidRPr="003C0E2F">
        <w:t xml:space="preserve"> </w:t>
      </w:r>
      <w:proofErr w:type="spellStart"/>
      <w:r w:rsidR="001A2988" w:rsidRPr="003C0E2F">
        <w:t>oxLDL</w:t>
      </w:r>
      <w:proofErr w:type="spellEnd"/>
      <w:r w:rsidRPr="003C0E2F">
        <w:t xml:space="preserve"> up to 100 µg/ml.</w:t>
      </w:r>
      <w:r w:rsidR="009829F7" w:rsidRPr="003C0E2F">
        <w:rPr>
          <w:i/>
          <w:iCs/>
        </w:rPr>
        <w:br/>
      </w:r>
    </w:p>
    <w:bookmarkStart w:id="579" w:name="_Toc55583752"/>
    <w:p w14:paraId="48804DBF" w14:textId="77777777" w:rsidR="003C657C" w:rsidRPr="003C0E2F" w:rsidRDefault="0085585E" w:rsidP="00E959C5">
      <w:pPr>
        <w:pStyle w:val="NoSpacing"/>
      </w:pPr>
      <w:r w:rsidRPr="003C0E2F">
        <w:object w:dxaOrig="10985" w:dyaOrig="3907" w14:anchorId="757904E6">
          <v:shape id="_x0000_i1039" type="#_x0000_t75" style="width:453.6pt;height:158.4pt" o:ole="">
            <v:imagedata r:id="rId84" o:title=""/>
          </v:shape>
          <o:OLEObject Type="Embed" ProgID="Prism6.Document" ShapeID="_x0000_i1039" DrawAspect="Content" ObjectID="_1701584997" r:id="rId85"/>
        </w:object>
      </w:r>
      <w:bookmarkStart w:id="580" w:name="_Ref496091646"/>
    </w:p>
    <w:p w14:paraId="144A02FC" w14:textId="333DC4A2" w:rsidR="0085585E" w:rsidRPr="003C0E2F" w:rsidRDefault="00763D37" w:rsidP="00A2094F">
      <w:pPr>
        <w:pStyle w:val="NoSpacing"/>
      </w:pPr>
      <w:bookmarkStart w:id="581" w:name="_Toc55584930"/>
      <w:bookmarkStart w:id="582" w:name="_Toc60584045"/>
      <w:bookmarkStart w:id="583" w:name="_Toc60638163"/>
      <w:bookmarkStart w:id="584" w:name="_Toc60638883"/>
      <w:bookmarkStart w:id="585" w:name="_Toc63112017"/>
      <w:bookmarkStart w:id="586" w:name="_Toc63112234"/>
      <w:bookmarkStart w:id="587" w:name="_Toc63270374"/>
      <w:bookmarkStart w:id="588" w:name="_Toc64533241"/>
      <w:bookmarkStart w:id="589" w:name="_Toc64551788"/>
      <w:bookmarkStart w:id="590" w:name="_Toc80013832"/>
      <w:bookmarkStart w:id="591" w:name="_Toc82882971"/>
      <w:r w:rsidRPr="003C0E2F">
        <w:t>Figure</w:t>
      </w:r>
      <w:r w:rsidR="0085585E" w:rsidRPr="003C0E2F">
        <w:t xml:space="preserve"> </w:t>
      </w:r>
      <w:r w:rsidR="00862981">
        <w:fldChar w:fldCharType="begin"/>
      </w:r>
      <w:r w:rsidR="00862981">
        <w:instrText xml:space="preserve"> SEQ Figure \* ARABIC </w:instrText>
      </w:r>
      <w:r w:rsidR="00862981">
        <w:fldChar w:fldCharType="separate"/>
      </w:r>
      <w:r w:rsidR="000F2276">
        <w:rPr>
          <w:noProof/>
        </w:rPr>
        <w:t>30</w:t>
      </w:r>
      <w:r w:rsidR="00862981">
        <w:rPr>
          <w:noProof/>
        </w:rPr>
        <w:fldChar w:fldCharType="end"/>
      </w:r>
      <w:bookmarkEnd w:id="580"/>
      <w:r w:rsidR="003273B5" w:rsidRPr="003C0E2F">
        <w:t>. The effect</w:t>
      </w:r>
      <w:r w:rsidR="0085585E" w:rsidRPr="003C0E2F">
        <w:t xml:space="preserve"> of </w:t>
      </w:r>
      <w:proofErr w:type="spellStart"/>
      <w:r w:rsidR="001A2988" w:rsidRPr="003C0E2F">
        <w:t>oxLDL</w:t>
      </w:r>
      <w:proofErr w:type="spellEnd"/>
      <w:r w:rsidR="0085585E" w:rsidRPr="003C0E2F">
        <w:t xml:space="preserve"> on THP-1 </w:t>
      </w:r>
      <w:r w:rsidR="008F561F" w:rsidRPr="003C0E2F">
        <w:t>macrophage</w:t>
      </w:r>
      <w:r w:rsidR="0085585E" w:rsidRPr="003C0E2F">
        <w:t xml:space="preserve"> cell viability. Cells were treated with 0-100 µg/</w:t>
      </w:r>
      <w:r w:rsidR="00005854" w:rsidRPr="003C0E2F">
        <w:t xml:space="preserve">mL </w:t>
      </w:r>
      <w:r w:rsidR="0085585E" w:rsidRPr="003C0E2F">
        <w:t xml:space="preserve">oxysterol or </w:t>
      </w:r>
      <w:r w:rsidR="001A2988" w:rsidRPr="003C0E2F">
        <w:t>hydroperoxide-rich</w:t>
      </w:r>
      <w:r w:rsidR="0085585E" w:rsidRPr="003C0E2F">
        <w:t xml:space="preserve"> </w:t>
      </w:r>
      <w:proofErr w:type="spellStart"/>
      <w:r w:rsidR="001A2988" w:rsidRPr="003C0E2F">
        <w:t>oxLDL</w:t>
      </w:r>
      <w:proofErr w:type="spellEnd"/>
      <w:r w:rsidR="0085585E" w:rsidRPr="003C0E2F">
        <w:t xml:space="preserve"> and incubated overnight (16h) prior to addition of MTT reagent. Results are shown as mean +/- SD of </w:t>
      </w:r>
      <w:r w:rsidR="001A63CC" w:rsidRPr="003C0E2F">
        <w:t>n</w:t>
      </w:r>
      <w:r w:rsidR="007D794B" w:rsidRPr="003C0E2F">
        <w:t>=</w:t>
      </w:r>
      <w:r w:rsidR="0085585E" w:rsidRPr="003C0E2F">
        <w:t>6</w:t>
      </w:r>
      <w:r w:rsidR="007D794B" w:rsidRPr="003C0E2F">
        <w:t xml:space="preserve"> and</w:t>
      </w:r>
      <w:r w:rsidR="0085585E" w:rsidRPr="003C0E2F">
        <w:t xml:space="preserve"> expressed as a percentage relative to the control set.</w:t>
      </w:r>
      <w:bookmarkEnd w:id="579"/>
      <w:bookmarkEnd w:id="581"/>
      <w:bookmarkEnd w:id="582"/>
      <w:bookmarkEnd w:id="583"/>
      <w:bookmarkEnd w:id="584"/>
      <w:bookmarkEnd w:id="585"/>
      <w:bookmarkEnd w:id="586"/>
      <w:bookmarkEnd w:id="587"/>
      <w:bookmarkEnd w:id="588"/>
      <w:bookmarkEnd w:id="589"/>
      <w:bookmarkEnd w:id="590"/>
      <w:bookmarkEnd w:id="591"/>
    </w:p>
    <w:p w14:paraId="4F1B37DC" w14:textId="76614AB8" w:rsidR="001932B5" w:rsidRPr="003C0E2F" w:rsidRDefault="001932B5" w:rsidP="00E959C5">
      <w:pPr>
        <w:pStyle w:val="NoSpacing"/>
      </w:pPr>
    </w:p>
    <w:p w14:paraId="0651A369" w14:textId="6FBC1999" w:rsidR="00672E7A" w:rsidRPr="003C0E2F" w:rsidRDefault="00672E7A" w:rsidP="00672E7A">
      <w:r w:rsidRPr="003C0E2F">
        <w:t xml:space="preserve">Results obtained from MTT analysis of cell viability were used to inform concentrations used for future experiments (Figure 30). </w:t>
      </w:r>
      <w:r w:rsidR="001A2988" w:rsidRPr="003C0E2F">
        <w:t>Hydroperoxide-rich</w:t>
      </w:r>
      <w:r w:rsidRPr="003C0E2F">
        <w:t xml:space="preserve"> </w:t>
      </w:r>
      <w:proofErr w:type="spellStart"/>
      <w:r w:rsidR="001A2988" w:rsidRPr="003C0E2F">
        <w:t>oxLDL</w:t>
      </w:r>
      <w:proofErr w:type="spellEnd"/>
      <w:r w:rsidRPr="003C0E2F">
        <w:t xml:space="preserve"> was well tolerated by THP-1 </w:t>
      </w:r>
      <w:r w:rsidR="008F561F" w:rsidRPr="003C0E2F">
        <w:t>macrophage</w:t>
      </w:r>
      <w:r w:rsidRPr="003C0E2F">
        <w:t xml:space="preserve">s at all tested concentrations, whereas </w:t>
      </w:r>
      <w:r w:rsidR="001A2988" w:rsidRPr="003C0E2F">
        <w:t>oxysterol-rich</w:t>
      </w:r>
      <w:r w:rsidRPr="003C0E2F">
        <w:t xml:space="preserve"> </w:t>
      </w:r>
      <w:proofErr w:type="spellStart"/>
      <w:r w:rsidR="001A2988" w:rsidRPr="003C0E2F">
        <w:t>oxLDL</w:t>
      </w:r>
      <w:proofErr w:type="spellEnd"/>
      <w:r w:rsidRPr="003C0E2F">
        <w:t xml:space="preserve"> significantly reduced viability following treatment &gt;50 µg/ml. Concentrations which caused a reduction in viability of greater than 80% were considered unsuitable for further experiments. 0-50 µg/</w:t>
      </w:r>
      <w:r w:rsidR="00005854" w:rsidRPr="003C0E2F">
        <w:rPr>
          <w:rFonts w:asciiTheme="majorHAnsi" w:hAnsiTheme="majorHAnsi"/>
        </w:rPr>
        <w:t xml:space="preserve">mL </w:t>
      </w:r>
      <w:r w:rsidRPr="003C0E2F">
        <w:t>oxysterol and 0-100 µg/</w:t>
      </w:r>
      <w:r w:rsidR="00005854" w:rsidRPr="003C0E2F">
        <w:rPr>
          <w:rFonts w:asciiTheme="majorHAnsi" w:hAnsiTheme="majorHAnsi"/>
        </w:rPr>
        <w:t xml:space="preserve">mL </w:t>
      </w:r>
      <w:r w:rsidR="001A2988" w:rsidRPr="003C0E2F">
        <w:t>hydroperoxide-rich</w:t>
      </w:r>
      <w:r w:rsidRPr="003C0E2F">
        <w:t xml:space="preserve"> </w:t>
      </w:r>
      <w:proofErr w:type="spellStart"/>
      <w:r w:rsidR="001A2988" w:rsidRPr="003C0E2F">
        <w:t>oxLDL</w:t>
      </w:r>
      <w:proofErr w:type="spellEnd"/>
      <w:r w:rsidRPr="003C0E2F">
        <w:t xml:space="preserve"> were selected for activation of TLR4</w:t>
      </w:r>
      <w:r w:rsidR="000A1BFB" w:rsidRPr="003C0E2F">
        <w:t xml:space="preserve"> induced</w:t>
      </w:r>
      <w:r w:rsidRPr="003C0E2F">
        <w:t xml:space="preserve"> signalling in THP-1 </w:t>
      </w:r>
      <w:r w:rsidR="008F561F" w:rsidRPr="003C0E2F">
        <w:t>macrophage</w:t>
      </w:r>
      <w:r w:rsidRPr="003C0E2F">
        <w:t>s.</w:t>
      </w:r>
    </w:p>
    <w:p w14:paraId="04F69ED5" w14:textId="0D3CE2C0" w:rsidR="00672E7A" w:rsidRPr="003C0E2F" w:rsidRDefault="00672E7A" w:rsidP="00672E7A">
      <w:r w:rsidRPr="003C0E2F">
        <w:t xml:space="preserve">THP-1 </w:t>
      </w:r>
      <w:r w:rsidR="008F561F" w:rsidRPr="003C0E2F">
        <w:t>macrophage</w:t>
      </w:r>
      <w:r w:rsidRPr="003C0E2F">
        <w:t>s were exposed to 10, 50 or 100 µg/</w:t>
      </w:r>
      <w:r w:rsidR="00005854" w:rsidRPr="003C0E2F">
        <w:rPr>
          <w:rFonts w:asciiTheme="majorHAnsi" w:hAnsiTheme="majorHAnsi"/>
        </w:rPr>
        <w:t xml:space="preserve">mL </w:t>
      </w:r>
      <w:r w:rsidR="001A2988" w:rsidRPr="003C0E2F">
        <w:t>hydroperoxide-rich</w:t>
      </w:r>
      <w:r w:rsidRPr="003C0E2F">
        <w:t xml:space="preserve"> </w:t>
      </w:r>
      <w:proofErr w:type="spellStart"/>
      <w:r w:rsidR="001A2988" w:rsidRPr="003C0E2F">
        <w:t>oxLDL</w:t>
      </w:r>
      <w:proofErr w:type="spellEnd"/>
      <w:r w:rsidRPr="003C0E2F">
        <w:t xml:space="preserve"> and 10 or 100 µg/</w:t>
      </w:r>
      <w:r w:rsidR="00005854" w:rsidRPr="003C0E2F">
        <w:rPr>
          <w:rFonts w:asciiTheme="majorHAnsi" w:hAnsiTheme="majorHAnsi"/>
        </w:rPr>
        <w:t xml:space="preserve">mL </w:t>
      </w:r>
      <w:r w:rsidR="001A2988" w:rsidRPr="003C0E2F">
        <w:t>oxysterol-rich</w:t>
      </w:r>
      <w:r w:rsidRPr="003C0E2F">
        <w:t xml:space="preserve"> </w:t>
      </w:r>
      <w:proofErr w:type="spellStart"/>
      <w:r w:rsidR="001A2988" w:rsidRPr="003C0E2F">
        <w:t>oxLDL</w:t>
      </w:r>
      <w:proofErr w:type="spellEnd"/>
      <w:r w:rsidRPr="003C0E2F">
        <w:t xml:space="preserve"> with or without pre-treatment with FP7 (10 µM). Statistical analysis was carried out on control vs </w:t>
      </w:r>
      <w:proofErr w:type="spellStart"/>
      <w:r w:rsidR="001A2988" w:rsidRPr="003C0E2F">
        <w:t>oxLDL</w:t>
      </w:r>
      <w:proofErr w:type="spellEnd"/>
      <w:r w:rsidRPr="003C0E2F">
        <w:t xml:space="preserve"> only groups, and </w:t>
      </w:r>
      <w:proofErr w:type="spellStart"/>
      <w:r w:rsidR="001A2988" w:rsidRPr="003C0E2F">
        <w:t>oxLDL</w:t>
      </w:r>
      <w:proofErr w:type="spellEnd"/>
      <w:r w:rsidRPr="003C0E2F">
        <w:t xml:space="preserve"> groups vs </w:t>
      </w:r>
      <w:r w:rsidR="001A2988" w:rsidRPr="003C0E2F">
        <w:t>oxLDL</w:t>
      </w:r>
      <w:r w:rsidRPr="003C0E2F">
        <w:t xml:space="preserve">+FP7 groups. </w:t>
      </w:r>
    </w:p>
    <w:p w14:paraId="66852C4F" w14:textId="19B227FE" w:rsidR="00FA7831" w:rsidRPr="003C0E2F" w:rsidRDefault="00672E7A" w:rsidP="00672E7A">
      <w:r w:rsidRPr="003C0E2F">
        <w:t xml:space="preserve">Both hydroperoxide and </w:t>
      </w:r>
      <w:r w:rsidR="001A2988" w:rsidRPr="003C0E2F">
        <w:t>oxysterol-rich</w:t>
      </w:r>
      <w:r w:rsidRPr="003C0E2F">
        <w:t xml:space="preserve"> </w:t>
      </w:r>
      <w:proofErr w:type="spellStart"/>
      <w:r w:rsidR="001A2988" w:rsidRPr="003C0E2F">
        <w:t>oxLDL</w:t>
      </w:r>
      <w:proofErr w:type="spellEnd"/>
      <w:r w:rsidRPr="003C0E2F">
        <w:t xml:space="preserve"> types </w:t>
      </w:r>
      <w:proofErr w:type="gramStart"/>
      <w:r w:rsidRPr="003C0E2F">
        <w:t>were capable of producing</w:t>
      </w:r>
      <w:proofErr w:type="gramEnd"/>
      <w:r w:rsidRPr="003C0E2F">
        <w:t xml:space="preserve"> a significant increase in IL-1β (Figure 31), IL-6 (Figure 32) and IL-8 (Figure 33) after overnight exposure in a concentration</w:t>
      </w:r>
      <w:r w:rsidR="00A9277D" w:rsidRPr="003C0E2F">
        <w:t>-</w:t>
      </w:r>
      <w:r w:rsidR="009E0322" w:rsidRPr="003C0E2F">
        <w:lastRenderedPageBreak/>
        <w:t>dependent</w:t>
      </w:r>
      <w:r w:rsidRPr="003C0E2F">
        <w:t xml:space="preserve"> manner. However, </w:t>
      </w:r>
      <w:proofErr w:type="spellStart"/>
      <w:r w:rsidRPr="003C0E2F">
        <w:t>nLDL</w:t>
      </w:r>
      <w:proofErr w:type="spellEnd"/>
      <w:r w:rsidRPr="003C0E2F">
        <w:t xml:space="preserve"> did not produce a comparable response. Following </w:t>
      </w:r>
      <w:proofErr w:type="spellStart"/>
      <w:r w:rsidR="001A2988" w:rsidRPr="003C0E2F">
        <w:t>oxLDL</w:t>
      </w:r>
      <w:proofErr w:type="spellEnd"/>
      <w:r w:rsidRPr="003C0E2F">
        <w:t xml:space="preserve"> treatment, IL-1β levels were significantly increased in response to higher concentrations (&gt;50μg/ml) of both hydroperoxide- and oxysterol- rich </w:t>
      </w:r>
      <w:proofErr w:type="spellStart"/>
      <w:r w:rsidR="001A2988" w:rsidRPr="003C0E2F">
        <w:t>oxLDL</w:t>
      </w:r>
      <w:proofErr w:type="spellEnd"/>
      <w:r w:rsidRPr="003C0E2F">
        <w:t xml:space="preserve"> (Figure 31). Pre-treatment of cells with FP7 (10μM) resulted in a significant reduction of IL-8 following stimulation in all treated groups.</w:t>
      </w:r>
    </w:p>
    <w:p w14:paraId="27B8A973" w14:textId="77777777" w:rsidR="00672E7A" w:rsidRPr="003C0E2F" w:rsidRDefault="00672E7A" w:rsidP="00672E7A"/>
    <w:p w14:paraId="6609C013" w14:textId="3ADF1BF4" w:rsidR="0085585E" w:rsidRPr="003C0E2F" w:rsidRDefault="009C173F" w:rsidP="00FB5606">
      <w:pPr>
        <w:jc w:val="center"/>
      </w:pPr>
      <w:r w:rsidRPr="003C0E2F">
        <w:object w:dxaOrig="6394" w:dyaOrig="4894" w14:anchorId="52CEE3E6">
          <v:shape id="_x0000_i1040" type="#_x0000_t75" style="width:316.8pt;height:244.2pt" o:ole="">
            <v:imagedata r:id="rId86" o:title=""/>
          </v:shape>
          <o:OLEObject Type="Embed" ProgID="Prism6.Document" ShapeID="_x0000_i1040" DrawAspect="Content" ObjectID="_1701584998" r:id="rId87"/>
        </w:object>
      </w:r>
    </w:p>
    <w:p w14:paraId="1F1A8AB9" w14:textId="0DF6C1A2" w:rsidR="00A2094F" w:rsidRPr="003C0E2F" w:rsidRDefault="00763D37" w:rsidP="00A2094F">
      <w:pPr>
        <w:pStyle w:val="NoSpacing"/>
      </w:pPr>
      <w:bookmarkStart w:id="592" w:name="_Ref496091652"/>
      <w:bookmarkStart w:id="593" w:name="_Toc55583753"/>
      <w:bookmarkStart w:id="594" w:name="_Toc55584931"/>
      <w:bookmarkStart w:id="595" w:name="_Toc60584046"/>
      <w:bookmarkStart w:id="596" w:name="_Toc60638164"/>
      <w:bookmarkStart w:id="597" w:name="_Toc60638884"/>
      <w:bookmarkStart w:id="598" w:name="_Toc63112018"/>
      <w:bookmarkStart w:id="599" w:name="_Toc63112235"/>
      <w:bookmarkStart w:id="600" w:name="_Toc63270375"/>
      <w:bookmarkStart w:id="601" w:name="_Toc64533242"/>
      <w:bookmarkStart w:id="602" w:name="_Toc64551789"/>
      <w:bookmarkStart w:id="603" w:name="_Toc80013833"/>
      <w:bookmarkStart w:id="604" w:name="_Toc82882972"/>
      <w:r w:rsidRPr="003C0E2F">
        <w:t>Figure</w:t>
      </w:r>
      <w:r w:rsidR="0085585E" w:rsidRPr="003C0E2F">
        <w:t xml:space="preserve"> </w:t>
      </w:r>
      <w:r w:rsidR="00862981">
        <w:fldChar w:fldCharType="begin"/>
      </w:r>
      <w:r w:rsidR="00862981">
        <w:instrText xml:space="preserve"> SEQ Figure \* ARABIC </w:instrText>
      </w:r>
      <w:r w:rsidR="00862981">
        <w:fldChar w:fldCharType="separate"/>
      </w:r>
      <w:r w:rsidR="000F2276">
        <w:rPr>
          <w:noProof/>
        </w:rPr>
        <w:t>31</w:t>
      </w:r>
      <w:r w:rsidR="00862981">
        <w:rPr>
          <w:noProof/>
        </w:rPr>
        <w:fldChar w:fldCharType="end"/>
      </w:r>
      <w:bookmarkEnd w:id="592"/>
      <w:r w:rsidR="0085585E" w:rsidRPr="003C0E2F">
        <w:t xml:space="preserve">. FP7 downregulates IL-1β </w:t>
      </w:r>
      <w:r w:rsidR="00E43384" w:rsidRPr="003C0E2F">
        <w:t>secretion</w:t>
      </w:r>
      <w:r w:rsidR="0085585E" w:rsidRPr="003C0E2F">
        <w:t xml:space="preserve"> in response to </w:t>
      </w:r>
      <w:proofErr w:type="spellStart"/>
      <w:r w:rsidR="001A2988" w:rsidRPr="003C0E2F">
        <w:t>oxLDL</w:t>
      </w:r>
      <w:proofErr w:type="spellEnd"/>
      <w:r w:rsidR="0085585E" w:rsidRPr="003C0E2F">
        <w:t xml:space="preserve"> in THP-1 derived </w:t>
      </w:r>
      <w:r w:rsidR="008F561F" w:rsidRPr="003C0E2F">
        <w:t>macrophage</w:t>
      </w:r>
      <w:r w:rsidR="0085585E" w:rsidRPr="003C0E2F">
        <w:t xml:space="preserve">s. THP-1 derived </w:t>
      </w:r>
      <w:r w:rsidR="008F561F" w:rsidRPr="003C0E2F">
        <w:t>macrophage</w:t>
      </w:r>
      <w:r w:rsidR="0085585E" w:rsidRPr="003C0E2F">
        <w:t xml:space="preserve">s were treated with a specific TLR4 antagonist FP7 (10 µM) or vehicle (Ethanol/DMSO) for 1 hour before overnight (16hr) incubation with hydroperoxide-rich </w:t>
      </w:r>
      <w:proofErr w:type="spellStart"/>
      <w:r w:rsidR="001A2988" w:rsidRPr="003C0E2F">
        <w:t>oxLDL</w:t>
      </w:r>
      <w:proofErr w:type="spellEnd"/>
      <w:r w:rsidR="0085585E" w:rsidRPr="003C0E2F">
        <w:t xml:space="preserve"> (0-100 µg/ml), oxysterol-rich </w:t>
      </w:r>
      <w:proofErr w:type="spellStart"/>
      <w:r w:rsidR="001A2988" w:rsidRPr="003C0E2F">
        <w:t>oxLDL</w:t>
      </w:r>
      <w:proofErr w:type="spellEnd"/>
      <w:r w:rsidR="0085585E" w:rsidRPr="003C0E2F">
        <w:t xml:space="preserve"> (0-50 /ml) or native LDL (50 µg/ml).</w:t>
      </w:r>
      <w:r w:rsidR="00F01D38" w:rsidRPr="003C0E2F">
        <w:t xml:space="preserve"> </w:t>
      </w:r>
      <w:r w:rsidR="00A2094F" w:rsidRPr="003C0E2F">
        <w:rPr>
          <w:rStyle w:val="NoSpacingChar"/>
          <w:i/>
        </w:rPr>
        <w:t>(-)</w:t>
      </w:r>
      <w:r w:rsidR="00F01D38" w:rsidRPr="003C0E2F">
        <w:rPr>
          <w:rStyle w:val="NoSpacingChar"/>
          <w:i/>
        </w:rPr>
        <w:t xml:space="preserve"> are with vehicle only.</w:t>
      </w:r>
      <w:r w:rsidR="0085585E" w:rsidRPr="003C0E2F">
        <w:t xml:space="preserve"> Culture medium was collected and retained for analysis. IL-1β </w:t>
      </w:r>
      <w:r w:rsidR="00E43384" w:rsidRPr="003C0E2F">
        <w:t>secretion</w:t>
      </w:r>
      <w:r w:rsidR="0085585E" w:rsidRPr="003C0E2F">
        <w:t xml:space="preserve"> was measured via ELISA. Results are expressed as mean +/- standard deviation from three separate treatments. Significant results are shown as * = p&lt;0.05, ** = p&lt;0.01 *** = p&lt;0.001.</w:t>
      </w:r>
      <w:bookmarkEnd w:id="593"/>
      <w:bookmarkEnd w:id="594"/>
      <w:bookmarkEnd w:id="595"/>
      <w:bookmarkEnd w:id="596"/>
      <w:bookmarkEnd w:id="597"/>
      <w:bookmarkEnd w:id="598"/>
      <w:bookmarkEnd w:id="599"/>
      <w:bookmarkEnd w:id="600"/>
      <w:bookmarkEnd w:id="601"/>
      <w:bookmarkEnd w:id="602"/>
      <w:bookmarkEnd w:id="603"/>
      <w:bookmarkEnd w:id="604"/>
    </w:p>
    <w:p w14:paraId="2C68F4F5" w14:textId="77777777" w:rsidR="00A2094F" w:rsidRPr="003C0E2F" w:rsidRDefault="00A2094F">
      <w:pPr>
        <w:spacing w:line="259" w:lineRule="auto"/>
        <w:rPr>
          <w:rFonts w:asciiTheme="majorHAnsi" w:eastAsiaTheme="minorHAnsi" w:hAnsiTheme="majorHAnsi" w:cstheme="majorHAnsi"/>
          <w:i/>
          <w:lang w:eastAsia="en-US"/>
        </w:rPr>
      </w:pPr>
      <w:r w:rsidRPr="003C0E2F">
        <w:br w:type="page"/>
      </w:r>
    </w:p>
    <w:p w14:paraId="47EE3BB7" w14:textId="68E7FD62" w:rsidR="00FA7831" w:rsidRPr="003C0E2F" w:rsidRDefault="001A2988" w:rsidP="0085585E">
      <w:proofErr w:type="spellStart"/>
      <w:r w:rsidRPr="003C0E2F">
        <w:lastRenderedPageBreak/>
        <w:t>OxLDL</w:t>
      </w:r>
      <w:proofErr w:type="spellEnd"/>
      <w:r w:rsidR="00672E7A" w:rsidRPr="003C0E2F">
        <w:t xml:space="preserve"> produced a similar increase in IL-6 as seen with IL-1β whereby 50-100μg/</w:t>
      </w:r>
      <w:r w:rsidR="00005854" w:rsidRPr="003C0E2F">
        <w:rPr>
          <w:rFonts w:asciiTheme="majorHAnsi" w:hAnsiTheme="majorHAnsi"/>
        </w:rPr>
        <w:t xml:space="preserve">mL </w:t>
      </w:r>
      <w:r w:rsidR="00672E7A" w:rsidRPr="003C0E2F">
        <w:t xml:space="preserve">produced the most </w:t>
      </w:r>
      <w:r w:rsidR="008F561F" w:rsidRPr="003C0E2F">
        <w:t>effect</w:t>
      </w:r>
      <w:r w:rsidR="00672E7A" w:rsidRPr="003C0E2F">
        <w:t>ive response (Figure 32). However, 10μg/</w:t>
      </w:r>
      <w:r w:rsidR="00005854" w:rsidRPr="003C0E2F">
        <w:rPr>
          <w:rFonts w:asciiTheme="majorHAnsi" w:hAnsiTheme="majorHAnsi"/>
        </w:rPr>
        <w:t xml:space="preserve">mL </w:t>
      </w:r>
      <w:r w:rsidR="00672E7A" w:rsidRPr="003C0E2F">
        <w:t xml:space="preserve">of hydroperoxide-rich </w:t>
      </w:r>
      <w:proofErr w:type="spellStart"/>
      <w:r w:rsidRPr="003C0E2F">
        <w:t>oxLDL</w:t>
      </w:r>
      <w:proofErr w:type="spellEnd"/>
      <w:r w:rsidR="00672E7A" w:rsidRPr="003C0E2F">
        <w:t xml:space="preserve"> was also enough to induce a smaller, but significant, increase in IL-6 following stimulation. FP7 (10μM) was capable of counteracting IL-6 </w:t>
      </w:r>
      <w:r w:rsidR="00E43384" w:rsidRPr="003C0E2F">
        <w:t xml:space="preserve">secretion </w:t>
      </w:r>
      <w:r w:rsidR="00672E7A" w:rsidRPr="003C0E2F">
        <w:t xml:space="preserve">in response to </w:t>
      </w:r>
      <w:proofErr w:type="spellStart"/>
      <w:r w:rsidRPr="003C0E2F">
        <w:t>oxLDL</w:t>
      </w:r>
      <w:proofErr w:type="spellEnd"/>
      <w:r w:rsidR="00672E7A" w:rsidRPr="003C0E2F">
        <w:t>.</w:t>
      </w:r>
    </w:p>
    <w:p w14:paraId="0A6B397E" w14:textId="77777777" w:rsidR="00672E7A" w:rsidRPr="003C0E2F" w:rsidRDefault="00672E7A" w:rsidP="0085585E"/>
    <w:p w14:paraId="17D1AE7F" w14:textId="77777777" w:rsidR="0085585E" w:rsidRPr="003C0E2F" w:rsidRDefault="0085585E" w:rsidP="00FB5606">
      <w:pPr>
        <w:pStyle w:val="NoSpacing"/>
        <w:jc w:val="center"/>
      </w:pPr>
      <w:r w:rsidRPr="003C0E2F">
        <w:object w:dxaOrig="6535" w:dyaOrig="4992" w14:anchorId="13030F28">
          <v:shape id="_x0000_i1041" type="#_x0000_t75" style="width:324pt;height:252pt" o:ole="">
            <v:imagedata r:id="rId88" o:title=""/>
          </v:shape>
          <o:OLEObject Type="Embed" ProgID="Prism6.Document" ShapeID="_x0000_i1041" DrawAspect="Content" ObjectID="_1701584999" r:id="rId89"/>
        </w:object>
      </w:r>
    </w:p>
    <w:p w14:paraId="621FFAC1" w14:textId="2B2784FC" w:rsidR="0085585E" w:rsidRPr="003C0E2F" w:rsidRDefault="00763D37" w:rsidP="00A2094F">
      <w:pPr>
        <w:pStyle w:val="NoSpacing"/>
      </w:pPr>
      <w:bookmarkStart w:id="605" w:name="_Ref36831492"/>
      <w:bookmarkStart w:id="606" w:name="_Toc55583754"/>
      <w:bookmarkStart w:id="607" w:name="_Toc55584932"/>
      <w:bookmarkStart w:id="608" w:name="_Toc60584047"/>
      <w:bookmarkStart w:id="609" w:name="_Toc60638165"/>
      <w:bookmarkStart w:id="610" w:name="_Toc60638885"/>
      <w:bookmarkStart w:id="611" w:name="_Toc63112019"/>
      <w:bookmarkStart w:id="612" w:name="_Toc63112236"/>
      <w:bookmarkStart w:id="613" w:name="_Toc63270376"/>
      <w:bookmarkStart w:id="614" w:name="_Toc64533243"/>
      <w:bookmarkStart w:id="615" w:name="_Toc64551790"/>
      <w:bookmarkStart w:id="616" w:name="_Toc80013834"/>
      <w:bookmarkStart w:id="617" w:name="_Toc82882973"/>
      <w:r w:rsidRPr="003C0E2F">
        <w:t>Figure</w:t>
      </w:r>
      <w:r w:rsidR="0085585E" w:rsidRPr="003C0E2F">
        <w:t xml:space="preserve"> </w:t>
      </w:r>
      <w:r w:rsidR="00862981">
        <w:fldChar w:fldCharType="begin"/>
      </w:r>
      <w:r w:rsidR="00862981">
        <w:instrText xml:space="preserve"> SEQ Figure \* ARABIC </w:instrText>
      </w:r>
      <w:r w:rsidR="00862981">
        <w:fldChar w:fldCharType="separate"/>
      </w:r>
      <w:r w:rsidR="000F2276">
        <w:rPr>
          <w:noProof/>
        </w:rPr>
        <w:t>32</w:t>
      </w:r>
      <w:r w:rsidR="00862981">
        <w:rPr>
          <w:noProof/>
        </w:rPr>
        <w:fldChar w:fldCharType="end"/>
      </w:r>
      <w:bookmarkEnd w:id="605"/>
      <w:r w:rsidR="0085585E" w:rsidRPr="003C0E2F">
        <w:t xml:space="preserve">. FP7 downregulates IL-6 </w:t>
      </w:r>
      <w:r w:rsidR="00E43384" w:rsidRPr="003C0E2F">
        <w:t xml:space="preserve">secretion </w:t>
      </w:r>
      <w:r w:rsidR="0085585E" w:rsidRPr="003C0E2F">
        <w:t xml:space="preserve">in response to </w:t>
      </w:r>
      <w:proofErr w:type="spellStart"/>
      <w:r w:rsidR="001A2988" w:rsidRPr="003C0E2F">
        <w:t>oxLDL</w:t>
      </w:r>
      <w:proofErr w:type="spellEnd"/>
      <w:r w:rsidR="0085585E" w:rsidRPr="003C0E2F">
        <w:t xml:space="preserve"> in THP-1 derived </w:t>
      </w:r>
      <w:r w:rsidR="008F561F" w:rsidRPr="003C0E2F">
        <w:t>macrophage</w:t>
      </w:r>
      <w:r w:rsidR="0085585E" w:rsidRPr="003C0E2F">
        <w:t xml:space="preserve">s. THP-1 derived </w:t>
      </w:r>
      <w:r w:rsidR="008F561F" w:rsidRPr="003C0E2F">
        <w:t>macrophage</w:t>
      </w:r>
      <w:r w:rsidR="0085585E" w:rsidRPr="003C0E2F">
        <w:t xml:space="preserve">s were treated with a specific TLR4 antagonist FP7 (10 µM) or vehicle (Ethanol/DMSO) for 1 hour before overnight (16hr) incubation with hydroperoxide-rich </w:t>
      </w:r>
      <w:proofErr w:type="spellStart"/>
      <w:r w:rsidR="001A2988" w:rsidRPr="003C0E2F">
        <w:t>oxLDL</w:t>
      </w:r>
      <w:proofErr w:type="spellEnd"/>
      <w:r w:rsidR="0085585E" w:rsidRPr="003C0E2F">
        <w:t xml:space="preserve"> (0-100 µg/ml), oxysterol-rich </w:t>
      </w:r>
      <w:proofErr w:type="spellStart"/>
      <w:r w:rsidR="001A2988" w:rsidRPr="003C0E2F">
        <w:t>oxLDL</w:t>
      </w:r>
      <w:proofErr w:type="spellEnd"/>
      <w:r w:rsidR="0085585E" w:rsidRPr="003C0E2F">
        <w:t xml:space="preserve"> (0-50 µg/ml) or native LDL (50 µg/ml).</w:t>
      </w:r>
      <w:r w:rsidR="00F01D38" w:rsidRPr="003C0E2F">
        <w:t xml:space="preserve"> </w:t>
      </w:r>
      <w:r w:rsidR="00A2094F" w:rsidRPr="003C0E2F">
        <w:rPr>
          <w:rStyle w:val="NoSpacingChar"/>
          <w:i/>
        </w:rPr>
        <w:t>(-)</w:t>
      </w:r>
      <w:r w:rsidR="00F01D38" w:rsidRPr="003C0E2F">
        <w:rPr>
          <w:rStyle w:val="NoSpacingChar"/>
          <w:i/>
        </w:rPr>
        <w:t xml:space="preserve"> are with vehicle only.</w:t>
      </w:r>
      <w:r w:rsidR="0085585E" w:rsidRPr="003C0E2F">
        <w:t xml:space="preserve"> Culture medium was collected and retained for analysis. IL-6 </w:t>
      </w:r>
      <w:r w:rsidR="00E43384" w:rsidRPr="003C0E2F">
        <w:t xml:space="preserve">secretion </w:t>
      </w:r>
      <w:r w:rsidR="0085585E" w:rsidRPr="003C0E2F">
        <w:t>was measured via ELISA. Results are expressed as mean +/- standard deviation from three separate treatments. Significant results are shown as * = p&lt;0.05, ** = p&lt;0.01 *** = p&lt;0.001.</w:t>
      </w:r>
      <w:bookmarkEnd w:id="606"/>
      <w:bookmarkEnd w:id="607"/>
      <w:bookmarkEnd w:id="608"/>
      <w:bookmarkEnd w:id="609"/>
      <w:bookmarkEnd w:id="610"/>
      <w:bookmarkEnd w:id="611"/>
      <w:bookmarkEnd w:id="612"/>
      <w:bookmarkEnd w:id="613"/>
      <w:bookmarkEnd w:id="614"/>
      <w:bookmarkEnd w:id="615"/>
      <w:bookmarkEnd w:id="616"/>
      <w:bookmarkEnd w:id="617"/>
    </w:p>
    <w:p w14:paraId="432618EB" w14:textId="0AA0A2A3" w:rsidR="00FA7831" w:rsidRPr="003C0E2F" w:rsidRDefault="00FA7831" w:rsidP="00A2094F">
      <w:pPr>
        <w:pStyle w:val="NoSpacing"/>
      </w:pPr>
      <w:r w:rsidRPr="003C0E2F">
        <w:br w:type="page"/>
      </w:r>
    </w:p>
    <w:p w14:paraId="3E0A4C82" w14:textId="7499E87A" w:rsidR="00FA7831" w:rsidRPr="003C0E2F" w:rsidRDefault="00672E7A" w:rsidP="00FA7831">
      <w:r w:rsidRPr="003C0E2F">
        <w:lastRenderedPageBreak/>
        <w:t xml:space="preserve">IL-8 was induced by </w:t>
      </w:r>
      <w:proofErr w:type="spellStart"/>
      <w:r w:rsidR="001A2988" w:rsidRPr="003C0E2F">
        <w:t>oxLDL</w:t>
      </w:r>
      <w:proofErr w:type="spellEnd"/>
      <w:r w:rsidRPr="003C0E2F">
        <w:t xml:space="preserve"> to a lesser extent an showed a </w:t>
      </w:r>
      <w:r w:rsidR="002D24C2" w:rsidRPr="003C0E2F">
        <w:t>dose</w:t>
      </w:r>
      <w:r w:rsidR="00A9277D" w:rsidRPr="003C0E2F">
        <w:t>-</w:t>
      </w:r>
      <w:r w:rsidR="009E0322" w:rsidRPr="003C0E2F">
        <w:t>dependent</w:t>
      </w:r>
      <w:r w:rsidR="002D24C2" w:rsidRPr="003C0E2F">
        <w:t xml:space="preserve"> </w:t>
      </w:r>
      <w:r w:rsidRPr="003C0E2F">
        <w:t xml:space="preserve">response to hydroperoxide-rich, but not oxy-sterol rich </w:t>
      </w:r>
      <w:proofErr w:type="spellStart"/>
      <w:r w:rsidR="001A2988" w:rsidRPr="003C0E2F">
        <w:t>oxLDL</w:t>
      </w:r>
      <w:proofErr w:type="spellEnd"/>
      <w:r w:rsidRPr="003C0E2F">
        <w:t xml:space="preserve"> (Figure 33). Hydroperoxide-rich </w:t>
      </w:r>
      <w:proofErr w:type="spellStart"/>
      <w:r w:rsidR="001A2988" w:rsidRPr="003C0E2F">
        <w:t>oxLDL</w:t>
      </w:r>
      <w:proofErr w:type="spellEnd"/>
      <w:r w:rsidRPr="003C0E2F">
        <w:t xml:space="preserve"> caused a significant increase in IL-8 </w:t>
      </w:r>
      <w:r w:rsidR="00E43384" w:rsidRPr="003C0E2F">
        <w:t xml:space="preserve">secretion </w:t>
      </w:r>
      <w:r w:rsidRPr="003C0E2F">
        <w:t>at higher concentrations (&gt;50µg/ml) which were substantially muted in presence of FP7 (10μM).</w:t>
      </w:r>
    </w:p>
    <w:p w14:paraId="7FA50304" w14:textId="77777777" w:rsidR="00672E7A" w:rsidRPr="003C0E2F" w:rsidRDefault="00672E7A" w:rsidP="00FA7831">
      <w:pPr>
        <w:rPr>
          <w:i/>
          <w:iCs/>
        </w:rPr>
      </w:pPr>
    </w:p>
    <w:p w14:paraId="139A71BC" w14:textId="77777777" w:rsidR="0085585E" w:rsidRPr="003C0E2F" w:rsidRDefault="0085585E" w:rsidP="00FB5606">
      <w:pPr>
        <w:pStyle w:val="NoSpacing"/>
        <w:jc w:val="center"/>
      </w:pPr>
      <w:r w:rsidRPr="003C0E2F">
        <w:object w:dxaOrig="6494" w:dyaOrig="5114" w14:anchorId="33F3308D">
          <v:shape id="_x0000_i1042" type="#_x0000_t75" style="width:324pt;height:259.8pt" o:ole="">
            <v:imagedata r:id="rId90" o:title=""/>
          </v:shape>
          <o:OLEObject Type="Embed" ProgID="Prism6.Document" ShapeID="_x0000_i1042" DrawAspect="Content" ObjectID="_1701585000" r:id="rId91"/>
        </w:object>
      </w:r>
    </w:p>
    <w:p w14:paraId="2709EAFA" w14:textId="65A32D73" w:rsidR="0085585E" w:rsidRPr="003C0E2F" w:rsidRDefault="00763D37" w:rsidP="00A2094F">
      <w:pPr>
        <w:pStyle w:val="NoSpacing"/>
      </w:pPr>
      <w:bookmarkStart w:id="618" w:name="_Ref36831512"/>
      <w:bookmarkStart w:id="619" w:name="_Toc55583755"/>
      <w:bookmarkStart w:id="620" w:name="_Toc55584933"/>
      <w:bookmarkStart w:id="621" w:name="_Toc60584048"/>
      <w:bookmarkStart w:id="622" w:name="_Toc60638166"/>
      <w:bookmarkStart w:id="623" w:name="_Toc60638886"/>
      <w:bookmarkStart w:id="624" w:name="_Toc63112020"/>
      <w:bookmarkStart w:id="625" w:name="_Toc63112237"/>
      <w:bookmarkStart w:id="626" w:name="_Toc63270377"/>
      <w:bookmarkStart w:id="627" w:name="_Toc64533244"/>
      <w:bookmarkStart w:id="628" w:name="_Toc64551791"/>
      <w:bookmarkStart w:id="629" w:name="_Toc80013835"/>
      <w:bookmarkStart w:id="630" w:name="_Toc82882974"/>
      <w:r w:rsidRPr="003C0E2F">
        <w:t>Figure</w:t>
      </w:r>
      <w:r w:rsidR="0085585E" w:rsidRPr="003C0E2F">
        <w:t xml:space="preserve"> </w:t>
      </w:r>
      <w:r w:rsidR="00862981">
        <w:fldChar w:fldCharType="begin"/>
      </w:r>
      <w:r w:rsidR="00862981">
        <w:instrText xml:space="preserve"> SEQ Figure \* ARABIC </w:instrText>
      </w:r>
      <w:r w:rsidR="00862981">
        <w:fldChar w:fldCharType="separate"/>
      </w:r>
      <w:r w:rsidR="000F2276">
        <w:rPr>
          <w:noProof/>
        </w:rPr>
        <w:t>33</w:t>
      </w:r>
      <w:r w:rsidR="00862981">
        <w:rPr>
          <w:noProof/>
        </w:rPr>
        <w:fldChar w:fldCharType="end"/>
      </w:r>
      <w:bookmarkEnd w:id="618"/>
      <w:r w:rsidR="0085585E" w:rsidRPr="003C0E2F">
        <w:t xml:space="preserve">. FP7 downregulates IL-8 </w:t>
      </w:r>
      <w:r w:rsidR="00E43384" w:rsidRPr="003C0E2F">
        <w:t>secretion</w:t>
      </w:r>
      <w:r w:rsidR="0085585E" w:rsidRPr="003C0E2F">
        <w:t xml:space="preserve"> in response to </w:t>
      </w:r>
      <w:proofErr w:type="spellStart"/>
      <w:r w:rsidR="001A2988" w:rsidRPr="003C0E2F">
        <w:t>oxLDL</w:t>
      </w:r>
      <w:proofErr w:type="spellEnd"/>
      <w:r w:rsidR="0085585E" w:rsidRPr="003C0E2F">
        <w:t xml:space="preserve"> in THP-1 derived </w:t>
      </w:r>
      <w:r w:rsidR="008F561F" w:rsidRPr="003C0E2F">
        <w:t>macrophage</w:t>
      </w:r>
      <w:r w:rsidR="0085585E" w:rsidRPr="003C0E2F">
        <w:t xml:space="preserve">s. THP-1 derived </w:t>
      </w:r>
      <w:r w:rsidR="008F561F" w:rsidRPr="003C0E2F">
        <w:t>macrophage</w:t>
      </w:r>
      <w:r w:rsidR="0085585E" w:rsidRPr="003C0E2F">
        <w:t xml:space="preserve">s were treated with a specific TLR4 antagonist FP7 (10 µM) or vehicle (Ethanol/DMSO) for 1 hour before overnight (16hr) incubation with hydroperoxide-rich </w:t>
      </w:r>
      <w:proofErr w:type="spellStart"/>
      <w:r w:rsidR="001A2988" w:rsidRPr="003C0E2F">
        <w:t>oxLDL</w:t>
      </w:r>
      <w:proofErr w:type="spellEnd"/>
      <w:r w:rsidR="0085585E" w:rsidRPr="003C0E2F">
        <w:t xml:space="preserve"> (0-100 µg/ml), oxysterol-rich </w:t>
      </w:r>
      <w:proofErr w:type="spellStart"/>
      <w:r w:rsidR="001A2988" w:rsidRPr="003C0E2F">
        <w:t>oxLDL</w:t>
      </w:r>
      <w:proofErr w:type="spellEnd"/>
      <w:r w:rsidR="0085585E" w:rsidRPr="003C0E2F">
        <w:t xml:space="preserve"> (0-50 µg/ml) or native LDL (50 µg/ml).</w:t>
      </w:r>
      <w:r w:rsidR="00F01D38" w:rsidRPr="003C0E2F">
        <w:t xml:space="preserve"> </w:t>
      </w:r>
      <w:r w:rsidR="00A2094F" w:rsidRPr="003C0E2F">
        <w:rPr>
          <w:rStyle w:val="NoSpacingChar"/>
          <w:i/>
        </w:rPr>
        <w:t>(-)</w:t>
      </w:r>
      <w:r w:rsidR="00F01D38" w:rsidRPr="003C0E2F">
        <w:rPr>
          <w:rStyle w:val="NoSpacingChar"/>
          <w:i/>
        </w:rPr>
        <w:t xml:space="preserve"> are with vehicle only.</w:t>
      </w:r>
      <w:r w:rsidR="0085585E" w:rsidRPr="003C0E2F">
        <w:t xml:space="preserve"> Culture medium was collected and retained for analysis. IL-8 </w:t>
      </w:r>
      <w:r w:rsidR="00E43384" w:rsidRPr="003C0E2F">
        <w:t>secretion</w:t>
      </w:r>
      <w:r w:rsidR="0085585E" w:rsidRPr="003C0E2F">
        <w:t xml:space="preserve"> was measured via ELISA. Results are expressed as mean +/- standard deviation from three separate treatments. Significant results are shown as * = p&lt;0.05, ** = p&lt;0.01 *** = p&lt;0.001.</w:t>
      </w:r>
      <w:bookmarkEnd w:id="619"/>
      <w:bookmarkEnd w:id="620"/>
      <w:bookmarkEnd w:id="621"/>
      <w:bookmarkEnd w:id="622"/>
      <w:bookmarkEnd w:id="623"/>
      <w:bookmarkEnd w:id="624"/>
      <w:bookmarkEnd w:id="625"/>
      <w:bookmarkEnd w:id="626"/>
      <w:bookmarkEnd w:id="627"/>
      <w:bookmarkEnd w:id="628"/>
      <w:bookmarkEnd w:id="629"/>
      <w:bookmarkEnd w:id="630"/>
    </w:p>
    <w:p w14:paraId="6A5E157D" w14:textId="77777777" w:rsidR="0085585E" w:rsidRPr="003C0E2F" w:rsidRDefault="0085585E" w:rsidP="00E959C5">
      <w:pPr>
        <w:pStyle w:val="NoSpacing"/>
      </w:pPr>
    </w:p>
    <w:p w14:paraId="2D1ABD8B" w14:textId="0ECA86C3" w:rsidR="001932B5" w:rsidRPr="003C0E2F" w:rsidRDefault="001932B5" w:rsidP="00BE5236">
      <w:r w:rsidRPr="003C0E2F">
        <w:br w:type="page"/>
      </w:r>
    </w:p>
    <w:p w14:paraId="32E68C95" w14:textId="1DC22825" w:rsidR="00D3097F" w:rsidRPr="003C0E2F" w:rsidRDefault="00D3097F" w:rsidP="00D55B0E">
      <w:pPr>
        <w:pStyle w:val="Heading3"/>
      </w:pPr>
      <w:bookmarkStart w:id="631" w:name="_Toc80013774"/>
      <w:bookmarkStart w:id="632" w:name="_Toc82882394"/>
      <w:r w:rsidRPr="003C0E2F">
        <w:lastRenderedPageBreak/>
        <w:t>FP11 and FP18 function as agonists, upregulating TLR4</w:t>
      </w:r>
      <w:r w:rsidR="00C01CEE" w:rsidRPr="003C0E2F">
        <w:t>-</w:t>
      </w:r>
      <w:r w:rsidR="009E0322" w:rsidRPr="003C0E2F">
        <w:t>dependent</w:t>
      </w:r>
      <w:r w:rsidRPr="003C0E2F">
        <w:t xml:space="preserve"> proinflammatory signalling in THP-1 </w:t>
      </w:r>
      <w:r w:rsidR="008F561F" w:rsidRPr="003C0E2F">
        <w:t>macrophage</w:t>
      </w:r>
      <w:r w:rsidRPr="003C0E2F">
        <w:t>s</w:t>
      </w:r>
      <w:bookmarkEnd w:id="631"/>
      <w:bookmarkEnd w:id="632"/>
    </w:p>
    <w:p w14:paraId="76443157" w14:textId="412746A5" w:rsidR="00672E7A" w:rsidRPr="003C0E2F" w:rsidRDefault="00672E7A" w:rsidP="00672E7A">
      <w:r w:rsidRPr="003C0E2F">
        <w:t xml:space="preserve">FP11 was selected from initial candidates as an agonist of TLR4 in THP-1 </w:t>
      </w:r>
      <w:r w:rsidR="008F561F" w:rsidRPr="003C0E2F">
        <w:t>monocyte</w:t>
      </w:r>
      <w:r w:rsidRPr="003C0E2F">
        <w:t xml:space="preserve">s. Initial screening of FP11 showed a tolerance in THP-1 </w:t>
      </w:r>
      <w:r w:rsidR="008F561F" w:rsidRPr="003C0E2F">
        <w:t>monocyte</w:t>
      </w:r>
      <w:r w:rsidRPr="003C0E2F">
        <w:t xml:space="preserve">s and </w:t>
      </w:r>
      <w:r w:rsidR="008F561F" w:rsidRPr="003C0E2F">
        <w:t>macrophage</w:t>
      </w:r>
      <w:r w:rsidRPr="003C0E2F">
        <w:t xml:space="preserve">s up to exposure of 10µM. IL-8 was significantly elevated at 5-10 µM concentrations of FP11. FP18 (FP11 derivative) was a later addition and thus not present at IL-8 screening stage. </w:t>
      </w:r>
    </w:p>
    <w:p w14:paraId="3125CE6B" w14:textId="342D147F" w:rsidR="00672E7A" w:rsidRPr="003C0E2F" w:rsidRDefault="00672E7A" w:rsidP="00672E7A">
      <w:r w:rsidRPr="003C0E2F">
        <w:t xml:space="preserve">FP11 is designed to function as an agonist of TLR4. Initial screening data here suggested FP11 was capable of inducing IL-8 production in THP-1 </w:t>
      </w:r>
      <w:r w:rsidR="008F561F" w:rsidRPr="003C0E2F">
        <w:t>monocyte</w:t>
      </w:r>
      <w:r w:rsidRPr="003C0E2F">
        <w:t xml:space="preserve">s. To further investigate the </w:t>
      </w:r>
      <w:r w:rsidR="008F561F" w:rsidRPr="003C0E2F">
        <w:t>effect</w:t>
      </w:r>
      <w:r w:rsidRPr="003C0E2F">
        <w:t xml:space="preserve"> of FP11 on TLR4 signalling, the capacity of FP11 to upregulate </w:t>
      </w:r>
      <w:r w:rsidR="00932BC2" w:rsidRPr="003C0E2F">
        <w:t>MyD88</w:t>
      </w:r>
      <w:r w:rsidRPr="003C0E2F">
        <w:t xml:space="preserve"> and </w:t>
      </w:r>
      <w:r w:rsidR="00A9277D" w:rsidRPr="003C0E2F">
        <w:t>TRIF-</w:t>
      </w:r>
      <w:r w:rsidR="009E0322" w:rsidRPr="003C0E2F">
        <w:t>dependent</w:t>
      </w:r>
      <w:r w:rsidRPr="003C0E2F">
        <w:t xml:space="preserve"> TLR4 signalling was explored in comparison to LPS and MPLA. Synthetic MPLA is a monophosphorylated lipid A with 6 acyl chains that is comparable, in part, to the two agonists FP11 and FP18</w:t>
      </w:r>
      <w:r w:rsidR="00DD50BD" w:rsidRPr="003C0E2F">
        <w:t xml:space="preserve"> (Figure 10)</w:t>
      </w:r>
      <w:r w:rsidRPr="003C0E2F">
        <w:t xml:space="preserve">. </w:t>
      </w:r>
    </w:p>
    <w:p w14:paraId="6833EBA8" w14:textId="541DCFB9" w:rsidR="00D3097F" w:rsidRPr="003C0E2F" w:rsidRDefault="00672E7A" w:rsidP="00672E7A">
      <w:r w:rsidRPr="003C0E2F">
        <w:t xml:space="preserve">An initial </w:t>
      </w:r>
      <w:r w:rsidR="008A3B68" w:rsidRPr="003C0E2F">
        <w:t>a proinflammatory protein antibody array</w:t>
      </w:r>
      <w:r w:rsidRPr="003C0E2F">
        <w:t xml:space="preserve"> was used to give an overview of the inflammatory protein expression profile of FP11 and FP18 (Table 3). A two-fold increase in levels compared to the control was considered of interest for identification of suitable target. LPS produced an increase in </w:t>
      </w:r>
      <w:r w:rsidR="007A0F7C" w:rsidRPr="003C0E2F">
        <w:t>EOTAXIN</w:t>
      </w:r>
      <w:r w:rsidRPr="003C0E2F">
        <w:t xml:space="preserve">-1, GM-CSF, iCAM-1, IL-1β, IL-4, IL-6, IL-11, IL-13, </w:t>
      </w:r>
      <w:r w:rsidR="009E42FE" w:rsidRPr="003C0E2F">
        <w:t>IP10</w:t>
      </w:r>
      <w:r w:rsidRPr="003C0E2F">
        <w:t xml:space="preserve">, MCP-1, and TNFα, while MPLA only appeared to upregulate </w:t>
      </w:r>
      <w:r w:rsidR="007A0F7C" w:rsidRPr="003C0E2F">
        <w:t>IL-1</w:t>
      </w:r>
      <w:r w:rsidRPr="003C0E2F">
        <w:t xml:space="preserve">α, IL-2, IL-8 and MIG to a level above the threshold, though GM-CSF iCAM-1 and I309 fall just short of this. Interestingly, </w:t>
      </w:r>
      <w:bookmarkStart w:id="633" w:name="_Hlk80823696"/>
      <w:r w:rsidR="00E43384" w:rsidRPr="003C0E2F">
        <w:t>the effects of FP11 and FP18 on proinflammatory protein expression appeared to be more comparable to that of LPS rather than MPLA</w:t>
      </w:r>
      <w:r w:rsidRPr="003C0E2F">
        <w:t>.</w:t>
      </w:r>
      <w:bookmarkEnd w:id="633"/>
      <w:r w:rsidRPr="003C0E2F">
        <w:t xml:space="preserve"> Of interest are ICAM-1, I309, </w:t>
      </w:r>
      <w:r w:rsidR="007A0F7C" w:rsidRPr="003C0E2F">
        <w:t>IL-1</w:t>
      </w:r>
      <w:r w:rsidRPr="003C0E2F">
        <w:t xml:space="preserve">β, IL-6, </w:t>
      </w:r>
      <w:r w:rsidR="009E42FE" w:rsidRPr="003C0E2F">
        <w:t>IP10</w:t>
      </w:r>
      <w:r w:rsidRPr="003C0E2F">
        <w:t xml:space="preserve"> and MCP2 which are all around 2-4-fold increases, with exception of IL-6 for which FP18 produces a 10-fold increase compared to the control. These represent potential avenues of interest that require further investigation to confirm.</w:t>
      </w:r>
    </w:p>
    <w:p w14:paraId="2AE48AA9" w14:textId="77777777" w:rsidR="00D3097F" w:rsidRPr="003C0E2F" w:rsidRDefault="00D3097F" w:rsidP="00BE5236"/>
    <w:p w14:paraId="1CA84E30" w14:textId="77777777" w:rsidR="00D3097F" w:rsidRPr="003C0E2F" w:rsidRDefault="00D3097F" w:rsidP="00BE5236">
      <w:r w:rsidRPr="003C0E2F">
        <w:br w:type="page"/>
      </w:r>
    </w:p>
    <w:p w14:paraId="0F5C4963" w14:textId="5F2E0F18" w:rsidR="00FB5606" w:rsidRPr="003C0E2F" w:rsidRDefault="00D3097F" w:rsidP="00FB5606">
      <w:pPr>
        <w:pStyle w:val="NoSpacing"/>
      </w:pPr>
      <w:bookmarkStart w:id="634" w:name="_Ref48584816"/>
      <w:bookmarkStart w:id="635" w:name="_Hlk64989520"/>
      <w:r w:rsidRPr="003C0E2F">
        <w:lastRenderedPageBreak/>
        <w:t xml:space="preserve">Table </w:t>
      </w:r>
      <w:r w:rsidR="00862981">
        <w:fldChar w:fldCharType="begin"/>
      </w:r>
      <w:r w:rsidR="00862981">
        <w:instrText xml:space="preserve"> SEQ Table \* ARABIC </w:instrText>
      </w:r>
      <w:r w:rsidR="00862981">
        <w:fldChar w:fldCharType="separate"/>
      </w:r>
      <w:r w:rsidR="000F2276">
        <w:rPr>
          <w:noProof/>
        </w:rPr>
        <w:t>3</w:t>
      </w:r>
      <w:r w:rsidR="00862981">
        <w:rPr>
          <w:noProof/>
        </w:rPr>
        <w:fldChar w:fldCharType="end"/>
      </w:r>
      <w:bookmarkEnd w:id="634"/>
      <w:r w:rsidRPr="003C0E2F">
        <w:t xml:space="preserve">. </w:t>
      </w:r>
      <w:r w:rsidR="00FB5606" w:rsidRPr="003C0E2F">
        <w:t xml:space="preserve">FP11 and FP18 upregulate inflammatory protein expression in THP-1 </w:t>
      </w:r>
      <w:r w:rsidR="008F561F" w:rsidRPr="003C0E2F">
        <w:t>Macrophage</w:t>
      </w:r>
      <w:r w:rsidR="00FB5606" w:rsidRPr="003C0E2F">
        <w:t xml:space="preserve">s. </w:t>
      </w:r>
      <w:bookmarkEnd w:id="635"/>
      <w:r w:rsidR="00FB5606" w:rsidRPr="003C0E2F">
        <w:t xml:space="preserve">THP-1 </w:t>
      </w:r>
      <w:r w:rsidR="008F561F" w:rsidRPr="003C0E2F">
        <w:t>macrophage</w:t>
      </w:r>
      <w:r w:rsidR="00FB5606" w:rsidRPr="003C0E2F">
        <w:t>s were treated with LPS (100ng/ml), MPLA (100ng/ml), FP11 or FP18 (10µM). Culture medium collected after 18-hour incubation. A human inflammation array (</w:t>
      </w:r>
      <w:proofErr w:type="spellStart"/>
      <w:r w:rsidR="00FB5606" w:rsidRPr="003C0E2F">
        <w:t>RayBiotech</w:t>
      </w:r>
      <w:proofErr w:type="spellEnd"/>
      <w:r w:rsidR="00FB5606" w:rsidRPr="003C0E2F">
        <w:t>). Green = 2-fold increase vs control.</w:t>
      </w:r>
    </w:p>
    <w:p w14:paraId="7FCC4447" w14:textId="6278090B" w:rsidR="00D3097F" w:rsidRPr="003C0E2F" w:rsidRDefault="00D3097F" w:rsidP="00E959C5">
      <w:pPr>
        <w:pStyle w:val="NoSpacing"/>
      </w:pPr>
    </w:p>
    <w:tbl>
      <w:tblPr>
        <w:tblW w:w="8380" w:type="dxa"/>
        <w:jc w:val="center"/>
        <w:tblLook w:val="04A0" w:firstRow="1" w:lastRow="0" w:firstColumn="1" w:lastColumn="0" w:noHBand="0" w:noVBand="1"/>
      </w:tblPr>
      <w:tblGrid>
        <w:gridCol w:w="1469"/>
        <w:gridCol w:w="718"/>
        <w:gridCol w:w="752"/>
        <w:gridCol w:w="658"/>
        <w:gridCol w:w="718"/>
        <w:gridCol w:w="1469"/>
        <w:gridCol w:w="640"/>
        <w:gridCol w:w="752"/>
        <w:gridCol w:w="658"/>
        <w:gridCol w:w="658"/>
      </w:tblGrid>
      <w:tr w:rsidR="003C0E2F" w:rsidRPr="003C0E2F" w14:paraId="1210ADAD" w14:textId="77777777" w:rsidTr="009D57AC">
        <w:trPr>
          <w:trHeight w:val="615"/>
          <w:jc w:val="center"/>
        </w:trPr>
        <w:tc>
          <w:tcPr>
            <w:tcW w:w="1433" w:type="dxa"/>
            <w:vMerge w:val="restart"/>
            <w:tcBorders>
              <w:top w:val="single" w:sz="12" w:space="0" w:color="auto"/>
              <w:left w:val="single" w:sz="12" w:space="0" w:color="auto"/>
              <w:bottom w:val="single" w:sz="8" w:space="0" w:color="000000"/>
              <w:right w:val="single" w:sz="12" w:space="0" w:color="auto"/>
            </w:tcBorders>
            <w:shd w:val="clear" w:color="auto" w:fill="auto"/>
            <w:vAlign w:val="center"/>
            <w:hideMark/>
          </w:tcPr>
          <w:p w14:paraId="5A644483" w14:textId="77777777" w:rsidR="00D3097F" w:rsidRPr="003C0E2F" w:rsidRDefault="00D3097F" w:rsidP="00EE17F5">
            <w:pPr>
              <w:spacing w:after="0" w:line="276" w:lineRule="auto"/>
              <w:rPr>
                <w:b/>
                <w:bCs/>
              </w:rPr>
            </w:pPr>
            <w:r w:rsidRPr="003C0E2F">
              <w:rPr>
                <w:b/>
                <w:bCs/>
              </w:rPr>
              <w:t>Inflammatory Proteins</w:t>
            </w:r>
          </w:p>
        </w:tc>
        <w:tc>
          <w:tcPr>
            <w:tcW w:w="718" w:type="dxa"/>
            <w:vMerge w:val="restart"/>
            <w:tcBorders>
              <w:top w:val="single" w:sz="12" w:space="0" w:color="auto"/>
              <w:left w:val="single" w:sz="12" w:space="0" w:color="auto"/>
              <w:bottom w:val="single" w:sz="8" w:space="0" w:color="000000"/>
              <w:right w:val="single" w:sz="12" w:space="0" w:color="auto"/>
            </w:tcBorders>
            <w:shd w:val="clear" w:color="auto" w:fill="auto"/>
            <w:noWrap/>
            <w:vAlign w:val="center"/>
            <w:hideMark/>
          </w:tcPr>
          <w:p w14:paraId="53A54502" w14:textId="77777777" w:rsidR="00D3097F" w:rsidRPr="003C0E2F" w:rsidRDefault="00D3097F" w:rsidP="00EE17F5">
            <w:pPr>
              <w:spacing w:after="0" w:line="276" w:lineRule="auto"/>
              <w:rPr>
                <w:b/>
                <w:bCs/>
              </w:rPr>
            </w:pPr>
            <w:r w:rsidRPr="003C0E2F">
              <w:rPr>
                <w:b/>
                <w:bCs/>
              </w:rPr>
              <w:t>LPS</w:t>
            </w:r>
          </w:p>
        </w:tc>
        <w:tc>
          <w:tcPr>
            <w:tcW w:w="738" w:type="dxa"/>
            <w:vMerge w:val="restart"/>
            <w:tcBorders>
              <w:top w:val="single" w:sz="12" w:space="0" w:color="auto"/>
              <w:left w:val="single" w:sz="12" w:space="0" w:color="auto"/>
              <w:bottom w:val="single" w:sz="12" w:space="0" w:color="auto"/>
              <w:right w:val="single" w:sz="12" w:space="0" w:color="auto"/>
            </w:tcBorders>
            <w:shd w:val="clear" w:color="auto" w:fill="auto"/>
            <w:vAlign w:val="center"/>
            <w:hideMark/>
          </w:tcPr>
          <w:p w14:paraId="06553B64" w14:textId="77777777" w:rsidR="00D3097F" w:rsidRPr="003C0E2F" w:rsidRDefault="00D3097F" w:rsidP="00EE17F5">
            <w:pPr>
              <w:spacing w:after="0" w:line="276" w:lineRule="auto"/>
              <w:rPr>
                <w:b/>
                <w:bCs/>
              </w:rPr>
            </w:pPr>
            <w:r w:rsidRPr="003C0E2F">
              <w:rPr>
                <w:b/>
                <w:bCs/>
              </w:rPr>
              <w:t>MPLA</w:t>
            </w:r>
          </w:p>
        </w:tc>
        <w:tc>
          <w:tcPr>
            <w:tcW w:w="654" w:type="dxa"/>
            <w:vMerge w:val="restart"/>
            <w:tcBorders>
              <w:top w:val="single" w:sz="12" w:space="0" w:color="auto"/>
              <w:left w:val="single" w:sz="12" w:space="0" w:color="auto"/>
              <w:bottom w:val="single" w:sz="12" w:space="0" w:color="auto"/>
              <w:right w:val="single" w:sz="12" w:space="0" w:color="auto"/>
            </w:tcBorders>
            <w:shd w:val="clear" w:color="auto" w:fill="auto"/>
            <w:vAlign w:val="center"/>
            <w:hideMark/>
          </w:tcPr>
          <w:p w14:paraId="0ED420C1" w14:textId="77777777" w:rsidR="00D3097F" w:rsidRPr="003C0E2F" w:rsidRDefault="00D3097F" w:rsidP="00EE17F5">
            <w:pPr>
              <w:spacing w:after="0" w:line="276" w:lineRule="auto"/>
              <w:rPr>
                <w:b/>
                <w:bCs/>
              </w:rPr>
            </w:pPr>
            <w:r w:rsidRPr="003C0E2F">
              <w:rPr>
                <w:b/>
                <w:bCs/>
              </w:rPr>
              <w:t>FP11</w:t>
            </w:r>
          </w:p>
        </w:tc>
        <w:tc>
          <w:tcPr>
            <w:tcW w:w="718" w:type="dxa"/>
            <w:vMerge w:val="restart"/>
            <w:tcBorders>
              <w:top w:val="single" w:sz="12" w:space="0" w:color="auto"/>
              <w:left w:val="single" w:sz="12" w:space="0" w:color="auto"/>
              <w:bottom w:val="single" w:sz="12" w:space="0" w:color="auto"/>
              <w:right w:val="single" w:sz="12" w:space="0" w:color="auto"/>
            </w:tcBorders>
            <w:shd w:val="clear" w:color="auto" w:fill="auto"/>
            <w:vAlign w:val="center"/>
            <w:hideMark/>
          </w:tcPr>
          <w:p w14:paraId="7AF95324" w14:textId="77777777" w:rsidR="00D3097F" w:rsidRPr="003C0E2F" w:rsidRDefault="00D3097F" w:rsidP="00EE17F5">
            <w:pPr>
              <w:spacing w:after="0" w:line="276" w:lineRule="auto"/>
              <w:rPr>
                <w:b/>
                <w:bCs/>
              </w:rPr>
            </w:pPr>
            <w:r w:rsidRPr="003C0E2F">
              <w:rPr>
                <w:b/>
                <w:bCs/>
              </w:rPr>
              <w:t>FP18</w:t>
            </w:r>
          </w:p>
        </w:tc>
        <w:tc>
          <w:tcPr>
            <w:tcW w:w="1433" w:type="dxa"/>
            <w:vMerge w:val="restart"/>
            <w:tcBorders>
              <w:top w:val="single" w:sz="12" w:space="0" w:color="auto"/>
              <w:left w:val="single" w:sz="12" w:space="0" w:color="auto"/>
              <w:bottom w:val="single" w:sz="12" w:space="0" w:color="auto"/>
              <w:right w:val="single" w:sz="12" w:space="0" w:color="auto"/>
            </w:tcBorders>
            <w:shd w:val="clear" w:color="auto" w:fill="auto"/>
            <w:vAlign w:val="center"/>
            <w:hideMark/>
          </w:tcPr>
          <w:p w14:paraId="49F793C6" w14:textId="77777777" w:rsidR="00D3097F" w:rsidRPr="003C0E2F" w:rsidRDefault="00D3097F" w:rsidP="00EE17F5">
            <w:pPr>
              <w:spacing w:after="0" w:line="276" w:lineRule="auto"/>
              <w:rPr>
                <w:b/>
                <w:bCs/>
              </w:rPr>
            </w:pPr>
            <w:r w:rsidRPr="003C0E2F">
              <w:rPr>
                <w:b/>
                <w:bCs/>
              </w:rPr>
              <w:t>Inflammatory Proteins</w:t>
            </w:r>
          </w:p>
        </w:tc>
        <w:tc>
          <w:tcPr>
            <w:tcW w:w="640" w:type="dxa"/>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39ECEAF9" w14:textId="77777777" w:rsidR="00D3097F" w:rsidRPr="003C0E2F" w:rsidRDefault="00D3097F" w:rsidP="00EE17F5">
            <w:pPr>
              <w:spacing w:after="0" w:line="276" w:lineRule="auto"/>
              <w:rPr>
                <w:b/>
                <w:bCs/>
              </w:rPr>
            </w:pPr>
            <w:r w:rsidRPr="003C0E2F">
              <w:rPr>
                <w:b/>
                <w:bCs/>
              </w:rPr>
              <w:t>LPS</w:t>
            </w:r>
          </w:p>
        </w:tc>
        <w:tc>
          <w:tcPr>
            <w:tcW w:w="738" w:type="dxa"/>
            <w:vMerge w:val="restart"/>
            <w:tcBorders>
              <w:top w:val="single" w:sz="12" w:space="0" w:color="auto"/>
              <w:left w:val="single" w:sz="12" w:space="0" w:color="auto"/>
              <w:bottom w:val="single" w:sz="12" w:space="0" w:color="auto"/>
              <w:right w:val="single" w:sz="12" w:space="0" w:color="auto"/>
            </w:tcBorders>
            <w:shd w:val="clear" w:color="auto" w:fill="auto"/>
            <w:vAlign w:val="center"/>
            <w:hideMark/>
          </w:tcPr>
          <w:p w14:paraId="50FF1657" w14:textId="77777777" w:rsidR="00D3097F" w:rsidRPr="003C0E2F" w:rsidRDefault="00D3097F" w:rsidP="00EE17F5">
            <w:pPr>
              <w:spacing w:after="0" w:line="276" w:lineRule="auto"/>
              <w:rPr>
                <w:b/>
                <w:bCs/>
              </w:rPr>
            </w:pPr>
            <w:r w:rsidRPr="003C0E2F">
              <w:rPr>
                <w:b/>
                <w:bCs/>
              </w:rPr>
              <w:t>MPLA</w:t>
            </w:r>
          </w:p>
        </w:tc>
        <w:tc>
          <w:tcPr>
            <w:tcW w:w="654" w:type="dxa"/>
            <w:vMerge w:val="restart"/>
            <w:tcBorders>
              <w:top w:val="single" w:sz="12" w:space="0" w:color="auto"/>
              <w:left w:val="single" w:sz="12" w:space="0" w:color="auto"/>
              <w:bottom w:val="single" w:sz="12" w:space="0" w:color="auto"/>
              <w:right w:val="single" w:sz="12" w:space="0" w:color="auto"/>
            </w:tcBorders>
            <w:shd w:val="clear" w:color="auto" w:fill="auto"/>
            <w:vAlign w:val="center"/>
            <w:hideMark/>
          </w:tcPr>
          <w:p w14:paraId="6508F72C" w14:textId="77777777" w:rsidR="00D3097F" w:rsidRPr="003C0E2F" w:rsidRDefault="00D3097F" w:rsidP="00EE17F5">
            <w:pPr>
              <w:spacing w:after="0" w:line="276" w:lineRule="auto"/>
              <w:rPr>
                <w:b/>
                <w:bCs/>
              </w:rPr>
            </w:pPr>
            <w:r w:rsidRPr="003C0E2F">
              <w:rPr>
                <w:b/>
                <w:bCs/>
              </w:rPr>
              <w:t>FP11</w:t>
            </w:r>
          </w:p>
        </w:tc>
        <w:tc>
          <w:tcPr>
            <w:tcW w:w="654" w:type="dxa"/>
            <w:vMerge w:val="restart"/>
            <w:tcBorders>
              <w:top w:val="single" w:sz="12" w:space="0" w:color="auto"/>
              <w:left w:val="single" w:sz="12" w:space="0" w:color="auto"/>
              <w:bottom w:val="single" w:sz="8" w:space="0" w:color="000000"/>
              <w:right w:val="single" w:sz="12" w:space="0" w:color="auto"/>
            </w:tcBorders>
            <w:shd w:val="clear" w:color="auto" w:fill="auto"/>
            <w:vAlign w:val="center"/>
            <w:hideMark/>
          </w:tcPr>
          <w:p w14:paraId="23FF3E95" w14:textId="77777777" w:rsidR="00D3097F" w:rsidRPr="003C0E2F" w:rsidRDefault="00D3097F" w:rsidP="00EE17F5">
            <w:pPr>
              <w:spacing w:after="0" w:line="276" w:lineRule="auto"/>
              <w:rPr>
                <w:b/>
                <w:bCs/>
              </w:rPr>
            </w:pPr>
            <w:r w:rsidRPr="003C0E2F">
              <w:rPr>
                <w:b/>
                <w:bCs/>
              </w:rPr>
              <w:t>FP18</w:t>
            </w:r>
          </w:p>
        </w:tc>
      </w:tr>
      <w:tr w:rsidR="003C0E2F" w:rsidRPr="003C0E2F" w14:paraId="47C2CF49" w14:textId="77777777" w:rsidTr="009D57AC">
        <w:trPr>
          <w:trHeight w:val="450"/>
          <w:jc w:val="center"/>
        </w:trPr>
        <w:tc>
          <w:tcPr>
            <w:tcW w:w="1433" w:type="dxa"/>
            <w:vMerge/>
            <w:tcBorders>
              <w:top w:val="single" w:sz="8" w:space="0" w:color="auto"/>
              <w:left w:val="single" w:sz="12" w:space="0" w:color="auto"/>
              <w:bottom w:val="single" w:sz="12" w:space="0" w:color="auto"/>
              <w:right w:val="single" w:sz="12" w:space="0" w:color="auto"/>
            </w:tcBorders>
            <w:vAlign w:val="center"/>
            <w:hideMark/>
          </w:tcPr>
          <w:p w14:paraId="24E38DA2" w14:textId="77777777" w:rsidR="00D3097F" w:rsidRPr="003C0E2F" w:rsidRDefault="00D3097F" w:rsidP="00EE17F5">
            <w:pPr>
              <w:spacing w:after="0" w:line="276" w:lineRule="auto"/>
            </w:pPr>
          </w:p>
        </w:tc>
        <w:tc>
          <w:tcPr>
            <w:tcW w:w="718" w:type="dxa"/>
            <w:vMerge/>
            <w:tcBorders>
              <w:top w:val="single" w:sz="8" w:space="0" w:color="auto"/>
              <w:left w:val="single" w:sz="12" w:space="0" w:color="auto"/>
              <w:bottom w:val="single" w:sz="12" w:space="0" w:color="auto"/>
              <w:right w:val="single" w:sz="12" w:space="0" w:color="auto"/>
            </w:tcBorders>
            <w:vAlign w:val="center"/>
            <w:hideMark/>
          </w:tcPr>
          <w:p w14:paraId="48BD33C7" w14:textId="77777777" w:rsidR="00D3097F" w:rsidRPr="003C0E2F" w:rsidRDefault="00D3097F" w:rsidP="00EE17F5">
            <w:pPr>
              <w:spacing w:after="0" w:line="276" w:lineRule="auto"/>
            </w:pPr>
          </w:p>
        </w:tc>
        <w:tc>
          <w:tcPr>
            <w:tcW w:w="738" w:type="dxa"/>
            <w:vMerge/>
            <w:tcBorders>
              <w:top w:val="single" w:sz="8" w:space="0" w:color="auto"/>
              <w:left w:val="single" w:sz="12" w:space="0" w:color="auto"/>
              <w:bottom w:val="single" w:sz="12" w:space="0" w:color="auto"/>
              <w:right w:val="single" w:sz="12" w:space="0" w:color="auto"/>
            </w:tcBorders>
            <w:vAlign w:val="center"/>
            <w:hideMark/>
          </w:tcPr>
          <w:p w14:paraId="1D782E6A" w14:textId="77777777" w:rsidR="00D3097F" w:rsidRPr="003C0E2F" w:rsidRDefault="00D3097F" w:rsidP="00EE17F5">
            <w:pPr>
              <w:spacing w:after="0" w:line="276" w:lineRule="auto"/>
            </w:pPr>
          </w:p>
        </w:tc>
        <w:tc>
          <w:tcPr>
            <w:tcW w:w="654" w:type="dxa"/>
            <w:vMerge/>
            <w:tcBorders>
              <w:top w:val="single" w:sz="8" w:space="0" w:color="auto"/>
              <w:left w:val="single" w:sz="12" w:space="0" w:color="auto"/>
              <w:bottom w:val="single" w:sz="12" w:space="0" w:color="auto"/>
              <w:right w:val="single" w:sz="12" w:space="0" w:color="auto"/>
            </w:tcBorders>
            <w:vAlign w:val="center"/>
            <w:hideMark/>
          </w:tcPr>
          <w:p w14:paraId="2699592C" w14:textId="77777777" w:rsidR="00D3097F" w:rsidRPr="003C0E2F" w:rsidRDefault="00D3097F" w:rsidP="00EE17F5">
            <w:pPr>
              <w:spacing w:after="0" w:line="276" w:lineRule="auto"/>
            </w:pPr>
          </w:p>
        </w:tc>
        <w:tc>
          <w:tcPr>
            <w:tcW w:w="718" w:type="dxa"/>
            <w:vMerge/>
            <w:tcBorders>
              <w:top w:val="single" w:sz="8" w:space="0" w:color="auto"/>
              <w:left w:val="single" w:sz="12" w:space="0" w:color="auto"/>
              <w:bottom w:val="single" w:sz="12" w:space="0" w:color="auto"/>
              <w:right w:val="single" w:sz="12" w:space="0" w:color="auto"/>
            </w:tcBorders>
            <w:vAlign w:val="center"/>
            <w:hideMark/>
          </w:tcPr>
          <w:p w14:paraId="63FEBD75" w14:textId="77777777" w:rsidR="00D3097F" w:rsidRPr="003C0E2F" w:rsidRDefault="00D3097F" w:rsidP="00EE17F5">
            <w:pPr>
              <w:spacing w:after="0" w:line="276" w:lineRule="auto"/>
            </w:pPr>
          </w:p>
        </w:tc>
        <w:tc>
          <w:tcPr>
            <w:tcW w:w="1433" w:type="dxa"/>
            <w:vMerge/>
            <w:tcBorders>
              <w:top w:val="single" w:sz="8" w:space="0" w:color="auto"/>
              <w:left w:val="single" w:sz="12" w:space="0" w:color="auto"/>
              <w:bottom w:val="single" w:sz="12" w:space="0" w:color="auto"/>
              <w:right w:val="single" w:sz="12" w:space="0" w:color="auto"/>
            </w:tcBorders>
            <w:vAlign w:val="center"/>
            <w:hideMark/>
          </w:tcPr>
          <w:p w14:paraId="3EB70E7E" w14:textId="77777777" w:rsidR="00D3097F" w:rsidRPr="003C0E2F" w:rsidRDefault="00D3097F" w:rsidP="00EE17F5">
            <w:pPr>
              <w:spacing w:after="0" w:line="276" w:lineRule="auto"/>
              <w:rPr>
                <w:b/>
                <w:bCs/>
              </w:rPr>
            </w:pPr>
          </w:p>
        </w:tc>
        <w:tc>
          <w:tcPr>
            <w:tcW w:w="640" w:type="dxa"/>
            <w:vMerge/>
            <w:tcBorders>
              <w:top w:val="single" w:sz="12" w:space="0" w:color="auto"/>
              <w:left w:val="single" w:sz="12" w:space="0" w:color="auto"/>
              <w:bottom w:val="single" w:sz="12" w:space="0" w:color="auto"/>
              <w:right w:val="single" w:sz="12" w:space="0" w:color="auto"/>
            </w:tcBorders>
            <w:vAlign w:val="center"/>
            <w:hideMark/>
          </w:tcPr>
          <w:p w14:paraId="0FB3BB36" w14:textId="77777777" w:rsidR="00D3097F" w:rsidRPr="003C0E2F" w:rsidRDefault="00D3097F" w:rsidP="00EE17F5">
            <w:pPr>
              <w:spacing w:after="0" w:line="276" w:lineRule="auto"/>
            </w:pPr>
          </w:p>
        </w:tc>
        <w:tc>
          <w:tcPr>
            <w:tcW w:w="738" w:type="dxa"/>
            <w:vMerge/>
            <w:tcBorders>
              <w:top w:val="single" w:sz="8" w:space="0" w:color="auto"/>
              <w:left w:val="single" w:sz="12" w:space="0" w:color="auto"/>
              <w:bottom w:val="single" w:sz="12" w:space="0" w:color="auto"/>
              <w:right w:val="single" w:sz="12" w:space="0" w:color="auto"/>
            </w:tcBorders>
            <w:vAlign w:val="center"/>
            <w:hideMark/>
          </w:tcPr>
          <w:p w14:paraId="7D21CC5F" w14:textId="77777777" w:rsidR="00D3097F" w:rsidRPr="003C0E2F" w:rsidRDefault="00D3097F" w:rsidP="00EE17F5">
            <w:pPr>
              <w:spacing w:after="0" w:line="276" w:lineRule="auto"/>
            </w:pPr>
          </w:p>
        </w:tc>
        <w:tc>
          <w:tcPr>
            <w:tcW w:w="654" w:type="dxa"/>
            <w:vMerge/>
            <w:tcBorders>
              <w:top w:val="single" w:sz="8" w:space="0" w:color="auto"/>
              <w:left w:val="single" w:sz="12" w:space="0" w:color="auto"/>
              <w:bottom w:val="single" w:sz="12" w:space="0" w:color="auto"/>
              <w:right w:val="single" w:sz="12" w:space="0" w:color="auto"/>
            </w:tcBorders>
            <w:vAlign w:val="center"/>
            <w:hideMark/>
          </w:tcPr>
          <w:p w14:paraId="14AA5CD7" w14:textId="77777777" w:rsidR="00D3097F" w:rsidRPr="003C0E2F" w:rsidRDefault="00D3097F" w:rsidP="00EE17F5">
            <w:pPr>
              <w:spacing w:after="0" w:line="276" w:lineRule="auto"/>
            </w:pPr>
          </w:p>
        </w:tc>
        <w:tc>
          <w:tcPr>
            <w:tcW w:w="654" w:type="dxa"/>
            <w:vMerge/>
            <w:tcBorders>
              <w:top w:val="single" w:sz="8" w:space="0" w:color="auto"/>
              <w:left w:val="single" w:sz="12" w:space="0" w:color="auto"/>
              <w:bottom w:val="single" w:sz="12" w:space="0" w:color="auto"/>
              <w:right w:val="single" w:sz="12" w:space="0" w:color="auto"/>
            </w:tcBorders>
            <w:vAlign w:val="center"/>
            <w:hideMark/>
          </w:tcPr>
          <w:p w14:paraId="66B84F30" w14:textId="77777777" w:rsidR="00D3097F" w:rsidRPr="003C0E2F" w:rsidRDefault="00D3097F" w:rsidP="00EE17F5">
            <w:pPr>
              <w:spacing w:after="0" w:line="276" w:lineRule="auto"/>
            </w:pPr>
          </w:p>
        </w:tc>
      </w:tr>
      <w:tr w:rsidR="003C0E2F" w:rsidRPr="003C0E2F" w14:paraId="1026D426" w14:textId="77777777" w:rsidTr="009D57AC">
        <w:trPr>
          <w:trHeight w:val="285"/>
          <w:jc w:val="center"/>
        </w:trPr>
        <w:tc>
          <w:tcPr>
            <w:tcW w:w="1433" w:type="dxa"/>
            <w:tcBorders>
              <w:top w:val="single" w:sz="12" w:space="0" w:color="auto"/>
              <w:left w:val="single" w:sz="12" w:space="0" w:color="auto"/>
              <w:bottom w:val="single" w:sz="8" w:space="0" w:color="auto"/>
              <w:right w:val="single" w:sz="12" w:space="0" w:color="auto"/>
            </w:tcBorders>
            <w:shd w:val="clear" w:color="auto" w:fill="auto"/>
            <w:noWrap/>
            <w:vAlign w:val="center"/>
            <w:hideMark/>
          </w:tcPr>
          <w:p w14:paraId="1796FE1C" w14:textId="2F95D91C" w:rsidR="00D3097F" w:rsidRPr="003C0E2F" w:rsidRDefault="00D3097F" w:rsidP="00EE17F5">
            <w:pPr>
              <w:spacing w:after="0" w:line="276" w:lineRule="auto"/>
              <w:rPr>
                <w:b/>
                <w:bCs/>
              </w:rPr>
            </w:pPr>
            <w:r w:rsidRPr="003C0E2F">
              <w:rPr>
                <w:b/>
                <w:bCs/>
              </w:rPr>
              <w:t xml:space="preserve">1. </w:t>
            </w:r>
            <w:r w:rsidR="007A0F7C" w:rsidRPr="003C0E2F">
              <w:rPr>
                <w:b/>
                <w:bCs/>
              </w:rPr>
              <w:t>EOTAXIN</w:t>
            </w:r>
            <w:r w:rsidRPr="003C0E2F">
              <w:rPr>
                <w:b/>
                <w:bCs/>
              </w:rPr>
              <w:t>-1</w:t>
            </w:r>
          </w:p>
        </w:tc>
        <w:tc>
          <w:tcPr>
            <w:tcW w:w="718" w:type="dxa"/>
            <w:tcBorders>
              <w:top w:val="single" w:sz="12" w:space="0" w:color="auto"/>
              <w:left w:val="single" w:sz="12" w:space="0" w:color="auto"/>
              <w:bottom w:val="single" w:sz="4" w:space="0" w:color="000000"/>
              <w:right w:val="single" w:sz="12" w:space="0" w:color="auto"/>
            </w:tcBorders>
            <w:shd w:val="clear" w:color="000000" w:fill="C6EFCE"/>
            <w:vAlign w:val="bottom"/>
            <w:hideMark/>
          </w:tcPr>
          <w:p w14:paraId="169F42CE" w14:textId="77777777" w:rsidR="00D3097F" w:rsidRPr="003C0E2F" w:rsidRDefault="00D3097F" w:rsidP="00EE17F5">
            <w:pPr>
              <w:spacing w:after="0" w:line="276" w:lineRule="auto"/>
            </w:pPr>
            <w:r w:rsidRPr="003C0E2F">
              <w:t>2.36</w:t>
            </w:r>
          </w:p>
        </w:tc>
        <w:tc>
          <w:tcPr>
            <w:tcW w:w="738" w:type="dxa"/>
            <w:tcBorders>
              <w:top w:val="single" w:sz="12" w:space="0" w:color="auto"/>
              <w:left w:val="single" w:sz="12" w:space="0" w:color="auto"/>
              <w:bottom w:val="single" w:sz="4" w:space="0" w:color="000000"/>
              <w:right w:val="single" w:sz="8" w:space="0" w:color="000000"/>
            </w:tcBorders>
            <w:shd w:val="clear" w:color="auto" w:fill="auto"/>
            <w:vAlign w:val="bottom"/>
            <w:hideMark/>
          </w:tcPr>
          <w:p w14:paraId="76D28903" w14:textId="77777777" w:rsidR="00D3097F" w:rsidRPr="003C0E2F" w:rsidRDefault="00D3097F" w:rsidP="00EE17F5">
            <w:pPr>
              <w:spacing w:after="0" w:line="276" w:lineRule="auto"/>
            </w:pPr>
            <w:r w:rsidRPr="003C0E2F">
              <w:t>1.39</w:t>
            </w:r>
          </w:p>
        </w:tc>
        <w:tc>
          <w:tcPr>
            <w:tcW w:w="654" w:type="dxa"/>
            <w:tcBorders>
              <w:top w:val="single" w:sz="12" w:space="0" w:color="auto"/>
              <w:left w:val="nil"/>
              <w:bottom w:val="single" w:sz="4" w:space="0" w:color="000000"/>
              <w:right w:val="single" w:sz="8" w:space="0" w:color="000000"/>
            </w:tcBorders>
            <w:shd w:val="clear" w:color="auto" w:fill="auto"/>
            <w:vAlign w:val="bottom"/>
            <w:hideMark/>
          </w:tcPr>
          <w:p w14:paraId="05DF306E" w14:textId="77777777" w:rsidR="00D3097F" w:rsidRPr="003C0E2F" w:rsidRDefault="00D3097F" w:rsidP="00EE17F5">
            <w:pPr>
              <w:spacing w:after="0" w:line="276" w:lineRule="auto"/>
            </w:pPr>
            <w:r w:rsidRPr="003C0E2F">
              <w:t>0.71</w:t>
            </w:r>
          </w:p>
        </w:tc>
        <w:tc>
          <w:tcPr>
            <w:tcW w:w="718" w:type="dxa"/>
            <w:tcBorders>
              <w:top w:val="single" w:sz="12" w:space="0" w:color="auto"/>
              <w:left w:val="nil"/>
              <w:bottom w:val="single" w:sz="4" w:space="0" w:color="000000"/>
              <w:right w:val="single" w:sz="12" w:space="0" w:color="auto"/>
            </w:tcBorders>
            <w:shd w:val="clear" w:color="auto" w:fill="auto"/>
            <w:vAlign w:val="bottom"/>
            <w:hideMark/>
          </w:tcPr>
          <w:p w14:paraId="5E5194A5" w14:textId="77777777" w:rsidR="00D3097F" w:rsidRPr="003C0E2F" w:rsidRDefault="00D3097F" w:rsidP="00EE17F5">
            <w:pPr>
              <w:spacing w:after="0" w:line="276" w:lineRule="auto"/>
            </w:pPr>
            <w:r w:rsidRPr="003C0E2F">
              <w:t>1.18</w:t>
            </w:r>
          </w:p>
        </w:tc>
        <w:tc>
          <w:tcPr>
            <w:tcW w:w="1433" w:type="dxa"/>
            <w:tcBorders>
              <w:top w:val="single" w:sz="12" w:space="0" w:color="auto"/>
              <w:left w:val="single" w:sz="12" w:space="0" w:color="auto"/>
              <w:bottom w:val="single" w:sz="8" w:space="0" w:color="auto"/>
              <w:right w:val="single" w:sz="12" w:space="0" w:color="auto"/>
            </w:tcBorders>
            <w:shd w:val="clear" w:color="auto" w:fill="auto"/>
            <w:noWrap/>
            <w:vAlign w:val="center"/>
            <w:hideMark/>
          </w:tcPr>
          <w:p w14:paraId="7AC06FFB" w14:textId="77777777" w:rsidR="00D3097F" w:rsidRPr="003C0E2F" w:rsidRDefault="00D3097F" w:rsidP="00EE17F5">
            <w:pPr>
              <w:spacing w:after="0" w:line="276" w:lineRule="auto"/>
              <w:rPr>
                <w:b/>
                <w:bCs/>
              </w:rPr>
            </w:pPr>
            <w:r w:rsidRPr="003C0E2F">
              <w:rPr>
                <w:b/>
                <w:bCs/>
              </w:rPr>
              <w:t>21. IL-13</w:t>
            </w:r>
          </w:p>
        </w:tc>
        <w:tc>
          <w:tcPr>
            <w:tcW w:w="640" w:type="dxa"/>
            <w:tcBorders>
              <w:top w:val="single" w:sz="12" w:space="0" w:color="auto"/>
              <w:left w:val="single" w:sz="12" w:space="0" w:color="auto"/>
              <w:bottom w:val="single" w:sz="4" w:space="0" w:color="000000"/>
              <w:right w:val="single" w:sz="12" w:space="0" w:color="auto"/>
            </w:tcBorders>
            <w:shd w:val="clear" w:color="auto" w:fill="auto"/>
            <w:vAlign w:val="bottom"/>
            <w:hideMark/>
          </w:tcPr>
          <w:p w14:paraId="4394DB8E" w14:textId="77777777" w:rsidR="00D3097F" w:rsidRPr="003C0E2F" w:rsidRDefault="00D3097F" w:rsidP="00EE17F5">
            <w:pPr>
              <w:spacing w:after="0" w:line="276" w:lineRule="auto"/>
            </w:pPr>
            <w:r w:rsidRPr="003C0E2F">
              <w:t>1.26</w:t>
            </w:r>
          </w:p>
        </w:tc>
        <w:tc>
          <w:tcPr>
            <w:tcW w:w="738" w:type="dxa"/>
            <w:tcBorders>
              <w:top w:val="single" w:sz="12" w:space="0" w:color="auto"/>
              <w:left w:val="single" w:sz="12" w:space="0" w:color="auto"/>
              <w:bottom w:val="single" w:sz="4" w:space="0" w:color="000000"/>
              <w:right w:val="single" w:sz="12" w:space="0" w:color="auto"/>
            </w:tcBorders>
            <w:shd w:val="clear" w:color="000000" w:fill="C6EFCE"/>
            <w:vAlign w:val="bottom"/>
            <w:hideMark/>
          </w:tcPr>
          <w:p w14:paraId="40B7BBAA" w14:textId="77777777" w:rsidR="00D3097F" w:rsidRPr="003C0E2F" w:rsidRDefault="00D3097F" w:rsidP="00EE17F5">
            <w:pPr>
              <w:spacing w:after="0" w:line="276" w:lineRule="auto"/>
            </w:pPr>
            <w:r w:rsidRPr="003C0E2F">
              <w:t>3.40</w:t>
            </w:r>
          </w:p>
        </w:tc>
        <w:tc>
          <w:tcPr>
            <w:tcW w:w="654" w:type="dxa"/>
            <w:tcBorders>
              <w:top w:val="single" w:sz="12" w:space="0" w:color="auto"/>
              <w:left w:val="single" w:sz="12" w:space="0" w:color="auto"/>
              <w:bottom w:val="single" w:sz="4" w:space="0" w:color="000000"/>
              <w:right w:val="single" w:sz="12" w:space="0" w:color="auto"/>
            </w:tcBorders>
            <w:shd w:val="clear" w:color="auto" w:fill="auto"/>
            <w:vAlign w:val="bottom"/>
            <w:hideMark/>
          </w:tcPr>
          <w:p w14:paraId="63A743DE" w14:textId="77777777" w:rsidR="00D3097F" w:rsidRPr="003C0E2F" w:rsidRDefault="00D3097F" w:rsidP="00EE17F5">
            <w:pPr>
              <w:spacing w:after="0" w:line="276" w:lineRule="auto"/>
            </w:pPr>
            <w:r w:rsidRPr="003C0E2F">
              <w:t>1.04</w:t>
            </w:r>
          </w:p>
        </w:tc>
        <w:tc>
          <w:tcPr>
            <w:tcW w:w="654" w:type="dxa"/>
            <w:tcBorders>
              <w:top w:val="single" w:sz="12" w:space="0" w:color="auto"/>
              <w:left w:val="single" w:sz="12" w:space="0" w:color="auto"/>
              <w:bottom w:val="single" w:sz="4" w:space="0" w:color="000000"/>
              <w:right w:val="single" w:sz="12" w:space="0" w:color="auto"/>
            </w:tcBorders>
            <w:shd w:val="clear" w:color="auto" w:fill="auto"/>
            <w:vAlign w:val="bottom"/>
            <w:hideMark/>
          </w:tcPr>
          <w:p w14:paraId="22E3970F" w14:textId="77777777" w:rsidR="00D3097F" w:rsidRPr="003C0E2F" w:rsidRDefault="00D3097F" w:rsidP="00EE17F5">
            <w:pPr>
              <w:spacing w:after="0" w:line="276" w:lineRule="auto"/>
            </w:pPr>
            <w:r w:rsidRPr="003C0E2F">
              <w:t>0.78</w:t>
            </w:r>
          </w:p>
        </w:tc>
      </w:tr>
      <w:tr w:rsidR="003C0E2F" w:rsidRPr="003C0E2F" w14:paraId="512A7515" w14:textId="77777777" w:rsidTr="009D57AC">
        <w:trPr>
          <w:trHeight w:val="28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3CA56409" w14:textId="5AFA57BF" w:rsidR="00D3097F" w:rsidRPr="003C0E2F" w:rsidRDefault="00D3097F" w:rsidP="00EE17F5">
            <w:pPr>
              <w:spacing w:after="0" w:line="276" w:lineRule="auto"/>
              <w:rPr>
                <w:b/>
                <w:bCs/>
              </w:rPr>
            </w:pPr>
            <w:r w:rsidRPr="003C0E2F">
              <w:rPr>
                <w:b/>
                <w:bCs/>
              </w:rPr>
              <w:t xml:space="preserve">2. </w:t>
            </w:r>
            <w:r w:rsidR="007A0F7C" w:rsidRPr="003C0E2F">
              <w:rPr>
                <w:b/>
                <w:bCs/>
              </w:rPr>
              <w:t>EOTAXIN</w:t>
            </w:r>
            <w:r w:rsidRPr="003C0E2F">
              <w:rPr>
                <w:b/>
                <w:bCs/>
              </w:rPr>
              <w:t>-2</w:t>
            </w:r>
          </w:p>
        </w:tc>
        <w:tc>
          <w:tcPr>
            <w:tcW w:w="718" w:type="dxa"/>
            <w:tcBorders>
              <w:top w:val="nil"/>
              <w:left w:val="single" w:sz="12" w:space="0" w:color="auto"/>
              <w:bottom w:val="single" w:sz="4" w:space="0" w:color="000000"/>
              <w:right w:val="single" w:sz="12" w:space="0" w:color="auto"/>
            </w:tcBorders>
            <w:shd w:val="clear" w:color="auto" w:fill="auto"/>
            <w:vAlign w:val="bottom"/>
            <w:hideMark/>
          </w:tcPr>
          <w:p w14:paraId="2FFB89E2" w14:textId="77777777" w:rsidR="00D3097F" w:rsidRPr="003C0E2F" w:rsidRDefault="00D3097F" w:rsidP="00EE17F5">
            <w:pPr>
              <w:spacing w:after="0" w:line="276" w:lineRule="auto"/>
            </w:pPr>
            <w:r w:rsidRPr="003C0E2F">
              <w:t>1.44</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5FE56A0F" w14:textId="77777777" w:rsidR="00D3097F" w:rsidRPr="003C0E2F" w:rsidRDefault="00D3097F" w:rsidP="00EE17F5">
            <w:pPr>
              <w:spacing w:after="0" w:line="276" w:lineRule="auto"/>
            </w:pPr>
            <w:r w:rsidRPr="003C0E2F">
              <w:t>1.25</w:t>
            </w:r>
          </w:p>
        </w:tc>
        <w:tc>
          <w:tcPr>
            <w:tcW w:w="654" w:type="dxa"/>
            <w:tcBorders>
              <w:top w:val="nil"/>
              <w:left w:val="nil"/>
              <w:bottom w:val="single" w:sz="4" w:space="0" w:color="000000"/>
              <w:right w:val="single" w:sz="8" w:space="0" w:color="000000"/>
            </w:tcBorders>
            <w:shd w:val="clear" w:color="auto" w:fill="auto"/>
            <w:vAlign w:val="bottom"/>
            <w:hideMark/>
          </w:tcPr>
          <w:p w14:paraId="7F229BCF" w14:textId="77777777" w:rsidR="00D3097F" w:rsidRPr="003C0E2F" w:rsidRDefault="00D3097F" w:rsidP="00EE17F5">
            <w:pPr>
              <w:spacing w:after="0" w:line="276" w:lineRule="auto"/>
            </w:pPr>
            <w:r w:rsidRPr="003C0E2F">
              <w:t>1.17</w:t>
            </w:r>
          </w:p>
        </w:tc>
        <w:tc>
          <w:tcPr>
            <w:tcW w:w="718" w:type="dxa"/>
            <w:tcBorders>
              <w:top w:val="nil"/>
              <w:left w:val="nil"/>
              <w:bottom w:val="single" w:sz="4" w:space="0" w:color="000000"/>
              <w:right w:val="single" w:sz="12" w:space="0" w:color="auto"/>
            </w:tcBorders>
            <w:shd w:val="clear" w:color="auto" w:fill="auto"/>
            <w:vAlign w:val="bottom"/>
            <w:hideMark/>
          </w:tcPr>
          <w:p w14:paraId="6DC056A6" w14:textId="77777777" w:rsidR="00D3097F" w:rsidRPr="003C0E2F" w:rsidRDefault="00D3097F" w:rsidP="00EE17F5">
            <w:pPr>
              <w:spacing w:after="0" w:line="276" w:lineRule="auto"/>
            </w:pPr>
            <w:r w:rsidRPr="003C0E2F">
              <w:t>1.19</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06C9014A" w14:textId="77777777" w:rsidR="00D3097F" w:rsidRPr="003C0E2F" w:rsidRDefault="00D3097F" w:rsidP="00EE17F5">
            <w:pPr>
              <w:spacing w:after="0" w:line="276" w:lineRule="auto"/>
              <w:rPr>
                <w:b/>
                <w:bCs/>
              </w:rPr>
            </w:pPr>
            <w:r w:rsidRPr="003C0E2F">
              <w:rPr>
                <w:b/>
                <w:bCs/>
              </w:rPr>
              <w:t>22. IL-15</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68432569" w14:textId="77777777" w:rsidR="00D3097F" w:rsidRPr="003C0E2F" w:rsidRDefault="00D3097F" w:rsidP="00EE17F5">
            <w:pPr>
              <w:spacing w:after="0" w:line="276" w:lineRule="auto"/>
            </w:pPr>
            <w:r w:rsidRPr="003C0E2F">
              <w:t>1.98</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72FF0974" w14:textId="77777777" w:rsidR="00D3097F" w:rsidRPr="003C0E2F" w:rsidRDefault="00D3097F" w:rsidP="00EE17F5">
            <w:pPr>
              <w:spacing w:after="0" w:line="276" w:lineRule="auto"/>
            </w:pPr>
            <w:r w:rsidRPr="003C0E2F">
              <w:t>1.16</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3D1A9EF4" w14:textId="77777777" w:rsidR="00D3097F" w:rsidRPr="003C0E2F" w:rsidRDefault="00D3097F" w:rsidP="00EE17F5">
            <w:pPr>
              <w:spacing w:after="0" w:line="276" w:lineRule="auto"/>
            </w:pPr>
            <w:r w:rsidRPr="003C0E2F">
              <w:t>0.79</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4150BB33" w14:textId="77777777" w:rsidR="00D3097F" w:rsidRPr="003C0E2F" w:rsidRDefault="00D3097F" w:rsidP="00EE17F5">
            <w:pPr>
              <w:spacing w:after="0" w:line="276" w:lineRule="auto"/>
            </w:pPr>
            <w:r w:rsidRPr="003C0E2F">
              <w:t>0.8</w:t>
            </w:r>
          </w:p>
        </w:tc>
      </w:tr>
      <w:tr w:rsidR="003C0E2F" w:rsidRPr="003C0E2F" w14:paraId="19D179BE" w14:textId="77777777" w:rsidTr="009D57AC">
        <w:trPr>
          <w:trHeight w:val="28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64DA937F" w14:textId="77777777" w:rsidR="00D3097F" w:rsidRPr="003C0E2F" w:rsidRDefault="00D3097F" w:rsidP="00EE17F5">
            <w:pPr>
              <w:spacing w:after="0" w:line="276" w:lineRule="auto"/>
              <w:rPr>
                <w:b/>
                <w:bCs/>
              </w:rPr>
            </w:pPr>
            <w:r w:rsidRPr="003C0E2F">
              <w:rPr>
                <w:b/>
                <w:bCs/>
              </w:rPr>
              <w:t>3. GCSF</w:t>
            </w:r>
          </w:p>
        </w:tc>
        <w:tc>
          <w:tcPr>
            <w:tcW w:w="718" w:type="dxa"/>
            <w:tcBorders>
              <w:top w:val="nil"/>
              <w:left w:val="single" w:sz="12" w:space="0" w:color="auto"/>
              <w:bottom w:val="single" w:sz="4" w:space="0" w:color="000000"/>
              <w:right w:val="single" w:sz="12" w:space="0" w:color="auto"/>
            </w:tcBorders>
            <w:shd w:val="clear" w:color="auto" w:fill="auto"/>
            <w:vAlign w:val="bottom"/>
            <w:hideMark/>
          </w:tcPr>
          <w:p w14:paraId="30596C6B" w14:textId="77777777" w:rsidR="00D3097F" w:rsidRPr="003C0E2F" w:rsidRDefault="00D3097F" w:rsidP="00EE17F5">
            <w:pPr>
              <w:spacing w:after="0" w:line="276" w:lineRule="auto"/>
            </w:pPr>
            <w:r w:rsidRPr="003C0E2F">
              <w:t>1.69</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71A11351" w14:textId="77777777" w:rsidR="00D3097F" w:rsidRPr="003C0E2F" w:rsidRDefault="00D3097F" w:rsidP="00EE17F5">
            <w:pPr>
              <w:spacing w:after="0" w:line="276" w:lineRule="auto"/>
            </w:pPr>
            <w:r w:rsidRPr="003C0E2F">
              <w:t>1.27</w:t>
            </w:r>
          </w:p>
        </w:tc>
        <w:tc>
          <w:tcPr>
            <w:tcW w:w="654" w:type="dxa"/>
            <w:tcBorders>
              <w:top w:val="nil"/>
              <w:left w:val="nil"/>
              <w:bottom w:val="single" w:sz="4" w:space="0" w:color="000000"/>
              <w:right w:val="single" w:sz="8" w:space="0" w:color="000000"/>
            </w:tcBorders>
            <w:shd w:val="clear" w:color="auto" w:fill="auto"/>
            <w:vAlign w:val="bottom"/>
            <w:hideMark/>
          </w:tcPr>
          <w:p w14:paraId="4B6F1172" w14:textId="77777777" w:rsidR="00D3097F" w:rsidRPr="003C0E2F" w:rsidRDefault="00D3097F" w:rsidP="00EE17F5">
            <w:pPr>
              <w:spacing w:after="0" w:line="276" w:lineRule="auto"/>
            </w:pPr>
            <w:r w:rsidRPr="003C0E2F">
              <w:t>0.54</w:t>
            </w:r>
          </w:p>
        </w:tc>
        <w:tc>
          <w:tcPr>
            <w:tcW w:w="718" w:type="dxa"/>
            <w:tcBorders>
              <w:top w:val="nil"/>
              <w:left w:val="nil"/>
              <w:bottom w:val="single" w:sz="4" w:space="0" w:color="000000"/>
              <w:right w:val="single" w:sz="12" w:space="0" w:color="auto"/>
            </w:tcBorders>
            <w:shd w:val="clear" w:color="auto" w:fill="auto"/>
            <w:vAlign w:val="bottom"/>
            <w:hideMark/>
          </w:tcPr>
          <w:p w14:paraId="7EFD288A" w14:textId="77777777" w:rsidR="00D3097F" w:rsidRPr="003C0E2F" w:rsidRDefault="00D3097F" w:rsidP="00EE17F5">
            <w:pPr>
              <w:spacing w:after="0" w:line="276" w:lineRule="auto"/>
            </w:pPr>
            <w:r w:rsidRPr="003C0E2F">
              <w:t>0.73</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51092613" w14:textId="77777777" w:rsidR="00D3097F" w:rsidRPr="003C0E2F" w:rsidRDefault="00D3097F" w:rsidP="00EE17F5">
            <w:pPr>
              <w:spacing w:after="0" w:line="276" w:lineRule="auto"/>
              <w:rPr>
                <w:b/>
                <w:bCs/>
              </w:rPr>
            </w:pPr>
            <w:r w:rsidRPr="003C0E2F">
              <w:rPr>
                <w:b/>
                <w:bCs/>
              </w:rPr>
              <w:t>23. IL-16</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67068F20" w14:textId="77777777" w:rsidR="00D3097F" w:rsidRPr="003C0E2F" w:rsidRDefault="00D3097F" w:rsidP="00EE17F5">
            <w:pPr>
              <w:spacing w:after="0" w:line="276" w:lineRule="auto"/>
            </w:pPr>
            <w:r w:rsidRPr="003C0E2F">
              <w:t>1.24</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01ADB1DE" w14:textId="77777777" w:rsidR="00D3097F" w:rsidRPr="003C0E2F" w:rsidRDefault="00D3097F" w:rsidP="00EE17F5">
            <w:pPr>
              <w:spacing w:after="0" w:line="276" w:lineRule="auto"/>
            </w:pPr>
            <w:r w:rsidRPr="003C0E2F">
              <w:t>1.08</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7F8D530F" w14:textId="77777777" w:rsidR="00D3097F" w:rsidRPr="003C0E2F" w:rsidRDefault="00D3097F" w:rsidP="00EE17F5">
            <w:pPr>
              <w:spacing w:after="0" w:line="276" w:lineRule="auto"/>
            </w:pPr>
            <w:r w:rsidRPr="003C0E2F">
              <w:t>0.98</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6BB8563E" w14:textId="77777777" w:rsidR="00D3097F" w:rsidRPr="003C0E2F" w:rsidRDefault="00D3097F" w:rsidP="00EE17F5">
            <w:pPr>
              <w:spacing w:after="0" w:line="276" w:lineRule="auto"/>
            </w:pPr>
            <w:r w:rsidRPr="003C0E2F">
              <w:t>0.91</w:t>
            </w:r>
          </w:p>
        </w:tc>
      </w:tr>
      <w:tr w:rsidR="003C0E2F" w:rsidRPr="003C0E2F" w14:paraId="76CB95C8" w14:textId="77777777" w:rsidTr="009D57AC">
        <w:trPr>
          <w:trHeight w:val="28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1438332F" w14:textId="77777777" w:rsidR="00D3097F" w:rsidRPr="003C0E2F" w:rsidRDefault="00D3097F" w:rsidP="00EE17F5">
            <w:pPr>
              <w:spacing w:after="0" w:line="276" w:lineRule="auto"/>
              <w:rPr>
                <w:b/>
                <w:bCs/>
              </w:rPr>
            </w:pPr>
            <w:r w:rsidRPr="003C0E2F">
              <w:rPr>
                <w:b/>
                <w:bCs/>
              </w:rPr>
              <w:t>4. GM-CSF</w:t>
            </w:r>
          </w:p>
        </w:tc>
        <w:tc>
          <w:tcPr>
            <w:tcW w:w="718" w:type="dxa"/>
            <w:tcBorders>
              <w:top w:val="nil"/>
              <w:left w:val="single" w:sz="12" w:space="0" w:color="auto"/>
              <w:bottom w:val="single" w:sz="4" w:space="0" w:color="000000"/>
              <w:right w:val="single" w:sz="12" w:space="0" w:color="auto"/>
            </w:tcBorders>
            <w:shd w:val="clear" w:color="000000" w:fill="C6EFCE"/>
            <w:vAlign w:val="bottom"/>
            <w:hideMark/>
          </w:tcPr>
          <w:p w14:paraId="4B105EA7" w14:textId="77777777" w:rsidR="00D3097F" w:rsidRPr="003C0E2F" w:rsidRDefault="00D3097F" w:rsidP="00EE17F5">
            <w:pPr>
              <w:spacing w:after="0" w:line="276" w:lineRule="auto"/>
            </w:pPr>
            <w:r w:rsidRPr="003C0E2F">
              <w:t>4.21</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4E0BF892" w14:textId="77777777" w:rsidR="00D3097F" w:rsidRPr="003C0E2F" w:rsidRDefault="00D3097F" w:rsidP="00EE17F5">
            <w:pPr>
              <w:spacing w:after="0" w:line="276" w:lineRule="auto"/>
            </w:pPr>
            <w:r w:rsidRPr="003C0E2F">
              <w:t>1.96</w:t>
            </w:r>
          </w:p>
        </w:tc>
        <w:tc>
          <w:tcPr>
            <w:tcW w:w="654" w:type="dxa"/>
            <w:tcBorders>
              <w:top w:val="nil"/>
              <w:left w:val="nil"/>
              <w:bottom w:val="single" w:sz="4" w:space="0" w:color="000000"/>
              <w:right w:val="single" w:sz="8" w:space="0" w:color="000000"/>
            </w:tcBorders>
            <w:shd w:val="clear" w:color="auto" w:fill="auto"/>
            <w:vAlign w:val="bottom"/>
            <w:hideMark/>
          </w:tcPr>
          <w:p w14:paraId="3C4BD2F4" w14:textId="77777777" w:rsidR="00D3097F" w:rsidRPr="003C0E2F" w:rsidRDefault="00D3097F" w:rsidP="00EE17F5">
            <w:pPr>
              <w:spacing w:after="0" w:line="276" w:lineRule="auto"/>
            </w:pPr>
            <w:r w:rsidRPr="003C0E2F">
              <w:t>1.56</w:t>
            </w:r>
          </w:p>
        </w:tc>
        <w:tc>
          <w:tcPr>
            <w:tcW w:w="718" w:type="dxa"/>
            <w:tcBorders>
              <w:top w:val="nil"/>
              <w:left w:val="nil"/>
              <w:bottom w:val="single" w:sz="4" w:space="0" w:color="000000"/>
              <w:right w:val="single" w:sz="12" w:space="0" w:color="auto"/>
            </w:tcBorders>
            <w:shd w:val="clear" w:color="auto" w:fill="auto"/>
            <w:vAlign w:val="bottom"/>
            <w:hideMark/>
          </w:tcPr>
          <w:p w14:paraId="43E8B348" w14:textId="77777777" w:rsidR="00D3097F" w:rsidRPr="003C0E2F" w:rsidRDefault="00D3097F" w:rsidP="00EE17F5">
            <w:pPr>
              <w:spacing w:after="0" w:line="276" w:lineRule="auto"/>
            </w:pPr>
            <w:r w:rsidRPr="003C0E2F">
              <w:t>1.83</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5132A66D" w14:textId="77777777" w:rsidR="00D3097F" w:rsidRPr="003C0E2F" w:rsidRDefault="00D3097F" w:rsidP="00EE17F5">
            <w:pPr>
              <w:spacing w:after="0" w:line="276" w:lineRule="auto"/>
              <w:rPr>
                <w:b/>
                <w:bCs/>
              </w:rPr>
            </w:pPr>
            <w:r w:rsidRPr="003C0E2F">
              <w:rPr>
                <w:b/>
                <w:bCs/>
              </w:rPr>
              <w:t>24. IL-17A</w:t>
            </w:r>
          </w:p>
        </w:tc>
        <w:tc>
          <w:tcPr>
            <w:tcW w:w="640" w:type="dxa"/>
            <w:tcBorders>
              <w:top w:val="single" w:sz="4" w:space="0" w:color="000000"/>
              <w:left w:val="single" w:sz="12" w:space="0" w:color="auto"/>
              <w:bottom w:val="single" w:sz="4" w:space="0" w:color="000000"/>
              <w:right w:val="single" w:sz="12" w:space="0" w:color="auto"/>
            </w:tcBorders>
            <w:shd w:val="clear" w:color="000000" w:fill="C6EFCE"/>
            <w:vAlign w:val="bottom"/>
            <w:hideMark/>
          </w:tcPr>
          <w:p w14:paraId="1F277233" w14:textId="77777777" w:rsidR="00D3097F" w:rsidRPr="003C0E2F" w:rsidRDefault="00D3097F" w:rsidP="00EE17F5">
            <w:pPr>
              <w:spacing w:after="0" w:line="276" w:lineRule="auto"/>
            </w:pPr>
            <w:r w:rsidRPr="003C0E2F">
              <w:t>2.79</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4754D6C2" w14:textId="77777777" w:rsidR="00D3097F" w:rsidRPr="003C0E2F" w:rsidRDefault="00D3097F" w:rsidP="00EE17F5">
            <w:pPr>
              <w:spacing w:after="0" w:line="276" w:lineRule="auto"/>
            </w:pPr>
            <w:r w:rsidRPr="003C0E2F">
              <w:t>1.14</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1CBFAE37" w14:textId="77777777" w:rsidR="00D3097F" w:rsidRPr="003C0E2F" w:rsidRDefault="00D3097F" w:rsidP="00EE17F5">
            <w:pPr>
              <w:spacing w:after="0" w:line="276" w:lineRule="auto"/>
            </w:pPr>
            <w:r w:rsidRPr="003C0E2F">
              <w:t>0.65</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008B3060" w14:textId="77777777" w:rsidR="00D3097F" w:rsidRPr="003C0E2F" w:rsidRDefault="00D3097F" w:rsidP="00EE17F5">
            <w:pPr>
              <w:spacing w:after="0" w:line="276" w:lineRule="auto"/>
            </w:pPr>
            <w:r w:rsidRPr="003C0E2F">
              <w:t>1.03</w:t>
            </w:r>
          </w:p>
        </w:tc>
      </w:tr>
      <w:tr w:rsidR="003C0E2F" w:rsidRPr="003C0E2F" w14:paraId="38ED22BA" w14:textId="77777777" w:rsidTr="009D57AC">
        <w:trPr>
          <w:trHeight w:val="28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7B3E21B9" w14:textId="77777777" w:rsidR="00D3097F" w:rsidRPr="003C0E2F" w:rsidRDefault="00D3097F" w:rsidP="00EE17F5">
            <w:pPr>
              <w:spacing w:after="0" w:line="276" w:lineRule="auto"/>
              <w:rPr>
                <w:b/>
                <w:bCs/>
              </w:rPr>
            </w:pPr>
            <w:r w:rsidRPr="003C0E2F">
              <w:rPr>
                <w:b/>
                <w:bCs/>
              </w:rPr>
              <w:t>5. iCAM-1</w:t>
            </w:r>
          </w:p>
        </w:tc>
        <w:tc>
          <w:tcPr>
            <w:tcW w:w="718" w:type="dxa"/>
            <w:tcBorders>
              <w:top w:val="nil"/>
              <w:left w:val="single" w:sz="12" w:space="0" w:color="auto"/>
              <w:bottom w:val="single" w:sz="4" w:space="0" w:color="000000"/>
              <w:right w:val="single" w:sz="12" w:space="0" w:color="auto"/>
            </w:tcBorders>
            <w:shd w:val="clear" w:color="000000" w:fill="C6EFCE"/>
            <w:vAlign w:val="bottom"/>
            <w:hideMark/>
          </w:tcPr>
          <w:p w14:paraId="19A0BC8E" w14:textId="77777777" w:rsidR="00D3097F" w:rsidRPr="003C0E2F" w:rsidRDefault="00D3097F" w:rsidP="00EE17F5">
            <w:pPr>
              <w:spacing w:after="0" w:line="276" w:lineRule="auto"/>
            </w:pPr>
            <w:r w:rsidRPr="003C0E2F">
              <w:t>2.43</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466E6149" w14:textId="77777777" w:rsidR="00D3097F" w:rsidRPr="003C0E2F" w:rsidRDefault="00D3097F" w:rsidP="00EE17F5">
            <w:pPr>
              <w:spacing w:after="0" w:line="276" w:lineRule="auto"/>
            </w:pPr>
            <w:r w:rsidRPr="003C0E2F">
              <w:t>1.91</w:t>
            </w:r>
          </w:p>
        </w:tc>
        <w:tc>
          <w:tcPr>
            <w:tcW w:w="654" w:type="dxa"/>
            <w:tcBorders>
              <w:top w:val="nil"/>
              <w:left w:val="nil"/>
              <w:bottom w:val="single" w:sz="4" w:space="0" w:color="000000"/>
              <w:right w:val="single" w:sz="8" w:space="0" w:color="000000"/>
            </w:tcBorders>
            <w:shd w:val="clear" w:color="000000" w:fill="C6EFCE"/>
            <w:vAlign w:val="bottom"/>
            <w:hideMark/>
          </w:tcPr>
          <w:p w14:paraId="13971539" w14:textId="77777777" w:rsidR="00D3097F" w:rsidRPr="003C0E2F" w:rsidRDefault="00D3097F" w:rsidP="00EE17F5">
            <w:pPr>
              <w:spacing w:after="0" w:line="276" w:lineRule="auto"/>
            </w:pPr>
            <w:r w:rsidRPr="003C0E2F">
              <w:t>2.33</w:t>
            </w:r>
          </w:p>
        </w:tc>
        <w:tc>
          <w:tcPr>
            <w:tcW w:w="718" w:type="dxa"/>
            <w:tcBorders>
              <w:top w:val="nil"/>
              <w:left w:val="nil"/>
              <w:bottom w:val="single" w:sz="4" w:space="0" w:color="000000"/>
              <w:right w:val="single" w:sz="12" w:space="0" w:color="auto"/>
            </w:tcBorders>
            <w:shd w:val="clear" w:color="000000" w:fill="C6EFCE"/>
            <w:vAlign w:val="bottom"/>
            <w:hideMark/>
          </w:tcPr>
          <w:p w14:paraId="2615EE2C" w14:textId="77777777" w:rsidR="00D3097F" w:rsidRPr="003C0E2F" w:rsidRDefault="00D3097F" w:rsidP="00EE17F5">
            <w:pPr>
              <w:spacing w:after="0" w:line="276" w:lineRule="auto"/>
            </w:pPr>
            <w:r w:rsidRPr="003C0E2F">
              <w:t>2.29</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325EC5E2" w14:textId="25561D51" w:rsidR="00D3097F" w:rsidRPr="003C0E2F" w:rsidRDefault="00D3097F" w:rsidP="00EE17F5">
            <w:pPr>
              <w:spacing w:after="0" w:line="276" w:lineRule="auto"/>
              <w:rPr>
                <w:b/>
                <w:bCs/>
              </w:rPr>
            </w:pPr>
            <w:r w:rsidRPr="003C0E2F">
              <w:rPr>
                <w:b/>
                <w:bCs/>
              </w:rPr>
              <w:t xml:space="preserve">25. </w:t>
            </w:r>
            <w:r w:rsidR="009E42FE" w:rsidRPr="003C0E2F">
              <w:rPr>
                <w:b/>
                <w:bCs/>
              </w:rPr>
              <w:t>IP10</w:t>
            </w:r>
          </w:p>
        </w:tc>
        <w:tc>
          <w:tcPr>
            <w:tcW w:w="640" w:type="dxa"/>
            <w:tcBorders>
              <w:top w:val="single" w:sz="4" w:space="0" w:color="000000"/>
              <w:left w:val="single" w:sz="12" w:space="0" w:color="auto"/>
              <w:bottom w:val="single" w:sz="4" w:space="0" w:color="000000"/>
              <w:right w:val="single" w:sz="12" w:space="0" w:color="auto"/>
            </w:tcBorders>
            <w:shd w:val="clear" w:color="000000" w:fill="C6EFCE"/>
            <w:vAlign w:val="bottom"/>
            <w:hideMark/>
          </w:tcPr>
          <w:p w14:paraId="78DA35E8" w14:textId="77777777" w:rsidR="00D3097F" w:rsidRPr="003C0E2F" w:rsidRDefault="00D3097F" w:rsidP="00EE17F5">
            <w:pPr>
              <w:spacing w:after="0" w:line="276" w:lineRule="auto"/>
            </w:pPr>
            <w:r w:rsidRPr="003C0E2F">
              <w:t>7.42</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6652F812" w14:textId="77777777" w:rsidR="00D3097F" w:rsidRPr="003C0E2F" w:rsidRDefault="00D3097F" w:rsidP="00EE17F5">
            <w:pPr>
              <w:spacing w:after="0" w:line="276" w:lineRule="auto"/>
            </w:pPr>
            <w:r w:rsidRPr="003C0E2F">
              <w:t>1.53</w:t>
            </w:r>
          </w:p>
        </w:tc>
        <w:tc>
          <w:tcPr>
            <w:tcW w:w="654" w:type="dxa"/>
            <w:tcBorders>
              <w:top w:val="single" w:sz="4" w:space="0" w:color="000000"/>
              <w:left w:val="single" w:sz="12" w:space="0" w:color="auto"/>
              <w:bottom w:val="single" w:sz="4" w:space="0" w:color="000000"/>
              <w:right w:val="single" w:sz="12" w:space="0" w:color="auto"/>
            </w:tcBorders>
            <w:shd w:val="clear" w:color="000000" w:fill="C6EFCE"/>
            <w:vAlign w:val="bottom"/>
            <w:hideMark/>
          </w:tcPr>
          <w:p w14:paraId="1803AEDF" w14:textId="77777777" w:rsidR="00D3097F" w:rsidRPr="003C0E2F" w:rsidRDefault="00D3097F" w:rsidP="00EE17F5">
            <w:pPr>
              <w:spacing w:after="0" w:line="276" w:lineRule="auto"/>
            </w:pPr>
            <w:r w:rsidRPr="003C0E2F">
              <w:t>4.69</w:t>
            </w:r>
          </w:p>
        </w:tc>
        <w:tc>
          <w:tcPr>
            <w:tcW w:w="654" w:type="dxa"/>
            <w:tcBorders>
              <w:top w:val="nil"/>
              <w:left w:val="single" w:sz="12" w:space="0" w:color="auto"/>
              <w:bottom w:val="single" w:sz="4" w:space="0" w:color="000000"/>
              <w:right w:val="single" w:sz="12" w:space="0" w:color="auto"/>
            </w:tcBorders>
            <w:shd w:val="clear" w:color="000000" w:fill="C6EFCE"/>
            <w:vAlign w:val="bottom"/>
            <w:hideMark/>
          </w:tcPr>
          <w:p w14:paraId="60585CCE" w14:textId="77777777" w:rsidR="00D3097F" w:rsidRPr="003C0E2F" w:rsidRDefault="00D3097F" w:rsidP="00EE17F5">
            <w:pPr>
              <w:spacing w:after="0" w:line="276" w:lineRule="auto"/>
            </w:pPr>
            <w:r w:rsidRPr="003C0E2F">
              <w:t>4.85</w:t>
            </w:r>
          </w:p>
        </w:tc>
      </w:tr>
      <w:tr w:rsidR="003C0E2F" w:rsidRPr="003C0E2F" w14:paraId="61BB8DCF"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7C5A15E1" w14:textId="77777777" w:rsidR="00D3097F" w:rsidRPr="003C0E2F" w:rsidRDefault="00D3097F" w:rsidP="00EE17F5">
            <w:pPr>
              <w:spacing w:after="0" w:line="276" w:lineRule="auto"/>
              <w:rPr>
                <w:b/>
                <w:bCs/>
              </w:rPr>
            </w:pPr>
            <w:r w:rsidRPr="003C0E2F">
              <w:rPr>
                <w:b/>
                <w:bCs/>
              </w:rPr>
              <w:t xml:space="preserve">6. </w:t>
            </w:r>
            <w:proofErr w:type="spellStart"/>
            <w:r w:rsidRPr="003C0E2F">
              <w:rPr>
                <w:b/>
                <w:bCs/>
              </w:rPr>
              <w:t>IFNγ</w:t>
            </w:r>
            <w:proofErr w:type="spellEnd"/>
          </w:p>
        </w:tc>
        <w:tc>
          <w:tcPr>
            <w:tcW w:w="718" w:type="dxa"/>
            <w:tcBorders>
              <w:top w:val="nil"/>
              <w:left w:val="single" w:sz="12" w:space="0" w:color="auto"/>
              <w:bottom w:val="single" w:sz="4" w:space="0" w:color="000000"/>
              <w:right w:val="single" w:sz="12" w:space="0" w:color="auto"/>
            </w:tcBorders>
            <w:shd w:val="clear" w:color="auto" w:fill="auto"/>
            <w:vAlign w:val="bottom"/>
            <w:hideMark/>
          </w:tcPr>
          <w:p w14:paraId="2706508D" w14:textId="77777777" w:rsidR="00D3097F" w:rsidRPr="003C0E2F" w:rsidRDefault="00D3097F" w:rsidP="00EE17F5">
            <w:pPr>
              <w:spacing w:after="0" w:line="276" w:lineRule="auto"/>
            </w:pPr>
            <w:r w:rsidRPr="003C0E2F">
              <w:t>1.46</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384CF5C8" w14:textId="77777777" w:rsidR="00D3097F" w:rsidRPr="003C0E2F" w:rsidRDefault="00D3097F" w:rsidP="00EE17F5">
            <w:pPr>
              <w:spacing w:after="0" w:line="276" w:lineRule="auto"/>
            </w:pPr>
            <w:r w:rsidRPr="003C0E2F">
              <w:t>1.41</w:t>
            </w:r>
          </w:p>
        </w:tc>
        <w:tc>
          <w:tcPr>
            <w:tcW w:w="654" w:type="dxa"/>
            <w:tcBorders>
              <w:top w:val="nil"/>
              <w:left w:val="nil"/>
              <w:bottom w:val="single" w:sz="4" w:space="0" w:color="000000"/>
              <w:right w:val="single" w:sz="8" w:space="0" w:color="000000"/>
            </w:tcBorders>
            <w:shd w:val="clear" w:color="auto" w:fill="auto"/>
            <w:vAlign w:val="bottom"/>
            <w:hideMark/>
          </w:tcPr>
          <w:p w14:paraId="7B7DDB36" w14:textId="77777777" w:rsidR="00D3097F" w:rsidRPr="003C0E2F" w:rsidRDefault="00D3097F" w:rsidP="00EE17F5">
            <w:pPr>
              <w:spacing w:after="0" w:line="276" w:lineRule="auto"/>
            </w:pPr>
            <w:r w:rsidRPr="003C0E2F">
              <w:t>1.41</w:t>
            </w:r>
          </w:p>
        </w:tc>
        <w:tc>
          <w:tcPr>
            <w:tcW w:w="718" w:type="dxa"/>
            <w:tcBorders>
              <w:top w:val="nil"/>
              <w:left w:val="nil"/>
              <w:bottom w:val="single" w:sz="4" w:space="0" w:color="000000"/>
              <w:right w:val="single" w:sz="12" w:space="0" w:color="auto"/>
            </w:tcBorders>
            <w:shd w:val="clear" w:color="auto" w:fill="auto"/>
            <w:vAlign w:val="bottom"/>
            <w:hideMark/>
          </w:tcPr>
          <w:p w14:paraId="264F937D" w14:textId="77777777" w:rsidR="00D3097F" w:rsidRPr="003C0E2F" w:rsidRDefault="00D3097F" w:rsidP="00EE17F5">
            <w:pPr>
              <w:spacing w:after="0" w:line="276" w:lineRule="auto"/>
            </w:pPr>
            <w:r w:rsidRPr="003C0E2F">
              <w:t>1.34</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55D9F967" w14:textId="77777777" w:rsidR="00D3097F" w:rsidRPr="003C0E2F" w:rsidRDefault="00D3097F" w:rsidP="00EE17F5">
            <w:pPr>
              <w:spacing w:after="0" w:line="276" w:lineRule="auto"/>
              <w:rPr>
                <w:b/>
                <w:bCs/>
              </w:rPr>
            </w:pPr>
            <w:r w:rsidRPr="003C0E2F">
              <w:rPr>
                <w:b/>
                <w:bCs/>
              </w:rPr>
              <w:t>26. MCP-1</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2641B9D7" w14:textId="77777777" w:rsidR="00D3097F" w:rsidRPr="003C0E2F" w:rsidRDefault="00D3097F" w:rsidP="00EE17F5">
            <w:pPr>
              <w:spacing w:after="0" w:line="276" w:lineRule="auto"/>
            </w:pPr>
            <w:r w:rsidRPr="003C0E2F">
              <w:t>1.25</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42832347" w14:textId="77777777" w:rsidR="00D3097F" w:rsidRPr="003C0E2F" w:rsidRDefault="00D3097F" w:rsidP="00EE17F5">
            <w:pPr>
              <w:spacing w:after="0" w:line="276" w:lineRule="auto"/>
            </w:pPr>
            <w:r w:rsidRPr="003C0E2F">
              <w:t>1.10</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3BED4125" w14:textId="77777777" w:rsidR="00D3097F" w:rsidRPr="003C0E2F" w:rsidRDefault="00D3097F" w:rsidP="00EE17F5">
            <w:pPr>
              <w:spacing w:after="0" w:line="276" w:lineRule="auto"/>
            </w:pPr>
            <w:r w:rsidRPr="003C0E2F">
              <w:t>0.96</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17E906EE" w14:textId="77777777" w:rsidR="00D3097F" w:rsidRPr="003C0E2F" w:rsidRDefault="00D3097F" w:rsidP="00EE17F5">
            <w:pPr>
              <w:spacing w:after="0" w:line="276" w:lineRule="auto"/>
            </w:pPr>
            <w:r w:rsidRPr="003C0E2F">
              <w:t>0.98</w:t>
            </w:r>
          </w:p>
        </w:tc>
      </w:tr>
      <w:tr w:rsidR="003C0E2F" w:rsidRPr="003C0E2F" w14:paraId="49DD1C79"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733C24A0" w14:textId="77777777" w:rsidR="00D3097F" w:rsidRPr="003C0E2F" w:rsidRDefault="00D3097F" w:rsidP="00EE17F5">
            <w:pPr>
              <w:spacing w:after="0" w:line="276" w:lineRule="auto"/>
              <w:rPr>
                <w:b/>
                <w:bCs/>
              </w:rPr>
            </w:pPr>
            <w:r w:rsidRPr="003C0E2F">
              <w:rPr>
                <w:b/>
                <w:bCs/>
              </w:rPr>
              <w:t>7. I-309</w:t>
            </w:r>
          </w:p>
        </w:tc>
        <w:tc>
          <w:tcPr>
            <w:tcW w:w="718" w:type="dxa"/>
            <w:tcBorders>
              <w:top w:val="nil"/>
              <w:left w:val="single" w:sz="12" w:space="0" w:color="auto"/>
              <w:bottom w:val="single" w:sz="4" w:space="0" w:color="000000"/>
              <w:right w:val="single" w:sz="12" w:space="0" w:color="auto"/>
            </w:tcBorders>
            <w:shd w:val="clear" w:color="auto" w:fill="auto"/>
            <w:vAlign w:val="bottom"/>
            <w:hideMark/>
          </w:tcPr>
          <w:p w14:paraId="6555F393" w14:textId="77777777" w:rsidR="00D3097F" w:rsidRPr="003C0E2F" w:rsidRDefault="00D3097F" w:rsidP="00EE17F5">
            <w:pPr>
              <w:spacing w:after="0" w:line="276" w:lineRule="auto"/>
            </w:pPr>
            <w:r w:rsidRPr="003C0E2F">
              <w:t>1.93</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2D6E4C82" w14:textId="77777777" w:rsidR="00D3097F" w:rsidRPr="003C0E2F" w:rsidRDefault="00D3097F" w:rsidP="00EE17F5">
            <w:pPr>
              <w:spacing w:after="0" w:line="276" w:lineRule="auto"/>
            </w:pPr>
            <w:r w:rsidRPr="003C0E2F">
              <w:t>1.91</w:t>
            </w:r>
          </w:p>
        </w:tc>
        <w:tc>
          <w:tcPr>
            <w:tcW w:w="654" w:type="dxa"/>
            <w:tcBorders>
              <w:top w:val="nil"/>
              <w:left w:val="nil"/>
              <w:bottom w:val="single" w:sz="4" w:space="0" w:color="000000"/>
              <w:right w:val="single" w:sz="8" w:space="0" w:color="000000"/>
            </w:tcBorders>
            <w:shd w:val="clear" w:color="000000" w:fill="C6EFCE"/>
            <w:vAlign w:val="bottom"/>
            <w:hideMark/>
          </w:tcPr>
          <w:p w14:paraId="7B79E599" w14:textId="77777777" w:rsidR="00D3097F" w:rsidRPr="003C0E2F" w:rsidRDefault="00D3097F" w:rsidP="00EE17F5">
            <w:pPr>
              <w:spacing w:after="0" w:line="276" w:lineRule="auto"/>
            </w:pPr>
            <w:r w:rsidRPr="003C0E2F">
              <w:t>2.42</w:t>
            </w:r>
          </w:p>
        </w:tc>
        <w:tc>
          <w:tcPr>
            <w:tcW w:w="718" w:type="dxa"/>
            <w:tcBorders>
              <w:top w:val="nil"/>
              <w:left w:val="nil"/>
              <w:bottom w:val="single" w:sz="4" w:space="0" w:color="000000"/>
              <w:right w:val="single" w:sz="12" w:space="0" w:color="auto"/>
            </w:tcBorders>
            <w:shd w:val="clear" w:color="000000" w:fill="C6EFCE"/>
            <w:vAlign w:val="bottom"/>
            <w:hideMark/>
          </w:tcPr>
          <w:p w14:paraId="0E6A1EA3" w14:textId="77777777" w:rsidR="00D3097F" w:rsidRPr="003C0E2F" w:rsidRDefault="00D3097F" w:rsidP="00EE17F5">
            <w:pPr>
              <w:spacing w:after="0" w:line="276" w:lineRule="auto"/>
            </w:pPr>
            <w:r w:rsidRPr="003C0E2F">
              <w:t>2.54</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18261707" w14:textId="77777777" w:rsidR="00D3097F" w:rsidRPr="003C0E2F" w:rsidRDefault="00D3097F" w:rsidP="00EE17F5">
            <w:pPr>
              <w:spacing w:after="0" w:line="276" w:lineRule="auto"/>
              <w:rPr>
                <w:b/>
                <w:bCs/>
              </w:rPr>
            </w:pPr>
            <w:r w:rsidRPr="003C0E2F">
              <w:rPr>
                <w:b/>
                <w:bCs/>
              </w:rPr>
              <w:t>27. MCP-2</w:t>
            </w:r>
          </w:p>
        </w:tc>
        <w:tc>
          <w:tcPr>
            <w:tcW w:w="640" w:type="dxa"/>
            <w:tcBorders>
              <w:top w:val="single" w:sz="4" w:space="0" w:color="000000"/>
              <w:left w:val="single" w:sz="12" w:space="0" w:color="auto"/>
              <w:bottom w:val="single" w:sz="4" w:space="0" w:color="000000"/>
              <w:right w:val="single" w:sz="12" w:space="0" w:color="auto"/>
            </w:tcBorders>
            <w:shd w:val="clear" w:color="000000" w:fill="C6EFCE"/>
            <w:vAlign w:val="bottom"/>
            <w:hideMark/>
          </w:tcPr>
          <w:p w14:paraId="084E29C9" w14:textId="77777777" w:rsidR="00D3097F" w:rsidRPr="003C0E2F" w:rsidRDefault="00D3097F" w:rsidP="00EE17F5">
            <w:pPr>
              <w:spacing w:after="0" w:line="276" w:lineRule="auto"/>
            </w:pPr>
            <w:r w:rsidRPr="003C0E2F">
              <w:t>5.19</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39A5A703" w14:textId="77777777" w:rsidR="00D3097F" w:rsidRPr="003C0E2F" w:rsidRDefault="00D3097F" w:rsidP="00EE17F5">
            <w:pPr>
              <w:spacing w:after="0" w:line="276" w:lineRule="auto"/>
            </w:pPr>
            <w:r w:rsidRPr="003C0E2F">
              <w:t>1.21</w:t>
            </w:r>
          </w:p>
        </w:tc>
        <w:tc>
          <w:tcPr>
            <w:tcW w:w="654" w:type="dxa"/>
            <w:tcBorders>
              <w:top w:val="single" w:sz="4" w:space="0" w:color="000000"/>
              <w:left w:val="single" w:sz="12" w:space="0" w:color="auto"/>
              <w:bottom w:val="single" w:sz="4" w:space="0" w:color="000000"/>
              <w:right w:val="single" w:sz="12" w:space="0" w:color="auto"/>
            </w:tcBorders>
            <w:shd w:val="clear" w:color="000000" w:fill="C6EFCE"/>
            <w:vAlign w:val="bottom"/>
            <w:hideMark/>
          </w:tcPr>
          <w:p w14:paraId="2304F143" w14:textId="77777777" w:rsidR="00D3097F" w:rsidRPr="003C0E2F" w:rsidRDefault="00D3097F" w:rsidP="00EE17F5">
            <w:pPr>
              <w:spacing w:after="0" w:line="276" w:lineRule="auto"/>
            </w:pPr>
            <w:r w:rsidRPr="003C0E2F">
              <w:t>2.46</w:t>
            </w:r>
          </w:p>
        </w:tc>
        <w:tc>
          <w:tcPr>
            <w:tcW w:w="654" w:type="dxa"/>
            <w:tcBorders>
              <w:top w:val="nil"/>
              <w:left w:val="single" w:sz="12" w:space="0" w:color="auto"/>
              <w:bottom w:val="single" w:sz="4" w:space="0" w:color="000000"/>
              <w:right w:val="single" w:sz="12" w:space="0" w:color="auto"/>
            </w:tcBorders>
            <w:shd w:val="clear" w:color="000000" w:fill="C6EFCE"/>
            <w:vAlign w:val="bottom"/>
            <w:hideMark/>
          </w:tcPr>
          <w:p w14:paraId="0FA862A5" w14:textId="77777777" w:rsidR="00D3097F" w:rsidRPr="003C0E2F" w:rsidRDefault="00D3097F" w:rsidP="00EE17F5">
            <w:pPr>
              <w:spacing w:after="0" w:line="276" w:lineRule="auto"/>
            </w:pPr>
            <w:r w:rsidRPr="003C0E2F">
              <w:t>2.92</w:t>
            </w:r>
          </w:p>
        </w:tc>
      </w:tr>
      <w:tr w:rsidR="003C0E2F" w:rsidRPr="003C0E2F" w14:paraId="7D1DA8F7"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429A2134" w14:textId="77777777" w:rsidR="00D3097F" w:rsidRPr="003C0E2F" w:rsidRDefault="00D3097F" w:rsidP="00EE17F5">
            <w:pPr>
              <w:spacing w:after="0" w:line="276" w:lineRule="auto"/>
              <w:rPr>
                <w:b/>
                <w:bCs/>
              </w:rPr>
            </w:pPr>
            <w:r w:rsidRPr="003C0E2F">
              <w:rPr>
                <w:b/>
                <w:bCs/>
              </w:rPr>
              <w:t>8. IL-1α</w:t>
            </w:r>
          </w:p>
        </w:tc>
        <w:tc>
          <w:tcPr>
            <w:tcW w:w="718" w:type="dxa"/>
            <w:tcBorders>
              <w:top w:val="nil"/>
              <w:left w:val="single" w:sz="12" w:space="0" w:color="auto"/>
              <w:bottom w:val="single" w:sz="4" w:space="0" w:color="000000"/>
              <w:right w:val="single" w:sz="12" w:space="0" w:color="auto"/>
            </w:tcBorders>
            <w:shd w:val="clear" w:color="auto" w:fill="auto"/>
            <w:vAlign w:val="bottom"/>
            <w:hideMark/>
          </w:tcPr>
          <w:p w14:paraId="2DF89A2A" w14:textId="77777777" w:rsidR="00D3097F" w:rsidRPr="003C0E2F" w:rsidRDefault="00D3097F" w:rsidP="00EE17F5">
            <w:pPr>
              <w:spacing w:after="0" w:line="276" w:lineRule="auto"/>
            </w:pPr>
            <w:r w:rsidRPr="003C0E2F">
              <w:t>1.19</w:t>
            </w:r>
          </w:p>
        </w:tc>
        <w:tc>
          <w:tcPr>
            <w:tcW w:w="738" w:type="dxa"/>
            <w:tcBorders>
              <w:top w:val="nil"/>
              <w:left w:val="single" w:sz="12" w:space="0" w:color="auto"/>
              <w:bottom w:val="single" w:sz="4" w:space="0" w:color="000000"/>
              <w:right w:val="single" w:sz="8" w:space="0" w:color="000000"/>
            </w:tcBorders>
            <w:shd w:val="clear" w:color="000000" w:fill="C6EFCE"/>
            <w:vAlign w:val="bottom"/>
            <w:hideMark/>
          </w:tcPr>
          <w:p w14:paraId="353F01AB" w14:textId="77777777" w:rsidR="00D3097F" w:rsidRPr="003C0E2F" w:rsidRDefault="00D3097F" w:rsidP="00EE17F5">
            <w:pPr>
              <w:spacing w:after="0" w:line="276" w:lineRule="auto"/>
            </w:pPr>
            <w:r w:rsidRPr="003C0E2F">
              <w:t>2.56</w:t>
            </w:r>
          </w:p>
        </w:tc>
        <w:tc>
          <w:tcPr>
            <w:tcW w:w="654" w:type="dxa"/>
            <w:tcBorders>
              <w:top w:val="nil"/>
              <w:left w:val="nil"/>
              <w:bottom w:val="single" w:sz="4" w:space="0" w:color="000000"/>
              <w:right w:val="single" w:sz="8" w:space="0" w:color="000000"/>
            </w:tcBorders>
            <w:shd w:val="clear" w:color="auto" w:fill="auto"/>
            <w:vAlign w:val="bottom"/>
            <w:hideMark/>
          </w:tcPr>
          <w:p w14:paraId="4D2FD0BE" w14:textId="77777777" w:rsidR="00D3097F" w:rsidRPr="003C0E2F" w:rsidRDefault="00D3097F" w:rsidP="00EE17F5">
            <w:pPr>
              <w:spacing w:after="0" w:line="276" w:lineRule="auto"/>
            </w:pPr>
            <w:r w:rsidRPr="003C0E2F">
              <w:t>1.16</w:t>
            </w:r>
          </w:p>
        </w:tc>
        <w:tc>
          <w:tcPr>
            <w:tcW w:w="718" w:type="dxa"/>
            <w:tcBorders>
              <w:top w:val="nil"/>
              <w:left w:val="nil"/>
              <w:bottom w:val="single" w:sz="4" w:space="0" w:color="000000"/>
              <w:right w:val="single" w:sz="12" w:space="0" w:color="auto"/>
            </w:tcBorders>
            <w:shd w:val="clear" w:color="auto" w:fill="auto"/>
            <w:vAlign w:val="bottom"/>
            <w:hideMark/>
          </w:tcPr>
          <w:p w14:paraId="3E67D7C6" w14:textId="77777777" w:rsidR="00D3097F" w:rsidRPr="003C0E2F" w:rsidRDefault="00D3097F" w:rsidP="00EE17F5">
            <w:pPr>
              <w:spacing w:after="0" w:line="276" w:lineRule="auto"/>
            </w:pPr>
            <w:r w:rsidRPr="003C0E2F">
              <w:t>1.25</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30CD9D19" w14:textId="77777777" w:rsidR="00D3097F" w:rsidRPr="003C0E2F" w:rsidRDefault="00D3097F" w:rsidP="00EE17F5">
            <w:pPr>
              <w:spacing w:after="0" w:line="276" w:lineRule="auto"/>
              <w:rPr>
                <w:b/>
                <w:bCs/>
              </w:rPr>
            </w:pPr>
            <w:r w:rsidRPr="003C0E2F">
              <w:rPr>
                <w:b/>
                <w:bCs/>
              </w:rPr>
              <w:t>28. M-CSF</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5B109D93" w14:textId="77777777" w:rsidR="00D3097F" w:rsidRPr="003C0E2F" w:rsidRDefault="00D3097F" w:rsidP="00EE17F5">
            <w:pPr>
              <w:spacing w:after="0" w:line="276" w:lineRule="auto"/>
            </w:pPr>
            <w:r w:rsidRPr="003C0E2F">
              <w:t>1.25</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2779F3E9" w14:textId="77777777" w:rsidR="00D3097F" w:rsidRPr="003C0E2F" w:rsidRDefault="00D3097F" w:rsidP="00EE17F5">
            <w:pPr>
              <w:spacing w:after="0" w:line="276" w:lineRule="auto"/>
            </w:pPr>
            <w:r w:rsidRPr="003C0E2F">
              <w:t>1.18</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0C8EED84" w14:textId="77777777" w:rsidR="00D3097F" w:rsidRPr="003C0E2F" w:rsidRDefault="00D3097F" w:rsidP="00EE17F5">
            <w:pPr>
              <w:spacing w:after="0" w:line="276" w:lineRule="auto"/>
            </w:pPr>
            <w:r w:rsidRPr="003C0E2F">
              <w:t>1.11</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623A9973" w14:textId="77777777" w:rsidR="00D3097F" w:rsidRPr="003C0E2F" w:rsidRDefault="00D3097F" w:rsidP="00EE17F5">
            <w:pPr>
              <w:spacing w:after="0" w:line="276" w:lineRule="auto"/>
            </w:pPr>
            <w:r w:rsidRPr="003C0E2F">
              <w:t>1.05</w:t>
            </w:r>
          </w:p>
        </w:tc>
      </w:tr>
      <w:tr w:rsidR="003C0E2F" w:rsidRPr="003C0E2F" w14:paraId="1285791A"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75E803EA" w14:textId="77777777" w:rsidR="00D3097F" w:rsidRPr="003C0E2F" w:rsidRDefault="00D3097F" w:rsidP="00EE17F5">
            <w:pPr>
              <w:spacing w:after="0" w:line="276" w:lineRule="auto"/>
              <w:rPr>
                <w:b/>
                <w:bCs/>
              </w:rPr>
            </w:pPr>
            <w:r w:rsidRPr="003C0E2F">
              <w:rPr>
                <w:b/>
                <w:bCs/>
              </w:rPr>
              <w:t>9. IL-1β</w:t>
            </w:r>
          </w:p>
        </w:tc>
        <w:tc>
          <w:tcPr>
            <w:tcW w:w="718" w:type="dxa"/>
            <w:tcBorders>
              <w:top w:val="nil"/>
              <w:left w:val="single" w:sz="12" w:space="0" w:color="auto"/>
              <w:bottom w:val="single" w:sz="4" w:space="0" w:color="000000"/>
              <w:right w:val="single" w:sz="12" w:space="0" w:color="auto"/>
            </w:tcBorders>
            <w:shd w:val="clear" w:color="000000" w:fill="C6EFCE"/>
            <w:vAlign w:val="bottom"/>
            <w:hideMark/>
          </w:tcPr>
          <w:p w14:paraId="60EB0F55" w14:textId="77777777" w:rsidR="00D3097F" w:rsidRPr="003C0E2F" w:rsidRDefault="00D3097F" w:rsidP="00EE17F5">
            <w:pPr>
              <w:spacing w:after="0" w:line="276" w:lineRule="auto"/>
            </w:pPr>
            <w:r w:rsidRPr="003C0E2F">
              <w:t>5.53</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34B81C4D" w14:textId="77777777" w:rsidR="00D3097F" w:rsidRPr="003C0E2F" w:rsidRDefault="00D3097F" w:rsidP="00EE17F5">
            <w:pPr>
              <w:spacing w:after="0" w:line="276" w:lineRule="auto"/>
            </w:pPr>
            <w:r w:rsidRPr="003C0E2F">
              <w:t>1.46</w:t>
            </w:r>
          </w:p>
        </w:tc>
        <w:tc>
          <w:tcPr>
            <w:tcW w:w="654" w:type="dxa"/>
            <w:tcBorders>
              <w:top w:val="nil"/>
              <w:left w:val="nil"/>
              <w:bottom w:val="single" w:sz="4" w:space="0" w:color="000000"/>
              <w:right w:val="single" w:sz="8" w:space="0" w:color="000000"/>
            </w:tcBorders>
            <w:shd w:val="clear" w:color="000000" w:fill="C6EFCE"/>
            <w:vAlign w:val="bottom"/>
            <w:hideMark/>
          </w:tcPr>
          <w:p w14:paraId="16228972" w14:textId="77777777" w:rsidR="00D3097F" w:rsidRPr="003C0E2F" w:rsidRDefault="00D3097F" w:rsidP="00EE17F5">
            <w:pPr>
              <w:spacing w:after="0" w:line="276" w:lineRule="auto"/>
            </w:pPr>
            <w:r w:rsidRPr="003C0E2F">
              <w:t>2.41</w:t>
            </w:r>
          </w:p>
        </w:tc>
        <w:tc>
          <w:tcPr>
            <w:tcW w:w="718" w:type="dxa"/>
            <w:tcBorders>
              <w:top w:val="nil"/>
              <w:left w:val="nil"/>
              <w:bottom w:val="single" w:sz="4" w:space="0" w:color="000000"/>
              <w:right w:val="single" w:sz="12" w:space="0" w:color="auto"/>
            </w:tcBorders>
            <w:shd w:val="clear" w:color="000000" w:fill="C6EFCE"/>
            <w:vAlign w:val="bottom"/>
            <w:hideMark/>
          </w:tcPr>
          <w:p w14:paraId="45FF9B3A" w14:textId="77777777" w:rsidR="00D3097F" w:rsidRPr="003C0E2F" w:rsidRDefault="00D3097F" w:rsidP="00EE17F5">
            <w:pPr>
              <w:spacing w:after="0" w:line="276" w:lineRule="auto"/>
            </w:pPr>
            <w:r w:rsidRPr="003C0E2F">
              <w:t>2.64</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79F2DE7A" w14:textId="77777777" w:rsidR="00D3097F" w:rsidRPr="003C0E2F" w:rsidRDefault="00D3097F" w:rsidP="00EE17F5">
            <w:pPr>
              <w:spacing w:after="0" w:line="276" w:lineRule="auto"/>
              <w:rPr>
                <w:b/>
                <w:bCs/>
              </w:rPr>
            </w:pPr>
            <w:r w:rsidRPr="003C0E2F">
              <w:rPr>
                <w:b/>
                <w:bCs/>
              </w:rPr>
              <w:t>29. MIG</w:t>
            </w:r>
          </w:p>
        </w:tc>
        <w:tc>
          <w:tcPr>
            <w:tcW w:w="640" w:type="dxa"/>
            <w:tcBorders>
              <w:top w:val="single" w:sz="4" w:space="0" w:color="000000"/>
              <w:left w:val="single" w:sz="12" w:space="0" w:color="auto"/>
              <w:bottom w:val="single" w:sz="4" w:space="0" w:color="000000"/>
              <w:right w:val="single" w:sz="12" w:space="0" w:color="auto"/>
            </w:tcBorders>
            <w:shd w:val="clear" w:color="000000" w:fill="C6EFCE"/>
            <w:vAlign w:val="bottom"/>
            <w:hideMark/>
          </w:tcPr>
          <w:p w14:paraId="754DE96D" w14:textId="77777777" w:rsidR="00D3097F" w:rsidRPr="003C0E2F" w:rsidRDefault="00D3097F" w:rsidP="00EE17F5">
            <w:pPr>
              <w:spacing w:after="0" w:line="276" w:lineRule="auto"/>
            </w:pPr>
            <w:r w:rsidRPr="003C0E2F">
              <w:t>2.95</w:t>
            </w:r>
          </w:p>
        </w:tc>
        <w:tc>
          <w:tcPr>
            <w:tcW w:w="738" w:type="dxa"/>
            <w:tcBorders>
              <w:top w:val="single" w:sz="4" w:space="0" w:color="000000"/>
              <w:left w:val="single" w:sz="12" w:space="0" w:color="auto"/>
              <w:bottom w:val="single" w:sz="4" w:space="0" w:color="000000"/>
              <w:right w:val="single" w:sz="12" w:space="0" w:color="auto"/>
            </w:tcBorders>
            <w:shd w:val="clear" w:color="000000" w:fill="C6EFCE"/>
            <w:vAlign w:val="bottom"/>
            <w:hideMark/>
          </w:tcPr>
          <w:p w14:paraId="4900E538" w14:textId="77777777" w:rsidR="00D3097F" w:rsidRPr="003C0E2F" w:rsidRDefault="00D3097F" w:rsidP="00EE17F5">
            <w:pPr>
              <w:spacing w:after="0" w:line="276" w:lineRule="auto"/>
            </w:pPr>
            <w:r w:rsidRPr="003C0E2F">
              <w:t>2.96</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42668177" w14:textId="77777777" w:rsidR="00D3097F" w:rsidRPr="003C0E2F" w:rsidRDefault="00D3097F" w:rsidP="00EE17F5">
            <w:pPr>
              <w:spacing w:after="0" w:line="276" w:lineRule="auto"/>
            </w:pPr>
            <w:r w:rsidRPr="003C0E2F">
              <w:t>1.01</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71819030" w14:textId="77777777" w:rsidR="00D3097F" w:rsidRPr="003C0E2F" w:rsidRDefault="00D3097F" w:rsidP="00EE17F5">
            <w:pPr>
              <w:spacing w:after="0" w:line="276" w:lineRule="auto"/>
            </w:pPr>
            <w:r w:rsidRPr="003C0E2F">
              <w:t>1.49</w:t>
            </w:r>
          </w:p>
        </w:tc>
      </w:tr>
      <w:tr w:rsidR="003C0E2F" w:rsidRPr="003C0E2F" w14:paraId="625F41DE"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25839112" w14:textId="77777777" w:rsidR="00D3097F" w:rsidRPr="003C0E2F" w:rsidRDefault="00D3097F" w:rsidP="00EE17F5">
            <w:pPr>
              <w:spacing w:after="0" w:line="276" w:lineRule="auto"/>
              <w:rPr>
                <w:b/>
                <w:bCs/>
              </w:rPr>
            </w:pPr>
            <w:r w:rsidRPr="003C0E2F">
              <w:rPr>
                <w:b/>
                <w:bCs/>
              </w:rPr>
              <w:t>10. IL-2</w:t>
            </w:r>
          </w:p>
        </w:tc>
        <w:tc>
          <w:tcPr>
            <w:tcW w:w="718" w:type="dxa"/>
            <w:tcBorders>
              <w:top w:val="nil"/>
              <w:left w:val="single" w:sz="12" w:space="0" w:color="auto"/>
              <w:bottom w:val="single" w:sz="4" w:space="0" w:color="000000"/>
              <w:right w:val="single" w:sz="12" w:space="0" w:color="auto"/>
            </w:tcBorders>
            <w:shd w:val="clear" w:color="auto" w:fill="auto"/>
            <w:vAlign w:val="bottom"/>
            <w:hideMark/>
          </w:tcPr>
          <w:p w14:paraId="436122FA" w14:textId="77777777" w:rsidR="00D3097F" w:rsidRPr="003C0E2F" w:rsidRDefault="00D3097F" w:rsidP="00EE17F5">
            <w:pPr>
              <w:spacing w:after="0" w:line="276" w:lineRule="auto"/>
            </w:pPr>
            <w:r w:rsidRPr="003C0E2F">
              <w:t>1.06</w:t>
            </w:r>
          </w:p>
        </w:tc>
        <w:tc>
          <w:tcPr>
            <w:tcW w:w="738" w:type="dxa"/>
            <w:tcBorders>
              <w:top w:val="nil"/>
              <w:left w:val="single" w:sz="12" w:space="0" w:color="auto"/>
              <w:bottom w:val="single" w:sz="4" w:space="0" w:color="000000"/>
              <w:right w:val="single" w:sz="8" w:space="0" w:color="000000"/>
            </w:tcBorders>
            <w:shd w:val="clear" w:color="000000" w:fill="C6EFCE"/>
            <w:vAlign w:val="bottom"/>
            <w:hideMark/>
          </w:tcPr>
          <w:p w14:paraId="00879695" w14:textId="77777777" w:rsidR="00D3097F" w:rsidRPr="003C0E2F" w:rsidRDefault="00D3097F" w:rsidP="00EE17F5">
            <w:pPr>
              <w:spacing w:after="0" w:line="276" w:lineRule="auto"/>
            </w:pPr>
            <w:r w:rsidRPr="003C0E2F">
              <w:t>2.05</w:t>
            </w:r>
          </w:p>
        </w:tc>
        <w:tc>
          <w:tcPr>
            <w:tcW w:w="654" w:type="dxa"/>
            <w:tcBorders>
              <w:top w:val="nil"/>
              <w:left w:val="nil"/>
              <w:bottom w:val="single" w:sz="4" w:space="0" w:color="000000"/>
              <w:right w:val="single" w:sz="8" w:space="0" w:color="000000"/>
            </w:tcBorders>
            <w:shd w:val="clear" w:color="auto" w:fill="auto"/>
            <w:vAlign w:val="bottom"/>
            <w:hideMark/>
          </w:tcPr>
          <w:p w14:paraId="6CA889B9" w14:textId="77777777" w:rsidR="00D3097F" w:rsidRPr="003C0E2F" w:rsidRDefault="00D3097F" w:rsidP="00EE17F5">
            <w:pPr>
              <w:spacing w:after="0" w:line="276" w:lineRule="auto"/>
            </w:pPr>
            <w:r w:rsidRPr="003C0E2F">
              <w:t>1.96</w:t>
            </w:r>
          </w:p>
        </w:tc>
        <w:tc>
          <w:tcPr>
            <w:tcW w:w="718" w:type="dxa"/>
            <w:tcBorders>
              <w:top w:val="nil"/>
              <w:left w:val="nil"/>
              <w:bottom w:val="single" w:sz="4" w:space="0" w:color="000000"/>
              <w:right w:val="single" w:sz="12" w:space="0" w:color="auto"/>
            </w:tcBorders>
            <w:shd w:val="clear" w:color="auto" w:fill="auto"/>
            <w:vAlign w:val="bottom"/>
            <w:hideMark/>
          </w:tcPr>
          <w:p w14:paraId="18B875DF" w14:textId="77777777" w:rsidR="00D3097F" w:rsidRPr="003C0E2F" w:rsidRDefault="00D3097F" w:rsidP="00EE17F5">
            <w:pPr>
              <w:spacing w:after="0" w:line="276" w:lineRule="auto"/>
            </w:pPr>
            <w:r w:rsidRPr="003C0E2F">
              <w:t>0.72</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778EAE2C" w14:textId="77777777" w:rsidR="00D3097F" w:rsidRPr="003C0E2F" w:rsidRDefault="00D3097F" w:rsidP="00EE17F5">
            <w:pPr>
              <w:spacing w:after="0" w:line="276" w:lineRule="auto"/>
              <w:rPr>
                <w:b/>
                <w:bCs/>
              </w:rPr>
            </w:pPr>
            <w:r w:rsidRPr="003C0E2F">
              <w:rPr>
                <w:b/>
                <w:bCs/>
              </w:rPr>
              <w:t>30. MIP-1α</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37BCB6BC" w14:textId="77777777" w:rsidR="00D3097F" w:rsidRPr="003C0E2F" w:rsidRDefault="00D3097F" w:rsidP="00EE17F5">
            <w:pPr>
              <w:spacing w:after="0" w:line="276" w:lineRule="auto"/>
            </w:pPr>
            <w:r w:rsidRPr="003C0E2F">
              <w:t>1.15</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5DBB21BD" w14:textId="77777777" w:rsidR="00D3097F" w:rsidRPr="003C0E2F" w:rsidRDefault="00D3097F" w:rsidP="00EE17F5">
            <w:pPr>
              <w:spacing w:after="0" w:line="276" w:lineRule="auto"/>
            </w:pPr>
            <w:r w:rsidRPr="003C0E2F">
              <w:t>1.15</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6F0A2886" w14:textId="77777777" w:rsidR="00D3097F" w:rsidRPr="003C0E2F" w:rsidRDefault="00D3097F" w:rsidP="00EE17F5">
            <w:pPr>
              <w:spacing w:after="0" w:line="276" w:lineRule="auto"/>
            </w:pPr>
            <w:r w:rsidRPr="003C0E2F">
              <w:t>1.05</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73C186DA" w14:textId="77777777" w:rsidR="00D3097F" w:rsidRPr="003C0E2F" w:rsidRDefault="00D3097F" w:rsidP="00EE17F5">
            <w:pPr>
              <w:spacing w:after="0" w:line="276" w:lineRule="auto"/>
            </w:pPr>
            <w:r w:rsidRPr="003C0E2F">
              <w:t>0.97</w:t>
            </w:r>
          </w:p>
        </w:tc>
      </w:tr>
      <w:tr w:rsidR="003C0E2F" w:rsidRPr="003C0E2F" w14:paraId="61AA0C7A"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7B6ED868" w14:textId="77777777" w:rsidR="00D3097F" w:rsidRPr="003C0E2F" w:rsidRDefault="00D3097F" w:rsidP="00EE17F5">
            <w:pPr>
              <w:spacing w:after="0" w:line="276" w:lineRule="auto"/>
              <w:rPr>
                <w:b/>
                <w:bCs/>
              </w:rPr>
            </w:pPr>
            <w:r w:rsidRPr="003C0E2F">
              <w:rPr>
                <w:b/>
                <w:bCs/>
              </w:rPr>
              <w:t>11. IL-3</w:t>
            </w:r>
          </w:p>
        </w:tc>
        <w:tc>
          <w:tcPr>
            <w:tcW w:w="718" w:type="dxa"/>
            <w:tcBorders>
              <w:top w:val="nil"/>
              <w:left w:val="single" w:sz="12" w:space="0" w:color="auto"/>
              <w:bottom w:val="single" w:sz="4" w:space="0" w:color="000000"/>
              <w:right w:val="single" w:sz="12" w:space="0" w:color="auto"/>
            </w:tcBorders>
            <w:shd w:val="clear" w:color="auto" w:fill="auto"/>
            <w:vAlign w:val="bottom"/>
            <w:hideMark/>
          </w:tcPr>
          <w:p w14:paraId="66710A29" w14:textId="77777777" w:rsidR="00D3097F" w:rsidRPr="003C0E2F" w:rsidRDefault="00D3097F" w:rsidP="00EE17F5">
            <w:pPr>
              <w:spacing w:after="0" w:line="276" w:lineRule="auto"/>
            </w:pPr>
            <w:r w:rsidRPr="003C0E2F">
              <w:t>1.26</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199FB4D1" w14:textId="77777777" w:rsidR="00D3097F" w:rsidRPr="003C0E2F" w:rsidRDefault="00D3097F" w:rsidP="00EE17F5">
            <w:pPr>
              <w:spacing w:after="0" w:line="276" w:lineRule="auto"/>
            </w:pPr>
            <w:r w:rsidRPr="003C0E2F">
              <w:t>1.18</w:t>
            </w:r>
          </w:p>
        </w:tc>
        <w:tc>
          <w:tcPr>
            <w:tcW w:w="654" w:type="dxa"/>
            <w:tcBorders>
              <w:top w:val="nil"/>
              <w:left w:val="nil"/>
              <w:bottom w:val="single" w:sz="4" w:space="0" w:color="000000"/>
              <w:right w:val="single" w:sz="8" w:space="0" w:color="000000"/>
            </w:tcBorders>
            <w:shd w:val="clear" w:color="auto" w:fill="auto"/>
            <w:vAlign w:val="bottom"/>
            <w:hideMark/>
          </w:tcPr>
          <w:p w14:paraId="1EE87B50" w14:textId="77777777" w:rsidR="00D3097F" w:rsidRPr="003C0E2F" w:rsidRDefault="00D3097F" w:rsidP="00EE17F5">
            <w:pPr>
              <w:spacing w:after="0" w:line="276" w:lineRule="auto"/>
            </w:pPr>
            <w:r w:rsidRPr="003C0E2F">
              <w:t>1.05</w:t>
            </w:r>
          </w:p>
        </w:tc>
        <w:tc>
          <w:tcPr>
            <w:tcW w:w="718" w:type="dxa"/>
            <w:tcBorders>
              <w:top w:val="nil"/>
              <w:left w:val="nil"/>
              <w:bottom w:val="single" w:sz="4" w:space="0" w:color="000000"/>
              <w:right w:val="single" w:sz="12" w:space="0" w:color="auto"/>
            </w:tcBorders>
            <w:shd w:val="clear" w:color="auto" w:fill="auto"/>
            <w:vAlign w:val="bottom"/>
            <w:hideMark/>
          </w:tcPr>
          <w:p w14:paraId="57CF672E" w14:textId="77777777" w:rsidR="00D3097F" w:rsidRPr="003C0E2F" w:rsidRDefault="00D3097F" w:rsidP="00EE17F5">
            <w:pPr>
              <w:spacing w:after="0" w:line="276" w:lineRule="auto"/>
            </w:pPr>
            <w:r w:rsidRPr="003C0E2F">
              <w:t>1.02</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4AB6359D" w14:textId="77777777" w:rsidR="00D3097F" w:rsidRPr="003C0E2F" w:rsidRDefault="00D3097F" w:rsidP="00EE17F5">
            <w:pPr>
              <w:spacing w:after="0" w:line="276" w:lineRule="auto"/>
              <w:rPr>
                <w:b/>
                <w:bCs/>
              </w:rPr>
            </w:pPr>
            <w:r w:rsidRPr="003C0E2F">
              <w:rPr>
                <w:b/>
                <w:bCs/>
              </w:rPr>
              <w:t>31. MIP-1β</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4B33A313" w14:textId="77777777" w:rsidR="00D3097F" w:rsidRPr="003C0E2F" w:rsidRDefault="00D3097F" w:rsidP="00EE17F5">
            <w:pPr>
              <w:spacing w:after="0" w:line="276" w:lineRule="auto"/>
            </w:pPr>
            <w:r w:rsidRPr="003C0E2F">
              <w:t>0.74</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1703DDFB" w14:textId="77777777" w:rsidR="00D3097F" w:rsidRPr="003C0E2F" w:rsidRDefault="00D3097F" w:rsidP="00EE17F5">
            <w:pPr>
              <w:spacing w:after="0" w:line="276" w:lineRule="auto"/>
            </w:pPr>
            <w:r w:rsidRPr="003C0E2F">
              <w:t>1.05</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0A67A401" w14:textId="77777777" w:rsidR="00D3097F" w:rsidRPr="003C0E2F" w:rsidRDefault="00D3097F" w:rsidP="00EE17F5">
            <w:pPr>
              <w:spacing w:after="0" w:line="276" w:lineRule="auto"/>
            </w:pPr>
            <w:r w:rsidRPr="003C0E2F">
              <w:t>0.78</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450B6838" w14:textId="77777777" w:rsidR="00D3097F" w:rsidRPr="003C0E2F" w:rsidRDefault="00D3097F" w:rsidP="00EE17F5">
            <w:pPr>
              <w:spacing w:after="0" w:line="276" w:lineRule="auto"/>
            </w:pPr>
            <w:r w:rsidRPr="003C0E2F">
              <w:t>0.73</w:t>
            </w:r>
          </w:p>
        </w:tc>
      </w:tr>
      <w:tr w:rsidR="003C0E2F" w:rsidRPr="003C0E2F" w14:paraId="19092C53"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53AD7FE2" w14:textId="77777777" w:rsidR="00D3097F" w:rsidRPr="003C0E2F" w:rsidRDefault="00D3097F" w:rsidP="00EE17F5">
            <w:pPr>
              <w:spacing w:after="0" w:line="276" w:lineRule="auto"/>
              <w:rPr>
                <w:b/>
                <w:bCs/>
              </w:rPr>
            </w:pPr>
            <w:r w:rsidRPr="003C0E2F">
              <w:rPr>
                <w:b/>
                <w:bCs/>
              </w:rPr>
              <w:t>12. IL-4</w:t>
            </w:r>
          </w:p>
        </w:tc>
        <w:tc>
          <w:tcPr>
            <w:tcW w:w="718" w:type="dxa"/>
            <w:tcBorders>
              <w:top w:val="nil"/>
              <w:left w:val="single" w:sz="12" w:space="0" w:color="auto"/>
              <w:bottom w:val="single" w:sz="4" w:space="0" w:color="000000"/>
              <w:right w:val="single" w:sz="12" w:space="0" w:color="auto"/>
            </w:tcBorders>
            <w:shd w:val="clear" w:color="000000" w:fill="C6EFCE"/>
            <w:vAlign w:val="bottom"/>
            <w:hideMark/>
          </w:tcPr>
          <w:p w14:paraId="420FD998" w14:textId="77777777" w:rsidR="00D3097F" w:rsidRPr="003C0E2F" w:rsidRDefault="00D3097F" w:rsidP="00EE17F5">
            <w:pPr>
              <w:spacing w:after="0" w:line="276" w:lineRule="auto"/>
            </w:pPr>
            <w:r w:rsidRPr="003C0E2F">
              <w:t>2.36</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751B638C" w14:textId="77777777" w:rsidR="00D3097F" w:rsidRPr="003C0E2F" w:rsidRDefault="00D3097F" w:rsidP="00EE17F5">
            <w:pPr>
              <w:spacing w:after="0" w:line="276" w:lineRule="auto"/>
            </w:pPr>
            <w:r w:rsidRPr="003C0E2F">
              <w:t>0.76</w:t>
            </w:r>
          </w:p>
        </w:tc>
        <w:tc>
          <w:tcPr>
            <w:tcW w:w="654" w:type="dxa"/>
            <w:tcBorders>
              <w:top w:val="nil"/>
              <w:left w:val="nil"/>
              <w:bottom w:val="single" w:sz="4" w:space="0" w:color="000000"/>
              <w:right w:val="single" w:sz="8" w:space="0" w:color="000000"/>
            </w:tcBorders>
            <w:shd w:val="clear" w:color="auto" w:fill="auto"/>
            <w:vAlign w:val="bottom"/>
            <w:hideMark/>
          </w:tcPr>
          <w:p w14:paraId="36C6EF11" w14:textId="77777777" w:rsidR="00D3097F" w:rsidRPr="003C0E2F" w:rsidRDefault="00D3097F" w:rsidP="00EE17F5">
            <w:pPr>
              <w:spacing w:after="0" w:line="276" w:lineRule="auto"/>
            </w:pPr>
            <w:r w:rsidRPr="003C0E2F">
              <w:t>0.60</w:t>
            </w:r>
          </w:p>
        </w:tc>
        <w:tc>
          <w:tcPr>
            <w:tcW w:w="718" w:type="dxa"/>
            <w:tcBorders>
              <w:top w:val="nil"/>
              <w:left w:val="nil"/>
              <w:bottom w:val="single" w:sz="4" w:space="0" w:color="000000"/>
              <w:right w:val="single" w:sz="12" w:space="0" w:color="auto"/>
            </w:tcBorders>
            <w:shd w:val="clear" w:color="auto" w:fill="auto"/>
            <w:vAlign w:val="bottom"/>
            <w:hideMark/>
          </w:tcPr>
          <w:p w14:paraId="08CE26BC" w14:textId="77777777" w:rsidR="00D3097F" w:rsidRPr="003C0E2F" w:rsidRDefault="00D3097F" w:rsidP="00EE17F5">
            <w:pPr>
              <w:spacing w:after="0" w:line="276" w:lineRule="auto"/>
            </w:pPr>
            <w:r w:rsidRPr="003C0E2F">
              <w:t>0.90</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67B0BFAE" w14:textId="77777777" w:rsidR="00D3097F" w:rsidRPr="003C0E2F" w:rsidRDefault="00D3097F" w:rsidP="00EE17F5">
            <w:pPr>
              <w:spacing w:after="0" w:line="276" w:lineRule="auto"/>
              <w:rPr>
                <w:b/>
                <w:bCs/>
              </w:rPr>
            </w:pPr>
            <w:r w:rsidRPr="003C0E2F">
              <w:rPr>
                <w:b/>
                <w:bCs/>
              </w:rPr>
              <w:t>32. MIP-1δ</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02B657B2" w14:textId="77777777" w:rsidR="00D3097F" w:rsidRPr="003C0E2F" w:rsidRDefault="00D3097F" w:rsidP="00EE17F5">
            <w:pPr>
              <w:spacing w:after="0" w:line="276" w:lineRule="auto"/>
            </w:pPr>
            <w:r w:rsidRPr="003C0E2F">
              <w:t>1.58</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284F0734" w14:textId="77777777" w:rsidR="00D3097F" w:rsidRPr="003C0E2F" w:rsidRDefault="00D3097F" w:rsidP="00EE17F5">
            <w:pPr>
              <w:spacing w:after="0" w:line="276" w:lineRule="auto"/>
            </w:pPr>
            <w:r w:rsidRPr="003C0E2F">
              <w:t>0.92</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7AD430ED" w14:textId="77777777" w:rsidR="00D3097F" w:rsidRPr="003C0E2F" w:rsidRDefault="00D3097F" w:rsidP="00EE17F5">
            <w:pPr>
              <w:spacing w:after="0" w:line="276" w:lineRule="auto"/>
            </w:pPr>
            <w:r w:rsidRPr="003C0E2F">
              <w:t>1.06</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3965FF8A" w14:textId="77777777" w:rsidR="00D3097F" w:rsidRPr="003C0E2F" w:rsidRDefault="00D3097F" w:rsidP="00EE17F5">
            <w:pPr>
              <w:spacing w:after="0" w:line="276" w:lineRule="auto"/>
            </w:pPr>
            <w:r w:rsidRPr="003C0E2F">
              <w:t>0.92</w:t>
            </w:r>
          </w:p>
        </w:tc>
      </w:tr>
      <w:tr w:rsidR="003C0E2F" w:rsidRPr="003C0E2F" w14:paraId="7EF10BC8"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0FF621CE" w14:textId="77777777" w:rsidR="00D3097F" w:rsidRPr="003C0E2F" w:rsidRDefault="00D3097F" w:rsidP="00EE17F5">
            <w:pPr>
              <w:spacing w:after="0" w:line="276" w:lineRule="auto"/>
              <w:rPr>
                <w:b/>
                <w:bCs/>
              </w:rPr>
            </w:pPr>
            <w:r w:rsidRPr="003C0E2F">
              <w:rPr>
                <w:b/>
                <w:bCs/>
              </w:rPr>
              <w:t>13. IL-6</w:t>
            </w:r>
          </w:p>
        </w:tc>
        <w:tc>
          <w:tcPr>
            <w:tcW w:w="718" w:type="dxa"/>
            <w:tcBorders>
              <w:top w:val="nil"/>
              <w:left w:val="single" w:sz="12" w:space="0" w:color="auto"/>
              <w:bottom w:val="single" w:sz="4" w:space="0" w:color="000000"/>
              <w:right w:val="single" w:sz="12" w:space="0" w:color="auto"/>
            </w:tcBorders>
            <w:shd w:val="clear" w:color="000000" w:fill="C6EFCE"/>
            <w:vAlign w:val="bottom"/>
            <w:hideMark/>
          </w:tcPr>
          <w:p w14:paraId="707B9168" w14:textId="77777777" w:rsidR="00D3097F" w:rsidRPr="003C0E2F" w:rsidRDefault="00D3097F" w:rsidP="00EE17F5">
            <w:pPr>
              <w:spacing w:after="0" w:line="276" w:lineRule="auto"/>
            </w:pPr>
            <w:r w:rsidRPr="003C0E2F">
              <w:t>99.41</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4F863E1D" w14:textId="77777777" w:rsidR="00D3097F" w:rsidRPr="003C0E2F" w:rsidRDefault="00D3097F" w:rsidP="00EE17F5">
            <w:pPr>
              <w:spacing w:after="0" w:line="276" w:lineRule="auto"/>
            </w:pPr>
            <w:r w:rsidRPr="003C0E2F">
              <w:t>1.22</w:t>
            </w:r>
          </w:p>
        </w:tc>
        <w:tc>
          <w:tcPr>
            <w:tcW w:w="654" w:type="dxa"/>
            <w:tcBorders>
              <w:top w:val="nil"/>
              <w:left w:val="nil"/>
              <w:bottom w:val="single" w:sz="4" w:space="0" w:color="000000"/>
              <w:right w:val="single" w:sz="8" w:space="0" w:color="000000"/>
            </w:tcBorders>
            <w:shd w:val="clear" w:color="000000" w:fill="C6EFCE"/>
            <w:vAlign w:val="bottom"/>
            <w:hideMark/>
          </w:tcPr>
          <w:p w14:paraId="6C09B7C6" w14:textId="77777777" w:rsidR="00D3097F" w:rsidRPr="003C0E2F" w:rsidRDefault="00D3097F" w:rsidP="00EE17F5">
            <w:pPr>
              <w:spacing w:after="0" w:line="276" w:lineRule="auto"/>
            </w:pPr>
            <w:r w:rsidRPr="003C0E2F">
              <w:t>3.41</w:t>
            </w:r>
          </w:p>
        </w:tc>
        <w:tc>
          <w:tcPr>
            <w:tcW w:w="718" w:type="dxa"/>
            <w:tcBorders>
              <w:top w:val="nil"/>
              <w:left w:val="nil"/>
              <w:bottom w:val="single" w:sz="4" w:space="0" w:color="000000"/>
              <w:right w:val="single" w:sz="12" w:space="0" w:color="auto"/>
            </w:tcBorders>
            <w:shd w:val="clear" w:color="000000" w:fill="C6EFCE"/>
            <w:vAlign w:val="bottom"/>
            <w:hideMark/>
          </w:tcPr>
          <w:p w14:paraId="4BDC0D95" w14:textId="77777777" w:rsidR="00D3097F" w:rsidRPr="003C0E2F" w:rsidRDefault="00D3097F" w:rsidP="00EE17F5">
            <w:pPr>
              <w:spacing w:after="0" w:line="276" w:lineRule="auto"/>
            </w:pPr>
            <w:r w:rsidRPr="003C0E2F">
              <w:t>10.61</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5401E146" w14:textId="77777777" w:rsidR="00D3097F" w:rsidRPr="003C0E2F" w:rsidRDefault="00D3097F" w:rsidP="00EE17F5">
            <w:pPr>
              <w:spacing w:after="0" w:line="276" w:lineRule="auto"/>
              <w:rPr>
                <w:b/>
                <w:bCs/>
              </w:rPr>
            </w:pPr>
            <w:r w:rsidRPr="003C0E2F">
              <w:rPr>
                <w:b/>
                <w:bCs/>
              </w:rPr>
              <w:t>33. RANTES</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672C1398" w14:textId="77777777" w:rsidR="00D3097F" w:rsidRPr="003C0E2F" w:rsidRDefault="00D3097F" w:rsidP="00EE17F5">
            <w:pPr>
              <w:spacing w:after="0" w:line="276" w:lineRule="auto"/>
            </w:pPr>
            <w:r w:rsidRPr="003C0E2F">
              <w:t>1.16</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20F88DE8" w14:textId="77777777" w:rsidR="00D3097F" w:rsidRPr="003C0E2F" w:rsidRDefault="00D3097F" w:rsidP="00EE17F5">
            <w:pPr>
              <w:spacing w:after="0" w:line="276" w:lineRule="auto"/>
            </w:pPr>
            <w:r w:rsidRPr="003C0E2F">
              <w:t>1.24</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7A68AF08" w14:textId="77777777" w:rsidR="00D3097F" w:rsidRPr="003C0E2F" w:rsidRDefault="00D3097F" w:rsidP="00EE17F5">
            <w:pPr>
              <w:spacing w:after="0" w:line="276" w:lineRule="auto"/>
            </w:pPr>
            <w:r w:rsidRPr="003C0E2F">
              <w:t>0.99</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1D0FB720" w14:textId="77777777" w:rsidR="00D3097F" w:rsidRPr="003C0E2F" w:rsidRDefault="00D3097F" w:rsidP="00EE17F5">
            <w:pPr>
              <w:spacing w:after="0" w:line="276" w:lineRule="auto"/>
            </w:pPr>
            <w:r w:rsidRPr="003C0E2F">
              <w:t>0.98</w:t>
            </w:r>
          </w:p>
        </w:tc>
      </w:tr>
      <w:tr w:rsidR="003C0E2F" w:rsidRPr="003C0E2F" w14:paraId="63F9A784"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005DEA9A" w14:textId="77777777" w:rsidR="00D3097F" w:rsidRPr="003C0E2F" w:rsidRDefault="00D3097F" w:rsidP="00EE17F5">
            <w:pPr>
              <w:spacing w:after="0" w:line="276" w:lineRule="auto"/>
              <w:rPr>
                <w:b/>
                <w:bCs/>
              </w:rPr>
            </w:pPr>
            <w:r w:rsidRPr="003C0E2F">
              <w:rPr>
                <w:b/>
                <w:bCs/>
              </w:rPr>
              <w:t>14. IL-6R</w:t>
            </w:r>
          </w:p>
        </w:tc>
        <w:tc>
          <w:tcPr>
            <w:tcW w:w="718" w:type="dxa"/>
            <w:tcBorders>
              <w:top w:val="nil"/>
              <w:left w:val="single" w:sz="12" w:space="0" w:color="auto"/>
              <w:bottom w:val="single" w:sz="4" w:space="0" w:color="000000"/>
              <w:right w:val="single" w:sz="12" w:space="0" w:color="auto"/>
            </w:tcBorders>
            <w:shd w:val="clear" w:color="auto" w:fill="auto"/>
            <w:vAlign w:val="bottom"/>
            <w:hideMark/>
          </w:tcPr>
          <w:p w14:paraId="2DFDBBA3" w14:textId="77777777" w:rsidR="00D3097F" w:rsidRPr="003C0E2F" w:rsidRDefault="00D3097F" w:rsidP="00EE17F5">
            <w:pPr>
              <w:spacing w:after="0" w:line="276" w:lineRule="auto"/>
            </w:pPr>
            <w:r w:rsidRPr="003C0E2F">
              <w:t>1.39</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7A141DB3" w14:textId="77777777" w:rsidR="00D3097F" w:rsidRPr="003C0E2F" w:rsidRDefault="00D3097F" w:rsidP="00EE17F5">
            <w:pPr>
              <w:spacing w:after="0" w:line="276" w:lineRule="auto"/>
            </w:pPr>
            <w:r w:rsidRPr="003C0E2F">
              <w:t>1.21</w:t>
            </w:r>
          </w:p>
        </w:tc>
        <w:tc>
          <w:tcPr>
            <w:tcW w:w="654" w:type="dxa"/>
            <w:tcBorders>
              <w:top w:val="nil"/>
              <w:left w:val="nil"/>
              <w:bottom w:val="single" w:sz="4" w:space="0" w:color="000000"/>
              <w:right w:val="single" w:sz="8" w:space="0" w:color="000000"/>
            </w:tcBorders>
            <w:shd w:val="clear" w:color="auto" w:fill="auto"/>
            <w:vAlign w:val="bottom"/>
            <w:hideMark/>
          </w:tcPr>
          <w:p w14:paraId="70C4612C" w14:textId="77777777" w:rsidR="00D3097F" w:rsidRPr="003C0E2F" w:rsidRDefault="00D3097F" w:rsidP="00EE17F5">
            <w:pPr>
              <w:spacing w:after="0" w:line="276" w:lineRule="auto"/>
            </w:pPr>
            <w:r w:rsidRPr="003C0E2F">
              <w:t>1.12</w:t>
            </w:r>
          </w:p>
        </w:tc>
        <w:tc>
          <w:tcPr>
            <w:tcW w:w="718" w:type="dxa"/>
            <w:tcBorders>
              <w:top w:val="nil"/>
              <w:left w:val="nil"/>
              <w:bottom w:val="single" w:sz="4" w:space="0" w:color="000000"/>
              <w:right w:val="single" w:sz="12" w:space="0" w:color="auto"/>
            </w:tcBorders>
            <w:shd w:val="clear" w:color="auto" w:fill="auto"/>
            <w:vAlign w:val="bottom"/>
            <w:hideMark/>
          </w:tcPr>
          <w:p w14:paraId="38D0CCA5" w14:textId="77777777" w:rsidR="00D3097F" w:rsidRPr="003C0E2F" w:rsidRDefault="00D3097F" w:rsidP="00EE17F5">
            <w:pPr>
              <w:spacing w:after="0" w:line="276" w:lineRule="auto"/>
            </w:pPr>
            <w:r w:rsidRPr="003C0E2F">
              <w:t>1.14</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3D47B2EE" w14:textId="77777777" w:rsidR="00D3097F" w:rsidRPr="003C0E2F" w:rsidRDefault="00D3097F" w:rsidP="00EE17F5">
            <w:pPr>
              <w:spacing w:after="0" w:line="276" w:lineRule="auto"/>
              <w:rPr>
                <w:b/>
                <w:bCs/>
              </w:rPr>
            </w:pPr>
            <w:r w:rsidRPr="003C0E2F">
              <w:rPr>
                <w:b/>
                <w:bCs/>
              </w:rPr>
              <w:t>34. TGFβ</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02A817E7" w14:textId="77777777" w:rsidR="00D3097F" w:rsidRPr="003C0E2F" w:rsidRDefault="00D3097F" w:rsidP="00EE17F5">
            <w:pPr>
              <w:spacing w:after="0" w:line="276" w:lineRule="auto"/>
            </w:pPr>
            <w:r w:rsidRPr="003C0E2F">
              <w:t>0.23</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05A99851" w14:textId="77777777" w:rsidR="00D3097F" w:rsidRPr="003C0E2F" w:rsidRDefault="00D3097F" w:rsidP="00EE17F5">
            <w:pPr>
              <w:spacing w:after="0" w:line="276" w:lineRule="auto"/>
            </w:pPr>
            <w:r w:rsidRPr="003C0E2F">
              <w:t>0.35</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56451306" w14:textId="77777777" w:rsidR="00D3097F" w:rsidRPr="003C0E2F" w:rsidRDefault="00D3097F" w:rsidP="00EE17F5">
            <w:pPr>
              <w:spacing w:after="0" w:line="276" w:lineRule="auto"/>
            </w:pPr>
            <w:r w:rsidRPr="003C0E2F">
              <w:t>0.70</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32F7B579" w14:textId="77777777" w:rsidR="00D3097F" w:rsidRPr="003C0E2F" w:rsidRDefault="00D3097F" w:rsidP="00EE17F5">
            <w:pPr>
              <w:spacing w:after="0" w:line="276" w:lineRule="auto"/>
            </w:pPr>
            <w:r w:rsidRPr="003C0E2F">
              <w:t>0.97</w:t>
            </w:r>
          </w:p>
        </w:tc>
      </w:tr>
      <w:tr w:rsidR="003C0E2F" w:rsidRPr="003C0E2F" w14:paraId="3D767DBB"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7B9C5482" w14:textId="77777777" w:rsidR="00D3097F" w:rsidRPr="003C0E2F" w:rsidRDefault="00D3097F" w:rsidP="00EE17F5">
            <w:pPr>
              <w:spacing w:after="0" w:line="276" w:lineRule="auto"/>
              <w:rPr>
                <w:b/>
                <w:bCs/>
              </w:rPr>
            </w:pPr>
            <w:r w:rsidRPr="003C0E2F">
              <w:rPr>
                <w:b/>
                <w:bCs/>
              </w:rPr>
              <w:t>15. IL-7</w:t>
            </w:r>
          </w:p>
        </w:tc>
        <w:tc>
          <w:tcPr>
            <w:tcW w:w="718" w:type="dxa"/>
            <w:tcBorders>
              <w:top w:val="nil"/>
              <w:left w:val="single" w:sz="12" w:space="0" w:color="auto"/>
              <w:bottom w:val="single" w:sz="4" w:space="0" w:color="000000"/>
              <w:right w:val="single" w:sz="12" w:space="0" w:color="auto"/>
            </w:tcBorders>
            <w:shd w:val="clear" w:color="auto" w:fill="auto"/>
            <w:vAlign w:val="bottom"/>
            <w:hideMark/>
          </w:tcPr>
          <w:p w14:paraId="3762EC19" w14:textId="77777777" w:rsidR="00D3097F" w:rsidRPr="003C0E2F" w:rsidRDefault="00D3097F" w:rsidP="00EE17F5">
            <w:pPr>
              <w:spacing w:after="0" w:line="276" w:lineRule="auto"/>
            </w:pPr>
            <w:r w:rsidRPr="003C0E2F">
              <w:t>1.00</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69085212" w14:textId="77777777" w:rsidR="00D3097F" w:rsidRPr="003C0E2F" w:rsidRDefault="00D3097F" w:rsidP="00EE17F5">
            <w:pPr>
              <w:spacing w:after="0" w:line="276" w:lineRule="auto"/>
            </w:pPr>
            <w:r w:rsidRPr="003C0E2F">
              <w:t>1.00</w:t>
            </w:r>
          </w:p>
        </w:tc>
        <w:tc>
          <w:tcPr>
            <w:tcW w:w="654" w:type="dxa"/>
            <w:tcBorders>
              <w:top w:val="nil"/>
              <w:left w:val="nil"/>
              <w:bottom w:val="single" w:sz="4" w:space="0" w:color="000000"/>
              <w:right w:val="single" w:sz="8" w:space="0" w:color="000000"/>
            </w:tcBorders>
            <w:shd w:val="clear" w:color="auto" w:fill="auto"/>
            <w:vAlign w:val="bottom"/>
            <w:hideMark/>
          </w:tcPr>
          <w:p w14:paraId="7F417851" w14:textId="77777777" w:rsidR="00D3097F" w:rsidRPr="003C0E2F" w:rsidRDefault="00D3097F" w:rsidP="00EE17F5">
            <w:pPr>
              <w:spacing w:after="0" w:line="276" w:lineRule="auto"/>
            </w:pPr>
            <w:r w:rsidRPr="003C0E2F">
              <w:t>1.00</w:t>
            </w:r>
          </w:p>
        </w:tc>
        <w:tc>
          <w:tcPr>
            <w:tcW w:w="718" w:type="dxa"/>
            <w:tcBorders>
              <w:top w:val="nil"/>
              <w:left w:val="nil"/>
              <w:bottom w:val="single" w:sz="4" w:space="0" w:color="000000"/>
              <w:right w:val="single" w:sz="12" w:space="0" w:color="auto"/>
            </w:tcBorders>
            <w:shd w:val="clear" w:color="auto" w:fill="auto"/>
            <w:vAlign w:val="bottom"/>
            <w:hideMark/>
          </w:tcPr>
          <w:p w14:paraId="0DB1BE54" w14:textId="77777777" w:rsidR="00D3097F" w:rsidRPr="003C0E2F" w:rsidRDefault="00D3097F" w:rsidP="00EE17F5">
            <w:pPr>
              <w:spacing w:after="0" w:line="276" w:lineRule="auto"/>
            </w:pPr>
            <w:r w:rsidRPr="003C0E2F">
              <w:t>1.00</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76DF5C94" w14:textId="77777777" w:rsidR="00D3097F" w:rsidRPr="003C0E2F" w:rsidRDefault="00D3097F" w:rsidP="00EE17F5">
            <w:pPr>
              <w:spacing w:after="0" w:line="276" w:lineRule="auto"/>
              <w:rPr>
                <w:b/>
                <w:bCs/>
              </w:rPr>
            </w:pPr>
            <w:r w:rsidRPr="003C0E2F">
              <w:rPr>
                <w:b/>
                <w:bCs/>
              </w:rPr>
              <w:t>35. TNFα</w:t>
            </w:r>
          </w:p>
        </w:tc>
        <w:tc>
          <w:tcPr>
            <w:tcW w:w="640" w:type="dxa"/>
            <w:tcBorders>
              <w:top w:val="single" w:sz="4" w:space="0" w:color="000000"/>
              <w:left w:val="single" w:sz="12" w:space="0" w:color="auto"/>
              <w:bottom w:val="single" w:sz="4" w:space="0" w:color="000000"/>
              <w:right w:val="single" w:sz="12" w:space="0" w:color="auto"/>
            </w:tcBorders>
            <w:shd w:val="clear" w:color="000000" w:fill="C6EFCE"/>
            <w:vAlign w:val="bottom"/>
            <w:hideMark/>
          </w:tcPr>
          <w:p w14:paraId="71EF7F37" w14:textId="77777777" w:rsidR="00D3097F" w:rsidRPr="003C0E2F" w:rsidRDefault="00D3097F" w:rsidP="00EE17F5">
            <w:pPr>
              <w:spacing w:after="0" w:line="276" w:lineRule="auto"/>
            </w:pPr>
            <w:r w:rsidRPr="003C0E2F">
              <w:t>2.32</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0BF05F17" w14:textId="77777777" w:rsidR="00D3097F" w:rsidRPr="003C0E2F" w:rsidRDefault="00D3097F" w:rsidP="00EE17F5">
            <w:pPr>
              <w:spacing w:after="0" w:line="276" w:lineRule="auto"/>
            </w:pPr>
            <w:r w:rsidRPr="003C0E2F">
              <w:t>1.39</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1F7C9D72" w14:textId="77777777" w:rsidR="00D3097F" w:rsidRPr="003C0E2F" w:rsidRDefault="00D3097F" w:rsidP="00EE17F5">
            <w:pPr>
              <w:spacing w:after="0" w:line="276" w:lineRule="auto"/>
            </w:pPr>
            <w:r w:rsidRPr="003C0E2F">
              <w:t>1.19</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0AB0D8B6" w14:textId="77777777" w:rsidR="00D3097F" w:rsidRPr="003C0E2F" w:rsidRDefault="00D3097F" w:rsidP="00EE17F5">
            <w:pPr>
              <w:spacing w:after="0" w:line="276" w:lineRule="auto"/>
            </w:pPr>
            <w:r w:rsidRPr="003C0E2F">
              <w:t>1.02</w:t>
            </w:r>
          </w:p>
        </w:tc>
      </w:tr>
      <w:tr w:rsidR="003C0E2F" w:rsidRPr="003C0E2F" w14:paraId="1B6C9C20"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05C250F2" w14:textId="77777777" w:rsidR="00D3097F" w:rsidRPr="003C0E2F" w:rsidRDefault="00D3097F" w:rsidP="00EE17F5">
            <w:pPr>
              <w:spacing w:after="0" w:line="276" w:lineRule="auto"/>
              <w:rPr>
                <w:b/>
                <w:bCs/>
              </w:rPr>
            </w:pPr>
            <w:r w:rsidRPr="003C0E2F">
              <w:rPr>
                <w:b/>
                <w:bCs/>
              </w:rPr>
              <w:t>16. IL-8</w:t>
            </w:r>
          </w:p>
        </w:tc>
        <w:tc>
          <w:tcPr>
            <w:tcW w:w="718" w:type="dxa"/>
            <w:tcBorders>
              <w:top w:val="nil"/>
              <w:left w:val="single" w:sz="12" w:space="0" w:color="auto"/>
              <w:bottom w:val="single" w:sz="4" w:space="0" w:color="000000"/>
              <w:right w:val="single" w:sz="12" w:space="0" w:color="auto"/>
            </w:tcBorders>
            <w:shd w:val="clear" w:color="auto" w:fill="auto"/>
            <w:vAlign w:val="bottom"/>
            <w:hideMark/>
          </w:tcPr>
          <w:p w14:paraId="0AA7F782" w14:textId="77777777" w:rsidR="00D3097F" w:rsidRPr="003C0E2F" w:rsidRDefault="00D3097F" w:rsidP="00EE17F5">
            <w:pPr>
              <w:spacing w:after="0" w:line="276" w:lineRule="auto"/>
            </w:pPr>
            <w:r w:rsidRPr="003C0E2F">
              <w:t>0.96</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68CEF46A" w14:textId="77777777" w:rsidR="00D3097F" w:rsidRPr="003C0E2F" w:rsidRDefault="00D3097F" w:rsidP="00EE17F5">
            <w:pPr>
              <w:spacing w:after="0" w:line="276" w:lineRule="auto"/>
            </w:pPr>
            <w:r w:rsidRPr="003C0E2F">
              <w:t>1.32</w:t>
            </w:r>
          </w:p>
        </w:tc>
        <w:tc>
          <w:tcPr>
            <w:tcW w:w="654" w:type="dxa"/>
            <w:tcBorders>
              <w:top w:val="nil"/>
              <w:left w:val="nil"/>
              <w:bottom w:val="single" w:sz="4" w:space="0" w:color="000000"/>
              <w:right w:val="single" w:sz="8" w:space="0" w:color="000000"/>
            </w:tcBorders>
            <w:shd w:val="clear" w:color="auto" w:fill="auto"/>
            <w:vAlign w:val="bottom"/>
            <w:hideMark/>
          </w:tcPr>
          <w:p w14:paraId="66837D91" w14:textId="77777777" w:rsidR="00D3097F" w:rsidRPr="003C0E2F" w:rsidRDefault="00D3097F" w:rsidP="00EE17F5">
            <w:pPr>
              <w:spacing w:after="0" w:line="276" w:lineRule="auto"/>
            </w:pPr>
            <w:r w:rsidRPr="003C0E2F">
              <w:t>1.03</w:t>
            </w:r>
          </w:p>
        </w:tc>
        <w:tc>
          <w:tcPr>
            <w:tcW w:w="718" w:type="dxa"/>
            <w:tcBorders>
              <w:top w:val="nil"/>
              <w:left w:val="nil"/>
              <w:bottom w:val="single" w:sz="4" w:space="0" w:color="000000"/>
              <w:right w:val="single" w:sz="12" w:space="0" w:color="auto"/>
            </w:tcBorders>
            <w:shd w:val="clear" w:color="auto" w:fill="auto"/>
            <w:vAlign w:val="bottom"/>
            <w:hideMark/>
          </w:tcPr>
          <w:p w14:paraId="5D751591" w14:textId="77777777" w:rsidR="00D3097F" w:rsidRPr="003C0E2F" w:rsidRDefault="00D3097F" w:rsidP="00EE17F5">
            <w:pPr>
              <w:spacing w:after="0" w:line="276" w:lineRule="auto"/>
            </w:pPr>
            <w:r w:rsidRPr="003C0E2F">
              <w:t>0.97</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6FC9391C" w14:textId="77777777" w:rsidR="00D3097F" w:rsidRPr="003C0E2F" w:rsidRDefault="00D3097F" w:rsidP="00EE17F5">
            <w:pPr>
              <w:spacing w:after="0" w:line="276" w:lineRule="auto"/>
              <w:rPr>
                <w:b/>
                <w:bCs/>
              </w:rPr>
            </w:pPr>
            <w:r w:rsidRPr="003C0E2F">
              <w:rPr>
                <w:b/>
                <w:bCs/>
              </w:rPr>
              <w:t>36. TNFβ</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15A0D46C" w14:textId="77777777" w:rsidR="00D3097F" w:rsidRPr="003C0E2F" w:rsidRDefault="00D3097F" w:rsidP="00EE17F5">
            <w:pPr>
              <w:spacing w:after="0" w:line="276" w:lineRule="auto"/>
            </w:pPr>
            <w:r w:rsidRPr="003C0E2F">
              <w:t>1.92</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5601E06A" w14:textId="77777777" w:rsidR="00D3097F" w:rsidRPr="003C0E2F" w:rsidRDefault="00D3097F" w:rsidP="00EE17F5">
            <w:pPr>
              <w:spacing w:after="0" w:line="276" w:lineRule="auto"/>
            </w:pPr>
            <w:r w:rsidRPr="003C0E2F">
              <w:t>1.52</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210B30A8" w14:textId="77777777" w:rsidR="00D3097F" w:rsidRPr="003C0E2F" w:rsidRDefault="00D3097F" w:rsidP="00EE17F5">
            <w:pPr>
              <w:spacing w:after="0" w:line="276" w:lineRule="auto"/>
            </w:pPr>
            <w:r w:rsidRPr="003C0E2F">
              <w:t>1.20</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455650F5" w14:textId="77777777" w:rsidR="00D3097F" w:rsidRPr="003C0E2F" w:rsidRDefault="00D3097F" w:rsidP="00EE17F5">
            <w:pPr>
              <w:spacing w:after="0" w:line="276" w:lineRule="auto"/>
            </w:pPr>
            <w:r w:rsidRPr="003C0E2F">
              <w:t>1.34</w:t>
            </w:r>
          </w:p>
        </w:tc>
      </w:tr>
      <w:tr w:rsidR="003C0E2F" w:rsidRPr="003C0E2F" w14:paraId="062AD405"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30AE384A" w14:textId="77777777" w:rsidR="00D3097F" w:rsidRPr="003C0E2F" w:rsidRDefault="00D3097F" w:rsidP="00EE17F5">
            <w:pPr>
              <w:spacing w:after="0" w:line="276" w:lineRule="auto"/>
              <w:rPr>
                <w:b/>
                <w:bCs/>
              </w:rPr>
            </w:pPr>
            <w:r w:rsidRPr="003C0E2F">
              <w:rPr>
                <w:b/>
                <w:bCs/>
              </w:rPr>
              <w:t>17. IL-10</w:t>
            </w:r>
          </w:p>
        </w:tc>
        <w:tc>
          <w:tcPr>
            <w:tcW w:w="718" w:type="dxa"/>
            <w:tcBorders>
              <w:top w:val="nil"/>
              <w:left w:val="single" w:sz="12" w:space="0" w:color="auto"/>
              <w:bottom w:val="single" w:sz="4" w:space="0" w:color="000000"/>
              <w:right w:val="single" w:sz="12" w:space="0" w:color="auto"/>
            </w:tcBorders>
            <w:shd w:val="clear" w:color="auto" w:fill="auto"/>
            <w:vAlign w:val="bottom"/>
            <w:hideMark/>
          </w:tcPr>
          <w:p w14:paraId="26B23F5C" w14:textId="77777777" w:rsidR="00D3097F" w:rsidRPr="003C0E2F" w:rsidRDefault="00D3097F" w:rsidP="00EE17F5">
            <w:pPr>
              <w:spacing w:after="0" w:line="276" w:lineRule="auto"/>
            </w:pPr>
            <w:r w:rsidRPr="003C0E2F">
              <w:t>1.57</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1F35630C" w14:textId="77777777" w:rsidR="00D3097F" w:rsidRPr="003C0E2F" w:rsidRDefault="00D3097F" w:rsidP="00EE17F5">
            <w:pPr>
              <w:spacing w:after="0" w:line="276" w:lineRule="auto"/>
            </w:pPr>
            <w:r w:rsidRPr="003C0E2F">
              <w:t>1.37</w:t>
            </w:r>
          </w:p>
        </w:tc>
        <w:tc>
          <w:tcPr>
            <w:tcW w:w="654" w:type="dxa"/>
            <w:tcBorders>
              <w:top w:val="nil"/>
              <w:left w:val="nil"/>
              <w:bottom w:val="single" w:sz="4" w:space="0" w:color="000000"/>
              <w:right w:val="single" w:sz="8" w:space="0" w:color="000000"/>
            </w:tcBorders>
            <w:shd w:val="clear" w:color="auto" w:fill="auto"/>
            <w:vAlign w:val="bottom"/>
            <w:hideMark/>
          </w:tcPr>
          <w:p w14:paraId="5E2586CB" w14:textId="77777777" w:rsidR="00D3097F" w:rsidRPr="003C0E2F" w:rsidRDefault="00D3097F" w:rsidP="00EE17F5">
            <w:pPr>
              <w:spacing w:after="0" w:line="276" w:lineRule="auto"/>
            </w:pPr>
            <w:r w:rsidRPr="003C0E2F">
              <w:t>1.45</w:t>
            </w:r>
          </w:p>
        </w:tc>
        <w:tc>
          <w:tcPr>
            <w:tcW w:w="718" w:type="dxa"/>
            <w:tcBorders>
              <w:top w:val="nil"/>
              <w:left w:val="nil"/>
              <w:bottom w:val="single" w:sz="4" w:space="0" w:color="000000"/>
              <w:right w:val="single" w:sz="12" w:space="0" w:color="auto"/>
            </w:tcBorders>
            <w:shd w:val="clear" w:color="auto" w:fill="auto"/>
            <w:vAlign w:val="bottom"/>
            <w:hideMark/>
          </w:tcPr>
          <w:p w14:paraId="60B105DE" w14:textId="77777777" w:rsidR="00D3097F" w:rsidRPr="003C0E2F" w:rsidRDefault="00D3097F" w:rsidP="00EE17F5">
            <w:pPr>
              <w:spacing w:after="0" w:line="276" w:lineRule="auto"/>
            </w:pPr>
            <w:r w:rsidRPr="003C0E2F">
              <w:t>1.25</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023AF39D" w14:textId="77777777" w:rsidR="00D3097F" w:rsidRPr="003C0E2F" w:rsidRDefault="00D3097F" w:rsidP="00EE17F5">
            <w:pPr>
              <w:spacing w:after="0" w:line="276" w:lineRule="auto"/>
              <w:rPr>
                <w:b/>
                <w:bCs/>
              </w:rPr>
            </w:pPr>
            <w:r w:rsidRPr="003C0E2F">
              <w:rPr>
                <w:b/>
                <w:bCs/>
              </w:rPr>
              <w:t>37. TNF RI</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2AA078F9" w14:textId="77777777" w:rsidR="00D3097F" w:rsidRPr="003C0E2F" w:rsidRDefault="00D3097F" w:rsidP="00EE17F5">
            <w:pPr>
              <w:spacing w:after="0" w:line="276" w:lineRule="auto"/>
            </w:pPr>
            <w:r w:rsidRPr="003C0E2F">
              <w:t>1.23</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694D9F01" w14:textId="77777777" w:rsidR="00D3097F" w:rsidRPr="003C0E2F" w:rsidRDefault="00D3097F" w:rsidP="00EE17F5">
            <w:pPr>
              <w:spacing w:after="0" w:line="276" w:lineRule="auto"/>
            </w:pPr>
            <w:r w:rsidRPr="003C0E2F">
              <w:t>1.04</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61D9E332" w14:textId="77777777" w:rsidR="00D3097F" w:rsidRPr="003C0E2F" w:rsidRDefault="00D3097F" w:rsidP="00EE17F5">
            <w:pPr>
              <w:spacing w:after="0" w:line="276" w:lineRule="auto"/>
            </w:pPr>
            <w:r w:rsidRPr="003C0E2F">
              <w:t>1.21</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7EEDDC56" w14:textId="77777777" w:rsidR="00D3097F" w:rsidRPr="003C0E2F" w:rsidRDefault="00D3097F" w:rsidP="00EE17F5">
            <w:pPr>
              <w:spacing w:after="0" w:line="276" w:lineRule="auto"/>
            </w:pPr>
            <w:r w:rsidRPr="003C0E2F">
              <w:t>1.00</w:t>
            </w:r>
          </w:p>
        </w:tc>
      </w:tr>
      <w:tr w:rsidR="003C0E2F" w:rsidRPr="003C0E2F" w14:paraId="456D1E83"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34147233" w14:textId="77777777" w:rsidR="00D3097F" w:rsidRPr="003C0E2F" w:rsidRDefault="00D3097F" w:rsidP="00EE17F5">
            <w:pPr>
              <w:spacing w:after="0" w:line="276" w:lineRule="auto"/>
              <w:rPr>
                <w:b/>
                <w:bCs/>
              </w:rPr>
            </w:pPr>
            <w:r w:rsidRPr="003C0E2F">
              <w:rPr>
                <w:b/>
                <w:bCs/>
              </w:rPr>
              <w:t>18. IL-11</w:t>
            </w:r>
          </w:p>
        </w:tc>
        <w:tc>
          <w:tcPr>
            <w:tcW w:w="718" w:type="dxa"/>
            <w:tcBorders>
              <w:top w:val="nil"/>
              <w:left w:val="single" w:sz="12" w:space="0" w:color="auto"/>
              <w:bottom w:val="single" w:sz="4" w:space="0" w:color="000000"/>
              <w:right w:val="single" w:sz="12" w:space="0" w:color="auto"/>
            </w:tcBorders>
            <w:shd w:val="clear" w:color="000000" w:fill="C6EFCE"/>
            <w:vAlign w:val="bottom"/>
            <w:hideMark/>
          </w:tcPr>
          <w:p w14:paraId="0F6DD2B7" w14:textId="77777777" w:rsidR="00D3097F" w:rsidRPr="003C0E2F" w:rsidRDefault="00D3097F" w:rsidP="00EE17F5">
            <w:pPr>
              <w:spacing w:after="0" w:line="276" w:lineRule="auto"/>
            </w:pPr>
            <w:r w:rsidRPr="003C0E2F">
              <w:t>2.18</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03397533" w14:textId="77777777" w:rsidR="00D3097F" w:rsidRPr="003C0E2F" w:rsidRDefault="00D3097F" w:rsidP="00EE17F5">
            <w:pPr>
              <w:spacing w:after="0" w:line="276" w:lineRule="auto"/>
            </w:pPr>
            <w:r w:rsidRPr="003C0E2F">
              <w:t>0.58</w:t>
            </w:r>
          </w:p>
        </w:tc>
        <w:tc>
          <w:tcPr>
            <w:tcW w:w="654" w:type="dxa"/>
            <w:tcBorders>
              <w:top w:val="nil"/>
              <w:left w:val="nil"/>
              <w:bottom w:val="single" w:sz="4" w:space="0" w:color="000000"/>
              <w:right w:val="single" w:sz="8" w:space="0" w:color="000000"/>
            </w:tcBorders>
            <w:shd w:val="clear" w:color="auto" w:fill="auto"/>
            <w:vAlign w:val="bottom"/>
            <w:hideMark/>
          </w:tcPr>
          <w:p w14:paraId="4E51DA47" w14:textId="77777777" w:rsidR="00D3097F" w:rsidRPr="003C0E2F" w:rsidRDefault="00D3097F" w:rsidP="00EE17F5">
            <w:pPr>
              <w:spacing w:after="0" w:line="276" w:lineRule="auto"/>
            </w:pPr>
            <w:r w:rsidRPr="003C0E2F">
              <w:t>0.91</w:t>
            </w:r>
          </w:p>
        </w:tc>
        <w:tc>
          <w:tcPr>
            <w:tcW w:w="718" w:type="dxa"/>
            <w:tcBorders>
              <w:top w:val="nil"/>
              <w:left w:val="nil"/>
              <w:bottom w:val="single" w:sz="4" w:space="0" w:color="000000"/>
              <w:right w:val="single" w:sz="12" w:space="0" w:color="auto"/>
            </w:tcBorders>
            <w:shd w:val="clear" w:color="auto" w:fill="auto"/>
            <w:vAlign w:val="bottom"/>
            <w:hideMark/>
          </w:tcPr>
          <w:p w14:paraId="352FAAD7" w14:textId="77777777" w:rsidR="00D3097F" w:rsidRPr="003C0E2F" w:rsidRDefault="00D3097F" w:rsidP="00EE17F5">
            <w:pPr>
              <w:spacing w:after="0" w:line="276" w:lineRule="auto"/>
            </w:pPr>
            <w:r w:rsidRPr="003C0E2F">
              <w:t>0.49</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00B9CACF" w14:textId="77777777" w:rsidR="00D3097F" w:rsidRPr="003C0E2F" w:rsidRDefault="00D3097F" w:rsidP="00EE17F5">
            <w:pPr>
              <w:spacing w:after="0" w:line="276" w:lineRule="auto"/>
              <w:rPr>
                <w:b/>
                <w:bCs/>
              </w:rPr>
            </w:pPr>
            <w:r w:rsidRPr="003C0E2F">
              <w:rPr>
                <w:b/>
                <w:bCs/>
              </w:rPr>
              <w:t>38. TNFII</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72A60C5C" w14:textId="77777777" w:rsidR="00D3097F" w:rsidRPr="003C0E2F" w:rsidRDefault="00D3097F" w:rsidP="00EE17F5">
            <w:pPr>
              <w:spacing w:after="0" w:line="276" w:lineRule="auto"/>
            </w:pPr>
            <w:r w:rsidRPr="003C0E2F">
              <w:t>1.5</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67352938" w14:textId="77777777" w:rsidR="00D3097F" w:rsidRPr="003C0E2F" w:rsidRDefault="00D3097F" w:rsidP="00EE17F5">
            <w:pPr>
              <w:spacing w:after="0" w:line="276" w:lineRule="auto"/>
            </w:pPr>
            <w:r w:rsidRPr="003C0E2F">
              <w:t>1.12</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7D7B4233" w14:textId="77777777" w:rsidR="00D3097F" w:rsidRPr="003C0E2F" w:rsidRDefault="00D3097F" w:rsidP="00EE17F5">
            <w:pPr>
              <w:spacing w:after="0" w:line="276" w:lineRule="auto"/>
            </w:pPr>
            <w:r w:rsidRPr="003C0E2F">
              <w:t>1.06</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7CA79E34" w14:textId="77777777" w:rsidR="00D3097F" w:rsidRPr="003C0E2F" w:rsidRDefault="00D3097F" w:rsidP="00EE17F5">
            <w:pPr>
              <w:spacing w:after="0" w:line="276" w:lineRule="auto"/>
            </w:pPr>
            <w:r w:rsidRPr="003C0E2F">
              <w:t>1.01</w:t>
            </w:r>
          </w:p>
        </w:tc>
      </w:tr>
      <w:tr w:rsidR="003C0E2F" w:rsidRPr="003C0E2F" w14:paraId="3314C625" w14:textId="77777777" w:rsidTr="009D57AC">
        <w:trPr>
          <w:trHeight w:val="315"/>
          <w:jc w:val="center"/>
        </w:trPr>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0638578B" w14:textId="77777777" w:rsidR="00D3097F" w:rsidRPr="003C0E2F" w:rsidRDefault="00D3097F" w:rsidP="00EE17F5">
            <w:pPr>
              <w:spacing w:after="0" w:line="276" w:lineRule="auto"/>
              <w:rPr>
                <w:b/>
                <w:bCs/>
              </w:rPr>
            </w:pPr>
            <w:r w:rsidRPr="003C0E2F">
              <w:rPr>
                <w:b/>
                <w:bCs/>
              </w:rPr>
              <w:t>19. IL-12p40</w:t>
            </w:r>
          </w:p>
        </w:tc>
        <w:tc>
          <w:tcPr>
            <w:tcW w:w="718" w:type="dxa"/>
            <w:tcBorders>
              <w:top w:val="nil"/>
              <w:left w:val="single" w:sz="12" w:space="0" w:color="auto"/>
              <w:bottom w:val="single" w:sz="4" w:space="0" w:color="000000"/>
              <w:right w:val="single" w:sz="12" w:space="0" w:color="auto"/>
            </w:tcBorders>
            <w:shd w:val="clear" w:color="auto" w:fill="auto"/>
            <w:vAlign w:val="bottom"/>
            <w:hideMark/>
          </w:tcPr>
          <w:p w14:paraId="3A831BB4" w14:textId="77777777" w:rsidR="00D3097F" w:rsidRPr="003C0E2F" w:rsidRDefault="00D3097F" w:rsidP="00EE17F5">
            <w:pPr>
              <w:spacing w:after="0" w:line="276" w:lineRule="auto"/>
            </w:pPr>
            <w:r w:rsidRPr="003C0E2F">
              <w:t>1.66</w:t>
            </w:r>
          </w:p>
        </w:tc>
        <w:tc>
          <w:tcPr>
            <w:tcW w:w="738" w:type="dxa"/>
            <w:tcBorders>
              <w:top w:val="nil"/>
              <w:left w:val="single" w:sz="12" w:space="0" w:color="auto"/>
              <w:bottom w:val="single" w:sz="4" w:space="0" w:color="000000"/>
              <w:right w:val="single" w:sz="8" w:space="0" w:color="000000"/>
            </w:tcBorders>
            <w:shd w:val="clear" w:color="auto" w:fill="auto"/>
            <w:vAlign w:val="bottom"/>
            <w:hideMark/>
          </w:tcPr>
          <w:p w14:paraId="52CAA8AC" w14:textId="77777777" w:rsidR="00D3097F" w:rsidRPr="003C0E2F" w:rsidRDefault="00D3097F" w:rsidP="00EE17F5">
            <w:pPr>
              <w:spacing w:after="0" w:line="276" w:lineRule="auto"/>
            </w:pPr>
            <w:r w:rsidRPr="003C0E2F">
              <w:t>1</w:t>
            </w:r>
          </w:p>
        </w:tc>
        <w:tc>
          <w:tcPr>
            <w:tcW w:w="654" w:type="dxa"/>
            <w:tcBorders>
              <w:top w:val="nil"/>
              <w:left w:val="nil"/>
              <w:bottom w:val="single" w:sz="4" w:space="0" w:color="000000"/>
              <w:right w:val="single" w:sz="8" w:space="0" w:color="000000"/>
            </w:tcBorders>
            <w:shd w:val="clear" w:color="auto" w:fill="auto"/>
            <w:vAlign w:val="bottom"/>
            <w:hideMark/>
          </w:tcPr>
          <w:p w14:paraId="43B5B7FC" w14:textId="77777777" w:rsidR="00D3097F" w:rsidRPr="003C0E2F" w:rsidRDefault="00D3097F" w:rsidP="00EE17F5">
            <w:pPr>
              <w:spacing w:after="0" w:line="276" w:lineRule="auto"/>
            </w:pPr>
            <w:r w:rsidRPr="003C0E2F">
              <w:t>1.19</w:t>
            </w:r>
          </w:p>
        </w:tc>
        <w:tc>
          <w:tcPr>
            <w:tcW w:w="718" w:type="dxa"/>
            <w:tcBorders>
              <w:top w:val="nil"/>
              <w:left w:val="nil"/>
              <w:bottom w:val="single" w:sz="4" w:space="0" w:color="000000"/>
              <w:right w:val="single" w:sz="12" w:space="0" w:color="auto"/>
            </w:tcBorders>
            <w:shd w:val="clear" w:color="auto" w:fill="auto"/>
            <w:vAlign w:val="bottom"/>
            <w:hideMark/>
          </w:tcPr>
          <w:p w14:paraId="2D600ECC" w14:textId="77777777" w:rsidR="00D3097F" w:rsidRPr="003C0E2F" w:rsidRDefault="00D3097F" w:rsidP="00EE17F5">
            <w:pPr>
              <w:spacing w:after="0" w:line="276" w:lineRule="auto"/>
            </w:pPr>
            <w:r w:rsidRPr="003C0E2F">
              <w:t>0.92</w:t>
            </w:r>
          </w:p>
        </w:tc>
        <w:tc>
          <w:tcPr>
            <w:tcW w:w="1433" w:type="dxa"/>
            <w:tcBorders>
              <w:top w:val="nil"/>
              <w:left w:val="single" w:sz="12" w:space="0" w:color="auto"/>
              <w:bottom w:val="single" w:sz="8" w:space="0" w:color="auto"/>
              <w:right w:val="single" w:sz="12" w:space="0" w:color="auto"/>
            </w:tcBorders>
            <w:shd w:val="clear" w:color="auto" w:fill="auto"/>
            <w:noWrap/>
            <w:vAlign w:val="center"/>
            <w:hideMark/>
          </w:tcPr>
          <w:p w14:paraId="59247030" w14:textId="77777777" w:rsidR="00D3097F" w:rsidRPr="003C0E2F" w:rsidRDefault="00D3097F" w:rsidP="00EE17F5">
            <w:pPr>
              <w:spacing w:after="0" w:line="276" w:lineRule="auto"/>
              <w:rPr>
                <w:b/>
                <w:bCs/>
              </w:rPr>
            </w:pPr>
            <w:r w:rsidRPr="003C0E2F">
              <w:rPr>
                <w:b/>
                <w:bCs/>
              </w:rPr>
              <w:t>39. PGDFBB</w:t>
            </w:r>
          </w:p>
        </w:tc>
        <w:tc>
          <w:tcPr>
            <w:tcW w:w="640"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65F0D799" w14:textId="77777777" w:rsidR="00D3097F" w:rsidRPr="003C0E2F" w:rsidRDefault="00D3097F" w:rsidP="00EE17F5">
            <w:pPr>
              <w:spacing w:after="0" w:line="276" w:lineRule="auto"/>
            </w:pPr>
            <w:r w:rsidRPr="003C0E2F">
              <w:t>1.38</w:t>
            </w:r>
          </w:p>
        </w:tc>
        <w:tc>
          <w:tcPr>
            <w:tcW w:w="738"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638BF394" w14:textId="77777777" w:rsidR="00D3097F" w:rsidRPr="003C0E2F" w:rsidRDefault="00D3097F" w:rsidP="00EE17F5">
            <w:pPr>
              <w:spacing w:after="0" w:line="276" w:lineRule="auto"/>
            </w:pPr>
            <w:r w:rsidRPr="003C0E2F">
              <w:t>1.55</w:t>
            </w:r>
          </w:p>
        </w:tc>
        <w:tc>
          <w:tcPr>
            <w:tcW w:w="654" w:type="dxa"/>
            <w:tcBorders>
              <w:top w:val="single" w:sz="4" w:space="0" w:color="000000"/>
              <w:left w:val="single" w:sz="12" w:space="0" w:color="auto"/>
              <w:bottom w:val="single" w:sz="4" w:space="0" w:color="000000"/>
              <w:right w:val="single" w:sz="12" w:space="0" w:color="auto"/>
            </w:tcBorders>
            <w:shd w:val="clear" w:color="auto" w:fill="auto"/>
            <w:vAlign w:val="bottom"/>
            <w:hideMark/>
          </w:tcPr>
          <w:p w14:paraId="0B0C5D4B" w14:textId="77777777" w:rsidR="00D3097F" w:rsidRPr="003C0E2F" w:rsidRDefault="00D3097F" w:rsidP="00EE17F5">
            <w:pPr>
              <w:spacing w:after="0" w:line="276" w:lineRule="auto"/>
            </w:pPr>
            <w:r w:rsidRPr="003C0E2F">
              <w:t>0.93</w:t>
            </w:r>
          </w:p>
        </w:tc>
        <w:tc>
          <w:tcPr>
            <w:tcW w:w="654" w:type="dxa"/>
            <w:tcBorders>
              <w:top w:val="nil"/>
              <w:left w:val="single" w:sz="12" w:space="0" w:color="auto"/>
              <w:bottom w:val="single" w:sz="4" w:space="0" w:color="000000"/>
              <w:right w:val="single" w:sz="12" w:space="0" w:color="auto"/>
            </w:tcBorders>
            <w:shd w:val="clear" w:color="auto" w:fill="auto"/>
            <w:vAlign w:val="bottom"/>
            <w:hideMark/>
          </w:tcPr>
          <w:p w14:paraId="7463C8A1" w14:textId="77777777" w:rsidR="00D3097F" w:rsidRPr="003C0E2F" w:rsidRDefault="00D3097F" w:rsidP="00EE17F5">
            <w:pPr>
              <w:spacing w:after="0" w:line="276" w:lineRule="auto"/>
            </w:pPr>
            <w:r w:rsidRPr="003C0E2F">
              <w:t>1.37</w:t>
            </w:r>
          </w:p>
        </w:tc>
      </w:tr>
      <w:tr w:rsidR="00D3097F" w:rsidRPr="003C0E2F" w14:paraId="02ADF428" w14:textId="77777777" w:rsidTr="009D57AC">
        <w:trPr>
          <w:trHeight w:val="315"/>
          <w:jc w:val="center"/>
        </w:trPr>
        <w:tc>
          <w:tcPr>
            <w:tcW w:w="1433" w:type="dxa"/>
            <w:tcBorders>
              <w:top w:val="nil"/>
              <w:left w:val="single" w:sz="12" w:space="0" w:color="auto"/>
              <w:bottom w:val="single" w:sz="12" w:space="0" w:color="auto"/>
              <w:right w:val="single" w:sz="12" w:space="0" w:color="auto"/>
            </w:tcBorders>
            <w:shd w:val="clear" w:color="auto" w:fill="auto"/>
            <w:noWrap/>
            <w:vAlign w:val="center"/>
            <w:hideMark/>
          </w:tcPr>
          <w:p w14:paraId="3F024472" w14:textId="77777777" w:rsidR="00D3097F" w:rsidRPr="003C0E2F" w:rsidRDefault="00D3097F" w:rsidP="00EE17F5">
            <w:pPr>
              <w:spacing w:after="0" w:line="276" w:lineRule="auto"/>
              <w:rPr>
                <w:b/>
                <w:bCs/>
              </w:rPr>
            </w:pPr>
            <w:r w:rsidRPr="003C0E2F">
              <w:rPr>
                <w:b/>
                <w:bCs/>
              </w:rPr>
              <w:t>20. IL-12p70</w:t>
            </w:r>
          </w:p>
        </w:tc>
        <w:tc>
          <w:tcPr>
            <w:tcW w:w="718" w:type="dxa"/>
            <w:tcBorders>
              <w:top w:val="nil"/>
              <w:left w:val="single" w:sz="12" w:space="0" w:color="auto"/>
              <w:bottom w:val="single" w:sz="12" w:space="0" w:color="auto"/>
              <w:right w:val="single" w:sz="12" w:space="0" w:color="auto"/>
            </w:tcBorders>
            <w:shd w:val="clear" w:color="auto" w:fill="auto"/>
            <w:vAlign w:val="bottom"/>
            <w:hideMark/>
          </w:tcPr>
          <w:p w14:paraId="55089C6F" w14:textId="77777777" w:rsidR="00D3097F" w:rsidRPr="003C0E2F" w:rsidRDefault="00D3097F" w:rsidP="00EE17F5">
            <w:pPr>
              <w:spacing w:after="0" w:line="276" w:lineRule="auto"/>
            </w:pPr>
            <w:r w:rsidRPr="003C0E2F">
              <w:t>1.36</w:t>
            </w:r>
          </w:p>
        </w:tc>
        <w:tc>
          <w:tcPr>
            <w:tcW w:w="738" w:type="dxa"/>
            <w:tcBorders>
              <w:top w:val="nil"/>
              <w:left w:val="single" w:sz="12" w:space="0" w:color="auto"/>
              <w:bottom w:val="single" w:sz="12" w:space="0" w:color="auto"/>
              <w:right w:val="single" w:sz="8" w:space="0" w:color="000000"/>
            </w:tcBorders>
            <w:shd w:val="clear" w:color="auto" w:fill="auto"/>
            <w:vAlign w:val="bottom"/>
            <w:hideMark/>
          </w:tcPr>
          <w:p w14:paraId="4666320E" w14:textId="77777777" w:rsidR="00D3097F" w:rsidRPr="003C0E2F" w:rsidRDefault="00D3097F" w:rsidP="00EE17F5">
            <w:pPr>
              <w:spacing w:after="0" w:line="276" w:lineRule="auto"/>
            </w:pPr>
            <w:r w:rsidRPr="003C0E2F">
              <w:t>1.13</w:t>
            </w:r>
          </w:p>
        </w:tc>
        <w:tc>
          <w:tcPr>
            <w:tcW w:w="654" w:type="dxa"/>
            <w:tcBorders>
              <w:top w:val="nil"/>
              <w:left w:val="nil"/>
              <w:bottom w:val="single" w:sz="12" w:space="0" w:color="auto"/>
              <w:right w:val="single" w:sz="8" w:space="0" w:color="000000"/>
            </w:tcBorders>
            <w:shd w:val="clear" w:color="auto" w:fill="auto"/>
            <w:vAlign w:val="bottom"/>
            <w:hideMark/>
          </w:tcPr>
          <w:p w14:paraId="599B13DB" w14:textId="77777777" w:rsidR="00D3097F" w:rsidRPr="003C0E2F" w:rsidRDefault="00D3097F" w:rsidP="00EE17F5">
            <w:pPr>
              <w:spacing w:after="0" w:line="276" w:lineRule="auto"/>
            </w:pPr>
            <w:r w:rsidRPr="003C0E2F">
              <w:t>0.9</w:t>
            </w:r>
          </w:p>
        </w:tc>
        <w:tc>
          <w:tcPr>
            <w:tcW w:w="718" w:type="dxa"/>
            <w:tcBorders>
              <w:top w:val="nil"/>
              <w:left w:val="nil"/>
              <w:bottom w:val="single" w:sz="12" w:space="0" w:color="auto"/>
              <w:right w:val="single" w:sz="12" w:space="0" w:color="auto"/>
            </w:tcBorders>
            <w:shd w:val="clear" w:color="auto" w:fill="auto"/>
            <w:vAlign w:val="bottom"/>
            <w:hideMark/>
          </w:tcPr>
          <w:p w14:paraId="2D55B16B" w14:textId="77777777" w:rsidR="00D3097F" w:rsidRPr="003C0E2F" w:rsidRDefault="00D3097F" w:rsidP="00EE17F5">
            <w:pPr>
              <w:spacing w:after="0" w:line="276" w:lineRule="auto"/>
            </w:pPr>
            <w:r w:rsidRPr="003C0E2F">
              <w:t>0.92</w:t>
            </w:r>
          </w:p>
        </w:tc>
        <w:tc>
          <w:tcPr>
            <w:tcW w:w="1433" w:type="dxa"/>
            <w:tcBorders>
              <w:top w:val="nil"/>
              <w:left w:val="single" w:sz="12" w:space="0" w:color="auto"/>
              <w:bottom w:val="single" w:sz="12" w:space="0" w:color="auto"/>
              <w:right w:val="single" w:sz="12" w:space="0" w:color="auto"/>
            </w:tcBorders>
            <w:shd w:val="clear" w:color="auto" w:fill="auto"/>
            <w:noWrap/>
            <w:vAlign w:val="center"/>
            <w:hideMark/>
          </w:tcPr>
          <w:p w14:paraId="4B842F2F" w14:textId="77777777" w:rsidR="00D3097F" w:rsidRPr="003C0E2F" w:rsidRDefault="00D3097F" w:rsidP="00EE17F5">
            <w:pPr>
              <w:spacing w:after="0" w:line="276" w:lineRule="auto"/>
              <w:rPr>
                <w:b/>
                <w:bCs/>
              </w:rPr>
            </w:pPr>
            <w:r w:rsidRPr="003C0E2F">
              <w:rPr>
                <w:b/>
                <w:bCs/>
              </w:rPr>
              <w:t>40. TIMP-2</w:t>
            </w:r>
          </w:p>
        </w:tc>
        <w:tc>
          <w:tcPr>
            <w:tcW w:w="640" w:type="dxa"/>
            <w:tcBorders>
              <w:top w:val="single" w:sz="4" w:space="0" w:color="000000"/>
              <w:left w:val="single" w:sz="12" w:space="0" w:color="auto"/>
              <w:bottom w:val="single" w:sz="12" w:space="0" w:color="auto"/>
              <w:right w:val="single" w:sz="12" w:space="0" w:color="auto"/>
            </w:tcBorders>
            <w:shd w:val="clear" w:color="auto" w:fill="auto"/>
            <w:vAlign w:val="bottom"/>
            <w:hideMark/>
          </w:tcPr>
          <w:p w14:paraId="29130BB2" w14:textId="77777777" w:rsidR="00D3097F" w:rsidRPr="003C0E2F" w:rsidRDefault="00D3097F" w:rsidP="00EE17F5">
            <w:pPr>
              <w:spacing w:after="0" w:line="276" w:lineRule="auto"/>
            </w:pPr>
            <w:r w:rsidRPr="003C0E2F">
              <w:t>1.15</w:t>
            </w:r>
          </w:p>
        </w:tc>
        <w:tc>
          <w:tcPr>
            <w:tcW w:w="738" w:type="dxa"/>
            <w:tcBorders>
              <w:top w:val="single" w:sz="4" w:space="0" w:color="000000"/>
              <w:left w:val="single" w:sz="12" w:space="0" w:color="auto"/>
              <w:bottom w:val="single" w:sz="12" w:space="0" w:color="auto"/>
              <w:right w:val="single" w:sz="12" w:space="0" w:color="auto"/>
            </w:tcBorders>
            <w:shd w:val="clear" w:color="auto" w:fill="auto"/>
            <w:vAlign w:val="bottom"/>
            <w:hideMark/>
          </w:tcPr>
          <w:p w14:paraId="5AB47B89" w14:textId="77777777" w:rsidR="00D3097F" w:rsidRPr="003C0E2F" w:rsidRDefault="00D3097F" w:rsidP="00EE17F5">
            <w:pPr>
              <w:spacing w:after="0" w:line="276" w:lineRule="auto"/>
            </w:pPr>
            <w:r w:rsidRPr="003C0E2F">
              <w:t>1.03</w:t>
            </w:r>
          </w:p>
        </w:tc>
        <w:tc>
          <w:tcPr>
            <w:tcW w:w="654" w:type="dxa"/>
            <w:tcBorders>
              <w:top w:val="single" w:sz="4" w:space="0" w:color="000000"/>
              <w:left w:val="single" w:sz="12" w:space="0" w:color="auto"/>
              <w:bottom w:val="single" w:sz="12" w:space="0" w:color="auto"/>
              <w:right w:val="single" w:sz="12" w:space="0" w:color="auto"/>
            </w:tcBorders>
            <w:shd w:val="clear" w:color="auto" w:fill="auto"/>
            <w:vAlign w:val="bottom"/>
            <w:hideMark/>
          </w:tcPr>
          <w:p w14:paraId="58F428BC" w14:textId="77777777" w:rsidR="00D3097F" w:rsidRPr="003C0E2F" w:rsidRDefault="00D3097F" w:rsidP="00EE17F5">
            <w:pPr>
              <w:spacing w:after="0" w:line="276" w:lineRule="auto"/>
            </w:pPr>
            <w:r w:rsidRPr="003C0E2F">
              <w:t>0.95</w:t>
            </w:r>
          </w:p>
        </w:tc>
        <w:tc>
          <w:tcPr>
            <w:tcW w:w="654" w:type="dxa"/>
            <w:tcBorders>
              <w:top w:val="nil"/>
              <w:left w:val="single" w:sz="12" w:space="0" w:color="auto"/>
              <w:bottom w:val="single" w:sz="12" w:space="0" w:color="auto"/>
              <w:right w:val="single" w:sz="12" w:space="0" w:color="auto"/>
            </w:tcBorders>
            <w:shd w:val="clear" w:color="auto" w:fill="auto"/>
            <w:vAlign w:val="bottom"/>
            <w:hideMark/>
          </w:tcPr>
          <w:p w14:paraId="29CB98B4" w14:textId="77777777" w:rsidR="00D3097F" w:rsidRPr="003C0E2F" w:rsidRDefault="00D3097F" w:rsidP="00EE17F5">
            <w:pPr>
              <w:spacing w:after="0" w:line="276" w:lineRule="auto"/>
            </w:pPr>
            <w:r w:rsidRPr="003C0E2F">
              <w:t>0.84</w:t>
            </w:r>
          </w:p>
        </w:tc>
      </w:tr>
    </w:tbl>
    <w:p w14:paraId="667C4FF0" w14:textId="77777777" w:rsidR="00D3097F" w:rsidRPr="003C0E2F" w:rsidRDefault="00D3097F" w:rsidP="00BE5236"/>
    <w:p w14:paraId="082933B6" w14:textId="77777777" w:rsidR="00FA7831" w:rsidRPr="003C0E2F" w:rsidRDefault="00FA7831" w:rsidP="00FA7831"/>
    <w:p w14:paraId="79B7A8A6" w14:textId="77777777" w:rsidR="00FB5606" w:rsidRPr="003C0E2F" w:rsidRDefault="00FB5606">
      <w:pPr>
        <w:spacing w:line="259" w:lineRule="auto"/>
      </w:pPr>
      <w:r w:rsidRPr="003C0E2F">
        <w:br w:type="page"/>
      </w:r>
    </w:p>
    <w:p w14:paraId="2B234637" w14:textId="592DFDD5" w:rsidR="00672E7A" w:rsidRPr="003C0E2F" w:rsidRDefault="00672E7A" w:rsidP="00FA7831">
      <w:r w:rsidRPr="003C0E2F">
        <w:lastRenderedPageBreak/>
        <w:t xml:space="preserve">The </w:t>
      </w:r>
      <w:r w:rsidR="008F561F" w:rsidRPr="003C0E2F">
        <w:t>effect</w:t>
      </w:r>
      <w:r w:rsidRPr="003C0E2F">
        <w:t xml:space="preserve"> of FP11 and FP18 on TLR4 </w:t>
      </w:r>
      <w:r w:rsidR="00932BC2" w:rsidRPr="003C0E2F">
        <w:t>MyD88</w:t>
      </w:r>
      <w:r w:rsidR="00A9277D" w:rsidRPr="003C0E2F">
        <w:t>-</w:t>
      </w:r>
      <w:r w:rsidR="009E0322" w:rsidRPr="003C0E2F">
        <w:t>dependent</w:t>
      </w:r>
      <w:r w:rsidRPr="003C0E2F">
        <w:t xml:space="preserve"> signalling was further investigated via measurement of NF-</w:t>
      </w:r>
      <w:proofErr w:type="spellStart"/>
      <w:r w:rsidRPr="003C0E2F">
        <w:t>κB</w:t>
      </w:r>
      <w:proofErr w:type="spellEnd"/>
      <w:r w:rsidRPr="003C0E2F">
        <w:t xml:space="preserve"> activation via </w:t>
      </w:r>
      <w:r w:rsidR="00030A76" w:rsidRPr="003C0E2F">
        <w:rPr>
          <w:rFonts w:asciiTheme="majorHAnsi" w:hAnsiTheme="majorHAnsi"/>
        </w:rPr>
        <w:t>Western</w:t>
      </w:r>
      <w:r w:rsidRPr="003C0E2F">
        <w:t xml:space="preserve"> blot and endpoint IL-1β production was verified via ELISA. THP-1 cells were treated with FP11 or FP18 and </w:t>
      </w:r>
      <w:r w:rsidR="00274B79" w:rsidRPr="003C0E2F">
        <w:t>P65/NF-</w:t>
      </w:r>
      <w:proofErr w:type="spellStart"/>
      <w:r w:rsidR="00274B79" w:rsidRPr="003C0E2F">
        <w:t>κB</w:t>
      </w:r>
      <w:proofErr w:type="spellEnd"/>
      <w:r w:rsidRPr="003C0E2F">
        <w:t xml:space="preserve"> phosphorylation compared to levels induced by LPS or MPLA. Both LPS and MPLA produced a significant increase in </w:t>
      </w:r>
      <w:r w:rsidR="00274B79" w:rsidRPr="003C0E2F">
        <w:t>P65/NF-</w:t>
      </w:r>
      <w:proofErr w:type="spellStart"/>
      <w:r w:rsidR="00274B79" w:rsidRPr="003C0E2F">
        <w:t>κB</w:t>
      </w:r>
      <w:proofErr w:type="spellEnd"/>
      <w:r w:rsidRPr="003C0E2F">
        <w:t xml:space="preserve"> phosphorylation, as in previous experiments. FP11 was also capable of activating NF-</w:t>
      </w:r>
      <w:proofErr w:type="spellStart"/>
      <w:r w:rsidRPr="003C0E2F">
        <w:t>κB</w:t>
      </w:r>
      <w:proofErr w:type="spellEnd"/>
      <w:r w:rsidRPr="003C0E2F">
        <w:t xml:space="preserve"> after 1 hour exposure (Figure 34). While FP18 appeared to cause a slight increase in activation of NF-</w:t>
      </w:r>
      <w:proofErr w:type="spellStart"/>
      <w:r w:rsidRPr="003C0E2F">
        <w:t>κB</w:t>
      </w:r>
      <w:proofErr w:type="spellEnd"/>
      <w:r w:rsidRPr="003C0E2F">
        <w:t>, however this was not found to be significant.</w:t>
      </w:r>
    </w:p>
    <w:p w14:paraId="2E8D5DF0" w14:textId="081C1534" w:rsidR="00FA7831" w:rsidRPr="003C0E2F" w:rsidRDefault="00F15793" w:rsidP="00E30E30">
      <w:pPr>
        <w:jc w:val="center"/>
      </w:pPr>
      <w:r w:rsidRPr="003C0E2F">
        <w:object w:dxaOrig="9156" w:dyaOrig="8604" w14:anchorId="0C270DE3">
          <v:shape id="_x0000_i1043" type="#_x0000_t75" style="width:338.4pt;height:316.8pt" o:ole="">
            <v:imagedata r:id="rId92" o:title=""/>
          </v:shape>
          <o:OLEObject Type="Embed" ProgID="Prism6.Document" ShapeID="_x0000_i1043" DrawAspect="Content" ObjectID="_1701585001" r:id="rId93"/>
        </w:object>
      </w:r>
    </w:p>
    <w:p w14:paraId="3F037607" w14:textId="3C9C57AF" w:rsidR="00217D9B" w:rsidRPr="003C0E2F" w:rsidRDefault="00BF5029" w:rsidP="00A2094F">
      <w:pPr>
        <w:pStyle w:val="NoSpacing"/>
      </w:pPr>
      <w:bookmarkStart w:id="636" w:name="_Toc60638887"/>
      <w:bookmarkStart w:id="637" w:name="_Toc63112021"/>
      <w:bookmarkStart w:id="638" w:name="_Toc63112238"/>
      <w:bookmarkStart w:id="639" w:name="_Toc63270378"/>
      <w:bookmarkStart w:id="640" w:name="_Toc64533245"/>
      <w:bookmarkStart w:id="641" w:name="_Toc64551792"/>
      <w:bookmarkStart w:id="642" w:name="_Toc80013836"/>
      <w:bookmarkStart w:id="643" w:name="_Toc82882975"/>
      <w:r w:rsidRPr="003C0E2F">
        <w:t xml:space="preserve">Figure </w:t>
      </w:r>
      <w:r w:rsidR="00862981">
        <w:fldChar w:fldCharType="begin"/>
      </w:r>
      <w:r w:rsidR="00862981">
        <w:instrText xml:space="preserve"> SEQ Figure \* ARABIC </w:instrText>
      </w:r>
      <w:r w:rsidR="00862981">
        <w:fldChar w:fldCharType="separate"/>
      </w:r>
      <w:r w:rsidR="000F2276">
        <w:rPr>
          <w:noProof/>
        </w:rPr>
        <w:t>34</w:t>
      </w:r>
      <w:r w:rsidR="00862981">
        <w:rPr>
          <w:noProof/>
        </w:rPr>
        <w:fldChar w:fldCharType="end"/>
      </w:r>
      <w:r w:rsidR="006903B3" w:rsidRPr="003C0E2F">
        <w:t xml:space="preserve">. FP11 upregulates </w:t>
      </w:r>
      <w:r w:rsidR="00493959" w:rsidRPr="003C0E2F">
        <w:t>NF-</w:t>
      </w:r>
      <w:proofErr w:type="spellStart"/>
      <w:r w:rsidR="00493959" w:rsidRPr="003C0E2F">
        <w:t>κB</w:t>
      </w:r>
      <w:proofErr w:type="spellEnd"/>
      <w:r w:rsidR="006903B3" w:rsidRPr="003C0E2F">
        <w:t xml:space="preserve"> phosphorylation. THP-1 </w:t>
      </w:r>
      <w:r w:rsidR="008F561F" w:rsidRPr="003C0E2F">
        <w:t>macrophage</w:t>
      </w:r>
      <w:r w:rsidR="006903B3" w:rsidRPr="003C0E2F">
        <w:t>s were treated with FP11 (10µM), FP18 (10µM) LPS or MPLA (100ng/ml).</w:t>
      </w:r>
      <w:r w:rsidR="00217D9B" w:rsidRPr="003C0E2F">
        <w:t xml:space="preserve"> </w:t>
      </w:r>
      <w:r w:rsidR="00BD3E38" w:rsidRPr="003C0E2F">
        <w:rPr>
          <w:rStyle w:val="NoSpacingChar"/>
          <w:i/>
        </w:rPr>
        <w:t xml:space="preserve">Untreated control is with vehicle only. </w:t>
      </w:r>
      <w:r w:rsidR="006903B3" w:rsidRPr="003C0E2F">
        <w:t xml:space="preserve">Cell lysates were collected and analysed after 2.5 hours via </w:t>
      </w:r>
      <w:r w:rsidR="00030A76" w:rsidRPr="003C0E2F">
        <w:t>Western</w:t>
      </w:r>
      <w:r w:rsidR="006903B3" w:rsidRPr="003C0E2F">
        <w:t xml:space="preserve"> blot. Results are expressed as mean +/- standard deviation from three separate treatments. Significant results are shown as * = p&lt;0.05, ** = p&lt;0.01 *** = p&lt;0.001.</w:t>
      </w:r>
      <w:bookmarkEnd w:id="636"/>
      <w:bookmarkEnd w:id="637"/>
      <w:bookmarkEnd w:id="638"/>
      <w:bookmarkEnd w:id="639"/>
      <w:bookmarkEnd w:id="640"/>
      <w:bookmarkEnd w:id="641"/>
      <w:r w:rsidR="006903B3" w:rsidRPr="003C0E2F">
        <w:t xml:space="preserve"> </w:t>
      </w:r>
      <w:bookmarkStart w:id="644" w:name="OLE_LINK10"/>
      <w:r w:rsidR="00E90F98" w:rsidRPr="003C0E2F">
        <w:t>F11 = FP11, F18 = FP18.</w:t>
      </w:r>
      <w:bookmarkEnd w:id="642"/>
      <w:bookmarkEnd w:id="643"/>
      <w:bookmarkEnd w:id="644"/>
    </w:p>
    <w:p w14:paraId="20868B1C" w14:textId="77777777" w:rsidR="00217D9B" w:rsidRPr="003C0E2F" w:rsidRDefault="00217D9B">
      <w:pPr>
        <w:spacing w:line="259" w:lineRule="auto"/>
        <w:rPr>
          <w:rFonts w:asciiTheme="majorHAnsi" w:hAnsiTheme="majorHAnsi" w:cstheme="majorHAnsi"/>
          <w:lang w:eastAsia="en-US"/>
        </w:rPr>
      </w:pPr>
      <w:r w:rsidRPr="003C0E2F">
        <w:rPr>
          <w:rFonts w:asciiTheme="majorHAnsi" w:hAnsiTheme="majorHAnsi"/>
        </w:rPr>
        <w:br w:type="page"/>
      </w:r>
    </w:p>
    <w:p w14:paraId="25E8C730" w14:textId="5C7B4081" w:rsidR="00672E7A" w:rsidRPr="003C0E2F" w:rsidRDefault="00672E7A" w:rsidP="00672E7A">
      <w:r w:rsidRPr="003C0E2F">
        <w:lastRenderedPageBreak/>
        <w:t>However, both FP11 and FP18 had the potential to induce downstream production of IL-1β after overnight exposure. 10μM of either FP11 or FP18 caused a significant increase in IL-1β production of comparable levels to one another (</w:t>
      </w:r>
      <w:r w:rsidR="008B440A" w:rsidRPr="003C0E2F">
        <w:t>F</w:t>
      </w:r>
      <w:r w:rsidRPr="003C0E2F">
        <w:t>igure 35). This was comparable to levels produced by MPLA and double that produced in response to 100ng/</w:t>
      </w:r>
      <w:r w:rsidR="00005854" w:rsidRPr="003C0E2F">
        <w:rPr>
          <w:rFonts w:asciiTheme="majorHAnsi" w:hAnsiTheme="majorHAnsi"/>
        </w:rPr>
        <w:t xml:space="preserve">mL </w:t>
      </w:r>
      <w:r w:rsidRPr="003C0E2F">
        <w:t xml:space="preserve">LPS. These results provide further validation of previous data obtained via array which suggest that1 FP11 and FP18 can upregulate the production of </w:t>
      </w:r>
      <w:r w:rsidR="00932BC2" w:rsidRPr="003C0E2F">
        <w:t>MyD88</w:t>
      </w:r>
      <w:r w:rsidR="00A9277D" w:rsidRPr="003C0E2F">
        <w:t>-</w:t>
      </w:r>
      <w:r w:rsidR="009E0322" w:rsidRPr="003C0E2F">
        <w:t>dependent</w:t>
      </w:r>
      <w:r w:rsidRPr="003C0E2F">
        <w:t xml:space="preserve"> cytokine production.</w:t>
      </w:r>
    </w:p>
    <w:p w14:paraId="0229998C" w14:textId="77777777" w:rsidR="00672E7A" w:rsidRPr="003C0E2F" w:rsidRDefault="00672E7A" w:rsidP="00672E7A"/>
    <w:p w14:paraId="59E367F8" w14:textId="34D32831" w:rsidR="00BF5029" w:rsidRPr="003C0E2F" w:rsidRDefault="00217D9B" w:rsidP="00BF5029">
      <w:pPr>
        <w:keepNext/>
        <w:spacing w:line="259" w:lineRule="auto"/>
        <w:jc w:val="center"/>
      </w:pPr>
      <w:r w:rsidRPr="003C0E2F">
        <w:rPr>
          <w:noProof/>
        </w:rPr>
        <w:drawing>
          <wp:inline distT="0" distB="0" distL="0" distR="0" wp14:anchorId="49675038" wp14:editId="580ADDE8">
            <wp:extent cx="4925683" cy="2834640"/>
            <wp:effectExtent l="0" t="0" r="0" b="38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4"/>
                    <pic:cNvPicPr>
                      <a:picLocks noChangeAspect="1" noChangeArrowheads="1"/>
                    </pic:cNvPicPr>
                  </pic:nvPicPr>
                  <pic:blipFill rotWithShape="1">
                    <a:blip r:embed="rId94">
                      <a:extLst>
                        <a:ext uri="{28A0092B-C50C-407E-A947-70E740481C1C}">
                          <a14:useLocalDpi xmlns:a14="http://schemas.microsoft.com/office/drawing/2010/main" val="0"/>
                        </a:ext>
                      </a:extLst>
                    </a:blip>
                    <a:srcRect r="-17104"/>
                    <a:stretch/>
                  </pic:blipFill>
                  <pic:spPr bwMode="auto">
                    <a:xfrm>
                      <a:off x="0" y="0"/>
                      <a:ext cx="4925683" cy="2834640"/>
                    </a:xfrm>
                    <a:prstGeom prst="rect">
                      <a:avLst/>
                    </a:prstGeom>
                    <a:noFill/>
                    <a:ln>
                      <a:noFill/>
                    </a:ln>
                    <a:extLst>
                      <a:ext uri="{53640926-AAD7-44D8-BBD7-CCE9431645EC}">
                        <a14:shadowObscured xmlns:a14="http://schemas.microsoft.com/office/drawing/2010/main"/>
                      </a:ext>
                    </a:extLst>
                  </pic:spPr>
                </pic:pic>
              </a:graphicData>
            </a:graphic>
          </wp:inline>
        </w:drawing>
      </w:r>
    </w:p>
    <w:p w14:paraId="491286C2" w14:textId="4E739BA9" w:rsidR="008D2F1B" w:rsidRPr="003C0E2F" w:rsidRDefault="00F15793" w:rsidP="00A2094F">
      <w:pPr>
        <w:pStyle w:val="NoSpacing"/>
      </w:pPr>
      <w:bookmarkStart w:id="645" w:name="_Toc60638888"/>
      <w:bookmarkStart w:id="646" w:name="_Toc63112022"/>
      <w:bookmarkStart w:id="647" w:name="_Toc63112239"/>
      <w:bookmarkStart w:id="648" w:name="_Toc63270379"/>
      <w:bookmarkStart w:id="649" w:name="_Toc64533246"/>
      <w:bookmarkStart w:id="650" w:name="_Toc64551793"/>
      <w:bookmarkStart w:id="651" w:name="_Toc80013837"/>
      <w:r w:rsidRPr="003C0E2F">
        <w:br/>
      </w:r>
      <w:bookmarkStart w:id="652" w:name="_Toc82882976"/>
      <w:r w:rsidR="00BF5029" w:rsidRPr="003C0E2F">
        <w:t xml:space="preserve">Figure </w:t>
      </w:r>
      <w:r w:rsidR="00862981">
        <w:fldChar w:fldCharType="begin"/>
      </w:r>
      <w:r w:rsidR="00862981">
        <w:instrText xml:space="preserve"> SEQ Figure \* ARABIC </w:instrText>
      </w:r>
      <w:r w:rsidR="00862981">
        <w:fldChar w:fldCharType="separate"/>
      </w:r>
      <w:r w:rsidR="000F2276">
        <w:rPr>
          <w:noProof/>
        </w:rPr>
        <w:t>35</w:t>
      </w:r>
      <w:r w:rsidR="00862981">
        <w:rPr>
          <w:noProof/>
        </w:rPr>
        <w:fldChar w:fldCharType="end"/>
      </w:r>
      <w:r w:rsidR="00F258E4" w:rsidRPr="003C0E2F">
        <w:t xml:space="preserve">. FP11 and FP18 upregulate IL-1β production in THP-1 </w:t>
      </w:r>
      <w:r w:rsidR="008F561F" w:rsidRPr="003C0E2F">
        <w:t>macrophage</w:t>
      </w:r>
      <w:r w:rsidR="00F258E4" w:rsidRPr="003C0E2F">
        <w:t xml:space="preserve">s. THP-1 </w:t>
      </w:r>
      <w:r w:rsidR="008F561F" w:rsidRPr="003C0E2F">
        <w:t>macrophage</w:t>
      </w:r>
      <w:r w:rsidR="00F258E4" w:rsidRPr="003C0E2F">
        <w:t>s were treated with FP11 (10µM), FP18 (10µM) LPS or MPLA (100ng/ml)</w:t>
      </w:r>
      <w:r w:rsidR="00BD3E38" w:rsidRPr="003C0E2F">
        <w:t xml:space="preserve">.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w:t>
      </w:r>
      <w:proofErr w:type="gramStart"/>
      <w:r w:rsidR="00504096" w:rsidRPr="003C0E2F">
        <w:rPr>
          <w:rStyle w:val="NoSpacingChar"/>
          <w:i/>
        </w:rPr>
        <w:t xml:space="preserve">only </w:t>
      </w:r>
      <w:r w:rsidR="00BD3E38" w:rsidRPr="003C0E2F">
        <w:rPr>
          <w:rStyle w:val="NoSpacingChar"/>
          <w:i/>
        </w:rPr>
        <w:t>.</w:t>
      </w:r>
      <w:proofErr w:type="gramEnd"/>
      <w:r w:rsidR="00BD3E38" w:rsidRPr="003C0E2F">
        <w:rPr>
          <w:rStyle w:val="NoSpacingChar"/>
          <w:i/>
        </w:rPr>
        <w:t xml:space="preserve"> </w:t>
      </w:r>
      <w:r w:rsidR="00F258E4" w:rsidRPr="003C0E2F">
        <w:t xml:space="preserve"> Culture medium was collected and analysed after 18 hours via ELISA. Results are expressed as mean +/- standard deviation from three separate treatments. Significant results are shown as * = p&lt;0.05, ** = p&lt;0.01 *** = p&lt;0.001.</w:t>
      </w:r>
      <w:bookmarkEnd w:id="645"/>
      <w:bookmarkEnd w:id="646"/>
      <w:bookmarkEnd w:id="647"/>
      <w:bookmarkEnd w:id="648"/>
      <w:bookmarkEnd w:id="649"/>
      <w:bookmarkEnd w:id="650"/>
      <w:r w:rsidR="00F258E4" w:rsidRPr="003C0E2F">
        <w:t xml:space="preserve"> </w:t>
      </w:r>
      <w:r w:rsidR="00E30E30" w:rsidRPr="003C0E2F">
        <w:t>F11 = FP11, F18 = FP18.</w:t>
      </w:r>
      <w:bookmarkEnd w:id="651"/>
      <w:bookmarkEnd w:id="652"/>
    </w:p>
    <w:p w14:paraId="4A1386E0" w14:textId="2B5A7A4C" w:rsidR="006903B3" w:rsidRPr="003C0E2F" w:rsidRDefault="006903B3" w:rsidP="008D2F1B">
      <w:pPr>
        <w:pStyle w:val="NoSpacing"/>
        <w:rPr>
          <w:highlight w:val="yellow"/>
        </w:rPr>
      </w:pPr>
      <w:r w:rsidRPr="003C0E2F">
        <w:br w:type="page"/>
      </w:r>
    </w:p>
    <w:p w14:paraId="45059BF8" w14:textId="2D4587CD" w:rsidR="00D3097F" w:rsidRPr="003C0E2F" w:rsidRDefault="00D3097F" w:rsidP="00D55B0E">
      <w:pPr>
        <w:pStyle w:val="Heading3"/>
      </w:pPr>
      <w:bookmarkStart w:id="653" w:name="_Toc38543300"/>
      <w:bookmarkStart w:id="654" w:name="_Toc80013775"/>
      <w:bookmarkStart w:id="655" w:name="_Toc82882395"/>
      <w:r w:rsidRPr="003C0E2F">
        <w:lastRenderedPageBreak/>
        <w:t>Summary</w:t>
      </w:r>
      <w:bookmarkEnd w:id="653"/>
      <w:bookmarkEnd w:id="654"/>
      <w:bookmarkEnd w:id="655"/>
      <w:r w:rsidRPr="003C0E2F">
        <w:tab/>
      </w:r>
    </w:p>
    <w:p w14:paraId="4DEF2C0F" w14:textId="4E586FF7" w:rsidR="00672E7A" w:rsidRPr="003C0E2F" w:rsidRDefault="00672E7A" w:rsidP="00672E7A">
      <w:r w:rsidRPr="003C0E2F">
        <w:t xml:space="preserve">Initial screening results highlighted FP7 and FP12 as potential TLR4 antagonists of interest. FP116 had no </w:t>
      </w:r>
      <w:r w:rsidR="008F561F" w:rsidRPr="003C0E2F">
        <w:t>effect</w:t>
      </w:r>
      <w:r w:rsidRPr="003C0E2F">
        <w:t xml:space="preserve"> on LPS</w:t>
      </w:r>
      <w:r w:rsidR="000A1BFB" w:rsidRPr="003C0E2F">
        <w:t xml:space="preserve"> induced</w:t>
      </w:r>
      <w:r w:rsidRPr="003C0E2F">
        <w:t xml:space="preserve"> cytokine production. While FP10 produced some </w:t>
      </w:r>
      <w:r w:rsidR="008F561F" w:rsidRPr="003C0E2F">
        <w:t>effect</w:t>
      </w:r>
      <w:r w:rsidRPr="003C0E2F">
        <w:t xml:space="preserve"> on IL-8, this was less pronounced than FP7 and FP12 and subsequently not followed up on. FP11 worked as expected, with a significant though slightly lower agonism than 100ng/</w:t>
      </w:r>
      <w:r w:rsidR="00005854" w:rsidRPr="003C0E2F">
        <w:rPr>
          <w:rFonts w:asciiTheme="majorHAnsi" w:hAnsiTheme="majorHAnsi"/>
        </w:rPr>
        <w:t xml:space="preserve">mL </w:t>
      </w:r>
      <w:r w:rsidRPr="003C0E2F">
        <w:t xml:space="preserve">LPS whereas FP111 had no </w:t>
      </w:r>
      <w:r w:rsidR="008F561F" w:rsidRPr="003C0E2F">
        <w:t>effect</w:t>
      </w:r>
      <w:r w:rsidRPr="003C0E2F">
        <w:t>.</w:t>
      </w:r>
    </w:p>
    <w:p w14:paraId="6B7A29D1" w14:textId="1BD18C77" w:rsidR="00672E7A" w:rsidRPr="003C0E2F" w:rsidRDefault="00672E7A" w:rsidP="00672E7A">
      <w:r w:rsidRPr="003C0E2F">
        <w:t xml:space="preserve">FP7 experiments carried out in </w:t>
      </w:r>
      <w:r w:rsidR="008F561F" w:rsidRPr="003C0E2F">
        <w:t>monocyte</w:t>
      </w:r>
      <w:r w:rsidRPr="003C0E2F">
        <w:t xml:space="preserve">s and </w:t>
      </w:r>
      <w:r w:rsidR="008F561F" w:rsidRPr="003C0E2F">
        <w:t>macrophage</w:t>
      </w:r>
      <w:r w:rsidRPr="003C0E2F">
        <w:t xml:space="preserve">s further expand upon the initial screening and show that FP7 is capable downregulating a variety of proinflammatory proteins when produced in response to LPS stimulation. IL-6, </w:t>
      </w:r>
      <w:r w:rsidR="007A0F7C" w:rsidRPr="003C0E2F">
        <w:t>IL-8</w:t>
      </w:r>
      <w:r w:rsidRPr="003C0E2F">
        <w:t xml:space="preserve">, MIP-1α and iCAM-1 production were all significantly reduced following treatment with 5 µM of FP7 in THP-1 </w:t>
      </w:r>
      <w:r w:rsidR="008F561F" w:rsidRPr="003C0E2F">
        <w:t>monocyte</w:t>
      </w:r>
      <w:r w:rsidRPr="003C0E2F">
        <w:t xml:space="preserve">s. In addition, IL-6 and IL-8 were significantly downregulated following treatment with as little as 0.1-1 µM of FP7 in </w:t>
      </w:r>
      <w:r w:rsidR="008F561F" w:rsidRPr="003C0E2F">
        <w:t>macrophage</w:t>
      </w:r>
      <w:r w:rsidRPr="003C0E2F">
        <w:t>s. Further tot this, FP7 produced a reduction in LPS/TLR4</w:t>
      </w:r>
      <w:r w:rsidR="000A1BFB" w:rsidRPr="003C0E2F">
        <w:t xml:space="preserve"> induced</w:t>
      </w:r>
      <w:r w:rsidRPr="003C0E2F">
        <w:t xml:space="preserve"> </w:t>
      </w:r>
      <w:r w:rsidR="00274B79" w:rsidRPr="003C0E2F">
        <w:t xml:space="preserve">P65/NF-ΚB </w:t>
      </w:r>
      <w:r w:rsidRPr="003C0E2F">
        <w:t xml:space="preserve">and </w:t>
      </w:r>
      <w:r w:rsidR="00274B79" w:rsidRPr="003C0E2F">
        <w:t>P38</w:t>
      </w:r>
      <w:r w:rsidRPr="003C0E2F">
        <w:t xml:space="preserve"> MAPK phosphorylation in THP-1 </w:t>
      </w:r>
      <w:r w:rsidR="008F561F" w:rsidRPr="003C0E2F">
        <w:t>macrophage</w:t>
      </w:r>
      <w:r w:rsidRPr="003C0E2F">
        <w:t xml:space="preserve">s. These results provide evidence towards FP7 as an antagonist of TLR4 signalling. Further investigation into FP12 showed similar </w:t>
      </w:r>
      <w:r w:rsidR="008F561F" w:rsidRPr="003C0E2F">
        <w:t>effect</w:t>
      </w:r>
      <w:r w:rsidRPr="003C0E2F">
        <w:t xml:space="preserve">s in </w:t>
      </w:r>
      <w:r w:rsidR="008F561F" w:rsidRPr="003C0E2F">
        <w:t>monocyte</w:t>
      </w:r>
      <w:r w:rsidRPr="003C0E2F">
        <w:t xml:space="preserve">s and </w:t>
      </w:r>
      <w:r w:rsidR="008F561F" w:rsidRPr="003C0E2F">
        <w:t>macrophage</w:t>
      </w:r>
      <w:r w:rsidRPr="003C0E2F">
        <w:t>s. Additionally, both FP7 and FP12 appear to be capable of downregulating LPS</w:t>
      </w:r>
      <w:r w:rsidR="000A1BFB" w:rsidRPr="003C0E2F">
        <w:t xml:space="preserve"> induced</w:t>
      </w:r>
      <w:r w:rsidRPr="003C0E2F">
        <w:t xml:space="preserve"> cytokine production when added to medium up to half an hour after LPS exposure. Data confirmed the antagonistic properties of FP12 in response to LPS</w:t>
      </w:r>
      <w:r w:rsidR="000A1BFB" w:rsidRPr="003C0E2F">
        <w:t xml:space="preserve"> induced</w:t>
      </w:r>
      <w:r w:rsidRPr="003C0E2F">
        <w:t xml:space="preserve"> IL-6 and IL-1β production as well as NF-</w:t>
      </w:r>
      <w:proofErr w:type="spellStart"/>
      <w:r w:rsidRPr="003C0E2F">
        <w:t>κB</w:t>
      </w:r>
      <w:proofErr w:type="spellEnd"/>
      <w:r w:rsidRPr="003C0E2F">
        <w:t>. Both FP7 and FP12 can both negatively regulate LPS</w:t>
      </w:r>
      <w:r w:rsidR="000A1BFB" w:rsidRPr="003C0E2F">
        <w:t xml:space="preserve"> induced</w:t>
      </w:r>
      <w:r w:rsidRPr="003C0E2F">
        <w:t xml:space="preserve"> pro-inflammatory proteins. However, array results suggest FP7 may have a broader </w:t>
      </w:r>
      <w:r w:rsidR="008F561F" w:rsidRPr="003C0E2F">
        <w:t>effect</w:t>
      </w:r>
      <w:r w:rsidRPr="003C0E2F">
        <w:t>iveness than FP12. These therefore represent good candidates for further investigation.</w:t>
      </w:r>
    </w:p>
    <w:p w14:paraId="48A3261F" w14:textId="6ECEED60" w:rsidR="00672E7A" w:rsidRPr="003C0E2F" w:rsidRDefault="00672E7A" w:rsidP="00672E7A">
      <w:r w:rsidRPr="003C0E2F">
        <w:t xml:space="preserve">FP7 demonstrated potential to reduce TLR4 activation induced by two forms of </w:t>
      </w:r>
      <w:proofErr w:type="spellStart"/>
      <w:r w:rsidR="001A2988" w:rsidRPr="003C0E2F">
        <w:t>oxLDL</w:t>
      </w:r>
      <w:proofErr w:type="spellEnd"/>
      <w:r w:rsidRPr="003C0E2F">
        <w:t>. TLR4-</w:t>
      </w:r>
      <w:r w:rsidR="009E0322" w:rsidRPr="003C0E2F">
        <w:t>dependent</w:t>
      </w:r>
      <w:r w:rsidRPr="003C0E2F">
        <w:t xml:space="preserve"> cytokine production following </w:t>
      </w:r>
      <w:proofErr w:type="spellStart"/>
      <w:r w:rsidR="001A2988" w:rsidRPr="003C0E2F">
        <w:t>oxLDL</w:t>
      </w:r>
      <w:proofErr w:type="spellEnd"/>
      <w:r w:rsidRPr="003C0E2F">
        <w:t xml:space="preserve"> exposure was significantly reduced by FP7. This may be through downregulation of NF-</w:t>
      </w:r>
      <w:proofErr w:type="spellStart"/>
      <w:r w:rsidRPr="003C0E2F">
        <w:t>κB</w:t>
      </w:r>
      <w:proofErr w:type="spellEnd"/>
      <w:r w:rsidRPr="003C0E2F">
        <w:t xml:space="preserve"> and </w:t>
      </w:r>
      <w:r w:rsidR="00274B79" w:rsidRPr="003C0E2F">
        <w:t>P38</w:t>
      </w:r>
      <w:r w:rsidRPr="003C0E2F">
        <w:t xml:space="preserve"> pathways. This suggests that FP7 may also function as an antagonist in alternative activation of TLR4 signalling induced by ligands of sterile inflammation. </w:t>
      </w:r>
    </w:p>
    <w:p w14:paraId="59084F20" w14:textId="5A518164" w:rsidR="00D3097F" w:rsidRPr="003C0E2F" w:rsidRDefault="00672E7A" w:rsidP="00672E7A">
      <w:pPr>
        <w:rPr>
          <w:b/>
          <w:bCs/>
        </w:rPr>
      </w:pPr>
      <w:r w:rsidRPr="003C0E2F">
        <w:lastRenderedPageBreak/>
        <w:t xml:space="preserve">FP11 and FP18 were shown to upregulate a range of proinflammatory proteins in THP-1 </w:t>
      </w:r>
      <w:r w:rsidR="008F561F" w:rsidRPr="003C0E2F">
        <w:t>macrophage</w:t>
      </w:r>
      <w:r w:rsidRPr="003C0E2F">
        <w:t xml:space="preserve">s. This was further validated for </w:t>
      </w:r>
      <w:r w:rsidR="00932BC2" w:rsidRPr="003C0E2F">
        <w:t>MyD88</w:t>
      </w:r>
      <w:r w:rsidR="00725001" w:rsidRPr="003C0E2F">
        <w:t>-</w:t>
      </w:r>
      <w:r w:rsidR="009E0322" w:rsidRPr="003C0E2F">
        <w:t>dependent</w:t>
      </w:r>
      <w:r w:rsidRPr="003C0E2F">
        <w:t xml:space="preserve"> TLR4 pathways via activation of NF-</w:t>
      </w:r>
      <w:proofErr w:type="spellStart"/>
      <w:r w:rsidRPr="003C0E2F">
        <w:t>κB</w:t>
      </w:r>
      <w:proofErr w:type="spellEnd"/>
      <w:r w:rsidRPr="003C0E2F">
        <w:t xml:space="preserve"> and subsequent production of IL-1β in response to FP11 and FP18. MPLA had only a small </w:t>
      </w:r>
      <w:r w:rsidR="008F561F" w:rsidRPr="003C0E2F">
        <w:t>effect</w:t>
      </w:r>
      <w:r w:rsidRPr="003C0E2F">
        <w:t xml:space="preserve"> on proteins detected via array and FP compounds showed more similarity to the profile of LPS than to MPLA from the array data. However, ELISA showed a more comparable IL-1β response between MPLA and FP11 or FP18. These combined data show that FP11 and FP18 function as agonists of TLR4 </w:t>
      </w:r>
      <w:r w:rsidR="00932BC2" w:rsidRPr="003C0E2F">
        <w:t>MyD88</w:t>
      </w:r>
      <w:r w:rsidR="00A9277D" w:rsidRPr="003C0E2F">
        <w:t>-</w:t>
      </w:r>
      <w:r w:rsidR="009E0322" w:rsidRPr="003C0E2F">
        <w:t>dependent</w:t>
      </w:r>
      <w:r w:rsidRPr="003C0E2F">
        <w:t xml:space="preserve"> signalling in THP-1 </w:t>
      </w:r>
      <w:r w:rsidR="008F561F" w:rsidRPr="003C0E2F">
        <w:t>macrophage</w:t>
      </w:r>
      <w:r w:rsidRPr="003C0E2F">
        <w:t>s.</w:t>
      </w:r>
      <w:r w:rsidR="00D3097F" w:rsidRPr="003C0E2F">
        <w:br w:type="page"/>
      </w:r>
    </w:p>
    <w:p w14:paraId="2ED0546B" w14:textId="550E717A" w:rsidR="00D3097F" w:rsidRPr="003C0E2F" w:rsidRDefault="00D3097F" w:rsidP="00BE5236">
      <w:pPr>
        <w:pStyle w:val="Heading2"/>
      </w:pPr>
      <w:bookmarkStart w:id="656" w:name="_Toc38543301"/>
      <w:bookmarkStart w:id="657" w:name="_Toc80013776"/>
      <w:bookmarkStart w:id="658" w:name="_Toc82882396"/>
      <w:r w:rsidRPr="003C0E2F">
        <w:lastRenderedPageBreak/>
        <w:t>FP7</w:t>
      </w:r>
      <w:r w:rsidR="002E0699" w:rsidRPr="003C0E2F">
        <w:t xml:space="preserve"> </w:t>
      </w:r>
      <w:r w:rsidRPr="003C0E2F">
        <w:t>downregulate</w:t>
      </w:r>
      <w:r w:rsidR="007F0DD1" w:rsidRPr="003C0E2F">
        <w:t>s</w:t>
      </w:r>
      <w:r w:rsidRPr="003C0E2F">
        <w:t xml:space="preserve"> LPS/TLR4</w:t>
      </w:r>
      <w:r w:rsidR="00A30A55" w:rsidRPr="003C0E2F">
        <w:t>-</w:t>
      </w:r>
      <w:r w:rsidR="000A1BFB" w:rsidRPr="003C0E2F">
        <w:t>induced</w:t>
      </w:r>
      <w:r w:rsidRPr="003C0E2F">
        <w:t xml:space="preserve"> proinflammatory protein</w:t>
      </w:r>
      <w:r w:rsidR="00C01CEE" w:rsidRPr="003C0E2F">
        <w:t>s</w:t>
      </w:r>
      <w:r w:rsidRPr="003C0E2F">
        <w:t xml:space="preserve"> production in both human (THP-1) and murine (RAW264) </w:t>
      </w:r>
      <w:r w:rsidR="008F561F" w:rsidRPr="003C0E2F">
        <w:t>macrophage</w:t>
      </w:r>
      <w:r w:rsidRPr="003C0E2F">
        <w:t>s</w:t>
      </w:r>
      <w:bookmarkEnd w:id="656"/>
      <w:bookmarkEnd w:id="657"/>
      <w:bookmarkEnd w:id="658"/>
      <w:r w:rsidRPr="003C0E2F">
        <w:tab/>
      </w:r>
    </w:p>
    <w:p w14:paraId="79A88735" w14:textId="77777777" w:rsidR="00D3097F" w:rsidRPr="003C0E2F" w:rsidRDefault="00D3097F" w:rsidP="00BE5236">
      <w:bookmarkStart w:id="659" w:name="_Hlk62954590"/>
      <w:r w:rsidRPr="003C0E2F">
        <w:t xml:space="preserve">While the structure of TLR receptor complexes is relatively conserved between mammalian species, some small variations are present and can present differential activation of the receptor following exposure to TLR ligands. In this regard, some molecules which have been shown to act as antagonists of TLR4 signalling in humans may act as agonists in mice or vice versa. As mice are typically used as a representative model for human drug response, it is important to understand the comparability of this to real human responses. </w:t>
      </w:r>
    </w:p>
    <w:p w14:paraId="515802F9" w14:textId="3CAB3703" w:rsidR="00D3097F" w:rsidRPr="003C0E2F" w:rsidRDefault="007F0DD1" w:rsidP="00BE5236">
      <w:r w:rsidRPr="003C0E2F">
        <w:t>A set of experiments were carried out t</w:t>
      </w:r>
      <w:r w:rsidR="00D3097F" w:rsidRPr="003C0E2F">
        <w:t xml:space="preserve">o assess the consistency of response between human and mouse TLR4 for FP7, RAW264 cells were used to model the mouse response. </w:t>
      </w:r>
      <w:bookmarkStart w:id="660" w:name="_Hlk80823911"/>
      <w:r w:rsidR="008A3B68" w:rsidRPr="003C0E2F">
        <w:rPr>
          <w:rFonts w:asciiTheme="majorHAnsi" w:hAnsiTheme="majorHAnsi"/>
        </w:rPr>
        <w:t xml:space="preserve">Results suggest that </w:t>
      </w:r>
      <w:bookmarkEnd w:id="660"/>
      <w:r w:rsidR="00D3097F" w:rsidRPr="003C0E2F">
        <w:t xml:space="preserve">FP7 still functioned antagonistically in mouse cells </w:t>
      </w:r>
      <w:sdt>
        <w:sdtPr>
          <w:rPr>
            <w:color w:val="000000"/>
          </w:rPr>
          <w:tag w:val="MENDELEY_CITATION_v3_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"/>
          <w:id w:val="-1502044732"/>
          <w:placeholder>
            <w:docPart w:val="DefaultPlaceholder_-1854013440"/>
          </w:placeholder>
        </w:sdtPr>
        <w:sdtEndPr/>
        <w:sdtContent>
          <w:r w:rsidR="00F257B9" w:rsidRPr="00F257B9">
            <w:rPr>
              <w:rFonts w:eastAsia="Times New Roman"/>
              <w:color w:val="000000"/>
            </w:rPr>
            <w:t>(C. Palmer et al., 2018)</w:t>
          </w:r>
        </w:sdtContent>
      </w:sdt>
      <w:r w:rsidR="00D3097F" w:rsidRPr="003C0E2F">
        <w:t xml:space="preserve">. Following this initial investigation, </w:t>
      </w:r>
      <w:bookmarkStart w:id="661" w:name="_Hlk80823922"/>
      <w:r w:rsidR="008A3B68" w:rsidRPr="003C0E2F">
        <w:t>a proinflammatory protein antibody array</w:t>
      </w:r>
      <w:r w:rsidR="00D3097F" w:rsidRPr="003C0E2F">
        <w:t xml:space="preserve"> </w:t>
      </w:r>
      <w:bookmarkEnd w:id="661"/>
      <w:r w:rsidR="00D3097F" w:rsidRPr="003C0E2F">
        <w:t>was used to give an overview of the comparability of human and murine response</w:t>
      </w:r>
      <w:r w:rsidRPr="003C0E2F">
        <w:t xml:space="preserve"> in FP12 (</w:t>
      </w:r>
      <w:r w:rsidR="00E3363B" w:rsidRPr="003C0E2F">
        <w:t>Table S</w:t>
      </w:r>
      <w:r w:rsidR="00C1164D" w:rsidRPr="003C0E2F">
        <w:t>2</w:t>
      </w:r>
      <w:r w:rsidR="00E3363B" w:rsidRPr="003C0E2F">
        <w:t xml:space="preserve"> </w:t>
      </w:r>
      <w:r w:rsidR="00657A6C" w:rsidRPr="003C0E2F">
        <w:t>–</w:t>
      </w:r>
      <w:r w:rsidR="00E3363B" w:rsidRPr="003C0E2F">
        <w:t xml:space="preserve"> </w:t>
      </w:r>
      <w:r w:rsidRPr="003C0E2F">
        <w:t>Appendix</w:t>
      </w:r>
      <w:r w:rsidR="00657A6C" w:rsidRPr="003C0E2F">
        <w:t xml:space="preserve"> I</w:t>
      </w:r>
      <w:r w:rsidR="00622851" w:rsidRPr="003C0E2F">
        <w:t>V</w:t>
      </w:r>
      <w:r w:rsidRPr="003C0E2F">
        <w:t>)</w:t>
      </w:r>
      <w:r w:rsidR="00D3097F" w:rsidRPr="003C0E2F">
        <w:t>.</w:t>
      </w:r>
    </w:p>
    <w:p w14:paraId="360BA74F" w14:textId="1EDD0D1A" w:rsidR="00D3097F" w:rsidRPr="003C0E2F" w:rsidRDefault="00D3097F" w:rsidP="00BE5236">
      <w:r w:rsidRPr="003C0E2F">
        <w:t>After overnight exposure to LPS, FP7 downregulate</w:t>
      </w:r>
      <w:r w:rsidR="007F0DD1" w:rsidRPr="003C0E2F">
        <w:t>d</w:t>
      </w:r>
      <w:r w:rsidRPr="003C0E2F">
        <w:t xml:space="preserve"> LPS</w:t>
      </w:r>
      <w:r w:rsidR="000A1BFB" w:rsidRPr="003C0E2F">
        <w:t xml:space="preserve"> induced</w:t>
      </w:r>
      <w:r w:rsidR="003F460B" w:rsidRPr="003C0E2F">
        <w:t xml:space="preserve"> IL-6 and IL-8 so the </w:t>
      </w:r>
      <w:r w:rsidR="002D24C2" w:rsidRPr="003C0E2F">
        <w:t>equivalent</w:t>
      </w:r>
      <w:r w:rsidR="003F460B" w:rsidRPr="003C0E2F">
        <w:t xml:space="preserve"> measurements were carried out via ELISA in murine </w:t>
      </w:r>
      <w:r w:rsidR="008F561F" w:rsidRPr="003C0E2F">
        <w:t>macrophage</w:t>
      </w:r>
      <w:r w:rsidR="003F460B" w:rsidRPr="003C0E2F">
        <w:t>s. In this regard, IL-6 and KC were measured. KC is an analogue of IL-8 in mice.</w:t>
      </w:r>
      <w:r w:rsidRPr="003C0E2F">
        <w:t xml:space="preserve"> </w:t>
      </w:r>
      <w:r w:rsidR="003F460B" w:rsidRPr="003C0E2F">
        <w:t>Further to this, activation of NF-</w:t>
      </w:r>
      <w:proofErr w:type="spellStart"/>
      <w:r w:rsidR="003F460B" w:rsidRPr="003C0E2F">
        <w:rPr>
          <w:rFonts w:cstheme="minorHAnsi"/>
        </w:rPr>
        <w:t>κ</w:t>
      </w:r>
      <w:r w:rsidR="003F460B" w:rsidRPr="003C0E2F">
        <w:t>B</w:t>
      </w:r>
      <w:proofErr w:type="spellEnd"/>
      <w:r w:rsidR="003F460B" w:rsidRPr="003C0E2F">
        <w:t xml:space="preserve"> and </w:t>
      </w:r>
      <w:r w:rsidR="00274B79" w:rsidRPr="003C0E2F">
        <w:t>P38</w:t>
      </w:r>
      <w:r w:rsidR="003F460B" w:rsidRPr="003C0E2F">
        <w:t xml:space="preserve"> were also carried out for comparison. </w:t>
      </w:r>
      <w:r w:rsidRPr="003C0E2F">
        <w:t xml:space="preserve">These results </w:t>
      </w:r>
      <w:r w:rsidR="003F460B" w:rsidRPr="003C0E2F">
        <w:t>implied</w:t>
      </w:r>
      <w:r w:rsidRPr="003C0E2F">
        <w:t xml:space="preserve"> some comparability in antagonistic </w:t>
      </w:r>
      <w:r w:rsidR="008F561F" w:rsidRPr="003C0E2F">
        <w:t>effect</w:t>
      </w:r>
      <w:r w:rsidRPr="003C0E2F">
        <w:t xml:space="preserve">s between human and murine models, </w:t>
      </w:r>
      <w:r w:rsidR="003F460B" w:rsidRPr="003C0E2F">
        <w:t xml:space="preserve">although some differences were observed suggesting that </w:t>
      </w:r>
      <w:r w:rsidRPr="003C0E2F">
        <w:t>outcomes of studies in mice may directly represent FP7 efficacy in humans.</w:t>
      </w:r>
    </w:p>
    <w:bookmarkEnd w:id="659"/>
    <w:p w14:paraId="781E4EB9" w14:textId="56ED1360" w:rsidR="00D3097F" w:rsidRPr="003C0E2F" w:rsidRDefault="00D3097F" w:rsidP="00BE5236"/>
    <w:p w14:paraId="48FD6B97" w14:textId="0B466643" w:rsidR="007F0DD1" w:rsidRPr="003C0E2F" w:rsidRDefault="007F0DD1">
      <w:pPr>
        <w:spacing w:line="259" w:lineRule="auto"/>
      </w:pPr>
      <w:r w:rsidRPr="003C0E2F">
        <w:br w:type="page"/>
      </w:r>
    </w:p>
    <w:p w14:paraId="7AD24D24" w14:textId="0F495CD5" w:rsidR="00D3097F" w:rsidRPr="003C0E2F" w:rsidRDefault="00D3097F" w:rsidP="00D55B0E">
      <w:pPr>
        <w:pStyle w:val="Heading3"/>
      </w:pPr>
      <w:bookmarkStart w:id="662" w:name="_Toc38543302"/>
      <w:bookmarkStart w:id="663" w:name="_Toc80013777"/>
      <w:bookmarkStart w:id="664" w:name="_Toc82882397"/>
      <w:r w:rsidRPr="003C0E2F">
        <w:lastRenderedPageBreak/>
        <w:t xml:space="preserve">FP7 has no </w:t>
      </w:r>
      <w:r w:rsidR="008F561F" w:rsidRPr="003C0E2F">
        <w:t>effect</w:t>
      </w:r>
      <w:r w:rsidRPr="003C0E2F">
        <w:t xml:space="preserve"> on mouse RAW264 mouse </w:t>
      </w:r>
      <w:r w:rsidR="008F561F" w:rsidRPr="003C0E2F">
        <w:t>macrophage</w:t>
      </w:r>
      <w:r w:rsidRPr="003C0E2F">
        <w:t xml:space="preserve"> cell viability</w:t>
      </w:r>
      <w:bookmarkEnd w:id="662"/>
      <w:bookmarkEnd w:id="663"/>
      <w:bookmarkEnd w:id="664"/>
      <w:r w:rsidRPr="003C0E2F">
        <w:tab/>
      </w:r>
    </w:p>
    <w:p w14:paraId="40BA5EE7" w14:textId="7E1EBD49" w:rsidR="00D3097F" w:rsidRPr="003C0E2F" w:rsidRDefault="00672E7A" w:rsidP="00BE5236">
      <w:r w:rsidRPr="003C0E2F">
        <w:t xml:space="preserve">MTT as used to assess potential toxic </w:t>
      </w:r>
      <w:r w:rsidR="008F561F" w:rsidRPr="003C0E2F">
        <w:t>effect</w:t>
      </w:r>
      <w:r w:rsidRPr="003C0E2F">
        <w:t xml:space="preserve">s of FP7 on RAW264 cells in presence </w:t>
      </w:r>
      <w:r w:rsidR="00776480" w:rsidRPr="003C0E2F">
        <w:t>or</w:t>
      </w:r>
      <w:r w:rsidRPr="003C0E2F">
        <w:t xml:space="preserve"> absence of LPS. Assay results for RAW264 cells showed that FP7 did not affect significantly reduce cell viability at 0-10 µM concentrations (Figure 36). As such, FP7 was deemed to be suitable for use in the same range (0-10 µM) as used in THP-1 </w:t>
      </w:r>
      <w:r w:rsidR="008F561F" w:rsidRPr="003C0E2F">
        <w:t>monocyte</w:t>
      </w:r>
      <w:r w:rsidRPr="003C0E2F">
        <w:t xml:space="preserve">s and </w:t>
      </w:r>
      <w:r w:rsidR="008F561F" w:rsidRPr="003C0E2F">
        <w:t>macrophage</w:t>
      </w:r>
      <w:r w:rsidRPr="003C0E2F">
        <w:t>s.</w:t>
      </w:r>
    </w:p>
    <w:p w14:paraId="2474EB54" w14:textId="77777777" w:rsidR="00672E7A" w:rsidRPr="003C0E2F" w:rsidRDefault="00672E7A" w:rsidP="00BE5236"/>
    <w:p w14:paraId="22EC83BD" w14:textId="0DE0D662" w:rsidR="00BF5029" w:rsidRPr="003C0E2F" w:rsidRDefault="00F9328D" w:rsidP="00FB5606">
      <w:pPr>
        <w:keepNext/>
        <w:jc w:val="center"/>
      </w:pPr>
      <w:r w:rsidRPr="003C0E2F">
        <w:object w:dxaOrig="7992" w:dyaOrig="4234" w14:anchorId="4553F1B3">
          <v:shape id="_x0000_i1044" type="#_x0000_t75" style="width:417.6pt;height:3in" o:ole="">
            <v:imagedata r:id="rId95" o:title=""/>
          </v:shape>
          <o:OLEObject Type="Embed" ProgID="Prism6.Document" ShapeID="_x0000_i1044" DrawAspect="Content" ObjectID="_1701585002" r:id="rId96"/>
        </w:object>
      </w:r>
    </w:p>
    <w:p w14:paraId="1494F897" w14:textId="04326003" w:rsidR="00D3097F" w:rsidRPr="003C0E2F" w:rsidRDefault="00BF5029" w:rsidP="00A2094F">
      <w:pPr>
        <w:pStyle w:val="NoSpacing"/>
      </w:pPr>
      <w:bookmarkStart w:id="665" w:name="_Toc60638889"/>
      <w:bookmarkStart w:id="666" w:name="_Toc63112023"/>
      <w:bookmarkStart w:id="667" w:name="_Toc63112240"/>
      <w:bookmarkStart w:id="668" w:name="_Toc63270380"/>
      <w:bookmarkStart w:id="669" w:name="_Toc64533247"/>
      <w:bookmarkStart w:id="670" w:name="_Toc64551794"/>
      <w:bookmarkStart w:id="671" w:name="_Toc80013838"/>
      <w:bookmarkStart w:id="672" w:name="_Toc82882977"/>
      <w:r w:rsidRPr="003C0E2F">
        <w:t xml:space="preserve">Figure </w:t>
      </w:r>
      <w:r w:rsidR="00862981">
        <w:fldChar w:fldCharType="begin"/>
      </w:r>
      <w:r w:rsidR="00862981">
        <w:instrText xml:space="preserve"> SEQ Figure \* ARABIC </w:instrText>
      </w:r>
      <w:r w:rsidR="00862981">
        <w:fldChar w:fldCharType="separate"/>
      </w:r>
      <w:r w:rsidR="000F2276">
        <w:rPr>
          <w:noProof/>
        </w:rPr>
        <w:t>36</w:t>
      </w:r>
      <w:r w:rsidR="00862981">
        <w:rPr>
          <w:noProof/>
        </w:rPr>
        <w:fldChar w:fldCharType="end"/>
      </w:r>
      <w:r w:rsidRPr="003C0E2F">
        <w:t>.</w:t>
      </w:r>
      <w:bookmarkStart w:id="673" w:name="_Toc48514846"/>
      <w:bookmarkStart w:id="674" w:name="_Toc55583756"/>
      <w:bookmarkStart w:id="675" w:name="_Toc55584934"/>
      <w:bookmarkStart w:id="676" w:name="_Toc60584049"/>
      <w:r w:rsidR="00D3097F" w:rsidRPr="003C0E2F">
        <w:t xml:space="preserve">The </w:t>
      </w:r>
      <w:r w:rsidR="008F561F" w:rsidRPr="003C0E2F">
        <w:t>effect</w:t>
      </w:r>
      <w:r w:rsidR="00D3097F" w:rsidRPr="003C0E2F">
        <w:t xml:space="preserve"> of FP7 on RAW264 cell viability. Cells were treated with FP7 (0-20 µM) in presence (grey) and absence (black) of LPS (100ng/ml). </w:t>
      </w:r>
      <w:r w:rsidR="00A2094F" w:rsidRPr="003C0E2F">
        <w:t>C</w:t>
      </w:r>
      <w:r w:rsidR="00504096" w:rsidRPr="003C0E2F">
        <w:t>ontrol</w:t>
      </w:r>
      <w:r w:rsidR="00A2094F" w:rsidRPr="003C0E2F">
        <w:t>s (0)</w:t>
      </w:r>
      <w:r w:rsidR="00504096" w:rsidRPr="003C0E2F">
        <w:t xml:space="preserve"> w</w:t>
      </w:r>
      <w:r w:rsidR="00A2094F" w:rsidRPr="003C0E2F">
        <w:t>ere</w:t>
      </w:r>
      <w:r w:rsidR="00504096" w:rsidRPr="003C0E2F">
        <w:t xml:space="preserve"> treated with vehicle only. </w:t>
      </w:r>
      <w:r w:rsidR="00D3097F" w:rsidRPr="003C0E2F">
        <w:t>Plates were incubated overnight (18 hours) prior to addition of MTT reagent. Results are shown as mean +/- SD of 6 repeats expressed as a percentage relative to the control set. (0 µM/no drug) +/- SD of three separate treatments.  Statistical comparison between different groups was found to be non-statistically significant.</w:t>
      </w:r>
      <w:bookmarkEnd w:id="665"/>
      <w:bookmarkEnd w:id="666"/>
      <w:bookmarkEnd w:id="667"/>
      <w:bookmarkEnd w:id="668"/>
      <w:bookmarkEnd w:id="669"/>
      <w:bookmarkEnd w:id="670"/>
      <w:bookmarkEnd w:id="671"/>
      <w:bookmarkEnd w:id="672"/>
      <w:bookmarkEnd w:id="673"/>
      <w:bookmarkEnd w:id="674"/>
      <w:bookmarkEnd w:id="675"/>
      <w:bookmarkEnd w:id="676"/>
      <w:r w:rsidR="00D3097F" w:rsidRPr="003C0E2F">
        <w:br w:type="page"/>
      </w:r>
    </w:p>
    <w:p w14:paraId="321168D0" w14:textId="68B21752" w:rsidR="00D3097F" w:rsidRPr="003C0E2F" w:rsidRDefault="00D3097F" w:rsidP="00D55B0E">
      <w:pPr>
        <w:pStyle w:val="Heading3"/>
      </w:pPr>
      <w:bookmarkStart w:id="677" w:name="_Toc38543303"/>
      <w:bookmarkStart w:id="678" w:name="_Toc80013778"/>
      <w:bookmarkStart w:id="679" w:name="_Toc82882398"/>
      <w:r w:rsidRPr="003C0E2F">
        <w:lastRenderedPageBreak/>
        <w:t>FP7 negatively regulates the production of TLR4</w:t>
      </w:r>
      <w:r w:rsidR="00A9277D" w:rsidRPr="003C0E2F">
        <w:t>-</w:t>
      </w:r>
      <w:r w:rsidR="009E0322" w:rsidRPr="003C0E2F">
        <w:t>dependent</w:t>
      </w:r>
      <w:r w:rsidRPr="003C0E2F">
        <w:t xml:space="preserve"> IL-6 but not KC in RAW264 mouse </w:t>
      </w:r>
      <w:r w:rsidR="008F561F" w:rsidRPr="003C0E2F">
        <w:t>macrophage</w:t>
      </w:r>
      <w:r w:rsidRPr="003C0E2F">
        <w:t>s</w:t>
      </w:r>
      <w:bookmarkEnd w:id="677"/>
      <w:bookmarkEnd w:id="678"/>
      <w:bookmarkEnd w:id="679"/>
      <w:r w:rsidRPr="003C0E2F">
        <w:tab/>
      </w:r>
    </w:p>
    <w:p w14:paraId="183307BC" w14:textId="4FB0260E" w:rsidR="00D3097F" w:rsidRPr="003C0E2F" w:rsidRDefault="00672E7A" w:rsidP="00BE5236">
      <w:r w:rsidRPr="003C0E2F">
        <w:t xml:space="preserve">ELISA was used to investigate the </w:t>
      </w:r>
      <w:r w:rsidR="008F561F" w:rsidRPr="003C0E2F">
        <w:t>effect</w:t>
      </w:r>
      <w:r w:rsidRPr="003C0E2F">
        <w:t xml:space="preserve">s of FP7 on TLR4 signalling in mouse </w:t>
      </w:r>
      <w:r w:rsidR="008F561F" w:rsidRPr="003C0E2F">
        <w:t>macrophage</w:t>
      </w:r>
      <w:r w:rsidRPr="003C0E2F">
        <w:t xml:space="preserve">s. Measurements were made for the </w:t>
      </w:r>
      <w:r w:rsidR="008F561F" w:rsidRPr="003C0E2F">
        <w:t>effect</w:t>
      </w:r>
      <w:r w:rsidRPr="003C0E2F">
        <w:t xml:space="preserve"> of FP7 on cytokine production in medium only for</w:t>
      </w:r>
      <w:r w:rsidR="003F460B" w:rsidRPr="003C0E2F">
        <w:t xml:space="preserve"> IL-6 and</w:t>
      </w:r>
      <w:r w:rsidRPr="003C0E2F">
        <w:t xml:space="preserve"> KC (Mouse Equivalent to IL-8) (Figure 37). FP7 was shown to significantly decrease levels of TLR4</w:t>
      </w:r>
      <w:r w:rsidR="000A1BFB" w:rsidRPr="003C0E2F">
        <w:t xml:space="preserve"> induced</w:t>
      </w:r>
      <w:r w:rsidRPr="003C0E2F">
        <w:t xml:space="preserve"> IL-6 production, but not KC following stimulation upregulation by LPS (100ng/ml).</w:t>
      </w:r>
    </w:p>
    <w:p w14:paraId="3FCCF9DE" w14:textId="77777777" w:rsidR="00672E7A" w:rsidRPr="003C0E2F" w:rsidRDefault="00672E7A" w:rsidP="00BE5236"/>
    <w:p w14:paraId="5BDA7B93" w14:textId="1707AF89" w:rsidR="00BF5029" w:rsidRPr="003C0E2F" w:rsidRDefault="00455228" w:rsidP="00BF5029">
      <w:pPr>
        <w:keepNext/>
      </w:pPr>
      <w:r w:rsidRPr="003C0E2F">
        <w:object w:dxaOrig="10795" w:dyaOrig="4135" w14:anchorId="406C29AF">
          <v:shape id="_x0000_i1045" type="#_x0000_t75" style="width:454.2pt;height:172.2pt" o:ole="">
            <v:imagedata r:id="rId97" o:title=""/>
          </v:shape>
          <o:OLEObject Type="Embed" ProgID="Prism6.Document" ShapeID="_x0000_i1045" DrawAspect="Content" ObjectID="_1701585003" r:id="rId98"/>
        </w:object>
      </w:r>
    </w:p>
    <w:p w14:paraId="6F0B6317" w14:textId="65D329DA" w:rsidR="00D3097F" w:rsidRPr="003C0E2F" w:rsidRDefault="00BF5029" w:rsidP="00A2094F">
      <w:pPr>
        <w:pStyle w:val="NoSpacing"/>
      </w:pPr>
      <w:bookmarkStart w:id="680" w:name="_Toc60638890"/>
      <w:bookmarkStart w:id="681" w:name="_Toc63112024"/>
      <w:bookmarkStart w:id="682" w:name="_Toc63112241"/>
      <w:bookmarkStart w:id="683" w:name="_Toc63270381"/>
      <w:bookmarkStart w:id="684" w:name="_Toc64533248"/>
      <w:bookmarkStart w:id="685" w:name="_Toc64551795"/>
      <w:bookmarkStart w:id="686" w:name="_Toc80013839"/>
      <w:bookmarkStart w:id="687" w:name="_Toc82882978"/>
      <w:r w:rsidRPr="003C0E2F">
        <w:t xml:space="preserve">Figure </w:t>
      </w:r>
      <w:r w:rsidR="00862981">
        <w:fldChar w:fldCharType="begin"/>
      </w:r>
      <w:r w:rsidR="00862981">
        <w:instrText xml:space="preserve"> SEQ Figure \* ARABIC </w:instrText>
      </w:r>
      <w:r w:rsidR="00862981">
        <w:fldChar w:fldCharType="separate"/>
      </w:r>
      <w:r w:rsidR="000F2276">
        <w:rPr>
          <w:noProof/>
        </w:rPr>
        <w:t>37</w:t>
      </w:r>
      <w:r w:rsidR="00862981">
        <w:rPr>
          <w:noProof/>
        </w:rPr>
        <w:fldChar w:fldCharType="end"/>
      </w:r>
      <w:r w:rsidR="003273B5" w:rsidRPr="003C0E2F">
        <w:t>. The effect</w:t>
      </w:r>
      <w:bookmarkStart w:id="688" w:name="_Toc48514847"/>
      <w:bookmarkStart w:id="689" w:name="_Toc55583757"/>
      <w:bookmarkStart w:id="690" w:name="_Toc55584935"/>
      <w:bookmarkStart w:id="691" w:name="_Toc60584050"/>
      <w:r w:rsidR="00D3097F" w:rsidRPr="003C0E2F">
        <w:t xml:space="preserve"> of FP7 on KC and IL-6 production in RAW264 </w:t>
      </w:r>
      <w:r w:rsidR="008F561F" w:rsidRPr="003C0E2F">
        <w:t>macrophage</w:t>
      </w:r>
      <w:r w:rsidR="00D3097F" w:rsidRPr="003C0E2F">
        <w:t>s. Cells were cultured in full-serum medium and treated with FP7(0.1, 1, 5 and 10 µM) for 1 hour prior to LPS exposure (100ng/ml).</w:t>
      </w:r>
      <w:r w:rsidR="00BD3E38" w:rsidRPr="003C0E2F">
        <w:rPr>
          <w:rStyle w:val="NoSpacingChar"/>
          <w:i/>
        </w:rPr>
        <w:t xml:space="preserve">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w:t>
      </w:r>
      <w:proofErr w:type="gramStart"/>
      <w:r w:rsidR="00504096" w:rsidRPr="003C0E2F">
        <w:rPr>
          <w:rStyle w:val="NoSpacingChar"/>
          <w:i/>
        </w:rPr>
        <w:t xml:space="preserve">only </w:t>
      </w:r>
      <w:r w:rsidR="00BD3E38" w:rsidRPr="003C0E2F">
        <w:rPr>
          <w:rStyle w:val="NoSpacingChar"/>
          <w:i/>
        </w:rPr>
        <w:t>.</w:t>
      </w:r>
      <w:proofErr w:type="gramEnd"/>
      <w:r w:rsidR="00BD3E38" w:rsidRPr="003C0E2F">
        <w:rPr>
          <w:rStyle w:val="NoSpacingChar"/>
          <w:i/>
        </w:rPr>
        <w:t xml:space="preserve"> </w:t>
      </w:r>
      <w:r w:rsidR="00D3097F" w:rsidRPr="003C0E2F">
        <w:t xml:space="preserve">Cells were incubated overnight (18hours) before collection of culture medium. KC and IL-6 production in culture medium was measured using ELISA (Ray-Biotech, USA). Results show mean data ±SD of three </w:t>
      </w:r>
      <w:r w:rsidR="00614088" w:rsidRPr="003C0E2F">
        <w:t>in</w:t>
      </w:r>
      <w:r w:rsidR="009E0322" w:rsidRPr="003C0E2F">
        <w:t>dependent</w:t>
      </w:r>
      <w:r w:rsidR="00614088" w:rsidRPr="003C0E2F">
        <w:t xml:space="preserve"> experiments</w:t>
      </w:r>
      <w:r w:rsidR="00D3097F" w:rsidRPr="003C0E2F">
        <w:t>. Statistically significant results are indicated as *** P&lt;0.001 ** P&lt;0.01 *P&lt;0.05 for control vs LPS and LPS vs LPS+FP7 treated samples.</w:t>
      </w:r>
      <w:bookmarkEnd w:id="680"/>
      <w:bookmarkEnd w:id="681"/>
      <w:bookmarkEnd w:id="682"/>
      <w:bookmarkEnd w:id="683"/>
      <w:bookmarkEnd w:id="684"/>
      <w:bookmarkEnd w:id="685"/>
      <w:bookmarkEnd w:id="686"/>
      <w:bookmarkEnd w:id="687"/>
      <w:bookmarkEnd w:id="688"/>
      <w:bookmarkEnd w:id="689"/>
      <w:bookmarkEnd w:id="690"/>
      <w:bookmarkEnd w:id="691"/>
    </w:p>
    <w:p w14:paraId="22E5655D" w14:textId="77777777" w:rsidR="00D3097F" w:rsidRPr="003C0E2F" w:rsidRDefault="00D3097F" w:rsidP="00BE5236">
      <w:r w:rsidRPr="003C0E2F">
        <w:br w:type="page"/>
      </w:r>
    </w:p>
    <w:p w14:paraId="556E6BF0" w14:textId="4A5DF5A9" w:rsidR="00D3097F" w:rsidRPr="003C0E2F" w:rsidRDefault="00D3097F" w:rsidP="00D55B0E">
      <w:pPr>
        <w:pStyle w:val="Heading3"/>
      </w:pPr>
      <w:bookmarkStart w:id="692" w:name="_Toc38543304"/>
      <w:bookmarkStart w:id="693" w:name="_Toc80013779"/>
      <w:bookmarkStart w:id="694" w:name="_Toc82882399"/>
      <w:r w:rsidRPr="003C0E2F">
        <w:lastRenderedPageBreak/>
        <w:t xml:space="preserve">FP7 differentially modulates activation of TLR4 signalling pathways in RAW264 mouse </w:t>
      </w:r>
      <w:r w:rsidR="008F561F" w:rsidRPr="003C0E2F">
        <w:t>macrophage</w:t>
      </w:r>
      <w:r w:rsidRPr="003C0E2F">
        <w:t>s</w:t>
      </w:r>
      <w:bookmarkEnd w:id="692"/>
      <w:bookmarkEnd w:id="693"/>
      <w:bookmarkEnd w:id="694"/>
      <w:r w:rsidRPr="003C0E2F">
        <w:tab/>
      </w:r>
    </w:p>
    <w:p w14:paraId="0ABBE8F1" w14:textId="5D93B717" w:rsidR="00672E7A" w:rsidRPr="003C0E2F" w:rsidRDefault="00672E7A" w:rsidP="00672E7A">
      <w:r w:rsidRPr="003C0E2F">
        <w:t xml:space="preserve">Intracellular signalling following TLR4 activation is facilitated by a series of protein-protein interactions which result in activation of </w:t>
      </w:r>
      <w:r w:rsidR="00623C8F" w:rsidRPr="003C0E2F">
        <w:t>signalling mediators</w:t>
      </w:r>
      <w:r w:rsidRPr="003C0E2F">
        <w:t xml:space="preserve">. To determine the mechanism by which activation is inhibited following FP7 exposure </w:t>
      </w:r>
      <w:r w:rsidR="00030A76" w:rsidRPr="003C0E2F">
        <w:rPr>
          <w:rFonts w:asciiTheme="majorHAnsi" w:hAnsiTheme="majorHAnsi"/>
        </w:rPr>
        <w:t>Western</w:t>
      </w:r>
      <w:r w:rsidRPr="003C0E2F">
        <w:t xml:space="preserve"> blot analysis was used. Investigation was carried out on cell lysates collected after 15 mins – 1 hour of ligand exposure.</w:t>
      </w:r>
    </w:p>
    <w:p w14:paraId="53DE1541" w14:textId="77777777" w:rsidR="002E0699" w:rsidRPr="003C0E2F" w:rsidRDefault="002E0699" w:rsidP="00672E7A"/>
    <w:p w14:paraId="36B0A4EC" w14:textId="7AF2F0AB" w:rsidR="00BF5029" w:rsidRPr="003C0E2F" w:rsidRDefault="00E30E30" w:rsidP="00672E7A">
      <w:r w:rsidRPr="003C0E2F">
        <w:object w:dxaOrig="11177" w:dyaOrig="5057" w14:anchorId="45119F52">
          <v:shape id="_x0000_i1046" type="#_x0000_t75" style="width:453.6pt;height:201.6pt" o:ole="">
            <v:imagedata r:id="rId99" o:title=""/>
          </v:shape>
          <o:OLEObject Type="Embed" ProgID="Prism6.Document" ShapeID="_x0000_i1046" DrawAspect="Content" ObjectID="_1701585004" r:id="rId100"/>
        </w:object>
      </w:r>
    </w:p>
    <w:p w14:paraId="4431B3DE" w14:textId="54EC1DB1" w:rsidR="00EE17F5" w:rsidRPr="003C0E2F" w:rsidRDefault="00BF5029" w:rsidP="00A2094F">
      <w:pPr>
        <w:pStyle w:val="NoSpacing"/>
      </w:pPr>
      <w:bookmarkStart w:id="695" w:name="_Toc60638891"/>
      <w:bookmarkStart w:id="696" w:name="_Toc63112025"/>
      <w:bookmarkStart w:id="697" w:name="_Toc63112242"/>
      <w:bookmarkStart w:id="698" w:name="_Toc63270382"/>
      <w:bookmarkStart w:id="699" w:name="_Toc64533249"/>
      <w:bookmarkStart w:id="700" w:name="_Toc64551796"/>
      <w:bookmarkStart w:id="701" w:name="_Toc80013840"/>
      <w:bookmarkStart w:id="702" w:name="_Toc82882979"/>
      <w:r w:rsidRPr="003C0E2F">
        <w:t xml:space="preserve">Figure </w:t>
      </w:r>
      <w:r w:rsidR="00862981">
        <w:fldChar w:fldCharType="begin"/>
      </w:r>
      <w:r w:rsidR="00862981">
        <w:instrText xml:space="preserve"> SEQ Figure \* ARABIC </w:instrText>
      </w:r>
      <w:r w:rsidR="00862981">
        <w:fldChar w:fldCharType="separate"/>
      </w:r>
      <w:r w:rsidR="000F2276">
        <w:rPr>
          <w:noProof/>
        </w:rPr>
        <w:t>38</w:t>
      </w:r>
      <w:r w:rsidR="00862981">
        <w:rPr>
          <w:noProof/>
        </w:rPr>
        <w:fldChar w:fldCharType="end"/>
      </w:r>
      <w:r w:rsidR="003273B5" w:rsidRPr="003C0E2F">
        <w:t>. The effect</w:t>
      </w:r>
      <w:bookmarkStart w:id="703" w:name="_Toc48514848"/>
      <w:bookmarkStart w:id="704" w:name="_Toc55583758"/>
      <w:bookmarkStart w:id="705" w:name="_Toc55584936"/>
      <w:bookmarkStart w:id="706" w:name="_Toc60584051"/>
      <w:r w:rsidR="00EE17F5" w:rsidRPr="003C0E2F">
        <w:t xml:space="preserve"> of FP7 on LPS</w:t>
      </w:r>
      <w:r w:rsidR="000A1BFB" w:rsidRPr="003C0E2F">
        <w:t xml:space="preserve"> induced</w:t>
      </w:r>
      <w:r w:rsidR="00EE17F5" w:rsidRPr="003C0E2F">
        <w:t xml:space="preserve"> </w:t>
      </w:r>
      <w:r w:rsidR="00274B79" w:rsidRPr="003C0E2F">
        <w:t>P38</w:t>
      </w:r>
      <w:r w:rsidR="007A74C2" w:rsidRPr="003C0E2F">
        <w:t xml:space="preserve"> MAPK</w:t>
      </w:r>
      <w:r w:rsidR="00EE17F5" w:rsidRPr="003C0E2F">
        <w:t xml:space="preserve"> (A) and NF</w:t>
      </w:r>
      <w:r w:rsidR="00551079" w:rsidRPr="003C0E2F">
        <w:t>-</w:t>
      </w:r>
      <w:proofErr w:type="spellStart"/>
      <w:r w:rsidR="00EE17F5" w:rsidRPr="003C0E2F">
        <w:t>κB</w:t>
      </w:r>
      <w:proofErr w:type="spellEnd"/>
      <w:r w:rsidR="00EE17F5" w:rsidRPr="003C0E2F">
        <w:t xml:space="preserve"> (B)</w:t>
      </w:r>
      <w:r w:rsidR="00F9328D" w:rsidRPr="003C0E2F">
        <w:t xml:space="preserve"> </w:t>
      </w:r>
      <w:r w:rsidR="00EE17F5" w:rsidRPr="003C0E2F">
        <w:t xml:space="preserve">activation in RAW264 </w:t>
      </w:r>
      <w:r w:rsidR="008F561F" w:rsidRPr="003C0E2F">
        <w:t>macrophage</w:t>
      </w:r>
      <w:r w:rsidR="00EE17F5" w:rsidRPr="003C0E2F">
        <w:t xml:space="preserve">s. Raw264 cells (mouse </w:t>
      </w:r>
      <w:r w:rsidR="008F561F" w:rsidRPr="003C0E2F">
        <w:t>macrophage</w:t>
      </w:r>
      <w:r w:rsidR="00EE17F5" w:rsidRPr="003C0E2F">
        <w:t>s) were pre-treated with FP7 (0.1, 1, 5 and 10 µM) for 1 hour, prior to exposure to LPS (100 ng/ml).</w:t>
      </w:r>
      <w:r w:rsidR="00BD3E38" w:rsidRPr="003C0E2F">
        <w:rPr>
          <w:rStyle w:val="NoSpacingChar"/>
          <w:i/>
        </w:rPr>
        <w:t xml:space="preserve"> </w:t>
      </w:r>
      <w:r w:rsidR="00504096" w:rsidRPr="003C0E2F">
        <w:rPr>
          <w:rStyle w:val="NoSpacingChar"/>
          <w:i/>
        </w:rPr>
        <w:t xml:space="preserve">Untreated control </w:t>
      </w:r>
      <w:r w:rsidR="00A2094F" w:rsidRPr="003C0E2F">
        <w:rPr>
          <w:rStyle w:val="NoSpacingChar"/>
          <w:i/>
        </w:rPr>
        <w:t>(-)</w:t>
      </w:r>
      <w:r w:rsidR="00504096" w:rsidRPr="003C0E2F">
        <w:rPr>
          <w:rStyle w:val="NoSpacingChar"/>
          <w:i/>
        </w:rPr>
        <w:t xml:space="preserve"> is with vehicle </w:t>
      </w:r>
      <w:proofErr w:type="gramStart"/>
      <w:r w:rsidR="00504096" w:rsidRPr="003C0E2F">
        <w:rPr>
          <w:rStyle w:val="NoSpacingChar"/>
          <w:i/>
        </w:rPr>
        <w:t xml:space="preserve">only </w:t>
      </w:r>
      <w:r w:rsidR="00BD3E38" w:rsidRPr="003C0E2F">
        <w:rPr>
          <w:rStyle w:val="NoSpacingChar"/>
          <w:i/>
        </w:rPr>
        <w:t>.</w:t>
      </w:r>
      <w:proofErr w:type="gramEnd"/>
      <w:r w:rsidR="00BD3E38" w:rsidRPr="003C0E2F">
        <w:rPr>
          <w:rStyle w:val="NoSpacingChar"/>
          <w:i/>
        </w:rPr>
        <w:t xml:space="preserve"> </w:t>
      </w:r>
      <w:r w:rsidR="00EE17F5" w:rsidRPr="003C0E2F">
        <w:t xml:space="preserve">Cell lysates were collected after 15 minutes and processed. 20 µg protein was used for </w:t>
      </w:r>
      <w:r w:rsidR="00030A76" w:rsidRPr="003C0E2F">
        <w:t>Western</w:t>
      </w:r>
      <w:r w:rsidR="00EE17F5" w:rsidRPr="003C0E2F">
        <w:t xml:space="preserve"> blot analysis of </w:t>
      </w:r>
      <w:r w:rsidR="00F9328D" w:rsidRPr="003C0E2F">
        <w:t xml:space="preserve">p-p65/NF- </w:t>
      </w:r>
      <w:proofErr w:type="spellStart"/>
      <w:r w:rsidR="00F9328D" w:rsidRPr="003C0E2F">
        <w:t>κB</w:t>
      </w:r>
      <w:proofErr w:type="spellEnd"/>
      <w:r w:rsidR="00F9328D" w:rsidRPr="003C0E2F">
        <w:t xml:space="preserve"> or </w:t>
      </w:r>
      <w:r w:rsidR="00274B79" w:rsidRPr="003C0E2F">
        <w:t>P38</w:t>
      </w:r>
      <w:r w:rsidR="007A74C2" w:rsidRPr="003C0E2F">
        <w:t xml:space="preserve"> MAPK</w:t>
      </w:r>
      <w:r w:rsidR="00EE17F5" w:rsidRPr="003C0E2F">
        <w:t xml:space="preserve"> phosphorylation. Samples are normalised to </w:t>
      </w:r>
      <w:r w:rsidR="00A26C9B" w:rsidRPr="003C0E2F">
        <w:t>β</w:t>
      </w:r>
      <w:r w:rsidR="00EE17F5" w:rsidRPr="003C0E2F">
        <w:t>-Actin and displayed as mean +/- SD. Statistically significant results are indicated as *** P&lt;0.001 ** P&lt;0.01 *P&lt;0.05 for control vs LPS and LPS vs LPS+FP7 treated samples.</w:t>
      </w:r>
      <w:bookmarkEnd w:id="695"/>
      <w:bookmarkEnd w:id="696"/>
      <w:bookmarkEnd w:id="697"/>
      <w:bookmarkEnd w:id="698"/>
      <w:bookmarkEnd w:id="699"/>
      <w:bookmarkEnd w:id="700"/>
      <w:bookmarkEnd w:id="701"/>
      <w:bookmarkEnd w:id="702"/>
      <w:bookmarkEnd w:id="703"/>
      <w:bookmarkEnd w:id="704"/>
      <w:bookmarkEnd w:id="705"/>
      <w:bookmarkEnd w:id="706"/>
    </w:p>
    <w:p w14:paraId="266AB9D4" w14:textId="77777777" w:rsidR="00EE17F5" w:rsidRPr="003C0E2F" w:rsidRDefault="00EE17F5" w:rsidP="00E959C5">
      <w:pPr>
        <w:pStyle w:val="NoSpacing"/>
        <w:rPr>
          <w:noProof/>
        </w:rPr>
      </w:pPr>
    </w:p>
    <w:p w14:paraId="2CDAA69C" w14:textId="77777777" w:rsidR="002E0699" w:rsidRPr="003C0E2F" w:rsidRDefault="002E0699">
      <w:pPr>
        <w:spacing w:line="259" w:lineRule="auto"/>
      </w:pPr>
      <w:r w:rsidRPr="003C0E2F">
        <w:br w:type="page"/>
      </w:r>
    </w:p>
    <w:p w14:paraId="16185D34" w14:textId="78AF6DE9" w:rsidR="00672E7A" w:rsidRPr="003C0E2F" w:rsidRDefault="00672E7A" w:rsidP="00672E7A">
      <w:r w:rsidRPr="003C0E2F">
        <w:lastRenderedPageBreak/>
        <w:t xml:space="preserve">Analysis after 15 minutes of LPS treatment FP7 was shown to significantly reduce </w:t>
      </w:r>
      <w:r w:rsidR="00274B79" w:rsidRPr="003C0E2F">
        <w:t>P38</w:t>
      </w:r>
      <w:r w:rsidRPr="003C0E2F">
        <w:t xml:space="preserve"> MAPK phosphorylation in a dose-</w:t>
      </w:r>
      <w:r w:rsidR="007A7EEE" w:rsidRPr="003C0E2F">
        <w:t>dependent</w:t>
      </w:r>
      <w:r w:rsidRPr="003C0E2F">
        <w:t xml:space="preserve"> manner (Figure 38</w:t>
      </w:r>
      <w:r w:rsidR="00D87DF9" w:rsidRPr="003C0E2F">
        <w:t>A</w:t>
      </w:r>
      <w:r w:rsidRPr="003C0E2F">
        <w:t xml:space="preserve">). A significant reduction was seen from 1 µM treatment of FP7 and 10 µM treatment resulted in a reduction to levels comparable to the control. </w:t>
      </w:r>
    </w:p>
    <w:p w14:paraId="3FBC58FA" w14:textId="0294E1AF" w:rsidR="00672E7A" w:rsidRPr="003C0E2F" w:rsidRDefault="00672E7A" w:rsidP="00672E7A">
      <w:r w:rsidRPr="003C0E2F">
        <w:t xml:space="preserve">Further to this, </w:t>
      </w:r>
      <w:r w:rsidR="00274B79" w:rsidRPr="003C0E2F">
        <w:t>p</w:t>
      </w:r>
      <w:r w:rsidRPr="003C0E2F">
        <w:t>65</w:t>
      </w:r>
      <w:r w:rsidR="00274B79" w:rsidRPr="003C0E2F">
        <w:t>/N</w:t>
      </w:r>
      <w:r w:rsidRPr="003C0E2F">
        <w:t>F-</w:t>
      </w:r>
      <w:proofErr w:type="spellStart"/>
      <w:r w:rsidRPr="003C0E2F">
        <w:t>κB</w:t>
      </w:r>
      <w:proofErr w:type="spellEnd"/>
      <w:r w:rsidRPr="003C0E2F">
        <w:t xml:space="preserve"> phosphorylation was supressed in a similar manner to following treatment. A significant reduction was seen in LPS</w:t>
      </w:r>
      <w:r w:rsidR="000A1BFB" w:rsidRPr="003C0E2F">
        <w:t xml:space="preserve"> induced</w:t>
      </w:r>
      <w:r w:rsidRPr="003C0E2F">
        <w:t xml:space="preserve"> phosphorylation at 1 µM, reaching levels comparable to the control at 5 µM and 10 µM (Figure 38</w:t>
      </w:r>
      <w:r w:rsidR="00D87DF9" w:rsidRPr="003C0E2F">
        <w:t>B</w:t>
      </w:r>
      <w:r w:rsidRPr="003C0E2F">
        <w:t>).</w:t>
      </w:r>
    </w:p>
    <w:p w14:paraId="5F5E8B61" w14:textId="7CCAB18C" w:rsidR="00672E7A" w:rsidRPr="003C0E2F" w:rsidRDefault="00E30E30" w:rsidP="00672E7A">
      <w:r w:rsidRPr="003C0E2F">
        <w:object w:dxaOrig="11174" w:dyaOrig="5151" w14:anchorId="2EED4436">
          <v:shape id="_x0000_i1047" type="#_x0000_t75" style="width:453.6pt;height:208.8pt" o:ole="">
            <v:imagedata r:id="rId101" o:title=""/>
          </v:shape>
          <o:OLEObject Type="Embed" ProgID="Prism6.Document" ShapeID="_x0000_i1047" DrawAspect="Content" ObjectID="_1701585005" r:id="rId102"/>
        </w:object>
      </w:r>
    </w:p>
    <w:p w14:paraId="4915F82E" w14:textId="2E6AE71D" w:rsidR="00672E7A" w:rsidRPr="003C0E2F" w:rsidRDefault="00672E7A" w:rsidP="00A2094F">
      <w:pPr>
        <w:pStyle w:val="NoSpacing"/>
      </w:pPr>
      <w:bookmarkStart w:id="707" w:name="_Toc60638892"/>
      <w:bookmarkStart w:id="708" w:name="_Toc63112026"/>
      <w:bookmarkStart w:id="709" w:name="_Toc63112243"/>
      <w:bookmarkStart w:id="710" w:name="_Toc63270383"/>
      <w:bookmarkStart w:id="711" w:name="_Toc64533250"/>
      <w:bookmarkStart w:id="712" w:name="_Toc64551797"/>
      <w:bookmarkStart w:id="713" w:name="_Toc80013841"/>
      <w:bookmarkStart w:id="714" w:name="_Toc82882980"/>
      <w:r w:rsidRPr="003C0E2F">
        <w:t xml:space="preserve">Figure </w:t>
      </w:r>
      <w:r w:rsidR="00862981">
        <w:fldChar w:fldCharType="begin"/>
      </w:r>
      <w:r w:rsidR="00862981">
        <w:instrText xml:space="preserve"> SEQ Figure \* ARABIC </w:instrText>
      </w:r>
      <w:r w:rsidR="00862981">
        <w:fldChar w:fldCharType="separate"/>
      </w:r>
      <w:r w:rsidR="000F2276">
        <w:rPr>
          <w:noProof/>
        </w:rPr>
        <w:t>39</w:t>
      </w:r>
      <w:r w:rsidR="00862981">
        <w:rPr>
          <w:noProof/>
        </w:rPr>
        <w:fldChar w:fldCharType="end"/>
      </w:r>
      <w:bookmarkStart w:id="715" w:name="_Toc48514849"/>
      <w:bookmarkStart w:id="716" w:name="_Toc55583759"/>
      <w:bookmarkStart w:id="717" w:name="_Toc55584937"/>
      <w:bookmarkStart w:id="718" w:name="_Toc60584052"/>
      <w:r w:rsidR="003273B5" w:rsidRPr="003C0E2F">
        <w:t>. The effect</w:t>
      </w:r>
      <w:r w:rsidRPr="003C0E2F">
        <w:t xml:space="preserve"> of FP7 on LPS</w:t>
      </w:r>
      <w:r w:rsidR="000A1BFB" w:rsidRPr="003C0E2F">
        <w:t xml:space="preserve"> induced</w:t>
      </w:r>
      <w:r w:rsidRPr="003C0E2F">
        <w:t xml:space="preserve"> ERK (A) and JNK (B) activation in RAW264 </w:t>
      </w:r>
      <w:r w:rsidR="00395C63" w:rsidRPr="003C0E2F">
        <w:t>m</w:t>
      </w:r>
      <w:r w:rsidR="008F561F" w:rsidRPr="003C0E2F">
        <w:t>acrophage</w:t>
      </w:r>
      <w:r w:rsidRPr="003C0E2F">
        <w:t xml:space="preserve">s. Raw264 cells (mouse </w:t>
      </w:r>
      <w:r w:rsidR="008F561F" w:rsidRPr="003C0E2F">
        <w:t>macrophage</w:t>
      </w:r>
      <w:r w:rsidRPr="003C0E2F">
        <w:t>s) were pre-treated with FP7 (0.1, 1, 5 and 10 µM) for 1 hour, prior to exposure to LPS (100ng/ml)</w:t>
      </w:r>
      <w:r w:rsidR="00BD3E38" w:rsidRPr="003C0E2F">
        <w:t xml:space="preserve">. </w:t>
      </w:r>
      <w:r w:rsidR="00504096" w:rsidRPr="003C0E2F">
        <w:t xml:space="preserve">Untreated control </w:t>
      </w:r>
      <w:r w:rsidR="00A2094F" w:rsidRPr="003C0E2F">
        <w:t>(-)</w:t>
      </w:r>
      <w:r w:rsidR="00504096" w:rsidRPr="003C0E2F">
        <w:t xml:space="preserve"> is with vehicle </w:t>
      </w:r>
      <w:proofErr w:type="gramStart"/>
      <w:r w:rsidR="00504096" w:rsidRPr="003C0E2F">
        <w:t xml:space="preserve">only </w:t>
      </w:r>
      <w:r w:rsidR="00BD3E38" w:rsidRPr="003C0E2F">
        <w:t>.</w:t>
      </w:r>
      <w:proofErr w:type="gramEnd"/>
      <w:r w:rsidR="00BD3E38" w:rsidRPr="003C0E2F">
        <w:t xml:space="preserve"> </w:t>
      </w:r>
      <w:r w:rsidRPr="003C0E2F">
        <w:t xml:space="preserve">Cell lysates were collected after 60 minutes and processed. 20 µg protein was used for </w:t>
      </w:r>
      <w:r w:rsidR="00030A76" w:rsidRPr="003C0E2F">
        <w:t>Western</w:t>
      </w:r>
      <w:r w:rsidRPr="003C0E2F">
        <w:t xml:space="preserve"> blot analysis of </w:t>
      </w:r>
      <w:r w:rsidR="00F9328D" w:rsidRPr="003C0E2F">
        <w:t xml:space="preserve">JNK </w:t>
      </w:r>
      <w:r w:rsidRPr="003C0E2F">
        <w:t>and ERK phosphorylation</w:t>
      </w:r>
      <w:r w:rsidR="00455228" w:rsidRPr="003C0E2F">
        <w:t xml:space="preserve"> using the same membrane</w:t>
      </w:r>
      <w:r w:rsidRPr="003C0E2F">
        <w:t>. Each treatment is displayed as mean +/- SD. Statistically significant results are indicated as *** P&lt;0.001 ** P&lt;0.01 *P&lt;0.05 for control vs LPS and LPS vs LPS+FP7 treated samples.</w:t>
      </w:r>
      <w:bookmarkEnd w:id="707"/>
      <w:bookmarkEnd w:id="708"/>
      <w:bookmarkEnd w:id="709"/>
      <w:bookmarkEnd w:id="710"/>
      <w:bookmarkEnd w:id="711"/>
      <w:bookmarkEnd w:id="712"/>
      <w:bookmarkEnd w:id="713"/>
      <w:bookmarkEnd w:id="714"/>
      <w:bookmarkEnd w:id="715"/>
      <w:bookmarkEnd w:id="716"/>
      <w:bookmarkEnd w:id="717"/>
      <w:bookmarkEnd w:id="718"/>
    </w:p>
    <w:p w14:paraId="03FBD854" w14:textId="77777777" w:rsidR="00672E7A" w:rsidRPr="003C0E2F" w:rsidRDefault="00672E7A" w:rsidP="00672E7A">
      <w:pPr>
        <w:pStyle w:val="NoSpacing"/>
      </w:pPr>
    </w:p>
    <w:p w14:paraId="302B7223" w14:textId="77777777" w:rsidR="003F460B" w:rsidRPr="003C0E2F" w:rsidRDefault="003F460B">
      <w:pPr>
        <w:spacing w:line="259" w:lineRule="auto"/>
      </w:pPr>
      <w:r w:rsidRPr="003C0E2F">
        <w:br w:type="page"/>
      </w:r>
    </w:p>
    <w:p w14:paraId="6E23B015" w14:textId="2702CAAB" w:rsidR="00672E7A" w:rsidRPr="003C0E2F" w:rsidRDefault="00672E7A" w:rsidP="00672E7A">
      <w:r w:rsidRPr="003C0E2F">
        <w:lastRenderedPageBreak/>
        <w:t>FP7 was shown to negatively regulate phosphorylation of NF-</w:t>
      </w:r>
      <w:proofErr w:type="spellStart"/>
      <w:r w:rsidRPr="003C0E2F">
        <w:t>κB</w:t>
      </w:r>
      <w:proofErr w:type="spellEnd"/>
      <w:r w:rsidRPr="003C0E2F">
        <w:t xml:space="preserve"> and </w:t>
      </w:r>
      <w:r w:rsidR="00274B79" w:rsidRPr="003C0E2F">
        <w:t>P38</w:t>
      </w:r>
      <w:r w:rsidRPr="003C0E2F">
        <w:t xml:space="preserve"> MAPK in RAW264 cells, but not ERK or JNK (Figure 39). LPS treatment resulted in a significant increase in ERK phosphorylation, but no significant decrease was seen in FP7 treated samples. No significant </w:t>
      </w:r>
      <w:r w:rsidR="008F561F" w:rsidRPr="003C0E2F">
        <w:t>effect</w:t>
      </w:r>
      <w:r w:rsidRPr="003C0E2F">
        <w:t xml:space="preserve"> was seen in SAPK following LPS stimulation. These results demonstrated that FP7 can differentially affect the activation of </w:t>
      </w:r>
      <w:r w:rsidR="00623C8F" w:rsidRPr="003C0E2F">
        <w:t>signalling mediators</w:t>
      </w:r>
      <w:r w:rsidRPr="003C0E2F">
        <w:t xml:space="preserve"> in mouse LPS/TLR4 signalling.</w:t>
      </w:r>
    </w:p>
    <w:p w14:paraId="74B19116" w14:textId="77777777" w:rsidR="00672E7A" w:rsidRPr="003C0E2F" w:rsidRDefault="00672E7A">
      <w:pPr>
        <w:spacing w:line="259" w:lineRule="auto"/>
      </w:pPr>
      <w:r w:rsidRPr="003C0E2F">
        <w:br w:type="page"/>
      </w:r>
    </w:p>
    <w:p w14:paraId="5AEF4A0D" w14:textId="77777777" w:rsidR="00D3097F" w:rsidRPr="003C0E2F" w:rsidRDefault="00D3097F" w:rsidP="00D55B0E">
      <w:pPr>
        <w:pStyle w:val="Heading3"/>
      </w:pPr>
      <w:bookmarkStart w:id="719" w:name="_Toc38543305"/>
      <w:bookmarkStart w:id="720" w:name="_Toc80013780"/>
      <w:bookmarkStart w:id="721" w:name="_Toc82882400"/>
      <w:r w:rsidRPr="003C0E2F">
        <w:lastRenderedPageBreak/>
        <w:t>Summary</w:t>
      </w:r>
      <w:bookmarkEnd w:id="719"/>
      <w:bookmarkEnd w:id="720"/>
      <w:bookmarkEnd w:id="721"/>
      <w:r w:rsidRPr="003C0E2F">
        <w:tab/>
      </w:r>
    </w:p>
    <w:p w14:paraId="44C714A5" w14:textId="17CD2FA5" w:rsidR="00D3097F" w:rsidRPr="003C0E2F" w:rsidRDefault="00D3097F" w:rsidP="00672E7A">
      <w:r w:rsidRPr="003C0E2F">
        <w:t>Cross species comparison data suggests some antagonism across human and mouse TLR4. Results of RAW264 cell studies demonstrate that FP7 can reduce TLR4</w:t>
      </w:r>
      <w:r w:rsidR="000A1BFB" w:rsidRPr="003C0E2F">
        <w:t xml:space="preserve"> induced</w:t>
      </w:r>
      <w:r w:rsidRPr="003C0E2F">
        <w:t xml:space="preserve"> proinflammatory signalling in a murine cell line.</w:t>
      </w:r>
      <w:r w:rsidR="00A86D01" w:rsidRPr="003C0E2F">
        <w:t xml:space="preserve"> </w:t>
      </w:r>
      <w:r w:rsidRPr="003C0E2F">
        <w:t>This was shown to be through inhibition of TLR4</w:t>
      </w:r>
      <w:r w:rsidR="00A9277D" w:rsidRPr="003C0E2F">
        <w:t>-</w:t>
      </w:r>
      <w:r w:rsidR="009E0322" w:rsidRPr="003C0E2F">
        <w:t>dependent</w:t>
      </w:r>
      <w:r w:rsidRPr="003C0E2F">
        <w:t xml:space="preserve"> </w:t>
      </w:r>
      <w:r w:rsidR="007A74C2" w:rsidRPr="003C0E2F">
        <w:t>NF-</w:t>
      </w:r>
      <w:proofErr w:type="spellStart"/>
      <w:r w:rsidR="007A74C2" w:rsidRPr="003C0E2F">
        <w:t>κB</w:t>
      </w:r>
      <w:proofErr w:type="spellEnd"/>
      <w:r w:rsidRPr="003C0E2F">
        <w:t xml:space="preserve"> and </w:t>
      </w:r>
      <w:r w:rsidR="00274B79" w:rsidRPr="003C0E2F">
        <w:t>P38</w:t>
      </w:r>
      <w:r w:rsidR="007A74C2" w:rsidRPr="003C0E2F">
        <w:t xml:space="preserve"> MAPK</w:t>
      </w:r>
      <w:r w:rsidRPr="003C0E2F">
        <w:t xml:space="preserve"> pathways, as seen in THP-1 cells, but not ERK or JNK</w:t>
      </w:r>
      <w:r w:rsidR="002D72F2" w:rsidRPr="003C0E2F">
        <w:t xml:space="preserve"> pathways</w:t>
      </w:r>
      <w:r w:rsidRPr="003C0E2F">
        <w:t>. This suggests that FP7 can function as an antagonist to both human and mouse TLR4.</w:t>
      </w:r>
    </w:p>
    <w:p w14:paraId="246FC5A6" w14:textId="77777777" w:rsidR="00D3097F" w:rsidRPr="003C0E2F" w:rsidRDefault="00D3097F" w:rsidP="00BE5236">
      <w:r w:rsidRPr="003C0E2F">
        <w:br w:type="page"/>
      </w:r>
    </w:p>
    <w:p w14:paraId="6EFE449F" w14:textId="4C8F82D1" w:rsidR="00D3097F" w:rsidRPr="003C0E2F" w:rsidRDefault="00D3097F" w:rsidP="00BE5236">
      <w:pPr>
        <w:pStyle w:val="Heading2"/>
      </w:pPr>
      <w:bookmarkStart w:id="722" w:name="_Toc38543306"/>
      <w:bookmarkStart w:id="723" w:name="_Toc80013781"/>
      <w:bookmarkStart w:id="724" w:name="_Toc82882401"/>
      <w:r w:rsidRPr="003C0E2F">
        <w:lastRenderedPageBreak/>
        <w:t>FP synthetic glycolipids can modulate TRIF-</w:t>
      </w:r>
      <w:r w:rsidR="009E0322" w:rsidRPr="003C0E2F">
        <w:t>dependent</w:t>
      </w:r>
      <w:r w:rsidRPr="003C0E2F">
        <w:t xml:space="preserve"> TLR4 signalling in THP-1 </w:t>
      </w:r>
      <w:r w:rsidR="008F561F" w:rsidRPr="003C0E2F">
        <w:t>macrophage</w:t>
      </w:r>
      <w:r w:rsidRPr="003C0E2F">
        <w:t>s</w:t>
      </w:r>
      <w:bookmarkEnd w:id="722"/>
      <w:bookmarkEnd w:id="723"/>
      <w:bookmarkEnd w:id="724"/>
    </w:p>
    <w:p w14:paraId="0CFC8FBC" w14:textId="3B0BF292" w:rsidR="00672E7A" w:rsidRPr="003C0E2F" w:rsidRDefault="00672E7A" w:rsidP="00672E7A">
      <w:r w:rsidRPr="003C0E2F">
        <w:t>FP7 and FP12 have previously been shown to downregulate TLR4 associated signalling</w:t>
      </w:r>
      <w:r w:rsidR="003F53BF" w:rsidRPr="003C0E2F">
        <w:t xml:space="preserve">, </w:t>
      </w:r>
      <w:bookmarkStart w:id="725" w:name="_Hlk80824145"/>
      <w:r w:rsidR="003F53BF" w:rsidRPr="003C0E2F">
        <w:t xml:space="preserve">here </w:t>
      </w:r>
      <w:r w:rsidR="0056106A" w:rsidRPr="003C0E2F">
        <w:t>(</w:t>
      </w:r>
      <w:r w:rsidR="0056106A" w:rsidRPr="003C0E2F">
        <w:fldChar w:fldCharType="begin"/>
      </w:r>
      <w:r w:rsidR="0056106A" w:rsidRPr="003C0E2F">
        <w:instrText xml:space="preserve"> REF _Ref80013942 \r \h </w:instrText>
      </w:r>
      <w:r w:rsidR="0056106A" w:rsidRPr="003C0E2F">
        <w:fldChar w:fldCharType="separate"/>
      </w:r>
      <w:r w:rsidR="000F2276">
        <w:t>4.1</w:t>
      </w:r>
      <w:r w:rsidR="0056106A" w:rsidRPr="003C0E2F">
        <w:fldChar w:fldCharType="end"/>
      </w:r>
      <w:r w:rsidR="0056106A" w:rsidRPr="003C0E2F">
        <w:t xml:space="preserve">.1-3.1.9) </w:t>
      </w:r>
      <w:r w:rsidR="003F53BF" w:rsidRPr="003C0E2F">
        <w:t>and elsewhere</w:t>
      </w:r>
      <w:r w:rsidR="00F22F3B" w:rsidRPr="003C0E2F">
        <w:t xml:space="preserve"> </w:t>
      </w:r>
      <w:sdt>
        <w:sdtPr>
          <w:rPr>
            <w:color w:val="000000"/>
          </w:rPr>
          <w:tag w:val="MENDELEY_CITATION_v3_eyJjaXRhdGlvbklEIjoiTUVOREVMRVlfQ0lUQVRJT05fNWM3Mjg3ZTAtYTU1OC00Zjk3LTkyZTItOTFhNmJiMWJjM2Rh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LH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"/>
          <w:id w:val="819004649"/>
          <w:placeholder>
            <w:docPart w:val="DefaultPlaceholder_-1854013440"/>
          </w:placeholder>
        </w:sdtPr>
        <w:sdtEndPr/>
        <w:sdtContent>
          <w:r w:rsidR="00F257B9" w:rsidRPr="00F257B9">
            <w:rPr>
              <w:rFonts w:eastAsia="Times New Roman"/>
              <w:color w:val="000000"/>
            </w:rPr>
            <w:t>(</w:t>
          </w:r>
          <w:proofErr w:type="spellStart"/>
          <w:r w:rsidR="00F257B9" w:rsidRPr="00F257B9">
            <w:rPr>
              <w:rFonts w:eastAsia="Times New Roman"/>
              <w:color w:val="000000"/>
            </w:rPr>
            <w:t>Cighetti</w:t>
          </w:r>
          <w:proofErr w:type="spellEnd"/>
          <w:r w:rsidR="00F257B9" w:rsidRPr="00F257B9">
            <w:rPr>
              <w:rFonts w:eastAsia="Times New Roman"/>
              <w:color w:val="000000"/>
            </w:rPr>
            <w:t xml:space="preserve"> et al., 2014; </w:t>
          </w:r>
          <w:proofErr w:type="spellStart"/>
          <w:r w:rsidR="00F257B9" w:rsidRPr="00F257B9">
            <w:rPr>
              <w:rFonts w:eastAsia="Times New Roman"/>
              <w:color w:val="000000"/>
            </w:rPr>
            <w:t>Facchini</w:t>
          </w:r>
          <w:proofErr w:type="spellEnd"/>
          <w:r w:rsidR="00F257B9" w:rsidRPr="00F257B9">
            <w:rPr>
              <w:rFonts w:eastAsia="Times New Roman"/>
              <w:color w:val="000000"/>
            </w:rPr>
            <w:t xml:space="preserve"> et al., 2018)</w:t>
          </w:r>
        </w:sdtContent>
      </w:sdt>
      <w:r w:rsidRPr="003C0E2F">
        <w:t xml:space="preserve">. </w:t>
      </w:r>
      <w:bookmarkEnd w:id="725"/>
      <w:r w:rsidRPr="003C0E2F">
        <w:t xml:space="preserve">However, previous data is specific to the </w:t>
      </w:r>
      <w:r w:rsidR="00932BC2" w:rsidRPr="003C0E2F">
        <w:rPr>
          <w:rFonts w:asciiTheme="majorHAnsi" w:hAnsiTheme="majorHAnsi" w:cstheme="majorHAnsi"/>
        </w:rPr>
        <w:t>MyD88</w:t>
      </w:r>
      <w:r w:rsidRPr="003C0E2F">
        <w:t>-</w:t>
      </w:r>
      <w:r w:rsidR="009E0322" w:rsidRPr="003C0E2F">
        <w:t>dependent</w:t>
      </w:r>
      <w:r w:rsidRPr="003C0E2F">
        <w:t xml:space="preserve"> pathways activated in response to LPS</w:t>
      </w:r>
      <w:r w:rsidR="00801D46" w:rsidRPr="003C0E2F">
        <w:t xml:space="preserve"> and less is known about the interactions of FP compounds on TRIF dependent signalling</w:t>
      </w:r>
      <w:r w:rsidRPr="003C0E2F">
        <w:t xml:space="preserve">. It </w:t>
      </w:r>
      <w:r w:rsidR="00801D46" w:rsidRPr="003C0E2F">
        <w:t>wa</w:t>
      </w:r>
      <w:r w:rsidRPr="003C0E2F">
        <w:t xml:space="preserve">s therefore also necessary to </w:t>
      </w:r>
      <w:r w:rsidR="00801D46" w:rsidRPr="003C0E2F">
        <w:t>further evaluate</w:t>
      </w:r>
      <w:r w:rsidRPr="003C0E2F">
        <w:t xml:space="preserve"> </w:t>
      </w:r>
      <w:r w:rsidR="008F561F" w:rsidRPr="003C0E2F">
        <w:t>effect</w:t>
      </w:r>
      <w:r w:rsidR="00801D46" w:rsidRPr="003C0E2F">
        <w:t>s</w:t>
      </w:r>
      <w:r w:rsidRPr="003C0E2F">
        <w:t xml:space="preserve"> on </w:t>
      </w:r>
      <w:r w:rsidR="00932BC2" w:rsidRPr="003C0E2F">
        <w:rPr>
          <w:rFonts w:asciiTheme="majorHAnsi" w:hAnsiTheme="majorHAnsi" w:cstheme="majorHAnsi"/>
        </w:rPr>
        <w:t>MyD88</w:t>
      </w:r>
      <w:r w:rsidRPr="003C0E2F">
        <w:t>-in</w:t>
      </w:r>
      <w:r w:rsidR="009E0322" w:rsidRPr="003C0E2F">
        <w:t>dependent</w:t>
      </w:r>
      <w:r w:rsidRPr="003C0E2F">
        <w:t xml:space="preserve"> (TRIF-</w:t>
      </w:r>
      <w:r w:rsidR="009E0322" w:rsidRPr="003C0E2F">
        <w:t>dependent</w:t>
      </w:r>
      <w:r w:rsidRPr="003C0E2F">
        <w:t xml:space="preserve">) signalling. </w:t>
      </w:r>
    </w:p>
    <w:p w14:paraId="1C5D2402" w14:textId="72EF734B" w:rsidR="00765597" w:rsidRPr="003C0E2F" w:rsidRDefault="00765597" w:rsidP="00672E7A">
      <w:r w:rsidRPr="003C0E2F">
        <w:t xml:space="preserve">An initial set of optimisation experiments were carried out to determine the correct method of activating TRIF dependent signalling for further experiments. The initial form of LPS used in previous </w:t>
      </w:r>
      <w:r w:rsidR="00932BC2" w:rsidRPr="003C0E2F">
        <w:t>MyD88</w:t>
      </w:r>
      <w:r w:rsidRPr="003C0E2F">
        <w:t xml:space="preserve"> dependent signalling did not appear to activate TRIF-dependent signalling in THP-1 </w:t>
      </w:r>
      <w:r w:rsidR="008F561F" w:rsidRPr="003C0E2F">
        <w:t>macrophage</w:t>
      </w:r>
      <w:r w:rsidRPr="003C0E2F">
        <w:t xml:space="preserve">s. It was therefore necessary to find an alternative method to activate TRIF-dependent signalling </w:t>
      </w:r>
      <w:proofErr w:type="gramStart"/>
      <w:r w:rsidRPr="003C0E2F">
        <w:t>in order to</w:t>
      </w:r>
      <w:proofErr w:type="gramEnd"/>
      <w:r w:rsidRPr="003C0E2F">
        <w:t xml:space="preserve"> test the ability of FP compounds to influence this pathway</w:t>
      </w:r>
      <w:r w:rsidR="00200673" w:rsidRPr="003C0E2F">
        <w:t>.</w:t>
      </w:r>
    </w:p>
    <w:p w14:paraId="62D14076" w14:textId="77777777" w:rsidR="00200673" w:rsidRPr="003C0E2F" w:rsidRDefault="00200673">
      <w:pPr>
        <w:spacing w:line="259" w:lineRule="auto"/>
        <w:rPr>
          <w:b/>
          <w:bCs/>
        </w:rPr>
      </w:pPr>
      <w:bookmarkStart w:id="726" w:name="_Toc38543307"/>
      <w:r w:rsidRPr="003C0E2F">
        <w:br w:type="page"/>
      </w:r>
    </w:p>
    <w:p w14:paraId="338F410A" w14:textId="315141D4" w:rsidR="00D3097F" w:rsidRPr="003C0E2F" w:rsidRDefault="00D3097F" w:rsidP="00D55B0E">
      <w:pPr>
        <w:pStyle w:val="Heading3"/>
      </w:pPr>
      <w:bookmarkStart w:id="727" w:name="_Toc80013782"/>
      <w:bookmarkStart w:id="728" w:name="_Toc82882402"/>
      <w:r w:rsidRPr="003C0E2F">
        <w:lastRenderedPageBreak/>
        <w:t xml:space="preserve">LPS variants differentially activate </w:t>
      </w:r>
      <w:r w:rsidR="00A9277D" w:rsidRPr="003C0E2F">
        <w:t>TRIF-</w:t>
      </w:r>
      <w:r w:rsidR="009E0322" w:rsidRPr="003C0E2F">
        <w:t>dependent</w:t>
      </w:r>
      <w:r w:rsidRPr="003C0E2F">
        <w:t xml:space="preserve"> signalling in THP-1 </w:t>
      </w:r>
      <w:r w:rsidR="008F561F" w:rsidRPr="003C0E2F">
        <w:t>macrophage</w:t>
      </w:r>
      <w:r w:rsidRPr="003C0E2F">
        <w:t>s</w:t>
      </w:r>
      <w:bookmarkEnd w:id="726"/>
      <w:bookmarkEnd w:id="727"/>
      <w:bookmarkEnd w:id="728"/>
    </w:p>
    <w:p w14:paraId="4CEA304B" w14:textId="2C900336" w:rsidR="00007C49" w:rsidRPr="003C0E2F" w:rsidRDefault="0049586A" w:rsidP="00672E7A">
      <w:r w:rsidRPr="003C0E2F">
        <w:t xml:space="preserve">An issue was encountered initially with measurement of TRIF-dependent signalling as LPS from </w:t>
      </w:r>
      <w:proofErr w:type="spellStart"/>
      <w:proofErr w:type="gramStart"/>
      <w:r w:rsidRPr="003C0E2F">
        <w:rPr>
          <w:i/>
        </w:rPr>
        <w:t>S.minnesota</w:t>
      </w:r>
      <w:proofErr w:type="spellEnd"/>
      <w:proofErr w:type="gramEnd"/>
      <w:r w:rsidRPr="003C0E2F">
        <w:t xml:space="preserve"> </w:t>
      </w:r>
      <w:r w:rsidR="00765597" w:rsidRPr="003C0E2F">
        <w:t xml:space="preserve">R595 </w:t>
      </w:r>
      <w:r w:rsidRPr="003C0E2F">
        <w:t xml:space="preserve">did not appear to activate associated markers to relevant levels. In other studies, </w:t>
      </w:r>
      <w:proofErr w:type="spellStart"/>
      <w:proofErr w:type="gramStart"/>
      <w:r w:rsidRPr="003C0E2F">
        <w:rPr>
          <w:i/>
        </w:rPr>
        <w:t>S.minnesota</w:t>
      </w:r>
      <w:proofErr w:type="spellEnd"/>
      <w:proofErr w:type="gramEnd"/>
      <w:r w:rsidRPr="003C0E2F">
        <w:t xml:space="preserve"> had been shown to be more appropriate for TRIF-dependent pathway activation. However, the </w:t>
      </w:r>
      <w:proofErr w:type="spellStart"/>
      <w:proofErr w:type="gramStart"/>
      <w:r w:rsidRPr="003C0E2F">
        <w:rPr>
          <w:i/>
        </w:rPr>
        <w:t>S.minnesota</w:t>
      </w:r>
      <w:proofErr w:type="spellEnd"/>
      <w:proofErr w:type="gramEnd"/>
      <w:r w:rsidRPr="003C0E2F">
        <w:t xml:space="preserve"> (Re) LPS used in previous FP7 and FP12 </w:t>
      </w:r>
      <w:r w:rsidR="00932BC2" w:rsidRPr="003C0E2F">
        <w:t>MyD88</w:t>
      </w:r>
      <w:r w:rsidRPr="003C0E2F">
        <w:t xml:space="preserve">-dependent experiments was not sufficient to produce consistent response for TRIF-dependent activation.  </w:t>
      </w:r>
      <w:r w:rsidR="00200673" w:rsidRPr="003C0E2F">
        <w:t xml:space="preserve">Different forms of LPS were investigated to determine if these could activate TRIF-dependent signalling in THP-1 </w:t>
      </w:r>
      <w:r w:rsidR="008F561F" w:rsidRPr="003C0E2F">
        <w:t>macrophage</w:t>
      </w:r>
      <w:r w:rsidR="00200673" w:rsidRPr="003C0E2F">
        <w:t>s</w:t>
      </w:r>
      <w:r w:rsidRPr="003C0E2F">
        <w:t xml:space="preserve">. A series of from </w:t>
      </w:r>
      <w:proofErr w:type="spellStart"/>
      <w:proofErr w:type="gramStart"/>
      <w:r w:rsidRPr="003C0E2F">
        <w:rPr>
          <w:i/>
          <w:iCs/>
        </w:rPr>
        <w:t>S.minnesota</w:t>
      </w:r>
      <w:proofErr w:type="spellEnd"/>
      <w:proofErr w:type="gramEnd"/>
      <w:r w:rsidRPr="003C0E2F">
        <w:rPr>
          <w:i/>
          <w:iCs/>
        </w:rPr>
        <w:t xml:space="preserve"> </w:t>
      </w:r>
      <w:r w:rsidRPr="003C0E2F">
        <w:t xml:space="preserve">and </w:t>
      </w:r>
      <w:r w:rsidRPr="003C0E2F">
        <w:rPr>
          <w:i/>
          <w:iCs/>
        </w:rPr>
        <w:t xml:space="preserve">E.coli </w:t>
      </w:r>
      <w:r w:rsidRPr="003C0E2F">
        <w:t xml:space="preserve">LPS variants were provided by </w:t>
      </w:r>
      <w:proofErr w:type="spellStart"/>
      <w:r w:rsidRPr="003C0E2F">
        <w:t>Innaxon</w:t>
      </w:r>
      <w:proofErr w:type="spellEnd"/>
      <w:r w:rsidRPr="003C0E2F">
        <w:t xml:space="preserve"> for testing on TRIF</w:t>
      </w:r>
      <w:r w:rsidR="00200673" w:rsidRPr="003C0E2F">
        <w:t>-</w:t>
      </w:r>
      <w:r w:rsidRPr="003C0E2F">
        <w:t>dependent signalling pathways (See Appendix II).</w:t>
      </w:r>
      <w:r w:rsidR="00200673" w:rsidRPr="003C0E2F">
        <w:t xml:space="preserve"> </w:t>
      </w:r>
    </w:p>
    <w:p w14:paraId="2BD7E790" w14:textId="33F079F5" w:rsidR="003F53BF" w:rsidRPr="003C0E2F" w:rsidRDefault="003F53BF" w:rsidP="00672E7A">
      <w:bookmarkStart w:id="729" w:name="_Hlk80824261"/>
      <w:r w:rsidRPr="003C0E2F">
        <w:t>LPS can exist in different forms, referred to as smooth (S) or rough (R) forms</w:t>
      </w:r>
      <w:r w:rsidR="008B59D5" w:rsidRPr="003C0E2F">
        <w:t>. S-form LPS, the wild-type form of LPS is made up of a full O-antigen and polysaccharide chain region, while R forms lack the O-antigen region and may have varying levels of reduction in number of sugar residues from the polysaccharide chain (Huber et al., 2006). These modifications may arise as a mechanism to circumvent immune detection and thus result in different degrees of recognition by TLR4.</w:t>
      </w:r>
    </w:p>
    <w:bookmarkEnd w:id="729"/>
    <w:p w14:paraId="11BB57DC" w14:textId="69D61D3D" w:rsidR="00672E7A" w:rsidRPr="003C0E2F" w:rsidRDefault="00672E7A" w:rsidP="00672E7A">
      <w:r w:rsidRPr="003C0E2F">
        <w:t xml:space="preserve">To determine which, if any, of these ligands could elicit </w:t>
      </w:r>
      <w:r w:rsidR="00A9277D" w:rsidRPr="003C0E2F">
        <w:t>TRIF-</w:t>
      </w:r>
      <w:r w:rsidR="009E0322" w:rsidRPr="003C0E2F">
        <w:t>dependent</w:t>
      </w:r>
      <w:r w:rsidRPr="003C0E2F">
        <w:t xml:space="preserve"> response in THP-1 </w:t>
      </w:r>
      <w:r w:rsidR="008F561F" w:rsidRPr="003C0E2F">
        <w:t>macrophage</w:t>
      </w:r>
      <w:r w:rsidRPr="003C0E2F">
        <w:t xml:space="preserve">s, a </w:t>
      </w:r>
      <w:r w:rsidR="00030A76" w:rsidRPr="003C0E2F">
        <w:rPr>
          <w:rFonts w:asciiTheme="majorHAnsi" w:hAnsiTheme="majorHAnsi"/>
        </w:rPr>
        <w:t>Western</w:t>
      </w:r>
      <w:r w:rsidRPr="003C0E2F">
        <w:t xml:space="preserve"> blot analysis was carried out to investigate STAT-1 phosphorylation following ligand exposure. 3 variants from </w:t>
      </w:r>
      <w:proofErr w:type="spellStart"/>
      <w:proofErr w:type="gramStart"/>
      <w:r w:rsidR="008612D0" w:rsidRPr="003C0E2F">
        <w:rPr>
          <w:i/>
        </w:rPr>
        <w:t>S.minnesota</w:t>
      </w:r>
      <w:proofErr w:type="spellEnd"/>
      <w:proofErr w:type="gramEnd"/>
      <w:r w:rsidRPr="003C0E2F">
        <w:t xml:space="preserve">; one smooth and two rough (S, Re and Ra) were investigated alongside </w:t>
      </w:r>
      <w:r w:rsidR="008612D0" w:rsidRPr="003C0E2F">
        <w:rPr>
          <w:i/>
          <w:iCs/>
        </w:rPr>
        <w:t>E.coli</w:t>
      </w:r>
      <w:r w:rsidRPr="003C0E2F">
        <w:t xml:space="preserve"> (Ra) and Lipid-A variants from both E-coli and </w:t>
      </w:r>
      <w:proofErr w:type="spellStart"/>
      <w:r w:rsidR="008612D0" w:rsidRPr="003C0E2F">
        <w:rPr>
          <w:i/>
        </w:rPr>
        <w:t>S.minnesota</w:t>
      </w:r>
      <w:proofErr w:type="spellEnd"/>
      <w:r w:rsidRPr="003C0E2F">
        <w:t>.</w:t>
      </w:r>
    </w:p>
    <w:p w14:paraId="333791C5" w14:textId="2B83695F" w:rsidR="008B59D5" w:rsidRPr="003C0E2F" w:rsidRDefault="008B59D5">
      <w:pPr>
        <w:spacing w:line="259" w:lineRule="auto"/>
      </w:pPr>
      <w:r w:rsidRPr="003C0E2F">
        <w:br w:type="page"/>
      </w:r>
    </w:p>
    <w:p w14:paraId="15084E9E" w14:textId="2F24A2FC" w:rsidR="00007C49" w:rsidRPr="003C0E2F" w:rsidRDefault="00007C49" w:rsidP="00007C49">
      <w:r w:rsidRPr="003C0E2F">
        <w:lastRenderedPageBreak/>
        <w:t xml:space="preserve">STAT-1 phosphorylation was measured at 0-6 hours in three LPS variants. was carried out to determine the best point for collection. For this, three of the LPS variants were selected; </w:t>
      </w:r>
      <w:proofErr w:type="spellStart"/>
      <w:proofErr w:type="gramStart"/>
      <w:r w:rsidRPr="003C0E2F">
        <w:rPr>
          <w:i/>
        </w:rPr>
        <w:t>S.minnesota</w:t>
      </w:r>
      <w:proofErr w:type="spellEnd"/>
      <w:proofErr w:type="gramEnd"/>
      <w:r w:rsidRPr="003C0E2F">
        <w:t xml:space="preserve"> (S), </w:t>
      </w:r>
      <w:r w:rsidRPr="003C0E2F">
        <w:rPr>
          <w:i/>
          <w:iCs/>
        </w:rPr>
        <w:t>E.coli</w:t>
      </w:r>
      <w:r w:rsidRPr="003C0E2F">
        <w:t xml:space="preserve"> (Ra) and </w:t>
      </w:r>
      <w:proofErr w:type="spellStart"/>
      <w:r w:rsidRPr="003C0E2F">
        <w:rPr>
          <w:i/>
        </w:rPr>
        <w:t>S.minnesota</w:t>
      </w:r>
      <w:proofErr w:type="spellEnd"/>
      <w:r w:rsidRPr="003C0E2F">
        <w:t xml:space="preserve"> (Re). STAT-1 activation was shown to be elevated at 1.5-6 hours peaking at 2.5-3 hours for both </w:t>
      </w:r>
      <w:proofErr w:type="gramStart"/>
      <w:r w:rsidRPr="003C0E2F">
        <w:rPr>
          <w:i/>
          <w:iCs/>
        </w:rPr>
        <w:t>E.coli</w:t>
      </w:r>
      <w:proofErr w:type="gramEnd"/>
      <w:r w:rsidRPr="003C0E2F">
        <w:t xml:space="preserve"> (Ra) and </w:t>
      </w:r>
      <w:proofErr w:type="spellStart"/>
      <w:r w:rsidRPr="003C0E2F">
        <w:rPr>
          <w:i/>
        </w:rPr>
        <w:t>S.minnesota</w:t>
      </w:r>
      <w:proofErr w:type="spellEnd"/>
      <w:r w:rsidRPr="003C0E2F">
        <w:t xml:space="preserve"> (S) (Figure 40). While </w:t>
      </w:r>
      <w:proofErr w:type="spellStart"/>
      <w:proofErr w:type="gramStart"/>
      <w:r w:rsidRPr="003C0E2F">
        <w:rPr>
          <w:i/>
        </w:rPr>
        <w:t>S.minnesota</w:t>
      </w:r>
      <w:proofErr w:type="spellEnd"/>
      <w:proofErr w:type="gramEnd"/>
      <w:r w:rsidRPr="003C0E2F">
        <w:t xml:space="preserve"> (Re) showed some increase in STAT-1 activity at 3 hours and was substantially lower compared to the other two LPS tested.</w:t>
      </w:r>
    </w:p>
    <w:p w14:paraId="2B8D7883" w14:textId="77777777" w:rsidR="008B59D5" w:rsidRPr="003C0E2F" w:rsidRDefault="008B59D5" w:rsidP="00007C49"/>
    <w:p w14:paraId="4EEF44EB" w14:textId="77777777" w:rsidR="008B59D5" w:rsidRPr="003C0E2F" w:rsidRDefault="008B59D5" w:rsidP="008B59D5">
      <w:pPr>
        <w:keepNext/>
      </w:pPr>
      <w:r w:rsidRPr="003C0E2F">
        <w:rPr>
          <w:noProof/>
        </w:rPr>
        <w:drawing>
          <wp:inline distT="0" distB="0" distL="0" distR="0" wp14:anchorId="79DC51E1" wp14:editId="30C3BDFD">
            <wp:extent cx="5498465" cy="2018825"/>
            <wp:effectExtent l="0" t="0" r="6985" b="635"/>
            <wp:docPr id="33" name="Picture 33" descr="A close up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LPS Timing.tif"/>
                    <pic:cNvPicPr/>
                  </pic:nvPicPr>
                  <pic:blipFill>
                    <a:blip r:embed="rId103">
                      <a:extLst>
                        <a:ext uri="{28A0092B-C50C-407E-A947-70E740481C1C}">
                          <a14:useLocalDpi xmlns:a14="http://schemas.microsoft.com/office/drawing/2010/main" val="0"/>
                        </a:ext>
                      </a:extLst>
                    </a:blip>
                    <a:stretch>
                      <a:fillRect/>
                    </a:stretch>
                  </pic:blipFill>
                  <pic:spPr>
                    <a:xfrm>
                      <a:off x="0" y="0"/>
                      <a:ext cx="5510809" cy="2023357"/>
                    </a:xfrm>
                    <a:prstGeom prst="rect">
                      <a:avLst/>
                    </a:prstGeom>
                  </pic:spPr>
                </pic:pic>
              </a:graphicData>
            </a:graphic>
          </wp:inline>
        </w:drawing>
      </w:r>
    </w:p>
    <w:p w14:paraId="4C33CA14" w14:textId="3D374993" w:rsidR="008B59D5" w:rsidRPr="003C0E2F" w:rsidRDefault="008B59D5" w:rsidP="00A2094F">
      <w:pPr>
        <w:pStyle w:val="NoSpacing"/>
      </w:pPr>
      <w:bookmarkStart w:id="730" w:name="_Toc60638893"/>
      <w:bookmarkStart w:id="731" w:name="_Toc63112027"/>
      <w:bookmarkStart w:id="732" w:name="_Toc63112244"/>
      <w:bookmarkStart w:id="733" w:name="_Toc63270384"/>
      <w:bookmarkStart w:id="734" w:name="_Toc64533251"/>
      <w:bookmarkStart w:id="735" w:name="_Toc64551798"/>
      <w:bookmarkStart w:id="736" w:name="_Toc80013842"/>
      <w:bookmarkStart w:id="737" w:name="_Toc82882981"/>
      <w:r w:rsidRPr="003C0E2F">
        <w:t xml:space="preserve">Figure </w:t>
      </w:r>
      <w:r w:rsidR="00862981">
        <w:fldChar w:fldCharType="begin"/>
      </w:r>
      <w:r w:rsidR="00862981">
        <w:instrText xml:space="preserve"> SEQ Figure \* ARABIC </w:instrText>
      </w:r>
      <w:r w:rsidR="00862981">
        <w:fldChar w:fldCharType="separate"/>
      </w:r>
      <w:r w:rsidR="000F2276">
        <w:rPr>
          <w:noProof/>
        </w:rPr>
        <w:t>40</w:t>
      </w:r>
      <w:r w:rsidR="00862981">
        <w:rPr>
          <w:noProof/>
        </w:rPr>
        <w:fldChar w:fldCharType="end"/>
      </w:r>
      <w:r w:rsidRPr="003C0E2F">
        <w:t>.</w:t>
      </w:r>
      <w:bookmarkStart w:id="738" w:name="_Toc48514850"/>
      <w:bookmarkStart w:id="739" w:name="_Toc55583760"/>
      <w:bookmarkStart w:id="740" w:name="_Toc55584938"/>
      <w:bookmarkStart w:id="741" w:name="_Toc60584053"/>
      <w:r w:rsidRPr="003C0E2F">
        <w:t xml:space="preserve"> Timing of LPS induced TLR4 signalling by three different LPS. THP-1 macrophages were exposed to LPS (100ng/ml) or three different sources (</w:t>
      </w:r>
      <w:proofErr w:type="spellStart"/>
      <w:proofErr w:type="gramStart"/>
      <w:r w:rsidRPr="003C0E2F">
        <w:t>S.minnesota</w:t>
      </w:r>
      <w:proofErr w:type="spellEnd"/>
      <w:proofErr w:type="gramEnd"/>
      <w:r w:rsidRPr="003C0E2F">
        <w:t xml:space="preserve"> S-form, </w:t>
      </w:r>
      <w:proofErr w:type="spellStart"/>
      <w:r w:rsidRPr="003C0E2F">
        <w:t>S.minnesota</w:t>
      </w:r>
      <w:proofErr w:type="spellEnd"/>
      <w:r w:rsidRPr="003C0E2F">
        <w:t xml:space="preserve"> R-form and E.coli R-form). cell lysates were then collected at 0–6-hour time points and levels of STAT-1 phosphorylation measured via Western blot. Results were from a single experiment.</w:t>
      </w:r>
      <w:bookmarkEnd w:id="730"/>
      <w:bookmarkEnd w:id="731"/>
      <w:bookmarkEnd w:id="732"/>
      <w:bookmarkEnd w:id="733"/>
      <w:bookmarkEnd w:id="734"/>
      <w:bookmarkEnd w:id="735"/>
      <w:bookmarkEnd w:id="736"/>
      <w:bookmarkEnd w:id="737"/>
      <w:bookmarkEnd w:id="738"/>
      <w:bookmarkEnd w:id="739"/>
      <w:bookmarkEnd w:id="740"/>
      <w:bookmarkEnd w:id="741"/>
    </w:p>
    <w:p w14:paraId="1D368093" w14:textId="77777777" w:rsidR="008B59D5" w:rsidRPr="003C0E2F" w:rsidRDefault="008B59D5" w:rsidP="00007C49"/>
    <w:p w14:paraId="5F76BD39" w14:textId="77777777" w:rsidR="008B59D5" w:rsidRPr="003C0E2F" w:rsidRDefault="008B59D5">
      <w:pPr>
        <w:spacing w:line="259" w:lineRule="auto"/>
      </w:pPr>
      <w:r w:rsidRPr="003C0E2F">
        <w:br w:type="page"/>
      </w:r>
    </w:p>
    <w:p w14:paraId="3C1767D3" w14:textId="10DBE898" w:rsidR="00D3097F" w:rsidRPr="003C0E2F" w:rsidRDefault="00672E7A" w:rsidP="00672E7A">
      <w:r w:rsidRPr="003C0E2F">
        <w:lastRenderedPageBreak/>
        <w:t xml:space="preserve">LPS and Lipid A were used and compared to </w:t>
      </w:r>
      <w:proofErr w:type="spellStart"/>
      <w:r w:rsidRPr="003C0E2F">
        <w:t>IFNγ</w:t>
      </w:r>
      <w:proofErr w:type="spellEnd"/>
      <w:r w:rsidRPr="003C0E2F">
        <w:t xml:space="preserve"> which was known to activate STAT-1. In response to all three forms of </w:t>
      </w:r>
      <w:proofErr w:type="spellStart"/>
      <w:proofErr w:type="gramStart"/>
      <w:r w:rsidR="008612D0" w:rsidRPr="003C0E2F">
        <w:rPr>
          <w:i/>
        </w:rPr>
        <w:t>S.minnesota</w:t>
      </w:r>
      <w:proofErr w:type="spellEnd"/>
      <w:proofErr w:type="gramEnd"/>
      <w:r w:rsidRPr="003C0E2F">
        <w:t xml:space="preserve"> LPS, as well as </w:t>
      </w:r>
      <w:r w:rsidR="008612D0" w:rsidRPr="003C0E2F">
        <w:rPr>
          <w:i/>
          <w:iCs/>
        </w:rPr>
        <w:t>E.coli</w:t>
      </w:r>
      <w:r w:rsidRPr="003C0E2F">
        <w:t xml:space="preserve"> LPS, STAT-1 phosphorylation was elevated to a greater or lesser extent (Figure 41). Of these, the </w:t>
      </w:r>
      <w:proofErr w:type="spellStart"/>
      <w:proofErr w:type="gramStart"/>
      <w:r w:rsidR="008612D0" w:rsidRPr="003C0E2F">
        <w:rPr>
          <w:i/>
        </w:rPr>
        <w:t>S.minnesota</w:t>
      </w:r>
      <w:proofErr w:type="spellEnd"/>
      <w:proofErr w:type="gramEnd"/>
      <w:r w:rsidRPr="003C0E2F">
        <w:t xml:space="preserve"> S-form LPS was found to be most </w:t>
      </w:r>
      <w:r w:rsidR="008F561F" w:rsidRPr="003C0E2F">
        <w:t>effect</w:t>
      </w:r>
      <w:r w:rsidRPr="003C0E2F">
        <w:t xml:space="preserve">ive at producing a response. In contrast, Lipid A alone does not appear to be enough to induce STAT-1 activation after 2.5 hours. This reiterates the assertion that </w:t>
      </w:r>
      <w:proofErr w:type="spellStart"/>
      <w:proofErr w:type="gramStart"/>
      <w:r w:rsidR="008612D0" w:rsidRPr="003C0E2F">
        <w:rPr>
          <w:i/>
        </w:rPr>
        <w:t>S.minnesota</w:t>
      </w:r>
      <w:proofErr w:type="spellEnd"/>
      <w:proofErr w:type="gramEnd"/>
      <w:r w:rsidRPr="003C0E2F">
        <w:t xml:space="preserve"> (S) and </w:t>
      </w:r>
      <w:r w:rsidR="008612D0" w:rsidRPr="003C0E2F">
        <w:rPr>
          <w:i/>
          <w:iCs/>
        </w:rPr>
        <w:t>E.coli</w:t>
      </w:r>
      <w:r w:rsidRPr="003C0E2F">
        <w:t xml:space="preserve"> (Re) are more appropriate for </w:t>
      </w:r>
      <w:r w:rsidR="00A9277D" w:rsidRPr="003C0E2F">
        <w:t>TRIF-</w:t>
      </w:r>
      <w:r w:rsidR="009E0322" w:rsidRPr="003C0E2F">
        <w:t>dependent</w:t>
      </w:r>
      <w:r w:rsidRPr="003C0E2F">
        <w:t xml:space="preserve"> studies while suggesting both are also suitable for </w:t>
      </w:r>
      <w:r w:rsidR="00932BC2" w:rsidRPr="003C0E2F">
        <w:t>MyD88</w:t>
      </w:r>
      <w:r w:rsidRPr="003C0E2F">
        <w:t>-</w:t>
      </w:r>
      <w:r w:rsidR="009E0322" w:rsidRPr="003C0E2F">
        <w:t>dependent</w:t>
      </w:r>
      <w:r w:rsidRPr="003C0E2F">
        <w:t xml:space="preserve"> experiments.</w:t>
      </w:r>
    </w:p>
    <w:p w14:paraId="78606177" w14:textId="77777777" w:rsidR="008B59D5" w:rsidRPr="003C0E2F" w:rsidRDefault="008B59D5" w:rsidP="008B59D5">
      <w:pPr>
        <w:keepNext/>
      </w:pPr>
      <w:r w:rsidRPr="003C0E2F">
        <w:rPr>
          <w:noProof/>
        </w:rPr>
        <w:drawing>
          <wp:inline distT="0" distB="0" distL="0" distR="0" wp14:anchorId="10805D5F" wp14:editId="278ABF5C">
            <wp:extent cx="5731510" cy="1620520"/>
            <wp:effectExtent l="0" t="0" r="2540" b="0"/>
            <wp:docPr id="32" name="Picture 32" descr="A picture containing clock, white, me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LPS Chemotype.png"/>
                    <pic:cNvPicPr/>
                  </pic:nvPicPr>
                  <pic:blipFill>
                    <a:blip r:embed="rId104">
                      <a:extLst>
                        <a:ext uri="{28A0092B-C50C-407E-A947-70E740481C1C}">
                          <a14:useLocalDpi xmlns:a14="http://schemas.microsoft.com/office/drawing/2010/main" val="0"/>
                        </a:ext>
                      </a:extLst>
                    </a:blip>
                    <a:stretch>
                      <a:fillRect/>
                    </a:stretch>
                  </pic:blipFill>
                  <pic:spPr>
                    <a:xfrm>
                      <a:off x="0" y="0"/>
                      <a:ext cx="5731510" cy="1620520"/>
                    </a:xfrm>
                    <a:prstGeom prst="rect">
                      <a:avLst/>
                    </a:prstGeom>
                  </pic:spPr>
                </pic:pic>
              </a:graphicData>
            </a:graphic>
          </wp:inline>
        </w:drawing>
      </w:r>
    </w:p>
    <w:p w14:paraId="2488004D" w14:textId="0DA5FC36" w:rsidR="008B59D5" w:rsidRPr="003C0E2F" w:rsidRDefault="008B59D5" w:rsidP="00A2094F">
      <w:pPr>
        <w:pStyle w:val="NoSpacing"/>
      </w:pPr>
      <w:bookmarkStart w:id="742" w:name="_Toc60638894"/>
      <w:bookmarkStart w:id="743" w:name="_Toc63112028"/>
      <w:bookmarkStart w:id="744" w:name="_Toc63112245"/>
      <w:bookmarkStart w:id="745" w:name="_Toc63270385"/>
      <w:bookmarkStart w:id="746" w:name="_Toc64533252"/>
      <w:bookmarkStart w:id="747" w:name="_Toc64551799"/>
      <w:bookmarkStart w:id="748" w:name="_Toc80013843"/>
      <w:bookmarkStart w:id="749" w:name="_Toc82882982"/>
      <w:r w:rsidRPr="003C0E2F">
        <w:t xml:space="preserve">Figure </w:t>
      </w:r>
      <w:r w:rsidR="00862981">
        <w:fldChar w:fldCharType="begin"/>
      </w:r>
      <w:r w:rsidR="00862981">
        <w:instrText xml:space="preserve"> SEQ Figure \* ARABIC </w:instrText>
      </w:r>
      <w:r w:rsidR="00862981">
        <w:fldChar w:fldCharType="separate"/>
      </w:r>
      <w:r w:rsidR="000F2276">
        <w:rPr>
          <w:noProof/>
        </w:rPr>
        <w:t>41</w:t>
      </w:r>
      <w:r w:rsidR="00862981">
        <w:rPr>
          <w:noProof/>
        </w:rPr>
        <w:fldChar w:fldCharType="end"/>
      </w:r>
      <w:bookmarkStart w:id="750" w:name="_Toc48514851"/>
      <w:bookmarkStart w:id="751" w:name="_Toc55583761"/>
      <w:bookmarkStart w:id="752" w:name="_Toc55584939"/>
      <w:bookmarkStart w:id="753" w:name="_Toc60584054"/>
      <w:r w:rsidRPr="003C0E2F">
        <w:t>. LPS variants differentially activate STAT-1. THP-1 macrophages were treated with LPS (100ng/ml</w:t>
      </w:r>
      <w:proofErr w:type="gramStart"/>
      <w:r w:rsidRPr="003C0E2F">
        <w:t>)</w:t>
      </w:r>
      <w:proofErr w:type="gramEnd"/>
      <w:r w:rsidRPr="003C0E2F">
        <w:t xml:space="preserve"> or Lipid A. Cell lysates were collected and analysed after 3 hours via Western blot. Data is from only 1 set. S = </w:t>
      </w:r>
      <w:proofErr w:type="spellStart"/>
      <w:proofErr w:type="gramStart"/>
      <w:r w:rsidRPr="003C0E2F">
        <w:t>S.minnesota</w:t>
      </w:r>
      <w:proofErr w:type="spellEnd"/>
      <w:proofErr w:type="gramEnd"/>
      <w:r w:rsidRPr="003C0E2F">
        <w:t xml:space="preserve"> (S-form), Re = </w:t>
      </w:r>
      <w:proofErr w:type="spellStart"/>
      <w:r w:rsidRPr="003C0E2F">
        <w:t>S.minnesota</w:t>
      </w:r>
      <w:proofErr w:type="spellEnd"/>
      <w:r w:rsidRPr="003C0E2F">
        <w:t xml:space="preserve"> (Re-form), Ra = </w:t>
      </w:r>
      <w:proofErr w:type="spellStart"/>
      <w:r w:rsidRPr="003C0E2F">
        <w:t>S.minnesota</w:t>
      </w:r>
      <w:proofErr w:type="spellEnd"/>
      <w:r w:rsidRPr="003C0E2F">
        <w:t xml:space="preserve"> (Ra), LA = </w:t>
      </w:r>
      <w:proofErr w:type="spellStart"/>
      <w:r w:rsidRPr="003C0E2F">
        <w:t>S.minnesota</w:t>
      </w:r>
      <w:proofErr w:type="spellEnd"/>
      <w:r w:rsidRPr="003C0E2F">
        <w:t xml:space="preserve"> (Lipid A), MP = </w:t>
      </w:r>
      <w:proofErr w:type="spellStart"/>
      <w:r w:rsidRPr="003C0E2F">
        <w:t>S.minnesota</w:t>
      </w:r>
      <w:proofErr w:type="spellEnd"/>
      <w:r w:rsidRPr="003C0E2F">
        <w:t xml:space="preserve"> (MPLA), Ra = E.coli (Ra), LA = E.coli (Lipid A), </w:t>
      </w:r>
      <w:proofErr w:type="spellStart"/>
      <w:r w:rsidRPr="003C0E2F">
        <w:t>Iγ</w:t>
      </w:r>
      <w:proofErr w:type="spellEnd"/>
      <w:r w:rsidRPr="003C0E2F">
        <w:t xml:space="preserve"> = </w:t>
      </w:r>
      <w:proofErr w:type="spellStart"/>
      <w:r w:rsidRPr="003C0E2F">
        <w:t>IFNγ</w:t>
      </w:r>
      <w:proofErr w:type="spellEnd"/>
      <w:r w:rsidRPr="003C0E2F">
        <w:t>. Results are from a single experiment</w:t>
      </w:r>
      <w:bookmarkEnd w:id="742"/>
      <w:bookmarkEnd w:id="743"/>
      <w:bookmarkEnd w:id="744"/>
      <w:bookmarkEnd w:id="745"/>
      <w:bookmarkEnd w:id="746"/>
      <w:bookmarkEnd w:id="747"/>
      <w:bookmarkEnd w:id="748"/>
      <w:bookmarkEnd w:id="749"/>
      <w:bookmarkEnd w:id="750"/>
      <w:bookmarkEnd w:id="751"/>
      <w:bookmarkEnd w:id="752"/>
      <w:bookmarkEnd w:id="753"/>
    </w:p>
    <w:p w14:paraId="6C93ACFD" w14:textId="77777777" w:rsidR="008B59D5" w:rsidRPr="003C0E2F" w:rsidRDefault="008B59D5" w:rsidP="00672E7A"/>
    <w:p w14:paraId="09D403AE" w14:textId="3F30FC02" w:rsidR="00D3097F" w:rsidRPr="003C0E2F" w:rsidRDefault="00672E7A" w:rsidP="00BF76CD">
      <w:r w:rsidRPr="003C0E2F">
        <w:t xml:space="preserve">Preliminary data suggests LPS activation of STAT-1 peaks at 2.5-3 hours. To confirm this timing, a further set of timing experiments were carried out. </w:t>
      </w:r>
      <w:proofErr w:type="spellStart"/>
      <w:proofErr w:type="gramStart"/>
      <w:r w:rsidR="008612D0" w:rsidRPr="003C0E2F">
        <w:rPr>
          <w:i/>
        </w:rPr>
        <w:t>S.minnesota</w:t>
      </w:r>
      <w:proofErr w:type="spellEnd"/>
      <w:proofErr w:type="gramEnd"/>
      <w:r w:rsidRPr="003C0E2F">
        <w:t xml:space="preserve"> S-form LPS was used to confirm provisional data for STAT-1 and additionally investigate </w:t>
      </w:r>
      <w:r w:rsidR="00A9277D" w:rsidRPr="003C0E2F">
        <w:t>TRIF-</w:t>
      </w:r>
      <w:r w:rsidR="009E0322" w:rsidRPr="003C0E2F">
        <w:t>dependent</w:t>
      </w:r>
      <w:r w:rsidRPr="003C0E2F">
        <w:t xml:space="preserve"> </w:t>
      </w:r>
      <w:r w:rsidR="009E42FE" w:rsidRPr="003C0E2F">
        <w:t>TBK1</w:t>
      </w:r>
      <w:r w:rsidRPr="003C0E2F">
        <w:t xml:space="preserve"> phosphorylation timing.</w:t>
      </w:r>
    </w:p>
    <w:p w14:paraId="77491711" w14:textId="77777777" w:rsidR="00B358FF" w:rsidRPr="003C0E2F" w:rsidRDefault="00B358FF">
      <w:pPr>
        <w:spacing w:line="259" w:lineRule="auto"/>
      </w:pPr>
      <w:r w:rsidRPr="003C0E2F">
        <w:br w:type="page"/>
      </w:r>
    </w:p>
    <w:p w14:paraId="32094E0F" w14:textId="058FC36E" w:rsidR="008B59D5" w:rsidRPr="003C0E2F" w:rsidRDefault="008B59D5" w:rsidP="008B59D5">
      <w:r w:rsidRPr="003C0E2F">
        <w:lastRenderedPageBreak/>
        <w:t>Following exposure to LPS, levels of both p-STAT-1 (Figure 42A) p-TBK1 (Figure 42B) are increased. p-TBK1 results suggest an early activation time at 30 minutes following LPS treatment, whereas p-STAT-1 remains below a significant threshold until a 2.5-3-hour peak. From this, 30 minutes was selected for further experiments involving TBK1 activity and 2.5-3 hours for STAT-1.</w:t>
      </w:r>
      <w:bookmarkStart w:id="754" w:name="_Hlk80824391"/>
      <w:r w:rsidR="00E34E58" w:rsidRPr="003C0E2F">
        <w:t xml:space="preserve"> </w:t>
      </w:r>
      <w:bookmarkStart w:id="755" w:name="_Hlk80824465"/>
      <w:r w:rsidR="00E34E58" w:rsidRPr="003C0E2F">
        <w:t>The later activation of STAT-1 following early TBK-1</w:t>
      </w:r>
      <w:r w:rsidR="00177FE5" w:rsidRPr="003C0E2F">
        <w:t xml:space="preserve"> suggested a possible autocrine effect, following interferon release</w:t>
      </w:r>
      <w:r w:rsidR="00E34E58" w:rsidRPr="003C0E2F">
        <w:t>.</w:t>
      </w:r>
      <w:bookmarkEnd w:id="754"/>
      <w:bookmarkEnd w:id="755"/>
    </w:p>
    <w:p w14:paraId="1B3F8114" w14:textId="77777777" w:rsidR="00E34E58" w:rsidRPr="003C0E2F" w:rsidRDefault="00E34E58" w:rsidP="008B59D5"/>
    <w:p w14:paraId="6C1C1F11" w14:textId="77777777" w:rsidR="00FB5606" w:rsidRPr="003C0E2F" w:rsidRDefault="00FB5606" w:rsidP="00FB5606">
      <w:pPr>
        <w:keepNext/>
      </w:pPr>
      <w:r w:rsidRPr="003C0E2F">
        <w:object w:dxaOrig="11189" w:dyaOrig="5139" w14:anchorId="4E674DAF">
          <v:shape id="_x0000_i1048" type="#_x0000_t75" style="width:453.6pt;height:209.4pt" o:ole="">
            <v:imagedata r:id="rId105" o:title=""/>
          </v:shape>
          <o:OLEObject Type="Embed" ProgID="Prism6.Document" ShapeID="_x0000_i1048" DrawAspect="Content" ObjectID="_1701585006" r:id="rId106"/>
        </w:object>
      </w:r>
    </w:p>
    <w:p w14:paraId="0DE0CFFB" w14:textId="21DE7F3E" w:rsidR="00FB5606" w:rsidRPr="003C0E2F" w:rsidRDefault="00FB5606" w:rsidP="00A2094F">
      <w:pPr>
        <w:pStyle w:val="NoSpacing"/>
      </w:pPr>
      <w:bookmarkStart w:id="756" w:name="_Toc60638895"/>
      <w:bookmarkStart w:id="757" w:name="_Toc63112029"/>
      <w:bookmarkStart w:id="758" w:name="_Toc63112246"/>
      <w:bookmarkStart w:id="759" w:name="_Toc63270386"/>
      <w:bookmarkStart w:id="760" w:name="_Toc64533253"/>
      <w:bookmarkStart w:id="761" w:name="_Toc64551800"/>
      <w:bookmarkStart w:id="762" w:name="_Toc80013844"/>
      <w:bookmarkStart w:id="763" w:name="_Toc82882983"/>
      <w:r w:rsidRPr="003C0E2F">
        <w:t xml:space="preserve">Figure </w:t>
      </w:r>
      <w:r w:rsidR="00862981">
        <w:fldChar w:fldCharType="begin"/>
      </w:r>
      <w:r w:rsidR="00862981">
        <w:instrText xml:space="preserve"> SEQ Figure \* ARABIC </w:instrText>
      </w:r>
      <w:r w:rsidR="00862981">
        <w:fldChar w:fldCharType="separate"/>
      </w:r>
      <w:r w:rsidR="000F2276">
        <w:rPr>
          <w:noProof/>
        </w:rPr>
        <w:t>42</w:t>
      </w:r>
      <w:r w:rsidR="00862981">
        <w:rPr>
          <w:noProof/>
        </w:rPr>
        <w:fldChar w:fldCharType="end"/>
      </w:r>
      <w:r w:rsidRPr="003C0E2F">
        <w:t>.</w:t>
      </w:r>
      <w:bookmarkStart w:id="764" w:name="_Toc48514852"/>
      <w:bookmarkStart w:id="765" w:name="_Toc55583762"/>
      <w:bookmarkStart w:id="766" w:name="_Toc55584940"/>
      <w:bookmarkStart w:id="767" w:name="_Toc60584055"/>
      <w:r w:rsidRPr="003C0E2F">
        <w:t xml:space="preserve"> Timing of LPS induced TLR4/TRIF-dependent signalling by </w:t>
      </w:r>
      <w:proofErr w:type="spellStart"/>
      <w:proofErr w:type="gramStart"/>
      <w:r w:rsidRPr="003C0E2F">
        <w:t>S.minnesota</w:t>
      </w:r>
      <w:proofErr w:type="spellEnd"/>
      <w:proofErr w:type="gramEnd"/>
      <w:r w:rsidRPr="003C0E2F">
        <w:t xml:space="preserve"> (S-Form) LPS. THP-1 </w:t>
      </w:r>
      <w:r w:rsidR="008F561F" w:rsidRPr="003C0E2F">
        <w:t>macrophage</w:t>
      </w:r>
      <w:r w:rsidRPr="003C0E2F">
        <w:t xml:space="preserve">s were exposed to LPS (100ng/ml) for 0-6 hours. Cell lysates were collected, and p-STAT or p-TBK1 was measured via </w:t>
      </w:r>
      <w:r w:rsidR="00030A76" w:rsidRPr="003C0E2F">
        <w:t>Western</w:t>
      </w:r>
      <w:r w:rsidRPr="003C0E2F">
        <w:t xml:space="preserve"> blot. Results were expressed as mean +/- standard deviation from three separate treatments. Significant results are shown as * = p&lt;0.05, ** = p&lt;0.01 *** = p&lt;0.001.</w:t>
      </w:r>
      <w:bookmarkEnd w:id="756"/>
      <w:bookmarkEnd w:id="757"/>
      <w:bookmarkEnd w:id="758"/>
      <w:bookmarkEnd w:id="759"/>
      <w:bookmarkEnd w:id="760"/>
      <w:bookmarkEnd w:id="761"/>
      <w:bookmarkEnd w:id="762"/>
      <w:bookmarkEnd w:id="763"/>
      <w:bookmarkEnd w:id="764"/>
      <w:bookmarkEnd w:id="765"/>
      <w:bookmarkEnd w:id="766"/>
      <w:bookmarkEnd w:id="767"/>
    </w:p>
    <w:p w14:paraId="73EBDAD0" w14:textId="21F4E1E8" w:rsidR="00B358FF" w:rsidRPr="003C0E2F" w:rsidRDefault="00B358FF">
      <w:pPr>
        <w:spacing w:line="259" w:lineRule="auto"/>
      </w:pPr>
    </w:p>
    <w:p w14:paraId="195DFF5D" w14:textId="7ACF0B27" w:rsidR="00672E7A" w:rsidRPr="003C0E2F" w:rsidRDefault="00672E7A" w:rsidP="008A689E">
      <w:r w:rsidRPr="003C0E2F">
        <w:t xml:space="preserve">To determine the best time for measurement of </w:t>
      </w:r>
      <w:r w:rsidR="009E42FE" w:rsidRPr="003C0E2F">
        <w:t>IP10</w:t>
      </w:r>
      <w:r w:rsidRPr="003C0E2F">
        <w:t xml:space="preserve"> and IFNβ, three timepoints were selected for investigation; 2 hours, 6 </w:t>
      </w:r>
      <w:r w:rsidR="007A7EEE" w:rsidRPr="003C0E2F">
        <w:t>hours,</w:t>
      </w:r>
      <w:r w:rsidRPr="003C0E2F">
        <w:t xml:space="preserve"> and 24 hours. Results from ELISA suggest, as with STAT-1 and </w:t>
      </w:r>
      <w:r w:rsidR="009E42FE" w:rsidRPr="003C0E2F">
        <w:t>TBK1</w:t>
      </w:r>
      <w:r w:rsidRPr="003C0E2F">
        <w:t xml:space="preserve">, that S and </w:t>
      </w:r>
      <w:r w:rsidR="00F80E29" w:rsidRPr="003C0E2F">
        <w:t>Ra-Form</w:t>
      </w:r>
      <w:r w:rsidRPr="003C0E2F">
        <w:t xml:space="preserve">s of LPS were more </w:t>
      </w:r>
      <w:r w:rsidR="008F561F" w:rsidRPr="003C0E2F">
        <w:t>effect</w:t>
      </w:r>
      <w:r w:rsidRPr="003C0E2F">
        <w:t>ive in stimulating production of these proteins. Again,</w:t>
      </w:r>
      <w:r w:rsidR="00EF58AC" w:rsidRPr="003C0E2F">
        <w:t xml:space="preserve"> </w:t>
      </w:r>
      <w:r w:rsidR="008A689E" w:rsidRPr="003C0E2F">
        <w:t xml:space="preserve">Re, Lipid A and MPLA showed no significant </w:t>
      </w:r>
      <w:r w:rsidR="008F561F" w:rsidRPr="003C0E2F">
        <w:t>effect</w:t>
      </w:r>
      <w:r w:rsidR="008A689E" w:rsidRPr="003C0E2F">
        <w:t xml:space="preserve">. LPS (S) was most </w:t>
      </w:r>
      <w:r w:rsidR="008F561F" w:rsidRPr="003C0E2F">
        <w:t>effect</w:t>
      </w:r>
      <w:r w:rsidR="008A689E" w:rsidRPr="003C0E2F">
        <w:t>ive in producing a response.</w:t>
      </w:r>
    </w:p>
    <w:p w14:paraId="0656A542" w14:textId="40495961" w:rsidR="008B59D5" w:rsidRPr="003C0E2F" w:rsidRDefault="008B59D5" w:rsidP="008B59D5">
      <w:r w:rsidRPr="003C0E2F">
        <w:lastRenderedPageBreak/>
        <w:t>Interestingly only LPS (S) produced a significant increase in IFNβ following exposure</w:t>
      </w:r>
      <w:r w:rsidR="00990C72" w:rsidRPr="003C0E2F">
        <w:t xml:space="preserve"> (Figure 43 A)</w:t>
      </w:r>
      <w:r w:rsidRPr="003C0E2F">
        <w:t xml:space="preserve">. This consisted of an initial increase in IFNβ production at two to six hours (P&lt;0.05). However, levels </w:t>
      </w:r>
      <w:r w:rsidR="00990C72" w:rsidRPr="003C0E2F">
        <w:t>o</w:t>
      </w:r>
      <w:r w:rsidRPr="003C0E2F">
        <w:t>f IFNβ fall later and are not significantly elevated after 24 hours</w:t>
      </w:r>
      <w:r w:rsidR="00523680" w:rsidRPr="003C0E2F">
        <w:t>.</w:t>
      </w:r>
      <w:r w:rsidRPr="003C0E2F">
        <w:t xml:space="preserve"> </w:t>
      </w:r>
      <w:r w:rsidR="00990C72" w:rsidRPr="003C0E2F">
        <w:t>2-hour collection time was selected for IFN</w:t>
      </w:r>
      <w:r w:rsidR="00990C72" w:rsidRPr="003C0E2F">
        <w:rPr>
          <w:rFonts w:cstheme="minorHAnsi"/>
        </w:rPr>
        <w:t>β</w:t>
      </w:r>
      <w:r w:rsidR="00990C72" w:rsidRPr="003C0E2F">
        <w:t xml:space="preserve"> measurement. </w:t>
      </w:r>
      <w:bookmarkStart w:id="768" w:name="_Hlk80824481"/>
      <w:r w:rsidR="00E34E58" w:rsidRPr="003C0E2F">
        <w:t xml:space="preserve">This </w:t>
      </w:r>
      <w:r w:rsidR="00990C72" w:rsidRPr="003C0E2F">
        <w:t>early release of IFN</w:t>
      </w:r>
      <w:r w:rsidR="00990C72" w:rsidRPr="003C0E2F">
        <w:rPr>
          <w:rFonts w:cstheme="minorHAnsi"/>
        </w:rPr>
        <w:t>β</w:t>
      </w:r>
      <w:r w:rsidR="00990C72" w:rsidRPr="003C0E2F">
        <w:t xml:space="preserve"> prior to</w:t>
      </w:r>
      <w:r w:rsidR="004238F2" w:rsidRPr="003C0E2F">
        <w:t xml:space="preserve"> the 3-hour peak in</w:t>
      </w:r>
      <w:r w:rsidR="00E34E58" w:rsidRPr="003C0E2F">
        <w:t xml:space="preserve"> STAT-1 phosphorylation</w:t>
      </w:r>
      <w:r w:rsidR="00523680" w:rsidRPr="003C0E2F">
        <w:t xml:space="preserve"> prompted investigation into the role of IFNAR signalling.</w:t>
      </w:r>
      <w:bookmarkEnd w:id="768"/>
    </w:p>
    <w:p w14:paraId="0C40086E" w14:textId="450E8A2D" w:rsidR="00BF5029" w:rsidRPr="003C0E2F" w:rsidRDefault="00D3097F" w:rsidP="00BF5029">
      <w:pPr>
        <w:keepNext/>
      </w:pPr>
      <w:r w:rsidRPr="003C0E2F">
        <w:object w:dxaOrig="11390" w:dyaOrig="4207" w14:anchorId="2702273D">
          <v:shape id="_x0000_i1049" type="#_x0000_t75" style="width:453pt;height:165.6pt" o:ole="">
            <v:imagedata r:id="rId107" o:title=""/>
          </v:shape>
          <o:OLEObject Type="Embed" ProgID="Prism6.Document" ShapeID="_x0000_i1049" DrawAspect="Content" ObjectID="_1701585007" r:id="rId108"/>
        </w:object>
      </w:r>
    </w:p>
    <w:p w14:paraId="7014ED9C" w14:textId="284FD161" w:rsidR="00D3097F" w:rsidRPr="003C0E2F" w:rsidRDefault="00BF5029" w:rsidP="00A2094F">
      <w:pPr>
        <w:pStyle w:val="NoSpacing"/>
      </w:pPr>
      <w:bookmarkStart w:id="769" w:name="_Toc60638896"/>
      <w:bookmarkStart w:id="770" w:name="_Toc63112030"/>
      <w:bookmarkStart w:id="771" w:name="_Toc63112247"/>
      <w:bookmarkStart w:id="772" w:name="_Toc63270387"/>
      <w:bookmarkStart w:id="773" w:name="_Toc64533254"/>
      <w:bookmarkStart w:id="774" w:name="_Toc64551801"/>
      <w:bookmarkStart w:id="775" w:name="_Toc80013845"/>
      <w:bookmarkStart w:id="776" w:name="_Toc82882984"/>
      <w:r w:rsidRPr="003C0E2F">
        <w:t xml:space="preserve">Figure </w:t>
      </w:r>
      <w:r w:rsidR="00862981">
        <w:fldChar w:fldCharType="begin"/>
      </w:r>
      <w:r w:rsidR="00862981">
        <w:instrText xml:space="preserve"> SEQ Figure \* ARABIC </w:instrText>
      </w:r>
      <w:r w:rsidR="00862981">
        <w:fldChar w:fldCharType="separate"/>
      </w:r>
      <w:r w:rsidR="000F2276">
        <w:rPr>
          <w:noProof/>
        </w:rPr>
        <w:t>43</w:t>
      </w:r>
      <w:r w:rsidR="00862981">
        <w:rPr>
          <w:noProof/>
        </w:rPr>
        <w:fldChar w:fldCharType="end"/>
      </w:r>
      <w:r w:rsidRPr="003C0E2F">
        <w:t>.</w:t>
      </w:r>
      <w:bookmarkStart w:id="777" w:name="_Toc48514853"/>
      <w:bookmarkStart w:id="778" w:name="_Toc55583763"/>
      <w:bookmarkStart w:id="779" w:name="_Toc55584941"/>
      <w:bookmarkStart w:id="780" w:name="_Toc60584056"/>
      <w:r w:rsidR="00D3097F" w:rsidRPr="003C0E2F">
        <w:t xml:space="preserve"> Timing of </w:t>
      </w:r>
      <w:proofErr w:type="spellStart"/>
      <w:r w:rsidR="004D59DD" w:rsidRPr="003C0E2F">
        <w:t>IFN</w:t>
      </w:r>
      <w:r w:rsidR="00C01CEE" w:rsidRPr="003C0E2F">
        <w:t>b</w:t>
      </w:r>
      <w:proofErr w:type="spellEnd"/>
      <w:r w:rsidR="00D3097F" w:rsidRPr="003C0E2F">
        <w:t xml:space="preserve"> </w:t>
      </w:r>
      <w:r w:rsidR="00755150" w:rsidRPr="003C0E2F">
        <w:t xml:space="preserve">and </w:t>
      </w:r>
      <w:r w:rsidR="009E42FE" w:rsidRPr="003C0E2F">
        <w:t>IP10</w:t>
      </w:r>
      <w:r w:rsidR="00755150" w:rsidRPr="003C0E2F">
        <w:t xml:space="preserve"> </w:t>
      </w:r>
      <w:r w:rsidR="00D3097F" w:rsidRPr="003C0E2F">
        <w:t xml:space="preserve">production following LPS stimulation in THP-1 </w:t>
      </w:r>
      <w:r w:rsidR="008F561F" w:rsidRPr="003C0E2F">
        <w:t>macrophage</w:t>
      </w:r>
      <w:r w:rsidR="00D3097F" w:rsidRPr="003C0E2F">
        <w:t xml:space="preserve">s. THP-1 </w:t>
      </w:r>
      <w:r w:rsidR="008F561F" w:rsidRPr="003C0E2F">
        <w:t>macrophage</w:t>
      </w:r>
      <w:r w:rsidR="00D3097F" w:rsidRPr="003C0E2F">
        <w:t>s were exposed to LPS (100ng/ml) of three different sources</w:t>
      </w:r>
      <w:r w:rsidR="00990C72" w:rsidRPr="003C0E2F">
        <w:t xml:space="preserve">; </w:t>
      </w:r>
      <w:proofErr w:type="spellStart"/>
      <w:proofErr w:type="gramStart"/>
      <w:r w:rsidR="008612D0" w:rsidRPr="003C0E2F">
        <w:t>S.minnesota</w:t>
      </w:r>
      <w:proofErr w:type="spellEnd"/>
      <w:proofErr w:type="gramEnd"/>
      <w:r w:rsidR="00D3097F" w:rsidRPr="003C0E2F">
        <w:t xml:space="preserve"> </w:t>
      </w:r>
      <w:bookmarkStart w:id="781" w:name="_Hlk80824617"/>
      <w:r w:rsidR="00D3097F" w:rsidRPr="003C0E2F">
        <w:t xml:space="preserve">(S), </w:t>
      </w:r>
      <w:proofErr w:type="spellStart"/>
      <w:r w:rsidR="008612D0" w:rsidRPr="003C0E2F">
        <w:t>S.minnesota</w:t>
      </w:r>
      <w:proofErr w:type="spellEnd"/>
      <w:r w:rsidR="00D3097F" w:rsidRPr="003C0E2F">
        <w:t xml:space="preserve"> (Re)</w:t>
      </w:r>
      <w:r w:rsidR="00990C72" w:rsidRPr="003C0E2F">
        <w:t>,</w:t>
      </w:r>
      <w:r w:rsidR="00D3097F" w:rsidRPr="003C0E2F">
        <w:t xml:space="preserve"> </w:t>
      </w:r>
      <w:r w:rsidR="008612D0" w:rsidRPr="003C0E2F">
        <w:t>E.coli</w:t>
      </w:r>
      <w:r w:rsidR="00D3097F" w:rsidRPr="003C0E2F">
        <w:t xml:space="preserve"> (Ra)</w:t>
      </w:r>
      <w:r w:rsidR="00990C72" w:rsidRPr="003C0E2F">
        <w:t xml:space="preserve">, </w:t>
      </w:r>
      <w:proofErr w:type="spellStart"/>
      <w:r w:rsidR="00990C72" w:rsidRPr="003C0E2F">
        <w:t>S.Minnesota</w:t>
      </w:r>
      <w:proofErr w:type="spellEnd"/>
      <w:r w:rsidR="00990C72" w:rsidRPr="003C0E2F">
        <w:t xml:space="preserve"> lipid A (LA) and MPLA (MP)</w:t>
      </w:r>
      <w:r w:rsidR="00D3097F" w:rsidRPr="003C0E2F">
        <w:t>.</w:t>
      </w:r>
      <w:r w:rsidR="00B450C2" w:rsidRPr="003C0E2F">
        <w:t xml:space="preserve"> C = Untreated cells.</w:t>
      </w:r>
      <w:r w:rsidR="00D3097F" w:rsidRPr="003C0E2F">
        <w:t xml:space="preserve"> </w:t>
      </w:r>
      <w:bookmarkEnd w:id="781"/>
      <w:r w:rsidR="00755150" w:rsidRPr="003C0E2F">
        <w:t>C</w:t>
      </w:r>
      <w:r w:rsidR="00D3097F" w:rsidRPr="003C0E2F">
        <w:t>ulture</w:t>
      </w:r>
      <w:r w:rsidR="00755150" w:rsidRPr="003C0E2F">
        <w:t xml:space="preserve"> medium</w:t>
      </w:r>
      <w:r w:rsidR="00D3097F" w:rsidRPr="003C0E2F">
        <w:t xml:space="preserve"> supernatants were then collected at 2-, 6- and </w:t>
      </w:r>
      <w:r w:rsidR="007A7EEE" w:rsidRPr="003C0E2F">
        <w:t>24-hour</w:t>
      </w:r>
      <w:r w:rsidR="00D3097F" w:rsidRPr="003C0E2F">
        <w:t xml:space="preserve"> </w:t>
      </w:r>
      <w:r w:rsidR="00755150" w:rsidRPr="003C0E2F">
        <w:t xml:space="preserve">time points after exposure and </w:t>
      </w:r>
      <w:r w:rsidR="00D3097F" w:rsidRPr="003C0E2F">
        <w:t xml:space="preserve">levels of </w:t>
      </w:r>
      <w:r w:rsidR="00755150" w:rsidRPr="003C0E2F">
        <w:t xml:space="preserve">(A) </w:t>
      </w:r>
      <w:r w:rsidR="00D3097F" w:rsidRPr="003C0E2F">
        <w:t>IFNβ</w:t>
      </w:r>
      <w:r w:rsidR="00755150" w:rsidRPr="003C0E2F">
        <w:t xml:space="preserve"> or (B) </w:t>
      </w:r>
      <w:r w:rsidR="009E42FE" w:rsidRPr="003C0E2F">
        <w:t>IP10</w:t>
      </w:r>
      <w:r w:rsidR="00D3097F" w:rsidRPr="003C0E2F">
        <w:t xml:space="preserve"> measured via ELISA. Results </w:t>
      </w:r>
      <w:r w:rsidR="00FB2320" w:rsidRPr="003C0E2F">
        <w:t>were</w:t>
      </w:r>
      <w:r w:rsidR="00D3097F" w:rsidRPr="003C0E2F">
        <w:t xml:space="preserve"> expressed as mean +/- standard deviation from three separate treatments. Significant results are shown as * = p&lt;0.05, ** = p&lt;0.01 *** = p&lt;0.001.</w:t>
      </w:r>
      <w:bookmarkEnd w:id="769"/>
      <w:bookmarkEnd w:id="770"/>
      <w:bookmarkEnd w:id="771"/>
      <w:bookmarkEnd w:id="772"/>
      <w:bookmarkEnd w:id="773"/>
      <w:bookmarkEnd w:id="774"/>
      <w:bookmarkEnd w:id="775"/>
      <w:bookmarkEnd w:id="776"/>
      <w:bookmarkEnd w:id="777"/>
      <w:bookmarkEnd w:id="778"/>
      <w:bookmarkEnd w:id="779"/>
      <w:bookmarkEnd w:id="780"/>
    </w:p>
    <w:p w14:paraId="2792ED91" w14:textId="4AB0A5B9" w:rsidR="00990C72" w:rsidRPr="003C0E2F" w:rsidRDefault="00990C72" w:rsidP="00990C72"/>
    <w:p w14:paraId="4EB119AA" w14:textId="77777777" w:rsidR="00B358FF" w:rsidRPr="003C0E2F" w:rsidRDefault="0003161B" w:rsidP="00990C72">
      <w:bookmarkStart w:id="782" w:name="_Hlk80824592"/>
      <w:r w:rsidRPr="003C0E2F">
        <w:t xml:space="preserve">IP10 production was a </w:t>
      </w:r>
      <w:r w:rsidR="00352AA4" w:rsidRPr="003C0E2F">
        <w:t>considerably</w:t>
      </w:r>
      <w:r w:rsidRPr="003C0E2F">
        <w:t xml:space="preserve"> later event than IFN</w:t>
      </w:r>
      <w:r w:rsidRPr="003C0E2F">
        <w:rPr>
          <w:rFonts w:cstheme="minorHAnsi"/>
        </w:rPr>
        <w:t>β</w:t>
      </w:r>
      <w:r w:rsidRPr="003C0E2F">
        <w:t xml:space="preserve">. </w:t>
      </w:r>
      <w:r w:rsidR="00990C72" w:rsidRPr="003C0E2F">
        <w:t>Following LPS stimulation, IP10 was released within 6 hours of LPS exposure and increases up to 24 hours (Figure 43 B).</w:t>
      </w:r>
      <w:r w:rsidR="00352AA4" w:rsidRPr="003C0E2F">
        <w:t xml:space="preserve"> While IFN</w:t>
      </w:r>
      <w:r w:rsidR="00352AA4" w:rsidRPr="003C0E2F">
        <w:rPr>
          <w:rFonts w:cstheme="minorHAnsi"/>
        </w:rPr>
        <w:t>β</w:t>
      </w:r>
      <w:r w:rsidR="00352AA4" w:rsidRPr="003C0E2F">
        <w:t xml:space="preserve"> production was more significantly affected by </w:t>
      </w:r>
      <w:proofErr w:type="spellStart"/>
      <w:proofErr w:type="gramStart"/>
      <w:r w:rsidR="00352AA4" w:rsidRPr="003C0E2F">
        <w:rPr>
          <w:i/>
          <w:iCs/>
        </w:rPr>
        <w:t>S.Minnesota</w:t>
      </w:r>
      <w:proofErr w:type="spellEnd"/>
      <w:proofErr w:type="gramEnd"/>
      <w:r w:rsidR="00352AA4" w:rsidRPr="003C0E2F">
        <w:rPr>
          <w:i/>
          <w:iCs/>
        </w:rPr>
        <w:t xml:space="preserve"> S</w:t>
      </w:r>
      <w:r w:rsidR="00352AA4" w:rsidRPr="003C0E2F">
        <w:t xml:space="preserve">-form LPS, IP-10 was also significantly elevated following </w:t>
      </w:r>
      <w:proofErr w:type="spellStart"/>
      <w:r w:rsidR="00352AA4" w:rsidRPr="003C0E2F">
        <w:rPr>
          <w:i/>
          <w:iCs/>
        </w:rPr>
        <w:t>E.Coli</w:t>
      </w:r>
      <w:proofErr w:type="spellEnd"/>
      <w:r w:rsidR="00352AA4" w:rsidRPr="003C0E2F">
        <w:t xml:space="preserve"> Ra-form LPS.</w:t>
      </w:r>
      <w:r w:rsidR="00990C72" w:rsidRPr="003C0E2F">
        <w:t xml:space="preserve"> 24-hour collection was selected for </w:t>
      </w:r>
      <w:r w:rsidR="008739DD" w:rsidRPr="003C0E2F">
        <w:t>measurement</w:t>
      </w:r>
      <w:r w:rsidR="00990C72" w:rsidRPr="003C0E2F">
        <w:t xml:space="preserve"> of IP10.</w:t>
      </w:r>
    </w:p>
    <w:p w14:paraId="59F4CE8F" w14:textId="77777777" w:rsidR="00B358FF" w:rsidRPr="003C0E2F" w:rsidRDefault="00B358FF" w:rsidP="00BF5029">
      <w:pPr>
        <w:keepNext/>
        <w:jc w:val="center"/>
      </w:pPr>
      <w:bookmarkStart w:id="783" w:name="_Toc38543308"/>
      <w:bookmarkEnd w:id="782"/>
    </w:p>
    <w:p w14:paraId="28C5C10A" w14:textId="02ADA08C" w:rsidR="00BF5029" w:rsidRPr="003C0E2F" w:rsidRDefault="00717BF8" w:rsidP="00BF5029">
      <w:pPr>
        <w:keepNext/>
        <w:jc w:val="center"/>
      </w:pPr>
      <w:r w:rsidRPr="003C0E2F">
        <w:rPr>
          <w:noProof/>
        </w:rPr>
        <w:drawing>
          <wp:inline distT="0" distB="0" distL="0" distR="0" wp14:anchorId="2544F7D8" wp14:editId="618209AF">
            <wp:extent cx="4011283" cy="3477334"/>
            <wp:effectExtent l="0" t="0" r="889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49067" cy="3510088"/>
                    </a:xfrm>
                    <a:prstGeom prst="rect">
                      <a:avLst/>
                    </a:prstGeom>
                    <a:noFill/>
                    <a:ln>
                      <a:noFill/>
                    </a:ln>
                  </pic:spPr>
                </pic:pic>
              </a:graphicData>
            </a:graphic>
          </wp:inline>
        </w:drawing>
      </w:r>
    </w:p>
    <w:p w14:paraId="6A7246E6" w14:textId="346C011D" w:rsidR="00FB5606" w:rsidRPr="003C0E2F" w:rsidRDefault="00BF5029" w:rsidP="00A2094F">
      <w:pPr>
        <w:pStyle w:val="NoSpacing"/>
      </w:pPr>
      <w:bookmarkStart w:id="784" w:name="_Toc60638897"/>
      <w:bookmarkStart w:id="785" w:name="_Toc63112031"/>
      <w:bookmarkStart w:id="786" w:name="_Toc63112248"/>
      <w:bookmarkStart w:id="787" w:name="_Toc63270388"/>
      <w:bookmarkStart w:id="788" w:name="_Toc64533255"/>
      <w:bookmarkStart w:id="789" w:name="_Toc64551802"/>
      <w:bookmarkStart w:id="790" w:name="_Toc80013846"/>
      <w:bookmarkStart w:id="791" w:name="_Toc82882985"/>
      <w:r w:rsidRPr="003C0E2F">
        <w:t xml:space="preserve">Figure </w:t>
      </w:r>
      <w:r w:rsidR="00862981">
        <w:fldChar w:fldCharType="begin"/>
      </w:r>
      <w:r w:rsidR="00862981">
        <w:instrText xml:space="preserve"> SEQ Figure \* ARABIC </w:instrText>
      </w:r>
      <w:r w:rsidR="00862981">
        <w:fldChar w:fldCharType="separate"/>
      </w:r>
      <w:r w:rsidR="000F2276">
        <w:rPr>
          <w:noProof/>
        </w:rPr>
        <w:t>44</w:t>
      </w:r>
      <w:r w:rsidR="00862981">
        <w:rPr>
          <w:noProof/>
        </w:rPr>
        <w:fldChar w:fldCharType="end"/>
      </w:r>
      <w:r w:rsidRPr="003C0E2F">
        <w:t>.</w:t>
      </w:r>
      <w:r w:rsidR="00755150" w:rsidRPr="003C0E2F">
        <w:t xml:space="preserve"> </w:t>
      </w:r>
      <w:r w:rsidR="00717BF8" w:rsidRPr="003C0E2F">
        <w:t xml:space="preserve">FP7 and FP12 display similar antagonistic </w:t>
      </w:r>
      <w:r w:rsidR="008F561F" w:rsidRPr="003C0E2F">
        <w:t>effect</w:t>
      </w:r>
      <w:r w:rsidR="00717BF8" w:rsidRPr="003C0E2F">
        <w:t xml:space="preserve">s on THP-1 </w:t>
      </w:r>
      <w:r w:rsidR="008F561F" w:rsidRPr="003C0E2F">
        <w:t>macrophage</w:t>
      </w:r>
      <w:r w:rsidR="00717BF8" w:rsidRPr="003C0E2F">
        <w:t xml:space="preserve">s stimulated by S-form S. Minnesota LPS as previously used Re-form </w:t>
      </w:r>
      <w:proofErr w:type="spellStart"/>
      <w:proofErr w:type="gramStart"/>
      <w:r w:rsidR="008612D0" w:rsidRPr="003C0E2F">
        <w:t>S.minnesota</w:t>
      </w:r>
      <w:proofErr w:type="spellEnd"/>
      <w:proofErr w:type="gramEnd"/>
      <w:r w:rsidR="00717BF8" w:rsidRPr="003C0E2F">
        <w:t xml:space="preserve"> LPS. Thp-1 </w:t>
      </w:r>
      <w:r w:rsidR="008F561F" w:rsidRPr="003C0E2F">
        <w:t>macrophage</w:t>
      </w:r>
      <w:r w:rsidR="00717BF8" w:rsidRPr="003C0E2F">
        <w:t xml:space="preserve">s were treated with FP7 or FP12 (10μM) for 1 hour prior to LPS exposure. </w:t>
      </w:r>
      <w:r w:rsidR="00A2094F" w:rsidRPr="003C0E2F">
        <w:t>C</w:t>
      </w:r>
      <w:r w:rsidR="00217D9B" w:rsidRPr="003C0E2F">
        <w:t>ontrol</w:t>
      </w:r>
      <w:r w:rsidR="00A2094F" w:rsidRPr="003C0E2F">
        <w:t xml:space="preserve"> (C)</w:t>
      </w:r>
      <w:r w:rsidR="00217D9B" w:rsidRPr="003C0E2F">
        <w:t xml:space="preserve"> is with vehicle only. </w:t>
      </w:r>
      <w:r w:rsidR="00717BF8" w:rsidRPr="003C0E2F">
        <w:t>Medium was collected after 18 hours and IL-1β production was measured via ELISA. Results were expressed as mean +/- standard deviation from three separate treatments. Significant results are shown as * = p&lt;0.05, ** = p&lt;0.01 *** = p&lt;0.001.</w:t>
      </w:r>
      <w:bookmarkEnd w:id="784"/>
      <w:bookmarkEnd w:id="785"/>
      <w:bookmarkEnd w:id="786"/>
      <w:bookmarkEnd w:id="787"/>
      <w:bookmarkEnd w:id="788"/>
      <w:bookmarkEnd w:id="789"/>
      <w:bookmarkEnd w:id="790"/>
      <w:r w:rsidR="00993412" w:rsidRPr="003C0E2F">
        <w:t xml:space="preserve"> </w:t>
      </w:r>
      <w:bookmarkStart w:id="792" w:name="_Hlk80824720"/>
      <w:r w:rsidR="00993412" w:rsidRPr="003C0E2F">
        <w:t>C=Control L=LPS, F7=FP7, F12=FP12.</w:t>
      </w:r>
      <w:bookmarkEnd w:id="791"/>
      <w:bookmarkEnd w:id="792"/>
    </w:p>
    <w:p w14:paraId="7F61DC2E" w14:textId="77777777" w:rsidR="00B358FF" w:rsidRPr="003C0E2F" w:rsidRDefault="00B358FF" w:rsidP="00B358FF"/>
    <w:p w14:paraId="1FA52A88" w14:textId="1E5D6113" w:rsidR="00B358FF" w:rsidRPr="003C0E2F" w:rsidRDefault="00B358FF" w:rsidP="00B358FF">
      <w:r w:rsidRPr="003C0E2F">
        <w:t xml:space="preserve">Endpoint production of IFNs is associated with TLR4/TRIF signalling. An initial investigation of the effect of LPS chemotypes on IFNβ production following exposure was carried out in addition. IFNβ was seen to be present in culture medium at as soon as 2 hours following exposure to LPS. </w:t>
      </w:r>
      <w:proofErr w:type="spellStart"/>
      <w:proofErr w:type="gramStart"/>
      <w:r w:rsidRPr="003C0E2F">
        <w:rPr>
          <w:i/>
        </w:rPr>
        <w:t>S.minnesota</w:t>
      </w:r>
      <w:proofErr w:type="spellEnd"/>
      <w:proofErr w:type="gramEnd"/>
      <w:r w:rsidRPr="003C0E2F">
        <w:t xml:space="preserve"> (S) and </w:t>
      </w:r>
      <w:r w:rsidRPr="003C0E2F">
        <w:rPr>
          <w:i/>
          <w:iCs/>
        </w:rPr>
        <w:t>E.coli</w:t>
      </w:r>
      <w:r w:rsidRPr="003C0E2F">
        <w:t xml:space="preserve"> (Ra) are both capable of inducing IFNβ production, but not </w:t>
      </w:r>
      <w:proofErr w:type="spellStart"/>
      <w:r w:rsidRPr="003C0E2F">
        <w:rPr>
          <w:i/>
        </w:rPr>
        <w:t>S.minnesota</w:t>
      </w:r>
      <w:proofErr w:type="spellEnd"/>
      <w:r w:rsidRPr="003C0E2F">
        <w:t xml:space="preserve"> (Ra). This elevation in IFNβ following activation subsequently decreases over time and there are </w:t>
      </w:r>
      <w:r w:rsidRPr="003C0E2F">
        <w:lastRenderedPageBreak/>
        <w:t>substantially lower levels at 24 hours as compared to 2 hour and 6-hour time points. Thus, earlier collection of medium, between two and 6 hours, medium is required for measurement of IFNβ.</w:t>
      </w:r>
    </w:p>
    <w:p w14:paraId="3856D405" w14:textId="1A3318E4" w:rsidR="00993412" w:rsidRPr="003C0E2F" w:rsidRDefault="00FB5606" w:rsidP="00FB5606">
      <w:r w:rsidRPr="003C0E2F">
        <w:t xml:space="preserve">To verify that FP7 and FP12 function as antagonists in response to both S and previously used Re-Forms of LPS used in this study, the ability of FP7 and FP12 to downregulate LPS induced IL-1β production was measured via ELISA. Previously used Re-form </w:t>
      </w:r>
      <w:proofErr w:type="spellStart"/>
      <w:proofErr w:type="gramStart"/>
      <w:r w:rsidRPr="003C0E2F">
        <w:rPr>
          <w:i/>
        </w:rPr>
        <w:t>S.minnesota</w:t>
      </w:r>
      <w:proofErr w:type="spellEnd"/>
      <w:proofErr w:type="gramEnd"/>
      <w:r w:rsidRPr="003C0E2F">
        <w:t xml:space="preserve"> LPS and S-form </w:t>
      </w:r>
      <w:proofErr w:type="spellStart"/>
      <w:r w:rsidRPr="003C0E2F">
        <w:rPr>
          <w:i/>
        </w:rPr>
        <w:t>S.minnesota</w:t>
      </w:r>
      <w:proofErr w:type="spellEnd"/>
      <w:r w:rsidRPr="003C0E2F">
        <w:t xml:space="preserve"> LPS were compared and both produced a significant increase in IL-1β after overnight exposures. The S-form LPS produced a greater increase in IL-1β than previously seen with Re-form LPS (Figure 44). FP7 and FP12 showed similar </w:t>
      </w:r>
      <w:r w:rsidR="008F561F" w:rsidRPr="003C0E2F">
        <w:t>effect</w:t>
      </w:r>
      <w:r w:rsidRPr="003C0E2F">
        <w:t>s to that previously seen and were capable of downregulating IL-1β production by both forms of LPS to a comparable level to the control.</w:t>
      </w:r>
    </w:p>
    <w:p w14:paraId="354EA717" w14:textId="77777777" w:rsidR="00993412" w:rsidRPr="003C0E2F" w:rsidRDefault="00993412">
      <w:pPr>
        <w:spacing w:line="259" w:lineRule="auto"/>
      </w:pPr>
      <w:r w:rsidRPr="003C0E2F">
        <w:br w:type="page"/>
      </w:r>
    </w:p>
    <w:p w14:paraId="401FDD6C" w14:textId="0DFB0A19" w:rsidR="00D3097F" w:rsidRPr="003C0E2F" w:rsidRDefault="00D3097F" w:rsidP="00D55B0E">
      <w:pPr>
        <w:pStyle w:val="Heading3"/>
      </w:pPr>
      <w:bookmarkStart w:id="793" w:name="_Toc80013783"/>
      <w:bookmarkStart w:id="794" w:name="_Toc82882403"/>
      <w:r w:rsidRPr="003C0E2F">
        <w:lastRenderedPageBreak/>
        <w:t>FP7 and FP12 negatively regulate TRIF-</w:t>
      </w:r>
      <w:r w:rsidR="009E0322" w:rsidRPr="003C0E2F">
        <w:t>dependent</w:t>
      </w:r>
      <w:r w:rsidRPr="003C0E2F">
        <w:t xml:space="preserve"> </w:t>
      </w:r>
      <w:r w:rsidR="009E42FE" w:rsidRPr="003C0E2F">
        <w:t>TBK1</w:t>
      </w:r>
      <w:r w:rsidRPr="003C0E2F">
        <w:t xml:space="preserve"> phosphorylation in THP-1 </w:t>
      </w:r>
      <w:r w:rsidR="008F561F" w:rsidRPr="003C0E2F">
        <w:t>macrophage</w:t>
      </w:r>
      <w:r w:rsidRPr="003C0E2F">
        <w:t>s</w:t>
      </w:r>
      <w:bookmarkEnd w:id="783"/>
      <w:bookmarkEnd w:id="793"/>
      <w:bookmarkEnd w:id="794"/>
    </w:p>
    <w:p w14:paraId="3DFCEE42" w14:textId="77777777" w:rsidR="00993412" w:rsidRPr="003C0E2F" w:rsidRDefault="009E42FE" w:rsidP="00993412">
      <w:r w:rsidRPr="003C0E2F">
        <w:t>TBK1</w:t>
      </w:r>
      <w:r w:rsidR="00672E7A" w:rsidRPr="003C0E2F">
        <w:t xml:space="preserve"> and </w:t>
      </w:r>
      <w:r w:rsidR="007A0F7C" w:rsidRPr="003C0E2F">
        <w:t>STAT-1</w:t>
      </w:r>
      <w:r w:rsidR="00672E7A" w:rsidRPr="003C0E2F">
        <w:t xml:space="preserve"> are associated with TLR4/</w:t>
      </w:r>
      <w:r w:rsidR="00A9277D" w:rsidRPr="003C0E2F">
        <w:t>TRIF-</w:t>
      </w:r>
      <w:r w:rsidR="009E0322" w:rsidRPr="003C0E2F">
        <w:t>dependent</w:t>
      </w:r>
      <w:r w:rsidR="00672E7A" w:rsidRPr="003C0E2F">
        <w:t xml:space="preserve"> signalling. Following upregulation in response to LPS, both FP7 and FP12 significantly reduce p-</w:t>
      </w:r>
      <w:r w:rsidRPr="003C0E2F">
        <w:t>TBK1</w:t>
      </w:r>
      <w:r w:rsidR="00672E7A" w:rsidRPr="003C0E2F">
        <w:t xml:space="preserve"> (Figure 45), to a level comparable to the controls. Results suggest FP7 and F12 can negatively regulate </w:t>
      </w:r>
      <w:r w:rsidR="00A9277D" w:rsidRPr="003C0E2F">
        <w:t>TRIF-</w:t>
      </w:r>
      <w:r w:rsidR="009E0322" w:rsidRPr="003C0E2F">
        <w:t>dependent</w:t>
      </w:r>
      <w:r w:rsidR="00672E7A" w:rsidRPr="003C0E2F">
        <w:t xml:space="preserve"> TBK</w:t>
      </w:r>
      <w:r w:rsidR="00755150" w:rsidRPr="003C0E2F">
        <w:t>1</w:t>
      </w:r>
      <w:r w:rsidR="00672E7A" w:rsidRPr="003C0E2F">
        <w:t xml:space="preserve"> activation and thereby </w:t>
      </w:r>
      <w:r w:rsidR="00A9277D" w:rsidRPr="003C0E2F">
        <w:t>TRIF-</w:t>
      </w:r>
      <w:r w:rsidR="009E0322" w:rsidRPr="003C0E2F">
        <w:t>dependent</w:t>
      </w:r>
      <w:r w:rsidR="00672E7A" w:rsidRPr="003C0E2F">
        <w:t xml:space="preserve"> signalling. </w:t>
      </w:r>
    </w:p>
    <w:p w14:paraId="71858FD9" w14:textId="5172D908" w:rsidR="00BF5029" w:rsidRPr="003C0E2F" w:rsidRDefault="00002BFC" w:rsidP="00002BFC">
      <w:pPr>
        <w:jc w:val="center"/>
      </w:pPr>
      <w:r w:rsidRPr="003C0E2F">
        <w:object w:dxaOrig="6130" w:dyaOrig="5491" w14:anchorId="18A81BD1">
          <v:shape id="_x0000_i1050" type="#_x0000_t75" style="width:331.8pt;height:302.4pt" o:ole="">
            <v:imagedata r:id="rId110" o:title=""/>
          </v:shape>
          <o:OLEObject Type="Embed" ProgID="Prism6.Document" ShapeID="_x0000_i1050" DrawAspect="Content" ObjectID="_1701585008" r:id="rId111"/>
        </w:object>
      </w:r>
    </w:p>
    <w:p w14:paraId="6845291A" w14:textId="0A5EF409" w:rsidR="00D3097F" w:rsidRPr="003C0E2F" w:rsidRDefault="00BF5029" w:rsidP="00A2094F">
      <w:pPr>
        <w:pStyle w:val="NoSpacing"/>
      </w:pPr>
      <w:bookmarkStart w:id="795" w:name="_Toc60638898"/>
      <w:bookmarkStart w:id="796" w:name="_Toc63112032"/>
      <w:bookmarkStart w:id="797" w:name="_Toc63112249"/>
      <w:bookmarkStart w:id="798" w:name="_Toc63270389"/>
      <w:bookmarkStart w:id="799" w:name="_Toc64533256"/>
      <w:bookmarkStart w:id="800" w:name="_Toc64551803"/>
      <w:bookmarkStart w:id="801" w:name="_Toc80013847"/>
      <w:bookmarkStart w:id="802" w:name="_Toc82882986"/>
      <w:r w:rsidRPr="003C0E2F">
        <w:t xml:space="preserve">Figure </w:t>
      </w:r>
      <w:r w:rsidR="00862981">
        <w:fldChar w:fldCharType="begin"/>
      </w:r>
      <w:r w:rsidR="00862981">
        <w:instrText xml:space="preserve"> SEQ Figure \* ARABIC </w:instrText>
      </w:r>
      <w:r w:rsidR="00862981">
        <w:fldChar w:fldCharType="separate"/>
      </w:r>
      <w:r w:rsidR="000F2276">
        <w:rPr>
          <w:noProof/>
        </w:rPr>
        <w:t>45</w:t>
      </w:r>
      <w:r w:rsidR="00862981">
        <w:rPr>
          <w:noProof/>
        </w:rPr>
        <w:fldChar w:fldCharType="end"/>
      </w:r>
      <w:r w:rsidRPr="003C0E2F">
        <w:t>.</w:t>
      </w:r>
      <w:bookmarkStart w:id="803" w:name="_Toc48514854"/>
      <w:bookmarkStart w:id="804" w:name="_Toc55583764"/>
      <w:bookmarkStart w:id="805" w:name="_Toc55584942"/>
      <w:bookmarkStart w:id="806" w:name="_Toc60584057"/>
      <w:r w:rsidR="00D3097F" w:rsidRPr="003C0E2F">
        <w:t xml:space="preserve"> FP7 and FP12 negatively regulate LPS</w:t>
      </w:r>
      <w:r w:rsidR="000A1BFB" w:rsidRPr="003C0E2F">
        <w:t xml:space="preserve"> induced</w:t>
      </w:r>
      <w:r w:rsidR="00D3097F" w:rsidRPr="003C0E2F">
        <w:t xml:space="preserve"> </w:t>
      </w:r>
      <w:r w:rsidR="009E42FE" w:rsidRPr="003C0E2F">
        <w:t>TBK1</w:t>
      </w:r>
      <w:r w:rsidR="00D3097F" w:rsidRPr="003C0E2F">
        <w:t xml:space="preserve"> phosphorylation. THP-1 </w:t>
      </w:r>
      <w:r w:rsidR="008F561F" w:rsidRPr="003C0E2F">
        <w:t>macrophage</w:t>
      </w:r>
      <w:r w:rsidR="00D3097F" w:rsidRPr="003C0E2F">
        <w:t>s were treated with FP7 or FP12 (10µM) for 1 hour prior to LPS (100ng/ml) exposure.</w:t>
      </w:r>
      <w:r w:rsidR="00BD3E38" w:rsidRPr="003C0E2F">
        <w:t xml:space="preserve"> </w:t>
      </w:r>
      <w:r w:rsidR="00504096" w:rsidRPr="003C0E2F">
        <w:t xml:space="preserve">Untreated control </w:t>
      </w:r>
      <w:r w:rsidR="00A2094F" w:rsidRPr="003C0E2F">
        <w:t>(-)</w:t>
      </w:r>
      <w:r w:rsidR="00504096" w:rsidRPr="003C0E2F">
        <w:t xml:space="preserve"> is with vehicle </w:t>
      </w:r>
      <w:proofErr w:type="gramStart"/>
      <w:r w:rsidR="00504096" w:rsidRPr="003C0E2F">
        <w:t xml:space="preserve">only </w:t>
      </w:r>
      <w:r w:rsidR="00BD3E38" w:rsidRPr="003C0E2F">
        <w:t>.</w:t>
      </w:r>
      <w:proofErr w:type="gramEnd"/>
      <w:r w:rsidR="00BD3E38" w:rsidRPr="003C0E2F">
        <w:t xml:space="preserve"> </w:t>
      </w:r>
      <w:r w:rsidR="00D3097F" w:rsidRPr="003C0E2F">
        <w:t xml:space="preserve">Cell lysates were collected and analysed after 30 minutes via </w:t>
      </w:r>
      <w:r w:rsidR="00030A76" w:rsidRPr="003C0E2F">
        <w:t>Western</w:t>
      </w:r>
      <w:r w:rsidR="00D3097F" w:rsidRPr="003C0E2F">
        <w:t xml:space="preserve"> blot. Results are expressed as mean +/- standard deviation from three separate treatments. Significant results are shown as * = p&lt;0.05, ** = p&lt;0.01 *** = p&lt;0.001.</w:t>
      </w:r>
      <w:bookmarkEnd w:id="795"/>
      <w:bookmarkEnd w:id="796"/>
      <w:bookmarkEnd w:id="797"/>
      <w:bookmarkEnd w:id="798"/>
      <w:bookmarkEnd w:id="799"/>
      <w:bookmarkEnd w:id="800"/>
      <w:bookmarkEnd w:id="801"/>
      <w:bookmarkEnd w:id="802"/>
      <w:bookmarkEnd w:id="803"/>
      <w:bookmarkEnd w:id="804"/>
      <w:bookmarkEnd w:id="805"/>
      <w:bookmarkEnd w:id="806"/>
    </w:p>
    <w:p w14:paraId="75E79ED6" w14:textId="77777777" w:rsidR="00D3097F" w:rsidRPr="003C0E2F" w:rsidRDefault="00D3097F" w:rsidP="00E959C5">
      <w:pPr>
        <w:pStyle w:val="NoSpacing"/>
      </w:pPr>
    </w:p>
    <w:p w14:paraId="51C57865" w14:textId="77777777" w:rsidR="00D3097F" w:rsidRPr="003C0E2F" w:rsidRDefault="00D3097F" w:rsidP="00E959C5">
      <w:pPr>
        <w:pStyle w:val="NoSpacing"/>
      </w:pPr>
    </w:p>
    <w:p w14:paraId="20A4BF19" w14:textId="33765567" w:rsidR="00D3097F" w:rsidRPr="003C0E2F" w:rsidRDefault="00D3097F" w:rsidP="00D55B0E">
      <w:pPr>
        <w:pStyle w:val="Heading3"/>
      </w:pPr>
      <w:bookmarkStart w:id="807" w:name="_Toc38543309"/>
      <w:bookmarkStart w:id="808" w:name="_Toc80013784"/>
      <w:bookmarkStart w:id="809" w:name="_Toc82882404"/>
      <w:r w:rsidRPr="003C0E2F">
        <w:lastRenderedPageBreak/>
        <w:t>FP7 and FP12 negatively regulate LPS</w:t>
      </w:r>
      <w:r w:rsidR="00D806A2" w:rsidRPr="003C0E2F">
        <w:t>-</w:t>
      </w:r>
      <w:r w:rsidR="000A1BFB" w:rsidRPr="003C0E2F">
        <w:t>induced</w:t>
      </w:r>
      <w:r w:rsidRPr="003C0E2F">
        <w:t xml:space="preserve"> </w:t>
      </w:r>
      <w:r w:rsidR="009E42FE" w:rsidRPr="003C0E2F">
        <w:t>IP10</w:t>
      </w:r>
      <w:r w:rsidRPr="003C0E2F">
        <w:t xml:space="preserve"> and IFNβ production in THP-1 </w:t>
      </w:r>
      <w:r w:rsidR="008F561F" w:rsidRPr="003C0E2F">
        <w:t>macrophage</w:t>
      </w:r>
      <w:r w:rsidRPr="003C0E2F">
        <w:t>s</w:t>
      </w:r>
      <w:bookmarkEnd w:id="807"/>
      <w:bookmarkEnd w:id="808"/>
      <w:bookmarkEnd w:id="809"/>
      <w:r w:rsidRPr="003C0E2F">
        <w:t xml:space="preserve"> </w:t>
      </w:r>
      <w:r w:rsidRPr="003C0E2F">
        <w:tab/>
      </w:r>
    </w:p>
    <w:p w14:paraId="09156D90" w14:textId="5027FAC9" w:rsidR="00621C78" w:rsidRPr="003C0E2F" w:rsidRDefault="00A9277D" w:rsidP="00621C78">
      <w:r w:rsidRPr="003C0E2F">
        <w:t>TRIF-</w:t>
      </w:r>
      <w:r w:rsidR="009E0322" w:rsidRPr="003C0E2F">
        <w:t>dependent</w:t>
      </w:r>
      <w:r w:rsidR="00621C78" w:rsidRPr="003C0E2F">
        <w:t xml:space="preserve"> signalling is characterised by internalisation of the receptor complex and downstream production of IFNs. IFNβ and </w:t>
      </w:r>
      <w:r w:rsidR="009E42FE" w:rsidRPr="003C0E2F">
        <w:t>IP10</w:t>
      </w:r>
      <w:r w:rsidR="00621C78" w:rsidRPr="003C0E2F">
        <w:t xml:space="preserve"> have previously been associated with </w:t>
      </w:r>
      <w:r w:rsidRPr="003C0E2F">
        <w:t>TRIF-</w:t>
      </w:r>
      <w:r w:rsidR="009E0322" w:rsidRPr="003C0E2F">
        <w:t>dependent</w:t>
      </w:r>
      <w:r w:rsidR="00621C78" w:rsidRPr="003C0E2F">
        <w:t xml:space="preserve"> signalling. As such, measurement of these were selected for measurement of endpoint </w:t>
      </w:r>
      <w:r w:rsidRPr="003C0E2F">
        <w:t>TRIF-</w:t>
      </w:r>
      <w:r w:rsidR="009E0322" w:rsidRPr="003C0E2F">
        <w:t>dependent</w:t>
      </w:r>
      <w:r w:rsidR="00621C78" w:rsidRPr="003C0E2F">
        <w:t xml:space="preserve"> activation. To determine the </w:t>
      </w:r>
      <w:r w:rsidR="008F561F" w:rsidRPr="003C0E2F">
        <w:t>effect</w:t>
      </w:r>
      <w:r w:rsidR="00621C78" w:rsidRPr="003C0E2F">
        <w:t xml:space="preserve"> of FP7 and FP12 on IFNβ production, culture supernatants were analysed via ELISA. </w:t>
      </w:r>
    </w:p>
    <w:p w14:paraId="47CD9F94" w14:textId="429A5779" w:rsidR="003F460B" w:rsidRPr="003C0E2F" w:rsidRDefault="003F460B" w:rsidP="003F460B">
      <w:r w:rsidRPr="003C0E2F">
        <w:br/>
      </w:r>
      <w:r w:rsidRPr="003C0E2F">
        <w:object w:dxaOrig="11141" w:dyaOrig="4399" w14:anchorId="2C9AC03D">
          <v:shape id="_x0000_i1051" type="#_x0000_t75" style="width:454.2pt;height:180pt" o:ole="">
            <v:imagedata r:id="rId112" o:title=""/>
          </v:shape>
          <o:OLEObject Type="Embed" ProgID="Prism6.Document" ShapeID="_x0000_i1051" DrawAspect="Content" ObjectID="_1701585009" r:id="rId113"/>
        </w:object>
      </w:r>
    </w:p>
    <w:p w14:paraId="366FCC2E" w14:textId="1CD9BE15" w:rsidR="003F460B" w:rsidRPr="003C0E2F" w:rsidRDefault="003F460B" w:rsidP="00A2094F">
      <w:pPr>
        <w:pStyle w:val="NoSpacing"/>
      </w:pPr>
      <w:bookmarkStart w:id="810" w:name="_Toc60638899"/>
      <w:bookmarkStart w:id="811" w:name="_Toc63112033"/>
      <w:bookmarkStart w:id="812" w:name="_Toc63112250"/>
      <w:bookmarkStart w:id="813" w:name="_Toc63270390"/>
      <w:bookmarkStart w:id="814" w:name="_Toc64533257"/>
      <w:bookmarkStart w:id="815" w:name="_Toc64551804"/>
      <w:bookmarkStart w:id="816" w:name="_Toc80013848"/>
      <w:bookmarkStart w:id="817" w:name="_Toc82882987"/>
      <w:r w:rsidRPr="003C0E2F">
        <w:t xml:space="preserve">Figure </w:t>
      </w:r>
      <w:r w:rsidR="00862981">
        <w:fldChar w:fldCharType="begin"/>
      </w:r>
      <w:r w:rsidR="00862981">
        <w:instrText xml:space="preserve"> SEQ Figure \* ARABIC </w:instrText>
      </w:r>
      <w:r w:rsidR="00862981">
        <w:fldChar w:fldCharType="separate"/>
      </w:r>
      <w:r w:rsidR="000F2276">
        <w:rPr>
          <w:noProof/>
        </w:rPr>
        <w:t>46</w:t>
      </w:r>
      <w:r w:rsidR="00862981">
        <w:rPr>
          <w:noProof/>
        </w:rPr>
        <w:fldChar w:fldCharType="end"/>
      </w:r>
      <w:r w:rsidRPr="003C0E2F">
        <w:t>.</w:t>
      </w:r>
      <w:bookmarkStart w:id="818" w:name="_Toc48514855"/>
      <w:bookmarkStart w:id="819" w:name="_Toc55583765"/>
      <w:bookmarkStart w:id="820" w:name="_Toc55584943"/>
      <w:bookmarkStart w:id="821" w:name="_Toc60584058"/>
      <w:r w:rsidRPr="003C0E2F">
        <w:t xml:space="preserve"> FP7 and FP12 negatively regular LPS induced IFNβ and </w:t>
      </w:r>
      <w:r w:rsidR="009E42FE" w:rsidRPr="003C0E2F">
        <w:t>IP10</w:t>
      </w:r>
      <w:r w:rsidRPr="003C0E2F">
        <w:t xml:space="preserve">. THP-1 </w:t>
      </w:r>
      <w:r w:rsidR="008F561F" w:rsidRPr="003C0E2F">
        <w:t>macrophage</w:t>
      </w:r>
      <w:r w:rsidRPr="003C0E2F">
        <w:t>s were treated with FP7 or FP12 for 1 hour prior to LPS (100ng/ml) exposure.</w:t>
      </w:r>
      <w:r w:rsidR="00BD3E38" w:rsidRPr="003C0E2F">
        <w:t xml:space="preserve"> </w:t>
      </w:r>
      <w:r w:rsidR="00504096" w:rsidRPr="003C0E2F">
        <w:t xml:space="preserve">Untreated control </w:t>
      </w:r>
      <w:r w:rsidR="00A2094F" w:rsidRPr="003C0E2F">
        <w:t>(-)</w:t>
      </w:r>
      <w:r w:rsidR="00504096" w:rsidRPr="003C0E2F">
        <w:t xml:space="preserve"> is with vehicle </w:t>
      </w:r>
      <w:proofErr w:type="gramStart"/>
      <w:r w:rsidR="00504096" w:rsidRPr="003C0E2F">
        <w:t xml:space="preserve">only </w:t>
      </w:r>
      <w:r w:rsidR="00BD3E38" w:rsidRPr="003C0E2F">
        <w:t>.</w:t>
      </w:r>
      <w:proofErr w:type="gramEnd"/>
      <w:r w:rsidR="00BD3E38" w:rsidRPr="003C0E2F">
        <w:t xml:space="preserve"> </w:t>
      </w:r>
      <w:r w:rsidRPr="003C0E2F">
        <w:t xml:space="preserve">Culture supernatants were then collected at 2.5 hours or 24 hours and levels of IFNβ and </w:t>
      </w:r>
      <w:r w:rsidR="009E42FE" w:rsidRPr="003C0E2F">
        <w:t>IP10</w:t>
      </w:r>
      <w:r w:rsidRPr="003C0E2F">
        <w:t xml:space="preserve"> measured via ELISA. Results are expressed as mean +/- standard deviation from three separate treatments. Significant results were shown as * = p&lt;0.05, ** = p&lt;0.01 *** = p&lt;0.001.</w:t>
      </w:r>
      <w:bookmarkEnd w:id="810"/>
      <w:bookmarkEnd w:id="811"/>
      <w:bookmarkEnd w:id="812"/>
      <w:bookmarkEnd w:id="813"/>
      <w:bookmarkEnd w:id="814"/>
      <w:bookmarkEnd w:id="815"/>
      <w:bookmarkEnd w:id="816"/>
      <w:bookmarkEnd w:id="817"/>
      <w:bookmarkEnd w:id="818"/>
      <w:bookmarkEnd w:id="819"/>
      <w:bookmarkEnd w:id="820"/>
      <w:bookmarkEnd w:id="821"/>
    </w:p>
    <w:p w14:paraId="40347EBB" w14:textId="77777777" w:rsidR="003F460B" w:rsidRPr="003C0E2F" w:rsidRDefault="003F460B" w:rsidP="003F460B">
      <w:pPr>
        <w:pStyle w:val="NoSpacing"/>
      </w:pPr>
    </w:p>
    <w:p w14:paraId="63196319" w14:textId="3A103A0F" w:rsidR="003F460B" w:rsidRPr="003C0E2F" w:rsidRDefault="00621C78" w:rsidP="00FB5606">
      <w:r w:rsidRPr="003C0E2F">
        <w:t xml:space="preserve">Following exposure to </w:t>
      </w:r>
      <w:proofErr w:type="spellStart"/>
      <w:proofErr w:type="gramStart"/>
      <w:r w:rsidR="008612D0" w:rsidRPr="003C0E2F">
        <w:rPr>
          <w:i/>
        </w:rPr>
        <w:t>S.minnesota</w:t>
      </w:r>
      <w:proofErr w:type="spellEnd"/>
      <w:proofErr w:type="gramEnd"/>
      <w:r w:rsidRPr="003C0E2F">
        <w:t xml:space="preserve"> (S) LPS, IFNβ levels were shown to increase significantly. FP7 and FP12 were both capable of downregulating this LPS</w:t>
      </w:r>
      <w:r w:rsidR="000A1BFB" w:rsidRPr="003C0E2F">
        <w:t xml:space="preserve"> induced</w:t>
      </w:r>
      <w:r w:rsidRPr="003C0E2F">
        <w:t xml:space="preserve"> IFNβ production to a level comparable to the control (Figure 46</w:t>
      </w:r>
      <w:r w:rsidR="00395C63" w:rsidRPr="003C0E2F">
        <w:t>A</w:t>
      </w:r>
      <w:r w:rsidRPr="003C0E2F">
        <w:t xml:space="preserve">). Both FP7 and FP12 were less successful in affecting </w:t>
      </w:r>
      <w:r w:rsidR="009E42FE" w:rsidRPr="003C0E2F">
        <w:t>IP10</w:t>
      </w:r>
      <w:r w:rsidRPr="003C0E2F">
        <w:t xml:space="preserve"> production in </w:t>
      </w:r>
      <w:r w:rsidRPr="003C0E2F">
        <w:lastRenderedPageBreak/>
        <w:t>response to LPS (Figure 46</w:t>
      </w:r>
      <w:r w:rsidR="00D87DF9" w:rsidRPr="003C0E2F">
        <w:t>B</w:t>
      </w:r>
      <w:r w:rsidRPr="003C0E2F">
        <w:t xml:space="preserve">).  FP7 did not have a strong enough </w:t>
      </w:r>
      <w:r w:rsidR="008F561F" w:rsidRPr="003C0E2F">
        <w:t>effect</w:t>
      </w:r>
      <w:r w:rsidRPr="003C0E2F">
        <w:t xml:space="preserve"> to cause a significant decrease in </w:t>
      </w:r>
      <w:r w:rsidR="009E42FE" w:rsidRPr="003C0E2F">
        <w:t>IP10</w:t>
      </w:r>
      <w:r w:rsidRPr="003C0E2F">
        <w:t xml:space="preserve">, while FP12 caused a small reduction in production, but did not reduce to control levels. </w:t>
      </w:r>
    </w:p>
    <w:p w14:paraId="1DE44A51" w14:textId="77777777" w:rsidR="00FB5606" w:rsidRPr="003C0E2F" w:rsidRDefault="00FB5606" w:rsidP="00FB5606"/>
    <w:p w14:paraId="09DA4F07" w14:textId="77777777" w:rsidR="00B03861" w:rsidRPr="003C0E2F" w:rsidRDefault="003F460B" w:rsidP="00B03861">
      <w:bookmarkStart w:id="822" w:name="_Toc63270391"/>
      <w:r w:rsidRPr="003C0E2F">
        <w:rPr>
          <w:noProof/>
        </w:rPr>
        <w:drawing>
          <wp:inline distT="0" distB="0" distL="0" distR="0" wp14:anchorId="570ACA9E" wp14:editId="06A3E345">
            <wp:extent cx="5731510" cy="2456180"/>
            <wp:effectExtent l="0" t="0" r="254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31510" cy="2456180"/>
                    </a:xfrm>
                    <a:prstGeom prst="rect">
                      <a:avLst/>
                    </a:prstGeom>
                    <a:noFill/>
                    <a:ln>
                      <a:noFill/>
                    </a:ln>
                  </pic:spPr>
                </pic:pic>
              </a:graphicData>
            </a:graphic>
          </wp:inline>
        </w:drawing>
      </w:r>
      <w:r w:rsidRPr="003C0E2F">
        <w:t xml:space="preserve"> </w:t>
      </w:r>
    </w:p>
    <w:p w14:paraId="4EF94839" w14:textId="33B4C38A" w:rsidR="003F460B" w:rsidRPr="003C0E2F" w:rsidRDefault="003F460B" w:rsidP="00A2094F">
      <w:pPr>
        <w:pStyle w:val="NoSpacing"/>
      </w:pPr>
      <w:bookmarkStart w:id="823" w:name="_Toc64533258"/>
      <w:bookmarkStart w:id="824" w:name="_Toc64551805"/>
      <w:bookmarkStart w:id="825" w:name="_Toc80013849"/>
      <w:bookmarkStart w:id="826" w:name="_Toc82882988"/>
      <w:r w:rsidRPr="003C0E2F">
        <w:t xml:space="preserve">Figure </w:t>
      </w:r>
      <w:r w:rsidR="00862981">
        <w:fldChar w:fldCharType="begin"/>
      </w:r>
      <w:r w:rsidR="00862981">
        <w:instrText xml:space="preserve"> SEQ Figure \* ARABIC </w:instrText>
      </w:r>
      <w:r w:rsidR="00862981">
        <w:fldChar w:fldCharType="separate"/>
      </w:r>
      <w:r w:rsidR="000F2276">
        <w:rPr>
          <w:noProof/>
        </w:rPr>
        <w:t>47</w:t>
      </w:r>
      <w:r w:rsidR="00862981">
        <w:rPr>
          <w:noProof/>
        </w:rPr>
        <w:fldChar w:fldCharType="end"/>
      </w:r>
      <w:r w:rsidRPr="003C0E2F">
        <w:t xml:space="preserve">. FP7 (A) and FP12 (B) downregulate IFNβ and </w:t>
      </w:r>
      <w:r w:rsidR="009E42FE" w:rsidRPr="003C0E2F">
        <w:t>IP10</w:t>
      </w:r>
      <w:r w:rsidRPr="003C0E2F">
        <w:t xml:space="preserve"> production in prior and simultaneous treatments. THP-1 </w:t>
      </w:r>
      <w:r w:rsidR="008F561F" w:rsidRPr="003C0E2F">
        <w:t>macrophage</w:t>
      </w:r>
      <w:r w:rsidRPr="003C0E2F">
        <w:t xml:space="preserve">s were pre-treated with FP7 or FP12 30 minutes before, at the same time as, and 30 minutes after LPS (100ng/ml) exposure. </w:t>
      </w:r>
      <w:r w:rsidR="00A2094F" w:rsidRPr="003C0E2F">
        <w:t>C</w:t>
      </w:r>
      <w:r w:rsidR="00217D9B" w:rsidRPr="003C0E2F">
        <w:t>ontrol</w:t>
      </w:r>
      <w:r w:rsidR="00A2094F" w:rsidRPr="003C0E2F">
        <w:t xml:space="preserve"> (C)</w:t>
      </w:r>
      <w:r w:rsidR="00217D9B" w:rsidRPr="003C0E2F">
        <w:t xml:space="preserve"> is with vehicle only. </w:t>
      </w:r>
      <w:r w:rsidRPr="003C0E2F">
        <w:t xml:space="preserve">Medium was collected at 2.5 hours and 18 hours for IFNβ and </w:t>
      </w:r>
      <w:r w:rsidR="009E42FE" w:rsidRPr="003C0E2F">
        <w:t>IP10</w:t>
      </w:r>
      <w:r w:rsidRPr="003C0E2F">
        <w:t xml:space="preserve"> respectively and measured via ELISA. Results were expressed as mean +/- standard deviation from three separate treatments. Significant results are shown as * = p&lt;0.05, ** = p&lt;0.01 *** = p&lt;0.001</w:t>
      </w:r>
      <w:bookmarkEnd w:id="822"/>
      <w:bookmarkEnd w:id="823"/>
      <w:bookmarkEnd w:id="824"/>
      <w:bookmarkEnd w:id="825"/>
      <w:r w:rsidR="00993412" w:rsidRPr="003C0E2F">
        <w:t>. C=Control L=LPS, F7=FP7, F12=FP12.</w:t>
      </w:r>
      <w:bookmarkEnd w:id="826"/>
    </w:p>
    <w:p w14:paraId="6D3B7AB8" w14:textId="77777777" w:rsidR="00F25C9E" w:rsidRPr="003C0E2F" w:rsidRDefault="00F25C9E" w:rsidP="00BB12CA">
      <w:pPr>
        <w:pStyle w:val="NoSpacing"/>
      </w:pPr>
    </w:p>
    <w:p w14:paraId="2043A5E9" w14:textId="3B3C0EE0" w:rsidR="00F25C9E" w:rsidRPr="003C0E2F" w:rsidRDefault="00621C78" w:rsidP="00621C78">
      <w:r w:rsidRPr="003C0E2F">
        <w:t xml:space="preserve">Previous evidence suggested FP7 and FP12 can down regulate </w:t>
      </w:r>
      <w:r w:rsidR="00932BC2" w:rsidRPr="003C0E2F">
        <w:t>MyD88</w:t>
      </w:r>
      <w:r w:rsidRPr="003C0E2F">
        <w:t>-</w:t>
      </w:r>
      <w:r w:rsidR="009E0322" w:rsidRPr="003C0E2F">
        <w:t>dependent</w:t>
      </w:r>
      <w:r w:rsidRPr="003C0E2F">
        <w:t xml:space="preserve"> cytokine production in THP-1 </w:t>
      </w:r>
      <w:r w:rsidR="008F561F" w:rsidRPr="003C0E2F">
        <w:t>macrophage</w:t>
      </w:r>
      <w:r w:rsidRPr="003C0E2F">
        <w:t>s when applied before, simultaneously, and even post LPS exposure. Following the same experimental approach, the results showed the ability of FP7 to reduce TLR4-</w:t>
      </w:r>
      <w:r w:rsidR="009E0322" w:rsidRPr="003C0E2F">
        <w:t>dependent</w:t>
      </w:r>
      <w:r w:rsidRPr="003C0E2F">
        <w:t xml:space="preserve"> IFNβ (Figure 47) or </w:t>
      </w:r>
      <w:r w:rsidR="009E42FE" w:rsidRPr="003C0E2F">
        <w:t>IP10</w:t>
      </w:r>
      <w:r w:rsidRPr="003C0E2F">
        <w:t xml:space="preserve"> (Figure 47) irrespective of time of the administration of LPS. While FP12 significantly reduced IFNβ production in prior and simultaneous treatments, post LPS treatment with FP12 did not affect IFNβ production (Figure 47</w:t>
      </w:r>
      <w:r w:rsidR="00395C63" w:rsidRPr="003C0E2F">
        <w:t>A</w:t>
      </w:r>
      <w:r w:rsidRPr="003C0E2F">
        <w:t xml:space="preserve">). </w:t>
      </w:r>
      <w:r w:rsidR="002D24C2" w:rsidRPr="003C0E2F">
        <w:t>Similarly,</w:t>
      </w:r>
      <w:r w:rsidRPr="003C0E2F">
        <w:t xml:space="preserve"> to </w:t>
      </w:r>
      <w:r w:rsidRPr="003C0E2F">
        <w:lastRenderedPageBreak/>
        <w:t xml:space="preserve">FP7, FP12 negatively regulated </w:t>
      </w:r>
      <w:r w:rsidR="009E42FE" w:rsidRPr="003C0E2F">
        <w:t>IP10</w:t>
      </w:r>
      <w:r w:rsidRPr="003C0E2F">
        <w:t xml:space="preserve"> production</w:t>
      </w:r>
      <w:r w:rsidR="00AC4137" w:rsidRPr="003C0E2F">
        <w:t>, though</w:t>
      </w:r>
      <w:r w:rsidRPr="003C0E2F">
        <w:t xml:space="preserve"> </w:t>
      </w:r>
      <w:r w:rsidR="00AC4137" w:rsidRPr="003C0E2F">
        <w:t xml:space="preserve">to a lesser extent in post-factum treatments as compared to prior and simultaneous treatment </w:t>
      </w:r>
      <w:r w:rsidRPr="003C0E2F">
        <w:t>(Figure 4</w:t>
      </w:r>
      <w:r w:rsidR="00395C63" w:rsidRPr="003C0E2F">
        <w:t>7</w:t>
      </w:r>
      <w:r w:rsidRPr="003C0E2F">
        <w:t xml:space="preserve">B). </w:t>
      </w:r>
      <w:r w:rsidR="00AC4137" w:rsidRPr="003C0E2F">
        <w:t>TBK-1 has been shown to phosphorylate within 30 minutes</w:t>
      </w:r>
      <w:r w:rsidR="00996A8E" w:rsidRPr="003C0E2F">
        <w:t xml:space="preserve"> of LPS exposure</w:t>
      </w:r>
      <w:r w:rsidR="004379FD" w:rsidRPr="003C0E2F">
        <w:t xml:space="preserve"> (Figure 42), suggesting that </w:t>
      </w:r>
      <w:r w:rsidR="00996A8E" w:rsidRPr="003C0E2F">
        <w:t xml:space="preserve">TRIF-dependent signalling is </w:t>
      </w:r>
      <w:r w:rsidR="004379FD" w:rsidRPr="003C0E2F">
        <w:t xml:space="preserve">already </w:t>
      </w:r>
      <w:r w:rsidR="00996A8E" w:rsidRPr="003C0E2F">
        <w:t>underway by this time. In addition, endocytosis of TLR4</w:t>
      </w:r>
      <w:r w:rsidR="004379FD" w:rsidRPr="003C0E2F">
        <w:t>, which is important</w:t>
      </w:r>
      <w:r w:rsidR="00996A8E" w:rsidRPr="003C0E2F">
        <w:t xml:space="preserve"> for TRIF-dependent signalling</w:t>
      </w:r>
      <w:r w:rsidR="004379FD" w:rsidRPr="003C0E2F">
        <w:t>,</w:t>
      </w:r>
      <w:r w:rsidR="00996A8E" w:rsidRPr="003C0E2F">
        <w:t xml:space="preserve"> occurs within 30 minutes of receptor activation</w:t>
      </w:r>
      <w:r w:rsidR="004379FD" w:rsidRPr="003C0E2F">
        <w:t xml:space="preserve"> </w:t>
      </w:r>
      <w:sdt>
        <w:sdtPr>
          <w:tag w:val="MENDELEY_CITATION_v3_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"/>
          <w:id w:val="-594855296"/>
          <w:placeholder>
            <w:docPart w:val="5C455F9A747D4925BA1E61112551D18B"/>
          </w:placeholder>
        </w:sdtPr>
        <w:sdtEndPr/>
        <w:sdtContent>
          <w:r w:rsidR="00F257B9">
            <w:rPr>
              <w:rFonts w:eastAsia="Times New Roman"/>
            </w:rPr>
            <w:t xml:space="preserve">(Kagan </w:t>
          </w:r>
          <w:r w:rsidR="00F257B9">
            <w:rPr>
              <w:rFonts w:eastAsia="Times New Roman"/>
              <w:i/>
              <w:iCs/>
            </w:rPr>
            <w:t>et al.</w:t>
          </w:r>
          <w:r w:rsidR="00F257B9">
            <w:rPr>
              <w:rFonts w:eastAsia="Times New Roman"/>
            </w:rPr>
            <w:t>, 2008)</w:t>
          </w:r>
        </w:sdtContent>
      </w:sdt>
      <w:r w:rsidR="00996A8E" w:rsidRPr="003C0E2F">
        <w:t xml:space="preserve">, removing the receptor from the cell surface and potentially preventing FP7 or FP12 from interacting with </w:t>
      </w:r>
      <w:r w:rsidR="004379FD" w:rsidRPr="003C0E2F">
        <w:t>the receptor after this time</w:t>
      </w:r>
      <w:r w:rsidR="00996A8E" w:rsidRPr="003C0E2F">
        <w:t xml:space="preserve">. </w:t>
      </w:r>
      <w:r w:rsidRPr="003C0E2F">
        <w:t xml:space="preserve">This data suggests that FP7 and FP12 are negative modulators of type I interferons production, however FP12 was found less </w:t>
      </w:r>
      <w:r w:rsidR="008F561F" w:rsidRPr="003C0E2F">
        <w:t>effect</w:t>
      </w:r>
      <w:r w:rsidRPr="003C0E2F">
        <w:t xml:space="preserve">ive on </w:t>
      </w:r>
      <w:r w:rsidR="00A9277D" w:rsidRPr="003C0E2F">
        <w:t>TRIF-</w:t>
      </w:r>
      <w:r w:rsidR="009E0322" w:rsidRPr="003C0E2F">
        <w:t>dependent</w:t>
      </w:r>
      <w:r w:rsidRPr="003C0E2F">
        <w:t xml:space="preserve"> TLR4 signalling post factum.</w:t>
      </w:r>
    </w:p>
    <w:p w14:paraId="4E7C8F23" w14:textId="77777777" w:rsidR="00F25C9E" w:rsidRPr="003C0E2F" w:rsidRDefault="00F25C9E">
      <w:pPr>
        <w:spacing w:line="259" w:lineRule="auto"/>
      </w:pPr>
      <w:r w:rsidRPr="003C0E2F">
        <w:br w:type="page"/>
      </w:r>
    </w:p>
    <w:p w14:paraId="49DEEDE5" w14:textId="2ABE5F77" w:rsidR="00D3097F" w:rsidRPr="003C0E2F" w:rsidRDefault="00B450C2" w:rsidP="00D55B0E">
      <w:pPr>
        <w:pStyle w:val="Heading3"/>
      </w:pPr>
      <w:bookmarkStart w:id="827" w:name="_Toc38543310"/>
      <w:bookmarkStart w:id="828" w:name="_Toc80013785"/>
      <w:bookmarkStart w:id="829" w:name="_Ref80021327"/>
      <w:bookmarkStart w:id="830" w:name="_Hlk80824804"/>
      <w:r w:rsidRPr="003C0E2F">
        <w:lastRenderedPageBreak/>
        <w:t xml:space="preserve"> </w:t>
      </w:r>
      <w:bookmarkStart w:id="831" w:name="_Toc82882405"/>
      <w:r w:rsidR="00D3097F" w:rsidRPr="003C0E2F">
        <w:t xml:space="preserve">FP7 and FP12 negatively regulate </w:t>
      </w:r>
      <w:r w:rsidR="002C6705" w:rsidRPr="003C0E2F">
        <w:t>IFNAR signalling via TLR4</w:t>
      </w:r>
      <w:bookmarkEnd w:id="827"/>
      <w:bookmarkEnd w:id="828"/>
      <w:bookmarkEnd w:id="829"/>
      <w:bookmarkEnd w:id="831"/>
    </w:p>
    <w:bookmarkEnd w:id="830"/>
    <w:p w14:paraId="5FE4945F" w14:textId="1FC539B2" w:rsidR="00550FBC" w:rsidRPr="003C0E2F" w:rsidRDefault="00621C78" w:rsidP="00621C78">
      <w:pPr>
        <w:rPr>
          <w:noProof/>
        </w:rPr>
      </w:pPr>
      <w:r w:rsidRPr="003C0E2F">
        <w:t>A set of optimisation experiments were carried out to determine the most appropriate time and concentration for experiments involving IFNβ and an IFNAR blocking antibody. Results indicate that IFNβ is enough to induce STAT-1 phosphorylation alone, most likely via IFNAR (Figure 48</w:t>
      </w:r>
      <w:r w:rsidR="00395C63" w:rsidRPr="003C0E2F">
        <w:t>A</w:t>
      </w:r>
      <w:r w:rsidRPr="003C0E2F">
        <w:t xml:space="preserve">). </w:t>
      </w:r>
      <w:bookmarkStart w:id="832" w:name="_Hlk80824902"/>
      <w:r w:rsidRPr="003C0E2F">
        <w:t>1ng/</w:t>
      </w:r>
      <w:r w:rsidR="00005854" w:rsidRPr="003C0E2F">
        <w:rPr>
          <w:rFonts w:asciiTheme="majorHAnsi" w:hAnsiTheme="majorHAnsi"/>
        </w:rPr>
        <w:t xml:space="preserve">mL </w:t>
      </w:r>
      <w:r w:rsidR="00345E7D" w:rsidRPr="003C0E2F">
        <w:rPr>
          <w:rFonts w:asciiTheme="majorHAnsi" w:hAnsiTheme="majorHAnsi"/>
        </w:rPr>
        <w:t>was sufficient to upregulate STAT-1 phosphorylation</w:t>
      </w:r>
      <w:r w:rsidR="00B450C2" w:rsidRPr="003C0E2F">
        <w:rPr>
          <w:rFonts w:asciiTheme="majorHAnsi" w:hAnsiTheme="majorHAnsi"/>
        </w:rPr>
        <w:t xml:space="preserve"> and</w:t>
      </w:r>
      <w:r w:rsidR="00345E7D" w:rsidRPr="003C0E2F">
        <w:rPr>
          <w:rFonts w:asciiTheme="majorHAnsi" w:hAnsiTheme="majorHAnsi"/>
        </w:rPr>
        <w:t xml:space="preserve"> </w:t>
      </w:r>
      <w:r w:rsidRPr="003C0E2F">
        <w:t>was selected to activate IFNAR signalling for further experiments</w:t>
      </w:r>
      <w:bookmarkEnd w:id="832"/>
      <w:r w:rsidRPr="003C0E2F">
        <w:t>.</w:t>
      </w:r>
      <w:r w:rsidR="00345E7D" w:rsidRPr="003C0E2F">
        <w:t xml:space="preserve"> </w:t>
      </w:r>
      <w:r w:rsidRPr="003C0E2F">
        <w:t>This interaction with the receptor is particularly quick, with STAT-1 phosphorylation occurring as soon as 5 minutes after exposure and peaking around 30-45 minutes before tapering off (Figure 48</w:t>
      </w:r>
      <w:r w:rsidR="00395C63" w:rsidRPr="003C0E2F">
        <w:t>B</w:t>
      </w:r>
      <w:r w:rsidRPr="003C0E2F">
        <w:t>). 30 minutes was selected for future experiments. The IFNAR blocking antibody could prevent IFNβ/IFNAR</w:t>
      </w:r>
      <w:r w:rsidR="000A1BFB" w:rsidRPr="003C0E2F">
        <w:t xml:space="preserve"> induced</w:t>
      </w:r>
      <w:r w:rsidRPr="003C0E2F">
        <w:t xml:space="preserve"> STAT-1 phosphorylation with a minimum of 1µg/</w:t>
      </w:r>
      <w:r w:rsidR="00005854" w:rsidRPr="003C0E2F">
        <w:rPr>
          <w:rFonts w:asciiTheme="majorHAnsi" w:hAnsiTheme="majorHAnsi"/>
        </w:rPr>
        <w:t xml:space="preserve">mL </w:t>
      </w:r>
      <w:r w:rsidRPr="003C0E2F">
        <w:t>(Figure 48).</w:t>
      </w:r>
    </w:p>
    <w:p w14:paraId="78CFC968" w14:textId="52DA843B" w:rsidR="00755150" w:rsidRPr="003C0E2F" w:rsidRDefault="009E42FE" w:rsidP="00755150">
      <w:pPr>
        <w:jc w:val="center"/>
        <w:rPr>
          <w:noProof/>
        </w:rPr>
      </w:pPr>
      <w:r w:rsidRPr="003C0E2F">
        <w:rPr>
          <w:noProof/>
        </w:rPr>
        <w:drawing>
          <wp:inline distT="0" distB="0" distL="0" distR="0" wp14:anchorId="7BDAC11F" wp14:editId="1F64635A">
            <wp:extent cx="4257675" cy="331546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286360" cy="3337798"/>
                    </a:xfrm>
                    <a:prstGeom prst="rect">
                      <a:avLst/>
                    </a:prstGeom>
                    <a:noFill/>
                    <a:ln>
                      <a:noFill/>
                    </a:ln>
                  </pic:spPr>
                </pic:pic>
              </a:graphicData>
            </a:graphic>
          </wp:inline>
        </w:drawing>
      </w:r>
    </w:p>
    <w:p w14:paraId="2517D0F4" w14:textId="0E1A67DF" w:rsidR="00D3097F" w:rsidRPr="003C0E2F" w:rsidRDefault="00550FBC" w:rsidP="00A2094F">
      <w:pPr>
        <w:pStyle w:val="NoSpacing"/>
      </w:pPr>
      <w:bookmarkStart w:id="833" w:name="_Toc60638901"/>
      <w:bookmarkStart w:id="834" w:name="_Toc63112035"/>
      <w:bookmarkStart w:id="835" w:name="_Toc63112252"/>
      <w:bookmarkStart w:id="836" w:name="_Toc63270392"/>
      <w:bookmarkStart w:id="837" w:name="_Toc64533259"/>
      <w:bookmarkStart w:id="838" w:name="_Toc64551806"/>
      <w:bookmarkStart w:id="839" w:name="_Toc80013850"/>
      <w:bookmarkStart w:id="840" w:name="_Toc82882989"/>
      <w:r w:rsidRPr="003C0E2F">
        <w:t xml:space="preserve">Figure </w:t>
      </w:r>
      <w:r w:rsidR="00862981">
        <w:fldChar w:fldCharType="begin"/>
      </w:r>
      <w:r w:rsidR="00862981">
        <w:instrText xml:space="preserve"> SEQ Figure \* ARABIC </w:instrText>
      </w:r>
      <w:r w:rsidR="00862981">
        <w:fldChar w:fldCharType="separate"/>
      </w:r>
      <w:r w:rsidR="000F2276">
        <w:rPr>
          <w:noProof/>
        </w:rPr>
        <w:t>48</w:t>
      </w:r>
      <w:r w:rsidR="00862981">
        <w:rPr>
          <w:noProof/>
        </w:rPr>
        <w:fldChar w:fldCharType="end"/>
      </w:r>
      <w:r w:rsidRPr="003C0E2F">
        <w:t>.</w:t>
      </w:r>
      <w:bookmarkStart w:id="841" w:name="_Toc48514857"/>
      <w:bookmarkStart w:id="842" w:name="_Toc55583767"/>
      <w:bookmarkStart w:id="843" w:name="_Toc55584945"/>
      <w:bookmarkStart w:id="844" w:name="_Toc60584060"/>
      <w:r w:rsidR="00D3097F" w:rsidRPr="003C0E2F">
        <w:t xml:space="preserve"> Optimisation of </w:t>
      </w:r>
      <w:r w:rsidR="00C01CEE" w:rsidRPr="003C0E2F">
        <w:t>IFN</w:t>
      </w:r>
      <w:r w:rsidR="00A2094F" w:rsidRPr="003C0E2F">
        <w:t>β</w:t>
      </w:r>
      <w:r w:rsidR="00C01CEE" w:rsidRPr="003C0E2F">
        <w:t xml:space="preserve"> </w:t>
      </w:r>
      <w:r w:rsidR="00D3097F" w:rsidRPr="003C0E2F">
        <w:t xml:space="preserve">and IFNAR </w:t>
      </w:r>
      <w:r w:rsidR="003273B5" w:rsidRPr="003C0E2F">
        <w:t>b</w:t>
      </w:r>
      <w:r w:rsidR="00D3097F" w:rsidRPr="003C0E2F">
        <w:t xml:space="preserve">locking antibody concentration and timings. THP-1 </w:t>
      </w:r>
      <w:r w:rsidR="008F561F" w:rsidRPr="003C0E2F">
        <w:t>macrophage</w:t>
      </w:r>
      <w:r w:rsidR="00D3097F" w:rsidRPr="003C0E2F">
        <w:t>s were either (A) Exposed to 0-20 ng/</w:t>
      </w:r>
      <w:r w:rsidR="00005854" w:rsidRPr="003C0E2F">
        <w:t xml:space="preserve">mL </w:t>
      </w:r>
      <w:r w:rsidR="00D3097F" w:rsidRPr="003C0E2F">
        <w:t>IFNβ for 30 minutes. (B) Exposed to 1ng/</w:t>
      </w:r>
      <w:r w:rsidR="00005854" w:rsidRPr="003C0E2F">
        <w:t xml:space="preserve">mL </w:t>
      </w:r>
      <w:r w:rsidR="00D3097F" w:rsidRPr="003C0E2F">
        <w:t>IFNβ over a time course of 90 minutes. (C) Pre-treated with IFNAR blocking antibody for 1 hour prior to 1ng/</w:t>
      </w:r>
      <w:r w:rsidR="00005854" w:rsidRPr="003C0E2F">
        <w:t xml:space="preserve">mL </w:t>
      </w:r>
      <w:r w:rsidR="00D3097F" w:rsidRPr="003C0E2F">
        <w:t xml:space="preserve">IFNβ exposure. STAT-1 phosphorylation was measured via </w:t>
      </w:r>
      <w:r w:rsidR="00030A76" w:rsidRPr="003C0E2F">
        <w:t>Western</w:t>
      </w:r>
      <w:r w:rsidR="00D3097F" w:rsidRPr="003C0E2F">
        <w:t xml:space="preserve"> blot. Results are from a single experiment.</w:t>
      </w:r>
      <w:bookmarkEnd w:id="833"/>
      <w:bookmarkEnd w:id="834"/>
      <w:bookmarkEnd w:id="835"/>
      <w:bookmarkEnd w:id="836"/>
      <w:bookmarkEnd w:id="837"/>
      <w:bookmarkEnd w:id="838"/>
      <w:bookmarkEnd w:id="839"/>
      <w:bookmarkEnd w:id="840"/>
      <w:bookmarkEnd w:id="841"/>
      <w:bookmarkEnd w:id="842"/>
      <w:bookmarkEnd w:id="843"/>
      <w:bookmarkEnd w:id="844"/>
    </w:p>
    <w:p w14:paraId="67C2A0CF" w14:textId="3A87D12F" w:rsidR="00621C78" w:rsidRPr="003C0E2F" w:rsidRDefault="00621C78" w:rsidP="00621C78">
      <w:r w:rsidRPr="003C0E2F">
        <w:lastRenderedPageBreak/>
        <w:t>Optimisation data suggested that IFNβ is produced via TRIF-</w:t>
      </w:r>
      <w:r w:rsidR="009E0322" w:rsidRPr="003C0E2F">
        <w:t>dependent</w:t>
      </w:r>
      <w:r w:rsidRPr="003C0E2F">
        <w:t xml:space="preserve"> signalling can activate IFNAR which in turn lead to the downstream STAT-1 phosphorylation. To confirm that the </w:t>
      </w:r>
      <w:r w:rsidR="008F561F" w:rsidRPr="003C0E2F">
        <w:t>effect</w:t>
      </w:r>
      <w:r w:rsidRPr="003C0E2F">
        <w:t xml:space="preserve"> of FP7 and FP12 is TLR4-</w:t>
      </w:r>
      <w:r w:rsidR="009E0322" w:rsidRPr="003C0E2F">
        <w:t>dependent</w:t>
      </w:r>
      <w:r w:rsidRPr="003C0E2F">
        <w:t xml:space="preserve"> and not associated with interaction with IFNAR, the </w:t>
      </w:r>
      <w:r w:rsidR="008F561F" w:rsidRPr="003C0E2F">
        <w:t>effect</w:t>
      </w:r>
      <w:r w:rsidRPr="003C0E2F">
        <w:t xml:space="preserve"> of FP7 and FP12 in an IFNβ</w:t>
      </w:r>
      <w:r w:rsidR="000A1BFB" w:rsidRPr="003C0E2F">
        <w:t xml:space="preserve"> induced</w:t>
      </w:r>
      <w:r w:rsidRPr="003C0E2F">
        <w:t xml:space="preserve"> event was investigated in comparison to LPS. </w:t>
      </w:r>
    </w:p>
    <w:p w14:paraId="19B0B32B" w14:textId="77777777" w:rsidR="00002BFC" w:rsidRPr="003C0E2F" w:rsidRDefault="00002BFC" w:rsidP="00621C78"/>
    <w:p w14:paraId="025C2FB9" w14:textId="48CEBE1F" w:rsidR="002F3C63" w:rsidRPr="003C0E2F" w:rsidRDefault="00002BFC" w:rsidP="00002BFC">
      <w:pPr>
        <w:jc w:val="center"/>
      </w:pPr>
      <w:r w:rsidRPr="003C0E2F">
        <w:object w:dxaOrig="6293" w:dyaOrig="5330" w14:anchorId="36D67D97">
          <v:shape id="_x0000_i1052" type="#_x0000_t75" style="width:331.8pt;height:273.6pt" o:ole="">
            <v:imagedata r:id="rId116" o:title=""/>
          </v:shape>
          <o:OLEObject Type="Embed" ProgID="Prism6.Document" ShapeID="_x0000_i1052" DrawAspect="Content" ObjectID="_1701585010" r:id="rId117"/>
        </w:object>
      </w:r>
    </w:p>
    <w:p w14:paraId="2A412F61" w14:textId="4BFADD0C" w:rsidR="002F3C63" w:rsidRPr="003C0E2F" w:rsidRDefault="002F3C63" w:rsidP="00A2094F">
      <w:pPr>
        <w:pStyle w:val="NoSpacing"/>
      </w:pPr>
      <w:bookmarkStart w:id="845" w:name="_Toc64533260"/>
      <w:bookmarkStart w:id="846" w:name="_Toc64551807"/>
      <w:bookmarkStart w:id="847" w:name="_Toc80013851"/>
      <w:bookmarkStart w:id="848" w:name="_Toc82882990"/>
      <w:r w:rsidRPr="003C0E2F">
        <w:t xml:space="preserve">Figure </w:t>
      </w:r>
      <w:r w:rsidR="00862981">
        <w:fldChar w:fldCharType="begin"/>
      </w:r>
      <w:r w:rsidR="00862981">
        <w:instrText xml:space="preserve"> SEQ Figure \* ARABIC </w:instrText>
      </w:r>
      <w:r w:rsidR="00862981">
        <w:fldChar w:fldCharType="separate"/>
      </w:r>
      <w:r w:rsidR="000F2276">
        <w:rPr>
          <w:noProof/>
        </w:rPr>
        <w:t>49</w:t>
      </w:r>
      <w:r w:rsidR="00862981">
        <w:rPr>
          <w:noProof/>
        </w:rPr>
        <w:fldChar w:fldCharType="end"/>
      </w:r>
      <w:r w:rsidRPr="003C0E2F">
        <w:t xml:space="preserve">. FP7 and FP12 negatively regulated LPS induced STAT-1 phosphorylation. THP-1 </w:t>
      </w:r>
      <w:r w:rsidR="008F561F" w:rsidRPr="003C0E2F">
        <w:t>macrophage</w:t>
      </w:r>
      <w:r w:rsidRPr="003C0E2F">
        <w:t>s were treated with FP7 or FP12 (10µM) for 1 hour prior to IFNβ (1ng/ml) or LPS (100ng/ml)</w:t>
      </w:r>
      <w:r w:rsidR="00BD3E38" w:rsidRPr="003C0E2F">
        <w:t xml:space="preserve">. </w:t>
      </w:r>
      <w:r w:rsidR="00504096" w:rsidRPr="003C0E2F">
        <w:t xml:space="preserve">Untreated control </w:t>
      </w:r>
      <w:r w:rsidR="00A2094F" w:rsidRPr="003C0E2F">
        <w:t>(-)</w:t>
      </w:r>
      <w:r w:rsidR="00504096" w:rsidRPr="003C0E2F">
        <w:t xml:space="preserve"> is with vehicle </w:t>
      </w:r>
      <w:proofErr w:type="gramStart"/>
      <w:r w:rsidR="00504096" w:rsidRPr="003C0E2F">
        <w:t xml:space="preserve">only </w:t>
      </w:r>
      <w:r w:rsidR="00BD3E38" w:rsidRPr="003C0E2F">
        <w:t>.</w:t>
      </w:r>
      <w:proofErr w:type="gramEnd"/>
      <w:r w:rsidR="00BD3E38" w:rsidRPr="003C0E2F">
        <w:t xml:space="preserve"> </w:t>
      </w:r>
      <w:r w:rsidR="00EA6EF3" w:rsidRPr="003C0E2F">
        <w:t xml:space="preserve">Cell lysates were collected and analysed after 2.5 hours (LPS) and 30 min (IFNβ) </w:t>
      </w:r>
      <w:r w:rsidRPr="003C0E2F">
        <w:t xml:space="preserve">via </w:t>
      </w:r>
      <w:r w:rsidR="00030A76" w:rsidRPr="003C0E2F">
        <w:t>Western</w:t>
      </w:r>
      <w:r w:rsidRPr="003C0E2F">
        <w:t xml:space="preserve"> blot. Results are expressed as mean +/- standard deviation from three separate treatments. Significant results were shown as * = p&lt;0.05, ** = p&lt;0.01 *** = p&lt;0.001.</w:t>
      </w:r>
      <w:bookmarkEnd w:id="845"/>
      <w:bookmarkEnd w:id="846"/>
      <w:bookmarkEnd w:id="847"/>
      <w:bookmarkEnd w:id="848"/>
    </w:p>
    <w:p w14:paraId="715CE07B" w14:textId="77777777" w:rsidR="002F3C63" w:rsidRPr="003C0E2F" w:rsidRDefault="002F3C63" w:rsidP="00621C78"/>
    <w:p w14:paraId="7361DD20" w14:textId="291498D4" w:rsidR="00EE17F5" w:rsidRPr="003C0E2F" w:rsidRDefault="007048B8" w:rsidP="00621C78">
      <w:r w:rsidRPr="003C0E2F">
        <w:rPr>
          <w:rFonts w:cstheme="minorHAnsi"/>
        </w:rPr>
        <w:t>IFN</w:t>
      </w:r>
      <w:r w:rsidR="006A33E5" w:rsidRPr="003C0E2F">
        <w:rPr>
          <w:rFonts w:cstheme="minorHAnsi"/>
        </w:rPr>
        <w:t>β</w:t>
      </w:r>
      <w:r w:rsidRPr="003C0E2F">
        <w:rPr>
          <w:rFonts w:cstheme="minorHAnsi"/>
        </w:rPr>
        <w:t xml:space="preserve"> can lead to activation of STAT-1 following via IFNAR signalling. To determine if STAT-1 activation following LPS exposure is the result of an autocrine effect following production IFNβ, a </w:t>
      </w:r>
      <w:r w:rsidRPr="003C0E2F">
        <w:rPr>
          <w:rFonts w:cstheme="minorHAnsi"/>
        </w:rPr>
        <w:lastRenderedPageBreak/>
        <w:t>blocking antibody was used to prevent IFNAR activation.</w:t>
      </w:r>
      <w:r w:rsidR="006A33E5" w:rsidRPr="003C0E2F">
        <w:t xml:space="preserve"> </w:t>
      </w:r>
      <w:r w:rsidR="00621C78" w:rsidRPr="003C0E2F">
        <w:t xml:space="preserve">STAT-1 is activated at 2.5 hours in response to LPS, but peaks at 30 minutes following IFNβ exposure via IFNAR. To compare these, exposure of IFNβ to THP-1 </w:t>
      </w:r>
      <w:r w:rsidR="008F561F" w:rsidRPr="003C0E2F">
        <w:t>macrophage</w:t>
      </w:r>
      <w:r w:rsidR="00621C78" w:rsidRPr="003C0E2F">
        <w:t xml:space="preserve">s was initiated 2 hours after LPS and antagonists in comparison with LPS induced IFNβ. The data shows FP7 and FP12 produce a significant reduction in p-STAT-1 following LPS exposure, but not in response to IFNβ (Figure </w:t>
      </w:r>
      <w:r w:rsidR="00894CE6" w:rsidRPr="003C0E2F">
        <w:t>50</w:t>
      </w:r>
      <w:r w:rsidR="00621C78" w:rsidRPr="003C0E2F">
        <w:t xml:space="preserve">). </w:t>
      </w:r>
    </w:p>
    <w:bookmarkStart w:id="849" w:name="_Toc60638902"/>
    <w:bookmarkStart w:id="850" w:name="_Toc63112036"/>
    <w:bookmarkStart w:id="851" w:name="_Toc63112253"/>
    <w:bookmarkStart w:id="852" w:name="_Toc63270393"/>
    <w:p w14:paraId="27FD75A9" w14:textId="1DD8509D" w:rsidR="002F3C63" w:rsidRPr="003C0E2F" w:rsidRDefault="00002BFC" w:rsidP="00002BFC">
      <w:pPr>
        <w:pStyle w:val="NoSpacing"/>
        <w:jc w:val="center"/>
      </w:pPr>
      <w:r w:rsidRPr="003C0E2F">
        <w:object w:dxaOrig="5686" w:dyaOrig="4973" w14:anchorId="429F66A8">
          <v:shape id="_x0000_i1053" type="#_x0000_t75" style="width:5in;height:316.8pt" o:ole="">
            <v:imagedata r:id="rId118" o:title=""/>
          </v:shape>
          <o:OLEObject Type="Embed" ProgID="Prism6.Document" ShapeID="_x0000_i1053" DrawAspect="Content" ObjectID="_1701585011" r:id="rId119"/>
        </w:object>
      </w:r>
    </w:p>
    <w:p w14:paraId="607E98D2" w14:textId="15FFDB6F" w:rsidR="002F3C63" w:rsidRPr="003C0E2F" w:rsidRDefault="00550FBC" w:rsidP="00A2094F">
      <w:pPr>
        <w:pStyle w:val="NoSpacing"/>
      </w:pPr>
      <w:bookmarkStart w:id="853" w:name="_Toc64533261"/>
      <w:bookmarkStart w:id="854" w:name="_Toc64551808"/>
      <w:bookmarkStart w:id="855" w:name="_Toc80013852"/>
      <w:bookmarkStart w:id="856" w:name="_Toc82882991"/>
      <w:r w:rsidRPr="003C0E2F">
        <w:t xml:space="preserve">Figure </w:t>
      </w:r>
      <w:r w:rsidR="00862981">
        <w:fldChar w:fldCharType="begin"/>
      </w:r>
      <w:r w:rsidR="00862981">
        <w:instrText xml:space="preserve"> SEQ Figure \* ARABIC </w:instrText>
      </w:r>
      <w:r w:rsidR="00862981">
        <w:fldChar w:fldCharType="separate"/>
      </w:r>
      <w:r w:rsidR="000F2276">
        <w:rPr>
          <w:noProof/>
        </w:rPr>
        <w:t>50</w:t>
      </w:r>
      <w:r w:rsidR="00862981">
        <w:rPr>
          <w:noProof/>
        </w:rPr>
        <w:fldChar w:fldCharType="end"/>
      </w:r>
      <w:r w:rsidRPr="003C0E2F">
        <w:t>.</w:t>
      </w:r>
      <w:bookmarkStart w:id="857" w:name="_Toc48514858"/>
      <w:bookmarkStart w:id="858" w:name="_Toc55583768"/>
      <w:bookmarkStart w:id="859" w:name="_Toc55584946"/>
      <w:bookmarkStart w:id="860" w:name="_Toc60584061"/>
      <w:r w:rsidR="00D3097F" w:rsidRPr="003C0E2F">
        <w:t xml:space="preserve"> FP7 and FP12 negatively regulate</w:t>
      </w:r>
      <w:r w:rsidR="00B90D38" w:rsidRPr="003C0E2F">
        <w:t>d</w:t>
      </w:r>
      <w:r w:rsidR="00D3097F" w:rsidRPr="003C0E2F">
        <w:t xml:space="preserve"> LPS induced STAT-1 phosphorylation. THP-1 </w:t>
      </w:r>
      <w:r w:rsidR="008F561F" w:rsidRPr="003C0E2F">
        <w:t>macrophage</w:t>
      </w:r>
      <w:r w:rsidR="00D3097F" w:rsidRPr="003C0E2F">
        <w:t>s were treated with FP7 or FP12 (10µM) for 1 hour prior to LPS (100ng/ml)</w:t>
      </w:r>
      <w:r w:rsidR="00EA6EF3" w:rsidRPr="003C0E2F">
        <w:t xml:space="preserve"> </w:t>
      </w:r>
      <w:r w:rsidR="002F3C63" w:rsidRPr="003C0E2F">
        <w:t>alone in the presence or absence of IFNAR blocking antibody</w:t>
      </w:r>
      <w:r w:rsidR="007214D0" w:rsidRPr="003C0E2F">
        <w:t xml:space="preserve"> (</w:t>
      </w:r>
      <w:proofErr w:type="spellStart"/>
      <w:r w:rsidR="007214D0" w:rsidRPr="003C0E2F">
        <w:t>Blk</w:t>
      </w:r>
      <w:proofErr w:type="spellEnd"/>
      <w:r w:rsidR="007214D0" w:rsidRPr="003C0E2F">
        <w:t xml:space="preserve"> AB)</w:t>
      </w:r>
      <w:r w:rsidR="00D3097F" w:rsidRPr="003C0E2F">
        <w:t>.</w:t>
      </w:r>
      <w:r w:rsidR="00EA6EF3" w:rsidRPr="003C0E2F">
        <w:t xml:space="preserve"> IFNβ (1ng/ml) was used as a positive control for activation of IFNAR</w:t>
      </w:r>
      <w:r w:rsidR="00BD3E38" w:rsidRPr="003C0E2F">
        <w:t xml:space="preserve">. </w:t>
      </w:r>
      <w:r w:rsidR="00504096" w:rsidRPr="003C0E2F">
        <w:t xml:space="preserve">Untreated control </w:t>
      </w:r>
      <w:r w:rsidR="00A2094F" w:rsidRPr="003C0E2F">
        <w:t>(-)</w:t>
      </w:r>
      <w:r w:rsidR="00504096" w:rsidRPr="003C0E2F">
        <w:t xml:space="preserve"> is with vehicle </w:t>
      </w:r>
      <w:proofErr w:type="gramStart"/>
      <w:r w:rsidR="00504096" w:rsidRPr="003C0E2F">
        <w:t xml:space="preserve">only </w:t>
      </w:r>
      <w:r w:rsidR="00BD3E38" w:rsidRPr="003C0E2F">
        <w:t>.</w:t>
      </w:r>
      <w:proofErr w:type="gramEnd"/>
      <w:r w:rsidR="00BD3E38" w:rsidRPr="003C0E2F">
        <w:t xml:space="preserve"> </w:t>
      </w:r>
      <w:r w:rsidR="00D3097F" w:rsidRPr="003C0E2F">
        <w:t>Cell lysates were collected and analysed after 2.5 hours (LPS)</w:t>
      </w:r>
      <w:r w:rsidR="00EA6EF3" w:rsidRPr="003C0E2F">
        <w:t xml:space="preserve"> and 30 min (IFNβ)</w:t>
      </w:r>
      <w:r w:rsidR="00D3097F" w:rsidRPr="003C0E2F">
        <w:t xml:space="preserve"> via </w:t>
      </w:r>
      <w:r w:rsidR="00030A76" w:rsidRPr="003C0E2F">
        <w:t>Western</w:t>
      </w:r>
      <w:r w:rsidR="00D3097F" w:rsidRPr="003C0E2F">
        <w:t xml:space="preserve"> blot. Results are expressed as mean +/- standard deviation from three separate treatments. Significant results </w:t>
      </w:r>
      <w:r w:rsidR="007C059B" w:rsidRPr="003C0E2F">
        <w:t>were</w:t>
      </w:r>
      <w:r w:rsidR="00D3097F" w:rsidRPr="003C0E2F">
        <w:t xml:space="preserve"> shown as * = p&lt;0.05, ** = p&lt;0.01 *** = p&lt;0.001.</w:t>
      </w:r>
      <w:bookmarkStart w:id="861" w:name="OLE_LINK7"/>
      <w:bookmarkEnd w:id="849"/>
      <w:bookmarkEnd w:id="850"/>
      <w:bookmarkEnd w:id="851"/>
      <w:bookmarkEnd w:id="852"/>
      <w:bookmarkEnd w:id="853"/>
      <w:bookmarkEnd w:id="854"/>
      <w:bookmarkEnd w:id="855"/>
      <w:bookmarkEnd w:id="856"/>
      <w:bookmarkEnd w:id="857"/>
      <w:bookmarkEnd w:id="858"/>
      <w:bookmarkEnd w:id="859"/>
      <w:bookmarkEnd w:id="860"/>
    </w:p>
    <w:p w14:paraId="16E48FA6" w14:textId="77777777" w:rsidR="00D3097F" w:rsidRPr="003C0E2F" w:rsidRDefault="00D3097F" w:rsidP="00E959C5">
      <w:pPr>
        <w:pStyle w:val="NoSpacing"/>
      </w:pPr>
    </w:p>
    <w:bookmarkEnd w:id="861"/>
    <w:p w14:paraId="5188AB4A" w14:textId="4337291C" w:rsidR="00894CE6" w:rsidRPr="003C0E2F" w:rsidRDefault="00621C78" w:rsidP="00550FBC">
      <w:pPr>
        <w:keepNext/>
      </w:pPr>
      <w:r w:rsidRPr="003C0E2F">
        <w:lastRenderedPageBreak/>
        <w:t>Following LPS or direct IFNβ stimulation, a significant increase is seen in p-</w:t>
      </w:r>
      <w:r w:rsidR="007A0F7C" w:rsidRPr="003C0E2F">
        <w:t>STAT-1</w:t>
      </w:r>
      <w:r w:rsidRPr="003C0E2F">
        <w:t xml:space="preserve">. This increase can be countered by blocking IFNAR in either case, suggesting TLR4 induced STAT-1 is </w:t>
      </w:r>
      <w:r w:rsidR="009E0322" w:rsidRPr="003C0E2F">
        <w:t>dependent</w:t>
      </w:r>
      <w:r w:rsidRPr="003C0E2F">
        <w:t xml:space="preserve"> on IFNAR activation and as such is </w:t>
      </w:r>
      <w:r w:rsidR="007048B8" w:rsidRPr="003C0E2F">
        <w:t xml:space="preserve">likely to be </w:t>
      </w:r>
      <w:r w:rsidR="009E0322" w:rsidRPr="003C0E2F">
        <w:t>dependent</w:t>
      </w:r>
      <w:r w:rsidRPr="003C0E2F">
        <w:t xml:space="preserve"> on IFNβ (Figure </w:t>
      </w:r>
      <w:r w:rsidR="002F3C63" w:rsidRPr="003C0E2F">
        <w:t>50</w:t>
      </w:r>
      <w:r w:rsidRPr="003C0E2F">
        <w:t>). Both FP7 and FP12 can significantly reduce TLR4</w:t>
      </w:r>
      <w:r w:rsidR="00A9277D" w:rsidRPr="003C0E2F">
        <w:t>-</w:t>
      </w:r>
      <w:r w:rsidR="009E0322" w:rsidRPr="003C0E2F">
        <w:t>dependent</w:t>
      </w:r>
      <w:r w:rsidRPr="003C0E2F">
        <w:t xml:space="preserve"> p-</w:t>
      </w:r>
      <w:r w:rsidR="007A0F7C" w:rsidRPr="003C0E2F">
        <w:t>STAT-1</w:t>
      </w:r>
      <w:r w:rsidRPr="003C0E2F">
        <w:t xml:space="preserve"> following LPS exposure. However, these did not affect IFNβ induced IFNAR signalling in </w:t>
      </w:r>
      <w:r w:rsidR="00F80E29" w:rsidRPr="003C0E2F">
        <w:t>THP-1</w:t>
      </w:r>
      <w:r w:rsidRPr="003C0E2F">
        <w:t xml:space="preserve"> cells.</w:t>
      </w:r>
      <w:bookmarkStart w:id="862" w:name="_Hlk82874442"/>
      <w:r w:rsidRPr="003C0E2F">
        <w:t xml:space="preserve"> </w:t>
      </w:r>
      <w:r w:rsidR="002272D4" w:rsidRPr="003C0E2F">
        <w:t>STAT-1 phosphorylation following LPS exposure is the result of IFNAR activation, most likely by IFN</w:t>
      </w:r>
      <w:r w:rsidR="002272D4" w:rsidRPr="003C0E2F">
        <w:rPr>
          <w:rFonts w:cstheme="minorHAnsi"/>
        </w:rPr>
        <w:t>β. Subsequent downregulation by FP7 and FP12 is an indirect effect via inhibition of TLR4/TRIF-dependent signalling.</w:t>
      </w:r>
      <w:bookmarkEnd w:id="862"/>
    </w:p>
    <w:p w14:paraId="55B23FF1" w14:textId="2020FF01" w:rsidR="00D965BD" w:rsidRPr="003C0E2F" w:rsidRDefault="006C78EC" w:rsidP="00D965BD">
      <w:pPr>
        <w:keepNext/>
        <w:jc w:val="center"/>
      </w:pPr>
      <w:r w:rsidRPr="003C0E2F">
        <w:object w:dxaOrig="6149" w:dyaOrig="4526" w14:anchorId="7B88B6C0">
          <v:shape id="_x0000_i1054" type="#_x0000_t75" style="width:389.4pt;height:258.6pt" o:ole="">
            <v:imagedata r:id="rId120" o:title="" cropbottom="6230f"/>
          </v:shape>
          <o:OLEObject Type="Embed" ProgID="Prism6.Document" ShapeID="_x0000_i1054" DrawAspect="Content" ObjectID="_1701585012" r:id="rId121"/>
        </w:object>
      </w:r>
      <w:bookmarkStart w:id="863" w:name="_Toc60638903"/>
      <w:bookmarkStart w:id="864" w:name="_Toc63112037"/>
      <w:bookmarkStart w:id="865" w:name="_Toc63112254"/>
      <w:bookmarkStart w:id="866" w:name="_Toc63270394"/>
    </w:p>
    <w:p w14:paraId="222E69B4" w14:textId="77777777" w:rsidR="00D965BD" w:rsidRPr="003C0E2F" w:rsidRDefault="00D965BD" w:rsidP="00D965BD">
      <w:pPr>
        <w:keepNext/>
        <w:jc w:val="center"/>
      </w:pPr>
    </w:p>
    <w:p w14:paraId="21EEFAD9" w14:textId="76105E52" w:rsidR="00D3097F" w:rsidRPr="003C0E2F" w:rsidRDefault="00550FBC" w:rsidP="003C0E2F">
      <w:pPr>
        <w:pStyle w:val="NoSpacing"/>
      </w:pPr>
      <w:bookmarkStart w:id="867" w:name="_Toc64533262"/>
      <w:bookmarkStart w:id="868" w:name="_Toc64551809"/>
      <w:bookmarkStart w:id="869" w:name="_Toc80013853"/>
      <w:bookmarkStart w:id="870" w:name="_Toc82882992"/>
      <w:r w:rsidRPr="003C0E2F">
        <w:t xml:space="preserve">Figure </w:t>
      </w:r>
      <w:r w:rsidR="00862981">
        <w:fldChar w:fldCharType="begin"/>
      </w:r>
      <w:r w:rsidR="00862981">
        <w:instrText xml:space="preserve"> SEQ Figure \* ARABIC </w:instrText>
      </w:r>
      <w:r w:rsidR="00862981">
        <w:fldChar w:fldCharType="separate"/>
      </w:r>
      <w:r w:rsidR="000F2276">
        <w:rPr>
          <w:noProof/>
        </w:rPr>
        <w:t>51</w:t>
      </w:r>
      <w:r w:rsidR="00862981">
        <w:rPr>
          <w:noProof/>
        </w:rPr>
        <w:fldChar w:fldCharType="end"/>
      </w:r>
      <w:r w:rsidRPr="003C0E2F">
        <w:t>.</w:t>
      </w:r>
      <w:bookmarkStart w:id="871" w:name="_Toc48514859"/>
      <w:bookmarkStart w:id="872" w:name="_Toc55583769"/>
      <w:bookmarkStart w:id="873" w:name="_Toc55584947"/>
      <w:bookmarkStart w:id="874" w:name="_Toc60584062"/>
      <w:r w:rsidR="00D3097F" w:rsidRPr="003C0E2F">
        <w:t xml:space="preserve"> FP7 and FP12 negatively regulate LPS induced </w:t>
      </w:r>
      <w:r w:rsidR="009E42FE" w:rsidRPr="003C0E2F">
        <w:t>IP10</w:t>
      </w:r>
      <w:r w:rsidR="00D3097F" w:rsidRPr="003C0E2F">
        <w:t xml:space="preserve"> production. </w:t>
      </w:r>
      <w:r w:rsidR="00894CE6" w:rsidRPr="003C0E2F">
        <w:t xml:space="preserve">THP-1 </w:t>
      </w:r>
      <w:r w:rsidR="008F561F" w:rsidRPr="003C0E2F">
        <w:t>macrophage</w:t>
      </w:r>
      <w:r w:rsidR="00894CE6" w:rsidRPr="003C0E2F">
        <w:t>s were treated with FP7 or FP12 (10µM) for 1 hour prior to IFNβ (1ng/ml) or LPS (100ng/ml)</w:t>
      </w:r>
      <w:r w:rsidR="00BD3E38" w:rsidRPr="003C0E2F">
        <w:t xml:space="preserve">. </w:t>
      </w:r>
      <w:r w:rsidR="00504096" w:rsidRPr="003C0E2F">
        <w:t xml:space="preserve">Untreated control </w:t>
      </w:r>
      <w:r w:rsidR="00A2094F" w:rsidRPr="003C0E2F">
        <w:t>(-)</w:t>
      </w:r>
      <w:r w:rsidR="00504096" w:rsidRPr="003C0E2F">
        <w:t xml:space="preserve"> is with vehicle </w:t>
      </w:r>
      <w:proofErr w:type="gramStart"/>
      <w:r w:rsidR="00504096" w:rsidRPr="003C0E2F">
        <w:t xml:space="preserve">only </w:t>
      </w:r>
      <w:r w:rsidR="00BD3E38" w:rsidRPr="003C0E2F">
        <w:t>.</w:t>
      </w:r>
      <w:proofErr w:type="gramEnd"/>
      <w:r w:rsidR="00BD3E38" w:rsidRPr="003C0E2F">
        <w:t xml:space="preserve"> </w:t>
      </w:r>
      <w:r w:rsidR="00D3097F" w:rsidRPr="003C0E2F">
        <w:t xml:space="preserve">Culture medium was collected and analysed after </w:t>
      </w:r>
      <w:r w:rsidR="00894CE6" w:rsidRPr="003C0E2F">
        <w:t>Overnight incubation and analysed via ELISA</w:t>
      </w:r>
      <w:r w:rsidR="00D3097F" w:rsidRPr="003C0E2F">
        <w:t xml:space="preserve">. Results </w:t>
      </w:r>
      <w:r w:rsidR="007C059B" w:rsidRPr="003C0E2F">
        <w:t>were</w:t>
      </w:r>
      <w:r w:rsidR="00D3097F" w:rsidRPr="003C0E2F">
        <w:t xml:space="preserve"> expressed as mean +/- standard deviation from three separate treatments. Significant results are shown as * = p&lt;0.05, ** = p&lt;0.01 *** = p&lt;0.001.</w:t>
      </w:r>
      <w:bookmarkEnd w:id="863"/>
      <w:bookmarkEnd w:id="864"/>
      <w:bookmarkEnd w:id="865"/>
      <w:bookmarkEnd w:id="866"/>
      <w:bookmarkEnd w:id="867"/>
      <w:bookmarkEnd w:id="868"/>
      <w:bookmarkEnd w:id="869"/>
      <w:bookmarkEnd w:id="870"/>
      <w:bookmarkEnd w:id="871"/>
      <w:bookmarkEnd w:id="872"/>
      <w:bookmarkEnd w:id="873"/>
      <w:bookmarkEnd w:id="874"/>
    </w:p>
    <w:p w14:paraId="32360680" w14:textId="77777777" w:rsidR="00487A04" w:rsidRPr="003C0E2F" w:rsidRDefault="00487A04" w:rsidP="00BE5236"/>
    <w:p w14:paraId="5D75E846" w14:textId="4FC6C51E" w:rsidR="00894CE6" w:rsidRPr="003C0E2F" w:rsidRDefault="00621C78" w:rsidP="00621C78">
      <w:bookmarkStart w:id="875" w:name="_Toc38543312"/>
      <w:r w:rsidRPr="003C0E2F">
        <w:lastRenderedPageBreak/>
        <w:t xml:space="preserve">Like STAT-1, </w:t>
      </w:r>
      <w:r w:rsidR="009E42FE" w:rsidRPr="003C0E2F">
        <w:t>IP10</w:t>
      </w:r>
      <w:r w:rsidRPr="003C0E2F">
        <w:t xml:space="preserve"> was also shown to have an association with IFNAR signalling and can be induced by IFNβ (Figure 5</w:t>
      </w:r>
      <w:r w:rsidR="00894CE6" w:rsidRPr="003C0E2F">
        <w:t>1</w:t>
      </w:r>
      <w:r w:rsidRPr="003C0E2F">
        <w:t xml:space="preserve">) which FP7 and FP12 had no </w:t>
      </w:r>
      <w:r w:rsidR="008F561F" w:rsidRPr="003C0E2F">
        <w:t>effect</w:t>
      </w:r>
      <w:r w:rsidRPr="003C0E2F">
        <w:t xml:space="preserve"> on. While blocking IFNAR appears to reduce levels of </w:t>
      </w:r>
      <w:r w:rsidR="009E42FE" w:rsidRPr="003C0E2F">
        <w:t>IP10</w:t>
      </w:r>
      <w:r w:rsidRPr="003C0E2F">
        <w:t xml:space="preserve">, it is only a partial </w:t>
      </w:r>
      <w:r w:rsidR="008F561F" w:rsidRPr="003C0E2F">
        <w:t>effect</w:t>
      </w:r>
      <w:r w:rsidRPr="003C0E2F">
        <w:t xml:space="preserve"> in response to LPS or IFNβ (Figure 5</w:t>
      </w:r>
      <w:r w:rsidR="00894CE6" w:rsidRPr="003C0E2F">
        <w:t>2</w:t>
      </w:r>
      <w:r w:rsidRPr="003C0E2F">
        <w:t xml:space="preserve">). FP7 and FP12 appear to be more </w:t>
      </w:r>
      <w:r w:rsidR="008F561F" w:rsidRPr="003C0E2F">
        <w:t>effect</w:t>
      </w:r>
      <w:r w:rsidRPr="003C0E2F">
        <w:t xml:space="preserve">ive when combined with the IFNAR blocking antibody. This suggests alternate pathways may be involved in </w:t>
      </w:r>
      <w:r w:rsidR="009E42FE" w:rsidRPr="003C0E2F">
        <w:t>IP10</w:t>
      </w:r>
      <w:r w:rsidRPr="003C0E2F">
        <w:t xml:space="preserve"> regulation in response to LPS and IFNβ.</w:t>
      </w:r>
      <w:r w:rsidR="007C059B" w:rsidRPr="003C0E2F">
        <w:t xml:space="preserve">TLR4 agonists </w:t>
      </w:r>
      <w:r w:rsidR="00D3097F" w:rsidRPr="003C0E2F">
        <w:t xml:space="preserve">FP11 and </w:t>
      </w:r>
      <w:bookmarkEnd w:id="875"/>
      <w:r w:rsidRPr="003C0E2F">
        <w:t xml:space="preserve">FP18 upregulate STAT-1 but not </w:t>
      </w:r>
      <w:r w:rsidR="009E42FE" w:rsidRPr="003C0E2F">
        <w:t>TBK1</w:t>
      </w:r>
      <w:r w:rsidRPr="003C0E2F">
        <w:t xml:space="preserve"> phosphorylation</w:t>
      </w:r>
      <w:r w:rsidR="00894CE6" w:rsidRPr="003C0E2F">
        <w:t>.</w:t>
      </w:r>
    </w:p>
    <w:p w14:paraId="126A536C" w14:textId="3277A4E5" w:rsidR="00894CE6" w:rsidRPr="003C0E2F" w:rsidRDefault="006C78EC" w:rsidP="007214D0">
      <w:pPr>
        <w:spacing w:line="259" w:lineRule="auto"/>
        <w:jc w:val="center"/>
      </w:pPr>
      <w:r w:rsidRPr="003C0E2F">
        <w:object w:dxaOrig="6120" w:dyaOrig="4886" w14:anchorId="3EFE92E4">
          <v:shape id="_x0000_i1055" type="#_x0000_t75" style="width:374.4pt;height:302.4pt" o:ole="">
            <v:imagedata r:id="rId122" o:title=""/>
          </v:shape>
          <o:OLEObject Type="Embed" ProgID="Prism6.Document" ShapeID="_x0000_i1055" DrawAspect="Content" ObjectID="_1701585013" r:id="rId123"/>
        </w:object>
      </w:r>
    </w:p>
    <w:p w14:paraId="140F0F1C" w14:textId="78E7D747" w:rsidR="00894CE6" w:rsidRPr="003C0E2F" w:rsidRDefault="00894CE6" w:rsidP="003C0E2F">
      <w:pPr>
        <w:pStyle w:val="NoSpacing"/>
      </w:pPr>
      <w:bookmarkStart w:id="876" w:name="_Toc64533263"/>
      <w:bookmarkStart w:id="877" w:name="_Toc64551810"/>
      <w:bookmarkStart w:id="878" w:name="_Toc80013854"/>
      <w:bookmarkStart w:id="879" w:name="_Toc82882993"/>
      <w:r w:rsidRPr="003C0E2F">
        <w:t xml:space="preserve">Figure </w:t>
      </w:r>
      <w:r w:rsidR="00862981">
        <w:fldChar w:fldCharType="begin"/>
      </w:r>
      <w:r w:rsidR="00862981">
        <w:instrText xml:space="preserve"> SEQ Figure \* ARABIC </w:instrText>
      </w:r>
      <w:r w:rsidR="00862981">
        <w:fldChar w:fldCharType="separate"/>
      </w:r>
      <w:r w:rsidR="000F2276">
        <w:rPr>
          <w:noProof/>
        </w:rPr>
        <w:t>52</w:t>
      </w:r>
      <w:r w:rsidR="00862981">
        <w:rPr>
          <w:noProof/>
        </w:rPr>
        <w:fldChar w:fldCharType="end"/>
      </w:r>
      <w:r w:rsidRPr="003C0E2F">
        <w:t xml:space="preserve">. FP7 and FP12 negatively regulated LPS induced STAT-1 phosphorylation. THP-1 </w:t>
      </w:r>
      <w:r w:rsidR="008F561F" w:rsidRPr="003C0E2F">
        <w:t>macrophage</w:t>
      </w:r>
      <w:r w:rsidRPr="003C0E2F">
        <w:t>s were treated with FP7 or FP12 (10µM) for 1 hour prior to LPS (100ng/ml) in the presence or absence of IFNAR blocking antibody</w:t>
      </w:r>
      <w:r w:rsidR="007214D0" w:rsidRPr="003C0E2F">
        <w:t xml:space="preserve"> (</w:t>
      </w:r>
      <w:proofErr w:type="spellStart"/>
      <w:r w:rsidR="007214D0" w:rsidRPr="003C0E2F">
        <w:t>Blk</w:t>
      </w:r>
      <w:proofErr w:type="spellEnd"/>
      <w:r w:rsidR="007214D0" w:rsidRPr="003C0E2F">
        <w:t xml:space="preserve"> AB)</w:t>
      </w:r>
      <w:r w:rsidRPr="003C0E2F">
        <w:t>. IFNβ (1ng/ml) was used as a positive control for activation of IFNAR</w:t>
      </w:r>
      <w:r w:rsidR="00BD3E38" w:rsidRPr="003C0E2F">
        <w:t xml:space="preserve">. </w:t>
      </w:r>
      <w:r w:rsidR="00504096" w:rsidRPr="003C0E2F">
        <w:t xml:space="preserve">Untreated control </w:t>
      </w:r>
      <w:r w:rsidR="00A2094F" w:rsidRPr="003C0E2F">
        <w:t>(-)</w:t>
      </w:r>
      <w:r w:rsidR="00504096" w:rsidRPr="003C0E2F">
        <w:t xml:space="preserve"> is with vehicle </w:t>
      </w:r>
      <w:proofErr w:type="gramStart"/>
      <w:r w:rsidR="00504096" w:rsidRPr="003C0E2F">
        <w:t xml:space="preserve">only </w:t>
      </w:r>
      <w:r w:rsidR="00BD3E38" w:rsidRPr="003C0E2F">
        <w:t>.</w:t>
      </w:r>
      <w:proofErr w:type="gramEnd"/>
      <w:r w:rsidR="00BD3E38" w:rsidRPr="003C0E2F">
        <w:t xml:space="preserve"> </w:t>
      </w:r>
      <w:r w:rsidRPr="003C0E2F">
        <w:t>Cell lysates were collected and analysed after overnight incubation via ELISA. Results are expressed as mean +/- standard deviation from three separate treatments. Significant results were shown as * = p&lt;0.05, ** = p&lt;0.01 *** = p&lt;0.001.</w:t>
      </w:r>
      <w:bookmarkEnd w:id="876"/>
      <w:bookmarkEnd w:id="877"/>
      <w:bookmarkEnd w:id="878"/>
      <w:bookmarkEnd w:id="879"/>
    </w:p>
    <w:p w14:paraId="0FF334F1" w14:textId="5C51363A" w:rsidR="00894CE6" w:rsidRPr="003C0E2F" w:rsidRDefault="00894CE6">
      <w:pPr>
        <w:spacing w:line="259" w:lineRule="auto"/>
      </w:pPr>
    </w:p>
    <w:p w14:paraId="329A3C04" w14:textId="77777777" w:rsidR="006C78EC" w:rsidRPr="003C0E2F" w:rsidRDefault="006C78EC">
      <w:pPr>
        <w:spacing w:line="259" w:lineRule="auto"/>
      </w:pPr>
    </w:p>
    <w:p w14:paraId="0F935193" w14:textId="22E50F08" w:rsidR="007214D0" w:rsidRPr="003C0E2F" w:rsidRDefault="00621C78" w:rsidP="007214D0">
      <w:r w:rsidRPr="003C0E2F">
        <w:lastRenderedPageBreak/>
        <w:t xml:space="preserve">The </w:t>
      </w:r>
      <w:r w:rsidR="008F561F" w:rsidRPr="003C0E2F">
        <w:t>effect</w:t>
      </w:r>
      <w:r w:rsidRPr="003C0E2F">
        <w:t xml:space="preserve"> of FP11 and FP18 on </w:t>
      </w:r>
      <w:r w:rsidR="00A9277D" w:rsidRPr="003C0E2F">
        <w:t>TRIF-</w:t>
      </w:r>
      <w:r w:rsidR="009E0322" w:rsidRPr="003C0E2F">
        <w:t>dependent</w:t>
      </w:r>
      <w:r w:rsidRPr="003C0E2F">
        <w:t xml:space="preserve"> signalling is unknown. To understand the </w:t>
      </w:r>
      <w:r w:rsidR="008F561F" w:rsidRPr="003C0E2F">
        <w:t>effect</w:t>
      </w:r>
      <w:r w:rsidRPr="003C0E2F">
        <w:t xml:space="preserve"> of FP11 and F18 on </w:t>
      </w:r>
      <w:r w:rsidR="00A9277D" w:rsidRPr="003C0E2F">
        <w:t>TRIF-</w:t>
      </w:r>
      <w:r w:rsidR="009E0322" w:rsidRPr="003C0E2F">
        <w:t>dependent</w:t>
      </w:r>
      <w:r w:rsidRPr="003C0E2F">
        <w:t xml:space="preserve"> signalling, </w:t>
      </w:r>
      <w:r w:rsidR="00030A76" w:rsidRPr="003C0E2F">
        <w:rPr>
          <w:rFonts w:asciiTheme="majorHAnsi" w:hAnsiTheme="majorHAnsi"/>
        </w:rPr>
        <w:t>Western</w:t>
      </w:r>
      <w:r w:rsidRPr="003C0E2F">
        <w:t xml:space="preserve"> blot analysis was used to assess </w:t>
      </w:r>
      <w:r w:rsidR="009E42FE" w:rsidRPr="003C0E2F">
        <w:t>TBK1</w:t>
      </w:r>
      <w:r w:rsidRPr="003C0E2F">
        <w:t xml:space="preserve"> and STAT-1 phosphorylation in relation to FP11, FP18, LPS and MPLA. Both FP11 and FP18 were capable of modulating activity of some, but not all, proteins involved in </w:t>
      </w:r>
      <w:r w:rsidR="00A9277D" w:rsidRPr="003C0E2F">
        <w:t>TRIF-</w:t>
      </w:r>
      <w:r w:rsidR="009E0322" w:rsidRPr="003C0E2F">
        <w:t>dependent</w:t>
      </w:r>
      <w:r w:rsidRPr="003C0E2F">
        <w:t xml:space="preserve"> signalling in THP-1 </w:t>
      </w:r>
      <w:r w:rsidR="008F561F" w:rsidRPr="003C0E2F">
        <w:t>macrophage</w:t>
      </w:r>
      <w:r w:rsidRPr="003C0E2F">
        <w:t>s.</w:t>
      </w:r>
      <w:r w:rsidR="003F460B" w:rsidRPr="003C0E2F">
        <w:br/>
      </w:r>
    </w:p>
    <w:p w14:paraId="1DFBD002" w14:textId="0C4CC3FD" w:rsidR="003F460B" w:rsidRPr="003C0E2F" w:rsidRDefault="009E42FE" w:rsidP="007214D0">
      <w:pPr>
        <w:jc w:val="center"/>
      </w:pPr>
      <w:r w:rsidRPr="003C0E2F">
        <w:object w:dxaOrig="6494" w:dyaOrig="5321" w14:anchorId="00F04E63">
          <v:shape id="_x0000_i1056" type="#_x0000_t75" style="width:302.4pt;height:237.6pt" o:ole="">
            <v:imagedata r:id="rId124" o:title="" cropbottom="3718f"/>
          </v:shape>
          <o:OLEObject Type="Embed" ProgID="Prism6.Document" ShapeID="_x0000_i1056" DrawAspect="Content" ObjectID="_1701585014" r:id="rId125"/>
        </w:object>
      </w:r>
    </w:p>
    <w:p w14:paraId="298A8197" w14:textId="77777777" w:rsidR="003C0E2F" w:rsidRPr="003C0E2F" w:rsidRDefault="003C0E2F" w:rsidP="003C0E2F">
      <w:pPr>
        <w:pStyle w:val="NoSpacing"/>
      </w:pPr>
      <w:bookmarkStart w:id="880" w:name="_Toc60638904"/>
      <w:bookmarkStart w:id="881" w:name="_Toc63112038"/>
      <w:bookmarkStart w:id="882" w:name="_Toc63112255"/>
      <w:bookmarkStart w:id="883" w:name="_Toc63270395"/>
      <w:bookmarkStart w:id="884" w:name="_Toc64533264"/>
      <w:bookmarkStart w:id="885" w:name="_Toc64551811"/>
      <w:bookmarkStart w:id="886" w:name="_Toc80013855"/>
      <w:bookmarkStart w:id="887" w:name="_Toc82882994"/>
    </w:p>
    <w:p w14:paraId="0F5CAC89" w14:textId="1A92F9CB" w:rsidR="00621C78" w:rsidRPr="003C0E2F" w:rsidRDefault="003F460B" w:rsidP="003C0E2F">
      <w:pPr>
        <w:pStyle w:val="NoSpacing"/>
      </w:pPr>
      <w:r w:rsidRPr="003C0E2F">
        <w:t xml:space="preserve">Figure </w:t>
      </w:r>
      <w:r w:rsidR="00862981">
        <w:fldChar w:fldCharType="begin"/>
      </w:r>
      <w:r w:rsidR="00862981">
        <w:instrText xml:space="preserve"> SEQ Figure \* ARABIC </w:instrText>
      </w:r>
      <w:r w:rsidR="00862981">
        <w:fldChar w:fldCharType="separate"/>
      </w:r>
      <w:r w:rsidR="000F2276">
        <w:rPr>
          <w:noProof/>
        </w:rPr>
        <w:t>53</w:t>
      </w:r>
      <w:r w:rsidR="00862981">
        <w:rPr>
          <w:noProof/>
        </w:rPr>
        <w:fldChar w:fldCharType="end"/>
      </w:r>
      <w:r w:rsidRPr="003C0E2F">
        <w:t xml:space="preserve">. FP11 and FP18 have no </w:t>
      </w:r>
      <w:r w:rsidR="008F561F" w:rsidRPr="003C0E2F">
        <w:t>effect</w:t>
      </w:r>
      <w:r w:rsidRPr="003C0E2F">
        <w:t xml:space="preserve"> on TBK1 phosphorylation. THP-1 </w:t>
      </w:r>
      <w:r w:rsidR="008F561F" w:rsidRPr="003C0E2F">
        <w:t>macrophage</w:t>
      </w:r>
      <w:r w:rsidRPr="003C0E2F">
        <w:t>s were treated with FP11 (10µM), FP18 (10µM) LPS or MPLA (100ng/ml)</w:t>
      </w:r>
      <w:r w:rsidR="00BD3E38" w:rsidRPr="003C0E2F">
        <w:t xml:space="preserve">. Untreated control </w:t>
      </w:r>
      <w:r w:rsidR="00B22E10" w:rsidRPr="003C0E2F">
        <w:t xml:space="preserve">(Con) </w:t>
      </w:r>
      <w:r w:rsidR="00BD3E38" w:rsidRPr="003C0E2F">
        <w:t xml:space="preserve">is with vehicle only. </w:t>
      </w:r>
      <w:r w:rsidRPr="003C0E2F">
        <w:t xml:space="preserve">Cell lysates were collected and analysed after 30 minutes via </w:t>
      </w:r>
      <w:r w:rsidR="00030A76" w:rsidRPr="003C0E2F">
        <w:t>Western</w:t>
      </w:r>
      <w:r w:rsidRPr="003C0E2F">
        <w:t xml:space="preserve"> blot. Results are expressed as mean +/- standard deviation from three separate treatments. Significant results are shown as * = p&lt;0.05, ** = p&lt;0.01 *** = p&lt;0.001.</w:t>
      </w:r>
      <w:bookmarkEnd w:id="880"/>
      <w:bookmarkEnd w:id="881"/>
      <w:bookmarkEnd w:id="882"/>
      <w:bookmarkEnd w:id="883"/>
      <w:bookmarkEnd w:id="884"/>
      <w:bookmarkEnd w:id="885"/>
      <w:bookmarkEnd w:id="886"/>
      <w:bookmarkEnd w:id="887"/>
    </w:p>
    <w:p w14:paraId="1483A013" w14:textId="77777777" w:rsidR="003F460B" w:rsidRPr="003C0E2F" w:rsidRDefault="003F460B" w:rsidP="003F460B"/>
    <w:p w14:paraId="71139D80" w14:textId="77777777" w:rsidR="00FB2FD3" w:rsidRPr="003C0E2F" w:rsidRDefault="00FB2FD3">
      <w:pPr>
        <w:spacing w:line="259" w:lineRule="auto"/>
      </w:pPr>
      <w:r w:rsidRPr="003C0E2F">
        <w:br w:type="page"/>
      </w:r>
    </w:p>
    <w:p w14:paraId="490CB3FD" w14:textId="4CEB11B8" w:rsidR="00621C78" w:rsidRPr="003C0E2F" w:rsidRDefault="00A9277D" w:rsidP="00621C78">
      <w:r w:rsidRPr="003C0E2F">
        <w:lastRenderedPageBreak/>
        <w:t>TRIF-</w:t>
      </w:r>
      <w:r w:rsidR="009E0322" w:rsidRPr="003C0E2F">
        <w:t>dependent</w:t>
      </w:r>
      <w:r w:rsidR="00621C78" w:rsidRPr="003C0E2F">
        <w:t xml:space="preserve"> activation of TBK was measured at 30 minutes post stimulation. However, FP11 and FP18 had no </w:t>
      </w:r>
      <w:r w:rsidR="008F561F" w:rsidRPr="003C0E2F">
        <w:t>effect</w:t>
      </w:r>
      <w:r w:rsidR="00621C78" w:rsidRPr="003C0E2F">
        <w:t xml:space="preserve"> of </w:t>
      </w:r>
      <w:r w:rsidR="009E42FE" w:rsidRPr="003C0E2F">
        <w:t>TBK1</w:t>
      </w:r>
      <w:r w:rsidR="00621C78" w:rsidRPr="003C0E2F">
        <w:t xml:space="preserve"> phosphorylation after 30 minutes (Figure 5</w:t>
      </w:r>
      <w:r w:rsidR="00E16609" w:rsidRPr="003C0E2F">
        <w:t>3</w:t>
      </w:r>
      <w:r w:rsidR="00621C78" w:rsidRPr="003C0E2F">
        <w:t xml:space="preserve">). While both FP18 and MPLA produced a small increase, this </w:t>
      </w:r>
      <w:r w:rsidR="008F561F" w:rsidRPr="003C0E2F">
        <w:t>effect</w:t>
      </w:r>
      <w:r w:rsidR="00621C78" w:rsidRPr="003C0E2F">
        <w:t xml:space="preserve"> was inconsistent and did not produce a significant increase </w:t>
      </w:r>
      <w:r w:rsidR="002D24C2" w:rsidRPr="003C0E2F">
        <w:t xml:space="preserve">of </w:t>
      </w:r>
      <w:r w:rsidR="009E42FE" w:rsidRPr="003C0E2F">
        <w:t>TBK1</w:t>
      </w:r>
      <w:r w:rsidR="00621C78" w:rsidRPr="003C0E2F">
        <w:t xml:space="preserve"> phosphorylation. </w:t>
      </w:r>
    </w:p>
    <w:p w14:paraId="09779B55" w14:textId="77777777" w:rsidR="00FB2FD3" w:rsidRPr="003C0E2F" w:rsidRDefault="00FB2FD3" w:rsidP="00FB2FD3">
      <w:pPr>
        <w:keepNext/>
      </w:pPr>
      <w:r w:rsidRPr="003C0E2F">
        <w:object w:dxaOrig="10253" w:dyaOrig="5076" w14:anchorId="47FE7FBF">
          <v:shape id="_x0000_i1057" type="#_x0000_t75" style="width:453.6pt;height:222.6pt" o:ole="">
            <v:imagedata r:id="rId126" o:title=""/>
          </v:shape>
          <o:OLEObject Type="Embed" ProgID="Prism6.Document" ShapeID="_x0000_i1057" DrawAspect="Content" ObjectID="_1701585015" r:id="rId127"/>
        </w:object>
      </w:r>
    </w:p>
    <w:p w14:paraId="190E11BA" w14:textId="6B3BD348" w:rsidR="00FB2FD3" w:rsidRPr="003C0E2F" w:rsidRDefault="00FB2FD3" w:rsidP="003C0E2F">
      <w:pPr>
        <w:pStyle w:val="NoSpacing"/>
      </w:pPr>
      <w:bookmarkStart w:id="888" w:name="_Toc60638905"/>
      <w:bookmarkStart w:id="889" w:name="_Toc63112039"/>
      <w:bookmarkStart w:id="890" w:name="_Toc63112256"/>
      <w:bookmarkStart w:id="891" w:name="_Toc63270396"/>
      <w:bookmarkStart w:id="892" w:name="_Toc64533265"/>
      <w:bookmarkStart w:id="893" w:name="_Toc64551812"/>
      <w:bookmarkStart w:id="894" w:name="_Toc80013856"/>
      <w:bookmarkStart w:id="895" w:name="_Toc82882995"/>
      <w:r w:rsidRPr="003C0E2F">
        <w:t xml:space="preserve">Figure </w:t>
      </w:r>
      <w:r w:rsidR="00BB038D">
        <w:fldChar w:fldCharType="begin"/>
      </w:r>
      <w:r w:rsidR="00BB038D">
        <w:instrText xml:space="preserve"> SEQ Figure \* ARAB</w:instrText>
      </w:r>
      <w:r w:rsidR="00BB038D">
        <w:instrText xml:space="preserve">IC </w:instrText>
      </w:r>
      <w:r w:rsidR="00BB038D">
        <w:fldChar w:fldCharType="separate"/>
      </w:r>
      <w:r w:rsidR="000F2276">
        <w:rPr>
          <w:noProof/>
        </w:rPr>
        <w:t>54</w:t>
      </w:r>
      <w:r w:rsidR="00BB038D">
        <w:rPr>
          <w:noProof/>
        </w:rPr>
        <w:fldChar w:fldCharType="end"/>
      </w:r>
      <w:bookmarkStart w:id="896" w:name="_Toc48514862"/>
      <w:bookmarkStart w:id="897" w:name="_Toc55583772"/>
      <w:bookmarkStart w:id="898" w:name="_Toc55584950"/>
      <w:bookmarkStart w:id="899" w:name="_Toc60584063"/>
      <w:r w:rsidRPr="003C0E2F">
        <w:t>. Timing of (A) FP11 and (B) FP18 induced STAT-1 phosphorylation. THP-1 macrophages were exposed to FP11 or FP18 (10µM). cell lysates were then collected at 0–6-hour time points and levels of STAT-1 phosphorylation measured via Western blot. Results are from a single experiment.</w:t>
      </w:r>
      <w:bookmarkEnd w:id="888"/>
      <w:bookmarkEnd w:id="889"/>
      <w:bookmarkEnd w:id="890"/>
      <w:bookmarkEnd w:id="891"/>
      <w:bookmarkEnd w:id="892"/>
      <w:bookmarkEnd w:id="893"/>
      <w:bookmarkEnd w:id="894"/>
      <w:bookmarkEnd w:id="895"/>
      <w:bookmarkEnd w:id="896"/>
      <w:bookmarkEnd w:id="897"/>
      <w:bookmarkEnd w:id="898"/>
      <w:bookmarkEnd w:id="899"/>
    </w:p>
    <w:p w14:paraId="3F8C179F" w14:textId="77777777" w:rsidR="00FB2FD3" w:rsidRPr="003C0E2F" w:rsidRDefault="00FB2FD3" w:rsidP="00BE5236"/>
    <w:p w14:paraId="309425D7" w14:textId="4BCAD64D" w:rsidR="00D3097F" w:rsidRPr="003C0E2F" w:rsidRDefault="00621C78" w:rsidP="00BE5236">
      <w:r w:rsidRPr="003C0E2F">
        <w:t xml:space="preserve">Despite negative results in relation to </w:t>
      </w:r>
      <w:r w:rsidR="009E42FE" w:rsidRPr="003C0E2F">
        <w:t>TBK1</w:t>
      </w:r>
      <w:r w:rsidRPr="003C0E2F">
        <w:t>, both FP11 and FP18 were capable of inducing STAT-1 phosphorylation. A timing investigation was carried out to determine in FP11 and FP18 follow the same pattern of STAT-1 activation as LPS (Figure 5</w:t>
      </w:r>
      <w:r w:rsidR="00E16609" w:rsidRPr="003C0E2F">
        <w:t>4</w:t>
      </w:r>
      <w:r w:rsidRPr="003C0E2F">
        <w:t>). This confirmed the correct collection time for measurement to be around 3 hours, though STAT-1 phosphorylation began as early as 2 hours after exposure to either FP11 or FP18. 2.5 hours is therefore suitable for comparison between LPS and FP11 or FP18.</w:t>
      </w:r>
    </w:p>
    <w:p w14:paraId="7FB47D70" w14:textId="77777777" w:rsidR="00621C78" w:rsidRPr="003C0E2F" w:rsidRDefault="00621C78" w:rsidP="00BE5236"/>
    <w:p w14:paraId="3801602B" w14:textId="6E94D1AE" w:rsidR="00621C78" w:rsidRPr="003C0E2F" w:rsidRDefault="00621C78" w:rsidP="00550FBC">
      <w:pPr>
        <w:keepNext/>
      </w:pPr>
      <w:r w:rsidRPr="003C0E2F">
        <w:lastRenderedPageBreak/>
        <w:t xml:space="preserve">Stimulation of THP-1 </w:t>
      </w:r>
      <w:r w:rsidR="008F561F" w:rsidRPr="003C0E2F">
        <w:t>macrophage</w:t>
      </w:r>
      <w:r w:rsidRPr="003C0E2F">
        <w:t>s with LPS, FP11 or FP18 caused subsequent phosphorylation of STAT-1 (Figure 5</w:t>
      </w:r>
      <w:r w:rsidR="00E16609" w:rsidRPr="003C0E2F">
        <w:t>5</w:t>
      </w:r>
      <w:r w:rsidRPr="003C0E2F">
        <w:t xml:space="preserve">). </w:t>
      </w:r>
      <w:proofErr w:type="gramStart"/>
      <w:r w:rsidR="007A7EEE" w:rsidRPr="003C0E2F">
        <w:t>Similar to</w:t>
      </w:r>
      <w:proofErr w:type="gramEnd"/>
      <w:r w:rsidRPr="003C0E2F">
        <w:t xml:space="preserve"> LPS, FP11 and FP18 positively regulated STAT-1 phosphorylation. THP-1 </w:t>
      </w:r>
      <w:r w:rsidR="008F561F" w:rsidRPr="003C0E2F">
        <w:t>macrophage</w:t>
      </w:r>
      <w:r w:rsidRPr="003C0E2F">
        <w:t xml:space="preserve">s were treated with FP11 (10µM), FP18 (10µM) LPS or MPLA (100ng/ml). Cell lysates were collected and analysed after 2.5 hours via </w:t>
      </w:r>
      <w:r w:rsidR="00030A76" w:rsidRPr="003C0E2F">
        <w:rPr>
          <w:rFonts w:asciiTheme="majorHAnsi" w:hAnsiTheme="majorHAnsi"/>
        </w:rPr>
        <w:t>Western</w:t>
      </w:r>
      <w:r w:rsidRPr="003C0E2F">
        <w:t xml:space="preserve"> blot.  However, MPLA had no significant </w:t>
      </w:r>
      <w:r w:rsidR="008F561F" w:rsidRPr="003C0E2F">
        <w:t>effect</w:t>
      </w:r>
      <w:r w:rsidRPr="003C0E2F">
        <w:t xml:space="preserve"> on STAT-1 following stimulation. This corresponds to previous data from LPS variants where Lipid A and MPLA were found to be inadequate to activate </w:t>
      </w:r>
      <w:r w:rsidR="00A9277D" w:rsidRPr="003C0E2F">
        <w:t>TRIF-</w:t>
      </w:r>
      <w:r w:rsidR="009E0322" w:rsidRPr="003C0E2F">
        <w:t>dependent</w:t>
      </w:r>
      <w:r w:rsidRPr="003C0E2F">
        <w:t xml:space="preserve"> signalling. This data confirms results from the initial timing experiments that FP11 and FP18 are consistently causing activation of STAT-1 despite not having greater impact than LPS on TRIF-</w:t>
      </w:r>
      <w:r w:rsidR="009E0322" w:rsidRPr="003C0E2F">
        <w:t>dependent</w:t>
      </w:r>
      <w:r w:rsidRPr="003C0E2F">
        <w:t xml:space="preserve"> signalling.</w:t>
      </w:r>
    </w:p>
    <w:p w14:paraId="78F7C095" w14:textId="0B4E7265" w:rsidR="00550FBC" w:rsidRPr="003C0E2F" w:rsidRDefault="00002BFC" w:rsidP="007214D0">
      <w:pPr>
        <w:keepNext/>
        <w:jc w:val="center"/>
      </w:pPr>
      <w:r w:rsidRPr="003C0E2F">
        <w:object w:dxaOrig="6494" w:dyaOrig="5333" w14:anchorId="301364CA">
          <v:shape id="_x0000_i1058" type="#_x0000_t75" style="width:331.8pt;height:280.8pt" o:ole="">
            <v:imagedata r:id="rId128" o:title=""/>
          </v:shape>
          <o:OLEObject Type="Embed" ProgID="Prism6.Document" ShapeID="_x0000_i1058" DrawAspect="Content" ObjectID="_1701585016" r:id="rId129"/>
        </w:object>
      </w:r>
    </w:p>
    <w:p w14:paraId="4CCCE4A6" w14:textId="0A34AB18" w:rsidR="00CB1B84" w:rsidRPr="003C0E2F" w:rsidRDefault="00550FBC" w:rsidP="003C0E2F">
      <w:pPr>
        <w:pStyle w:val="NoSpacing"/>
      </w:pPr>
      <w:bookmarkStart w:id="900" w:name="_Toc60638906"/>
      <w:bookmarkStart w:id="901" w:name="_Toc63112040"/>
      <w:bookmarkStart w:id="902" w:name="_Toc63112257"/>
      <w:bookmarkStart w:id="903" w:name="_Toc63270397"/>
      <w:bookmarkStart w:id="904" w:name="_Toc64533266"/>
      <w:bookmarkStart w:id="905" w:name="_Toc64551813"/>
      <w:bookmarkStart w:id="906" w:name="_Toc80013857"/>
      <w:bookmarkStart w:id="907" w:name="_Toc82882996"/>
      <w:r w:rsidRPr="003C0E2F">
        <w:t xml:space="preserve">Figure </w:t>
      </w:r>
      <w:r w:rsidR="00862981">
        <w:fldChar w:fldCharType="begin"/>
      </w:r>
      <w:r w:rsidR="00862981">
        <w:instrText xml:space="preserve"> SEQ Figure \* ARABIC </w:instrText>
      </w:r>
      <w:r w:rsidR="00862981">
        <w:fldChar w:fldCharType="separate"/>
      </w:r>
      <w:r w:rsidR="000F2276">
        <w:rPr>
          <w:noProof/>
        </w:rPr>
        <w:t>55</w:t>
      </w:r>
      <w:r w:rsidR="00862981">
        <w:rPr>
          <w:noProof/>
        </w:rPr>
        <w:fldChar w:fldCharType="end"/>
      </w:r>
      <w:r w:rsidRPr="003C0E2F">
        <w:t>.</w:t>
      </w:r>
      <w:bookmarkStart w:id="908" w:name="_Ref37255962"/>
      <w:bookmarkStart w:id="909" w:name="_Toc48514863"/>
      <w:bookmarkStart w:id="910" w:name="_Toc55583773"/>
      <w:bookmarkStart w:id="911" w:name="_Toc55584951"/>
      <w:bookmarkStart w:id="912" w:name="OLE_LINK8"/>
      <w:bookmarkStart w:id="913" w:name="_Toc60584064"/>
      <w:r w:rsidR="00D3097F" w:rsidRPr="003C0E2F">
        <w:t xml:space="preserve"> </w:t>
      </w:r>
      <w:bookmarkEnd w:id="908"/>
      <w:bookmarkEnd w:id="909"/>
      <w:bookmarkEnd w:id="910"/>
      <w:bookmarkEnd w:id="911"/>
      <w:bookmarkEnd w:id="912"/>
      <w:r w:rsidR="00F258E4" w:rsidRPr="003C0E2F">
        <w:t xml:space="preserve">FP11 and FP18 upregulate STAT-1 phosphorylation. THP-1 </w:t>
      </w:r>
      <w:r w:rsidR="008F561F" w:rsidRPr="003C0E2F">
        <w:t>macrophage</w:t>
      </w:r>
      <w:r w:rsidR="00F258E4" w:rsidRPr="003C0E2F">
        <w:t>s were treated with FP11 (10µM), FP18 (10µM) LPS or MPLA (100ng/ml)</w:t>
      </w:r>
      <w:r w:rsidR="00BD3E38" w:rsidRPr="003C0E2F">
        <w:t xml:space="preserve">. Untreated control is with vehicle only. </w:t>
      </w:r>
      <w:r w:rsidR="00F258E4" w:rsidRPr="003C0E2F">
        <w:t xml:space="preserve">Cell lysates were collected and analysed after 2.5 hours via </w:t>
      </w:r>
      <w:r w:rsidR="00030A76" w:rsidRPr="003C0E2F">
        <w:t>Western</w:t>
      </w:r>
      <w:r w:rsidR="00F258E4" w:rsidRPr="003C0E2F">
        <w:t xml:space="preserve"> blot. Results are expressed as mean +/- standard deviation from three separate treatments. Significant results are shown as * = p&lt;0.05, ** = p&lt;0.01 *** = p&lt;0.001.</w:t>
      </w:r>
      <w:bookmarkEnd w:id="900"/>
      <w:bookmarkEnd w:id="901"/>
      <w:bookmarkEnd w:id="902"/>
      <w:bookmarkEnd w:id="903"/>
      <w:bookmarkEnd w:id="904"/>
      <w:bookmarkEnd w:id="905"/>
      <w:bookmarkEnd w:id="906"/>
      <w:bookmarkEnd w:id="907"/>
      <w:bookmarkEnd w:id="913"/>
      <w:r w:rsidR="00F258E4" w:rsidRPr="003C0E2F">
        <w:t xml:space="preserve"> </w:t>
      </w:r>
    </w:p>
    <w:p w14:paraId="406A7E09" w14:textId="77777777" w:rsidR="00CB1B84" w:rsidRPr="003C0E2F" w:rsidRDefault="00CB1B84">
      <w:pPr>
        <w:spacing w:line="259" w:lineRule="auto"/>
        <w:rPr>
          <w:rFonts w:asciiTheme="majorHAnsi" w:eastAsiaTheme="minorHAnsi" w:hAnsiTheme="majorHAnsi" w:cstheme="majorHAnsi"/>
          <w:i/>
          <w:lang w:eastAsia="en-US"/>
        </w:rPr>
      </w:pPr>
      <w:r w:rsidRPr="003C0E2F">
        <w:br w:type="page"/>
      </w:r>
    </w:p>
    <w:p w14:paraId="409D5C7B" w14:textId="299458CB" w:rsidR="002A2E77" w:rsidRPr="003C0E2F" w:rsidRDefault="009E42FE" w:rsidP="00CB1B84">
      <w:r w:rsidRPr="003C0E2F">
        <w:lastRenderedPageBreak/>
        <w:t>TBK1</w:t>
      </w:r>
      <w:r w:rsidR="00621C78" w:rsidRPr="003C0E2F">
        <w:t xml:space="preserve"> results were reflected again in IFNβ released by THP-1 </w:t>
      </w:r>
      <w:r w:rsidR="008F561F" w:rsidRPr="003C0E2F">
        <w:t>macrophage</w:t>
      </w:r>
      <w:r w:rsidR="00621C78" w:rsidRPr="003C0E2F">
        <w:t>s. Both LPS and MPLA were shown to significantly elevate IFNβ production after 2.5 hours. However, there was no significant increase in production of IFNβ after 2.5 hour of treatment by either FP11 or FP18 (Figure 5</w:t>
      </w:r>
      <w:r w:rsidR="00E16609" w:rsidRPr="003C0E2F">
        <w:t>6</w:t>
      </w:r>
      <w:r w:rsidR="00621C78" w:rsidRPr="003C0E2F">
        <w:t xml:space="preserve">). These results suggest that FP11 and FP18 do not affect </w:t>
      </w:r>
      <w:r w:rsidR="00A9277D" w:rsidRPr="003C0E2F">
        <w:t>TRIF-</w:t>
      </w:r>
      <w:r w:rsidR="009E0322" w:rsidRPr="003C0E2F">
        <w:t>dependent</w:t>
      </w:r>
      <w:r w:rsidR="00621C78" w:rsidRPr="003C0E2F">
        <w:t xml:space="preserve"> signalling in similar manner as LPS or MPLA.</w:t>
      </w:r>
    </w:p>
    <w:p w14:paraId="1A502E19" w14:textId="767A58BE" w:rsidR="00550FBC" w:rsidRPr="003C0E2F" w:rsidRDefault="007214D0" w:rsidP="00550FBC">
      <w:pPr>
        <w:pStyle w:val="NoSpacing"/>
        <w:keepNext/>
        <w:jc w:val="center"/>
      </w:pPr>
      <w:r w:rsidRPr="003C0E2F">
        <w:object w:dxaOrig="6048" w:dyaOrig="3893" w14:anchorId="5071E52D">
          <v:shape id="_x0000_i1059" type="#_x0000_t75" style="width:338.4pt;height:3in" o:ole="">
            <v:imagedata r:id="rId130" o:title=""/>
          </v:shape>
          <o:OLEObject Type="Embed" ProgID="Prism6.Document" ShapeID="_x0000_i1059" DrawAspect="Content" ObjectID="_1701585017" r:id="rId131"/>
        </w:object>
      </w:r>
    </w:p>
    <w:p w14:paraId="16FB2A8F" w14:textId="3AF946FD" w:rsidR="00CB1B84" w:rsidRPr="003C0E2F" w:rsidRDefault="00550FBC" w:rsidP="003C0E2F">
      <w:pPr>
        <w:pStyle w:val="NoSpacing"/>
      </w:pPr>
      <w:bookmarkStart w:id="914" w:name="_Toc60638907"/>
      <w:bookmarkStart w:id="915" w:name="_Toc63112041"/>
      <w:bookmarkStart w:id="916" w:name="_Toc63112258"/>
      <w:bookmarkStart w:id="917" w:name="_Toc63270398"/>
      <w:bookmarkStart w:id="918" w:name="_Toc64533267"/>
      <w:bookmarkStart w:id="919" w:name="_Toc64551814"/>
      <w:bookmarkStart w:id="920" w:name="_Toc80013858"/>
      <w:bookmarkStart w:id="921" w:name="_Toc82882997"/>
      <w:r w:rsidRPr="003C0E2F">
        <w:t xml:space="preserve">Figure </w:t>
      </w:r>
      <w:r w:rsidR="00862981">
        <w:fldChar w:fldCharType="begin"/>
      </w:r>
      <w:r w:rsidR="00862981">
        <w:instrText xml:space="preserve"> SEQ Figure \* ARABIC </w:instrText>
      </w:r>
      <w:r w:rsidR="00862981">
        <w:fldChar w:fldCharType="separate"/>
      </w:r>
      <w:r w:rsidR="000F2276">
        <w:rPr>
          <w:noProof/>
        </w:rPr>
        <w:t>56</w:t>
      </w:r>
      <w:r w:rsidR="00862981">
        <w:rPr>
          <w:noProof/>
        </w:rPr>
        <w:fldChar w:fldCharType="end"/>
      </w:r>
      <w:r w:rsidRPr="003C0E2F">
        <w:t>.</w:t>
      </w:r>
      <w:r w:rsidR="00CB1B84" w:rsidRPr="003C0E2F">
        <w:t xml:space="preserve"> FP11 and FP18 have no significant </w:t>
      </w:r>
      <w:r w:rsidR="008F561F" w:rsidRPr="003C0E2F">
        <w:t>effect</w:t>
      </w:r>
      <w:r w:rsidR="00CB1B84" w:rsidRPr="003C0E2F">
        <w:t xml:space="preserve"> on IFNβ production. THP-1 </w:t>
      </w:r>
      <w:r w:rsidR="008F561F" w:rsidRPr="003C0E2F">
        <w:t>macrophage</w:t>
      </w:r>
      <w:r w:rsidR="00CB1B84" w:rsidRPr="003C0E2F">
        <w:t>s were treated with FP11 (10µM), FP18 (10µM) LPS or MPLA (100ng/ml).</w:t>
      </w:r>
      <w:r w:rsidR="00BD3E38" w:rsidRPr="003C0E2F">
        <w:t xml:space="preserve"> </w:t>
      </w:r>
      <w:r w:rsidR="00A2094F" w:rsidRPr="003C0E2F">
        <w:t>C</w:t>
      </w:r>
      <w:r w:rsidR="00BD3E38" w:rsidRPr="003C0E2F">
        <w:t xml:space="preserve">ontrol </w:t>
      </w:r>
      <w:r w:rsidR="00A2094F" w:rsidRPr="003C0E2F">
        <w:t xml:space="preserve">(C) </w:t>
      </w:r>
      <w:r w:rsidR="00BD3E38" w:rsidRPr="003C0E2F">
        <w:t xml:space="preserve">is with vehicle only. </w:t>
      </w:r>
      <w:r w:rsidR="00CB1B84" w:rsidRPr="003C0E2F">
        <w:t>Culture medium was collected and analysed after 2.5 hours via ELISA. Results are expressed as mean +/- standard deviation from three separate treatments. Significant results are shown as * = p&lt;0.05, ** = p&lt;0.01 *** = p&lt;0.001.</w:t>
      </w:r>
      <w:bookmarkEnd w:id="914"/>
      <w:bookmarkEnd w:id="915"/>
      <w:bookmarkEnd w:id="916"/>
      <w:bookmarkEnd w:id="917"/>
      <w:bookmarkEnd w:id="918"/>
      <w:bookmarkEnd w:id="919"/>
      <w:bookmarkEnd w:id="920"/>
      <w:bookmarkEnd w:id="921"/>
    </w:p>
    <w:p w14:paraId="3C9C5E8E" w14:textId="73125692" w:rsidR="00CB1B84" w:rsidRPr="003C0E2F" w:rsidRDefault="00CB1B84" w:rsidP="00CB1B84">
      <w:pPr>
        <w:pStyle w:val="NoSpacing"/>
      </w:pPr>
    </w:p>
    <w:p w14:paraId="3163183C" w14:textId="77777777" w:rsidR="002A2E77" w:rsidRPr="003C0E2F" w:rsidRDefault="002A2E77">
      <w:pPr>
        <w:spacing w:line="259" w:lineRule="auto"/>
        <w:rPr>
          <w:rFonts w:asciiTheme="majorHAnsi" w:eastAsiaTheme="minorHAnsi" w:hAnsiTheme="majorHAnsi" w:cstheme="majorHAnsi"/>
          <w:iCs/>
          <w:lang w:eastAsia="en-US"/>
        </w:rPr>
      </w:pPr>
      <w:r w:rsidRPr="003C0E2F">
        <w:rPr>
          <w:i/>
          <w:iCs/>
        </w:rPr>
        <w:br w:type="page"/>
      </w:r>
    </w:p>
    <w:p w14:paraId="239AF9F4" w14:textId="2B456F91" w:rsidR="002A2E77" w:rsidRPr="003C0E2F" w:rsidRDefault="00621C78" w:rsidP="00CB1B84">
      <w:pPr>
        <w:pStyle w:val="NoSpacing"/>
        <w:rPr>
          <w:i w:val="0"/>
          <w:iCs/>
        </w:rPr>
      </w:pPr>
      <w:r w:rsidRPr="003C0E2F">
        <w:rPr>
          <w:i w:val="0"/>
          <w:iCs/>
        </w:rPr>
        <w:lastRenderedPageBreak/>
        <w:t xml:space="preserve">Following array results, to validate the capture proteins of interest an ELISA was carried out for </w:t>
      </w:r>
      <w:r w:rsidR="009E42FE" w:rsidRPr="003C0E2F">
        <w:rPr>
          <w:i w:val="0"/>
          <w:iCs/>
        </w:rPr>
        <w:t>IP10</w:t>
      </w:r>
      <w:r w:rsidRPr="003C0E2F">
        <w:rPr>
          <w:i w:val="0"/>
          <w:iCs/>
        </w:rPr>
        <w:t xml:space="preserve"> production. However, while </w:t>
      </w:r>
      <w:r w:rsidR="009E42FE" w:rsidRPr="003C0E2F">
        <w:rPr>
          <w:i w:val="0"/>
          <w:iCs/>
        </w:rPr>
        <w:t>IP10</w:t>
      </w:r>
      <w:r w:rsidRPr="003C0E2F">
        <w:rPr>
          <w:i w:val="0"/>
          <w:iCs/>
        </w:rPr>
        <w:t xml:space="preserve"> appeared to be elevated in array data, this result was not reproducible via ELISA (Figure 5</w:t>
      </w:r>
      <w:r w:rsidR="00E16609" w:rsidRPr="003C0E2F">
        <w:rPr>
          <w:i w:val="0"/>
          <w:iCs/>
        </w:rPr>
        <w:t>7</w:t>
      </w:r>
      <w:r w:rsidRPr="003C0E2F">
        <w:rPr>
          <w:i w:val="0"/>
          <w:iCs/>
        </w:rPr>
        <w:t xml:space="preserve">). This corresponds with IFNβ and </w:t>
      </w:r>
      <w:r w:rsidR="009E42FE" w:rsidRPr="003C0E2F">
        <w:rPr>
          <w:i w:val="0"/>
          <w:iCs/>
        </w:rPr>
        <w:t>TBK1</w:t>
      </w:r>
      <w:r w:rsidRPr="003C0E2F">
        <w:rPr>
          <w:i w:val="0"/>
          <w:iCs/>
        </w:rPr>
        <w:t xml:space="preserve"> results, suggesting that FP11 and FP18 do not necessarily affect </w:t>
      </w:r>
      <w:r w:rsidR="00A9277D" w:rsidRPr="003C0E2F">
        <w:rPr>
          <w:i w:val="0"/>
          <w:iCs/>
        </w:rPr>
        <w:t>TRIF-</w:t>
      </w:r>
      <w:r w:rsidR="009E0322" w:rsidRPr="003C0E2F">
        <w:rPr>
          <w:i w:val="0"/>
          <w:iCs/>
        </w:rPr>
        <w:t>dependent</w:t>
      </w:r>
      <w:r w:rsidRPr="003C0E2F">
        <w:rPr>
          <w:i w:val="0"/>
          <w:iCs/>
        </w:rPr>
        <w:t xml:space="preserve"> pathways in LPS-</w:t>
      </w:r>
      <w:r w:rsidR="009E0322" w:rsidRPr="003C0E2F">
        <w:rPr>
          <w:i w:val="0"/>
          <w:iCs/>
        </w:rPr>
        <w:t>dependent</w:t>
      </w:r>
      <w:r w:rsidRPr="003C0E2F">
        <w:rPr>
          <w:i w:val="0"/>
          <w:iCs/>
        </w:rPr>
        <w:t xml:space="preserve"> manner.</w:t>
      </w:r>
    </w:p>
    <w:p w14:paraId="712C0143" w14:textId="7BA92134" w:rsidR="00550FBC" w:rsidRPr="003C0E2F" w:rsidRDefault="007214D0" w:rsidP="007214D0">
      <w:pPr>
        <w:pStyle w:val="NoSpacing"/>
        <w:keepNext/>
        <w:jc w:val="center"/>
      </w:pPr>
      <w:r w:rsidRPr="003C0E2F">
        <w:object w:dxaOrig="5611" w:dyaOrig="3624" w14:anchorId="3C71DB3F">
          <v:shape id="_x0000_i1060" type="#_x0000_t75" style="width:316.2pt;height:230.4pt" o:ole="">
            <v:imagedata r:id="rId132" o:title=""/>
          </v:shape>
          <o:OLEObject Type="Embed" ProgID="Prism6.Document" ShapeID="_x0000_i1060" DrawAspect="Content" ObjectID="_1701585018" r:id="rId133"/>
        </w:object>
      </w:r>
    </w:p>
    <w:p w14:paraId="31783390" w14:textId="642B881F" w:rsidR="00CB1B84" w:rsidRPr="003C0E2F" w:rsidRDefault="00550FBC" w:rsidP="003C0E2F">
      <w:pPr>
        <w:pStyle w:val="NoSpacing"/>
      </w:pPr>
      <w:bookmarkStart w:id="922" w:name="_Toc60638908"/>
      <w:bookmarkStart w:id="923" w:name="_Toc63112042"/>
      <w:bookmarkStart w:id="924" w:name="_Toc63112259"/>
      <w:bookmarkStart w:id="925" w:name="_Toc63270399"/>
      <w:bookmarkStart w:id="926" w:name="_Toc64533268"/>
      <w:bookmarkStart w:id="927" w:name="_Toc64551815"/>
      <w:bookmarkStart w:id="928" w:name="_Toc80013859"/>
      <w:bookmarkStart w:id="929" w:name="_Toc82882998"/>
      <w:r w:rsidRPr="003C0E2F">
        <w:t xml:space="preserve">Figure </w:t>
      </w:r>
      <w:r w:rsidR="00862981">
        <w:fldChar w:fldCharType="begin"/>
      </w:r>
      <w:r w:rsidR="00862981">
        <w:instrText xml:space="preserve"> SEQ Figure \* ARABIC </w:instrText>
      </w:r>
      <w:r w:rsidR="00862981">
        <w:fldChar w:fldCharType="separate"/>
      </w:r>
      <w:r w:rsidR="000F2276">
        <w:rPr>
          <w:noProof/>
        </w:rPr>
        <w:t>57</w:t>
      </w:r>
      <w:r w:rsidR="00862981">
        <w:rPr>
          <w:noProof/>
        </w:rPr>
        <w:fldChar w:fldCharType="end"/>
      </w:r>
      <w:r w:rsidRPr="003C0E2F">
        <w:t>.</w:t>
      </w:r>
      <w:r w:rsidR="00CB1B84" w:rsidRPr="003C0E2F">
        <w:t xml:space="preserve"> FP11 and FP18 have no significant </w:t>
      </w:r>
      <w:r w:rsidR="008F561F" w:rsidRPr="003C0E2F">
        <w:t>effect</w:t>
      </w:r>
      <w:r w:rsidR="00CB1B84" w:rsidRPr="003C0E2F">
        <w:t xml:space="preserve"> on </w:t>
      </w:r>
      <w:r w:rsidR="009E42FE" w:rsidRPr="003C0E2F">
        <w:t>IP10</w:t>
      </w:r>
      <w:r w:rsidR="00CB1B84" w:rsidRPr="003C0E2F">
        <w:t xml:space="preserve"> production. THP-1 </w:t>
      </w:r>
      <w:r w:rsidR="008F561F" w:rsidRPr="003C0E2F">
        <w:t>macrophage</w:t>
      </w:r>
      <w:r w:rsidR="00CB1B84" w:rsidRPr="003C0E2F">
        <w:t>s were treated with FP11 (10µM), FP18 (10µM) LPS or MPLA (100ng/ml)</w:t>
      </w:r>
      <w:r w:rsidR="00BD3E38" w:rsidRPr="003C0E2F">
        <w:t xml:space="preserve">. </w:t>
      </w:r>
      <w:r w:rsidR="003C0E2F" w:rsidRPr="003C0E2F">
        <w:t>C</w:t>
      </w:r>
      <w:r w:rsidR="00BD3E38" w:rsidRPr="003C0E2F">
        <w:t>ontrol</w:t>
      </w:r>
      <w:r w:rsidR="003C0E2F" w:rsidRPr="003C0E2F">
        <w:t xml:space="preserve"> (C)</w:t>
      </w:r>
      <w:r w:rsidR="00BD3E38" w:rsidRPr="003C0E2F">
        <w:t xml:space="preserve"> is with vehicle only. </w:t>
      </w:r>
      <w:r w:rsidR="00CB1B84" w:rsidRPr="003C0E2F">
        <w:t>Culture medium was collected and analysed after 18 hours via ELISA. Results are expressed as mean +/- standard deviation from three separate treatments. Significant results are shown as * = p&lt;0.05, ** = p&lt;0.01 *** = p&lt;0.001.</w:t>
      </w:r>
      <w:bookmarkEnd w:id="922"/>
      <w:bookmarkEnd w:id="923"/>
      <w:bookmarkEnd w:id="924"/>
      <w:bookmarkEnd w:id="925"/>
      <w:bookmarkEnd w:id="926"/>
      <w:bookmarkEnd w:id="927"/>
      <w:bookmarkEnd w:id="928"/>
      <w:bookmarkEnd w:id="929"/>
      <w:r w:rsidR="00CB1B84" w:rsidRPr="003C0E2F">
        <w:t xml:space="preserve"> </w:t>
      </w:r>
    </w:p>
    <w:p w14:paraId="7EB03A3E" w14:textId="77777777" w:rsidR="00CB1B84" w:rsidRPr="003C0E2F" w:rsidRDefault="00CB1B84" w:rsidP="00CB1B84">
      <w:pPr>
        <w:pStyle w:val="NoSpacing"/>
      </w:pPr>
    </w:p>
    <w:p w14:paraId="6B434397" w14:textId="385D0C82" w:rsidR="00621C78" w:rsidRPr="003C0E2F" w:rsidRDefault="00621C78">
      <w:pPr>
        <w:spacing w:line="259" w:lineRule="auto"/>
      </w:pPr>
      <w:r w:rsidRPr="003C0E2F">
        <w:br w:type="page"/>
      </w:r>
    </w:p>
    <w:p w14:paraId="706B08A9" w14:textId="7C07AF4C" w:rsidR="00D3097F" w:rsidRPr="003C0E2F" w:rsidRDefault="00D3097F" w:rsidP="00D55B0E">
      <w:pPr>
        <w:pStyle w:val="Heading3"/>
      </w:pPr>
      <w:bookmarkStart w:id="930" w:name="_Toc38543313"/>
      <w:bookmarkStart w:id="931" w:name="_Toc80013786"/>
      <w:bookmarkStart w:id="932" w:name="_Toc82882406"/>
      <w:r w:rsidRPr="003C0E2F">
        <w:lastRenderedPageBreak/>
        <w:t xml:space="preserve">IFNAR blocking </w:t>
      </w:r>
      <w:r w:rsidR="00682C41" w:rsidRPr="003C0E2F">
        <w:t xml:space="preserve">antibody </w:t>
      </w:r>
      <w:r w:rsidR="00DB6F7F" w:rsidRPr="003C0E2F">
        <w:t>inhibit</w:t>
      </w:r>
      <w:r w:rsidRPr="003C0E2F">
        <w:t>s activation of FP11 and FP18</w:t>
      </w:r>
      <w:r w:rsidR="000A1BFB" w:rsidRPr="003C0E2F">
        <w:t xml:space="preserve"> induced</w:t>
      </w:r>
      <w:r w:rsidR="00B36948" w:rsidRPr="003C0E2F">
        <w:t>-</w:t>
      </w:r>
      <w:r w:rsidRPr="003C0E2F">
        <w:t>STAT-1</w:t>
      </w:r>
      <w:bookmarkEnd w:id="930"/>
      <w:r w:rsidR="00C01CEE" w:rsidRPr="003C0E2F">
        <w:t xml:space="preserve"> phosphorylation</w:t>
      </w:r>
      <w:bookmarkEnd w:id="931"/>
      <w:bookmarkEnd w:id="932"/>
    </w:p>
    <w:p w14:paraId="0519DF55" w14:textId="0DE150F4" w:rsidR="00621C78" w:rsidRPr="003C0E2F" w:rsidRDefault="00621C78" w:rsidP="00621C78">
      <w:r w:rsidRPr="003C0E2F">
        <w:t>Previous data suggested LPS caused STAT-1 activation via IFNAR</w:t>
      </w:r>
      <w:r w:rsidR="002272D4" w:rsidRPr="003C0E2F">
        <w:t xml:space="preserve"> </w:t>
      </w:r>
      <w:bookmarkStart w:id="933" w:name="_Hlk80825332"/>
      <w:r w:rsidR="002272D4" w:rsidRPr="003C0E2F">
        <w:t>(</w:t>
      </w:r>
      <w:r w:rsidR="00A72002" w:rsidRPr="003C0E2F">
        <w:fldChar w:fldCharType="begin"/>
      </w:r>
      <w:r w:rsidR="00A72002" w:rsidRPr="003C0E2F">
        <w:instrText xml:space="preserve"> REF _Ref80021327 \r \h </w:instrText>
      </w:r>
      <w:r w:rsidR="00A72002" w:rsidRPr="003C0E2F">
        <w:fldChar w:fldCharType="separate"/>
      </w:r>
      <w:r w:rsidR="000F2276">
        <w:t>4.3.4</w:t>
      </w:r>
      <w:r w:rsidR="00A72002" w:rsidRPr="003C0E2F">
        <w:fldChar w:fldCharType="end"/>
      </w:r>
      <w:r w:rsidR="00A72002" w:rsidRPr="003C0E2F">
        <w:t>)</w:t>
      </w:r>
      <w:r w:rsidRPr="003C0E2F">
        <w:t xml:space="preserve">. </w:t>
      </w:r>
      <w:bookmarkEnd w:id="933"/>
      <w:r w:rsidRPr="003C0E2F">
        <w:t xml:space="preserve">This </w:t>
      </w:r>
      <w:r w:rsidR="008F561F" w:rsidRPr="003C0E2F">
        <w:t>effect</w:t>
      </w:r>
      <w:r w:rsidRPr="003C0E2F">
        <w:t xml:space="preserve"> was likely the result of IFNβ production through </w:t>
      </w:r>
      <w:r w:rsidR="00A9277D" w:rsidRPr="003C0E2F">
        <w:t>TRIF-</w:t>
      </w:r>
      <w:r w:rsidR="009E0322" w:rsidRPr="003C0E2F">
        <w:t>dependent</w:t>
      </w:r>
      <w:r w:rsidRPr="003C0E2F">
        <w:t xml:space="preserve"> pathways which subsequently activates </w:t>
      </w:r>
      <w:r w:rsidR="00283225" w:rsidRPr="003C0E2F">
        <w:t>IFNAR.</w:t>
      </w:r>
      <w:r w:rsidRPr="003C0E2F">
        <w:t xml:space="preserve"> However, the mechanism by which FP11 and FP18 are capable of upregulating STAT-1 phosphorylation is unknown as </w:t>
      </w:r>
      <w:r w:rsidR="009E42FE" w:rsidRPr="003C0E2F">
        <w:t>TBK1</w:t>
      </w:r>
      <w:r w:rsidRPr="003C0E2F">
        <w:t xml:space="preserve"> and IFNβ production were not significantly upregulated following stimulation with either agonist. To determine if IFNAR is involved in facilitating downstream phosphorylation of STAT-1, blocking experiments were carried out.</w:t>
      </w:r>
    </w:p>
    <w:p w14:paraId="69980056" w14:textId="73C30B9A" w:rsidR="00550FBC" w:rsidRPr="003C0E2F" w:rsidRDefault="007214D0" w:rsidP="007214D0">
      <w:pPr>
        <w:jc w:val="center"/>
      </w:pPr>
      <w:r w:rsidRPr="003C0E2F">
        <w:object w:dxaOrig="7344" w:dyaOrig="5486" w14:anchorId="5DC4F3AE">
          <v:shape id="_x0000_i1061" type="#_x0000_t75" style="width:353.4pt;height:266.4pt" o:ole="">
            <v:imagedata r:id="rId134" o:title=""/>
          </v:shape>
          <o:OLEObject Type="Embed" ProgID="Prism6.Document" ShapeID="_x0000_i1061" DrawAspect="Content" ObjectID="_1701585019" r:id="rId135"/>
        </w:object>
      </w:r>
    </w:p>
    <w:p w14:paraId="4B184FEA" w14:textId="39BDEDE0" w:rsidR="007214D0" w:rsidRPr="003C0E2F" w:rsidRDefault="00550FBC" w:rsidP="003C0E2F">
      <w:pPr>
        <w:pStyle w:val="NoSpacing"/>
      </w:pPr>
      <w:bookmarkStart w:id="934" w:name="_Toc60638909"/>
      <w:bookmarkStart w:id="935" w:name="_Toc63112043"/>
      <w:bookmarkStart w:id="936" w:name="_Toc63112260"/>
      <w:bookmarkStart w:id="937" w:name="_Toc63270400"/>
      <w:bookmarkStart w:id="938" w:name="_Toc64533269"/>
      <w:bookmarkStart w:id="939" w:name="_Toc64551816"/>
      <w:bookmarkStart w:id="940" w:name="_Toc80013860"/>
      <w:bookmarkStart w:id="941" w:name="_Toc82882999"/>
      <w:r w:rsidRPr="003C0E2F">
        <w:t xml:space="preserve">Figure </w:t>
      </w:r>
      <w:r w:rsidR="00862981">
        <w:fldChar w:fldCharType="begin"/>
      </w:r>
      <w:r w:rsidR="00862981">
        <w:instrText xml:space="preserve"> SEQ Figure \* ARABIC </w:instrText>
      </w:r>
      <w:r w:rsidR="00862981">
        <w:fldChar w:fldCharType="separate"/>
      </w:r>
      <w:r w:rsidR="000F2276">
        <w:rPr>
          <w:noProof/>
        </w:rPr>
        <w:t>58</w:t>
      </w:r>
      <w:r w:rsidR="00862981">
        <w:rPr>
          <w:noProof/>
        </w:rPr>
        <w:fldChar w:fldCharType="end"/>
      </w:r>
      <w:r w:rsidRPr="003C0E2F">
        <w:t>.</w:t>
      </w:r>
      <w:r w:rsidR="00F258E4" w:rsidRPr="003C0E2F">
        <w:t xml:space="preserve"> FP11 and FP18 indirectly activate STAT-1 via IFNAR. THP-1 </w:t>
      </w:r>
      <w:r w:rsidR="008F561F" w:rsidRPr="003C0E2F">
        <w:t>macrophage</w:t>
      </w:r>
      <w:r w:rsidR="00F258E4" w:rsidRPr="003C0E2F">
        <w:t>s were treated with 1μg/</w:t>
      </w:r>
      <w:r w:rsidR="00005854" w:rsidRPr="003C0E2F">
        <w:t xml:space="preserve">mL </w:t>
      </w:r>
      <w:r w:rsidR="00F258E4" w:rsidRPr="003C0E2F">
        <w:t xml:space="preserve">IFNAR blocking antibody 1 hour prior to LPS (100ng/ml), IFNβ (1ng/ml), FP11 (10µM) or FP18 (10µM) treatment. Presence or absence of blocking antibody is indicated as + (present) or – (absent). Cell lysates were collected after 30 minutes for IFNβ, or 2.5 hours for all other treatments and analysed via </w:t>
      </w:r>
      <w:r w:rsidR="00030A76" w:rsidRPr="003C0E2F">
        <w:t>Western</w:t>
      </w:r>
      <w:r w:rsidR="00F258E4" w:rsidRPr="003C0E2F">
        <w:t xml:space="preserve"> blot. Results are expressed as mean +/- standard deviation from three separate treatments. Significant results are shown as * = p&lt;0.05, ** = p&lt;0.01 *** = p&lt;0.001.</w:t>
      </w:r>
      <w:bookmarkEnd w:id="934"/>
      <w:bookmarkEnd w:id="935"/>
      <w:bookmarkEnd w:id="936"/>
      <w:bookmarkEnd w:id="937"/>
      <w:bookmarkEnd w:id="938"/>
      <w:bookmarkEnd w:id="939"/>
      <w:bookmarkEnd w:id="940"/>
      <w:bookmarkEnd w:id="941"/>
    </w:p>
    <w:p w14:paraId="627F48A4" w14:textId="351C1299" w:rsidR="00D3097F" w:rsidRPr="003C0E2F" w:rsidRDefault="00621C78" w:rsidP="00E959C5">
      <w:pPr>
        <w:pStyle w:val="NoSpacing"/>
        <w:rPr>
          <w:rFonts w:asciiTheme="minorHAnsi" w:eastAsiaTheme="minorEastAsia" w:hAnsiTheme="minorHAnsi" w:cstheme="minorBidi"/>
          <w:i w:val="0"/>
          <w:lang w:eastAsia="ja-JP"/>
        </w:rPr>
      </w:pPr>
      <w:r w:rsidRPr="003C0E2F">
        <w:rPr>
          <w:rFonts w:asciiTheme="minorHAnsi" w:eastAsiaTheme="minorEastAsia" w:hAnsiTheme="minorHAnsi" w:cstheme="minorBidi"/>
          <w:i w:val="0"/>
          <w:lang w:eastAsia="ja-JP"/>
        </w:rPr>
        <w:lastRenderedPageBreak/>
        <w:t>The same experimental design was performed utilising IFNAR blocking antibody (as used for FP7 and FP12 experiments) was added to culture medium before FP11 and FP18 exposure. In response to IFNAR blocking, the increase of STAT-1 phosphorylation caused by FP11 and FP18 is reduced to a level comparable to the control (Figure 5</w:t>
      </w:r>
      <w:r w:rsidR="007312BC" w:rsidRPr="003C0E2F">
        <w:rPr>
          <w:rFonts w:asciiTheme="minorHAnsi" w:eastAsiaTheme="minorEastAsia" w:hAnsiTheme="minorHAnsi" w:cstheme="minorBidi"/>
          <w:i w:val="0"/>
          <w:lang w:eastAsia="ja-JP"/>
        </w:rPr>
        <w:t>8</w:t>
      </w:r>
      <w:r w:rsidRPr="003C0E2F">
        <w:rPr>
          <w:rFonts w:asciiTheme="minorHAnsi" w:eastAsiaTheme="minorEastAsia" w:hAnsiTheme="minorHAnsi" w:cstheme="minorBidi"/>
          <w:i w:val="0"/>
          <w:lang w:eastAsia="ja-JP"/>
        </w:rPr>
        <w:t xml:space="preserve">). This appears to suggest that FP11 and FP18 cause STAT-1 activation via IFNAR without activating </w:t>
      </w:r>
      <w:r w:rsidR="00A9277D" w:rsidRPr="003C0E2F">
        <w:rPr>
          <w:rFonts w:asciiTheme="minorHAnsi" w:eastAsiaTheme="minorEastAsia" w:hAnsiTheme="minorHAnsi" w:cstheme="minorBidi"/>
          <w:i w:val="0"/>
          <w:lang w:eastAsia="ja-JP"/>
        </w:rPr>
        <w:t>TRIF-</w:t>
      </w:r>
      <w:r w:rsidR="009E0322" w:rsidRPr="003C0E2F">
        <w:rPr>
          <w:rFonts w:asciiTheme="minorHAnsi" w:eastAsiaTheme="minorEastAsia" w:hAnsiTheme="minorHAnsi" w:cstheme="minorBidi"/>
          <w:i w:val="0"/>
          <w:lang w:eastAsia="ja-JP"/>
        </w:rPr>
        <w:t>dependent</w:t>
      </w:r>
      <w:r w:rsidRPr="003C0E2F">
        <w:rPr>
          <w:rFonts w:asciiTheme="minorHAnsi" w:eastAsiaTheme="minorEastAsia" w:hAnsiTheme="minorHAnsi" w:cstheme="minorBidi"/>
          <w:i w:val="0"/>
          <w:lang w:eastAsia="ja-JP"/>
        </w:rPr>
        <w:t xml:space="preserve"> </w:t>
      </w:r>
      <w:r w:rsidR="009E42FE" w:rsidRPr="003C0E2F">
        <w:rPr>
          <w:rFonts w:asciiTheme="minorHAnsi" w:eastAsiaTheme="minorEastAsia" w:hAnsiTheme="minorHAnsi" w:cstheme="minorBidi"/>
          <w:i w:val="0"/>
          <w:lang w:eastAsia="ja-JP"/>
        </w:rPr>
        <w:t>TBK1</w:t>
      </w:r>
      <w:r w:rsidRPr="003C0E2F">
        <w:rPr>
          <w:rFonts w:asciiTheme="minorHAnsi" w:eastAsiaTheme="minorEastAsia" w:hAnsiTheme="minorHAnsi" w:cstheme="minorBidi"/>
          <w:i w:val="0"/>
          <w:lang w:eastAsia="ja-JP"/>
        </w:rPr>
        <w:t xml:space="preserve"> signalling leading to production of IFNβ.</w:t>
      </w:r>
    </w:p>
    <w:p w14:paraId="36DF3C26" w14:textId="77777777" w:rsidR="00621C78" w:rsidRPr="003C0E2F" w:rsidRDefault="00621C78" w:rsidP="00E959C5">
      <w:pPr>
        <w:pStyle w:val="NoSpacing"/>
      </w:pPr>
    </w:p>
    <w:p w14:paraId="0B05ABFD" w14:textId="77777777" w:rsidR="00D3097F" w:rsidRPr="003C0E2F" w:rsidRDefault="00D3097F" w:rsidP="00D55B0E">
      <w:pPr>
        <w:pStyle w:val="Heading3"/>
      </w:pPr>
      <w:r w:rsidRPr="003C0E2F">
        <w:t xml:space="preserve"> </w:t>
      </w:r>
      <w:bookmarkStart w:id="942" w:name="_Toc38543314"/>
      <w:bookmarkStart w:id="943" w:name="_Toc80013787"/>
      <w:bookmarkStart w:id="944" w:name="_Toc82882407"/>
      <w:r w:rsidRPr="003C0E2F">
        <w:t>Summary</w:t>
      </w:r>
      <w:bookmarkEnd w:id="942"/>
      <w:bookmarkEnd w:id="943"/>
      <w:bookmarkEnd w:id="944"/>
    </w:p>
    <w:p w14:paraId="52C21A79" w14:textId="2DAA124D" w:rsidR="00621C78" w:rsidRPr="003C0E2F" w:rsidRDefault="00621C78" w:rsidP="00621C78">
      <w:r w:rsidRPr="003C0E2F">
        <w:t xml:space="preserve">FP7 and FP12 negatively regulate </w:t>
      </w:r>
      <w:r w:rsidR="00A9277D" w:rsidRPr="003C0E2F">
        <w:t>TRIF-</w:t>
      </w:r>
      <w:r w:rsidR="009E0322" w:rsidRPr="003C0E2F">
        <w:t>dependent</w:t>
      </w:r>
      <w:r w:rsidRPr="003C0E2F">
        <w:t xml:space="preserve"> signalling in response to LPS. FP7 and FP12 were shown to downregulate </w:t>
      </w:r>
      <w:r w:rsidR="009E42FE" w:rsidRPr="003C0E2F">
        <w:t>TBK1</w:t>
      </w:r>
      <w:r w:rsidRPr="003C0E2F">
        <w:t xml:space="preserve"> and STAT-1 activation by LPS, as well as endpoint IFNβ and to a lesser extent </w:t>
      </w:r>
      <w:r w:rsidR="009E42FE" w:rsidRPr="003C0E2F">
        <w:t>IP10</w:t>
      </w:r>
      <w:r w:rsidRPr="003C0E2F">
        <w:t xml:space="preserve"> production. Unlike </w:t>
      </w:r>
      <w:r w:rsidR="00932BC2" w:rsidRPr="003C0E2F">
        <w:t>MyD88</w:t>
      </w:r>
      <w:r w:rsidRPr="003C0E2F">
        <w:t>-</w:t>
      </w:r>
      <w:r w:rsidR="009E0322" w:rsidRPr="003C0E2F">
        <w:t>dependent</w:t>
      </w:r>
      <w:r w:rsidRPr="003C0E2F">
        <w:t xml:space="preserve"> signalling, post</w:t>
      </w:r>
      <w:r w:rsidR="007E0B0D" w:rsidRPr="003C0E2F">
        <w:t xml:space="preserve"> factum</w:t>
      </w:r>
      <w:r w:rsidRPr="003C0E2F">
        <w:t xml:space="preserve"> LPS treatment with FP7 or FP12 was enough to affect endpoint production of IFNβ. FP7 and FP12 have an indirect </w:t>
      </w:r>
      <w:r w:rsidR="008F561F" w:rsidRPr="003C0E2F">
        <w:t>effect</w:t>
      </w:r>
      <w:r w:rsidRPr="003C0E2F">
        <w:t xml:space="preserve"> on IFNAR through downregulations of IFNβ which is produced through TLR4/</w:t>
      </w:r>
      <w:r w:rsidR="00A9277D" w:rsidRPr="003C0E2F">
        <w:t>TRIF-</w:t>
      </w:r>
      <w:r w:rsidR="009E0322" w:rsidRPr="003C0E2F">
        <w:t>dependent</w:t>
      </w:r>
      <w:r w:rsidRPr="003C0E2F">
        <w:t xml:space="preserve"> signalling. These had no </w:t>
      </w:r>
      <w:r w:rsidR="008F561F" w:rsidRPr="003C0E2F">
        <w:t>effect</w:t>
      </w:r>
      <w:r w:rsidRPr="003C0E2F">
        <w:t xml:space="preserve"> of IFNβ</w:t>
      </w:r>
      <w:r w:rsidR="000A1BFB" w:rsidRPr="003C0E2F">
        <w:t xml:space="preserve"> induced</w:t>
      </w:r>
      <w:r w:rsidRPr="003C0E2F">
        <w:t xml:space="preserve"> p-STAT-1 phosphorylation or </w:t>
      </w:r>
      <w:r w:rsidR="009E42FE" w:rsidRPr="003C0E2F">
        <w:t>IP10</w:t>
      </w:r>
      <w:r w:rsidRPr="003C0E2F">
        <w:t xml:space="preserve"> production in absence of LPS.</w:t>
      </w:r>
    </w:p>
    <w:p w14:paraId="207119CF" w14:textId="29B55775" w:rsidR="00553A35" w:rsidRPr="003C0E2F" w:rsidRDefault="00621C78" w:rsidP="00621C78">
      <w:r w:rsidRPr="003C0E2F">
        <w:t xml:space="preserve">FP11 and FP18 were not capable of producing a significant increase in TRIF-associated </w:t>
      </w:r>
      <w:r w:rsidR="009E42FE" w:rsidRPr="003C0E2F">
        <w:t>TBK1</w:t>
      </w:r>
      <w:r w:rsidRPr="003C0E2F">
        <w:t xml:space="preserve"> activation and </w:t>
      </w:r>
      <w:r w:rsidR="009E42FE" w:rsidRPr="003C0E2F">
        <w:t>IP10</w:t>
      </w:r>
      <w:r w:rsidRPr="003C0E2F">
        <w:t xml:space="preserve"> production. However, STAT-1 was activated in response to both molecules. STAT-1 was shown again to be activated via IFNAR in response to FP11 and FP18, despite absence of </w:t>
      </w:r>
      <w:r w:rsidR="009E42FE" w:rsidRPr="003C0E2F">
        <w:t>TBK1</w:t>
      </w:r>
      <w:r w:rsidRPr="003C0E2F">
        <w:t xml:space="preserve"> activation beforehand. These results require further investigation to determine the specific interactions between FP11, FP18, receptors and signalling pathways.</w:t>
      </w:r>
      <w:r w:rsidR="00553A35" w:rsidRPr="003C0E2F">
        <w:br w:type="page"/>
      </w:r>
    </w:p>
    <w:p w14:paraId="2EAACEEA" w14:textId="064E4E26" w:rsidR="008A62E9" w:rsidRPr="003C0E2F" w:rsidRDefault="00553A35" w:rsidP="00BE5236">
      <w:pPr>
        <w:pStyle w:val="Heading1"/>
      </w:pPr>
      <w:bookmarkStart w:id="945" w:name="_Toc80013788"/>
      <w:bookmarkStart w:id="946" w:name="_Toc82882408"/>
      <w:r w:rsidRPr="003C0E2F">
        <w:lastRenderedPageBreak/>
        <w:t>Discussion</w:t>
      </w:r>
      <w:bookmarkEnd w:id="945"/>
      <w:bookmarkEnd w:id="946"/>
      <w:r w:rsidRPr="003C0E2F">
        <w:tab/>
      </w:r>
    </w:p>
    <w:p w14:paraId="4782E7A9" w14:textId="41465485" w:rsidR="00621C78" w:rsidRPr="003C0E2F" w:rsidRDefault="00621C78" w:rsidP="00621C78">
      <w:r w:rsidRPr="003C0E2F">
        <w:t xml:space="preserve">TLR an integral part of the innate immune response to exogenous threats such as bacteria and viruses. These recognise and respond to danger signals in the form of pathogen and damage associated molecular patterns. TLR mediated release of cytokines and chemokines in response to such threats provide a mechanism of protection against such invading pathogens. However, the protective </w:t>
      </w:r>
      <w:r w:rsidR="008F561F" w:rsidRPr="003C0E2F">
        <w:t>effect</w:t>
      </w:r>
      <w:r w:rsidRPr="003C0E2F">
        <w:t xml:space="preserve">s conferred by release of such molecules can also be detrimental to host tissues and processes within the body. As such, many inflammatory based diseases have been associated with TLRs. The absence of TLR4 in mice has been shown to protect against a range of conditions and may protect against kidney disease </w:t>
      </w:r>
      <w:sdt>
        <w:sdtPr>
          <w:tag w:val="MENDELEY_CITATION_v3_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"/>
          <w:id w:val="-153308641"/>
          <w:placeholder>
            <w:docPart w:val="DefaultPlaceholder_-1854013440"/>
          </w:placeholder>
        </w:sdtPr>
        <w:sdtEndPr/>
        <w:sdtContent>
          <w:r w:rsidR="00F257B9">
            <w:rPr>
              <w:rFonts w:eastAsia="Times New Roman"/>
            </w:rPr>
            <w:t xml:space="preserve">(Souza </w:t>
          </w:r>
          <w:r w:rsidR="00F257B9">
            <w:rPr>
              <w:rFonts w:eastAsia="Times New Roman"/>
              <w:i/>
              <w:iCs/>
            </w:rPr>
            <w:t>et al.</w:t>
          </w:r>
          <w:r w:rsidR="00F257B9">
            <w:rPr>
              <w:rFonts w:eastAsia="Times New Roman"/>
            </w:rPr>
            <w:t>, 2015)</w:t>
          </w:r>
        </w:sdtContent>
      </w:sdt>
      <w:r w:rsidRPr="003C0E2F">
        <w:t xml:space="preserve"> and cardiovascular diseases </w:t>
      </w:r>
      <w:sdt>
        <w:sdtPr>
          <w:tag w:val="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"/>
          <w:id w:val="1906800170"/>
          <w:placeholder>
            <w:docPart w:val="DefaultPlaceholder_-1854013440"/>
          </w:placeholder>
        </w:sdtPr>
        <w:sdtEndPr/>
        <w:sdtContent>
          <w:r w:rsidR="00F257B9">
            <w:rPr>
              <w:rFonts w:eastAsia="Times New Roman"/>
            </w:rPr>
            <w:t xml:space="preserve">(Michelsen </w:t>
          </w:r>
          <w:r w:rsidR="00F257B9">
            <w:rPr>
              <w:rFonts w:eastAsia="Times New Roman"/>
              <w:i/>
              <w:iCs/>
            </w:rPr>
            <w:t>et al.</w:t>
          </w:r>
          <w:r w:rsidR="00F257B9">
            <w:rPr>
              <w:rFonts w:eastAsia="Times New Roman"/>
            </w:rPr>
            <w:t xml:space="preserve">, 2004; Owens </w:t>
          </w:r>
          <w:r w:rsidR="00F257B9">
            <w:rPr>
              <w:rFonts w:eastAsia="Times New Roman"/>
              <w:i/>
              <w:iCs/>
            </w:rPr>
            <w:t>et al.</w:t>
          </w:r>
          <w:r w:rsidR="00F257B9">
            <w:rPr>
              <w:rFonts w:eastAsia="Times New Roman"/>
            </w:rPr>
            <w:t>, 2011)</w:t>
          </w:r>
        </w:sdtContent>
      </w:sdt>
      <w:r w:rsidRPr="003C0E2F">
        <w:t xml:space="preserve">. Alternatively, TLR based immunotherapeutic strategies have been postulated as novel means of treatment for various types of cancer </w:t>
      </w:r>
      <w:sdt>
        <w:sdtPr>
          <w:rPr>
            <w:color w:val="000000"/>
          </w:rPr>
          <w:tag w:val="MENDELEY_CITATION_v3_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"/>
          <w:id w:val="-1433279689"/>
          <w:placeholder>
            <w:docPart w:val="DefaultPlaceholder_-1854013440"/>
          </w:placeholder>
        </w:sdtPr>
        <w:sdtEndPr/>
        <w:sdtContent>
          <w:r w:rsidR="00F257B9" w:rsidRPr="00F257B9">
            <w:rPr>
              <w:color w:val="000000"/>
            </w:rPr>
            <w:t xml:space="preserve">(Huang, </w:t>
          </w:r>
          <w:proofErr w:type="gramStart"/>
          <w:r w:rsidR="00F257B9" w:rsidRPr="00F257B9">
            <w:rPr>
              <w:color w:val="000000"/>
            </w:rPr>
            <w:t>Xu</w:t>
          </w:r>
          <w:proofErr w:type="gramEnd"/>
          <w:r w:rsidR="00F257B9" w:rsidRPr="00F257B9">
            <w:rPr>
              <w:color w:val="000000"/>
            </w:rPr>
            <w:t xml:space="preserve"> and Peng, 2018)</w:t>
          </w:r>
        </w:sdtContent>
      </w:sdt>
      <w:r w:rsidRPr="003C0E2F">
        <w:t>. Thus, the potential to modulate TLR signalling pathways in either direction is currently of great interest for the development of novel therapeutics.</w:t>
      </w:r>
    </w:p>
    <w:p w14:paraId="03FE25E0" w14:textId="22C7C64E" w:rsidR="00621C78" w:rsidRPr="003C0E2F" w:rsidRDefault="00621C78" w:rsidP="00621C78">
      <w:r w:rsidRPr="003C0E2F">
        <w:t xml:space="preserve">Manipulation of TLR4 mediated immune response has potential value for use in treatment of a range of conditions. Antagonism of TLR4 may be relevant to inflammatory based diseases. However, only two TLR4 antagonists, </w:t>
      </w:r>
      <w:proofErr w:type="spellStart"/>
      <w:r w:rsidRPr="003C0E2F">
        <w:t>Eritoran</w:t>
      </w:r>
      <w:proofErr w:type="spellEnd"/>
      <w:r w:rsidRPr="003C0E2F">
        <w:t xml:space="preserve"> and TAK242, have previously reached clinical trials for treatment of sepsis. Unfortunately, these were both discontinued in the late phase </w:t>
      </w:r>
      <w:sdt>
        <w:sdtPr>
          <w:tag w:val="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"/>
          <w:id w:val="1925918791"/>
          <w:placeholder>
            <w:docPart w:val="DefaultPlaceholder_-1854013440"/>
          </w:placeholder>
        </w:sdtPr>
        <w:sdtEndPr/>
        <w:sdtContent>
          <w:r w:rsidR="00F257B9">
            <w:rPr>
              <w:rFonts w:eastAsia="Times New Roman"/>
            </w:rPr>
            <w:t xml:space="preserve">(Rice </w:t>
          </w:r>
          <w:r w:rsidR="00F257B9">
            <w:rPr>
              <w:rFonts w:eastAsia="Times New Roman"/>
              <w:i/>
              <w:iCs/>
            </w:rPr>
            <w:t>et al.</w:t>
          </w:r>
          <w:r w:rsidR="00F257B9">
            <w:rPr>
              <w:rFonts w:eastAsia="Times New Roman"/>
            </w:rPr>
            <w:t xml:space="preserve">, 2010; </w:t>
          </w:r>
          <w:proofErr w:type="spellStart"/>
          <w:r w:rsidR="00F257B9">
            <w:rPr>
              <w:rFonts w:eastAsia="Times New Roman"/>
            </w:rPr>
            <w:t>Salluh</w:t>
          </w:r>
          <w:proofErr w:type="spellEnd"/>
          <w:r w:rsidR="00F257B9">
            <w:rPr>
              <w:rFonts w:eastAsia="Times New Roman"/>
            </w:rPr>
            <w:t xml:space="preserve"> and </w:t>
          </w:r>
          <w:proofErr w:type="spellStart"/>
          <w:r w:rsidR="00F257B9">
            <w:rPr>
              <w:rFonts w:eastAsia="Times New Roman"/>
            </w:rPr>
            <w:t>Póvoa</w:t>
          </w:r>
          <w:proofErr w:type="spellEnd"/>
          <w:r w:rsidR="00F257B9">
            <w:rPr>
              <w:rFonts w:eastAsia="Times New Roman"/>
            </w:rPr>
            <w:t xml:space="preserve">, 2010; </w:t>
          </w:r>
          <w:proofErr w:type="spellStart"/>
          <w:r w:rsidR="00F257B9">
            <w:rPr>
              <w:rFonts w:eastAsia="Times New Roman"/>
            </w:rPr>
            <w:t>Kalil</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2011; Opal </w:t>
          </w:r>
          <w:r w:rsidR="00F257B9">
            <w:rPr>
              <w:rFonts w:eastAsia="Times New Roman"/>
              <w:i/>
              <w:iCs/>
            </w:rPr>
            <w:t>et al.</w:t>
          </w:r>
          <w:r w:rsidR="00F257B9">
            <w:rPr>
              <w:rFonts w:eastAsia="Times New Roman"/>
            </w:rPr>
            <w:t>, 2013)</w:t>
          </w:r>
        </w:sdtContent>
      </w:sdt>
      <w:r w:rsidRPr="003C0E2F">
        <w:t>. On the other hand, TLR4 agonists may be of value as adjuvants in cancer immunotherapies</w:t>
      </w:r>
      <w:r w:rsidR="00FA70E4" w:rsidRPr="003C0E2F">
        <w:t xml:space="preserve"> </w:t>
      </w:r>
      <w:sdt>
        <w:sdtPr>
          <w:tag w:val="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"/>
          <w:id w:val="-1511601715"/>
          <w:placeholder>
            <w:docPart w:val="DefaultPlaceholder_-1854013440"/>
          </w:placeholder>
        </w:sdtPr>
        <w:sdtEndPr/>
        <w:sdtContent>
          <w:r w:rsidR="00F257B9">
            <w:rPr>
              <w:rFonts w:eastAsia="Times New Roman"/>
            </w:rPr>
            <w:t xml:space="preserve">(Kuai </w:t>
          </w:r>
          <w:r w:rsidR="00F257B9">
            <w:rPr>
              <w:rFonts w:eastAsia="Times New Roman"/>
              <w:i/>
              <w:iCs/>
            </w:rPr>
            <w:t>et al.</w:t>
          </w:r>
          <w:r w:rsidR="00F257B9">
            <w:rPr>
              <w:rFonts w:eastAsia="Times New Roman"/>
            </w:rPr>
            <w:t xml:space="preserve">, 2018; Chou </w:t>
          </w:r>
          <w:r w:rsidR="00F257B9">
            <w:rPr>
              <w:rFonts w:eastAsia="Times New Roman"/>
              <w:i/>
              <w:iCs/>
            </w:rPr>
            <w:t>et al.</w:t>
          </w:r>
          <w:r w:rsidR="00F257B9">
            <w:rPr>
              <w:rFonts w:eastAsia="Times New Roman"/>
            </w:rPr>
            <w:t>, 2020)</w:t>
          </w:r>
        </w:sdtContent>
      </w:sdt>
      <w:r w:rsidRPr="003C0E2F">
        <w:t xml:space="preserve">. These may aide in activation antigen recognition response through T-cell proliferation and downregulation of immunosuppressive </w:t>
      </w:r>
      <w:r w:rsidR="008F561F" w:rsidRPr="003C0E2F">
        <w:t>effect</w:t>
      </w:r>
      <w:r w:rsidRPr="003C0E2F">
        <w:t xml:space="preserve">s associated with cancers </w:t>
      </w:r>
      <w:sdt>
        <w:sdtPr>
          <w:tag w:val="MENDELEY_CITATION_v3_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"/>
          <w:id w:val="-1564857330"/>
          <w:placeholder>
            <w:docPart w:val="DefaultPlaceholder_-1854013440"/>
          </w:placeholder>
        </w:sdtPr>
        <w:sdtEndPr/>
        <w:sdtContent>
          <w:r w:rsidR="00F257B9">
            <w:rPr>
              <w:rFonts w:eastAsia="Times New Roman"/>
            </w:rPr>
            <w:t xml:space="preserve">(Zhang </w:t>
          </w:r>
          <w:r w:rsidR="00F257B9">
            <w:rPr>
              <w:rFonts w:eastAsia="Times New Roman"/>
              <w:i/>
              <w:iCs/>
            </w:rPr>
            <w:t>et al.</w:t>
          </w:r>
          <w:r w:rsidR="00F257B9">
            <w:rPr>
              <w:rFonts w:eastAsia="Times New Roman"/>
            </w:rPr>
            <w:t>, 2011)</w:t>
          </w:r>
        </w:sdtContent>
      </w:sdt>
      <w:r w:rsidRPr="003C0E2F">
        <w:t xml:space="preserve">. MPLA has been shown to exhibit adjuvant activity which can be enhanced through synergistic </w:t>
      </w:r>
      <w:r w:rsidR="008F561F" w:rsidRPr="003C0E2F">
        <w:t>effect</w:t>
      </w:r>
      <w:r w:rsidRPr="003C0E2F">
        <w:t xml:space="preserve">s in co-delivery with TLR9 stimulating CpG via lipid nanocarriers </w:t>
      </w:r>
      <w:sdt>
        <w:sdtPr>
          <w:tag w:val="MENDELEY_CITATION_v3_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"/>
          <w:id w:val="-2117044872"/>
          <w:placeholder>
            <w:docPart w:val="DefaultPlaceholder_-1854013440"/>
          </w:placeholder>
        </w:sdtPr>
        <w:sdtEndPr/>
        <w:sdtContent>
          <w:r w:rsidR="00F257B9">
            <w:rPr>
              <w:rFonts w:eastAsia="Times New Roman"/>
            </w:rPr>
            <w:t xml:space="preserve">(Kuai </w:t>
          </w:r>
          <w:r w:rsidR="00F257B9">
            <w:rPr>
              <w:rFonts w:eastAsia="Times New Roman"/>
              <w:i/>
              <w:iCs/>
            </w:rPr>
            <w:t>et al.</w:t>
          </w:r>
          <w:r w:rsidR="00F257B9">
            <w:rPr>
              <w:rFonts w:eastAsia="Times New Roman"/>
            </w:rPr>
            <w:t>, 2018)</w:t>
          </w:r>
        </w:sdtContent>
      </w:sdt>
      <w:r w:rsidRPr="003C0E2F">
        <w:t xml:space="preserve">. As such the development of both novel agonists and antagonists is of clinical interest. </w:t>
      </w:r>
    </w:p>
    <w:p w14:paraId="75DB240B" w14:textId="4863CAB5" w:rsidR="00CC07D0" w:rsidRPr="003C0E2F" w:rsidRDefault="00621C78" w:rsidP="00621C78">
      <w:r w:rsidRPr="003C0E2F">
        <w:lastRenderedPageBreak/>
        <w:t xml:space="preserve">Recently a group headed by our collaborator professor Peri (University of Milano) have been developing a series of novel TLR4 antagonist, FP7 and IAXO compounds </w:t>
      </w:r>
      <w:sdt>
        <w:sdtPr>
          <w:tag w:val="MENDELEY_CITATION_v3_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"/>
          <w:id w:val="1588040645"/>
          <w:placeholder>
            <w:docPart w:val="DefaultPlaceholder_-1854013440"/>
          </w:placeholder>
        </w:sdtPr>
        <w:sdtEndPr/>
        <w:sdtContent>
          <w:r w:rsidR="00F257B9">
            <w:rPr>
              <w:rFonts w:eastAsia="Times New Roman"/>
            </w:rPr>
            <w:t xml:space="preserve">(Piazza </w:t>
          </w:r>
          <w:r w:rsidR="00F257B9">
            <w:rPr>
              <w:rFonts w:eastAsia="Times New Roman"/>
              <w:i/>
              <w:iCs/>
            </w:rPr>
            <w:t>et al.</w:t>
          </w:r>
          <w:r w:rsidR="00F257B9">
            <w:rPr>
              <w:rFonts w:eastAsia="Times New Roman"/>
            </w:rPr>
            <w:t>, 2009)</w:t>
          </w:r>
        </w:sdtContent>
      </w:sdt>
      <w:r w:rsidRPr="003C0E2F">
        <w:t xml:space="preserve"> These molecules are homologous to X and the Lipid A domain of LPS, known to be the active component recognised by TLR4. The formulation of these compounds allows for interaction with CD14 and the MD-2 co-receptor of TLR4 in a similar way to Lipid A. However, where most LPS Lipid A cause a conformational change in MD-2 which confers an antagonistic </w:t>
      </w:r>
      <w:r w:rsidR="008F561F" w:rsidRPr="003C0E2F">
        <w:t>effect</w:t>
      </w:r>
      <w:r w:rsidRPr="003C0E2F">
        <w:t>, mimetic molecules have potential to bind in an alternate agonistic confrontation with MD-2</w:t>
      </w:r>
      <w:r w:rsidR="000E4580" w:rsidRPr="003C0E2F">
        <w:t xml:space="preserve">, </w:t>
      </w:r>
      <w:bookmarkStart w:id="947" w:name="_Hlk82880079"/>
      <w:r w:rsidR="000E4580" w:rsidRPr="003C0E2F">
        <w:t xml:space="preserve">as seen in complex with Lipid-IVA </w:t>
      </w:r>
      <w:sdt>
        <w:sdtPr>
          <w:tag w:val="MENDELEY_CITATION_v3_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"/>
          <w:id w:val="-473218677"/>
          <w:placeholder>
            <w:docPart w:val="DefaultPlaceholder_-1854013440"/>
          </w:placeholder>
        </w:sdtPr>
        <w:sdtEndPr/>
        <w:sdtContent>
          <w:r w:rsidR="00F257B9">
            <w:rPr>
              <w:rFonts w:eastAsia="Times New Roman"/>
            </w:rPr>
            <w:t>(</w:t>
          </w:r>
          <w:proofErr w:type="spellStart"/>
          <w:r w:rsidR="00F257B9">
            <w:rPr>
              <w:rFonts w:eastAsia="Times New Roman"/>
            </w:rPr>
            <w:t>Ohto</w:t>
          </w:r>
          <w:proofErr w:type="spellEnd"/>
          <w:r w:rsidR="00F257B9">
            <w:rPr>
              <w:rFonts w:eastAsia="Times New Roman"/>
            </w:rPr>
            <w:t xml:space="preserve"> </w:t>
          </w:r>
          <w:r w:rsidR="00F257B9">
            <w:rPr>
              <w:rFonts w:eastAsia="Times New Roman"/>
              <w:i/>
              <w:iCs/>
            </w:rPr>
            <w:t>et al.</w:t>
          </w:r>
          <w:r w:rsidR="00F257B9">
            <w:rPr>
              <w:rFonts w:eastAsia="Times New Roman"/>
            </w:rPr>
            <w:t>, 2012)</w:t>
          </w:r>
        </w:sdtContent>
      </w:sdt>
      <w:r w:rsidRPr="003C0E2F">
        <w:t xml:space="preserve">. </w:t>
      </w:r>
      <w:bookmarkEnd w:id="947"/>
      <w:r w:rsidRPr="003C0E2F">
        <w:t xml:space="preserve">FP7 and IAXO compounds have been shown to potential to bind to the CD14/MD-2/TLR4 complex but affect signalling in an antagonistic manner </w:t>
      </w:r>
      <w:sdt>
        <w:sdtPr>
          <w:tag w:val="MENDELEY_CITATION_v3_eyJjaXRhdGlvbklEIjoiTUVOREVMRVlfQ0lUQVRJT05fZTcyYmNhOGEtNDUwYy00ZjNjLWExMjYtMmE5Mzc1NDllNzE4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LH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"/>
          <w:id w:val="-1581137223"/>
          <w:placeholder>
            <w:docPart w:val="DefaultPlaceholder_-1854013440"/>
          </w:placeholder>
        </w:sdtPr>
        <w:sdtEndPr/>
        <w:sdtContent>
          <w:r w:rsidR="00F257B9">
            <w:rPr>
              <w:rFonts w:eastAsia="Times New Roman"/>
            </w:rPr>
            <w:t xml:space="preserve">(Peri </w:t>
          </w:r>
          <w:r w:rsidR="00F257B9">
            <w:rPr>
              <w:rFonts w:eastAsia="Times New Roman"/>
              <w:i/>
              <w:iCs/>
            </w:rPr>
            <w:t>et al.</w:t>
          </w:r>
          <w:r w:rsidR="00F257B9">
            <w:rPr>
              <w:rFonts w:eastAsia="Times New Roman"/>
            </w:rPr>
            <w:t xml:space="preserve">, 2010; </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2014; Huggins </w:t>
          </w:r>
          <w:r w:rsidR="00F257B9">
            <w:rPr>
              <w:rFonts w:eastAsia="Times New Roman"/>
              <w:i/>
              <w:iCs/>
            </w:rPr>
            <w:t>et al.</w:t>
          </w:r>
          <w:r w:rsidR="00F257B9">
            <w:rPr>
              <w:rFonts w:eastAsia="Times New Roman"/>
            </w:rPr>
            <w:t xml:space="preserve">, 2015; </w:t>
          </w:r>
          <w:proofErr w:type="spellStart"/>
          <w:r w:rsidR="00F257B9">
            <w:rPr>
              <w:rFonts w:eastAsia="Times New Roman"/>
            </w:rPr>
            <w:t>Facchini</w:t>
          </w:r>
          <w:proofErr w:type="spellEnd"/>
          <w:r w:rsidR="00F257B9">
            <w:rPr>
              <w:rFonts w:eastAsia="Times New Roman"/>
            </w:rPr>
            <w:t xml:space="preserve"> </w:t>
          </w:r>
          <w:r w:rsidR="00F257B9">
            <w:rPr>
              <w:rFonts w:eastAsia="Times New Roman"/>
              <w:i/>
              <w:iCs/>
            </w:rPr>
            <w:t>et al.</w:t>
          </w:r>
          <w:r w:rsidR="00F257B9">
            <w:rPr>
              <w:rFonts w:eastAsia="Times New Roman"/>
            </w:rPr>
            <w:t>, 2018)</w:t>
          </w:r>
        </w:sdtContent>
      </w:sdt>
      <w:r w:rsidRPr="003C0E2F">
        <w:t xml:space="preserve">. Preliminary evidence suggests </w:t>
      </w:r>
      <w:proofErr w:type="gramStart"/>
      <w:r w:rsidRPr="003C0E2F">
        <w:t>FP7</w:t>
      </w:r>
      <w:proofErr w:type="gramEnd"/>
      <w:r w:rsidRPr="003C0E2F">
        <w:t xml:space="preserve"> and derivative molecules may be suitable for further investigation with potential value for pharmacological intervention in inflammatory based diseases.</w:t>
      </w:r>
      <w:r w:rsidR="00B23E9B" w:rsidRPr="003C0E2F">
        <w:t xml:space="preserve"> However, in further development it is possible that higher concentrations, or alternative methods of delivery may be required to achieve the same effects.</w:t>
      </w:r>
      <w:r w:rsidR="00CC07D0" w:rsidRPr="003C0E2F">
        <w:br w:type="page"/>
      </w:r>
    </w:p>
    <w:p w14:paraId="6195317B" w14:textId="598A38E5" w:rsidR="00553A35" w:rsidRPr="003C0E2F" w:rsidRDefault="00553A35" w:rsidP="00BE5236">
      <w:pPr>
        <w:pStyle w:val="Heading2"/>
      </w:pPr>
      <w:bookmarkStart w:id="948" w:name="_Toc80013789"/>
      <w:bookmarkStart w:id="949" w:name="_Toc82882409"/>
      <w:r w:rsidRPr="003C0E2F">
        <w:lastRenderedPageBreak/>
        <w:t>Screening and identification of potential FP targets</w:t>
      </w:r>
      <w:bookmarkEnd w:id="948"/>
      <w:bookmarkEnd w:id="949"/>
      <w:r w:rsidRPr="003C0E2F">
        <w:tab/>
      </w:r>
    </w:p>
    <w:p w14:paraId="477BDDC1" w14:textId="23D0A541" w:rsidR="00621C78" w:rsidRPr="003C0E2F" w:rsidRDefault="00621C78" w:rsidP="00621C78">
      <w:r w:rsidRPr="003C0E2F">
        <w:t>Initial screening was carried out to determine which molecules w</w:t>
      </w:r>
      <w:r w:rsidR="006C42BA" w:rsidRPr="003C0E2F">
        <w:t>ee</w:t>
      </w:r>
      <w:r w:rsidRPr="003C0E2F">
        <w:t>s carried out to identify potent antagonists of the TLR4</w:t>
      </w:r>
      <w:r w:rsidR="003273B5" w:rsidRPr="003C0E2F">
        <w:t>. The effect</w:t>
      </w:r>
      <w:r w:rsidRPr="003C0E2F">
        <w:t>s of each molecule on cell viability and TLR4</w:t>
      </w:r>
      <w:r w:rsidR="000A1BFB" w:rsidRPr="003C0E2F">
        <w:t xml:space="preserve"> induced</w:t>
      </w:r>
      <w:r w:rsidRPr="003C0E2F">
        <w:t xml:space="preserve"> IL-8 signalling was used to screen and select potent antagonists from the group. FP7 and derivative molecules were shown to have non-significant impact in safety screening assays at the concentrations used. Interestingly, FP11, particularly in conjunction with LPS treatment, appears to increase viability, perhaps through stimulating proliferation or metabolism of treated cells. Conversely FP111 produced a slight reduction in viability with increasing concentration, but this was not significant </w:t>
      </w:r>
      <w:r w:rsidR="008F561F" w:rsidRPr="003C0E2F">
        <w:t>effect</w:t>
      </w:r>
      <w:r w:rsidRPr="003C0E2F">
        <w:t xml:space="preserve">. However, all expected antagonists (FP7, FP10, FP12 and FP111) were well tolerated by THP-1 </w:t>
      </w:r>
      <w:r w:rsidR="008F561F" w:rsidRPr="003C0E2F">
        <w:t>monocyte</w:t>
      </w:r>
      <w:r w:rsidRPr="003C0E2F">
        <w:t xml:space="preserve">s and </w:t>
      </w:r>
      <w:r w:rsidR="008F561F" w:rsidRPr="003C0E2F">
        <w:t>macrophage</w:t>
      </w:r>
      <w:r w:rsidRPr="003C0E2F">
        <w:t xml:space="preserve">s and did not have any apparent negative impact on cell viability up to 10 or 20μM. FP7 and its derivative molecules were thus considered suitable for further use in THP-1 cells at concentrations between 0-10μM. </w:t>
      </w:r>
    </w:p>
    <w:p w14:paraId="61B3337B" w14:textId="553AD4EA" w:rsidR="00CC07D0" w:rsidRPr="003C0E2F" w:rsidRDefault="00621C78" w:rsidP="00621C78">
      <w:r w:rsidRPr="003C0E2F">
        <w:t>In initial screening, FP7 and two derivatives were shown to significantly downregulated TLR4-</w:t>
      </w:r>
      <w:r w:rsidR="009E0322" w:rsidRPr="003C0E2F">
        <w:t>dependent</w:t>
      </w:r>
      <w:r w:rsidRPr="003C0E2F">
        <w:t xml:space="preserve"> cytokine production. FP7 was shown to reduce IL-8 production by LPS stimulation back down to a level comparable to the control. This corresponds with previous evidence that suggests that FP7 functions as an antagonist of TLR4-</w:t>
      </w:r>
      <w:r w:rsidR="009E0322" w:rsidRPr="003C0E2F">
        <w:t>dependent</w:t>
      </w:r>
      <w:r w:rsidRPr="003C0E2F">
        <w:t xml:space="preserve"> </w:t>
      </w:r>
      <w:r w:rsidR="00274B79" w:rsidRPr="003C0E2F">
        <w:t>P65/NF-</w:t>
      </w:r>
      <w:proofErr w:type="spellStart"/>
      <w:r w:rsidR="00274B79" w:rsidRPr="003C0E2F">
        <w:t>κB</w:t>
      </w:r>
      <w:proofErr w:type="spellEnd"/>
      <w:r w:rsidR="00274B79" w:rsidRPr="003C0E2F">
        <w:t xml:space="preserve"> </w:t>
      </w:r>
      <w:r w:rsidRPr="003C0E2F">
        <w:t xml:space="preserve">signalling in HEK-blue cells and IL-8 production in murine models </w:t>
      </w:r>
      <w:sdt>
        <w:sdtPr>
          <w:tag w:val="MENDELEY_CITATION_v3_eyJjaXRhdGlvbklEIjoiTUVOREVMRVlfQ0lUQVRJT05fNGJjOTNjMmUtODljYS00NjQ2LTlkZmMtOTQ2YWY3ZWQzNzYx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LH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ENpZ2hldHRpIDxpPmV0IGFsLjwvaT4sIDIwMTQ7IFBlcnJpbi1Db2NvbiA8aT5ldCBhbC48L2k+LCAyMDE3KSIsIm1hbnVhbE92ZXJyaWRlVGV4dCI6IiJ9fQ=="/>
          <w:id w:val="-137968222"/>
          <w:placeholder>
            <w:docPart w:val="DefaultPlaceholder_-1854013440"/>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2014; Perrin-</w:t>
          </w:r>
          <w:proofErr w:type="spellStart"/>
          <w:r w:rsidR="00F257B9">
            <w:rPr>
              <w:rFonts w:eastAsia="Times New Roman"/>
            </w:rPr>
            <w:t>Cocon</w:t>
          </w:r>
          <w:proofErr w:type="spellEnd"/>
          <w:r w:rsidR="00F257B9">
            <w:rPr>
              <w:rFonts w:eastAsia="Times New Roman"/>
            </w:rPr>
            <w:t xml:space="preserve"> </w:t>
          </w:r>
          <w:r w:rsidR="00F257B9">
            <w:rPr>
              <w:rFonts w:eastAsia="Times New Roman"/>
              <w:i/>
              <w:iCs/>
            </w:rPr>
            <w:t>et al.</w:t>
          </w:r>
          <w:r w:rsidR="00F257B9">
            <w:rPr>
              <w:rFonts w:eastAsia="Times New Roman"/>
            </w:rPr>
            <w:t>, 2017)</w:t>
          </w:r>
        </w:sdtContent>
      </w:sdt>
      <w:r w:rsidRPr="003C0E2F">
        <w:t xml:space="preserve"> Screening of FP7 derivatives yielded two further antagonists, FP10 and FP12. These were both shown to reduce IL-8 production by THP-1 cells in response to LPS at 10 µM. However, FP7 was a more potent inhibitor of IL-8 production than either FP10 or FP12. This is somewhat in contrast to other data, which suggests FP12 to be the more potent antagonist in HEK-Blue and RAW-Blue </w:t>
      </w:r>
      <w:r w:rsidR="00274B79" w:rsidRPr="003C0E2F">
        <w:t>P65/NF-</w:t>
      </w:r>
      <w:proofErr w:type="spellStart"/>
      <w:r w:rsidR="00274B79" w:rsidRPr="003C0E2F">
        <w:t>κB</w:t>
      </w:r>
      <w:proofErr w:type="spellEnd"/>
      <w:r w:rsidR="00274B79" w:rsidRPr="003C0E2F">
        <w:t xml:space="preserve"> </w:t>
      </w:r>
      <w:r w:rsidRPr="003C0E2F">
        <w:t xml:space="preserve">activation experiments </w:t>
      </w:r>
      <w:sdt>
        <w:sdtPr>
          <w:tag w:val="MENDELEY_CITATION_v3_eyJjaXRhdGlvbklEIjoiTUVOREVMRVlfQ0lUQVRJT05fY2IyZWVhMjItMjY5Ny00MGRmLThmMzktY2RlMWVhZTgyMzg1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"/>
          <w:id w:val="-1674716477"/>
          <w:placeholder>
            <w:docPart w:val="DefaultPlaceholder_-1854013440"/>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2014; Perrin-</w:t>
          </w:r>
          <w:proofErr w:type="spellStart"/>
          <w:r w:rsidR="00F257B9">
            <w:rPr>
              <w:rFonts w:eastAsia="Times New Roman"/>
            </w:rPr>
            <w:t>Cocon</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2017; </w:t>
          </w:r>
          <w:proofErr w:type="spellStart"/>
          <w:r w:rsidR="00F257B9">
            <w:rPr>
              <w:rFonts w:eastAsia="Times New Roman"/>
            </w:rPr>
            <w:t>Facchini</w:t>
          </w:r>
          <w:proofErr w:type="spellEnd"/>
          <w:r w:rsidR="00F257B9">
            <w:rPr>
              <w:rFonts w:eastAsia="Times New Roman"/>
            </w:rPr>
            <w:t xml:space="preserve"> </w:t>
          </w:r>
          <w:r w:rsidR="00F257B9">
            <w:rPr>
              <w:rFonts w:eastAsia="Times New Roman"/>
              <w:i/>
              <w:iCs/>
            </w:rPr>
            <w:t>et al.</w:t>
          </w:r>
          <w:r w:rsidR="00F257B9">
            <w:rPr>
              <w:rFonts w:eastAsia="Times New Roman"/>
            </w:rPr>
            <w:t>, 2018)</w:t>
          </w:r>
        </w:sdtContent>
      </w:sdt>
      <w:r w:rsidRPr="003C0E2F">
        <w:t>. However, FP7 was also shown to have a slightly greater potential to displace LPS than FP12 than that of FP12</w:t>
      </w:r>
      <w:r w:rsidR="00CA7890" w:rsidRPr="003C0E2F">
        <w:t>.</w:t>
      </w:r>
      <w:r w:rsidRPr="003C0E2F">
        <w:t xml:space="preserve"> FP10 and FP116 were less </w:t>
      </w:r>
      <w:r w:rsidR="008F561F" w:rsidRPr="003C0E2F">
        <w:t>effect</w:t>
      </w:r>
      <w:r w:rsidRPr="003C0E2F">
        <w:t xml:space="preserve">ive in this regard, and likely accounts for the reduced activity of these two molecules as </w:t>
      </w:r>
      <w:r w:rsidRPr="003C0E2F">
        <w:lastRenderedPageBreak/>
        <w:t xml:space="preserve">compared to FP7 and FP12 </w:t>
      </w:r>
      <w:sdt>
        <w:sdtPr>
          <w:tag w:val="MENDELEY_CITATION_v3_eyJjaXRhdGlvbklEIjoiTUVOREVMRVlfQ0lUQVRJT05fMGZmNDg2NjYtNmE2Mi00Y2JhLWE2ZTYtYzJkMTg1OTgzZjM3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GYWNjaGluaSA8aT5ldCBhbC48L2k+LCAyMDE4KSIsIm1hbnVhbE92ZXJyaWRlVGV4dCI6IiJ9fQ=="/>
          <w:id w:val="1405023952"/>
          <w:placeholder>
            <w:docPart w:val="DefaultPlaceholder_-1854013440"/>
          </w:placeholder>
        </w:sdtPr>
        <w:sdtEndPr/>
        <w:sdtContent>
          <w:r w:rsidR="00F257B9">
            <w:rPr>
              <w:rFonts w:eastAsia="Times New Roman"/>
            </w:rPr>
            <w:t>(</w:t>
          </w:r>
          <w:proofErr w:type="spellStart"/>
          <w:r w:rsidR="00F257B9">
            <w:rPr>
              <w:rFonts w:eastAsia="Times New Roman"/>
            </w:rPr>
            <w:t>Facchini</w:t>
          </w:r>
          <w:proofErr w:type="spellEnd"/>
          <w:r w:rsidR="00F257B9">
            <w:rPr>
              <w:rFonts w:eastAsia="Times New Roman"/>
            </w:rPr>
            <w:t xml:space="preserve"> </w:t>
          </w:r>
          <w:r w:rsidR="00F257B9">
            <w:rPr>
              <w:rFonts w:eastAsia="Times New Roman"/>
              <w:i/>
              <w:iCs/>
            </w:rPr>
            <w:t>et al.</w:t>
          </w:r>
          <w:r w:rsidR="00F257B9">
            <w:rPr>
              <w:rFonts w:eastAsia="Times New Roman"/>
            </w:rPr>
            <w:t>, 2018)</w:t>
          </w:r>
        </w:sdtContent>
      </w:sdt>
      <w:r w:rsidRPr="003C0E2F">
        <w:t>. From the antagonist series, FP7 and FP12 were selected for further analysis while investigations of FP10 and FP116 were discontinued.</w:t>
      </w:r>
      <w:r w:rsidR="00CC07D0" w:rsidRPr="003C0E2F">
        <w:br w:type="page"/>
      </w:r>
    </w:p>
    <w:p w14:paraId="21316835" w14:textId="3421BCB8" w:rsidR="00553A35" w:rsidRPr="003C0E2F" w:rsidRDefault="00553A35" w:rsidP="00BE5236">
      <w:pPr>
        <w:pStyle w:val="Heading2"/>
      </w:pPr>
      <w:bookmarkStart w:id="950" w:name="_Toc80013790"/>
      <w:bookmarkStart w:id="951" w:name="_Toc82882410"/>
      <w:r w:rsidRPr="003C0E2F">
        <w:lastRenderedPageBreak/>
        <w:t xml:space="preserve">FP7 and FP12 function as antagonists in </w:t>
      </w:r>
      <w:r w:rsidR="00932BC2" w:rsidRPr="003C0E2F">
        <w:t>MyD88</w:t>
      </w:r>
      <w:r w:rsidR="0031278B" w:rsidRPr="003C0E2F">
        <w:t>-</w:t>
      </w:r>
      <w:r w:rsidR="009E0322" w:rsidRPr="003C0E2F">
        <w:t>dependent</w:t>
      </w:r>
      <w:r w:rsidRPr="003C0E2F">
        <w:t xml:space="preserve"> TLR4 signalling</w:t>
      </w:r>
      <w:bookmarkEnd w:id="950"/>
      <w:bookmarkEnd w:id="951"/>
    </w:p>
    <w:p w14:paraId="1432261C" w14:textId="20CDE791" w:rsidR="00621C78" w:rsidRPr="003C0E2F" w:rsidRDefault="00621C78" w:rsidP="00621C78">
      <w:r w:rsidRPr="003C0E2F">
        <w:t xml:space="preserve">The </w:t>
      </w:r>
      <w:r w:rsidR="008F561F" w:rsidRPr="003C0E2F">
        <w:t>effect</w:t>
      </w:r>
      <w:r w:rsidRPr="003C0E2F">
        <w:t xml:space="preserve"> of selected FP compounds, FP7 and FP12, on TLR4 signalling was further expanded on and examined in both a human </w:t>
      </w:r>
      <w:r w:rsidR="008F561F" w:rsidRPr="003C0E2F">
        <w:t>monocyte</w:t>
      </w:r>
      <w:r w:rsidRPr="003C0E2F">
        <w:t xml:space="preserve">s and </w:t>
      </w:r>
      <w:r w:rsidR="008F561F" w:rsidRPr="003C0E2F">
        <w:t>macrophage</w:t>
      </w:r>
      <w:r w:rsidRPr="003C0E2F">
        <w:t xml:space="preserve">s. Both molecules performed well in initial investigations in THP-1 cell and showed positive ability to downregulate LPS induced cytokines in both </w:t>
      </w:r>
      <w:r w:rsidR="008F561F" w:rsidRPr="003C0E2F">
        <w:t>monocyte</w:t>
      </w:r>
      <w:r w:rsidRPr="003C0E2F">
        <w:t xml:space="preserve">s and </w:t>
      </w:r>
      <w:r w:rsidR="008F561F" w:rsidRPr="003C0E2F">
        <w:t>macrophage</w:t>
      </w:r>
      <w:r w:rsidRPr="003C0E2F">
        <w:t xml:space="preserve">s. </w:t>
      </w:r>
    </w:p>
    <w:p w14:paraId="6E431C13" w14:textId="2AE8BCA4" w:rsidR="005014BC" w:rsidRPr="003C0E2F" w:rsidRDefault="008C4243" w:rsidP="005014BC">
      <w:pPr>
        <w:keepNext/>
      </w:pPr>
      <w:r w:rsidRPr="003C0E2F">
        <w:rPr>
          <w:noProof/>
        </w:rPr>
        <w:drawing>
          <wp:inline distT="0" distB="0" distL="0" distR="0" wp14:anchorId="3D99B512" wp14:editId="4C608ABC">
            <wp:extent cx="5731510" cy="3883660"/>
            <wp:effectExtent l="0" t="0" r="2540" b="254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731510" cy="3883660"/>
                    </a:xfrm>
                    <a:prstGeom prst="rect">
                      <a:avLst/>
                    </a:prstGeom>
                  </pic:spPr>
                </pic:pic>
              </a:graphicData>
            </a:graphic>
          </wp:inline>
        </w:drawing>
      </w:r>
    </w:p>
    <w:p w14:paraId="7FF7210D" w14:textId="099016CD" w:rsidR="005014BC" w:rsidRPr="003C0E2F" w:rsidRDefault="005014BC" w:rsidP="003C0E2F">
      <w:pPr>
        <w:pStyle w:val="NoSpacing"/>
      </w:pPr>
      <w:bookmarkStart w:id="952" w:name="_Toc64551817"/>
      <w:bookmarkStart w:id="953" w:name="_Toc80013861"/>
      <w:bookmarkStart w:id="954" w:name="_Toc82883000"/>
      <w:r w:rsidRPr="003C0E2F">
        <w:t xml:space="preserve">Figure </w:t>
      </w:r>
      <w:r w:rsidR="00862981">
        <w:fldChar w:fldCharType="begin"/>
      </w:r>
      <w:r w:rsidR="00862981">
        <w:instrText xml:space="preserve"> SEQ Figure \* ARABIC </w:instrText>
      </w:r>
      <w:r w:rsidR="00862981">
        <w:fldChar w:fldCharType="separate"/>
      </w:r>
      <w:r w:rsidR="000F2276">
        <w:rPr>
          <w:noProof/>
        </w:rPr>
        <w:t>59</w:t>
      </w:r>
      <w:r w:rsidR="00862981">
        <w:rPr>
          <w:noProof/>
        </w:rPr>
        <w:fldChar w:fldCharType="end"/>
      </w:r>
      <w:r w:rsidRPr="003C0E2F">
        <w:t xml:space="preserve">. FP7 and FP12 negatively regulate LPS induced </w:t>
      </w:r>
      <w:r w:rsidR="00932BC2" w:rsidRPr="003C0E2F">
        <w:t>MyD88</w:t>
      </w:r>
      <w:r w:rsidRPr="003C0E2F">
        <w:t>-dependent signalling via NF-</w:t>
      </w:r>
      <w:proofErr w:type="spellStart"/>
      <w:r w:rsidRPr="003C0E2F">
        <w:t>κB</w:t>
      </w:r>
      <w:proofErr w:type="spellEnd"/>
      <w:r w:rsidRPr="003C0E2F">
        <w:t xml:space="preserve"> and P38 phosphorylation, preventing downstream transcription and production of proinflammatory cytokines.</w:t>
      </w:r>
      <w:r w:rsidR="0059448B" w:rsidRPr="003C0E2F">
        <w:t xml:space="preserve"> (A) LPS activated </w:t>
      </w:r>
      <w:r w:rsidR="00932BC2" w:rsidRPr="003C0E2F">
        <w:t>MyD88</w:t>
      </w:r>
      <w:r w:rsidR="0059448B" w:rsidRPr="003C0E2F">
        <w:t>-dependent signalling via TLR4. (B) FP7 and FP12 prevent LPS activation of TLR4/</w:t>
      </w:r>
      <w:r w:rsidR="00932BC2" w:rsidRPr="003C0E2F">
        <w:t>MyD88</w:t>
      </w:r>
      <w:r w:rsidR="0059448B" w:rsidRPr="003C0E2F">
        <w:t>-dependent signalling</w:t>
      </w:r>
      <w:r w:rsidR="009C683E" w:rsidRPr="003C0E2F">
        <w:t xml:space="preserve"> pathways</w:t>
      </w:r>
      <w:r w:rsidR="0059448B" w:rsidRPr="003C0E2F">
        <w:t>.</w:t>
      </w:r>
      <w:bookmarkEnd w:id="952"/>
      <w:bookmarkEnd w:id="953"/>
      <w:bookmarkEnd w:id="954"/>
    </w:p>
    <w:p w14:paraId="1CB31648" w14:textId="77777777" w:rsidR="005014BC" w:rsidRPr="003C0E2F" w:rsidRDefault="005014BC" w:rsidP="005014BC">
      <w:pPr>
        <w:pStyle w:val="NoSpacing"/>
      </w:pPr>
    </w:p>
    <w:p w14:paraId="44DFCC1B" w14:textId="77777777" w:rsidR="00D161E1" w:rsidRPr="003C0E2F" w:rsidRDefault="00621C78" w:rsidP="00621C78">
      <w:r w:rsidRPr="003C0E2F">
        <w:t xml:space="preserve">Two readouts were used to monitor the modulating </w:t>
      </w:r>
      <w:r w:rsidR="008F561F" w:rsidRPr="003C0E2F">
        <w:t>effect</w:t>
      </w:r>
      <w:r w:rsidRPr="003C0E2F">
        <w:t xml:space="preserve">s of FP compounds; </w:t>
      </w:r>
      <w:r w:rsidR="00623C8F" w:rsidRPr="003C0E2F">
        <w:t>signalling mediator</w:t>
      </w:r>
      <w:r w:rsidRPr="003C0E2F">
        <w:t xml:space="preserve"> activation (NF-</w:t>
      </w:r>
      <w:proofErr w:type="spellStart"/>
      <w:r w:rsidRPr="003C0E2F">
        <w:t>κB</w:t>
      </w:r>
      <w:proofErr w:type="spellEnd"/>
      <w:r w:rsidRPr="003C0E2F">
        <w:t xml:space="preserve">, </w:t>
      </w:r>
      <w:r w:rsidR="00274B79" w:rsidRPr="003C0E2F">
        <w:t>P38</w:t>
      </w:r>
      <w:r w:rsidRPr="003C0E2F">
        <w:t xml:space="preserve"> MAPK phosphorylation) was measured via </w:t>
      </w:r>
      <w:r w:rsidR="00030A76" w:rsidRPr="003C0E2F">
        <w:t>Western</w:t>
      </w:r>
      <w:r w:rsidRPr="003C0E2F">
        <w:t xml:space="preserve"> blot, and endpoint cytokine production (IL-8, IL-6, IL-1β) production was measured via ELISA. In THP-1 </w:t>
      </w:r>
      <w:r w:rsidR="008F561F" w:rsidRPr="003C0E2F">
        <w:t>monocyte</w:t>
      </w:r>
      <w:r w:rsidRPr="003C0E2F">
        <w:t xml:space="preserve">s FP7 </w:t>
      </w:r>
      <w:r w:rsidRPr="003C0E2F">
        <w:lastRenderedPageBreak/>
        <w:t>was shown to negatively regulate LPS induced TLR4 signalling. Results suggested that higher concentrations (10 µ</w:t>
      </w:r>
      <w:r w:rsidR="00283225" w:rsidRPr="003C0E2F">
        <w:t>M) of</w:t>
      </w:r>
      <w:r w:rsidRPr="003C0E2F">
        <w:t xml:space="preserve"> FP7 could negatively regulated cytokine production in THP-1 </w:t>
      </w:r>
      <w:r w:rsidR="008F561F" w:rsidRPr="003C0E2F">
        <w:t>monocyte</w:t>
      </w:r>
      <w:r w:rsidRPr="003C0E2F">
        <w:t xml:space="preserve">s. FP7 could inhibit LPS induced production of IL-8, Il-6, IL-1β, MIP-1α, and iCAM-1. IL-12 was not produced in response to LPS at significantly detectable levels. Interestingly, IL-6 was present in the medium after 18 hours but was not significantly increased within cells by this time. This suggests an early production and release of IL-6 without further production within the cell. </w:t>
      </w:r>
    </w:p>
    <w:p w14:paraId="55D51722" w14:textId="35A750F3" w:rsidR="00D529F3" w:rsidRPr="003C0E2F" w:rsidRDefault="00D161E1" w:rsidP="00621C78">
      <w:bookmarkStart w:id="955" w:name="_Hlk80825771"/>
      <w:r w:rsidRPr="003C0E2F">
        <w:t>FP7 also substantially decreased MIP-1</w:t>
      </w:r>
      <w:r w:rsidRPr="003C0E2F">
        <w:rPr>
          <w:rFonts w:cstheme="minorHAnsi"/>
        </w:rPr>
        <w:t>α</w:t>
      </w:r>
      <w:r w:rsidRPr="003C0E2F">
        <w:t xml:space="preserve"> production. In this regard, </w:t>
      </w:r>
      <w:r w:rsidR="00621C78" w:rsidRPr="003C0E2F">
        <w:t>FP7 appear</w:t>
      </w:r>
      <w:r w:rsidRPr="003C0E2F">
        <w:t>ed</w:t>
      </w:r>
      <w:r w:rsidR="00621C78" w:rsidRPr="003C0E2F">
        <w:t xml:space="preserve"> to be more </w:t>
      </w:r>
      <w:r w:rsidR="008F561F" w:rsidRPr="003C0E2F">
        <w:t>effect</w:t>
      </w:r>
      <w:r w:rsidR="00621C78" w:rsidRPr="003C0E2F">
        <w:t>ive in bringing about a reduction in of MIP-1α release</w:t>
      </w:r>
      <w:r w:rsidRPr="003C0E2F">
        <w:t xml:space="preserve"> into culture medium. The l</w:t>
      </w:r>
      <w:r w:rsidR="00621C78" w:rsidRPr="003C0E2F">
        <w:t>evel</w:t>
      </w:r>
      <w:r w:rsidRPr="003C0E2F">
        <w:t xml:space="preserve"> of MIP-1</w:t>
      </w:r>
      <w:r w:rsidRPr="003C0E2F">
        <w:rPr>
          <w:rFonts w:cstheme="minorHAnsi"/>
        </w:rPr>
        <w:t>α</w:t>
      </w:r>
      <w:r w:rsidR="00621C78" w:rsidRPr="003C0E2F">
        <w:t xml:space="preserve"> within the cell </w:t>
      </w:r>
      <w:r w:rsidRPr="003C0E2F">
        <w:t>remains upregulated by LPS but is not significantly reduced in presence of FP7</w:t>
      </w:r>
      <w:r w:rsidR="00621C78" w:rsidRPr="003C0E2F">
        <w:t xml:space="preserve">. </w:t>
      </w:r>
      <w:r w:rsidR="00D529F3" w:rsidRPr="003C0E2F">
        <w:t>This suggests that there is a difference between MIP-1</w:t>
      </w:r>
      <w:r w:rsidR="00D529F3" w:rsidRPr="003C0E2F">
        <w:rPr>
          <w:rFonts w:cstheme="minorHAnsi"/>
        </w:rPr>
        <w:t>α</w:t>
      </w:r>
      <w:r w:rsidR="00D529F3" w:rsidRPr="003C0E2F">
        <w:t xml:space="preserve"> production and release from the cells. FP7 can affect MIP-1α release only, therefore this compound is capable of partial inhibition of MIP-1</w:t>
      </w:r>
      <w:r w:rsidR="00D529F3" w:rsidRPr="003C0E2F">
        <w:rPr>
          <w:rFonts w:cstheme="minorHAnsi"/>
        </w:rPr>
        <w:t>α release</w:t>
      </w:r>
      <w:r w:rsidR="00D529F3" w:rsidRPr="003C0E2F">
        <w:t xml:space="preserve"> following LPS exposure.</w:t>
      </w:r>
    </w:p>
    <w:bookmarkEnd w:id="955"/>
    <w:p w14:paraId="312CF104" w14:textId="219DA31F" w:rsidR="00621C78" w:rsidRPr="003C0E2F" w:rsidRDefault="00621C78" w:rsidP="00621C78">
      <w:r w:rsidRPr="003C0E2F">
        <w:t>Both FP7 and FP12 negatively regulated TLR4-</w:t>
      </w:r>
      <w:r w:rsidR="007A7EEE" w:rsidRPr="003C0E2F">
        <w:t>dependent</w:t>
      </w:r>
      <w:r w:rsidR="00283225" w:rsidRPr="003C0E2F">
        <w:t xml:space="preserve"> </w:t>
      </w:r>
      <w:r w:rsidRPr="003C0E2F">
        <w:t xml:space="preserve">signalling in </w:t>
      </w:r>
      <w:r w:rsidR="008F561F" w:rsidRPr="003C0E2F">
        <w:t>macrophage</w:t>
      </w:r>
      <w:r w:rsidRPr="003C0E2F">
        <w:t>s</w:t>
      </w:r>
      <w:r w:rsidR="003273B5" w:rsidRPr="003C0E2F">
        <w:t xml:space="preserve"> (Figure 59)</w:t>
      </w:r>
      <w:r w:rsidRPr="003C0E2F">
        <w:t xml:space="preserve">. FP7 and FP12 significantly reduced IL-8 production at as little as 0.1μM. IL-6 was downregulated at lower concentrations with FP7 than with FP12. Further to this, </w:t>
      </w:r>
      <w:r w:rsidR="00623C8F" w:rsidRPr="003C0E2F">
        <w:t>signalling mediators</w:t>
      </w:r>
      <w:r w:rsidRPr="003C0E2F">
        <w:t xml:space="preserve"> </w:t>
      </w:r>
      <w:r w:rsidR="00274B79" w:rsidRPr="003C0E2F">
        <w:t>P65/NF-</w:t>
      </w:r>
      <w:proofErr w:type="spellStart"/>
      <w:r w:rsidR="00274B79" w:rsidRPr="003C0E2F">
        <w:t>κB</w:t>
      </w:r>
      <w:proofErr w:type="spellEnd"/>
      <w:r w:rsidR="00274B79" w:rsidRPr="003C0E2F">
        <w:t xml:space="preserve"> </w:t>
      </w:r>
      <w:r w:rsidRPr="003C0E2F">
        <w:t xml:space="preserve">and </w:t>
      </w:r>
      <w:r w:rsidR="00274B79" w:rsidRPr="003C0E2F">
        <w:t>P38</w:t>
      </w:r>
      <w:r w:rsidRPr="003C0E2F">
        <w:t xml:space="preserve"> MAPK were downregulated following pre-treatment with both compounds but did not reach the same levels as controls in FP7. This may explain the apparent higher potency of FP12 in studies with reporter cell lines which focused on </w:t>
      </w:r>
      <w:r w:rsidR="00274B79" w:rsidRPr="003C0E2F">
        <w:t>P65/NF-</w:t>
      </w:r>
      <w:proofErr w:type="spellStart"/>
      <w:r w:rsidR="00274B79" w:rsidRPr="003C0E2F">
        <w:t>κB</w:t>
      </w:r>
      <w:proofErr w:type="spellEnd"/>
      <w:r w:rsidR="00274B79" w:rsidRPr="003C0E2F">
        <w:t xml:space="preserve"> </w:t>
      </w:r>
      <w:r w:rsidRPr="003C0E2F">
        <w:t xml:space="preserve">activation and inhibition and showed greater potency of FP12 </w:t>
      </w:r>
      <w:sdt>
        <w:sdtPr>
          <w:rPr>
            <w:color w:val="000000"/>
          </w:rPr>
          <w:tag w:val="MENDELEY_CITATION_v3_eyJjaXRhdGlvbklEIjoiTUVOREVMRVlfQ0lUQVRJT05fOGYyYjcxNDAtYTU2MC00YWE3LTlmOTktNWNmNDIxZTllNjQz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GYWNjaGluaSA8aT5ldCBhbC48L2k+LCAyMDE4KSIsIm1hbnVhbE92ZXJyaWRlVGV4dCI6IihGYWNjaGluaSBldCBhbC4sIDIwMTgpLiIsImlzTWFudWFsbHlPdmVycmlkZGVuIjp0cnVlfX0="/>
          <w:id w:val="644172008"/>
          <w:placeholder>
            <w:docPart w:val="DefaultPlaceholder_-1854013440"/>
          </w:placeholder>
        </w:sdtPr>
        <w:sdtEndPr/>
        <w:sdtContent>
          <w:r w:rsidR="00F257B9" w:rsidRPr="00F257B9">
            <w:rPr>
              <w:rFonts w:eastAsia="Times New Roman"/>
              <w:color w:val="000000"/>
            </w:rPr>
            <w:t>(</w:t>
          </w:r>
          <w:proofErr w:type="spellStart"/>
          <w:r w:rsidR="00F257B9" w:rsidRPr="00F257B9">
            <w:rPr>
              <w:rFonts w:eastAsia="Times New Roman"/>
              <w:color w:val="000000"/>
            </w:rPr>
            <w:t>Facchini</w:t>
          </w:r>
          <w:proofErr w:type="spellEnd"/>
          <w:r w:rsidR="00F257B9" w:rsidRPr="00F257B9">
            <w:rPr>
              <w:rFonts w:eastAsia="Times New Roman"/>
              <w:color w:val="000000"/>
            </w:rPr>
            <w:t xml:space="preserve"> et al., 2018).</w:t>
          </w:r>
        </w:sdtContent>
      </w:sdt>
      <w:r w:rsidRPr="003C0E2F">
        <w:t xml:space="preserve"> This was not so apparent in screening, and further cytokine analysis seems to suggest FP7 is more </w:t>
      </w:r>
      <w:r w:rsidR="008F561F" w:rsidRPr="003C0E2F">
        <w:t>effect</w:t>
      </w:r>
      <w:r w:rsidRPr="003C0E2F">
        <w:t xml:space="preserve">ive in most cases. </w:t>
      </w:r>
      <w:bookmarkStart w:id="956" w:name="_Hlk80825885"/>
      <w:r w:rsidR="0095450B" w:rsidRPr="003C0E2F">
        <w:t xml:space="preserve">FP12 exhibits a </w:t>
      </w:r>
      <w:r w:rsidR="003B4897" w:rsidRPr="003C0E2F">
        <w:t xml:space="preserve">more obvious </w:t>
      </w:r>
      <w:r w:rsidR="0095450B" w:rsidRPr="003C0E2F">
        <w:t>dose dependent</w:t>
      </w:r>
      <w:r w:rsidRPr="003C0E2F">
        <w:t xml:space="preserve"> </w:t>
      </w:r>
      <w:r w:rsidR="008F561F" w:rsidRPr="003C0E2F">
        <w:t>effect</w:t>
      </w:r>
      <w:r w:rsidRPr="003C0E2F">
        <w:t xml:space="preserve"> on signalling targets than does FP7, for which the</w:t>
      </w:r>
      <w:r w:rsidR="00B24B9D" w:rsidRPr="003C0E2F">
        <w:t xml:space="preserve"> dose dependent effect </w:t>
      </w:r>
      <w:r w:rsidRPr="003C0E2F">
        <w:t xml:space="preserve">is </w:t>
      </w:r>
      <w:r w:rsidR="00B24B9D" w:rsidRPr="003C0E2F">
        <w:t>less apparent</w:t>
      </w:r>
      <w:r w:rsidRPr="003C0E2F">
        <w:t>.</w:t>
      </w:r>
      <w:r w:rsidR="00B24B9D" w:rsidRPr="003C0E2F">
        <w:t xml:space="preserve"> This could indicate a partial antagonism of FP7 as previously proposed</w:t>
      </w:r>
      <w:bookmarkEnd w:id="956"/>
      <w:r w:rsidR="00B24B9D" w:rsidRPr="003C0E2F">
        <w:t xml:space="preserve"> (</w:t>
      </w:r>
      <w:proofErr w:type="spellStart"/>
      <w:r w:rsidR="00B24B9D" w:rsidRPr="003C0E2F">
        <w:t>Cighetti</w:t>
      </w:r>
      <w:proofErr w:type="spellEnd"/>
      <w:r w:rsidR="00B24B9D" w:rsidRPr="003C0E2F">
        <w:t xml:space="preserve"> et al., 2014).</w:t>
      </w:r>
      <w:r w:rsidRPr="003C0E2F">
        <w:t xml:space="preserve"> To further investigate and compare the </w:t>
      </w:r>
      <w:r w:rsidR="008F561F" w:rsidRPr="003C0E2F">
        <w:t>effect</w:t>
      </w:r>
      <w:r w:rsidRPr="003C0E2F">
        <w:t xml:space="preserve">s of FP7 and FP12 in </w:t>
      </w:r>
      <w:r w:rsidR="008F561F" w:rsidRPr="003C0E2F">
        <w:t>macrophage</w:t>
      </w:r>
      <w:r w:rsidRPr="003C0E2F">
        <w:t xml:space="preserve">s, </w:t>
      </w:r>
      <w:r w:rsidR="008A3B68" w:rsidRPr="003C0E2F">
        <w:t>a proinflammatory protein antibody array</w:t>
      </w:r>
      <w:r w:rsidRPr="003C0E2F">
        <w:t xml:space="preserve"> was used to give an overview of proinflammatory proteins production. The results of this suggested that FP7 </w:t>
      </w:r>
      <w:proofErr w:type="gramStart"/>
      <w:r w:rsidRPr="003C0E2F">
        <w:t>was capable of downregulating</w:t>
      </w:r>
      <w:proofErr w:type="gramEnd"/>
      <w:r w:rsidRPr="003C0E2F">
        <w:t xml:space="preserve"> most LPS</w:t>
      </w:r>
      <w:r w:rsidR="00F50A9C" w:rsidRPr="003C0E2F">
        <w:t>-</w:t>
      </w:r>
      <w:r w:rsidRPr="003C0E2F">
        <w:t xml:space="preserve">induced proinflammatory proteins </w:t>
      </w:r>
      <w:r w:rsidRPr="003C0E2F">
        <w:lastRenderedPageBreak/>
        <w:t xml:space="preserve">production, while FP12 appears to have a slightly lesser </w:t>
      </w:r>
      <w:r w:rsidR="008F561F" w:rsidRPr="003C0E2F">
        <w:t>effect</w:t>
      </w:r>
      <w:r w:rsidRPr="003C0E2F">
        <w:t>. In this regard, i309 and MIP-1α were downregulated by FP7, but not FP12. Also, levels of certain proteins such as MCP-1 in FP12 treated samples were higher than FP7. IL-8 production is not possible to measure via array due to high concentrations of IL-8 in medium saturating the signal and making it appear as though there is no difference between control, LPS and compound treated samples. These data together suggest that while FP12 may be a more potent antagonist of TLR4</w:t>
      </w:r>
      <w:r w:rsidR="00A9277D" w:rsidRPr="003C0E2F">
        <w:t>-</w:t>
      </w:r>
      <w:r w:rsidR="009E0322" w:rsidRPr="003C0E2F">
        <w:t>dependent</w:t>
      </w:r>
      <w:r w:rsidRPr="003C0E2F">
        <w:t xml:space="preserve"> </w:t>
      </w:r>
      <w:r w:rsidR="00274B79" w:rsidRPr="003C0E2F">
        <w:t>P65/NF-</w:t>
      </w:r>
      <w:proofErr w:type="spellStart"/>
      <w:r w:rsidR="00274B79" w:rsidRPr="003C0E2F">
        <w:t>κB</w:t>
      </w:r>
      <w:proofErr w:type="spellEnd"/>
      <w:r w:rsidR="00274B79" w:rsidRPr="003C0E2F">
        <w:t xml:space="preserve"> </w:t>
      </w:r>
      <w:r w:rsidRPr="003C0E2F">
        <w:t xml:space="preserve">and </w:t>
      </w:r>
      <w:r w:rsidR="00274B79" w:rsidRPr="003C0E2F">
        <w:t>P38</w:t>
      </w:r>
      <w:r w:rsidRPr="003C0E2F">
        <w:t xml:space="preserve"> MAPK signalling, FP7 shows greater </w:t>
      </w:r>
      <w:r w:rsidR="008F561F" w:rsidRPr="003C0E2F">
        <w:t>effect</w:t>
      </w:r>
      <w:r w:rsidRPr="003C0E2F">
        <w:t>s on downstream proinflammatory production.</w:t>
      </w:r>
      <w:r w:rsidR="0045281F" w:rsidRPr="003C0E2F">
        <w:t xml:space="preserve"> </w:t>
      </w:r>
      <w:bookmarkStart w:id="957" w:name="_Hlk82879478"/>
      <w:r w:rsidR="0045281F" w:rsidRPr="003C0E2F">
        <w:t>The reason for these differences between signalling and endpoint production is not entirely clear here. It is possible that post-transcriptional degradation of proteins could occur, but this would need to be further investigated through comparative mRNA analysis.</w:t>
      </w:r>
      <w:bookmarkEnd w:id="957"/>
    </w:p>
    <w:p w14:paraId="2426F86D" w14:textId="71F502C1" w:rsidR="00621C78" w:rsidRPr="003C0E2F" w:rsidRDefault="00621C78" w:rsidP="00621C78">
      <w:r w:rsidRPr="003C0E2F">
        <w:t xml:space="preserve">FP7 and FP12 are known to affect TLR4 through interactions with MD-2 and CD14. In this regard, FP7 is thought to competitively exclude LPS from binding to MD-2 and cause internalisation of CD14, further impairing the delivery mechanisms that aid delivery of LPS to the co-receptor </w:t>
      </w:r>
      <w:sdt>
        <w:sdtPr>
          <w:tag w:val="MENDELEY_CITATION_v3_eyJjaXRhdGlvbklEIjoiTUVOREVMRVlfQ0lUQVRJT05fMDQ3NTg4NWQtZmQ3MS00ZmQwLThiOWItZjhlYmE0YTEzMzc1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
          <w:id w:val="-2042512813"/>
          <w:placeholder>
            <w:docPart w:val="DefaultPlaceholder_-1854013440"/>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r w:rsidRPr="003C0E2F">
        <w:t xml:space="preserve">. However, results from this project suggest that FP7 and FP12 are capable of downregulating LPS induced signalling post-factum. This suggests that FP7 and FP12 can modulate </w:t>
      </w:r>
      <w:r w:rsidR="00932BC2" w:rsidRPr="003C0E2F">
        <w:t>MyD88</w:t>
      </w:r>
      <w:r w:rsidRPr="003C0E2F">
        <w:t>-</w:t>
      </w:r>
      <w:r w:rsidR="009E0322" w:rsidRPr="003C0E2F">
        <w:t>dependent</w:t>
      </w:r>
      <w:r w:rsidRPr="003C0E2F">
        <w:t xml:space="preserve"> signalling after LPS has bound to the pockets. Further modelling would be required to ascertain in FP7 and FP12 can bind to the pocket in conjunction with LPS. </w:t>
      </w:r>
      <w:bookmarkStart w:id="958" w:name="_Hlk80825568"/>
      <w:r w:rsidRPr="003C0E2F">
        <w:t>Alternatively, these molecules may interact with a different location on the receptor complex and perhaps destabilise the agonistic conformation of MD-2</w:t>
      </w:r>
      <w:bookmarkEnd w:id="958"/>
      <w:r w:rsidRPr="003C0E2F">
        <w:t xml:space="preserve">. It is unlikely that FP7 can affect </w:t>
      </w:r>
      <w:r w:rsidR="00932BC2" w:rsidRPr="003C0E2F">
        <w:t>MyD88</w:t>
      </w:r>
      <w:r w:rsidRPr="003C0E2F">
        <w:t xml:space="preserve"> directly </w:t>
      </w:r>
      <w:sdt>
        <w:sdtPr>
          <w:tag w:val="MENDELEY_CITATION_v3_eyJjaXRhdGlvbklEIjoiTUVOREVMRVlfQ0lUQVRJT05fOTlmNzJiOTctZGQ3MC00MjZjLWE2MTQtMDZhYzA4NTE2ZTE5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
          <w:id w:val="-768774577"/>
          <w:placeholder>
            <w:docPart w:val="DefaultPlaceholder_-1854013440"/>
          </w:placeholder>
        </w:sdtPr>
        <w:sdtEndPr/>
        <w:sdtContent>
          <w:r w:rsidR="00F257B9">
            <w:rPr>
              <w:rFonts w:eastAsia="Times New Roman"/>
            </w:rPr>
            <w:t>(Perrin-</w:t>
          </w:r>
          <w:proofErr w:type="spellStart"/>
          <w:r w:rsidR="00F257B9">
            <w:rPr>
              <w:rFonts w:eastAsia="Times New Roman"/>
            </w:rPr>
            <w:t>Cocon</w:t>
          </w:r>
          <w:proofErr w:type="spellEnd"/>
          <w:r w:rsidR="00F257B9">
            <w:rPr>
              <w:rFonts w:eastAsia="Times New Roman"/>
            </w:rPr>
            <w:t xml:space="preserve"> </w:t>
          </w:r>
          <w:r w:rsidR="00F257B9">
            <w:rPr>
              <w:rFonts w:eastAsia="Times New Roman"/>
              <w:i/>
              <w:iCs/>
            </w:rPr>
            <w:t>et al.</w:t>
          </w:r>
          <w:r w:rsidR="00F257B9">
            <w:rPr>
              <w:rFonts w:eastAsia="Times New Roman"/>
            </w:rPr>
            <w:t>, 2017)</w:t>
          </w:r>
        </w:sdtContent>
      </w:sdt>
      <w:r w:rsidRPr="003C0E2F">
        <w:t xml:space="preserve">. Previous studies have shown that FP7 does not affect TLR1/TLR2 or TLR2/TLR6 signalling. As these receptors utilise </w:t>
      </w:r>
      <w:r w:rsidR="00932BC2" w:rsidRPr="003C0E2F">
        <w:t>MyD88</w:t>
      </w:r>
      <w:r w:rsidRPr="003C0E2F">
        <w:t xml:space="preserve"> in signalling, it is unlikely that FP7 is affecting this intracellular protein. However, this does not discount an alternative internal interaction with Mal or the TLR4 signalling domain, </w:t>
      </w:r>
      <w:proofErr w:type="gramStart"/>
      <w:r w:rsidRPr="003C0E2F">
        <w:t>similar to</w:t>
      </w:r>
      <w:proofErr w:type="gramEnd"/>
      <w:r w:rsidRPr="003C0E2F">
        <w:t xml:space="preserve"> how TAK242 affects TLR4 signalling </w:t>
      </w:r>
      <w:sdt>
        <w:sdtPr>
          <w:tag w:val="MENDELEY_CITATION_v3_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"/>
          <w:id w:val="-1639491393"/>
          <w:placeholder>
            <w:docPart w:val="DefaultPlaceholder_-1854013440"/>
          </w:placeholder>
        </w:sdtPr>
        <w:sdtEndPr/>
        <w:sdtContent>
          <w:r w:rsidR="00F257B9">
            <w:rPr>
              <w:rFonts w:eastAsia="Times New Roman"/>
            </w:rPr>
            <w:t xml:space="preserve">(Takashima </w:t>
          </w:r>
          <w:r w:rsidR="00F257B9">
            <w:rPr>
              <w:rFonts w:eastAsia="Times New Roman"/>
              <w:i/>
              <w:iCs/>
            </w:rPr>
            <w:t>et al.</w:t>
          </w:r>
          <w:r w:rsidR="00F257B9">
            <w:rPr>
              <w:rFonts w:eastAsia="Times New Roman"/>
            </w:rPr>
            <w:t>, 2009)</w:t>
          </w:r>
        </w:sdtContent>
      </w:sdt>
      <w:r w:rsidRPr="003C0E2F">
        <w:t xml:space="preserve">. At present there is no evidence of FP7 or FP12 being associated with such an interaction. </w:t>
      </w:r>
    </w:p>
    <w:p w14:paraId="06153C80" w14:textId="7A35FB2E" w:rsidR="00621C78" w:rsidRPr="003C0E2F" w:rsidRDefault="00621C78" w:rsidP="00621C78">
      <w:r w:rsidRPr="003C0E2F">
        <w:lastRenderedPageBreak/>
        <w:t xml:space="preserve">FP7 and FP12 were shown to negatively regulate LPS induced TLR4 signalling. Results suggested that higher concentrations (10µM) of FP7 could negatively regulate cytokine production in THP-1 </w:t>
      </w:r>
      <w:r w:rsidR="008F561F" w:rsidRPr="003C0E2F">
        <w:t>monocyte</w:t>
      </w:r>
      <w:r w:rsidRPr="003C0E2F">
        <w:t>s. The current work corresponds with other findings of dose-</w:t>
      </w:r>
      <w:r w:rsidR="009E0322" w:rsidRPr="003C0E2F">
        <w:t>dependent</w:t>
      </w:r>
      <w:r w:rsidRPr="003C0E2F">
        <w:t xml:space="preserve"> antagonistic </w:t>
      </w:r>
      <w:r w:rsidR="008F561F" w:rsidRPr="003C0E2F">
        <w:t>effect</w:t>
      </w:r>
      <w:r w:rsidRPr="003C0E2F">
        <w:t xml:space="preserve">s of FP7 </w:t>
      </w:r>
      <w:sdt>
        <w:sdtPr>
          <w:tag w:val="MENDELEY_CITATION_v3_eyJjaXRhdGlvbklEIjoiTUVOREVMRVlfQ0lUQVRJT05fOTk2MDQ1YzEtOWI4Ny00MGIwLTkyMDQtZjMxYWJiODJlNmZl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
          <w:id w:val="-1184351656"/>
          <w:placeholder>
            <w:docPart w:val="DefaultPlaceholder_-1854013440"/>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r w:rsidRPr="003C0E2F">
        <w:t xml:space="preserve">.  </w:t>
      </w:r>
    </w:p>
    <w:p w14:paraId="249F25AB" w14:textId="69B3036D" w:rsidR="00930208" w:rsidRPr="003C0E2F" w:rsidRDefault="00621C78" w:rsidP="00621C78">
      <w:r w:rsidRPr="003C0E2F">
        <w:t xml:space="preserve">Preliminary data from primary </w:t>
      </w:r>
      <w:r w:rsidR="00A9277D" w:rsidRPr="003C0E2F">
        <w:t>PBMC derived</w:t>
      </w:r>
      <w:r w:rsidRPr="003C0E2F">
        <w:t xml:space="preserve"> </w:t>
      </w:r>
      <w:r w:rsidR="008F561F" w:rsidRPr="003C0E2F">
        <w:t>macrophage</w:t>
      </w:r>
      <w:r w:rsidRPr="003C0E2F">
        <w:t xml:space="preserve">s suggested that FP7 can also negatively regulate TLR4 induced cytokines </w:t>
      </w:r>
      <w:r w:rsidR="007A0F7C" w:rsidRPr="003C0E2F">
        <w:t>IL-6</w:t>
      </w:r>
      <w:r w:rsidRPr="003C0E2F">
        <w:t xml:space="preserve"> and </w:t>
      </w:r>
      <w:r w:rsidR="007A0F7C" w:rsidRPr="003C0E2F">
        <w:t>IL-1</w:t>
      </w:r>
      <w:r w:rsidRPr="003C0E2F">
        <w:t>β and signalling via p-p65NFκB/p-</w:t>
      </w:r>
      <w:r w:rsidR="00274B79" w:rsidRPr="003C0E2F">
        <w:t>P38</w:t>
      </w:r>
      <w:r w:rsidRPr="003C0E2F">
        <w:t xml:space="preserve">. FP7 has also recently been shown to be </w:t>
      </w:r>
      <w:r w:rsidR="008F561F" w:rsidRPr="003C0E2F">
        <w:t>effect</w:t>
      </w:r>
      <w:r w:rsidRPr="003C0E2F">
        <w:t xml:space="preserve">ive in reducing </w:t>
      </w:r>
      <w:r w:rsidR="007A0F7C" w:rsidRPr="003C0E2F">
        <w:t>IL-6</w:t>
      </w:r>
      <w:r w:rsidRPr="003C0E2F">
        <w:t xml:space="preserve"> and </w:t>
      </w:r>
      <w:r w:rsidR="007A0F7C" w:rsidRPr="003C0E2F">
        <w:t>IL-8</w:t>
      </w:r>
      <w:r w:rsidRPr="003C0E2F">
        <w:t xml:space="preserve"> production primary dendritic cells in influenza induced cytokine expression </w:t>
      </w:r>
      <w:sdt>
        <w:sdtPr>
          <w:tag w:val="MENDELEY_CITATION_v3_eyJjaXRhdGlvbklEIjoiTUVOREVMRVlfQ0lUQVRJT05fODc5M2U1ZWItZmI3YS00MGFkLTk5YzYtMTI4M2Y3NjcwYzFk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
          <w:id w:val="1975480170"/>
          <w:placeholder>
            <w:docPart w:val="DefaultPlaceholder_-1854013440"/>
          </w:placeholder>
        </w:sdtPr>
        <w:sdtEndPr/>
        <w:sdtContent>
          <w:r w:rsidR="00F257B9">
            <w:rPr>
              <w:rFonts w:eastAsia="Times New Roman"/>
            </w:rPr>
            <w:t>(Perrin-</w:t>
          </w:r>
          <w:proofErr w:type="spellStart"/>
          <w:r w:rsidR="00F257B9">
            <w:rPr>
              <w:rFonts w:eastAsia="Times New Roman"/>
            </w:rPr>
            <w:t>Cocon</w:t>
          </w:r>
          <w:proofErr w:type="spellEnd"/>
          <w:r w:rsidR="00F257B9">
            <w:rPr>
              <w:rFonts w:eastAsia="Times New Roman"/>
            </w:rPr>
            <w:t xml:space="preserve"> </w:t>
          </w:r>
          <w:r w:rsidR="00F257B9">
            <w:rPr>
              <w:rFonts w:eastAsia="Times New Roman"/>
              <w:i/>
              <w:iCs/>
            </w:rPr>
            <w:t>et al.</w:t>
          </w:r>
          <w:r w:rsidR="00F257B9">
            <w:rPr>
              <w:rFonts w:eastAsia="Times New Roman"/>
            </w:rPr>
            <w:t>, 2017)</w:t>
          </w:r>
        </w:sdtContent>
      </w:sdt>
      <w:r w:rsidRPr="003C0E2F">
        <w:t xml:space="preserve">. Further to this, FP7 was shown to protect against LPS induced motoneuronal death in a mouse derived ALS model </w:t>
      </w:r>
      <w:sdt>
        <w:sdtPr>
          <w:tag w:val="MENDELEY_CITATION_v3_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"/>
          <w:id w:val="387616084"/>
          <w:placeholder>
            <w:docPart w:val="DefaultPlaceholder_-1854013440"/>
          </w:placeholder>
        </w:sdtPr>
        <w:sdtEndPr/>
        <w:sdtContent>
          <w:r w:rsidR="00F257B9">
            <w:rPr>
              <w:rFonts w:eastAsia="Times New Roman"/>
            </w:rPr>
            <w:t xml:space="preserve">(de Paola </w:t>
          </w:r>
          <w:r w:rsidR="00F257B9">
            <w:rPr>
              <w:rFonts w:eastAsia="Times New Roman"/>
              <w:i/>
              <w:iCs/>
            </w:rPr>
            <w:t>et al.</w:t>
          </w:r>
          <w:r w:rsidR="00F257B9">
            <w:rPr>
              <w:rFonts w:eastAsia="Times New Roman"/>
            </w:rPr>
            <w:t>, 2016)</w:t>
          </w:r>
        </w:sdtContent>
      </w:sdt>
      <w:r w:rsidRPr="003C0E2F">
        <w:t xml:space="preserve">. FP12 represent an alternative mimetic molecule with similar structure and activity to FP7. Data obtained here suggests that FP12 may also be of value for investigation further in primary and </w:t>
      </w:r>
      <w:r w:rsidRPr="003C0E2F">
        <w:rPr>
          <w:i/>
          <w:iCs/>
        </w:rPr>
        <w:t>in vivo</w:t>
      </w:r>
      <w:r w:rsidRPr="003C0E2F">
        <w:t xml:space="preserve"> models. This provides growing amount of evidence towards the potential of FP7 and FP12 as potent TLR4 antagonists. As such, both FP7 and FP12 represent good candidates for investigations into treatment of inflammatory</w:t>
      </w:r>
      <w:r w:rsidR="00EF3181" w:rsidRPr="003C0E2F">
        <w:t xml:space="preserve"> </w:t>
      </w:r>
      <w:r w:rsidRPr="003C0E2F">
        <w:t>based diseases.</w:t>
      </w:r>
    </w:p>
    <w:p w14:paraId="403A9555" w14:textId="77777777" w:rsidR="00D43124" w:rsidRPr="003C0E2F" w:rsidRDefault="00D43124" w:rsidP="00D43124"/>
    <w:p w14:paraId="3FE983A1" w14:textId="77777777" w:rsidR="00520DA7" w:rsidRPr="003C0E2F" w:rsidRDefault="00520DA7" w:rsidP="00BE5236">
      <w:r w:rsidRPr="003C0E2F">
        <w:br w:type="page"/>
      </w:r>
    </w:p>
    <w:p w14:paraId="7F777006" w14:textId="67E10E2B" w:rsidR="00553A35" w:rsidRPr="003C0E2F" w:rsidRDefault="00553A35" w:rsidP="00BE5236">
      <w:pPr>
        <w:pStyle w:val="Heading2"/>
      </w:pPr>
      <w:r w:rsidRPr="003C0E2F">
        <w:lastRenderedPageBreak/>
        <w:t xml:space="preserve"> </w:t>
      </w:r>
      <w:bookmarkStart w:id="959" w:name="_Toc80013791"/>
      <w:bookmarkStart w:id="960" w:name="_Toc82882411"/>
      <w:r w:rsidRPr="003C0E2F">
        <w:t>FP7 negatively regulates TLR4 signalling in response to ligands of sterile Inflammation</w:t>
      </w:r>
      <w:bookmarkEnd w:id="959"/>
      <w:bookmarkEnd w:id="960"/>
    </w:p>
    <w:p w14:paraId="58409712" w14:textId="326BF079" w:rsidR="00621C78" w:rsidRPr="003C0E2F" w:rsidRDefault="00621C78" w:rsidP="00621C78">
      <w:r w:rsidRPr="003C0E2F">
        <w:t xml:space="preserve">Atherosclerosis is characterised by endothelial dysfunction and accumulation of lipids which lead to a sustained inflammatory response and recruitment of various immune cells into arterial walls </w:t>
      </w:r>
      <w:sdt>
        <w:sdtPr>
          <w:tag w:val="MENDELEY_CITATION_v3_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"/>
          <w:id w:val="-604729414"/>
          <w:placeholder>
            <w:docPart w:val="DefaultPlaceholder_-1854013440"/>
          </w:placeholder>
        </w:sdtPr>
        <w:sdtEndPr/>
        <w:sdtContent>
          <w:r w:rsidR="00F257B9">
            <w:rPr>
              <w:rFonts w:eastAsia="Times New Roman"/>
            </w:rPr>
            <w:t xml:space="preserve">(Shimada </w:t>
          </w:r>
          <w:r w:rsidR="00F257B9">
            <w:rPr>
              <w:rFonts w:eastAsia="Times New Roman"/>
              <w:i/>
              <w:iCs/>
            </w:rPr>
            <w:t>et al.</w:t>
          </w:r>
          <w:r w:rsidR="00F257B9">
            <w:rPr>
              <w:rFonts w:eastAsia="Times New Roman"/>
            </w:rPr>
            <w:t>, 2012)</w:t>
          </w:r>
        </w:sdtContent>
      </w:sdt>
      <w:r w:rsidR="0027708C" w:rsidRPr="003C0E2F">
        <w:t xml:space="preserve">. </w:t>
      </w:r>
      <w:proofErr w:type="spellStart"/>
      <w:r w:rsidR="001A2988" w:rsidRPr="003C0E2F">
        <w:t>OxLDL</w:t>
      </w:r>
      <w:proofErr w:type="spellEnd"/>
      <w:r w:rsidRPr="003C0E2F">
        <w:t xml:space="preserve"> in atherosclerotic plaques can be endocytosed by </w:t>
      </w:r>
      <w:r w:rsidR="008F561F" w:rsidRPr="003C0E2F">
        <w:t>macrophage</w:t>
      </w:r>
      <w:r w:rsidRPr="003C0E2F">
        <w:t xml:space="preserve">s and leads to formation of foam cells. While TLR4 activation is known to play a part in progression of atherosclerosis, </w:t>
      </w:r>
      <w:proofErr w:type="gramStart"/>
      <w:r w:rsidRPr="003C0E2F">
        <w:t>the means by which</w:t>
      </w:r>
      <w:proofErr w:type="gramEnd"/>
      <w:r w:rsidRPr="003C0E2F">
        <w:t xml:space="preserve"> this is achieved is not clear. Sterile ligands have been proposed as a possible means by which TLR4 may be activated within atherosclerotic plaques. In this regard, </w:t>
      </w:r>
      <w:proofErr w:type="spellStart"/>
      <w:r w:rsidR="001A2988" w:rsidRPr="003C0E2F">
        <w:t>oxLDL</w:t>
      </w:r>
      <w:proofErr w:type="spellEnd"/>
      <w:r w:rsidRPr="003C0E2F">
        <w:t xml:space="preserve"> has been shown to activate TLR4 associated </w:t>
      </w:r>
      <w:r w:rsidR="00623C8F" w:rsidRPr="003C0E2F">
        <w:t>signalling mediator</w:t>
      </w:r>
      <w:r w:rsidRPr="003C0E2F">
        <w:t xml:space="preserve"> and downstream proinflammatory protein production </w:t>
      </w:r>
      <w:sdt>
        <w:sdtPr>
          <w:tag w:val="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"/>
          <w:id w:val="-1762125593"/>
          <w:placeholder>
            <w:docPart w:val="DefaultPlaceholder_-1854013440"/>
          </w:placeholder>
        </w:sdtPr>
        <w:sdtEndPr/>
        <w:sdtContent>
          <w:r w:rsidR="00F257B9">
            <w:rPr>
              <w:rFonts w:eastAsia="Times New Roman"/>
            </w:rPr>
            <w:t xml:space="preserve">(Chávez-Sánchez </w:t>
          </w:r>
          <w:r w:rsidR="00F257B9">
            <w:rPr>
              <w:rFonts w:eastAsia="Times New Roman"/>
              <w:i/>
              <w:iCs/>
            </w:rPr>
            <w:t>et al.</w:t>
          </w:r>
          <w:r w:rsidR="00F257B9">
            <w:rPr>
              <w:rFonts w:eastAsia="Times New Roman"/>
            </w:rPr>
            <w:t xml:space="preserve">, 2014; </w:t>
          </w:r>
          <w:proofErr w:type="spellStart"/>
          <w:r w:rsidR="00F257B9">
            <w:rPr>
              <w:rFonts w:eastAsia="Times New Roman"/>
            </w:rPr>
            <w:t>Kiyan</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r w:rsidRPr="003C0E2F">
        <w:t xml:space="preserve">. As such, antagonistic </w:t>
      </w:r>
      <w:r w:rsidR="008F561F" w:rsidRPr="003C0E2F">
        <w:t>effect</w:t>
      </w:r>
      <w:r w:rsidRPr="003C0E2F">
        <w:t xml:space="preserve">s on TLR4 response to </w:t>
      </w:r>
      <w:proofErr w:type="spellStart"/>
      <w:r w:rsidR="001A2988" w:rsidRPr="003C0E2F">
        <w:t>oxLDL</w:t>
      </w:r>
      <w:proofErr w:type="spellEnd"/>
      <w:r w:rsidRPr="003C0E2F">
        <w:t xml:space="preserve"> is of interest.</w:t>
      </w:r>
    </w:p>
    <w:p w14:paraId="40F06DF9" w14:textId="4DC5F964" w:rsidR="00621C78" w:rsidRPr="003C0E2F" w:rsidRDefault="00621C78" w:rsidP="00621C78">
      <w:r w:rsidRPr="003C0E2F">
        <w:t>Previous data suggested that FP7 can downregulate LPS</w:t>
      </w:r>
      <w:r w:rsidR="00351839" w:rsidRPr="003C0E2F">
        <w:t>-</w:t>
      </w:r>
      <w:r w:rsidR="000A1BFB" w:rsidRPr="003C0E2F">
        <w:t>induced</w:t>
      </w:r>
      <w:r w:rsidRPr="003C0E2F">
        <w:t xml:space="preserve"> proinflammatory signalling</w:t>
      </w:r>
      <w:r w:rsidR="00A72002" w:rsidRPr="003C0E2F">
        <w:t xml:space="preserve"> </w:t>
      </w:r>
      <w:sdt>
        <w:sdtPr>
          <w:rPr>
            <w:color w:val="000000"/>
          </w:rPr>
          <w:tag w:val="MENDELEY_CITATION_v3_eyJjaXRhdGlvbklEIjoiTUVOREVMRVlfQ0lUQVRJT05fN2UzODhlOGUtOGZiMy00ODVmLTg0MDYtOTVkOTJkOGVmODI3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LH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"/>
          <w:id w:val="-2096855162"/>
          <w:placeholder>
            <w:docPart w:val="F127AD57D51640DAB669AA6C46DB36D3"/>
          </w:placeholder>
        </w:sdtPr>
        <w:sdtEndPr/>
        <w:sdtContent>
          <w:r w:rsidR="00F257B9" w:rsidRPr="00F257B9">
            <w:rPr>
              <w:rFonts w:eastAsia="Times New Roman"/>
              <w:color w:val="000000"/>
            </w:rPr>
            <w:t>(</w:t>
          </w:r>
          <w:proofErr w:type="spellStart"/>
          <w:r w:rsidR="00F257B9" w:rsidRPr="00F257B9">
            <w:rPr>
              <w:rFonts w:eastAsia="Times New Roman"/>
              <w:color w:val="000000"/>
            </w:rPr>
            <w:t>Cighetti</w:t>
          </w:r>
          <w:proofErr w:type="spellEnd"/>
          <w:r w:rsidR="00F257B9" w:rsidRPr="00F257B9">
            <w:rPr>
              <w:rFonts w:eastAsia="Times New Roman"/>
              <w:color w:val="000000"/>
            </w:rPr>
            <w:t xml:space="preserve"> et al., 2014; </w:t>
          </w:r>
          <w:proofErr w:type="spellStart"/>
          <w:r w:rsidR="00F257B9" w:rsidRPr="00F257B9">
            <w:rPr>
              <w:rFonts w:eastAsia="Times New Roman"/>
              <w:color w:val="000000"/>
            </w:rPr>
            <w:t>Facchini</w:t>
          </w:r>
          <w:proofErr w:type="spellEnd"/>
          <w:r w:rsidR="00F257B9" w:rsidRPr="00F257B9">
            <w:rPr>
              <w:rFonts w:eastAsia="Times New Roman"/>
              <w:color w:val="000000"/>
            </w:rPr>
            <w:t xml:space="preserve"> et al., 2018)</w:t>
          </w:r>
        </w:sdtContent>
      </w:sdt>
      <w:r w:rsidRPr="003C0E2F">
        <w:t xml:space="preserve">. However, endogenous ligands such as </w:t>
      </w:r>
      <w:proofErr w:type="spellStart"/>
      <w:r w:rsidR="001A2988" w:rsidRPr="003C0E2F">
        <w:t>oxLDL</w:t>
      </w:r>
      <w:proofErr w:type="spellEnd"/>
      <w:r w:rsidRPr="003C0E2F">
        <w:t xml:space="preserve"> may activate the inflammatory response via different mechanisms to LPS, involving receptor clusters and activation of alternative pathways </w:t>
      </w:r>
      <w:sdt>
        <w:sdtPr>
          <w:tag w:val="MENDELEY_CITATION_v3_eyJjaXRhdGlvbklEIjoiTUVOREVMRVlfQ0lUQVRJT05fNGE3Y2VmMGYtZDAzNy00ODI5LTllMGEtYTk2NzY2ZmEwY2Ux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"/>
          <w:id w:val="-397207153"/>
          <w:placeholder>
            <w:docPart w:val="DefaultPlaceholder_-1854013440"/>
          </w:placeholder>
        </w:sdtPr>
        <w:sdtEndPr/>
        <w:sdtContent>
          <w:r w:rsidR="00F257B9">
            <w:rPr>
              <w:rFonts w:eastAsia="Times New Roman"/>
            </w:rPr>
            <w:t xml:space="preserve">(Choi </w:t>
          </w:r>
          <w:r w:rsidR="00F257B9">
            <w:rPr>
              <w:rFonts w:eastAsia="Times New Roman"/>
              <w:i/>
              <w:iCs/>
            </w:rPr>
            <w:t>et al.</w:t>
          </w:r>
          <w:r w:rsidR="00F257B9">
            <w:rPr>
              <w:rFonts w:eastAsia="Times New Roman"/>
            </w:rPr>
            <w:t xml:space="preserve">, 2012; Chávez-Sánchez </w:t>
          </w:r>
          <w:r w:rsidR="00F257B9">
            <w:rPr>
              <w:rFonts w:eastAsia="Times New Roman"/>
              <w:i/>
              <w:iCs/>
            </w:rPr>
            <w:t>et al.</w:t>
          </w:r>
          <w:r w:rsidR="00F257B9">
            <w:rPr>
              <w:rFonts w:eastAsia="Times New Roman"/>
            </w:rPr>
            <w:t>, 2014)</w:t>
          </w:r>
        </w:sdtContent>
      </w:sdt>
      <w:r w:rsidRPr="003C0E2F">
        <w:t>. FP7 has been proposed to protect mice from influenza lethality through blocking TLR4</w:t>
      </w:r>
      <w:r w:rsidR="00A9277D" w:rsidRPr="003C0E2F">
        <w:t>-</w:t>
      </w:r>
      <w:r w:rsidR="009E0322" w:rsidRPr="003C0E2F">
        <w:t>dependent</w:t>
      </w:r>
      <w:r w:rsidRPr="003C0E2F">
        <w:t xml:space="preserve"> sterile inflammation caused by DAMPs such as </w:t>
      </w:r>
      <w:proofErr w:type="spellStart"/>
      <w:r w:rsidRPr="003C0E2F">
        <w:t>oxPAPC</w:t>
      </w:r>
      <w:proofErr w:type="spellEnd"/>
      <w:r w:rsidRPr="003C0E2F">
        <w:t xml:space="preserve"> and HMGB1 </w:t>
      </w:r>
      <w:sdt>
        <w:sdtPr>
          <w:tag w:val="MENDELEY_CITATION_v3_eyJjaXRhdGlvbklEIjoiTUVOREVMRVlfQ0lUQVRJT05fOGJmZmNiMWUtMjZjZS00NjYxLWE1MTgtOGRhZjhlNjU1NWJm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
          <w:id w:val="-1371988090"/>
          <w:placeholder>
            <w:docPart w:val="DefaultPlaceholder_-1854013440"/>
          </w:placeholder>
        </w:sdtPr>
        <w:sdtEndPr/>
        <w:sdtContent>
          <w:r w:rsidR="00F257B9">
            <w:rPr>
              <w:rFonts w:eastAsia="Times New Roman"/>
            </w:rPr>
            <w:t>(Perrin-</w:t>
          </w:r>
          <w:proofErr w:type="spellStart"/>
          <w:r w:rsidR="00F257B9">
            <w:rPr>
              <w:rFonts w:eastAsia="Times New Roman"/>
            </w:rPr>
            <w:t>Cocon</w:t>
          </w:r>
          <w:proofErr w:type="spellEnd"/>
          <w:r w:rsidR="00F257B9">
            <w:rPr>
              <w:rFonts w:eastAsia="Times New Roman"/>
            </w:rPr>
            <w:t xml:space="preserve"> </w:t>
          </w:r>
          <w:r w:rsidR="00F257B9">
            <w:rPr>
              <w:rFonts w:eastAsia="Times New Roman"/>
              <w:i/>
              <w:iCs/>
            </w:rPr>
            <w:t>et al.</w:t>
          </w:r>
          <w:r w:rsidR="00F257B9">
            <w:rPr>
              <w:rFonts w:eastAsia="Times New Roman"/>
            </w:rPr>
            <w:t>, 2017)</w:t>
          </w:r>
        </w:sdtContent>
      </w:sdt>
      <w:r w:rsidRPr="003C0E2F">
        <w:t>. Oxidised lipids may play an adverse role within the body and disease and can contribute to angiogenesi</w:t>
      </w:r>
      <w:r w:rsidR="0009156C" w:rsidRPr="003C0E2F">
        <w:t>s f</w:t>
      </w:r>
      <w:r w:rsidR="00F80E29" w:rsidRPr="003C0E2F">
        <w:t>orm</w:t>
      </w:r>
      <w:r w:rsidRPr="003C0E2F">
        <w:t xml:space="preserve">ation of foam cells which build up in atherosclerotic plaque </w:t>
      </w:r>
      <w:sdt>
        <w:sdtPr>
          <w:rPr>
            <w:color w:val="000000"/>
          </w:rPr>
          <w:tag w:val="MENDELEY_CITATION_v3_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"/>
          <w:id w:val="-688059436"/>
          <w:placeholder>
            <w:docPart w:val="DefaultPlaceholder_-1854013440"/>
          </w:placeholder>
        </w:sdtPr>
        <w:sdtEndPr/>
        <w:sdtContent>
          <w:r w:rsidR="00F257B9" w:rsidRPr="00F257B9">
            <w:rPr>
              <w:color w:val="000000"/>
            </w:rPr>
            <w:t xml:space="preserve">(Miller and </w:t>
          </w:r>
          <w:proofErr w:type="spellStart"/>
          <w:r w:rsidR="00F257B9" w:rsidRPr="00F257B9">
            <w:rPr>
              <w:color w:val="000000"/>
            </w:rPr>
            <w:t>Shyy</w:t>
          </w:r>
          <w:proofErr w:type="spellEnd"/>
          <w:r w:rsidR="00F257B9" w:rsidRPr="00F257B9">
            <w:rPr>
              <w:color w:val="000000"/>
            </w:rPr>
            <w:t>, 2017)</w:t>
          </w:r>
        </w:sdtContent>
      </w:sdt>
      <w:r w:rsidR="0027708C" w:rsidRPr="003C0E2F">
        <w:t xml:space="preserve">. </w:t>
      </w:r>
      <w:proofErr w:type="spellStart"/>
      <w:r w:rsidR="001A2988" w:rsidRPr="003C0E2F">
        <w:t>OxLDL</w:t>
      </w:r>
      <w:proofErr w:type="spellEnd"/>
      <w:r w:rsidRPr="003C0E2F">
        <w:t xml:space="preserve"> have been shown to upregulate TLR4-</w:t>
      </w:r>
      <w:r w:rsidR="009E0322" w:rsidRPr="003C0E2F">
        <w:t>dependent</w:t>
      </w:r>
      <w:r w:rsidRPr="003C0E2F">
        <w:t xml:space="preserve"> signalling and may function via alternate activation mechanisms such as heterodimerisation of TLR4 and other TLRs and CD36 </w:t>
      </w:r>
      <w:sdt>
        <w:sdtPr>
          <w:tag w:val="MENDELEY_CITATION_v3_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"/>
          <w:id w:val="-776789068"/>
          <w:placeholder>
            <w:docPart w:val="DefaultPlaceholder_-1854013440"/>
          </w:placeholder>
        </w:sdtPr>
        <w:sdtEndPr/>
        <w:sdtContent>
          <w:r w:rsidR="00F257B9">
            <w:rPr>
              <w:rFonts w:eastAsia="Times New Roman"/>
            </w:rPr>
            <w:t xml:space="preserve">(Stewart </w:t>
          </w:r>
          <w:r w:rsidR="00F257B9">
            <w:rPr>
              <w:rFonts w:eastAsia="Times New Roman"/>
              <w:i/>
              <w:iCs/>
            </w:rPr>
            <w:t>et al.</w:t>
          </w:r>
          <w:r w:rsidR="00F257B9">
            <w:rPr>
              <w:rFonts w:eastAsia="Times New Roman"/>
            </w:rPr>
            <w:t>, 2010)</w:t>
          </w:r>
        </w:sdtContent>
      </w:sdt>
      <w:r w:rsidRPr="003C0E2F">
        <w:t>. As such, it was necessary to translate findings from LPS related studies into a model of sterile inflammation relevant for cardiovascular disease.</w:t>
      </w:r>
    </w:p>
    <w:p w14:paraId="62B7BA87" w14:textId="5357975F" w:rsidR="00621C78" w:rsidRPr="003C0E2F" w:rsidRDefault="00621C78" w:rsidP="00621C78">
      <w:r w:rsidRPr="003C0E2F">
        <w:t xml:space="preserve">The method by which </w:t>
      </w:r>
      <w:proofErr w:type="spellStart"/>
      <w:r w:rsidR="001A2988" w:rsidRPr="003C0E2F">
        <w:t>oxLDL</w:t>
      </w:r>
      <w:proofErr w:type="spellEnd"/>
      <w:r w:rsidRPr="003C0E2F">
        <w:t xml:space="preserve"> is produced may result in different products and subsequently, a different </w:t>
      </w:r>
      <w:r w:rsidR="008F561F" w:rsidRPr="003C0E2F">
        <w:t>effect</w:t>
      </w:r>
      <w:r w:rsidRPr="003C0E2F">
        <w:t xml:space="preserve"> of the product on TLR4 signalling </w:t>
      </w:r>
      <w:sdt>
        <w:sdtPr>
          <w:tag w:val="MENDELEY_CITATION_v3_eyJjaXRhdGlvbklEIjoiTUVOREVMRVlfQ0lUQVRJT05fYzEzOWU1YmEtNGZmMC00NDY3LTg2OWMtOGE2ODVjOTNjY2Fl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"/>
          <w:id w:val="560989705"/>
          <w:placeholder>
            <w:docPart w:val="DefaultPlaceholder_-1854013440"/>
          </w:placeholder>
        </w:sdtPr>
        <w:sdtEndPr/>
        <w:sdtContent>
          <w:r w:rsidR="00F257B9">
            <w:rPr>
              <w:rFonts w:eastAsia="Times New Roman"/>
            </w:rPr>
            <w:t xml:space="preserve">(Choi </w:t>
          </w:r>
          <w:r w:rsidR="00F257B9">
            <w:rPr>
              <w:rFonts w:eastAsia="Times New Roman"/>
              <w:i/>
              <w:iCs/>
            </w:rPr>
            <w:t>et al.</w:t>
          </w:r>
          <w:r w:rsidR="00F257B9">
            <w:rPr>
              <w:rFonts w:eastAsia="Times New Roman"/>
            </w:rPr>
            <w:t xml:space="preserve">, 2012; Chávez-Sánchez </w:t>
          </w:r>
          <w:r w:rsidR="00F257B9">
            <w:rPr>
              <w:rFonts w:eastAsia="Times New Roman"/>
              <w:i/>
              <w:iCs/>
            </w:rPr>
            <w:t>et al.</w:t>
          </w:r>
          <w:r w:rsidR="00F257B9">
            <w:rPr>
              <w:rFonts w:eastAsia="Times New Roman"/>
            </w:rPr>
            <w:t>, 2014)</w:t>
          </w:r>
        </w:sdtContent>
      </w:sdt>
      <w:r w:rsidRPr="003C0E2F">
        <w:t xml:space="preserve">. Two different forms of </w:t>
      </w:r>
      <w:proofErr w:type="spellStart"/>
      <w:r w:rsidR="001A2988" w:rsidRPr="003C0E2F">
        <w:t>oxLDL</w:t>
      </w:r>
      <w:proofErr w:type="spellEnd"/>
      <w:r w:rsidRPr="003C0E2F">
        <w:t xml:space="preserve"> were produced using methods previously described involving dialysis </w:t>
      </w:r>
      <w:r w:rsidRPr="003C0E2F">
        <w:lastRenderedPageBreak/>
        <w:t xml:space="preserve">against copper sulphate at different temperatures </w:t>
      </w:r>
      <w:sdt>
        <w:sdtPr>
          <w:rPr>
            <w:color w:val="000000"/>
          </w:rPr>
          <w:tag w:val="MENDELEY_CITATION_v3_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"/>
          <w:id w:val="275536450"/>
          <w:placeholder>
            <w:docPart w:val="DefaultPlaceholder_-1854013440"/>
          </w:placeholder>
        </w:sdtPr>
        <w:sdtEndPr/>
        <w:sdtContent>
          <w:r w:rsidR="00F257B9" w:rsidRPr="00F257B9">
            <w:rPr>
              <w:color w:val="000000"/>
            </w:rPr>
            <w:t xml:space="preserve">(Gerry, Satchell and </w:t>
          </w:r>
          <w:proofErr w:type="spellStart"/>
          <w:r w:rsidR="00F257B9" w:rsidRPr="00F257B9">
            <w:rPr>
              <w:color w:val="000000"/>
            </w:rPr>
            <w:t>Leake</w:t>
          </w:r>
          <w:proofErr w:type="spellEnd"/>
          <w:r w:rsidR="00F257B9" w:rsidRPr="00F257B9">
            <w:rPr>
              <w:color w:val="000000"/>
            </w:rPr>
            <w:t>, 2008)</w:t>
          </w:r>
        </w:sdtContent>
      </w:sdt>
      <w:r w:rsidRPr="003C0E2F">
        <w:t xml:space="preserve">. Native LDL was used as an additional control which should not activate TLR4. MTT assay was carried out to determine any cytotoxic </w:t>
      </w:r>
      <w:r w:rsidR="008F561F" w:rsidRPr="003C0E2F">
        <w:t>effect</w:t>
      </w:r>
      <w:r w:rsidRPr="003C0E2F">
        <w:t xml:space="preserve">s of </w:t>
      </w:r>
      <w:proofErr w:type="spellStart"/>
      <w:r w:rsidR="001A2988" w:rsidRPr="003C0E2F">
        <w:t>oxLDL</w:t>
      </w:r>
      <w:proofErr w:type="spellEnd"/>
      <w:r w:rsidRPr="003C0E2F">
        <w:t xml:space="preserve"> and suggested both were well tolerated in </w:t>
      </w:r>
      <w:r w:rsidR="008F561F" w:rsidRPr="003C0E2F">
        <w:t>monocyte</w:t>
      </w:r>
      <w:r w:rsidRPr="003C0E2F">
        <w:t xml:space="preserve">s. However, </w:t>
      </w:r>
      <w:r w:rsidR="001A2988" w:rsidRPr="003C0E2F">
        <w:t>oxysterol-rich</w:t>
      </w:r>
      <w:r w:rsidRPr="003C0E2F">
        <w:t xml:space="preserve"> </w:t>
      </w:r>
      <w:proofErr w:type="spellStart"/>
      <w:r w:rsidR="001A2988" w:rsidRPr="003C0E2F">
        <w:t>oxLDL</w:t>
      </w:r>
      <w:proofErr w:type="spellEnd"/>
      <w:r w:rsidRPr="003C0E2F">
        <w:t xml:space="preserve"> appeared to reduce cell viability at higher concentrations in </w:t>
      </w:r>
      <w:r w:rsidR="008F561F" w:rsidRPr="003C0E2F">
        <w:t>macrophage</w:t>
      </w:r>
      <w:r w:rsidRPr="003C0E2F">
        <w:t xml:space="preserve">s. This resulted in lower concentrations of oxysterol-rich LDL being used in later investigation than hydroperoxide-rich </w:t>
      </w:r>
      <w:proofErr w:type="spellStart"/>
      <w:r w:rsidR="001A2988" w:rsidRPr="003C0E2F">
        <w:t>oxLDL</w:t>
      </w:r>
      <w:proofErr w:type="spellEnd"/>
      <w:r w:rsidRPr="003C0E2F">
        <w:t>.</w:t>
      </w:r>
    </w:p>
    <w:p w14:paraId="3D7BBB6A" w14:textId="621236FA" w:rsidR="00621C78" w:rsidRPr="003C0E2F" w:rsidRDefault="00621C78" w:rsidP="00621C78">
      <w:r w:rsidRPr="003C0E2F">
        <w:t xml:space="preserve">For cytokine analysis in response to </w:t>
      </w:r>
      <w:proofErr w:type="spellStart"/>
      <w:r w:rsidR="001A2988" w:rsidRPr="003C0E2F">
        <w:t>oxLDL</w:t>
      </w:r>
      <w:proofErr w:type="spellEnd"/>
      <w:r w:rsidRPr="003C0E2F">
        <w:t xml:space="preserve">, two different concentrations of oxysterol and three concentrations of </w:t>
      </w:r>
      <w:r w:rsidR="001A2988" w:rsidRPr="003C0E2F">
        <w:t>hydroperoxide-rich</w:t>
      </w:r>
      <w:r w:rsidRPr="003C0E2F">
        <w:t xml:space="preserve"> </w:t>
      </w:r>
      <w:proofErr w:type="spellStart"/>
      <w:r w:rsidR="001A2988" w:rsidRPr="003C0E2F">
        <w:t>oxLDL</w:t>
      </w:r>
      <w:proofErr w:type="spellEnd"/>
      <w:r w:rsidRPr="003C0E2F">
        <w:t xml:space="preserve"> were used. Results obtained suggest that both oxysterol and </w:t>
      </w:r>
      <w:r w:rsidR="001A2988" w:rsidRPr="003C0E2F">
        <w:t>hydroperoxide-rich</w:t>
      </w:r>
      <w:r w:rsidRPr="003C0E2F">
        <w:t xml:space="preserve"> </w:t>
      </w:r>
      <w:proofErr w:type="spellStart"/>
      <w:r w:rsidR="001A2988" w:rsidRPr="003C0E2F">
        <w:t>oxLDL</w:t>
      </w:r>
      <w:proofErr w:type="spellEnd"/>
      <w:r w:rsidRPr="003C0E2F">
        <w:t xml:space="preserve"> can initiate TLR4 induced cytokine production at 50μg/</w:t>
      </w:r>
      <w:r w:rsidR="00005854" w:rsidRPr="003C0E2F">
        <w:t xml:space="preserve">mL </w:t>
      </w:r>
      <w:r w:rsidRPr="003C0E2F">
        <w:t xml:space="preserve">or higher, which is downregulated when cells are exposed to FP7. IL-6, IL-8 and IL-1β production was significantly increased following </w:t>
      </w:r>
      <w:proofErr w:type="spellStart"/>
      <w:r w:rsidR="001A2988" w:rsidRPr="003C0E2F">
        <w:t>oxLDL</w:t>
      </w:r>
      <w:proofErr w:type="spellEnd"/>
      <w:r w:rsidRPr="003C0E2F">
        <w:t xml:space="preserve"> exposure, as has been shown previously </w:t>
      </w:r>
      <w:sdt>
        <w:sdtPr>
          <w:tag w:val="MENDELEY_CITATION_v3_eyJjaXRhdGlvbklEIjoiTUVOREVMRVlfQ0lUQVRJT05fNDk1Yzg1MTMtYWZjYS00MTczLWJmNjktNmM2NWY0MjZhY2M5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"/>
          <w:id w:val="-393361771"/>
          <w:placeholder>
            <w:docPart w:val="DefaultPlaceholder_-1854013440"/>
          </w:placeholder>
        </w:sdtPr>
        <w:sdtEndPr/>
        <w:sdtContent>
          <w:r w:rsidR="00F257B9">
            <w:rPr>
              <w:rFonts w:eastAsia="Times New Roman"/>
            </w:rPr>
            <w:t xml:space="preserve">(Miller </w:t>
          </w:r>
          <w:r w:rsidR="00F257B9">
            <w:rPr>
              <w:rFonts w:eastAsia="Times New Roman"/>
              <w:i/>
              <w:iCs/>
            </w:rPr>
            <w:t>et al.</w:t>
          </w:r>
          <w:r w:rsidR="00F257B9">
            <w:rPr>
              <w:rFonts w:eastAsia="Times New Roman"/>
            </w:rPr>
            <w:t xml:space="preserve">, 2012; Chávez-Sánchez </w:t>
          </w:r>
          <w:r w:rsidR="00F257B9">
            <w:rPr>
              <w:rFonts w:eastAsia="Times New Roman"/>
              <w:i/>
              <w:iCs/>
            </w:rPr>
            <w:t>et al.</w:t>
          </w:r>
          <w:r w:rsidR="00F257B9">
            <w:rPr>
              <w:rFonts w:eastAsia="Times New Roman"/>
            </w:rPr>
            <w:t>, 2014)</w:t>
          </w:r>
        </w:sdtContent>
      </w:sdt>
      <w:r w:rsidRPr="003C0E2F">
        <w:t>. Previous evidence suggests that reduction in TLR4/NF-</w:t>
      </w:r>
      <w:proofErr w:type="spellStart"/>
      <w:r w:rsidRPr="003C0E2F">
        <w:t>κB</w:t>
      </w:r>
      <w:proofErr w:type="spellEnd"/>
      <w:r w:rsidRPr="003C0E2F">
        <w:t xml:space="preserve"> and TLR4/MAPK pathways can reduce </w:t>
      </w:r>
      <w:proofErr w:type="spellStart"/>
      <w:r w:rsidR="001A2988" w:rsidRPr="003C0E2F">
        <w:t>oxLDL</w:t>
      </w:r>
      <w:proofErr w:type="spellEnd"/>
      <w:r w:rsidRPr="003C0E2F">
        <w:t xml:space="preserve"> induced cytokine production in THP-1 </w:t>
      </w:r>
      <w:r w:rsidR="008F561F" w:rsidRPr="003C0E2F">
        <w:t>macrophage</w:t>
      </w:r>
      <w:r w:rsidRPr="003C0E2F">
        <w:t xml:space="preserve">s </w:t>
      </w:r>
      <w:sdt>
        <w:sdtPr>
          <w:tag w:val="MENDELEY_CITATION_v3_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"/>
          <w:id w:val="746765354"/>
          <w:placeholder>
            <w:docPart w:val="DefaultPlaceholder_-1854013440"/>
          </w:placeholder>
        </w:sdtPr>
        <w:sdtEndPr/>
        <w:sdtContent>
          <w:r w:rsidR="00F257B9">
            <w:rPr>
              <w:rFonts w:eastAsia="Times New Roman"/>
            </w:rPr>
            <w:t xml:space="preserve">(Zhang </w:t>
          </w:r>
          <w:r w:rsidR="00F257B9">
            <w:rPr>
              <w:rFonts w:eastAsia="Times New Roman"/>
              <w:i/>
              <w:iCs/>
            </w:rPr>
            <w:t>et al.</w:t>
          </w:r>
          <w:r w:rsidR="00F257B9">
            <w:rPr>
              <w:rFonts w:eastAsia="Times New Roman"/>
            </w:rPr>
            <w:t>, 2015)</w:t>
          </w:r>
        </w:sdtContent>
      </w:sdt>
      <w:r w:rsidRPr="003C0E2F">
        <w:t xml:space="preserve">. FP7 has been shown </w:t>
      </w:r>
      <w:r w:rsidR="00FA4932" w:rsidRPr="003C0E2F">
        <w:t xml:space="preserve">here </w:t>
      </w:r>
      <w:r w:rsidRPr="003C0E2F">
        <w:t xml:space="preserve">to downregulate both </w:t>
      </w:r>
      <w:r w:rsidR="00274B79" w:rsidRPr="003C0E2F">
        <w:t>P65/NF-</w:t>
      </w:r>
      <w:proofErr w:type="spellStart"/>
      <w:r w:rsidR="00274B79" w:rsidRPr="003C0E2F">
        <w:t>κB</w:t>
      </w:r>
      <w:proofErr w:type="spellEnd"/>
      <w:r w:rsidR="00274B79" w:rsidRPr="003C0E2F">
        <w:t xml:space="preserve"> </w:t>
      </w:r>
      <w:r w:rsidRPr="003C0E2F">
        <w:t xml:space="preserve">and </w:t>
      </w:r>
      <w:r w:rsidR="00274B79" w:rsidRPr="003C0E2F">
        <w:t>P38</w:t>
      </w:r>
      <w:r w:rsidRPr="003C0E2F">
        <w:t xml:space="preserve"> MAPK</w:t>
      </w:r>
      <w:r w:rsidR="00FA4932" w:rsidRPr="003C0E2F">
        <w:t xml:space="preserve"> in response to LPS</w:t>
      </w:r>
      <w:r w:rsidR="00CD04F4" w:rsidRPr="003C0E2F">
        <w:t xml:space="preserve"> and are</w:t>
      </w:r>
      <w:r w:rsidRPr="003C0E2F">
        <w:t xml:space="preserve"> likely </w:t>
      </w:r>
      <w:r w:rsidR="00CD04F4" w:rsidRPr="003C0E2F">
        <w:t>to be suitable</w:t>
      </w:r>
      <w:r w:rsidRPr="003C0E2F">
        <w:t xml:space="preserve"> targets</w:t>
      </w:r>
      <w:r w:rsidR="00CD04F4" w:rsidRPr="003C0E2F">
        <w:t xml:space="preserve"> to measure</w:t>
      </w:r>
      <w:r w:rsidRPr="003C0E2F">
        <w:t xml:space="preserve"> by which FP7 can also prevent </w:t>
      </w:r>
      <w:proofErr w:type="spellStart"/>
      <w:r w:rsidR="001A2988" w:rsidRPr="003C0E2F">
        <w:t>oxLDL</w:t>
      </w:r>
      <w:proofErr w:type="spellEnd"/>
      <w:r w:rsidR="00A9277D" w:rsidRPr="003C0E2F">
        <w:t>-</w:t>
      </w:r>
      <w:r w:rsidR="009E0322" w:rsidRPr="003C0E2F">
        <w:t>dependent</w:t>
      </w:r>
      <w:r w:rsidRPr="003C0E2F">
        <w:t xml:space="preserve"> cytokine </w:t>
      </w:r>
      <w:r w:rsidR="00FA4932" w:rsidRPr="003C0E2F">
        <w:t>production</w:t>
      </w:r>
      <w:r w:rsidR="00CD04F4" w:rsidRPr="003C0E2F">
        <w:t>.</w:t>
      </w:r>
    </w:p>
    <w:p w14:paraId="4ED19A56" w14:textId="14530565" w:rsidR="00621C78" w:rsidRPr="003C0E2F" w:rsidRDefault="00621C78" w:rsidP="00621C78">
      <w:r w:rsidRPr="003C0E2F">
        <w:t xml:space="preserve">Interestingly, FP7 can bring cytokine production down to a level comparable to that seen in control samples in most cases despite potential involvement of alternate receptors besides TLR4. Previous experiments using TLR4 blocking antibodies did not produce as strong response in </w:t>
      </w:r>
      <w:proofErr w:type="spellStart"/>
      <w:r w:rsidR="001A2988" w:rsidRPr="003C0E2F">
        <w:t>oxLDL</w:t>
      </w:r>
      <w:proofErr w:type="spellEnd"/>
      <w:r w:rsidRPr="003C0E2F">
        <w:t xml:space="preserve"> stimulation </w:t>
      </w:r>
      <w:sdt>
        <w:sdtPr>
          <w:tag w:val="MENDELEY_CITATION_v3_eyJjaXRhdGlvbklEIjoiTUVOREVMRVlfQ0lUQVRJT05fZTNmYzFmZDItYzQzZC00ZmI2LWIwZmQtMDUwNjc2YjgzZGE2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V0sInByb3BlcnRpZXMiOnsibm90ZUluZGV4IjowfSwiaXNFZGl0ZWQiOmZhbHNlLCJtYW51YWxPdmVycmlkZSI6eyJpc01hbnVhbGx5T3ZlcnJpZGVuIjpmYWxzZSwiY2l0ZXByb2NUZXh0IjoiKENow6F2ZXotU8OhbmNoZXogPGk+ZXQgYWwuPC9pPiwgMjAxNCkiLCJtYW51YWxPdmVycmlkZVRleHQiOiIifX0="/>
          <w:id w:val="-1195923861"/>
          <w:placeholder>
            <w:docPart w:val="DefaultPlaceholder_-1854013440"/>
          </w:placeholder>
        </w:sdtPr>
        <w:sdtEndPr/>
        <w:sdtContent>
          <w:r w:rsidR="00F257B9">
            <w:rPr>
              <w:rFonts w:eastAsia="Times New Roman"/>
            </w:rPr>
            <w:t xml:space="preserve">(Chávez-Sánchez </w:t>
          </w:r>
          <w:r w:rsidR="00F257B9">
            <w:rPr>
              <w:rFonts w:eastAsia="Times New Roman"/>
              <w:i/>
              <w:iCs/>
            </w:rPr>
            <w:t>et al.</w:t>
          </w:r>
          <w:r w:rsidR="00F257B9">
            <w:rPr>
              <w:rFonts w:eastAsia="Times New Roman"/>
            </w:rPr>
            <w:t>, 2014)</w:t>
          </w:r>
        </w:sdtContent>
      </w:sdt>
      <w:r w:rsidRPr="003C0E2F">
        <w:t xml:space="preserve">. A 96.7-fold increase in IL-6 production was described following </w:t>
      </w:r>
      <w:proofErr w:type="spellStart"/>
      <w:r w:rsidR="001A2988" w:rsidRPr="003C0E2F">
        <w:t>oxLDL</w:t>
      </w:r>
      <w:proofErr w:type="spellEnd"/>
      <w:r w:rsidRPr="003C0E2F">
        <w:t xml:space="preserve"> stimulation with a 2-fold decrease when TLR4 was blocked, suggesting that </w:t>
      </w:r>
      <w:proofErr w:type="spellStart"/>
      <w:r w:rsidR="001A2988" w:rsidRPr="003C0E2F">
        <w:t>oxLDL</w:t>
      </w:r>
      <w:proofErr w:type="spellEnd"/>
      <w:r w:rsidRPr="003C0E2F">
        <w:t>-</w:t>
      </w:r>
      <w:r w:rsidR="009E0322" w:rsidRPr="003C0E2F">
        <w:t>dependent</w:t>
      </w:r>
      <w:r w:rsidRPr="003C0E2F">
        <w:t xml:space="preserve"> signalling does not rely entirely on TLR4 binding</w:t>
      </w:r>
      <w:r w:rsidR="00CD04F4" w:rsidRPr="003C0E2F">
        <w:t xml:space="preserve"> </w:t>
      </w:r>
      <w:sdt>
        <w:sdtPr>
          <w:tag w:val="MENDELEY_CITATION_v3_eyJjaXRhdGlvbklEIjoiTUVOREVMRVlfQ0lUQVRJT05fYjFjZjVlOWUtMmNmNy00ZTM3LWJmNTctN2ExMzAzNzliMzky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V0sInByb3BlcnRpZXMiOnsibm90ZUluZGV4IjowfSwiaXNFZGl0ZWQiOmZhbHNlLCJtYW51YWxPdmVycmlkZSI6eyJpc01hbnVhbGx5T3ZlcnJpZGVuIjpmYWxzZSwiY2l0ZXByb2NUZXh0IjoiKENow6F2ZXotU8OhbmNoZXogPGk+ZXQgYWwuPC9pPiwgMjAxNCkiLCJtYW51YWxPdmVycmlkZVRleHQiOiIifX0="/>
          <w:id w:val="-1022859798"/>
          <w:placeholder>
            <w:docPart w:val="DefaultPlaceholder_-1854013440"/>
          </w:placeholder>
        </w:sdtPr>
        <w:sdtEndPr/>
        <w:sdtContent>
          <w:r w:rsidR="00F257B9">
            <w:rPr>
              <w:rFonts w:eastAsia="Times New Roman"/>
            </w:rPr>
            <w:t xml:space="preserve">(Chávez-Sánchez </w:t>
          </w:r>
          <w:r w:rsidR="00F257B9">
            <w:rPr>
              <w:rFonts w:eastAsia="Times New Roman"/>
              <w:i/>
              <w:iCs/>
            </w:rPr>
            <w:t>et al.</w:t>
          </w:r>
          <w:r w:rsidR="00F257B9">
            <w:rPr>
              <w:rFonts w:eastAsia="Times New Roman"/>
            </w:rPr>
            <w:t>, 2014)</w:t>
          </w:r>
        </w:sdtContent>
      </w:sdt>
      <w:r w:rsidRPr="003C0E2F">
        <w:t xml:space="preserve">. As FP7 is thought to interact with the pocket of MD-2, it is possible that this is more important in facilitating other receptor interactions in </w:t>
      </w:r>
      <w:proofErr w:type="spellStart"/>
      <w:r w:rsidR="001A2988" w:rsidRPr="003C0E2F">
        <w:t>oxLDL</w:t>
      </w:r>
      <w:proofErr w:type="spellEnd"/>
      <w:r w:rsidRPr="003C0E2F">
        <w:t xml:space="preserve"> signalling than expected. MD-2 may therefore also be important in </w:t>
      </w:r>
      <w:r w:rsidRPr="003C0E2F">
        <w:lastRenderedPageBreak/>
        <w:t>heterodime</w:t>
      </w:r>
      <w:r w:rsidR="00D15B13" w:rsidRPr="003C0E2F">
        <w:t>r f</w:t>
      </w:r>
      <w:r w:rsidR="00F80E29" w:rsidRPr="003C0E2F">
        <w:t>orm</w:t>
      </w:r>
      <w:r w:rsidRPr="003C0E2F">
        <w:t xml:space="preserve">ation with TLR4 in response to </w:t>
      </w:r>
      <w:proofErr w:type="spellStart"/>
      <w:r w:rsidR="001A2988" w:rsidRPr="003C0E2F">
        <w:t>oxLDL</w:t>
      </w:r>
      <w:proofErr w:type="spellEnd"/>
      <w:r w:rsidRPr="003C0E2F">
        <w:t xml:space="preserve">. This could also suggest an alternate </w:t>
      </w:r>
      <w:r w:rsidR="008F561F" w:rsidRPr="003C0E2F">
        <w:t>effect</w:t>
      </w:r>
      <w:r w:rsidRPr="003C0E2F">
        <w:t xml:space="preserve"> of FP7 beyond competitive exclusion of ligands from the MD-2 pocket.</w:t>
      </w:r>
    </w:p>
    <w:p w14:paraId="6D0B126A" w14:textId="51080B39" w:rsidR="00553A35" w:rsidRPr="003C0E2F" w:rsidRDefault="00621C78" w:rsidP="00621C78">
      <w:r w:rsidRPr="003C0E2F">
        <w:t xml:space="preserve">At present, there is no other data for the </w:t>
      </w:r>
      <w:r w:rsidR="008F561F" w:rsidRPr="003C0E2F">
        <w:t>effect</w:t>
      </w:r>
      <w:r w:rsidRPr="003C0E2F">
        <w:t xml:space="preserve"> of FP7 in response to </w:t>
      </w:r>
      <w:proofErr w:type="spellStart"/>
      <w:r w:rsidR="001A2988" w:rsidRPr="003C0E2F">
        <w:t>oxLDL</w:t>
      </w:r>
      <w:proofErr w:type="spellEnd"/>
      <w:r w:rsidRPr="003C0E2F">
        <w:t xml:space="preserve"> activation of TLR4 signalling. Evidence collected here suggests that FP7 can negatively regulate TLR4 induced cytokine production following stimulation. Further investigation is required to understand the mechanisms by which TLR4 signalling is affected. Preliminary data suggests downregulation of </w:t>
      </w:r>
      <w:r w:rsidR="00274B79" w:rsidRPr="003C0E2F">
        <w:t>P65/NF-</w:t>
      </w:r>
      <w:proofErr w:type="spellStart"/>
      <w:r w:rsidR="00274B79" w:rsidRPr="003C0E2F">
        <w:t>κB</w:t>
      </w:r>
      <w:proofErr w:type="spellEnd"/>
      <w:r w:rsidR="00274B79" w:rsidRPr="003C0E2F">
        <w:t xml:space="preserve"> </w:t>
      </w:r>
      <w:r w:rsidRPr="003C0E2F">
        <w:t xml:space="preserve">and </w:t>
      </w:r>
      <w:r w:rsidR="00274B79" w:rsidRPr="003C0E2F">
        <w:t>P38</w:t>
      </w:r>
      <w:r w:rsidRPr="003C0E2F">
        <w:t xml:space="preserve"> MAPK activation may play a critical role in TLR4 signalling. However, other MAPKs, ERK and JNK pathways are also known to be activated in response to </w:t>
      </w:r>
      <w:proofErr w:type="spellStart"/>
      <w:r w:rsidR="001A2988" w:rsidRPr="003C0E2F">
        <w:t>oxLDL</w:t>
      </w:r>
      <w:proofErr w:type="spellEnd"/>
      <w:r w:rsidRPr="003C0E2F">
        <w:t xml:space="preserve"> </w:t>
      </w:r>
      <w:sdt>
        <w:sdtPr>
          <w:tag w:val="MENDELEY_CITATION_v3_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"/>
          <w:id w:val="-1116680150"/>
          <w:placeholder>
            <w:docPart w:val="DefaultPlaceholder_-1854013440"/>
          </w:placeholder>
        </w:sdtPr>
        <w:sdtEndPr/>
        <w:sdtContent>
          <w:r w:rsidR="00F257B9">
            <w:rPr>
              <w:rFonts w:eastAsia="Times New Roman"/>
            </w:rPr>
            <w:t xml:space="preserve">(Choi </w:t>
          </w:r>
          <w:r w:rsidR="00F257B9">
            <w:rPr>
              <w:rFonts w:eastAsia="Times New Roman"/>
              <w:i/>
              <w:iCs/>
            </w:rPr>
            <w:t>et al.</w:t>
          </w:r>
          <w:r w:rsidR="00F257B9">
            <w:rPr>
              <w:rFonts w:eastAsia="Times New Roman"/>
            </w:rPr>
            <w:t xml:space="preserve">, 2012; Zhang </w:t>
          </w:r>
          <w:r w:rsidR="00F257B9">
            <w:rPr>
              <w:rFonts w:eastAsia="Times New Roman"/>
              <w:i/>
              <w:iCs/>
            </w:rPr>
            <w:t>et al.</w:t>
          </w:r>
          <w:r w:rsidR="00F257B9">
            <w:rPr>
              <w:rFonts w:eastAsia="Times New Roman"/>
            </w:rPr>
            <w:t>, 2015)</w:t>
          </w:r>
        </w:sdtContent>
      </w:sdt>
      <w:r w:rsidRPr="003C0E2F">
        <w:t xml:space="preserve"> Preliminary evidence obtained here suggests FP7 may function as an antagonist of TLR4 in response to sterile inflammation, though further mechanistic studies are required</w:t>
      </w:r>
      <w:r w:rsidR="00553A35" w:rsidRPr="003C0E2F">
        <w:t>.</w:t>
      </w:r>
    </w:p>
    <w:p w14:paraId="5CCE4C0A" w14:textId="77777777" w:rsidR="00553A35" w:rsidRPr="003C0E2F" w:rsidRDefault="00553A35" w:rsidP="00BE5236">
      <w:r w:rsidRPr="003C0E2F">
        <w:br w:type="page"/>
      </w:r>
    </w:p>
    <w:p w14:paraId="5D735CCA" w14:textId="747A79BD" w:rsidR="00553A35" w:rsidRPr="003C0E2F" w:rsidRDefault="00553A35" w:rsidP="00BE5236">
      <w:pPr>
        <w:pStyle w:val="Heading2"/>
      </w:pPr>
      <w:bookmarkStart w:id="961" w:name="_Toc80013792"/>
      <w:bookmarkStart w:id="962" w:name="_Toc82882412"/>
      <w:r w:rsidRPr="003C0E2F">
        <w:lastRenderedPageBreak/>
        <w:t xml:space="preserve">Comparability of FP7 </w:t>
      </w:r>
      <w:r w:rsidR="008F561F" w:rsidRPr="003C0E2F">
        <w:t>effect</w:t>
      </w:r>
      <w:r w:rsidR="00F05EC1" w:rsidRPr="003C0E2F">
        <w:t>s</w:t>
      </w:r>
      <w:r w:rsidRPr="003C0E2F">
        <w:t xml:space="preserve"> between human and murine TLR4</w:t>
      </w:r>
      <w:bookmarkEnd w:id="961"/>
      <w:bookmarkEnd w:id="962"/>
      <w:r w:rsidRPr="003C0E2F">
        <w:tab/>
      </w:r>
    </w:p>
    <w:p w14:paraId="7729F505" w14:textId="485E83A5" w:rsidR="00621C78" w:rsidRPr="003C0E2F" w:rsidRDefault="00621C78" w:rsidP="00621C78">
      <w:r w:rsidRPr="003C0E2F">
        <w:t xml:space="preserve">While there is much conservation of TLR structure between species, slight variation in TLR4 may affect comparable functionality of the receptor. In some cases, modulators have been known to cause opposing </w:t>
      </w:r>
      <w:r w:rsidR="008F561F" w:rsidRPr="003C0E2F">
        <w:t>effect</w:t>
      </w:r>
      <w:r w:rsidRPr="003C0E2F">
        <w:t xml:space="preserve">s in mouse compared to human TLR4. Transfection of human MD-2 into mouse cell lines is possible and has been shown to enhance responsiveness to human ligands </w:t>
      </w:r>
      <w:sdt>
        <w:sdtPr>
          <w:tag w:val="MENDELEY_CITATION_v3_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"/>
          <w:id w:val="-1824883303"/>
          <w:placeholder>
            <w:docPart w:val="DefaultPlaceholder_-1854013440"/>
          </w:placeholder>
        </w:sdtPr>
        <w:sdtEndPr/>
        <w:sdtContent>
          <w:r w:rsidR="00F257B9">
            <w:rPr>
              <w:rFonts w:eastAsia="Times New Roman"/>
            </w:rPr>
            <w:t xml:space="preserve">(Akashi </w:t>
          </w:r>
          <w:r w:rsidR="00F257B9">
            <w:rPr>
              <w:rFonts w:eastAsia="Times New Roman"/>
              <w:i/>
              <w:iCs/>
            </w:rPr>
            <w:t>et al.</w:t>
          </w:r>
          <w:r w:rsidR="00F257B9">
            <w:rPr>
              <w:rFonts w:eastAsia="Times New Roman"/>
            </w:rPr>
            <w:t>, 2001)</w:t>
          </w:r>
        </w:sdtContent>
      </w:sdt>
      <w:r w:rsidRPr="003C0E2F">
        <w:t xml:space="preserve">. It is therefore important to consider the </w:t>
      </w:r>
      <w:r w:rsidRPr="003C0E2F">
        <w:rPr>
          <w:i/>
          <w:iCs/>
        </w:rPr>
        <w:t>in vivo</w:t>
      </w:r>
      <w:r w:rsidRPr="003C0E2F">
        <w:t xml:space="preserve"> model in which FP7 and FP12 compounds may be tested in in future and consider if adaptation may be required. In such cases, consideration may be made to use transgenic animals for </w:t>
      </w:r>
      <w:r w:rsidRPr="003C0E2F">
        <w:rPr>
          <w:i/>
          <w:iCs/>
        </w:rPr>
        <w:t>in vivo</w:t>
      </w:r>
      <w:r w:rsidRPr="003C0E2F">
        <w:t xml:space="preserve"> verification TLR4 modulators which produce species specific </w:t>
      </w:r>
      <w:r w:rsidR="008F561F" w:rsidRPr="003C0E2F">
        <w:t>effect</w:t>
      </w:r>
      <w:r w:rsidRPr="003C0E2F">
        <w:t xml:space="preserve">s. As such, comparative studies of TLR4 modulators in both human and mouse cell lines could help inform design of future </w:t>
      </w:r>
      <w:r w:rsidRPr="003C0E2F">
        <w:rPr>
          <w:i/>
          <w:iCs/>
        </w:rPr>
        <w:t>in vivo</w:t>
      </w:r>
      <w:r w:rsidRPr="003C0E2F">
        <w:t xml:space="preserve"> studies. </w:t>
      </w:r>
    </w:p>
    <w:p w14:paraId="4D6A59A1" w14:textId="06969699" w:rsidR="00621C78" w:rsidRPr="003C0E2F" w:rsidRDefault="00E85555" w:rsidP="00621C78">
      <w:r w:rsidRPr="003C0E2F">
        <w:t xml:space="preserve">FP7 showed strong antagonism in human </w:t>
      </w:r>
      <w:r w:rsidR="008F561F" w:rsidRPr="003C0E2F">
        <w:t>macrophage</w:t>
      </w:r>
      <w:r w:rsidRPr="003C0E2F">
        <w:t xml:space="preserve">s, but while FP7 could significantly downregulate LPS/TLR4 </w:t>
      </w:r>
      <w:r w:rsidR="009E0322" w:rsidRPr="003C0E2F">
        <w:t>dependent</w:t>
      </w:r>
      <w:r w:rsidRPr="003C0E2F">
        <w:t xml:space="preserve"> cytokine production in mouse </w:t>
      </w:r>
      <w:r w:rsidR="008F561F" w:rsidRPr="003C0E2F">
        <w:t>macrophage</w:t>
      </w:r>
      <w:r w:rsidRPr="003C0E2F">
        <w:t xml:space="preserve">s, the </w:t>
      </w:r>
      <w:r w:rsidR="008F561F" w:rsidRPr="003C0E2F">
        <w:t>effect</w:t>
      </w:r>
      <w:r w:rsidRPr="003C0E2F">
        <w:t xml:space="preserve"> appeared to be slightly less</w:t>
      </w:r>
      <w:r w:rsidR="00621C78" w:rsidRPr="003C0E2F">
        <w:t xml:space="preserve">. The greater antagonistic </w:t>
      </w:r>
      <w:r w:rsidR="008F561F" w:rsidRPr="003C0E2F">
        <w:t>effect</w:t>
      </w:r>
      <w:r w:rsidR="00621C78" w:rsidRPr="003C0E2F">
        <w:t xml:space="preserve"> of FP</w:t>
      </w:r>
      <w:r w:rsidRPr="003C0E2F">
        <w:t xml:space="preserve">7 in human </w:t>
      </w:r>
      <w:r w:rsidR="008F561F" w:rsidRPr="003C0E2F">
        <w:t>macrophage</w:t>
      </w:r>
      <w:r w:rsidRPr="003C0E2F">
        <w:t xml:space="preserve">s may be </w:t>
      </w:r>
      <w:r w:rsidR="00621C78" w:rsidRPr="003C0E2F">
        <w:t xml:space="preserve">due to </w:t>
      </w:r>
      <w:r w:rsidRPr="003C0E2F">
        <w:t>acyl chain length of the molecule. Shorter chained molecules are</w:t>
      </w:r>
      <w:r w:rsidR="00621C78" w:rsidRPr="003C0E2F">
        <w:t xml:space="preserve"> known to confer greater antagonism in mouse TLR4 signalling</w:t>
      </w:r>
      <w:r w:rsidRPr="003C0E2F">
        <w:t xml:space="preserve"> and thus longer chained molecules may be less </w:t>
      </w:r>
      <w:r w:rsidR="008F561F" w:rsidRPr="003C0E2F">
        <w:t>effect</w:t>
      </w:r>
      <w:r w:rsidRPr="003C0E2F">
        <w:t>ive at blocking receptor activity due to the differences in the shape and space available in the pocket of MD-2 in mouse TLR4</w:t>
      </w:r>
      <w:r w:rsidR="00621C78" w:rsidRPr="003C0E2F">
        <w:t xml:space="preserve"> </w:t>
      </w:r>
      <w:sdt>
        <w:sdtPr>
          <w:tag w:val="MENDELEY_CITATION_v3_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"/>
          <w:id w:val="-764605794"/>
          <w:placeholder>
            <w:docPart w:val="DefaultPlaceholder_-1854013440"/>
          </w:placeholder>
        </w:sdtPr>
        <w:sdtEndPr/>
        <w:sdtContent>
          <w:r w:rsidR="00F257B9">
            <w:rPr>
              <w:rFonts w:eastAsia="Times New Roman"/>
            </w:rPr>
            <w:t>(</w:t>
          </w:r>
          <w:proofErr w:type="spellStart"/>
          <w:r w:rsidR="00F257B9">
            <w:rPr>
              <w:rFonts w:eastAsia="Times New Roman"/>
            </w:rPr>
            <w:t>Chebrolu</w:t>
          </w:r>
          <w:proofErr w:type="spellEnd"/>
          <w:r w:rsidR="00F257B9">
            <w:rPr>
              <w:rFonts w:eastAsia="Times New Roman"/>
            </w:rPr>
            <w:t xml:space="preserve"> </w:t>
          </w:r>
          <w:r w:rsidR="00F257B9">
            <w:rPr>
              <w:rFonts w:eastAsia="Times New Roman"/>
              <w:i/>
              <w:iCs/>
            </w:rPr>
            <w:t>et al.</w:t>
          </w:r>
          <w:r w:rsidR="00F257B9">
            <w:rPr>
              <w:rFonts w:eastAsia="Times New Roman"/>
            </w:rPr>
            <w:t>, 2015)</w:t>
          </w:r>
        </w:sdtContent>
      </w:sdt>
      <w:r w:rsidR="00621C78" w:rsidRPr="003C0E2F">
        <w:t xml:space="preserve">. Previously there has been shown some comparability between the </w:t>
      </w:r>
      <w:r w:rsidR="008F561F" w:rsidRPr="003C0E2F">
        <w:t>effect</w:t>
      </w:r>
      <w:r w:rsidR="00621C78" w:rsidRPr="003C0E2F">
        <w:t xml:space="preserve">s of FP7 on human and mouse TLR4 signalling. There is evidence to suggest that FP7 can supress IL-1β production in mouse embryo derived microglia cultures </w:t>
      </w:r>
      <w:sdt>
        <w:sdtPr>
          <w:tag w:val="MENDELEY_CITATION_v3_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"/>
          <w:id w:val="-271162745"/>
          <w:placeholder>
            <w:docPart w:val="DefaultPlaceholder_-1854013440"/>
          </w:placeholder>
        </w:sdtPr>
        <w:sdtEndPr/>
        <w:sdtContent>
          <w:r w:rsidR="00F257B9">
            <w:rPr>
              <w:rFonts w:eastAsia="Times New Roman"/>
            </w:rPr>
            <w:t xml:space="preserve">(de Paola </w:t>
          </w:r>
          <w:r w:rsidR="00F257B9">
            <w:rPr>
              <w:rFonts w:eastAsia="Times New Roman"/>
              <w:i/>
              <w:iCs/>
            </w:rPr>
            <w:t>et al.</w:t>
          </w:r>
          <w:r w:rsidR="00F257B9">
            <w:rPr>
              <w:rFonts w:eastAsia="Times New Roman"/>
            </w:rPr>
            <w:t>, 2016)</w:t>
          </w:r>
        </w:sdtContent>
      </w:sdt>
      <w:r w:rsidR="00621C78" w:rsidRPr="003C0E2F">
        <w:t>. Similarly, in the current work, FP7 demonstrated antagonistic properties in both human (THP-1) and mouse (RAW264) cell lines</w:t>
      </w:r>
      <w:r w:rsidR="00AD51E8" w:rsidRPr="003C0E2F">
        <w:t xml:space="preserve">. </w:t>
      </w:r>
      <w:r w:rsidR="00621C78" w:rsidRPr="003C0E2F">
        <w:t>IL-6 and IL-8 have previously been investigated in THP-1 cells</w:t>
      </w:r>
      <w:r w:rsidR="00AD51E8" w:rsidRPr="003C0E2F">
        <w:t xml:space="preserve"> and FP7 was shown to significantly downregulate both </w:t>
      </w:r>
      <w:r w:rsidR="007A7EEE" w:rsidRPr="003C0E2F">
        <w:t>cytokines</w:t>
      </w:r>
      <w:r w:rsidR="00621C78" w:rsidRPr="003C0E2F">
        <w:t xml:space="preserve">. As such, IL-6 and KC were further investigated </w:t>
      </w:r>
      <w:r w:rsidR="00AD51E8" w:rsidRPr="003C0E2F">
        <w:t xml:space="preserve">in RAW264 </w:t>
      </w:r>
      <w:r w:rsidR="008F561F" w:rsidRPr="003C0E2F">
        <w:t>macrophage</w:t>
      </w:r>
      <w:r w:rsidR="00AD51E8" w:rsidRPr="003C0E2F">
        <w:t xml:space="preserve"> models </w:t>
      </w:r>
      <w:r w:rsidR="00621C78" w:rsidRPr="003C0E2F">
        <w:t xml:space="preserve">via ELISA. In line with </w:t>
      </w:r>
      <w:r w:rsidR="00AD51E8" w:rsidRPr="003C0E2F">
        <w:t xml:space="preserve">previous </w:t>
      </w:r>
      <w:r w:rsidR="00621C78" w:rsidRPr="003C0E2F">
        <w:t>results, FP7 showed some ability to downregulate IL-6 production from LPS exposure</w:t>
      </w:r>
      <w:r w:rsidR="00AD51E8" w:rsidRPr="003C0E2F">
        <w:t xml:space="preserve">, showing that FP7 could significantly downregulate LPS-induced IL-6 production in both human THP-1 </w:t>
      </w:r>
      <w:r w:rsidR="008F561F" w:rsidRPr="003C0E2F">
        <w:t>macrophage</w:t>
      </w:r>
      <w:r w:rsidR="00AD51E8" w:rsidRPr="003C0E2F">
        <w:t xml:space="preserve">s and in RAW264 </w:t>
      </w:r>
      <w:r w:rsidR="008F561F" w:rsidRPr="003C0E2F">
        <w:t>macrophage</w:t>
      </w:r>
      <w:r w:rsidR="00AD51E8" w:rsidRPr="003C0E2F">
        <w:t xml:space="preserve">s. </w:t>
      </w:r>
      <w:r w:rsidR="00AD51E8" w:rsidRPr="003C0E2F">
        <w:lastRenderedPageBreak/>
        <w:t xml:space="preserve">Despite this, IL-6 levels in RAW264 </w:t>
      </w:r>
      <w:r w:rsidR="008F561F" w:rsidRPr="003C0E2F">
        <w:t>macrophage</w:t>
      </w:r>
      <w:r w:rsidR="00AD51E8" w:rsidRPr="003C0E2F">
        <w:t>s did not decrease to the same extent in mice relative to LPS stimulated levels</w:t>
      </w:r>
      <w:r w:rsidR="00621C78" w:rsidRPr="003C0E2F">
        <w:t xml:space="preserve">. </w:t>
      </w:r>
      <w:r w:rsidR="00AD51E8" w:rsidRPr="003C0E2F">
        <w:t xml:space="preserve">In addition, while </w:t>
      </w:r>
      <w:r w:rsidR="00621C78" w:rsidRPr="003C0E2F">
        <w:t xml:space="preserve">KC was significantly raised by LPS, but FP7 did not downregulate KC production at all. Further investigation into phosphorylation </w:t>
      </w:r>
      <w:r w:rsidR="00623C8F" w:rsidRPr="003C0E2F">
        <w:t xml:space="preserve">of signalling mediators </w:t>
      </w:r>
      <w:r w:rsidR="00621C78" w:rsidRPr="003C0E2F">
        <w:t xml:space="preserve">revealed a differential </w:t>
      </w:r>
      <w:r w:rsidR="008F561F" w:rsidRPr="003C0E2F">
        <w:t>effect</w:t>
      </w:r>
      <w:r w:rsidR="00621C78" w:rsidRPr="003C0E2F">
        <w:t xml:space="preserve"> between signalling molecules. </w:t>
      </w:r>
      <w:r w:rsidR="00274B79" w:rsidRPr="003C0E2F">
        <w:t>P38</w:t>
      </w:r>
      <w:r w:rsidR="00621C78" w:rsidRPr="003C0E2F">
        <w:t xml:space="preserve"> MAPK and </w:t>
      </w:r>
      <w:r w:rsidR="00274B79" w:rsidRPr="003C0E2F">
        <w:t xml:space="preserve">P65/NF-ΚB </w:t>
      </w:r>
      <w:r w:rsidR="00621C78" w:rsidRPr="003C0E2F">
        <w:t>were significantly downregulated following FP7 treatment, while ERK and JNK do not appear to be affected by FP7 treatment. This suggests that FP7 may only partially block TLR4</w:t>
      </w:r>
      <w:r w:rsidR="00A9277D" w:rsidRPr="003C0E2F">
        <w:t>-</w:t>
      </w:r>
      <w:r w:rsidR="009E0322" w:rsidRPr="003C0E2F">
        <w:t>dependent</w:t>
      </w:r>
      <w:r w:rsidR="00621C78" w:rsidRPr="003C0E2F">
        <w:t xml:space="preserve"> signalling in mice. </w:t>
      </w:r>
    </w:p>
    <w:p w14:paraId="244814A1" w14:textId="571CEE9D" w:rsidR="000F7CE8" w:rsidRPr="003C0E2F" w:rsidRDefault="00621C78" w:rsidP="00621C78">
      <w:r w:rsidRPr="003C0E2F">
        <w:t xml:space="preserve">It is possible that the differences seen between FP7 </w:t>
      </w:r>
      <w:r w:rsidR="00AD51E8" w:rsidRPr="003C0E2F">
        <w:t>in human and FP7 in mouse models</w:t>
      </w:r>
      <w:r w:rsidRPr="003C0E2F">
        <w:t xml:space="preserve"> are related to the </w:t>
      </w:r>
      <w:r w:rsidR="00AD51E8" w:rsidRPr="003C0E2F">
        <w:t xml:space="preserve">differences in </w:t>
      </w:r>
      <w:r w:rsidRPr="003C0E2F">
        <w:t>interaction of acyl chains with mouse MD-2. Previously, there have shown to be differences in human and mouse TLR4 activation by ligands such as Lipid</w:t>
      </w:r>
      <w:r w:rsidR="00283225" w:rsidRPr="003C0E2F">
        <w:t xml:space="preserve"> </w:t>
      </w:r>
      <w:proofErr w:type="spellStart"/>
      <w:r w:rsidRPr="003C0E2F">
        <w:t>IVa</w:t>
      </w:r>
      <w:proofErr w:type="spellEnd"/>
      <w:r w:rsidRPr="003C0E2F">
        <w:t xml:space="preserve">, which exhibits an antagonistic </w:t>
      </w:r>
      <w:r w:rsidR="008F561F" w:rsidRPr="003C0E2F">
        <w:t>effect</w:t>
      </w:r>
      <w:r w:rsidRPr="003C0E2F">
        <w:t xml:space="preserve"> in human TLR4, but a weak agonistic </w:t>
      </w:r>
      <w:r w:rsidR="008F561F" w:rsidRPr="003C0E2F">
        <w:t>effect</w:t>
      </w:r>
      <w:r w:rsidRPr="003C0E2F">
        <w:t xml:space="preserve"> in mouse TLR4. This is thought to be associated with the way in which the acyl chains of Lipid A interact with the MD-2 pocket </w:t>
      </w:r>
      <w:sdt>
        <w:sdtPr>
          <w:tag w:val="MENDELEY_CITATION_v3_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"/>
          <w:id w:val="-751201454"/>
          <w:placeholder>
            <w:docPart w:val="DefaultPlaceholder_-1854013440"/>
          </w:placeholder>
        </w:sdtPr>
        <w:sdtEndPr/>
        <w:sdtContent>
          <w:r w:rsidR="00F257B9">
            <w:rPr>
              <w:rFonts w:eastAsia="Times New Roman"/>
            </w:rPr>
            <w:t>(</w:t>
          </w:r>
          <w:proofErr w:type="spellStart"/>
          <w:r w:rsidR="00F257B9">
            <w:rPr>
              <w:rFonts w:eastAsia="Times New Roman"/>
            </w:rPr>
            <w:t>Ohto</w:t>
          </w:r>
          <w:proofErr w:type="spellEnd"/>
          <w:r w:rsidR="00F257B9">
            <w:rPr>
              <w:rFonts w:eastAsia="Times New Roman"/>
            </w:rPr>
            <w:t xml:space="preserve"> </w:t>
          </w:r>
          <w:r w:rsidR="00F257B9">
            <w:rPr>
              <w:rFonts w:eastAsia="Times New Roman"/>
              <w:i/>
              <w:iCs/>
            </w:rPr>
            <w:t>et al.</w:t>
          </w:r>
          <w:r w:rsidR="00F257B9">
            <w:rPr>
              <w:rFonts w:eastAsia="Times New Roman"/>
            </w:rPr>
            <w:t xml:space="preserve">, 2012; </w:t>
          </w:r>
          <w:proofErr w:type="spellStart"/>
          <w:r w:rsidR="00F257B9">
            <w:rPr>
              <w:rFonts w:eastAsia="Times New Roman"/>
            </w:rPr>
            <w:t>Chebrolu</w:t>
          </w:r>
          <w:proofErr w:type="spellEnd"/>
          <w:r w:rsidR="00F257B9">
            <w:rPr>
              <w:rFonts w:eastAsia="Times New Roman"/>
            </w:rPr>
            <w:t xml:space="preserve"> </w:t>
          </w:r>
          <w:r w:rsidR="00F257B9">
            <w:rPr>
              <w:rFonts w:eastAsia="Times New Roman"/>
              <w:i/>
              <w:iCs/>
            </w:rPr>
            <w:t>et al.</w:t>
          </w:r>
          <w:r w:rsidR="00F257B9">
            <w:rPr>
              <w:rFonts w:eastAsia="Times New Roman"/>
            </w:rPr>
            <w:t>, 2015)</w:t>
          </w:r>
        </w:sdtContent>
      </w:sdt>
      <w:r w:rsidRPr="003C0E2F">
        <w:t xml:space="preserve">. The shorter length of acyl </w:t>
      </w:r>
      <w:r w:rsidR="00AD51E8" w:rsidRPr="003C0E2F">
        <w:t xml:space="preserve">chains is </w:t>
      </w:r>
      <w:r w:rsidRPr="003C0E2F">
        <w:t xml:space="preserve">associated with higher affinity of mouse MD-2 pocked and could offer explanation of the reduced antagonism of FP7 seen in RAW264 </w:t>
      </w:r>
      <w:r w:rsidR="008F561F" w:rsidRPr="003C0E2F">
        <w:t>macrophage</w:t>
      </w:r>
      <w:r w:rsidRPr="003C0E2F">
        <w:t>s</w:t>
      </w:r>
      <w:r w:rsidR="009004F1" w:rsidRPr="003C0E2F">
        <w:t>.</w:t>
      </w:r>
      <w:r w:rsidR="000F7CE8" w:rsidRPr="003C0E2F">
        <w:t xml:space="preserve"> </w:t>
      </w:r>
    </w:p>
    <w:p w14:paraId="02CDE99F" w14:textId="7C78A82E" w:rsidR="00CC07D0" w:rsidRPr="003C0E2F" w:rsidRDefault="00CC07D0">
      <w:pPr>
        <w:spacing w:line="259" w:lineRule="auto"/>
      </w:pPr>
      <w:r w:rsidRPr="003C0E2F">
        <w:br w:type="page"/>
      </w:r>
    </w:p>
    <w:p w14:paraId="0F06D950" w14:textId="607F1DF5" w:rsidR="00553A35" w:rsidRPr="003C0E2F" w:rsidRDefault="00553A35" w:rsidP="00BE5236">
      <w:pPr>
        <w:pStyle w:val="Heading2"/>
      </w:pPr>
      <w:bookmarkStart w:id="963" w:name="_Toc80013793"/>
      <w:bookmarkStart w:id="964" w:name="_Toc82882413"/>
      <w:r w:rsidRPr="003C0E2F">
        <w:lastRenderedPageBreak/>
        <w:t xml:space="preserve">Differential </w:t>
      </w:r>
      <w:r w:rsidR="008F561F" w:rsidRPr="003C0E2F">
        <w:t>effect</w:t>
      </w:r>
      <w:r w:rsidRPr="003C0E2F">
        <w:t xml:space="preserve"> of LPS from different bacterial strains on TLR4 signalling</w:t>
      </w:r>
      <w:r w:rsidR="00202984" w:rsidRPr="003C0E2F">
        <w:t xml:space="preserve"> and link to antagonistic </w:t>
      </w:r>
      <w:r w:rsidR="008F561F" w:rsidRPr="003C0E2F">
        <w:t>effect</w:t>
      </w:r>
      <w:r w:rsidR="00202984" w:rsidRPr="003C0E2F">
        <w:t>s of FP compounds</w:t>
      </w:r>
      <w:bookmarkEnd w:id="963"/>
      <w:bookmarkEnd w:id="964"/>
    </w:p>
    <w:p w14:paraId="584C8F51" w14:textId="3B1DC89B" w:rsidR="00621C78" w:rsidRPr="003C0E2F" w:rsidRDefault="00621C78" w:rsidP="00621C78">
      <w:r w:rsidRPr="003C0E2F">
        <w:t xml:space="preserve">LPS is characterised by three main regions: Lipid A, Oligosaccharide core and O-antigen regions. Previously, variations in ligand structure can affect the dynamic and potency of its </w:t>
      </w:r>
      <w:r w:rsidR="008F561F" w:rsidRPr="003C0E2F">
        <w:t>effect</w:t>
      </w:r>
      <w:r w:rsidRPr="003C0E2F">
        <w:t xml:space="preserve"> TLR4 signalling and LPS from different sources have been shown differentially affect </w:t>
      </w:r>
      <w:r w:rsidR="00932BC2" w:rsidRPr="003C0E2F">
        <w:t>MyD88</w:t>
      </w:r>
      <w:r w:rsidRPr="003C0E2F">
        <w:t xml:space="preserve"> and TRIF -</w:t>
      </w:r>
      <w:r w:rsidR="009E0322" w:rsidRPr="003C0E2F">
        <w:t>dependent</w:t>
      </w:r>
      <w:r w:rsidRPr="003C0E2F">
        <w:t xml:space="preserve"> signalling. In this regard, structural differences in the Lipid A region of LPS were thought to be of importance in </w:t>
      </w:r>
      <w:r w:rsidR="00932BC2" w:rsidRPr="003C0E2F">
        <w:t>MyD88</w:t>
      </w:r>
      <w:r w:rsidRPr="003C0E2F">
        <w:t xml:space="preserve"> or </w:t>
      </w:r>
      <w:r w:rsidR="00A9277D" w:rsidRPr="003C0E2F">
        <w:t>TRIF-</w:t>
      </w:r>
      <w:r w:rsidR="009E0322" w:rsidRPr="003C0E2F">
        <w:t>dependent</w:t>
      </w:r>
      <w:r w:rsidRPr="003C0E2F">
        <w:t xml:space="preserve"> signalling </w:t>
      </w:r>
      <w:sdt>
        <w:sdtPr>
          <w:tag w:val="MENDELEY_CITATION_v3_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"/>
          <w:id w:val="-851261186"/>
          <w:placeholder>
            <w:docPart w:val="DefaultPlaceholder_-1854013440"/>
          </w:placeholder>
        </w:sdtPr>
        <w:sdtEndPr/>
        <w:sdtContent>
          <w:r w:rsidR="00F257B9">
            <w:rPr>
              <w:rFonts w:eastAsia="Times New Roman"/>
            </w:rPr>
            <w:t>(</w:t>
          </w:r>
          <w:proofErr w:type="spellStart"/>
          <w:r w:rsidR="00F257B9">
            <w:rPr>
              <w:rFonts w:eastAsia="Times New Roman"/>
            </w:rPr>
            <w:t>Zughaier</w:t>
          </w:r>
          <w:proofErr w:type="spellEnd"/>
          <w:r w:rsidR="00F257B9">
            <w:rPr>
              <w:rFonts w:eastAsia="Times New Roman"/>
            </w:rPr>
            <w:t xml:space="preserve"> </w:t>
          </w:r>
          <w:r w:rsidR="00F257B9">
            <w:rPr>
              <w:rFonts w:eastAsia="Times New Roman"/>
              <w:i/>
              <w:iCs/>
            </w:rPr>
            <w:t>et al.</w:t>
          </w:r>
          <w:r w:rsidR="00F257B9">
            <w:rPr>
              <w:rFonts w:eastAsia="Times New Roman"/>
            </w:rPr>
            <w:t>, 2005)</w:t>
          </w:r>
        </w:sdtContent>
      </w:sdt>
      <w:r w:rsidRPr="003C0E2F">
        <w:t xml:space="preserve">. Further to this, differences in the polysaccharide chain have been shown to be important in TLR4 induced responses </w:t>
      </w:r>
      <w:sdt>
        <w:sdtPr>
          <w:tag w:val="MENDELEY_CITATION_v3_eyJjaXRhdGlvbklEIjoiTUVOREVMRVlfQ0lUQVRJT05fODIyZGQ4NWQtNjQ2Ny00ZTYzLWFkYmQtNzkwYTQxOTg4MmUx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
          <w:id w:val="893312255"/>
          <w:placeholder>
            <w:docPart w:val="DefaultPlaceholder_-1854013440"/>
          </w:placeholder>
        </w:sdtPr>
        <w:sdtEndPr/>
        <w:sdtContent>
          <w:r w:rsidR="00F257B9">
            <w:rPr>
              <w:rFonts w:eastAsia="Times New Roman"/>
            </w:rPr>
            <w:t xml:space="preserve">(Huber </w:t>
          </w:r>
          <w:r w:rsidR="00F257B9">
            <w:rPr>
              <w:rFonts w:eastAsia="Times New Roman"/>
              <w:i/>
              <w:iCs/>
            </w:rPr>
            <w:t>et al.</w:t>
          </w:r>
          <w:r w:rsidR="00F257B9">
            <w:rPr>
              <w:rFonts w:eastAsia="Times New Roman"/>
            </w:rPr>
            <w:t>, 2006)</w:t>
          </w:r>
        </w:sdtContent>
      </w:sdt>
      <w:r w:rsidRPr="003C0E2F">
        <w:t xml:space="preserve">. As such, understanding how different LPS affect signalling can be vital to future experimental design. </w:t>
      </w:r>
    </w:p>
    <w:p w14:paraId="0C22EEFF" w14:textId="0AF591A4" w:rsidR="00621C78" w:rsidRPr="003C0E2F" w:rsidRDefault="00621C78" w:rsidP="00621C78">
      <w:r w:rsidRPr="003C0E2F">
        <w:t>Most wild-type LPS take the form of smooth LPS. This smooth LPS is considered the complete in that it has a full o-antigen or polysaccharide chain present. Conversely, rough LP</w:t>
      </w:r>
      <w:r w:rsidR="00F80E29" w:rsidRPr="003C0E2F">
        <w:t>S</w:t>
      </w:r>
      <w:r w:rsidR="0009156C" w:rsidRPr="003C0E2F">
        <w:t xml:space="preserve"> f</w:t>
      </w:r>
      <w:r w:rsidR="00F80E29" w:rsidRPr="003C0E2F">
        <w:t>orm</w:t>
      </w:r>
      <w:r w:rsidRPr="003C0E2F">
        <w:t xml:space="preserve">s (Re, Rd1, Rd2, </w:t>
      </w:r>
      <w:proofErr w:type="spellStart"/>
      <w:r w:rsidRPr="003C0E2F">
        <w:t>Rc</w:t>
      </w:r>
      <w:proofErr w:type="spellEnd"/>
      <w:r w:rsidRPr="003C0E2F">
        <w:t>, Rb, Ra) are typically the product of mutants which exhibit a reduction in sugar residues to varying extents</w:t>
      </w:r>
      <w:r w:rsidR="00B358FF" w:rsidRPr="003C0E2F">
        <w:t xml:space="preserve"> (Figure</w:t>
      </w:r>
      <w:r w:rsidR="00C52D17" w:rsidRPr="003C0E2F">
        <w:t xml:space="preserve"> 5)</w:t>
      </w:r>
      <w:r w:rsidRPr="003C0E2F">
        <w:t xml:space="preserve">. </w:t>
      </w:r>
      <w:r w:rsidR="00283225" w:rsidRPr="003C0E2F">
        <w:t xml:space="preserve">However, R-form constitute to a variable degree the S-form of LPS, depending upon for example on the bacterial growth conditions and selective pressure by immune surveillance. </w:t>
      </w:r>
      <w:r w:rsidRPr="003C0E2F">
        <w:t xml:space="preserve">These structural alterations </w:t>
      </w:r>
      <w:r w:rsidR="00283225" w:rsidRPr="003C0E2F">
        <w:t xml:space="preserve">of S- and R-type LPS </w:t>
      </w:r>
      <w:r w:rsidRPr="003C0E2F">
        <w:t xml:space="preserve">have been shown to elicit different responses in mast cells and </w:t>
      </w:r>
      <w:r w:rsidR="008F561F" w:rsidRPr="003C0E2F">
        <w:t>macrophage</w:t>
      </w:r>
      <w:r w:rsidRPr="003C0E2F">
        <w:t xml:space="preserve">s cells depending on the specific form </w:t>
      </w:r>
      <w:sdt>
        <w:sdtPr>
          <w:tag w:val="MENDELEY_CITATION_v3_eyJjaXRhdGlvbklEIjoiTUVOREVMRVlfQ0lUQVRJT05fMmI0ZWU5ZTMtZjcyOS00ODg5LTg5ODItM2VkZGYxOTFkYjhk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
          <w:id w:val="1212768403"/>
          <w:placeholder>
            <w:docPart w:val="DefaultPlaceholder_-1854013440"/>
          </w:placeholder>
        </w:sdtPr>
        <w:sdtEndPr/>
        <w:sdtContent>
          <w:r w:rsidR="00F257B9">
            <w:rPr>
              <w:rFonts w:eastAsia="Times New Roman"/>
            </w:rPr>
            <w:t xml:space="preserve">(Huber </w:t>
          </w:r>
          <w:r w:rsidR="00F257B9">
            <w:rPr>
              <w:rFonts w:eastAsia="Times New Roman"/>
              <w:i/>
              <w:iCs/>
            </w:rPr>
            <w:t>et al.</w:t>
          </w:r>
          <w:r w:rsidR="00F257B9">
            <w:rPr>
              <w:rFonts w:eastAsia="Times New Roman"/>
            </w:rPr>
            <w:t>, 2006)</w:t>
          </w:r>
        </w:sdtContent>
      </w:sdt>
      <w:r w:rsidRPr="003C0E2F">
        <w:t xml:space="preserve">. </w:t>
      </w:r>
    </w:p>
    <w:p w14:paraId="33375493" w14:textId="7FBE40FC" w:rsidR="00621C78" w:rsidRPr="003C0E2F" w:rsidRDefault="00621C78" w:rsidP="00621C78">
      <w:r w:rsidRPr="003C0E2F">
        <w:t xml:space="preserve">While previous evidence suggests </w:t>
      </w:r>
      <w:proofErr w:type="spellStart"/>
      <w:proofErr w:type="gramStart"/>
      <w:r w:rsidR="008612D0" w:rsidRPr="003C0E2F">
        <w:rPr>
          <w:i/>
        </w:rPr>
        <w:t>S.minnesota</w:t>
      </w:r>
      <w:proofErr w:type="spellEnd"/>
      <w:proofErr w:type="gramEnd"/>
      <w:r w:rsidRPr="003C0E2F">
        <w:t xml:space="preserve"> </w:t>
      </w:r>
      <w:r w:rsidR="00B03DD4" w:rsidRPr="003C0E2F">
        <w:t>LPS was most effective at upregulating</w:t>
      </w:r>
      <w:r w:rsidRPr="003C0E2F">
        <w:t xml:space="preserve"> TLR4/</w:t>
      </w:r>
      <w:r w:rsidR="00A9277D" w:rsidRPr="003C0E2F">
        <w:t>TRIF-</w:t>
      </w:r>
      <w:r w:rsidR="009E0322" w:rsidRPr="003C0E2F">
        <w:t>dependent</w:t>
      </w:r>
      <w:r w:rsidRPr="003C0E2F">
        <w:t xml:space="preserve"> signalling </w:t>
      </w:r>
      <w:sdt>
        <w:sdtPr>
          <w:tag w:val="MENDELEY_CITATION_v3_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"/>
          <w:id w:val="-848182991"/>
          <w:placeholder>
            <w:docPart w:val="DefaultPlaceholder_-1854013440"/>
          </w:placeholder>
        </w:sdtPr>
        <w:sdtEndPr/>
        <w:sdtContent>
          <w:r w:rsidR="00F257B9">
            <w:rPr>
              <w:rFonts w:eastAsia="Times New Roman"/>
            </w:rPr>
            <w:t>(</w:t>
          </w:r>
          <w:proofErr w:type="spellStart"/>
          <w:r w:rsidR="00F257B9">
            <w:rPr>
              <w:rFonts w:eastAsia="Times New Roman"/>
            </w:rPr>
            <w:t>Zughaier</w:t>
          </w:r>
          <w:proofErr w:type="spellEnd"/>
          <w:r w:rsidR="00F257B9">
            <w:rPr>
              <w:rFonts w:eastAsia="Times New Roman"/>
            </w:rPr>
            <w:t xml:space="preserve"> </w:t>
          </w:r>
          <w:r w:rsidR="00F257B9">
            <w:rPr>
              <w:rFonts w:eastAsia="Times New Roman"/>
              <w:i/>
              <w:iCs/>
            </w:rPr>
            <w:t>et al.</w:t>
          </w:r>
          <w:r w:rsidR="00F257B9">
            <w:rPr>
              <w:rFonts w:eastAsia="Times New Roman"/>
            </w:rPr>
            <w:t>, 2005)</w:t>
          </w:r>
        </w:sdtContent>
      </w:sdt>
      <w:r w:rsidRPr="003C0E2F">
        <w:t xml:space="preserve">, initial experiment involving </w:t>
      </w:r>
      <w:proofErr w:type="spellStart"/>
      <w:r w:rsidR="008612D0" w:rsidRPr="003C0E2F">
        <w:rPr>
          <w:i/>
        </w:rPr>
        <w:t>S.minnesota</w:t>
      </w:r>
      <w:proofErr w:type="spellEnd"/>
      <w:r w:rsidRPr="003C0E2F">
        <w:t xml:space="preserve"> (Re) did not</w:t>
      </w:r>
      <w:r w:rsidR="00B03DD4" w:rsidRPr="003C0E2F">
        <w:t xml:space="preserve"> </w:t>
      </w:r>
      <w:bookmarkStart w:id="965" w:name="_Hlk80826031"/>
      <w:r w:rsidR="00B03DD4" w:rsidRPr="003C0E2F">
        <w:t>consistently</w:t>
      </w:r>
      <w:r w:rsidRPr="003C0E2F">
        <w:t xml:space="preserve"> </w:t>
      </w:r>
      <w:bookmarkEnd w:id="965"/>
      <w:r w:rsidRPr="003C0E2F">
        <w:t xml:space="preserve">yield positive results for STAT-1 phosphorylation. Following further investigation into the capacity of LPS to upregulate p-STAT-1, stimulation with </w:t>
      </w:r>
      <w:proofErr w:type="spellStart"/>
      <w:proofErr w:type="gramStart"/>
      <w:r w:rsidR="008612D0" w:rsidRPr="003C0E2F">
        <w:rPr>
          <w:i/>
        </w:rPr>
        <w:t>S.minnesota</w:t>
      </w:r>
      <w:proofErr w:type="spellEnd"/>
      <w:proofErr w:type="gramEnd"/>
      <w:r w:rsidRPr="003C0E2F">
        <w:t xml:space="preserve"> (Re) showed a much lower level of expression compared to </w:t>
      </w:r>
      <w:r w:rsidR="008612D0" w:rsidRPr="003C0E2F">
        <w:rPr>
          <w:i/>
          <w:iCs/>
        </w:rPr>
        <w:t>E.coli</w:t>
      </w:r>
      <w:r w:rsidRPr="003C0E2F">
        <w:t xml:space="preserve"> (Ra) LPS. At the same time, the smooth variant of </w:t>
      </w:r>
      <w:proofErr w:type="spellStart"/>
      <w:proofErr w:type="gramStart"/>
      <w:r w:rsidR="008612D0" w:rsidRPr="003C0E2F">
        <w:rPr>
          <w:i/>
        </w:rPr>
        <w:t>S.minnesota</w:t>
      </w:r>
      <w:proofErr w:type="spellEnd"/>
      <w:proofErr w:type="gramEnd"/>
      <w:r w:rsidRPr="003C0E2F">
        <w:t xml:space="preserve"> LPS was shown to upregulate p-STAT-1 more so than </w:t>
      </w:r>
      <w:r w:rsidR="008612D0" w:rsidRPr="003C0E2F">
        <w:rPr>
          <w:i/>
          <w:iCs/>
        </w:rPr>
        <w:t>E.coli</w:t>
      </w:r>
      <w:r w:rsidRPr="003C0E2F">
        <w:t xml:space="preserve">. Further to this, IFNβ levels were substantially higher in </w:t>
      </w:r>
      <w:proofErr w:type="spellStart"/>
      <w:proofErr w:type="gramStart"/>
      <w:r w:rsidR="008612D0" w:rsidRPr="003C0E2F">
        <w:rPr>
          <w:i/>
        </w:rPr>
        <w:t>S.minnesota</w:t>
      </w:r>
      <w:proofErr w:type="spellEnd"/>
      <w:proofErr w:type="gramEnd"/>
      <w:r w:rsidRPr="003C0E2F">
        <w:t xml:space="preserve"> (S) than (Re) treated cells. This </w:t>
      </w:r>
      <w:r w:rsidR="008F561F" w:rsidRPr="003C0E2F">
        <w:t>effect</w:t>
      </w:r>
      <w:r w:rsidRPr="003C0E2F">
        <w:t xml:space="preserve"> was also seen in </w:t>
      </w:r>
      <w:r w:rsidR="00932BC2" w:rsidRPr="003C0E2F">
        <w:t>MyD88</w:t>
      </w:r>
      <w:r w:rsidR="00A9277D" w:rsidRPr="003C0E2F">
        <w:t>-</w:t>
      </w:r>
      <w:r w:rsidR="009E0322" w:rsidRPr="003C0E2F">
        <w:t>dependent</w:t>
      </w:r>
      <w:r w:rsidRPr="003C0E2F">
        <w:t xml:space="preserve"> IL-1β production in response to S and Re-form LPS. S-form LPS produced a greater </w:t>
      </w:r>
      <w:r w:rsidRPr="003C0E2F">
        <w:lastRenderedPageBreak/>
        <w:t xml:space="preserve">response in </w:t>
      </w:r>
      <w:r w:rsidR="00932BC2" w:rsidRPr="003C0E2F">
        <w:t>MyD88</w:t>
      </w:r>
      <w:r w:rsidRPr="003C0E2F">
        <w:t>-</w:t>
      </w:r>
      <w:r w:rsidR="009E0322" w:rsidRPr="003C0E2F">
        <w:t>dependent</w:t>
      </w:r>
      <w:r w:rsidRPr="003C0E2F">
        <w:t xml:space="preserve"> signalling. However, FP7 and FP12 </w:t>
      </w:r>
      <w:proofErr w:type="gramStart"/>
      <w:r w:rsidRPr="003C0E2F">
        <w:t>were capable of causing</w:t>
      </w:r>
      <w:proofErr w:type="gramEnd"/>
      <w:r w:rsidRPr="003C0E2F">
        <w:t xml:space="preserve"> comparable levels of downregulation of this response across both S and previously used Re LPS chemotypes. Lipid A and MPLA alone were in</w:t>
      </w:r>
      <w:r w:rsidR="008F561F" w:rsidRPr="003C0E2F">
        <w:t>effect</w:t>
      </w:r>
      <w:r w:rsidRPr="003C0E2F">
        <w:t xml:space="preserve">ive at stimulating </w:t>
      </w:r>
      <w:r w:rsidR="00A9277D" w:rsidRPr="003C0E2F">
        <w:t>TRIF-</w:t>
      </w:r>
      <w:r w:rsidR="009E0322" w:rsidRPr="003C0E2F">
        <w:t>dependent</w:t>
      </w:r>
      <w:r w:rsidRPr="003C0E2F">
        <w:t xml:space="preserve"> signalling. Evidence provided here suggests </w:t>
      </w:r>
      <w:proofErr w:type="spellStart"/>
      <w:proofErr w:type="gramStart"/>
      <w:r w:rsidR="008612D0" w:rsidRPr="003C0E2F">
        <w:rPr>
          <w:i/>
        </w:rPr>
        <w:t>S.minnesota</w:t>
      </w:r>
      <w:proofErr w:type="spellEnd"/>
      <w:proofErr w:type="gramEnd"/>
      <w:r w:rsidRPr="003C0E2F">
        <w:t xml:space="preserve"> (S) is more </w:t>
      </w:r>
      <w:r w:rsidR="008F561F" w:rsidRPr="003C0E2F">
        <w:t>effect</w:t>
      </w:r>
      <w:r w:rsidRPr="003C0E2F">
        <w:t xml:space="preserve">ive at upregulating </w:t>
      </w:r>
      <w:r w:rsidR="00A9277D" w:rsidRPr="003C0E2F">
        <w:t>TRIF-</w:t>
      </w:r>
      <w:r w:rsidR="009E0322" w:rsidRPr="003C0E2F">
        <w:t>dependent</w:t>
      </w:r>
      <w:r w:rsidRPr="003C0E2F">
        <w:t xml:space="preserve"> TLR4 signalling than </w:t>
      </w:r>
      <w:proofErr w:type="spellStart"/>
      <w:r w:rsidR="008612D0" w:rsidRPr="003C0E2F">
        <w:rPr>
          <w:i/>
        </w:rPr>
        <w:t>S.minnesota</w:t>
      </w:r>
      <w:proofErr w:type="spellEnd"/>
      <w:r w:rsidRPr="003C0E2F">
        <w:t xml:space="preserve"> (Re) and is thus more appropriate for investigation of this signalling pathway. </w:t>
      </w:r>
    </w:p>
    <w:p w14:paraId="14CB8FE2" w14:textId="67908538" w:rsidR="000F7CE8" w:rsidRPr="003C0E2F" w:rsidRDefault="00621C78" w:rsidP="00621C78">
      <w:r w:rsidRPr="003C0E2F">
        <w:t xml:space="preserve">Timing experiments were carried out to optimise experimental design. To determine the correct time for activation signalling molecules, phosphorylation was measured by </w:t>
      </w:r>
      <w:r w:rsidR="00030A76" w:rsidRPr="003C0E2F">
        <w:t>Western</w:t>
      </w:r>
      <w:r w:rsidRPr="003C0E2F">
        <w:t xml:space="preserve"> blot from 0-6 hours and IFN</w:t>
      </w:r>
      <w:r w:rsidR="008A689E" w:rsidRPr="003C0E2F">
        <w:t>β</w:t>
      </w:r>
      <w:r w:rsidRPr="003C0E2F">
        <w:t xml:space="preserve"> and </w:t>
      </w:r>
      <w:r w:rsidR="009E42FE" w:rsidRPr="003C0E2F">
        <w:t>IP10</w:t>
      </w:r>
      <w:r w:rsidRPr="003C0E2F">
        <w:t xml:space="preserve"> production measured via ELISA at 2, 6 and 24h. From this, </w:t>
      </w:r>
      <w:r w:rsidR="009E42FE" w:rsidRPr="003C0E2F">
        <w:t>TBK1</w:t>
      </w:r>
      <w:r w:rsidRPr="003C0E2F">
        <w:t xml:space="preserve"> was found to be upregulated at 30 minutes, while STAT-1 was substantially later at 2.5-3 hours. While </w:t>
      </w:r>
      <w:r w:rsidR="009E42FE" w:rsidRPr="003C0E2F">
        <w:t>IP10</w:t>
      </w:r>
      <w:r w:rsidRPr="003C0E2F">
        <w:t xml:space="preserve"> production increased steadily over the course of the experiment, levels of IFNβ initially increased at 2 and 6 hours, before disappearing from medium. This may be due to degradation of the molecule, although interferons are typically quite stable. Alternatively, IFNβ may be removed from medium following receptor interactions. As such, an earlier collection time is required from measurements of IFNβ in the medium. These </w:t>
      </w:r>
      <w:r w:rsidR="008F561F" w:rsidRPr="003C0E2F">
        <w:t>effect</w:t>
      </w:r>
      <w:r w:rsidRPr="003C0E2F">
        <w:t>s were consistent relatively consistent between different forms of LPS</w:t>
      </w:r>
      <w:r w:rsidR="007E2289" w:rsidRPr="003C0E2F">
        <w:t>.</w:t>
      </w:r>
    </w:p>
    <w:p w14:paraId="35E22838" w14:textId="6589B800" w:rsidR="009A6C6B" w:rsidRPr="003C0E2F" w:rsidRDefault="009A6C6B" w:rsidP="009A6C6B">
      <w:pPr>
        <w:rPr>
          <w:i/>
          <w:iCs/>
        </w:rPr>
      </w:pPr>
      <w:bookmarkStart w:id="966" w:name="_Hlk82640721"/>
      <w:r w:rsidRPr="003C0E2F">
        <w:t xml:space="preserve">Lipid A is the active part of LPS which interacts with MD-2 and facilitates receptor </w:t>
      </w:r>
      <w:proofErr w:type="spellStart"/>
      <w:r w:rsidRPr="003C0E2F">
        <w:t>dimerisation</w:t>
      </w:r>
      <w:proofErr w:type="spellEnd"/>
      <w:r w:rsidRPr="003C0E2F">
        <w:t>. These differential effects LPS chemotypes suggest that the polysaccharide chain plays a greater role in receptor activation, and specific response of these receptors to ligands. Evidence presented here suggested STAT-1 activation, IFN</w:t>
      </w:r>
      <w:r w:rsidRPr="003C0E2F">
        <w:rPr>
          <w:rFonts w:cstheme="minorHAnsi"/>
        </w:rPr>
        <w:t>β</w:t>
      </w:r>
      <w:r w:rsidRPr="003C0E2F">
        <w:t xml:space="preserve"> and IP-10 production were more greatly elevated in response to complete forms of LPS than to Lipid A alone, suggesting this could be important for TRIF-dependent signalling. However, further experiments would be necessary to confirm any relationship.</w:t>
      </w:r>
    </w:p>
    <w:bookmarkEnd w:id="966"/>
    <w:p w14:paraId="2E53A25E" w14:textId="77777777" w:rsidR="00C52D17" w:rsidRPr="003C0E2F" w:rsidRDefault="00C52D17" w:rsidP="00621C78"/>
    <w:p w14:paraId="257F96C4" w14:textId="382A1CBE" w:rsidR="00CC07D0" w:rsidRPr="003C0E2F" w:rsidRDefault="00CC07D0">
      <w:pPr>
        <w:spacing w:line="259" w:lineRule="auto"/>
      </w:pPr>
      <w:r w:rsidRPr="003C0E2F">
        <w:br w:type="page"/>
      </w:r>
    </w:p>
    <w:p w14:paraId="605B7EF5" w14:textId="7FCF9E5C" w:rsidR="00553A35" w:rsidRPr="003C0E2F" w:rsidRDefault="00553A35" w:rsidP="00BE5236">
      <w:pPr>
        <w:pStyle w:val="Heading2"/>
      </w:pPr>
      <w:bookmarkStart w:id="967" w:name="_Toc80013794"/>
      <w:bookmarkStart w:id="968" w:name="_Toc82882414"/>
      <w:r w:rsidRPr="003C0E2F">
        <w:lastRenderedPageBreak/>
        <w:t xml:space="preserve">FP7 and FP12 negatively regulate </w:t>
      </w:r>
      <w:r w:rsidR="00A9277D" w:rsidRPr="003C0E2F">
        <w:t>TRIF-</w:t>
      </w:r>
      <w:r w:rsidR="009E0322" w:rsidRPr="003C0E2F">
        <w:t>dependent</w:t>
      </w:r>
      <w:r w:rsidRPr="003C0E2F">
        <w:t xml:space="preserve"> TLR4 signalling</w:t>
      </w:r>
      <w:bookmarkEnd w:id="967"/>
      <w:bookmarkEnd w:id="968"/>
      <w:r w:rsidRPr="003C0E2F">
        <w:tab/>
      </w:r>
    </w:p>
    <w:p w14:paraId="1FBB007D" w14:textId="352FC56A" w:rsidR="00621C78" w:rsidRPr="003C0E2F" w:rsidRDefault="00621C78" w:rsidP="00621C78">
      <w:r w:rsidRPr="003C0E2F">
        <w:t xml:space="preserve">Further investigation into alternate TLR4 activation was also explored in </w:t>
      </w:r>
      <w:r w:rsidR="00A9277D" w:rsidRPr="003C0E2F">
        <w:t>TRIF-</w:t>
      </w:r>
      <w:r w:rsidR="009E0322" w:rsidRPr="003C0E2F">
        <w:t>dependent</w:t>
      </w:r>
      <w:r w:rsidRPr="003C0E2F">
        <w:t xml:space="preserve"> signalling pathways. It seems logical to assume that FP7 and FP12 would affect both </w:t>
      </w:r>
      <w:r w:rsidR="00932BC2" w:rsidRPr="003C0E2F">
        <w:t>MyD88</w:t>
      </w:r>
      <w:r w:rsidRPr="003C0E2F">
        <w:t xml:space="preserve"> and TRIF-</w:t>
      </w:r>
      <w:r w:rsidR="009E0322" w:rsidRPr="003C0E2F">
        <w:t>dependent</w:t>
      </w:r>
      <w:r w:rsidRPr="003C0E2F">
        <w:t xml:space="preserve"> signalling as these molecules are affecting MD-2 which should be involved in both pathways. Additionally, FP7 can cause internalisation of CD14, removing this from the cell surface </w:t>
      </w:r>
      <w:sdt>
        <w:sdtPr>
          <w:tag w:val="MENDELEY_CITATION_v3_eyJjaXRhdGlvbklEIjoiTUVOREVMRVlfQ0lUQVRJT05fNGUzNjk5NWItN2RlZi00MmI2LWFhOTgtNTdiYzY5ODViOGM1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
          <w:id w:val="1514416436"/>
          <w:placeholder>
            <w:docPart w:val="DefaultPlaceholder_-1854013440"/>
          </w:placeholder>
        </w:sdtPr>
        <w:sdtEndPr/>
        <w:sdtContent>
          <w:r w:rsidR="00F257B9">
            <w:rPr>
              <w:rFonts w:eastAsia="Times New Roman"/>
            </w:rPr>
            <w:t>(</w:t>
          </w:r>
          <w:proofErr w:type="spellStart"/>
          <w:r w:rsidR="00F257B9">
            <w:rPr>
              <w:rFonts w:eastAsia="Times New Roman"/>
            </w:rPr>
            <w:t>Cighetti</w:t>
          </w:r>
          <w:proofErr w:type="spellEnd"/>
          <w:r w:rsidR="00F257B9">
            <w:rPr>
              <w:rFonts w:eastAsia="Times New Roman"/>
            </w:rPr>
            <w:t xml:space="preserve"> </w:t>
          </w:r>
          <w:r w:rsidR="00F257B9">
            <w:rPr>
              <w:rFonts w:eastAsia="Times New Roman"/>
              <w:i/>
              <w:iCs/>
            </w:rPr>
            <w:t>et al.</w:t>
          </w:r>
          <w:r w:rsidR="00F257B9">
            <w:rPr>
              <w:rFonts w:eastAsia="Times New Roman"/>
            </w:rPr>
            <w:t>, 2014)</w:t>
          </w:r>
        </w:sdtContent>
      </w:sdt>
      <w:r w:rsidRPr="003C0E2F">
        <w:t xml:space="preserve">. As </w:t>
      </w:r>
      <w:r w:rsidR="00A9277D" w:rsidRPr="003C0E2F">
        <w:t>TRIF-</w:t>
      </w:r>
      <w:r w:rsidR="009E0322" w:rsidRPr="003C0E2F">
        <w:t>dependent</w:t>
      </w:r>
      <w:r w:rsidRPr="003C0E2F">
        <w:t xml:space="preserve"> signalling is more reliant on CD14 than is </w:t>
      </w:r>
      <w:r w:rsidR="00932BC2" w:rsidRPr="003C0E2F">
        <w:t>MyD88</w:t>
      </w:r>
      <w:r w:rsidRPr="003C0E2F">
        <w:t>-</w:t>
      </w:r>
      <w:r w:rsidR="009E0322" w:rsidRPr="003C0E2F">
        <w:t>dependent</w:t>
      </w:r>
      <w:r w:rsidRPr="003C0E2F">
        <w:t xml:space="preserve"> signalling </w:t>
      </w:r>
      <w:sdt>
        <w:sdtPr>
          <w:tag w:val="MENDELEY_CITATION_v3_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"/>
          <w:id w:val="1700433609"/>
          <w:placeholder>
            <w:docPart w:val="DefaultPlaceholder_-1854013440"/>
          </w:placeholder>
        </w:sdtPr>
        <w:sdtEndPr/>
        <w:sdtContent>
          <w:r w:rsidR="00F257B9">
            <w:rPr>
              <w:rFonts w:eastAsia="Times New Roman"/>
            </w:rPr>
            <w:t xml:space="preserve">(Tsukamoto </w:t>
          </w:r>
          <w:r w:rsidR="00F257B9">
            <w:rPr>
              <w:rFonts w:eastAsia="Times New Roman"/>
              <w:i/>
              <w:iCs/>
            </w:rPr>
            <w:t>et al.</w:t>
          </w:r>
          <w:r w:rsidR="00F257B9">
            <w:rPr>
              <w:rFonts w:eastAsia="Times New Roman"/>
            </w:rPr>
            <w:t>, 2018)</w:t>
          </w:r>
        </w:sdtContent>
      </w:sdt>
      <w:r w:rsidRPr="003C0E2F">
        <w:t xml:space="preserve">, FP7 should be capable of preventing </w:t>
      </w:r>
      <w:r w:rsidR="00A9277D" w:rsidRPr="003C0E2F">
        <w:t>TRIF-</w:t>
      </w:r>
      <w:r w:rsidR="009E0322" w:rsidRPr="003C0E2F">
        <w:t>dependent</w:t>
      </w:r>
      <w:r w:rsidRPr="003C0E2F">
        <w:t xml:space="preserve"> signalling just as well, if not more </w:t>
      </w:r>
      <w:r w:rsidR="008F561F" w:rsidRPr="003C0E2F">
        <w:t>effect</w:t>
      </w:r>
      <w:r w:rsidRPr="003C0E2F">
        <w:t xml:space="preserve">ively than </w:t>
      </w:r>
      <w:r w:rsidR="00932BC2" w:rsidRPr="003C0E2F">
        <w:t>MyD88</w:t>
      </w:r>
      <w:r w:rsidRPr="003C0E2F">
        <w:t xml:space="preserve">. </w:t>
      </w:r>
    </w:p>
    <w:p w14:paraId="640E7F25" w14:textId="0665EE5B" w:rsidR="00621C78" w:rsidRPr="003C0E2F" w:rsidRDefault="00621C78" w:rsidP="00621C78">
      <w:r w:rsidRPr="003C0E2F">
        <w:t xml:space="preserve">Initial results confirmed the ability of both FP7 and FP12 molecules </w:t>
      </w:r>
      <w:proofErr w:type="gramStart"/>
      <w:r w:rsidRPr="003C0E2F">
        <w:t>have to</w:t>
      </w:r>
      <w:proofErr w:type="gramEnd"/>
      <w:r w:rsidRPr="003C0E2F">
        <w:t xml:space="preserve"> be capable of downregulating LPS mediated IL-8 production and LPS/TLR4</w:t>
      </w:r>
      <w:r w:rsidR="000A1BFB" w:rsidRPr="003C0E2F">
        <w:t xml:space="preserve"> induced</w:t>
      </w:r>
      <w:r w:rsidRPr="003C0E2F">
        <w:t xml:space="preserve"> </w:t>
      </w:r>
      <w:r w:rsidR="00274B79" w:rsidRPr="003C0E2F">
        <w:t>P38</w:t>
      </w:r>
      <w:r w:rsidRPr="003C0E2F">
        <w:t xml:space="preserve"> MAPK and NF-</w:t>
      </w:r>
      <w:proofErr w:type="spellStart"/>
      <w:r w:rsidRPr="003C0E2F">
        <w:t>κB</w:t>
      </w:r>
      <w:proofErr w:type="spellEnd"/>
      <w:r w:rsidRPr="003C0E2F">
        <w:t xml:space="preserve"> activation in THP-1 cells. FP7 and FP12 have previously been shown both here and in alternative models by others to be </w:t>
      </w:r>
      <w:r w:rsidR="008F561F" w:rsidRPr="003C0E2F">
        <w:t>effect</w:t>
      </w:r>
      <w:r w:rsidRPr="003C0E2F">
        <w:t>ive in reducing TLR4-</w:t>
      </w:r>
      <w:r w:rsidR="009E0322" w:rsidRPr="003C0E2F">
        <w:t>dependent</w:t>
      </w:r>
      <w:r w:rsidRPr="003C0E2F">
        <w:t xml:space="preserve"> signalling and cytokines </w:t>
      </w:r>
      <w:sdt>
        <w:sdtPr>
          <w:rPr>
            <w:color w:val="000000"/>
          </w:rPr>
          <w:tag w:val="MENDELEY_CITATION_v3_eyJjaXRhdGlvbklEIjoiTUVOREVMRVlfQ0lUQVRJT05fYTZmMThkZmEtNjJmMi00MWJjLWJhZmItODUyZjcwOGIwZGVm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"/>
          <w:id w:val="-2022152674"/>
          <w:placeholder>
            <w:docPart w:val="DefaultPlaceholder_-1854013440"/>
          </w:placeholder>
        </w:sdtPr>
        <w:sdtEndPr/>
        <w:sdtContent>
          <w:r w:rsidR="00F257B9" w:rsidRPr="00F257B9">
            <w:rPr>
              <w:rFonts w:eastAsia="Times New Roman"/>
              <w:color w:val="000000"/>
            </w:rPr>
            <w:t>(</w:t>
          </w:r>
          <w:proofErr w:type="spellStart"/>
          <w:r w:rsidR="00F257B9" w:rsidRPr="00F257B9">
            <w:rPr>
              <w:rFonts w:eastAsia="Times New Roman"/>
              <w:color w:val="000000"/>
            </w:rPr>
            <w:t>Facchini</w:t>
          </w:r>
          <w:proofErr w:type="spellEnd"/>
          <w:r w:rsidR="00F257B9" w:rsidRPr="00F257B9">
            <w:rPr>
              <w:rFonts w:eastAsia="Times New Roman"/>
              <w:color w:val="000000"/>
            </w:rPr>
            <w:t xml:space="preserve"> et al., 2018; C. Palmer et al., 2018)</w:t>
          </w:r>
        </w:sdtContent>
      </w:sdt>
      <w:r w:rsidRPr="003C0E2F">
        <w:t xml:space="preserve">. However, thus far there is not much information regarding the specific </w:t>
      </w:r>
      <w:r w:rsidR="008F561F" w:rsidRPr="003C0E2F">
        <w:t>effect</w:t>
      </w:r>
      <w:r w:rsidRPr="003C0E2F">
        <w:t>s of these molecules in TLR4/</w:t>
      </w:r>
      <w:r w:rsidR="00A9277D" w:rsidRPr="003C0E2F">
        <w:t>TRIF-</w:t>
      </w:r>
      <w:r w:rsidR="009E0322" w:rsidRPr="003C0E2F">
        <w:t>dependent</w:t>
      </w:r>
      <w:r w:rsidRPr="003C0E2F">
        <w:t xml:space="preserve"> signalling molecules and interferon release. Investigating pathway specific interactions of FP derivatives would provide further evidence as to the relevance of these molecules as TLR4 modulators of one or both TLR4-</w:t>
      </w:r>
      <w:r w:rsidR="009E0322" w:rsidRPr="003C0E2F">
        <w:t>dependent</w:t>
      </w:r>
      <w:r w:rsidRPr="003C0E2F">
        <w:t xml:space="preserve"> signalling pathways.</w:t>
      </w:r>
    </w:p>
    <w:p w14:paraId="345E4245" w14:textId="2830918E" w:rsidR="00FB0674" w:rsidRPr="003C0E2F" w:rsidRDefault="00621C78" w:rsidP="00621C78">
      <w:r w:rsidRPr="003C0E2F">
        <w:t xml:space="preserve">Upon recognition of LPS, TLR4 initiates a response via </w:t>
      </w:r>
      <w:r w:rsidR="00932BC2" w:rsidRPr="003C0E2F">
        <w:t>MyD88</w:t>
      </w:r>
      <w:r w:rsidRPr="003C0E2F">
        <w:t xml:space="preserve"> or </w:t>
      </w:r>
      <w:r w:rsidR="00A9277D" w:rsidRPr="003C0E2F">
        <w:t>TRIF-</w:t>
      </w:r>
      <w:r w:rsidR="009E0322" w:rsidRPr="003C0E2F">
        <w:t>dependent</w:t>
      </w:r>
      <w:r w:rsidRPr="003C0E2F">
        <w:t xml:space="preserve"> signalling pathways. Investigation was carried out in relation to the TRIF-mediated response. The presence of proinflammatory M1 phenotype </w:t>
      </w:r>
      <w:r w:rsidR="008F561F" w:rsidRPr="003C0E2F">
        <w:t>macrophage</w:t>
      </w:r>
      <w:r w:rsidRPr="003C0E2F">
        <w:t xml:space="preserve">s in atherosclerotic plaques has been associated with plaque instability </w:t>
      </w:r>
      <w:sdt>
        <w:sdtPr>
          <w:tag w:val="MENDELEY_CITATION_v3_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"/>
          <w:id w:val="1866480742"/>
          <w:placeholder>
            <w:docPart w:val="DefaultPlaceholder_-1854013440"/>
          </w:placeholder>
        </w:sdtPr>
        <w:sdtEndPr/>
        <w:sdtContent>
          <w:r w:rsidR="00F257B9">
            <w:rPr>
              <w:rFonts w:eastAsia="Times New Roman"/>
            </w:rPr>
            <w:t xml:space="preserve">(Cho </w:t>
          </w:r>
          <w:r w:rsidR="00F257B9">
            <w:rPr>
              <w:rFonts w:eastAsia="Times New Roman"/>
              <w:i/>
              <w:iCs/>
            </w:rPr>
            <w:t>et al.</w:t>
          </w:r>
          <w:r w:rsidR="00F257B9">
            <w:rPr>
              <w:rFonts w:eastAsia="Times New Roman"/>
            </w:rPr>
            <w:t>, 2013)</w:t>
          </w:r>
        </w:sdtContent>
      </w:sdt>
      <w:r w:rsidRPr="003C0E2F">
        <w:t xml:space="preserve">. THP-1 </w:t>
      </w:r>
      <w:r w:rsidR="008F561F" w:rsidRPr="003C0E2F">
        <w:t>macrophage</w:t>
      </w:r>
      <w:r w:rsidRPr="003C0E2F">
        <w:t>s polari</w:t>
      </w:r>
      <w:r w:rsidR="000719FA" w:rsidRPr="003C0E2F">
        <w:t>sed</w:t>
      </w:r>
      <w:r w:rsidRPr="003C0E2F">
        <w:t xml:space="preserve"> to M1 phenotype via LPS and </w:t>
      </w:r>
      <w:proofErr w:type="spellStart"/>
      <w:r w:rsidRPr="003C0E2F">
        <w:t>IFNγ</w:t>
      </w:r>
      <w:proofErr w:type="spellEnd"/>
      <w:r w:rsidRPr="003C0E2F">
        <w:t xml:space="preserve"> exposure show elevated levels of TRIF and IRF-3 expression</w:t>
      </w:r>
      <w:r w:rsidR="00B85BE8" w:rsidRPr="003C0E2F">
        <w:t xml:space="preserve"> </w:t>
      </w:r>
      <w:sdt>
        <w:sdtPr>
          <w:tag w:val="MENDELEY_CITATION_v3_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"/>
          <w:id w:val="-1234694102"/>
          <w:placeholder>
            <w:docPart w:val="DefaultPlaceholder_-1854013440"/>
          </w:placeholder>
        </w:sdtPr>
        <w:sdtEndPr/>
        <w:sdtContent>
          <w:r w:rsidR="00F257B9">
            <w:rPr>
              <w:rFonts w:eastAsia="Times New Roman"/>
            </w:rPr>
            <w:t xml:space="preserve">(Shi </w:t>
          </w:r>
          <w:r w:rsidR="00F257B9">
            <w:rPr>
              <w:rFonts w:eastAsia="Times New Roman"/>
              <w:i/>
              <w:iCs/>
            </w:rPr>
            <w:t>et al.</w:t>
          </w:r>
          <w:r w:rsidR="00F257B9">
            <w:rPr>
              <w:rFonts w:eastAsia="Times New Roman"/>
            </w:rPr>
            <w:t>, 2016)</w:t>
          </w:r>
        </w:sdtContent>
      </w:sdt>
      <w:r w:rsidRPr="003C0E2F">
        <w:t xml:space="preserve">. Further to this, IFNβ may be a contributing factor in cardiovascular disease </w:t>
      </w:r>
      <w:sdt>
        <w:sdtPr>
          <w:rPr>
            <w:color w:val="000000"/>
          </w:rPr>
          <w:tag w:val="MENDELEY_CITATION_v3_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"/>
          <w:id w:val="2095594287"/>
          <w:placeholder>
            <w:docPart w:val="DefaultPlaceholder_-1854013440"/>
          </w:placeholder>
        </w:sdtPr>
        <w:sdtEndPr/>
        <w:sdtContent>
          <w:r w:rsidR="00F257B9" w:rsidRPr="00F257B9">
            <w:rPr>
              <w:color w:val="000000"/>
            </w:rPr>
            <w:t>(Schirmer, Bot and …, 2010)</w:t>
          </w:r>
        </w:sdtContent>
      </w:sdt>
      <w:r w:rsidRPr="003C0E2F">
        <w:t xml:space="preserve">. As </w:t>
      </w:r>
      <w:r w:rsidR="00A9277D" w:rsidRPr="003C0E2F">
        <w:t>TRIF-</w:t>
      </w:r>
      <w:r w:rsidR="009E0322" w:rsidRPr="003C0E2F">
        <w:t>dependent</w:t>
      </w:r>
      <w:r w:rsidRPr="003C0E2F">
        <w:t xml:space="preserve"> signalling has been found to be upregulated following M1 polari</w:t>
      </w:r>
      <w:r w:rsidR="00654A0D" w:rsidRPr="003C0E2F">
        <w:t>sation</w:t>
      </w:r>
      <w:r w:rsidRPr="003C0E2F">
        <w:t xml:space="preserve">, modulation of this pathway is of interest.   </w:t>
      </w:r>
    </w:p>
    <w:p w14:paraId="0C895840" w14:textId="77777777" w:rsidR="00FB0674" w:rsidRPr="003C0E2F" w:rsidRDefault="00FB0674">
      <w:pPr>
        <w:spacing w:line="259" w:lineRule="auto"/>
      </w:pPr>
      <w:r w:rsidRPr="003C0E2F">
        <w:br w:type="page"/>
      </w:r>
    </w:p>
    <w:p w14:paraId="0135C427" w14:textId="1A82097B" w:rsidR="006541D9" w:rsidRPr="003C0E2F" w:rsidRDefault="008C4243" w:rsidP="00F458F7">
      <w:pPr>
        <w:keepNext/>
      </w:pPr>
      <w:r w:rsidRPr="003C0E2F">
        <w:rPr>
          <w:noProof/>
        </w:rPr>
        <w:lastRenderedPageBreak/>
        <w:drawing>
          <wp:anchor distT="0" distB="0" distL="114300" distR="114300" simplePos="0" relativeHeight="251657216" behindDoc="1" locked="0" layoutInCell="1" allowOverlap="1" wp14:anchorId="09B277C2" wp14:editId="0E0BF57D">
            <wp:simplePos x="0" y="0"/>
            <wp:positionH relativeFrom="margin">
              <wp:align>center</wp:align>
            </wp:positionH>
            <wp:positionV relativeFrom="paragraph">
              <wp:posOffset>152400</wp:posOffset>
            </wp:positionV>
            <wp:extent cx="6447445" cy="3048000"/>
            <wp:effectExtent l="0" t="0" r="0" b="0"/>
            <wp:wrapTight wrapText="bothSides">
              <wp:wrapPolygon edited="0">
                <wp:start x="0" y="0"/>
                <wp:lineTo x="0" y="21465"/>
                <wp:lineTo x="21509" y="21465"/>
                <wp:lineTo x="21509" y="0"/>
                <wp:lineTo x="0" y="0"/>
              </wp:wrapPolygon>
            </wp:wrapTight>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6447445" cy="3048000"/>
                    </a:xfrm>
                    <a:prstGeom prst="rect">
                      <a:avLst/>
                    </a:prstGeom>
                  </pic:spPr>
                </pic:pic>
              </a:graphicData>
            </a:graphic>
            <wp14:sizeRelH relativeFrom="page">
              <wp14:pctWidth>0</wp14:pctWidth>
            </wp14:sizeRelH>
            <wp14:sizeRelV relativeFrom="page">
              <wp14:pctHeight>0</wp14:pctHeight>
            </wp14:sizeRelV>
          </wp:anchor>
        </w:drawing>
      </w:r>
    </w:p>
    <w:p w14:paraId="2023DC11" w14:textId="0B677928" w:rsidR="00FB0674" w:rsidRPr="003C0E2F" w:rsidRDefault="00FB0674" w:rsidP="003C0E2F">
      <w:pPr>
        <w:pStyle w:val="NoSpacing"/>
      </w:pPr>
      <w:bookmarkStart w:id="969" w:name="_Toc64551818"/>
      <w:bookmarkStart w:id="970" w:name="_Toc80013862"/>
      <w:bookmarkStart w:id="971" w:name="_Toc82883001"/>
      <w:r w:rsidRPr="003C0E2F">
        <w:t xml:space="preserve">Figure </w:t>
      </w:r>
      <w:r w:rsidR="00862981">
        <w:fldChar w:fldCharType="begin"/>
      </w:r>
      <w:r w:rsidR="00862981">
        <w:instrText xml:space="preserve"> SEQ Figure \* ARABIC </w:instrText>
      </w:r>
      <w:r w:rsidR="00862981">
        <w:fldChar w:fldCharType="separate"/>
      </w:r>
      <w:r w:rsidR="000F2276">
        <w:rPr>
          <w:noProof/>
        </w:rPr>
        <w:t>60</w:t>
      </w:r>
      <w:r w:rsidR="00862981">
        <w:rPr>
          <w:noProof/>
        </w:rPr>
        <w:fldChar w:fldCharType="end"/>
      </w:r>
      <w:r w:rsidRPr="003C0E2F">
        <w:t>. FP7 and FP12 can negatively regulate TRIF</w:t>
      </w:r>
      <w:r w:rsidR="00B719AF" w:rsidRPr="003C0E2F">
        <w:t>-</w:t>
      </w:r>
      <w:r w:rsidRPr="003C0E2F">
        <w:t xml:space="preserve">dependent cytokine production in response to LPS. However, post factum treatment </w:t>
      </w:r>
      <w:r w:rsidR="004C6494" w:rsidRPr="003C0E2F">
        <w:t xml:space="preserve">has no </w:t>
      </w:r>
      <w:r w:rsidR="008F561F" w:rsidRPr="003C0E2F">
        <w:t>effect</w:t>
      </w:r>
      <w:r w:rsidR="004C6494" w:rsidRPr="003C0E2F">
        <w:t xml:space="preserve"> on TRIF dependent IFNβ production, perhaps </w:t>
      </w:r>
      <w:proofErr w:type="gramStart"/>
      <w:r w:rsidR="004C6494" w:rsidRPr="003C0E2F">
        <w:t>as a result of</w:t>
      </w:r>
      <w:proofErr w:type="gramEnd"/>
      <w:r w:rsidR="004C6494" w:rsidRPr="003C0E2F">
        <w:t xml:space="preserve"> receptor internalisation. (A) LPS activates TRIF-dependent signalling via TLR4, resulting in receptor internalisation and activation of TBK1 with downstream production of type 1 interferons. (B) FP7 and FP12 can block TRIF-dependent signalling prior to TBK-1 </w:t>
      </w:r>
      <w:r w:rsidR="006541D9" w:rsidRPr="003C0E2F">
        <w:t>activation but</w:t>
      </w:r>
      <w:r w:rsidR="004C6494" w:rsidRPr="003C0E2F">
        <w:t xml:space="preserve"> may not </w:t>
      </w:r>
      <w:proofErr w:type="gramStart"/>
      <w:r w:rsidR="004C6494" w:rsidRPr="003C0E2F">
        <w:t xml:space="preserve">have an </w:t>
      </w:r>
      <w:r w:rsidR="008F561F" w:rsidRPr="003C0E2F">
        <w:t>effect</w:t>
      </w:r>
      <w:r w:rsidR="004C6494" w:rsidRPr="003C0E2F">
        <w:t xml:space="preserve"> on</w:t>
      </w:r>
      <w:proofErr w:type="gramEnd"/>
      <w:r w:rsidR="004C6494" w:rsidRPr="003C0E2F">
        <w:t xml:space="preserve"> TRIF-dependent signalling after receptor internalisation.</w:t>
      </w:r>
      <w:bookmarkEnd w:id="969"/>
      <w:bookmarkEnd w:id="970"/>
      <w:bookmarkEnd w:id="971"/>
    </w:p>
    <w:p w14:paraId="6D166100" w14:textId="114D13A3" w:rsidR="00FB0674" w:rsidRPr="003C0E2F" w:rsidRDefault="00FB0674" w:rsidP="00FB0674"/>
    <w:p w14:paraId="3113F661" w14:textId="33B148DF" w:rsidR="00621C78" w:rsidRPr="003C0E2F" w:rsidRDefault="00621C78" w:rsidP="00621C78">
      <w:r w:rsidRPr="003C0E2F">
        <w:t xml:space="preserve">Evidence obtained through the course of this study suggests FP7 and FP12 </w:t>
      </w:r>
      <w:r w:rsidR="00B85BE8" w:rsidRPr="003C0E2F">
        <w:t>are also</w:t>
      </w:r>
      <w:r w:rsidRPr="003C0E2F">
        <w:t xml:space="preserve"> capable of downregulating </w:t>
      </w:r>
      <w:r w:rsidR="00A9277D" w:rsidRPr="003C0E2F">
        <w:t>TRIF-</w:t>
      </w:r>
      <w:r w:rsidR="009E0322" w:rsidRPr="003C0E2F">
        <w:t>dependent</w:t>
      </w:r>
      <w:r w:rsidRPr="003C0E2F">
        <w:t xml:space="preserve"> signalling in THP-1 </w:t>
      </w:r>
      <w:r w:rsidR="008F561F" w:rsidRPr="003C0E2F">
        <w:t>macrophage</w:t>
      </w:r>
      <w:r w:rsidRPr="003C0E2F">
        <w:t xml:space="preserve">s. Following LPS stimulation, both FP7 and FP12 have been shown to significantly reduce LPS mediated p-STAT-1, p-TBK and IFNβ production. Interestingly, while FP7 and FP12 appear capable of downregulating </w:t>
      </w:r>
      <w:r w:rsidR="00932BC2" w:rsidRPr="003C0E2F">
        <w:t>MyD88</w:t>
      </w:r>
      <w:r w:rsidR="00A9277D" w:rsidRPr="003C0E2F">
        <w:t>-</w:t>
      </w:r>
      <w:r w:rsidR="009E0322" w:rsidRPr="003C0E2F">
        <w:t>dependent</w:t>
      </w:r>
      <w:r w:rsidRPr="003C0E2F">
        <w:t xml:space="preserve"> cytokines following post-LPS treatment, IFNβ is not affected in the same way. While prior and co-treatment with FP7 or FP12 can downregulate IFNβ production, post LPS does not produce any decrease in IFNβ for FP12 but not for FP7. This may be the result of receptor endocytosis</w:t>
      </w:r>
      <w:r w:rsidR="009A66EF" w:rsidRPr="003C0E2F">
        <w:t xml:space="preserve">, which occurs within 30 minutes of receptor activation </w:t>
      </w:r>
      <w:sdt>
        <w:sdtPr>
          <w:tag w:val="MENDELEY_CITATION_v3_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"/>
          <w:id w:val="828554978"/>
          <w:placeholder>
            <w:docPart w:val="DefaultPlaceholder_-1854013440"/>
          </w:placeholder>
        </w:sdtPr>
        <w:sdtEndPr/>
        <w:sdtContent>
          <w:r w:rsidR="00F257B9">
            <w:rPr>
              <w:rFonts w:eastAsia="Times New Roman"/>
            </w:rPr>
            <w:t xml:space="preserve">(Kagan </w:t>
          </w:r>
          <w:r w:rsidR="00F257B9">
            <w:rPr>
              <w:rFonts w:eastAsia="Times New Roman"/>
              <w:i/>
              <w:iCs/>
            </w:rPr>
            <w:t>et al.</w:t>
          </w:r>
          <w:r w:rsidR="00F257B9">
            <w:rPr>
              <w:rFonts w:eastAsia="Times New Roman"/>
            </w:rPr>
            <w:t>, 2008)</w:t>
          </w:r>
        </w:sdtContent>
      </w:sdt>
      <w:r w:rsidR="009A66EF" w:rsidRPr="003C0E2F">
        <w:t xml:space="preserve">. </w:t>
      </w:r>
      <w:r w:rsidRPr="003C0E2F">
        <w:t xml:space="preserve">As </w:t>
      </w:r>
      <w:r w:rsidR="005A3331" w:rsidRPr="003C0E2F">
        <w:t xml:space="preserve">shown here (Figure 42), </w:t>
      </w:r>
      <w:r w:rsidR="009E42FE" w:rsidRPr="003C0E2F">
        <w:t>TBK1</w:t>
      </w:r>
      <w:r w:rsidRPr="003C0E2F">
        <w:t xml:space="preserve"> </w:t>
      </w:r>
      <w:r w:rsidRPr="003C0E2F">
        <w:lastRenderedPageBreak/>
        <w:t>is already phosphorylated at 30 minutes, signal transduction is already well underway and thus assumedly TLR4 is no longer on the surface</w:t>
      </w:r>
      <w:r w:rsidR="001D5FB3" w:rsidRPr="003C0E2F">
        <w:t xml:space="preserve"> of cells</w:t>
      </w:r>
      <w:r w:rsidR="00306A70" w:rsidRPr="003C0E2F">
        <w:t xml:space="preserve"> (Figure 60)</w:t>
      </w:r>
      <w:r w:rsidRPr="003C0E2F">
        <w:t xml:space="preserve">. As FP7 interacts with MD-2 </w:t>
      </w:r>
      <w:sdt>
        <w:sdtPr>
          <w:tag w:val="MENDELEY_CITATION_v3_eyJjaXRhdGlvbklEIjoiTUVOREVMRVlfQ0lUQVRJT05fZDllMzAzMDUtNDY2ZS00YTkwLTgwY2YtODA4NGJjMGI0MWRi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GYWNjaGluaSA8aT5ldCBhbC48L2k+LCAyMDE4KSIsIm1hbnVhbE92ZXJyaWRlVGV4dCI6IiJ9fQ=="/>
          <w:id w:val="2087031244"/>
          <w:placeholder>
            <w:docPart w:val="DefaultPlaceholder_-1854013440"/>
          </w:placeholder>
        </w:sdtPr>
        <w:sdtEndPr/>
        <w:sdtContent>
          <w:r w:rsidR="00F257B9">
            <w:rPr>
              <w:rFonts w:eastAsia="Times New Roman"/>
            </w:rPr>
            <w:t>(</w:t>
          </w:r>
          <w:proofErr w:type="spellStart"/>
          <w:r w:rsidR="00F257B9">
            <w:rPr>
              <w:rFonts w:eastAsia="Times New Roman"/>
            </w:rPr>
            <w:t>Facchini</w:t>
          </w:r>
          <w:proofErr w:type="spellEnd"/>
          <w:r w:rsidR="00F257B9">
            <w:rPr>
              <w:rFonts w:eastAsia="Times New Roman"/>
            </w:rPr>
            <w:t xml:space="preserve"> </w:t>
          </w:r>
          <w:r w:rsidR="00F257B9">
            <w:rPr>
              <w:rFonts w:eastAsia="Times New Roman"/>
              <w:i/>
              <w:iCs/>
            </w:rPr>
            <w:t>et al.</w:t>
          </w:r>
          <w:r w:rsidR="00F257B9">
            <w:rPr>
              <w:rFonts w:eastAsia="Times New Roman"/>
            </w:rPr>
            <w:t>, 2018)</w:t>
          </w:r>
        </w:sdtContent>
      </w:sdt>
      <w:r w:rsidRPr="003C0E2F">
        <w:t xml:space="preserve">, this may suggest that interactions are extracellular and FP7 does affect TLR4 once internalised. However, further experiments would be required to determine localisation of FP12 following treatment timing. </w:t>
      </w:r>
    </w:p>
    <w:p w14:paraId="6BCD1DC5" w14:textId="7A666A61" w:rsidR="00EE0FCF" w:rsidRPr="003C0E2F" w:rsidRDefault="008C4243" w:rsidP="00EE0FCF">
      <w:pPr>
        <w:pStyle w:val="Caption"/>
        <w:rPr>
          <w:color w:val="auto"/>
        </w:rPr>
      </w:pPr>
      <w:r w:rsidRPr="003C0E2F">
        <w:rPr>
          <w:noProof/>
          <w:color w:val="auto"/>
        </w:rPr>
        <w:drawing>
          <wp:anchor distT="0" distB="0" distL="114300" distR="114300" simplePos="0" relativeHeight="251659264" behindDoc="1" locked="0" layoutInCell="1" allowOverlap="1" wp14:anchorId="09177207" wp14:editId="2CA07A00">
            <wp:simplePos x="0" y="0"/>
            <wp:positionH relativeFrom="margin">
              <wp:align>center</wp:align>
            </wp:positionH>
            <wp:positionV relativeFrom="paragraph">
              <wp:posOffset>287020</wp:posOffset>
            </wp:positionV>
            <wp:extent cx="6374130" cy="2466975"/>
            <wp:effectExtent l="0" t="0" r="7620" b="9525"/>
            <wp:wrapTight wrapText="bothSides">
              <wp:wrapPolygon edited="0">
                <wp:start x="0" y="0"/>
                <wp:lineTo x="0" y="21517"/>
                <wp:lineTo x="21561" y="21517"/>
                <wp:lineTo x="21561" y="0"/>
                <wp:lineTo x="0" y="0"/>
              </wp:wrapPolygon>
            </wp:wrapTight>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6374130" cy="2466975"/>
                    </a:xfrm>
                    <a:prstGeom prst="rect">
                      <a:avLst/>
                    </a:prstGeom>
                  </pic:spPr>
                </pic:pic>
              </a:graphicData>
            </a:graphic>
            <wp14:sizeRelH relativeFrom="page">
              <wp14:pctWidth>0</wp14:pctWidth>
            </wp14:sizeRelH>
            <wp14:sizeRelV relativeFrom="page">
              <wp14:pctHeight>0</wp14:pctHeight>
            </wp14:sizeRelV>
          </wp:anchor>
        </w:drawing>
      </w:r>
    </w:p>
    <w:p w14:paraId="2931D811" w14:textId="69EFFB76" w:rsidR="0089341C" w:rsidRPr="003C0E2F" w:rsidRDefault="008C4243" w:rsidP="003C0E2F">
      <w:pPr>
        <w:pStyle w:val="NoSpacing"/>
      </w:pPr>
      <w:bookmarkStart w:id="972" w:name="_Toc64551819"/>
      <w:r w:rsidRPr="003C0E2F">
        <w:br/>
      </w:r>
      <w:bookmarkStart w:id="973" w:name="_Toc80013863"/>
      <w:bookmarkStart w:id="974" w:name="_Toc82883002"/>
      <w:r w:rsidR="00EE0FCF" w:rsidRPr="003C0E2F">
        <w:t xml:space="preserve">Figure </w:t>
      </w:r>
      <w:r w:rsidR="00862981">
        <w:fldChar w:fldCharType="begin"/>
      </w:r>
      <w:r w:rsidR="00862981">
        <w:instrText xml:space="preserve"> SEQ Figure \* ARABIC </w:instrText>
      </w:r>
      <w:r w:rsidR="00862981">
        <w:fldChar w:fldCharType="separate"/>
      </w:r>
      <w:r w:rsidR="000F2276">
        <w:rPr>
          <w:noProof/>
        </w:rPr>
        <w:t>61</w:t>
      </w:r>
      <w:r w:rsidR="00862981">
        <w:rPr>
          <w:noProof/>
        </w:rPr>
        <w:fldChar w:fldCharType="end"/>
      </w:r>
      <w:r w:rsidR="00EE0FCF" w:rsidRPr="003C0E2F">
        <w:t>. FP7 and FP12 indirectly downregulate STAT-1 phosphorylation via IFNAR. (A) TLR4 induced production of IFNβ results in subsequent activation of IFNAR and downstream phosphorylation of STAT-1.</w:t>
      </w:r>
      <w:r w:rsidR="005C3DEE" w:rsidRPr="003C0E2F">
        <w:t xml:space="preserve"> IFNAR blocking antibodies prevent TLR4 dependent activation of STAT-1 via IFNAR. </w:t>
      </w:r>
      <w:r w:rsidR="00EE0FCF" w:rsidRPr="003C0E2F">
        <w:t xml:space="preserve"> FP7 and FP12 can </w:t>
      </w:r>
      <w:r w:rsidR="009D4BB4" w:rsidRPr="003C0E2F">
        <w:t>affect IFNAR signalling by TLR4-dependent IFNβ</w:t>
      </w:r>
      <w:r w:rsidR="00EE0FCF" w:rsidRPr="003C0E2F">
        <w:t xml:space="preserve">, but not </w:t>
      </w:r>
      <w:r w:rsidR="009D4BB4" w:rsidRPr="003C0E2F">
        <w:t xml:space="preserve">direct </w:t>
      </w:r>
      <w:r w:rsidR="00EE0FCF" w:rsidRPr="003C0E2F">
        <w:t>IFNAR</w:t>
      </w:r>
      <w:r w:rsidR="009D4BB4" w:rsidRPr="003C0E2F">
        <w:t xml:space="preserve"> activation by IFNβ</w:t>
      </w:r>
      <w:r w:rsidR="00EE0FCF" w:rsidRPr="003C0E2F">
        <w:t>. (B) FP7 and FP12 downregulate TRIF-dependent production if IFNβ, preventing IFNβ activation of IFNAR and thus downregulating IFNAR dependent STAT-1 phosphorylation.</w:t>
      </w:r>
      <w:bookmarkEnd w:id="972"/>
      <w:bookmarkEnd w:id="973"/>
      <w:bookmarkEnd w:id="974"/>
    </w:p>
    <w:p w14:paraId="682FCB41" w14:textId="77777777" w:rsidR="00EE0FCF" w:rsidRPr="003C0E2F" w:rsidRDefault="00EE0FCF" w:rsidP="00621C78"/>
    <w:p w14:paraId="31225D23" w14:textId="522860E1" w:rsidR="00CC07D0" w:rsidRPr="003C0E2F" w:rsidRDefault="00621C78" w:rsidP="00621C78">
      <w:r w:rsidRPr="003C0E2F">
        <w:t>Additional studies of the relationship between LPS, FP7, IFNβ and IFNAR were carried out. Following LPS stimulation of TLR4</w:t>
      </w:r>
      <w:r w:rsidR="00E02E7C" w:rsidRPr="003C0E2F">
        <w:t>,</w:t>
      </w:r>
      <w:r w:rsidRPr="003C0E2F">
        <w:t xml:space="preserve"> STAT-1 can be activated via cytokine</w:t>
      </w:r>
      <w:r w:rsidR="00A9277D" w:rsidRPr="003C0E2F">
        <w:t>-</w:t>
      </w:r>
      <w:r w:rsidR="009E0322" w:rsidRPr="003C0E2F">
        <w:t>dependent</w:t>
      </w:r>
      <w:r w:rsidRPr="003C0E2F">
        <w:t xml:space="preserve"> signalling pathways. IFNAR signalling is associated with JAK/STAT pathways. To determine how much STAT-1 activation is </w:t>
      </w:r>
      <w:r w:rsidR="009E0322" w:rsidRPr="003C0E2F">
        <w:t>dependent</w:t>
      </w:r>
      <w:r w:rsidRPr="003C0E2F">
        <w:t xml:space="preserve"> on IFNβ and confirm specificity of FP7 and FP12, a series of experiments </w:t>
      </w:r>
      <w:r w:rsidR="00E02E7C" w:rsidRPr="003C0E2F">
        <w:t xml:space="preserve">utilising an </w:t>
      </w:r>
      <w:r w:rsidR="00E02E7C" w:rsidRPr="003C0E2F">
        <w:lastRenderedPageBreak/>
        <w:t xml:space="preserve">IFNAR blocking antibody </w:t>
      </w:r>
      <w:r w:rsidRPr="003C0E2F">
        <w:t xml:space="preserve">were carried out to assess these elements. </w:t>
      </w:r>
      <w:r w:rsidR="00E02E7C" w:rsidRPr="003C0E2F">
        <w:t>LPS upregulated levels of IFN</w:t>
      </w:r>
      <w:r w:rsidR="00E02E7C" w:rsidRPr="003C0E2F">
        <w:rPr>
          <w:rFonts w:cstheme="minorHAnsi"/>
        </w:rPr>
        <w:t>β</w:t>
      </w:r>
      <w:r w:rsidR="00E02E7C" w:rsidRPr="003C0E2F">
        <w:t xml:space="preserve">, which are suppressed when cells are pre-treated with FP7 or FP12. LPS caused an increase in STAT-1 phosphorylation, peaking around 3 hours after exposure which FP7 and FP12 can also </w:t>
      </w:r>
      <w:proofErr w:type="gramStart"/>
      <w:r w:rsidR="00E02E7C" w:rsidRPr="003C0E2F">
        <w:t>downregulate</w:t>
      </w:r>
      <w:r w:rsidR="00706D6E" w:rsidRPr="003C0E2F">
        <w:t xml:space="preserve"> </w:t>
      </w:r>
      <w:r w:rsidR="00E02E7C" w:rsidRPr="003C0E2F">
        <w:t>.</w:t>
      </w:r>
      <w:proofErr w:type="gramEnd"/>
      <w:r w:rsidR="00E02E7C" w:rsidRPr="003C0E2F">
        <w:t xml:space="preserve"> </w:t>
      </w:r>
      <w:r w:rsidR="00861744" w:rsidRPr="003C0E2F">
        <w:t xml:space="preserve">Exposure of cells to </w:t>
      </w:r>
      <w:r w:rsidR="00E02E7C" w:rsidRPr="003C0E2F">
        <w:t>IFN</w:t>
      </w:r>
      <w:r w:rsidR="00E02E7C" w:rsidRPr="003C0E2F">
        <w:rPr>
          <w:rFonts w:cstheme="minorHAnsi"/>
        </w:rPr>
        <w:t>β</w:t>
      </w:r>
      <w:r w:rsidR="00E02E7C" w:rsidRPr="003C0E2F">
        <w:t xml:space="preserve"> produced a rapid increase in STAT-1 phosphorylation in THP-1 macrophages which was not </w:t>
      </w:r>
      <w:r w:rsidR="00706D6E" w:rsidRPr="003C0E2F">
        <w:t xml:space="preserve">significantly </w:t>
      </w:r>
      <w:r w:rsidR="00E02E7C" w:rsidRPr="003C0E2F">
        <w:t xml:space="preserve">affected by FP7 or FP12.  </w:t>
      </w:r>
      <w:r w:rsidRPr="003C0E2F">
        <w:t xml:space="preserve">FP7 and FP12 were capable of downregulating LPS, but not IFNβ </w:t>
      </w:r>
      <w:r w:rsidR="00E02E7C" w:rsidRPr="003C0E2F">
        <w:t>dependent</w:t>
      </w:r>
      <w:r w:rsidRPr="003C0E2F">
        <w:t xml:space="preserve"> STAT-1 phosphorylation. IFNAR blocking prevented STAT-1 phosphorylation in response to LPS or IFNβ. These results suggested that STAT-1 was entirely </w:t>
      </w:r>
      <w:r w:rsidR="007A7EEE" w:rsidRPr="003C0E2F">
        <w:t>dependent</w:t>
      </w:r>
      <w:r w:rsidRPr="003C0E2F">
        <w:t xml:space="preserve"> on IFNAR signalling and FP7 and FP12 exert an indirect inhibition of IFNAR via downregulation of TLR4</w:t>
      </w:r>
      <w:r w:rsidR="00A9277D" w:rsidRPr="003C0E2F">
        <w:t>-</w:t>
      </w:r>
      <w:r w:rsidR="009E0322" w:rsidRPr="003C0E2F">
        <w:t>dependent</w:t>
      </w:r>
      <w:r w:rsidRPr="003C0E2F">
        <w:t xml:space="preserve"> IFNβ production</w:t>
      </w:r>
      <w:r w:rsidR="00F86C88" w:rsidRPr="003C0E2F">
        <w:t xml:space="preserve"> (Figure 61)</w:t>
      </w:r>
      <w:r w:rsidRPr="003C0E2F">
        <w:t xml:space="preserve">. This data in conjunction with previous evidence obtained through the project provides evidence towards FP7 and FP12 antagonism of both </w:t>
      </w:r>
      <w:r w:rsidR="00932BC2" w:rsidRPr="003C0E2F">
        <w:t>MyD88</w:t>
      </w:r>
      <w:r w:rsidRPr="003C0E2F">
        <w:t xml:space="preserve"> and </w:t>
      </w:r>
      <w:r w:rsidR="00A9277D" w:rsidRPr="003C0E2F">
        <w:t>TRIF-</w:t>
      </w:r>
      <w:r w:rsidR="007A7EEE" w:rsidRPr="003C0E2F">
        <w:t>dependent</w:t>
      </w:r>
      <w:r w:rsidR="00283225" w:rsidRPr="003C0E2F">
        <w:t xml:space="preserve"> </w:t>
      </w:r>
      <w:r w:rsidRPr="003C0E2F">
        <w:t xml:space="preserve">TLR4 signalling. </w:t>
      </w:r>
      <w:r w:rsidR="00CC07D0" w:rsidRPr="003C0E2F">
        <w:br w:type="page"/>
      </w:r>
    </w:p>
    <w:p w14:paraId="0E5BE348" w14:textId="3E4A0A1B" w:rsidR="00553A35" w:rsidRPr="003C0E2F" w:rsidRDefault="00553A35" w:rsidP="00BE5236">
      <w:pPr>
        <w:pStyle w:val="Heading2"/>
      </w:pPr>
      <w:bookmarkStart w:id="975" w:name="_Toc80013795"/>
      <w:bookmarkStart w:id="976" w:name="_Toc82882415"/>
      <w:r w:rsidRPr="003C0E2F">
        <w:lastRenderedPageBreak/>
        <w:t>FP11 and FP18 upregulate</w:t>
      </w:r>
      <w:r w:rsidR="00F06A57" w:rsidRPr="003C0E2F">
        <w:t xml:space="preserve"> </w:t>
      </w:r>
      <w:r w:rsidR="00932BC2" w:rsidRPr="003C0E2F">
        <w:t>MyD88</w:t>
      </w:r>
      <w:r w:rsidR="00F06A57" w:rsidRPr="003C0E2F">
        <w:t xml:space="preserve"> and</w:t>
      </w:r>
      <w:r w:rsidRPr="003C0E2F">
        <w:t xml:space="preserve"> </w:t>
      </w:r>
      <w:r w:rsidR="00A9277D" w:rsidRPr="003C0E2F">
        <w:t>TRIF-</w:t>
      </w:r>
      <w:r w:rsidR="009E0322" w:rsidRPr="003C0E2F">
        <w:t>dependent</w:t>
      </w:r>
      <w:r w:rsidRPr="003C0E2F">
        <w:t xml:space="preserve"> TLR4 signalling</w:t>
      </w:r>
      <w:bookmarkEnd w:id="975"/>
      <w:bookmarkEnd w:id="976"/>
      <w:r w:rsidRPr="003C0E2F">
        <w:tab/>
      </w:r>
    </w:p>
    <w:p w14:paraId="7F229F88" w14:textId="4818D710" w:rsidR="00621C78" w:rsidRPr="003C0E2F" w:rsidRDefault="00621C78" w:rsidP="00621C78">
      <w:r w:rsidRPr="003C0E2F">
        <w:t xml:space="preserve">From the initial series of FP compounds, FP11 was the only antagonist to show positive initial </w:t>
      </w:r>
      <w:r w:rsidR="008F561F" w:rsidRPr="003C0E2F">
        <w:t>effect</w:t>
      </w:r>
      <w:r w:rsidRPr="003C0E2F">
        <w:t xml:space="preserve">s on IL-8 production. While also a monosaccharide synthetic glycolipid, FP11 shares structural similarity to part of MPLA. As such, it may be expected to exhibit some similar </w:t>
      </w:r>
      <w:r w:rsidR="008F561F" w:rsidRPr="003C0E2F">
        <w:t>effect</w:t>
      </w:r>
      <w:r w:rsidRPr="003C0E2F">
        <w:t xml:space="preserve">s to MPLA on proinflammatory protein production. </w:t>
      </w:r>
      <w:r w:rsidR="008A3B68" w:rsidRPr="003C0E2F">
        <w:t>A proinflammatory protein antibody array</w:t>
      </w:r>
      <w:r w:rsidRPr="003C0E2F">
        <w:t xml:space="preserve"> was used to compare LPS, MPLA, FP11 and an additional predicted agonist, FP18, which was structurally </w:t>
      </w:r>
      <w:proofErr w:type="gramStart"/>
      <w:r w:rsidRPr="003C0E2F">
        <w:t>similar to</w:t>
      </w:r>
      <w:proofErr w:type="gramEnd"/>
      <w:r w:rsidRPr="003C0E2F">
        <w:t xml:space="preserve"> FP11 but with shorter acyl chain length. </w:t>
      </w:r>
    </w:p>
    <w:p w14:paraId="6E4F153F" w14:textId="4FF4943B" w:rsidR="00621C78" w:rsidRPr="003C0E2F" w:rsidRDefault="00621C78" w:rsidP="00621C78">
      <w:r w:rsidRPr="003C0E2F">
        <w:t xml:space="preserve">Results from array suggested that FP11 and FP18 were more comparable in </w:t>
      </w:r>
      <w:r w:rsidR="008F561F" w:rsidRPr="003C0E2F">
        <w:t>effect</w:t>
      </w:r>
      <w:r w:rsidRPr="003C0E2F">
        <w:t xml:space="preserve"> to one another, and to LPS, than they were to MPLA. Both compounds produced a significant elevation in many proinflammatory cytokines, though they were less potent than LPS. Interestingly, MPLA appears to stimulate production of a different set of cytokines. It is worth noting that the LPS used for FP7/FP12 array was Re-form, while the FP11, FP18 array was S-form. This appears to give a different expression profile which may relate to </w:t>
      </w:r>
      <w:r w:rsidR="00932BC2" w:rsidRPr="003C0E2F">
        <w:t>MyD88</w:t>
      </w:r>
      <w:r w:rsidRPr="003C0E2F">
        <w:t xml:space="preserve">/TRIF affinity of LPS chemotypes </w:t>
      </w:r>
      <w:sdt>
        <w:sdtPr>
          <w:tag w:val="MENDELEY_CITATION_v3_eyJjaXRhdGlvbklEIjoiTUVOREVMRVlfQ0lUQVRJT05fMzQ4ZWM1NmUtNGNmMS00NjZiLWFlYmQtODQwOGNiZmNjOWZi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
          <w:id w:val="323097426"/>
          <w:placeholder>
            <w:docPart w:val="DefaultPlaceholder_-1854013440"/>
          </w:placeholder>
        </w:sdtPr>
        <w:sdtEndPr/>
        <w:sdtContent>
          <w:r w:rsidR="00F257B9">
            <w:rPr>
              <w:rFonts w:eastAsia="Times New Roman"/>
            </w:rPr>
            <w:t xml:space="preserve">(Huber </w:t>
          </w:r>
          <w:r w:rsidR="00F257B9">
            <w:rPr>
              <w:rFonts w:eastAsia="Times New Roman"/>
              <w:i/>
              <w:iCs/>
            </w:rPr>
            <w:t>et al.</w:t>
          </w:r>
          <w:r w:rsidR="00F257B9">
            <w:rPr>
              <w:rFonts w:eastAsia="Times New Roman"/>
            </w:rPr>
            <w:t>, 2006)</w:t>
          </w:r>
        </w:sdtContent>
      </w:sdt>
    </w:p>
    <w:p w14:paraId="762AF348" w14:textId="0D95FF29" w:rsidR="00553A35" w:rsidRPr="003C0E2F" w:rsidRDefault="00621C78" w:rsidP="00621C78">
      <w:r w:rsidRPr="003C0E2F">
        <w:t>FP11, FP18 and MPLA were compared for their potential to induce TLR4-</w:t>
      </w:r>
      <w:r w:rsidR="009E0322" w:rsidRPr="003C0E2F">
        <w:t>dependent</w:t>
      </w:r>
      <w:r w:rsidRPr="003C0E2F">
        <w:t xml:space="preserve"> signalling in THP-1 cells. Previous data suggested FP11 exhibits some agonistic </w:t>
      </w:r>
      <w:r w:rsidR="008F561F" w:rsidRPr="003C0E2F">
        <w:t>effect</w:t>
      </w:r>
      <w:r w:rsidRPr="003C0E2F">
        <w:t xml:space="preserve"> in THP-1 </w:t>
      </w:r>
      <w:r w:rsidR="008F561F" w:rsidRPr="003C0E2F">
        <w:t>macrophage</w:t>
      </w:r>
      <w:r w:rsidRPr="003C0E2F">
        <w:t xml:space="preserve">s. Interestingly, while FP18, FP11 nor MPLA appeared capable of inducing </w:t>
      </w:r>
      <w:r w:rsidR="00A9277D" w:rsidRPr="003C0E2F">
        <w:t>TRIF-</w:t>
      </w:r>
      <w:r w:rsidR="009E0322" w:rsidRPr="003C0E2F">
        <w:t>dependent</w:t>
      </w:r>
      <w:r w:rsidRPr="003C0E2F">
        <w:t xml:space="preserve"> </w:t>
      </w:r>
      <w:r w:rsidR="009E42FE" w:rsidRPr="003C0E2F">
        <w:t>TBK1</w:t>
      </w:r>
      <w:r w:rsidRPr="003C0E2F">
        <w:t xml:space="preserve"> phosphorylation or </w:t>
      </w:r>
      <w:r w:rsidR="009E42FE" w:rsidRPr="003C0E2F">
        <w:t>IP10</w:t>
      </w:r>
      <w:r w:rsidRPr="003C0E2F">
        <w:t xml:space="preserve"> production, these all still produced elevated levels of STAT-1 phosphorylation. For MPLA this </w:t>
      </w:r>
      <w:r w:rsidR="008F561F" w:rsidRPr="003C0E2F">
        <w:t>effect</w:t>
      </w:r>
      <w:r w:rsidRPr="003C0E2F">
        <w:t xml:space="preserve"> is much later and to a lesser extent than with LPS, FP11 or FP18. Further blocking experiments show that FP11 and FP18</w:t>
      </w:r>
      <w:r w:rsidR="00A9277D" w:rsidRPr="003C0E2F">
        <w:t>-</w:t>
      </w:r>
      <w:r w:rsidR="009E0322" w:rsidRPr="003C0E2F">
        <w:t>dependent</w:t>
      </w:r>
      <w:r w:rsidRPr="003C0E2F">
        <w:t xml:space="preserve"> p-STAT-1 is activated via IFNAR. Preliminary data suggested that these do not produce IFNβ. However, IFNAR can be activated other type-1 interferons. At this </w:t>
      </w:r>
      <w:r w:rsidR="00283225" w:rsidRPr="003C0E2F">
        <w:t>time,</w:t>
      </w:r>
      <w:r w:rsidRPr="003C0E2F">
        <w:t xml:space="preserve"> the exact mechanism or means by which IFNAR is activated by FP11 and FP18 is difficult to consider. To </w:t>
      </w:r>
      <w:r w:rsidR="00023245" w:rsidRPr="003C0E2F">
        <w:t>first</w:t>
      </w:r>
      <w:r w:rsidR="001A2988" w:rsidRPr="003C0E2F">
        <w:t xml:space="preserve"> </w:t>
      </w:r>
      <w:r w:rsidRPr="003C0E2F">
        <w:t>prove that this is not a direct interaction, further TLR4 blocking experiments may be necessary for future consideration. To elucidate the exact role of IFNs and potential alternative mechanisms of IFNAR induced STAT-1 activation, further experiments are required</w:t>
      </w:r>
      <w:r w:rsidR="00C64A8E" w:rsidRPr="003C0E2F">
        <w:t>.</w:t>
      </w:r>
      <w:r w:rsidR="00553A35" w:rsidRPr="003C0E2F">
        <w:br w:type="page"/>
      </w:r>
    </w:p>
    <w:p w14:paraId="68C3FED9" w14:textId="77777777" w:rsidR="00553A35" w:rsidRPr="003C0E2F" w:rsidRDefault="00553A35" w:rsidP="00BE5236">
      <w:pPr>
        <w:pStyle w:val="Heading2"/>
      </w:pPr>
      <w:bookmarkStart w:id="977" w:name="_Toc80013796"/>
      <w:bookmarkStart w:id="978" w:name="_Toc82882416"/>
      <w:r w:rsidRPr="003C0E2F">
        <w:lastRenderedPageBreak/>
        <w:t>Limitations and Future Work</w:t>
      </w:r>
      <w:bookmarkEnd w:id="977"/>
      <w:bookmarkEnd w:id="978"/>
    </w:p>
    <w:p w14:paraId="25BE4261" w14:textId="61B739CF" w:rsidR="00621C78" w:rsidRPr="003C0E2F" w:rsidRDefault="00621C78" w:rsidP="00621C78">
      <w:r w:rsidRPr="003C0E2F">
        <w:t xml:space="preserve">The current work provides an overview of FP7 and FP12 activity in human and mouse TLR4 signalling. Both </w:t>
      </w:r>
      <w:r w:rsidR="00932BC2" w:rsidRPr="003C0E2F">
        <w:t>MyD88</w:t>
      </w:r>
      <w:r w:rsidRPr="003C0E2F">
        <w:t xml:space="preserve"> and </w:t>
      </w:r>
      <w:r w:rsidR="00A9277D" w:rsidRPr="003C0E2F">
        <w:t>TRIF-</w:t>
      </w:r>
      <w:r w:rsidR="009E0322" w:rsidRPr="003C0E2F">
        <w:t>dependent</w:t>
      </w:r>
      <w:r w:rsidRPr="003C0E2F">
        <w:t xml:space="preserve"> signalling were </w:t>
      </w:r>
      <w:r w:rsidR="00B85BE8" w:rsidRPr="003C0E2F">
        <w:t>studied,</w:t>
      </w:r>
      <w:r w:rsidRPr="003C0E2F">
        <w:t xml:space="preserve"> and </w:t>
      </w:r>
      <w:r w:rsidR="00BC0AAB" w:rsidRPr="003C0E2F">
        <w:t xml:space="preserve">both </w:t>
      </w:r>
      <w:r w:rsidRPr="003C0E2F">
        <w:t>compounds were found to be capable of affecting both pathways. However, some understanding of these interactions requires some further investigation understand exact mechanisms of FP7 and FP12 antagonism.</w:t>
      </w:r>
      <w:r w:rsidR="00BC0AAB" w:rsidRPr="003C0E2F">
        <w:t xml:space="preserve"> </w:t>
      </w:r>
    </w:p>
    <w:p w14:paraId="0F054567" w14:textId="06EE5CEC" w:rsidR="00621C78" w:rsidRPr="003C0E2F" w:rsidRDefault="00621C78" w:rsidP="00621C78">
      <w:r w:rsidRPr="003C0E2F">
        <w:t>FP7 and FP12 are capable of downregulating TLR4-</w:t>
      </w:r>
      <w:r w:rsidR="009E0322" w:rsidRPr="003C0E2F">
        <w:t>dependent</w:t>
      </w:r>
      <w:r w:rsidRPr="003C0E2F">
        <w:t xml:space="preserve"> </w:t>
      </w:r>
      <w:r w:rsidR="00932BC2" w:rsidRPr="003C0E2F">
        <w:t>MyD88</w:t>
      </w:r>
      <w:r w:rsidRPr="003C0E2F">
        <w:t xml:space="preserve">, but not TRIF pathways in post factum treatment by FP12. The exact means by which this is possible is not currently understood. Speculations can be made, but further computational modelling of how FP7 or FP12 can interact with different signalling molecules after LPS binding is necessary to get a clearer understanding. Additionally, experiments to determine the distribution of FP7 and FP12 following treatment could help to understand if this is present and capable of interactions within the cell, or if </w:t>
      </w:r>
      <w:r w:rsidR="008F561F" w:rsidRPr="003C0E2F">
        <w:t>effect</w:t>
      </w:r>
      <w:r w:rsidRPr="003C0E2F">
        <w:t xml:space="preserve">s are limited to external interactions. </w:t>
      </w:r>
    </w:p>
    <w:p w14:paraId="584442CE" w14:textId="023BC39F" w:rsidR="00621C78" w:rsidRPr="003C0E2F" w:rsidRDefault="00621C78" w:rsidP="00621C78">
      <w:r w:rsidRPr="003C0E2F">
        <w:t xml:space="preserve">In comparison studies between mouse and human </w:t>
      </w:r>
      <w:r w:rsidR="008F561F" w:rsidRPr="003C0E2F">
        <w:t>macrophage</w:t>
      </w:r>
      <w:r w:rsidRPr="003C0E2F">
        <w:t xml:space="preserve">s, only </w:t>
      </w:r>
      <w:r w:rsidR="00BC0AAB" w:rsidRPr="003C0E2F">
        <w:t xml:space="preserve">one </w:t>
      </w:r>
      <w:r w:rsidR="007A7EEE" w:rsidRPr="003C0E2F">
        <w:t>candidate</w:t>
      </w:r>
      <w:r w:rsidRPr="003C0E2F">
        <w:t xml:space="preserve"> w</w:t>
      </w:r>
      <w:r w:rsidR="00BC0AAB" w:rsidRPr="003C0E2F">
        <w:t>as</w:t>
      </w:r>
      <w:r w:rsidRPr="003C0E2F">
        <w:t xml:space="preserve"> measured at this time</w:t>
      </w:r>
      <w:r w:rsidR="003273B5" w:rsidRPr="003C0E2F">
        <w:t>. The effect</w:t>
      </w:r>
      <w:r w:rsidR="00BC0AAB" w:rsidRPr="003C0E2F">
        <w:t>s of FP7 in IL-6 and KC provided some interesting evidence for cross-species translatability and potential differences between species, however</w:t>
      </w:r>
      <w:r w:rsidRPr="003C0E2F">
        <w:t xml:space="preserve"> </w:t>
      </w:r>
      <w:r w:rsidR="00BC0AAB" w:rsidRPr="003C0E2F">
        <w:t xml:space="preserve">further investigation into the </w:t>
      </w:r>
      <w:r w:rsidR="008F561F" w:rsidRPr="003C0E2F">
        <w:t>effect</w:t>
      </w:r>
      <w:r w:rsidR="00BC0AAB" w:rsidRPr="003C0E2F">
        <w:t>s of FP7 on other cytokines may provide a broader overview of the similarities and differences between species. Preliminary evidence for FP12 (</w:t>
      </w:r>
      <w:r w:rsidR="00E3363B" w:rsidRPr="003C0E2F">
        <w:t xml:space="preserve">Table </w:t>
      </w:r>
      <w:r w:rsidR="00C1164D" w:rsidRPr="003C0E2F">
        <w:t>S2</w:t>
      </w:r>
      <w:r w:rsidR="00E3363B" w:rsidRPr="003C0E2F">
        <w:t xml:space="preserve"> </w:t>
      </w:r>
      <w:r w:rsidR="00657A6C" w:rsidRPr="003C0E2F">
        <w:t>–</w:t>
      </w:r>
      <w:r w:rsidR="00E3363B" w:rsidRPr="003C0E2F">
        <w:t xml:space="preserve"> </w:t>
      </w:r>
      <w:r w:rsidR="00BC0AAB" w:rsidRPr="003C0E2F">
        <w:t>Appendix</w:t>
      </w:r>
      <w:r w:rsidR="00657A6C" w:rsidRPr="003C0E2F">
        <w:t xml:space="preserve"> I</w:t>
      </w:r>
      <w:r w:rsidR="00622851" w:rsidRPr="003C0E2F">
        <w:t>V</w:t>
      </w:r>
      <w:r w:rsidR="00BC0AAB" w:rsidRPr="003C0E2F">
        <w:t xml:space="preserve">) suggests that FP12 may show some interesting </w:t>
      </w:r>
      <w:r w:rsidR="008F561F" w:rsidRPr="003C0E2F">
        <w:t>effect</w:t>
      </w:r>
      <w:r w:rsidR="00BC0AAB" w:rsidRPr="003C0E2F">
        <w:t xml:space="preserve">s in mouse </w:t>
      </w:r>
      <w:r w:rsidR="008F561F" w:rsidRPr="003C0E2F">
        <w:t>macrophage</w:t>
      </w:r>
      <w:r w:rsidR="00BC0AAB" w:rsidRPr="003C0E2F">
        <w:t xml:space="preserve">s. In this regard, most cytokines are shown to be downregulated following FP12 treatment. However, it appears from array that FP12 may also upregulate IL-10 and </w:t>
      </w:r>
      <w:proofErr w:type="spellStart"/>
      <w:r w:rsidR="00BC0AAB" w:rsidRPr="003C0E2F">
        <w:t>IFN</w:t>
      </w:r>
      <w:r w:rsidR="00BC0AAB" w:rsidRPr="003C0E2F">
        <w:rPr>
          <w:rFonts w:cstheme="minorHAnsi"/>
        </w:rPr>
        <w:t>γ</w:t>
      </w:r>
      <w:proofErr w:type="spellEnd"/>
      <w:r w:rsidR="00BC0AAB" w:rsidRPr="003C0E2F">
        <w:t xml:space="preserve">. These results need to be evaluated via ELISA in the future </w:t>
      </w:r>
      <w:proofErr w:type="gramStart"/>
      <w:r w:rsidR="00BC0AAB" w:rsidRPr="003C0E2F">
        <w:t>in order to</w:t>
      </w:r>
      <w:proofErr w:type="gramEnd"/>
      <w:r w:rsidR="00BC0AAB" w:rsidRPr="003C0E2F">
        <w:t xml:space="preserve"> confirm their validity in a quantifiable manner. Therefore, further</w:t>
      </w:r>
      <w:r w:rsidRPr="003C0E2F">
        <w:t xml:space="preserve"> </w:t>
      </w:r>
      <w:r w:rsidR="00BC0AAB" w:rsidRPr="003C0E2F">
        <w:t>investiga</w:t>
      </w:r>
      <w:r w:rsidRPr="003C0E2F">
        <w:t>tion of FP12 is</w:t>
      </w:r>
      <w:r w:rsidR="00BC0AAB" w:rsidRPr="003C0E2F">
        <w:t xml:space="preserve"> also</w:t>
      </w:r>
      <w:r w:rsidRPr="003C0E2F">
        <w:t xml:space="preserve"> required</w:t>
      </w:r>
      <w:r w:rsidR="00BC0AAB" w:rsidRPr="003C0E2F">
        <w:t xml:space="preserve"> to determine cross-species similarities and differences</w:t>
      </w:r>
      <w:r w:rsidRPr="003C0E2F">
        <w:t>.</w:t>
      </w:r>
      <w:r w:rsidR="00BC0AAB" w:rsidRPr="003C0E2F">
        <w:t xml:space="preserve"> F</w:t>
      </w:r>
      <w:r w:rsidRPr="003C0E2F">
        <w:t>urther verification of targets</w:t>
      </w:r>
      <w:r w:rsidR="00BC0AAB" w:rsidRPr="003C0E2F">
        <w:t xml:space="preserve"> </w:t>
      </w:r>
      <w:r w:rsidRPr="003C0E2F">
        <w:t xml:space="preserve">via ELISA in human and mouse would help to </w:t>
      </w:r>
      <w:r w:rsidR="00BC0AAB" w:rsidRPr="003C0E2F">
        <w:t>bolster the</w:t>
      </w:r>
      <w:r w:rsidRPr="003C0E2F">
        <w:t xml:space="preserve"> validity to these</w:t>
      </w:r>
      <w:r w:rsidR="00BC0AAB" w:rsidRPr="003C0E2F">
        <w:t xml:space="preserve"> initial</w:t>
      </w:r>
      <w:r w:rsidRPr="003C0E2F">
        <w:t xml:space="preserve"> findings</w:t>
      </w:r>
      <w:r w:rsidR="00BC0AAB" w:rsidRPr="003C0E2F">
        <w:t xml:space="preserve"> and provide greater understanding of cross-species comparability</w:t>
      </w:r>
      <w:r w:rsidRPr="003C0E2F">
        <w:t xml:space="preserve">. </w:t>
      </w:r>
    </w:p>
    <w:p w14:paraId="036E00E3" w14:textId="564DD53E" w:rsidR="00C0666E" w:rsidRPr="003C0E2F" w:rsidRDefault="00621C78" w:rsidP="00621C78">
      <w:r w:rsidRPr="003C0E2F">
        <w:lastRenderedPageBreak/>
        <w:t xml:space="preserve">The mechanism of STAT-1 phosphorylation in FP11, FP18 and MPLA receptor activation requires further investigation. These appear to signal through IFNAR, implying involvement of type 1 interferons. However, TRIF signalling is not activated by any of these molecules. As IFNAR is involved, it is unlikely that alternative cytokines are responsible for STAT-1 activation. Therefore, </w:t>
      </w:r>
      <w:proofErr w:type="gramStart"/>
      <w:r w:rsidRPr="003C0E2F">
        <w:t>the means by which</w:t>
      </w:r>
      <w:proofErr w:type="gramEnd"/>
      <w:r w:rsidRPr="003C0E2F">
        <w:t xml:space="preserve"> IFNAR is activated remains unclear and further investigation may be required to confirm this is not a direct </w:t>
      </w:r>
      <w:r w:rsidR="008F561F" w:rsidRPr="003C0E2F">
        <w:t>effect</w:t>
      </w:r>
      <w:r w:rsidRPr="003C0E2F">
        <w:t xml:space="preserve">. Blocking TLR4 may help to confirm specificity in this regard and additional TRIF receptor internalisation or blocking experiments may confirm whether TRIF signalling can be activated by FP11, FP18 and MPLA in absence of downstream </w:t>
      </w:r>
      <w:r w:rsidR="009E42FE" w:rsidRPr="003C0E2F">
        <w:t>TBK1</w:t>
      </w:r>
      <w:r w:rsidRPr="003C0E2F">
        <w:t xml:space="preserve"> activation. Further experiments are required to determine the comparability of these </w:t>
      </w:r>
      <w:r w:rsidR="008F561F" w:rsidRPr="003C0E2F">
        <w:t>effect</w:t>
      </w:r>
      <w:r w:rsidRPr="003C0E2F">
        <w:t xml:space="preserve">s on </w:t>
      </w:r>
      <w:r w:rsidR="00A9277D" w:rsidRPr="003C0E2F">
        <w:t>TRIF-</w:t>
      </w:r>
      <w:r w:rsidR="009E0322" w:rsidRPr="003C0E2F">
        <w:t>dependent</w:t>
      </w:r>
      <w:r w:rsidRPr="003C0E2F">
        <w:t xml:space="preserve"> signalling between THP-1 </w:t>
      </w:r>
      <w:r w:rsidR="008F561F" w:rsidRPr="003C0E2F">
        <w:t>macrophage</w:t>
      </w:r>
      <w:r w:rsidRPr="003C0E2F">
        <w:t xml:space="preserve">s and </w:t>
      </w:r>
      <w:r w:rsidR="00A9277D" w:rsidRPr="003C0E2F">
        <w:t>PBMC derived</w:t>
      </w:r>
      <w:r w:rsidRPr="003C0E2F">
        <w:t xml:space="preserve"> </w:t>
      </w:r>
      <w:r w:rsidR="008F561F" w:rsidRPr="003C0E2F">
        <w:t>macrophage</w:t>
      </w:r>
      <w:r w:rsidRPr="003C0E2F">
        <w:t>s</w:t>
      </w:r>
      <w:r w:rsidR="00F06A57" w:rsidRPr="003C0E2F">
        <w:t>.</w:t>
      </w:r>
    </w:p>
    <w:p w14:paraId="1CD2C543" w14:textId="77777777" w:rsidR="00F06A57" w:rsidRPr="003C0E2F" w:rsidRDefault="00F06A57">
      <w:pPr>
        <w:spacing w:line="259" w:lineRule="auto"/>
        <w:rPr>
          <w:b/>
          <w:bCs/>
          <w:sz w:val="48"/>
          <w:szCs w:val="48"/>
        </w:rPr>
      </w:pPr>
      <w:r w:rsidRPr="003C0E2F">
        <w:br w:type="page"/>
      </w:r>
    </w:p>
    <w:p w14:paraId="257D094A" w14:textId="48C39169" w:rsidR="00553A35" w:rsidRPr="003C0E2F" w:rsidRDefault="00553A35" w:rsidP="00BE5236">
      <w:pPr>
        <w:pStyle w:val="Heading1"/>
      </w:pPr>
      <w:bookmarkStart w:id="979" w:name="_Toc80013797"/>
      <w:bookmarkStart w:id="980" w:name="_Toc82882417"/>
      <w:r w:rsidRPr="003C0E2F">
        <w:lastRenderedPageBreak/>
        <w:t>Conclusions</w:t>
      </w:r>
      <w:bookmarkEnd w:id="979"/>
      <w:bookmarkEnd w:id="980"/>
      <w:r w:rsidRPr="003C0E2F">
        <w:tab/>
      </w:r>
    </w:p>
    <w:p w14:paraId="5C65740F" w14:textId="64C6EBCC" w:rsidR="00621C78" w:rsidRPr="003C0E2F" w:rsidRDefault="00621C78" w:rsidP="00621C78">
      <w:r w:rsidRPr="003C0E2F">
        <w:t xml:space="preserve">FP7 and FP12 were shown to function as antagonists in both human and mouse cell lines and downregulate both </w:t>
      </w:r>
      <w:r w:rsidR="00932BC2" w:rsidRPr="003C0E2F">
        <w:t>MyD88</w:t>
      </w:r>
      <w:r w:rsidRPr="003C0E2F">
        <w:t xml:space="preserve">- and </w:t>
      </w:r>
      <w:r w:rsidR="00A9277D" w:rsidRPr="003C0E2F">
        <w:t>TRIF-</w:t>
      </w:r>
      <w:r w:rsidR="009E0322" w:rsidRPr="003C0E2F">
        <w:t>dependent</w:t>
      </w:r>
      <w:r w:rsidRPr="003C0E2F">
        <w:t xml:space="preserve"> </w:t>
      </w:r>
      <w:r w:rsidR="00CF28B9" w:rsidRPr="003C0E2F">
        <w:t xml:space="preserve">TLR4 </w:t>
      </w:r>
      <w:r w:rsidRPr="003C0E2F">
        <w:t xml:space="preserve">signalling in THP-1 </w:t>
      </w:r>
      <w:r w:rsidR="008F561F" w:rsidRPr="003C0E2F">
        <w:t>macrophage</w:t>
      </w:r>
      <w:r w:rsidRPr="003C0E2F">
        <w:t xml:space="preserve">s. These both brought about significant reductions in TLR4-indused proinflammatory proteins production in response to LPS and ligands of sterile inflammation such as </w:t>
      </w:r>
      <w:proofErr w:type="spellStart"/>
      <w:r w:rsidR="001A2988" w:rsidRPr="003C0E2F">
        <w:t>oxLDL</w:t>
      </w:r>
      <w:proofErr w:type="spellEnd"/>
      <w:r w:rsidRPr="003C0E2F">
        <w:t xml:space="preserve">. Additional preliminary experiments in </w:t>
      </w:r>
      <w:r w:rsidR="00A9277D" w:rsidRPr="003C0E2F">
        <w:t>PBMC</w:t>
      </w:r>
      <w:r w:rsidR="003B0551" w:rsidRPr="003C0E2F">
        <w:t xml:space="preserve"> </w:t>
      </w:r>
      <w:r w:rsidR="00A9277D" w:rsidRPr="003C0E2F">
        <w:t>derived</w:t>
      </w:r>
      <w:r w:rsidRPr="003C0E2F">
        <w:t xml:space="preserve"> </w:t>
      </w:r>
      <w:r w:rsidR="008F561F" w:rsidRPr="003C0E2F">
        <w:t>macrophage</w:t>
      </w:r>
      <w:r w:rsidRPr="003C0E2F">
        <w:t xml:space="preserve">s suggested that </w:t>
      </w:r>
      <w:r w:rsidR="00932BC2" w:rsidRPr="003C0E2F">
        <w:t>MyD88</w:t>
      </w:r>
      <w:r w:rsidRPr="003C0E2F">
        <w:t>-</w:t>
      </w:r>
      <w:r w:rsidR="009E0322" w:rsidRPr="003C0E2F">
        <w:t>dependent</w:t>
      </w:r>
      <w:r w:rsidRPr="003C0E2F">
        <w:t xml:space="preserve"> antagonistic </w:t>
      </w:r>
      <w:r w:rsidR="008F561F" w:rsidRPr="003C0E2F">
        <w:t>effect</w:t>
      </w:r>
      <w:r w:rsidRPr="003C0E2F">
        <w:t xml:space="preserve">s of FP7 and FP12 observed in THP-1 </w:t>
      </w:r>
      <w:r w:rsidR="008F561F" w:rsidRPr="003C0E2F">
        <w:t>macrophage</w:t>
      </w:r>
      <w:r w:rsidRPr="003C0E2F">
        <w:t xml:space="preserve">s are reproducible in primary cell models. Furthermore, </w:t>
      </w:r>
      <w:r w:rsidR="00274B79" w:rsidRPr="003C0E2F">
        <w:t>P65/NF-</w:t>
      </w:r>
      <w:proofErr w:type="spellStart"/>
      <w:r w:rsidR="00274B79" w:rsidRPr="003C0E2F">
        <w:t>κB</w:t>
      </w:r>
      <w:proofErr w:type="spellEnd"/>
      <w:r w:rsidR="00274B79" w:rsidRPr="003C0E2F">
        <w:t xml:space="preserve"> </w:t>
      </w:r>
      <w:r w:rsidRPr="003C0E2F">
        <w:t xml:space="preserve">and </w:t>
      </w:r>
      <w:r w:rsidR="00274B79" w:rsidRPr="003C0E2F">
        <w:t>P38</w:t>
      </w:r>
      <w:r w:rsidRPr="003C0E2F">
        <w:t xml:space="preserve"> MAPK activation </w:t>
      </w:r>
      <w:r w:rsidR="00623C8F" w:rsidRPr="003C0E2F">
        <w:t xml:space="preserve">was </w:t>
      </w:r>
      <w:r w:rsidRPr="003C0E2F">
        <w:t>substantially downregulated by both compounds. Further to this, both FP7 and FP12 significantly reduce TLR4/</w:t>
      </w:r>
      <w:r w:rsidR="00A9277D" w:rsidRPr="003C0E2F">
        <w:t>TRIF-</w:t>
      </w:r>
      <w:r w:rsidR="009E0322" w:rsidRPr="003C0E2F">
        <w:t>dependent</w:t>
      </w:r>
      <w:r w:rsidRPr="003C0E2F">
        <w:t xml:space="preserve"> </w:t>
      </w:r>
      <w:r w:rsidR="009E42FE" w:rsidRPr="003C0E2F">
        <w:t>TBK1</w:t>
      </w:r>
      <w:r w:rsidRPr="003C0E2F">
        <w:t xml:space="preserve"> and STAT-1 phosphorylation and </w:t>
      </w:r>
      <w:r w:rsidR="009E42FE" w:rsidRPr="003C0E2F">
        <w:t>IP10</w:t>
      </w:r>
      <w:r w:rsidRPr="003C0E2F">
        <w:t xml:space="preserve"> and IFNβ production following stimulation with LPS and affect subsequent IFNAR signalling through indirect downregulation of IFNβ. This proved that FP7 and FP12 can antagonistically affect TLR4-</w:t>
      </w:r>
      <w:r w:rsidR="009E0322" w:rsidRPr="003C0E2F">
        <w:t>dependent</w:t>
      </w:r>
      <w:r w:rsidRPr="003C0E2F">
        <w:t xml:space="preserve"> signalling.</w:t>
      </w:r>
    </w:p>
    <w:p w14:paraId="3B2246CE" w14:textId="3072CD12" w:rsidR="00621C78" w:rsidRPr="003C0E2F" w:rsidRDefault="00621C78" w:rsidP="00621C78">
      <w:r w:rsidRPr="003C0E2F">
        <w:t>Additional cross species investigation showed some translatability of finding into murine TLR4. FP7 downregulated LPS-mediated proinflammatory protein production</w:t>
      </w:r>
      <w:r w:rsidR="005E0A40" w:rsidRPr="003C0E2F">
        <w:t xml:space="preserve"> and </w:t>
      </w:r>
      <w:r w:rsidR="00623C8F" w:rsidRPr="003C0E2F">
        <w:t>signalling mediator</w:t>
      </w:r>
      <w:r w:rsidR="005E0A40" w:rsidRPr="003C0E2F">
        <w:t xml:space="preserve"> activation</w:t>
      </w:r>
      <w:r w:rsidRPr="003C0E2F">
        <w:t xml:space="preserve"> in both human and mouse </w:t>
      </w:r>
      <w:r w:rsidR="008F561F" w:rsidRPr="003C0E2F">
        <w:t>macrophage</w:t>
      </w:r>
      <w:r w:rsidRPr="003C0E2F">
        <w:t xml:space="preserve">s. However, this </w:t>
      </w:r>
      <w:r w:rsidR="008F561F" w:rsidRPr="003C0E2F">
        <w:t>effect</w:t>
      </w:r>
      <w:r w:rsidRPr="003C0E2F">
        <w:t xml:space="preserve"> was less pronounced in mouse </w:t>
      </w:r>
      <w:r w:rsidR="008F561F" w:rsidRPr="003C0E2F">
        <w:t>macrophage</w:t>
      </w:r>
      <w:r w:rsidRPr="003C0E2F">
        <w:t>s</w:t>
      </w:r>
      <w:r w:rsidR="005E0A40" w:rsidRPr="003C0E2F">
        <w:t xml:space="preserve">. This preliminary evidence suggests that FP7 can function antagonistically in both human and mouse </w:t>
      </w:r>
      <w:r w:rsidR="008F561F" w:rsidRPr="003C0E2F">
        <w:t>macrophage</w:t>
      </w:r>
      <w:r w:rsidR="005E0A40" w:rsidRPr="003C0E2F">
        <w:t>s.</w:t>
      </w:r>
    </w:p>
    <w:p w14:paraId="2D032122" w14:textId="1099F8FC" w:rsidR="00621C78" w:rsidRPr="003C0E2F" w:rsidRDefault="00621C78" w:rsidP="00621C78">
      <w:r w:rsidRPr="003C0E2F">
        <w:t>FP11 and FP18 agonists were shown to upregulate TLR4-</w:t>
      </w:r>
      <w:r w:rsidR="009E0322" w:rsidRPr="003C0E2F">
        <w:t>dependent</w:t>
      </w:r>
      <w:r w:rsidRPr="003C0E2F">
        <w:t xml:space="preserve"> signalling in THP-1 </w:t>
      </w:r>
      <w:r w:rsidR="008F561F" w:rsidRPr="003C0E2F">
        <w:t>macrophage</w:t>
      </w:r>
      <w:r w:rsidRPr="003C0E2F">
        <w:t xml:space="preserve">s. While neither </w:t>
      </w:r>
      <w:proofErr w:type="gramStart"/>
      <w:r w:rsidRPr="003C0E2F">
        <w:t>were capable of affecting</w:t>
      </w:r>
      <w:proofErr w:type="gramEnd"/>
      <w:r w:rsidRPr="003C0E2F">
        <w:t xml:space="preserve"> </w:t>
      </w:r>
      <w:r w:rsidR="00A9277D" w:rsidRPr="003C0E2F">
        <w:t>TRIF-</w:t>
      </w:r>
      <w:r w:rsidR="009E0322" w:rsidRPr="003C0E2F">
        <w:t>dependent</w:t>
      </w:r>
      <w:r w:rsidRPr="003C0E2F">
        <w:t xml:space="preserve"> signalling via </w:t>
      </w:r>
      <w:r w:rsidR="009E42FE" w:rsidRPr="003C0E2F">
        <w:t>TBK1</w:t>
      </w:r>
      <w:r w:rsidRPr="003C0E2F">
        <w:t xml:space="preserve">, both were able to upregulate STAT-1 </w:t>
      </w:r>
      <w:r w:rsidR="003732A5" w:rsidRPr="003C0E2F">
        <w:t>phosphorylation</w:t>
      </w:r>
      <w:r w:rsidRPr="003C0E2F">
        <w:t xml:space="preserve">. Blocking experiments suggest that this is via IFNAR, although IFNβ and downstream </w:t>
      </w:r>
      <w:r w:rsidR="009E42FE" w:rsidRPr="003C0E2F">
        <w:t>IP10</w:t>
      </w:r>
      <w:r w:rsidRPr="003C0E2F">
        <w:t xml:space="preserve"> levels were not significantly upregulated by either FP11 or FP18. These results suggest that FP11 is capable of functioning as an agonist of TLR4/</w:t>
      </w:r>
      <w:r w:rsidR="00932BC2" w:rsidRPr="003C0E2F">
        <w:t>MyD88</w:t>
      </w:r>
      <w:r w:rsidRPr="003C0E2F">
        <w:t xml:space="preserve"> signalling, but the exact mechanism by which FP11 or FP18 might affect </w:t>
      </w:r>
      <w:r w:rsidR="00A9277D" w:rsidRPr="003C0E2F">
        <w:t>TRIF-</w:t>
      </w:r>
      <w:r w:rsidR="009E0322" w:rsidRPr="003C0E2F">
        <w:t>dependent</w:t>
      </w:r>
      <w:r w:rsidRPr="003C0E2F">
        <w:t xml:space="preserve"> IFN signalling remains unclear and required further investigation. In addition, the </w:t>
      </w:r>
      <w:r w:rsidR="008F561F" w:rsidRPr="003C0E2F">
        <w:t>effect</w:t>
      </w:r>
      <w:r w:rsidRPr="003C0E2F">
        <w:t xml:space="preserve"> of FP11 on TLR4 signalling was not </w:t>
      </w:r>
      <w:r w:rsidRPr="003C0E2F">
        <w:lastRenderedPageBreak/>
        <w:t xml:space="preserve">necessarily comparable to MPLA despite structural similarities. Ideally more specific experiments should be carried out to variety targets from array and further work is required to understand FP11 and FP18 activity on </w:t>
      </w:r>
      <w:r w:rsidR="00A9277D" w:rsidRPr="003C0E2F">
        <w:t>TRIF-</w:t>
      </w:r>
      <w:r w:rsidR="009E0322" w:rsidRPr="003C0E2F">
        <w:t>dependent</w:t>
      </w:r>
      <w:r w:rsidRPr="003C0E2F">
        <w:t xml:space="preserve"> signalling.</w:t>
      </w:r>
    </w:p>
    <w:p w14:paraId="502F2267" w14:textId="72FCC2EE" w:rsidR="00093DB8" w:rsidRPr="003C0E2F" w:rsidRDefault="00621C78" w:rsidP="00621C78">
      <w:r w:rsidRPr="003C0E2F">
        <w:t xml:space="preserve">Two antagonists and one agonist were selected from initial screening and tested in various scenarios. Data collected offered further evidence towards the </w:t>
      </w:r>
      <w:r w:rsidR="0043725C" w:rsidRPr="003C0E2F">
        <w:t xml:space="preserve">preclinical </w:t>
      </w:r>
      <w:r w:rsidRPr="003C0E2F">
        <w:t>validation of these small molecule antagonists for further preclinical</w:t>
      </w:r>
      <w:r w:rsidR="00F534CA" w:rsidRPr="003C0E2F">
        <w:t>/clinical</w:t>
      </w:r>
      <w:r w:rsidRPr="003C0E2F">
        <w:t xml:space="preserve"> investigation</w:t>
      </w:r>
      <w:r w:rsidR="00F534CA" w:rsidRPr="003C0E2F">
        <w:t>s</w:t>
      </w:r>
      <w:r w:rsidRPr="003C0E2F">
        <w:t xml:space="preserve"> and provided evidence towards mechanism of TLR4 signalling inhibition. However, further experiments are necessary to better understand the interactive dynamics of these molecules with TLR4/MD-2 and LPS</w:t>
      </w:r>
      <w:r w:rsidR="00093DB8" w:rsidRPr="003C0E2F">
        <w:t>.</w:t>
      </w:r>
    </w:p>
    <w:p w14:paraId="6D16EB4D" w14:textId="77777777" w:rsidR="0098164F" w:rsidRPr="003C0E2F" w:rsidRDefault="00C46EFA" w:rsidP="0098164F">
      <w:r w:rsidRPr="003C0E2F">
        <w:br w:type="page"/>
      </w:r>
      <w:bookmarkStart w:id="981" w:name="_Toc80013798"/>
    </w:p>
    <w:p w14:paraId="2193AF95" w14:textId="1F505187" w:rsidR="0039108B" w:rsidRPr="003C0E2F" w:rsidRDefault="004B2856" w:rsidP="0039108B">
      <w:pPr>
        <w:pStyle w:val="Heading1"/>
      </w:pPr>
      <w:bookmarkStart w:id="982" w:name="_Toc82882418"/>
      <w:r w:rsidRPr="003C0E2F">
        <w:lastRenderedPageBreak/>
        <w:t>References</w:t>
      </w:r>
      <w:bookmarkEnd w:id="981"/>
      <w:bookmarkEnd w:id="982"/>
    </w:p>
    <w:sdt>
      <w:sdtPr>
        <w:tag w:val="MENDELEY_BIBLIOGRAPHY"/>
        <w:id w:val="1453895864"/>
        <w:placeholder>
          <w:docPart w:val="DefaultPlaceholder_-1854013440"/>
        </w:placeholder>
      </w:sdtPr>
      <w:sdtEndPr/>
      <w:sdtContent>
        <w:p w14:paraId="0ED878A9" w14:textId="77777777" w:rsidR="00F257B9" w:rsidRDefault="00F257B9">
          <w:pPr>
            <w:divId w:val="1961259109"/>
            <w:rPr>
              <w:rFonts w:eastAsia="Times New Roman"/>
              <w:sz w:val="24"/>
              <w:szCs w:val="24"/>
            </w:rPr>
          </w:pPr>
          <w:r>
            <w:rPr>
              <w:rFonts w:eastAsia="Times New Roman"/>
            </w:rPr>
            <w:t xml:space="preserve">Ahmad, F. and </w:t>
          </w:r>
          <w:proofErr w:type="spellStart"/>
          <w:r>
            <w:rPr>
              <w:rFonts w:eastAsia="Times New Roman"/>
            </w:rPr>
            <w:t>Leake</w:t>
          </w:r>
          <w:proofErr w:type="spellEnd"/>
          <w:r>
            <w:rPr>
              <w:rFonts w:eastAsia="Times New Roman"/>
            </w:rPr>
            <w:t xml:space="preserve">, D.S. (2019) “Lysosomal oxidation of LDL alters lysosomal pH, induces senescence, and increases secretion of pro-inflammatory cytokines in human macrophages,” </w:t>
          </w:r>
          <w:r>
            <w:rPr>
              <w:rFonts w:eastAsia="Times New Roman"/>
              <w:i/>
              <w:iCs/>
            </w:rPr>
            <w:t>Journal of Lipid Research</w:t>
          </w:r>
          <w:r>
            <w:rPr>
              <w:rFonts w:eastAsia="Times New Roman"/>
            </w:rPr>
            <w:t>, 60(1), pp. 98–110. doi:10.1194/jlr.M088245.</w:t>
          </w:r>
        </w:p>
        <w:p w14:paraId="21999DF9" w14:textId="77777777" w:rsidR="00F257B9" w:rsidRDefault="00F257B9">
          <w:pPr>
            <w:divId w:val="1908343606"/>
            <w:rPr>
              <w:rFonts w:eastAsia="Times New Roman"/>
            </w:rPr>
          </w:pPr>
          <w:r>
            <w:rPr>
              <w:rFonts w:eastAsia="Times New Roman"/>
            </w:rPr>
            <w:t xml:space="preserve">Akashi, S. </w:t>
          </w:r>
          <w:r>
            <w:rPr>
              <w:rFonts w:eastAsia="Times New Roman"/>
              <w:i/>
              <w:iCs/>
            </w:rPr>
            <w:t>et al.</w:t>
          </w:r>
          <w:r>
            <w:rPr>
              <w:rFonts w:eastAsia="Times New Roman"/>
            </w:rPr>
            <w:t xml:space="preserve"> (2001) “Human MD-2 confers on mouse Toll-like receptor 4 species-specific lipopolysaccharide recognition,” </w:t>
          </w:r>
          <w:r>
            <w:rPr>
              <w:rFonts w:eastAsia="Times New Roman"/>
              <w:i/>
              <w:iCs/>
            </w:rPr>
            <w:t>International Immunology</w:t>
          </w:r>
          <w:r>
            <w:rPr>
              <w:rFonts w:eastAsia="Times New Roman"/>
            </w:rPr>
            <w:t>, 13(12), pp. 1595–1599. doi:10.1093/</w:t>
          </w:r>
          <w:proofErr w:type="spellStart"/>
          <w:r>
            <w:rPr>
              <w:rFonts w:eastAsia="Times New Roman"/>
            </w:rPr>
            <w:t>intimm</w:t>
          </w:r>
          <w:proofErr w:type="spellEnd"/>
          <w:r>
            <w:rPr>
              <w:rFonts w:eastAsia="Times New Roman"/>
            </w:rPr>
            <w:t>/13.12.1595.</w:t>
          </w:r>
        </w:p>
        <w:p w14:paraId="1D4E243D" w14:textId="77777777" w:rsidR="00F257B9" w:rsidRDefault="00F257B9">
          <w:pPr>
            <w:divId w:val="1093478614"/>
            <w:rPr>
              <w:rFonts w:eastAsia="Times New Roman"/>
            </w:rPr>
          </w:pPr>
          <w:r>
            <w:rPr>
              <w:rFonts w:eastAsia="Times New Roman"/>
            </w:rPr>
            <w:t xml:space="preserve">Akashi, S. </w:t>
          </w:r>
          <w:r>
            <w:rPr>
              <w:rFonts w:eastAsia="Times New Roman"/>
              <w:i/>
              <w:iCs/>
            </w:rPr>
            <w:t>et al.</w:t>
          </w:r>
          <w:r>
            <w:rPr>
              <w:rFonts w:eastAsia="Times New Roman"/>
            </w:rPr>
            <w:t xml:space="preserve"> (2003) “Lipopolysaccharide Interaction with Cell Surface Toll-like Receptor 4-MD-2 Higher Affinity than That with MD-2 or CD14,” </w:t>
          </w:r>
          <w:r>
            <w:rPr>
              <w:rFonts w:eastAsia="Times New Roman"/>
              <w:i/>
              <w:iCs/>
            </w:rPr>
            <w:t>Journal of Experimental Medicine</w:t>
          </w:r>
          <w:r>
            <w:rPr>
              <w:rFonts w:eastAsia="Times New Roman"/>
            </w:rPr>
            <w:t>, 198(7), pp. 1035–1042. doi:10.1084/JEM.20031076.</w:t>
          </w:r>
        </w:p>
        <w:p w14:paraId="59D0F646" w14:textId="77777777" w:rsidR="00F257B9" w:rsidRDefault="00F257B9">
          <w:pPr>
            <w:divId w:val="665284093"/>
            <w:rPr>
              <w:rFonts w:eastAsia="Times New Roman"/>
            </w:rPr>
          </w:pPr>
          <w:r>
            <w:rPr>
              <w:rFonts w:eastAsia="Times New Roman"/>
            </w:rPr>
            <w:t xml:space="preserve">Alias, S. </w:t>
          </w:r>
          <w:r>
            <w:rPr>
              <w:rFonts w:eastAsia="Times New Roman"/>
              <w:i/>
              <w:iCs/>
            </w:rPr>
            <w:t>et al.</w:t>
          </w:r>
          <w:r>
            <w:rPr>
              <w:rFonts w:eastAsia="Times New Roman"/>
            </w:rPr>
            <w:t xml:space="preserve"> (2014) “Defective angiogenesis delays thrombus resolution: A potential pathogenetic mechanism underlying chronic thromboembolic pulmonary hypertension,” </w:t>
          </w:r>
          <w:r>
            <w:rPr>
              <w:rFonts w:eastAsia="Times New Roman"/>
              <w:i/>
              <w:iCs/>
            </w:rPr>
            <w:t>Arteriosclerosis, Thrombosis, and Vascular Biology</w:t>
          </w:r>
          <w:r>
            <w:rPr>
              <w:rFonts w:eastAsia="Times New Roman"/>
            </w:rPr>
            <w:t>, 34(4), pp. 810–819. doi:10.1161/ATVBAHA.113.302991.</w:t>
          </w:r>
        </w:p>
        <w:p w14:paraId="4084CB86" w14:textId="77777777" w:rsidR="00F257B9" w:rsidRDefault="00F257B9">
          <w:pPr>
            <w:divId w:val="978412800"/>
            <w:rPr>
              <w:rFonts w:eastAsia="Times New Roman"/>
            </w:rPr>
          </w:pPr>
          <w:r>
            <w:rPr>
              <w:rFonts w:eastAsia="Times New Roman"/>
            </w:rPr>
            <w:t xml:space="preserve">Al-Qutub, M.N. </w:t>
          </w:r>
          <w:r>
            <w:rPr>
              <w:rFonts w:eastAsia="Times New Roman"/>
              <w:i/>
              <w:iCs/>
            </w:rPr>
            <w:t>et al.</w:t>
          </w:r>
          <w:r>
            <w:rPr>
              <w:rFonts w:eastAsia="Times New Roman"/>
            </w:rPr>
            <w:t xml:space="preserve"> (2006) “Hemin-Dependent Modulation of the Lipid A Structure of </w:t>
          </w:r>
          <w:proofErr w:type="spellStart"/>
          <w:r>
            <w:rPr>
              <w:rFonts w:eastAsia="Times New Roman"/>
            </w:rPr>
            <w:t>Porphyromonas</w:t>
          </w:r>
          <w:proofErr w:type="spellEnd"/>
          <w:r>
            <w:rPr>
              <w:rFonts w:eastAsia="Times New Roman"/>
            </w:rPr>
            <w:t xml:space="preserve"> </w:t>
          </w:r>
          <w:proofErr w:type="spellStart"/>
          <w:r>
            <w:rPr>
              <w:rFonts w:eastAsia="Times New Roman"/>
            </w:rPr>
            <w:t>gingivalis</w:t>
          </w:r>
          <w:proofErr w:type="spellEnd"/>
          <w:r>
            <w:rPr>
              <w:rFonts w:eastAsia="Times New Roman"/>
            </w:rPr>
            <w:t xml:space="preserve"> Lipopolysaccharide,” </w:t>
          </w:r>
          <w:r>
            <w:rPr>
              <w:rFonts w:eastAsia="Times New Roman"/>
              <w:i/>
              <w:iCs/>
            </w:rPr>
            <w:t>INFECTION AND IMMUNITY</w:t>
          </w:r>
          <w:r>
            <w:rPr>
              <w:rFonts w:eastAsia="Times New Roman"/>
            </w:rPr>
            <w:t>, 74(8), pp. 4474–4485. doi:10.1128/IAI.01924-05.</w:t>
          </w:r>
        </w:p>
        <w:p w14:paraId="4180A354" w14:textId="77777777" w:rsidR="00F257B9" w:rsidRDefault="00F257B9">
          <w:pPr>
            <w:divId w:val="1156913985"/>
            <w:rPr>
              <w:rFonts w:eastAsia="Times New Roman"/>
            </w:rPr>
          </w:pPr>
          <w:proofErr w:type="spellStart"/>
          <w:r>
            <w:rPr>
              <w:rFonts w:eastAsia="Times New Roman"/>
            </w:rPr>
            <w:t>Ammer-Herrmenau</w:t>
          </w:r>
          <w:proofErr w:type="spellEnd"/>
          <w:r>
            <w:rPr>
              <w:rFonts w:eastAsia="Times New Roman"/>
            </w:rPr>
            <w:t xml:space="preserve">, C. </w:t>
          </w:r>
          <w:r>
            <w:rPr>
              <w:rFonts w:eastAsia="Times New Roman"/>
              <w:i/>
              <w:iCs/>
            </w:rPr>
            <w:t>et al.</w:t>
          </w:r>
          <w:r>
            <w:rPr>
              <w:rFonts w:eastAsia="Times New Roman"/>
            </w:rPr>
            <w:t xml:space="preserve"> (2019) “Sepsis induces long-lasting impairments in CD4+ T-cell responses despite rapid numerical recovery of T-lymphocyte populations,” </w:t>
          </w:r>
          <w:r>
            <w:rPr>
              <w:rFonts w:eastAsia="Times New Roman"/>
              <w:i/>
              <w:iCs/>
            </w:rPr>
            <w:t>PLOS ONE</w:t>
          </w:r>
          <w:r>
            <w:rPr>
              <w:rFonts w:eastAsia="Times New Roman"/>
            </w:rPr>
            <w:t xml:space="preserve">. Edited by F. Ria, 14(2), p. e0211716. </w:t>
          </w:r>
          <w:proofErr w:type="gramStart"/>
          <w:r>
            <w:rPr>
              <w:rFonts w:eastAsia="Times New Roman"/>
            </w:rPr>
            <w:t>doi:10.1371/journal.pone</w:t>
          </w:r>
          <w:proofErr w:type="gramEnd"/>
          <w:r>
            <w:rPr>
              <w:rFonts w:eastAsia="Times New Roman"/>
            </w:rPr>
            <w:t>.0211716.</w:t>
          </w:r>
        </w:p>
        <w:p w14:paraId="7F06AA93" w14:textId="77777777" w:rsidR="00F257B9" w:rsidRDefault="00F257B9">
          <w:pPr>
            <w:divId w:val="466974890"/>
            <w:rPr>
              <w:rFonts w:eastAsia="Times New Roman"/>
            </w:rPr>
          </w:pPr>
          <w:r>
            <w:rPr>
              <w:rFonts w:eastAsia="Times New Roman"/>
            </w:rPr>
            <w:t xml:space="preserve">Belvin, M.P. and Anderson, K. v. (1996) “A conserved </w:t>
          </w:r>
          <w:proofErr w:type="spellStart"/>
          <w:r>
            <w:rPr>
              <w:rFonts w:eastAsia="Times New Roman"/>
            </w:rPr>
            <w:t>signaling</w:t>
          </w:r>
          <w:proofErr w:type="spellEnd"/>
          <w:r>
            <w:rPr>
              <w:rFonts w:eastAsia="Times New Roman"/>
            </w:rPr>
            <w:t xml:space="preserve"> pathway: The Drosophila toll-dorsal pathway,” </w:t>
          </w:r>
          <w:r>
            <w:rPr>
              <w:rFonts w:eastAsia="Times New Roman"/>
              <w:i/>
              <w:iCs/>
            </w:rPr>
            <w:t>Annual Review of Cell and Developmental Biology</w:t>
          </w:r>
          <w:r>
            <w:rPr>
              <w:rFonts w:eastAsia="Times New Roman"/>
            </w:rPr>
            <w:t xml:space="preserve">. </w:t>
          </w:r>
          <w:proofErr w:type="spellStart"/>
          <w:r>
            <w:rPr>
              <w:rFonts w:eastAsia="Times New Roman"/>
            </w:rPr>
            <w:t>Annu</w:t>
          </w:r>
          <w:proofErr w:type="spellEnd"/>
          <w:r>
            <w:rPr>
              <w:rFonts w:eastAsia="Times New Roman"/>
            </w:rPr>
            <w:t xml:space="preserve"> Rev Cell Dev </w:t>
          </w:r>
          <w:proofErr w:type="spellStart"/>
          <w:r>
            <w:rPr>
              <w:rFonts w:eastAsia="Times New Roman"/>
            </w:rPr>
            <w:t>Biol</w:t>
          </w:r>
          <w:proofErr w:type="spellEnd"/>
          <w:r>
            <w:rPr>
              <w:rFonts w:eastAsia="Times New Roman"/>
            </w:rPr>
            <w:t xml:space="preserve">, pp. 393–416. </w:t>
          </w:r>
          <w:proofErr w:type="gramStart"/>
          <w:r>
            <w:rPr>
              <w:rFonts w:eastAsia="Times New Roman"/>
            </w:rPr>
            <w:t>doi:10.1146/annurev.cellbio</w:t>
          </w:r>
          <w:proofErr w:type="gramEnd"/>
          <w:r>
            <w:rPr>
              <w:rFonts w:eastAsia="Times New Roman"/>
            </w:rPr>
            <w:t>.12.1.393.</w:t>
          </w:r>
        </w:p>
        <w:p w14:paraId="3DCABA2B" w14:textId="77777777" w:rsidR="00F257B9" w:rsidRDefault="00F257B9">
          <w:pPr>
            <w:divId w:val="1036466120"/>
            <w:rPr>
              <w:rFonts w:eastAsia="Times New Roman"/>
            </w:rPr>
          </w:pPr>
          <w:proofErr w:type="spellStart"/>
          <w:r>
            <w:rPr>
              <w:rFonts w:eastAsia="Times New Roman"/>
            </w:rPr>
            <w:lastRenderedPageBreak/>
            <w:t>Bettelli</w:t>
          </w:r>
          <w:proofErr w:type="spellEnd"/>
          <w:r>
            <w:rPr>
              <w:rFonts w:eastAsia="Times New Roman"/>
            </w:rPr>
            <w:t xml:space="preserve">, E. </w:t>
          </w:r>
          <w:r>
            <w:rPr>
              <w:rFonts w:eastAsia="Times New Roman"/>
              <w:i/>
              <w:iCs/>
            </w:rPr>
            <w:t>et al.</w:t>
          </w:r>
          <w:r>
            <w:rPr>
              <w:rFonts w:eastAsia="Times New Roman"/>
            </w:rPr>
            <w:t xml:space="preserve"> (2006) “Reciprocal developmental pathways for the generation of pathogenic effector TH17 and regulatory T cells,” </w:t>
          </w:r>
          <w:r>
            <w:rPr>
              <w:rFonts w:eastAsia="Times New Roman"/>
              <w:i/>
              <w:iCs/>
            </w:rPr>
            <w:t>Nature</w:t>
          </w:r>
          <w:r>
            <w:rPr>
              <w:rFonts w:eastAsia="Times New Roman"/>
            </w:rPr>
            <w:t>, 441(7090), pp. 235–238. doi:10.1038/nature04753.</w:t>
          </w:r>
        </w:p>
        <w:p w14:paraId="2554EBB3" w14:textId="77777777" w:rsidR="00F257B9" w:rsidRDefault="00F257B9">
          <w:pPr>
            <w:divId w:val="2079093280"/>
            <w:rPr>
              <w:rFonts w:eastAsia="Times New Roman"/>
            </w:rPr>
          </w:pPr>
          <w:r>
            <w:rPr>
              <w:rFonts w:eastAsia="Times New Roman"/>
            </w:rPr>
            <w:t xml:space="preserve">Boka, G. </w:t>
          </w:r>
          <w:r>
            <w:rPr>
              <w:rFonts w:eastAsia="Times New Roman"/>
              <w:i/>
              <w:iCs/>
            </w:rPr>
            <w:t>et al.</w:t>
          </w:r>
          <w:r>
            <w:rPr>
              <w:rFonts w:eastAsia="Times New Roman"/>
            </w:rPr>
            <w:t xml:space="preserve"> (1994) “Immunocytochemical analysis of </w:t>
          </w:r>
          <w:proofErr w:type="spellStart"/>
          <w:r>
            <w:rPr>
              <w:rFonts w:eastAsia="Times New Roman"/>
            </w:rPr>
            <w:t>tumor</w:t>
          </w:r>
          <w:proofErr w:type="spellEnd"/>
          <w:r>
            <w:rPr>
              <w:rFonts w:eastAsia="Times New Roman"/>
            </w:rPr>
            <w:t xml:space="preserve"> necrosis factor and its receptors in Parkinson’s disease,” </w:t>
          </w:r>
          <w:r>
            <w:rPr>
              <w:rFonts w:eastAsia="Times New Roman"/>
              <w:i/>
              <w:iCs/>
            </w:rPr>
            <w:t>Neuroscience Letters</w:t>
          </w:r>
          <w:r>
            <w:rPr>
              <w:rFonts w:eastAsia="Times New Roman"/>
            </w:rPr>
            <w:t>, 172(1–2), pp. 151–154. doi:10.1016/0304-3940(94)90684-X.</w:t>
          </w:r>
        </w:p>
        <w:p w14:paraId="45E2F0F8" w14:textId="77777777" w:rsidR="00F257B9" w:rsidRDefault="00F257B9">
          <w:pPr>
            <w:divId w:val="1485202647"/>
            <w:rPr>
              <w:rFonts w:eastAsia="Times New Roman"/>
            </w:rPr>
          </w:pPr>
          <w:r>
            <w:rPr>
              <w:rFonts w:eastAsia="Times New Roman"/>
            </w:rPr>
            <w:t xml:space="preserve">Botos, I., Segal, D.M. and Davies, D.R. (2011) “The Structural Biology of Toll-like Receptors,” </w:t>
          </w:r>
          <w:r>
            <w:rPr>
              <w:rFonts w:eastAsia="Times New Roman"/>
              <w:i/>
              <w:iCs/>
            </w:rPr>
            <w:t>Structure</w:t>
          </w:r>
          <w:r>
            <w:rPr>
              <w:rFonts w:eastAsia="Times New Roman"/>
            </w:rPr>
            <w:t xml:space="preserve">, 19(4), pp. 447–459. </w:t>
          </w:r>
          <w:proofErr w:type="gramStart"/>
          <w:r>
            <w:rPr>
              <w:rFonts w:eastAsia="Times New Roman"/>
            </w:rPr>
            <w:t>doi:10.1016/J.STR</w:t>
          </w:r>
          <w:proofErr w:type="gramEnd"/>
          <w:r>
            <w:rPr>
              <w:rFonts w:eastAsia="Times New Roman"/>
            </w:rPr>
            <w:t>.2011.02.004.</w:t>
          </w:r>
        </w:p>
        <w:p w14:paraId="2E4323C0" w14:textId="77777777" w:rsidR="00F257B9" w:rsidRDefault="00F257B9">
          <w:pPr>
            <w:divId w:val="1036079550"/>
            <w:rPr>
              <w:rFonts w:eastAsia="Times New Roman"/>
            </w:rPr>
          </w:pPr>
          <w:proofErr w:type="spellStart"/>
          <w:r>
            <w:rPr>
              <w:rFonts w:eastAsia="Times New Roman"/>
            </w:rPr>
            <w:t>Boullier</w:t>
          </w:r>
          <w:proofErr w:type="spellEnd"/>
          <w:r>
            <w:rPr>
              <w:rFonts w:eastAsia="Times New Roman"/>
            </w:rPr>
            <w:t xml:space="preserve">, A. </w:t>
          </w:r>
          <w:r>
            <w:rPr>
              <w:rFonts w:eastAsia="Times New Roman"/>
              <w:i/>
              <w:iCs/>
            </w:rPr>
            <w:t>et al.</w:t>
          </w:r>
          <w:r>
            <w:rPr>
              <w:rFonts w:eastAsia="Times New Roman"/>
            </w:rPr>
            <w:t xml:space="preserve"> (2000) “The Binding of Oxidized </w:t>
          </w:r>
          <w:proofErr w:type="gramStart"/>
          <w:r>
            <w:rPr>
              <w:rFonts w:eastAsia="Times New Roman"/>
            </w:rPr>
            <w:t>Low Density</w:t>
          </w:r>
          <w:proofErr w:type="gramEnd"/>
          <w:r>
            <w:rPr>
              <w:rFonts w:eastAsia="Times New Roman"/>
            </w:rPr>
            <w:t xml:space="preserve"> Lipoprotein to Mouse CD36 Is Mediated in Part by Oxidized Phospholipids That Are Associated with Both the Lipid and Protein Moieties of the Lipoprotein *,” </w:t>
          </w:r>
          <w:r>
            <w:rPr>
              <w:rFonts w:eastAsia="Times New Roman"/>
              <w:i/>
              <w:iCs/>
            </w:rPr>
            <w:t>Journal of Biological Chemistry</w:t>
          </w:r>
          <w:r>
            <w:rPr>
              <w:rFonts w:eastAsia="Times New Roman"/>
            </w:rPr>
            <w:t>, 275(13), pp. 9163–9169. doi:10.1074/JBC.275.13.9163.</w:t>
          </w:r>
        </w:p>
        <w:p w14:paraId="60BF456E" w14:textId="77777777" w:rsidR="00F257B9" w:rsidRDefault="00F257B9">
          <w:pPr>
            <w:divId w:val="400444226"/>
            <w:rPr>
              <w:rFonts w:eastAsia="Times New Roman"/>
            </w:rPr>
          </w:pPr>
          <w:r>
            <w:rPr>
              <w:rFonts w:eastAsia="Times New Roman"/>
            </w:rPr>
            <w:t xml:space="preserve">Boyd, A.C. </w:t>
          </w:r>
          <w:r>
            <w:rPr>
              <w:rFonts w:eastAsia="Times New Roman"/>
              <w:i/>
              <w:iCs/>
            </w:rPr>
            <w:t>et al.</w:t>
          </w:r>
          <w:r>
            <w:rPr>
              <w:rFonts w:eastAsia="Times New Roman"/>
            </w:rPr>
            <w:t xml:space="preserve"> (2012) “TLR15 Is Unique to Avian and Reptilian Lineages and Recognizes a Yeast-Derived Agonist,” </w:t>
          </w:r>
          <w:r>
            <w:rPr>
              <w:rFonts w:eastAsia="Times New Roman"/>
              <w:i/>
              <w:iCs/>
            </w:rPr>
            <w:t>The Journal of Immunology</w:t>
          </w:r>
          <w:r>
            <w:rPr>
              <w:rFonts w:eastAsia="Times New Roman"/>
            </w:rPr>
            <w:t>, 189(10), pp. 4930–4938. doi:10.4049/jimmunol.1101790.</w:t>
          </w:r>
        </w:p>
        <w:p w14:paraId="24D76E25" w14:textId="77777777" w:rsidR="00F257B9" w:rsidRDefault="00F257B9">
          <w:pPr>
            <w:divId w:val="918516517"/>
            <w:rPr>
              <w:rFonts w:eastAsia="Times New Roman"/>
            </w:rPr>
          </w:pPr>
          <w:proofErr w:type="spellStart"/>
          <w:r>
            <w:rPr>
              <w:rFonts w:eastAsia="Times New Roman"/>
            </w:rPr>
            <w:t>Bruckmeier</w:t>
          </w:r>
          <w:proofErr w:type="spellEnd"/>
          <w:r>
            <w:rPr>
              <w:rFonts w:eastAsia="Times New Roman"/>
            </w:rPr>
            <w:t xml:space="preserve">, M. </w:t>
          </w:r>
          <w:r>
            <w:rPr>
              <w:rFonts w:eastAsia="Times New Roman"/>
              <w:i/>
              <w:iCs/>
            </w:rPr>
            <w:t>et al.</w:t>
          </w:r>
          <w:r>
            <w:rPr>
              <w:rFonts w:eastAsia="Times New Roman"/>
            </w:rPr>
            <w:t xml:space="preserve"> (2012) “Impact of </w:t>
          </w:r>
          <w:proofErr w:type="spellStart"/>
          <w:r>
            <w:rPr>
              <w:rFonts w:eastAsia="Times New Roman"/>
            </w:rPr>
            <w:t>oxLDL</w:t>
          </w:r>
          <w:proofErr w:type="spellEnd"/>
          <w:r>
            <w:rPr>
              <w:rFonts w:eastAsia="Times New Roman"/>
            </w:rPr>
            <w:t xml:space="preserve"> and LPS on C-type Natriuretic Peptide System is Different between THP-1 Cells and Human Peripheral Blood Monocytic Cells,” </w:t>
          </w:r>
          <w:r>
            <w:rPr>
              <w:rFonts w:eastAsia="Times New Roman"/>
              <w:i/>
              <w:iCs/>
            </w:rPr>
            <w:t>Cellular Physiology and Biochemistry</w:t>
          </w:r>
          <w:r>
            <w:rPr>
              <w:rFonts w:eastAsia="Times New Roman"/>
            </w:rPr>
            <w:t>, 30(1), pp. 199–209. doi:10.1159/000339044.</w:t>
          </w:r>
        </w:p>
        <w:p w14:paraId="77A94B78" w14:textId="77777777" w:rsidR="00F257B9" w:rsidRDefault="00F257B9">
          <w:pPr>
            <w:divId w:val="38012828"/>
            <w:rPr>
              <w:rFonts w:eastAsia="Times New Roman"/>
            </w:rPr>
          </w:pPr>
          <w:r>
            <w:rPr>
              <w:rFonts w:eastAsia="Times New Roman"/>
            </w:rPr>
            <w:t xml:space="preserve">Buckley, K.M. and </w:t>
          </w:r>
          <w:proofErr w:type="spellStart"/>
          <w:r>
            <w:rPr>
              <w:rFonts w:eastAsia="Times New Roman"/>
            </w:rPr>
            <w:t>Rast</w:t>
          </w:r>
          <w:proofErr w:type="spellEnd"/>
          <w:r>
            <w:rPr>
              <w:rFonts w:eastAsia="Times New Roman"/>
            </w:rPr>
            <w:t xml:space="preserve">, J.P. (2012) “Dynamic Evolution of Toll-Like Receptor Multigene Families in Echinoderms,” </w:t>
          </w:r>
          <w:r>
            <w:rPr>
              <w:rFonts w:eastAsia="Times New Roman"/>
              <w:i/>
              <w:iCs/>
            </w:rPr>
            <w:t>Frontiers in Immunology</w:t>
          </w:r>
          <w:r>
            <w:rPr>
              <w:rFonts w:eastAsia="Times New Roman"/>
            </w:rPr>
            <w:t>, 3(JUN), p. 136. doi:10.3389/fimmu.2012.00136.</w:t>
          </w:r>
        </w:p>
        <w:p w14:paraId="34C1261E" w14:textId="77777777" w:rsidR="00F257B9" w:rsidRDefault="00F257B9">
          <w:pPr>
            <w:divId w:val="1817411309"/>
            <w:rPr>
              <w:rFonts w:eastAsia="Times New Roman"/>
            </w:rPr>
          </w:pPr>
          <w:proofErr w:type="spellStart"/>
          <w:r>
            <w:rPr>
              <w:rFonts w:eastAsia="Times New Roman"/>
            </w:rPr>
            <w:t>Cassatella</w:t>
          </w:r>
          <w:proofErr w:type="spellEnd"/>
          <w:r>
            <w:rPr>
              <w:rFonts w:eastAsia="Times New Roman"/>
            </w:rPr>
            <w:t xml:space="preserve">, M.A. </w:t>
          </w:r>
          <w:r>
            <w:rPr>
              <w:rFonts w:eastAsia="Times New Roman"/>
              <w:i/>
              <w:iCs/>
            </w:rPr>
            <w:t>et al.</w:t>
          </w:r>
          <w:r>
            <w:rPr>
              <w:rFonts w:eastAsia="Times New Roman"/>
            </w:rPr>
            <w:t xml:space="preserve"> (1993) “Interleukin 10 (IL-10) inhibits the release of proinflammatory cytokines from human polymorphonuclear leukocytes. Evidence for an autocrine role of </w:t>
          </w:r>
          <w:proofErr w:type="spellStart"/>
          <w:r>
            <w:rPr>
              <w:rFonts w:eastAsia="Times New Roman"/>
            </w:rPr>
            <w:t>tumor</w:t>
          </w:r>
          <w:proofErr w:type="spellEnd"/>
          <w:r>
            <w:rPr>
              <w:rFonts w:eastAsia="Times New Roman"/>
            </w:rPr>
            <w:t xml:space="preserve"> necrosis factor and IL-1 beta in mediating the production of IL-8 triggered by lipopolysaccharide.,” </w:t>
          </w:r>
          <w:r>
            <w:rPr>
              <w:rFonts w:eastAsia="Times New Roman"/>
              <w:i/>
              <w:iCs/>
            </w:rPr>
            <w:t>Journal of Experimental Medicine</w:t>
          </w:r>
          <w:r>
            <w:rPr>
              <w:rFonts w:eastAsia="Times New Roman"/>
            </w:rPr>
            <w:t>, 178(6), pp. 2207–2211. doi:10.1084/JEM.178.6.2207.</w:t>
          </w:r>
        </w:p>
        <w:p w14:paraId="70E0198C" w14:textId="77777777" w:rsidR="00F257B9" w:rsidRDefault="00F257B9">
          <w:pPr>
            <w:divId w:val="2081100073"/>
            <w:rPr>
              <w:rFonts w:eastAsia="Times New Roman"/>
            </w:rPr>
          </w:pPr>
          <w:r>
            <w:rPr>
              <w:rFonts w:eastAsia="Times New Roman"/>
            </w:rPr>
            <w:lastRenderedPageBreak/>
            <w:t xml:space="preserve">Chai, S. </w:t>
          </w:r>
          <w:r>
            <w:rPr>
              <w:rFonts w:eastAsia="Times New Roman"/>
              <w:i/>
              <w:iCs/>
            </w:rPr>
            <w:t>et al.</w:t>
          </w:r>
          <w:r>
            <w:rPr>
              <w:rFonts w:eastAsia="Times New Roman"/>
            </w:rPr>
            <w:t xml:space="preserve"> (2005) “Overexpression of hyaluronan in the tunica media promotes the development of atherosclerosis.,” </w:t>
          </w:r>
          <w:r>
            <w:rPr>
              <w:rFonts w:eastAsia="Times New Roman"/>
              <w:i/>
              <w:iCs/>
            </w:rPr>
            <w:t>Circulation research</w:t>
          </w:r>
          <w:r>
            <w:rPr>
              <w:rFonts w:eastAsia="Times New Roman"/>
            </w:rPr>
            <w:t xml:space="preserve">, 96(5), pp. 583–91. </w:t>
          </w:r>
          <w:proofErr w:type="gramStart"/>
          <w:r>
            <w:rPr>
              <w:rFonts w:eastAsia="Times New Roman"/>
            </w:rPr>
            <w:t>doi:10.1161/01.RES</w:t>
          </w:r>
          <w:proofErr w:type="gramEnd"/>
          <w:r>
            <w:rPr>
              <w:rFonts w:eastAsia="Times New Roman"/>
            </w:rPr>
            <w:t>.0000158963.37132.8b.</w:t>
          </w:r>
        </w:p>
        <w:p w14:paraId="60410917" w14:textId="77777777" w:rsidR="00F257B9" w:rsidRDefault="00F257B9">
          <w:pPr>
            <w:divId w:val="1660503062"/>
            <w:rPr>
              <w:rFonts w:eastAsia="Times New Roman"/>
            </w:rPr>
          </w:pPr>
          <w:r>
            <w:rPr>
              <w:rFonts w:eastAsia="Times New Roman"/>
            </w:rPr>
            <w:t xml:space="preserve">Chai, Z. </w:t>
          </w:r>
          <w:r>
            <w:rPr>
              <w:rFonts w:eastAsia="Times New Roman"/>
              <w:i/>
              <w:iCs/>
            </w:rPr>
            <w:t>et al.</w:t>
          </w:r>
          <w:r>
            <w:rPr>
              <w:rFonts w:eastAsia="Times New Roman"/>
            </w:rPr>
            <w:t xml:space="preserve"> (1996) “Interleukin (IL)-6 gene expression in the central nervous system is necessary for fever response to lipopolysaccharide or IL-1β: A study on IL-6-deficient mice,” </w:t>
          </w:r>
          <w:r>
            <w:rPr>
              <w:rFonts w:eastAsia="Times New Roman"/>
              <w:i/>
              <w:iCs/>
            </w:rPr>
            <w:t>Journal of Experimental Medicine</w:t>
          </w:r>
          <w:r>
            <w:rPr>
              <w:rFonts w:eastAsia="Times New Roman"/>
            </w:rPr>
            <w:t>, 183(1), pp. 311–316. doi:10.1084/jem.183.1.311.</w:t>
          </w:r>
        </w:p>
        <w:p w14:paraId="3A06B3AA" w14:textId="77777777" w:rsidR="00F257B9" w:rsidRDefault="00F257B9">
          <w:pPr>
            <w:divId w:val="784083386"/>
            <w:rPr>
              <w:rFonts w:eastAsia="Times New Roman"/>
            </w:rPr>
          </w:pPr>
          <w:proofErr w:type="spellStart"/>
          <w:r>
            <w:rPr>
              <w:rFonts w:eastAsia="Times New Roman"/>
            </w:rPr>
            <w:t>Chanput</w:t>
          </w:r>
          <w:proofErr w:type="spellEnd"/>
          <w:r>
            <w:rPr>
              <w:rFonts w:eastAsia="Times New Roman"/>
            </w:rPr>
            <w:t xml:space="preserve">, W. </w:t>
          </w:r>
          <w:r>
            <w:rPr>
              <w:rFonts w:eastAsia="Times New Roman"/>
              <w:i/>
              <w:iCs/>
            </w:rPr>
            <w:t>et al.</w:t>
          </w:r>
          <w:r>
            <w:rPr>
              <w:rFonts w:eastAsia="Times New Roman"/>
            </w:rPr>
            <w:t xml:space="preserve"> (2010) “Transcription profiles of LPS-stimulated THP-1 monocytes and macrophages: A tool to study inflammation modulating effects of food-derived compounds,” </w:t>
          </w:r>
          <w:r>
            <w:rPr>
              <w:rFonts w:eastAsia="Times New Roman"/>
              <w:i/>
              <w:iCs/>
            </w:rPr>
            <w:t>Food and Function</w:t>
          </w:r>
          <w:r>
            <w:rPr>
              <w:rFonts w:eastAsia="Times New Roman"/>
            </w:rPr>
            <w:t>, 1(3), pp. 254–261. doi:10.1039/c0fo00113a.</w:t>
          </w:r>
        </w:p>
        <w:p w14:paraId="2E274159" w14:textId="77777777" w:rsidR="00F257B9" w:rsidRDefault="00F257B9">
          <w:pPr>
            <w:divId w:val="1523013101"/>
            <w:rPr>
              <w:rFonts w:eastAsia="Times New Roman"/>
            </w:rPr>
          </w:pPr>
          <w:proofErr w:type="spellStart"/>
          <w:r>
            <w:rPr>
              <w:rFonts w:eastAsia="Times New Roman"/>
            </w:rPr>
            <w:t>Chansrichavala</w:t>
          </w:r>
          <w:proofErr w:type="spellEnd"/>
          <w:r>
            <w:rPr>
              <w:rFonts w:eastAsia="Times New Roman"/>
            </w:rPr>
            <w:t xml:space="preserve">, P. </w:t>
          </w:r>
          <w:r>
            <w:rPr>
              <w:rFonts w:eastAsia="Times New Roman"/>
              <w:i/>
              <w:iCs/>
            </w:rPr>
            <w:t>et al.</w:t>
          </w:r>
          <w:r>
            <w:rPr>
              <w:rFonts w:eastAsia="Times New Roman"/>
            </w:rPr>
            <w:t xml:space="preserve"> (2010) “Atorvastatin affects TLR4 clustering via lipid raft modulation,” </w:t>
          </w:r>
          <w:r>
            <w:rPr>
              <w:rFonts w:eastAsia="Times New Roman"/>
              <w:i/>
              <w:iCs/>
            </w:rPr>
            <w:t>International Immunopharmacology</w:t>
          </w:r>
          <w:r>
            <w:rPr>
              <w:rFonts w:eastAsia="Times New Roman"/>
            </w:rPr>
            <w:t xml:space="preserve">, 10(8), pp. 892–899. </w:t>
          </w:r>
          <w:proofErr w:type="gramStart"/>
          <w:r>
            <w:rPr>
              <w:rFonts w:eastAsia="Times New Roman"/>
            </w:rPr>
            <w:t>doi:10.1016/j.intimp</w:t>
          </w:r>
          <w:proofErr w:type="gramEnd"/>
          <w:r>
            <w:rPr>
              <w:rFonts w:eastAsia="Times New Roman"/>
            </w:rPr>
            <w:t>.2010.04.027.</w:t>
          </w:r>
        </w:p>
        <w:p w14:paraId="3302BCD6" w14:textId="77777777" w:rsidR="00F257B9" w:rsidRDefault="00F257B9">
          <w:pPr>
            <w:divId w:val="93478110"/>
            <w:rPr>
              <w:rFonts w:eastAsia="Times New Roman"/>
            </w:rPr>
          </w:pPr>
          <w:r>
            <w:rPr>
              <w:rFonts w:eastAsia="Times New Roman"/>
            </w:rPr>
            <w:t xml:space="preserve">Chávez-Sánchez, L. </w:t>
          </w:r>
          <w:r>
            <w:rPr>
              <w:rFonts w:eastAsia="Times New Roman"/>
              <w:i/>
              <w:iCs/>
            </w:rPr>
            <w:t>et al.</w:t>
          </w:r>
          <w:r>
            <w:rPr>
              <w:rFonts w:eastAsia="Times New Roman"/>
            </w:rPr>
            <w:t xml:space="preserve"> (2014) “The role of TLR2, TLR4 and CD36 in macrophage activation and foam cell formation in response to </w:t>
          </w:r>
          <w:proofErr w:type="spellStart"/>
          <w:r>
            <w:rPr>
              <w:rFonts w:eastAsia="Times New Roman"/>
            </w:rPr>
            <w:t>oxLDL</w:t>
          </w:r>
          <w:proofErr w:type="spellEnd"/>
          <w:r>
            <w:rPr>
              <w:rFonts w:eastAsia="Times New Roman"/>
            </w:rPr>
            <w:t xml:space="preserve"> in humans,” </w:t>
          </w:r>
          <w:r>
            <w:rPr>
              <w:rFonts w:eastAsia="Times New Roman"/>
              <w:i/>
              <w:iCs/>
            </w:rPr>
            <w:t>Human Immunology</w:t>
          </w:r>
          <w:r>
            <w:rPr>
              <w:rFonts w:eastAsia="Times New Roman"/>
            </w:rPr>
            <w:t xml:space="preserve">, 75(4), pp. 322–329. </w:t>
          </w:r>
          <w:proofErr w:type="gramStart"/>
          <w:r>
            <w:rPr>
              <w:rFonts w:eastAsia="Times New Roman"/>
            </w:rPr>
            <w:t>doi:10.1016/J.HUMIMM</w:t>
          </w:r>
          <w:proofErr w:type="gramEnd"/>
          <w:r>
            <w:rPr>
              <w:rFonts w:eastAsia="Times New Roman"/>
            </w:rPr>
            <w:t>.2014.01.012.</w:t>
          </w:r>
        </w:p>
        <w:p w14:paraId="0B133EDA" w14:textId="77777777" w:rsidR="00F257B9" w:rsidRDefault="00F257B9">
          <w:pPr>
            <w:divId w:val="1734307969"/>
            <w:rPr>
              <w:rFonts w:eastAsia="Times New Roman"/>
            </w:rPr>
          </w:pPr>
          <w:proofErr w:type="spellStart"/>
          <w:r>
            <w:rPr>
              <w:rFonts w:eastAsia="Times New Roman"/>
            </w:rPr>
            <w:t>Chebrolu</w:t>
          </w:r>
          <w:proofErr w:type="spellEnd"/>
          <w:r>
            <w:rPr>
              <w:rFonts w:eastAsia="Times New Roman"/>
            </w:rPr>
            <w:t xml:space="preserve">, C. </w:t>
          </w:r>
          <w:r>
            <w:rPr>
              <w:rFonts w:eastAsia="Times New Roman"/>
              <w:i/>
              <w:iCs/>
            </w:rPr>
            <w:t>et al.</w:t>
          </w:r>
          <w:r>
            <w:rPr>
              <w:rFonts w:eastAsia="Times New Roman"/>
            </w:rPr>
            <w:t xml:space="preserve"> (2015) “Species and mediator specific TLR4 antagonism in primary human and murine immune cells by β</w:t>
          </w:r>
          <w:proofErr w:type="spellStart"/>
          <w:proofErr w:type="gramStart"/>
          <w:r>
            <w:rPr>
              <w:rFonts w:eastAsia="Times New Roman"/>
            </w:rPr>
            <w:t>GlcN</w:t>
          </w:r>
          <w:proofErr w:type="spellEnd"/>
          <w:r>
            <w:rPr>
              <w:rFonts w:eastAsia="Times New Roman"/>
            </w:rPr>
            <w:t>(</w:t>
          </w:r>
          <w:proofErr w:type="gramEnd"/>
          <w:r>
            <w:rPr>
              <w:rFonts w:eastAsia="Times New Roman"/>
            </w:rPr>
            <w:t>1 ↔ 1)α</w:t>
          </w:r>
          <w:proofErr w:type="spellStart"/>
          <w:r>
            <w:rPr>
              <w:rFonts w:eastAsia="Times New Roman"/>
            </w:rPr>
            <w:t>Glc</w:t>
          </w:r>
          <w:proofErr w:type="spellEnd"/>
          <w:r>
            <w:rPr>
              <w:rFonts w:eastAsia="Times New Roman"/>
            </w:rPr>
            <w:t xml:space="preserve"> based lipid A mimetics,” </w:t>
          </w:r>
          <w:r>
            <w:rPr>
              <w:rFonts w:eastAsia="Times New Roman"/>
              <w:i/>
              <w:iCs/>
            </w:rPr>
            <w:t>Molecular Immunology</w:t>
          </w:r>
          <w:r>
            <w:rPr>
              <w:rFonts w:eastAsia="Times New Roman"/>
            </w:rPr>
            <w:t xml:space="preserve">, 67(2), pp. 636–641. </w:t>
          </w:r>
          <w:proofErr w:type="gramStart"/>
          <w:r>
            <w:rPr>
              <w:rFonts w:eastAsia="Times New Roman"/>
            </w:rPr>
            <w:t>doi:10.1016/J.MOLIMM</w:t>
          </w:r>
          <w:proofErr w:type="gramEnd"/>
          <w:r>
            <w:rPr>
              <w:rFonts w:eastAsia="Times New Roman"/>
            </w:rPr>
            <w:t>.2015.07.037.</w:t>
          </w:r>
        </w:p>
        <w:p w14:paraId="7C5EF441" w14:textId="77777777" w:rsidR="00F257B9" w:rsidRDefault="00F257B9">
          <w:pPr>
            <w:divId w:val="1079249032"/>
            <w:rPr>
              <w:rFonts w:eastAsia="Times New Roman"/>
            </w:rPr>
          </w:pPr>
          <w:proofErr w:type="spellStart"/>
          <w:r>
            <w:rPr>
              <w:rFonts w:eastAsia="Times New Roman"/>
            </w:rPr>
            <w:t>Chiva</w:t>
          </w:r>
          <w:proofErr w:type="spellEnd"/>
          <w:r>
            <w:rPr>
              <w:rFonts w:eastAsia="Times New Roman"/>
            </w:rPr>
            <w:t xml:space="preserve">-Blanch, G. </w:t>
          </w:r>
          <w:r>
            <w:rPr>
              <w:rFonts w:eastAsia="Times New Roman"/>
              <w:i/>
              <w:iCs/>
            </w:rPr>
            <w:t>et al.</w:t>
          </w:r>
          <w:r>
            <w:rPr>
              <w:rFonts w:eastAsia="Times New Roman"/>
            </w:rPr>
            <w:t xml:space="preserve"> (2013) “Effects of Wine, Alcohol and Polyphenols on Cardiovascular Disease Risk Factors: </w:t>
          </w:r>
          <w:proofErr w:type="gramStart"/>
          <w:r>
            <w:rPr>
              <w:rFonts w:eastAsia="Times New Roman"/>
            </w:rPr>
            <w:t>Evidences</w:t>
          </w:r>
          <w:proofErr w:type="gramEnd"/>
          <w:r>
            <w:rPr>
              <w:rFonts w:eastAsia="Times New Roman"/>
            </w:rPr>
            <w:t xml:space="preserve"> from Human Studies,” </w:t>
          </w:r>
          <w:r>
            <w:rPr>
              <w:rFonts w:eastAsia="Times New Roman"/>
              <w:i/>
              <w:iCs/>
            </w:rPr>
            <w:t>Alcohol and Alcoholism</w:t>
          </w:r>
          <w:r>
            <w:rPr>
              <w:rFonts w:eastAsia="Times New Roman"/>
            </w:rPr>
            <w:t>, 48(3), pp. 270–277. doi:10.1093/</w:t>
          </w:r>
          <w:proofErr w:type="spellStart"/>
          <w:r>
            <w:rPr>
              <w:rFonts w:eastAsia="Times New Roman"/>
            </w:rPr>
            <w:t>alcalc</w:t>
          </w:r>
          <w:proofErr w:type="spellEnd"/>
          <w:r>
            <w:rPr>
              <w:rFonts w:eastAsia="Times New Roman"/>
            </w:rPr>
            <w:t>/agt007.</w:t>
          </w:r>
        </w:p>
        <w:p w14:paraId="61CD5141" w14:textId="77777777" w:rsidR="00F257B9" w:rsidRDefault="00F257B9">
          <w:pPr>
            <w:divId w:val="1216088026"/>
            <w:rPr>
              <w:rFonts w:eastAsia="Times New Roman"/>
            </w:rPr>
          </w:pPr>
          <w:r>
            <w:rPr>
              <w:rFonts w:eastAsia="Times New Roman"/>
            </w:rPr>
            <w:t xml:space="preserve">Cho, K.Y. </w:t>
          </w:r>
          <w:r>
            <w:rPr>
              <w:rFonts w:eastAsia="Times New Roman"/>
              <w:i/>
              <w:iCs/>
            </w:rPr>
            <w:t>et al.</w:t>
          </w:r>
          <w:r>
            <w:rPr>
              <w:rFonts w:eastAsia="Times New Roman"/>
            </w:rPr>
            <w:t xml:space="preserve"> (2013) “The phenotype of infiltrating macrophages influences arteriosclerotic plaque vulnerability in the carotid artery.,” </w:t>
          </w:r>
          <w:r>
            <w:rPr>
              <w:rFonts w:eastAsia="Times New Roman"/>
              <w:i/>
              <w:iCs/>
            </w:rPr>
            <w:t xml:space="preserve">Journal of stroke and cerebrovascular </w:t>
          </w:r>
          <w:proofErr w:type="gramStart"/>
          <w:r>
            <w:rPr>
              <w:rFonts w:eastAsia="Times New Roman"/>
              <w:i/>
              <w:iCs/>
            </w:rPr>
            <w:t>diseases :</w:t>
          </w:r>
          <w:proofErr w:type="gramEnd"/>
          <w:r>
            <w:rPr>
              <w:rFonts w:eastAsia="Times New Roman"/>
              <w:i/>
              <w:iCs/>
            </w:rPr>
            <w:t xml:space="preserve"> the official journal of National Stroke Association</w:t>
          </w:r>
          <w:r>
            <w:rPr>
              <w:rFonts w:eastAsia="Times New Roman"/>
            </w:rPr>
            <w:t xml:space="preserve">, 22(7), pp. 910–8. </w:t>
          </w:r>
          <w:proofErr w:type="gramStart"/>
          <w:r>
            <w:rPr>
              <w:rFonts w:eastAsia="Times New Roman"/>
            </w:rPr>
            <w:t>doi:10.1016/j.jstrokecerebrovasdis</w:t>
          </w:r>
          <w:proofErr w:type="gramEnd"/>
          <w:r>
            <w:rPr>
              <w:rFonts w:eastAsia="Times New Roman"/>
            </w:rPr>
            <w:t>.2012.11.020.</w:t>
          </w:r>
        </w:p>
        <w:p w14:paraId="1CB31D55" w14:textId="77777777" w:rsidR="00F257B9" w:rsidRDefault="00F257B9">
          <w:pPr>
            <w:divId w:val="1003892801"/>
            <w:rPr>
              <w:rFonts w:eastAsia="Times New Roman"/>
            </w:rPr>
          </w:pPr>
          <w:r>
            <w:rPr>
              <w:rFonts w:eastAsia="Times New Roman"/>
            </w:rPr>
            <w:lastRenderedPageBreak/>
            <w:t xml:space="preserve">Choi, S.-H. </w:t>
          </w:r>
          <w:r>
            <w:rPr>
              <w:rFonts w:eastAsia="Times New Roman"/>
              <w:i/>
              <w:iCs/>
            </w:rPr>
            <w:t>et al.</w:t>
          </w:r>
          <w:r>
            <w:rPr>
              <w:rFonts w:eastAsia="Times New Roman"/>
            </w:rPr>
            <w:t xml:space="preserve"> (2012) “Spleen Tyrosine Kinase Regulates AP-1 Dependent Transcriptional Response to Minimally Oxidized LDL,” </w:t>
          </w:r>
          <w:proofErr w:type="spellStart"/>
          <w:r>
            <w:rPr>
              <w:rFonts w:eastAsia="Times New Roman"/>
              <w:i/>
              <w:iCs/>
            </w:rPr>
            <w:t>PLoS</w:t>
          </w:r>
          <w:proofErr w:type="spellEnd"/>
          <w:r>
            <w:rPr>
              <w:rFonts w:eastAsia="Times New Roman"/>
              <w:i/>
              <w:iCs/>
            </w:rPr>
            <w:t xml:space="preserve"> ONE</w:t>
          </w:r>
          <w:r>
            <w:rPr>
              <w:rFonts w:eastAsia="Times New Roman"/>
            </w:rPr>
            <w:t xml:space="preserve">. Edited by D.M. </w:t>
          </w:r>
          <w:proofErr w:type="spellStart"/>
          <w:r>
            <w:rPr>
              <w:rFonts w:eastAsia="Times New Roman"/>
            </w:rPr>
            <w:t>Ojcius</w:t>
          </w:r>
          <w:proofErr w:type="spellEnd"/>
          <w:r>
            <w:rPr>
              <w:rFonts w:eastAsia="Times New Roman"/>
            </w:rPr>
            <w:t xml:space="preserve">, 7(2), p. e32378. </w:t>
          </w:r>
          <w:proofErr w:type="gramStart"/>
          <w:r>
            <w:rPr>
              <w:rFonts w:eastAsia="Times New Roman"/>
            </w:rPr>
            <w:t>doi:10.1371/journal.pone</w:t>
          </w:r>
          <w:proofErr w:type="gramEnd"/>
          <w:r>
            <w:rPr>
              <w:rFonts w:eastAsia="Times New Roman"/>
            </w:rPr>
            <w:t>.0032378.</w:t>
          </w:r>
        </w:p>
        <w:p w14:paraId="1E78FCE1" w14:textId="77777777" w:rsidR="00F257B9" w:rsidRDefault="00F257B9">
          <w:pPr>
            <w:divId w:val="1056665478"/>
            <w:rPr>
              <w:rFonts w:eastAsia="Times New Roman"/>
            </w:rPr>
          </w:pPr>
          <w:r>
            <w:rPr>
              <w:rFonts w:eastAsia="Times New Roman"/>
            </w:rPr>
            <w:t xml:space="preserve">Chou, Y.J. </w:t>
          </w:r>
          <w:r>
            <w:rPr>
              <w:rFonts w:eastAsia="Times New Roman"/>
              <w:i/>
              <w:iCs/>
            </w:rPr>
            <w:t>et al.</w:t>
          </w:r>
          <w:r>
            <w:rPr>
              <w:rFonts w:eastAsia="Times New Roman"/>
            </w:rPr>
            <w:t xml:space="preserve"> (2020) “Vaccine adjuvant activity of a TLR4-activating synthetic glycolipid by promoting autophagy,” </w:t>
          </w:r>
          <w:r>
            <w:rPr>
              <w:rFonts w:eastAsia="Times New Roman"/>
              <w:i/>
              <w:iCs/>
            </w:rPr>
            <w:t>Scientific Reports</w:t>
          </w:r>
          <w:r>
            <w:rPr>
              <w:rFonts w:eastAsia="Times New Roman"/>
            </w:rPr>
            <w:t>, 10(1), pp. 1–15. doi:10.1038/s41598-020-65422-1.</w:t>
          </w:r>
        </w:p>
        <w:p w14:paraId="228A03A7" w14:textId="77777777" w:rsidR="00F257B9" w:rsidRDefault="00F257B9">
          <w:pPr>
            <w:divId w:val="536621668"/>
            <w:rPr>
              <w:rFonts w:eastAsia="Times New Roman"/>
            </w:rPr>
          </w:pPr>
          <w:proofErr w:type="spellStart"/>
          <w:r>
            <w:rPr>
              <w:rFonts w:eastAsia="Times New Roman"/>
            </w:rPr>
            <w:t>Cighetti</w:t>
          </w:r>
          <w:proofErr w:type="spellEnd"/>
          <w:r>
            <w:rPr>
              <w:rFonts w:eastAsia="Times New Roman"/>
            </w:rPr>
            <w:t xml:space="preserve">, R. </w:t>
          </w:r>
          <w:r>
            <w:rPr>
              <w:rFonts w:eastAsia="Times New Roman"/>
              <w:i/>
              <w:iCs/>
            </w:rPr>
            <w:t>et al.</w:t>
          </w:r>
          <w:r>
            <w:rPr>
              <w:rFonts w:eastAsia="Times New Roman"/>
            </w:rPr>
            <w:t xml:space="preserve"> (2014) “Modulation of CD14 and TLR4</w:t>
          </w:r>
          <w:r>
            <w:rPr>
              <w:rFonts w:ascii="Cambria Math" w:eastAsia="Times New Roman" w:hAnsi="Cambria Math" w:cs="Cambria Math"/>
            </w:rPr>
            <w:t>⋅</w:t>
          </w:r>
          <w:r>
            <w:rPr>
              <w:rFonts w:eastAsia="Times New Roman"/>
            </w:rPr>
            <w:t xml:space="preserve">MD-2 Activities by a Synthetic Lipid A Mimetic,” </w:t>
          </w:r>
          <w:proofErr w:type="spellStart"/>
          <w:r>
            <w:rPr>
              <w:rFonts w:eastAsia="Times New Roman"/>
              <w:i/>
              <w:iCs/>
            </w:rPr>
            <w:t>ChemBioChem</w:t>
          </w:r>
          <w:proofErr w:type="spellEnd"/>
          <w:r>
            <w:rPr>
              <w:rFonts w:eastAsia="Times New Roman"/>
            </w:rPr>
            <w:t>, 15(2), pp. 250–258. doi:10.1002/cbic.201300588.</w:t>
          </w:r>
        </w:p>
        <w:p w14:paraId="23BAF530" w14:textId="77777777" w:rsidR="00F257B9" w:rsidRDefault="00F257B9">
          <w:pPr>
            <w:divId w:val="1259942140"/>
            <w:rPr>
              <w:rFonts w:eastAsia="Times New Roman"/>
            </w:rPr>
          </w:pPr>
          <w:r>
            <w:rPr>
              <w:rFonts w:eastAsia="Times New Roman"/>
            </w:rPr>
            <w:t xml:space="preserve">Davidson, C.R. </w:t>
          </w:r>
          <w:r>
            <w:rPr>
              <w:rFonts w:eastAsia="Times New Roman"/>
              <w:i/>
              <w:iCs/>
            </w:rPr>
            <w:t>et al.</w:t>
          </w:r>
          <w:r>
            <w:rPr>
              <w:rFonts w:eastAsia="Times New Roman"/>
            </w:rPr>
            <w:t xml:space="preserve"> (2008) “Toll-like receptor genes (TLRs) from Capitella capitata and </w:t>
          </w:r>
          <w:proofErr w:type="spellStart"/>
          <w:r>
            <w:rPr>
              <w:rFonts w:eastAsia="Times New Roman"/>
            </w:rPr>
            <w:t>Helobdella</w:t>
          </w:r>
          <w:proofErr w:type="spellEnd"/>
          <w:r>
            <w:rPr>
              <w:rFonts w:eastAsia="Times New Roman"/>
            </w:rPr>
            <w:t xml:space="preserve"> </w:t>
          </w:r>
          <w:proofErr w:type="spellStart"/>
          <w:r>
            <w:rPr>
              <w:rFonts w:eastAsia="Times New Roman"/>
            </w:rPr>
            <w:t>robusta</w:t>
          </w:r>
          <w:proofErr w:type="spellEnd"/>
          <w:r>
            <w:rPr>
              <w:rFonts w:eastAsia="Times New Roman"/>
            </w:rPr>
            <w:t xml:space="preserve"> (Annelida),” </w:t>
          </w:r>
          <w:r>
            <w:rPr>
              <w:rFonts w:eastAsia="Times New Roman"/>
              <w:i/>
              <w:iCs/>
            </w:rPr>
            <w:t>Developmental and Comparative Immunology</w:t>
          </w:r>
          <w:r>
            <w:rPr>
              <w:rFonts w:eastAsia="Times New Roman"/>
            </w:rPr>
            <w:t xml:space="preserve">, 32(6), pp. 608–612. </w:t>
          </w:r>
          <w:proofErr w:type="gramStart"/>
          <w:r>
            <w:rPr>
              <w:rFonts w:eastAsia="Times New Roman"/>
            </w:rPr>
            <w:t>doi:10.1016/j.dci</w:t>
          </w:r>
          <w:proofErr w:type="gramEnd"/>
          <w:r>
            <w:rPr>
              <w:rFonts w:eastAsia="Times New Roman"/>
            </w:rPr>
            <w:t>.2007.11.004.</w:t>
          </w:r>
        </w:p>
        <w:p w14:paraId="565CEBE8" w14:textId="77777777" w:rsidR="00F257B9" w:rsidRDefault="00F257B9">
          <w:pPr>
            <w:divId w:val="925072071"/>
            <w:rPr>
              <w:rFonts w:eastAsia="Times New Roman"/>
            </w:rPr>
          </w:pPr>
          <w:proofErr w:type="spellStart"/>
          <w:r>
            <w:rPr>
              <w:rFonts w:eastAsia="Times New Roman"/>
            </w:rPr>
            <w:t>Defawe</w:t>
          </w:r>
          <w:proofErr w:type="spellEnd"/>
          <w:r>
            <w:rPr>
              <w:rFonts w:eastAsia="Times New Roman"/>
            </w:rPr>
            <w:t xml:space="preserve">, O.D. </w:t>
          </w:r>
          <w:r>
            <w:rPr>
              <w:rFonts w:eastAsia="Times New Roman"/>
              <w:i/>
              <w:iCs/>
            </w:rPr>
            <w:t>et al.</w:t>
          </w:r>
          <w:r>
            <w:rPr>
              <w:rFonts w:eastAsia="Times New Roman"/>
            </w:rPr>
            <w:t xml:space="preserve"> (2003) “TIMP-2 and PAI-1 mRNA levels are lower in aneurysmal as compared to </w:t>
          </w:r>
          <w:proofErr w:type="spellStart"/>
          <w:r>
            <w:rPr>
              <w:rFonts w:eastAsia="Times New Roman"/>
            </w:rPr>
            <w:t>athero</w:t>
          </w:r>
          <w:proofErr w:type="spellEnd"/>
          <w:r>
            <w:rPr>
              <w:rFonts w:eastAsia="Times New Roman"/>
            </w:rPr>
            <w:t xml:space="preserve">-occlusive abdominal aortas,” </w:t>
          </w:r>
          <w:r>
            <w:rPr>
              <w:rFonts w:eastAsia="Times New Roman"/>
              <w:i/>
              <w:iCs/>
            </w:rPr>
            <w:t>Cardiovascular Research</w:t>
          </w:r>
          <w:r>
            <w:rPr>
              <w:rFonts w:eastAsia="Times New Roman"/>
            </w:rPr>
            <w:t>, 60(1), pp. 205–213. doi:10.1016/S0008-6363(03)00513-3.</w:t>
          </w:r>
        </w:p>
        <w:p w14:paraId="45D30955" w14:textId="77777777" w:rsidR="00F257B9" w:rsidRDefault="00F257B9">
          <w:pPr>
            <w:divId w:val="1130630126"/>
            <w:rPr>
              <w:rFonts w:eastAsia="Times New Roman"/>
            </w:rPr>
          </w:pPr>
          <w:r>
            <w:rPr>
              <w:rFonts w:eastAsia="Times New Roman"/>
            </w:rPr>
            <w:t xml:space="preserve">den Dekker, W.K. </w:t>
          </w:r>
          <w:r>
            <w:rPr>
              <w:rFonts w:eastAsia="Times New Roman"/>
              <w:i/>
              <w:iCs/>
            </w:rPr>
            <w:t>et al.</w:t>
          </w:r>
          <w:r>
            <w:rPr>
              <w:rFonts w:eastAsia="Times New Roman"/>
            </w:rPr>
            <w:t xml:space="preserve"> (2010) “Toll like receptor 4 in atherosclerosis and plaque destabilization,” </w:t>
          </w:r>
          <w:r>
            <w:rPr>
              <w:rFonts w:eastAsia="Times New Roman"/>
              <w:i/>
              <w:iCs/>
            </w:rPr>
            <w:t>Atherosclerosis</w:t>
          </w:r>
          <w:r>
            <w:rPr>
              <w:rFonts w:eastAsia="Times New Roman"/>
            </w:rPr>
            <w:t xml:space="preserve">, 209(2), pp. 314–320. </w:t>
          </w:r>
          <w:proofErr w:type="gramStart"/>
          <w:r>
            <w:rPr>
              <w:rFonts w:eastAsia="Times New Roman"/>
            </w:rPr>
            <w:t>doi:10.1016/j.atherosclerosis</w:t>
          </w:r>
          <w:proofErr w:type="gramEnd"/>
          <w:r>
            <w:rPr>
              <w:rFonts w:eastAsia="Times New Roman"/>
            </w:rPr>
            <w:t>.2009.09.075.</w:t>
          </w:r>
        </w:p>
        <w:p w14:paraId="4C19EADA" w14:textId="77777777" w:rsidR="00F257B9" w:rsidRDefault="00F257B9">
          <w:pPr>
            <w:divId w:val="1006371091"/>
            <w:rPr>
              <w:rFonts w:eastAsia="Times New Roman"/>
            </w:rPr>
          </w:pPr>
          <w:r>
            <w:rPr>
              <w:rFonts w:eastAsia="Times New Roman"/>
            </w:rPr>
            <w:t xml:space="preserve">Ding, P.H. </w:t>
          </w:r>
          <w:r>
            <w:rPr>
              <w:rFonts w:eastAsia="Times New Roman"/>
              <w:i/>
              <w:iCs/>
            </w:rPr>
            <w:t>et al.</w:t>
          </w:r>
          <w:r>
            <w:rPr>
              <w:rFonts w:eastAsia="Times New Roman"/>
            </w:rPr>
            <w:t xml:space="preserve"> (2013) “</w:t>
          </w:r>
          <w:proofErr w:type="spellStart"/>
          <w:r>
            <w:rPr>
              <w:rFonts w:eastAsia="Times New Roman"/>
            </w:rPr>
            <w:t>Porphyromonas</w:t>
          </w:r>
          <w:proofErr w:type="spellEnd"/>
          <w:r>
            <w:rPr>
              <w:rFonts w:eastAsia="Times New Roman"/>
            </w:rPr>
            <w:t xml:space="preserve"> </w:t>
          </w:r>
          <w:proofErr w:type="spellStart"/>
          <w:r>
            <w:rPr>
              <w:rFonts w:eastAsia="Times New Roman"/>
            </w:rPr>
            <w:t>gingivalis</w:t>
          </w:r>
          <w:proofErr w:type="spellEnd"/>
          <w:r>
            <w:rPr>
              <w:rFonts w:eastAsia="Times New Roman"/>
            </w:rPr>
            <w:t xml:space="preserve"> LPS stimulates the expression of LPS-binding protein in human oral keratinocytes in vitro,” </w:t>
          </w:r>
          <w:r>
            <w:rPr>
              <w:rFonts w:eastAsia="Times New Roman"/>
              <w:i/>
              <w:iCs/>
            </w:rPr>
            <w:t>Innate Immunity</w:t>
          </w:r>
          <w:r>
            <w:rPr>
              <w:rFonts w:eastAsia="Times New Roman"/>
            </w:rPr>
            <w:t>, 19(1), pp. 66–75. doi:10.1177/1753425912450348.</w:t>
          </w:r>
        </w:p>
        <w:p w14:paraId="19539965" w14:textId="77777777" w:rsidR="00F257B9" w:rsidRDefault="00F257B9">
          <w:pPr>
            <w:divId w:val="888150771"/>
            <w:rPr>
              <w:rFonts w:eastAsia="Times New Roman"/>
            </w:rPr>
          </w:pPr>
          <w:r>
            <w:rPr>
              <w:rFonts w:eastAsia="Times New Roman"/>
            </w:rPr>
            <w:t xml:space="preserve">Doherty, M.R. </w:t>
          </w:r>
          <w:r>
            <w:rPr>
              <w:rFonts w:eastAsia="Times New Roman"/>
              <w:i/>
              <w:iCs/>
            </w:rPr>
            <w:t>et al.</w:t>
          </w:r>
          <w:r>
            <w:rPr>
              <w:rFonts w:eastAsia="Times New Roman"/>
            </w:rPr>
            <w:t xml:space="preserve"> (2017) “Interferon-beta represses cancer stem cell properties in triple-negative breast cancer,” </w:t>
          </w:r>
          <w:r>
            <w:rPr>
              <w:rFonts w:eastAsia="Times New Roman"/>
              <w:i/>
              <w:iCs/>
            </w:rPr>
            <w:t>Proceedings of the National Academy of Sciences of the United States of America</w:t>
          </w:r>
          <w:r>
            <w:rPr>
              <w:rFonts w:eastAsia="Times New Roman"/>
            </w:rPr>
            <w:t>, 114(52), pp. 13792–13797. doi:10.1073/pnas.1713728114.</w:t>
          </w:r>
        </w:p>
        <w:p w14:paraId="37307642" w14:textId="77777777" w:rsidR="00F257B9" w:rsidRDefault="00F257B9">
          <w:pPr>
            <w:divId w:val="1792552443"/>
            <w:rPr>
              <w:rFonts w:eastAsia="Times New Roman"/>
            </w:rPr>
          </w:pPr>
          <w:proofErr w:type="spellStart"/>
          <w:r>
            <w:rPr>
              <w:rFonts w:eastAsia="Times New Roman"/>
            </w:rPr>
            <w:t>Facchini</w:t>
          </w:r>
          <w:proofErr w:type="spellEnd"/>
          <w:r>
            <w:rPr>
              <w:rFonts w:eastAsia="Times New Roman"/>
            </w:rPr>
            <w:t xml:space="preserve">, F.A. </w:t>
          </w:r>
          <w:r>
            <w:rPr>
              <w:rFonts w:eastAsia="Times New Roman"/>
              <w:i/>
              <w:iCs/>
            </w:rPr>
            <w:t>et al.</w:t>
          </w:r>
          <w:r>
            <w:rPr>
              <w:rFonts w:eastAsia="Times New Roman"/>
            </w:rPr>
            <w:t xml:space="preserve"> (2018) “Structure-activity relationship in monosaccharide-based toll-like receptor 4 (TLR4) antagonists,” </w:t>
          </w:r>
          <w:r>
            <w:rPr>
              <w:rFonts w:eastAsia="Times New Roman"/>
              <w:i/>
              <w:iCs/>
            </w:rPr>
            <w:t>Journal of Medicinal Chemistry</w:t>
          </w:r>
          <w:r>
            <w:rPr>
              <w:rFonts w:eastAsia="Times New Roman"/>
            </w:rPr>
            <w:t xml:space="preserve">, 61(7). </w:t>
          </w:r>
          <w:proofErr w:type="gramStart"/>
          <w:r>
            <w:rPr>
              <w:rFonts w:eastAsia="Times New Roman"/>
            </w:rPr>
            <w:t>doi:10.1021/acs.jmedchem</w:t>
          </w:r>
          <w:proofErr w:type="gramEnd"/>
          <w:r>
            <w:rPr>
              <w:rFonts w:eastAsia="Times New Roman"/>
            </w:rPr>
            <w:t>.7b01803.</w:t>
          </w:r>
        </w:p>
        <w:p w14:paraId="59358F27" w14:textId="77777777" w:rsidR="00F257B9" w:rsidRDefault="00F257B9">
          <w:pPr>
            <w:divId w:val="6685149"/>
            <w:rPr>
              <w:rFonts w:eastAsia="Times New Roman"/>
            </w:rPr>
          </w:pPr>
          <w:proofErr w:type="spellStart"/>
          <w:r>
            <w:rPr>
              <w:rFonts w:eastAsia="Times New Roman"/>
            </w:rPr>
            <w:lastRenderedPageBreak/>
            <w:t>Facchini</w:t>
          </w:r>
          <w:proofErr w:type="spellEnd"/>
          <w:r>
            <w:rPr>
              <w:rFonts w:eastAsia="Times New Roman"/>
            </w:rPr>
            <w:t xml:space="preserve">, F.A. </w:t>
          </w:r>
          <w:r>
            <w:rPr>
              <w:rFonts w:eastAsia="Times New Roman"/>
              <w:i/>
              <w:iCs/>
            </w:rPr>
            <w:t>et al.</w:t>
          </w:r>
          <w:r>
            <w:rPr>
              <w:rFonts w:eastAsia="Times New Roman"/>
            </w:rPr>
            <w:t xml:space="preserve"> (2021) “Synthetic Glycolipids as Molecular Vaccine Adjuvants: Mechanism of Action in Human Cells and In Vivo Activity,” </w:t>
          </w:r>
          <w:r>
            <w:rPr>
              <w:rFonts w:eastAsia="Times New Roman"/>
              <w:i/>
              <w:iCs/>
            </w:rPr>
            <w:t>Journal of Medicinal Chemistry</w:t>
          </w:r>
          <w:r>
            <w:rPr>
              <w:rFonts w:eastAsia="Times New Roman"/>
            </w:rPr>
            <w:t xml:space="preserve">, 64(16), pp. 12261–12272. </w:t>
          </w:r>
          <w:proofErr w:type="gramStart"/>
          <w:r>
            <w:rPr>
              <w:rFonts w:eastAsia="Times New Roman"/>
            </w:rPr>
            <w:t>doi:10.1021/ACS.JMEDCHEM</w:t>
          </w:r>
          <w:proofErr w:type="gramEnd"/>
          <w:r>
            <w:rPr>
              <w:rFonts w:eastAsia="Times New Roman"/>
            </w:rPr>
            <w:t>.1C00896.</w:t>
          </w:r>
        </w:p>
        <w:p w14:paraId="76C1A873" w14:textId="77777777" w:rsidR="00F257B9" w:rsidRDefault="00F257B9">
          <w:pPr>
            <w:divId w:val="254942359"/>
            <w:rPr>
              <w:rFonts w:eastAsia="Times New Roman"/>
            </w:rPr>
          </w:pPr>
          <w:proofErr w:type="spellStart"/>
          <w:r>
            <w:rPr>
              <w:rFonts w:eastAsia="Times New Roman"/>
            </w:rPr>
            <w:t>Fujii</w:t>
          </w:r>
          <w:proofErr w:type="spellEnd"/>
          <w:r>
            <w:rPr>
              <w:rFonts w:eastAsia="Times New Roman"/>
            </w:rPr>
            <w:t xml:space="preserve">, T. </w:t>
          </w:r>
          <w:r>
            <w:rPr>
              <w:rFonts w:eastAsia="Times New Roman"/>
              <w:i/>
              <w:iCs/>
            </w:rPr>
            <w:t>et al.</w:t>
          </w:r>
          <w:r>
            <w:rPr>
              <w:rFonts w:eastAsia="Times New Roman"/>
            </w:rPr>
            <w:t xml:space="preserve"> (2018) “Polymyxin B-immobilized hemoperfusion and mortality in critically ill adult patients with sepsis/septic shock: a systematic review with meta-analysis and trial sequential analysis,” </w:t>
          </w:r>
          <w:r>
            <w:rPr>
              <w:rFonts w:eastAsia="Times New Roman"/>
              <w:i/>
              <w:iCs/>
            </w:rPr>
            <w:t>Intensive Care Medicine</w:t>
          </w:r>
          <w:r>
            <w:rPr>
              <w:rFonts w:eastAsia="Times New Roman"/>
            </w:rPr>
            <w:t>. Springer Verlag, pp. 167–178. doi:10.1007/s00134-017-5004-9.</w:t>
          </w:r>
        </w:p>
        <w:p w14:paraId="7E684972" w14:textId="77777777" w:rsidR="00F257B9" w:rsidRDefault="00F257B9">
          <w:pPr>
            <w:divId w:val="1293900476"/>
            <w:rPr>
              <w:rFonts w:eastAsia="Times New Roman"/>
            </w:rPr>
          </w:pPr>
          <w:r>
            <w:rPr>
              <w:rFonts w:eastAsia="Times New Roman"/>
            </w:rPr>
            <w:t xml:space="preserve">Gerry, A.B., Satchell, L. and </w:t>
          </w:r>
          <w:proofErr w:type="spellStart"/>
          <w:r>
            <w:rPr>
              <w:rFonts w:eastAsia="Times New Roman"/>
            </w:rPr>
            <w:t>Leake</w:t>
          </w:r>
          <w:proofErr w:type="spellEnd"/>
          <w:r>
            <w:rPr>
              <w:rFonts w:eastAsia="Times New Roman"/>
            </w:rPr>
            <w:t xml:space="preserve">, D.S. (2008) “A novel method for production of lipid hydroperoxide- or oxysterol-rich low-density lipoprotein.,” </w:t>
          </w:r>
          <w:r>
            <w:rPr>
              <w:rFonts w:eastAsia="Times New Roman"/>
              <w:i/>
              <w:iCs/>
            </w:rPr>
            <w:t>Atherosclerosis</w:t>
          </w:r>
          <w:r>
            <w:rPr>
              <w:rFonts w:eastAsia="Times New Roman"/>
            </w:rPr>
            <w:t xml:space="preserve">, 197(2), pp. 579–87. </w:t>
          </w:r>
          <w:proofErr w:type="gramStart"/>
          <w:r>
            <w:rPr>
              <w:rFonts w:eastAsia="Times New Roman"/>
            </w:rPr>
            <w:t>doi:10.1016/j.atherosclerosis</w:t>
          </w:r>
          <w:proofErr w:type="gramEnd"/>
          <w:r>
            <w:rPr>
              <w:rFonts w:eastAsia="Times New Roman"/>
            </w:rPr>
            <w:t>.2007.08.026.</w:t>
          </w:r>
        </w:p>
        <w:p w14:paraId="01D69C6B" w14:textId="77777777" w:rsidR="00F257B9" w:rsidRDefault="00F257B9">
          <w:pPr>
            <w:divId w:val="256212964"/>
            <w:rPr>
              <w:rFonts w:eastAsia="Times New Roman"/>
            </w:rPr>
          </w:pPr>
          <w:proofErr w:type="spellStart"/>
          <w:r>
            <w:rPr>
              <w:rFonts w:eastAsia="Times New Roman"/>
            </w:rPr>
            <w:t>Giannoudis</w:t>
          </w:r>
          <w:proofErr w:type="spellEnd"/>
          <w:r>
            <w:rPr>
              <w:rFonts w:eastAsia="Times New Roman"/>
            </w:rPr>
            <w:t xml:space="preserve">, P. v. </w:t>
          </w:r>
          <w:r>
            <w:rPr>
              <w:rFonts w:eastAsia="Times New Roman"/>
              <w:i/>
              <w:iCs/>
            </w:rPr>
            <w:t>et al.</w:t>
          </w:r>
          <w:r>
            <w:rPr>
              <w:rFonts w:eastAsia="Times New Roman"/>
            </w:rPr>
            <w:t xml:space="preserve"> (2010) “Pattern of release and relationship between HMGB-1 and IL-6 following blunt trauma,” </w:t>
          </w:r>
          <w:r>
            <w:rPr>
              <w:rFonts w:eastAsia="Times New Roman"/>
              <w:i/>
              <w:iCs/>
            </w:rPr>
            <w:t>Injury</w:t>
          </w:r>
          <w:r>
            <w:rPr>
              <w:rFonts w:eastAsia="Times New Roman"/>
            </w:rPr>
            <w:t xml:space="preserve">, 41(12), pp. 1323–1327. </w:t>
          </w:r>
          <w:proofErr w:type="gramStart"/>
          <w:r>
            <w:rPr>
              <w:rFonts w:eastAsia="Times New Roman"/>
            </w:rPr>
            <w:t>doi:10.1016/j.injury</w:t>
          </w:r>
          <w:proofErr w:type="gramEnd"/>
          <w:r>
            <w:rPr>
              <w:rFonts w:eastAsia="Times New Roman"/>
            </w:rPr>
            <w:t>.2010.09.012.</w:t>
          </w:r>
        </w:p>
        <w:p w14:paraId="213B6E0B" w14:textId="77777777" w:rsidR="00F257B9" w:rsidRDefault="00F257B9">
          <w:pPr>
            <w:divId w:val="1918859702"/>
            <w:rPr>
              <w:rFonts w:eastAsia="Times New Roman"/>
            </w:rPr>
          </w:pPr>
          <w:proofErr w:type="spellStart"/>
          <w:r>
            <w:rPr>
              <w:rFonts w:eastAsia="Times New Roman"/>
            </w:rPr>
            <w:t>Gillmore</w:t>
          </w:r>
          <w:proofErr w:type="spellEnd"/>
          <w:r>
            <w:rPr>
              <w:rFonts w:eastAsia="Times New Roman"/>
            </w:rPr>
            <w:t xml:space="preserve">, J.D. </w:t>
          </w:r>
          <w:r>
            <w:rPr>
              <w:rFonts w:eastAsia="Times New Roman"/>
              <w:i/>
              <w:iCs/>
            </w:rPr>
            <w:t>et al.</w:t>
          </w:r>
          <w:r>
            <w:rPr>
              <w:rFonts w:eastAsia="Times New Roman"/>
            </w:rPr>
            <w:t xml:space="preserve"> (2001) “Amyloid load and clinical outcome in AA amyloidosis in relation to circulating concentration of serum amyloid A protein,” </w:t>
          </w:r>
          <w:r>
            <w:rPr>
              <w:rFonts w:eastAsia="Times New Roman"/>
              <w:i/>
              <w:iCs/>
            </w:rPr>
            <w:t>Lancet</w:t>
          </w:r>
          <w:r>
            <w:rPr>
              <w:rFonts w:eastAsia="Times New Roman"/>
            </w:rPr>
            <w:t>, 358(9275), pp. 24–29. doi:10.1016/S0140-6736(00)05252-1.</w:t>
          </w:r>
        </w:p>
        <w:p w14:paraId="7FF9662D" w14:textId="77777777" w:rsidR="00F257B9" w:rsidRDefault="00F257B9">
          <w:pPr>
            <w:divId w:val="1955944388"/>
            <w:rPr>
              <w:rFonts w:eastAsia="Times New Roman"/>
            </w:rPr>
          </w:pPr>
          <w:proofErr w:type="spellStart"/>
          <w:r>
            <w:rPr>
              <w:rFonts w:eastAsia="Times New Roman"/>
            </w:rPr>
            <w:t>Gohda</w:t>
          </w:r>
          <w:proofErr w:type="spellEnd"/>
          <w:r>
            <w:rPr>
              <w:rFonts w:eastAsia="Times New Roman"/>
            </w:rPr>
            <w:t xml:space="preserve">, J., Matsumura, T. and Inoue, J. (2004) “Cutting Edge: TNFR-Associated Factor (TRAF) 6 Is Essential for MyD88-Dependent Pathway but Not Toll/IL-1 Receptor Domain-Containing Adaptor-Inducing IFN-β (TRIF)-Dependent Pathway in TLR </w:t>
          </w:r>
          <w:proofErr w:type="spellStart"/>
          <w:r>
            <w:rPr>
              <w:rFonts w:eastAsia="Times New Roman"/>
            </w:rPr>
            <w:t>Signaling</w:t>
          </w:r>
          <w:proofErr w:type="spellEnd"/>
          <w:r>
            <w:rPr>
              <w:rFonts w:eastAsia="Times New Roman"/>
            </w:rPr>
            <w:t xml:space="preserve">,” </w:t>
          </w:r>
          <w:r>
            <w:rPr>
              <w:rFonts w:eastAsia="Times New Roman"/>
              <w:i/>
              <w:iCs/>
            </w:rPr>
            <w:t>The Journal of Immunology</w:t>
          </w:r>
          <w:r>
            <w:rPr>
              <w:rFonts w:eastAsia="Times New Roman"/>
            </w:rPr>
            <w:t>, 173(5), pp. 2913–2917. doi:10.4049/jimmunol.173.5.2913.</w:t>
          </w:r>
        </w:p>
        <w:p w14:paraId="1DD1B673" w14:textId="77777777" w:rsidR="00F257B9" w:rsidRDefault="00F257B9">
          <w:pPr>
            <w:divId w:val="631907937"/>
            <w:rPr>
              <w:rFonts w:eastAsia="Times New Roman"/>
            </w:rPr>
          </w:pPr>
          <w:proofErr w:type="spellStart"/>
          <w:r>
            <w:rPr>
              <w:rFonts w:eastAsia="Times New Roman"/>
            </w:rPr>
            <w:t>Gutsmann</w:t>
          </w:r>
          <w:proofErr w:type="spellEnd"/>
          <w:r>
            <w:rPr>
              <w:rFonts w:eastAsia="Times New Roman"/>
            </w:rPr>
            <w:t xml:space="preserve">, T., </w:t>
          </w:r>
          <w:proofErr w:type="spellStart"/>
          <w:r>
            <w:rPr>
              <w:rFonts w:eastAsia="Times New Roman"/>
            </w:rPr>
            <w:t>Schromm</w:t>
          </w:r>
          <w:proofErr w:type="spellEnd"/>
          <w:r>
            <w:rPr>
              <w:rFonts w:eastAsia="Times New Roman"/>
            </w:rPr>
            <w:t xml:space="preserve">, A.B. and Brandenburg, K. (2007) “The </w:t>
          </w:r>
          <w:proofErr w:type="spellStart"/>
          <w:r>
            <w:rPr>
              <w:rFonts w:eastAsia="Times New Roman"/>
            </w:rPr>
            <w:t>physicochemistry</w:t>
          </w:r>
          <w:proofErr w:type="spellEnd"/>
          <w:r>
            <w:rPr>
              <w:rFonts w:eastAsia="Times New Roman"/>
            </w:rPr>
            <w:t xml:space="preserve"> of endotoxins in relation to bioactivity,” </w:t>
          </w:r>
          <w:r>
            <w:rPr>
              <w:rFonts w:eastAsia="Times New Roman"/>
              <w:i/>
              <w:iCs/>
            </w:rPr>
            <w:t>International Journal of Medical Microbiology</w:t>
          </w:r>
          <w:r>
            <w:rPr>
              <w:rFonts w:eastAsia="Times New Roman"/>
            </w:rPr>
            <w:t xml:space="preserve">, 297(5), pp. 341–352. </w:t>
          </w:r>
          <w:proofErr w:type="gramStart"/>
          <w:r>
            <w:rPr>
              <w:rFonts w:eastAsia="Times New Roman"/>
            </w:rPr>
            <w:t>doi:10.1016/J.IJMM</w:t>
          </w:r>
          <w:proofErr w:type="gramEnd"/>
          <w:r>
            <w:rPr>
              <w:rFonts w:eastAsia="Times New Roman"/>
            </w:rPr>
            <w:t>.2007.03.004.</w:t>
          </w:r>
        </w:p>
        <w:p w14:paraId="1151150C" w14:textId="77777777" w:rsidR="00F257B9" w:rsidRDefault="00F257B9">
          <w:pPr>
            <w:divId w:val="1750879367"/>
            <w:rPr>
              <w:rFonts w:eastAsia="Times New Roman"/>
            </w:rPr>
          </w:pPr>
          <w:proofErr w:type="spellStart"/>
          <w:r>
            <w:rPr>
              <w:rFonts w:eastAsia="Times New Roman"/>
            </w:rPr>
            <w:t>Hailman</w:t>
          </w:r>
          <w:proofErr w:type="spellEnd"/>
          <w:r>
            <w:rPr>
              <w:rFonts w:eastAsia="Times New Roman"/>
            </w:rPr>
            <w:t xml:space="preserve">, E. </w:t>
          </w:r>
          <w:r>
            <w:rPr>
              <w:rFonts w:eastAsia="Times New Roman"/>
              <w:i/>
              <w:iCs/>
            </w:rPr>
            <w:t>et al.</w:t>
          </w:r>
          <w:r>
            <w:rPr>
              <w:rFonts w:eastAsia="Times New Roman"/>
            </w:rPr>
            <w:t xml:space="preserve"> (1994) “Lipopolysaccharide (LPS)-binding protein accelerates the binding of LPS to CD14,” </w:t>
          </w:r>
          <w:r>
            <w:rPr>
              <w:rFonts w:eastAsia="Times New Roman"/>
              <w:i/>
              <w:iCs/>
            </w:rPr>
            <w:t>Journal of Experimental Medicine</w:t>
          </w:r>
          <w:r>
            <w:rPr>
              <w:rFonts w:eastAsia="Times New Roman"/>
            </w:rPr>
            <w:t>, 179(1), pp. 269–277. doi:10.1084/jem.179.1.269.</w:t>
          </w:r>
        </w:p>
        <w:p w14:paraId="6EA13AD5" w14:textId="77777777" w:rsidR="00F257B9" w:rsidRDefault="00F257B9">
          <w:pPr>
            <w:divId w:val="1850289501"/>
            <w:rPr>
              <w:rFonts w:eastAsia="Times New Roman"/>
            </w:rPr>
          </w:pPr>
          <w:r>
            <w:rPr>
              <w:rFonts w:eastAsia="Times New Roman"/>
            </w:rPr>
            <w:lastRenderedPageBreak/>
            <w:t xml:space="preserve">Han, S.-J. </w:t>
          </w:r>
          <w:r>
            <w:rPr>
              <w:rFonts w:eastAsia="Times New Roman"/>
              <w:i/>
              <w:iCs/>
            </w:rPr>
            <w:t>et al.</w:t>
          </w:r>
          <w:r>
            <w:rPr>
              <w:rFonts w:eastAsia="Times New Roman"/>
            </w:rPr>
            <w:t xml:space="preserve"> (2002) “Molecular mechanisms for lipopolysaccharide-induced biphasic activation of nuclear factor-kappa B (NF-kappa B).,” </w:t>
          </w:r>
          <w:r>
            <w:rPr>
              <w:rFonts w:eastAsia="Times New Roman"/>
              <w:i/>
              <w:iCs/>
            </w:rPr>
            <w:t>The Journal of biological chemistry</w:t>
          </w:r>
          <w:r>
            <w:rPr>
              <w:rFonts w:eastAsia="Times New Roman"/>
            </w:rPr>
            <w:t>, 277(47), pp. 44715–21. doi:10.1074/jbc.M202524200.</w:t>
          </w:r>
        </w:p>
        <w:p w14:paraId="3A5AF68A" w14:textId="77777777" w:rsidR="00F257B9" w:rsidRDefault="00F257B9">
          <w:pPr>
            <w:divId w:val="1345474339"/>
            <w:rPr>
              <w:rFonts w:eastAsia="Times New Roman"/>
            </w:rPr>
          </w:pPr>
          <w:r>
            <w:rPr>
              <w:rFonts w:eastAsia="Times New Roman"/>
            </w:rPr>
            <w:t xml:space="preserve">Hansson, G.K. and Libby, P. (2006) “The immune response in atherosclerosis: a double-edged sword,” </w:t>
          </w:r>
          <w:r>
            <w:rPr>
              <w:rFonts w:eastAsia="Times New Roman"/>
              <w:i/>
              <w:iCs/>
            </w:rPr>
            <w:t>Nature Reviews Immunology</w:t>
          </w:r>
          <w:r>
            <w:rPr>
              <w:rFonts w:eastAsia="Times New Roman"/>
            </w:rPr>
            <w:t>, 6(7), pp. 508–519. doi:10.1038/nri1882.</w:t>
          </w:r>
        </w:p>
        <w:p w14:paraId="4EB0DB08" w14:textId="77777777" w:rsidR="00F257B9" w:rsidRDefault="00F257B9">
          <w:pPr>
            <w:divId w:val="28336765"/>
            <w:rPr>
              <w:rFonts w:eastAsia="Times New Roman"/>
            </w:rPr>
          </w:pPr>
          <w:r>
            <w:rPr>
              <w:rFonts w:eastAsia="Times New Roman"/>
            </w:rPr>
            <w:t xml:space="preserve">Hashimoto, D. </w:t>
          </w:r>
          <w:r>
            <w:rPr>
              <w:rFonts w:eastAsia="Times New Roman"/>
              <w:i/>
              <w:iCs/>
            </w:rPr>
            <w:t>et al.</w:t>
          </w:r>
          <w:r>
            <w:rPr>
              <w:rFonts w:eastAsia="Times New Roman"/>
            </w:rPr>
            <w:t xml:space="preserve"> (2013) “Tissue-resident macrophages self-maintain locally throughout adult life with minimal contribution from circulating monocytes,” </w:t>
          </w:r>
          <w:r>
            <w:rPr>
              <w:rFonts w:eastAsia="Times New Roman"/>
              <w:i/>
              <w:iCs/>
            </w:rPr>
            <w:t>Immunity</w:t>
          </w:r>
          <w:r>
            <w:rPr>
              <w:rFonts w:eastAsia="Times New Roman"/>
            </w:rPr>
            <w:t xml:space="preserve">, 38(4), pp. 792–804. </w:t>
          </w:r>
          <w:proofErr w:type="gramStart"/>
          <w:r>
            <w:rPr>
              <w:rFonts w:eastAsia="Times New Roman"/>
            </w:rPr>
            <w:t>doi:10.1016/j.immuni</w:t>
          </w:r>
          <w:proofErr w:type="gramEnd"/>
          <w:r>
            <w:rPr>
              <w:rFonts w:eastAsia="Times New Roman"/>
            </w:rPr>
            <w:t>.2013.04.004.</w:t>
          </w:r>
        </w:p>
        <w:p w14:paraId="71CFA602" w14:textId="77777777" w:rsidR="00F257B9" w:rsidRDefault="00F257B9">
          <w:pPr>
            <w:divId w:val="2088262429"/>
            <w:rPr>
              <w:rFonts w:eastAsia="Times New Roman"/>
            </w:rPr>
          </w:pPr>
          <w:proofErr w:type="spellStart"/>
          <w:r>
            <w:rPr>
              <w:rFonts w:eastAsia="Times New Roman"/>
            </w:rPr>
            <w:t>Haziot</w:t>
          </w:r>
          <w:proofErr w:type="spellEnd"/>
          <w:r>
            <w:rPr>
              <w:rFonts w:eastAsia="Times New Roman"/>
            </w:rPr>
            <w:t xml:space="preserve">, A. </w:t>
          </w:r>
          <w:r>
            <w:rPr>
              <w:rFonts w:eastAsia="Times New Roman"/>
              <w:i/>
              <w:iCs/>
            </w:rPr>
            <w:t>et al.</w:t>
          </w:r>
          <w:r>
            <w:rPr>
              <w:rFonts w:eastAsia="Times New Roman"/>
            </w:rPr>
            <w:t xml:space="preserve"> (1998) “Cutting edge: The induction of acute phase proteins by lipopolysaccharide uses a novel pathway that is CD14-independent,” </w:t>
          </w:r>
          <w:r>
            <w:rPr>
              <w:rFonts w:eastAsia="Times New Roman"/>
              <w:i/>
              <w:iCs/>
            </w:rPr>
            <w:t xml:space="preserve">Am Assoc </w:t>
          </w:r>
          <w:proofErr w:type="spellStart"/>
          <w:r>
            <w:rPr>
              <w:rFonts w:eastAsia="Times New Roman"/>
              <w:i/>
              <w:iCs/>
            </w:rPr>
            <w:t>Immnol</w:t>
          </w:r>
          <w:proofErr w:type="spellEnd"/>
          <w:r>
            <w:rPr>
              <w:rFonts w:eastAsia="Times New Roman"/>
            </w:rPr>
            <w:t>, 160, pp. 2570–2572. Available at: https://www.jimmunol.org/content/160/6/2570.short (Accessed: September 12, 2021).</w:t>
          </w:r>
        </w:p>
        <w:p w14:paraId="46208E57" w14:textId="77777777" w:rsidR="00F257B9" w:rsidRDefault="00F257B9">
          <w:pPr>
            <w:divId w:val="334580113"/>
            <w:rPr>
              <w:rFonts w:eastAsia="Times New Roman"/>
            </w:rPr>
          </w:pPr>
          <w:r>
            <w:rPr>
              <w:rFonts w:eastAsia="Times New Roman"/>
            </w:rPr>
            <w:t xml:space="preserve">Heinrich, P.C., </w:t>
          </w:r>
          <w:proofErr w:type="spellStart"/>
          <w:r>
            <w:rPr>
              <w:rFonts w:eastAsia="Times New Roman"/>
            </w:rPr>
            <w:t>Castellt</w:t>
          </w:r>
          <w:proofErr w:type="spellEnd"/>
          <w:r>
            <w:rPr>
              <w:rFonts w:eastAsia="Times New Roman"/>
            </w:rPr>
            <w:t xml:space="preserve">, J. v and </w:t>
          </w:r>
          <w:proofErr w:type="spellStart"/>
          <w:r>
            <w:rPr>
              <w:rFonts w:eastAsia="Times New Roman"/>
            </w:rPr>
            <w:t>Andust</w:t>
          </w:r>
          <w:proofErr w:type="spellEnd"/>
          <w:r>
            <w:rPr>
              <w:rFonts w:eastAsia="Times New Roman"/>
            </w:rPr>
            <w:t xml:space="preserve">, T. (1990) </w:t>
          </w:r>
          <w:r>
            <w:rPr>
              <w:rFonts w:eastAsia="Times New Roman"/>
              <w:i/>
              <w:iCs/>
            </w:rPr>
            <w:t>and the acute phase response</w:t>
          </w:r>
          <w:r>
            <w:rPr>
              <w:rFonts w:eastAsia="Times New Roman"/>
            </w:rPr>
            <w:t xml:space="preserve">, </w:t>
          </w:r>
          <w:r>
            <w:rPr>
              <w:rFonts w:eastAsia="Times New Roman"/>
              <w:i/>
              <w:iCs/>
            </w:rPr>
            <w:t>Printed in Great Britain) REVIEW ARTICLE Interleukin</w:t>
          </w:r>
          <w:r>
            <w:rPr>
              <w:rFonts w:eastAsia="Times New Roman"/>
            </w:rPr>
            <w:t>. Available at: http://portlandpress.com/biochemj/article-pdf/265/3/621/627756/bj2650621.pdf (Accessed: January 31, 2021).</w:t>
          </w:r>
        </w:p>
        <w:p w14:paraId="6A0183EF" w14:textId="77777777" w:rsidR="00F257B9" w:rsidRDefault="00F257B9">
          <w:pPr>
            <w:divId w:val="1443376089"/>
            <w:rPr>
              <w:rFonts w:eastAsia="Times New Roman"/>
            </w:rPr>
          </w:pPr>
          <w:proofErr w:type="spellStart"/>
          <w:r>
            <w:rPr>
              <w:rFonts w:eastAsia="Times New Roman"/>
            </w:rPr>
            <w:t>Hernanz</w:t>
          </w:r>
          <w:proofErr w:type="spellEnd"/>
          <w:r>
            <w:rPr>
              <w:rFonts w:eastAsia="Times New Roman"/>
            </w:rPr>
            <w:t xml:space="preserve">, R. </w:t>
          </w:r>
          <w:r>
            <w:rPr>
              <w:rFonts w:eastAsia="Times New Roman"/>
              <w:i/>
              <w:iCs/>
            </w:rPr>
            <w:t>et al.</w:t>
          </w:r>
          <w:r>
            <w:rPr>
              <w:rFonts w:eastAsia="Times New Roman"/>
            </w:rPr>
            <w:t xml:space="preserve"> (2015) “Toll-like receptor 4 contributes to vascular remodelling and endothelial dysfunction in angiotensin II-induced hypertension,” </w:t>
          </w:r>
          <w:r>
            <w:rPr>
              <w:rFonts w:eastAsia="Times New Roman"/>
              <w:i/>
              <w:iCs/>
            </w:rPr>
            <w:t>British Journal of Pharmacology</w:t>
          </w:r>
          <w:r>
            <w:rPr>
              <w:rFonts w:eastAsia="Times New Roman"/>
            </w:rPr>
            <w:t>, 172(12), pp. 3159–3176. doi:10.1111/bph.13117.</w:t>
          </w:r>
        </w:p>
        <w:p w14:paraId="572F49FB" w14:textId="77777777" w:rsidR="00F257B9" w:rsidRDefault="00F257B9">
          <w:pPr>
            <w:divId w:val="1263760999"/>
            <w:rPr>
              <w:rFonts w:eastAsia="Times New Roman"/>
            </w:rPr>
          </w:pPr>
          <w:proofErr w:type="spellStart"/>
          <w:r>
            <w:rPr>
              <w:rFonts w:eastAsia="Times New Roman"/>
            </w:rPr>
            <w:t>Higashimori</w:t>
          </w:r>
          <w:proofErr w:type="spellEnd"/>
          <w:r>
            <w:rPr>
              <w:rFonts w:eastAsia="Times New Roman"/>
            </w:rPr>
            <w:t xml:space="preserve">, M. </w:t>
          </w:r>
          <w:r>
            <w:rPr>
              <w:rFonts w:eastAsia="Times New Roman"/>
              <w:i/>
              <w:iCs/>
            </w:rPr>
            <w:t>et al.</w:t>
          </w:r>
          <w:r>
            <w:rPr>
              <w:rFonts w:eastAsia="Times New Roman"/>
            </w:rPr>
            <w:t xml:space="preserve"> (2011) “Role of toll-like receptor 4 in intimal foam cell accumulation in apolipoprotein E-deficient mice.,” </w:t>
          </w:r>
          <w:r>
            <w:rPr>
              <w:rFonts w:eastAsia="Times New Roman"/>
              <w:i/>
              <w:iCs/>
            </w:rPr>
            <w:t>Arteriosclerosis, thrombosis, and vascular biology</w:t>
          </w:r>
          <w:r>
            <w:rPr>
              <w:rFonts w:eastAsia="Times New Roman"/>
            </w:rPr>
            <w:t>, 31(1), pp. 50–7. doi:10.1161/ATVBAHA.110.210971.</w:t>
          </w:r>
        </w:p>
        <w:p w14:paraId="4C35FA13" w14:textId="77777777" w:rsidR="00F257B9" w:rsidRDefault="00F257B9">
          <w:pPr>
            <w:divId w:val="2125347656"/>
            <w:rPr>
              <w:rFonts w:eastAsia="Times New Roman"/>
            </w:rPr>
          </w:pPr>
          <w:r>
            <w:rPr>
              <w:rFonts w:eastAsia="Times New Roman"/>
            </w:rPr>
            <w:t xml:space="preserve">Hoque, R. </w:t>
          </w:r>
          <w:r>
            <w:rPr>
              <w:rFonts w:eastAsia="Times New Roman"/>
              <w:i/>
              <w:iCs/>
            </w:rPr>
            <w:t>et al.</w:t>
          </w:r>
          <w:r>
            <w:rPr>
              <w:rFonts w:eastAsia="Times New Roman"/>
            </w:rPr>
            <w:t xml:space="preserve"> (2011) “TLR9 and the NLRP3 inflammasome link acinar cell death with inflammation in acute pancreatitis,” </w:t>
          </w:r>
          <w:r>
            <w:rPr>
              <w:rFonts w:eastAsia="Times New Roman"/>
              <w:i/>
              <w:iCs/>
            </w:rPr>
            <w:t>Gastroenterology</w:t>
          </w:r>
          <w:r>
            <w:rPr>
              <w:rFonts w:eastAsia="Times New Roman"/>
            </w:rPr>
            <w:t xml:space="preserve">, 141(1), pp. 358–369. </w:t>
          </w:r>
          <w:proofErr w:type="gramStart"/>
          <w:r>
            <w:rPr>
              <w:rFonts w:eastAsia="Times New Roman"/>
            </w:rPr>
            <w:t>doi:10.1053/j.gastro</w:t>
          </w:r>
          <w:proofErr w:type="gramEnd"/>
          <w:r>
            <w:rPr>
              <w:rFonts w:eastAsia="Times New Roman"/>
            </w:rPr>
            <w:t>.2011.03.041.</w:t>
          </w:r>
        </w:p>
        <w:p w14:paraId="4DC78737" w14:textId="77777777" w:rsidR="00F257B9" w:rsidRDefault="00F257B9">
          <w:pPr>
            <w:divId w:val="1675644195"/>
            <w:rPr>
              <w:rFonts w:eastAsia="Times New Roman"/>
            </w:rPr>
          </w:pPr>
          <w:r>
            <w:rPr>
              <w:rFonts w:eastAsia="Times New Roman"/>
            </w:rPr>
            <w:lastRenderedPageBreak/>
            <w:t xml:space="preserve">Hosokawa, Y. </w:t>
          </w:r>
          <w:r>
            <w:rPr>
              <w:rFonts w:eastAsia="Times New Roman"/>
              <w:i/>
              <w:iCs/>
            </w:rPr>
            <w:t>et al.</w:t>
          </w:r>
          <w:r>
            <w:rPr>
              <w:rFonts w:eastAsia="Times New Roman"/>
            </w:rPr>
            <w:t xml:space="preserve"> (2019) “</w:t>
          </w:r>
          <w:proofErr w:type="spellStart"/>
          <w:r>
            <w:rPr>
              <w:rFonts w:eastAsia="Times New Roman"/>
            </w:rPr>
            <w:t>Sudachitin</w:t>
          </w:r>
          <w:proofErr w:type="spellEnd"/>
          <w:r>
            <w:rPr>
              <w:rFonts w:eastAsia="Times New Roman"/>
            </w:rPr>
            <w:t xml:space="preserve"> Inhibits Matrix Metalloproteinase-1 and -3 Production in </w:t>
          </w:r>
          <w:proofErr w:type="spellStart"/>
          <w:r>
            <w:rPr>
              <w:rFonts w:eastAsia="Times New Roman"/>
            </w:rPr>
            <w:t>Tumor</w:t>
          </w:r>
          <w:proofErr w:type="spellEnd"/>
          <w:r>
            <w:rPr>
              <w:rFonts w:eastAsia="Times New Roman"/>
            </w:rPr>
            <w:t xml:space="preserve"> Necrosis Factor-α-Stimulated Human Periodontal Ligament Cells,” </w:t>
          </w:r>
          <w:r>
            <w:rPr>
              <w:rFonts w:eastAsia="Times New Roman"/>
              <w:i/>
              <w:iCs/>
            </w:rPr>
            <w:t>Inflammation</w:t>
          </w:r>
          <w:r>
            <w:rPr>
              <w:rFonts w:eastAsia="Times New Roman"/>
            </w:rPr>
            <w:t>, 42(4), pp. 1456–1462. doi:10.1007/s10753-019-01007-z.</w:t>
          </w:r>
        </w:p>
        <w:p w14:paraId="7A9B1A6D" w14:textId="77777777" w:rsidR="00F257B9" w:rsidRDefault="00F257B9">
          <w:pPr>
            <w:divId w:val="1239905771"/>
            <w:rPr>
              <w:rFonts w:eastAsia="Times New Roman"/>
            </w:rPr>
          </w:pPr>
          <w:r>
            <w:rPr>
              <w:rFonts w:eastAsia="Times New Roman"/>
            </w:rPr>
            <w:t xml:space="preserve">Howell, K.W. </w:t>
          </w:r>
          <w:r>
            <w:rPr>
              <w:rFonts w:eastAsia="Times New Roman"/>
              <w:i/>
              <w:iCs/>
            </w:rPr>
            <w:t>et al.</w:t>
          </w:r>
          <w:r>
            <w:rPr>
              <w:rFonts w:eastAsia="Times New Roman"/>
            </w:rPr>
            <w:t xml:space="preserve"> (2011) “Toll-like receptor 4 mediates oxidized LDL-induced macrophage differentiation to foam cells.,” </w:t>
          </w:r>
          <w:r>
            <w:rPr>
              <w:rFonts w:eastAsia="Times New Roman"/>
              <w:i/>
              <w:iCs/>
            </w:rPr>
            <w:t>The Journal of surgical research</w:t>
          </w:r>
          <w:r>
            <w:rPr>
              <w:rFonts w:eastAsia="Times New Roman"/>
            </w:rPr>
            <w:t xml:space="preserve">, 171(1), pp. e27-31. </w:t>
          </w:r>
          <w:proofErr w:type="gramStart"/>
          <w:r>
            <w:rPr>
              <w:rFonts w:eastAsia="Times New Roman"/>
            </w:rPr>
            <w:t>doi:10.1016/j.jss</w:t>
          </w:r>
          <w:proofErr w:type="gramEnd"/>
          <w:r>
            <w:rPr>
              <w:rFonts w:eastAsia="Times New Roman"/>
            </w:rPr>
            <w:t>.2011.06.033.</w:t>
          </w:r>
        </w:p>
        <w:p w14:paraId="2B51B272" w14:textId="77777777" w:rsidR="00F257B9" w:rsidRDefault="00F257B9">
          <w:pPr>
            <w:divId w:val="1482579042"/>
            <w:rPr>
              <w:rFonts w:eastAsia="Times New Roman"/>
            </w:rPr>
          </w:pPr>
          <w:r>
            <w:rPr>
              <w:rFonts w:eastAsia="Times New Roman"/>
            </w:rPr>
            <w:t xml:space="preserve">Howell, K.W. </w:t>
          </w:r>
          <w:r>
            <w:rPr>
              <w:rFonts w:eastAsia="Times New Roman"/>
              <w:i/>
              <w:iCs/>
            </w:rPr>
            <w:t>et al.</w:t>
          </w:r>
          <w:r>
            <w:rPr>
              <w:rFonts w:eastAsia="Times New Roman"/>
            </w:rPr>
            <w:t xml:space="preserve"> (2016) “Interleukin 6 production during cardiac surgery correlates with increasing age,” </w:t>
          </w:r>
          <w:r>
            <w:rPr>
              <w:rFonts w:eastAsia="Times New Roman"/>
              <w:i/>
              <w:iCs/>
            </w:rPr>
            <w:t>Journal of Surgical Research</w:t>
          </w:r>
          <w:r>
            <w:rPr>
              <w:rFonts w:eastAsia="Times New Roman"/>
            </w:rPr>
            <w:t xml:space="preserve">, 201(1), pp. 76–81. </w:t>
          </w:r>
          <w:proofErr w:type="gramStart"/>
          <w:r>
            <w:rPr>
              <w:rFonts w:eastAsia="Times New Roman"/>
            </w:rPr>
            <w:t>doi:10.1016/j.jss</w:t>
          </w:r>
          <w:proofErr w:type="gramEnd"/>
          <w:r>
            <w:rPr>
              <w:rFonts w:eastAsia="Times New Roman"/>
            </w:rPr>
            <w:t>.2015.10.016.</w:t>
          </w:r>
        </w:p>
        <w:p w14:paraId="78379A26" w14:textId="77777777" w:rsidR="00F257B9" w:rsidRDefault="00F257B9">
          <w:pPr>
            <w:divId w:val="1367557126"/>
            <w:rPr>
              <w:rFonts w:eastAsia="Times New Roman"/>
            </w:rPr>
          </w:pPr>
          <w:r>
            <w:rPr>
              <w:rFonts w:eastAsia="Times New Roman"/>
            </w:rPr>
            <w:t xml:space="preserve">Huang, L., Xu, H. and Peng, G. (2018) “TLR-mediated metabolic reprogramming in the </w:t>
          </w:r>
          <w:proofErr w:type="spellStart"/>
          <w:r>
            <w:rPr>
              <w:rFonts w:eastAsia="Times New Roman"/>
            </w:rPr>
            <w:t>tumor</w:t>
          </w:r>
          <w:proofErr w:type="spellEnd"/>
          <w:r>
            <w:rPr>
              <w:rFonts w:eastAsia="Times New Roman"/>
            </w:rPr>
            <w:t xml:space="preserve"> microenvironment: potential novel strategies for cancer immunotherapy,” </w:t>
          </w:r>
          <w:r>
            <w:rPr>
              <w:rFonts w:eastAsia="Times New Roman"/>
              <w:i/>
              <w:iCs/>
            </w:rPr>
            <w:t>Cellular and Molecular Immunology</w:t>
          </w:r>
          <w:r>
            <w:rPr>
              <w:rFonts w:eastAsia="Times New Roman"/>
            </w:rPr>
            <w:t>, 15(5), pp. 428–437. doi:10.1038/cmi.2018.4.</w:t>
          </w:r>
        </w:p>
        <w:p w14:paraId="0821A2BD" w14:textId="77777777" w:rsidR="00F257B9" w:rsidRDefault="00F257B9">
          <w:pPr>
            <w:divId w:val="961958451"/>
            <w:rPr>
              <w:rFonts w:eastAsia="Times New Roman"/>
            </w:rPr>
          </w:pPr>
          <w:r>
            <w:rPr>
              <w:rFonts w:eastAsia="Times New Roman"/>
            </w:rPr>
            <w:t xml:space="preserve">Huber, M. </w:t>
          </w:r>
          <w:r>
            <w:rPr>
              <w:rFonts w:eastAsia="Times New Roman"/>
              <w:i/>
              <w:iCs/>
            </w:rPr>
            <w:t>et al.</w:t>
          </w:r>
          <w:r>
            <w:rPr>
              <w:rFonts w:eastAsia="Times New Roman"/>
            </w:rPr>
            <w:t xml:space="preserve"> (2006) “R-form LPS, the master key to the activation ofTLR4/MD-2-positive cells,” </w:t>
          </w:r>
          <w:r>
            <w:rPr>
              <w:rFonts w:eastAsia="Times New Roman"/>
              <w:i/>
              <w:iCs/>
            </w:rPr>
            <w:t>European Journal of Immunology</w:t>
          </w:r>
          <w:r>
            <w:rPr>
              <w:rFonts w:eastAsia="Times New Roman"/>
            </w:rPr>
            <w:t>, 36(3), pp. 701–711. doi:10.1002/eji.200535593.</w:t>
          </w:r>
        </w:p>
        <w:p w14:paraId="0D6CD4C0" w14:textId="77777777" w:rsidR="00F257B9" w:rsidRDefault="00F257B9">
          <w:pPr>
            <w:divId w:val="531503435"/>
            <w:rPr>
              <w:rFonts w:eastAsia="Times New Roman"/>
            </w:rPr>
          </w:pPr>
          <w:r>
            <w:rPr>
              <w:rFonts w:eastAsia="Times New Roman"/>
            </w:rPr>
            <w:t xml:space="preserve">Huggins, C. </w:t>
          </w:r>
          <w:r>
            <w:rPr>
              <w:rFonts w:eastAsia="Times New Roman"/>
              <w:i/>
              <w:iCs/>
            </w:rPr>
            <w:t>et al.</w:t>
          </w:r>
          <w:r>
            <w:rPr>
              <w:rFonts w:eastAsia="Times New Roman"/>
            </w:rPr>
            <w:t xml:space="preserve"> (2015) “A novel small molecule TLR4 antagonist (IAXO-102) negatively regulates non-hematopoietic toll like receptor 4 signalling and inhibits aortic aneurysms development,” </w:t>
          </w:r>
          <w:r>
            <w:rPr>
              <w:rFonts w:eastAsia="Times New Roman"/>
              <w:i/>
              <w:iCs/>
            </w:rPr>
            <w:t>Atherosclerosis</w:t>
          </w:r>
          <w:r>
            <w:rPr>
              <w:rFonts w:eastAsia="Times New Roman"/>
            </w:rPr>
            <w:t xml:space="preserve">, 242(2), pp. 563–570. </w:t>
          </w:r>
          <w:proofErr w:type="gramStart"/>
          <w:r>
            <w:rPr>
              <w:rFonts w:eastAsia="Times New Roman"/>
            </w:rPr>
            <w:t>doi:10.1016/j.atherosclerosis</w:t>
          </w:r>
          <w:proofErr w:type="gramEnd"/>
          <w:r>
            <w:rPr>
              <w:rFonts w:eastAsia="Times New Roman"/>
            </w:rPr>
            <w:t>.2015.08.010.</w:t>
          </w:r>
        </w:p>
        <w:p w14:paraId="232A840C" w14:textId="77777777" w:rsidR="00F257B9" w:rsidRDefault="00F257B9">
          <w:pPr>
            <w:divId w:val="1354456325"/>
            <w:rPr>
              <w:rFonts w:eastAsia="Times New Roman"/>
            </w:rPr>
          </w:pPr>
          <w:r>
            <w:rPr>
              <w:rFonts w:eastAsia="Times New Roman"/>
            </w:rPr>
            <w:t xml:space="preserve">Jiang, D. </w:t>
          </w:r>
          <w:r>
            <w:rPr>
              <w:rFonts w:eastAsia="Times New Roman"/>
              <w:i/>
              <w:iCs/>
            </w:rPr>
            <w:t>et al.</w:t>
          </w:r>
          <w:r>
            <w:rPr>
              <w:rFonts w:eastAsia="Times New Roman"/>
            </w:rPr>
            <w:t xml:space="preserve"> (2005) “Regulation of lung injury and repair by Toll-like receptors and hyaluronan,” </w:t>
          </w:r>
          <w:r>
            <w:rPr>
              <w:rFonts w:eastAsia="Times New Roman"/>
              <w:i/>
              <w:iCs/>
            </w:rPr>
            <w:t>Nature Medicine</w:t>
          </w:r>
          <w:r>
            <w:rPr>
              <w:rFonts w:eastAsia="Times New Roman"/>
            </w:rPr>
            <w:t>, 11(11), pp. 1173–1179. doi:10.1038/nm1315.</w:t>
          </w:r>
        </w:p>
        <w:p w14:paraId="31187FFA" w14:textId="77777777" w:rsidR="00F257B9" w:rsidRDefault="00F257B9">
          <w:pPr>
            <w:divId w:val="1058866745"/>
            <w:rPr>
              <w:rFonts w:eastAsia="Times New Roman"/>
            </w:rPr>
          </w:pPr>
          <w:r>
            <w:rPr>
              <w:rFonts w:eastAsia="Times New Roman"/>
            </w:rPr>
            <w:t xml:space="preserve">Jiang, S. </w:t>
          </w:r>
          <w:r>
            <w:rPr>
              <w:rFonts w:eastAsia="Times New Roman"/>
              <w:i/>
              <w:iCs/>
            </w:rPr>
            <w:t>et al.</w:t>
          </w:r>
          <w:r>
            <w:rPr>
              <w:rFonts w:eastAsia="Times New Roman"/>
            </w:rPr>
            <w:t xml:space="preserve"> (2016) “TLR10 Is a Negative Regulator of Both MyD88-Dependent and -Independent TLR </w:t>
          </w:r>
          <w:proofErr w:type="spellStart"/>
          <w:r>
            <w:rPr>
              <w:rFonts w:eastAsia="Times New Roman"/>
            </w:rPr>
            <w:t>Signaling</w:t>
          </w:r>
          <w:proofErr w:type="spellEnd"/>
          <w:r>
            <w:rPr>
              <w:rFonts w:eastAsia="Times New Roman"/>
            </w:rPr>
            <w:t xml:space="preserve">,” </w:t>
          </w:r>
          <w:r>
            <w:rPr>
              <w:rFonts w:eastAsia="Times New Roman"/>
              <w:i/>
              <w:iCs/>
            </w:rPr>
            <w:t>The Journal of Immunology</w:t>
          </w:r>
          <w:r>
            <w:rPr>
              <w:rFonts w:eastAsia="Times New Roman"/>
            </w:rPr>
            <w:t>, 196(9), pp. 3834–3841. doi:10.4049/jimmunol.1502599.</w:t>
          </w:r>
        </w:p>
        <w:p w14:paraId="13F25577" w14:textId="77777777" w:rsidR="00F257B9" w:rsidRDefault="00F257B9">
          <w:pPr>
            <w:divId w:val="940144232"/>
            <w:rPr>
              <w:rFonts w:eastAsia="Times New Roman"/>
            </w:rPr>
          </w:pPr>
          <w:r>
            <w:rPr>
              <w:rFonts w:eastAsia="Times New Roman"/>
            </w:rPr>
            <w:t xml:space="preserve">Kagan, J.C. </w:t>
          </w:r>
          <w:r>
            <w:rPr>
              <w:rFonts w:eastAsia="Times New Roman"/>
              <w:i/>
              <w:iCs/>
            </w:rPr>
            <w:t>et al.</w:t>
          </w:r>
          <w:r>
            <w:rPr>
              <w:rFonts w:eastAsia="Times New Roman"/>
            </w:rPr>
            <w:t xml:space="preserve"> (2008) “TRAM </w:t>
          </w:r>
          <w:proofErr w:type="gramStart"/>
          <w:r>
            <w:rPr>
              <w:rFonts w:eastAsia="Times New Roman"/>
            </w:rPr>
            <w:t>couples</w:t>
          </w:r>
          <w:proofErr w:type="gramEnd"/>
          <w:r>
            <w:rPr>
              <w:rFonts w:eastAsia="Times New Roman"/>
            </w:rPr>
            <w:t xml:space="preserve"> endocytosis of Toll-like receptor 4 to the induction of interferon-β,” </w:t>
          </w:r>
          <w:r>
            <w:rPr>
              <w:rFonts w:eastAsia="Times New Roman"/>
              <w:i/>
              <w:iCs/>
            </w:rPr>
            <w:t>Nature Immunology</w:t>
          </w:r>
          <w:r>
            <w:rPr>
              <w:rFonts w:eastAsia="Times New Roman"/>
            </w:rPr>
            <w:t>, 9(4), pp. 361–368. doi:10.1038/ni1569.</w:t>
          </w:r>
        </w:p>
        <w:p w14:paraId="52C5802F" w14:textId="77777777" w:rsidR="00F257B9" w:rsidRDefault="00F257B9">
          <w:pPr>
            <w:divId w:val="559748965"/>
            <w:rPr>
              <w:rFonts w:eastAsia="Times New Roman"/>
            </w:rPr>
          </w:pPr>
          <w:r>
            <w:rPr>
              <w:rFonts w:eastAsia="Times New Roman"/>
            </w:rPr>
            <w:lastRenderedPageBreak/>
            <w:t xml:space="preserve">Kagan, J.C. and </w:t>
          </w:r>
          <w:proofErr w:type="spellStart"/>
          <w:r>
            <w:rPr>
              <w:rFonts w:eastAsia="Times New Roman"/>
            </w:rPr>
            <w:t>Medzhitov</w:t>
          </w:r>
          <w:proofErr w:type="spellEnd"/>
          <w:r>
            <w:rPr>
              <w:rFonts w:eastAsia="Times New Roman"/>
            </w:rPr>
            <w:t xml:space="preserve">, R. (2006) “Phosphoinositide-Mediated Adaptor Recruitment Controls Toll-like Receptor </w:t>
          </w:r>
          <w:proofErr w:type="spellStart"/>
          <w:r>
            <w:rPr>
              <w:rFonts w:eastAsia="Times New Roman"/>
            </w:rPr>
            <w:t>Signaling</w:t>
          </w:r>
          <w:proofErr w:type="spellEnd"/>
          <w:r>
            <w:rPr>
              <w:rFonts w:eastAsia="Times New Roman"/>
            </w:rPr>
            <w:t xml:space="preserve">,” </w:t>
          </w:r>
          <w:r>
            <w:rPr>
              <w:rFonts w:eastAsia="Times New Roman"/>
              <w:i/>
              <w:iCs/>
            </w:rPr>
            <w:t>Cell</w:t>
          </w:r>
          <w:r>
            <w:rPr>
              <w:rFonts w:eastAsia="Times New Roman"/>
            </w:rPr>
            <w:t xml:space="preserve">, 125(5), pp. 943–955. </w:t>
          </w:r>
          <w:proofErr w:type="gramStart"/>
          <w:r>
            <w:rPr>
              <w:rFonts w:eastAsia="Times New Roman"/>
            </w:rPr>
            <w:t>doi:10.1016/J.CELL</w:t>
          </w:r>
          <w:proofErr w:type="gramEnd"/>
          <w:r>
            <w:rPr>
              <w:rFonts w:eastAsia="Times New Roman"/>
            </w:rPr>
            <w:t>.2006.03.047.</w:t>
          </w:r>
        </w:p>
        <w:p w14:paraId="7DD36FA0" w14:textId="77777777" w:rsidR="00F257B9" w:rsidRDefault="00F257B9">
          <w:pPr>
            <w:divId w:val="361446249"/>
            <w:rPr>
              <w:rFonts w:eastAsia="Times New Roman"/>
            </w:rPr>
          </w:pPr>
          <w:proofErr w:type="spellStart"/>
          <w:r>
            <w:rPr>
              <w:rFonts w:eastAsia="Times New Roman"/>
            </w:rPr>
            <w:t>Kalil</w:t>
          </w:r>
          <w:proofErr w:type="spellEnd"/>
          <w:r>
            <w:rPr>
              <w:rFonts w:eastAsia="Times New Roman"/>
            </w:rPr>
            <w:t xml:space="preserve">, A.C. </w:t>
          </w:r>
          <w:r>
            <w:rPr>
              <w:rFonts w:eastAsia="Times New Roman"/>
              <w:i/>
              <w:iCs/>
            </w:rPr>
            <w:t>et al.</w:t>
          </w:r>
          <w:r>
            <w:rPr>
              <w:rFonts w:eastAsia="Times New Roman"/>
            </w:rPr>
            <w:t xml:space="preserve"> (2011) “Influence of Severity of Illness on the Effects of </w:t>
          </w:r>
          <w:proofErr w:type="spellStart"/>
          <w:r>
            <w:rPr>
              <w:rFonts w:eastAsia="Times New Roman"/>
            </w:rPr>
            <w:t>Eritoran</w:t>
          </w:r>
          <w:proofErr w:type="spellEnd"/>
          <w:r>
            <w:rPr>
              <w:rFonts w:eastAsia="Times New Roman"/>
            </w:rPr>
            <w:t xml:space="preserve"> Tetrasodium (E5564) and on Other Therapies for Severe Sepsis,” </w:t>
          </w:r>
          <w:r>
            <w:rPr>
              <w:rFonts w:eastAsia="Times New Roman"/>
              <w:i/>
              <w:iCs/>
            </w:rPr>
            <w:t>Shock</w:t>
          </w:r>
          <w:r>
            <w:rPr>
              <w:rFonts w:eastAsia="Times New Roman"/>
            </w:rPr>
            <w:t>, 36(4), pp. 327–331. doi:10.1097/SHK.0b013e318227980e.</w:t>
          </w:r>
        </w:p>
        <w:p w14:paraId="336E4430" w14:textId="77777777" w:rsidR="00F257B9" w:rsidRDefault="00F257B9">
          <w:pPr>
            <w:divId w:val="1113017418"/>
            <w:rPr>
              <w:rFonts w:eastAsia="Times New Roman"/>
            </w:rPr>
          </w:pPr>
          <w:proofErr w:type="spellStart"/>
          <w:r>
            <w:rPr>
              <w:rFonts w:eastAsia="Times New Roman"/>
            </w:rPr>
            <w:t>Kashani</w:t>
          </w:r>
          <w:proofErr w:type="spellEnd"/>
          <w:r>
            <w:rPr>
              <w:rFonts w:eastAsia="Times New Roman"/>
            </w:rPr>
            <w:t xml:space="preserve">, A. </w:t>
          </w:r>
          <w:r>
            <w:rPr>
              <w:rFonts w:eastAsia="Times New Roman"/>
              <w:i/>
              <w:iCs/>
            </w:rPr>
            <w:t>et al.</w:t>
          </w:r>
          <w:r>
            <w:rPr>
              <w:rFonts w:eastAsia="Times New Roman"/>
            </w:rPr>
            <w:t xml:space="preserve"> (2006) “Risks associated with statin therapy: A systematic overview of randomized clinical trials,” </w:t>
          </w:r>
          <w:r>
            <w:rPr>
              <w:rFonts w:eastAsia="Times New Roman"/>
              <w:i/>
              <w:iCs/>
            </w:rPr>
            <w:t>Circulation</w:t>
          </w:r>
          <w:r>
            <w:rPr>
              <w:rFonts w:eastAsia="Times New Roman"/>
            </w:rPr>
            <w:t>, 114(25), pp. 2788–2797. doi:10.1161/CIRCULATIONAHA.106.624890.</w:t>
          </w:r>
        </w:p>
        <w:p w14:paraId="283AB10B" w14:textId="77777777" w:rsidR="00F257B9" w:rsidRDefault="00F257B9">
          <w:pPr>
            <w:divId w:val="1624190402"/>
            <w:rPr>
              <w:rFonts w:eastAsia="Times New Roman"/>
            </w:rPr>
          </w:pPr>
          <w:r>
            <w:rPr>
              <w:rFonts w:eastAsia="Times New Roman"/>
            </w:rPr>
            <w:t xml:space="preserve">Kawai, T. </w:t>
          </w:r>
          <w:r>
            <w:rPr>
              <w:rFonts w:eastAsia="Times New Roman"/>
              <w:i/>
              <w:iCs/>
            </w:rPr>
            <w:t>et al.</w:t>
          </w:r>
          <w:r>
            <w:rPr>
              <w:rFonts w:eastAsia="Times New Roman"/>
            </w:rPr>
            <w:t xml:space="preserve"> (1999) “Unresponsiveness of MyD88-Deficient Mice to Endotoxin,” </w:t>
          </w:r>
          <w:r>
            <w:rPr>
              <w:rFonts w:eastAsia="Times New Roman"/>
              <w:i/>
              <w:iCs/>
            </w:rPr>
            <w:t>Immunity</w:t>
          </w:r>
          <w:r>
            <w:rPr>
              <w:rFonts w:eastAsia="Times New Roman"/>
            </w:rPr>
            <w:t>, 11(1), pp. 115–122. doi:10.1016/S1074-7613(00)80086-2.</w:t>
          </w:r>
        </w:p>
        <w:p w14:paraId="6EA6B109" w14:textId="77777777" w:rsidR="00F257B9" w:rsidRDefault="00F257B9">
          <w:pPr>
            <w:divId w:val="2051686420"/>
            <w:rPr>
              <w:rFonts w:eastAsia="Times New Roman"/>
            </w:rPr>
          </w:pPr>
          <w:r>
            <w:rPr>
              <w:rFonts w:eastAsia="Times New Roman"/>
            </w:rPr>
            <w:t xml:space="preserve">Kawai, T. </w:t>
          </w:r>
          <w:r>
            <w:rPr>
              <w:rFonts w:eastAsia="Times New Roman"/>
              <w:i/>
              <w:iCs/>
            </w:rPr>
            <w:t>et al.</w:t>
          </w:r>
          <w:r>
            <w:rPr>
              <w:rFonts w:eastAsia="Times New Roman"/>
            </w:rPr>
            <w:t xml:space="preserve"> (2001) “Lipopolysaccharide Stimulates the MyD88-Independent Pathway and Results in Activation of IFN-Regulatory Factor 3 and the Expression of a Subset of Lipopolysaccharide-Inducible Genes,” </w:t>
          </w:r>
          <w:r>
            <w:rPr>
              <w:rFonts w:eastAsia="Times New Roman"/>
              <w:i/>
              <w:iCs/>
            </w:rPr>
            <w:t>The Journal of Immunology</w:t>
          </w:r>
          <w:r>
            <w:rPr>
              <w:rFonts w:eastAsia="Times New Roman"/>
            </w:rPr>
            <w:t>, 167(10), pp. 5887–5894. doi:10.4049/JIMMUNOL.167.10.5887.</w:t>
          </w:r>
        </w:p>
        <w:p w14:paraId="0BE28F66" w14:textId="77777777" w:rsidR="00F257B9" w:rsidRDefault="00F257B9">
          <w:pPr>
            <w:divId w:val="1724518666"/>
            <w:rPr>
              <w:rFonts w:eastAsia="Times New Roman"/>
            </w:rPr>
          </w:pPr>
          <w:r>
            <w:rPr>
              <w:rFonts w:eastAsia="Times New Roman"/>
            </w:rPr>
            <w:t xml:space="preserve">Kawamoto, T. </w:t>
          </w:r>
          <w:r>
            <w:rPr>
              <w:rFonts w:eastAsia="Times New Roman"/>
              <w:i/>
              <w:iCs/>
            </w:rPr>
            <w:t>et al.</w:t>
          </w:r>
          <w:r>
            <w:rPr>
              <w:rFonts w:eastAsia="Times New Roman"/>
            </w:rPr>
            <w:t xml:space="preserve"> (2008) “TAK-242 selectively suppresses Toll-like receptor 4-signaling mediated by the intracellular domain,” </w:t>
          </w:r>
          <w:r>
            <w:rPr>
              <w:rFonts w:eastAsia="Times New Roman"/>
              <w:i/>
              <w:iCs/>
            </w:rPr>
            <w:t>European Journal of Pharmacology</w:t>
          </w:r>
          <w:r>
            <w:rPr>
              <w:rFonts w:eastAsia="Times New Roman"/>
            </w:rPr>
            <w:t xml:space="preserve">, 584(1), pp. 40–48. </w:t>
          </w:r>
          <w:proofErr w:type="gramStart"/>
          <w:r>
            <w:rPr>
              <w:rFonts w:eastAsia="Times New Roman"/>
            </w:rPr>
            <w:t>doi:10.1016/j.ejphar</w:t>
          </w:r>
          <w:proofErr w:type="gramEnd"/>
          <w:r>
            <w:rPr>
              <w:rFonts w:eastAsia="Times New Roman"/>
            </w:rPr>
            <w:t>.2008.01.026.</w:t>
          </w:r>
        </w:p>
        <w:p w14:paraId="0DA3E98A" w14:textId="77777777" w:rsidR="00F257B9" w:rsidRDefault="00F257B9">
          <w:pPr>
            <w:divId w:val="850533251"/>
            <w:rPr>
              <w:rFonts w:eastAsia="Times New Roman"/>
            </w:rPr>
          </w:pPr>
          <w:r>
            <w:rPr>
              <w:rFonts w:eastAsia="Times New Roman"/>
            </w:rPr>
            <w:t xml:space="preserve">Kenny, E.F. and O’Neill, L.A.J. (2008) “Signalling adaptors used by Toll-like receptors: An update,” </w:t>
          </w:r>
          <w:r>
            <w:rPr>
              <w:rFonts w:eastAsia="Times New Roman"/>
              <w:i/>
              <w:iCs/>
            </w:rPr>
            <w:t>Cytokine</w:t>
          </w:r>
          <w:r>
            <w:rPr>
              <w:rFonts w:eastAsia="Times New Roman"/>
            </w:rPr>
            <w:t xml:space="preserve">, 43(3), pp. 342–349. </w:t>
          </w:r>
          <w:proofErr w:type="gramStart"/>
          <w:r>
            <w:rPr>
              <w:rFonts w:eastAsia="Times New Roman"/>
            </w:rPr>
            <w:t>doi:10.1016/J.CYTO</w:t>
          </w:r>
          <w:proofErr w:type="gramEnd"/>
          <w:r>
            <w:rPr>
              <w:rFonts w:eastAsia="Times New Roman"/>
            </w:rPr>
            <w:t>.2008.07.010.</w:t>
          </w:r>
        </w:p>
        <w:p w14:paraId="6443106C" w14:textId="77777777" w:rsidR="00F257B9" w:rsidRDefault="00F257B9">
          <w:pPr>
            <w:divId w:val="37751161"/>
            <w:rPr>
              <w:rFonts w:eastAsia="Times New Roman"/>
            </w:rPr>
          </w:pPr>
          <w:proofErr w:type="spellStart"/>
          <w:r>
            <w:rPr>
              <w:rFonts w:eastAsia="Times New Roman"/>
            </w:rPr>
            <w:t>Khot</w:t>
          </w:r>
          <w:proofErr w:type="spellEnd"/>
          <w:r>
            <w:rPr>
              <w:rFonts w:eastAsia="Times New Roman"/>
            </w:rPr>
            <w:t xml:space="preserve">, U.N. </w:t>
          </w:r>
          <w:r>
            <w:rPr>
              <w:rFonts w:eastAsia="Times New Roman"/>
              <w:i/>
              <w:iCs/>
            </w:rPr>
            <w:t>et al.</w:t>
          </w:r>
          <w:r>
            <w:rPr>
              <w:rFonts w:eastAsia="Times New Roman"/>
            </w:rPr>
            <w:t xml:space="preserve"> (2003) “Prevalence of Conventional Risk Factors in Patients with Coronary Heart Disease,” </w:t>
          </w:r>
          <w:r>
            <w:rPr>
              <w:rFonts w:eastAsia="Times New Roman"/>
              <w:i/>
              <w:iCs/>
            </w:rPr>
            <w:t>Journal of the American Medical Association</w:t>
          </w:r>
          <w:r>
            <w:rPr>
              <w:rFonts w:eastAsia="Times New Roman"/>
            </w:rPr>
            <w:t>, 290(7), pp. 898–904. doi:10.1001/jama.290.7.898.</w:t>
          </w:r>
        </w:p>
        <w:p w14:paraId="7BD9EF66" w14:textId="77777777" w:rsidR="00F257B9" w:rsidRDefault="00F257B9">
          <w:pPr>
            <w:divId w:val="1919319144"/>
            <w:rPr>
              <w:rFonts w:eastAsia="Times New Roman"/>
            </w:rPr>
          </w:pPr>
          <w:r>
            <w:rPr>
              <w:rFonts w:eastAsia="Times New Roman"/>
            </w:rPr>
            <w:t xml:space="preserve">Kim, H.M. </w:t>
          </w:r>
          <w:r>
            <w:rPr>
              <w:rFonts w:eastAsia="Times New Roman"/>
              <w:i/>
              <w:iCs/>
            </w:rPr>
            <w:t>et al.</w:t>
          </w:r>
          <w:r>
            <w:rPr>
              <w:rFonts w:eastAsia="Times New Roman"/>
            </w:rPr>
            <w:t xml:space="preserve"> (2007) “Crystal Structure of the TLR4-MD-2 Complex with Bound Endotoxin Antagonist </w:t>
          </w:r>
          <w:proofErr w:type="spellStart"/>
          <w:r>
            <w:rPr>
              <w:rFonts w:eastAsia="Times New Roman"/>
            </w:rPr>
            <w:t>Eritoran</w:t>
          </w:r>
          <w:proofErr w:type="spellEnd"/>
          <w:r>
            <w:rPr>
              <w:rFonts w:eastAsia="Times New Roman"/>
            </w:rPr>
            <w:t xml:space="preserve">,” </w:t>
          </w:r>
          <w:r>
            <w:rPr>
              <w:rFonts w:eastAsia="Times New Roman"/>
              <w:i/>
              <w:iCs/>
            </w:rPr>
            <w:t>Cell</w:t>
          </w:r>
          <w:r>
            <w:rPr>
              <w:rFonts w:eastAsia="Times New Roman"/>
            </w:rPr>
            <w:t xml:space="preserve">, 130(5), pp. 906–917. </w:t>
          </w:r>
          <w:proofErr w:type="gramStart"/>
          <w:r>
            <w:rPr>
              <w:rFonts w:eastAsia="Times New Roman"/>
            </w:rPr>
            <w:t>doi:10.1016/j.cell</w:t>
          </w:r>
          <w:proofErr w:type="gramEnd"/>
          <w:r>
            <w:rPr>
              <w:rFonts w:eastAsia="Times New Roman"/>
            </w:rPr>
            <w:t>.2007.08.002.</w:t>
          </w:r>
        </w:p>
        <w:p w14:paraId="72C21908" w14:textId="77777777" w:rsidR="00F257B9" w:rsidRDefault="00F257B9">
          <w:pPr>
            <w:divId w:val="1308126843"/>
            <w:rPr>
              <w:rFonts w:eastAsia="Times New Roman"/>
            </w:rPr>
          </w:pPr>
          <w:r>
            <w:rPr>
              <w:rFonts w:eastAsia="Times New Roman"/>
            </w:rPr>
            <w:lastRenderedPageBreak/>
            <w:t xml:space="preserve">Kim, J.-I. </w:t>
          </w:r>
          <w:r>
            <w:rPr>
              <w:rFonts w:eastAsia="Times New Roman"/>
              <w:i/>
              <w:iCs/>
            </w:rPr>
            <w:t>et al.</w:t>
          </w:r>
          <w:r>
            <w:rPr>
              <w:rFonts w:eastAsia="Times New Roman"/>
            </w:rPr>
            <w:t xml:space="preserve"> (2005) “Crystal Structure of CD14 and Its Implications for Lipopolysaccharide </w:t>
          </w:r>
          <w:proofErr w:type="spellStart"/>
          <w:r>
            <w:rPr>
              <w:rFonts w:eastAsia="Times New Roman"/>
            </w:rPr>
            <w:t>Signaling</w:t>
          </w:r>
          <w:proofErr w:type="spellEnd"/>
          <w:r>
            <w:rPr>
              <w:rFonts w:eastAsia="Times New Roman"/>
            </w:rPr>
            <w:t xml:space="preserve"> * </w:t>
          </w:r>
          <w:r>
            <w:rPr>
              <w:rFonts w:ascii="Segoe UI Emoji" w:eastAsia="Times New Roman" w:hAnsi="Segoe UI Emoji" w:cs="Segoe UI Emoji"/>
            </w:rPr>
            <w:t>♦</w:t>
          </w:r>
          <w:r>
            <w:rPr>
              <w:rFonts w:eastAsia="Times New Roman"/>
            </w:rPr>
            <w:t xml:space="preserve">,” </w:t>
          </w:r>
          <w:r>
            <w:rPr>
              <w:rFonts w:eastAsia="Times New Roman"/>
              <w:i/>
              <w:iCs/>
            </w:rPr>
            <w:t>Journal of Biological Chemistry</w:t>
          </w:r>
          <w:r>
            <w:rPr>
              <w:rFonts w:eastAsia="Times New Roman"/>
            </w:rPr>
            <w:t>, 280(12), pp. 11347–11351. doi:10.1074/JBC.M414607200.</w:t>
          </w:r>
        </w:p>
        <w:p w14:paraId="1B474736" w14:textId="77777777" w:rsidR="00F257B9" w:rsidRDefault="00F257B9">
          <w:pPr>
            <w:divId w:val="315381102"/>
            <w:rPr>
              <w:rFonts w:eastAsia="Times New Roman"/>
            </w:rPr>
          </w:pPr>
          <w:r>
            <w:rPr>
              <w:rFonts w:eastAsia="Times New Roman"/>
            </w:rPr>
            <w:t xml:space="preserve">Kim, S.J. and Kim, H.M. (2017) “Dynamic lipopolysaccharide transfer cascade to TLR4/MD2 complex via LBP and CD14,” </w:t>
          </w:r>
          <w:r>
            <w:rPr>
              <w:rFonts w:eastAsia="Times New Roman"/>
              <w:i/>
              <w:iCs/>
            </w:rPr>
            <w:t>BMB Reports</w:t>
          </w:r>
          <w:r>
            <w:rPr>
              <w:rFonts w:eastAsia="Times New Roman"/>
            </w:rPr>
            <w:t>, 50(2), pp. 55–57. doi:10.5483/BMBRep.2017.50.2.011.</w:t>
          </w:r>
        </w:p>
        <w:p w14:paraId="1883AD79" w14:textId="77777777" w:rsidR="00F257B9" w:rsidRDefault="00F257B9">
          <w:pPr>
            <w:divId w:val="200216684"/>
            <w:rPr>
              <w:rFonts w:eastAsia="Times New Roman"/>
            </w:rPr>
          </w:pPr>
          <w:proofErr w:type="spellStart"/>
          <w:r>
            <w:rPr>
              <w:rFonts w:eastAsia="Times New Roman"/>
            </w:rPr>
            <w:t>Kingwell</w:t>
          </w:r>
          <w:proofErr w:type="spellEnd"/>
          <w:r>
            <w:rPr>
              <w:rFonts w:eastAsia="Times New Roman"/>
            </w:rPr>
            <w:t xml:space="preserve">, B.A. </w:t>
          </w:r>
          <w:r>
            <w:rPr>
              <w:rFonts w:eastAsia="Times New Roman"/>
              <w:i/>
              <w:iCs/>
            </w:rPr>
            <w:t>et al.</w:t>
          </w:r>
          <w:r>
            <w:rPr>
              <w:rFonts w:eastAsia="Times New Roman"/>
            </w:rPr>
            <w:t xml:space="preserve"> (2014) “HDL-targeted therapies: Progress, failures and future,” </w:t>
          </w:r>
          <w:r>
            <w:rPr>
              <w:rFonts w:eastAsia="Times New Roman"/>
              <w:i/>
              <w:iCs/>
            </w:rPr>
            <w:t>Nature Reviews Drug Discovery</w:t>
          </w:r>
          <w:r>
            <w:rPr>
              <w:rFonts w:eastAsia="Times New Roman"/>
            </w:rPr>
            <w:t>. Nature Publishing Group, pp. 445–464. doi:10.1038/nrd4279.</w:t>
          </w:r>
        </w:p>
        <w:p w14:paraId="0EA2C00B" w14:textId="77777777" w:rsidR="00F257B9" w:rsidRDefault="00F257B9">
          <w:pPr>
            <w:divId w:val="423234812"/>
            <w:rPr>
              <w:rFonts w:eastAsia="Times New Roman"/>
            </w:rPr>
          </w:pPr>
          <w:proofErr w:type="spellStart"/>
          <w:r>
            <w:rPr>
              <w:rFonts w:eastAsia="Times New Roman"/>
            </w:rPr>
            <w:t>Kirii</w:t>
          </w:r>
          <w:proofErr w:type="spellEnd"/>
          <w:r>
            <w:rPr>
              <w:rFonts w:eastAsia="Times New Roman"/>
            </w:rPr>
            <w:t xml:space="preserve">, H. </w:t>
          </w:r>
          <w:r>
            <w:rPr>
              <w:rFonts w:eastAsia="Times New Roman"/>
              <w:i/>
              <w:iCs/>
            </w:rPr>
            <w:t>et al.</w:t>
          </w:r>
          <w:r>
            <w:rPr>
              <w:rFonts w:eastAsia="Times New Roman"/>
            </w:rPr>
            <w:t xml:space="preserve"> (2003) “Lack of interleukin-1beta decreases the severity of atherosclerosis in </w:t>
          </w:r>
          <w:proofErr w:type="spellStart"/>
          <w:r>
            <w:rPr>
              <w:rFonts w:eastAsia="Times New Roman"/>
            </w:rPr>
            <w:t>ApoE</w:t>
          </w:r>
          <w:proofErr w:type="spellEnd"/>
          <w:r>
            <w:rPr>
              <w:rFonts w:eastAsia="Times New Roman"/>
            </w:rPr>
            <w:t xml:space="preserve">-deficient mice.,” </w:t>
          </w:r>
          <w:r>
            <w:rPr>
              <w:rFonts w:eastAsia="Times New Roman"/>
              <w:i/>
              <w:iCs/>
            </w:rPr>
            <w:t>Arteriosclerosis, thrombosis, and vascular biology</w:t>
          </w:r>
          <w:r>
            <w:rPr>
              <w:rFonts w:eastAsia="Times New Roman"/>
            </w:rPr>
            <w:t xml:space="preserve">, 23(4), pp. 656–60. </w:t>
          </w:r>
          <w:proofErr w:type="gramStart"/>
          <w:r>
            <w:rPr>
              <w:rFonts w:eastAsia="Times New Roman"/>
            </w:rPr>
            <w:t>doi:10.1161/01.ATV</w:t>
          </w:r>
          <w:proofErr w:type="gramEnd"/>
          <w:r>
            <w:rPr>
              <w:rFonts w:eastAsia="Times New Roman"/>
            </w:rPr>
            <w:t>.0000064374.15232.C3.</w:t>
          </w:r>
        </w:p>
        <w:p w14:paraId="14AE2B9C" w14:textId="77777777" w:rsidR="00F257B9" w:rsidRDefault="00F257B9">
          <w:pPr>
            <w:divId w:val="828063237"/>
            <w:rPr>
              <w:rFonts w:eastAsia="Times New Roman"/>
            </w:rPr>
          </w:pPr>
          <w:proofErr w:type="spellStart"/>
          <w:r>
            <w:rPr>
              <w:rFonts w:eastAsia="Times New Roman"/>
            </w:rPr>
            <w:t>Kiyan</w:t>
          </w:r>
          <w:proofErr w:type="spellEnd"/>
          <w:r>
            <w:rPr>
              <w:rFonts w:eastAsia="Times New Roman"/>
            </w:rPr>
            <w:t xml:space="preserve">, Y. </w:t>
          </w:r>
          <w:r>
            <w:rPr>
              <w:rFonts w:eastAsia="Times New Roman"/>
              <w:i/>
              <w:iCs/>
            </w:rPr>
            <w:t>et al.</w:t>
          </w:r>
          <w:r>
            <w:rPr>
              <w:rFonts w:eastAsia="Times New Roman"/>
            </w:rPr>
            <w:t xml:space="preserve"> (2014) “</w:t>
          </w:r>
          <w:proofErr w:type="spellStart"/>
          <w:r>
            <w:rPr>
              <w:rFonts w:eastAsia="Times New Roman"/>
            </w:rPr>
            <w:t>oxLDL</w:t>
          </w:r>
          <w:proofErr w:type="spellEnd"/>
          <w:r>
            <w:rPr>
              <w:rFonts w:eastAsia="Times New Roman"/>
            </w:rPr>
            <w:t xml:space="preserve"> induces inflammatory responses in vascular smooth muscle cells via urokinase receptor association with CD36 and TLR4.,” </w:t>
          </w:r>
          <w:r>
            <w:rPr>
              <w:rFonts w:eastAsia="Times New Roman"/>
              <w:i/>
              <w:iCs/>
            </w:rPr>
            <w:t>Journal of molecular and cellular cardiology</w:t>
          </w:r>
          <w:r>
            <w:rPr>
              <w:rFonts w:eastAsia="Times New Roman"/>
            </w:rPr>
            <w:t xml:space="preserve">, 66, pp. 72–82. </w:t>
          </w:r>
          <w:proofErr w:type="gramStart"/>
          <w:r>
            <w:rPr>
              <w:rFonts w:eastAsia="Times New Roman"/>
            </w:rPr>
            <w:t>doi:10.1016/j.yjmcc</w:t>
          </w:r>
          <w:proofErr w:type="gramEnd"/>
          <w:r>
            <w:rPr>
              <w:rFonts w:eastAsia="Times New Roman"/>
            </w:rPr>
            <w:t>.2013.11.005.</w:t>
          </w:r>
        </w:p>
        <w:p w14:paraId="78CBA954" w14:textId="77777777" w:rsidR="00F257B9" w:rsidRDefault="00F257B9">
          <w:pPr>
            <w:divId w:val="1723098055"/>
            <w:rPr>
              <w:rFonts w:eastAsia="Times New Roman"/>
            </w:rPr>
          </w:pPr>
          <w:r>
            <w:rPr>
              <w:rFonts w:eastAsia="Times New Roman"/>
            </w:rPr>
            <w:t xml:space="preserve">Kobayashi, M. </w:t>
          </w:r>
          <w:r>
            <w:rPr>
              <w:rFonts w:eastAsia="Times New Roman"/>
              <w:i/>
              <w:iCs/>
            </w:rPr>
            <w:t>et al.</w:t>
          </w:r>
          <w:r>
            <w:rPr>
              <w:rFonts w:eastAsia="Times New Roman"/>
            </w:rPr>
            <w:t xml:space="preserve"> (2006) “Regulatory Roles for MD-2 and TLR4 in Ligand-Induced Receptor Clustering,” </w:t>
          </w:r>
          <w:r>
            <w:rPr>
              <w:rFonts w:eastAsia="Times New Roman"/>
              <w:i/>
              <w:iCs/>
            </w:rPr>
            <w:t>The Journal of Immunology</w:t>
          </w:r>
          <w:r>
            <w:rPr>
              <w:rFonts w:eastAsia="Times New Roman"/>
            </w:rPr>
            <w:t>, 176(10), pp. 6211–6218. doi:10.4049/jimmunol.176.10.6211.</w:t>
          </w:r>
        </w:p>
        <w:p w14:paraId="382BFB6B" w14:textId="77777777" w:rsidR="00F257B9" w:rsidRDefault="00F257B9">
          <w:pPr>
            <w:divId w:val="1626420754"/>
            <w:rPr>
              <w:rFonts w:eastAsia="Times New Roman"/>
            </w:rPr>
          </w:pPr>
          <w:proofErr w:type="spellStart"/>
          <w:r>
            <w:rPr>
              <w:rFonts w:eastAsia="Times New Roman"/>
            </w:rPr>
            <w:t>Kolodgie</w:t>
          </w:r>
          <w:proofErr w:type="spellEnd"/>
          <w:r>
            <w:rPr>
              <w:rFonts w:eastAsia="Times New Roman"/>
            </w:rPr>
            <w:t xml:space="preserve">, F.D. </w:t>
          </w:r>
          <w:r>
            <w:rPr>
              <w:rFonts w:eastAsia="Times New Roman"/>
              <w:i/>
              <w:iCs/>
            </w:rPr>
            <w:t>et al.</w:t>
          </w:r>
          <w:r>
            <w:rPr>
              <w:rFonts w:eastAsia="Times New Roman"/>
            </w:rPr>
            <w:t xml:space="preserve"> (2002) “Differential accumulation of proteoglycans and hyaluronan in culprit lesions: Insights into plaque erosion,” </w:t>
          </w:r>
          <w:r>
            <w:rPr>
              <w:rFonts w:eastAsia="Times New Roman"/>
              <w:i/>
              <w:iCs/>
            </w:rPr>
            <w:t>Arteriosclerosis, Thrombosis, and Vascular Biology</w:t>
          </w:r>
          <w:r>
            <w:rPr>
              <w:rFonts w:eastAsia="Times New Roman"/>
            </w:rPr>
            <w:t xml:space="preserve">, 22(10), pp. 1642–1648. </w:t>
          </w:r>
          <w:proofErr w:type="gramStart"/>
          <w:r>
            <w:rPr>
              <w:rFonts w:eastAsia="Times New Roman"/>
            </w:rPr>
            <w:t>doi:10.1161/01.ATV</w:t>
          </w:r>
          <w:proofErr w:type="gramEnd"/>
          <w:r>
            <w:rPr>
              <w:rFonts w:eastAsia="Times New Roman"/>
            </w:rPr>
            <w:t>.0000034021.92658.4C.</w:t>
          </w:r>
        </w:p>
        <w:p w14:paraId="0A59141D" w14:textId="77777777" w:rsidR="00F257B9" w:rsidRDefault="00F257B9">
          <w:pPr>
            <w:divId w:val="1968462218"/>
            <w:rPr>
              <w:rFonts w:eastAsia="Times New Roman"/>
            </w:rPr>
          </w:pPr>
          <w:r>
            <w:rPr>
              <w:rFonts w:eastAsia="Times New Roman"/>
            </w:rPr>
            <w:t xml:space="preserve">Kuai, R. </w:t>
          </w:r>
          <w:r>
            <w:rPr>
              <w:rFonts w:eastAsia="Times New Roman"/>
              <w:i/>
              <w:iCs/>
            </w:rPr>
            <w:t>et al.</w:t>
          </w:r>
          <w:r>
            <w:rPr>
              <w:rFonts w:eastAsia="Times New Roman"/>
            </w:rPr>
            <w:t xml:space="preserve"> (2018) “Dual TLR agonist </w:t>
          </w:r>
          <w:proofErr w:type="spellStart"/>
          <w:r>
            <w:rPr>
              <w:rFonts w:eastAsia="Times New Roman"/>
            </w:rPr>
            <w:t>nanodiscs</w:t>
          </w:r>
          <w:proofErr w:type="spellEnd"/>
          <w:r>
            <w:rPr>
              <w:rFonts w:eastAsia="Times New Roman"/>
            </w:rPr>
            <w:t xml:space="preserve"> as a strong adjuvant system for vaccines and immunotherapy,” </w:t>
          </w:r>
          <w:r>
            <w:rPr>
              <w:rFonts w:eastAsia="Times New Roman"/>
              <w:i/>
              <w:iCs/>
            </w:rPr>
            <w:t>Journal of Controlled Release</w:t>
          </w:r>
          <w:r>
            <w:rPr>
              <w:rFonts w:eastAsia="Times New Roman"/>
            </w:rPr>
            <w:t xml:space="preserve">, 282(April), pp. 131–139. </w:t>
          </w:r>
          <w:proofErr w:type="gramStart"/>
          <w:r>
            <w:rPr>
              <w:rFonts w:eastAsia="Times New Roman"/>
            </w:rPr>
            <w:t>doi:10.1016/j.jconrel</w:t>
          </w:r>
          <w:proofErr w:type="gramEnd"/>
          <w:r>
            <w:rPr>
              <w:rFonts w:eastAsia="Times New Roman"/>
            </w:rPr>
            <w:t>.2018.04.041.</w:t>
          </w:r>
        </w:p>
        <w:p w14:paraId="166540A7" w14:textId="77777777" w:rsidR="00F257B9" w:rsidRDefault="00F257B9">
          <w:pPr>
            <w:divId w:val="717516238"/>
            <w:rPr>
              <w:rFonts w:eastAsia="Times New Roman"/>
            </w:rPr>
          </w:pPr>
          <w:proofErr w:type="spellStart"/>
          <w:r>
            <w:rPr>
              <w:rFonts w:eastAsia="Times New Roman"/>
            </w:rPr>
            <w:t>Kuzmich</w:t>
          </w:r>
          <w:proofErr w:type="spellEnd"/>
          <w:r>
            <w:rPr>
              <w:rFonts w:eastAsia="Times New Roman"/>
            </w:rPr>
            <w:t xml:space="preserve">, N. </w:t>
          </w:r>
          <w:r>
            <w:rPr>
              <w:rFonts w:eastAsia="Times New Roman"/>
              <w:i/>
              <w:iCs/>
            </w:rPr>
            <w:t>et al.</w:t>
          </w:r>
          <w:r>
            <w:rPr>
              <w:rFonts w:eastAsia="Times New Roman"/>
            </w:rPr>
            <w:t xml:space="preserve"> (2017) “TLR4 </w:t>
          </w:r>
          <w:proofErr w:type="spellStart"/>
          <w:r>
            <w:rPr>
              <w:rFonts w:eastAsia="Times New Roman"/>
            </w:rPr>
            <w:t>Signaling</w:t>
          </w:r>
          <w:proofErr w:type="spellEnd"/>
          <w:r>
            <w:rPr>
              <w:rFonts w:eastAsia="Times New Roman"/>
            </w:rPr>
            <w:t xml:space="preserve"> Pathway Modulators as Potential Therapeutics in Inflammation and Sepsis,” </w:t>
          </w:r>
          <w:r>
            <w:rPr>
              <w:rFonts w:eastAsia="Times New Roman"/>
              <w:i/>
              <w:iCs/>
            </w:rPr>
            <w:t>Vaccines</w:t>
          </w:r>
          <w:r>
            <w:rPr>
              <w:rFonts w:eastAsia="Times New Roman"/>
            </w:rPr>
            <w:t>, 5(4), p. 34. doi:10.3390/vaccines5040034.</w:t>
          </w:r>
        </w:p>
        <w:p w14:paraId="456E0F46" w14:textId="77777777" w:rsidR="00F257B9" w:rsidRDefault="00F257B9">
          <w:pPr>
            <w:divId w:val="286358844"/>
            <w:rPr>
              <w:rFonts w:eastAsia="Times New Roman"/>
            </w:rPr>
          </w:pPr>
          <w:r>
            <w:rPr>
              <w:rFonts w:eastAsia="Times New Roman"/>
            </w:rPr>
            <w:lastRenderedPageBreak/>
            <w:t xml:space="preserve">Lee, C.C., Avalos, A.M. and </w:t>
          </w:r>
          <w:proofErr w:type="spellStart"/>
          <w:r>
            <w:rPr>
              <w:rFonts w:eastAsia="Times New Roman"/>
            </w:rPr>
            <w:t>Ploegh</w:t>
          </w:r>
          <w:proofErr w:type="spellEnd"/>
          <w:r>
            <w:rPr>
              <w:rFonts w:eastAsia="Times New Roman"/>
            </w:rPr>
            <w:t xml:space="preserve">, H.L. (2012) “Accessory molecules for Toll-like receptors and their function,” </w:t>
          </w:r>
          <w:r>
            <w:rPr>
              <w:rFonts w:eastAsia="Times New Roman"/>
              <w:i/>
              <w:iCs/>
            </w:rPr>
            <w:t>Nature Reviews Immunology</w:t>
          </w:r>
          <w:r>
            <w:rPr>
              <w:rFonts w:eastAsia="Times New Roman"/>
            </w:rPr>
            <w:t>. Nature Publishing Group, pp. 168–179. doi:10.1038/nri3151.</w:t>
          </w:r>
        </w:p>
        <w:p w14:paraId="2A4CCAA5" w14:textId="77777777" w:rsidR="00F257B9" w:rsidRDefault="00F257B9">
          <w:pPr>
            <w:divId w:val="566382115"/>
            <w:rPr>
              <w:rFonts w:eastAsia="Times New Roman"/>
            </w:rPr>
          </w:pPr>
          <w:r>
            <w:rPr>
              <w:rFonts w:eastAsia="Times New Roman"/>
            </w:rPr>
            <w:t xml:space="preserve">Lee, J. </w:t>
          </w:r>
          <w:r>
            <w:rPr>
              <w:rFonts w:eastAsia="Times New Roman"/>
              <w:i/>
              <w:iCs/>
            </w:rPr>
            <w:t>et al.</w:t>
          </w:r>
          <w:r>
            <w:rPr>
              <w:rFonts w:eastAsia="Times New Roman"/>
            </w:rPr>
            <w:t xml:space="preserve"> (2017) “Interaction of IL-6 and TNF-α contributes to endothelial dysfunction in type 2 diabetic mouse hearts,” </w:t>
          </w:r>
          <w:r>
            <w:rPr>
              <w:rFonts w:eastAsia="Times New Roman"/>
              <w:i/>
              <w:iCs/>
            </w:rPr>
            <w:t>PLOS ONE</w:t>
          </w:r>
          <w:r>
            <w:rPr>
              <w:rFonts w:eastAsia="Times New Roman"/>
            </w:rPr>
            <w:t xml:space="preserve">. Edited by M. Bader, 12(11), p. e0187189. </w:t>
          </w:r>
          <w:proofErr w:type="gramStart"/>
          <w:r>
            <w:rPr>
              <w:rFonts w:eastAsia="Times New Roman"/>
            </w:rPr>
            <w:t>doi:10.1371/journal.pone</w:t>
          </w:r>
          <w:proofErr w:type="gramEnd"/>
          <w:r>
            <w:rPr>
              <w:rFonts w:eastAsia="Times New Roman"/>
            </w:rPr>
            <w:t>.0187189.</w:t>
          </w:r>
        </w:p>
        <w:p w14:paraId="5F06EA17" w14:textId="77777777" w:rsidR="00F257B9" w:rsidRDefault="00F257B9">
          <w:pPr>
            <w:divId w:val="949360010"/>
            <w:rPr>
              <w:rFonts w:eastAsia="Times New Roman"/>
            </w:rPr>
          </w:pPr>
          <w:r>
            <w:rPr>
              <w:rFonts w:eastAsia="Times New Roman"/>
            </w:rPr>
            <w:t xml:space="preserve">Lemaitre, B. </w:t>
          </w:r>
          <w:r>
            <w:rPr>
              <w:rFonts w:eastAsia="Times New Roman"/>
              <w:i/>
              <w:iCs/>
            </w:rPr>
            <w:t>et al.</w:t>
          </w:r>
          <w:r>
            <w:rPr>
              <w:rFonts w:eastAsia="Times New Roman"/>
            </w:rPr>
            <w:t xml:space="preserve"> (1996) “The dorsoventral regulatory gene cassette </w:t>
          </w:r>
          <w:proofErr w:type="spellStart"/>
          <w:r>
            <w:rPr>
              <w:rFonts w:eastAsia="Times New Roman"/>
            </w:rPr>
            <w:t>spatzle</w:t>
          </w:r>
          <w:proofErr w:type="spellEnd"/>
          <w:r>
            <w:rPr>
              <w:rFonts w:eastAsia="Times New Roman"/>
            </w:rPr>
            <w:t xml:space="preserve">/Toll/Cactus controls the potent antifungal response in Drosophila adults,” </w:t>
          </w:r>
          <w:r>
            <w:rPr>
              <w:rFonts w:eastAsia="Times New Roman"/>
              <w:i/>
              <w:iCs/>
            </w:rPr>
            <w:t>Cell</w:t>
          </w:r>
          <w:r>
            <w:rPr>
              <w:rFonts w:eastAsia="Times New Roman"/>
            </w:rPr>
            <w:t>, 86(6), pp. 973–983. doi:10.1016/S0092-8674(00)80172-5.</w:t>
          </w:r>
        </w:p>
        <w:p w14:paraId="274F5F81" w14:textId="77777777" w:rsidR="00F257B9" w:rsidRDefault="00F257B9">
          <w:pPr>
            <w:divId w:val="1872111610"/>
            <w:rPr>
              <w:rFonts w:eastAsia="Times New Roman"/>
            </w:rPr>
          </w:pPr>
          <w:r>
            <w:rPr>
              <w:rFonts w:eastAsia="Times New Roman"/>
            </w:rPr>
            <w:t xml:space="preserve">Li, J. </w:t>
          </w:r>
          <w:r>
            <w:rPr>
              <w:rFonts w:eastAsia="Times New Roman"/>
              <w:i/>
              <w:iCs/>
            </w:rPr>
            <w:t>et al.</w:t>
          </w:r>
          <w:r>
            <w:rPr>
              <w:rFonts w:eastAsia="Times New Roman"/>
            </w:rPr>
            <w:t xml:space="preserve"> (2017) “The ω-carboxyl group of 7-ketocholesteryl-9-carboxynonanoate mediates the binding of </w:t>
          </w:r>
          <w:proofErr w:type="spellStart"/>
          <w:r>
            <w:rPr>
              <w:rFonts w:eastAsia="Times New Roman"/>
            </w:rPr>
            <w:t>oxLDL</w:t>
          </w:r>
          <w:proofErr w:type="spellEnd"/>
          <w:r>
            <w:rPr>
              <w:rFonts w:eastAsia="Times New Roman"/>
            </w:rPr>
            <w:t xml:space="preserve"> to CD36 receptor and enhances caveolin-1 expression in macrophages,” </w:t>
          </w:r>
          <w:r>
            <w:rPr>
              <w:rFonts w:eastAsia="Times New Roman"/>
              <w:i/>
              <w:iCs/>
            </w:rPr>
            <w:t>The International Journal of Biochemistry &amp; Cell Biology</w:t>
          </w:r>
          <w:r>
            <w:rPr>
              <w:rFonts w:eastAsia="Times New Roman"/>
            </w:rPr>
            <w:t xml:space="preserve">, 90, pp. 121–135. </w:t>
          </w:r>
          <w:proofErr w:type="gramStart"/>
          <w:r>
            <w:rPr>
              <w:rFonts w:eastAsia="Times New Roman"/>
            </w:rPr>
            <w:t>doi:10.1016/J.BIOCEL</w:t>
          </w:r>
          <w:proofErr w:type="gramEnd"/>
          <w:r>
            <w:rPr>
              <w:rFonts w:eastAsia="Times New Roman"/>
            </w:rPr>
            <w:t>.2017.07.022.</w:t>
          </w:r>
        </w:p>
        <w:p w14:paraId="2B0FA7F7" w14:textId="77777777" w:rsidR="00F257B9" w:rsidRDefault="00F257B9">
          <w:pPr>
            <w:divId w:val="1074274920"/>
            <w:rPr>
              <w:rFonts w:eastAsia="Times New Roman"/>
            </w:rPr>
          </w:pPr>
          <w:r>
            <w:rPr>
              <w:rFonts w:eastAsia="Times New Roman"/>
            </w:rPr>
            <w:t xml:space="preserve">Lin, P.L. </w:t>
          </w:r>
          <w:r>
            <w:rPr>
              <w:rFonts w:eastAsia="Times New Roman"/>
              <w:i/>
              <w:iCs/>
            </w:rPr>
            <w:t>et al.</w:t>
          </w:r>
          <w:r>
            <w:rPr>
              <w:rFonts w:eastAsia="Times New Roman"/>
            </w:rPr>
            <w:t xml:space="preserve"> (2010) “TNF neutralization results in disseminated disease during acute and latent </w:t>
          </w:r>
          <w:r>
            <w:rPr>
              <w:rFonts w:eastAsia="Times New Roman"/>
              <w:i/>
              <w:iCs/>
            </w:rPr>
            <w:t>M. tuberculosis</w:t>
          </w:r>
          <w:r>
            <w:rPr>
              <w:rFonts w:eastAsia="Times New Roman"/>
            </w:rPr>
            <w:t xml:space="preserve"> infection with normal granuloma structure,” </w:t>
          </w:r>
          <w:r>
            <w:rPr>
              <w:rFonts w:eastAsia="Times New Roman"/>
              <w:i/>
              <w:iCs/>
            </w:rPr>
            <w:t>Arthritis &amp; Rheumatism</w:t>
          </w:r>
          <w:r>
            <w:rPr>
              <w:rFonts w:eastAsia="Times New Roman"/>
            </w:rPr>
            <w:t>, 62(2), p. NA-NA. doi:10.1002/art.27271.</w:t>
          </w:r>
        </w:p>
        <w:p w14:paraId="12AB68E1" w14:textId="77777777" w:rsidR="00F257B9" w:rsidRDefault="00F257B9">
          <w:pPr>
            <w:divId w:val="1918980483"/>
            <w:rPr>
              <w:rFonts w:eastAsia="Times New Roman"/>
            </w:rPr>
          </w:pPr>
          <w:r>
            <w:rPr>
              <w:rFonts w:eastAsia="Times New Roman"/>
            </w:rPr>
            <w:t xml:space="preserve">Lin, S.-C., Lo, Y.-C. and Wu, H. (2010) “Helical assembly in the </w:t>
          </w:r>
          <w:proofErr w:type="gramStart"/>
          <w:r>
            <w:rPr>
              <w:rFonts w:eastAsia="Times New Roman"/>
            </w:rPr>
            <w:t>MyD88:IRAK4:IRAK</w:t>
          </w:r>
          <w:proofErr w:type="gramEnd"/>
          <w:r>
            <w:rPr>
              <w:rFonts w:eastAsia="Times New Roman"/>
            </w:rPr>
            <w:t xml:space="preserve">2 complex in TLR/IL-1R </w:t>
          </w:r>
          <w:proofErr w:type="spellStart"/>
          <w:r>
            <w:rPr>
              <w:rFonts w:eastAsia="Times New Roman"/>
            </w:rPr>
            <w:t>signaling</w:t>
          </w:r>
          <w:proofErr w:type="spellEnd"/>
          <w:r>
            <w:rPr>
              <w:rFonts w:eastAsia="Times New Roman"/>
            </w:rPr>
            <w:t xml:space="preserve">,” </w:t>
          </w:r>
          <w:r>
            <w:rPr>
              <w:rFonts w:eastAsia="Times New Roman"/>
              <w:i/>
              <w:iCs/>
            </w:rPr>
            <w:t>Nature</w:t>
          </w:r>
          <w:r>
            <w:rPr>
              <w:rFonts w:eastAsia="Times New Roman"/>
            </w:rPr>
            <w:t>, 465(7300), p. 885. doi:10.1038/NATURE09121.</w:t>
          </w:r>
        </w:p>
        <w:p w14:paraId="54E3316A" w14:textId="77777777" w:rsidR="00F257B9" w:rsidRDefault="00F257B9">
          <w:pPr>
            <w:divId w:val="743070861"/>
            <w:rPr>
              <w:rFonts w:eastAsia="Times New Roman"/>
            </w:rPr>
          </w:pPr>
          <w:proofErr w:type="spellStart"/>
          <w:r>
            <w:rPr>
              <w:rFonts w:eastAsia="Times New Roman"/>
            </w:rPr>
            <w:t>Linna</w:t>
          </w:r>
          <w:proofErr w:type="spellEnd"/>
          <w:r>
            <w:rPr>
              <w:rFonts w:eastAsia="Times New Roman"/>
            </w:rPr>
            <w:t xml:space="preserve">, M. </w:t>
          </w:r>
          <w:r>
            <w:rPr>
              <w:rFonts w:eastAsia="Times New Roman"/>
              <w:i/>
              <w:iCs/>
            </w:rPr>
            <w:t>et al.</w:t>
          </w:r>
          <w:r>
            <w:rPr>
              <w:rFonts w:eastAsia="Times New Roman"/>
            </w:rPr>
            <w:t xml:space="preserve"> (2013) “Circulating oxidised LDL lipids, when proportioned to HDL-c, emerged as a risk factor of all-cause mortality in a population-based survival study,” </w:t>
          </w:r>
          <w:r>
            <w:rPr>
              <w:rFonts w:eastAsia="Times New Roman"/>
              <w:i/>
              <w:iCs/>
            </w:rPr>
            <w:t>Age and Ageing</w:t>
          </w:r>
          <w:r>
            <w:rPr>
              <w:rFonts w:eastAsia="Times New Roman"/>
            </w:rPr>
            <w:t>, 42(1), pp. 110–113. doi:10.1093/ageing/afs074.</w:t>
          </w:r>
        </w:p>
        <w:p w14:paraId="2AEB99C2" w14:textId="77777777" w:rsidR="00F257B9" w:rsidRDefault="00F257B9">
          <w:pPr>
            <w:divId w:val="540946089"/>
            <w:rPr>
              <w:rFonts w:eastAsia="Times New Roman"/>
            </w:rPr>
          </w:pPr>
          <w:r>
            <w:rPr>
              <w:rFonts w:eastAsia="Times New Roman"/>
            </w:rPr>
            <w:t xml:space="preserve">Liu, L. </w:t>
          </w:r>
          <w:r>
            <w:rPr>
              <w:rFonts w:eastAsia="Times New Roman"/>
              <w:i/>
              <w:iCs/>
            </w:rPr>
            <w:t>et al.</w:t>
          </w:r>
          <w:r>
            <w:rPr>
              <w:rFonts w:eastAsia="Times New Roman"/>
            </w:rPr>
            <w:t xml:space="preserve"> (2008) “Structural basis of toll-like receptor 3 </w:t>
          </w:r>
          <w:proofErr w:type="spellStart"/>
          <w:r>
            <w:rPr>
              <w:rFonts w:eastAsia="Times New Roman"/>
            </w:rPr>
            <w:t>signaling</w:t>
          </w:r>
          <w:proofErr w:type="spellEnd"/>
          <w:r>
            <w:rPr>
              <w:rFonts w:eastAsia="Times New Roman"/>
            </w:rPr>
            <w:t xml:space="preserve"> with double-stranded RNA,” </w:t>
          </w:r>
          <w:r>
            <w:rPr>
              <w:rFonts w:eastAsia="Times New Roman"/>
              <w:i/>
              <w:iCs/>
            </w:rPr>
            <w:t>Science</w:t>
          </w:r>
          <w:r>
            <w:rPr>
              <w:rFonts w:eastAsia="Times New Roman"/>
            </w:rPr>
            <w:t>, 320(5874), pp. 379–381. doi:10.1126/science.1155406.</w:t>
          </w:r>
        </w:p>
        <w:p w14:paraId="2B7670AF" w14:textId="77777777" w:rsidR="00F257B9" w:rsidRDefault="00F257B9">
          <w:pPr>
            <w:divId w:val="393091704"/>
            <w:rPr>
              <w:rFonts w:eastAsia="Times New Roman"/>
            </w:rPr>
          </w:pPr>
          <w:r>
            <w:rPr>
              <w:rFonts w:eastAsia="Times New Roman"/>
            </w:rPr>
            <w:lastRenderedPageBreak/>
            <w:t xml:space="preserve">Lu, Y.C., Yeh, W.C. and Ohashi, P.S. (2008) “LPS/TLR4 signal transduction pathway,” </w:t>
          </w:r>
          <w:r>
            <w:rPr>
              <w:rFonts w:eastAsia="Times New Roman"/>
              <w:i/>
              <w:iCs/>
            </w:rPr>
            <w:t>Cytokine</w:t>
          </w:r>
          <w:r>
            <w:rPr>
              <w:rFonts w:eastAsia="Times New Roman"/>
            </w:rPr>
            <w:t xml:space="preserve">, 42(2), pp. 145–151. </w:t>
          </w:r>
          <w:proofErr w:type="gramStart"/>
          <w:r>
            <w:rPr>
              <w:rFonts w:eastAsia="Times New Roman"/>
            </w:rPr>
            <w:t>doi:10.1016/J.CYTO</w:t>
          </w:r>
          <w:proofErr w:type="gramEnd"/>
          <w:r>
            <w:rPr>
              <w:rFonts w:eastAsia="Times New Roman"/>
            </w:rPr>
            <w:t>.2008.01.006.</w:t>
          </w:r>
        </w:p>
        <w:p w14:paraId="79CDAECE" w14:textId="77777777" w:rsidR="00F257B9" w:rsidRDefault="00F257B9">
          <w:pPr>
            <w:divId w:val="22172284"/>
            <w:rPr>
              <w:rFonts w:eastAsia="Times New Roman"/>
            </w:rPr>
          </w:pPr>
          <w:r>
            <w:rPr>
              <w:rFonts w:eastAsia="Times New Roman"/>
            </w:rPr>
            <w:t xml:space="preserve">Lundberg, A.M. </w:t>
          </w:r>
          <w:r>
            <w:rPr>
              <w:rFonts w:eastAsia="Times New Roman"/>
              <w:i/>
              <w:iCs/>
            </w:rPr>
            <w:t>et al.</w:t>
          </w:r>
          <w:r>
            <w:rPr>
              <w:rFonts w:eastAsia="Times New Roman"/>
            </w:rPr>
            <w:t xml:space="preserve"> (2007) “Key differences in TLR3/poly I:C </w:t>
          </w:r>
          <w:proofErr w:type="spellStart"/>
          <w:r>
            <w:rPr>
              <w:rFonts w:eastAsia="Times New Roman"/>
            </w:rPr>
            <w:t>signaling</w:t>
          </w:r>
          <w:proofErr w:type="spellEnd"/>
          <w:r>
            <w:rPr>
              <w:rFonts w:eastAsia="Times New Roman"/>
            </w:rPr>
            <w:t xml:space="preserve"> and cytokine induction by human primary cells: A phenomenon absent from murine cell systems,” </w:t>
          </w:r>
          <w:r>
            <w:rPr>
              <w:rFonts w:eastAsia="Times New Roman"/>
              <w:i/>
              <w:iCs/>
            </w:rPr>
            <w:t>Blood</w:t>
          </w:r>
          <w:r>
            <w:rPr>
              <w:rFonts w:eastAsia="Times New Roman"/>
            </w:rPr>
            <w:t>, 110(9), pp. 3245–3252. doi:10.1182/blood-2007-02-072934.</w:t>
          </w:r>
        </w:p>
        <w:p w14:paraId="62B80EBE" w14:textId="77777777" w:rsidR="00F257B9" w:rsidRDefault="00F257B9">
          <w:pPr>
            <w:divId w:val="1955213606"/>
            <w:rPr>
              <w:rFonts w:eastAsia="Times New Roman"/>
            </w:rPr>
          </w:pPr>
          <w:proofErr w:type="spellStart"/>
          <w:r>
            <w:rPr>
              <w:rFonts w:eastAsia="Times New Roman"/>
            </w:rPr>
            <w:t>Maimaitijiang</w:t>
          </w:r>
          <w:proofErr w:type="spellEnd"/>
          <w:r>
            <w:rPr>
              <w:rFonts w:eastAsia="Times New Roman"/>
            </w:rPr>
            <w:t xml:space="preserve">, G. </w:t>
          </w:r>
          <w:r>
            <w:rPr>
              <w:rFonts w:eastAsia="Times New Roman"/>
              <w:i/>
              <w:iCs/>
            </w:rPr>
            <w:t>et al.</w:t>
          </w:r>
          <w:r>
            <w:rPr>
              <w:rFonts w:eastAsia="Times New Roman"/>
            </w:rPr>
            <w:t xml:space="preserve"> (2019) “Long-term use of interferon-β in multiple sclerosis increases Vδ1-Vδ2-Vγ9- </w:t>
          </w:r>
          <w:proofErr w:type="spellStart"/>
          <w:r>
            <w:rPr>
              <w:rFonts w:eastAsia="Times New Roman"/>
            </w:rPr>
            <w:t>γδ</w:t>
          </w:r>
          <w:proofErr w:type="spellEnd"/>
          <w:r>
            <w:rPr>
              <w:rFonts w:eastAsia="Times New Roman"/>
            </w:rPr>
            <w:t xml:space="preserve"> T cells that are associated with a better outcome,” </w:t>
          </w:r>
          <w:r>
            <w:rPr>
              <w:rFonts w:eastAsia="Times New Roman"/>
              <w:i/>
              <w:iCs/>
            </w:rPr>
            <w:t>Journal of neuroinflammation</w:t>
          </w:r>
          <w:r>
            <w:rPr>
              <w:rFonts w:eastAsia="Times New Roman"/>
            </w:rPr>
            <w:t>, 16(1), p. 179. doi:10.1186/s12974-019-1574-5.</w:t>
          </w:r>
        </w:p>
        <w:p w14:paraId="4A1A7D3E" w14:textId="77777777" w:rsidR="00F257B9" w:rsidRDefault="00F257B9">
          <w:pPr>
            <w:divId w:val="556819452"/>
            <w:rPr>
              <w:rFonts w:eastAsia="Times New Roman"/>
            </w:rPr>
          </w:pPr>
          <w:r>
            <w:rPr>
              <w:rFonts w:eastAsia="Times New Roman"/>
            </w:rPr>
            <w:t xml:space="preserve">Manning, M.W., Cassis, L.A. and Daugherty, A. (2003) “Differential effects of doxycycline, a broad-spectrum matrix metalloproteinase inhibitor, on angiotensin II-induced atherosclerosis and abdominal aortic aneurysms,” </w:t>
          </w:r>
          <w:r>
            <w:rPr>
              <w:rFonts w:eastAsia="Times New Roman"/>
              <w:i/>
              <w:iCs/>
            </w:rPr>
            <w:t>Arteriosclerosis, Thrombosis, and Vascular Biology</w:t>
          </w:r>
          <w:r>
            <w:rPr>
              <w:rFonts w:eastAsia="Times New Roman"/>
            </w:rPr>
            <w:t xml:space="preserve">, 23(3), pp. 483–488. </w:t>
          </w:r>
          <w:proofErr w:type="gramStart"/>
          <w:r>
            <w:rPr>
              <w:rFonts w:eastAsia="Times New Roman"/>
            </w:rPr>
            <w:t>doi:10.1161/01.ATV</w:t>
          </w:r>
          <w:proofErr w:type="gramEnd"/>
          <w:r>
            <w:rPr>
              <w:rFonts w:eastAsia="Times New Roman"/>
            </w:rPr>
            <w:t>.0000058404.92759.32.</w:t>
          </w:r>
        </w:p>
        <w:p w14:paraId="754394C7" w14:textId="77777777" w:rsidR="00F257B9" w:rsidRDefault="00F257B9">
          <w:pPr>
            <w:divId w:val="1582519412"/>
            <w:rPr>
              <w:rFonts w:eastAsia="Times New Roman"/>
            </w:rPr>
          </w:pPr>
          <w:proofErr w:type="spellStart"/>
          <w:r>
            <w:rPr>
              <w:rFonts w:eastAsia="Times New Roman"/>
            </w:rPr>
            <w:t>Matsuguchi</w:t>
          </w:r>
          <w:proofErr w:type="spellEnd"/>
          <w:r>
            <w:rPr>
              <w:rFonts w:eastAsia="Times New Roman"/>
            </w:rPr>
            <w:t xml:space="preserve">, T. </w:t>
          </w:r>
          <w:r>
            <w:rPr>
              <w:rFonts w:eastAsia="Times New Roman"/>
              <w:i/>
              <w:iCs/>
            </w:rPr>
            <w:t>et al.</w:t>
          </w:r>
          <w:r>
            <w:rPr>
              <w:rFonts w:eastAsia="Times New Roman"/>
            </w:rPr>
            <w:t xml:space="preserve"> (2000) “Gene Expressions of Toll-Like Receptor 2, But no Toll-Like-Receptor 4, Is induced by LPS and Inflammatory Cytokines in Mouse Macrophages,” </w:t>
          </w:r>
          <w:r>
            <w:rPr>
              <w:rFonts w:eastAsia="Times New Roman"/>
              <w:i/>
              <w:iCs/>
            </w:rPr>
            <w:t>J Immunol References</w:t>
          </w:r>
          <w:r>
            <w:rPr>
              <w:rFonts w:eastAsia="Times New Roman"/>
            </w:rPr>
            <w:t>, 165, pp. 5767–5772. doi:10.4049/jimmunol.165.10.5767.</w:t>
          </w:r>
        </w:p>
        <w:p w14:paraId="3CAF8DA7" w14:textId="77777777" w:rsidR="00F257B9" w:rsidRDefault="00F257B9">
          <w:pPr>
            <w:divId w:val="279606409"/>
            <w:rPr>
              <w:rFonts w:eastAsia="Times New Roman"/>
            </w:rPr>
          </w:pPr>
          <w:r>
            <w:rPr>
              <w:rFonts w:eastAsia="Times New Roman"/>
            </w:rPr>
            <w:t xml:space="preserve">Matsushima, N. </w:t>
          </w:r>
          <w:r>
            <w:rPr>
              <w:rFonts w:eastAsia="Times New Roman"/>
              <w:i/>
              <w:iCs/>
            </w:rPr>
            <w:t>et al.</w:t>
          </w:r>
          <w:r>
            <w:rPr>
              <w:rFonts w:eastAsia="Times New Roman"/>
            </w:rPr>
            <w:t xml:space="preserve"> (2007) “Comparative sequence analysis of leucine-rich repeats (LRRs) within vertebrate toll-like receptors,” </w:t>
          </w:r>
          <w:r>
            <w:rPr>
              <w:rFonts w:eastAsia="Times New Roman"/>
              <w:i/>
              <w:iCs/>
            </w:rPr>
            <w:t>BMC Genomics</w:t>
          </w:r>
          <w:r>
            <w:rPr>
              <w:rFonts w:eastAsia="Times New Roman"/>
            </w:rPr>
            <w:t>, 8(1), p. 124. doi:10.1186/1471-2164-8-124.</w:t>
          </w:r>
        </w:p>
        <w:p w14:paraId="35DA2725" w14:textId="77777777" w:rsidR="00F257B9" w:rsidRDefault="00F257B9">
          <w:pPr>
            <w:divId w:val="1341198547"/>
            <w:rPr>
              <w:rFonts w:eastAsia="Times New Roman"/>
            </w:rPr>
          </w:pPr>
          <w:proofErr w:type="spellStart"/>
          <w:r>
            <w:rPr>
              <w:rFonts w:eastAsia="Times New Roman"/>
            </w:rPr>
            <w:t>Medzhitov</w:t>
          </w:r>
          <w:proofErr w:type="spellEnd"/>
          <w:r>
            <w:rPr>
              <w:rFonts w:eastAsia="Times New Roman"/>
            </w:rPr>
            <w:t xml:space="preserve">, R., Preston-Hurlburt, P. and Janeway, C.A. (1997) “A human homologue of the Drosophila toll protein signals activation of adaptive immunity,” </w:t>
          </w:r>
          <w:r>
            <w:rPr>
              <w:rFonts w:eastAsia="Times New Roman"/>
              <w:i/>
              <w:iCs/>
            </w:rPr>
            <w:t>Nature</w:t>
          </w:r>
          <w:r>
            <w:rPr>
              <w:rFonts w:eastAsia="Times New Roman"/>
            </w:rPr>
            <w:t>, 388(6640), pp. 394–397. doi:10.1038/41131.</w:t>
          </w:r>
        </w:p>
        <w:p w14:paraId="0D1C8A5D" w14:textId="77777777" w:rsidR="00F257B9" w:rsidRDefault="00F257B9">
          <w:pPr>
            <w:divId w:val="1981617186"/>
            <w:rPr>
              <w:rFonts w:eastAsia="Times New Roman"/>
            </w:rPr>
          </w:pPr>
          <w:r>
            <w:rPr>
              <w:rFonts w:eastAsia="Times New Roman"/>
            </w:rPr>
            <w:t xml:space="preserve">Mi, S.J. and Lee, J.O. (2008) “Application of hybrid LRR technique to protein crystallization,” </w:t>
          </w:r>
          <w:r>
            <w:rPr>
              <w:rFonts w:eastAsia="Times New Roman"/>
              <w:i/>
              <w:iCs/>
            </w:rPr>
            <w:t>Journal of Biochemistry and Molecular Biology</w:t>
          </w:r>
          <w:r>
            <w:rPr>
              <w:rFonts w:eastAsia="Times New Roman"/>
            </w:rPr>
            <w:t>. Korean Society for Biochemistry and Molecular Biology, pp. 353–357. doi:10.5483/bmbrep.2008.41.5.353.</w:t>
          </w:r>
        </w:p>
        <w:p w14:paraId="1AF4D60C" w14:textId="77777777" w:rsidR="00F257B9" w:rsidRDefault="00F257B9">
          <w:pPr>
            <w:divId w:val="1591549708"/>
            <w:rPr>
              <w:rFonts w:eastAsia="Times New Roman"/>
            </w:rPr>
          </w:pPr>
          <w:r>
            <w:rPr>
              <w:rFonts w:eastAsia="Times New Roman"/>
            </w:rPr>
            <w:lastRenderedPageBreak/>
            <w:t xml:space="preserve">Michel, T. </w:t>
          </w:r>
          <w:r>
            <w:rPr>
              <w:rFonts w:eastAsia="Times New Roman"/>
              <w:i/>
              <w:iCs/>
            </w:rPr>
            <w:t>et al.</w:t>
          </w:r>
          <w:r>
            <w:rPr>
              <w:rFonts w:eastAsia="Times New Roman"/>
            </w:rPr>
            <w:t xml:space="preserve"> (2001) “Drosophila Toll is activated by Gram-positive bacteria through a circulating peptidoglycan recognition protein,” </w:t>
          </w:r>
          <w:r>
            <w:rPr>
              <w:rFonts w:eastAsia="Times New Roman"/>
              <w:i/>
              <w:iCs/>
            </w:rPr>
            <w:t>Nature</w:t>
          </w:r>
          <w:r>
            <w:rPr>
              <w:rFonts w:eastAsia="Times New Roman"/>
            </w:rPr>
            <w:t>, 414(6865), pp. 756–759. doi:10.1038/414756a.</w:t>
          </w:r>
        </w:p>
        <w:p w14:paraId="3DC4500B" w14:textId="77777777" w:rsidR="00F257B9" w:rsidRDefault="00F257B9">
          <w:pPr>
            <w:divId w:val="678700416"/>
            <w:rPr>
              <w:rFonts w:eastAsia="Times New Roman"/>
            </w:rPr>
          </w:pPr>
          <w:r>
            <w:rPr>
              <w:rFonts w:eastAsia="Times New Roman"/>
            </w:rPr>
            <w:t xml:space="preserve">Michelsen, K.S. </w:t>
          </w:r>
          <w:r>
            <w:rPr>
              <w:rFonts w:eastAsia="Times New Roman"/>
              <w:i/>
              <w:iCs/>
            </w:rPr>
            <w:t>et al.</w:t>
          </w:r>
          <w:r>
            <w:rPr>
              <w:rFonts w:eastAsia="Times New Roman"/>
            </w:rPr>
            <w:t xml:space="preserve"> (2004) “Lack of Toll-like receptor 4 or myeloid differentiation factor 88 reduces atherosclerosis and alters plaque phenotype in mice deficient in apolipoprotein E.,” </w:t>
          </w:r>
          <w:r>
            <w:rPr>
              <w:rFonts w:eastAsia="Times New Roman"/>
              <w:i/>
              <w:iCs/>
            </w:rPr>
            <w:t>Proceedings of the National Academy of Sciences of the United States of America</w:t>
          </w:r>
          <w:r>
            <w:rPr>
              <w:rFonts w:eastAsia="Times New Roman"/>
            </w:rPr>
            <w:t>, 101(29), pp. 10679–84. doi:10.1073/pnas.0403249101.</w:t>
          </w:r>
        </w:p>
        <w:p w14:paraId="2F3F8CFD" w14:textId="77777777" w:rsidR="00F257B9" w:rsidRDefault="00F257B9">
          <w:pPr>
            <w:divId w:val="1067873152"/>
            <w:rPr>
              <w:rFonts w:eastAsia="Times New Roman"/>
            </w:rPr>
          </w:pPr>
          <w:proofErr w:type="spellStart"/>
          <w:r>
            <w:rPr>
              <w:rFonts w:eastAsia="Times New Roman"/>
            </w:rPr>
            <w:t>Miggin</w:t>
          </w:r>
          <w:proofErr w:type="spellEnd"/>
          <w:r>
            <w:rPr>
              <w:rFonts w:eastAsia="Times New Roman"/>
            </w:rPr>
            <w:t xml:space="preserve">, S.M. </w:t>
          </w:r>
          <w:r>
            <w:rPr>
              <w:rFonts w:eastAsia="Times New Roman"/>
              <w:i/>
              <w:iCs/>
            </w:rPr>
            <w:t>et al.</w:t>
          </w:r>
          <w:r>
            <w:rPr>
              <w:rFonts w:eastAsia="Times New Roman"/>
            </w:rPr>
            <w:t xml:space="preserve"> (2007) “NF-</w:t>
          </w:r>
          <w:proofErr w:type="spellStart"/>
          <w:r>
            <w:rPr>
              <w:rFonts w:eastAsia="Times New Roman"/>
            </w:rPr>
            <w:t>κB</w:t>
          </w:r>
          <w:proofErr w:type="spellEnd"/>
          <w:r>
            <w:rPr>
              <w:rFonts w:eastAsia="Times New Roman"/>
            </w:rPr>
            <w:t xml:space="preserve"> activation by the Toll-IL-1 receptor domain protein MyD88 adapter-like is regulated by caspase-1,” </w:t>
          </w:r>
          <w:r>
            <w:rPr>
              <w:rFonts w:eastAsia="Times New Roman"/>
              <w:i/>
              <w:iCs/>
            </w:rPr>
            <w:t>Proceedings of the National Academy of Sciences of the United States of America</w:t>
          </w:r>
          <w:r>
            <w:rPr>
              <w:rFonts w:eastAsia="Times New Roman"/>
            </w:rPr>
            <w:t>, 104(9), pp. 3372–3377. doi:10.1073/pnas.0608100104.</w:t>
          </w:r>
        </w:p>
        <w:p w14:paraId="34109B54" w14:textId="77777777" w:rsidR="00F257B9" w:rsidRDefault="00F257B9">
          <w:pPr>
            <w:divId w:val="430592192"/>
            <w:rPr>
              <w:rFonts w:eastAsia="Times New Roman"/>
            </w:rPr>
          </w:pPr>
          <w:r>
            <w:rPr>
              <w:rFonts w:eastAsia="Times New Roman"/>
            </w:rPr>
            <w:t xml:space="preserve">Miller, Y.I. </w:t>
          </w:r>
          <w:r>
            <w:rPr>
              <w:rFonts w:eastAsia="Times New Roman"/>
              <w:i/>
              <w:iCs/>
            </w:rPr>
            <w:t>et al.</w:t>
          </w:r>
          <w:r>
            <w:rPr>
              <w:rFonts w:eastAsia="Times New Roman"/>
            </w:rPr>
            <w:t xml:space="preserve"> (2005) “Toll-like receptor 4-dependent and -independent cytokine secretion induced by minimally oxidized low-density lipoprotein in macrophages.,” </w:t>
          </w:r>
          <w:r>
            <w:rPr>
              <w:rFonts w:eastAsia="Times New Roman"/>
              <w:i/>
              <w:iCs/>
            </w:rPr>
            <w:t>Arteriosclerosis, thrombosis, and vascular biology</w:t>
          </w:r>
          <w:r>
            <w:rPr>
              <w:rFonts w:eastAsia="Times New Roman"/>
            </w:rPr>
            <w:t xml:space="preserve">, 25(6), pp. 1213–9. </w:t>
          </w:r>
          <w:proofErr w:type="gramStart"/>
          <w:r>
            <w:rPr>
              <w:rFonts w:eastAsia="Times New Roman"/>
            </w:rPr>
            <w:t>doi:10.1161/01.ATV</w:t>
          </w:r>
          <w:proofErr w:type="gramEnd"/>
          <w:r>
            <w:rPr>
              <w:rFonts w:eastAsia="Times New Roman"/>
            </w:rPr>
            <w:t>.0000159891.73193.31.</w:t>
          </w:r>
        </w:p>
        <w:p w14:paraId="7C23C20C" w14:textId="77777777" w:rsidR="00F257B9" w:rsidRDefault="00F257B9">
          <w:pPr>
            <w:divId w:val="1804930428"/>
            <w:rPr>
              <w:rFonts w:eastAsia="Times New Roman"/>
            </w:rPr>
          </w:pPr>
          <w:r>
            <w:rPr>
              <w:rFonts w:eastAsia="Times New Roman"/>
            </w:rPr>
            <w:t xml:space="preserve">Miller, Y.I. </w:t>
          </w:r>
          <w:r>
            <w:rPr>
              <w:rFonts w:eastAsia="Times New Roman"/>
              <w:i/>
              <w:iCs/>
            </w:rPr>
            <w:t>et al.</w:t>
          </w:r>
          <w:r>
            <w:rPr>
              <w:rFonts w:eastAsia="Times New Roman"/>
            </w:rPr>
            <w:t xml:space="preserve"> (2012) “The SYK side of TLR4: signalling mechanisms in response to LPS and minimally oxidized LDL,” </w:t>
          </w:r>
          <w:r>
            <w:rPr>
              <w:rFonts w:eastAsia="Times New Roman"/>
              <w:i/>
              <w:iCs/>
            </w:rPr>
            <w:t>British Journal of Pharmacology</w:t>
          </w:r>
          <w:r>
            <w:rPr>
              <w:rFonts w:eastAsia="Times New Roman"/>
            </w:rPr>
            <w:t>, 167(5), pp. 990–999. doi:10.1111/j.1476-5381.2012.</w:t>
          </w:r>
          <w:proofErr w:type="gramStart"/>
          <w:r>
            <w:rPr>
              <w:rFonts w:eastAsia="Times New Roman"/>
            </w:rPr>
            <w:t>02097.x.</w:t>
          </w:r>
          <w:proofErr w:type="gramEnd"/>
        </w:p>
        <w:p w14:paraId="02D85314" w14:textId="77777777" w:rsidR="00F257B9" w:rsidRDefault="00F257B9">
          <w:pPr>
            <w:divId w:val="1486162122"/>
            <w:rPr>
              <w:rFonts w:eastAsia="Times New Roman"/>
            </w:rPr>
          </w:pPr>
          <w:r>
            <w:rPr>
              <w:rFonts w:eastAsia="Times New Roman"/>
            </w:rPr>
            <w:t xml:space="preserve">Miller, Y.I. and </w:t>
          </w:r>
          <w:proofErr w:type="spellStart"/>
          <w:r>
            <w:rPr>
              <w:rFonts w:eastAsia="Times New Roman"/>
            </w:rPr>
            <w:t>Shyy</w:t>
          </w:r>
          <w:proofErr w:type="spellEnd"/>
          <w:r>
            <w:rPr>
              <w:rFonts w:eastAsia="Times New Roman"/>
            </w:rPr>
            <w:t xml:space="preserve">, J.Y.J. (2017) “Context-Dependent Role of Oxidized Lipids and Lipoproteins in Inflammation,” </w:t>
          </w:r>
          <w:r>
            <w:rPr>
              <w:rFonts w:eastAsia="Times New Roman"/>
              <w:i/>
              <w:iCs/>
            </w:rPr>
            <w:t>Trends in Endocrinology and Metabolism</w:t>
          </w:r>
          <w:r>
            <w:rPr>
              <w:rFonts w:eastAsia="Times New Roman"/>
            </w:rPr>
            <w:t xml:space="preserve">. Elsevier Inc., pp. 143–152. </w:t>
          </w:r>
          <w:proofErr w:type="gramStart"/>
          <w:r>
            <w:rPr>
              <w:rFonts w:eastAsia="Times New Roman"/>
            </w:rPr>
            <w:t>doi:10.1016/j.tem</w:t>
          </w:r>
          <w:proofErr w:type="gramEnd"/>
          <w:r>
            <w:rPr>
              <w:rFonts w:eastAsia="Times New Roman"/>
            </w:rPr>
            <w:t>.2016.11.002.</w:t>
          </w:r>
        </w:p>
        <w:p w14:paraId="3FF7DE89" w14:textId="77777777" w:rsidR="00F257B9" w:rsidRDefault="00F257B9">
          <w:pPr>
            <w:divId w:val="641811919"/>
            <w:rPr>
              <w:rFonts w:eastAsia="Times New Roman"/>
            </w:rPr>
          </w:pPr>
          <w:r>
            <w:rPr>
              <w:rFonts w:eastAsia="Times New Roman"/>
            </w:rPr>
            <w:t xml:space="preserve">Mueller, M. </w:t>
          </w:r>
          <w:r>
            <w:rPr>
              <w:rFonts w:eastAsia="Times New Roman"/>
              <w:i/>
              <w:iCs/>
            </w:rPr>
            <w:t>et al.</w:t>
          </w:r>
          <w:r>
            <w:rPr>
              <w:rFonts w:eastAsia="Times New Roman"/>
            </w:rPr>
            <w:t xml:space="preserve"> (2004) “Aggregates Are the Biologically Active Units of Endotoxin *,” </w:t>
          </w:r>
          <w:r>
            <w:rPr>
              <w:rFonts w:eastAsia="Times New Roman"/>
              <w:i/>
              <w:iCs/>
            </w:rPr>
            <w:t>Journal of Biological Chemistry</w:t>
          </w:r>
          <w:r>
            <w:rPr>
              <w:rFonts w:eastAsia="Times New Roman"/>
            </w:rPr>
            <w:t>, 279(25), pp. 26307–26313. doi:10.1074/JBC.M401231200.</w:t>
          </w:r>
        </w:p>
        <w:p w14:paraId="2321176C" w14:textId="77777777" w:rsidR="00F257B9" w:rsidRDefault="00F257B9">
          <w:pPr>
            <w:divId w:val="775179376"/>
            <w:rPr>
              <w:rFonts w:eastAsia="Times New Roman"/>
            </w:rPr>
          </w:pPr>
          <w:r>
            <w:rPr>
              <w:rFonts w:eastAsia="Times New Roman"/>
            </w:rPr>
            <w:t xml:space="preserve">Murray, G.L., </w:t>
          </w:r>
          <w:proofErr w:type="spellStart"/>
          <w:r>
            <w:rPr>
              <w:rFonts w:eastAsia="Times New Roman"/>
            </w:rPr>
            <w:t>Attridge</w:t>
          </w:r>
          <w:proofErr w:type="spellEnd"/>
          <w:r>
            <w:rPr>
              <w:rFonts w:eastAsia="Times New Roman"/>
            </w:rPr>
            <w:t xml:space="preserve">, S.R. and Morona, R. (2006) “Altering the Length of the Lipopolysaccharide O Antigen Has an Impact on the Interaction of Salmonella enterica Serovar Typhimurium with Macrophages and Complement Downloaded from,” </w:t>
          </w:r>
          <w:r>
            <w:rPr>
              <w:rFonts w:eastAsia="Times New Roman"/>
              <w:i/>
              <w:iCs/>
            </w:rPr>
            <w:t>JOURNAL OF BACTERIOLOGY</w:t>
          </w:r>
          <w:r>
            <w:rPr>
              <w:rFonts w:eastAsia="Times New Roman"/>
            </w:rPr>
            <w:t>, 188(7), pp. 2735–2739. doi:10.1128/JB.188.7.2735-2739.2006.</w:t>
          </w:r>
        </w:p>
        <w:p w14:paraId="478C590F" w14:textId="77777777" w:rsidR="00F257B9" w:rsidRDefault="00F257B9">
          <w:pPr>
            <w:divId w:val="1954706495"/>
            <w:rPr>
              <w:rFonts w:eastAsia="Times New Roman"/>
            </w:rPr>
          </w:pPr>
          <w:r>
            <w:rPr>
              <w:rFonts w:eastAsia="Times New Roman"/>
            </w:rPr>
            <w:lastRenderedPageBreak/>
            <w:t xml:space="preserve">Murray, P.J. </w:t>
          </w:r>
          <w:r>
            <w:rPr>
              <w:rFonts w:eastAsia="Times New Roman"/>
              <w:i/>
              <w:iCs/>
            </w:rPr>
            <w:t>et al.</w:t>
          </w:r>
          <w:r>
            <w:rPr>
              <w:rFonts w:eastAsia="Times New Roman"/>
            </w:rPr>
            <w:t xml:space="preserve"> (2014) “Macrophage Activation and Polarization: Nomenclature and Experimental Guidelines,” </w:t>
          </w:r>
          <w:r>
            <w:rPr>
              <w:rFonts w:eastAsia="Times New Roman"/>
              <w:i/>
              <w:iCs/>
            </w:rPr>
            <w:t>Immunity</w:t>
          </w:r>
          <w:r>
            <w:rPr>
              <w:rFonts w:eastAsia="Times New Roman"/>
            </w:rPr>
            <w:t xml:space="preserve">. Cell Press, pp. 14–20. </w:t>
          </w:r>
          <w:proofErr w:type="gramStart"/>
          <w:r>
            <w:rPr>
              <w:rFonts w:eastAsia="Times New Roman"/>
            </w:rPr>
            <w:t>doi:10.1016/j.immuni</w:t>
          </w:r>
          <w:proofErr w:type="gramEnd"/>
          <w:r>
            <w:rPr>
              <w:rFonts w:eastAsia="Times New Roman"/>
            </w:rPr>
            <w:t>.2014.06.008.</w:t>
          </w:r>
        </w:p>
        <w:p w14:paraId="6E417195" w14:textId="77777777" w:rsidR="00F257B9" w:rsidRDefault="00F257B9">
          <w:pPr>
            <w:divId w:val="798650693"/>
            <w:rPr>
              <w:rFonts w:eastAsia="Times New Roman"/>
            </w:rPr>
          </w:pPr>
          <w:r>
            <w:rPr>
              <w:rFonts w:eastAsia="Times New Roman"/>
            </w:rPr>
            <w:t xml:space="preserve">Nagai, Y. </w:t>
          </w:r>
          <w:r>
            <w:rPr>
              <w:rFonts w:eastAsia="Times New Roman"/>
              <w:i/>
              <w:iCs/>
            </w:rPr>
            <w:t>et al.</w:t>
          </w:r>
          <w:r>
            <w:rPr>
              <w:rFonts w:eastAsia="Times New Roman"/>
            </w:rPr>
            <w:t xml:space="preserve"> (2002) “Essential role of MD-2 in LPS responsiveness and TLR4 distribution,” </w:t>
          </w:r>
          <w:r>
            <w:rPr>
              <w:rFonts w:eastAsia="Times New Roman"/>
              <w:i/>
              <w:iCs/>
            </w:rPr>
            <w:t>Nature Immunology</w:t>
          </w:r>
          <w:r>
            <w:rPr>
              <w:rFonts w:eastAsia="Times New Roman"/>
            </w:rPr>
            <w:t>, 3(7), pp. 667–672. doi:10.1038/ni809.</w:t>
          </w:r>
        </w:p>
        <w:p w14:paraId="5FAF58DD" w14:textId="77777777" w:rsidR="00F257B9" w:rsidRDefault="00F257B9">
          <w:pPr>
            <w:divId w:val="256644041"/>
            <w:rPr>
              <w:rFonts w:eastAsia="Times New Roman"/>
            </w:rPr>
          </w:pPr>
          <w:r>
            <w:rPr>
              <w:rFonts w:eastAsia="Times New Roman"/>
            </w:rPr>
            <w:t xml:space="preserve">Nakahara, H. </w:t>
          </w:r>
          <w:r>
            <w:rPr>
              <w:rFonts w:eastAsia="Times New Roman"/>
              <w:i/>
              <w:iCs/>
            </w:rPr>
            <w:t>et al.</w:t>
          </w:r>
          <w:r>
            <w:rPr>
              <w:rFonts w:eastAsia="Times New Roman"/>
            </w:rPr>
            <w:t xml:space="preserve"> (2003) “Anti-interleukin-6 receptor antibody therapy reduces vascular endothelial growth factor production in rheumatoid arthritis,” </w:t>
          </w:r>
          <w:r>
            <w:rPr>
              <w:rFonts w:eastAsia="Times New Roman"/>
              <w:i/>
              <w:iCs/>
            </w:rPr>
            <w:t>Arthritis &amp; Rheumatism</w:t>
          </w:r>
          <w:r>
            <w:rPr>
              <w:rFonts w:eastAsia="Times New Roman"/>
            </w:rPr>
            <w:t>, 48(6), pp. 1521–1529. doi:10.1002/art.11143.</w:t>
          </w:r>
        </w:p>
        <w:p w14:paraId="64F0FA50" w14:textId="77777777" w:rsidR="00F257B9" w:rsidRDefault="00F257B9">
          <w:pPr>
            <w:divId w:val="317074963"/>
            <w:rPr>
              <w:rFonts w:eastAsia="Times New Roman"/>
            </w:rPr>
          </w:pPr>
          <w:proofErr w:type="spellStart"/>
          <w:r>
            <w:rPr>
              <w:rFonts w:eastAsia="Times New Roman"/>
            </w:rPr>
            <w:t>Nathe</w:t>
          </w:r>
          <w:proofErr w:type="spellEnd"/>
          <w:r>
            <w:rPr>
              <w:rFonts w:eastAsia="Times New Roman"/>
            </w:rPr>
            <w:t xml:space="preserve">, T.J. </w:t>
          </w:r>
          <w:r>
            <w:rPr>
              <w:rFonts w:eastAsia="Times New Roman"/>
              <w:i/>
              <w:iCs/>
            </w:rPr>
            <w:t>et al.</w:t>
          </w:r>
          <w:r>
            <w:rPr>
              <w:rFonts w:eastAsia="Times New Roman"/>
            </w:rPr>
            <w:t xml:space="preserve"> (2002) “Interleukin-1β inhibits expression of p21(WAF1/CIP1) and p27(KIP1) and enhances proliferation in response to platelet-derived growth factor-BB in smooth muscle cells,” </w:t>
          </w:r>
          <w:r>
            <w:rPr>
              <w:rFonts w:eastAsia="Times New Roman"/>
              <w:i/>
              <w:iCs/>
            </w:rPr>
            <w:t>Arteriosclerosis, Thrombosis, and Vascular Biology</w:t>
          </w:r>
          <w:r>
            <w:rPr>
              <w:rFonts w:eastAsia="Times New Roman"/>
            </w:rPr>
            <w:t xml:space="preserve">, 22(8), pp. 1293–1298. </w:t>
          </w:r>
          <w:proofErr w:type="gramStart"/>
          <w:r>
            <w:rPr>
              <w:rFonts w:eastAsia="Times New Roman"/>
            </w:rPr>
            <w:t>doi:10.1161/01.ATV</w:t>
          </w:r>
          <w:proofErr w:type="gramEnd"/>
          <w:r>
            <w:rPr>
              <w:rFonts w:eastAsia="Times New Roman"/>
            </w:rPr>
            <w:t>.0000023428.69244.49.</w:t>
          </w:r>
        </w:p>
        <w:p w14:paraId="0BBFBBB6" w14:textId="77777777" w:rsidR="00F257B9" w:rsidRDefault="00F257B9">
          <w:pPr>
            <w:divId w:val="615673066"/>
            <w:rPr>
              <w:rFonts w:eastAsia="Times New Roman"/>
            </w:rPr>
          </w:pPr>
          <w:proofErr w:type="spellStart"/>
          <w:r>
            <w:rPr>
              <w:rFonts w:eastAsia="Times New Roman"/>
            </w:rPr>
            <w:t>Nimma</w:t>
          </w:r>
          <w:proofErr w:type="spellEnd"/>
          <w:r>
            <w:rPr>
              <w:rFonts w:eastAsia="Times New Roman"/>
            </w:rPr>
            <w:t xml:space="preserve">, S. </w:t>
          </w:r>
          <w:r>
            <w:rPr>
              <w:rFonts w:eastAsia="Times New Roman"/>
              <w:i/>
              <w:iCs/>
            </w:rPr>
            <w:t>et al.</w:t>
          </w:r>
          <w:r>
            <w:rPr>
              <w:rFonts w:eastAsia="Times New Roman"/>
            </w:rPr>
            <w:t xml:space="preserve"> (2017) “Towards the structure of the TIR-domain signalosome,” </w:t>
          </w:r>
          <w:r>
            <w:rPr>
              <w:rFonts w:eastAsia="Times New Roman"/>
              <w:i/>
              <w:iCs/>
            </w:rPr>
            <w:t>Current Opinion in Structural Biology</w:t>
          </w:r>
          <w:r>
            <w:rPr>
              <w:rFonts w:eastAsia="Times New Roman"/>
            </w:rPr>
            <w:t xml:space="preserve">, 43, pp. 122–130. </w:t>
          </w:r>
          <w:proofErr w:type="gramStart"/>
          <w:r>
            <w:rPr>
              <w:rFonts w:eastAsia="Times New Roman"/>
            </w:rPr>
            <w:t>doi:10.1016/J.SBI</w:t>
          </w:r>
          <w:proofErr w:type="gramEnd"/>
          <w:r>
            <w:rPr>
              <w:rFonts w:eastAsia="Times New Roman"/>
            </w:rPr>
            <w:t>.2016.12.014.</w:t>
          </w:r>
        </w:p>
        <w:p w14:paraId="5590F721" w14:textId="77777777" w:rsidR="00F257B9" w:rsidRDefault="00F257B9">
          <w:pPr>
            <w:divId w:val="1683819955"/>
            <w:rPr>
              <w:rFonts w:eastAsia="Times New Roman"/>
            </w:rPr>
          </w:pPr>
          <w:proofErr w:type="spellStart"/>
          <w:r>
            <w:rPr>
              <w:rFonts w:eastAsia="Times New Roman"/>
            </w:rPr>
            <w:t>Oblak</w:t>
          </w:r>
          <w:proofErr w:type="spellEnd"/>
          <w:r>
            <w:rPr>
              <w:rFonts w:eastAsia="Times New Roman"/>
            </w:rPr>
            <w:t xml:space="preserve">, A. and </w:t>
          </w:r>
          <w:proofErr w:type="spellStart"/>
          <w:r>
            <w:rPr>
              <w:rFonts w:eastAsia="Times New Roman"/>
            </w:rPr>
            <w:t>Jerala</w:t>
          </w:r>
          <w:proofErr w:type="spellEnd"/>
          <w:r>
            <w:rPr>
              <w:rFonts w:eastAsia="Times New Roman"/>
            </w:rPr>
            <w:t xml:space="preserve">, R. (2015) “The molecular mechanism of species-specific recognition of lipopolysaccharides by the MD-2/TLR4 receptor complex,” </w:t>
          </w:r>
          <w:r>
            <w:rPr>
              <w:rFonts w:eastAsia="Times New Roman"/>
              <w:i/>
              <w:iCs/>
            </w:rPr>
            <w:t>Molecular Immunology</w:t>
          </w:r>
          <w:r>
            <w:rPr>
              <w:rFonts w:eastAsia="Times New Roman"/>
            </w:rPr>
            <w:t xml:space="preserve">, 63(2), pp. 134–142. </w:t>
          </w:r>
          <w:proofErr w:type="gramStart"/>
          <w:r>
            <w:rPr>
              <w:rFonts w:eastAsia="Times New Roman"/>
            </w:rPr>
            <w:t>doi:10.1016/J.MOLIMM</w:t>
          </w:r>
          <w:proofErr w:type="gramEnd"/>
          <w:r>
            <w:rPr>
              <w:rFonts w:eastAsia="Times New Roman"/>
            </w:rPr>
            <w:t>.2014.06.034.</w:t>
          </w:r>
        </w:p>
        <w:p w14:paraId="356587CD" w14:textId="77777777" w:rsidR="00F257B9" w:rsidRDefault="00F257B9">
          <w:pPr>
            <w:divId w:val="605189144"/>
            <w:rPr>
              <w:rFonts w:eastAsia="Times New Roman"/>
            </w:rPr>
          </w:pPr>
          <w:proofErr w:type="spellStart"/>
          <w:r>
            <w:rPr>
              <w:rFonts w:eastAsia="Times New Roman"/>
            </w:rPr>
            <w:t>Ohto</w:t>
          </w:r>
          <w:proofErr w:type="spellEnd"/>
          <w:r>
            <w:rPr>
              <w:rFonts w:eastAsia="Times New Roman"/>
            </w:rPr>
            <w:t xml:space="preserve">, U. </w:t>
          </w:r>
          <w:r>
            <w:rPr>
              <w:rFonts w:eastAsia="Times New Roman"/>
              <w:i/>
              <w:iCs/>
            </w:rPr>
            <w:t>et al.</w:t>
          </w:r>
          <w:r>
            <w:rPr>
              <w:rFonts w:eastAsia="Times New Roman"/>
            </w:rPr>
            <w:t xml:space="preserve"> (2012) “Structural basis of species-specific endotoxin sensing by innate immune receptor TLR4/MD-2.,” </w:t>
          </w:r>
          <w:r>
            <w:rPr>
              <w:rFonts w:eastAsia="Times New Roman"/>
              <w:i/>
              <w:iCs/>
            </w:rPr>
            <w:t>Proceedings of the National Academy of Sciences of the United States of America</w:t>
          </w:r>
          <w:r>
            <w:rPr>
              <w:rFonts w:eastAsia="Times New Roman"/>
            </w:rPr>
            <w:t>, 109(19), pp. 7421–6. doi:10.1073/pnas.1201193109.</w:t>
          </w:r>
        </w:p>
        <w:p w14:paraId="1317A302" w14:textId="77777777" w:rsidR="00F257B9" w:rsidRDefault="00F257B9">
          <w:pPr>
            <w:divId w:val="1422140162"/>
            <w:rPr>
              <w:rFonts w:eastAsia="Times New Roman"/>
            </w:rPr>
          </w:pPr>
          <w:r>
            <w:rPr>
              <w:rFonts w:eastAsia="Times New Roman"/>
            </w:rPr>
            <w:t xml:space="preserve">O’Neill, L.A.J., </w:t>
          </w:r>
          <w:proofErr w:type="spellStart"/>
          <w:r>
            <w:rPr>
              <w:rFonts w:eastAsia="Times New Roman"/>
            </w:rPr>
            <w:t>Golenbock</w:t>
          </w:r>
          <w:proofErr w:type="spellEnd"/>
          <w:r>
            <w:rPr>
              <w:rFonts w:eastAsia="Times New Roman"/>
            </w:rPr>
            <w:t xml:space="preserve">, D. and Bowie, A.G. (2013) “The history of Toll-like receptors-redefining innate immunity,” </w:t>
          </w:r>
          <w:r>
            <w:rPr>
              <w:rFonts w:eastAsia="Times New Roman"/>
              <w:i/>
              <w:iCs/>
            </w:rPr>
            <w:t>Nature Reviews Immunology</w:t>
          </w:r>
          <w:r>
            <w:rPr>
              <w:rFonts w:eastAsia="Times New Roman"/>
            </w:rPr>
            <w:t>. Nature Publishing Group, pp. 453–460. doi:10.1038/nri3446.</w:t>
          </w:r>
        </w:p>
        <w:p w14:paraId="0CD54DE9" w14:textId="77777777" w:rsidR="00F257B9" w:rsidRDefault="00F257B9">
          <w:pPr>
            <w:divId w:val="596595579"/>
            <w:rPr>
              <w:rFonts w:eastAsia="Times New Roman"/>
            </w:rPr>
          </w:pPr>
          <w:proofErr w:type="spellStart"/>
          <w:r>
            <w:rPr>
              <w:rFonts w:eastAsia="Times New Roman"/>
            </w:rPr>
            <w:lastRenderedPageBreak/>
            <w:t>Oosting</w:t>
          </w:r>
          <w:proofErr w:type="spellEnd"/>
          <w:r>
            <w:rPr>
              <w:rFonts w:eastAsia="Times New Roman"/>
            </w:rPr>
            <w:t xml:space="preserve">, M. </w:t>
          </w:r>
          <w:r>
            <w:rPr>
              <w:rFonts w:eastAsia="Times New Roman"/>
              <w:i/>
              <w:iCs/>
            </w:rPr>
            <w:t>et al.</w:t>
          </w:r>
          <w:r>
            <w:rPr>
              <w:rFonts w:eastAsia="Times New Roman"/>
            </w:rPr>
            <w:t xml:space="preserve"> (2014) “Human TLR10 is an anti-inflammatory pattern-recognition receptor,” </w:t>
          </w:r>
          <w:r>
            <w:rPr>
              <w:rFonts w:eastAsia="Times New Roman"/>
              <w:i/>
              <w:iCs/>
            </w:rPr>
            <w:t>Proceedings of the National Academy of Sciences of the United States of America</w:t>
          </w:r>
          <w:r>
            <w:rPr>
              <w:rFonts w:eastAsia="Times New Roman"/>
            </w:rPr>
            <w:t>, 111(42), pp. E4478–E4484. doi:10.1073/pnas.1410293111.</w:t>
          </w:r>
        </w:p>
        <w:p w14:paraId="6E1A9060" w14:textId="77777777" w:rsidR="00F257B9" w:rsidRDefault="00F257B9">
          <w:pPr>
            <w:divId w:val="652300649"/>
            <w:rPr>
              <w:rFonts w:eastAsia="Times New Roman"/>
            </w:rPr>
          </w:pPr>
          <w:r>
            <w:rPr>
              <w:rFonts w:eastAsia="Times New Roman"/>
            </w:rPr>
            <w:t xml:space="preserve">Opal, S.M. </w:t>
          </w:r>
          <w:r>
            <w:rPr>
              <w:rFonts w:eastAsia="Times New Roman"/>
              <w:i/>
              <w:iCs/>
            </w:rPr>
            <w:t>et al.</w:t>
          </w:r>
          <w:r>
            <w:rPr>
              <w:rFonts w:eastAsia="Times New Roman"/>
            </w:rPr>
            <w:t xml:space="preserve"> (2013) “Effect of </w:t>
          </w:r>
          <w:proofErr w:type="spellStart"/>
          <w:r>
            <w:rPr>
              <w:rFonts w:eastAsia="Times New Roman"/>
            </w:rPr>
            <w:t>eritoran</w:t>
          </w:r>
          <w:proofErr w:type="spellEnd"/>
          <w:r>
            <w:rPr>
              <w:rFonts w:eastAsia="Times New Roman"/>
            </w:rPr>
            <w:t xml:space="preserve">, an antagonist of MD2-TLR4, on mortality in patients with severe sepsis: The ACCESS randomized trial,” </w:t>
          </w:r>
          <w:r>
            <w:rPr>
              <w:rFonts w:eastAsia="Times New Roman"/>
              <w:i/>
              <w:iCs/>
            </w:rPr>
            <w:t>JAMA - Journal of the American Medical Association</w:t>
          </w:r>
          <w:r>
            <w:rPr>
              <w:rFonts w:eastAsia="Times New Roman"/>
            </w:rPr>
            <w:t>, 309(11), pp. 1154–1162. doi:10.1001/jama.2013.2194.</w:t>
          </w:r>
        </w:p>
        <w:p w14:paraId="0C219D94" w14:textId="77777777" w:rsidR="00F257B9" w:rsidRDefault="00F257B9">
          <w:pPr>
            <w:divId w:val="1457211818"/>
            <w:rPr>
              <w:rFonts w:eastAsia="Times New Roman"/>
            </w:rPr>
          </w:pPr>
          <w:proofErr w:type="spellStart"/>
          <w:r>
            <w:rPr>
              <w:rFonts w:eastAsia="Times New Roman"/>
            </w:rPr>
            <w:t>Orecchioni</w:t>
          </w:r>
          <w:proofErr w:type="spellEnd"/>
          <w:r>
            <w:rPr>
              <w:rFonts w:eastAsia="Times New Roman"/>
            </w:rPr>
            <w:t xml:space="preserve">, M. </w:t>
          </w:r>
          <w:r>
            <w:rPr>
              <w:rFonts w:eastAsia="Times New Roman"/>
              <w:i/>
              <w:iCs/>
            </w:rPr>
            <w:t>et al.</w:t>
          </w:r>
          <w:r>
            <w:rPr>
              <w:rFonts w:eastAsia="Times New Roman"/>
            </w:rPr>
            <w:t xml:space="preserve"> (2019) “Macrophage polarization: Different gene signatures in M1(</w:t>
          </w:r>
          <w:proofErr w:type="spellStart"/>
          <w:r>
            <w:rPr>
              <w:rFonts w:eastAsia="Times New Roman"/>
            </w:rPr>
            <w:t>Lps</w:t>
          </w:r>
          <w:proofErr w:type="spellEnd"/>
          <w:r>
            <w:rPr>
              <w:rFonts w:eastAsia="Times New Roman"/>
            </w:rPr>
            <w:t xml:space="preserve">+) vs. Classically and M2(LPS-) vs. Alternatively activated macrophages,” </w:t>
          </w:r>
          <w:r>
            <w:rPr>
              <w:rFonts w:eastAsia="Times New Roman"/>
              <w:i/>
              <w:iCs/>
            </w:rPr>
            <w:t>Frontiers in Immunology</w:t>
          </w:r>
          <w:r>
            <w:rPr>
              <w:rFonts w:eastAsia="Times New Roman"/>
            </w:rPr>
            <w:t>. Frontiers Media S.A., p. 1084. doi:10.3389/fimmu.2019.01084.</w:t>
          </w:r>
        </w:p>
        <w:p w14:paraId="00A6DD0F" w14:textId="77777777" w:rsidR="00F257B9" w:rsidRDefault="00F257B9">
          <w:pPr>
            <w:divId w:val="600991512"/>
            <w:rPr>
              <w:rFonts w:eastAsia="Times New Roman"/>
            </w:rPr>
          </w:pPr>
          <w:r>
            <w:rPr>
              <w:rFonts w:eastAsia="Times New Roman"/>
            </w:rPr>
            <w:t xml:space="preserve">Owens, A.P. </w:t>
          </w:r>
          <w:r>
            <w:rPr>
              <w:rFonts w:eastAsia="Times New Roman"/>
              <w:i/>
              <w:iCs/>
            </w:rPr>
            <w:t>et al.</w:t>
          </w:r>
          <w:r>
            <w:rPr>
              <w:rFonts w:eastAsia="Times New Roman"/>
            </w:rPr>
            <w:t xml:space="preserve"> (2011) “MyD88 deficiency attenuates angiotensin II-induced abdominal aortic aneurysm formation independent of </w:t>
          </w:r>
          <w:proofErr w:type="spellStart"/>
          <w:r>
            <w:rPr>
              <w:rFonts w:eastAsia="Times New Roman"/>
            </w:rPr>
            <w:t>signaling</w:t>
          </w:r>
          <w:proofErr w:type="spellEnd"/>
          <w:r>
            <w:rPr>
              <w:rFonts w:eastAsia="Times New Roman"/>
            </w:rPr>
            <w:t xml:space="preserve"> through Toll-like receptors 2 and 4.,” </w:t>
          </w:r>
          <w:r>
            <w:rPr>
              <w:rFonts w:eastAsia="Times New Roman"/>
              <w:i/>
              <w:iCs/>
            </w:rPr>
            <w:t>Arteriosclerosis, thrombosis, and vascular biology</w:t>
          </w:r>
          <w:r>
            <w:rPr>
              <w:rFonts w:eastAsia="Times New Roman"/>
            </w:rPr>
            <w:t>, 31(12), pp. 2813–9. doi:10.1161/ATVBAHA.111.238642.</w:t>
          </w:r>
        </w:p>
        <w:p w14:paraId="1C7B34F6" w14:textId="77777777" w:rsidR="00F257B9" w:rsidRDefault="00F257B9">
          <w:pPr>
            <w:divId w:val="817497990"/>
            <w:rPr>
              <w:rFonts w:eastAsia="Times New Roman"/>
            </w:rPr>
          </w:pPr>
          <w:r>
            <w:rPr>
              <w:rFonts w:eastAsia="Times New Roman"/>
            </w:rPr>
            <w:t xml:space="preserve">Palmer, </w:t>
          </w:r>
          <w:proofErr w:type="spellStart"/>
          <w:r>
            <w:rPr>
              <w:rFonts w:eastAsia="Times New Roman"/>
            </w:rPr>
            <w:t>Charys</w:t>
          </w:r>
          <w:proofErr w:type="spellEnd"/>
          <w:r>
            <w:rPr>
              <w:rFonts w:eastAsia="Times New Roman"/>
            </w:rPr>
            <w:t xml:space="preserve"> </w:t>
          </w:r>
          <w:r>
            <w:rPr>
              <w:rFonts w:eastAsia="Times New Roman"/>
              <w:i/>
              <w:iCs/>
            </w:rPr>
            <w:t>et al.</w:t>
          </w:r>
          <w:r>
            <w:rPr>
              <w:rFonts w:eastAsia="Times New Roman"/>
            </w:rPr>
            <w:t xml:space="preserve"> (2018) “The synthetic glycolipid-based TLR4 antagonist FP7 negatively regulates </w:t>
          </w:r>
          <w:r>
            <w:rPr>
              <w:rFonts w:eastAsia="Times New Roman"/>
              <w:i/>
              <w:iCs/>
            </w:rPr>
            <w:t>in vitro</w:t>
          </w:r>
          <w:r>
            <w:rPr>
              <w:rFonts w:eastAsia="Times New Roman"/>
            </w:rPr>
            <w:t xml:space="preserve"> and </w:t>
          </w:r>
          <w:r>
            <w:rPr>
              <w:rFonts w:eastAsia="Times New Roman"/>
              <w:i/>
              <w:iCs/>
            </w:rPr>
            <w:t>in vivo</w:t>
          </w:r>
          <w:r>
            <w:rPr>
              <w:rFonts w:eastAsia="Times New Roman"/>
            </w:rPr>
            <w:t xml:space="preserve"> haematopoietic and non-haematopoietic vascular TLR4 signalling,” </w:t>
          </w:r>
          <w:r>
            <w:rPr>
              <w:rFonts w:eastAsia="Times New Roman"/>
              <w:i/>
              <w:iCs/>
            </w:rPr>
            <w:t>Innate Immunity</w:t>
          </w:r>
          <w:r>
            <w:rPr>
              <w:rFonts w:eastAsia="Times New Roman"/>
            </w:rPr>
            <w:t>, 24(7), pp. 411–421. doi:10.1177/1753425918798904.</w:t>
          </w:r>
        </w:p>
        <w:p w14:paraId="3DAB70CC" w14:textId="77777777" w:rsidR="00F257B9" w:rsidRDefault="00F257B9">
          <w:pPr>
            <w:divId w:val="687409037"/>
            <w:rPr>
              <w:rFonts w:eastAsia="Times New Roman"/>
            </w:rPr>
          </w:pPr>
          <w:r>
            <w:rPr>
              <w:rFonts w:eastAsia="Times New Roman"/>
            </w:rPr>
            <w:t xml:space="preserve">Palmer, C. </w:t>
          </w:r>
          <w:r>
            <w:rPr>
              <w:rFonts w:eastAsia="Times New Roman"/>
              <w:i/>
              <w:iCs/>
            </w:rPr>
            <w:t>et al.</w:t>
          </w:r>
          <w:r>
            <w:rPr>
              <w:rFonts w:eastAsia="Times New Roman"/>
            </w:rPr>
            <w:t xml:space="preserve"> (2018) “The synthetic glycolipid-based TLR4 antagonist FP7 negatively regulates in vitro and in vivo haematopoietic and non-haematopoietic vascular TLR4 signalling,” </w:t>
          </w:r>
          <w:r>
            <w:rPr>
              <w:rFonts w:eastAsia="Times New Roman"/>
              <w:i/>
              <w:iCs/>
            </w:rPr>
            <w:t>Innate Immunity</w:t>
          </w:r>
          <w:r>
            <w:rPr>
              <w:rFonts w:eastAsia="Times New Roman"/>
            </w:rPr>
            <w:t>, 24(7). doi:10.1177/1753425918798904.</w:t>
          </w:r>
        </w:p>
        <w:p w14:paraId="7513269F" w14:textId="77777777" w:rsidR="00F257B9" w:rsidRDefault="00F257B9">
          <w:pPr>
            <w:divId w:val="848759498"/>
            <w:rPr>
              <w:rFonts w:eastAsia="Times New Roman"/>
            </w:rPr>
          </w:pPr>
          <w:proofErr w:type="spellStart"/>
          <w:r>
            <w:rPr>
              <w:rFonts w:eastAsia="Times New Roman"/>
            </w:rPr>
            <w:t>Palozza</w:t>
          </w:r>
          <w:proofErr w:type="spellEnd"/>
          <w:r>
            <w:rPr>
              <w:rFonts w:eastAsia="Times New Roman"/>
            </w:rPr>
            <w:t xml:space="preserve">, P. </w:t>
          </w:r>
          <w:r>
            <w:rPr>
              <w:rFonts w:eastAsia="Times New Roman"/>
              <w:i/>
              <w:iCs/>
            </w:rPr>
            <w:t>et al.</w:t>
          </w:r>
          <w:r>
            <w:rPr>
              <w:rFonts w:eastAsia="Times New Roman"/>
            </w:rPr>
            <w:t xml:space="preserve"> (2011) “Lycopene prevention of oxysterol-induced proinflammatory cytokine cascade in human macrophages: inhibition of NF-</w:t>
          </w:r>
          <w:proofErr w:type="spellStart"/>
          <w:r>
            <w:rPr>
              <w:rFonts w:eastAsia="Times New Roman"/>
            </w:rPr>
            <w:t>κB</w:t>
          </w:r>
          <w:proofErr w:type="spellEnd"/>
          <w:r>
            <w:rPr>
              <w:rFonts w:eastAsia="Times New Roman"/>
            </w:rPr>
            <w:t xml:space="preserve"> nuclear binding and increase in </w:t>
          </w:r>
          <w:proofErr w:type="spellStart"/>
          <w:r>
            <w:rPr>
              <w:rFonts w:eastAsia="Times New Roman"/>
            </w:rPr>
            <w:t>PPARγ</w:t>
          </w:r>
          <w:proofErr w:type="spellEnd"/>
          <w:r>
            <w:rPr>
              <w:rFonts w:eastAsia="Times New Roman"/>
            </w:rPr>
            <w:t xml:space="preserve"> expression,” </w:t>
          </w:r>
          <w:r>
            <w:rPr>
              <w:rFonts w:eastAsia="Times New Roman"/>
              <w:i/>
              <w:iCs/>
            </w:rPr>
            <w:t>The Journal of Nutritional Biochemistry</w:t>
          </w:r>
          <w:r>
            <w:rPr>
              <w:rFonts w:eastAsia="Times New Roman"/>
            </w:rPr>
            <w:t xml:space="preserve">, 22(3), pp. 259–268. </w:t>
          </w:r>
          <w:proofErr w:type="gramStart"/>
          <w:r>
            <w:rPr>
              <w:rFonts w:eastAsia="Times New Roman"/>
            </w:rPr>
            <w:t>doi:10.1016/J.JNUTBIO</w:t>
          </w:r>
          <w:proofErr w:type="gramEnd"/>
          <w:r>
            <w:rPr>
              <w:rFonts w:eastAsia="Times New Roman"/>
            </w:rPr>
            <w:t>.2010.02.003.</w:t>
          </w:r>
        </w:p>
        <w:p w14:paraId="7ABDA87B" w14:textId="77777777" w:rsidR="00F257B9" w:rsidRDefault="00F257B9">
          <w:pPr>
            <w:divId w:val="1688676785"/>
            <w:rPr>
              <w:rFonts w:eastAsia="Times New Roman"/>
            </w:rPr>
          </w:pPr>
          <w:proofErr w:type="spellStart"/>
          <w:r>
            <w:rPr>
              <w:rFonts w:eastAsia="Times New Roman"/>
            </w:rPr>
            <w:lastRenderedPageBreak/>
            <w:t>Palsson</w:t>
          </w:r>
          <w:proofErr w:type="spellEnd"/>
          <w:r>
            <w:rPr>
              <w:rFonts w:eastAsia="Times New Roman"/>
            </w:rPr>
            <w:t xml:space="preserve">-McDermott, E.M. and O’Neill, L.A.J. (2004) “Signal transduction by the lipopolysaccharide receptor, Toll-like receptor-4,” </w:t>
          </w:r>
          <w:r>
            <w:rPr>
              <w:rFonts w:eastAsia="Times New Roman"/>
              <w:i/>
              <w:iCs/>
            </w:rPr>
            <w:t>Immunology</w:t>
          </w:r>
          <w:r>
            <w:rPr>
              <w:rFonts w:eastAsia="Times New Roman"/>
            </w:rPr>
            <w:t>, 113(2), pp. 153–162. doi:10.1111/j.1365-2567.2004.</w:t>
          </w:r>
          <w:proofErr w:type="gramStart"/>
          <w:r>
            <w:rPr>
              <w:rFonts w:eastAsia="Times New Roman"/>
            </w:rPr>
            <w:t>01976.x.</w:t>
          </w:r>
          <w:proofErr w:type="gramEnd"/>
        </w:p>
        <w:p w14:paraId="58F5674D" w14:textId="77777777" w:rsidR="00F257B9" w:rsidRDefault="00F257B9">
          <w:pPr>
            <w:divId w:val="195243496"/>
            <w:rPr>
              <w:rFonts w:eastAsia="Times New Roman"/>
            </w:rPr>
          </w:pPr>
          <w:r>
            <w:rPr>
              <w:rFonts w:eastAsia="Times New Roman"/>
            </w:rPr>
            <w:t xml:space="preserve">de Paola, M. </w:t>
          </w:r>
          <w:r>
            <w:rPr>
              <w:rFonts w:eastAsia="Times New Roman"/>
              <w:i/>
              <w:iCs/>
            </w:rPr>
            <w:t>et al.</w:t>
          </w:r>
          <w:r>
            <w:rPr>
              <w:rFonts w:eastAsia="Times New Roman"/>
            </w:rPr>
            <w:t xml:space="preserve"> (2016) “Synthetic and natural small molecule TLR4 antagonists inhibit motoneuron death in cultures from ALS mouse model,” </w:t>
          </w:r>
          <w:r>
            <w:rPr>
              <w:rFonts w:eastAsia="Times New Roman"/>
              <w:i/>
              <w:iCs/>
            </w:rPr>
            <w:t>Pharmacological Research</w:t>
          </w:r>
          <w:r>
            <w:rPr>
              <w:rFonts w:eastAsia="Times New Roman"/>
            </w:rPr>
            <w:t xml:space="preserve">, 103, pp. 180–187. </w:t>
          </w:r>
          <w:proofErr w:type="gramStart"/>
          <w:r>
            <w:rPr>
              <w:rFonts w:eastAsia="Times New Roman"/>
            </w:rPr>
            <w:t>doi:10.1016/J.PHRS</w:t>
          </w:r>
          <w:proofErr w:type="gramEnd"/>
          <w:r>
            <w:rPr>
              <w:rFonts w:eastAsia="Times New Roman"/>
            </w:rPr>
            <w:t>.2015.11.020.</w:t>
          </w:r>
        </w:p>
        <w:p w14:paraId="5988CF1C" w14:textId="77777777" w:rsidR="00F257B9" w:rsidRDefault="00F257B9">
          <w:pPr>
            <w:divId w:val="1091589248"/>
            <w:rPr>
              <w:rFonts w:eastAsia="Times New Roman"/>
            </w:rPr>
          </w:pPr>
          <w:proofErr w:type="spellStart"/>
          <w:r>
            <w:rPr>
              <w:rFonts w:eastAsia="Times New Roman"/>
            </w:rPr>
            <w:t>Paramel</w:t>
          </w:r>
          <w:proofErr w:type="spellEnd"/>
          <w:r>
            <w:rPr>
              <w:rFonts w:eastAsia="Times New Roman"/>
            </w:rPr>
            <w:t xml:space="preserve"> Varghese, G. </w:t>
          </w:r>
          <w:r>
            <w:rPr>
              <w:rFonts w:eastAsia="Times New Roman"/>
              <w:i/>
              <w:iCs/>
            </w:rPr>
            <w:t>et al.</w:t>
          </w:r>
          <w:r>
            <w:rPr>
              <w:rFonts w:eastAsia="Times New Roman"/>
            </w:rPr>
            <w:t xml:space="preserve"> (2016) “NLRP3 Inflammasome Expression and Activation in Human Atherosclerosis,” </w:t>
          </w:r>
          <w:r>
            <w:rPr>
              <w:rFonts w:eastAsia="Times New Roman"/>
              <w:i/>
              <w:iCs/>
            </w:rPr>
            <w:t>Journal of the American Heart Association</w:t>
          </w:r>
          <w:r>
            <w:rPr>
              <w:rFonts w:eastAsia="Times New Roman"/>
            </w:rPr>
            <w:t>, 5(5). doi:10.1161/JAHA.115.003031.</w:t>
          </w:r>
        </w:p>
        <w:p w14:paraId="707E52B7" w14:textId="77777777" w:rsidR="00F257B9" w:rsidRDefault="00F257B9">
          <w:pPr>
            <w:divId w:val="1256129621"/>
            <w:rPr>
              <w:rFonts w:eastAsia="Times New Roman"/>
            </w:rPr>
          </w:pPr>
          <w:r>
            <w:rPr>
              <w:rFonts w:eastAsia="Times New Roman"/>
            </w:rPr>
            <w:t xml:space="preserve">Park, B.S. </w:t>
          </w:r>
          <w:r>
            <w:rPr>
              <w:rFonts w:eastAsia="Times New Roman"/>
              <w:i/>
              <w:iCs/>
            </w:rPr>
            <w:t>et al.</w:t>
          </w:r>
          <w:r>
            <w:rPr>
              <w:rFonts w:eastAsia="Times New Roman"/>
            </w:rPr>
            <w:t xml:space="preserve"> (2009) “The structural basis of lipopolysaccharide recognition by the TLR4–MD-2 complex,” </w:t>
          </w:r>
          <w:r>
            <w:rPr>
              <w:rFonts w:eastAsia="Times New Roman"/>
              <w:i/>
              <w:iCs/>
            </w:rPr>
            <w:t>Nature</w:t>
          </w:r>
          <w:r>
            <w:rPr>
              <w:rFonts w:eastAsia="Times New Roman"/>
            </w:rPr>
            <w:t>, 458(7242), pp. 1191–1195. doi:10.1038/nature07830.</w:t>
          </w:r>
        </w:p>
        <w:p w14:paraId="393825C0" w14:textId="77777777" w:rsidR="00F257B9" w:rsidRDefault="00F257B9">
          <w:pPr>
            <w:divId w:val="951322441"/>
            <w:rPr>
              <w:rFonts w:eastAsia="Times New Roman"/>
            </w:rPr>
          </w:pPr>
          <w:r>
            <w:rPr>
              <w:rFonts w:eastAsia="Times New Roman"/>
            </w:rPr>
            <w:t xml:space="preserve">Parthasarathy, S., Barnett, </w:t>
          </w:r>
          <w:proofErr w:type="gramStart"/>
          <w:r>
            <w:rPr>
              <w:rFonts w:eastAsia="Times New Roman"/>
            </w:rPr>
            <w:t>J.</w:t>
          </w:r>
          <w:proofErr w:type="gramEnd"/>
          <w:r>
            <w:rPr>
              <w:rFonts w:eastAsia="Times New Roman"/>
            </w:rPr>
            <w:t xml:space="preserve"> and Fong, L.G. (1990) “High-density lipoprotein inhibits the oxidative modification of low-density lipoprotein,” </w:t>
          </w:r>
          <w:proofErr w:type="spellStart"/>
          <w:r>
            <w:rPr>
              <w:rFonts w:eastAsia="Times New Roman"/>
              <w:i/>
              <w:iCs/>
            </w:rPr>
            <w:t>Biochimica</w:t>
          </w:r>
          <w:proofErr w:type="spellEnd"/>
          <w:r>
            <w:rPr>
              <w:rFonts w:eastAsia="Times New Roman"/>
              <w:i/>
              <w:iCs/>
            </w:rPr>
            <w:t xml:space="preserve"> et </w:t>
          </w:r>
          <w:proofErr w:type="spellStart"/>
          <w:r>
            <w:rPr>
              <w:rFonts w:eastAsia="Times New Roman"/>
              <w:i/>
              <w:iCs/>
            </w:rPr>
            <w:t>Biophysica</w:t>
          </w:r>
          <w:proofErr w:type="spellEnd"/>
          <w:r>
            <w:rPr>
              <w:rFonts w:eastAsia="Times New Roman"/>
              <w:i/>
              <w:iCs/>
            </w:rPr>
            <w:t xml:space="preserve"> Acta (BBA) - Lipids and Lipid Metabolism</w:t>
          </w:r>
          <w:r>
            <w:rPr>
              <w:rFonts w:eastAsia="Times New Roman"/>
            </w:rPr>
            <w:t>, 1044(2), pp. 275–283. doi:10.1016/0005-2760(90)90314-N.</w:t>
          </w:r>
        </w:p>
        <w:p w14:paraId="3A0D068D" w14:textId="77777777" w:rsidR="00F257B9" w:rsidRDefault="00F257B9">
          <w:pPr>
            <w:divId w:val="140000050"/>
            <w:rPr>
              <w:rFonts w:eastAsia="Times New Roman"/>
            </w:rPr>
          </w:pPr>
          <w:r>
            <w:rPr>
              <w:rFonts w:eastAsia="Times New Roman"/>
            </w:rPr>
            <w:t xml:space="preserve">Peri, F. </w:t>
          </w:r>
          <w:r>
            <w:rPr>
              <w:rFonts w:eastAsia="Times New Roman"/>
              <w:i/>
              <w:iCs/>
            </w:rPr>
            <w:t>et al.</w:t>
          </w:r>
          <w:r>
            <w:rPr>
              <w:rFonts w:eastAsia="Times New Roman"/>
            </w:rPr>
            <w:t xml:space="preserve"> (2010) “Exploring the LPS/TLR4 signal pathway with small molecules,” </w:t>
          </w:r>
          <w:r>
            <w:rPr>
              <w:rFonts w:eastAsia="Times New Roman"/>
              <w:i/>
              <w:iCs/>
            </w:rPr>
            <w:t>Biochemical Society Transactions</w:t>
          </w:r>
          <w:r>
            <w:rPr>
              <w:rFonts w:eastAsia="Times New Roman"/>
            </w:rPr>
            <w:t>. Portland Press, pp. 1390–1395. doi:10.1042/BST0381390.</w:t>
          </w:r>
        </w:p>
        <w:p w14:paraId="20C113DC" w14:textId="77777777" w:rsidR="00F257B9" w:rsidRDefault="00F257B9">
          <w:pPr>
            <w:divId w:val="102388461"/>
            <w:rPr>
              <w:rFonts w:eastAsia="Times New Roman"/>
            </w:rPr>
          </w:pPr>
          <w:r>
            <w:rPr>
              <w:rFonts w:eastAsia="Times New Roman"/>
            </w:rPr>
            <w:t xml:space="preserve">Peri, F. and Calabrese, V. (2014) “Toll-like receptor 4 (TLR4) modulation by synthetic and natural compounds: An update,” </w:t>
          </w:r>
          <w:r>
            <w:rPr>
              <w:rFonts w:eastAsia="Times New Roman"/>
              <w:i/>
              <w:iCs/>
            </w:rPr>
            <w:t>Journal of Medicinal Chemistry</w:t>
          </w:r>
          <w:r>
            <w:rPr>
              <w:rFonts w:eastAsia="Times New Roman"/>
            </w:rPr>
            <w:t>. American Chemical Society, pp. 3612–3622. doi:10.1021/jm401006s.</w:t>
          </w:r>
        </w:p>
        <w:p w14:paraId="2A23A116" w14:textId="77777777" w:rsidR="00F257B9" w:rsidRDefault="00F257B9">
          <w:pPr>
            <w:divId w:val="1836337037"/>
            <w:rPr>
              <w:rFonts w:eastAsia="Times New Roman"/>
            </w:rPr>
          </w:pPr>
          <w:r>
            <w:rPr>
              <w:rFonts w:eastAsia="Times New Roman"/>
            </w:rPr>
            <w:t xml:space="preserve">Peri, F. and Piazza, M. (2012) “Therapeutic targeting of innate immunity with Toll-like receptor 4 (TLR4) antagonists,” </w:t>
          </w:r>
          <w:r>
            <w:rPr>
              <w:rFonts w:eastAsia="Times New Roman"/>
              <w:i/>
              <w:iCs/>
            </w:rPr>
            <w:t>Biotechnology Advances</w:t>
          </w:r>
          <w:r>
            <w:rPr>
              <w:rFonts w:eastAsia="Times New Roman"/>
            </w:rPr>
            <w:t xml:space="preserve">, 30(1), pp. 251–260. </w:t>
          </w:r>
          <w:proofErr w:type="gramStart"/>
          <w:r>
            <w:rPr>
              <w:rFonts w:eastAsia="Times New Roman"/>
            </w:rPr>
            <w:t>doi:10.1016/J.BIOTECHADV</w:t>
          </w:r>
          <w:proofErr w:type="gramEnd"/>
          <w:r>
            <w:rPr>
              <w:rFonts w:eastAsia="Times New Roman"/>
            </w:rPr>
            <w:t>.2011.05.014.</w:t>
          </w:r>
        </w:p>
        <w:p w14:paraId="33E78B61" w14:textId="77777777" w:rsidR="00F257B9" w:rsidRDefault="00F257B9">
          <w:pPr>
            <w:divId w:val="424688509"/>
            <w:rPr>
              <w:rFonts w:eastAsia="Times New Roman"/>
            </w:rPr>
          </w:pPr>
          <w:r>
            <w:rPr>
              <w:rFonts w:eastAsia="Times New Roman"/>
            </w:rPr>
            <w:t>Perrin-</w:t>
          </w:r>
          <w:proofErr w:type="spellStart"/>
          <w:r>
            <w:rPr>
              <w:rFonts w:eastAsia="Times New Roman"/>
            </w:rPr>
            <w:t>Cocon</w:t>
          </w:r>
          <w:proofErr w:type="spellEnd"/>
          <w:r>
            <w:rPr>
              <w:rFonts w:eastAsia="Times New Roman"/>
            </w:rPr>
            <w:t xml:space="preserve">, L. </w:t>
          </w:r>
          <w:r>
            <w:rPr>
              <w:rFonts w:eastAsia="Times New Roman"/>
              <w:i/>
              <w:iCs/>
            </w:rPr>
            <w:t>et al.</w:t>
          </w:r>
          <w:r>
            <w:rPr>
              <w:rFonts w:eastAsia="Times New Roman"/>
            </w:rPr>
            <w:t xml:space="preserve"> (2017) “TLR4 antagonist FP7 inhibits LPS-induced cytokine production and glycolytic reprogramming in dendritic cells, and protects mice from lethal influenza infection,” </w:t>
          </w:r>
          <w:r>
            <w:rPr>
              <w:rFonts w:eastAsia="Times New Roman"/>
              <w:i/>
              <w:iCs/>
            </w:rPr>
            <w:t>Scientific Reports</w:t>
          </w:r>
          <w:r>
            <w:rPr>
              <w:rFonts w:eastAsia="Times New Roman"/>
            </w:rPr>
            <w:t>, 7, p. 40791. doi:10.1038/srep40791.</w:t>
          </w:r>
        </w:p>
        <w:p w14:paraId="54DADF87" w14:textId="77777777" w:rsidR="00F257B9" w:rsidRDefault="00F257B9">
          <w:pPr>
            <w:divId w:val="1210190239"/>
            <w:rPr>
              <w:rFonts w:eastAsia="Times New Roman"/>
            </w:rPr>
          </w:pPr>
          <w:r>
            <w:rPr>
              <w:rFonts w:eastAsia="Times New Roman"/>
            </w:rPr>
            <w:lastRenderedPageBreak/>
            <w:t xml:space="preserve">Piazza, M. </w:t>
          </w:r>
          <w:r>
            <w:rPr>
              <w:rFonts w:eastAsia="Times New Roman"/>
              <w:i/>
              <w:iCs/>
            </w:rPr>
            <w:t>et al.</w:t>
          </w:r>
          <w:r>
            <w:rPr>
              <w:rFonts w:eastAsia="Times New Roman"/>
            </w:rPr>
            <w:t xml:space="preserve"> (2009) “Evidence of a Specific Interaction between New Synthetic Antisepsis Agents and CD14,” </w:t>
          </w:r>
          <w:r>
            <w:rPr>
              <w:rFonts w:eastAsia="Times New Roman"/>
              <w:i/>
              <w:iCs/>
            </w:rPr>
            <w:t>Biochemistry</w:t>
          </w:r>
          <w:r>
            <w:rPr>
              <w:rFonts w:eastAsia="Times New Roman"/>
            </w:rPr>
            <w:t>, 48(51), pp. 12337–12344. doi:10.1021/bi901601b.</w:t>
          </w:r>
        </w:p>
        <w:p w14:paraId="6BBE2F55" w14:textId="77777777" w:rsidR="00F257B9" w:rsidRDefault="00F257B9">
          <w:pPr>
            <w:divId w:val="517041678"/>
            <w:rPr>
              <w:rFonts w:eastAsia="Times New Roman"/>
            </w:rPr>
          </w:pPr>
          <w:proofErr w:type="spellStart"/>
          <w:r>
            <w:rPr>
              <w:rFonts w:eastAsia="Times New Roman"/>
            </w:rPr>
            <w:t>Poltorak</w:t>
          </w:r>
          <w:proofErr w:type="spellEnd"/>
          <w:r>
            <w:rPr>
              <w:rFonts w:eastAsia="Times New Roman"/>
            </w:rPr>
            <w:t xml:space="preserve">, A. </w:t>
          </w:r>
          <w:r>
            <w:rPr>
              <w:rFonts w:eastAsia="Times New Roman"/>
              <w:i/>
              <w:iCs/>
            </w:rPr>
            <w:t>et al.</w:t>
          </w:r>
          <w:r>
            <w:rPr>
              <w:rFonts w:eastAsia="Times New Roman"/>
            </w:rPr>
            <w:t xml:space="preserve"> (1998) “Defective LPS </w:t>
          </w:r>
          <w:proofErr w:type="spellStart"/>
          <w:r>
            <w:rPr>
              <w:rFonts w:eastAsia="Times New Roman"/>
            </w:rPr>
            <w:t>signaling</w:t>
          </w:r>
          <w:proofErr w:type="spellEnd"/>
          <w:r>
            <w:rPr>
              <w:rFonts w:eastAsia="Times New Roman"/>
            </w:rPr>
            <w:t xml:space="preserve"> in C3H/</w:t>
          </w:r>
          <w:proofErr w:type="spellStart"/>
          <w:r>
            <w:rPr>
              <w:rFonts w:eastAsia="Times New Roman"/>
            </w:rPr>
            <w:t>HeJ</w:t>
          </w:r>
          <w:proofErr w:type="spellEnd"/>
          <w:r>
            <w:rPr>
              <w:rFonts w:eastAsia="Times New Roman"/>
            </w:rPr>
            <w:t xml:space="preserve"> and C57BL/10ScCr mice: Mutations in Tlr4 gene,” </w:t>
          </w:r>
          <w:r>
            <w:rPr>
              <w:rFonts w:eastAsia="Times New Roman"/>
              <w:i/>
              <w:iCs/>
            </w:rPr>
            <w:t>Science</w:t>
          </w:r>
          <w:r>
            <w:rPr>
              <w:rFonts w:eastAsia="Times New Roman"/>
            </w:rPr>
            <w:t>, 282(5396), pp. 2085–2088. doi:10.1126/science.282.5396.2085.</w:t>
          </w:r>
        </w:p>
        <w:p w14:paraId="7A2AC24B" w14:textId="77777777" w:rsidR="00F257B9" w:rsidRDefault="00F257B9">
          <w:pPr>
            <w:divId w:val="622854759"/>
            <w:rPr>
              <w:rFonts w:eastAsia="Times New Roman"/>
            </w:rPr>
          </w:pPr>
          <w:proofErr w:type="spellStart"/>
          <w:r>
            <w:rPr>
              <w:rFonts w:eastAsia="Times New Roman"/>
            </w:rPr>
            <w:t>Potteaux</w:t>
          </w:r>
          <w:proofErr w:type="spellEnd"/>
          <w:r>
            <w:rPr>
              <w:rFonts w:eastAsia="Times New Roman"/>
            </w:rPr>
            <w:t xml:space="preserve">, S. </w:t>
          </w:r>
          <w:r>
            <w:rPr>
              <w:rFonts w:eastAsia="Times New Roman"/>
              <w:i/>
              <w:iCs/>
            </w:rPr>
            <w:t>et al.</w:t>
          </w:r>
          <w:r>
            <w:rPr>
              <w:rFonts w:eastAsia="Times New Roman"/>
            </w:rPr>
            <w:t xml:space="preserve"> (2011) “Suppressed monocyte recruitment drives macrophage removal from atherosclerotic plaques of </w:t>
          </w:r>
          <w:proofErr w:type="spellStart"/>
          <w:r>
            <w:rPr>
              <w:rFonts w:eastAsia="Times New Roman"/>
            </w:rPr>
            <w:t>Apoe</w:t>
          </w:r>
          <w:proofErr w:type="spellEnd"/>
          <w:r>
            <w:rPr>
              <w:rFonts w:eastAsia="Times New Roman"/>
            </w:rPr>
            <w:t xml:space="preserve">-/- mice during disease regression,” </w:t>
          </w:r>
          <w:r>
            <w:rPr>
              <w:rFonts w:eastAsia="Times New Roman"/>
              <w:i/>
              <w:iCs/>
            </w:rPr>
            <w:t>Journal of Clinical Investigation</w:t>
          </w:r>
          <w:r>
            <w:rPr>
              <w:rFonts w:eastAsia="Times New Roman"/>
            </w:rPr>
            <w:t>, 121(5), pp. 2025–2036. doi:10.1172/JCI43802.</w:t>
          </w:r>
        </w:p>
        <w:p w14:paraId="556C9F2C" w14:textId="77777777" w:rsidR="00F257B9" w:rsidRDefault="00F257B9">
          <w:pPr>
            <w:divId w:val="597101580"/>
            <w:rPr>
              <w:rFonts w:eastAsia="Times New Roman"/>
            </w:rPr>
          </w:pPr>
          <w:r>
            <w:rPr>
              <w:rFonts w:eastAsia="Times New Roman"/>
            </w:rPr>
            <w:t xml:space="preserve">Pujol, N. </w:t>
          </w:r>
          <w:r>
            <w:rPr>
              <w:rFonts w:eastAsia="Times New Roman"/>
              <w:i/>
              <w:iCs/>
            </w:rPr>
            <w:t>et al.</w:t>
          </w:r>
          <w:r>
            <w:rPr>
              <w:rFonts w:eastAsia="Times New Roman"/>
            </w:rPr>
            <w:t xml:space="preserve"> (2001) “A reverse genetic analysis of components of the Toll </w:t>
          </w:r>
          <w:proofErr w:type="spellStart"/>
          <w:r>
            <w:rPr>
              <w:rFonts w:eastAsia="Times New Roman"/>
            </w:rPr>
            <w:t>signaling</w:t>
          </w:r>
          <w:proofErr w:type="spellEnd"/>
          <w:r>
            <w:rPr>
              <w:rFonts w:eastAsia="Times New Roman"/>
            </w:rPr>
            <w:t xml:space="preserve"> pathway in Caenorhabditis elegans,” </w:t>
          </w:r>
          <w:r>
            <w:rPr>
              <w:rFonts w:eastAsia="Times New Roman"/>
              <w:i/>
              <w:iCs/>
            </w:rPr>
            <w:t>Current Biology</w:t>
          </w:r>
          <w:r>
            <w:rPr>
              <w:rFonts w:eastAsia="Times New Roman"/>
            </w:rPr>
            <w:t>, 11(11), pp. 809–821. doi:10.1016/S0960-9822(01)00241-X.</w:t>
          </w:r>
        </w:p>
        <w:p w14:paraId="4323326D" w14:textId="77777777" w:rsidR="00F257B9" w:rsidRDefault="00F257B9">
          <w:pPr>
            <w:divId w:val="686519020"/>
            <w:rPr>
              <w:rFonts w:eastAsia="Times New Roman"/>
            </w:rPr>
          </w:pPr>
          <w:proofErr w:type="spellStart"/>
          <w:r>
            <w:rPr>
              <w:rFonts w:eastAsia="Times New Roman"/>
            </w:rPr>
            <w:t>Rajamäki</w:t>
          </w:r>
          <w:proofErr w:type="spellEnd"/>
          <w:r>
            <w:rPr>
              <w:rFonts w:eastAsia="Times New Roman"/>
            </w:rPr>
            <w:t xml:space="preserve">, K. </w:t>
          </w:r>
          <w:r>
            <w:rPr>
              <w:rFonts w:eastAsia="Times New Roman"/>
              <w:i/>
              <w:iCs/>
            </w:rPr>
            <w:t>et al.</w:t>
          </w:r>
          <w:r>
            <w:rPr>
              <w:rFonts w:eastAsia="Times New Roman"/>
            </w:rPr>
            <w:t xml:space="preserve"> (2010) “Cholesterol Crystals Activate the NLRP3 Inflammasome in Human Macrophages: A Novel Link between Cholesterol Metabolism and Inflammation,” </w:t>
          </w:r>
          <w:proofErr w:type="spellStart"/>
          <w:r>
            <w:rPr>
              <w:rFonts w:eastAsia="Times New Roman"/>
              <w:i/>
              <w:iCs/>
            </w:rPr>
            <w:t>PLoS</w:t>
          </w:r>
          <w:proofErr w:type="spellEnd"/>
          <w:r>
            <w:rPr>
              <w:rFonts w:eastAsia="Times New Roman"/>
              <w:i/>
              <w:iCs/>
            </w:rPr>
            <w:t xml:space="preserve"> ONE</w:t>
          </w:r>
          <w:r>
            <w:rPr>
              <w:rFonts w:eastAsia="Times New Roman"/>
            </w:rPr>
            <w:t xml:space="preserve">. Edited by D. </w:t>
          </w:r>
          <w:proofErr w:type="spellStart"/>
          <w:r>
            <w:rPr>
              <w:rFonts w:eastAsia="Times New Roman"/>
            </w:rPr>
            <w:t>Unutmaz</w:t>
          </w:r>
          <w:proofErr w:type="spellEnd"/>
          <w:r>
            <w:rPr>
              <w:rFonts w:eastAsia="Times New Roman"/>
            </w:rPr>
            <w:t xml:space="preserve">, 5(7), p. e11765. </w:t>
          </w:r>
          <w:proofErr w:type="gramStart"/>
          <w:r>
            <w:rPr>
              <w:rFonts w:eastAsia="Times New Roman"/>
            </w:rPr>
            <w:t>doi:10.1371/journal.pone</w:t>
          </w:r>
          <w:proofErr w:type="gramEnd"/>
          <w:r>
            <w:rPr>
              <w:rFonts w:eastAsia="Times New Roman"/>
            </w:rPr>
            <w:t>.0011765.</w:t>
          </w:r>
        </w:p>
        <w:p w14:paraId="38525877" w14:textId="77777777" w:rsidR="00F257B9" w:rsidRDefault="00F257B9">
          <w:pPr>
            <w:divId w:val="2114737767"/>
            <w:rPr>
              <w:rFonts w:eastAsia="Times New Roman"/>
            </w:rPr>
          </w:pPr>
          <w:r>
            <w:rPr>
              <w:rFonts w:eastAsia="Times New Roman"/>
            </w:rPr>
            <w:t xml:space="preserve">Ramesh, </w:t>
          </w:r>
          <w:proofErr w:type="gramStart"/>
          <w:r>
            <w:rPr>
              <w:rFonts w:eastAsia="Times New Roman"/>
            </w:rPr>
            <w:t>G.</w:t>
          </w:r>
          <w:proofErr w:type="gramEnd"/>
          <w:r>
            <w:rPr>
              <w:rFonts w:eastAsia="Times New Roman"/>
            </w:rPr>
            <w:t xml:space="preserve"> and Reeves, W.B. (2002) “TNF-α mediates chemokine and cytokine expression and renal injury in cisplatin nephrotoxicity,” </w:t>
          </w:r>
          <w:r>
            <w:rPr>
              <w:rFonts w:eastAsia="Times New Roman"/>
              <w:i/>
              <w:iCs/>
            </w:rPr>
            <w:t>Journal of Clinical Investigation</w:t>
          </w:r>
          <w:r>
            <w:rPr>
              <w:rFonts w:eastAsia="Times New Roman"/>
            </w:rPr>
            <w:t>, 110(6), pp. 835–842. doi:10.1172/jci15606.</w:t>
          </w:r>
        </w:p>
        <w:p w14:paraId="4A18910A" w14:textId="77777777" w:rsidR="00F257B9" w:rsidRDefault="00F257B9">
          <w:pPr>
            <w:divId w:val="1407265261"/>
            <w:rPr>
              <w:rFonts w:eastAsia="Times New Roman"/>
            </w:rPr>
          </w:pPr>
          <w:r>
            <w:rPr>
              <w:rFonts w:eastAsia="Times New Roman"/>
            </w:rPr>
            <w:t xml:space="preserve">Ramos-Arellano, L.E. </w:t>
          </w:r>
          <w:r>
            <w:rPr>
              <w:rFonts w:eastAsia="Times New Roman"/>
              <w:i/>
              <w:iCs/>
            </w:rPr>
            <w:t>et al.</w:t>
          </w:r>
          <w:r>
            <w:rPr>
              <w:rFonts w:eastAsia="Times New Roman"/>
            </w:rPr>
            <w:t xml:space="preserve"> (2014) “Circulating CD36 and </w:t>
          </w:r>
          <w:proofErr w:type="spellStart"/>
          <w:r>
            <w:rPr>
              <w:rFonts w:eastAsia="Times New Roman"/>
            </w:rPr>
            <w:t>oxLDL</w:t>
          </w:r>
          <w:proofErr w:type="spellEnd"/>
          <w:r>
            <w:rPr>
              <w:rFonts w:eastAsia="Times New Roman"/>
            </w:rPr>
            <w:t xml:space="preserve"> levels are associated with cardiovascular risk factors in young subjects,” </w:t>
          </w:r>
          <w:r>
            <w:rPr>
              <w:rFonts w:eastAsia="Times New Roman"/>
              <w:i/>
              <w:iCs/>
            </w:rPr>
            <w:t>BMC Cardiovascular Disorders</w:t>
          </w:r>
          <w:r>
            <w:rPr>
              <w:rFonts w:eastAsia="Times New Roman"/>
            </w:rPr>
            <w:t>, 14(1), pp. 1–7. doi:10.1186/1471-2261-14-54.</w:t>
          </w:r>
        </w:p>
        <w:p w14:paraId="2B81153C" w14:textId="77777777" w:rsidR="00F257B9" w:rsidRDefault="00F257B9">
          <w:pPr>
            <w:divId w:val="111293388"/>
            <w:rPr>
              <w:rFonts w:eastAsia="Times New Roman"/>
            </w:rPr>
          </w:pPr>
          <w:proofErr w:type="spellStart"/>
          <w:r>
            <w:rPr>
              <w:rFonts w:eastAsia="Times New Roman"/>
            </w:rPr>
            <w:t>Rasmiena</w:t>
          </w:r>
          <w:proofErr w:type="spellEnd"/>
          <w:r>
            <w:rPr>
              <w:rFonts w:eastAsia="Times New Roman"/>
            </w:rPr>
            <w:t xml:space="preserve">, A.A. </w:t>
          </w:r>
          <w:r>
            <w:rPr>
              <w:rFonts w:eastAsia="Times New Roman"/>
              <w:i/>
              <w:iCs/>
            </w:rPr>
            <w:t>et al.</w:t>
          </w:r>
          <w:r>
            <w:rPr>
              <w:rFonts w:eastAsia="Times New Roman"/>
            </w:rPr>
            <w:t xml:space="preserve"> (2016) “High density lipoprotein efficiently accepts surface but not internal oxidised lipids from oxidised </w:t>
          </w:r>
          <w:proofErr w:type="gramStart"/>
          <w:r>
            <w:rPr>
              <w:rFonts w:eastAsia="Times New Roman"/>
            </w:rPr>
            <w:t>low density</w:t>
          </w:r>
          <w:proofErr w:type="gramEnd"/>
          <w:r>
            <w:rPr>
              <w:rFonts w:eastAsia="Times New Roman"/>
            </w:rPr>
            <w:t xml:space="preserve"> lipoprotein,” </w:t>
          </w:r>
          <w:proofErr w:type="spellStart"/>
          <w:r>
            <w:rPr>
              <w:rFonts w:eastAsia="Times New Roman"/>
              <w:i/>
              <w:iCs/>
            </w:rPr>
            <w:t>Biochimica</w:t>
          </w:r>
          <w:proofErr w:type="spellEnd"/>
          <w:r>
            <w:rPr>
              <w:rFonts w:eastAsia="Times New Roman"/>
              <w:i/>
              <w:iCs/>
            </w:rPr>
            <w:t xml:space="preserve"> et </w:t>
          </w:r>
          <w:proofErr w:type="spellStart"/>
          <w:r>
            <w:rPr>
              <w:rFonts w:eastAsia="Times New Roman"/>
              <w:i/>
              <w:iCs/>
            </w:rPr>
            <w:t>Biophysica</w:t>
          </w:r>
          <w:proofErr w:type="spellEnd"/>
          <w:r>
            <w:rPr>
              <w:rFonts w:eastAsia="Times New Roman"/>
              <w:i/>
              <w:iCs/>
            </w:rPr>
            <w:t xml:space="preserve"> Acta (BBA) - Molecular and Cell Biology of Lipids</w:t>
          </w:r>
          <w:r>
            <w:rPr>
              <w:rFonts w:eastAsia="Times New Roman"/>
            </w:rPr>
            <w:t xml:space="preserve">, 1861(2), pp. 69–77. </w:t>
          </w:r>
          <w:proofErr w:type="gramStart"/>
          <w:r>
            <w:rPr>
              <w:rFonts w:eastAsia="Times New Roman"/>
            </w:rPr>
            <w:t>doi:10.1016/J.BBALIP</w:t>
          </w:r>
          <w:proofErr w:type="gramEnd"/>
          <w:r>
            <w:rPr>
              <w:rFonts w:eastAsia="Times New Roman"/>
            </w:rPr>
            <w:t>.2015.11.002.</w:t>
          </w:r>
        </w:p>
        <w:p w14:paraId="12186828" w14:textId="77777777" w:rsidR="00F257B9" w:rsidRDefault="00F257B9">
          <w:pPr>
            <w:divId w:val="1045561915"/>
            <w:rPr>
              <w:rFonts w:eastAsia="Times New Roman"/>
            </w:rPr>
          </w:pPr>
          <w:proofErr w:type="spellStart"/>
          <w:r>
            <w:rPr>
              <w:rFonts w:eastAsia="Times New Roman"/>
            </w:rPr>
            <w:lastRenderedPageBreak/>
            <w:t>Riccioni</w:t>
          </w:r>
          <w:proofErr w:type="spellEnd"/>
          <w:r>
            <w:rPr>
              <w:rFonts w:eastAsia="Times New Roman"/>
            </w:rPr>
            <w:t xml:space="preserve">, G. and </w:t>
          </w:r>
          <w:proofErr w:type="spellStart"/>
          <w:r>
            <w:rPr>
              <w:rFonts w:eastAsia="Times New Roman"/>
            </w:rPr>
            <w:t>Sblendorio</w:t>
          </w:r>
          <w:proofErr w:type="spellEnd"/>
          <w:r>
            <w:rPr>
              <w:rFonts w:eastAsia="Times New Roman"/>
            </w:rPr>
            <w:t xml:space="preserve">, V. (2012) “Atherosclerosis: From biology to pharmacological treatment,” </w:t>
          </w:r>
          <w:r>
            <w:rPr>
              <w:rFonts w:eastAsia="Times New Roman"/>
              <w:i/>
              <w:iCs/>
            </w:rPr>
            <w:t>Journal of Geriatric Cardiology</w:t>
          </w:r>
          <w:r>
            <w:rPr>
              <w:rFonts w:eastAsia="Times New Roman"/>
            </w:rPr>
            <w:t>. Institute of Geriatric Cardiology, Chinese PLA General Hospital, pp. 305–317. doi:10.3724/SP.J.1263.2012.02132.</w:t>
          </w:r>
        </w:p>
        <w:p w14:paraId="4D607356" w14:textId="77777777" w:rsidR="00F257B9" w:rsidRDefault="00F257B9">
          <w:pPr>
            <w:divId w:val="744183361"/>
            <w:rPr>
              <w:rFonts w:eastAsia="Times New Roman"/>
            </w:rPr>
          </w:pPr>
          <w:r>
            <w:rPr>
              <w:rFonts w:eastAsia="Times New Roman"/>
            </w:rPr>
            <w:t xml:space="preserve">Rice, T.W. </w:t>
          </w:r>
          <w:r>
            <w:rPr>
              <w:rFonts w:eastAsia="Times New Roman"/>
              <w:i/>
              <w:iCs/>
            </w:rPr>
            <w:t>et al.</w:t>
          </w:r>
          <w:r>
            <w:rPr>
              <w:rFonts w:eastAsia="Times New Roman"/>
            </w:rPr>
            <w:t xml:space="preserve"> (2010) “A randomized, double-blind, placebo-controlled trial of TAK-242 for the treatment of severe sepsis*,” </w:t>
          </w:r>
          <w:r>
            <w:rPr>
              <w:rFonts w:eastAsia="Times New Roman"/>
              <w:i/>
              <w:iCs/>
            </w:rPr>
            <w:t>Critical Care Medicine</w:t>
          </w:r>
          <w:r>
            <w:rPr>
              <w:rFonts w:eastAsia="Times New Roman"/>
            </w:rPr>
            <w:t>, 38(8), pp. 1685–1694. doi:10.1097/CCM.0b013e3181e7c5c9.</w:t>
          </w:r>
        </w:p>
        <w:p w14:paraId="08359BEA" w14:textId="77777777" w:rsidR="00F257B9" w:rsidRDefault="00F257B9">
          <w:pPr>
            <w:divId w:val="254437237"/>
            <w:rPr>
              <w:rFonts w:eastAsia="Times New Roman"/>
            </w:rPr>
          </w:pPr>
          <w:proofErr w:type="spellStart"/>
          <w:r>
            <w:rPr>
              <w:rFonts w:eastAsia="Times New Roman"/>
            </w:rPr>
            <w:t>Ridker</w:t>
          </w:r>
          <w:proofErr w:type="spellEnd"/>
          <w:r>
            <w:rPr>
              <w:rFonts w:eastAsia="Times New Roman"/>
            </w:rPr>
            <w:t xml:space="preserve">, P.M. </w:t>
          </w:r>
          <w:r>
            <w:rPr>
              <w:rFonts w:eastAsia="Times New Roman"/>
              <w:i/>
              <w:iCs/>
            </w:rPr>
            <w:t>et al.</w:t>
          </w:r>
          <w:r>
            <w:rPr>
              <w:rFonts w:eastAsia="Times New Roman"/>
            </w:rPr>
            <w:t xml:space="preserve"> (2017) “</w:t>
          </w:r>
          <w:proofErr w:type="spellStart"/>
          <w:r>
            <w:rPr>
              <w:rFonts w:eastAsia="Times New Roman"/>
            </w:rPr>
            <w:t>Antiinflammatory</w:t>
          </w:r>
          <w:proofErr w:type="spellEnd"/>
          <w:r>
            <w:rPr>
              <w:rFonts w:eastAsia="Times New Roman"/>
            </w:rPr>
            <w:t xml:space="preserve"> Therapy with Canakinumab for Atherosclerotic Disease,” </w:t>
          </w:r>
          <w:r>
            <w:rPr>
              <w:rFonts w:eastAsia="Times New Roman"/>
              <w:i/>
              <w:iCs/>
            </w:rPr>
            <w:t>New England Journal of Medicine</w:t>
          </w:r>
          <w:r>
            <w:rPr>
              <w:rFonts w:eastAsia="Times New Roman"/>
            </w:rPr>
            <w:t>, 377(12), pp. 1119–1131. doi:10.1056/nejmoa1707914.</w:t>
          </w:r>
        </w:p>
        <w:p w14:paraId="0BAB022E" w14:textId="77777777" w:rsidR="00F257B9" w:rsidRDefault="00F257B9">
          <w:pPr>
            <w:divId w:val="734741062"/>
            <w:rPr>
              <w:rFonts w:eastAsia="Times New Roman"/>
            </w:rPr>
          </w:pPr>
          <w:proofErr w:type="spellStart"/>
          <w:r>
            <w:rPr>
              <w:rFonts w:eastAsia="Times New Roman"/>
            </w:rPr>
            <w:t>Ridker</w:t>
          </w:r>
          <w:proofErr w:type="spellEnd"/>
          <w:r>
            <w:rPr>
              <w:rFonts w:eastAsia="Times New Roman"/>
            </w:rPr>
            <w:t xml:space="preserve">, P.M. </w:t>
          </w:r>
          <w:r>
            <w:rPr>
              <w:rFonts w:eastAsia="Times New Roman"/>
              <w:i/>
              <w:iCs/>
            </w:rPr>
            <w:t>et al.</w:t>
          </w:r>
          <w:r>
            <w:rPr>
              <w:rFonts w:eastAsia="Times New Roman"/>
            </w:rPr>
            <w:t xml:space="preserve"> (2018) “Modulation of the interleukin-6 signalling pathway and incidence rates of atherosclerotic events and all-cause mortality: analyses from the Canakinumab Anti-Inflammatory Thrombosis Outcomes Study (CANTOS),” </w:t>
          </w:r>
          <w:r>
            <w:rPr>
              <w:rFonts w:eastAsia="Times New Roman"/>
              <w:i/>
              <w:iCs/>
            </w:rPr>
            <w:t>European Heart Journal</w:t>
          </w:r>
          <w:r>
            <w:rPr>
              <w:rFonts w:eastAsia="Times New Roman"/>
            </w:rPr>
            <w:t>, 39(38), pp. 3499–3507. doi:10.1093/</w:t>
          </w:r>
          <w:proofErr w:type="spellStart"/>
          <w:r>
            <w:rPr>
              <w:rFonts w:eastAsia="Times New Roman"/>
            </w:rPr>
            <w:t>eurheartj</w:t>
          </w:r>
          <w:proofErr w:type="spellEnd"/>
          <w:r>
            <w:rPr>
              <w:rFonts w:eastAsia="Times New Roman"/>
            </w:rPr>
            <w:t>/ehy310.</w:t>
          </w:r>
        </w:p>
        <w:p w14:paraId="3A7F4B98" w14:textId="77777777" w:rsidR="00F257B9" w:rsidRDefault="00F257B9">
          <w:pPr>
            <w:divId w:val="233904719"/>
            <w:rPr>
              <w:rFonts w:eastAsia="Times New Roman"/>
            </w:rPr>
          </w:pPr>
          <w:r>
            <w:rPr>
              <w:rFonts w:eastAsia="Times New Roman"/>
            </w:rPr>
            <w:t xml:space="preserve">Roach, J.C. </w:t>
          </w:r>
          <w:r>
            <w:rPr>
              <w:rFonts w:eastAsia="Times New Roman"/>
              <w:i/>
              <w:iCs/>
            </w:rPr>
            <w:t>et al.</w:t>
          </w:r>
          <w:r>
            <w:rPr>
              <w:rFonts w:eastAsia="Times New Roman"/>
            </w:rPr>
            <w:t xml:space="preserve"> (2005) “The evolution of vertebrate Toll-like receptors,” </w:t>
          </w:r>
          <w:r>
            <w:rPr>
              <w:rFonts w:eastAsia="Times New Roman"/>
              <w:i/>
              <w:iCs/>
            </w:rPr>
            <w:t>Proceedings of the National Academy of Sciences of the United States of America</w:t>
          </w:r>
          <w:r>
            <w:rPr>
              <w:rFonts w:eastAsia="Times New Roman"/>
            </w:rPr>
            <w:t>, 102(27), pp. 9577–9582. doi:10.1073/pnas.0502272102.</w:t>
          </w:r>
        </w:p>
        <w:p w14:paraId="4083D87E" w14:textId="77777777" w:rsidR="00F257B9" w:rsidRDefault="00F257B9">
          <w:pPr>
            <w:divId w:val="1520967055"/>
            <w:rPr>
              <w:rFonts w:eastAsia="Times New Roman"/>
            </w:rPr>
          </w:pPr>
          <w:r>
            <w:rPr>
              <w:rFonts w:eastAsia="Times New Roman"/>
            </w:rPr>
            <w:t xml:space="preserve">Rock, F.L. </w:t>
          </w:r>
          <w:r>
            <w:rPr>
              <w:rFonts w:eastAsia="Times New Roman"/>
              <w:i/>
              <w:iCs/>
            </w:rPr>
            <w:t>et al.</w:t>
          </w:r>
          <w:r>
            <w:rPr>
              <w:rFonts w:eastAsia="Times New Roman"/>
            </w:rPr>
            <w:t xml:space="preserve"> (1998) “A family of human receptors structurally related to Drosophila Toll.,” </w:t>
          </w:r>
          <w:r>
            <w:rPr>
              <w:rFonts w:eastAsia="Times New Roman"/>
              <w:i/>
              <w:iCs/>
            </w:rPr>
            <w:t>Proceedings of the National Academy of Sciences of the United States of America</w:t>
          </w:r>
          <w:r>
            <w:rPr>
              <w:rFonts w:eastAsia="Times New Roman"/>
            </w:rPr>
            <w:t>, 95(2), pp. 588–93. doi:10.1073/pnas.95.2.588.</w:t>
          </w:r>
        </w:p>
        <w:p w14:paraId="1D151E2F" w14:textId="77777777" w:rsidR="00F257B9" w:rsidRDefault="00F257B9">
          <w:pPr>
            <w:divId w:val="1972442654"/>
            <w:rPr>
              <w:rFonts w:eastAsia="Times New Roman"/>
            </w:rPr>
          </w:pPr>
          <w:proofErr w:type="spellStart"/>
          <w:r>
            <w:rPr>
              <w:rFonts w:eastAsia="Times New Roman"/>
            </w:rPr>
            <w:t>Ronksley</w:t>
          </w:r>
          <w:proofErr w:type="spellEnd"/>
          <w:r>
            <w:rPr>
              <w:rFonts w:eastAsia="Times New Roman"/>
            </w:rPr>
            <w:t xml:space="preserve">, P.E., Brien, </w:t>
          </w:r>
          <w:proofErr w:type="gramStart"/>
          <w:r>
            <w:rPr>
              <w:rFonts w:eastAsia="Times New Roman"/>
            </w:rPr>
            <w:t>S.E.</w:t>
          </w:r>
          <w:proofErr w:type="gramEnd"/>
          <w:r>
            <w:rPr>
              <w:rFonts w:eastAsia="Times New Roman"/>
            </w:rPr>
            <w:t xml:space="preserve"> and Turner, B.J. (2011) “Association of alcohol consumption with selected cardiovascular disease outcomes: a systematic review and meta-analysis,” </w:t>
          </w:r>
          <w:r>
            <w:rPr>
              <w:rFonts w:eastAsia="Times New Roman"/>
              <w:i/>
              <w:iCs/>
            </w:rPr>
            <w:t>BMJ</w:t>
          </w:r>
          <w:r>
            <w:rPr>
              <w:rFonts w:eastAsia="Times New Roman"/>
            </w:rPr>
            <w:t xml:space="preserve"> [Preprint]. doi:10.1136/</w:t>
          </w:r>
          <w:proofErr w:type="gramStart"/>
          <w:r>
            <w:rPr>
              <w:rFonts w:eastAsia="Times New Roman"/>
            </w:rPr>
            <w:t>bmj.d</w:t>
          </w:r>
          <w:proofErr w:type="gramEnd"/>
          <w:r>
            <w:rPr>
              <w:rFonts w:eastAsia="Times New Roman"/>
            </w:rPr>
            <w:t>671.</w:t>
          </w:r>
        </w:p>
        <w:p w14:paraId="4E33C4B2" w14:textId="77777777" w:rsidR="00F257B9" w:rsidRDefault="00F257B9">
          <w:pPr>
            <w:divId w:val="502014981"/>
            <w:rPr>
              <w:rFonts w:eastAsia="Times New Roman"/>
            </w:rPr>
          </w:pPr>
          <w:r>
            <w:rPr>
              <w:rFonts w:eastAsia="Times New Roman"/>
            </w:rPr>
            <w:t xml:space="preserve">Rosenberg, S.A. and Dudley, M.E. (2009) “Adoptive cell therapy for the treatment of patients with metastatic melanoma,” </w:t>
          </w:r>
          <w:r>
            <w:rPr>
              <w:rFonts w:eastAsia="Times New Roman"/>
              <w:i/>
              <w:iCs/>
            </w:rPr>
            <w:t>Current Opinion in Immunology</w:t>
          </w:r>
          <w:r>
            <w:rPr>
              <w:rFonts w:eastAsia="Times New Roman"/>
            </w:rPr>
            <w:t xml:space="preserve">. Elsevier Current Trends, pp. 233–240. </w:t>
          </w:r>
          <w:proofErr w:type="gramStart"/>
          <w:r>
            <w:rPr>
              <w:rFonts w:eastAsia="Times New Roman"/>
            </w:rPr>
            <w:t>doi:10.1016/j.coi</w:t>
          </w:r>
          <w:proofErr w:type="gramEnd"/>
          <w:r>
            <w:rPr>
              <w:rFonts w:eastAsia="Times New Roman"/>
            </w:rPr>
            <w:t>.2009.03.002.</w:t>
          </w:r>
        </w:p>
        <w:p w14:paraId="330DAF6A" w14:textId="77777777" w:rsidR="00F257B9" w:rsidRDefault="00F257B9">
          <w:pPr>
            <w:divId w:val="1554847668"/>
            <w:rPr>
              <w:rFonts w:eastAsia="Times New Roman"/>
            </w:rPr>
          </w:pPr>
          <w:r>
            <w:rPr>
              <w:rFonts w:eastAsia="Times New Roman"/>
            </w:rPr>
            <w:lastRenderedPageBreak/>
            <w:t xml:space="preserve">Rowe, D.C. </w:t>
          </w:r>
          <w:r>
            <w:rPr>
              <w:rFonts w:eastAsia="Times New Roman"/>
              <w:i/>
              <w:iCs/>
            </w:rPr>
            <w:t>et al.</w:t>
          </w:r>
          <w:r>
            <w:rPr>
              <w:rFonts w:eastAsia="Times New Roman"/>
            </w:rPr>
            <w:t xml:space="preserve"> (2006) “The </w:t>
          </w:r>
          <w:proofErr w:type="spellStart"/>
          <w:r>
            <w:rPr>
              <w:rFonts w:eastAsia="Times New Roman"/>
            </w:rPr>
            <w:t>myristoylation</w:t>
          </w:r>
          <w:proofErr w:type="spellEnd"/>
          <w:r>
            <w:rPr>
              <w:rFonts w:eastAsia="Times New Roman"/>
            </w:rPr>
            <w:t xml:space="preserve"> of TRIF-related adaptor molecule is essential for Toll-like receptor 4 signal transduction,” </w:t>
          </w:r>
          <w:r>
            <w:rPr>
              <w:rFonts w:eastAsia="Times New Roman"/>
              <w:i/>
              <w:iCs/>
            </w:rPr>
            <w:t>Proceedings of the National Academy of Sciences</w:t>
          </w:r>
          <w:r>
            <w:rPr>
              <w:rFonts w:eastAsia="Times New Roman"/>
            </w:rPr>
            <w:t>, 103(16), pp. 6299–6304. doi:10.1073/PNAS.0510041103.</w:t>
          </w:r>
        </w:p>
        <w:p w14:paraId="2F0F4BAD" w14:textId="77777777" w:rsidR="00F257B9" w:rsidRDefault="00F257B9">
          <w:pPr>
            <w:divId w:val="1362632991"/>
            <w:rPr>
              <w:rFonts w:eastAsia="Times New Roman"/>
            </w:rPr>
          </w:pPr>
          <w:r>
            <w:rPr>
              <w:rFonts w:eastAsia="Times New Roman"/>
            </w:rPr>
            <w:t xml:space="preserve">Rudd, K.E. </w:t>
          </w:r>
          <w:r>
            <w:rPr>
              <w:rFonts w:eastAsia="Times New Roman"/>
              <w:i/>
              <w:iCs/>
            </w:rPr>
            <w:t>et al.</w:t>
          </w:r>
          <w:r>
            <w:rPr>
              <w:rFonts w:eastAsia="Times New Roman"/>
            </w:rPr>
            <w:t xml:space="preserve"> (2020) “Global, regional, and national sepsis incidence and mortality, 1990–2017: analysis for the Global Burden of Disease Study,” </w:t>
          </w:r>
          <w:r>
            <w:rPr>
              <w:rFonts w:eastAsia="Times New Roman"/>
              <w:i/>
              <w:iCs/>
            </w:rPr>
            <w:t>The Lancet</w:t>
          </w:r>
          <w:r>
            <w:rPr>
              <w:rFonts w:eastAsia="Times New Roman"/>
            </w:rPr>
            <w:t>, 395(10219), pp. 200–211. doi:10.1016/S0140-6736(19)32989-7.</w:t>
          </w:r>
        </w:p>
        <w:p w14:paraId="78D70156" w14:textId="77777777" w:rsidR="00F257B9" w:rsidRDefault="00F257B9">
          <w:pPr>
            <w:divId w:val="556554016"/>
            <w:rPr>
              <w:rFonts w:eastAsia="Times New Roman"/>
            </w:rPr>
          </w:pPr>
          <w:proofErr w:type="spellStart"/>
          <w:r>
            <w:rPr>
              <w:rFonts w:eastAsia="Times New Roman"/>
            </w:rPr>
            <w:t>Sakalihasan</w:t>
          </w:r>
          <w:proofErr w:type="spellEnd"/>
          <w:r>
            <w:rPr>
              <w:rFonts w:eastAsia="Times New Roman"/>
            </w:rPr>
            <w:t xml:space="preserve">, N., </w:t>
          </w:r>
          <w:proofErr w:type="spellStart"/>
          <w:r>
            <w:rPr>
              <w:rFonts w:eastAsia="Times New Roman"/>
            </w:rPr>
            <w:t>Limet</w:t>
          </w:r>
          <w:proofErr w:type="spellEnd"/>
          <w:r>
            <w:rPr>
              <w:rFonts w:eastAsia="Times New Roman"/>
            </w:rPr>
            <w:t xml:space="preserve">, R. and </w:t>
          </w:r>
          <w:proofErr w:type="spellStart"/>
          <w:r>
            <w:rPr>
              <w:rFonts w:eastAsia="Times New Roman"/>
            </w:rPr>
            <w:t>Defawe</w:t>
          </w:r>
          <w:proofErr w:type="spellEnd"/>
          <w:r>
            <w:rPr>
              <w:rFonts w:eastAsia="Times New Roman"/>
            </w:rPr>
            <w:t xml:space="preserve">, O.D. (2005) “Abdominal aortic aneurysm,” </w:t>
          </w:r>
          <w:r>
            <w:rPr>
              <w:rFonts w:eastAsia="Times New Roman"/>
              <w:i/>
              <w:iCs/>
            </w:rPr>
            <w:t>Lancet</w:t>
          </w:r>
          <w:r>
            <w:rPr>
              <w:rFonts w:eastAsia="Times New Roman"/>
            </w:rPr>
            <w:t>. Elsevier Limited, pp. 1577–1589. doi:10.1016/S0140-6736(05)66459-8.</w:t>
          </w:r>
        </w:p>
        <w:p w14:paraId="6B5B4A1C" w14:textId="77777777" w:rsidR="00F257B9" w:rsidRDefault="00F257B9">
          <w:pPr>
            <w:divId w:val="462118095"/>
            <w:rPr>
              <w:rFonts w:eastAsia="Times New Roman"/>
            </w:rPr>
          </w:pPr>
          <w:proofErr w:type="spellStart"/>
          <w:r>
            <w:rPr>
              <w:rFonts w:eastAsia="Times New Roman"/>
            </w:rPr>
            <w:t>Salluh</w:t>
          </w:r>
          <w:proofErr w:type="spellEnd"/>
          <w:r>
            <w:rPr>
              <w:rFonts w:eastAsia="Times New Roman"/>
            </w:rPr>
            <w:t xml:space="preserve">, J.I.F. and </w:t>
          </w:r>
          <w:proofErr w:type="spellStart"/>
          <w:r>
            <w:rPr>
              <w:rFonts w:eastAsia="Times New Roman"/>
            </w:rPr>
            <w:t>Póvoa</w:t>
          </w:r>
          <w:proofErr w:type="spellEnd"/>
          <w:r>
            <w:rPr>
              <w:rFonts w:eastAsia="Times New Roman"/>
            </w:rPr>
            <w:t xml:space="preserve">, P. (2010) “Biomarkers as end points in clinical trials of severe sepsis: a garden of forking paths.,” </w:t>
          </w:r>
          <w:r>
            <w:rPr>
              <w:rFonts w:eastAsia="Times New Roman"/>
              <w:i/>
              <w:iCs/>
            </w:rPr>
            <w:t>Critical care medicine</w:t>
          </w:r>
          <w:r>
            <w:rPr>
              <w:rFonts w:eastAsia="Times New Roman"/>
            </w:rPr>
            <w:t>, 38(8), pp. 1749–51. doi:10.1097/CCM.0b013e3181e941f6.</w:t>
          </w:r>
        </w:p>
        <w:p w14:paraId="2836F668" w14:textId="77777777" w:rsidR="00F257B9" w:rsidRDefault="00F257B9">
          <w:pPr>
            <w:divId w:val="340864066"/>
            <w:rPr>
              <w:rFonts w:eastAsia="Times New Roman"/>
            </w:rPr>
          </w:pPr>
          <w:r>
            <w:rPr>
              <w:rFonts w:eastAsia="Times New Roman"/>
            </w:rPr>
            <w:t xml:space="preserve">Sato, S. </w:t>
          </w:r>
          <w:r>
            <w:rPr>
              <w:rFonts w:eastAsia="Times New Roman"/>
              <w:i/>
              <w:iCs/>
            </w:rPr>
            <w:t>et al.</w:t>
          </w:r>
          <w:r>
            <w:rPr>
              <w:rFonts w:eastAsia="Times New Roman"/>
            </w:rPr>
            <w:t xml:space="preserve"> (2003) “Toll/IL-1 Receptor Domain-Containing Adaptor Inducing IFN-β (TRIF) Associates with TNF Receptor-Associated Factor 6 and TANK-Binding Kinase 1, and Activates Two Distinct Transcription Factors, NF-</w:t>
          </w:r>
          <w:proofErr w:type="spellStart"/>
          <w:r>
            <w:rPr>
              <w:rFonts w:eastAsia="Times New Roman"/>
            </w:rPr>
            <w:t>κB</w:t>
          </w:r>
          <w:proofErr w:type="spellEnd"/>
          <w:r>
            <w:rPr>
              <w:rFonts w:eastAsia="Times New Roman"/>
            </w:rPr>
            <w:t xml:space="preserve"> and IFN-Regulatory Factor-3, in the Toll-Like Receptor </w:t>
          </w:r>
          <w:proofErr w:type="spellStart"/>
          <w:r>
            <w:rPr>
              <w:rFonts w:eastAsia="Times New Roman"/>
            </w:rPr>
            <w:t>Signaling</w:t>
          </w:r>
          <w:proofErr w:type="spellEnd"/>
          <w:r>
            <w:rPr>
              <w:rFonts w:eastAsia="Times New Roman"/>
            </w:rPr>
            <w:t xml:space="preserve">,” </w:t>
          </w:r>
          <w:r>
            <w:rPr>
              <w:rFonts w:eastAsia="Times New Roman"/>
              <w:i/>
              <w:iCs/>
            </w:rPr>
            <w:t>The Journal of Immunology</w:t>
          </w:r>
          <w:r>
            <w:rPr>
              <w:rFonts w:eastAsia="Times New Roman"/>
            </w:rPr>
            <w:t>, 171(8), pp. 4304–4310. doi:10.4049/jimmunol.171.8.4304.</w:t>
          </w:r>
        </w:p>
        <w:p w14:paraId="5F97AC5A" w14:textId="77777777" w:rsidR="00F257B9" w:rsidRDefault="00F257B9">
          <w:pPr>
            <w:divId w:val="1937057602"/>
            <w:rPr>
              <w:rFonts w:eastAsia="Times New Roman"/>
            </w:rPr>
          </w:pPr>
          <w:proofErr w:type="spellStart"/>
          <w:r>
            <w:rPr>
              <w:rFonts w:eastAsia="Times New Roman"/>
            </w:rPr>
            <w:t>Schildberger</w:t>
          </w:r>
          <w:proofErr w:type="spellEnd"/>
          <w:r>
            <w:rPr>
              <w:rFonts w:eastAsia="Times New Roman"/>
            </w:rPr>
            <w:t xml:space="preserve">, A. </w:t>
          </w:r>
          <w:r>
            <w:rPr>
              <w:rFonts w:eastAsia="Times New Roman"/>
              <w:i/>
              <w:iCs/>
            </w:rPr>
            <w:t>et al.</w:t>
          </w:r>
          <w:r>
            <w:rPr>
              <w:rFonts w:eastAsia="Times New Roman"/>
            </w:rPr>
            <w:t xml:space="preserve"> (2013) “Monocytes, peripheral blood mononuclear cells, and THP-1 cells exhibit different cytokine expression patterns following stimulation with lipopolysaccharide,” </w:t>
          </w:r>
          <w:r>
            <w:rPr>
              <w:rFonts w:eastAsia="Times New Roman"/>
              <w:i/>
              <w:iCs/>
            </w:rPr>
            <w:t>Mediators of Inflammation</w:t>
          </w:r>
          <w:r>
            <w:rPr>
              <w:rFonts w:eastAsia="Times New Roman"/>
            </w:rPr>
            <w:t>, 2013. doi:10.1155/2013/697972.</w:t>
          </w:r>
        </w:p>
        <w:p w14:paraId="58BBD7DA" w14:textId="77777777" w:rsidR="00F257B9" w:rsidRDefault="00F257B9">
          <w:pPr>
            <w:divId w:val="615480384"/>
            <w:rPr>
              <w:rFonts w:eastAsia="Times New Roman"/>
            </w:rPr>
          </w:pPr>
          <w:r>
            <w:rPr>
              <w:rFonts w:eastAsia="Times New Roman"/>
            </w:rPr>
            <w:t xml:space="preserve">Schirmer, S., Bot, P. and … J.F. (2010) “Blocking interferon β stimulates vascular smooth muscle cell proliferation and </w:t>
          </w:r>
          <w:proofErr w:type="spellStart"/>
          <w:r>
            <w:rPr>
              <w:rFonts w:eastAsia="Times New Roman"/>
            </w:rPr>
            <w:t>arteriogenesis</w:t>
          </w:r>
          <w:proofErr w:type="spellEnd"/>
          <w:r>
            <w:rPr>
              <w:rFonts w:eastAsia="Times New Roman"/>
            </w:rPr>
            <w:t xml:space="preserve">,” </w:t>
          </w:r>
          <w:r>
            <w:rPr>
              <w:rFonts w:eastAsia="Times New Roman"/>
              <w:i/>
              <w:iCs/>
            </w:rPr>
            <w:t>Journal of Biological</w:t>
          </w:r>
          <w:r>
            <w:rPr>
              <w:rFonts w:eastAsia="Times New Roman"/>
            </w:rPr>
            <w:t xml:space="preserve"> [Preprint]. Available at: https://www.sciencedirect.com/science/article/pii/S0021925820470097 (Accessed: January 31, 2021).</w:t>
          </w:r>
        </w:p>
        <w:p w14:paraId="3954BA43" w14:textId="77777777" w:rsidR="00F257B9" w:rsidRDefault="00F257B9">
          <w:pPr>
            <w:divId w:val="1297174749"/>
            <w:rPr>
              <w:rFonts w:eastAsia="Times New Roman"/>
            </w:rPr>
          </w:pPr>
          <w:r>
            <w:rPr>
              <w:rFonts w:eastAsia="Times New Roman"/>
            </w:rPr>
            <w:t xml:space="preserve">Sharif, H. </w:t>
          </w:r>
          <w:r>
            <w:rPr>
              <w:rFonts w:eastAsia="Times New Roman"/>
              <w:i/>
              <w:iCs/>
            </w:rPr>
            <w:t>et al.</w:t>
          </w:r>
          <w:r>
            <w:rPr>
              <w:rFonts w:eastAsia="Times New Roman"/>
            </w:rPr>
            <w:t xml:space="preserve"> (2019) “Structural mechanism for NEK7-licensed activation of NLRP3 inflammasome,” </w:t>
          </w:r>
          <w:r>
            <w:rPr>
              <w:rFonts w:eastAsia="Times New Roman"/>
              <w:i/>
              <w:iCs/>
            </w:rPr>
            <w:t>Nature 2019 570:7761</w:t>
          </w:r>
          <w:r>
            <w:rPr>
              <w:rFonts w:eastAsia="Times New Roman"/>
            </w:rPr>
            <w:t>, 570(7761), pp. 338–343. doi:10.1038/s41586-019-1295-z.</w:t>
          </w:r>
        </w:p>
        <w:p w14:paraId="027A5DAE" w14:textId="77777777" w:rsidR="00F257B9" w:rsidRDefault="00F257B9">
          <w:pPr>
            <w:divId w:val="1227108454"/>
            <w:rPr>
              <w:rFonts w:eastAsia="Times New Roman"/>
            </w:rPr>
          </w:pPr>
          <w:r>
            <w:rPr>
              <w:rFonts w:eastAsia="Times New Roman"/>
            </w:rPr>
            <w:lastRenderedPageBreak/>
            <w:t xml:space="preserve">Sharma, P. </w:t>
          </w:r>
          <w:r>
            <w:rPr>
              <w:rFonts w:eastAsia="Times New Roman"/>
              <w:i/>
              <w:iCs/>
            </w:rPr>
            <w:t>et al.</w:t>
          </w:r>
          <w:r>
            <w:rPr>
              <w:rFonts w:eastAsia="Times New Roman"/>
            </w:rPr>
            <w:t xml:space="preserve"> (2011) “Novel cancer immunotherapy agents with survival benefit: Recent successes and next steps,” </w:t>
          </w:r>
          <w:r>
            <w:rPr>
              <w:rFonts w:eastAsia="Times New Roman"/>
              <w:i/>
              <w:iCs/>
            </w:rPr>
            <w:t>Nature Reviews Cancer</w:t>
          </w:r>
          <w:r>
            <w:rPr>
              <w:rFonts w:eastAsia="Times New Roman"/>
            </w:rPr>
            <w:t>. Nature Publishing Group, pp. 805–812. doi:10.1038/nrc3153.</w:t>
          </w:r>
        </w:p>
        <w:p w14:paraId="2B689EAD" w14:textId="77777777" w:rsidR="00F257B9" w:rsidRDefault="00F257B9">
          <w:pPr>
            <w:divId w:val="1630361250"/>
            <w:rPr>
              <w:rFonts w:eastAsia="Times New Roman"/>
            </w:rPr>
          </w:pPr>
          <w:r>
            <w:rPr>
              <w:rFonts w:eastAsia="Times New Roman"/>
            </w:rPr>
            <w:t xml:space="preserve">Shi, J. </w:t>
          </w:r>
          <w:r>
            <w:rPr>
              <w:rFonts w:eastAsia="Times New Roman"/>
              <w:i/>
              <w:iCs/>
            </w:rPr>
            <w:t>et al.</w:t>
          </w:r>
          <w:r>
            <w:rPr>
              <w:rFonts w:eastAsia="Times New Roman"/>
            </w:rPr>
            <w:t xml:space="preserve"> (2016) “The Role of TLR4 in M1 Macrophage-Induced Epithelial-Mesenchymal Transition of Peritoneal Mesothelial Cells,” </w:t>
          </w:r>
          <w:r>
            <w:rPr>
              <w:rFonts w:eastAsia="Times New Roman"/>
              <w:i/>
              <w:iCs/>
            </w:rPr>
            <w:t>Cellular Physiology and Biochemistry</w:t>
          </w:r>
          <w:r>
            <w:rPr>
              <w:rFonts w:eastAsia="Times New Roman"/>
            </w:rPr>
            <w:t>, 40(6), pp. 1538–1548. doi:10.1159/000453204.</w:t>
          </w:r>
        </w:p>
        <w:p w14:paraId="679C0ABF" w14:textId="77777777" w:rsidR="00F257B9" w:rsidRDefault="00F257B9">
          <w:pPr>
            <w:divId w:val="964779086"/>
            <w:rPr>
              <w:rFonts w:eastAsia="Times New Roman"/>
            </w:rPr>
          </w:pPr>
          <w:r>
            <w:rPr>
              <w:rFonts w:eastAsia="Times New Roman"/>
            </w:rPr>
            <w:t xml:space="preserve">Shimada, K. </w:t>
          </w:r>
          <w:r>
            <w:rPr>
              <w:rFonts w:eastAsia="Times New Roman"/>
              <w:i/>
              <w:iCs/>
            </w:rPr>
            <w:t>et al.</w:t>
          </w:r>
          <w:r>
            <w:rPr>
              <w:rFonts w:eastAsia="Times New Roman"/>
            </w:rPr>
            <w:t xml:space="preserve"> (2012) “Oxidized Mitochondrial DNA Activates the NLRP3 Inflammasome during Apoptosis,” </w:t>
          </w:r>
          <w:r>
            <w:rPr>
              <w:rFonts w:eastAsia="Times New Roman"/>
              <w:i/>
              <w:iCs/>
            </w:rPr>
            <w:t>Immunity</w:t>
          </w:r>
          <w:r>
            <w:rPr>
              <w:rFonts w:eastAsia="Times New Roman"/>
            </w:rPr>
            <w:t xml:space="preserve">, 36(3), pp. 401–414. </w:t>
          </w:r>
          <w:proofErr w:type="gramStart"/>
          <w:r>
            <w:rPr>
              <w:rFonts w:eastAsia="Times New Roman"/>
            </w:rPr>
            <w:t>doi:10.1016/j.immuni</w:t>
          </w:r>
          <w:proofErr w:type="gramEnd"/>
          <w:r>
            <w:rPr>
              <w:rFonts w:eastAsia="Times New Roman"/>
            </w:rPr>
            <w:t>.2012.01.009.</w:t>
          </w:r>
        </w:p>
        <w:p w14:paraId="68551F32" w14:textId="77777777" w:rsidR="00F257B9" w:rsidRDefault="00F257B9">
          <w:pPr>
            <w:divId w:val="814957706"/>
            <w:rPr>
              <w:rFonts w:eastAsia="Times New Roman"/>
            </w:rPr>
          </w:pPr>
          <w:r>
            <w:rPr>
              <w:rFonts w:eastAsia="Times New Roman"/>
            </w:rPr>
            <w:t xml:space="preserve">da Silva Correia, J. and </w:t>
          </w:r>
          <w:proofErr w:type="spellStart"/>
          <w:r>
            <w:rPr>
              <w:rFonts w:eastAsia="Times New Roman"/>
            </w:rPr>
            <w:t>Ulevitch</w:t>
          </w:r>
          <w:proofErr w:type="spellEnd"/>
          <w:r>
            <w:rPr>
              <w:rFonts w:eastAsia="Times New Roman"/>
            </w:rPr>
            <w:t xml:space="preserve">, R.J. (2002) “MD-2 and TLR4 N-linked </w:t>
          </w:r>
          <w:proofErr w:type="spellStart"/>
          <w:r>
            <w:rPr>
              <w:rFonts w:eastAsia="Times New Roman"/>
            </w:rPr>
            <w:t>glycosylations</w:t>
          </w:r>
          <w:proofErr w:type="spellEnd"/>
          <w:r>
            <w:rPr>
              <w:rFonts w:eastAsia="Times New Roman"/>
            </w:rPr>
            <w:t xml:space="preserve"> are important for a functional lipopolysaccharide receptor,” </w:t>
          </w:r>
          <w:r>
            <w:rPr>
              <w:rFonts w:eastAsia="Times New Roman"/>
              <w:i/>
              <w:iCs/>
            </w:rPr>
            <w:t>Journal of Biological Chemistry</w:t>
          </w:r>
          <w:r>
            <w:rPr>
              <w:rFonts w:eastAsia="Times New Roman"/>
            </w:rPr>
            <w:t>, 277(3), pp. 1845–1854. doi:10.1074/jbc.M109910200.</w:t>
          </w:r>
        </w:p>
        <w:p w14:paraId="249AAAE4" w14:textId="77777777" w:rsidR="00F257B9" w:rsidRDefault="00F257B9">
          <w:pPr>
            <w:divId w:val="30153515"/>
            <w:rPr>
              <w:rFonts w:eastAsia="Times New Roman"/>
            </w:rPr>
          </w:pPr>
          <w:proofErr w:type="spellStart"/>
          <w:r>
            <w:rPr>
              <w:rFonts w:eastAsia="Times New Roman"/>
            </w:rPr>
            <w:t>Skorokhod</w:t>
          </w:r>
          <w:proofErr w:type="spellEnd"/>
          <w:r>
            <w:rPr>
              <w:rFonts w:eastAsia="Times New Roman"/>
            </w:rPr>
            <w:t xml:space="preserve">, O.A. </w:t>
          </w:r>
          <w:r>
            <w:rPr>
              <w:rFonts w:eastAsia="Times New Roman"/>
              <w:i/>
              <w:iCs/>
            </w:rPr>
            <w:t>et al.</w:t>
          </w:r>
          <w:r>
            <w:rPr>
              <w:rFonts w:eastAsia="Times New Roman"/>
            </w:rPr>
            <w:t xml:space="preserve"> (2007) “Malarial pigment </w:t>
          </w:r>
          <w:proofErr w:type="spellStart"/>
          <w:r>
            <w:rPr>
              <w:rFonts w:eastAsia="Times New Roman"/>
            </w:rPr>
            <w:t>haemozoin</w:t>
          </w:r>
          <w:proofErr w:type="spellEnd"/>
          <w:r>
            <w:rPr>
              <w:rFonts w:eastAsia="Times New Roman"/>
            </w:rPr>
            <w:t xml:space="preserve">, IFN-gamma, TNF-alpha, IL-1beta and LPS do not stimulate expression of inducible nitric oxide synthase and production of nitric oxide in immuno-purified human monocytes,” </w:t>
          </w:r>
          <w:r>
            <w:rPr>
              <w:rFonts w:eastAsia="Times New Roman"/>
              <w:i/>
              <w:iCs/>
            </w:rPr>
            <w:t>Malaria Journal</w:t>
          </w:r>
          <w:r>
            <w:rPr>
              <w:rFonts w:eastAsia="Times New Roman"/>
            </w:rPr>
            <w:t>, 6(1), p. 73. doi:10.1186/1475-2875-6-73.</w:t>
          </w:r>
        </w:p>
        <w:p w14:paraId="5C9AAB9E" w14:textId="77777777" w:rsidR="00F257B9" w:rsidRDefault="00F257B9">
          <w:pPr>
            <w:divId w:val="1423530745"/>
            <w:rPr>
              <w:rFonts w:eastAsia="Times New Roman"/>
            </w:rPr>
          </w:pPr>
          <w:r>
            <w:rPr>
              <w:rFonts w:eastAsia="Times New Roman"/>
            </w:rPr>
            <w:t xml:space="preserve">Slack, J.L. </w:t>
          </w:r>
          <w:r>
            <w:rPr>
              <w:rFonts w:eastAsia="Times New Roman"/>
              <w:i/>
              <w:iCs/>
            </w:rPr>
            <w:t>et al.</w:t>
          </w:r>
          <w:r>
            <w:rPr>
              <w:rFonts w:eastAsia="Times New Roman"/>
            </w:rPr>
            <w:t xml:space="preserve"> (2000) “Identification of two major sites in the type I interleukin-1 receptor cytoplasmic region responsible for coupling to pro-inflammatory </w:t>
          </w:r>
          <w:proofErr w:type="spellStart"/>
          <w:r>
            <w:rPr>
              <w:rFonts w:eastAsia="Times New Roman"/>
            </w:rPr>
            <w:t>signaling</w:t>
          </w:r>
          <w:proofErr w:type="spellEnd"/>
          <w:r>
            <w:rPr>
              <w:rFonts w:eastAsia="Times New Roman"/>
            </w:rPr>
            <w:t xml:space="preserve"> pathways,” </w:t>
          </w:r>
          <w:r>
            <w:rPr>
              <w:rFonts w:eastAsia="Times New Roman"/>
              <w:i/>
              <w:iCs/>
            </w:rPr>
            <w:t>Journal of Biological Chemistry</w:t>
          </w:r>
          <w:r>
            <w:rPr>
              <w:rFonts w:eastAsia="Times New Roman"/>
            </w:rPr>
            <w:t>, 275(7), pp. 4670–4678. doi:10.1074/jbc.275.7.4670.</w:t>
          </w:r>
        </w:p>
        <w:p w14:paraId="34B6AE7B" w14:textId="77777777" w:rsidR="00F257B9" w:rsidRDefault="00F257B9">
          <w:pPr>
            <w:divId w:val="921716857"/>
            <w:rPr>
              <w:rFonts w:eastAsia="Times New Roman"/>
            </w:rPr>
          </w:pPr>
          <w:r>
            <w:rPr>
              <w:rFonts w:eastAsia="Times New Roman"/>
            </w:rPr>
            <w:t xml:space="preserve">Souza, A.C.P. </w:t>
          </w:r>
          <w:r>
            <w:rPr>
              <w:rFonts w:eastAsia="Times New Roman"/>
              <w:i/>
              <w:iCs/>
            </w:rPr>
            <w:t>et al.</w:t>
          </w:r>
          <w:r>
            <w:rPr>
              <w:rFonts w:eastAsia="Times New Roman"/>
            </w:rPr>
            <w:t xml:space="preserve"> (2015) “TLR4 mutant mice are protected from renal fibrosis and chronic kidney disease progression,” </w:t>
          </w:r>
          <w:r>
            <w:rPr>
              <w:rFonts w:eastAsia="Times New Roman"/>
              <w:i/>
              <w:iCs/>
            </w:rPr>
            <w:t>Physiological Reports</w:t>
          </w:r>
          <w:r>
            <w:rPr>
              <w:rFonts w:eastAsia="Times New Roman"/>
            </w:rPr>
            <w:t>, 3(9), pp. 1–12. doi:10.14814/phy2.12558.</w:t>
          </w:r>
        </w:p>
        <w:p w14:paraId="5F50759B" w14:textId="77777777" w:rsidR="00F257B9" w:rsidRDefault="00F257B9">
          <w:pPr>
            <w:divId w:val="1883133222"/>
            <w:rPr>
              <w:rFonts w:eastAsia="Times New Roman"/>
            </w:rPr>
          </w:pPr>
          <w:r>
            <w:rPr>
              <w:rFonts w:eastAsia="Times New Roman"/>
            </w:rPr>
            <w:t xml:space="preserve">Stadler, N. </w:t>
          </w:r>
          <w:r>
            <w:rPr>
              <w:rFonts w:eastAsia="Times New Roman"/>
              <w:i/>
              <w:iCs/>
            </w:rPr>
            <w:t>et al.</w:t>
          </w:r>
          <w:r>
            <w:rPr>
              <w:rFonts w:eastAsia="Times New Roman"/>
            </w:rPr>
            <w:t xml:space="preserve"> (2007) “Smoking-induced monocyte dysfunction is reversed by vitamin C supplementation in vivo,” </w:t>
          </w:r>
          <w:r>
            <w:rPr>
              <w:rFonts w:eastAsia="Times New Roman"/>
              <w:i/>
              <w:iCs/>
            </w:rPr>
            <w:t>Arteriosclerosis, Thrombosis, and Vascular Biology</w:t>
          </w:r>
          <w:r>
            <w:rPr>
              <w:rFonts w:eastAsia="Times New Roman"/>
            </w:rPr>
            <w:t xml:space="preserve">, 27(1), pp. 120–126. </w:t>
          </w:r>
          <w:proofErr w:type="gramStart"/>
          <w:r>
            <w:rPr>
              <w:rFonts w:eastAsia="Times New Roman"/>
            </w:rPr>
            <w:t>doi:10.1161/01.ATV</w:t>
          </w:r>
          <w:proofErr w:type="gramEnd"/>
          <w:r>
            <w:rPr>
              <w:rFonts w:eastAsia="Times New Roman"/>
            </w:rPr>
            <w:t>.0000250614.97896.4c.</w:t>
          </w:r>
        </w:p>
        <w:p w14:paraId="2CBC9BBE" w14:textId="77777777" w:rsidR="00F257B9" w:rsidRDefault="00F257B9">
          <w:pPr>
            <w:divId w:val="1116801174"/>
            <w:rPr>
              <w:rFonts w:eastAsia="Times New Roman"/>
            </w:rPr>
          </w:pPr>
          <w:proofErr w:type="spellStart"/>
          <w:r>
            <w:rPr>
              <w:rFonts w:eastAsia="Times New Roman"/>
            </w:rPr>
            <w:t>Steeghs</w:t>
          </w:r>
          <w:proofErr w:type="spellEnd"/>
          <w:r>
            <w:rPr>
              <w:rFonts w:eastAsia="Times New Roman"/>
            </w:rPr>
            <w:t xml:space="preserve">, L. </w:t>
          </w:r>
          <w:r>
            <w:rPr>
              <w:rFonts w:eastAsia="Times New Roman"/>
              <w:i/>
              <w:iCs/>
            </w:rPr>
            <w:t>et al.</w:t>
          </w:r>
          <w:r>
            <w:rPr>
              <w:rFonts w:eastAsia="Times New Roman"/>
            </w:rPr>
            <w:t xml:space="preserve"> (1998) “Meningitis bacterium is viable without endotoxin,” </w:t>
          </w:r>
          <w:r>
            <w:rPr>
              <w:rFonts w:eastAsia="Times New Roman"/>
              <w:i/>
              <w:iCs/>
            </w:rPr>
            <w:t>Nature</w:t>
          </w:r>
          <w:r>
            <w:rPr>
              <w:rFonts w:eastAsia="Times New Roman"/>
            </w:rPr>
            <w:t xml:space="preserve"> [Preprint]. Available at: https://www.nature.com/articles/33046 (Accessed: January 31, 2021).</w:t>
          </w:r>
        </w:p>
        <w:p w14:paraId="5AAF9918" w14:textId="77777777" w:rsidR="00F257B9" w:rsidRDefault="00F257B9">
          <w:pPr>
            <w:divId w:val="1673487286"/>
            <w:rPr>
              <w:rFonts w:eastAsia="Times New Roman"/>
            </w:rPr>
          </w:pPr>
          <w:proofErr w:type="spellStart"/>
          <w:r>
            <w:rPr>
              <w:rFonts w:eastAsia="Times New Roman"/>
            </w:rPr>
            <w:lastRenderedPageBreak/>
            <w:t>Steeghs</w:t>
          </w:r>
          <w:proofErr w:type="spellEnd"/>
          <w:r>
            <w:rPr>
              <w:rFonts w:eastAsia="Times New Roman"/>
            </w:rPr>
            <w:t xml:space="preserve">, L. </w:t>
          </w:r>
          <w:r>
            <w:rPr>
              <w:rFonts w:eastAsia="Times New Roman"/>
              <w:i/>
              <w:iCs/>
            </w:rPr>
            <w:t>et al.</w:t>
          </w:r>
          <w:r>
            <w:rPr>
              <w:rFonts w:eastAsia="Times New Roman"/>
            </w:rPr>
            <w:t xml:space="preserve"> (2001) “Outer membrane composition of a lipopolysaccharide-deficient Neisseria meningitidis mutant,” </w:t>
          </w:r>
          <w:r>
            <w:rPr>
              <w:rFonts w:eastAsia="Times New Roman"/>
              <w:i/>
              <w:iCs/>
            </w:rPr>
            <w:t>EMBO Journal</w:t>
          </w:r>
          <w:r>
            <w:rPr>
              <w:rFonts w:eastAsia="Times New Roman"/>
            </w:rPr>
            <w:t>, 20(24), pp. 6937–6945. doi:10.1093/</w:t>
          </w:r>
          <w:proofErr w:type="spellStart"/>
          <w:r>
            <w:rPr>
              <w:rFonts w:eastAsia="Times New Roman"/>
            </w:rPr>
            <w:t>emboj</w:t>
          </w:r>
          <w:proofErr w:type="spellEnd"/>
          <w:r>
            <w:rPr>
              <w:rFonts w:eastAsia="Times New Roman"/>
            </w:rPr>
            <w:t>/20.24.6937.</w:t>
          </w:r>
        </w:p>
        <w:p w14:paraId="1D911C17" w14:textId="77777777" w:rsidR="00F257B9" w:rsidRDefault="00F257B9">
          <w:pPr>
            <w:divId w:val="1526863227"/>
            <w:rPr>
              <w:rFonts w:eastAsia="Times New Roman"/>
            </w:rPr>
          </w:pPr>
          <w:r>
            <w:rPr>
              <w:rFonts w:eastAsia="Times New Roman"/>
            </w:rPr>
            <w:t xml:space="preserve">Stewart, C.R. </w:t>
          </w:r>
          <w:r>
            <w:rPr>
              <w:rFonts w:eastAsia="Times New Roman"/>
              <w:i/>
              <w:iCs/>
            </w:rPr>
            <w:t>et al.</w:t>
          </w:r>
          <w:r>
            <w:rPr>
              <w:rFonts w:eastAsia="Times New Roman"/>
            </w:rPr>
            <w:t xml:space="preserve"> (2010) “CD36 ligands promote sterile inflammation through assembly of a Toll-like receptor 4 and 6 heterodimer,” </w:t>
          </w:r>
          <w:r>
            <w:rPr>
              <w:rFonts w:eastAsia="Times New Roman"/>
              <w:i/>
              <w:iCs/>
            </w:rPr>
            <w:t>Nature Immunology</w:t>
          </w:r>
          <w:r>
            <w:rPr>
              <w:rFonts w:eastAsia="Times New Roman"/>
            </w:rPr>
            <w:t>, 11(2), pp. 155–161. doi:10.1038/ni.1836.</w:t>
          </w:r>
        </w:p>
        <w:p w14:paraId="62EF672F" w14:textId="77777777" w:rsidR="00F257B9" w:rsidRDefault="00F257B9">
          <w:pPr>
            <w:divId w:val="352001665"/>
            <w:rPr>
              <w:rFonts w:eastAsia="Times New Roman"/>
            </w:rPr>
          </w:pPr>
          <w:proofErr w:type="spellStart"/>
          <w:r>
            <w:rPr>
              <w:rFonts w:eastAsia="Times New Roman"/>
            </w:rPr>
            <w:t>Stöver</w:t>
          </w:r>
          <w:proofErr w:type="spellEnd"/>
          <w:r>
            <w:rPr>
              <w:rFonts w:eastAsia="Times New Roman"/>
            </w:rPr>
            <w:t xml:space="preserve">, A.G. </w:t>
          </w:r>
          <w:r>
            <w:rPr>
              <w:rFonts w:eastAsia="Times New Roman"/>
              <w:i/>
              <w:iCs/>
            </w:rPr>
            <w:t>et al.</w:t>
          </w:r>
          <w:r>
            <w:rPr>
              <w:rFonts w:eastAsia="Times New Roman"/>
            </w:rPr>
            <w:t xml:space="preserve"> (2004) “Structure-Activity Relationship of Synthetic Toll-like Receptor 4 Agonists,” </w:t>
          </w:r>
          <w:r>
            <w:rPr>
              <w:rFonts w:eastAsia="Times New Roman"/>
              <w:i/>
              <w:iCs/>
            </w:rPr>
            <w:t>Journal of Biological Chemistry</w:t>
          </w:r>
          <w:r>
            <w:rPr>
              <w:rFonts w:eastAsia="Times New Roman"/>
            </w:rPr>
            <w:t>, 279(6), pp. 4440–4449. doi:10.1074/jbc.M310760200.</w:t>
          </w:r>
        </w:p>
        <w:p w14:paraId="15566532" w14:textId="77777777" w:rsidR="00F257B9" w:rsidRDefault="00F257B9">
          <w:pPr>
            <w:divId w:val="1369912818"/>
            <w:rPr>
              <w:rFonts w:eastAsia="Times New Roman"/>
            </w:rPr>
          </w:pPr>
          <w:r>
            <w:rPr>
              <w:rFonts w:eastAsia="Times New Roman"/>
            </w:rPr>
            <w:t xml:space="preserve">Suzuki, N. </w:t>
          </w:r>
          <w:r>
            <w:rPr>
              <w:rFonts w:eastAsia="Times New Roman"/>
              <w:i/>
              <w:iCs/>
            </w:rPr>
            <w:t>et al.</w:t>
          </w:r>
          <w:r>
            <w:rPr>
              <w:rFonts w:eastAsia="Times New Roman"/>
            </w:rPr>
            <w:t xml:space="preserve"> (2002) “Severe impairment of interleukin-1 and toll-like receptor signalling in mice lacking IRAK-4,” </w:t>
          </w:r>
          <w:r>
            <w:rPr>
              <w:rFonts w:eastAsia="Times New Roman"/>
              <w:i/>
              <w:iCs/>
            </w:rPr>
            <w:t>Nature</w:t>
          </w:r>
          <w:r>
            <w:rPr>
              <w:rFonts w:eastAsia="Times New Roman"/>
            </w:rPr>
            <w:t>, 416(6882), pp. 750–754. doi:10.1038/nature736.</w:t>
          </w:r>
        </w:p>
        <w:p w14:paraId="2E74F0F4" w14:textId="77777777" w:rsidR="00F257B9" w:rsidRDefault="00F257B9">
          <w:pPr>
            <w:divId w:val="799417570"/>
            <w:rPr>
              <w:rFonts w:eastAsia="Times New Roman"/>
            </w:rPr>
          </w:pPr>
          <w:proofErr w:type="spellStart"/>
          <w:r>
            <w:rPr>
              <w:rFonts w:eastAsia="Times New Roman"/>
            </w:rPr>
            <w:t>Swantek</w:t>
          </w:r>
          <w:proofErr w:type="spellEnd"/>
          <w:r>
            <w:rPr>
              <w:rFonts w:eastAsia="Times New Roman"/>
            </w:rPr>
            <w:t xml:space="preserve">, J.L. </w:t>
          </w:r>
          <w:r>
            <w:rPr>
              <w:rFonts w:eastAsia="Times New Roman"/>
              <w:i/>
              <w:iCs/>
            </w:rPr>
            <w:t>et al.</w:t>
          </w:r>
          <w:r>
            <w:rPr>
              <w:rFonts w:eastAsia="Times New Roman"/>
            </w:rPr>
            <w:t xml:space="preserve"> (2000) “IL-1 Receptor-Associated Kinase Modulates Host Responsiveness to Endotoxin,” </w:t>
          </w:r>
          <w:r>
            <w:rPr>
              <w:rFonts w:eastAsia="Times New Roman"/>
              <w:i/>
              <w:iCs/>
            </w:rPr>
            <w:t>The Journal of Immunology</w:t>
          </w:r>
          <w:r>
            <w:rPr>
              <w:rFonts w:eastAsia="Times New Roman"/>
            </w:rPr>
            <w:t>, 164(8), pp. 4301–4306. doi:10.4049/jimmunol.164.8.4301.</w:t>
          </w:r>
        </w:p>
        <w:p w14:paraId="574C868C" w14:textId="77777777" w:rsidR="00F257B9" w:rsidRDefault="00F257B9">
          <w:pPr>
            <w:divId w:val="206573408"/>
            <w:rPr>
              <w:rFonts w:eastAsia="Times New Roman"/>
            </w:rPr>
          </w:pPr>
          <w:r>
            <w:rPr>
              <w:rFonts w:eastAsia="Times New Roman"/>
            </w:rPr>
            <w:t xml:space="preserve">Takashima, K. </w:t>
          </w:r>
          <w:r>
            <w:rPr>
              <w:rFonts w:eastAsia="Times New Roman"/>
              <w:i/>
              <w:iCs/>
            </w:rPr>
            <w:t>et al.</w:t>
          </w:r>
          <w:r>
            <w:rPr>
              <w:rFonts w:eastAsia="Times New Roman"/>
            </w:rPr>
            <w:t xml:space="preserve"> (2009) “Analysis of binding site for the novel small-molecule TLR4 signal transduction inhibitor TAK-242 and its therapeutic effect on mouse sepsis model,” </w:t>
          </w:r>
          <w:r>
            <w:rPr>
              <w:rFonts w:eastAsia="Times New Roman"/>
              <w:i/>
              <w:iCs/>
            </w:rPr>
            <w:t>British Journal of Pharmacology</w:t>
          </w:r>
          <w:r>
            <w:rPr>
              <w:rFonts w:eastAsia="Times New Roman"/>
            </w:rPr>
            <w:t>, 157(7), pp. 1250–1262. doi:10.1111/j.1476-5381.2009.</w:t>
          </w:r>
          <w:proofErr w:type="gramStart"/>
          <w:r>
            <w:rPr>
              <w:rFonts w:eastAsia="Times New Roman"/>
            </w:rPr>
            <w:t>00297.x.</w:t>
          </w:r>
          <w:proofErr w:type="gramEnd"/>
        </w:p>
        <w:p w14:paraId="2DD294C2" w14:textId="77777777" w:rsidR="00F257B9" w:rsidRDefault="00F257B9">
          <w:pPr>
            <w:divId w:val="1556893622"/>
            <w:rPr>
              <w:rFonts w:eastAsia="Times New Roman"/>
            </w:rPr>
          </w:pPr>
          <w:proofErr w:type="spellStart"/>
          <w:r>
            <w:rPr>
              <w:rFonts w:eastAsia="Times New Roman"/>
            </w:rPr>
            <w:t>Tanimura</w:t>
          </w:r>
          <w:proofErr w:type="spellEnd"/>
          <w:r>
            <w:rPr>
              <w:rFonts w:eastAsia="Times New Roman"/>
            </w:rPr>
            <w:t xml:space="preserve">, N. </w:t>
          </w:r>
          <w:r>
            <w:rPr>
              <w:rFonts w:eastAsia="Times New Roman"/>
              <w:i/>
              <w:iCs/>
            </w:rPr>
            <w:t>et al.</w:t>
          </w:r>
          <w:r>
            <w:rPr>
              <w:rFonts w:eastAsia="Times New Roman"/>
            </w:rPr>
            <w:t xml:space="preserve"> (2008) “Roles for LPS-dependent interaction and relocation of TLR4 and TRAM in TRIF-</w:t>
          </w:r>
          <w:proofErr w:type="spellStart"/>
          <w:r>
            <w:rPr>
              <w:rFonts w:eastAsia="Times New Roman"/>
            </w:rPr>
            <w:t>signaling</w:t>
          </w:r>
          <w:proofErr w:type="spellEnd"/>
          <w:r>
            <w:rPr>
              <w:rFonts w:eastAsia="Times New Roman"/>
            </w:rPr>
            <w:t xml:space="preserve">,” </w:t>
          </w:r>
          <w:r>
            <w:rPr>
              <w:rFonts w:eastAsia="Times New Roman"/>
              <w:i/>
              <w:iCs/>
            </w:rPr>
            <w:t>Biochemical and Biophysical Research Communications</w:t>
          </w:r>
          <w:r>
            <w:rPr>
              <w:rFonts w:eastAsia="Times New Roman"/>
            </w:rPr>
            <w:t xml:space="preserve">, 368(1), pp. 94–99. </w:t>
          </w:r>
          <w:proofErr w:type="gramStart"/>
          <w:r>
            <w:rPr>
              <w:rFonts w:eastAsia="Times New Roman"/>
            </w:rPr>
            <w:t>doi:10.1016/J.BBRC</w:t>
          </w:r>
          <w:proofErr w:type="gramEnd"/>
          <w:r>
            <w:rPr>
              <w:rFonts w:eastAsia="Times New Roman"/>
            </w:rPr>
            <w:t>.2008.01.061.</w:t>
          </w:r>
        </w:p>
        <w:p w14:paraId="02A19F89" w14:textId="77777777" w:rsidR="00F257B9" w:rsidRDefault="00F257B9">
          <w:pPr>
            <w:divId w:val="314185953"/>
            <w:rPr>
              <w:rFonts w:eastAsia="Times New Roman"/>
            </w:rPr>
          </w:pPr>
          <w:r>
            <w:rPr>
              <w:rFonts w:eastAsia="Times New Roman"/>
            </w:rPr>
            <w:t xml:space="preserve">Taylor, K.R. </w:t>
          </w:r>
          <w:r>
            <w:rPr>
              <w:rFonts w:eastAsia="Times New Roman"/>
              <w:i/>
              <w:iCs/>
            </w:rPr>
            <w:t>et al.</w:t>
          </w:r>
          <w:r>
            <w:rPr>
              <w:rFonts w:eastAsia="Times New Roman"/>
            </w:rPr>
            <w:t xml:space="preserve"> (2004) “Hyaluronan fragments stimulate endothelial recognition of injury through TLR4.,” </w:t>
          </w:r>
          <w:r>
            <w:rPr>
              <w:rFonts w:eastAsia="Times New Roman"/>
              <w:i/>
              <w:iCs/>
            </w:rPr>
            <w:t>The Journal of biological chemistry</w:t>
          </w:r>
          <w:r>
            <w:rPr>
              <w:rFonts w:eastAsia="Times New Roman"/>
            </w:rPr>
            <w:t>, 279(17), pp. 17079–84. doi:10.1074/jbc.M310859200.</w:t>
          </w:r>
        </w:p>
        <w:p w14:paraId="0D720212" w14:textId="77777777" w:rsidR="00F257B9" w:rsidRDefault="00F257B9">
          <w:pPr>
            <w:divId w:val="241333838"/>
            <w:rPr>
              <w:rFonts w:eastAsia="Times New Roman"/>
            </w:rPr>
          </w:pPr>
          <w:r>
            <w:rPr>
              <w:rFonts w:eastAsia="Times New Roman"/>
            </w:rPr>
            <w:t xml:space="preserve">Tedesco, S. </w:t>
          </w:r>
          <w:r>
            <w:rPr>
              <w:rFonts w:eastAsia="Times New Roman"/>
              <w:i/>
              <w:iCs/>
            </w:rPr>
            <w:t>et al.</w:t>
          </w:r>
          <w:r>
            <w:rPr>
              <w:rFonts w:eastAsia="Times New Roman"/>
            </w:rPr>
            <w:t xml:space="preserve"> (2018) “Convenience versus Biological Significance: Are PMA-Differentiated THP-1 Cells a Reliable Substitute for Blood-Derived Macrophages When Studying in Vitro </w:t>
          </w:r>
          <w:proofErr w:type="gramStart"/>
          <w:r>
            <w:rPr>
              <w:rFonts w:eastAsia="Times New Roman"/>
            </w:rPr>
            <w:t>Polarization?,</w:t>
          </w:r>
          <w:proofErr w:type="gramEnd"/>
          <w:r>
            <w:rPr>
              <w:rFonts w:eastAsia="Times New Roman"/>
            </w:rPr>
            <w:t xml:space="preserve">” </w:t>
          </w:r>
          <w:r>
            <w:rPr>
              <w:rFonts w:eastAsia="Times New Roman"/>
              <w:i/>
              <w:iCs/>
            </w:rPr>
            <w:t>Frontiers in Pharmacology</w:t>
          </w:r>
          <w:r>
            <w:rPr>
              <w:rFonts w:eastAsia="Times New Roman"/>
            </w:rPr>
            <w:t>, 9(FEB), p. 71. doi:10.3389/fphar.2018.00071.</w:t>
          </w:r>
        </w:p>
        <w:p w14:paraId="69C621F7" w14:textId="77777777" w:rsidR="00F257B9" w:rsidRDefault="00F257B9">
          <w:pPr>
            <w:divId w:val="676998370"/>
            <w:rPr>
              <w:rFonts w:eastAsia="Times New Roman"/>
            </w:rPr>
          </w:pPr>
          <w:proofErr w:type="spellStart"/>
          <w:r>
            <w:rPr>
              <w:rFonts w:eastAsia="Times New Roman"/>
            </w:rPr>
            <w:t>Temperley</w:t>
          </w:r>
          <w:proofErr w:type="spellEnd"/>
          <w:r>
            <w:rPr>
              <w:rFonts w:eastAsia="Times New Roman"/>
            </w:rPr>
            <w:t xml:space="preserve">, N.D. </w:t>
          </w:r>
          <w:r>
            <w:rPr>
              <w:rFonts w:eastAsia="Times New Roman"/>
              <w:i/>
              <w:iCs/>
            </w:rPr>
            <w:t>et al.</w:t>
          </w:r>
          <w:r>
            <w:rPr>
              <w:rFonts w:eastAsia="Times New Roman"/>
            </w:rPr>
            <w:t xml:space="preserve"> (2008) “Evolution of the chicken Toll-like receptor gene family: A story of gene gain and gene loss,” </w:t>
          </w:r>
          <w:r>
            <w:rPr>
              <w:rFonts w:eastAsia="Times New Roman"/>
              <w:i/>
              <w:iCs/>
            </w:rPr>
            <w:t>BMC Genomics</w:t>
          </w:r>
          <w:r>
            <w:rPr>
              <w:rFonts w:eastAsia="Times New Roman"/>
            </w:rPr>
            <w:t>, 9(1), p. 62. doi:10.1186/1471-2164-9-62.</w:t>
          </w:r>
        </w:p>
        <w:p w14:paraId="7111DEC3" w14:textId="07074C63" w:rsidR="00F257B9" w:rsidRDefault="00F257B9">
          <w:pPr>
            <w:divId w:val="1586307055"/>
            <w:rPr>
              <w:rFonts w:eastAsia="Times New Roman"/>
            </w:rPr>
          </w:pPr>
          <w:proofErr w:type="spellStart"/>
          <w:r>
            <w:rPr>
              <w:rFonts w:eastAsia="Times New Roman"/>
            </w:rPr>
            <w:lastRenderedPageBreak/>
            <w:t>Tomasello</w:t>
          </w:r>
          <w:proofErr w:type="spellEnd"/>
          <w:r>
            <w:rPr>
              <w:rFonts w:eastAsia="Times New Roman"/>
            </w:rPr>
            <w:t xml:space="preserve">, G., Armenia, I. and </w:t>
          </w:r>
          <w:proofErr w:type="spellStart"/>
          <w:r>
            <w:rPr>
              <w:rFonts w:eastAsia="Times New Roman"/>
            </w:rPr>
            <w:t>Molla</w:t>
          </w:r>
          <w:proofErr w:type="spellEnd"/>
          <w:r>
            <w:rPr>
              <w:rFonts w:eastAsia="Times New Roman"/>
            </w:rPr>
            <w:t xml:space="preserve">, G. (2020) “The Protein Imager: a full-featured online molecular viewer interface with server-side HQ-rendering capabilities,” </w:t>
          </w:r>
          <w:r>
            <w:rPr>
              <w:rFonts w:eastAsia="Times New Roman"/>
              <w:i/>
              <w:iCs/>
            </w:rPr>
            <w:t>Bioinformatics (Oxford, England)</w:t>
          </w:r>
          <w:r>
            <w:rPr>
              <w:rFonts w:eastAsia="Times New Roman"/>
            </w:rPr>
            <w:t>, 36(9), pp. 2909–2911. doi:10.1093/BIOINFORMATICS/BTAA009.</w:t>
          </w:r>
        </w:p>
        <w:p w14:paraId="559BDD78" w14:textId="77777777" w:rsidR="00F257B9" w:rsidRDefault="00F257B9">
          <w:pPr>
            <w:divId w:val="511380751"/>
            <w:rPr>
              <w:rFonts w:eastAsia="Times New Roman"/>
            </w:rPr>
          </w:pPr>
          <w:r>
            <w:rPr>
              <w:rFonts w:eastAsia="Times New Roman"/>
            </w:rPr>
            <w:t xml:space="preserve">Tsukamoto, H. </w:t>
          </w:r>
          <w:r>
            <w:rPr>
              <w:rFonts w:eastAsia="Times New Roman"/>
              <w:i/>
              <w:iCs/>
            </w:rPr>
            <w:t>et al.</w:t>
          </w:r>
          <w:r>
            <w:rPr>
              <w:rFonts w:eastAsia="Times New Roman"/>
            </w:rPr>
            <w:t xml:space="preserve"> (2018) “Lipopolysaccharide (LPS)-binding protein stimulates CD14-dependent Toll-like receptor 4 internalization and LPS-induced TBK1-IKKα-IRF3 axis activation,” </w:t>
          </w:r>
          <w:r>
            <w:rPr>
              <w:rFonts w:eastAsia="Times New Roman"/>
              <w:i/>
              <w:iCs/>
            </w:rPr>
            <w:t>Journal of Biological Chemistry</w:t>
          </w:r>
          <w:r>
            <w:rPr>
              <w:rFonts w:eastAsia="Times New Roman"/>
            </w:rPr>
            <w:t>, 293(26), pp. 10186–10201. doi:10.1074/jbc.M117.796631.</w:t>
          </w:r>
        </w:p>
        <w:p w14:paraId="578C1D88" w14:textId="77777777" w:rsidR="00F257B9" w:rsidRDefault="00F257B9">
          <w:pPr>
            <w:divId w:val="1941058805"/>
            <w:rPr>
              <w:rFonts w:eastAsia="Times New Roman"/>
            </w:rPr>
          </w:pPr>
          <w:proofErr w:type="spellStart"/>
          <w:r>
            <w:rPr>
              <w:rFonts w:eastAsia="Times New Roman"/>
            </w:rPr>
            <w:t>Ve</w:t>
          </w:r>
          <w:proofErr w:type="spellEnd"/>
          <w:r>
            <w:rPr>
              <w:rFonts w:eastAsia="Times New Roman"/>
            </w:rPr>
            <w:t xml:space="preserve">, T. </w:t>
          </w:r>
          <w:r>
            <w:rPr>
              <w:rFonts w:eastAsia="Times New Roman"/>
              <w:i/>
              <w:iCs/>
            </w:rPr>
            <w:t>et al.</w:t>
          </w:r>
          <w:r>
            <w:rPr>
              <w:rFonts w:eastAsia="Times New Roman"/>
            </w:rPr>
            <w:t xml:space="preserve"> (2012) “Adaptors in Toll-Like Receptor </w:t>
          </w:r>
          <w:proofErr w:type="spellStart"/>
          <w:r>
            <w:rPr>
              <w:rFonts w:eastAsia="Times New Roman"/>
            </w:rPr>
            <w:t>Signaling</w:t>
          </w:r>
          <w:proofErr w:type="spellEnd"/>
          <w:r>
            <w:rPr>
              <w:rFonts w:eastAsia="Times New Roman"/>
            </w:rPr>
            <w:t xml:space="preserve"> and their Potential as Therapeutic Targets,” </w:t>
          </w:r>
          <w:r>
            <w:rPr>
              <w:rFonts w:eastAsia="Times New Roman"/>
              <w:i/>
              <w:iCs/>
            </w:rPr>
            <w:t>Current Drug Targets</w:t>
          </w:r>
          <w:r>
            <w:rPr>
              <w:rFonts w:eastAsia="Times New Roman"/>
            </w:rPr>
            <w:t>, 13(11), pp. 1360–1374. doi:10.2174/138945012803530260.</w:t>
          </w:r>
        </w:p>
        <w:p w14:paraId="3555DB8D" w14:textId="77777777" w:rsidR="00F257B9" w:rsidRDefault="00F257B9">
          <w:pPr>
            <w:divId w:val="630939065"/>
            <w:rPr>
              <w:rFonts w:eastAsia="Times New Roman"/>
            </w:rPr>
          </w:pPr>
          <w:proofErr w:type="spellStart"/>
          <w:r>
            <w:rPr>
              <w:rFonts w:eastAsia="Times New Roman"/>
            </w:rPr>
            <w:t>Ve</w:t>
          </w:r>
          <w:proofErr w:type="spellEnd"/>
          <w:r>
            <w:rPr>
              <w:rFonts w:eastAsia="Times New Roman"/>
            </w:rPr>
            <w:t xml:space="preserve">, T. </w:t>
          </w:r>
          <w:r>
            <w:rPr>
              <w:rFonts w:eastAsia="Times New Roman"/>
              <w:i/>
              <w:iCs/>
            </w:rPr>
            <w:t>et al.</w:t>
          </w:r>
          <w:r>
            <w:rPr>
              <w:rFonts w:eastAsia="Times New Roman"/>
            </w:rPr>
            <w:t xml:space="preserve"> (2017) “Structural basis of TIR-domain-assembly formation in MAL- and MyD88-dependent TLR4 </w:t>
          </w:r>
          <w:proofErr w:type="spellStart"/>
          <w:r>
            <w:rPr>
              <w:rFonts w:eastAsia="Times New Roman"/>
            </w:rPr>
            <w:t>signaling</w:t>
          </w:r>
          <w:proofErr w:type="spellEnd"/>
          <w:r>
            <w:rPr>
              <w:rFonts w:eastAsia="Times New Roman"/>
            </w:rPr>
            <w:t xml:space="preserve">,” </w:t>
          </w:r>
          <w:r>
            <w:rPr>
              <w:rFonts w:eastAsia="Times New Roman"/>
              <w:i/>
              <w:iCs/>
            </w:rPr>
            <w:t>Nature Structural &amp; Molecular Biology 2017 24:9</w:t>
          </w:r>
          <w:r>
            <w:rPr>
              <w:rFonts w:eastAsia="Times New Roman"/>
            </w:rPr>
            <w:t>, 24(9), pp. 743–751. doi:10.1038/nsmb.3444.</w:t>
          </w:r>
        </w:p>
        <w:p w14:paraId="39D46E57" w14:textId="77777777" w:rsidR="00F257B9" w:rsidRDefault="00F257B9">
          <w:pPr>
            <w:divId w:val="476722919"/>
            <w:rPr>
              <w:rFonts w:eastAsia="Times New Roman"/>
            </w:rPr>
          </w:pPr>
          <w:r>
            <w:rPr>
              <w:rFonts w:eastAsia="Times New Roman"/>
            </w:rPr>
            <w:t xml:space="preserve">Vincent, J.-L. </w:t>
          </w:r>
          <w:r>
            <w:rPr>
              <w:rFonts w:eastAsia="Times New Roman"/>
              <w:i/>
              <w:iCs/>
            </w:rPr>
            <w:t>et al.</w:t>
          </w:r>
          <w:r>
            <w:rPr>
              <w:rFonts w:eastAsia="Times New Roman"/>
            </w:rPr>
            <w:t xml:space="preserve"> (2005) “A PILOT-CONTROLLED STUDY OF A POLYMYXIN B-IMMOBILIZED HEMOPERFUSION CARTRIDGE IN PATIENTS WITH SEVERE SEPSIS SECONDARY TO INTRA-ABDOMINAL INFECTION,” </w:t>
          </w:r>
          <w:r>
            <w:rPr>
              <w:rFonts w:eastAsia="Times New Roman"/>
              <w:i/>
              <w:iCs/>
            </w:rPr>
            <w:t>Shock</w:t>
          </w:r>
          <w:r>
            <w:rPr>
              <w:rFonts w:eastAsia="Times New Roman"/>
            </w:rPr>
            <w:t xml:space="preserve">, 23(5), pp. 400–405. </w:t>
          </w:r>
          <w:proofErr w:type="gramStart"/>
          <w:r>
            <w:rPr>
              <w:rFonts w:eastAsia="Times New Roman"/>
            </w:rPr>
            <w:t>doi:10.1097/01.shk</w:t>
          </w:r>
          <w:proofErr w:type="gramEnd"/>
          <w:r>
            <w:rPr>
              <w:rFonts w:eastAsia="Times New Roman"/>
            </w:rPr>
            <w:t>.0000159930.87737.8a.</w:t>
          </w:r>
        </w:p>
        <w:p w14:paraId="2599C956" w14:textId="77777777" w:rsidR="00F257B9" w:rsidRDefault="00F257B9">
          <w:pPr>
            <w:divId w:val="1348025418"/>
            <w:rPr>
              <w:rFonts w:eastAsia="Times New Roman"/>
            </w:rPr>
          </w:pPr>
          <w:proofErr w:type="spellStart"/>
          <w:r>
            <w:rPr>
              <w:rFonts w:eastAsia="Times New Roman"/>
            </w:rPr>
            <w:t>Vink</w:t>
          </w:r>
          <w:proofErr w:type="spellEnd"/>
          <w:r>
            <w:rPr>
              <w:rFonts w:eastAsia="Times New Roman"/>
            </w:rPr>
            <w:t xml:space="preserve">, A. </w:t>
          </w:r>
          <w:r>
            <w:rPr>
              <w:rFonts w:eastAsia="Times New Roman"/>
              <w:i/>
              <w:iCs/>
            </w:rPr>
            <w:t>et al.</w:t>
          </w:r>
          <w:r>
            <w:rPr>
              <w:rFonts w:eastAsia="Times New Roman"/>
            </w:rPr>
            <w:t xml:space="preserve"> (2002) “In vivo evidence for a role of toll-like receptor 4 in the development of intimal lesions.,” </w:t>
          </w:r>
          <w:r>
            <w:rPr>
              <w:rFonts w:eastAsia="Times New Roman"/>
              <w:i/>
              <w:iCs/>
            </w:rPr>
            <w:t>Circulation</w:t>
          </w:r>
          <w:r>
            <w:rPr>
              <w:rFonts w:eastAsia="Times New Roman"/>
            </w:rPr>
            <w:t>, 106(15), pp. 1985–90. Available at: http://www.ncbi.nlm.nih.gov/pubmed/12370224 (Accessed: April 5, 2018).</w:t>
          </w:r>
        </w:p>
        <w:p w14:paraId="17CDB7E5" w14:textId="77777777" w:rsidR="00F257B9" w:rsidRDefault="00F257B9">
          <w:pPr>
            <w:divId w:val="142086656"/>
            <w:rPr>
              <w:rFonts w:eastAsia="Times New Roman"/>
            </w:rPr>
          </w:pPr>
          <w:proofErr w:type="spellStart"/>
          <w:r>
            <w:rPr>
              <w:rFonts w:eastAsia="Times New Roman"/>
            </w:rPr>
            <w:t>Vorkapic</w:t>
          </w:r>
          <w:proofErr w:type="spellEnd"/>
          <w:r>
            <w:rPr>
              <w:rFonts w:eastAsia="Times New Roman"/>
            </w:rPr>
            <w:t xml:space="preserve">, E. </w:t>
          </w:r>
          <w:r>
            <w:rPr>
              <w:rFonts w:eastAsia="Times New Roman"/>
              <w:i/>
              <w:iCs/>
            </w:rPr>
            <w:t>et al.</w:t>
          </w:r>
          <w:r>
            <w:rPr>
              <w:rFonts w:eastAsia="Times New Roman"/>
            </w:rPr>
            <w:t xml:space="preserve"> (2015) “TRIF adaptor </w:t>
          </w:r>
          <w:proofErr w:type="spellStart"/>
          <w:r>
            <w:rPr>
              <w:rFonts w:eastAsia="Times New Roman"/>
            </w:rPr>
            <w:t>signaling</w:t>
          </w:r>
          <w:proofErr w:type="spellEnd"/>
          <w:r>
            <w:rPr>
              <w:rFonts w:eastAsia="Times New Roman"/>
            </w:rPr>
            <w:t xml:space="preserve"> is important in abdominal aortic aneurysm formation,” </w:t>
          </w:r>
          <w:r>
            <w:rPr>
              <w:rFonts w:eastAsia="Times New Roman"/>
              <w:i/>
              <w:iCs/>
            </w:rPr>
            <w:t>Atherosclerosis</w:t>
          </w:r>
          <w:r>
            <w:rPr>
              <w:rFonts w:eastAsia="Times New Roman"/>
            </w:rPr>
            <w:t xml:space="preserve">, 241(2), pp. 561–568. </w:t>
          </w:r>
          <w:proofErr w:type="gramStart"/>
          <w:r>
            <w:rPr>
              <w:rFonts w:eastAsia="Times New Roman"/>
            </w:rPr>
            <w:t>doi:10.1016/j.atherosclerosis</w:t>
          </w:r>
          <w:proofErr w:type="gramEnd"/>
          <w:r>
            <w:rPr>
              <w:rFonts w:eastAsia="Times New Roman"/>
            </w:rPr>
            <w:t>.2015.06.014.</w:t>
          </w:r>
        </w:p>
        <w:p w14:paraId="4A1482E4" w14:textId="77777777" w:rsidR="00F257B9" w:rsidRDefault="00F257B9">
          <w:pPr>
            <w:divId w:val="127823980"/>
            <w:rPr>
              <w:rFonts w:eastAsia="Times New Roman"/>
            </w:rPr>
          </w:pPr>
          <w:r>
            <w:rPr>
              <w:rFonts w:eastAsia="Times New Roman"/>
            </w:rPr>
            <w:t xml:space="preserve">de Waal </w:t>
          </w:r>
          <w:proofErr w:type="spellStart"/>
          <w:r>
            <w:rPr>
              <w:rFonts w:eastAsia="Times New Roman"/>
            </w:rPr>
            <w:t>Malefyt</w:t>
          </w:r>
          <w:proofErr w:type="spellEnd"/>
          <w:r>
            <w:rPr>
              <w:rFonts w:eastAsia="Times New Roman"/>
            </w:rPr>
            <w:t xml:space="preserve">, R. </w:t>
          </w:r>
          <w:r>
            <w:rPr>
              <w:rFonts w:eastAsia="Times New Roman"/>
              <w:i/>
              <w:iCs/>
            </w:rPr>
            <w:t>et al.</w:t>
          </w:r>
          <w:r>
            <w:rPr>
              <w:rFonts w:eastAsia="Times New Roman"/>
            </w:rPr>
            <w:t xml:space="preserve"> (1993) “Effects of IL-13 on phenotype, cytokine production, and cytotoxic function of human monocytes. Comparison with IL-4 and modulation by IFN-gamma or IL-10.,” </w:t>
          </w:r>
          <w:r>
            <w:rPr>
              <w:rFonts w:eastAsia="Times New Roman"/>
              <w:i/>
              <w:iCs/>
            </w:rPr>
            <w:t>The Journal of Immunology</w:t>
          </w:r>
          <w:r>
            <w:rPr>
              <w:rFonts w:eastAsia="Times New Roman"/>
            </w:rPr>
            <w:t>, 151(11).</w:t>
          </w:r>
        </w:p>
        <w:p w14:paraId="0FEE2F3C" w14:textId="77777777" w:rsidR="00F257B9" w:rsidRDefault="00F257B9">
          <w:pPr>
            <w:divId w:val="2009097337"/>
            <w:rPr>
              <w:rFonts w:eastAsia="Times New Roman"/>
            </w:rPr>
          </w:pPr>
          <w:r>
            <w:rPr>
              <w:rFonts w:eastAsia="Times New Roman"/>
            </w:rPr>
            <w:t xml:space="preserve">Wang, C., Deng, L., Hong, M., </w:t>
          </w:r>
          <w:proofErr w:type="spellStart"/>
          <w:r>
            <w:rPr>
              <w:rFonts w:eastAsia="Times New Roman"/>
            </w:rPr>
            <w:t>Akkaraju</w:t>
          </w:r>
          <w:proofErr w:type="spellEnd"/>
          <w:r>
            <w:rPr>
              <w:rFonts w:eastAsia="Times New Roman"/>
            </w:rPr>
            <w:t xml:space="preserve">, G.R., Inoue, J., </w:t>
          </w:r>
          <w:r>
            <w:rPr>
              <w:rFonts w:eastAsia="Times New Roman"/>
              <w:i/>
              <w:iCs/>
            </w:rPr>
            <w:t>et al.</w:t>
          </w:r>
          <w:r>
            <w:rPr>
              <w:rFonts w:eastAsia="Times New Roman"/>
            </w:rPr>
            <w:t xml:space="preserve"> (2001) “TAK1 is a ubiquitin-dependent kinase of MKK and IKK,” </w:t>
          </w:r>
          <w:r>
            <w:rPr>
              <w:rFonts w:eastAsia="Times New Roman"/>
              <w:i/>
              <w:iCs/>
            </w:rPr>
            <w:t>Nature 2001 412:6844</w:t>
          </w:r>
          <w:r>
            <w:rPr>
              <w:rFonts w:eastAsia="Times New Roman"/>
            </w:rPr>
            <w:t>, 412(6844), pp. 346–351. doi:10.1038/35085597.</w:t>
          </w:r>
        </w:p>
        <w:p w14:paraId="1813CAA9" w14:textId="77777777" w:rsidR="00F257B9" w:rsidRDefault="00F257B9">
          <w:pPr>
            <w:divId w:val="510948393"/>
            <w:rPr>
              <w:rFonts w:eastAsia="Times New Roman"/>
            </w:rPr>
          </w:pPr>
          <w:r>
            <w:rPr>
              <w:rFonts w:eastAsia="Times New Roman"/>
            </w:rPr>
            <w:lastRenderedPageBreak/>
            <w:t xml:space="preserve">Wang, J.C. and Bennett, M. (2012) “Aging and atherosclerosis: Mechanisms, functional consequences, and potential therapeutics for cellular senescence,” </w:t>
          </w:r>
          <w:r>
            <w:rPr>
              <w:rFonts w:eastAsia="Times New Roman"/>
              <w:i/>
              <w:iCs/>
            </w:rPr>
            <w:t>Circulation Research</w:t>
          </w:r>
          <w:r>
            <w:rPr>
              <w:rFonts w:eastAsia="Times New Roman"/>
            </w:rPr>
            <w:t xml:space="preserve">. Lippincott Williams &amp; Wilkins Hagerstown, </w:t>
          </w:r>
          <w:proofErr w:type="gramStart"/>
          <w:r>
            <w:rPr>
              <w:rFonts w:eastAsia="Times New Roman"/>
            </w:rPr>
            <w:t>MD ,</w:t>
          </w:r>
          <w:proofErr w:type="gramEnd"/>
          <w:r>
            <w:rPr>
              <w:rFonts w:eastAsia="Times New Roman"/>
            </w:rPr>
            <w:t xml:space="preserve"> pp. 245–259. doi:10.1161/CIRCRESAHA.111.261388.</w:t>
          </w:r>
        </w:p>
        <w:p w14:paraId="4A52832B" w14:textId="77777777" w:rsidR="00F257B9" w:rsidRDefault="00F257B9">
          <w:pPr>
            <w:divId w:val="1976598432"/>
            <w:rPr>
              <w:rFonts w:eastAsia="Times New Roman"/>
            </w:rPr>
          </w:pPr>
          <w:r>
            <w:rPr>
              <w:rFonts w:eastAsia="Times New Roman"/>
            </w:rPr>
            <w:t xml:space="preserve">Wang, Y. </w:t>
          </w:r>
          <w:r>
            <w:rPr>
              <w:rFonts w:eastAsia="Times New Roman"/>
              <w:i/>
              <w:iCs/>
            </w:rPr>
            <w:t>et al.</w:t>
          </w:r>
          <w:r>
            <w:rPr>
              <w:rFonts w:eastAsia="Times New Roman"/>
            </w:rPr>
            <w:t xml:space="preserve"> (2016) “TLR4/MD-2 activation by a synthetic agonist with no similarity to LPS,” </w:t>
          </w:r>
          <w:r>
            <w:rPr>
              <w:rFonts w:eastAsia="Times New Roman"/>
              <w:i/>
              <w:iCs/>
            </w:rPr>
            <w:t>Proceedings of the National Academy of Sciences of the United States of America</w:t>
          </w:r>
          <w:r>
            <w:rPr>
              <w:rFonts w:eastAsia="Times New Roman"/>
            </w:rPr>
            <w:t>, 113(7), pp. E884–E893. doi:10.1073/pnas.1525639113.</w:t>
          </w:r>
        </w:p>
        <w:p w14:paraId="5A7EF74A" w14:textId="77777777" w:rsidR="00F257B9" w:rsidRDefault="00F257B9">
          <w:pPr>
            <w:divId w:val="1515532652"/>
            <w:rPr>
              <w:rFonts w:eastAsia="Times New Roman"/>
            </w:rPr>
          </w:pPr>
          <w:r>
            <w:rPr>
              <w:rFonts w:eastAsia="Times New Roman"/>
            </w:rPr>
            <w:t xml:space="preserve">Weber, A.N.R., Morse, M.A. and Gay, N.J. (2004) “Four N-linked glycosylation sites in human toll-like receptor 2 cooperate to direct efficient biosynthesis and secretion,” </w:t>
          </w:r>
          <w:r>
            <w:rPr>
              <w:rFonts w:eastAsia="Times New Roman"/>
              <w:i/>
              <w:iCs/>
            </w:rPr>
            <w:t>Journal of Biological Chemistry</w:t>
          </w:r>
          <w:r>
            <w:rPr>
              <w:rFonts w:eastAsia="Times New Roman"/>
            </w:rPr>
            <w:t>, 279(33), pp. 34589–34594. doi:10.1074/jbc.M403830200.</w:t>
          </w:r>
        </w:p>
        <w:p w14:paraId="53E1B696" w14:textId="77777777" w:rsidR="00F257B9" w:rsidRDefault="00F257B9">
          <w:pPr>
            <w:divId w:val="540821529"/>
            <w:rPr>
              <w:rFonts w:eastAsia="Times New Roman"/>
            </w:rPr>
          </w:pPr>
          <w:proofErr w:type="spellStart"/>
          <w:r>
            <w:rPr>
              <w:rFonts w:eastAsia="Times New Roman"/>
            </w:rPr>
            <w:t>Widlansky</w:t>
          </w:r>
          <w:proofErr w:type="spellEnd"/>
          <w:r>
            <w:rPr>
              <w:rFonts w:eastAsia="Times New Roman"/>
            </w:rPr>
            <w:t xml:space="preserve">, M.E. </w:t>
          </w:r>
          <w:r>
            <w:rPr>
              <w:rFonts w:eastAsia="Times New Roman"/>
              <w:i/>
              <w:iCs/>
            </w:rPr>
            <w:t>et al.</w:t>
          </w:r>
          <w:r>
            <w:rPr>
              <w:rFonts w:eastAsia="Times New Roman"/>
            </w:rPr>
            <w:t xml:space="preserve"> (2003) “The clinical implications of endothelial dysfunction,” </w:t>
          </w:r>
          <w:r>
            <w:rPr>
              <w:rFonts w:eastAsia="Times New Roman"/>
              <w:i/>
              <w:iCs/>
            </w:rPr>
            <w:t>Journal of the American College of Cardiology</w:t>
          </w:r>
          <w:r>
            <w:rPr>
              <w:rFonts w:eastAsia="Times New Roman"/>
            </w:rPr>
            <w:t>. Elsevier Inc., pp. 1149–1160. doi:10.1016/S0735-1097(03)00994-X.</w:t>
          </w:r>
        </w:p>
        <w:p w14:paraId="15267721" w14:textId="77777777" w:rsidR="00F257B9" w:rsidRDefault="00F257B9">
          <w:pPr>
            <w:divId w:val="226573980"/>
            <w:rPr>
              <w:rFonts w:eastAsia="Times New Roman"/>
            </w:rPr>
          </w:pPr>
          <w:r>
            <w:rPr>
              <w:rFonts w:eastAsia="Times New Roman"/>
            </w:rPr>
            <w:t xml:space="preserve">Wilkins, E. </w:t>
          </w:r>
          <w:r>
            <w:rPr>
              <w:rFonts w:eastAsia="Times New Roman"/>
              <w:i/>
              <w:iCs/>
            </w:rPr>
            <w:t>et al.</w:t>
          </w:r>
          <w:r>
            <w:rPr>
              <w:rFonts w:eastAsia="Times New Roman"/>
            </w:rPr>
            <w:t xml:space="preserve"> (2017) </w:t>
          </w:r>
          <w:r>
            <w:rPr>
              <w:rFonts w:eastAsia="Times New Roman"/>
              <w:i/>
              <w:iCs/>
            </w:rPr>
            <w:t>European Cardiovascular Disease Statistics 2017 edition</w:t>
          </w:r>
          <w:r>
            <w:rPr>
              <w:rFonts w:eastAsia="Times New Roman"/>
            </w:rPr>
            <w:t>. Available at: www.ehnheart.org (Accessed: January 26, 2021).</w:t>
          </w:r>
        </w:p>
        <w:p w14:paraId="7FB4F045" w14:textId="77777777" w:rsidR="00F257B9" w:rsidRDefault="00F257B9">
          <w:pPr>
            <w:divId w:val="1944265281"/>
            <w:rPr>
              <w:rFonts w:eastAsia="Times New Roman"/>
            </w:rPr>
          </w:pPr>
          <w:r>
            <w:rPr>
              <w:rFonts w:eastAsia="Times New Roman"/>
            </w:rPr>
            <w:t xml:space="preserve">Xu, X. </w:t>
          </w:r>
          <w:r>
            <w:rPr>
              <w:rFonts w:eastAsia="Times New Roman"/>
              <w:i/>
              <w:iCs/>
            </w:rPr>
            <w:t>et al.</w:t>
          </w:r>
          <w:r>
            <w:rPr>
              <w:rFonts w:eastAsia="Times New Roman"/>
            </w:rPr>
            <w:t xml:space="preserve"> (2017) “Age-related Impairment of Vascular Structure and Functions.,” </w:t>
          </w:r>
          <w:r>
            <w:rPr>
              <w:rFonts w:eastAsia="Times New Roman"/>
              <w:i/>
              <w:iCs/>
            </w:rPr>
            <w:t>Aging and disease</w:t>
          </w:r>
          <w:r>
            <w:rPr>
              <w:rFonts w:eastAsia="Times New Roman"/>
            </w:rPr>
            <w:t>, 8(5), pp. 590–610. doi:10.14336/AD.2017.0430.</w:t>
          </w:r>
        </w:p>
        <w:p w14:paraId="5B728B9D" w14:textId="77777777" w:rsidR="00F257B9" w:rsidRDefault="00F257B9">
          <w:pPr>
            <w:divId w:val="544684033"/>
            <w:rPr>
              <w:rFonts w:eastAsia="Times New Roman"/>
            </w:rPr>
          </w:pPr>
          <w:r>
            <w:rPr>
              <w:rFonts w:eastAsia="Times New Roman"/>
            </w:rPr>
            <w:t xml:space="preserve">Xu, X.H. </w:t>
          </w:r>
          <w:r>
            <w:rPr>
              <w:rFonts w:eastAsia="Times New Roman"/>
              <w:i/>
              <w:iCs/>
            </w:rPr>
            <w:t>et al.</w:t>
          </w:r>
          <w:r>
            <w:rPr>
              <w:rFonts w:eastAsia="Times New Roman"/>
            </w:rPr>
            <w:t xml:space="preserve"> (2001) “Toll-like receptor-4 is expressed by macrophages in murine and human lipid-rich atherosclerotic plaques and upregulated by oxidized LDL.,” </w:t>
          </w:r>
          <w:r>
            <w:rPr>
              <w:rFonts w:eastAsia="Times New Roman"/>
              <w:i/>
              <w:iCs/>
            </w:rPr>
            <w:t>Circulation</w:t>
          </w:r>
          <w:r>
            <w:rPr>
              <w:rFonts w:eastAsia="Times New Roman"/>
            </w:rPr>
            <w:t>, 104(25), pp. 3103–8. Available at: http://www.ncbi.nlm.nih.gov/pubmed/11748108 (Accessed: April 5, 2018).</w:t>
          </w:r>
        </w:p>
        <w:p w14:paraId="5462EC50" w14:textId="77777777" w:rsidR="00F257B9" w:rsidRDefault="00F257B9">
          <w:pPr>
            <w:divId w:val="418597691"/>
            <w:rPr>
              <w:rFonts w:eastAsia="Times New Roman"/>
            </w:rPr>
          </w:pPr>
          <w:r>
            <w:rPr>
              <w:rFonts w:eastAsia="Times New Roman"/>
            </w:rPr>
            <w:t xml:space="preserve">Xu, Y. </w:t>
          </w:r>
          <w:r>
            <w:rPr>
              <w:rFonts w:eastAsia="Times New Roman"/>
              <w:i/>
              <w:iCs/>
            </w:rPr>
            <w:t>et al.</w:t>
          </w:r>
          <w:r>
            <w:rPr>
              <w:rFonts w:eastAsia="Times New Roman"/>
            </w:rPr>
            <w:t xml:space="preserve"> (2000) “Structural basis for signal transduction by the toll/interleukin-1 receptor domains,” </w:t>
          </w:r>
          <w:r>
            <w:rPr>
              <w:rFonts w:eastAsia="Times New Roman"/>
              <w:i/>
              <w:iCs/>
            </w:rPr>
            <w:t>Nature</w:t>
          </w:r>
          <w:r>
            <w:rPr>
              <w:rFonts w:eastAsia="Times New Roman"/>
            </w:rPr>
            <w:t>, 408(6808), pp. 111–115. doi:10.1038/35040600.</w:t>
          </w:r>
        </w:p>
        <w:p w14:paraId="72109093" w14:textId="77777777" w:rsidR="00F257B9" w:rsidRDefault="00F257B9">
          <w:pPr>
            <w:divId w:val="753478886"/>
            <w:rPr>
              <w:rFonts w:eastAsia="Times New Roman"/>
            </w:rPr>
          </w:pPr>
          <w:r>
            <w:rPr>
              <w:rFonts w:eastAsia="Times New Roman"/>
            </w:rPr>
            <w:t xml:space="preserve">Yamamoto, M. </w:t>
          </w:r>
          <w:r>
            <w:rPr>
              <w:rFonts w:eastAsia="Times New Roman"/>
              <w:i/>
              <w:iCs/>
            </w:rPr>
            <w:t>et al.</w:t>
          </w:r>
          <w:r>
            <w:rPr>
              <w:rFonts w:eastAsia="Times New Roman"/>
            </w:rPr>
            <w:t xml:space="preserve"> (2003) “Role of adaptor TRIF in the MyD88-independent toll-like receptor </w:t>
          </w:r>
          <w:proofErr w:type="spellStart"/>
          <w:r>
            <w:rPr>
              <w:rFonts w:eastAsia="Times New Roman"/>
            </w:rPr>
            <w:t>signaling</w:t>
          </w:r>
          <w:proofErr w:type="spellEnd"/>
          <w:r>
            <w:rPr>
              <w:rFonts w:eastAsia="Times New Roman"/>
            </w:rPr>
            <w:t xml:space="preserve"> pathway,” </w:t>
          </w:r>
          <w:r>
            <w:rPr>
              <w:rFonts w:eastAsia="Times New Roman"/>
              <w:i/>
              <w:iCs/>
            </w:rPr>
            <w:t>Science</w:t>
          </w:r>
          <w:r>
            <w:rPr>
              <w:rFonts w:eastAsia="Times New Roman"/>
            </w:rPr>
            <w:t>, 301(5633), pp. 640–643. doi:10.1126/science.1087262.</w:t>
          </w:r>
        </w:p>
        <w:p w14:paraId="00875D9A" w14:textId="77777777" w:rsidR="00F257B9" w:rsidRDefault="00F257B9">
          <w:pPr>
            <w:divId w:val="283391875"/>
            <w:rPr>
              <w:rFonts w:eastAsia="Times New Roman"/>
            </w:rPr>
          </w:pPr>
          <w:proofErr w:type="spellStart"/>
          <w:r>
            <w:rPr>
              <w:rFonts w:eastAsia="Times New Roman"/>
            </w:rPr>
            <w:lastRenderedPageBreak/>
            <w:t>Yıldırım</w:t>
          </w:r>
          <w:proofErr w:type="spellEnd"/>
          <w:r>
            <w:rPr>
              <w:rFonts w:eastAsia="Times New Roman"/>
            </w:rPr>
            <w:t xml:space="preserve">, C. </w:t>
          </w:r>
          <w:r>
            <w:rPr>
              <w:rFonts w:eastAsia="Times New Roman"/>
              <w:i/>
              <w:iCs/>
            </w:rPr>
            <w:t>et al.</w:t>
          </w:r>
          <w:r>
            <w:rPr>
              <w:rFonts w:eastAsia="Times New Roman"/>
            </w:rPr>
            <w:t xml:space="preserve"> (2015) “IFN-β affects the angiogenic potential of circulating angiogenic cells by activating calpain 1,” </w:t>
          </w:r>
          <w:r>
            <w:rPr>
              <w:rFonts w:eastAsia="Times New Roman"/>
              <w:i/>
              <w:iCs/>
            </w:rPr>
            <w:t>American Journal of Physiology-Heart and Circulatory Physiology</w:t>
          </w:r>
          <w:r>
            <w:rPr>
              <w:rFonts w:eastAsia="Times New Roman"/>
            </w:rPr>
            <w:t>, 309(10), pp. H1667–H1678. doi:10.1152/ajpheart.00810.2014.</w:t>
          </w:r>
        </w:p>
        <w:p w14:paraId="641E9CB5" w14:textId="77777777" w:rsidR="00F257B9" w:rsidRDefault="00F257B9">
          <w:pPr>
            <w:divId w:val="1186016199"/>
            <w:rPr>
              <w:rFonts w:eastAsia="Times New Roman"/>
            </w:rPr>
          </w:pPr>
          <w:r>
            <w:rPr>
              <w:rFonts w:eastAsia="Times New Roman"/>
            </w:rPr>
            <w:t xml:space="preserve">Yuk, C.M. </w:t>
          </w:r>
          <w:r>
            <w:rPr>
              <w:rFonts w:eastAsia="Times New Roman"/>
              <w:i/>
              <w:iCs/>
            </w:rPr>
            <w:t>et al.</w:t>
          </w:r>
          <w:r>
            <w:rPr>
              <w:rFonts w:eastAsia="Times New Roman"/>
            </w:rPr>
            <w:t xml:space="preserve"> (2017) “Basophil-derived IL-6 regulates TH17 cell differentiation and CD4 T cell immunity,” </w:t>
          </w:r>
          <w:r>
            <w:rPr>
              <w:rFonts w:eastAsia="Times New Roman"/>
              <w:i/>
              <w:iCs/>
            </w:rPr>
            <w:t>Scientific Reports</w:t>
          </w:r>
          <w:r>
            <w:rPr>
              <w:rFonts w:eastAsia="Times New Roman"/>
            </w:rPr>
            <w:t>, 7(1), pp. 1–14. doi:10.1038/srep41744.</w:t>
          </w:r>
        </w:p>
        <w:p w14:paraId="056EBBB4" w14:textId="77777777" w:rsidR="00F257B9" w:rsidRDefault="00F257B9">
          <w:pPr>
            <w:divId w:val="93862873"/>
            <w:rPr>
              <w:rFonts w:eastAsia="Times New Roman"/>
            </w:rPr>
          </w:pPr>
          <w:r>
            <w:rPr>
              <w:rFonts w:eastAsia="Times New Roman"/>
            </w:rPr>
            <w:t xml:space="preserve">Zhang, B. </w:t>
          </w:r>
          <w:r>
            <w:rPr>
              <w:rFonts w:eastAsia="Times New Roman"/>
              <w:i/>
              <w:iCs/>
            </w:rPr>
            <w:t>et al.</w:t>
          </w:r>
          <w:r>
            <w:rPr>
              <w:rFonts w:eastAsia="Times New Roman"/>
            </w:rPr>
            <w:t xml:space="preserve"> (2018) “Interleukin-6 as a Predictor of the Risk of Cardiovascular Disease: A Meta-Analysis of Prospective Epidemiological Studies,” </w:t>
          </w:r>
          <w:r>
            <w:rPr>
              <w:rFonts w:eastAsia="Times New Roman"/>
              <w:i/>
              <w:iCs/>
            </w:rPr>
            <w:t>Immunological Investigations</w:t>
          </w:r>
          <w:r>
            <w:rPr>
              <w:rFonts w:eastAsia="Times New Roman"/>
            </w:rPr>
            <w:t>, 47(7), pp. 689–699. doi:10.1080/08820139.2018.1480034.</w:t>
          </w:r>
        </w:p>
        <w:p w14:paraId="04238F35" w14:textId="77777777" w:rsidR="00F257B9" w:rsidRDefault="00F257B9">
          <w:pPr>
            <w:divId w:val="408506560"/>
            <w:rPr>
              <w:rFonts w:eastAsia="Times New Roman"/>
            </w:rPr>
          </w:pPr>
          <w:r>
            <w:rPr>
              <w:rFonts w:eastAsia="Times New Roman"/>
            </w:rPr>
            <w:t xml:space="preserve">Zhang, H. </w:t>
          </w:r>
          <w:r>
            <w:rPr>
              <w:rFonts w:eastAsia="Times New Roman"/>
              <w:i/>
              <w:iCs/>
            </w:rPr>
            <w:t>et al.</w:t>
          </w:r>
          <w:r>
            <w:rPr>
              <w:rFonts w:eastAsia="Times New Roman"/>
            </w:rPr>
            <w:t xml:space="preserve"> (2009) “Role of TNF-α in vascular dysfunction,” </w:t>
          </w:r>
          <w:r>
            <w:rPr>
              <w:rFonts w:eastAsia="Times New Roman"/>
              <w:i/>
              <w:iCs/>
            </w:rPr>
            <w:t>Clinical Science</w:t>
          </w:r>
          <w:r>
            <w:rPr>
              <w:rFonts w:eastAsia="Times New Roman"/>
            </w:rPr>
            <w:t>. Portland Press, pp. 219–230. doi:10.1042/CS20080196.</w:t>
          </w:r>
        </w:p>
        <w:p w14:paraId="63399B2D" w14:textId="77777777" w:rsidR="00F257B9" w:rsidRDefault="00F257B9">
          <w:pPr>
            <w:divId w:val="1895726537"/>
            <w:rPr>
              <w:rFonts w:eastAsia="Times New Roman"/>
            </w:rPr>
          </w:pPr>
          <w:r>
            <w:rPr>
              <w:rFonts w:eastAsia="Times New Roman"/>
            </w:rPr>
            <w:t xml:space="preserve">Zhang, H. </w:t>
          </w:r>
          <w:r>
            <w:rPr>
              <w:rFonts w:eastAsia="Times New Roman"/>
              <w:i/>
              <w:iCs/>
            </w:rPr>
            <w:t>et al.</w:t>
          </w:r>
          <w:r>
            <w:rPr>
              <w:rFonts w:eastAsia="Times New Roman"/>
            </w:rPr>
            <w:t xml:space="preserve"> (2015) “</w:t>
          </w:r>
          <w:proofErr w:type="spellStart"/>
          <w:r>
            <w:rPr>
              <w:rFonts w:eastAsia="Times New Roman"/>
            </w:rPr>
            <w:t>Puerarin</w:t>
          </w:r>
          <w:proofErr w:type="spellEnd"/>
          <w:r>
            <w:rPr>
              <w:rFonts w:eastAsia="Times New Roman"/>
            </w:rPr>
            <w:t xml:space="preserve"> Inhibits </w:t>
          </w:r>
          <w:proofErr w:type="spellStart"/>
          <w:r>
            <w:rPr>
              <w:rFonts w:eastAsia="Times New Roman"/>
            </w:rPr>
            <w:t>oxLDL</w:t>
          </w:r>
          <w:proofErr w:type="spellEnd"/>
          <w:r>
            <w:rPr>
              <w:rFonts w:eastAsia="Times New Roman"/>
            </w:rPr>
            <w:t xml:space="preserve">-Induced Macrophage Activation and Foam Cell Formation in Human THP1 Macrophage,” </w:t>
          </w:r>
          <w:r>
            <w:rPr>
              <w:rFonts w:eastAsia="Times New Roman"/>
              <w:i/>
              <w:iCs/>
            </w:rPr>
            <w:t>BioMed Research International</w:t>
          </w:r>
          <w:r>
            <w:rPr>
              <w:rFonts w:eastAsia="Times New Roman"/>
            </w:rPr>
            <w:t>, 2015, pp. 1–8. doi:10.1155/2015/403616.</w:t>
          </w:r>
        </w:p>
        <w:p w14:paraId="3402ECA8" w14:textId="77777777" w:rsidR="00F257B9" w:rsidRDefault="00F257B9">
          <w:pPr>
            <w:divId w:val="902832411"/>
            <w:rPr>
              <w:rFonts w:eastAsia="Times New Roman"/>
            </w:rPr>
          </w:pPr>
          <w:r>
            <w:rPr>
              <w:rFonts w:eastAsia="Times New Roman"/>
            </w:rPr>
            <w:t xml:space="preserve">Zhang, Q. </w:t>
          </w:r>
          <w:r>
            <w:rPr>
              <w:rFonts w:eastAsia="Times New Roman"/>
              <w:i/>
              <w:iCs/>
            </w:rPr>
            <w:t>et al.</w:t>
          </w:r>
          <w:r>
            <w:rPr>
              <w:rFonts w:eastAsia="Times New Roman"/>
            </w:rPr>
            <w:t xml:space="preserve"> (2010) “Circulating mitochondrial DAMPs cause inflammatory responses to injury,” </w:t>
          </w:r>
          <w:r>
            <w:rPr>
              <w:rFonts w:eastAsia="Times New Roman"/>
              <w:i/>
              <w:iCs/>
            </w:rPr>
            <w:t>Nature</w:t>
          </w:r>
          <w:r>
            <w:rPr>
              <w:rFonts w:eastAsia="Times New Roman"/>
            </w:rPr>
            <w:t>, 464(7285), pp. 104–107. doi:10.1038/nature08780.</w:t>
          </w:r>
        </w:p>
        <w:p w14:paraId="6F3DC4AA" w14:textId="77777777" w:rsidR="00F257B9" w:rsidRDefault="00F257B9">
          <w:pPr>
            <w:divId w:val="370419502"/>
            <w:rPr>
              <w:rFonts w:eastAsia="Times New Roman"/>
            </w:rPr>
          </w:pPr>
          <w:r>
            <w:rPr>
              <w:rFonts w:eastAsia="Times New Roman"/>
            </w:rPr>
            <w:t xml:space="preserve">Zhang, Y. </w:t>
          </w:r>
          <w:r>
            <w:rPr>
              <w:rFonts w:eastAsia="Times New Roman"/>
              <w:i/>
              <w:iCs/>
            </w:rPr>
            <w:t>et al.</w:t>
          </w:r>
          <w:r>
            <w:rPr>
              <w:rFonts w:eastAsia="Times New Roman"/>
            </w:rPr>
            <w:t xml:space="preserve"> (2011) “TLR1/TLR2 Agonist Induces </w:t>
          </w:r>
          <w:proofErr w:type="spellStart"/>
          <w:r>
            <w:rPr>
              <w:rFonts w:eastAsia="Times New Roman"/>
            </w:rPr>
            <w:t>Tumor</w:t>
          </w:r>
          <w:proofErr w:type="spellEnd"/>
          <w:r>
            <w:rPr>
              <w:rFonts w:eastAsia="Times New Roman"/>
            </w:rPr>
            <w:t xml:space="preserve"> Regression by Reciprocal Modulation of Effector and Regulatory T Cells,” </w:t>
          </w:r>
          <w:r>
            <w:rPr>
              <w:rFonts w:eastAsia="Times New Roman"/>
              <w:i/>
              <w:iCs/>
            </w:rPr>
            <w:t>The Journal of Immunology</w:t>
          </w:r>
          <w:r>
            <w:rPr>
              <w:rFonts w:eastAsia="Times New Roman"/>
            </w:rPr>
            <w:t>, 186(4), pp. 1963–1969. doi:10.4049/jimmunol.1002320.</w:t>
          </w:r>
        </w:p>
        <w:p w14:paraId="2FAEB395" w14:textId="77777777" w:rsidR="00F257B9" w:rsidRDefault="00F257B9">
          <w:pPr>
            <w:divId w:val="640580130"/>
            <w:rPr>
              <w:rFonts w:eastAsia="Times New Roman"/>
            </w:rPr>
          </w:pPr>
          <w:r>
            <w:rPr>
              <w:rFonts w:eastAsia="Times New Roman"/>
            </w:rPr>
            <w:t xml:space="preserve">Zhu, X.M. </w:t>
          </w:r>
          <w:r>
            <w:rPr>
              <w:rFonts w:eastAsia="Times New Roman"/>
              <w:i/>
              <w:iCs/>
            </w:rPr>
            <w:t>et al.</w:t>
          </w:r>
          <w:r>
            <w:rPr>
              <w:rFonts w:eastAsia="Times New Roman"/>
            </w:rPr>
            <w:t xml:space="preserve"> (2011) “High mobility group box-1 protein regulate immunosuppression of regulatory T cells through toll-like receptor 4,” </w:t>
          </w:r>
          <w:r>
            <w:rPr>
              <w:rFonts w:eastAsia="Times New Roman"/>
              <w:i/>
              <w:iCs/>
            </w:rPr>
            <w:t>Cytokine</w:t>
          </w:r>
          <w:r>
            <w:rPr>
              <w:rFonts w:eastAsia="Times New Roman"/>
            </w:rPr>
            <w:t xml:space="preserve">, 54(3), pp. 296–304. </w:t>
          </w:r>
          <w:proofErr w:type="gramStart"/>
          <w:r>
            <w:rPr>
              <w:rFonts w:eastAsia="Times New Roman"/>
            </w:rPr>
            <w:t>doi:10.1016/j.cyto</w:t>
          </w:r>
          <w:proofErr w:type="gramEnd"/>
          <w:r>
            <w:rPr>
              <w:rFonts w:eastAsia="Times New Roman"/>
            </w:rPr>
            <w:t>.2011.02.017.</w:t>
          </w:r>
        </w:p>
        <w:p w14:paraId="5C2C1E7D" w14:textId="77777777" w:rsidR="00F257B9" w:rsidRDefault="00F257B9">
          <w:pPr>
            <w:divId w:val="466509054"/>
            <w:rPr>
              <w:rFonts w:eastAsia="Times New Roman"/>
            </w:rPr>
          </w:pPr>
          <w:r>
            <w:rPr>
              <w:rFonts w:eastAsia="Times New Roman"/>
            </w:rPr>
            <w:t>Ziegler-</w:t>
          </w:r>
          <w:proofErr w:type="spellStart"/>
          <w:r>
            <w:rPr>
              <w:rFonts w:eastAsia="Times New Roman"/>
            </w:rPr>
            <w:t>Heitbrock</w:t>
          </w:r>
          <w:proofErr w:type="spellEnd"/>
          <w:r>
            <w:rPr>
              <w:rFonts w:eastAsia="Times New Roman"/>
            </w:rPr>
            <w:t xml:space="preserve">, L. and Hofer, T.P.J. (2013) “Toward a Refined Definition of Monocyte Subsets,” </w:t>
          </w:r>
          <w:r>
            <w:rPr>
              <w:rFonts w:eastAsia="Times New Roman"/>
              <w:i/>
              <w:iCs/>
            </w:rPr>
            <w:t>Frontiers in Immunology</w:t>
          </w:r>
          <w:r>
            <w:rPr>
              <w:rFonts w:eastAsia="Times New Roman"/>
            </w:rPr>
            <w:t>, 4(FRB), p. 23. doi:10.3389/fimmu.2013.00023.</w:t>
          </w:r>
        </w:p>
        <w:p w14:paraId="239A8691" w14:textId="77777777" w:rsidR="00F257B9" w:rsidRDefault="00F257B9">
          <w:pPr>
            <w:divId w:val="552692506"/>
            <w:rPr>
              <w:rFonts w:eastAsia="Times New Roman"/>
            </w:rPr>
          </w:pPr>
          <w:proofErr w:type="spellStart"/>
          <w:r>
            <w:rPr>
              <w:rFonts w:eastAsia="Times New Roman"/>
            </w:rPr>
            <w:lastRenderedPageBreak/>
            <w:t>Zughaier</w:t>
          </w:r>
          <w:proofErr w:type="spellEnd"/>
          <w:r>
            <w:rPr>
              <w:rFonts w:eastAsia="Times New Roman"/>
            </w:rPr>
            <w:t xml:space="preserve">, S.M. </w:t>
          </w:r>
          <w:r>
            <w:rPr>
              <w:rFonts w:eastAsia="Times New Roman"/>
              <w:i/>
              <w:iCs/>
            </w:rPr>
            <w:t>et al.</w:t>
          </w:r>
          <w:r>
            <w:rPr>
              <w:rFonts w:eastAsia="Times New Roman"/>
            </w:rPr>
            <w:t xml:space="preserve"> (2005) “Differential induction of the toll-like receptor 4-MyD88-dependent and -independent </w:t>
          </w:r>
          <w:proofErr w:type="spellStart"/>
          <w:r>
            <w:rPr>
              <w:rFonts w:eastAsia="Times New Roman"/>
            </w:rPr>
            <w:t>signaling</w:t>
          </w:r>
          <w:proofErr w:type="spellEnd"/>
          <w:r>
            <w:rPr>
              <w:rFonts w:eastAsia="Times New Roman"/>
            </w:rPr>
            <w:t xml:space="preserve"> pathways by endotoxins.,” </w:t>
          </w:r>
          <w:r>
            <w:rPr>
              <w:rFonts w:eastAsia="Times New Roman"/>
              <w:i/>
              <w:iCs/>
            </w:rPr>
            <w:t>Infection and immunity</w:t>
          </w:r>
          <w:r>
            <w:rPr>
              <w:rFonts w:eastAsia="Times New Roman"/>
            </w:rPr>
            <w:t>, 73(5), pp. 2940–50. doi:10.1128/IAI.73.5.2940-2950.2005.</w:t>
          </w:r>
        </w:p>
        <w:p w14:paraId="53A17687" w14:textId="7A292464" w:rsidR="006A17A0" w:rsidRPr="003C0E2F" w:rsidRDefault="00F257B9">
          <w:pPr>
            <w:spacing w:line="259" w:lineRule="auto"/>
          </w:pPr>
          <w:r>
            <w:rPr>
              <w:rFonts w:eastAsia="Times New Roman"/>
            </w:rPr>
            <w:t> </w:t>
          </w:r>
        </w:p>
      </w:sdtContent>
    </w:sdt>
    <w:p w14:paraId="67547238" w14:textId="56BAB43D" w:rsidR="0039108B" w:rsidRPr="003C0E2F" w:rsidRDefault="0039108B">
      <w:pPr>
        <w:spacing w:line="259" w:lineRule="auto"/>
        <w:rPr>
          <w:b/>
          <w:bCs/>
          <w:sz w:val="48"/>
          <w:szCs w:val="48"/>
        </w:rPr>
      </w:pPr>
      <w:r w:rsidRPr="003C0E2F">
        <w:br w:type="page"/>
      </w:r>
    </w:p>
    <w:p w14:paraId="41506B6A" w14:textId="104273A0" w:rsidR="007B18FC" w:rsidRPr="003C0E2F" w:rsidRDefault="003F460B" w:rsidP="007B18FC">
      <w:pPr>
        <w:pStyle w:val="Heading1"/>
        <w:numPr>
          <w:ilvl w:val="0"/>
          <w:numId w:val="0"/>
        </w:numPr>
        <w:ind w:left="360" w:hanging="360"/>
      </w:pPr>
      <w:bookmarkStart w:id="983" w:name="_Toc80013799"/>
      <w:bookmarkStart w:id="984" w:name="_Toc82882419"/>
      <w:r w:rsidRPr="003C0E2F">
        <w:lastRenderedPageBreak/>
        <w:t>APPENDIX I</w:t>
      </w:r>
      <w:r w:rsidR="007B18FC" w:rsidRPr="003C0E2F">
        <w:t xml:space="preserve"> – FP Compounds</w:t>
      </w:r>
      <w:r w:rsidR="000C7792" w:rsidRPr="003C0E2F">
        <w:t xml:space="preserve"> Preparations</w:t>
      </w:r>
      <w:bookmarkEnd w:id="983"/>
      <w:bookmarkEnd w:id="984"/>
    </w:p>
    <w:p w14:paraId="605A7905" w14:textId="37D98E2F" w:rsidR="0047065B" w:rsidRPr="003C0E2F" w:rsidRDefault="0047065B" w:rsidP="0047065B">
      <w:r w:rsidRPr="003C0E2F">
        <w:t>FP Compounds were provided by Francesco Peri (University Milano). Compounds were delivered in lyophilised form and working stocks of each compound were prepared as follows, and used within one year of reconstitution – stored at 4</w:t>
      </w:r>
      <w:r w:rsidRPr="003C0E2F">
        <w:rPr>
          <w:rFonts w:cstheme="minorHAnsi"/>
        </w:rPr>
        <w:t>◦</w:t>
      </w:r>
      <w:r w:rsidRPr="003C0E2F">
        <w:t xml:space="preserve">c. </w:t>
      </w:r>
    </w:p>
    <w:tbl>
      <w:tblPr>
        <w:tblStyle w:val="TableGrid"/>
        <w:tblW w:w="8926" w:type="dxa"/>
        <w:tblLook w:val="04A0" w:firstRow="1" w:lastRow="0" w:firstColumn="1" w:lastColumn="0" w:noHBand="0" w:noVBand="1"/>
      </w:tblPr>
      <w:tblGrid>
        <w:gridCol w:w="3256"/>
        <w:gridCol w:w="5670"/>
      </w:tblGrid>
      <w:tr w:rsidR="003C0E2F" w:rsidRPr="003C0E2F" w14:paraId="1ECD096C" w14:textId="77777777" w:rsidTr="003348FD">
        <w:tc>
          <w:tcPr>
            <w:tcW w:w="3256" w:type="dxa"/>
          </w:tcPr>
          <w:p w14:paraId="5FBFEE4A" w14:textId="2C02C986" w:rsidR="00C94CEE" w:rsidRPr="003C0E2F" w:rsidRDefault="000C7792" w:rsidP="000C7792">
            <w:pPr>
              <w:rPr>
                <w:b/>
                <w:bCs/>
                <w:sz w:val="32"/>
                <w:szCs w:val="32"/>
              </w:rPr>
            </w:pPr>
            <w:bookmarkStart w:id="985" w:name="_Hlk64343581"/>
            <w:r w:rsidRPr="003C0E2F">
              <w:rPr>
                <w:b/>
                <w:bCs/>
                <w:sz w:val="32"/>
                <w:szCs w:val="32"/>
              </w:rPr>
              <w:t>Compound/Structure</w:t>
            </w:r>
          </w:p>
        </w:tc>
        <w:tc>
          <w:tcPr>
            <w:tcW w:w="5670" w:type="dxa"/>
          </w:tcPr>
          <w:p w14:paraId="61257FE5" w14:textId="2EE4429E" w:rsidR="000C7792" w:rsidRPr="003C0E2F" w:rsidRDefault="000C7792" w:rsidP="000C7792">
            <w:pPr>
              <w:rPr>
                <w:b/>
                <w:bCs/>
                <w:sz w:val="32"/>
                <w:szCs w:val="32"/>
              </w:rPr>
            </w:pPr>
            <w:r w:rsidRPr="003C0E2F">
              <w:rPr>
                <w:b/>
                <w:bCs/>
                <w:sz w:val="32"/>
                <w:szCs w:val="32"/>
              </w:rPr>
              <w:t>Preparatio</w:t>
            </w:r>
            <w:r w:rsidR="007A7EEE" w:rsidRPr="003C0E2F">
              <w:rPr>
                <w:b/>
                <w:bCs/>
                <w:sz w:val="32"/>
                <w:szCs w:val="32"/>
              </w:rPr>
              <w:t>n</w:t>
            </w:r>
          </w:p>
        </w:tc>
      </w:tr>
      <w:bookmarkEnd w:id="985"/>
      <w:tr w:rsidR="003C0E2F" w:rsidRPr="003C0E2F" w14:paraId="74E155BF" w14:textId="77777777" w:rsidTr="003348FD">
        <w:tc>
          <w:tcPr>
            <w:tcW w:w="3256" w:type="dxa"/>
          </w:tcPr>
          <w:p w14:paraId="3AEF2696" w14:textId="2A627F03" w:rsidR="000C7792" w:rsidRPr="003C0E2F" w:rsidRDefault="000C7792" w:rsidP="000C7792">
            <w:r w:rsidRPr="003C0E2F">
              <w:rPr>
                <w:noProof/>
              </w:rPr>
              <w:drawing>
                <wp:inline distT="0" distB="0" distL="0" distR="0" wp14:anchorId="1FAF55EE" wp14:editId="7E0D166E">
                  <wp:extent cx="1486838" cy="1314450"/>
                  <wp:effectExtent l="0" t="0" r="0" b="0"/>
                  <wp:docPr id="2" name="Picture 1">
                    <a:extLst xmlns:a="http://schemas.openxmlformats.org/drawingml/2006/main">
                      <a:ext uri="{FF2B5EF4-FFF2-40B4-BE49-F238E27FC236}">
                        <a16:creationId xmlns:a16="http://schemas.microsoft.com/office/drawing/2014/main" id="{07CAE1F3-10A6-44D6-9016-7B703DDBB8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7CAE1F3-10A6-44D6-9016-7B703DDBB803}"/>
                              </a:ext>
                            </a:extLst>
                          </pic:cNvPr>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497729" cy="1324078"/>
                          </a:xfrm>
                          <a:prstGeom prst="rect">
                            <a:avLst/>
                          </a:prstGeom>
                          <a:noFill/>
                        </pic:spPr>
                      </pic:pic>
                    </a:graphicData>
                  </a:graphic>
                </wp:inline>
              </w:drawing>
            </w:r>
          </w:p>
        </w:tc>
        <w:tc>
          <w:tcPr>
            <w:tcW w:w="5670" w:type="dxa"/>
          </w:tcPr>
          <w:p w14:paraId="78529BD5" w14:textId="143134E4" w:rsidR="000C7792" w:rsidRPr="003C0E2F" w:rsidRDefault="000C7792" w:rsidP="000C7792"/>
          <w:p w14:paraId="64249261" w14:textId="6C6EF8FB" w:rsidR="000C7792" w:rsidRPr="003C0E2F" w:rsidRDefault="000C7792" w:rsidP="000C7792">
            <w:r w:rsidRPr="003C0E2F">
              <w:t xml:space="preserve">Concentration: 5mM </w:t>
            </w:r>
          </w:p>
          <w:p w14:paraId="03A824BC" w14:textId="184D66D7" w:rsidR="000C7792" w:rsidRPr="003C0E2F" w:rsidRDefault="000C7792" w:rsidP="000C7792">
            <w:r w:rsidRPr="003C0E2F">
              <w:t>DMSO/Ethanol (1:1)</w:t>
            </w:r>
          </w:p>
        </w:tc>
      </w:tr>
      <w:tr w:rsidR="003C0E2F" w:rsidRPr="003C0E2F" w14:paraId="61361D9D" w14:textId="77777777" w:rsidTr="003348FD">
        <w:tc>
          <w:tcPr>
            <w:tcW w:w="3256" w:type="dxa"/>
          </w:tcPr>
          <w:p w14:paraId="03A374E7" w14:textId="435DCEF9" w:rsidR="000C7792" w:rsidRPr="003C0E2F" w:rsidRDefault="009A5EDC" w:rsidP="000C7792">
            <w:r w:rsidRPr="003C0E2F">
              <w:object w:dxaOrig="4065" w:dyaOrig="3675" w14:anchorId="25F12A91">
                <v:shape id="_x0000_i1062" type="#_x0000_t75" style="width:115.2pt;height:108pt" o:ole="">
                  <v:imagedata r:id="rId140" o:title=""/>
                </v:shape>
                <o:OLEObject Type="Embed" ProgID="PBrush" ShapeID="_x0000_i1062" DrawAspect="Content" ObjectID="_1701585020" r:id="rId141"/>
              </w:object>
            </w:r>
          </w:p>
        </w:tc>
        <w:tc>
          <w:tcPr>
            <w:tcW w:w="5670" w:type="dxa"/>
          </w:tcPr>
          <w:p w14:paraId="697FF009" w14:textId="77777777" w:rsidR="005B39E8" w:rsidRPr="003C0E2F" w:rsidRDefault="005B39E8" w:rsidP="005B39E8"/>
          <w:p w14:paraId="5B2D6200" w14:textId="77777777" w:rsidR="005B39E8" w:rsidRPr="003C0E2F" w:rsidRDefault="005B39E8" w:rsidP="005B39E8">
            <w:r w:rsidRPr="003C0E2F">
              <w:t xml:space="preserve">Concentration: 5mM </w:t>
            </w:r>
          </w:p>
          <w:p w14:paraId="30C886C7" w14:textId="77158DB0" w:rsidR="000C7792" w:rsidRPr="003C0E2F" w:rsidRDefault="005B39E8" w:rsidP="005B39E8">
            <w:r w:rsidRPr="003C0E2F">
              <w:t>DMSO/Ethanol (1:1)</w:t>
            </w:r>
          </w:p>
        </w:tc>
      </w:tr>
      <w:tr w:rsidR="003C0E2F" w:rsidRPr="003C0E2F" w14:paraId="3B03E5D2" w14:textId="77777777" w:rsidTr="003348FD">
        <w:tc>
          <w:tcPr>
            <w:tcW w:w="3256" w:type="dxa"/>
          </w:tcPr>
          <w:p w14:paraId="741AF6C2" w14:textId="14751EF6" w:rsidR="000C7792" w:rsidRPr="003C0E2F" w:rsidRDefault="009A5EDC" w:rsidP="000C7792">
            <w:r w:rsidRPr="003C0E2F">
              <w:object w:dxaOrig="4185" w:dyaOrig="3570" w14:anchorId="1ABB5DC8">
                <v:shape id="_x0000_i1063" type="#_x0000_t75" style="width:115.8pt;height:100.2pt" o:ole="">
                  <v:imagedata r:id="rId142" o:title=""/>
                </v:shape>
                <o:OLEObject Type="Embed" ProgID="PBrush" ShapeID="_x0000_i1063" DrawAspect="Content" ObjectID="_1701585021" r:id="rId143"/>
              </w:object>
            </w:r>
          </w:p>
        </w:tc>
        <w:tc>
          <w:tcPr>
            <w:tcW w:w="5670" w:type="dxa"/>
          </w:tcPr>
          <w:p w14:paraId="65DC0A6B" w14:textId="77777777" w:rsidR="000C7792" w:rsidRPr="003C0E2F" w:rsidRDefault="000C7792" w:rsidP="000C7792"/>
          <w:p w14:paraId="2357B4C5" w14:textId="6FC3A11D" w:rsidR="005B39E8" w:rsidRPr="003C0E2F" w:rsidRDefault="005B39E8" w:rsidP="005B39E8">
            <w:r w:rsidRPr="003C0E2F">
              <w:t xml:space="preserve">Concentration: 2.5mM </w:t>
            </w:r>
          </w:p>
          <w:p w14:paraId="497971CD" w14:textId="76BEBE4F" w:rsidR="005B39E8" w:rsidRPr="003C0E2F" w:rsidRDefault="005B39E8" w:rsidP="005B39E8">
            <w:r w:rsidRPr="003C0E2F">
              <w:t>DMSO/Ethanol (1:1)</w:t>
            </w:r>
          </w:p>
        </w:tc>
      </w:tr>
      <w:tr w:rsidR="003C0E2F" w:rsidRPr="003C0E2F" w14:paraId="5C8C42BE" w14:textId="77777777" w:rsidTr="003348FD">
        <w:tc>
          <w:tcPr>
            <w:tcW w:w="3256" w:type="dxa"/>
          </w:tcPr>
          <w:p w14:paraId="1F948DB2" w14:textId="03B13AD3" w:rsidR="000C7792" w:rsidRPr="003C0E2F" w:rsidRDefault="009A5EDC" w:rsidP="000C7792">
            <w:r w:rsidRPr="003C0E2F">
              <w:object w:dxaOrig="4080" w:dyaOrig="3690" w14:anchorId="6808A673">
                <v:shape id="_x0000_i1064" type="#_x0000_t75" style="width:115.2pt;height:108pt" o:ole="">
                  <v:imagedata r:id="rId144" o:title=""/>
                </v:shape>
                <o:OLEObject Type="Embed" ProgID="PBrush" ShapeID="_x0000_i1064" DrawAspect="Content" ObjectID="_1701585022" r:id="rId145"/>
              </w:object>
            </w:r>
          </w:p>
        </w:tc>
        <w:tc>
          <w:tcPr>
            <w:tcW w:w="5670" w:type="dxa"/>
          </w:tcPr>
          <w:p w14:paraId="1A41A2FB" w14:textId="77777777" w:rsidR="004E725E" w:rsidRPr="003C0E2F" w:rsidRDefault="004E725E" w:rsidP="005B39E8"/>
          <w:p w14:paraId="7E63EBB3" w14:textId="74BFDBFA" w:rsidR="005B39E8" w:rsidRPr="003C0E2F" w:rsidRDefault="005B39E8" w:rsidP="005B39E8">
            <w:r w:rsidRPr="003C0E2F">
              <w:t xml:space="preserve">Concentration: </w:t>
            </w:r>
            <w:r w:rsidR="008E1469" w:rsidRPr="003C0E2F">
              <w:t>5</w:t>
            </w:r>
            <w:r w:rsidRPr="003C0E2F">
              <w:t xml:space="preserve">mM </w:t>
            </w:r>
          </w:p>
          <w:p w14:paraId="210CA86D" w14:textId="5A563E11" w:rsidR="000C7792" w:rsidRPr="003C0E2F" w:rsidRDefault="005B39E8" w:rsidP="005B39E8">
            <w:r w:rsidRPr="003C0E2F">
              <w:t>DMSO/Ethanol (1:1)</w:t>
            </w:r>
          </w:p>
        </w:tc>
      </w:tr>
    </w:tbl>
    <w:p w14:paraId="632724E1" w14:textId="77777777" w:rsidR="004E725E" w:rsidRPr="003C0E2F" w:rsidRDefault="004E725E">
      <w:r w:rsidRPr="003C0E2F">
        <w:br w:type="page"/>
      </w:r>
    </w:p>
    <w:tbl>
      <w:tblPr>
        <w:tblStyle w:val="TableGrid"/>
        <w:tblW w:w="8926" w:type="dxa"/>
        <w:tblLook w:val="04A0" w:firstRow="1" w:lastRow="0" w:firstColumn="1" w:lastColumn="0" w:noHBand="0" w:noVBand="1"/>
      </w:tblPr>
      <w:tblGrid>
        <w:gridCol w:w="3456"/>
        <w:gridCol w:w="5470"/>
      </w:tblGrid>
      <w:tr w:rsidR="003C0E2F" w:rsidRPr="003C0E2F" w14:paraId="2ABFAD19" w14:textId="77777777" w:rsidTr="003348FD">
        <w:tc>
          <w:tcPr>
            <w:tcW w:w="3456" w:type="dxa"/>
          </w:tcPr>
          <w:p w14:paraId="0BE95050" w14:textId="72D1DA49" w:rsidR="004E725E" w:rsidRPr="003C0E2F" w:rsidRDefault="004E725E" w:rsidP="004E725E">
            <w:r w:rsidRPr="003C0E2F">
              <w:rPr>
                <w:b/>
                <w:bCs/>
                <w:sz w:val="32"/>
                <w:szCs w:val="32"/>
              </w:rPr>
              <w:lastRenderedPageBreak/>
              <w:t>Compound/Structure</w:t>
            </w:r>
          </w:p>
        </w:tc>
        <w:tc>
          <w:tcPr>
            <w:tcW w:w="5470" w:type="dxa"/>
          </w:tcPr>
          <w:p w14:paraId="10BAC603" w14:textId="7F4E3C4F" w:rsidR="004E725E" w:rsidRPr="003C0E2F" w:rsidRDefault="004E725E" w:rsidP="004E725E">
            <w:r w:rsidRPr="003C0E2F">
              <w:rPr>
                <w:b/>
                <w:bCs/>
                <w:sz w:val="32"/>
                <w:szCs w:val="32"/>
              </w:rPr>
              <w:t>Preparation</w:t>
            </w:r>
          </w:p>
        </w:tc>
      </w:tr>
      <w:tr w:rsidR="003C0E2F" w:rsidRPr="003C0E2F" w14:paraId="1E69D275" w14:textId="77777777" w:rsidTr="003348FD">
        <w:tc>
          <w:tcPr>
            <w:tcW w:w="3456" w:type="dxa"/>
          </w:tcPr>
          <w:p w14:paraId="16606F4D" w14:textId="4564D09C" w:rsidR="004E725E" w:rsidRPr="003C0E2F" w:rsidRDefault="00657A6C" w:rsidP="004E725E">
            <w:r w:rsidRPr="003C0E2F">
              <w:object w:dxaOrig="2460" w:dyaOrig="2400" w14:anchorId="519467F4">
                <v:shape id="_x0000_i1065" type="#_x0000_t75" style="width:122.4pt;height:122.4pt" o:ole="">
                  <v:imagedata r:id="rId146" o:title=""/>
                </v:shape>
                <o:OLEObject Type="Embed" ProgID="PBrush" ShapeID="_x0000_i1065" DrawAspect="Content" ObjectID="_1701585023" r:id="rId147"/>
              </w:object>
            </w:r>
          </w:p>
        </w:tc>
        <w:tc>
          <w:tcPr>
            <w:tcW w:w="5470" w:type="dxa"/>
          </w:tcPr>
          <w:p w14:paraId="4C9BB793" w14:textId="77777777" w:rsidR="004E725E" w:rsidRPr="003C0E2F" w:rsidRDefault="004E725E" w:rsidP="004E725E"/>
          <w:p w14:paraId="4C5147FE" w14:textId="77777777" w:rsidR="004E725E" w:rsidRPr="003C0E2F" w:rsidRDefault="004E725E" w:rsidP="004E725E">
            <w:r w:rsidRPr="003C0E2F">
              <w:t xml:space="preserve">Concentration: 5mM </w:t>
            </w:r>
          </w:p>
          <w:p w14:paraId="0C9AA0F0" w14:textId="50C194DC" w:rsidR="004E725E" w:rsidRPr="003C0E2F" w:rsidRDefault="004E725E" w:rsidP="004E725E">
            <w:r w:rsidRPr="003C0E2F">
              <w:t>DMSO</w:t>
            </w:r>
            <w:r w:rsidR="008C0565" w:rsidRPr="003C0E2F">
              <w:t xml:space="preserve"> or Water</w:t>
            </w:r>
          </w:p>
        </w:tc>
      </w:tr>
      <w:tr w:rsidR="003C0E2F" w:rsidRPr="003C0E2F" w14:paraId="05D32E19" w14:textId="77777777" w:rsidTr="003348FD">
        <w:tc>
          <w:tcPr>
            <w:tcW w:w="3456" w:type="dxa"/>
          </w:tcPr>
          <w:p w14:paraId="7FB8C79B" w14:textId="42945CB2" w:rsidR="004E725E" w:rsidRPr="003C0E2F" w:rsidRDefault="00657A6C" w:rsidP="009E0322">
            <w:pPr>
              <w:rPr>
                <w:b/>
                <w:bCs/>
                <w:sz w:val="32"/>
                <w:szCs w:val="32"/>
              </w:rPr>
            </w:pPr>
            <w:r w:rsidRPr="003C0E2F">
              <w:object w:dxaOrig="2730" w:dyaOrig="2415" w14:anchorId="1351C236">
                <v:shape id="_x0000_i1066" type="#_x0000_t75" style="width:136.8pt;height:122.4pt" o:ole="">
                  <v:imagedata r:id="rId148" o:title=""/>
                </v:shape>
                <o:OLEObject Type="Embed" ProgID="PBrush" ShapeID="_x0000_i1066" DrawAspect="Content" ObjectID="_1701585024" r:id="rId149"/>
              </w:object>
            </w:r>
          </w:p>
        </w:tc>
        <w:tc>
          <w:tcPr>
            <w:tcW w:w="5470" w:type="dxa"/>
          </w:tcPr>
          <w:p w14:paraId="022C0A33" w14:textId="77777777" w:rsidR="004E725E" w:rsidRPr="003C0E2F" w:rsidRDefault="004E725E" w:rsidP="009E0322">
            <w:pPr>
              <w:rPr>
                <w:b/>
                <w:bCs/>
                <w:sz w:val="32"/>
                <w:szCs w:val="32"/>
              </w:rPr>
            </w:pPr>
          </w:p>
          <w:p w14:paraId="23E150C4" w14:textId="77777777" w:rsidR="004E725E" w:rsidRPr="003C0E2F" w:rsidRDefault="004E725E" w:rsidP="004E725E">
            <w:r w:rsidRPr="003C0E2F">
              <w:t xml:space="preserve">Concentration: 5mM </w:t>
            </w:r>
          </w:p>
          <w:p w14:paraId="6ECE9265" w14:textId="15E4296D" w:rsidR="004E725E" w:rsidRPr="003C0E2F" w:rsidRDefault="004E725E" w:rsidP="004E725E">
            <w:pPr>
              <w:rPr>
                <w:b/>
                <w:bCs/>
                <w:sz w:val="32"/>
                <w:szCs w:val="32"/>
              </w:rPr>
            </w:pPr>
            <w:r w:rsidRPr="003C0E2F">
              <w:t>DMSO/Ethanol (1:1)</w:t>
            </w:r>
          </w:p>
        </w:tc>
      </w:tr>
      <w:tr w:rsidR="004E725E" w:rsidRPr="003C0E2F" w14:paraId="42F8B213" w14:textId="77777777" w:rsidTr="003348FD">
        <w:tc>
          <w:tcPr>
            <w:tcW w:w="3456" w:type="dxa"/>
          </w:tcPr>
          <w:p w14:paraId="0DB86682" w14:textId="325C7BD7" w:rsidR="004E725E" w:rsidRPr="003C0E2F" w:rsidRDefault="00657A6C" w:rsidP="009E0322">
            <w:pPr>
              <w:rPr>
                <w:b/>
                <w:bCs/>
                <w:sz w:val="32"/>
                <w:szCs w:val="32"/>
              </w:rPr>
            </w:pPr>
            <w:r w:rsidRPr="003C0E2F">
              <w:object w:dxaOrig="2580" w:dyaOrig="2415" w14:anchorId="53F32843">
                <v:shape id="_x0000_i1067" type="#_x0000_t75" style="width:129.6pt;height:122.4pt" o:ole="">
                  <v:imagedata r:id="rId150" o:title=""/>
                </v:shape>
                <o:OLEObject Type="Embed" ProgID="PBrush" ShapeID="_x0000_i1067" DrawAspect="Content" ObjectID="_1701585025" r:id="rId151"/>
              </w:object>
            </w:r>
          </w:p>
        </w:tc>
        <w:tc>
          <w:tcPr>
            <w:tcW w:w="5470" w:type="dxa"/>
          </w:tcPr>
          <w:p w14:paraId="7E2177A6" w14:textId="77777777" w:rsidR="004E725E" w:rsidRPr="003C0E2F" w:rsidRDefault="004E725E" w:rsidP="009E0322">
            <w:pPr>
              <w:rPr>
                <w:b/>
                <w:bCs/>
                <w:sz w:val="32"/>
                <w:szCs w:val="32"/>
              </w:rPr>
            </w:pPr>
          </w:p>
          <w:p w14:paraId="1AD737E9" w14:textId="77777777" w:rsidR="004E725E" w:rsidRPr="003C0E2F" w:rsidRDefault="004E725E" w:rsidP="004E725E">
            <w:r w:rsidRPr="003C0E2F">
              <w:t xml:space="preserve">Concentration: 5mM </w:t>
            </w:r>
          </w:p>
          <w:p w14:paraId="76415221" w14:textId="0CF84868" w:rsidR="004E725E" w:rsidRPr="003C0E2F" w:rsidRDefault="004E725E" w:rsidP="004E725E">
            <w:pPr>
              <w:rPr>
                <w:b/>
                <w:bCs/>
                <w:sz w:val="32"/>
                <w:szCs w:val="32"/>
              </w:rPr>
            </w:pPr>
            <w:r w:rsidRPr="003C0E2F">
              <w:t xml:space="preserve">DMSO </w:t>
            </w:r>
            <w:r w:rsidR="008C0565" w:rsidRPr="003C0E2F">
              <w:t>or Water</w:t>
            </w:r>
          </w:p>
        </w:tc>
      </w:tr>
    </w:tbl>
    <w:p w14:paraId="6E4B335F" w14:textId="77777777" w:rsidR="000C7792" w:rsidRPr="003C0E2F" w:rsidRDefault="000C7792" w:rsidP="00BB12CA"/>
    <w:p w14:paraId="630641FE" w14:textId="79A52E6F" w:rsidR="007B18FC" w:rsidRPr="003C0E2F" w:rsidRDefault="007B18FC" w:rsidP="00BB12CA"/>
    <w:p w14:paraId="4F48D5ED" w14:textId="77777777" w:rsidR="007B18FC" w:rsidRPr="003C0E2F" w:rsidRDefault="007B18FC">
      <w:pPr>
        <w:spacing w:line="259" w:lineRule="auto"/>
        <w:rPr>
          <w:b/>
          <w:bCs/>
          <w:sz w:val="48"/>
          <w:szCs w:val="48"/>
        </w:rPr>
      </w:pPr>
      <w:r w:rsidRPr="003C0E2F">
        <w:br w:type="page"/>
      </w:r>
    </w:p>
    <w:p w14:paraId="6659F1FA" w14:textId="3B09E6C2" w:rsidR="0039352F" w:rsidRPr="003C0E2F" w:rsidRDefault="007B18FC" w:rsidP="007B18FC">
      <w:pPr>
        <w:pStyle w:val="Heading1"/>
        <w:numPr>
          <w:ilvl w:val="0"/>
          <w:numId w:val="0"/>
        </w:numPr>
        <w:ind w:left="360" w:hanging="360"/>
      </w:pPr>
      <w:bookmarkStart w:id="986" w:name="_Toc80013800"/>
      <w:bookmarkStart w:id="987" w:name="_Toc82882420"/>
      <w:r w:rsidRPr="003C0E2F">
        <w:lastRenderedPageBreak/>
        <w:t xml:space="preserve">APPENDIX </w:t>
      </w:r>
      <w:r w:rsidR="00657A6C" w:rsidRPr="003C0E2F">
        <w:t>II</w:t>
      </w:r>
      <w:r w:rsidRPr="003C0E2F">
        <w:t xml:space="preserve"> </w:t>
      </w:r>
      <w:r w:rsidR="0039352F" w:rsidRPr="003C0E2F">
        <w:t>– LPS Variants</w:t>
      </w:r>
      <w:bookmarkEnd w:id="986"/>
      <w:bookmarkEnd w:id="987"/>
    </w:p>
    <w:p w14:paraId="13C49202" w14:textId="2D16E532" w:rsidR="0074771D" w:rsidRPr="003C0E2F" w:rsidRDefault="0074771D" w:rsidP="00BB12CA">
      <w:r w:rsidRPr="003C0E2F">
        <w:t xml:space="preserve">Lipopolysaccharide and endotoxin free water were provided by INNAXON (Tewkesbury). LPS, Lipid A and MPLA were delivered pre-prepared in </w:t>
      </w:r>
      <w:r w:rsidR="001D1419" w:rsidRPr="003C0E2F">
        <w:t xml:space="preserve">sterile endotoxin free </w:t>
      </w:r>
      <w:r w:rsidRPr="003C0E2F">
        <w:t>water</w:t>
      </w:r>
      <w:r w:rsidR="00EE4625" w:rsidRPr="003C0E2F">
        <w:t xml:space="preserve"> at stock concentrations of </w:t>
      </w:r>
      <w:r w:rsidR="00D3122B" w:rsidRPr="003C0E2F">
        <w:t>0.5-</w:t>
      </w:r>
      <w:r w:rsidR="00EE4625" w:rsidRPr="003C0E2F">
        <w:t>1mg/</w:t>
      </w:r>
      <w:r w:rsidR="00005854" w:rsidRPr="003C0E2F">
        <w:t xml:space="preserve">mL </w:t>
      </w:r>
      <w:r w:rsidRPr="003C0E2F">
        <w:t>and stored at 4</w:t>
      </w:r>
      <w:r w:rsidR="002323B4" w:rsidRPr="003C0E2F">
        <w:rPr>
          <w:rFonts w:cstheme="minorHAnsi"/>
          <w:vertAlign w:val="superscript"/>
        </w:rPr>
        <w:t>o</w:t>
      </w:r>
      <w:r w:rsidR="002323B4" w:rsidRPr="003C0E2F">
        <w:t>C</w:t>
      </w:r>
      <w:r w:rsidRPr="003C0E2F">
        <w:t xml:space="preserve"> until use. The following reagents were used throughout the course of experiments.</w:t>
      </w:r>
    </w:p>
    <w:p w14:paraId="2A7C93CF" w14:textId="204BAEE4" w:rsidR="0039352F" w:rsidRPr="003C0E2F" w:rsidRDefault="0039352F" w:rsidP="00BB12CA">
      <w:pPr>
        <w:rPr>
          <w:i/>
          <w:iCs/>
        </w:rPr>
      </w:pPr>
    </w:p>
    <w:p w14:paraId="7B0C3BED" w14:textId="4FC0550E" w:rsidR="0074771D" w:rsidRPr="003C0E2F" w:rsidRDefault="006C43F3" w:rsidP="00B61065">
      <w:pPr>
        <w:pStyle w:val="ListParagraph"/>
        <w:numPr>
          <w:ilvl w:val="1"/>
          <w:numId w:val="20"/>
        </w:numPr>
        <w:spacing w:line="600" w:lineRule="auto"/>
      </w:pPr>
      <w:proofErr w:type="spellStart"/>
      <w:proofErr w:type="gramStart"/>
      <w:r w:rsidRPr="003C0E2F">
        <w:rPr>
          <w:i/>
          <w:iCs/>
        </w:rPr>
        <w:t>S.minnesota</w:t>
      </w:r>
      <w:proofErr w:type="spellEnd"/>
      <w:proofErr w:type="gramEnd"/>
      <w:r w:rsidRPr="003C0E2F">
        <w:rPr>
          <w:i/>
          <w:iCs/>
        </w:rPr>
        <w:t xml:space="preserve"> (S-form)</w:t>
      </w:r>
      <w:r w:rsidRPr="003C0E2F">
        <w:rPr>
          <w:i/>
          <w:iCs/>
        </w:rPr>
        <w:tab/>
      </w:r>
      <w:r w:rsidRPr="003C0E2F">
        <w:rPr>
          <w:i/>
          <w:iCs/>
        </w:rPr>
        <w:tab/>
      </w:r>
      <w:r w:rsidRPr="003C0E2F">
        <w:t>#IAX-100-020</w:t>
      </w:r>
    </w:p>
    <w:p w14:paraId="4544DC08" w14:textId="670F6308" w:rsidR="0074771D" w:rsidRPr="003C0E2F" w:rsidRDefault="006C43F3" w:rsidP="00B61065">
      <w:pPr>
        <w:pStyle w:val="ListParagraph"/>
        <w:numPr>
          <w:ilvl w:val="1"/>
          <w:numId w:val="20"/>
        </w:numPr>
        <w:spacing w:line="600" w:lineRule="auto"/>
      </w:pPr>
      <w:proofErr w:type="spellStart"/>
      <w:proofErr w:type="gramStart"/>
      <w:r w:rsidRPr="003C0E2F">
        <w:rPr>
          <w:i/>
          <w:iCs/>
        </w:rPr>
        <w:t>S.minnesota</w:t>
      </w:r>
      <w:proofErr w:type="spellEnd"/>
      <w:proofErr w:type="gramEnd"/>
      <w:r w:rsidRPr="003C0E2F">
        <w:rPr>
          <w:i/>
          <w:iCs/>
        </w:rPr>
        <w:t xml:space="preserve"> </w:t>
      </w:r>
      <w:r w:rsidRPr="003C0E2F">
        <w:t xml:space="preserve">R595 (Re) </w:t>
      </w:r>
      <w:r w:rsidRPr="003C0E2F">
        <w:tab/>
      </w:r>
      <w:r w:rsidRPr="003C0E2F">
        <w:tab/>
        <w:t>#IAX-100-008</w:t>
      </w:r>
    </w:p>
    <w:p w14:paraId="01A0EBAA" w14:textId="39963B81" w:rsidR="0074771D" w:rsidRPr="003C0E2F" w:rsidRDefault="006C43F3" w:rsidP="00B61065">
      <w:pPr>
        <w:pStyle w:val="ListParagraph"/>
        <w:numPr>
          <w:ilvl w:val="1"/>
          <w:numId w:val="20"/>
        </w:numPr>
        <w:spacing w:line="600" w:lineRule="auto"/>
      </w:pPr>
      <w:proofErr w:type="spellStart"/>
      <w:proofErr w:type="gramStart"/>
      <w:r w:rsidRPr="003C0E2F">
        <w:rPr>
          <w:i/>
          <w:iCs/>
        </w:rPr>
        <w:t>S.minnesota</w:t>
      </w:r>
      <w:proofErr w:type="spellEnd"/>
      <w:proofErr w:type="gramEnd"/>
      <w:r w:rsidRPr="003C0E2F">
        <w:rPr>
          <w:i/>
          <w:iCs/>
        </w:rPr>
        <w:t xml:space="preserve"> </w:t>
      </w:r>
      <w:r w:rsidRPr="003C0E2F">
        <w:t xml:space="preserve">R60 (Ra) </w:t>
      </w:r>
      <w:r w:rsidRPr="003C0E2F">
        <w:tab/>
      </w:r>
      <w:r w:rsidRPr="003C0E2F">
        <w:tab/>
        <w:t>#IAX-100-016</w:t>
      </w:r>
    </w:p>
    <w:p w14:paraId="4223DEBA" w14:textId="6D4C6702" w:rsidR="0074771D" w:rsidRPr="003C0E2F" w:rsidRDefault="006C43F3" w:rsidP="00B61065">
      <w:pPr>
        <w:pStyle w:val="ListParagraph"/>
        <w:numPr>
          <w:ilvl w:val="1"/>
          <w:numId w:val="20"/>
        </w:numPr>
        <w:spacing w:line="600" w:lineRule="auto"/>
      </w:pPr>
      <w:proofErr w:type="spellStart"/>
      <w:proofErr w:type="gramStart"/>
      <w:r w:rsidRPr="003C0E2F">
        <w:rPr>
          <w:i/>
          <w:iCs/>
        </w:rPr>
        <w:t>S.minnesota</w:t>
      </w:r>
      <w:proofErr w:type="spellEnd"/>
      <w:proofErr w:type="gramEnd"/>
      <w:r w:rsidRPr="003C0E2F">
        <w:rPr>
          <w:i/>
          <w:iCs/>
        </w:rPr>
        <w:t xml:space="preserve"> </w:t>
      </w:r>
      <w:r w:rsidRPr="003C0E2F">
        <w:t xml:space="preserve">R595 (Re) </w:t>
      </w:r>
      <w:r w:rsidRPr="003C0E2F">
        <w:tab/>
      </w:r>
      <w:r w:rsidRPr="003C0E2F">
        <w:tab/>
        <w:t>#IAX-100-001</w:t>
      </w:r>
    </w:p>
    <w:p w14:paraId="54D24BAC" w14:textId="7D70688B" w:rsidR="0074771D" w:rsidRPr="003C0E2F" w:rsidRDefault="004B6D38" w:rsidP="00B61065">
      <w:pPr>
        <w:pStyle w:val="ListParagraph"/>
        <w:numPr>
          <w:ilvl w:val="1"/>
          <w:numId w:val="20"/>
        </w:numPr>
        <w:spacing w:line="600" w:lineRule="auto"/>
      </w:pPr>
      <w:proofErr w:type="spellStart"/>
      <w:proofErr w:type="gramStart"/>
      <w:r w:rsidRPr="003C0E2F">
        <w:rPr>
          <w:i/>
          <w:iCs/>
        </w:rPr>
        <w:t>S.</w:t>
      </w:r>
      <w:r w:rsidR="006C43F3" w:rsidRPr="003C0E2F">
        <w:rPr>
          <w:i/>
          <w:iCs/>
        </w:rPr>
        <w:t>m</w:t>
      </w:r>
      <w:r w:rsidRPr="003C0E2F">
        <w:rPr>
          <w:i/>
          <w:iCs/>
        </w:rPr>
        <w:t>innesota</w:t>
      </w:r>
      <w:proofErr w:type="spellEnd"/>
      <w:proofErr w:type="gramEnd"/>
      <w:r w:rsidRPr="003C0E2F">
        <w:rPr>
          <w:i/>
          <w:iCs/>
        </w:rPr>
        <w:t xml:space="preserve"> </w:t>
      </w:r>
      <w:r w:rsidRPr="003C0E2F">
        <w:t xml:space="preserve">R595 (Re) </w:t>
      </w:r>
      <w:r w:rsidRPr="003C0E2F">
        <w:tab/>
      </w:r>
      <w:r w:rsidR="000601B1" w:rsidRPr="003C0E2F">
        <w:tab/>
      </w:r>
      <w:r w:rsidRPr="003C0E2F">
        <w:t>#IAX-100-002</w:t>
      </w:r>
    </w:p>
    <w:p w14:paraId="254299E2" w14:textId="006C1D6B" w:rsidR="0074771D" w:rsidRPr="003C0E2F" w:rsidRDefault="007647D6" w:rsidP="00B61065">
      <w:pPr>
        <w:pStyle w:val="ListParagraph"/>
        <w:numPr>
          <w:ilvl w:val="1"/>
          <w:numId w:val="20"/>
        </w:numPr>
        <w:spacing w:line="600" w:lineRule="auto"/>
      </w:pPr>
      <w:proofErr w:type="gramStart"/>
      <w:r w:rsidRPr="003C0E2F">
        <w:rPr>
          <w:i/>
          <w:iCs/>
        </w:rPr>
        <w:t>E.</w:t>
      </w:r>
      <w:r w:rsidR="00350D27" w:rsidRPr="003C0E2F">
        <w:rPr>
          <w:i/>
          <w:iCs/>
        </w:rPr>
        <w:t>c</w:t>
      </w:r>
      <w:r w:rsidRPr="003C0E2F">
        <w:rPr>
          <w:i/>
          <w:iCs/>
        </w:rPr>
        <w:t>oli</w:t>
      </w:r>
      <w:proofErr w:type="gramEnd"/>
      <w:r w:rsidRPr="003C0E2F">
        <w:rPr>
          <w:i/>
          <w:iCs/>
        </w:rPr>
        <w:t xml:space="preserve"> </w:t>
      </w:r>
      <w:r w:rsidRPr="003C0E2F">
        <w:t>EH100 (Ra)</w:t>
      </w:r>
      <w:r w:rsidRPr="003C0E2F">
        <w:tab/>
      </w:r>
      <w:r w:rsidRPr="003C0E2F">
        <w:tab/>
        <w:t>#IAX-100-010</w:t>
      </w:r>
    </w:p>
    <w:p w14:paraId="77FE9598" w14:textId="2CAAC80F" w:rsidR="0074771D" w:rsidRPr="003C0E2F" w:rsidRDefault="007647D6" w:rsidP="00B61065">
      <w:pPr>
        <w:pStyle w:val="ListParagraph"/>
        <w:numPr>
          <w:ilvl w:val="1"/>
          <w:numId w:val="20"/>
        </w:numPr>
        <w:spacing w:line="600" w:lineRule="auto"/>
      </w:pPr>
      <w:proofErr w:type="gramStart"/>
      <w:r w:rsidRPr="003C0E2F">
        <w:rPr>
          <w:i/>
          <w:iCs/>
        </w:rPr>
        <w:t>E.coli</w:t>
      </w:r>
      <w:proofErr w:type="gramEnd"/>
      <w:r w:rsidRPr="003C0E2F">
        <w:rPr>
          <w:i/>
          <w:iCs/>
        </w:rPr>
        <w:t xml:space="preserve"> </w:t>
      </w:r>
      <w:r w:rsidRPr="003C0E2F">
        <w:t>R515 (Re)</w:t>
      </w:r>
      <w:r w:rsidRPr="003C0E2F">
        <w:tab/>
      </w:r>
      <w:r w:rsidRPr="003C0E2F">
        <w:tab/>
      </w:r>
      <w:r w:rsidRPr="003C0E2F">
        <w:tab/>
        <w:t>#IAX-100-004</w:t>
      </w:r>
    </w:p>
    <w:p w14:paraId="0B61B9D2" w14:textId="77777777" w:rsidR="0039352F" w:rsidRPr="003C0E2F" w:rsidRDefault="0039352F">
      <w:pPr>
        <w:spacing w:line="259" w:lineRule="auto"/>
        <w:rPr>
          <w:b/>
          <w:bCs/>
          <w:sz w:val="48"/>
          <w:szCs w:val="48"/>
        </w:rPr>
      </w:pPr>
      <w:r w:rsidRPr="003C0E2F">
        <w:br w:type="page"/>
      </w:r>
    </w:p>
    <w:p w14:paraId="389F2CF8" w14:textId="665BF598" w:rsidR="00622851" w:rsidRPr="003C0E2F" w:rsidRDefault="0039352F" w:rsidP="007B18FC">
      <w:pPr>
        <w:pStyle w:val="Heading1"/>
        <w:numPr>
          <w:ilvl w:val="0"/>
          <w:numId w:val="0"/>
        </w:numPr>
        <w:ind w:left="360" w:hanging="360"/>
      </w:pPr>
      <w:bookmarkStart w:id="988" w:name="_Toc80013801"/>
      <w:bookmarkStart w:id="989" w:name="_Toc82882421"/>
      <w:r w:rsidRPr="003C0E2F">
        <w:lastRenderedPageBreak/>
        <w:t xml:space="preserve">APPENDIX </w:t>
      </w:r>
      <w:r w:rsidR="00657A6C" w:rsidRPr="003C0E2F">
        <w:t>III</w:t>
      </w:r>
      <w:r w:rsidR="001F56D6" w:rsidRPr="003C0E2F">
        <w:t xml:space="preserve"> – Array Dot Blots</w:t>
      </w:r>
      <w:bookmarkEnd w:id="988"/>
      <w:bookmarkEnd w:id="989"/>
    </w:p>
    <w:p w14:paraId="0795D81A" w14:textId="656474D1" w:rsidR="00260454" w:rsidRPr="003C0E2F" w:rsidRDefault="008A3B68" w:rsidP="00241144">
      <w:r w:rsidRPr="003C0E2F">
        <w:t>A proinflammatory protein antibody array</w:t>
      </w:r>
      <w:r w:rsidR="00241144" w:rsidRPr="003C0E2F">
        <w:t xml:space="preserve"> was used to provide an overview of proinflammatory protein production in response to LPS and FP agonist series compounds, or subsequent downregulation by FP antagonist series compounds. </w:t>
      </w:r>
      <w:r w:rsidR="00617A6D" w:rsidRPr="003C0E2F">
        <w:t xml:space="preserve">Human inflammation array membranes are pre-prepared with 40 prebound spots of antibody in duplicate (see format from Table S1). </w:t>
      </w:r>
    </w:p>
    <w:p w14:paraId="53A12B17" w14:textId="77777777" w:rsidR="00260454" w:rsidRPr="003C0E2F" w:rsidRDefault="00260454" w:rsidP="00260454">
      <w:pPr>
        <w:pStyle w:val="NoSpacing"/>
      </w:pPr>
    </w:p>
    <w:p w14:paraId="75697BFE" w14:textId="6BDE0147" w:rsidR="00195254" w:rsidRPr="003C0E2F" w:rsidRDefault="00260454" w:rsidP="00260454">
      <w:pPr>
        <w:pStyle w:val="NoSpacing"/>
      </w:pPr>
      <w:bookmarkStart w:id="990" w:name="_Hlk64989587"/>
      <w:r w:rsidRPr="003C0E2F">
        <w:t xml:space="preserve">Table S1. </w:t>
      </w:r>
      <w:r w:rsidR="00195254" w:rsidRPr="003C0E2F">
        <w:t xml:space="preserve">Layout of antibody array membranes for </w:t>
      </w:r>
      <w:proofErr w:type="spellStart"/>
      <w:r w:rsidR="00195254" w:rsidRPr="003C0E2F">
        <w:t>RayBiotech</w:t>
      </w:r>
      <w:proofErr w:type="spellEnd"/>
      <w:r w:rsidR="00195254" w:rsidRPr="003C0E2F">
        <w:t xml:space="preserve"> human inflammation array C3</w:t>
      </w:r>
    </w:p>
    <w:bookmarkEnd w:id="990"/>
    <w:tbl>
      <w:tblPr>
        <w:tblW w:w="9280" w:type="dxa"/>
        <w:tblCellMar>
          <w:left w:w="0" w:type="dxa"/>
          <w:right w:w="0" w:type="dxa"/>
        </w:tblCellMar>
        <w:tblLook w:val="04A0" w:firstRow="1" w:lastRow="0" w:firstColumn="1" w:lastColumn="0" w:noHBand="0" w:noVBand="1"/>
      </w:tblPr>
      <w:tblGrid>
        <w:gridCol w:w="400"/>
        <w:gridCol w:w="740"/>
        <w:gridCol w:w="740"/>
        <w:gridCol w:w="740"/>
        <w:gridCol w:w="740"/>
        <w:gridCol w:w="740"/>
        <w:gridCol w:w="740"/>
        <w:gridCol w:w="740"/>
        <w:gridCol w:w="740"/>
        <w:gridCol w:w="740"/>
        <w:gridCol w:w="740"/>
        <w:gridCol w:w="740"/>
        <w:gridCol w:w="740"/>
      </w:tblGrid>
      <w:tr w:rsidR="003C0E2F" w:rsidRPr="003C0E2F" w14:paraId="7F6B66A5" w14:textId="77777777" w:rsidTr="00195254">
        <w:trPr>
          <w:trHeight w:val="315"/>
        </w:trPr>
        <w:tc>
          <w:tcPr>
            <w:tcW w:w="400" w:type="dxa"/>
            <w:tcBorders>
              <w:top w:val="nil"/>
              <w:left w:val="nil"/>
              <w:bottom w:val="nil"/>
              <w:right w:val="nil"/>
            </w:tcBorders>
            <w:shd w:val="clear" w:color="auto" w:fill="auto"/>
            <w:noWrap/>
            <w:tcMar>
              <w:top w:w="15" w:type="dxa"/>
              <w:left w:w="15" w:type="dxa"/>
              <w:bottom w:w="0" w:type="dxa"/>
              <w:right w:w="15" w:type="dxa"/>
            </w:tcMar>
            <w:vAlign w:val="bottom"/>
            <w:hideMark/>
          </w:tcPr>
          <w:p w14:paraId="66C88AB8" w14:textId="77777777" w:rsidR="00195254" w:rsidRPr="003C0E2F" w:rsidRDefault="00195254" w:rsidP="00195254">
            <w:pPr>
              <w:spacing w:line="276" w:lineRule="auto"/>
            </w:pPr>
          </w:p>
        </w:tc>
        <w:tc>
          <w:tcPr>
            <w:tcW w:w="740" w:type="dxa"/>
            <w:tcBorders>
              <w:top w:val="single" w:sz="8" w:space="0" w:color="auto"/>
              <w:left w:val="single" w:sz="8" w:space="0" w:color="auto"/>
              <w:bottom w:val="single" w:sz="8" w:space="0" w:color="auto"/>
              <w:right w:val="single" w:sz="4" w:space="0" w:color="auto"/>
            </w:tcBorders>
            <w:shd w:val="clear" w:color="000000" w:fill="AEAAAA"/>
            <w:noWrap/>
            <w:tcMar>
              <w:top w:w="15" w:type="dxa"/>
              <w:left w:w="15" w:type="dxa"/>
              <w:bottom w:w="0" w:type="dxa"/>
              <w:right w:w="15" w:type="dxa"/>
            </w:tcMar>
            <w:vAlign w:val="bottom"/>
            <w:hideMark/>
          </w:tcPr>
          <w:p w14:paraId="367E9A4C"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A</w:t>
            </w:r>
          </w:p>
        </w:tc>
        <w:tc>
          <w:tcPr>
            <w:tcW w:w="740" w:type="dxa"/>
            <w:tcBorders>
              <w:top w:val="single" w:sz="8" w:space="0" w:color="auto"/>
              <w:left w:val="nil"/>
              <w:bottom w:val="single" w:sz="8" w:space="0" w:color="auto"/>
              <w:right w:val="single" w:sz="4" w:space="0" w:color="auto"/>
            </w:tcBorders>
            <w:shd w:val="clear" w:color="000000" w:fill="AEAAAA"/>
            <w:noWrap/>
            <w:tcMar>
              <w:top w:w="15" w:type="dxa"/>
              <w:left w:w="15" w:type="dxa"/>
              <w:bottom w:w="0" w:type="dxa"/>
              <w:right w:w="15" w:type="dxa"/>
            </w:tcMar>
            <w:vAlign w:val="bottom"/>
            <w:hideMark/>
          </w:tcPr>
          <w:p w14:paraId="31F22D34"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B</w:t>
            </w:r>
          </w:p>
        </w:tc>
        <w:tc>
          <w:tcPr>
            <w:tcW w:w="740" w:type="dxa"/>
            <w:tcBorders>
              <w:top w:val="single" w:sz="8" w:space="0" w:color="auto"/>
              <w:left w:val="nil"/>
              <w:bottom w:val="single" w:sz="8" w:space="0" w:color="auto"/>
              <w:right w:val="single" w:sz="4" w:space="0" w:color="auto"/>
            </w:tcBorders>
            <w:shd w:val="clear" w:color="000000" w:fill="AEAAAA"/>
            <w:noWrap/>
            <w:tcMar>
              <w:top w:w="15" w:type="dxa"/>
              <w:left w:w="15" w:type="dxa"/>
              <w:bottom w:w="0" w:type="dxa"/>
              <w:right w:w="15" w:type="dxa"/>
            </w:tcMar>
            <w:vAlign w:val="bottom"/>
            <w:hideMark/>
          </w:tcPr>
          <w:p w14:paraId="32BCE455"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C</w:t>
            </w:r>
          </w:p>
        </w:tc>
        <w:tc>
          <w:tcPr>
            <w:tcW w:w="740" w:type="dxa"/>
            <w:tcBorders>
              <w:top w:val="single" w:sz="8" w:space="0" w:color="auto"/>
              <w:left w:val="nil"/>
              <w:bottom w:val="single" w:sz="8" w:space="0" w:color="auto"/>
              <w:right w:val="single" w:sz="4" w:space="0" w:color="auto"/>
            </w:tcBorders>
            <w:shd w:val="clear" w:color="000000" w:fill="AEAAAA"/>
            <w:noWrap/>
            <w:tcMar>
              <w:top w:w="15" w:type="dxa"/>
              <w:left w:w="15" w:type="dxa"/>
              <w:bottom w:w="0" w:type="dxa"/>
              <w:right w:w="15" w:type="dxa"/>
            </w:tcMar>
            <w:vAlign w:val="bottom"/>
            <w:hideMark/>
          </w:tcPr>
          <w:p w14:paraId="13904C73"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D</w:t>
            </w:r>
          </w:p>
        </w:tc>
        <w:tc>
          <w:tcPr>
            <w:tcW w:w="740" w:type="dxa"/>
            <w:tcBorders>
              <w:top w:val="single" w:sz="8" w:space="0" w:color="auto"/>
              <w:left w:val="nil"/>
              <w:bottom w:val="single" w:sz="8" w:space="0" w:color="auto"/>
              <w:right w:val="single" w:sz="4" w:space="0" w:color="auto"/>
            </w:tcBorders>
            <w:shd w:val="clear" w:color="000000" w:fill="AEAAAA"/>
            <w:noWrap/>
            <w:tcMar>
              <w:top w:w="15" w:type="dxa"/>
              <w:left w:w="15" w:type="dxa"/>
              <w:bottom w:w="0" w:type="dxa"/>
              <w:right w:w="15" w:type="dxa"/>
            </w:tcMar>
            <w:vAlign w:val="bottom"/>
            <w:hideMark/>
          </w:tcPr>
          <w:p w14:paraId="21D19AC4"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E</w:t>
            </w:r>
          </w:p>
        </w:tc>
        <w:tc>
          <w:tcPr>
            <w:tcW w:w="740" w:type="dxa"/>
            <w:tcBorders>
              <w:top w:val="single" w:sz="8" w:space="0" w:color="auto"/>
              <w:left w:val="nil"/>
              <w:bottom w:val="single" w:sz="8" w:space="0" w:color="auto"/>
              <w:right w:val="single" w:sz="4" w:space="0" w:color="auto"/>
            </w:tcBorders>
            <w:shd w:val="clear" w:color="000000" w:fill="AEAAAA"/>
            <w:noWrap/>
            <w:tcMar>
              <w:top w:w="15" w:type="dxa"/>
              <w:left w:w="15" w:type="dxa"/>
              <w:bottom w:w="0" w:type="dxa"/>
              <w:right w:w="15" w:type="dxa"/>
            </w:tcMar>
            <w:vAlign w:val="bottom"/>
            <w:hideMark/>
          </w:tcPr>
          <w:p w14:paraId="012B1385"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F</w:t>
            </w:r>
          </w:p>
        </w:tc>
        <w:tc>
          <w:tcPr>
            <w:tcW w:w="740" w:type="dxa"/>
            <w:tcBorders>
              <w:top w:val="single" w:sz="8" w:space="0" w:color="auto"/>
              <w:left w:val="nil"/>
              <w:bottom w:val="single" w:sz="8" w:space="0" w:color="auto"/>
              <w:right w:val="single" w:sz="4" w:space="0" w:color="auto"/>
            </w:tcBorders>
            <w:shd w:val="clear" w:color="000000" w:fill="AEAAAA"/>
            <w:noWrap/>
            <w:tcMar>
              <w:top w:w="15" w:type="dxa"/>
              <w:left w:w="15" w:type="dxa"/>
              <w:bottom w:w="0" w:type="dxa"/>
              <w:right w:w="15" w:type="dxa"/>
            </w:tcMar>
            <w:vAlign w:val="bottom"/>
            <w:hideMark/>
          </w:tcPr>
          <w:p w14:paraId="6C987F46"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G</w:t>
            </w:r>
          </w:p>
        </w:tc>
        <w:tc>
          <w:tcPr>
            <w:tcW w:w="740" w:type="dxa"/>
            <w:tcBorders>
              <w:top w:val="single" w:sz="8" w:space="0" w:color="auto"/>
              <w:left w:val="nil"/>
              <w:bottom w:val="single" w:sz="8" w:space="0" w:color="auto"/>
              <w:right w:val="single" w:sz="4" w:space="0" w:color="auto"/>
            </w:tcBorders>
            <w:shd w:val="clear" w:color="000000" w:fill="AEAAAA"/>
            <w:noWrap/>
            <w:tcMar>
              <w:top w:w="15" w:type="dxa"/>
              <w:left w:w="15" w:type="dxa"/>
              <w:bottom w:w="0" w:type="dxa"/>
              <w:right w:w="15" w:type="dxa"/>
            </w:tcMar>
            <w:vAlign w:val="bottom"/>
            <w:hideMark/>
          </w:tcPr>
          <w:p w14:paraId="315795D8"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H</w:t>
            </w:r>
          </w:p>
        </w:tc>
        <w:tc>
          <w:tcPr>
            <w:tcW w:w="740" w:type="dxa"/>
            <w:tcBorders>
              <w:top w:val="single" w:sz="8" w:space="0" w:color="auto"/>
              <w:left w:val="nil"/>
              <w:bottom w:val="single" w:sz="8" w:space="0" w:color="auto"/>
              <w:right w:val="single" w:sz="4" w:space="0" w:color="auto"/>
            </w:tcBorders>
            <w:shd w:val="clear" w:color="000000" w:fill="AEAAAA"/>
            <w:noWrap/>
            <w:tcMar>
              <w:top w:w="15" w:type="dxa"/>
              <w:left w:w="15" w:type="dxa"/>
              <w:bottom w:w="0" w:type="dxa"/>
              <w:right w:w="15" w:type="dxa"/>
            </w:tcMar>
            <w:vAlign w:val="bottom"/>
            <w:hideMark/>
          </w:tcPr>
          <w:p w14:paraId="081C56C4"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I</w:t>
            </w:r>
          </w:p>
        </w:tc>
        <w:tc>
          <w:tcPr>
            <w:tcW w:w="740" w:type="dxa"/>
            <w:tcBorders>
              <w:top w:val="single" w:sz="8" w:space="0" w:color="auto"/>
              <w:left w:val="nil"/>
              <w:bottom w:val="single" w:sz="8" w:space="0" w:color="auto"/>
              <w:right w:val="single" w:sz="4" w:space="0" w:color="auto"/>
            </w:tcBorders>
            <w:shd w:val="clear" w:color="000000" w:fill="AEAAAA"/>
            <w:noWrap/>
            <w:tcMar>
              <w:top w:w="15" w:type="dxa"/>
              <w:left w:w="15" w:type="dxa"/>
              <w:bottom w:w="0" w:type="dxa"/>
              <w:right w:w="15" w:type="dxa"/>
            </w:tcMar>
            <w:vAlign w:val="bottom"/>
            <w:hideMark/>
          </w:tcPr>
          <w:p w14:paraId="423941C5"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J</w:t>
            </w:r>
          </w:p>
        </w:tc>
        <w:tc>
          <w:tcPr>
            <w:tcW w:w="740" w:type="dxa"/>
            <w:tcBorders>
              <w:top w:val="single" w:sz="8" w:space="0" w:color="auto"/>
              <w:left w:val="nil"/>
              <w:bottom w:val="single" w:sz="8" w:space="0" w:color="auto"/>
              <w:right w:val="single" w:sz="4" w:space="0" w:color="auto"/>
            </w:tcBorders>
            <w:shd w:val="clear" w:color="000000" w:fill="AEAAAA"/>
            <w:noWrap/>
            <w:tcMar>
              <w:top w:w="15" w:type="dxa"/>
              <w:left w:w="15" w:type="dxa"/>
              <w:bottom w:w="0" w:type="dxa"/>
              <w:right w:w="15" w:type="dxa"/>
            </w:tcMar>
            <w:vAlign w:val="bottom"/>
            <w:hideMark/>
          </w:tcPr>
          <w:p w14:paraId="299CEE9F"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K</w:t>
            </w:r>
          </w:p>
        </w:tc>
        <w:tc>
          <w:tcPr>
            <w:tcW w:w="740" w:type="dxa"/>
            <w:tcBorders>
              <w:top w:val="single" w:sz="8" w:space="0" w:color="auto"/>
              <w:left w:val="nil"/>
              <w:bottom w:val="single" w:sz="8" w:space="0" w:color="auto"/>
              <w:right w:val="single" w:sz="8" w:space="0" w:color="auto"/>
            </w:tcBorders>
            <w:shd w:val="clear" w:color="000000" w:fill="AEAAAA"/>
            <w:noWrap/>
            <w:tcMar>
              <w:top w:w="15" w:type="dxa"/>
              <w:left w:w="15" w:type="dxa"/>
              <w:bottom w:w="0" w:type="dxa"/>
              <w:right w:w="15" w:type="dxa"/>
            </w:tcMar>
            <w:vAlign w:val="bottom"/>
            <w:hideMark/>
          </w:tcPr>
          <w:p w14:paraId="047B0B41"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L</w:t>
            </w:r>
          </w:p>
        </w:tc>
      </w:tr>
      <w:tr w:rsidR="003C0E2F" w:rsidRPr="003C0E2F" w14:paraId="1B3D1398" w14:textId="77777777" w:rsidTr="00195254">
        <w:trPr>
          <w:trHeight w:val="300"/>
        </w:trPr>
        <w:tc>
          <w:tcPr>
            <w:tcW w:w="0" w:type="auto"/>
            <w:tcBorders>
              <w:top w:val="single" w:sz="8" w:space="0" w:color="auto"/>
              <w:left w:val="single" w:sz="8" w:space="0" w:color="auto"/>
              <w:bottom w:val="single" w:sz="4" w:space="0" w:color="auto"/>
              <w:right w:val="single" w:sz="8" w:space="0" w:color="auto"/>
            </w:tcBorders>
            <w:shd w:val="clear" w:color="000000" w:fill="AEAAAA"/>
            <w:noWrap/>
            <w:tcMar>
              <w:top w:w="15" w:type="dxa"/>
              <w:left w:w="15" w:type="dxa"/>
              <w:bottom w:w="0" w:type="dxa"/>
              <w:right w:w="15" w:type="dxa"/>
            </w:tcMar>
            <w:vAlign w:val="bottom"/>
            <w:hideMark/>
          </w:tcPr>
          <w:p w14:paraId="564DC452"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0716BB7" w14:textId="77777777" w:rsidR="00195254" w:rsidRPr="003C0E2F" w:rsidRDefault="00195254" w:rsidP="00195254">
            <w:pPr>
              <w:spacing w:line="276" w:lineRule="auto"/>
              <w:jc w:val="center"/>
              <w:rPr>
                <w:rFonts w:ascii="Calibri" w:hAnsi="Calibri" w:cs="Calibri"/>
                <w:sz w:val="16"/>
                <w:szCs w:val="16"/>
              </w:rPr>
            </w:pPr>
            <w:proofErr w:type="spellStart"/>
            <w:r w:rsidRPr="003C0E2F">
              <w:rPr>
                <w:rFonts w:ascii="Calibri" w:hAnsi="Calibri" w:cs="Calibri"/>
                <w:sz w:val="16"/>
                <w:szCs w:val="16"/>
              </w:rPr>
              <w:t>Pos</w:t>
            </w:r>
            <w:proofErr w:type="spellEnd"/>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A3DEA81" w14:textId="77777777" w:rsidR="00195254" w:rsidRPr="003C0E2F" w:rsidRDefault="00195254" w:rsidP="00195254">
            <w:pPr>
              <w:spacing w:line="276" w:lineRule="auto"/>
              <w:jc w:val="center"/>
              <w:rPr>
                <w:rFonts w:ascii="Calibri" w:hAnsi="Calibri" w:cs="Calibri"/>
                <w:sz w:val="16"/>
                <w:szCs w:val="16"/>
              </w:rPr>
            </w:pPr>
            <w:proofErr w:type="spellStart"/>
            <w:r w:rsidRPr="003C0E2F">
              <w:rPr>
                <w:rFonts w:ascii="Calibri" w:hAnsi="Calibri" w:cs="Calibri"/>
                <w:sz w:val="16"/>
                <w:szCs w:val="16"/>
              </w:rPr>
              <w:t>Pos</w:t>
            </w:r>
            <w:proofErr w:type="spellEnd"/>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45A11FB"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Neg</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E70BB97"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Neg</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5D95324" w14:textId="77777777" w:rsidR="00195254" w:rsidRPr="003C0E2F" w:rsidRDefault="00195254" w:rsidP="00195254">
            <w:pPr>
              <w:spacing w:line="276" w:lineRule="auto"/>
              <w:jc w:val="center"/>
              <w:rPr>
                <w:rFonts w:ascii="Calibri" w:hAnsi="Calibri" w:cs="Calibri"/>
                <w:sz w:val="16"/>
                <w:szCs w:val="16"/>
              </w:rPr>
            </w:pPr>
            <w:proofErr w:type="spellStart"/>
            <w:r w:rsidRPr="003C0E2F">
              <w:rPr>
                <w:rFonts w:ascii="Calibri" w:hAnsi="Calibri" w:cs="Calibri"/>
                <w:sz w:val="16"/>
                <w:szCs w:val="16"/>
              </w:rPr>
              <w:t>Eotaxin</w:t>
            </w:r>
            <w:proofErr w:type="spellEnd"/>
            <w:r w:rsidRPr="003C0E2F">
              <w:rPr>
                <w:rFonts w:ascii="Calibri" w:hAnsi="Calibri" w:cs="Calibri"/>
                <w:sz w:val="16"/>
                <w:szCs w:val="16"/>
              </w:rPr>
              <w:t xml:space="preserve"> 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D576A43" w14:textId="77777777" w:rsidR="00195254" w:rsidRPr="003C0E2F" w:rsidRDefault="00195254" w:rsidP="00195254">
            <w:pPr>
              <w:spacing w:line="276" w:lineRule="auto"/>
              <w:jc w:val="center"/>
              <w:rPr>
                <w:rFonts w:ascii="Calibri" w:hAnsi="Calibri" w:cs="Calibri"/>
                <w:sz w:val="16"/>
                <w:szCs w:val="16"/>
              </w:rPr>
            </w:pPr>
            <w:proofErr w:type="spellStart"/>
            <w:r w:rsidRPr="003C0E2F">
              <w:rPr>
                <w:rFonts w:ascii="Calibri" w:hAnsi="Calibri" w:cs="Calibri"/>
                <w:sz w:val="16"/>
                <w:szCs w:val="16"/>
              </w:rPr>
              <w:t>Eotaxin</w:t>
            </w:r>
            <w:proofErr w:type="spellEnd"/>
            <w:r w:rsidRPr="003C0E2F">
              <w:rPr>
                <w:rFonts w:ascii="Calibri" w:hAnsi="Calibri" w:cs="Calibri"/>
                <w:sz w:val="16"/>
                <w:szCs w:val="16"/>
              </w:rPr>
              <w:t xml:space="preserve"> 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D94728A"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GCSF</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2FB0F0B"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GM-CSF</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47CFD07"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iCAM-1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A03BBD4" w14:textId="77777777" w:rsidR="00195254" w:rsidRPr="003C0E2F" w:rsidRDefault="00195254" w:rsidP="00195254">
            <w:pPr>
              <w:spacing w:line="276" w:lineRule="auto"/>
              <w:jc w:val="center"/>
              <w:rPr>
                <w:rFonts w:ascii="Calibri" w:hAnsi="Calibri" w:cs="Calibri"/>
                <w:sz w:val="16"/>
                <w:szCs w:val="16"/>
              </w:rPr>
            </w:pPr>
            <w:proofErr w:type="spellStart"/>
            <w:r w:rsidRPr="003C0E2F">
              <w:rPr>
                <w:rFonts w:ascii="Calibri" w:hAnsi="Calibri" w:cs="Calibri"/>
                <w:sz w:val="16"/>
                <w:szCs w:val="16"/>
              </w:rPr>
              <w:t>IFNγ</w:t>
            </w:r>
            <w:proofErr w:type="spellEnd"/>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C497607"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I-309</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941C55B"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IL-1α</w:t>
            </w:r>
          </w:p>
        </w:tc>
      </w:tr>
      <w:tr w:rsidR="003C0E2F" w:rsidRPr="003C0E2F" w14:paraId="208C17BB" w14:textId="77777777" w:rsidTr="00195254">
        <w:trPr>
          <w:trHeight w:val="300"/>
        </w:trPr>
        <w:tc>
          <w:tcPr>
            <w:tcW w:w="0" w:type="auto"/>
            <w:tcBorders>
              <w:top w:val="nil"/>
              <w:left w:val="single" w:sz="8" w:space="0" w:color="auto"/>
              <w:bottom w:val="single" w:sz="4" w:space="0" w:color="auto"/>
              <w:right w:val="single" w:sz="8" w:space="0" w:color="auto"/>
            </w:tcBorders>
            <w:shd w:val="clear" w:color="000000" w:fill="AEAAAA"/>
            <w:noWrap/>
            <w:tcMar>
              <w:top w:w="15" w:type="dxa"/>
              <w:left w:w="15" w:type="dxa"/>
              <w:bottom w:w="0" w:type="dxa"/>
              <w:right w:w="15" w:type="dxa"/>
            </w:tcMar>
            <w:vAlign w:val="bottom"/>
            <w:hideMark/>
          </w:tcPr>
          <w:p w14:paraId="11257867"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588B426" w14:textId="77777777" w:rsidR="00195254" w:rsidRPr="003C0E2F" w:rsidRDefault="00195254" w:rsidP="00195254">
            <w:pPr>
              <w:spacing w:line="276" w:lineRule="auto"/>
              <w:jc w:val="center"/>
              <w:rPr>
                <w:rFonts w:ascii="Calibri" w:hAnsi="Calibri" w:cs="Calibri"/>
                <w:sz w:val="16"/>
                <w:szCs w:val="16"/>
              </w:rPr>
            </w:pPr>
            <w:proofErr w:type="spellStart"/>
            <w:r w:rsidRPr="003C0E2F">
              <w:rPr>
                <w:rFonts w:ascii="Calibri" w:hAnsi="Calibri" w:cs="Calibri"/>
                <w:sz w:val="16"/>
                <w:szCs w:val="16"/>
              </w:rPr>
              <w:t>Pos</w:t>
            </w:r>
            <w:proofErr w:type="spellEnd"/>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8740081" w14:textId="77777777" w:rsidR="00195254" w:rsidRPr="003C0E2F" w:rsidRDefault="00195254" w:rsidP="00195254">
            <w:pPr>
              <w:spacing w:line="276" w:lineRule="auto"/>
              <w:jc w:val="center"/>
              <w:rPr>
                <w:rFonts w:ascii="Calibri" w:hAnsi="Calibri" w:cs="Calibri"/>
                <w:sz w:val="16"/>
                <w:szCs w:val="16"/>
              </w:rPr>
            </w:pPr>
            <w:proofErr w:type="spellStart"/>
            <w:r w:rsidRPr="003C0E2F">
              <w:rPr>
                <w:rFonts w:ascii="Calibri" w:hAnsi="Calibri" w:cs="Calibri"/>
                <w:sz w:val="16"/>
                <w:szCs w:val="16"/>
              </w:rPr>
              <w:t>Pos</w:t>
            </w:r>
            <w:proofErr w:type="spellEnd"/>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5442184"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Neg</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1C697D3"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Neg</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ABB4F71" w14:textId="77777777" w:rsidR="00195254" w:rsidRPr="003C0E2F" w:rsidRDefault="00195254" w:rsidP="00195254">
            <w:pPr>
              <w:spacing w:line="276" w:lineRule="auto"/>
              <w:jc w:val="center"/>
              <w:rPr>
                <w:rFonts w:ascii="Calibri" w:hAnsi="Calibri" w:cs="Calibri"/>
                <w:sz w:val="16"/>
                <w:szCs w:val="16"/>
              </w:rPr>
            </w:pPr>
            <w:proofErr w:type="spellStart"/>
            <w:r w:rsidRPr="003C0E2F">
              <w:rPr>
                <w:rFonts w:ascii="Calibri" w:hAnsi="Calibri" w:cs="Calibri"/>
                <w:sz w:val="16"/>
                <w:szCs w:val="16"/>
              </w:rPr>
              <w:t>Eotaxin</w:t>
            </w:r>
            <w:proofErr w:type="spellEnd"/>
            <w:r w:rsidRPr="003C0E2F">
              <w:rPr>
                <w:rFonts w:ascii="Calibri" w:hAnsi="Calibri" w:cs="Calibri"/>
                <w:sz w:val="16"/>
                <w:szCs w:val="16"/>
              </w:rPr>
              <w:t xml:space="preserve"> 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EE3A16D" w14:textId="77777777" w:rsidR="00195254" w:rsidRPr="003C0E2F" w:rsidRDefault="00195254" w:rsidP="00195254">
            <w:pPr>
              <w:spacing w:line="276" w:lineRule="auto"/>
              <w:jc w:val="center"/>
              <w:rPr>
                <w:rFonts w:ascii="Calibri" w:hAnsi="Calibri" w:cs="Calibri"/>
                <w:sz w:val="16"/>
                <w:szCs w:val="16"/>
              </w:rPr>
            </w:pPr>
            <w:proofErr w:type="spellStart"/>
            <w:r w:rsidRPr="003C0E2F">
              <w:rPr>
                <w:rFonts w:ascii="Calibri" w:hAnsi="Calibri" w:cs="Calibri"/>
                <w:sz w:val="16"/>
                <w:szCs w:val="16"/>
              </w:rPr>
              <w:t>Eotaxin</w:t>
            </w:r>
            <w:proofErr w:type="spellEnd"/>
            <w:r w:rsidRPr="003C0E2F">
              <w:rPr>
                <w:rFonts w:ascii="Calibri" w:hAnsi="Calibri" w:cs="Calibri"/>
                <w:sz w:val="16"/>
                <w:szCs w:val="16"/>
              </w:rPr>
              <w:t xml:space="preserve"> 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DB4CAB4"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GCSF</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BD16230"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GM-CSF</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AB09C96"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iCAM-2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473F577" w14:textId="77777777" w:rsidR="00195254" w:rsidRPr="003C0E2F" w:rsidRDefault="00195254" w:rsidP="00195254">
            <w:pPr>
              <w:spacing w:line="276" w:lineRule="auto"/>
              <w:jc w:val="center"/>
              <w:rPr>
                <w:rFonts w:ascii="Calibri" w:hAnsi="Calibri" w:cs="Calibri"/>
                <w:sz w:val="16"/>
                <w:szCs w:val="16"/>
              </w:rPr>
            </w:pPr>
            <w:proofErr w:type="spellStart"/>
            <w:r w:rsidRPr="003C0E2F">
              <w:rPr>
                <w:rFonts w:ascii="Calibri" w:hAnsi="Calibri" w:cs="Calibri"/>
                <w:sz w:val="16"/>
                <w:szCs w:val="16"/>
              </w:rPr>
              <w:t>IFNγ</w:t>
            </w:r>
            <w:proofErr w:type="spellEnd"/>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F9CC14E"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I-310</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BB0968A"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IL-1α</w:t>
            </w:r>
          </w:p>
        </w:tc>
      </w:tr>
      <w:tr w:rsidR="003C0E2F" w:rsidRPr="003C0E2F" w14:paraId="24C7A2C0" w14:textId="77777777" w:rsidTr="00195254">
        <w:trPr>
          <w:trHeight w:val="300"/>
        </w:trPr>
        <w:tc>
          <w:tcPr>
            <w:tcW w:w="0" w:type="auto"/>
            <w:tcBorders>
              <w:top w:val="nil"/>
              <w:left w:val="single" w:sz="8" w:space="0" w:color="auto"/>
              <w:bottom w:val="single" w:sz="4" w:space="0" w:color="auto"/>
              <w:right w:val="single" w:sz="8" w:space="0" w:color="auto"/>
            </w:tcBorders>
            <w:shd w:val="clear" w:color="000000" w:fill="AEAAAA"/>
            <w:noWrap/>
            <w:tcMar>
              <w:top w:w="15" w:type="dxa"/>
              <w:left w:w="15" w:type="dxa"/>
              <w:bottom w:w="0" w:type="dxa"/>
              <w:right w:w="15" w:type="dxa"/>
            </w:tcMar>
            <w:vAlign w:val="bottom"/>
            <w:hideMark/>
          </w:tcPr>
          <w:p w14:paraId="3977347B"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3</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D251A77"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IL-1β</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3752186"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F93C06F"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IL-3</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24A495A"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IL-4</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6ECD22C"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IL-6</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647989C"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IL-6R</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3B65C1B"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IL-7</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5F863EF"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IL-8</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51E7F6B"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IL-10</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E0B2388"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C5EF564"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IL-12 p40</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1F8E720"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IL-12 p70</w:t>
            </w:r>
          </w:p>
        </w:tc>
      </w:tr>
      <w:tr w:rsidR="003C0E2F" w:rsidRPr="003C0E2F" w14:paraId="7EB1E57F" w14:textId="77777777" w:rsidTr="00195254">
        <w:trPr>
          <w:trHeight w:val="300"/>
        </w:trPr>
        <w:tc>
          <w:tcPr>
            <w:tcW w:w="0" w:type="auto"/>
            <w:tcBorders>
              <w:top w:val="nil"/>
              <w:left w:val="single" w:sz="8" w:space="0" w:color="auto"/>
              <w:bottom w:val="single" w:sz="4" w:space="0" w:color="auto"/>
              <w:right w:val="single" w:sz="8" w:space="0" w:color="auto"/>
            </w:tcBorders>
            <w:shd w:val="clear" w:color="000000" w:fill="AEAAAA"/>
            <w:noWrap/>
            <w:tcMar>
              <w:top w:w="15" w:type="dxa"/>
              <w:left w:w="15" w:type="dxa"/>
              <w:bottom w:w="0" w:type="dxa"/>
              <w:right w:w="15" w:type="dxa"/>
            </w:tcMar>
            <w:vAlign w:val="bottom"/>
            <w:hideMark/>
          </w:tcPr>
          <w:p w14:paraId="19BB5759"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4</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312C2A1"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IL-1β</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1C17766"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60E66E3"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IL-3</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18DDC58"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IL-4</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A4AF98F"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IL-6</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9549168"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IL-6R</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C5B0DEF"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IL-7</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C326AC8"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IL-8</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5375626"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IL-10</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6F09AF8"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775C12F"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IL-12 p40</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B80FE8A"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IL-12 p70</w:t>
            </w:r>
          </w:p>
        </w:tc>
      </w:tr>
      <w:tr w:rsidR="003C0E2F" w:rsidRPr="003C0E2F" w14:paraId="761FD21C" w14:textId="77777777" w:rsidTr="00195254">
        <w:trPr>
          <w:trHeight w:val="300"/>
        </w:trPr>
        <w:tc>
          <w:tcPr>
            <w:tcW w:w="0" w:type="auto"/>
            <w:tcBorders>
              <w:top w:val="nil"/>
              <w:left w:val="single" w:sz="8" w:space="0" w:color="auto"/>
              <w:bottom w:val="single" w:sz="4" w:space="0" w:color="auto"/>
              <w:right w:val="single" w:sz="8" w:space="0" w:color="auto"/>
            </w:tcBorders>
            <w:shd w:val="clear" w:color="000000" w:fill="AEAAAA"/>
            <w:noWrap/>
            <w:tcMar>
              <w:top w:w="15" w:type="dxa"/>
              <w:left w:w="15" w:type="dxa"/>
              <w:bottom w:w="0" w:type="dxa"/>
              <w:right w:w="15" w:type="dxa"/>
            </w:tcMar>
            <w:vAlign w:val="bottom"/>
            <w:hideMark/>
          </w:tcPr>
          <w:p w14:paraId="09BE3286"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5</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0A4FC0B"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IL-13</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4662922"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IL15</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E44CFD9"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IL-16</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0E69126"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IL-17A</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85B260F"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IP-10</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BD003B1"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MCP-1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62A428A"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MCP-2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E478C89"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M-CSF</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9E74CE4"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MIG</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97DC0F6"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MIP-1α</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8607A35"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MIP-1β</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83CF8C1"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MIP-1δ</w:t>
            </w:r>
          </w:p>
        </w:tc>
      </w:tr>
      <w:tr w:rsidR="003C0E2F" w:rsidRPr="003C0E2F" w14:paraId="5DECFCCB" w14:textId="77777777" w:rsidTr="00195254">
        <w:trPr>
          <w:trHeight w:val="300"/>
        </w:trPr>
        <w:tc>
          <w:tcPr>
            <w:tcW w:w="0" w:type="auto"/>
            <w:tcBorders>
              <w:top w:val="nil"/>
              <w:left w:val="single" w:sz="8" w:space="0" w:color="auto"/>
              <w:bottom w:val="single" w:sz="4" w:space="0" w:color="auto"/>
              <w:right w:val="single" w:sz="8" w:space="0" w:color="auto"/>
            </w:tcBorders>
            <w:shd w:val="clear" w:color="000000" w:fill="AEAAAA"/>
            <w:noWrap/>
            <w:tcMar>
              <w:top w:w="15" w:type="dxa"/>
              <w:left w:w="15" w:type="dxa"/>
              <w:bottom w:w="0" w:type="dxa"/>
              <w:right w:w="15" w:type="dxa"/>
            </w:tcMar>
            <w:vAlign w:val="bottom"/>
            <w:hideMark/>
          </w:tcPr>
          <w:p w14:paraId="3DCC7FBF"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6</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94D9ABA"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IL-13</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135B154"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IL15</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3E0C299"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IL-16</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09654AE"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IL-17A</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23B5CAB"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IP-11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A5EF493"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MCP-1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7D966D2"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MCP-2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A4A61B3"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M-CSF</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29300F3"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MIG</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C981390"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MIP-1α</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133585F"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MIP-1β</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9D22548"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MIP-1δ</w:t>
            </w:r>
          </w:p>
        </w:tc>
      </w:tr>
      <w:tr w:rsidR="003C0E2F" w:rsidRPr="003C0E2F" w14:paraId="095D46AA" w14:textId="77777777" w:rsidTr="00E02C25">
        <w:trPr>
          <w:trHeight w:val="292"/>
        </w:trPr>
        <w:tc>
          <w:tcPr>
            <w:tcW w:w="0" w:type="auto"/>
            <w:tcBorders>
              <w:top w:val="nil"/>
              <w:left w:val="single" w:sz="8" w:space="0" w:color="auto"/>
              <w:bottom w:val="single" w:sz="4" w:space="0" w:color="auto"/>
              <w:right w:val="single" w:sz="8" w:space="0" w:color="auto"/>
            </w:tcBorders>
            <w:shd w:val="clear" w:color="000000" w:fill="AEAAAA"/>
            <w:noWrap/>
            <w:tcMar>
              <w:top w:w="15" w:type="dxa"/>
              <w:left w:w="15" w:type="dxa"/>
              <w:bottom w:w="0" w:type="dxa"/>
              <w:right w:w="15" w:type="dxa"/>
            </w:tcMar>
            <w:vAlign w:val="bottom"/>
            <w:hideMark/>
          </w:tcPr>
          <w:p w14:paraId="67AAD614"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7</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FE3B168"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RANTES</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D19AB15"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TGFβ1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CC54FB2"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TNFα</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88F3E4D"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TNFβ</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A55D342"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TNF RI</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9966929"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TNF RII</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A4D3018"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PDGF-BB</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E3AFFA0"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TIMP-2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86DA785"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Blank</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1C05FAC"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Blank</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C2338D4"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Neg</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E47F3B5" w14:textId="77777777" w:rsidR="00195254" w:rsidRPr="003C0E2F" w:rsidRDefault="00195254" w:rsidP="00195254">
            <w:pPr>
              <w:spacing w:line="276" w:lineRule="auto"/>
              <w:jc w:val="center"/>
              <w:rPr>
                <w:rFonts w:ascii="Calibri" w:hAnsi="Calibri" w:cs="Calibri"/>
                <w:sz w:val="16"/>
                <w:szCs w:val="16"/>
              </w:rPr>
            </w:pPr>
            <w:proofErr w:type="spellStart"/>
            <w:r w:rsidRPr="003C0E2F">
              <w:rPr>
                <w:rFonts w:ascii="Calibri" w:hAnsi="Calibri" w:cs="Calibri"/>
                <w:sz w:val="16"/>
                <w:szCs w:val="16"/>
              </w:rPr>
              <w:t>Pos</w:t>
            </w:r>
            <w:proofErr w:type="spellEnd"/>
          </w:p>
        </w:tc>
      </w:tr>
      <w:tr w:rsidR="003C0E2F" w:rsidRPr="003C0E2F" w14:paraId="40E997D2" w14:textId="77777777" w:rsidTr="00E02C25">
        <w:trPr>
          <w:trHeight w:val="65"/>
        </w:trPr>
        <w:tc>
          <w:tcPr>
            <w:tcW w:w="0" w:type="auto"/>
            <w:tcBorders>
              <w:top w:val="nil"/>
              <w:left w:val="single" w:sz="8" w:space="0" w:color="auto"/>
              <w:bottom w:val="single" w:sz="8" w:space="0" w:color="auto"/>
              <w:right w:val="single" w:sz="8" w:space="0" w:color="auto"/>
            </w:tcBorders>
            <w:shd w:val="clear" w:color="000000" w:fill="AEAAAA"/>
            <w:noWrap/>
            <w:tcMar>
              <w:top w:w="15" w:type="dxa"/>
              <w:left w:w="15" w:type="dxa"/>
              <w:bottom w:w="0" w:type="dxa"/>
              <w:right w:w="15" w:type="dxa"/>
            </w:tcMar>
            <w:vAlign w:val="bottom"/>
            <w:hideMark/>
          </w:tcPr>
          <w:p w14:paraId="5A6CAE6A" w14:textId="77777777" w:rsidR="00195254" w:rsidRPr="003C0E2F" w:rsidRDefault="00195254" w:rsidP="00195254">
            <w:pPr>
              <w:spacing w:line="276" w:lineRule="auto"/>
              <w:jc w:val="center"/>
              <w:rPr>
                <w:rFonts w:ascii="Calibri" w:hAnsi="Calibri" w:cs="Calibri"/>
              </w:rPr>
            </w:pPr>
            <w:r w:rsidRPr="003C0E2F">
              <w:rPr>
                <w:rFonts w:ascii="Calibri" w:hAnsi="Calibri" w:cs="Calibri"/>
              </w:rPr>
              <w:t>8</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66BFD5D"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RANTES</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7E39EFE"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TGFβ2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25757AF"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TNFα</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BCB8D25"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TNFβ</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AF2A399"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TNF RI</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97B2FB9"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TNF RII</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5E2B1E3"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PDGF-BB</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4CF1799"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TIMP-3</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7C92306"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Blank</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A5159DF"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Blank</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DF19ECC" w14:textId="77777777" w:rsidR="00195254" w:rsidRPr="003C0E2F" w:rsidRDefault="00195254" w:rsidP="00195254">
            <w:pPr>
              <w:spacing w:line="276" w:lineRule="auto"/>
              <w:jc w:val="center"/>
              <w:rPr>
                <w:rFonts w:ascii="Calibri" w:hAnsi="Calibri" w:cs="Calibri"/>
                <w:sz w:val="16"/>
                <w:szCs w:val="16"/>
              </w:rPr>
            </w:pPr>
            <w:r w:rsidRPr="003C0E2F">
              <w:rPr>
                <w:rFonts w:ascii="Calibri" w:hAnsi="Calibri" w:cs="Calibri"/>
                <w:sz w:val="16"/>
                <w:szCs w:val="16"/>
              </w:rPr>
              <w:t>Neg</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965C955" w14:textId="77777777" w:rsidR="00195254" w:rsidRPr="003C0E2F" w:rsidRDefault="00195254" w:rsidP="00195254">
            <w:pPr>
              <w:spacing w:line="276" w:lineRule="auto"/>
              <w:jc w:val="center"/>
              <w:rPr>
                <w:rFonts w:ascii="Calibri" w:hAnsi="Calibri" w:cs="Calibri"/>
                <w:sz w:val="16"/>
                <w:szCs w:val="16"/>
              </w:rPr>
            </w:pPr>
            <w:proofErr w:type="spellStart"/>
            <w:r w:rsidRPr="003C0E2F">
              <w:rPr>
                <w:rFonts w:ascii="Calibri" w:hAnsi="Calibri" w:cs="Calibri"/>
                <w:sz w:val="16"/>
                <w:szCs w:val="16"/>
              </w:rPr>
              <w:t>Pos</w:t>
            </w:r>
            <w:proofErr w:type="spellEnd"/>
          </w:p>
        </w:tc>
      </w:tr>
    </w:tbl>
    <w:p w14:paraId="2388E24B" w14:textId="77777777" w:rsidR="00195254" w:rsidRPr="003C0E2F" w:rsidRDefault="00195254" w:rsidP="00195254"/>
    <w:p w14:paraId="56553BD6" w14:textId="77777777" w:rsidR="00C1164D" w:rsidRPr="003C0E2F" w:rsidRDefault="00C1164D" w:rsidP="00195254"/>
    <w:p w14:paraId="0D69DCED" w14:textId="77777777" w:rsidR="00C1164D" w:rsidRPr="003C0E2F" w:rsidRDefault="00C1164D">
      <w:pPr>
        <w:spacing w:line="259" w:lineRule="auto"/>
      </w:pPr>
      <w:r w:rsidRPr="003C0E2F">
        <w:br w:type="page"/>
      </w:r>
    </w:p>
    <w:p w14:paraId="20C14E63" w14:textId="62D97D22" w:rsidR="001A0AE0" w:rsidRPr="003C0E2F" w:rsidRDefault="00C1164D" w:rsidP="00AF60E7">
      <w:r w:rsidRPr="003C0E2F">
        <w:lastRenderedPageBreak/>
        <w:t xml:space="preserve">THP-1 macrophages were activated with LPS and either pre-treated with FP7 or FP12 in the presence of LPS, or alone in the case of FP11 </w:t>
      </w:r>
      <w:proofErr w:type="gramStart"/>
      <w:r w:rsidRPr="003C0E2F">
        <w:t>and  FP</w:t>
      </w:r>
      <w:proofErr w:type="gramEnd"/>
      <w:r w:rsidRPr="003C0E2F">
        <w:t xml:space="preserve">18. A single membrane was produced for each treatment (See Figure S1). </w:t>
      </w:r>
      <w:r w:rsidR="00195254" w:rsidRPr="003C0E2F">
        <w:t xml:space="preserve"> </w:t>
      </w:r>
      <w:r w:rsidRPr="003C0E2F">
        <w:t>Each membrane was normalised to the average value of positive controls on the blot and blank values subtracted before calculation of relative fold-increase versus control samples. This gives a rough approximation of the level of each protein present and the potential difference between samples to help identify potential proteins of interest for further investigation.</w:t>
      </w:r>
    </w:p>
    <w:p w14:paraId="71784543" w14:textId="7B7DE7A0" w:rsidR="00040469" w:rsidRPr="003C0E2F" w:rsidRDefault="00040469" w:rsidP="00040469">
      <w:pPr>
        <w:pStyle w:val="NoSpacing"/>
        <w:jc w:val="center"/>
      </w:pPr>
      <w:r w:rsidRPr="003C0E2F">
        <w:rPr>
          <w:noProof/>
        </w:rPr>
        <w:drawing>
          <wp:inline distT="0" distB="0" distL="0" distR="0" wp14:anchorId="4F143795" wp14:editId="3B20FC5A">
            <wp:extent cx="4297680" cy="34747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297680" cy="3474720"/>
                    </a:xfrm>
                    <a:prstGeom prst="rect">
                      <a:avLst/>
                    </a:prstGeom>
                    <a:noFill/>
                    <a:ln>
                      <a:noFill/>
                    </a:ln>
                  </pic:spPr>
                </pic:pic>
              </a:graphicData>
            </a:graphic>
          </wp:inline>
        </w:drawing>
      </w:r>
    </w:p>
    <w:p w14:paraId="46D98528" w14:textId="4A0FEE3F" w:rsidR="00617A6D" w:rsidRPr="003C0E2F" w:rsidRDefault="001A0AE0" w:rsidP="003C0E2F">
      <w:pPr>
        <w:pStyle w:val="NoSpacing"/>
      </w:pPr>
      <w:r w:rsidRPr="003C0E2F">
        <w:t xml:space="preserve">Figure S1. </w:t>
      </w:r>
      <w:r w:rsidR="004C3C56" w:rsidRPr="003C0E2F">
        <w:t>D</w:t>
      </w:r>
      <w:r w:rsidRPr="003C0E2F">
        <w:t>ot blots</w:t>
      </w:r>
      <w:r w:rsidR="004C3C56" w:rsidRPr="003C0E2F">
        <w:t xml:space="preserve"> produced</w:t>
      </w:r>
      <w:r w:rsidRPr="003C0E2F">
        <w:t xml:space="preserve"> for human inflammation Array</w:t>
      </w:r>
      <w:r w:rsidR="00040469" w:rsidRPr="003C0E2F">
        <w:t>: Control, LPS, FP7 and FP23. THP-1 macrophages were pre-treated with</w:t>
      </w:r>
      <w:r w:rsidR="004C3C56" w:rsidRPr="003C0E2F">
        <w:t xml:space="preserve"> FP7 or FP12</w:t>
      </w:r>
      <w:r w:rsidR="00040469" w:rsidRPr="003C0E2F">
        <w:t xml:space="preserve"> </w:t>
      </w:r>
      <w:r w:rsidR="004C3C56" w:rsidRPr="003C0E2F">
        <w:t xml:space="preserve">for 1 hour prior to overnight </w:t>
      </w:r>
      <w:r w:rsidR="00040469" w:rsidRPr="003C0E2F">
        <w:t>LPS</w:t>
      </w:r>
      <w:r w:rsidR="004C3C56" w:rsidRPr="003C0E2F">
        <w:t xml:space="preserve"> (100ng/ml) exposure. Culture medium was collected and centrifuged to remove cell debris before applying to array membranes overnight. </w:t>
      </w:r>
    </w:p>
    <w:p w14:paraId="0D76C252" w14:textId="73B7E922" w:rsidR="00040469" w:rsidRPr="003C0E2F" w:rsidRDefault="00040469" w:rsidP="001A0AE0">
      <w:pPr>
        <w:pStyle w:val="NoSpacing"/>
      </w:pPr>
    </w:p>
    <w:p w14:paraId="359C617D" w14:textId="5DB3693F" w:rsidR="00622851" w:rsidRPr="003C0E2F" w:rsidRDefault="001A0AE0" w:rsidP="001A0AE0">
      <w:pPr>
        <w:pStyle w:val="NoSpacing"/>
      </w:pPr>
      <w:r w:rsidRPr="003C0E2F">
        <w:t xml:space="preserve"> </w:t>
      </w:r>
      <w:r w:rsidR="00622851" w:rsidRPr="003C0E2F">
        <w:br w:type="page"/>
      </w:r>
    </w:p>
    <w:p w14:paraId="3FDC675A" w14:textId="74F5AA20" w:rsidR="007B18FC" w:rsidRPr="003C0E2F" w:rsidRDefault="00622851" w:rsidP="007B18FC">
      <w:pPr>
        <w:pStyle w:val="Heading1"/>
        <w:numPr>
          <w:ilvl w:val="0"/>
          <w:numId w:val="0"/>
        </w:numPr>
        <w:ind w:left="360" w:hanging="360"/>
      </w:pPr>
      <w:bookmarkStart w:id="991" w:name="_Toc80013802"/>
      <w:bookmarkStart w:id="992" w:name="_Toc82882422"/>
      <w:r w:rsidRPr="003C0E2F">
        <w:lastRenderedPageBreak/>
        <w:t>APPENDIX IV</w:t>
      </w:r>
      <w:r w:rsidR="0039352F" w:rsidRPr="003C0E2F">
        <w:t xml:space="preserve"> </w:t>
      </w:r>
      <w:r w:rsidR="00144F7A" w:rsidRPr="003C0E2F">
        <w:t>–</w:t>
      </w:r>
      <w:r w:rsidR="007B18FC" w:rsidRPr="003C0E2F">
        <w:t xml:space="preserve"> </w:t>
      </w:r>
      <w:r w:rsidR="00144F7A" w:rsidRPr="003C0E2F">
        <w:t>Additional Data</w:t>
      </w:r>
      <w:r w:rsidR="00A50814" w:rsidRPr="003C0E2F">
        <w:t xml:space="preserve"> (Mouse)</w:t>
      </w:r>
      <w:bookmarkEnd w:id="991"/>
      <w:bookmarkEnd w:id="992"/>
      <w:r w:rsidR="00A50814" w:rsidRPr="003C0E2F">
        <w:t xml:space="preserve"> </w:t>
      </w:r>
    </w:p>
    <w:p w14:paraId="0575AFEE" w14:textId="4278E2FB" w:rsidR="007B18FC" w:rsidRPr="003C0E2F" w:rsidRDefault="007B18FC" w:rsidP="007B18FC">
      <w:pPr>
        <w:pStyle w:val="NoSpacing"/>
        <w:rPr>
          <w:i w:val="0"/>
          <w:iCs/>
        </w:rPr>
      </w:pPr>
      <w:r w:rsidRPr="003C0E2F">
        <w:rPr>
          <w:i w:val="0"/>
          <w:iCs/>
        </w:rPr>
        <w:t xml:space="preserve">An overview of the </w:t>
      </w:r>
      <w:r w:rsidR="008F561F" w:rsidRPr="003C0E2F">
        <w:rPr>
          <w:i w:val="0"/>
          <w:iCs/>
        </w:rPr>
        <w:t>effect</w:t>
      </w:r>
      <w:r w:rsidRPr="003C0E2F">
        <w:rPr>
          <w:i w:val="0"/>
          <w:iCs/>
        </w:rPr>
        <w:t xml:space="preserve">s of FP12 on LPS induced </w:t>
      </w:r>
      <w:r w:rsidR="005C52F4" w:rsidRPr="003C0E2F">
        <w:rPr>
          <w:i w:val="0"/>
          <w:iCs/>
        </w:rPr>
        <w:t xml:space="preserve">mouse </w:t>
      </w:r>
      <w:r w:rsidRPr="003C0E2F">
        <w:rPr>
          <w:i w:val="0"/>
          <w:iCs/>
        </w:rPr>
        <w:t xml:space="preserve">TLR4 signalling suggests that FP12 may downregulate some cytokines, while others appear to be upregulated. </w:t>
      </w:r>
      <w:r w:rsidR="00085548" w:rsidRPr="003C0E2F">
        <w:rPr>
          <w:i w:val="0"/>
          <w:iCs/>
        </w:rPr>
        <w:t>However, further verification of this data is required as array data do not provide quantitative data and alone do not provide an accurate enough representation of what may be happening with different cytokines.</w:t>
      </w:r>
    </w:p>
    <w:p w14:paraId="2F411357" w14:textId="77777777" w:rsidR="00085548" w:rsidRPr="003C0E2F" w:rsidRDefault="00085548" w:rsidP="007B18FC">
      <w:pPr>
        <w:pStyle w:val="NoSpacing"/>
      </w:pPr>
    </w:p>
    <w:p w14:paraId="66BF7222" w14:textId="76E4B560" w:rsidR="007B18FC" w:rsidRPr="003C0E2F" w:rsidRDefault="007B18FC" w:rsidP="007B18FC">
      <w:pPr>
        <w:pStyle w:val="NoSpacing"/>
        <w:rPr>
          <w:rStyle w:val="Strong"/>
          <w:b w:val="0"/>
          <w:bCs w:val="0"/>
        </w:rPr>
      </w:pPr>
      <w:bookmarkStart w:id="993" w:name="_Hlk64989690"/>
      <w:r w:rsidRPr="003C0E2F">
        <w:t>Table S</w:t>
      </w:r>
      <w:r w:rsidR="00C1164D" w:rsidRPr="003C0E2F">
        <w:t>2</w:t>
      </w:r>
      <w:r w:rsidRPr="003C0E2F">
        <w:t>.</w:t>
      </w:r>
      <w:r w:rsidRPr="003C0E2F">
        <w:rPr>
          <w:rStyle w:val="Strong"/>
          <w:b w:val="0"/>
          <w:bCs w:val="0"/>
        </w:rPr>
        <w:t xml:space="preserve"> FP12 negatively regulate LPS induced proinflammatory protein production in RAW264 mouse </w:t>
      </w:r>
      <w:r w:rsidR="008F561F" w:rsidRPr="003C0E2F">
        <w:rPr>
          <w:rStyle w:val="Strong"/>
          <w:b w:val="0"/>
          <w:bCs w:val="0"/>
        </w:rPr>
        <w:t>macrophage</w:t>
      </w:r>
      <w:r w:rsidRPr="003C0E2F">
        <w:rPr>
          <w:rStyle w:val="Strong"/>
          <w:b w:val="0"/>
          <w:bCs w:val="0"/>
        </w:rPr>
        <w:t>s.</w:t>
      </w:r>
      <w:bookmarkEnd w:id="993"/>
      <w:r w:rsidRPr="003C0E2F">
        <w:rPr>
          <w:rStyle w:val="Strong"/>
          <w:b w:val="0"/>
          <w:bCs w:val="0"/>
        </w:rPr>
        <w:t xml:space="preserve"> RAW264 </w:t>
      </w:r>
      <w:r w:rsidR="008F561F" w:rsidRPr="003C0E2F">
        <w:rPr>
          <w:rStyle w:val="Strong"/>
          <w:b w:val="0"/>
          <w:bCs w:val="0"/>
        </w:rPr>
        <w:t>macrophage</w:t>
      </w:r>
      <w:r w:rsidRPr="003C0E2F">
        <w:rPr>
          <w:rStyle w:val="Strong"/>
          <w:b w:val="0"/>
          <w:bCs w:val="0"/>
        </w:rPr>
        <w:t xml:space="preserve">s were treated with FP12 (10µM) for 1 hour prior to </w:t>
      </w:r>
      <w:proofErr w:type="spellStart"/>
      <w:proofErr w:type="gramStart"/>
      <w:r w:rsidR="00644A3A" w:rsidRPr="003C0E2F">
        <w:rPr>
          <w:rStyle w:val="Strong"/>
          <w:b w:val="0"/>
          <w:bCs w:val="0"/>
        </w:rPr>
        <w:t>S.minnesota</w:t>
      </w:r>
      <w:proofErr w:type="spellEnd"/>
      <w:proofErr w:type="gramEnd"/>
      <w:r w:rsidR="00644A3A" w:rsidRPr="003C0E2F">
        <w:rPr>
          <w:rStyle w:val="Strong"/>
          <w:b w:val="0"/>
          <w:bCs w:val="0"/>
        </w:rPr>
        <w:t xml:space="preserve"> </w:t>
      </w:r>
      <w:r w:rsidRPr="003C0E2F">
        <w:rPr>
          <w:rStyle w:val="Strong"/>
          <w:b w:val="0"/>
          <w:bCs w:val="0"/>
        </w:rPr>
        <w:t>LPS (Re) (100ng/ml) exposure. Culture medium collected after 18-hour incubation. A human inflammation array (</w:t>
      </w:r>
      <w:proofErr w:type="spellStart"/>
      <w:r w:rsidRPr="003C0E2F">
        <w:rPr>
          <w:rStyle w:val="Strong"/>
          <w:b w:val="0"/>
          <w:bCs w:val="0"/>
        </w:rPr>
        <w:t>RayBiotech</w:t>
      </w:r>
      <w:proofErr w:type="spellEnd"/>
      <w:r w:rsidRPr="003C0E2F">
        <w:rPr>
          <w:rStyle w:val="Strong"/>
          <w:b w:val="0"/>
          <w:bCs w:val="0"/>
        </w:rPr>
        <w:t>) was used to assess relative levels of cytokine expression between samples. Results values are expressed as fold-increase relative to control samples.</w:t>
      </w:r>
    </w:p>
    <w:tbl>
      <w:tblPr>
        <w:tblW w:w="8916" w:type="dxa"/>
        <w:jc w:val="center"/>
        <w:tblLook w:val="04A0" w:firstRow="1" w:lastRow="0" w:firstColumn="1" w:lastColumn="0" w:noHBand="0" w:noVBand="1"/>
      </w:tblPr>
      <w:tblGrid>
        <w:gridCol w:w="2284"/>
        <w:gridCol w:w="1103"/>
        <w:gridCol w:w="1066"/>
        <w:gridCol w:w="2336"/>
        <w:gridCol w:w="993"/>
        <w:gridCol w:w="1134"/>
      </w:tblGrid>
      <w:tr w:rsidR="007B18FC" w:rsidRPr="00362033" w14:paraId="516578D9" w14:textId="77777777" w:rsidTr="00085548">
        <w:trPr>
          <w:trHeight w:val="50"/>
          <w:jc w:val="center"/>
        </w:trPr>
        <w:tc>
          <w:tcPr>
            <w:tcW w:w="2284" w:type="dxa"/>
            <w:tcBorders>
              <w:top w:val="single" w:sz="12" w:space="0" w:color="auto"/>
              <w:left w:val="single" w:sz="12" w:space="0" w:color="auto"/>
              <w:bottom w:val="single" w:sz="12" w:space="0" w:color="auto"/>
              <w:right w:val="single" w:sz="4" w:space="0" w:color="auto"/>
            </w:tcBorders>
            <w:vAlign w:val="bottom"/>
            <w:hideMark/>
          </w:tcPr>
          <w:p w14:paraId="598A6BA0" w14:textId="77777777" w:rsidR="007B18FC" w:rsidRPr="00672E7A" w:rsidRDefault="007B18FC" w:rsidP="007B18FC">
            <w:pPr>
              <w:spacing w:after="0" w:line="276" w:lineRule="auto"/>
              <w:rPr>
                <w:b/>
                <w:bCs/>
              </w:rPr>
            </w:pPr>
            <w:r w:rsidRPr="00672E7A">
              <w:rPr>
                <w:b/>
                <w:bCs/>
              </w:rPr>
              <w:t>Inflammatory Proteins</w:t>
            </w:r>
          </w:p>
        </w:tc>
        <w:tc>
          <w:tcPr>
            <w:tcW w:w="1103" w:type="dxa"/>
            <w:tcBorders>
              <w:top w:val="single" w:sz="12" w:space="0" w:color="auto"/>
              <w:left w:val="nil"/>
              <w:bottom w:val="single" w:sz="12" w:space="0" w:color="auto"/>
              <w:right w:val="single" w:sz="4" w:space="0" w:color="auto"/>
            </w:tcBorders>
            <w:noWrap/>
            <w:vAlign w:val="center"/>
            <w:hideMark/>
          </w:tcPr>
          <w:p w14:paraId="2E4FBAD5" w14:textId="77777777" w:rsidR="007B18FC" w:rsidRPr="00672E7A" w:rsidRDefault="007B18FC" w:rsidP="007B18FC">
            <w:pPr>
              <w:spacing w:after="0" w:line="276" w:lineRule="auto"/>
              <w:rPr>
                <w:b/>
                <w:bCs/>
              </w:rPr>
            </w:pPr>
            <w:r w:rsidRPr="00672E7A">
              <w:rPr>
                <w:b/>
                <w:bCs/>
              </w:rPr>
              <w:t>LPS</w:t>
            </w:r>
          </w:p>
        </w:tc>
        <w:tc>
          <w:tcPr>
            <w:tcW w:w="1066" w:type="dxa"/>
            <w:tcBorders>
              <w:top w:val="single" w:sz="12" w:space="0" w:color="auto"/>
              <w:left w:val="nil"/>
              <w:bottom w:val="single" w:sz="12" w:space="0" w:color="auto"/>
              <w:right w:val="single" w:sz="12" w:space="0" w:color="auto"/>
            </w:tcBorders>
            <w:vAlign w:val="center"/>
            <w:hideMark/>
          </w:tcPr>
          <w:p w14:paraId="43BF51D3" w14:textId="4BBB8696" w:rsidR="007B18FC" w:rsidRPr="00672E7A" w:rsidRDefault="007B18FC" w:rsidP="007B18FC">
            <w:pPr>
              <w:spacing w:after="0" w:line="276" w:lineRule="auto"/>
              <w:rPr>
                <w:b/>
                <w:bCs/>
              </w:rPr>
            </w:pPr>
            <w:r w:rsidRPr="00672E7A">
              <w:rPr>
                <w:b/>
                <w:bCs/>
              </w:rPr>
              <w:t>LPS/FP12</w:t>
            </w:r>
          </w:p>
        </w:tc>
        <w:tc>
          <w:tcPr>
            <w:tcW w:w="2336" w:type="dxa"/>
            <w:tcBorders>
              <w:top w:val="single" w:sz="12" w:space="0" w:color="auto"/>
              <w:left w:val="single" w:sz="12" w:space="0" w:color="auto"/>
              <w:bottom w:val="single" w:sz="12" w:space="0" w:color="auto"/>
              <w:right w:val="nil"/>
            </w:tcBorders>
            <w:vAlign w:val="bottom"/>
            <w:hideMark/>
          </w:tcPr>
          <w:p w14:paraId="1DB2DA54" w14:textId="77777777" w:rsidR="007B18FC" w:rsidRPr="00672E7A" w:rsidRDefault="007B18FC" w:rsidP="007B18FC">
            <w:pPr>
              <w:spacing w:after="0" w:line="276" w:lineRule="auto"/>
              <w:rPr>
                <w:b/>
                <w:bCs/>
              </w:rPr>
            </w:pPr>
            <w:r w:rsidRPr="00672E7A">
              <w:rPr>
                <w:b/>
                <w:bCs/>
              </w:rPr>
              <w:t>Inflammatory Proteins</w:t>
            </w:r>
          </w:p>
        </w:tc>
        <w:tc>
          <w:tcPr>
            <w:tcW w:w="993" w:type="dxa"/>
            <w:tcBorders>
              <w:top w:val="single" w:sz="12" w:space="0" w:color="auto"/>
              <w:left w:val="single" w:sz="8" w:space="0" w:color="auto"/>
              <w:bottom w:val="single" w:sz="12" w:space="0" w:color="auto"/>
              <w:right w:val="single" w:sz="4" w:space="0" w:color="auto"/>
            </w:tcBorders>
            <w:noWrap/>
            <w:vAlign w:val="center"/>
            <w:hideMark/>
          </w:tcPr>
          <w:p w14:paraId="716E97B6" w14:textId="77777777" w:rsidR="007B18FC" w:rsidRPr="00672E7A" w:rsidRDefault="007B18FC" w:rsidP="007B18FC">
            <w:pPr>
              <w:spacing w:after="0" w:line="276" w:lineRule="auto"/>
              <w:rPr>
                <w:b/>
                <w:bCs/>
              </w:rPr>
            </w:pPr>
            <w:r w:rsidRPr="00672E7A">
              <w:rPr>
                <w:b/>
                <w:bCs/>
              </w:rPr>
              <w:t>LPS</w:t>
            </w:r>
          </w:p>
        </w:tc>
        <w:tc>
          <w:tcPr>
            <w:tcW w:w="1134" w:type="dxa"/>
            <w:tcBorders>
              <w:top w:val="single" w:sz="12" w:space="0" w:color="auto"/>
              <w:left w:val="nil"/>
              <w:bottom w:val="single" w:sz="12" w:space="0" w:color="auto"/>
              <w:right w:val="single" w:sz="12" w:space="0" w:color="auto"/>
            </w:tcBorders>
            <w:vAlign w:val="center"/>
            <w:hideMark/>
          </w:tcPr>
          <w:p w14:paraId="3ABF2118" w14:textId="6B93B087" w:rsidR="007B18FC" w:rsidRPr="00672E7A" w:rsidRDefault="007B18FC" w:rsidP="007B18FC">
            <w:pPr>
              <w:spacing w:after="0" w:line="276" w:lineRule="auto"/>
              <w:rPr>
                <w:b/>
                <w:bCs/>
              </w:rPr>
            </w:pPr>
            <w:r w:rsidRPr="00672E7A">
              <w:rPr>
                <w:b/>
                <w:bCs/>
              </w:rPr>
              <w:t>LPS/FP12</w:t>
            </w:r>
          </w:p>
        </w:tc>
      </w:tr>
      <w:tr w:rsidR="00085548" w:rsidRPr="00085548" w14:paraId="4D0DA17E" w14:textId="77777777" w:rsidTr="00085548">
        <w:trPr>
          <w:trHeight w:val="50"/>
          <w:jc w:val="center"/>
        </w:trPr>
        <w:tc>
          <w:tcPr>
            <w:tcW w:w="2284" w:type="dxa"/>
            <w:tcBorders>
              <w:top w:val="single" w:sz="12" w:space="0" w:color="auto"/>
              <w:left w:val="single" w:sz="12" w:space="0" w:color="auto"/>
              <w:bottom w:val="single" w:sz="4" w:space="0" w:color="auto"/>
              <w:right w:val="single" w:sz="4" w:space="0" w:color="auto"/>
            </w:tcBorders>
            <w:noWrap/>
            <w:vAlign w:val="bottom"/>
            <w:hideMark/>
          </w:tcPr>
          <w:p w14:paraId="3CDA0296" w14:textId="77777777" w:rsidR="007B18FC" w:rsidRPr="00085548" w:rsidRDefault="007B18FC" w:rsidP="007B18FC">
            <w:pPr>
              <w:spacing w:after="0" w:line="276" w:lineRule="auto"/>
              <w:rPr>
                <w:b/>
                <w:bCs/>
                <w:sz w:val="20"/>
                <w:szCs w:val="20"/>
              </w:rPr>
            </w:pPr>
            <w:r w:rsidRPr="00085548">
              <w:rPr>
                <w:b/>
                <w:bCs/>
                <w:sz w:val="20"/>
                <w:szCs w:val="20"/>
              </w:rPr>
              <w:t>1. CD30</w:t>
            </w:r>
          </w:p>
        </w:tc>
        <w:tc>
          <w:tcPr>
            <w:tcW w:w="1103" w:type="dxa"/>
            <w:tcBorders>
              <w:top w:val="single" w:sz="12" w:space="0" w:color="auto"/>
              <w:left w:val="single" w:sz="4" w:space="0" w:color="auto"/>
              <w:bottom w:val="single" w:sz="4" w:space="0" w:color="auto"/>
              <w:right w:val="single" w:sz="4" w:space="0" w:color="auto"/>
            </w:tcBorders>
            <w:shd w:val="clear" w:color="auto" w:fill="C6EFCE"/>
            <w:noWrap/>
            <w:vAlign w:val="bottom"/>
            <w:hideMark/>
          </w:tcPr>
          <w:p w14:paraId="12A20199" w14:textId="77777777" w:rsidR="007B18FC" w:rsidRPr="00085548" w:rsidRDefault="007B18FC" w:rsidP="007B18FC">
            <w:pPr>
              <w:spacing w:after="0" w:line="276" w:lineRule="auto"/>
              <w:rPr>
                <w:sz w:val="20"/>
                <w:szCs w:val="20"/>
              </w:rPr>
            </w:pPr>
            <w:r w:rsidRPr="00085548">
              <w:rPr>
                <w:sz w:val="20"/>
                <w:szCs w:val="20"/>
              </w:rPr>
              <w:t>2.39</w:t>
            </w:r>
          </w:p>
        </w:tc>
        <w:tc>
          <w:tcPr>
            <w:tcW w:w="1066" w:type="dxa"/>
            <w:tcBorders>
              <w:top w:val="single" w:sz="12" w:space="0" w:color="auto"/>
              <w:left w:val="single" w:sz="4" w:space="0" w:color="auto"/>
              <w:bottom w:val="single" w:sz="4" w:space="0" w:color="auto"/>
              <w:right w:val="single" w:sz="12" w:space="0" w:color="auto"/>
            </w:tcBorders>
            <w:shd w:val="clear" w:color="auto" w:fill="FFC7CE"/>
            <w:noWrap/>
            <w:vAlign w:val="bottom"/>
            <w:hideMark/>
          </w:tcPr>
          <w:p w14:paraId="6C23FA89" w14:textId="77777777" w:rsidR="007B18FC" w:rsidRPr="00085548" w:rsidRDefault="007B18FC" w:rsidP="007B18FC">
            <w:pPr>
              <w:spacing w:after="0" w:line="276" w:lineRule="auto"/>
              <w:rPr>
                <w:sz w:val="20"/>
                <w:szCs w:val="20"/>
              </w:rPr>
            </w:pPr>
            <w:r w:rsidRPr="00085548">
              <w:rPr>
                <w:sz w:val="20"/>
                <w:szCs w:val="20"/>
              </w:rPr>
              <w:t>0.62</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3B4F3D33" w14:textId="77777777" w:rsidR="007B18FC" w:rsidRPr="00085548" w:rsidRDefault="007B18FC" w:rsidP="007B18FC">
            <w:pPr>
              <w:spacing w:after="0" w:line="276" w:lineRule="auto"/>
              <w:rPr>
                <w:b/>
                <w:bCs/>
                <w:sz w:val="20"/>
                <w:szCs w:val="20"/>
              </w:rPr>
            </w:pPr>
            <w:r w:rsidRPr="00085548">
              <w:rPr>
                <w:b/>
                <w:bCs/>
                <w:sz w:val="20"/>
                <w:szCs w:val="20"/>
              </w:rPr>
              <w:t>21. I-TAC</w:t>
            </w:r>
          </w:p>
        </w:tc>
        <w:tc>
          <w:tcPr>
            <w:tcW w:w="993" w:type="dxa"/>
            <w:tcBorders>
              <w:top w:val="single" w:sz="4" w:space="0" w:color="auto"/>
              <w:left w:val="nil"/>
              <w:bottom w:val="single" w:sz="4" w:space="0" w:color="auto"/>
              <w:right w:val="single" w:sz="4" w:space="0" w:color="auto"/>
            </w:tcBorders>
            <w:noWrap/>
            <w:vAlign w:val="bottom"/>
            <w:hideMark/>
          </w:tcPr>
          <w:p w14:paraId="69EBA8DD" w14:textId="77777777" w:rsidR="007B18FC" w:rsidRPr="00085548" w:rsidRDefault="007B18FC" w:rsidP="007B18FC">
            <w:pPr>
              <w:spacing w:after="0" w:line="276" w:lineRule="auto"/>
              <w:rPr>
                <w:sz w:val="20"/>
                <w:szCs w:val="20"/>
              </w:rPr>
            </w:pPr>
            <w:r w:rsidRPr="00085548">
              <w:rPr>
                <w:sz w:val="20"/>
                <w:szCs w:val="20"/>
              </w:rPr>
              <w:t>1.54</w:t>
            </w:r>
          </w:p>
        </w:tc>
        <w:tc>
          <w:tcPr>
            <w:tcW w:w="1134" w:type="dxa"/>
            <w:tcBorders>
              <w:top w:val="single" w:sz="4" w:space="0" w:color="auto"/>
              <w:left w:val="nil"/>
              <w:bottom w:val="single" w:sz="4" w:space="0" w:color="auto"/>
              <w:right w:val="single" w:sz="12" w:space="0" w:color="auto"/>
            </w:tcBorders>
            <w:noWrap/>
            <w:vAlign w:val="bottom"/>
            <w:hideMark/>
          </w:tcPr>
          <w:p w14:paraId="10BA103D" w14:textId="77777777" w:rsidR="007B18FC" w:rsidRPr="00085548" w:rsidRDefault="007B18FC" w:rsidP="007B18FC">
            <w:pPr>
              <w:spacing w:after="0" w:line="276" w:lineRule="auto"/>
              <w:rPr>
                <w:sz w:val="20"/>
                <w:szCs w:val="20"/>
              </w:rPr>
            </w:pPr>
            <w:r w:rsidRPr="00085548">
              <w:rPr>
                <w:sz w:val="20"/>
                <w:szCs w:val="20"/>
              </w:rPr>
              <w:t>1.02</w:t>
            </w:r>
          </w:p>
        </w:tc>
      </w:tr>
      <w:tr w:rsidR="00085548" w:rsidRPr="00085548" w14:paraId="4444D715"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1EF9347E" w14:textId="77777777" w:rsidR="007B18FC" w:rsidRPr="00085548" w:rsidRDefault="007B18FC" w:rsidP="007B18FC">
            <w:pPr>
              <w:spacing w:after="0" w:line="276" w:lineRule="auto"/>
              <w:rPr>
                <w:b/>
                <w:bCs/>
                <w:sz w:val="20"/>
                <w:szCs w:val="20"/>
              </w:rPr>
            </w:pPr>
            <w:r w:rsidRPr="00085548">
              <w:rPr>
                <w:b/>
                <w:bCs/>
                <w:sz w:val="20"/>
                <w:szCs w:val="20"/>
              </w:rPr>
              <w:t>2. EOTAXIN-1</w:t>
            </w:r>
          </w:p>
        </w:tc>
        <w:tc>
          <w:tcPr>
            <w:tcW w:w="1103" w:type="dxa"/>
            <w:tcBorders>
              <w:top w:val="single" w:sz="4" w:space="0" w:color="auto"/>
              <w:left w:val="single" w:sz="4" w:space="0" w:color="auto"/>
              <w:bottom w:val="single" w:sz="4" w:space="0" w:color="auto"/>
              <w:right w:val="single" w:sz="4" w:space="0" w:color="auto"/>
            </w:tcBorders>
            <w:shd w:val="clear" w:color="auto" w:fill="C6EFCE"/>
            <w:noWrap/>
            <w:vAlign w:val="bottom"/>
            <w:hideMark/>
          </w:tcPr>
          <w:p w14:paraId="595F97D2" w14:textId="77777777" w:rsidR="007B18FC" w:rsidRPr="00085548" w:rsidRDefault="007B18FC" w:rsidP="007B18FC">
            <w:pPr>
              <w:spacing w:after="0" w:line="276" w:lineRule="auto"/>
              <w:rPr>
                <w:sz w:val="20"/>
                <w:szCs w:val="20"/>
              </w:rPr>
            </w:pPr>
            <w:r w:rsidRPr="00085548">
              <w:rPr>
                <w:sz w:val="20"/>
                <w:szCs w:val="20"/>
              </w:rPr>
              <w:t>2.60</w:t>
            </w:r>
          </w:p>
        </w:tc>
        <w:tc>
          <w:tcPr>
            <w:tcW w:w="1066" w:type="dxa"/>
            <w:tcBorders>
              <w:top w:val="single" w:sz="4" w:space="0" w:color="auto"/>
              <w:left w:val="single" w:sz="4" w:space="0" w:color="auto"/>
              <w:bottom w:val="single" w:sz="4" w:space="0" w:color="auto"/>
              <w:right w:val="single" w:sz="12" w:space="0" w:color="auto"/>
            </w:tcBorders>
            <w:noWrap/>
            <w:vAlign w:val="bottom"/>
            <w:hideMark/>
          </w:tcPr>
          <w:p w14:paraId="43502928" w14:textId="77777777" w:rsidR="007B18FC" w:rsidRPr="00085548" w:rsidRDefault="007B18FC" w:rsidP="007B18FC">
            <w:pPr>
              <w:spacing w:after="0" w:line="276" w:lineRule="auto"/>
              <w:rPr>
                <w:sz w:val="20"/>
                <w:szCs w:val="20"/>
              </w:rPr>
            </w:pPr>
            <w:r w:rsidRPr="00085548">
              <w:rPr>
                <w:sz w:val="20"/>
                <w:szCs w:val="20"/>
              </w:rPr>
              <w:t>1.80</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7547C383" w14:textId="77777777" w:rsidR="007B18FC" w:rsidRPr="00085548" w:rsidRDefault="007B18FC" w:rsidP="007B18FC">
            <w:pPr>
              <w:spacing w:after="0" w:line="276" w:lineRule="auto"/>
              <w:rPr>
                <w:b/>
                <w:bCs/>
                <w:sz w:val="20"/>
                <w:szCs w:val="20"/>
              </w:rPr>
            </w:pPr>
            <w:r w:rsidRPr="00085548">
              <w:rPr>
                <w:b/>
                <w:bCs/>
                <w:sz w:val="20"/>
                <w:szCs w:val="20"/>
              </w:rPr>
              <w:t>22. KC</w:t>
            </w:r>
          </w:p>
        </w:tc>
        <w:tc>
          <w:tcPr>
            <w:tcW w:w="993" w:type="dxa"/>
            <w:tcBorders>
              <w:top w:val="single" w:sz="4" w:space="0" w:color="auto"/>
              <w:left w:val="nil"/>
              <w:bottom w:val="single" w:sz="4" w:space="0" w:color="auto"/>
              <w:right w:val="single" w:sz="4" w:space="0" w:color="auto"/>
            </w:tcBorders>
            <w:noWrap/>
            <w:vAlign w:val="bottom"/>
            <w:hideMark/>
          </w:tcPr>
          <w:p w14:paraId="5D246C94" w14:textId="77777777" w:rsidR="007B18FC" w:rsidRPr="00085548" w:rsidRDefault="007B18FC" w:rsidP="007B18FC">
            <w:pPr>
              <w:spacing w:after="0" w:line="276" w:lineRule="auto"/>
              <w:rPr>
                <w:sz w:val="20"/>
                <w:szCs w:val="20"/>
              </w:rPr>
            </w:pPr>
            <w:r w:rsidRPr="00085548">
              <w:rPr>
                <w:sz w:val="20"/>
                <w:szCs w:val="20"/>
              </w:rPr>
              <w:t>1.43</w:t>
            </w:r>
          </w:p>
        </w:tc>
        <w:tc>
          <w:tcPr>
            <w:tcW w:w="1134" w:type="dxa"/>
            <w:tcBorders>
              <w:top w:val="single" w:sz="4" w:space="0" w:color="auto"/>
              <w:left w:val="nil"/>
              <w:bottom w:val="single" w:sz="4" w:space="0" w:color="auto"/>
              <w:right w:val="single" w:sz="12" w:space="0" w:color="auto"/>
            </w:tcBorders>
            <w:noWrap/>
            <w:vAlign w:val="bottom"/>
            <w:hideMark/>
          </w:tcPr>
          <w:p w14:paraId="59664A7F" w14:textId="77777777" w:rsidR="007B18FC" w:rsidRPr="00085548" w:rsidRDefault="007B18FC" w:rsidP="007B18FC">
            <w:pPr>
              <w:spacing w:after="0" w:line="276" w:lineRule="auto"/>
              <w:rPr>
                <w:sz w:val="20"/>
                <w:szCs w:val="20"/>
              </w:rPr>
            </w:pPr>
            <w:r w:rsidRPr="00085548">
              <w:rPr>
                <w:sz w:val="20"/>
                <w:szCs w:val="20"/>
              </w:rPr>
              <w:t>0.99</w:t>
            </w:r>
          </w:p>
        </w:tc>
      </w:tr>
      <w:tr w:rsidR="00085548" w:rsidRPr="00085548" w14:paraId="54387A16"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1FFC1E84" w14:textId="77777777" w:rsidR="007B18FC" w:rsidRPr="00085548" w:rsidRDefault="007B18FC" w:rsidP="007B18FC">
            <w:pPr>
              <w:spacing w:after="0" w:line="276" w:lineRule="auto"/>
              <w:rPr>
                <w:b/>
                <w:bCs/>
                <w:sz w:val="20"/>
                <w:szCs w:val="20"/>
              </w:rPr>
            </w:pPr>
            <w:r w:rsidRPr="00085548">
              <w:rPr>
                <w:b/>
                <w:bCs/>
                <w:sz w:val="20"/>
                <w:szCs w:val="20"/>
              </w:rPr>
              <w:t>3. EOTAXIN-2</w:t>
            </w:r>
          </w:p>
        </w:tc>
        <w:tc>
          <w:tcPr>
            <w:tcW w:w="1103" w:type="dxa"/>
            <w:tcBorders>
              <w:top w:val="single" w:sz="4" w:space="0" w:color="auto"/>
              <w:left w:val="single" w:sz="4" w:space="0" w:color="auto"/>
              <w:bottom w:val="single" w:sz="4" w:space="0" w:color="auto"/>
              <w:right w:val="single" w:sz="4" w:space="0" w:color="auto"/>
            </w:tcBorders>
            <w:shd w:val="clear" w:color="auto" w:fill="C6EFCE"/>
            <w:noWrap/>
            <w:vAlign w:val="bottom"/>
            <w:hideMark/>
          </w:tcPr>
          <w:p w14:paraId="262B7849" w14:textId="77777777" w:rsidR="007B18FC" w:rsidRPr="00085548" w:rsidRDefault="007B18FC" w:rsidP="007B18FC">
            <w:pPr>
              <w:spacing w:after="0" w:line="276" w:lineRule="auto"/>
              <w:rPr>
                <w:sz w:val="20"/>
                <w:szCs w:val="20"/>
              </w:rPr>
            </w:pPr>
            <w:r w:rsidRPr="00085548">
              <w:rPr>
                <w:sz w:val="20"/>
                <w:szCs w:val="20"/>
              </w:rPr>
              <w:t>2.21</w:t>
            </w:r>
          </w:p>
        </w:tc>
        <w:tc>
          <w:tcPr>
            <w:tcW w:w="1066" w:type="dxa"/>
            <w:tcBorders>
              <w:top w:val="single" w:sz="4" w:space="0" w:color="auto"/>
              <w:left w:val="single" w:sz="4" w:space="0" w:color="auto"/>
              <w:bottom w:val="single" w:sz="4" w:space="0" w:color="auto"/>
              <w:right w:val="single" w:sz="12" w:space="0" w:color="auto"/>
            </w:tcBorders>
            <w:shd w:val="clear" w:color="auto" w:fill="FFE599" w:themeFill="accent4" w:themeFillTint="66"/>
            <w:noWrap/>
            <w:vAlign w:val="bottom"/>
            <w:hideMark/>
          </w:tcPr>
          <w:p w14:paraId="6CB24330" w14:textId="77777777" w:rsidR="007B18FC" w:rsidRPr="00085548" w:rsidRDefault="007B18FC" w:rsidP="007B18FC">
            <w:pPr>
              <w:spacing w:after="0" w:line="276" w:lineRule="auto"/>
              <w:rPr>
                <w:sz w:val="20"/>
                <w:szCs w:val="20"/>
              </w:rPr>
            </w:pPr>
            <w:r w:rsidRPr="00085548">
              <w:rPr>
                <w:sz w:val="20"/>
                <w:szCs w:val="20"/>
              </w:rPr>
              <w:t>1.18</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0DC86AE6" w14:textId="77777777" w:rsidR="007B18FC" w:rsidRPr="00085548" w:rsidRDefault="007B18FC" w:rsidP="007B18FC">
            <w:pPr>
              <w:spacing w:after="0" w:line="276" w:lineRule="auto"/>
              <w:rPr>
                <w:b/>
                <w:bCs/>
                <w:sz w:val="20"/>
                <w:szCs w:val="20"/>
              </w:rPr>
            </w:pPr>
            <w:r w:rsidRPr="00085548">
              <w:rPr>
                <w:b/>
                <w:bCs/>
                <w:sz w:val="20"/>
                <w:szCs w:val="20"/>
              </w:rPr>
              <w:t>23. Leptin</w:t>
            </w:r>
          </w:p>
        </w:tc>
        <w:tc>
          <w:tcPr>
            <w:tcW w:w="993" w:type="dxa"/>
            <w:tcBorders>
              <w:top w:val="single" w:sz="4" w:space="0" w:color="auto"/>
              <w:left w:val="nil"/>
              <w:bottom w:val="single" w:sz="4" w:space="0" w:color="auto"/>
              <w:right w:val="single" w:sz="4" w:space="0" w:color="auto"/>
            </w:tcBorders>
            <w:noWrap/>
            <w:vAlign w:val="bottom"/>
            <w:hideMark/>
          </w:tcPr>
          <w:p w14:paraId="5CB9A0BE" w14:textId="77777777" w:rsidR="007B18FC" w:rsidRPr="00085548" w:rsidRDefault="007B18FC" w:rsidP="007B18FC">
            <w:pPr>
              <w:spacing w:after="0" w:line="276" w:lineRule="auto"/>
              <w:rPr>
                <w:sz w:val="20"/>
                <w:szCs w:val="20"/>
              </w:rPr>
            </w:pPr>
            <w:r w:rsidRPr="00085548">
              <w:rPr>
                <w:sz w:val="20"/>
                <w:szCs w:val="20"/>
              </w:rPr>
              <w:t>1.00</w:t>
            </w:r>
          </w:p>
        </w:tc>
        <w:tc>
          <w:tcPr>
            <w:tcW w:w="1134" w:type="dxa"/>
            <w:tcBorders>
              <w:top w:val="single" w:sz="4" w:space="0" w:color="auto"/>
              <w:left w:val="nil"/>
              <w:bottom w:val="single" w:sz="4" w:space="0" w:color="auto"/>
              <w:right w:val="single" w:sz="12" w:space="0" w:color="auto"/>
            </w:tcBorders>
            <w:noWrap/>
            <w:vAlign w:val="bottom"/>
            <w:hideMark/>
          </w:tcPr>
          <w:p w14:paraId="585872C9" w14:textId="77777777" w:rsidR="007B18FC" w:rsidRPr="00085548" w:rsidRDefault="007B18FC" w:rsidP="007B18FC">
            <w:pPr>
              <w:spacing w:after="0" w:line="276" w:lineRule="auto"/>
              <w:rPr>
                <w:sz w:val="20"/>
                <w:szCs w:val="20"/>
              </w:rPr>
            </w:pPr>
            <w:r w:rsidRPr="00085548">
              <w:rPr>
                <w:sz w:val="20"/>
                <w:szCs w:val="20"/>
              </w:rPr>
              <w:t>1.49</w:t>
            </w:r>
          </w:p>
        </w:tc>
      </w:tr>
      <w:tr w:rsidR="00085548" w:rsidRPr="00085548" w14:paraId="380DAA9E" w14:textId="77777777" w:rsidTr="00085548">
        <w:trPr>
          <w:trHeight w:val="191"/>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15B07B81" w14:textId="77777777" w:rsidR="007B18FC" w:rsidRPr="00085548" w:rsidRDefault="007B18FC" w:rsidP="007B18FC">
            <w:pPr>
              <w:spacing w:after="0" w:line="276" w:lineRule="auto"/>
              <w:rPr>
                <w:b/>
                <w:bCs/>
                <w:sz w:val="20"/>
                <w:szCs w:val="20"/>
              </w:rPr>
            </w:pPr>
            <w:r w:rsidRPr="00085548">
              <w:rPr>
                <w:b/>
                <w:bCs/>
                <w:sz w:val="20"/>
                <w:szCs w:val="20"/>
              </w:rPr>
              <w:t xml:space="preserve">4. </w:t>
            </w:r>
            <w:proofErr w:type="spellStart"/>
            <w:r w:rsidRPr="00085548">
              <w:rPr>
                <w:b/>
                <w:bCs/>
                <w:sz w:val="20"/>
                <w:szCs w:val="20"/>
              </w:rPr>
              <w:t>Fas</w:t>
            </w:r>
            <w:proofErr w:type="spellEnd"/>
            <w:r w:rsidRPr="00085548">
              <w:rPr>
                <w:b/>
                <w:bCs/>
                <w:sz w:val="20"/>
                <w:szCs w:val="20"/>
              </w:rPr>
              <w:t xml:space="preserve"> Ligand</w:t>
            </w:r>
          </w:p>
        </w:tc>
        <w:tc>
          <w:tcPr>
            <w:tcW w:w="1103" w:type="dxa"/>
            <w:tcBorders>
              <w:top w:val="single" w:sz="4" w:space="0" w:color="auto"/>
              <w:left w:val="single" w:sz="4" w:space="0" w:color="auto"/>
              <w:bottom w:val="single" w:sz="4" w:space="0" w:color="auto"/>
              <w:right w:val="single" w:sz="4" w:space="0" w:color="auto"/>
            </w:tcBorders>
            <w:noWrap/>
            <w:vAlign w:val="bottom"/>
            <w:hideMark/>
          </w:tcPr>
          <w:p w14:paraId="2E7ED1B7" w14:textId="77777777" w:rsidR="007B18FC" w:rsidRPr="00085548" w:rsidRDefault="007B18FC" w:rsidP="007B18FC">
            <w:pPr>
              <w:spacing w:after="0" w:line="276" w:lineRule="auto"/>
              <w:rPr>
                <w:sz w:val="20"/>
                <w:szCs w:val="20"/>
              </w:rPr>
            </w:pPr>
            <w:r w:rsidRPr="00085548">
              <w:rPr>
                <w:sz w:val="20"/>
                <w:szCs w:val="20"/>
              </w:rPr>
              <w:t>0.96</w:t>
            </w:r>
          </w:p>
        </w:tc>
        <w:tc>
          <w:tcPr>
            <w:tcW w:w="1066" w:type="dxa"/>
            <w:tcBorders>
              <w:top w:val="single" w:sz="4" w:space="0" w:color="auto"/>
              <w:left w:val="single" w:sz="4" w:space="0" w:color="auto"/>
              <w:bottom w:val="single" w:sz="4" w:space="0" w:color="auto"/>
              <w:right w:val="single" w:sz="12" w:space="0" w:color="auto"/>
            </w:tcBorders>
            <w:noWrap/>
            <w:vAlign w:val="bottom"/>
            <w:hideMark/>
          </w:tcPr>
          <w:p w14:paraId="524028C1" w14:textId="77777777" w:rsidR="007B18FC" w:rsidRPr="00085548" w:rsidRDefault="007B18FC" w:rsidP="007B18FC">
            <w:pPr>
              <w:spacing w:after="0" w:line="276" w:lineRule="auto"/>
              <w:rPr>
                <w:sz w:val="20"/>
                <w:szCs w:val="20"/>
              </w:rPr>
            </w:pPr>
            <w:r w:rsidRPr="00085548">
              <w:rPr>
                <w:sz w:val="20"/>
                <w:szCs w:val="20"/>
              </w:rPr>
              <w:t>1.75</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026854B3" w14:textId="77777777" w:rsidR="007B18FC" w:rsidRPr="00085548" w:rsidRDefault="007B18FC" w:rsidP="007B18FC">
            <w:pPr>
              <w:spacing w:after="0" w:line="276" w:lineRule="auto"/>
              <w:rPr>
                <w:b/>
                <w:bCs/>
                <w:sz w:val="20"/>
                <w:szCs w:val="20"/>
              </w:rPr>
            </w:pPr>
            <w:r w:rsidRPr="00085548">
              <w:rPr>
                <w:b/>
                <w:bCs/>
                <w:sz w:val="20"/>
                <w:szCs w:val="20"/>
              </w:rPr>
              <w:t>24. LIX</w:t>
            </w:r>
          </w:p>
        </w:tc>
        <w:tc>
          <w:tcPr>
            <w:tcW w:w="993" w:type="dxa"/>
            <w:tcBorders>
              <w:top w:val="single" w:sz="4" w:space="0" w:color="auto"/>
              <w:left w:val="nil"/>
              <w:bottom w:val="single" w:sz="4" w:space="0" w:color="auto"/>
              <w:right w:val="single" w:sz="4" w:space="0" w:color="auto"/>
            </w:tcBorders>
            <w:noWrap/>
            <w:vAlign w:val="bottom"/>
            <w:hideMark/>
          </w:tcPr>
          <w:p w14:paraId="77860FAC" w14:textId="77777777" w:rsidR="007B18FC" w:rsidRPr="00085548" w:rsidRDefault="007B18FC" w:rsidP="007B18FC">
            <w:pPr>
              <w:spacing w:after="0" w:line="276" w:lineRule="auto"/>
              <w:rPr>
                <w:sz w:val="20"/>
                <w:szCs w:val="20"/>
              </w:rPr>
            </w:pPr>
            <w:r w:rsidRPr="00085548">
              <w:rPr>
                <w:sz w:val="20"/>
                <w:szCs w:val="20"/>
              </w:rPr>
              <w:t>0.74</w:t>
            </w:r>
          </w:p>
        </w:tc>
        <w:tc>
          <w:tcPr>
            <w:tcW w:w="1134" w:type="dxa"/>
            <w:tcBorders>
              <w:top w:val="single" w:sz="4" w:space="0" w:color="auto"/>
              <w:left w:val="nil"/>
              <w:bottom w:val="single" w:sz="4" w:space="0" w:color="auto"/>
              <w:right w:val="single" w:sz="12" w:space="0" w:color="auto"/>
            </w:tcBorders>
            <w:noWrap/>
            <w:vAlign w:val="bottom"/>
            <w:hideMark/>
          </w:tcPr>
          <w:p w14:paraId="6D141F9D" w14:textId="77777777" w:rsidR="007B18FC" w:rsidRPr="00085548" w:rsidRDefault="007B18FC" w:rsidP="007B18FC">
            <w:pPr>
              <w:spacing w:after="0" w:line="276" w:lineRule="auto"/>
              <w:rPr>
                <w:sz w:val="20"/>
                <w:szCs w:val="20"/>
              </w:rPr>
            </w:pPr>
            <w:r w:rsidRPr="00085548">
              <w:rPr>
                <w:sz w:val="20"/>
                <w:szCs w:val="20"/>
              </w:rPr>
              <w:t>1.21</w:t>
            </w:r>
          </w:p>
        </w:tc>
      </w:tr>
      <w:tr w:rsidR="00085548" w:rsidRPr="00085548" w14:paraId="57384A04"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7F574E7B" w14:textId="77777777" w:rsidR="007B18FC" w:rsidRPr="00085548" w:rsidRDefault="007B18FC" w:rsidP="007B18FC">
            <w:pPr>
              <w:spacing w:after="0" w:line="276" w:lineRule="auto"/>
              <w:rPr>
                <w:b/>
                <w:bCs/>
                <w:sz w:val="20"/>
                <w:szCs w:val="20"/>
              </w:rPr>
            </w:pPr>
            <w:r w:rsidRPr="00085548">
              <w:rPr>
                <w:b/>
                <w:bCs/>
                <w:sz w:val="20"/>
                <w:szCs w:val="20"/>
              </w:rPr>
              <w:t>5. Fractalkine</w:t>
            </w:r>
          </w:p>
        </w:tc>
        <w:tc>
          <w:tcPr>
            <w:tcW w:w="1103" w:type="dxa"/>
            <w:tcBorders>
              <w:top w:val="single" w:sz="4" w:space="0" w:color="auto"/>
              <w:left w:val="single" w:sz="4" w:space="0" w:color="auto"/>
              <w:bottom w:val="single" w:sz="4" w:space="0" w:color="auto"/>
              <w:right w:val="single" w:sz="4" w:space="0" w:color="auto"/>
            </w:tcBorders>
            <w:noWrap/>
            <w:vAlign w:val="bottom"/>
            <w:hideMark/>
          </w:tcPr>
          <w:p w14:paraId="536AB1C7" w14:textId="77777777" w:rsidR="007B18FC" w:rsidRPr="00085548" w:rsidRDefault="007B18FC" w:rsidP="007B18FC">
            <w:pPr>
              <w:spacing w:after="0" w:line="276" w:lineRule="auto"/>
              <w:rPr>
                <w:sz w:val="20"/>
                <w:szCs w:val="20"/>
              </w:rPr>
            </w:pPr>
            <w:r w:rsidRPr="00085548">
              <w:rPr>
                <w:sz w:val="20"/>
                <w:szCs w:val="20"/>
              </w:rPr>
              <w:t>0.34</w:t>
            </w:r>
          </w:p>
        </w:tc>
        <w:tc>
          <w:tcPr>
            <w:tcW w:w="1066" w:type="dxa"/>
            <w:tcBorders>
              <w:top w:val="single" w:sz="4" w:space="0" w:color="auto"/>
              <w:left w:val="single" w:sz="4" w:space="0" w:color="auto"/>
              <w:bottom w:val="single" w:sz="4" w:space="0" w:color="auto"/>
              <w:right w:val="single" w:sz="12" w:space="0" w:color="auto"/>
            </w:tcBorders>
            <w:shd w:val="clear" w:color="auto" w:fill="C3E7C3"/>
            <w:noWrap/>
            <w:vAlign w:val="bottom"/>
            <w:hideMark/>
          </w:tcPr>
          <w:p w14:paraId="3F330B1D" w14:textId="77777777" w:rsidR="007B18FC" w:rsidRPr="00085548" w:rsidRDefault="007B18FC" w:rsidP="007B18FC">
            <w:pPr>
              <w:spacing w:after="0" w:line="276" w:lineRule="auto"/>
              <w:rPr>
                <w:sz w:val="20"/>
                <w:szCs w:val="20"/>
              </w:rPr>
            </w:pPr>
            <w:r w:rsidRPr="00085548">
              <w:rPr>
                <w:sz w:val="20"/>
                <w:szCs w:val="20"/>
              </w:rPr>
              <w:t>2.34</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243E3FFD" w14:textId="77777777" w:rsidR="007B18FC" w:rsidRPr="00085548" w:rsidRDefault="007B18FC" w:rsidP="007B18FC">
            <w:pPr>
              <w:spacing w:after="0" w:line="276" w:lineRule="auto"/>
              <w:rPr>
                <w:b/>
                <w:bCs/>
                <w:sz w:val="20"/>
                <w:szCs w:val="20"/>
              </w:rPr>
            </w:pPr>
            <w:r w:rsidRPr="00085548">
              <w:rPr>
                <w:b/>
                <w:bCs/>
                <w:sz w:val="20"/>
                <w:szCs w:val="20"/>
              </w:rPr>
              <w:t>25. XCL1</w:t>
            </w:r>
          </w:p>
        </w:tc>
        <w:tc>
          <w:tcPr>
            <w:tcW w:w="993" w:type="dxa"/>
            <w:tcBorders>
              <w:top w:val="single" w:sz="4" w:space="0" w:color="auto"/>
              <w:left w:val="nil"/>
              <w:bottom w:val="single" w:sz="4" w:space="0" w:color="auto"/>
              <w:right w:val="single" w:sz="4" w:space="0" w:color="auto"/>
            </w:tcBorders>
            <w:noWrap/>
            <w:vAlign w:val="bottom"/>
            <w:hideMark/>
          </w:tcPr>
          <w:p w14:paraId="03298855" w14:textId="77777777" w:rsidR="007B18FC" w:rsidRPr="00085548" w:rsidRDefault="007B18FC" w:rsidP="007B18FC">
            <w:pPr>
              <w:spacing w:after="0" w:line="276" w:lineRule="auto"/>
              <w:rPr>
                <w:sz w:val="20"/>
                <w:szCs w:val="20"/>
              </w:rPr>
            </w:pPr>
            <w:r w:rsidRPr="00085548">
              <w:rPr>
                <w:sz w:val="20"/>
                <w:szCs w:val="20"/>
              </w:rPr>
              <w:t>1.44</w:t>
            </w:r>
          </w:p>
        </w:tc>
        <w:tc>
          <w:tcPr>
            <w:tcW w:w="1134" w:type="dxa"/>
            <w:tcBorders>
              <w:top w:val="single" w:sz="4" w:space="0" w:color="auto"/>
              <w:left w:val="single" w:sz="4" w:space="0" w:color="auto"/>
              <w:bottom w:val="single" w:sz="4" w:space="0" w:color="auto"/>
              <w:right w:val="single" w:sz="12" w:space="0" w:color="auto"/>
            </w:tcBorders>
            <w:noWrap/>
            <w:vAlign w:val="bottom"/>
            <w:hideMark/>
          </w:tcPr>
          <w:p w14:paraId="6B5FD9ED" w14:textId="77777777" w:rsidR="007B18FC" w:rsidRPr="00085548" w:rsidRDefault="007B18FC" w:rsidP="007B18FC">
            <w:pPr>
              <w:spacing w:after="0" w:line="276" w:lineRule="auto"/>
              <w:rPr>
                <w:sz w:val="20"/>
                <w:szCs w:val="20"/>
              </w:rPr>
            </w:pPr>
            <w:r w:rsidRPr="00085548">
              <w:rPr>
                <w:sz w:val="20"/>
                <w:szCs w:val="20"/>
              </w:rPr>
              <w:t>0.59</w:t>
            </w:r>
          </w:p>
        </w:tc>
      </w:tr>
      <w:tr w:rsidR="00085548" w:rsidRPr="00085548" w14:paraId="2A02E6D4"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257C6208" w14:textId="77777777" w:rsidR="007B18FC" w:rsidRPr="00085548" w:rsidRDefault="007B18FC" w:rsidP="007B18FC">
            <w:pPr>
              <w:spacing w:after="0" w:line="276" w:lineRule="auto"/>
              <w:rPr>
                <w:b/>
                <w:bCs/>
                <w:sz w:val="20"/>
                <w:szCs w:val="20"/>
              </w:rPr>
            </w:pPr>
            <w:r w:rsidRPr="00085548">
              <w:rPr>
                <w:b/>
                <w:bCs/>
                <w:sz w:val="20"/>
                <w:szCs w:val="20"/>
              </w:rPr>
              <w:t>6. GCSF</w:t>
            </w:r>
          </w:p>
        </w:tc>
        <w:tc>
          <w:tcPr>
            <w:tcW w:w="1103" w:type="dxa"/>
            <w:tcBorders>
              <w:top w:val="single" w:sz="4" w:space="0" w:color="auto"/>
              <w:left w:val="single" w:sz="4" w:space="0" w:color="auto"/>
              <w:bottom w:val="single" w:sz="4" w:space="0" w:color="auto"/>
              <w:right w:val="single" w:sz="4" w:space="0" w:color="auto"/>
            </w:tcBorders>
            <w:shd w:val="clear" w:color="auto" w:fill="C6EFCE"/>
            <w:noWrap/>
            <w:vAlign w:val="bottom"/>
            <w:hideMark/>
          </w:tcPr>
          <w:p w14:paraId="2FC999EF" w14:textId="77777777" w:rsidR="007B18FC" w:rsidRPr="00085548" w:rsidRDefault="007B18FC" w:rsidP="007B18FC">
            <w:pPr>
              <w:spacing w:after="0" w:line="276" w:lineRule="auto"/>
              <w:rPr>
                <w:sz w:val="20"/>
                <w:szCs w:val="20"/>
              </w:rPr>
            </w:pPr>
            <w:r w:rsidRPr="00085548">
              <w:rPr>
                <w:sz w:val="20"/>
                <w:szCs w:val="20"/>
              </w:rPr>
              <w:t>4.37</w:t>
            </w:r>
          </w:p>
        </w:tc>
        <w:tc>
          <w:tcPr>
            <w:tcW w:w="1066"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6423352C" w14:textId="77777777" w:rsidR="007B18FC" w:rsidRPr="00085548" w:rsidRDefault="007B18FC" w:rsidP="007B18FC">
            <w:pPr>
              <w:spacing w:after="0" w:line="276" w:lineRule="auto"/>
              <w:rPr>
                <w:sz w:val="20"/>
                <w:szCs w:val="20"/>
              </w:rPr>
            </w:pPr>
            <w:r w:rsidRPr="00085548">
              <w:rPr>
                <w:sz w:val="20"/>
                <w:szCs w:val="20"/>
              </w:rPr>
              <w:t>1.84</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35BBC089" w14:textId="77777777" w:rsidR="007B18FC" w:rsidRPr="00085548" w:rsidRDefault="007B18FC" w:rsidP="007B18FC">
            <w:pPr>
              <w:spacing w:after="0" w:line="276" w:lineRule="auto"/>
              <w:rPr>
                <w:b/>
                <w:bCs/>
                <w:sz w:val="20"/>
                <w:szCs w:val="20"/>
              </w:rPr>
            </w:pPr>
            <w:r w:rsidRPr="00085548">
              <w:rPr>
                <w:b/>
                <w:bCs/>
                <w:sz w:val="20"/>
                <w:szCs w:val="20"/>
              </w:rPr>
              <w:t>26. MCP-1</w:t>
            </w:r>
          </w:p>
        </w:tc>
        <w:tc>
          <w:tcPr>
            <w:tcW w:w="993" w:type="dxa"/>
            <w:tcBorders>
              <w:top w:val="single" w:sz="4" w:space="0" w:color="auto"/>
              <w:left w:val="nil"/>
              <w:bottom w:val="single" w:sz="4" w:space="0" w:color="auto"/>
              <w:right w:val="single" w:sz="4" w:space="0" w:color="auto"/>
            </w:tcBorders>
            <w:shd w:val="clear" w:color="auto" w:fill="C6EFCE"/>
            <w:noWrap/>
            <w:vAlign w:val="bottom"/>
            <w:hideMark/>
          </w:tcPr>
          <w:p w14:paraId="7ED622A7" w14:textId="77777777" w:rsidR="007B18FC" w:rsidRPr="00085548" w:rsidRDefault="007B18FC" w:rsidP="007B18FC">
            <w:pPr>
              <w:spacing w:after="0" w:line="276" w:lineRule="auto"/>
              <w:rPr>
                <w:sz w:val="20"/>
                <w:szCs w:val="20"/>
              </w:rPr>
            </w:pPr>
            <w:r w:rsidRPr="00085548">
              <w:rPr>
                <w:sz w:val="20"/>
                <w:szCs w:val="20"/>
              </w:rPr>
              <w:t>2.43</w:t>
            </w:r>
          </w:p>
        </w:tc>
        <w:tc>
          <w:tcPr>
            <w:tcW w:w="1134"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77FC6D88" w14:textId="77777777" w:rsidR="007B18FC" w:rsidRPr="00085548" w:rsidRDefault="007B18FC" w:rsidP="007B18FC">
            <w:pPr>
              <w:spacing w:after="0" w:line="276" w:lineRule="auto"/>
              <w:rPr>
                <w:sz w:val="20"/>
                <w:szCs w:val="20"/>
              </w:rPr>
            </w:pPr>
            <w:r w:rsidRPr="00085548">
              <w:rPr>
                <w:sz w:val="20"/>
                <w:szCs w:val="20"/>
              </w:rPr>
              <w:t>1.20</w:t>
            </w:r>
          </w:p>
        </w:tc>
      </w:tr>
      <w:tr w:rsidR="00085548" w:rsidRPr="00085548" w14:paraId="146F4CA9"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4C5E268F" w14:textId="77777777" w:rsidR="007B18FC" w:rsidRPr="00085548" w:rsidRDefault="007B18FC" w:rsidP="007B18FC">
            <w:pPr>
              <w:spacing w:after="0" w:line="276" w:lineRule="auto"/>
              <w:rPr>
                <w:b/>
                <w:bCs/>
                <w:sz w:val="20"/>
                <w:szCs w:val="20"/>
              </w:rPr>
            </w:pPr>
            <w:r w:rsidRPr="00085548">
              <w:rPr>
                <w:b/>
                <w:bCs/>
                <w:sz w:val="20"/>
                <w:szCs w:val="20"/>
              </w:rPr>
              <w:t>7. GM-CSF</w:t>
            </w:r>
          </w:p>
        </w:tc>
        <w:tc>
          <w:tcPr>
            <w:tcW w:w="1103" w:type="dxa"/>
            <w:tcBorders>
              <w:top w:val="single" w:sz="4" w:space="0" w:color="auto"/>
              <w:left w:val="single" w:sz="4" w:space="0" w:color="auto"/>
              <w:bottom w:val="single" w:sz="4" w:space="0" w:color="auto"/>
              <w:right w:val="single" w:sz="4" w:space="0" w:color="auto"/>
            </w:tcBorders>
            <w:shd w:val="clear" w:color="auto" w:fill="C6EFCE"/>
            <w:noWrap/>
            <w:vAlign w:val="bottom"/>
            <w:hideMark/>
          </w:tcPr>
          <w:p w14:paraId="52FA2A18" w14:textId="77777777" w:rsidR="007B18FC" w:rsidRPr="00085548" w:rsidRDefault="007B18FC" w:rsidP="007B18FC">
            <w:pPr>
              <w:spacing w:after="0" w:line="276" w:lineRule="auto"/>
              <w:rPr>
                <w:sz w:val="20"/>
                <w:szCs w:val="20"/>
              </w:rPr>
            </w:pPr>
            <w:r w:rsidRPr="00085548">
              <w:rPr>
                <w:sz w:val="20"/>
                <w:szCs w:val="20"/>
              </w:rPr>
              <w:t>4.36</w:t>
            </w:r>
          </w:p>
        </w:tc>
        <w:tc>
          <w:tcPr>
            <w:tcW w:w="1066"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622DB501" w14:textId="77777777" w:rsidR="007B18FC" w:rsidRPr="00085548" w:rsidRDefault="007B18FC" w:rsidP="007B18FC">
            <w:pPr>
              <w:spacing w:after="0" w:line="276" w:lineRule="auto"/>
              <w:rPr>
                <w:sz w:val="20"/>
                <w:szCs w:val="20"/>
              </w:rPr>
            </w:pPr>
            <w:r w:rsidRPr="00085548">
              <w:rPr>
                <w:sz w:val="20"/>
                <w:szCs w:val="20"/>
              </w:rPr>
              <w:t>1.21</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0E85E2D9" w14:textId="77777777" w:rsidR="007B18FC" w:rsidRPr="00085548" w:rsidRDefault="007B18FC" w:rsidP="007B18FC">
            <w:pPr>
              <w:spacing w:after="0" w:line="276" w:lineRule="auto"/>
              <w:rPr>
                <w:b/>
                <w:bCs/>
                <w:sz w:val="20"/>
                <w:szCs w:val="20"/>
              </w:rPr>
            </w:pPr>
            <w:r w:rsidRPr="00085548">
              <w:rPr>
                <w:b/>
                <w:bCs/>
                <w:sz w:val="20"/>
                <w:szCs w:val="20"/>
              </w:rPr>
              <w:t>27. M-CSF</w:t>
            </w:r>
          </w:p>
        </w:tc>
        <w:tc>
          <w:tcPr>
            <w:tcW w:w="993" w:type="dxa"/>
            <w:tcBorders>
              <w:top w:val="single" w:sz="4" w:space="0" w:color="auto"/>
              <w:left w:val="nil"/>
              <w:bottom w:val="single" w:sz="4" w:space="0" w:color="auto"/>
              <w:right w:val="single" w:sz="4" w:space="0" w:color="auto"/>
            </w:tcBorders>
            <w:noWrap/>
            <w:vAlign w:val="bottom"/>
            <w:hideMark/>
          </w:tcPr>
          <w:p w14:paraId="415C5F7F" w14:textId="77777777" w:rsidR="007B18FC" w:rsidRPr="00085548" w:rsidRDefault="007B18FC" w:rsidP="007B18FC">
            <w:pPr>
              <w:spacing w:after="0" w:line="276" w:lineRule="auto"/>
              <w:rPr>
                <w:sz w:val="20"/>
                <w:szCs w:val="20"/>
              </w:rPr>
            </w:pPr>
            <w:r w:rsidRPr="00085548">
              <w:rPr>
                <w:sz w:val="20"/>
                <w:szCs w:val="20"/>
              </w:rPr>
              <w:t>1.06</w:t>
            </w:r>
          </w:p>
        </w:tc>
        <w:tc>
          <w:tcPr>
            <w:tcW w:w="1134" w:type="dxa"/>
            <w:tcBorders>
              <w:top w:val="single" w:sz="4" w:space="0" w:color="auto"/>
              <w:left w:val="nil"/>
              <w:bottom w:val="single" w:sz="4" w:space="0" w:color="auto"/>
              <w:right w:val="single" w:sz="12" w:space="0" w:color="auto"/>
            </w:tcBorders>
            <w:noWrap/>
            <w:vAlign w:val="bottom"/>
            <w:hideMark/>
          </w:tcPr>
          <w:p w14:paraId="0FC85B9D" w14:textId="77777777" w:rsidR="007B18FC" w:rsidRPr="00085548" w:rsidRDefault="007B18FC" w:rsidP="007B18FC">
            <w:pPr>
              <w:spacing w:after="0" w:line="276" w:lineRule="auto"/>
              <w:rPr>
                <w:sz w:val="20"/>
                <w:szCs w:val="20"/>
              </w:rPr>
            </w:pPr>
            <w:r w:rsidRPr="00085548">
              <w:rPr>
                <w:sz w:val="20"/>
                <w:szCs w:val="20"/>
              </w:rPr>
              <w:t>1.03</w:t>
            </w:r>
          </w:p>
        </w:tc>
      </w:tr>
      <w:tr w:rsidR="00085548" w:rsidRPr="00085548" w14:paraId="5A196AD0"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0CDCB2D5" w14:textId="77777777" w:rsidR="007B18FC" w:rsidRPr="00085548" w:rsidRDefault="007B18FC" w:rsidP="007B18FC">
            <w:pPr>
              <w:spacing w:after="0" w:line="276" w:lineRule="auto"/>
              <w:rPr>
                <w:b/>
                <w:bCs/>
                <w:sz w:val="20"/>
                <w:szCs w:val="20"/>
              </w:rPr>
            </w:pPr>
            <w:r w:rsidRPr="00085548">
              <w:rPr>
                <w:b/>
                <w:bCs/>
                <w:sz w:val="20"/>
                <w:szCs w:val="20"/>
              </w:rPr>
              <w:t xml:space="preserve">8. </w:t>
            </w:r>
            <w:proofErr w:type="spellStart"/>
            <w:r w:rsidRPr="00085548">
              <w:rPr>
                <w:b/>
                <w:bCs/>
                <w:sz w:val="20"/>
                <w:szCs w:val="20"/>
              </w:rPr>
              <w:t>IFNγ</w:t>
            </w:r>
            <w:proofErr w:type="spellEnd"/>
          </w:p>
        </w:tc>
        <w:tc>
          <w:tcPr>
            <w:tcW w:w="1103" w:type="dxa"/>
            <w:tcBorders>
              <w:top w:val="single" w:sz="4" w:space="0" w:color="auto"/>
              <w:left w:val="single" w:sz="4" w:space="0" w:color="auto"/>
              <w:bottom w:val="single" w:sz="4" w:space="0" w:color="auto"/>
              <w:right w:val="single" w:sz="4" w:space="0" w:color="auto"/>
            </w:tcBorders>
            <w:noWrap/>
            <w:vAlign w:val="bottom"/>
            <w:hideMark/>
          </w:tcPr>
          <w:p w14:paraId="09C55B24" w14:textId="77777777" w:rsidR="007B18FC" w:rsidRPr="00085548" w:rsidRDefault="007B18FC" w:rsidP="007B18FC">
            <w:pPr>
              <w:spacing w:after="0" w:line="276" w:lineRule="auto"/>
              <w:rPr>
                <w:sz w:val="20"/>
                <w:szCs w:val="20"/>
              </w:rPr>
            </w:pPr>
            <w:r w:rsidRPr="00085548">
              <w:rPr>
                <w:sz w:val="20"/>
                <w:szCs w:val="20"/>
              </w:rPr>
              <w:t>0.96</w:t>
            </w:r>
          </w:p>
        </w:tc>
        <w:tc>
          <w:tcPr>
            <w:tcW w:w="1066" w:type="dxa"/>
            <w:tcBorders>
              <w:top w:val="single" w:sz="4" w:space="0" w:color="auto"/>
              <w:left w:val="single" w:sz="4" w:space="0" w:color="auto"/>
              <w:bottom w:val="single" w:sz="4" w:space="0" w:color="auto"/>
              <w:right w:val="single" w:sz="12" w:space="0" w:color="auto"/>
            </w:tcBorders>
            <w:shd w:val="clear" w:color="auto" w:fill="C3E7C3"/>
            <w:noWrap/>
            <w:vAlign w:val="bottom"/>
            <w:hideMark/>
          </w:tcPr>
          <w:p w14:paraId="73462BAC" w14:textId="77777777" w:rsidR="007B18FC" w:rsidRPr="00085548" w:rsidRDefault="007B18FC" w:rsidP="007B18FC">
            <w:pPr>
              <w:spacing w:after="0" w:line="276" w:lineRule="auto"/>
              <w:rPr>
                <w:sz w:val="20"/>
                <w:szCs w:val="20"/>
              </w:rPr>
            </w:pPr>
            <w:r w:rsidRPr="00085548">
              <w:rPr>
                <w:sz w:val="20"/>
                <w:szCs w:val="20"/>
              </w:rPr>
              <w:t>2.33</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66065D25" w14:textId="77777777" w:rsidR="007B18FC" w:rsidRPr="00085548" w:rsidRDefault="007B18FC" w:rsidP="007B18FC">
            <w:pPr>
              <w:spacing w:after="0" w:line="276" w:lineRule="auto"/>
              <w:rPr>
                <w:b/>
                <w:bCs/>
                <w:sz w:val="20"/>
                <w:szCs w:val="20"/>
              </w:rPr>
            </w:pPr>
            <w:r w:rsidRPr="00085548">
              <w:rPr>
                <w:b/>
                <w:bCs/>
                <w:sz w:val="20"/>
                <w:szCs w:val="20"/>
              </w:rPr>
              <w:t>28. MIG</w:t>
            </w:r>
          </w:p>
        </w:tc>
        <w:tc>
          <w:tcPr>
            <w:tcW w:w="993" w:type="dxa"/>
            <w:tcBorders>
              <w:top w:val="single" w:sz="4" w:space="0" w:color="auto"/>
              <w:left w:val="nil"/>
              <w:bottom w:val="single" w:sz="4" w:space="0" w:color="auto"/>
              <w:right w:val="single" w:sz="4" w:space="0" w:color="auto"/>
            </w:tcBorders>
            <w:noWrap/>
            <w:vAlign w:val="bottom"/>
            <w:hideMark/>
          </w:tcPr>
          <w:p w14:paraId="1D30316E" w14:textId="77777777" w:rsidR="007B18FC" w:rsidRPr="00085548" w:rsidRDefault="007B18FC" w:rsidP="007B18FC">
            <w:pPr>
              <w:spacing w:after="0" w:line="276" w:lineRule="auto"/>
              <w:rPr>
                <w:sz w:val="20"/>
                <w:szCs w:val="20"/>
              </w:rPr>
            </w:pPr>
            <w:r w:rsidRPr="00085548">
              <w:rPr>
                <w:sz w:val="20"/>
                <w:szCs w:val="20"/>
              </w:rPr>
              <w:t>0.90</w:t>
            </w:r>
          </w:p>
        </w:tc>
        <w:tc>
          <w:tcPr>
            <w:tcW w:w="1134" w:type="dxa"/>
            <w:tcBorders>
              <w:top w:val="single" w:sz="4" w:space="0" w:color="auto"/>
              <w:left w:val="single" w:sz="4" w:space="0" w:color="auto"/>
              <w:bottom w:val="single" w:sz="4" w:space="0" w:color="auto"/>
              <w:right w:val="single" w:sz="12" w:space="0" w:color="auto"/>
            </w:tcBorders>
            <w:noWrap/>
            <w:vAlign w:val="bottom"/>
            <w:hideMark/>
          </w:tcPr>
          <w:p w14:paraId="5CE50C65" w14:textId="77777777" w:rsidR="007B18FC" w:rsidRPr="00085548" w:rsidRDefault="007B18FC" w:rsidP="007B18FC">
            <w:pPr>
              <w:spacing w:after="0" w:line="276" w:lineRule="auto"/>
              <w:rPr>
                <w:sz w:val="20"/>
                <w:szCs w:val="20"/>
              </w:rPr>
            </w:pPr>
            <w:r w:rsidRPr="00085548">
              <w:rPr>
                <w:sz w:val="20"/>
                <w:szCs w:val="20"/>
              </w:rPr>
              <w:t>0.32</w:t>
            </w:r>
          </w:p>
        </w:tc>
      </w:tr>
      <w:tr w:rsidR="00085548" w:rsidRPr="00085548" w14:paraId="274739CD"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1C238B86" w14:textId="77777777" w:rsidR="007B18FC" w:rsidRPr="00085548" w:rsidRDefault="007B18FC" w:rsidP="007B18FC">
            <w:pPr>
              <w:spacing w:after="0" w:line="276" w:lineRule="auto"/>
              <w:rPr>
                <w:b/>
                <w:bCs/>
                <w:sz w:val="20"/>
                <w:szCs w:val="20"/>
              </w:rPr>
            </w:pPr>
            <w:r w:rsidRPr="00085548">
              <w:rPr>
                <w:b/>
                <w:bCs/>
                <w:sz w:val="20"/>
                <w:szCs w:val="20"/>
              </w:rPr>
              <w:t>9. IL-1α</w:t>
            </w:r>
          </w:p>
        </w:tc>
        <w:tc>
          <w:tcPr>
            <w:tcW w:w="1103" w:type="dxa"/>
            <w:tcBorders>
              <w:top w:val="single" w:sz="4" w:space="0" w:color="auto"/>
              <w:left w:val="single" w:sz="4" w:space="0" w:color="auto"/>
              <w:bottom w:val="single" w:sz="4" w:space="0" w:color="auto"/>
              <w:right w:val="single" w:sz="4" w:space="0" w:color="auto"/>
            </w:tcBorders>
            <w:noWrap/>
            <w:vAlign w:val="bottom"/>
            <w:hideMark/>
          </w:tcPr>
          <w:p w14:paraId="1AAC64FB" w14:textId="77777777" w:rsidR="007B18FC" w:rsidRPr="00085548" w:rsidRDefault="007B18FC" w:rsidP="007B18FC">
            <w:pPr>
              <w:spacing w:after="0" w:line="276" w:lineRule="auto"/>
              <w:rPr>
                <w:sz w:val="20"/>
                <w:szCs w:val="20"/>
              </w:rPr>
            </w:pPr>
            <w:r w:rsidRPr="00085548">
              <w:rPr>
                <w:sz w:val="20"/>
                <w:szCs w:val="20"/>
              </w:rPr>
              <w:t>1.99</w:t>
            </w:r>
          </w:p>
        </w:tc>
        <w:tc>
          <w:tcPr>
            <w:tcW w:w="1066" w:type="dxa"/>
            <w:tcBorders>
              <w:top w:val="single" w:sz="4" w:space="0" w:color="auto"/>
              <w:left w:val="single" w:sz="4" w:space="0" w:color="auto"/>
              <w:bottom w:val="single" w:sz="4" w:space="0" w:color="auto"/>
              <w:right w:val="single" w:sz="12" w:space="0" w:color="auto"/>
            </w:tcBorders>
            <w:noWrap/>
            <w:vAlign w:val="bottom"/>
            <w:hideMark/>
          </w:tcPr>
          <w:p w14:paraId="62AAA7BB" w14:textId="77777777" w:rsidR="007B18FC" w:rsidRPr="00085548" w:rsidRDefault="007B18FC" w:rsidP="007B18FC">
            <w:pPr>
              <w:spacing w:after="0" w:line="276" w:lineRule="auto"/>
              <w:rPr>
                <w:sz w:val="20"/>
                <w:szCs w:val="20"/>
              </w:rPr>
            </w:pPr>
            <w:r w:rsidRPr="00085548">
              <w:rPr>
                <w:sz w:val="20"/>
                <w:szCs w:val="20"/>
              </w:rPr>
              <w:t>0.71</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47F193C4" w14:textId="77777777" w:rsidR="007B18FC" w:rsidRPr="00085548" w:rsidRDefault="007B18FC" w:rsidP="007B18FC">
            <w:pPr>
              <w:spacing w:after="0" w:line="276" w:lineRule="auto"/>
              <w:rPr>
                <w:b/>
                <w:bCs/>
                <w:sz w:val="20"/>
                <w:szCs w:val="20"/>
              </w:rPr>
            </w:pPr>
            <w:r w:rsidRPr="00085548">
              <w:rPr>
                <w:b/>
                <w:bCs/>
                <w:sz w:val="20"/>
                <w:szCs w:val="20"/>
              </w:rPr>
              <w:t>29. MIP-1α</w:t>
            </w:r>
          </w:p>
        </w:tc>
        <w:tc>
          <w:tcPr>
            <w:tcW w:w="993" w:type="dxa"/>
            <w:tcBorders>
              <w:top w:val="single" w:sz="4" w:space="0" w:color="auto"/>
              <w:left w:val="nil"/>
              <w:bottom w:val="single" w:sz="4" w:space="0" w:color="auto"/>
              <w:right w:val="single" w:sz="4" w:space="0" w:color="auto"/>
            </w:tcBorders>
            <w:noWrap/>
            <w:vAlign w:val="bottom"/>
            <w:hideMark/>
          </w:tcPr>
          <w:p w14:paraId="19BE9016" w14:textId="77777777" w:rsidR="007B18FC" w:rsidRPr="00085548" w:rsidRDefault="007B18FC" w:rsidP="007B18FC">
            <w:pPr>
              <w:spacing w:after="0" w:line="276" w:lineRule="auto"/>
              <w:rPr>
                <w:sz w:val="20"/>
                <w:szCs w:val="20"/>
              </w:rPr>
            </w:pPr>
            <w:r w:rsidRPr="00085548">
              <w:rPr>
                <w:sz w:val="20"/>
                <w:szCs w:val="20"/>
              </w:rPr>
              <w:t>1.12</w:t>
            </w:r>
          </w:p>
        </w:tc>
        <w:tc>
          <w:tcPr>
            <w:tcW w:w="1134" w:type="dxa"/>
            <w:tcBorders>
              <w:top w:val="single" w:sz="4" w:space="0" w:color="auto"/>
              <w:left w:val="nil"/>
              <w:bottom w:val="single" w:sz="4" w:space="0" w:color="auto"/>
              <w:right w:val="single" w:sz="12" w:space="0" w:color="auto"/>
            </w:tcBorders>
            <w:noWrap/>
            <w:vAlign w:val="bottom"/>
            <w:hideMark/>
          </w:tcPr>
          <w:p w14:paraId="3EAA5337" w14:textId="77777777" w:rsidR="007B18FC" w:rsidRPr="00085548" w:rsidRDefault="007B18FC" w:rsidP="007B18FC">
            <w:pPr>
              <w:spacing w:after="0" w:line="276" w:lineRule="auto"/>
              <w:rPr>
                <w:sz w:val="20"/>
                <w:szCs w:val="20"/>
              </w:rPr>
            </w:pPr>
            <w:r w:rsidRPr="00085548">
              <w:rPr>
                <w:sz w:val="20"/>
                <w:szCs w:val="20"/>
              </w:rPr>
              <w:t>1.34</w:t>
            </w:r>
          </w:p>
        </w:tc>
      </w:tr>
      <w:tr w:rsidR="00085548" w:rsidRPr="00085548" w14:paraId="02528F87"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7281389F" w14:textId="77777777" w:rsidR="007B18FC" w:rsidRPr="00085548" w:rsidRDefault="007B18FC" w:rsidP="007B18FC">
            <w:pPr>
              <w:spacing w:after="0" w:line="276" w:lineRule="auto"/>
              <w:rPr>
                <w:b/>
                <w:bCs/>
                <w:sz w:val="20"/>
                <w:szCs w:val="20"/>
              </w:rPr>
            </w:pPr>
            <w:r w:rsidRPr="00085548">
              <w:rPr>
                <w:b/>
                <w:bCs/>
                <w:sz w:val="20"/>
                <w:szCs w:val="20"/>
              </w:rPr>
              <w:t>10. IL-1β</w:t>
            </w:r>
          </w:p>
        </w:tc>
        <w:tc>
          <w:tcPr>
            <w:tcW w:w="1103" w:type="dxa"/>
            <w:tcBorders>
              <w:top w:val="single" w:sz="4" w:space="0" w:color="auto"/>
              <w:left w:val="single" w:sz="4" w:space="0" w:color="auto"/>
              <w:bottom w:val="single" w:sz="4" w:space="0" w:color="auto"/>
              <w:right w:val="single" w:sz="4" w:space="0" w:color="auto"/>
            </w:tcBorders>
            <w:noWrap/>
            <w:vAlign w:val="bottom"/>
            <w:hideMark/>
          </w:tcPr>
          <w:p w14:paraId="62663315" w14:textId="77777777" w:rsidR="007B18FC" w:rsidRPr="00085548" w:rsidRDefault="007B18FC" w:rsidP="007B18FC">
            <w:pPr>
              <w:spacing w:after="0" w:line="276" w:lineRule="auto"/>
              <w:rPr>
                <w:sz w:val="20"/>
                <w:szCs w:val="20"/>
              </w:rPr>
            </w:pPr>
            <w:r w:rsidRPr="00085548">
              <w:rPr>
                <w:sz w:val="20"/>
                <w:szCs w:val="20"/>
              </w:rPr>
              <w:t>1.13</w:t>
            </w:r>
          </w:p>
        </w:tc>
        <w:tc>
          <w:tcPr>
            <w:tcW w:w="1066" w:type="dxa"/>
            <w:tcBorders>
              <w:top w:val="single" w:sz="4" w:space="0" w:color="auto"/>
              <w:left w:val="single" w:sz="4" w:space="0" w:color="auto"/>
              <w:bottom w:val="single" w:sz="4" w:space="0" w:color="auto"/>
              <w:right w:val="single" w:sz="12" w:space="0" w:color="auto"/>
            </w:tcBorders>
            <w:noWrap/>
            <w:vAlign w:val="bottom"/>
            <w:hideMark/>
          </w:tcPr>
          <w:p w14:paraId="05C28845" w14:textId="77777777" w:rsidR="007B18FC" w:rsidRPr="00085548" w:rsidRDefault="007B18FC" w:rsidP="007B18FC">
            <w:pPr>
              <w:spacing w:after="0" w:line="276" w:lineRule="auto"/>
              <w:rPr>
                <w:sz w:val="20"/>
                <w:szCs w:val="20"/>
              </w:rPr>
            </w:pPr>
            <w:r w:rsidRPr="00085548">
              <w:rPr>
                <w:sz w:val="20"/>
                <w:szCs w:val="20"/>
              </w:rPr>
              <w:t>1.35</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12F2782A" w14:textId="77777777" w:rsidR="007B18FC" w:rsidRPr="00085548" w:rsidRDefault="007B18FC" w:rsidP="007B18FC">
            <w:pPr>
              <w:spacing w:after="0" w:line="276" w:lineRule="auto"/>
              <w:rPr>
                <w:b/>
                <w:bCs/>
                <w:sz w:val="20"/>
                <w:szCs w:val="20"/>
              </w:rPr>
            </w:pPr>
            <w:r w:rsidRPr="00085548">
              <w:rPr>
                <w:b/>
                <w:bCs/>
                <w:sz w:val="20"/>
                <w:szCs w:val="20"/>
              </w:rPr>
              <w:t>30. MIP-1γ</w:t>
            </w:r>
          </w:p>
        </w:tc>
        <w:tc>
          <w:tcPr>
            <w:tcW w:w="993" w:type="dxa"/>
            <w:tcBorders>
              <w:top w:val="single" w:sz="4" w:space="0" w:color="auto"/>
              <w:left w:val="nil"/>
              <w:bottom w:val="single" w:sz="4" w:space="0" w:color="auto"/>
              <w:right w:val="single" w:sz="4" w:space="0" w:color="auto"/>
            </w:tcBorders>
            <w:noWrap/>
            <w:vAlign w:val="bottom"/>
            <w:hideMark/>
          </w:tcPr>
          <w:p w14:paraId="7AF8A677" w14:textId="77777777" w:rsidR="007B18FC" w:rsidRPr="00085548" w:rsidRDefault="007B18FC" w:rsidP="007B18FC">
            <w:pPr>
              <w:spacing w:after="0" w:line="276" w:lineRule="auto"/>
              <w:rPr>
                <w:sz w:val="20"/>
                <w:szCs w:val="20"/>
              </w:rPr>
            </w:pPr>
            <w:r w:rsidRPr="00085548">
              <w:rPr>
                <w:sz w:val="20"/>
                <w:szCs w:val="20"/>
              </w:rPr>
              <w:t>0.49</w:t>
            </w:r>
          </w:p>
        </w:tc>
        <w:tc>
          <w:tcPr>
            <w:tcW w:w="1134" w:type="dxa"/>
            <w:tcBorders>
              <w:top w:val="single" w:sz="4" w:space="0" w:color="auto"/>
              <w:left w:val="nil"/>
              <w:bottom w:val="single" w:sz="4" w:space="0" w:color="auto"/>
              <w:right w:val="single" w:sz="12" w:space="0" w:color="auto"/>
            </w:tcBorders>
            <w:noWrap/>
            <w:vAlign w:val="bottom"/>
            <w:hideMark/>
          </w:tcPr>
          <w:p w14:paraId="301720D0" w14:textId="77777777" w:rsidR="007B18FC" w:rsidRPr="00085548" w:rsidRDefault="007B18FC" w:rsidP="007B18FC">
            <w:pPr>
              <w:spacing w:after="0" w:line="276" w:lineRule="auto"/>
              <w:rPr>
                <w:sz w:val="20"/>
                <w:szCs w:val="20"/>
              </w:rPr>
            </w:pPr>
            <w:r w:rsidRPr="00085548">
              <w:rPr>
                <w:sz w:val="20"/>
                <w:szCs w:val="20"/>
              </w:rPr>
              <w:t>1.39</w:t>
            </w:r>
          </w:p>
        </w:tc>
      </w:tr>
      <w:tr w:rsidR="00085548" w:rsidRPr="00085548" w14:paraId="13439098" w14:textId="77777777" w:rsidTr="00085548">
        <w:trPr>
          <w:trHeight w:val="77"/>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3458D7DB" w14:textId="77777777" w:rsidR="007B18FC" w:rsidRPr="00085548" w:rsidRDefault="007B18FC" w:rsidP="007B18FC">
            <w:pPr>
              <w:spacing w:after="0" w:line="276" w:lineRule="auto"/>
              <w:rPr>
                <w:b/>
                <w:bCs/>
                <w:sz w:val="20"/>
                <w:szCs w:val="20"/>
              </w:rPr>
            </w:pPr>
            <w:r w:rsidRPr="00085548">
              <w:rPr>
                <w:b/>
                <w:bCs/>
                <w:sz w:val="20"/>
                <w:szCs w:val="20"/>
              </w:rPr>
              <w:t>11. IL-2</w:t>
            </w:r>
          </w:p>
        </w:tc>
        <w:tc>
          <w:tcPr>
            <w:tcW w:w="1103" w:type="dxa"/>
            <w:tcBorders>
              <w:top w:val="single" w:sz="4" w:space="0" w:color="auto"/>
              <w:left w:val="single" w:sz="4" w:space="0" w:color="auto"/>
              <w:bottom w:val="single" w:sz="4" w:space="0" w:color="auto"/>
              <w:right w:val="single" w:sz="4" w:space="0" w:color="auto"/>
            </w:tcBorders>
            <w:noWrap/>
            <w:vAlign w:val="bottom"/>
            <w:hideMark/>
          </w:tcPr>
          <w:p w14:paraId="4F5DADAC" w14:textId="77777777" w:rsidR="007B18FC" w:rsidRPr="00085548" w:rsidRDefault="007B18FC" w:rsidP="007B18FC">
            <w:pPr>
              <w:spacing w:after="0" w:line="276" w:lineRule="auto"/>
              <w:rPr>
                <w:sz w:val="20"/>
                <w:szCs w:val="20"/>
              </w:rPr>
            </w:pPr>
            <w:r w:rsidRPr="00085548">
              <w:rPr>
                <w:sz w:val="20"/>
                <w:szCs w:val="20"/>
              </w:rPr>
              <w:t>1.73</w:t>
            </w:r>
          </w:p>
        </w:tc>
        <w:tc>
          <w:tcPr>
            <w:tcW w:w="1066" w:type="dxa"/>
            <w:tcBorders>
              <w:top w:val="single" w:sz="4" w:space="0" w:color="auto"/>
              <w:left w:val="single" w:sz="4" w:space="0" w:color="auto"/>
              <w:bottom w:val="single" w:sz="4" w:space="0" w:color="auto"/>
              <w:right w:val="single" w:sz="12" w:space="0" w:color="auto"/>
            </w:tcBorders>
            <w:noWrap/>
            <w:vAlign w:val="bottom"/>
            <w:hideMark/>
          </w:tcPr>
          <w:p w14:paraId="57DC8A68" w14:textId="77777777" w:rsidR="007B18FC" w:rsidRPr="00085548" w:rsidRDefault="007B18FC" w:rsidP="007B18FC">
            <w:pPr>
              <w:spacing w:after="0" w:line="276" w:lineRule="auto"/>
              <w:rPr>
                <w:sz w:val="20"/>
                <w:szCs w:val="20"/>
              </w:rPr>
            </w:pPr>
            <w:r w:rsidRPr="00085548">
              <w:rPr>
                <w:sz w:val="20"/>
                <w:szCs w:val="20"/>
              </w:rPr>
              <w:t>0.86</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42B69957" w14:textId="77777777" w:rsidR="007B18FC" w:rsidRPr="00085548" w:rsidRDefault="007B18FC" w:rsidP="007B18FC">
            <w:pPr>
              <w:spacing w:after="0" w:line="276" w:lineRule="auto"/>
              <w:rPr>
                <w:b/>
                <w:bCs/>
                <w:sz w:val="20"/>
                <w:szCs w:val="20"/>
              </w:rPr>
            </w:pPr>
            <w:r w:rsidRPr="00085548">
              <w:rPr>
                <w:b/>
                <w:bCs/>
                <w:sz w:val="20"/>
                <w:szCs w:val="20"/>
              </w:rPr>
              <w:t>31. RANTES</w:t>
            </w:r>
          </w:p>
        </w:tc>
        <w:tc>
          <w:tcPr>
            <w:tcW w:w="993" w:type="dxa"/>
            <w:tcBorders>
              <w:top w:val="single" w:sz="4" w:space="0" w:color="auto"/>
              <w:left w:val="nil"/>
              <w:bottom w:val="single" w:sz="4" w:space="0" w:color="auto"/>
              <w:right w:val="single" w:sz="4" w:space="0" w:color="auto"/>
            </w:tcBorders>
            <w:shd w:val="clear" w:color="auto" w:fill="C6EFCE"/>
            <w:noWrap/>
            <w:vAlign w:val="bottom"/>
            <w:hideMark/>
          </w:tcPr>
          <w:p w14:paraId="7225651C" w14:textId="77777777" w:rsidR="007B18FC" w:rsidRPr="00085548" w:rsidRDefault="007B18FC" w:rsidP="007B18FC">
            <w:pPr>
              <w:spacing w:after="0" w:line="276" w:lineRule="auto"/>
              <w:rPr>
                <w:sz w:val="20"/>
                <w:szCs w:val="20"/>
              </w:rPr>
            </w:pPr>
            <w:r w:rsidRPr="00085548">
              <w:rPr>
                <w:sz w:val="20"/>
                <w:szCs w:val="20"/>
              </w:rPr>
              <w:t>2.50</w:t>
            </w:r>
          </w:p>
        </w:tc>
        <w:tc>
          <w:tcPr>
            <w:tcW w:w="1134" w:type="dxa"/>
            <w:tcBorders>
              <w:top w:val="single" w:sz="4" w:space="0" w:color="auto"/>
              <w:left w:val="nil"/>
              <w:bottom w:val="single" w:sz="4" w:space="0" w:color="auto"/>
              <w:right w:val="single" w:sz="12" w:space="0" w:color="auto"/>
            </w:tcBorders>
            <w:shd w:val="clear" w:color="auto" w:fill="FFE599" w:themeFill="accent4" w:themeFillTint="66"/>
            <w:noWrap/>
            <w:vAlign w:val="bottom"/>
            <w:hideMark/>
          </w:tcPr>
          <w:p w14:paraId="1FA4E074" w14:textId="77777777" w:rsidR="007B18FC" w:rsidRPr="00085548" w:rsidRDefault="007B18FC" w:rsidP="007B18FC">
            <w:pPr>
              <w:spacing w:after="0" w:line="276" w:lineRule="auto"/>
              <w:rPr>
                <w:sz w:val="20"/>
                <w:szCs w:val="20"/>
              </w:rPr>
            </w:pPr>
            <w:r w:rsidRPr="00085548">
              <w:rPr>
                <w:sz w:val="20"/>
                <w:szCs w:val="20"/>
              </w:rPr>
              <w:t>1.40</w:t>
            </w:r>
          </w:p>
        </w:tc>
      </w:tr>
      <w:tr w:rsidR="00085548" w:rsidRPr="00085548" w14:paraId="6ACFC1AF"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220ED184" w14:textId="77777777" w:rsidR="007B18FC" w:rsidRPr="00085548" w:rsidRDefault="007B18FC" w:rsidP="007B18FC">
            <w:pPr>
              <w:spacing w:after="0" w:line="276" w:lineRule="auto"/>
              <w:rPr>
                <w:b/>
                <w:bCs/>
                <w:sz w:val="20"/>
                <w:szCs w:val="20"/>
              </w:rPr>
            </w:pPr>
            <w:r w:rsidRPr="00085548">
              <w:rPr>
                <w:b/>
                <w:bCs/>
                <w:sz w:val="20"/>
                <w:szCs w:val="20"/>
              </w:rPr>
              <w:t>12. IL-3</w:t>
            </w:r>
          </w:p>
        </w:tc>
        <w:tc>
          <w:tcPr>
            <w:tcW w:w="1103" w:type="dxa"/>
            <w:tcBorders>
              <w:top w:val="single" w:sz="4" w:space="0" w:color="auto"/>
              <w:left w:val="single" w:sz="4" w:space="0" w:color="auto"/>
              <w:bottom w:val="single" w:sz="4" w:space="0" w:color="auto"/>
              <w:right w:val="single" w:sz="4" w:space="0" w:color="auto"/>
            </w:tcBorders>
            <w:shd w:val="clear" w:color="auto" w:fill="C6EFCE"/>
            <w:noWrap/>
            <w:vAlign w:val="bottom"/>
            <w:hideMark/>
          </w:tcPr>
          <w:p w14:paraId="2D887492" w14:textId="77777777" w:rsidR="007B18FC" w:rsidRPr="00085548" w:rsidRDefault="007B18FC" w:rsidP="007B18FC">
            <w:pPr>
              <w:spacing w:after="0" w:line="276" w:lineRule="auto"/>
              <w:rPr>
                <w:sz w:val="20"/>
                <w:szCs w:val="20"/>
              </w:rPr>
            </w:pPr>
            <w:r w:rsidRPr="00085548">
              <w:rPr>
                <w:sz w:val="20"/>
                <w:szCs w:val="20"/>
              </w:rPr>
              <w:t>2.43</w:t>
            </w:r>
          </w:p>
        </w:tc>
        <w:tc>
          <w:tcPr>
            <w:tcW w:w="1066"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66ECC0AE" w14:textId="77777777" w:rsidR="007B18FC" w:rsidRPr="00085548" w:rsidRDefault="007B18FC" w:rsidP="007B18FC">
            <w:pPr>
              <w:spacing w:after="0" w:line="276" w:lineRule="auto"/>
              <w:rPr>
                <w:sz w:val="20"/>
                <w:szCs w:val="20"/>
              </w:rPr>
            </w:pPr>
            <w:r w:rsidRPr="00085548">
              <w:rPr>
                <w:sz w:val="20"/>
                <w:szCs w:val="20"/>
              </w:rPr>
              <w:t>0.57</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23A8C388" w14:textId="77777777" w:rsidR="007B18FC" w:rsidRPr="00085548" w:rsidRDefault="007B18FC" w:rsidP="007B18FC">
            <w:pPr>
              <w:spacing w:after="0" w:line="276" w:lineRule="auto"/>
              <w:rPr>
                <w:b/>
                <w:bCs/>
                <w:sz w:val="20"/>
                <w:szCs w:val="20"/>
              </w:rPr>
            </w:pPr>
            <w:r w:rsidRPr="00085548">
              <w:rPr>
                <w:b/>
                <w:bCs/>
                <w:sz w:val="20"/>
                <w:szCs w:val="20"/>
              </w:rPr>
              <w:t>32. SDF-1α</w:t>
            </w:r>
          </w:p>
        </w:tc>
        <w:tc>
          <w:tcPr>
            <w:tcW w:w="993" w:type="dxa"/>
            <w:tcBorders>
              <w:top w:val="single" w:sz="4" w:space="0" w:color="auto"/>
              <w:left w:val="nil"/>
              <w:bottom w:val="single" w:sz="4" w:space="0" w:color="auto"/>
              <w:right w:val="single" w:sz="4" w:space="0" w:color="auto"/>
            </w:tcBorders>
            <w:noWrap/>
            <w:vAlign w:val="bottom"/>
            <w:hideMark/>
          </w:tcPr>
          <w:p w14:paraId="1C61F699" w14:textId="77777777" w:rsidR="007B18FC" w:rsidRPr="00085548" w:rsidRDefault="007B18FC" w:rsidP="007B18FC">
            <w:pPr>
              <w:spacing w:after="0" w:line="276" w:lineRule="auto"/>
              <w:rPr>
                <w:sz w:val="20"/>
                <w:szCs w:val="20"/>
              </w:rPr>
            </w:pPr>
            <w:r w:rsidRPr="00085548">
              <w:rPr>
                <w:sz w:val="20"/>
                <w:szCs w:val="20"/>
              </w:rPr>
              <w:t>0.98</w:t>
            </w:r>
          </w:p>
        </w:tc>
        <w:tc>
          <w:tcPr>
            <w:tcW w:w="1134" w:type="dxa"/>
            <w:tcBorders>
              <w:top w:val="single" w:sz="4" w:space="0" w:color="auto"/>
              <w:left w:val="nil"/>
              <w:bottom w:val="single" w:sz="4" w:space="0" w:color="auto"/>
              <w:right w:val="single" w:sz="12" w:space="0" w:color="auto"/>
            </w:tcBorders>
            <w:noWrap/>
            <w:vAlign w:val="bottom"/>
            <w:hideMark/>
          </w:tcPr>
          <w:p w14:paraId="753E1C47" w14:textId="77777777" w:rsidR="007B18FC" w:rsidRPr="00085548" w:rsidRDefault="007B18FC" w:rsidP="007B18FC">
            <w:pPr>
              <w:spacing w:after="0" w:line="276" w:lineRule="auto"/>
              <w:rPr>
                <w:sz w:val="20"/>
                <w:szCs w:val="20"/>
              </w:rPr>
            </w:pPr>
            <w:r w:rsidRPr="00085548">
              <w:rPr>
                <w:sz w:val="20"/>
                <w:szCs w:val="20"/>
              </w:rPr>
              <w:t>1.57</w:t>
            </w:r>
          </w:p>
        </w:tc>
      </w:tr>
      <w:tr w:rsidR="00085548" w:rsidRPr="00085548" w14:paraId="1AD12981"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3F463403" w14:textId="77777777" w:rsidR="007B18FC" w:rsidRPr="00085548" w:rsidRDefault="007B18FC" w:rsidP="007B18FC">
            <w:pPr>
              <w:spacing w:after="0" w:line="276" w:lineRule="auto"/>
              <w:rPr>
                <w:b/>
                <w:bCs/>
                <w:sz w:val="20"/>
                <w:szCs w:val="20"/>
              </w:rPr>
            </w:pPr>
            <w:r w:rsidRPr="00085548">
              <w:rPr>
                <w:b/>
                <w:bCs/>
                <w:sz w:val="20"/>
                <w:szCs w:val="20"/>
              </w:rPr>
              <w:t>13. IL-4</w:t>
            </w:r>
          </w:p>
        </w:tc>
        <w:tc>
          <w:tcPr>
            <w:tcW w:w="1103" w:type="dxa"/>
            <w:tcBorders>
              <w:top w:val="single" w:sz="4" w:space="0" w:color="auto"/>
              <w:left w:val="single" w:sz="4" w:space="0" w:color="auto"/>
              <w:bottom w:val="single" w:sz="4" w:space="0" w:color="auto"/>
              <w:right w:val="single" w:sz="4" w:space="0" w:color="auto"/>
            </w:tcBorders>
            <w:noWrap/>
            <w:vAlign w:val="bottom"/>
            <w:hideMark/>
          </w:tcPr>
          <w:p w14:paraId="03461E0D" w14:textId="77777777" w:rsidR="007B18FC" w:rsidRPr="00085548" w:rsidRDefault="007B18FC" w:rsidP="007B18FC">
            <w:pPr>
              <w:spacing w:after="0" w:line="276" w:lineRule="auto"/>
              <w:rPr>
                <w:sz w:val="20"/>
                <w:szCs w:val="20"/>
              </w:rPr>
            </w:pPr>
            <w:r w:rsidRPr="00085548">
              <w:rPr>
                <w:sz w:val="20"/>
                <w:szCs w:val="20"/>
              </w:rPr>
              <w:t>0.74</w:t>
            </w:r>
          </w:p>
        </w:tc>
        <w:tc>
          <w:tcPr>
            <w:tcW w:w="1066" w:type="dxa"/>
            <w:tcBorders>
              <w:top w:val="single" w:sz="4" w:space="0" w:color="auto"/>
              <w:left w:val="single" w:sz="4" w:space="0" w:color="auto"/>
              <w:bottom w:val="single" w:sz="4" w:space="0" w:color="auto"/>
              <w:right w:val="single" w:sz="12" w:space="0" w:color="auto"/>
            </w:tcBorders>
            <w:noWrap/>
            <w:vAlign w:val="bottom"/>
            <w:hideMark/>
          </w:tcPr>
          <w:p w14:paraId="33FB8CB9" w14:textId="77777777" w:rsidR="007B18FC" w:rsidRPr="00085548" w:rsidRDefault="007B18FC" w:rsidP="007B18FC">
            <w:pPr>
              <w:spacing w:after="0" w:line="276" w:lineRule="auto"/>
              <w:rPr>
                <w:sz w:val="20"/>
                <w:szCs w:val="20"/>
              </w:rPr>
            </w:pPr>
            <w:r w:rsidRPr="00085548">
              <w:rPr>
                <w:sz w:val="20"/>
                <w:szCs w:val="20"/>
              </w:rPr>
              <w:t>1.32</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5452714C" w14:textId="77777777" w:rsidR="007B18FC" w:rsidRPr="00085548" w:rsidRDefault="007B18FC" w:rsidP="007B18FC">
            <w:pPr>
              <w:spacing w:after="0" w:line="276" w:lineRule="auto"/>
              <w:rPr>
                <w:b/>
                <w:bCs/>
                <w:sz w:val="20"/>
                <w:szCs w:val="20"/>
              </w:rPr>
            </w:pPr>
            <w:r w:rsidRPr="00085548">
              <w:rPr>
                <w:b/>
                <w:bCs/>
                <w:sz w:val="20"/>
                <w:szCs w:val="20"/>
              </w:rPr>
              <w:t>33. I-309</w:t>
            </w:r>
          </w:p>
        </w:tc>
        <w:tc>
          <w:tcPr>
            <w:tcW w:w="993" w:type="dxa"/>
            <w:tcBorders>
              <w:top w:val="single" w:sz="4" w:space="0" w:color="auto"/>
              <w:left w:val="nil"/>
              <w:bottom w:val="single" w:sz="4" w:space="0" w:color="auto"/>
              <w:right w:val="single" w:sz="4" w:space="0" w:color="auto"/>
            </w:tcBorders>
            <w:noWrap/>
            <w:vAlign w:val="bottom"/>
            <w:hideMark/>
          </w:tcPr>
          <w:p w14:paraId="79D14427" w14:textId="77777777" w:rsidR="007B18FC" w:rsidRPr="00085548" w:rsidRDefault="007B18FC" w:rsidP="007B18FC">
            <w:pPr>
              <w:spacing w:after="0" w:line="276" w:lineRule="auto"/>
              <w:rPr>
                <w:sz w:val="20"/>
                <w:szCs w:val="20"/>
              </w:rPr>
            </w:pPr>
            <w:r w:rsidRPr="00085548">
              <w:rPr>
                <w:sz w:val="20"/>
                <w:szCs w:val="20"/>
              </w:rPr>
              <w:t>1.09</w:t>
            </w:r>
          </w:p>
        </w:tc>
        <w:tc>
          <w:tcPr>
            <w:tcW w:w="1134" w:type="dxa"/>
            <w:tcBorders>
              <w:top w:val="single" w:sz="4" w:space="0" w:color="auto"/>
              <w:left w:val="nil"/>
              <w:bottom w:val="single" w:sz="4" w:space="0" w:color="auto"/>
              <w:right w:val="single" w:sz="12" w:space="0" w:color="auto"/>
            </w:tcBorders>
            <w:noWrap/>
            <w:vAlign w:val="bottom"/>
            <w:hideMark/>
          </w:tcPr>
          <w:p w14:paraId="6C307A4F" w14:textId="77777777" w:rsidR="007B18FC" w:rsidRPr="00085548" w:rsidRDefault="007B18FC" w:rsidP="007B18FC">
            <w:pPr>
              <w:spacing w:after="0" w:line="276" w:lineRule="auto"/>
              <w:rPr>
                <w:sz w:val="20"/>
                <w:szCs w:val="20"/>
              </w:rPr>
            </w:pPr>
            <w:r w:rsidRPr="00085548">
              <w:rPr>
                <w:sz w:val="20"/>
                <w:szCs w:val="20"/>
              </w:rPr>
              <w:t>0.87</w:t>
            </w:r>
          </w:p>
        </w:tc>
      </w:tr>
      <w:tr w:rsidR="00085548" w:rsidRPr="00085548" w14:paraId="5EC9F8E5"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6531F6A1" w14:textId="77777777" w:rsidR="007B18FC" w:rsidRPr="00085548" w:rsidRDefault="007B18FC" w:rsidP="007B18FC">
            <w:pPr>
              <w:spacing w:after="0" w:line="276" w:lineRule="auto"/>
              <w:rPr>
                <w:b/>
                <w:bCs/>
                <w:sz w:val="20"/>
                <w:szCs w:val="20"/>
              </w:rPr>
            </w:pPr>
            <w:r w:rsidRPr="00085548">
              <w:rPr>
                <w:b/>
                <w:bCs/>
                <w:sz w:val="20"/>
                <w:szCs w:val="20"/>
              </w:rPr>
              <w:t>14. IL-6</w:t>
            </w:r>
          </w:p>
        </w:tc>
        <w:tc>
          <w:tcPr>
            <w:tcW w:w="1103" w:type="dxa"/>
            <w:tcBorders>
              <w:top w:val="single" w:sz="4" w:space="0" w:color="auto"/>
              <w:left w:val="single" w:sz="4" w:space="0" w:color="auto"/>
              <w:bottom w:val="single" w:sz="4" w:space="0" w:color="auto"/>
              <w:right w:val="single" w:sz="4" w:space="0" w:color="auto"/>
            </w:tcBorders>
            <w:shd w:val="clear" w:color="auto" w:fill="C6EFCE"/>
            <w:noWrap/>
            <w:vAlign w:val="bottom"/>
            <w:hideMark/>
          </w:tcPr>
          <w:p w14:paraId="48CF643E" w14:textId="77777777" w:rsidR="007B18FC" w:rsidRPr="00085548" w:rsidRDefault="007B18FC" w:rsidP="007B18FC">
            <w:pPr>
              <w:spacing w:after="0" w:line="276" w:lineRule="auto"/>
              <w:rPr>
                <w:sz w:val="20"/>
                <w:szCs w:val="20"/>
              </w:rPr>
            </w:pPr>
            <w:r w:rsidRPr="00085548">
              <w:rPr>
                <w:sz w:val="20"/>
                <w:szCs w:val="20"/>
              </w:rPr>
              <w:t>79.87</w:t>
            </w:r>
          </w:p>
        </w:tc>
        <w:tc>
          <w:tcPr>
            <w:tcW w:w="1066"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57456BA0" w14:textId="77777777" w:rsidR="007B18FC" w:rsidRPr="00085548" w:rsidRDefault="007B18FC" w:rsidP="007B18FC">
            <w:pPr>
              <w:spacing w:after="0" w:line="276" w:lineRule="auto"/>
              <w:rPr>
                <w:sz w:val="20"/>
                <w:szCs w:val="20"/>
              </w:rPr>
            </w:pPr>
            <w:r w:rsidRPr="00085548">
              <w:rPr>
                <w:sz w:val="20"/>
                <w:szCs w:val="20"/>
              </w:rPr>
              <w:t>2.60</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1D3EAF72" w14:textId="77777777" w:rsidR="007B18FC" w:rsidRPr="00085548" w:rsidRDefault="007B18FC" w:rsidP="007B18FC">
            <w:pPr>
              <w:spacing w:after="0" w:line="276" w:lineRule="auto"/>
              <w:rPr>
                <w:b/>
                <w:bCs/>
                <w:sz w:val="20"/>
                <w:szCs w:val="20"/>
              </w:rPr>
            </w:pPr>
            <w:r w:rsidRPr="00085548">
              <w:rPr>
                <w:b/>
                <w:bCs/>
                <w:sz w:val="20"/>
                <w:szCs w:val="20"/>
              </w:rPr>
              <w:t>34. TECK</w:t>
            </w:r>
          </w:p>
        </w:tc>
        <w:tc>
          <w:tcPr>
            <w:tcW w:w="993" w:type="dxa"/>
            <w:tcBorders>
              <w:top w:val="single" w:sz="4" w:space="0" w:color="auto"/>
              <w:left w:val="nil"/>
              <w:bottom w:val="single" w:sz="4" w:space="0" w:color="auto"/>
              <w:right w:val="single" w:sz="4" w:space="0" w:color="auto"/>
            </w:tcBorders>
            <w:shd w:val="clear" w:color="auto" w:fill="C6EFCE"/>
            <w:noWrap/>
            <w:vAlign w:val="bottom"/>
            <w:hideMark/>
          </w:tcPr>
          <w:p w14:paraId="08DD657C" w14:textId="77777777" w:rsidR="007B18FC" w:rsidRPr="00085548" w:rsidRDefault="007B18FC" w:rsidP="007B18FC">
            <w:pPr>
              <w:spacing w:after="0" w:line="276" w:lineRule="auto"/>
              <w:rPr>
                <w:sz w:val="20"/>
                <w:szCs w:val="20"/>
              </w:rPr>
            </w:pPr>
            <w:r w:rsidRPr="00085548">
              <w:rPr>
                <w:sz w:val="20"/>
                <w:szCs w:val="20"/>
              </w:rPr>
              <w:t>5.40</w:t>
            </w:r>
          </w:p>
        </w:tc>
        <w:tc>
          <w:tcPr>
            <w:tcW w:w="1134"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308AFAF3" w14:textId="77777777" w:rsidR="007B18FC" w:rsidRPr="00085548" w:rsidRDefault="007B18FC" w:rsidP="007B18FC">
            <w:pPr>
              <w:spacing w:after="0" w:line="276" w:lineRule="auto"/>
              <w:rPr>
                <w:sz w:val="20"/>
                <w:szCs w:val="20"/>
              </w:rPr>
            </w:pPr>
            <w:r w:rsidRPr="00085548">
              <w:rPr>
                <w:sz w:val="20"/>
                <w:szCs w:val="20"/>
              </w:rPr>
              <w:t>1.46</w:t>
            </w:r>
          </w:p>
        </w:tc>
      </w:tr>
      <w:tr w:rsidR="00085548" w:rsidRPr="00085548" w14:paraId="0075CFDC"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055E4103" w14:textId="77777777" w:rsidR="007B18FC" w:rsidRPr="00085548" w:rsidRDefault="007B18FC" w:rsidP="007B18FC">
            <w:pPr>
              <w:spacing w:after="0" w:line="276" w:lineRule="auto"/>
              <w:rPr>
                <w:b/>
                <w:bCs/>
                <w:sz w:val="20"/>
                <w:szCs w:val="20"/>
              </w:rPr>
            </w:pPr>
            <w:r w:rsidRPr="00085548">
              <w:rPr>
                <w:b/>
                <w:bCs/>
                <w:sz w:val="20"/>
                <w:szCs w:val="20"/>
              </w:rPr>
              <w:t>15. IL-9</w:t>
            </w:r>
          </w:p>
        </w:tc>
        <w:tc>
          <w:tcPr>
            <w:tcW w:w="1103" w:type="dxa"/>
            <w:tcBorders>
              <w:top w:val="single" w:sz="4" w:space="0" w:color="auto"/>
              <w:left w:val="single" w:sz="4" w:space="0" w:color="auto"/>
              <w:bottom w:val="single" w:sz="4" w:space="0" w:color="auto"/>
              <w:right w:val="single" w:sz="4" w:space="0" w:color="auto"/>
            </w:tcBorders>
            <w:noWrap/>
            <w:vAlign w:val="bottom"/>
            <w:hideMark/>
          </w:tcPr>
          <w:p w14:paraId="0BF0BF13" w14:textId="77777777" w:rsidR="007B18FC" w:rsidRPr="00085548" w:rsidRDefault="007B18FC" w:rsidP="007B18FC">
            <w:pPr>
              <w:spacing w:after="0" w:line="276" w:lineRule="auto"/>
              <w:rPr>
                <w:sz w:val="20"/>
                <w:szCs w:val="20"/>
              </w:rPr>
            </w:pPr>
            <w:r w:rsidRPr="00085548">
              <w:rPr>
                <w:sz w:val="20"/>
                <w:szCs w:val="20"/>
              </w:rPr>
              <w:t>0.94</w:t>
            </w:r>
          </w:p>
        </w:tc>
        <w:tc>
          <w:tcPr>
            <w:tcW w:w="1066" w:type="dxa"/>
            <w:tcBorders>
              <w:top w:val="single" w:sz="4" w:space="0" w:color="auto"/>
              <w:left w:val="single" w:sz="4" w:space="0" w:color="auto"/>
              <w:bottom w:val="single" w:sz="4" w:space="0" w:color="auto"/>
              <w:right w:val="single" w:sz="12" w:space="0" w:color="auto"/>
            </w:tcBorders>
            <w:noWrap/>
            <w:vAlign w:val="bottom"/>
            <w:hideMark/>
          </w:tcPr>
          <w:p w14:paraId="2DDEEB1C" w14:textId="77777777" w:rsidR="007B18FC" w:rsidRPr="00085548" w:rsidRDefault="007B18FC" w:rsidP="007B18FC">
            <w:pPr>
              <w:spacing w:after="0" w:line="276" w:lineRule="auto"/>
              <w:rPr>
                <w:sz w:val="20"/>
                <w:szCs w:val="20"/>
              </w:rPr>
            </w:pPr>
            <w:r w:rsidRPr="00085548">
              <w:rPr>
                <w:sz w:val="20"/>
                <w:szCs w:val="20"/>
              </w:rPr>
              <w:t>1.21</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5BEE5548" w14:textId="77777777" w:rsidR="007B18FC" w:rsidRPr="00085548" w:rsidRDefault="007B18FC" w:rsidP="007B18FC">
            <w:pPr>
              <w:spacing w:after="0" w:line="276" w:lineRule="auto"/>
              <w:rPr>
                <w:b/>
                <w:bCs/>
                <w:sz w:val="20"/>
                <w:szCs w:val="20"/>
              </w:rPr>
            </w:pPr>
            <w:r w:rsidRPr="00085548">
              <w:rPr>
                <w:b/>
                <w:bCs/>
                <w:sz w:val="20"/>
                <w:szCs w:val="20"/>
              </w:rPr>
              <w:t>35. TIMP-1</w:t>
            </w:r>
          </w:p>
        </w:tc>
        <w:tc>
          <w:tcPr>
            <w:tcW w:w="993" w:type="dxa"/>
            <w:tcBorders>
              <w:top w:val="single" w:sz="4" w:space="0" w:color="auto"/>
              <w:left w:val="nil"/>
              <w:bottom w:val="single" w:sz="4" w:space="0" w:color="auto"/>
              <w:right w:val="single" w:sz="4" w:space="0" w:color="auto"/>
            </w:tcBorders>
            <w:shd w:val="clear" w:color="auto" w:fill="C6EFCE"/>
            <w:noWrap/>
            <w:vAlign w:val="bottom"/>
            <w:hideMark/>
          </w:tcPr>
          <w:p w14:paraId="614A8944" w14:textId="77777777" w:rsidR="007B18FC" w:rsidRPr="00085548" w:rsidRDefault="007B18FC" w:rsidP="007B18FC">
            <w:pPr>
              <w:spacing w:after="0" w:line="276" w:lineRule="auto"/>
              <w:rPr>
                <w:sz w:val="20"/>
                <w:szCs w:val="20"/>
              </w:rPr>
            </w:pPr>
            <w:r w:rsidRPr="00085548">
              <w:rPr>
                <w:sz w:val="20"/>
                <w:szCs w:val="20"/>
              </w:rPr>
              <w:t>3.33</w:t>
            </w:r>
          </w:p>
        </w:tc>
        <w:tc>
          <w:tcPr>
            <w:tcW w:w="1134" w:type="dxa"/>
            <w:tcBorders>
              <w:top w:val="single" w:sz="4" w:space="0" w:color="auto"/>
              <w:left w:val="single" w:sz="4" w:space="0" w:color="auto"/>
              <w:bottom w:val="single" w:sz="4" w:space="0" w:color="auto"/>
              <w:right w:val="single" w:sz="12" w:space="0" w:color="auto"/>
            </w:tcBorders>
            <w:shd w:val="clear" w:color="auto" w:fill="FFC7CE"/>
            <w:noWrap/>
            <w:vAlign w:val="bottom"/>
            <w:hideMark/>
          </w:tcPr>
          <w:p w14:paraId="0380D4F1" w14:textId="77777777" w:rsidR="007B18FC" w:rsidRPr="00085548" w:rsidRDefault="007B18FC" w:rsidP="007B18FC">
            <w:pPr>
              <w:spacing w:after="0" w:line="276" w:lineRule="auto"/>
              <w:rPr>
                <w:sz w:val="20"/>
                <w:szCs w:val="20"/>
              </w:rPr>
            </w:pPr>
            <w:r w:rsidRPr="00085548">
              <w:rPr>
                <w:sz w:val="20"/>
                <w:szCs w:val="20"/>
              </w:rPr>
              <w:t>1.17</w:t>
            </w:r>
          </w:p>
        </w:tc>
      </w:tr>
      <w:tr w:rsidR="00085548" w:rsidRPr="00085548" w14:paraId="0C083582"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42B3E823" w14:textId="77777777" w:rsidR="007B18FC" w:rsidRPr="00085548" w:rsidRDefault="007B18FC" w:rsidP="007B18FC">
            <w:pPr>
              <w:spacing w:after="0" w:line="276" w:lineRule="auto"/>
              <w:rPr>
                <w:b/>
                <w:bCs/>
                <w:sz w:val="20"/>
                <w:szCs w:val="20"/>
              </w:rPr>
            </w:pPr>
            <w:r w:rsidRPr="00085548">
              <w:rPr>
                <w:b/>
                <w:bCs/>
                <w:sz w:val="20"/>
                <w:szCs w:val="20"/>
              </w:rPr>
              <w:t>16. IL-10</w:t>
            </w:r>
          </w:p>
        </w:tc>
        <w:tc>
          <w:tcPr>
            <w:tcW w:w="1103" w:type="dxa"/>
            <w:tcBorders>
              <w:top w:val="single" w:sz="4" w:space="0" w:color="auto"/>
              <w:left w:val="single" w:sz="4" w:space="0" w:color="auto"/>
              <w:bottom w:val="single" w:sz="4" w:space="0" w:color="auto"/>
              <w:right w:val="single" w:sz="4" w:space="0" w:color="auto"/>
            </w:tcBorders>
            <w:noWrap/>
            <w:vAlign w:val="bottom"/>
            <w:hideMark/>
          </w:tcPr>
          <w:p w14:paraId="0ADD6FEB" w14:textId="77777777" w:rsidR="007B18FC" w:rsidRPr="00085548" w:rsidRDefault="007B18FC" w:rsidP="007B18FC">
            <w:pPr>
              <w:spacing w:after="0" w:line="276" w:lineRule="auto"/>
              <w:rPr>
                <w:sz w:val="20"/>
                <w:szCs w:val="20"/>
              </w:rPr>
            </w:pPr>
            <w:r w:rsidRPr="00085548">
              <w:rPr>
                <w:sz w:val="20"/>
                <w:szCs w:val="20"/>
              </w:rPr>
              <w:t>1.02</w:t>
            </w:r>
          </w:p>
        </w:tc>
        <w:tc>
          <w:tcPr>
            <w:tcW w:w="1066" w:type="dxa"/>
            <w:tcBorders>
              <w:top w:val="single" w:sz="4" w:space="0" w:color="auto"/>
              <w:left w:val="single" w:sz="4" w:space="0" w:color="auto"/>
              <w:bottom w:val="single" w:sz="4" w:space="0" w:color="auto"/>
              <w:right w:val="single" w:sz="12" w:space="0" w:color="auto"/>
            </w:tcBorders>
            <w:shd w:val="clear" w:color="auto" w:fill="C3E7C3"/>
            <w:noWrap/>
            <w:vAlign w:val="bottom"/>
            <w:hideMark/>
          </w:tcPr>
          <w:p w14:paraId="6C1B4A35" w14:textId="77777777" w:rsidR="007B18FC" w:rsidRPr="00085548" w:rsidRDefault="007B18FC" w:rsidP="007B18FC">
            <w:pPr>
              <w:spacing w:after="0" w:line="276" w:lineRule="auto"/>
              <w:rPr>
                <w:sz w:val="20"/>
                <w:szCs w:val="20"/>
              </w:rPr>
            </w:pPr>
            <w:r w:rsidRPr="00085548">
              <w:rPr>
                <w:sz w:val="20"/>
                <w:szCs w:val="20"/>
              </w:rPr>
              <w:t>3.12</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6DFACA2A" w14:textId="77777777" w:rsidR="007B18FC" w:rsidRPr="00085548" w:rsidRDefault="007B18FC" w:rsidP="007B18FC">
            <w:pPr>
              <w:spacing w:after="0" w:line="276" w:lineRule="auto"/>
              <w:rPr>
                <w:b/>
                <w:bCs/>
                <w:sz w:val="20"/>
                <w:szCs w:val="20"/>
              </w:rPr>
            </w:pPr>
            <w:r w:rsidRPr="00085548">
              <w:rPr>
                <w:b/>
                <w:bCs/>
                <w:sz w:val="20"/>
                <w:szCs w:val="20"/>
              </w:rPr>
              <w:t>36. TIMP-2</w:t>
            </w:r>
          </w:p>
        </w:tc>
        <w:tc>
          <w:tcPr>
            <w:tcW w:w="993" w:type="dxa"/>
            <w:tcBorders>
              <w:top w:val="single" w:sz="4" w:space="0" w:color="auto"/>
              <w:left w:val="nil"/>
              <w:bottom w:val="single" w:sz="4" w:space="0" w:color="auto"/>
              <w:right w:val="single" w:sz="4" w:space="0" w:color="auto"/>
            </w:tcBorders>
            <w:noWrap/>
            <w:vAlign w:val="bottom"/>
            <w:hideMark/>
          </w:tcPr>
          <w:p w14:paraId="492A9149" w14:textId="77777777" w:rsidR="007B18FC" w:rsidRPr="00085548" w:rsidRDefault="007B18FC" w:rsidP="007B18FC">
            <w:pPr>
              <w:spacing w:after="0" w:line="276" w:lineRule="auto"/>
              <w:rPr>
                <w:sz w:val="20"/>
                <w:szCs w:val="20"/>
              </w:rPr>
            </w:pPr>
            <w:r w:rsidRPr="00085548">
              <w:rPr>
                <w:sz w:val="20"/>
                <w:szCs w:val="20"/>
              </w:rPr>
              <w:t>1.45</w:t>
            </w:r>
          </w:p>
        </w:tc>
        <w:tc>
          <w:tcPr>
            <w:tcW w:w="1134" w:type="dxa"/>
            <w:tcBorders>
              <w:top w:val="single" w:sz="4" w:space="0" w:color="auto"/>
              <w:left w:val="single" w:sz="4" w:space="0" w:color="auto"/>
              <w:bottom w:val="single" w:sz="4" w:space="0" w:color="auto"/>
              <w:right w:val="single" w:sz="12" w:space="0" w:color="auto"/>
            </w:tcBorders>
            <w:noWrap/>
            <w:vAlign w:val="bottom"/>
            <w:hideMark/>
          </w:tcPr>
          <w:p w14:paraId="01148A3F" w14:textId="77777777" w:rsidR="007B18FC" w:rsidRPr="00085548" w:rsidRDefault="007B18FC" w:rsidP="007B18FC">
            <w:pPr>
              <w:spacing w:after="0" w:line="276" w:lineRule="auto"/>
              <w:rPr>
                <w:sz w:val="20"/>
                <w:szCs w:val="20"/>
              </w:rPr>
            </w:pPr>
            <w:r w:rsidRPr="00085548">
              <w:rPr>
                <w:sz w:val="20"/>
                <w:szCs w:val="20"/>
              </w:rPr>
              <w:t>0.64</w:t>
            </w:r>
          </w:p>
        </w:tc>
      </w:tr>
      <w:tr w:rsidR="00085548" w:rsidRPr="00085548" w14:paraId="2A04F094" w14:textId="77777777" w:rsidTr="00085548">
        <w:trPr>
          <w:trHeight w:val="30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31F96C8F" w14:textId="77777777" w:rsidR="007B18FC" w:rsidRPr="00085548" w:rsidRDefault="007B18FC" w:rsidP="007B18FC">
            <w:pPr>
              <w:spacing w:after="0" w:line="276" w:lineRule="auto"/>
              <w:rPr>
                <w:b/>
                <w:bCs/>
                <w:sz w:val="20"/>
                <w:szCs w:val="20"/>
              </w:rPr>
            </w:pPr>
            <w:r w:rsidRPr="00085548">
              <w:rPr>
                <w:b/>
                <w:bCs/>
                <w:sz w:val="20"/>
                <w:szCs w:val="20"/>
              </w:rPr>
              <w:t>17. IL-12 p40/70</w:t>
            </w:r>
          </w:p>
        </w:tc>
        <w:tc>
          <w:tcPr>
            <w:tcW w:w="1103" w:type="dxa"/>
            <w:tcBorders>
              <w:top w:val="single" w:sz="4" w:space="0" w:color="auto"/>
              <w:left w:val="single" w:sz="4" w:space="0" w:color="auto"/>
              <w:bottom w:val="single" w:sz="4" w:space="0" w:color="auto"/>
              <w:right w:val="single" w:sz="4" w:space="0" w:color="auto"/>
            </w:tcBorders>
            <w:noWrap/>
            <w:vAlign w:val="bottom"/>
            <w:hideMark/>
          </w:tcPr>
          <w:p w14:paraId="48C66EFF" w14:textId="77777777" w:rsidR="007B18FC" w:rsidRPr="00085548" w:rsidRDefault="007B18FC" w:rsidP="007B18FC">
            <w:pPr>
              <w:spacing w:after="0" w:line="276" w:lineRule="auto"/>
              <w:rPr>
                <w:sz w:val="20"/>
                <w:szCs w:val="20"/>
              </w:rPr>
            </w:pPr>
            <w:r w:rsidRPr="00085548">
              <w:rPr>
                <w:sz w:val="20"/>
                <w:szCs w:val="20"/>
              </w:rPr>
              <w:t>0.90</w:t>
            </w:r>
          </w:p>
        </w:tc>
        <w:tc>
          <w:tcPr>
            <w:tcW w:w="1066" w:type="dxa"/>
            <w:tcBorders>
              <w:top w:val="single" w:sz="4" w:space="0" w:color="auto"/>
              <w:left w:val="single" w:sz="4" w:space="0" w:color="auto"/>
              <w:bottom w:val="single" w:sz="4" w:space="0" w:color="auto"/>
              <w:right w:val="single" w:sz="12" w:space="0" w:color="auto"/>
            </w:tcBorders>
            <w:noWrap/>
            <w:vAlign w:val="bottom"/>
            <w:hideMark/>
          </w:tcPr>
          <w:p w14:paraId="7F9D01F0" w14:textId="77777777" w:rsidR="007B18FC" w:rsidRPr="00085548" w:rsidRDefault="007B18FC" w:rsidP="007B18FC">
            <w:pPr>
              <w:spacing w:after="0" w:line="276" w:lineRule="auto"/>
              <w:rPr>
                <w:sz w:val="20"/>
                <w:szCs w:val="20"/>
              </w:rPr>
            </w:pPr>
            <w:r w:rsidRPr="00085548">
              <w:rPr>
                <w:sz w:val="20"/>
                <w:szCs w:val="20"/>
              </w:rPr>
              <w:t>1.32</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45605FDB" w14:textId="77777777" w:rsidR="007B18FC" w:rsidRPr="00085548" w:rsidRDefault="007B18FC" w:rsidP="007B18FC">
            <w:pPr>
              <w:spacing w:after="0" w:line="276" w:lineRule="auto"/>
              <w:rPr>
                <w:b/>
                <w:bCs/>
                <w:sz w:val="20"/>
                <w:szCs w:val="20"/>
              </w:rPr>
            </w:pPr>
            <w:r w:rsidRPr="00085548">
              <w:rPr>
                <w:b/>
                <w:bCs/>
                <w:sz w:val="20"/>
                <w:szCs w:val="20"/>
              </w:rPr>
              <w:t>37. TNFα</w:t>
            </w:r>
          </w:p>
        </w:tc>
        <w:tc>
          <w:tcPr>
            <w:tcW w:w="993" w:type="dxa"/>
            <w:tcBorders>
              <w:top w:val="single" w:sz="4" w:space="0" w:color="auto"/>
              <w:left w:val="nil"/>
              <w:bottom w:val="single" w:sz="4" w:space="0" w:color="auto"/>
              <w:right w:val="single" w:sz="4" w:space="0" w:color="auto"/>
            </w:tcBorders>
            <w:shd w:val="clear" w:color="auto" w:fill="C6EFCE"/>
            <w:noWrap/>
            <w:vAlign w:val="bottom"/>
            <w:hideMark/>
          </w:tcPr>
          <w:p w14:paraId="1D4A1E37" w14:textId="77777777" w:rsidR="007B18FC" w:rsidRPr="00085548" w:rsidRDefault="007B18FC" w:rsidP="007B18FC">
            <w:pPr>
              <w:spacing w:after="0" w:line="276" w:lineRule="auto"/>
              <w:rPr>
                <w:sz w:val="20"/>
                <w:szCs w:val="20"/>
              </w:rPr>
            </w:pPr>
            <w:r w:rsidRPr="00085548">
              <w:rPr>
                <w:sz w:val="20"/>
                <w:szCs w:val="20"/>
              </w:rPr>
              <w:t>2.55</w:t>
            </w:r>
          </w:p>
        </w:tc>
        <w:tc>
          <w:tcPr>
            <w:tcW w:w="1134" w:type="dxa"/>
            <w:tcBorders>
              <w:top w:val="single" w:sz="4" w:space="0" w:color="auto"/>
              <w:left w:val="nil"/>
              <w:bottom w:val="single" w:sz="4" w:space="0" w:color="auto"/>
              <w:right w:val="single" w:sz="12" w:space="0" w:color="auto"/>
            </w:tcBorders>
            <w:shd w:val="clear" w:color="auto" w:fill="C3E7C3"/>
            <w:noWrap/>
            <w:vAlign w:val="bottom"/>
            <w:hideMark/>
          </w:tcPr>
          <w:p w14:paraId="3F75ECA9" w14:textId="77777777" w:rsidR="007B18FC" w:rsidRPr="00085548" w:rsidRDefault="007B18FC" w:rsidP="007B18FC">
            <w:pPr>
              <w:spacing w:after="0" w:line="276" w:lineRule="auto"/>
              <w:rPr>
                <w:sz w:val="20"/>
                <w:szCs w:val="20"/>
              </w:rPr>
            </w:pPr>
            <w:r w:rsidRPr="00085548">
              <w:rPr>
                <w:sz w:val="20"/>
                <w:szCs w:val="20"/>
              </w:rPr>
              <w:t>9.27</w:t>
            </w:r>
          </w:p>
        </w:tc>
      </w:tr>
      <w:tr w:rsidR="00085548" w:rsidRPr="00085548" w14:paraId="465105CB"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1A8E27CC" w14:textId="77777777" w:rsidR="007B18FC" w:rsidRPr="00085548" w:rsidRDefault="007B18FC" w:rsidP="007B18FC">
            <w:pPr>
              <w:spacing w:after="0" w:line="276" w:lineRule="auto"/>
              <w:rPr>
                <w:b/>
                <w:bCs/>
                <w:sz w:val="20"/>
                <w:szCs w:val="20"/>
              </w:rPr>
            </w:pPr>
            <w:r w:rsidRPr="00085548">
              <w:rPr>
                <w:b/>
                <w:bCs/>
                <w:sz w:val="20"/>
                <w:szCs w:val="20"/>
              </w:rPr>
              <w:t>18. IL-12 p70</w:t>
            </w:r>
          </w:p>
        </w:tc>
        <w:tc>
          <w:tcPr>
            <w:tcW w:w="1103" w:type="dxa"/>
            <w:tcBorders>
              <w:top w:val="single" w:sz="4" w:space="0" w:color="auto"/>
              <w:left w:val="single" w:sz="4" w:space="0" w:color="auto"/>
              <w:bottom w:val="single" w:sz="4" w:space="0" w:color="auto"/>
              <w:right w:val="single" w:sz="4" w:space="0" w:color="auto"/>
            </w:tcBorders>
            <w:noWrap/>
            <w:vAlign w:val="bottom"/>
            <w:hideMark/>
          </w:tcPr>
          <w:p w14:paraId="5A998244" w14:textId="77777777" w:rsidR="007B18FC" w:rsidRPr="00085548" w:rsidRDefault="007B18FC" w:rsidP="007B18FC">
            <w:pPr>
              <w:spacing w:after="0" w:line="276" w:lineRule="auto"/>
              <w:rPr>
                <w:sz w:val="20"/>
                <w:szCs w:val="20"/>
              </w:rPr>
            </w:pPr>
            <w:r w:rsidRPr="00085548">
              <w:rPr>
                <w:sz w:val="20"/>
                <w:szCs w:val="20"/>
              </w:rPr>
              <w:t>1.45</w:t>
            </w:r>
          </w:p>
        </w:tc>
        <w:tc>
          <w:tcPr>
            <w:tcW w:w="1066" w:type="dxa"/>
            <w:tcBorders>
              <w:top w:val="single" w:sz="4" w:space="0" w:color="auto"/>
              <w:left w:val="single" w:sz="4" w:space="0" w:color="auto"/>
              <w:bottom w:val="single" w:sz="4" w:space="0" w:color="auto"/>
              <w:right w:val="single" w:sz="12" w:space="0" w:color="auto"/>
            </w:tcBorders>
            <w:noWrap/>
            <w:vAlign w:val="bottom"/>
            <w:hideMark/>
          </w:tcPr>
          <w:p w14:paraId="4E275DA5" w14:textId="77777777" w:rsidR="007B18FC" w:rsidRPr="00085548" w:rsidRDefault="007B18FC" w:rsidP="007B18FC">
            <w:pPr>
              <w:spacing w:after="0" w:line="276" w:lineRule="auto"/>
              <w:rPr>
                <w:sz w:val="20"/>
                <w:szCs w:val="20"/>
              </w:rPr>
            </w:pPr>
            <w:r w:rsidRPr="00085548">
              <w:rPr>
                <w:sz w:val="20"/>
                <w:szCs w:val="20"/>
              </w:rPr>
              <w:t>0.39</w:t>
            </w:r>
          </w:p>
        </w:tc>
        <w:tc>
          <w:tcPr>
            <w:tcW w:w="2336" w:type="dxa"/>
            <w:tcBorders>
              <w:top w:val="single" w:sz="4" w:space="0" w:color="auto"/>
              <w:left w:val="single" w:sz="12" w:space="0" w:color="auto"/>
              <w:bottom w:val="single" w:sz="4" w:space="0" w:color="auto"/>
              <w:right w:val="single" w:sz="8" w:space="0" w:color="auto"/>
            </w:tcBorders>
            <w:noWrap/>
            <w:vAlign w:val="bottom"/>
            <w:hideMark/>
          </w:tcPr>
          <w:p w14:paraId="57404ED8" w14:textId="77777777" w:rsidR="007B18FC" w:rsidRPr="00085548" w:rsidRDefault="007B18FC" w:rsidP="007B18FC">
            <w:pPr>
              <w:spacing w:after="0" w:line="276" w:lineRule="auto"/>
              <w:rPr>
                <w:b/>
                <w:bCs/>
                <w:sz w:val="20"/>
                <w:szCs w:val="20"/>
              </w:rPr>
            </w:pPr>
            <w:r w:rsidRPr="00085548">
              <w:rPr>
                <w:b/>
                <w:bCs/>
                <w:sz w:val="20"/>
                <w:szCs w:val="20"/>
              </w:rPr>
              <w:t>38. TNF RI</w:t>
            </w:r>
          </w:p>
        </w:tc>
        <w:tc>
          <w:tcPr>
            <w:tcW w:w="993" w:type="dxa"/>
            <w:tcBorders>
              <w:top w:val="single" w:sz="4" w:space="0" w:color="auto"/>
              <w:left w:val="nil"/>
              <w:bottom w:val="single" w:sz="4" w:space="0" w:color="auto"/>
              <w:right w:val="single" w:sz="4" w:space="0" w:color="auto"/>
            </w:tcBorders>
            <w:noWrap/>
            <w:vAlign w:val="bottom"/>
            <w:hideMark/>
          </w:tcPr>
          <w:p w14:paraId="591D8E62" w14:textId="77777777" w:rsidR="007B18FC" w:rsidRPr="00085548" w:rsidRDefault="007B18FC" w:rsidP="007B18FC">
            <w:pPr>
              <w:spacing w:after="0" w:line="276" w:lineRule="auto"/>
              <w:rPr>
                <w:sz w:val="20"/>
                <w:szCs w:val="20"/>
              </w:rPr>
            </w:pPr>
            <w:r w:rsidRPr="00085548">
              <w:rPr>
                <w:sz w:val="20"/>
                <w:szCs w:val="20"/>
              </w:rPr>
              <w:t>1.01</w:t>
            </w:r>
          </w:p>
        </w:tc>
        <w:tc>
          <w:tcPr>
            <w:tcW w:w="1134" w:type="dxa"/>
            <w:tcBorders>
              <w:top w:val="single" w:sz="4" w:space="0" w:color="auto"/>
              <w:left w:val="nil"/>
              <w:bottom w:val="single" w:sz="4" w:space="0" w:color="auto"/>
              <w:right w:val="single" w:sz="12" w:space="0" w:color="auto"/>
            </w:tcBorders>
            <w:noWrap/>
            <w:vAlign w:val="bottom"/>
            <w:hideMark/>
          </w:tcPr>
          <w:p w14:paraId="5DEC1E3D" w14:textId="77777777" w:rsidR="007B18FC" w:rsidRPr="00085548" w:rsidRDefault="007B18FC" w:rsidP="007B18FC">
            <w:pPr>
              <w:spacing w:after="0" w:line="276" w:lineRule="auto"/>
              <w:rPr>
                <w:sz w:val="20"/>
                <w:szCs w:val="20"/>
              </w:rPr>
            </w:pPr>
            <w:r w:rsidRPr="00085548">
              <w:rPr>
                <w:sz w:val="20"/>
                <w:szCs w:val="20"/>
              </w:rPr>
              <w:t>1.23</w:t>
            </w:r>
          </w:p>
        </w:tc>
      </w:tr>
      <w:tr w:rsidR="00085548" w:rsidRPr="00085548" w14:paraId="518C85BA" w14:textId="77777777" w:rsidTr="00085548">
        <w:trPr>
          <w:trHeight w:val="70"/>
          <w:jc w:val="center"/>
        </w:trPr>
        <w:tc>
          <w:tcPr>
            <w:tcW w:w="2284" w:type="dxa"/>
            <w:tcBorders>
              <w:top w:val="single" w:sz="4" w:space="0" w:color="auto"/>
              <w:left w:val="single" w:sz="12" w:space="0" w:color="auto"/>
              <w:bottom w:val="single" w:sz="4" w:space="0" w:color="auto"/>
              <w:right w:val="single" w:sz="4" w:space="0" w:color="auto"/>
            </w:tcBorders>
            <w:noWrap/>
            <w:vAlign w:val="bottom"/>
            <w:hideMark/>
          </w:tcPr>
          <w:p w14:paraId="2D580B59" w14:textId="77777777" w:rsidR="007B18FC" w:rsidRPr="00085548" w:rsidRDefault="007B18FC" w:rsidP="007B18FC">
            <w:pPr>
              <w:spacing w:after="0" w:line="276" w:lineRule="auto"/>
              <w:rPr>
                <w:b/>
                <w:bCs/>
                <w:sz w:val="20"/>
                <w:szCs w:val="20"/>
              </w:rPr>
            </w:pPr>
            <w:r w:rsidRPr="00085548">
              <w:rPr>
                <w:b/>
                <w:bCs/>
                <w:sz w:val="20"/>
                <w:szCs w:val="20"/>
              </w:rPr>
              <w:t>19. IL-13</w:t>
            </w:r>
          </w:p>
        </w:tc>
        <w:tc>
          <w:tcPr>
            <w:tcW w:w="1103" w:type="dxa"/>
            <w:tcBorders>
              <w:top w:val="single" w:sz="4" w:space="0" w:color="auto"/>
              <w:left w:val="single" w:sz="4" w:space="0" w:color="auto"/>
              <w:bottom w:val="single" w:sz="4" w:space="0" w:color="auto"/>
              <w:right w:val="single" w:sz="4" w:space="0" w:color="auto"/>
            </w:tcBorders>
            <w:noWrap/>
            <w:vAlign w:val="bottom"/>
            <w:hideMark/>
          </w:tcPr>
          <w:p w14:paraId="25B81D91" w14:textId="77777777" w:rsidR="007B18FC" w:rsidRPr="00085548" w:rsidRDefault="007B18FC" w:rsidP="007B18FC">
            <w:pPr>
              <w:spacing w:after="0" w:line="276" w:lineRule="auto"/>
              <w:rPr>
                <w:sz w:val="20"/>
                <w:szCs w:val="20"/>
              </w:rPr>
            </w:pPr>
            <w:r w:rsidRPr="00085548">
              <w:rPr>
                <w:sz w:val="20"/>
                <w:szCs w:val="20"/>
              </w:rPr>
              <w:t>1.28</w:t>
            </w:r>
          </w:p>
        </w:tc>
        <w:tc>
          <w:tcPr>
            <w:tcW w:w="1066" w:type="dxa"/>
            <w:tcBorders>
              <w:top w:val="single" w:sz="4" w:space="0" w:color="auto"/>
              <w:left w:val="single" w:sz="4" w:space="0" w:color="auto"/>
              <w:bottom w:val="single" w:sz="4" w:space="0" w:color="auto"/>
              <w:right w:val="single" w:sz="12" w:space="0" w:color="auto"/>
            </w:tcBorders>
            <w:noWrap/>
            <w:vAlign w:val="bottom"/>
            <w:hideMark/>
          </w:tcPr>
          <w:p w14:paraId="2352FB0D" w14:textId="77777777" w:rsidR="007B18FC" w:rsidRPr="00085548" w:rsidRDefault="007B18FC" w:rsidP="007B18FC">
            <w:pPr>
              <w:spacing w:after="0" w:line="276" w:lineRule="auto"/>
              <w:rPr>
                <w:sz w:val="20"/>
                <w:szCs w:val="20"/>
              </w:rPr>
            </w:pPr>
            <w:r w:rsidRPr="00085548">
              <w:rPr>
                <w:sz w:val="20"/>
                <w:szCs w:val="20"/>
              </w:rPr>
              <w:t>0.93</w:t>
            </w:r>
          </w:p>
        </w:tc>
        <w:tc>
          <w:tcPr>
            <w:tcW w:w="2336" w:type="dxa"/>
            <w:tcBorders>
              <w:top w:val="single" w:sz="4" w:space="0" w:color="auto"/>
              <w:left w:val="single" w:sz="12" w:space="0" w:color="auto"/>
              <w:bottom w:val="single" w:sz="12" w:space="0" w:color="auto"/>
              <w:right w:val="single" w:sz="8" w:space="0" w:color="auto"/>
            </w:tcBorders>
            <w:noWrap/>
            <w:vAlign w:val="bottom"/>
            <w:hideMark/>
          </w:tcPr>
          <w:p w14:paraId="4175DE1D" w14:textId="77777777" w:rsidR="007B18FC" w:rsidRPr="00085548" w:rsidRDefault="007B18FC" w:rsidP="007B18FC">
            <w:pPr>
              <w:spacing w:after="0" w:line="276" w:lineRule="auto"/>
              <w:rPr>
                <w:b/>
                <w:bCs/>
                <w:sz w:val="20"/>
                <w:szCs w:val="20"/>
              </w:rPr>
            </w:pPr>
            <w:r w:rsidRPr="00085548">
              <w:rPr>
                <w:b/>
                <w:bCs/>
                <w:sz w:val="20"/>
                <w:szCs w:val="20"/>
              </w:rPr>
              <w:t>39. TNF RII</w:t>
            </w:r>
          </w:p>
        </w:tc>
        <w:tc>
          <w:tcPr>
            <w:tcW w:w="993" w:type="dxa"/>
            <w:tcBorders>
              <w:top w:val="single" w:sz="4" w:space="0" w:color="auto"/>
              <w:left w:val="nil"/>
              <w:bottom w:val="single" w:sz="12" w:space="0" w:color="auto"/>
              <w:right w:val="single" w:sz="4" w:space="0" w:color="auto"/>
            </w:tcBorders>
            <w:shd w:val="clear" w:color="auto" w:fill="C6EFCE"/>
            <w:noWrap/>
            <w:vAlign w:val="bottom"/>
            <w:hideMark/>
          </w:tcPr>
          <w:p w14:paraId="61D6E7CF" w14:textId="77777777" w:rsidR="007B18FC" w:rsidRPr="00085548" w:rsidRDefault="007B18FC" w:rsidP="007B18FC">
            <w:pPr>
              <w:spacing w:after="0" w:line="276" w:lineRule="auto"/>
              <w:rPr>
                <w:sz w:val="20"/>
                <w:szCs w:val="20"/>
              </w:rPr>
            </w:pPr>
            <w:r w:rsidRPr="00085548">
              <w:rPr>
                <w:sz w:val="20"/>
                <w:szCs w:val="20"/>
              </w:rPr>
              <w:t>2.23</w:t>
            </w:r>
          </w:p>
        </w:tc>
        <w:tc>
          <w:tcPr>
            <w:tcW w:w="1134" w:type="dxa"/>
            <w:tcBorders>
              <w:top w:val="single" w:sz="4" w:space="0" w:color="auto"/>
              <w:left w:val="single" w:sz="4" w:space="0" w:color="auto"/>
              <w:bottom w:val="single" w:sz="12" w:space="0" w:color="auto"/>
              <w:right w:val="single" w:sz="12" w:space="0" w:color="auto"/>
            </w:tcBorders>
            <w:shd w:val="clear" w:color="auto" w:fill="FFC7CE"/>
            <w:noWrap/>
            <w:vAlign w:val="bottom"/>
            <w:hideMark/>
          </w:tcPr>
          <w:p w14:paraId="0C87D1E9" w14:textId="77777777" w:rsidR="007B18FC" w:rsidRPr="00085548" w:rsidRDefault="007B18FC" w:rsidP="007B18FC">
            <w:pPr>
              <w:spacing w:after="0" w:line="276" w:lineRule="auto"/>
              <w:rPr>
                <w:sz w:val="20"/>
                <w:szCs w:val="20"/>
              </w:rPr>
            </w:pPr>
            <w:r w:rsidRPr="00085548">
              <w:rPr>
                <w:sz w:val="20"/>
                <w:szCs w:val="20"/>
              </w:rPr>
              <w:t>1.05</w:t>
            </w:r>
          </w:p>
        </w:tc>
      </w:tr>
      <w:tr w:rsidR="00085548" w:rsidRPr="00085548" w14:paraId="11EE81EC" w14:textId="77777777" w:rsidTr="00085548">
        <w:trPr>
          <w:trHeight w:val="50"/>
          <w:jc w:val="center"/>
        </w:trPr>
        <w:tc>
          <w:tcPr>
            <w:tcW w:w="2284" w:type="dxa"/>
            <w:tcBorders>
              <w:top w:val="single" w:sz="4" w:space="0" w:color="auto"/>
              <w:left w:val="single" w:sz="12" w:space="0" w:color="auto"/>
              <w:bottom w:val="single" w:sz="12" w:space="0" w:color="auto"/>
              <w:right w:val="single" w:sz="4" w:space="0" w:color="auto"/>
            </w:tcBorders>
            <w:noWrap/>
            <w:vAlign w:val="bottom"/>
            <w:hideMark/>
          </w:tcPr>
          <w:p w14:paraId="16F2FF3F" w14:textId="77777777" w:rsidR="007B18FC" w:rsidRPr="00085548" w:rsidRDefault="007B18FC" w:rsidP="007B18FC">
            <w:pPr>
              <w:spacing w:after="0" w:line="276" w:lineRule="auto"/>
              <w:rPr>
                <w:b/>
                <w:bCs/>
                <w:sz w:val="20"/>
                <w:szCs w:val="20"/>
              </w:rPr>
            </w:pPr>
            <w:r w:rsidRPr="00085548">
              <w:rPr>
                <w:b/>
                <w:bCs/>
                <w:sz w:val="20"/>
                <w:szCs w:val="20"/>
              </w:rPr>
              <w:t>20. IL-17A</w:t>
            </w:r>
          </w:p>
        </w:tc>
        <w:tc>
          <w:tcPr>
            <w:tcW w:w="1103" w:type="dxa"/>
            <w:tcBorders>
              <w:top w:val="single" w:sz="4" w:space="0" w:color="auto"/>
              <w:left w:val="single" w:sz="4" w:space="0" w:color="auto"/>
              <w:bottom w:val="single" w:sz="12" w:space="0" w:color="auto"/>
              <w:right w:val="single" w:sz="4" w:space="0" w:color="auto"/>
            </w:tcBorders>
            <w:shd w:val="clear" w:color="auto" w:fill="BDEDC3"/>
            <w:noWrap/>
            <w:vAlign w:val="bottom"/>
            <w:hideMark/>
          </w:tcPr>
          <w:p w14:paraId="0336E317" w14:textId="77777777" w:rsidR="007B18FC" w:rsidRPr="00085548" w:rsidRDefault="007B18FC" w:rsidP="007B18FC">
            <w:pPr>
              <w:spacing w:after="0" w:line="276" w:lineRule="auto"/>
              <w:rPr>
                <w:sz w:val="20"/>
                <w:szCs w:val="20"/>
              </w:rPr>
            </w:pPr>
            <w:r w:rsidRPr="00085548">
              <w:rPr>
                <w:sz w:val="20"/>
                <w:szCs w:val="20"/>
              </w:rPr>
              <w:t>3.49</w:t>
            </w:r>
          </w:p>
        </w:tc>
        <w:tc>
          <w:tcPr>
            <w:tcW w:w="1066" w:type="dxa"/>
            <w:tcBorders>
              <w:top w:val="single" w:sz="4" w:space="0" w:color="auto"/>
              <w:left w:val="single" w:sz="4" w:space="0" w:color="auto"/>
              <w:bottom w:val="single" w:sz="12" w:space="0" w:color="auto"/>
              <w:right w:val="single" w:sz="12" w:space="0" w:color="auto"/>
            </w:tcBorders>
            <w:shd w:val="clear" w:color="auto" w:fill="FFCCCC"/>
            <w:noWrap/>
            <w:vAlign w:val="bottom"/>
            <w:hideMark/>
          </w:tcPr>
          <w:p w14:paraId="6BB29C9B" w14:textId="77777777" w:rsidR="007B18FC" w:rsidRPr="00085548" w:rsidRDefault="007B18FC" w:rsidP="007B18FC">
            <w:pPr>
              <w:spacing w:after="0" w:line="276" w:lineRule="auto"/>
              <w:rPr>
                <w:sz w:val="20"/>
                <w:szCs w:val="20"/>
              </w:rPr>
            </w:pPr>
            <w:r w:rsidRPr="00085548">
              <w:rPr>
                <w:sz w:val="20"/>
                <w:szCs w:val="20"/>
              </w:rPr>
              <w:t>0.81</w:t>
            </w:r>
          </w:p>
        </w:tc>
        <w:tc>
          <w:tcPr>
            <w:tcW w:w="2336" w:type="dxa"/>
            <w:tcBorders>
              <w:top w:val="single" w:sz="4" w:space="0" w:color="auto"/>
              <w:left w:val="single" w:sz="12" w:space="0" w:color="auto"/>
              <w:bottom w:val="single" w:sz="4" w:space="0" w:color="FFFFFF" w:themeColor="background1"/>
              <w:right w:val="single" w:sz="4" w:space="0" w:color="FFFFFF" w:themeColor="background1"/>
            </w:tcBorders>
            <w:noWrap/>
            <w:vAlign w:val="bottom"/>
          </w:tcPr>
          <w:p w14:paraId="3E2EC971" w14:textId="77777777" w:rsidR="007B18FC" w:rsidRPr="00085548" w:rsidRDefault="007B18FC" w:rsidP="007B18FC">
            <w:pPr>
              <w:spacing w:after="0" w:line="276" w:lineRule="auto"/>
              <w:rPr>
                <w:sz w:val="20"/>
                <w:szCs w:val="20"/>
              </w:rPr>
            </w:pPr>
          </w:p>
        </w:tc>
        <w:tc>
          <w:tcPr>
            <w:tcW w:w="9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bottom"/>
          </w:tcPr>
          <w:p w14:paraId="23F2CA72" w14:textId="77777777" w:rsidR="007B18FC" w:rsidRPr="00085548" w:rsidRDefault="007B18FC" w:rsidP="007B18FC">
            <w:pPr>
              <w:spacing w:after="0" w:line="276" w:lineRule="auto"/>
              <w:rPr>
                <w:sz w:val="20"/>
                <w:szCs w:val="20"/>
              </w:rPr>
            </w:pP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bottom"/>
          </w:tcPr>
          <w:p w14:paraId="344D3B73" w14:textId="77777777" w:rsidR="007B18FC" w:rsidRPr="00085548" w:rsidRDefault="007B18FC" w:rsidP="007B18FC">
            <w:pPr>
              <w:spacing w:after="0" w:line="276" w:lineRule="auto"/>
              <w:rPr>
                <w:sz w:val="20"/>
                <w:szCs w:val="20"/>
              </w:rPr>
            </w:pPr>
          </w:p>
        </w:tc>
      </w:tr>
    </w:tbl>
    <w:p w14:paraId="41431B16" w14:textId="77777777" w:rsidR="003F460B" w:rsidRPr="00085548" w:rsidRDefault="003F460B" w:rsidP="003F460B">
      <w:pPr>
        <w:rPr>
          <w:sz w:val="20"/>
          <w:szCs w:val="20"/>
        </w:rPr>
      </w:pPr>
    </w:p>
    <w:sectPr w:rsidR="003F460B" w:rsidRPr="00085548" w:rsidSect="00F02D70">
      <w:footerReference w:type="default" r:id="rId153"/>
      <w:footerReference w:type="first" r:id="rId154"/>
      <w:pgSz w:w="11906" w:h="16838"/>
      <w:pgMar w:top="1440" w:right="1440" w:bottom="1440" w:left="1440" w:header="708" w:footer="708" w:gutter="0"/>
      <w:pgNumType w:start="1"/>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45A">
      <wne:macro wne:macroName="NORMAL.NEWMACROS.MACRO1"/>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A6E831" w14:textId="77777777" w:rsidR="00BB038D" w:rsidRDefault="00BB038D" w:rsidP="007C2721">
      <w:r>
        <w:separator/>
      </w:r>
    </w:p>
  </w:endnote>
  <w:endnote w:type="continuationSeparator" w:id="0">
    <w:p w14:paraId="7506FAE5" w14:textId="77777777" w:rsidR="00BB038D" w:rsidRDefault="00BB038D" w:rsidP="007C27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6707206"/>
      <w:docPartObj>
        <w:docPartGallery w:val="Page Numbers (Bottom of Page)"/>
        <w:docPartUnique/>
      </w:docPartObj>
    </w:sdtPr>
    <w:sdtEndPr>
      <w:rPr>
        <w:noProof/>
      </w:rPr>
    </w:sdtEndPr>
    <w:sdtContent>
      <w:p w14:paraId="15EFC4D9" w14:textId="77777777" w:rsidR="00202F97" w:rsidRDefault="00202F97" w:rsidP="007C2721">
        <w:pPr>
          <w:pStyle w:val="Footer"/>
        </w:pPr>
        <w:r>
          <w:fldChar w:fldCharType="begin"/>
        </w:r>
        <w:r>
          <w:instrText xml:space="preserve"> PAGE   \* MERGEFORMAT </w:instrText>
        </w:r>
        <w:r>
          <w:fldChar w:fldCharType="separate"/>
        </w:r>
        <w:r>
          <w:rPr>
            <w:noProof/>
          </w:rPr>
          <w:t>2</w:t>
        </w:r>
        <w:r>
          <w:rPr>
            <w:noProof/>
          </w:rPr>
          <w:fldChar w:fldCharType="end"/>
        </w:r>
      </w:p>
    </w:sdtContent>
  </w:sdt>
  <w:p w14:paraId="2A5F7A19" w14:textId="77777777" w:rsidR="00202F97" w:rsidRDefault="00202F97" w:rsidP="007C27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0548281"/>
      <w:docPartObj>
        <w:docPartGallery w:val="Page Numbers (Bottom of Page)"/>
        <w:docPartUnique/>
      </w:docPartObj>
    </w:sdtPr>
    <w:sdtEndPr>
      <w:rPr>
        <w:noProof/>
      </w:rPr>
    </w:sdtEndPr>
    <w:sdtContent>
      <w:p w14:paraId="2A4405C9" w14:textId="77777777" w:rsidR="00202F97" w:rsidRDefault="00202F97">
        <w:pPr>
          <w:pStyle w:val="Footer"/>
        </w:pPr>
        <w:r>
          <w:fldChar w:fldCharType="begin"/>
        </w:r>
        <w:r>
          <w:instrText xml:space="preserve"> PAGE   \* MERGEFORMAT </w:instrText>
        </w:r>
        <w:r>
          <w:fldChar w:fldCharType="separate"/>
        </w:r>
        <w:r>
          <w:rPr>
            <w:noProof/>
          </w:rPr>
          <w:t>2</w:t>
        </w:r>
        <w:r>
          <w:rPr>
            <w:noProof/>
          </w:rPr>
          <w:fldChar w:fldCharType="end"/>
        </w:r>
      </w:p>
    </w:sdtContent>
  </w:sdt>
  <w:p w14:paraId="0E9EB675" w14:textId="77777777" w:rsidR="00202F97" w:rsidRDefault="00202F9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9102823"/>
      <w:docPartObj>
        <w:docPartGallery w:val="Page Numbers (Bottom of Page)"/>
        <w:docPartUnique/>
      </w:docPartObj>
    </w:sdtPr>
    <w:sdtEndPr>
      <w:rPr>
        <w:noProof/>
      </w:rPr>
    </w:sdtEndPr>
    <w:sdtContent>
      <w:p w14:paraId="7412B586" w14:textId="5B2E9FD9" w:rsidR="00202F97" w:rsidRDefault="00202F97" w:rsidP="007C2721">
        <w:pPr>
          <w:pStyle w:val="Footer"/>
        </w:pPr>
        <w:r>
          <w:fldChar w:fldCharType="begin"/>
        </w:r>
        <w:r>
          <w:instrText xml:space="preserve"> PAGE   \* MERGEFORMAT </w:instrText>
        </w:r>
        <w:r>
          <w:fldChar w:fldCharType="separate"/>
        </w:r>
        <w:r>
          <w:rPr>
            <w:noProof/>
          </w:rPr>
          <w:t>2</w:t>
        </w:r>
        <w:r>
          <w:rPr>
            <w:noProof/>
          </w:rPr>
          <w:fldChar w:fldCharType="end"/>
        </w:r>
      </w:p>
    </w:sdtContent>
  </w:sdt>
  <w:p w14:paraId="71776990" w14:textId="77777777" w:rsidR="00202F97" w:rsidRDefault="00202F97" w:rsidP="007C27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40423554"/>
      <w:docPartObj>
        <w:docPartGallery w:val="Page Numbers (Bottom of Page)"/>
        <w:docPartUnique/>
      </w:docPartObj>
    </w:sdtPr>
    <w:sdtEndPr>
      <w:rPr>
        <w:noProof/>
      </w:rPr>
    </w:sdtEndPr>
    <w:sdtContent>
      <w:p w14:paraId="50269480" w14:textId="10240D1F" w:rsidR="00202F97" w:rsidRDefault="00202F97">
        <w:pPr>
          <w:pStyle w:val="Footer"/>
        </w:pPr>
        <w:r>
          <w:fldChar w:fldCharType="begin"/>
        </w:r>
        <w:r>
          <w:instrText xml:space="preserve"> PAGE   \* MERGEFORMAT </w:instrText>
        </w:r>
        <w:r>
          <w:fldChar w:fldCharType="separate"/>
        </w:r>
        <w:r>
          <w:rPr>
            <w:noProof/>
          </w:rPr>
          <w:t>2</w:t>
        </w:r>
        <w:r>
          <w:rPr>
            <w:noProof/>
          </w:rPr>
          <w:fldChar w:fldCharType="end"/>
        </w:r>
      </w:p>
    </w:sdtContent>
  </w:sdt>
  <w:p w14:paraId="7F353E5F" w14:textId="77777777" w:rsidR="00202F97" w:rsidRDefault="00202F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3569A9" w14:textId="77777777" w:rsidR="00BB038D" w:rsidRDefault="00BB038D" w:rsidP="007C2721">
      <w:r>
        <w:separator/>
      </w:r>
    </w:p>
  </w:footnote>
  <w:footnote w:type="continuationSeparator" w:id="0">
    <w:p w14:paraId="612AB890" w14:textId="77777777" w:rsidR="00BB038D" w:rsidRDefault="00BB038D" w:rsidP="007C272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15561"/>
    <w:multiLevelType w:val="hybridMultilevel"/>
    <w:tmpl w:val="DD9C51A8"/>
    <w:lvl w:ilvl="0" w:tplc="F1FA8804">
      <w:start w:val="1"/>
      <w:numFmt w:val="upperRoman"/>
      <w:lvlText w:val="%1."/>
      <w:lvlJc w:val="left"/>
      <w:pPr>
        <w:ind w:left="1080" w:hanging="720"/>
      </w:pPr>
      <w:rPr>
        <w:rFonts w:asciiTheme="minorHAnsi" w:eastAsiaTheme="minorEastAsia" w:hAnsiTheme="minorHAnsi" w:cstheme="minorBid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ADD7832"/>
    <w:multiLevelType w:val="hybridMultilevel"/>
    <w:tmpl w:val="4AF88D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41370B"/>
    <w:multiLevelType w:val="hybridMultilevel"/>
    <w:tmpl w:val="D92AB6A2"/>
    <w:lvl w:ilvl="0" w:tplc="08090005">
      <w:start w:val="1"/>
      <w:numFmt w:val="bullet"/>
      <w:lvlText w:val=""/>
      <w:lvlJc w:val="left"/>
      <w:pPr>
        <w:ind w:left="720" w:hanging="360"/>
      </w:pPr>
      <w:rPr>
        <w:rFonts w:ascii="Wingdings" w:hAnsi="Wingdings" w:hint="default"/>
      </w:rPr>
    </w:lvl>
    <w:lvl w:ilvl="1" w:tplc="08090005">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147ABC"/>
    <w:multiLevelType w:val="hybridMultilevel"/>
    <w:tmpl w:val="A2566E4E"/>
    <w:lvl w:ilvl="0" w:tplc="08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1F1060D6"/>
    <w:multiLevelType w:val="hybridMultilevel"/>
    <w:tmpl w:val="80E68A3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E66321"/>
    <w:multiLevelType w:val="hybridMultilevel"/>
    <w:tmpl w:val="6608B7E6"/>
    <w:lvl w:ilvl="0" w:tplc="08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8AF75F1"/>
    <w:multiLevelType w:val="hybridMultilevel"/>
    <w:tmpl w:val="9CE2157A"/>
    <w:lvl w:ilvl="0" w:tplc="0C98738E">
      <w:start w:val="1"/>
      <w:numFmt w:val="lowerRoman"/>
      <w:lvlText w:val="%1."/>
      <w:lvlJc w:val="left"/>
      <w:pPr>
        <w:ind w:left="1440" w:hanging="10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A611298"/>
    <w:multiLevelType w:val="hybridMultilevel"/>
    <w:tmpl w:val="4358EBF2"/>
    <w:lvl w:ilvl="0" w:tplc="525CF2A8">
      <w:start w:val="1"/>
      <w:numFmt w:val="lowerRoman"/>
      <w:pStyle w:val="Heading4"/>
      <w:lvlText w:val="%1."/>
      <w:lvlJc w:val="left"/>
      <w:pPr>
        <w:ind w:left="1080" w:hanging="720"/>
      </w:pPr>
      <w:rPr>
        <w:rFonts w:hint="default"/>
        <w:sz w:val="4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A7E4D9E"/>
    <w:multiLevelType w:val="hybridMultilevel"/>
    <w:tmpl w:val="850CA2E8"/>
    <w:lvl w:ilvl="0" w:tplc="DE1EC970">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14550EC"/>
    <w:multiLevelType w:val="multilevel"/>
    <w:tmpl w:val="6E18FA1E"/>
    <w:lvl w:ilvl="0">
      <w:start w:val="2"/>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621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37E51566"/>
    <w:multiLevelType w:val="hybridMultilevel"/>
    <w:tmpl w:val="D8FA7CDC"/>
    <w:lvl w:ilvl="0" w:tplc="EF366A6A">
      <w:start w:val="4"/>
      <w:numFmt w:val="upperRoman"/>
      <w:lvlText w:val="%1."/>
      <w:lvlJc w:val="left"/>
      <w:pPr>
        <w:ind w:left="1440" w:hanging="10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A7E46B1"/>
    <w:multiLevelType w:val="multilevel"/>
    <w:tmpl w:val="6B9E0A20"/>
    <w:lvl w:ilvl="0">
      <w:start w:val="1"/>
      <w:numFmt w:val="decimal"/>
      <w:pStyle w:val="Heading1"/>
      <w:lvlText w:val="%1."/>
      <w:lvlJc w:val="left"/>
      <w:pPr>
        <w:ind w:left="1069" w:hanging="360"/>
      </w:pPr>
      <w:rPr>
        <w:rFonts w:hint="default"/>
      </w:rPr>
    </w:lvl>
    <w:lvl w:ilvl="1">
      <w:start w:val="1"/>
      <w:numFmt w:val="decimal"/>
      <w:pStyle w:val="Heading2"/>
      <w:lvlText w:val="%1.%2."/>
      <w:lvlJc w:val="left"/>
      <w:pPr>
        <w:ind w:left="432" w:hanging="432"/>
      </w:pPr>
      <w:rPr>
        <w:rFonts w:hint="default"/>
      </w:rPr>
    </w:lvl>
    <w:lvl w:ilvl="2">
      <w:start w:val="1"/>
      <w:numFmt w:val="decimal"/>
      <w:pStyle w:val="Heading3"/>
      <w:lvlText w:val="%1.%2.%3."/>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728" w:hanging="1728"/>
      </w:pPr>
      <w:rPr>
        <w:rFonts w:hint="default"/>
      </w:rPr>
    </w:lvl>
    <w:lvl w:ilvl="4">
      <w:start w:val="1"/>
      <w:numFmt w:val="decimal"/>
      <w:lvlText w:val="%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B5E343A"/>
    <w:multiLevelType w:val="hybridMultilevel"/>
    <w:tmpl w:val="652E2FF4"/>
    <w:lvl w:ilvl="0" w:tplc="F28C7290">
      <w:start w:val="1"/>
      <w:numFmt w:val="upperRoman"/>
      <w:lvlText w:val="%1."/>
      <w:lvlJc w:val="left"/>
      <w:pPr>
        <w:ind w:left="1440" w:hanging="10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55352E9"/>
    <w:multiLevelType w:val="hybridMultilevel"/>
    <w:tmpl w:val="C5C010F2"/>
    <w:lvl w:ilvl="0" w:tplc="04BCE6DA">
      <w:start w:val="1"/>
      <w:numFmt w:val="lowerRoman"/>
      <w:lvlText w:val="%1."/>
      <w:lvlJc w:val="left"/>
      <w:pPr>
        <w:ind w:left="1080" w:hanging="720"/>
      </w:pPr>
      <w:rPr>
        <w:rFonts w:hint="default"/>
        <w:sz w:val="4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55D3B0E"/>
    <w:multiLevelType w:val="hybridMultilevel"/>
    <w:tmpl w:val="0A92FDD2"/>
    <w:lvl w:ilvl="0" w:tplc="87007528">
      <w:start w:val="3"/>
      <w:numFmt w:val="upperRoman"/>
      <w:lvlText w:val="%1."/>
      <w:lvlJc w:val="left"/>
      <w:pPr>
        <w:ind w:left="1440" w:hanging="10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7BE750C"/>
    <w:multiLevelType w:val="hybridMultilevel"/>
    <w:tmpl w:val="16C83C04"/>
    <w:lvl w:ilvl="0" w:tplc="D2EC523C">
      <w:start w:val="2"/>
      <w:numFmt w:val="upperRoman"/>
      <w:lvlText w:val="%1."/>
      <w:lvlJc w:val="left"/>
      <w:pPr>
        <w:ind w:left="1440" w:hanging="10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78B336B"/>
    <w:multiLevelType w:val="multilevel"/>
    <w:tmpl w:val="DDBAE476"/>
    <w:lvl w:ilvl="0">
      <w:start w:val="1"/>
      <w:numFmt w:val="decimal"/>
      <w:lvlText w:val="%1.0."/>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3060" w:hanging="792"/>
      </w:pPr>
      <w:rPr>
        <w:rFonts w:hint="default"/>
      </w:rPr>
    </w:lvl>
    <w:lvl w:ilvl="2">
      <w:start w:val="1"/>
      <w:numFmt w:val="decimal"/>
      <w:lvlText w:val="%1.%2.%3."/>
      <w:lvlJc w:val="left"/>
      <w:pPr>
        <w:ind w:left="794" w:hanging="79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5BAF1C8F"/>
    <w:multiLevelType w:val="hybridMultilevel"/>
    <w:tmpl w:val="8A30CD3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40306DC"/>
    <w:multiLevelType w:val="hybridMultilevel"/>
    <w:tmpl w:val="0890E3CE"/>
    <w:lvl w:ilvl="0" w:tplc="EC2E48FA">
      <w:start w:val="1"/>
      <w:numFmt w:val="decimal"/>
      <w:lvlText w:val="%1."/>
      <w:lvlJc w:val="left"/>
      <w:pPr>
        <w:ind w:left="720" w:hanging="360"/>
      </w:pPr>
      <w:rPr>
        <w:rFonts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FCC454C"/>
    <w:multiLevelType w:val="multilevel"/>
    <w:tmpl w:val="F3524846"/>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0" w15:restartNumberingAfterBreak="0">
    <w:nsid w:val="71312EB9"/>
    <w:multiLevelType w:val="hybridMultilevel"/>
    <w:tmpl w:val="6BD8CE2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BE83D6A"/>
    <w:multiLevelType w:val="hybridMultilevel"/>
    <w:tmpl w:val="513CD272"/>
    <w:lvl w:ilvl="0" w:tplc="47CEF5A4">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C6871A5"/>
    <w:multiLevelType w:val="hybridMultilevel"/>
    <w:tmpl w:val="F2B0F462"/>
    <w:lvl w:ilvl="0" w:tplc="B53EA78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num>
  <w:num w:numId="3">
    <w:abstractNumId w:val="9"/>
  </w:num>
  <w:num w:numId="4">
    <w:abstractNumId w:val="19"/>
  </w:num>
  <w:num w:numId="5">
    <w:abstractNumId w:val="19"/>
    <w:lvlOverride w:ilvl="0">
      <w:lvl w:ilvl="0">
        <w:start w:val="1"/>
        <w:numFmt w:val="decimal"/>
        <w:lvlText w:val="%1.0"/>
        <w:lvlJc w:val="left"/>
        <w:pPr>
          <w:ind w:left="357" w:hanging="357"/>
        </w:pPr>
        <w:rPr>
          <w:rFonts w:hint="default"/>
        </w:rPr>
      </w:lvl>
    </w:lvlOverride>
    <w:lvlOverride w:ilvl="1">
      <w:lvl w:ilvl="1">
        <w:start w:val="1"/>
        <w:numFmt w:val="decimal"/>
        <w:lvlText w:val="%1.%2"/>
        <w:lvlJc w:val="left"/>
        <w:pPr>
          <w:ind w:left="357" w:hanging="357"/>
        </w:pPr>
        <w:rPr>
          <w:rFonts w:hint="default"/>
        </w:rPr>
      </w:lvl>
    </w:lvlOverride>
    <w:lvlOverride w:ilvl="2">
      <w:lvl w:ilvl="2">
        <w:start w:val="1"/>
        <w:numFmt w:val="decimal"/>
        <w:lvlText w:val="%1.%2.%3"/>
        <w:lvlJc w:val="left"/>
        <w:pPr>
          <w:ind w:left="357" w:hanging="357"/>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 w:numId="6">
    <w:abstractNumId w:val="16"/>
  </w:num>
  <w:num w:numId="7">
    <w:abstractNumId w:val="21"/>
  </w:num>
  <w:num w:numId="8">
    <w:abstractNumId w:val="6"/>
  </w:num>
  <w:num w:numId="9">
    <w:abstractNumId w:val="7"/>
  </w:num>
  <w:num w:numId="10">
    <w:abstractNumId w:val="3"/>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num>
  <w:num w:numId="15">
    <w:abstractNumId w:val="4"/>
  </w:num>
  <w:num w:numId="16">
    <w:abstractNumId w:val="7"/>
    <w:lvlOverride w:ilvl="0">
      <w:startOverride w:val="1"/>
    </w:lvlOverride>
  </w:num>
  <w:num w:numId="17">
    <w:abstractNumId w:val="20"/>
  </w:num>
  <w:num w:numId="18">
    <w:abstractNumId w:val="1"/>
  </w:num>
  <w:num w:numId="19">
    <w:abstractNumId w:val="5"/>
  </w:num>
  <w:num w:numId="20">
    <w:abstractNumId w:val="2"/>
  </w:num>
  <w:num w:numId="21">
    <w:abstractNumId w:val="22"/>
  </w:num>
  <w:num w:numId="22">
    <w:abstractNumId w:val="0"/>
  </w:num>
  <w:num w:numId="23">
    <w:abstractNumId w:val="10"/>
  </w:num>
  <w:num w:numId="24">
    <w:abstractNumId w:val="14"/>
  </w:num>
  <w:num w:numId="25">
    <w:abstractNumId w:val="15"/>
  </w:num>
  <w:num w:numId="26">
    <w:abstractNumId w:val="12"/>
  </w:num>
  <w:num w:numId="27">
    <w:abstractNumId w:val="8"/>
  </w:num>
  <w:num w:numId="2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4F9A"/>
    <w:rsid w:val="000000F5"/>
    <w:rsid w:val="00000117"/>
    <w:rsid w:val="00002BFC"/>
    <w:rsid w:val="00003BE2"/>
    <w:rsid w:val="000040A3"/>
    <w:rsid w:val="00005854"/>
    <w:rsid w:val="00007C49"/>
    <w:rsid w:val="000106DE"/>
    <w:rsid w:val="00010E4B"/>
    <w:rsid w:val="00011A28"/>
    <w:rsid w:val="00013CEE"/>
    <w:rsid w:val="00014F30"/>
    <w:rsid w:val="00016B34"/>
    <w:rsid w:val="00020CD7"/>
    <w:rsid w:val="0002103D"/>
    <w:rsid w:val="00023245"/>
    <w:rsid w:val="00023652"/>
    <w:rsid w:val="000265E6"/>
    <w:rsid w:val="000300B3"/>
    <w:rsid w:val="000305F9"/>
    <w:rsid w:val="00030A76"/>
    <w:rsid w:val="000311E9"/>
    <w:rsid w:val="0003145A"/>
    <w:rsid w:val="00031462"/>
    <w:rsid w:val="0003161B"/>
    <w:rsid w:val="0003216D"/>
    <w:rsid w:val="00032293"/>
    <w:rsid w:val="00032CCE"/>
    <w:rsid w:val="00032EF4"/>
    <w:rsid w:val="00033E19"/>
    <w:rsid w:val="000359D4"/>
    <w:rsid w:val="00036650"/>
    <w:rsid w:val="00037213"/>
    <w:rsid w:val="00040125"/>
    <w:rsid w:val="00040469"/>
    <w:rsid w:val="000417C2"/>
    <w:rsid w:val="00042D88"/>
    <w:rsid w:val="00043BF7"/>
    <w:rsid w:val="00045013"/>
    <w:rsid w:val="00045AA5"/>
    <w:rsid w:val="00050515"/>
    <w:rsid w:val="000506A2"/>
    <w:rsid w:val="00050FDD"/>
    <w:rsid w:val="000519A9"/>
    <w:rsid w:val="000538FC"/>
    <w:rsid w:val="00053EA3"/>
    <w:rsid w:val="0005435D"/>
    <w:rsid w:val="00054E86"/>
    <w:rsid w:val="000550A9"/>
    <w:rsid w:val="0005532C"/>
    <w:rsid w:val="000601B1"/>
    <w:rsid w:val="00061E2C"/>
    <w:rsid w:val="00062E44"/>
    <w:rsid w:val="00062E5B"/>
    <w:rsid w:val="00064784"/>
    <w:rsid w:val="00064F02"/>
    <w:rsid w:val="0006632B"/>
    <w:rsid w:val="0006649C"/>
    <w:rsid w:val="00067668"/>
    <w:rsid w:val="0007019A"/>
    <w:rsid w:val="000706DB"/>
    <w:rsid w:val="000719FA"/>
    <w:rsid w:val="00071ECA"/>
    <w:rsid w:val="000729C6"/>
    <w:rsid w:val="000740CC"/>
    <w:rsid w:val="000750A6"/>
    <w:rsid w:val="0007510F"/>
    <w:rsid w:val="0007542D"/>
    <w:rsid w:val="00076099"/>
    <w:rsid w:val="00077E05"/>
    <w:rsid w:val="000805C4"/>
    <w:rsid w:val="00080A0D"/>
    <w:rsid w:val="00081DB9"/>
    <w:rsid w:val="00082F28"/>
    <w:rsid w:val="00084F00"/>
    <w:rsid w:val="00085474"/>
    <w:rsid w:val="00085548"/>
    <w:rsid w:val="000857D7"/>
    <w:rsid w:val="00085C72"/>
    <w:rsid w:val="0009014D"/>
    <w:rsid w:val="00090522"/>
    <w:rsid w:val="00090C23"/>
    <w:rsid w:val="0009107C"/>
    <w:rsid w:val="0009156C"/>
    <w:rsid w:val="0009209F"/>
    <w:rsid w:val="00093008"/>
    <w:rsid w:val="00093DB8"/>
    <w:rsid w:val="0009439B"/>
    <w:rsid w:val="00094F5A"/>
    <w:rsid w:val="000952EB"/>
    <w:rsid w:val="00096BF7"/>
    <w:rsid w:val="00097C41"/>
    <w:rsid w:val="000A058F"/>
    <w:rsid w:val="000A07A5"/>
    <w:rsid w:val="000A180A"/>
    <w:rsid w:val="000A1BFB"/>
    <w:rsid w:val="000A2A17"/>
    <w:rsid w:val="000A33BE"/>
    <w:rsid w:val="000A3629"/>
    <w:rsid w:val="000A4336"/>
    <w:rsid w:val="000A4DCC"/>
    <w:rsid w:val="000A6FDA"/>
    <w:rsid w:val="000A769F"/>
    <w:rsid w:val="000B035B"/>
    <w:rsid w:val="000B0D82"/>
    <w:rsid w:val="000B16EB"/>
    <w:rsid w:val="000B1B9E"/>
    <w:rsid w:val="000B2F83"/>
    <w:rsid w:val="000B48CD"/>
    <w:rsid w:val="000B4D51"/>
    <w:rsid w:val="000B59AE"/>
    <w:rsid w:val="000C124A"/>
    <w:rsid w:val="000C1557"/>
    <w:rsid w:val="000C206F"/>
    <w:rsid w:val="000C3497"/>
    <w:rsid w:val="000C35C4"/>
    <w:rsid w:val="000C37C6"/>
    <w:rsid w:val="000C4759"/>
    <w:rsid w:val="000C4A70"/>
    <w:rsid w:val="000C5BF7"/>
    <w:rsid w:val="000C771A"/>
    <w:rsid w:val="000C7792"/>
    <w:rsid w:val="000D0CC6"/>
    <w:rsid w:val="000D1898"/>
    <w:rsid w:val="000D54AA"/>
    <w:rsid w:val="000D60C0"/>
    <w:rsid w:val="000D7926"/>
    <w:rsid w:val="000D7F4A"/>
    <w:rsid w:val="000E1F55"/>
    <w:rsid w:val="000E20BF"/>
    <w:rsid w:val="000E2D1C"/>
    <w:rsid w:val="000E4580"/>
    <w:rsid w:val="000E5FCB"/>
    <w:rsid w:val="000E63FE"/>
    <w:rsid w:val="000E66E6"/>
    <w:rsid w:val="000F0077"/>
    <w:rsid w:val="000F0C99"/>
    <w:rsid w:val="000F1930"/>
    <w:rsid w:val="000F1D74"/>
    <w:rsid w:val="000F2276"/>
    <w:rsid w:val="000F2E19"/>
    <w:rsid w:val="000F5FB6"/>
    <w:rsid w:val="000F6A76"/>
    <w:rsid w:val="000F7CE8"/>
    <w:rsid w:val="0010010D"/>
    <w:rsid w:val="00101D1F"/>
    <w:rsid w:val="0010347E"/>
    <w:rsid w:val="00104553"/>
    <w:rsid w:val="00104DBB"/>
    <w:rsid w:val="00106810"/>
    <w:rsid w:val="00107A1C"/>
    <w:rsid w:val="00110C75"/>
    <w:rsid w:val="00110C7E"/>
    <w:rsid w:val="00111B1E"/>
    <w:rsid w:val="001129DE"/>
    <w:rsid w:val="001130CE"/>
    <w:rsid w:val="00113703"/>
    <w:rsid w:val="00115484"/>
    <w:rsid w:val="001161AA"/>
    <w:rsid w:val="0011674E"/>
    <w:rsid w:val="00121280"/>
    <w:rsid w:val="00122268"/>
    <w:rsid w:val="00125086"/>
    <w:rsid w:val="001251A6"/>
    <w:rsid w:val="00125886"/>
    <w:rsid w:val="00125C04"/>
    <w:rsid w:val="00131464"/>
    <w:rsid w:val="00133A7B"/>
    <w:rsid w:val="00135581"/>
    <w:rsid w:val="00135908"/>
    <w:rsid w:val="00140E1D"/>
    <w:rsid w:val="0014218D"/>
    <w:rsid w:val="001434C0"/>
    <w:rsid w:val="001437AA"/>
    <w:rsid w:val="00143CA9"/>
    <w:rsid w:val="00144F7A"/>
    <w:rsid w:val="00146385"/>
    <w:rsid w:val="001470D3"/>
    <w:rsid w:val="001508FF"/>
    <w:rsid w:val="0015223E"/>
    <w:rsid w:val="00152F30"/>
    <w:rsid w:val="001542EC"/>
    <w:rsid w:val="0015468C"/>
    <w:rsid w:val="001547C1"/>
    <w:rsid w:val="00154FB5"/>
    <w:rsid w:val="00155144"/>
    <w:rsid w:val="00155682"/>
    <w:rsid w:val="00155C73"/>
    <w:rsid w:val="00156B81"/>
    <w:rsid w:val="00156DAB"/>
    <w:rsid w:val="00157410"/>
    <w:rsid w:val="001574CD"/>
    <w:rsid w:val="0015753F"/>
    <w:rsid w:val="0016097E"/>
    <w:rsid w:val="001615FD"/>
    <w:rsid w:val="0016281D"/>
    <w:rsid w:val="00163068"/>
    <w:rsid w:val="001649FC"/>
    <w:rsid w:val="00167AE0"/>
    <w:rsid w:val="00170F8E"/>
    <w:rsid w:val="00171F5F"/>
    <w:rsid w:val="00173995"/>
    <w:rsid w:val="00173FC7"/>
    <w:rsid w:val="00176899"/>
    <w:rsid w:val="00177FE5"/>
    <w:rsid w:val="0018164B"/>
    <w:rsid w:val="00181817"/>
    <w:rsid w:val="001826C2"/>
    <w:rsid w:val="00186DBD"/>
    <w:rsid w:val="0019012F"/>
    <w:rsid w:val="00191D53"/>
    <w:rsid w:val="001932B5"/>
    <w:rsid w:val="00193A22"/>
    <w:rsid w:val="00195254"/>
    <w:rsid w:val="00195557"/>
    <w:rsid w:val="00195950"/>
    <w:rsid w:val="00196928"/>
    <w:rsid w:val="001977ED"/>
    <w:rsid w:val="00197F7A"/>
    <w:rsid w:val="001A0AE0"/>
    <w:rsid w:val="001A0BFC"/>
    <w:rsid w:val="001A0D81"/>
    <w:rsid w:val="001A2988"/>
    <w:rsid w:val="001A63CC"/>
    <w:rsid w:val="001B0C3E"/>
    <w:rsid w:val="001B4665"/>
    <w:rsid w:val="001B4697"/>
    <w:rsid w:val="001B5893"/>
    <w:rsid w:val="001C0FFD"/>
    <w:rsid w:val="001C1964"/>
    <w:rsid w:val="001C21B8"/>
    <w:rsid w:val="001C4C16"/>
    <w:rsid w:val="001C559B"/>
    <w:rsid w:val="001C69F5"/>
    <w:rsid w:val="001D0AFC"/>
    <w:rsid w:val="001D1419"/>
    <w:rsid w:val="001D16F3"/>
    <w:rsid w:val="001D32C0"/>
    <w:rsid w:val="001D3370"/>
    <w:rsid w:val="001D418F"/>
    <w:rsid w:val="001D5FB3"/>
    <w:rsid w:val="001D5FC2"/>
    <w:rsid w:val="001E24DF"/>
    <w:rsid w:val="001E3216"/>
    <w:rsid w:val="001E374A"/>
    <w:rsid w:val="001E3D82"/>
    <w:rsid w:val="001E3F1A"/>
    <w:rsid w:val="001E6D00"/>
    <w:rsid w:val="001F0D64"/>
    <w:rsid w:val="001F17A7"/>
    <w:rsid w:val="001F24BF"/>
    <w:rsid w:val="001F252C"/>
    <w:rsid w:val="001F4675"/>
    <w:rsid w:val="001F472E"/>
    <w:rsid w:val="001F56D6"/>
    <w:rsid w:val="001F6364"/>
    <w:rsid w:val="001F6874"/>
    <w:rsid w:val="001F72F5"/>
    <w:rsid w:val="001F77A6"/>
    <w:rsid w:val="00200673"/>
    <w:rsid w:val="00201956"/>
    <w:rsid w:val="00202984"/>
    <w:rsid w:val="00202F97"/>
    <w:rsid w:val="00202FC2"/>
    <w:rsid w:val="00210146"/>
    <w:rsid w:val="002109C0"/>
    <w:rsid w:val="00210C2E"/>
    <w:rsid w:val="00211871"/>
    <w:rsid w:val="00212FAC"/>
    <w:rsid w:val="002150DB"/>
    <w:rsid w:val="00215CB1"/>
    <w:rsid w:val="00216E86"/>
    <w:rsid w:val="0021732E"/>
    <w:rsid w:val="00217C01"/>
    <w:rsid w:val="00217D9B"/>
    <w:rsid w:val="002204DF"/>
    <w:rsid w:val="00223FB5"/>
    <w:rsid w:val="00225536"/>
    <w:rsid w:val="00225963"/>
    <w:rsid w:val="002268DB"/>
    <w:rsid w:val="002272D4"/>
    <w:rsid w:val="00230186"/>
    <w:rsid w:val="002323B4"/>
    <w:rsid w:val="0023263E"/>
    <w:rsid w:val="00233D14"/>
    <w:rsid w:val="002345B5"/>
    <w:rsid w:val="002352E9"/>
    <w:rsid w:val="00237EE2"/>
    <w:rsid w:val="00237F1B"/>
    <w:rsid w:val="00237F8F"/>
    <w:rsid w:val="00241144"/>
    <w:rsid w:val="002413A9"/>
    <w:rsid w:val="0024390F"/>
    <w:rsid w:val="00244436"/>
    <w:rsid w:val="00245CA0"/>
    <w:rsid w:val="00246783"/>
    <w:rsid w:val="002476E8"/>
    <w:rsid w:val="00251384"/>
    <w:rsid w:val="00255451"/>
    <w:rsid w:val="002554DD"/>
    <w:rsid w:val="00255BC7"/>
    <w:rsid w:val="00255DD3"/>
    <w:rsid w:val="0025755C"/>
    <w:rsid w:val="002600BE"/>
    <w:rsid w:val="00260454"/>
    <w:rsid w:val="002604D6"/>
    <w:rsid w:val="00264125"/>
    <w:rsid w:val="002675C7"/>
    <w:rsid w:val="0026765E"/>
    <w:rsid w:val="0026799F"/>
    <w:rsid w:val="00267E91"/>
    <w:rsid w:val="00271CB2"/>
    <w:rsid w:val="00274B79"/>
    <w:rsid w:val="00275ACC"/>
    <w:rsid w:val="0027708C"/>
    <w:rsid w:val="00280A84"/>
    <w:rsid w:val="00280F74"/>
    <w:rsid w:val="00283225"/>
    <w:rsid w:val="002847CD"/>
    <w:rsid w:val="00287F41"/>
    <w:rsid w:val="0029023B"/>
    <w:rsid w:val="0029071C"/>
    <w:rsid w:val="00290942"/>
    <w:rsid w:val="00290A83"/>
    <w:rsid w:val="00290F07"/>
    <w:rsid w:val="0029378B"/>
    <w:rsid w:val="0029590C"/>
    <w:rsid w:val="00295A3F"/>
    <w:rsid w:val="00296951"/>
    <w:rsid w:val="002A0546"/>
    <w:rsid w:val="002A0D3B"/>
    <w:rsid w:val="002A158F"/>
    <w:rsid w:val="002A2E77"/>
    <w:rsid w:val="002A562C"/>
    <w:rsid w:val="002A586F"/>
    <w:rsid w:val="002A7017"/>
    <w:rsid w:val="002B0A0C"/>
    <w:rsid w:val="002B0EF6"/>
    <w:rsid w:val="002B235A"/>
    <w:rsid w:val="002B258E"/>
    <w:rsid w:val="002B2813"/>
    <w:rsid w:val="002B742D"/>
    <w:rsid w:val="002C356D"/>
    <w:rsid w:val="002C6705"/>
    <w:rsid w:val="002C6DF0"/>
    <w:rsid w:val="002C7EF0"/>
    <w:rsid w:val="002D0C55"/>
    <w:rsid w:val="002D1F71"/>
    <w:rsid w:val="002D24C2"/>
    <w:rsid w:val="002D2866"/>
    <w:rsid w:val="002D33AD"/>
    <w:rsid w:val="002D3955"/>
    <w:rsid w:val="002D4588"/>
    <w:rsid w:val="002D5523"/>
    <w:rsid w:val="002D659D"/>
    <w:rsid w:val="002D6854"/>
    <w:rsid w:val="002D6ACA"/>
    <w:rsid w:val="002D72F2"/>
    <w:rsid w:val="002E0699"/>
    <w:rsid w:val="002E12A3"/>
    <w:rsid w:val="002E2790"/>
    <w:rsid w:val="002E2A29"/>
    <w:rsid w:val="002E39DC"/>
    <w:rsid w:val="002E485F"/>
    <w:rsid w:val="002E561A"/>
    <w:rsid w:val="002E794A"/>
    <w:rsid w:val="002E7D40"/>
    <w:rsid w:val="002F00FF"/>
    <w:rsid w:val="002F1D2B"/>
    <w:rsid w:val="002F2414"/>
    <w:rsid w:val="002F2A13"/>
    <w:rsid w:val="002F2CC6"/>
    <w:rsid w:val="002F3C63"/>
    <w:rsid w:val="002F417B"/>
    <w:rsid w:val="002F4FF4"/>
    <w:rsid w:val="002F56DA"/>
    <w:rsid w:val="002F570D"/>
    <w:rsid w:val="002F594A"/>
    <w:rsid w:val="002F5EBE"/>
    <w:rsid w:val="002F6DC3"/>
    <w:rsid w:val="00300E20"/>
    <w:rsid w:val="00302826"/>
    <w:rsid w:val="003031B6"/>
    <w:rsid w:val="003043FD"/>
    <w:rsid w:val="003057A4"/>
    <w:rsid w:val="003067A9"/>
    <w:rsid w:val="003069AA"/>
    <w:rsid w:val="00306A70"/>
    <w:rsid w:val="003071CE"/>
    <w:rsid w:val="003118B6"/>
    <w:rsid w:val="00311A19"/>
    <w:rsid w:val="0031278B"/>
    <w:rsid w:val="00316747"/>
    <w:rsid w:val="00316BC3"/>
    <w:rsid w:val="0031702B"/>
    <w:rsid w:val="003217F0"/>
    <w:rsid w:val="0032274E"/>
    <w:rsid w:val="00323531"/>
    <w:rsid w:val="00324F0A"/>
    <w:rsid w:val="00325C49"/>
    <w:rsid w:val="003273B5"/>
    <w:rsid w:val="003273CB"/>
    <w:rsid w:val="00332157"/>
    <w:rsid w:val="003339C4"/>
    <w:rsid w:val="003348EC"/>
    <w:rsid w:val="003348FD"/>
    <w:rsid w:val="00334A6E"/>
    <w:rsid w:val="003351D9"/>
    <w:rsid w:val="003374F6"/>
    <w:rsid w:val="00340829"/>
    <w:rsid w:val="003412F2"/>
    <w:rsid w:val="003424A6"/>
    <w:rsid w:val="0034378B"/>
    <w:rsid w:val="003441A6"/>
    <w:rsid w:val="00345E7D"/>
    <w:rsid w:val="00346625"/>
    <w:rsid w:val="00347513"/>
    <w:rsid w:val="00350168"/>
    <w:rsid w:val="00350AFA"/>
    <w:rsid w:val="00350D27"/>
    <w:rsid w:val="00351839"/>
    <w:rsid w:val="00351CF4"/>
    <w:rsid w:val="00352AA4"/>
    <w:rsid w:val="00352CE9"/>
    <w:rsid w:val="0035500F"/>
    <w:rsid w:val="00355B6B"/>
    <w:rsid w:val="00356872"/>
    <w:rsid w:val="003576CD"/>
    <w:rsid w:val="003578E6"/>
    <w:rsid w:val="003606B8"/>
    <w:rsid w:val="00360FC2"/>
    <w:rsid w:val="00361C7C"/>
    <w:rsid w:val="00362033"/>
    <w:rsid w:val="00362B7D"/>
    <w:rsid w:val="00362D40"/>
    <w:rsid w:val="0036411B"/>
    <w:rsid w:val="00367E12"/>
    <w:rsid w:val="00371239"/>
    <w:rsid w:val="00372259"/>
    <w:rsid w:val="00372E8D"/>
    <w:rsid w:val="003732A5"/>
    <w:rsid w:val="003735FB"/>
    <w:rsid w:val="00376739"/>
    <w:rsid w:val="003819F3"/>
    <w:rsid w:val="003821B5"/>
    <w:rsid w:val="003835A4"/>
    <w:rsid w:val="003839E7"/>
    <w:rsid w:val="00384334"/>
    <w:rsid w:val="00384582"/>
    <w:rsid w:val="003845C6"/>
    <w:rsid w:val="003854E0"/>
    <w:rsid w:val="00386178"/>
    <w:rsid w:val="00386B1D"/>
    <w:rsid w:val="00387AEF"/>
    <w:rsid w:val="0039108B"/>
    <w:rsid w:val="00391FF9"/>
    <w:rsid w:val="00392618"/>
    <w:rsid w:val="00393405"/>
    <w:rsid w:val="0039352F"/>
    <w:rsid w:val="00395BF6"/>
    <w:rsid w:val="00395C63"/>
    <w:rsid w:val="00396732"/>
    <w:rsid w:val="00396A8C"/>
    <w:rsid w:val="00396C42"/>
    <w:rsid w:val="003A3346"/>
    <w:rsid w:val="003A407B"/>
    <w:rsid w:val="003A50CD"/>
    <w:rsid w:val="003A614C"/>
    <w:rsid w:val="003A6E75"/>
    <w:rsid w:val="003B0551"/>
    <w:rsid w:val="003B1BFA"/>
    <w:rsid w:val="003B4897"/>
    <w:rsid w:val="003B509B"/>
    <w:rsid w:val="003B5D26"/>
    <w:rsid w:val="003B6E9B"/>
    <w:rsid w:val="003B7120"/>
    <w:rsid w:val="003C0E2F"/>
    <w:rsid w:val="003C1EF9"/>
    <w:rsid w:val="003C26A3"/>
    <w:rsid w:val="003C28EF"/>
    <w:rsid w:val="003C326C"/>
    <w:rsid w:val="003C39C5"/>
    <w:rsid w:val="003C41CD"/>
    <w:rsid w:val="003C495F"/>
    <w:rsid w:val="003C657C"/>
    <w:rsid w:val="003C6600"/>
    <w:rsid w:val="003C7A78"/>
    <w:rsid w:val="003C7D8C"/>
    <w:rsid w:val="003D198D"/>
    <w:rsid w:val="003D1BD4"/>
    <w:rsid w:val="003D2078"/>
    <w:rsid w:val="003D2863"/>
    <w:rsid w:val="003D3564"/>
    <w:rsid w:val="003D4FCE"/>
    <w:rsid w:val="003D5A79"/>
    <w:rsid w:val="003D62F4"/>
    <w:rsid w:val="003E0183"/>
    <w:rsid w:val="003E024A"/>
    <w:rsid w:val="003E0CCE"/>
    <w:rsid w:val="003E40BB"/>
    <w:rsid w:val="003E504D"/>
    <w:rsid w:val="003E5DBA"/>
    <w:rsid w:val="003E63C8"/>
    <w:rsid w:val="003E69B5"/>
    <w:rsid w:val="003E78DE"/>
    <w:rsid w:val="003E7C83"/>
    <w:rsid w:val="003F22D5"/>
    <w:rsid w:val="003F24C8"/>
    <w:rsid w:val="003F26E1"/>
    <w:rsid w:val="003F2892"/>
    <w:rsid w:val="003F39AB"/>
    <w:rsid w:val="003F3DD7"/>
    <w:rsid w:val="003F3FFF"/>
    <w:rsid w:val="003F460B"/>
    <w:rsid w:val="003F53BF"/>
    <w:rsid w:val="003F5F94"/>
    <w:rsid w:val="003F6E8A"/>
    <w:rsid w:val="003F7A33"/>
    <w:rsid w:val="00400E6E"/>
    <w:rsid w:val="004020DB"/>
    <w:rsid w:val="0040242B"/>
    <w:rsid w:val="0040564B"/>
    <w:rsid w:val="004079CA"/>
    <w:rsid w:val="004206C1"/>
    <w:rsid w:val="0042212F"/>
    <w:rsid w:val="00422AB7"/>
    <w:rsid w:val="004238F2"/>
    <w:rsid w:val="00423D7C"/>
    <w:rsid w:val="00424399"/>
    <w:rsid w:val="004256AC"/>
    <w:rsid w:val="00425C0D"/>
    <w:rsid w:val="00426052"/>
    <w:rsid w:val="004262CF"/>
    <w:rsid w:val="0042667C"/>
    <w:rsid w:val="00426938"/>
    <w:rsid w:val="00427020"/>
    <w:rsid w:val="00427238"/>
    <w:rsid w:val="00430FF7"/>
    <w:rsid w:val="00436117"/>
    <w:rsid w:val="0043725C"/>
    <w:rsid w:val="004379FD"/>
    <w:rsid w:val="00440F33"/>
    <w:rsid w:val="00441C01"/>
    <w:rsid w:val="00442B23"/>
    <w:rsid w:val="004434E7"/>
    <w:rsid w:val="00445083"/>
    <w:rsid w:val="00446F6F"/>
    <w:rsid w:val="00447197"/>
    <w:rsid w:val="00447218"/>
    <w:rsid w:val="00447B0F"/>
    <w:rsid w:val="0045281F"/>
    <w:rsid w:val="0045380C"/>
    <w:rsid w:val="00455228"/>
    <w:rsid w:val="00456A10"/>
    <w:rsid w:val="00456FF8"/>
    <w:rsid w:val="00457A6A"/>
    <w:rsid w:val="00457BC0"/>
    <w:rsid w:val="00460528"/>
    <w:rsid w:val="00461DEA"/>
    <w:rsid w:val="00461FE1"/>
    <w:rsid w:val="004621FB"/>
    <w:rsid w:val="004634D8"/>
    <w:rsid w:val="00464758"/>
    <w:rsid w:val="00465A36"/>
    <w:rsid w:val="0047065B"/>
    <w:rsid w:val="00470B75"/>
    <w:rsid w:val="00470C8C"/>
    <w:rsid w:val="00470CA6"/>
    <w:rsid w:val="0047330D"/>
    <w:rsid w:val="00473949"/>
    <w:rsid w:val="00473D8D"/>
    <w:rsid w:val="00474AF8"/>
    <w:rsid w:val="004776F5"/>
    <w:rsid w:val="004802CF"/>
    <w:rsid w:val="00480A32"/>
    <w:rsid w:val="004833B3"/>
    <w:rsid w:val="004839EF"/>
    <w:rsid w:val="00484DD2"/>
    <w:rsid w:val="00485936"/>
    <w:rsid w:val="0048657C"/>
    <w:rsid w:val="00487A04"/>
    <w:rsid w:val="00487C73"/>
    <w:rsid w:val="00490691"/>
    <w:rsid w:val="0049146D"/>
    <w:rsid w:val="0049183E"/>
    <w:rsid w:val="00492391"/>
    <w:rsid w:val="00492EA1"/>
    <w:rsid w:val="00493631"/>
    <w:rsid w:val="00493959"/>
    <w:rsid w:val="004939E4"/>
    <w:rsid w:val="00493B50"/>
    <w:rsid w:val="00495455"/>
    <w:rsid w:val="0049586A"/>
    <w:rsid w:val="00497A44"/>
    <w:rsid w:val="00497AAD"/>
    <w:rsid w:val="004A002F"/>
    <w:rsid w:val="004A0DC2"/>
    <w:rsid w:val="004A236F"/>
    <w:rsid w:val="004A3C10"/>
    <w:rsid w:val="004A4F96"/>
    <w:rsid w:val="004A581E"/>
    <w:rsid w:val="004A603E"/>
    <w:rsid w:val="004A7405"/>
    <w:rsid w:val="004B236C"/>
    <w:rsid w:val="004B2856"/>
    <w:rsid w:val="004B4CB0"/>
    <w:rsid w:val="004B50E9"/>
    <w:rsid w:val="004B6D38"/>
    <w:rsid w:val="004C0012"/>
    <w:rsid w:val="004C029B"/>
    <w:rsid w:val="004C0A47"/>
    <w:rsid w:val="004C0A78"/>
    <w:rsid w:val="004C0DDD"/>
    <w:rsid w:val="004C135B"/>
    <w:rsid w:val="004C1CC1"/>
    <w:rsid w:val="004C2A6D"/>
    <w:rsid w:val="004C2C0F"/>
    <w:rsid w:val="004C2C79"/>
    <w:rsid w:val="004C3964"/>
    <w:rsid w:val="004C3C56"/>
    <w:rsid w:val="004C6494"/>
    <w:rsid w:val="004D0E61"/>
    <w:rsid w:val="004D0E95"/>
    <w:rsid w:val="004D1C70"/>
    <w:rsid w:val="004D2A88"/>
    <w:rsid w:val="004D2A9E"/>
    <w:rsid w:val="004D415E"/>
    <w:rsid w:val="004D59DD"/>
    <w:rsid w:val="004D795C"/>
    <w:rsid w:val="004E0010"/>
    <w:rsid w:val="004E1002"/>
    <w:rsid w:val="004E3766"/>
    <w:rsid w:val="004E725E"/>
    <w:rsid w:val="004F0974"/>
    <w:rsid w:val="004F419A"/>
    <w:rsid w:val="004F4385"/>
    <w:rsid w:val="004F5CB6"/>
    <w:rsid w:val="004F6741"/>
    <w:rsid w:val="005014BC"/>
    <w:rsid w:val="00502B64"/>
    <w:rsid w:val="005034B1"/>
    <w:rsid w:val="00504096"/>
    <w:rsid w:val="00504EBB"/>
    <w:rsid w:val="00505461"/>
    <w:rsid w:val="005111C7"/>
    <w:rsid w:val="00515923"/>
    <w:rsid w:val="00515B4A"/>
    <w:rsid w:val="00520B64"/>
    <w:rsid w:val="00520DA7"/>
    <w:rsid w:val="0052270E"/>
    <w:rsid w:val="00523680"/>
    <w:rsid w:val="00527774"/>
    <w:rsid w:val="00527B4B"/>
    <w:rsid w:val="00531C6B"/>
    <w:rsid w:val="00531CF6"/>
    <w:rsid w:val="005334E5"/>
    <w:rsid w:val="00537C7B"/>
    <w:rsid w:val="005408CC"/>
    <w:rsid w:val="00543F26"/>
    <w:rsid w:val="00545150"/>
    <w:rsid w:val="00545C87"/>
    <w:rsid w:val="00546A77"/>
    <w:rsid w:val="0055006E"/>
    <w:rsid w:val="005505AC"/>
    <w:rsid w:val="00550ADF"/>
    <w:rsid w:val="00550FBC"/>
    <w:rsid w:val="00551079"/>
    <w:rsid w:val="00551FC6"/>
    <w:rsid w:val="0055209A"/>
    <w:rsid w:val="00553A35"/>
    <w:rsid w:val="00554822"/>
    <w:rsid w:val="00554B72"/>
    <w:rsid w:val="005567AF"/>
    <w:rsid w:val="0056106A"/>
    <w:rsid w:val="00562939"/>
    <w:rsid w:val="0056322A"/>
    <w:rsid w:val="0056695B"/>
    <w:rsid w:val="0056751C"/>
    <w:rsid w:val="0057165B"/>
    <w:rsid w:val="00571E8B"/>
    <w:rsid w:val="00573283"/>
    <w:rsid w:val="00573853"/>
    <w:rsid w:val="0057498C"/>
    <w:rsid w:val="00574C78"/>
    <w:rsid w:val="00574D8D"/>
    <w:rsid w:val="005763F8"/>
    <w:rsid w:val="005775D3"/>
    <w:rsid w:val="00577912"/>
    <w:rsid w:val="00581D2C"/>
    <w:rsid w:val="00581FAF"/>
    <w:rsid w:val="0058236E"/>
    <w:rsid w:val="00584EF0"/>
    <w:rsid w:val="00586681"/>
    <w:rsid w:val="005877DF"/>
    <w:rsid w:val="005903CE"/>
    <w:rsid w:val="00590AA7"/>
    <w:rsid w:val="00592E79"/>
    <w:rsid w:val="0059336D"/>
    <w:rsid w:val="0059448B"/>
    <w:rsid w:val="00597606"/>
    <w:rsid w:val="00597C9D"/>
    <w:rsid w:val="005A0D0C"/>
    <w:rsid w:val="005A12DD"/>
    <w:rsid w:val="005A2A14"/>
    <w:rsid w:val="005A3331"/>
    <w:rsid w:val="005A3812"/>
    <w:rsid w:val="005A416B"/>
    <w:rsid w:val="005A5152"/>
    <w:rsid w:val="005A64AA"/>
    <w:rsid w:val="005A7A56"/>
    <w:rsid w:val="005B0A33"/>
    <w:rsid w:val="005B10E5"/>
    <w:rsid w:val="005B274E"/>
    <w:rsid w:val="005B38A8"/>
    <w:rsid w:val="005B39E8"/>
    <w:rsid w:val="005B7D9C"/>
    <w:rsid w:val="005C0198"/>
    <w:rsid w:val="005C09E5"/>
    <w:rsid w:val="005C0B54"/>
    <w:rsid w:val="005C1719"/>
    <w:rsid w:val="005C18DB"/>
    <w:rsid w:val="005C1A3A"/>
    <w:rsid w:val="005C26CD"/>
    <w:rsid w:val="005C2A64"/>
    <w:rsid w:val="005C2A95"/>
    <w:rsid w:val="005C31E5"/>
    <w:rsid w:val="005C3DEE"/>
    <w:rsid w:val="005C5095"/>
    <w:rsid w:val="005C52F4"/>
    <w:rsid w:val="005C746E"/>
    <w:rsid w:val="005D01FF"/>
    <w:rsid w:val="005D040A"/>
    <w:rsid w:val="005D0E3D"/>
    <w:rsid w:val="005D29C6"/>
    <w:rsid w:val="005D2EF5"/>
    <w:rsid w:val="005D316B"/>
    <w:rsid w:val="005D337F"/>
    <w:rsid w:val="005D37EC"/>
    <w:rsid w:val="005D3CBA"/>
    <w:rsid w:val="005D42D1"/>
    <w:rsid w:val="005D53EE"/>
    <w:rsid w:val="005E0A40"/>
    <w:rsid w:val="005E117E"/>
    <w:rsid w:val="005E2A7A"/>
    <w:rsid w:val="005E3B51"/>
    <w:rsid w:val="005E6FE2"/>
    <w:rsid w:val="005F1741"/>
    <w:rsid w:val="005F4705"/>
    <w:rsid w:val="005F537F"/>
    <w:rsid w:val="005F667D"/>
    <w:rsid w:val="00601569"/>
    <w:rsid w:val="0060191A"/>
    <w:rsid w:val="00602EE9"/>
    <w:rsid w:val="0060365D"/>
    <w:rsid w:val="0060437F"/>
    <w:rsid w:val="0060501D"/>
    <w:rsid w:val="00605286"/>
    <w:rsid w:val="0060791C"/>
    <w:rsid w:val="00610218"/>
    <w:rsid w:val="006102BA"/>
    <w:rsid w:val="0061058B"/>
    <w:rsid w:val="00612837"/>
    <w:rsid w:val="00612F94"/>
    <w:rsid w:val="00613D31"/>
    <w:rsid w:val="00614088"/>
    <w:rsid w:val="00614855"/>
    <w:rsid w:val="006166DF"/>
    <w:rsid w:val="00617A6D"/>
    <w:rsid w:val="00621C78"/>
    <w:rsid w:val="006221D1"/>
    <w:rsid w:val="00622851"/>
    <w:rsid w:val="00623128"/>
    <w:rsid w:val="00623833"/>
    <w:rsid w:val="006239F6"/>
    <w:rsid w:val="00623C8F"/>
    <w:rsid w:val="00623F30"/>
    <w:rsid w:val="006247F5"/>
    <w:rsid w:val="00624C65"/>
    <w:rsid w:val="00625346"/>
    <w:rsid w:val="006254A1"/>
    <w:rsid w:val="006265B2"/>
    <w:rsid w:val="0062694C"/>
    <w:rsid w:val="006302F0"/>
    <w:rsid w:val="006311D5"/>
    <w:rsid w:val="00632390"/>
    <w:rsid w:val="00632487"/>
    <w:rsid w:val="00632605"/>
    <w:rsid w:val="00633D83"/>
    <w:rsid w:val="00635A6E"/>
    <w:rsid w:val="00640806"/>
    <w:rsid w:val="00641B54"/>
    <w:rsid w:val="00642957"/>
    <w:rsid w:val="00643568"/>
    <w:rsid w:val="00643DC5"/>
    <w:rsid w:val="0064404D"/>
    <w:rsid w:val="00644A3A"/>
    <w:rsid w:val="00645395"/>
    <w:rsid w:val="006459AD"/>
    <w:rsid w:val="00646687"/>
    <w:rsid w:val="0064788D"/>
    <w:rsid w:val="00651847"/>
    <w:rsid w:val="00652CB9"/>
    <w:rsid w:val="006541D9"/>
    <w:rsid w:val="00654A0D"/>
    <w:rsid w:val="00657A6C"/>
    <w:rsid w:val="00657CA3"/>
    <w:rsid w:val="0066181E"/>
    <w:rsid w:val="00662A08"/>
    <w:rsid w:val="00662F09"/>
    <w:rsid w:val="0066422C"/>
    <w:rsid w:val="006643B9"/>
    <w:rsid w:val="00667A02"/>
    <w:rsid w:val="006707B6"/>
    <w:rsid w:val="00672491"/>
    <w:rsid w:val="006726EA"/>
    <w:rsid w:val="006729D0"/>
    <w:rsid w:val="00672E7A"/>
    <w:rsid w:val="00676B8F"/>
    <w:rsid w:val="00676EB1"/>
    <w:rsid w:val="0067757B"/>
    <w:rsid w:val="0067781B"/>
    <w:rsid w:val="00677987"/>
    <w:rsid w:val="00677F47"/>
    <w:rsid w:val="00681019"/>
    <w:rsid w:val="006827BF"/>
    <w:rsid w:val="00682821"/>
    <w:rsid w:val="00682C41"/>
    <w:rsid w:val="00685996"/>
    <w:rsid w:val="0068651C"/>
    <w:rsid w:val="00686B28"/>
    <w:rsid w:val="0068720F"/>
    <w:rsid w:val="0068734A"/>
    <w:rsid w:val="006875E0"/>
    <w:rsid w:val="006878A5"/>
    <w:rsid w:val="006878C1"/>
    <w:rsid w:val="00687E38"/>
    <w:rsid w:val="006903B3"/>
    <w:rsid w:val="006906AC"/>
    <w:rsid w:val="006917AC"/>
    <w:rsid w:val="00691A86"/>
    <w:rsid w:val="00691BBA"/>
    <w:rsid w:val="00691DC0"/>
    <w:rsid w:val="00693D29"/>
    <w:rsid w:val="006947D3"/>
    <w:rsid w:val="00695FB3"/>
    <w:rsid w:val="006972D1"/>
    <w:rsid w:val="006A1193"/>
    <w:rsid w:val="006A17A0"/>
    <w:rsid w:val="006A33E5"/>
    <w:rsid w:val="006A3D60"/>
    <w:rsid w:val="006A40A3"/>
    <w:rsid w:val="006A423D"/>
    <w:rsid w:val="006A53A0"/>
    <w:rsid w:val="006A7196"/>
    <w:rsid w:val="006B033D"/>
    <w:rsid w:val="006B0E70"/>
    <w:rsid w:val="006B0F8E"/>
    <w:rsid w:val="006B46E8"/>
    <w:rsid w:val="006B51AB"/>
    <w:rsid w:val="006B7A45"/>
    <w:rsid w:val="006C1C48"/>
    <w:rsid w:val="006C372A"/>
    <w:rsid w:val="006C39C2"/>
    <w:rsid w:val="006C3CC0"/>
    <w:rsid w:val="006C42BA"/>
    <w:rsid w:val="006C42F8"/>
    <w:rsid w:val="006C43F3"/>
    <w:rsid w:val="006C447C"/>
    <w:rsid w:val="006C4BF3"/>
    <w:rsid w:val="006C63E8"/>
    <w:rsid w:val="006C6932"/>
    <w:rsid w:val="006C694E"/>
    <w:rsid w:val="006C7007"/>
    <w:rsid w:val="006C78EC"/>
    <w:rsid w:val="006D483E"/>
    <w:rsid w:val="006D5FFC"/>
    <w:rsid w:val="006D70D7"/>
    <w:rsid w:val="006E0B58"/>
    <w:rsid w:val="006E298E"/>
    <w:rsid w:val="006F08B4"/>
    <w:rsid w:val="006F1597"/>
    <w:rsid w:val="006F4B68"/>
    <w:rsid w:val="006F5048"/>
    <w:rsid w:val="006F56A2"/>
    <w:rsid w:val="006F6927"/>
    <w:rsid w:val="006F6951"/>
    <w:rsid w:val="00701381"/>
    <w:rsid w:val="00703931"/>
    <w:rsid w:val="00703C85"/>
    <w:rsid w:val="00704433"/>
    <w:rsid w:val="007048B8"/>
    <w:rsid w:val="00704A5D"/>
    <w:rsid w:val="00704C83"/>
    <w:rsid w:val="00705698"/>
    <w:rsid w:val="007063B8"/>
    <w:rsid w:val="00706D6E"/>
    <w:rsid w:val="00707D97"/>
    <w:rsid w:val="00710CA2"/>
    <w:rsid w:val="00711D74"/>
    <w:rsid w:val="007120D4"/>
    <w:rsid w:val="00712769"/>
    <w:rsid w:val="0071294E"/>
    <w:rsid w:val="007131A8"/>
    <w:rsid w:val="007134F8"/>
    <w:rsid w:val="00715383"/>
    <w:rsid w:val="007153AC"/>
    <w:rsid w:val="00716DEC"/>
    <w:rsid w:val="00716FFD"/>
    <w:rsid w:val="00717BF8"/>
    <w:rsid w:val="007201DB"/>
    <w:rsid w:val="00720D1C"/>
    <w:rsid w:val="007214D0"/>
    <w:rsid w:val="00721DDA"/>
    <w:rsid w:val="007222EB"/>
    <w:rsid w:val="007239D8"/>
    <w:rsid w:val="00724885"/>
    <w:rsid w:val="00724D38"/>
    <w:rsid w:val="00725001"/>
    <w:rsid w:val="00725BA7"/>
    <w:rsid w:val="00725E74"/>
    <w:rsid w:val="007261C2"/>
    <w:rsid w:val="007273C6"/>
    <w:rsid w:val="007273E3"/>
    <w:rsid w:val="0072775F"/>
    <w:rsid w:val="00730929"/>
    <w:rsid w:val="007312BC"/>
    <w:rsid w:val="00733EB5"/>
    <w:rsid w:val="007348C4"/>
    <w:rsid w:val="00734ABD"/>
    <w:rsid w:val="00735C5A"/>
    <w:rsid w:val="00735E7E"/>
    <w:rsid w:val="007364D5"/>
    <w:rsid w:val="00736AF5"/>
    <w:rsid w:val="00737551"/>
    <w:rsid w:val="00737E69"/>
    <w:rsid w:val="007406E3"/>
    <w:rsid w:val="007410C7"/>
    <w:rsid w:val="00742F16"/>
    <w:rsid w:val="00744043"/>
    <w:rsid w:val="007445DB"/>
    <w:rsid w:val="00744871"/>
    <w:rsid w:val="00744F79"/>
    <w:rsid w:val="007455C9"/>
    <w:rsid w:val="0074771D"/>
    <w:rsid w:val="00750A7E"/>
    <w:rsid w:val="00751CAD"/>
    <w:rsid w:val="007524C0"/>
    <w:rsid w:val="00752536"/>
    <w:rsid w:val="00752773"/>
    <w:rsid w:val="00752EB1"/>
    <w:rsid w:val="007535B7"/>
    <w:rsid w:val="00753BB8"/>
    <w:rsid w:val="00753D47"/>
    <w:rsid w:val="00755150"/>
    <w:rsid w:val="007553B7"/>
    <w:rsid w:val="00756A97"/>
    <w:rsid w:val="00757688"/>
    <w:rsid w:val="00761817"/>
    <w:rsid w:val="00761F9D"/>
    <w:rsid w:val="00762026"/>
    <w:rsid w:val="007621C4"/>
    <w:rsid w:val="00763395"/>
    <w:rsid w:val="007639C3"/>
    <w:rsid w:val="00763D37"/>
    <w:rsid w:val="007642E9"/>
    <w:rsid w:val="007647D6"/>
    <w:rsid w:val="00765597"/>
    <w:rsid w:val="0076762C"/>
    <w:rsid w:val="0077032C"/>
    <w:rsid w:val="00770BA0"/>
    <w:rsid w:val="00772041"/>
    <w:rsid w:val="00773726"/>
    <w:rsid w:val="00773CFF"/>
    <w:rsid w:val="00774052"/>
    <w:rsid w:val="00774331"/>
    <w:rsid w:val="00776480"/>
    <w:rsid w:val="00776FB7"/>
    <w:rsid w:val="00777167"/>
    <w:rsid w:val="0078055F"/>
    <w:rsid w:val="00781074"/>
    <w:rsid w:val="0078177F"/>
    <w:rsid w:val="0078273E"/>
    <w:rsid w:val="007834E4"/>
    <w:rsid w:val="00784257"/>
    <w:rsid w:val="00784802"/>
    <w:rsid w:val="00786AE0"/>
    <w:rsid w:val="0079062C"/>
    <w:rsid w:val="0079208D"/>
    <w:rsid w:val="007933E0"/>
    <w:rsid w:val="007A03D7"/>
    <w:rsid w:val="007A0F7C"/>
    <w:rsid w:val="007A144A"/>
    <w:rsid w:val="007A1A88"/>
    <w:rsid w:val="007A26A9"/>
    <w:rsid w:val="007A5DB1"/>
    <w:rsid w:val="007A74C2"/>
    <w:rsid w:val="007A7EEE"/>
    <w:rsid w:val="007B075A"/>
    <w:rsid w:val="007B0E17"/>
    <w:rsid w:val="007B16CC"/>
    <w:rsid w:val="007B18FC"/>
    <w:rsid w:val="007B236B"/>
    <w:rsid w:val="007B42A0"/>
    <w:rsid w:val="007B468C"/>
    <w:rsid w:val="007B5863"/>
    <w:rsid w:val="007B685C"/>
    <w:rsid w:val="007B6CDC"/>
    <w:rsid w:val="007B769A"/>
    <w:rsid w:val="007B7EC4"/>
    <w:rsid w:val="007C059B"/>
    <w:rsid w:val="007C1FBD"/>
    <w:rsid w:val="007C2721"/>
    <w:rsid w:val="007C2892"/>
    <w:rsid w:val="007C61A6"/>
    <w:rsid w:val="007C6424"/>
    <w:rsid w:val="007C6C91"/>
    <w:rsid w:val="007C77C3"/>
    <w:rsid w:val="007C7F34"/>
    <w:rsid w:val="007D1FF0"/>
    <w:rsid w:val="007D2053"/>
    <w:rsid w:val="007D2635"/>
    <w:rsid w:val="007D2BBF"/>
    <w:rsid w:val="007D5D20"/>
    <w:rsid w:val="007D6DA6"/>
    <w:rsid w:val="007D794B"/>
    <w:rsid w:val="007E0B0D"/>
    <w:rsid w:val="007E2289"/>
    <w:rsid w:val="007E4A9F"/>
    <w:rsid w:val="007E6F2F"/>
    <w:rsid w:val="007E7488"/>
    <w:rsid w:val="007E76D2"/>
    <w:rsid w:val="007F0532"/>
    <w:rsid w:val="007F0DD1"/>
    <w:rsid w:val="007F141B"/>
    <w:rsid w:val="007F2C1C"/>
    <w:rsid w:val="007F35E1"/>
    <w:rsid w:val="007F42CB"/>
    <w:rsid w:val="007F6976"/>
    <w:rsid w:val="007F70AC"/>
    <w:rsid w:val="007F7D74"/>
    <w:rsid w:val="00800FFD"/>
    <w:rsid w:val="00801516"/>
    <w:rsid w:val="00801D46"/>
    <w:rsid w:val="00804D88"/>
    <w:rsid w:val="008061AF"/>
    <w:rsid w:val="008065D6"/>
    <w:rsid w:val="00810462"/>
    <w:rsid w:val="00811529"/>
    <w:rsid w:val="00812C59"/>
    <w:rsid w:val="00812F76"/>
    <w:rsid w:val="0081386F"/>
    <w:rsid w:val="008154CF"/>
    <w:rsid w:val="00816BC4"/>
    <w:rsid w:val="00816CED"/>
    <w:rsid w:val="00817406"/>
    <w:rsid w:val="00817628"/>
    <w:rsid w:val="0082265D"/>
    <w:rsid w:val="0082295F"/>
    <w:rsid w:val="008238B5"/>
    <w:rsid w:val="0082451B"/>
    <w:rsid w:val="00826502"/>
    <w:rsid w:val="00827717"/>
    <w:rsid w:val="00831442"/>
    <w:rsid w:val="008341EE"/>
    <w:rsid w:val="008347E7"/>
    <w:rsid w:val="008355F9"/>
    <w:rsid w:val="00836579"/>
    <w:rsid w:val="00836EEF"/>
    <w:rsid w:val="008376E0"/>
    <w:rsid w:val="008409D1"/>
    <w:rsid w:val="00840A74"/>
    <w:rsid w:val="00840AB8"/>
    <w:rsid w:val="0084225F"/>
    <w:rsid w:val="00844CFF"/>
    <w:rsid w:val="00847602"/>
    <w:rsid w:val="0085585E"/>
    <w:rsid w:val="00856375"/>
    <w:rsid w:val="00856D3F"/>
    <w:rsid w:val="00857E16"/>
    <w:rsid w:val="0086051B"/>
    <w:rsid w:val="00861074"/>
    <w:rsid w:val="008612D0"/>
    <w:rsid w:val="00861744"/>
    <w:rsid w:val="0086261D"/>
    <w:rsid w:val="00862686"/>
    <w:rsid w:val="00862981"/>
    <w:rsid w:val="0086528B"/>
    <w:rsid w:val="00865479"/>
    <w:rsid w:val="008664A6"/>
    <w:rsid w:val="00866A1D"/>
    <w:rsid w:val="00866CCA"/>
    <w:rsid w:val="008701A3"/>
    <w:rsid w:val="00870909"/>
    <w:rsid w:val="00870973"/>
    <w:rsid w:val="008715CA"/>
    <w:rsid w:val="008723E3"/>
    <w:rsid w:val="008739DD"/>
    <w:rsid w:val="00875067"/>
    <w:rsid w:val="00876806"/>
    <w:rsid w:val="00880EAD"/>
    <w:rsid w:val="00882288"/>
    <w:rsid w:val="00886895"/>
    <w:rsid w:val="00891109"/>
    <w:rsid w:val="0089341C"/>
    <w:rsid w:val="008936F1"/>
    <w:rsid w:val="00893F90"/>
    <w:rsid w:val="00894C18"/>
    <w:rsid w:val="00894CE6"/>
    <w:rsid w:val="008956E0"/>
    <w:rsid w:val="008A091D"/>
    <w:rsid w:val="008A2A35"/>
    <w:rsid w:val="008A3B68"/>
    <w:rsid w:val="008A44C7"/>
    <w:rsid w:val="008A47FC"/>
    <w:rsid w:val="008A5744"/>
    <w:rsid w:val="008A62E9"/>
    <w:rsid w:val="008A648A"/>
    <w:rsid w:val="008A689E"/>
    <w:rsid w:val="008A7BE5"/>
    <w:rsid w:val="008B019E"/>
    <w:rsid w:val="008B09B9"/>
    <w:rsid w:val="008B1B0B"/>
    <w:rsid w:val="008B1CE4"/>
    <w:rsid w:val="008B2BE1"/>
    <w:rsid w:val="008B440A"/>
    <w:rsid w:val="008B52A5"/>
    <w:rsid w:val="008B59D5"/>
    <w:rsid w:val="008B7D41"/>
    <w:rsid w:val="008C0207"/>
    <w:rsid w:val="008C0565"/>
    <w:rsid w:val="008C0890"/>
    <w:rsid w:val="008C4123"/>
    <w:rsid w:val="008C4243"/>
    <w:rsid w:val="008C5718"/>
    <w:rsid w:val="008C7A75"/>
    <w:rsid w:val="008C7AA1"/>
    <w:rsid w:val="008C7DF5"/>
    <w:rsid w:val="008D2F1B"/>
    <w:rsid w:val="008D3C94"/>
    <w:rsid w:val="008D7ECF"/>
    <w:rsid w:val="008E0959"/>
    <w:rsid w:val="008E09D0"/>
    <w:rsid w:val="008E1469"/>
    <w:rsid w:val="008E2747"/>
    <w:rsid w:val="008E2B7B"/>
    <w:rsid w:val="008E2DB8"/>
    <w:rsid w:val="008E32AA"/>
    <w:rsid w:val="008E33B9"/>
    <w:rsid w:val="008E3FA7"/>
    <w:rsid w:val="008E43D2"/>
    <w:rsid w:val="008E583B"/>
    <w:rsid w:val="008E75C6"/>
    <w:rsid w:val="008E7AC3"/>
    <w:rsid w:val="008F019F"/>
    <w:rsid w:val="008F054C"/>
    <w:rsid w:val="008F0EC4"/>
    <w:rsid w:val="008F1E42"/>
    <w:rsid w:val="008F3D73"/>
    <w:rsid w:val="008F4535"/>
    <w:rsid w:val="008F4954"/>
    <w:rsid w:val="008F4FD2"/>
    <w:rsid w:val="008F561F"/>
    <w:rsid w:val="008F6E26"/>
    <w:rsid w:val="008F6FB4"/>
    <w:rsid w:val="009004F1"/>
    <w:rsid w:val="009007F8"/>
    <w:rsid w:val="009026CE"/>
    <w:rsid w:val="0090649F"/>
    <w:rsid w:val="00907640"/>
    <w:rsid w:val="00907A1B"/>
    <w:rsid w:val="00907E6E"/>
    <w:rsid w:val="009106D0"/>
    <w:rsid w:val="00916554"/>
    <w:rsid w:val="0091702C"/>
    <w:rsid w:val="0091729C"/>
    <w:rsid w:val="00917FF7"/>
    <w:rsid w:val="0092103D"/>
    <w:rsid w:val="00922481"/>
    <w:rsid w:val="00924382"/>
    <w:rsid w:val="00924545"/>
    <w:rsid w:val="009254D5"/>
    <w:rsid w:val="00927172"/>
    <w:rsid w:val="00930208"/>
    <w:rsid w:val="0093072B"/>
    <w:rsid w:val="00930A71"/>
    <w:rsid w:val="009321F5"/>
    <w:rsid w:val="00932BC2"/>
    <w:rsid w:val="009332FF"/>
    <w:rsid w:val="00933817"/>
    <w:rsid w:val="009344FC"/>
    <w:rsid w:val="009345A8"/>
    <w:rsid w:val="009345DA"/>
    <w:rsid w:val="009373BF"/>
    <w:rsid w:val="009376FE"/>
    <w:rsid w:val="009407C8"/>
    <w:rsid w:val="00940B15"/>
    <w:rsid w:val="0094120C"/>
    <w:rsid w:val="00943686"/>
    <w:rsid w:val="009448A7"/>
    <w:rsid w:val="00945152"/>
    <w:rsid w:val="0095056C"/>
    <w:rsid w:val="009525EA"/>
    <w:rsid w:val="00952B1E"/>
    <w:rsid w:val="0095450B"/>
    <w:rsid w:val="009558E6"/>
    <w:rsid w:val="00960A91"/>
    <w:rsid w:val="0096354F"/>
    <w:rsid w:val="00965F30"/>
    <w:rsid w:val="00970D53"/>
    <w:rsid w:val="009736F9"/>
    <w:rsid w:val="009737CB"/>
    <w:rsid w:val="0097712E"/>
    <w:rsid w:val="00980587"/>
    <w:rsid w:val="0098164F"/>
    <w:rsid w:val="009829F7"/>
    <w:rsid w:val="00983529"/>
    <w:rsid w:val="009873F0"/>
    <w:rsid w:val="00987404"/>
    <w:rsid w:val="00987819"/>
    <w:rsid w:val="009908D4"/>
    <w:rsid w:val="00990C72"/>
    <w:rsid w:val="0099125E"/>
    <w:rsid w:val="0099296B"/>
    <w:rsid w:val="00993412"/>
    <w:rsid w:val="00993DAA"/>
    <w:rsid w:val="00996A8E"/>
    <w:rsid w:val="00996CE4"/>
    <w:rsid w:val="009976C0"/>
    <w:rsid w:val="00997D46"/>
    <w:rsid w:val="009A001B"/>
    <w:rsid w:val="009A132A"/>
    <w:rsid w:val="009A49E2"/>
    <w:rsid w:val="009A4EED"/>
    <w:rsid w:val="009A5EDC"/>
    <w:rsid w:val="009A66EF"/>
    <w:rsid w:val="009A6C6B"/>
    <w:rsid w:val="009A6F45"/>
    <w:rsid w:val="009A717A"/>
    <w:rsid w:val="009A75A7"/>
    <w:rsid w:val="009A794A"/>
    <w:rsid w:val="009B07D7"/>
    <w:rsid w:val="009B0A21"/>
    <w:rsid w:val="009B0AE8"/>
    <w:rsid w:val="009B3001"/>
    <w:rsid w:val="009B3EE2"/>
    <w:rsid w:val="009B4E17"/>
    <w:rsid w:val="009C1423"/>
    <w:rsid w:val="009C173F"/>
    <w:rsid w:val="009C1AA4"/>
    <w:rsid w:val="009C2BDD"/>
    <w:rsid w:val="009C3633"/>
    <w:rsid w:val="009C3F70"/>
    <w:rsid w:val="009C421A"/>
    <w:rsid w:val="009C4744"/>
    <w:rsid w:val="009C4AC2"/>
    <w:rsid w:val="009C58C8"/>
    <w:rsid w:val="009C683E"/>
    <w:rsid w:val="009C6DF1"/>
    <w:rsid w:val="009D16BB"/>
    <w:rsid w:val="009D1CE9"/>
    <w:rsid w:val="009D23B4"/>
    <w:rsid w:val="009D2412"/>
    <w:rsid w:val="009D342F"/>
    <w:rsid w:val="009D36E3"/>
    <w:rsid w:val="009D3941"/>
    <w:rsid w:val="009D4BB4"/>
    <w:rsid w:val="009D57AC"/>
    <w:rsid w:val="009D59A0"/>
    <w:rsid w:val="009D6270"/>
    <w:rsid w:val="009E0322"/>
    <w:rsid w:val="009E1439"/>
    <w:rsid w:val="009E21A3"/>
    <w:rsid w:val="009E22DE"/>
    <w:rsid w:val="009E2FB3"/>
    <w:rsid w:val="009E42FE"/>
    <w:rsid w:val="009E514F"/>
    <w:rsid w:val="009E741A"/>
    <w:rsid w:val="009F041C"/>
    <w:rsid w:val="009F0A33"/>
    <w:rsid w:val="009F131D"/>
    <w:rsid w:val="009F4287"/>
    <w:rsid w:val="009F4C6C"/>
    <w:rsid w:val="009F5208"/>
    <w:rsid w:val="009F5514"/>
    <w:rsid w:val="009F6735"/>
    <w:rsid w:val="009F6EA2"/>
    <w:rsid w:val="00A013BC"/>
    <w:rsid w:val="00A0415D"/>
    <w:rsid w:val="00A06A8A"/>
    <w:rsid w:val="00A073BD"/>
    <w:rsid w:val="00A07642"/>
    <w:rsid w:val="00A114F6"/>
    <w:rsid w:val="00A13C2D"/>
    <w:rsid w:val="00A13E7B"/>
    <w:rsid w:val="00A13F18"/>
    <w:rsid w:val="00A14243"/>
    <w:rsid w:val="00A14868"/>
    <w:rsid w:val="00A16FC1"/>
    <w:rsid w:val="00A1739E"/>
    <w:rsid w:val="00A20654"/>
    <w:rsid w:val="00A2094F"/>
    <w:rsid w:val="00A214B2"/>
    <w:rsid w:val="00A2218F"/>
    <w:rsid w:val="00A23B83"/>
    <w:rsid w:val="00A24385"/>
    <w:rsid w:val="00A2578C"/>
    <w:rsid w:val="00A26288"/>
    <w:rsid w:val="00A26C9B"/>
    <w:rsid w:val="00A26F70"/>
    <w:rsid w:val="00A30511"/>
    <w:rsid w:val="00A30A55"/>
    <w:rsid w:val="00A321F5"/>
    <w:rsid w:val="00A3260A"/>
    <w:rsid w:val="00A34235"/>
    <w:rsid w:val="00A3476B"/>
    <w:rsid w:val="00A35273"/>
    <w:rsid w:val="00A355CE"/>
    <w:rsid w:val="00A35892"/>
    <w:rsid w:val="00A35DA6"/>
    <w:rsid w:val="00A36276"/>
    <w:rsid w:val="00A36C43"/>
    <w:rsid w:val="00A374CF"/>
    <w:rsid w:val="00A427F5"/>
    <w:rsid w:val="00A42A9B"/>
    <w:rsid w:val="00A42B2C"/>
    <w:rsid w:val="00A43BC4"/>
    <w:rsid w:val="00A440D9"/>
    <w:rsid w:val="00A456C7"/>
    <w:rsid w:val="00A45AA7"/>
    <w:rsid w:val="00A471CA"/>
    <w:rsid w:val="00A47778"/>
    <w:rsid w:val="00A47CDF"/>
    <w:rsid w:val="00A50814"/>
    <w:rsid w:val="00A54065"/>
    <w:rsid w:val="00A5637C"/>
    <w:rsid w:val="00A57F91"/>
    <w:rsid w:val="00A60315"/>
    <w:rsid w:val="00A611C5"/>
    <w:rsid w:val="00A63B7E"/>
    <w:rsid w:val="00A65AA6"/>
    <w:rsid w:val="00A7178B"/>
    <w:rsid w:val="00A72002"/>
    <w:rsid w:val="00A74AEA"/>
    <w:rsid w:val="00A74D59"/>
    <w:rsid w:val="00A75C29"/>
    <w:rsid w:val="00A80715"/>
    <w:rsid w:val="00A81D9E"/>
    <w:rsid w:val="00A84333"/>
    <w:rsid w:val="00A86D01"/>
    <w:rsid w:val="00A86D6A"/>
    <w:rsid w:val="00A878F9"/>
    <w:rsid w:val="00A90174"/>
    <w:rsid w:val="00A904F9"/>
    <w:rsid w:val="00A9155C"/>
    <w:rsid w:val="00A9277D"/>
    <w:rsid w:val="00A92BD4"/>
    <w:rsid w:val="00A95603"/>
    <w:rsid w:val="00A95D27"/>
    <w:rsid w:val="00A96AEE"/>
    <w:rsid w:val="00AA267A"/>
    <w:rsid w:val="00AA3D7C"/>
    <w:rsid w:val="00AA4A86"/>
    <w:rsid w:val="00AA4ED2"/>
    <w:rsid w:val="00AB05D5"/>
    <w:rsid w:val="00AB0AB8"/>
    <w:rsid w:val="00AB2115"/>
    <w:rsid w:val="00AB2169"/>
    <w:rsid w:val="00AB664B"/>
    <w:rsid w:val="00AC034F"/>
    <w:rsid w:val="00AC0547"/>
    <w:rsid w:val="00AC05DB"/>
    <w:rsid w:val="00AC11E3"/>
    <w:rsid w:val="00AC2241"/>
    <w:rsid w:val="00AC277E"/>
    <w:rsid w:val="00AC33AE"/>
    <w:rsid w:val="00AC40E4"/>
    <w:rsid w:val="00AC4137"/>
    <w:rsid w:val="00AC5A04"/>
    <w:rsid w:val="00AC5AC8"/>
    <w:rsid w:val="00AC61CC"/>
    <w:rsid w:val="00AC64EE"/>
    <w:rsid w:val="00AD04D6"/>
    <w:rsid w:val="00AD07C7"/>
    <w:rsid w:val="00AD2D34"/>
    <w:rsid w:val="00AD32A4"/>
    <w:rsid w:val="00AD3F44"/>
    <w:rsid w:val="00AD4E0B"/>
    <w:rsid w:val="00AD51E8"/>
    <w:rsid w:val="00AD66EF"/>
    <w:rsid w:val="00AD6844"/>
    <w:rsid w:val="00AD7C02"/>
    <w:rsid w:val="00AE09CD"/>
    <w:rsid w:val="00AE110D"/>
    <w:rsid w:val="00AE535D"/>
    <w:rsid w:val="00AE542E"/>
    <w:rsid w:val="00AE56AE"/>
    <w:rsid w:val="00AE6CD9"/>
    <w:rsid w:val="00AF281B"/>
    <w:rsid w:val="00AF2EA2"/>
    <w:rsid w:val="00AF34E4"/>
    <w:rsid w:val="00AF38D4"/>
    <w:rsid w:val="00AF3B3C"/>
    <w:rsid w:val="00AF60E7"/>
    <w:rsid w:val="00AF774A"/>
    <w:rsid w:val="00B004A5"/>
    <w:rsid w:val="00B00B8F"/>
    <w:rsid w:val="00B018C6"/>
    <w:rsid w:val="00B03148"/>
    <w:rsid w:val="00B03466"/>
    <w:rsid w:val="00B03737"/>
    <w:rsid w:val="00B03861"/>
    <w:rsid w:val="00B03DD4"/>
    <w:rsid w:val="00B04D00"/>
    <w:rsid w:val="00B10288"/>
    <w:rsid w:val="00B11E3D"/>
    <w:rsid w:val="00B13C09"/>
    <w:rsid w:val="00B1465C"/>
    <w:rsid w:val="00B1617C"/>
    <w:rsid w:val="00B16759"/>
    <w:rsid w:val="00B17A14"/>
    <w:rsid w:val="00B17F5F"/>
    <w:rsid w:val="00B216E8"/>
    <w:rsid w:val="00B22E10"/>
    <w:rsid w:val="00B23E9B"/>
    <w:rsid w:val="00B248C3"/>
    <w:rsid w:val="00B24B9D"/>
    <w:rsid w:val="00B27903"/>
    <w:rsid w:val="00B30DCF"/>
    <w:rsid w:val="00B31B54"/>
    <w:rsid w:val="00B34325"/>
    <w:rsid w:val="00B358FF"/>
    <w:rsid w:val="00B365C2"/>
    <w:rsid w:val="00B36948"/>
    <w:rsid w:val="00B37EF5"/>
    <w:rsid w:val="00B41F43"/>
    <w:rsid w:val="00B42230"/>
    <w:rsid w:val="00B42B2B"/>
    <w:rsid w:val="00B44048"/>
    <w:rsid w:val="00B44DDE"/>
    <w:rsid w:val="00B450C2"/>
    <w:rsid w:val="00B4528C"/>
    <w:rsid w:val="00B46E39"/>
    <w:rsid w:val="00B5057C"/>
    <w:rsid w:val="00B50FDA"/>
    <w:rsid w:val="00B51363"/>
    <w:rsid w:val="00B51C2B"/>
    <w:rsid w:val="00B51D61"/>
    <w:rsid w:val="00B535CA"/>
    <w:rsid w:val="00B53D43"/>
    <w:rsid w:val="00B53F37"/>
    <w:rsid w:val="00B54012"/>
    <w:rsid w:val="00B550F7"/>
    <w:rsid w:val="00B55449"/>
    <w:rsid w:val="00B578E1"/>
    <w:rsid w:val="00B61065"/>
    <w:rsid w:val="00B61441"/>
    <w:rsid w:val="00B616E8"/>
    <w:rsid w:val="00B6278B"/>
    <w:rsid w:val="00B62C02"/>
    <w:rsid w:val="00B642B7"/>
    <w:rsid w:val="00B65618"/>
    <w:rsid w:val="00B66B50"/>
    <w:rsid w:val="00B672AB"/>
    <w:rsid w:val="00B67F96"/>
    <w:rsid w:val="00B70A26"/>
    <w:rsid w:val="00B719AF"/>
    <w:rsid w:val="00B7207F"/>
    <w:rsid w:val="00B72196"/>
    <w:rsid w:val="00B72B2D"/>
    <w:rsid w:val="00B72FCF"/>
    <w:rsid w:val="00B7409F"/>
    <w:rsid w:val="00B7421C"/>
    <w:rsid w:val="00B744F5"/>
    <w:rsid w:val="00B7665B"/>
    <w:rsid w:val="00B76A1D"/>
    <w:rsid w:val="00B81AEE"/>
    <w:rsid w:val="00B837FE"/>
    <w:rsid w:val="00B838BC"/>
    <w:rsid w:val="00B842A0"/>
    <w:rsid w:val="00B8455D"/>
    <w:rsid w:val="00B84F63"/>
    <w:rsid w:val="00B85BE8"/>
    <w:rsid w:val="00B85C2A"/>
    <w:rsid w:val="00B85EA3"/>
    <w:rsid w:val="00B86298"/>
    <w:rsid w:val="00B87581"/>
    <w:rsid w:val="00B9047A"/>
    <w:rsid w:val="00B90D38"/>
    <w:rsid w:val="00B915CA"/>
    <w:rsid w:val="00B92C03"/>
    <w:rsid w:val="00B93D4C"/>
    <w:rsid w:val="00B93FB0"/>
    <w:rsid w:val="00B94DDE"/>
    <w:rsid w:val="00B94E69"/>
    <w:rsid w:val="00B96680"/>
    <w:rsid w:val="00B96D61"/>
    <w:rsid w:val="00B974BF"/>
    <w:rsid w:val="00B976F2"/>
    <w:rsid w:val="00B97A2A"/>
    <w:rsid w:val="00B97A5D"/>
    <w:rsid w:val="00B97F1C"/>
    <w:rsid w:val="00B97F6E"/>
    <w:rsid w:val="00BA00C6"/>
    <w:rsid w:val="00BA03BD"/>
    <w:rsid w:val="00BA1517"/>
    <w:rsid w:val="00BA590E"/>
    <w:rsid w:val="00BA67EB"/>
    <w:rsid w:val="00BA7BEA"/>
    <w:rsid w:val="00BB038D"/>
    <w:rsid w:val="00BB12CA"/>
    <w:rsid w:val="00BB14A0"/>
    <w:rsid w:val="00BB2153"/>
    <w:rsid w:val="00BB2295"/>
    <w:rsid w:val="00BB2D8D"/>
    <w:rsid w:val="00BB2F8A"/>
    <w:rsid w:val="00BB424D"/>
    <w:rsid w:val="00BB441D"/>
    <w:rsid w:val="00BB4698"/>
    <w:rsid w:val="00BB70B4"/>
    <w:rsid w:val="00BC03B9"/>
    <w:rsid w:val="00BC0AAB"/>
    <w:rsid w:val="00BC4D22"/>
    <w:rsid w:val="00BC5091"/>
    <w:rsid w:val="00BC5521"/>
    <w:rsid w:val="00BC7955"/>
    <w:rsid w:val="00BD192F"/>
    <w:rsid w:val="00BD21C3"/>
    <w:rsid w:val="00BD2943"/>
    <w:rsid w:val="00BD3E38"/>
    <w:rsid w:val="00BD4914"/>
    <w:rsid w:val="00BD543B"/>
    <w:rsid w:val="00BD5F2D"/>
    <w:rsid w:val="00BD70E3"/>
    <w:rsid w:val="00BE1239"/>
    <w:rsid w:val="00BE1401"/>
    <w:rsid w:val="00BE2E54"/>
    <w:rsid w:val="00BE5236"/>
    <w:rsid w:val="00BE62E7"/>
    <w:rsid w:val="00BE7FFA"/>
    <w:rsid w:val="00BF0330"/>
    <w:rsid w:val="00BF19E3"/>
    <w:rsid w:val="00BF492D"/>
    <w:rsid w:val="00BF49C3"/>
    <w:rsid w:val="00BF4D58"/>
    <w:rsid w:val="00BF5029"/>
    <w:rsid w:val="00BF76CD"/>
    <w:rsid w:val="00C00E7B"/>
    <w:rsid w:val="00C00FF7"/>
    <w:rsid w:val="00C01214"/>
    <w:rsid w:val="00C01CEE"/>
    <w:rsid w:val="00C01E7A"/>
    <w:rsid w:val="00C02C10"/>
    <w:rsid w:val="00C03145"/>
    <w:rsid w:val="00C04433"/>
    <w:rsid w:val="00C0666E"/>
    <w:rsid w:val="00C06E2D"/>
    <w:rsid w:val="00C07DFC"/>
    <w:rsid w:val="00C1164D"/>
    <w:rsid w:val="00C14B59"/>
    <w:rsid w:val="00C14C7D"/>
    <w:rsid w:val="00C15A75"/>
    <w:rsid w:val="00C162D9"/>
    <w:rsid w:val="00C1782F"/>
    <w:rsid w:val="00C2064E"/>
    <w:rsid w:val="00C231FA"/>
    <w:rsid w:val="00C30973"/>
    <w:rsid w:val="00C31D78"/>
    <w:rsid w:val="00C320C3"/>
    <w:rsid w:val="00C33698"/>
    <w:rsid w:val="00C34E1A"/>
    <w:rsid w:val="00C36CDC"/>
    <w:rsid w:val="00C36CEC"/>
    <w:rsid w:val="00C3746E"/>
    <w:rsid w:val="00C41760"/>
    <w:rsid w:val="00C4283E"/>
    <w:rsid w:val="00C433C0"/>
    <w:rsid w:val="00C43B4C"/>
    <w:rsid w:val="00C469F6"/>
    <w:rsid w:val="00C46EFA"/>
    <w:rsid w:val="00C47D55"/>
    <w:rsid w:val="00C5011F"/>
    <w:rsid w:val="00C50C9D"/>
    <w:rsid w:val="00C52D17"/>
    <w:rsid w:val="00C53DB8"/>
    <w:rsid w:val="00C54A51"/>
    <w:rsid w:val="00C550B2"/>
    <w:rsid w:val="00C60F1F"/>
    <w:rsid w:val="00C62949"/>
    <w:rsid w:val="00C637D1"/>
    <w:rsid w:val="00C63B4C"/>
    <w:rsid w:val="00C64A8E"/>
    <w:rsid w:val="00C660DB"/>
    <w:rsid w:val="00C714E2"/>
    <w:rsid w:val="00C71C2A"/>
    <w:rsid w:val="00C730D5"/>
    <w:rsid w:val="00C73815"/>
    <w:rsid w:val="00C7585F"/>
    <w:rsid w:val="00C75BEA"/>
    <w:rsid w:val="00C76B5C"/>
    <w:rsid w:val="00C7727C"/>
    <w:rsid w:val="00C778A9"/>
    <w:rsid w:val="00C808CC"/>
    <w:rsid w:val="00C81626"/>
    <w:rsid w:val="00C82DDE"/>
    <w:rsid w:val="00C86D6F"/>
    <w:rsid w:val="00C91167"/>
    <w:rsid w:val="00C911D0"/>
    <w:rsid w:val="00C92EA2"/>
    <w:rsid w:val="00C9458B"/>
    <w:rsid w:val="00C94CEE"/>
    <w:rsid w:val="00C95D31"/>
    <w:rsid w:val="00C97898"/>
    <w:rsid w:val="00CA039E"/>
    <w:rsid w:val="00CA088F"/>
    <w:rsid w:val="00CA0EE1"/>
    <w:rsid w:val="00CA2BE7"/>
    <w:rsid w:val="00CA2DAB"/>
    <w:rsid w:val="00CA308A"/>
    <w:rsid w:val="00CA39A8"/>
    <w:rsid w:val="00CA4370"/>
    <w:rsid w:val="00CA5C5A"/>
    <w:rsid w:val="00CA6880"/>
    <w:rsid w:val="00CA7890"/>
    <w:rsid w:val="00CB08F0"/>
    <w:rsid w:val="00CB1B84"/>
    <w:rsid w:val="00CB2353"/>
    <w:rsid w:val="00CB2380"/>
    <w:rsid w:val="00CB61D7"/>
    <w:rsid w:val="00CB6487"/>
    <w:rsid w:val="00CB6F74"/>
    <w:rsid w:val="00CC07D0"/>
    <w:rsid w:val="00CC0F42"/>
    <w:rsid w:val="00CC14D6"/>
    <w:rsid w:val="00CC5747"/>
    <w:rsid w:val="00CC7C7D"/>
    <w:rsid w:val="00CD04F4"/>
    <w:rsid w:val="00CD06C1"/>
    <w:rsid w:val="00CD21E1"/>
    <w:rsid w:val="00CD2586"/>
    <w:rsid w:val="00CD26F2"/>
    <w:rsid w:val="00CD29EA"/>
    <w:rsid w:val="00CD33F9"/>
    <w:rsid w:val="00CD4AAA"/>
    <w:rsid w:val="00CD5331"/>
    <w:rsid w:val="00CD67BC"/>
    <w:rsid w:val="00CE0547"/>
    <w:rsid w:val="00CE0648"/>
    <w:rsid w:val="00CE340C"/>
    <w:rsid w:val="00CE3674"/>
    <w:rsid w:val="00CE3746"/>
    <w:rsid w:val="00CE3C89"/>
    <w:rsid w:val="00CE42EC"/>
    <w:rsid w:val="00CE4613"/>
    <w:rsid w:val="00CE4A20"/>
    <w:rsid w:val="00CE7CCD"/>
    <w:rsid w:val="00CF05E0"/>
    <w:rsid w:val="00CF0F2A"/>
    <w:rsid w:val="00CF1C46"/>
    <w:rsid w:val="00CF260E"/>
    <w:rsid w:val="00CF28B9"/>
    <w:rsid w:val="00CF30DF"/>
    <w:rsid w:val="00CF33DB"/>
    <w:rsid w:val="00CF4E80"/>
    <w:rsid w:val="00CF5896"/>
    <w:rsid w:val="00D00EC9"/>
    <w:rsid w:val="00D0162F"/>
    <w:rsid w:val="00D01749"/>
    <w:rsid w:val="00D01970"/>
    <w:rsid w:val="00D0322C"/>
    <w:rsid w:val="00D03EB9"/>
    <w:rsid w:val="00D040A9"/>
    <w:rsid w:val="00D05259"/>
    <w:rsid w:val="00D06D7F"/>
    <w:rsid w:val="00D10175"/>
    <w:rsid w:val="00D10976"/>
    <w:rsid w:val="00D140FD"/>
    <w:rsid w:val="00D15B13"/>
    <w:rsid w:val="00D161E1"/>
    <w:rsid w:val="00D16226"/>
    <w:rsid w:val="00D16B31"/>
    <w:rsid w:val="00D17834"/>
    <w:rsid w:val="00D22CC2"/>
    <w:rsid w:val="00D2315F"/>
    <w:rsid w:val="00D25CB0"/>
    <w:rsid w:val="00D26BBD"/>
    <w:rsid w:val="00D3010B"/>
    <w:rsid w:val="00D30306"/>
    <w:rsid w:val="00D3097F"/>
    <w:rsid w:val="00D3122B"/>
    <w:rsid w:val="00D353F4"/>
    <w:rsid w:val="00D4068D"/>
    <w:rsid w:val="00D425E8"/>
    <w:rsid w:val="00D43124"/>
    <w:rsid w:val="00D46C87"/>
    <w:rsid w:val="00D529F3"/>
    <w:rsid w:val="00D535B5"/>
    <w:rsid w:val="00D55B0E"/>
    <w:rsid w:val="00D56E36"/>
    <w:rsid w:val="00D57AB4"/>
    <w:rsid w:val="00D60E26"/>
    <w:rsid w:val="00D61518"/>
    <w:rsid w:val="00D6165B"/>
    <w:rsid w:val="00D61CDE"/>
    <w:rsid w:val="00D624C6"/>
    <w:rsid w:val="00D62913"/>
    <w:rsid w:val="00D63C2C"/>
    <w:rsid w:val="00D64600"/>
    <w:rsid w:val="00D65A5F"/>
    <w:rsid w:val="00D66CDE"/>
    <w:rsid w:val="00D701C0"/>
    <w:rsid w:val="00D70F51"/>
    <w:rsid w:val="00D71932"/>
    <w:rsid w:val="00D726A6"/>
    <w:rsid w:val="00D737E1"/>
    <w:rsid w:val="00D73DCA"/>
    <w:rsid w:val="00D73DCE"/>
    <w:rsid w:val="00D806A2"/>
    <w:rsid w:val="00D80A79"/>
    <w:rsid w:val="00D81051"/>
    <w:rsid w:val="00D81250"/>
    <w:rsid w:val="00D8239E"/>
    <w:rsid w:val="00D838E6"/>
    <w:rsid w:val="00D83AB0"/>
    <w:rsid w:val="00D84385"/>
    <w:rsid w:val="00D85495"/>
    <w:rsid w:val="00D85498"/>
    <w:rsid w:val="00D87DF9"/>
    <w:rsid w:val="00D90751"/>
    <w:rsid w:val="00D90F9A"/>
    <w:rsid w:val="00D93647"/>
    <w:rsid w:val="00D93BC2"/>
    <w:rsid w:val="00D953ED"/>
    <w:rsid w:val="00D965BD"/>
    <w:rsid w:val="00D96F95"/>
    <w:rsid w:val="00D97020"/>
    <w:rsid w:val="00DA0928"/>
    <w:rsid w:val="00DA11C5"/>
    <w:rsid w:val="00DA147A"/>
    <w:rsid w:val="00DA1A86"/>
    <w:rsid w:val="00DA38BB"/>
    <w:rsid w:val="00DA5BED"/>
    <w:rsid w:val="00DB00C0"/>
    <w:rsid w:val="00DB039A"/>
    <w:rsid w:val="00DB1222"/>
    <w:rsid w:val="00DB1800"/>
    <w:rsid w:val="00DB3B2E"/>
    <w:rsid w:val="00DB5677"/>
    <w:rsid w:val="00DB5A6A"/>
    <w:rsid w:val="00DB6562"/>
    <w:rsid w:val="00DB6F7F"/>
    <w:rsid w:val="00DB798B"/>
    <w:rsid w:val="00DC0403"/>
    <w:rsid w:val="00DC1A35"/>
    <w:rsid w:val="00DC4515"/>
    <w:rsid w:val="00DD07E1"/>
    <w:rsid w:val="00DD0EEC"/>
    <w:rsid w:val="00DD1FAF"/>
    <w:rsid w:val="00DD2040"/>
    <w:rsid w:val="00DD3A9F"/>
    <w:rsid w:val="00DD4C51"/>
    <w:rsid w:val="00DD50BD"/>
    <w:rsid w:val="00DD66C1"/>
    <w:rsid w:val="00DD6F39"/>
    <w:rsid w:val="00DE0681"/>
    <w:rsid w:val="00DE0F69"/>
    <w:rsid w:val="00DE5103"/>
    <w:rsid w:val="00DE7410"/>
    <w:rsid w:val="00DE741F"/>
    <w:rsid w:val="00DF02EA"/>
    <w:rsid w:val="00DF0D72"/>
    <w:rsid w:val="00DF1E95"/>
    <w:rsid w:val="00DF2085"/>
    <w:rsid w:val="00DF3108"/>
    <w:rsid w:val="00DF31F2"/>
    <w:rsid w:val="00DF5EE2"/>
    <w:rsid w:val="00DF6BF6"/>
    <w:rsid w:val="00DF752F"/>
    <w:rsid w:val="00E01920"/>
    <w:rsid w:val="00E02C25"/>
    <w:rsid w:val="00E02E7C"/>
    <w:rsid w:val="00E0486C"/>
    <w:rsid w:val="00E0534C"/>
    <w:rsid w:val="00E0655C"/>
    <w:rsid w:val="00E06BA6"/>
    <w:rsid w:val="00E07CE8"/>
    <w:rsid w:val="00E100C4"/>
    <w:rsid w:val="00E10D61"/>
    <w:rsid w:val="00E13791"/>
    <w:rsid w:val="00E16609"/>
    <w:rsid w:val="00E16D03"/>
    <w:rsid w:val="00E17A2C"/>
    <w:rsid w:val="00E202E4"/>
    <w:rsid w:val="00E22401"/>
    <w:rsid w:val="00E246B8"/>
    <w:rsid w:val="00E25A4E"/>
    <w:rsid w:val="00E2663E"/>
    <w:rsid w:val="00E27239"/>
    <w:rsid w:val="00E27F47"/>
    <w:rsid w:val="00E305CD"/>
    <w:rsid w:val="00E30E30"/>
    <w:rsid w:val="00E32044"/>
    <w:rsid w:val="00E3363B"/>
    <w:rsid w:val="00E34E58"/>
    <w:rsid w:val="00E34E76"/>
    <w:rsid w:val="00E35727"/>
    <w:rsid w:val="00E359F7"/>
    <w:rsid w:val="00E367DD"/>
    <w:rsid w:val="00E40D3B"/>
    <w:rsid w:val="00E41A82"/>
    <w:rsid w:val="00E424AE"/>
    <w:rsid w:val="00E43384"/>
    <w:rsid w:val="00E4348E"/>
    <w:rsid w:val="00E437DF"/>
    <w:rsid w:val="00E456FE"/>
    <w:rsid w:val="00E47220"/>
    <w:rsid w:val="00E474C1"/>
    <w:rsid w:val="00E474EA"/>
    <w:rsid w:val="00E50922"/>
    <w:rsid w:val="00E5096C"/>
    <w:rsid w:val="00E51EF1"/>
    <w:rsid w:val="00E53769"/>
    <w:rsid w:val="00E56AB6"/>
    <w:rsid w:val="00E56C64"/>
    <w:rsid w:val="00E57416"/>
    <w:rsid w:val="00E66F5C"/>
    <w:rsid w:val="00E719D6"/>
    <w:rsid w:val="00E7251A"/>
    <w:rsid w:val="00E72833"/>
    <w:rsid w:val="00E735B3"/>
    <w:rsid w:val="00E73F00"/>
    <w:rsid w:val="00E74E90"/>
    <w:rsid w:val="00E75198"/>
    <w:rsid w:val="00E752F3"/>
    <w:rsid w:val="00E75932"/>
    <w:rsid w:val="00E761DC"/>
    <w:rsid w:val="00E76CC8"/>
    <w:rsid w:val="00E77F29"/>
    <w:rsid w:val="00E81DA3"/>
    <w:rsid w:val="00E82396"/>
    <w:rsid w:val="00E82A8A"/>
    <w:rsid w:val="00E82F4B"/>
    <w:rsid w:val="00E83093"/>
    <w:rsid w:val="00E83F28"/>
    <w:rsid w:val="00E8465D"/>
    <w:rsid w:val="00E8528F"/>
    <w:rsid w:val="00E85555"/>
    <w:rsid w:val="00E85D27"/>
    <w:rsid w:val="00E867ED"/>
    <w:rsid w:val="00E86BB6"/>
    <w:rsid w:val="00E87BB3"/>
    <w:rsid w:val="00E90F98"/>
    <w:rsid w:val="00E90FB6"/>
    <w:rsid w:val="00E912A5"/>
    <w:rsid w:val="00E9306C"/>
    <w:rsid w:val="00E93F7C"/>
    <w:rsid w:val="00E9474F"/>
    <w:rsid w:val="00E94B96"/>
    <w:rsid w:val="00E959C5"/>
    <w:rsid w:val="00E965B5"/>
    <w:rsid w:val="00E967F1"/>
    <w:rsid w:val="00E97E92"/>
    <w:rsid w:val="00EA114C"/>
    <w:rsid w:val="00EA1600"/>
    <w:rsid w:val="00EA5047"/>
    <w:rsid w:val="00EA5396"/>
    <w:rsid w:val="00EA59F2"/>
    <w:rsid w:val="00EA6343"/>
    <w:rsid w:val="00EA6EF3"/>
    <w:rsid w:val="00EA7FEB"/>
    <w:rsid w:val="00EB2946"/>
    <w:rsid w:val="00EB2F96"/>
    <w:rsid w:val="00EB4871"/>
    <w:rsid w:val="00EB4DB4"/>
    <w:rsid w:val="00EB642B"/>
    <w:rsid w:val="00EB6F69"/>
    <w:rsid w:val="00EC47E0"/>
    <w:rsid w:val="00EC544A"/>
    <w:rsid w:val="00ED08EE"/>
    <w:rsid w:val="00ED39BC"/>
    <w:rsid w:val="00ED4BCC"/>
    <w:rsid w:val="00ED5FB9"/>
    <w:rsid w:val="00EE0FCF"/>
    <w:rsid w:val="00EE153C"/>
    <w:rsid w:val="00EE167C"/>
    <w:rsid w:val="00EE17F5"/>
    <w:rsid w:val="00EE1DDF"/>
    <w:rsid w:val="00EE3507"/>
    <w:rsid w:val="00EE4625"/>
    <w:rsid w:val="00EE674C"/>
    <w:rsid w:val="00EE6786"/>
    <w:rsid w:val="00EE69AA"/>
    <w:rsid w:val="00EF102F"/>
    <w:rsid w:val="00EF19B1"/>
    <w:rsid w:val="00EF1F9B"/>
    <w:rsid w:val="00EF212D"/>
    <w:rsid w:val="00EF3181"/>
    <w:rsid w:val="00EF400D"/>
    <w:rsid w:val="00EF4AA7"/>
    <w:rsid w:val="00EF58AC"/>
    <w:rsid w:val="00EF6854"/>
    <w:rsid w:val="00F016F7"/>
    <w:rsid w:val="00F01D38"/>
    <w:rsid w:val="00F02D70"/>
    <w:rsid w:val="00F039D7"/>
    <w:rsid w:val="00F044AC"/>
    <w:rsid w:val="00F05EC1"/>
    <w:rsid w:val="00F06A57"/>
    <w:rsid w:val="00F07847"/>
    <w:rsid w:val="00F10B6F"/>
    <w:rsid w:val="00F11259"/>
    <w:rsid w:val="00F131AB"/>
    <w:rsid w:val="00F14789"/>
    <w:rsid w:val="00F15440"/>
    <w:rsid w:val="00F15548"/>
    <w:rsid w:val="00F156D1"/>
    <w:rsid w:val="00F15793"/>
    <w:rsid w:val="00F1607D"/>
    <w:rsid w:val="00F16CF5"/>
    <w:rsid w:val="00F17BF5"/>
    <w:rsid w:val="00F17C21"/>
    <w:rsid w:val="00F17D82"/>
    <w:rsid w:val="00F20A3B"/>
    <w:rsid w:val="00F22F3B"/>
    <w:rsid w:val="00F23A40"/>
    <w:rsid w:val="00F257B9"/>
    <w:rsid w:val="00F258E4"/>
    <w:rsid w:val="00F25C9E"/>
    <w:rsid w:val="00F2682E"/>
    <w:rsid w:val="00F2740E"/>
    <w:rsid w:val="00F30849"/>
    <w:rsid w:val="00F30B68"/>
    <w:rsid w:val="00F32AF3"/>
    <w:rsid w:val="00F33CB1"/>
    <w:rsid w:val="00F348C5"/>
    <w:rsid w:val="00F366CC"/>
    <w:rsid w:val="00F37DA5"/>
    <w:rsid w:val="00F435B8"/>
    <w:rsid w:val="00F44A14"/>
    <w:rsid w:val="00F458F7"/>
    <w:rsid w:val="00F45BAF"/>
    <w:rsid w:val="00F46F6A"/>
    <w:rsid w:val="00F50018"/>
    <w:rsid w:val="00F50A9C"/>
    <w:rsid w:val="00F51B1C"/>
    <w:rsid w:val="00F52DB6"/>
    <w:rsid w:val="00F534CA"/>
    <w:rsid w:val="00F535A1"/>
    <w:rsid w:val="00F5510D"/>
    <w:rsid w:val="00F5580E"/>
    <w:rsid w:val="00F57C2E"/>
    <w:rsid w:val="00F602FC"/>
    <w:rsid w:val="00F62245"/>
    <w:rsid w:val="00F64F9A"/>
    <w:rsid w:val="00F6536E"/>
    <w:rsid w:val="00F65A5C"/>
    <w:rsid w:val="00F65B50"/>
    <w:rsid w:val="00F708F4"/>
    <w:rsid w:val="00F71820"/>
    <w:rsid w:val="00F74AD3"/>
    <w:rsid w:val="00F757DA"/>
    <w:rsid w:val="00F76221"/>
    <w:rsid w:val="00F779A0"/>
    <w:rsid w:val="00F80B88"/>
    <w:rsid w:val="00F80E29"/>
    <w:rsid w:val="00F80EA4"/>
    <w:rsid w:val="00F830E3"/>
    <w:rsid w:val="00F854B8"/>
    <w:rsid w:val="00F85747"/>
    <w:rsid w:val="00F85B81"/>
    <w:rsid w:val="00F86C88"/>
    <w:rsid w:val="00F90995"/>
    <w:rsid w:val="00F912AE"/>
    <w:rsid w:val="00F91B69"/>
    <w:rsid w:val="00F91F7E"/>
    <w:rsid w:val="00F921C5"/>
    <w:rsid w:val="00F9328D"/>
    <w:rsid w:val="00F93574"/>
    <w:rsid w:val="00F93AFB"/>
    <w:rsid w:val="00F94628"/>
    <w:rsid w:val="00F95715"/>
    <w:rsid w:val="00F96D24"/>
    <w:rsid w:val="00F97A06"/>
    <w:rsid w:val="00FA24E8"/>
    <w:rsid w:val="00FA35C5"/>
    <w:rsid w:val="00FA40B1"/>
    <w:rsid w:val="00FA4932"/>
    <w:rsid w:val="00FA5579"/>
    <w:rsid w:val="00FA6288"/>
    <w:rsid w:val="00FA62BF"/>
    <w:rsid w:val="00FA6982"/>
    <w:rsid w:val="00FA6E71"/>
    <w:rsid w:val="00FA70E4"/>
    <w:rsid w:val="00FA7831"/>
    <w:rsid w:val="00FB0674"/>
    <w:rsid w:val="00FB0D64"/>
    <w:rsid w:val="00FB1DA2"/>
    <w:rsid w:val="00FB2320"/>
    <w:rsid w:val="00FB23FA"/>
    <w:rsid w:val="00FB2FD3"/>
    <w:rsid w:val="00FB5606"/>
    <w:rsid w:val="00FB7DF8"/>
    <w:rsid w:val="00FC0536"/>
    <w:rsid w:val="00FC122E"/>
    <w:rsid w:val="00FC18F5"/>
    <w:rsid w:val="00FC2CCF"/>
    <w:rsid w:val="00FC47B8"/>
    <w:rsid w:val="00FC5794"/>
    <w:rsid w:val="00FC5874"/>
    <w:rsid w:val="00FC6EF5"/>
    <w:rsid w:val="00FC7702"/>
    <w:rsid w:val="00FC7748"/>
    <w:rsid w:val="00FC7B97"/>
    <w:rsid w:val="00FD019F"/>
    <w:rsid w:val="00FD26FC"/>
    <w:rsid w:val="00FD6CCF"/>
    <w:rsid w:val="00FE1024"/>
    <w:rsid w:val="00FE14F4"/>
    <w:rsid w:val="00FE196C"/>
    <w:rsid w:val="00FE3A14"/>
    <w:rsid w:val="00FE416A"/>
    <w:rsid w:val="00FE4E8D"/>
    <w:rsid w:val="00FE7E46"/>
    <w:rsid w:val="00FF163E"/>
    <w:rsid w:val="00FF29C7"/>
    <w:rsid w:val="00FF3F24"/>
    <w:rsid w:val="00FF44C5"/>
    <w:rsid w:val="00FF502A"/>
    <w:rsid w:val="00FF6223"/>
    <w:rsid w:val="00FF6978"/>
    <w:rsid w:val="00FF6A15"/>
    <w:rsid w:val="00FF7DD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70F7B5"/>
  <w15:docId w15:val="{CBCFAF05-A43E-4DC5-9C2F-044CB6CA92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2721"/>
    <w:pPr>
      <w:spacing w:line="480" w:lineRule="auto"/>
    </w:pPr>
  </w:style>
  <w:style w:type="paragraph" w:styleId="Heading1">
    <w:name w:val="heading 1"/>
    <w:basedOn w:val="ListParagraph"/>
    <w:next w:val="Normal"/>
    <w:link w:val="Heading1Char"/>
    <w:uiPriority w:val="9"/>
    <w:qFormat/>
    <w:rsid w:val="00E456FE"/>
    <w:pPr>
      <w:numPr>
        <w:numId w:val="2"/>
      </w:numPr>
      <w:spacing w:line="480" w:lineRule="auto"/>
      <w:outlineLvl w:val="0"/>
    </w:pPr>
    <w:rPr>
      <w:b/>
      <w:bCs/>
      <w:sz w:val="48"/>
      <w:szCs w:val="48"/>
    </w:rPr>
  </w:style>
  <w:style w:type="paragraph" w:styleId="Heading2">
    <w:name w:val="heading 2"/>
    <w:basedOn w:val="ListParagraph"/>
    <w:next w:val="Normal"/>
    <w:link w:val="Heading2Char"/>
    <w:uiPriority w:val="9"/>
    <w:unhideWhenUsed/>
    <w:qFormat/>
    <w:rsid w:val="007D1FF0"/>
    <w:pPr>
      <w:numPr>
        <w:ilvl w:val="1"/>
        <w:numId w:val="2"/>
      </w:numPr>
      <w:spacing w:line="480" w:lineRule="auto"/>
      <w:outlineLvl w:val="1"/>
    </w:pPr>
    <w:rPr>
      <w:b/>
      <w:bCs/>
    </w:rPr>
  </w:style>
  <w:style w:type="paragraph" w:styleId="Heading3">
    <w:name w:val="heading 3"/>
    <w:basedOn w:val="ListParagraph"/>
    <w:next w:val="Normal"/>
    <w:link w:val="Heading3Char"/>
    <w:uiPriority w:val="9"/>
    <w:unhideWhenUsed/>
    <w:qFormat/>
    <w:rsid w:val="00447197"/>
    <w:pPr>
      <w:numPr>
        <w:ilvl w:val="2"/>
        <w:numId w:val="2"/>
      </w:numPr>
      <w:spacing w:line="480" w:lineRule="auto"/>
      <w:outlineLvl w:val="2"/>
    </w:pPr>
    <w:rPr>
      <w:b/>
      <w:bCs/>
    </w:rPr>
  </w:style>
  <w:style w:type="paragraph" w:styleId="Heading4">
    <w:name w:val="heading 4"/>
    <w:basedOn w:val="ListParagraph"/>
    <w:next w:val="Normal"/>
    <w:link w:val="Heading4Char"/>
    <w:uiPriority w:val="9"/>
    <w:unhideWhenUsed/>
    <w:qFormat/>
    <w:rsid w:val="00E0486C"/>
    <w:pPr>
      <w:numPr>
        <w:numId w:val="9"/>
      </w:numPr>
      <w:spacing w:line="276" w:lineRule="auto"/>
      <w:outlineLvl w:val="3"/>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64F9A"/>
    <w:pPr>
      <w:spacing w:line="256" w:lineRule="auto"/>
      <w:ind w:left="720"/>
      <w:contextualSpacing/>
    </w:pPr>
  </w:style>
  <w:style w:type="character" w:customStyle="1" w:styleId="Heading1Char">
    <w:name w:val="Heading 1 Char"/>
    <w:basedOn w:val="DefaultParagraphFont"/>
    <w:link w:val="Heading1"/>
    <w:uiPriority w:val="9"/>
    <w:rsid w:val="00E456FE"/>
    <w:rPr>
      <w:b/>
      <w:bCs/>
      <w:sz w:val="48"/>
      <w:szCs w:val="48"/>
    </w:rPr>
  </w:style>
  <w:style w:type="character" w:customStyle="1" w:styleId="Heading2Char">
    <w:name w:val="Heading 2 Char"/>
    <w:basedOn w:val="DefaultParagraphFont"/>
    <w:link w:val="Heading2"/>
    <w:uiPriority w:val="9"/>
    <w:rsid w:val="007D1FF0"/>
    <w:rPr>
      <w:b/>
      <w:bCs/>
    </w:rPr>
  </w:style>
  <w:style w:type="character" w:customStyle="1" w:styleId="Heading3Char">
    <w:name w:val="Heading 3 Char"/>
    <w:basedOn w:val="DefaultParagraphFont"/>
    <w:link w:val="Heading3"/>
    <w:uiPriority w:val="9"/>
    <w:rsid w:val="00447197"/>
    <w:rPr>
      <w:b/>
      <w:bCs/>
    </w:rPr>
  </w:style>
  <w:style w:type="character" w:customStyle="1" w:styleId="Heading4Char">
    <w:name w:val="Heading 4 Char"/>
    <w:basedOn w:val="DefaultParagraphFont"/>
    <w:link w:val="Heading4"/>
    <w:uiPriority w:val="9"/>
    <w:rsid w:val="00E0486C"/>
    <w:rPr>
      <w:b/>
      <w:bCs/>
      <w:sz w:val="48"/>
      <w:szCs w:val="48"/>
    </w:rPr>
  </w:style>
  <w:style w:type="character" w:customStyle="1" w:styleId="NoSpacingChar">
    <w:name w:val="No Spacing Char"/>
    <w:aliases w:val="Figures Char,Figure Legends Char"/>
    <w:basedOn w:val="DefaultParagraphFont"/>
    <w:link w:val="NoSpacing"/>
    <w:uiPriority w:val="1"/>
    <w:locked/>
    <w:rsid w:val="00E959C5"/>
    <w:rPr>
      <w:rFonts w:asciiTheme="majorHAnsi" w:eastAsiaTheme="minorHAnsi" w:hAnsiTheme="majorHAnsi" w:cstheme="majorHAnsi"/>
      <w:i/>
      <w:lang w:eastAsia="en-US"/>
    </w:rPr>
  </w:style>
  <w:style w:type="paragraph" w:styleId="NoSpacing">
    <w:name w:val="No Spacing"/>
    <w:aliases w:val="Figures,Figure Legends"/>
    <w:basedOn w:val="Normal"/>
    <w:link w:val="NoSpacingChar"/>
    <w:uiPriority w:val="1"/>
    <w:qFormat/>
    <w:rsid w:val="00E959C5"/>
    <w:rPr>
      <w:rFonts w:asciiTheme="majorHAnsi" w:eastAsiaTheme="minorHAnsi" w:hAnsiTheme="majorHAnsi" w:cstheme="majorHAnsi"/>
      <w:i/>
      <w:lang w:eastAsia="en-US"/>
    </w:rPr>
  </w:style>
  <w:style w:type="table" w:customStyle="1" w:styleId="PlainTable51">
    <w:name w:val="Plain Table 51"/>
    <w:basedOn w:val="TableNormal"/>
    <w:uiPriority w:val="45"/>
    <w:rsid w:val="002109C0"/>
    <w:pPr>
      <w:spacing w:after="0" w:line="240" w:lineRule="auto"/>
    </w:p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style>
  <w:style w:type="paragraph" w:styleId="Header">
    <w:name w:val="header"/>
    <w:basedOn w:val="Normal"/>
    <w:link w:val="HeaderChar"/>
    <w:uiPriority w:val="99"/>
    <w:unhideWhenUsed/>
    <w:rsid w:val="008A2A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8A2A35"/>
  </w:style>
  <w:style w:type="paragraph" w:styleId="Footer">
    <w:name w:val="footer"/>
    <w:basedOn w:val="Normal"/>
    <w:link w:val="FooterChar"/>
    <w:uiPriority w:val="99"/>
    <w:unhideWhenUsed/>
    <w:rsid w:val="008A2A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8A2A35"/>
  </w:style>
  <w:style w:type="paragraph" w:styleId="Bibliography">
    <w:name w:val="Bibliography"/>
    <w:basedOn w:val="Normal"/>
    <w:next w:val="Normal"/>
    <w:uiPriority w:val="37"/>
    <w:unhideWhenUsed/>
    <w:rsid w:val="00EA5396"/>
    <w:pPr>
      <w:spacing w:after="0" w:line="240" w:lineRule="auto"/>
      <w:ind w:left="720" w:hanging="720"/>
    </w:pPr>
  </w:style>
  <w:style w:type="paragraph" w:styleId="Caption">
    <w:name w:val="caption"/>
    <w:basedOn w:val="Normal"/>
    <w:next w:val="Normal"/>
    <w:uiPriority w:val="35"/>
    <w:unhideWhenUsed/>
    <w:qFormat/>
    <w:rsid w:val="00A42A9B"/>
    <w:pPr>
      <w:spacing w:after="200" w:line="240" w:lineRule="auto"/>
    </w:pPr>
    <w:rPr>
      <w:i/>
      <w:iCs/>
      <w:color w:val="44546A" w:themeColor="text2"/>
      <w:sz w:val="18"/>
      <w:szCs w:val="18"/>
    </w:rPr>
  </w:style>
  <w:style w:type="paragraph" w:styleId="BalloonText">
    <w:name w:val="Balloon Text"/>
    <w:basedOn w:val="Normal"/>
    <w:link w:val="BalloonTextChar"/>
    <w:uiPriority w:val="99"/>
    <w:semiHidden/>
    <w:unhideWhenUsed/>
    <w:rsid w:val="00D3097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3097F"/>
    <w:rPr>
      <w:rFonts w:ascii="Segoe UI" w:hAnsi="Segoe UI" w:cs="Segoe UI"/>
      <w:sz w:val="18"/>
      <w:szCs w:val="18"/>
    </w:rPr>
  </w:style>
  <w:style w:type="paragraph" w:styleId="NormalWeb">
    <w:name w:val="Normal (Web)"/>
    <w:basedOn w:val="Normal"/>
    <w:uiPriority w:val="99"/>
    <w:unhideWhenUsed/>
    <w:rsid w:val="00D3097F"/>
    <w:pPr>
      <w:spacing w:before="100" w:beforeAutospacing="1" w:after="100" w:afterAutospacing="1" w:line="240" w:lineRule="auto"/>
    </w:pPr>
    <w:rPr>
      <w:rFonts w:ascii="Times New Roman" w:hAnsi="Times New Roman" w:cs="Times New Roman"/>
      <w:sz w:val="24"/>
      <w:szCs w:val="24"/>
    </w:rPr>
  </w:style>
  <w:style w:type="paragraph" w:styleId="TOCHeading">
    <w:name w:val="TOC Heading"/>
    <w:basedOn w:val="Heading1"/>
    <w:next w:val="Normal"/>
    <w:uiPriority w:val="39"/>
    <w:unhideWhenUsed/>
    <w:qFormat/>
    <w:rsid w:val="00D3097F"/>
    <w:pPr>
      <w:keepNext/>
      <w:keepLines/>
      <w:numPr>
        <w:numId w:val="0"/>
      </w:numPr>
      <w:spacing w:before="240" w:after="0" w:line="259" w:lineRule="auto"/>
      <w:contextualSpacing w:val="0"/>
      <w:outlineLvl w:val="9"/>
    </w:pPr>
    <w:rPr>
      <w:rFonts w:asciiTheme="majorHAnsi" w:eastAsiaTheme="majorEastAsia" w:hAnsiTheme="majorHAnsi" w:cstheme="majorBidi"/>
      <w:b w:val="0"/>
      <w:bCs w:val="0"/>
      <w:color w:val="2F5496" w:themeColor="accent1" w:themeShade="BF"/>
      <w:sz w:val="32"/>
      <w:szCs w:val="32"/>
      <w:lang w:val="en-US" w:eastAsia="en-US"/>
    </w:rPr>
  </w:style>
  <w:style w:type="paragraph" w:styleId="TOC3">
    <w:name w:val="toc 3"/>
    <w:basedOn w:val="Normal"/>
    <w:next w:val="Normal"/>
    <w:autoRedefine/>
    <w:uiPriority w:val="39"/>
    <w:unhideWhenUsed/>
    <w:rsid w:val="00D3097F"/>
    <w:pPr>
      <w:spacing w:after="100"/>
      <w:ind w:left="440"/>
    </w:pPr>
    <w:rPr>
      <w:rFonts w:cstheme="minorHAnsi"/>
    </w:rPr>
  </w:style>
  <w:style w:type="paragraph" w:styleId="TOC1">
    <w:name w:val="toc 1"/>
    <w:basedOn w:val="Normal"/>
    <w:next w:val="Normal"/>
    <w:autoRedefine/>
    <w:uiPriority w:val="39"/>
    <w:unhideWhenUsed/>
    <w:rsid w:val="00A14243"/>
    <w:pPr>
      <w:tabs>
        <w:tab w:val="left" w:pos="440"/>
        <w:tab w:val="right" w:leader="dot" w:pos="9016"/>
      </w:tabs>
      <w:spacing w:after="100"/>
    </w:pPr>
    <w:rPr>
      <w:rFonts w:cstheme="minorHAnsi"/>
    </w:rPr>
  </w:style>
  <w:style w:type="paragraph" w:styleId="TOC2">
    <w:name w:val="toc 2"/>
    <w:basedOn w:val="Normal"/>
    <w:next w:val="Normal"/>
    <w:autoRedefine/>
    <w:uiPriority w:val="39"/>
    <w:unhideWhenUsed/>
    <w:rsid w:val="00D3097F"/>
    <w:pPr>
      <w:spacing w:after="100"/>
      <w:ind w:left="220"/>
    </w:pPr>
    <w:rPr>
      <w:rFonts w:cstheme="minorHAnsi"/>
    </w:rPr>
  </w:style>
  <w:style w:type="character" w:styleId="Hyperlink">
    <w:name w:val="Hyperlink"/>
    <w:basedOn w:val="DefaultParagraphFont"/>
    <w:uiPriority w:val="99"/>
    <w:unhideWhenUsed/>
    <w:rsid w:val="00D3097F"/>
    <w:rPr>
      <w:color w:val="0563C1" w:themeColor="hyperlink"/>
      <w:u w:val="single"/>
    </w:rPr>
  </w:style>
  <w:style w:type="paragraph" w:styleId="Title">
    <w:name w:val="Title"/>
    <w:basedOn w:val="Normal"/>
    <w:next w:val="Normal"/>
    <w:link w:val="TitleChar"/>
    <w:uiPriority w:val="10"/>
    <w:qFormat/>
    <w:rsid w:val="000A769F"/>
    <w:pPr>
      <w:spacing w:after="0"/>
      <w:contextualSpacing/>
      <w:jc w:val="center"/>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A769F"/>
    <w:rPr>
      <w:rFonts w:asciiTheme="majorHAnsi" w:eastAsiaTheme="majorEastAsia" w:hAnsiTheme="majorHAnsi" w:cstheme="majorBidi"/>
      <w:spacing w:val="-10"/>
      <w:kern w:val="28"/>
      <w:sz w:val="56"/>
      <w:szCs w:val="56"/>
    </w:rPr>
  </w:style>
  <w:style w:type="character" w:styleId="Strong">
    <w:name w:val="Strong"/>
    <w:basedOn w:val="DefaultParagraphFont"/>
    <w:uiPriority w:val="22"/>
    <w:qFormat/>
    <w:rsid w:val="00D3097F"/>
    <w:rPr>
      <w:b/>
      <w:bCs/>
    </w:rPr>
  </w:style>
  <w:style w:type="character" w:styleId="CommentReference">
    <w:name w:val="annotation reference"/>
    <w:basedOn w:val="DefaultParagraphFont"/>
    <w:uiPriority w:val="99"/>
    <w:semiHidden/>
    <w:unhideWhenUsed/>
    <w:rsid w:val="00D3097F"/>
    <w:rPr>
      <w:sz w:val="16"/>
      <w:szCs w:val="16"/>
    </w:rPr>
  </w:style>
  <w:style w:type="paragraph" w:styleId="CommentText">
    <w:name w:val="annotation text"/>
    <w:basedOn w:val="Normal"/>
    <w:link w:val="CommentTextChar"/>
    <w:uiPriority w:val="99"/>
    <w:unhideWhenUsed/>
    <w:rsid w:val="00D3097F"/>
    <w:pPr>
      <w:spacing w:line="240" w:lineRule="auto"/>
    </w:pPr>
    <w:rPr>
      <w:rFonts w:cstheme="minorHAnsi"/>
      <w:sz w:val="20"/>
      <w:szCs w:val="20"/>
    </w:rPr>
  </w:style>
  <w:style w:type="character" w:customStyle="1" w:styleId="CommentTextChar">
    <w:name w:val="Comment Text Char"/>
    <w:basedOn w:val="DefaultParagraphFont"/>
    <w:link w:val="CommentText"/>
    <w:uiPriority w:val="99"/>
    <w:rsid w:val="00D3097F"/>
    <w:rPr>
      <w:rFonts w:cstheme="minorHAnsi"/>
      <w:sz w:val="20"/>
      <w:szCs w:val="20"/>
    </w:rPr>
  </w:style>
  <w:style w:type="paragraph" w:styleId="CommentSubject">
    <w:name w:val="annotation subject"/>
    <w:basedOn w:val="CommentText"/>
    <w:next w:val="CommentText"/>
    <w:link w:val="CommentSubjectChar"/>
    <w:uiPriority w:val="99"/>
    <w:semiHidden/>
    <w:unhideWhenUsed/>
    <w:rsid w:val="00D3097F"/>
    <w:rPr>
      <w:b/>
      <w:bCs/>
    </w:rPr>
  </w:style>
  <w:style w:type="character" w:customStyle="1" w:styleId="CommentSubjectChar">
    <w:name w:val="Comment Subject Char"/>
    <w:basedOn w:val="CommentTextChar"/>
    <w:link w:val="CommentSubject"/>
    <w:uiPriority w:val="99"/>
    <w:semiHidden/>
    <w:rsid w:val="00D3097F"/>
    <w:rPr>
      <w:rFonts w:cstheme="minorHAnsi"/>
      <w:b/>
      <w:bCs/>
      <w:sz w:val="20"/>
      <w:szCs w:val="20"/>
    </w:rPr>
  </w:style>
  <w:style w:type="table" w:styleId="TableGrid">
    <w:name w:val="Table Grid"/>
    <w:basedOn w:val="TableNormal"/>
    <w:uiPriority w:val="39"/>
    <w:rsid w:val="00BA59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citationtitle">
    <w:name w:val="abs_citation_title"/>
    <w:basedOn w:val="DefaultParagraphFont"/>
    <w:rsid w:val="00B7409F"/>
  </w:style>
  <w:style w:type="paragraph" w:styleId="TableofFigures">
    <w:name w:val="table of figures"/>
    <w:basedOn w:val="Normal"/>
    <w:next w:val="Normal"/>
    <w:uiPriority w:val="99"/>
    <w:unhideWhenUsed/>
    <w:rsid w:val="001F472E"/>
    <w:pPr>
      <w:spacing w:after="0"/>
      <w:ind w:left="440" w:hanging="440"/>
    </w:pPr>
    <w:rPr>
      <w:rFonts w:cstheme="minorHAnsi"/>
      <w:caps/>
      <w:sz w:val="20"/>
      <w:szCs w:val="20"/>
    </w:rPr>
  </w:style>
  <w:style w:type="character" w:styleId="FollowedHyperlink">
    <w:name w:val="FollowedHyperlink"/>
    <w:basedOn w:val="DefaultParagraphFont"/>
    <w:uiPriority w:val="99"/>
    <w:semiHidden/>
    <w:unhideWhenUsed/>
    <w:rsid w:val="00176899"/>
    <w:rPr>
      <w:color w:val="954F72" w:themeColor="followedHyperlink"/>
      <w:u w:val="single"/>
    </w:rPr>
  </w:style>
  <w:style w:type="table" w:styleId="PlainTable5">
    <w:name w:val="Plain Table 5"/>
    <w:basedOn w:val="TableNormal"/>
    <w:uiPriority w:val="45"/>
    <w:rsid w:val="004F419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OC4">
    <w:name w:val="toc 4"/>
    <w:basedOn w:val="Normal"/>
    <w:next w:val="Normal"/>
    <w:autoRedefine/>
    <w:uiPriority w:val="39"/>
    <w:unhideWhenUsed/>
    <w:rsid w:val="000519A9"/>
    <w:pPr>
      <w:spacing w:after="100" w:line="259" w:lineRule="auto"/>
      <w:ind w:left="660"/>
    </w:pPr>
  </w:style>
  <w:style w:type="paragraph" w:styleId="TOC5">
    <w:name w:val="toc 5"/>
    <w:basedOn w:val="Normal"/>
    <w:next w:val="Normal"/>
    <w:autoRedefine/>
    <w:uiPriority w:val="39"/>
    <w:unhideWhenUsed/>
    <w:rsid w:val="000519A9"/>
    <w:pPr>
      <w:spacing w:after="100" w:line="259" w:lineRule="auto"/>
      <w:ind w:left="880"/>
    </w:pPr>
  </w:style>
  <w:style w:type="paragraph" w:styleId="TOC6">
    <w:name w:val="toc 6"/>
    <w:basedOn w:val="Normal"/>
    <w:next w:val="Normal"/>
    <w:autoRedefine/>
    <w:uiPriority w:val="39"/>
    <w:unhideWhenUsed/>
    <w:rsid w:val="000519A9"/>
    <w:pPr>
      <w:spacing w:after="100" w:line="259" w:lineRule="auto"/>
      <w:ind w:left="1100"/>
    </w:pPr>
  </w:style>
  <w:style w:type="paragraph" w:styleId="TOC7">
    <w:name w:val="toc 7"/>
    <w:basedOn w:val="Normal"/>
    <w:next w:val="Normal"/>
    <w:autoRedefine/>
    <w:uiPriority w:val="39"/>
    <w:unhideWhenUsed/>
    <w:rsid w:val="000519A9"/>
    <w:pPr>
      <w:spacing w:after="100" w:line="259" w:lineRule="auto"/>
      <w:ind w:left="1320"/>
    </w:pPr>
  </w:style>
  <w:style w:type="paragraph" w:styleId="TOC8">
    <w:name w:val="toc 8"/>
    <w:basedOn w:val="Normal"/>
    <w:next w:val="Normal"/>
    <w:autoRedefine/>
    <w:uiPriority w:val="39"/>
    <w:unhideWhenUsed/>
    <w:rsid w:val="000519A9"/>
    <w:pPr>
      <w:spacing w:after="100" w:line="259" w:lineRule="auto"/>
      <w:ind w:left="1540"/>
    </w:pPr>
  </w:style>
  <w:style w:type="paragraph" w:styleId="TOC9">
    <w:name w:val="toc 9"/>
    <w:basedOn w:val="Normal"/>
    <w:next w:val="Normal"/>
    <w:autoRedefine/>
    <w:uiPriority w:val="39"/>
    <w:unhideWhenUsed/>
    <w:rsid w:val="000519A9"/>
    <w:pPr>
      <w:spacing w:after="100" w:line="259" w:lineRule="auto"/>
      <w:ind w:left="1760"/>
    </w:pPr>
  </w:style>
  <w:style w:type="character" w:styleId="UnresolvedMention">
    <w:name w:val="Unresolved Mention"/>
    <w:basedOn w:val="DefaultParagraphFont"/>
    <w:uiPriority w:val="99"/>
    <w:semiHidden/>
    <w:unhideWhenUsed/>
    <w:rsid w:val="000519A9"/>
    <w:rPr>
      <w:color w:val="605E5C"/>
      <w:shd w:val="clear" w:color="auto" w:fill="E1DFDD"/>
    </w:rPr>
  </w:style>
  <w:style w:type="paragraph" w:styleId="Subtitle">
    <w:name w:val="Subtitle"/>
    <w:basedOn w:val="Normal"/>
    <w:next w:val="Normal"/>
    <w:link w:val="SubtitleChar"/>
    <w:uiPriority w:val="11"/>
    <w:qFormat/>
    <w:rsid w:val="000A769F"/>
    <w:pPr>
      <w:numPr>
        <w:ilvl w:val="1"/>
      </w:numPr>
    </w:pPr>
    <w:rPr>
      <w:color w:val="5A5A5A" w:themeColor="text1" w:themeTint="A5"/>
      <w:spacing w:val="15"/>
    </w:rPr>
  </w:style>
  <w:style w:type="character" w:customStyle="1" w:styleId="SubtitleChar">
    <w:name w:val="Subtitle Char"/>
    <w:basedOn w:val="DefaultParagraphFont"/>
    <w:link w:val="Subtitle"/>
    <w:uiPriority w:val="11"/>
    <w:rsid w:val="000A769F"/>
    <w:rPr>
      <w:color w:val="5A5A5A" w:themeColor="text1" w:themeTint="A5"/>
      <w:spacing w:val="15"/>
    </w:rPr>
  </w:style>
  <w:style w:type="paragraph" w:styleId="Revision">
    <w:name w:val="Revision"/>
    <w:hidden/>
    <w:uiPriority w:val="99"/>
    <w:semiHidden/>
    <w:rsid w:val="00EA6343"/>
    <w:pPr>
      <w:spacing w:after="0" w:line="240" w:lineRule="auto"/>
    </w:pPr>
  </w:style>
  <w:style w:type="character" w:styleId="PlaceholderText">
    <w:name w:val="Placeholder Text"/>
    <w:basedOn w:val="DefaultParagraphFont"/>
    <w:uiPriority w:val="99"/>
    <w:semiHidden/>
    <w:rsid w:val="00970D53"/>
    <w:rPr>
      <w:color w:val="808080"/>
    </w:rPr>
  </w:style>
  <w:style w:type="character" w:customStyle="1" w:styleId="highlight">
    <w:name w:val="highlight"/>
    <w:rsid w:val="008E2B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04">
      <w:bodyDiv w:val="1"/>
      <w:marLeft w:val="0"/>
      <w:marRight w:val="0"/>
      <w:marTop w:val="0"/>
      <w:marBottom w:val="0"/>
      <w:divBdr>
        <w:top w:val="none" w:sz="0" w:space="0" w:color="auto"/>
        <w:left w:val="none" w:sz="0" w:space="0" w:color="auto"/>
        <w:bottom w:val="none" w:sz="0" w:space="0" w:color="auto"/>
        <w:right w:val="none" w:sz="0" w:space="0" w:color="auto"/>
      </w:divBdr>
    </w:div>
    <w:div w:id="11543">
      <w:bodyDiv w:val="1"/>
      <w:marLeft w:val="0"/>
      <w:marRight w:val="0"/>
      <w:marTop w:val="0"/>
      <w:marBottom w:val="0"/>
      <w:divBdr>
        <w:top w:val="none" w:sz="0" w:space="0" w:color="auto"/>
        <w:left w:val="none" w:sz="0" w:space="0" w:color="auto"/>
        <w:bottom w:val="none" w:sz="0" w:space="0" w:color="auto"/>
        <w:right w:val="none" w:sz="0" w:space="0" w:color="auto"/>
      </w:divBdr>
    </w:div>
    <w:div w:id="82408">
      <w:bodyDiv w:val="1"/>
      <w:marLeft w:val="0"/>
      <w:marRight w:val="0"/>
      <w:marTop w:val="0"/>
      <w:marBottom w:val="0"/>
      <w:divBdr>
        <w:top w:val="none" w:sz="0" w:space="0" w:color="auto"/>
        <w:left w:val="none" w:sz="0" w:space="0" w:color="auto"/>
        <w:bottom w:val="none" w:sz="0" w:space="0" w:color="auto"/>
        <w:right w:val="none" w:sz="0" w:space="0" w:color="auto"/>
      </w:divBdr>
    </w:div>
    <w:div w:id="90727">
      <w:bodyDiv w:val="1"/>
      <w:marLeft w:val="0"/>
      <w:marRight w:val="0"/>
      <w:marTop w:val="0"/>
      <w:marBottom w:val="0"/>
      <w:divBdr>
        <w:top w:val="none" w:sz="0" w:space="0" w:color="auto"/>
        <w:left w:val="none" w:sz="0" w:space="0" w:color="auto"/>
        <w:bottom w:val="none" w:sz="0" w:space="0" w:color="auto"/>
        <w:right w:val="none" w:sz="0" w:space="0" w:color="auto"/>
      </w:divBdr>
    </w:div>
    <w:div w:id="91069">
      <w:bodyDiv w:val="1"/>
      <w:marLeft w:val="0"/>
      <w:marRight w:val="0"/>
      <w:marTop w:val="0"/>
      <w:marBottom w:val="0"/>
      <w:divBdr>
        <w:top w:val="none" w:sz="0" w:space="0" w:color="auto"/>
        <w:left w:val="none" w:sz="0" w:space="0" w:color="auto"/>
        <w:bottom w:val="none" w:sz="0" w:space="0" w:color="auto"/>
        <w:right w:val="none" w:sz="0" w:space="0" w:color="auto"/>
      </w:divBdr>
    </w:div>
    <w:div w:id="91906">
      <w:bodyDiv w:val="1"/>
      <w:marLeft w:val="0"/>
      <w:marRight w:val="0"/>
      <w:marTop w:val="0"/>
      <w:marBottom w:val="0"/>
      <w:divBdr>
        <w:top w:val="none" w:sz="0" w:space="0" w:color="auto"/>
        <w:left w:val="none" w:sz="0" w:space="0" w:color="auto"/>
        <w:bottom w:val="none" w:sz="0" w:space="0" w:color="auto"/>
        <w:right w:val="none" w:sz="0" w:space="0" w:color="auto"/>
      </w:divBdr>
    </w:div>
    <w:div w:id="351806">
      <w:bodyDiv w:val="1"/>
      <w:marLeft w:val="0"/>
      <w:marRight w:val="0"/>
      <w:marTop w:val="0"/>
      <w:marBottom w:val="0"/>
      <w:divBdr>
        <w:top w:val="none" w:sz="0" w:space="0" w:color="auto"/>
        <w:left w:val="none" w:sz="0" w:space="0" w:color="auto"/>
        <w:bottom w:val="none" w:sz="0" w:space="0" w:color="auto"/>
        <w:right w:val="none" w:sz="0" w:space="0" w:color="auto"/>
      </w:divBdr>
    </w:div>
    <w:div w:id="400160">
      <w:bodyDiv w:val="1"/>
      <w:marLeft w:val="0"/>
      <w:marRight w:val="0"/>
      <w:marTop w:val="0"/>
      <w:marBottom w:val="0"/>
      <w:divBdr>
        <w:top w:val="none" w:sz="0" w:space="0" w:color="auto"/>
        <w:left w:val="none" w:sz="0" w:space="0" w:color="auto"/>
        <w:bottom w:val="none" w:sz="0" w:space="0" w:color="auto"/>
        <w:right w:val="none" w:sz="0" w:space="0" w:color="auto"/>
      </w:divBdr>
    </w:div>
    <w:div w:id="471129">
      <w:bodyDiv w:val="1"/>
      <w:marLeft w:val="0"/>
      <w:marRight w:val="0"/>
      <w:marTop w:val="0"/>
      <w:marBottom w:val="0"/>
      <w:divBdr>
        <w:top w:val="none" w:sz="0" w:space="0" w:color="auto"/>
        <w:left w:val="none" w:sz="0" w:space="0" w:color="auto"/>
        <w:bottom w:val="none" w:sz="0" w:space="0" w:color="auto"/>
        <w:right w:val="none" w:sz="0" w:space="0" w:color="auto"/>
      </w:divBdr>
    </w:div>
    <w:div w:id="473285">
      <w:bodyDiv w:val="1"/>
      <w:marLeft w:val="0"/>
      <w:marRight w:val="0"/>
      <w:marTop w:val="0"/>
      <w:marBottom w:val="0"/>
      <w:divBdr>
        <w:top w:val="none" w:sz="0" w:space="0" w:color="auto"/>
        <w:left w:val="none" w:sz="0" w:space="0" w:color="auto"/>
        <w:bottom w:val="none" w:sz="0" w:space="0" w:color="auto"/>
        <w:right w:val="none" w:sz="0" w:space="0" w:color="auto"/>
      </w:divBdr>
    </w:div>
    <w:div w:id="475906">
      <w:bodyDiv w:val="1"/>
      <w:marLeft w:val="0"/>
      <w:marRight w:val="0"/>
      <w:marTop w:val="0"/>
      <w:marBottom w:val="0"/>
      <w:divBdr>
        <w:top w:val="none" w:sz="0" w:space="0" w:color="auto"/>
        <w:left w:val="none" w:sz="0" w:space="0" w:color="auto"/>
        <w:bottom w:val="none" w:sz="0" w:space="0" w:color="auto"/>
        <w:right w:val="none" w:sz="0" w:space="0" w:color="auto"/>
      </w:divBdr>
    </w:div>
    <w:div w:id="593602">
      <w:bodyDiv w:val="1"/>
      <w:marLeft w:val="0"/>
      <w:marRight w:val="0"/>
      <w:marTop w:val="0"/>
      <w:marBottom w:val="0"/>
      <w:divBdr>
        <w:top w:val="none" w:sz="0" w:space="0" w:color="auto"/>
        <w:left w:val="none" w:sz="0" w:space="0" w:color="auto"/>
        <w:bottom w:val="none" w:sz="0" w:space="0" w:color="auto"/>
        <w:right w:val="none" w:sz="0" w:space="0" w:color="auto"/>
      </w:divBdr>
    </w:div>
    <w:div w:id="621880">
      <w:bodyDiv w:val="1"/>
      <w:marLeft w:val="0"/>
      <w:marRight w:val="0"/>
      <w:marTop w:val="0"/>
      <w:marBottom w:val="0"/>
      <w:divBdr>
        <w:top w:val="none" w:sz="0" w:space="0" w:color="auto"/>
        <w:left w:val="none" w:sz="0" w:space="0" w:color="auto"/>
        <w:bottom w:val="none" w:sz="0" w:space="0" w:color="auto"/>
        <w:right w:val="none" w:sz="0" w:space="0" w:color="auto"/>
      </w:divBdr>
    </w:div>
    <w:div w:id="663702">
      <w:bodyDiv w:val="1"/>
      <w:marLeft w:val="0"/>
      <w:marRight w:val="0"/>
      <w:marTop w:val="0"/>
      <w:marBottom w:val="0"/>
      <w:divBdr>
        <w:top w:val="none" w:sz="0" w:space="0" w:color="auto"/>
        <w:left w:val="none" w:sz="0" w:space="0" w:color="auto"/>
        <w:bottom w:val="none" w:sz="0" w:space="0" w:color="auto"/>
        <w:right w:val="none" w:sz="0" w:space="0" w:color="auto"/>
      </w:divBdr>
    </w:div>
    <w:div w:id="671024">
      <w:bodyDiv w:val="1"/>
      <w:marLeft w:val="0"/>
      <w:marRight w:val="0"/>
      <w:marTop w:val="0"/>
      <w:marBottom w:val="0"/>
      <w:divBdr>
        <w:top w:val="none" w:sz="0" w:space="0" w:color="auto"/>
        <w:left w:val="none" w:sz="0" w:space="0" w:color="auto"/>
        <w:bottom w:val="none" w:sz="0" w:space="0" w:color="auto"/>
        <w:right w:val="none" w:sz="0" w:space="0" w:color="auto"/>
      </w:divBdr>
    </w:div>
    <w:div w:id="741001">
      <w:bodyDiv w:val="1"/>
      <w:marLeft w:val="0"/>
      <w:marRight w:val="0"/>
      <w:marTop w:val="0"/>
      <w:marBottom w:val="0"/>
      <w:divBdr>
        <w:top w:val="none" w:sz="0" w:space="0" w:color="auto"/>
        <w:left w:val="none" w:sz="0" w:space="0" w:color="auto"/>
        <w:bottom w:val="none" w:sz="0" w:space="0" w:color="auto"/>
        <w:right w:val="none" w:sz="0" w:space="0" w:color="auto"/>
      </w:divBdr>
    </w:div>
    <w:div w:id="789580">
      <w:bodyDiv w:val="1"/>
      <w:marLeft w:val="0"/>
      <w:marRight w:val="0"/>
      <w:marTop w:val="0"/>
      <w:marBottom w:val="0"/>
      <w:divBdr>
        <w:top w:val="none" w:sz="0" w:space="0" w:color="auto"/>
        <w:left w:val="none" w:sz="0" w:space="0" w:color="auto"/>
        <w:bottom w:val="none" w:sz="0" w:space="0" w:color="auto"/>
        <w:right w:val="none" w:sz="0" w:space="0" w:color="auto"/>
      </w:divBdr>
    </w:div>
    <w:div w:id="814122">
      <w:bodyDiv w:val="1"/>
      <w:marLeft w:val="0"/>
      <w:marRight w:val="0"/>
      <w:marTop w:val="0"/>
      <w:marBottom w:val="0"/>
      <w:divBdr>
        <w:top w:val="none" w:sz="0" w:space="0" w:color="auto"/>
        <w:left w:val="none" w:sz="0" w:space="0" w:color="auto"/>
        <w:bottom w:val="none" w:sz="0" w:space="0" w:color="auto"/>
        <w:right w:val="none" w:sz="0" w:space="0" w:color="auto"/>
      </w:divBdr>
    </w:div>
    <w:div w:id="855664">
      <w:bodyDiv w:val="1"/>
      <w:marLeft w:val="0"/>
      <w:marRight w:val="0"/>
      <w:marTop w:val="0"/>
      <w:marBottom w:val="0"/>
      <w:divBdr>
        <w:top w:val="none" w:sz="0" w:space="0" w:color="auto"/>
        <w:left w:val="none" w:sz="0" w:space="0" w:color="auto"/>
        <w:bottom w:val="none" w:sz="0" w:space="0" w:color="auto"/>
        <w:right w:val="none" w:sz="0" w:space="0" w:color="auto"/>
      </w:divBdr>
    </w:div>
    <w:div w:id="859200">
      <w:bodyDiv w:val="1"/>
      <w:marLeft w:val="0"/>
      <w:marRight w:val="0"/>
      <w:marTop w:val="0"/>
      <w:marBottom w:val="0"/>
      <w:divBdr>
        <w:top w:val="none" w:sz="0" w:space="0" w:color="auto"/>
        <w:left w:val="none" w:sz="0" w:space="0" w:color="auto"/>
        <w:bottom w:val="none" w:sz="0" w:space="0" w:color="auto"/>
        <w:right w:val="none" w:sz="0" w:space="0" w:color="auto"/>
      </w:divBdr>
    </w:div>
    <w:div w:id="861695">
      <w:bodyDiv w:val="1"/>
      <w:marLeft w:val="0"/>
      <w:marRight w:val="0"/>
      <w:marTop w:val="0"/>
      <w:marBottom w:val="0"/>
      <w:divBdr>
        <w:top w:val="none" w:sz="0" w:space="0" w:color="auto"/>
        <w:left w:val="none" w:sz="0" w:space="0" w:color="auto"/>
        <w:bottom w:val="none" w:sz="0" w:space="0" w:color="auto"/>
        <w:right w:val="none" w:sz="0" w:space="0" w:color="auto"/>
      </w:divBdr>
    </w:div>
    <w:div w:id="1053562">
      <w:bodyDiv w:val="1"/>
      <w:marLeft w:val="0"/>
      <w:marRight w:val="0"/>
      <w:marTop w:val="0"/>
      <w:marBottom w:val="0"/>
      <w:divBdr>
        <w:top w:val="none" w:sz="0" w:space="0" w:color="auto"/>
        <w:left w:val="none" w:sz="0" w:space="0" w:color="auto"/>
        <w:bottom w:val="none" w:sz="0" w:space="0" w:color="auto"/>
        <w:right w:val="none" w:sz="0" w:space="0" w:color="auto"/>
      </w:divBdr>
    </w:div>
    <w:div w:id="1054778">
      <w:bodyDiv w:val="1"/>
      <w:marLeft w:val="0"/>
      <w:marRight w:val="0"/>
      <w:marTop w:val="0"/>
      <w:marBottom w:val="0"/>
      <w:divBdr>
        <w:top w:val="none" w:sz="0" w:space="0" w:color="auto"/>
        <w:left w:val="none" w:sz="0" w:space="0" w:color="auto"/>
        <w:bottom w:val="none" w:sz="0" w:space="0" w:color="auto"/>
        <w:right w:val="none" w:sz="0" w:space="0" w:color="auto"/>
      </w:divBdr>
    </w:div>
    <w:div w:id="1058232">
      <w:bodyDiv w:val="1"/>
      <w:marLeft w:val="0"/>
      <w:marRight w:val="0"/>
      <w:marTop w:val="0"/>
      <w:marBottom w:val="0"/>
      <w:divBdr>
        <w:top w:val="none" w:sz="0" w:space="0" w:color="auto"/>
        <w:left w:val="none" w:sz="0" w:space="0" w:color="auto"/>
        <w:bottom w:val="none" w:sz="0" w:space="0" w:color="auto"/>
        <w:right w:val="none" w:sz="0" w:space="0" w:color="auto"/>
      </w:divBdr>
    </w:div>
    <w:div w:id="1128244">
      <w:bodyDiv w:val="1"/>
      <w:marLeft w:val="0"/>
      <w:marRight w:val="0"/>
      <w:marTop w:val="0"/>
      <w:marBottom w:val="0"/>
      <w:divBdr>
        <w:top w:val="none" w:sz="0" w:space="0" w:color="auto"/>
        <w:left w:val="none" w:sz="0" w:space="0" w:color="auto"/>
        <w:bottom w:val="none" w:sz="0" w:space="0" w:color="auto"/>
        <w:right w:val="none" w:sz="0" w:space="0" w:color="auto"/>
      </w:divBdr>
    </w:div>
    <w:div w:id="1250572">
      <w:bodyDiv w:val="1"/>
      <w:marLeft w:val="0"/>
      <w:marRight w:val="0"/>
      <w:marTop w:val="0"/>
      <w:marBottom w:val="0"/>
      <w:divBdr>
        <w:top w:val="none" w:sz="0" w:space="0" w:color="auto"/>
        <w:left w:val="none" w:sz="0" w:space="0" w:color="auto"/>
        <w:bottom w:val="none" w:sz="0" w:space="0" w:color="auto"/>
        <w:right w:val="none" w:sz="0" w:space="0" w:color="auto"/>
      </w:divBdr>
    </w:div>
    <w:div w:id="1276340">
      <w:bodyDiv w:val="1"/>
      <w:marLeft w:val="0"/>
      <w:marRight w:val="0"/>
      <w:marTop w:val="0"/>
      <w:marBottom w:val="0"/>
      <w:divBdr>
        <w:top w:val="none" w:sz="0" w:space="0" w:color="auto"/>
        <w:left w:val="none" w:sz="0" w:space="0" w:color="auto"/>
        <w:bottom w:val="none" w:sz="0" w:space="0" w:color="auto"/>
        <w:right w:val="none" w:sz="0" w:space="0" w:color="auto"/>
      </w:divBdr>
    </w:div>
    <w:div w:id="1276492">
      <w:bodyDiv w:val="1"/>
      <w:marLeft w:val="0"/>
      <w:marRight w:val="0"/>
      <w:marTop w:val="0"/>
      <w:marBottom w:val="0"/>
      <w:divBdr>
        <w:top w:val="none" w:sz="0" w:space="0" w:color="auto"/>
        <w:left w:val="none" w:sz="0" w:space="0" w:color="auto"/>
        <w:bottom w:val="none" w:sz="0" w:space="0" w:color="auto"/>
        <w:right w:val="none" w:sz="0" w:space="0" w:color="auto"/>
      </w:divBdr>
    </w:div>
    <w:div w:id="1319214">
      <w:bodyDiv w:val="1"/>
      <w:marLeft w:val="0"/>
      <w:marRight w:val="0"/>
      <w:marTop w:val="0"/>
      <w:marBottom w:val="0"/>
      <w:divBdr>
        <w:top w:val="none" w:sz="0" w:space="0" w:color="auto"/>
        <w:left w:val="none" w:sz="0" w:space="0" w:color="auto"/>
        <w:bottom w:val="none" w:sz="0" w:space="0" w:color="auto"/>
        <w:right w:val="none" w:sz="0" w:space="0" w:color="auto"/>
      </w:divBdr>
    </w:div>
    <w:div w:id="1399773">
      <w:bodyDiv w:val="1"/>
      <w:marLeft w:val="0"/>
      <w:marRight w:val="0"/>
      <w:marTop w:val="0"/>
      <w:marBottom w:val="0"/>
      <w:divBdr>
        <w:top w:val="none" w:sz="0" w:space="0" w:color="auto"/>
        <w:left w:val="none" w:sz="0" w:space="0" w:color="auto"/>
        <w:bottom w:val="none" w:sz="0" w:space="0" w:color="auto"/>
        <w:right w:val="none" w:sz="0" w:space="0" w:color="auto"/>
      </w:divBdr>
    </w:div>
    <w:div w:id="1469805">
      <w:bodyDiv w:val="1"/>
      <w:marLeft w:val="0"/>
      <w:marRight w:val="0"/>
      <w:marTop w:val="0"/>
      <w:marBottom w:val="0"/>
      <w:divBdr>
        <w:top w:val="none" w:sz="0" w:space="0" w:color="auto"/>
        <w:left w:val="none" w:sz="0" w:space="0" w:color="auto"/>
        <w:bottom w:val="none" w:sz="0" w:space="0" w:color="auto"/>
        <w:right w:val="none" w:sz="0" w:space="0" w:color="auto"/>
      </w:divBdr>
    </w:div>
    <w:div w:id="1514353">
      <w:bodyDiv w:val="1"/>
      <w:marLeft w:val="0"/>
      <w:marRight w:val="0"/>
      <w:marTop w:val="0"/>
      <w:marBottom w:val="0"/>
      <w:divBdr>
        <w:top w:val="none" w:sz="0" w:space="0" w:color="auto"/>
        <w:left w:val="none" w:sz="0" w:space="0" w:color="auto"/>
        <w:bottom w:val="none" w:sz="0" w:space="0" w:color="auto"/>
        <w:right w:val="none" w:sz="0" w:space="0" w:color="auto"/>
      </w:divBdr>
    </w:div>
    <w:div w:id="1588768">
      <w:bodyDiv w:val="1"/>
      <w:marLeft w:val="0"/>
      <w:marRight w:val="0"/>
      <w:marTop w:val="0"/>
      <w:marBottom w:val="0"/>
      <w:divBdr>
        <w:top w:val="none" w:sz="0" w:space="0" w:color="auto"/>
        <w:left w:val="none" w:sz="0" w:space="0" w:color="auto"/>
        <w:bottom w:val="none" w:sz="0" w:space="0" w:color="auto"/>
        <w:right w:val="none" w:sz="0" w:space="0" w:color="auto"/>
      </w:divBdr>
    </w:div>
    <w:div w:id="1666554">
      <w:bodyDiv w:val="1"/>
      <w:marLeft w:val="0"/>
      <w:marRight w:val="0"/>
      <w:marTop w:val="0"/>
      <w:marBottom w:val="0"/>
      <w:divBdr>
        <w:top w:val="none" w:sz="0" w:space="0" w:color="auto"/>
        <w:left w:val="none" w:sz="0" w:space="0" w:color="auto"/>
        <w:bottom w:val="none" w:sz="0" w:space="0" w:color="auto"/>
        <w:right w:val="none" w:sz="0" w:space="0" w:color="auto"/>
      </w:divBdr>
    </w:div>
    <w:div w:id="1668271">
      <w:bodyDiv w:val="1"/>
      <w:marLeft w:val="0"/>
      <w:marRight w:val="0"/>
      <w:marTop w:val="0"/>
      <w:marBottom w:val="0"/>
      <w:divBdr>
        <w:top w:val="none" w:sz="0" w:space="0" w:color="auto"/>
        <w:left w:val="none" w:sz="0" w:space="0" w:color="auto"/>
        <w:bottom w:val="none" w:sz="0" w:space="0" w:color="auto"/>
        <w:right w:val="none" w:sz="0" w:space="0" w:color="auto"/>
      </w:divBdr>
    </w:div>
    <w:div w:id="1704581">
      <w:bodyDiv w:val="1"/>
      <w:marLeft w:val="0"/>
      <w:marRight w:val="0"/>
      <w:marTop w:val="0"/>
      <w:marBottom w:val="0"/>
      <w:divBdr>
        <w:top w:val="none" w:sz="0" w:space="0" w:color="auto"/>
        <w:left w:val="none" w:sz="0" w:space="0" w:color="auto"/>
        <w:bottom w:val="none" w:sz="0" w:space="0" w:color="auto"/>
        <w:right w:val="none" w:sz="0" w:space="0" w:color="auto"/>
      </w:divBdr>
    </w:div>
    <w:div w:id="1706598">
      <w:bodyDiv w:val="1"/>
      <w:marLeft w:val="0"/>
      <w:marRight w:val="0"/>
      <w:marTop w:val="0"/>
      <w:marBottom w:val="0"/>
      <w:divBdr>
        <w:top w:val="none" w:sz="0" w:space="0" w:color="auto"/>
        <w:left w:val="none" w:sz="0" w:space="0" w:color="auto"/>
        <w:bottom w:val="none" w:sz="0" w:space="0" w:color="auto"/>
        <w:right w:val="none" w:sz="0" w:space="0" w:color="auto"/>
      </w:divBdr>
    </w:div>
    <w:div w:id="1860172">
      <w:bodyDiv w:val="1"/>
      <w:marLeft w:val="0"/>
      <w:marRight w:val="0"/>
      <w:marTop w:val="0"/>
      <w:marBottom w:val="0"/>
      <w:divBdr>
        <w:top w:val="none" w:sz="0" w:space="0" w:color="auto"/>
        <w:left w:val="none" w:sz="0" w:space="0" w:color="auto"/>
        <w:bottom w:val="none" w:sz="0" w:space="0" w:color="auto"/>
        <w:right w:val="none" w:sz="0" w:space="0" w:color="auto"/>
      </w:divBdr>
    </w:div>
    <w:div w:id="1864112">
      <w:bodyDiv w:val="1"/>
      <w:marLeft w:val="0"/>
      <w:marRight w:val="0"/>
      <w:marTop w:val="0"/>
      <w:marBottom w:val="0"/>
      <w:divBdr>
        <w:top w:val="none" w:sz="0" w:space="0" w:color="auto"/>
        <w:left w:val="none" w:sz="0" w:space="0" w:color="auto"/>
        <w:bottom w:val="none" w:sz="0" w:space="0" w:color="auto"/>
        <w:right w:val="none" w:sz="0" w:space="0" w:color="auto"/>
      </w:divBdr>
    </w:div>
    <w:div w:id="1980528">
      <w:bodyDiv w:val="1"/>
      <w:marLeft w:val="0"/>
      <w:marRight w:val="0"/>
      <w:marTop w:val="0"/>
      <w:marBottom w:val="0"/>
      <w:divBdr>
        <w:top w:val="none" w:sz="0" w:space="0" w:color="auto"/>
        <w:left w:val="none" w:sz="0" w:space="0" w:color="auto"/>
        <w:bottom w:val="none" w:sz="0" w:space="0" w:color="auto"/>
        <w:right w:val="none" w:sz="0" w:space="0" w:color="auto"/>
      </w:divBdr>
    </w:div>
    <w:div w:id="1980647">
      <w:bodyDiv w:val="1"/>
      <w:marLeft w:val="0"/>
      <w:marRight w:val="0"/>
      <w:marTop w:val="0"/>
      <w:marBottom w:val="0"/>
      <w:divBdr>
        <w:top w:val="none" w:sz="0" w:space="0" w:color="auto"/>
        <w:left w:val="none" w:sz="0" w:space="0" w:color="auto"/>
        <w:bottom w:val="none" w:sz="0" w:space="0" w:color="auto"/>
        <w:right w:val="none" w:sz="0" w:space="0" w:color="auto"/>
      </w:divBdr>
    </w:div>
    <w:div w:id="2053577">
      <w:bodyDiv w:val="1"/>
      <w:marLeft w:val="0"/>
      <w:marRight w:val="0"/>
      <w:marTop w:val="0"/>
      <w:marBottom w:val="0"/>
      <w:divBdr>
        <w:top w:val="none" w:sz="0" w:space="0" w:color="auto"/>
        <w:left w:val="none" w:sz="0" w:space="0" w:color="auto"/>
        <w:bottom w:val="none" w:sz="0" w:space="0" w:color="auto"/>
        <w:right w:val="none" w:sz="0" w:space="0" w:color="auto"/>
      </w:divBdr>
    </w:div>
    <w:div w:id="2055875">
      <w:bodyDiv w:val="1"/>
      <w:marLeft w:val="0"/>
      <w:marRight w:val="0"/>
      <w:marTop w:val="0"/>
      <w:marBottom w:val="0"/>
      <w:divBdr>
        <w:top w:val="none" w:sz="0" w:space="0" w:color="auto"/>
        <w:left w:val="none" w:sz="0" w:space="0" w:color="auto"/>
        <w:bottom w:val="none" w:sz="0" w:space="0" w:color="auto"/>
        <w:right w:val="none" w:sz="0" w:space="0" w:color="auto"/>
      </w:divBdr>
    </w:div>
    <w:div w:id="2099835">
      <w:bodyDiv w:val="1"/>
      <w:marLeft w:val="0"/>
      <w:marRight w:val="0"/>
      <w:marTop w:val="0"/>
      <w:marBottom w:val="0"/>
      <w:divBdr>
        <w:top w:val="none" w:sz="0" w:space="0" w:color="auto"/>
        <w:left w:val="none" w:sz="0" w:space="0" w:color="auto"/>
        <w:bottom w:val="none" w:sz="0" w:space="0" w:color="auto"/>
        <w:right w:val="none" w:sz="0" w:space="0" w:color="auto"/>
      </w:divBdr>
    </w:div>
    <w:div w:id="2127807">
      <w:bodyDiv w:val="1"/>
      <w:marLeft w:val="0"/>
      <w:marRight w:val="0"/>
      <w:marTop w:val="0"/>
      <w:marBottom w:val="0"/>
      <w:divBdr>
        <w:top w:val="none" w:sz="0" w:space="0" w:color="auto"/>
        <w:left w:val="none" w:sz="0" w:space="0" w:color="auto"/>
        <w:bottom w:val="none" w:sz="0" w:space="0" w:color="auto"/>
        <w:right w:val="none" w:sz="0" w:space="0" w:color="auto"/>
      </w:divBdr>
    </w:div>
    <w:div w:id="2129465">
      <w:bodyDiv w:val="1"/>
      <w:marLeft w:val="0"/>
      <w:marRight w:val="0"/>
      <w:marTop w:val="0"/>
      <w:marBottom w:val="0"/>
      <w:divBdr>
        <w:top w:val="none" w:sz="0" w:space="0" w:color="auto"/>
        <w:left w:val="none" w:sz="0" w:space="0" w:color="auto"/>
        <w:bottom w:val="none" w:sz="0" w:space="0" w:color="auto"/>
        <w:right w:val="none" w:sz="0" w:space="0" w:color="auto"/>
      </w:divBdr>
    </w:div>
    <w:div w:id="2249751">
      <w:bodyDiv w:val="1"/>
      <w:marLeft w:val="0"/>
      <w:marRight w:val="0"/>
      <w:marTop w:val="0"/>
      <w:marBottom w:val="0"/>
      <w:divBdr>
        <w:top w:val="none" w:sz="0" w:space="0" w:color="auto"/>
        <w:left w:val="none" w:sz="0" w:space="0" w:color="auto"/>
        <w:bottom w:val="none" w:sz="0" w:space="0" w:color="auto"/>
        <w:right w:val="none" w:sz="0" w:space="0" w:color="auto"/>
      </w:divBdr>
    </w:div>
    <w:div w:id="2249791">
      <w:bodyDiv w:val="1"/>
      <w:marLeft w:val="0"/>
      <w:marRight w:val="0"/>
      <w:marTop w:val="0"/>
      <w:marBottom w:val="0"/>
      <w:divBdr>
        <w:top w:val="none" w:sz="0" w:space="0" w:color="auto"/>
        <w:left w:val="none" w:sz="0" w:space="0" w:color="auto"/>
        <w:bottom w:val="none" w:sz="0" w:space="0" w:color="auto"/>
        <w:right w:val="none" w:sz="0" w:space="0" w:color="auto"/>
      </w:divBdr>
    </w:div>
    <w:div w:id="2249839">
      <w:bodyDiv w:val="1"/>
      <w:marLeft w:val="0"/>
      <w:marRight w:val="0"/>
      <w:marTop w:val="0"/>
      <w:marBottom w:val="0"/>
      <w:divBdr>
        <w:top w:val="none" w:sz="0" w:space="0" w:color="auto"/>
        <w:left w:val="none" w:sz="0" w:space="0" w:color="auto"/>
        <w:bottom w:val="none" w:sz="0" w:space="0" w:color="auto"/>
        <w:right w:val="none" w:sz="0" w:space="0" w:color="auto"/>
      </w:divBdr>
    </w:div>
    <w:div w:id="2321891">
      <w:bodyDiv w:val="1"/>
      <w:marLeft w:val="0"/>
      <w:marRight w:val="0"/>
      <w:marTop w:val="0"/>
      <w:marBottom w:val="0"/>
      <w:divBdr>
        <w:top w:val="none" w:sz="0" w:space="0" w:color="auto"/>
        <w:left w:val="none" w:sz="0" w:space="0" w:color="auto"/>
        <w:bottom w:val="none" w:sz="0" w:space="0" w:color="auto"/>
        <w:right w:val="none" w:sz="0" w:space="0" w:color="auto"/>
      </w:divBdr>
    </w:div>
    <w:div w:id="2323743">
      <w:bodyDiv w:val="1"/>
      <w:marLeft w:val="0"/>
      <w:marRight w:val="0"/>
      <w:marTop w:val="0"/>
      <w:marBottom w:val="0"/>
      <w:divBdr>
        <w:top w:val="none" w:sz="0" w:space="0" w:color="auto"/>
        <w:left w:val="none" w:sz="0" w:space="0" w:color="auto"/>
        <w:bottom w:val="none" w:sz="0" w:space="0" w:color="auto"/>
        <w:right w:val="none" w:sz="0" w:space="0" w:color="auto"/>
      </w:divBdr>
    </w:div>
    <w:div w:id="2325650">
      <w:bodyDiv w:val="1"/>
      <w:marLeft w:val="0"/>
      <w:marRight w:val="0"/>
      <w:marTop w:val="0"/>
      <w:marBottom w:val="0"/>
      <w:divBdr>
        <w:top w:val="none" w:sz="0" w:space="0" w:color="auto"/>
        <w:left w:val="none" w:sz="0" w:space="0" w:color="auto"/>
        <w:bottom w:val="none" w:sz="0" w:space="0" w:color="auto"/>
        <w:right w:val="none" w:sz="0" w:space="0" w:color="auto"/>
      </w:divBdr>
    </w:div>
    <w:div w:id="2364099">
      <w:bodyDiv w:val="1"/>
      <w:marLeft w:val="0"/>
      <w:marRight w:val="0"/>
      <w:marTop w:val="0"/>
      <w:marBottom w:val="0"/>
      <w:divBdr>
        <w:top w:val="none" w:sz="0" w:space="0" w:color="auto"/>
        <w:left w:val="none" w:sz="0" w:space="0" w:color="auto"/>
        <w:bottom w:val="none" w:sz="0" w:space="0" w:color="auto"/>
        <w:right w:val="none" w:sz="0" w:space="0" w:color="auto"/>
      </w:divBdr>
    </w:div>
    <w:div w:id="2560159">
      <w:bodyDiv w:val="1"/>
      <w:marLeft w:val="0"/>
      <w:marRight w:val="0"/>
      <w:marTop w:val="0"/>
      <w:marBottom w:val="0"/>
      <w:divBdr>
        <w:top w:val="none" w:sz="0" w:space="0" w:color="auto"/>
        <w:left w:val="none" w:sz="0" w:space="0" w:color="auto"/>
        <w:bottom w:val="none" w:sz="0" w:space="0" w:color="auto"/>
        <w:right w:val="none" w:sz="0" w:space="0" w:color="auto"/>
      </w:divBdr>
    </w:div>
    <w:div w:id="2708053">
      <w:bodyDiv w:val="1"/>
      <w:marLeft w:val="0"/>
      <w:marRight w:val="0"/>
      <w:marTop w:val="0"/>
      <w:marBottom w:val="0"/>
      <w:divBdr>
        <w:top w:val="none" w:sz="0" w:space="0" w:color="auto"/>
        <w:left w:val="none" w:sz="0" w:space="0" w:color="auto"/>
        <w:bottom w:val="none" w:sz="0" w:space="0" w:color="auto"/>
        <w:right w:val="none" w:sz="0" w:space="0" w:color="auto"/>
      </w:divBdr>
    </w:div>
    <w:div w:id="2823752">
      <w:bodyDiv w:val="1"/>
      <w:marLeft w:val="0"/>
      <w:marRight w:val="0"/>
      <w:marTop w:val="0"/>
      <w:marBottom w:val="0"/>
      <w:divBdr>
        <w:top w:val="none" w:sz="0" w:space="0" w:color="auto"/>
        <w:left w:val="none" w:sz="0" w:space="0" w:color="auto"/>
        <w:bottom w:val="none" w:sz="0" w:space="0" w:color="auto"/>
        <w:right w:val="none" w:sz="0" w:space="0" w:color="auto"/>
      </w:divBdr>
    </w:div>
    <w:div w:id="2903089">
      <w:bodyDiv w:val="1"/>
      <w:marLeft w:val="0"/>
      <w:marRight w:val="0"/>
      <w:marTop w:val="0"/>
      <w:marBottom w:val="0"/>
      <w:divBdr>
        <w:top w:val="none" w:sz="0" w:space="0" w:color="auto"/>
        <w:left w:val="none" w:sz="0" w:space="0" w:color="auto"/>
        <w:bottom w:val="none" w:sz="0" w:space="0" w:color="auto"/>
        <w:right w:val="none" w:sz="0" w:space="0" w:color="auto"/>
      </w:divBdr>
    </w:div>
    <w:div w:id="2978941">
      <w:bodyDiv w:val="1"/>
      <w:marLeft w:val="0"/>
      <w:marRight w:val="0"/>
      <w:marTop w:val="0"/>
      <w:marBottom w:val="0"/>
      <w:divBdr>
        <w:top w:val="none" w:sz="0" w:space="0" w:color="auto"/>
        <w:left w:val="none" w:sz="0" w:space="0" w:color="auto"/>
        <w:bottom w:val="none" w:sz="0" w:space="0" w:color="auto"/>
        <w:right w:val="none" w:sz="0" w:space="0" w:color="auto"/>
      </w:divBdr>
    </w:div>
    <w:div w:id="3021395">
      <w:bodyDiv w:val="1"/>
      <w:marLeft w:val="0"/>
      <w:marRight w:val="0"/>
      <w:marTop w:val="0"/>
      <w:marBottom w:val="0"/>
      <w:divBdr>
        <w:top w:val="none" w:sz="0" w:space="0" w:color="auto"/>
        <w:left w:val="none" w:sz="0" w:space="0" w:color="auto"/>
        <w:bottom w:val="none" w:sz="0" w:space="0" w:color="auto"/>
        <w:right w:val="none" w:sz="0" w:space="0" w:color="auto"/>
      </w:divBdr>
    </w:div>
    <w:div w:id="3021843">
      <w:bodyDiv w:val="1"/>
      <w:marLeft w:val="0"/>
      <w:marRight w:val="0"/>
      <w:marTop w:val="0"/>
      <w:marBottom w:val="0"/>
      <w:divBdr>
        <w:top w:val="none" w:sz="0" w:space="0" w:color="auto"/>
        <w:left w:val="none" w:sz="0" w:space="0" w:color="auto"/>
        <w:bottom w:val="none" w:sz="0" w:space="0" w:color="auto"/>
        <w:right w:val="none" w:sz="0" w:space="0" w:color="auto"/>
      </w:divBdr>
    </w:div>
    <w:div w:id="3215010">
      <w:bodyDiv w:val="1"/>
      <w:marLeft w:val="0"/>
      <w:marRight w:val="0"/>
      <w:marTop w:val="0"/>
      <w:marBottom w:val="0"/>
      <w:divBdr>
        <w:top w:val="none" w:sz="0" w:space="0" w:color="auto"/>
        <w:left w:val="none" w:sz="0" w:space="0" w:color="auto"/>
        <w:bottom w:val="none" w:sz="0" w:space="0" w:color="auto"/>
        <w:right w:val="none" w:sz="0" w:space="0" w:color="auto"/>
      </w:divBdr>
    </w:div>
    <w:div w:id="3359283">
      <w:bodyDiv w:val="1"/>
      <w:marLeft w:val="0"/>
      <w:marRight w:val="0"/>
      <w:marTop w:val="0"/>
      <w:marBottom w:val="0"/>
      <w:divBdr>
        <w:top w:val="none" w:sz="0" w:space="0" w:color="auto"/>
        <w:left w:val="none" w:sz="0" w:space="0" w:color="auto"/>
        <w:bottom w:val="none" w:sz="0" w:space="0" w:color="auto"/>
        <w:right w:val="none" w:sz="0" w:space="0" w:color="auto"/>
      </w:divBdr>
    </w:div>
    <w:div w:id="3557205">
      <w:bodyDiv w:val="1"/>
      <w:marLeft w:val="0"/>
      <w:marRight w:val="0"/>
      <w:marTop w:val="0"/>
      <w:marBottom w:val="0"/>
      <w:divBdr>
        <w:top w:val="none" w:sz="0" w:space="0" w:color="auto"/>
        <w:left w:val="none" w:sz="0" w:space="0" w:color="auto"/>
        <w:bottom w:val="none" w:sz="0" w:space="0" w:color="auto"/>
        <w:right w:val="none" w:sz="0" w:space="0" w:color="auto"/>
      </w:divBdr>
    </w:div>
    <w:div w:id="3635376">
      <w:bodyDiv w:val="1"/>
      <w:marLeft w:val="0"/>
      <w:marRight w:val="0"/>
      <w:marTop w:val="0"/>
      <w:marBottom w:val="0"/>
      <w:divBdr>
        <w:top w:val="none" w:sz="0" w:space="0" w:color="auto"/>
        <w:left w:val="none" w:sz="0" w:space="0" w:color="auto"/>
        <w:bottom w:val="none" w:sz="0" w:space="0" w:color="auto"/>
        <w:right w:val="none" w:sz="0" w:space="0" w:color="auto"/>
      </w:divBdr>
    </w:div>
    <w:div w:id="3676800">
      <w:bodyDiv w:val="1"/>
      <w:marLeft w:val="0"/>
      <w:marRight w:val="0"/>
      <w:marTop w:val="0"/>
      <w:marBottom w:val="0"/>
      <w:divBdr>
        <w:top w:val="none" w:sz="0" w:space="0" w:color="auto"/>
        <w:left w:val="none" w:sz="0" w:space="0" w:color="auto"/>
        <w:bottom w:val="none" w:sz="0" w:space="0" w:color="auto"/>
        <w:right w:val="none" w:sz="0" w:space="0" w:color="auto"/>
      </w:divBdr>
    </w:div>
    <w:div w:id="3677376">
      <w:bodyDiv w:val="1"/>
      <w:marLeft w:val="0"/>
      <w:marRight w:val="0"/>
      <w:marTop w:val="0"/>
      <w:marBottom w:val="0"/>
      <w:divBdr>
        <w:top w:val="none" w:sz="0" w:space="0" w:color="auto"/>
        <w:left w:val="none" w:sz="0" w:space="0" w:color="auto"/>
        <w:bottom w:val="none" w:sz="0" w:space="0" w:color="auto"/>
        <w:right w:val="none" w:sz="0" w:space="0" w:color="auto"/>
      </w:divBdr>
    </w:div>
    <w:div w:id="3677460">
      <w:bodyDiv w:val="1"/>
      <w:marLeft w:val="0"/>
      <w:marRight w:val="0"/>
      <w:marTop w:val="0"/>
      <w:marBottom w:val="0"/>
      <w:divBdr>
        <w:top w:val="none" w:sz="0" w:space="0" w:color="auto"/>
        <w:left w:val="none" w:sz="0" w:space="0" w:color="auto"/>
        <w:bottom w:val="none" w:sz="0" w:space="0" w:color="auto"/>
        <w:right w:val="none" w:sz="0" w:space="0" w:color="auto"/>
      </w:divBdr>
    </w:div>
    <w:div w:id="3747185">
      <w:bodyDiv w:val="1"/>
      <w:marLeft w:val="0"/>
      <w:marRight w:val="0"/>
      <w:marTop w:val="0"/>
      <w:marBottom w:val="0"/>
      <w:divBdr>
        <w:top w:val="none" w:sz="0" w:space="0" w:color="auto"/>
        <w:left w:val="none" w:sz="0" w:space="0" w:color="auto"/>
        <w:bottom w:val="none" w:sz="0" w:space="0" w:color="auto"/>
        <w:right w:val="none" w:sz="0" w:space="0" w:color="auto"/>
      </w:divBdr>
    </w:div>
    <w:div w:id="3752650">
      <w:bodyDiv w:val="1"/>
      <w:marLeft w:val="0"/>
      <w:marRight w:val="0"/>
      <w:marTop w:val="0"/>
      <w:marBottom w:val="0"/>
      <w:divBdr>
        <w:top w:val="none" w:sz="0" w:space="0" w:color="auto"/>
        <w:left w:val="none" w:sz="0" w:space="0" w:color="auto"/>
        <w:bottom w:val="none" w:sz="0" w:space="0" w:color="auto"/>
        <w:right w:val="none" w:sz="0" w:space="0" w:color="auto"/>
      </w:divBdr>
    </w:div>
    <w:div w:id="3869784">
      <w:bodyDiv w:val="1"/>
      <w:marLeft w:val="0"/>
      <w:marRight w:val="0"/>
      <w:marTop w:val="0"/>
      <w:marBottom w:val="0"/>
      <w:divBdr>
        <w:top w:val="none" w:sz="0" w:space="0" w:color="auto"/>
        <w:left w:val="none" w:sz="0" w:space="0" w:color="auto"/>
        <w:bottom w:val="none" w:sz="0" w:space="0" w:color="auto"/>
        <w:right w:val="none" w:sz="0" w:space="0" w:color="auto"/>
      </w:divBdr>
    </w:div>
    <w:div w:id="4018962">
      <w:bodyDiv w:val="1"/>
      <w:marLeft w:val="0"/>
      <w:marRight w:val="0"/>
      <w:marTop w:val="0"/>
      <w:marBottom w:val="0"/>
      <w:divBdr>
        <w:top w:val="none" w:sz="0" w:space="0" w:color="auto"/>
        <w:left w:val="none" w:sz="0" w:space="0" w:color="auto"/>
        <w:bottom w:val="none" w:sz="0" w:space="0" w:color="auto"/>
        <w:right w:val="none" w:sz="0" w:space="0" w:color="auto"/>
      </w:divBdr>
    </w:div>
    <w:div w:id="4064972">
      <w:bodyDiv w:val="1"/>
      <w:marLeft w:val="0"/>
      <w:marRight w:val="0"/>
      <w:marTop w:val="0"/>
      <w:marBottom w:val="0"/>
      <w:divBdr>
        <w:top w:val="none" w:sz="0" w:space="0" w:color="auto"/>
        <w:left w:val="none" w:sz="0" w:space="0" w:color="auto"/>
        <w:bottom w:val="none" w:sz="0" w:space="0" w:color="auto"/>
        <w:right w:val="none" w:sz="0" w:space="0" w:color="auto"/>
      </w:divBdr>
    </w:div>
    <w:div w:id="4131990">
      <w:bodyDiv w:val="1"/>
      <w:marLeft w:val="0"/>
      <w:marRight w:val="0"/>
      <w:marTop w:val="0"/>
      <w:marBottom w:val="0"/>
      <w:divBdr>
        <w:top w:val="none" w:sz="0" w:space="0" w:color="auto"/>
        <w:left w:val="none" w:sz="0" w:space="0" w:color="auto"/>
        <w:bottom w:val="none" w:sz="0" w:space="0" w:color="auto"/>
        <w:right w:val="none" w:sz="0" w:space="0" w:color="auto"/>
      </w:divBdr>
    </w:div>
    <w:div w:id="4137620">
      <w:bodyDiv w:val="1"/>
      <w:marLeft w:val="0"/>
      <w:marRight w:val="0"/>
      <w:marTop w:val="0"/>
      <w:marBottom w:val="0"/>
      <w:divBdr>
        <w:top w:val="none" w:sz="0" w:space="0" w:color="auto"/>
        <w:left w:val="none" w:sz="0" w:space="0" w:color="auto"/>
        <w:bottom w:val="none" w:sz="0" w:space="0" w:color="auto"/>
        <w:right w:val="none" w:sz="0" w:space="0" w:color="auto"/>
      </w:divBdr>
    </w:div>
    <w:div w:id="4283141">
      <w:bodyDiv w:val="1"/>
      <w:marLeft w:val="0"/>
      <w:marRight w:val="0"/>
      <w:marTop w:val="0"/>
      <w:marBottom w:val="0"/>
      <w:divBdr>
        <w:top w:val="none" w:sz="0" w:space="0" w:color="auto"/>
        <w:left w:val="none" w:sz="0" w:space="0" w:color="auto"/>
        <w:bottom w:val="none" w:sz="0" w:space="0" w:color="auto"/>
        <w:right w:val="none" w:sz="0" w:space="0" w:color="auto"/>
      </w:divBdr>
    </w:div>
    <w:div w:id="4292270">
      <w:bodyDiv w:val="1"/>
      <w:marLeft w:val="0"/>
      <w:marRight w:val="0"/>
      <w:marTop w:val="0"/>
      <w:marBottom w:val="0"/>
      <w:divBdr>
        <w:top w:val="none" w:sz="0" w:space="0" w:color="auto"/>
        <w:left w:val="none" w:sz="0" w:space="0" w:color="auto"/>
        <w:bottom w:val="none" w:sz="0" w:space="0" w:color="auto"/>
        <w:right w:val="none" w:sz="0" w:space="0" w:color="auto"/>
      </w:divBdr>
    </w:div>
    <w:div w:id="4331004">
      <w:bodyDiv w:val="1"/>
      <w:marLeft w:val="0"/>
      <w:marRight w:val="0"/>
      <w:marTop w:val="0"/>
      <w:marBottom w:val="0"/>
      <w:divBdr>
        <w:top w:val="none" w:sz="0" w:space="0" w:color="auto"/>
        <w:left w:val="none" w:sz="0" w:space="0" w:color="auto"/>
        <w:bottom w:val="none" w:sz="0" w:space="0" w:color="auto"/>
        <w:right w:val="none" w:sz="0" w:space="0" w:color="auto"/>
      </w:divBdr>
    </w:div>
    <w:div w:id="4332220">
      <w:bodyDiv w:val="1"/>
      <w:marLeft w:val="0"/>
      <w:marRight w:val="0"/>
      <w:marTop w:val="0"/>
      <w:marBottom w:val="0"/>
      <w:divBdr>
        <w:top w:val="none" w:sz="0" w:space="0" w:color="auto"/>
        <w:left w:val="none" w:sz="0" w:space="0" w:color="auto"/>
        <w:bottom w:val="none" w:sz="0" w:space="0" w:color="auto"/>
        <w:right w:val="none" w:sz="0" w:space="0" w:color="auto"/>
      </w:divBdr>
    </w:div>
    <w:div w:id="4404541">
      <w:bodyDiv w:val="1"/>
      <w:marLeft w:val="0"/>
      <w:marRight w:val="0"/>
      <w:marTop w:val="0"/>
      <w:marBottom w:val="0"/>
      <w:divBdr>
        <w:top w:val="none" w:sz="0" w:space="0" w:color="auto"/>
        <w:left w:val="none" w:sz="0" w:space="0" w:color="auto"/>
        <w:bottom w:val="none" w:sz="0" w:space="0" w:color="auto"/>
        <w:right w:val="none" w:sz="0" w:space="0" w:color="auto"/>
      </w:divBdr>
    </w:div>
    <w:div w:id="4406784">
      <w:bodyDiv w:val="1"/>
      <w:marLeft w:val="0"/>
      <w:marRight w:val="0"/>
      <w:marTop w:val="0"/>
      <w:marBottom w:val="0"/>
      <w:divBdr>
        <w:top w:val="none" w:sz="0" w:space="0" w:color="auto"/>
        <w:left w:val="none" w:sz="0" w:space="0" w:color="auto"/>
        <w:bottom w:val="none" w:sz="0" w:space="0" w:color="auto"/>
        <w:right w:val="none" w:sz="0" w:space="0" w:color="auto"/>
      </w:divBdr>
    </w:div>
    <w:div w:id="4480096">
      <w:bodyDiv w:val="1"/>
      <w:marLeft w:val="0"/>
      <w:marRight w:val="0"/>
      <w:marTop w:val="0"/>
      <w:marBottom w:val="0"/>
      <w:divBdr>
        <w:top w:val="none" w:sz="0" w:space="0" w:color="auto"/>
        <w:left w:val="none" w:sz="0" w:space="0" w:color="auto"/>
        <w:bottom w:val="none" w:sz="0" w:space="0" w:color="auto"/>
        <w:right w:val="none" w:sz="0" w:space="0" w:color="auto"/>
      </w:divBdr>
    </w:div>
    <w:div w:id="4484278">
      <w:bodyDiv w:val="1"/>
      <w:marLeft w:val="0"/>
      <w:marRight w:val="0"/>
      <w:marTop w:val="0"/>
      <w:marBottom w:val="0"/>
      <w:divBdr>
        <w:top w:val="none" w:sz="0" w:space="0" w:color="auto"/>
        <w:left w:val="none" w:sz="0" w:space="0" w:color="auto"/>
        <w:bottom w:val="none" w:sz="0" w:space="0" w:color="auto"/>
        <w:right w:val="none" w:sz="0" w:space="0" w:color="auto"/>
      </w:divBdr>
    </w:div>
    <w:div w:id="4526947">
      <w:bodyDiv w:val="1"/>
      <w:marLeft w:val="0"/>
      <w:marRight w:val="0"/>
      <w:marTop w:val="0"/>
      <w:marBottom w:val="0"/>
      <w:divBdr>
        <w:top w:val="none" w:sz="0" w:space="0" w:color="auto"/>
        <w:left w:val="none" w:sz="0" w:space="0" w:color="auto"/>
        <w:bottom w:val="none" w:sz="0" w:space="0" w:color="auto"/>
        <w:right w:val="none" w:sz="0" w:space="0" w:color="auto"/>
      </w:divBdr>
    </w:div>
    <w:div w:id="4552163">
      <w:bodyDiv w:val="1"/>
      <w:marLeft w:val="0"/>
      <w:marRight w:val="0"/>
      <w:marTop w:val="0"/>
      <w:marBottom w:val="0"/>
      <w:divBdr>
        <w:top w:val="none" w:sz="0" w:space="0" w:color="auto"/>
        <w:left w:val="none" w:sz="0" w:space="0" w:color="auto"/>
        <w:bottom w:val="none" w:sz="0" w:space="0" w:color="auto"/>
        <w:right w:val="none" w:sz="0" w:space="0" w:color="auto"/>
      </w:divBdr>
    </w:div>
    <w:div w:id="4554376">
      <w:bodyDiv w:val="1"/>
      <w:marLeft w:val="0"/>
      <w:marRight w:val="0"/>
      <w:marTop w:val="0"/>
      <w:marBottom w:val="0"/>
      <w:divBdr>
        <w:top w:val="none" w:sz="0" w:space="0" w:color="auto"/>
        <w:left w:val="none" w:sz="0" w:space="0" w:color="auto"/>
        <w:bottom w:val="none" w:sz="0" w:space="0" w:color="auto"/>
        <w:right w:val="none" w:sz="0" w:space="0" w:color="auto"/>
      </w:divBdr>
    </w:div>
    <w:div w:id="4747573">
      <w:bodyDiv w:val="1"/>
      <w:marLeft w:val="0"/>
      <w:marRight w:val="0"/>
      <w:marTop w:val="0"/>
      <w:marBottom w:val="0"/>
      <w:divBdr>
        <w:top w:val="none" w:sz="0" w:space="0" w:color="auto"/>
        <w:left w:val="none" w:sz="0" w:space="0" w:color="auto"/>
        <w:bottom w:val="none" w:sz="0" w:space="0" w:color="auto"/>
        <w:right w:val="none" w:sz="0" w:space="0" w:color="auto"/>
      </w:divBdr>
    </w:div>
    <w:div w:id="4793921">
      <w:bodyDiv w:val="1"/>
      <w:marLeft w:val="0"/>
      <w:marRight w:val="0"/>
      <w:marTop w:val="0"/>
      <w:marBottom w:val="0"/>
      <w:divBdr>
        <w:top w:val="none" w:sz="0" w:space="0" w:color="auto"/>
        <w:left w:val="none" w:sz="0" w:space="0" w:color="auto"/>
        <w:bottom w:val="none" w:sz="0" w:space="0" w:color="auto"/>
        <w:right w:val="none" w:sz="0" w:space="0" w:color="auto"/>
      </w:divBdr>
    </w:div>
    <w:div w:id="4868328">
      <w:bodyDiv w:val="1"/>
      <w:marLeft w:val="0"/>
      <w:marRight w:val="0"/>
      <w:marTop w:val="0"/>
      <w:marBottom w:val="0"/>
      <w:divBdr>
        <w:top w:val="none" w:sz="0" w:space="0" w:color="auto"/>
        <w:left w:val="none" w:sz="0" w:space="0" w:color="auto"/>
        <w:bottom w:val="none" w:sz="0" w:space="0" w:color="auto"/>
        <w:right w:val="none" w:sz="0" w:space="0" w:color="auto"/>
      </w:divBdr>
    </w:div>
    <w:div w:id="4871511">
      <w:bodyDiv w:val="1"/>
      <w:marLeft w:val="0"/>
      <w:marRight w:val="0"/>
      <w:marTop w:val="0"/>
      <w:marBottom w:val="0"/>
      <w:divBdr>
        <w:top w:val="none" w:sz="0" w:space="0" w:color="auto"/>
        <w:left w:val="none" w:sz="0" w:space="0" w:color="auto"/>
        <w:bottom w:val="none" w:sz="0" w:space="0" w:color="auto"/>
        <w:right w:val="none" w:sz="0" w:space="0" w:color="auto"/>
      </w:divBdr>
    </w:div>
    <w:div w:id="4987496">
      <w:bodyDiv w:val="1"/>
      <w:marLeft w:val="0"/>
      <w:marRight w:val="0"/>
      <w:marTop w:val="0"/>
      <w:marBottom w:val="0"/>
      <w:divBdr>
        <w:top w:val="none" w:sz="0" w:space="0" w:color="auto"/>
        <w:left w:val="none" w:sz="0" w:space="0" w:color="auto"/>
        <w:bottom w:val="none" w:sz="0" w:space="0" w:color="auto"/>
        <w:right w:val="none" w:sz="0" w:space="0" w:color="auto"/>
      </w:divBdr>
    </w:div>
    <w:div w:id="5059752">
      <w:bodyDiv w:val="1"/>
      <w:marLeft w:val="0"/>
      <w:marRight w:val="0"/>
      <w:marTop w:val="0"/>
      <w:marBottom w:val="0"/>
      <w:divBdr>
        <w:top w:val="none" w:sz="0" w:space="0" w:color="auto"/>
        <w:left w:val="none" w:sz="0" w:space="0" w:color="auto"/>
        <w:bottom w:val="none" w:sz="0" w:space="0" w:color="auto"/>
        <w:right w:val="none" w:sz="0" w:space="0" w:color="auto"/>
      </w:divBdr>
    </w:div>
    <w:div w:id="5180612">
      <w:bodyDiv w:val="1"/>
      <w:marLeft w:val="0"/>
      <w:marRight w:val="0"/>
      <w:marTop w:val="0"/>
      <w:marBottom w:val="0"/>
      <w:divBdr>
        <w:top w:val="none" w:sz="0" w:space="0" w:color="auto"/>
        <w:left w:val="none" w:sz="0" w:space="0" w:color="auto"/>
        <w:bottom w:val="none" w:sz="0" w:space="0" w:color="auto"/>
        <w:right w:val="none" w:sz="0" w:space="0" w:color="auto"/>
      </w:divBdr>
    </w:div>
    <w:div w:id="5206951">
      <w:bodyDiv w:val="1"/>
      <w:marLeft w:val="0"/>
      <w:marRight w:val="0"/>
      <w:marTop w:val="0"/>
      <w:marBottom w:val="0"/>
      <w:divBdr>
        <w:top w:val="none" w:sz="0" w:space="0" w:color="auto"/>
        <w:left w:val="none" w:sz="0" w:space="0" w:color="auto"/>
        <w:bottom w:val="none" w:sz="0" w:space="0" w:color="auto"/>
        <w:right w:val="none" w:sz="0" w:space="0" w:color="auto"/>
      </w:divBdr>
    </w:div>
    <w:div w:id="5253456">
      <w:bodyDiv w:val="1"/>
      <w:marLeft w:val="0"/>
      <w:marRight w:val="0"/>
      <w:marTop w:val="0"/>
      <w:marBottom w:val="0"/>
      <w:divBdr>
        <w:top w:val="none" w:sz="0" w:space="0" w:color="auto"/>
        <w:left w:val="none" w:sz="0" w:space="0" w:color="auto"/>
        <w:bottom w:val="none" w:sz="0" w:space="0" w:color="auto"/>
        <w:right w:val="none" w:sz="0" w:space="0" w:color="auto"/>
      </w:divBdr>
    </w:div>
    <w:div w:id="5451363">
      <w:bodyDiv w:val="1"/>
      <w:marLeft w:val="0"/>
      <w:marRight w:val="0"/>
      <w:marTop w:val="0"/>
      <w:marBottom w:val="0"/>
      <w:divBdr>
        <w:top w:val="none" w:sz="0" w:space="0" w:color="auto"/>
        <w:left w:val="none" w:sz="0" w:space="0" w:color="auto"/>
        <w:bottom w:val="none" w:sz="0" w:space="0" w:color="auto"/>
        <w:right w:val="none" w:sz="0" w:space="0" w:color="auto"/>
      </w:divBdr>
    </w:div>
    <w:div w:id="5525913">
      <w:bodyDiv w:val="1"/>
      <w:marLeft w:val="0"/>
      <w:marRight w:val="0"/>
      <w:marTop w:val="0"/>
      <w:marBottom w:val="0"/>
      <w:divBdr>
        <w:top w:val="none" w:sz="0" w:space="0" w:color="auto"/>
        <w:left w:val="none" w:sz="0" w:space="0" w:color="auto"/>
        <w:bottom w:val="none" w:sz="0" w:space="0" w:color="auto"/>
        <w:right w:val="none" w:sz="0" w:space="0" w:color="auto"/>
      </w:divBdr>
    </w:div>
    <w:div w:id="5720521">
      <w:bodyDiv w:val="1"/>
      <w:marLeft w:val="0"/>
      <w:marRight w:val="0"/>
      <w:marTop w:val="0"/>
      <w:marBottom w:val="0"/>
      <w:divBdr>
        <w:top w:val="none" w:sz="0" w:space="0" w:color="auto"/>
        <w:left w:val="none" w:sz="0" w:space="0" w:color="auto"/>
        <w:bottom w:val="none" w:sz="0" w:space="0" w:color="auto"/>
        <w:right w:val="none" w:sz="0" w:space="0" w:color="auto"/>
      </w:divBdr>
    </w:div>
    <w:div w:id="5789377">
      <w:bodyDiv w:val="1"/>
      <w:marLeft w:val="0"/>
      <w:marRight w:val="0"/>
      <w:marTop w:val="0"/>
      <w:marBottom w:val="0"/>
      <w:divBdr>
        <w:top w:val="none" w:sz="0" w:space="0" w:color="auto"/>
        <w:left w:val="none" w:sz="0" w:space="0" w:color="auto"/>
        <w:bottom w:val="none" w:sz="0" w:space="0" w:color="auto"/>
        <w:right w:val="none" w:sz="0" w:space="0" w:color="auto"/>
      </w:divBdr>
    </w:div>
    <w:div w:id="5794833">
      <w:bodyDiv w:val="1"/>
      <w:marLeft w:val="0"/>
      <w:marRight w:val="0"/>
      <w:marTop w:val="0"/>
      <w:marBottom w:val="0"/>
      <w:divBdr>
        <w:top w:val="none" w:sz="0" w:space="0" w:color="auto"/>
        <w:left w:val="none" w:sz="0" w:space="0" w:color="auto"/>
        <w:bottom w:val="none" w:sz="0" w:space="0" w:color="auto"/>
        <w:right w:val="none" w:sz="0" w:space="0" w:color="auto"/>
      </w:divBdr>
    </w:div>
    <w:div w:id="5795610">
      <w:bodyDiv w:val="1"/>
      <w:marLeft w:val="0"/>
      <w:marRight w:val="0"/>
      <w:marTop w:val="0"/>
      <w:marBottom w:val="0"/>
      <w:divBdr>
        <w:top w:val="none" w:sz="0" w:space="0" w:color="auto"/>
        <w:left w:val="none" w:sz="0" w:space="0" w:color="auto"/>
        <w:bottom w:val="none" w:sz="0" w:space="0" w:color="auto"/>
        <w:right w:val="none" w:sz="0" w:space="0" w:color="auto"/>
      </w:divBdr>
    </w:div>
    <w:div w:id="5836750">
      <w:bodyDiv w:val="1"/>
      <w:marLeft w:val="0"/>
      <w:marRight w:val="0"/>
      <w:marTop w:val="0"/>
      <w:marBottom w:val="0"/>
      <w:divBdr>
        <w:top w:val="none" w:sz="0" w:space="0" w:color="auto"/>
        <w:left w:val="none" w:sz="0" w:space="0" w:color="auto"/>
        <w:bottom w:val="none" w:sz="0" w:space="0" w:color="auto"/>
        <w:right w:val="none" w:sz="0" w:space="0" w:color="auto"/>
      </w:divBdr>
    </w:div>
    <w:div w:id="5907537">
      <w:bodyDiv w:val="1"/>
      <w:marLeft w:val="0"/>
      <w:marRight w:val="0"/>
      <w:marTop w:val="0"/>
      <w:marBottom w:val="0"/>
      <w:divBdr>
        <w:top w:val="none" w:sz="0" w:space="0" w:color="auto"/>
        <w:left w:val="none" w:sz="0" w:space="0" w:color="auto"/>
        <w:bottom w:val="none" w:sz="0" w:space="0" w:color="auto"/>
        <w:right w:val="none" w:sz="0" w:space="0" w:color="auto"/>
      </w:divBdr>
    </w:div>
    <w:div w:id="5989367">
      <w:bodyDiv w:val="1"/>
      <w:marLeft w:val="0"/>
      <w:marRight w:val="0"/>
      <w:marTop w:val="0"/>
      <w:marBottom w:val="0"/>
      <w:divBdr>
        <w:top w:val="none" w:sz="0" w:space="0" w:color="auto"/>
        <w:left w:val="none" w:sz="0" w:space="0" w:color="auto"/>
        <w:bottom w:val="none" w:sz="0" w:space="0" w:color="auto"/>
        <w:right w:val="none" w:sz="0" w:space="0" w:color="auto"/>
      </w:divBdr>
    </w:div>
    <w:div w:id="6059051">
      <w:bodyDiv w:val="1"/>
      <w:marLeft w:val="0"/>
      <w:marRight w:val="0"/>
      <w:marTop w:val="0"/>
      <w:marBottom w:val="0"/>
      <w:divBdr>
        <w:top w:val="none" w:sz="0" w:space="0" w:color="auto"/>
        <w:left w:val="none" w:sz="0" w:space="0" w:color="auto"/>
        <w:bottom w:val="none" w:sz="0" w:space="0" w:color="auto"/>
        <w:right w:val="none" w:sz="0" w:space="0" w:color="auto"/>
      </w:divBdr>
    </w:div>
    <w:div w:id="6107397">
      <w:bodyDiv w:val="1"/>
      <w:marLeft w:val="0"/>
      <w:marRight w:val="0"/>
      <w:marTop w:val="0"/>
      <w:marBottom w:val="0"/>
      <w:divBdr>
        <w:top w:val="none" w:sz="0" w:space="0" w:color="auto"/>
        <w:left w:val="none" w:sz="0" w:space="0" w:color="auto"/>
        <w:bottom w:val="none" w:sz="0" w:space="0" w:color="auto"/>
        <w:right w:val="none" w:sz="0" w:space="0" w:color="auto"/>
      </w:divBdr>
    </w:div>
    <w:div w:id="6253254">
      <w:bodyDiv w:val="1"/>
      <w:marLeft w:val="0"/>
      <w:marRight w:val="0"/>
      <w:marTop w:val="0"/>
      <w:marBottom w:val="0"/>
      <w:divBdr>
        <w:top w:val="none" w:sz="0" w:space="0" w:color="auto"/>
        <w:left w:val="none" w:sz="0" w:space="0" w:color="auto"/>
        <w:bottom w:val="none" w:sz="0" w:space="0" w:color="auto"/>
        <w:right w:val="none" w:sz="0" w:space="0" w:color="auto"/>
      </w:divBdr>
    </w:div>
    <w:div w:id="6520667">
      <w:bodyDiv w:val="1"/>
      <w:marLeft w:val="0"/>
      <w:marRight w:val="0"/>
      <w:marTop w:val="0"/>
      <w:marBottom w:val="0"/>
      <w:divBdr>
        <w:top w:val="none" w:sz="0" w:space="0" w:color="auto"/>
        <w:left w:val="none" w:sz="0" w:space="0" w:color="auto"/>
        <w:bottom w:val="none" w:sz="0" w:space="0" w:color="auto"/>
        <w:right w:val="none" w:sz="0" w:space="0" w:color="auto"/>
      </w:divBdr>
    </w:div>
    <w:div w:id="6713315">
      <w:bodyDiv w:val="1"/>
      <w:marLeft w:val="0"/>
      <w:marRight w:val="0"/>
      <w:marTop w:val="0"/>
      <w:marBottom w:val="0"/>
      <w:divBdr>
        <w:top w:val="none" w:sz="0" w:space="0" w:color="auto"/>
        <w:left w:val="none" w:sz="0" w:space="0" w:color="auto"/>
        <w:bottom w:val="none" w:sz="0" w:space="0" w:color="auto"/>
        <w:right w:val="none" w:sz="0" w:space="0" w:color="auto"/>
      </w:divBdr>
    </w:div>
    <w:div w:id="6758480">
      <w:bodyDiv w:val="1"/>
      <w:marLeft w:val="0"/>
      <w:marRight w:val="0"/>
      <w:marTop w:val="0"/>
      <w:marBottom w:val="0"/>
      <w:divBdr>
        <w:top w:val="none" w:sz="0" w:space="0" w:color="auto"/>
        <w:left w:val="none" w:sz="0" w:space="0" w:color="auto"/>
        <w:bottom w:val="none" w:sz="0" w:space="0" w:color="auto"/>
        <w:right w:val="none" w:sz="0" w:space="0" w:color="auto"/>
      </w:divBdr>
    </w:div>
    <w:div w:id="6833942">
      <w:bodyDiv w:val="1"/>
      <w:marLeft w:val="0"/>
      <w:marRight w:val="0"/>
      <w:marTop w:val="0"/>
      <w:marBottom w:val="0"/>
      <w:divBdr>
        <w:top w:val="none" w:sz="0" w:space="0" w:color="auto"/>
        <w:left w:val="none" w:sz="0" w:space="0" w:color="auto"/>
        <w:bottom w:val="none" w:sz="0" w:space="0" w:color="auto"/>
        <w:right w:val="none" w:sz="0" w:space="0" w:color="auto"/>
      </w:divBdr>
    </w:div>
    <w:div w:id="6951336">
      <w:bodyDiv w:val="1"/>
      <w:marLeft w:val="0"/>
      <w:marRight w:val="0"/>
      <w:marTop w:val="0"/>
      <w:marBottom w:val="0"/>
      <w:divBdr>
        <w:top w:val="none" w:sz="0" w:space="0" w:color="auto"/>
        <w:left w:val="none" w:sz="0" w:space="0" w:color="auto"/>
        <w:bottom w:val="none" w:sz="0" w:space="0" w:color="auto"/>
        <w:right w:val="none" w:sz="0" w:space="0" w:color="auto"/>
      </w:divBdr>
    </w:div>
    <w:div w:id="7104513">
      <w:bodyDiv w:val="1"/>
      <w:marLeft w:val="0"/>
      <w:marRight w:val="0"/>
      <w:marTop w:val="0"/>
      <w:marBottom w:val="0"/>
      <w:divBdr>
        <w:top w:val="none" w:sz="0" w:space="0" w:color="auto"/>
        <w:left w:val="none" w:sz="0" w:space="0" w:color="auto"/>
        <w:bottom w:val="none" w:sz="0" w:space="0" w:color="auto"/>
        <w:right w:val="none" w:sz="0" w:space="0" w:color="auto"/>
      </w:divBdr>
    </w:div>
    <w:div w:id="7295086">
      <w:bodyDiv w:val="1"/>
      <w:marLeft w:val="0"/>
      <w:marRight w:val="0"/>
      <w:marTop w:val="0"/>
      <w:marBottom w:val="0"/>
      <w:divBdr>
        <w:top w:val="none" w:sz="0" w:space="0" w:color="auto"/>
        <w:left w:val="none" w:sz="0" w:space="0" w:color="auto"/>
        <w:bottom w:val="none" w:sz="0" w:space="0" w:color="auto"/>
        <w:right w:val="none" w:sz="0" w:space="0" w:color="auto"/>
      </w:divBdr>
    </w:div>
    <w:div w:id="7297531">
      <w:bodyDiv w:val="1"/>
      <w:marLeft w:val="0"/>
      <w:marRight w:val="0"/>
      <w:marTop w:val="0"/>
      <w:marBottom w:val="0"/>
      <w:divBdr>
        <w:top w:val="none" w:sz="0" w:space="0" w:color="auto"/>
        <w:left w:val="none" w:sz="0" w:space="0" w:color="auto"/>
        <w:bottom w:val="none" w:sz="0" w:space="0" w:color="auto"/>
        <w:right w:val="none" w:sz="0" w:space="0" w:color="auto"/>
      </w:divBdr>
    </w:div>
    <w:div w:id="7414720">
      <w:bodyDiv w:val="1"/>
      <w:marLeft w:val="0"/>
      <w:marRight w:val="0"/>
      <w:marTop w:val="0"/>
      <w:marBottom w:val="0"/>
      <w:divBdr>
        <w:top w:val="none" w:sz="0" w:space="0" w:color="auto"/>
        <w:left w:val="none" w:sz="0" w:space="0" w:color="auto"/>
        <w:bottom w:val="none" w:sz="0" w:space="0" w:color="auto"/>
        <w:right w:val="none" w:sz="0" w:space="0" w:color="auto"/>
      </w:divBdr>
    </w:div>
    <w:div w:id="7564084">
      <w:bodyDiv w:val="1"/>
      <w:marLeft w:val="0"/>
      <w:marRight w:val="0"/>
      <w:marTop w:val="0"/>
      <w:marBottom w:val="0"/>
      <w:divBdr>
        <w:top w:val="none" w:sz="0" w:space="0" w:color="auto"/>
        <w:left w:val="none" w:sz="0" w:space="0" w:color="auto"/>
        <w:bottom w:val="none" w:sz="0" w:space="0" w:color="auto"/>
        <w:right w:val="none" w:sz="0" w:space="0" w:color="auto"/>
      </w:divBdr>
    </w:div>
    <w:div w:id="7565406">
      <w:bodyDiv w:val="1"/>
      <w:marLeft w:val="0"/>
      <w:marRight w:val="0"/>
      <w:marTop w:val="0"/>
      <w:marBottom w:val="0"/>
      <w:divBdr>
        <w:top w:val="none" w:sz="0" w:space="0" w:color="auto"/>
        <w:left w:val="none" w:sz="0" w:space="0" w:color="auto"/>
        <w:bottom w:val="none" w:sz="0" w:space="0" w:color="auto"/>
        <w:right w:val="none" w:sz="0" w:space="0" w:color="auto"/>
      </w:divBdr>
    </w:div>
    <w:div w:id="7678461">
      <w:bodyDiv w:val="1"/>
      <w:marLeft w:val="0"/>
      <w:marRight w:val="0"/>
      <w:marTop w:val="0"/>
      <w:marBottom w:val="0"/>
      <w:divBdr>
        <w:top w:val="none" w:sz="0" w:space="0" w:color="auto"/>
        <w:left w:val="none" w:sz="0" w:space="0" w:color="auto"/>
        <w:bottom w:val="none" w:sz="0" w:space="0" w:color="auto"/>
        <w:right w:val="none" w:sz="0" w:space="0" w:color="auto"/>
      </w:divBdr>
    </w:div>
    <w:div w:id="7753779">
      <w:bodyDiv w:val="1"/>
      <w:marLeft w:val="0"/>
      <w:marRight w:val="0"/>
      <w:marTop w:val="0"/>
      <w:marBottom w:val="0"/>
      <w:divBdr>
        <w:top w:val="none" w:sz="0" w:space="0" w:color="auto"/>
        <w:left w:val="none" w:sz="0" w:space="0" w:color="auto"/>
        <w:bottom w:val="none" w:sz="0" w:space="0" w:color="auto"/>
        <w:right w:val="none" w:sz="0" w:space="0" w:color="auto"/>
      </w:divBdr>
    </w:div>
    <w:div w:id="7829769">
      <w:bodyDiv w:val="1"/>
      <w:marLeft w:val="0"/>
      <w:marRight w:val="0"/>
      <w:marTop w:val="0"/>
      <w:marBottom w:val="0"/>
      <w:divBdr>
        <w:top w:val="none" w:sz="0" w:space="0" w:color="auto"/>
        <w:left w:val="none" w:sz="0" w:space="0" w:color="auto"/>
        <w:bottom w:val="none" w:sz="0" w:space="0" w:color="auto"/>
        <w:right w:val="none" w:sz="0" w:space="0" w:color="auto"/>
      </w:divBdr>
    </w:div>
    <w:div w:id="7878226">
      <w:bodyDiv w:val="1"/>
      <w:marLeft w:val="0"/>
      <w:marRight w:val="0"/>
      <w:marTop w:val="0"/>
      <w:marBottom w:val="0"/>
      <w:divBdr>
        <w:top w:val="none" w:sz="0" w:space="0" w:color="auto"/>
        <w:left w:val="none" w:sz="0" w:space="0" w:color="auto"/>
        <w:bottom w:val="none" w:sz="0" w:space="0" w:color="auto"/>
        <w:right w:val="none" w:sz="0" w:space="0" w:color="auto"/>
      </w:divBdr>
    </w:div>
    <w:div w:id="7945560">
      <w:bodyDiv w:val="1"/>
      <w:marLeft w:val="0"/>
      <w:marRight w:val="0"/>
      <w:marTop w:val="0"/>
      <w:marBottom w:val="0"/>
      <w:divBdr>
        <w:top w:val="none" w:sz="0" w:space="0" w:color="auto"/>
        <w:left w:val="none" w:sz="0" w:space="0" w:color="auto"/>
        <w:bottom w:val="none" w:sz="0" w:space="0" w:color="auto"/>
        <w:right w:val="none" w:sz="0" w:space="0" w:color="auto"/>
      </w:divBdr>
    </w:div>
    <w:div w:id="8064993">
      <w:bodyDiv w:val="1"/>
      <w:marLeft w:val="0"/>
      <w:marRight w:val="0"/>
      <w:marTop w:val="0"/>
      <w:marBottom w:val="0"/>
      <w:divBdr>
        <w:top w:val="none" w:sz="0" w:space="0" w:color="auto"/>
        <w:left w:val="none" w:sz="0" w:space="0" w:color="auto"/>
        <w:bottom w:val="none" w:sz="0" w:space="0" w:color="auto"/>
        <w:right w:val="none" w:sz="0" w:space="0" w:color="auto"/>
      </w:divBdr>
    </w:div>
    <w:div w:id="8214714">
      <w:bodyDiv w:val="1"/>
      <w:marLeft w:val="0"/>
      <w:marRight w:val="0"/>
      <w:marTop w:val="0"/>
      <w:marBottom w:val="0"/>
      <w:divBdr>
        <w:top w:val="none" w:sz="0" w:space="0" w:color="auto"/>
        <w:left w:val="none" w:sz="0" w:space="0" w:color="auto"/>
        <w:bottom w:val="none" w:sz="0" w:space="0" w:color="auto"/>
        <w:right w:val="none" w:sz="0" w:space="0" w:color="auto"/>
      </w:divBdr>
    </w:div>
    <w:div w:id="8413730">
      <w:bodyDiv w:val="1"/>
      <w:marLeft w:val="0"/>
      <w:marRight w:val="0"/>
      <w:marTop w:val="0"/>
      <w:marBottom w:val="0"/>
      <w:divBdr>
        <w:top w:val="none" w:sz="0" w:space="0" w:color="auto"/>
        <w:left w:val="none" w:sz="0" w:space="0" w:color="auto"/>
        <w:bottom w:val="none" w:sz="0" w:space="0" w:color="auto"/>
        <w:right w:val="none" w:sz="0" w:space="0" w:color="auto"/>
      </w:divBdr>
    </w:div>
    <w:div w:id="8414748">
      <w:bodyDiv w:val="1"/>
      <w:marLeft w:val="0"/>
      <w:marRight w:val="0"/>
      <w:marTop w:val="0"/>
      <w:marBottom w:val="0"/>
      <w:divBdr>
        <w:top w:val="none" w:sz="0" w:space="0" w:color="auto"/>
        <w:left w:val="none" w:sz="0" w:space="0" w:color="auto"/>
        <w:bottom w:val="none" w:sz="0" w:space="0" w:color="auto"/>
        <w:right w:val="none" w:sz="0" w:space="0" w:color="auto"/>
      </w:divBdr>
    </w:div>
    <w:div w:id="8486816">
      <w:bodyDiv w:val="1"/>
      <w:marLeft w:val="0"/>
      <w:marRight w:val="0"/>
      <w:marTop w:val="0"/>
      <w:marBottom w:val="0"/>
      <w:divBdr>
        <w:top w:val="none" w:sz="0" w:space="0" w:color="auto"/>
        <w:left w:val="none" w:sz="0" w:space="0" w:color="auto"/>
        <w:bottom w:val="none" w:sz="0" w:space="0" w:color="auto"/>
        <w:right w:val="none" w:sz="0" w:space="0" w:color="auto"/>
      </w:divBdr>
    </w:div>
    <w:div w:id="8527237">
      <w:bodyDiv w:val="1"/>
      <w:marLeft w:val="0"/>
      <w:marRight w:val="0"/>
      <w:marTop w:val="0"/>
      <w:marBottom w:val="0"/>
      <w:divBdr>
        <w:top w:val="none" w:sz="0" w:space="0" w:color="auto"/>
        <w:left w:val="none" w:sz="0" w:space="0" w:color="auto"/>
        <w:bottom w:val="none" w:sz="0" w:space="0" w:color="auto"/>
        <w:right w:val="none" w:sz="0" w:space="0" w:color="auto"/>
      </w:divBdr>
    </w:div>
    <w:div w:id="8529600">
      <w:bodyDiv w:val="1"/>
      <w:marLeft w:val="0"/>
      <w:marRight w:val="0"/>
      <w:marTop w:val="0"/>
      <w:marBottom w:val="0"/>
      <w:divBdr>
        <w:top w:val="none" w:sz="0" w:space="0" w:color="auto"/>
        <w:left w:val="none" w:sz="0" w:space="0" w:color="auto"/>
        <w:bottom w:val="none" w:sz="0" w:space="0" w:color="auto"/>
        <w:right w:val="none" w:sz="0" w:space="0" w:color="auto"/>
      </w:divBdr>
    </w:div>
    <w:div w:id="8532836">
      <w:bodyDiv w:val="1"/>
      <w:marLeft w:val="0"/>
      <w:marRight w:val="0"/>
      <w:marTop w:val="0"/>
      <w:marBottom w:val="0"/>
      <w:divBdr>
        <w:top w:val="none" w:sz="0" w:space="0" w:color="auto"/>
        <w:left w:val="none" w:sz="0" w:space="0" w:color="auto"/>
        <w:bottom w:val="none" w:sz="0" w:space="0" w:color="auto"/>
        <w:right w:val="none" w:sz="0" w:space="0" w:color="auto"/>
      </w:divBdr>
    </w:div>
    <w:div w:id="8800576">
      <w:bodyDiv w:val="1"/>
      <w:marLeft w:val="0"/>
      <w:marRight w:val="0"/>
      <w:marTop w:val="0"/>
      <w:marBottom w:val="0"/>
      <w:divBdr>
        <w:top w:val="none" w:sz="0" w:space="0" w:color="auto"/>
        <w:left w:val="none" w:sz="0" w:space="0" w:color="auto"/>
        <w:bottom w:val="none" w:sz="0" w:space="0" w:color="auto"/>
        <w:right w:val="none" w:sz="0" w:space="0" w:color="auto"/>
      </w:divBdr>
    </w:div>
    <w:div w:id="8921765">
      <w:bodyDiv w:val="1"/>
      <w:marLeft w:val="0"/>
      <w:marRight w:val="0"/>
      <w:marTop w:val="0"/>
      <w:marBottom w:val="0"/>
      <w:divBdr>
        <w:top w:val="none" w:sz="0" w:space="0" w:color="auto"/>
        <w:left w:val="none" w:sz="0" w:space="0" w:color="auto"/>
        <w:bottom w:val="none" w:sz="0" w:space="0" w:color="auto"/>
        <w:right w:val="none" w:sz="0" w:space="0" w:color="auto"/>
      </w:divBdr>
    </w:div>
    <w:div w:id="9187192">
      <w:bodyDiv w:val="1"/>
      <w:marLeft w:val="0"/>
      <w:marRight w:val="0"/>
      <w:marTop w:val="0"/>
      <w:marBottom w:val="0"/>
      <w:divBdr>
        <w:top w:val="none" w:sz="0" w:space="0" w:color="auto"/>
        <w:left w:val="none" w:sz="0" w:space="0" w:color="auto"/>
        <w:bottom w:val="none" w:sz="0" w:space="0" w:color="auto"/>
        <w:right w:val="none" w:sz="0" w:space="0" w:color="auto"/>
      </w:divBdr>
    </w:div>
    <w:div w:id="9455727">
      <w:bodyDiv w:val="1"/>
      <w:marLeft w:val="0"/>
      <w:marRight w:val="0"/>
      <w:marTop w:val="0"/>
      <w:marBottom w:val="0"/>
      <w:divBdr>
        <w:top w:val="none" w:sz="0" w:space="0" w:color="auto"/>
        <w:left w:val="none" w:sz="0" w:space="0" w:color="auto"/>
        <w:bottom w:val="none" w:sz="0" w:space="0" w:color="auto"/>
        <w:right w:val="none" w:sz="0" w:space="0" w:color="auto"/>
      </w:divBdr>
    </w:div>
    <w:div w:id="9646129">
      <w:bodyDiv w:val="1"/>
      <w:marLeft w:val="0"/>
      <w:marRight w:val="0"/>
      <w:marTop w:val="0"/>
      <w:marBottom w:val="0"/>
      <w:divBdr>
        <w:top w:val="none" w:sz="0" w:space="0" w:color="auto"/>
        <w:left w:val="none" w:sz="0" w:space="0" w:color="auto"/>
        <w:bottom w:val="none" w:sz="0" w:space="0" w:color="auto"/>
        <w:right w:val="none" w:sz="0" w:space="0" w:color="auto"/>
      </w:divBdr>
    </w:div>
    <w:div w:id="9915246">
      <w:bodyDiv w:val="1"/>
      <w:marLeft w:val="0"/>
      <w:marRight w:val="0"/>
      <w:marTop w:val="0"/>
      <w:marBottom w:val="0"/>
      <w:divBdr>
        <w:top w:val="none" w:sz="0" w:space="0" w:color="auto"/>
        <w:left w:val="none" w:sz="0" w:space="0" w:color="auto"/>
        <w:bottom w:val="none" w:sz="0" w:space="0" w:color="auto"/>
        <w:right w:val="none" w:sz="0" w:space="0" w:color="auto"/>
      </w:divBdr>
    </w:div>
    <w:div w:id="9916065">
      <w:bodyDiv w:val="1"/>
      <w:marLeft w:val="0"/>
      <w:marRight w:val="0"/>
      <w:marTop w:val="0"/>
      <w:marBottom w:val="0"/>
      <w:divBdr>
        <w:top w:val="none" w:sz="0" w:space="0" w:color="auto"/>
        <w:left w:val="none" w:sz="0" w:space="0" w:color="auto"/>
        <w:bottom w:val="none" w:sz="0" w:space="0" w:color="auto"/>
        <w:right w:val="none" w:sz="0" w:space="0" w:color="auto"/>
      </w:divBdr>
    </w:div>
    <w:div w:id="9987174">
      <w:bodyDiv w:val="1"/>
      <w:marLeft w:val="0"/>
      <w:marRight w:val="0"/>
      <w:marTop w:val="0"/>
      <w:marBottom w:val="0"/>
      <w:divBdr>
        <w:top w:val="none" w:sz="0" w:space="0" w:color="auto"/>
        <w:left w:val="none" w:sz="0" w:space="0" w:color="auto"/>
        <w:bottom w:val="none" w:sz="0" w:space="0" w:color="auto"/>
        <w:right w:val="none" w:sz="0" w:space="0" w:color="auto"/>
      </w:divBdr>
    </w:div>
    <w:div w:id="10036821">
      <w:bodyDiv w:val="1"/>
      <w:marLeft w:val="0"/>
      <w:marRight w:val="0"/>
      <w:marTop w:val="0"/>
      <w:marBottom w:val="0"/>
      <w:divBdr>
        <w:top w:val="none" w:sz="0" w:space="0" w:color="auto"/>
        <w:left w:val="none" w:sz="0" w:space="0" w:color="auto"/>
        <w:bottom w:val="none" w:sz="0" w:space="0" w:color="auto"/>
        <w:right w:val="none" w:sz="0" w:space="0" w:color="auto"/>
      </w:divBdr>
    </w:div>
    <w:div w:id="10037865">
      <w:bodyDiv w:val="1"/>
      <w:marLeft w:val="0"/>
      <w:marRight w:val="0"/>
      <w:marTop w:val="0"/>
      <w:marBottom w:val="0"/>
      <w:divBdr>
        <w:top w:val="none" w:sz="0" w:space="0" w:color="auto"/>
        <w:left w:val="none" w:sz="0" w:space="0" w:color="auto"/>
        <w:bottom w:val="none" w:sz="0" w:space="0" w:color="auto"/>
        <w:right w:val="none" w:sz="0" w:space="0" w:color="auto"/>
      </w:divBdr>
    </w:div>
    <w:div w:id="10109044">
      <w:bodyDiv w:val="1"/>
      <w:marLeft w:val="0"/>
      <w:marRight w:val="0"/>
      <w:marTop w:val="0"/>
      <w:marBottom w:val="0"/>
      <w:divBdr>
        <w:top w:val="none" w:sz="0" w:space="0" w:color="auto"/>
        <w:left w:val="none" w:sz="0" w:space="0" w:color="auto"/>
        <w:bottom w:val="none" w:sz="0" w:space="0" w:color="auto"/>
        <w:right w:val="none" w:sz="0" w:space="0" w:color="auto"/>
      </w:divBdr>
    </w:div>
    <w:div w:id="10189389">
      <w:bodyDiv w:val="1"/>
      <w:marLeft w:val="0"/>
      <w:marRight w:val="0"/>
      <w:marTop w:val="0"/>
      <w:marBottom w:val="0"/>
      <w:divBdr>
        <w:top w:val="none" w:sz="0" w:space="0" w:color="auto"/>
        <w:left w:val="none" w:sz="0" w:space="0" w:color="auto"/>
        <w:bottom w:val="none" w:sz="0" w:space="0" w:color="auto"/>
        <w:right w:val="none" w:sz="0" w:space="0" w:color="auto"/>
      </w:divBdr>
    </w:div>
    <w:div w:id="10298136">
      <w:bodyDiv w:val="1"/>
      <w:marLeft w:val="0"/>
      <w:marRight w:val="0"/>
      <w:marTop w:val="0"/>
      <w:marBottom w:val="0"/>
      <w:divBdr>
        <w:top w:val="none" w:sz="0" w:space="0" w:color="auto"/>
        <w:left w:val="none" w:sz="0" w:space="0" w:color="auto"/>
        <w:bottom w:val="none" w:sz="0" w:space="0" w:color="auto"/>
        <w:right w:val="none" w:sz="0" w:space="0" w:color="auto"/>
      </w:divBdr>
    </w:div>
    <w:div w:id="10298636">
      <w:bodyDiv w:val="1"/>
      <w:marLeft w:val="0"/>
      <w:marRight w:val="0"/>
      <w:marTop w:val="0"/>
      <w:marBottom w:val="0"/>
      <w:divBdr>
        <w:top w:val="none" w:sz="0" w:space="0" w:color="auto"/>
        <w:left w:val="none" w:sz="0" w:space="0" w:color="auto"/>
        <w:bottom w:val="none" w:sz="0" w:space="0" w:color="auto"/>
        <w:right w:val="none" w:sz="0" w:space="0" w:color="auto"/>
      </w:divBdr>
    </w:div>
    <w:div w:id="10307477">
      <w:bodyDiv w:val="1"/>
      <w:marLeft w:val="0"/>
      <w:marRight w:val="0"/>
      <w:marTop w:val="0"/>
      <w:marBottom w:val="0"/>
      <w:divBdr>
        <w:top w:val="none" w:sz="0" w:space="0" w:color="auto"/>
        <w:left w:val="none" w:sz="0" w:space="0" w:color="auto"/>
        <w:bottom w:val="none" w:sz="0" w:space="0" w:color="auto"/>
        <w:right w:val="none" w:sz="0" w:space="0" w:color="auto"/>
      </w:divBdr>
    </w:div>
    <w:div w:id="10380400">
      <w:bodyDiv w:val="1"/>
      <w:marLeft w:val="0"/>
      <w:marRight w:val="0"/>
      <w:marTop w:val="0"/>
      <w:marBottom w:val="0"/>
      <w:divBdr>
        <w:top w:val="none" w:sz="0" w:space="0" w:color="auto"/>
        <w:left w:val="none" w:sz="0" w:space="0" w:color="auto"/>
        <w:bottom w:val="none" w:sz="0" w:space="0" w:color="auto"/>
        <w:right w:val="none" w:sz="0" w:space="0" w:color="auto"/>
      </w:divBdr>
    </w:div>
    <w:div w:id="10422583">
      <w:bodyDiv w:val="1"/>
      <w:marLeft w:val="0"/>
      <w:marRight w:val="0"/>
      <w:marTop w:val="0"/>
      <w:marBottom w:val="0"/>
      <w:divBdr>
        <w:top w:val="none" w:sz="0" w:space="0" w:color="auto"/>
        <w:left w:val="none" w:sz="0" w:space="0" w:color="auto"/>
        <w:bottom w:val="none" w:sz="0" w:space="0" w:color="auto"/>
        <w:right w:val="none" w:sz="0" w:space="0" w:color="auto"/>
      </w:divBdr>
    </w:div>
    <w:div w:id="10493297">
      <w:bodyDiv w:val="1"/>
      <w:marLeft w:val="0"/>
      <w:marRight w:val="0"/>
      <w:marTop w:val="0"/>
      <w:marBottom w:val="0"/>
      <w:divBdr>
        <w:top w:val="none" w:sz="0" w:space="0" w:color="auto"/>
        <w:left w:val="none" w:sz="0" w:space="0" w:color="auto"/>
        <w:bottom w:val="none" w:sz="0" w:space="0" w:color="auto"/>
        <w:right w:val="none" w:sz="0" w:space="0" w:color="auto"/>
      </w:divBdr>
    </w:div>
    <w:div w:id="10497892">
      <w:bodyDiv w:val="1"/>
      <w:marLeft w:val="0"/>
      <w:marRight w:val="0"/>
      <w:marTop w:val="0"/>
      <w:marBottom w:val="0"/>
      <w:divBdr>
        <w:top w:val="none" w:sz="0" w:space="0" w:color="auto"/>
        <w:left w:val="none" w:sz="0" w:space="0" w:color="auto"/>
        <w:bottom w:val="none" w:sz="0" w:space="0" w:color="auto"/>
        <w:right w:val="none" w:sz="0" w:space="0" w:color="auto"/>
      </w:divBdr>
    </w:div>
    <w:div w:id="10572116">
      <w:bodyDiv w:val="1"/>
      <w:marLeft w:val="0"/>
      <w:marRight w:val="0"/>
      <w:marTop w:val="0"/>
      <w:marBottom w:val="0"/>
      <w:divBdr>
        <w:top w:val="none" w:sz="0" w:space="0" w:color="auto"/>
        <w:left w:val="none" w:sz="0" w:space="0" w:color="auto"/>
        <w:bottom w:val="none" w:sz="0" w:space="0" w:color="auto"/>
        <w:right w:val="none" w:sz="0" w:space="0" w:color="auto"/>
      </w:divBdr>
    </w:div>
    <w:div w:id="10617084">
      <w:bodyDiv w:val="1"/>
      <w:marLeft w:val="0"/>
      <w:marRight w:val="0"/>
      <w:marTop w:val="0"/>
      <w:marBottom w:val="0"/>
      <w:divBdr>
        <w:top w:val="none" w:sz="0" w:space="0" w:color="auto"/>
        <w:left w:val="none" w:sz="0" w:space="0" w:color="auto"/>
        <w:bottom w:val="none" w:sz="0" w:space="0" w:color="auto"/>
        <w:right w:val="none" w:sz="0" w:space="0" w:color="auto"/>
      </w:divBdr>
    </w:div>
    <w:div w:id="10644277">
      <w:bodyDiv w:val="1"/>
      <w:marLeft w:val="0"/>
      <w:marRight w:val="0"/>
      <w:marTop w:val="0"/>
      <w:marBottom w:val="0"/>
      <w:divBdr>
        <w:top w:val="none" w:sz="0" w:space="0" w:color="auto"/>
        <w:left w:val="none" w:sz="0" w:space="0" w:color="auto"/>
        <w:bottom w:val="none" w:sz="0" w:space="0" w:color="auto"/>
        <w:right w:val="none" w:sz="0" w:space="0" w:color="auto"/>
      </w:divBdr>
    </w:div>
    <w:div w:id="10688513">
      <w:bodyDiv w:val="1"/>
      <w:marLeft w:val="0"/>
      <w:marRight w:val="0"/>
      <w:marTop w:val="0"/>
      <w:marBottom w:val="0"/>
      <w:divBdr>
        <w:top w:val="none" w:sz="0" w:space="0" w:color="auto"/>
        <w:left w:val="none" w:sz="0" w:space="0" w:color="auto"/>
        <w:bottom w:val="none" w:sz="0" w:space="0" w:color="auto"/>
        <w:right w:val="none" w:sz="0" w:space="0" w:color="auto"/>
      </w:divBdr>
    </w:div>
    <w:div w:id="10691716">
      <w:bodyDiv w:val="1"/>
      <w:marLeft w:val="0"/>
      <w:marRight w:val="0"/>
      <w:marTop w:val="0"/>
      <w:marBottom w:val="0"/>
      <w:divBdr>
        <w:top w:val="none" w:sz="0" w:space="0" w:color="auto"/>
        <w:left w:val="none" w:sz="0" w:space="0" w:color="auto"/>
        <w:bottom w:val="none" w:sz="0" w:space="0" w:color="auto"/>
        <w:right w:val="none" w:sz="0" w:space="0" w:color="auto"/>
      </w:divBdr>
    </w:div>
    <w:div w:id="10763625">
      <w:bodyDiv w:val="1"/>
      <w:marLeft w:val="0"/>
      <w:marRight w:val="0"/>
      <w:marTop w:val="0"/>
      <w:marBottom w:val="0"/>
      <w:divBdr>
        <w:top w:val="none" w:sz="0" w:space="0" w:color="auto"/>
        <w:left w:val="none" w:sz="0" w:space="0" w:color="auto"/>
        <w:bottom w:val="none" w:sz="0" w:space="0" w:color="auto"/>
        <w:right w:val="none" w:sz="0" w:space="0" w:color="auto"/>
      </w:divBdr>
    </w:div>
    <w:div w:id="10842772">
      <w:bodyDiv w:val="1"/>
      <w:marLeft w:val="0"/>
      <w:marRight w:val="0"/>
      <w:marTop w:val="0"/>
      <w:marBottom w:val="0"/>
      <w:divBdr>
        <w:top w:val="none" w:sz="0" w:space="0" w:color="auto"/>
        <w:left w:val="none" w:sz="0" w:space="0" w:color="auto"/>
        <w:bottom w:val="none" w:sz="0" w:space="0" w:color="auto"/>
        <w:right w:val="none" w:sz="0" w:space="0" w:color="auto"/>
      </w:divBdr>
    </w:div>
    <w:div w:id="10954324">
      <w:bodyDiv w:val="1"/>
      <w:marLeft w:val="0"/>
      <w:marRight w:val="0"/>
      <w:marTop w:val="0"/>
      <w:marBottom w:val="0"/>
      <w:divBdr>
        <w:top w:val="none" w:sz="0" w:space="0" w:color="auto"/>
        <w:left w:val="none" w:sz="0" w:space="0" w:color="auto"/>
        <w:bottom w:val="none" w:sz="0" w:space="0" w:color="auto"/>
        <w:right w:val="none" w:sz="0" w:space="0" w:color="auto"/>
      </w:divBdr>
    </w:div>
    <w:div w:id="11036740">
      <w:bodyDiv w:val="1"/>
      <w:marLeft w:val="0"/>
      <w:marRight w:val="0"/>
      <w:marTop w:val="0"/>
      <w:marBottom w:val="0"/>
      <w:divBdr>
        <w:top w:val="none" w:sz="0" w:space="0" w:color="auto"/>
        <w:left w:val="none" w:sz="0" w:space="0" w:color="auto"/>
        <w:bottom w:val="none" w:sz="0" w:space="0" w:color="auto"/>
        <w:right w:val="none" w:sz="0" w:space="0" w:color="auto"/>
      </w:divBdr>
    </w:div>
    <w:div w:id="11228963">
      <w:bodyDiv w:val="1"/>
      <w:marLeft w:val="0"/>
      <w:marRight w:val="0"/>
      <w:marTop w:val="0"/>
      <w:marBottom w:val="0"/>
      <w:divBdr>
        <w:top w:val="none" w:sz="0" w:space="0" w:color="auto"/>
        <w:left w:val="none" w:sz="0" w:space="0" w:color="auto"/>
        <w:bottom w:val="none" w:sz="0" w:space="0" w:color="auto"/>
        <w:right w:val="none" w:sz="0" w:space="0" w:color="auto"/>
      </w:divBdr>
    </w:div>
    <w:div w:id="11231200">
      <w:bodyDiv w:val="1"/>
      <w:marLeft w:val="0"/>
      <w:marRight w:val="0"/>
      <w:marTop w:val="0"/>
      <w:marBottom w:val="0"/>
      <w:divBdr>
        <w:top w:val="none" w:sz="0" w:space="0" w:color="auto"/>
        <w:left w:val="none" w:sz="0" w:space="0" w:color="auto"/>
        <w:bottom w:val="none" w:sz="0" w:space="0" w:color="auto"/>
        <w:right w:val="none" w:sz="0" w:space="0" w:color="auto"/>
      </w:divBdr>
    </w:div>
    <w:div w:id="11300186">
      <w:bodyDiv w:val="1"/>
      <w:marLeft w:val="0"/>
      <w:marRight w:val="0"/>
      <w:marTop w:val="0"/>
      <w:marBottom w:val="0"/>
      <w:divBdr>
        <w:top w:val="none" w:sz="0" w:space="0" w:color="auto"/>
        <w:left w:val="none" w:sz="0" w:space="0" w:color="auto"/>
        <w:bottom w:val="none" w:sz="0" w:space="0" w:color="auto"/>
        <w:right w:val="none" w:sz="0" w:space="0" w:color="auto"/>
      </w:divBdr>
    </w:div>
    <w:div w:id="11345918">
      <w:bodyDiv w:val="1"/>
      <w:marLeft w:val="0"/>
      <w:marRight w:val="0"/>
      <w:marTop w:val="0"/>
      <w:marBottom w:val="0"/>
      <w:divBdr>
        <w:top w:val="none" w:sz="0" w:space="0" w:color="auto"/>
        <w:left w:val="none" w:sz="0" w:space="0" w:color="auto"/>
        <w:bottom w:val="none" w:sz="0" w:space="0" w:color="auto"/>
        <w:right w:val="none" w:sz="0" w:space="0" w:color="auto"/>
      </w:divBdr>
    </w:div>
    <w:div w:id="11419832">
      <w:bodyDiv w:val="1"/>
      <w:marLeft w:val="0"/>
      <w:marRight w:val="0"/>
      <w:marTop w:val="0"/>
      <w:marBottom w:val="0"/>
      <w:divBdr>
        <w:top w:val="none" w:sz="0" w:space="0" w:color="auto"/>
        <w:left w:val="none" w:sz="0" w:space="0" w:color="auto"/>
        <w:bottom w:val="none" w:sz="0" w:space="0" w:color="auto"/>
        <w:right w:val="none" w:sz="0" w:space="0" w:color="auto"/>
      </w:divBdr>
    </w:div>
    <w:div w:id="11420751">
      <w:bodyDiv w:val="1"/>
      <w:marLeft w:val="0"/>
      <w:marRight w:val="0"/>
      <w:marTop w:val="0"/>
      <w:marBottom w:val="0"/>
      <w:divBdr>
        <w:top w:val="none" w:sz="0" w:space="0" w:color="auto"/>
        <w:left w:val="none" w:sz="0" w:space="0" w:color="auto"/>
        <w:bottom w:val="none" w:sz="0" w:space="0" w:color="auto"/>
        <w:right w:val="none" w:sz="0" w:space="0" w:color="auto"/>
      </w:divBdr>
    </w:div>
    <w:div w:id="11421136">
      <w:bodyDiv w:val="1"/>
      <w:marLeft w:val="0"/>
      <w:marRight w:val="0"/>
      <w:marTop w:val="0"/>
      <w:marBottom w:val="0"/>
      <w:divBdr>
        <w:top w:val="none" w:sz="0" w:space="0" w:color="auto"/>
        <w:left w:val="none" w:sz="0" w:space="0" w:color="auto"/>
        <w:bottom w:val="none" w:sz="0" w:space="0" w:color="auto"/>
        <w:right w:val="none" w:sz="0" w:space="0" w:color="auto"/>
      </w:divBdr>
    </w:div>
    <w:div w:id="11423910">
      <w:bodyDiv w:val="1"/>
      <w:marLeft w:val="0"/>
      <w:marRight w:val="0"/>
      <w:marTop w:val="0"/>
      <w:marBottom w:val="0"/>
      <w:divBdr>
        <w:top w:val="none" w:sz="0" w:space="0" w:color="auto"/>
        <w:left w:val="none" w:sz="0" w:space="0" w:color="auto"/>
        <w:bottom w:val="none" w:sz="0" w:space="0" w:color="auto"/>
        <w:right w:val="none" w:sz="0" w:space="0" w:color="auto"/>
      </w:divBdr>
    </w:div>
    <w:div w:id="11496439">
      <w:bodyDiv w:val="1"/>
      <w:marLeft w:val="0"/>
      <w:marRight w:val="0"/>
      <w:marTop w:val="0"/>
      <w:marBottom w:val="0"/>
      <w:divBdr>
        <w:top w:val="none" w:sz="0" w:space="0" w:color="auto"/>
        <w:left w:val="none" w:sz="0" w:space="0" w:color="auto"/>
        <w:bottom w:val="none" w:sz="0" w:space="0" w:color="auto"/>
        <w:right w:val="none" w:sz="0" w:space="0" w:color="auto"/>
      </w:divBdr>
    </w:div>
    <w:div w:id="11541636">
      <w:bodyDiv w:val="1"/>
      <w:marLeft w:val="0"/>
      <w:marRight w:val="0"/>
      <w:marTop w:val="0"/>
      <w:marBottom w:val="0"/>
      <w:divBdr>
        <w:top w:val="none" w:sz="0" w:space="0" w:color="auto"/>
        <w:left w:val="none" w:sz="0" w:space="0" w:color="auto"/>
        <w:bottom w:val="none" w:sz="0" w:space="0" w:color="auto"/>
        <w:right w:val="none" w:sz="0" w:space="0" w:color="auto"/>
      </w:divBdr>
    </w:div>
    <w:div w:id="11616068">
      <w:bodyDiv w:val="1"/>
      <w:marLeft w:val="0"/>
      <w:marRight w:val="0"/>
      <w:marTop w:val="0"/>
      <w:marBottom w:val="0"/>
      <w:divBdr>
        <w:top w:val="none" w:sz="0" w:space="0" w:color="auto"/>
        <w:left w:val="none" w:sz="0" w:space="0" w:color="auto"/>
        <w:bottom w:val="none" w:sz="0" w:space="0" w:color="auto"/>
        <w:right w:val="none" w:sz="0" w:space="0" w:color="auto"/>
      </w:divBdr>
    </w:div>
    <w:div w:id="11690160">
      <w:bodyDiv w:val="1"/>
      <w:marLeft w:val="0"/>
      <w:marRight w:val="0"/>
      <w:marTop w:val="0"/>
      <w:marBottom w:val="0"/>
      <w:divBdr>
        <w:top w:val="none" w:sz="0" w:space="0" w:color="auto"/>
        <w:left w:val="none" w:sz="0" w:space="0" w:color="auto"/>
        <w:bottom w:val="none" w:sz="0" w:space="0" w:color="auto"/>
        <w:right w:val="none" w:sz="0" w:space="0" w:color="auto"/>
      </w:divBdr>
    </w:div>
    <w:div w:id="11691524">
      <w:bodyDiv w:val="1"/>
      <w:marLeft w:val="0"/>
      <w:marRight w:val="0"/>
      <w:marTop w:val="0"/>
      <w:marBottom w:val="0"/>
      <w:divBdr>
        <w:top w:val="none" w:sz="0" w:space="0" w:color="auto"/>
        <w:left w:val="none" w:sz="0" w:space="0" w:color="auto"/>
        <w:bottom w:val="none" w:sz="0" w:space="0" w:color="auto"/>
        <w:right w:val="none" w:sz="0" w:space="0" w:color="auto"/>
      </w:divBdr>
    </w:div>
    <w:div w:id="11733373">
      <w:bodyDiv w:val="1"/>
      <w:marLeft w:val="0"/>
      <w:marRight w:val="0"/>
      <w:marTop w:val="0"/>
      <w:marBottom w:val="0"/>
      <w:divBdr>
        <w:top w:val="none" w:sz="0" w:space="0" w:color="auto"/>
        <w:left w:val="none" w:sz="0" w:space="0" w:color="auto"/>
        <w:bottom w:val="none" w:sz="0" w:space="0" w:color="auto"/>
        <w:right w:val="none" w:sz="0" w:space="0" w:color="auto"/>
      </w:divBdr>
    </w:div>
    <w:div w:id="11763291">
      <w:bodyDiv w:val="1"/>
      <w:marLeft w:val="0"/>
      <w:marRight w:val="0"/>
      <w:marTop w:val="0"/>
      <w:marBottom w:val="0"/>
      <w:divBdr>
        <w:top w:val="none" w:sz="0" w:space="0" w:color="auto"/>
        <w:left w:val="none" w:sz="0" w:space="0" w:color="auto"/>
        <w:bottom w:val="none" w:sz="0" w:space="0" w:color="auto"/>
        <w:right w:val="none" w:sz="0" w:space="0" w:color="auto"/>
      </w:divBdr>
    </w:div>
    <w:div w:id="11954249">
      <w:bodyDiv w:val="1"/>
      <w:marLeft w:val="0"/>
      <w:marRight w:val="0"/>
      <w:marTop w:val="0"/>
      <w:marBottom w:val="0"/>
      <w:divBdr>
        <w:top w:val="none" w:sz="0" w:space="0" w:color="auto"/>
        <w:left w:val="none" w:sz="0" w:space="0" w:color="auto"/>
        <w:bottom w:val="none" w:sz="0" w:space="0" w:color="auto"/>
        <w:right w:val="none" w:sz="0" w:space="0" w:color="auto"/>
      </w:divBdr>
    </w:div>
    <w:div w:id="11956305">
      <w:bodyDiv w:val="1"/>
      <w:marLeft w:val="0"/>
      <w:marRight w:val="0"/>
      <w:marTop w:val="0"/>
      <w:marBottom w:val="0"/>
      <w:divBdr>
        <w:top w:val="none" w:sz="0" w:space="0" w:color="auto"/>
        <w:left w:val="none" w:sz="0" w:space="0" w:color="auto"/>
        <w:bottom w:val="none" w:sz="0" w:space="0" w:color="auto"/>
        <w:right w:val="none" w:sz="0" w:space="0" w:color="auto"/>
      </w:divBdr>
    </w:div>
    <w:div w:id="12150386">
      <w:bodyDiv w:val="1"/>
      <w:marLeft w:val="0"/>
      <w:marRight w:val="0"/>
      <w:marTop w:val="0"/>
      <w:marBottom w:val="0"/>
      <w:divBdr>
        <w:top w:val="none" w:sz="0" w:space="0" w:color="auto"/>
        <w:left w:val="none" w:sz="0" w:space="0" w:color="auto"/>
        <w:bottom w:val="none" w:sz="0" w:space="0" w:color="auto"/>
        <w:right w:val="none" w:sz="0" w:space="0" w:color="auto"/>
      </w:divBdr>
    </w:div>
    <w:div w:id="12192853">
      <w:bodyDiv w:val="1"/>
      <w:marLeft w:val="0"/>
      <w:marRight w:val="0"/>
      <w:marTop w:val="0"/>
      <w:marBottom w:val="0"/>
      <w:divBdr>
        <w:top w:val="none" w:sz="0" w:space="0" w:color="auto"/>
        <w:left w:val="none" w:sz="0" w:space="0" w:color="auto"/>
        <w:bottom w:val="none" w:sz="0" w:space="0" w:color="auto"/>
        <w:right w:val="none" w:sz="0" w:space="0" w:color="auto"/>
      </w:divBdr>
    </w:div>
    <w:div w:id="12272061">
      <w:bodyDiv w:val="1"/>
      <w:marLeft w:val="0"/>
      <w:marRight w:val="0"/>
      <w:marTop w:val="0"/>
      <w:marBottom w:val="0"/>
      <w:divBdr>
        <w:top w:val="none" w:sz="0" w:space="0" w:color="auto"/>
        <w:left w:val="none" w:sz="0" w:space="0" w:color="auto"/>
        <w:bottom w:val="none" w:sz="0" w:space="0" w:color="auto"/>
        <w:right w:val="none" w:sz="0" w:space="0" w:color="auto"/>
      </w:divBdr>
    </w:div>
    <w:div w:id="12340020">
      <w:bodyDiv w:val="1"/>
      <w:marLeft w:val="0"/>
      <w:marRight w:val="0"/>
      <w:marTop w:val="0"/>
      <w:marBottom w:val="0"/>
      <w:divBdr>
        <w:top w:val="none" w:sz="0" w:space="0" w:color="auto"/>
        <w:left w:val="none" w:sz="0" w:space="0" w:color="auto"/>
        <w:bottom w:val="none" w:sz="0" w:space="0" w:color="auto"/>
        <w:right w:val="none" w:sz="0" w:space="0" w:color="auto"/>
      </w:divBdr>
    </w:div>
    <w:div w:id="12387010">
      <w:bodyDiv w:val="1"/>
      <w:marLeft w:val="0"/>
      <w:marRight w:val="0"/>
      <w:marTop w:val="0"/>
      <w:marBottom w:val="0"/>
      <w:divBdr>
        <w:top w:val="none" w:sz="0" w:space="0" w:color="auto"/>
        <w:left w:val="none" w:sz="0" w:space="0" w:color="auto"/>
        <w:bottom w:val="none" w:sz="0" w:space="0" w:color="auto"/>
        <w:right w:val="none" w:sz="0" w:space="0" w:color="auto"/>
      </w:divBdr>
    </w:div>
    <w:div w:id="12416480">
      <w:bodyDiv w:val="1"/>
      <w:marLeft w:val="0"/>
      <w:marRight w:val="0"/>
      <w:marTop w:val="0"/>
      <w:marBottom w:val="0"/>
      <w:divBdr>
        <w:top w:val="none" w:sz="0" w:space="0" w:color="auto"/>
        <w:left w:val="none" w:sz="0" w:space="0" w:color="auto"/>
        <w:bottom w:val="none" w:sz="0" w:space="0" w:color="auto"/>
        <w:right w:val="none" w:sz="0" w:space="0" w:color="auto"/>
      </w:divBdr>
    </w:div>
    <w:div w:id="12460492">
      <w:bodyDiv w:val="1"/>
      <w:marLeft w:val="0"/>
      <w:marRight w:val="0"/>
      <w:marTop w:val="0"/>
      <w:marBottom w:val="0"/>
      <w:divBdr>
        <w:top w:val="none" w:sz="0" w:space="0" w:color="auto"/>
        <w:left w:val="none" w:sz="0" w:space="0" w:color="auto"/>
        <w:bottom w:val="none" w:sz="0" w:space="0" w:color="auto"/>
        <w:right w:val="none" w:sz="0" w:space="0" w:color="auto"/>
      </w:divBdr>
    </w:div>
    <w:div w:id="12537240">
      <w:bodyDiv w:val="1"/>
      <w:marLeft w:val="0"/>
      <w:marRight w:val="0"/>
      <w:marTop w:val="0"/>
      <w:marBottom w:val="0"/>
      <w:divBdr>
        <w:top w:val="none" w:sz="0" w:space="0" w:color="auto"/>
        <w:left w:val="none" w:sz="0" w:space="0" w:color="auto"/>
        <w:bottom w:val="none" w:sz="0" w:space="0" w:color="auto"/>
        <w:right w:val="none" w:sz="0" w:space="0" w:color="auto"/>
      </w:divBdr>
    </w:div>
    <w:div w:id="12611346">
      <w:bodyDiv w:val="1"/>
      <w:marLeft w:val="0"/>
      <w:marRight w:val="0"/>
      <w:marTop w:val="0"/>
      <w:marBottom w:val="0"/>
      <w:divBdr>
        <w:top w:val="none" w:sz="0" w:space="0" w:color="auto"/>
        <w:left w:val="none" w:sz="0" w:space="0" w:color="auto"/>
        <w:bottom w:val="none" w:sz="0" w:space="0" w:color="auto"/>
        <w:right w:val="none" w:sz="0" w:space="0" w:color="auto"/>
      </w:divBdr>
    </w:div>
    <w:div w:id="12851189">
      <w:bodyDiv w:val="1"/>
      <w:marLeft w:val="0"/>
      <w:marRight w:val="0"/>
      <w:marTop w:val="0"/>
      <w:marBottom w:val="0"/>
      <w:divBdr>
        <w:top w:val="none" w:sz="0" w:space="0" w:color="auto"/>
        <w:left w:val="none" w:sz="0" w:space="0" w:color="auto"/>
        <w:bottom w:val="none" w:sz="0" w:space="0" w:color="auto"/>
        <w:right w:val="none" w:sz="0" w:space="0" w:color="auto"/>
      </w:divBdr>
    </w:div>
    <w:div w:id="12998825">
      <w:bodyDiv w:val="1"/>
      <w:marLeft w:val="0"/>
      <w:marRight w:val="0"/>
      <w:marTop w:val="0"/>
      <w:marBottom w:val="0"/>
      <w:divBdr>
        <w:top w:val="none" w:sz="0" w:space="0" w:color="auto"/>
        <w:left w:val="none" w:sz="0" w:space="0" w:color="auto"/>
        <w:bottom w:val="none" w:sz="0" w:space="0" w:color="auto"/>
        <w:right w:val="none" w:sz="0" w:space="0" w:color="auto"/>
      </w:divBdr>
    </w:div>
    <w:div w:id="13044540">
      <w:bodyDiv w:val="1"/>
      <w:marLeft w:val="0"/>
      <w:marRight w:val="0"/>
      <w:marTop w:val="0"/>
      <w:marBottom w:val="0"/>
      <w:divBdr>
        <w:top w:val="none" w:sz="0" w:space="0" w:color="auto"/>
        <w:left w:val="none" w:sz="0" w:space="0" w:color="auto"/>
        <w:bottom w:val="none" w:sz="0" w:space="0" w:color="auto"/>
        <w:right w:val="none" w:sz="0" w:space="0" w:color="auto"/>
      </w:divBdr>
    </w:div>
    <w:div w:id="13072029">
      <w:bodyDiv w:val="1"/>
      <w:marLeft w:val="0"/>
      <w:marRight w:val="0"/>
      <w:marTop w:val="0"/>
      <w:marBottom w:val="0"/>
      <w:divBdr>
        <w:top w:val="none" w:sz="0" w:space="0" w:color="auto"/>
        <w:left w:val="none" w:sz="0" w:space="0" w:color="auto"/>
        <w:bottom w:val="none" w:sz="0" w:space="0" w:color="auto"/>
        <w:right w:val="none" w:sz="0" w:space="0" w:color="auto"/>
      </w:divBdr>
    </w:div>
    <w:div w:id="13121654">
      <w:bodyDiv w:val="1"/>
      <w:marLeft w:val="0"/>
      <w:marRight w:val="0"/>
      <w:marTop w:val="0"/>
      <w:marBottom w:val="0"/>
      <w:divBdr>
        <w:top w:val="none" w:sz="0" w:space="0" w:color="auto"/>
        <w:left w:val="none" w:sz="0" w:space="0" w:color="auto"/>
        <w:bottom w:val="none" w:sz="0" w:space="0" w:color="auto"/>
        <w:right w:val="none" w:sz="0" w:space="0" w:color="auto"/>
      </w:divBdr>
    </w:div>
    <w:div w:id="13188494">
      <w:bodyDiv w:val="1"/>
      <w:marLeft w:val="0"/>
      <w:marRight w:val="0"/>
      <w:marTop w:val="0"/>
      <w:marBottom w:val="0"/>
      <w:divBdr>
        <w:top w:val="none" w:sz="0" w:space="0" w:color="auto"/>
        <w:left w:val="none" w:sz="0" w:space="0" w:color="auto"/>
        <w:bottom w:val="none" w:sz="0" w:space="0" w:color="auto"/>
        <w:right w:val="none" w:sz="0" w:space="0" w:color="auto"/>
      </w:divBdr>
    </w:div>
    <w:div w:id="13264252">
      <w:bodyDiv w:val="1"/>
      <w:marLeft w:val="0"/>
      <w:marRight w:val="0"/>
      <w:marTop w:val="0"/>
      <w:marBottom w:val="0"/>
      <w:divBdr>
        <w:top w:val="none" w:sz="0" w:space="0" w:color="auto"/>
        <w:left w:val="none" w:sz="0" w:space="0" w:color="auto"/>
        <w:bottom w:val="none" w:sz="0" w:space="0" w:color="auto"/>
        <w:right w:val="none" w:sz="0" w:space="0" w:color="auto"/>
      </w:divBdr>
    </w:div>
    <w:div w:id="13266903">
      <w:bodyDiv w:val="1"/>
      <w:marLeft w:val="0"/>
      <w:marRight w:val="0"/>
      <w:marTop w:val="0"/>
      <w:marBottom w:val="0"/>
      <w:divBdr>
        <w:top w:val="none" w:sz="0" w:space="0" w:color="auto"/>
        <w:left w:val="none" w:sz="0" w:space="0" w:color="auto"/>
        <w:bottom w:val="none" w:sz="0" w:space="0" w:color="auto"/>
        <w:right w:val="none" w:sz="0" w:space="0" w:color="auto"/>
      </w:divBdr>
    </w:div>
    <w:div w:id="13309359">
      <w:bodyDiv w:val="1"/>
      <w:marLeft w:val="0"/>
      <w:marRight w:val="0"/>
      <w:marTop w:val="0"/>
      <w:marBottom w:val="0"/>
      <w:divBdr>
        <w:top w:val="none" w:sz="0" w:space="0" w:color="auto"/>
        <w:left w:val="none" w:sz="0" w:space="0" w:color="auto"/>
        <w:bottom w:val="none" w:sz="0" w:space="0" w:color="auto"/>
        <w:right w:val="none" w:sz="0" w:space="0" w:color="auto"/>
      </w:divBdr>
    </w:div>
    <w:div w:id="13772782">
      <w:bodyDiv w:val="1"/>
      <w:marLeft w:val="0"/>
      <w:marRight w:val="0"/>
      <w:marTop w:val="0"/>
      <w:marBottom w:val="0"/>
      <w:divBdr>
        <w:top w:val="none" w:sz="0" w:space="0" w:color="auto"/>
        <w:left w:val="none" w:sz="0" w:space="0" w:color="auto"/>
        <w:bottom w:val="none" w:sz="0" w:space="0" w:color="auto"/>
        <w:right w:val="none" w:sz="0" w:space="0" w:color="auto"/>
      </w:divBdr>
    </w:div>
    <w:div w:id="13775528">
      <w:bodyDiv w:val="1"/>
      <w:marLeft w:val="0"/>
      <w:marRight w:val="0"/>
      <w:marTop w:val="0"/>
      <w:marBottom w:val="0"/>
      <w:divBdr>
        <w:top w:val="none" w:sz="0" w:space="0" w:color="auto"/>
        <w:left w:val="none" w:sz="0" w:space="0" w:color="auto"/>
        <w:bottom w:val="none" w:sz="0" w:space="0" w:color="auto"/>
        <w:right w:val="none" w:sz="0" w:space="0" w:color="auto"/>
      </w:divBdr>
    </w:div>
    <w:div w:id="13843369">
      <w:bodyDiv w:val="1"/>
      <w:marLeft w:val="0"/>
      <w:marRight w:val="0"/>
      <w:marTop w:val="0"/>
      <w:marBottom w:val="0"/>
      <w:divBdr>
        <w:top w:val="none" w:sz="0" w:space="0" w:color="auto"/>
        <w:left w:val="none" w:sz="0" w:space="0" w:color="auto"/>
        <w:bottom w:val="none" w:sz="0" w:space="0" w:color="auto"/>
        <w:right w:val="none" w:sz="0" w:space="0" w:color="auto"/>
      </w:divBdr>
    </w:div>
    <w:div w:id="13850028">
      <w:bodyDiv w:val="1"/>
      <w:marLeft w:val="0"/>
      <w:marRight w:val="0"/>
      <w:marTop w:val="0"/>
      <w:marBottom w:val="0"/>
      <w:divBdr>
        <w:top w:val="none" w:sz="0" w:space="0" w:color="auto"/>
        <w:left w:val="none" w:sz="0" w:space="0" w:color="auto"/>
        <w:bottom w:val="none" w:sz="0" w:space="0" w:color="auto"/>
        <w:right w:val="none" w:sz="0" w:space="0" w:color="auto"/>
      </w:divBdr>
    </w:div>
    <w:div w:id="13924395">
      <w:bodyDiv w:val="1"/>
      <w:marLeft w:val="0"/>
      <w:marRight w:val="0"/>
      <w:marTop w:val="0"/>
      <w:marBottom w:val="0"/>
      <w:divBdr>
        <w:top w:val="none" w:sz="0" w:space="0" w:color="auto"/>
        <w:left w:val="none" w:sz="0" w:space="0" w:color="auto"/>
        <w:bottom w:val="none" w:sz="0" w:space="0" w:color="auto"/>
        <w:right w:val="none" w:sz="0" w:space="0" w:color="auto"/>
      </w:divBdr>
    </w:div>
    <w:div w:id="14036471">
      <w:bodyDiv w:val="1"/>
      <w:marLeft w:val="0"/>
      <w:marRight w:val="0"/>
      <w:marTop w:val="0"/>
      <w:marBottom w:val="0"/>
      <w:divBdr>
        <w:top w:val="none" w:sz="0" w:space="0" w:color="auto"/>
        <w:left w:val="none" w:sz="0" w:space="0" w:color="auto"/>
        <w:bottom w:val="none" w:sz="0" w:space="0" w:color="auto"/>
        <w:right w:val="none" w:sz="0" w:space="0" w:color="auto"/>
      </w:divBdr>
    </w:div>
    <w:div w:id="14044092">
      <w:bodyDiv w:val="1"/>
      <w:marLeft w:val="0"/>
      <w:marRight w:val="0"/>
      <w:marTop w:val="0"/>
      <w:marBottom w:val="0"/>
      <w:divBdr>
        <w:top w:val="none" w:sz="0" w:space="0" w:color="auto"/>
        <w:left w:val="none" w:sz="0" w:space="0" w:color="auto"/>
        <w:bottom w:val="none" w:sz="0" w:space="0" w:color="auto"/>
        <w:right w:val="none" w:sz="0" w:space="0" w:color="auto"/>
      </w:divBdr>
    </w:div>
    <w:div w:id="14045743">
      <w:bodyDiv w:val="1"/>
      <w:marLeft w:val="0"/>
      <w:marRight w:val="0"/>
      <w:marTop w:val="0"/>
      <w:marBottom w:val="0"/>
      <w:divBdr>
        <w:top w:val="none" w:sz="0" w:space="0" w:color="auto"/>
        <w:left w:val="none" w:sz="0" w:space="0" w:color="auto"/>
        <w:bottom w:val="none" w:sz="0" w:space="0" w:color="auto"/>
        <w:right w:val="none" w:sz="0" w:space="0" w:color="auto"/>
      </w:divBdr>
    </w:div>
    <w:div w:id="14119495">
      <w:bodyDiv w:val="1"/>
      <w:marLeft w:val="0"/>
      <w:marRight w:val="0"/>
      <w:marTop w:val="0"/>
      <w:marBottom w:val="0"/>
      <w:divBdr>
        <w:top w:val="none" w:sz="0" w:space="0" w:color="auto"/>
        <w:left w:val="none" w:sz="0" w:space="0" w:color="auto"/>
        <w:bottom w:val="none" w:sz="0" w:space="0" w:color="auto"/>
        <w:right w:val="none" w:sz="0" w:space="0" w:color="auto"/>
      </w:divBdr>
    </w:div>
    <w:div w:id="14188254">
      <w:bodyDiv w:val="1"/>
      <w:marLeft w:val="0"/>
      <w:marRight w:val="0"/>
      <w:marTop w:val="0"/>
      <w:marBottom w:val="0"/>
      <w:divBdr>
        <w:top w:val="none" w:sz="0" w:space="0" w:color="auto"/>
        <w:left w:val="none" w:sz="0" w:space="0" w:color="auto"/>
        <w:bottom w:val="none" w:sz="0" w:space="0" w:color="auto"/>
        <w:right w:val="none" w:sz="0" w:space="0" w:color="auto"/>
      </w:divBdr>
    </w:div>
    <w:div w:id="14235475">
      <w:bodyDiv w:val="1"/>
      <w:marLeft w:val="0"/>
      <w:marRight w:val="0"/>
      <w:marTop w:val="0"/>
      <w:marBottom w:val="0"/>
      <w:divBdr>
        <w:top w:val="none" w:sz="0" w:space="0" w:color="auto"/>
        <w:left w:val="none" w:sz="0" w:space="0" w:color="auto"/>
        <w:bottom w:val="none" w:sz="0" w:space="0" w:color="auto"/>
        <w:right w:val="none" w:sz="0" w:space="0" w:color="auto"/>
      </w:divBdr>
    </w:div>
    <w:div w:id="14313633">
      <w:bodyDiv w:val="1"/>
      <w:marLeft w:val="0"/>
      <w:marRight w:val="0"/>
      <w:marTop w:val="0"/>
      <w:marBottom w:val="0"/>
      <w:divBdr>
        <w:top w:val="none" w:sz="0" w:space="0" w:color="auto"/>
        <w:left w:val="none" w:sz="0" w:space="0" w:color="auto"/>
        <w:bottom w:val="none" w:sz="0" w:space="0" w:color="auto"/>
        <w:right w:val="none" w:sz="0" w:space="0" w:color="auto"/>
      </w:divBdr>
    </w:div>
    <w:div w:id="14498995">
      <w:bodyDiv w:val="1"/>
      <w:marLeft w:val="0"/>
      <w:marRight w:val="0"/>
      <w:marTop w:val="0"/>
      <w:marBottom w:val="0"/>
      <w:divBdr>
        <w:top w:val="none" w:sz="0" w:space="0" w:color="auto"/>
        <w:left w:val="none" w:sz="0" w:space="0" w:color="auto"/>
        <w:bottom w:val="none" w:sz="0" w:space="0" w:color="auto"/>
        <w:right w:val="none" w:sz="0" w:space="0" w:color="auto"/>
      </w:divBdr>
    </w:div>
    <w:div w:id="14576301">
      <w:bodyDiv w:val="1"/>
      <w:marLeft w:val="0"/>
      <w:marRight w:val="0"/>
      <w:marTop w:val="0"/>
      <w:marBottom w:val="0"/>
      <w:divBdr>
        <w:top w:val="none" w:sz="0" w:space="0" w:color="auto"/>
        <w:left w:val="none" w:sz="0" w:space="0" w:color="auto"/>
        <w:bottom w:val="none" w:sz="0" w:space="0" w:color="auto"/>
        <w:right w:val="none" w:sz="0" w:space="0" w:color="auto"/>
      </w:divBdr>
    </w:div>
    <w:div w:id="14618293">
      <w:bodyDiv w:val="1"/>
      <w:marLeft w:val="0"/>
      <w:marRight w:val="0"/>
      <w:marTop w:val="0"/>
      <w:marBottom w:val="0"/>
      <w:divBdr>
        <w:top w:val="none" w:sz="0" w:space="0" w:color="auto"/>
        <w:left w:val="none" w:sz="0" w:space="0" w:color="auto"/>
        <w:bottom w:val="none" w:sz="0" w:space="0" w:color="auto"/>
        <w:right w:val="none" w:sz="0" w:space="0" w:color="auto"/>
      </w:divBdr>
    </w:div>
    <w:div w:id="14773944">
      <w:bodyDiv w:val="1"/>
      <w:marLeft w:val="0"/>
      <w:marRight w:val="0"/>
      <w:marTop w:val="0"/>
      <w:marBottom w:val="0"/>
      <w:divBdr>
        <w:top w:val="none" w:sz="0" w:space="0" w:color="auto"/>
        <w:left w:val="none" w:sz="0" w:space="0" w:color="auto"/>
        <w:bottom w:val="none" w:sz="0" w:space="0" w:color="auto"/>
        <w:right w:val="none" w:sz="0" w:space="0" w:color="auto"/>
      </w:divBdr>
    </w:div>
    <w:div w:id="14815681">
      <w:bodyDiv w:val="1"/>
      <w:marLeft w:val="0"/>
      <w:marRight w:val="0"/>
      <w:marTop w:val="0"/>
      <w:marBottom w:val="0"/>
      <w:divBdr>
        <w:top w:val="none" w:sz="0" w:space="0" w:color="auto"/>
        <w:left w:val="none" w:sz="0" w:space="0" w:color="auto"/>
        <w:bottom w:val="none" w:sz="0" w:space="0" w:color="auto"/>
        <w:right w:val="none" w:sz="0" w:space="0" w:color="auto"/>
      </w:divBdr>
    </w:div>
    <w:div w:id="15011864">
      <w:bodyDiv w:val="1"/>
      <w:marLeft w:val="0"/>
      <w:marRight w:val="0"/>
      <w:marTop w:val="0"/>
      <w:marBottom w:val="0"/>
      <w:divBdr>
        <w:top w:val="none" w:sz="0" w:space="0" w:color="auto"/>
        <w:left w:val="none" w:sz="0" w:space="0" w:color="auto"/>
        <w:bottom w:val="none" w:sz="0" w:space="0" w:color="auto"/>
        <w:right w:val="none" w:sz="0" w:space="0" w:color="auto"/>
      </w:divBdr>
    </w:div>
    <w:div w:id="15154392">
      <w:bodyDiv w:val="1"/>
      <w:marLeft w:val="0"/>
      <w:marRight w:val="0"/>
      <w:marTop w:val="0"/>
      <w:marBottom w:val="0"/>
      <w:divBdr>
        <w:top w:val="none" w:sz="0" w:space="0" w:color="auto"/>
        <w:left w:val="none" w:sz="0" w:space="0" w:color="auto"/>
        <w:bottom w:val="none" w:sz="0" w:space="0" w:color="auto"/>
        <w:right w:val="none" w:sz="0" w:space="0" w:color="auto"/>
      </w:divBdr>
    </w:div>
    <w:div w:id="15232586">
      <w:bodyDiv w:val="1"/>
      <w:marLeft w:val="0"/>
      <w:marRight w:val="0"/>
      <w:marTop w:val="0"/>
      <w:marBottom w:val="0"/>
      <w:divBdr>
        <w:top w:val="none" w:sz="0" w:space="0" w:color="auto"/>
        <w:left w:val="none" w:sz="0" w:space="0" w:color="auto"/>
        <w:bottom w:val="none" w:sz="0" w:space="0" w:color="auto"/>
        <w:right w:val="none" w:sz="0" w:space="0" w:color="auto"/>
      </w:divBdr>
    </w:div>
    <w:div w:id="15346868">
      <w:bodyDiv w:val="1"/>
      <w:marLeft w:val="0"/>
      <w:marRight w:val="0"/>
      <w:marTop w:val="0"/>
      <w:marBottom w:val="0"/>
      <w:divBdr>
        <w:top w:val="none" w:sz="0" w:space="0" w:color="auto"/>
        <w:left w:val="none" w:sz="0" w:space="0" w:color="auto"/>
        <w:bottom w:val="none" w:sz="0" w:space="0" w:color="auto"/>
        <w:right w:val="none" w:sz="0" w:space="0" w:color="auto"/>
      </w:divBdr>
    </w:div>
    <w:div w:id="15423444">
      <w:bodyDiv w:val="1"/>
      <w:marLeft w:val="0"/>
      <w:marRight w:val="0"/>
      <w:marTop w:val="0"/>
      <w:marBottom w:val="0"/>
      <w:divBdr>
        <w:top w:val="none" w:sz="0" w:space="0" w:color="auto"/>
        <w:left w:val="none" w:sz="0" w:space="0" w:color="auto"/>
        <w:bottom w:val="none" w:sz="0" w:space="0" w:color="auto"/>
        <w:right w:val="none" w:sz="0" w:space="0" w:color="auto"/>
      </w:divBdr>
    </w:div>
    <w:div w:id="15424360">
      <w:bodyDiv w:val="1"/>
      <w:marLeft w:val="0"/>
      <w:marRight w:val="0"/>
      <w:marTop w:val="0"/>
      <w:marBottom w:val="0"/>
      <w:divBdr>
        <w:top w:val="none" w:sz="0" w:space="0" w:color="auto"/>
        <w:left w:val="none" w:sz="0" w:space="0" w:color="auto"/>
        <w:bottom w:val="none" w:sz="0" w:space="0" w:color="auto"/>
        <w:right w:val="none" w:sz="0" w:space="0" w:color="auto"/>
      </w:divBdr>
    </w:div>
    <w:div w:id="15543462">
      <w:bodyDiv w:val="1"/>
      <w:marLeft w:val="0"/>
      <w:marRight w:val="0"/>
      <w:marTop w:val="0"/>
      <w:marBottom w:val="0"/>
      <w:divBdr>
        <w:top w:val="none" w:sz="0" w:space="0" w:color="auto"/>
        <w:left w:val="none" w:sz="0" w:space="0" w:color="auto"/>
        <w:bottom w:val="none" w:sz="0" w:space="0" w:color="auto"/>
        <w:right w:val="none" w:sz="0" w:space="0" w:color="auto"/>
      </w:divBdr>
    </w:div>
    <w:div w:id="15666937">
      <w:bodyDiv w:val="1"/>
      <w:marLeft w:val="0"/>
      <w:marRight w:val="0"/>
      <w:marTop w:val="0"/>
      <w:marBottom w:val="0"/>
      <w:divBdr>
        <w:top w:val="none" w:sz="0" w:space="0" w:color="auto"/>
        <w:left w:val="none" w:sz="0" w:space="0" w:color="auto"/>
        <w:bottom w:val="none" w:sz="0" w:space="0" w:color="auto"/>
        <w:right w:val="none" w:sz="0" w:space="0" w:color="auto"/>
      </w:divBdr>
    </w:div>
    <w:div w:id="15693850">
      <w:bodyDiv w:val="1"/>
      <w:marLeft w:val="0"/>
      <w:marRight w:val="0"/>
      <w:marTop w:val="0"/>
      <w:marBottom w:val="0"/>
      <w:divBdr>
        <w:top w:val="none" w:sz="0" w:space="0" w:color="auto"/>
        <w:left w:val="none" w:sz="0" w:space="0" w:color="auto"/>
        <w:bottom w:val="none" w:sz="0" w:space="0" w:color="auto"/>
        <w:right w:val="none" w:sz="0" w:space="0" w:color="auto"/>
      </w:divBdr>
    </w:div>
    <w:div w:id="15739521">
      <w:bodyDiv w:val="1"/>
      <w:marLeft w:val="0"/>
      <w:marRight w:val="0"/>
      <w:marTop w:val="0"/>
      <w:marBottom w:val="0"/>
      <w:divBdr>
        <w:top w:val="none" w:sz="0" w:space="0" w:color="auto"/>
        <w:left w:val="none" w:sz="0" w:space="0" w:color="auto"/>
        <w:bottom w:val="none" w:sz="0" w:space="0" w:color="auto"/>
        <w:right w:val="none" w:sz="0" w:space="0" w:color="auto"/>
      </w:divBdr>
    </w:div>
    <w:div w:id="15740537">
      <w:bodyDiv w:val="1"/>
      <w:marLeft w:val="0"/>
      <w:marRight w:val="0"/>
      <w:marTop w:val="0"/>
      <w:marBottom w:val="0"/>
      <w:divBdr>
        <w:top w:val="none" w:sz="0" w:space="0" w:color="auto"/>
        <w:left w:val="none" w:sz="0" w:space="0" w:color="auto"/>
        <w:bottom w:val="none" w:sz="0" w:space="0" w:color="auto"/>
        <w:right w:val="none" w:sz="0" w:space="0" w:color="auto"/>
      </w:divBdr>
    </w:div>
    <w:div w:id="15743087">
      <w:bodyDiv w:val="1"/>
      <w:marLeft w:val="0"/>
      <w:marRight w:val="0"/>
      <w:marTop w:val="0"/>
      <w:marBottom w:val="0"/>
      <w:divBdr>
        <w:top w:val="none" w:sz="0" w:space="0" w:color="auto"/>
        <w:left w:val="none" w:sz="0" w:space="0" w:color="auto"/>
        <w:bottom w:val="none" w:sz="0" w:space="0" w:color="auto"/>
        <w:right w:val="none" w:sz="0" w:space="0" w:color="auto"/>
      </w:divBdr>
    </w:div>
    <w:div w:id="15813041">
      <w:bodyDiv w:val="1"/>
      <w:marLeft w:val="0"/>
      <w:marRight w:val="0"/>
      <w:marTop w:val="0"/>
      <w:marBottom w:val="0"/>
      <w:divBdr>
        <w:top w:val="none" w:sz="0" w:space="0" w:color="auto"/>
        <w:left w:val="none" w:sz="0" w:space="0" w:color="auto"/>
        <w:bottom w:val="none" w:sz="0" w:space="0" w:color="auto"/>
        <w:right w:val="none" w:sz="0" w:space="0" w:color="auto"/>
      </w:divBdr>
    </w:div>
    <w:div w:id="15860268">
      <w:bodyDiv w:val="1"/>
      <w:marLeft w:val="0"/>
      <w:marRight w:val="0"/>
      <w:marTop w:val="0"/>
      <w:marBottom w:val="0"/>
      <w:divBdr>
        <w:top w:val="none" w:sz="0" w:space="0" w:color="auto"/>
        <w:left w:val="none" w:sz="0" w:space="0" w:color="auto"/>
        <w:bottom w:val="none" w:sz="0" w:space="0" w:color="auto"/>
        <w:right w:val="none" w:sz="0" w:space="0" w:color="auto"/>
      </w:divBdr>
    </w:div>
    <w:div w:id="15884277">
      <w:bodyDiv w:val="1"/>
      <w:marLeft w:val="0"/>
      <w:marRight w:val="0"/>
      <w:marTop w:val="0"/>
      <w:marBottom w:val="0"/>
      <w:divBdr>
        <w:top w:val="none" w:sz="0" w:space="0" w:color="auto"/>
        <w:left w:val="none" w:sz="0" w:space="0" w:color="auto"/>
        <w:bottom w:val="none" w:sz="0" w:space="0" w:color="auto"/>
        <w:right w:val="none" w:sz="0" w:space="0" w:color="auto"/>
      </w:divBdr>
    </w:div>
    <w:div w:id="15885381">
      <w:bodyDiv w:val="1"/>
      <w:marLeft w:val="0"/>
      <w:marRight w:val="0"/>
      <w:marTop w:val="0"/>
      <w:marBottom w:val="0"/>
      <w:divBdr>
        <w:top w:val="none" w:sz="0" w:space="0" w:color="auto"/>
        <w:left w:val="none" w:sz="0" w:space="0" w:color="auto"/>
        <w:bottom w:val="none" w:sz="0" w:space="0" w:color="auto"/>
        <w:right w:val="none" w:sz="0" w:space="0" w:color="auto"/>
      </w:divBdr>
    </w:div>
    <w:div w:id="15886135">
      <w:bodyDiv w:val="1"/>
      <w:marLeft w:val="0"/>
      <w:marRight w:val="0"/>
      <w:marTop w:val="0"/>
      <w:marBottom w:val="0"/>
      <w:divBdr>
        <w:top w:val="none" w:sz="0" w:space="0" w:color="auto"/>
        <w:left w:val="none" w:sz="0" w:space="0" w:color="auto"/>
        <w:bottom w:val="none" w:sz="0" w:space="0" w:color="auto"/>
        <w:right w:val="none" w:sz="0" w:space="0" w:color="auto"/>
      </w:divBdr>
    </w:div>
    <w:div w:id="15887464">
      <w:bodyDiv w:val="1"/>
      <w:marLeft w:val="0"/>
      <w:marRight w:val="0"/>
      <w:marTop w:val="0"/>
      <w:marBottom w:val="0"/>
      <w:divBdr>
        <w:top w:val="none" w:sz="0" w:space="0" w:color="auto"/>
        <w:left w:val="none" w:sz="0" w:space="0" w:color="auto"/>
        <w:bottom w:val="none" w:sz="0" w:space="0" w:color="auto"/>
        <w:right w:val="none" w:sz="0" w:space="0" w:color="auto"/>
      </w:divBdr>
    </w:div>
    <w:div w:id="16006072">
      <w:bodyDiv w:val="1"/>
      <w:marLeft w:val="0"/>
      <w:marRight w:val="0"/>
      <w:marTop w:val="0"/>
      <w:marBottom w:val="0"/>
      <w:divBdr>
        <w:top w:val="none" w:sz="0" w:space="0" w:color="auto"/>
        <w:left w:val="none" w:sz="0" w:space="0" w:color="auto"/>
        <w:bottom w:val="none" w:sz="0" w:space="0" w:color="auto"/>
        <w:right w:val="none" w:sz="0" w:space="0" w:color="auto"/>
      </w:divBdr>
    </w:div>
    <w:div w:id="16009877">
      <w:bodyDiv w:val="1"/>
      <w:marLeft w:val="0"/>
      <w:marRight w:val="0"/>
      <w:marTop w:val="0"/>
      <w:marBottom w:val="0"/>
      <w:divBdr>
        <w:top w:val="none" w:sz="0" w:space="0" w:color="auto"/>
        <w:left w:val="none" w:sz="0" w:space="0" w:color="auto"/>
        <w:bottom w:val="none" w:sz="0" w:space="0" w:color="auto"/>
        <w:right w:val="none" w:sz="0" w:space="0" w:color="auto"/>
      </w:divBdr>
    </w:div>
    <w:div w:id="16085788">
      <w:bodyDiv w:val="1"/>
      <w:marLeft w:val="0"/>
      <w:marRight w:val="0"/>
      <w:marTop w:val="0"/>
      <w:marBottom w:val="0"/>
      <w:divBdr>
        <w:top w:val="none" w:sz="0" w:space="0" w:color="auto"/>
        <w:left w:val="none" w:sz="0" w:space="0" w:color="auto"/>
        <w:bottom w:val="none" w:sz="0" w:space="0" w:color="auto"/>
        <w:right w:val="none" w:sz="0" w:space="0" w:color="auto"/>
      </w:divBdr>
    </w:div>
    <w:div w:id="16122671">
      <w:bodyDiv w:val="1"/>
      <w:marLeft w:val="0"/>
      <w:marRight w:val="0"/>
      <w:marTop w:val="0"/>
      <w:marBottom w:val="0"/>
      <w:divBdr>
        <w:top w:val="none" w:sz="0" w:space="0" w:color="auto"/>
        <w:left w:val="none" w:sz="0" w:space="0" w:color="auto"/>
        <w:bottom w:val="none" w:sz="0" w:space="0" w:color="auto"/>
        <w:right w:val="none" w:sz="0" w:space="0" w:color="auto"/>
      </w:divBdr>
    </w:div>
    <w:div w:id="16126810">
      <w:bodyDiv w:val="1"/>
      <w:marLeft w:val="0"/>
      <w:marRight w:val="0"/>
      <w:marTop w:val="0"/>
      <w:marBottom w:val="0"/>
      <w:divBdr>
        <w:top w:val="none" w:sz="0" w:space="0" w:color="auto"/>
        <w:left w:val="none" w:sz="0" w:space="0" w:color="auto"/>
        <w:bottom w:val="none" w:sz="0" w:space="0" w:color="auto"/>
        <w:right w:val="none" w:sz="0" w:space="0" w:color="auto"/>
      </w:divBdr>
    </w:div>
    <w:div w:id="16128099">
      <w:bodyDiv w:val="1"/>
      <w:marLeft w:val="0"/>
      <w:marRight w:val="0"/>
      <w:marTop w:val="0"/>
      <w:marBottom w:val="0"/>
      <w:divBdr>
        <w:top w:val="none" w:sz="0" w:space="0" w:color="auto"/>
        <w:left w:val="none" w:sz="0" w:space="0" w:color="auto"/>
        <w:bottom w:val="none" w:sz="0" w:space="0" w:color="auto"/>
        <w:right w:val="none" w:sz="0" w:space="0" w:color="auto"/>
      </w:divBdr>
    </w:div>
    <w:div w:id="16196528">
      <w:bodyDiv w:val="1"/>
      <w:marLeft w:val="0"/>
      <w:marRight w:val="0"/>
      <w:marTop w:val="0"/>
      <w:marBottom w:val="0"/>
      <w:divBdr>
        <w:top w:val="none" w:sz="0" w:space="0" w:color="auto"/>
        <w:left w:val="none" w:sz="0" w:space="0" w:color="auto"/>
        <w:bottom w:val="none" w:sz="0" w:space="0" w:color="auto"/>
        <w:right w:val="none" w:sz="0" w:space="0" w:color="auto"/>
      </w:divBdr>
    </w:div>
    <w:div w:id="16273917">
      <w:bodyDiv w:val="1"/>
      <w:marLeft w:val="0"/>
      <w:marRight w:val="0"/>
      <w:marTop w:val="0"/>
      <w:marBottom w:val="0"/>
      <w:divBdr>
        <w:top w:val="none" w:sz="0" w:space="0" w:color="auto"/>
        <w:left w:val="none" w:sz="0" w:space="0" w:color="auto"/>
        <w:bottom w:val="none" w:sz="0" w:space="0" w:color="auto"/>
        <w:right w:val="none" w:sz="0" w:space="0" w:color="auto"/>
      </w:divBdr>
    </w:div>
    <w:div w:id="16322953">
      <w:bodyDiv w:val="1"/>
      <w:marLeft w:val="0"/>
      <w:marRight w:val="0"/>
      <w:marTop w:val="0"/>
      <w:marBottom w:val="0"/>
      <w:divBdr>
        <w:top w:val="none" w:sz="0" w:space="0" w:color="auto"/>
        <w:left w:val="none" w:sz="0" w:space="0" w:color="auto"/>
        <w:bottom w:val="none" w:sz="0" w:space="0" w:color="auto"/>
        <w:right w:val="none" w:sz="0" w:space="0" w:color="auto"/>
      </w:divBdr>
    </w:div>
    <w:div w:id="16468689">
      <w:bodyDiv w:val="1"/>
      <w:marLeft w:val="0"/>
      <w:marRight w:val="0"/>
      <w:marTop w:val="0"/>
      <w:marBottom w:val="0"/>
      <w:divBdr>
        <w:top w:val="none" w:sz="0" w:space="0" w:color="auto"/>
        <w:left w:val="none" w:sz="0" w:space="0" w:color="auto"/>
        <w:bottom w:val="none" w:sz="0" w:space="0" w:color="auto"/>
        <w:right w:val="none" w:sz="0" w:space="0" w:color="auto"/>
      </w:divBdr>
    </w:div>
    <w:div w:id="16540583">
      <w:bodyDiv w:val="1"/>
      <w:marLeft w:val="0"/>
      <w:marRight w:val="0"/>
      <w:marTop w:val="0"/>
      <w:marBottom w:val="0"/>
      <w:divBdr>
        <w:top w:val="none" w:sz="0" w:space="0" w:color="auto"/>
        <w:left w:val="none" w:sz="0" w:space="0" w:color="auto"/>
        <w:bottom w:val="none" w:sz="0" w:space="0" w:color="auto"/>
        <w:right w:val="none" w:sz="0" w:space="0" w:color="auto"/>
      </w:divBdr>
    </w:div>
    <w:div w:id="16546737">
      <w:bodyDiv w:val="1"/>
      <w:marLeft w:val="0"/>
      <w:marRight w:val="0"/>
      <w:marTop w:val="0"/>
      <w:marBottom w:val="0"/>
      <w:divBdr>
        <w:top w:val="none" w:sz="0" w:space="0" w:color="auto"/>
        <w:left w:val="none" w:sz="0" w:space="0" w:color="auto"/>
        <w:bottom w:val="none" w:sz="0" w:space="0" w:color="auto"/>
        <w:right w:val="none" w:sz="0" w:space="0" w:color="auto"/>
      </w:divBdr>
    </w:div>
    <w:div w:id="16589503">
      <w:bodyDiv w:val="1"/>
      <w:marLeft w:val="0"/>
      <w:marRight w:val="0"/>
      <w:marTop w:val="0"/>
      <w:marBottom w:val="0"/>
      <w:divBdr>
        <w:top w:val="none" w:sz="0" w:space="0" w:color="auto"/>
        <w:left w:val="none" w:sz="0" w:space="0" w:color="auto"/>
        <w:bottom w:val="none" w:sz="0" w:space="0" w:color="auto"/>
        <w:right w:val="none" w:sz="0" w:space="0" w:color="auto"/>
      </w:divBdr>
    </w:div>
    <w:div w:id="16591298">
      <w:bodyDiv w:val="1"/>
      <w:marLeft w:val="0"/>
      <w:marRight w:val="0"/>
      <w:marTop w:val="0"/>
      <w:marBottom w:val="0"/>
      <w:divBdr>
        <w:top w:val="none" w:sz="0" w:space="0" w:color="auto"/>
        <w:left w:val="none" w:sz="0" w:space="0" w:color="auto"/>
        <w:bottom w:val="none" w:sz="0" w:space="0" w:color="auto"/>
        <w:right w:val="none" w:sz="0" w:space="0" w:color="auto"/>
      </w:divBdr>
    </w:div>
    <w:div w:id="16658626">
      <w:bodyDiv w:val="1"/>
      <w:marLeft w:val="0"/>
      <w:marRight w:val="0"/>
      <w:marTop w:val="0"/>
      <w:marBottom w:val="0"/>
      <w:divBdr>
        <w:top w:val="none" w:sz="0" w:space="0" w:color="auto"/>
        <w:left w:val="none" w:sz="0" w:space="0" w:color="auto"/>
        <w:bottom w:val="none" w:sz="0" w:space="0" w:color="auto"/>
        <w:right w:val="none" w:sz="0" w:space="0" w:color="auto"/>
      </w:divBdr>
    </w:div>
    <w:div w:id="16853487">
      <w:bodyDiv w:val="1"/>
      <w:marLeft w:val="0"/>
      <w:marRight w:val="0"/>
      <w:marTop w:val="0"/>
      <w:marBottom w:val="0"/>
      <w:divBdr>
        <w:top w:val="none" w:sz="0" w:space="0" w:color="auto"/>
        <w:left w:val="none" w:sz="0" w:space="0" w:color="auto"/>
        <w:bottom w:val="none" w:sz="0" w:space="0" w:color="auto"/>
        <w:right w:val="none" w:sz="0" w:space="0" w:color="auto"/>
      </w:divBdr>
    </w:div>
    <w:div w:id="16857913">
      <w:bodyDiv w:val="1"/>
      <w:marLeft w:val="0"/>
      <w:marRight w:val="0"/>
      <w:marTop w:val="0"/>
      <w:marBottom w:val="0"/>
      <w:divBdr>
        <w:top w:val="none" w:sz="0" w:space="0" w:color="auto"/>
        <w:left w:val="none" w:sz="0" w:space="0" w:color="auto"/>
        <w:bottom w:val="none" w:sz="0" w:space="0" w:color="auto"/>
        <w:right w:val="none" w:sz="0" w:space="0" w:color="auto"/>
      </w:divBdr>
    </w:div>
    <w:div w:id="17002739">
      <w:bodyDiv w:val="1"/>
      <w:marLeft w:val="0"/>
      <w:marRight w:val="0"/>
      <w:marTop w:val="0"/>
      <w:marBottom w:val="0"/>
      <w:divBdr>
        <w:top w:val="none" w:sz="0" w:space="0" w:color="auto"/>
        <w:left w:val="none" w:sz="0" w:space="0" w:color="auto"/>
        <w:bottom w:val="none" w:sz="0" w:space="0" w:color="auto"/>
        <w:right w:val="none" w:sz="0" w:space="0" w:color="auto"/>
      </w:divBdr>
    </w:div>
    <w:div w:id="17053362">
      <w:bodyDiv w:val="1"/>
      <w:marLeft w:val="0"/>
      <w:marRight w:val="0"/>
      <w:marTop w:val="0"/>
      <w:marBottom w:val="0"/>
      <w:divBdr>
        <w:top w:val="none" w:sz="0" w:space="0" w:color="auto"/>
        <w:left w:val="none" w:sz="0" w:space="0" w:color="auto"/>
        <w:bottom w:val="none" w:sz="0" w:space="0" w:color="auto"/>
        <w:right w:val="none" w:sz="0" w:space="0" w:color="auto"/>
      </w:divBdr>
    </w:div>
    <w:div w:id="17120144">
      <w:bodyDiv w:val="1"/>
      <w:marLeft w:val="0"/>
      <w:marRight w:val="0"/>
      <w:marTop w:val="0"/>
      <w:marBottom w:val="0"/>
      <w:divBdr>
        <w:top w:val="none" w:sz="0" w:space="0" w:color="auto"/>
        <w:left w:val="none" w:sz="0" w:space="0" w:color="auto"/>
        <w:bottom w:val="none" w:sz="0" w:space="0" w:color="auto"/>
        <w:right w:val="none" w:sz="0" w:space="0" w:color="auto"/>
      </w:divBdr>
    </w:div>
    <w:div w:id="17120375">
      <w:bodyDiv w:val="1"/>
      <w:marLeft w:val="0"/>
      <w:marRight w:val="0"/>
      <w:marTop w:val="0"/>
      <w:marBottom w:val="0"/>
      <w:divBdr>
        <w:top w:val="none" w:sz="0" w:space="0" w:color="auto"/>
        <w:left w:val="none" w:sz="0" w:space="0" w:color="auto"/>
        <w:bottom w:val="none" w:sz="0" w:space="0" w:color="auto"/>
        <w:right w:val="none" w:sz="0" w:space="0" w:color="auto"/>
      </w:divBdr>
    </w:div>
    <w:div w:id="17124852">
      <w:bodyDiv w:val="1"/>
      <w:marLeft w:val="0"/>
      <w:marRight w:val="0"/>
      <w:marTop w:val="0"/>
      <w:marBottom w:val="0"/>
      <w:divBdr>
        <w:top w:val="none" w:sz="0" w:space="0" w:color="auto"/>
        <w:left w:val="none" w:sz="0" w:space="0" w:color="auto"/>
        <w:bottom w:val="none" w:sz="0" w:space="0" w:color="auto"/>
        <w:right w:val="none" w:sz="0" w:space="0" w:color="auto"/>
      </w:divBdr>
    </w:div>
    <w:div w:id="17242005">
      <w:bodyDiv w:val="1"/>
      <w:marLeft w:val="0"/>
      <w:marRight w:val="0"/>
      <w:marTop w:val="0"/>
      <w:marBottom w:val="0"/>
      <w:divBdr>
        <w:top w:val="none" w:sz="0" w:space="0" w:color="auto"/>
        <w:left w:val="none" w:sz="0" w:space="0" w:color="auto"/>
        <w:bottom w:val="none" w:sz="0" w:space="0" w:color="auto"/>
        <w:right w:val="none" w:sz="0" w:space="0" w:color="auto"/>
      </w:divBdr>
    </w:div>
    <w:div w:id="17312698">
      <w:bodyDiv w:val="1"/>
      <w:marLeft w:val="0"/>
      <w:marRight w:val="0"/>
      <w:marTop w:val="0"/>
      <w:marBottom w:val="0"/>
      <w:divBdr>
        <w:top w:val="none" w:sz="0" w:space="0" w:color="auto"/>
        <w:left w:val="none" w:sz="0" w:space="0" w:color="auto"/>
        <w:bottom w:val="none" w:sz="0" w:space="0" w:color="auto"/>
        <w:right w:val="none" w:sz="0" w:space="0" w:color="auto"/>
      </w:divBdr>
    </w:div>
    <w:div w:id="17313259">
      <w:bodyDiv w:val="1"/>
      <w:marLeft w:val="0"/>
      <w:marRight w:val="0"/>
      <w:marTop w:val="0"/>
      <w:marBottom w:val="0"/>
      <w:divBdr>
        <w:top w:val="none" w:sz="0" w:space="0" w:color="auto"/>
        <w:left w:val="none" w:sz="0" w:space="0" w:color="auto"/>
        <w:bottom w:val="none" w:sz="0" w:space="0" w:color="auto"/>
        <w:right w:val="none" w:sz="0" w:space="0" w:color="auto"/>
      </w:divBdr>
    </w:div>
    <w:div w:id="17434451">
      <w:bodyDiv w:val="1"/>
      <w:marLeft w:val="0"/>
      <w:marRight w:val="0"/>
      <w:marTop w:val="0"/>
      <w:marBottom w:val="0"/>
      <w:divBdr>
        <w:top w:val="none" w:sz="0" w:space="0" w:color="auto"/>
        <w:left w:val="none" w:sz="0" w:space="0" w:color="auto"/>
        <w:bottom w:val="none" w:sz="0" w:space="0" w:color="auto"/>
        <w:right w:val="none" w:sz="0" w:space="0" w:color="auto"/>
      </w:divBdr>
    </w:div>
    <w:div w:id="17434878">
      <w:bodyDiv w:val="1"/>
      <w:marLeft w:val="0"/>
      <w:marRight w:val="0"/>
      <w:marTop w:val="0"/>
      <w:marBottom w:val="0"/>
      <w:divBdr>
        <w:top w:val="none" w:sz="0" w:space="0" w:color="auto"/>
        <w:left w:val="none" w:sz="0" w:space="0" w:color="auto"/>
        <w:bottom w:val="none" w:sz="0" w:space="0" w:color="auto"/>
        <w:right w:val="none" w:sz="0" w:space="0" w:color="auto"/>
      </w:divBdr>
    </w:div>
    <w:div w:id="17706247">
      <w:bodyDiv w:val="1"/>
      <w:marLeft w:val="0"/>
      <w:marRight w:val="0"/>
      <w:marTop w:val="0"/>
      <w:marBottom w:val="0"/>
      <w:divBdr>
        <w:top w:val="none" w:sz="0" w:space="0" w:color="auto"/>
        <w:left w:val="none" w:sz="0" w:space="0" w:color="auto"/>
        <w:bottom w:val="none" w:sz="0" w:space="0" w:color="auto"/>
        <w:right w:val="none" w:sz="0" w:space="0" w:color="auto"/>
      </w:divBdr>
    </w:div>
    <w:div w:id="17778884">
      <w:bodyDiv w:val="1"/>
      <w:marLeft w:val="0"/>
      <w:marRight w:val="0"/>
      <w:marTop w:val="0"/>
      <w:marBottom w:val="0"/>
      <w:divBdr>
        <w:top w:val="none" w:sz="0" w:space="0" w:color="auto"/>
        <w:left w:val="none" w:sz="0" w:space="0" w:color="auto"/>
        <w:bottom w:val="none" w:sz="0" w:space="0" w:color="auto"/>
        <w:right w:val="none" w:sz="0" w:space="0" w:color="auto"/>
      </w:divBdr>
    </w:div>
    <w:div w:id="17898108">
      <w:bodyDiv w:val="1"/>
      <w:marLeft w:val="0"/>
      <w:marRight w:val="0"/>
      <w:marTop w:val="0"/>
      <w:marBottom w:val="0"/>
      <w:divBdr>
        <w:top w:val="none" w:sz="0" w:space="0" w:color="auto"/>
        <w:left w:val="none" w:sz="0" w:space="0" w:color="auto"/>
        <w:bottom w:val="none" w:sz="0" w:space="0" w:color="auto"/>
        <w:right w:val="none" w:sz="0" w:space="0" w:color="auto"/>
      </w:divBdr>
    </w:div>
    <w:div w:id="18092049">
      <w:bodyDiv w:val="1"/>
      <w:marLeft w:val="0"/>
      <w:marRight w:val="0"/>
      <w:marTop w:val="0"/>
      <w:marBottom w:val="0"/>
      <w:divBdr>
        <w:top w:val="none" w:sz="0" w:space="0" w:color="auto"/>
        <w:left w:val="none" w:sz="0" w:space="0" w:color="auto"/>
        <w:bottom w:val="none" w:sz="0" w:space="0" w:color="auto"/>
        <w:right w:val="none" w:sz="0" w:space="0" w:color="auto"/>
      </w:divBdr>
    </w:div>
    <w:div w:id="18093682">
      <w:bodyDiv w:val="1"/>
      <w:marLeft w:val="0"/>
      <w:marRight w:val="0"/>
      <w:marTop w:val="0"/>
      <w:marBottom w:val="0"/>
      <w:divBdr>
        <w:top w:val="none" w:sz="0" w:space="0" w:color="auto"/>
        <w:left w:val="none" w:sz="0" w:space="0" w:color="auto"/>
        <w:bottom w:val="none" w:sz="0" w:space="0" w:color="auto"/>
        <w:right w:val="none" w:sz="0" w:space="0" w:color="auto"/>
      </w:divBdr>
    </w:div>
    <w:div w:id="18094465">
      <w:bodyDiv w:val="1"/>
      <w:marLeft w:val="0"/>
      <w:marRight w:val="0"/>
      <w:marTop w:val="0"/>
      <w:marBottom w:val="0"/>
      <w:divBdr>
        <w:top w:val="none" w:sz="0" w:space="0" w:color="auto"/>
        <w:left w:val="none" w:sz="0" w:space="0" w:color="auto"/>
        <w:bottom w:val="none" w:sz="0" w:space="0" w:color="auto"/>
        <w:right w:val="none" w:sz="0" w:space="0" w:color="auto"/>
      </w:divBdr>
    </w:div>
    <w:div w:id="18161940">
      <w:bodyDiv w:val="1"/>
      <w:marLeft w:val="0"/>
      <w:marRight w:val="0"/>
      <w:marTop w:val="0"/>
      <w:marBottom w:val="0"/>
      <w:divBdr>
        <w:top w:val="none" w:sz="0" w:space="0" w:color="auto"/>
        <w:left w:val="none" w:sz="0" w:space="0" w:color="auto"/>
        <w:bottom w:val="none" w:sz="0" w:space="0" w:color="auto"/>
        <w:right w:val="none" w:sz="0" w:space="0" w:color="auto"/>
      </w:divBdr>
    </w:div>
    <w:div w:id="18169365">
      <w:bodyDiv w:val="1"/>
      <w:marLeft w:val="0"/>
      <w:marRight w:val="0"/>
      <w:marTop w:val="0"/>
      <w:marBottom w:val="0"/>
      <w:divBdr>
        <w:top w:val="none" w:sz="0" w:space="0" w:color="auto"/>
        <w:left w:val="none" w:sz="0" w:space="0" w:color="auto"/>
        <w:bottom w:val="none" w:sz="0" w:space="0" w:color="auto"/>
        <w:right w:val="none" w:sz="0" w:space="0" w:color="auto"/>
      </w:divBdr>
    </w:div>
    <w:div w:id="18240697">
      <w:bodyDiv w:val="1"/>
      <w:marLeft w:val="0"/>
      <w:marRight w:val="0"/>
      <w:marTop w:val="0"/>
      <w:marBottom w:val="0"/>
      <w:divBdr>
        <w:top w:val="none" w:sz="0" w:space="0" w:color="auto"/>
        <w:left w:val="none" w:sz="0" w:space="0" w:color="auto"/>
        <w:bottom w:val="none" w:sz="0" w:space="0" w:color="auto"/>
        <w:right w:val="none" w:sz="0" w:space="0" w:color="auto"/>
      </w:divBdr>
    </w:div>
    <w:div w:id="18506424">
      <w:bodyDiv w:val="1"/>
      <w:marLeft w:val="0"/>
      <w:marRight w:val="0"/>
      <w:marTop w:val="0"/>
      <w:marBottom w:val="0"/>
      <w:divBdr>
        <w:top w:val="none" w:sz="0" w:space="0" w:color="auto"/>
        <w:left w:val="none" w:sz="0" w:space="0" w:color="auto"/>
        <w:bottom w:val="none" w:sz="0" w:space="0" w:color="auto"/>
        <w:right w:val="none" w:sz="0" w:space="0" w:color="auto"/>
      </w:divBdr>
    </w:div>
    <w:div w:id="18549132">
      <w:bodyDiv w:val="1"/>
      <w:marLeft w:val="0"/>
      <w:marRight w:val="0"/>
      <w:marTop w:val="0"/>
      <w:marBottom w:val="0"/>
      <w:divBdr>
        <w:top w:val="none" w:sz="0" w:space="0" w:color="auto"/>
        <w:left w:val="none" w:sz="0" w:space="0" w:color="auto"/>
        <w:bottom w:val="none" w:sz="0" w:space="0" w:color="auto"/>
        <w:right w:val="none" w:sz="0" w:space="0" w:color="auto"/>
      </w:divBdr>
    </w:div>
    <w:div w:id="18627159">
      <w:bodyDiv w:val="1"/>
      <w:marLeft w:val="0"/>
      <w:marRight w:val="0"/>
      <w:marTop w:val="0"/>
      <w:marBottom w:val="0"/>
      <w:divBdr>
        <w:top w:val="none" w:sz="0" w:space="0" w:color="auto"/>
        <w:left w:val="none" w:sz="0" w:space="0" w:color="auto"/>
        <w:bottom w:val="none" w:sz="0" w:space="0" w:color="auto"/>
        <w:right w:val="none" w:sz="0" w:space="0" w:color="auto"/>
      </w:divBdr>
    </w:div>
    <w:div w:id="18702233">
      <w:bodyDiv w:val="1"/>
      <w:marLeft w:val="0"/>
      <w:marRight w:val="0"/>
      <w:marTop w:val="0"/>
      <w:marBottom w:val="0"/>
      <w:divBdr>
        <w:top w:val="none" w:sz="0" w:space="0" w:color="auto"/>
        <w:left w:val="none" w:sz="0" w:space="0" w:color="auto"/>
        <w:bottom w:val="none" w:sz="0" w:space="0" w:color="auto"/>
        <w:right w:val="none" w:sz="0" w:space="0" w:color="auto"/>
      </w:divBdr>
    </w:div>
    <w:div w:id="18942120">
      <w:bodyDiv w:val="1"/>
      <w:marLeft w:val="0"/>
      <w:marRight w:val="0"/>
      <w:marTop w:val="0"/>
      <w:marBottom w:val="0"/>
      <w:divBdr>
        <w:top w:val="none" w:sz="0" w:space="0" w:color="auto"/>
        <w:left w:val="none" w:sz="0" w:space="0" w:color="auto"/>
        <w:bottom w:val="none" w:sz="0" w:space="0" w:color="auto"/>
        <w:right w:val="none" w:sz="0" w:space="0" w:color="auto"/>
      </w:divBdr>
    </w:div>
    <w:div w:id="19087471">
      <w:bodyDiv w:val="1"/>
      <w:marLeft w:val="0"/>
      <w:marRight w:val="0"/>
      <w:marTop w:val="0"/>
      <w:marBottom w:val="0"/>
      <w:divBdr>
        <w:top w:val="none" w:sz="0" w:space="0" w:color="auto"/>
        <w:left w:val="none" w:sz="0" w:space="0" w:color="auto"/>
        <w:bottom w:val="none" w:sz="0" w:space="0" w:color="auto"/>
        <w:right w:val="none" w:sz="0" w:space="0" w:color="auto"/>
      </w:divBdr>
    </w:div>
    <w:div w:id="19088051">
      <w:bodyDiv w:val="1"/>
      <w:marLeft w:val="0"/>
      <w:marRight w:val="0"/>
      <w:marTop w:val="0"/>
      <w:marBottom w:val="0"/>
      <w:divBdr>
        <w:top w:val="none" w:sz="0" w:space="0" w:color="auto"/>
        <w:left w:val="none" w:sz="0" w:space="0" w:color="auto"/>
        <w:bottom w:val="none" w:sz="0" w:space="0" w:color="auto"/>
        <w:right w:val="none" w:sz="0" w:space="0" w:color="auto"/>
      </w:divBdr>
    </w:div>
    <w:div w:id="19209579">
      <w:bodyDiv w:val="1"/>
      <w:marLeft w:val="0"/>
      <w:marRight w:val="0"/>
      <w:marTop w:val="0"/>
      <w:marBottom w:val="0"/>
      <w:divBdr>
        <w:top w:val="none" w:sz="0" w:space="0" w:color="auto"/>
        <w:left w:val="none" w:sz="0" w:space="0" w:color="auto"/>
        <w:bottom w:val="none" w:sz="0" w:space="0" w:color="auto"/>
        <w:right w:val="none" w:sz="0" w:space="0" w:color="auto"/>
      </w:divBdr>
    </w:div>
    <w:div w:id="19212653">
      <w:bodyDiv w:val="1"/>
      <w:marLeft w:val="0"/>
      <w:marRight w:val="0"/>
      <w:marTop w:val="0"/>
      <w:marBottom w:val="0"/>
      <w:divBdr>
        <w:top w:val="none" w:sz="0" w:space="0" w:color="auto"/>
        <w:left w:val="none" w:sz="0" w:space="0" w:color="auto"/>
        <w:bottom w:val="none" w:sz="0" w:space="0" w:color="auto"/>
        <w:right w:val="none" w:sz="0" w:space="0" w:color="auto"/>
      </w:divBdr>
    </w:div>
    <w:div w:id="19355107">
      <w:bodyDiv w:val="1"/>
      <w:marLeft w:val="0"/>
      <w:marRight w:val="0"/>
      <w:marTop w:val="0"/>
      <w:marBottom w:val="0"/>
      <w:divBdr>
        <w:top w:val="none" w:sz="0" w:space="0" w:color="auto"/>
        <w:left w:val="none" w:sz="0" w:space="0" w:color="auto"/>
        <w:bottom w:val="none" w:sz="0" w:space="0" w:color="auto"/>
        <w:right w:val="none" w:sz="0" w:space="0" w:color="auto"/>
      </w:divBdr>
    </w:div>
    <w:div w:id="19668240">
      <w:bodyDiv w:val="1"/>
      <w:marLeft w:val="0"/>
      <w:marRight w:val="0"/>
      <w:marTop w:val="0"/>
      <w:marBottom w:val="0"/>
      <w:divBdr>
        <w:top w:val="none" w:sz="0" w:space="0" w:color="auto"/>
        <w:left w:val="none" w:sz="0" w:space="0" w:color="auto"/>
        <w:bottom w:val="none" w:sz="0" w:space="0" w:color="auto"/>
        <w:right w:val="none" w:sz="0" w:space="0" w:color="auto"/>
      </w:divBdr>
    </w:div>
    <w:div w:id="19815856">
      <w:bodyDiv w:val="1"/>
      <w:marLeft w:val="0"/>
      <w:marRight w:val="0"/>
      <w:marTop w:val="0"/>
      <w:marBottom w:val="0"/>
      <w:divBdr>
        <w:top w:val="none" w:sz="0" w:space="0" w:color="auto"/>
        <w:left w:val="none" w:sz="0" w:space="0" w:color="auto"/>
        <w:bottom w:val="none" w:sz="0" w:space="0" w:color="auto"/>
        <w:right w:val="none" w:sz="0" w:space="0" w:color="auto"/>
      </w:divBdr>
    </w:div>
    <w:div w:id="19820297">
      <w:bodyDiv w:val="1"/>
      <w:marLeft w:val="0"/>
      <w:marRight w:val="0"/>
      <w:marTop w:val="0"/>
      <w:marBottom w:val="0"/>
      <w:divBdr>
        <w:top w:val="none" w:sz="0" w:space="0" w:color="auto"/>
        <w:left w:val="none" w:sz="0" w:space="0" w:color="auto"/>
        <w:bottom w:val="none" w:sz="0" w:space="0" w:color="auto"/>
        <w:right w:val="none" w:sz="0" w:space="0" w:color="auto"/>
      </w:divBdr>
    </w:div>
    <w:div w:id="19865637">
      <w:bodyDiv w:val="1"/>
      <w:marLeft w:val="0"/>
      <w:marRight w:val="0"/>
      <w:marTop w:val="0"/>
      <w:marBottom w:val="0"/>
      <w:divBdr>
        <w:top w:val="none" w:sz="0" w:space="0" w:color="auto"/>
        <w:left w:val="none" w:sz="0" w:space="0" w:color="auto"/>
        <w:bottom w:val="none" w:sz="0" w:space="0" w:color="auto"/>
        <w:right w:val="none" w:sz="0" w:space="0" w:color="auto"/>
      </w:divBdr>
    </w:div>
    <w:div w:id="20013393">
      <w:bodyDiv w:val="1"/>
      <w:marLeft w:val="0"/>
      <w:marRight w:val="0"/>
      <w:marTop w:val="0"/>
      <w:marBottom w:val="0"/>
      <w:divBdr>
        <w:top w:val="none" w:sz="0" w:space="0" w:color="auto"/>
        <w:left w:val="none" w:sz="0" w:space="0" w:color="auto"/>
        <w:bottom w:val="none" w:sz="0" w:space="0" w:color="auto"/>
        <w:right w:val="none" w:sz="0" w:space="0" w:color="auto"/>
      </w:divBdr>
    </w:div>
    <w:div w:id="20060837">
      <w:bodyDiv w:val="1"/>
      <w:marLeft w:val="0"/>
      <w:marRight w:val="0"/>
      <w:marTop w:val="0"/>
      <w:marBottom w:val="0"/>
      <w:divBdr>
        <w:top w:val="none" w:sz="0" w:space="0" w:color="auto"/>
        <w:left w:val="none" w:sz="0" w:space="0" w:color="auto"/>
        <w:bottom w:val="none" w:sz="0" w:space="0" w:color="auto"/>
        <w:right w:val="none" w:sz="0" w:space="0" w:color="auto"/>
      </w:divBdr>
    </w:div>
    <w:div w:id="20128936">
      <w:bodyDiv w:val="1"/>
      <w:marLeft w:val="0"/>
      <w:marRight w:val="0"/>
      <w:marTop w:val="0"/>
      <w:marBottom w:val="0"/>
      <w:divBdr>
        <w:top w:val="none" w:sz="0" w:space="0" w:color="auto"/>
        <w:left w:val="none" w:sz="0" w:space="0" w:color="auto"/>
        <w:bottom w:val="none" w:sz="0" w:space="0" w:color="auto"/>
        <w:right w:val="none" w:sz="0" w:space="0" w:color="auto"/>
      </w:divBdr>
    </w:div>
    <w:div w:id="20203330">
      <w:bodyDiv w:val="1"/>
      <w:marLeft w:val="0"/>
      <w:marRight w:val="0"/>
      <w:marTop w:val="0"/>
      <w:marBottom w:val="0"/>
      <w:divBdr>
        <w:top w:val="none" w:sz="0" w:space="0" w:color="auto"/>
        <w:left w:val="none" w:sz="0" w:space="0" w:color="auto"/>
        <w:bottom w:val="none" w:sz="0" w:space="0" w:color="auto"/>
        <w:right w:val="none" w:sz="0" w:space="0" w:color="auto"/>
      </w:divBdr>
    </w:div>
    <w:div w:id="20252834">
      <w:bodyDiv w:val="1"/>
      <w:marLeft w:val="0"/>
      <w:marRight w:val="0"/>
      <w:marTop w:val="0"/>
      <w:marBottom w:val="0"/>
      <w:divBdr>
        <w:top w:val="none" w:sz="0" w:space="0" w:color="auto"/>
        <w:left w:val="none" w:sz="0" w:space="0" w:color="auto"/>
        <w:bottom w:val="none" w:sz="0" w:space="0" w:color="auto"/>
        <w:right w:val="none" w:sz="0" w:space="0" w:color="auto"/>
      </w:divBdr>
    </w:div>
    <w:div w:id="20278117">
      <w:bodyDiv w:val="1"/>
      <w:marLeft w:val="0"/>
      <w:marRight w:val="0"/>
      <w:marTop w:val="0"/>
      <w:marBottom w:val="0"/>
      <w:divBdr>
        <w:top w:val="none" w:sz="0" w:space="0" w:color="auto"/>
        <w:left w:val="none" w:sz="0" w:space="0" w:color="auto"/>
        <w:bottom w:val="none" w:sz="0" w:space="0" w:color="auto"/>
        <w:right w:val="none" w:sz="0" w:space="0" w:color="auto"/>
      </w:divBdr>
    </w:div>
    <w:div w:id="20398496">
      <w:bodyDiv w:val="1"/>
      <w:marLeft w:val="0"/>
      <w:marRight w:val="0"/>
      <w:marTop w:val="0"/>
      <w:marBottom w:val="0"/>
      <w:divBdr>
        <w:top w:val="none" w:sz="0" w:space="0" w:color="auto"/>
        <w:left w:val="none" w:sz="0" w:space="0" w:color="auto"/>
        <w:bottom w:val="none" w:sz="0" w:space="0" w:color="auto"/>
        <w:right w:val="none" w:sz="0" w:space="0" w:color="auto"/>
      </w:divBdr>
    </w:div>
    <w:div w:id="20401026">
      <w:bodyDiv w:val="1"/>
      <w:marLeft w:val="0"/>
      <w:marRight w:val="0"/>
      <w:marTop w:val="0"/>
      <w:marBottom w:val="0"/>
      <w:divBdr>
        <w:top w:val="none" w:sz="0" w:space="0" w:color="auto"/>
        <w:left w:val="none" w:sz="0" w:space="0" w:color="auto"/>
        <w:bottom w:val="none" w:sz="0" w:space="0" w:color="auto"/>
        <w:right w:val="none" w:sz="0" w:space="0" w:color="auto"/>
      </w:divBdr>
    </w:div>
    <w:div w:id="20517509">
      <w:bodyDiv w:val="1"/>
      <w:marLeft w:val="0"/>
      <w:marRight w:val="0"/>
      <w:marTop w:val="0"/>
      <w:marBottom w:val="0"/>
      <w:divBdr>
        <w:top w:val="none" w:sz="0" w:space="0" w:color="auto"/>
        <w:left w:val="none" w:sz="0" w:space="0" w:color="auto"/>
        <w:bottom w:val="none" w:sz="0" w:space="0" w:color="auto"/>
        <w:right w:val="none" w:sz="0" w:space="0" w:color="auto"/>
      </w:divBdr>
    </w:div>
    <w:div w:id="20523260">
      <w:bodyDiv w:val="1"/>
      <w:marLeft w:val="0"/>
      <w:marRight w:val="0"/>
      <w:marTop w:val="0"/>
      <w:marBottom w:val="0"/>
      <w:divBdr>
        <w:top w:val="none" w:sz="0" w:space="0" w:color="auto"/>
        <w:left w:val="none" w:sz="0" w:space="0" w:color="auto"/>
        <w:bottom w:val="none" w:sz="0" w:space="0" w:color="auto"/>
        <w:right w:val="none" w:sz="0" w:space="0" w:color="auto"/>
      </w:divBdr>
    </w:div>
    <w:div w:id="20711079">
      <w:bodyDiv w:val="1"/>
      <w:marLeft w:val="0"/>
      <w:marRight w:val="0"/>
      <w:marTop w:val="0"/>
      <w:marBottom w:val="0"/>
      <w:divBdr>
        <w:top w:val="none" w:sz="0" w:space="0" w:color="auto"/>
        <w:left w:val="none" w:sz="0" w:space="0" w:color="auto"/>
        <w:bottom w:val="none" w:sz="0" w:space="0" w:color="auto"/>
        <w:right w:val="none" w:sz="0" w:space="0" w:color="auto"/>
      </w:divBdr>
    </w:div>
    <w:div w:id="20711691">
      <w:bodyDiv w:val="1"/>
      <w:marLeft w:val="0"/>
      <w:marRight w:val="0"/>
      <w:marTop w:val="0"/>
      <w:marBottom w:val="0"/>
      <w:divBdr>
        <w:top w:val="none" w:sz="0" w:space="0" w:color="auto"/>
        <w:left w:val="none" w:sz="0" w:space="0" w:color="auto"/>
        <w:bottom w:val="none" w:sz="0" w:space="0" w:color="auto"/>
        <w:right w:val="none" w:sz="0" w:space="0" w:color="auto"/>
      </w:divBdr>
    </w:div>
    <w:div w:id="20714656">
      <w:bodyDiv w:val="1"/>
      <w:marLeft w:val="0"/>
      <w:marRight w:val="0"/>
      <w:marTop w:val="0"/>
      <w:marBottom w:val="0"/>
      <w:divBdr>
        <w:top w:val="none" w:sz="0" w:space="0" w:color="auto"/>
        <w:left w:val="none" w:sz="0" w:space="0" w:color="auto"/>
        <w:bottom w:val="none" w:sz="0" w:space="0" w:color="auto"/>
        <w:right w:val="none" w:sz="0" w:space="0" w:color="auto"/>
      </w:divBdr>
    </w:div>
    <w:div w:id="20740149">
      <w:bodyDiv w:val="1"/>
      <w:marLeft w:val="0"/>
      <w:marRight w:val="0"/>
      <w:marTop w:val="0"/>
      <w:marBottom w:val="0"/>
      <w:divBdr>
        <w:top w:val="none" w:sz="0" w:space="0" w:color="auto"/>
        <w:left w:val="none" w:sz="0" w:space="0" w:color="auto"/>
        <w:bottom w:val="none" w:sz="0" w:space="0" w:color="auto"/>
        <w:right w:val="none" w:sz="0" w:space="0" w:color="auto"/>
      </w:divBdr>
    </w:div>
    <w:div w:id="20787511">
      <w:bodyDiv w:val="1"/>
      <w:marLeft w:val="0"/>
      <w:marRight w:val="0"/>
      <w:marTop w:val="0"/>
      <w:marBottom w:val="0"/>
      <w:divBdr>
        <w:top w:val="none" w:sz="0" w:space="0" w:color="auto"/>
        <w:left w:val="none" w:sz="0" w:space="0" w:color="auto"/>
        <w:bottom w:val="none" w:sz="0" w:space="0" w:color="auto"/>
        <w:right w:val="none" w:sz="0" w:space="0" w:color="auto"/>
      </w:divBdr>
    </w:div>
    <w:div w:id="20790157">
      <w:bodyDiv w:val="1"/>
      <w:marLeft w:val="0"/>
      <w:marRight w:val="0"/>
      <w:marTop w:val="0"/>
      <w:marBottom w:val="0"/>
      <w:divBdr>
        <w:top w:val="none" w:sz="0" w:space="0" w:color="auto"/>
        <w:left w:val="none" w:sz="0" w:space="0" w:color="auto"/>
        <w:bottom w:val="none" w:sz="0" w:space="0" w:color="auto"/>
        <w:right w:val="none" w:sz="0" w:space="0" w:color="auto"/>
      </w:divBdr>
    </w:div>
    <w:div w:id="20933471">
      <w:bodyDiv w:val="1"/>
      <w:marLeft w:val="0"/>
      <w:marRight w:val="0"/>
      <w:marTop w:val="0"/>
      <w:marBottom w:val="0"/>
      <w:divBdr>
        <w:top w:val="none" w:sz="0" w:space="0" w:color="auto"/>
        <w:left w:val="none" w:sz="0" w:space="0" w:color="auto"/>
        <w:bottom w:val="none" w:sz="0" w:space="0" w:color="auto"/>
        <w:right w:val="none" w:sz="0" w:space="0" w:color="auto"/>
      </w:divBdr>
    </w:div>
    <w:div w:id="20977942">
      <w:bodyDiv w:val="1"/>
      <w:marLeft w:val="0"/>
      <w:marRight w:val="0"/>
      <w:marTop w:val="0"/>
      <w:marBottom w:val="0"/>
      <w:divBdr>
        <w:top w:val="none" w:sz="0" w:space="0" w:color="auto"/>
        <w:left w:val="none" w:sz="0" w:space="0" w:color="auto"/>
        <w:bottom w:val="none" w:sz="0" w:space="0" w:color="auto"/>
        <w:right w:val="none" w:sz="0" w:space="0" w:color="auto"/>
      </w:divBdr>
    </w:div>
    <w:div w:id="21131764">
      <w:bodyDiv w:val="1"/>
      <w:marLeft w:val="0"/>
      <w:marRight w:val="0"/>
      <w:marTop w:val="0"/>
      <w:marBottom w:val="0"/>
      <w:divBdr>
        <w:top w:val="none" w:sz="0" w:space="0" w:color="auto"/>
        <w:left w:val="none" w:sz="0" w:space="0" w:color="auto"/>
        <w:bottom w:val="none" w:sz="0" w:space="0" w:color="auto"/>
        <w:right w:val="none" w:sz="0" w:space="0" w:color="auto"/>
      </w:divBdr>
    </w:div>
    <w:div w:id="21132263">
      <w:bodyDiv w:val="1"/>
      <w:marLeft w:val="0"/>
      <w:marRight w:val="0"/>
      <w:marTop w:val="0"/>
      <w:marBottom w:val="0"/>
      <w:divBdr>
        <w:top w:val="none" w:sz="0" w:space="0" w:color="auto"/>
        <w:left w:val="none" w:sz="0" w:space="0" w:color="auto"/>
        <w:bottom w:val="none" w:sz="0" w:space="0" w:color="auto"/>
        <w:right w:val="none" w:sz="0" w:space="0" w:color="auto"/>
      </w:divBdr>
    </w:div>
    <w:div w:id="21132375">
      <w:bodyDiv w:val="1"/>
      <w:marLeft w:val="0"/>
      <w:marRight w:val="0"/>
      <w:marTop w:val="0"/>
      <w:marBottom w:val="0"/>
      <w:divBdr>
        <w:top w:val="none" w:sz="0" w:space="0" w:color="auto"/>
        <w:left w:val="none" w:sz="0" w:space="0" w:color="auto"/>
        <w:bottom w:val="none" w:sz="0" w:space="0" w:color="auto"/>
        <w:right w:val="none" w:sz="0" w:space="0" w:color="auto"/>
      </w:divBdr>
    </w:div>
    <w:div w:id="21171077">
      <w:bodyDiv w:val="1"/>
      <w:marLeft w:val="0"/>
      <w:marRight w:val="0"/>
      <w:marTop w:val="0"/>
      <w:marBottom w:val="0"/>
      <w:divBdr>
        <w:top w:val="none" w:sz="0" w:space="0" w:color="auto"/>
        <w:left w:val="none" w:sz="0" w:space="0" w:color="auto"/>
        <w:bottom w:val="none" w:sz="0" w:space="0" w:color="auto"/>
        <w:right w:val="none" w:sz="0" w:space="0" w:color="auto"/>
      </w:divBdr>
    </w:div>
    <w:div w:id="21249030">
      <w:bodyDiv w:val="1"/>
      <w:marLeft w:val="0"/>
      <w:marRight w:val="0"/>
      <w:marTop w:val="0"/>
      <w:marBottom w:val="0"/>
      <w:divBdr>
        <w:top w:val="none" w:sz="0" w:space="0" w:color="auto"/>
        <w:left w:val="none" w:sz="0" w:space="0" w:color="auto"/>
        <w:bottom w:val="none" w:sz="0" w:space="0" w:color="auto"/>
        <w:right w:val="none" w:sz="0" w:space="0" w:color="auto"/>
      </w:divBdr>
    </w:div>
    <w:div w:id="21365217">
      <w:bodyDiv w:val="1"/>
      <w:marLeft w:val="0"/>
      <w:marRight w:val="0"/>
      <w:marTop w:val="0"/>
      <w:marBottom w:val="0"/>
      <w:divBdr>
        <w:top w:val="none" w:sz="0" w:space="0" w:color="auto"/>
        <w:left w:val="none" w:sz="0" w:space="0" w:color="auto"/>
        <w:bottom w:val="none" w:sz="0" w:space="0" w:color="auto"/>
        <w:right w:val="none" w:sz="0" w:space="0" w:color="auto"/>
      </w:divBdr>
    </w:div>
    <w:div w:id="21366795">
      <w:bodyDiv w:val="1"/>
      <w:marLeft w:val="0"/>
      <w:marRight w:val="0"/>
      <w:marTop w:val="0"/>
      <w:marBottom w:val="0"/>
      <w:divBdr>
        <w:top w:val="none" w:sz="0" w:space="0" w:color="auto"/>
        <w:left w:val="none" w:sz="0" w:space="0" w:color="auto"/>
        <w:bottom w:val="none" w:sz="0" w:space="0" w:color="auto"/>
        <w:right w:val="none" w:sz="0" w:space="0" w:color="auto"/>
      </w:divBdr>
    </w:div>
    <w:div w:id="21367625">
      <w:bodyDiv w:val="1"/>
      <w:marLeft w:val="0"/>
      <w:marRight w:val="0"/>
      <w:marTop w:val="0"/>
      <w:marBottom w:val="0"/>
      <w:divBdr>
        <w:top w:val="none" w:sz="0" w:space="0" w:color="auto"/>
        <w:left w:val="none" w:sz="0" w:space="0" w:color="auto"/>
        <w:bottom w:val="none" w:sz="0" w:space="0" w:color="auto"/>
        <w:right w:val="none" w:sz="0" w:space="0" w:color="auto"/>
      </w:divBdr>
    </w:div>
    <w:div w:id="21371555">
      <w:bodyDiv w:val="1"/>
      <w:marLeft w:val="0"/>
      <w:marRight w:val="0"/>
      <w:marTop w:val="0"/>
      <w:marBottom w:val="0"/>
      <w:divBdr>
        <w:top w:val="none" w:sz="0" w:space="0" w:color="auto"/>
        <w:left w:val="none" w:sz="0" w:space="0" w:color="auto"/>
        <w:bottom w:val="none" w:sz="0" w:space="0" w:color="auto"/>
        <w:right w:val="none" w:sz="0" w:space="0" w:color="auto"/>
      </w:divBdr>
    </w:div>
    <w:div w:id="21371795">
      <w:bodyDiv w:val="1"/>
      <w:marLeft w:val="0"/>
      <w:marRight w:val="0"/>
      <w:marTop w:val="0"/>
      <w:marBottom w:val="0"/>
      <w:divBdr>
        <w:top w:val="none" w:sz="0" w:space="0" w:color="auto"/>
        <w:left w:val="none" w:sz="0" w:space="0" w:color="auto"/>
        <w:bottom w:val="none" w:sz="0" w:space="0" w:color="auto"/>
        <w:right w:val="none" w:sz="0" w:space="0" w:color="auto"/>
      </w:divBdr>
    </w:div>
    <w:div w:id="21441707">
      <w:bodyDiv w:val="1"/>
      <w:marLeft w:val="0"/>
      <w:marRight w:val="0"/>
      <w:marTop w:val="0"/>
      <w:marBottom w:val="0"/>
      <w:divBdr>
        <w:top w:val="none" w:sz="0" w:space="0" w:color="auto"/>
        <w:left w:val="none" w:sz="0" w:space="0" w:color="auto"/>
        <w:bottom w:val="none" w:sz="0" w:space="0" w:color="auto"/>
        <w:right w:val="none" w:sz="0" w:space="0" w:color="auto"/>
      </w:divBdr>
    </w:div>
    <w:div w:id="21444205">
      <w:bodyDiv w:val="1"/>
      <w:marLeft w:val="0"/>
      <w:marRight w:val="0"/>
      <w:marTop w:val="0"/>
      <w:marBottom w:val="0"/>
      <w:divBdr>
        <w:top w:val="none" w:sz="0" w:space="0" w:color="auto"/>
        <w:left w:val="none" w:sz="0" w:space="0" w:color="auto"/>
        <w:bottom w:val="none" w:sz="0" w:space="0" w:color="auto"/>
        <w:right w:val="none" w:sz="0" w:space="0" w:color="auto"/>
      </w:divBdr>
    </w:div>
    <w:div w:id="21639243">
      <w:bodyDiv w:val="1"/>
      <w:marLeft w:val="0"/>
      <w:marRight w:val="0"/>
      <w:marTop w:val="0"/>
      <w:marBottom w:val="0"/>
      <w:divBdr>
        <w:top w:val="none" w:sz="0" w:space="0" w:color="auto"/>
        <w:left w:val="none" w:sz="0" w:space="0" w:color="auto"/>
        <w:bottom w:val="none" w:sz="0" w:space="0" w:color="auto"/>
        <w:right w:val="none" w:sz="0" w:space="0" w:color="auto"/>
      </w:divBdr>
    </w:div>
    <w:div w:id="21712430">
      <w:bodyDiv w:val="1"/>
      <w:marLeft w:val="0"/>
      <w:marRight w:val="0"/>
      <w:marTop w:val="0"/>
      <w:marBottom w:val="0"/>
      <w:divBdr>
        <w:top w:val="none" w:sz="0" w:space="0" w:color="auto"/>
        <w:left w:val="none" w:sz="0" w:space="0" w:color="auto"/>
        <w:bottom w:val="none" w:sz="0" w:space="0" w:color="auto"/>
        <w:right w:val="none" w:sz="0" w:space="0" w:color="auto"/>
      </w:divBdr>
    </w:div>
    <w:div w:id="21782536">
      <w:bodyDiv w:val="1"/>
      <w:marLeft w:val="0"/>
      <w:marRight w:val="0"/>
      <w:marTop w:val="0"/>
      <w:marBottom w:val="0"/>
      <w:divBdr>
        <w:top w:val="none" w:sz="0" w:space="0" w:color="auto"/>
        <w:left w:val="none" w:sz="0" w:space="0" w:color="auto"/>
        <w:bottom w:val="none" w:sz="0" w:space="0" w:color="auto"/>
        <w:right w:val="none" w:sz="0" w:space="0" w:color="auto"/>
      </w:divBdr>
    </w:div>
    <w:div w:id="21783497">
      <w:bodyDiv w:val="1"/>
      <w:marLeft w:val="0"/>
      <w:marRight w:val="0"/>
      <w:marTop w:val="0"/>
      <w:marBottom w:val="0"/>
      <w:divBdr>
        <w:top w:val="none" w:sz="0" w:space="0" w:color="auto"/>
        <w:left w:val="none" w:sz="0" w:space="0" w:color="auto"/>
        <w:bottom w:val="none" w:sz="0" w:space="0" w:color="auto"/>
        <w:right w:val="none" w:sz="0" w:space="0" w:color="auto"/>
      </w:divBdr>
    </w:div>
    <w:div w:id="21824443">
      <w:bodyDiv w:val="1"/>
      <w:marLeft w:val="0"/>
      <w:marRight w:val="0"/>
      <w:marTop w:val="0"/>
      <w:marBottom w:val="0"/>
      <w:divBdr>
        <w:top w:val="none" w:sz="0" w:space="0" w:color="auto"/>
        <w:left w:val="none" w:sz="0" w:space="0" w:color="auto"/>
        <w:bottom w:val="none" w:sz="0" w:space="0" w:color="auto"/>
        <w:right w:val="none" w:sz="0" w:space="0" w:color="auto"/>
      </w:divBdr>
    </w:div>
    <w:div w:id="22022205">
      <w:bodyDiv w:val="1"/>
      <w:marLeft w:val="0"/>
      <w:marRight w:val="0"/>
      <w:marTop w:val="0"/>
      <w:marBottom w:val="0"/>
      <w:divBdr>
        <w:top w:val="none" w:sz="0" w:space="0" w:color="auto"/>
        <w:left w:val="none" w:sz="0" w:space="0" w:color="auto"/>
        <w:bottom w:val="none" w:sz="0" w:space="0" w:color="auto"/>
        <w:right w:val="none" w:sz="0" w:space="0" w:color="auto"/>
      </w:divBdr>
    </w:div>
    <w:div w:id="22101426">
      <w:bodyDiv w:val="1"/>
      <w:marLeft w:val="0"/>
      <w:marRight w:val="0"/>
      <w:marTop w:val="0"/>
      <w:marBottom w:val="0"/>
      <w:divBdr>
        <w:top w:val="none" w:sz="0" w:space="0" w:color="auto"/>
        <w:left w:val="none" w:sz="0" w:space="0" w:color="auto"/>
        <w:bottom w:val="none" w:sz="0" w:space="0" w:color="auto"/>
        <w:right w:val="none" w:sz="0" w:space="0" w:color="auto"/>
      </w:divBdr>
    </w:div>
    <w:div w:id="22174264">
      <w:bodyDiv w:val="1"/>
      <w:marLeft w:val="0"/>
      <w:marRight w:val="0"/>
      <w:marTop w:val="0"/>
      <w:marBottom w:val="0"/>
      <w:divBdr>
        <w:top w:val="none" w:sz="0" w:space="0" w:color="auto"/>
        <w:left w:val="none" w:sz="0" w:space="0" w:color="auto"/>
        <w:bottom w:val="none" w:sz="0" w:space="0" w:color="auto"/>
        <w:right w:val="none" w:sz="0" w:space="0" w:color="auto"/>
      </w:divBdr>
    </w:div>
    <w:div w:id="22175219">
      <w:bodyDiv w:val="1"/>
      <w:marLeft w:val="0"/>
      <w:marRight w:val="0"/>
      <w:marTop w:val="0"/>
      <w:marBottom w:val="0"/>
      <w:divBdr>
        <w:top w:val="none" w:sz="0" w:space="0" w:color="auto"/>
        <w:left w:val="none" w:sz="0" w:space="0" w:color="auto"/>
        <w:bottom w:val="none" w:sz="0" w:space="0" w:color="auto"/>
        <w:right w:val="none" w:sz="0" w:space="0" w:color="auto"/>
      </w:divBdr>
    </w:div>
    <w:div w:id="22248920">
      <w:bodyDiv w:val="1"/>
      <w:marLeft w:val="0"/>
      <w:marRight w:val="0"/>
      <w:marTop w:val="0"/>
      <w:marBottom w:val="0"/>
      <w:divBdr>
        <w:top w:val="none" w:sz="0" w:space="0" w:color="auto"/>
        <w:left w:val="none" w:sz="0" w:space="0" w:color="auto"/>
        <w:bottom w:val="none" w:sz="0" w:space="0" w:color="auto"/>
        <w:right w:val="none" w:sz="0" w:space="0" w:color="auto"/>
      </w:divBdr>
    </w:div>
    <w:div w:id="22288122">
      <w:bodyDiv w:val="1"/>
      <w:marLeft w:val="0"/>
      <w:marRight w:val="0"/>
      <w:marTop w:val="0"/>
      <w:marBottom w:val="0"/>
      <w:divBdr>
        <w:top w:val="none" w:sz="0" w:space="0" w:color="auto"/>
        <w:left w:val="none" w:sz="0" w:space="0" w:color="auto"/>
        <w:bottom w:val="none" w:sz="0" w:space="0" w:color="auto"/>
        <w:right w:val="none" w:sz="0" w:space="0" w:color="auto"/>
      </w:divBdr>
    </w:div>
    <w:div w:id="22363396">
      <w:bodyDiv w:val="1"/>
      <w:marLeft w:val="0"/>
      <w:marRight w:val="0"/>
      <w:marTop w:val="0"/>
      <w:marBottom w:val="0"/>
      <w:divBdr>
        <w:top w:val="none" w:sz="0" w:space="0" w:color="auto"/>
        <w:left w:val="none" w:sz="0" w:space="0" w:color="auto"/>
        <w:bottom w:val="none" w:sz="0" w:space="0" w:color="auto"/>
        <w:right w:val="none" w:sz="0" w:space="0" w:color="auto"/>
      </w:divBdr>
    </w:div>
    <w:div w:id="22439033">
      <w:bodyDiv w:val="1"/>
      <w:marLeft w:val="0"/>
      <w:marRight w:val="0"/>
      <w:marTop w:val="0"/>
      <w:marBottom w:val="0"/>
      <w:divBdr>
        <w:top w:val="none" w:sz="0" w:space="0" w:color="auto"/>
        <w:left w:val="none" w:sz="0" w:space="0" w:color="auto"/>
        <w:bottom w:val="none" w:sz="0" w:space="0" w:color="auto"/>
        <w:right w:val="none" w:sz="0" w:space="0" w:color="auto"/>
      </w:divBdr>
    </w:div>
    <w:div w:id="22487868">
      <w:bodyDiv w:val="1"/>
      <w:marLeft w:val="0"/>
      <w:marRight w:val="0"/>
      <w:marTop w:val="0"/>
      <w:marBottom w:val="0"/>
      <w:divBdr>
        <w:top w:val="none" w:sz="0" w:space="0" w:color="auto"/>
        <w:left w:val="none" w:sz="0" w:space="0" w:color="auto"/>
        <w:bottom w:val="none" w:sz="0" w:space="0" w:color="auto"/>
        <w:right w:val="none" w:sz="0" w:space="0" w:color="auto"/>
      </w:divBdr>
    </w:div>
    <w:div w:id="22630409">
      <w:bodyDiv w:val="1"/>
      <w:marLeft w:val="0"/>
      <w:marRight w:val="0"/>
      <w:marTop w:val="0"/>
      <w:marBottom w:val="0"/>
      <w:divBdr>
        <w:top w:val="none" w:sz="0" w:space="0" w:color="auto"/>
        <w:left w:val="none" w:sz="0" w:space="0" w:color="auto"/>
        <w:bottom w:val="none" w:sz="0" w:space="0" w:color="auto"/>
        <w:right w:val="none" w:sz="0" w:space="0" w:color="auto"/>
      </w:divBdr>
    </w:div>
    <w:div w:id="22706131">
      <w:bodyDiv w:val="1"/>
      <w:marLeft w:val="0"/>
      <w:marRight w:val="0"/>
      <w:marTop w:val="0"/>
      <w:marBottom w:val="0"/>
      <w:divBdr>
        <w:top w:val="none" w:sz="0" w:space="0" w:color="auto"/>
        <w:left w:val="none" w:sz="0" w:space="0" w:color="auto"/>
        <w:bottom w:val="none" w:sz="0" w:space="0" w:color="auto"/>
        <w:right w:val="none" w:sz="0" w:space="0" w:color="auto"/>
      </w:divBdr>
    </w:div>
    <w:div w:id="22706688">
      <w:bodyDiv w:val="1"/>
      <w:marLeft w:val="0"/>
      <w:marRight w:val="0"/>
      <w:marTop w:val="0"/>
      <w:marBottom w:val="0"/>
      <w:divBdr>
        <w:top w:val="none" w:sz="0" w:space="0" w:color="auto"/>
        <w:left w:val="none" w:sz="0" w:space="0" w:color="auto"/>
        <w:bottom w:val="none" w:sz="0" w:space="0" w:color="auto"/>
        <w:right w:val="none" w:sz="0" w:space="0" w:color="auto"/>
      </w:divBdr>
    </w:div>
    <w:div w:id="22757619">
      <w:bodyDiv w:val="1"/>
      <w:marLeft w:val="0"/>
      <w:marRight w:val="0"/>
      <w:marTop w:val="0"/>
      <w:marBottom w:val="0"/>
      <w:divBdr>
        <w:top w:val="none" w:sz="0" w:space="0" w:color="auto"/>
        <w:left w:val="none" w:sz="0" w:space="0" w:color="auto"/>
        <w:bottom w:val="none" w:sz="0" w:space="0" w:color="auto"/>
        <w:right w:val="none" w:sz="0" w:space="0" w:color="auto"/>
      </w:divBdr>
    </w:div>
    <w:div w:id="22900240">
      <w:bodyDiv w:val="1"/>
      <w:marLeft w:val="0"/>
      <w:marRight w:val="0"/>
      <w:marTop w:val="0"/>
      <w:marBottom w:val="0"/>
      <w:divBdr>
        <w:top w:val="none" w:sz="0" w:space="0" w:color="auto"/>
        <w:left w:val="none" w:sz="0" w:space="0" w:color="auto"/>
        <w:bottom w:val="none" w:sz="0" w:space="0" w:color="auto"/>
        <w:right w:val="none" w:sz="0" w:space="0" w:color="auto"/>
      </w:divBdr>
    </w:div>
    <w:div w:id="22941392">
      <w:bodyDiv w:val="1"/>
      <w:marLeft w:val="0"/>
      <w:marRight w:val="0"/>
      <w:marTop w:val="0"/>
      <w:marBottom w:val="0"/>
      <w:divBdr>
        <w:top w:val="none" w:sz="0" w:space="0" w:color="auto"/>
        <w:left w:val="none" w:sz="0" w:space="0" w:color="auto"/>
        <w:bottom w:val="none" w:sz="0" w:space="0" w:color="auto"/>
        <w:right w:val="none" w:sz="0" w:space="0" w:color="auto"/>
      </w:divBdr>
    </w:div>
    <w:div w:id="23016872">
      <w:bodyDiv w:val="1"/>
      <w:marLeft w:val="0"/>
      <w:marRight w:val="0"/>
      <w:marTop w:val="0"/>
      <w:marBottom w:val="0"/>
      <w:divBdr>
        <w:top w:val="none" w:sz="0" w:space="0" w:color="auto"/>
        <w:left w:val="none" w:sz="0" w:space="0" w:color="auto"/>
        <w:bottom w:val="none" w:sz="0" w:space="0" w:color="auto"/>
        <w:right w:val="none" w:sz="0" w:space="0" w:color="auto"/>
      </w:divBdr>
    </w:div>
    <w:div w:id="23017971">
      <w:bodyDiv w:val="1"/>
      <w:marLeft w:val="0"/>
      <w:marRight w:val="0"/>
      <w:marTop w:val="0"/>
      <w:marBottom w:val="0"/>
      <w:divBdr>
        <w:top w:val="none" w:sz="0" w:space="0" w:color="auto"/>
        <w:left w:val="none" w:sz="0" w:space="0" w:color="auto"/>
        <w:bottom w:val="none" w:sz="0" w:space="0" w:color="auto"/>
        <w:right w:val="none" w:sz="0" w:space="0" w:color="auto"/>
      </w:divBdr>
    </w:div>
    <w:div w:id="23096506">
      <w:bodyDiv w:val="1"/>
      <w:marLeft w:val="0"/>
      <w:marRight w:val="0"/>
      <w:marTop w:val="0"/>
      <w:marBottom w:val="0"/>
      <w:divBdr>
        <w:top w:val="none" w:sz="0" w:space="0" w:color="auto"/>
        <w:left w:val="none" w:sz="0" w:space="0" w:color="auto"/>
        <w:bottom w:val="none" w:sz="0" w:space="0" w:color="auto"/>
        <w:right w:val="none" w:sz="0" w:space="0" w:color="auto"/>
      </w:divBdr>
    </w:div>
    <w:div w:id="23097129">
      <w:bodyDiv w:val="1"/>
      <w:marLeft w:val="0"/>
      <w:marRight w:val="0"/>
      <w:marTop w:val="0"/>
      <w:marBottom w:val="0"/>
      <w:divBdr>
        <w:top w:val="none" w:sz="0" w:space="0" w:color="auto"/>
        <w:left w:val="none" w:sz="0" w:space="0" w:color="auto"/>
        <w:bottom w:val="none" w:sz="0" w:space="0" w:color="auto"/>
        <w:right w:val="none" w:sz="0" w:space="0" w:color="auto"/>
      </w:divBdr>
    </w:div>
    <w:div w:id="23211559">
      <w:bodyDiv w:val="1"/>
      <w:marLeft w:val="0"/>
      <w:marRight w:val="0"/>
      <w:marTop w:val="0"/>
      <w:marBottom w:val="0"/>
      <w:divBdr>
        <w:top w:val="none" w:sz="0" w:space="0" w:color="auto"/>
        <w:left w:val="none" w:sz="0" w:space="0" w:color="auto"/>
        <w:bottom w:val="none" w:sz="0" w:space="0" w:color="auto"/>
        <w:right w:val="none" w:sz="0" w:space="0" w:color="auto"/>
      </w:divBdr>
    </w:div>
    <w:div w:id="23218035">
      <w:bodyDiv w:val="1"/>
      <w:marLeft w:val="0"/>
      <w:marRight w:val="0"/>
      <w:marTop w:val="0"/>
      <w:marBottom w:val="0"/>
      <w:divBdr>
        <w:top w:val="none" w:sz="0" w:space="0" w:color="auto"/>
        <w:left w:val="none" w:sz="0" w:space="0" w:color="auto"/>
        <w:bottom w:val="none" w:sz="0" w:space="0" w:color="auto"/>
        <w:right w:val="none" w:sz="0" w:space="0" w:color="auto"/>
      </w:divBdr>
    </w:div>
    <w:div w:id="23598018">
      <w:bodyDiv w:val="1"/>
      <w:marLeft w:val="0"/>
      <w:marRight w:val="0"/>
      <w:marTop w:val="0"/>
      <w:marBottom w:val="0"/>
      <w:divBdr>
        <w:top w:val="none" w:sz="0" w:space="0" w:color="auto"/>
        <w:left w:val="none" w:sz="0" w:space="0" w:color="auto"/>
        <w:bottom w:val="none" w:sz="0" w:space="0" w:color="auto"/>
        <w:right w:val="none" w:sz="0" w:space="0" w:color="auto"/>
      </w:divBdr>
    </w:div>
    <w:div w:id="23600237">
      <w:bodyDiv w:val="1"/>
      <w:marLeft w:val="0"/>
      <w:marRight w:val="0"/>
      <w:marTop w:val="0"/>
      <w:marBottom w:val="0"/>
      <w:divBdr>
        <w:top w:val="none" w:sz="0" w:space="0" w:color="auto"/>
        <w:left w:val="none" w:sz="0" w:space="0" w:color="auto"/>
        <w:bottom w:val="none" w:sz="0" w:space="0" w:color="auto"/>
        <w:right w:val="none" w:sz="0" w:space="0" w:color="auto"/>
      </w:divBdr>
    </w:div>
    <w:div w:id="23605117">
      <w:bodyDiv w:val="1"/>
      <w:marLeft w:val="0"/>
      <w:marRight w:val="0"/>
      <w:marTop w:val="0"/>
      <w:marBottom w:val="0"/>
      <w:divBdr>
        <w:top w:val="none" w:sz="0" w:space="0" w:color="auto"/>
        <w:left w:val="none" w:sz="0" w:space="0" w:color="auto"/>
        <w:bottom w:val="none" w:sz="0" w:space="0" w:color="auto"/>
        <w:right w:val="none" w:sz="0" w:space="0" w:color="auto"/>
      </w:divBdr>
    </w:div>
    <w:div w:id="23680740">
      <w:bodyDiv w:val="1"/>
      <w:marLeft w:val="0"/>
      <w:marRight w:val="0"/>
      <w:marTop w:val="0"/>
      <w:marBottom w:val="0"/>
      <w:divBdr>
        <w:top w:val="none" w:sz="0" w:space="0" w:color="auto"/>
        <w:left w:val="none" w:sz="0" w:space="0" w:color="auto"/>
        <w:bottom w:val="none" w:sz="0" w:space="0" w:color="auto"/>
        <w:right w:val="none" w:sz="0" w:space="0" w:color="auto"/>
      </w:divBdr>
    </w:div>
    <w:div w:id="23754710">
      <w:bodyDiv w:val="1"/>
      <w:marLeft w:val="0"/>
      <w:marRight w:val="0"/>
      <w:marTop w:val="0"/>
      <w:marBottom w:val="0"/>
      <w:divBdr>
        <w:top w:val="none" w:sz="0" w:space="0" w:color="auto"/>
        <w:left w:val="none" w:sz="0" w:space="0" w:color="auto"/>
        <w:bottom w:val="none" w:sz="0" w:space="0" w:color="auto"/>
        <w:right w:val="none" w:sz="0" w:space="0" w:color="auto"/>
      </w:divBdr>
    </w:div>
    <w:div w:id="23796966">
      <w:bodyDiv w:val="1"/>
      <w:marLeft w:val="0"/>
      <w:marRight w:val="0"/>
      <w:marTop w:val="0"/>
      <w:marBottom w:val="0"/>
      <w:divBdr>
        <w:top w:val="none" w:sz="0" w:space="0" w:color="auto"/>
        <w:left w:val="none" w:sz="0" w:space="0" w:color="auto"/>
        <w:bottom w:val="none" w:sz="0" w:space="0" w:color="auto"/>
        <w:right w:val="none" w:sz="0" w:space="0" w:color="auto"/>
      </w:divBdr>
    </w:div>
    <w:div w:id="23798506">
      <w:bodyDiv w:val="1"/>
      <w:marLeft w:val="0"/>
      <w:marRight w:val="0"/>
      <w:marTop w:val="0"/>
      <w:marBottom w:val="0"/>
      <w:divBdr>
        <w:top w:val="none" w:sz="0" w:space="0" w:color="auto"/>
        <w:left w:val="none" w:sz="0" w:space="0" w:color="auto"/>
        <w:bottom w:val="none" w:sz="0" w:space="0" w:color="auto"/>
        <w:right w:val="none" w:sz="0" w:space="0" w:color="auto"/>
      </w:divBdr>
    </w:div>
    <w:div w:id="23870702">
      <w:bodyDiv w:val="1"/>
      <w:marLeft w:val="0"/>
      <w:marRight w:val="0"/>
      <w:marTop w:val="0"/>
      <w:marBottom w:val="0"/>
      <w:divBdr>
        <w:top w:val="none" w:sz="0" w:space="0" w:color="auto"/>
        <w:left w:val="none" w:sz="0" w:space="0" w:color="auto"/>
        <w:bottom w:val="none" w:sz="0" w:space="0" w:color="auto"/>
        <w:right w:val="none" w:sz="0" w:space="0" w:color="auto"/>
      </w:divBdr>
    </w:div>
    <w:div w:id="23871837">
      <w:bodyDiv w:val="1"/>
      <w:marLeft w:val="0"/>
      <w:marRight w:val="0"/>
      <w:marTop w:val="0"/>
      <w:marBottom w:val="0"/>
      <w:divBdr>
        <w:top w:val="none" w:sz="0" w:space="0" w:color="auto"/>
        <w:left w:val="none" w:sz="0" w:space="0" w:color="auto"/>
        <w:bottom w:val="none" w:sz="0" w:space="0" w:color="auto"/>
        <w:right w:val="none" w:sz="0" w:space="0" w:color="auto"/>
      </w:divBdr>
    </w:div>
    <w:div w:id="23948176">
      <w:bodyDiv w:val="1"/>
      <w:marLeft w:val="0"/>
      <w:marRight w:val="0"/>
      <w:marTop w:val="0"/>
      <w:marBottom w:val="0"/>
      <w:divBdr>
        <w:top w:val="none" w:sz="0" w:space="0" w:color="auto"/>
        <w:left w:val="none" w:sz="0" w:space="0" w:color="auto"/>
        <w:bottom w:val="none" w:sz="0" w:space="0" w:color="auto"/>
        <w:right w:val="none" w:sz="0" w:space="0" w:color="auto"/>
      </w:divBdr>
    </w:div>
    <w:div w:id="23986525">
      <w:bodyDiv w:val="1"/>
      <w:marLeft w:val="0"/>
      <w:marRight w:val="0"/>
      <w:marTop w:val="0"/>
      <w:marBottom w:val="0"/>
      <w:divBdr>
        <w:top w:val="none" w:sz="0" w:space="0" w:color="auto"/>
        <w:left w:val="none" w:sz="0" w:space="0" w:color="auto"/>
        <w:bottom w:val="none" w:sz="0" w:space="0" w:color="auto"/>
        <w:right w:val="none" w:sz="0" w:space="0" w:color="auto"/>
      </w:divBdr>
    </w:div>
    <w:div w:id="24016770">
      <w:bodyDiv w:val="1"/>
      <w:marLeft w:val="0"/>
      <w:marRight w:val="0"/>
      <w:marTop w:val="0"/>
      <w:marBottom w:val="0"/>
      <w:divBdr>
        <w:top w:val="none" w:sz="0" w:space="0" w:color="auto"/>
        <w:left w:val="none" w:sz="0" w:space="0" w:color="auto"/>
        <w:bottom w:val="none" w:sz="0" w:space="0" w:color="auto"/>
        <w:right w:val="none" w:sz="0" w:space="0" w:color="auto"/>
      </w:divBdr>
    </w:div>
    <w:div w:id="24254000">
      <w:bodyDiv w:val="1"/>
      <w:marLeft w:val="0"/>
      <w:marRight w:val="0"/>
      <w:marTop w:val="0"/>
      <w:marBottom w:val="0"/>
      <w:divBdr>
        <w:top w:val="none" w:sz="0" w:space="0" w:color="auto"/>
        <w:left w:val="none" w:sz="0" w:space="0" w:color="auto"/>
        <w:bottom w:val="none" w:sz="0" w:space="0" w:color="auto"/>
        <w:right w:val="none" w:sz="0" w:space="0" w:color="auto"/>
      </w:divBdr>
    </w:div>
    <w:div w:id="24333479">
      <w:bodyDiv w:val="1"/>
      <w:marLeft w:val="0"/>
      <w:marRight w:val="0"/>
      <w:marTop w:val="0"/>
      <w:marBottom w:val="0"/>
      <w:divBdr>
        <w:top w:val="none" w:sz="0" w:space="0" w:color="auto"/>
        <w:left w:val="none" w:sz="0" w:space="0" w:color="auto"/>
        <w:bottom w:val="none" w:sz="0" w:space="0" w:color="auto"/>
        <w:right w:val="none" w:sz="0" w:space="0" w:color="auto"/>
      </w:divBdr>
    </w:div>
    <w:div w:id="24411754">
      <w:bodyDiv w:val="1"/>
      <w:marLeft w:val="0"/>
      <w:marRight w:val="0"/>
      <w:marTop w:val="0"/>
      <w:marBottom w:val="0"/>
      <w:divBdr>
        <w:top w:val="none" w:sz="0" w:space="0" w:color="auto"/>
        <w:left w:val="none" w:sz="0" w:space="0" w:color="auto"/>
        <w:bottom w:val="none" w:sz="0" w:space="0" w:color="auto"/>
        <w:right w:val="none" w:sz="0" w:space="0" w:color="auto"/>
      </w:divBdr>
    </w:div>
    <w:div w:id="24521381">
      <w:bodyDiv w:val="1"/>
      <w:marLeft w:val="0"/>
      <w:marRight w:val="0"/>
      <w:marTop w:val="0"/>
      <w:marBottom w:val="0"/>
      <w:divBdr>
        <w:top w:val="none" w:sz="0" w:space="0" w:color="auto"/>
        <w:left w:val="none" w:sz="0" w:space="0" w:color="auto"/>
        <w:bottom w:val="none" w:sz="0" w:space="0" w:color="auto"/>
        <w:right w:val="none" w:sz="0" w:space="0" w:color="auto"/>
      </w:divBdr>
    </w:div>
    <w:div w:id="24527054">
      <w:bodyDiv w:val="1"/>
      <w:marLeft w:val="0"/>
      <w:marRight w:val="0"/>
      <w:marTop w:val="0"/>
      <w:marBottom w:val="0"/>
      <w:divBdr>
        <w:top w:val="none" w:sz="0" w:space="0" w:color="auto"/>
        <w:left w:val="none" w:sz="0" w:space="0" w:color="auto"/>
        <w:bottom w:val="none" w:sz="0" w:space="0" w:color="auto"/>
        <w:right w:val="none" w:sz="0" w:space="0" w:color="auto"/>
      </w:divBdr>
    </w:div>
    <w:div w:id="24601458">
      <w:bodyDiv w:val="1"/>
      <w:marLeft w:val="0"/>
      <w:marRight w:val="0"/>
      <w:marTop w:val="0"/>
      <w:marBottom w:val="0"/>
      <w:divBdr>
        <w:top w:val="none" w:sz="0" w:space="0" w:color="auto"/>
        <w:left w:val="none" w:sz="0" w:space="0" w:color="auto"/>
        <w:bottom w:val="none" w:sz="0" w:space="0" w:color="auto"/>
        <w:right w:val="none" w:sz="0" w:space="0" w:color="auto"/>
      </w:divBdr>
    </w:div>
    <w:div w:id="24603932">
      <w:bodyDiv w:val="1"/>
      <w:marLeft w:val="0"/>
      <w:marRight w:val="0"/>
      <w:marTop w:val="0"/>
      <w:marBottom w:val="0"/>
      <w:divBdr>
        <w:top w:val="none" w:sz="0" w:space="0" w:color="auto"/>
        <w:left w:val="none" w:sz="0" w:space="0" w:color="auto"/>
        <w:bottom w:val="none" w:sz="0" w:space="0" w:color="auto"/>
        <w:right w:val="none" w:sz="0" w:space="0" w:color="auto"/>
      </w:divBdr>
    </w:div>
    <w:div w:id="24605164">
      <w:bodyDiv w:val="1"/>
      <w:marLeft w:val="0"/>
      <w:marRight w:val="0"/>
      <w:marTop w:val="0"/>
      <w:marBottom w:val="0"/>
      <w:divBdr>
        <w:top w:val="none" w:sz="0" w:space="0" w:color="auto"/>
        <w:left w:val="none" w:sz="0" w:space="0" w:color="auto"/>
        <w:bottom w:val="none" w:sz="0" w:space="0" w:color="auto"/>
        <w:right w:val="none" w:sz="0" w:space="0" w:color="auto"/>
      </w:divBdr>
    </w:div>
    <w:div w:id="24722417">
      <w:bodyDiv w:val="1"/>
      <w:marLeft w:val="0"/>
      <w:marRight w:val="0"/>
      <w:marTop w:val="0"/>
      <w:marBottom w:val="0"/>
      <w:divBdr>
        <w:top w:val="none" w:sz="0" w:space="0" w:color="auto"/>
        <w:left w:val="none" w:sz="0" w:space="0" w:color="auto"/>
        <w:bottom w:val="none" w:sz="0" w:space="0" w:color="auto"/>
        <w:right w:val="none" w:sz="0" w:space="0" w:color="auto"/>
      </w:divBdr>
    </w:div>
    <w:div w:id="24796924">
      <w:bodyDiv w:val="1"/>
      <w:marLeft w:val="0"/>
      <w:marRight w:val="0"/>
      <w:marTop w:val="0"/>
      <w:marBottom w:val="0"/>
      <w:divBdr>
        <w:top w:val="none" w:sz="0" w:space="0" w:color="auto"/>
        <w:left w:val="none" w:sz="0" w:space="0" w:color="auto"/>
        <w:bottom w:val="none" w:sz="0" w:space="0" w:color="auto"/>
        <w:right w:val="none" w:sz="0" w:space="0" w:color="auto"/>
      </w:divBdr>
    </w:div>
    <w:div w:id="24982978">
      <w:bodyDiv w:val="1"/>
      <w:marLeft w:val="0"/>
      <w:marRight w:val="0"/>
      <w:marTop w:val="0"/>
      <w:marBottom w:val="0"/>
      <w:divBdr>
        <w:top w:val="none" w:sz="0" w:space="0" w:color="auto"/>
        <w:left w:val="none" w:sz="0" w:space="0" w:color="auto"/>
        <w:bottom w:val="none" w:sz="0" w:space="0" w:color="auto"/>
        <w:right w:val="none" w:sz="0" w:space="0" w:color="auto"/>
      </w:divBdr>
    </w:div>
    <w:div w:id="25064840">
      <w:bodyDiv w:val="1"/>
      <w:marLeft w:val="0"/>
      <w:marRight w:val="0"/>
      <w:marTop w:val="0"/>
      <w:marBottom w:val="0"/>
      <w:divBdr>
        <w:top w:val="none" w:sz="0" w:space="0" w:color="auto"/>
        <w:left w:val="none" w:sz="0" w:space="0" w:color="auto"/>
        <w:bottom w:val="none" w:sz="0" w:space="0" w:color="auto"/>
        <w:right w:val="none" w:sz="0" w:space="0" w:color="auto"/>
      </w:divBdr>
    </w:div>
    <w:div w:id="25066465">
      <w:bodyDiv w:val="1"/>
      <w:marLeft w:val="0"/>
      <w:marRight w:val="0"/>
      <w:marTop w:val="0"/>
      <w:marBottom w:val="0"/>
      <w:divBdr>
        <w:top w:val="none" w:sz="0" w:space="0" w:color="auto"/>
        <w:left w:val="none" w:sz="0" w:space="0" w:color="auto"/>
        <w:bottom w:val="none" w:sz="0" w:space="0" w:color="auto"/>
        <w:right w:val="none" w:sz="0" w:space="0" w:color="auto"/>
      </w:divBdr>
    </w:div>
    <w:div w:id="25109693">
      <w:bodyDiv w:val="1"/>
      <w:marLeft w:val="0"/>
      <w:marRight w:val="0"/>
      <w:marTop w:val="0"/>
      <w:marBottom w:val="0"/>
      <w:divBdr>
        <w:top w:val="none" w:sz="0" w:space="0" w:color="auto"/>
        <w:left w:val="none" w:sz="0" w:space="0" w:color="auto"/>
        <w:bottom w:val="none" w:sz="0" w:space="0" w:color="auto"/>
        <w:right w:val="none" w:sz="0" w:space="0" w:color="auto"/>
      </w:divBdr>
    </w:div>
    <w:div w:id="25109798">
      <w:bodyDiv w:val="1"/>
      <w:marLeft w:val="0"/>
      <w:marRight w:val="0"/>
      <w:marTop w:val="0"/>
      <w:marBottom w:val="0"/>
      <w:divBdr>
        <w:top w:val="none" w:sz="0" w:space="0" w:color="auto"/>
        <w:left w:val="none" w:sz="0" w:space="0" w:color="auto"/>
        <w:bottom w:val="none" w:sz="0" w:space="0" w:color="auto"/>
        <w:right w:val="none" w:sz="0" w:space="0" w:color="auto"/>
      </w:divBdr>
    </w:div>
    <w:div w:id="25252845">
      <w:bodyDiv w:val="1"/>
      <w:marLeft w:val="0"/>
      <w:marRight w:val="0"/>
      <w:marTop w:val="0"/>
      <w:marBottom w:val="0"/>
      <w:divBdr>
        <w:top w:val="none" w:sz="0" w:space="0" w:color="auto"/>
        <w:left w:val="none" w:sz="0" w:space="0" w:color="auto"/>
        <w:bottom w:val="none" w:sz="0" w:space="0" w:color="auto"/>
        <w:right w:val="none" w:sz="0" w:space="0" w:color="auto"/>
      </w:divBdr>
    </w:div>
    <w:div w:id="25378580">
      <w:bodyDiv w:val="1"/>
      <w:marLeft w:val="0"/>
      <w:marRight w:val="0"/>
      <w:marTop w:val="0"/>
      <w:marBottom w:val="0"/>
      <w:divBdr>
        <w:top w:val="none" w:sz="0" w:space="0" w:color="auto"/>
        <w:left w:val="none" w:sz="0" w:space="0" w:color="auto"/>
        <w:bottom w:val="none" w:sz="0" w:space="0" w:color="auto"/>
        <w:right w:val="none" w:sz="0" w:space="0" w:color="auto"/>
      </w:divBdr>
    </w:div>
    <w:div w:id="25522745">
      <w:bodyDiv w:val="1"/>
      <w:marLeft w:val="0"/>
      <w:marRight w:val="0"/>
      <w:marTop w:val="0"/>
      <w:marBottom w:val="0"/>
      <w:divBdr>
        <w:top w:val="none" w:sz="0" w:space="0" w:color="auto"/>
        <w:left w:val="none" w:sz="0" w:space="0" w:color="auto"/>
        <w:bottom w:val="none" w:sz="0" w:space="0" w:color="auto"/>
        <w:right w:val="none" w:sz="0" w:space="0" w:color="auto"/>
      </w:divBdr>
    </w:div>
    <w:div w:id="25523323">
      <w:bodyDiv w:val="1"/>
      <w:marLeft w:val="0"/>
      <w:marRight w:val="0"/>
      <w:marTop w:val="0"/>
      <w:marBottom w:val="0"/>
      <w:divBdr>
        <w:top w:val="none" w:sz="0" w:space="0" w:color="auto"/>
        <w:left w:val="none" w:sz="0" w:space="0" w:color="auto"/>
        <w:bottom w:val="none" w:sz="0" w:space="0" w:color="auto"/>
        <w:right w:val="none" w:sz="0" w:space="0" w:color="auto"/>
      </w:divBdr>
    </w:div>
    <w:div w:id="25762884">
      <w:bodyDiv w:val="1"/>
      <w:marLeft w:val="0"/>
      <w:marRight w:val="0"/>
      <w:marTop w:val="0"/>
      <w:marBottom w:val="0"/>
      <w:divBdr>
        <w:top w:val="none" w:sz="0" w:space="0" w:color="auto"/>
        <w:left w:val="none" w:sz="0" w:space="0" w:color="auto"/>
        <w:bottom w:val="none" w:sz="0" w:space="0" w:color="auto"/>
        <w:right w:val="none" w:sz="0" w:space="0" w:color="auto"/>
      </w:divBdr>
    </w:div>
    <w:div w:id="25838488">
      <w:bodyDiv w:val="1"/>
      <w:marLeft w:val="0"/>
      <w:marRight w:val="0"/>
      <w:marTop w:val="0"/>
      <w:marBottom w:val="0"/>
      <w:divBdr>
        <w:top w:val="none" w:sz="0" w:space="0" w:color="auto"/>
        <w:left w:val="none" w:sz="0" w:space="0" w:color="auto"/>
        <w:bottom w:val="none" w:sz="0" w:space="0" w:color="auto"/>
        <w:right w:val="none" w:sz="0" w:space="0" w:color="auto"/>
      </w:divBdr>
    </w:div>
    <w:div w:id="25958052">
      <w:bodyDiv w:val="1"/>
      <w:marLeft w:val="0"/>
      <w:marRight w:val="0"/>
      <w:marTop w:val="0"/>
      <w:marBottom w:val="0"/>
      <w:divBdr>
        <w:top w:val="none" w:sz="0" w:space="0" w:color="auto"/>
        <w:left w:val="none" w:sz="0" w:space="0" w:color="auto"/>
        <w:bottom w:val="none" w:sz="0" w:space="0" w:color="auto"/>
        <w:right w:val="none" w:sz="0" w:space="0" w:color="auto"/>
      </w:divBdr>
    </w:div>
    <w:div w:id="25983030">
      <w:bodyDiv w:val="1"/>
      <w:marLeft w:val="0"/>
      <w:marRight w:val="0"/>
      <w:marTop w:val="0"/>
      <w:marBottom w:val="0"/>
      <w:divBdr>
        <w:top w:val="none" w:sz="0" w:space="0" w:color="auto"/>
        <w:left w:val="none" w:sz="0" w:space="0" w:color="auto"/>
        <w:bottom w:val="none" w:sz="0" w:space="0" w:color="auto"/>
        <w:right w:val="none" w:sz="0" w:space="0" w:color="auto"/>
      </w:divBdr>
    </w:div>
    <w:div w:id="26026269">
      <w:bodyDiv w:val="1"/>
      <w:marLeft w:val="0"/>
      <w:marRight w:val="0"/>
      <w:marTop w:val="0"/>
      <w:marBottom w:val="0"/>
      <w:divBdr>
        <w:top w:val="none" w:sz="0" w:space="0" w:color="auto"/>
        <w:left w:val="none" w:sz="0" w:space="0" w:color="auto"/>
        <w:bottom w:val="none" w:sz="0" w:space="0" w:color="auto"/>
        <w:right w:val="none" w:sz="0" w:space="0" w:color="auto"/>
      </w:divBdr>
    </w:div>
    <w:div w:id="26027888">
      <w:bodyDiv w:val="1"/>
      <w:marLeft w:val="0"/>
      <w:marRight w:val="0"/>
      <w:marTop w:val="0"/>
      <w:marBottom w:val="0"/>
      <w:divBdr>
        <w:top w:val="none" w:sz="0" w:space="0" w:color="auto"/>
        <w:left w:val="none" w:sz="0" w:space="0" w:color="auto"/>
        <w:bottom w:val="none" w:sz="0" w:space="0" w:color="auto"/>
        <w:right w:val="none" w:sz="0" w:space="0" w:color="auto"/>
      </w:divBdr>
    </w:div>
    <w:div w:id="26027983">
      <w:bodyDiv w:val="1"/>
      <w:marLeft w:val="0"/>
      <w:marRight w:val="0"/>
      <w:marTop w:val="0"/>
      <w:marBottom w:val="0"/>
      <w:divBdr>
        <w:top w:val="none" w:sz="0" w:space="0" w:color="auto"/>
        <w:left w:val="none" w:sz="0" w:space="0" w:color="auto"/>
        <w:bottom w:val="none" w:sz="0" w:space="0" w:color="auto"/>
        <w:right w:val="none" w:sz="0" w:space="0" w:color="auto"/>
      </w:divBdr>
    </w:div>
    <w:div w:id="26032743">
      <w:bodyDiv w:val="1"/>
      <w:marLeft w:val="0"/>
      <w:marRight w:val="0"/>
      <w:marTop w:val="0"/>
      <w:marBottom w:val="0"/>
      <w:divBdr>
        <w:top w:val="none" w:sz="0" w:space="0" w:color="auto"/>
        <w:left w:val="none" w:sz="0" w:space="0" w:color="auto"/>
        <w:bottom w:val="none" w:sz="0" w:space="0" w:color="auto"/>
        <w:right w:val="none" w:sz="0" w:space="0" w:color="auto"/>
      </w:divBdr>
    </w:div>
    <w:div w:id="26099962">
      <w:bodyDiv w:val="1"/>
      <w:marLeft w:val="0"/>
      <w:marRight w:val="0"/>
      <w:marTop w:val="0"/>
      <w:marBottom w:val="0"/>
      <w:divBdr>
        <w:top w:val="none" w:sz="0" w:space="0" w:color="auto"/>
        <w:left w:val="none" w:sz="0" w:space="0" w:color="auto"/>
        <w:bottom w:val="none" w:sz="0" w:space="0" w:color="auto"/>
        <w:right w:val="none" w:sz="0" w:space="0" w:color="auto"/>
      </w:divBdr>
    </w:div>
    <w:div w:id="26102546">
      <w:bodyDiv w:val="1"/>
      <w:marLeft w:val="0"/>
      <w:marRight w:val="0"/>
      <w:marTop w:val="0"/>
      <w:marBottom w:val="0"/>
      <w:divBdr>
        <w:top w:val="none" w:sz="0" w:space="0" w:color="auto"/>
        <w:left w:val="none" w:sz="0" w:space="0" w:color="auto"/>
        <w:bottom w:val="none" w:sz="0" w:space="0" w:color="auto"/>
        <w:right w:val="none" w:sz="0" w:space="0" w:color="auto"/>
      </w:divBdr>
    </w:div>
    <w:div w:id="26105701">
      <w:bodyDiv w:val="1"/>
      <w:marLeft w:val="0"/>
      <w:marRight w:val="0"/>
      <w:marTop w:val="0"/>
      <w:marBottom w:val="0"/>
      <w:divBdr>
        <w:top w:val="none" w:sz="0" w:space="0" w:color="auto"/>
        <w:left w:val="none" w:sz="0" w:space="0" w:color="auto"/>
        <w:bottom w:val="none" w:sz="0" w:space="0" w:color="auto"/>
        <w:right w:val="none" w:sz="0" w:space="0" w:color="auto"/>
      </w:divBdr>
    </w:div>
    <w:div w:id="26108546">
      <w:bodyDiv w:val="1"/>
      <w:marLeft w:val="0"/>
      <w:marRight w:val="0"/>
      <w:marTop w:val="0"/>
      <w:marBottom w:val="0"/>
      <w:divBdr>
        <w:top w:val="none" w:sz="0" w:space="0" w:color="auto"/>
        <w:left w:val="none" w:sz="0" w:space="0" w:color="auto"/>
        <w:bottom w:val="none" w:sz="0" w:space="0" w:color="auto"/>
        <w:right w:val="none" w:sz="0" w:space="0" w:color="auto"/>
      </w:divBdr>
    </w:div>
    <w:div w:id="26224089">
      <w:bodyDiv w:val="1"/>
      <w:marLeft w:val="0"/>
      <w:marRight w:val="0"/>
      <w:marTop w:val="0"/>
      <w:marBottom w:val="0"/>
      <w:divBdr>
        <w:top w:val="none" w:sz="0" w:space="0" w:color="auto"/>
        <w:left w:val="none" w:sz="0" w:space="0" w:color="auto"/>
        <w:bottom w:val="none" w:sz="0" w:space="0" w:color="auto"/>
        <w:right w:val="none" w:sz="0" w:space="0" w:color="auto"/>
      </w:divBdr>
    </w:div>
    <w:div w:id="26226910">
      <w:bodyDiv w:val="1"/>
      <w:marLeft w:val="0"/>
      <w:marRight w:val="0"/>
      <w:marTop w:val="0"/>
      <w:marBottom w:val="0"/>
      <w:divBdr>
        <w:top w:val="none" w:sz="0" w:space="0" w:color="auto"/>
        <w:left w:val="none" w:sz="0" w:space="0" w:color="auto"/>
        <w:bottom w:val="none" w:sz="0" w:space="0" w:color="auto"/>
        <w:right w:val="none" w:sz="0" w:space="0" w:color="auto"/>
      </w:divBdr>
    </w:div>
    <w:div w:id="26300907">
      <w:bodyDiv w:val="1"/>
      <w:marLeft w:val="0"/>
      <w:marRight w:val="0"/>
      <w:marTop w:val="0"/>
      <w:marBottom w:val="0"/>
      <w:divBdr>
        <w:top w:val="none" w:sz="0" w:space="0" w:color="auto"/>
        <w:left w:val="none" w:sz="0" w:space="0" w:color="auto"/>
        <w:bottom w:val="none" w:sz="0" w:space="0" w:color="auto"/>
        <w:right w:val="none" w:sz="0" w:space="0" w:color="auto"/>
      </w:divBdr>
    </w:div>
    <w:div w:id="26373073">
      <w:bodyDiv w:val="1"/>
      <w:marLeft w:val="0"/>
      <w:marRight w:val="0"/>
      <w:marTop w:val="0"/>
      <w:marBottom w:val="0"/>
      <w:divBdr>
        <w:top w:val="none" w:sz="0" w:space="0" w:color="auto"/>
        <w:left w:val="none" w:sz="0" w:space="0" w:color="auto"/>
        <w:bottom w:val="none" w:sz="0" w:space="0" w:color="auto"/>
        <w:right w:val="none" w:sz="0" w:space="0" w:color="auto"/>
      </w:divBdr>
    </w:div>
    <w:div w:id="26493743">
      <w:bodyDiv w:val="1"/>
      <w:marLeft w:val="0"/>
      <w:marRight w:val="0"/>
      <w:marTop w:val="0"/>
      <w:marBottom w:val="0"/>
      <w:divBdr>
        <w:top w:val="none" w:sz="0" w:space="0" w:color="auto"/>
        <w:left w:val="none" w:sz="0" w:space="0" w:color="auto"/>
        <w:bottom w:val="none" w:sz="0" w:space="0" w:color="auto"/>
        <w:right w:val="none" w:sz="0" w:space="0" w:color="auto"/>
      </w:divBdr>
    </w:div>
    <w:div w:id="26494001">
      <w:bodyDiv w:val="1"/>
      <w:marLeft w:val="0"/>
      <w:marRight w:val="0"/>
      <w:marTop w:val="0"/>
      <w:marBottom w:val="0"/>
      <w:divBdr>
        <w:top w:val="none" w:sz="0" w:space="0" w:color="auto"/>
        <w:left w:val="none" w:sz="0" w:space="0" w:color="auto"/>
        <w:bottom w:val="none" w:sz="0" w:space="0" w:color="auto"/>
        <w:right w:val="none" w:sz="0" w:space="0" w:color="auto"/>
      </w:divBdr>
    </w:div>
    <w:div w:id="26612727">
      <w:bodyDiv w:val="1"/>
      <w:marLeft w:val="0"/>
      <w:marRight w:val="0"/>
      <w:marTop w:val="0"/>
      <w:marBottom w:val="0"/>
      <w:divBdr>
        <w:top w:val="none" w:sz="0" w:space="0" w:color="auto"/>
        <w:left w:val="none" w:sz="0" w:space="0" w:color="auto"/>
        <w:bottom w:val="none" w:sz="0" w:space="0" w:color="auto"/>
        <w:right w:val="none" w:sz="0" w:space="0" w:color="auto"/>
      </w:divBdr>
    </w:div>
    <w:div w:id="26638011">
      <w:bodyDiv w:val="1"/>
      <w:marLeft w:val="0"/>
      <w:marRight w:val="0"/>
      <w:marTop w:val="0"/>
      <w:marBottom w:val="0"/>
      <w:divBdr>
        <w:top w:val="none" w:sz="0" w:space="0" w:color="auto"/>
        <w:left w:val="none" w:sz="0" w:space="0" w:color="auto"/>
        <w:bottom w:val="none" w:sz="0" w:space="0" w:color="auto"/>
        <w:right w:val="none" w:sz="0" w:space="0" w:color="auto"/>
      </w:divBdr>
    </w:div>
    <w:div w:id="26681433">
      <w:bodyDiv w:val="1"/>
      <w:marLeft w:val="0"/>
      <w:marRight w:val="0"/>
      <w:marTop w:val="0"/>
      <w:marBottom w:val="0"/>
      <w:divBdr>
        <w:top w:val="none" w:sz="0" w:space="0" w:color="auto"/>
        <w:left w:val="none" w:sz="0" w:space="0" w:color="auto"/>
        <w:bottom w:val="none" w:sz="0" w:space="0" w:color="auto"/>
        <w:right w:val="none" w:sz="0" w:space="0" w:color="auto"/>
      </w:divBdr>
    </w:div>
    <w:div w:id="26685463">
      <w:bodyDiv w:val="1"/>
      <w:marLeft w:val="0"/>
      <w:marRight w:val="0"/>
      <w:marTop w:val="0"/>
      <w:marBottom w:val="0"/>
      <w:divBdr>
        <w:top w:val="none" w:sz="0" w:space="0" w:color="auto"/>
        <w:left w:val="none" w:sz="0" w:space="0" w:color="auto"/>
        <w:bottom w:val="none" w:sz="0" w:space="0" w:color="auto"/>
        <w:right w:val="none" w:sz="0" w:space="0" w:color="auto"/>
      </w:divBdr>
    </w:div>
    <w:div w:id="26760286">
      <w:bodyDiv w:val="1"/>
      <w:marLeft w:val="0"/>
      <w:marRight w:val="0"/>
      <w:marTop w:val="0"/>
      <w:marBottom w:val="0"/>
      <w:divBdr>
        <w:top w:val="none" w:sz="0" w:space="0" w:color="auto"/>
        <w:left w:val="none" w:sz="0" w:space="0" w:color="auto"/>
        <w:bottom w:val="none" w:sz="0" w:space="0" w:color="auto"/>
        <w:right w:val="none" w:sz="0" w:space="0" w:color="auto"/>
      </w:divBdr>
    </w:div>
    <w:div w:id="26806572">
      <w:bodyDiv w:val="1"/>
      <w:marLeft w:val="0"/>
      <w:marRight w:val="0"/>
      <w:marTop w:val="0"/>
      <w:marBottom w:val="0"/>
      <w:divBdr>
        <w:top w:val="none" w:sz="0" w:space="0" w:color="auto"/>
        <w:left w:val="none" w:sz="0" w:space="0" w:color="auto"/>
        <w:bottom w:val="none" w:sz="0" w:space="0" w:color="auto"/>
        <w:right w:val="none" w:sz="0" w:space="0" w:color="auto"/>
      </w:divBdr>
    </w:div>
    <w:div w:id="26832693">
      <w:bodyDiv w:val="1"/>
      <w:marLeft w:val="0"/>
      <w:marRight w:val="0"/>
      <w:marTop w:val="0"/>
      <w:marBottom w:val="0"/>
      <w:divBdr>
        <w:top w:val="none" w:sz="0" w:space="0" w:color="auto"/>
        <w:left w:val="none" w:sz="0" w:space="0" w:color="auto"/>
        <w:bottom w:val="none" w:sz="0" w:space="0" w:color="auto"/>
        <w:right w:val="none" w:sz="0" w:space="0" w:color="auto"/>
      </w:divBdr>
    </w:div>
    <w:div w:id="26834078">
      <w:bodyDiv w:val="1"/>
      <w:marLeft w:val="0"/>
      <w:marRight w:val="0"/>
      <w:marTop w:val="0"/>
      <w:marBottom w:val="0"/>
      <w:divBdr>
        <w:top w:val="none" w:sz="0" w:space="0" w:color="auto"/>
        <w:left w:val="none" w:sz="0" w:space="0" w:color="auto"/>
        <w:bottom w:val="none" w:sz="0" w:space="0" w:color="auto"/>
        <w:right w:val="none" w:sz="0" w:space="0" w:color="auto"/>
      </w:divBdr>
    </w:div>
    <w:div w:id="26878222">
      <w:bodyDiv w:val="1"/>
      <w:marLeft w:val="0"/>
      <w:marRight w:val="0"/>
      <w:marTop w:val="0"/>
      <w:marBottom w:val="0"/>
      <w:divBdr>
        <w:top w:val="none" w:sz="0" w:space="0" w:color="auto"/>
        <w:left w:val="none" w:sz="0" w:space="0" w:color="auto"/>
        <w:bottom w:val="none" w:sz="0" w:space="0" w:color="auto"/>
        <w:right w:val="none" w:sz="0" w:space="0" w:color="auto"/>
      </w:divBdr>
    </w:div>
    <w:div w:id="26950126">
      <w:bodyDiv w:val="1"/>
      <w:marLeft w:val="0"/>
      <w:marRight w:val="0"/>
      <w:marTop w:val="0"/>
      <w:marBottom w:val="0"/>
      <w:divBdr>
        <w:top w:val="none" w:sz="0" w:space="0" w:color="auto"/>
        <w:left w:val="none" w:sz="0" w:space="0" w:color="auto"/>
        <w:bottom w:val="none" w:sz="0" w:space="0" w:color="auto"/>
        <w:right w:val="none" w:sz="0" w:space="0" w:color="auto"/>
      </w:divBdr>
    </w:div>
    <w:div w:id="26956194">
      <w:bodyDiv w:val="1"/>
      <w:marLeft w:val="0"/>
      <w:marRight w:val="0"/>
      <w:marTop w:val="0"/>
      <w:marBottom w:val="0"/>
      <w:divBdr>
        <w:top w:val="none" w:sz="0" w:space="0" w:color="auto"/>
        <w:left w:val="none" w:sz="0" w:space="0" w:color="auto"/>
        <w:bottom w:val="none" w:sz="0" w:space="0" w:color="auto"/>
        <w:right w:val="none" w:sz="0" w:space="0" w:color="auto"/>
      </w:divBdr>
    </w:div>
    <w:div w:id="27027146">
      <w:bodyDiv w:val="1"/>
      <w:marLeft w:val="0"/>
      <w:marRight w:val="0"/>
      <w:marTop w:val="0"/>
      <w:marBottom w:val="0"/>
      <w:divBdr>
        <w:top w:val="none" w:sz="0" w:space="0" w:color="auto"/>
        <w:left w:val="none" w:sz="0" w:space="0" w:color="auto"/>
        <w:bottom w:val="none" w:sz="0" w:space="0" w:color="auto"/>
        <w:right w:val="none" w:sz="0" w:space="0" w:color="auto"/>
      </w:divBdr>
    </w:div>
    <w:div w:id="27030599">
      <w:bodyDiv w:val="1"/>
      <w:marLeft w:val="0"/>
      <w:marRight w:val="0"/>
      <w:marTop w:val="0"/>
      <w:marBottom w:val="0"/>
      <w:divBdr>
        <w:top w:val="none" w:sz="0" w:space="0" w:color="auto"/>
        <w:left w:val="none" w:sz="0" w:space="0" w:color="auto"/>
        <w:bottom w:val="none" w:sz="0" w:space="0" w:color="auto"/>
        <w:right w:val="none" w:sz="0" w:space="0" w:color="auto"/>
      </w:divBdr>
    </w:div>
    <w:div w:id="27032713">
      <w:bodyDiv w:val="1"/>
      <w:marLeft w:val="0"/>
      <w:marRight w:val="0"/>
      <w:marTop w:val="0"/>
      <w:marBottom w:val="0"/>
      <w:divBdr>
        <w:top w:val="none" w:sz="0" w:space="0" w:color="auto"/>
        <w:left w:val="none" w:sz="0" w:space="0" w:color="auto"/>
        <w:bottom w:val="none" w:sz="0" w:space="0" w:color="auto"/>
        <w:right w:val="none" w:sz="0" w:space="0" w:color="auto"/>
      </w:divBdr>
    </w:div>
    <w:div w:id="27070708">
      <w:bodyDiv w:val="1"/>
      <w:marLeft w:val="0"/>
      <w:marRight w:val="0"/>
      <w:marTop w:val="0"/>
      <w:marBottom w:val="0"/>
      <w:divBdr>
        <w:top w:val="none" w:sz="0" w:space="0" w:color="auto"/>
        <w:left w:val="none" w:sz="0" w:space="0" w:color="auto"/>
        <w:bottom w:val="none" w:sz="0" w:space="0" w:color="auto"/>
        <w:right w:val="none" w:sz="0" w:space="0" w:color="auto"/>
      </w:divBdr>
    </w:div>
    <w:div w:id="27141924">
      <w:bodyDiv w:val="1"/>
      <w:marLeft w:val="0"/>
      <w:marRight w:val="0"/>
      <w:marTop w:val="0"/>
      <w:marBottom w:val="0"/>
      <w:divBdr>
        <w:top w:val="none" w:sz="0" w:space="0" w:color="auto"/>
        <w:left w:val="none" w:sz="0" w:space="0" w:color="auto"/>
        <w:bottom w:val="none" w:sz="0" w:space="0" w:color="auto"/>
        <w:right w:val="none" w:sz="0" w:space="0" w:color="auto"/>
      </w:divBdr>
    </w:div>
    <w:div w:id="27223788">
      <w:bodyDiv w:val="1"/>
      <w:marLeft w:val="0"/>
      <w:marRight w:val="0"/>
      <w:marTop w:val="0"/>
      <w:marBottom w:val="0"/>
      <w:divBdr>
        <w:top w:val="none" w:sz="0" w:space="0" w:color="auto"/>
        <w:left w:val="none" w:sz="0" w:space="0" w:color="auto"/>
        <w:bottom w:val="none" w:sz="0" w:space="0" w:color="auto"/>
        <w:right w:val="none" w:sz="0" w:space="0" w:color="auto"/>
      </w:divBdr>
    </w:div>
    <w:div w:id="27295662">
      <w:bodyDiv w:val="1"/>
      <w:marLeft w:val="0"/>
      <w:marRight w:val="0"/>
      <w:marTop w:val="0"/>
      <w:marBottom w:val="0"/>
      <w:divBdr>
        <w:top w:val="none" w:sz="0" w:space="0" w:color="auto"/>
        <w:left w:val="none" w:sz="0" w:space="0" w:color="auto"/>
        <w:bottom w:val="none" w:sz="0" w:space="0" w:color="auto"/>
        <w:right w:val="none" w:sz="0" w:space="0" w:color="auto"/>
      </w:divBdr>
    </w:div>
    <w:div w:id="27338985">
      <w:bodyDiv w:val="1"/>
      <w:marLeft w:val="0"/>
      <w:marRight w:val="0"/>
      <w:marTop w:val="0"/>
      <w:marBottom w:val="0"/>
      <w:divBdr>
        <w:top w:val="none" w:sz="0" w:space="0" w:color="auto"/>
        <w:left w:val="none" w:sz="0" w:space="0" w:color="auto"/>
        <w:bottom w:val="none" w:sz="0" w:space="0" w:color="auto"/>
        <w:right w:val="none" w:sz="0" w:space="0" w:color="auto"/>
      </w:divBdr>
    </w:div>
    <w:div w:id="27343633">
      <w:bodyDiv w:val="1"/>
      <w:marLeft w:val="0"/>
      <w:marRight w:val="0"/>
      <w:marTop w:val="0"/>
      <w:marBottom w:val="0"/>
      <w:divBdr>
        <w:top w:val="none" w:sz="0" w:space="0" w:color="auto"/>
        <w:left w:val="none" w:sz="0" w:space="0" w:color="auto"/>
        <w:bottom w:val="none" w:sz="0" w:space="0" w:color="auto"/>
        <w:right w:val="none" w:sz="0" w:space="0" w:color="auto"/>
      </w:divBdr>
    </w:div>
    <w:div w:id="27419839">
      <w:bodyDiv w:val="1"/>
      <w:marLeft w:val="0"/>
      <w:marRight w:val="0"/>
      <w:marTop w:val="0"/>
      <w:marBottom w:val="0"/>
      <w:divBdr>
        <w:top w:val="none" w:sz="0" w:space="0" w:color="auto"/>
        <w:left w:val="none" w:sz="0" w:space="0" w:color="auto"/>
        <w:bottom w:val="none" w:sz="0" w:space="0" w:color="auto"/>
        <w:right w:val="none" w:sz="0" w:space="0" w:color="auto"/>
      </w:divBdr>
    </w:div>
    <w:div w:id="27461608">
      <w:bodyDiv w:val="1"/>
      <w:marLeft w:val="0"/>
      <w:marRight w:val="0"/>
      <w:marTop w:val="0"/>
      <w:marBottom w:val="0"/>
      <w:divBdr>
        <w:top w:val="none" w:sz="0" w:space="0" w:color="auto"/>
        <w:left w:val="none" w:sz="0" w:space="0" w:color="auto"/>
        <w:bottom w:val="none" w:sz="0" w:space="0" w:color="auto"/>
        <w:right w:val="none" w:sz="0" w:space="0" w:color="auto"/>
      </w:divBdr>
    </w:div>
    <w:div w:id="27604236">
      <w:bodyDiv w:val="1"/>
      <w:marLeft w:val="0"/>
      <w:marRight w:val="0"/>
      <w:marTop w:val="0"/>
      <w:marBottom w:val="0"/>
      <w:divBdr>
        <w:top w:val="none" w:sz="0" w:space="0" w:color="auto"/>
        <w:left w:val="none" w:sz="0" w:space="0" w:color="auto"/>
        <w:bottom w:val="none" w:sz="0" w:space="0" w:color="auto"/>
        <w:right w:val="none" w:sz="0" w:space="0" w:color="auto"/>
      </w:divBdr>
    </w:div>
    <w:div w:id="27680354">
      <w:bodyDiv w:val="1"/>
      <w:marLeft w:val="0"/>
      <w:marRight w:val="0"/>
      <w:marTop w:val="0"/>
      <w:marBottom w:val="0"/>
      <w:divBdr>
        <w:top w:val="none" w:sz="0" w:space="0" w:color="auto"/>
        <w:left w:val="none" w:sz="0" w:space="0" w:color="auto"/>
        <w:bottom w:val="none" w:sz="0" w:space="0" w:color="auto"/>
        <w:right w:val="none" w:sz="0" w:space="0" w:color="auto"/>
      </w:divBdr>
    </w:div>
    <w:div w:id="27682992">
      <w:bodyDiv w:val="1"/>
      <w:marLeft w:val="0"/>
      <w:marRight w:val="0"/>
      <w:marTop w:val="0"/>
      <w:marBottom w:val="0"/>
      <w:divBdr>
        <w:top w:val="none" w:sz="0" w:space="0" w:color="auto"/>
        <w:left w:val="none" w:sz="0" w:space="0" w:color="auto"/>
        <w:bottom w:val="none" w:sz="0" w:space="0" w:color="auto"/>
        <w:right w:val="none" w:sz="0" w:space="0" w:color="auto"/>
      </w:divBdr>
    </w:div>
    <w:div w:id="27683572">
      <w:bodyDiv w:val="1"/>
      <w:marLeft w:val="0"/>
      <w:marRight w:val="0"/>
      <w:marTop w:val="0"/>
      <w:marBottom w:val="0"/>
      <w:divBdr>
        <w:top w:val="none" w:sz="0" w:space="0" w:color="auto"/>
        <w:left w:val="none" w:sz="0" w:space="0" w:color="auto"/>
        <w:bottom w:val="none" w:sz="0" w:space="0" w:color="auto"/>
        <w:right w:val="none" w:sz="0" w:space="0" w:color="auto"/>
      </w:divBdr>
    </w:div>
    <w:div w:id="27796978">
      <w:bodyDiv w:val="1"/>
      <w:marLeft w:val="0"/>
      <w:marRight w:val="0"/>
      <w:marTop w:val="0"/>
      <w:marBottom w:val="0"/>
      <w:divBdr>
        <w:top w:val="none" w:sz="0" w:space="0" w:color="auto"/>
        <w:left w:val="none" w:sz="0" w:space="0" w:color="auto"/>
        <w:bottom w:val="none" w:sz="0" w:space="0" w:color="auto"/>
        <w:right w:val="none" w:sz="0" w:space="0" w:color="auto"/>
      </w:divBdr>
    </w:div>
    <w:div w:id="27804501">
      <w:bodyDiv w:val="1"/>
      <w:marLeft w:val="0"/>
      <w:marRight w:val="0"/>
      <w:marTop w:val="0"/>
      <w:marBottom w:val="0"/>
      <w:divBdr>
        <w:top w:val="none" w:sz="0" w:space="0" w:color="auto"/>
        <w:left w:val="none" w:sz="0" w:space="0" w:color="auto"/>
        <w:bottom w:val="none" w:sz="0" w:space="0" w:color="auto"/>
        <w:right w:val="none" w:sz="0" w:space="0" w:color="auto"/>
      </w:divBdr>
    </w:div>
    <w:div w:id="27874468">
      <w:bodyDiv w:val="1"/>
      <w:marLeft w:val="0"/>
      <w:marRight w:val="0"/>
      <w:marTop w:val="0"/>
      <w:marBottom w:val="0"/>
      <w:divBdr>
        <w:top w:val="none" w:sz="0" w:space="0" w:color="auto"/>
        <w:left w:val="none" w:sz="0" w:space="0" w:color="auto"/>
        <w:bottom w:val="none" w:sz="0" w:space="0" w:color="auto"/>
        <w:right w:val="none" w:sz="0" w:space="0" w:color="auto"/>
      </w:divBdr>
    </w:div>
    <w:div w:id="27918717">
      <w:bodyDiv w:val="1"/>
      <w:marLeft w:val="0"/>
      <w:marRight w:val="0"/>
      <w:marTop w:val="0"/>
      <w:marBottom w:val="0"/>
      <w:divBdr>
        <w:top w:val="none" w:sz="0" w:space="0" w:color="auto"/>
        <w:left w:val="none" w:sz="0" w:space="0" w:color="auto"/>
        <w:bottom w:val="none" w:sz="0" w:space="0" w:color="auto"/>
        <w:right w:val="none" w:sz="0" w:space="0" w:color="auto"/>
      </w:divBdr>
    </w:div>
    <w:div w:id="28142539">
      <w:bodyDiv w:val="1"/>
      <w:marLeft w:val="0"/>
      <w:marRight w:val="0"/>
      <w:marTop w:val="0"/>
      <w:marBottom w:val="0"/>
      <w:divBdr>
        <w:top w:val="none" w:sz="0" w:space="0" w:color="auto"/>
        <w:left w:val="none" w:sz="0" w:space="0" w:color="auto"/>
        <w:bottom w:val="none" w:sz="0" w:space="0" w:color="auto"/>
        <w:right w:val="none" w:sz="0" w:space="0" w:color="auto"/>
      </w:divBdr>
    </w:div>
    <w:div w:id="28184058">
      <w:bodyDiv w:val="1"/>
      <w:marLeft w:val="0"/>
      <w:marRight w:val="0"/>
      <w:marTop w:val="0"/>
      <w:marBottom w:val="0"/>
      <w:divBdr>
        <w:top w:val="none" w:sz="0" w:space="0" w:color="auto"/>
        <w:left w:val="none" w:sz="0" w:space="0" w:color="auto"/>
        <w:bottom w:val="none" w:sz="0" w:space="0" w:color="auto"/>
        <w:right w:val="none" w:sz="0" w:space="0" w:color="auto"/>
      </w:divBdr>
    </w:div>
    <w:div w:id="28187173">
      <w:bodyDiv w:val="1"/>
      <w:marLeft w:val="0"/>
      <w:marRight w:val="0"/>
      <w:marTop w:val="0"/>
      <w:marBottom w:val="0"/>
      <w:divBdr>
        <w:top w:val="none" w:sz="0" w:space="0" w:color="auto"/>
        <w:left w:val="none" w:sz="0" w:space="0" w:color="auto"/>
        <w:bottom w:val="none" w:sz="0" w:space="0" w:color="auto"/>
        <w:right w:val="none" w:sz="0" w:space="0" w:color="auto"/>
      </w:divBdr>
    </w:div>
    <w:div w:id="28191849">
      <w:bodyDiv w:val="1"/>
      <w:marLeft w:val="0"/>
      <w:marRight w:val="0"/>
      <w:marTop w:val="0"/>
      <w:marBottom w:val="0"/>
      <w:divBdr>
        <w:top w:val="none" w:sz="0" w:space="0" w:color="auto"/>
        <w:left w:val="none" w:sz="0" w:space="0" w:color="auto"/>
        <w:bottom w:val="none" w:sz="0" w:space="0" w:color="auto"/>
        <w:right w:val="none" w:sz="0" w:space="0" w:color="auto"/>
      </w:divBdr>
    </w:div>
    <w:div w:id="28265663">
      <w:bodyDiv w:val="1"/>
      <w:marLeft w:val="0"/>
      <w:marRight w:val="0"/>
      <w:marTop w:val="0"/>
      <w:marBottom w:val="0"/>
      <w:divBdr>
        <w:top w:val="none" w:sz="0" w:space="0" w:color="auto"/>
        <w:left w:val="none" w:sz="0" w:space="0" w:color="auto"/>
        <w:bottom w:val="none" w:sz="0" w:space="0" w:color="auto"/>
        <w:right w:val="none" w:sz="0" w:space="0" w:color="auto"/>
      </w:divBdr>
    </w:div>
    <w:div w:id="28267820">
      <w:bodyDiv w:val="1"/>
      <w:marLeft w:val="0"/>
      <w:marRight w:val="0"/>
      <w:marTop w:val="0"/>
      <w:marBottom w:val="0"/>
      <w:divBdr>
        <w:top w:val="none" w:sz="0" w:space="0" w:color="auto"/>
        <w:left w:val="none" w:sz="0" w:space="0" w:color="auto"/>
        <w:bottom w:val="none" w:sz="0" w:space="0" w:color="auto"/>
        <w:right w:val="none" w:sz="0" w:space="0" w:color="auto"/>
      </w:divBdr>
    </w:div>
    <w:div w:id="28337887">
      <w:bodyDiv w:val="1"/>
      <w:marLeft w:val="0"/>
      <w:marRight w:val="0"/>
      <w:marTop w:val="0"/>
      <w:marBottom w:val="0"/>
      <w:divBdr>
        <w:top w:val="none" w:sz="0" w:space="0" w:color="auto"/>
        <w:left w:val="none" w:sz="0" w:space="0" w:color="auto"/>
        <w:bottom w:val="none" w:sz="0" w:space="0" w:color="auto"/>
        <w:right w:val="none" w:sz="0" w:space="0" w:color="auto"/>
      </w:divBdr>
    </w:div>
    <w:div w:id="28382499">
      <w:bodyDiv w:val="1"/>
      <w:marLeft w:val="0"/>
      <w:marRight w:val="0"/>
      <w:marTop w:val="0"/>
      <w:marBottom w:val="0"/>
      <w:divBdr>
        <w:top w:val="none" w:sz="0" w:space="0" w:color="auto"/>
        <w:left w:val="none" w:sz="0" w:space="0" w:color="auto"/>
        <w:bottom w:val="none" w:sz="0" w:space="0" w:color="auto"/>
        <w:right w:val="none" w:sz="0" w:space="0" w:color="auto"/>
      </w:divBdr>
    </w:div>
    <w:div w:id="28531662">
      <w:bodyDiv w:val="1"/>
      <w:marLeft w:val="0"/>
      <w:marRight w:val="0"/>
      <w:marTop w:val="0"/>
      <w:marBottom w:val="0"/>
      <w:divBdr>
        <w:top w:val="none" w:sz="0" w:space="0" w:color="auto"/>
        <w:left w:val="none" w:sz="0" w:space="0" w:color="auto"/>
        <w:bottom w:val="none" w:sz="0" w:space="0" w:color="auto"/>
        <w:right w:val="none" w:sz="0" w:space="0" w:color="auto"/>
      </w:divBdr>
    </w:div>
    <w:div w:id="28579362">
      <w:bodyDiv w:val="1"/>
      <w:marLeft w:val="0"/>
      <w:marRight w:val="0"/>
      <w:marTop w:val="0"/>
      <w:marBottom w:val="0"/>
      <w:divBdr>
        <w:top w:val="none" w:sz="0" w:space="0" w:color="auto"/>
        <w:left w:val="none" w:sz="0" w:space="0" w:color="auto"/>
        <w:bottom w:val="none" w:sz="0" w:space="0" w:color="auto"/>
        <w:right w:val="none" w:sz="0" w:space="0" w:color="auto"/>
      </w:divBdr>
    </w:div>
    <w:div w:id="28653852">
      <w:bodyDiv w:val="1"/>
      <w:marLeft w:val="0"/>
      <w:marRight w:val="0"/>
      <w:marTop w:val="0"/>
      <w:marBottom w:val="0"/>
      <w:divBdr>
        <w:top w:val="none" w:sz="0" w:space="0" w:color="auto"/>
        <w:left w:val="none" w:sz="0" w:space="0" w:color="auto"/>
        <w:bottom w:val="none" w:sz="0" w:space="0" w:color="auto"/>
        <w:right w:val="none" w:sz="0" w:space="0" w:color="auto"/>
      </w:divBdr>
    </w:div>
    <w:div w:id="28722150">
      <w:bodyDiv w:val="1"/>
      <w:marLeft w:val="0"/>
      <w:marRight w:val="0"/>
      <w:marTop w:val="0"/>
      <w:marBottom w:val="0"/>
      <w:divBdr>
        <w:top w:val="none" w:sz="0" w:space="0" w:color="auto"/>
        <w:left w:val="none" w:sz="0" w:space="0" w:color="auto"/>
        <w:bottom w:val="none" w:sz="0" w:space="0" w:color="auto"/>
        <w:right w:val="none" w:sz="0" w:space="0" w:color="auto"/>
      </w:divBdr>
    </w:div>
    <w:div w:id="28723774">
      <w:bodyDiv w:val="1"/>
      <w:marLeft w:val="0"/>
      <w:marRight w:val="0"/>
      <w:marTop w:val="0"/>
      <w:marBottom w:val="0"/>
      <w:divBdr>
        <w:top w:val="none" w:sz="0" w:space="0" w:color="auto"/>
        <w:left w:val="none" w:sz="0" w:space="0" w:color="auto"/>
        <w:bottom w:val="none" w:sz="0" w:space="0" w:color="auto"/>
        <w:right w:val="none" w:sz="0" w:space="0" w:color="auto"/>
      </w:divBdr>
    </w:div>
    <w:div w:id="28914468">
      <w:bodyDiv w:val="1"/>
      <w:marLeft w:val="0"/>
      <w:marRight w:val="0"/>
      <w:marTop w:val="0"/>
      <w:marBottom w:val="0"/>
      <w:divBdr>
        <w:top w:val="none" w:sz="0" w:space="0" w:color="auto"/>
        <w:left w:val="none" w:sz="0" w:space="0" w:color="auto"/>
        <w:bottom w:val="none" w:sz="0" w:space="0" w:color="auto"/>
        <w:right w:val="none" w:sz="0" w:space="0" w:color="auto"/>
      </w:divBdr>
    </w:div>
    <w:div w:id="29035571">
      <w:bodyDiv w:val="1"/>
      <w:marLeft w:val="0"/>
      <w:marRight w:val="0"/>
      <w:marTop w:val="0"/>
      <w:marBottom w:val="0"/>
      <w:divBdr>
        <w:top w:val="none" w:sz="0" w:space="0" w:color="auto"/>
        <w:left w:val="none" w:sz="0" w:space="0" w:color="auto"/>
        <w:bottom w:val="none" w:sz="0" w:space="0" w:color="auto"/>
        <w:right w:val="none" w:sz="0" w:space="0" w:color="auto"/>
      </w:divBdr>
    </w:div>
    <w:div w:id="29110514">
      <w:bodyDiv w:val="1"/>
      <w:marLeft w:val="0"/>
      <w:marRight w:val="0"/>
      <w:marTop w:val="0"/>
      <w:marBottom w:val="0"/>
      <w:divBdr>
        <w:top w:val="none" w:sz="0" w:space="0" w:color="auto"/>
        <w:left w:val="none" w:sz="0" w:space="0" w:color="auto"/>
        <w:bottom w:val="none" w:sz="0" w:space="0" w:color="auto"/>
        <w:right w:val="none" w:sz="0" w:space="0" w:color="auto"/>
      </w:divBdr>
    </w:div>
    <w:div w:id="29111100">
      <w:bodyDiv w:val="1"/>
      <w:marLeft w:val="0"/>
      <w:marRight w:val="0"/>
      <w:marTop w:val="0"/>
      <w:marBottom w:val="0"/>
      <w:divBdr>
        <w:top w:val="none" w:sz="0" w:space="0" w:color="auto"/>
        <w:left w:val="none" w:sz="0" w:space="0" w:color="auto"/>
        <w:bottom w:val="none" w:sz="0" w:space="0" w:color="auto"/>
        <w:right w:val="none" w:sz="0" w:space="0" w:color="auto"/>
      </w:divBdr>
    </w:div>
    <w:div w:id="29258536">
      <w:bodyDiv w:val="1"/>
      <w:marLeft w:val="0"/>
      <w:marRight w:val="0"/>
      <w:marTop w:val="0"/>
      <w:marBottom w:val="0"/>
      <w:divBdr>
        <w:top w:val="none" w:sz="0" w:space="0" w:color="auto"/>
        <w:left w:val="none" w:sz="0" w:space="0" w:color="auto"/>
        <w:bottom w:val="none" w:sz="0" w:space="0" w:color="auto"/>
        <w:right w:val="none" w:sz="0" w:space="0" w:color="auto"/>
      </w:divBdr>
    </w:div>
    <w:div w:id="29260139">
      <w:bodyDiv w:val="1"/>
      <w:marLeft w:val="0"/>
      <w:marRight w:val="0"/>
      <w:marTop w:val="0"/>
      <w:marBottom w:val="0"/>
      <w:divBdr>
        <w:top w:val="none" w:sz="0" w:space="0" w:color="auto"/>
        <w:left w:val="none" w:sz="0" w:space="0" w:color="auto"/>
        <w:bottom w:val="none" w:sz="0" w:space="0" w:color="auto"/>
        <w:right w:val="none" w:sz="0" w:space="0" w:color="auto"/>
      </w:divBdr>
    </w:div>
    <w:div w:id="29378745">
      <w:bodyDiv w:val="1"/>
      <w:marLeft w:val="0"/>
      <w:marRight w:val="0"/>
      <w:marTop w:val="0"/>
      <w:marBottom w:val="0"/>
      <w:divBdr>
        <w:top w:val="none" w:sz="0" w:space="0" w:color="auto"/>
        <w:left w:val="none" w:sz="0" w:space="0" w:color="auto"/>
        <w:bottom w:val="none" w:sz="0" w:space="0" w:color="auto"/>
        <w:right w:val="none" w:sz="0" w:space="0" w:color="auto"/>
      </w:divBdr>
    </w:div>
    <w:div w:id="29497499">
      <w:bodyDiv w:val="1"/>
      <w:marLeft w:val="0"/>
      <w:marRight w:val="0"/>
      <w:marTop w:val="0"/>
      <w:marBottom w:val="0"/>
      <w:divBdr>
        <w:top w:val="none" w:sz="0" w:space="0" w:color="auto"/>
        <w:left w:val="none" w:sz="0" w:space="0" w:color="auto"/>
        <w:bottom w:val="none" w:sz="0" w:space="0" w:color="auto"/>
        <w:right w:val="none" w:sz="0" w:space="0" w:color="auto"/>
      </w:divBdr>
    </w:div>
    <w:div w:id="29500785">
      <w:bodyDiv w:val="1"/>
      <w:marLeft w:val="0"/>
      <w:marRight w:val="0"/>
      <w:marTop w:val="0"/>
      <w:marBottom w:val="0"/>
      <w:divBdr>
        <w:top w:val="none" w:sz="0" w:space="0" w:color="auto"/>
        <w:left w:val="none" w:sz="0" w:space="0" w:color="auto"/>
        <w:bottom w:val="none" w:sz="0" w:space="0" w:color="auto"/>
        <w:right w:val="none" w:sz="0" w:space="0" w:color="auto"/>
      </w:divBdr>
    </w:div>
    <w:div w:id="29571508">
      <w:bodyDiv w:val="1"/>
      <w:marLeft w:val="0"/>
      <w:marRight w:val="0"/>
      <w:marTop w:val="0"/>
      <w:marBottom w:val="0"/>
      <w:divBdr>
        <w:top w:val="none" w:sz="0" w:space="0" w:color="auto"/>
        <w:left w:val="none" w:sz="0" w:space="0" w:color="auto"/>
        <w:bottom w:val="none" w:sz="0" w:space="0" w:color="auto"/>
        <w:right w:val="none" w:sz="0" w:space="0" w:color="auto"/>
      </w:divBdr>
    </w:div>
    <w:div w:id="29648509">
      <w:bodyDiv w:val="1"/>
      <w:marLeft w:val="0"/>
      <w:marRight w:val="0"/>
      <w:marTop w:val="0"/>
      <w:marBottom w:val="0"/>
      <w:divBdr>
        <w:top w:val="none" w:sz="0" w:space="0" w:color="auto"/>
        <w:left w:val="none" w:sz="0" w:space="0" w:color="auto"/>
        <w:bottom w:val="none" w:sz="0" w:space="0" w:color="auto"/>
        <w:right w:val="none" w:sz="0" w:space="0" w:color="auto"/>
      </w:divBdr>
    </w:div>
    <w:div w:id="29652525">
      <w:bodyDiv w:val="1"/>
      <w:marLeft w:val="0"/>
      <w:marRight w:val="0"/>
      <w:marTop w:val="0"/>
      <w:marBottom w:val="0"/>
      <w:divBdr>
        <w:top w:val="none" w:sz="0" w:space="0" w:color="auto"/>
        <w:left w:val="none" w:sz="0" w:space="0" w:color="auto"/>
        <w:bottom w:val="none" w:sz="0" w:space="0" w:color="auto"/>
        <w:right w:val="none" w:sz="0" w:space="0" w:color="auto"/>
      </w:divBdr>
    </w:div>
    <w:div w:id="29772278">
      <w:bodyDiv w:val="1"/>
      <w:marLeft w:val="0"/>
      <w:marRight w:val="0"/>
      <w:marTop w:val="0"/>
      <w:marBottom w:val="0"/>
      <w:divBdr>
        <w:top w:val="none" w:sz="0" w:space="0" w:color="auto"/>
        <w:left w:val="none" w:sz="0" w:space="0" w:color="auto"/>
        <w:bottom w:val="none" w:sz="0" w:space="0" w:color="auto"/>
        <w:right w:val="none" w:sz="0" w:space="0" w:color="auto"/>
      </w:divBdr>
    </w:div>
    <w:div w:id="29886781">
      <w:bodyDiv w:val="1"/>
      <w:marLeft w:val="0"/>
      <w:marRight w:val="0"/>
      <w:marTop w:val="0"/>
      <w:marBottom w:val="0"/>
      <w:divBdr>
        <w:top w:val="none" w:sz="0" w:space="0" w:color="auto"/>
        <w:left w:val="none" w:sz="0" w:space="0" w:color="auto"/>
        <w:bottom w:val="none" w:sz="0" w:space="0" w:color="auto"/>
        <w:right w:val="none" w:sz="0" w:space="0" w:color="auto"/>
      </w:divBdr>
    </w:div>
    <w:div w:id="29888165">
      <w:bodyDiv w:val="1"/>
      <w:marLeft w:val="0"/>
      <w:marRight w:val="0"/>
      <w:marTop w:val="0"/>
      <w:marBottom w:val="0"/>
      <w:divBdr>
        <w:top w:val="none" w:sz="0" w:space="0" w:color="auto"/>
        <w:left w:val="none" w:sz="0" w:space="0" w:color="auto"/>
        <w:bottom w:val="none" w:sz="0" w:space="0" w:color="auto"/>
        <w:right w:val="none" w:sz="0" w:space="0" w:color="auto"/>
      </w:divBdr>
    </w:div>
    <w:div w:id="30081510">
      <w:bodyDiv w:val="1"/>
      <w:marLeft w:val="0"/>
      <w:marRight w:val="0"/>
      <w:marTop w:val="0"/>
      <w:marBottom w:val="0"/>
      <w:divBdr>
        <w:top w:val="none" w:sz="0" w:space="0" w:color="auto"/>
        <w:left w:val="none" w:sz="0" w:space="0" w:color="auto"/>
        <w:bottom w:val="none" w:sz="0" w:space="0" w:color="auto"/>
        <w:right w:val="none" w:sz="0" w:space="0" w:color="auto"/>
      </w:divBdr>
    </w:div>
    <w:div w:id="30302152">
      <w:bodyDiv w:val="1"/>
      <w:marLeft w:val="0"/>
      <w:marRight w:val="0"/>
      <w:marTop w:val="0"/>
      <w:marBottom w:val="0"/>
      <w:divBdr>
        <w:top w:val="none" w:sz="0" w:space="0" w:color="auto"/>
        <w:left w:val="none" w:sz="0" w:space="0" w:color="auto"/>
        <w:bottom w:val="none" w:sz="0" w:space="0" w:color="auto"/>
        <w:right w:val="none" w:sz="0" w:space="0" w:color="auto"/>
      </w:divBdr>
    </w:div>
    <w:div w:id="30302314">
      <w:bodyDiv w:val="1"/>
      <w:marLeft w:val="0"/>
      <w:marRight w:val="0"/>
      <w:marTop w:val="0"/>
      <w:marBottom w:val="0"/>
      <w:divBdr>
        <w:top w:val="none" w:sz="0" w:space="0" w:color="auto"/>
        <w:left w:val="none" w:sz="0" w:space="0" w:color="auto"/>
        <w:bottom w:val="none" w:sz="0" w:space="0" w:color="auto"/>
        <w:right w:val="none" w:sz="0" w:space="0" w:color="auto"/>
      </w:divBdr>
    </w:div>
    <w:div w:id="30306817">
      <w:bodyDiv w:val="1"/>
      <w:marLeft w:val="0"/>
      <w:marRight w:val="0"/>
      <w:marTop w:val="0"/>
      <w:marBottom w:val="0"/>
      <w:divBdr>
        <w:top w:val="none" w:sz="0" w:space="0" w:color="auto"/>
        <w:left w:val="none" w:sz="0" w:space="0" w:color="auto"/>
        <w:bottom w:val="none" w:sz="0" w:space="0" w:color="auto"/>
        <w:right w:val="none" w:sz="0" w:space="0" w:color="auto"/>
      </w:divBdr>
    </w:div>
    <w:div w:id="30495499">
      <w:bodyDiv w:val="1"/>
      <w:marLeft w:val="0"/>
      <w:marRight w:val="0"/>
      <w:marTop w:val="0"/>
      <w:marBottom w:val="0"/>
      <w:divBdr>
        <w:top w:val="none" w:sz="0" w:space="0" w:color="auto"/>
        <w:left w:val="none" w:sz="0" w:space="0" w:color="auto"/>
        <w:bottom w:val="none" w:sz="0" w:space="0" w:color="auto"/>
        <w:right w:val="none" w:sz="0" w:space="0" w:color="auto"/>
      </w:divBdr>
    </w:div>
    <w:div w:id="30502170">
      <w:bodyDiv w:val="1"/>
      <w:marLeft w:val="0"/>
      <w:marRight w:val="0"/>
      <w:marTop w:val="0"/>
      <w:marBottom w:val="0"/>
      <w:divBdr>
        <w:top w:val="none" w:sz="0" w:space="0" w:color="auto"/>
        <w:left w:val="none" w:sz="0" w:space="0" w:color="auto"/>
        <w:bottom w:val="none" w:sz="0" w:space="0" w:color="auto"/>
        <w:right w:val="none" w:sz="0" w:space="0" w:color="auto"/>
      </w:divBdr>
    </w:div>
    <w:div w:id="30543128">
      <w:bodyDiv w:val="1"/>
      <w:marLeft w:val="0"/>
      <w:marRight w:val="0"/>
      <w:marTop w:val="0"/>
      <w:marBottom w:val="0"/>
      <w:divBdr>
        <w:top w:val="none" w:sz="0" w:space="0" w:color="auto"/>
        <w:left w:val="none" w:sz="0" w:space="0" w:color="auto"/>
        <w:bottom w:val="none" w:sz="0" w:space="0" w:color="auto"/>
        <w:right w:val="none" w:sz="0" w:space="0" w:color="auto"/>
      </w:divBdr>
    </w:div>
    <w:div w:id="30619939">
      <w:bodyDiv w:val="1"/>
      <w:marLeft w:val="0"/>
      <w:marRight w:val="0"/>
      <w:marTop w:val="0"/>
      <w:marBottom w:val="0"/>
      <w:divBdr>
        <w:top w:val="none" w:sz="0" w:space="0" w:color="auto"/>
        <w:left w:val="none" w:sz="0" w:space="0" w:color="auto"/>
        <w:bottom w:val="none" w:sz="0" w:space="0" w:color="auto"/>
        <w:right w:val="none" w:sz="0" w:space="0" w:color="auto"/>
      </w:divBdr>
    </w:div>
    <w:div w:id="30695325">
      <w:bodyDiv w:val="1"/>
      <w:marLeft w:val="0"/>
      <w:marRight w:val="0"/>
      <w:marTop w:val="0"/>
      <w:marBottom w:val="0"/>
      <w:divBdr>
        <w:top w:val="none" w:sz="0" w:space="0" w:color="auto"/>
        <w:left w:val="none" w:sz="0" w:space="0" w:color="auto"/>
        <w:bottom w:val="none" w:sz="0" w:space="0" w:color="auto"/>
        <w:right w:val="none" w:sz="0" w:space="0" w:color="auto"/>
      </w:divBdr>
    </w:div>
    <w:div w:id="30738127">
      <w:bodyDiv w:val="1"/>
      <w:marLeft w:val="0"/>
      <w:marRight w:val="0"/>
      <w:marTop w:val="0"/>
      <w:marBottom w:val="0"/>
      <w:divBdr>
        <w:top w:val="none" w:sz="0" w:space="0" w:color="auto"/>
        <w:left w:val="none" w:sz="0" w:space="0" w:color="auto"/>
        <w:bottom w:val="none" w:sz="0" w:space="0" w:color="auto"/>
        <w:right w:val="none" w:sz="0" w:space="0" w:color="auto"/>
      </w:divBdr>
    </w:div>
    <w:div w:id="30764765">
      <w:bodyDiv w:val="1"/>
      <w:marLeft w:val="0"/>
      <w:marRight w:val="0"/>
      <w:marTop w:val="0"/>
      <w:marBottom w:val="0"/>
      <w:divBdr>
        <w:top w:val="none" w:sz="0" w:space="0" w:color="auto"/>
        <w:left w:val="none" w:sz="0" w:space="0" w:color="auto"/>
        <w:bottom w:val="none" w:sz="0" w:space="0" w:color="auto"/>
        <w:right w:val="none" w:sz="0" w:space="0" w:color="auto"/>
      </w:divBdr>
    </w:div>
    <w:div w:id="30812235">
      <w:bodyDiv w:val="1"/>
      <w:marLeft w:val="0"/>
      <w:marRight w:val="0"/>
      <w:marTop w:val="0"/>
      <w:marBottom w:val="0"/>
      <w:divBdr>
        <w:top w:val="none" w:sz="0" w:space="0" w:color="auto"/>
        <w:left w:val="none" w:sz="0" w:space="0" w:color="auto"/>
        <w:bottom w:val="none" w:sz="0" w:space="0" w:color="auto"/>
        <w:right w:val="none" w:sz="0" w:space="0" w:color="auto"/>
      </w:divBdr>
    </w:div>
    <w:div w:id="30881360">
      <w:bodyDiv w:val="1"/>
      <w:marLeft w:val="0"/>
      <w:marRight w:val="0"/>
      <w:marTop w:val="0"/>
      <w:marBottom w:val="0"/>
      <w:divBdr>
        <w:top w:val="none" w:sz="0" w:space="0" w:color="auto"/>
        <w:left w:val="none" w:sz="0" w:space="0" w:color="auto"/>
        <w:bottom w:val="none" w:sz="0" w:space="0" w:color="auto"/>
        <w:right w:val="none" w:sz="0" w:space="0" w:color="auto"/>
      </w:divBdr>
    </w:div>
    <w:div w:id="30884856">
      <w:bodyDiv w:val="1"/>
      <w:marLeft w:val="0"/>
      <w:marRight w:val="0"/>
      <w:marTop w:val="0"/>
      <w:marBottom w:val="0"/>
      <w:divBdr>
        <w:top w:val="none" w:sz="0" w:space="0" w:color="auto"/>
        <w:left w:val="none" w:sz="0" w:space="0" w:color="auto"/>
        <w:bottom w:val="none" w:sz="0" w:space="0" w:color="auto"/>
        <w:right w:val="none" w:sz="0" w:space="0" w:color="auto"/>
      </w:divBdr>
    </w:div>
    <w:div w:id="31002824">
      <w:bodyDiv w:val="1"/>
      <w:marLeft w:val="0"/>
      <w:marRight w:val="0"/>
      <w:marTop w:val="0"/>
      <w:marBottom w:val="0"/>
      <w:divBdr>
        <w:top w:val="none" w:sz="0" w:space="0" w:color="auto"/>
        <w:left w:val="none" w:sz="0" w:space="0" w:color="auto"/>
        <w:bottom w:val="none" w:sz="0" w:space="0" w:color="auto"/>
        <w:right w:val="none" w:sz="0" w:space="0" w:color="auto"/>
      </w:divBdr>
    </w:div>
    <w:div w:id="31006628">
      <w:bodyDiv w:val="1"/>
      <w:marLeft w:val="0"/>
      <w:marRight w:val="0"/>
      <w:marTop w:val="0"/>
      <w:marBottom w:val="0"/>
      <w:divBdr>
        <w:top w:val="none" w:sz="0" w:space="0" w:color="auto"/>
        <w:left w:val="none" w:sz="0" w:space="0" w:color="auto"/>
        <w:bottom w:val="none" w:sz="0" w:space="0" w:color="auto"/>
        <w:right w:val="none" w:sz="0" w:space="0" w:color="auto"/>
      </w:divBdr>
    </w:div>
    <w:div w:id="31077371">
      <w:bodyDiv w:val="1"/>
      <w:marLeft w:val="0"/>
      <w:marRight w:val="0"/>
      <w:marTop w:val="0"/>
      <w:marBottom w:val="0"/>
      <w:divBdr>
        <w:top w:val="none" w:sz="0" w:space="0" w:color="auto"/>
        <w:left w:val="none" w:sz="0" w:space="0" w:color="auto"/>
        <w:bottom w:val="none" w:sz="0" w:space="0" w:color="auto"/>
        <w:right w:val="none" w:sz="0" w:space="0" w:color="auto"/>
      </w:divBdr>
    </w:div>
    <w:div w:id="31152646">
      <w:bodyDiv w:val="1"/>
      <w:marLeft w:val="0"/>
      <w:marRight w:val="0"/>
      <w:marTop w:val="0"/>
      <w:marBottom w:val="0"/>
      <w:divBdr>
        <w:top w:val="none" w:sz="0" w:space="0" w:color="auto"/>
        <w:left w:val="none" w:sz="0" w:space="0" w:color="auto"/>
        <w:bottom w:val="none" w:sz="0" w:space="0" w:color="auto"/>
        <w:right w:val="none" w:sz="0" w:space="0" w:color="auto"/>
      </w:divBdr>
    </w:div>
    <w:div w:id="31196576">
      <w:bodyDiv w:val="1"/>
      <w:marLeft w:val="0"/>
      <w:marRight w:val="0"/>
      <w:marTop w:val="0"/>
      <w:marBottom w:val="0"/>
      <w:divBdr>
        <w:top w:val="none" w:sz="0" w:space="0" w:color="auto"/>
        <w:left w:val="none" w:sz="0" w:space="0" w:color="auto"/>
        <w:bottom w:val="none" w:sz="0" w:space="0" w:color="auto"/>
        <w:right w:val="none" w:sz="0" w:space="0" w:color="auto"/>
      </w:divBdr>
    </w:div>
    <w:div w:id="31196903">
      <w:bodyDiv w:val="1"/>
      <w:marLeft w:val="0"/>
      <w:marRight w:val="0"/>
      <w:marTop w:val="0"/>
      <w:marBottom w:val="0"/>
      <w:divBdr>
        <w:top w:val="none" w:sz="0" w:space="0" w:color="auto"/>
        <w:left w:val="none" w:sz="0" w:space="0" w:color="auto"/>
        <w:bottom w:val="none" w:sz="0" w:space="0" w:color="auto"/>
        <w:right w:val="none" w:sz="0" w:space="0" w:color="auto"/>
      </w:divBdr>
    </w:div>
    <w:div w:id="31225008">
      <w:bodyDiv w:val="1"/>
      <w:marLeft w:val="0"/>
      <w:marRight w:val="0"/>
      <w:marTop w:val="0"/>
      <w:marBottom w:val="0"/>
      <w:divBdr>
        <w:top w:val="none" w:sz="0" w:space="0" w:color="auto"/>
        <w:left w:val="none" w:sz="0" w:space="0" w:color="auto"/>
        <w:bottom w:val="none" w:sz="0" w:space="0" w:color="auto"/>
        <w:right w:val="none" w:sz="0" w:space="0" w:color="auto"/>
      </w:divBdr>
    </w:div>
    <w:div w:id="31270212">
      <w:bodyDiv w:val="1"/>
      <w:marLeft w:val="0"/>
      <w:marRight w:val="0"/>
      <w:marTop w:val="0"/>
      <w:marBottom w:val="0"/>
      <w:divBdr>
        <w:top w:val="none" w:sz="0" w:space="0" w:color="auto"/>
        <w:left w:val="none" w:sz="0" w:space="0" w:color="auto"/>
        <w:bottom w:val="none" w:sz="0" w:space="0" w:color="auto"/>
        <w:right w:val="none" w:sz="0" w:space="0" w:color="auto"/>
      </w:divBdr>
    </w:div>
    <w:div w:id="31342114">
      <w:bodyDiv w:val="1"/>
      <w:marLeft w:val="0"/>
      <w:marRight w:val="0"/>
      <w:marTop w:val="0"/>
      <w:marBottom w:val="0"/>
      <w:divBdr>
        <w:top w:val="none" w:sz="0" w:space="0" w:color="auto"/>
        <w:left w:val="none" w:sz="0" w:space="0" w:color="auto"/>
        <w:bottom w:val="none" w:sz="0" w:space="0" w:color="auto"/>
        <w:right w:val="none" w:sz="0" w:space="0" w:color="auto"/>
      </w:divBdr>
    </w:div>
    <w:div w:id="31421993">
      <w:bodyDiv w:val="1"/>
      <w:marLeft w:val="0"/>
      <w:marRight w:val="0"/>
      <w:marTop w:val="0"/>
      <w:marBottom w:val="0"/>
      <w:divBdr>
        <w:top w:val="none" w:sz="0" w:space="0" w:color="auto"/>
        <w:left w:val="none" w:sz="0" w:space="0" w:color="auto"/>
        <w:bottom w:val="none" w:sz="0" w:space="0" w:color="auto"/>
        <w:right w:val="none" w:sz="0" w:space="0" w:color="auto"/>
      </w:divBdr>
    </w:div>
    <w:div w:id="31464479">
      <w:bodyDiv w:val="1"/>
      <w:marLeft w:val="0"/>
      <w:marRight w:val="0"/>
      <w:marTop w:val="0"/>
      <w:marBottom w:val="0"/>
      <w:divBdr>
        <w:top w:val="none" w:sz="0" w:space="0" w:color="auto"/>
        <w:left w:val="none" w:sz="0" w:space="0" w:color="auto"/>
        <w:bottom w:val="none" w:sz="0" w:space="0" w:color="auto"/>
        <w:right w:val="none" w:sz="0" w:space="0" w:color="auto"/>
      </w:divBdr>
    </w:div>
    <w:div w:id="31616564">
      <w:bodyDiv w:val="1"/>
      <w:marLeft w:val="0"/>
      <w:marRight w:val="0"/>
      <w:marTop w:val="0"/>
      <w:marBottom w:val="0"/>
      <w:divBdr>
        <w:top w:val="none" w:sz="0" w:space="0" w:color="auto"/>
        <w:left w:val="none" w:sz="0" w:space="0" w:color="auto"/>
        <w:bottom w:val="none" w:sz="0" w:space="0" w:color="auto"/>
        <w:right w:val="none" w:sz="0" w:space="0" w:color="auto"/>
      </w:divBdr>
    </w:div>
    <w:div w:id="31654496">
      <w:bodyDiv w:val="1"/>
      <w:marLeft w:val="0"/>
      <w:marRight w:val="0"/>
      <w:marTop w:val="0"/>
      <w:marBottom w:val="0"/>
      <w:divBdr>
        <w:top w:val="none" w:sz="0" w:space="0" w:color="auto"/>
        <w:left w:val="none" w:sz="0" w:space="0" w:color="auto"/>
        <w:bottom w:val="none" w:sz="0" w:space="0" w:color="auto"/>
        <w:right w:val="none" w:sz="0" w:space="0" w:color="auto"/>
      </w:divBdr>
    </w:div>
    <w:div w:id="31656901">
      <w:bodyDiv w:val="1"/>
      <w:marLeft w:val="0"/>
      <w:marRight w:val="0"/>
      <w:marTop w:val="0"/>
      <w:marBottom w:val="0"/>
      <w:divBdr>
        <w:top w:val="none" w:sz="0" w:space="0" w:color="auto"/>
        <w:left w:val="none" w:sz="0" w:space="0" w:color="auto"/>
        <w:bottom w:val="none" w:sz="0" w:space="0" w:color="auto"/>
        <w:right w:val="none" w:sz="0" w:space="0" w:color="auto"/>
      </w:divBdr>
    </w:div>
    <w:div w:id="31662276">
      <w:bodyDiv w:val="1"/>
      <w:marLeft w:val="0"/>
      <w:marRight w:val="0"/>
      <w:marTop w:val="0"/>
      <w:marBottom w:val="0"/>
      <w:divBdr>
        <w:top w:val="none" w:sz="0" w:space="0" w:color="auto"/>
        <w:left w:val="none" w:sz="0" w:space="0" w:color="auto"/>
        <w:bottom w:val="none" w:sz="0" w:space="0" w:color="auto"/>
        <w:right w:val="none" w:sz="0" w:space="0" w:color="auto"/>
      </w:divBdr>
    </w:div>
    <w:div w:id="31927806">
      <w:bodyDiv w:val="1"/>
      <w:marLeft w:val="0"/>
      <w:marRight w:val="0"/>
      <w:marTop w:val="0"/>
      <w:marBottom w:val="0"/>
      <w:divBdr>
        <w:top w:val="none" w:sz="0" w:space="0" w:color="auto"/>
        <w:left w:val="none" w:sz="0" w:space="0" w:color="auto"/>
        <w:bottom w:val="none" w:sz="0" w:space="0" w:color="auto"/>
        <w:right w:val="none" w:sz="0" w:space="0" w:color="auto"/>
      </w:divBdr>
    </w:div>
    <w:div w:id="32001762">
      <w:bodyDiv w:val="1"/>
      <w:marLeft w:val="0"/>
      <w:marRight w:val="0"/>
      <w:marTop w:val="0"/>
      <w:marBottom w:val="0"/>
      <w:divBdr>
        <w:top w:val="none" w:sz="0" w:space="0" w:color="auto"/>
        <w:left w:val="none" w:sz="0" w:space="0" w:color="auto"/>
        <w:bottom w:val="none" w:sz="0" w:space="0" w:color="auto"/>
        <w:right w:val="none" w:sz="0" w:space="0" w:color="auto"/>
      </w:divBdr>
    </w:div>
    <w:div w:id="32074181">
      <w:bodyDiv w:val="1"/>
      <w:marLeft w:val="0"/>
      <w:marRight w:val="0"/>
      <w:marTop w:val="0"/>
      <w:marBottom w:val="0"/>
      <w:divBdr>
        <w:top w:val="none" w:sz="0" w:space="0" w:color="auto"/>
        <w:left w:val="none" w:sz="0" w:space="0" w:color="auto"/>
        <w:bottom w:val="none" w:sz="0" w:space="0" w:color="auto"/>
        <w:right w:val="none" w:sz="0" w:space="0" w:color="auto"/>
      </w:divBdr>
    </w:div>
    <w:div w:id="32076942">
      <w:bodyDiv w:val="1"/>
      <w:marLeft w:val="0"/>
      <w:marRight w:val="0"/>
      <w:marTop w:val="0"/>
      <w:marBottom w:val="0"/>
      <w:divBdr>
        <w:top w:val="none" w:sz="0" w:space="0" w:color="auto"/>
        <w:left w:val="none" w:sz="0" w:space="0" w:color="auto"/>
        <w:bottom w:val="none" w:sz="0" w:space="0" w:color="auto"/>
        <w:right w:val="none" w:sz="0" w:space="0" w:color="auto"/>
      </w:divBdr>
    </w:div>
    <w:div w:id="32078864">
      <w:bodyDiv w:val="1"/>
      <w:marLeft w:val="0"/>
      <w:marRight w:val="0"/>
      <w:marTop w:val="0"/>
      <w:marBottom w:val="0"/>
      <w:divBdr>
        <w:top w:val="none" w:sz="0" w:space="0" w:color="auto"/>
        <w:left w:val="none" w:sz="0" w:space="0" w:color="auto"/>
        <w:bottom w:val="none" w:sz="0" w:space="0" w:color="auto"/>
        <w:right w:val="none" w:sz="0" w:space="0" w:color="auto"/>
      </w:divBdr>
    </w:div>
    <w:div w:id="32123809">
      <w:bodyDiv w:val="1"/>
      <w:marLeft w:val="0"/>
      <w:marRight w:val="0"/>
      <w:marTop w:val="0"/>
      <w:marBottom w:val="0"/>
      <w:divBdr>
        <w:top w:val="none" w:sz="0" w:space="0" w:color="auto"/>
        <w:left w:val="none" w:sz="0" w:space="0" w:color="auto"/>
        <w:bottom w:val="none" w:sz="0" w:space="0" w:color="auto"/>
        <w:right w:val="none" w:sz="0" w:space="0" w:color="auto"/>
      </w:divBdr>
    </w:div>
    <w:div w:id="32273564">
      <w:bodyDiv w:val="1"/>
      <w:marLeft w:val="0"/>
      <w:marRight w:val="0"/>
      <w:marTop w:val="0"/>
      <w:marBottom w:val="0"/>
      <w:divBdr>
        <w:top w:val="none" w:sz="0" w:space="0" w:color="auto"/>
        <w:left w:val="none" w:sz="0" w:space="0" w:color="auto"/>
        <w:bottom w:val="none" w:sz="0" w:space="0" w:color="auto"/>
        <w:right w:val="none" w:sz="0" w:space="0" w:color="auto"/>
      </w:divBdr>
    </w:div>
    <w:div w:id="32310782">
      <w:bodyDiv w:val="1"/>
      <w:marLeft w:val="0"/>
      <w:marRight w:val="0"/>
      <w:marTop w:val="0"/>
      <w:marBottom w:val="0"/>
      <w:divBdr>
        <w:top w:val="none" w:sz="0" w:space="0" w:color="auto"/>
        <w:left w:val="none" w:sz="0" w:space="0" w:color="auto"/>
        <w:bottom w:val="none" w:sz="0" w:space="0" w:color="auto"/>
        <w:right w:val="none" w:sz="0" w:space="0" w:color="auto"/>
      </w:divBdr>
    </w:div>
    <w:div w:id="32384562">
      <w:bodyDiv w:val="1"/>
      <w:marLeft w:val="0"/>
      <w:marRight w:val="0"/>
      <w:marTop w:val="0"/>
      <w:marBottom w:val="0"/>
      <w:divBdr>
        <w:top w:val="none" w:sz="0" w:space="0" w:color="auto"/>
        <w:left w:val="none" w:sz="0" w:space="0" w:color="auto"/>
        <w:bottom w:val="none" w:sz="0" w:space="0" w:color="auto"/>
        <w:right w:val="none" w:sz="0" w:space="0" w:color="auto"/>
      </w:divBdr>
    </w:div>
    <w:div w:id="32581201">
      <w:bodyDiv w:val="1"/>
      <w:marLeft w:val="0"/>
      <w:marRight w:val="0"/>
      <w:marTop w:val="0"/>
      <w:marBottom w:val="0"/>
      <w:divBdr>
        <w:top w:val="none" w:sz="0" w:space="0" w:color="auto"/>
        <w:left w:val="none" w:sz="0" w:space="0" w:color="auto"/>
        <w:bottom w:val="none" w:sz="0" w:space="0" w:color="auto"/>
        <w:right w:val="none" w:sz="0" w:space="0" w:color="auto"/>
      </w:divBdr>
    </w:div>
    <w:div w:id="32703387">
      <w:bodyDiv w:val="1"/>
      <w:marLeft w:val="0"/>
      <w:marRight w:val="0"/>
      <w:marTop w:val="0"/>
      <w:marBottom w:val="0"/>
      <w:divBdr>
        <w:top w:val="none" w:sz="0" w:space="0" w:color="auto"/>
        <w:left w:val="none" w:sz="0" w:space="0" w:color="auto"/>
        <w:bottom w:val="none" w:sz="0" w:space="0" w:color="auto"/>
        <w:right w:val="none" w:sz="0" w:space="0" w:color="auto"/>
      </w:divBdr>
    </w:div>
    <w:div w:id="32776232">
      <w:bodyDiv w:val="1"/>
      <w:marLeft w:val="0"/>
      <w:marRight w:val="0"/>
      <w:marTop w:val="0"/>
      <w:marBottom w:val="0"/>
      <w:divBdr>
        <w:top w:val="none" w:sz="0" w:space="0" w:color="auto"/>
        <w:left w:val="none" w:sz="0" w:space="0" w:color="auto"/>
        <w:bottom w:val="none" w:sz="0" w:space="0" w:color="auto"/>
        <w:right w:val="none" w:sz="0" w:space="0" w:color="auto"/>
      </w:divBdr>
    </w:div>
    <w:div w:id="32777034">
      <w:bodyDiv w:val="1"/>
      <w:marLeft w:val="0"/>
      <w:marRight w:val="0"/>
      <w:marTop w:val="0"/>
      <w:marBottom w:val="0"/>
      <w:divBdr>
        <w:top w:val="none" w:sz="0" w:space="0" w:color="auto"/>
        <w:left w:val="none" w:sz="0" w:space="0" w:color="auto"/>
        <w:bottom w:val="none" w:sz="0" w:space="0" w:color="auto"/>
        <w:right w:val="none" w:sz="0" w:space="0" w:color="auto"/>
      </w:divBdr>
    </w:div>
    <w:div w:id="32922010">
      <w:bodyDiv w:val="1"/>
      <w:marLeft w:val="0"/>
      <w:marRight w:val="0"/>
      <w:marTop w:val="0"/>
      <w:marBottom w:val="0"/>
      <w:divBdr>
        <w:top w:val="none" w:sz="0" w:space="0" w:color="auto"/>
        <w:left w:val="none" w:sz="0" w:space="0" w:color="auto"/>
        <w:bottom w:val="none" w:sz="0" w:space="0" w:color="auto"/>
        <w:right w:val="none" w:sz="0" w:space="0" w:color="auto"/>
      </w:divBdr>
    </w:div>
    <w:div w:id="32965517">
      <w:bodyDiv w:val="1"/>
      <w:marLeft w:val="0"/>
      <w:marRight w:val="0"/>
      <w:marTop w:val="0"/>
      <w:marBottom w:val="0"/>
      <w:divBdr>
        <w:top w:val="none" w:sz="0" w:space="0" w:color="auto"/>
        <w:left w:val="none" w:sz="0" w:space="0" w:color="auto"/>
        <w:bottom w:val="none" w:sz="0" w:space="0" w:color="auto"/>
        <w:right w:val="none" w:sz="0" w:space="0" w:color="auto"/>
      </w:divBdr>
    </w:div>
    <w:div w:id="32971544">
      <w:bodyDiv w:val="1"/>
      <w:marLeft w:val="0"/>
      <w:marRight w:val="0"/>
      <w:marTop w:val="0"/>
      <w:marBottom w:val="0"/>
      <w:divBdr>
        <w:top w:val="none" w:sz="0" w:space="0" w:color="auto"/>
        <w:left w:val="none" w:sz="0" w:space="0" w:color="auto"/>
        <w:bottom w:val="none" w:sz="0" w:space="0" w:color="auto"/>
        <w:right w:val="none" w:sz="0" w:space="0" w:color="auto"/>
      </w:divBdr>
    </w:div>
    <w:div w:id="32997052">
      <w:bodyDiv w:val="1"/>
      <w:marLeft w:val="0"/>
      <w:marRight w:val="0"/>
      <w:marTop w:val="0"/>
      <w:marBottom w:val="0"/>
      <w:divBdr>
        <w:top w:val="none" w:sz="0" w:space="0" w:color="auto"/>
        <w:left w:val="none" w:sz="0" w:space="0" w:color="auto"/>
        <w:bottom w:val="none" w:sz="0" w:space="0" w:color="auto"/>
        <w:right w:val="none" w:sz="0" w:space="0" w:color="auto"/>
      </w:divBdr>
    </w:div>
    <w:div w:id="33044295">
      <w:bodyDiv w:val="1"/>
      <w:marLeft w:val="0"/>
      <w:marRight w:val="0"/>
      <w:marTop w:val="0"/>
      <w:marBottom w:val="0"/>
      <w:divBdr>
        <w:top w:val="none" w:sz="0" w:space="0" w:color="auto"/>
        <w:left w:val="none" w:sz="0" w:space="0" w:color="auto"/>
        <w:bottom w:val="none" w:sz="0" w:space="0" w:color="auto"/>
        <w:right w:val="none" w:sz="0" w:space="0" w:color="auto"/>
      </w:divBdr>
    </w:div>
    <w:div w:id="33047869">
      <w:bodyDiv w:val="1"/>
      <w:marLeft w:val="0"/>
      <w:marRight w:val="0"/>
      <w:marTop w:val="0"/>
      <w:marBottom w:val="0"/>
      <w:divBdr>
        <w:top w:val="none" w:sz="0" w:space="0" w:color="auto"/>
        <w:left w:val="none" w:sz="0" w:space="0" w:color="auto"/>
        <w:bottom w:val="none" w:sz="0" w:space="0" w:color="auto"/>
        <w:right w:val="none" w:sz="0" w:space="0" w:color="auto"/>
      </w:divBdr>
    </w:div>
    <w:div w:id="33119157">
      <w:bodyDiv w:val="1"/>
      <w:marLeft w:val="0"/>
      <w:marRight w:val="0"/>
      <w:marTop w:val="0"/>
      <w:marBottom w:val="0"/>
      <w:divBdr>
        <w:top w:val="none" w:sz="0" w:space="0" w:color="auto"/>
        <w:left w:val="none" w:sz="0" w:space="0" w:color="auto"/>
        <w:bottom w:val="none" w:sz="0" w:space="0" w:color="auto"/>
        <w:right w:val="none" w:sz="0" w:space="0" w:color="auto"/>
      </w:divBdr>
    </w:div>
    <w:div w:id="33119483">
      <w:bodyDiv w:val="1"/>
      <w:marLeft w:val="0"/>
      <w:marRight w:val="0"/>
      <w:marTop w:val="0"/>
      <w:marBottom w:val="0"/>
      <w:divBdr>
        <w:top w:val="none" w:sz="0" w:space="0" w:color="auto"/>
        <w:left w:val="none" w:sz="0" w:space="0" w:color="auto"/>
        <w:bottom w:val="none" w:sz="0" w:space="0" w:color="auto"/>
        <w:right w:val="none" w:sz="0" w:space="0" w:color="auto"/>
      </w:divBdr>
    </w:div>
    <w:div w:id="33237430">
      <w:bodyDiv w:val="1"/>
      <w:marLeft w:val="0"/>
      <w:marRight w:val="0"/>
      <w:marTop w:val="0"/>
      <w:marBottom w:val="0"/>
      <w:divBdr>
        <w:top w:val="none" w:sz="0" w:space="0" w:color="auto"/>
        <w:left w:val="none" w:sz="0" w:space="0" w:color="auto"/>
        <w:bottom w:val="none" w:sz="0" w:space="0" w:color="auto"/>
        <w:right w:val="none" w:sz="0" w:space="0" w:color="auto"/>
      </w:divBdr>
    </w:div>
    <w:div w:id="33315670">
      <w:bodyDiv w:val="1"/>
      <w:marLeft w:val="0"/>
      <w:marRight w:val="0"/>
      <w:marTop w:val="0"/>
      <w:marBottom w:val="0"/>
      <w:divBdr>
        <w:top w:val="none" w:sz="0" w:space="0" w:color="auto"/>
        <w:left w:val="none" w:sz="0" w:space="0" w:color="auto"/>
        <w:bottom w:val="none" w:sz="0" w:space="0" w:color="auto"/>
        <w:right w:val="none" w:sz="0" w:space="0" w:color="auto"/>
      </w:divBdr>
    </w:div>
    <w:div w:id="33316595">
      <w:bodyDiv w:val="1"/>
      <w:marLeft w:val="0"/>
      <w:marRight w:val="0"/>
      <w:marTop w:val="0"/>
      <w:marBottom w:val="0"/>
      <w:divBdr>
        <w:top w:val="none" w:sz="0" w:space="0" w:color="auto"/>
        <w:left w:val="none" w:sz="0" w:space="0" w:color="auto"/>
        <w:bottom w:val="none" w:sz="0" w:space="0" w:color="auto"/>
        <w:right w:val="none" w:sz="0" w:space="0" w:color="auto"/>
      </w:divBdr>
    </w:div>
    <w:div w:id="33360044">
      <w:bodyDiv w:val="1"/>
      <w:marLeft w:val="0"/>
      <w:marRight w:val="0"/>
      <w:marTop w:val="0"/>
      <w:marBottom w:val="0"/>
      <w:divBdr>
        <w:top w:val="none" w:sz="0" w:space="0" w:color="auto"/>
        <w:left w:val="none" w:sz="0" w:space="0" w:color="auto"/>
        <w:bottom w:val="none" w:sz="0" w:space="0" w:color="auto"/>
        <w:right w:val="none" w:sz="0" w:space="0" w:color="auto"/>
      </w:divBdr>
    </w:div>
    <w:div w:id="33504631">
      <w:bodyDiv w:val="1"/>
      <w:marLeft w:val="0"/>
      <w:marRight w:val="0"/>
      <w:marTop w:val="0"/>
      <w:marBottom w:val="0"/>
      <w:divBdr>
        <w:top w:val="none" w:sz="0" w:space="0" w:color="auto"/>
        <w:left w:val="none" w:sz="0" w:space="0" w:color="auto"/>
        <w:bottom w:val="none" w:sz="0" w:space="0" w:color="auto"/>
        <w:right w:val="none" w:sz="0" w:space="0" w:color="auto"/>
      </w:divBdr>
    </w:div>
    <w:div w:id="33507678">
      <w:bodyDiv w:val="1"/>
      <w:marLeft w:val="0"/>
      <w:marRight w:val="0"/>
      <w:marTop w:val="0"/>
      <w:marBottom w:val="0"/>
      <w:divBdr>
        <w:top w:val="none" w:sz="0" w:space="0" w:color="auto"/>
        <w:left w:val="none" w:sz="0" w:space="0" w:color="auto"/>
        <w:bottom w:val="none" w:sz="0" w:space="0" w:color="auto"/>
        <w:right w:val="none" w:sz="0" w:space="0" w:color="auto"/>
      </w:divBdr>
    </w:div>
    <w:div w:id="33510495">
      <w:bodyDiv w:val="1"/>
      <w:marLeft w:val="0"/>
      <w:marRight w:val="0"/>
      <w:marTop w:val="0"/>
      <w:marBottom w:val="0"/>
      <w:divBdr>
        <w:top w:val="none" w:sz="0" w:space="0" w:color="auto"/>
        <w:left w:val="none" w:sz="0" w:space="0" w:color="auto"/>
        <w:bottom w:val="none" w:sz="0" w:space="0" w:color="auto"/>
        <w:right w:val="none" w:sz="0" w:space="0" w:color="auto"/>
      </w:divBdr>
    </w:div>
    <w:div w:id="33583514">
      <w:bodyDiv w:val="1"/>
      <w:marLeft w:val="0"/>
      <w:marRight w:val="0"/>
      <w:marTop w:val="0"/>
      <w:marBottom w:val="0"/>
      <w:divBdr>
        <w:top w:val="none" w:sz="0" w:space="0" w:color="auto"/>
        <w:left w:val="none" w:sz="0" w:space="0" w:color="auto"/>
        <w:bottom w:val="none" w:sz="0" w:space="0" w:color="auto"/>
        <w:right w:val="none" w:sz="0" w:space="0" w:color="auto"/>
      </w:divBdr>
    </w:div>
    <w:div w:id="33584730">
      <w:bodyDiv w:val="1"/>
      <w:marLeft w:val="0"/>
      <w:marRight w:val="0"/>
      <w:marTop w:val="0"/>
      <w:marBottom w:val="0"/>
      <w:divBdr>
        <w:top w:val="none" w:sz="0" w:space="0" w:color="auto"/>
        <w:left w:val="none" w:sz="0" w:space="0" w:color="auto"/>
        <w:bottom w:val="none" w:sz="0" w:space="0" w:color="auto"/>
        <w:right w:val="none" w:sz="0" w:space="0" w:color="auto"/>
      </w:divBdr>
    </w:div>
    <w:div w:id="33627366">
      <w:bodyDiv w:val="1"/>
      <w:marLeft w:val="0"/>
      <w:marRight w:val="0"/>
      <w:marTop w:val="0"/>
      <w:marBottom w:val="0"/>
      <w:divBdr>
        <w:top w:val="none" w:sz="0" w:space="0" w:color="auto"/>
        <w:left w:val="none" w:sz="0" w:space="0" w:color="auto"/>
        <w:bottom w:val="none" w:sz="0" w:space="0" w:color="auto"/>
        <w:right w:val="none" w:sz="0" w:space="0" w:color="auto"/>
      </w:divBdr>
    </w:div>
    <w:div w:id="33697264">
      <w:bodyDiv w:val="1"/>
      <w:marLeft w:val="0"/>
      <w:marRight w:val="0"/>
      <w:marTop w:val="0"/>
      <w:marBottom w:val="0"/>
      <w:divBdr>
        <w:top w:val="none" w:sz="0" w:space="0" w:color="auto"/>
        <w:left w:val="none" w:sz="0" w:space="0" w:color="auto"/>
        <w:bottom w:val="none" w:sz="0" w:space="0" w:color="auto"/>
        <w:right w:val="none" w:sz="0" w:space="0" w:color="auto"/>
      </w:divBdr>
    </w:div>
    <w:div w:id="33701155">
      <w:bodyDiv w:val="1"/>
      <w:marLeft w:val="0"/>
      <w:marRight w:val="0"/>
      <w:marTop w:val="0"/>
      <w:marBottom w:val="0"/>
      <w:divBdr>
        <w:top w:val="none" w:sz="0" w:space="0" w:color="auto"/>
        <w:left w:val="none" w:sz="0" w:space="0" w:color="auto"/>
        <w:bottom w:val="none" w:sz="0" w:space="0" w:color="auto"/>
        <w:right w:val="none" w:sz="0" w:space="0" w:color="auto"/>
      </w:divBdr>
    </w:div>
    <w:div w:id="33703540">
      <w:bodyDiv w:val="1"/>
      <w:marLeft w:val="0"/>
      <w:marRight w:val="0"/>
      <w:marTop w:val="0"/>
      <w:marBottom w:val="0"/>
      <w:divBdr>
        <w:top w:val="none" w:sz="0" w:space="0" w:color="auto"/>
        <w:left w:val="none" w:sz="0" w:space="0" w:color="auto"/>
        <w:bottom w:val="none" w:sz="0" w:space="0" w:color="auto"/>
        <w:right w:val="none" w:sz="0" w:space="0" w:color="auto"/>
      </w:divBdr>
    </w:div>
    <w:div w:id="33771061">
      <w:bodyDiv w:val="1"/>
      <w:marLeft w:val="0"/>
      <w:marRight w:val="0"/>
      <w:marTop w:val="0"/>
      <w:marBottom w:val="0"/>
      <w:divBdr>
        <w:top w:val="none" w:sz="0" w:space="0" w:color="auto"/>
        <w:left w:val="none" w:sz="0" w:space="0" w:color="auto"/>
        <w:bottom w:val="none" w:sz="0" w:space="0" w:color="auto"/>
        <w:right w:val="none" w:sz="0" w:space="0" w:color="auto"/>
      </w:divBdr>
    </w:div>
    <w:div w:id="33772689">
      <w:bodyDiv w:val="1"/>
      <w:marLeft w:val="0"/>
      <w:marRight w:val="0"/>
      <w:marTop w:val="0"/>
      <w:marBottom w:val="0"/>
      <w:divBdr>
        <w:top w:val="none" w:sz="0" w:space="0" w:color="auto"/>
        <w:left w:val="none" w:sz="0" w:space="0" w:color="auto"/>
        <w:bottom w:val="none" w:sz="0" w:space="0" w:color="auto"/>
        <w:right w:val="none" w:sz="0" w:space="0" w:color="auto"/>
      </w:divBdr>
    </w:div>
    <w:div w:id="33778559">
      <w:bodyDiv w:val="1"/>
      <w:marLeft w:val="0"/>
      <w:marRight w:val="0"/>
      <w:marTop w:val="0"/>
      <w:marBottom w:val="0"/>
      <w:divBdr>
        <w:top w:val="none" w:sz="0" w:space="0" w:color="auto"/>
        <w:left w:val="none" w:sz="0" w:space="0" w:color="auto"/>
        <w:bottom w:val="none" w:sz="0" w:space="0" w:color="auto"/>
        <w:right w:val="none" w:sz="0" w:space="0" w:color="auto"/>
      </w:divBdr>
    </w:div>
    <w:div w:id="34014455">
      <w:bodyDiv w:val="1"/>
      <w:marLeft w:val="0"/>
      <w:marRight w:val="0"/>
      <w:marTop w:val="0"/>
      <w:marBottom w:val="0"/>
      <w:divBdr>
        <w:top w:val="none" w:sz="0" w:space="0" w:color="auto"/>
        <w:left w:val="none" w:sz="0" w:space="0" w:color="auto"/>
        <w:bottom w:val="none" w:sz="0" w:space="0" w:color="auto"/>
        <w:right w:val="none" w:sz="0" w:space="0" w:color="auto"/>
      </w:divBdr>
    </w:div>
    <w:div w:id="34038950">
      <w:bodyDiv w:val="1"/>
      <w:marLeft w:val="0"/>
      <w:marRight w:val="0"/>
      <w:marTop w:val="0"/>
      <w:marBottom w:val="0"/>
      <w:divBdr>
        <w:top w:val="none" w:sz="0" w:space="0" w:color="auto"/>
        <w:left w:val="none" w:sz="0" w:space="0" w:color="auto"/>
        <w:bottom w:val="none" w:sz="0" w:space="0" w:color="auto"/>
        <w:right w:val="none" w:sz="0" w:space="0" w:color="auto"/>
      </w:divBdr>
    </w:div>
    <w:div w:id="34232462">
      <w:bodyDiv w:val="1"/>
      <w:marLeft w:val="0"/>
      <w:marRight w:val="0"/>
      <w:marTop w:val="0"/>
      <w:marBottom w:val="0"/>
      <w:divBdr>
        <w:top w:val="none" w:sz="0" w:space="0" w:color="auto"/>
        <w:left w:val="none" w:sz="0" w:space="0" w:color="auto"/>
        <w:bottom w:val="none" w:sz="0" w:space="0" w:color="auto"/>
        <w:right w:val="none" w:sz="0" w:space="0" w:color="auto"/>
      </w:divBdr>
    </w:div>
    <w:div w:id="34280857">
      <w:bodyDiv w:val="1"/>
      <w:marLeft w:val="0"/>
      <w:marRight w:val="0"/>
      <w:marTop w:val="0"/>
      <w:marBottom w:val="0"/>
      <w:divBdr>
        <w:top w:val="none" w:sz="0" w:space="0" w:color="auto"/>
        <w:left w:val="none" w:sz="0" w:space="0" w:color="auto"/>
        <w:bottom w:val="none" w:sz="0" w:space="0" w:color="auto"/>
        <w:right w:val="none" w:sz="0" w:space="0" w:color="auto"/>
      </w:divBdr>
    </w:div>
    <w:div w:id="34354420">
      <w:bodyDiv w:val="1"/>
      <w:marLeft w:val="0"/>
      <w:marRight w:val="0"/>
      <w:marTop w:val="0"/>
      <w:marBottom w:val="0"/>
      <w:divBdr>
        <w:top w:val="none" w:sz="0" w:space="0" w:color="auto"/>
        <w:left w:val="none" w:sz="0" w:space="0" w:color="auto"/>
        <w:bottom w:val="none" w:sz="0" w:space="0" w:color="auto"/>
        <w:right w:val="none" w:sz="0" w:space="0" w:color="auto"/>
      </w:divBdr>
    </w:div>
    <w:div w:id="34358618">
      <w:bodyDiv w:val="1"/>
      <w:marLeft w:val="0"/>
      <w:marRight w:val="0"/>
      <w:marTop w:val="0"/>
      <w:marBottom w:val="0"/>
      <w:divBdr>
        <w:top w:val="none" w:sz="0" w:space="0" w:color="auto"/>
        <w:left w:val="none" w:sz="0" w:space="0" w:color="auto"/>
        <w:bottom w:val="none" w:sz="0" w:space="0" w:color="auto"/>
        <w:right w:val="none" w:sz="0" w:space="0" w:color="auto"/>
      </w:divBdr>
    </w:div>
    <w:div w:id="34431148">
      <w:bodyDiv w:val="1"/>
      <w:marLeft w:val="0"/>
      <w:marRight w:val="0"/>
      <w:marTop w:val="0"/>
      <w:marBottom w:val="0"/>
      <w:divBdr>
        <w:top w:val="none" w:sz="0" w:space="0" w:color="auto"/>
        <w:left w:val="none" w:sz="0" w:space="0" w:color="auto"/>
        <w:bottom w:val="none" w:sz="0" w:space="0" w:color="auto"/>
        <w:right w:val="none" w:sz="0" w:space="0" w:color="auto"/>
      </w:divBdr>
    </w:div>
    <w:div w:id="34433409">
      <w:bodyDiv w:val="1"/>
      <w:marLeft w:val="0"/>
      <w:marRight w:val="0"/>
      <w:marTop w:val="0"/>
      <w:marBottom w:val="0"/>
      <w:divBdr>
        <w:top w:val="none" w:sz="0" w:space="0" w:color="auto"/>
        <w:left w:val="none" w:sz="0" w:space="0" w:color="auto"/>
        <w:bottom w:val="none" w:sz="0" w:space="0" w:color="auto"/>
        <w:right w:val="none" w:sz="0" w:space="0" w:color="auto"/>
      </w:divBdr>
    </w:div>
    <w:div w:id="34472318">
      <w:bodyDiv w:val="1"/>
      <w:marLeft w:val="0"/>
      <w:marRight w:val="0"/>
      <w:marTop w:val="0"/>
      <w:marBottom w:val="0"/>
      <w:divBdr>
        <w:top w:val="none" w:sz="0" w:space="0" w:color="auto"/>
        <w:left w:val="none" w:sz="0" w:space="0" w:color="auto"/>
        <w:bottom w:val="none" w:sz="0" w:space="0" w:color="auto"/>
        <w:right w:val="none" w:sz="0" w:space="0" w:color="auto"/>
      </w:divBdr>
    </w:div>
    <w:div w:id="34474323">
      <w:bodyDiv w:val="1"/>
      <w:marLeft w:val="0"/>
      <w:marRight w:val="0"/>
      <w:marTop w:val="0"/>
      <w:marBottom w:val="0"/>
      <w:divBdr>
        <w:top w:val="none" w:sz="0" w:space="0" w:color="auto"/>
        <w:left w:val="none" w:sz="0" w:space="0" w:color="auto"/>
        <w:bottom w:val="none" w:sz="0" w:space="0" w:color="auto"/>
        <w:right w:val="none" w:sz="0" w:space="0" w:color="auto"/>
      </w:divBdr>
    </w:div>
    <w:div w:id="34548712">
      <w:bodyDiv w:val="1"/>
      <w:marLeft w:val="0"/>
      <w:marRight w:val="0"/>
      <w:marTop w:val="0"/>
      <w:marBottom w:val="0"/>
      <w:divBdr>
        <w:top w:val="none" w:sz="0" w:space="0" w:color="auto"/>
        <w:left w:val="none" w:sz="0" w:space="0" w:color="auto"/>
        <w:bottom w:val="none" w:sz="0" w:space="0" w:color="auto"/>
        <w:right w:val="none" w:sz="0" w:space="0" w:color="auto"/>
      </w:divBdr>
    </w:div>
    <w:div w:id="34623860">
      <w:bodyDiv w:val="1"/>
      <w:marLeft w:val="0"/>
      <w:marRight w:val="0"/>
      <w:marTop w:val="0"/>
      <w:marBottom w:val="0"/>
      <w:divBdr>
        <w:top w:val="none" w:sz="0" w:space="0" w:color="auto"/>
        <w:left w:val="none" w:sz="0" w:space="0" w:color="auto"/>
        <w:bottom w:val="none" w:sz="0" w:space="0" w:color="auto"/>
        <w:right w:val="none" w:sz="0" w:space="0" w:color="auto"/>
      </w:divBdr>
    </w:div>
    <w:div w:id="34668939">
      <w:bodyDiv w:val="1"/>
      <w:marLeft w:val="0"/>
      <w:marRight w:val="0"/>
      <w:marTop w:val="0"/>
      <w:marBottom w:val="0"/>
      <w:divBdr>
        <w:top w:val="none" w:sz="0" w:space="0" w:color="auto"/>
        <w:left w:val="none" w:sz="0" w:space="0" w:color="auto"/>
        <w:bottom w:val="none" w:sz="0" w:space="0" w:color="auto"/>
        <w:right w:val="none" w:sz="0" w:space="0" w:color="auto"/>
      </w:divBdr>
    </w:div>
    <w:div w:id="34670030">
      <w:bodyDiv w:val="1"/>
      <w:marLeft w:val="0"/>
      <w:marRight w:val="0"/>
      <w:marTop w:val="0"/>
      <w:marBottom w:val="0"/>
      <w:divBdr>
        <w:top w:val="none" w:sz="0" w:space="0" w:color="auto"/>
        <w:left w:val="none" w:sz="0" w:space="0" w:color="auto"/>
        <w:bottom w:val="none" w:sz="0" w:space="0" w:color="auto"/>
        <w:right w:val="none" w:sz="0" w:space="0" w:color="auto"/>
      </w:divBdr>
    </w:div>
    <w:div w:id="34697804">
      <w:bodyDiv w:val="1"/>
      <w:marLeft w:val="0"/>
      <w:marRight w:val="0"/>
      <w:marTop w:val="0"/>
      <w:marBottom w:val="0"/>
      <w:divBdr>
        <w:top w:val="none" w:sz="0" w:space="0" w:color="auto"/>
        <w:left w:val="none" w:sz="0" w:space="0" w:color="auto"/>
        <w:bottom w:val="none" w:sz="0" w:space="0" w:color="auto"/>
        <w:right w:val="none" w:sz="0" w:space="0" w:color="auto"/>
      </w:divBdr>
    </w:div>
    <w:div w:id="34698840">
      <w:bodyDiv w:val="1"/>
      <w:marLeft w:val="0"/>
      <w:marRight w:val="0"/>
      <w:marTop w:val="0"/>
      <w:marBottom w:val="0"/>
      <w:divBdr>
        <w:top w:val="none" w:sz="0" w:space="0" w:color="auto"/>
        <w:left w:val="none" w:sz="0" w:space="0" w:color="auto"/>
        <w:bottom w:val="none" w:sz="0" w:space="0" w:color="auto"/>
        <w:right w:val="none" w:sz="0" w:space="0" w:color="auto"/>
      </w:divBdr>
    </w:div>
    <w:div w:id="34701039">
      <w:bodyDiv w:val="1"/>
      <w:marLeft w:val="0"/>
      <w:marRight w:val="0"/>
      <w:marTop w:val="0"/>
      <w:marBottom w:val="0"/>
      <w:divBdr>
        <w:top w:val="none" w:sz="0" w:space="0" w:color="auto"/>
        <w:left w:val="none" w:sz="0" w:space="0" w:color="auto"/>
        <w:bottom w:val="none" w:sz="0" w:space="0" w:color="auto"/>
        <w:right w:val="none" w:sz="0" w:space="0" w:color="auto"/>
      </w:divBdr>
    </w:div>
    <w:div w:id="34737014">
      <w:bodyDiv w:val="1"/>
      <w:marLeft w:val="0"/>
      <w:marRight w:val="0"/>
      <w:marTop w:val="0"/>
      <w:marBottom w:val="0"/>
      <w:divBdr>
        <w:top w:val="none" w:sz="0" w:space="0" w:color="auto"/>
        <w:left w:val="none" w:sz="0" w:space="0" w:color="auto"/>
        <w:bottom w:val="none" w:sz="0" w:space="0" w:color="auto"/>
        <w:right w:val="none" w:sz="0" w:space="0" w:color="auto"/>
      </w:divBdr>
    </w:div>
    <w:div w:id="34819700">
      <w:bodyDiv w:val="1"/>
      <w:marLeft w:val="0"/>
      <w:marRight w:val="0"/>
      <w:marTop w:val="0"/>
      <w:marBottom w:val="0"/>
      <w:divBdr>
        <w:top w:val="none" w:sz="0" w:space="0" w:color="auto"/>
        <w:left w:val="none" w:sz="0" w:space="0" w:color="auto"/>
        <w:bottom w:val="none" w:sz="0" w:space="0" w:color="auto"/>
        <w:right w:val="none" w:sz="0" w:space="0" w:color="auto"/>
      </w:divBdr>
    </w:div>
    <w:div w:id="34937499">
      <w:bodyDiv w:val="1"/>
      <w:marLeft w:val="0"/>
      <w:marRight w:val="0"/>
      <w:marTop w:val="0"/>
      <w:marBottom w:val="0"/>
      <w:divBdr>
        <w:top w:val="none" w:sz="0" w:space="0" w:color="auto"/>
        <w:left w:val="none" w:sz="0" w:space="0" w:color="auto"/>
        <w:bottom w:val="none" w:sz="0" w:space="0" w:color="auto"/>
        <w:right w:val="none" w:sz="0" w:space="0" w:color="auto"/>
      </w:divBdr>
    </w:div>
    <w:div w:id="35085694">
      <w:bodyDiv w:val="1"/>
      <w:marLeft w:val="0"/>
      <w:marRight w:val="0"/>
      <w:marTop w:val="0"/>
      <w:marBottom w:val="0"/>
      <w:divBdr>
        <w:top w:val="none" w:sz="0" w:space="0" w:color="auto"/>
        <w:left w:val="none" w:sz="0" w:space="0" w:color="auto"/>
        <w:bottom w:val="none" w:sz="0" w:space="0" w:color="auto"/>
        <w:right w:val="none" w:sz="0" w:space="0" w:color="auto"/>
      </w:divBdr>
    </w:div>
    <w:div w:id="35157104">
      <w:bodyDiv w:val="1"/>
      <w:marLeft w:val="0"/>
      <w:marRight w:val="0"/>
      <w:marTop w:val="0"/>
      <w:marBottom w:val="0"/>
      <w:divBdr>
        <w:top w:val="none" w:sz="0" w:space="0" w:color="auto"/>
        <w:left w:val="none" w:sz="0" w:space="0" w:color="auto"/>
        <w:bottom w:val="none" w:sz="0" w:space="0" w:color="auto"/>
        <w:right w:val="none" w:sz="0" w:space="0" w:color="auto"/>
      </w:divBdr>
    </w:div>
    <w:div w:id="35202867">
      <w:bodyDiv w:val="1"/>
      <w:marLeft w:val="0"/>
      <w:marRight w:val="0"/>
      <w:marTop w:val="0"/>
      <w:marBottom w:val="0"/>
      <w:divBdr>
        <w:top w:val="none" w:sz="0" w:space="0" w:color="auto"/>
        <w:left w:val="none" w:sz="0" w:space="0" w:color="auto"/>
        <w:bottom w:val="none" w:sz="0" w:space="0" w:color="auto"/>
        <w:right w:val="none" w:sz="0" w:space="0" w:color="auto"/>
      </w:divBdr>
    </w:div>
    <w:div w:id="35204374">
      <w:bodyDiv w:val="1"/>
      <w:marLeft w:val="0"/>
      <w:marRight w:val="0"/>
      <w:marTop w:val="0"/>
      <w:marBottom w:val="0"/>
      <w:divBdr>
        <w:top w:val="none" w:sz="0" w:space="0" w:color="auto"/>
        <w:left w:val="none" w:sz="0" w:space="0" w:color="auto"/>
        <w:bottom w:val="none" w:sz="0" w:space="0" w:color="auto"/>
        <w:right w:val="none" w:sz="0" w:space="0" w:color="auto"/>
      </w:divBdr>
    </w:div>
    <w:div w:id="35206890">
      <w:bodyDiv w:val="1"/>
      <w:marLeft w:val="0"/>
      <w:marRight w:val="0"/>
      <w:marTop w:val="0"/>
      <w:marBottom w:val="0"/>
      <w:divBdr>
        <w:top w:val="none" w:sz="0" w:space="0" w:color="auto"/>
        <w:left w:val="none" w:sz="0" w:space="0" w:color="auto"/>
        <w:bottom w:val="none" w:sz="0" w:space="0" w:color="auto"/>
        <w:right w:val="none" w:sz="0" w:space="0" w:color="auto"/>
      </w:divBdr>
    </w:div>
    <w:div w:id="35667910">
      <w:bodyDiv w:val="1"/>
      <w:marLeft w:val="0"/>
      <w:marRight w:val="0"/>
      <w:marTop w:val="0"/>
      <w:marBottom w:val="0"/>
      <w:divBdr>
        <w:top w:val="none" w:sz="0" w:space="0" w:color="auto"/>
        <w:left w:val="none" w:sz="0" w:space="0" w:color="auto"/>
        <w:bottom w:val="none" w:sz="0" w:space="0" w:color="auto"/>
        <w:right w:val="none" w:sz="0" w:space="0" w:color="auto"/>
      </w:divBdr>
    </w:div>
    <w:div w:id="35742068">
      <w:bodyDiv w:val="1"/>
      <w:marLeft w:val="0"/>
      <w:marRight w:val="0"/>
      <w:marTop w:val="0"/>
      <w:marBottom w:val="0"/>
      <w:divBdr>
        <w:top w:val="none" w:sz="0" w:space="0" w:color="auto"/>
        <w:left w:val="none" w:sz="0" w:space="0" w:color="auto"/>
        <w:bottom w:val="none" w:sz="0" w:space="0" w:color="auto"/>
        <w:right w:val="none" w:sz="0" w:space="0" w:color="auto"/>
      </w:divBdr>
    </w:div>
    <w:div w:id="35814440">
      <w:bodyDiv w:val="1"/>
      <w:marLeft w:val="0"/>
      <w:marRight w:val="0"/>
      <w:marTop w:val="0"/>
      <w:marBottom w:val="0"/>
      <w:divBdr>
        <w:top w:val="none" w:sz="0" w:space="0" w:color="auto"/>
        <w:left w:val="none" w:sz="0" w:space="0" w:color="auto"/>
        <w:bottom w:val="none" w:sz="0" w:space="0" w:color="auto"/>
        <w:right w:val="none" w:sz="0" w:space="0" w:color="auto"/>
      </w:divBdr>
    </w:div>
    <w:div w:id="35863194">
      <w:bodyDiv w:val="1"/>
      <w:marLeft w:val="0"/>
      <w:marRight w:val="0"/>
      <w:marTop w:val="0"/>
      <w:marBottom w:val="0"/>
      <w:divBdr>
        <w:top w:val="none" w:sz="0" w:space="0" w:color="auto"/>
        <w:left w:val="none" w:sz="0" w:space="0" w:color="auto"/>
        <w:bottom w:val="none" w:sz="0" w:space="0" w:color="auto"/>
        <w:right w:val="none" w:sz="0" w:space="0" w:color="auto"/>
      </w:divBdr>
    </w:div>
    <w:div w:id="36010185">
      <w:bodyDiv w:val="1"/>
      <w:marLeft w:val="0"/>
      <w:marRight w:val="0"/>
      <w:marTop w:val="0"/>
      <w:marBottom w:val="0"/>
      <w:divBdr>
        <w:top w:val="none" w:sz="0" w:space="0" w:color="auto"/>
        <w:left w:val="none" w:sz="0" w:space="0" w:color="auto"/>
        <w:bottom w:val="none" w:sz="0" w:space="0" w:color="auto"/>
        <w:right w:val="none" w:sz="0" w:space="0" w:color="auto"/>
      </w:divBdr>
    </w:div>
    <w:div w:id="36197711">
      <w:bodyDiv w:val="1"/>
      <w:marLeft w:val="0"/>
      <w:marRight w:val="0"/>
      <w:marTop w:val="0"/>
      <w:marBottom w:val="0"/>
      <w:divBdr>
        <w:top w:val="none" w:sz="0" w:space="0" w:color="auto"/>
        <w:left w:val="none" w:sz="0" w:space="0" w:color="auto"/>
        <w:bottom w:val="none" w:sz="0" w:space="0" w:color="auto"/>
        <w:right w:val="none" w:sz="0" w:space="0" w:color="auto"/>
      </w:divBdr>
    </w:div>
    <w:div w:id="36203322">
      <w:bodyDiv w:val="1"/>
      <w:marLeft w:val="0"/>
      <w:marRight w:val="0"/>
      <w:marTop w:val="0"/>
      <w:marBottom w:val="0"/>
      <w:divBdr>
        <w:top w:val="none" w:sz="0" w:space="0" w:color="auto"/>
        <w:left w:val="none" w:sz="0" w:space="0" w:color="auto"/>
        <w:bottom w:val="none" w:sz="0" w:space="0" w:color="auto"/>
        <w:right w:val="none" w:sz="0" w:space="0" w:color="auto"/>
      </w:divBdr>
    </w:div>
    <w:div w:id="36204164">
      <w:bodyDiv w:val="1"/>
      <w:marLeft w:val="0"/>
      <w:marRight w:val="0"/>
      <w:marTop w:val="0"/>
      <w:marBottom w:val="0"/>
      <w:divBdr>
        <w:top w:val="none" w:sz="0" w:space="0" w:color="auto"/>
        <w:left w:val="none" w:sz="0" w:space="0" w:color="auto"/>
        <w:bottom w:val="none" w:sz="0" w:space="0" w:color="auto"/>
        <w:right w:val="none" w:sz="0" w:space="0" w:color="auto"/>
      </w:divBdr>
    </w:div>
    <w:div w:id="36243024">
      <w:bodyDiv w:val="1"/>
      <w:marLeft w:val="0"/>
      <w:marRight w:val="0"/>
      <w:marTop w:val="0"/>
      <w:marBottom w:val="0"/>
      <w:divBdr>
        <w:top w:val="none" w:sz="0" w:space="0" w:color="auto"/>
        <w:left w:val="none" w:sz="0" w:space="0" w:color="auto"/>
        <w:bottom w:val="none" w:sz="0" w:space="0" w:color="auto"/>
        <w:right w:val="none" w:sz="0" w:space="0" w:color="auto"/>
      </w:divBdr>
    </w:div>
    <w:div w:id="36249845">
      <w:bodyDiv w:val="1"/>
      <w:marLeft w:val="0"/>
      <w:marRight w:val="0"/>
      <w:marTop w:val="0"/>
      <w:marBottom w:val="0"/>
      <w:divBdr>
        <w:top w:val="none" w:sz="0" w:space="0" w:color="auto"/>
        <w:left w:val="none" w:sz="0" w:space="0" w:color="auto"/>
        <w:bottom w:val="none" w:sz="0" w:space="0" w:color="auto"/>
        <w:right w:val="none" w:sz="0" w:space="0" w:color="auto"/>
      </w:divBdr>
    </w:div>
    <w:div w:id="36274042">
      <w:bodyDiv w:val="1"/>
      <w:marLeft w:val="0"/>
      <w:marRight w:val="0"/>
      <w:marTop w:val="0"/>
      <w:marBottom w:val="0"/>
      <w:divBdr>
        <w:top w:val="none" w:sz="0" w:space="0" w:color="auto"/>
        <w:left w:val="none" w:sz="0" w:space="0" w:color="auto"/>
        <w:bottom w:val="none" w:sz="0" w:space="0" w:color="auto"/>
        <w:right w:val="none" w:sz="0" w:space="0" w:color="auto"/>
      </w:divBdr>
    </w:div>
    <w:div w:id="36399867">
      <w:bodyDiv w:val="1"/>
      <w:marLeft w:val="0"/>
      <w:marRight w:val="0"/>
      <w:marTop w:val="0"/>
      <w:marBottom w:val="0"/>
      <w:divBdr>
        <w:top w:val="none" w:sz="0" w:space="0" w:color="auto"/>
        <w:left w:val="none" w:sz="0" w:space="0" w:color="auto"/>
        <w:bottom w:val="none" w:sz="0" w:space="0" w:color="auto"/>
        <w:right w:val="none" w:sz="0" w:space="0" w:color="auto"/>
      </w:divBdr>
    </w:div>
    <w:div w:id="36470728">
      <w:bodyDiv w:val="1"/>
      <w:marLeft w:val="0"/>
      <w:marRight w:val="0"/>
      <w:marTop w:val="0"/>
      <w:marBottom w:val="0"/>
      <w:divBdr>
        <w:top w:val="none" w:sz="0" w:space="0" w:color="auto"/>
        <w:left w:val="none" w:sz="0" w:space="0" w:color="auto"/>
        <w:bottom w:val="none" w:sz="0" w:space="0" w:color="auto"/>
        <w:right w:val="none" w:sz="0" w:space="0" w:color="auto"/>
      </w:divBdr>
    </w:div>
    <w:div w:id="36778175">
      <w:bodyDiv w:val="1"/>
      <w:marLeft w:val="0"/>
      <w:marRight w:val="0"/>
      <w:marTop w:val="0"/>
      <w:marBottom w:val="0"/>
      <w:divBdr>
        <w:top w:val="none" w:sz="0" w:space="0" w:color="auto"/>
        <w:left w:val="none" w:sz="0" w:space="0" w:color="auto"/>
        <w:bottom w:val="none" w:sz="0" w:space="0" w:color="auto"/>
        <w:right w:val="none" w:sz="0" w:space="0" w:color="auto"/>
      </w:divBdr>
    </w:div>
    <w:div w:id="36780284">
      <w:bodyDiv w:val="1"/>
      <w:marLeft w:val="0"/>
      <w:marRight w:val="0"/>
      <w:marTop w:val="0"/>
      <w:marBottom w:val="0"/>
      <w:divBdr>
        <w:top w:val="none" w:sz="0" w:space="0" w:color="auto"/>
        <w:left w:val="none" w:sz="0" w:space="0" w:color="auto"/>
        <w:bottom w:val="none" w:sz="0" w:space="0" w:color="auto"/>
        <w:right w:val="none" w:sz="0" w:space="0" w:color="auto"/>
      </w:divBdr>
    </w:div>
    <w:div w:id="36784627">
      <w:bodyDiv w:val="1"/>
      <w:marLeft w:val="0"/>
      <w:marRight w:val="0"/>
      <w:marTop w:val="0"/>
      <w:marBottom w:val="0"/>
      <w:divBdr>
        <w:top w:val="none" w:sz="0" w:space="0" w:color="auto"/>
        <w:left w:val="none" w:sz="0" w:space="0" w:color="auto"/>
        <w:bottom w:val="none" w:sz="0" w:space="0" w:color="auto"/>
        <w:right w:val="none" w:sz="0" w:space="0" w:color="auto"/>
      </w:divBdr>
    </w:div>
    <w:div w:id="36972808">
      <w:bodyDiv w:val="1"/>
      <w:marLeft w:val="0"/>
      <w:marRight w:val="0"/>
      <w:marTop w:val="0"/>
      <w:marBottom w:val="0"/>
      <w:divBdr>
        <w:top w:val="none" w:sz="0" w:space="0" w:color="auto"/>
        <w:left w:val="none" w:sz="0" w:space="0" w:color="auto"/>
        <w:bottom w:val="none" w:sz="0" w:space="0" w:color="auto"/>
        <w:right w:val="none" w:sz="0" w:space="0" w:color="auto"/>
      </w:divBdr>
    </w:div>
    <w:div w:id="36979663">
      <w:bodyDiv w:val="1"/>
      <w:marLeft w:val="0"/>
      <w:marRight w:val="0"/>
      <w:marTop w:val="0"/>
      <w:marBottom w:val="0"/>
      <w:divBdr>
        <w:top w:val="none" w:sz="0" w:space="0" w:color="auto"/>
        <w:left w:val="none" w:sz="0" w:space="0" w:color="auto"/>
        <w:bottom w:val="none" w:sz="0" w:space="0" w:color="auto"/>
        <w:right w:val="none" w:sz="0" w:space="0" w:color="auto"/>
      </w:divBdr>
    </w:div>
    <w:div w:id="37093951">
      <w:bodyDiv w:val="1"/>
      <w:marLeft w:val="0"/>
      <w:marRight w:val="0"/>
      <w:marTop w:val="0"/>
      <w:marBottom w:val="0"/>
      <w:divBdr>
        <w:top w:val="none" w:sz="0" w:space="0" w:color="auto"/>
        <w:left w:val="none" w:sz="0" w:space="0" w:color="auto"/>
        <w:bottom w:val="none" w:sz="0" w:space="0" w:color="auto"/>
        <w:right w:val="none" w:sz="0" w:space="0" w:color="auto"/>
      </w:divBdr>
    </w:div>
    <w:div w:id="37093992">
      <w:bodyDiv w:val="1"/>
      <w:marLeft w:val="0"/>
      <w:marRight w:val="0"/>
      <w:marTop w:val="0"/>
      <w:marBottom w:val="0"/>
      <w:divBdr>
        <w:top w:val="none" w:sz="0" w:space="0" w:color="auto"/>
        <w:left w:val="none" w:sz="0" w:space="0" w:color="auto"/>
        <w:bottom w:val="none" w:sz="0" w:space="0" w:color="auto"/>
        <w:right w:val="none" w:sz="0" w:space="0" w:color="auto"/>
      </w:divBdr>
    </w:div>
    <w:div w:id="37096860">
      <w:bodyDiv w:val="1"/>
      <w:marLeft w:val="0"/>
      <w:marRight w:val="0"/>
      <w:marTop w:val="0"/>
      <w:marBottom w:val="0"/>
      <w:divBdr>
        <w:top w:val="none" w:sz="0" w:space="0" w:color="auto"/>
        <w:left w:val="none" w:sz="0" w:space="0" w:color="auto"/>
        <w:bottom w:val="none" w:sz="0" w:space="0" w:color="auto"/>
        <w:right w:val="none" w:sz="0" w:space="0" w:color="auto"/>
      </w:divBdr>
    </w:div>
    <w:div w:id="37097286">
      <w:bodyDiv w:val="1"/>
      <w:marLeft w:val="0"/>
      <w:marRight w:val="0"/>
      <w:marTop w:val="0"/>
      <w:marBottom w:val="0"/>
      <w:divBdr>
        <w:top w:val="none" w:sz="0" w:space="0" w:color="auto"/>
        <w:left w:val="none" w:sz="0" w:space="0" w:color="auto"/>
        <w:bottom w:val="none" w:sz="0" w:space="0" w:color="auto"/>
        <w:right w:val="none" w:sz="0" w:space="0" w:color="auto"/>
      </w:divBdr>
    </w:div>
    <w:div w:id="37097986">
      <w:bodyDiv w:val="1"/>
      <w:marLeft w:val="0"/>
      <w:marRight w:val="0"/>
      <w:marTop w:val="0"/>
      <w:marBottom w:val="0"/>
      <w:divBdr>
        <w:top w:val="none" w:sz="0" w:space="0" w:color="auto"/>
        <w:left w:val="none" w:sz="0" w:space="0" w:color="auto"/>
        <w:bottom w:val="none" w:sz="0" w:space="0" w:color="auto"/>
        <w:right w:val="none" w:sz="0" w:space="0" w:color="auto"/>
      </w:divBdr>
    </w:div>
    <w:div w:id="37164665">
      <w:bodyDiv w:val="1"/>
      <w:marLeft w:val="0"/>
      <w:marRight w:val="0"/>
      <w:marTop w:val="0"/>
      <w:marBottom w:val="0"/>
      <w:divBdr>
        <w:top w:val="none" w:sz="0" w:space="0" w:color="auto"/>
        <w:left w:val="none" w:sz="0" w:space="0" w:color="auto"/>
        <w:bottom w:val="none" w:sz="0" w:space="0" w:color="auto"/>
        <w:right w:val="none" w:sz="0" w:space="0" w:color="auto"/>
      </w:divBdr>
    </w:div>
    <w:div w:id="37172275">
      <w:bodyDiv w:val="1"/>
      <w:marLeft w:val="0"/>
      <w:marRight w:val="0"/>
      <w:marTop w:val="0"/>
      <w:marBottom w:val="0"/>
      <w:divBdr>
        <w:top w:val="none" w:sz="0" w:space="0" w:color="auto"/>
        <w:left w:val="none" w:sz="0" w:space="0" w:color="auto"/>
        <w:bottom w:val="none" w:sz="0" w:space="0" w:color="auto"/>
        <w:right w:val="none" w:sz="0" w:space="0" w:color="auto"/>
      </w:divBdr>
    </w:div>
    <w:div w:id="37321562">
      <w:bodyDiv w:val="1"/>
      <w:marLeft w:val="0"/>
      <w:marRight w:val="0"/>
      <w:marTop w:val="0"/>
      <w:marBottom w:val="0"/>
      <w:divBdr>
        <w:top w:val="none" w:sz="0" w:space="0" w:color="auto"/>
        <w:left w:val="none" w:sz="0" w:space="0" w:color="auto"/>
        <w:bottom w:val="none" w:sz="0" w:space="0" w:color="auto"/>
        <w:right w:val="none" w:sz="0" w:space="0" w:color="auto"/>
      </w:divBdr>
    </w:div>
    <w:div w:id="37365004">
      <w:bodyDiv w:val="1"/>
      <w:marLeft w:val="0"/>
      <w:marRight w:val="0"/>
      <w:marTop w:val="0"/>
      <w:marBottom w:val="0"/>
      <w:divBdr>
        <w:top w:val="none" w:sz="0" w:space="0" w:color="auto"/>
        <w:left w:val="none" w:sz="0" w:space="0" w:color="auto"/>
        <w:bottom w:val="none" w:sz="0" w:space="0" w:color="auto"/>
        <w:right w:val="none" w:sz="0" w:space="0" w:color="auto"/>
      </w:divBdr>
    </w:div>
    <w:div w:id="37508706">
      <w:bodyDiv w:val="1"/>
      <w:marLeft w:val="0"/>
      <w:marRight w:val="0"/>
      <w:marTop w:val="0"/>
      <w:marBottom w:val="0"/>
      <w:divBdr>
        <w:top w:val="none" w:sz="0" w:space="0" w:color="auto"/>
        <w:left w:val="none" w:sz="0" w:space="0" w:color="auto"/>
        <w:bottom w:val="none" w:sz="0" w:space="0" w:color="auto"/>
        <w:right w:val="none" w:sz="0" w:space="0" w:color="auto"/>
      </w:divBdr>
    </w:div>
    <w:div w:id="37553679">
      <w:bodyDiv w:val="1"/>
      <w:marLeft w:val="0"/>
      <w:marRight w:val="0"/>
      <w:marTop w:val="0"/>
      <w:marBottom w:val="0"/>
      <w:divBdr>
        <w:top w:val="none" w:sz="0" w:space="0" w:color="auto"/>
        <w:left w:val="none" w:sz="0" w:space="0" w:color="auto"/>
        <w:bottom w:val="none" w:sz="0" w:space="0" w:color="auto"/>
        <w:right w:val="none" w:sz="0" w:space="0" w:color="auto"/>
      </w:divBdr>
    </w:div>
    <w:div w:id="37628756">
      <w:bodyDiv w:val="1"/>
      <w:marLeft w:val="0"/>
      <w:marRight w:val="0"/>
      <w:marTop w:val="0"/>
      <w:marBottom w:val="0"/>
      <w:divBdr>
        <w:top w:val="none" w:sz="0" w:space="0" w:color="auto"/>
        <w:left w:val="none" w:sz="0" w:space="0" w:color="auto"/>
        <w:bottom w:val="none" w:sz="0" w:space="0" w:color="auto"/>
        <w:right w:val="none" w:sz="0" w:space="0" w:color="auto"/>
      </w:divBdr>
    </w:div>
    <w:div w:id="37779732">
      <w:bodyDiv w:val="1"/>
      <w:marLeft w:val="0"/>
      <w:marRight w:val="0"/>
      <w:marTop w:val="0"/>
      <w:marBottom w:val="0"/>
      <w:divBdr>
        <w:top w:val="none" w:sz="0" w:space="0" w:color="auto"/>
        <w:left w:val="none" w:sz="0" w:space="0" w:color="auto"/>
        <w:bottom w:val="none" w:sz="0" w:space="0" w:color="auto"/>
        <w:right w:val="none" w:sz="0" w:space="0" w:color="auto"/>
      </w:divBdr>
    </w:div>
    <w:div w:id="38014521">
      <w:bodyDiv w:val="1"/>
      <w:marLeft w:val="0"/>
      <w:marRight w:val="0"/>
      <w:marTop w:val="0"/>
      <w:marBottom w:val="0"/>
      <w:divBdr>
        <w:top w:val="none" w:sz="0" w:space="0" w:color="auto"/>
        <w:left w:val="none" w:sz="0" w:space="0" w:color="auto"/>
        <w:bottom w:val="none" w:sz="0" w:space="0" w:color="auto"/>
        <w:right w:val="none" w:sz="0" w:space="0" w:color="auto"/>
      </w:divBdr>
    </w:div>
    <w:div w:id="38016732">
      <w:bodyDiv w:val="1"/>
      <w:marLeft w:val="0"/>
      <w:marRight w:val="0"/>
      <w:marTop w:val="0"/>
      <w:marBottom w:val="0"/>
      <w:divBdr>
        <w:top w:val="none" w:sz="0" w:space="0" w:color="auto"/>
        <w:left w:val="none" w:sz="0" w:space="0" w:color="auto"/>
        <w:bottom w:val="none" w:sz="0" w:space="0" w:color="auto"/>
        <w:right w:val="none" w:sz="0" w:space="0" w:color="auto"/>
      </w:divBdr>
    </w:div>
    <w:div w:id="38097498">
      <w:bodyDiv w:val="1"/>
      <w:marLeft w:val="0"/>
      <w:marRight w:val="0"/>
      <w:marTop w:val="0"/>
      <w:marBottom w:val="0"/>
      <w:divBdr>
        <w:top w:val="none" w:sz="0" w:space="0" w:color="auto"/>
        <w:left w:val="none" w:sz="0" w:space="0" w:color="auto"/>
        <w:bottom w:val="none" w:sz="0" w:space="0" w:color="auto"/>
        <w:right w:val="none" w:sz="0" w:space="0" w:color="auto"/>
      </w:divBdr>
    </w:div>
    <w:div w:id="38170782">
      <w:bodyDiv w:val="1"/>
      <w:marLeft w:val="0"/>
      <w:marRight w:val="0"/>
      <w:marTop w:val="0"/>
      <w:marBottom w:val="0"/>
      <w:divBdr>
        <w:top w:val="none" w:sz="0" w:space="0" w:color="auto"/>
        <w:left w:val="none" w:sz="0" w:space="0" w:color="auto"/>
        <w:bottom w:val="none" w:sz="0" w:space="0" w:color="auto"/>
        <w:right w:val="none" w:sz="0" w:space="0" w:color="auto"/>
      </w:divBdr>
    </w:div>
    <w:div w:id="38477773">
      <w:bodyDiv w:val="1"/>
      <w:marLeft w:val="0"/>
      <w:marRight w:val="0"/>
      <w:marTop w:val="0"/>
      <w:marBottom w:val="0"/>
      <w:divBdr>
        <w:top w:val="none" w:sz="0" w:space="0" w:color="auto"/>
        <w:left w:val="none" w:sz="0" w:space="0" w:color="auto"/>
        <w:bottom w:val="none" w:sz="0" w:space="0" w:color="auto"/>
        <w:right w:val="none" w:sz="0" w:space="0" w:color="auto"/>
      </w:divBdr>
    </w:div>
    <w:div w:id="38554928">
      <w:bodyDiv w:val="1"/>
      <w:marLeft w:val="0"/>
      <w:marRight w:val="0"/>
      <w:marTop w:val="0"/>
      <w:marBottom w:val="0"/>
      <w:divBdr>
        <w:top w:val="none" w:sz="0" w:space="0" w:color="auto"/>
        <w:left w:val="none" w:sz="0" w:space="0" w:color="auto"/>
        <w:bottom w:val="none" w:sz="0" w:space="0" w:color="auto"/>
        <w:right w:val="none" w:sz="0" w:space="0" w:color="auto"/>
      </w:divBdr>
    </w:div>
    <w:div w:id="38555070">
      <w:bodyDiv w:val="1"/>
      <w:marLeft w:val="0"/>
      <w:marRight w:val="0"/>
      <w:marTop w:val="0"/>
      <w:marBottom w:val="0"/>
      <w:divBdr>
        <w:top w:val="none" w:sz="0" w:space="0" w:color="auto"/>
        <w:left w:val="none" w:sz="0" w:space="0" w:color="auto"/>
        <w:bottom w:val="none" w:sz="0" w:space="0" w:color="auto"/>
        <w:right w:val="none" w:sz="0" w:space="0" w:color="auto"/>
      </w:divBdr>
    </w:div>
    <w:div w:id="38555865">
      <w:bodyDiv w:val="1"/>
      <w:marLeft w:val="0"/>
      <w:marRight w:val="0"/>
      <w:marTop w:val="0"/>
      <w:marBottom w:val="0"/>
      <w:divBdr>
        <w:top w:val="none" w:sz="0" w:space="0" w:color="auto"/>
        <w:left w:val="none" w:sz="0" w:space="0" w:color="auto"/>
        <w:bottom w:val="none" w:sz="0" w:space="0" w:color="auto"/>
        <w:right w:val="none" w:sz="0" w:space="0" w:color="auto"/>
      </w:divBdr>
    </w:div>
    <w:div w:id="38819529">
      <w:bodyDiv w:val="1"/>
      <w:marLeft w:val="0"/>
      <w:marRight w:val="0"/>
      <w:marTop w:val="0"/>
      <w:marBottom w:val="0"/>
      <w:divBdr>
        <w:top w:val="none" w:sz="0" w:space="0" w:color="auto"/>
        <w:left w:val="none" w:sz="0" w:space="0" w:color="auto"/>
        <w:bottom w:val="none" w:sz="0" w:space="0" w:color="auto"/>
        <w:right w:val="none" w:sz="0" w:space="0" w:color="auto"/>
      </w:divBdr>
    </w:div>
    <w:div w:id="38870419">
      <w:bodyDiv w:val="1"/>
      <w:marLeft w:val="0"/>
      <w:marRight w:val="0"/>
      <w:marTop w:val="0"/>
      <w:marBottom w:val="0"/>
      <w:divBdr>
        <w:top w:val="none" w:sz="0" w:space="0" w:color="auto"/>
        <w:left w:val="none" w:sz="0" w:space="0" w:color="auto"/>
        <w:bottom w:val="none" w:sz="0" w:space="0" w:color="auto"/>
        <w:right w:val="none" w:sz="0" w:space="0" w:color="auto"/>
      </w:divBdr>
    </w:div>
    <w:div w:id="38870844">
      <w:bodyDiv w:val="1"/>
      <w:marLeft w:val="0"/>
      <w:marRight w:val="0"/>
      <w:marTop w:val="0"/>
      <w:marBottom w:val="0"/>
      <w:divBdr>
        <w:top w:val="none" w:sz="0" w:space="0" w:color="auto"/>
        <w:left w:val="none" w:sz="0" w:space="0" w:color="auto"/>
        <w:bottom w:val="none" w:sz="0" w:space="0" w:color="auto"/>
        <w:right w:val="none" w:sz="0" w:space="0" w:color="auto"/>
      </w:divBdr>
    </w:div>
    <w:div w:id="38894756">
      <w:bodyDiv w:val="1"/>
      <w:marLeft w:val="0"/>
      <w:marRight w:val="0"/>
      <w:marTop w:val="0"/>
      <w:marBottom w:val="0"/>
      <w:divBdr>
        <w:top w:val="none" w:sz="0" w:space="0" w:color="auto"/>
        <w:left w:val="none" w:sz="0" w:space="0" w:color="auto"/>
        <w:bottom w:val="none" w:sz="0" w:space="0" w:color="auto"/>
        <w:right w:val="none" w:sz="0" w:space="0" w:color="auto"/>
      </w:divBdr>
    </w:div>
    <w:div w:id="39020014">
      <w:bodyDiv w:val="1"/>
      <w:marLeft w:val="0"/>
      <w:marRight w:val="0"/>
      <w:marTop w:val="0"/>
      <w:marBottom w:val="0"/>
      <w:divBdr>
        <w:top w:val="none" w:sz="0" w:space="0" w:color="auto"/>
        <w:left w:val="none" w:sz="0" w:space="0" w:color="auto"/>
        <w:bottom w:val="none" w:sz="0" w:space="0" w:color="auto"/>
        <w:right w:val="none" w:sz="0" w:space="0" w:color="auto"/>
      </w:divBdr>
    </w:div>
    <w:div w:id="39020239">
      <w:bodyDiv w:val="1"/>
      <w:marLeft w:val="0"/>
      <w:marRight w:val="0"/>
      <w:marTop w:val="0"/>
      <w:marBottom w:val="0"/>
      <w:divBdr>
        <w:top w:val="none" w:sz="0" w:space="0" w:color="auto"/>
        <w:left w:val="none" w:sz="0" w:space="0" w:color="auto"/>
        <w:bottom w:val="none" w:sz="0" w:space="0" w:color="auto"/>
        <w:right w:val="none" w:sz="0" w:space="0" w:color="auto"/>
      </w:divBdr>
    </w:div>
    <w:div w:id="39135926">
      <w:bodyDiv w:val="1"/>
      <w:marLeft w:val="0"/>
      <w:marRight w:val="0"/>
      <w:marTop w:val="0"/>
      <w:marBottom w:val="0"/>
      <w:divBdr>
        <w:top w:val="none" w:sz="0" w:space="0" w:color="auto"/>
        <w:left w:val="none" w:sz="0" w:space="0" w:color="auto"/>
        <w:bottom w:val="none" w:sz="0" w:space="0" w:color="auto"/>
        <w:right w:val="none" w:sz="0" w:space="0" w:color="auto"/>
      </w:divBdr>
    </w:div>
    <w:div w:id="39207322">
      <w:bodyDiv w:val="1"/>
      <w:marLeft w:val="0"/>
      <w:marRight w:val="0"/>
      <w:marTop w:val="0"/>
      <w:marBottom w:val="0"/>
      <w:divBdr>
        <w:top w:val="none" w:sz="0" w:space="0" w:color="auto"/>
        <w:left w:val="none" w:sz="0" w:space="0" w:color="auto"/>
        <w:bottom w:val="none" w:sz="0" w:space="0" w:color="auto"/>
        <w:right w:val="none" w:sz="0" w:space="0" w:color="auto"/>
      </w:divBdr>
    </w:div>
    <w:div w:id="39209054">
      <w:bodyDiv w:val="1"/>
      <w:marLeft w:val="0"/>
      <w:marRight w:val="0"/>
      <w:marTop w:val="0"/>
      <w:marBottom w:val="0"/>
      <w:divBdr>
        <w:top w:val="none" w:sz="0" w:space="0" w:color="auto"/>
        <w:left w:val="none" w:sz="0" w:space="0" w:color="auto"/>
        <w:bottom w:val="none" w:sz="0" w:space="0" w:color="auto"/>
        <w:right w:val="none" w:sz="0" w:space="0" w:color="auto"/>
      </w:divBdr>
    </w:div>
    <w:div w:id="39280984">
      <w:bodyDiv w:val="1"/>
      <w:marLeft w:val="0"/>
      <w:marRight w:val="0"/>
      <w:marTop w:val="0"/>
      <w:marBottom w:val="0"/>
      <w:divBdr>
        <w:top w:val="none" w:sz="0" w:space="0" w:color="auto"/>
        <w:left w:val="none" w:sz="0" w:space="0" w:color="auto"/>
        <w:bottom w:val="none" w:sz="0" w:space="0" w:color="auto"/>
        <w:right w:val="none" w:sz="0" w:space="0" w:color="auto"/>
      </w:divBdr>
    </w:div>
    <w:div w:id="39476291">
      <w:bodyDiv w:val="1"/>
      <w:marLeft w:val="0"/>
      <w:marRight w:val="0"/>
      <w:marTop w:val="0"/>
      <w:marBottom w:val="0"/>
      <w:divBdr>
        <w:top w:val="none" w:sz="0" w:space="0" w:color="auto"/>
        <w:left w:val="none" w:sz="0" w:space="0" w:color="auto"/>
        <w:bottom w:val="none" w:sz="0" w:space="0" w:color="auto"/>
        <w:right w:val="none" w:sz="0" w:space="0" w:color="auto"/>
      </w:divBdr>
    </w:div>
    <w:div w:id="39481097">
      <w:bodyDiv w:val="1"/>
      <w:marLeft w:val="0"/>
      <w:marRight w:val="0"/>
      <w:marTop w:val="0"/>
      <w:marBottom w:val="0"/>
      <w:divBdr>
        <w:top w:val="none" w:sz="0" w:space="0" w:color="auto"/>
        <w:left w:val="none" w:sz="0" w:space="0" w:color="auto"/>
        <w:bottom w:val="none" w:sz="0" w:space="0" w:color="auto"/>
        <w:right w:val="none" w:sz="0" w:space="0" w:color="auto"/>
      </w:divBdr>
    </w:div>
    <w:div w:id="39523245">
      <w:bodyDiv w:val="1"/>
      <w:marLeft w:val="0"/>
      <w:marRight w:val="0"/>
      <w:marTop w:val="0"/>
      <w:marBottom w:val="0"/>
      <w:divBdr>
        <w:top w:val="none" w:sz="0" w:space="0" w:color="auto"/>
        <w:left w:val="none" w:sz="0" w:space="0" w:color="auto"/>
        <w:bottom w:val="none" w:sz="0" w:space="0" w:color="auto"/>
        <w:right w:val="none" w:sz="0" w:space="0" w:color="auto"/>
      </w:divBdr>
    </w:div>
    <w:div w:id="39525574">
      <w:bodyDiv w:val="1"/>
      <w:marLeft w:val="0"/>
      <w:marRight w:val="0"/>
      <w:marTop w:val="0"/>
      <w:marBottom w:val="0"/>
      <w:divBdr>
        <w:top w:val="none" w:sz="0" w:space="0" w:color="auto"/>
        <w:left w:val="none" w:sz="0" w:space="0" w:color="auto"/>
        <w:bottom w:val="none" w:sz="0" w:space="0" w:color="auto"/>
        <w:right w:val="none" w:sz="0" w:space="0" w:color="auto"/>
      </w:divBdr>
    </w:div>
    <w:div w:id="39673587">
      <w:bodyDiv w:val="1"/>
      <w:marLeft w:val="0"/>
      <w:marRight w:val="0"/>
      <w:marTop w:val="0"/>
      <w:marBottom w:val="0"/>
      <w:divBdr>
        <w:top w:val="none" w:sz="0" w:space="0" w:color="auto"/>
        <w:left w:val="none" w:sz="0" w:space="0" w:color="auto"/>
        <w:bottom w:val="none" w:sz="0" w:space="0" w:color="auto"/>
        <w:right w:val="none" w:sz="0" w:space="0" w:color="auto"/>
      </w:divBdr>
    </w:div>
    <w:div w:id="39942223">
      <w:bodyDiv w:val="1"/>
      <w:marLeft w:val="0"/>
      <w:marRight w:val="0"/>
      <w:marTop w:val="0"/>
      <w:marBottom w:val="0"/>
      <w:divBdr>
        <w:top w:val="none" w:sz="0" w:space="0" w:color="auto"/>
        <w:left w:val="none" w:sz="0" w:space="0" w:color="auto"/>
        <w:bottom w:val="none" w:sz="0" w:space="0" w:color="auto"/>
        <w:right w:val="none" w:sz="0" w:space="0" w:color="auto"/>
      </w:divBdr>
    </w:div>
    <w:div w:id="39978720">
      <w:bodyDiv w:val="1"/>
      <w:marLeft w:val="0"/>
      <w:marRight w:val="0"/>
      <w:marTop w:val="0"/>
      <w:marBottom w:val="0"/>
      <w:divBdr>
        <w:top w:val="none" w:sz="0" w:space="0" w:color="auto"/>
        <w:left w:val="none" w:sz="0" w:space="0" w:color="auto"/>
        <w:bottom w:val="none" w:sz="0" w:space="0" w:color="auto"/>
        <w:right w:val="none" w:sz="0" w:space="0" w:color="auto"/>
      </w:divBdr>
    </w:div>
    <w:div w:id="39983103">
      <w:bodyDiv w:val="1"/>
      <w:marLeft w:val="0"/>
      <w:marRight w:val="0"/>
      <w:marTop w:val="0"/>
      <w:marBottom w:val="0"/>
      <w:divBdr>
        <w:top w:val="none" w:sz="0" w:space="0" w:color="auto"/>
        <w:left w:val="none" w:sz="0" w:space="0" w:color="auto"/>
        <w:bottom w:val="none" w:sz="0" w:space="0" w:color="auto"/>
        <w:right w:val="none" w:sz="0" w:space="0" w:color="auto"/>
      </w:divBdr>
    </w:div>
    <w:div w:id="40059972">
      <w:bodyDiv w:val="1"/>
      <w:marLeft w:val="0"/>
      <w:marRight w:val="0"/>
      <w:marTop w:val="0"/>
      <w:marBottom w:val="0"/>
      <w:divBdr>
        <w:top w:val="none" w:sz="0" w:space="0" w:color="auto"/>
        <w:left w:val="none" w:sz="0" w:space="0" w:color="auto"/>
        <w:bottom w:val="none" w:sz="0" w:space="0" w:color="auto"/>
        <w:right w:val="none" w:sz="0" w:space="0" w:color="auto"/>
      </w:divBdr>
    </w:div>
    <w:div w:id="40062418">
      <w:bodyDiv w:val="1"/>
      <w:marLeft w:val="0"/>
      <w:marRight w:val="0"/>
      <w:marTop w:val="0"/>
      <w:marBottom w:val="0"/>
      <w:divBdr>
        <w:top w:val="none" w:sz="0" w:space="0" w:color="auto"/>
        <w:left w:val="none" w:sz="0" w:space="0" w:color="auto"/>
        <w:bottom w:val="none" w:sz="0" w:space="0" w:color="auto"/>
        <w:right w:val="none" w:sz="0" w:space="0" w:color="auto"/>
      </w:divBdr>
    </w:div>
    <w:div w:id="40135390">
      <w:bodyDiv w:val="1"/>
      <w:marLeft w:val="0"/>
      <w:marRight w:val="0"/>
      <w:marTop w:val="0"/>
      <w:marBottom w:val="0"/>
      <w:divBdr>
        <w:top w:val="none" w:sz="0" w:space="0" w:color="auto"/>
        <w:left w:val="none" w:sz="0" w:space="0" w:color="auto"/>
        <w:bottom w:val="none" w:sz="0" w:space="0" w:color="auto"/>
        <w:right w:val="none" w:sz="0" w:space="0" w:color="auto"/>
      </w:divBdr>
    </w:div>
    <w:div w:id="40176412">
      <w:bodyDiv w:val="1"/>
      <w:marLeft w:val="0"/>
      <w:marRight w:val="0"/>
      <w:marTop w:val="0"/>
      <w:marBottom w:val="0"/>
      <w:divBdr>
        <w:top w:val="none" w:sz="0" w:space="0" w:color="auto"/>
        <w:left w:val="none" w:sz="0" w:space="0" w:color="auto"/>
        <w:bottom w:val="none" w:sz="0" w:space="0" w:color="auto"/>
        <w:right w:val="none" w:sz="0" w:space="0" w:color="auto"/>
      </w:divBdr>
    </w:div>
    <w:div w:id="40249521">
      <w:bodyDiv w:val="1"/>
      <w:marLeft w:val="0"/>
      <w:marRight w:val="0"/>
      <w:marTop w:val="0"/>
      <w:marBottom w:val="0"/>
      <w:divBdr>
        <w:top w:val="none" w:sz="0" w:space="0" w:color="auto"/>
        <w:left w:val="none" w:sz="0" w:space="0" w:color="auto"/>
        <w:bottom w:val="none" w:sz="0" w:space="0" w:color="auto"/>
        <w:right w:val="none" w:sz="0" w:space="0" w:color="auto"/>
      </w:divBdr>
    </w:div>
    <w:div w:id="40254021">
      <w:bodyDiv w:val="1"/>
      <w:marLeft w:val="0"/>
      <w:marRight w:val="0"/>
      <w:marTop w:val="0"/>
      <w:marBottom w:val="0"/>
      <w:divBdr>
        <w:top w:val="none" w:sz="0" w:space="0" w:color="auto"/>
        <w:left w:val="none" w:sz="0" w:space="0" w:color="auto"/>
        <w:bottom w:val="none" w:sz="0" w:space="0" w:color="auto"/>
        <w:right w:val="none" w:sz="0" w:space="0" w:color="auto"/>
      </w:divBdr>
    </w:div>
    <w:div w:id="40256690">
      <w:bodyDiv w:val="1"/>
      <w:marLeft w:val="0"/>
      <w:marRight w:val="0"/>
      <w:marTop w:val="0"/>
      <w:marBottom w:val="0"/>
      <w:divBdr>
        <w:top w:val="none" w:sz="0" w:space="0" w:color="auto"/>
        <w:left w:val="none" w:sz="0" w:space="0" w:color="auto"/>
        <w:bottom w:val="none" w:sz="0" w:space="0" w:color="auto"/>
        <w:right w:val="none" w:sz="0" w:space="0" w:color="auto"/>
      </w:divBdr>
    </w:div>
    <w:div w:id="40326124">
      <w:bodyDiv w:val="1"/>
      <w:marLeft w:val="0"/>
      <w:marRight w:val="0"/>
      <w:marTop w:val="0"/>
      <w:marBottom w:val="0"/>
      <w:divBdr>
        <w:top w:val="none" w:sz="0" w:space="0" w:color="auto"/>
        <w:left w:val="none" w:sz="0" w:space="0" w:color="auto"/>
        <w:bottom w:val="none" w:sz="0" w:space="0" w:color="auto"/>
        <w:right w:val="none" w:sz="0" w:space="0" w:color="auto"/>
      </w:divBdr>
    </w:div>
    <w:div w:id="40330583">
      <w:bodyDiv w:val="1"/>
      <w:marLeft w:val="0"/>
      <w:marRight w:val="0"/>
      <w:marTop w:val="0"/>
      <w:marBottom w:val="0"/>
      <w:divBdr>
        <w:top w:val="none" w:sz="0" w:space="0" w:color="auto"/>
        <w:left w:val="none" w:sz="0" w:space="0" w:color="auto"/>
        <w:bottom w:val="none" w:sz="0" w:space="0" w:color="auto"/>
        <w:right w:val="none" w:sz="0" w:space="0" w:color="auto"/>
      </w:divBdr>
    </w:div>
    <w:div w:id="40522738">
      <w:bodyDiv w:val="1"/>
      <w:marLeft w:val="0"/>
      <w:marRight w:val="0"/>
      <w:marTop w:val="0"/>
      <w:marBottom w:val="0"/>
      <w:divBdr>
        <w:top w:val="none" w:sz="0" w:space="0" w:color="auto"/>
        <w:left w:val="none" w:sz="0" w:space="0" w:color="auto"/>
        <w:bottom w:val="none" w:sz="0" w:space="0" w:color="auto"/>
        <w:right w:val="none" w:sz="0" w:space="0" w:color="auto"/>
      </w:divBdr>
    </w:div>
    <w:div w:id="40633915">
      <w:bodyDiv w:val="1"/>
      <w:marLeft w:val="0"/>
      <w:marRight w:val="0"/>
      <w:marTop w:val="0"/>
      <w:marBottom w:val="0"/>
      <w:divBdr>
        <w:top w:val="none" w:sz="0" w:space="0" w:color="auto"/>
        <w:left w:val="none" w:sz="0" w:space="0" w:color="auto"/>
        <w:bottom w:val="none" w:sz="0" w:space="0" w:color="auto"/>
        <w:right w:val="none" w:sz="0" w:space="0" w:color="auto"/>
      </w:divBdr>
    </w:div>
    <w:div w:id="40709128">
      <w:bodyDiv w:val="1"/>
      <w:marLeft w:val="0"/>
      <w:marRight w:val="0"/>
      <w:marTop w:val="0"/>
      <w:marBottom w:val="0"/>
      <w:divBdr>
        <w:top w:val="none" w:sz="0" w:space="0" w:color="auto"/>
        <w:left w:val="none" w:sz="0" w:space="0" w:color="auto"/>
        <w:bottom w:val="none" w:sz="0" w:space="0" w:color="auto"/>
        <w:right w:val="none" w:sz="0" w:space="0" w:color="auto"/>
      </w:divBdr>
    </w:div>
    <w:div w:id="40902411">
      <w:bodyDiv w:val="1"/>
      <w:marLeft w:val="0"/>
      <w:marRight w:val="0"/>
      <w:marTop w:val="0"/>
      <w:marBottom w:val="0"/>
      <w:divBdr>
        <w:top w:val="none" w:sz="0" w:space="0" w:color="auto"/>
        <w:left w:val="none" w:sz="0" w:space="0" w:color="auto"/>
        <w:bottom w:val="none" w:sz="0" w:space="0" w:color="auto"/>
        <w:right w:val="none" w:sz="0" w:space="0" w:color="auto"/>
      </w:divBdr>
    </w:div>
    <w:div w:id="40906765">
      <w:bodyDiv w:val="1"/>
      <w:marLeft w:val="0"/>
      <w:marRight w:val="0"/>
      <w:marTop w:val="0"/>
      <w:marBottom w:val="0"/>
      <w:divBdr>
        <w:top w:val="none" w:sz="0" w:space="0" w:color="auto"/>
        <w:left w:val="none" w:sz="0" w:space="0" w:color="auto"/>
        <w:bottom w:val="none" w:sz="0" w:space="0" w:color="auto"/>
        <w:right w:val="none" w:sz="0" w:space="0" w:color="auto"/>
      </w:divBdr>
    </w:div>
    <w:div w:id="40910919">
      <w:bodyDiv w:val="1"/>
      <w:marLeft w:val="0"/>
      <w:marRight w:val="0"/>
      <w:marTop w:val="0"/>
      <w:marBottom w:val="0"/>
      <w:divBdr>
        <w:top w:val="none" w:sz="0" w:space="0" w:color="auto"/>
        <w:left w:val="none" w:sz="0" w:space="0" w:color="auto"/>
        <w:bottom w:val="none" w:sz="0" w:space="0" w:color="auto"/>
        <w:right w:val="none" w:sz="0" w:space="0" w:color="auto"/>
      </w:divBdr>
    </w:div>
    <w:div w:id="40910970">
      <w:bodyDiv w:val="1"/>
      <w:marLeft w:val="0"/>
      <w:marRight w:val="0"/>
      <w:marTop w:val="0"/>
      <w:marBottom w:val="0"/>
      <w:divBdr>
        <w:top w:val="none" w:sz="0" w:space="0" w:color="auto"/>
        <w:left w:val="none" w:sz="0" w:space="0" w:color="auto"/>
        <w:bottom w:val="none" w:sz="0" w:space="0" w:color="auto"/>
        <w:right w:val="none" w:sz="0" w:space="0" w:color="auto"/>
      </w:divBdr>
    </w:div>
    <w:div w:id="41053348">
      <w:bodyDiv w:val="1"/>
      <w:marLeft w:val="0"/>
      <w:marRight w:val="0"/>
      <w:marTop w:val="0"/>
      <w:marBottom w:val="0"/>
      <w:divBdr>
        <w:top w:val="none" w:sz="0" w:space="0" w:color="auto"/>
        <w:left w:val="none" w:sz="0" w:space="0" w:color="auto"/>
        <w:bottom w:val="none" w:sz="0" w:space="0" w:color="auto"/>
        <w:right w:val="none" w:sz="0" w:space="0" w:color="auto"/>
      </w:divBdr>
    </w:div>
    <w:div w:id="41178450">
      <w:bodyDiv w:val="1"/>
      <w:marLeft w:val="0"/>
      <w:marRight w:val="0"/>
      <w:marTop w:val="0"/>
      <w:marBottom w:val="0"/>
      <w:divBdr>
        <w:top w:val="none" w:sz="0" w:space="0" w:color="auto"/>
        <w:left w:val="none" w:sz="0" w:space="0" w:color="auto"/>
        <w:bottom w:val="none" w:sz="0" w:space="0" w:color="auto"/>
        <w:right w:val="none" w:sz="0" w:space="0" w:color="auto"/>
      </w:divBdr>
    </w:div>
    <w:div w:id="41180439">
      <w:bodyDiv w:val="1"/>
      <w:marLeft w:val="0"/>
      <w:marRight w:val="0"/>
      <w:marTop w:val="0"/>
      <w:marBottom w:val="0"/>
      <w:divBdr>
        <w:top w:val="none" w:sz="0" w:space="0" w:color="auto"/>
        <w:left w:val="none" w:sz="0" w:space="0" w:color="auto"/>
        <w:bottom w:val="none" w:sz="0" w:space="0" w:color="auto"/>
        <w:right w:val="none" w:sz="0" w:space="0" w:color="auto"/>
      </w:divBdr>
    </w:div>
    <w:div w:id="41254020">
      <w:bodyDiv w:val="1"/>
      <w:marLeft w:val="0"/>
      <w:marRight w:val="0"/>
      <w:marTop w:val="0"/>
      <w:marBottom w:val="0"/>
      <w:divBdr>
        <w:top w:val="none" w:sz="0" w:space="0" w:color="auto"/>
        <w:left w:val="none" w:sz="0" w:space="0" w:color="auto"/>
        <w:bottom w:val="none" w:sz="0" w:space="0" w:color="auto"/>
        <w:right w:val="none" w:sz="0" w:space="0" w:color="auto"/>
      </w:divBdr>
    </w:div>
    <w:div w:id="41291552">
      <w:bodyDiv w:val="1"/>
      <w:marLeft w:val="0"/>
      <w:marRight w:val="0"/>
      <w:marTop w:val="0"/>
      <w:marBottom w:val="0"/>
      <w:divBdr>
        <w:top w:val="none" w:sz="0" w:space="0" w:color="auto"/>
        <w:left w:val="none" w:sz="0" w:space="0" w:color="auto"/>
        <w:bottom w:val="none" w:sz="0" w:space="0" w:color="auto"/>
        <w:right w:val="none" w:sz="0" w:space="0" w:color="auto"/>
      </w:divBdr>
    </w:div>
    <w:div w:id="41369866">
      <w:bodyDiv w:val="1"/>
      <w:marLeft w:val="0"/>
      <w:marRight w:val="0"/>
      <w:marTop w:val="0"/>
      <w:marBottom w:val="0"/>
      <w:divBdr>
        <w:top w:val="none" w:sz="0" w:space="0" w:color="auto"/>
        <w:left w:val="none" w:sz="0" w:space="0" w:color="auto"/>
        <w:bottom w:val="none" w:sz="0" w:space="0" w:color="auto"/>
        <w:right w:val="none" w:sz="0" w:space="0" w:color="auto"/>
      </w:divBdr>
    </w:div>
    <w:div w:id="41443411">
      <w:bodyDiv w:val="1"/>
      <w:marLeft w:val="0"/>
      <w:marRight w:val="0"/>
      <w:marTop w:val="0"/>
      <w:marBottom w:val="0"/>
      <w:divBdr>
        <w:top w:val="none" w:sz="0" w:space="0" w:color="auto"/>
        <w:left w:val="none" w:sz="0" w:space="0" w:color="auto"/>
        <w:bottom w:val="none" w:sz="0" w:space="0" w:color="auto"/>
        <w:right w:val="none" w:sz="0" w:space="0" w:color="auto"/>
      </w:divBdr>
    </w:div>
    <w:div w:id="41491178">
      <w:bodyDiv w:val="1"/>
      <w:marLeft w:val="0"/>
      <w:marRight w:val="0"/>
      <w:marTop w:val="0"/>
      <w:marBottom w:val="0"/>
      <w:divBdr>
        <w:top w:val="none" w:sz="0" w:space="0" w:color="auto"/>
        <w:left w:val="none" w:sz="0" w:space="0" w:color="auto"/>
        <w:bottom w:val="none" w:sz="0" w:space="0" w:color="auto"/>
        <w:right w:val="none" w:sz="0" w:space="0" w:color="auto"/>
      </w:divBdr>
    </w:div>
    <w:div w:id="41491624">
      <w:bodyDiv w:val="1"/>
      <w:marLeft w:val="0"/>
      <w:marRight w:val="0"/>
      <w:marTop w:val="0"/>
      <w:marBottom w:val="0"/>
      <w:divBdr>
        <w:top w:val="none" w:sz="0" w:space="0" w:color="auto"/>
        <w:left w:val="none" w:sz="0" w:space="0" w:color="auto"/>
        <w:bottom w:val="none" w:sz="0" w:space="0" w:color="auto"/>
        <w:right w:val="none" w:sz="0" w:space="0" w:color="auto"/>
      </w:divBdr>
    </w:div>
    <w:div w:id="41561394">
      <w:bodyDiv w:val="1"/>
      <w:marLeft w:val="0"/>
      <w:marRight w:val="0"/>
      <w:marTop w:val="0"/>
      <w:marBottom w:val="0"/>
      <w:divBdr>
        <w:top w:val="none" w:sz="0" w:space="0" w:color="auto"/>
        <w:left w:val="none" w:sz="0" w:space="0" w:color="auto"/>
        <w:bottom w:val="none" w:sz="0" w:space="0" w:color="auto"/>
        <w:right w:val="none" w:sz="0" w:space="0" w:color="auto"/>
      </w:divBdr>
    </w:div>
    <w:div w:id="41639853">
      <w:bodyDiv w:val="1"/>
      <w:marLeft w:val="0"/>
      <w:marRight w:val="0"/>
      <w:marTop w:val="0"/>
      <w:marBottom w:val="0"/>
      <w:divBdr>
        <w:top w:val="none" w:sz="0" w:space="0" w:color="auto"/>
        <w:left w:val="none" w:sz="0" w:space="0" w:color="auto"/>
        <w:bottom w:val="none" w:sz="0" w:space="0" w:color="auto"/>
        <w:right w:val="none" w:sz="0" w:space="0" w:color="auto"/>
      </w:divBdr>
    </w:div>
    <w:div w:id="41683958">
      <w:bodyDiv w:val="1"/>
      <w:marLeft w:val="0"/>
      <w:marRight w:val="0"/>
      <w:marTop w:val="0"/>
      <w:marBottom w:val="0"/>
      <w:divBdr>
        <w:top w:val="none" w:sz="0" w:space="0" w:color="auto"/>
        <w:left w:val="none" w:sz="0" w:space="0" w:color="auto"/>
        <w:bottom w:val="none" w:sz="0" w:space="0" w:color="auto"/>
        <w:right w:val="none" w:sz="0" w:space="0" w:color="auto"/>
      </w:divBdr>
    </w:div>
    <w:div w:id="41709524">
      <w:bodyDiv w:val="1"/>
      <w:marLeft w:val="0"/>
      <w:marRight w:val="0"/>
      <w:marTop w:val="0"/>
      <w:marBottom w:val="0"/>
      <w:divBdr>
        <w:top w:val="none" w:sz="0" w:space="0" w:color="auto"/>
        <w:left w:val="none" w:sz="0" w:space="0" w:color="auto"/>
        <w:bottom w:val="none" w:sz="0" w:space="0" w:color="auto"/>
        <w:right w:val="none" w:sz="0" w:space="0" w:color="auto"/>
      </w:divBdr>
    </w:div>
    <w:div w:id="41752279">
      <w:bodyDiv w:val="1"/>
      <w:marLeft w:val="0"/>
      <w:marRight w:val="0"/>
      <w:marTop w:val="0"/>
      <w:marBottom w:val="0"/>
      <w:divBdr>
        <w:top w:val="none" w:sz="0" w:space="0" w:color="auto"/>
        <w:left w:val="none" w:sz="0" w:space="0" w:color="auto"/>
        <w:bottom w:val="none" w:sz="0" w:space="0" w:color="auto"/>
        <w:right w:val="none" w:sz="0" w:space="0" w:color="auto"/>
      </w:divBdr>
    </w:div>
    <w:div w:id="41752701">
      <w:bodyDiv w:val="1"/>
      <w:marLeft w:val="0"/>
      <w:marRight w:val="0"/>
      <w:marTop w:val="0"/>
      <w:marBottom w:val="0"/>
      <w:divBdr>
        <w:top w:val="none" w:sz="0" w:space="0" w:color="auto"/>
        <w:left w:val="none" w:sz="0" w:space="0" w:color="auto"/>
        <w:bottom w:val="none" w:sz="0" w:space="0" w:color="auto"/>
        <w:right w:val="none" w:sz="0" w:space="0" w:color="auto"/>
      </w:divBdr>
    </w:div>
    <w:div w:id="41754837">
      <w:bodyDiv w:val="1"/>
      <w:marLeft w:val="0"/>
      <w:marRight w:val="0"/>
      <w:marTop w:val="0"/>
      <w:marBottom w:val="0"/>
      <w:divBdr>
        <w:top w:val="none" w:sz="0" w:space="0" w:color="auto"/>
        <w:left w:val="none" w:sz="0" w:space="0" w:color="auto"/>
        <w:bottom w:val="none" w:sz="0" w:space="0" w:color="auto"/>
        <w:right w:val="none" w:sz="0" w:space="0" w:color="auto"/>
      </w:divBdr>
    </w:div>
    <w:div w:id="41756020">
      <w:bodyDiv w:val="1"/>
      <w:marLeft w:val="0"/>
      <w:marRight w:val="0"/>
      <w:marTop w:val="0"/>
      <w:marBottom w:val="0"/>
      <w:divBdr>
        <w:top w:val="none" w:sz="0" w:space="0" w:color="auto"/>
        <w:left w:val="none" w:sz="0" w:space="0" w:color="auto"/>
        <w:bottom w:val="none" w:sz="0" w:space="0" w:color="auto"/>
        <w:right w:val="none" w:sz="0" w:space="0" w:color="auto"/>
      </w:divBdr>
    </w:div>
    <w:div w:id="41877694">
      <w:bodyDiv w:val="1"/>
      <w:marLeft w:val="0"/>
      <w:marRight w:val="0"/>
      <w:marTop w:val="0"/>
      <w:marBottom w:val="0"/>
      <w:divBdr>
        <w:top w:val="none" w:sz="0" w:space="0" w:color="auto"/>
        <w:left w:val="none" w:sz="0" w:space="0" w:color="auto"/>
        <w:bottom w:val="none" w:sz="0" w:space="0" w:color="auto"/>
        <w:right w:val="none" w:sz="0" w:space="0" w:color="auto"/>
      </w:divBdr>
    </w:div>
    <w:div w:id="41877738">
      <w:bodyDiv w:val="1"/>
      <w:marLeft w:val="0"/>
      <w:marRight w:val="0"/>
      <w:marTop w:val="0"/>
      <w:marBottom w:val="0"/>
      <w:divBdr>
        <w:top w:val="none" w:sz="0" w:space="0" w:color="auto"/>
        <w:left w:val="none" w:sz="0" w:space="0" w:color="auto"/>
        <w:bottom w:val="none" w:sz="0" w:space="0" w:color="auto"/>
        <w:right w:val="none" w:sz="0" w:space="0" w:color="auto"/>
      </w:divBdr>
    </w:div>
    <w:div w:id="41907903">
      <w:bodyDiv w:val="1"/>
      <w:marLeft w:val="0"/>
      <w:marRight w:val="0"/>
      <w:marTop w:val="0"/>
      <w:marBottom w:val="0"/>
      <w:divBdr>
        <w:top w:val="none" w:sz="0" w:space="0" w:color="auto"/>
        <w:left w:val="none" w:sz="0" w:space="0" w:color="auto"/>
        <w:bottom w:val="none" w:sz="0" w:space="0" w:color="auto"/>
        <w:right w:val="none" w:sz="0" w:space="0" w:color="auto"/>
      </w:divBdr>
    </w:div>
    <w:div w:id="41950853">
      <w:bodyDiv w:val="1"/>
      <w:marLeft w:val="0"/>
      <w:marRight w:val="0"/>
      <w:marTop w:val="0"/>
      <w:marBottom w:val="0"/>
      <w:divBdr>
        <w:top w:val="none" w:sz="0" w:space="0" w:color="auto"/>
        <w:left w:val="none" w:sz="0" w:space="0" w:color="auto"/>
        <w:bottom w:val="none" w:sz="0" w:space="0" w:color="auto"/>
        <w:right w:val="none" w:sz="0" w:space="0" w:color="auto"/>
      </w:divBdr>
    </w:div>
    <w:div w:id="42021127">
      <w:bodyDiv w:val="1"/>
      <w:marLeft w:val="0"/>
      <w:marRight w:val="0"/>
      <w:marTop w:val="0"/>
      <w:marBottom w:val="0"/>
      <w:divBdr>
        <w:top w:val="none" w:sz="0" w:space="0" w:color="auto"/>
        <w:left w:val="none" w:sz="0" w:space="0" w:color="auto"/>
        <w:bottom w:val="none" w:sz="0" w:space="0" w:color="auto"/>
        <w:right w:val="none" w:sz="0" w:space="0" w:color="auto"/>
      </w:divBdr>
    </w:div>
    <w:div w:id="42145021">
      <w:bodyDiv w:val="1"/>
      <w:marLeft w:val="0"/>
      <w:marRight w:val="0"/>
      <w:marTop w:val="0"/>
      <w:marBottom w:val="0"/>
      <w:divBdr>
        <w:top w:val="none" w:sz="0" w:space="0" w:color="auto"/>
        <w:left w:val="none" w:sz="0" w:space="0" w:color="auto"/>
        <w:bottom w:val="none" w:sz="0" w:space="0" w:color="auto"/>
        <w:right w:val="none" w:sz="0" w:space="0" w:color="auto"/>
      </w:divBdr>
    </w:div>
    <w:div w:id="42147048">
      <w:bodyDiv w:val="1"/>
      <w:marLeft w:val="0"/>
      <w:marRight w:val="0"/>
      <w:marTop w:val="0"/>
      <w:marBottom w:val="0"/>
      <w:divBdr>
        <w:top w:val="none" w:sz="0" w:space="0" w:color="auto"/>
        <w:left w:val="none" w:sz="0" w:space="0" w:color="auto"/>
        <w:bottom w:val="none" w:sz="0" w:space="0" w:color="auto"/>
        <w:right w:val="none" w:sz="0" w:space="0" w:color="auto"/>
      </w:divBdr>
    </w:div>
    <w:div w:id="42288500">
      <w:bodyDiv w:val="1"/>
      <w:marLeft w:val="0"/>
      <w:marRight w:val="0"/>
      <w:marTop w:val="0"/>
      <w:marBottom w:val="0"/>
      <w:divBdr>
        <w:top w:val="none" w:sz="0" w:space="0" w:color="auto"/>
        <w:left w:val="none" w:sz="0" w:space="0" w:color="auto"/>
        <w:bottom w:val="none" w:sz="0" w:space="0" w:color="auto"/>
        <w:right w:val="none" w:sz="0" w:space="0" w:color="auto"/>
      </w:divBdr>
    </w:div>
    <w:div w:id="42339576">
      <w:bodyDiv w:val="1"/>
      <w:marLeft w:val="0"/>
      <w:marRight w:val="0"/>
      <w:marTop w:val="0"/>
      <w:marBottom w:val="0"/>
      <w:divBdr>
        <w:top w:val="none" w:sz="0" w:space="0" w:color="auto"/>
        <w:left w:val="none" w:sz="0" w:space="0" w:color="auto"/>
        <w:bottom w:val="none" w:sz="0" w:space="0" w:color="auto"/>
        <w:right w:val="none" w:sz="0" w:space="0" w:color="auto"/>
      </w:divBdr>
    </w:div>
    <w:div w:id="42408308">
      <w:bodyDiv w:val="1"/>
      <w:marLeft w:val="0"/>
      <w:marRight w:val="0"/>
      <w:marTop w:val="0"/>
      <w:marBottom w:val="0"/>
      <w:divBdr>
        <w:top w:val="none" w:sz="0" w:space="0" w:color="auto"/>
        <w:left w:val="none" w:sz="0" w:space="0" w:color="auto"/>
        <w:bottom w:val="none" w:sz="0" w:space="0" w:color="auto"/>
        <w:right w:val="none" w:sz="0" w:space="0" w:color="auto"/>
      </w:divBdr>
    </w:div>
    <w:div w:id="42409016">
      <w:bodyDiv w:val="1"/>
      <w:marLeft w:val="0"/>
      <w:marRight w:val="0"/>
      <w:marTop w:val="0"/>
      <w:marBottom w:val="0"/>
      <w:divBdr>
        <w:top w:val="none" w:sz="0" w:space="0" w:color="auto"/>
        <w:left w:val="none" w:sz="0" w:space="0" w:color="auto"/>
        <w:bottom w:val="none" w:sz="0" w:space="0" w:color="auto"/>
        <w:right w:val="none" w:sz="0" w:space="0" w:color="auto"/>
      </w:divBdr>
    </w:div>
    <w:div w:id="42414048">
      <w:bodyDiv w:val="1"/>
      <w:marLeft w:val="0"/>
      <w:marRight w:val="0"/>
      <w:marTop w:val="0"/>
      <w:marBottom w:val="0"/>
      <w:divBdr>
        <w:top w:val="none" w:sz="0" w:space="0" w:color="auto"/>
        <w:left w:val="none" w:sz="0" w:space="0" w:color="auto"/>
        <w:bottom w:val="none" w:sz="0" w:space="0" w:color="auto"/>
        <w:right w:val="none" w:sz="0" w:space="0" w:color="auto"/>
      </w:divBdr>
    </w:div>
    <w:div w:id="42564984">
      <w:bodyDiv w:val="1"/>
      <w:marLeft w:val="0"/>
      <w:marRight w:val="0"/>
      <w:marTop w:val="0"/>
      <w:marBottom w:val="0"/>
      <w:divBdr>
        <w:top w:val="none" w:sz="0" w:space="0" w:color="auto"/>
        <w:left w:val="none" w:sz="0" w:space="0" w:color="auto"/>
        <w:bottom w:val="none" w:sz="0" w:space="0" w:color="auto"/>
        <w:right w:val="none" w:sz="0" w:space="0" w:color="auto"/>
      </w:divBdr>
    </w:div>
    <w:div w:id="42608218">
      <w:bodyDiv w:val="1"/>
      <w:marLeft w:val="0"/>
      <w:marRight w:val="0"/>
      <w:marTop w:val="0"/>
      <w:marBottom w:val="0"/>
      <w:divBdr>
        <w:top w:val="none" w:sz="0" w:space="0" w:color="auto"/>
        <w:left w:val="none" w:sz="0" w:space="0" w:color="auto"/>
        <w:bottom w:val="none" w:sz="0" w:space="0" w:color="auto"/>
        <w:right w:val="none" w:sz="0" w:space="0" w:color="auto"/>
      </w:divBdr>
    </w:div>
    <w:div w:id="42751411">
      <w:bodyDiv w:val="1"/>
      <w:marLeft w:val="0"/>
      <w:marRight w:val="0"/>
      <w:marTop w:val="0"/>
      <w:marBottom w:val="0"/>
      <w:divBdr>
        <w:top w:val="none" w:sz="0" w:space="0" w:color="auto"/>
        <w:left w:val="none" w:sz="0" w:space="0" w:color="auto"/>
        <w:bottom w:val="none" w:sz="0" w:space="0" w:color="auto"/>
        <w:right w:val="none" w:sz="0" w:space="0" w:color="auto"/>
      </w:divBdr>
    </w:div>
    <w:div w:id="42876449">
      <w:bodyDiv w:val="1"/>
      <w:marLeft w:val="0"/>
      <w:marRight w:val="0"/>
      <w:marTop w:val="0"/>
      <w:marBottom w:val="0"/>
      <w:divBdr>
        <w:top w:val="none" w:sz="0" w:space="0" w:color="auto"/>
        <w:left w:val="none" w:sz="0" w:space="0" w:color="auto"/>
        <w:bottom w:val="none" w:sz="0" w:space="0" w:color="auto"/>
        <w:right w:val="none" w:sz="0" w:space="0" w:color="auto"/>
      </w:divBdr>
    </w:div>
    <w:div w:id="43064917">
      <w:bodyDiv w:val="1"/>
      <w:marLeft w:val="0"/>
      <w:marRight w:val="0"/>
      <w:marTop w:val="0"/>
      <w:marBottom w:val="0"/>
      <w:divBdr>
        <w:top w:val="none" w:sz="0" w:space="0" w:color="auto"/>
        <w:left w:val="none" w:sz="0" w:space="0" w:color="auto"/>
        <w:bottom w:val="none" w:sz="0" w:space="0" w:color="auto"/>
        <w:right w:val="none" w:sz="0" w:space="0" w:color="auto"/>
      </w:divBdr>
    </w:div>
    <w:div w:id="43212211">
      <w:bodyDiv w:val="1"/>
      <w:marLeft w:val="0"/>
      <w:marRight w:val="0"/>
      <w:marTop w:val="0"/>
      <w:marBottom w:val="0"/>
      <w:divBdr>
        <w:top w:val="none" w:sz="0" w:space="0" w:color="auto"/>
        <w:left w:val="none" w:sz="0" w:space="0" w:color="auto"/>
        <w:bottom w:val="none" w:sz="0" w:space="0" w:color="auto"/>
        <w:right w:val="none" w:sz="0" w:space="0" w:color="auto"/>
      </w:divBdr>
    </w:div>
    <w:div w:id="43335514">
      <w:bodyDiv w:val="1"/>
      <w:marLeft w:val="0"/>
      <w:marRight w:val="0"/>
      <w:marTop w:val="0"/>
      <w:marBottom w:val="0"/>
      <w:divBdr>
        <w:top w:val="none" w:sz="0" w:space="0" w:color="auto"/>
        <w:left w:val="none" w:sz="0" w:space="0" w:color="auto"/>
        <w:bottom w:val="none" w:sz="0" w:space="0" w:color="auto"/>
        <w:right w:val="none" w:sz="0" w:space="0" w:color="auto"/>
      </w:divBdr>
    </w:div>
    <w:div w:id="43338833">
      <w:bodyDiv w:val="1"/>
      <w:marLeft w:val="0"/>
      <w:marRight w:val="0"/>
      <w:marTop w:val="0"/>
      <w:marBottom w:val="0"/>
      <w:divBdr>
        <w:top w:val="none" w:sz="0" w:space="0" w:color="auto"/>
        <w:left w:val="none" w:sz="0" w:space="0" w:color="auto"/>
        <w:bottom w:val="none" w:sz="0" w:space="0" w:color="auto"/>
        <w:right w:val="none" w:sz="0" w:space="0" w:color="auto"/>
      </w:divBdr>
    </w:div>
    <w:div w:id="43455345">
      <w:bodyDiv w:val="1"/>
      <w:marLeft w:val="0"/>
      <w:marRight w:val="0"/>
      <w:marTop w:val="0"/>
      <w:marBottom w:val="0"/>
      <w:divBdr>
        <w:top w:val="none" w:sz="0" w:space="0" w:color="auto"/>
        <w:left w:val="none" w:sz="0" w:space="0" w:color="auto"/>
        <w:bottom w:val="none" w:sz="0" w:space="0" w:color="auto"/>
        <w:right w:val="none" w:sz="0" w:space="0" w:color="auto"/>
      </w:divBdr>
    </w:div>
    <w:div w:id="43601431">
      <w:bodyDiv w:val="1"/>
      <w:marLeft w:val="0"/>
      <w:marRight w:val="0"/>
      <w:marTop w:val="0"/>
      <w:marBottom w:val="0"/>
      <w:divBdr>
        <w:top w:val="none" w:sz="0" w:space="0" w:color="auto"/>
        <w:left w:val="none" w:sz="0" w:space="0" w:color="auto"/>
        <w:bottom w:val="none" w:sz="0" w:space="0" w:color="auto"/>
        <w:right w:val="none" w:sz="0" w:space="0" w:color="auto"/>
      </w:divBdr>
    </w:div>
    <w:div w:id="43793138">
      <w:bodyDiv w:val="1"/>
      <w:marLeft w:val="0"/>
      <w:marRight w:val="0"/>
      <w:marTop w:val="0"/>
      <w:marBottom w:val="0"/>
      <w:divBdr>
        <w:top w:val="none" w:sz="0" w:space="0" w:color="auto"/>
        <w:left w:val="none" w:sz="0" w:space="0" w:color="auto"/>
        <w:bottom w:val="none" w:sz="0" w:space="0" w:color="auto"/>
        <w:right w:val="none" w:sz="0" w:space="0" w:color="auto"/>
      </w:divBdr>
    </w:div>
    <w:div w:id="43795888">
      <w:bodyDiv w:val="1"/>
      <w:marLeft w:val="0"/>
      <w:marRight w:val="0"/>
      <w:marTop w:val="0"/>
      <w:marBottom w:val="0"/>
      <w:divBdr>
        <w:top w:val="none" w:sz="0" w:space="0" w:color="auto"/>
        <w:left w:val="none" w:sz="0" w:space="0" w:color="auto"/>
        <w:bottom w:val="none" w:sz="0" w:space="0" w:color="auto"/>
        <w:right w:val="none" w:sz="0" w:space="0" w:color="auto"/>
      </w:divBdr>
    </w:div>
    <w:div w:id="43798828">
      <w:bodyDiv w:val="1"/>
      <w:marLeft w:val="0"/>
      <w:marRight w:val="0"/>
      <w:marTop w:val="0"/>
      <w:marBottom w:val="0"/>
      <w:divBdr>
        <w:top w:val="none" w:sz="0" w:space="0" w:color="auto"/>
        <w:left w:val="none" w:sz="0" w:space="0" w:color="auto"/>
        <w:bottom w:val="none" w:sz="0" w:space="0" w:color="auto"/>
        <w:right w:val="none" w:sz="0" w:space="0" w:color="auto"/>
      </w:divBdr>
    </w:div>
    <w:div w:id="43800593">
      <w:bodyDiv w:val="1"/>
      <w:marLeft w:val="0"/>
      <w:marRight w:val="0"/>
      <w:marTop w:val="0"/>
      <w:marBottom w:val="0"/>
      <w:divBdr>
        <w:top w:val="none" w:sz="0" w:space="0" w:color="auto"/>
        <w:left w:val="none" w:sz="0" w:space="0" w:color="auto"/>
        <w:bottom w:val="none" w:sz="0" w:space="0" w:color="auto"/>
        <w:right w:val="none" w:sz="0" w:space="0" w:color="auto"/>
      </w:divBdr>
    </w:div>
    <w:div w:id="43800983">
      <w:bodyDiv w:val="1"/>
      <w:marLeft w:val="0"/>
      <w:marRight w:val="0"/>
      <w:marTop w:val="0"/>
      <w:marBottom w:val="0"/>
      <w:divBdr>
        <w:top w:val="none" w:sz="0" w:space="0" w:color="auto"/>
        <w:left w:val="none" w:sz="0" w:space="0" w:color="auto"/>
        <w:bottom w:val="none" w:sz="0" w:space="0" w:color="auto"/>
        <w:right w:val="none" w:sz="0" w:space="0" w:color="auto"/>
      </w:divBdr>
    </w:div>
    <w:div w:id="43872066">
      <w:bodyDiv w:val="1"/>
      <w:marLeft w:val="0"/>
      <w:marRight w:val="0"/>
      <w:marTop w:val="0"/>
      <w:marBottom w:val="0"/>
      <w:divBdr>
        <w:top w:val="none" w:sz="0" w:space="0" w:color="auto"/>
        <w:left w:val="none" w:sz="0" w:space="0" w:color="auto"/>
        <w:bottom w:val="none" w:sz="0" w:space="0" w:color="auto"/>
        <w:right w:val="none" w:sz="0" w:space="0" w:color="auto"/>
      </w:divBdr>
    </w:div>
    <w:div w:id="43914643">
      <w:bodyDiv w:val="1"/>
      <w:marLeft w:val="0"/>
      <w:marRight w:val="0"/>
      <w:marTop w:val="0"/>
      <w:marBottom w:val="0"/>
      <w:divBdr>
        <w:top w:val="none" w:sz="0" w:space="0" w:color="auto"/>
        <w:left w:val="none" w:sz="0" w:space="0" w:color="auto"/>
        <w:bottom w:val="none" w:sz="0" w:space="0" w:color="auto"/>
        <w:right w:val="none" w:sz="0" w:space="0" w:color="auto"/>
      </w:divBdr>
    </w:div>
    <w:div w:id="43988932">
      <w:bodyDiv w:val="1"/>
      <w:marLeft w:val="0"/>
      <w:marRight w:val="0"/>
      <w:marTop w:val="0"/>
      <w:marBottom w:val="0"/>
      <w:divBdr>
        <w:top w:val="none" w:sz="0" w:space="0" w:color="auto"/>
        <w:left w:val="none" w:sz="0" w:space="0" w:color="auto"/>
        <w:bottom w:val="none" w:sz="0" w:space="0" w:color="auto"/>
        <w:right w:val="none" w:sz="0" w:space="0" w:color="auto"/>
      </w:divBdr>
    </w:div>
    <w:div w:id="44065090">
      <w:bodyDiv w:val="1"/>
      <w:marLeft w:val="0"/>
      <w:marRight w:val="0"/>
      <w:marTop w:val="0"/>
      <w:marBottom w:val="0"/>
      <w:divBdr>
        <w:top w:val="none" w:sz="0" w:space="0" w:color="auto"/>
        <w:left w:val="none" w:sz="0" w:space="0" w:color="auto"/>
        <w:bottom w:val="none" w:sz="0" w:space="0" w:color="auto"/>
        <w:right w:val="none" w:sz="0" w:space="0" w:color="auto"/>
      </w:divBdr>
    </w:div>
    <w:div w:id="44107046">
      <w:bodyDiv w:val="1"/>
      <w:marLeft w:val="0"/>
      <w:marRight w:val="0"/>
      <w:marTop w:val="0"/>
      <w:marBottom w:val="0"/>
      <w:divBdr>
        <w:top w:val="none" w:sz="0" w:space="0" w:color="auto"/>
        <w:left w:val="none" w:sz="0" w:space="0" w:color="auto"/>
        <w:bottom w:val="none" w:sz="0" w:space="0" w:color="auto"/>
        <w:right w:val="none" w:sz="0" w:space="0" w:color="auto"/>
      </w:divBdr>
    </w:div>
    <w:div w:id="44182032">
      <w:bodyDiv w:val="1"/>
      <w:marLeft w:val="0"/>
      <w:marRight w:val="0"/>
      <w:marTop w:val="0"/>
      <w:marBottom w:val="0"/>
      <w:divBdr>
        <w:top w:val="none" w:sz="0" w:space="0" w:color="auto"/>
        <w:left w:val="none" w:sz="0" w:space="0" w:color="auto"/>
        <w:bottom w:val="none" w:sz="0" w:space="0" w:color="auto"/>
        <w:right w:val="none" w:sz="0" w:space="0" w:color="auto"/>
      </w:divBdr>
    </w:div>
    <w:div w:id="44263261">
      <w:bodyDiv w:val="1"/>
      <w:marLeft w:val="0"/>
      <w:marRight w:val="0"/>
      <w:marTop w:val="0"/>
      <w:marBottom w:val="0"/>
      <w:divBdr>
        <w:top w:val="none" w:sz="0" w:space="0" w:color="auto"/>
        <w:left w:val="none" w:sz="0" w:space="0" w:color="auto"/>
        <w:bottom w:val="none" w:sz="0" w:space="0" w:color="auto"/>
        <w:right w:val="none" w:sz="0" w:space="0" w:color="auto"/>
      </w:divBdr>
    </w:div>
    <w:div w:id="44373878">
      <w:bodyDiv w:val="1"/>
      <w:marLeft w:val="0"/>
      <w:marRight w:val="0"/>
      <w:marTop w:val="0"/>
      <w:marBottom w:val="0"/>
      <w:divBdr>
        <w:top w:val="none" w:sz="0" w:space="0" w:color="auto"/>
        <w:left w:val="none" w:sz="0" w:space="0" w:color="auto"/>
        <w:bottom w:val="none" w:sz="0" w:space="0" w:color="auto"/>
        <w:right w:val="none" w:sz="0" w:space="0" w:color="auto"/>
      </w:divBdr>
    </w:div>
    <w:div w:id="44643048">
      <w:bodyDiv w:val="1"/>
      <w:marLeft w:val="0"/>
      <w:marRight w:val="0"/>
      <w:marTop w:val="0"/>
      <w:marBottom w:val="0"/>
      <w:divBdr>
        <w:top w:val="none" w:sz="0" w:space="0" w:color="auto"/>
        <w:left w:val="none" w:sz="0" w:space="0" w:color="auto"/>
        <w:bottom w:val="none" w:sz="0" w:space="0" w:color="auto"/>
        <w:right w:val="none" w:sz="0" w:space="0" w:color="auto"/>
      </w:divBdr>
    </w:div>
    <w:div w:id="44837308">
      <w:bodyDiv w:val="1"/>
      <w:marLeft w:val="0"/>
      <w:marRight w:val="0"/>
      <w:marTop w:val="0"/>
      <w:marBottom w:val="0"/>
      <w:divBdr>
        <w:top w:val="none" w:sz="0" w:space="0" w:color="auto"/>
        <w:left w:val="none" w:sz="0" w:space="0" w:color="auto"/>
        <w:bottom w:val="none" w:sz="0" w:space="0" w:color="auto"/>
        <w:right w:val="none" w:sz="0" w:space="0" w:color="auto"/>
      </w:divBdr>
    </w:div>
    <w:div w:id="44838349">
      <w:bodyDiv w:val="1"/>
      <w:marLeft w:val="0"/>
      <w:marRight w:val="0"/>
      <w:marTop w:val="0"/>
      <w:marBottom w:val="0"/>
      <w:divBdr>
        <w:top w:val="none" w:sz="0" w:space="0" w:color="auto"/>
        <w:left w:val="none" w:sz="0" w:space="0" w:color="auto"/>
        <w:bottom w:val="none" w:sz="0" w:space="0" w:color="auto"/>
        <w:right w:val="none" w:sz="0" w:space="0" w:color="auto"/>
      </w:divBdr>
    </w:div>
    <w:div w:id="44909320">
      <w:bodyDiv w:val="1"/>
      <w:marLeft w:val="0"/>
      <w:marRight w:val="0"/>
      <w:marTop w:val="0"/>
      <w:marBottom w:val="0"/>
      <w:divBdr>
        <w:top w:val="none" w:sz="0" w:space="0" w:color="auto"/>
        <w:left w:val="none" w:sz="0" w:space="0" w:color="auto"/>
        <w:bottom w:val="none" w:sz="0" w:space="0" w:color="auto"/>
        <w:right w:val="none" w:sz="0" w:space="0" w:color="auto"/>
      </w:divBdr>
    </w:div>
    <w:div w:id="44985273">
      <w:bodyDiv w:val="1"/>
      <w:marLeft w:val="0"/>
      <w:marRight w:val="0"/>
      <w:marTop w:val="0"/>
      <w:marBottom w:val="0"/>
      <w:divBdr>
        <w:top w:val="none" w:sz="0" w:space="0" w:color="auto"/>
        <w:left w:val="none" w:sz="0" w:space="0" w:color="auto"/>
        <w:bottom w:val="none" w:sz="0" w:space="0" w:color="auto"/>
        <w:right w:val="none" w:sz="0" w:space="0" w:color="auto"/>
      </w:divBdr>
    </w:div>
    <w:div w:id="45028869">
      <w:bodyDiv w:val="1"/>
      <w:marLeft w:val="0"/>
      <w:marRight w:val="0"/>
      <w:marTop w:val="0"/>
      <w:marBottom w:val="0"/>
      <w:divBdr>
        <w:top w:val="none" w:sz="0" w:space="0" w:color="auto"/>
        <w:left w:val="none" w:sz="0" w:space="0" w:color="auto"/>
        <w:bottom w:val="none" w:sz="0" w:space="0" w:color="auto"/>
        <w:right w:val="none" w:sz="0" w:space="0" w:color="auto"/>
      </w:divBdr>
    </w:div>
    <w:div w:id="45184918">
      <w:bodyDiv w:val="1"/>
      <w:marLeft w:val="0"/>
      <w:marRight w:val="0"/>
      <w:marTop w:val="0"/>
      <w:marBottom w:val="0"/>
      <w:divBdr>
        <w:top w:val="none" w:sz="0" w:space="0" w:color="auto"/>
        <w:left w:val="none" w:sz="0" w:space="0" w:color="auto"/>
        <w:bottom w:val="none" w:sz="0" w:space="0" w:color="auto"/>
        <w:right w:val="none" w:sz="0" w:space="0" w:color="auto"/>
      </w:divBdr>
    </w:div>
    <w:div w:id="45301747">
      <w:bodyDiv w:val="1"/>
      <w:marLeft w:val="0"/>
      <w:marRight w:val="0"/>
      <w:marTop w:val="0"/>
      <w:marBottom w:val="0"/>
      <w:divBdr>
        <w:top w:val="none" w:sz="0" w:space="0" w:color="auto"/>
        <w:left w:val="none" w:sz="0" w:space="0" w:color="auto"/>
        <w:bottom w:val="none" w:sz="0" w:space="0" w:color="auto"/>
        <w:right w:val="none" w:sz="0" w:space="0" w:color="auto"/>
      </w:divBdr>
    </w:div>
    <w:div w:id="45372486">
      <w:bodyDiv w:val="1"/>
      <w:marLeft w:val="0"/>
      <w:marRight w:val="0"/>
      <w:marTop w:val="0"/>
      <w:marBottom w:val="0"/>
      <w:divBdr>
        <w:top w:val="none" w:sz="0" w:space="0" w:color="auto"/>
        <w:left w:val="none" w:sz="0" w:space="0" w:color="auto"/>
        <w:bottom w:val="none" w:sz="0" w:space="0" w:color="auto"/>
        <w:right w:val="none" w:sz="0" w:space="0" w:color="auto"/>
      </w:divBdr>
    </w:div>
    <w:div w:id="45372576">
      <w:bodyDiv w:val="1"/>
      <w:marLeft w:val="0"/>
      <w:marRight w:val="0"/>
      <w:marTop w:val="0"/>
      <w:marBottom w:val="0"/>
      <w:divBdr>
        <w:top w:val="none" w:sz="0" w:space="0" w:color="auto"/>
        <w:left w:val="none" w:sz="0" w:space="0" w:color="auto"/>
        <w:bottom w:val="none" w:sz="0" w:space="0" w:color="auto"/>
        <w:right w:val="none" w:sz="0" w:space="0" w:color="auto"/>
      </w:divBdr>
    </w:div>
    <w:div w:id="45374322">
      <w:bodyDiv w:val="1"/>
      <w:marLeft w:val="0"/>
      <w:marRight w:val="0"/>
      <w:marTop w:val="0"/>
      <w:marBottom w:val="0"/>
      <w:divBdr>
        <w:top w:val="none" w:sz="0" w:space="0" w:color="auto"/>
        <w:left w:val="none" w:sz="0" w:space="0" w:color="auto"/>
        <w:bottom w:val="none" w:sz="0" w:space="0" w:color="auto"/>
        <w:right w:val="none" w:sz="0" w:space="0" w:color="auto"/>
      </w:divBdr>
    </w:div>
    <w:div w:id="45489951">
      <w:bodyDiv w:val="1"/>
      <w:marLeft w:val="0"/>
      <w:marRight w:val="0"/>
      <w:marTop w:val="0"/>
      <w:marBottom w:val="0"/>
      <w:divBdr>
        <w:top w:val="none" w:sz="0" w:space="0" w:color="auto"/>
        <w:left w:val="none" w:sz="0" w:space="0" w:color="auto"/>
        <w:bottom w:val="none" w:sz="0" w:space="0" w:color="auto"/>
        <w:right w:val="none" w:sz="0" w:space="0" w:color="auto"/>
      </w:divBdr>
    </w:div>
    <w:div w:id="45571129">
      <w:bodyDiv w:val="1"/>
      <w:marLeft w:val="0"/>
      <w:marRight w:val="0"/>
      <w:marTop w:val="0"/>
      <w:marBottom w:val="0"/>
      <w:divBdr>
        <w:top w:val="none" w:sz="0" w:space="0" w:color="auto"/>
        <w:left w:val="none" w:sz="0" w:space="0" w:color="auto"/>
        <w:bottom w:val="none" w:sz="0" w:space="0" w:color="auto"/>
        <w:right w:val="none" w:sz="0" w:space="0" w:color="auto"/>
      </w:divBdr>
    </w:div>
    <w:div w:id="45643401">
      <w:bodyDiv w:val="1"/>
      <w:marLeft w:val="0"/>
      <w:marRight w:val="0"/>
      <w:marTop w:val="0"/>
      <w:marBottom w:val="0"/>
      <w:divBdr>
        <w:top w:val="none" w:sz="0" w:space="0" w:color="auto"/>
        <w:left w:val="none" w:sz="0" w:space="0" w:color="auto"/>
        <w:bottom w:val="none" w:sz="0" w:space="0" w:color="auto"/>
        <w:right w:val="none" w:sz="0" w:space="0" w:color="auto"/>
      </w:divBdr>
    </w:div>
    <w:div w:id="45684359">
      <w:bodyDiv w:val="1"/>
      <w:marLeft w:val="0"/>
      <w:marRight w:val="0"/>
      <w:marTop w:val="0"/>
      <w:marBottom w:val="0"/>
      <w:divBdr>
        <w:top w:val="none" w:sz="0" w:space="0" w:color="auto"/>
        <w:left w:val="none" w:sz="0" w:space="0" w:color="auto"/>
        <w:bottom w:val="none" w:sz="0" w:space="0" w:color="auto"/>
        <w:right w:val="none" w:sz="0" w:space="0" w:color="auto"/>
      </w:divBdr>
    </w:div>
    <w:div w:id="45686037">
      <w:bodyDiv w:val="1"/>
      <w:marLeft w:val="0"/>
      <w:marRight w:val="0"/>
      <w:marTop w:val="0"/>
      <w:marBottom w:val="0"/>
      <w:divBdr>
        <w:top w:val="none" w:sz="0" w:space="0" w:color="auto"/>
        <w:left w:val="none" w:sz="0" w:space="0" w:color="auto"/>
        <w:bottom w:val="none" w:sz="0" w:space="0" w:color="auto"/>
        <w:right w:val="none" w:sz="0" w:space="0" w:color="auto"/>
      </w:divBdr>
    </w:div>
    <w:div w:id="45838366">
      <w:bodyDiv w:val="1"/>
      <w:marLeft w:val="0"/>
      <w:marRight w:val="0"/>
      <w:marTop w:val="0"/>
      <w:marBottom w:val="0"/>
      <w:divBdr>
        <w:top w:val="none" w:sz="0" w:space="0" w:color="auto"/>
        <w:left w:val="none" w:sz="0" w:space="0" w:color="auto"/>
        <w:bottom w:val="none" w:sz="0" w:space="0" w:color="auto"/>
        <w:right w:val="none" w:sz="0" w:space="0" w:color="auto"/>
      </w:divBdr>
    </w:div>
    <w:div w:id="45842294">
      <w:bodyDiv w:val="1"/>
      <w:marLeft w:val="0"/>
      <w:marRight w:val="0"/>
      <w:marTop w:val="0"/>
      <w:marBottom w:val="0"/>
      <w:divBdr>
        <w:top w:val="none" w:sz="0" w:space="0" w:color="auto"/>
        <w:left w:val="none" w:sz="0" w:space="0" w:color="auto"/>
        <w:bottom w:val="none" w:sz="0" w:space="0" w:color="auto"/>
        <w:right w:val="none" w:sz="0" w:space="0" w:color="auto"/>
      </w:divBdr>
    </w:div>
    <w:div w:id="45877016">
      <w:bodyDiv w:val="1"/>
      <w:marLeft w:val="0"/>
      <w:marRight w:val="0"/>
      <w:marTop w:val="0"/>
      <w:marBottom w:val="0"/>
      <w:divBdr>
        <w:top w:val="none" w:sz="0" w:space="0" w:color="auto"/>
        <w:left w:val="none" w:sz="0" w:space="0" w:color="auto"/>
        <w:bottom w:val="none" w:sz="0" w:space="0" w:color="auto"/>
        <w:right w:val="none" w:sz="0" w:space="0" w:color="auto"/>
      </w:divBdr>
    </w:div>
    <w:div w:id="45955231">
      <w:bodyDiv w:val="1"/>
      <w:marLeft w:val="0"/>
      <w:marRight w:val="0"/>
      <w:marTop w:val="0"/>
      <w:marBottom w:val="0"/>
      <w:divBdr>
        <w:top w:val="none" w:sz="0" w:space="0" w:color="auto"/>
        <w:left w:val="none" w:sz="0" w:space="0" w:color="auto"/>
        <w:bottom w:val="none" w:sz="0" w:space="0" w:color="auto"/>
        <w:right w:val="none" w:sz="0" w:space="0" w:color="auto"/>
      </w:divBdr>
    </w:div>
    <w:div w:id="46147231">
      <w:bodyDiv w:val="1"/>
      <w:marLeft w:val="0"/>
      <w:marRight w:val="0"/>
      <w:marTop w:val="0"/>
      <w:marBottom w:val="0"/>
      <w:divBdr>
        <w:top w:val="none" w:sz="0" w:space="0" w:color="auto"/>
        <w:left w:val="none" w:sz="0" w:space="0" w:color="auto"/>
        <w:bottom w:val="none" w:sz="0" w:space="0" w:color="auto"/>
        <w:right w:val="none" w:sz="0" w:space="0" w:color="auto"/>
      </w:divBdr>
    </w:div>
    <w:div w:id="46148874">
      <w:bodyDiv w:val="1"/>
      <w:marLeft w:val="0"/>
      <w:marRight w:val="0"/>
      <w:marTop w:val="0"/>
      <w:marBottom w:val="0"/>
      <w:divBdr>
        <w:top w:val="none" w:sz="0" w:space="0" w:color="auto"/>
        <w:left w:val="none" w:sz="0" w:space="0" w:color="auto"/>
        <w:bottom w:val="none" w:sz="0" w:space="0" w:color="auto"/>
        <w:right w:val="none" w:sz="0" w:space="0" w:color="auto"/>
      </w:divBdr>
    </w:div>
    <w:div w:id="46151685">
      <w:bodyDiv w:val="1"/>
      <w:marLeft w:val="0"/>
      <w:marRight w:val="0"/>
      <w:marTop w:val="0"/>
      <w:marBottom w:val="0"/>
      <w:divBdr>
        <w:top w:val="none" w:sz="0" w:space="0" w:color="auto"/>
        <w:left w:val="none" w:sz="0" w:space="0" w:color="auto"/>
        <w:bottom w:val="none" w:sz="0" w:space="0" w:color="auto"/>
        <w:right w:val="none" w:sz="0" w:space="0" w:color="auto"/>
      </w:divBdr>
    </w:div>
    <w:div w:id="46152426">
      <w:bodyDiv w:val="1"/>
      <w:marLeft w:val="0"/>
      <w:marRight w:val="0"/>
      <w:marTop w:val="0"/>
      <w:marBottom w:val="0"/>
      <w:divBdr>
        <w:top w:val="none" w:sz="0" w:space="0" w:color="auto"/>
        <w:left w:val="none" w:sz="0" w:space="0" w:color="auto"/>
        <w:bottom w:val="none" w:sz="0" w:space="0" w:color="auto"/>
        <w:right w:val="none" w:sz="0" w:space="0" w:color="auto"/>
      </w:divBdr>
    </w:div>
    <w:div w:id="46221198">
      <w:bodyDiv w:val="1"/>
      <w:marLeft w:val="0"/>
      <w:marRight w:val="0"/>
      <w:marTop w:val="0"/>
      <w:marBottom w:val="0"/>
      <w:divBdr>
        <w:top w:val="none" w:sz="0" w:space="0" w:color="auto"/>
        <w:left w:val="none" w:sz="0" w:space="0" w:color="auto"/>
        <w:bottom w:val="none" w:sz="0" w:space="0" w:color="auto"/>
        <w:right w:val="none" w:sz="0" w:space="0" w:color="auto"/>
      </w:divBdr>
    </w:div>
    <w:div w:id="46270385">
      <w:bodyDiv w:val="1"/>
      <w:marLeft w:val="0"/>
      <w:marRight w:val="0"/>
      <w:marTop w:val="0"/>
      <w:marBottom w:val="0"/>
      <w:divBdr>
        <w:top w:val="none" w:sz="0" w:space="0" w:color="auto"/>
        <w:left w:val="none" w:sz="0" w:space="0" w:color="auto"/>
        <w:bottom w:val="none" w:sz="0" w:space="0" w:color="auto"/>
        <w:right w:val="none" w:sz="0" w:space="0" w:color="auto"/>
      </w:divBdr>
    </w:div>
    <w:div w:id="46299431">
      <w:bodyDiv w:val="1"/>
      <w:marLeft w:val="0"/>
      <w:marRight w:val="0"/>
      <w:marTop w:val="0"/>
      <w:marBottom w:val="0"/>
      <w:divBdr>
        <w:top w:val="none" w:sz="0" w:space="0" w:color="auto"/>
        <w:left w:val="none" w:sz="0" w:space="0" w:color="auto"/>
        <w:bottom w:val="none" w:sz="0" w:space="0" w:color="auto"/>
        <w:right w:val="none" w:sz="0" w:space="0" w:color="auto"/>
      </w:divBdr>
    </w:div>
    <w:div w:id="46301174">
      <w:bodyDiv w:val="1"/>
      <w:marLeft w:val="0"/>
      <w:marRight w:val="0"/>
      <w:marTop w:val="0"/>
      <w:marBottom w:val="0"/>
      <w:divBdr>
        <w:top w:val="none" w:sz="0" w:space="0" w:color="auto"/>
        <w:left w:val="none" w:sz="0" w:space="0" w:color="auto"/>
        <w:bottom w:val="none" w:sz="0" w:space="0" w:color="auto"/>
        <w:right w:val="none" w:sz="0" w:space="0" w:color="auto"/>
      </w:divBdr>
    </w:div>
    <w:div w:id="46342153">
      <w:bodyDiv w:val="1"/>
      <w:marLeft w:val="0"/>
      <w:marRight w:val="0"/>
      <w:marTop w:val="0"/>
      <w:marBottom w:val="0"/>
      <w:divBdr>
        <w:top w:val="none" w:sz="0" w:space="0" w:color="auto"/>
        <w:left w:val="none" w:sz="0" w:space="0" w:color="auto"/>
        <w:bottom w:val="none" w:sz="0" w:space="0" w:color="auto"/>
        <w:right w:val="none" w:sz="0" w:space="0" w:color="auto"/>
      </w:divBdr>
    </w:div>
    <w:div w:id="46413429">
      <w:bodyDiv w:val="1"/>
      <w:marLeft w:val="0"/>
      <w:marRight w:val="0"/>
      <w:marTop w:val="0"/>
      <w:marBottom w:val="0"/>
      <w:divBdr>
        <w:top w:val="none" w:sz="0" w:space="0" w:color="auto"/>
        <w:left w:val="none" w:sz="0" w:space="0" w:color="auto"/>
        <w:bottom w:val="none" w:sz="0" w:space="0" w:color="auto"/>
        <w:right w:val="none" w:sz="0" w:space="0" w:color="auto"/>
      </w:divBdr>
    </w:div>
    <w:div w:id="46807760">
      <w:bodyDiv w:val="1"/>
      <w:marLeft w:val="0"/>
      <w:marRight w:val="0"/>
      <w:marTop w:val="0"/>
      <w:marBottom w:val="0"/>
      <w:divBdr>
        <w:top w:val="none" w:sz="0" w:space="0" w:color="auto"/>
        <w:left w:val="none" w:sz="0" w:space="0" w:color="auto"/>
        <w:bottom w:val="none" w:sz="0" w:space="0" w:color="auto"/>
        <w:right w:val="none" w:sz="0" w:space="0" w:color="auto"/>
      </w:divBdr>
    </w:div>
    <w:div w:id="46998710">
      <w:bodyDiv w:val="1"/>
      <w:marLeft w:val="0"/>
      <w:marRight w:val="0"/>
      <w:marTop w:val="0"/>
      <w:marBottom w:val="0"/>
      <w:divBdr>
        <w:top w:val="none" w:sz="0" w:space="0" w:color="auto"/>
        <w:left w:val="none" w:sz="0" w:space="0" w:color="auto"/>
        <w:bottom w:val="none" w:sz="0" w:space="0" w:color="auto"/>
        <w:right w:val="none" w:sz="0" w:space="0" w:color="auto"/>
      </w:divBdr>
    </w:div>
    <w:div w:id="46999075">
      <w:bodyDiv w:val="1"/>
      <w:marLeft w:val="0"/>
      <w:marRight w:val="0"/>
      <w:marTop w:val="0"/>
      <w:marBottom w:val="0"/>
      <w:divBdr>
        <w:top w:val="none" w:sz="0" w:space="0" w:color="auto"/>
        <w:left w:val="none" w:sz="0" w:space="0" w:color="auto"/>
        <w:bottom w:val="none" w:sz="0" w:space="0" w:color="auto"/>
        <w:right w:val="none" w:sz="0" w:space="0" w:color="auto"/>
      </w:divBdr>
    </w:div>
    <w:div w:id="47068607">
      <w:bodyDiv w:val="1"/>
      <w:marLeft w:val="0"/>
      <w:marRight w:val="0"/>
      <w:marTop w:val="0"/>
      <w:marBottom w:val="0"/>
      <w:divBdr>
        <w:top w:val="none" w:sz="0" w:space="0" w:color="auto"/>
        <w:left w:val="none" w:sz="0" w:space="0" w:color="auto"/>
        <w:bottom w:val="none" w:sz="0" w:space="0" w:color="auto"/>
        <w:right w:val="none" w:sz="0" w:space="0" w:color="auto"/>
      </w:divBdr>
    </w:div>
    <w:div w:id="47069245">
      <w:bodyDiv w:val="1"/>
      <w:marLeft w:val="0"/>
      <w:marRight w:val="0"/>
      <w:marTop w:val="0"/>
      <w:marBottom w:val="0"/>
      <w:divBdr>
        <w:top w:val="none" w:sz="0" w:space="0" w:color="auto"/>
        <w:left w:val="none" w:sz="0" w:space="0" w:color="auto"/>
        <w:bottom w:val="none" w:sz="0" w:space="0" w:color="auto"/>
        <w:right w:val="none" w:sz="0" w:space="0" w:color="auto"/>
      </w:divBdr>
    </w:div>
    <w:div w:id="47076660">
      <w:bodyDiv w:val="1"/>
      <w:marLeft w:val="0"/>
      <w:marRight w:val="0"/>
      <w:marTop w:val="0"/>
      <w:marBottom w:val="0"/>
      <w:divBdr>
        <w:top w:val="none" w:sz="0" w:space="0" w:color="auto"/>
        <w:left w:val="none" w:sz="0" w:space="0" w:color="auto"/>
        <w:bottom w:val="none" w:sz="0" w:space="0" w:color="auto"/>
        <w:right w:val="none" w:sz="0" w:space="0" w:color="auto"/>
      </w:divBdr>
    </w:div>
    <w:div w:id="47077467">
      <w:bodyDiv w:val="1"/>
      <w:marLeft w:val="0"/>
      <w:marRight w:val="0"/>
      <w:marTop w:val="0"/>
      <w:marBottom w:val="0"/>
      <w:divBdr>
        <w:top w:val="none" w:sz="0" w:space="0" w:color="auto"/>
        <w:left w:val="none" w:sz="0" w:space="0" w:color="auto"/>
        <w:bottom w:val="none" w:sz="0" w:space="0" w:color="auto"/>
        <w:right w:val="none" w:sz="0" w:space="0" w:color="auto"/>
      </w:divBdr>
    </w:div>
    <w:div w:id="47456013">
      <w:bodyDiv w:val="1"/>
      <w:marLeft w:val="0"/>
      <w:marRight w:val="0"/>
      <w:marTop w:val="0"/>
      <w:marBottom w:val="0"/>
      <w:divBdr>
        <w:top w:val="none" w:sz="0" w:space="0" w:color="auto"/>
        <w:left w:val="none" w:sz="0" w:space="0" w:color="auto"/>
        <w:bottom w:val="none" w:sz="0" w:space="0" w:color="auto"/>
        <w:right w:val="none" w:sz="0" w:space="0" w:color="auto"/>
      </w:divBdr>
    </w:div>
    <w:div w:id="47460835">
      <w:bodyDiv w:val="1"/>
      <w:marLeft w:val="0"/>
      <w:marRight w:val="0"/>
      <w:marTop w:val="0"/>
      <w:marBottom w:val="0"/>
      <w:divBdr>
        <w:top w:val="none" w:sz="0" w:space="0" w:color="auto"/>
        <w:left w:val="none" w:sz="0" w:space="0" w:color="auto"/>
        <w:bottom w:val="none" w:sz="0" w:space="0" w:color="auto"/>
        <w:right w:val="none" w:sz="0" w:space="0" w:color="auto"/>
      </w:divBdr>
    </w:div>
    <w:div w:id="47531831">
      <w:bodyDiv w:val="1"/>
      <w:marLeft w:val="0"/>
      <w:marRight w:val="0"/>
      <w:marTop w:val="0"/>
      <w:marBottom w:val="0"/>
      <w:divBdr>
        <w:top w:val="none" w:sz="0" w:space="0" w:color="auto"/>
        <w:left w:val="none" w:sz="0" w:space="0" w:color="auto"/>
        <w:bottom w:val="none" w:sz="0" w:space="0" w:color="auto"/>
        <w:right w:val="none" w:sz="0" w:space="0" w:color="auto"/>
      </w:divBdr>
    </w:div>
    <w:div w:id="47533067">
      <w:bodyDiv w:val="1"/>
      <w:marLeft w:val="0"/>
      <w:marRight w:val="0"/>
      <w:marTop w:val="0"/>
      <w:marBottom w:val="0"/>
      <w:divBdr>
        <w:top w:val="none" w:sz="0" w:space="0" w:color="auto"/>
        <w:left w:val="none" w:sz="0" w:space="0" w:color="auto"/>
        <w:bottom w:val="none" w:sz="0" w:space="0" w:color="auto"/>
        <w:right w:val="none" w:sz="0" w:space="0" w:color="auto"/>
      </w:divBdr>
    </w:div>
    <w:div w:id="47608760">
      <w:bodyDiv w:val="1"/>
      <w:marLeft w:val="0"/>
      <w:marRight w:val="0"/>
      <w:marTop w:val="0"/>
      <w:marBottom w:val="0"/>
      <w:divBdr>
        <w:top w:val="none" w:sz="0" w:space="0" w:color="auto"/>
        <w:left w:val="none" w:sz="0" w:space="0" w:color="auto"/>
        <w:bottom w:val="none" w:sz="0" w:space="0" w:color="auto"/>
        <w:right w:val="none" w:sz="0" w:space="0" w:color="auto"/>
      </w:divBdr>
    </w:div>
    <w:div w:id="47653313">
      <w:bodyDiv w:val="1"/>
      <w:marLeft w:val="0"/>
      <w:marRight w:val="0"/>
      <w:marTop w:val="0"/>
      <w:marBottom w:val="0"/>
      <w:divBdr>
        <w:top w:val="none" w:sz="0" w:space="0" w:color="auto"/>
        <w:left w:val="none" w:sz="0" w:space="0" w:color="auto"/>
        <w:bottom w:val="none" w:sz="0" w:space="0" w:color="auto"/>
        <w:right w:val="none" w:sz="0" w:space="0" w:color="auto"/>
      </w:divBdr>
    </w:div>
    <w:div w:id="47732613">
      <w:bodyDiv w:val="1"/>
      <w:marLeft w:val="0"/>
      <w:marRight w:val="0"/>
      <w:marTop w:val="0"/>
      <w:marBottom w:val="0"/>
      <w:divBdr>
        <w:top w:val="none" w:sz="0" w:space="0" w:color="auto"/>
        <w:left w:val="none" w:sz="0" w:space="0" w:color="auto"/>
        <w:bottom w:val="none" w:sz="0" w:space="0" w:color="auto"/>
        <w:right w:val="none" w:sz="0" w:space="0" w:color="auto"/>
      </w:divBdr>
    </w:div>
    <w:div w:id="47842196">
      <w:bodyDiv w:val="1"/>
      <w:marLeft w:val="0"/>
      <w:marRight w:val="0"/>
      <w:marTop w:val="0"/>
      <w:marBottom w:val="0"/>
      <w:divBdr>
        <w:top w:val="none" w:sz="0" w:space="0" w:color="auto"/>
        <w:left w:val="none" w:sz="0" w:space="0" w:color="auto"/>
        <w:bottom w:val="none" w:sz="0" w:space="0" w:color="auto"/>
        <w:right w:val="none" w:sz="0" w:space="0" w:color="auto"/>
      </w:divBdr>
    </w:div>
    <w:div w:id="48001919">
      <w:bodyDiv w:val="1"/>
      <w:marLeft w:val="0"/>
      <w:marRight w:val="0"/>
      <w:marTop w:val="0"/>
      <w:marBottom w:val="0"/>
      <w:divBdr>
        <w:top w:val="none" w:sz="0" w:space="0" w:color="auto"/>
        <w:left w:val="none" w:sz="0" w:space="0" w:color="auto"/>
        <w:bottom w:val="none" w:sz="0" w:space="0" w:color="auto"/>
        <w:right w:val="none" w:sz="0" w:space="0" w:color="auto"/>
      </w:divBdr>
    </w:div>
    <w:div w:id="48185815">
      <w:bodyDiv w:val="1"/>
      <w:marLeft w:val="0"/>
      <w:marRight w:val="0"/>
      <w:marTop w:val="0"/>
      <w:marBottom w:val="0"/>
      <w:divBdr>
        <w:top w:val="none" w:sz="0" w:space="0" w:color="auto"/>
        <w:left w:val="none" w:sz="0" w:space="0" w:color="auto"/>
        <w:bottom w:val="none" w:sz="0" w:space="0" w:color="auto"/>
        <w:right w:val="none" w:sz="0" w:space="0" w:color="auto"/>
      </w:divBdr>
    </w:div>
    <w:div w:id="48303897">
      <w:bodyDiv w:val="1"/>
      <w:marLeft w:val="0"/>
      <w:marRight w:val="0"/>
      <w:marTop w:val="0"/>
      <w:marBottom w:val="0"/>
      <w:divBdr>
        <w:top w:val="none" w:sz="0" w:space="0" w:color="auto"/>
        <w:left w:val="none" w:sz="0" w:space="0" w:color="auto"/>
        <w:bottom w:val="none" w:sz="0" w:space="0" w:color="auto"/>
        <w:right w:val="none" w:sz="0" w:space="0" w:color="auto"/>
      </w:divBdr>
    </w:div>
    <w:div w:id="48305130">
      <w:bodyDiv w:val="1"/>
      <w:marLeft w:val="0"/>
      <w:marRight w:val="0"/>
      <w:marTop w:val="0"/>
      <w:marBottom w:val="0"/>
      <w:divBdr>
        <w:top w:val="none" w:sz="0" w:space="0" w:color="auto"/>
        <w:left w:val="none" w:sz="0" w:space="0" w:color="auto"/>
        <w:bottom w:val="none" w:sz="0" w:space="0" w:color="auto"/>
        <w:right w:val="none" w:sz="0" w:space="0" w:color="auto"/>
      </w:divBdr>
    </w:div>
    <w:div w:id="48379718">
      <w:bodyDiv w:val="1"/>
      <w:marLeft w:val="0"/>
      <w:marRight w:val="0"/>
      <w:marTop w:val="0"/>
      <w:marBottom w:val="0"/>
      <w:divBdr>
        <w:top w:val="none" w:sz="0" w:space="0" w:color="auto"/>
        <w:left w:val="none" w:sz="0" w:space="0" w:color="auto"/>
        <w:bottom w:val="none" w:sz="0" w:space="0" w:color="auto"/>
        <w:right w:val="none" w:sz="0" w:space="0" w:color="auto"/>
      </w:divBdr>
    </w:div>
    <w:div w:id="48380404">
      <w:bodyDiv w:val="1"/>
      <w:marLeft w:val="0"/>
      <w:marRight w:val="0"/>
      <w:marTop w:val="0"/>
      <w:marBottom w:val="0"/>
      <w:divBdr>
        <w:top w:val="none" w:sz="0" w:space="0" w:color="auto"/>
        <w:left w:val="none" w:sz="0" w:space="0" w:color="auto"/>
        <w:bottom w:val="none" w:sz="0" w:space="0" w:color="auto"/>
        <w:right w:val="none" w:sz="0" w:space="0" w:color="auto"/>
      </w:divBdr>
    </w:div>
    <w:div w:id="48386455">
      <w:bodyDiv w:val="1"/>
      <w:marLeft w:val="0"/>
      <w:marRight w:val="0"/>
      <w:marTop w:val="0"/>
      <w:marBottom w:val="0"/>
      <w:divBdr>
        <w:top w:val="none" w:sz="0" w:space="0" w:color="auto"/>
        <w:left w:val="none" w:sz="0" w:space="0" w:color="auto"/>
        <w:bottom w:val="none" w:sz="0" w:space="0" w:color="auto"/>
        <w:right w:val="none" w:sz="0" w:space="0" w:color="auto"/>
      </w:divBdr>
    </w:div>
    <w:div w:id="48503111">
      <w:bodyDiv w:val="1"/>
      <w:marLeft w:val="0"/>
      <w:marRight w:val="0"/>
      <w:marTop w:val="0"/>
      <w:marBottom w:val="0"/>
      <w:divBdr>
        <w:top w:val="none" w:sz="0" w:space="0" w:color="auto"/>
        <w:left w:val="none" w:sz="0" w:space="0" w:color="auto"/>
        <w:bottom w:val="none" w:sz="0" w:space="0" w:color="auto"/>
        <w:right w:val="none" w:sz="0" w:space="0" w:color="auto"/>
      </w:divBdr>
    </w:div>
    <w:div w:id="48505770">
      <w:bodyDiv w:val="1"/>
      <w:marLeft w:val="0"/>
      <w:marRight w:val="0"/>
      <w:marTop w:val="0"/>
      <w:marBottom w:val="0"/>
      <w:divBdr>
        <w:top w:val="none" w:sz="0" w:space="0" w:color="auto"/>
        <w:left w:val="none" w:sz="0" w:space="0" w:color="auto"/>
        <w:bottom w:val="none" w:sz="0" w:space="0" w:color="auto"/>
        <w:right w:val="none" w:sz="0" w:space="0" w:color="auto"/>
      </w:divBdr>
    </w:div>
    <w:div w:id="48579482">
      <w:bodyDiv w:val="1"/>
      <w:marLeft w:val="0"/>
      <w:marRight w:val="0"/>
      <w:marTop w:val="0"/>
      <w:marBottom w:val="0"/>
      <w:divBdr>
        <w:top w:val="none" w:sz="0" w:space="0" w:color="auto"/>
        <w:left w:val="none" w:sz="0" w:space="0" w:color="auto"/>
        <w:bottom w:val="none" w:sz="0" w:space="0" w:color="auto"/>
        <w:right w:val="none" w:sz="0" w:space="0" w:color="auto"/>
      </w:divBdr>
    </w:div>
    <w:div w:id="48649021">
      <w:bodyDiv w:val="1"/>
      <w:marLeft w:val="0"/>
      <w:marRight w:val="0"/>
      <w:marTop w:val="0"/>
      <w:marBottom w:val="0"/>
      <w:divBdr>
        <w:top w:val="none" w:sz="0" w:space="0" w:color="auto"/>
        <w:left w:val="none" w:sz="0" w:space="0" w:color="auto"/>
        <w:bottom w:val="none" w:sz="0" w:space="0" w:color="auto"/>
        <w:right w:val="none" w:sz="0" w:space="0" w:color="auto"/>
      </w:divBdr>
    </w:div>
    <w:div w:id="48649412">
      <w:bodyDiv w:val="1"/>
      <w:marLeft w:val="0"/>
      <w:marRight w:val="0"/>
      <w:marTop w:val="0"/>
      <w:marBottom w:val="0"/>
      <w:divBdr>
        <w:top w:val="none" w:sz="0" w:space="0" w:color="auto"/>
        <w:left w:val="none" w:sz="0" w:space="0" w:color="auto"/>
        <w:bottom w:val="none" w:sz="0" w:space="0" w:color="auto"/>
        <w:right w:val="none" w:sz="0" w:space="0" w:color="auto"/>
      </w:divBdr>
    </w:div>
    <w:div w:id="48695129">
      <w:bodyDiv w:val="1"/>
      <w:marLeft w:val="0"/>
      <w:marRight w:val="0"/>
      <w:marTop w:val="0"/>
      <w:marBottom w:val="0"/>
      <w:divBdr>
        <w:top w:val="none" w:sz="0" w:space="0" w:color="auto"/>
        <w:left w:val="none" w:sz="0" w:space="0" w:color="auto"/>
        <w:bottom w:val="none" w:sz="0" w:space="0" w:color="auto"/>
        <w:right w:val="none" w:sz="0" w:space="0" w:color="auto"/>
      </w:divBdr>
    </w:div>
    <w:div w:id="48765855">
      <w:bodyDiv w:val="1"/>
      <w:marLeft w:val="0"/>
      <w:marRight w:val="0"/>
      <w:marTop w:val="0"/>
      <w:marBottom w:val="0"/>
      <w:divBdr>
        <w:top w:val="none" w:sz="0" w:space="0" w:color="auto"/>
        <w:left w:val="none" w:sz="0" w:space="0" w:color="auto"/>
        <w:bottom w:val="none" w:sz="0" w:space="0" w:color="auto"/>
        <w:right w:val="none" w:sz="0" w:space="0" w:color="auto"/>
      </w:divBdr>
    </w:div>
    <w:div w:id="49034684">
      <w:bodyDiv w:val="1"/>
      <w:marLeft w:val="0"/>
      <w:marRight w:val="0"/>
      <w:marTop w:val="0"/>
      <w:marBottom w:val="0"/>
      <w:divBdr>
        <w:top w:val="none" w:sz="0" w:space="0" w:color="auto"/>
        <w:left w:val="none" w:sz="0" w:space="0" w:color="auto"/>
        <w:bottom w:val="none" w:sz="0" w:space="0" w:color="auto"/>
        <w:right w:val="none" w:sz="0" w:space="0" w:color="auto"/>
      </w:divBdr>
    </w:div>
    <w:div w:id="49110379">
      <w:bodyDiv w:val="1"/>
      <w:marLeft w:val="0"/>
      <w:marRight w:val="0"/>
      <w:marTop w:val="0"/>
      <w:marBottom w:val="0"/>
      <w:divBdr>
        <w:top w:val="none" w:sz="0" w:space="0" w:color="auto"/>
        <w:left w:val="none" w:sz="0" w:space="0" w:color="auto"/>
        <w:bottom w:val="none" w:sz="0" w:space="0" w:color="auto"/>
        <w:right w:val="none" w:sz="0" w:space="0" w:color="auto"/>
      </w:divBdr>
    </w:div>
    <w:div w:id="49111574">
      <w:bodyDiv w:val="1"/>
      <w:marLeft w:val="0"/>
      <w:marRight w:val="0"/>
      <w:marTop w:val="0"/>
      <w:marBottom w:val="0"/>
      <w:divBdr>
        <w:top w:val="none" w:sz="0" w:space="0" w:color="auto"/>
        <w:left w:val="none" w:sz="0" w:space="0" w:color="auto"/>
        <w:bottom w:val="none" w:sz="0" w:space="0" w:color="auto"/>
        <w:right w:val="none" w:sz="0" w:space="0" w:color="auto"/>
      </w:divBdr>
    </w:div>
    <w:div w:id="49158946">
      <w:bodyDiv w:val="1"/>
      <w:marLeft w:val="0"/>
      <w:marRight w:val="0"/>
      <w:marTop w:val="0"/>
      <w:marBottom w:val="0"/>
      <w:divBdr>
        <w:top w:val="none" w:sz="0" w:space="0" w:color="auto"/>
        <w:left w:val="none" w:sz="0" w:space="0" w:color="auto"/>
        <w:bottom w:val="none" w:sz="0" w:space="0" w:color="auto"/>
        <w:right w:val="none" w:sz="0" w:space="0" w:color="auto"/>
      </w:divBdr>
    </w:div>
    <w:div w:id="49227776">
      <w:bodyDiv w:val="1"/>
      <w:marLeft w:val="0"/>
      <w:marRight w:val="0"/>
      <w:marTop w:val="0"/>
      <w:marBottom w:val="0"/>
      <w:divBdr>
        <w:top w:val="none" w:sz="0" w:space="0" w:color="auto"/>
        <w:left w:val="none" w:sz="0" w:space="0" w:color="auto"/>
        <w:bottom w:val="none" w:sz="0" w:space="0" w:color="auto"/>
        <w:right w:val="none" w:sz="0" w:space="0" w:color="auto"/>
      </w:divBdr>
    </w:div>
    <w:div w:id="49305654">
      <w:bodyDiv w:val="1"/>
      <w:marLeft w:val="0"/>
      <w:marRight w:val="0"/>
      <w:marTop w:val="0"/>
      <w:marBottom w:val="0"/>
      <w:divBdr>
        <w:top w:val="none" w:sz="0" w:space="0" w:color="auto"/>
        <w:left w:val="none" w:sz="0" w:space="0" w:color="auto"/>
        <w:bottom w:val="none" w:sz="0" w:space="0" w:color="auto"/>
        <w:right w:val="none" w:sz="0" w:space="0" w:color="auto"/>
      </w:divBdr>
    </w:div>
    <w:div w:id="49305956">
      <w:bodyDiv w:val="1"/>
      <w:marLeft w:val="0"/>
      <w:marRight w:val="0"/>
      <w:marTop w:val="0"/>
      <w:marBottom w:val="0"/>
      <w:divBdr>
        <w:top w:val="none" w:sz="0" w:space="0" w:color="auto"/>
        <w:left w:val="none" w:sz="0" w:space="0" w:color="auto"/>
        <w:bottom w:val="none" w:sz="0" w:space="0" w:color="auto"/>
        <w:right w:val="none" w:sz="0" w:space="0" w:color="auto"/>
      </w:divBdr>
    </w:div>
    <w:div w:id="49350720">
      <w:bodyDiv w:val="1"/>
      <w:marLeft w:val="0"/>
      <w:marRight w:val="0"/>
      <w:marTop w:val="0"/>
      <w:marBottom w:val="0"/>
      <w:divBdr>
        <w:top w:val="none" w:sz="0" w:space="0" w:color="auto"/>
        <w:left w:val="none" w:sz="0" w:space="0" w:color="auto"/>
        <w:bottom w:val="none" w:sz="0" w:space="0" w:color="auto"/>
        <w:right w:val="none" w:sz="0" w:space="0" w:color="auto"/>
      </w:divBdr>
    </w:div>
    <w:div w:id="49379090">
      <w:bodyDiv w:val="1"/>
      <w:marLeft w:val="0"/>
      <w:marRight w:val="0"/>
      <w:marTop w:val="0"/>
      <w:marBottom w:val="0"/>
      <w:divBdr>
        <w:top w:val="none" w:sz="0" w:space="0" w:color="auto"/>
        <w:left w:val="none" w:sz="0" w:space="0" w:color="auto"/>
        <w:bottom w:val="none" w:sz="0" w:space="0" w:color="auto"/>
        <w:right w:val="none" w:sz="0" w:space="0" w:color="auto"/>
      </w:divBdr>
    </w:div>
    <w:div w:id="49428882">
      <w:bodyDiv w:val="1"/>
      <w:marLeft w:val="0"/>
      <w:marRight w:val="0"/>
      <w:marTop w:val="0"/>
      <w:marBottom w:val="0"/>
      <w:divBdr>
        <w:top w:val="none" w:sz="0" w:space="0" w:color="auto"/>
        <w:left w:val="none" w:sz="0" w:space="0" w:color="auto"/>
        <w:bottom w:val="none" w:sz="0" w:space="0" w:color="auto"/>
        <w:right w:val="none" w:sz="0" w:space="0" w:color="auto"/>
      </w:divBdr>
    </w:div>
    <w:div w:id="49615491">
      <w:bodyDiv w:val="1"/>
      <w:marLeft w:val="0"/>
      <w:marRight w:val="0"/>
      <w:marTop w:val="0"/>
      <w:marBottom w:val="0"/>
      <w:divBdr>
        <w:top w:val="none" w:sz="0" w:space="0" w:color="auto"/>
        <w:left w:val="none" w:sz="0" w:space="0" w:color="auto"/>
        <w:bottom w:val="none" w:sz="0" w:space="0" w:color="auto"/>
        <w:right w:val="none" w:sz="0" w:space="0" w:color="auto"/>
      </w:divBdr>
    </w:div>
    <w:div w:id="49765562">
      <w:bodyDiv w:val="1"/>
      <w:marLeft w:val="0"/>
      <w:marRight w:val="0"/>
      <w:marTop w:val="0"/>
      <w:marBottom w:val="0"/>
      <w:divBdr>
        <w:top w:val="none" w:sz="0" w:space="0" w:color="auto"/>
        <w:left w:val="none" w:sz="0" w:space="0" w:color="auto"/>
        <w:bottom w:val="none" w:sz="0" w:space="0" w:color="auto"/>
        <w:right w:val="none" w:sz="0" w:space="0" w:color="auto"/>
      </w:divBdr>
    </w:div>
    <w:div w:id="49813071">
      <w:bodyDiv w:val="1"/>
      <w:marLeft w:val="0"/>
      <w:marRight w:val="0"/>
      <w:marTop w:val="0"/>
      <w:marBottom w:val="0"/>
      <w:divBdr>
        <w:top w:val="none" w:sz="0" w:space="0" w:color="auto"/>
        <w:left w:val="none" w:sz="0" w:space="0" w:color="auto"/>
        <w:bottom w:val="none" w:sz="0" w:space="0" w:color="auto"/>
        <w:right w:val="none" w:sz="0" w:space="0" w:color="auto"/>
      </w:divBdr>
    </w:div>
    <w:div w:id="49886592">
      <w:bodyDiv w:val="1"/>
      <w:marLeft w:val="0"/>
      <w:marRight w:val="0"/>
      <w:marTop w:val="0"/>
      <w:marBottom w:val="0"/>
      <w:divBdr>
        <w:top w:val="none" w:sz="0" w:space="0" w:color="auto"/>
        <w:left w:val="none" w:sz="0" w:space="0" w:color="auto"/>
        <w:bottom w:val="none" w:sz="0" w:space="0" w:color="auto"/>
        <w:right w:val="none" w:sz="0" w:space="0" w:color="auto"/>
      </w:divBdr>
    </w:div>
    <w:div w:id="49960282">
      <w:bodyDiv w:val="1"/>
      <w:marLeft w:val="0"/>
      <w:marRight w:val="0"/>
      <w:marTop w:val="0"/>
      <w:marBottom w:val="0"/>
      <w:divBdr>
        <w:top w:val="none" w:sz="0" w:space="0" w:color="auto"/>
        <w:left w:val="none" w:sz="0" w:space="0" w:color="auto"/>
        <w:bottom w:val="none" w:sz="0" w:space="0" w:color="auto"/>
        <w:right w:val="none" w:sz="0" w:space="0" w:color="auto"/>
      </w:divBdr>
    </w:div>
    <w:div w:id="49960311">
      <w:bodyDiv w:val="1"/>
      <w:marLeft w:val="0"/>
      <w:marRight w:val="0"/>
      <w:marTop w:val="0"/>
      <w:marBottom w:val="0"/>
      <w:divBdr>
        <w:top w:val="none" w:sz="0" w:space="0" w:color="auto"/>
        <w:left w:val="none" w:sz="0" w:space="0" w:color="auto"/>
        <w:bottom w:val="none" w:sz="0" w:space="0" w:color="auto"/>
        <w:right w:val="none" w:sz="0" w:space="0" w:color="auto"/>
      </w:divBdr>
    </w:div>
    <w:div w:id="50154271">
      <w:bodyDiv w:val="1"/>
      <w:marLeft w:val="0"/>
      <w:marRight w:val="0"/>
      <w:marTop w:val="0"/>
      <w:marBottom w:val="0"/>
      <w:divBdr>
        <w:top w:val="none" w:sz="0" w:space="0" w:color="auto"/>
        <w:left w:val="none" w:sz="0" w:space="0" w:color="auto"/>
        <w:bottom w:val="none" w:sz="0" w:space="0" w:color="auto"/>
        <w:right w:val="none" w:sz="0" w:space="0" w:color="auto"/>
      </w:divBdr>
    </w:div>
    <w:div w:id="50202411">
      <w:bodyDiv w:val="1"/>
      <w:marLeft w:val="0"/>
      <w:marRight w:val="0"/>
      <w:marTop w:val="0"/>
      <w:marBottom w:val="0"/>
      <w:divBdr>
        <w:top w:val="none" w:sz="0" w:space="0" w:color="auto"/>
        <w:left w:val="none" w:sz="0" w:space="0" w:color="auto"/>
        <w:bottom w:val="none" w:sz="0" w:space="0" w:color="auto"/>
        <w:right w:val="none" w:sz="0" w:space="0" w:color="auto"/>
      </w:divBdr>
    </w:div>
    <w:div w:id="50231794">
      <w:bodyDiv w:val="1"/>
      <w:marLeft w:val="0"/>
      <w:marRight w:val="0"/>
      <w:marTop w:val="0"/>
      <w:marBottom w:val="0"/>
      <w:divBdr>
        <w:top w:val="none" w:sz="0" w:space="0" w:color="auto"/>
        <w:left w:val="none" w:sz="0" w:space="0" w:color="auto"/>
        <w:bottom w:val="none" w:sz="0" w:space="0" w:color="auto"/>
        <w:right w:val="none" w:sz="0" w:space="0" w:color="auto"/>
      </w:divBdr>
    </w:div>
    <w:div w:id="50276502">
      <w:bodyDiv w:val="1"/>
      <w:marLeft w:val="0"/>
      <w:marRight w:val="0"/>
      <w:marTop w:val="0"/>
      <w:marBottom w:val="0"/>
      <w:divBdr>
        <w:top w:val="none" w:sz="0" w:space="0" w:color="auto"/>
        <w:left w:val="none" w:sz="0" w:space="0" w:color="auto"/>
        <w:bottom w:val="none" w:sz="0" w:space="0" w:color="auto"/>
        <w:right w:val="none" w:sz="0" w:space="0" w:color="auto"/>
      </w:divBdr>
    </w:div>
    <w:div w:id="50277745">
      <w:bodyDiv w:val="1"/>
      <w:marLeft w:val="0"/>
      <w:marRight w:val="0"/>
      <w:marTop w:val="0"/>
      <w:marBottom w:val="0"/>
      <w:divBdr>
        <w:top w:val="none" w:sz="0" w:space="0" w:color="auto"/>
        <w:left w:val="none" w:sz="0" w:space="0" w:color="auto"/>
        <w:bottom w:val="none" w:sz="0" w:space="0" w:color="auto"/>
        <w:right w:val="none" w:sz="0" w:space="0" w:color="auto"/>
      </w:divBdr>
    </w:div>
    <w:div w:id="50428856">
      <w:bodyDiv w:val="1"/>
      <w:marLeft w:val="0"/>
      <w:marRight w:val="0"/>
      <w:marTop w:val="0"/>
      <w:marBottom w:val="0"/>
      <w:divBdr>
        <w:top w:val="none" w:sz="0" w:space="0" w:color="auto"/>
        <w:left w:val="none" w:sz="0" w:space="0" w:color="auto"/>
        <w:bottom w:val="none" w:sz="0" w:space="0" w:color="auto"/>
        <w:right w:val="none" w:sz="0" w:space="0" w:color="auto"/>
      </w:divBdr>
    </w:div>
    <w:div w:id="50538603">
      <w:bodyDiv w:val="1"/>
      <w:marLeft w:val="0"/>
      <w:marRight w:val="0"/>
      <w:marTop w:val="0"/>
      <w:marBottom w:val="0"/>
      <w:divBdr>
        <w:top w:val="none" w:sz="0" w:space="0" w:color="auto"/>
        <w:left w:val="none" w:sz="0" w:space="0" w:color="auto"/>
        <w:bottom w:val="none" w:sz="0" w:space="0" w:color="auto"/>
        <w:right w:val="none" w:sz="0" w:space="0" w:color="auto"/>
      </w:divBdr>
    </w:div>
    <w:div w:id="50539129">
      <w:bodyDiv w:val="1"/>
      <w:marLeft w:val="0"/>
      <w:marRight w:val="0"/>
      <w:marTop w:val="0"/>
      <w:marBottom w:val="0"/>
      <w:divBdr>
        <w:top w:val="none" w:sz="0" w:space="0" w:color="auto"/>
        <w:left w:val="none" w:sz="0" w:space="0" w:color="auto"/>
        <w:bottom w:val="none" w:sz="0" w:space="0" w:color="auto"/>
        <w:right w:val="none" w:sz="0" w:space="0" w:color="auto"/>
      </w:divBdr>
    </w:div>
    <w:div w:id="50539476">
      <w:bodyDiv w:val="1"/>
      <w:marLeft w:val="0"/>
      <w:marRight w:val="0"/>
      <w:marTop w:val="0"/>
      <w:marBottom w:val="0"/>
      <w:divBdr>
        <w:top w:val="none" w:sz="0" w:space="0" w:color="auto"/>
        <w:left w:val="none" w:sz="0" w:space="0" w:color="auto"/>
        <w:bottom w:val="none" w:sz="0" w:space="0" w:color="auto"/>
        <w:right w:val="none" w:sz="0" w:space="0" w:color="auto"/>
      </w:divBdr>
    </w:div>
    <w:div w:id="50543752">
      <w:bodyDiv w:val="1"/>
      <w:marLeft w:val="0"/>
      <w:marRight w:val="0"/>
      <w:marTop w:val="0"/>
      <w:marBottom w:val="0"/>
      <w:divBdr>
        <w:top w:val="none" w:sz="0" w:space="0" w:color="auto"/>
        <w:left w:val="none" w:sz="0" w:space="0" w:color="auto"/>
        <w:bottom w:val="none" w:sz="0" w:space="0" w:color="auto"/>
        <w:right w:val="none" w:sz="0" w:space="0" w:color="auto"/>
      </w:divBdr>
    </w:div>
    <w:div w:id="50546760">
      <w:bodyDiv w:val="1"/>
      <w:marLeft w:val="0"/>
      <w:marRight w:val="0"/>
      <w:marTop w:val="0"/>
      <w:marBottom w:val="0"/>
      <w:divBdr>
        <w:top w:val="none" w:sz="0" w:space="0" w:color="auto"/>
        <w:left w:val="none" w:sz="0" w:space="0" w:color="auto"/>
        <w:bottom w:val="none" w:sz="0" w:space="0" w:color="auto"/>
        <w:right w:val="none" w:sz="0" w:space="0" w:color="auto"/>
      </w:divBdr>
    </w:div>
    <w:div w:id="50933412">
      <w:bodyDiv w:val="1"/>
      <w:marLeft w:val="0"/>
      <w:marRight w:val="0"/>
      <w:marTop w:val="0"/>
      <w:marBottom w:val="0"/>
      <w:divBdr>
        <w:top w:val="none" w:sz="0" w:space="0" w:color="auto"/>
        <w:left w:val="none" w:sz="0" w:space="0" w:color="auto"/>
        <w:bottom w:val="none" w:sz="0" w:space="0" w:color="auto"/>
        <w:right w:val="none" w:sz="0" w:space="0" w:color="auto"/>
      </w:divBdr>
    </w:div>
    <w:div w:id="50933892">
      <w:bodyDiv w:val="1"/>
      <w:marLeft w:val="0"/>
      <w:marRight w:val="0"/>
      <w:marTop w:val="0"/>
      <w:marBottom w:val="0"/>
      <w:divBdr>
        <w:top w:val="none" w:sz="0" w:space="0" w:color="auto"/>
        <w:left w:val="none" w:sz="0" w:space="0" w:color="auto"/>
        <w:bottom w:val="none" w:sz="0" w:space="0" w:color="auto"/>
        <w:right w:val="none" w:sz="0" w:space="0" w:color="auto"/>
      </w:divBdr>
    </w:div>
    <w:div w:id="51081393">
      <w:bodyDiv w:val="1"/>
      <w:marLeft w:val="0"/>
      <w:marRight w:val="0"/>
      <w:marTop w:val="0"/>
      <w:marBottom w:val="0"/>
      <w:divBdr>
        <w:top w:val="none" w:sz="0" w:space="0" w:color="auto"/>
        <w:left w:val="none" w:sz="0" w:space="0" w:color="auto"/>
        <w:bottom w:val="none" w:sz="0" w:space="0" w:color="auto"/>
        <w:right w:val="none" w:sz="0" w:space="0" w:color="auto"/>
      </w:divBdr>
    </w:div>
    <w:div w:id="51195440">
      <w:bodyDiv w:val="1"/>
      <w:marLeft w:val="0"/>
      <w:marRight w:val="0"/>
      <w:marTop w:val="0"/>
      <w:marBottom w:val="0"/>
      <w:divBdr>
        <w:top w:val="none" w:sz="0" w:space="0" w:color="auto"/>
        <w:left w:val="none" w:sz="0" w:space="0" w:color="auto"/>
        <w:bottom w:val="none" w:sz="0" w:space="0" w:color="auto"/>
        <w:right w:val="none" w:sz="0" w:space="0" w:color="auto"/>
      </w:divBdr>
    </w:div>
    <w:div w:id="51197950">
      <w:bodyDiv w:val="1"/>
      <w:marLeft w:val="0"/>
      <w:marRight w:val="0"/>
      <w:marTop w:val="0"/>
      <w:marBottom w:val="0"/>
      <w:divBdr>
        <w:top w:val="none" w:sz="0" w:space="0" w:color="auto"/>
        <w:left w:val="none" w:sz="0" w:space="0" w:color="auto"/>
        <w:bottom w:val="none" w:sz="0" w:space="0" w:color="auto"/>
        <w:right w:val="none" w:sz="0" w:space="0" w:color="auto"/>
      </w:divBdr>
    </w:div>
    <w:div w:id="51345749">
      <w:bodyDiv w:val="1"/>
      <w:marLeft w:val="0"/>
      <w:marRight w:val="0"/>
      <w:marTop w:val="0"/>
      <w:marBottom w:val="0"/>
      <w:divBdr>
        <w:top w:val="none" w:sz="0" w:space="0" w:color="auto"/>
        <w:left w:val="none" w:sz="0" w:space="0" w:color="auto"/>
        <w:bottom w:val="none" w:sz="0" w:space="0" w:color="auto"/>
        <w:right w:val="none" w:sz="0" w:space="0" w:color="auto"/>
      </w:divBdr>
    </w:div>
    <w:div w:id="51393463">
      <w:bodyDiv w:val="1"/>
      <w:marLeft w:val="0"/>
      <w:marRight w:val="0"/>
      <w:marTop w:val="0"/>
      <w:marBottom w:val="0"/>
      <w:divBdr>
        <w:top w:val="none" w:sz="0" w:space="0" w:color="auto"/>
        <w:left w:val="none" w:sz="0" w:space="0" w:color="auto"/>
        <w:bottom w:val="none" w:sz="0" w:space="0" w:color="auto"/>
        <w:right w:val="none" w:sz="0" w:space="0" w:color="auto"/>
      </w:divBdr>
    </w:div>
    <w:div w:id="51464720">
      <w:bodyDiv w:val="1"/>
      <w:marLeft w:val="0"/>
      <w:marRight w:val="0"/>
      <w:marTop w:val="0"/>
      <w:marBottom w:val="0"/>
      <w:divBdr>
        <w:top w:val="none" w:sz="0" w:space="0" w:color="auto"/>
        <w:left w:val="none" w:sz="0" w:space="0" w:color="auto"/>
        <w:bottom w:val="none" w:sz="0" w:space="0" w:color="auto"/>
        <w:right w:val="none" w:sz="0" w:space="0" w:color="auto"/>
      </w:divBdr>
    </w:div>
    <w:div w:id="51464994">
      <w:bodyDiv w:val="1"/>
      <w:marLeft w:val="0"/>
      <w:marRight w:val="0"/>
      <w:marTop w:val="0"/>
      <w:marBottom w:val="0"/>
      <w:divBdr>
        <w:top w:val="none" w:sz="0" w:space="0" w:color="auto"/>
        <w:left w:val="none" w:sz="0" w:space="0" w:color="auto"/>
        <w:bottom w:val="none" w:sz="0" w:space="0" w:color="auto"/>
        <w:right w:val="none" w:sz="0" w:space="0" w:color="auto"/>
      </w:divBdr>
    </w:div>
    <w:div w:id="51585206">
      <w:bodyDiv w:val="1"/>
      <w:marLeft w:val="0"/>
      <w:marRight w:val="0"/>
      <w:marTop w:val="0"/>
      <w:marBottom w:val="0"/>
      <w:divBdr>
        <w:top w:val="none" w:sz="0" w:space="0" w:color="auto"/>
        <w:left w:val="none" w:sz="0" w:space="0" w:color="auto"/>
        <w:bottom w:val="none" w:sz="0" w:space="0" w:color="auto"/>
        <w:right w:val="none" w:sz="0" w:space="0" w:color="auto"/>
      </w:divBdr>
    </w:div>
    <w:div w:id="51779461">
      <w:bodyDiv w:val="1"/>
      <w:marLeft w:val="0"/>
      <w:marRight w:val="0"/>
      <w:marTop w:val="0"/>
      <w:marBottom w:val="0"/>
      <w:divBdr>
        <w:top w:val="none" w:sz="0" w:space="0" w:color="auto"/>
        <w:left w:val="none" w:sz="0" w:space="0" w:color="auto"/>
        <w:bottom w:val="none" w:sz="0" w:space="0" w:color="auto"/>
        <w:right w:val="none" w:sz="0" w:space="0" w:color="auto"/>
      </w:divBdr>
    </w:div>
    <w:div w:id="51781742">
      <w:bodyDiv w:val="1"/>
      <w:marLeft w:val="0"/>
      <w:marRight w:val="0"/>
      <w:marTop w:val="0"/>
      <w:marBottom w:val="0"/>
      <w:divBdr>
        <w:top w:val="none" w:sz="0" w:space="0" w:color="auto"/>
        <w:left w:val="none" w:sz="0" w:space="0" w:color="auto"/>
        <w:bottom w:val="none" w:sz="0" w:space="0" w:color="auto"/>
        <w:right w:val="none" w:sz="0" w:space="0" w:color="auto"/>
      </w:divBdr>
    </w:div>
    <w:div w:id="51855217">
      <w:bodyDiv w:val="1"/>
      <w:marLeft w:val="0"/>
      <w:marRight w:val="0"/>
      <w:marTop w:val="0"/>
      <w:marBottom w:val="0"/>
      <w:divBdr>
        <w:top w:val="none" w:sz="0" w:space="0" w:color="auto"/>
        <w:left w:val="none" w:sz="0" w:space="0" w:color="auto"/>
        <w:bottom w:val="none" w:sz="0" w:space="0" w:color="auto"/>
        <w:right w:val="none" w:sz="0" w:space="0" w:color="auto"/>
      </w:divBdr>
    </w:div>
    <w:div w:id="51927756">
      <w:bodyDiv w:val="1"/>
      <w:marLeft w:val="0"/>
      <w:marRight w:val="0"/>
      <w:marTop w:val="0"/>
      <w:marBottom w:val="0"/>
      <w:divBdr>
        <w:top w:val="none" w:sz="0" w:space="0" w:color="auto"/>
        <w:left w:val="none" w:sz="0" w:space="0" w:color="auto"/>
        <w:bottom w:val="none" w:sz="0" w:space="0" w:color="auto"/>
        <w:right w:val="none" w:sz="0" w:space="0" w:color="auto"/>
      </w:divBdr>
      <w:divsChild>
        <w:div w:id="3477719">
          <w:marLeft w:val="0"/>
          <w:marRight w:val="0"/>
          <w:marTop w:val="0"/>
          <w:marBottom w:val="0"/>
          <w:divBdr>
            <w:top w:val="none" w:sz="0" w:space="0" w:color="auto"/>
            <w:left w:val="none" w:sz="0" w:space="0" w:color="auto"/>
            <w:bottom w:val="none" w:sz="0" w:space="0" w:color="auto"/>
            <w:right w:val="none" w:sz="0" w:space="0" w:color="auto"/>
          </w:divBdr>
        </w:div>
        <w:div w:id="7147106">
          <w:marLeft w:val="0"/>
          <w:marRight w:val="0"/>
          <w:marTop w:val="0"/>
          <w:marBottom w:val="0"/>
          <w:divBdr>
            <w:top w:val="none" w:sz="0" w:space="0" w:color="auto"/>
            <w:left w:val="none" w:sz="0" w:space="0" w:color="auto"/>
            <w:bottom w:val="none" w:sz="0" w:space="0" w:color="auto"/>
            <w:right w:val="none" w:sz="0" w:space="0" w:color="auto"/>
          </w:divBdr>
        </w:div>
        <w:div w:id="25299176">
          <w:marLeft w:val="0"/>
          <w:marRight w:val="0"/>
          <w:marTop w:val="0"/>
          <w:marBottom w:val="0"/>
          <w:divBdr>
            <w:top w:val="none" w:sz="0" w:space="0" w:color="auto"/>
            <w:left w:val="none" w:sz="0" w:space="0" w:color="auto"/>
            <w:bottom w:val="none" w:sz="0" w:space="0" w:color="auto"/>
            <w:right w:val="none" w:sz="0" w:space="0" w:color="auto"/>
          </w:divBdr>
        </w:div>
        <w:div w:id="39330219">
          <w:marLeft w:val="0"/>
          <w:marRight w:val="0"/>
          <w:marTop w:val="0"/>
          <w:marBottom w:val="0"/>
          <w:divBdr>
            <w:top w:val="none" w:sz="0" w:space="0" w:color="auto"/>
            <w:left w:val="none" w:sz="0" w:space="0" w:color="auto"/>
            <w:bottom w:val="none" w:sz="0" w:space="0" w:color="auto"/>
            <w:right w:val="none" w:sz="0" w:space="0" w:color="auto"/>
          </w:divBdr>
        </w:div>
        <w:div w:id="50035488">
          <w:marLeft w:val="0"/>
          <w:marRight w:val="0"/>
          <w:marTop w:val="0"/>
          <w:marBottom w:val="0"/>
          <w:divBdr>
            <w:top w:val="none" w:sz="0" w:space="0" w:color="auto"/>
            <w:left w:val="none" w:sz="0" w:space="0" w:color="auto"/>
            <w:bottom w:val="none" w:sz="0" w:space="0" w:color="auto"/>
            <w:right w:val="none" w:sz="0" w:space="0" w:color="auto"/>
          </w:divBdr>
        </w:div>
        <w:div w:id="54746627">
          <w:marLeft w:val="0"/>
          <w:marRight w:val="0"/>
          <w:marTop w:val="0"/>
          <w:marBottom w:val="0"/>
          <w:divBdr>
            <w:top w:val="none" w:sz="0" w:space="0" w:color="auto"/>
            <w:left w:val="none" w:sz="0" w:space="0" w:color="auto"/>
            <w:bottom w:val="none" w:sz="0" w:space="0" w:color="auto"/>
            <w:right w:val="none" w:sz="0" w:space="0" w:color="auto"/>
          </w:divBdr>
        </w:div>
        <w:div w:id="69742176">
          <w:marLeft w:val="0"/>
          <w:marRight w:val="0"/>
          <w:marTop w:val="0"/>
          <w:marBottom w:val="0"/>
          <w:divBdr>
            <w:top w:val="none" w:sz="0" w:space="0" w:color="auto"/>
            <w:left w:val="none" w:sz="0" w:space="0" w:color="auto"/>
            <w:bottom w:val="none" w:sz="0" w:space="0" w:color="auto"/>
            <w:right w:val="none" w:sz="0" w:space="0" w:color="auto"/>
          </w:divBdr>
        </w:div>
        <w:div w:id="99186152">
          <w:marLeft w:val="0"/>
          <w:marRight w:val="0"/>
          <w:marTop w:val="0"/>
          <w:marBottom w:val="0"/>
          <w:divBdr>
            <w:top w:val="none" w:sz="0" w:space="0" w:color="auto"/>
            <w:left w:val="none" w:sz="0" w:space="0" w:color="auto"/>
            <w:bottom w:val="none" w:sz="0" w:space="0" w:color="auto"/>
            <w:right w:val="none" w:sz="0" w:space="0" w:color="auto"/>
          </w:divBdr>
        </w:div>
        <w:div w:id="136530914">
          <w:marLeft w:val="0"/>
          <w:marRight w:val="0"/>
          <w:marTop w:val="0"/>
          <w:marBottom w:val="0"/>
          <w:divBdr>
            <w:top w:val="none" w:sz="0" w:space="0" w:color="auto"/>
            <w:left w:val="none" w:sz="0" w:space="0" w:color="auto"/>
            <w:bottom w:val="none" w:sz="0" w:space="0" w:color="auto"/>
            <w:right w:val="none" w:sz="0" w:space="0" w:color="auto"/>
          </w:divBdr>
        </w:div>
        <w:div w:id="166402829">
          <w:marLeft w:val="0"/>
          <w:marRight w:val="0"/>
          <w:marTop w:val="0"/>
          <w:marBottom w:val="0"/>
          <w:divBdr>
            <w:top w:val="none" w:sz="0" w:space="0" w:color="auto"/>
            <w:left w:val="none" w:sz="0" w:space="0" w:color="auto"/>
            <w:bottom w:val="none" w:sz="0" w:space="0" w:color="auto"/>
            <w:right w:val="none" w:sz="0" w:space="0" w:color="auto"/>
          </w:divBdr>
        </w:div>
        <w:div w:id="197134528">
          <w:marLeft w:val="0"/>
          <w:marRight w:val="0"/>
          <w:marTop w:val="0"/>
          <w:marBottom w:val="0"/>
          <w:divBdr>
            <w:top w:val="none" w:sz="0" w:space="0" w:color="auto"/>
            <w:left w:val="none" w:sz="0" w:space="0" w:color="auto"/>
            <w:bottom w:val="none" w:sz="0" w:space="0" w:color="auto"/>
            <w:right w:val="none" w:sz="0" w:space="0" w:color="auto"/>
          </w:divBdr>
        </w:div>
        <w:div w:id="201139267">
          <w:marLeft w:val="0"/>
          <w:marRight w:val="0"/>
          <w:marTop w:val="0"/>
          <w:marBottom w:val="0"/>
          <w:divBdr>
            <w:top w:val="none" w:sz="0" w:space="0" w:color="auto"/>
            <w:left w:val="none" w:sz="0" w:space="0" w:color="auto"/>
            <w:bottom w:val="none" w:sz="0" w:space="0" w:color="auto"/>
            <w:right w:val="none" w:sz="0" w:space="0" w:color="auto"/>
          </w:divBdr>
        </w:div>
        <w:div w:id="211577578">
          <w:marLeft w:val="0"/>
          <w:marRight w:val="0"/>
          <w:marTop w:val="0"/>
          <w:marBottom w:val="0"/>
          <w:divBdr>
            <w:top w:val="none" w:sz="0" w:space="0" w:color="auto"/>
            <w:left w:val="none" w:sz="0" w:space="0" w:color="auto"/>
            <w:bottom w:val="none" w:sz="0" w:space="0" w:color="auto"/>
            <w:right w:val="none" w:sz="0" w:space="0" w:color="auto"/>
          </w:divBdr>
        </w:div>
        <w:div w:id="224031713">
          <w:marLeft w:val="0"/>
          <w:marRight w:val="0"/>
          <w:marTop w:val="0"/>
          <w:marBottom w:val="0"/>
          <w:divBdr>
            <w:top w:val="none" w:sz="0" w:space="0" w:color="auto"/>
            <w:left w:val="none" w:sz="0" w:space="0" w:color="auto"/>
            <w:bottom w:val="none" w:sz="0" w:space="0" w:color="auto"/>
            <w:right w:val="none" w:sz="0" w:space="0" w:color="auto"/>
          </w:divBdr>
        </w:div>
        <w:div w:id="235474647">
          <w:marLeft w:val="0"/>
          <w:marRight w:val="0"/>
          <w:marTop w:val="0"/>
          <w:marBottom w:val="0"/>
          <w:divBdr>
            <w:top w:val="none" w:sz="0" w:space="0" w:color="auto"/>
            <w:left w:val="none" w:sz="0" w:space="0" w:color="auto"/>
            <w:bottom w:val="none" w:sz="0" w:space="0" w:color="auto"/>
            <w:right w:val="none" w:sz="0" w:space="0" w:color="auto"/>
          </w:divBdr>
        </w:div>
        <w:div w:id="248196434">
          <w:marLeft w:val="0"/>
          <w:marRight w:val="0"/>
          <w:marTop w:val="0"/>
          <w:marBottom w:val="0"/>
          <w:divBdr>
            <w:top w:val="none" w:sz="0" w:space="0" w:color="auto"/>
            <w:left w:val="none" w:sz="0" w:space="0" w:color="auto"/>
            <w:bottom w:val="none" w:sz="0" w:space="0" w:color="auto"/>
            <w:right w:val="none" w:sz="0" w:space="0" w:color="auto"/>
          </w:divBdr>
        </w:div>
        <w:div w:id="268465610">
          <w:marLeft w:val="0"/>
          <w:marRight w:val="0"/>
          <w:marTop w:val="0"/>
          <w:marBottom w:val="0"/>
          <w:divBdr>
            <w:top w:val="none" w:sz="0" w:space="0" w:color="auto"/>
            <w:left w:val="none" w:sz="0" w:space="0" w:color="auto"/>
            <w:bottom w:val="none" w:sz="0" w:space="0" w:color="auto"/>
            <w:right w:val="none" w:sz="0" w:space="0" w:color="auto"/>
          </w:divBdr>
        </w:div>
        <w:div w:id="273678801">
          <w:marLeft w:val="0"/>
          <w:marRight w:val="0"/>
          <w:marTop w:val="0"/>
          <w:marBottom w:val="0"/>
          <w:divBdr>
            <w:top w:val="none" w:sz="0" w:space="0" w:color="auto"/>
            <w:left w:val="none" w:sz="0" w:space="0" w:color="auto"/>
            <w:bottom w:val="none" w:sz="0" w:space="0" w:color="auto"/>
            <w:right w:val="none" w:sz="0" w:space="0" w:color="auto"/>
          </w:divBdr>
        </w:div>
        <w:div w:id="288704103">
          <w:marLeft w:val="0"/>
          <w:marRight w:val="0"/>
          <w:marTop w:val="0"/>
          <w:marBottom w:val="0"/>
          <w:divBdr>
            <w:top w:val="none" w:sz="0" w:space="0" w:color="auto"/>
            <w:left w:val="none" w:sz="0" w:space="0" w:color="auto"/>
            <w:bottom w:val="none" w:sz="0" w:space="0" w:color="auto"/>
            <w:right w:val="none" w:sz="0" w:space="0" w:color="auto"/>
          </w:divBdr>
        </w:div>
        <w:div w:id="309215742">
          <w:marLeft w:val="0"/>
          <w:marRight w:val="0"/>
          <w:marTop w:val="0"/>
          <w:marBottom w:val="0"/>
          <w:divBdr>
            <w:top w:val="none" w:sz="0" w:space="0" w:color="auto"/>
            <w:left w:val="none" w:sz="0" w:space="0" w:color="auto"/>
            <w:bottom w:val="none" w:sz="0" w:space="0" w:color="auto"/>
            <w:right w:val="none" w:sz="0" w:space="0" w:color="auto"/>
          </w:divBdr>
        </w:div>
        <w:div w:id="313920722">
          <w:marLeft w:val="0"/>
          <w:marRight w:val="0"/>
          <w:marTop w:val="0"/>
          <w:marBottom w:val="0"/>
          <w:divBdr>
            <w:top w:val="none" w:sz="0" w:space="0" w:color="auto"/>
            <w:left w:val="none" w:sz="0" w:space="0" w:color="auto"/>
            <w:bottom w:val="none" w:sz="0" w:space="0" w:color="auto"/>
            <w:right w:val="none" w:sz="0" w:space="0" w:color="auto"/>
          </w:divBdr>
        </w:div>
        <w:div w:id="324165779">
          <w:marLeft w:val="0"/>
          <w:marRight w:val="0"/>
          <w:marTop w:val="0"/>
          <w:marBottom w:val="0"/>
          <w:divBdr>
            <w:top w:val="none" w:sz="0" w:space="0" w:color="auto"/>
            <w:left w:val="none" w:sz="0" w:space="0" w:color="auto"/>
            <w:bottom w:val="none" w:sz="0" w:space="0" w:color="auto"/>
            <w:right w:val="none" w:sz="0" w:space="0" w:color="auto"/>
          </w:divBdr>
        </w:div>
        <w:div w:id="334310989">
          <w:marLeft w:val="0"/>
          <w:marRight w:val="0"/>
          <w:marTop w:val="0"/>
          <w:marBottom w:val="0"/>
          <w:divBdr>
            <w:top w:val="none" w:sz="0" w:space="0" w:color="auto"/>
            <w:left w:val="none" w:sz="0" w:space="0" w:color="auto"/>
            <w:bottom w:val="none" w:sz="0" w:space="0" w:color="auto"/>
            <w:right w:val="none" w:sz="0" w:space="0" w:color="auto"/>
          </w:divBdr>
        </w:div>
        <w:div w:id="340082389">
          <w:marLeft w:val="0"/>
          <w:marRight w:val="0"/>
          <w:marTop w:val="0"/>
          <w:marBottom w:val="0"/>
          <w:divBdr>
            <w:top w:val="none" w:sz="0" w:space="0" w:color="auto"/>
            <w:left w:val="none" w:sz="0" w:space="0" w:color="auto"/>
            <w:bottom w:val="none" w:sz="0" w:space="0" w:color="auto"/>
            <w:right w:val="none" w:sz="0" w:space="0" w:color="auto"/>
          </w:divBdr>
        </w:div>
        <w:div w:id="340738178">
          <w:marLeft w:val="0"/>
          <w:marRight w:val="0"/>
          <w:marTop w:val="0"/>
          <w:marBottom w:val="0"/>
          <w:divBdr>
            <w:top w:val="none" w:sz="0" w:space="0" w:color="auto"/>
            <w:left w:val="none" w:sz="0" w:space="0" w:color="auto"/>
            <w:bottom w:val="none" w:sz="0" w:space="0" w:color="auto"/>
            <w:right w:val="none" w:sz="0" w:space="0" w:color="auto"/>
          </w:divBdr>
        </w:div>
        <w:div w:id="350182347">
          <w:marLeft w:val="0"/>
          <w:marRight w:val="0"/>
          <w:marTop w:val="0"/>
          <w:marBottom w:val="0"/>
          <w:divBdr>
            <w:top w:val="none" w:sz="0" w:space="0" w:color="auto"/>
            <w:left w:val="none" w:sz="0" w:space="0" w:color="auto"/>
            <w:bottom w:val="none" w:sz="0" w:space="0" w:color="auto"/>
            <w:right w:val="none" w:sz="0" w:space="0" w:color="auto"/>
          </w:divBdr>
        </w:div>
        <w:div w:id="350643753">
          <w:marLeft w:val="0"/>
          <w:marRight w:val="0"/>
          <w:marTop w:val="0"/>
          <w:marBottom w:val="0"/>
          <w:divBdr>
            <w:top w:val="none" w:sz="0" w:space="0" w:color="auto"/>
            <w:left w:val="none" w:sz="0" w:space="0" w:color="auto"/>
            <w:bottom w:val="none" w:sz="0" w:space="0" w:color="auto"/>
            <w:right w:val="none" w:sz="0" w:space="0" w:color="auto"/>
          </w:divBdr>
        </w:div>
        <w:div w:id="363287212">
          <w:marLeft w:val="0"/>
          <w:marRight w:val="0"/>
          <w:marTop w:val="0"/>
          <w:marBottom w:val="0"/>
          <w:divBdr>
            <w:top w:val="none" w:sz="0" w:space="0" w:color="auto"/>
            <w:left w:val="none" w:sz="0" w:space="0" w:color="auto"/>
            <w:bottom w:val="none" w:sz="0" w:space="0" w:color="auto"/>
            <w:right w:val="none" w:sz="0" w:space="0" w:color="auto"/>
          </w:divBdr>
        </w:div>
        <w:div w:id="363559359">
          <w:marLeft w:val="0"/>
          <w:marRight w:val="0"/>
          <w:marTop w:val="0"/>
          <w:marBottom w:val="0"/>
          <w:divBdr>
            <w:top w:val="none" w:sz="0" w:space="0" w:color="auto"/>
            <w:left w:val="none" w:sz="0" w:space="0" w:color="auto"/>
            <w:bottom w:val="none" w:sz="0" w:space="0" w:color="auto"/>
            <w:right w:val="none" w:sz="0" w:space="0" w:color="auto"/>
          </w:divBdr>
        </w:div>
        <w:div w:id="375466501">
          <w:marLeft w:val="0"/>
          <w:marRight w:val="0"/>
          <w:marTop w:val="0"/>
          <w:marBottom w:val="0"/>
          <w:divBdr>
            <w:top w:val="none" w:sz="0" w:space="0" w:color="auto"/>
            <w:left w:val="none" w:sz="0" w:space="0" w:color="auto"/>
            <w:bottom w:val="none" w:sz="0" w:space="0" w:color="auto"/>
            <w:right w:val="none" w:sz="0" w:space="0" w:color="auto"/>
          </w:divBdr>
        </w:div>
        <w:div w:id="390351260">
          <w:marLeft w:val="0"/>
          <w:marRight w:val="0"/>
          <w:marTop w:val="0"/>
          <w:marBottom w:val="0"/>
          <w:divBdr>
            <w:top w:val="none" w:sz="0" w:space="0" w:color="auto"/>
            <w:left w:val="none" w:sz="0" w:space="0" w:color="auto"/>
            <w:bottom w:val="none" w:sz="0" w:space="0" w:color="auto"/>
            <w:right w:val="none" w:sz="0" w:space="0" w:color="auto"/>
          </w:divBdr>
        </w:div>
        <w:div w:id="396441702">
          <w:marLeft w:val="0"/>
          <w:marRight w:val="0"/>
          <w:marTop w:val="0"/>
          <w:marBottom w:val="0"/>
          <w:divBdr>
            <w:top w:val="none" w:sz="0" w:space="0" w:color="auto"/>
            <w:left w:val="none" w:sz="0" w:space="0" w:color="auto"/>
            <w:bottom w:val="none" w:sz="0" w:space="0" w:color="auto"/>
            <w:right w:val="none" w:sz="0" w:space="0" w:color="auto"/>
          </w:divBdr>
        </w:div>
        <w:div w:id="411894819">
          <w:marLeft w:val="0"/>
          <w:marRight w:val="0"/>
          <w:marTop w:val="0"/>
          <w:marBottom w:val="0"/>
          <w:divBdr>
            <w:top w:val="none" w:sz="0" w:space="0" w:color="auto"/>
            <w:left w:val="none" w:sz="0" w:space="0" w:color="auto"/>
            <w:bottom w:val="none" w:sz="0" w:space="0" w:color="auto"/>
            <w:right w:val="none" w:sz="0" w:space="0" w:color="auto"/>
          </w:divBdr>
        </w:div>
        <w:div w:id="414866872">
          <w:marLeft w:val="0"/>
          <w:marRight w:val="0"/>
          <w:marTop w:val="0"/>
          <w:marBottom w:val="0"/>
          <w:divBdr>
            <w:top w:val="none" w:sz="0" w:space="0" w:color="auto"/>
            <w:left w:val="none" w:sz="0" w:space="0" w:color="auto"/>
            <w:bottom w:val="none" w:sz="0" w:space="0" w:color="auto"/>
            <w:right w:val="none" w:sz="0" w:space="0" w:color="auto"/>
          </w:divBdr>
        </w:div>
        <w:div w:id="419644631">
          <w:marLeft w:val="0"/>
          <w:marRight w:val="0"/>
          <w:marTop w:val="0"/>
          <w:marBottom w:val="0"/>
          <w:divBdr>
            <w:top w:val="none" w:sz="0" w:space="0" w:color="auto"/>
            <w:left w:val="none" w:sz="0" w:space="0" w:color="auto"/>
            <w:bottom w:val="none" w:sz="0" w:space="0" w:color="auto"/>
            <w:right w:val="none" w:sz="0" w:space="0" w:color="auto"/>
          </w:divBdr>
        </w:div>
        <w:div w:id="438380434">
          <w:marLeft w:val="0"/>
          <w:marRight w:val="0"/>
          <w:marTop w:val="0"/>
          <w:marBottom w:val="0"/>
          <w:divBdr>
            <w:top w:val="none" w:sz="0" w:space="0" w:color="auto"/>
            <w:left w:val="none" w:sz="0" w:space="0" w:color="auto"/>
            <w:bottom w:val="none" w:sz="0" w:space="0" w:color="auto"/>
            <w:right w:val="none" w:sz="0" w:space="0" w:color="auto"/>
          </w:divBdr>
        </w:div>
        <w:div w:id="440027130">
          <w:marLeft w:val="0"/>
          <w:marRight w:val="0"/>
          <w:marTop w:val="0"/>
          <w:marBottom w:val="0"/>
          <w:divBdr>
            <w:top w:val="none" w:sz="0" w:space="0" w:color="auto"/>
            <w:left w:val="none" w:sz="0" w:space="0" w:color="auto"/>
            <w:bottom w:val="none" w:sz="0" w:space="0" w:color="auto"/>
            <w:right w:val="none" w:sz="0" w:space="0" w:color="auto"/>
          </w:divBdr>
        </w:div>
        <w:div w:id="446659142">
          <w:marLeft w:val="0"/>
          <w:marRight w:val="0"/>
          <w:marTop w:val="0"/>
          <w:marBottom w:val="0"/>
          <w:divBdr>
            <w:top w:val="none" w:sz="0" w:space="0" w:color="auto"/>
            <w:left w:val="none" w:sz="0" w:space="0" w:color="auto"/>
            <w:bottom w:val="none" w:sz="0" w:space="0" w:color="auto"/>
            <w:right w:val="none" w:sz="0" w:space="0" w:color="auto"/>
          </w:divBdr>
        </w:div>
        <w:div w:id="465440905">
          <w:marLeft w:val="0"/>
          <w:marRight w:val="0"/>
          <w:marTop w:val="0"/>
          <w:marBottom w:val="0"/>
          <w:divBdr>
            <w:top w:val="none" w:sz="0" w:space="0" w:color="auto"/>
            <w:left w:val="none" w:sz="0" w:space="0" w:color="auto"/>
            <w:bottom w:val="none" w:sz="0" w:space="0" w:color="auto"/>
            <w:right w:val="none" w:sz="0" w:space="0" w:color="auto"/>
          </w:divBdr>
        </w:div>
        <w:div w:id="470488454">
          <w:marLeft w:val="0"/>
          <w:marRight w:val="0"/>
          <w:marTop w:val="0"/>
          <w:marBottom w:val="0"/>
          <w:divBdr>
            <w:top w:val="none" w:sz="0" w:space="0" w:color="auto"/>
            <w:left w:val="none" w:sz="0" w:space="0" w:color="auto"/>
            <w:bottom w:val="none" w:sz="0" w:space="0" w:color="auto"/>
            <w:right w:val="none" w:sz="0" w:space="0" w:color="auto"/>
          </w:divBdr>
        </w:div>
        <w:div w:id="491026494">
          <w:marLeft w:val="0"/>
          <w:marRight w:val="0"/>
          <w:marTop w:val="0"/>
          <w:marBottom w:val="0"/>
          <w:divBdr>
            <w:top w:val="none" w:sz="0" w:space="0" w:color="auto"/>
            <w:left w:val="none" w:sz="0" w:space="0" w:color="auto"/>
            <w:bottom w:val="none" w:sz="0" w:space="0" w:color="auto"/>
            <w:right w:val="none" w:sz="0" w:space="0" w:color="auto"/>
          </w:divBdr>
        </w:div>
        <w:div w:id="499859041">
          <w:marLeft w:val="0"/>
          <w:marRight w:val="0"/>
          <w:marTop w:val="0"/>
          <w:marBottom w:val="0"/>
          <w:divBdr>
            <w:top w:val="none" w:sz="0" w:space="0" w:color="auto"/>
            <w:left w:val="none" w:sz="0" w:space="0" w:color="auto"/>
            <w:bottom w:val="none" w:sz="0" w:space="0" w:color="auto"/>
            <w:right w:val="none" w:sz="0" w:space="0" w:color="auto"/>
          </w:divBdr>
        </w:div>
        <w:div w:id="516038115">
          <w:marLeft w:val="0"/>
          <w:marRight w:val="0"/>
          <w:marTop w:val="0"/>
          <w:marBottom w:val="0"/>
          <w:divBdr>
            <w:top w:val="none" w:sz="0" w:space="0" w:color="auto"/>
            <w:left w:val="none" w:sz="0" w:space="0" w:color="auto"/>
            <w:bottom w:val="none" w:sz="0" w:space="0" w:color="auto"/>
            <w:right w:val="none" w:sz="0" w:space="0" w:color="auto"/>
          </w:divBdr>
        </w:div>
        <w:div w:id="516161681">
          <w:marLeft w:val="0"/>
          <w:marRight w:val="0"/>
          <w:marTop w:val="0"/>
          <w:marBottom w:val="0"/>
          <w:divBdr>
            <w:top w:val="none" w:sz="0" w:space="0" w:color="auto"/>
            <w:left w:val="none" w:sz="0" w:space="0" w:color="auto"/>
            <w:bottom w:val="none" w:sz="0" w:space="0" w:color="auto"/>
            <w:right w:val="none" w:sz="0" w:space="0" w:color="auto"/>
          </w:divBdr>
        </w:div>
        <w:div w:id="519777633">
          <w:marLeft w:val="0"/>
          <w:marRight w:val="0"/>
          <w:marTop w:val="0"/>
          <w:marBottom w:val="0"/>
          <w:divBdr>
            <w:top w:val="none" w:sz="0" w:space="0" w:color="auto"/>
            <w:left w:val="none" w:sz="0" w:space="0" w:color="auto"/>
            <w:bottom w:val="none" w:sz="0" w:space="0" w:color="auto"/>
            <w:right w:val="none" w:sz="0" w:space="0" w:color="auto"/>
          </w:divBdr>
        </w:div>
        <w:div w:id="520629981">
          <w:marLeft w:val="0"/>
          <w:marRight w:val="0"/>
          <w:marTop w:val="0"/>
          <w:marBottom w:val="0"/>
          <w:divBdr>
            <w:top w:val="none" w:sz="0" w:space="0" w:color="auto"/>
            <w:left w:val="none" w:sz="0" w:space="0" w:color="auto"/>
            <w:bottom w:val="none" w:sz="0" w:space="0" w:color="auto"/>
            <w:right w:val="none" w:sz="0" w:space="0" w:color="auto"/>
          </w:divBdr>
        </w:div>
        <w:div w:id="523520130">
          <w:marLeft w:val="0"/>
          <w:marRight w:val="0"/>
          <w:marTop w:val="0"/>
          <w:marBottom w:val="0"/>
          <w:divBdr>
            <w:top w:val="none" w:sz="0" w:space="0" w:color="auto"/>
            <w:left w:val="none" w:sz="0" w:space="0" w:color="auto"/>
            <w:bottom w:val="none" w:sz="0" w:space="0" w:color="auto"/>
            <w:right w:val="none" w:sz="0" w:space="0" w:color="auto"/>
          </w:divBdr>
        </w:div>
        <w:div w:id="545874129">
          <w:marLeft w:val="0"/>
          <w:marRight w:val="0"/>
          <w:marTop w:val="0"/>
          <w:marBottom w:val="0"/>
          <w:divBdr>
            <w:top w:val="none" w:sz="0" w:space="0" w:color="auto"/>
            <w:left w:val="none" w:sz="0" w:space="0" w:color="auto"/>
            <w:bottom w:val="none" w:sz="0" w:space="0" w:color="auto"/>
            <w:right w:val="none" w:sz="0" w:space="0" w:color="auto"/>
          </w:divBdr>
        </w:div>
        <w:div w:id="546451435">
          <w:marLeft w:val="0"/>
          <w:marRight w:val="0"/>
          <w:marTop w:val="0"/>
          <w:marBottom w:val="0"/>
          <w:divBdr>
            <w:top w:val="none" w:sz="0" w:space="0" w:color="auto"/>
            <w:left w:val="none" w:sz="0" w:space="0" w:color="auto"/>
            <w:bottom w:val="none" w:sz="0" w:space="0" w:color="auto"/>
            <w:right w:val="none" w:sz="0" w:space="0" w:color="auto"/>
          </w:divBdr>
        </w:div>
        <w:div w:id="558320705">
          <w:marLeft w:val="0"/>
          <w:marRight w:val="0"/>
          <w:marTop w:val="0"/>
          <w:marBottom w:val="0"/>
          <w:divBdr>
            <w:top w:val="none" w:sz="0" w:space="0" w:color="auto"/>
            <w:left w:val="none" w:sz="0" w:space="0" w:color="auto"/>
            <w:bottom w:val="none" w:sz="0" w:space="0" w:color="auto"/>
            <w:right w:val="none" w:sz="0" w:space="0" w:color="auto"/>
          </w:divBdr>
        </w:div>
        <w:div w:id="568659735">
          <w:marLeft w:val="0"/>
          <w:marRight w:val="0"/>
          <w:marTop w:val="0"/>
          <w:marBottom w:val="0"/>
          <w:divBdr>
            <w:top w:val="none" w:sz="0" w:space="0" w:color="auto"/>
            <w:left w:val="none" w:sz="0" w:space="0" w:color="auto"/>
            <w:bottom w:val="none" w:sz="0" w:space="0" w:color="auto"/>
            <w:right w:val="none" w:sz="0" w:space="0" w:color="auto"/>
          </w:divBdr>
        </w:div>
        <w:div w:id="569005066">
          <w:marLeft w:val="0"/>
          <w:marRight w:val="0"/>
          <w:marTop w:val="0"/>
          <w:marBottom w:val="0"/>
          <w:divBdr>
            <w:top w:val="none" w:sz="0" w:space="0" w:color="auto"/>
            <w:left w:val="none" w:sz="0" w:space="0" w:color="auto"/>
            <w:bottom w:val="none" w:sz="0" w:space="0" w:color="auto"/>
            <w:right w:val="none" w:sz="0" w:space="0" w:color="auto"/>
          </w:divBdr>
        </w:div>
        <w:div w:id="573199373">
          <w:marLeft w:val="0"/>
          <w:marRight w:val="0"/>
          <w:marTop w:val="0"/>
          <w:marBottom w:val="0"/>
          <w:divBdr>
            <w:top w:val="none" w:sz="0" w:space="0" w:color="auto"/>
            <w:left w:val="none" w:sz="0" w:space="0" w:color="auto"/>
            <w:bottom w:val="none" w:sz="0" w:space="0" w:color="auto"/>
            <w:right w:val="none" w:sz="0" w:space="0" w:color="auto"/>
          </w:divBdr>
        </w:div>
        <w:div w:id="580333237">
          <w:marLeft w:val="0"/>
          <w:marRight w:val="0"/>
          <w:marTop w:val="0"/>
          <w:marBottom w:val="0"/>
          <w:divBdr>
            <w:top w:val="none" w:sz="0" w:space="0" w:color="auto"/>
            <w:left w:val="none" w:sz="0" w:space="0" w:color="auto"/>
            <w:bottom w:val="none" w:sz="0" w:space="0" w:color="auto"/>
            <w:right w:val="none" w:sz="0" w:space="0" w:color="auto"/>
          </w:divBdr>
        </w:div>
        <w:div w:id="606158736">
          <w:marLeft w:val="0"/>
          <w:marRight w:val="0"/>
          <w:marTop w:val="0"/>
          <w:marBottom w:val="0"/>
          <w:divBdr>
            <w:top w:val="none" w:sz="0" w:space="0" w:color="auto"/>
            <w:left w:val="none" w:sz="0" w:space="0" w:color="auto"/>
            <w:bottom w:val="none" w:sz="0" w:space="0" w:color="auto"/>
            <w:right w:val="none" w:sz="0" w:space="0" w:color="auto"/>
          </w:divBdr>
        </w:div>
        <w:div w:id="640815577">
          <w:marLeft w:val="0"/>
          <w:marRight w:val="0"/>
          <w:marTop w:val="0"/>
          <w:marBottom w:val="0"/>
          <w:divBdr>
            <w:top w:val="none" w:sz="0" w:space="0" w:color="auto"/>
            <w:left w:val="none" w:sz="0" w:space="0" w:color="auto"/>
            <w:bottom w:val="none" w:sz="0" w:space="0" w:color="auto"/>
            <w:right w:val="none" w:sz="0" w:space="0" w:color="auto"/>
          </w:divBdr>
        </w:div>
        <w:div w:id="647899155">
          <w:marLeft w:val="0"/>
          <w:marRight w:val="0"/>
          <w:marTop w:val="0"/>
          <w:marBottom w:val="0"/>
          <w:divBdr>
            <w:top w:val="none" w:sz="0" w:space="0" w:color="auto"/>
            <w:left w:val="none" w:sz="0" w:space="0" w:color="auto"/>
            <w:bottom w:val="none" w:sz="0" w:space="0" w:color="auto"/>
            <w:right w:val="none" w:sz="0" w:space="0" w:color="auto"/>
          </w:divBdr>
        </w:div>
        <w:div w:id="658311044">
          <w:marLeft w:val="0"/>
          <w:marRight w:val="0"/>
          <w:marTop w:val="0"/>
          <w:marBottom w:val="0"/>
          <w:divBdr>
            <w:top w:val="none" w:sz="0" w:space="0" w:color="auto"/>
            <w:left w:val="none" w:sz="0" w:space="0" w:color="auto"/>
            <w:bottom w:val="none" w:sz="0" w:space="0" w:color="auto"/>
            <w:right w:val="none" w:sz="0" w:space="0" w:color="auto"/>
          </w:divBdr>
        </w:div>
        <w:div w:id="661665860">
          <w:marLeft w:val="0"/>
          <w:marRight w:val="0"/>
          <w:marTop w:val="0"/>
          <w:marBottom w:val="0"/>
          <w:divBdr>
            <w:top w:val="none" w:sz="0" w:space="0" w:color="auto"/>
            <w:left w:val="none" w:sz="0" w:space="0" w:color="auto"/>
            <w:bottom w:val="none" w:sz="0" w:space="0" w:color="auto"/>
            <w:right w:val="none" w:sz="0" w:space="0" w:color="auto"/>
          </w:divBdr>
        </w:div>
        <w:div w:id="673459652">
          <w:marLeft w:val="0"/>
          <w:marRight w:val="0"/>
          <w:marTop w:val="0"/>
          <w:marBottom w:val="0"/>
          <w:divBdr>
            <w:top w:val="none" w:sz="0" w:space="0" w:color="auto"/>
            <w:left w:val="none" w:sz="0" w:space="0" w:color="auto"/>
            <w:bottom w:val="none" w:sz="0" w:space="0" w:color="auto"/>
            <w:right w:val="none" w:sz="0" w:space="0" w:color="auto"/>
          </w:divBdr>
        </w:div>
        <w:div w:id="688600680">
          <w:marLeft w:val="0"/>
          <w:marRight w:val="0"/>
          <w:marTop w:val="0"/>
          <w:marBottom w:val="0"/>
          <w:divBdr>
            <w:top w:val="none" w:sz="0" w:space="0" w:color="auto"/>
            <w:left w:val="none" w:sz="0" w:space="0" w:color="auto"/>
            <w:bottom w:val="none" w:sz="0" w:space="0" w:color="auto"/>
            <w:right w:val="none" w:sz="0" w:space="0" w:color="auto"/>
          </w:divBdr>
        </w:div>
        <w:div w:id="693461400">
          <w:marLeft w:val="0"/>
          <w:marRight w:val="0"/>
          <w:marTop w:val="0"/>
          <w:marBottom w:val="0"/>
          <w:divBdr>
            <w:top w:val="none" w:sz="0" w:space="0" w:color="auto"/>
            <w:left w:val="none" w:sz="0" w:space="0" w:color="auto"/>
            <w:bottom w:val="none" w:sz="0" w:space="0" w:color="auto"/>
            <w:right w:val="none" w:sz="0" w:space="0" w:color="auto"/>
          </w:divBdr>
        </w:div>
        <w:div w:id="701593681">
          <w:marLeft w:val="0"/>
          <w:marRight w:val="0"/>
          <w:marTop w:val="0"/>
          <w:marBottom w:val="0"/>
          <w:divBdr>
            <w:top w:val="none" w:sz="0" w:space="0" w:color="auto"/>
            <w:left w:val="none" w:sz="0" w:space="0" w:color="auto"/>
            <w:bottom w:val="none" w:sz="0" w:space="0" w:color="auto"/>
            <w:right w:val="none" w:sz="0" w:space="0" w:color="auto"/>
          </w:divBdr>
        </w:div>
        <w:div w:id="702173449">
          <w:marLeft w:val="0"/>
          <w:marRight w:val="0"/>
          <w:marTop w:val="0"/>
          <w:marBottom w:val="0"/>
          <w:divBdr>
            <w:top w:val="none" w:sz="0" w:space="0" w:color="auto"/>
            <w:left w:val="none" w:sz="0" w:space="0" w:color="auto"/>
            <w:bottom w:val="none" w:sz="0" w:space="0" w:color="auto"/>
            <w:right w:val="none" w:sz="0" w:space="0" w:color="auto"/>
          </w:divBdr>
        </w:div>
        <w:div w:id="703483421">
          <w:marLeft w:val="0"/>
          <w:marRight w:val="0"/>
          <w:marTop w:val="0"/>
          <w:marBottom w:val="0"/>
          <w:divBdr>
            <w:top w:val="none" w:sz="0" w:space="0" w:color="auto"/>
            <w:left w:val="none" w:sz="0" w:space="0" w:color="auto"/>
            <w:bottom w:val="none" w:sz="0" w:space="0" w:color="auto"/>
            <w:right w:val="none" w:sz="0" w:space="0" w:color="auto"/>
          </w:divBdr>
        </w:div>
        <w:div w:id="703866263">
          <w:marLeft w:val="0"/>
          <w:marRight w:val="0"/>
          <w:marTop w:val="0"/>
          <w:marBottom w:val="0"/>
          <w:divBdr>
            <w:top w:val="none" w:sz="0" w:space="0" w:color="auto"/>
            <w:left w:val="none" w:sz="0" w:space="0" w:color="auto"/>
            <w:bottom w:val="none" w:sz="0" w:space="0" w:color="auto"/>
            <w:right w:val="none" w:sz="0" w:space="0" w:color="auto"/>
          </w:divBdr>
        </w:div>
        <w:div w:id="707099029">
          <w:marLeft w:val="0"/>
          <w:marRight w:val="0"/>
          <w:marTop w:val="0"/>
          <w:marBottom w:val="0"/>
          <w:divBdr>
            <w:top w:val="none" w:sz="0" w:space="0" w:color="auto"/>
            <w:left w:val="none" w:sz="0" w:space="0" w:color="auto"/>
            <w:bottom w:val="none" w:sz="0" w:space="0" w:color="auto"/>
            <w:right w:val="none" w:sz="0" w:space="0" w:color="auto"/>
          </w:divBdr>
        </w:div>
        <w:div w:id="732045995">
          <w:marLeft w:val="0"/>
          <w:marRight w:val="0"/>
          <w:marTop w:val="0"/>
          <w:marBottom w:val="0"/>
          <w:divBdr>
            <w:top w:val="none" w:sz="0" w:space="0" w:color="auto"/>
            <w:left w:val="none" w:sz="0" w:space="0" w:color="auto"/>
            <w:bottom w:val="none" w:sz="0" w:space="0" w:color="auto"/>
            <w:right w:val="none" w:sz="0" w:space="0" w:color="auto"/>
          </w:divBdr>
        </w:div>
        <w:div w:id="736979977">
          <w:marLeft w:val="0"/>
          <w:marRight w:val="0"/>
          <w:marTop w:val="0"/>
          <w:marBottom w:val="0"/>
          <w:divBdr>
            <w:top w:val="none" w:sz="0" w:space="0" w:color="auto"/>
            <w:left w:val="none" w:sz="0" w:space="0" w:color="auto"/>
            <w:bottom w:val="none" w:sz="0" w:space="0" w:color="auto"/>
            <w:right w:val="none" w:sz="0" w:space="0" w:color="auto"/>
          </w:divBdr>
        </w:div>
        <w:div w:id="737821652">
          <w:marLeft w:val="0"/>
          <w:marRight w:val="0"/>
          <w:marTop w:val="0"/>
          <w:marBottom w:val="0"/>
          <w:divBdr>
            <w:top w:val="none" w:sz="0" w:space="0" w:color="auto"/>
            <w:left w:val="none" w:sz="0" w:space="0" w:color="auto"/>
            <w:bottom w:val="none" w:sz="0" w:space="0" w:color="auto"/>
            <w:right w:val="none" w:sz="0" w:space="0" w:color="auto"/>
          </w:divBdr>
        </w:div>
        <w:div w:id="741224129">
          <w:marLeft w:val="0"/>
          <w:marRight w:val="0"/>
          <w:marTop w:val="0"/>
          <w:marBottom w:val="0"/>
          <w:divBdr>
            <w:top w:val="none" w:sz="0" w:space="0" w:color="auto"/>
            <w:left w:val="none" w:sz="0" w:space="0" w:color="auto"/>
            <w:bottom w:val="none" w:sz="0" w:space="0" w:color="auto"/>
            <w:right w:val="none" w:sz="0" w:space="0" w:color="auto"/>
          </w:divBdr>
        </w:div>
        <w:div w:id="752431588">
          <w:marLeft w:val="0"/>
          <w:marRight w:val="0"/>
          <w:marTop w:val="0"/>
          <w:marBottom w:val="0"/>
          <w:divBdr>
            <w:top w:val="none" w:sz="0" w:space="0" w:color="auto"/>
            <w:left w:val="none" w:sz="0" w:space="0" w:color="auto"/>
            <w:bottom w:val="none" w:sz="0" w:space="0" w:color="auto"/>
            <w:right w:val="none" w:sz="0" w:space="0" w:color="auto"/>
          </w:divBdr>
        </w:div>
        <w:div w:id="755833003">
          <w:marLeft w:val="0"/>
          <w:marRight w:val="0"/>
          <w:marTop w:val="0"/>
          <w:marBottom w:val="0"/>
          <w:divBdr>
            <w:top w:val="none" w:sz="0" w:space="0" w:color="auto"/>
            <w:left w:val="none" w:sz="0" w:space="0" w:color="auto"/>
            <w:bottom w:val="none" w:sz="0" w:space="0" w:color="auto"/>
            <w:right w:val="none" w:sz="0" w:space="0" w:color="auto"/>
          </w:divBdr>
        </w:div>
        <w:div w:id="770904356">
          <w:marLeft w:val="0"/>
          <w:marRight w:val="0"/>
          <w:marTop w:val="0"/>
          <w:marBottom w:val="0"/>
          <w:divBdr>
            <w:top w:val="none" w:sz="0" w:space="0" w:color="auto"/>
            <w:left w:val="none" w:sz="0" w:space="0" w:color="auto"/>
            <w:bottom w:val="none" w:sz="0" w:space="0" w:color="auto"/>
            <w:right w:val="none" w:sz="0" w:space="0" w:color="auto"/>
          </w:divBdr>
        </w:div>
        <w:div w:id="776482546">
          <w:marLeft w:val="0"/>
          <w:marRight w:val="0"/>
          <w:marTop w:val="0"/>
          <w:marBottom w:val="0"/>
          <w:divBdr>
            <w:top w:val="none" w:sz="0" w:space="0" w:color="auto"/>
            <w:left w:val="none" w:sz="0" w:space="0" w:color="auto"/>
            <w:bottom w:val="none" w:sz="0" w:space="0" w:color="auto"/>
            <w:right w:val="none" w:sz="0" w:space="0" w:color="auto"/>
          </w:divBdr>
        </w:div>
        <w:div w:id="789318187">
          <w:marLeft w:val="0"/>
          <w:marRight w:val="0"/>
          <w:marTop w:val="0"/>
          <w:marBottom w:val="0"/>
          <w:divBdr>
            <w:top w:val="none" w:sz="0" w:space="0" w:color="auto"/>
            <w:left w:val="none" w:sz="0" w:space="0" w:color="auto"/>
            <w:bottom w:val="none" w:sz="0" w:space="0" w:color="auto"/>
            <w:right w:val="none" w:sz="0" w:space="0" w:color="auto"/>
          </w:divBdr>
        </w:div>
        <w:div w:id="792284126">
          <w:marLeft w:val="0"/>
          <w:marRight w:val="0"/>
          <w:marTop w:val="0"/>
          <w:marBottom w:val="0"/>
          <w:divBdr>
            <w:top w:val="none" w:sz="0" w:space="0" w:color="auto"/>
            <w:left w:val="none" w:sz="0" w:space="0" w:color="auto"/>
            <w:bottom w:val="none" w:sz="0" w:space="0" w:color="auto"/>
            <w:right w:val="none" w:sz="0" w:space="0" w:color="auto"/>
          </w:divBdr>
        </w:div>
        <w:div w:id="793207034">
          <w:marLeft w:val="0"/>
          <w:marRight w:val="0"/>
          <w:marTop w:val="0"/>
          <w:marBottom w:val="0"/>
          <w:divBdr>
            <w:top w:val="none" w:sz="0" w:space="0" w:color="auto"/>
            <w:left w:val="none" w:sz="0" w:space="0" w:color="auto"/>
            <w:bottom w:val="none" w:sz="0" w:space="0" w:color="auto"/>
            <w:right w:val="none" w:sz="0" w:space="0" w:color="auto"/>
          </w:divBdr>
        </w:div>
        <w:div w:id="806357790">
          <w:marLeft w:val="0"/>
          <w:marRight w:val="0"/>
          <w:marTop w:val="0"/>
          <w:marBottom w:val="0"/>
          <w:divBdr>
            <w:top w:val="none" w:sz="0" w:space="0" w:color="auto"/>
            <w:left w:val="none" w:sz="0" w:space="0" w:color="auto"/>
            <w:bottom w:val="none" w:sz="0" w:space="0" w:color="auto"/>
            <w:right w:val="none" w:sz="0" w:space="0" w:color="auto"/>
          </w:divBdr>
        </w:div>
        <w:div w:id="818499922">
          <w:marLeft w:val="0"/>
          <w:marRight w:val="0"/>
          <w:marTop w:val="0"/>
          <w:marBottom w:val="0"/>
          <w:divBdr>
            <w:top w:val="none" w:sz="0" w:space="0" w:color="auto"/>
            <w:left w:val="none" w:sz="0" w:space="0" w:color="auto"/>
            <w:bottom w:val="none" w:sz="0" w:space="0" w:color="auto"/>
            <w:right w:val="none" w:sz="0" w:space="0" w:color="auto"/>
          </w:divBdr>
        </w:div>
        <w:div w:id="842427436">
          <w:marLeft w:val="0"/>
          <w:marRight w:val="0"/>
          <w:marTop w:val="0"/>
          <w:marBottom w:val="0"/>
          <w:divBdr>
            <w:top w:val="none" w:sz="0" w:space="0" w:color="auto"/>
            <w:left w:val="none" w:sz="0" w:space="0" w:color="auto"/>
            <w:bottom w:val="none" w:sz="0" w:space="0" w:color="auto"/>
            <w:right w:val="none" w:sz="0" w:space="0" w:color="auto"/>
          </w:divBdr>
        </w:div>
        <w:div w:id="842666608">
          <w:marLeft w:val="0"/>
          <w:marRight w:val="0"/>
          <w:marTop w:val="0"/>
          <w:marBottom w:val="0"/>
          <w:divBdr>
            <w:top w:val="none" w:sz="0" w:space="0" w:color="auto"/>
            <w:left w:val="none" w:sz="0" w:space="0" w:color="auto"/>
            <w:bottom w:val="none" w:sz="0" w:space="0" w:color="auto"/>
            <w:right w:val="none" w:sz="0" w:space="0" w:color="auto"/>
          </w:divBdr>
        </w:div>
        <w:div w:id="882060986">
          <w:marLeft w:val="0"/>
          <w:marRight w:val="0"/>
          <w:marTop w:val="0"/>
          <w:marBottom w:val="0"/>
          <w:divBdr>
            <w:top w:val="none" w:sz="0" w:space="0" w:color="auto"/>
            <w:left w:val="none" w:sz="0" w:space="0" w:color="auto"/>
            <w:bottom w:val="none" w:sz="0" w:space="0" w:color="auto"/>
            <w:right w:val="none" w:sz="0" w:space="0" w:color="auto"/>
          </w:divBdr>
        </w:div>
        <w:div w:id="896356971">
          <w:marLeft w:val="0"/>
          <w:marRight w:val="0"/>
          <w:marTop w:val="0"/>
          <w:marBottom w:val="0"/>
          <w:divBdr>
            <w:top w:val="none" w:sz="0" w:space="0" w:color="auto"/>
            <w:left w:val="none" w:sz="0" w:space="0" w:color="auto"/>
            <w:bottom w:val="none" w:sz="0" w:space="0" w:color="auto"/>
            <w:right w:val="none" w:sz="0" w:space="0" w:color="auto"/>
          </w:divBdr>
        </w:div>
        <w:div w:id="900362526">
          <w:marLeft w:val="0"/>
          <w:marRight w:val="0"/>
          <w:marTop w:val="0"/>
          <w:marBottom w:val="0"/>
          <w:divBdr>
            <w:top w:val="none" w:sz="0" w:space="0" w:color="auto"/>
            <w:left w:val="none" w:sz="0" w:space="0" w:color="auto"/>
            <w:bottom w:val="none" w:sz="0" w:space="0" w:color="auto"/>
            <w:right w:val="none" w:sz="0" w:space="0" w:color="auto"/>
          </w:divBdr>
        </w:div>
        <w:div w:id="922030959">
          <w:marLeft w:val="0"/>
          <w:marRight w:val="0"/>
          <w:marTop w:val="0"/>
          <w:marBottom w:val="0"/>
          <w:divBdr>
            <w:top w:val="none" w:sz="0" w:space="0" w:color="auto"/>
            <w:left w:val="none" w:sz="0" w:space="0" w:color="auto"/>
            <w:bottom w:val="none" w:sz="0" w:space="0" w:color="auto"/>
            <w:right w:val="none" w:sz="0" w:space="0" w:color="auto"/>
          </w:divBdr>
        </w:div>
        <w:div w:id="930361025">
          <w:marLeft w:val="0"/>
          <w:marRight w:val="0"/>
          <w:marTop w:val="0"/>
          <w:marBottom w:val="0"/>
          <w:divBdr>
            <w:top w:val="none" w:sz="0" w:space="0" w:color="auto"/>
            <w:left w:val="none" w:sz="0" w:space="0" w:color="auto"/>
            <w:bottom w:val="none" w:sz="0" w:space="0" w:color="auto"/>
            <w:right w:val="none" w:sz="0" w:space="0" w:color="auto"/>
          </w:divBdr>
        </w:div>
        <w:div w:id="935361412">
          <w:marLeft w:val="0"/>
          <w:marRight w:val="0"/>
          <w:marTop w:val="0"/>
          <w:marBottom w:val="0"/>
          <w:divBdr>
            <w:top w:val="none" w:sz="0" w:space="0" w:color="auto"/>
            <w:left w:val="none" w:sz="0" w:space="0" w:color="auto"/>
            <w:bottom w:val="none" w:sz="0" w:space="0" w:color="auto"/>
            <w:right w:val="none" w:sz="0" w:space="0" w:color="auto"/>
          </w:divBdr>
        </w:div>
        <w:div w:id="954143204">
          <w:marLeft w:val="0"/>
          <w:marRight w:val="0"/>
          <w:marTop w:val="0"/>
          <w:marBottom w:val="0"/>
          <w:divBdr>
            <w:top w:val="none" w:sz="0" w:space="0" w:color="auto"/>
            <w:left w:val="none" w:sz="0" w:space="0" w:color="auto"/>
            <w:bottom w:val="none" w:sz="0" w:space="0" w:color="auto"/>
            <w:right w:val="none" w:sz="0" w:space="0" w:color="auto"/>
          </w:divBdr>
        </w:div>
        <w:div w:id="983313544">
          <w:marLeft w:val="0"/>
          <w:marRight w:val="0"/>
          <w:marTop w:val="0"/>
          <w:marBottom w:val="0"/>
          <w:divBdr>
            <w:top w:val="none" w:sz="0" w:space="0" w:color="auto"/>
            <w:left w:val="none" w:sz="0" w:space="0" w:color="auto"/>
            <w:bottom w:val="none" w:sz="0" w:space="0" w:color="auto"/>
            <w:right w:val="none" w:sz="0" w:space="0" w:color="auto"/>
          </w:divBdr>
        </w:div>
        <w:div w:id="990526550">
          <w:marLeft w:val="0"/>
          <w:marRight w:val="0"/>
          <w:marTop w:val="0"/>
          <w:marBottom w:val="0"/>
          <w:divBdr>
            <w:top w:val="none" w:sz="0" w:space="0" w:color="auto"/>
            <w:left w:val="none" w:sz="0" w:space="0" w:color="auto"/>
            <w:bottom w:val="none" w:sz="0" w:space="0" w:color="auto"/>
            <w:right w:val="none" w:sz="0" w:space="0" w:color="auto"/>
          </w:divBdr>
        </w:div>
        <w:div w:id="1000238815">
          <w:marLeft w:val="0"/>
          <w:marRight w:val="0"/>
          <w:marTop w:val="0"/>
          <w:marBottom w:val="0"/>
          <w:divBdr>
            <w:top w:val="none" w:sz="0" w:space="0" w:color="auto"/>
            <w:left w:val="none" w:sz="0" w:space="0" w:color="auto"/>
            <w:bottom w:val="none" w:sz="0" w:space="0" w:color="auto"/>
            <w:right w:val="none" w:sz="0" w:space="0" w:color="auto"/>
          </w:divBdr>
        </w:div>
        <w:div w:id="1009218130">
          <w:marLeft w:val="0"/>
          <w:marRight w:val="0"/>
          <w:marTop w:val="0"/>
          <w:marBottom w:val="0"/>
          <w:divBdr>
            <w:top w:val="none" w:sz="0" w:space="0" w:color="auto"/>
            <w:left w:val="none" w:sz="0" w:space="0" w:color="auto"/>
            <w:bottom w:val="none" w:sz="0" w:space="0" w:color="auto"/>
            <w:right w:val="none" w:sz="0" w:space="0" w:color="auto"/>
          </w:divBdr>
        </w:div>
        <w:div w:id="1016350921">
          <w:marLeft w:val="0"/>
          <w:marRight w:val="0"/>
          <w:marTop w:val="0"/>
          <w:marBottom w:val="0"/>
          <w:divBdr>
            <w:top w:val="none" w:sz="0" w:space="0" w:color="auto"/>
            <w:left w:val="none" w:sz="0" w:space="0" w:color="auto"/>
            <w:bottom w:val="none" w:sz="0" w:space="0" w:color="auto"/>
            <w:right w:val="none" w:sz="0" w:space="0" w:color="auto"/>
          </w:divBdr>
        </w:div>
        <w:div w:id="1039360495">
          <w:marLeft w:val="0"/>
          <w:marRight w:val="0"/>
          <w:marTop w:val="0"/>
          <w:marBottom w:val="0"/>
          <w:divBdr>
            <w:top w:val="none" w:sz="0" w:space="0" w:color="auto"/>
            <w:left w:val="none" w:sz="0" w:space="0" w:color="auto"/>
            <w:bottom w:val="none" w:sz="0" w:space="0" w:color="auto"/>
            <w:right w:val="none" w:sz="0" w:space="0" w:color="auto"/>
          </w:divBdr>
        </w:div>
        <w:div w:id="1054157400">
          <w:marLeft w:val="0"/>
          <w:marRight w:val="0"/>
          <w:marTop w:val="0"/>
          <w:marBottom w:val="0"/>
          <w:divBdr>
            <w:top w:val="none" w:sz="0" w:space="0" w:color="auto"/>
            <w:left w:val="none" w:sz="0" w:space="0" w:color="auto"/>
            <w:bottom w:val="none" w:sz="0" w:space="0" w:color="auto"/>
            <w:right w:val="none" w:sz="0" w:space="0" w:color="auto"/>
          </w:divBdr>
        </w:div>
        <w:div w:id="1059717130">
          <w:marLeft w:val="0"/>
          <w:marRight w:val="0"/>
          <w:marTop w:val="0"/>
          <w:marBottom w:val="0"/>
          <w:divBdr>
            <w:top w:val="none" w:sz="0" w:space="0" w:color="auto"/>
            <w:left w:val="none" w:sz="0" w:space="0" w:color="auto"/>
            <w:bottom w:val="none" w:sz="0" w:space="0" w:color="auto"/>
            <w:right w:val="none" w:sz="0" w:space="0" w:color="auto"/>
          </w:divBdr>
        </w:div>
        <w:div w:id="1060598423">
          <w:marLeft w:val="0"/>
          <w:marRight w:val="0"/>
          <w:marTop w:val="0"/>
          <w:marBottom w:val="0"/>
          <w:divBdr>
            <w:top w:val="none" w:sz="0" w:space="0" w:color="auto"/>
            <w:left w:val="none" w:sz="0" w:space="0" w:color="auto"/>
            <w:bottom w:val="none" w:sz="0" w:space="0" w:color="auto"/>
            <w:right w:val="none" w:sz="0" w:space="0" w:color="auto"/>
          </w:divBdr>
        </w:div>
        <w:div w:id="1119178711">
          <w:marLeft w:val="0"/>
          <w:marRight w:val="0"/>
          <w:marTop w:val="0"/>
          <w:marBottom w:val="0"/>
          <w:divBdr>
            <w:top w:val="none" w:sz="0" w:space="0" w:color="auto"/>
            <w:left w:val="none" w:sz="0" w:space="0" w:color="auto"/>
            <w:bottom w:val="none" w:sz="0" w:space="0" w:color="auto"/>
            <w:right w:val="none" w:sz="0" w:space="0" w:color="auto"/>
          </w:divBdr>
        </w:div>
        <w:div w:id="1121611618">
          <w:marLeft w:val="0"/>
          <w:marRight w:val="0"/>
          <w:marTop w:val="0"/>
          <w:marBottom w:val="0"/>
          <w:divBdr>
            <w:top w:val="none" w:sz="0" w:space="0" w:color="auto"/>
            <w:left w:val="none" w:sz="0" w:space="0" w:color="auto"/>
            <w:bottom w:val="none" w:sz="0" w:space="0" w:color="auto"/>
            <w:right w:val="none" w:sz="0" w:space="0" w:color="auto"/>
          </w:divBdr>
        </w:div>
        <w:div w:id="1134904465">
          <w:marLeft w:val="0"/>
          <w:marRight w:val="0"/>
          <w:marTop w:val="0"/>
          <w:marBottom w:val="0"/>
          <w:divBdr>
            <w:top w:val="none" w:sz="0" w:space="0" w:color="auto"/>
            <w:left w:val="none" w:sz="0" w:space="0" w:color="auto"/>
            <w:bottom w:val="none" w:sz="0" w:space="0" w:color="auto"/>
            <w:right w:val="none" w:sz="0" w:space="0" w:color="auto"/>
          </w:divBdr>
        </w:div>
        <w:div w:id="1142043163">
          <w:marLeft w:val="0"/>
          <w:marRight w:val="0"/>
          <w:marTop w:val="0"/>
          <w:marBottom w:val="0"/>
          <w:divBdr>
            <w:top w:val="none" w:sz="0" w:space="0" w:color="auto"/>
            <w:left w:val="none" w:sz="0" w:space="0" w:color="auto"/>
            <w:bottom w:val="none" w:sz="0" w:space="0" w:color="auto"/>
            <w:right w:val="none" w:sz="0" w:space="0" w:color="auto"/>
          </w:divBdr>
        </w:div>
        <w:div w:id="1153789527">
          <w:marLeft w:val="0"/>
          <w:marRight w:val="0"/>
          <w:marTop w:val="0"/>
          <w:marBottom w:val="0"/>
          <w:divBdr>
            <w:top w:val="none" w:sz="0" w:space="0" w:color="auto"/>
            <w:left w:val="none" w:sz="0" w:space="0" w:color="auto"/>
            <w:bottom w:val="none" w:sz="0" w:space="0" w:color="auto"/>
            <w:right w:val="none" w:sz="0" w:space="0" w:color="auto"/>
          </w:divBdr>
        </w:div>
        <w:div w:id="1155493793">
          <w:marLeft w:val="0"/>
          <w:marRight w:val="0"/>
          <w:marTop w:val="0"/>
          <w:marBottom w:val="0"/>
          <w:divBdr>
            <w:top w:val="none" w:sz="0" w:space="0" w:color="auto"/>
            <w:left w:val="none" w:sz="0" w:space="0" w:color="auto"/>
            <w:bottom w:val="none" w:sz="0" w:space="0" w:color="auto"/>
            <w:right w:val="none" w:sz="0" w:space="0" w:color="auto"/>
          </w:divBdr>
        </w:div>
        <w:div w:id="1177311996">
          <w:marLeft w:val="0"/>
          <w:marRight w:val="0"/>
          <w:marTop w:val="0"/>
          <w:marBottom w:val="0"/>
          <w:divBdr>
            <w:top w:val="none" w:sz="0" w:space="0" w:color="auto"/>
            <w:left w:val="none" w:sz="0" w:space="0" w:color="auto"/>
            <w:bottom w:val="none" w:sz="0" w:space="0" w:color="auto"/>
            <w:right w:val="none" w:sz="0" w:space="0" w:color="auto"/>
          </w:divBdr>
        </w:div>
        <w:div w:id="1191914072">
          <w:marLeft w:val="0"/>
          <w:marRight w:val="0"/>
          <w:marTop w:val="0"/>
          <w:marBottom w:val="0"/>
          <w:divBdr>
            <w:top w:val="none" w:sz="0" w:space="0" w:color="auto"/>
            <w:left w:val="none" w:sz="0" w:space="0" w:color="auto"/>
            <w:bottom w:val="none" w:sz="0" w:space="0" w:color="auto"/>
            <w:right w:val="none" w:sz="0" w:space="0" w:color="auto"/>
          </w:divBdr>
        </w:div>
        <w:div w:id="1226801068">
          <w:marLeft w:val="0"/>
          <w:marRight w:val="0"/>
          <w:marTop w:val="0"/>
          <w:marBottom w:val="0"/>
          <w:divBdr>
            <w:top w:val="none" w:sz="0" w:space="0" w:color="auto"/>
            <w:left w:val="none" w:sz="0" w:space="0" w:color="auto"/>
            <w:bottom w:val="none" w:sz="0" w:space="0" w:color="auto"/>
            <w:right w:val="none" w:sz="0" w:space="0" w:color="auto"/>
          </w:divBdr>
        </w:div>
        <w:div w:id="1227106328">
          <w:marLeft w:val="0"/>
          <w:marRight w:val="0"/>
          <w:marTop w:val="0"/>
          <w:marBottom w:val="0"/>
          <w:divBdr>
            <w:top w:val="none" w:sz="0" w:space="0" w:color="auto"/>
            <w:left w:val="none" w:sz="0" w:space="0" w:color="auto"/>
            <w:bottom w:val="none" w:sz="0" w:space="0" w:color="auto"/>
            <w:right w:val="none" w:sz="0" w:space="0" w:color="auto"/>
          </w:divBdr>
        </w:div>
        <w:div w:id="1234730651">
          <w:marLeft w:val="0"/>
          <w:marRight w:val="0"/>
          <w:marTop w:val="0"/>
          <w:marBottom w:val="0"/>
          <w:divBdr>
            <w:top w:val="none" w:sz="0" w:space="0" w:color="auto"/>
            <w:left w:val="none" w:sz="0" w:space="0" w:color="auto"/>
            <w:bottom w:val="none" w:sz="0" w:space="0" w:color="auto"/>
            <w:right w:val="none" w:sz="0" w:space="0" w:color="auto"/>
          </w:divBdr>
        </w:div>
        <w:div w:id="1246498280">
          <w:marLeft w:val="0"/>
          <w:marRight w:val="0"/>
          <w:marTop w:val="0"/>
          <w:marBottom w:val="0"/>
          <w:divBdr>
            <w:top w:val="none" w:sz="0" w:space="0" w:color="auto"/>
            <w:left w:val="none" w:sz="0" w:space="0" w:color="auto"/>
            <w:bottom w:val="none" w:sz="0" w:space="0" w:color="auto"/>
            <w:right w:val="none" w:sz="0" w:space="0" w:color="auto"/>
          </w:divBdr>
        </w:div>
        <w:div w:id="1252932965">
          <w:marLeft w:val="0"/>
          <w:marRight w:val="0"/>
          <w:marTop w:val="0"/>
          <w:marBottom w:val="0"/>
          <w:divBdr>
            <w:top w:val="none" w:sz="0" w:space="0" w:color="auto"/>
            <w:left w:val="none" w:sz="0" w:space="0" w:color="auto"/>
            <w:bottom w:val="none" w:sz="0" w:space="0" w:color="auto"/>
            <w:right w:val="none" w:sz="0" w:space="0" w:color="auto"/>
          </w:divBdr>
        </w:div>
        <w:div w:id="1258054717">
          <w:marLeft w:val="0"/>
          <w:marRight w:val="0"/>
          <w:marTop w:val="0"/>
          <w:marBottom w:val="0"/>
          <w:divBdr>
            <w:top w:val="none" w:sz="0" w:space="0" w:color="auto"/>
            <w:left w:val="none" w:sz="0" w:space="0" w:color="auto"/>
            <w:bottom w:val="none" w:sz="0" w:space="0" w:color="auto"/>
            <w:right w:val="none" w:sz="0" w:space="0" w:color="auto"/>
          </w:divBdr>
        </w:div>
        <w:div w:id="1262764380">
          <w:marLeft w:val="0"/>
          <w:marRight w:val="0"/>
          <w:marTop w:val="0"/>
          <w:marBottom w:val="0"/>
          <w:divBdr>
            <w:top w:val="none" w:sz="0" w:space="0" w:color="auto"/>
            <w:left w:val="none" w:sz="0" w:space="0" w:color="auto"/>
            <w:bottom w:val="none" w:sz="0" w:space="0" w:color="auto"/>
            <w:right w:val="none" w:sz="0" w:space="0" w:color="auto"/>
          </w:divBdr>
        </w:div>
        <w:div w:id="1263534348">
          <w:marLeft w:val="0"/>
          <w:marRight w:val="0"/>
          <w:marTop w:val="0"/>
          <w:marBottom w:val="0"/>
          <w:divBdr>
            <w:top w:val="none" w:sz="0" w:space="0" w:color="auto"/>
            <w:left w:val="none" w:sz="0" w:space="0" w:color="auto"/>
            <w:bottom w:val="none" w:sz="0" w:space="0" w:color="auto"/>
            <w:right w:val="none" w:sz="0" w:space="0" w:color="auto"/>
          </w:divBdr>
        </w:div>
        <w:div w:id="1272326071">
          <w:marLeft w:val="0"/>
          <w:marRight w:val="0"/>
          <w:marTop w:val="0"/>
          <w:marBottom w:val="0"/>
          <w:divBdr>
            <w:top w:val="none" w:sz="0" w:space="0" w:color="auto"/>
            <w:left w:val="none" w:sz="0" w:space="0" w:color="auto"/>
            <w:bottom w:val="none" w:sz="0" w:space="0" w:color="auto"/>
            <w:right w:val="none" w:sz="0" w:space="0" w:color="auto"/>
          </w:divBdr>
        </w:div>
        <w:div w:id="1274049677">
          <w:marLeft w:val="0"/>
          <w:marRight w:val="0"/>
          <w:marTop w:val="0"/>
          <w:marBottom w:val="0"/>
          <w:divBdr>
            <w:top w:val="none" w:sz="0" w:space="0" w:color="auto"/>
            <w:left w:val="none" w:sz="0" w:space="0" w:color="auto"/>
            <w:bottom w:val="none" w:sz="0" w:space="0" w:color="auto"/>
            <w:right w:val="none" w:sz="0" w:space="0" w:color="auto"/>
          </w:divBdr>
        </w:div>
        <w:div w:id="1298338487">
          <w:marLeft w:val="0"/>
          <w:marRight w:val="0"/>
          <w:marTop w:val="0"/>
          <w:marBottom w:val="0"/>
          <w:divBdr>
            <w:top w:val="none" w:sz="0" w:space="0" w:color="auto"/>
            <w:left w:val="none" w:sz="0" w:space="0" w:color="auto"/>
            <w:bottom w:val="none" w:sz="0" w:space="0" w:color="auto"/>
            <w:right w:val="none" w:sz="0" w:space="0" w:color="auto"/>
          </w:divBdr>
        </w:div>
        <w:div w:id="1302494120">
          <w:marLeft w:val="0"/>
          <w:marRight w:val="0"/>
          <w:marTop w:val="0"/>
          <w:marBottom w:val="0"/>
          <w:divBdr>
            <w:top w:val="none" w:sz="0" w:space="0" w:color="auto"/>
            <w:left w:val="none" w:sz="0" w:space="0" w:color="auto"/>
            <w:bottom w:val="none" w:sz="0" w:space="0" w:color="auto"/>
            <w:right w:val="none" w:sz="0" w:space="0" w:color="auto"/>
          </w:divBdr>
        </w:div>
        <w:div w:id="1328174639">
          <w:marLeft w:val="0"/>
          <w:marRight w:val="0"/>
          <w:marTop w:val="0"/>
          <w:marBottom w:val="0"/>
          <w:divBdr>
            <w:top w:val="none" w:sz="0" w:space="0" w:color="auto"/>
            <w:left w:val="none" w:sz="0" w:space="0" w:color="auto"/>
            <w:bottom w:val="none" w:sz="0" w:space="0" w:color="auto"/>
            <w:right w:val="none" w:sz="0" w:space="0" w:color="auto"/>
          </w:divBdr>
        </w:div>
        <w:div w:id="1366783829">
          <w:marLeft w:val="0"/>
          <w:marRight w:val="0"/>
          <w:marTop w:val="0"/>
          <w:marBottom w:val="0"/>
          <w:divBdr>
            <w:top w:val="none" w:sz="0" w:space="0" w:color="auto"/>
            <w:left w:val="none" w:sz="0" w:space="0" w:color="auto"/>
            <w:bottom w:val="none" w:sz="0" w:space="0" w:color="auto"/>
            <w:right w:val="none" w:sz="0" w:space="0" w:color="auto"/>
          </w:divBdr>
        </w:div>
        <w:div w:id="1385173608">
          <w:marLeft w:val="0"/>
          <w:marRight w:val="0"/>
          <w:marTop w:val="0"/>
          <w:marBottom w:val="0"/>
          <w:divBdr>
            <w:top w:val="none" w:sz="0" w:space="0" w:color="auto"/>
            <w:left w:val="none" w:sz="0" w:space="0" w:color="auto"/>
            <w:bottom w:val="none" w:sz="0" w:space="0" w:color="auto"/>
            <w:right w:val="none" w:sz="0" w:space="0" w:color="auto"/>
          </w:divBdr>
        </w:div>
        <w:div w:id="1392194395">
          <w:marLeft w:val="0"/>
          <w:marRight w:val="0"/>
          <w:marTop w:val="0"/>
          <w:marBottom w:val="0"/>
          <w:divBdr>
            <w:top w:val="none" w:sz="0" w:space="0" w:color="auto"/>
            <w:left w:val="none" w:sz="0" w:space="0" w:color="auto"/>
            <w:bottom w:val="none" w:sz="0" w:space="0" w:color="auto"/>
            <w:right w:val="none" w:sz="0" w:space="0" w:color="auto"/>
          </w:divBdr>
        </w:div>
        <w:div w:id="1412388254">
          <w:marLeft w:val="0"/>
          <w:marRight w:val="0"/>
          <w:marTop w:val="0"/>
          <w:marBottom w:val="0"/>
          <w:divBdr>
            <w:top w:val="none" w:sz="0" w:space="0" w:color="auto"/>
            <w:left w:val="none" w:sz="0" w:space="0" w:color="auto"/>
            <w:bottom w:val="none" w:sz="0" w:space="0" w:color="auto"/>
            <w:right w:val="none" w:sz="0" w:space="0" w:color="auto"/>
          </w:divBdr>
        </w:div>
        <w:div w:id="1418091680">
          <w:marLeft w:val="0"/>
          <w:marRight w:val="0"/>
          <w:marTop w:val="0"/>
          <w:marBottom w:val="0"/>
          <w:divBdr>
            <w:top w:val="none" w:sz="0" w:space="0" w:color="auto"/>
            <w:left w:val="none" w:sz="0" w:space="0" w:color="auto"/>
            <w:bottom w:val="none" w:sz="0" w:space="0" w:color="auto"/>
            <w:right w:val="none" w:sz="0" w:space="0" w:color="auto"/>
          </w:divBdr>
        </w:div>
        <w:div w:id="1456631220">
          <w:marLeft w:val="0"/>
          <w:marRight w:val="0"/>
          <w:marTop w:val="0"/>
          <w:marBottom w:val="0"/>
          <w:divBdr>
            <w:top w:val="none" w:sz="0" w:space="0" w:color="auto"/>
            <w:left w:val="none" w:sz="0" w:space="0" w:color="auto"/>
            <w:bottom w:val="none" w:sz="0" w:space="0" w:color="auto"/>
            <w:right w:val="none" w:sz="0" w:space="0" w:color="auto"/>
          </w:divBdr>
        </w:div>
        <w:div w:id="1468930717">
          <w:marLeft w:val="0"/>
          <w:marRight w:val="0"/>
          <w:marTop w:val="0"/>
          <w:marBottom w:val="0"/>
          <w:divBdr>
            <w:top w:val="none" w:sz="0" w:space="0" w:color="auto"/>
            <w:left w:val="none" w:sz="0" w:space="0" w:color="auto"/>
            <w:bottom w:val="none" w:sz="0" w:space="0" w:color="auto"/>
            <w:right w:val="none" w:sz="0" w:space="0" w:color="auto"/>
          </w:divBdr>
        </w:div>
        <w:div w:id="1504935735">
          <w:marLeft w:val="0"/>
          <w:marRight w:val="0"/>
          <w:marTop w:val="0"/>
          <w:marBottom w:val="0"/>
          <w:divBdr>
            <w:top w:val="none" w:sz="0" w:space="0" w:color="auto"/>
            <w:left w:val="none" w:sz="0" w:space="0" w:color="auto"/>
            <w:bottom w:val="none" w:sz="0" w:space="0" w:color="auto"/>
            <w:right w:val="none" w:sz="0" w:space="0" w:color="auto"/>
          </w:divBdr>
        </w:div>
        <w:div w:id="1520659928">
          <w:marLeft w:val="0"/>
          <w:marRight w:val="0"/>
          <w:marTop w:val="0"/>
          <w:marBottom w:val="0"/>
          <w:divBdr>
            <w:top w:val="none" w:sz="0" w:space="0" w:color="auto"/>
            <w:left w:val="none" w:sz="0" w:space="0" w:color="auto"/>
            <w:bottom w:val="none" w:sz="0" w:space="0" w:color="auto"/>
            <w:right w:val="none" w:sz="0" w:space="0" w:color="auto"/>
          </w:divBdr>
        </w:div>
        <w:div w:id="1556627228">
          <w:marLeft w:val="0"/>
          <w:marRight w:val="0"/>
          <w:marTop w:val="0"/>
          <w:marBottom w:val="0"/>
          <w:divBdr>
            <w:top w:val="none" w:sz="0" w:space="0" w:color="auto"/>
            <w:left w:val="none" w:sz="0" w:space="0" w:color="auto"/>
            <w:bottom w:val="none" w:sz="0" w:space="0" w:color="auto"/>
            <w:right w:val="none" w:sz="0" w:space="0" w:color="auto"/>
          </w:divBdr>
        </w:div>
        <w:div w:id="1580017806">
          <w:marLeft w:val="0"/>
          <w:marRight w:val="0"/>
          <w:marTop w:val="0"/>
          <w:marBottom w:val="0"/>
          <w:divBdr>
            <w:top w:val="none" w:sz="0" w:space="0" w:color="auto"/>
            <w:left w:val="none" w:sz="0" w:space="0" w:color="auto"/>
            <w:bottom w:val="none" w:sz="0" w:space="0" w:color="auto"/>
            <w:right w:val="none" w:sz="0" w:space="0" w:color="auto"/>
          </w:divBdr>
        </w:div>
        <w:div w:id="1580284216">
          <w:marLeft w:val="0"/>
          <w:marRight w:val="0"/>
          <w:marTop w:val="0"/>
          <w:marBottom w:val="0"/>
          <w:divBdr>
            <w:top w:val="none" w:sz="0" w:space="0" w:color="auto"/>
            <w:left w:val="none" w:sz="0" w:space="0" w:color="auto"/>
            <w:bottom w:val="none" w:sz="0" w:space="0" w:color="auto"/>
            <w:right w:val="none" w:sz="0" w:space="0" w:color="auto"/>
          </w:divBdr>
        </w:div>
        <w:div w:id="1609193448">
          <w:marLeft w:val="0"/>
          <w:marRight w:val="0"/>
          <w:marTop w:val="0"/>
          <w:marBottom w:val="0"/>
          <w:divBdr>
            <w:top w:val="none" w:sz="0" w:space="0" w:color="auto"/>
            <w:left w:val="none" w:sz="0" w:space="0" w:color="auto"/>
            <w:bottom w:val="none" w:sz="0" w:space="0" w:color="auto"/>
            <w:right w:val="none" w:sz="0" w:space="0" w:color="auto"/>
          </w:divBdr>
        </w:div>
        <w:div w:id="1650211245">
          <w:marLeft w:val="0"/>
          <w:marRight w:val="0"/>
          <w:marTop w:val="0"/>
          <w:marBottom w:val="0"/>
          <w:divBdr>
            <w:top w:val="none" w:sz="0" w:space="0" w:color="auto"/>
            <w:left w:val="none" w:sz="0" w:space="0" w:color="auto"/>
            <w:bottom w:val="none" w:sz="0" w:space="0" w:color="auto"/>
            <w:right w:val="none" w:sz="0" w:space="0" w:color="auto"/>
          </w:divBdr>
        </w:div>
        <w:div w:id="1654795341">
          <w:marLeft w:val="0"/>
          <w:marRight w:val="0"/>
          <w:marTop w:val="0"/>
          <w:marBottom w:val="0"/>
          <w:divBdr>
            <w:top w:val="none" w:sz="0" w:space="0" w:color="auto"/>
            <w:left w:val="none" w:sz="0" w:space="0" w:color="auto"/>
            <w:bottom w:val="none" w:sz="0" w:space="0" w:color="auto"/>
            <w:right w:val="none" w:sz="0" w:space="0" w:color="auto"/>
          </w:divBdr>
        </w:div>
        <w:div w:id="1658532389">
          <w:marLeft w:val="0"/>
          <w:marRight w:val="0"/>
          <w:marTop w:val="0"/>
          <w:marBottom w:val="0"/>
          <w:divBdr>
            <w:top w:val="none" w:sz="0" w:space="0" w:color="auto"/>
            <w:left w:val="none" w:sz="0" w:space="0" w:color="auto"/>
            <w:bottom w:val="none" w:sz="0" w:space="0" w:color="auto"/>
            <w:right w:val="none" w:sz="0" w:space="0" w:color="auto"/>
          </w:divBdr>
        </w:div>
        <w:div w:id="1663116064">
          <w:marLeft w:val="0"/>
          <w:marRight w:val="0"/>
          <w:marTop w:val="0"/>
          <w:marBottom w:val="0"/>
          <w:divBdr>
            <w:top w:val="none" w:sz="0" w:space="0" w:color="auto"/>
            <w:left w:val="none" w:sz="0" w:space="0" w:color="auto"/>
            <w:bottom w:val="none" w:sz="0" w:space="0" w:color="auto"/>
            <w:right w:val="none" w:sz="0" w:space="0" w:color="auto"/>
          </w:divBdr>
        </w:div>
        <w:div w:id="1673068759">
          <w:marLeft w:val="0"/>
          <w:marRight w:val="0"/>
          <w:marTop w:val="0"/>
          <w:marBottom w:val="0"/>
          <w:divBdr>
            <w:top w:val="none" w:sz="0" w:space="0" w:color="auto"/>
            <w:left w:val="none" w:sz="0" w:space="0" w:color="auto"/>
            <w:bottom w:val="none" w:sz="0" w:space="0" w:color="auto"/>
            <w:right w:val="none" w:sz="0" w:space="0" w:color="auto"/>
          </w:divBdr>
        </w:div>
        <w:div w:id="1683703690">
          <w:marLeft w:val="0"/>
          <w:marRight w:val="0"/>
          <w:marTop w:val="0"/>
          <w:marBottom w:val="0"/>
          <w:divBdr>
            <w:top w:val="none" w:sz="0" w:space="0" w:color="auto"/>
            <w:left w:val="none" w:sz="0" w:space="0" w:color="auto"/>
            <w:bottom w:val="none" w:sz="0" w:space="0" w:color="auto"/>
            <w:right w:val="none" w:sz="0" w:space="0" w:color="auto"/>
          </w:divBdr>
        </w:div>
        <w:div w:id="1684242009">
          <w:marLeft w:val="0"/>
          <w:marRight w:val="0"/>
          <w:marTop w:val="0"/>
          <w:marBottom w:val="0"/>
          <w:divBdr>
            <w:top w:val="none" w:sz="0" w:space="0" w:color="auto"/>
            <w:left w:val="none" w:sz="0" w:space="0" w:color="auto"/>
            <w:bottom w:val="none" w:sz="0" w:space="0" w:color="auto"/>
            <w:right w:val="none" w:sz="0" w:space="0" w:color="auto"/>
          </w:divBdr>
        </w:div>
        <w:div w:id="1701934414">
          <w:marLeft w:val="0"/>
          <w:marRight w:val="0"/>
          <w:marTop w:val="0"/>
          <w:marBottom w:val="0"/>
          <w:divBdr>
            <w:top w:val="none" w:sz="0" w:space="0" w:color="auto"/>
            <w:left w:val="none" w:sz="0" w:space="0" w:color="auto"/>
            <w:bottom w:val="none" w:sz="0" w:space="0" w:color="auto"/>
            <w:right w:val="none" w:sz="0" w:space="0" w:color="auto"/>
          </w:divBdr>
        </w:div>
        <w:div w:id="1707027154">
          <w:marLeft w:val="0"/>
          <w:marRight w:val="0"/>
          <w:marTop w:val="0"/>
          <w:marBottom w:val="0"/>
          <w:divBdr>
            <w:top w:val="none" w:sz="0" w:space="0" w:color="auto"/>
            <w:left w:val="none" w:sz="0" w:space="0" w:color="auto"/>
            <w:bottom w:val="none" w:sz="0" w:space="0" w:color="auto"/>
            <w:right w:val="none" w:sz="0" w:space="0" w:color="auto"/>
          </w:divBdr>
        </w:div>
        <w:div w:id="1707633593">
          <w:marLeft w:val="0"/>
          <w:marRight w:val="0"/>
          <w:marTop w:val="0"/>
          <w:marBottom w:val="0"/>
          <w:divBdr>
            <w:top w:val="none" w:sz="0" w:space="0" w:color="auto"/>
            <w:left w:val="none" w:sz="0" w:space="0" w:color="auto"/>
            <w:bottom w:val="none" w:sz="0" w:space="0" w:color="auto"/>
            <w:right w:val="none" w:sz="0" w:space="0" w:color="auto"/>
          </w:divBdr>
        </w:div>
        <w:div w:id="1716931976">
          <w:marLeft w:val="0"/>
          <w:marRight w:val="0"/>
          <w:marTop w:val="0"/>
          <w:marBottom w:val="0"/>
          <w:divBdr>
            <w:top w:val="none" w:sz="0" w:space="0" w:color="auto"/>
            <w:left w:val="none" w:sz="0" w:space="0" w:color="auto"/>
            <w:bottom w:val="none" w:sz="0" w:space="0" w:color="auto"/>
            <w:right w:val="none" w:sz="0" w:space="0" w:color="auto"/>
          </w:divBdr>
        </w:div>
        <w:div w:id="1742363915">
          <w:marLeft w:val="0"/>
          <w:marRight w:val="0"/>
          <w:marTop w:val="0"/>
          <w:marBottom w:val="0"/>
          <w:divBdr>
            <w:top w:val="none" w:sz="0" w:space="0" w:color="auto"/>
            <w:left w:val="none" w:sz="0" w:space="0" w:color="auto"/>
            <w:bottom w:val="none" w:sz="0" w:space="0" w:color="auto"/>
            <w:right w:val="none" w:sz="0" w:space="0" w:color="auto"/>
          </w:divBdr>
        </w:div>
        <w:div w:id="1752048511">
          <w:marLeft w:val="0"/>
          <w:marRight w:val="0"/>
          <w:marTop w:val="0"/>
          <w:marBottom w:val="0"/>
          <w:divBdr>
            <w:top w:val="none" w:sz="0" w:space="0" w:color="auto"/>
            <w:left w:val="none" w:sz="0" w:space="0" w:color="auto"/>
            <w:bottom w:val="none" w:sz="0" w:space="0" w:color="auto"/>
            <w:right w:val="none" w:sz="0" w:space="0" w:color="auto"/>
          </w:divBdr>
        </w:div>
        <w:div w:id="1764035130">
          <w:marLeft w:val="0"/>
          <w:marRight w:val="0"/>
          <w:marTop w:val="0"/>
          <w:marBottom w:val="0"/>
          <w:divBdr>
            <w:top w:val="none" w:sz="0" w:space="0" w:color="auto"/>
            <w:left w:val="none" w:sz="0" w:space="0" w:color="auto"/>
            <w:bottom w:val="none" w:sz="0" w:space="0" w:color="auto"/>
            <w:right w:val="none" w:sz="0" w:space="0" w:color="auto"/>
          </w:divBdr>
        </w:div>
        <w:div w:id="1794787065">
          <w:marLeft w:val="0"/>
          <w:marRight w:val="0"/>
          <w:marTop w:val="0"/>
          <w:marBottom w:val="0"/>
          <w:divBdr>
            <w:top w:val="none" w:sz="0" w:space="0" w:color="auto"/>
            <w:left w:val="none" w:sz="0" w:space="0" w:color="auto"/>
            <w:bottom w:val="none" w:sz="0" w:space="0" w:color="auto"/>
            <w:right w:val="none" w:sz="0" w:space="0" w:color="auto"/>
          </w:divBdr>
        </w:div>
        <w:div w:id="1797487604">
          <w:marLeft w:val="0"/>
          <w:marRight w:val="0"/>
          <w:marTop w:val="0"/>
          <w:marBottom w:val="0"/>
          <w:divBdr>
            <w:top w:val="none" w:sz="0" w:space="0" w:color="auto"/>
            <w:left w:val="none" w:sz="0" w:space="0" w:color="auto"/>
            <w:bottom w:val="none" w:sz="0" w:space="0" w:color="auto"/>
            <w:right w:val="none" w:sz="0" w:space="0" w:color="auto"/>
          </w:divBdr>
        </w:div>
        <w:div w:id="1813403538">
          <w:marLeft w:val="0"/>
          <w:marRight w:val="0"/>
          <w:marTop w:val="0"/>
          <w:marBottom w:val="0"/>
          <w:divBdr>
            <w:top w:val="none" w:sz="0" w:space="0" w:color="auto"/>
            <w:left w:val="none" w:sz="0" w:space="0" w:color="auto"/>
            <w:bottom w:val="none" w:sz="0" w:space="0" w:color="auto"/>
            <w:right w:val="none" w:sz="0" w:space="0" w:color="auto"/>
          </w:divBdr>
        </w:div>
        <w:div w:id="1851525444">
          <w:marLeft w:val="0"/>
          <w:marRight w:val="0"/>
          <w:marTop w:val="0"/>
          <w:marBottom w:val="0"/>
          <w:divBdr>
            <w:top w:val="none" w:sz="0" w:space="0" w:color="auto"/>
            <w:left w:val="none" w:sz="0" w:space="0" w:color="auto"/>
            <w:bottom w:val="none" w:sz="0" w:space="0" w:color="auto"/>
            <w:right w:val="none" w:sz="0" w:space="0" w:color="auto"/>
          </w:divBdr>
        </w:div>
        <w:div w:id="1855994442">
          <w:marLeft w:val="0"/>
          <w:marRight w:val="0"/>
          <w:marTop w:val="0"/>
          <w:marBottom w:val="0"/>
          <w:divBdr>
            <w:top w:val="none" w:sz="0" w:space="0" w:color="auto"/>
            <w:left w:val="none" w:sz="0" w:space="0" w:color="auto"/>
            <w:bottom w:val="none" w:sz="0" w:space="0" w:color="auto"/>
            <w:right w:val="none" w:sz="0" w:space="0" w:color="auto"/>
          </w:divBdr>
        </w:div>
        <w:div w:id="1877153947">
          <w:marLeft w:val="0"/>
          <w:marRight w:val="0"/>
          <w:marTop w:val="0"/>
          <w:marBottom w:val="0"/>
          <w:divBdr>
            <w:top w:val="none" w:sz="0" w:space="0" w:color="auto"/>
            <w:left w:val="none" w:sz="0" w:space="0" w:color="auto"/>
            <w:bottom w:val="none" w:sz="0" w:space="0" w:color="auto"/>
            <w:right w:val="none" w:sz="0" w:space="0" w:color="auto"/>
          </w:divBdr>
        </w:div>
        <w:div w:id="1910723723">
          <w:marLeft w:val="0"/>
          <w:marRight w:val="0"/>
          <w:marTop w:val="0"/>
          <w:marBottom w:val="0"/>
          <w:divBdr>
            <w:top w:val="none" w:sz="0" w:space="0" w:color="auto"/>
            <w:left w:val="none" w:sz="0" w:space="0" w:color="auto"/>
            <w:bottom w:val="none" w:sz="0" w:space="0" w:color="auto"/>
            <w:right w:val="none" w:sz="0" w:space="0" w:color="auto"/>
          </w:divBdr>
        </w:div>
        <w:div w:id="1921863396">
          <w:marLeft w:val="0"/>
          <w:marRight w:val="0"/>
          <w:marTop w:val="0"/>
          <w:marBottom w:val="0"/>
          <w:divBdr>
            <w:top w:val="none" w:sz="0" w:space="0" w:color="auto"/>
            <w:left w:val="none" w:sz="0" w:space="0" w:color="auto"/>
            <w:bottom w:val="none" w:sz="0" w:space="0" w:color="auto"/>
            <w:right w:val="none" w:sz="0" w:space="0" w:color="auto"/>
          </w:divBdr>
        </w:div>
        <w:div w:id="1935285850">
          <w:marLeft w:val="0"/>
          <w:marRight w:val="0"/>
          <w:marTop w:val="0"/>
          <w:marBottom w:val="0"/>
          <w:divBdr>
            <w:top w:val="none" w:sz="0" w:space="0" w:color="auto"/>
            <w:left w:val="none" w:sz="0" w:space="0" w:color="auto"/>
            <w:bottom w:val="none" w:sz="0" w:space="0" w:color="auto"/>
            <w:right w:val="none" w:sz="0" w:space="0" w:color="auto"/>
          </w:divBdr>
        </w:div>
        <w:div w:id="1936092650">
          <w:marLeft w:val="0"/>
          <w:marRight w:val="0"/>
          <w:marTop w:val="0"/>
          <w:marBottom w:val="0"/>
          <w:divBdr>
            <w:top w:val="none" w:sz="0" w:space="0" w:color="auto"/>
            <w:left w:val="none" w:sz="0" w:space="0" w:color="auto"/>
            <w:bottom w:val="none" w:sz="0" w:space="0" w:color="auto"/>
            <w:right w:val="none" w:sz="0" w:space="0" w:color="auto"/>
          </w:divBdr>
        </w:div>
        <w:div w:id="1946307346">
          <w:marLeft w:val="0"/>
          <w:marRight w:val="0"/>
          <w:marTop w:val="0"/>
          <w:marBottom w:val="0"/>
          <w:divBdr>
            <w:top w:val="none" w:sz="0" w:space="0" w:color="auto"/>
            <w:left w:val="none" w:sz="0" w:space="0" w:color="auto"/>
            <w:bottom w:val="none" w:sz="0" w:space="0" w:color="auto"/>
            <w:right w:val="none" w:sz="0" w:space="0" w:color="auto"/>
          </w:divBdr>
        </w:div>
        <w:div w:id="1976644847">
          <w:marLeft w:val="0"/>
          <w:marRight w:val="0"/>
          <w:marTop w:val="0"/>
          <w:marBottom w:val="0"/>
          <w:divBdr>
            <w:top w:val="none" w:sz="0" w:space="0" w:color="auto"/>
            <w:left w:val="none" w:sz="0" w:space="0" w:color="auto"/>
            <w:bottom w:val="none" w:sz="0" w:space="0" w:color="auto"/>
            <w:right w:val="none" w:sz="0" w:space="0" w:color="auto"/>
          </w:divBdr>
        </w:div>
        <w:div w:id="1978098296">
          <w:marLeft w:val="0"/>
          <w:marRight w:val="0"/>
          <w:marTop w:val="0"/>
          <w:marBottom w:val="0"/>
          <w:divBdr>
            <w:top w:val="none" w:sz="0" w:space="0" w:color="auto"/>
            <w:left w:val="none" w:sz="0" w:space="0" w:color="auto"/>
            <w:bottom w:val="none" w:sz="0" w:space="0" w:color="auto"/>
            <w:right w:val="none" w:sz="0" w:space="0" w:color="auto"/>
          </w:divBdr>
        </w:div>
        <w:div w:id="1990741752">
          <w:marLeft w:val="0"/>
          <w:marRight w:val="0"/>
          <w:marTop w:val="0"/>
          <w:marBottom w:val="0"/>
          <w:divBdr>
            <w:top w:val="none" w:sz="0" w:space="0" w:color="auto"/>
            <w:left w:val="none" w:sz="0" w:space="0" w:color="auto"/>
            <w:bottom w:val="none" w:sz="0" w:space="0" w:color="auto"/>
            <w:right w:val="none" w:sz="0" w:space="0" w:color="auto"/>
          </w:divBdr>
        </w:div>
        <w:div w:id="1998220509">
          <w:marLeft w:val="0"/>
          <w:marRight w:val="0"/>
          <w:marTop w:val="0"/>
          <w:marBottom w:val="0"/>
          <w:divBdr>
            <w:top w:val="none" w:sz="0" w:space="0" w:color="auto"/>
            <w:left w:val="none" w:sz="0" w:space="0" w:color="auto"/>
            <w:bottom w:val="none" w:sz="0" w:space="0" w:color="auto"/>
            <w:right w:val="none" w:sz="0" w:space="0" w:color="auto"/>
          </w:divBdr>
        </w:div>
        <w:div w:id="2006011607">
          <w:marLeft w:val="0"/>
          <w:marRight w:val="0"/>
          <w:marTop w:val="0"/>
          <w:marBottom w:val="0"/>
          <w:divBdr>
            <w:top w:val="none" w:sz="0" w:space="0" w:color="auto"/>
            <w:left w:val="none" w:sz="0" w:space="0" w:color="auto"/>
            <w:bottom w:val="none" w:sz="0" w:space="0" w:color="auto"/>
            <w:right w:val="none" w:sz="0" w:space="0" w:color="auto"/>
          </w:divBdr>
        </w:div>
        <w:div w:id="2025133550">
          <w:marLeft w:val="0"/>
          <w:marRight w:val="0"/>
          <w:marTop w:val="0"/>
          <w:marBottom w:val="0"/>
          <w:divBdr>
            <w:top w:val="none" w:sz="0" w:space="0" w:color="auto"/>
            <w:left w:val="none" w:sz="0" w:space="0" w:color="auto"/>
            <w:bottom w:val="none" w:sz="0" w:space="0" w:color="auto"/>
            <w:right w:val="none" w:sz="0" w:space="0" w:color="auto"/>
          </w:divBdr>
        </w:div>
        <w:div w:id="2028097126">
          <w:marLeft w:val="0"/>
          <w:marRight w:val="0"/>
          <w:marTop w:val="0"/>
          <w:marBottom w:val="0"/>
          <w:divBdr>
            <w:top w:val="none" w:sz="0" w:space="0" w:color="auto"/>
            <w:left w:val="none" w:sz="0" w:space="0" w:color="auto"/>
            <w:bottom w:val="none" w:sz="0" w:space="0" w:color="auto"/>
            <w:right w:val="none" w:sz="0" w:space="0" w:color="auto"/>
          </w:divBdr>
        </w:div>
      </w:divsChild>
    </w:div>
    <w:div w:id="51929979">
      <w:bodyDiv w:val="1"/>
      <w:marLeft w:val="0"/>
      <w:marRight w:val="0"/>
      <w:marTop w:val="0"/>
      <w:marBottom w:val="0"/>
      <w:divBdr>
        <w:top w:val="none" w:sz="0" w:space="0" w:color="auto"/>
        <w:left w:val="none" w:sz="0" w:space="0" w:color="auto"/>
        <w:bottom w:val="none" w:sz="0" w:space="0" w:color="auto"/>
        <w:right w:val="none" w:sz="0" w:space="0" w:color="auto"/>
      </w:divBdr>
    </w:div>
    <w:div w:id="51973398">
      <w:bodyDiv w:val="1"/>
      <w:marLeft w:val="0"/>
      <w:marRight w:val="0"/>
      <w:marTop w:val="0"/>
      <w:marBottom w:val="0"/>
      <w:divBdr>
        <w:top w:val="none" w:sz="0" w:space="0" w:color="auto"/>
        <w:left w:val="none" w:sz="0" w:space="0" w:color="auto"/>
        <w:bottom w:val="none" w:sz="0" w:space="0" w:color="auto"/>
        <w:right w:val="none" w:sz="0" w:space="0" w:color="auto"/>
      </w:divBdr>
    </w:div>
    <w:div w:id="52047635">
      <w:bodyDiv w:val="1"/>
      <w:marLeft w:val="0"/>
      <w:marRight w:val="0"/>
      <w:marTop w:val="0"/>
      <w:marBottom w:val="0"/>
      <w:divBdr>
        <w:top w:val="none" w:sz="0" w:space="0" w:color="auto"/>
        <w:left w:val="none" w:sz="0" w:space="0" w:color="auto"/>
        <w:bottom w:val="none" w:sz="0" w:space="0" w:color="auto"/>
        <w:right w:val="none" w:sz="0" w:space="0" w:color="auto"/>
      </w:divBdr>
    </w:div>
    <w:div w:id="52117691">
      <w:bodyDiv w:val="1"/>
      <w:marLeft w:val="0"/>
      <w:marRight w:val="0"/>
      <w:marTop w:val="0"/>
      <w:marBottom w:val="0"/>
      <w:divBdr>
        <w:top w:val="none" w:sz="0" w:space="0" w:color="auto"/>
        <w:left w:val="none" w:sz="0" w:space="0" w:color="auto"/>
        <w:bottom w:val="none" w:sz="0" w:space="0" w:color="auto"/>
        <w:right w:val="none" w:sz="0" w:space="0" w:color="auto"/>
      </w:divBdr>
    </w:div>
    <w:div w:id="52123018">
      <w:bodyDiv w:val="1"/>
      <w:marLeft w:val="0"/>
      <w:marRight w:val="0"/>
      <w:marTop w:val="0"/>
      <w:marBottom w:val="0"/>
      <w:divBdr>
        <w:top w:val="none" w:sz="0" w:space="0" w:color="auto"/>
        <w:left w:val="none" w:sz="0" w:space="0" w:color="auto"/>
        <w:bottom w:val="none" w:sz="0" w:space="0" w:color="auto"/>
        <w:right w:val="none" w:sz="0" w:space="0" w:color="auto"/>
      </w:divBdr>
    </w:div>
    <w:div w:id="52236002">
      <w:bodyDiv w:val="1"/>
      <w:marLeft w:val="0"/>
      <w:marRight w:val="0"/>
      <w:marTop w:val="0"/>
      <w:marBottom w:val="0"/>
      <w:divBdr>
        <w:top w:val="none" w:sz="0" w:space="0" w:color="auto"/>
        <w:left w:val="none" w:sz="0" w:space="0" w:color="auto"/>
        <w:bottom w:val="none" w:sz="0" w:space="0" w:color="auto"/>
        <w:right w:val="none" w:sz="0" w:space="0" w:color="auto"/>
      </w:divBdr>
    </w:div>
    <w:div w:id="52318933">
      <w:bodyDiv w:val="1"/>
      <w:marLeft w:val="0"/>
      <w:marRight w:val="0"/>
      <w:marTop w:val="0"/>
      <w:marBottom w:val="0"/>
      <w:divBdr>
        <w:top w:val="none" w:sz="0" w:space="0" w:color="auto"/>
        <w:left w:val="none" w:sz="0" w:space="0" w:color="auto"/>
        <w:bottom w:val="none" w:sz="0" w:space="0" w:color="auto"/>
        <w:right w:val="none" w:sz="0" w:space="0" w:color="auto"/>
      </w:divBdr>
    </w:div>
    <w:div w:id="52394326">
      <w:bodyDiv w:val="1"/>
      <w:marLeft w:val="0"/>
      <w:marRight w:val="0"/>
      <w:marTop w:val="0"/>
      <w:marBottom w:val="0"/>
      <w:divBdr>
        <w:top w:val="none" w:sz="0" w:space="0" w:color="auto"/>
        <w:left w:val="none" w:sz="0" w:space="0" w:color="auto"/>
        <w:bottom w:val="none" w:sz="0" w:space="0" w:color="auto"/>
        <w:right w:val="none" w:sz="0" w:space="0" w:color="auto"/>
      </w:divBdr>
    </w:div>
    <w:div w:id="52437174">
      <w:bodyDiv w:val="1"/>
      <w:marLeft w:val="0"/>
      <w:marRight w:val="0"/>
      <w:marTop w:val="0"/>
      <w:marBottom w:val="0"/>
      <w:divBdr>
        <w:top w:val="none" w:sz="0" w:space="0" w:color="auto"/>
        <w:left w:val="none" w:sz="0" w:space="0" w:color="auto"/>
        <w:bottom w:val="none" w:sz="0" w:space="0" w:color="auto"/>
        <w:right w:val="none" w:sz="0" w:space="0" w:color="auto"/>
      </w:divBdr>
    </w:div>
    <w:div w:id="52583831">
      <w:bodyDiv w:val="1"/>
      <w:marLeft w:val="0"/>
      <w:marRight w:val="0"/>
      <w:marTop w:val="0"/>
      <w:marBottom w:val="0"/>
      <w:divBdr>
        <w:top w:val="none" w:sz="0" w:space="0" w:color="auto"/>
        <w:left w:val="none" w:sz="0" w:space="0" w:color="auto"/>
        <w:bottom w:val="none" w:sz="0" w:space="0" w:color="auto"/>
        <w:right w:val="none" w:sz="0" w:space="0" w:color="auto"/>
      </w:divBdr>
    </w:div>
    <w:div w:id="52587349">
      <w:bodyDiv w:val="1"/>
      <w:marLeft w:val="0"/>
      <w:marRight w:val="0"/>
      <w:marTop w:val="0"/>
      <w:marBottom w:val="0"/>
      <w:divBdr>
        <w:top w:val="none" w:sz="0" w:space="0" w:color="auto"/>
        <w:left w:val="none" w:sz="0" w:space="0" w:color="auto"/>
        <w:bottom w:val="none" w:sz="0" w:space="0" w:color="auto"/>
        <w:right w:val="none" w:sz="0" w:space="0" w:color="auto"/>
      </w:divBdr>
    </w:div>
    <w:div w:id="52626132">
      <w:bodyDiv w:val="1"/>
      <w:marLeft w:val="0"/>
      <w:marRight w:val="0"/>
      <w:marTop w:val="0"/>
      <w:marBottom w:val="0"/>
      <w:divBdr>
        <w:top w:val="none" w:sz="0" w:space="0" w:color="auto"/>
        <w:left w:val="none" w:sz="0" w:space="0" w:color="auto"/>
        <w:bottom w:val="none" w:sz="0" w:space="0" w:color="auto"/>
        <w:right w:val="none" w:sz="0" w:space="0" w:color="auto"/>
      </w:divBdr>
    </w:div>
    <w:div w:id="52654929">
      <w:bodyDiv w:val="1"/>
      <w:marLeft w:val="0"/>
      <w:marRight w:val="0"/>
      <w:marTop w:val="0"/>
      <w:marBottom w:val="0"/>
      <w:divBdr>
        <w:top w:val="none" w:sz="0" w:space="0" w:color="auto"/>
        <w:left w:val="none" w:sz="0" w:space="0" w:color="auto"/>
        <w:bottom w:val="none" w:sz="0" w:space="0" w:color="auto"/>
        <w:right w:val="none" w:sz="0" w:space="0" w:color="auto"/>
      </w:divBdr>
    </w:div>
    <w:div w:id="52699530">
      <w:bodyDiv w:val="1"/>
      <w:marLeft w:val="0"/>
      <w:marRight w:val="0"/>
      <w:marTop w:val="0"/>
      <w:marBottom w:val="0"/>
      <w:divBdr>
        <w:top w:val="none" w:sz="0" w:space="0" w:color="auto"/>
        <w:left w:val="none" w:sz="0" w:space="0" w:color="auto"/>
        <w:bottom w:val="none" w:sz="0" w:space="0" w:color="auto"/>
        <w:right w:val="none" w:sz="0" w:space="0" w:color="auto"/>
      </w:divBdr>
    </w:div>
    <w:div w:id="52702270">
      <w:bodyDiv w:val="1"/>
      <w:marLeft w:val="0"/>
      <w:marRight w:val="0"/>
      <w:marTop w:val="0"/>
      <w:marBottom w:val="0"/>
      <w:divBdr>
        <w:top w:val="none" w:sz="0" w:space="0" w:color="auto"/>
        <w:left w:val="none" w:sz="0" w:space="0" w:color="auto"/>
        <w:bottom w:val="none" w:sz="0" w:space="0" w:color="auto"/>
        <w:right w:val="none" w:sz="0" w:space="0" w:color="auto"/>
      </w:divBdr>
    </w:div>
    <w:div w:id="52778967">
      <w:bodyDiv w:val="1"/>
      <w:marLeft w:val="0"/>
      <w:marRight w:val="0"/>
      <w:marTop w:val="0"/>
      <w:marBottom w:val="0"/>
      <w:divBdr>
        <w:top w:val="none" w:sz="0" w:space="0" w:color="auto"/>
        <w:left w:val="none" w:sz="0" w:space="0" w:color="auto"/>
        <w:bottom w:val="none" w:sz="0" w:space="0" w:color="auto"/>
        <w:right w:val="none" w:sz="0" w:space="0" w:color="auto"/>
      </w:divBdr>
    </w:div>
    <w:div w:id="52851265">
      <w:bodyDiv w:val="1"/>
      <w:marLeft w:val="0"/>
      <w:marRight w:val="0"/>
      <w:marTop w:val="0"/>
      <w:marBottom w:val="0"/>
      <w:divBdr>
        <w:top w:val="none" w:sz="0" w:space="0" w:color="auto"/>
        <w:left w:val="none" w:sz="0" w:space="0" w:color="auto"/>
        <w:bottom w:val="none" w:sz="0" w:space="0" w:color="auto"/>
        <w:right w:val="none" w:sz="0" w:space="0" w:color="auto"/>
      </w:divBdr>
    </w:div>
    <w:div w:id="52891682">
      <w:bodyDiv w:val="1"/>
      <w:marLeft w:val="0"/>
      <w:marRight w:val="0"/>
      <w:marTop w:val="0"/>
      <w:marBottom w:val="0"/>
      <w:divBdr>
        <w:top w:val="none" w:sz="0" w:space="0" w:color="auto"/>
        <w:left w:val="none" w:sz="0" w:space="0" w:color="auto"/>
        <w:bottom w:val="none" w:sz="0" w:space="0" w:color="auto"/>
        <w:right w:val="none" w:sz="0" w:space="0" w:color="auto"/>
      </w:divBdr>
    </w:div>
    <w:div w:id="52895668">
      <w:bodyDiv w:val="1"/>
      <w:marLeft w:val="0"/>
      <w:marRight w:val="0"/>
      <w:marTop w:val="0"/>
      <w:marBottom w:val="0"/>
      <w:divBdr>
        <w:top w:val="none" w:sz="0" w:space="0" w:color="auto"/>
        <w:left w:val="none" w:sz="0" w:space="0" w:color="auto"/>
        <w:bottom w:val="none" w:sz="0" w:space="0" w:color="auto"/>
        <w:right w:val="none" w:sz="0" w:space="0" w:color="auto"/>
      </w:divBdr>
    </w:div>
    <w:div w:id="53086355">
      <w:bodyDiv w:val="1"/>
      <w:marLeft w:val="0"/>
      <w:marRight w:val="0"/>
      <w:marTop w:val="0"/>
      <w:marBottom w:val="0"/>
      <w:divBdr>
        <w:top w:val="none" w:sz="0" w:space="0" w:color="auto"/>
        <w:left w:val="none" w:sz="0" w:space="0" w:color="auto"/>
        <w:bottom w:val="none" w:sz="0" w:space="0" w:color="auto"/>
        <w:right w:val="none" w:sz="0" w:space="0" w:color="auto"/>
      </w:divBdr>
    </w:div>
    <w:div w:id="53240660">
      <w:bodyDiv w:val="1"/>
      <w:marLeft w:val="0"/>
      <w:marRight w:val="0"/>
      <w:marTop w:val="0"/>
      <w:marBottom w:val="0"/>
      <w:divBdr>
        <w:top w:val="none" w:sz="0" w:space="0" w:color="auto"/>
        <w:left w:val="none" w:sz="0" w:space="0" w:color="auto"/>
        <w:bottom w:val="none" w:sz="0" w:space="0" w:color="auto"/>
        <w:right w:val="none" w:sz="0" w:space="0" w:color="auto"/>
      </w:divBdr>
    </w:div>
    <w:div w:id="53430375">
      <w:bodyDiv w:val="1"/>
      <w:marLeft w:val="0"/>
      <w:marRight w:val="0"/>
      <w:marTop w:val="0"/>
      <w:marBottom w:val="0"/>
      <w:divBdr>
        <w:top w:val="none" w:sz="0" w:space="0" w:color="auto"/>
        <w:left w:val="none" w:sz="0" w:space="0" w:color="auto"/>
        <w:bottom w:val="none" w:sz="0" w:space="0" w:color="auto"/>
        <w:right w:val="none" w:sz="0" w:space="0" w:color="auto"/>
      </w:divBdr>
    </w:div>
    <w:div w:id="53431556">
      <w:bodyDiv w:val="1"/>
      <w:marLeft w:val="0"/>
      <w:marRight w:val="0"/>
      <w:marTop w:val="0"/>
      <w:marBottom w:val="0"/>
      <w:divBdr>
        <w:top w:val="none" w:sz="0" w:space="0" w:color="auto"/>
        <w:left w:val="none" w:sz="0" w:space="0" w:color="auto"/>
        <w:bottom w:val="none" w:sz="0" w:space="0" w:color="auto"/>
        <w:right w:val="none" w:sz="0" w:space="0" w:color="auto"/>
      </w:divBdr>
    </w:div>
    <w:div w:id="53433274">
      <w:bodyDiv w:val="1"/>
      <w:marLeft w:val="0"/>
      <w:marRight w:val="0"/>
      <w:marTop w:val="0"/>
      <w:marBottom w:val="0"/>
      <w:divBdr>
        <w:top w:val="none" w:sz="0" w:space="0" w:color="auto"/>
        <w:left w:val="none" w:sz="0" w:space="0" w:color="auto"/>
        <w:bottom w:val="none" w:sz="0" w:space="0" w:color="auto"/>
        <w:right w:val="none" w:sz="0" w:space="0" w:color="auto"/>
      </w:divBdr>
    </w:div>
    <w:div w:id="53435684">
      <w:bodyDiv w:val="1"/>
      <w:marLeft w:val="0"/>
      <w:marRight w:val="0"/>
      <w:marTop w:val="0"/>
      <w:marBottom w:val="0"/>
      <w:divBdr>
        <w:top w:val="none" w:sz="0" w:space="0" w:color="auto"/>
        <w:left w:val="none" w:sz="0" w:space="0" w:color="auto"/>
        <w:bottom w:val="none" w:sz="0" w:space="0" w:color="auto"/>
        <w:right w:val="none" w:sz="0" w:space="0" w:color="auto"/>
      </w:divBdr>
    </w:div>
    <w:div w:id="53700852">
      <w:bodyDiv w:val="1"/>
      <w:marLeft w:val="0"/>
      <w:marRight w:val="0"/>
      <w:marTop w:val="0"/>
      <w:marBottom w:val="0"/>
      <w:divBdr>
        <w:top w:val="none" w:sz="0" w:space="0" w:color="auto"/>
        <w:left w:val="none" w:sz="0" w:space="0" w:color="auto"/>
        <w:bottom w:val="none" w:sz="0" w:space="0" w:color="auto"/>
        <w:right w:val="none" w:sz="0" w:space="0" w:color="auto"/>
      </w:divBdr>
    </w:div>
    <w:div w:id="53739841">
      <w:bodyDiv w:val="1"/>
      <w:marLeft w:val="0"/>
      <w:marRight w:val="0"/>
      <w:marTop w:val="0"/>
      <w:marBottom w:val="0"/>
      <w:divBdr>
        <w:top w:val="none" w:sz="0" w:space="0" w:color="auto"/>
        <w:left w:val="none" w:sz="0" w:space="0" w:color="auto"/>
        <w:bottom w:val="none" w:sz="0" w:space="0" w:color="auto"/>
        <w:right w:val="none" w:sz="0" w:space="0" w:color="auto"/>
      </w:divBdr>
    </w:div>
    <w:div w:id="53772007">
      <w:bodyDiv w:val="1"/>
      <w:marLeft w:val="0"/>
      <w:marRight w:val="0"/>
      <w:marTop w:val="0"/>
      <w:marBottom w:val="0"/>
      <w:divBdr>
        <w:top w:val="none" w:sz="0" w:space="0" w:color="auto"/>
        <w:left w:val="none" w:sz="0" w:space="0" w:color="auto"/>
        <w:bottom w:val="none" w:sz="0" w:space="0" w:color="auto"/>
        <w:right w:val="none" w:sz="0" w:space="0" w:color="auto"/>
      </w:divBdr>
    </w:div>
    <w:div w:id="53814469">
      <w:bodyDiv w:val="1"/>
      <w:marLeft w:val="0"/>
      <w:marRight w:val="0"/>
      <w:marTop w:val="0"/>
      <w:marBottom w:val="0"/>
      <w:divBdr>
        <w:top w:val="none" w:sz="0" w:space="0" w:color="auto"/>
        <w:left w:val="none" w:sz="0" w:space="0" w:color="auto"/>
        <w:bottom w:val="none" w:sz="0" w:space="0" w:color="auto"/>
        <w:right w:val="none" w:sz="0" w:space="0" w:color="auto"/>
      </w:divBdr>
    </w:div>
    <w:div w:id="54204417">
      <w:bodyDiv w:val="1"/>
      <w:marLeft w:val="0"/>
      <w:marRight w:val="0"/>
      <w:marTop w:val="0"/>
      <w:marBottom w:val="0"/>
      <w:divBdr>
        <w:top w:val="none" w:sz="0" w:space="0" w:color="auto"/>
        <w:left w:val="none" w:sz="0" w:space="0" w:color="auto"/>
        <w:bottom w:val="none" w:sz="0" w:space="0" w:color="auto"/>
        <w:right w:val="none" w:sz="0" w:space="0" w:color="auto"/>
      </w:divBdr>
    </w:div>
    <w:div w:id="54204527">
      <w:bodyDiv w:val="1"/>
      <w:marLeft w:val="0"/>
      <w:marRight w:val="0"/>
      <w:marTop w:val="0"/>
      <w:marBottom w:val="0"/>
      <w:divBdr>
        <w:top w:val="none" w:sz="0" w:space="0" w:color="auto"/>
        <w:left w:val="none" w:sz="0" w:space="0" w:color="auto"/>
        <w:bottom w:val="none" w:sz="0" w:space="0" w:color="auto"/>
        <w:right w:val="none" w:sz="0" w:space="0" w:color="auto"/>
      </w:divBdr>
    </w:div>
    <w:div w:id="54277394">
      <w:bodyDiv w:val="1"/>
      <w:marLeft w:val="0"/>
      <w:marRight w:val="0"/>
      <w:marTop w:val="0"/>
      <w:marBottom w:val="0"/>
      <w:divBdr>
        <w:top w:val="none" w:sz="0" w:space="0" w:color="auto"/>
        <w:left w:val="none" w:sz="0" w:space="0" w:color="auto"/>
        <w:bottom w:val="none" w:sz="0" w:space="0" w:color="auto"/>
        <w:right w:val="none" w:sz="0" w:space="0" w:color="auto"/>
      </w:divBdr>
    </w:div>
    <w:div w:id="54277698">
      <w:bodyDiv w:val="1"/>
      <w:marLeft w:val="0"/>
      <w:marRight w:val="0"/>
      <w:marTop w:val="0"/>
      <w:marBottom w:val="0"/>
      <w:divBdr>
        <w:top w:val="none" w:sz="0" w:space="0" w:color="auto"/>
        <w:left w:val="none" w:sz="0" w:space="0" w:color="auto"/>
        <w:bottom w:val="none" w:sz="0" w:space="0" w:color="auto"/>
        <w:right w:val="none" w:sz="0" w:space="0" w:color="auto"/>
      </w:divBdr>
    </w:div>
    <w:div w:id="54402271">
      <w:bodyDiv w:val="1"/>
      <w:marLeft w:val="0"/>
      <w:marRight w:val="0"/>
      <w:marTop w:val="0"/>
      <w:marBottom w:val="0"/>
      <w:divBdr>
        <w:top w:val="none" w:sz="0" w:space="0" w:color="auto"/>
        <w:left w:val="none" w:sz="0" w:space="0" w:color="auto"/>
        <w:bottom w:val="none" w:sz="0" w:space="0" w:color="auto"/>
        <w:right w:val="none" w:sz="0" w:space="0" w:color="auto"/>
      </w:divBdr>
    </w:div>
    <w:div w:id="54476363">
      <w:bodyDiv w:val="1"/>
      <w:marLeft w:val="0"/>
      <w:marRight w:val="0"/>
      <w:marTop w:val="0"/>
      <w:marBottom w:val="0"/>
      <w:divBdr>
        <w:top w:val="none" w:sz="0" w:space="0" w:color="auto"/>
        <w:left w:val="none" w:sz="0" w:space="0" w:color="auto"/>
        <w:bottom w:val="none" w:sz="0" w:space="0" w:color="auto"/>
        <w:right w:val="none" w:sz="0" w:space="0" w:color="auto"/>
      </w:divBdr>
    </w:div>
    <w:div w:id="54477841">
      <w:bodyDiv w:val="1"/>
      <w:marLeft w:val="0"/>
      <w:marRight w:val="0"/>
      <w:marTop w:val="0"/>
      <w:marBottom w:val="0"/>
      <w:divBdr>
        <w:top w:val="none" w:sz="0" w:space="0" w:color="auto"/>
        <w:left w:val="none" w:sz="0" w:space="0" w:color="auto"/>
        <w:bottom w:val="none" w:sz="0" w:space="0" w:color="auto"/>
        <w:right w:val="none" w:sz="0" w:space="0" w:color="auto"/>
      </w:divBdr>
    </w:div>
    <w:div w:id="54551669">
      <w:bodyDiv w:val="1"/>
      <w:marLeft w:val="0"/>
      <w:marRight w:val="0"/>
      <w:marTop w:val="0"/>
      <w:marBottom w:val="0"/>
      <w:divBdr>
        <w:top w:val="none" w:sz="0" w:space="0" w:color="auto"/>
        <w:left w:val="none" w:sz="0" w:space="0" w:color="auto"/>
        <w:bottom w:val="none" w:sz="0" w:space="0" w:color="auto"/>
        <w:right w:val="none" w:sz="0" w:space="0" w:color="auto"/>
      </w:divBdr>
    </w:div>
    <w:div w:id="54622804">
      <w:bodyDiv w:val="1"/>
      <w:marLeft w:val="0"/>
      <w:marRight w:val="0"/>
      <w:marTop w:val="0"/>
      <w:marBottom w:val="0"/>
      <w:divBdr>
        <w:top w:val="none" w:sz="0" w:space="0" w:color="auto"/>
        <w:left w:val="none" w:sz="0" w:space="0" w:color="auto"/>
        <w:bottom w:val="none" w:sz="0" w:space="0" w:color="auto"/>
        <w:right w:val="none" w:sz="0" w:space="0" w:color="auto"/>
      </w:divBdr>
    </w:div>
    <w:div w:id="54665498">
      <w:bodyDiv w:val="1"/>
      <w:marLeft w:val="0"/>
      <w:marRight w:val="0"/>
      <w:marTop w:val="0"/>
      <w:marBottom w:val="0"/>
      <w:divBdr>
        <w:top w:val="none" w:sz="0" w:space="0" w:color="auto"/>
        <w:left w:val="none" w:sz="0" w:space="0" w:color="auto"/>
        <w:bottom w:val="none" w:sz="0" w:space="0" w:color="auto"/>
        <w:right w:val="none" w:sz="0" w:space="0" w:color="auto"/>
      </w:divBdr>
    </w:div>
    <w:div w:id="54671664">
      <w:bodyDiv w:val="1"/>
      <w:marLeft w:val="0"/>
      <w:marRight w:val="0"/>
      <w:marTop w:val="0"/>
      <w:marBottom w:val="0"/>
      <w:divBdr>
        <w:top w:val="none" w:sz="0" w:space="0" w:color="auto"/>
        <w:left w:val="none" w:sz="0" w:space="0" w:color="auto"/>
        <w:bottom w:val="none" w:sz="0" w:space="0" w:color="auto"/>
        <w:right w:val="none" w:sz="0" w:space="0" w:color="auto"/>
      </w:divBdr>
    </w:div>
    <w:div w:id="54672079">
      <w:bodyDiv w:val="1"/>
      <w:marLeft w:val="0"/>
      <w:marRight w:val="0"/>
      <w:marTop w:val="0"/>
      <w:marBottom w:val="0"/>
      <w:divBdr>
        <w:top w:val="none" w:sz="0" w:space="0" w:color="auto"/>
        <w:left w:val="none" w:sz="0" w:space="0" w:color="auto"/>
        <w:bottom w:val="none" w:sz="0" w:space="0" w:color="auto"/>
        <w:right w:val="none" w:sz="0" w:space="0" w:color="auto"/>
      </w:divBdr>
    </w:div>
    <w:div w:id="54745859">
      <w:bodyDiv w:val="1"/>
      <w:marLeft w:val="0"/>
      <w:marRight w:val="0"/>
      <w:marTop w:val="0"/>
      <w:marBottom w:val="0"/>
      <w:divBdr>
        <w:top w:val="none" w:sz="0" w:space="0" w:color="auto"/>
        <w:left w:val="none" w:sz="0" w:space="0" w:color="auto"/>
        <w:bottom w:val="none" w:sz="0" w:space="0" w:color="auto"/>
        <w:right w:val="none" w:sz="0" w:space="0" w:color="auto"/>
      </w:divBdr>
    </w:div>
    <w:div w:id="54816046">
      <w:bodyDiv w:val="1"/>
      <w:marLeft w:val="0"/>
      <w:marRight w:val="0"/>
      <w:marTop w:val="0"/>
      <w:marBottom w:val="0"/>
      <w:divBdr>
        <w:top w:val="none" w:sz="0" w:space="0" w:color="auto"/>
        <w:left w:val="none" w:sz="0" w:space="0" w:color="auto"/>
        <w:bottom w:val="none" w:sz="0" w:space="0" w:color="auto"/>
        <w:right w:val="none" w:sz="0" w:space="0" w:color="auto"/>
      </w:divBdr>
    </w:div>
    <w:div w:id="54934445">
      <w:bodyDiv w:val="1"/>
      <w:marLeft w:val="0"/>
      <w:marRight w:val="0"/>
      <w:marTop w:val="0"/>
      <w:marBottom w:val="0"/>
      <w:divBdr>
        <w:top w:val="none" w:sz="0" w:space="0" w:color="auto"/>
        <w:left w:val="none" w:sz="0" w:space="0" w:color="auto"/>
        <w:bottom w:val="none" w:sz="0" w:space="0" w:color="auto"/>
        <w:right w:val="none" w:sz="0" w:space="0" w:color="auto"/>
      </w:divBdr>
    </w:div>
    <w:div w:id="55013048">
      <w:bodyDiv w:val="1"/>
      <w:marLeft w:val="0"/>
      <w:marRight w:val="0"/>
      <w:marTop w:val="0"/>
      <w:marBottom w:val="0"/>
      <w:divBdr>
        <w:top w:val="none" w:sz="0" w:space="0" w:color="auto"/>
        <w:left w:val="none" w:sz="0" w:space="0" w:color="auto"/>
        <w:bottom w:val="none" w:sz="0" w:space="0" w:color="auto"/>
        <w:right w:val="none" w:sz="0" w:space="0" w:color="auto"/>
      </w:divBdr>
    </w:div>
    <w:div w:id="55082547">
      <w:bodyDiv w:val="1"/>
      <w:marLeft w:val="0"/>
      <w:marRight w:val="0"/>
      <w:marTop w:val="0"/>
      <w:marBottom w:val="0"/>
      <w:divBdr>
        <w:top w:val="none" w:sz="0" w:space="0" w:color="auto"/>
        <w:left w:val="none" w:sz="0" w:space="0" w:color="auto"/>
        <w:bottom w:val="none" w:sz="0" w:space="0" w:color="auto"/>
        <w:right w:val="none" w:sz="0" w:space="0" w:color="auto"/>
      </w:divBdr>
    </w:div>
    <w:div w:id="55203585">
      <w:bodyDiv w:val="1"/>
      <w:marLeft w:val="0"/>
      <w:marRight w:val="0"/>
      <w:marTop w:val="0"/>
      <w:marBottom w:val="0"/>
      <w:divBdr>
        <w:top w:val="none" w:sz="0" w:space="0" w:color="auto"/>
        <w:left w:val="none" w:sz="0" w:space="0" w:color="auto"/>
        <w:bottom w:val="none" w:sz="0" w:space="0" w:color="auto"/>
        <w:right w:val="none" w:sz="0" w:space="0" w:color="auto"/>
      </w:divBdr>
    </w:div>
    <w:div w:id="55203934">
      <w:bodyDiv w:val="1"/>
      <w:marLeft w:val="0"/>
      <w:marRight w:val="0"/>
      <w:marTop w:val="0"/>
      <w:marBottom w:val="0"/>
      <w:divBdr>
        <w:top w:val="none" w:sz="0" w:space="0" w:color="auto"/>
        <w:left w:val="none" w:sz="0" w:space="0" w:color="auto"/>
        <w:bottom w:val="none" w:sz="0" w:space="0" w:color="auto"/>
        <w:right w:val="none" w:sz="0" w:space="0" w:color="auto"/>
      </w:divBdr>
    </w:div>
    <w:div w:id="55247712">
      <w:bodyDiv w:val="1"/>
      <w:marLeft w:val="0"/>
      <w:marRight w:val="0"/>
      <w:marTop w:val="0"/>
      <w:marBottom w:val="0"/>
      <w:divBdr>
        <w:top w:val="none" w:sz="0" w:space="0" w:color="auto"/>
        <w:left w:val="none" w:sz="0" w:space="0" w:color="auto"/>
        <w:bottom w:val="none" w:sz="0" w:space="0" w:color="auto"/>
        <w:right w:val="none" w:sz="0" w:space="0" w:color="auto"/>
      </w:divBdr>
    </w:div>
    <w:div w:id="55319189">
      <w:bodyDiv w:val="1"/>
      <w:marLeft w:val="0"/>
      <w:marRight w:val="0"/>
      <w:marTop w:val="0"/>
      <w:marBottom w:val="0"/>
      <w:divBdr>
        <w:top w:val="none" w:sz="0" w:space="0" w:color="auto"/>
        <w:left w:val="none" w:sz="0" w:space="0" w:color="auto"/>
        <w:bottom w:val="none" w:sz="0" w:space="0" w:color="auto"/>
        <w:right w:val="none" w:sz="0" w:space="0" w:color="auto"/>
      </w:divBdr>
    </w:div>
    <w:div w:id="55396741">
      <w:bodyDiv w:val="1"/>
      <w:marLeft w:val="0"/>
      <w:marRight w:val="0"/>
      <w:marTop w:val="0"/>
      <w:marBottom w:val="0"/>
      <w:divBdr>
        <w:top w:val="none" w:sz="0" w:space="0" w:color="auto"/>
        <w:left w:val="none" w:sz="0" w:space="0" w:color="auto"/>
        <w:bottom w:val="none" w:sz="0" w:space="0" w:color="auto"/>
        <w:right w:val="none" w:sz="0" w:space="0" w:color="auto"/>
      </w:divBdr>
    </w:div>
    <w:div w:id="55472122">
      <w:bodyDiv w:val="1"/>
      <w:marLeft w:val="0"/>
      <w:marRight w:val="0"/>
      <w:marTop w:val="0"/>
      <w:marBottom w:val="0"/>
      <w:divBdr>
        <w:top w:val="none" w:sz="0" w:space="0" w:color="auto"/>
        <w:left w:val="none" w:sz="0" w:space="0" w:color="auto"/>
        <w:bottom w:val="none" w:sz="0" w:space="0" w:color="auto"/>
        <w:right w:val="none" w:sz="0" w:space="0" w:color="auto"/>
      </w:divBdr>
    </w:div>
    <w:div w:id="55588977">
      <w:bodyDiv w:val="1"/>
      <w:marLeft w:val="0"/>
      <w:marRight w:val="0"/>
      <w:marTop w:val="0"/>
      <w:marBottom w:val="0"/>
      <w:divBdr>
        <w:top w:val="none" w:sz="0" w:space="0" w:color="auto"/>
        <w:left w:val="none" w:sz="0" w:space="0" w:color="auto"/>
        <w:bottom w:val="none" w:sz="0" w:space="0" w:color="auto"/>
        <w:right w:val="none" w:sz="0" w:space="0" w:color="auto"/>
      </w:divBdr>
    </w:div>
    <w:div w:id="55592226">
      <w:bodyDiv w:val="1"/>
      <w:marLeft w:val="0"/>
      <w:marRight w:val="0"/>
      <w:marTop w:val="0"/>
      <w:marBottom w:val="0"/>
      <w:divBdr>
        <w:top w:val="none" w:sz="0" w:space="0" w:color="auto"/>
        <w:left w:val="none" w:sz="0" w:space="0" w:color="auto"/>
        <w:bottom w:val="none" w:sz="0" w:space="0" w:color="auto"/>
        <w:right w:val="none" w:sz="0" w:space="0" w:color="auto"/>
      </w:divBdr>
    </w:div>
    <w:div w:id="55664867">
      <w:bodyDiv w:val="1"/>
      <w:marLeft w:val="0"/>
      <w:marRight w:val="0"/>
      <w:marTop w:val="0"/>
      <w:marBottom w:val="0"/>
      <w:divBdr>
        <w:top w:val="none" w:sz="0" w:space="0" w:color="auto"/>
        <w:left w:val="none" w:sz="0" w:space="0" w:color="auto"/>
        <w:bottom w:val="none" w:sz="0" w:space="0" w:color="auto"/>
        <w:right w:val="none" w:sz="0" w:space="0" w:color="auto"/>
      </w:divBdr>
    </w:div>
    <w:div w:id="55669175">
      <w:bodyDiv w:val="1"/>
      <w:marLeft w:val="0"/>
      <w:marRight w:val="0"/>
      <w:marTop w:val="0"/>
      <w:marBottom w:val="0"/>
      <w:divBdr>
        <w:top w:val="none" w:sz="0" w:space="0" w:color="auto"/>
        <w:left w:val="none" w:sz="0" w:space="0" w:color="auto"/>
        <w:bottom w:val="none" w:sz="0" w:space="0" w:color="auto"/>
        <w:right w:val="none" w:sz="0" w:space="0" w:color="auto"/>
      </w:divBdr>
    </w:div>
    <w:div w:id="55781127">
      <w:bodyDiv w:val="1"/>
      <w:marLeft w:val="0"/>
      <w:marRight w:val="0"/>
      <w:marTop w:val="0"/>
      <w:marBottom w:val="0"/>
      <w:divBdr>
        <w:top w:val="none" w:sz="0" w:space="0" w:color="auto"/>
        <w:left w:val="none" w:sz="0" w:space="0" w:color="auto"/>
        <w:bottom w:val="none" w:sz="0" w:space="0" w:color="auto"/>
        <w:right w:val="none" w:sz="0" w:space="0" w:color="auto"/>
      </w:divBdr>
    </w:div>
    <w:div w:id="55907511">
      <w:bodyDiv w:val="1"/>
      <w:marLeft w:val="0"/>
      <w:marRight w:val="0"/>
      <w:marTop w:val="0"/>
      <w:marBottom w:val="0"/>
      <w:divBdr>
        <w:top w:val="none" w:sz="0" w:space="0" w:color="auto"/>
        <w:left w:val="none" w:sz="0" w:space="0" w:color="auto"/>
        <w:bottom w:val="none" w:sz="0" w:space="0" w:color="auto"/>
        <w:right w:val="none" w:sz="0" w:space="0" w:color="auto"/>
      </w:divBdr>
    </w:div>
    <w:div w:id="55934244">
      <w:bodyDiv w:val="1"/>
      <w:marLeft w:val="0"/>
      <w:marRight w:val="0"/>
      <w:marTop w:val="0"/>
      <w:marBottom w:val="0"/>
      <w:divBdr>
        <w:top w:val="none" w:sz="0" w:space="0" w:color="auto"/>
        <w:left w:val="none" w:sz="0" w:space="0" w:color="auto"/>
        <w:bottom w:val="none" w:sz="0" w:space="0" w:color="auto"/>
        <w:right w:val="none" w:sz="0" w:space="0" w:color="auto"/>
      </w:divBdr>
    </w:div>
    <w:div w:id="55976368">
      <w:bodyDiv w:val="1"/>
      <w:marLeft w:val="0"/>
      <w:marRight w:val="0"/>
      <w:marTop w:val="0"/>
      <w:marBottom w:val="0"/>
      <w:divBdr>
        <w:top w:val="none" w:sz="0" w:space="0" w:color="auto"/>
        <w:left w:val="none" w:sz="0" w:space="0" w:color="auto"/>
        <w:bottom w:val="none" w:sz="0" w:space="0" w:color="auto"/>
        <w:right w:val="none" w:sz="0" w:space="0" w:color="auto"/>
      </w:divBdr>
    </w:div>
    <w:div w:id="55977783">
      <w:bodyDiv w:val="1"/>
      <w:marLeft w:val="0"/>
      <w:marRight w:val="0"/>
      <w:marTop w:val="0"/>
      <w:marBottom w:val="0"/>
      <w:divBdr>
        <w:top w:val="none" w:sz="0" w:space="0" w:color="auto"/>
        <w:left w:val="none" w:sz="0" w:space="0" w:color="auto"/>
        <w:bottom w:val="none" w:sz="0" w:space="0" w:color="auto"/>
        <w:right w:val="none" w:sz="0" w:space="0" w:color="auto"/>
      </w:divBdr>
    </w:div>
    <w:div w:id="55982383">
      <w:bodyDiv w:val="1"/>
      <w:marLeft w:val="0"/>
      <w:marRight w:val="0"/>
      <w:marTop w:val="0"/>
      <w:marBottom w:val="0"/>
      <w:divBdr>
        <w:top w:val="none" w:sz="0" w:space="0" w:color="auto"/>
        <w:left w:val="none" w:sz="0" w:space="0" w:color="auto"/>
        <w:bottom w:val="none" w:sz="0" w:space="0" w:color="auto"/>
        <w:right w:val="none" w:sz="0" w:space="0" w:color="auto"/>
      </w:divBdr>
    </w:div>
    <w:div w:id="56050970">
      <w:bodyDiv w:val="1"/>
      <w:marLeft w:val="0"/>
      <w:marRight w:val="0"/>
      <w:marTop w:val="0"/>
      <w:marBottom w:val="0"/>
      <w:divBdr>
        <w:top w:val="none" w:sz="0" w:space="0" w:color="auto"/>
        <w:left w:val="none" w:sz="0" w:space="0" w:color="auto"/>
        <w:bottom w:val="none" w:sz="0" w:space="0" w:color="auto"/>
        <w:right w:val="none" w:sz="0" w:space="0" w:color="auto"/>
      </w:divBdr>
    </w:div>
    <w:div w:id="56051014">
      <w:bodyDiv w:val="1"/>
      <w:marLeft w:val="0"/>
      <w:marRight w:val="0"/>
      <w:marTop w:val="0"/>
      <w:marBottom w:val="0"/>
      <w:divBdr>
        <w:top w:val="none" w:sz="0" w:space="0" w:color="auto"/>
        <w:left w:val="none" w:sz="0" w:space="0" w:color="auto"/>
        <w:bottom w:val="none" w:sz="0" w:space="0" w:color="auto"/>
        <w:right w:val="none" w:sz="0" w:space="0" w:color="auto"/>
      </w:divBdr>
    </w:div>
    <w:div w:id="56056361">
      <w:bodyDiv w:val="1"/>
      <w:marLeft w:val="0"/>
      <w:marRight w:val="0"/>
      <w:marTop w:val="0"/>
      <w:marBottom w:val="0"/>
      <w:divBdr>
        <w:top w:val="none" w:sz="0" w:space="0" w:color="auto"/>
        <w:left w:val="none" w:sz="0" w:space="0" w:color="auto"/>
        <w:bottom w:val="none" w:sz="0" w:space="0" w:color="auto"/>
        <w:right w:val="none" w:sz="0" w:space="0" w:color="auto"/>
      </w:divBdr>
    </w:div>
    <w:div w:id="56128718">
      <w:bodyDiv w:val="1"/>
      <w:marLeft w:val="0"/>
      <w:marRight w:val="0"/>
      <w:marTop w:val="0"/>
      <w:marBottom w:val="0"/>
      <w:divBdr>
        <w:top w:val="none" w:sz="0" w:space="0" w:color="auto"/>
        <w:left w:val="none" w:sz="0" w:space="0" w:color="auto"/>
        <w:bottom w:val="none" w:sz="0" w:space="0" w:color="auto"/>
        <w:right w:val="none" w:sz="0" w:space="0" w:color="auto"/>
      </w:divBdr>
    </w:div>
    <w:div w:id="56173543">
      <w:bodyDiv w:val="1"/>
      <w:marLeft w:val="0"/>
      <w:marRight w:val="0"/>
      <w:marTop w:val="0"/>
      <w:marBottom w:val="0"/>
      <w:divBdr>
        <w:top w:val="none" w:sz="0" w:space="0" w:color="auto"/>
        <w:left w:val="none" w:sz="0" w:space="0" w:color="auto"/>
        <w:bottom w:val="none" w:sz="0" w:space="0" w:color="auto"/>
        <w:right w:val="none" w:sz="0" w:space="0" w:color="auto"/>
      </w:divBdr>
    </w:div>
    <w:div w:id="56251801">
      <w:bodyDiv w:val="1"/>
      <w:marLeft w:val="0"/>
      <w:marRight w:val="0"/>
      <w:marTop w:val="0"/>
      <w:marBottom w:val="0"/>
      <w:divBdr>
        <w:top w:val="none" w:sz="0" w:space="0" w:color="auto"/>
        <w:left w:val="none" w:sz="0" w:space="0" w:color="auto"/>
        <w:bottom w:val="none" w:sz="0" w:space="0" w:color="auto"/>
        <w:right w:val="none" w:sz="0" w:space="0" w:color="auto"/>
      </w:divBdr>
    </w:div>
    <w:div w:id="56364488">
      <w:bodyDiv w:val="1"/>
      <w:marLeft w:val="0"/>
      <w:marRight w:val="0"/>
      <w:marTop w:val="0"/>
      <w:marBottom w:val="0"/>
      <w:divBdr>
        <w:top w:val="none" w:sz="0" w:space="0" w:color="auto"/>
        <w:left w:val="none" w:sz="0" w:space="0" w:color="auto"/>
        <w:bottom w:val="none" w:sz="0" w:space="0" w:color="auto"/>
        <w:right w:val="none" w:sz="0" w:space="0" w:color="auto"/>
      </w:divBdr>
    </w:div>
    <w:div w:id="56558830">
      <w:bodyDiv w:val="1"/>
      <w:marLeft w:val="0"/>
      <w:marRight w:val="0"/>
      <w:marTop w:val="0"/>
      <w:marBottom w:val="0"/>
      <w:divBdr>
        <w:top w:val="none" w:sz="0" w:space="0" w:color="auto"/>
        <w:left w:val="none" w:sz="0" w:space="0" w:color="auto"/>
        <w:bottom w:val="none" w:sz="0" w:space="0" w:color="auto"/>
        <w:right w:val="none" w:sz="0" w:space="0" w:color="auto"/>
      </w:divBdr>
    </w:div>
    <w:div w:id="56706812">
      <w:bodyDiv w:val="1"/>
      <w:marLeft w:val="0"/>
      <w:marRight w:val="0"/>
      <w:marTop w:val="0"/>
      <w:marBottom w:val="0"/>
      <w:divBdr>
        <w:top w:val="none" w:sz="0" w:space="0" w:color="auto"/>
        <w:left w:val="none" w:sz="0" w:space="0" w:color="auto"/>
        <w:bottom w:val="none" w:sz="0" w:space="0" w:color="auto"/>
        <w:right w:val="none" w:sz="0" w:space="0" w:color="auto"/>
      </w:divBdr>
    </w:div>
    <w:div w:id="56780567">
      <w:bodyDiv w:val="1"/>
      <w:marLeft w:val="0"/>
      <w:marRight w:val="0"/>
      <w:marTop w:val="0"/>
      <w:marBottom w:val="0"/>
      <w:divBdr>
        <w:top w:val="none" w:sz="0" w:space="0" w:color="auto"/>
        <w:left w:val="none" w:sz="0" w:space="0" w:color="auto"/>
        <w:bottom w:val="none" w:sz="0" w:space="0" w:color="auto"/>
        <w:right w:val="none" w:sz="0" w:space="0" w:color="auto"/>
      </w:divBdr>
    </w:div>
    <w:div w:id="56784404">
      <w:bodyDiv w:val="1"/>
      <w:marLeft w:val="0"/>
      <w:marRight w:val="0"/>
      <w:marTop w:val="0"/>
      <w:marBottom w:val="0"/>
      <w:divBdr>
        <w:top w:val="none" w:sz="0" w:space="0" w:color="auto"/>
        <w:left w:val="none" w:sz="0" w:space="0" w:color="auto"/>
        <w:bottom w:val="none" w:sz="0" w:space="0" w:color="auto"/>
        <w:right w:val="none" w:sz="0" w:space="0" w:color="auto"/>
      </w:divBdr>
    </w:div>
    <w:div w:id="56824593">
      <w:bodyDiv w:val="1"/>
      <w:marLeft w:val="0"/>
      <w:marRight w:val="0"/>
      <w:marTop w:val="0"/>
      <w:marBottom w:val="0"/>
      <w:divBdr>
        <w:top w:val="none" w:sz="0" w:space="0" w:color="auto"/>
        <w:left w:val="none" w:sz="0" w:space="0" w:color="auto"/>
        <w:bottom w:val="none" w:sz="0" w:space="0" w:color="auto"/>
        <w:right w:val="none" w:sz="0" w:space="0" w:color="auto"/>
      </w:divBdr>
    </w:div>
    <w:div w:id="56900530">
      <w:bodyDiv w:val="1"/>
      <w:marLeft w:val="0"/>
      <w:marRight w:val="0"/>
      <w:marTop w:val="0"/>
      <w:marBottom w:val="0"/>
      <w:divBdr>
        <w:top w:val="none" w:sz="0" w:space="0" w:color="auto"/>
        <w:left w:val="none" w:sz="0" w:space="0" w:color="auto"/>
        <w:bottom w:val="none" w:sz="0" w:space="0" w:color="auto"/>
        <w:right w:val="none" w:sz="0" w:space="0" w:color="auto"/>
      </w:divBdr>
    </w:div>
    <w:div w:id="57091346">
      <w:bodyDiv w:val="1"/>
      <w:marLeft w:val="0"/>
      <w:marRight w:val="0"/>
      <w:marTop w:val="0"/>
      <w:marBottom w:val="0"/>
      <w:divBdr>
        <w:top w:val="none" w:sz="0" w:space="0" w:color="auto"/>
        <w:left w:val="none" w:sz="0" w:space="0" w:color="auto"/>
        <w:bottom w:val="none" w:sz="0" w:space="0" w:color="auto"/>
        <w:right w:val="none" w:sz="0" w:space="0" w:color="auto"/>
      </w:divBdr>
    </w:div>
    <w:div w:id="57100261">
      <w:bodyDiv w:val="1"/>
      <w:marLeft w:val="0"/>
      <w:marRight w:val="0"/>
      <w:marTop w:val="0"/>
      <w:marBottom w:val="0"/>
      <w:divBdr>
        <w:top w:val="none" w:sz="0" w:space="0" w:color="auto"/>
        <w:left w:val="none" w:sz="0" w:space="0" w:color="auto"/>
        <w:bottom w:val="none" w:sz="0" w:space="0" w:color="auto"/>
        <w:right w:val="none" w:sz="0" w:space="0" w:color="auto"/>
      </w:divBdr>
    </w:div>
    <w:div w:id="57171682">
      <w:bodyDiv w:val="1"/>
      <w:marLeft w:val="0"/>
      <w:marRight w:val="0"/>
      <w:marTop w:val="0"/>
      <w:marBottom w:val="0"/>
      <w:divBdr>
        <w:top w:val="none" w:sz="0" w:space="0" w:color="auto"/>
        <w:left w:val="none" w:sz="0" w:space="0" w:color="auto"/>
        <w:bottom w:val="none" w:sz="0" w:space="0" w:color="auto"/>
        <w:right w:val="none" w:sz="0" w:space="0" w:color="auto"/>
      </w:divBdr>
    </w:div>
    <w:div w:id="57215480">
      <w:bodyDiv w:val="1"/>
      <w:marLeft w:val="0"/>
      <w:marRight w:val="0"/>
      <w:marTop w:val="0"/>
      <w:marBottom w:val="0"/>
      <w:divBdr>
        <w:top w:val="none" w:sz="0" w:space="0" w:color="auto"/>
        <w:left w:val="none" w:sz="0" w:space="0" w:color="auto"/>
        <w:bottom w:val="none" w:sz="0" w:space="0" w:color="auto"/>
        <w:right w:val="none" w:sz="0" w:space="0" w:color="auto"/>
      </w:divBdr>
    </w:div>
    <w:div w:id="57218185">
      <w:bodyDiv w:val="1"/>
      <w:marLeft w:val="0"/>
      <w:marRight w:val="0"/>
      <w:marTop w:val="0"/>
      <w:marBottom w:val="0"/>
      <w:divBdr>
        <w:top w:val="none" w:sz="0" w:space="0" w:color="auto"/>
        <w:left w:val="none" w:sz="0" w:space="0" w:color="auto"/>
        <w:bottom w:val="none" w:sz="0" w:space="0" w:color="auto"/>
        <w:right w:val="none" w:sz="0" w:space="0" w:color="auto"/>
      </w:divBdr>
    </w:div>
    <w:div w:id="57362836">
      <w:bodyDiv w:val="1"/>
      <w:marLeft w:val="0"/>
      <w:marRight w:val="0"/>
      <w:marTop w:val="0"/>
      <w:marBottom w:val="0"/>
      <w:divBdr>
        <w:top w:val="none" w:sz="0" w:space="0" w:color="auto"/>
        <w:left w:val="none" w:sz="0" w:space="0" w:color="auto"/>
        <w:bottom w:val="none" w:sz="0" w:space="0" w:color="auto"/>
        <w:right w:val="none" w:sz="0" w:space="0" w:color="auto"/>
      </w:divBdr>
    </w:div>
    <w:div w:id="57479877">
      <w:bodyDiv w:val="1"/>
      <w:marLeft w:val="0"/>
      <w:marRight w:val="0"/>
      <w:marTop w:val="0"/>
      <w:marBottom w:val="0"/>
      <w:divBdr>
        <w:top w:val="none" w:sz="0" w:space="0" w:color="auto"/>
        <w:left w:val="none" w:sz="0" w:space="0" w:color="auto"/>
        <w:bottom w:val="none" w:sz="0" w:space="0" w:color="auto"/>
        <w:right w:val="none" w:sz="0" w:space="0" w:color="auto"/>
      </w:divBdr>
    </w:div>
    <w:div w:id="57484614">
      <w:bodyDiv w:val="1"/>
      <w:marLeft w:val="0"/>
      <w:marRight w:val="0"/>
      <w:marTop w:val="0"/>
      <w:marBottom w:val="0"/>
      <w:divBdr>
        <w:top w:val="none" w:sz="0" w:space="0" w:color="auto"/>
        <w:left w:val="none" w:sz="0" w:space="0" w:color="auto"/>
        <w:bottom w:val="none" w:sz="0" w:space="0" w:color="auto"/>
        <w:right w:val="none" w:sz="0" w:space="0" w:color="auto"/>
      </w:divBdr>
    </w:div>
    <w:div w:id="57557988">
      <w:bodyDiv w:val="1"/>
      <w:marLeft w:val="0"/>
      <w:marRight w:val="0"/>
      <w:marTop w:val="0"/>
      <w:marBottom w:val="0"/>
      <w:divBdr>
        <w:top w:val="none" w:sz="0" w:space="0" w:color="auto"/>
        <w:left w:val="none" w:sz="0" w:space="0" w:color="auto"/>
        <w:bottom w:val="none" w:sz="0" w:space="0" w:color="auto"/>
        <w:right w:val="none" w:sz="0" w:space="0" w:color="auto"/>
      </w:divBdr>
    </w:div>
    <w:div w:id="57558047">
      <w:bodyDiv w:val="1"/>
      <w:marLeft w:val="0"/>
      <w:marRight w:val="0"/>
      <w:marTop w:val="0"/>
      <w:marBottom w:val="0"/>
      <w:divBdr>
        <w:top w:val="none" w:sz="0" w:space="0" w:color="auto"/>
        <w:left w:val="none" w:sz="0" w:space="0" w:color="auto"/>
        <w:bottom w:val="none" w:sz="0" w:space="0" w:color="auto"/>
        <w:right w:val="none" w:sz="0" w:space="0" w:color="auto"/>
      </w:divBdr>
    </w:div>
    <w:div w:id="57633422">
      <w:bodyDiv w:val="1"/>
      <w:marLeft w:val="0"/>
      <w:marRight w:val="0"/>
      <w:marTop w:val="0"/>
      <w:marBottom w:val="0"/>
      <w:divBdr>
        <w:top w:val="none" w:sz="0" w:space="0" w:color="auto"/>
        <w:left w:val="none" w:sz="0" w:space="0" w:color="auto"/>
        <w:bottom w:val="none" w:sz="0" w:space="0" w:color="auto"/>
        <w:right w:val="none" w:sz="0" w:space="0" w:color="auto"/>
      </w:divBdr>
    </w:div>
    <w:div w:id="57675462">
      <w:bodyDiv w:val="1"/>
      <w:marLeft w:val="0"/>
      <w:marRight w:val="0"/>
      <w:marTop w:val="0"/>
      <w:marBottom w:val="0"/>
      <w:divBdr>
        <w:top w:val="none" w:sz="0" w:space="0" w:color="auto"/>
        <w:left w:val="none" w:sz="0" w:space="0" w:color="auto"/>
        <w:bottom w:val="none" w:sz="0" w:space="0" w:color="auto"/>
        <w:right w:val="none" w:sz="0" w:space="0" w:color="auto"/>
      </w:divBdr>
    </w:div>
    <w:div w:id="58092855">
      <w:bodyDiv w:val="1"/>
      <w:marLeft w:val="0"/>
      <w:marRight w:val="0"/>
      <w:marTop w:val="0"/>
      <w:marBottom w:val="0"/>
      <w:divBdr>
        <w:top w:val="none" w:sz="0" w:space="0" w:color="auto"/>
        <w:left w:val="none" w:sz="0" w:space="0" w:color="auto"/>
        <w:bottom w:val="none" w:sz="0" w:space="0" w:color="auto"/>
        <w:right w:val="none" w:sz="0" w:space="0" w:color="auto"/>
      </w:divBdr>
    </w:div>
    <w:div w:id="58139722">
      <w:bodyDiv w:val="1"/>
      <w:marLeft w:val="0"/>
      <w:marRight w:val="0"/>
      <w:marTop w:val="0"/>
      <w:marBottom w:val="0"/>
      <w:divBdr>
        <w:top w:val="none" w:sz="0" w:space="0" w:color="auto"/>
        <w:left w:val="none" w:sz="0" w:space="0" w:color="auto"/>
        <w:bottom w:val="none" w:sz="0" w:space="0" w:color="auto"/>
        <w:right w:val="none" w:sz="0" w:space="0" w:color="auto"/>
      </w:divBdr>
    </w:div>
    <w:div w:id="58401712">
      <w:bodyDiv w:val="1"/>
      <w:marLeft w:val="0"/>
      <w:marRight w:val="0"/>
      <w:marTop w:val="0"/>
      <w:marBottom w:val="0"/>
      <w:divBdr>
        <w:top w:val="none" w:sz="0" w:space="0" w:color="auto"/>
        <w:left w:val="none" w:sz="0" w:space="0" w:color="auto"/>
        <w:bottom w:val="none" w:sz="0" w:space="0" w:color="auto"/>
        <w:right w:val="none" w:sz="0" w:space="0" w:color="auto"/>
      </w:divBdr>
    </w:div>
    <w:div w:id="58408265">
      <w:bodyDiv w:val="1"/>
      <w:marLeft w:val="0"/>
      <w:marRight w:val="0"/>
      <w:marTop w:val="0"/>
      <w:marBottom w:val="0"/>
      <w:divBdr>
        <w:top w:val="none" w:sz="0" w:space="0" w:color="auto"/>
        <w:left w:val="none" w:sz="0" w:space="0" w:color="auto"/>
        <w:bottom w:val="none" w:sz="0" w:space="0" w:color="auto"/>
        <w:right w:val="none" w:sz="0" w:space="0" w:color="auto"/>
      </w:divBdr>
    </w:div>
    <w:div w:id="58408557">
      <w:bodyDiv w:val="1"/>
      <w:marLeft w:val="0"/>
      <w:marRight w:val="0"/>
      <w:marTop w:val="0"/>
      <w:marBottom w:val="0"/>
      <w:divBdr>
        <w:top w:val="none" w:sz="0" w:space="0" w:color="auto"/>
        <w:left w:val="none" w:sz="0" w:space="0" w:color="auto"/>
        <w:bottom w:val="none" w:sz="0" w:space="0" w:color="auto"/>
        <w:right w:val="none" w:sz="0" w:space="0" w:color="auto"/>
      </w:divBdr>
    </w:div>
    <w:div w:id="58476771">
      <w:bodyDiv w:val="1"/>
      <w:marLeft w:val="0"/>
      <w:marRight w:val="0"/>
      <w:marTop w:val="0"/>
      <w:marBottom w:val="0"/>
      <w:divBdr>
        <w:top w:val="none" w:sz="0" w:space="0" w:color="auto"/>
        <w:left w:val="none" w:sz="0" w:space="0" w:color="auto"/>
        <w:bottom w:val="none" w:sz="0" w:space="0" w:color="auto"/>
        <w:right w:val="none" w:sz="0" w:space="0" w:color="auto"/>
      </w:divBdr>
    </w:div>
    <w:div w:id="58479591">
      <w:bodyDiv w:val="1"/>
      <w:marLeft w:val="0"/>
      <w:marRight w:val="0"/>
      <w:marTop w:val="0"/>
      <w:marBottom w:val="0"/>
      <w:divBdr>
        <w:top w:val="none" w:sz="0" w:space="0" w:color="auto"/>
        <w:left w:val="none" w:sz="0" w:space="0" w:color="auto"/>
        <w:bottom w:val="none" w:sz="0" w:space="0" w:color="auto"/>
        <w:right w:val="none" w:sz="0" w:space="0" w:color="auto"/>
      </w:divBdr>
    </w:div>
    <w:div w:id="58485429">
      <w:bodyDiv w:val="1"/>
      <w:marLeft w:val="0"/>
      <w:marRight w:val="0"/>
      <w:marTop w:val="0"/>
      <w:marBottom w:val="0"/>
      <w:divBdr>
        <w:top w:val="none" w:sz="0" w:space="0" w:color="auto"/>
        <w:left w:val="none" w:sz="0" w:space="0" w:color="auto"/>
        <w:bottom w:val="none" w:sz="0" w:space="0" w:color="auto"/>
        <w:right w:val="none" w:sz="0" w:space="0" w:color="auto"/>
      </w:divBdr>
    </w:div>
    <w:div w:id="58556164">
      <w:bodyDiv w:val="1"/>
      <w:marLeft w:val="0"/>
      <w:marRight w:val="0"/>
      <w:marTop w:val="0"/>
      <w:marBottom w:val="0"/>
      <w:divBdr>
        <w:top w:val="none" w:sz="0" w:space="0" w:color="auto"/>
        <w:left w:val="none" w:sz="0" w:space="0" w:color="auto"/>
        <w:bottom w:val="none" w:sz="0" w:space="0" w:color="auto"/>
        <w:right w:val="none" w:sz="0" w:space="0" w:color="auto"/>
      </w:divBdr>
    </w:div>
    <w:div w:id="58671193">
      <w:bodyDiv w:val="1"/>
      <w:marLeft w:val="0"/>
      <w:marRight w:val="0"/>
      <w:marTop w:val="0"/>
      <w:marBottom w:val="0"/>
      <w:divBdr>
        <w:top w:val="none" w:sz="0" w:space="0" w:color="auto"/>
        <w:left w:val="none" w:sz="0" w:space="0" w:color="auto"/>
        <w:bottom w:val="none" w:sz="0" w:space="0" w:color="auto"/>
        <w:right w:val="none" w:sz="0" w:space="0" w:color="auto"/>
      </w:divBdr>
    </w:div>
    <w:div w:id="58721346">
      <w:bodyDiv w:val="1"/>
      <w:marLeft w:val="0"/>
      <w:marRight w:val="0"/>
      <w:marTop w:val="0"/>
      <w:marBottom w:val="0"/>
      <w:divBdr>
        <w:top w:val="none" w:sz="0" w:space="0" w:color="auto"/>
        <w:left w:val="none" w:sz="0" w:space="0" w:color="auto"/>
        <w:bottom w:val="none" w:sz="0" w:space="0" w:color="auto"/>
        <w:right w:val="none" w:sz="0" w:space="0" w:color="auto"/>
      </w:divBdr>
    </w:div>
    <w:div w:id="58792379">
      <w:bodyDiv w:val="1"/>
      <w:marLeft w:val="0"/>
      <w:marRight w:val="0"/>
      <w:marTop w:val="0"/>
      <w:marBottom w:val="0"/>
      <w:divBdr>
        <w:top w:val="none" w:sz="0" w:space="0" w:color="auto"/>
        <w:left w:val="none" w:sz="0" w:space="0" w:color="auto"/>
        <w:bottom w:val="none" w:sz="0" w:space="0" w:color="auto"/>
        <w:right w:val="none" w:sz="0" w:space="0" w:color="auto"/>
      </w:divBdr>
    </w:div>
    <w:div w:id="58793444">
      <w:bodyDiv w:val="1"/>
      <w:marLeft w:val="0"/>
      <w:marRight w:val="0"/>
      <w:marTop w:val="0"/>
      <w:marBottom w:val="0"/>
      <w:divBdr>
        <w:top w:val="none" w:sz="0" w:space="0" w:color="auto"/>
        <w:left w:val="none" w:sz="0" w:space="0" w:color="auto"/>
        <w:bottom w:val="none" w:sz="0" w:space="0" w:color="auto"/>
        <w:right w:val="none" w:sz="0" w:space="0" w:color="auto"/>
      </w:divBdr>
    </w:div>
    <w:div w:id="58797127">
      <w:bodyDiv w:val="1"/>
      <w:marLeft w:val="0"/>
      <w:marRight w:val="0"/>
      <w:marTop w:val="0"/>
      <w:marBottom w:val="0"/>
      <w:divBdr>
        <w:top w:val="none" w:sz="0" w:space="0" w:color="auto"/>
        <w:left w:val="none" w:sz="0" w:space="0" w:color="auto"/>
        <w:bottom w:val="none" w:sz="0" w:space="0" w:color="auto"/>
        <w:right w:val="none" w:sz="0" w:space="0" w:color="auto"/>
      </w:divBdr>
    </w:div>
    <w:div w:id="58864607">
      <w:bodyDiv w:val="1"/>
      <w:marLeft w:val="0"/>
      <w:marRight w:val="0"/>
      <w:marTop w:val="0"/>
      <w:marBottom w:val="0"/>
      <w:divBdr>
        <w:top w:val="none" w:sz="0" w:space="0" w:color="auto"/>
        <w:left w:val="none" w:sz="0" w:space="0" w:color="auto"/>
        <w:bottom w:val="none" w:sz="0" w:space="0" w:color="auto"/>
        <w:right w:val="none" w:sz="0" w:space="0" w:color="auto"/>
      </w:divBdr>
    </w:div>
    <w:div w:id="58869478">
      <w:bodyDiv w:val="1"/>
      <w:marLeft w:val="0"/>
      <w:marRight w:val="0"/>
      <w:marTop w:val="0"/>
      <w:marBottom w:val="0"/>
      <w:divBdr>
        <w:top w:val="none" w:sz="0" w:space="0" w:color="auto"/>
        <w:left w:val="none" w:sz="0" w:space="0" w:color="auto"/>
        <w:bottom w:val="none" w:sz="0" w:space="0" w:color="auto"/>
        <w:right w:val="none" w:sz="0" w:space="0" w:color="auto"/>
      </w:divBdr>
    </w:div>
    <w:div w:id="58872758">
      <w:bodyDiv w:val="1"/>
      <w:marLeft w:val="0"/>
      <w:marRight w:val="0"/>
      <w:marTop w:val="0"/>
      <w:marBottom w:val="0"/>
      <w:divBdr>
        <w:top w:val="none" w:sz="0" w:space="0" w:color="auto"/>
        <w:left w:val="none" w:sz="0" w:space="0" w:color="auto"/>
        <w:bottom w:val="none" w:sz="0" w:space="0" w:color="auto"/>
        <w:right w:val="none" w:sz="0" w:space="0" w:color="auto"/>
      </w:divBdr>
    </w:div>
    <w:div w:id="58872810">
      <w:bodyDiv w:val="1"/>
      <w:marLeft w:val="0"/>
      <w:marRight w:val="0"/>
      <w:marTop w:val="0"/>
      <w:marBottom w:val="0"/>
      <w:divBdr>
        <w:top w:val="none" w:sz="0" w:space="0" w:color="auto"/>
        <w:left w:val="none" w:sz="0" w:space="0" w:color="auto"/>
        <w:bottom w:val="none" w:sz="0" w:space="0" w:color="auto"/>
        <w:right w:val="none" w:sz="0" w:space="0" w:color="auto"/>
      </w:divBdr>
    </w:div>
    <w:div w:id="58872971">
      <w:bodyDiv w:val="1"/>
      <w:marLeft w:val="0"/>
      <w:marRight w:val="0"/>
      <w:marTop w:val="0"/>
      <w:marBottom w:val="0"/>
      <w:divBdr>
        <w:top w:val="none" w:sz="0" w:space="0" w:color="auto"/>
        <w:left w:val="none" w:sz="0" w:space="0" w:color="auto"/>
        <w:bottom w:val="none" w:sz="0" w:space="0" w:color="auto"/>
        <w:right w:val="none" w:sz="0" w:space="0" w:color="auto"/>
      </w:divBdr>
    </w:div>
    <w:div w:id="59065955">
      <w:bodyDiv w:val="1"/>
      <w:marLeft w:val="0"/>
      <w:marRight w:val="0"/>
      <w:marTop w:val="0"/>
      <w:marBottom w:val="0"/>
      <w:divBdr>
        <w:top w:val="none" w:sz="0" w:space="0" w:color="auto"/>
        <w:left w:val="none" w:sz="0" w:space="0" w:color="auto"/>
        <w:bottom w:val="none" w:sz="0" w:space="0" w:color="auto"/>
        <w:right w:val="none" w:sz="0" w:space="0" w:color="auto"/>
      </w:divBdr>
    </w:div>
    <w:div w:id="59139603">
      <w:bodyDiv w:val="1"/>
      <w:marLeft w:val="0"/>
      <w:marRight w:val="0"/>
      <w:marTop w:val="0"/>
      <w:marBottom w:val="0"/>
      <w:divBdr>
        <w:top w:val="none" w:sz="0" w:space="0" w:color="auto"/>
        <w:left w:val="none" w:sz="0" w:space="0" w:color="auto"/>
        <w:bottom w:val="none" w:sz="0" w:space="0" w:color="auto"/>
        <w:right w:val="none" w:sz="0" w:space="0" w:color="auto"/>
      </w:divBdr>
    </w:div>
    <w:div w:id="59141256">
      <w:bodyDiv w:val="1"/>
      <w:marLeft w:val="0"/>
      <w:marRight w:val="0"/>
      <w:marTop w:val="0"/>
      <w:marBottom w:val="0"/>
      <w:divBdr>
        <w:top w:val="none" w:sz="0" w:space="0" w:color="auto"/>
        <w:left w:val="none" w:sz="0" w:space="0" w:color="auto"/>
        <w:bottom w:val="none" w:sz="0" w:space="0" w:color="auto"/>
        <w:right w:val="none" w:sz="0" w:space="0" w:color="auto"/>
      </w:divBdr>
    </w:div>
    <w:div w:id="59180425">
      <w:bodyDiv w:val="1"/>
      <w:marLeft w:val="0"/>
      <w:marRight w:val="0"/>
      <w:marTop w:val="0"/>
      <w:marBottom w:val="0"/>
      <w:divBdr>
        <w:top w:val="none" w:sz="0" w:space="0" w:color="auto"/>
        <w:left w:val="none" w:sz="0" w:space="0" w:color="auto"/>
        <w:bottom w:val="none" w:sz="0" w:space="0" w:color="auto"/>
        <w:right w:val="none" w:sz="0" w:space="0" w:color="auto"/>
      </w:divBdr>
    </w:div>
    <w:div w:id="59597426">
      <w:bodyDiv w:val="1"/>
      <w:marLeft w:val="0"/>
      <w:marRight w:val="0"/>
      <w:marTop w:val="0"/>
      <w:marBottom w:val="0"/>
      <w:divBdr>
        <w:top w:val="none" w:sz="0" w:space="0" w:color="auto"/>
        <w:left w:val="none" w:sz="0" w:space="0" w:color="auto"/>
        <w:bottom w:val="none" w:sz="0" w:space="0" w:color="auto"/>
        <w:right w:val="none" w:sz="0" w:space="0" w:color="auto"/>
      </w:divBdr>
    </w:div>
    <w:div w:id="59643982">
      <w:bodyDiv w:val="1"/>
      <w:marLeft w:val="0"/>
      <w:marRight w:val="0"/>
      <w:marTop w:val="0"/>
      <w:marBottom w:val="0"/>
      <w:divBdr>
        <w:top w:val="none" w:sz="0" w:space="0" w:color="auto"/>
        <w:left w:val="none" w:sz="0" w:space="0" w:color="auto"/>
        <w:bottom w:val="none" w:sz="0" w:space="0" w:color="auto"/>
        <w:right w:val="none" w:sz="0" w:space="0" w:color="auto"/>
      </w:divBdr>
    </w:div>
    <w:div w:id="59670235">
      <w:bodyDiv w:val="1"/>
      <w:marLeft w:val="0"/>
      <w:marRight w:val="0"/>
      <w:marTop w:val="0"/>
      <w:marBottom w:val="0"/>
      <w:divBdr>
        <w:top w:val="none" w:sz="0" w:space="0" w:color="auto"/>
        <w:left w:val="none" w:sz="0" w:space="0" w:color="auto"/>
        <w:bottom w:val="none" w:sz="0" w:space="0" w:color="auto"/>
        <w:right w:val="none" w:sz="0" w:space="0" w:color="auto"/>
      </w:divBdr>
    </w:div>
    <w:div w:id="59791855">
      <w:bodyDiv w:val="1"/>
      <w:marLeft w:val="0"/>
      <w:marRight w:val="0"/>
      <w:marTop w:val="0"/>
      <w:marBottom w:val="0"/>
      <w:divBdr>
        <w:top w:val="none" w:sz="0" w:space="0" w:color="auto"/>
        <w:left w:val="none" w:sz="0" w:space="0" w:color="auto"/>
        <w:bottom w:val="none" w:sz="0" w:space="0" w:color="auto"/>
        <w:right w:val="none" w:sz="0" w:space="0" w:color="auto"/>
      </w:divBdr>
    </w:div>
    <w:div w:id="59864276">
      <w:bodyDiv w:val="1"/>
      <w:marLeft w:val="0"/>
      <w:marRight w:val="0"/>
      <w:marTop w:val="0"/>
      <w:marBottom w:val="0"/>
      <w:divBdr>
        <w:top w:val="none" w:sz="0" w:space="0" w:color="auto"/>
        <w:left w:val="none" w:sz="0" w:space="0" w:color="auto"/>
        <w:bottom w:val="none" w:sz="0" w:space="0" w:color="auto"/>
        <w:right w:val="none" w:sz="0" w:space="0" w:color="auto"/>
      </w:divBdr>
    </w:div>
    <w:div w:id="60098676">
      <w:bodyDiv w:val="1"/>
      <w:marLeft w:val="0"/>
      <w:marRight w:val="0"/>
      <w:marTop w:val="0"/>
      <w:marBottom w:val="0"/>
      <w:divBdr>
        <w:top w:val="none" w:sz="0" w:space="0" w:color="auto"/>
        <w:left w:val="none" w:sz="0" w:space="0" w:color="auto"/>
        <w:bottom w:val="none" w:sz="0" w:space="0" w:color="auto"/>
        <w:right w:val="none" w:sz="0" w:space="0" w:color="auto"/>
      </w:divBdr>
    </w:div>
    <w:div w:id="60179611">
      <w:bodyDiv w:val="1"/>
      <w:marLeft w:val="0"/>
      <w:marRight w:val="0"/>
      <w:marTop w:val="0"/>
      <w:marBottom w:val="0"/>
      <w:divBdr>
        <w:top w:val="none" w:sz="0" w:space="0" w:color="auto"/>
        <w:left w:val="none" w:sz="0" w:space="0" w:color="auto"/>
        <w:bottom w:val="none" w:sz="0" w:space="0" w:color="auto"/>
        <w:right w:val="none" w:sz="0" w:space="0" w:color="auto"/>
      </w:divBdr>
    </w:div>
    <w:div w:id="60298345">
      <w:bodyDiv w:val="1"/>
      <w:marLeft w:val="0"/>
      <w:marRight w:val="0"/>
      <w:marTop w:val="0"/>
      <w:marBottom w:val="0"/>
      <w:divBdr>
        <w:top w:val="none" w:sz="0" w:space="0" w:color="auto"/>
        <w:left w:val="none" w:sz="0" w:space="0" w:color="auto"/>
        <w:bottom w:val="none" w:sz="0" w:space="0" w:color="auto"/>
        <w:right w:val="none" w:sz="0" w:space="0" w:color="auto"/>
      </w:divBdr>
    </w:div>
    <w:div w:id="60565230">
      <w:bodyDiv w:val="1"/>
      <w:marLeft w:val="0"/>
      <w:marRight w:val="0"/>
      <w:marTop w:val="0"/>
      <w:marBottom w:val="0"/>
      <w:divBdr>
        <w:top w:val="none" w:sz="0" w:space="0" w:color="auto"/>
        <w:left w:val="none" w:sz="0" w:space="0" w:color="auto"/>
        <w:bottom w:val="none" w:sz="0" w:space="0" w:color="auto"/>
        <w:right w:val="none" w:sz="0" w:space="0" w:color="auto"/>
      </w:divBdr>
    </w:div>
    <w:div w:id="60635963">
      <w:bodyDiv w:val="1"/>
      <w:marLeft w:val="0"/>
      <w:marRight w:val="0"/>
      <w:marTop w:val="0"/>
      <w:marBottom w:val="0"/>
      <w:divBdr>
        <w:top w:val="none" w:sz="0" w:space="0" w:color="auto"/>
        <w:left w:val="none" w:sz="0" w:space="0" w:color="auto"/>
        <w:bottom w:val="none" w:sz="0" w:space="0" w:color="auto"/>
        <w:right w:val="none" w:sz="0" w:space="0" w:color="auto"/>
      </w:divBdr>
    </w:div>
    <w:div w:id="60715056">
      <w:bodyDiv w:val="1"/>
      <w:marLeft w:val="0"/>
      <w:marRight w:val="0"/>
      <w:marTop w:val="0"/>
      <w:marBottom w:val="0"/>
      <w:divBdr>
        <w:top w:val="none" w:sz="0" w:space="0" w:color="auto"/>
        <w:left w:val="none" w:sz="0" w:space="0" w:color="auto"/>
        <w:bottom w:val="none" w:sz="0" w:space="0" w:color="auto"/>
        <w:right w:val="none" w:sz="0" w:space="0" w:color="auto"/>
      </w:divBdr>
    </w:div>
    <w:div w:id="60715346">
      <w:bodyDiv w:val="1"/>
      <w:marLeft w:val="0"/>
      <w:marRight w:val="0"/>
      <w:marTop w:val="0"/>
      <w:marBottom w:val="0"/>
      <w:divBdr>
        <w:top w:val="none" w:sz="0" w:space="0" w:color="auto"/>
        <w:left w:val="none" w:sz="0" w:space="0" w:color="auto"/>
        <w:bottom w:val="none" w:sz="0" w:space="0" w:color="auto"/>
        <w:right w:val="none" w:sz="0" w:space="0" w:color="auto"/>
      </w:divBdr>
    </w:div>
    <w:div w:id="60754100">
      <w:bodyDiv w:val="1"/>
      <w:marLeft w:val="0"/>
      <w:marRight w:val="0"/>
      <w:marTop w:val="0"/>
      <w:marBottom w:val="0"/>
      <w:divBdr>
        <w:top w:val="none" w:sz="0" w:space="0" w:color="auto"/>
        <w:left w:val="none" w:sz="0" w:space="0" w:color="auto"/>
        <w:bottom w:val="none" w:sz="0" w:space="0" w:color="auto"/>
        <w:right w:val="none" w:sz="0" w:space="0" w:color="auto"/>
      </w:divBdr>
    </w:div>
    <w:div w:id="60759063">
      <w:bodyDiv w:val="1"/>
      <w:marLeft w:val="0"/>
      <w:marRight w:val="0"/>
      <w:marTop w:val="0"/>
      <w:marBottom w:val="0"/>
      <w:divBdr>
        <w:top w:val="none" w:sz="0" w:space="0" w:color="auto"/>
        <w:left w:val="none" w:sz="0" w:space="0" w:color="auto"/>
        <w:bottom w:val="none" w:sz="0" w:space="0" w:color="auto"/>
        <w:right w:val="none" w:sz="0" w:space="0" w:color="auto"/>
      </w:divBdr>
    </w:div>
    <w:div w:id="60833192">
      <w:bodyDiv w:val="1"/>
      <w:marLeft w:val="0"/>
      <w:marRight w:val="0"/>
      <w:marTop w:val="0"/>
      <w:marBottom w:val="0"/>
      <w:divBdr>
        <w:top w:val="none" w:sz="0" w:space="0" w:color="auto"/>
        <w:left w:val="none" w:sz="0" w:space="0" w:color="auto"/>
        <w:bottom w:val="none" w:sz="0" w:space="0" w:color="auto"/>
        <w:right w:val="none" w:sz="0" w:space="0" w:color="auto"/>
      </w:divBdr>
    </w:div>
    <w:div w:id="61030473">
      <w:bodyDiv w:val="1"/>
      <w:marLeft w:val="0"/>
      <w:marRight w:val="0"/>
      <w:marTop w:val="0"/>
      <w:marBottom w:val="0"/>
      <w:divBdr>
        <w:top w:val="none" w:sz="0" w:space="0" w:color="auto"/>
        <w:left w:val="none" w:sz="0" w:space="0" w:color="auto"/>
        <w:bottom w:val="none" w:sz="0" w:space="0" w:color="auto"/>
        <w:right w:val="none" w:sz="0" w:space="0" w:color="auto"/>
      </w:divBdr>
    </w:div>
    <w:div w:id="61105460">
      <w:bodyDiv w:val="1"/>
      <w:marLeft w:val="0"/>
      <w:marRight w:val="0"/>
      <w:marTop w:val="0"/>
      <w:marBottom w:val="0"/>
      <w:divBdr>
        <w:top w:val="none" w:sz="0" w:space="0" w:color="auto"/>
        <w:left w:val="none" w:sz="0" w:space="0" w:color="auto"/>
        <w:bottom w:val="none" w:sz="0" w:space="0" w:color="auto"/>
        <w:right w:val="none" w:sz="0" w:space="0" w:color="auto"/>
      </w:divBdr>
    </w:div>
    <w:div w:id="61224403">
      <w:bodyDiv w:val="1"/>
      <w:marLeft w:val="0"/>
      <w:marRight w:val="0"/>
      <w:marTop w:val="0"/>
      <w:marBottom w:val="0"/>
      <w:divBdr>
        <w:top w:val="none" w:sz="0" w:space="0" w:color="auto"/>
        <w:left w:val="none" w:sz="0" w:space="0" w:color="auto"/>
        <w:bottom w:val="none" w:sz="0" w:space="0" w:color="auto"/>
        <w:right w:val="none" w:sz="0" w:space="0" w:color="auto"/>
      </w:divBdr>
    </w:div>
    <w:div w:id="61291117">
      <w:bodyDiv w:val="1"/>
      <w:marLeft w:val="0"/>
      <w:marRight w:val="0"/>
      <w:marTop w:val="0"/>
      <w:marBottom w:val="0"/>
      <w:divBdr>
        <w:top w:val="none" w:sz="0" w:space="0" w:color="auto"/>
        <w:left w:val="none" w:sz="0" w:space="0" w:color="auto"/>
        <w:bottom w:val="none" w:sz="0" w:space="0" w:color="auto"/>
        <w:right w:val="none" w:sz="0" w:space="0" w:color="auto"/>
      </w:divBdr>
    </w:div>
    <w:div w:id="61292503">
      <w:bodyDiv w:val="1"/>
      <w:marLeft w:val="0"/>
      <w:marRight w:val="0"/>
      <w:marTop w:val="0"/>
      <w:marBottom w:val="0"/>
      <w:divBdr>
        <w:top w:val="none" w:sz="0" w:space="0" w:color="auto"/>
        <w:left w:val="none" w:sz="0" w:space="0" w:color="auto"/>
        <w:bottom w:val="none" w:sz="0" w:space="0" w:color="auto"/>
        <w:right w:val="none" w:sz="0" w:space="0" w:color="auto"/>
      </w:divBdr>
    </w:div>
    <w:div w:id="61294579">
      <w:bodyDiv w:val="1"/>
      <w:marLeft w:val="0"/>
      <w:marRight w:val="0"/>
      <w:marTop w:val="0"/>
      <w:marBottom w:val="0"/>
      <w:divBdr>
        <w:top w:val="none" w:sz="0" w:space="0" w:color="auto"/>
        <w:left w:val="none" w:sz="0" w:space="0" w:color="auto"/>
        <w:bottom w:val="none" w:sz="0" w:space="0" w:color="auto"/>
        <w:right w:val="none" w:sz="0" w:space="0" w:color="auto"/>
      </w:divBdr>
    </w:div>
    <w:div w:id="61342450">
      <w:bodyDiv w:val="1"/>
      <w:marLeft w:val="0"/>
      <w:marRight w:val="0"/>
      <w:marTop w:val="0"/>
      <w:marBottom w:val="0"/>
      <w:divBdr>
        <w:top w:val="none" w:sz="0" w:space="0" w:color="auto"/>
        <w:left w:val="none" w:sz="0" w:space="0" w:color="auto"/>
        <w:bottom w:val="none" w:sz="0" w:space="0" w:color="auto"/>
        <w:right w:val="none" w:sz="0" w:space="0" w:color="auto"/>
      </w:divBdr>
    </w:div>
    <w:div w:id="61342568">
      <w:bodyDiv w:val="1"/>
      <w:marLeft w:val="0"/>
      <w:marRight w:val="0"/>
      <w:marTop w:val="0"/>
      <w:marBottom w:val="0"/>
      <w:divBdr>
        <w:top w:val="none" w:sz="0" w:space="0" w:color="auto"/>
        <w:left w:val="none" w:sz="0" w:space="0" w:color="auto"/>
        <w:bottom w:val="none" w:sz="0" w:space="0" w:color="auto"/>
        <w:right w:val="none" w:sz="0" w:space="0" w:color="auto"/>
      </w:divBdr>
    </w:div>
    <w:div w:id="61369536">
      <w:bodyDiv w:val="1"/>
      <w:marLeft w:val="0"/>
      <w:marRight w:val="0"/>
      <w:marTop w:val="0"/>
      <w:marBottom w:val="0"/>
      <w:divBdr>
        <w:top w:val="none" w:sz="0" w:space="0" w:color="auto"/>
        <w:left w:val="none" w:sz="0" w:space="0" w:color="auto"/>
        <w:bottom w:val="none" w:sz="0" w:space="0" w:color="auto"/>
        <w:right w:val="none" w:sz="0" w:space="0" w:color="auto"/>
      </w:divBdr>
    </w:div>
    <w:div w:id="61413344">
      <w:bodyDiv w:val="1"/>
      <w:marLeft w:val="0"/>
      <w:marRight w:val="0"/>
      <w:marTop w:val="0"/>
      <w:marBottom w:val="0"/>
      <w:divBdr>
        <w:top w:val="none" w:sz="0" w:space="0" w:color="auto"/>
        <w:left w:val="none" w:sz="0" w:space="0" w:color="auto"/>
        <w:bottom w:val="none" w:sz="0" w:space="0" w:color="auto"/>
        <w:right w:val="none" w:sz="0" w:space="0" w:color="auto"/>
      </w:divBdr>
    </w:div>
    <w:div w:id="61486445">
      <w:bodyDiv w:val="1"/>
      <w:marLeft w:val="0"/>
      <w:marRight w:val="0"/>
      <w:marTop w:val="0"/>
      <w:marBottom w:val="0"/>
      <w:divBdr>
        <w:top w:val="none" w:sz="0" w:space="0" w:color="auto"/>
        <w:left w:val="none" w:sz="0" w:space="0" w:color="auto"/>
        <w:bottom w:val="none" w:sz="0" w:space="0" w:color="auto"/>
        <w:right w:val="none" w:sz="0" w:space="0" w:color="auto"/>
      </w:divBdr>
    </w:div>
    <w:div w:id="61677648">
      <w:bodyDiv w:val="1"/>
      <w:marLeft w:val="0"/>
      <w:marRight w:val="0"/>
      <w:marTop w:val="0"/>
      <w:marBottom w:val="0"/>
      <w:divBdr>
        <w:top w:val="none" w:sz="0" w:space="0" w:color="auto"/>
        <w:left w:val="none" w:sz="0" w:space="0" w:color="auto"/>
        <w:bottom w:val="none" w:sz="0" w:space="0" w:color="auto"/>
        <w:right w:val="none" w:sz="0" w:space="0" w:color="auto"/>
      </w:divBdr>
    </w:div>
    <w:div w:id="61686632">
      <w:bodyDiv w:val="1"/>
      <w:marLeft w:val="0"/>
      <w:marRight w:val="0"/>
      <w:marTop w:val="0"/>
      <w:marBottom w:val="0"/>
      <w:divBdr>
        <w:top w:val="none" w:sz="0" w:space="0" w:color="auto"/>
        <w:left w:val="none" w:sz="0" w:space="0" w:color="auto"/>
        <w:bottom w:val="none" w:sz="0" w:space="0" w:color="auto"/>
        <w:right w:val="none" w:sz="0" w:space="0" w:color="auto"/>
      </w:divBdr>
    </w:div>
    <w:div w:id="61802244">
      <w:bodyDiv w:val="1"/>
      <w:marLeft w:val="0"/>
      <w:marRight w:val="0"/>
      <w:marTop w:val="0"/>
      <w:marBottom w:val="0"/>
      <w:divBdr>
        <w:top w:val="none" w:sz="0" w:space="0" w:color="auto"/>
        <w:left w:val="none" w:sz="0" w:space="0" w:color="auto"/>
        <w:bottom w:val="none" w:sz="0" w:space="0" w:color="auto"/>
        <w:right w:val="none" w:sz="0" w:space="0" w:color="auto"/>
      </w:divBdr>
    </w:div>
    <w:div w:id="61805199">
      <w:bodyDiv w:val="1"/>
      <w:marLeft w:val="0"/>
      <w:marRight w:val="0"/>
      <w:marTop w:val="0"/>
      <w:marBottom w:val="0"/>
      <w:divBdr>
        <w:top w:val="none" w:sz="0" w:space="0" w:color="auto"/>
        <w:left w:val="none" w:sz="0" w:space="0" w:color="auto"/>
        <w:bottom w:val="none" w:sz="0" w:space="0" w:color="auto"/>
        <w:right w:val="none" w:sz="0" w:space="0" w:color="auto"/>
      </w:divBdr>
    </w:div>
    <w:div w:id="61833067">
      <w:bodyDiv w:val="1"/>
      <w:marLeft w:val="0"/>
      <w:marRight w:val="0"/>
      <w:marTop w:val="0"/>
      <w:marBottom w:val="0"/>
      <w:divBdr>
        <w:top w:val="none" w:sz="0" w:space="0" w:color="auto"/>
        <w:left w:val="none" w:sz="0" w:space="0" w:color="auto"/>
        <w:bottom w:val="none" w:sz="0" w:space="0" w:color="auto"/>
        <w:right w:val="none" w:sz="0" w:space="0" w:color="auto"/>
      </w:divBdr>
    </w:div>
    <w:div w:id="61949463">
      <w:bodyDiv w:val="1"/>
      <w:marLeft w:val="0"/>
      <w:marRight w:val="0"/>
      <w:marTop w:val="0"/>
      <w:marBottom w:val="0"/>
      <w:divBdr>
        <w:top w:val="none" w:sz="0" w:space="0" w:color="auto"/>
        <w:left w:val="none" w:sz="0" w:space="0" w:color="auto"/>
        <w:bottom w:val="none" w:sz="0" w:space="0" w:color="auto"/>
        <w:right w:val="none" w:sz="0" w:space="0" w:color="auto"/>
      </w:divBdr>
    </w:div>
    <w:div w:id="62215738">
      <w:bodyDiv w:val="1"/>
      <w:marLeft w:val="0"/>
      <w:marRight w:val="0"/>
      <w:marTop w:val="0"/>
      <w:marBottom w:val="0"/>
      <w:divBdr>
        <w:top w:val="none" w:sz="0" w:space="0" w:color="auto"/>
        <w:left w:val="none" w:sz="0" w:space="0" w:color="auto"/>
        <w:bottom w:val="none" w:sz="0" w:space="0" w:color="auto"/>
        <w:right w:val="none" w:sz="0" w:space="0" w:color="auto"/>
      </w:divBdr>
    </w:div>
    <w:div w:id="62216582">
      <w:bodyDiv w:val="1"/>
      <w:marLeft w:val="0"/>
      <w:marRight w:val="0"/>
      <w:marTop w:val="0"/>
      <w:marBottom w:val="0"/>
      <w:divBdr>
        <w:top w:val="none" w:sz="0" w:space="0" w:color="auto"/>
        <w:left w:val="none" w:sz="0" w:space="0" w:color="auto"/>
        <w:bottom w:val="none" w:sz="0" w:space="0" w:color="auto"/>
        <w:right w:val="none" w:sz="0" w:space="0" w:color="auto"/>
      </w:divBdr>
    </w:div>
    <w:div w:id="62264930">
      <w:bodyDiv w:val="1"/>
      <w:marLeft w:val="0"/>
      <w:marRight w:val="0"/>
      <w:marTop w:val="0"/>
      <w:marBottom w:val="0"/>
      <w:divBdr>
        <w:top w:val="none" w:sz="0" w:space="0" w:color="auto"/>
        <w:left w:val="none" w:sz="0" w:space="0" w:color="auto"/>
        <w:bottom w:val="none" w:sz="0" w:space="0" w:color="auto"/>
        <w:right w:val="none" w:sz="0" w:space="0" w:color="auto"/>
      </w:divBdr>
    </w:div>
    <w:div w:id="62333422">
      <w:bodyDiv w:val="1"/>
      <w:marLeft w:val="0"/>
      <w:marRight w:val="0"/>
      <w:marTop w:val="0"/>
      <w:marBottom w:val="0"/>
      <w:divBdr>
        <w:top w:val="none" w:sz="0" w:space="0" w:color="auto"/>
        <w:left w:val="none" w:sz="0" w:space="0" w:color="auto"/>
        <w:bottom w:val="none" w:sz="0" w:space="0" w:color="auto"/>
        <w:right w:val="none" w:sz="0" w:space="0" w:color="auto"/>
      </w:divBdr>
    </w:div>
    <w:div w:id="62410225">
      <w:bodyDiv w:val="1"/>
      <w:marLeft w:val="0"/>
      <w:marRight w:val="0"/>
      <w:marTop w:val="0"/>
      <w:marBottom w:val="0"/>
      <w:divBdr>
        <w:top w:val="none" w:sz="0" w:space="0" w:color="auto"/>
        <w:left w:val="none" w:sz="0" w:space="0" w:color="auto"/>
        <w:bottom w:val="none" w:sz="0" w:space="0" w:color="auto"/>
        <w:right w:val="none" w:sz="0" w:space="0" w:color="auto"/>
      </w:divBdr>
    </w:div>
    <w:div w:id="62531740">
      <w:bodyDiv w:val="1"/>
      <w:marLeft w:val="0"/>
      <w:marRight w:val="0"/>
      <w:marTop w:val="0"/>
      <w:marBottom w:val="0"/>
      <w:divBdr>
        <w:top w:val="none" w:sz="0" w:space="0" w:color="auto"/>
        <w:left w:val="none" w:sz="0" w:space="0" w:color="auto"/>
        <w:bottom w:val="none" w:sz="0" w:space="0" w:color="auto"/>
        <w:right w:val="none" w:sz="0" w:space="0" w:color="auto"/>
      </w:divBdr>
    </w:div>
    <w:div w:id="62531915">
      <w:bodyDiv w:val="1"/>
      <w:marLeft w:val="0"/>
      <w:marRight w:val="0"/>
      <w:marTop w:val="0"/>
      <w:marBottom w:val="0"/>
      <w:divBdr>
        <w:top w:val="none" w:sz="0" w:space="0" w:color="auto"/>
        <w:left w:val="none" w:sz="0" w:space="0" w:color="auto"/>
        <w:bottom w:val="none" w:sz="0" w:space="0" w:color="auto"/>
        <w:right w:val="none" w:sz="0" w:space="0" w:color="auto"/>
      </w:divBdr>
    </w:div>
    <w:div w:id="62602385">
      <w:bodyDiv w:val="1"/>
      <w:marLeft w:val="0"/>
      <w:marRight w:val="0"/>
      <w:marTop w:val="0"/>
      <w:marBottom w:val="0"/>
      <w:divBdr>
        <w:top w:val="none" w:sz="0" w:space="0" w:color="auto"/>
        <w:left w:val="none" w:sz="0" w:space="0" w:color="auto"/>
        <w:bottom w:val="none" w:sz="0" w:space="0" w:color="auto"/>
        <w:right w:val="none" w:sz="0" w:space="0" w:color="auto"/>
      </w:divBdr>
    </w:div>
    <w:div w:id="62607247">
      <w:bodyDiv w:val="1"/>
      <w:marLeft w:val="0"/>
      <w:marRight w:val="0"/>
      <w:marTop w:val="0"/>
      <w:marBottom w:val="0"/>
      <w:divBdr>
        <w:top w:val="none" w:sz="0" w:space="0" w:color="auto"/>
        <w:left w:val="none" w:sz="0" w:space="0" w:color="auto"/>
        <w:bottom w:val="none" w:sz="0" w:space="0" w:color="auto"/>
        <w:right w:val="none" w:sz="0" w:space="0" w:color="auto"/>
      </w:divBdr>
    </w:div>
    <w:div w:id="62653897">
      <w:bodyDiv w:val="1"/>
      <w:marLeft w:val="0"/>
      <w:marRight w:val="0"/>
      <w:marTop w:val="0"/>
      <w:marBottom w:val="0"/>
      <w:divBdr>
        <w:top w:val="none" w:sz="0" w:space="0" w:color="auto"/>
        <w:left w:val="none" w:sz="0" w:space="0" w:color="auto"/>
        <w:bottom w:val="none" w:sz="0" w:space="0" w:color="auto"/>
        <w:right w:val="none" w:sz="0" w:space="0" w:color="auto"/>
      </w:divBdr>
    </w:div>
    <w:div w:id="62873291">
      <w:bodyDiv w:val="1"/>
      <w:marLeft w:val="0"/>
      <w:marRight w:val="0"/>
      <w:marTop w:val="0"/>
      <w:marBottom w:val="0"/>
      <w:divBdr>
        <w:top w:val="none" w:sz="0" w:space="0" w:color="auto"/>
        <w:left w:val="none" w:sz="0" w:space="0" w:color="auto"/>
        <w:bottom w:val="none" w:sz="0" w:space="0" w:color="auto"/>
        <w:right w:val="none" w:sz="0" w:space="0" w:color="auto"/>
      </w:divBdr>
    </w:div>
    <w:div w:id="62990735">
      <w:bodyDiv w:val="1"/>
      <w:marLeft w:val="0"/>
      <w:marRight w:val="0"/>
      <w:marTop w:val="0"/>
      <w:marBottom w:val="0"/>
      <w:divBdr>
        <w:top w:val="none" w:sz="0" w:space="0" w:color="auto"/>
        <w:left w:val="none" w:sz="0" w:space="0" w:color="auto"/>
        <w:bottom w:val="none" w:sz="0" w:space="0" w:color="auto"/>
        <w:right w:val="none" w:sz="0" w:space="0" w:color="auto"/>
      </w:divBdr>
    </w:div>
    <w:div w:id="62992673">
      <w:bodyDiv w:val="1"/>
      <w:marLeft w:val="0"/>
      <w:marRight w:val="0"/>
      <w:marTop w:val="0"/>
      <w:marBottom w:val="0"/>
      <w:divBdr>
        <w:top w:val="none" w:sz="0" w:space="0" w:color="auto"/>
        <w:left w:val="none" w:sz="0" w:space="0" w:color="auto"/>
        <w:bottom w:val="none" w:sz="0" w:space="0" w:color="auto"/>
        <w:right w:val="none" w:sz="0" w:space="0" w:color="auto"/>
      </w:divBdr>
    </w:div>
    <w:div w:id="63068139">
      <w:bodyDiv w:val="1"/>
      <w:marLeft w:val="0"/>
      <w:marRight w:val="0"/>
      <w:marTop w:val="0"/>
      <w:marBottom w:val="0"/>
      <w:divBdr>
        <w:top w:val="none" w:sz="0" w:space="0" w:color="auto"/>
        <w:left w:val="none" w:sz="0" w:space="0" w:color="auto"/>
        <w:bottom w:val="none" w:sz="0" w:space="0" w:color="auto"/>
        <w:right w:val="none" w:sz="0" w:space="0" w:color="auto"/>
      </w:divBdr>
    </w:div>
    <w:div w:id="63069219">
      <w:bodyDiv w:val="1"/>
      <w:marLeft w:val="0"/>
      <w:marRight w:val="0"/>
      <w:marTop w:val="0"/>
      <w:marBottom w:val="0"/>
      <w:divBdr>
        <w:top w:val="none" w:sz="0" w:space="0" w:color="auto"/>
        <w:left w:val="none" w:sz="0" w:space="0" w:color="auto"/>
        <w:bottom w:val="none" w:sz="0" w:space="0" w:color="auto"/>
        <w:right w:val="none" w:sz="0" w:space="0" w:color="auto"/>
      </w:divBdr>
    </w:div>
    <w:div w:id="63071005">
      <w:bodyDiv w:val="1"/>
      <w:marLeft w:val="0"/>
      <w:marRight w:val="0"/>
      <w:marTop w:val="0"/>
      <w:marBottom w:val="0"/>
      <w:divBdr>
        <w:top w:val="none" w:sz="0" w:space="0" w:color="auto"/>
        <w:left w:val="none" w:sz="0" w:space="0" w:color="auto"/>
        <w:bottom w:val="none" w:sz="0" w:space="0" w:color="auto"/>
        <w:right w:val="none" w:sz="0" w:space="0" w:color="auto"/>
      </w:divBdr>
    </w:div>
    <w:div w:id="63115403">
      <w:bodyDiv w:val="1"/>
      <w:marLeft w:val="0"/>
      <w:marRight w:val="0"/>
      <w:marTop w:val="0"/>
      <w:marBottom w:val="0"/>
      <w:divBdr>
        <w:top w:val="none" w:sz="0" w:space="0" w:color="auto"/>
        <w:left w:val="none" w:sz="0" w:space="0" w:color="auto"/>
        <w:bottom w:val="none" w:sz="0" w:space="0" w:color="auto"/>
        <w:right w:val="none" w:sz="0" w:space="0" w:color="auto"/>
      </w:divBdr>
    </w:div>
    <w:div w:id="63141831">
      <w:bodyDiv w:val="1"/>
      <w:marLeft w:val="0"/>
      <w:marRight w:val="0"/>
      <w:marTop w:val="0"/>
      <w:marBottom w:val="0"/>
      <w:divBdr>
        <w:top w:val="none" w:sz="0" w:space="0" w:color="auto"/>
        <w:left w:val="none" w:sz="0" w:space="0" w:color="auto"/>
        <w:bottom w:val="none" w:sz="0" w:space="0" w:color="auto"/>
        <w:right w:val="none" w:sz="0" w:space="0" w:color="auto"/>
      </w:divBdr>
    </w:div>
    <w:div w:id="63143535">
      <w:bodyDiv w:val="1"/>
      <w:marLeft w:val="0"/>
      <w:marRight w:val="0"/>
      <w:marTop w:val="0"/>
      <w:marBottom w:val="0"/>
      <w:divBdr>
        <w:top w:val="none" w:sz="0" w:space="0" w:color="auto"/>
        <w:left w:val="none" w:sz="0" w:space="0" w:color="auto"/>
        <w:bottom w:val="none" w:sz="0" w:space="0" w:color="auto"/>
        <w:right w:val="none" w:sz="0" w:space="0" w:color="auto"/>
      </w:divBdr>
    </w:div>
    <w:div w:id="63257795">
      <w:bodyDiv w:val="1"/>
      <w:marLeft w:val="0"/>
      <w:marRight w:val="0"/>
      <w:marTop w:val="0"/>
      <w:marBottom w:val="0"/>
      <w:divBdr>
        <w:top w:val="none" w:sz="0" w:space="0" w:color="auto"/>
        <w:left w:val="none" w:sz="0" w:space="0" w:color="auto"/>
        <w:bottom w:val="none" w:sz="0" w:space="0" w:color="auto"/>
        <w:right w:val="none" w:sz="0" w:space="0" w:color="auto"/>
      </w:divBdr>
    </w:div>
    <w:div w:id="63338147">
      <w:bodyDiv w:val="1"/>
      <w:marLeft w:val="0"/>
      <w:marRight w:val="0"/>
      <w:marTop w:val="0"/>
      <w:marBottom w:val="0"/>
      <w:divBdr>
        <w:top w:val="none" w:sz="0" w:space="0" w:color="auto"/>
        <w:left w:val="none" w:sz="0" w:space="0" w:color="auto"/>
        <w:bottom w:val="none" w:sz="0" w:space="0" w:color="auto"/>
        <w:right w:val="none" w:sz="0" w:space="0" w:color="auto"/>
      </w:divBdr>
    </w:div>
    <w:div w:id="63338983">
      <w:bodyDiv w:val="1"/>
      <w:marLeft w:val="0"/>
      <w:marRight w:val="0"/>
      <w:marTop w:val="0"/>
      <w:marBottom w:val="0"/>
      <w:divBdr>
        <w:top w:val="none" w:sz="0" w:space="0" w:color="auto"/>
        <w:left w:val="none" w:sz="0" w:space="0" w:color="auto"/>
        <w:bottom w:val="none" w:sz="0" w:space="0" w:color="auto"/>
        <w:right w:val="none" w:sz="0" w:space="0" w:color="auto"/>
      </w:divBdr>
    </w:div>
    <w:div w:id="63376470">
      <w:bodyDiv w:val="1"/>
      <w:marLeft w:val="0"/>
      <w:marRight w:val="0"/>
      <w:marTop w:val="0"/>
      <w:marBottom w:val="0"/>
      <w:divBdr>
        <w:top w:val="none" w:sz="0" w:space="0" w:color="auto"/>
        <w:left w:val="none" w:sz="0" w:space="0" w:color="auto"/>
        <w:bottom w:val="none" w:sz="0" w:space="0" w:color="auto"/>
        <w:right w:val="none" w:sz="0" w:space="0" w:color="auto"/>
      </w:divBdr>
    </w:div>
    <w:div w:id="63379295">
      <w:bodyDiv w:val="1"/>
      <w:marLeft w:val="0"/>
      <w:marRight w:val="0"/>
      <w:marTop w:val="0"/>
      <w:marBottom w:val="0"/>
      <w:divBdr>
        <w:top w:val="none" w:sz="0" w:space="0" w:color="auto"/>
        <w:left w:val="none" w:sz="0" w:space="0" w:color="auto"/>
        <w:bottom w:val="none" w:sz="0" w:space="0" w:color="auto"/>
        <w:right w:val="none" w:sz="0" w:space="0" w:color="auto"/>
      </w:divBdr>
    </w:div>
    <w:div w:id="63454225">
      <w:bodyDiv w:val="1"/>
      <w:marLeft w:val="0"/>
      <w:marRight w:val="0"/>
      <w:marTop w:val="0"/>
      <w:marBottom w:val="0"/>
      <w:divBdr>
        <w:top w:val="none" w:sz="0" w:space="0" w:color="auto"/>
        <w:left w:val="none" w:sz="0" w:space="0" w:color="auto"/>
        <w:bottom w:val="none" w:sz="0" w:space="0" w:color="auto"/>
        <w:right w:val="none" w:sz="0" w:space="0" w:color="auto"/>
      </w:divBdr>
    </w:div>
    <w:div w:id="63457895">
      <w:bodyDiv w:val="1"/>
      <w:marLeft w:val="0"/>
      <w:marRight w:val="0"/>
      <w:marTop w:val="0"/>
      <w:marBottom w:val="0"/>
      <w:divBdr>
        <w:top w:val="none" w:sz="0" w:space="0" w:color="auto"/>
        <w:left w:val="none" w:sz="0" w:space="0" w:color="auto"/>
        <w:bottom w:val="none" w:sz="0" w:space="0" w:color="auto"/>
        <w:right w:val="none" w:sz="0" w:space="0" w:color="auto"/>
      </w:divBdr>
    </w:div>
    <w:div w:id="63458770">
      <w:bodyDiv w:val="1"/>
      <w:marLeft w:val="0"/>
      <w:marRight w:val="0"/>
      <w:marTop w:val="0"/>
      <w:marBottom w:val="0"/>
      <w:divBdr>
        <w:top w:val="none" w:sz="0" w:space="0" w:color="auto"/>
        <w:left w:val="none" w:sz="0" w:space="0" w:color="auto"/>
        <w:bottom w:val="none" w:sz="0" w:space="0" w:color="auto"/>
        <w:right w:val="none" w:sz="0" w:space="0" w:color="auto"/>
      </w:divBdr>
    </w:div>
    <w:div w:id="63459447">
      <w:bodyDiv w:val="1"/>
      <w:marLeft w:val="0"/>
      <w:marRight w:val="0"/>
      <w:marTop w:val="0"/>
      <w:marBottom w:val="0"/>
      <w:divBdr>
        <w:top w:val="none" w:sz="0" w:space="0" w:color="auto"/>
        <w:left w:val="none" w:sz="0" w:space="0" w:color="auto"/>
        <w:bottom w:val="none" w:sz="0" w:space="0" w:color="auto"/>
        <w:right w:val="none" w:sz="0" w:space="0" w:color="auto"/>
      </w:divBdr>
    </w:div>
    <w:div w:id="63459643">
      <w:bodyDiv w:val="1"/>
      <w:marLeft w:val="0"/>
      <w:marRight w:val="0"/>
      <w:marTop w:val="0"/>
      <w:marBottom w:val="0"/>
      <w:divBdr>
        <w:top w:val="none" w:sz="0" w:space="0" w:color="auto"/>
        <w:left w:val="none" w:sz="0" w:space="0" w:color="auto"/>
        <w:bottom w:val="none" w:sz="0" w:space="0" w:color="auto"/>
        <w:right w:val="none" w:sz="0" w:space="0" w:color="auto"/>
      </w:divBdr>
    </w:div>
    <w:div w:id="63576045">
      <w:bodyDiv w:val="1"/>
      <w:marLeft w:val="0"/>
      <w:marRight w:val="0"/>
      <w:marTop w:val="0"/>
      <w:marBottom w:val="0"/>
      <w:divBdr>
        <w:top w:val="none" w:sz="0" w:space="0" w:color="auto"/>
        <w:left w:val="none" w:sz="0" w:space="0" w:color="auto"/>
        <w:bottom w:val="none" w:sz="0" w:space="0" w:color="auto"/>
        <w:right w:val="none" w:sz="0" w:space="0" w:color="auto"/>
      </w:divBdr>
    </w:div>
    <w:div w:id="63602455">
      <w:bodyDiv w:val="1"/>
      <w:marLeft w:val="0"/>
      <w:marRight w:val="0"/>
      <w:marTop w:val="0"/>
      <w:marBottom w:val="0"/>
      <w:divBdr>
        <w:top w:val="none" w:sz="0" w:space="0" w:color="auto"/>
        <w:left w:val="none" w:sz="0" w:space="0" w:color="auto"/>
        <w:bottom w:val="none" w:sz="0" w:space="0" w:color="auto"/>
        <w:right w:val="none" w:sz="0" w:space="0" w:color="auto"/>
      </w:divBdr>
    </w:div>
    <w:div w:id="63643506">
      <w:bodyDiv w:val="1"/>
      <w:marLeft w:val="0"/>
      <w:marRight w:val="0"/>
      <w:marTop w:val="0"/>
      <w:marBottom w:val="0"/>
      <w:divBdr>
        <w:top w:val="none" w:sz="0" w:space="0" w:color="auto"/>
        <w:left w:val="none" w:sz="0" w:space="0" w:color="auto"/>
        <w:bottom w:val="none" w:sz="0" w:space="0" w:color="auto"/>
        <w:right w:val="none" w:sz="0" w:space="0" w:color="auto"/>
      </w:divBdr>
    </w:div>
    <w:div w:id="63647625">
      <w:bodyDiv w:val="1"/>
      <w:marLeft w:val="0"/>
      <w:marRight w:val="0"/>
      <w:marTop w:val="0"/>
      <w:marBottom w:val="0"/>
      <w:divBdr>
        <w:top w:val="none" w:sz="0" w:space="0" w:color="auto"/>
        <w:left w:val="none" w:sz="0" w:space="0" w:color="auto"/>
        <w:bottom w:val="none" w:sz="0" w:space="0" w:color="auto"/>
        <w:right w:val="none" w:sz="0" w:space="0" w:color="auto"/>
      </w:divBdr>
    </w:div>
    <w:div w:id="63651698">
      <w:bodyDiv w:val="1"/>
      <w:marLeft w:val="0"/>
      <w:marRight w:val="0"/>
      <w:marTop w:val="0"/>
      <w:marBottom w:val="0"/>
      <w:divBdr>
        <w:top w:val="none" w:sz="0" w:space="0" w:color="auto"/>
        <w:left w:val="none" w:sz="0" w:space="0" w:color="auto"/>
        <w:bottom w:val="none" w:sz="0" w:space="0" w:color="auto"/>
        <w:right w:val="none" w:sz="0" w:space="0" w:color="auto"/>
      </w:divBdr>
    </w:div>
    <w:div w:id="63719388">
      <w:bodyDiv w:val="1"/>
      <w:marLeft w:val="0"/>
      <w:marRight w:val="0"/>
      <w:marTop w:val="0"/>
      <w:marBottom w:val="0"/>
      <w:divBdr>
        <w:top w:val="none" w:sz="0" w:space="0" w:color="auto"/>
        <w:left w:val="none" w:sz="0" w:space="0" w:color="auto"/>
        <w:bottom w:val="none" w:sz="0" w:space="0" w:color="auto"/>
        <w:right w:val="none" w:sz="0" w:space="0" w:color="auto"/>
      </w:divBdr>
    </w:div>
    <w:div w:id="63721422">
      <w:bodyDiv w:val="1"/>
      <w:marLeft w:val="0"/>
      <w:marRight w:val="0"/>
      <w:marTop w:val="0"/>
      <w:marBottom w:val="0"/>
      <w:divBdr>
        <w:top w:val="none" w:sz="0" w:space="0" w:color="auto"/>
        <w:left w:val="none" w:sz="0" w:space="0" w:color="auto"/>
        <w:bottom w:val="none" w:sz="0" w:space="0" w:color="auto"/>
        <w:right w:val="none" w:sz="0" w:space="0" w:color="auto"/>
      </w:divBdr>
    </w:div>
    <w:div w:id="63794658">
      <w:bodyDiv w:val="1"/>
      <w:marLeft w:val="0"/>
      <w:marRight w:val="0"/>
      <w:marTop w:val="0"/>
      <w:marBottom w:val="0"/>
      <w:divBdr>
        <w:top w:val="none" w:sz="0" w:space="0" w:color="auto"/>
        <w:left w:val="none" w:sz="0" w:space="0" w:color="auto"/>
        <w:bottom w:val="none" w:sz="0" w:space="0" w:color="auto"/>
        <w:right w:val="none" w:sz="0" w:space="0" w:color="auto"/>
      </w:divBdr>
    </w:div>
    <w:div w:id="63844572">
      <w:bodyDiv w:val="1"/>
      <w:marLeft w:val="0"/>
      <w:marRight w:val="0"/>
      <w:marTop w:val="0"/>
      <w:marBottom w:val="0"/>
      <w:divBdr>
        <w:top w:val="none" w:sz="0" w:space="0" w:color="auto"/>
        <w:left w:val="none" w:sz="0" w:space="0" w:color="auto"/>
        <w:bottom w:val="none" w:sz="0" w:space="0" w:color="auto"/>
        <w:right w:val="none" w:sz="0" w:space="0" w:color="auto"/>
      </w:divBdr>
    </w:div>
    <w:div w:id="63991054">
      <w:bodyDiv w:val="1"/>
      <w:marLeft w:val="0"/>
      <w:marRight w:val="0"/>
      <w:marTop w:val="0"/>
      <w:marBottom w:val="0"/>
      <w:divBdr>
        <w:top w:val="none" w:sz="0" w:space="0" w:color="auto"/>
        <w:left w:val="none" w:sz="0" w:space="0" w:color="auto"/>
        <w:bottom w:val="none" w:sz="0" w:space="0" w:color="auto"/>
        <w:right w:val="none" w:sz="0" w:space="0" w:color="auto"/>
      </w:divBdr>
    </w:div>
    <w:div w:id="64107789">
      <w:bodyDiv w:val="1"/>
      <w:marLeft w:val="0"/>
      <w:marRight w:val="0"/>
      <w:marTop w:val="0"/>
      <w:marBottom w:val="0"/>
      <w:divBdr>
        <w:top w:val="none" w:sz="0" w:space="0" w:color="auto"/>
        <w:left w:val="none" w:sz="0" w:space="0" w:color="auto"/>
        <w:bottom w:val="none" w:sz="0" w:space="0" w:color="auto"/>
        <w:right w:val="none" w:sz="0" w:space="0" w:color="auto"/>
      </w:divBdr>
    </w:div>
    <w:div w:id="64110780">
      <w:bodyDiv w:val="1"/>
      <w:marLeft w:val="0"/>
      <w:marRight w:val="0"/>
      <w:marTop w:val="0"/>
      <w:marBottom w:val="0"/>
      <w:divBdr>
        <w:top w:val="none" w:sz="0" w:space="0" w:color="auto"/>
        <w:left w:val="none" w:sz="0" w:space="0" w:color="auto"/>
        <w:bottom w:val="none" w:sz="0" w:space="0" w:color="auto"/>
        <w:right w:val="none" w:sz="0" w:space="0" w:color="auto"/>
      </w:divBdr>
    </w:div>
    <w:div w:id="64182730">
      <w:bodyDiv w:val="1"/>
      <w:marLeft w:val="0"/>
      <w:marRight w:val="0"/>
      <w:marTop w:val="0"/>
      <w:marBottom w:val="0"/>
      <w:divBdr>
        <w:top w:val="none" w:sz="0" w:space="0" w:color="auto"/>
        <w:left w:val="none" w:sz="0" w:space="0" w:color="auto"/>
        <w:bottom w:val="none" w:sz="0" w:space="0" w:color="auto"/>
        <w:right w:val="none" w:sz="0" w:space="0" w:color="auto"/>
      </w:divBdr>
    </w:div>
    <w:div w:id="64225568">
      <w:bodyDiv w:val="1"/>
      <w:marLeft w:val="0"/>
      <w:marRight w:val="0"/>
      <w:marTop w:val="0"/>
      <w:marBottom w:val="0"/>
      <w:divBdr>
        <w:top w:val="none" w:sz="0" w:space="0" w:color="auto"/>
        <w:left w:val="none" w:sz="0" w:space="0" w:color="auto"/>
        <w:bottom w:val="none" w:sz="0" w:space="0" w:color="auto"/>
        <w:right w:val="none" w:sz="0" w:space="0" w:color="auto"/>
      </w:divBdr>
    </w:div>
    <w:div w:id="64227138">
      <w:bodyDiv w:val="1"/>
      <w:marLeft w:val="0"/>
      <w:marRight w:val="0"/>
      <w:marTop w:val="0"/>
      <w:marBottom w:val="0"/>
      <w:divBdr>
        <w:top w:val="none" w:sz="0" w:space="0" w:color="auto"/>
        <w:left w:val="none" w:sz="0" w:space="0" w:color="auto"/>
        <w:bottom w:val="none" w:sz="0" w:space="0" w:color="auto"/>
        <w:right w:val="none" w:sz="0" w:space="0" w:color="auto"/>
      </w:divBdr>
    </w:div>
    <w:div w:id="64299407">
      <w:bodyDiv w:val="1"/>
      <w:marLeft w:val="0"/>
      <w:marRight w:val="0"/>
      <w:marTop w:val="0"/>
      <w:marBottom w:val="0"/>
      <w:divBdr>
        <w:top w:val="none" w:sz="0" w:space="0" w:color="auto"/>
        <w:left w:val="none" w:sz="0" w:space="0" w:color="auto"/>
        <w:bottom w:val="none" w:sz="0" w:space="0" w:color="auto"/>
        <w:right w:val="none" w:sz="0" w:space="0" w:color="auto"/>
      </w:divBdr>
    </w:div>
    <w:div w:id="64375195">
      <w:bodyDiv w:val="1"/>
      <w:marLeft w:val="0"/>
      <w:marRight w:val="0"/>
      <w:marTop w:val="0"/>
      <w:marBottom w:val="0"/>
      <w:divBdr>
        <w:top w:val="none" w:sz="0" w:space="0" w:color="auto"/>
        <w:left w:val="none" w:sz="0" w:space="0" w:color="auto"/>
        <w:bottom w:val="none" w:sz="0" w:space="0" w:color="auto"/>
        <w:right w:val="none" w:sz="0" w:space="0" w:color="auto"/>
      </w:divBdr>
    </w:div>
    <w:div w:id="64494676">
      <w:bodyDiv w:val="1"/>
      <w:marLeft w:val="0"/>
      <w:marRight w:val="0"/>
      <w:marTop w:val="0"/>
      <w:marBottom w:val="0"/>
      <w:divBdr>
        <w:top w:val="none" w:sz="0" w:space="0" w:color="auto"/>
        <w:left w:val="none" w:sz="0" w:space="0" w:color="auto"/>
        <w:bottom w:val="none" w:sz="0" w:space="0" w:color="auto"/>
        <w:right w:val="none" w:sz="0" w:space="0" w:color="auto"/>
      </w:divBdr>
    </w:div>
    <w:div w:id="64567454">
      <w:bodyDiv w:val="1"/>
      <w:marLeft w:val="0"/>
      <w:marRight w:val="0"/>
      <w:marTop w:val="0"/>
      <w:marBottom w:val="0"/>
      <w:divBdr>
        <w:top w:val="none" w:sz="0" w:space="0" w:color="auto"/>
        <w:left w:val="none" w:sz="0" w:space="0" w:color="auto"/>
        <w:bottom w:val="none" w:sz="0" w:space="0" w:color="auto"/>
        <w:right w:val="none" w:sz="0" w:space="0" w:color="auto"/>
      </w:divBdr>
    </w:div>
    <w:div w:id="64645297">
      <w:bodyDiv w:val="1"/>
      <w:marLeft w:val="0"/>
      <w:marRight w:val="0"/>
      <w:marTop w:val="0"/>
      <w:marBottom w:val="0"/>
      <w:divBdr>
        <w:top w:val="none" w:sz="0" w:space="0" w:color="auto"/>
        <w:left w:val="none" w:sz="0" w:space="0" w:color="auto"/>
        <w:bottom w:val="none" w:sz="0" w:space="0" w:color="auto"/>
        <w:right w:val="none" w:sz="0" w:space="0" w:color="auto"/>
      </w:divBdr>
    </w:div>
    <w:div w:id="64646953">
      <w:bodyDiv w:val="1"/>
      <w:marLeft w:val="0"/>
      <w:marRight w:val="0"/>
      <w:marTop w:val="0"/>
      <w:marBottom w:val="0"/>
      <w:divBdr>
        <w:top w:val="none" w:sz="0" w:space="0" w:color="auto"/>
        <w:left w:val="none" w:sz="0" w:space="0" w:color="auto"/>
        <w:bottom w:val="none" w:sz="0" w:space="0" w:color="auto"/>
        <w:right w:val="none" w:sz="0" w:space="0" w:color="auto"/>
      </w:divBdr>
    </w:div>
    <w:div w:id="64837298">
      <w:bodyDiv w:val="1"/>
      <w:marLeft w:val="0"/>
      <w:marRight w:val="0"/>
      <w:marTop w:val="0"/>
      <w:marBottom w:val="0"/>
      <w:divBdr>
        <w:top w:val="none" w:sz="0" w:space="0" w:color="auto"/>
        <w:left w:val="none" w:sz="0" w:space="0" w:color="auto"/>
        <w:bottom w:val="none" w:sz="0" w:space="0" w:color="auto"/>
        <w:right w:val="none" w:sz="0" w:space="0" w:color="auto"/>
      </w:divBdr>
    </w:div>
    <w:div w:id="64845027">
      <w:bodyDiv w:val="1"/>
      <w:marLeft w:val="0"/>
      <w:marRight w:val="0"/>
      <w:marTop w:val="0"/>
      <w:marBottom w:val="0"/>
      <w:divBdr>
        <w:top w:val="none" w:sz="0" w:space="0" w:color="auto"/>
        <w:left w:val="none" w:sz="0" w:space="0" w:color="auto"/>
        <w:bottom w:val="none" w:sz="0" w:space="0" w:color="auto"/>
        <w:right w:val="none" w:sz="0" w:space="0" w:color="auto"/>
      </w:divBdr>
    </w:div>
    <w:div w:id="65108245">
      <w:bodyDiv w:val="1"/>
      <w:marLeft w:val="0"/>
      <w:marRight w:val="0"/>
      <w:marTop w:val="0"/>
      <w:marBottom w:val="0"/>
      <w:divBdr>
        <w:top w:val="none" w:sz="0" w:space="0" w:color="auto"/>
        <w:left w:val="none" w:sz="0" w:space="0" w:color="auto"/>
        <w:bottom w:val="none" w:sz="0" w:space="0" w:color="auto"/>
        <w:right w:val="none" w:sz="0" w:space="0" w:color="auto"/>
      </w:divBdr>
    </w:div>
    <w:div w:id="65151250">
      <w:bodyDiv w:val="1"/>
      <w:marLeft w:val="0"/>
      <w:marRight w:val="0"/>
      <w:marTop w:val="0"/>
      <w:marBottom w:val="0"/>
      <w:divBdr>
        <w:top w:val="none" w:sz="0" w:space="0" w:color="auto"/>
        <w:left w:val="none" w:sz="0" w:space="0" w:color="auto"/>
        <w:bottom w:val="none" w:sz="0" w:space="0" w:color="auto"/>
        <w:right w:val="none" w:sz="0" w:space="0" w:color="auto"/>
      </w:divBdr>
    </w:div>
    <w:div w:id="65226601">
      <w:bodyDiv w:val="1"/>
      <w:marLeft w:val="0"/>
      <w:marRight w:val="0"/>
      <w:marTop w:val="0"/>
      <w:marBottom w:val="0"/>
      <w:divBdr>
        <w:top w:val="none" w:sz="0" w:space="0" w:color="auto"/>
        <w:left w:val="none" w:sz="0" w:space="0" w:color="auto"/>
        <w:bottom w:val="none" w:sz="0" w:space="0" w:color="auto"/>
        <w:right w:val="none" w:sz="0" w:space="0" w:color="auto"/>
      </w:divBdr>
    </w:div>
    <w:div w:id="65274935">
      <w:bodyDiv w:val="1"/>
      <w:marLeft w:val="0"/>
      <w:marRight w:val="0"/>
      <w:marTop w:val="0"/>
      <w:marBottom w:val="0"/>
      <w:divBdr>
        <w:top w:val="none" w:sz="0" w:space="0" w:color="auto"/>
        <w:left w:val="none" w:sz="0" w:space="0" w:color="auto"/>
        <w:bottom w:val="none" w:sz="0" w:space="0" w:color="auto"/>
        <w:right w:val="none" w:sz="0" w:space="0" w:color="auto"/>
      </w:divBdr>
    </w:div>
    <w:div w:id="65303871">
      <w:bodyDiv w:val="1"/>
      <w:marLeft w:val="0"/>
      <w:marRight w:val="0"/>
      <w:marTop w:val="0"/>
      <w:marBottom w:val="0"/>
      <w:divBdr>
        <w:top w:val="none" w:sz="0" w:space="0" w:color="auto"/>
        <w:left w:val="none" w:sz="0" w:space="0" w:color="auto"/>
        <w:bottom w:val="none" w:sz="0" w:space="0" w:color="auto"/>
        <w:right w:val="none" w:sz="0" w:space="0" w:color="auto"/>
      </w:divBdr>
    </w:div>
    <w:div w:id="65341141">
      <w:bodyDiv w:val="1"/>
      <w:marLeft w:val="0"/>
      <w:marRight w:val="0"/>
      <w:marTop w:val="0"/>
      <w:marBottom w:val="0"/>
      <w:divBdr>
        <w:top w:val="none" w:sz="0" w:space="0" w:color="auto"/>
        <w:left w:val="none" w:sz="0" w:space="0" w:color="auto"/>
        <w:bottom w:val="none" w:sz="0" w:space="0" w:color="auto"/>
        <w:right w:val="none" w:sz="0" w:space="0" w:color="auto"/>
      </w:divBdr>
    </w:div>
    <w:div w:id="65349313">
      <w:bodyDiv w:val="1"/>
      <w:marLeft w:val="0"/>
      <w:marRight w:val="0"/>
      <w:marTop w:val="0"/>
      <w:marBottom w:val="0"/>
      <w:divBdr>
        <w:top w:val="none" w:sz="0" w:space="0" w:color="auto"/>
        <w:left w:val="none" w:sz="0" w:space="0" w:color="auto"/>
        <w:bottom w:val="none" w:sz="0" w:space="0" w:color="auto"/>
        <w:right w:val="none" w:sz="0" w:space="0" w:color="auto"/>
      </w:divBdr>
    </w:div>
    <w:div w:id="65421267">
      <w:bodyDiv w:val="1"/>
      <w:marLeft w:val="0"/>
      <w:marRight w:val="0"/>
      <w:marTop w:val="0"/>
      <w:marBottom w:val="0"/>
      <w:divBdr>
        <w:top w:val="none" w:sz="0" w:space="0" w:color="auto"/>
        <w:left w:val="none" w:sz="0" w:space="0" w:color="auto"/>
        <w:bottom w:val="none" w:sz="0" w:space="0" w:color="auto"/>
        <w:right w:val="none" w:sz="0" w:space="0" w:color="auto"/>
      </w:divBdr>
    </w:div>
    <w:div w:id="65543264">
      <w:bodyDiv w:val="1"/>
      <w:marLeft w:val="0"/>
      <w:marRight w:val="0"/>
      <w:marTop w:val="0"/>
      <w:marBottom w:val="0"/>
      <w:divBdr>
        <w:top w:val="none" w:sz="0" w:space="0" w:color="auto"/>
        <w:left w:val="none" w:sz="0" w:space="0" w:color="auto"/>
        <w:bottom w:val="none" w:sz="0" w:space="0" w:color="auto"/>
        <w:right w:val="none" w:sz="0" w:space="0" w:color="auto"/>
      </w:divBdr>
    </w:div>
    <w:div w:id="65568692">
      <w:bodyDiv w:val="1"/>
      <w:marLeft w:val="0"/>
      <w:marRight w:val="0"/>
      <w:marTop w:val="0"/>
      <w:marBottom w:val="0"/>
      <w:divBdr>
        <w:top w:val="none" w:sz="0" w:space="0" w:color="auto"/>
        <w:left w:val="none" w:sz="0" w:space="0" w:color="auto"/>
        <w:bottom w:val="none" w:sz="0" w:space="0" w:color="auto"/>
        <w:right w:val="none" w:sz="0" w:space="0" w:color="auto"/>
      </w:divBdr>
    </w:div>
    <w:div w:id="65618566">
      <w:bodyDiv w:val="1"/>
      <w:marLeft w:val="0"/>
      <w:marRight w:val="0"/>
      <w:marTop w:val="0"/>
      <w:marBottom w:val="0"/>
      <w:divBdr>
        <w:top w:val="none" w:sz="0" w:space="0" w:color="auto"/>
        <w:left w:val="none" w:sz="0" w:space="0" w:color="auto"/>
        <w:bottom w:val="none" w:sz="0" w:space="0" w:color="auto"/>
        <w:right w:val="none" w:sz="0" w:space="0" w:color="auto"/>
      </w:divBdr>
    </w:div>
    <w:div w:id="65688545">
      <w:bodyDiv w:val="1"/>
      <w:marLeft w:val="0"/>
      <w:marRight w:val="0"/>
      <w:marTop w:val="0"/>
      <w:marBottom w:val="0"/>
      <w:divBdr>
        <w:top w:val="none" w:sz="0" w:space="0" w:color="auto"/>
        <w:left w:val="none" w:sz="0" w:space="0" w:color="auto"/>
        <w:bottom w:val="none" w:sz="0" w:space="0" w:color="auto"/>
        <w:right w:val="none" w:sz="0" w:space="0" w:color="auto"/>
      </w:divBdr>
    </w:div>
    <w:div w:id="65761694">
      <w:bodyDiv w:val="1"/>
      <w:marLeft w:val="0"/>
      <w:marRight w:val="0"/>
      <w:marTop w:val="0"/>
      <w:marBottom w:val="0"/>
      <w:divBdr>
        <w:top w:val="none" w:sz="0" w:space="0" w:color="auto"/>
        <w:left w:val="none" w:sz="0" w:space="0" w:color="auto"/>
        <w:bottom w:val="none" w:sz="0" w:space="0" w:color="auto"/>
        <w:right w:val="none" w:sz="0" w:space="0" w:color="auto"/>
      </w:divBdr>
    </w:div>
    <w:div w:id="65804285">
      <w:bodyDiv w:val="1"/>
      <w:marLeft w:val="0"/>
      <w:marRight w:val="0"/>
      <w:marTop w:val="0"/>
      <w:marBottom w:val="0"/>
      <w:divBdr>
        <w:top w:val="none" w:sz="0" w:space="0" w:color="auto"/>
        <w:left w:val="none" w:sz="0" w:space="0" w:color="auto"/>
        <w:bottom w:val="none" w:sz="0" w:space="0" w:color="auto"/>
        <w:right w:val="none" w:sz="0" w:space="0" w:color="auto"/>
      </w:divBdr>
    </w:div>
    <w:div w:id="65805568">
      <w:bodyDiv w:val="1"/>
      <w:marLeft w:val="0"/>
      <w:marRight w:val="0"/>
      <w:marTop w:val="0"/>
      <w:marBottom w:val="0"/>
      <w:divBdr>
        <w:top w:val="none" w:sz="0" w:space="0" w:color="auto"/>
        <w:left w:val="none" w:sz="0" w:space="0" w:color="auto"/>
        <w:bottom w:val="none" w:sz="0" w:space="0" w:color="auto"/>
        <w:right w:val="none" w:sz="0" w:space="0" w:color="auto"/>
      </w:divBdr>
    </w:div>
    <w:div w:id="65810578">
      <w:bodyDiv w:val="1"/>
      <w:marLeft w:val="0"/>
      <w:marRight w:val="0"/>
      <w:marTop w:val="0"/>
      <w:marBottom w:val="0"/>
      <w:divBdr>
        <w:top w:val="none" w:sz="0" w:space="0" w:color="auto"/>
        <w:left w:val="none" w:sz="0" w:space="0" w:color="auto"/>
        <w:bottom w:val="none" w:sz="0" w:space="0" w:color="auto"/>
        <w:right w:val="none" w:sz="0" w:space="0" w:color="auto"/>
      </w:divBdr>
    </w:div>
    <w:div w:id="65953231">
      <w:bodyDiv w:val="1"/>
      <w:marLeft w:val="0"/>
      <w:marRight w:val="0"/>
      <w:marTop w:val="0"/>
      <w:marBottom w:val="0"/>
      <w:divBdr>
        <w:top w:val="none" w:sz="0" w:space="0" w:color="auto"/>
        <w:left w:val="none" w:sz="0" w:space="0" w:color="auto"/>
        <w:bottom w:val="none" w:sz="0" w:space="0" w:color="auto"/>
        <w:right w:val="none" w:sz="0" w:space="0" w:color="auto"/>
      </w:divBdr>
    </w:div>
    <w:div w:id="65956681">
      <w:bodyDiv w:val="1"/>
      <w:marLeft w:val="0"/>
      <w:marRight w:val="0"/>
      <w:marTop w:val="0"/>
      <w:marBottom w:val="0"/>
      <w:divBdr>
        <w:top w:val="none" w:sz="0" w:space="0" w:color="auto"/>
        <w:left w:val="none" w:sz="0" w:space="0" w:color="auto"/>
        <w:bottom w:val="none" w:sz="0" w:space="0" w:color="auto"/>
        <w:right w:val="none" w:sz="0" w:space="0" w:color="auto"/>
      </w:divBdr>
    </w:div>
    <w:div w:id="65956715">
      <w:bodyDiv w:val="1"/>
      <w:marLeft w:val="0"/>
      <w:marRight w:val="0"/>
      <w:marTop w:val="0"/>
      <w:marBottom w:val="0"/>
      <w:divBdr>
        <w:top w:val="none" w:sz="0" w:space="0" w:color="auto"/>
        <w:left w:val="none" w:sz="0" w:space="0" w:color="auto"/>
        <w:bottom w:val="none" w:sz="0" w:space="0" w:color="auto"/>
        <w:right w:val="none" w:sz="0" w:space="0" w:color="auto"/>
      </w:divBdr>
    </w:div>
    <w:div w:id="66222049">
      <w:bodyDiv w:val="1"/>
      <w:marLeft w:val="0"/>
      <w:marRight w:val="0"/>
      <w:marTop w:val="0"/>
      <w:marBottom w:val="0"/>
      <w:divBdr>
        <w:top w:val="none" w:sz="0" w:space="0" w:color="auto"/>
        <w:left w:val="none" w:sz="0" w:space="0" w:color="auto"/>
        <w:bottom w:val="none" w:sz="0" w:space="0" w:color="auto"/>
        <w:right w:val="none" w:sz="0" w:space="0" w:color="auto"/>
      </w:divBdr>
    </w:div>
    <w:div w:id="66266799">
      <w:bodyDiv w:val="1"/>
      <w:marLeft w:val="0"/>
      <w:marRight w:val="0"/>
      <w:marTop w:val="0"/>
      <w:marBottom w:val="0"/>
      <w:divBdr>
        <w:top w:val="none" w:sz="0" w:space="0" w:color="auto"/>
        <w:left w:val="none" w:sz="0" w:space="0" w:color="auto"/>
        <w:bottom w:val="none" w:sz="0" w:space="0" w:color="auto"/>
        <w:right w:val="none" w:sz="0" w:space="0" w:color="auto"/>
      </w:divBdr>
    </w:div>
    <w:div w:id="66267220">
      <w:bodyDiv w:val="1"/>
      <w:marLeft w:val="0"/>
      <w:marRight w:val="0"/>
      <w:marTop w:val="0"/>
      <w:marBottom w:val="0"/>
      <w:divBdr>
        <w:top w:val="none" w:sz="0" w:space="0" w:color="auto"/>
        <w:left w:val="none" w:sz="0" w:space="0" w:color="auto"/>
        <w:bottom w:val="none" w:sz="0" w:space="0" w:color="auto"/>
        <w:right w:val="none" w:sz="0" w:space="0" w:color="auto"/>
      </w:divBdr>
    </w:div>
    <w:div w:id="66347419">
      <w:bodyDiv w:val="1"/>
      <w:marLeft w:val="0"/>
      <w:marRight w:val="0"/>
      <w:marTop w:val="0"/>
      <w:marBottom w:val="0"/>
      <w:divBdr>
        <w:top w:val="none" w:sz="0" w:space="0" w:color="auto"/>
        <w:left w:val="none" w:sz="0" w:space="0" w:color="auto"/>
        <w:bottom w:val="none" w:sz="0" w:space="0" w:color="auto"/>
        <w:right w:val="none" w:sz="0" w:space="0" w:color="auto"/>
      </w:divBdr>
    </w:div>
    <w:div w:id="66464256">
      <w:bodyDiv w:val="1"/>
      <w:marLeft w:val="0"/>
      <w:marRight w:val="0"/>
      <w:marTop w:val="0"/>
      <w:marBottom w:val="0"/>
      <w:divBdr>
        <w:top w:val="none" w:sz="0" w:space="0" w:color="auto"/>
        <w:left w:val="none" w:sz="0" w:space="0" w:color="auto"/>
        <w:bottom w:val="none" w:sz="0" w:space="0" w:color="auto"/>
        <w:right w:val="none" w:sz="0" w:space="0" w:color="auto"/>
      </w:divBdr>
    </w:div>
    <w:div w:id="66467034">
      <w:bodyDiv w:val="1"/>
      <w:marLeft w:val="0"/>
      <w:marRight w:val="0"/>
      <w:marTop w:val="0"/>
      <w:marBottom w:val="0"/>
      <w:divBdr>
        <w:top w:val="none" w:sz="0" w:space="0" w:color="auto"/>
        <w:left w:val="none" w:sz="0" w:space="0" w:color="auto"/>
        <w:bottom w:val="none" w:sz="0" w:space="0" w:color="auto"/>
        <w:right w:val="none" w:sz="0" w:space="0" w:color="auto"/>
      </w:divBdr>
    </w:div>
    <w:div w:id="66541643">
      <w:bodyDiv w:val="1"/>
      <w:marLeft w:val="0"/>
      <w:marRight w:val="0"/>
      <w:marTop w:val="0"/>
      <w:marBottom w:val="0"/>
      <w:divBdr>
        <w:top w:val="none" w:sz="0" w:space="0" w:color="auto"/>
        <w:left w:val="none" w:sz="0" w:space="0" w:color="auto"/>
        <w:bottom w:val="none" w:sz="0" w:space="0" w:color="auto"/>
        <w:right w:val="none" w:sz="0" w:space="0" w:color="auto"/>
      </w:divBdr>
    </w:div>
    <w:div w:id="66651775">
      <w:bodyDiv w:val="1"/>
      <w:marLeft w:val="0"/>
      <w:marRight w:val="0"/>
      <w:marTop w:val="0"/>
      <w:marBottom w:val="0"/>
      <w:divBdr>
        <w:top w:val="none" w:sz="0" w:space="0" w:color="auto"/>
        <w:left w:val="none" w:sz="0" w:space="0" w:color="auto"/>
        <w:bottom w:val="none" w:sz="0" w:space="0" w:color="auto"/>
        <w:right w:val="none" w:sz="0" w:space="0" w:color="auto"/>
      </w:divBdr>
    </w:div>
    <w:div w:id="66658812">
      <w:bodyDiv w:val="1"/>
      <w:marLeft w:val="0"/>
      <w:marRight w:val="0"/>
      <w:marTop w:val="0"/>
      <w:marBottom w:val="0"/>
      <w:divBdr>
        <w:top w:val="none" w:sz="0" w:space="0" w:color="auto"/>
        <w:left w:val="none" w:sz="0" w:space="0" w:color="auto"/>
        <w:bottom w:val="none" w:sz="0" w:space="0" w:color="auto"/>
        <w:right w:val="none" w:sz="0" w:space="0" w:color="auto"/>
      </w:divBdr>
    </w:div>
    <w:div w:id="66658975">
      <w:bodyDiv w:val="1"/>
      <w:marLeft w:val="0"/>
      <w:marRight w:val="0"/>
      <w:marTop w:val="0"/>
      <w:marBottom w:val="0"/>
      <w:divBdr>
        <w:top w:val="none" w:sz="0" w:space="0" w:color="auto"/>
        <w:left w:val="none" w:sz="0" w:space="0" w:color="auto"/>
        <w:bottom w:val="none" w:sz="0" w:space="0" w:color="auto"/>
        <w:right w:val="none" w:sz="0" w:space="0" w:color="auto"/>
      </w:divBdr>
    </w:div>
    <w:div w:id="66733398">
      <w:bodyDiv w:val="1"/>
      <w:marLeft w:val="0"/>
      <w:marRight w:val="0"/>
      <w:marTop w:val="0"/>
      <w:marBottom w:val="0"/>
      <w:divBdr>
        <w:top w:val="none" w:sz="0" w:space="0" w:color="auto"/>
        <w:left w:val="none" w:sz="0" w:space="0" w:color="auto"/>
        <w:bottom w:val="none" w:sz="0" w:space="0" w:color="auto"/>
        <w:right w:val="none" w:sz="0" w:space="0" w:color="auto"/>
      </w:divBdr>
    </w:div>
    <w:div w:id="66808831">
      <w:bodyDiv w:val="1"/>
      <w:marLeft w:val="0"/>
      <w:marRight w:val="0"/>
      <w:marTop w:val="0"/>
      <w:marBottom w:val="0"/>
      <w:divBdr>
        <w:top w:val="none" w:sz="0" w:space="0" w:color="auto"/>
        <w:left w:val="none" w:sz="0" w:space="0" w:color="auto"/>
        <w:bottom w:val="none" w:sz="0" w:space="0" w:color="auto"/>
        <w:right w:val="none" w:sz="0" w:space="0" w:color="auto"/>
      </w:divBdr>
    </w:div>
    <w:div w:id="66810633">
      <w:bodyDiv w:val="1"/>
      <w:marLeft w:val="0"/>
      <w:marRight w:val="0"/>
      <w:marTop w:val="0"/>
      <w:marBottom w:val="0"/>
      <w:divBdr>
        <w:top w:val="none" w:sz="0" w:space="0" w:color="auto"/>
        <w:left w:val="none" w:sz="0" w:space="0" w:color="auto"/>
        <w:bottom w:val="none" w:sz="0" w:space="0" w:color="auto"/>
        <w:right w:val="none" w:sz="0" w:space="0" w:color="auto"/>
      </w:divBdr>
    </w:div>
    <w:div w:id="66850459">
      <w:bodyDiv w:val="1"/>
      <w:marLeft w:val="0"/>
      <w:marRight w:val="0"/>
      <w:marTop w:val="0"/>
      <w:marBottom w:val="0"/>
      <w:divBdr>
        <w:top w:val="none" w:sz="0" w:space="0" w:color="auto"/>
        <w:left w:val="none" w:sz="0" w:space="0" w:color="auto"/>
        <w:bottom w:val="none" w:sz="0" w:space="0" w:color="auto"/>
        <w:right w:val="none" w:sz="0" w:space="0" w:color="auto"/>
      </w:divBdr>
    </w:div>
    <w:div w:id="66922863">
      <w:bodyDiv w:val="1"/>
      <w:marLeft w:val="0"/>
      <w:marRight w:val="0"/>
      <w:marTop w:val="0"/>
      <w:marBottom w:val="0"/>
      <w:divBdr>
        <w:top w:val="none" w:sz="0" w:space="0" w:color="auto"/>
        <w:left w:val="none" w:sz="0" w:space="0" w:color="auto"/>
        <w:bottom w:val="none" w:sz="0" w:space="0" w:color="auto"/>
        <w:right w:val="none" w:sz="0" w:space="0" w:color="auto"/>
      </w:divBdr>
    </w:div>
    <w:div w:id="67002769">
      <w:bodyDiv w:val="1"/>
      <w:marLeft w:val="0"/>
      <w:marRight w:val="0"/>
      <w:marTop w:val="0"/>
      <w:marBottom w:val="0"/>
      <w:divBdr>
        <w:top w:val="none" w:sz="0" w:space="0" w:color="auto"/>
        <w:left w:val="none" w:sz="0" w:space="0" w:color="auto"/>
        <w:bottom w:val="none" w:sz="0" w:space="0" w:color="auto"/>
        <w:right w:val="none" w:sz="0" w:space="0" w:color="auto"/>
      </w:divBdr>
    </w:div>
    <w:div w:id="67075769">
      <w:bodyDiv w:val="1"/>
      <w:marLeft w:val="0"/>
      <w:marRight w:val="0"/>
      <w:marTop w:val="0"/>
      <w:marBottom w:val="0"/>
      <w:divBdr>
        <w:top w:val="none" w:sz="0" w:space="0" w:color="auto"/>
        <w:left w:val="none" w:sz="0" w:space="0" w:color="auto"/>
        <w:bottom w:val="none" w:sz="0" w:space="0" w:color="auto"/>
        <w:right w:val="none" w:sz="0" w:space="0" w:color="auto"/>
      </w:divBdr>
    </w:div>
    <w:div w:id="67196395">
      <w:bodyDiv w:val="1"/>
      <w:marLeft w:val="0"/>
      <w:marRight w:val="0"/>
      <w:marTop w:val="0"/>
      <w:marBottom w:val="0"/>
      <w:divBdr>
        <w:top w:val="none" w:sz="0" w:space="0" w:color="auto"/>
        <w:left w:val="none" w:sz="0" w:space="0" w:color="auto"/>
        <w:bottom w:val="none" w:sz="0" w:space="0" w:color="auto"/>
        <w:right w:val="none" w:sz="0" w:space="0" w:color="auto"/>
      </w:divBdr>
    </w:div>
    <w:div w:id="67264148">
      <w:bodyDiv w:val="1"/>
      <w:marLeft w:val="0"/>
      <w:marRight w:val="0"/>
      <w:marTop w:val="0"/>
      <w:marBottom w:val="0"/>
      <w:divBdr>
        <w:top w:val="none" w:sz="0" w:space="0" w:color="auto"/>
        <w:left w:val="none" w:sz="0" w:space="0" w:color="auto"/>
        <w:bottom w:val="none" w:sz="0" w:space="0" w:color="auto"/>
        <w:right w:val="none" w:sz="0" w:space="0" w:color="auto"/>
      </w:divBdr>
    </w:div>
    <w:div w:id="67269169">
      <w:bodyDiv w:val="1"/>
      <w:marLeft w:val="0"/>
      <w:marRight w:val="0"/>
      <w:marTop w:val="0"/>
      <w:marBottom w:val="0"/>
      <w:divBdr>
        <w:top w:val="none" w:sz="0" w:space="0" w:color="auto"/>
        <w:left w:val="none" w:sz="0" w:space="0" w:color="auto"/>
        <w:bottom w:val="none" w:sz="0" w:space="0" w:color="auto"/>
        <w:right w:val="none" w:sz="0" w:space="0" w:color="auto"/>
      </w:divBdr>
    </w:div>
    <w:div w:id="67272701">
      <w:bodyDiv w:val="1"/>
      <w:marLeft w:val="0"/>
      <w:marRight w:val="0"/>
      <w:marTop w:val="0"/>
      <w:marBottom w:val="0"/>
      <w:divBdr>
        <w:top w:val="none" w:sz="0" w:space="0" w:color="auto"/>
        <w:left w:val="none" w:sz="0" w:space="0" w:color="auto"/>
        <w:bottom w:val="none" w:sz="0" w:space="0" w:color="auto"/>
        <w:right w:val="none" w:sz="0" w:space="0" w:color="auto"/>
      </w:divBdr>
    </w:div>
    <w:div w:id="67311442">
      <w:bodyDiv w:val="1"/>
      <w:marLeft w:val="0"/>
      <w:marRight w:val="0"/>
      <w:marTop w:val="0"/>
      <w:marBottom w:val="0"/>
      <w:divBdr>
        <w:top w:val="none" w:sz="0" w:space="0" w:color="auto"/>
        <w:left w:val="none" w:sz="0" w:space="0" w:color="auto"/>
        <w:bottom w:val="none" w:sz="0" w:space="0" w:color="auto"/>
        <w:right w:val="none" w:sz="0" w:space="0" w:color="auto"/>
      </w:divBdr>
    </w:div>
    <w:div w:id="67314071">
      <w:bodyDiv w:val="1"/>
      <w:marLeft w:val="0"/>
      <w:marRight w:val="0"/>
      <w:marTop w:val="0"/>
      <w:marBottom w:val="0"/>
      <w:divBdr>
        <w:top w:val="none" w:sz="0" w:space="0" w:color="auto"/>
        <w:left w:val="none" w:sz="0" w:space="0" w:color="auto"/>
        <w:bottom w:val="none" w:sz="0" w:space="0" w:color="auto"/>
        <w:right w:val="none" w:sz="0" w:space="0" w:color="auto"/>
      </w:divBdr>
    </w:div>
    <w:div w:id="67384053">
      <w:bodyDiv w:val="1"/>
      <w:marLeft w:val="0"/>
      <w:marRight w:val="0"/>
      <w:marTop w:val="0"/>
      <w:marBottom w:val="0"/>
      <w:divBdr>
        <w:top w:val="none" w:sz="0" w:space="0" w:color="auto"/>
        <w:left w:val="none" w:sz="0" w:space="0" w:color="auto"/>
        <w:bottom w:val="none" w:sz="0" w:space="0" w:color="auto"/>
        <w:right w:val="none" w:sz="0" w:space="0" w:color="auto"/>
      </w:divBdr>
    </w:div>
    <w:div w:id="67387754">
      <w:bodyDiv w:val="1"/>
      <w:marLeft w:val="0"/>
      <w:marRight w:val="0"/>
      <w:marTop w:val="0"/>
      <w:marBottom w:val="0"/>
      <w:divBdr>
        <w:top w:val="none" w:sz="0" w:space="0" w:color="auto"/>
        <w:left w:val="none" w:sz="0" w:space="0" w:color="auto"/>
        <w:bottom w:val="none" w:sz="0" w:space="0" w:color="auto"/>
        <w:right w:val="none" w:sz="0" w:space="0" w:color="auto"/>
      </w:divBdr>
    </w:div>
    <w:div w:id="67506527">
      <w:bodyDiv w:val="1"/>
      <w:marLeft w:val="0"/>
      <w:marRight w:val="0"/>
      <w:marTop w:val="0"/>
      <w:marBottom w:val="0"/>
      <w:divBdr>
        <w:top w:val="none" w:sz="0" w:space="0" w:color="auto"/>
        <w:left w:val="none" w:sz="0" w:space="0" w:color="auto"/>
        <w:bottom w:val="none" w:sz="0" w:space="0" w:color="auto"/>
        <w:right w:val="none" w:sz="0" w:space="0" w:color="auto"/>
      </w:divBdr>
    </w:div>
    <w:div w:id="67578689">
      <w:bodyDiv w:val="1"/>
      <w:marLeft w:val="0"/>
      <w:marRight w:val="0"/>
      <w:marTop w:val="0"/>
      <w:marBottom w:val="0"/>
      <w:divBdr>
        <w:top w:val="none" w:sz="0" w:space="0" w:color="auto"/>
        <w:left w:val="none" w:sz="0" w:space="0" w:color="auto"/>
        <w:bottom w:val="none" w:sz="0" w:space="0" w:color="auto"/>
        <w:right w:val="none" w:sz="0" w:space="0" w:color="auto"/>
      </w:divBdr>
    </w:div>
    <w:div w:id="67580353">
      <w:bodyDiv w:val="1"/>
      <w:marLeft w:val="0"/>
      <w:marRight w:val="0"/>
      <w:marTop w:val="0"/>
      <w:marBottom w:val="0"/>
      <w:divBdr>
        <w:top w:val="none" w:sz="0" w:space="0" w:color="auto"/>
        <w:left w:val="none" w:sz="0" w:space="0" w:color="auto"/>
        <w:bottom w:val="none" w:sz="0" w:space="0" w:color="auto"/>
        <w:right w:val="none" w:sz="0" w:space="0" w:color="auto"/>
      </w:divBdr>
    </w:div>
    <w:div w:id="67652222">
      <w:bodyDiv w:val="1"/>
      <w:marLeft w:val="0"/>
      <w:marRight w:val="0"/>
      <w:marTop w:val="0"/>
      <w:marBottom w:val="0"/>
      <w:divBdr>
        <w:top w:val="none" w:sz="0" w:space="0" w:color="auto"/>
        <w:left w:val="none" w:sz="0" w:space="0" w:color="auto"/>
        <w:bottom w:val="none" w:sz="0" w:space="0" w:color="auto"/>
        <w:right w:val="none" w:sz="0" w:space="0" w:color="auto"/>
      </w:divBdr>
    </w:div>
    <w:div w:id="67699153">
      <w:bodyDiv w:val="1"/>
      <w:marLeft w:val="0"/>
      <w:marRight w:val="0"/>
      <w:marTop w:val="0"/>
      <w:marBottom w:val="0"/>
      <w:divBdr>
        <w:top w:val="none" w:sz="0" w:space="0" w:color="auto"/>
        <w:left w:val="none" w:sz="0" w:space="0" w:color="auto"/>
        <w:bottom w:val="none" w:sz="0" w:space="0" w:color="auto"/>
        <w:right w:val="none" w:sz="0" w:space="0" w:color="auto"/>
      </w:divBdr>
    </w:div>
    <w:div w:id="67726159">
      <w:bodyDiv w:val="1"/>
      <w:marLeft w:val="0"/>
      <w:marRight w:val="0"/>
      <w:marTop w:val="0"/>
      <w:marBottom w:val="0"/>
      <w:divBdr>
        <w:top w:val="none" w:sz="0" w:space="0" w:color="auto"/>
        <w:left w:val="none" w:sz="0" w:space="0" w:color="auto"/>
        <w:bottom w:val="none" w:sz="0" w:space="0" w:color="auto"/>
        <w:right w:val="none" w:sz="0" w:space="0" w:color="auto"/>
      </w:divBdr>
    </w:div>
    <w:div w:id="67729544">
      <w:bodyDiv w:val="1"/>
      <w:marLeft w:val="0"/>
      <w:marRight w:val="0"/>
      <w:marTop w:val="0"/>
      <w:marBottom w:val="0"/>
      <w:divBdr>
        <w:top w:val="none" w:sz="0" w:space="0" w:color="auto"/>
        <w:left w:val="none" w:sz="0" w:space="0" w:color="auto"/>
        <w:bottom w:val="none" w:sz="0" w:space="0" w:color="auto"/>
        <w:right w:val="none" w:sz="0" w:space="0" w:color="auto"/>
      </w:divBdr>
    </w:div>
    <w:div w:id="67844542">
      <w:bodyDiv w:val="1"/>
      <w:marLeft w:val="0"/>
      <w:marRight w:val="0"/>
      <w:marTop w:val="0"/>
      <w:marBottom w:val="0"/>
      <w:divBdr>
        <w:top w:val="none" w:sz="0" w:space="0" w:color="auto"/>
        <w:left w:val="none" w:sz="0" w:space="0" w:color="auto"/>
        <w:bottom w:val="none" w:sz="0" w:space="0" w:color="auto"/>
        <w:right w:val="none" w:sz="0" w:space="0" w:color="auto"/>
      </w:divBdr>
    </w:div>
    <w:div w:id="67847954">
      <w:bodyDiv w:val="1"/>
      <w:marLeft w:val="0"/>
      <w:marRight w:val="0"/>
      <w:marTop w:val="0"/>
      <w:marBottom w:val="0"/>
      <w:divBdr>
        <w:top w:val="none" w:sz="0" w:space="0" w:color="auto"/>
        <w:left w:val="none" w:sz="0" w:space="0" w:color="auto"/>
        <w:bottom w:val="none" w:sz="0" w:space="0" w:color="auto"/>
        <w:right w:val="none" w:sz="0" w:space="0" w:color="auto"/>
      </w:divBdr>
    </w:div>
    <w:div w:id="67925424">
      <w:bodyDiv w:val="1"/>
      <w:marLeft w:val="0"/>
      <w:marRight w:val="0"/>
      <w:marTop w:val="0"/>
      <w:marBottom w:val="0"/>
      <w:divBdr>
        <w:top w:val="none" w:sz="0" w:space="0" w:color="auto"/>
        <w:left w:val="none" w:sz="0" w:space="0" w:color="auto"/>
        <w:bottom w:val="none" w:sz="0" w:space="0" w:color="auto"/>
        <w:right w:val="none" w:sz="0" w:space="0" w:color="auto"/>
      </w:divBdr>
    </w:div>
    <w:div w:id="67926830">
      <w:bodyDiv w:val="1"/>
      <w:marLeft w:val="0"/>
      <w:marRight w:val="0"/>
      <w:marTop w:val="0"/>
      <w:marBottom w:val="0"/>
      <w:divBdr>
        <w:top w:val="none" w:sz="0" w:space="0" w:color="auto"/>
        <w:left w:val="none" w:sz="0" w:space="0" w:color="auto"/>
        <w:bottom w:val="none" w:sz="0" w:space="0" w:color="auto"/>
        <w:right w:val="none" w:sz="0" w:space="0" w:color="auto"/>
      </w:divBdr>
    </w:div>
    <w:div w:id="67928036">
      <w:bodyDiv w:val="1"/>
      <w:marLeft w:val="0"/>
      <w:marRight w:val="0"/>
      <w:marTop w:val="0"/>
      <w:marBottom w:val="0"/>
      <w:divBdr>
        <w:top w:val="none" w:sz="0" w:space="0" w:color="auto"/>
        <w:left w:val="none" w:sz="0" w:space="0" w:color="auto"/>
        <w:bottom w:val="none" w:sz="0" w:space="0" w:color="auto"/>
        <w:right w:val="none" w:sz="0" w:space="0" w:color="auto"/>
      </w:divBdr>
    </w:div>
    <w:div w:id="68113274">
      <w:bodyDiv w:val="1"/>
      <w:marLeft w:val="0"/>
      <w:marRight w:val="0"/>
      <w:marTop w:val="0"/>
      <w:marBottom w:val="0"/>
      <w:divBdr>
        <w:top w:val="none" w:sz="0" w:space="0" w:color="auto"/>
        <w:left w:val="none" w:sz="0" w:space="0" w:color="auto"/>
        <w:bottom w:val="none" w:sz="0" w:space="0" w:color="auto"/>
        <w:right w:val="none" w:sz="0" w:space="0" w:color="auto"/>
      </w:divBdr>
    </w:div>
    <w:div w:id="68116186">
      <w:bodyDiv w:val="1"/>
      <w:marLeft w:val="0"/>
      <w:marRight w:val="0"/>
      <w:marTop w:val="0"/>
      <w:marBottom w:val="0"/>
      <w:divBdr>
        <w:top w:val="none" w:sz="0" w:space="0" w:color="auto"/>
        <w:left w:val="none" w:sz="0" w:space="0" w:color="auto"/>
        <w:bottom w:val="none" w:sz="0" w:space="0" w:color="auto"/>
        <w:right w:val="none" w:sz="0" w:space="0" w:color="auto"/>
      </w:divBdr>
    </w:div>
    <w:div w:id="68121883">
      <w:bodyDiv w:val="1"/>
      <w:marLeft w:val="0"/>
      <w:marRight w:val="0"/>
      <w:marTop w:val="0"/>
      <w:marBottom w:val="0"/>
      <w:divBdr>
        <w:top w:val="none" w:sz="0" w:space="0" w:color="auto"/>
        <w:left w:val="none" w:sz="0" w:space="0" w:color="auto"/>
        <w:bottom w:val="none" w:sz="0" w:space="0" w:color="auto"/>
        <w:right w:val="none" w:sz="0" w:space="0" w:color="auto"/>
      </w:divBdr>
    </w:div>
    <w:div w:id="68157668">
      <w:bodyDiv w:val="1"/>
      <w:marLeft w:val="0"/>
      <w:marRight w:val="0"/>
      <w:marTop w:val="0"/>
      <w:marBottom w:val="0"/>
      <w:divBdr>
        <w:top w:val="none" w:sz="0" w:space="0" w:color="auto"/>
        <w:left w:val="none" w:sz="0" w:space="0" w:color="auto"/>
        <w:bottom w:val="none" w:sz="0" w:space="0" w:color="auto"/>
        <w:right w:val="none" w:sz="0" w:space="0" w:color="auto"/>
      </w:divBdr>
    </w:div>
    <w:div w:id="68237913">
      <w:bodyDiv w:val="1"/>
      <w:marLeft w:val="0"/>
      <w:marRight w:val="0"/>
      <w:marTop w:val="0"/>
      <w:marBottom w:val="0"/>
      <w:divBdr>
        <w:top w:val="none" w:sz="0" w:space="0" w:color="auto"/>
        <w:left w:val="none" w:sz="0" w:space="0" w:color="auto"/>
        <w:bottom w:val="none" w:sz="0" w:space="0" w:color="auto"/>
        <w:right w:val="none" w:sz="0" w:space="0" w:color="auto"/>
      </w:divBdr>
    </w:div>
    <w:div w:id="68383069">
      <w:bodyDiv w:val="1"/>
      <w:marLeft w:val="0"/>
      <w:marRight w:val="0"/>
      <w:marTop w:val="0"/>
      <w:marBottom w:val="0"/>
      <w:divBdr>
        <w:top w:val="none" w:sz="0" w:space="0" w:color="auto"/>
        <w:left w:val="none" w:sz="0" w:space="0" w:color="auto"/>
        <w:bottom w:val="none" w:sz="0" w:space="0" w:color="auto"/>
        <w:right w:val="none" w:sz="0" w:space="0" w:color="auto"/>
      </w:divBdr>
    </w:div>
    <w:div w:id="68423681">
      <w:bodyDiv w:val="1"/>
      <w:marLeft w:val="0"/>
      <w:marRight w:val="0"/>
      <w:marTop w:val="0"/>
      <w:marBottom w:val="0"/>
      <w:divBdr>
        <w:top w:val="none" w:sz="0" w:space="0" w:color="auto"/>
        <w:left w:val="none" w:sz="0" w:space="0" w:color="auto"/>
        <w:bottom w:val="none" w:sz="0" w:space="0" w:color="auto"/>
        <w:right w:val="none" w:sz="0" w:space="0" w:color="auto"/>
      </w:divBdr>
    </w:div>
    <w:div w:id="68428391">
      <w:bodyDiv w:val="1"/>
      <w:marLeft w:val="0"/>
      <w:marRight w:val="0"/>
      <w:marTop w:val="0"/>
      <w:marBottom w:val="0"/>
      <w:divBdr>
        <w:top w:val="none" w:sz="0" w:space="0" w:color="auto"/>
        <w:left w:val="none" w:sz="0" w:space="0" w:color="auto"/>
        <w:bottom w:val="none" w:sz="0" w:space="0" w:color="auto"/>
        <w:right w:val="none" w:sz="0" w:space="0" w:color="auto"/>
      </w:divBdr>
    </w:div>
    <w:div w:id="68504371">
      <w:bodyDiv w:val="1"/>
      <w:marLeft w:val="0"/>
      <w:marRight w:val="0"/>
      <w:marTop w:val="0"/>
      <w:marBottom w:val="0"/>
      <w:divBdr>
        <w:top w:val="none" w:sz="0" w:space="0" w:color="auto"/>
        <w:left w:val="none" w:sz="0" w:space="0" w:color="auto"/>
        <w:bottom w:val="none" w:sz="0" w:space="0" w:color="auto"/>
        <w:right w:val="none" w:sz="0" w:space="0" w:color="auto"/>
      </w:divBdr>
    </w:div>
    <w:div w:id="68575676">
      <w:bodyDiv w:val="1"/>
      <w:marLeft w:val="0"/>
      <w:marRight w:val="0"/>
      <w:marTop w:val="0"/>
      <w:marBottom w:val="0"/>
      <w:divBdr>
        <w:top w:val="none" w:sz="0" w:space="0" w:color="auto"/>
        <w:left w:val="none" w:sz="0" w:space="0" w:color="auto"/>
        <w:bottom w:val="none" w:sz="0" w:space="0" w:color="auto"/>
        <w:right w:val="none" w:sz="0" w:space="0" w:color="auto"/>
      </w:divBdr>
    </w:div>
    <w:div w:id="68577610">
      <w:bodyDiv w:val="1"/>
      <w:marLeft w:val="0"/>
      <w:marRight w:val="0"/>
      <w:marTop w:val="0"/>
      <w:marBottom w:val="0"/>
      <w:divBdr>
        <w:top w:val="none" w:sz="0" w:space="0" w:color="auto"/>
        <w:left w:val="none" w:sz="0" w:space="0" w:color="auto"/>
        <w:bottom w:val="none" w:sz="0" w:space="0" w:color="auto"/>
        <w:right w:val="none" w:sz="0" w:space="0" w:color="auto"/>
      </w:divBdr>
    </w:div>
    <w:div w:id="68621359">
      <w:bodyDiv w:val="1"/>
      <w:marLeft w:val="0"/>
      <w:marRight w:val="0"/>
      <w:marTop w:val="0"/>
      <w:marBottom w:val="0"/>
      <w:divBdr>
        <w:top w:val="none" w:sz="0" w:space="0" w:color="auto"/>
        <w:left w:val="none" w:sz="0" w:space="0" w:color="auto"/>
        <w:bottom w:val="none" w:sz="0" w:space="0" w:color="auto"/>
        <w:right w:val="none" w:sz="0" w:space="0" w:color="auto"/>
      </w:divBdr>
    </w:div>
    <w:div w:id="68624785">
      <w:bodyDiv w:val="1"/>
      <w:marLeft w:val="0"/>
      <w:marRight w:val="0"/>
      <w:marTop w:val="0"/>
      <w:marBottom w:val="0"/>
      <w:divBdr>
        <w:top w:val="none" w:sz="0" w:space="0" w:color="auto"/>
        <w:left w:val="none" w:sz="0" w:space="0" w:color="auto"/>
        <w:bottom w:val="none" w:sz="0" w:space="0" w:color="auto"/>
        <w:right w:val="none" w:sz="0" w:space="0" w:color="auto"/>
      </w:divBdr>
    </w:div>
    <w:div w:id="68769589">
      <w:bodyDiv w:val="1"/>
      <w:marLeft w:val="0"/>
      <w:marRight w:val="0"/>
      <w:marTop w:val="0"/>
      <w:marBottom w:val="0"/>
      <w:divBdr>
        <w:top w:val="none" w:sz="0" w:space="0" w:color="auto"/>
        <w:left w:val="none" w:sz="0" w:space="0" w:color="auto"/>
        <w:bottom w:val="none" w:sz="0" w:space="0" w:color="auto"/>
        <w:right w:val="none" w:sz="0" w:space="0" w:color="auto"/>
      </w:divBdr>
    </w:div>
    <w:div w:id="68813319">
      <w:bodyDiv w:val="1"/>
      <w:marLeft w:val="0"/>
      <w:marRight w:val="0"/>
      <w:marTop w:val="0"/>
      <w:marBottom w:val="0"/>
      <w:divBdr>
        <w:top w:val="none" w:sz="0" w:space="0" w:color="auto"/>
        <w:left w:val="none" w:sz="0" w:space="0" w:color="auto"/>
        <w:bottom w:val="none" w:sz="0" w:space="0" w:color="auto"/>
        <w:right w:val="none" w:sz="0" w:space="0" w:color="auto"/>
      </w:divBdr>
    </w:div>
    <w:div w:id="68889351">
      <w:bodyDiv w:val="1"/>
      <w:marLeft w:val="0"/>
      <w:marRight w:val="0"/>
      <w:marTop w:val="0"/>
      <w:marBottom w:val="0"/>
      <w:divBdr>
        <w:top w:val="none" w:sz="0" w:space="0" w:color="auto"/>
        <w:left w:val="none" w:sz="0" w:space="0" w:color="auto"/>
        <w:bottom w:val="none" w:sz="0" w:space="0" w:color="auto"/>
        <w:right w:val="none" w:sz="0" w:space="0" w:color="auto"/>
      </w:divBdr>
    </w:div>
    <w:div w:id="68894036">
      <w:bodyDiv w:val="1"/>
      <w:marLeft w:val="0"/>
      <w:marRight w:val="0"/>
      <w:marTop w:val="0"/>
      <w:marBottom w:val="0"/>
      <w:divBdr>
        <w:top w:val="none" w:sz="0" w:space="0" w:color="auto"/>
        <w:left w:val="none" w:sz="0" w:space="0" w:color="auto"/>
        <w:bottom w:val="none" w:sz="0" w:space="0" w:color="auto"/>
        <w:right w:val="none" w:sz="0" w:space="0" w:color="auto"/>
      </w:divBdr>
    </w:div>
    <w:div w:id="68894468">
      <w:bodyDiv w:val="1"/>
      <w:marLeft w:val="0"/>
      <w:marRight w:val="0"/>
      <w:marTop w:val="0"/>
      <w:marBottom w:val="0"/>
      <w:divBdr>
        <w:top w:val="none" w:sz="0" w:space="0" w:color="auto"/>
        <w:left w:val="none" w:sz="0" w:space="0" w:color="auto"/>
        <w:bottom w:val="none" w:sz="0" w:space="0" w:color="auto"/>
        <w:right w:val="none" w:sz="0" w:space="0" w:color="auto"/>
      </w:divBdr>
    </w:div>
    <w:div w:id="69040749">
      <w:bodyDiv w:val="1"/>
      <w:marLeft w:val="0"/>
      <w:marRight w:val="0"/>
      <w:marTop w:val="0"/>
      <w:marBottom w:val="0"/>
      <w:divBdr>
        <w:top w:val="none" w:sz="0" w:space="0" w:color="auto"/>
        <w:left w:val="none" w:sz="0" w:space="0" w:color="auto"/>
        <w:bottom w:val="none" w:sz="0" w:space="0" w:color="auto"/>
        <w:right w:val="none" w:sz="0" w:space="0" w:color="auto"/>
      </w:divBdr>
    </w:div>
    <w:div w:id="69347510">
      <w:bodyDiv w:val="1"/>
      <w:marLeft w:val="0"/>
      <w:marRight w:val="0"/>
      <w:marTop w:val="0"/>
      <w:marBottom w:val="0"/>
      <w:divBdr>
        <w:top w:val="none" w:sz="0" w:space="0" w:color="auto"/>
        <w:left w:val="none" w:sz="0" w:space="0" w:color="auto"/>
        <w:bottom w:val="none" w:sz="0" w:space="0" w:color="auto"/>
        <w:right w:val="none" w:sz="0" w:space="0" w:color="auto"/>
      </w:divBdr>
    </w:div>
    <w:div w:id="69423006">
      <w:bodyDiv w:val="1"/>
      <w:marLeft w:val="0"/>
      <w:marRight w:val="0"/>
      <w:marTop w:val="0"/>
      <w:marBottom w:val="0"/>
      <w:divBdr>
        <w:top w:val="none" w:sz="0" w:space="0" w:color="auto"/>
        <w:left w:val="none" w:sz="0" w:space="0" w:color="auto"/>
        <w:bottom w:val="none" w:sz="0" w:space="0" w:color="auto"/>
        <w:right w:val="none" w:sz="0" w:space="0" w:color="auto"/>
      </w:divBdr>
    </w:div>
    <w:div w:id="69544559">
      <w:bodyDiv w:val="1"/>
      <w:marLeft w:val="0"/>
      <w:marRight w:val="0"/>
      <w:marTop w:val="0"/>
      <w:marBottom w:val="0"/>
      <w:divBdr>
        <w:top w:val="none" w:sz="0" w:space="0" w:color="auto"/>
        <w:left w:val="none" w:sz="0" w:space="0" w:color="auto"/>
        <w:bottom w:val="none" w:sz="0" w:space="0" w:color="auto"/>
        <w:right w:val="none" w:sz="0" w:space="0" w:color="auto"/>
      </w:divBdr>
    </w:div>
    <w:div w:id="69546399">
      <w:bodyDiv w:val="1"/>
      <w:marLeft w:val="0"/>
      <w:marRight w:val="0"/>
      <w:marTop w:val="0"/>
      <w:marBottom w:val="0"/>
      <w:divBdr>
        <w:top w:val="none" w:sz="0" w:space="0" w:color="auto"/>
        <w:left w:val="none" w:sz="0" w:space="0" w:color="auto"/>
        <w:bottom w:val="none" w:sz="0" w:space="0" w:color="auto"/>
        <w:right w:val="none" w:sz="0" w:space="0" w:color="auto"/>
      </w:divBdr>
    </w:div>
    <w:div w:id="69549277">
      <w:bodyDiv w:val="1"/>
      <w:marLeft w:val="0"/>
      <w:marRight w:val="0"/>
      <w:marTop w:val="0"/>
      <w:marBottom w:val="0"/>
      <w:divBdr>
        <w:top w:val="none" w:sz="0" w:space="0" w:color="auto"/>
        <w:left w:val="none" w:sz="0" w:space="0" w:color="auto"/>
        <w:bottom w:val="none" w:sz="0" w:space="0" w:color="auto"/>
        <w:right w:val="none" w:sz="0" w:space="0" w:color="auto"/>
      </w:divBdr>
    </w:div>
    <w:div w:id="69549779">
      <w:bodyDiv w:val="1"/>
      <w:marLeft w:val="0"/>
      <w:marRight w:val="0"/>
      <w:marTop w:val="0"/>
      <w:marBottom w:val="0"/>
      <w:divBdr>
        <w:top w:val="none" w:sz="0" w:space="0" w:color="auto"/>
        <w:left w:val="none" w:sz="0" w:space="0" w:color="auto"/>
        <w:bottom w:val="none" w:sz="0" w:space="0" w:color="auto"/>
        <w:right w:val="none" w:sz="0" w:space="0" w:color="auto"/>
      </w:divBdr>
    </w:div>
    <w:div w:id="69666902">
      <w:bodyDiv w:val="1"/>
      <w:marLeft w:val="0"/>
      <w:marRight w:val="0"/>
      <w:marTop w:val="0"/>
      <w:marBottom w:val="0"/>
      <w:divBdr>
        <w:top w:val="none" w:sz="0" w:space="0" w:color="auto"/>
        <w:left w:val="none" w:sz="0" w:space="0" w:color="auto"/>
        <w:bottom w:val="none" w:sz="0" w:space="0" w:color="auto"/>
        <w:right w:val="none" w:sz="0" w:space="0" w:color="auto"/>
      </w:divBdr>
    </w:div>
    <w:div w:id="69667388">
      <w:bodyDiv w:val="1"/>
      <w:marLeft w:val="0"/>
      <w:marRight w:val="0"/>
      <w:marTop w:val="0"/>
      <w:marBottom w:val="0"/>
      <w:divBdr>
        <w:top w:val="none" w:sz="0" w:space="0" w:color="auto"/>
        <w:left w:val="none" w:sz="0" w:space="0" w:color="auto"/>
        <w:bottom w:val="none" w:sz="0" w:space="0" w:color="auto"/>
        <w:right w:val="none" w:sz="0" w:space="0" w:color="auto"/>
      </w:divBdr>
    </w:div>
    <w:div w:id="69741613">
      <w:bodyDiv w:val="1"/>
      <w:marLeft w:val="0"/>
      <w:marRight w:val="0"/>
      <w:marTop w:val="0"/>
      <w:marBottom w:val="0"/>
      <w:divBdr>
        <w:top w:val="none" w:sz="0" w:space="0" w:color="auto"/>
        <w:left w:val="none" w:sz="0" w:space="0" w:color="auto"/>
        <w:bottom w:val="none" w:sz="0" w:space="0" w:color="auto"/>
        <w:right w:val="none" w:sz="0" w:space="0" w:color="auto"/>
      </w:divBdr>
    </w:div>
    <w:div w:id="69813221">
      <w:bodyDiv w:val="1"/>
      <w:marLeft w:val="0"/>
      <w:marRight w:val="0"/>
      <w:marTop w:val="0"/>
      <w:marBottom w:val="0"/>
      <w:divBdr>
        <w:top w:val="none" w:sz="0" w:space="0" w:color="auto"/>
        <w:left w:val="none" w:sz="0" w:space="0" w:color="auto"/>
        <w:bottom w:val="none" w:sz="0" w:space="0" w:color="auto"/>
        <w:right w:val="none" w:sz="0" w:space="0" w:color="auto"/>
      </w:divBdr>
    </w:div>
    <w:div w:id="69935398">
      <w:bodyDiv w:val="1"/>
      <w:marLeft w:val="0"/>
      <w:marRight w:val="0"/>
      <w:marTop w:val="0"/>
      <w:marBottom w:val="0"/>
      <w:divBdr>
        <w:top w:val="none" w:sz="0" w:space="0" w:color="auto"/>
        <w:left w:val="none" w:sz="0" w:space="0" w:color="auto"/>
        <w:bottom w:val="none" w:sz="0" w:space="0" w:color="auto"/>
        <w:right w:val="none" w:sz="0" w:space="0" w:color="auto"/>
      </w:divBdr>
    </w:div>
    <w:div w:id="70349981">
      <w:bodyDiv w:val="1"/>
      <w:marLeft w:val="0"/>
      <w:marRight w:val="0"/>
      <w:marTop w:val="0"/>
      <w:marBottom w:val="0"/>
      <w:divBdr>
        <w:top w:val="none" w:sz="0" w:space="0" w:color="auto"/>
        <w:left w:val="none" w:sz="0" w:space="0" w:color="auto"/>
        <w:bottom w:val="none" w:sz="0" w:space="0" w:color="auto"/>
        <w:right w:val="none" w:sz="0" w:space="0" w:color="auto"/>
      </w:divBdr>
    </w:div>
    <w:div w:id="70592397">
      <w:bodyDiv w:val="1"/>
      <w:marLeft w:val="0"/>
      <w:marRight w:val="0"/>
      <w:marTop w:val="0"/>
      <w:marBottom w:val="0"/>
      <w:divBdr>
        <w:top w:val="none" w:sz="0" w:space="0" w:color="auto"/>
        <w:left w:val="none" w:sz="0" w:space="0" w:color="auto"/>
        <w:bottom w:val="none" w:sz="0" w:space="0" w:color="auto"/>
        <w:right w:val="none" w:sz="0" w:space="0" w:color="auto"/>
      </w:divBdr>
    </w:div>
    <w:div w:id="70658459">
      <w:bodyDiv w:val="1"/>
      <w:marLeft w:val="0"/>
      <w:marRight w:val="0"/>
      <w:marTop w:val="0"/>
      <w:marBottom w:val="0"/>
      <w:divBdr>
        <w:top w:val="none" w:sz="0" w:space="0" w:color="auto"/>
        <w:left w:val="none" w:sz="0" w:space="0" w:color="auto"/>
        <w:bottom w:val="none" w:sz="0" w:space="0" w:color="auto"/>
        <w:right w:val="none" w:sz="0" w:space="0" w:color="auto"/>
      </w:divBdr>
    </w:div>
    <w:div w:id="70660071">
      <w:bodyDiv w:val="1"/>
      <w:marLeft w:val="0"/>
      <w:marRight w:val="0"/>
      <w:marTop w:val="0"/>
      <w:marBottom w:val="0"/>
      <w:divBdr>
        <w:top w:val="none" w:sz="0" w:space="0" w:color="auto"/>
        <w:left w:val="none" w:sz="0" w:space="0" w:color="auto"/>
        <w:bottom w:val="none" w:sz="0" w:space="0" w:color="auto"/>
        <w:right w:val="none" w:sz="0" w:space="0" w:color="auto"/>
      </w:divBdr>
    </w:div>
    <w:div w:id="70662655">
      <w:bodyDiv w:val="1"/>
      <w:marLeft w:val="0"/>
      <w:marRight w:val="0"/>
      <w:marTop w:val="0"/>
      <w:marBottom w:val="0"/>
      <w:divBdr>
        <w:top w:val="none" w:sz="0" w:space="0" w:color="auto"/>
        <w:left w:val="none" w:sz="0" w:space="0" w:color="auto"/>
        <w:bottom w:val="none" w:sz="0" w:space="0" w:color="auto"/>
        <w:right w:val="none" w:sz="0" w:space="0" w:color="auto"/>
      </w:divBdr>
    </w:div>
    <w:div w:id="71003919">
      <w:bodyDiv w:val="1"/>
      <w:marLeft w:val="0"/>
      <w:marRight w:val="0"/>
      <w:marTop w:val="0"/>
      <w:marBottom w:val="0"/>
      <w:divBdr>
        <w:top w:val="none" w:sz="0" w:space="0" w:color="auto"/>
        <w:left w:val="none" w:sz="0" w:space="0" w:color="auto"/>
        <w:bottom w:val="none" w:sz="0" w:space="0" w:color="auto"/>
        <w:right w:val="none" w:sz="0" w:space="0" w:color="auto"/>
      </w:divBdr>
    </w:div>
    <w:div w:id="71045018">
      <w:bodyDiv w:val="1"/>
      <w:marLeft w:val="0"/>
      <w:marRight w:val="0"/>
      <w:marTop w:val="0"/>
      <w:marBottom w:val="0"/>
      <w:divBdr>
        <w:top w:val="none" w:sz="0" w:space="0" w:color="auto"/>
        <w:left w:val="none" w:sz="0" w:space="0" w:color="auto"/>
        <w:bottom w:val="none" w:sz="0" w:space="0" w:color="auto"/>
        <w:right w:val="none" w:sz="0" w:space="0" w:color="auto"/>
      </w:divBdr>
    </w:div>
    <w:div w:id="71049104">
      <w:bodyDiv w:val="1"/>
      <w:marLeft w:val="0"/>
      <w:marRight w:val="0"/>
      <w:marTop w:val="0"/>
      <w:marBottom w:val="0"/>
      <w:divBdr>
        <w:top w:val="none" w:sz="0" w:space="0" w:color="auto"/>
        <w:left w:val="none" w:sz="0" w:space="0" w:color="auto"/>
        <w:bottom w:val="none" w:sz="0" w:space="0" w:color="auto"/>
        <w:right w:val="none" w:sz="0" w:space="0" w:color="auto"/>
      </w:divBdr>
    </w:div>
    <w:div w:id="71122104">
      <w:bodyDiv w:val="1"/>
      <w:marLeft w:val="0"/>
      <w:marRight w:val="0"/>
      <w:marTop w:val="0"/>
      <w:marBottom w:val="0"/>
      <w:divBdr>
        <w:top w:val="none" w:sz="0" w:space="0" w:color="auto"/>
        <w:left w:val="none" w:sz="0" w:space="0" w:color="auto"/>
        <w:bottom w:val="none" w:sz="0" w:space="0" w:color="auto"/>
        <w:right w:val="none" w:sz="0" w:space="0" w:color="auto"/>
      </w:divBdr>
    </w:div>
    <w:div w:id="71122995">
      <w:bodyDiv w:val="1"/>
      <w:marLeft w:val="0"/>
      <w:marRight w:val="0"/>
      <w:marTop w:val="0"/>
      <w:marBottom w:val="0"/>
      <w:divBdr>
        <w:top w:val="none" w:sz="0" w:space="0" w:color="auto"/>
        <w:left w:val="none" w:sz="0" w:space="0" w:color="auto"/>
        <w:bottom w:val="none" w:sz="0" w:space="0" w:color="auto"/>
        <w:right w:val="none" w:sz="0" w:space="0" w:color="auto"/>
      </w:divBdr>
    </w:div>
    <w:div w:id="71200966">
      <w:bodyDiv w:val="1"/>
      <w:marLeft w:val="0"/>
      <w:marRight w:val="0"/>
      <w:marTop w:val="0"/>
      <w:marBottom w:val="0"/>
      <w:divBdr>
        <w:top w:val="none" w:sz="0" w:space="0" w:color="auto"/>
        <w:left w:val="none" w:sz="0" w:space="0" w:color="auto"/>
        <w:bottom w:val="none" w:sz="0" w:space="0" w:color="auto"/>
        <w:right w:val="none" w:sz="0" w:space="0" w:color="auto"/>
      </w:divBdr>
    </w:div>
    <w:div w:id="71244675">
      <w:bodyDiv w:val="1"/>
      <w:marLeft w:val="0"/>
      <w:marRight w:val="0"/>
      <w:marTop w:val="0"/>
      <w:marBottom w:val="0"/>
      <w:divBdr>
        <w:top w:val="none" w:sz="0" w:space="0" w:color="auto"/>
        <w:left w:val="none" w:sz="0" w:space="0" w:color="auto"/>
        <w:bottom w:val="none" w:sz="0" w:space="0" w:color="auto"/>
        <w:right w:val="none" w:sz="0" w:space="0" w:color="auto"/>
      </w:divBdr>
    </w:div>
    <w:div w:id="71315483">
      <w:bodyDiv w:val="1"/>
      <w:marLeft w:val="0"/>
      <w:marRight w:val="0"/>
      <w:marTop w:val="0"/>
      <w:marBottom w:val="0"/>
      <w:divBdr>
        <w:top w:val="none" w:sz="0" w:space="0" w:color="auto"/>
        <w:left w:val="none" w:sz="0" w:space="0" w:color="auto"/>
        <w:bottom w:val="none" w:sz="0" w:space="0" w:color="auto"/>
        <w:right w:val="none" w:sz="0" w:space="0" w:color="auto"/>
      </w:divBdr>
    </w:div>
    <w:div w:id="71389197">
      <w:bodyDiv w:val="1"/>
      <w:marLeft w:val="0"/>
      <w:marRight w:val="0"/>
      <w:marTop w:val="0"/>
      <w:marBottom w:val="0"/>
      <w:divBdr>
        <w:top w:val="none" w:sz="0" w:space="0" w:color="auto"/>
        <w:left w:val="none" w:sz="0" w:space="0" w:color="auto"/>
        <w:bottom w:val="none" w:sz="0" w:space="0" w:color="auto"/>
        <w:right w:val="none" w:sz="0" w:space="0" w:color="auto"/>
      </w:divBdr>
    </w:div>
    <w:div w:id="71393291">
      <w:bodyDiv w:val="1"/>
      <w:marLeft w:val="0"/>
      <w:marRight w:val="0"/>
      <w:marTop w:val="0"/>
      <w:marBottom w:val="0"/>
      <w:divBdr>
        <w:top w:val="none" w:sz="0" w:space="0" w:color="auto"/>
        <w:left w:val="none" w:sz="0" w:space="0" w:color="auto"/>
        <w:bottom w:val="none" w:sz="0" w:space="0" w:color="auto"/>
        <w:right w:val="none" w:sz="0" w:space="0" w:color="auto"/>
      </w:divBdr>
    </w:div>
    <w:div w:id="71393885">
      <w:bodyDiv w:val="1"/>
      <w:marLeft w:val="0"/>
      <w:marRight w:val="0"/>
      <w:marTop w:val="0"/>
      <w:marBottom w:val="0"/>
      <w:divBdr>
        <w:top w:val="none" w:sz="0" w:space="0" w:color="auto"/>
        <w:left w:val="none" w:sz="0" w:space="0" w:color="auto"/>
        <w:bottom w:val="none" w:sz="0" w:space="0" w:color="auto"/>
        <w:right w:val="none" w:sz="0" w:space="0" w:color="auto"/>
      </w:divBdr>
    </w:div>
    <w:div w:id="71509332">
      <w:bodyDiv w:val="1"/>
      <w:marLeft w:val="0"/>
      <w:marRight w:val="0"/>
      <w:marTop w:val="0"/>
      <w:marBottom w:val="0"/>
      <w:divBdr>
        <w:top w:val="none" w:sz="0" w:space="0" w:color="auto"/>
        <w:left w:val="none" w:sz="0" w:space="0" w:color="auto"/>
        <w:bottom w:val="none" w:sz="0" w:space="0" w:color="auto"/>
        <w:right w:val="none" w:sz="0" w:space="0" w:color="auto"/>
      </w:divBdr>
    </w:div>
    <w:div w:id="71511597">
      <w:bodyDiv w:val="1"/>
      <w:marLeft w:val="0"/>
      <w:marRight w:val="0"/>
      <w:marTop w:val="0"/>
      <w:marBottom w:val="0"/>
      <w:divBdr>
        <w:top w:val="none" w:sz="0" w:space="0" w:color="auto"/>
        <w:left w:val="none" w:sz="0" w:space="0" w:color="auto"/>
        <w:bottom w:val="none" w:sz="0" w:space="0" w:color="auto"/>
        <w:right w:val="none" w:sz="0" w:space="0" w:color="auto"/>
      </w:divBdr>
    </w:div>
    <w:div w:id="71514440">
      <w:bodyDiv w:val="1"/>
      <w:marLeft w:val="0"/>
      <w:marRight w:val="0"/>
      <w:marTop w:val="0"/>
      <w:marBottom w:val="0"/>
      <w:divBdr>
        <w:top w:val="none" w:sz="0" w:space="0" w:color="auto"/>
        <w:left w:val="none" w:sz="0" w:space="0" w:color="auto"/>
        <w:bottom w:val="none" w:sz="0" w:space="0" w:color="auto"/>
        <w:right w:val="none" w:sz="0" w:space="0" w:color="auto"/>
      </w:divBdr>
    </w:div>
    <w:div w:id="71782628">
      <w:bodyDiv w:val="1"/>
      <w:marLeft w:val="0"/>
      <w:marRight w:val="0"/>
      <w:marTop w:val="0"/>
      <w:marBottom w:val="0"/>
      <w:divBdr>
        <w:top w:val="none" w:sz="0" w:space="0" w:color="auto"/>
        <w:left w:val="none" w:sz="0" w:space="0" w:color="auto"/>
        <w:bottom w:val="none" w:sz="0" w:space="0" w:color="auto"/>
        <w:right w:val="none" w:sz="0" w:space="0" w:color="auto"/>
      </w:divBdr>
    </w:div>
    <w:div w:id="71852238">
      <w:bodyDiv w:val="1"/>
      <w:marLeft w:val="0"/>
      <w:marRight w:val="0"/>
      <w:marTop w:val="0"/>
      <w:marBottom w:val="0"/>
      <w:divBdr>
        <w:top w:val="none" w:sz="0" w:space="0" w:color="auto"/>
        <w:left w:val="none" w:sz="0" w:space="0" w:color="auto"/>
        <w:bottom w:val="none" w:sz="0" w:space="0" w:color="auto"/>
        <w:right w:val="none" w:sz="0" w:space="0" w:color="auto"/>
      </w:divBdr>
    </w:div>
    <w:div w:id="71854078">
      <w:bodyDiv w:val="1"/>
      <w:marLeft w:val="0"/>
      <w:marRight w:val="0"/>
      <w:marTop w:val="0"/>
      <w:marBottom w:val="0"/>
      <w:divBdr>
        <w:top w:val="none" w:sz="0" w:space="0" w:color="auto"/>
        <w:left w:val="none" w:sz="0" w:space="0" w:color="auto"/>
        <w:bottom w:val="none" w:sz="0" w:space="0" w:color="auto"/>
        <w:right w:val="none" w:sz="0" w:space="0" w:color="auto"/>
      </w:divBdr>
    </w:div>
    <w:div w:id="71893909">
      <w:bodyDiv w:val="1"/>
      <w:marLeft w:val="0"/>
      <w:marRight w:val="0"/>
      <w:marTop w:val="0"/>
      <w:marBottom w:val="0"/>
      <w:divBdr>
        <w:top w:val="none" w:sz="0" w:space="0" w:color="auto"/>
        <w:left w:val="none" w:sz="0" w:space="0" w:color="auto"/>
        <w:bottom w:val="none" w:sz="0" w:space="0" w:color="auto"/>
        <w:right w:val="none" w:sz="0" w:space="0" w:color="auto"/>
      </w:divBdr>
    </w:div>
    <w:div w:id="71897208">
      <w:bodyDiv w:val="1"/>
      <w:marLeft w:val="0"/>
      <w:marRight w:val="0"/>
      <w:marTop w:val="0"/>
      <w:marBottom w:val="0"/>
      <w:divBdr>
        <w:top w:val="none" w:sz="0" w:space="0" w:color="auto"/>
        <w:left w:val="none" w:sz="0" w:space="0" w:color="auto"/>
        <w:bottom w:val="none" w:sz="0" w:space="0" w:color="auto"/>
        <w:right w:val="none" w:sz="0" w:space="0" w:color="auto"/>
      </w:divBdr>
    </w:div>
    <w:div w:id="71977356">
      <w:bodyDiv w:val="1"/>
      <w:marLeft w:val="0"/>
      <w:marRight w:val="0"/>
      <w:marTop w:val="0"/>
      <w:marBottom w:val="0"/>
      <w:divBdr>
        <w:top w:val="none" w:sz="0" w:space="0" w:color="auto"/>
        <w:left w:val="none" w:sz="0" w:space="0" w:color="auto"/>
        <w:bottom w:val="none" w:sz="0" w:space="0" w:color="auto"/>
        <w:right w:val="none" w:sz="0" w:space="0" w:color="auto"/>
      </w:divBdr>
    </w:div>
    <w:div w:id="72165469">
      <w:bodyDiv w:val="1"/>
      <w:marLeft w:val="0"/>
      <w:marRight w:val="0"/>
      <w:marTop w:val="0"/>
      <w:marBottom w:val="0"/>
      <w:divBdr>
        <w:top w:val="none" w:sz="0" w:space="0" w:color="auto"/>
        <w:left w:val="none" w:sz="0" w:space="0" w:color="auto"/>
        <w:bottom w:val="none" w:sz="0" w:space="0" w:color="auto"/>
        <w:right w:val="none" w:sz="0" w:space="0" w:color="auto"/>
      </w:divBdr>
    </w:div>
    <w:div w:id="72167200">
      <w:bodyDiv w:val="1"/>
      <w:marLeft w:val="0"/>
      <w:marRight w:val="0"/>
      <w:marTop w:val="0"/>
      <w:marBottom w:val="0"/>
      <w:divBdr>
        <w:top w:val="none" w:sz="0" w:space="0" w:color="auto"/>
        <w:left w:val="none" w:sz="0" w:space="0" w:color="auto"/>
        <w:bottom w:val="none" w:sz="0" w:space="0" w:color="auto"/>
        <w:right w:val="none" w:sz="0" w:space="0" w:color="auto"/>
      </w:divBdr>
    </w:div>
    <w:div w:id="72238484">
      <w:bodyDiv w:val="1"/>
      <w:marLeft w:val="0"/>
      <w:marRight w:val="0"/>
      <w:marTop w:val="0"/>
      <w:marBottom w:val="0"/>
      <w:divBdr>
        <w:top w:val="none" w:sz="0" w:space="0" w:color="auto"/>
        <w:left w:val="none" w:sz="0" w:space="0" w:color="auto"/>
        <w:bottom w:val="none" w:sz="0" w:space="0" w:color="auto"/>
        <w:right w:val="none" w:sz="0" w:space="0" w:color="auto"/>
      </w:divBdr>
    </w:div>
    <w:div w:id="72288905">
      <w:bodyDiv w:val="1"/>
      <w:marLeft w:val="0"/>
      <w:marRight w:val="0"/>
      <w:marTop w:val="0"/>
      <w:marBottom w:val="0"/>
      <w:divBdr>
        <w:top w:val="none" w:sz="0" w:space="0" w:color="auto"/>
        <w:left w:val="none" w:sz="0" w:space="0" w:color="auto"/>
        <w:bottom w:val="none" w:sz="0" w:space="0" w:color="auto"/>
        <w:right w:val="none" w:sz="0" w:space="0" w:color="auto"/>
      </w:divBdr>
    </w:div>
    <w:div w:id="72355793">
      <w:bodyDiv w:val="1"/>
      <w:marLeft w:val="0"/>
      <w:marRight w:val="0"/>
      <w:marTop w:val="0"/>
      <w:marBottom w:val="0"/>
      <w:divBdr>
        <w:top w:val="none" w:sz="0" w:space="0" w:color="auto"/>
        <w:left w:val="none" w:sz="0" w:space="0" w:color="auto"/>
        <w:bottom w:val="none" w:sz="0" w:space="0" w:color="auto"/>
        <w:right w:val="none" w:sz="0" w:space="0" w:color="auto"/>
      </w:divBdr>
    </w:div>
    <w:div w:id="72359380">
      <w:bodyDiv w:val="1"/>
      <w:marLeft w:val="0"/>
      <w:marRight w:val="0"/>
      <w:marTop w:val="0"/>
      <w:marBottom w:val="0"/>
      <w:divBdr>
        <w:top w:val="none" w:sz="0" w:space="0" w:color="auto"/>
        <w:left w:val="none" w:sz="0" w:space="0" w:color="auto"/>
        <w:bottom w:val="none" w:sz="0" w:space="0" w:color="auto"/>
        <w:right w:val="none" w:sz="0" w:space="0" w:color="auto"/>
      </w:divBdr>
    </w:div>
    <w:div w:id="72629457">
      <w:bodyDiv w:val="1"/>
      <w:marLeft w:val="0"/>
      <w:marRight w:val="0"/>
      <w:marTop w:val="0"/>
      <w:marBottom w:val="0"/>
      <w:divBdr>
        <w:top w:val="none" w:sz="0" w:space="0" w:color="auto"/>
        <w:left w:val="none" w:sz="0" w:space="0" w:color="auto"/>
        <w:bottom w:val="none" w:sz="0" w:space="0" w:color="auto"/>
        <w:right w:val="none" w:sz="0" w:space="0" w:color="auto"/>
      </w:divBdr>
    </w:div>
    <w:div w:id="72701401">
      <w:bodyDiv w:val="1"/>
      <w:marLeft w:val="0"/>
      <w:marRight w:val="0"/>
      <w:marTop w:val="0"/>
      <w:marBottom w:val="0"/>
      <w:divBdr>
        <w:top w:val="none" w:sz="0" w:space="0" w:color="auto"/>
        <w:left w:val="none" w:sz="0" w:space="0" w:color="auto"/>
        <w:bottom w:val="none" w:sz="0" w:space="0" w:color="auto"/>
        <w:right w:val="none" w:sz="0" w:space="0" w:color="auto"/>
      </w:divBdr>
    </w:div>
    <w:div w:id="72708063">
      <w:bodyDiv w:val="1"/>
      <w:marLeft w:val="0"/>
      <w:marRight w:val="0"/>
      <w:marTop w:val="0"/>
      <w:marBottom w:val="0"/>
      <w:divBdr>
        <w:top w:val="none" w:sz="0" w:space="0" w:color="auto"/>
        <w:left w:val="none" w:sz="0" w:space="0" w:color="auto"/>
        <w:bottom w:val="none" w:sz="0" w:space="0" w:color="auto"/>
        <w:right w:val="none" w:sz="0" w:space="0" w:color="auto"/>
      </w:divBdr>
    </w:div>
    <w:div w:id="72745332">
      <w:bodyDiv w:val="1"/>
      <w:marLeft w:val="0"/>
      <w:marRight w:val="0"/>
      <w:marTop w:val="0"/>
      <w:marBottom w:val="0"/>
      <w:divBdr>
        <w:top w:val="none" w:sz="0" w:space="0" w:color="auto"/>
        <w:left w:val="none" w:sz="0" w:space="0" w:color="auto"/>
        <w:bottom w:val="none" w:sz="0" w:space="0" w:color="auto"/>
        <w:right w:val="none" w:sz="0" w:space="0" w:color="auto"/>
      </w:divBdr>
    </w:div>
    <w:div w:id="72777292">
      <w:bodyDiv w:val="1"/>
      <w:marLeft w:val="0"/>
      <w:marRight w:val="0"/>
      <w:marTop w:val="0"/>
      <w:marBottom w:val="0"/>
      <w:divBdr>
        <w:top w:val="none" w:sz="0" w:space="0" w:color="auto"/>
        <w:left w:val="none" w:sz="0" w:space="0" w:color="auto"/>
        <w:bottom w:val="none" w:sz="0" w:space="0" w:color="auto"/>
        <w:right w:val="none" w:sz="0" w:space="0" w:color="auto"/>
      </w:divBdr>
    </w:div>
    <w:div w:id="72822891">
      <w:bodyDiv w:val="1"/>
      <w:marLeft w:val="0"/>
      <w:marRight w:val="0"/>
      <w:marTop w:val="0"/>
      <w:marBottom w:val="0"/>
      <w:divBdr>
        <w:top w:val="none" w:sz="0" w:space="0" w:color="auto"/>
        <w:left w:val="none" w:sz="0" w:space="0" w:color="auto"/>
        <w:bottom w:val="none" w:sz="0" w:space="0" w:color="auto"/>
        <w:right w:val="none" w:sz="0" w:space="0" w:color="auto"/>
      </w:divBdr>
    </w:div>
    <w:div w:id="72825451">
      <w:bodyDiv w:val="1"/>
      <w:marLeft w:val="0"/>
      <w:marRight w:val="0"/>
      <w:marTop w:val="0"/>
      <w:marBottom w:val="0"/>
      <w:divBdr>
        <w:top w:val="none" w:sz="0" w:space="0" w:color="auto"/>
        <w:left w:val="none" w:sz="0" w:space="0" w:color="auto"/>
        <w:bottom w:val="none" w:sz="0" w:space="0" w:color="auto"/>
        <w:right w:val="none" w:sz="0" w:space="0" w:color="auto"/>
      </w:divBdr>
    </w:div>
    <w:div w:id="72892757">
      <w:bodyDiv w:val="1"/>
      <w:marLeft w:val="0"/>
      <w:marRight w:val="0"/>
      <w:marTop w:val="0"/>
      <w:marBottom w:val="0"/>
      <w:divBdr>
        <w:top w:val="none" w:sz="0" w:space="0" w:color="auto"/>
        <w:left w:val="none" w:sz="0" w:space="0" w:color="auto"/>
        <w:bottom w:val="none" w:sz="0" w:space="0" w:color="auto"/>
        <w:right w:val="none" w:sz="0" w:space="0" w:color="auto"/>
      </w:divBdr>
    </w:div>
    <w:div w:id="72898483">
      <w:bodyDiv w:val="1"/>
      <w:marLeft w:val="0"/>
      <w:marRight w:val="0"/>
      <w:marTop w:val="0"/>
      <w:marBottom w:val="0"/>
      <w:divBdr>
        <w:top w:val="none" w:sz="0" w:space="0" w:color="auto"/>
        <w:left w:val="none" w:sz="0" w:space="0" w:color="auto"/>
        <w:bottom w:val="none" w:sz="0" w:space="0" w:color="auto"/>
        <w:right w:val="none" w:sz="0" w:space="0" w:color="auto"/>
      </w:divBdr>
    </w:div>
    <w:div w:id="73086554">
      <w:bodyDiv w:val="1"/>
      <w:marLeft w:val="0"/>
      <w:marRight w:val="0"/>
      <w:marTop w:val="0"/>
      <w:marBottom w:val="0"/>
      <w:divBdr>
        <w:top w:val="none" w:sz="0" w:space="0" w:color="auto"/>
        <w:left w:val="none" w:sz="0" w:space="0" w:color="auto"/>
        <w:bottom w:val="none" w:sz="0" w:space="0" w:color="auto"/>
        <w:right w:val="none" w:sz="0" w:space="0" w:color="auto"/>
      </w:divBdr>
    </w:div>
    <w:div w:id="73088598">
      <w:bodyDiv w:val="1"/>
      <w:marLeft w:val="0"/>
      <w:marRight w:val="0"/>
      <w:marTop w:val="0"/>
      <w:marBottom w:val="0"/>
      <w:divBdr>
        <w:top w:val="none" w:sz="0" w:space="0" w:color="auto"/>
        <w:left w:val="none" w:sz="0" w:space="0" w:color="auto"/>
        <w:bottom w:val="none" w:sz="0" w:space="0" w:color="auto"/>
        <w:right w:val="none" w:sz="0" w:space="0" w:color="auto"/>
      </w:divBdr>
    </w:div>
    <w:div w:id="73164393">
      <w:bodyDiv w:val="1"/>
      <w:marLeft w:val="0"/>
      <w:marRight w:val="0"/>
      <w:marTop w:val="0"/>
      <w:marBottom w:val="0"/>
      <w:divBdr>
        <w:top w:val="none" w:sz="0" w:space="0" w:color="auto"/>
        <w:left w:val="none" w:sz="0" w:space="0" w:color="auto"/>
        <w:bottom w:val="none" w:sz="0" w:space="0" w:color="auto"/>
        <w:right w:val="none" w:sz="0" w:space="0" w:color="auto"/>
      </w:divBdr>
    </w:div>
    <w:div w:id="73208548">
      <w:bodyDiv w:val="1"/>
      <w:marLeft w:val="0"/>
      <w:marRight w:val="0"/>
      <w:marTop w:val="0"/>
      <w:marBottom w:val="0"/>
      <w:divBdr>
        <w:top w:val="none" w:sz="0" w:space="0" w:color="auto"/>
        <w:left w:val="none" w:sz="0" w:space="0" w:color="auto"/>
        <w:bottom w:val="none" w:sz="0" w:space="0" w:color="auto"/>
        <w:right w:val="none" w:sz="0" w:space="0" w:color="auto"/>
      </w:divBdr>
    </w:div>
    <w:div w:id="73281348">
      <w:bodyDiv w:val="1"/>
      <w:marLeft w:val="0"/>
      <w:marRight w:val="0"/>
      <w:marTop w:val="0"/>
      <w:marBottom w:val="0"/>
      <w:divBdr>
        <w:top w:val="none" w:sz="0" w:space="0" w:color="auto"/>
        <w:left w:val="none" w:sz="0" w:space="0" w:color="auto"/>
        <w:bottom w:val="none" w:sz="0" w:space="0" w:color="auto"/>
        <w:right w:val="none" w:sz="0" w:space="0" w:color="auto"/>
      </w:divBdr>
    </w:div>
    <w:div w:id="73281405">
      <w:bodyDiv w:val="1"/>
      <w:marLeft w:val="0"/>
      <w:marRight w:val="0"/>
      <w:marTop w:val="0"/>
      <w:marBottom w:val="0"/>
      <w:divBdr>
        <w:top w:val="none" w:sz="0" w:space="0" w:color="auto"/>
        <w:left w:val="none" w:sz="0" w:space="0" w:color="auto"/>
        <w:bottom w:val="none" w:sz="0" w:space="0" w:color="auto"/>
        <w:right w:val="none" w:sz="0" w:space="0" w:color="auto"/>
      </w:divBdr>
    </w:div>
    <w:div w:id="73401276">
      <w:bodyDiv w:val="1"/>
      <w:marLeft w:val="0"/>
      <w:marRight w:val="0"/>
      <w:marTop w:val="0"/>
      <w:marBottom w:val="0"/>
      <w:divBdr>
        <w:top w:val="none" w:sz="0" w:space="0" w:color="auto"/>
        <w:left w:val="none" w:sz="0" w:space="0" w:color="auto"/>
        <w:bottom w:val="none" w:sz="0" w:space="0" w:color="auto"/>
        <w:right w:val="none" w:sz="0" w:space="0" w:color="auto"/>
      </w:divBdr>
    </w:div>
    <w:div w:id="73403202">
      <w:bodyDiv w:val="1"/>
      <w:marLeft w:val="0"/>
      <w:marRight w:val="0"/>
      <w:marTop w:val="0"/>
      <w:marBottom w:val="0"/>
      <w:divBdr>
        <w:top w:val="none" w:sz="0" w:space="0" w:color="auto"/>
        <w:left w:val="none" w:sz="0" w:space="0" w:color="auto"/>
        <w:bottom w:val="none" w:sz="0" w:space="0" w:color="auto"/>
        <w:right w:val="none" w:sz="0" w:space="0" w:color="auto"/>
      </w:divBdr>
    </w:div>
    <w:div w:id="73478800">
      <w:bodyDiv w:val="1"/>
      <w:marLeft w:val="0"/>
      <w:marRight w:val="0"/>
      <w:marTop w:val="0"/>
      <w:marBottom w:val="0"/>
      <w:divBdr>
        <w:top w:val="none" w:sz="0" w:space="0" w:color="auto"/>
        <w:left w:val="none" w:sz="0" w:space="0" w:color="auto"/>
        <w:bottom w:val="none" w:sz="0" w:space="0" w:color="auto"/>
        <w:right w:val="none" w:sz="0" w:space="0" w:color="auto"/>
      </w:divBdr>
    </w:div>
    <w:div w:id="73481487">
      <w:bodyDiv w:val="1"/>
      <w:marLeft w:val="0"/>
      <w:marRight w:val="0"/>
      <w:marTop w:val="0"/>
      <w:marBottom w:val="0"/>
      <w:divBdr>
        <w:top w:val="none" w:sz="0" w:space="0" w:color="auto"/>
        <w:left w:val="none" w:sz="0" w:space="0" w:color="auto"/>
        <w:bottom w:val="none" w:sz="0" w:space="0" w:color="auto"/>
        <w:right w:val="none" w:sz="0" w:space="0" w:color="auto"/>
      </w:divBdr>
    </w:div>
    <w:div w:id="73672900">
      <w:bodyDiv w:val="1"/>
      <w:marLeft w:val="0"/>
      <w:marRight w:val="0"/>
      <w:marTop w:val="0"/>
      <w:marBottom w:val="0"/>
      <w:divBdr>
        <w:top w:val="none" w:sz="0" w:space="0" w:color="auto"/>
        <w:left w:val="none" w:sz="0" w:space="0" w:color="auto"/>
        <w:bottom w:val="none" w:sz="0" w:space="0" w:color="auto"/>
        <w:right w:val="none" w:sz="0" w:space="0" w:color="auto"/>
      </w:divBdr>
    </w:div>
    <w:div w:id="73673694">
      <w:bodyDiv w:val="1"/>
      <w:marLeft w:val="0"/>
      <w:marRight w:val="0"/>
      <w:marTop w:val="0"/>
      <w:marBottom w:val="0"/>
      <w:divBdr>
        <w:top w:val="none" w:sz="0" w:space="0" w:color="auto"/>
        <w:left w:val="none" w:sz="0" w:space="0" w:color="auto"/>
        <w:bottom w:val="none" w:sz="0" w:space="0" w:color="auto"/>
        <w:right w:val="none" w:sz="0" w:space="0" w:color="auto"/>
      </w:divBdr>
    </w:div>
    <w:div w:id="73818277">
      <w:bodyDiv w:val="1"/>
      <w:marLeft w:val="0"/>
      <w:marRight w:val="0"/>
      <w:marTop w:val="0"/>
      <w:marBottom w:val="0"/>
      <w:divBdr>
        <w:top w:val="none" w:sz="0" w:space="0" w:color="auto"/>
        <w:left w:val="none" w:sz="0" w:space="0" w:color="auto"/>
        <w:bottom w:val="none" w:sz="0" w:space="0" w:color="auto"/>
        <w:right w:val="none" w:sz="0" w:space="0" w:color="auto"/>
      </w:divBdr>
    </w:div>
    <w:div w:id="73865529">
      <w:bodyDiv w:val="1"/>
      <w:marLeft w:val="0"/>
      <w:marRight w:val="0"/>
      <w:marTop w:val="0"/>
      <w:marBottom w:val="0"/>
      <w:divBdr>
        <w:top w:val="none" w:sz="0" w:space="0" w:color="auto"/>
        <w:left w:val="none" w:sz="0" w:space="0" w:color="auto"/>
        <w:bottom w:val="none" w:sz="0" w:space="0" w:color="auto"/>
        <w:right w:val="none" w:sz="0" w:space="0" w:color="auto"/>
      </w:divBdr>
    </w:div>
    <w:div w:id="73866346">
      <w:bodyDiv w:val="1"/>
      <w:marLeft w:val="0"/>
      <w:marRight w:val="0"/>
      <w:marTop w:val="0"/>
      <w:marBottom w:val="0"/>
      <w:divBdr>
        <w:top w:val="none" w:sz="0" w:space="0" w:color="auto"/>
        <w:left w:val="none" w:sz="0" w:space="0" w:color="auto"/>
        <w:bottom w:val="none" w:sz="0" w:space="0" w:color="auto"/>
        <w:right w:val="none" w:sz="0" w:space="0" w:color="auto"/>
      </w:divBdr>
    </w:div>
    <w:div w:id="73867759">
      <w:bodyDiv w:val="1"/>
      <w:marLeft w:val="0"/>
      <w:marRight w:val="0"/>
      <w:marTop w:val="0"/>
      <w:marBottom w:val="0"/>
      <w:divBdr>
        <w:top w:val="none" w:sz="0" w:space="0" w:color="auto"/>
        <w:left w:val="none" w:sz="0" w:space="0" w:color="auto"/>
        <w:bottom w:val="none" w:sz="0" w:space="0" w:color="auto"/>
        <w:right w:val="none" w:sz="0" w:space="0" w:color="auto"/>
      </w:divBdr>
    </w:div>
    <w:div w:id="73939108">
      <w:bodyDiv w:val="1"/>
      <w:marLeft w:val="0"/>
      <w:marRight w:val="0"/>
      <w:marTop w:val="0"/>
      <w:marBottom w:val="0"/>
      <w:divBdr>
        <w:top w:val="none" w:sz="0" w:space="0" w:color="auto"/>
        <w:left w:val="none" w:sz="0" w:space="0" w:color="auto"/>
        <w:bottom w:val="none" w:sz="0" w:space="0" w:color="auto"/>
        <w:right w:val="none" w:sz="0" w:space="0" w:color="auto"/>
      </w:divBdr>
    </w:div>
    <w:div w:id="74128855">
      <w:bodyDiv w:val="1"/>
      <w:marLeft w:val="0"/>
      <w:marRight w:val="0"/>
      <w:marTop w:val="0"/>
      <w:marBottom w:val="0"/>
      <w:divBdr>
        <w:top w:val="none" w:sz="0" w:space="0" w:color="auto"/>
        <w:left w:val="none" w:sz="0" w:space="0" w:color="auto"/>
        <w:bottom w:val="none" w:sz="0" w:space="0" w:color="auto"/>
        <w:right w:val="none" w:sz="0" w:space="0" w:color="auto"/>
      </w:divBdr>
    </w:div>
    <w:div w:id="74279767">
      <w:bodyDiv w:val="1"/>
      <w:marLeft w:val="0"/>
      <w:marRight w:val="0"/>
      <w:marTop w:val="0"/>
      <w:marBottom w:val="0"/>
      <w:divBdr>
        <w:top w:val="none" w:sz="0" w:space="0" w:color="auto"/>
        <w:left w:val="none" w:sz="0" w:space="0" w:color="auto"/>
        <w:bottom w:val="none" w:sz="0" w:space="0" w:color="auto"/>
        <w:right w:val="none" w:sz="0" w:space="0" w:color="auto"/>
      </w:divBdr>
    </w:div>
    <w:div w:id="74474507">
      <w:bodyDiv w:val="1"/>
      <w:marLeft w:val="0"/>
      <w:marRight w:val="0"/>
      <w:marTop w:val="0"/>
      <w:marBottom w:val="0"/>
      <w:divBdr>
        <w:top w:val="none" w:sz="0" w:space="0" w:color="auto"/>
        <w:left w:val="none" w:sz="0" w:space="0" w:color="auto"/>
        <w:bottom w:val="none" w:sz="0" w:space="0" w:color="auto"/>
        <w:right w:val="none" w:sz="0" w:space="0" w:color="auto"/>
      </w:divBdr>
    </w:div>
    <w:div w:id="74480438">
      <w:bodyDiv w:val="1"/>
      <w:marLeft w:val="0"/>
      <w:marRight w:val="0"/>
      <w:marTop w:val="0"/>
      <w:marBottom w:val="0"/>
      <w:divBdr>
        <w:top w:val="none" w:sz="0" w:space="0" w:color="auto"/>
        <w:left w:val="none" w:sz="0" w:space="0" w:color="auto"/>
        <w:bottom w:val="none" w:sz="0" w:space="0" w:color="auto"/>
        <w:right w:val="none" w:sz="0" w:space="0" w:color="auto"/>
      </w:divBdr>
    </w:div>
    <w:div w:id="74516511">
      <w:bodyDiv w:val="1"/>
      <w:marLeft w:val="0"/>
      <w:marRight w:val="0"/>
      <w:marTop w:val="0"/>
      <w:marBottom w:val="0"/>
      <w:divBdr>
        <w:top w:val="none" w:sz="0" w:space="0" w:color="auto"/>
        <w:left w:val="none" w:sz="0" w:space="0" w:color="auto"/>
        <w:bottom w:val="none" w:sz="0" w:space="0" w:color="auto"/>
        <w:right w:val="none" w:sz="0" w:space="0" w:color="auto"/>
      </w:divBdr>
    </w:div>
    <w:div w:id="74520911">
      <w:bodyDiv w:val="1"/>
      <w:marLeft w:val="0"/>
      <w:marRight w:val="0"/>
      <w:marTop w:val="0"/>
      <w:marBottom w:val="0"/>
      <w:divBdr>
        <w:top w:val="none" w:sz="0" w:space="0" w:color="auto"/>
        <w:left w:val="none" w:sz="0" w:space="0" w:color="auto"/>
        <w:bottom w:val="none" w:sz="0" w:space="0" w:color="auto"/>
        <w:right w:val="none" w:sz="0" w:space="0" w:color="auto"/>
      </w:divBdr>
    </w:div>
    <w:div w:id="74595884">
      <w:bodyDiv w:val="1"/>
      <w:marLeft w:val="0"/>
      <w:marRight w:val="0"/>
      <w:marTop w:val="0"/>
      <w:marBottom w:val="0"/>
      <w:divBdr>
        <w:top w:val="none" w:sz="0" w:space="0" w:color="auto"/>
        <w:left w:val="none" w:sz="0" w:space="0" w:color="auto"/>
        <w:bottom w:val="none" w:sz="0" w:space="0" w:color="auto"/>
        <w:right w:val="none" w:sz="0" w:space="0" w:color="auto"/>
      </w:divBdr>
    </w:div>
    <w:div w:id="74669244">
      <w:bodyDiv w:val="1"/>
      <w:marLeft w:val="0"/>
      <w:marRight w:val="0"/>
      <w:marTop w:val="0"/>
      <w:marBottom w:val="0"/>
      <w:divBdr>
        <w:top w:val="none" w:sz="0" w:space="0" w:color="auto"/>
        <w:left w:val="none" w:sz="0" w:space="0" w:color="auto"/>
        <w:bottom w:val="none" w:sz="0" w:space="0" w:color="auto"/>
        <w:right w:val="none" w:sz="0" w:space="0" w:color="auto"/>
      </w:divBdr>
    </w:div>
    <w:div w:id="74674030">
      <w:bodyDiv w:val="1"/>
      <w:marLeft w:val="0"/>
      <w:marRight w:val="0"/>
      <w:marTop w:val="0"/>
      <w:marBottom w:val="0"/>
      <w:divBdr>
        <w:top w:val="none" w:sz="0" w:space="0" w:color="auto"/>
        <w:left w:val="none" w:sz="0" w:space="0" w:color="auto"/>
        <w:bottom w:val="none" w:sz="0" w:space="0" w:color="auto"/>
        <w:right w:val="none" w:sz="0" w:space="0" w:color="auto"/>
      </w:divBdr>
    </w:div>
    <w:div w:id="74790803">
      <w:bodyDiv w:val="1"/>
      <w:marLeft w:val="0"/>
      <w:marRight w:val="0"/>
      <w:marTop w:val="0"/>
      <w:marBottom w:val="0"/>
      <w:divBdr>
        <w:top w:val="none" w:sz="0" w:space="0" w:color="auto"/>
        <w:left w:val="none" w:sz="0" w:space="0" w:color="auto"/>
        <w:bottom w:val="none" w:sz="0" w:space="0" w:color="auto"/>
        <w:right w:val="none" w:sz="0" w:space="0" w:color="auto"/>
      </w:divBdr>
    </w:div>
    <w:div w:id="74859996">
      <w:bodyDiv w:val="1"/>
      <w:marLeft w:val="0"/>
      <w:marRight w:val="0"/>
      <w:marTop w:val="0"/>
      <w:marBottom w:val="0"/>
      <w:divBdr>
        <w:top w:val="none" w:sz="0" w:space="0" w:color="auto"/>
        <w:left w:val="none" w:sz="0" w:space="0" w:color="auto"/>
        <w:bottom w:val="none" w:sz="0" w:space="0" w:color="auto"/>
        <w:right w:val="none" w:sz="0" w:space="0" w:color="auto"/>
      </w:divBdr>
    </w:div>
    <w:div w:id="74860049">
      <w:bodyDiv w:val="1"/>
      <w:marLeft w:val="0"/>
      <w:marRight w:val="0"/>
      <w:marTop w:val="0"/>
      <w:marBottom w:val="0"/>
      <w:divBdr>
        <w:top w:val="none" w:sz="0" w:space="0" w:color="auto"/>
        <w:left w:val="none" w:sz="0" w:space="0" w:color="auto"/>
        <w:bottom w:val="none" w:sz="0" w:space="0" w:color="auto"/>
        <w:right w:val="none" w:sz="0" w:space="0" w:color="auto"/>
      </w:divBdr>
      <w:divsChild>
        <w:div w:id="3286538">
          <w:marLeft w:val="0"/>
          <w:marRight w:val="0"/>
          <w:marTop w:val="0"/>
          <w:marBottom w:val="0"/>
          <w:divBdr>
            <w:top w:val="none" w:sz="0" w:space="0" w:color="auto"/>
            <w:left w:val="none" w:sz="0" w:space="0" w:color="auto"/>
            <w:bottom w:val="none" w:sz="0" w:space="0" w:color="auto"/>
            <w:right w:val="none" w:sz="0" w:space="0" w:color="auto"/>
          </w:divBdr>
        </w:div>
        <w:div w:id="3633812">
          <w:marLeft w:val="0"/>
          <w:marRight w:val="0"/>
          <w:marTop w:val="0"/>
          <w:marBottom w:val="0"/>
          <w:divBdr>
            <w:top w:val="none" w:sz="0" w:space="0" w:color="auto"/>
            <w:left w:val="none" w:sz="0" w:space="0" w:color="auto"/>
            <w:bottom w:val="none" w:sz="0" w:space="0" w:color="auto"/>
            <w:right w:val="none" w:sz="0" w:space="0" w:color="auto"/>
          </w:divBdr>
        </w:div>
        <w:div w:id="11230869">
          <w:marLeft w:val="0"/>
          <w:marRight w:val="0"/>
          <w:marTop w:val="0"/>
          <w:marBottom w:val="0"/>
          <w:divBdr>
            <w:top w:val="none" w:sz="0" w:space="0" w:color="auto"/>
            <w:left w:val="none" w:sz="0" w:space="0" w:color="auto"/>
            <w:bottom w:val="none" w:sz="0" w:space="0" w:color="auto"/>
            <w:right w:val="none" w:sz="0" w:space="0" w:color="auto"/>
          </w:divBdr>
        </w:div>
        <w:div w:id="30765947">
          <w:marLeft w:val="0"/>
          <w:marRight w:val="0"/>
          <w:marTop w:val="0"/>
          <w:marBottom w:val="0"/>
          <w:divBdr>
            <w:top w:val="none" w:sz="0" w:space="0" w:color="auto"/>
            <w:left w:val="none" w:sz="0" w:space="0" w:color="auto"/>
            <w:bottom w:val="none" w:sz="0" w:space="0" w:color="auto"/>
            <w:right w:val="none" w:sz="0" w:space="0" w:color="auto"/>
          </w:divBdr>
        </w:div>
        <w:div w:id="35858538">
          <w:marLeft w:val="0"/>
          <w:marRight w:val="0"/>
          <w:marTop w:val="0"/>
          <w:marBottom w:val="0"/>
          <w:divBdr>
            <w:top w:val="none" w:sz="0" w:space="0" w:color="auto"/>
            <w:left w:val="none" w:sz="0" w:space="0" w:color="auto"/>
            <w:bottom w:val="none" w:sz="0" w:space="0" w:color="auto"/>
            <w:right w:val="none" w:sz="0" w:space="0" w:color="auto"/>
          </w:divBdr>
        </w:div>
        <w:div w:id="38012590">
          <w:marLeft w:val="0"/>
          <w:marRight w:val="0"/>
          <w:marTop w:val="0"/>
          <w:marBottom w:val="0"/>
          <w:divBdr>
            <w:top w:val="none" w:sz="0" w:space="0" w:color="auto"/>
            <w:left w:val="none" w:sz="0" w:space="0" w:color="auto"/>
            <w:bottom w:val="none" w:sz="0" w:space="0" w:color="auto"/>
            <w:right w:val="none" w:sz="0" w:space="0" w:color="auto"/>
          </w:divBdr>
        </w:div>
        <w:div w:id="54134514">
          <w:marLeft w:val="0"/>
          <w:marRight w:val="0"/>
          <w:marTop w:val="0"/>
          <w:marBottom w:val="0"/>
          <w:divBdr>
            <w:top w:val="none" w:sz="0" w:space="0" w:color="auto"/>
            <w:left w:val="none" w:sz="0" w:space="0" w:color="auto"/>
            <w:bottom w:val="none" w:sz="0" w:space="0" w:color="auto"/>
            <w:right w:val="none" w:sz="0" w:space="0" w:color="auto"/>
          </w:divBdr>
        </w:div>
        <w:div w:id="64691710">
          <w:marLeft w:val="0"/>
          <w:marRight w:val="0"/>
          <w:marTop w:val="0"/>
          <w:marBottom w:val="0"/>
          <w:divBdr>
            <w:top w:val="none" w:sz="0" w:space="0" w:color="auto"/>
            <w:left w:val="none" w:sz="0" w:space="0" w:color="auto"/>
            <w:bottom w:val="none" w:sz="0" w:space="0" w:color="auto"/>
            <w:right w:val="none" w:sz="0" w:space="0" w:color="auto"/>
          </w:divBdr>
        </w:div>
        <w:div w:id="64693813">
          <w:marLeft w:val="0"/>
          <w:marRight w:val="0"/>
          <w:marTop w:val="0"/>
          <w:marBottom w:val="0"/>
          <w:divBdr>
            <w:top w:val="none" w:sz="0" w:space="0" w:color="auto"/>
            <w:left w:val="none" w:sz="0" w:space="0" w:color="auto"/>
            <w:bottom w:val="none" w:sz="0" w:space="0" w:color="auto"/>
            <w:right w:val="none" w:sz="0" w:space="0" w:color="auto"/>
          </w:divBdr>
        </w:div>
        <w:div w:id="94595824">
          <w:marLeft w:val="0"/>
          <w:marRight w:val="0"/>
          <w:marTop w:val="0"/>
          <w:marBottom w:val="0"/>
          <w:divBdr>
            <w:top w:val="none" w:sz="0" w:space="0" w:color="auto"/>
            <w:left w:val="none" w:sz="0" w:space="0" w:color="auto"/>
            <w:bottom w:val="none" w:sz="0" w:space="0" w:color="auto"/>
            <w:right w:val="none" w:sz="0" w:space="0" w:color="auto"/>
          </w:divBdr>
        </w:div>
        <w:div w:id="125243072">
          <w:marLeft w:val="0"/>
          <w:marRight w:val="0"/>
          <w:marTop w:val="0"/>
          <w:marBottom w:val="0"/>
          <w:divBdr>
            <w:top w:val="none" w:sz="0" w:space="0" w:color="auto"/>
            <w:left w:val="none" w:sz="0" w:space="0" w:color="auto"/>
            <w:bottom w:val="none" w:sz="0" w:space="0" w:color="auto"/>
            <w:right w:val="none" w:sz="0" w:space="0" w:color="auto"/>
          </w:divBdr>
        </w:div>
        <w:div w:id="130245842">
          <w:marLeft w:val="0"/>
          <w:marRight w:val="0"/>
          <w:marTop w:val="0"/>
          <w:marBottom w:val="0"/>
          <w:divBdr>
            <w:top w:val="none" w:sz="0" w:space="0" w:color="auto"/>
            <w:left w:val="none" w:sz="0" w:space="0" w:color="auto"/>
            <w:bottom w:val="none" w:sz="0" w:space="0" w:color="auto"/>
            <w:right w:val="none" w:sz="0" w:space="0" w:color="auto"/>
          </w:divBdr>
        </w:div>
        <w:div w:id="146217000">
          <w:marLeft w:val="0"/>
          <w:marRight w:val="0"/>
          <w:marTop w:val="0"/>
          <w:marBottom w:val="0"/>
          <w:divBdr>
            <w:top w:val="none" w:sz="0" w:space="0" w:color="auto"/>
            <w:left w:val="none" w:sz="0" w:space="0" w:color="auto"/>
            <w:bottom w:val="none" w:sz="0" w:space="0" w:color="auto"/>
            <w:right w:val="none" w:sz="0" w:space="0" w:color="auto"/>
          </w:divBdr>
        </w:div>
        <w:div w:id="156846556">
          <w:marLeft w:val="0"/>
          <w:marRight w:val="0"/>
          <w:marTop w:val="0"/>
          <w:marBottom w:val="0"/>
          <w:divBdr>
            <w:top w:val="none" w:sz="0" w:space="0" w:color="auto"/>
            <w:left w:val="none" w:sz="0" w:space="0" w:color="auto"/>
            <w:bottom w:val="none" w:sz="0" w:space="0" w:color="auto"/>
            <w:right w:val="none" w:sz="0" w:space="0" w:color="auto"/>
          </w:divBdr>
        </w:div>
        <w:div w:id="157506096">
          <w:marLeft w:val="0"/>
          <w:marRight w:val="0"/>
          <w:marTop w:val="0"/>
          <w:marBottom w:val="0"/>
          <w:divBdr>
            <w:top w:val="none" w:sz="0" w:space="0" w:color="auto"/>
            <w:left w:val="none" w:sz="0" w:space="0" w:color="auto"/>
            <w:bottom w:val="none" w:sz="0" w:space="0" w:color="auto"/>
            <w:right w:val="none" w:sz="0" w:space="0" w:color="auto"/>
          </w:divBdr>
        </w:div>
        <w:div w:id="157815326">
          <w:marLeft w:val="0"/>
          <w:marRight w:val="0"/>
          <w:marTop w:val="0"/>
          <w:marBottom w:val="0"/>
          <w:divBdr>
            <w:top w:val="none" w:sz="0" w:space="0" w:color="auto"/>
            <w:left w:val="none" w:sz="0" w:space="0" w:color="auto"/>
            <w:bottom w:val="none" w:sz="0" w:space="0" w:color="auto"/>
            <w:right w:val="none" w:sz="0" w:space="0" w:color="auto"/>
          </w:divBdr>
        </w:div>
        <w:div w:id="183402031">
          <w:marLeft w:val="0"/>
          <w:marRight w:val="0"/>
          <w:marTop w:val="0"/>
          <w:marBottom w:val="0"/>
          <w:divBdr>
            <w:top w:val="none" w:sz="0" w:space="0" w:color="auto"/>
            <w:left w:val="none" w:sz="0" w:space="0" w:color="auto"/>
            <w:bottom w:val="none" w:sz="0" w:space="0" w:color="auto"/>
            <w:right w:val="none" w:sz="0" w:space="0" w:color="auto"/>
          </w:divBdr>
        </w:div>
        <w:div w:id="228999929">
          <w:marLeft w:val="0"/>
          <w:marRight w:val="0"/>
          <w:marTop w:val="0"/>
          <w:marBottom w:val="0"/>
          <w:divBdr>
            <w:top w:val="none" w:sz="0" w:space="0" w:color="auto"/>
            <w:left w:val="none" w:sz="0" w:space="0" w:color="auto"/>
            <w:bottom w:val="none" w:sz="0" w:space="0" w:color="auto"/>
            <w:right w:val="none" w:sz="0" w:space="0" w:color="auto"/>
          </w:divBdr>
        </w:div>
        <w:div w:id="232392188">
          <w:marLeft w:val="0"/>
          <w:marRight w:val="0"/>
          <w:marTop w:val="0"/>
          <w:marBottom w:val="0"/>
          <w:divBdr>
            <w:top w:val="none" w:sz="0" w:space="0" w:color="auto"/>
            <w:left w:val="none" w:sz="0" w:space="0" w:color="auto"/>
            <w:bottom w:val="none" w:sz="0" w:space="0" w:color="auto"/>
            <w:right w:val="none" w:sz="0" w:space="0" w:color="auto"/>
          </w:divBdr>
        </w:div>
        <w:div w:id="236983374">
          <w:marLeft w:val="0"/>
          <w:marRight w:val="0"/>
          <w:marTop w:val="0"/>
          <w:marBottom w:val="0"/>
          <w:divBdr>
            <w:top w:val="none" w:sz="0" w:space="0" w:color="auto"/>
            <w:left w:val="none" w:sz="0" w:space="0" w:color="auto"/>
            <w:bottom w:val="none" w:sz="0" w:space="0" w:color="auto"/>
            <w:right w:val="none" w:sz="0" w:space="0" w:color="auto"/>
          </w:divBdr>
        </w:div>
        <w:div w:id="246115119">
          <w:marLeft w:val="0"/>
          <w:marRight w:val="0"/>
          <w:marTop w:val="0"/>
          <w:marBottom w:val="0"/>
          <w:divBdr>
            <w:top w:val="none" w:sz="0" w:space="0" w:color="auto"/>
            <w:left w:val="none" w:sz="0" w:space="0" w:color="auto"/>
            <w:bottom w:val="none" w:sz="0" w:space="0" w:color="auto"/>
            <w:right w:val="none" w:sz="0" w:space="0" w:color="auto"/>
          </w:divBdr>
        </w:div>
        <w:div w:id="246308988">
          <w:marLeft w:val="0"/>
          <w:marRight w:val="0"/>
          <w:marTop w:val="0"/>
          <w:marBottom w:val="0"/>
          <w:divBdr>
            <w:top w:val="none" w:sz="0" w:space="0" w:color="auto"/>
            <w:left w:val="none" w:sz="0" w:space="0" w:color="auto"/>
            <w:bottom w:val="none" w:sz="0" w:space="0" w:color="auto"/>
            <w:right w:val="none" w:sz="0" w:space="0" w:color="auto"/>
          </w:divBdr>
        </w:div>
        <w:div w:id="247929536">
          <w:marLeft w:val="0"/>
          <w:marRight w:val="0"/>
          <w:marTop w:val="0"/>
          <w:marBottom w:val="0"/>
          <w:divBdr>
            <w:top w:val="none" w:sz="0" w:space="0" w:color="auto"/>
            <w:left w:val="none" w:sz="0" w:space="0" w:color="auto"/>
            <w:bottom w:val="none" w:sz="0" w:space="0" w:color="auto"/>
            <w:right w:val="none" w:sz="0" w:space="0" w:color="auto"/>
          </w:divBdr>
        </w:div>
        <w:div w:id="251090628">
          <w:marLeft w:val="0"/>
          <w:marRight w:val="0"/>
          <w:marTop w:val="0"/>
          <w:marBottom w:val="0"/>
          <w:divBdr>
            <w:top w:val="none" w:sz="0" w:space="0" w:color="auto"/>
            <w:left w:val="none" w:sz="0" w:space="0" w:color="auto"/>
            <w:bottom w:val="none" w:sz="0" w:space="0" w:color="auto"/>
            <w:right w:val="none" w:sz="0" w:space="0" w:color="auto"/>
          </w:divBdr>
        </w:div>
        <w:div w:id="260601416">
          <w:marLeft w:val="0"/>
          <w:marRight w:val="0"/>
          <w:marTop w:val="0"/>
          <w:marBottom w:val="0"/>
          <w:divBdr>
            <w:top w:val="none" w:sz="0" w:space="0" w:color="auto"/>
            <w:left w:val="none" w:sz="0" w:space="0" w:color="auto"/>
            <w:bottom w:val="none" w:sz="0" w:space="0" w:color="auto"/>
            <w:right w:val="none" w:sz="0" w:space="0" w:color="auto"/>
          </w:divBdr>
        </w:div>
        <w:div w:id="264120726">
          <w:marLeft w:val="0"/>
          <w:marRight w:val="0"/>
          <w:marTop w:val="0"/>
          <w:marBottom w:val="0"/>
          <w:divBdr>
            <w:top w:val="none" w:sz="0" w:space="0" w:color="auto"/>
            <w:left w:val="none" w:sz="0" w:space="0" w:color="auto"/>
            <w:bottom w:val="none" w:sz="0" w:space="0" w:color="auto"/>
            <w:right w:val="none" w:sz="0" w:space="0" w:color="auto"/>
          </w:divBdr>
        </w:div>
        <w:div w:id="297497217">
          <w:marLeft w:val="0"/>
          <w:marRight w:val="0"/>
          <w:marTop w:val="0"/>
          <w:marBottom w:val="0"/>
          <w:divBdr>
            <w:top w:val="none" w:sz="0" w:space="0" w:color="auto"/>
            <w:left w:val="none" w:sz="0" w:space="0" w:color="auto"/>
            <w:bottom w:val="none" w:sz="0" w:space="0" w:color="auto"/>
            <w:right w:val="none" w:sz="0" w:space="0" w:color="auto"/>
          </w:divBdr>
        </w:div>
        <w:div w:id="308094349">
          <w:marLeft w:val="0"/>
          <w:marRight w:val="0"/>
          <w:marTop w:val="0"/>
          <w:marBottom w:val="0"/>
          <w:divBdr>
            <w:top w:val="none" w:sz="0" w:space="0" w:color="auto"/>
            <w:left w:val="none" w:sz="0" w:space="0" w:color="auto"/>
            <w:bottom w:val="none" w:sz="0" w:space="0" w:color="auto"/>
            <w:right w:val="none" w:sz="0" w:space="0" w:color="auto"/>
          </w:divBdr>
        </w:div>
        <w:div w:id="318578145">
          <w:marLeft w:val="0"/>
          <w:marRight w:val="0"/>
          <w:marTop w:val="0"/>
          <w:marBottom w:val="0"/>
          <w:divBdr>
            <w:top w:val="none" w:sz="0" w:space="0" w:color="auto"/>
            <w:left w:val="none" w:sz="0" w:space="0" w:color="auto"/>
            <w:bottom w:val="none" w:sz="0" w:space="0" w:color="auto"/>
            <w:right w:val="none" w:sz="0" w:space="0" w:color="auto"/>
          </w:divBdr>
        </w:div>
        <w:div w:id="345984199">
          <w:marLeft w:val="0"/>
          <w:marRight w:val="0"/>
          <w:marTop w:val="0"/>
          <w:marBottom w:val="0"/>
          <w:divBdr>
            <w:top w:val="none" w:sz="0" w:space="0" w:color="auto"/>
            <w:left w:val="none" w:sz="0" w:space="0" w:color="auto"/>
            <w:bottom w:val="none" w:sz="0" w:space="0" w:color="auto"/>
            <w:right w:val="none" w:sz="0" w:space="0" w:color="auto"/>
          </w:divBdr>
        </w:div>
        <w:div w:id="350185478">
          <w:marLeft w:val="0"/>
          <w:marRight w:val="0"/>
          <w:marTop w:val="0"/>
          <w:marBottom w:val="0"/>
          <w:divBdr>
            <w:top w:val="none" w:sz="0" w:space="0" w:color="auto"/>
            <w:left w:val="none" w:sz="0" w:space="0" w:color="auto"/>
            <w:bottom w:val="none" w:sz="0" w:space="0" w:color="auto"/>
            <w:right w:val="none" w:sz="0" w:space="0" w:color="auto"/>
          </w:divBdr>
        </w:div>
        <w:div w:id="358169424">
          <w:marLeft w:val="0"/>
          <w:marRight w:val="0"/>
          <w:marTop w:val="0"/>
          <w:marBottom w:val="0"/>
          <w:divBdr>
            <w:top w:val="none" w:sz="0" w:space="0" w:color="auto"/>
            <w:left w:val="none" w:sz="0" w:space="0" w:color="auto"/>
            <w:bottom w:val="none" w:sz="0" w:space="0" w:color="auto"/>
            <w:right w:val="none" w:sz="0" w:space="0" w:color="auto"/>
          </w:divBdr>
        </w:div>
        <w:div w:id="358818567">
          <w:marLeft w:val="0"/>
          <w:marRight w:val="0"/>
          <w:marTop w:val="0"/>
          <w:marBottom w:val="0"/>
          <w:divBdr>
            <w:top w:val="none" w:sz="0" w:space="0" w:color="auto"/>
            <w:left w:val="none" w:sz="0" w:space="0" w:color="auto"/>
            <w:bottom w:val="none" w:sz="0" w:space="0" w:color="auto"/>
            <w:right w:val="none" w:sz="0" w:space="0" w:color="auto"/>
          </w:divBdr>
        </w:div>
        <w:div w:id="361174343">
          <w:marLeft w:val="0"/>
          <w:marRight w:val="0"/>
          <w:marTop w:val="0"/>
          <w:marBottom w:val="0"/>
          <w:divBdr>
            <w:top w:val="none" w:sz="0" w:space="0" w:color="auto"/>
            <w:left w:val="none" w:sz="0" w:space="0" w:color="auto"/>
            <w:bottom w:val="none" w:sz="0" w:space="0" w:color="auto"/>
            <w:right w:val="none" w:sz="0" w:space="0" w:color="auto"/>
          </w:divBdr>
        </w:div>
        <w:div w:id="363210439">
          <w:marLeft w:val="0"/>
          <w:marRight w:val="0"/>
          <w:marTop w:val="0"/>
          <w:marBottom w:val="0"/>
          <w:divBdr>
            <w:top w:val="none" w:sz="0" w:space="0" w:color="auto"/>
            <w:left w:val="none" w:sz="0" w:space="0" w:color="auto"/>
            <w:bottom w:val="none" w:sz="0" w:space="0" w:color="auto"/>
            <w:right w:val="none" w:sz="0" w:space="0" w:color="auto"/>
          </w:divBdr>
        </w:div>
        <w:div w:id="369231480">
          <w:marLeft w:val="0"/>
          <w:marRight w:val="0"/>
          <w:marTop w:val="0"/>
          <w:marBottom w:val="0"/>
          <w:divBdr>
            <w:top w:val="none" w:sz="0" w:space="0" w:color="auto"/>
            <w:left w:val="none" w:sz="0" w:space="0" w:color="auto"/>
            <w:bottom w:val="none" w:sz="0" w:space="0" w:color="auto"/>
            <w:right w:val="none" w:sz="0" w:space="0" w:color="auto"/>
          </w:divBdr>
        </w:div>
        <w:div w:id="394014533">
          <w:marLeft w:val="0"/>
          <w:marRight w:val="0"/>
          <w:marTop w:val="0"/>
          <w:marBottom w:val="0"/>
          <w:divBdr>
            <w:top w:val="none" w:sz="0" w:space="0" w:color="auto"/>
            <w:left w:val="none" w:sz="0" w:space="0" w:color="auto"/>
            <w:bottom w:val="none" w:sz="0" w:space="0" w:color="auto"/>
            <w:right w:val="none" w:sz="0" w:space="0" w:color="auto"/>
          </w:divBdr>
        </w:div>
        <w:div w:id="415632819">
          <w:marLeft w:val="0"/>
          <w:marRight w:val="0"/>
          <w:marTop w:val="0"/>
          <w:marBottom w:val="0"/>
          <w:divBdr>
            <w:top w:val="none" w:sz="0" w:space="0" w:color="auto"/>
            <w:left w:val="none" w:sz="0" w:space="0" w:color="auto"/>
            <w:bottom w:val="none" w:sz="0" w:space="0" w:color="auto"/>
            <w:right w:val="none" w:sz="0" w:space="0" w:color="auto"/>
          </w:divBdr>
        </w:div>
        <w:div w:id="419570424">
          <w:marLeft w:val="0"/>
          <w:marRight w:val="0"/>
          <w:marTop w:val="0"/>
          <w:marBottom w:val="0"/>
          <w:divBdr>
            <w:top w:val="none" w:sz="0" w:space="0" w:color="auto"/>
            <w:left w:val="none" w:sz="0" w:space="0" w:color="auto"/>
            <w:bottom w:val="none" w:sz="0" w:space="0" w:color="auto"/>
            <w:right w:val="none" w:sz="0" w:space="0" w:color="auto"/>
          </w:divBdr>
        </w:div>
        <w:div w:id="421991271">
          <w:marLeft w:val="0"/>
          <w:marRight w:val="0"/>
          <w:marTop w:val="0"/>
          <w:marBottom w:val="0"/>
          <w:divBdr>
            <w:top w:val="none" w:sz="0" w:space="0" w:color="auto"/>
            <w:left w:val="none" w:sz="0" w:space="0" w:color="auto"/>
            <w:bottom w:val="none" w:sz="0" w:space="0" w:color="auto"/>
            <w:right w:val="none" w:sz="0" w:space="0" w:color="auto"/>
          </w:divBdr>
        </w:div>
        <w:div w:id="425807290">
          <w:marLeft w:val="0"/>
          <w:marRight w:val="0"/>
          <w:marTop w:val="0"/>
          <w:marBottom w:val="0"/>
          <w:divBdr>
            <w:top w:val="none" w:sz="0" w:space="0" w:color="auto"/>
            <w:left w:val="none" w:sz="0" w:space="0" w:color="auto"/>
            <w:bottom w:val="none" w:sz="0" w:space="0" w:color="auto"/>
            <w:right w:val="none" w:sz="0" w:space="0" w:color="auto"/>
          </w:divBdr>
        </w:div>
        <w:div w:id="427391355">
          <w:marLeft w:val="0"/>
          <w:marRight w:val="0"/>
          <w:marTop w:val="0"/>
          <w:marBottom w:val="0"/>
          <w:divBdr>
            <w:top w:val="none" w:sz="0" w:space="0" w:color="auto"/>
            <w:left w:val="none" w:sz="0" w:space="0" w:color="auto"/>
            <w:bottom w:val="none" w:sz="0" w:space="0" w:color="auto"/>
            <w:right w:val="none" w:sz="0" w:space="0" w:color="auto"/>
          </w:divBdr>
        </w:div>
        <w:div w:id="432943978">
          <w:marLeft w:val="0"/>
          <w:marRight w:val="0"/>
          <w:marTop w:val="0"/>
          <w:marBottom w:val="0"/>
          <w:divBdr>
            <w:top w:val="none" w:sz="0" w:space="0" w:color="auto"/>
            <w:left w:val="none" w:sz="0" w:space="0" w:color="auto"/>
            <w:bottom w:val="none" w:sz="0" w:space="0" w:color="auto"/>
            <w:right w:val="none" w:sz="0" w:space="0" w:color="auto"/>
          </w:divBdr>
        </w:div>
        <w:div w:id="440221601">
          <w:marLeft w:val="0"/>
          <w:marRight w:val="0"/>
          <w:marTop w:val="0"/>
          <w:marBottom w:val="0"/>
          <w:divBdr>
            <w:top w:val="none" w:sz="0" w:space="0" w:color="auto"/>
            <w:left w:val="none" w:sz="0" w:space="0" w:color="auto"/>
            <w:bottom w:val="none" w:sz="0" w:space="0" w:color="auto"/>
            <w:right w:val="none" w:sz="0" w:space="0" w:color="auto"/>
          </w:divBdr>
        </w:div>
        <w:div w:id="440614806">
          <w:marLeft w:val="0"/>
          <w:marRight w:val="0"/>
          <w:marTop w:val="0"/>
          <w:marBottom w:val="0"/>
          <w:divBdr>
            <w:top w:val="none" w:sz="0" w:space="0" w:color="auto"/>
            <w:left w:val="none" w:sz="0" w:space="0" w:color="auto"/>
            <w:bottom w:val="none" w:sz="0" w:space="0" w:color="auto"/>
            <w:right w:val="none" w:sz="0" w:space="0" w:color="auto"/>
          </w:divBdr>
        </w:div>
        <w:div w:id="461046086">
          <w:marLeft w:val="0"/>
          <w:marRight w:val="0"/>
          <w:marTop w:val="0"/>
          <w:marBottom w:val="0"/>
          <w:divBdr>
            <w:top w:val="none" w:sz="0" w:space="0" w:color="auto"/>
            <w:left w:val="none" w:sz="0" w:space="0" w:color="auto"/>
            <w:bottom w:val="none" w:sz="0" w:space="0" w:color="auto"/>
            <w:right w:val="none" w:sz="0" w:space="0" w:color="auto"/>
          </w:divBdr>
        </w:div>
        <w:div w:id="471602367">
          <w:marLeft w:val="0"/>
          <w:marRight w:val="0"/>
          <w:marTop w:val="0"/>
          <w:marBottom w:val="0"/>
          <w:divBdr>
            <w:top w:val="none" w:sz="0" w:space="0" w:color="auto"/>
            <w:left w:val="none" w:sz="0" w:space="0" w:color="auto"/>
            <w:bottom w:val="none" w:sz="0" w:space="0" w:color="auto"/>
            <w:right w:val="none" w:sz="0" w:space="0" w:color="auto"/>
          </w:divBdr>
        </w:div>
        <w:div w:id="472984179">
          <w:marLeft w:val="0"/>
          <w:marRight w:val="0"/>
          <w:marTop w:val="0"/>
          <w:marBottom w:val="0"/>
          <w:divBdr>
            <w:top w:val="none" w:sz="0" w:space="0" w:color="auto"/>
            <w:left w:val="none" w:sz="0" w:space="0" w:color="auto"/>
            <w:bottom w:val="none" w:sz="0" w:space="0" w:color="auto"/>
            <w:right w:val="none" w:sz="0" w:space="0" w:color="auto"/>
          </w:divBdr>
        </w:div>
        <w:div w:id="504904183">
          <w:marLeft w:val="0"/>
          <w:marRight w:val="0"/>
          <w:marTop w:val="0"/>
          <w:marBottom w:val="0"/>
          <w:divBdr>
            <w:top w:val="none" w:sz="0" w:space="0" w:color="auto"/>
            <w:left w:val="none" w:sz="0" w:space="0" w:color="auto"/>
            <w:bottom w:val="none" w:sz="0" w:space="0" w:color="auto"/>
            <w:right w:val="none" w:sz="0" w:space="0" w:color="auto"/>
          </w:divBdr>
        </w:div>
        <w:div w:id="520824851">
          <w:marLeft w:val="0"/>
          <w:marRight w:val="0"/>
          <w:marTop w:val="0"/>
          <w:marBottom w:val="0"/>
          <w:divBdr>
            <w:top w:val="none" w:sz="0" w:space="0" w:color="auto"/>
            <w:left w:val="none" w:sz="0" w:space="0" w:color="auto"/>
            <w:bottom w:val="none" w:sz="0" w:space="0" w:color="auto"/>
            <w:right w:val="none" w:sz="0" w:space="0" w:color="auto"/>
          </w:divBdr>
        </w:div>
        <w:div w:id="551576415">
          <w:marLeft w:val="0"/>
          <w:marRight w:val="0"/>
          <w:marTop w:val="0"/>
          <w:marBottom w:val="0"/>
          <w:divBdr>
            <w:top w:val="none" w:sz="0" w:space="0" w:color="auto"/>
            <w:left w:val="none" w:sz="0" w:space="0" w:color="auto"/>
            <w:bottom w:val="none" w:sz="0" w:space="0" w:color="auto"/>
            <w:right w:val="none" w:sz="0" w:space="0" w:color="auto"/>
          </w:divBdr>
        </w:div>
        <w:div w:id="579405703">
          <w:marLeft w:val="0"/>
          <w:marRight w:val="0"/>
          <w:marTop w:val="0"/>
          <w:marBottom w:val="0"/>
          <w:divBdr>
            <w:top w:val="none" w:sz="0" w:space="0" w:color="auto"/>
            <w:left w:val="none" w:sz="0" w:space="0" w:color="auto"/>
            <w:bottom w:val="none" w:sz="0" w:space="0" w:color="auto"/>
            <w:right w:val="none" w:sz="0" w:space="0" w:color="auto"/>
          </w:divBdr>
        </w:div>
        <w:div w:id="592127595">
          <w:marLeft w:val="0"/>
          <w:marRight w:val="0"/>
          <w:marTop w:val="0"/>
          <w:marBottom w:val="0"/>
          <w:divBdr>
            <w:top w:val="none" w:sz="0" w:space="0" w:color="auto"/>
            <w:left w:val="none" w:sz="0" w:space="0" w:color="auto"/>
            <w:bottom w:val="none" w:sz="0" w:space="0" w:color="auto"/>
            <w:right w:val="none" w:sz="0" w:space="0" w:color="auto"/>
          </w:divBdr>
        </w:div>
        <w:div w:id="640499640">
          <w:marLeft w:val="0"/>
          <w:marRight w:val="0"/>
          <w:marTop w:val="0"/>
          <w:marBottom w:val="0"/>
          <w:divBdr>
            <w:top w:val="none" w:sz="0" w:space="0" w:color="auto"/>
            <w:left w:val="none" w:sz="0" w:space="0" w:color="auto"/>
            <w:bottom w:val="none" w:sz="0" w:space="0" w:color="auto"/>
            <w:right w:val="none" w:sz="0" w:space="0" w:color="auto"/>
          </w:divBdr>
        </w:div>
        <w:div w:id="640697266">
          <w:marLeft w:val="0"/>
          <w:marRight w:val="0"/>
          <w:marTop w:val="0"/>
          <w:marBottom w:val="0"/>
          <w:divBdr>
            <w:top w:val="none" w:sz="0" w:space="0" w:color="auto"/>
            <w:left w:val="none" w:sz="0" w:space="0" w:color="auto"/>
            <w:bottom w:val="none" w:sz="0" w:space="0" w:color="auto"/>
            <w:right w:val="none" w:sz="0" w:space="0" w:color="auto"/>
          </w:divBdr>
        </w:div>
        <w:div w:id="665743697">
          <w:marLeft w:val="0"/>
          <w:marRight w:val="0"/>
          <w:marTop w:val="0"/>
          <w:marBottom w:val="0"/>
          <w:divBdr>
            <w:top w:val="none" w:sz="0" w:space="0" w:color="auto"/>
            <w:left w:val="none" w:sz="0" w:space="0" w:color="auto"/>
            <w:bottom w:val="none" w:sz="0" w:space="0" w:color="auto"/>
            <w:right w:val="none" w:sz="0" w:space="0" w:color="auto"/>
          </w:divBdr>
        </w:div>
        <w:div w:id="688995551">
          <w:marLeft w:val="0"/>
          <w:marRight w:val="0"/>
          <w:marTop w:val="0"/>
          <w:marBottom w:val="0"/>
          <w:divBdr>
            <w:top w:val="none" w:sz="0" w:space="0" w:color="auto"/>
            <w:left w:val="none" w:sz="0" w:space="0" w:color="auto"/>
            <w:bottom w:val="none" w:sz="0" w:space="0" w:color="auto"/>
            <w:right w:val="none" w:sz="0" w:space="0" w:color="auto"/>
          </w:divBdr>
        </w:div>
        <w:div w:id="698092168">
          <w:marLeft w:val="0"/>
          <w:marRight w:val="0"/>
          <w:marTop w:val="0"/>
          <w:marBottom w:val="0"/>
          <w:divBdr>
            <w:top w:val="none" w:sz="0" w:space="0" w:color="auto"/>
            <w:left w:val="none" w:sz="0" w:space="0" w:color="auto"/>
            <w:bottom w:val="none" w:sz="0" w:space="0" w:color="auto"/>
            <w:right w:val="none" w:sz="0" w:space="0" w:color="auto"/>
          </w:divBdr>
        </w:div>
        <w:div w:id="707150228">
          <w:marLeft w:val="0"/>
          <w:marRight w:val="0"/>
          <w:marTop w:val="0"/>
          <w:marBottom w:val="0"/>
          <w:divBdr>
            <w:top w:val="none" w:sz="0" w:space="0" w:color="auto"/>
            <w:left w:val="none" w:sz="0" w:space="0" w:color="auto"/>
            <w:bottom w:val="none" w:sz="0" w:space="0" w:color="auto"/>
            <w:right w:val="none" w:sz="0" w:space="0" w:color="auto"/>
          </w:divBdr>
        </w:div>
        <w:div w:id="707527862">
          <w:marLeft w:val="0"/>
          <w:marRight w:val="0"/>
          <w:marTop w:val="0"/>
          <w:marBottom w:val="0"/>
          <w:divBdr>
            <w:top w:val="none" w:sz="0" w:space="0" w:color="auto"/>
            <w:left w:val="none" w:sz="0" w:space="0" w:color="auto"/>
            <w:bottom w:val="none" w:sz="0" w:space="0" w:color="auto"/>
            <w:right w:val="none" w:sz="0" w:space="0" w:color="auto"/>
          </w:divBdr>
        </w:div>
        <w:div w:id="721057993">
          <w:marLeft w:val="0"/>
          <w:marRight w:val="0"/>
          <w:marTop w:val="0"/>
          <w:marBottom w:val="0"/>
          <w:divBdr>
            <w:top w:val="none" w:sz="0" w:space="0" w:color="auto"/>
            <w:left w:val="none" w:sz="0" w:space="0" w:color="auto"/>
            <w:bottom w:val="none" w:sz="0" w:space="0" w:color="auto"/>
            <w:right w:val="none" w:sz="0" w:space="0" w:color="auto"/>
          </w:divBdr>
        </w:div>
        <w:div w:id="735858994">
          <w:marLeft w:val="0"/>
          <w:marRight w:val="0"/>
          <w:marTop w:val="0"/>
          <w:marBottom w:val="0"/>
          <w:divBdr>
            <w:top w:val="none" w:sz="0" w:space="0" w:color="auto"/>
            <w:left w:val="none" w:sz="0" w:space="0" w:color="auto"/>
            <w:bottom w:val="none" w:sz="0" w:space="0" w:color="auto"/>
            <w:right w:val="none" w:sz="0" w:space="0" w:color="auto"/>
          </w:divBdr>
        </w:div>
        <w:div w:id="748888315">
          <w:marLeft w:val="0"/>
          <w:marRight w:val="0"/>
          <w:marTop w:val="0"/>
          <w:marBottom w:val="0"/>
          <w:divBdr>
            <w:top w:val="none" w:sz="0" w:space="0" w:color="auto"/>
            <w:left w:val="none" w:sz="0" w:space="0" w:color="auto"/>
            <w:bottom w:val="none" w:sz="0" w:space="0" w:color="auto"/>
            <w:right w:val="none" w:sz="0" w:space="0" w:color="auto"/>
          </w:divBdr>
        </w:div>
        <w:div w:id="771366623">
          <w:marLeft w:val="0"/>
          <w:marRight w:val="0"/>
          <w:marTop w:val="0"/>
          <w:marBottom w:val="0"/>
          <w:divBdr>
            <w:top w:val="none" w:sz="0" w:space="0" w:color="auto"/>
            <w:left w:val="none" w:sz="0" w:space="0" w:color="auto"/>
            <w:bottom w:val="none" w:sz="0" w:space="0" w:color="auto"/>
            <w:right w:val="none" w:sz="0" w:space="0" w:color="auto"/>
          </w:divBdr>
        </w:div>
        <w:div w:id="783839743">
          <w:marLeft w:val="0"/>
          <w:marRight w:val="0"/>
          <w:marTop w:val="0"/>
          <w:marBottom w:val="0"/>
          <w:divBdr>
            <w:top w:val="none" w:sz="0" w:space="0" w:color="auto"/>
            <w:left w:val="none" w:sz="0" w:space="0" w:color="auto"/>
            <w:bottom w:val="none" w:sz="0" w:space="0" w:color="auto"/>
            <w:right w:val="none" w:sz="0" w:space="0" w:color="auto"/>
          </w:divBdr>
        </w:div>
        <w:div w:id="801190489">
          <w:marLeft w:val="0"/>
          <w:marRight w:val="0"/>
          <w:marTop w:val="0"/>
          <w:marBottom w:val="0"/>
          <w:divBdr>
            <w:top w:val="none" w:sz="0" w:space="0" w:color="auto"/>
            <w:left w:val="none" w:sz="0" w:space="0" w:color="auto"/>
            <w:bottom w:val="none" w:sz="0" w:space="0" w:color="auto"/>
            <w:right w:val="none" w:sz="0" w:space="0" w:color="auto"/>
          </w:divBdr>
        </w:div>
        <w:div w:id="802888633">
          <w:marLeft w:val="0"/>
          <w:marRight w:val="0"/>
          <w:marTop w:val="0"/>
          <w:marBottom w:val="0"/>
          <w:divBdr>
            <w:top w:val="none" w:sz="0" w:space="0" w:color="auto"/>
            <w:left w:val="none" w:sz="0" w:space="0" w:color="auto"/>
            <w:bottom w:val="none" w:sz="0" w:space="0" w:color="auto"/>
            <w:right w:val="none" w:sz="0" w:space="0" w:color="auto"/>
          </w:divBdr>
        </w:div>
        <w:div w:id="818959942">
          <w:marLeft w:val="0"/>
          <w:marRight w:val="0"/>
          <w:marTop w:val="0"/>
          <w:marBottom w:val="0"/>
          <w:divBdr>
            <w:top w:val="none" w:sz="0" w:space="0" w:color="auto"/>
            <w:left w:val="none" w:sz="0" w:space="0" w:color="auto"/>
            <w:bottom w:val="none" w:sz="0" w:space="0" w:color="auto"/>
            <w:right w:val="none" w:sz="0" w:space="0" w:color="auto"/>
          </w:divBdr>
        </w:div>
        <w:div w:id="874469374">
          <w:marLeft w:val="0"/>
          <w:marRight w:val="0"/>
          <w:marTop w:val="0"/>
          <w:marBottom w:val="0"/>
          <w:divBdr>
            <w:top w:val="none" w:sz="0" w:space="0" w:color="auto"/>
            <w:left w:val="none" w:sz="0" w:space="0" w:color="auto"/>
            <w:bottom w:val="none" w:sz="0" w:space="0" w:color="auto"/>
            <w:right w:val="none" w:sz="0" w:space="0" w:color="auto"/>
          </w:divBdr>
        </w:div>
        <w:div w:id="877281586">
          <w:marLeft w:val="0"/>
          <w:marRight w:val="0"/>
          <w:marTop w:val="0"/>
          <w:marBottom w:val="0"/>
          <w:divBdr>
            <w:top w:val="none" w:sz="0" w:space="0" w:color="auto"/>
            <w:left w:val="none" w:sz="0" w:space="0" w:color="auto"/>
            <w:bottom w:val="none" w:sz="0" w:space="0" w:color="auto"/>
            <w:right w:val="none" w:sz="0" w:space="0" w:color="auto"/>
          </w:divBdr>
        </w:div>
        <w:div w:id="878204360">
          <w:marLeft w:val="0"/>
          <w:marRight w:val="0"/>
          <w:marTop w:val="0"/>
          <w:marBottom w:val="0"/>
          <w:divBdr>
            <w:top w:val="none" w:sz="0" w:space="0" w:color="auto"/>
            <w:left w:val="none" w:sz="0" w:space="0" w:color="auto"/>
            <w:bottom w:val="none" w:sz="0" w:space="0" w:color="auto"/>
            <w:right w:val="none" w:sz="0" w:space="0" w:color="auto"/>
          </w:divBdr>
        </w:div>
        <w:div w:id="886835113">
          <w:marLeft w:val="0"/>
          <w:marRight w:val="0"/>
          <w:marTop w:val="0"/>
          <w:marBottom w:val="0"/>
          <w:divBdr>
            <w:top w:val="none" w:sz="0" w:space="0" w:color="auto"/>
            <w:left w:val="none" w:sz="0" w:space="0" w:color="auto"/>
            <w:bottom w:val="none" w:sz="0" w:space="0" w:color="auto"/>
            <w:right w:val="none" w:sz="0" w:space="0" w:color="auto"/>
          </w:divBdr>
        </w:div>
        <w:div w:id="887955094">
          <w:marLeft w:val="0"/>
          <w:marRight w:val="0"/>
          <w:marTop w:val="0"/>
          <w:marBottom w:val="0"/>
          <w:divBdr>
            <w:top w:val="none" w:sz="0" w:space="0" w:color="auto"/>
            <w:left w:val="none" w:sz="0" w:space="0" w:color="auto"/>
            <w:bottom w:val="none" w:sz="0" w:space="0" w:color="auto"/>
            <w:right w:val="none" w:sz="0" w:space="0" w:color="auto"/>
          </w:divBdr>
        </w:div>
        <w:div w:id="898446051">
          <w:marLeft w:val="0"/>
          <w:marRight w:val="0"/>
          <w:marTop w:val="0"/>
          <w:marBottom w:val="0"/>
          <w:divBdr>
            <w:top w:val="none" w:sz="0" w:space="0" w:color="auto"/>
            <w:left w:val="none" w:sz="0" w:space="0" w:color="auto"/>
            <w:bottom w:val="none" w:sz="0" w:space="0" w:color="auto"/>
            <w:right w:val="none" w:sz="0" w:space="0" w:color="auto"/>
          </w:divBdr>
        </w:div>
        <w:div w:id="901909709">
          <w:marLeft w:val="0"/>
          <w:marRight w:val="0"/>
          <w:marTop w:val="0"/>
          <w:marBottom w:val="0"/>
          <w:divBdr>
            <w:top w:val="none" w:sz="0" w:space="0" w:color="auto"/>
            <w:left w:val="none" w:sz="0" w:space="0" w:color="auto"/>
            <w:bottom w:val="none" w:sz="0" w:space="0" w:color="auto"/>
            <w:right w:val="none" w:sz="0" w:space="0" w:color="auto"/>
          </w:divBdr>
        </w:div>
        <w:div w:id="907495144">
          <w:marLeft w:val="0"/>
          <w:marRight w:val="0"/>
          <w:marTop w:val="0"/>
          <w:marBottom w:val="0"/>
          <w:divBdr>
            <w:top w:val="none" w:sz="0" w:space="0" w:color="auto"/>
            <w:left w:val="none" w:sz="0" w:space="0" w:color="auto"/>
            <w:bottom w:val="none" w:sz="0" w:space="0" w:color="auto"/>
            <w:right w:val="none" w:sz="0" w:space="0" w:color="auto"/>
          </w:divBdr>
        </w:div>
        <w:div w:id="927890092">
          <w:marLeft w:val="0"/>
          <w:marRight w:val="0"/>
          <w:marTop w:val="0"/>
          <w:marBottom w:val="0"/>
          <w:divBdr>
            <w:top w:val="none" w:sz="0" w:space="0" w:color="auto"/>
            <w:left w:val="none" w:sz="0" w:space="0" w:color="auto"/>
            <w:bottom w:val="none" w:sz="0" w:space="0" w:color="auto"/>
            <w:right w:val="none" w:sz="0" w:space="0" w:color="auto"/>
          </w:divBdr>
        </w:div>
        <w:div w:id="941451193">
          <w:marLeft w:val="0"/>
          <w:marRight w:val="0"/>
          <w:marTop w:val="0"/>
          <w:marBottom w:val="0"/>
          <w:divBdr>
            <w:top w:val="none" w:sz="0" w:space="0" w:color="auto"/>
            <w:left w:val="none" w:sz="0" w:space="0" w:color="auto"/>
            <w:bottom w:val="none" w:sz="0" w:space="0" w:color="auto"/>
            <w:right w:val="none" w:sz="0" w:space="0" w:color="auto"/>
          </w:divBdr>
        </w:div>
        <w:div w:id="947467977">
          <w:marLeft w:val="0"/>
          <w:marRight w:val="0"/>
          <w:marTop w:val="0"/>
          <w:marBottom w:val="0"/>
          <w:divBdr>
            <w:top w:val="none" w:sz="0" w:space="0" w:color="auto"/>
            <w:left w:val="none" w:sz="0" w:space="0" w:color="auto"/>
            <w:bottom w:val="none" w:sz="0" w:space="0" w:color="auto"/>
            <w:right w:val="none" w:sz="0" w:space="0" w:color="auto"/>
          </w:divBdr>
        </w:div>
        <w:div w:id="960183085">
          <w:marLeft w:val="0"/>
          <w:marRight w:val="0"/>
          <w:marTop w:val="0"/>
          <w:marBottom w:val="0"/>
          <w:divBdr>
            <w:top w:val="none" w:sz="0" w:space="0" w:color="auto"/>
            <w:left w:val="none" w:sz="0" w:space="0" w:color="auto"/>
            <w:bottom w:val="none" w:sz="0" w:space="0" w:color="auto"/>
            <w:right w:val="none" w:sz="0" w:space="0" w:color="auto"/>
          </w:divBdr>
        </w:div>
        <w:div w:id="992370955">
          <w:marLeft w:val="0"/>
          <w:marRight w:val="0"/>
          <w:marTop w:val="0"/>
          <w:marBottom w:val="0"/>
          <w:divBdr>
            <w:top w:val="none" w:sz="0" w:space="0" w:color="auto"/>
            <w:left w:val="none" w:sz="0" w:space="0" w:color="auto"/>
            <w:bottom w:val="none" w:sz="0" w:space="0" w:color="auto"/>
            <w:right w:val="none" w:sz="0" w:space="0" w:color="auto"/>
          </w:divBdr>
        </w:div>
        <w:div w:id="1010257039">
          <w:marLeft w:val="0"/>
          <w:marRight w:val="0"/>
          <w:marTop w:val="0"/>
          <w:marBottom w:val="0"/>
          <w:divBdr>
            <w:top w:val="none" w:sz="0" w:space="0" w:color="auto"/>
            <w:left w:val="none" w:sz="0" w:space="0" w:color="auto"/>
            <w:bottom w:val="none" w:sz="0" w:space="0" w:color="auto"/>
            <w:right w:val="none" w:sz="0" w:space="0" w:color="auto"/>
          </w:divBdr>
        </w:div>
        <w:div w:id="1040589966">
          <w:marLeft w:val="0"/>
          <w:marRight w:val="0"/>
          <w:marTop w:val="0"/>
          <w:marBottom w:val="0"/>
          <w:divBdr>
            <w:top w:val="none" w:sz="0" w:space="0" w:color="auto"/>
            <w:left w:val="none" w:sz="0" w:space="0" w:color="auto"/>
            <w:bottom w:val="none" w:sz="0" w:space="0" w:color="auto"/>
            <w:right w:val="none" w:sz="0" w:space="0" w:color="auto"/>
          </w:divBdr>
        </w:div>
        <w:div w:id="1041249241">
          <w:marLeft w:val="0"/>
          <w:marRight w:val="0"/>
          <w:marTop w:val="0"/>
          <w:marBottom w:val="0"/>
          <w:divBdr>
            <w:top w:val="none" w:sz="0" w:space="0" w:color="auto"/>
            <w:left w:val="none" w:sz="0" w:space="0" w:color="auto"/>
            <w:bottom w:val="none" w:sz="0" w:space="0" w:color="auto"/>
            <w:right w:val="none" w:sz="0" w:space="0" w:color="auto"/>
          </w:divBdr>
        </w:div>
        <w:div w:id="1044863547">
          <w:marLeft w:val="0"/>
          <w:marRight w:val="0"/>
          <w:marTop w:val="0"/>
          <w:marBottom w:val="0"/>
          <w:divBdr>
            <w:top w:val="none" w:sz="0" w:space="0" w:color="auto"/>
            <w:left w:val="none" w:sz="0" w:space="0" w:color="auto"/>
            <w:bottom w:val="none" w:sz="0" w:space="0" w:color="auto"/>
            <w:right w:val="none" w:sz="0" w:space="0" w:color="auto"/>
          </w:divBdr>
        </w:div>
        <w:div w:id="1046367192">
          <w:marLeft w:val="0"/>
          <w:marRight w:val="0"/>
          <w:marTop w:val="0"/>
          <w:marBottom w:val="0"/>
          <w:divBdr>
            <w:top w:val="none" w:sz="0" w:space="0" w:color="auto"/>
            <w:left w:val="none" w:sz="0" w:space="0" w:color="auto"/>
            <w:bottom w:val="none" w:sz="0" w:space="0" w:color="auto"/>
            <w:right w:val="none" w:sz="0" w:space="0" w:color="auto"/>
          </w:divBdr>
        </w:div>
        <w:div w:id="1068500987">
          <w:marLeft w:val="0"/>
          <w:marRight w:val="0"/>
          <w:marTop w:val="0"/>
          <w:marBottom w:val="0"/>
          <w:divBdr>
            <w:top w:val="none" w:sz="0" w:space="0" w:color="auto"/>
            <w:left w:val="none" w:sz="0" w:space="0" w:color="auto"/>
            <w:bottom w:val="none" w:sz="0" w:space="0" w:color="auto"/>
            <w:right w:val="none" w:sz="0" w:space="0" w:color="auto"/>
          </w:divBdr>
        </w:div>
        <w:div w:id="1087193915">
          <w:marLeft w:val="0"/>
          <w:marRight w:val="0"/>
          <w:marTop w:val="0"/>
          <w:marBottom w:val="0"/>
          <w:divBdr>
            <w:top w:val="none" w:sz="0" w:space="0" w:color="auto"/>
            <w:left w:val="none" w:sz="0" w:space="0" w:color="auto"/>
            <w:bottom w:val="none" w:sz="0" w:space="0" w:color="auto"/>
            <w:right w:val="none" w:sz="0" w:space="0" w:color="auto"/>
          </w:divBdr>
        </w:div>
        <w:div w:id="1093935466">
          <w:marLeft w:val="0"/>
          <w:marRight w:val="0"/>
          <w:marTop w:val="0"/>
          <w:marBottom w:val="0"/>
          <w:divBdr>
            <w:top w:val="none" w:sz="0" w:space="0" w:color="auto"/>
            <w:left w:val="none" w:sz="0" w:space="0" w:color="auto"/>
            <w:bottom w:val="none" w:sz="0" w:space="0" w:color="auto"/>
            <w:right w:val="none" w:sz="0" w:space="0" w:color="auto"/>
          </w:divBdr>
        </w:div>
        <w:div w:id="1158157260">
          <w:marLeft w:val="0"/>
          <w:marRight w:val="0"/>
          <w:marTop w:val="0"/>
          <w:marBottom w:val="0"/>
          <w:divBdr>
            <w:top w:val="none" w:sz="0" w:space="0" w:color="auto"/>
            <w:left w:val="none" w:sz="0" w:space="0" w:color="auto"/>
            <w:bottom w:val="none" w:sz="0" w:space="0" w:color="auto"/>
            <w:right w:val="none" w:sz="0" w:space="0" w:color="auto"/>
          </w:divBdr>
        </w:div>
        <w:div w:id="1164005779">
          <w:marLeft w:val="0"/>
          <w:marRight w:val="0"/>
          <w:marTop w:val="0"/>
          <w:marBottom w:val="0"/>
          <w:divBdr>
            <w:top w:val="none" w:sz="0" w:space="0" w:color="auto"/>
            <w:left w:val="none" w:sz="0" w:space="0" w:color="auto"/>
            <w:bottom w:val="none" w:sz="0" w:space="0" w:color="auto"/>
            <w:right w:val="none" w:sz="0" w:space="0" w:color="auto"/>
          </w:divBdr>
        </w:div>
        <w:div w:id="1166089937">
          <w:marLeft w:val="0"/>
          <w:marRight w:val="0"/>
          <w:marTop w:val="0"/>
          <w:marBottom w:val="0"/>
          <w:divBdr>
            <w:top w:val="none" w:sz="0" w:space="0" w:color="auto"/>
            <w:left w:val="none" w:sz="0" w:space="0" w:color="auto"/>
            <w:bottom w:val="none" w:sz="0" w:space="0" w:color="auto"/>
            <w:right w:val="none" w:sz="0" w:space="0" w:color="auto"/>
          </w:divBdr>
        </w:div>
        <w:div w:id="1176379834">
          <w:marLeft w:val="0"/>
          <w:marRight w:val="0"/>
          <w:marTop w:val="0"/>
          <w:marBottom w:val="0"/>
          <w:divBdr>
            <w:top w:val="none" w:sz="0" w:space="0" w:color="auto"/>
            <w:left w:val="none" w:sz="0" w:space="0" w:color="auto"/>
            <w:bottom w:val="none" w:sz="0" w:space="0" w:color="auto"/>
            <w:right w:val="none" w:sz="0" w:space="0" w:color="auto"/>
          </w:divBdr>
        </w:div>
        <w:div w:id="1182159620">
          <w:marLeft w:val="0"/>
          <w:marRight w:val="0"/>
          <w:marTop w:val="0"/>
          <w:marBottom w:val="0"/>
          <w:divBdr>
            <w:top w:val="none" w:sz="0" w:space="0" w:color="auto"/>
            <w:left w:val="none" w:sz="0" w:space="0" w:color="auto"/>
            <w:bottom w:val="none" w:sz="0" w:space="0" w:color="auto"/>
            <w:right w:val="none" w:sz="0" w:space="0" w:color="auto"/>
          </w:divBdr>
        </w:div>
        <w:div w:id="1194272714">
          <w:marLeft w:val="0"/>
          <w:marRight w:val="0"/>
          <w:marTop w:val="0"/>
          <w:marBottom w:val="0"/>
          <w:divBdr>
            <w:top w:val="none" w:sz="0" w:space="0" w:color="auto"/>
            <w:left w:val="none" w:sz="0" w:space="0" w:color="auto"/>
            <w:bottom w:val="none" w:sz="0" w:space="0" w:color="auto"/>
            <w:right w:val="none" w:sz="0" w:space="0" w:color="auto"/>
          </w:divBdr>
        </w:div>
        <w:div w:id="1196772152">
          <w:marLeft w:val="0"/>
          <w:marRight w:val="0"/>
          <w:marTop w:val="0"/>
          <w:marBottom w:val="0"/>
          <w:divBdr>
            <w:top w:val="none" w:sz="0" w:space="0" w:color="auto"/>
            <w:left w:val="none" w:sz="0" w:space="0" w:color="auto"/>
            <w:bottom w:val="none" w:sz="0" w:space="0" w:color="auto"/>
            <w:right w:val="none" w:sz="0" w:space="0" w:color="auto"/>
          </w:divBdr>
        </w:div>
        <w:div w:id="1220676615">
          <w:marLeft w:val="0"/>
          <w:marRight w:val="0"/>
          <w:marTop w:val="0"/>
          <w:marBottom w:val="0"/>
          <w:divBdr>
            <w:top w:val="none" w:sz="0" w:space="0" w:color="auto"/>
            <w:left w:val="none" w:sz="0" w:space="0" w:color="auto"/>
            <w:bottom w:val="none" w:sz="0" w:space="0" w:color="auto"/>
            <w:right w:val="none" w:sz="0" w:space="0" w:color="auto"/>
          </w:divBdr>
        </w:div>
        <w:div w:id="1251965034">
          <w:marLeft w:val="0"/>
          <w:marRight w:val="0"/>
          <w:marTop w:val="0"/>
          <w:marBottom w:val="0"/>
          <w:divBdr>
            <w:top w:val="none" w:sz="0" w:space="0" w:color="auto"/>
            <w:left w:val="none" w:sz="0" w:space="0" w:color="auto"/>
            <w:bottom w:val="none" w:sz="0" w:space="0" w:color="auto"/>
            <w:right w:val="none" w:sz="0" w:space="0" w:color="auto"/>
          </w:divBdr>
        </w:div>
        <w:div w:id="1252471645">
          <w:marLeft w:val="0"/>
          <w:marRight w:val="0"/>
          <w:marTop w:val="0"/>
          <w:marBottom w:val="0"/>
          <w:divBdr>
            <w:top w:val="none" w:sz="0" w:space="0" w:color="auto"/>
            <w:left w:val="none" w:sz="0" w:space="0" w:color="auto"/>
            <w:bottom w:val="none" w:sz="0" w:space="0" w:color="auto"/>
            <w:right w:val="none" w:sz="0" w:space="0" w:color="auto"/>
          </w:divBdr>
        </w:div>
        <w:div w:id="1272978892">
          <w:marLeft w:val="0"/>
          <w:marRight w:val="0"/>
          <w:marTop w:val="0"/>
          <w:marBottom w:val="0"/>
          <w:divBdr>
            <w:top w:val="none" w:sz="0" w:space="0" w:color="auto"/>
            <w:left w:val="none" w:sz="0" w:space="0" w:color="auto"/>
            <w:bottom w:val="none" w:sz="0" w:space="0" w:color="auto"/>
            <w:right w:val="none" w:sz="0" w:space="0" w:color="auto"/>
          </w:divBdr>
        </w:div>
        <w:div w:id="1278096222">
          <w:marLeft w:val="0"/>
          <w:marRight w:val="0"/>
          <w:marTop w:val="0"/>
          <w:marBottom w:val="0"/>
          <w:divBdr>
            <w:top w:val="none" w:sz="0" w:space="0" w:color="auto"/>
            <w:left w:val="none" w:sz="0" w:space="0" w:color="auto"/>
            <w:bottom w:val="none" w:sz="0" w:space="0" w:color="auto"/>
            <w:right w:val="none" w:sz="0" w:space="0" w:color="auto"/>
          </w:divBdr>
        </w:div>
        <w:div w:id="1279143994">
          <w:marLeft w:val="0"/>
          <w:marRight w:val="0"/>
          <w:marTop w:val="0"/>
          <w:marBottom w:val="0"/>
          <w:divBdr>
            <w:top w:val="none" w:sz="0" w:space="0" w:color="auto"/>
            <w:left w:val="none" w:sz="0" w:space="0" w:color="auto"/>
            <w:bottom w:val="none" w:sz="0" w:space="0" w:color="auto"/>
            <w:right w:val="none" w:sz="0" w:space="0" w:color="auto"/>
          </w:divBdr>
        </w:div>
        <w:div w:id="1292326611">
          <w:marLeft w:val="0"/>
          <w:marRight w:val="0"/>
          <w:marTop w:val="0"/>
          <w:marBottom w:val="0"/>
          <w:divBdr>
            <w:top w:val="none" w:sz="0" w:space="0" w:color="auto"/>
            <w:left w:val="none" w:sz="0" w:space="0" w:color="auto"/>
            <w:bottom w:val="none" w:sz="0" w:space="0" w:color="auto"/>
            <w:right w:val="none" w:sz="0" w:space="0" w:color="auto"/>
          </w:divBdr>
        </w:div>
        <w:div w:id="1294091642">
          <w:marLeft w:val="0"/>
          <w:marRight w:val="0"/>
          <w:marTop w:val="0"/>
          <w:marBottom w:val="0"/>
          <w:divBdr>
            <w:top w:val="none" w:sz="0" w:space="0" w:color="auto"/>
            <w:left w:val="none" w:sz="0" w:space="0" w:color="auto"/>
            <w:bottom w:val="none" w:sz="0" w:space="0" w:color="auto"/>
            <w:right w:val="none" w:sz="0" w:space="0" w:color="auto"/>
          </w:divBdr>
        </w:div>
        <w:div w:id="1301612929">
          <w:marLeft w:val="0"/>
          <w:marRight w:val="0"/>
          <w:marTop w:val="0"/>
          <w:marBottom w:val="0"/>
          <w:divBdr>
            <w:top w:val="none" w:sz="0" w:space="0" w:color="auto"/>
            <w:left w:val="none" w:sz="0" w:space="0" w:color="auto"/>
            <w:bottom w:val="none" w:sz="0" w:space="0" w:color="auto"/>
            <w:right w:val="none" w:sz="0" w:space="0" w:color="auto"/>
          </w:divBdr>
        </w:div>
        <w:div w:id="1306662183">
          <w:marLeft w:val="0"/>
          <w:marRight w:val="0"/>
          <w:marTop w:val="0"/>
          <w:marBottom w:val="0"/>
          <w:divBdr>
            <w:top w:val="none" w:sz="0" w:space="0" w:color="auto"/>
            <w:left w:val="none" w:sz="0" w:space="0" w:color="auto"/>
            <w:bottom w:val="none" w:sz="0" w:space="0" w:color="auto"/>
            <w:right w:val="none" w:sz="0" w:space="0" w:color="auto"/>
          </w:divBdr>
        </w:div>
        <w:div w:id="1342194546">
          <w:marLeft w:val="0"/>
          <w:marRight w:val="0"/>
          <w:marTop w:val="0"/>
          <w:marBottom w:val="0"/>
          <w:divBdr>
            <w:top w:val="none" w:sz="0" w:space="0" w:color="auto"/>
            <w:left w:val="none" w:sz="0" w:space="0" w:color="auto"/>
            <w:bottom w:val="none" w:sz="0" w:space="0" w:color="auto"/>
            <w:right w:val="none" w:sz="0" w:space="0" w:color="auto"/>
          </w:divBdr>
        </w:div>
        <w:div w:id="1380322449">
          <w:marLeft w:val="0"/>
          <w:marRight w:val="0"/>
          <w:marTop w:val="0"/>
          <w:marBottom w:val="0"/>
          <w:divBdr>
            <w:top w:val="none" w:sz="0" w:space="0" w:color="auto"/>
            <w:left w:val="none" w:sz="0" w:space="0" w:color="auto"/>
            <w:bottom w:val="none" w:sz="0" w:space="0" w:color="auto"/>
            <w:right w:val="none" w:sz="0" w:space="0" w:color="auto"/>
          </w:divBdr>
        </w:div>
        <w:div w:id="1385442739">
          <w:marLeft w:val="0"/>
          <w:marRight w:val="0"/>
          <w:marTop w:val="0"/>
          <w:marBottom w:val="0"/>
          <w:divBdr>
            <w:top w:val="none" w:sz="0" w:space="0" w:color="auto"/>
            <w:left w:val="none" w:sz="0" w:space="0" w:color="auto"/>
            <w:bottom w:val="none" w:sz="0" w:space="0" w:color="auto"/>
            <w:right w:val="none" w:sz="0" w:space="0" w:color="auto"/>
          </w:divBdr>
        </w:div>
        <w:div w:id="1432318003">
          <w:marLeft w:val="0"/>
          <w:marRight w:val="0"/>
          <w:marTop w:val="0"/>
          <w:marBottom w:val="0"/>
          <w:divBdr>
            <w:top w:val="none" w:sz="0" w:space="0" w:color="auto"/>
            <w:left w:val="none" w:sz="0" w:space="0" w:color="auto"/>
            <w:bottom w:val="none" w:sz="0" w:space="0" w:color="auto"/>
            <w:right w:val="none" w:sz="0" w:space="0" w:color="auto"/>
          </w:divBdr>
        </w:div>
        <w:div w:id="1457984709">
          <w:marLeft w:val="0"/>
          <w:marRight w:val="0"/>
          <w:marTop w:val="0"/>
          <w:marBottom w:val="0"/>
          <w:divBdr>
            <w:top w:val="none" w:sz="0" w:space="0" w:color="auto"/>
            <w:left w:val="none" w:sz="0" w:space="0" w:color="auto"/>
            <w:bottom w:val="none" w:sz="0" w:space="0" w:color="auto"/>
            <w:right w:val="none" w:sz="0" w:space="0" w:color="auto"/>
          </w:divBdr>
        </w:div>
        <w:div w:id="1487554535">
          <w:marLeft w:val="0"/>
          <w:marRight w:val="0"/>
          <w:marTop w:val="0"/>
          <w:marBottom w:val="0"/>
          <w:divBdr>
            <w:top w:val="none" w:sz="0" w:space="0" w:color="auto"/>
            <w:left w:val="none" w:sz="0" w:space="0" w:color="auto"/>
            <w:bottom w:val="none" w:sz="0" w:space="0" w:color="auto"/>
            <w:right w:val="none" w:sz="0" w:space="0" w:color="auto"/>
          </w:divBdr>
        </w:div>
        <w:div w:id="1487626681">
          <w:marLeft w:val="0"/>
          <w:marRight w:val="0"/>
          <w:marTop w:val="0"/>
          <w:marBottom w:val="0"/>
          <w:divBdr>
            <w:top w:val="none" w:sz="0" w:space="0" w:color="auto"/>
            <w:left w:val="none" w:sz="0" w:space="0" w:color="auto"/>
            <w:bottom w:val="none" w:sz="0" w:space="0" w:color="auto"/>
            <w:right w:val="none" w:sz="0" w:space="0" w:color="auto"/>
          </w:divBdr>
        </w:div>
        <w:div w:id="1488588467">
          <w:marLeft w:val="0"/>
          <w:marRight w:val="0"/>
          <w:marTop w:val="0"/>
          <w:marBottom w:val="0"/>
          <w:divBdr>
            <w:top w:val="none" w:sz="0" w:space="0" w:color="auto"/>
            <w:left w:val="none" w:sz="0" w:space="0" w:color="auto"/>
            <w:bottom w:val="none" w:sz="0" w:space="0" w:color="auto"/>
            <w:right w:val="none" w:sz="0" w:space="0" w:color="auto"/>
          </w:divBdr>
        </w:div>
        <w:div w:id="1510485876">
          <w:marLeft w:val="0"/>
          <w:marRight w:val="0"/>
          <w:marTop w:val="0"/>
          <w:marBottom w:val="0"/>
          <w:divBdr>
            <w:top w:val="none" w:sz="0" w:space="0" w:color="auto"/>
            <w:left w:val="none" w:sz="0" w:space="0" w:color="auto"/>
            <w:bottom w:val="none" w:sz="0" w:space="0" w:color="auto"/>
            <w:right w:val="none" w:sz="0" w:space="0" w:color="auto"/>
          </w:divBdr>
        </w:div>
        <w:div w:id="1510946473">
          <w:marLeft w:val="0"/>
          <w:marRight w:val="0"/>
          <w:marTop w:val="0"/>
          <w:marBottom w:val="0"/>
          <w:divBdr>
            <w:top w:val="none" w:sz="0" w:space="0" w:color="auto"/>
            <w:left w:val="none" w:sz="0" w:space="0" w:color="auto"/>
            <w:bottom w:val="none" w:sz="0" w:space="0" w:color="auto"/>
            <w:right w:val="none" w:sz="0" w:space="0" w:color="auto"/>
          </w:divBdr>
        </w:div>
        <w:div w:id="1511142991">
          <w:marLeft w:val="0"/>
          <w:marRight w:val="0"/>
          <w:marTop w:val="0"/>
          <w:marBottom w:val="0"/>
          <w:divBdr>
            <w:top w:val="none" w:sz="0" w:space="0" w:color="auto"/>
            <w:left w:val="none" w:sz="0" w:space="0" w:color="auto"/>
            <w:bottom w:val="none" w:sz="0" w:space="0" w:color="auto"/>
            <w:right w:val="none" w:sz="0" w:space="0" w:color="auto"/>
          </w:divBdr>
        </w:div>
        <w:div w:id="1515918330">
          <w:marLeft w:val="0"/>
          <w:marRight w:val="0"/>
          <w:marTop w:val="0"/>
          <w:marBottom w:val="0"/>
          <w:divBdr>
            <w:top w:val="none" w:sz="0" w:space="0" w:color="auto"/>
            <w:left w:val="none" w:sz="0" w:space="0" w:color="auto"/>
            <w:bottom w:val="none" w:sz="0" w:space="0" w:color="auto"/>
            <w:right w:val="none" w:sz="0" w:space="0" w:color="auto"/>
          </w:divBdr>
        </w:div>
        <w:div w:id="1536504292">
          <w:marLeft w:val="0"/>
          <w:marRight w:val="0"/>
          <w:marTop w:val="0"/>
          <w:marBottom w:val="0"/>
          <w:divBdr>
            <w:top w:val="none" w:sz="0" w:space="0" w:color="auto"/>
            <w:left w:val="none" w:sz="0" w:space="0" w:color="auto"/>
            <w:bottom w:val="none" w:sz="0" w:space="0" w:color="auto"/>
            <w:right w:val="none" w:sz="0" w:space="0" w:color="auto"/>
          </w:divBdr>
        </w:div>
        <w:div w:id="1543445586">
          <w:marLeft w:val="0"/>
          <w:marRight w:val="0"/>
          <w:marTop w:val="0"/>
          <w:marBottom w:val="0"/>
          <w:divBdr>
            <w:top w:val="none" w:sz="0" w:space="0" w:color="auto"/>
            <w:left w:val="none" w:sz="0" w:space="0" w:color="auto"/>
            <w:bottom w:val="none" w:sz="0" w:space="0" w:color="auto"/>
            <w:right w:val="none" w:sz="0" w:space="0" w:color="auto"/>
          </w:divBdr>
        </w:div>
        <w:div w:id="1549075194">
          <w:marLeft w:val="0"/>
          <w:marRight w:val="0"/>
          <w:marTop w:val="0"/>
          <w:marBottom w:val="0"/>
          <w:divBdr>
            <w:top w:val="none" w:sz="0" w:space="0" w:color="auto"/>
            <w:left w:val="none" w:sz="0" w:space="0" w:color="auto"/>
            <w:bottom w:val="none" w:sz="0" w:space="0" w:color="auto"/>
            <w:right w:val="none" w:sz="0" w:space="0" w:color="auto"/>
          </w:divBdr>
        </w:div>
        <w:div w:id="1562331804">
          <w:marLeft w:val="0"/>
          <w:marRight w:val="0"/>
          <w:marTop w:val="0"/>
          <w:marBottom w:val="0"/>
          <w:divBdr>
            <w:top w:val="none" w:sz="0" w:space="0" w:color="auto"/>
            <w:left w:val="none" w:sz="0" w:space="0" w:color="auto"/>
            <w:bottom w:val="none" w:sz="0" w:space="0" w:color="auto"/>
            <w:right w:val="none" w:sz="0" w:space="0" w:color="auto"/>
          </w:divBdr>
        </w:div>
        <w:div w:id="1563637395">
          <w:marLeft w:val="0"/>
          <w:marRight w:val="0"/>
          <w:marTop w:val="0"/>
          <w:marBottom w:val="0"/>
          <w:divBdr>
            <w:top w:val="none" w:sz="0" w:space="0" w:color="auto"/>
            <w:left w:val="none" w:sz="0" w:space="0" w:color="auto"/>
            <w:bottom w:val="none" w:sz="0" w:space="0" w:color="auto"/>
            <w:right w:val="none" w:sz="0" w:space="0" w:color="auto"/>
          </w:divBdr>
        </w:div>
        <w:div w:id="1564871855">
          <w:marLeft w:val="0"/>
          <w:marRight w:val="0"/>
          <w:marTop w:val="0"/>
          <w:marBottom w:val="0"/>
          <w:divBdr>
            <w:top w:val="none" w:sz="0" w:space="0" w:color="auto"/>
            <w:left w:val="none" w:sz="0" w:space="0" w:color="auto"/>
            <w:bottom w:val="none" w:sz="0" w:space="0" w:color="auto"/>
            <w:right w:val="none" w:sz="0" w:space="0" w:color="auto"/>
          </w:divBdr>
        </w:div>
        <w:div w:id="1567836580">
          <w:marLeft w:val="0"/>
          <w:marRight w:val="0"/>
          <w:marTop w:val="0"/>
          <w:marBottom w:val="0"/>
          <w:divBdr>
            <w:top w:val="none" w:sz="0" w:space="0" w:color="auto"/>
            <w:left w:val="none" w:sz="0" w:space="0" w:color="auto"/>
            <w:bottom w:val="none" w:sz="0" w:space="0" w:color="auto"/>
            <w:right w:val="none" w:sz="0" w:space="0" w:color="auto"/>
          </w:divBdr>
        </w:div>
        <w:div w:id="1570841278">
          <w:marLeft w:val="0"/>
          <w:marRight w:val="0"/>
          <w:marTop w:val="0"/>
          <w:marBottom w:val="0"/>
          <w:divBdr>
            <w:top w:val="none" w:sz="0" w:space="0" w:color="auto"/>
            <w:left w:val="none" w:sz="0" w:space="0" w:color="auto"/>
            <w:bottom w:val="none" w:sz="0" w:space="0" w:color="auto"/>
            <w:right w:val="none" w:sz="0" w:space="0" w:color="auto"/>
          </w:divBdr>
        </w:div>
        <w:div w:id="1572154423">
          <w:marLeft w:val="0"/>
          <w:marRight w:val="0"/>
          <w:marTop w:val="0"/>
          <w:marBottom w:val="0"/>
          <w:divBdr>
            <w:top w:val="none" w:sz="0" w:space="0" w:color="auto"/>
            <w:left w:val="none" w:sz="0" w:space="0" w:color="auto"/>
            <w:bottom w:val="none" w:sz="0" w:space="0" w:color="auto"/>
            <w:right w:val="none" w:sz="0" w:space="0" w:color="auto"/>
          </w:divBdr>
        </w:div>
        <w:div w:id="1594775892">
          <w:marLeft w:val="0"/>
          <w:marRight w:val="0"/>
          <w:marTop w:val="0"/>
          <w:marBottom w:val="0"/>
          <w:divBdr>
            <w:top w:val="none" w:sz="0" w:space="0" w:color="auto"/>
            <w:left w:val="none" w:sz="0" w:space="0" w:color="auto"/>
            <w:bottom w:val="none" w:sz="0" w:space="0" w:color="auto"/>
            <w:right w:val="none" w:sz="0" w:space="0" w:color="auto"/>
          </w:divBdr>
        </w:div>
        <w:div w:id="1595212430">
          <w:marLeft w:val="0"/>
          <w:marRight w:val="0"/>
          <w:marTop w:val="0"/>
          <w:marBottom w:val="0"/>
          <w:divBdr>
            <w:top w:val="none" w:sz="0" w:space="0" w:color="auto"/>
            <w:left w:val="none" w:sz="0" w:space="0" w:color="auto"/>
            <w:bottom w:val="none" w:sz="0" w:space="0" w:color="auto"/>
            <w:right w:val="none" w:sz="0" w:space="0" w:color="auto"/>
          </w:divBdr>
        </w:div>
        <w:div w:id="1607350849">
          <w:marLeft w:val="0"/>
          <w:marRight w:val="0"/>
          <w:marTop w:val="0"/>
          <w:marBottom w:val="0"/>
          <w:divBdr>
            <w:top w:val="none" w:sz="0" w:space="0" w:color="auto"/>
            <w:left w:val="none" w:sz="0" w:space="0" w:color="auto"/>
            <w:bottom w:val="none" w:sz="0" w:space="0" w:color="auto"/>
            <w:right w:val="none" w:sz="0" w:space="0" w:color="auto"/>
          </w:divBdr>
        </w:div>
        <w:div w:id="1607810275">
          <w:marLeft w:val="0"/>
          <w:marRight w:val="0"/>
          <w:marTop w:val="0"/>
          <w:marBottom w:val="0"/>
          <w:divBdr>
            <w:top w:val="none" w:sz="0" w:space="0" w:color="auto"/>
            <w:left w:val="none" w:sz="0" w:space="0" w:color="auto"/>
            <w:bottom w:val="none" w:sz="0" w:space="0" w:color="auto"/>
            <w:right w:val="none" w:sz="0" w:space="0" w:color="auto"/>
          </w:divBdr>
        </w:div>
        <w:div w:id="1620331639">
          <w:marLeft w:val="0"/>
          <w:marRight w:val="0"/>
          <w:marTop w:val="0"/>
          <w:marBottom w:val="0"/>
          <w:divBdr>
            <w:top w:val="none" w:sz="0" w:space="0" w:color="auto"/>
            <w:left w:val="none" w:sz="0" w:space="0" w:color="auto"/>
            <w:bottom w:val="none" w:sz="0" w:space="0" w:color="auto"/>
            <w:right w:val="none" w:sz="0" w:space="0" w:color="auto"/>
          </w:divBdr>
        </w:div>
        <w:div w:id="1645620132">
          <w:marLeft w:val="0"/>
          <w:marRight w:val="0"/>
          <w:marTop w:val="0"/>
          <w:marBottom w:val="0"/>
          <w:divBdr>
            <w:top w:val="none" w:sz="0" w:space="0" w:color="auto"/>
            <w:left w:val="none" w:sz="0" w:space="0" w:color="auto"/>
            <w:bottom w:val="none" w:sz="0" w:space="0" w:color="auto"/>
            <w:right w:val="none" w:sz="0" w:space="0" w:color="auto"/>
          </w:divBdr>
        </w:div>
        <w:div w:id="1655374043">
          <w:marLeft w:val="0"/>
          <w:marRight w:val="0"/>
          <w:marTop w:val="0"/>
          <w:marBottom w:val="0"/>
          <w:divBdr>
            <w:top w:val="none" w:sz="0" w:space="0" w:color="auto"/>
            <w:left w:val="none" w:sz="0" w:space="0" w:color="auto"/>
            <w:bottom w:val="none" w:sz="0" w:space="0" w:color="auto"/>
            <w:right w:val="none" w:sz="0" w:space="0" w:color="auto"/>
          </w:divBdr>
        </w:div>
        <w:div w:id="1661692008">
          <w:marLeft w:val="0"/>
          <w:marRight w:val="0"/>
          <w:marTop w:val="0"/>
          <w:marBottom w:val="0"/>
          <w:divBdr>
            <w:top w:val="none" w:sz="0" w:space="0" w:color="auto"/>
            <w:left w:val="none" w:sz="0" w:space="0" w:color="auto"/>
            <w:bottom w:val="none" w:sz="0" w:space="0" w:color="auto"/>
            <w:right w:val="none" w:sz="0" w:space="0" w:color="auto"/>
          </w:divBdr>
        </w:div>
        <w:div w:id="1676883637">
          <w:marLeft w:val="0"/>
          <w:marRight w:val="0"/>
          <w:marTop w:val="0"/>
          <w:marBottom w:val="0"/>
          <w:divBdr>
            <w:top w:val="none" w:sz="0" w:space="0" w:color="auto"/>
            <w:left w:val="none" w:sz="0" w:space="0" w:color="auto"/>
            <w:bottom w:val="none" w:sz="0" w:space="0" w:color="auto"/>
            <w:right w:val="none" w:sz="0" w:space="0" w:color="auto"/>
          </w:divBdr>
        </w:div>
        <w:div w:id="1717195496">
          <w:marLeft w:val="0"/>
          <w:marRight w:val="0"/>
          <w:marTop w:val="0"/>
          <w:marBottom w:val="0"/>
          <w:divBdr>
            <w:top w:val="none" w:sz="0" w:space="0" w:color="auto"/>
            <w:left w:val="none" w:sz="0" w:space="0" w:color="auto"/>
            <w:bottom w:val="none" w:sz="0" w:space="0" w:color="auto"/>
            <w:right w:val="none" w:sz="0" w:space="0" w:color="auto"/>
          </w:divBdr>
        </w:div>
        <w:div w:id="1718697269">
          <w:marLeft w:val="0"/>
          <w:marRight w:val="0"/>
          <w:marTop w:val="0"/>
          <w:marBottom w:val="0"/>
          <w:divBdr>
            <w:top w:val="none" w:sz="0" w:space="0" w:color="auto"/>
            <w:left w:val="none" w:sz="0" w:space="0" w:color="auto"/>
            <w:bottom w:val="none" w:sz="0" w:space="0" w:color="auto"/>
            <w:right w:val="none" w:sz="0" w:space="0" w:color="auto"/>
          </w:divBdr>
        </w:div>
        <w:div w:id="1723478777">
          <w:marLeft w:val="0"/>
          <w:marRight w:val="0"/>
          <w:marTop w:val="0"/>
          <w:marBottom w:val="0"/>
          <w:divBdr>
            <w:top w:val="none" w:sz="0" w:space="0" w:color="auto"/>
            <w:left w:val="none" w:sz="0" w:space="0" w:color="auto"/>
            <w:bottom w:val="none" w:sz="0" w:space="0" w:color="auto"/>
            <w:right w:val="none" w:sz="0" w:space="0" w:color="auto"/>
          </w:divBdr>
        </w:div>
        <w:div w:id="1747651098">
          <w:marLeft w:val="0"/>
          <w:marRight w:val="0"/>
          <w:marTop w:val="0"/>
          <w:marBottom w:val="0"/>
          <w:divBdr>
            <w:top w:val="none" w:sz="0" w:space="0" w:color="auto"/>
            <w:left w:val="none" w:sz="0" w:space="0" w:color="auto"/>
            <w:bottom w:val="none" w:sz="0" w:space="0" w:color="auto"/>
            <w:right w:val="none" w:sz="0" w:space="0" w:color="auto"/>
          </w:divBdr>
        </w:div>
        <w:div w:id="1749038251">
          <w:marLeft w:val="0"/>
          <w:marRight w:val="0"/>
          <w:marTop w:val="0"/>
          <w:marBottom w:val="0"/>
          <w:divBdr>
            <w:top w:val="none" w:sz="0" w:space="0" w:color="auto"/>
            <w:left w:val="none" w:sz="0" w:space="0" w:color="auto"/>
            <w:bottom w:val="none" w:sz="0" w:space="0" w:color="auto"/>
            <w:right w:val="none" w:sz="0" w:space="0" w:color="auto"/>
          </w:divBdr>
        </w:div>
        <w:div w:id="1755081910">
          <w:marLeft w:val="0"/>
          <w:marRight w:val="0"/>
          <w:marTop w:val="0"/>
          <w:marBottom w:val="0"/>
          <w:divBdr>
            <w:top w:val="none" w:sz="0" w:space="0" w:color="auto"/>
            <w:left w:val="none" w:sz="0" w:space="0" w:color="auto"/>
            <w:bottom w:val="none" w:sz="0" w:space="0" w:color="auto"/>
            <w:right w:val="none" w:sz="0" w:space="0" w:color="auto"/>
          </w:divBdr>
        </w:div>
        <w:div w:id="1773353000">
          <w:marLeft w:val="0"/>
          <w:marRight w:val="0"/>
          <w:marTop w:val="0"/>
          <w:marBottom w:val="0"/>
          <w:divBdr>
            <w:top w:val="none" w:sz="0" w:space="0" w:color="auto"/>
            <w:left w:val="none" w:sz="0" w:space="0" w:color="auto"/>
            <w:bottom w:val="none" w:sz="0" w:space="0" w:color="auto"/>
            <w:right w:val="none" w:sz="0" w:space="0" w:color="auto"/>
          </w:divBdr>
        </w:div>
        <w:div w:id="1810124408">
          <w:marLeft w:val="0"/>
          <w:marRight w:val="0"/>
          <w:marTop w:val="0"/>
          <w:marBottom w:val="0"/>
          <w:divBdr>
            <w:top w:val="none" w:sz="0" w:space="0" w:color="auto"/>
            <w:left w:val="none" w:sz="0" w:space="0" w:color="auto"/>
            <w:bottom w:val="none" w:sz="0" w:space="0" w:color="auto"/>
            <w:right w:val="none" w:sz="0" w:space="0" w:color="auto"/>
          </w:divBdr>
        </w:div>
        <w:div w:id="1816292965">
          <w:marLeft w:val="0"/>
          <w:marRight w:val="0"/>
          <w:marTop w:val="0"/>
          <w:marBottom w:val="0"/>
          <w:divBdr>
            <w:top w:val="none" w:sz="0" w:space="0" w:color="auto"/>
            <w:left w:val="none" w:sz="0" w:space="0" w:color="auto"/>
            <w:bottom w:val="none" w:sz="0" w:space="0" w:color="auto"/>
            <w:right w:val="none" w:sz="0" w:space="0" w:color="auto"/>
          </w:divBdr>
        </w:div>
        <w:div w:id="1834291669">
          <w:marLeft w:val="0"/>
          <w:marRight w:val="0"/>
          <w:marTop w:val="0"/>
          <w:marBottom w:val="0"/>
          <w:divBdr>
            <w:top w:val="none" w:sz="0" w:space="0" w:color="auto"/>
            <w:left w:val="none" w:sz="0" w:space="0" w:color="auto"/>
            <w:bottom w:val="none" w:sz="0" w:space="0" w:color="auto"/>
            <w:right w:val="none" w:sz="0" w:space="0" w:color="auto"/>
          </w:divBdr>
        </w:div>
        <w:div w:id="1836528092">
          <w:marLeft w:val="0"/>
          <w:marRight w:val="0"/>
          <w:marTop w:val="0"/>
          <w:marBottom w:val="0"/>
          <w:divBdr>
            <w:top w:val="none" w:sz="0" w:space="0" w:color="auto"/>
            <w:left w:val="none" w:sz="0" w:space="0" w:color="auto"/>
            <w:bottom w:val="none" w:sz="0" w:space="0" w:color="auto"/>
            <w:right w:val="none" w:sz="0" w:space="0" w:color="auto"/>
          </w:divBdr>
        </w:div>
        <w:div w:id="1844391433">
          <w:marLeft w:val="0"/>
          <w:marRight w:val="0"/>
          <w:marTop w:val="0"/>
          <w:marBottom w:val="0"/>
          <w:divBdr>
            <w:top w:val="none" w:sz="0" w:space="0" w:color="auto"/>
            <w:left w:val="none" w:sz="0" w:space="0" w:color="auto"/>
            <w:bottom w:val="none" w:sz="0" w:space="0" w:color="auto"/>
            <w:right w:val="none" w:sz="0" w:space="0" w:color="auto"/>
          </w:divBdr>
        </w:div>
        <w:div w:id="1852917139">
          <w:marLeft w:val="0"/>
          <w:marRight w:val="0"/>
          <w:marTop w:val="0"/>
          <w:marBottom w:val="0"/>
          <w:divBdr>
            <w:top w:val="none" w:sz="0" w:space="0" w:color="auto"/>
            <w:left w:val="none" w:sz="0" w:space="0" w:color="auto"/>
            <w:bottom w:val="none" w:sz="0" w:space="0" w:color="auto"/>
            <w:right w:val="none" w:sz="0" w:space="0" w:color="auto"/>
          </w:divBdr>
        </w:div>
        <w:div w:id="1861893400">
          <w:marLeft w:val="0"/>
          <w:marRight w:val="0"/>
          <w:marTop w:val="0"/>
          <w:marBottom w:val="0"/>
          <w:divBdr>
            <w:top w:val="none" w:sz="0" w:space="0" w:color="auto"/>
            <w:left w:val="none" w:sz="0" w:space="0" w:color="auto"/>
            <w:bottom w:val="none" w:sz="0" w:space="0" w:color="auto"/>
            <w:right w:val="none" w:sz="0" w:space="0" w:color="auto"/>
          </w:divBdr>
        </w:div>
        <w:div w:id="1880245612">
          <w:marLeft w:val="0"/>
          <w:marRight w:val="0"/>
          <w:marTop w:val="0"/>
          <w:marBottom w:val="0"/>
          <w:divBdr>
            <w:top w:val="none" w:sz="0" w:space="0" w:color="auto"/>
            <w:left w:val="none" w:sz="0" w:space="0" w:color="auto"/>
            <w:bottom w:val="none" w:sz="0" w:space="0" w:color="auto"/>
            <w:right w:val="none" w:sz="0" w:space="0" w:color="auto"/>
          </w:divBdr>
        </w:div>
        <w:div w:id="1886328642">
          <w:marLeft w:val="0"/>
          <w:marRight w:val="0"/>
          <w:marTop w:val="0"/>
          <w:marBottom w:val="0"/>
          <w:divBdr>
            <w:top w:val="none" w:sz="0" w:space="0" w:color="auto"/>
            <w:left w:val="none" w:sz="0" w:space="0" w:color="auto"/>
            <w:bottom w:val="none" w:sz="0" w:space="0" w:color="auto"/>
            <w:right w:val="none" w:sz="0" w:space="0" w:color="auto"/>
          </w:divBdr>
        </w:div>
        <w:div w:id="1908686898">
          <w:marLeft w:val="0"/>
          <w:marRight w:val="0"/>
          <w:marTop w:val="0"/>
          <w:marBottom w:val="0"/>
          <w:divBdr>
            <w:top w:val="none" w:sz="0" w:space="0" w:color="auto"/>
            <w:left w:val="none" w:sz="0" w:space="0" w:color="auto"/>
            <w:bottom w:val="none" w:sz="0" w:space="0" w:color="auto"/>
            <w:right w:val="none" w:sz="0" w:space="0" w:color="auto"/>
          </w:divBdr>
        </w:div>
        <w:div w:id="1910572040">
          <w:marLeft w:val="0"/>
          <w:marRight w:val="0"/>
          <w:marTop w:val="0"/>
          <w:marBottom w:val="0"/>
          <w:divBdr>
            <w:top w:val="none" w:sz="0" w:space="0" w:color="auto"/>
            <w:left w:val="none" w:sz="0" w:space="0" w:color="auto"/>
            <w:bottom w:val="none" w:sz="0" w:space="0" w:color="auto"/>
            <w:right w:val="none" w:sz="0" w:space="0" w:color="auto"/>
          </w:divBdr>
        </w:div>
        <w:div w:id="1927878528">
          <w:marLeft w:val="0"/>
          <w:marRight w:val="0"/>
          <w:marTop w:val="0"/>
          <w:marBottom w:val="0"/>
          <w:divBdr>
            <w:top w:val="none" w:sz="0" w:space="0" w:color="auto"/>
            <w:left w:val="none" w:sz="0" w:space="0" w:color="auto"/>
            <w:bottom w:val="none" w:sz="0" w:space="0" w:color="auto"/>
            <w:right w:val="none" w:sz="0" w:space="0" w:color="auto"/>
          </w:divBdr>
        </w:div>
        <w:div w:id="1934824524">
          <w:marLeft w:val="0"/>
          <w:marRight w:val="0"/>
          <w:marTop w:val="0"/>
          <w:marBottom w:val="0"/>
          <w:divBdr>
            <w:top w:val="none" w:sz="0" w:space="0" w:color="auto"/>
            <w:left w:val="none" w:sz="0" w:space="0" w:color="auto"/>
            <w:bottom w:val="none" w:sz="0" w:space="0" w:color="auto"/>
            <w:right w:val="none" w:sz="0" w:space="0" w:color="auto"/>
          </w:divBdr>
        </w:div>
        <w:div w:id="1936084913">
          <w:marLeft w:val="0"/>
          <w:marRight w:val="0"/>
          <w:marTop w:val="0"/>
          <w:marBottom w:val="0"/>
          <w:divBdr>
            <w:top w:val="none" w:sz="0" w:space="0" w:color="auto"/>
            <w:left w:val="none" w:sz="0" w:space="0" w:color="auto"/>
            <w:bottom w:val="none" w:sz="0" w:space="0" w:color="auto"/>
            <w:right w:val="none" w:sz="0" w:space="0" w:color="auto"/>
          </w:divBdr>
        </w:div>
        <w:div w:id="1963881600">
          <w:marLeft w:val="0"/>
          <w:marRight w:val="0"/>
          <w:marTop w:val="0"/>
          <w:marBottom w:val="0"/>
          <w:divBdr>
            <w:top w:val="none" w:sz="0" w:space="0" w:color="auto"/>
            <w:left w:val="none" w:sz="0" w:space="0" w:color="auto"/>
            <w:bottom w:val="none" w:sz="0" w:space="0" w:color="auto"/>
            <w:right w:val="none" w:sz="0" w:space="0" w:color="auto"/>
          </w:divBdr>
        </w:div>
        <w:div w:id="1966428749">
          <w:marLeft w:val="0"/>
          <w:marRight w:val="0"/>
          <w:marTop w:val="0"/>
          <w:marBottom w:val="0"/>
          <w:divBdr>
            <w:top w:val="none" w:sz="0" w:space="0" w:color="auto"/>
            <w:left w:val="none" w:sz="0" w:space="0" w:color="auto"/>
            <w:bottom w:val="none" w:sz="0" w:space="0" w:color="auto"/>
            <w:right w:val="none" w:sz="0" w:space="0" w:color="auto"/>
          </w:divBdr>
        </w:div>
        <w:div w:id="1968776754">
          <w:marLeft w:val="0"/>
          <w:marRight w:val="0"/>
          <w:marTop w:val="0"/>
          <w:marBottom w:val="0"/>
          <w:divBdr>
            <w:top w:val="none" w:sz="0" w:space="0" w:color="auto"/>
            <w:left w:val="none" w:sz="0" w:space="0" w:color="auto"/>
            <w:bottom w:val="none" w:sz="0" w:space="0" w:color="auto"/>
            <w:right w:val="none" w:sz="0" w:space="0" w:color="auto"/>
          </w:divBdr>
        </w:div>
        <w:div w:id="1981307002">
          <w:marLeft w:val="0"/>
          <w:marRight w:val="0"/>
          <w:marTop w:val="0"/>
          <w:marBottom w:val="0"/>
          <w:divBdr>
            <w:top w:val="none" w:sz="0" w:space="0" w:color="auto"/>
            <w:left w:val="none" w:sz="0" w:space="0" w:color="auto"/>
            <w:bottom w:val="none" w:sz="0" w:space="0" w:color="auto"/>
            <w:right w:val="none" w:sz="0" w:space="0" w:color="auto"/>
          </w:divBdr>
        </w:div>
        <w:div w:id="1981421234">
          <w:marLeft w:val="0"/>
          <w:marRight w:val="0"/>
          <w:marTop w:val="0"/>
          <w:marBottom w:val="0"/>
          <w:divBdr>
            <w:top w:val="none" w:sz="0" w:space="0" w:color="auto"/>
            <w:left w:val="none" w:sz="0" w:space="0" w:color="auto"/>
            <w:bottom w:val="none" w:sz="0" w:space="0" w:color="auto"/>
            <w:right w:val="none" w:sz="0" w:space="0" w:color="auto"/>
          </w:divBdr>
        </w:div>
        <w:div w:id="1986229980">
          <w:marLeft w:val="0"/>
          <w:marRight w:val="0"/>
          <w:marTop w:val="0"/>
          <w:marBottom w:val="0"/>
          <w:divBdr>
            <w:top w:val="none" w:sz="0" w:space="0" w:color="auto"/>
            <w:left w:val="none" w:sz="0" w:space="0" w:color="auto"/>
            <w:bottom w:val="none" w:sz="0" w:space="0" w:color="auto"/>
            <w:right w:val="none" w:sz="0" w:space="0" w:color="auto"/>
          </w:divBdr>
        </w:div>
        <w:div w:id="2023311344">
          <w:marLeft w:val="0"/>
          <w:marRight w:val="0"/>
          <w:marTop w:val="0"/>
          <w:marBottom w:val="0"/>
          <w:divBdr>
            <w:top w:val="none" w:sz="0" w:space="0" w:color="auto"/>
            <w:left w:val="none" w:sz="0" w:space="0" w:color="auto"/>
            <w:bottom w:val="none" w:sz="0" w:space="0" w:color="auto"/>
            <w:right w:val="none" w:sz="0" w:space="0" w:color="auto"/>
          </w:divBdr>
        </w:div>
        <w:div w:id="2027712139">
          <w:marLeft w:val="0"/>
          <w:marRight w:val="0"/>
          <w:marTop w:val="0"/>
          <w:marBottom w:val="0"/>
          <w:divBdr>
            <w:top w:val="none" w:sz="0" w:space="0" w:color="auto"/>
            <w:left w:val="none" w:sz="0" w:space="0" w:color="auto"/>
            <w:bottom w:val="none" w:sz="0" w:space="0" w:color="auto"/>
            <w:right w:val="none" w:sz="0" w:space="0" w:color="auto"/>
          </w:divBdr>
        </w:div>
      </w:divsChild>
    </w:div>
    <w:div w:id="74866219">
      <w:bodyDiv w:val="1"/>
      <w:marLeft w:val="0"/>
      <w:marRight w:val="0"/>
      <w:marTop w:val="0"/>
      <w:marBottom w:val="0"/>
      <w:divBdr>
        <w:top w:val="none" w:sz="0" w:space="0" w:color="auto"/>
        <w:left w:val="none" w:sz="0" w:space="0" w:color="auto"/>
        <w:bottom w:val="none" w:sz="0" w:space="0" w:color="auto"/>
        <w:right w:val="none" w:sz="0" w:space="0" w:color="auto"/>
      </w:divBdr>
    </w:div>
    <w:div w:id="74976374">
      <w:bodyDiv w:val="1"/>
      <w:marLeft w:val="0"/>
      <w:marRight w:val="0"/>
      <w:marTop w:val="0"/>
      <w:marBottom w:val="0"/>
      <w:divBdr>
        <w:top w:val="none" w:sz="0" w:space="0" w:color="auto"/>
        <w:left w:val="none" w:sz="0" w:space="0" w:color="auto"/>
        <w:bottom w:val="none" w:sz="0" w:space="0" w:color="auto"/>
        <w:right w:val="none" w:sz="0" w:space="0" w:color="auto"/>
      </w:divBdr>
    </w:div>
    <w:div w:id="74982773">
      <w:bodyDiv w:val="1"/>
      <w:marLeft w:val="0"/>
      <w:marRight w:val="0"/>
      <w:marTop w:val="0"/>
      <w:marBottom w:val="0"/>
      <w:divBdr>
        <w:top w:val="none" w:sz="0" w:space="0" w:color="auto"/>
        <w:left w:val="none" w:sz="0" w:space="0" w:color="auto"/>
        <w:bottom w:val="none" w:sz="0" w:space="0" w:color="auto"/>
        <w:right w:val="none" w:sz="0" w:space="0" w:color="auto"/>
      </w:divBdr>
    </w:div>
    <w:div w:id="75057143">
      <w:bodyDiv w:val="1"/>
      <w:marLeft w:val="0"/>
      <w:marRight w:val="0"/>
      <w:marTop w:val="0"/>
      <w:marBottom w:val="0"/>
      <w:divBdr>
        <w:top w:val="none" w:sz="0" w:space="0" w:color="auto"/>
        <w:left w:val="none" w:sz="0" w:space="0" w:color="auto"/>
        <w:bottom w:val="none" w:sz="0" w:space="0" w:color="auto"/>
        <w:right w:val="none" w:sz="0" w:space="0" w:color="auto"/>
      </w:divBdr>
    </w:div>
    <w:div w:id="75129608">
      <w:bodyDiv w:val="1"/>
      <w:marLeft w:val="0"/>
      <w:marRight w:val="0"/>
      <w:marTop w:val="0"/>
      <w:marBottom w:val="0"/>
      <w:divBdr>
        <w:top w:val="none" w:sz="0" w:space="0" w:color="auto"/>
        <w:left w:val="none" w:sz="0" w:space="0" w:color="auto"/>
        <w:bottom w:val="none" w:sz="0" w:space="0" w:color="auto"/>
        <w:right w:val="none" w:sz="0" w:space="0" w:color="auto"/>
      </w:divBdr>
    </w:div>
    <w:div w:id="75170141">
      <w:bodyDiv w:val="1"/>
      <w:marLeft w:val="0"/>
      <w:marRight w:val="0"/>
      <w:marTop w:val="0"/>
      <w:marBottom w:val="0"/>
      <w:divBdr>
        <w:top w:val="none" w:sz="0" w:space="0" w:color="auto"/>
        <w:left w:val="none" w:sz="0" w:space="0" w:color="auto"/>
        <w:bottom w:val="none" w:sz="0" w:space="0" w:color="auto"/>
        <w:right w:val="none" w:sz="0" w:space="0" w:color="auto"/>
      </w:divBdr>
    </w:div>
    <w:div w:id="75322985">
      <w:bodyDiv w:val="1"/>
      <w:marLeft w:val="0"/>
      <w:marRight w:val="0"/>
      <w:marTop w:val="0"/>
      <w:marBottom w:val="0"/>
      <w:divBdr>
        <w:top w:val="none" w:sz="0" w:space="0" w:color="auto"/>
        <w:left w:val="none" w:sz="0" w:space="0" w:color="auto"/>
        <w:bottom w:val="none" w:sz="0" w:space="0" w:color="auto"/>
        <w:right w:val="none" w:sz="0" w:space="0" w:color="auto"/>
      </w:divBdr>
    </w:div>
    <w:div w:id="75323952">
      <w:bodyDiv w:val="1"/>
      <w:marLeft w:val="0"/>
      <w:marRight w:val="0"/>
      <w:marTop w:val="0"/>
      <w:marBottom w:val="0"/>
      <w:divBdr>
        <w:top w:val="none" w:sz="0" w:space="0" w:color="auto"/>
        <w:left w:val="none" w:sz="0" w:space="0" w:color="auto"/>
        <w:bottom w:val="none" w:sz="0" w:space="0" w:color="auto"/>
        <w:right w:val="none" w:sz="0" w:space="0" w:color="auto"/>
      </w:divBdr>
    </w:div>
    <w:div w:id="75397986">
      <w:bodyDiv w:val="1"/>
      <w:marLeft w:val="0"/>
      <w:marRight w:val="0"/>
      <w:marTop w:val="0"/>
      <w:marBottom w:val="0"/>
      <w:divBdr>
        <w:top w:val="none" w:sz="0" w:space="0" w:color="auto"/>
        <w:left w:val="none" w:sz="0" w:space="0" w:color="auto"/>
        <w:bottom w:val="none" w:sz="0" w:space="0" w:color="auto"/>
        <w:right w:val="none" w:sz="0" w:space="0" w:color="auto"/>
      </w:divBdr>
    </w:div>
    <w:div w:id="75399069">
      <w:bodyDiv w:val="1"/>
      <w:marLeft w:val="0"/>
      <w:marRight w:val="0"/>
      <w:marTop w:val="0"/>
      <w:marBottom w:val="0"/>
      <w:divBdr>
        <w:top w:val="none" w:sz="0" w:space="0" w:color="auto"/>
        <w:left w:val="none" w:sz="0" w:space="0" w:color="auto"/>
        <w:bottom w:val="none" w:sz="0" w:space="0" w:color="auto"/>
        <w:right w:val="none" w:sz="0" w:space="0" w:color="auto"/>
      </w:divBdr>
    </w:div>
    <w:div w:id="75782986">
      <w:bodyDiv w:val="1"/>
      <w:marLeft w:val="0"/>
      <w:marRight w:val="0"/>
      <w:marTop w:val="0"/>
      <w:marBottom w:val="0"/>
      <w:divBdr>
        <w:top w:val="none" w:sz="0" w:space="0" w:color="auto"/>
        <w:left w:val="none" w:sz="0" w:space="0" w:color="auto"/>
        <w:bottom w:val="none" w:sz="0" w:space="0" w:color="auto"/>
        <w:right w:val="none" w:sz="0" w:space="0" w:color="auto"/>
      </w:divBdr>
    </w:div>
    <w:div w:id="75832085">
      <w:bodyDiv w:val="1"/>
      <w:marLeft w:val="0"/>
      <w:marRight w:val="0"/>
      <w:marTop w:val="0"/>
      <w:marBottom w:val="0"/>
      <w:divBdr>
        <w:top w:val="none" w:sz="0" w:space="0" w:color="auto"/>
        <w:left w:val="none" w:sz="0" w:space="0" w:color="auto"/>
        <w:bottom w:val="none" w:sz="0" w:space="0" w:color="auto"/>
        <w:right w:val="none" w:sz="0" w:space="0" w:color="auto"/>
      </w:divBdr>
    </w:div>
    <w:div w:id="75903492">
      <w:bodyDiv w:val="1"/>
      <w:marLeft w:val="0"/>
      <w:marRight w:val="0"/>
      <w:marTop w:val="0"/>
      <w:marBottom w:val="0"/>
      <w:divBdr>
        <w:top w:val="none" w:sz="0" w:space="0" w:color="auto"/>
        <w:left w:val="none" w:sz="0" w:space="0" w:color="auto"/>
        <w:bottom w:val="none" w:sz="0" w:space="0" w:color="auto"/>
        <w:right w:val="none" w:sz="0" w:space="0" w:color="auto"/>
      </w:divBdr>
    </w:div>
    <w:div w:id="75905665">
      <w:bodyDiv w:val="1"/>
      <w:marLeft w:val="0"/>
      <w:marRight w:val="0"/>
      <w:marTop w:val="0"/>
      <w:marBottom w:val="0"/>
      <w:divBdr>
        <w:top w:val="none" w:sz="0" w:space="0" w:color="auto"/>
        <w:left w:val="none" w:sz="0" w:space="0" w:color="auto"/>
        <w:bottom w:val="none" w:sz="0" w:space="0" w:color="auto"/>
        <w:right w:val="none" w:sz="0" w:space="0" w:color="auto"/>
      </w:divBdr>
    </w:div>
    <w:div w:id="75977101">
      <w:bodyDiv w:val="1"/>
      <w:marLeft w:val="0"/>
      <w:marRight w:val="0"/>
      <w:marTop w:val="0"/>
      <w:marBottom w:val="0"/>
      <w:divBdr>
        <w:top w:val="none" w:sz="0" w:space="0" w:color="auto"/>
        <w:left w:val="none" w:sz="0" w:space="0" w:color="auto"/>
        <w:bottom w:val="none" w:sz="0" w:space="0" w:color="auto"/>
        <w:right w:val="none" w:sz="0" w:space="0" w:color="auto"/>
      </w:divBdr>
    </w:div>
    <w:div w:id="75977722">
      <w:bodyDiv w:val="1"/>
      <w:marLeft w:val="0"/>
      <w:marRight w:val="0"/>
      <w:marTop w:val="0"/>
      <w:marBottom w:val="0"/>
      <w:divBdr>
        <w:top w:val="none" w:sz="0" w:space="0" w:color="auto"/>
        <w:left w:val="none" w:sz="0" w:space="0" w:color="auto"/>
        <w:bottom w:val="none" w:sz="0" w:space="0" w:color="auto"/>
        <w:right w:val="none" w:sz="0" w:space="0" w:color="auto"/>
      </w:divBdr>
    </w:div>
    <w:div w:id="75981569">
      <w:bodyDiv w:val="1"/>
      <w:marLeft w:val="0"/>
      <w:marRight w:val="0"/>
      <w:marTop w:val="0"/>
      <w:marBottom w:val="0"/>
      <w:divBdr>
        <w:top w:val="none" w:sz="0" w:space="0" w:color="auto"/>
        <w:left w:val="none" w:sz="0" w:space="0" w:color="auto"/>
        <w:bottom w:val="none" w:sz="0" w:space="0" w:color="auto"/>
        <w:right w:val="none" w:sz="0" w:space="0" w:color="auto"/>
      </w:divBdr>
    </w:div>
    <w:div w:id="76022112">
      <w:bodyDiv w:val="1"/>
      <w:marLeft w:val="0"/>
      <w:marRight w:val="0"/>
      <w:marTop w:val="0"/>
      <w:marBottom w:val="0"/>
      <w:divBdr>
        <w:top w:val="none" w:sz="0" w:space="0" w:color="auto"/>
        <w:left w:val="none" w:sz="0" w:space="0" w:color="auto"/>
        <w:bottom w:val="none" w:sz="0" w:space="0" w:color="auto"/>
        <w:right w:val="none" w:sz="0" w:space="0" w:color="auto"/>
      </w:divBdr>
    </w:div>
    <w:div w:id="76099409">
      <w:bodyDiv w:val="1"/>
      <w:marLeft w:val="0"/>
      <w:marRight w:val="0"/>
      <w:marTop w:val="0"/>
      <w:marBottom w:val="0"/>
      <w:divBdr>
        <w:top w:val="none" w:sz="0" w:space="0" w:color="auto"/>
        <w:left w:val="none" w:sz="0" w:space="0" w:color="auto"/>
        <w:bottom w:val="none" w:sz="0" w:space="0" w:color="auto"/>
        <w:right w:val="none" w:sz="0" w:space="0" w:color="auto"/>
      </w:divBdr>
    </w:div>
    <w:div w:id="76102905">
      <w:bodyDiv w:val="1"/>
      <w:marLeft w:val="0"/>
      <w:marRight w:val="0"/>
      <w:marTop w:val="0"/>
      <w:marBottom w:val="0"/>
      <w:divBdr>
        <w:top w:val="none" w:sz="0" w:space="0" w:color="auto"/>
        <w:left w:val="none" w:sz="0" w:space="0" w:color="auto"/>
        <w:bottom w:val="none" w:sz="0" w:space="0" w:color="auto"/>
        <w:right w:val="none" w:sz="0" w:space="0" w:color="auto"/>
      </w:divBdr>
    </w:div>
    <w:div w:id="76176938">
      <w:bodyDiv w:val="1"/>
      <w:marLeft w:val="0"/>
      <w:marRight w:val="0"/>
      <w:marTop w:val="0"/>
      <w:marBottom w:val="0"/>
      <w:divBdr>
        <w:top w:val="none" w:sz="0" w:space="0" w:color="auto"/>
        <w:left w:val="none" w:sz="0" w:space="0" w:color="auto"/>
        <w:bottom w:val="none" w:sz="0" w:space="0" w:color="auto"/>
        <w:right w:val="none" w:sz="0" w:space="0" w:color="auto"/>
      </w:divBdr>
    </w:div>
    <w:div w:id="76246122">
      <w:bodyDiv w:val="1"/>
      <w:marLeft w:val="0"/>
      <w:marRight w:val="0"/>
      <w:marTop w:val="0"/>
      <w:marBottom w:val="0"/>
      <w:divBdr>
        <w:top w:val="none" w:sz="0" w:space="0" w:color="auto"/>
        <w:left w:val="none" w:sz="0" w:space="0" w:color="auto"/>
        <w:bottom w:val="none" w:sz="0" w:space="0" w:color="auto"/>
        <w:right w:val="none" w:sz="0" w:space="0" w:color="auto"/>
      </w:divBdr>
    </w:div>
    <w:div w:id="76296573">
      <w:bodyDiv w:val="1"/>
      <w:marLeft w:val="0"/>
      <w:marRight w:val="0"/>
      <w:marTop w:val="0"/>
      <w:marBottom w:val="0"/>
      <w:divBdr>
        <w:top w:val="none" w:sz="0" w:space="0" w:color="auto"/>
        <w:left w:val="none" w:sz="0" w:space="0" w:color="auto"/>
        <w:bottom w:val="none" w:sz="0" w:space="0" w:color="auto"/>
        <w:right w:val="none" w:sz="0" w:space="0" w:color="auto"/>
      </w:divBdr>
    </w:div>
    <w:div w:id="76366544">
      <w:bodyDiv w:val="1"/>
      <w:marLeft w:val="0"/>
      <w:marRight w:val="0"/>
      <w:marTop w:val="0"/>
      <w:marBottom w:val="0"/>
      <w:divBdr>
        <w:top w:val="none" w:sz="0" w:space="0" w:color="auto"/>
        <w:left w:val="none" w:sz="0" w:space="0" w:color="auto"/>
        <w:bottom w:val="none" w:sz="0" w:space="0" w:color="auto"/>
        <w:right w:val="none" w:sz="0" w:space="0" w:color="auto"/>
      </w:divBdr>
    </w:div>
    <w:div w:id="76368115">
      <w:bodyDiv w:val="1"/>
      <w:marLeft w:val="0"/>
      <w:marRight w:val="0"/>
      <w:marTop w:val="0"/>
      <w:marBottom w:val="0"/>
      <w:divBdr>
        <w:top w:val="none" w:sz="0" w:space="0" w:color="auto"/>
        <w:left w:val="none" w:sz="0" w:space="0" w:color="auto"/>
        <w:bottom w:val="none" w:sz="0" w:space="0" w:color="auto"/>
        <w:right w:val="none" w:sz="0" w:space="0" w:color="auto"/>
      </w:divBdr>
    </w:div>
    <w:div w:id="76371173">
      <w:bodyDiv w:val="1"/>
      <w:marLeft w:val="0"/>
      <w:marRight w:val="0"/>
      <w:marTop w:val="0"/>
      <w:marBottom w:val="0"/>
      <w:divBdr>
        <w:top w:val="none" w:sz="0" w:space="0" w:color="auto"/>
        <w:left w:val="none" w:sz="0" w:space="0" w:color="auto"/>
        <w:bottom w:val="none" w:sz="0" w:space="0" w:color="auto"/>
        <w:right w:val="none" w:sz="0" w:space="0" w:color="auto"/>
      </w:divBdr>
    </w:div>
    <w:div w:id="76440298">
      <w:bodyDiv w:val="1"/>
      <w:marLeft w:val="0"/>
      <w:marRight w:val="0"/>
      <w:marTop w:val="0"/>
      <w:marBottom w:val="0"/>
      <w:divBdr>
        <w:top w:val="none" w:sz="0" w:space="0" w:color="auto"/>
        <w:left w:val="none" w:sz="0" w:space="0" w:color="auto"/>
        <w:bottom w:val="none" w:sz="0" w:space="0" w:color="auto"/>
        <w:right w:val="none" w:sz="0" w:space="0" w:color="auto"/>
      </w:divBdr>
    </w:div>
    <w:div w:id="76442369">
      <w:bodyDiv w:val="1"/>
      <w:marLeft w:val="0"/>
      <w:marRight w:val="0"/>
      <w:marTop w:val="0"/>
      <w:marBottom w:val="0"/>
      <w:divBdr>
        <w:top w:val="none" w:sz="0" w:space="0" w:color="auto"/>
        <w:left w:val="none" w:sz="0" w:space="0" w:color="auto"/>
        <w:bottom w:val="none" w:sz="0" w:space="0" w:color="auto"/>
        <w:right w:val="none" w:sz="0" w:space="0" w:color="auto"/>
      </w:divBdr>
    </w:div>
    <w:div w:id="76755722">
      <w:bodyDiv w:val="1"/>
      <w:marLeft w:val="0"/>
      <w:marRight w:val="0"/>
      <w:marTop w:val="0"/>
      <w:marBottom w:val="0"/>
      <w:divBdr>
        <w:top w:val="none" w:sz="0" w:space="0" w:color="auto"/>
        <w:left w:val="none" w:sz="0" w:space="0" w:color="auto"/>
        <w:bottom w:val="none" w:sz="0" w:space="0" w:color="auto"/>
        <w:right w:val="none" w:sz="0" w:space="0" w:color="auto"/>
      </w:divBdr>
    </w:div>
    <w:div w:id="76901274">
      <w:bodyDiv w:val="1"/>
      <w:marLeft w:val="0"/>
      <w:marRight w:val="0"/>
      <w:marTop w:val="0"/>
      <w:marBottom w:val="0"/>
      <w:divBdr>
        <w:top w:val="none" w:sz="0" w:space="0" w:color="auto"/>
        <w:left w:val="none" w:sz="0" w:space="0" w:color="auto"/>
        <w:bottom w:val="none" w:sz="0" w:space="0" w:color="auto"/>
        <w:right w:val="none" w:sz="0" w:space="0" w:color="auto"/>
      </w:divBdr>
    </w:div>
    <w:div w:id="76904683">
      <w:bodyDiv w:val="1"/>
      <w:marLeft w:val="0"/>
      <w:marRight w:val="0"/>
      <w:marTop w:val="0"/>
      <w:marBottom w:val="0"/>
      <w:divBdr>
        <w:top w:val="none" w:sz="0" w:space="0" w:color="auto"/>
        <w:left w:val="none" w:sz="0" w:space="0" w:color="auto"/>
        <w:bottom w:val="none" w:sz="0" w:space="0" w:color="auto"/>
        <w:right w:val="none" w:sz="0" w:space="0" w:color="auto"/>
      </w:divBdr>
    </w:div>
    <w:div w:id="77136651">
      <w:bodyDiv w:val="1"/>
      <w:marLeft w:val="0"/>
      <w:marRight w:val="0"/>
      <w:marTop w:val="0"/>
      <w:marBottom w:val="0"/>
      <w:divBdr>
        <w:top w:val="none" w:sz="0" w:space="0" w:color="auto"/>
        <w:left w:val="none" w:sz="0" w:space="0" w:color="auto"/>
        <w:bottom w:val="none" w:sz="0" w:space="0" w:color="auto"/>
        <w:right w:val="none" w:sz="0" w:space="0" w:color="auto"/>
      </w:divBdr>
    </w:div>
    <w:div w:id="77295257">
      <w:bodyDiv w:val="1"/>
      <w:marLeft w:val="0"/>
      <w:marRight w:val="0"/>
      <w:marTop w:val="0"/>
      <w:marBottom w:val="0"/>
      <w:divBdr>
        <w:top w:val="none" w:sz="0" w:space="0" w:color="auto"/>
        <w:left w:val="none" w:sz="0" w:space="0" w:color="auto"/>
        <w:bottom w:val="none" w:sz="0" w:space="0" w:color="auto"/>
        <w:right w:val="none" w:sz="0" w:space="0" w:color="auto"/>
      </w:divBdr>
    </w:div>
    <w:div w:id="77407115">
      <w:bodyDiv w:val="1"/>
      <w:marLeft w:val="0"/>
      <w:marRight w:val="0"/>
      <w:marTop w:val="0"/>
      <w:marBottom w:val="0"/>
      <w:divBdr>
        <w:top w:val="none" w:sz="0" w:space="0" w:color="auto"/>
        <w:left w:val="none" w:sz="0" w:space="0" w:color="auto"/>
        <w:bottom w:val="none" w:sz="0" w:space="0" w:color="auto"/>
        <w:right w:val="none" w:sz="0" w:space="0" w:color="auto"/>
      </w:divBdr>
    </w:div>
    <w:div w:id="77408447">
      <w:bodyDiv w:val="1"/>
      <w:marLeft w:val="0"/>
      <w:marRight w:val="0"/>
      <w:marTop w:val="0"/>
      <w:marBottom w:val="0"/>
      <w:divBdr>
        <w:top w:val="none" w:sz="0" w:space="0" w:color="auto"/>
        <w:left w:val="none" w:sz="0" w:space="0" w:color="auto"/>
        <w:bottom w:val="none" w:sz="0" w:space="0" w:color="auto"/>
        <w:right w:val="none" w:sz="0" w:space="0" w:color="auto"/>
      </w:divBdr>
    </w:div>
    <w:div w:id="77485362">
      <w:bodyDiv w:val="1"/>
      <w:marLeft w:val="0"/>
      <w:marRight w:val="0"/>
      <w:marTop w:val="0"/>
      <w:marBottom w:val="0"/>
      <w:divBdr>
        <w:top w:val="none" w:sz="0" w:space="0" w:color="auto"/>
        <w:left w:val="none" w:sz="0" w:space="0" w:color="auto"/>
        <w:bottom w:val="none" w:sz="0" w:space="0" w:color="auto"/>
        <w:right w:val="none" w:sz="0" w:space="0" w:color="auto"/>
      </w:divBdr>
    </w:div>
    <w:div w:id="77529346">
      <w:bodyDiv w:val="1"/>
      <w:marLeft w:val="0"/>
      <w:marRight w:val="0"/>
      <w:marTop w:val="0"/>
      <w:marBottom w:val="0"/>
      <w:divBdr>
        <w:top w:val="none" w:sz="0" w:space="0" w:color="auto"/>
        <w:left w:val="none" w:sz="0" w:space="0" w:color="auto"/>
        <w:bottom w:val="none" w:sz="0" w:space="0" w:color="auto"/>
        <w:right w:val="none" w:sz="0" w:space="0" w:color="auto"/>
      </w:divBdr>
    </w:div>
    <w:div w:id="77681801">
      <w:bodyDiv w:val="1"/>
      <w:marLeft w:val="0"/>
      <w:marRight w:val="0"/>
      <w:marTop w:val="0"/>
      <w:marBottom w:val="0"/>
      <w:divBdr>
        <w:top w:val="none" w:sz="0" w:space="0" w:color="auto"/>
        <w:left w:val="none" w:sz="0" w:space="0" w:color="auto"/>
        <w:bottom w:val="none" w:sz="0" w:space="0" w:color="auto"/>
        <w:right w:val="none" w:sz="0" w:space="0" w:color="auto"/>
      </w:divBdr>
    </w:div>
    <w:div w:id="77751771">
      <w:bodyDiv w:val="1"/>
      <w:marLeft w:val="0"/>
      <w:marRight w:val="0"/>
      <w:marTop w:val="0"/>
      <w:marBottom w:val="0"/>
      <w:divBdr>
        <w:top w:val="none" w:sz="0" w:space="0" w:color="auto"/>
        <w:left w:val="none" w:sz="0" w:space="0" w:color="auto"/>
        <w:bottom w:val="none" w:sz="0" w:space="0" w:color="auto"/>
        <w:right w:val="none" w:sz="0" w:space="0" w:color="auto"/>
      </w:divBdr>
    </w:div>
    <w:div w:id="77751838">
      <w:bodyDiv w:val="1"/>
      <w:marLeft w:val="0"/>
      <w:marRight w:val="0"/>
      <w:marTop w:val="0"/>
      <w:marBottom w:val="0"/>
      <w:divBdr>
        <w:top w:val="none" w:sz="0" w:space="0" w:color="auto"/>
        <w:left w:val="none" w:sz="0" w:space="0" w:color="auto"/>
        <w:bottom w:val="none" w:sz="0" w:space="0" w:color="auto"/>
        <w:right w:val="none" w:sz="0" w:space="0" w:color="auto"/>
      </w:divBdr>
    </w:div>
    <w:div w:id="77751972">
      <w:bodyDiv w:val="1"/>
      <w:marLeft w:val="0"/>
      <w:marRight w:val="0"/>
      <w:marTop w:val="0"/>
      <w:marBottom w:val="0"/>
      <w:divBdr>
        <w:top w:val="none" w:sz="0" w:space="0" w:color="auto"/>
        <w:left w:val="none" w:sz="0" w:space="0" w:color="auto"/>
        <w:bottom w:val="none" w:sz="0" w:space="0" w:color="auto"/>
        <w:right w:val="none" w:sz="0" w:space="0" w:color="auto"/>
      </w:divBdr>
    </w:div>
    <w:div w:id="77950211">
      <w:bodyDiv w:val="1"/>
      <w:marLeft w:val="0"/>
      <w:marRight w:val="0"/>
      <w:marTop w:val="0"/>
      <w:marBottom w:val="0"/>
      <w:divBdr>
        <w:top w:val="none" w:sz="0" w:space="0" w:color="auto"/>
        <w:left w:val="none" w:sz="0" w:space="0" w:color="auto"/>
        <w:bottom w:val="none" w:sz="0" w:space="0" w:color="auto"/>
        <w:right w:val="none" w:sz="0" w:space="0" w:color="auto"/>
      </w:divBdr>
    </w:div>
    <w:div w:id="78139588">
      <w:bodyDiv w:val="1"/>
      <w:marLeft w:val="0"/>
      <w:marRight w:val="0"/>
      <w:marTop w:val="0"/>
      <w:marBottom w:val="0"/>
      <w:divBdr>
        <w:top w:val="none" w:sz="0" w:space="0" w:color="auto"/>
        <w:left w:val="none" w:sz="0" w:space="0" w:color="auto"/>
        <w:bottom w:val="none" w:sz="0" w:space="0" w:color="auto"/>
        <w:right w:val="none" w:sz="0" w:space="0" w:color="auto"/>
      </w:divBdr>
    </w:div>
    <w:div w:id="78139937">
      <w:bodyDiv w:val="1"/>
      <w:marLeft w:val="0"/>
      <w:marRight w:val="0"/>
      <w:marTop w:val="0"/>
      <w:marBottom w:val="0"/>
      <w:divBdr>
        <w:top w:val="none" w:sz="0" w:space="0" w:color="auto"/>
        <w:left w:val="none" w:sz="0" w:space="0" w:color="auto"/>
        <w:bottom w:val="none" w:sz="0" w:space="0" w:color="auto"/>
        <w:right w:val="none" w:sz="0" w:space="0" w:color="auto"/>
      </w:divBdr>
    </w:div>
    <w:div w:id="78215017">
      <w:bodyDiv w:val="1"/>
      <w:marLeft w:val="0"/>
      <w:marRight w:val="0"/>
      <w:marTop w:val="0"/>
      <w:marBottom w:val="0"/>
      <w:divBdr>
        <w:top w:val="none" w:sz="0" w:space="0" w:color="auto"/>
        <w:left w:val="none" w:sz="0" w:space="0" w:color="auto"/>
        <w:bottom w:val="none" w:sz="0" w:space="0" w:color="auto"/>
        <w:right w:val="none" w:sz="0" w:space="0" w:color="auto"/>
      </w:divBdr>
    </w:div>
    <w:div w:id="78332997">
      <w:bodyDiv w:val="1"/>
      <w:marLeft w:val="0"/>
      <w:marRight w:val="0"/>
      <w:marTop w:val="0"/>
      <w:marBottom w:val="0"/>
      <w:divBdr>
        <w:top w:val="none" w:sz="0" w:space="0" w:color="auto"/>
        <w:left w:val="none" w:sz="0" w:space="0" w:color="auto"/>
        <w:bottom w:val="none" w:sz="0" w:space="0" w:color="auto"/>
        <w:right w:val="none" w:sz="0" w:space="0" w:color="auto"/>
      </w:divBdr>
    </w:div>
    <w:div w:id="78404182">
      <w:bodyDiv w:val="1"/>
      <w:marLeft w:val="0"/>
      <w:marRight w:val="0"/>
      <w:marTop w:val="0"/>
      <w:marBottom w:val="0"/>
      <w:divBdr>
        <w:top w:val="none" w:sz="0" w:space="0" w:color="auto"/>
        <w:left w:val="none" w:sz="0" w:space="0" w:color="auto"/>
        <w:bottom w:val="none" w:sz="0" w:space="0" w:color="auto"/>
        <w:right w:val="none" w:sz="0" w:space="0" w:color="auto"/>
      </w:divBdr>
    </w:div>
    <w:div w:id="78407121">
      <w:bodyDiv w:val="1"/>
      <w:marLeft w:val="0"/>
      <w:marRight w:val="0"/>
      <w:marTop w:val="0"/>
      <w:marBottom w:val="0"/>
      <w:divBdr>
        <w:top w:val="none" w:sz="0" w:space="0" w:color="auto"/>
        <w:left w:val="none" w:sz="0" w:space="0" w:color="auto"/>
        <w:bottom w:val="none" w:sz="0" w:space="0" w:color="auto"/>
        <w:right w:val="none" w:sz="0" w:space="0" w:color="auto"/>
      </w:divBdr>
    </w:div>
    <w:div w:id="78447780">
      <w:bodyDiv w:val="1"/>
      <w:marLeft w:val="0"/>
      <w:marRight w:val="0"/>
      <w:marTop w:val="0"/>
      <w:marBottom w:val="0"/>
      <w:divBdr>
        <w:top w:val="none" w:sz="0" w:space="0" w:color="auto"/>
        <w:left w:val="none" w:sz="0" w:space="0" w:color="auto"/>
        <w:bottom w:val="none" w:sz="0" w:space="0" w:color="auto"/>
        <w:right w:val="none" w:sz="0" w:space="0" w:color="auto"/>
      </w:divBdr>
    </w:div>
    <w:div w:id="78523924">
      <w:bodyDiv w:val="1"/>
      <w:marLeft w:val="0"/>
      <w:marRight w:val="0"/>
      <w:marTop w:val="0"/>
      <w:marBottom w:val="0"/>
      <w:divBdr>
        <w:top w:val="none" w:sz="0" w:space="0" w:color="auto"/>
        <w:left w:val="none" w:sz="0" w:space="0" w:color="auto"/>
        <w:bottom w:val="none" w:sz="0" w:space="0" w:color="auto"/>
        <w:right w:val="none" w:sz="0" w:space="0" w:color="auto"/>
      </w:divBdr>
    </w:div>
    <w:div w:id="78604126">
      <w:bodyDiv w:val="1"/>
      <w:marLeft w:val="0"/>
      <w:marRight w:val="0"/>
      <w:marTop w:val="0"/>
      <w:marBottom w:val="0"/>
      <w:divBdr>
        <w:top w:val="none" w:sz="0" w:space="0" w:color="auto"/>
        <w:left w:val="none" w:sz="0" w:space="0" w:color="auto"/>
        <w:bottom w:val="none" w:sz="0" w:space="0" w:color="auto"/>
        <w:right w:val="none" w:sz="0" w:space="0" w:color="auto"/>
      </w:divBdr>
    </w:div>
    <w:div w:id="78646840">
      <w:bodyDiv w:val="1"/>
      <w:marLeft w:val="0"/>
      <w:marRight w:val="0"/>
      <w:marTop w:val="0"/>
      <w:marBottom w:val="0"/>
      <w:divBdr>
        <w:top w:val="none" w:sz="0" w:space="0" w:color="auto"/>
        <w:left w:val="none" w:sz="0" w:space="0" w:color="auto"/>
        <w:bottom w:val="none" w:sz="0" w:space="0" w:color="auto"/>
        <w:right w:val="none" w:sz="0" w:space="0" w:color="auto"/>
      </w:divBdr>
    </w:div>
    <w:div w:id="78715664">
      <w:bodyDiv w:val="1"/>
      <w:marLeft w:val="0"/>
      <w:marRight w:val="0"/>
      <w:marTop w:val="0"/>
      <w:marBottom w:val="0"/>
      <w:divBdr>
        <w:top w:val="none" w:sz="0" w:space="0" w:color="auto"/>
        <w:left w:val="none" w:sz="0" w:space="0" w:color="auto"/>
        <w:bottom w:val="none" w:sz="0" w:space="0" w:color="auto"/>
        <w:right w:val="none" w:sz="0" w:space="0" w:color="auto"/>
      </w:divBdr>
    </w:div>
    <w:div w:id="78841855">
      <w:bodyDiv w:val="1"/>
      <w:marLeft w:val="0"/>
      <w:marRight w:val="0"/>
      <w:marTop w:val="0"/>
      <w:marBottom w:val="0"/>
      <w:divBdr>
        <w:top w:val="none" w:sz="0" w:space="0" w:color="auto"/>
        <w:left w:val="none" w:sz="0" w:space="0" w:color="auto"/>
        <w:bottom w:val="none" w:sz="0" w:space="0" w:color="auto"/>
        <w:right w:val="none" w:sz="0" w:space="0" w:color="auto"/>
      </w:divBdr>
    </w:div>
    <w:div w:id="79061672">
      <w:bodyDiv w:val="1"/>
      <w:marLeft w:val="0"/>
      <w:marRight w:val="0"/>
      <w:marTop w:val="0"/>
      <w:marBottom w:val="0"/>
      <w:divBdr>
        <w:top w:val="none" w:sz="0" w:space="0" w:color="auto"/>
        <w:left w:val="none" w:sz="0" w:space="0" w:color="auto"/>
        <w:bottom w:val="none" w:sz="0" w:space="0" w:color="auto"/>
        <w:right w:val="none" w:sz="0" w:space="0" w:color="auto"/>
      </w:divBdr>
    </w:div>
    <w:div w:id="79110245">
      <w:bodyDiv w:val="1"/>
      <w:marLeft w:val="0"/>
      <w:marRight w:val="0"/>
      <w:marTop w:val="0"/>
      <w:marBottom w:val="0"/>
      <w:divBdr>
        <w:top w:val="none" w:sz="0" w:space="0" w:color="auto"/>
        <w:left w:val="none" w:sz="0" w:space="0" w:color="auto"/>
        <w:bottom w:val="none" w:sz="0" w:space="0" w:color="auto"/>
        <w:right w:val="none" w:sz="0" w:space="0" w:color="auto"/>
      </w:divBdr>
    </w:div>
    <w:div w:id="79179039">
      <w:bodyDiv w:val="1"/>
      <w:marLeft w:val="0"/>
      <w:marRight w:val="0"/>
      <w:marTop w:val="0"/>
      <w:marBottom w:val="0"/>
      <w:divBdr>
        <w:top w:val="none" w:sz="0" w:space="0" w:color="auto"/>
        <w:left w:val="none" w:sz="0" w:space="0" w:color="auto"/>
        <w:bottom w:val="none" w:sz="0" w:space="0" w:color="auto"/>
        <w:right w:val="none" w:sz="0" w:space="0" w:color="auto"/>
      </w:divBdr>
    </w:div>
    <w:div w:id="79182443">
      <w:bodyDiv w:val="1"/>
      <w:marLeft w:val="0"/>
      <w:marRight w:val="0"/>
      <w:marTop w:val="0"/>
      <w:marBottom w:val="0"/>
      <w:divBdr>
        <w:top w:val="none" w:sz="0" w:space="0" w:color="auto"/>
        <w:left w:val="none" w:sz="0" w:space="0" w:color="auto"/>
        <w:bottom w:val="none" w:sz="0" w:space="0" w:color="auto"/>
        <w:right w:val="none" w:sz="0" w:space="0" w:color="auto"/>
      </w:divBdr>
    </w:div>
    <w:div w:id="79184112">
      <w:bodyDiv w:val="1"/>
      <w:marLeft w:val="0"/>
      <w:marRight w:val="0"/>
      <w:marTop w:val="0"/>
      <w:marBottom w:val="0"/>
      <w:divBdr>
        <w:top w:val="none" w:sz="0" w:space="0" w:color="auto"/>
        <w:left w:val="none" w:sz="0" w:space="0" w:color="auto"/>
        <w:bottom w:val="none" w:sz="0" w:space="0" w:color="auto"/>
        <w:right w:val="none" w:sz="0" w:space="0" w:color="auto"/>
      </w:divBdr>
    </w:div>
    <w:div w:id="79185817">
      <w:bodyDiv w:val="1"/>
      <w:marLeft w:val="0"/>
      <w:marRight w:val="0"/>
      <w:marTop w:val="0"/>
      <w:marBottom w:val="0"/>
      <w:divBdr>
        <w:top w:val="none" w:sz="0" w:space="0" w:color="auto"/>
        <w:left w:val="none" w:sz="0" w:space="0" w:color="auto"/>
        <w:bottom w:val="none" w:sz="0" w:space="0" w:color="auto"/>
        <w:right w:val="none" w:sz="0" w:space="0" w:color="auto"/>
      </w:divBdr>
    </w:div>
    <w:div w:id="79304033">
      <w:bodyDiv w:val="1"/>
      <w:marLeft w:val="0"/>
      <w:marRight w:val="0"/>
      <w:marTop w:val="0"/>
      <w:marBottom w:val="0"/>
      <w:divBdr>
        <w:top w:val="none" w:sz="0" w:space="0" w:color="auto"/>
        <w:left w:val="none" w:sz="0" w:space="0" w:color="auto"/>
        <w:bottom w:val="none" w:sz="0" w:space="0" w:color="auto"/>
        <w:right w:val="none" w:sz="0" w:space="0" w:color="auto"/>
      </w:divBdr>
    </w:div>
    <w:div w:id="79372793">
      <w:bodyDiv w:val="1"/>
      <w:marLeft w:val="0"/>
      <w:marRight w:val="0"/>
      <w:marTop w:val="0"/>
      <w:marBottom w:val="0"/>
      <w:divBdr>
        <w:top w:val="none" w:sz="0" w:space="0" w:color="auto"/>
        <w:left w:val="none" w:sz="0" w:space="0" w:color="auto"/>
        <w:bottom w:val="none" w:sz="0" w:space="0" w:color="auto"/>
        <w:right w:val="none" w:sz="0" w:space="0" w:color="auto"/>
      </w:divBdr>
    </w:div>
    <w:div w:id="79495229">
      <w:bodyDiv w:val="1"/>
      <w:marLeft w:val="0"/>
      <w:marRight w:val="0"/>
      <w:marTop w:val="0"/>
      <w:marBottom w:val="0"/>
      <w:divBdr>
        <w:top w:val="none" w:sz="0" w:space="0" w:color="auto"/>
        <w:left w:val="none" w:sz="0" w:space="0" w:color="auto"/>
        <w:bottom w:val="none" w:sz="0" w:space="0" w:color="auto"/>
        <w:right w:val="none" w:sz="0" w:space="0" w:color="auto"/>
      </w:divBdr>
    </w:div>
    <w:div w:id="79569342">
      <w:bodyDiv w:val="1"/>
      <w:marLeft w:val="0"/>
      <w:marRight w:val="0"/>
      <w:marTop w:val="0"/>
      <w:marBottom w:val="0"/>
      <w:divBdr>
        <w:top w:val="none" w:sz="0" w:space="0" w:color="auto"/>
        <w:left w:val="none" w:sz="0" w:space="0" w:color="auto"/>
        <w:bottom w:val="none" w:sz="0" w:space="0" w:color="auto"/>
        <w:right w:val="none" w:sz="0" w:space="0" w:color="auto"/>
      </w:divBdr>
    </w:div>
    <w:div w:id="79644289">
      <w:bodyDiv w:val="1"/>
      <w:marLeft w:val="0"/>
      <w:marRight w:val="0"/>
      <w:marTop w:val="0"/>
      <w:marBottom w:val="0"/>
      <w:divBdr>
        <w:top w:val="none" w:sz="0" w:space="0" w:color="auto"/>
        <w:left w:val="none" w:sz="0" w:space="0" w:color="auto"/>
        <w:bottom w:val="none" w:sz="0" w:space="0" w:color="auto"/>
        <w:right w:val="none" w:sz="0" w:space="0" w:color="auto"/>
      </w:divBdr>
    </w:div>
    <w:div w:id="79646321">
      <w:bodyDiv w:val="1"/>
      <w:marLeft w:val="0"/>
      <w:marRight w:val="0"/>
      <w:marTop w:val="0"/>
      <w:marBottom w:val="0"/>
      <w:divBdr>
        <w:top w:val="none" w:sz="0" w:space="0" w:color="auto"/>
        <w:left w:val="none" w:sz="0" w:space="0" w:color="auto"/>
        <w:bottom w:val="none" w:sz="0" w:space="0" w:color="auto"/>
        <w:right w:val="none" w:sz="0" w:space="0" w:color="auto"/>
      </w:divBdr>
    </w:div>
    <w:div w:id="80030892">
      <w:bodyDiv w:val="1"/>
      <w:marLeft w:val="0"/>
      <w:marRight w:val="0"/>
      <w:marTop w:val="0"/>
      <w:marBottom w:val="0"/>
      <w:divBdr>
        <w:top w:val="none" w:sz="0" w:space="0" w:color="auto"/>
        <w:left w:val="none" w:sz="0" w:space="0" w:color="auto"/>
        <w:bottom w:val="none" w:sz="0" w:space="0" w:color="auto"/>
        <w:right w:val="none" w:sz="0" w:space="0" w:color="auto"/>
      </w:divBdr>
    </w:div>
    <w:div w:id="80104385">
      <w:bodyDiv w:val="1"/>
      <w:marLeft w:val="0"/>
      <w:marRight w:val="0"/>
      <w:marTop w:val="0"/>
      <w:marBottom w:val="0"/>
      <w:divBdr>
        <w:top w:val="none" w:sz="0" w:space="0" w:color="auto"/>
        <w:left w:val="none" w:sz="0" w:space="0" w:color="auto"/>
        <w:bottom w:val="none" w:sz="0" w:space="0" w:color="auto"/>
        <w:right w:val="none" w:sz="0" w:space="0" w:color="auto"/>
      </w:divBdr>
    </w:div>
    <w:div w:id="80107544">
      <w:bodyDiv w:val="1"/>
      <w:marLeft w:val="0"/>
      <w:marRight w:val="0"/>
      <w:marTop w:val="0"/>
      <w:marBottom w:val="0"/>
      <w:divBdr>
        <w:top w:val="none" w:sz="0" w:space="0" w:color="auto"/>
        <w:left w:val="none" w:sz="0" w:space="0" w:color="auto"/>
        <w:bottom w:val="none" w:sz="0" w:space="0" w:color="auto"/>
        <w:right w:val="none" w:sz="0" w:space="0" w:color="auto"/>
      </w:divBdr>
    </w:div>
    <w:div w:id="80177313">
      <w:bodyDiv w:val="1"/>
      <w:marLeft w:val="0"/>
      <w:marRight w:val="0"/>
      <w:marTop w:val="0"/>
      <w:marBottom w:val="0"/>
      <w:divBdr>
        <w:top w:val="none" w:sz="0" w:space="0" w:color="auto"/>
        <w:left w:val="none" w:sz="0" w:space="0" w:color="auto"/>
        <w:bottom w:val="none" w:sz="0" w:space="0" w:color="auto"/>
        <w:right w:val="none" w:sz="0" w:space="0" w:color="auto"/>
      </w:divBdr>
    </w:div>
    <w:div w:id="80180817">
      <w:bodyDiv w:val="1"/>
      <w:marLeft w:val="0"/>
      <w:marRight w:val="0"/>
      <w:marTop w:val="0"/>
      <w:marBottom w:val="0"/>
      <w:divBdr>
        <w:top w:val="none" w:sz="0" w:space="0" w:color="auto"/>
        <w:left w:val="none" w:sz="0" w:space="0" w:color="auto"/>
        <w:bottom w:val="none" w:sz="0" w:space="0" w:color="auto"/>
        <w:right w:val="none" w:sz="0" w:space="0" w:color="auto"/>
      </w:divBdr>
    </w:div>
    <w:div w:id="80220910">
      <w:bodyDiv w:val="1"/>
      <w:marLeft w:val="0"/>
      <w:marRight w:val="0"/>
      <w:marTop w:val="0"/>
      <w:marBottom w:val="0"/>
      <w:divBdr>
        <w:top w:val="none" w:sz="0" w:space="0" w:color="auto"/>
        <w:left w:val="none" w:sz="0" w:space="0" w:color="auto"/>
        <w:bottom w:val="none" w:sz="0" w:space="0" w:color="auto"/>
        <w:right w:val="none" w:sz="0" w:space="0" w:color="auto"/>
      </w:divBdr>
    </w:div>
    <w:div w:id="80224997">
      <w:bodyDiv w:val="1"/>
      <w:marLeft w:val="0"/>
      <w:marRight w:val="0"/>
      <w:marTop w:val="0"/>
      <w:marBottom w:val="0"/>
      <w:divBdr>
        <w:top w:val="none" w:sz="0" w:space="0" w:color="auto"/>
        <w:left w:val="none" w:sz="0" w:space="0" w:color="auto"/>
        <w:bottom w:val="none" w:sz="0" w:space="0" w:color="auto"/>
        <w:right w:val="none" w:sz="0" w:space="0" w:color="auto"/>
      </w:divBdr>
    </w:div>
    <w:div w:id="80370947">
      <w:bodyDiv w:val="1"/>
      <w:marLeft w:val="0"/>
      <w:marRight w:val="0"/>
      <w:marTop w:val="0"/>
      <w:marBottom w:val="0"/>
      <w:divBdr>
        <w:top w:val="none" w:sz="0" w:space="0" w:color="auto"/>
        <w:left w:val="none" w:sz="0" w:space="0" w:color="auto"/>
        <w:bottom w:val="none" w:sz="0" w:space="0" w:color="auto"/>
        <w:right w:val="none" w:sz="0" w:space="0" w:color="auto"/>
      </w:divBdr>
    </w:div>
    <w:div w:id="80373238">
      <w:bodyDiv w:val="1"/>
      <w:marLeft w:val="0"/>
      <w:marRight w:val="0"/>
      <w:marTop w:val="0"/>
      <w:marBottom w:val="0"/>
      <w:divBdr>
        <w:top w:val="none" w:sz="0" w:space="0" w:color="auto"/>
        <w:left w:val="none" w:sz="0" w:space="0" w:color="auto"/>
        <w:bottom w:val="none" w:sz="0" w:space="0" w:color="auto"/>
        <w:right w:val="none" w:sz="0" w:space="0" w:color="auto"/>
      </w:divBdr>
    </w:div>
    <w:div w:id="80375875">
      <w:bodyDiv w:val="1"/>
      <w:marLeft w:val="0"/>
      <w:marRight w:val="0"/>
      <w:marTop w:val="0"/>
      <w:marBottom w:val="0"/>
      <w:divBdr>
        <w:top w:val="none" w:sz="0" w:space="0" w:color="auto"/>
        <w:left w:val="none" w:sz="0" w:space="0" w:color="auto"/>
        <w:bottom w:val="none" w:sz="0" w:space="0" w:color="auto"/>
        <w:right w:val="none" w:sz="0" w:space="0" w:color="auto"/>
      </w:divBdr>
    </w:div>
    <w:div w:id="80413371">
      <w:bodyDiv w:val="1"/>
      <w:marLeft w:val="0"/>
      <w:marRight w:val="0"/>
      <w:marTop w:val="0"/>
      <w:marBottom w:val="0"/>
      <w:divBdr>
        <w:top w:val="none" w:sz="0" w:space="0" w:color="auto"/>
        <w:left w:val="none" w:sz="0" w:space="0" w:color="auto"/>
        <w:bottom w:val="none" w:sz="0" w:space="0" w:color="auto"/>
        <w:right w:val="none" w:sz="0" w:space="0" w:color="auto"/>
      </w:divBdr>
    </w:div>
    <w:div w:id="80569446">
      <w:bodyDiv w:val="1"/>
      <w:marLeft w:val="0"/>
      <w:marRight w:val="0"/>
      <w:marTop w:val="0"/>
      <w:marBottom w:val="0"/>
      <w:divBdr>
        <w:top w:val="none" w:sz="0" w:space="0" w:color="auto"/>
        <w:left w:val="none" w:sz="0" w:space="0" w:color="auto"/>
        <w:bottom w:val="none" w:sz="0" w:space="0" w:color="auto"/>
        <w:right w:val="none" w:sz="0" w:space="0" w:color="auto"/>
      </w:divBdr>
    </w:div>
    <w:div w:id="80610259">
      <w:bodyDiv w:val="1"/>
      <w:marLeft w:val="0"/>
      <w:marRight w:val="0"/>
      <w:marTop w:val="0"/>
      <w:marBottom w:val="0"/>
      <w:divBdr>
        <w:top w:val="none" w:sz="0" w:space="0" w:color="auto"/>
        <w:left w:val="none" w:sz="0" w:space="0" w:color="auto"/>
        <w:bottom w:val="none" w:sz="0" w:space="0" w:color="auto"/>
        <w:right w:val="none" w:sz="0" w:space="0" w:color="auto"/>
      </w:divBdr>
    </w:div>
    <w:div w:id="80639614">
      <w:bodyDiv w:val="1"/>
      <w:marLeft w:val="0"/>
      <w:marRight w:val="0"/>
      <w:marTop w:val="0"/>
      <w:marBottom w:val="0"/>
      <w:divBdr>
        <w:top w:val="none" w:sz="0" w:space="0" w:color="auto"/>
        <w:left w:val="none" w:sz="0" w:space="0" w:color="auto"/>
        <w:bottom w:val="none" w:sz="0" w:space="0" w:color="auto"/>
        <w:right w:val="none" w:sz="0" w:space="0" w:color="auto"/>
      </w:divBdr>
    </w:div>
    <w:div w:id="80680807">
      <w:bodyDiv w:val="1"/>
      <w:marLeft w:val="0"/>
      <w:marRight w:val="0"/>
      <w:marTop w:val="0"/>
      <w:marBottom w:val="0"/>
      <w:divBdr>
        <w:top w:val="none" w:sz="0" w:space="0" w:color="auto"/>
        <w:left w:val="none" w:sz="0" w:space="0" w:color="auto"/>
        <w:bottom w:val="none" w:sz="0" w:space="0" w:color="auto"/>
        <w:right w:val="none" w:sz="0" w:space="0" w:color="auto"/>
      </w:divBdr>
    </w:div>
    <w:div w:id="80686479">
      <w:bodyDiv w:val="1"/>
      <w:marLeft w:val="0"/>
      <w:marRight w:val="0"/>
      <w:marTop w:val="0"/>
      <w:marBottom w:val="0"/>
      <w:divBdr>
        <w:top w:val="none" w:sz="0" w:space="0" w:color="auto"/>
        <w:left w:val="none" w:sz="0" w:space="0" w:color="auto"/>
        <w:bottom w:val="none" w:sz="0" w:space="0" w:color="auto"/>
        <w:right w:val="none" w:sz="0" w:space="0" w:color="auto"/>
      </w:divBdr>
    </w:div>
    <w:div w:id="80688229">
      <w:bodyDiv w:val="1"/>
      <w:marLeft w:val="0"/>
      <w:marRight w:val="0"/>
      <w:marTop w:val="0"/>
      <w:marBottom w:val="0"/>
      <w:divBdr>
        <w:top w:val="none" w:sz="0" w:space="0" w:color="auto"/>
        <w:left w:val="none" w:sz="0" w:space="0" w:color="auto"/>
        <w:bottom w:val="none" w:sz="0" w:space="0" w:color="auto"/>
        <w:right w:val="none" w:sz="0" w:space="0" w:color="auto"/>
      </w:divBdr>
    </w:div>
    <w:div w:id="80688288">
      <w:bodyDiv w:val="1"/>
      <w:marLeft w:val="0"/>
      <w:marRight w:val="0"/>
      <w:marTop w:val="0"/>
      <w:marBottom w:val="0"/>
      <w:divBdr>
        <w:top w:val="none" w:sz="0" w:space="0" w:color="auto"/>
        <w:left w:val="none" w:sz="0" w:space="0" w:color="auto"/>
        <w:bottom w:val="none" w:sz="0" w:space="0" w:color="auto"/>
        <w:right w:val="none" w:sz="0" w:space="0" w:color="auto"/>
      </w:divBdr>
    </w:div>
    <w:div w:id="80876446">
      <w:bodyDiv w:val="1"/>
      <w:marLeft w:val="0"/>
      <w:marRight w:val="0"/>
      <w:marTop w:val="0"/>
      <w:marBottom w:val="0"/>
      <w:divBdr>
        <w:top w:val="none" w:sz="0" w:space="0" w:color="auto"/>
        <w:left w:val="none" w:sz="0" w:space="0" w:color="auto"/>
        <w:bottom w:val="none" w:sz="0" w:space="0" w:color="auto"/>
        <w:right w:val="none" w:sz="0" w:space="0" w:color="auto"/>
      </w:divBdr>
    </w:div>
    <w:div w:id="80954431">
      <w:bodyDiv w:val="1"/>
      <w:marLeft w:val="0"/>
      <w:marRight w:val="0"/>
      <w:marTop w:val="0"/>
      <w:marBottom w:val="0"/>
      <w:divBdr>
        <w:top w:val="none" w:sz="0" w:space="0" w:color="auto"/>
        <w:left w:val="none" w:sz="0" w:space="0" w:color="auto"/>
        <w:bottom w:val="none" w:sz="0" w:space="0" w:color="auto"/>
        <w:right w:val="none" w:sz="0" w:space="0" w:color="auto"/>
      </w:divBdr>
    </w:div>
    <w:div w:id="81024890">
      <w:bodyDiv w:val="1"/>
      <w:marLeft w:val="0"/>
      <w:marRight w:val="0"/>
      <w:marTop w:val="0"/>
      <w:marBottom w:val="0"/>
      <w:divBdr>
        <w:top w:val="none" w:sz="0" w:space="0" w:color="auto"/>
        <w:left w:val="none" w:sz="0" w:space="0" w:color="auto"/>
        <w:bottom w:val="none" w:sz="0" w:space="0" w:color="auto"/>
        <w:right w:val="none" w:sz="0" w:space="0" w:color="auto"/>
      </w:divBdr>
    </w:div>
    <w:div w:id="81031401">
      <w:bodyDiv w:val="1"/>
      <w:marLeft w:val="0"/>
      <w:marRight w:val="0"/>
      <w:marTop w:val="0"/>
      <w:marBottom w:val="0"/>
      <w:divBdr>
        <w:top w:val="none" w:sz="0" w:space="0" w:color="auto"/>
        <w:left w:val="none" w:sz="0" w:space="0" w:color="auto"/>
        <w:bottom w:val="none" w:sz="0" w:space="0" w:color="auto"/>
        <w:right w:val="none" w:sz="0" w:space="0" w:color="auto"/>
      </w:divBdr>
    </w:div>
    <w:div w:id="81070653">
      <w:bodyDiv w:val="1"/>
      <w:marLeft w:val="0"/>
      <w:marRight w:val="0"/>
      <w:marTop w:val="0"/>
      <w:marBottom w:val="0"/>
      <w:divBdr>
        <w:top w:val="none" w:sz="0" w:space="0" w:color="auto"/>
        <w:left w:val="none" w:sz="0" w:space="0" w:color="auto"/>
        <w:bottom w:val="none" w:sz="0" w:space="0" w:color="auto"/>
        <w:right w:val="none" w:sz="0" w:space="0" w:color="auto"/>
      </w:divBdr>
    </w:div>
    <w:div w:id="81071343">
      <w:bodyDiv w:val="1"/>
      <w:marLeft w:val="0"/>
      <w:marRight w:val="0"/>
      <w:marTop w:val="0"/>
      <w:marBottom w:val="0"/>
      <w:divBdr>
        <w:top w:val="none" w:sz="0" w:space="0" w:color="auto"/>
        <w:left w:val="none" w:sz="0" w:space="0" w:color="auto"/>
        <w:bottom w:val="none" w:sz="0" w:space="0" w:color="auto"/>
        <w:right w:val="none" w:sz="0" w:space="0" w:color="auto"/>
      </w:divBdr>
    </w:div>
    <w:div w:id="81147204">
      <w:bodyDiv w:val="1"/>
      <w:marLeft w:val="0"/>
      <w:marRight w:val="0"/>
      <w:marTop w:val="0"/>
      <w:marBottom w:val="0"/>
      <w:divBdr>
        <w:top w:val="none" w:sz="0" w:space="0" w:color="auto"/>
        <w:left w:val="none" w:sz="0" w:space="0" w:color="auto"/>
        <w:bottom w:val="none" w:sz="0" w:space="0" w:color="auto"/>
        <w:right w:val="none" w:sz="0" w:space="0" w:color="auto"/>
      </w:divBdr>
    </w:div>
    <w:div w:id="81223961">
      <w:bodyDiv w:val="1"/>
      <w:marLeft w:val="0"/>
      <w:marRight w:val="0"/>
      <w:marTop w:val="0"/>
      <w:marBottom w:val="0"/>
      <w:divBdr>
        <w:top w:val="none" w:sz="0" w:space="0" w:color="auto"/>
        <w:left w:val="none" w:sz="0" w:space="0" w:color="auto"/>
        <w:bottom w:val="none" w:sz="0" w:space="0" w:color="auto"/>
        <w:right w:val="none" w:sz="0" w:space="0" w:color="auto"/>
      </w:divBdr>
    </w:div>
    <w:div w:id="81294837">
      <w:bodyDiv w:val="1"/>
      <w:marLeft w:val="0"/>
      <w:marRight w:val="0"/>
      <w:marTop w:val="0"/>
      <w:marBottom w:val="0"/>
      <w:divBdr>
        <w:top w:val="none" w:sz="0" w:space="0" w:color="auto"/>
        <w:left w:val="none" w:sz="0" w:space="0" w:color="auto"/>
        <w:bottom w:val="none" w:sz="0" w:space="0" w:color="auto"/>
        <w:right w:val="none" w:sz="0" w:space="0" w:color="auto"/>
      </w:divBdr>
    </w:div>
    <w:div w:id="81295438">
      <w:bodyDiv w:val="1"/>
      <w:marLeft w:val="0"/>
      <w:marRight w:val="0"/>
      <w:marTop w:val="0"/>
      <w:marBottom w:val="0"/>
      <w:divBdr>
        <w:top w:val="none" w:sz="0" w:space="0" w:color="auto"/>
        <w:left w:val="none" w:sz="0" w:space="0" w:color="auto"/>
        <w:bottom w:val="none" w:sz="0" w:space="0" w:color="auto"/>
        <w:right w:val="none" w:sz="0" w:space="0" w:color="auto"/>
      </w:divBdr>
    </w:div>
    <w:div w:id="81461644">
      <w:bodyDiv w:val="1"/>
      <w:marLeft w:val="0"/>
      <w:marRight w:val="0"/>
      <w:marTop w:val="0"/>
      <w:marBottom w:val="0"/>
      <w:divBdr>
        <w:top w:val="none" w:sz="0" w:space="0" w:color="auto"/>
        <w:left w:val="none" w:sz="0" w:space="0" w:color="auto"/>
        <w:bottom w:val="none" w:sz="0" w:space="0" w:color="auto"/>
        <w:right w:val="none" w:sz="0" w:space="0" w:color="auto"/>
      </w:divBdr>
    </w:div>
    <w:div w:id="81462956">
      <w:bodyDiv w:val="1"/>
      <w:marLeft w:val="0"/>
      <w:marRight w:val="0"/>
      <w:marTop w:val="0"/>
      <w:marBottom w:val="0"/>
      <w:divBdr>
        <w:top w:val="none" w:sz="0" w:space="0" w:color="auto"/>
        <w:left w:val="none" w:sz="0" w:space="0" w:color="auto"/>
        <w:bottom w:val="none" w:sz="0" w:space="0" w:color="auto"/>
        <w:right w:val="none" w:sz="0" w:space="0" w:color="auto"/>
      </w:divBdr>
    </w:div>
    <w:div w:id="81489550">
      <w:bodyDiv w:val="1"/>
      <w:marLeft w:val="0"/>
      <w:marRight w:val="0"/>
      <w:marTop w:val="0"/>
      <w:marBottom w:val="0"/>
      <w:divBdr>
        <w:top w:val="none" w:sz="0" w:space="0" w:color="auto"/>
        <w:left w:val="none" w:sz="0" w:space="0" w:color="auto"/>
        <w:bottom w:val="none" w:sz="0" w:space="0" w:color="auto"/>
        <w:right w:val="none" w:sz="0" w:space="0" w:color="auto"/>
      </w:divBdr>
    </w:div>
    <w:div w:id="81493406">
      <w:bodyDiv w:val="1"/>
      <w:marLeft w:val="0"/>
      <w:marRight w:val="0"/>
      <w:marTop w:val="0"/>
      <w:marBottom w:val="0"/>
      <w:divBdr>
        <w:top w:val="none" w:sz="0" w:space="0" w:color="auto"/>
        <w:left w:val="none" w:sz="0" w:space="0" w:color="auto"/>
        <w:bottom w:val="none" w:sz="0" w:space="0" w:color="auto"/>
        <w:right w:val="none" w:sz="0" w:space="0" w:color="auto"/>
      </w:divBdr>
    </w:div>
    <w:div w:id="81536758">
      <w:bodyDiv w:val="1"/>
      <w:marLeft w:val="0"/>
      <w:marRight w:val="0"/>
      <w:marTop w:val="0"/>
      <w:marBottom w:val="0"/>
      <w:divBdr>
        <w:top w:val="none" w:sz="0" w:space="0" w:color="auto"/>
        <w:left w:val="none" w:sz="0" w:space="0" w:color="auto"/>
        <w:bottom w:val="none" w:sz="0" w:space="0" w:color="auto"/>
        <w:right w:val="none" w:sz="0" w:space="0" w:color="auto"/>
      </w:divBdr>
    </w:div>
    <w:div w:id="81537673">
      <w:bodyDiv w:val="1"/>
      <w:marLeft w:val="0"/>
      <w:marRight w:val="0"/>
      <w:marTop w:val="0"/>
      <w:marBottom w:val="0"/>
      <w:divBdr>
        <w:top w:val="none" w:sz="0" w:space="0" w:color="auto"/>
        <w:left w:val="none" w:sz="0" w:space="0" w:color="auto"/>
        <w:bottom w:val="none" w:sz="0" w:space="0" w:color="auto"/>
        <w:right w:val="none" w:sz="0" w:space="0" w:color="auto"/>
      </w:divBdr>
    </w:div>
    <w:div w:id="81612721">
      <w:bodyDiv w:val="1"/>
      <w:marLeft w:val="0"/>
      <w:marRight w:val="0"/>
      <w:marTop w:val="0"/>
      <w:marBottom w:val="0"/>
      <w:divBdr>
        <w:top w:val="none" w:sz="0" w:space="0" w:color="auto"/>
        <w:left w:val="none" w:sz="0" w:space="0" w:color="auto"/>
        <w:bottom w:val="none" w:sz="0" w:space="0" w:color="auto"/>
        <w:right w:val="none" w:sz="0" w:space="0" w:color="auto"/>
      </w:divBdr>
    </w:div>
    <w:div w:id="81686581">
      <w:bodyDiv w:val="1"/>
      <w:marLeft w:val="0"/>
      <w:marRight w:val="0"/>
      <w:marTop w:val="0"/>
      <w:marBottom w:val="0"/>
      <w:divBdr>
        <w:top w:val="none" w:sz="0" w:space="0" w:color="auto"/>
        <w:left w:val="none" w:sz="0" w:space="0" w:color="auto"/>
        <w:bottom w:val="none" w:sz="0" w:space="0" w:color="auto"/>
        <w:right w:val="none" w:sz="0" w:space="0" w:color="auto"/>
      </w:divBdr>
    </w:div>
    <w:div w:id="81724985">
      <w:bodyDiv w:val="1"/>
      <w:marLeft w:val="0"/>
      <w:marRight w:val="0"/>
      <w:marTop w:val="0"/>
      <w:marBottom w:val="0"/>
      <w:divBdr>
        <w:top w:val="none" w:sz="0" w:space="0" w:color="auto"/>
        <w:left w:val="none" w:sz="0" w:space="0" w:color="auto"/>
        <w:bottom w:val="none" w:sz="0" w:space="0" w:color="auto"/>
        <w:right w:val="none" w:sz="0" w:space="0" w:color="auto"/>
      </w:divBdr>
    </w:div>
    <w:div w:id="81924819">
      <w:bodyDiv w:val="1"/>
      <w:marLeft w:val="0"/>
      <w:marRight w:val="0"/>
      <w:marTop w:val="0"/>
      <w:marBottom w:val="0"/>
      <w:divBdr>
        <w:top w:val="none" w:sz="0" w:space="0" w:color="auto"/>
        <w:left w:val="none" w:sz="0" w:space="0" w:color="auto"/>
        <w:bottom w:val="none" w:sz="0" w:space="0" w:color="auto"/>
        <w:right w:val="none" w:sz="0" w:space="0" w:color="auto"/>
      </w:divBdr>
    </w:div>
    <w:div w:id="81995027">
      <w:bodyDiv w:val="1"/>
      <w:marLeft w:val="0"/>
      <w:marRight w:val="0"/>
      <w:marTop w:val="0"/>
      <w:marBottom w:val="0"/>
      <w:divBdr>
        <w:top w:val="none" w:sz="0" w:space="0" w:color="auto"/>
        <w:left w:val="none" w:sz="0" w:space="0" w:color="auto"/>
        <w:bottom w:val="none" w:sz="0" w:space="0" w:color="auto"/>
        <w:right w:val="none" w:sz="0" w:space="0" w:color="auto"/>
      </w:divBdr>
    </w:div>
    <w:div w:id="82068511">
      <w:bodyDiv w:val="1"/>
      <w:marLeft w:val="0"/>
      <w:marRight w:val="0"/>
      <w:marTop w:val="0"/>
      <w:marBottom w:val="0"/>
      <w:divBdr>
        <w:top w:val="none" w:sz="0" w:space="0" w:color="auto"/>
        <w:left w:val="none" w:sz="0" w:space="0" w:color="auto"/>
        <w:bottom w:val="none" w:sz="0" w:space="0" w:color="auto"/>
        <w:right w:val="none" w:sz="0" w:space="0" w:color="auto"/>
      </w:divBdr>
    </w:div>
    <w:div w:id="82071725">
      <w:bodyDiv w:val="1"/>
      <w:marLeft w:val="0"/>
      <w:marRight w:val="0"/>
      <w:marTop w:val="0"/>
      <w:marBottom w:val="0"/>
      <w:divBdr>
        <w:top w:val="none" w:sz="0" w:space="0" w:color="auto"/>
        <w:left w:val="none" w:sz="0" w:space="0" w:color="auto"/>
        <w:bottom w:val="none" w:sz="0" w:space="0" w:color="auto"/>
        <w:right w:val="none" w:sz="0" w:space="0" w:color="auto"/>
      </w:divBdr>
    </w:div>
    <w:div w:id="82118085">
      <w:bodyDiv w:val="1"/>
      <w:marLeft w:val="0"/>
      <w:marRight w:val="0"/>
      <w:marTop w:val="0"/>
      <w:marBottom w:val="0"/>
      <w:divBdr>
        <w:top w:val="none" w:sz="0" w:space="0" w:color="auto"/>
        <w:left w:val="none" w:sz="0" w:space="0" w:color="auto"/>
        <w:bottom w:val="none" w:sz="0" w:space="0" w:color="auto"/>
        <w:right w:val="none" w:sz="0" w:space="0" w:color="auto"/>
      </w:divBdr>
    </w:div>
    <w:div w:id="82188909">
      <w:bodyDiv w:val="1"/>
      <w:marLeft w:val="0"/>
      <w:marRight w:val="0"/>
      <w:marTop w:val="0"/>
      <w:marBottom w:val="0"/>
      <w:divBdr>
        <w:top w:val="none" w:sz="0" w:space="0" w:color="auto"/>
        <w:left w:val="none" w:sz="0" w:space="0" w:color="auto"/>
        <w:bottom w:val="none" w:sz="0" w:space="0" w:color="auto"/>
        <w:right w:val="none" w:sz="0" w:space="0" w:color="auto"/>
      </w:divBdr>
    </w:div>
    <w:div w:id="82190314">
      <w:bodyDiv w:val="1"/>
      <w:marLeft w:val="0"/>
      <w:marRight w:val="0"/>
      <w:marTop w:val="0"/>
      <w:marBottom w:val="0"/>
      <w:divBdr>
        <w:top w:val="none" w:sz="0" w:space="0" w:color="auto"/>
        <w:left w:val="none" w:sz="0" w:space="0" w:color="auto"/>
        <w:bottom w:val="none" w:sz="0" w:space="0" w:color="auto"/>
        <w:right w:val="none" w:sz="0" w:space="0" w:color="auto"/>
      </w:divBdr>
    </w:div>
    <w:div w:id="82266362">
      <w:bodyDiv w:val="1"/>
      <w:marLeft w:val="0"/>
      <w:marRight w:val="0"/>
      <w:marTop w:val="0"/>
      <w:marBottom w:val="0"/>
      <w:divBdr>
        <w:top w:val="none" w:sz="0" w:space="0" w:color="auto"/>
        <w:left w:val="none" w:sz="0" w:space="0" w:color="auto"/>
        <w:bottom w:val="none" w:sz="0" w:space="0" w:color="auto"/>
        <w:right w:val="none" w:sz="0" w:space="0" w:color="auto"/>
      </w:divBdr>
    </w:div>
    <w:div w:id="82380206">
      <w:bodyDiv w:val="1"/>
      <w:marLeft w:val="0"/>
      <w:marRight w:val="0"/>
      <w:marTop w:val="0"/>
      <w:marBottom w:val="0"/>
      <w:divBdr>
        <w:top w:val="none" w:sz="0" w:space="0" w:color="auto"/>
        <w:left w:val="none" w:sz="0" w:space="0" w:color="auto"/>
        <w:bottom w:val="none" w:sz="0" w:space="0" w:color="auto"/>
        <w:right w:val="none" w:sz="0" w:space="0" w:color="auto"/>
      </w:divBdr>
    </w:div>
    <w:div w:id="82410823">
      <w:bodyDiv w:val="1"/>
      <w:marLeft w:val="0"/>
      <w:marRight w:val="0"/>
      <w:marTop w:val="0"/>
      <w:marBottom w:val="0"/>
      <w:divBdr>
        <w:top w:val="none" w:sz="0" w:space="0" w:color="auto"/>
        <w:left w:val="none" w:sz="0" w:space="0" w:color="auto"/>
        <w:bottom w:val="none" w:sz="0" w:space="0" w:color="auto"/>
        <w:right w:val="none" w:sz="0" w:space="0" w:color="auto"/>
      </w:divBdr>
    </w:div>
    <w:div w:id="82457145">
      <w:bodyDiv w:val="1"/>
      <w:marLeft w:val="0"/>
      <w:marRight w:val="0"/>
      <w:marTop w:val="0"/>
      <w:marBottom w:val="0"/>
      <w:divBdr>
        <w:top w:val="none" w:sz="0" w:space="0" w:color="auto"/>
        <w:left w:val="none" w:sz="0" w:space="0" w:color="auto"/>
        <w:bottom w:val="none" w:sz="0" w:space="0" w:color="auto"/>
        <w:right w:val="none" w:sz="0" w:space="0" w:color="auto"/>
      </w:divBdr>
    </w:div>
    <w:div w:id="82457981">
      <w:bodyDiv w:val="1"/>
      <w:marLeft w:val="0"/>
      <w:marRight w:val="0"/>
      <w:marTop w:val="0"/>
      <w:marBottom w:val="0"/>
      <w:divBdr>
        <w:top w:val="none" w:sz="0" w:space="0" w:color="auto"/>
        <w:left w:val="none" w:sz="0" w:space="0" w:color="auto"/>
        <w:bottom w:val="none" w:sz="0" w:space="0" w:color="auto"/>
        <w:right w:val="none" w:sz="0" w:space="0" w:color="auto"/>
      </w:divBdr>
    </w:div>
    <w:div w:id="82459620">
      <w:bodyDiv w:val="1"/>
      <w:marLeft w:val="0"/>
      <w:marRight w:val="0"/>
      <w:marTop w:val="0"/>
      <w:marBottom w:val="0"/>
      <w:divBdr>
        <w:top w:val="none" w:sz="0" w:space="0" w:color="auto"/>
        <w:left w:val="none" w:sz="0" w:space="0" w:color="auto"/>
        <w:bottom w:val="none" w:sz="0" w:space="0" w:color="auto"/>
        <w:right w:val="none" w:sz="0" w:space="0" w:color="auto"/>
      </w:divBdr>
    </w:div>
    <w:div w:id="82576035">
      <w:bodyDiv w:val="1"/>
      <w:marLeft w:val="0"/>
      <w:marRight w:val="0"/>
      <w:marTop w:val="0"/>
      <w:marBottom w:val="0"/>
      <w:divBdr>
        <w:top w:val="none" w:sz="0" w:space="0" w:color="auto"/>
        <w:left w:val="none" w:sz="0" w:space="0" w:color="auto"/>
        <w:bottom w:val="none" w:sz="0" w:space="0" w:color="auto"/>
        <w:right w:val="none" w:sz="0" w:space="0" w:color="auto"/>
      </w:divBdr>
    </w:div>
    <w:div w:id="82605504">
      <w:bodyDiv w:val="1"/>
      <w:marLeft w:val="0"/>
      <w:marRight w:val="0"/>
      <w:marTop w:val="0"/>
      <w:marBottom w:val="0"/>
      <w:divBdr>
        <w:top w:val="none" w:sz="0" w:space="0" w:color="auto"/>
        <w:left w:val="none" w:sz="0" w:space="0" w:color="auto"/>
        <w:bottom w:val="none" w:sz="0" w:space="0" w:color="auto"/>
        <w:right w:val="none" w:sz="0" w:space="0" w:color="auto"/>
      </w:divBdr>
    </w:div>
    <w:div w:id="82649778">
      <w:bodyDiv w:val="1"/>
      <w:marLeft w:val="0"/>
      <w:marRight w:val="0"/>
      <w:marTop w:val="0"/>
      <w:marBottom w:val="0"/>
      <w:divBdr>
        <w:top w:val="none" w:sz="0" w:space="0" w:color="auto"/>
        <w:left w:val="none" w:sz="0" w:space="0" w:color="auto"/>
        <w:bottom w:val="none" w:sz="0" w:space="0" w:color="auto"/>
        <w:right w:val="none" w:sz="0" w:space="0" w:color="auto"/>
      </w:divBdr>
    </w:div>
    <w:div w:id="82727866">
      <w:bodyDiv w:val="1"/>
      <w:marLeft w:val="0"/>
      <w:marRight w:val="0"/>
      <w:marTop w:val="0"/>
      <w:marBottom w:val="0"/>
      <w:divBdr>
        <w:top w:val="none" w:sz="0" w:space="0" w:color="auto"/>
        <w:left w:val="none" w:sz="0" w:space="0" w:color="auto"/>
        <w:bottom w:val="none" w:sz="0" w:space="0" w:color="auto"/>
        <w:right w:val="none" w:sz="0" w:space="0" w:color="auto"/>
      </w:divBdr>
    </w:div>
    <w:div w:id="82801527">
      <w:bodyDiv w:val="1"/>
      <w:marLeft w:val="0"/>
      <w:marRight w:val="0"/>
      <w:marTop w:val="0"/>
      <w:marBottom w:val="0"/>
      <w:divBdr>
        <w:top w:val="none" w:sz="0" w:space="0" w:color="auto"/>
        <w:left w:val="none" w:sz="0" w:space="0" w:color="auto"/>
        <w:bottom w:val="none" w:sz="0" w:space="0" w:color="auto"/>
        <w:right w:val="none" w:sz="0" w:space="0" w:color="auto"/>
      </w:divBdr>
    </w:div>
    <w:div w:id="82919132">
      <w:bodyDiv w:val="1"/>
      <w:marLeft w:val="0"/>
      <w:marRight w:val="0"/>
      <w:marTop w:val="0"/>
      <w:marBottom w:val="0"/>
      <w:divBdr>
        <w:top w:val="none" w:sz="0" w:space="0" w:color="auto"/>
        <w:left w:val="none" w:sz="0" w:space="0" w:color="auto"/>
        <w:bottom w:val="none" w:sz="0" w:space="0" w:color="auto"/>
        <w:right w:val="none" w:sz="0" w:space="0" w:color="auto"/>
      </w:divBdr>
    </w:div>
    <w:div w:id="82923074">
      <w:bodyDiv w:val="1"/>
      <w:marLeft w:val="0"/>
      <w:marRight w:val="0"/>
      <w:marTop w:val="0"/>
      <w:marBottom w:val="0"/>
      <w:divBdr>
        <w:top w:val="none" w:sz="0" w:space="0" w:color="auto"/>
        <w:left w:val="none" w:sz="0" w:space="0" w:color="auto"/>
        <w:bottom w:val="none" w:sz="0" w:space="0" w:color="auto"/>
        <w:right w:val="none" w:sz="0" w:space="0" w:color="auto"/>
      </w:divBdr>
    </w:div>
    <w:div w:id="82994146">
      <w:bodyDiv w:val="1"/>
      <w:marLeft w:val="0"/>
      <w:marRight w:val="0"/>
      <w:marTop w:val="0"/>
      <w:marBottom w:val="0"/>
      <w:divBdr>
        <w:top w:val="none" w:sz="0" w:space="0" w:color="auto"/>
        <w:left w:val="none" w:sz="0" w:space="0" w:color="auto"/>
        <w:bottom w:val="none" w:sz="0" w:space="0" w:color="auto"/>
        <w:right w:val="none" w:sz="0" w:space="0" w:color="auto"/>
      </w:divBdr>
    </w:div>
    <w:div w:id="82998386">
      <w:bodyDiv w:val="1"/>
      <w:marLeft w:val="0"/>
      <w:marRight w:val="0"/>
      <w:marTop w:val="0"/>
      <w:marBottom w:val="0"/>
      <w:divBdr>
        <w:top w:val="none" w:sz="0" w:space="0" w:color="auto"/>
        <w:left w:val="none" w:sz="0" w:space="0" w:color="auto"/>
        <w:bottom w:val="none" w:sz="0" w:space="0" w:color="auto"/>
        <w:right w:val="none" w:sz="0" w:space="0" w:color="auto"/>
      </w:divBdr>
    </w:div>
    <w:div w:id="83116920">
      <w:bodyDiv w:val="1"/>
      <w:marLeft w:val="0"/>
      <w:marRight w:val="0"/>
      <w:marTop w:val="0"/>
      <w:marBottom w:val="0"/>
      <w:divBdr>
        <w:top w:val="none" w:sz="0" w:space="0" w:color="auto"/>
        <w:left w:val="none" w:sz="0" w:space="0" w:color="auto"/>
        <w:bottom w:val="none" w:sz="0" w:space="0" w:color="auto"/>
        <w:right w:val="none" w:sz="0" w:space="0" w:color="auto"/>
      </w:divBdr>
    </w:div>
    <w:div w:id="83184518">
      <w:bodyDiv w:val="1"/>
      <w:marLeft w:val="0"/>
      <w:marRight w:val="0"/>
      <w:marTop w:val="0"/>
      <w:marBottom w:val="0"/>
      <w:divBdr>
        <w:top w:val="none" w:sz="0" w:space="0" w:color="auto"/>
        <w:left w:val="none" w:sz="0" w:space="0" w:color="auto"/>
        <w:bottom w:val="none" w:sz="0" w:space="0" w:color="auto"/>
        <w:right w:val="none" w:sz="0" w:space="0" w:color="auto"/>
      </w:divBdr>
    </w:div>
    <w:div w:id="83185117">
      <w:bodyDiv w:val="1"/>
      <w:marLeft w:val="0"/>
      <w:marRight w:val="0"/>
      <w:marTop w:val="0"/>
      <w:marBottom w:val="0"/>
      <w:divBdr>
        <w:top w:val="none" w:sz="0" w:space="0" w:color="auto"/>
        <w:left w:val="none" w:sz="0" w:space="0" w:color="auto"/>
        <w:bottom w:val="none" w:sz="0" w:space="0" w:color="auto"/>
        <w:right w:val="none" w:sz="0" w:space="0" w:color="auto"/>
      </w:divBdr>
    </w:div>
    <w:div w:id="83186204">
      <w:bodyDiv w:val="1"/>
      <w:marLeft w:val="0"/>
      <w:marRight w:val="0"/>
      <w:marTop w:val="0"/>
      <w:marBottom w:val="0"/>
      <w:divBdr>
        <w:top w:val="none" w:sz="0" w:space="0" w:color="auto"/>
        <w:left w:val="none" w:sz="0" w:space="0" w:color="auto"/>
        <w:bottom w:val="none" w:sz="0" w:space="0" w:color="auto"/>
        <w:right w:val="none" w:sz="0" w:space="0" w:color="auto"/>
      </w:divBdr>
    </w:div>
    <w:div w:id="83190777">
      <w:bodyDiv w:val="1"/>
      <w:marLeft w:val="0"/>
      <w:marRight w:val="0"/>
      <w:marTop w:val="0"/>
      <w:marBottom w:val="0"/>
      <w:divBdr>
        <w:top w:val="none" w:sz="0" w:space="0" w:color="auto"/>
        <w:left w:val="none" w:sz="0" w:space="0" w:color="auto"/>
        <w:bottom w:val="none" w:sz="0" w:space="0" w:color="auto"/>
        <w:right w:val="none" w:sz="0" w:space="0" w:color="auto"/>
      </w:divBdr>
    </w:div>
    <w:div w:id="83259537">
      <w:bodyDiv w:val="1"/>
      <w:marLeft w:val="0"/>
      <w:marRight w:val="0"/>
      <w:marTop w:val="0"/>
      <w:marBottom w:val="0"/>
      <w:divBdr>
        <w:top w:val="none" w:sz="0" w:space="0" w:color="auto"/>
        <w:left w:val="none" w:sz="0" w:space="0" w:color="auto"/>
        <w:bottom w:val="none" w:sz="0" w:space="0" w:color="auto"/>
        <w:right w:val="none" w:sz="0" w:space="0" w:color="auto"/>
      </w:divBdr>
    </w:div>
    <w:div w:id="83428564">
      <w:bodyDiv w:val="1"/>
      <w:marLeft w:val="0"/>
      <w:marRight w:val="0"/>
      <w:marTop w:val="0"/>
      <w:marBottom w:val="0"/>
      <w:divBdr>
        <w:top w:val="none" w:sz="0" w:space="0" w:color="auto"/>
        <w:left w:val="none" w:sz="0" w:space="0" w:color="auto"/>
        <w:bottom w:val="none" w:sz="0" w:space="0" w:color="auto"/>
        <w:right w:val="none" w:sz="0" w:space="0" w:color="auto"/>
      </w:divBdr>
    </w:div>
    <w:div w:id="83455959">
      <w:bodyDiv w:val="1"/>
      <w:marLeft w:val="0"/>
      <w:marRight w:val="0"/>
      <w:marTop w:val="0"/>
      <w:marBottom w:val="0"/>
      <w:divBdr>
        <w:top w:val="none" w:sz="0" w:space="0" w:color="auto"/>
        <w:left w:val="none" w:sz="0" w:space="0" w:color="auto"/>
        <w:bottom w:val="none" w:sz="0" w:space="0" w:color="auto"/>
        <w:right w:val="none" w:sz="0" w:space="0" w:color="auto"/>
      </w:divBdr>
    </w:div>
    <w:div w:id="83572604">
      <w:bodyDiv w:val="1"/>
      <w:marLeft w:val="0"/>
      <w:marRight w:val="0"/>
      <w:marTop w:val="0"/>
      <w:marBottom w:val="0"/>
      <w:divBdr>
        <w:top w:val="none" w:sz="0" w:space="0" w:color="auto"/>
        <w:left w:val="none" w:sz="0" w:space="0" w:color="auto"/>
        <w:bottom w:val="none" w:sz="0" w:space="0" w:color="auto"/>
        <w:right w:val="none" w:sz="0" w:space="0" w:color="auto"/>
      </w:divBdr>
    </w:div>
    <w:div w:id="83574813">
      <w:bodyDiv w:val="1"/>
      <w:marLeft w:val="0"/>
      <w:marRight w:val="0"/>
      <w:marTop w:val="0"/>
      <w:marBottom w:val="0"/>
      <w:divBdr>
        <w:top w:val="none" w:sz="0" w:space="0" w:color="auto"/>
        <w:left w:val="none" w:sz="0" w:space="0" w:color="auto"/>
        <w:bottom w:val="none" w:sz="0" w:space="0" w:color="auto"/>
        <w:right w:val="none" w:sz="0" w:space="0" w:color="auto"/>
      </w:divBdr>
    </w:div>
    <w:div w:id="83575195">
      <w:bodyDiv w:val="1"/>
      <w:marLeft w:val="0"/>
      <w:marRight w:val="0"/>
      <w:marTop w:val="0"/>
      <w:marBottom w:val="0"/>
      <w:divBdr>
        <w:top w:val="none" w:sz="0" w:space="0" w:color="auto"/>
        <w:left w:val="none" w:sz="0" w:space="0" w:color="auto"/>
        <w:bottom w:val="none" w:sz="0" w:space="0" w:color="auto"/>
        <w:right w:val="none" w:sz="0" w:space="0" w:color="auto"/>
      </w:divBdr>
    </w:div>
    <w:div w:id="83647839">
      <w:bodyDiv w:val="1"/>
      <w:marLeft w:val="0"/>
      <w:marRight w:val="0"/>
      <w:marTop w:val="0"/>
      <w:marBottom w:val="0"/>
      <w:divBdr>
        <w:top w:val="none" w:sz="0" w:space="0" w:color="auto"/>
        <w:left w:val="none" w:sz="0" w:space="0" w:color="auto"/>
        <w:bottom w:val="none" w:sz="0" w:space="0" w:color="auto"/>
        <w:right w:val="none" w:sz="0" w:space="0" w:color="auto"/>
      </w:divBdr>
    </w:div>
    <w:div w:id="83650987">
      <w:bodyDiv w:val="1"/>
      <w:marLeft w:val="0"/>
      <w:marRight w:val="0"/>
      <w:marTop w:val="0"/>
      <w:marBottom w:val="0"/>
      <w:divBdr>
        <w:top w:val="none" w:sz="0" w:space="0" w:color="auto"/>
        <w:left w:val="none" w:sz="0" w:space="0" w:color="auto"/>
        <w:bottom w:val="none" w:sz="0" w:space="0" w:color="auto"/>
        <w:right w:val="none" w:sz="0" w:space="0" w:color="auto"/>
      </w:divBdr>
    </w:div>
    <w:div w:id="83651430">
      <w:bodyDiv w:val="1"/>
      <w:marLeft w:val="0"/>
      <w:marRight w:val="0"/>
      <w:marTop w:val="0"/>
      <w:marBottom w:val="0"/>
      <w:divBdr>
        <w:top w:val="none" w:sz="0" w:space="0" w:color="auto"/>
        <w:left w:val="none" w:sz="0" w:space="0" w:color="auto"/>
        <w:bottom w:val="none" w:sz="0" w:space="0" w:color="auto"/>
        <w:right w:val="none" w:sz="0" w:space="0" w:color="auto"/>
      </w:divBdr>
    </w:div>
    <w:div w:id="83652460">
      <w:bodyDiv w:val="1"/>
      <w:marLeft w:val="0"/>
      <w:marRight w:val="0"/>
      <w:marTop w:val="0"/>
      <w:marBottom w:val="0"/>
      <w:divBdr>
        <w:top w:val="none" w:sz="0" w:space="0" w:color="auto"/>
        <w:left w:val="none" w:sz="0" w:space="0" w:color="auto"/>
        <w:bottom w:val="none" w:sz="0" w:space="0" w:color="auto"/>
        <w:right w:val="none" w:sz="0" w:space="0" w:color="auto"/>
      </w:divBdr>
    </w:div>
    <w:div w:id="83846686">
      <w:bodyDiv w:val="1"/>
      <w:marLeft w:val="0"/>
      <w:marRight w:val="0"/>
      <w:marTop w:val="0"/>
      <w:marBottom w:val="0"/>
      <w:divBdr>
        <w:top w:val="none" w:sz="0" w:space="0" w:color="auto"/>
        <w:left w:val="none" w:sz="0" w:space="0" w:color="auto"/>
        <w:bottom w:val="none" w:sz="0" w:space="0" w:color="auto"/>
        <w:right w:val="none" w:sz="0" w:space="0" w:color="auto"/>
      </w:divBdr>
    </w:div>
    <w:div w:id="83887920">
      <w:bodyDiv w:val="1"/>
      <w:marLeft w:val="0"/>
      <w:marRight w:val="0"/>
      <w:marTop w:val="0"/>
      <w:marBottom w:val="0"/>
      <w:divBdr>
        <w:top w:val="none" w:sz="0" w:space="0" w:color="auto"/>
        <w:left w:val="none" w:sz="0" w:space="0" w:color="auto"/>
        <w:bottom w:val="none" w:sz="0" w:space="0" w:color="auto"/>
        <w:right w:val="none" w:sz="0" w:space="0" w:color="auto"/>
      </w:divBdr>
    </w:div>
    <w:div w:id="83914861">
      <w:bodyDiv w:val="1"/>
      <w:marLeft w:val="0"/>
      <w:marRight w:val="0"/>
      <w:marTop w:val="0"/>
      <w:marBottom w:val="0"/>
      <w:divBdr>
        <w:top w:val="none" w:sz="0" w:space="0" w:color="auto"/>
        <w:left w:val="none" w:sz="0" w:space="0" w:color="auto"/>
        <w:bottom w:val="none" w:sz="0" w:space="0" w:color="auto"/>
        <w:right w:val="none" w:sz="0" w:space="0" w:color="auto"/>
      </w:divBdr>
    </w:div>
    <w:div w:id="83959440">
      <w:bodyDiv w:val="1"/>
      <w:marLeft w:val="0"/>
      <w:marRight w:val="0"/>
      <w:marTop w:val="0"/>
      <w:marBottom w:val="0"/>
      <w:divBdr>
        <w:top w:val="none" w:sz="0" w:space="0" w:color="auto"/>
        <w:left w:val="none" w:sz="0" w:space="0" w:color="auto"/>
        <w:bottom w:val="none" w:sz="0" w:space="0" w:color="auto"/>
        <w:right w:val="none" w:sz="0" w:space="0" w:color="auto"/>
      </w:divBdr>
    </w:div>
    <w:div w:id="84037042">
      <w:bodyDiv w:val="1"/>
      <w:marLeft w:val="0"/>
      <w:marRight w:val="0"/>
      <w:marTop w:val="0"/>
      <w:marBottom w:val="0"/>
      <w:divBdr>
        <w:top w:val="none" w:sz="0" w:space="0" w:color="auto"/>
        <w:left w:val="none" w:sz="0" w:space="0" w:color="auto"/>
        <w:bottom w:val="none" w:sz="0" w:space="0" w:color="auto"/>
        <w:right w:val="none" w:sz="0" w:space="0" w:color="auto"/>
      </w:divBdr>
    </w:div>
    <w:div w:id="84041317">
      <w:bodyDiv w:val="1"/>
      <w:marLeft w:val="0"/>
      <w:marRight w:val="0"/>
      <w:marTop w:val="0"/>
      <w:marBottom w:val="0"/>
      <w:divBdr>
        <w:top w:val="none" w:sz="0" w:space="0" w:color="auto"/>
        <w:left w:val="none" w:sz="0" w:space="0" w:color="auto"/>
        <w:bottom w:val="none" w:sz="0" w:space="0" w:color="auto"/>
        <w:right w:val="none" w:sz="0" w:space="0" w:color="auto"/>
      </w:divBdr>
    </w:div>
    <w:div w:id="84108547">
      <w:bodyDiv w:val="1"/>
      <w:marLeft w:val="0"/>
      <w:marRight w:val="0"/>
      <w:marTop w:val="0"/>
      <w:marBottom w:val="0"/>
      <w:divBdr>
        <w:top w:val="none" w:sz="0" w:space="0" w:color="auto"/>
        <w:left w:val="none" w:sz="0" w:space="0" w:color="auto"/>
        <w:bottom w:val="none" w:sz="0" w:space="0" w:color="auto"/>
        <w:right w:val="none" w:sz="0" w:space="0" w:color="auto"/>
      </w:divBdr>
    </w:div>
    <w:div w:id="84110900">
      <w:bodyDiv w:val="1"/>
      <w:marLeft w:val="0"/>
      <w:marRight w:val="0"/>
      <w:marTop w:val="0"/>
      <w:marBottom w:val="0"/>
      <w:divBdr>
        <w:top w:val="none" w:sz="0" w:space="0" w:color="auto"/>
        <w:left w:val="none" w:sz="0" w:space="0" w:color="auto"/>
        <w:bottom w:val="none" w:sz="0" w:space="0" w:color="auto"/>
        <w:right w:val="none" w:sz="0" w:space="0" w:color="auto"/>
      </w:divBdr>
    </w:div>
    <w:div w:id="84154854">
      <w:bodyDiv w:val="1"/>
      <w:marLeft w:val="0"/>
      <w:marRight w:val="0"/>
      <w:marTop w:val="0"/>
      <w:marBottom w:val="0"/>
      <w:divBdr>
        <w:top w:val="none" w:sz="0" w:space="0" w:color="auto"/>
        <w:left w:val="none" w:sz="0" w:space="0" w:color="auto"/>
        <w:bottom w:val="none" w:sz="0" w:space="0" w:color="auto"/>
        <w:right w:val="none" w:sz="0" w:space="0" w:color="auto"/>
      </w:divBdr>
    </w:div>
    <w:div w:id="84233107">
      <w:bodyDiv w:val="1"/>
      <w:marLeft w:val="0"/>
      <w:marRight w:val="0"/>
      <w:marTop w:val="0"/>
      <w:marBottom w:val="0"/>
      <w:divBdr>
        <w:top w:val="none" w:sz="0" w:space="0" w:color="auto"/>
        <w:left w:val="none" w:sz="0" w:space="0" w:color="auto"/>
        <w:bottom w:val="none" w:sz="0" w:space="0" w:color="auto"/>
        <w:right w:val="none" w:sz="0" w:space="0" w:color="auto"/>
      </w:divBdr>
    </w:div>
    <w:div w:id="84345269">
      <w:bodyDiv w:val="1"/>
      <w:marLeft w:val="0"/>
      <w:marRight w:val="0"/>
      <w:marTop w:val="0"/>
      <w:marBottom w:val="0"/>
      <w:divBdr>
        <w:top w:val="none" w:sz="0" w:space="0" w:color="auto"/>
        <w:left w:val="none" w:sz="0" w:space="0" w:color="auto"/>
        <w:bottom w:val="none" w:sz="0" w:space="0" w:color="auto"/>
        <w:right w:val="none" w:sz="0" w:space="0" w:color="auto"/>
      </w:divBdr>
    </w:div>
    <w:div w:id="84346377">
      <w:bodyDiv w:val="1"/>
      <w:marLeft w:val="0"/>
      <w:marRight w:val="0"/>
      <w:marTop w:val="0"/>
      <w:marBottom w:val="0"/>
      <w:divBdr>
        <w:top w:val="none" w:sz="0" w:space="0" w:color="auto"/>
        <w:left w:val="none" w:sz="0" w:space="0" w:color="auto"/>
        <w:bottom w:val="none" w:sz="0" w:space="0" w:color="auto"/>
        <w:right w:val="none" w:sz="0" w:space="0" w:color="auto"/>
      </w:divBdr>
    </w:div>
    <w:div w:id="84423821">
      <w:bodyDiv w:val="1"/>
      <w:marLeft w:val="0"/>
      <w:marRight w:val="0"/>
      <w:marTop w:val="0"/>
      <w:marBottom w:val="0"/>
      <w:divBdr>
        <w:top w:val="none" w:sz="0" w:space="0" w:color="auto"/>
        <w:left w:val="none" w:sz="0" w:space="0" w:color="auto"/>
        <w:bottom w:val="none" w:sz="0" w:space="0" w:color="auto"/>
        <w:right w:val="none" w:sz="0" w:space="0" w:color="auto"/>
      </w:divBdr>
    </w:div>
    <w:div w:id="84428284">
      <w:bodyDiv w:val="1"/>
      <w:marLeft w:val="0"/>
      <w:marRight w:val="0"/>
      <w:marTop w:val="0"/>
      <w:marBottom w:val="0"/>
      <w:divBdr>
        <w:top w:val="none" w:sz="0" w:space="0" w:color="auto"/>
        <w:left w:val="none" w:sz="0" w:space="0" w:color="auto"/>
        <w:bottom w:val="none" w:sz="0" w:space="0" w:color="auto"/>
        <w:right w:val="none" w:sz="0" w:space="0" w:color="auto"/>
      </w:divBdr>
    </w:div>
    <w:div w:id="84500265">
      <w:bodyDiv w:val="1"/>
      <w:marLeft w:val="0"/>
      <w:marRight w:val="0"/>
      <w:marTop w:val="0"/>
      <w:marBottom w:val="0"/>
      <w:divBdr>
        <w:top w:val="none" w:sz="0" w:space="0" w:color="auto"/>
        <w:left w:val="none" w:sz="0" w:space="0" w:color="auto"/>
        <w:bottom w:val="none" w:sz="0" w:space="0" w:color="auto"/>
        <w:right w:val="none" w:sz="0" w:space="0" w:color="auto"/>
      </w:divBdr>
    </w:div>
    <w:div w:id="84500510">
      <w:bodyDiv w:val="1"/>
      <w:marLeft w:val="0"/>
      <w:marRight w:val="0"/>
      <w:marTop w:val="0"/>
      <w:marBottom w:val="0"/>
      <w:divBdr>
        <w:top w:val="none" w:sz="0" w:space="0" w:color="auto"/>
        <w:left w:val="none" w:sz="0" w:space="0" w:color="auto"/>
        <w:bottom w:val="none" w:sz="0" w:space="0" w:color="auto"/>
        <w:right w:val="none" w:sz="0" w:space="0" w:color="auto"/>
      </w:divBdr>
    </w:div>
    <w:div w:id="84503406">
      <w:bodyDiv w:val="1"/>
      <w:marLeft w:val="0"/>
      <w:marRight w:val="0"/>
      <w:marTop w:val="0"/>
      <w:marBottom w:val="0"/>
      <w:divBdr>
        <w:top w:val="none" w:sz="0" w:space="0" w:color="auto"/>
        <w:left w:val="none" w:sz="0" w:space="0" w:color="auto"/>
        <w:bottom w:val="none" w:sz="0" w:space="0" w:color="auto"/>
        <w:right w:val="none" w:sz="0" w:space="0" w:color="auto"/>
      </w:divBdr>
    </w:div>
    <w:div w:id="84612080">
      <w:bodyDiv w:val="1"/>
      <w:marLeft w:val="0"/>
      <w:marRight w:val="0"/>
      <w:marTop w:val="0"/>
      <w:marBottom w:val="0"/>
      <w:divBdr>
        <w:top w:val="none" w:sz="0" w:space="0" w:color="auto"/>
        <w:left w:val="none" w:sz="0" w:space="0" w:color="auto"/>
        <w:bottom w:val="none" w:sz="0" w:space="0" w:color="auto"/>
        <w:right w:val="none" w:sz="0" w:space="0" w:color="auto"/>
      </w:divBdr>
    </w:div>
    <w:div w:id="84612886">
      <w:bodyDiv w:val="1"/>
      <w:marLeft w:val="0"/>
      <w:marRight w:val="0"/>
      <w:marTop w:val="0"/>
      <w:marBottom w:val="0"/>
      <w:divBdr>
        <w:top w:val="none" w:sz="0" w:space="0" w:color="auto"/>
        <w:left w:val="none" w:sz="0" w:space="0" w:color="auto"/>
        <w:bottom w:val="none" w:sz="0" w:space="0" w:color="auto"/>
        <w:right w:val="none" w:sz="0" w:space="0" w:color="auto"/>
      </w:divBdr>
    </w:div>
    <w:div w:id="84689546">
      <w:bodyDiv w:val="1"/>
      <w:marLeft w:val="0"/>
      <w:marRight w:val="0"/>
      <w:marTop w:val="0"/>
      <w:marBottom w:val="0"/>
      <w:divBdr>
        <w:top w:val="none" w:sz="0" w:space="0" w:color="auto"/>
        <w:left w:val="none" w:sz="0" w:space="0" w:color="auto"/>
        <w:bottom w:val="none" w:sz="0" w:space="0" w:color="auto"/>
        <w:right w:val="none" w:sz="0" w:space="0" w:color="auto"/>
      </w:divBdr>
    </w:div>
    <w:div w:id="84765922">
      <w:bodyDiv w:val="1"/>
      <w:marLeft w:val="0"/>
      <w:marRight w:val="0"/>
      <w:marTop w:val="0"/>
      <w:marBottom w:val="0"/>
      <w:divBdr>
        <w:top w:val="none" w:sz="0" w:space="0" w:color="auto"/>
        <w:left w:val="none" w:sz="0" w:space="0" w:color="auto"/>
        <w:bottom w:val="none" w:sz="0" w:space="0" w:color="auto"/>
        <w:right w:val="none" w:sz="0" w:space="0" w:color="auto"/>
      </w:divBdr>
    </w:div>
    <w:div w:id="84767499">
      <w:bodyDiv w:val="1"/>
      <w:marLeft w:val="0"/>
      <w:marRight w:val="0"/>
      <w:marTop w:val="0"/>
      <w:marBottom w:val="0"/>
      <w:divBdr>
        <w:top w:val="none" w:sz="0" w:space="0" w:color="auto"/>
        <w:left w:val="none" w:sz="0" w:space="0" w:color="auto"/>
        <w:bottom w:val="none" w:sz="0" w:space="0" w:color="auto"/>
        <w:right w:val="none" w:sz="0" w:space="0" w:color="auto"/>
      </w:divBdr>
    </w:div>
    <w:div w:id="84809324">
      <w:bodyDiv w:val="1"/>
      <w:marLeft w:val="0"/>
      <w:marRight w:val="0"/>
      <w:marTop w:val="0"/>
      <w:marBottom w:val="0"/>
      <w:divBdr>
        <w:top w:val="none" w:sz="0" w:space="0" w:color="auto"/>
        <w:left w:val="none" w:sz="0" w:space="0" w:color="auto"/>
        <w:bottom w:val="none" w:sz="0" w:space="0" w:color="auto"/>
        <w:right w:val="none" w:sz="0" w:space="0" w:color="auto"/>
      </w:divBdr>
    </w:div>
    <w:div w:id="84810220">
      <w:bodyDiv w:val="1"/>
      <w:marLeft w:val="0"/>
      <w:marRight w:val="0"/>
      <w:marTop w:val="0"/>
      <w:marBottom w:val="0"/>
      <w:divBdr>
        <w:top w:val="none" w:sz="0" w:space="0" w:color="auto"/>
        <w:left w:val="none" w:sz="0" w:space="0" w:color="auto"/>
        <w:bottom w:val="none" w:sz="0" w:space="0" w:color="auto"/>
        <w:right w:val="none" w:sz="0" w:space="0" w:color="auto"/>
      </w:divBdr>
    </w:div>
    <w:div w:id="85032790">
      <w:bodyDiv w:val="1"/>
      <w:marLeft w:val="0"/>
      <w:marRight w:val="0"/>
      <w:marTop w:val="0"/>
      <w:marBottom w:val="0"/>
      <w:divBdr>
        <w:top w:val="none" w:sz="0" w:space="0" w:color="auto"/>
        <w:left w:val="none" w:sz="0" w:space="0" w:color="auto"/>
        <w:bottom w:val="none" w:sz="0" w:space="0" w:color="auto"/>
        <w:right w:val="none" w:sz="0" w:space="0" w:color="auto"/>
      </w:divBdr>
    </w:div>
    <w:div w:id="85153332">
      <w:bodyDiv w:val="1"/>
      <w:marLeft w:val="0"/>
      <w:marRight w:val="0"/>
      <w:marTop w:val="0"/>
      <w:marBottom w:val="0"/>
      <w:divBdr>
        <w:top w:val="none" w:sz="0" w:space="0" w:color="auto"/>
        <w:left w:val="none" w:sz="0" w:space="0" w:color="auto"/>
        <w:bottom w:val="none" w:sz="0" w:space="0" w:color="auto"/>
        <w:right w:val="none" w:sz="0" w:space="0" w:color="auto"/>
      </w:divBdr>
    </w:div>
    <w:div w:id="85158926">
      <w:bodyDiv w:val="1"/>
      <w:marLeft w:val="0"/>
      <w:marRight w:val="0"/>
      <w:marTop w:val="0"/>
      <w:marBottom w:val="0"/>
      <w:divBdr>
        <w:top w:val="none" w:sz="0" w:space="0" w:color="auto"/>
        <w:left w:val="none" w:sz="0" w:space="0" w:color="auto"/>
        <w:bottom w:val="none" w:sz="0" w:space="0" w:color="auto"/>
        <w:right w:val="none" w:sz="0" w:space="0" w:color="auto"/>
      </w:divBdr>
    </w:div>
    <w:div w:id="85201245">
      <w:bodyDiv w:val="1"/>
      <w:marLeft w:val="0"/>
      <w:marRight w:val="0"/>
      <w:marTop w:val="0"/>
      <w:marBottom w:val="0"/>
      <w:divBdr>
        <w:top w:val="none" w:sz="0" w:space="0" w:color="auto"/>
        <w:left w:val="none" w:sz="0" w:space="0" w:color="auto"/>
        <w:bottom w:val="none" w:sz="0" w:space="0" w:color="auto"/>
        <w:right w:val="none" w:sz="0" w:space="0" w:color="auto"/>
      </w:divBdr>
    </w:div>
    <w:div w:id="85270519">
      <w:bodyDiv w:val="1"/>
      <w:marLeft w:val="0"/>
      <w:marRight w:val="0"/>
      <w:marTop w:val="0"/>
      <w:marBottom w:val="0"/>
      <w:divBdr>
        <w:top w:val="none" w:sz="0" w:space="0" w:color="auto"/>
        <w:left w:val="none" w:sz="0" w:space="0" w:color="auto"/>
        <w:bottom w:val="none" w:sz="0" w:space="0" w:color="auto"/>
        <w:right w:val="none" w:sz="0" w:space="0" w:color="auto"/>
      </w:divBdr>
    </w:div>
    <w:div w:id="85351662">
      <w:bodyDiv w:val="1"/>
      <w:marLeft w:val="0"/>
      <w:marRight w:val="0"/>
      <w:marTop w:val="0"/>
      <w:marBottom w:val="0"/>
      <w:divBdr>
        <w:top w:val="none" w:sz="0" w:space="0" w:color="auto"/>
        <w:left w:val="none" w:sz="0" w:space="0" w:color="auto"/>
        <w:bottom w:val="none" w:sz="0" w:space="0" w:color="auto"/>
        <w:right w:val="none" w:sz="0" w:space="0" w:color="auto"/>
      </w:divBdr>
    </w:div>
    <w:div w:id="85419402">
      <w:bodyDiv w:val="1"/>
      <w:marLeft w:val="0"/>
      <w:marRight w:val="0"/>
      <w:marTop w:val="0"/>
      <w:marBottom w:val="0"/>
      <w:divBdr>
        <w:top w:val="none" w:sz="0" w:space="0" w:color="auto"/>
        <w:left w:val="none" w:sz="0" w:space="0" w:color="auto"/>
        <w:bottom w:val="none" w:sz="0" w:space="0" w:color="auto"/>
        <w:right w:val="none" w:sz="0" w:space="0" w:color="auto"/>
      </w:divBdr>
    </w:div>
    <w:div w:id="85464849">
      <w:bodyDiv w:val="1"/>
      <w:marLeft w:val="0"/>
      <w:marRight w:val="0"/>
      <w:marTop w:val="0"/>
      <w:marBottom w:val="0"/>
      <w:divBdr>
        <w:top w:val="none" w:sz="0" w:space="0" w:color="auto"/>
        <w:left w:val="none" w:sz="0" w:space="0" w:color="auto"/>
        <w:bottom w:val="none" w:sz="0" w:space="0" w:color="auto"/>
        <w:right w:val="none" w:sz="0" w:space="0" w:color="auto"/>
      </w:divBdr>
    </w:div>
    <w:div w:id="85467353">
      <w:bodyDiv w:val="1"/>
      <w:marLeft w:val="0"/>
      <w:marRight w:val="0"/>
      <w:marTop w:val="0"/>
      <w:marBottom w:val="0"/>
      <w:divBdr>
        <w:top w:val="none" w:sz="0" w:space="0" w:color="auto"/>
        <w:left w:val="none" w:sz="0" w:space="0" w:color="auto"/>
        <w:bottom w:val="none" w:sz="0" w:space="0" w:color="auto"/>
        <w:right w:val="none" w:sz="0" w:space="0" w:color="auto"/>
      </w:divBdr>
    </w:div>
    <w:div w:id="85470169">
      <w:bodyDiv w:val="1"/>
      <w:marLeft w:val="0"/>
      <w:marRight w:val="0"/>
      <w:marTop w:val="0"/>
      <w:marBottom w:val="0"/>
      <w:divBdr>
        <w:top w:val="none" w:sz="0" w:space="0" w:color="auto"/>
        <w:left w:val="none" w:sz="0" w:space="0" w:color="auto"/>
        <w:bottom w:val="none" w:sz="0" w:space="0" w:color="auto"/>
        <w:right w:val="none" w:sz="0" w:space="0" w:color="auto"/>
      </w:divBdr>
    </w:div>
    <w:div w:id="85537800">
      <w:bodyDiv w:val="1"/>
      <w:marLeft w:val="0"/>
      <w:marRight w:val="0"/>
      <w:marTop w:val="0"/>
      <w:marBottom w:val="0"/>
      <w:divBdr>
        <w:top w:val="none" w:sz="0" w:space="0" w:color="auto"/>
        <w:left w:val="none" w:sz="0" w:space="0" w:color="auto"/>
        <w:bottom w:val="none" w:sz="0" w:space="0" w:color="auto"/>
        <w:right w:val="none" w:sz="0" w:space="0" w:color="auto"/>
      </w:divBdr>
    </w:div>
    <w:div w:id="85613335">
      <w:bodyDiv w:val="1"/>
      <w:marLeft w:val="0"/>
      <w:marRight w:val="0"/>
      <w:marTop w:val="0"/>
      <w:marBottom w:val="0"/>
      <w:divBdr>
        <w:top w:val="none" w:sz="0" w:space="0" w:color="auto"/>
        <w:left w:val="none" w:sz="0" w:space="0" w:color="auto"/>
        <w:bottom w:val="none" w:sz="0" w:space="0" w:color="auto"/>
        <w:right w:val="none" w:sz="0" w:space="0" w:color="auto"/>
      </w:divBdr>
    </w:div>
    <w:div w:id="85614334">
      <w:bodyDiv w:val="1"/>
      <w:marLeft w:val="0"/>
      <w:marRight w:val="0"/>
      <w:marTop w:val="0"/>
      <w:marBottom w:val="0"/>
      <w:divBdr>
        <w:top w:val="none" w:sz="0" w:space="0" w:color="auto"/>
        <w:left w:val="none" w:sz="0" w:space="0" w:color="auto"/>
        <w:bottom w:val="none" w:sz="0" w:space="0" w:color="auto"/>
        <w:right w:val="none" w:sz="0" w:space="0" w:color="auto"/>
      </w:divBdr>
    </w:div>
    <w:div w:id="85655570">
      <w:bodyDiv w:val="1"/>
      <w:marLeft w:val="0"/>
      <w:marRight w:val="0"/>
      <w:marTop w:val="0"/>
      <w:marBottom w:val="0"/>
      <w:divBdr>
        <w:top w:val="none" w:sz="0" w:space="0" w:color="auto"/>
        <w:left w:val="none" w:sz="0" w:space="0" w:color="auto"/>
        <w:bottom w:val="none" w:sz="0" w:space="0" w:color="auto"/>
        <w:right w:val="none" w:sz="0" w:space="0" w:color="auto"/>
      </w:divBdr>
    </w:div>
    <w:div w:id="85659698">
      <w:bodyDiv w:val="1"/>
      <w:marLeft w:val="0"/>
      <w:marRight w:val="0"/>
      <w:marTop w:val="0"/>
      <w:marBottom w:val="0"/>
      <w:divBdr>
        <w:top w:val="none" w:sz="0" w:space="0" w:color="auto"/>
        <w:left w:val="none" w:sz="0" w:space="0" w:color="auto"/>
        <w:bottom w:val="none" w:sz="0" w:space="0" w:color="auto"/>
        <w:right w:val="none" w:sz="0" w:space="0" w:color="auto"/>
      </w:divBdr>
    </w:div>
    <w:div w:id="85662911">
      <w:bodyDiv w:val="1"/>
      <w:marLeft w:val="0"/>
      <w:marRight w:val="0"/>
      <w:marTop w:val="0"/>
      <w:marBottom w:val="0"/>
      <w:divBdr>
        <w:top w:val="none" w:sz="0" w:space="0" w:color="auto"/>
        <w:left w:val="none" w:sz="0" w:space="0" w:color="auto"/>
        <w:bottom w:val="none" w:sz="0" w:space="0" w:color="auto"/>
        <w:right w:val="none" w:sz="0" w:space="0" w:color="auto"/>
      </w:divBdr>
    </w:div>
    <w:div w:id="85730101">
      <w:bodyDiv w:val="1"/>
      <w:marLeft w:val="0"/>
      <w:marRight w:val="0"/>
      <w:marTop w:val="0"/>
      <w:marBottom w:val="0"/>
      <w:divBdr>
        <w:top w:val="none" w:sz="0" w:space="0" w:color="auto"/>
        <w:left w:val="none" w:sz="0" w:space="0" w:color="auto"/>
        <w:bottom w:val="none" w:sz="0" w:space="0" w:color="auto"/>
        <w:right w:val="none" w:sz="0" w:space="0" w:color="auto"/>
      </w:divBdr>
    </w:div>
    <w:div w:id="85809890">
      <w:bodyDiv w:val="1"/>
      <w:marLeft w:val="0"/>
      <w:marRight w:val="0"/>
      <w:marTop w:val="0"/>
      <w:marBottom w:val="0"/>
      <w:divBdr>
        <w:top w:val="none" w:sz="0" w:space="0" w:color="auto"/>
        <w:left w:val="none" w:sz="0" w:space="0" w:color="auto"/>
        <w:bottom w:val="none" w:sz="0" w:space="0" w:color="auto"/>
        <w:right w:val="none" w:sz="0" w:space="0" w:color="auto"/>
      </w:divBdr>
    </w:div>
    <w:div w:id="85880203">
      <w:bodyDiv w:val="1"/>
      <w:marLeft w:val="0"/>
      <w:marRight w:val="0"/>
      <w:marTop w:val="0"/>
      <w:marBottom w:val="0"/>
      <w:divBdr>
        <w:top w:val="none" w:sz="0" w:space="0" w:color="auto"/>
        <w:left w:val="none" w:sz="0" w:space="0" w:color="auto"/>
        <w:bottom w:val="none" w:sz="0" w:space="0" w:color="auto"/>
        <w:right w:val="none" w:sz="0" w:space="0" w:color="auto"/>
      </w:divBdr>
    </w:div>
    <w:div w:id="85927170">
      <w:bodyDiv w:val="1"/>
      <w:marLeft w:val="0"/>
      <w:marRight w:val="0"/>
      <w:marTop w:val="0"/>
      <w:marBottom w:val="0"/>
      <w:divBdr>
        <w:top w:val="none" w:sz="0" w:space="0" w:color="auto"/>
        <w:left w:val="none" w:sz="0" w:space="0" w:color="auto"/>
        <w:bottom w:val="none" w:sz="0" w:space="0" w:color="auto"/>
        <w:right w:val="none" w:sz="0" w:space="0" w:color="auto"/>
      </w:divBdr>
    </w:div>
    <w:div w:id="86074010">
      <w:bodyDiv w:val="1"/>
      <w:marLeft w:val="0"/>
      <w:marRight w:val="0"/>
      <w:marTop w:val="0"/>
      <w:marBottom w:val="0"/>
      <w:divBdr>
        <w:top w:val="none" w:sz="0" w:space="0" w:color="auto"/>
        <w:left w:val="none" w:sz="0" w:space="0" w:color="auto"/>
        <w:bottom w:val="none" w:sz="0" w:space="0" w:color="auto"/>
        <w:right w:val="none" w:sz="0" w:space="0" w:color="auto"/>
      </w:divBdr>
    </w:div>
    <w:div w:id="86313726">
      <w:bodyDiv w:val="1"/>
      <w:marLeft w:val="0"/>
      <w:marRight w:val="0"/>
      <w:marTop w:val="0"/>
      <w:marBottom w:val="0"/>
      <w:divBdr>
        <w:top w:val="none" w:sz="0" w:space="0" w:color="auto"/>
        <w:left w:val="none" w:sz="0" w:space="0" w:color="auto"/>
        <w:bottom w:val="none" w:sz="0" w:space="0" w:color="auto"/>
        <w:right w:val="none" w:sz="0" w:space="0" w:color="auto"/>
      </w:divBdr>
    </w:div>
    <w:div w:id="86391316">
      <w:bodyDiv w:val="1"/>
      <w:marLeft w:val="0"/>
      <w:marRight w:val="0"/>
      <w:marTop w:val="0"/>
      <w:marBottom w:val="0"/>
      <w:divBdr>
        <w:top w:val="none" w:sz="0" w:space="0" w:color="auto"/>
        <w:left w:val="none" w:sz="0" w:space="0" w:color="auto"/>
        <w:bottom w:val="none" w:sz="0" w:space="0" w:color="auto"/>
        <w:right w:val="none" w:sz="0" w:space="0" w:color="auto"/>
      </w:divBdr>
    </w:div>
    <w:div w:id="86391480">
      <w:bodyDiv w:val="1"/>
      <w:marLeft w:val="0"/>
      <w:marRight w:val="0"/>
      <w:marTop w:val="0"/>
      <w:marBottom w:val="0"/>
      <w:divBdr>
        <w:top w:val="none" w:sz="0" w:space="0" w:color="auto"/>
        <w:left w:val="none" w:sz="0" w:space="0" w:color="auto"/>
        <w:bottom w:val="none" w:sz="0" w:space="0" w:color="auto"/>
        <w:right w:val="none" w:sz="0" w:space="0" w:color="auto"/>
      </w:divBdr>
    </w:div>
    <w:div w:id="86392871">
      <w:bodyDiv w:val="1"/>
      <w:marLeft w:val="0"/>
      <w:marRight w:val="0"/>
      <w:marTop w:val="0"/>
      <w:marBottom w:val="0"/>
      <w:divBdr>
        <w:top w:val="none" w:sz="0" w:space="0" w:color="auto"/>
        <w:left w:val="none" w:sz="0" w:space="0" w:color="auto"/>
        <w:bottom w:val="none" w:sz="0" w:space="0" w:color="auto"/>
        <w:right w:val="none" w:sz="0" w:space="0" w:color="auto"/>
      </w:divBdr>
    </w:div>
    <w:div w:id="86508731">
      <w:bodyDiv w:val="1"/>
      <w:marLeft w:val="0"/>
      <w:marRight w:val="0"/>
      <w:marTop w:val="0"/>
      <w:marBottom w:val="0"/>
      <w:divBdr>
        <w:top w:val="none" w:sz="0" w:space="0" w:color="auto"/>
        <w:left w:val="none" w:sz="0" w:space="0" w:color="auto"/>
        <w:bottom w:val="none" w:sz="0" w:space="0" w:color="auto"/>
        <w:right w:val="none" w:sz="0" w:space="0" w:color="auto"/>
      </w:divBdr>
    </w:div>
    <w:div w:id="86509262">
      <w:bodyDiv w:val="1"/>
      <w:marLeft w:val="0"/>
      <w:marRight w:val="0"/>
      <w:marTop w:val="0"/>
      <w:marBottom w:val="0"/>
      <w:divBdr>
        <w:top w:val="none" w:sz="0" w:space="0" w:color="auto"/>
        <w:left w:val="none" w:sz="0" w:space="0" w:color="auto"/>
        <w:bottom w:val="none" w:sz="0" w:space="0" w:color="auto"/>
        <w:right w:val="none" w:sz="0" w:space="0" w:color="auto"/>
      </w:divBdr>
    </w:div>
    <w:div w:id="86657978">
      <w:bodyDiv w:val="1"/>
      <w:marLeft w:val="0"/>
      <w:marRight w:val="0"/>
      <w:marTop w:val="0"/>
      <w:marBottom w:val="0"/>
      <w:divBdr>
        <w:top w:val="none" w:sz="0" w:space="0" w:color="auto"/>
        <w:left w:val="none" w:sz="0" w:space="0" w:color="auto"/>
        <w:bottom w:val="none" w:sz="0" w:space="0" w:color="auto"/>
        <w:right w:val="none" w:sz="0" w:space="0" w:color="auto"/>
      </w:divBdr>
    </w:div>
    <w:div w:id="86704380">
      <w:bodyDiv w:val="1"/>
      <w:marLeft w:val="0"/>
      <w:marRight w:val="0"/>
      <w:marTop w:val="0"/>
      <w:marBottom w:val="0"/>
      <w:divBdr>
        <w:top w:val="none" w:sz="0" w:space="0" w:color="auto"/>
        <w:left w:val="none" w:sz="0" w:space="0" w:color="auto"/>
        <w:bottom w:val="none" w:sz="0" w:space="0" w:color="auto"/>
        <w:right w:val="none" w:sz="0" w:space="0" w:color="auto"/>
      </w:divBdr>
    </w:div>
    <w:div w:id="86704807">
      <w:bodyDiv w:val="1"/>
      <w:marLeft w:val="0"/>
      <w:marRight w:val="0"/>
      <w:marTop w:val="0"/>
      <w:marBottom w:val="0"/>
      <w:divBdr>
        <w:top w:val="none" w:sz="0" w:space="0" w:color="auto"/>
        <w:left w:val="none" w:sz="0" w:space="0" w:color="auto"/>
        <w:bottom w:val="none" w:sz="0" w:space="0" w:color="auto"/>
        <w:right w:val="none" w:sz="0" w:space="0" w:color="auto"/>
      </w:divBdr>
    </w:div>
    <w:div w:id="86772979">
      <w:bodyDiv w:val="1"/>
      <w:marLeft w:val="0"/>
      <w:marRight w:val="0"/>
      <w:marTop w:val="0"/>
      <w:marBottom w:val="0"/>
      <w:divBdr>
        <w:top w:val="none" w:sz="0" w:space="0" w:color="auto"/>
        <w:left w:val="none" w:sz="0" w:space="0" w:color="auto"/>
        <w:bottom w:val="none" w:sz="0" w:space="0" w:color="auto"/>
        <w:right w:val="none" w:sz="0" w:space="0" w:color="auto"/>
      </w:divBdr>
    </w:div>
    <w:div w:id="86773003">
      <w:bodyDiv w:val="1"/>
      <w:marLeft w:val="0"/>
      <w:marRight w:val="0"/>
      <w:marTop w:val="0"/>
      <w:marBottom w:val="0"/>
      <w:divBdr>
        <w:top w:val="none" w:sz="0" w:space="0" w:color="auto"/>
        <w:left w:val="none" w:sz="0" w:space="0" w:color="auto"/>
        <w:bottom w:val="none" w:sz="0" w:space="0" w:color="auto"/>
        <w:right w:val="none" w:sz="0" w:space="0" w:color="auto"/>
      </w:divBdr>
    </w:div>
    <w:div w:id="86773664">
      <w:bodyDiv w:val="1"/>
      <w:marLeft w:val="0"/>
      <w:marRight w:val="0"/>
      <w:marTop w:val="0"/>
      <w:marBottom w:val="0"/>
      <w:divBdr>
        <w:top w:val="none" w:sz="0" w:space="0" w:color="auto"/>
        <w:left w:val="none" w:sz="0" w:space="0" w:color="auto"/>
        <w:bottom w:val="none" w:sz="0" w:space="0" w:color="auto"/>
        <w:right w:val="none" w:sz="0" w:space="0" w:color="auto"/>
      </w:divBdr>
    </w:div>
    <w:div w:id="86774721">
      <w:bodyDiv w:val="1"/>
      <w:marLeft w:val="0"/>
      <w:marRight w:val="0"/>
      <w:marTop w:val="0"/>
      <w:marBottom w:val="0"/>
      <w:divBdr>
        <w:top w:val="none" w:sz="0" w:space="0" w:color="auto"/>
        <w:left w:val="none" w:sz="0" w:space="0" w:color="auto"/>
        <w:bottom w:val="none" w:sz="0" w:space="0" w:color="auto"/>
        <w:right w:val="none" w:sz="0" w:space="0" w:color="auto"/>
      </w:divBdr>
    </w:div>
    <w:div w:id="86930817">
      <w:bodyDiv w:val="1"/>
      <w:marLeft w:val="0"/>
      <w:marRight w:val="0"/>
      <w:marTop w:val="0"/>
      <w:marBottom w:val="0"/>
      <w:divBdr>
        <w:top w:val="none" w:sz="0" w:space="0" w:color="auto"/>
        <w:left w:val="none" w:sz="0" w:space="0" w:color="auto"/>
        <w:bottom w:val="none" w:sz="0" w:space="0" w:color="auto"/>
        <w:right w:val="none" w:sz="0" w:space="0" w:color="auto"/>
      </w:divBdr>
    </w:div>
    <w:div w:id="86970505">
      <w:bodyDiv w:val="1"/>
      <w:marLeft w:val="0"/>
      <w:marRight w:val="0"/>
      <w:marTop w:val="0"/>
      <w:marBottom w:val="0"/>
      <w:divBdr>
        <w:top w:val="none" w:sz="0" w:space="0" w:color="auto"/>
        <w:left w:val="none" w:sz="0" w:space="0" w:color="auto"/>
        <w:bottom w:val="none" w:sz="0" w:space="0" w:color="auto"/>
        <w:right w:val="none" w:sz="0" w:space="0" w:color="auto"/>
      </w:divBdr>
    </w:div>
    <w:div w:id="86973939">
      <w:bodyDiv w:val="1"/>
      <w:marLeft w:val="0"/>
      <w:marRight w:val="0"/>
      <w:marTop w:val="0"/>
      <w:marBottom w:val="0"/>
      <w:divBdr>
        <w:top w:val="none" w:sz="0" w:space="0" w:color="auto"/>
        <w:left w:val="none" w:sz="0" w:space="0" w:color="auto"/>
        <w:bottom w:val="none" w:sz="0" w:space="0" w:color="auto"/>
        <w:right w:val="none" w:sz="0" w:space="0" w:color="auto"/>
      </w:divBdr>
    </w:div>
    <w:div w:id="87041578">
      <w:bodyDiv w:val="1"/>
      <w:marLeft w:val="0"/>
      <w:marRight w:val="0"/>
      <w:marTop w:val="0"/>
      <w:marBottom w:val="0"/>
      <w:divBdr>
        <w:top w:val="none" w:sz="0" w:space="0" w:color="auto"/>
        <w:left w:val="none" w:sz="0" w:space="0" w:color="auto"/>
        <w:bottom w:val="none" w:sz="0" w:space="0" w:color="auto"/>
        <w:right w:val="none" w:sz="0" w:space="0" w:color="auto"/>
      </w:divBdr>
    </w:div>
    <w:div w:id="87317064">
      <w:bodyDiv w:val="1"/>
      <w:marLeft w:val="0"/>
      <w:marRight w:val="0"/>
      <w:marTop w:val="0"/>
      <w:marBottom w:val="0"/>
      <w:divBdr>
        <w:top w:val="none" w:sz="0" w:space="0" w:color="auto"/>
        <w:left w:val="none" w:sz="0" w:space="0" w:color="auto"/>
        <w:bottom w:val="none" w:sz="0" w:space="0" w:color="auto"/>
        <w:right w:val="none" w:sz="0" w:space="0" w:color="auto"/>
      </w:divBdr>
    </w:div>
    <w:div w:id="87384964">
      <w:bodyDiv w:val="1"/>
      <w:marLeft w:val="0"/>
      <w:marRight w:val="0"/>
      <w:marTop w:val="0"/>
      <w:marBottom w:val="0"/>
      <w:divBdr>
        <w:top w:val="none" w:sz="0" w:space="0" w:color="auto"/>
        <w:left w:val="none" w:sz="0" w:space="0" w:color="auto"/>
        <w:bottom w:val="none" w:sz="0" w:space="0" w:color="auto"/>
        <w:right w:val="none" w:sz="0" w:space="0" w:color="auto"/>
      </w:divBdr>
    </w:div>
    <w:div w:id="87387153">
      <w:bodyDiv w:val="1"/>
      <w:marLeft w:val="0"/>
      <w:marRight w:val="0"/>
      <w:marTop w:val="0"/>
      <w:marBottom w:val="0"/>
      <w:divBdr>
        <w:top w:val="none" w:sz="0" w:space="0" w:color="auto"/>
        <w:left w:val="none" w:sz="0" w:space="0" w:color="auto"/>
        <w:bottom w:val="none" w:sz="0" w:space="0" w:color="auto"/>
        <w:right w:val="none" w:sz="0" w:space="0" w:color="auto"/>
      </w:divBdr>
    </w:div>
    <w:div w:id="87426831">
      <w:bodyDiv w:val="1"/>
      <w:marLeft w:val="0"/>
      <w:marRight w:val="0"/>
      <w:marTop w:val="0"/>
      <w:marBottom w:val="0"/>
      <w:divBdr>
        <w:top w:val="none" w:sz="0" w:space="0" w:color="auto"/>
        <w:left w:val="none" w:sz="0" w:space="0" w:color="auto"/>
        <w:bottom w:val="none" w:sz="0" w:space="0" w:color="auto"/>
        <w:right w:val="none" w:sz="0" w:space="0" w:color="auto"/>
      </w:divBdr>
    </w:div>
    <w:div w:id="87505481">
      <w:bodyDiv w:val="1"/>
      <w:marLeft w:val="0"/>
      <w:marRight w:val="0"/>
      <w:marTop w:val="0"/>
      <w:marBottom w:val="0"/>
      <w:divBdr>
        <w:top w:val="none" w:sz="0" w:space="0" w:color="auto"/>
        <w:left w:val="none" w:sz="0" w:space="0" w:color="auto"/>
        <w:bottom w:val="none" w:sz="0" w:space="0" w:color="auto"/>
        <w:right w:val="none" w:sz="0" w:space="0" w:color="auto"/>
      </w:divBdr>
    </w:div>
    <w:div w:id="87584762">
      <w:bodyDiv w:val="1"/>
      <w:marLeft w:val="0"/>
      <w:marRight w:val="0"/>
      <w:marTop w:val="0"/>
      <w:marBottom w:val="0"/>
      <w:divBdr>
        <w:top w:val="none" w:sz="0" w:space="0" w:color="auto"/>
        <w:left w:val="none" w:sz="0" w:space="0" w:color="auto"/>
        <w:bottom w:val="none" w:sz="0" w:space="0" w:color="auto"/>
        <w:right w:val="none" w:sz="0" w:space="0" w:color="auto"/>
      </w:divBdr>
    </w:div>
    <w:div w:id="87652600">
      <w:bodyDiv w:val="1"/>
      <w:marLeft w:val="0"/>
      <w:marRight w:val="0"/>
      <w:marTop w:val="0"/>
      <w:marBottom w:val="0"/>
      <w:divBdr>
        <w:top w:val="none" w:sz="0" w:space="0" w:color="auto"/>
        <w:left w:val="none" w:sz="0" w:space="0" w:color="auto"/>
        <w:bottom w:val="none" w:sz="0" w:space="0" w:color="auto"/>
        <w:right w:val="none" w:sz="0" w:space="0" w:color="auto"/>
      </w:divBdr>
    </w:div>
    <w:div w:id="87701737">
      <w:bodyDiv w:val="1"/>
      <w:marLeft w:val="0"/>
      <w:marRight w:val="0"/>
      <w:marTop w:val="0"/>
      <w:marBottom w:val="0"/>
      <w:divBdr>
        <w:top w:val="none" w:sz="0" w:space="0" w:color="auto"/>
        <w:left w:val="none" w:sz="0" w:space="0" w:color="auto"/>
        <w:bottom w:val="none" w:sz="0" w:space="0" w:color="auto"/>
        <w:right w:val="none" w:sz="0" w:space="0" w:color="auto"/>
      </w:divBdr>
    </w:div>
    <w:div w:id="87776630">
      <w:bodyDiv w:val="1"/>
      <w:marLeft w:val="0"/>
      <w:marRight w:val="0"/>
      <w:marTop w:val="0"/>
      <w:marBottom w:val="0"/>
      <w:divBdr>
        <w:top w:val="none" w:sz="0" w:space="0" w:color="auto"/>
        <w:left w:val="none" w:sz="0" w:space="0" w:color="auto"/>
        <w:bottom w:val="none" w:sz="0" w:space="0" w:color="auto"/>
        <w:right w:val="none" w:sz="0" w:space="0" w:color="auto"/>
      </w:divBdr>
    </w:div>
    <w:div w:id="87778901">
      <w:bodyDiv w:val="1"/>
      <w:marLeft w:val="0"/>
      <w:marRight w:val="0"/>
      <w:marTop w:val="0"/>
      <w:marBottom w:val="0"/>
      <w:divBdr>
        <w:top w:val="none" w:sz="0" w:space="0" w:color="auto"/>
        <w:left w:val="none" w:sz="0" w:space="0" w:color="auto"/>
        <w:bottom w:val="none" w:sz="0" w:space="0" w:color="auto"/>
        <w:right w:val="none" w:sz="0" w:space="0" w:color="auto"/>
      </w:divBdr>
    </w:div>
    <w:div w:id="87779835">
      <w:bodyDiv w:val="1"/>
      <w:marLeft w:val="0"/>
      <w:marRight w:val="0"/>
      <w:marTop w:val="0"/>
      <w:marBottom w:val="0"/>
      <w:divBdr>
        <w:top w:val="none" w:sz="0" w:space="0" w:color="auto"/>
        <w:left w:val="none" w:sz="0" w:space="0" w:color="auto"/>
        <w:bottom w:val="none" w:sz="0" w:space="0" w:color="auto"/>
        <w:right w:val="none" w:sz="0" w:space="0" w:color="auto"/>
      </w:divBdr>
    </w:div>
    <w:div w:id="87845921">
      <w:bodyDiv w:val="1"/>
      <w:marLeft w:val="0"/>
      <w:marRight w:val="0"/>
      <w:marTop w:val="0"/>
      <w:marBottom w:val="0"/>
      <w:divBdr>
        <w:top w:val="none" w:sz="0" w:space="0" w:color="auto"/>
        <w:left w:val="none" w:sz="0" w:space="0" w:color="auto"/>
        <w:bottom w:val="none" w:sz="0" w:space="0" w:color="auto"/>
        <w:right w:val="none" w:sz="0" w:space="0" w:color="auto"/>
      </w:divBdr>
    </w:div>
    <w:div w:id="87967934">
      <w:bodyDiv w:val="1"/>
      <w:marLeft w:val="0"/>
      <w:marRight w:val="0"/>
      <w:marTop w:val="0"/>
      <w:marBottom w:val="0"/>
      <w:divBdr>
        <w:top w:val="none" w:sz="0" w:space="0" w:color="auto"/>
        <w:left w:val="none" w:sz="0" w:space="0" w:color="auto"/>
        <w:bottom w:val="none" w:sz="0" w:space="0" w:color="auto"/>
        <w:right w:val="none" w:sz="0" w:space="0" w:color="auto"/>
      </w:divBdr>
    </w:div>
    <w:div w:id="88081650">
      <w:bodyDiv w:val="1"/>
      <w:marLeft w:val="0"/>
      <w:marRight w:val="0"/>
      <w:marTop w:val="0"/>
      <w:marBottom w:val="0"/>
      <w:divBdr>
        <w:top w:val="none" w:sz="0" w:space="0" w:color="auto"/>
        <w:left w:val="none" w:sz="0" w:space="0" w:color="auto"/>
        <w:bottom w:val="none" w:sz="0" w:space="0" w:color="auto"/>
        <w:right w:val="none" w:sz="0" w:space="0" w:color="auto"/>
      </w:divBdr>
    </w:div>
    <w:div w:id="88088076">
      <w:bodyDiv w:val="1"/>
      <w:marLeft w:val="0"/>
      <w:marRight w:val="0"/>
      <w:marTop w:val="0"/>
      <w:marBottom w:val="0"/>
      <w:divBdr>
        <w:top w:val="none" w:sz="0" w:space="0" w:color="auto"/>
        <w:left w:val="none" w:sz="0" w:space="0" w:color="auto"/>
        <w:bottom w:val="none" w:sz="0" w:space="0" w:color="auto"/>
        <w:right w:val="none" w:sz="0" w:space="0" w:color="auto"/>
      </w:divBdr>
    </w:div>
    <w:div w:id="88241402">
      <w:bodyDiv w:val="1"/>
      <w:marLeft w:val="0"/>
      <w:marRight w:val="0"/>
      <w:marTop w:val="0"/>
      <w:marBottom w:val="0"/>
      <w:divBdr>
        <w:top w:val="none" w:sz="0" w:space="0" w:color="auto"/>
        <w:left w:val="none" w:sz="0" w:space="0" w:color="auto"/>
        <w:bottom w:val="none" w:sz="0" w:space="0" w:color="auto"/>
        <w:right w:val="none" w:sz="0" w:space="0" w:color="auto"/>
      </w:divBdr>
    </w:div>
    <w:div w:id="88280901">
      <w:bodyDiv w:val="1"/>
      <w:marLeft w:val="0"/>
      <w:marRight w:val="0"/>
      <w:marTop w:val="0"/>
      <w:marBottom w:val="0"/>
      <w:divBdr>
        <w:top w:val="none" w:sz="0" w:space="0" w:color="auto"/>
        <w:left w:val="none" w:sz="0" w:space="0" w:color="auto"/>
        <w:bottom w:val="none" w:sz="0" w:space="0" w:color="auto"/>
        <w:right w:val="none" w:sz="0" w:space="0" w:color="auto"/>
      </w:divBdr>
    </w:div>
    <w:div w:id="88350481">
      <w:bodyDiv w:val="1"/>
      <w:marLeft w:val="0"/>
      <w:marRight w:val="0"/>
      <w:marTop w:val="0"/>
      <w:marBottom w:val="0"/>
      <w:divBdr>
        <w:top w:val="none" w:sz="0" w:space="0" w:color="auto"/>
        <w:left w:val="none" w:sz="0" w:space="0" w:color="auto"/>
        <w:bottom w:val="none" w:sz="0" w:space="0" w:color="auto"/>
        <w:right w:val="none" w:sz="0" w:space="0" w:color="auto"/>
      </w:divBdr>
    </w:div>
    <w:div w:id="88351626">
      <w:bodyDiv w:val="1"/>
      <w:marLeft w:val="0"/>
      <w:marRight w:val="0"/>
      <w:marTop w:val="0"/>
      <w:marBottom w:val="0"/>
      <w:divBdr>
        <w:top w:val="none" w:sz="0" w:space="0" w:color="auto"/>
        <w:left w:val="none" w:sz="0" w:space="0" w:color="auto"/>
        <w:bottom w:val="none" w:sz="0" w:space="0" w:color="auto"/>
        <w:right w:val="none" w:sz="0" w:space="0" w:color="auto"/>
      </w:divBdr>
    </w:div>
    <w:div w:id="88357673">
      <w:bodyDiv w:val="1"/>
      <w:marLeft w:val="0"/>
      <w:marRight w:val="0"/>
      <w:marTop w:val="0"/>
      <w:marBottom w:val="0"/>
      <w:divBdr>
        <w:top w:val="none" w:sz="0" w:space="0" w:color="auto"/>
        <w:left w:val="none" w:sz="0" w:space="0" w:color="auto"/>
        <w:bottom w:val="none" w:sz="0" w:space="0" w:color="auto"/>
        <w:right w:val="none" w:sz="0" w:space="0" w:color="auto"/>
      </w:divBdr>
    </w:div>
    <w:div w:id="88550069">
      <w:bodyDiv w:val="1"/>
      <w:marLeft w:val="0"/>
      <w:marRight w:val="0"/>
      <w:marTop w:val="0"/>
      <w:marBottom w:val="0"/>
      <w:divBdr>
        <w:top w:val="none" w:sz="0" w:space="0" w:color="auto"/>
        <w:left w:val="none" w:sz="0" w:space="0" w:color="auto"/>
        <w:bottom w:val="none" w:sz="0" w:space="0" w:color="auto"/>
        <w:right w:val="none" w:sz="0" w:space="0" w:color="auto"/>
      </w:divBdr>
    </w:div>
    <w:div w:id="88551241">
      <w:bodyDiv w:val="1"/>
      <w:marLeft w:val="0"/>
      <w:marRight w:val="0"/>
      <w:marTop w:val="0"/>
      <w:marBottom w:val="0"/>
      <w:divBdr>
        <w:top w:val="none" w:sz="0" w:space="0" w:color="auto"/>
        <w:left w:val="none" w:sz="0" w:space="0" w:color="auto"/>
        <w:bottom w:val="none" w:sz="0" w:space="0" w:color="auto"/>
        <w:right w:val="none" w:sz="0" w:space="0" w:color="auto"/>
      </w:divBdr>
    </w:div>
    <w:div w:id="88670936">
      <w:bodyDiv w:val="1"/>
      <w:marLeft w:val="0"/>
      <w:marRight w:val="0"/>
      <w:marTop w:val="0"/>
      <w:marBottom w:val="0"/>
      <w:divBdr>
        <w:top w:val="none" w:sz="0" w:space="0" w:color="auto"/>
        <w:left w:val="none" w:sz="0" w:space="0" w:color="auto"/>
        <w:bottom w:val="none" w:sz="0" w:space="0" w:color="auto"/>
        <w:right w:val="none" w:sz="0" w:space="0" w:color="auto"/>
      </w:divBdr>
    </w:div>
    <w:div w:id="88696358">
      <w:bodyDiv w:val="1"/>
      <w:marLeft w:val="0"/>
      <w:marRight w:val="0"/>
      <w:marTop w:val="0"/>
      <w:marBottom w:val="0"/>
      <w:divBdr>
        <w:top w:val="none" w:sz="0" w:space="0" w:color="auto"/>
        <w:left w:val="none" w:sz="0" w:space="0" w:color="auto"/>
        <w:bottom w:val="none" w:sz="0" w:space="0" w:color="auto"/>
        <w:right w:val="none" w:sz="0" w:space="0" w:color="auto"/>
      </w:divBdr>
    </w:div>
    <w:div w:id="88744598">
      <w:bodyDiv w:val="1"/>
      <w:marLeft w:val="0"/>
      <w:marRight w:val="0"/>
      <w:marTop w:val="0"/>
      <w:marBottom w:val="0"/>
      <w:divBdr>
        <w:top w:val="none" w:sz="0" w:space="0" w:color="auto"/>
        <w:left w:val="none" w:sz="0" w:space="0" w:color="auto"/>
        <w:bottom w:val="none" w:sz="0" w:space="0" w:color="auto"/>
        <w:right w:val="none" w:sz="0" w:space="0" w:color="auto"/>
      </w:divBdr>
    </w:div>
    <w:div w:id="88889204">
      <w:bodyDiv w:val="1"/>
      <w:marLeft w:val="0"/>
      <w:marRight w:val="0"/>
      <w:marTop w:val="0"/>
      <w:marBottom w:val="0"/>
      <w:divBdr>
        <w:top w:val="none" w:sz="0" w:space="0" w:color="auto"/>
        <w:left w:val="none" w:sz="0" w:space="0" w:color="auto"/>
        <w:bottom w:val="none" w:sz="0" w:space="0" w:color="auto"/>
        <w:right w:val="none" w:sz="0" w:space="0" w:color="auto"/>
      </w:divBdr>
    </w:div>
    <w:div w:id="89008226">
      <w:bodyDiv w:val="1"/>
      <w:marLeft w:val="0"/>
      <w:marRight w:val="0"/>
      <w:marTop w:val="0"/>
      <w:marBottom w:val="0"/>
      <w:divBdr>
        <w:top w:val="none" w:sz="0" w:space="0" w:color="auto"/>
        <w:left w:val="none" w:sz="0" w:space="0" w:color="auto"/>
        <w:bottom w:val="none" w:sz="0" w:space="0" w:color="auto"/>
        <w:right w:val="none" w:sz="0" w:space="0" w:color="auto"/>
      </w:divBdr>
    </w:div>
    <w:div w:id="89010316">
      <w:bodyDiv w:val="1"/>
      <w:marLeft w:val="0"/>
      <w:marRight w:val="0"/>
      <w:marTop w:val="0"/>
      <w:marBottom w:val="0"/>
      <w:divBdr>
        <w:top w:val="none" w:sz="0" w:space="0" w:color="auto"/>
        <w:left w:val="none" w:sz="0" w:space="0" w:color="auto"/>
        <w:bottom w:val="none" w:sz="0" w:space="0" w:color="auto"/>
        <w:right w:val="none" w:sz="0" w:space="0" w:color="auto"/>
      </w:divBdr>
    </w:div>
    <w:div w:id="89130639">
      <w:bodyDiv w:val="1"/>
      <w:marLeft w:val="0"/>
      <w:marRight w:val="0"/>
      <w:marTop w:val="0"/>
      <w:marBottom w:val="0"/>
      <w:divBdr>
        <w:top w:val="none" w:sz="0" w:space="0" w:color="auto"/>
        <w:left w:val="none" w:sz="0" w:space="0" w:color="auto"/>
        <w:bottom w:val="none" w:sz="0" w:space="0" w:color="auto"/>
        <w:right w:val="none" w:sz="0" w:space="0" w:color="auto"/>
      </w:divBdr>
    </w:div>
    <w:div w:id="89130894">
      <w:bodyDiv w:val="1"/>
      <w:marLeft w:val="0"/>
      <w:marRight w:val="0"/>
      <w:marTop w:val="0"/>
      <w:marBottom w:val="0"/>
      <w:divBdr>
        <w:top w:val="none" w:sz="0" w:space="0" w:color="auto"/>
        <w:left w:val="none" w:sz="0" w:space="0" w:color="auto"/>
        <w:bottom w:val="none" w:sz="0" w:space="0" w:color="auto"/>
        <w:right w:val="none" w:sz="0" w:space="0" w:color="auto"/>
      </w:divBdr>
    </w:div>
    <w:div w:id="89157534">
      <w:bodyDiv w:val="1"/>
      <w:marLeft w:val="0"/>
      <w:marRight w:val="0"/>
      <w:marTop w:val="0"/>
      <w:marBottom w:val="0"/>
      <w:divBdr>
        <w:top w:val="none" w:sz="0" w:space="0" w:color="auto"/>
        <w:left w:val="none" w:sz="0" w:space="0" w:color="auto"/>
        <w:bottom w:val="none" w:sz="0" w:space="0" w:color="auto"/>
        <w:right w:val="none" w:sz="0" w:space="0" w:color="auto"/>
      </w:divBdr>
    </w:div>
    <w:div w:id="89161628">
      <w:bodyDiv w:val="1"/>
      <w:marLeft w:val="0"/>
      <w:marRight w:val="0"/>
      <w:marTop w:val="0"/>
      <w:marBottom w:val="0"/>
      <w:divBdr>
        <w:top w:val="none" w:sz="0" w:space="0" w:color="auto"/>
        <w:left w:val="none" w:sz="0" w:space="0" w:color="auto"/>
        <w:bottom w:val="none" w:sz="0" w:space="0" w:color="auto"/>
        <w:right w:val="none" w:sz="0" w:space="0" w:color="auto"/>
      </w:divBdr>
    </w:div>
    <w:div w:id="89201724">
      <w:bodyDiv w:val="1"/>
      <w:marLeft w:val="0"/>
      <w:marRight w:val="0"/>
      <w:marTop w:val="0"/>
      <w:marBottom w:val="0"/>
      <w:divBdr>
        <w:top w:val="none" w:sz="0" w:space="0" w:color="auto"/>
        <w:left w:val="none" w:sz="0" w:space="0" w:color="auto"/>
        <w:bottom w:val="none" w:sz="0" w:space="0" w:color="auto"/>
        <w:right w:val="none" w:sz="0" w:space="0" w:color="auto"/>
      </w:divBdr>
    </w:div>
    <w:div w:id="89277431">
      <w:bodyDiv w:val="1"/>
      <w:marLeft w:val="0"/>
      <w:marRight w:val="0"/>
      <w:marTop w:val="0"/>
      <w:marBottom w:val="0"/>
      <w:divBdr>
        <w:top w:val="none" w:sz="0" w:space="0" w:color="auto"/>
        <w:left w:val="none" w:sz="0" w:space="0" w:color="auto"/>
        <w:bottom w:val="none" w:sz="0" w:space="0" w:color="auto"/>
        <w:right w:val="none" w:sz="0" w:space="0" w:color="auto"/>
      </w:divBdr>
    </w:div>
    <w:div w:id="89278920">
      <w:bodyDiv w:val="1"/>
      <w:marLeft w:val="0"/>
      <w:marRight w:val="0"/>
      <w:marTop w:val="0"/>
      <w:marBottom w:val="0"/>
      <w:divBdr>
        <w:top w:val="none" w:sz="0" w:space="0" w:color="auto"/>
        <w:left w:val="none" w:sz="0" w:space="0" w:color="auto"/>
        <w:bottom w:val="none" w:sz="0" w:space="0" w:color="auto"/>
        <w:right w:val="none" w:sz="0" w:space="0" w:color="auto"/>
      </w:divBdr>
    </w:div>
    <w:div w:id="89279436">
      <w:bodyDiv w:val="1"/>
      <w:marLeft w:val="0"/>
      <w:marRight w:val="0"/>
      <w:marTop w:val="0"/>
      <w:marBottom w:val="0"/>
      <w:divBdr>
        <w:top w:val="none" w:sz="0" w:space="0" w:color="auto"/>
        <w:left w:val="none" w:sz="0" w:space="0" w:color="auto"/>
        <w:bottom w:val="none" w:sz="0" w:space="0" w:color="auto"/>
        <w:right w:val="none" w:sz="0" w:space="0" w:color="auto"/>
      </w:divBdr>
    </w:div>
    <w:div w:id="89392375">
      <w:bodyDiv w:val="1"/>
      <w:marLeft w:val="0"/>
      <w:marRight w:val="0"/>
      <w:marTop w:val="0"/>
      <w:marBottom w:val="0"/>
      <w:divBdr>
        <w:top w:val="none" w:sz="0" w:space="0" w:color="auto"/>
        <w:left w:val="none" w:sz="0" w:space="0" w:color="auto"/>
        <w:bottom w:val="none" w:sz="0" w:space="0" w:color="auto"/>
        <w:right w:val="none" w:sz="0" w:space="0" w:color="auto"/>
      </w:divBdr>
    </w:div>
    <w:div w:id="89401450">
      <w:bodyDiv w:val="1"/>
      <w:marLeft w:val="0"/>
      <w:marRight w:val="0"/>
      <w:marTop w:val="0"/>
      <w:marBottom w:val="0"/>
      <w:divBdr>
        <w:top w:val="none" w:sz="0" w:space="0" w:color="auto"/>
        <w:left w:val="none" w:sz="0" w:space="0" w:color="auto"/>
        <w:bottom w:val="none" w:sz="0" w:space="0" w:color="auto"/>
        <w:right w:val="none" w:sz="0" w:space="0" w:color="auto"/>
      </w:divBdr>
    </w:div>
    <w:div w:id="89547782">
      <w:bodyDiv w:val="1"/>
      <w:marLeft w:val="0"/>
      <w:marRight w:val="0"/>
      <w:marTop w:val="0"/>
      <w:marBottom w:val="0"/>
      <w:divBdr>
        <w:top w:val="none" w:sz="0" w:space="0" w:color="auto"/>
        <w:left w:val="none" w:sz="0" w:space="0" w:color="auto"/>
        <w:bottom w:val="none" w:sz="0" w:space="0" w:color="auto"/>
        <w:right w:val="none" w:sz="0" w:space="0" w:color="auto"/>
      </w:divBdr>
    </w:div>
    <w:div w:id="89743491">
      <w:bodyDiv w:val="1"/>
      <w:marLeft w:val="0"/>
      <w:marRight w:val="0"/>
      <w:marTop w:val="0"/>
      <w:marBottom w:val="0"/>
      <w:divBdr>
        <w:top w:val="none" w:sz="0" w:space="0" w:color="auto"/>
        <w:left w:val="none" w:sz="0" w:space="0" w:color="auto"/>
        <w:bottom w:val="none" w:sz="0" w:space="0" w:color="auto"/>
        <w:right w:val="none" w:sz="0" w:space="0" w:color="auto"/>
      </w:divBdr>
    </w:div>
    <w:div w:id="89815425">
      <w:bodyDiv w:val="1"/>
      <w:marLeft w:val="0"/>
      <w:marRight w:val="0"/>
      <w:marTop w:val="0"/>
      <w:marBottom w:val="0"/>
      <w:divBdr>
        <w:top w:val="none" w:sz="0" w:space="0" w:color="auto"/>
        <w:left w:val="none" w:sz="0" w:space="0" w:color="auto"/>
        <w:bottom w:val="none" w:sz="0" w:space="0" w:color="auto"/>
        <w:right w:val="none" w:sz="0" w:space="0" w:color="auto"/>
      </w:divBdr>
    </w:div>
    <w:div w:id="89858008">
      <w:bodyDiv w:val="1"/>
      <w:marLeft w:val="0"/>
      <w:marRight w:val="0"/>
      <w:marTop w:val="0"/>
      <w:marBottom w:val="0"/>
      <w:divBdr>
        <w:top w:val="none" w:sz="0" w:space="0" w:color="auto"/>
        <w:left w:val="none" w:sz="0" w:space="0" w:color="auto"/>
        <w:bottom w:val="none" w:sz="0" w:space="0" w:color="auto"/>
        <w:right w:val="none" w:sz="0" w:space="0" w:color="auto"/>
      </w:divBdr>
    </w:div>
    <w:div w:id="90008480">
      <w:bodyDiv w:val="1"/>
      <w:marLeft w:val="0"/>
      <w:marRight w:val="0"/>
      <w:marTop w:val="0"/>
      <w:marBottom w:val="0"/>
      <w:divBdr>
        <w:top w:val="none" w:sz="0" w:space="0" w:color="auto"/>
        <w:left w:val="none" w:sz="0" w:space="0" w:color="auto"/>
        <w:bottom w:val="none" w:sz="0" w:space="0" w:color="auto"/>
        <w:right w:val="none" w:sz="0" w:space="0" w:color="auto"/>
      </w:divBdr>
    </w:div>
    <w:div w:id="90048849">
      <w:bodyDiv w:val="1"/>
      <w:marLeft w:val="0"/>
      <w:marRight w:val="0"/>
      <w:marTop w:val="0"/>
      <w:marBottom w:val="0"/>
      <w:divBdr>
        <w:top w:val="none" w:sz="0" w:space="0" w:color="auto"/>
        <w:left w:val="none" w:sz="0" w:space="0" w:color="auto"/>
        <w:bottom w:val="none" w:sz="0" w:space="0" w:color="auto"/>
        <w:right w:val="none" w:sz="0" w:space="0" w:color="auto"/>
      </w:divBdr>
    </w:div>
    <w:div w:id="90049376">
      <w:bodyDiv w:val="1"/>
      <w:marLeft w:val="0"/>
      <w:marRight w:val="0"/>
      <w:marTop w:val="0"/>
      <w:marBottom w:val="0"/>
      <w:divBdr>
        <w:top w:val="none" w:sz="0" w:space="0" w:color="auto"/>
        <w:left w:val="none" w:sz="0" w:space="0" w:color="auto"/>
        <w:bottom w:val="none" w:sz="0" w:space="0" w:color="auto"/>
        <w:right w:val="none" w:sz="0" w:space="0" w:color="auto"/>
      </w:divBdr>
    </w:div>
    <w:div w:id="90054703">
      <w:bodyDiv w:val="1"/>
      <w:marLeft w:val="0"/>
      <w:marRight w:val="0"/>
      <w:marTop w:val="0"/>
      <w:marBottom w:val="0"/>
      <w:divBdr>
        <w:top w:val="none" w:sz="0" w:space="0" w:color="auto"/>
        <w:left w:val="none" w:sz="0" w:space="0" w:color="auto"/>
        <w:bottom w:val="none" w:sz="0" w:space="0" w:color="auto"/>
        <w:right w:val="none" w:sz="0" w:space="0" w:color="auto"/>
      </w:divBdr>
    </w:div>
    <w:div w:id="90055529">
      <w:bodyDiv w:val="1"/>
      <w:marLeft w:val="0"/>
      <w:marRight w:val="0"/>
      <w:marTop w:val="0"/>
      <w:marBottom w:val="0"/>
      <w:divBdr>
        <w:top w:val="none" w:sz="0" w:space="0" w:color="auto"/>
        <w:left w:val="none" w:sz="0" w:space="0" w:color="auto"/>
        <w:bottom w:val="none" w:sz="0" w:space="0" w:color="auto"/>
        <w:right w:val="none" w:sz="0" w:space="0" w:color="auto"/>
      </w:divBdr>
    </w:div>
    <w:div w:id="90056532">
      <w:bodyDiv w:val="1"/>
      <w:marLeft w:val="0"/>
      <w:marRight w:val="0"/>
      <w:marTop w:val="0"/>
      <w:marBottom w:val="0"/>
      <w:divBdr>
        <w:top w:val="none" w:sz="0" w:space="0" w:color="auto"/>
        <w:left w:val="none" w:sz="0" w:space="0" w:color="auto"/>
        <w:bottom w:val="none" w:sz="0" w:space="0" w:color="auto"/>
        <w:right w:val="none" w:sz="0" w:space="0" w:color="auto"/>
      </w:divBdr>
    </w:div>
    <w:div w:id="90205817">
      <w:bodyDiv w:val="1"/>
      <w:marLeft w:val="0"/>
      <w:marRight w:val="0"/>
      <w:marTop w:val="0"/>
      <w:marBottom w:val="0"/>
      <w:divBdr>
        <w:top w:val="none" w:sz="0" w:space="0" w:color="auto"/>
        <w:left w:val="none" w:sz="0" w:space="0" w:color="auto"/>
        <w:bottom w:val="none" w:sz="0" w:space="0" w:color="auto"/>
        <w:right w:val="none" w:sz="0" w:space="0" w:color="auto"/>
      </w:divBdr>
    </w:div>
    <w:div w:id="90206625">
      <w:bodyDiv w:val="1"/>
      <w:marLeft w:val="0"/>
      <w:marRight w:val="0"/>
      <w:marTop w:val="0"/>
      <w:marBottom w:val="0"/>
      <w:divBdr>
        <w:top w:val="none" w:sz="0" w:space="0" w:color="auto"/>
        <w:left w:val="none" w:sz="0" w:space="0" w:color="auto"/>
        <w:bottom w:val="none" w:sz="0" w:space="0" w:color="auto"/>
        <w:right w:val="none" w:sz="0" w:space="0" w:color="auto"/>
      </w:divBdr>
    </w:div>
    <w:div w:id="90249037">
      <w:bodyDiv w:val="1"/>
      <w:marLeft w:val="0"/>
      <w:marRight w:val="0"/>
      <w:marTop w:val="0"/>
      <w:marBottom w:val="0"/>
      <w:divBdr>
        <w:top w:val="none" w:sz="0" w:space="0" w:color="auto"/>
        <w:left w:val="none" w:sz="0" w:space="0" w:color="auto"/>
        <w:bottom w:val="none" w:sz="0" w:space="0" w:color="auto"/>
        <w:right w:val="none" w:sz="0" w:space="0" w:color="auto"/>
      </w:divBdr>
    </w:div>
    <w:div w:id="90316405">
      <w:bodyDiv w:val="1"/>
      <w:marLeft w:val="0"/>
      <w:marRight w:val="0"/>
      <w:marTop w:val="0"/>
      <w:marBottom w:val="0"/>
      <w:divBdr>
        <w:top w:val="none" w:sz="0" w:space="0" w:color="auto"/>
        <w:left w:val="none" w:sz="0" w:space="0" w:color="auto"/>
        <w:bottom w:val="none" w:sz="0" w:space="0" w:color="auto"/>
        <w:right w:val="none" w:sz="0" w:space="0" w:color="auto"/>
      </w:divBdr>
    </w:div>
    <w:div w:id="90400320">
      <w:bodyDiv w:val="1"/>
      <w:marLeft w:val="0"/>
      <w:marRight w:val="0"/>
      <w:marTop w:val="0"/>
      <w:marBottom w:val="0"/>
      <w:divBdr>
        <w:top w:val="none" w:sz="0" w:space="0" w:color="auto"/>
        <w:left w:val="none" w:sz="0" w:space="0" w:color="auto"/>
        <w:bottom w:val="none" w:sz="0" w:space="0" w:color="auto"/>
        <w:right w:val="none" w:sz="0" w:space="0" w:color="auto"/>
      </w:divBdr>
    </w:div>
    <w:div w:id="90666804">
      <w:bodyDiv w:val="1"/>
      <w:marLeft w:val="0"/>
      <w:marRight w:val="0"/>
      <w:marTop w:val="0"/>
      <w:marBottom w:val="0"/>
      <w:divBdr>
        <w:top w:val="none" w:sz="0" w:space="0" w:color="auto"/>
        <w:left w:val="none" w:sz="0" w:space="0" w:color="auto"/>
        <w:bottom w:val="none" w:sz="0" w:space="0" w:color="auto"/>
        <w:right w:val="none" w:sz="0" w:space="0" w:color="auto"/>
      </w:divBdr>
      <w:divsChild>
        <w:div w:id="6294675">
          <w:marLeft w:val="0"/>
          <w:marRight w:val="0"/>
          <w:marTop w:val="0"/>
          <w:marBottom w:val="0"/>
          <w:divBdr>
            <w:top w:val="none" w:sz="0" w:space="0" w:color="auto"/>
            <w:left w:val="none" w:sz="0" w:space="0" w:color="auto"/>
            <w:bottom w:val="none" w:sz="0" w:space="0" w:color="auto"/>
            <w:right w:val="none" w:sz="0" w:space="0" w:color="auto"/>
          </w:divBdr>
        </w:div>
        <w:div w:id="31200693">
          <w:marLeft w:val="0"/>
          <w:marRight w:val="0"/>
          <w:marTop w:val="0"/>
          <w:marBottom w:val="0"/>
          <w:divBdr>
            <w:top w:val="none" w:sz="0" w:space="0" w:color="auto"/>
            <w:left w:val="none" w:sz="0" w:space="0" w:color="auto"/>
            <w:bottom w:val="none" w:sz="0" w:space="0" w:color="auto"/>
            <w:right w:val="none" w:sz="0" w:space="0" w:color="auto"/>
          </w:divBdr>
        </w:div>
        <w:div w:id="40448641">
          <w:marLeft w:val="0"/>
          <w:marRight w:val="0"/>
          <w:marTop w:val="0"/>
          <w:marBottom w:val="0"/>
          <w:divBdr>
            <w:top w:val="none" w:sz="0" w:space="0" w:color="auto"/>
            <w:left w:val="none" w:sz="0" w:space="0" w:color="auto"/>
            <w:bottom w:val="none" w:sz="0" w:space="0" w:color="auto"/>
            <w:right w:val="none" w:sz="0" w:space="0" w:color="auto"/>
          </w:divBdr>
        </w:div>
        <w:div w:id="55859335">
          <w:marLeft w:val="0"/>
          <w:marRight w:val="0"/>
          <w:marTop w:val="0"/>
          <w:marBottom w:val="0"/>
          <w:divBdr>
            <w:top w:val="none" w:sz="0" w:space="0" w:color="auto"/>
            <w:left w:val="none" w:sz="0" w:space="0" w:color="auto"/>
            <w:bottom w:val="none" w:sz="0" w:space="0" w:color="auto"/>
            <w:right w:val="none" w:sz="0" w:space="0" w:color="auto"/>
          </w:divBdr>
        </w:div>
        <w:div w:id="62797445">
          <w:marLeft w:val="0"/>
          <w:marRight w:val="0"/>
          <w:marTop w:val="0"/>
          <w:marBottom w:val="0"/>
          <w:divBdr>
            <w:top w:val="none" w:sz="0" w:space="0" w:color="auto"/>
            <w:left w:val="none" w:sz="0" w:space="0" w:color="auto"/>
            <w:bottom w:val="none" w:sz="0" w:space="0" w:color="auto"/>
            <w:right w:val="none" w:sz="0" w:space="0" w:color="auto"/>
          </w:divBdr>
        </w:div>
        <w:div w:id="81029203">
          <w:marLeft w:val="0"/>
          <w:marRight w:val="0"/>
          <w:marTop w:val="0"/>
          <w:marBottom w:val="0"/>
          <w:divBdr>
            <w:top w:val="none" w:sz="0" w:space="0" w:color="auto"/>
            <w:left w:val="none" w:sz="0" w:space="0" w:color="auto"/>
            <w:bottom w:val="none" w:sz="0" w:space="0" w:color="auto"/>
            <w:right w:val="none" w:sz="0" w:space="0" w:color="auto"/>
          </w:divBdr>
        </w:div>
        <w:div w:id="92476787">
          <w:marLeft w:val="0"/>
          <w:marRight w:val="0"/>
          <w:marTop w:val="0"/>
          <w:marBottom w:val="0"/>
          <w:divBdr>
            <w:top w:val="none" w:sz="0" w:space="0" w:color="auto"/>
            <w:left w:val="none" w:sz="0" w:space="0" w:color="auto"/>
            <w:bottom w:val="none" w:sz="0" w:space="0" w:color="auto"/>
            <w:right w:val="none" w:sz="0" w:space="0" w:color="auto"/>
          </w:divBdr>
        </w:div>
        <w:div w:id="100222004">
          <w:marLeft w:val="0"/>
          <w:marRight w:val="0"/>
          <w:marTop w:val="0"/>
          <w:marBottom w:val="0"/>
          <w:divBdr>
            <w:top w:val="none" w:sz="0" w:space="0" w:color="auto"/>
            <w:left w:val="none" w:sz="0" w:space="0" w:color="auto"/>
            <w:bottom w:val="none" w:sz="0" w:space="0" w:color="auto"/>
            <w:right w:val="none" w:sz="0" w:space="0" w:color="auto"/>
          </w:divBdr>
        </w:div>
        <w:div w:id="108935703">
          <w:marLeft w:val="0"/>
          <w:marRight w:val="0"/>
          <w:marTop w:val="0"/>
          <w:marBottom w:val="0"/>
          <w:divBdr>
            <w:top w:val="none" w:sz="0" w:space="0" w:color="auto"/>
            <w:left w:val="none" w:sz="0" w:space="0" w:color="auto"/>
            <w:bottom w:val="none" w:sz="0" w:space="0" w:color="auto"/>
            <w:right w:val="none" w:sz="0" w:space="0" w:color="auto"/>
          </w:divBdr>
        </w:div>
        <w:div w:id="111561148">
          <w:marLeft w:val="0"/>
          <w:marRight w:val="0"/>
          <w:marTop w:val="0"/>
          <w:marBottom w:val="0"/>
          <w:divBdr>
            <w:top w:val="none" w:sz="0" w:space="0" w:color="auto"/>
            <w:left w:val="none" w:sz="0" w:space="0" w:color="auto"/>
            <w:bottom w:val="none" w:sz="0" w:space="0" w:color="auto"/>
            <w:right w:val="none" w:sz="0" w:space="0" w:color="auto"/>
          </w:divBdr>
        </w:div>
        <w:div w:id="128089987">
          <w:marLeft w:val="0"/>
          <w:marRight w:val="0"/>
          <w:marTop w:val="0"/>
          <w:marBottom w:val="0"/>
          <w:divBdr>
            <w:top w:val="none" w:sz="0" w:space="0" w:color="auto"/>
            <w:left w:val="none" w:sz="0" w:space="0" w:color="auto"/>
            <w:bottom w:val="none" w:sz="0" w:space="0" w:color="auto"/>
            <w:right w:val="none" w:sz="0" w:space="0" w:color="auto"/>
          </w:divBdr>
        </w:div>
        <w:div w:id="147862504">
          <w:marLeft w:val="0"/>
          <w:marRight w:val="0"/>
          <w:marTop w:val="0"/>
          <w:marBottom w:val="0"/>
          <w:divBdr>
            <w:top w:val="none" w:sz="0" w:space="0" w:color="auto"/>
            <w:left w:val="none" w:sz="0" w:space="0" w:color="auto"/>
            <w:bottom w:val="none" w:sz="0" w:space="0" w:color="auto"/>
            <w:right w:val="none" w:sz="0" w:space="0" w:color="auto"/>
          </w:divBdr>
        </w:div>
        <w:div w:id="161238639">
          <w:marLeft w:val="0"/>
          <w:marRight w:val="0"/>
          <w:marTop w:val="0"/>
          <w:marBottom w:val="0"/>
          <w:divBdr>
            <w:top w:val="none" w:sz="0" w:space="0" w:color="auto"/>
            <w:left w:val="none" w:sz="0" w:space="0" w:color="auto"/>
            <w:bottom w:val="none" w:sz="0" w:space="0" w:color="auto"/>
            <w:right w:val="none" w:sz="0" w:space="0" w:color="auto"/>
          </w:divBdr>
        </w:div>
        <w:div w:id="182742114">
          <w:marLeft w:val="0"/>
          <w:marRight w:val="0"/>
          <w:marTop w:val="0"/>
          <w:marBottom w:val="0"/>
          <w:divBdr>
            <w:top w:val="none" w:sz="0" w:space="0" w:color="auto"/>
            <w:left w:val="none" w:sz="0" w:space="0" w:color="auto"/>
            <w:bottom w:val="none" w:sz="0" w:space="0" w:color="auto"/>
            <w:right w:val="none" w:sz="0" w:space="0" w:color="auto"/>
          </w:divBdr>
        </w:div>
        <w:div w:id="230431676">
          <w:marLeft w:val="0"/>
          <w:marRight w:val="0"/>
          <w:marTop w:val="0"/>
          <w:marBottom w:val="0"/>
          <w:divBdr>
            <w:top w:val="none" w:sz="0" w:space="0" w:color="auto"/>
            <w:left w:val="none" w:sz="0" w:space="0" w:color="auto"/>
            <w:bottom w:val="none" w:sz="0" w:space="0" w:color="auto"/>
            <w:right w:val="none" w:sz="0" w:space="0" w:color="auto"/>
          </w:divBdr>
        </w:div>
        <w:div w:id="233122974">
          <w:marLeft w:val="0"/>
          <w:marRight w:val="0"/>
          <w:marTop w:val="0"/>
          <w:marBottom w:val="0"/>
          <w:divBdr>
            <w:top w:val="none" w:sz="0" w:space="0" w:color="auto"/>
            <w:left w:val="none" w:sz="0" w:space="0" w:color="auto"/>
            <w:bottom w:val="none" w:sz="0" w:space="0" w:color="auto"/>
            <w:right w:val="none" w:sz="0" w:space="0" w:color="auto"/>
          </w:divBdr>
        </w:div>
        <w:div w:id="243994795">
          <w:marLeft w:val="0"/>
          <w:marRight w:val="0"/>
          <w:marTop w:val="0"/>
          <w:marBottom w:val="0"/>
          <w:divBdr>
            <w:top w:val="none" w:sz="0" w:space="0" w:color="auto"/>
            <w:left w:val="none" w:sz="0" w:space="0" w:color="auto"/>
            <w:bottom w:val="none" w:sz="0" w:space="0" w:color="auto"/>
            <w:right w:val="none" w:sz="0" w:space="0" w:color="auto"/>
          </w:divBdr>
        </w:div>
        <w:div w:id="252738033">
          <w:marLeft w:val="0"/>
          <w:marRight w:val="0"/>
          <w:marTop w:val="0"/>
          <w:marBottom w:val="0"/>
          <w:divBdr>
            <w:top w:val="none" w:sz="0" w:space="0" w:color="auto"/>
            <w:left w:val="none" w:sz="0" w:space="0" w:color="auto"/>
            <w:bottom w:val="none" w:sz="0" w:space="0" w:color="auto"/>
            <w:right w:val="none" w:sz="0" w:space="0" w:color="auto"/>
          </w:divBdr>
        </w:div>
        <w:div w:id="269319689">
          <w:marLeft w:val="0"/>
          <w:marRight w:val="0"/>
          <w:marTop w:val="0"/>
          <w:marBottom w:val="0"/>
          <w:divBdr>
            <w:top w:val="none" w:sz="0" w:space="0" w:color="auto"/>
            <w:left w:val="none" w:sz="0" w:space="0" w:color="auto"/>
            <w:bottom w:val="none" w:sz="0" w:space="0" w:color="auto"/>
            <w:right w:val="none" w:sz="0" w:space="0" w:color="auto"/>
          </w:divBdr>
        </w:div>
        <w:div w:id="303049526">
          <w:marLeft w:val="0"/>
          <w:marRight w:val="0"/>
          <w:marTop w:val="0"/>
          <w:marBottom w:val="0"/>
          <w:divBdr>
            <w:top w:val="none" w:sz="0" w:space="0" w:color="auto"/>
            <w:left w:val="none" w:sz="0" w:space="0" w:color="auto"/>
            <w:bottom w:val="none" w:sz="0" w:space="0" w:color="auto"/>
            <w:right w:val="none" w:sz="0" w:space="0" w:color="auto"/>
          </w:divBdr>
        </w:div>
        <w:div w:id="304355704">
          <w:marLeft w:val="0"/>
          <w:marRight w:val="0"/>
          <w:marTop w:val="0"/>
          <w:marBottom w:val="0"/>
          <w:divBdr>
            <w:top w:val="none" w:sz="0" w:space="0" w:color="auto"/>
            <w:left w:val="none" w:sz="0" w:space="0" w:color="auto"/>
            <w:bottom w:val="none" w:sz="0" w:space="0" w:color="auto"/>
            <w:right w:val="none" w:sz="0" w:space="0" w:color="auto"/>
          </w:divBdr>
        </w:div>
        <w:div w:id="312873943">
          <w:marLeft w:val="0"/>
          <w:marRight w:val="0"/>
          <w:marTop w:val="0"/>
          <w:marBottom w:val="0"/>
          <w:divBdr>
            <w:top w:val="none" w:sz="0" w:space="0" w:color="auto"/>
            <w:left w:val="none" w:sz="0" w:space="0" w:color="auto"/>
            <w:bottom w:val="none" w:sz="0" w:space="0" w:color="auto"/>
            <w:right w:val="none" w:sz="0" w:space="0" w:color="auto"/>
          </w:divBdr>
        </w:div>
        <w:div w:id="333609901">
          <w:marLeft w:val="0"/>
          <w:marRight w:val="0"/>
          <w:marTop w:val="0"/>
          <w:marBottom w:val="0"/>
          <w:divBdr>
            <w:top w:val="none" w:sz="0" w:space="0" w:color="auto"/>
            <w:left w:val="none" w:sz="0" w:space="0" w:color="auto"/>
            <w:bottom w:val="none" w:sz="0" w:space="0" w:color="auto"/>
            <w:right w:val="none" w:sz="0" w:space="0" w:color="auto"/>
          </w:divBdr>
        </w:div>
        <w:div w:id="336463888">
          <w:marLeft w:val="0"/>
          <w:marRight w:val="0"/>
          <w:marTop w:val="0"/>
          <w:marBottom w:val="0"/>
          <w:divBdr>
            <w:top w:val="none" w:sz="0" w:space="0" w:color="auto"/>
            <w:left w:val="none" w:sz="0" w:space="0" w:color="auto"/>
            <w:bottom w:val="none" w:sz="0" w:space="0" w:color="auto"/>
            <w:right w:val="none" w:sz="0" w:space="0" w:color="auto"/>
          </w:divBdr>
        </w:div>
        <w:div w:id="352419770">
          <w:marLeft w:val="0"/>
          <w:marRight w:val="0"/>
          <w:marTop w:val="0"/>
          <w:marBottom w:val="0"/>
          <w:divBdr>
            <w:top w:val="none" w:sz="0" w:space="0" w:color="auto"/>
            <w:left w:val="none" w:sz="0" w:space="0" w:color="auto"/>
            <w:bottom w:val="none" w:sz="0" w:space="0" w:color="auto"/>
            <w:right w:val="none" w:sz="0" w:space="0" w:color="auto"/>
          </w:divBdr>
        </w:div>
        <w:div w:id="371729128">
          <w:marLeft w:val="0"/>
          <w:marRight w:val="0"/>
          <w:marTop w:val="0"/>
          <w:marBottom w:val="0"/>
          <w:divBdr>
            <w:top w:val="none" w:sz="0" w:space="0" w:color="auto"/>
            <w:left w:val="none" w:sz="0" w:space="0" w:color="auto"/>
            <w:bottom w:val="none" w:sz="0" w:space="0" w:color="auto"/>
            <w:right w:val="none" w:sz="0" w:space="0" w:color="auto"/>
          </w:divBdr>
        </w:div>
        <w:div w:id="389158371">
          <w:marLeft w:val="0"/>
          <w:marRight w:val="0"/>
          <w:marTop w:val="0"/>
          <w:marBottom w:val="0"/>
          <w:divBdr>
            <w:top w:val="none" w:sz="0" w:space="0" w:color="auto"/>
            <w:left w:val="none" w:sz="0" w:space="0" w:color="auto"/>
            <w:bottom w:val="none" w:sz="0" w:space="0" w:color="auto"/>
            <w:right w:val="none" w:sz="0" w:space="0" w:color="auto"/>
          </w:divBdr>
        </w:div>
        <w:div w:id="439689796">
          <w:marLeft w:val="0"/>
          <w:marRight w:val="0"/>
          <w:marTop w:val="0"/>
          <w:marBottom w:val="0"/>
          <w:divBdr>
            <w:top w:val="none" w:sz="0" w:space="0" w:color="auto"/>
            <w:left w:val="none" w:sz="0" w:space="0" w:color="auto"/>
            <w:bottom w:val="none" w:sz="0" w:space="0" w:color="auto"/>
            <w:right w:val="none" w:sz="0" w:space="0" w:color="auto"/>
          </w:divBdr>
        </w:div>
        <w:div w:id="455804811">
          <w:marLeft w:val="0"/>
          <w:marRight w:val="0"/>
          <w:marTop w:val="0"/>
          <w:marBottom w:val="0"/>
          <w:divBdr>
            <w:top w:val="none" w:sz="0" w:space="0" w:color="auto"/>
            <w:left w:val="none" w:sz="0" w:space="0" w:color="auto"/>
            <w:bottom w:val="none" w:sz="0" w:space="0" w:color="auto"/>
            <w:right w:val="none" w:sz="0" w:space="0" w:color="auto"/>
          </w:divBdr>
        </w:div>
        <w:div w:id="478613398">
          <w:marLeft w:val="0"/>
          <w:marRight w:val="0"/>
          <w:marTop w:val="0"/>
          <w:marBottom w:val="0"/>
          <w:divBdr>
            <w:top w:val="none" w:sz="0" w:space="0" w:color="auto"/>
            <w:left w:val="none" w:sz="0" w:space="0" w:color="auto"/>
            <w:bottom w:val="none" w:sz="0" w:space="0" w:color="auto"/>
            <w:right w:val="none" w:sz="0" w:space="0" w:color="auto"/>
          </w:divBdr>
        </w:div>
        <w:div w:id="481655596">
          <w:marLeft w:val="0"/>
          <w:marRight w:val="0"/>
          <w:marTop w:val="0"/>
          <w:marBottom w:val="0"/>
          <w:divBdr>
            <w:top w:val="none" w:sz="0" w:space="0" w:color="auto"/>
            <w:left w:val="none" w:sz="0" w:space="0" w:color="auto"/>
            <w:bottom w:val="none" w:sz="0" w:space="0" w:color="auto"/>
            <w:right w:val="none" w:sz="0" w:space="0" w:color="auto"/>
          </w:divBdr>
        </w:div>
        <w:div w:id="489180724">
          <w:marLeft w:val="0"/>
          <w:marRight w:val="0"/>
          <w:marTop w:val="0"/>
          <w:marBottom w:val="0"/>
          <w:divBdr>
            <w:top w:val="none" w:sz="0" w:space="0" w:color="auto"/>
            <w:left w:val="none" w:sz="0" w:space="0" w:color="auto"/>
            <w:bottom w:val="none" w:sz="0" w:space="0" w:color="auto"/>
            <w:right w:val="none" w:sz="0" w:space="0" w:color="auto"/>
          </w:divBdr>
        </w:div>
        <w:div w:id="489978992">
          <w:marLeft w:val="0"/>
          <w:marRight w:val="0"/>
          <w:marTop w:val="0"/>
          <w:marBottom w:val="0"/>
          <w:divBdr>
            <w:top w:val="none" w:sz="0" w:space="0" w:color="auto"/>
            <w:left w:val="none" w:sz="0" w:space="0" w:color="auto"/>
            <w:bottom w:val="none" w:sz="0" w:space="0" w:color="auto"/>
            <w:right w:val="none" w:sz="0" w:space="0" w:color="auto"/>
          </w:divBdr>
        </w:div>
        <w:div w:id="498622890">
          <w:marLeft w:val="0"/>
          <w:marRight w:val="0"/>
          <w:marTop w:val="0"/>
          <w:marBottom w:val="0"/>
          <w:divBdr>
            <w:top w:val="none" w:sz="0" w:space="0" w:color="auto"/>
            <w:left w:val="none" w:sz="0" w:space="0" w:color="auto"/>
            <w:bottom w:val="none" w:sz="0" w:space="0" w:color="auto"/>
            <w:right w:val="none" w:sz="0" w:space="0" w:color="auto"/>
          </w:divBdr>
        </w:div>
        <w:div w:id="511799660">
          <w:marLeft w:val="0"/>
          <w:marRight w:val="0"/>
          <w:marTop w:val="0"/>
          <w:marBottom w:val="0"/>
          <w:divBdr>
            <w:top w:val="none" w:sz="0" w:space="0" w:color="auto"/>
            <w:left w:val="none" w:sz="0" w:space="0" w:color="auto"/>
            <w:bottom w:val="none" w:sz="0" w:space="0" w:color="auto"/>
            <w:right w:val="none" w:sz="0" w:space="0" w:color="auto"/>
          </w:divBdr>
        </w:div>
        <w:div w:id="530147539">
          <w:marLeft w:val="0"/>
          <w:marRight w:val="0"/>
          <w:marTop w:val="0"/>
          <w:marBottom w:val="0"/>
          <w:divBdr>
            <w:top w:val="none" w:sz="0" w:space="0" w:color="auto"/>
            <w:left w:val="none" w:sz="0" w:space="0" w:color="auto"/>
            <w:bottom w:val="none" w:sz="0" w:space="0" w:color="auto"/>
            <w:right w:val="none" w:sz="0" w:space="0" w:color="auto"/>
          </w:divBdr>
        </w:div>
        <w:div w:id="539628925">
          <w:marLeft w:val="0"/>
          <w:marRight w:val="0"/>
          <w:marTop w:val="0"/>
          <w:marBottom w:val="0"/>
          <w:divBdr>
            <w:top w:val="none" w:sz="0" w:space="0" w:color="auto"/>
            <w:left w:val="none" w:sz="0" w:space="0" w:color="auto"/>
            <w:bottom w:val="none" w:sz="0" w:space="0" w:color="auto"/>
            <w:right w:val="none" w:sz="0" w:space="0" w:color="auto"/>
          </w:divBdr>
        </w:div>
        <w:div w:id="581794643">
          <w:marLeft w:val="0"/>
          <w:marRight w:val="0"/>
          <w:marTop w:val="0"/>
          <w:marBottom w:val="0"/>
          <w:divBdr>
            <w:top w:val="none" w:sz="0" w:space="0" w:color="auto"/>
            <w:left w:val="none" w:sz="0" w:space="0" w:color="auto"/>
            <w:bottom w:val="none" w:sz="0" w:space="0" w:color="auto"/>
            <w:right w:val="none" w:sz="0" w:space="0" w:color="auto"/>
          </w:divBdr>
        </w:div>
        <w:div w:id="593324018">
          <w:marLeft w:val="0"/>
          <w:marRight w:val="0"/>
          <w:marTop w:val="0"/>
          <w:marBottom w:val="0"/>
          <w:divBdr>
            <w:top w:val="none" w:sz="0" w:space="0" w:color="auto"/>
            <w:left w:val="none" w:sz="0" w:space="0" w:color="auto"/>
            <w:bottom w:val="none" w:sz="0" w:space="0" w:color="auto"/>
            <w:right w:val="none" w:sz="0" w:space="0" w:color="auto"/>
          </w:divBdr>
        </w:div>
        <w:div w:id="600572803">
          <w:marLeft w:val="0"/>
          <w:marRight w:val="0"/>
          <w:marTop w:val="0"/>
          <w:marBottom w:val="0"/>
          <w:divBdr>
            <w:top w:val="none" w:sz="0" w:space="0" w:color="auto"/>
            <w:left w:val="none" w:sz="0" w:space="0" w:color="auto"/>
            <w:bottom w:val="none" w:sz="0" w:space="0" w:color="auto"/>
            <w:right w:val="none" w:sz="0" w:space="0" w:color="auto"/>
          </w:divBdr>
        </w:div>
        <w:div w:id="606162787">
          <w:marLeft w:val="0"/>
          <w:marRight w:val="0"/>
          <w:marTop w:val="0"/>
          <w:marBottom w:val="0"/>
          <w:divBdr>
            <w:top w:val="none" w:sz="0" w:space="0" w:color="auto"/>
            <w:left w:val="none" w:sz="0" w:space="0" w:color="auto"/>
            <w:bottom w:val="none" w:sz="0" w:space="0" w:color="auto"/>
            <w:right w:val="none" w:sz="0" w:space="0" w:color="auto"/>
          </w:divBdr>
        </w:div>
        <w:div w:id="608052080">
          <w:marLeft w:val="0"/>
          <w:marRight w:val="0"/>
          <w:marTop w:val="0"/>
          <w:marBottom w:val="0"/>
          <w:divBdr>
            <w:top w:val="none" w:sz="0" w:space="0" w:color="auto"/>
            <w:left w:val="none" w:sz="0" w:space="0" w:color="auto"/>
            <w:bottom w:val="none" w:sz="0" w:space="0" w:color="auto"/>
            <w:right w:val="none" w:sz="0" w:space="0" w:color="auto"/>
          </w:divBdr>
        </w:div>
        <w:div w:id="612398797">
          <w:marLeft w:val="0"/>
          <w:marRight w:val="0"/>
          <w:marTop w:val="0"/>
          <w:marBottom w:val="0"/>
          <w:divBdr>
            <w:top w:val="none" w:sz="0" w:space="0" w:color="auto"/>
            <w:left w:val="none" w:sz="0" w:space="0" w:color="auto"/>
            <w:bottom w:val="none" w:sz="0" w:space="0" w:color="auto"/>
            <w:right w:val="none" w:sz="0" w:space="0" w:color="auto"/>
          </w:divBdr>
        </w:div>
        <w:div w:id="616564741">
          <w:marLeft w:val="0"/>
          <w:marRight w:val="0"/>
          <w:marTop w:val="0"/>
          <w:marBottom w:val="0"/>
          <w:divBdr>
            <w:top w:val="none" w:sz="0" w:space="0" w:color="auto"/>
            <w:left w:val="none" w:sz="0" w:space="0" w:color="auto"/>
            <w:bottom w:val="none" w:sz="0" w:space="0" w:color="auto"/>
            <w:right w:val="none" w:sz="0" w:space="0" w:color="auto"/>
          </w:divBdr>
        </w:div>
        <w:div w:id="627707961">
          <w:marLeft w:val="0"/>
          <w:marRight w:val="0"/>
          <w:marTop w:val="0"/>
          <w:marBottom w:val="0"/>
          <w:divBdr>
            <w:top w:val="none" w:sz="0" w:space="0" w:color="auto"/>
            <w:left w:val="none" w:sz="0" w:space="0" w:color="auto"/>
            <w:bottom w:val="none" w:sz="0" w:space="0" w:color="auto"/>
            <w:right w:val="none" w:sz="0" w:space="0" w:color="auto"/>
          </w:divBdr>
        </w:div>
        <w:div w:id="638340885">
          <w:marLeft w:val="0"/>
          <w:marRight w:val="0"/>
          <w:marTop w:val="0"/>
          <w:marBottom w:val="0"/>
          <w:divBdr>
            <w:top w:val="none" w:sz="0" w:space="0" w:color="auto"/>
            <w:left w:val="none" w:sz="0" w:space="0" w:color="auto"/>
            <w:bottom w:val="none" w:sz="0" w:space="0" w:color="auto"/>
            <w:right w:val="none" w:sz="0" w:space="0" w:color="auto"/>
          </w:divBdr>
        </w:div>
        <w:div w:id="657613600">
          <w:marLeft w:val="0"/>
          <w:marRight w:val="0"/>
          <w:marTop w:val="0"/>
          <w:marBottom w:val="0"/>
          <w:divBdr>
            <w:top w:val="none" w:sz="0" w:space="0" w:color="auto"/>
            <w:left w:val="none" w:sz="0" w:space="0" w:color="auto"/>
            <w:bottom w:val="none" w:sz="0" w:space="0" w:color="auto"/>
            <w:right w:val="none" w:sz="0" w:space="0" w:color="auto"/>
          </w:divBdr>
        </w:div>
        <w:div w:id="658000676">
          <w:marLeft w:val="0"/>
          <w:marRight w:val="0"/>
          <w:marTop w:val="0"/>
          <w:marBottom w:val="0"/>
          <w:divBdr>
            <w:top w:val="none" w:sz="0" w:space="0" w:color="auto"/>
            <w:left w:val="none" w:sz="0" w:space="0" w:color="auto"/>
            <w:bottom w:val="none" w:sz="0" w:space="0" w:color="auto"/>
            <w:right w:val="none" w:sz="0" w:space="0" w:color="auto"/>
          </w:divBdr>
        </w:div>
        <w:div w:id="663360619">
          <w:marLeft w:val="0"/>
          <w:marRight w:val="0"/>
          <w:marTop w:val="0"/>
          <w:marBottom w:val="0"/>
          <w:divBdr>
            <w:top w:val="none" w:sz="0" w:space="0" w:color="auto"/>
            <w:left w:val="none" w:sz="0" w:space="0" w:color="auto"/>
            <w:bottom w:val="none" w:sz="0" w:space="0" w:color="auto"/>
            <w:right w:val="none" w:sz="0" w:space="0" w:color="auto"/>
          </w:divBdr>
        </w:div>
        <w:div w:id="673461529">
          <w:marLeft w:val="0"/>
          <w:marRight w:val="0"/>
          <w:marTop w:val="0"/>
          <w:marBottom w:val="0"/>
          <w:divBdr>
            <w:top w:val="none" w:sz="0" w:space="0" w:color="auto"/>
            <w:left w:val="none" w:sz="0" w:space="0" w:color="auto"/>
            <w:bottom w:val="none" w:sz="0" w:space="0" w:color="auto"/>
            <w:right w:val="none" w:sz="0" w:space="0" w:color="auto"/>
          </w:divBdr>
        </w:div>
        <w:div w:id="677462983">
          <w:marLeft w:val="0"/>
          <w:marRight w:val="0"/>
          <w:marTop w:val="0"/>
          <w:marBottom w:val="0"/>
          <w:divBdr>
            <w:top w:val="none" w:sz="0" w:space="0" w:color="auto"/>
            <w:left w:val="none" w:sz="0" w:space="0" w:color="auto"/>
            <w:bottom w:val="none" w:sz="0" w:space="0" w:color="auto"/>
            <w:right w:val="none" w:sz="0" w:space="0" w:color="auto"/>
          </w:divBdr>
        </w:div>
        <w:div w:id="678771396">
          <w:marLeft w:val="0"/>
          <w:marRight w:val="0"/>
          <w:marTop w:val="0"/>
          <w:marBottom w:val="0"/>
          <w:divBdr>
            <w:top w:val="none" w:sz="0" w:space="0" w:color="auto"/>
            <w:left w:val="none" w:sz="0" w:space="0" w:color="auto"/>
            <w:bottom w:val="none" w:sz="0" w:space="0" w:color="auto"/>
            <w:right w:val="none" w:sz="0" w:space="0" w:color="auto"/>
          </w:divBdr>
        </w:div>
        <w:div w:id="684594083">
          <w:marLeft w:val="0"/>
          <w:marRight w:val="0"/>
          <w:marTop w:val="0"/>
          <w:marBottom w:val="0"/>
          <w:divBdr>
            <w:top w:val="none" w:sz="0" w:space="0" w:color="auto"/>
            <w:left w:val="none" w:sz="0" w:space="0" w:color="auto"/>
            <w:bottom w:val="none" w:sz="0" w:space="0" w:color="auto"/>
            <w:right w:val="none" w:sz="0" w:space="0" w:color="auto"/>
          </w:divBdr>
        </w:div>
        <w:div w:id="684787965">
          <w:marLeft w:val="0"/>
          <w:marRight w:val="0"/>
          <w:marTop w:val="0"/>
          <w:marBottom w:val="0"/>
          <w:divBdr>
            <w:top w:val="none" w:sz="0" w:space="0" w:color="auto"/>
            <w:left w:val="none" w:sz="0" w:space="0" w:color="auto"/>
            <w:bottom w:val="none" w:sz="0" w:space="0" w:color="auto"/>
            <w:right w:val="none" w:sz="0" w:space="0" w:color="auto"/>
          </w:divBdr>
        </w:div>
        <w:div w:id="714700783">
          <w:marLeft w:val="0"/>
          <w:marRight w:val="0"/>
          <w:marTop w:val="0"/>
          <w:marBottom w:val="0"/>
          <w:divBdr>
            <w:top w:val="none" w:sz="0" w:space="0" w:color="auto"/>
            <w:left w:val="none" w:sz="0" w:space="0" w:color="auto"/>
            <w:bottom w:val="none" w:sz="0" w:space="0" w:color="auto"/>
            <w:right w:val="none" w:sz="0" w:space="0" w:color="auto"/>
          </w:divBdr>
        </w:div>
        <w:div w:id="726148957">
          <w:marLeft w:val="0"/>
          <w:marRight w:val="0"/>
          <w:marTop w:val="0"/>
          <w:marBottom w:val="0"/>
          <w:divBdr>
            <w:top w:val="none" w:sz="0" w:space="0" w:color="auto"/>
            <w:left w:val="none" w:sz="0" w:space="0" w:color="auto"/>
            <w:bottom w:val="none" w:sz="0" w:space="0" w:color="auto"/>
            <w:right w:val="none" w:sz="0" w:space="0" w:color="auto"/>
          </w:divBdr>
        </w:div>
        <w:div w:id="749736543">
          <w:marLeft w:val="0"/>
          <w:marRight w:val="0"/>
          <w:marTop w:val="0"/>
          <w:marBottom w:val="0"/>
          <w:divBdr>
            <w:top w:val="none" w:sz="0" w:space="0" w:color="auto"/>
            <w:left w:val="none" w:sz="0" w:space="0" w:color="auto"/>
            <w:bottom w:val="none" w:sz="0" w:space="0" w:color="auto"/>
            <w:right w:val="none" w:sz="0" w:space="0" w:color="auto"/>
          </w:divBdr>
        </w:div>
        <w:div w:id="765542281">
          <w:marLeft w:val="0"/>
          <w:marRight w:val="0"/>
          <w:marTop w:val="0"/>
          <w:marBottom w:val="0"/>
          <w:divBdr>
            <w:top w:val="none" w:sz="0" w:space="0" w:color="auto"/>
            <w:left w:val="none" w:sz="0" w:space="0" w:color="auto"/>
            <w:bottom w:val="none" w:sz="0" w:space="0" w:color="auto"/>
            <w:right w:val="none" w:sz="0" w:space="0" w:color="auto"/>
          </w:divBdr>
        </w:div>
        <w:div w:id="768232669">
          <w:marLeft w:val="0"/>
          <w:marRight w:val="0"/>
          <w:marTop w:val="0"/>
          <w:marBottom w:val="0"/>
          <w:divBdr>
            <w:top w:val="none" w:sz="0" w:space="0" w:color="auto"/>
            <w:left w:val="none" w:sz="0" w:space="0" w:color="auto"/>
            <w:bottom w:val="none" w:sz="0" w:space="0" w:color="auto"/>
            <w:right w:val="none" w:sz="0" w:space="0" w:color="auto"/>
          </w:divBdr>
        </w:div>
        <w:div w:id="772549788">
          <w:marLeft w:val="0"/>
          <w:marRight w:val="0"/>
          <w:marTop w:val="0"/>
          <w:marBottom w:val="0"/>
          <w:divBdr>
            <w:top w:val="none" w:sz="0" w:space="0" w:color="auto"/>
            <w:left w:val="none" w:sz="0" w:space="0" w:color="auto"/>
            <w:bottom w:val="none" w:sz="0" w:space="0" w:color="auto"/>
            <w:right w:val="none" w:sz="0" w:space="0" w:color="auto"/>
          </w:divBdr>
        </w:div>
        <w:div w:id="784694519">
          <w:marLeft w:val="0"/>
          <w:marRight w:val="0"/>
          <w:marTop w:val="0"/>
          <w:marBottom w:val="0"/>
          <w:divBdr>
            <w:top w:val="none" w:sz="0" w:space="0" w:color="auto"/>
            <w:left w:val="none" w:sz="0" w:space="0" w:color="auto"/>
            <w:bottom w:val="none" w:sz="0" w:space="0" w:color="auto"/>
            <w:right w:val="none" w:sz="0" w:space="0" w:color="auto"/>
          </w:divBdr>
        </w:div>
        <w:div w:id="800616816">
          <w:marLeft w:val="0"/>
          <w:marRight w:val="0"/>
          <w:marTop w:val="0"/>
          <w:marBottom w:val="0"/>
          <w:divBdr>
            <w:top w:val="none" w:sz="0" w:space="0" w:color="auto"/>
            <w:left w:val="none" w:sz="0" w:space="0" w:color="auto"/>
            <w:bottom w:val="none" w:sz="0" w:space="0" w:color="auto"/>
            <w:right w:val="none" w:sz="0" w:space="0" w:color="auto"/>
          </w:divBdr>
        </w:div>
        <w:div w:id="847214036">
          <w:marLeft w:val="0"/>
          <w:marRight w:val="0"/>
          <w:marTop w:val="0"/>
          <w:marBottom w:val="0"/>
          <w:divBdr>
            <w:top w:val="none" w:sz="0" w:space="0" w:color="auto"/>
            <w:left w:val="none" w:sz="0" w:space="0" w:color="auto"/>
            <w:bottom w:val="none" w:sz="0" w:space="0" w:color="auto"/>
            <w:right w:val="none" w:sz="0" w:space="0" w:color="auto"/>
          </w:divBdr>
        </w:div>
        <w:div w:id="848062699">
          <w:marLeft w:val="0"/>
          <w:marRight w:val="0"/>
          <w:marTop w:val="0"/>
          <w:marBottom w:val="0"/>
          <w:divBdr>
            <w:top w:val="none" w:sz="0" w:space="0" w:color="auto"/>
            <w:left w:val="none" w:sz="0" w:space="0" w:color="auto"/>
            <w:bottom w:val="none" w:sz="0" w:space="0" w:color="auto"/>
            <w:right w:val="none" w:sz="0" w:space="0" w:color="auto"/>
          </w:divBdr>
        </w:div>
        <w:div w:id="869297922">
          <w:marLeft w:val="0"/>
          <w:marRight w:val="0"/>
          <w:marTop w:val="0"/>
          <w:marBottom w:val="0"/>
          <w:divBdr>
            <w:top w:val="none" w:sz="0" w:space="0" w:color="auto"/>
            <w:left w:val="none" w:sz="0" w:space="0" w:color="auto"/>
            <w:bottom w:val="none" w:sz="0" w:space="0" w:color="auto"/>
            <w:right w:val="none" w:sz="0" w:space="0" w:color="auto"/>
          </w:divBdr>
        </w:div>
        <w:div w:id="873732216">
          <w:marLeft w:val="0"/>
          <w:marRight w:val="0"/>
          <w:marTop w:val="0"/>
          <w:marBottom w:val="0"/>
          <w:divBdr>
            <w:top w:val="none" w:sz="0" w:space="0" w:color="auto"/>
            <w:left w:val="none" w:sz="0" w:space="0" w:color="auto"/>
            <w:bottom w:val="none" w:sz="0" w:space="0" w:color="auto"/>
            <w:right w:val="none" w:sz="0" w:space="0" w:color="auto"/>
          </w:divBdr>
        </w:div>
        <w:div w:id="888761249">
          <w:marLeft w:val="0"/>
          <w:marRight w:val="0"/>
          <w:marTop w:val="0"/>
          <w:marBottom w:val="0"/>
          <w:divBdr>
            <w:top w:val="none" w:sz="0" w:space="0" w:color="auto"/>
            <w:left w:val="none" w:sz="0" w:space="0" w:color="auto"/>
            <w:bottom w:val="none" w:sz="0" w:space="0" w:color="auto"/>
            <w:right w:val="none" w:sz="0" w:space="0" w:color="auto"/>
          </w:divBdr>
        </w:div>
        <w:div w:id="906305909">
          <w:marLeft w:val="0"/>
          <w:marRight w:val="0"/>
          <w:marTop w:val="0"/>
          <w:marBottom w:val="0"/>
          <w:divBdr>
            <w:top w:val="none" w:sz="0" w:space="0" w:color="auto"/>
            <w:left w:val="none" w:sz="0" w:space="0" w:color="auto"/>
            <w:bottom w:val="none" w:sz="0" w:space="0" w:color="auto"/>
            <w:right w:val="none" w:sz="0" w:space="0" w:color="auto"/>
          </w:divBdr>
        </w:div>
        <w:div w:id="916355438">
          <w:marLeft w:val="0"/>
          <w:marRight w:val="0"/>
          <w:marTop w:val="0"/>
          <w:marBottom w:val="0"/>
          <w:divBdr>
            <w:top w:val="none" w:sz="0" w:space="0" w:color="auto"/>
            <w:left w:val="none" w:sz="0" w:space="0" w:color="auto"/>
            <w:bottom w:val="none" w:sz="0" w:space="0" w:color="auto"/>
            <w:right w:val="none" w:sz="0" w:space="0" w:color="auto"/>
          </w:divBdr>
        </w:div>
        <w:div w:id="925269076">
          <w:marLeft w:val="0"/>
          <w:marRight w:val="0"/>
          <w:marTop w:val="0"/>
          <w:marBottom w:val="0"/>
          <w:divBdr>
            <w:top w:val="none" w:sz="0" w:space="0" w:color="auto"/>
            <w:left w:val="none" w:sz="0" w:space="0" w:color="auto"/>
            <w:bottom w:val="none" w:sz="0" w:space="0" w:color="auto"/>
            <w:right w:val="none" w:sz="0" w:space="0" w:color="auto"/>
          </w:divBdr>
        </w:div>
        <w:div w:id="944771859">
          <w:marLeft w:val="0"/>
          <w:marRight w:val="0"/>
          <w:marTop w:val="0"/>
          <w:marBottom w:val="0"/>
          <w:divBdr>
            <w:top w:val="none" w:sz="0" w:space="0" w:color="auto"/>
            <w:left w:val="none" w:sz="0" w:space="0" w:color="auto"/>
            <w:bottom w:val="none" w:sz="0" w:space="0" w:color="auto"/>
            <w:right w:val="none" w:sz="0" w:space="0" w:color="auto"/>
          </w:divBdr>
        </w:div>
        <w:div w:id="959798348">
          <w:marLeft w:val="0"/>
          <w:marRight w:val="0"/>
          <w:marTop w:val="0"/>
          <w:marBottom w:val="0"/>
          <w:divBdr>
            <w:top w:val="none" w:sz="0" w:space="0" w:color="auto"/>
            <w:left w:val="none" w:sz="0" w:space="0" w:color="auto"/>
            <w:bottom w:val="none" w:sz="0" w:space="0" w:color="auto"/>
            <w:right w:val="none" w:sz="0" w:space="0" w:color="auto"/>
          </w:divBdr>
        </w:div>
        <w:div w:id="967664284">
          <w:marLeft w:val="0"/>
          <w:marRight w:val="0"/>
          <w:marTop w:val="0"/>
          <w:marBottom w:val="0"/>
          <w:divBdr>
            <w:top w:val="none" w:sz="0" w:space="0" w:color="auto"/>
            <w:left w:val="none" w:sz="0" w:space="0" w:color="auto"/>
            <w:bottom w:val="none" w:sz="0" w:space="0" w:color="auto"/>
            <w:right w:val="none" w:sz="0" w:space="0" w:color="auto"/>
          </w:divBdr>
        </w:div>
        <w:div w:id="974065033">
          <w:marLeft w:val="0"/>
          <w:marRight w:val="0"/>
          <w:marTop w:val="0"/>
          <w:marBottom w:val="0"/>
          <w:divBdr>
            <w:top w:val="none" w:sz="0" w:space="0" w:color="auto"/>
            <w:left w:val="none" w:sz="0" w:space="0" w:color="auto"/>
            <w:bottom w:val="none" w:sz="0" w:space="0" w:color="auto"/>
            <w:right w:val="none" w:sz="0" w:space="0" w:color="auto"/>
          </w:divBdr>
        </w:div>
        <w:div w:id="994259652">
          <w:marLeft w:val="0"/>
          <w:marRight w:val="0"/>
          <w:marTop w:val="0"/>
          <w:marBottom w:val="0"/>
          <w:divBdr>
            <w:top w:val="none" w:sz="0" w:space="0" w:color="auto"/>
            <w:left w:val="none" w:sz="0" w:space="0" w:color="auto"/>
            <w:bottom w:val="none" w:sz="0" w:space="0" w:color="auto"/>
            <w:right w:val="none" w:sz="0" w:space="0" w:color="auto"/>
          </w:divBdr>
        </w:div>
        <w:div w:id="1005941820">
          <w:marLeft w:val="0"/>
          <w:marRight w:val="0"/>
          <w:marTop w:val="0"/>
          <w:marBottom w:val="0"/>
          <w:divBdr>
            <w:top w:val="none" w:sz="0" w:space="0" w:color="auto"/>
            <w:left w:val="none" w:sz="0" w:space="0" w:color="auto"/>
            <w:bottom w:val="none" w:sz="0" w:space="0" w:color="auto"/>
            <w:right w:val="none" w:sz="0" w:space="0" w:color="auto"/>
          </w:divBdr>
        </w:div>
        <w:div w:id="1034229140">
          <w:marLeft w:val="0"/>
          <w:marRight w:val="0"/>
          <w:marTop w:val="0"/>
          <w:marBottom w:val="0"/>
          <w:divBdr>
            <w:top w:val="none" w:sz="0" w:space="0" w:color="auto"/>
            <w:left w:val="none" w:sz="0" w:space="0" w:color="auto"/>
            <w:bottom w:val="none" w:sz="0" w:space="0" w:color="auto"/>
            <w:right w:val="none" w:sz="0" w:space="0" w:color="auto"/>
          </w:divBdr>
        </w:div>
        <w:div w:id="1036736771">
          <w:marLeft w:val="0"/>
          <w:marRight w:val="0"/>
          <w:marTop w:val="0"/>
          <w:marBottom w:val="0"/>
          <w:divBdr>
            <w:top w:val="none" w:sz="0" w:space="0" w:color="auto"/>
            <w:left w:val="none" w:sz="0" w:space="0" w:color="auto"/>
            <w:bottom w:val="none" w:sz="0" w:space="0" w:color="auto"/>
            <w:right w:val="none" w:sz="0" w:space="0" w:color="auto"/>
          </w:divBdr>
        </w:div>
        <w:div w:id="1040283500">
          <w:marLeft w:val="0"/>
          <w:marRight w:val="0"/>
          <w:marTop w:val="0"/>
          <w:marBottom w:val="0"/>
          <w:divBdr>
            <w:top w:val="none" w:sz="0" w:space="0" w:color="auto"/>
            <w:left w:val="none" w:sz="0" w:space="0" w:color="auto"/>
            <w:bottom w:val="none" w:sz="0" w:space="0" w:color="auto"/>
            <w:right w:val="none" w:sz="0" w:space="0" w:color="auto"/>
          </w:divBdr>
        </w:div>
        <w:div w:id="1047681312">
          <w:marLeft w:val="0"/>
          <w:marRight w:val="0"/>
          <w:marTop w:val="0"/>
          <w:marBottom w:val="0"/>
          <w:divBdr>
            <w:top w:val="none" w:sz="0" w:space="0" w:color="auto"/>
            <w:left w:val="none" w:sz="0" w:space="0" w:color="auto"/>
            <w:bottom w:val="none" w:sz="0" w:space="0" w:color="auto"/>
            <w:right w:val="none" w:sz="0" w:space="0" w:color="auto"/>
          </w:divBdr>
        </w:div>
        <w:div w:id="1060976017">
          <w:marLeft w:val="0"/>
          <w:marRight w:val="0"/>
          <w:marTop w:val="0"/>
          <w:marBottom w:val="0"/>
          <w:divBdr>
            <w:top w:val="none" w:sz="0" w:space="0" w:color="auto"/>
            <w:left w:val="none" w:sz="0" w:space="0" w:color="auto"/>
            <w:bottom w:val="none" w:sz="0" w:space="0" w:color="auto"/>
            <w:right w:val="none" w:sz="0" w:space="0" w:color="auto"/>
          </w:divBdr>
        </w:div>
        <w:div w:id="1061750600">
          <w:marLeft w:val="0"/>
          <w:marRight w:val="0"/>
          <w:marTop w:val="0"/>
          <w:marBottom w:val="0"/>
          <w:divBdr>
            <w:top w:val="none" w:sz="0" w:space="0" w:color="auto"/>
            <w:left w:val="none" w:sz="0" w:space="0" w:color="auto"/>
            <w:bottom w:val="none" w:sz="0" w:space="0" w:color="auto"/>
            <w:right w:val="none" w:sz="0" w:space="0" w:color="auto"/>
          </w:divBdr>
        </w:div>
        <w:div w:id="1098797244">
          <w:marLeft w:val="0"/>
          <w:marRight w:val="0"/>
          <w:marTop w:val="0"/>
          <w:marBottom w:val="0"/>
          <w:divBdr>
            <w:top w:val="none" w:sz="0" w:space="0" w:color="auto"/>
            <w:left w:val="none" w:sz="0" w:space="0" w:color="auto"/>
            <w:bottom w:val="none" w:sz="0" w:space="0" w:color="auto"/>
            <w:right w:val="none" w:sz="0" w:space="0" w:color="auto"/>
          </w:divBdr>
        </w:div>
        <w:div w:id="1102608658">
          <w:marLeft w:val="0"/>
          <w:marRight w:val="0"/>
          <w:marTop w:val="0"/>
          <w:marBottom w:val="0"/>
          <w:divBdr>
            <w:top w:val="none" w:sz="0" w:space="0" w:color="auto"/>
            <w:left w:val="none" w:sz="0" w:space="0" w:color="auto"/>
            <w:bottom w:val="none" w:sz="0" w:space="0" w:color="auto"/>
            <w:right w:val="none" w:sz="0" w:space="0" w:color="auto"/>
          </w:divBdr>
        </w:div>
        <w:div w:id="1105343719">
          <w:marLeft w:val="0"/>
          <w:marRight w:val="0"/>
          <w:marTop w:val="0"/>
          <w:marBottom w:val="0"/>
          <w:divBdr>
            <w:top w:val="none" w:sz="0" w:space="0" w:color="auto"/>
            <w:left w:val="none" w:sz="0" w:space="0" w:color="auto"/>
            <w:bottom w:val="none" w:sz="0" w:space="0" w:color="auto"/>
            <w:right w:val="none" w:sz="0" w:space="0" w:color="auto"/>
          </w:divBdr>
        </w:div>
        <w:div w:id="1108231664">
          <w:marLeft w:val="0"/>
          <w:marRight w:val="0"/>
          <w:marTop w:val="0"/>
          <w:marBottom w:val="0"/>
          <w:divBdr>
            <w:top w:val="none" w:sz="0" w:space="0" w:color="auto"/>
            <w:left w:val="none" w:sz="0" w:space="0" w:color="auto"/>
            <w:bottom w:val="none" w:sz="0" w:space="0" w:color="auto"/>
            <w:right w:val="none" w:sz="0" w:space="0" w:color="auto"/>
          </w:divBdr>
        </w:div>
        <w:div w:id="1109473770">
          <w:marLeft w:val="0"/>
          <w:marRight w:val="0"/>
          <w:marTop w:val="0"/>
          <w:marBottom w:val="0"/>
          <w:divBdr>
            <w:top w:val="none" w:sz="0" w:space="0" w:color="auto"/>
            <w:left w:val="none" w:sz="0" w:space="0" w:color="auto"/>
            <w:bottom w:val="none" w:sz="0" w:space="0" w:color="auto"/>
            <w:right w:val="none" w:sz="0" w:space="0" w:color="auto"/>
          </w:divBdr>
        </w:div>
        <w:div w:id="1110785968">
          <w:marLeft w:val="0"/>
          <w:marRight w:val="0"/>
          <w:marTop w:val="0"/>
          <w:marBottom w:val="0"/>
          <w:divBdr>
            <w:top w:val="none" w:sz="0" w:space="0" w:color="auto"/>
            <w:left w:val="none" w:sz="0" w:space="0" w:color="auto"/>
            <w:bottom w:val="none" w:sz="0" w:space="0" w:color="auto"/>
            <w:right w:val="none" w:sz="0" w:space="0" w:color="auto"/>
          </w:divBdr>
        </w:div>
        <w:div w:id="1111432659">
          <w:marLeft w:val="0"/>
          <w:marRight w:val="0"/>
          <w:marTop w:val="0"/>
          <w:marBottom w:val="0"/>
          <w:divBdr>
            <w:top w:val="none" w:sz="0" w:space="0" w:color="auto"/>
            <w:left w:val="none" w:sz="0" w:space="0" w:color="auto"/>
            <w:bottom w:val="none" w:sz="0" w:space="0" w:color="auto"/>
            <w:right w:val="none" w:sz="0" w:space="0" w:color="auto"/>
          </w:divBdr>
        </w:div>
        <w:div w:id="1126630376">
          <w:marLeft w:val="0"/>
          <w:marRight w:val="0"/>
          <w:marTop w:val="0"/>
          <w:marBottom w:val="0"/>
          <w:divBdr>
            <w:top w:val="none" w:sz="0" w:space="0" w:color="auto"/>
            <w:left w:val="none" w:sz="0" w:space="0" w:color="auto"/>
            <w:bottom w:val="none" w:sz="0" w:space="0" w:color="auto"/>
            <w:right w:val="none" w:sz="0" w:space="0" w:color="auto"/>
          </w:divBdr>
        </w:div>
        <w:div w:id="1140271060">
          <w:marLeft w:val="0"/>
          <w:marRight w:val="0"/>
          <w:marTop w:val="0"/>
          <w:marBottom w:val="0"/>
          <w:divBdr>
            <w:top w:val="none" w:sz="0" w:space="0" w:color="auto"/>
            <w:left w:val="none" w:sz="0" w:space="0" w:color="auto"/>
            <w:bottom w:val="none" w:sz="0" w:space="0" w:color="auto"/>
            <w:right w:val="none" w:sz="0" w:space="0" w:color="auto"/>
          </w:divBdr>
        </w:div>
        <w:div w:id="1144464897">
          <w:marLeft w:val="0"/>
          <w:marRight w:val="0"/>
          <w:marTop w:val="0"/>
          <w:marBottom w:val="0"/>
          <w:divBdr>
            <w:top w:val="none" w:sz="0" w:space="0" w:color="auto"/>
            <w:left w:val="none" w:sz="0" w:space="0" w:color="auto"/>
            <w:bottom w:val="none" w:sz="0" w:space="0" w:color="auto"/>
            <w:right w:val="none" w:sz="0" w:space="0" w:color="auto"/>
          </w:divBdr>
        </w:div>
        <w:div w:id="1171532313">
          <w:marLeft w:val="0"/>
          <w:marRight w:val="0"/>
          <w:marTop w:val="0"/>
          <w:marBottom w:val="0"/>
          <w:divBdr>
            <w:top w:val="none" w:sz="0" w:space="0" w:color="auto"/>
            <w:left w:val="none" w:sz="0" w:space="0" w:color="auto"/>
            <w:bottom w:val="none" w:sz="0" w:space="0" w:color="auto"/>
            <w:right w:val="none" w:sz="0" w:space="0" w:color="auto"/>
          </w:divBdr>
        </w:div>
        <w:div w:id="1173060039">
          <w:marLeft w:val="0"/>
          <w:marRight w:val="0"/>
          <w:marTop w:val="0"/>
          <w:marBottom w:val="0"/>
          <w:divBdr>
            <w:top w:val="none" w:sz="0" w:space="0" w:color="auto"/>
            <w:left w:val="none" w:sz="0" w:space="0" w:color="auto"/>
            <w:bottom w:val="none" w:sz="0" w:space="0" w:color="auto"/>
            <w:right w:val="none" w:sz="0" w:space="0" w:color="auto"/>
          </w:divBdr>
        </w:div>
        <w:div w:id="1190342212">
          <w:marLeft w:val="0"/>
          <w:marRight w:val="0"/>
          <w:marTop w:val="0"/>
          <w:marBottom w:val="0"/>
          <w:divBdr>
            <w:top w:val="none" w:sz="0" w:space="0" w:color="auto"/>
            <w:left w:val="none" w:sz="0" w:space="0" w:color="auto"/>
            <w:bottom w:val="none" w:sz="0" w:space="0" w:color="auto"/>
            <w:right w:val="none" w:sz="0" w:space="0" w:color="auto"/>
          </w:divBdr>
        </w:div>
        <w:div w:id="1190801382">
          <w:marLeft w:val="0"/>
          <w:marRight w:val="0"/>
          <w:marTop w:val="0"/>
          <w:marBottom w:val="0"/>
          <w:divBdr>
            <w:top w:val="none" w:sz="0" w:space="0" w:color="auto"/>
            <w:left w:val="none" w:sz="0" w:space="0" w:color="auto"/>
            <w:bottom w:val="none" w:sz="0" w:space="0" w:color="auto"/>
            <w:right w:val="none" w:sz="0" w:space="0" w:color="auto"/>
          </w:divBdr>
        </w:div>
        <w:div w:id="1231161194">
          <w:marLeft w:val="0"/>
          <w:marRight w:val="0"/>
          <w:marTop w:val="0"/>
          <w:marBottom w:val="0"/>
          <w:divBdr>
            <w:top w:val="none" w:sz="0" w:space="0" w:color="auto"/>
            <w:left w:val="none" w:sz="0" w:space="0" w:color="auto"/>
            <w:bottom w:val="none" w:sz="0" w:space="0" w:color="auto"/>
            <w:right w:val="none" w:sz="0" w:space="0" w:color="auto"/>
          </w:divBdr>
        </w:div>
        <w:div w:id="1235050558">
          <w:marLeft w:val="0"/>
          <w:marRight w:val="0"/>
          <w:marTop w:val="0"/>
          <w:marBottom w:val="0"/>
          <w:divBdr>
            <w:top w:val="none" w:sz="0" w:space="0" w:color="auto"/>
            <w:left w:val="none" w:sz="0" w:space="0" w:color="auto"/>
            <w:bottom w:val="none" w:sz="0" w:space="0" w:color="auto"/>
            <w:right w:val="none" w:sz="0" w:space="0" w:color="auto"/>
          </w:divBdr>
        </w:div>
        <w:div w:id="1247807915">
          <w:marLeft w:val="0"/>
          <w:marRight w:val="0"/>
          <w:marTop w:val="0"/>
          <w:marBottom w:val="0"/>
          <w:divBdr>
            <w:top w:val="none" w:sz="0" w:space="0" w:color="auto"/>
            <w:left w:val="none" w:sz="0" w:space="0" w:color="auto"/>
            <w:bottom w:val="none" w:sz="0" w:space="0" w:color="auto"/>
            <w:right w:val="none" w:sz="0" w:space="0" w:color="auto"/>
          </w:divBdr>
        </w:div>
        <w:div w:id="1254631642">
          <w:marLeft w:val="0"/>
          <w:marRight w:val="0"/>
          <w:marTop w:val="0"/>
          <w:marBottom w:val="0"/>
          <w:divBdr>
            <w:top w:val="none" w:sz="0" w:space="0" w:color="auto"/>
            <w:left w:val="none" w:sz="0" w:space="0" w:color="auto"/>
            <w:bottom w:val="none" w:sz="0" w:space="0" w:color="auto"/>
            <w:right w:val="none" w:sz="0" w:space="0" w:color="auto"/>
          </w:divBdr>
        </w:div>
        <w:div w:id="1301424399">
          <w:marLeft w:val="0"/>
          <w:marRight w:val="0"/>
          <w:marTop w:val="0"/>
          <w:marBottom w:val="0"/>
          <w:divBdr>
            <w:top w:val="none" w:sz="0" w:space="0" w:color="auto"/>
            <w:left w:val="none" w:sz="0" w:space="0" w:color="auto"/>
            <w:bottom w:val="none" w:sz="0" w:space="0" w:color="auto"/>
            <w:right w:val="none" w:sz="0" w:space="0" w:color="auto"/>
          </w:divBdr>
        </w:div>
        <w:div w:id="1303383823">
          <w:marLeft w:val="0"/>
          <w:marRight w:val="0"/>
          <w:marTop w:val="0"/>
          <w:marBottom w:val="0"/>
          <w:divBdr>
            <w:top w:val="none" w:sz="0" w:space="0" w:color="auto"/>
            <w:left w:val="none" w:sz="0" w:space="0" w:color="auto"/>
            <w:bottom w:val="none" w:sz="0" w:space="0" w:color="auto"/>
            <w:right w:val="none" w:sz="0" w:space="0" w:color="auto"/>
          </w:divBdr>
        </w:div>
        <w:div w:id="1307517321">
          <w:marLeft w:val="0"/>
          <w:marRight w:val="0"/>
          <w:marTop w:val="0"/>
          <w:marBottom w:val="0"/>
          <w:divBdr>
            <w:top w:val="none" w:sz="0" w:space="0" w:color="auto"/>
            <w:left w:val="none" w:sz="0" w:space="0" w:color="auto"/>
            <w:bottom w:val="none" w:sz="0" w:space="0" w:color="auto"/>
            <w:right w:val="none" w:sz="0" w:space="0" w:color="auto"/>
          </w:divBdr>
        </w:div>
        <w:div w:id="1331716326">
          <w:marLeft w:val="0"/>
          <w:marRight w:val="0"/>
          <w:marTop w:val="0"/>
          <w:marBottom w:val="0"/>
          <w:divBdr>
            <w:top w:val="none" w:sz="0" w:space="0" w:color="auto"/>
            <w:left w:val="none" w:sz="0" w:space="0" w:color="auto"/>
            <w:bottom w:val="none" w:sz="0" w:space="0" w:color="auto"/>
            <w:right w:val="none" w:sz="0" w:space="0" w:color="auto"/>
          </w:divBdr>
        </w:div>
        <w:div w:id="1333264409">
          <w:marLeft w:val="0"/>
          <w:marRight w:val="0"/>
          <w:marTop w:val="0"/>
          <w:marBottom w:val="0"/>
          <w:divBdr>
            <w:top w:val="none" w:sz="0" w:space="0" w:color="auto"/>
            <w:left w:val="none" w:sz="0" w:space="0" w:color="auto"/>
            <w:bottom w:val="none" w:sz="0" w:space="0" w:color="auto"/>
            <w:right w:val="none" w:sz="0" w:space="0" w:color="auto"/>
          </w:divBdr>
        </w:div>
        <w:div w:id="1339235896">
          <w:marLeft w:val="0"/>
          <w:marRight w:val="0"/>
          <w:marTop w:val="0"/>
          <w:marBottom w:val="0"/>
          <w:divBdr>
            <w:top w:val="none" w:sz="0" w:space="0" w:color="auto"/>
            <w:left w:val="none" w:sz="0" w:space="0" w:color="auto"/>
            <w:bottom w:val="none" w:sz="0" w:space="0" w:color="auto"/>
            <w:right w:val="none" w:sz="0" w:space="0" w:color="auto"/>
          </w:divBdr>
        </w:div>
        <w:div w:id="1349258314">
          <w:marLeft w:val="0"/>
          <w:marRight w:val="0"/>
          <w:marTop w:val="0"/>
          <w:marBottom w:val="0"/>
          <w:divBdr>
            <w:top w:val="none" w:sz="0" w:space="0" w:color="auto"/>
            <w:left w:val="none" w:sz="0" w:space="0" w:color="auto"/>
            <w:bottom w:val="none" w:sz="0" w:space="0" w:color="auto"/>
            <w:right w:val="none" w:sz="0" w:space="0" w:color="auto"/>
          </w:divBdr>
        </w:div>
        <w:div w:id="1364329653">
          <w:marLeft w:val="0"/>
          <w:marRight w:val="0"/>
          <w:marTop w:val="0"/>
          <w:marBottom w:val="0"/>
          <w:divBdr>
            <w:top w:val="none" w:sz="0" w:space="0" w:color="auto"/>
            <w:left w:val="none" w:sz="0" w:space="0" w:color="auto"/>
            <w:bottom w:val="none" w:sz="0" w:space="0" w:color="auto"/>
            <w:right w:val="none" w:sz="0" w:space="0" w:color="auto"/>
          </w:divBdr>
        </w:div>
        <w:div w:id="1385326698">
          <w:marLeft w:val="0"/>
          <w:marRight w:val="0"/>
          <w:marTop w:val="0"/>
          <w:marBottom w:val="0"/>
          <w:divBdr>
            <w:top w:val="none" w:sz="0" w:space="0" w:color="auto"/>
            <w:left w:val="none" w:sz="0" w:space="0" w:color="auto"/>
            <w:bottom w:val="none" w:sz="0" w:space="0" w:color="auto"/>
            <w:right w:val="none" w:sz="0" w:space="0" w:color="auto"/>
          </w:divBdr>
        </w:div>
        <w:div w:id="1398093499">
          <w:marLeft w:val="0"/>
          <w:marRight w:val="0"/>
          <w:marTop w:val="0"/>
          <w:marBottom w:val="0"/>
          <w:divBdr>
            <w:top w:val="none" w:sz="0" w:space="0" w:color="auto"/>
            <w:left w:val="none" w:sz="0" w:space="0" w:color="auto"/>
            <w:bottom w:val="none" w:sz="0" w:space="0" w:color="auto"/>
            <w:right w:val="none" w:sz="0" w:space="0" w:color="auto"/>
          </w:divBdr>
        </w:div>
        <w:div w:id="1413156855">
          <w:marLeft w:val="0"/>
          <w:marRight w:val="0"/>
          <w:marTop w:val="0"/>
          <w:marBottom w:val="0"/>
          <w:divBdr>
            <w:top w:val="none" w:sz="0" w:space="0" w:color="auto"/>
            <w:left w:val="none" w:sz="0" w:space="0" w:color="auto"/>
            <w:bottom w:val="none" w:sz="0" w:space="0" w:color="auto"/>
            <w:right w:val="none" w:sz="0" w:space="0" w:color="auto"/>
          </w:divBdr>
        </w:div>
        <w:div w:id="1414011761">
          <w:marLeft w:val="0"/>
          <w:marRight w:val="0"/>
          <w:marTop w:val="0"/>
          <w:marBottom w:val="0"/>
          <w:divBdr>
            <w:top w:val="none" w:sz="0" w:space="0" w:color="auto"/>
            <w:left w:val="none" w:sz="0" w:space="0" w:color="auto"/>
            <w:bottom w:val="none" w:sz="0" w:space="0" w:color="auto"/>
            <w:right w:val="none" w:sz="0" w:space="0" w:color="auto"/>
          </w:divBdr>
        </w:div>
        <w:div w:id="1414399418">
          <w:marLeft w:val="0"/>
          <w:marRight w:val="0"/>
          <w:marTop w:val="0"/>
          <w:marBottom w:val="0"/>
          <w:divBdr>
            <w:top w:val="none" w:sz="0" w:space="0" w:color="auto"/>
            <w:left w:val="none" w:sz="0" w:space="0" w:color="auto"/>
            <w:bottom w:val="none" w:sz="0" w:space="0" w:color="auto"/>
            <w:right w:val="none" w:sz="0" w:space="0" w:color="auto"/>
          </w:divBdr>
        </w:div>
        <w:div w:id="1415013637">
          <w:marLeft w:val="0"/>
          <w:marRight w:val="0"/>
          <w:marTop w:val="0"/>
          <w:marBottom w:val="0"/>
          <w:divBdr>
            <w:top w:val="none" w:sz="0" w:space="0" w:color="auto"/>
            <w:left w:val="none" w:sz="0" w:space="0" w:color="auto"/>
            <w:bottom w:val="none" w:sz="0" w:space="0" w:color="auto"/>
            <w:right w:val="none" w:sz="0" w:space="0" w:color="auto"/>
          </w:divBdr>
        </w:div>
        <w:div w:id="1416705292">
          <w:marLeft w:val="0"/>
          <w:marRight w:val="0"/>
          <w:marTop w:val="0"/>
          <w:marBottom w:val="0"/>
          <w:divBdr>
            <w:top w:val="none" w:sz="0" w:space="0" w:color="auto"/>
            <w:left w:val="none" w:sz="0" w:space="0" w:color="auto"/>
            <w:bottom w:val="none" w:sz="0" w:space="0" w:color="auto"/>
            <w:right w:val="none" w:sz="0" w:space="0" w:color="auto"/>
          </w:divBdr>
        </w:div>
        <w:div w:id="1417097186">
          <w:marLeft w:val="0"/>
          <w:marRight w:val="0"/>
          <w:marTop w:val="0"/>
          <w:marBottom w:val="0"/>
          <w:divBdr>
            <w:top w:val="none" w:sz="0" w:space="0" w:color="auto"/>
            <w:left w:val="none" w:sz="0" w:space="0" w:color="auto"/>
            <w:bottom w:val="none" w:sz="0" w:space="0" w:color="auto"/>
            <w:right w:val="none" w:sz="0" w:space="0" w:color="auto"/>
          </w:divBdr>
        </w:div>
        <w:div w:id="1417702689">
          <w:marLeft w:val="0"/>
          <w:marRight w:val="0"/>
          <w:marTop w:val="0"/>
          <w:marBottom w:val="0"/>
          <w:divBdr>
            <w:top w:val="none" w:sz="0" w:space="0" w:color="auto"/>
            <w:left w:val="none" w:sz="0" w:space="0" w:color="auto"/>
            <w:bottom w:val="none" w:sz="0" w:space="0" w:color="auto"/>
            <w:right w:val="none" w:sz="0" w:space="0" w:color="auto"/>
          </w:divBdr>
        </w:div>
        <w:div w:id="1423605061">
          <w:marLeft w:val="0"/>
          <w:marRight w:val="0"/>
          <w:marTop w:val="0"/>
          <w:marBottom w:val="0"/>
          <w:divBdr>
            <w:top w:val="none" w:sz="0" w:space="0" w:color="auto"/>
            <w:left w:val="none" w:sz="0" w:space="0" w:color="auto"/>
            <w:bottom w:val="none" w:sz="0" w:space="0" w:color="auto"/>
            <w:right w:val="none" w:sz="0" w:space="0" w:color="auto"/>
          </w:divBdr>
        </w:div>
        <w:div w:id="1434587792">
          <w:marLeft w:val="0"/>
          <w:marRight w:val="0"/>
          <w:marTop w:val="0"/>
          <w:marBottom w:val="0"/>
          <w:divBdr>
            <w:top w:val="none" w:sz="0" w:space="0" w:color="auto"/>
            <w:left w:val="none" w:sz="0" w:space="0" w:color="auto"/>
            <w:bottom w:val="none" w:sz="0" w:space="0" w:color="auto"/>
            <w:right w:val="none" w:sz="0" w:space="0" w:color="auto"/>
          </w:divBdr>
        </w:div>
        <w:div w:id="1444571353">
          <w:marLeft w:val="0"/>
          <w:marRight w:val="0"/>
          <w:marTop w:val="0"/>
          <w:marBottom w:val="0"/>
          <w:divBdr>
            <w:top w:val="none" w:sz="0" w:space="0" w:color="auto"/>
            <w:left w:val="none" w:sz="0" w:space="0" w:color="auto"/>
            <w:bottom w:val="none" w:sz="0" w:space="0" w:color="auto"/>
            <w:right w:val="none" w:sz="0" w:space="0" w:color="auto"/>
          </w:divBdr>
        </w:div>
        <w:div w:id="1455752584">
          <w:marLeft w:val="0"/>
          <w:marRight w:val="0"/>
          <w:marTop w:val="0"/>
          <w:marBottom w:val="0"/>
          <w:divBdr>
            <w:top w:val="none" w:sz="0" w:space="0" w:color="auto"/>
            <w:left w:val="none" w:sz="0" w:space="0" w:color="auto"/>
            <w:bottom w:val="none" w:sz="0" w:space="0" w:color="auto"/>
            <w:right w:val="none" w:sz="0" w:space="0" w:color="auto"/>
          </w:divBdr>
        </w:div>
        <w:div w:id="1512910127">
          <w:marLeft w:val="0"/>
          <w:marRight w:val="0"/>
          <w:marTop w:val="0"/>
          <w:marBottom w:val="0"/>
          <w:divBdr>
            <w:top w:val="none" w:sz="0" w:space="0" w:color="auto"/>
            <w:left w:val="none" w:sz="0" w:space="0" w:color="auto"/>
            <w:bottom w:val="none" w:sz="0" w:space="0" w:color="auto"/>
            <w:right w:val="none" w:sz="0" w:space="0" w:color="auto"/>
          </w:divBdr>
        </w:div>
        <w:div w:id="1527596416">
          <w:marLeft w:val="0"/>
          <w:marRight w:val="0"/>
          <w:marTop w:val="0"/>
          <w:marBottom w:val="0"/>
          <w:divBdr>
            <w:top w:val="none" w:sz="0" w:space="0" w:color="auto"/>
            <w:left w:val="none" w:sz="0" w:space="0" w:color="auto"/>
            <w:bottom w:val="none" w:sz="0" w:space="0" w:color="auto"/>
            <w:right w:val="none" w:sz="0" w:space="0" w:color="auto"/>
          </w:divBdr>
        </w:div>
        <w:div w:id="1541283326">
          <w:marLeft w:val="0"/>
          <w:marRight w:val="0"/>
          <w:marTop w:val="0"/>
          <w:marBottom w:val="0"/>
          <w:divBdr>
            <w:top w:val="none" w:sz="0" w:space="0" w:color="auto"/>
            <w:left w:val="none" w:sz="0" w:space="0" w:color="auto"/>
            <w:bottom w:val="none" w:sz="0" w:space="0" w:color="auto"/>
            <w:right w:val="none" w:sz="0" w:space="0" w:color="auto"/>
          </w:divBdr>
        </w:div>
        <w:div w:id="1558275774">
          <w:marLeft w:val="0"/>
          <w:marRight w:val="0"/>
          <w:marTop w:val="0"/>
          <w:marBottom w:val="0"/>
          <w:divBdr>
            <w:top w:val="none" w:sz="0" w:space="0" w:color="auto"/>
            <w:left w:val="none" w:sz="0" w:space="0" w:color="auto"/>
            <w:bottom w:val="none" w:sz="0" w:space="0" w:color="auto"/>
            <w:right w:val="none" w:sz="0" w:space="0" w:color="auto"/>
          </w:divBdr>
        </w:div>
        <w:div w:id="1561667285">
          <w:marLeft w:val="0"/>
          <w:marRight w:val="0"/>
          <w:marTop w:val="0"/>
          <w:marBottom w:val="0"/>
          <w:divBdr>
            <w:top w:val="none" w:sz="0" w:space="0" w:color="auto"/>
            <w:left w:val="none" w:sz="0" w:space="0" w:color="auto"/>
            <w:bottom w:val="none" w:sz="0" w:space="0" w:color="auto"/>
            <w:right w:val="none" w:sz="0" w:space="0" w:color="auto"/>
          </w:divBdr>
        </w:div>
        <w:div w:id="1594972465">
          <w:marLeft w:val="0"/>
          <w:marRight w:val="0"/>
          <w:marTop w:val="0"/>
          <w:marBottom w:val="0"/>
          <w:divBdr>
            <w:top w:val="none" w:sz="0" w:space="0" w:color="auto"/>
            <w:left w:val="none" w:sz="0" w:space="0" w:color="auto"/>
            <w:bottom w:val="none" w:sz="0" w:space="0" w:color="auto"/>
            <w:right w:val="none" w:sz="0" w:space="0" w:color="auto"/>
          </w:divBdr>
        </w:div>
        <w:div w:id="1597909183">
          <w:marLeft w:val="0"/>
          <w:marRight w:val="0"/>
          <w:marTop w:val="0"/>
          <w:marBottom w:val="0"/>
          <w:divBdr>
            <w:top w:val="none" w:sz="0" w:space="0" w:color="auto"/>
            <w:left w:val="none" w:sz="0" w:space="0" w:color="auto"/>
            <w:bottom w:val="none" w:sz="0" w:space="0" w:color="auto"/>
            <w:right w:val="none" w:sz="0" w:space="0" w:color="auto"/>
          </w:divBdr>
        </w:div>
        <w:div w:id="1605074144">
          <w:marLeft w:val="0"/>
          <w:marRight w:val="0"/>
          <w:marTop w:val="0"/>
          <w:marBottom w:val="0"/>
          <w:divBdr>
            <w:top w:val="none" w:sz="0" w:space="0" w:color="auto"/>
            <w:left w:val="none" w:sz="0" w:space="0" w:color="auto"/>
            <w:bottom w:val="none" w:sz="0" w:space="0" w:color="auto"/>
            <w:right w:val="none" w:sz="0" w:space="0" w:color="auto"/>
          </w:divBdr>
        </w:div>
        <w:div w:id="1606884100">
          <w:marLeft w:val="0"/>
          <w:marRight w:val="0"/>
          <w:marTop w:val="0"/>
          <w:marBottom w:val="0"/>
          <w:divBdr>
            <w:top w:val="none" w:sz="0" w:space="0" w:color="auto"/>
            <w:left w:val="none" w:sz="0" w:space="0" w:color="auto"/>
            <w:bottom w:val="none" w:sz="0" w:space="0" w:color="auto"/>
            <w:right w:val="none" w:sz="0" w:space="0" w:color="auto"/>
          </w:divBdr>
        </w:div>
        <w:div w:id="1625427310">
          <w:marLeft w:val="0"/>
          <w:marRight w:val="0"/>
          <w:marTop w:val="0"/>
          <w:marBottom w:val="0"/>
          <w:divBdr>
            <w:top w:val="none" w:sz="0" w:space="0" w:color="auto"/>
            <w:left w:val="none" w:sz="0" w:space="0" w:color="auto"/>
            <w:bottom w:val="none" w:sz="0" w:space="0" w:color="auto"/>
            <w:right w:val="none" w:sz="0" w:space="0" w:color="auto"/>
          </w:divBdr>
        </w:div>
        <w:div w:id="1627924697">
          <w:marLeft w:val="0"/>
          <w:marRight w:val="0"/>
          <w:marTop w:val="0"/>
          <w:marBottom w:val="0"/>
          <w:divBdr>
            <w:top w:val="none" w:sz="0" w:space="0" w:color="auto"/>
            <w:left w:val="none" w:sz="0" w:space="0" w:color="auto"/>
            <w:bottom w:val="none" w:sz="0" w:space="0" w:color="auto"/>
            <w:right w:val="none" w:sz="0" w:space="0" w:color="auto"/>
          </w:divBdr>
        </w:div>
        <w:div w:id="1628118023">
          <w:marLeft w:val="0"/>
          <w:marRight w:val="0"/>
          <w:marTop w:val="0"/>
          <w:marBottom w:val="0"/>
          <w:divBdr>
            <w:top w:val="none" w:sz="0" w:space="0" w:color="auto"/>
            <w:left w:val="none" w:sz="0" w:space="0" w:color="auto"/>
            <w:bottom w:val="none" w:sz="0" w:space="0" w:color="auto"/>
            <w:right w:val="none" w:sz="0" w:space="0" w:color="auto"/>
          </w:divBdr>
        </w:div>
        <w:div w:id="1647903207">
          <w:marLeft w:val="0"/>
          <w:marRight w:val="0"/>
          <w:marTop w:val="0"/>
          <w:marBottom w:val="0"/>
          <w:divBdr>
            <w:top w:val="none" w:sz="0" w:space="0" w:color="auto"/>
            <w:left w:val="none" w:sz="0" w:space="0" w:color="auto"/>
            <w:bottom w:val="none" w:sz="0" w:space="0" w:color="auto"/>
            <w:right w:val="none" w:sz="0" w:space="0" w:color="auto"/>
          </w:divBdr>
        </w:div>
        <w:div w:id="1648245951">
          <w:marLeft w:val="0"/>
          <w:marRight w:val="0"/>
          <w:marTop w:val="0"/>
          <w:marBottom w:val="0"/>
          <w:divBdr>
            <w:top w:val="none" w:sz="0" w:space="0" w:color="auto"/>
            <w:left w:val="none" w:sz="0" w:space="0" w:color="auto"/>
            <w:bottom w:val="none" w:sz="0" w:space="0" w:color="auto"/>
            <w:right w:val="none" w:sz="0" w:space="0" w:color="auto"/>
          </w:divBdr>
        </w:div>
        <w:div w:id="1649436166">
          <w:marLeft w:val="0"/>
          <w:marRight w:val="0"/>
          <w:marTop w:val="0"/>
          <w:marBottom w:val="0"/>
          <w:divBdr>
            <w:top w:val="none" w:sz="0" w:space="0" w:color="auto"/>
            <w:left w:val="none" w:sz="0" w:space="0" w:color="auto"/>
            <w:bottom w:val="none" w:sz="0" w:space="0" w:color="auto"/>
            <w:right w:val="none" w:sz="0" w:space="0" w:color="auto"/>
          </w:divBdr>
        </w:div>
        <w:div w:id="1654290332">
          <w:marLeft w:val="0"/>
          <w:marRight w:val="0"/>
          <w:marTop w:val="0"/>
          <w:marBottom w:val="0"/>
          <w:divBdr>
            <w:top w:val="none" w:sz="0" w:space="0" w:color="auto"/>
            <w:left w:val="none" w:sz="0" w:space="0" w:color="auto"/>
            <w:bottom w:val="none" w:sz="0" w:space="0" w:color="auto"/>
            <w:right w:val="none" w:sz="0" w:space="0" w:color="auto"/>
          </w:divBdr>
        </w:div>
        <w:div w:id="1662388266">
          <w:marLeft w:val="0"/>
          <w:marRight w:val="0"/>
          <w:marTop w:val="0"/>
          <w:marBottom w:val="0"/>
          <w:divBdr>
            <w:top w:val="none" w:sz="0" w:space="0" w:color="auto"/>
            <w:left w:val="none" w:sz="0" w:space="0" w:color="auto"/>
            <w:bottom w:val="none" w:sz="0" w:space="0" w:color="auto"/>
            <w:right w:val="none" w:sz="0" w:space="0" w:color="auto"/>
          </w:divBdr>
        </w:div>
        <w:div w:id="1667438975">
          <w:marLeft w:val="0"/>
          <w:marRight w:val="0"/>
          <w:marTop w:val="0"/>
          <w:marBottom w:val="0"/>
          <w:divBdr>
            <w:top w:val="none" w:sz="0" w:space="0" w:color="auto"/>
            <w:left w:val="none" w:sz="0" w:space="0" w:color="auto"/>
            <w:bottom w:val="none" w:sz="0" w:space="0" w:color="auto"/>
            <w:right w:val="none" w:sz="0" w:space="0" w:color="auto"/>
          </w:divBdr>
        </w:div>
        <w:div w:id="1672104208">
          <w:marLeft w:val="0"/>
          <w:marRight w:val="0"/>
          <w:marTop w:val="0"/>
          <w:marBottom w:val="0"/>
          <w:divBdr>
            <w:top w:val="none" w:sz="0" w:space="0" w:color="auto"/>
            <w:left w:val="none" w:sz="0" w:space="0" w:color="auto"/>
            <w:bottom w:val="none" w:sz="0" w:space="0" w:color="auto"/>
            <w:right w:val="none" w:sz="0" w:space="0" w:color="auto"/>
          </w:divBdr>
        </w:div>
        <w:div w:id="1683774997">
          <w:marLeft w:val="0"/>
          <w:marRight w:val="0"/>
          <w:marTop w:val="0"/>
          <w:marBottom w:val="0"/>
          <w:divBdr>
            <w:top w:val="none" w:sz="0" w:space="0" w:color="auto"/>
            <w:left w:val="none" w:sz="0" w:space="0" w:color="auto"/>
            <w:bottom w:val="none" w:sz="0" w:space="0" w:color="auto"/>
            <w:right w:val="none" w:sz="0" w:space="0" w:color="auto"/>
          </w:divBdr>
        </w:div>
        <w:div w:id="1697120742">
          <w:marLeft w:val="0"/>
          <w:marRight w:val="0"/>
          <w:marTop w:val="0"/>
          <w:marBottom w:val="0"/>
          <w:divBdr>
            <w:top w:val="none" w:sz="0" w:space="0" w:color="auto"/>
            <w:left w:val="none" w:sz="0" w:space="0" w:color="auto"/>
            <w:bottom w:val="none" w:sz="0" w:space="0" w:color="auto"/>
            <w:right w:val="none" w:sz="0" w:space="0" w:color="auto"/>
          </w:divBdr>
        </w:div>
        <w:div w:id="1698845997">
          <w:marLeft w:val="0"/>
          <w:marRight w:val="0"/>
          <w:marTop w:val="0"/>
          <w:marBottom w:val="0"/>
          <w:divBdr>
            <w:top w:val="none" w:sz="0" w:space="0" w:color="auto"/>
            <w:left w:val="none" w:sz="0" w:space="0" w:color="auto"/>
            <w:bottom w:val="none" w:sz="0" w:space="0" w:color="auto"/>
            <w:right w:val="none" w:sz="0" w:space="0" w:color="auto"/>
          </w:divBdr>
        </w:div>
        <w:div w:id="1700010374">
          <w:marLeft w:val="0"/>
          <w:marRight w:val="0"/>
          <w:marTop w:val="0"/>
          <w:marBottom w:val="0"/>
          <w:divBdr>
            <w:top w:val="none" w:sz="0" w:space="0" w:color="auto"/>
            <w:left w:val="none" w:sz="0" w:space="0" w:color="auto"/>
            <w:bottom w:val="none" w:sz="0" w:space="0" w:color="auto"/>
            <w:right w:val="none" w:sz="0" w:space="0" w:color="auto"/>
          </w:divBdr>
        </w:div>
        <w:div w:id="1725182224">
          <w:marLeft w:val="0"/>
          <w:marRight w:val="0"/>
          <w:marTop w:val="0"/>
          <w:marBottom w:val="0"/>
          <w:divBdr>
            <w:top w:val="none" w:sz="0" w:space="0" w:color="auto"/>
            <w:left w:val="none" w:sz="0" w:space="0" w:color="auto"/>
            <w:bottom w:val="none" w:sz="0" w:space="0" w:color="auto"/>
            <w:right w:val="none" w:sz="0" w:space="0" w:color="auto"/>
          </w:divBdr>
        </w:div>
        <w:div w:id="1752433773">
          <w:marLeft w:val="0"/>
          <w:marRight w:val="0"/>
          <w:marTop w:val="0"/>
          <w:marBottom w:val="0"/>
          <w:divBdr>
            <w:top w:val="none" w:sz="0" w:space="0" w:color="auto"/>
            <w:left w:val="none" w:sz="0" w:space="0" w:color="auto"/>
            <w:bottom w:val="none" w:sz="0" w:space="0" w:color="auto"/>
            <w:right w:val="none" w:sz="0" w:space="0" w:color="auto"/>
          </w:divBdr>
        </w:div>
        <w:div w:id="1765883103">
          <w:marLeft w:val="0"/>
          <w:marRight w:val="0"/>
          <w:marTop w:val="0"/>
          <w:marBottom w:val="0"/>
          <w:divBdr>
            <w:top w:val="none" w:sz="0" w:space="0" w:color="auto"/>
            <w:left w:val="none" w:sz="0" w:space="0" w:color="auto"/>
            <w:bottom w:val="none" w:sz="0" w:space="0" w:color="auto"/>
            <w:right w:val="none" w:sz="0" w:space="0" w:color="auto"/>
          </w:divBdr>
        </w:div>
        <w:div w:id="1769765559">
          <w:marLeft w:val="0"/>
          <w:marRight w:val="0"/>
          <w:marTop w:val="0"/>
          <w:marBottom w:val="0"/>
          <w:divBdr>
            <w:top w:val="none" w:sz="0" w:space="0" w:color="auto"/>
            <w:left w:val="none" w:sz="0" w:space="0" w:color="auto"/>
            <w:bottom w:val="none" w:sz="0" w:space="0" w:color="auto"/>
            <w:right w:val="none" w:sz="0" w:space="0" w:color="auto"/>
          </w:divBdr>
        </w:div>
        <w:div w:id="1775127928">
          <w:marLeft w:val="0"/>
          <w:marRight w:val="0"/>
          <w:marTop w:val="0"/>
          <w:marBottom w:val="0"/>
          <w:divBdr>
            <w:top w:val="none" w:sz="0" w:space="0" w:color="auto"/>
            <w:left w:val="none" w:sz="0" w:space="0" w:color="auto"/>
            <w:bottom w:val="none" w:sz="0" w:space="0" w:color="auto"/>
            <w:right w:val="none" w:sz="0" w:space="0" w:color="auto"/>
          </w:divBdr>
        </w:div>
        <w:div w:id="1783303234">
          <w:marLeft w:val="0"/>
          <w:marRight w:val="0"/>
          <w:marTop w:val="0"/>
          <w:marBottom w:val="0"/>
          <w:divBdr>
            <w:top w:val="none" w:sz="0" w:space="0" w:color="auto"/>
            <w:left w:val="none" w:sz="0" w:space="0" w:color="auto"/>
            <w:bottom w:val="none" w:sz="0" w:space="0" w:color="auto"/>
            <w:right w:val="none" w:sz="0" w:space="0" w:color="auto"/>
          </w:divBdr>
        </w:div>
        <w:div w:id="1788502209">
          <w:marLeft w:val="0"/>
          <w:marRight w:val="0"/>
          <w:marTop w:val="0"/>
          <w:marBottom w:val="0"/>
          <w:divBdr>
            <w:top w:val="none" w:sz="0" w:space="0" w:color="auto"/>
            <w:left w:val="none" w:sz="0" w:space="0" w:color="auto"/>
            <w:bottom w:val="none" w:sz="0" w:space="0" w:color="auto"/>
            <w:right w:val="none" w:sz="0" w:space="0" w:color="auto"/>
          </w:divBdr>
        </w:div>
        <w:div w:id="1795446921">
          <w:marLeft w:val="0"/>
          <w:marRight w:val="0"/>
          <w:marTop w:val="0"/>
          <w:marBottom w:val="0"/>
          <w:divBdr>
            <w:top w:val="none" w:sz="0" w:space="0" w:color="auto"/>
            <w:left w:val="none" w:sz="0" w:space="0" w:color="auto"/>
            <w:bottom w:val="none" w:sz="0" w:space="0" w:color="auto"/>
            <w:right w:val="none" w:sz="0" w:space="0" w:color="auto"/>
          </w:divBdr>
        </w:div>
        <w:div w:id="1826119107">
          <w:marLeft w:val="0"/>
          <w:marRight w:val="0"/>
          <w:marTop w:val="0"/>
          <w:marBottom w:val="0"/>
          <w:divBdr>
            <w:top w:val="none" w:sz="0" w:space="0" w:color="auto"/>
            <w:left w:val="none" w:sz="0" w:space="0" w:color="auto"/>
            <w:bottom w:val="none" w:sz="0" w:space="0" w:color="auto"/>
            <w:right w:val="none" w:sz="0" w:space="0" w:color="auto"/>
          </w:divBdr>
        </w:div>
        <w:div w:id="1844202921">
          <w:marLeft w:val="0"/>
          <w:marRight w:val="0"/>
          <w:marTop w:val="0"/>
          <w:marBottom w:val="0"/>
          <w:divBdr>
            <w:top w:val="none" w:sz="0" w:space="0" w:color="auto"/>
            <w:left w:val="none" w:sz="0" w:space="0" w:color="auto"/>
            <w:bottom w:val="none" w:sz="0" w:space="0" w:color="auto"/>
            <w:right w:val="none" w:sz="0" w:space="0" w:color="auto"/>
          </w:divBdr>
        </w:div>
        <w:div w:id="1846632405">
          <w:marLeft w:val="0"/>
          <w:marRight w:val="0"/>
          <w:marTop w:val="0"/>
          <w:marBottom w:val="0"/>
          <w:divBdr>
            <w:top w:val="none" w:sz="0" w:space="0" w:color="auto"/>
            <w:left w:val="none" w:sz="0" w:space="0" w:color="auto"/>
            <w:bottom w:val="none" w:sz="0" w:space="0" w:color="auto"/>
            <w:right w:val="none" w:sz="0" w:space="0" w:color="auto"/>
          </w:divBdr>
        </w:div>
        <w:div w:id="1863663041">
          <w:marLeft w:val="0"/>
          <w:marRight w:val="0"/>
          <w:marTop w:val="0"/>
          <w:marBottom w:val="0"/>
          <w:divBdr>
            <w:top w:val="none" w:sz="0" w:space="0" w:color="auto"/>
            <w:left w:val="none" w:sz="0" w:space="0" w:color="auto"/>
            <w:bottom w:val="none" w:sz="0" w:space="0" w:color="auto"/>
            <w:right w:val="none" w:sz="0" w:space="0" w:color="auto"/>
          </w:divBdr>
        </w:div>
        <w:div w:id="1885673828">
          <w:marLeft w:val="0"/>
          <w:marRight w:val="0"/>
          <w:marTop w:val="0"/>
          <w:marBottom w:val="0"/>
          <w:divBdr>
            <w:top w:val="none" w:sz="0" w:space="0" w:color="auto"/>
            <w:left w:val="none" w:sz="0" w:space="0" w:color="auto"/>
            <w:bottom w:val="none" w:sz="0" w:space="0" w:color="auto"/>
            <w:right w:val="none" w:sz="0" w:space="0" w:color="auto"/>
          </w:divBdr>
        </w:div>
        <w:div w:id="1992253601">
          <w:marLeft w:val="0"/>
          <w:marRight w:val="0"/>
          <w:marTop w:val="0"/>
          <w:marBottom w:val="0"/>
          <w:divBdr>
            <w:top w:val="none" w:sz="0" w:space="0" w:color="auto"/>
            <w:left w:val="none" w:sz="0" w:space="0" w:color="auto"/>
            <w:bottom w:val="none" w:sz="0" w:space="0" w:color="auto"/>
            <w:right w:val="none" w:sz="0" w:space="0" w:color="auto"/>
          </w:divBdr>
        </w:div>
        <w:div w:id="1997221339">
          <w:marLeft w:val="0"/>
          <w:marRight w:val="0"/>
          <w:marTop w:val="0"/>
          <w:marBottom w:val="0"/>
          <w:divBdr>
            <w:top w:val="none" w:sz="0" w:space="0" w:color="auto"/>
            <w:left w:val="none" w:sz="0" w:space="0" w:color="auto"/>
            <w:bottom w:val="none" w:sz="0" w:space="0" w:color="auto"/>
            <w:right w:val="none" w:sz="0" w:space="0" w:color="auto"/>
          </w:divBdr>
        </w:div>
        <w:div w:id="2004580342">
          <w:marLeft w:val="0"/>
          <w:marRight w:val="0"/>
          <w:marTop w:val="0"/>
          <w:marBottom w:val="0"/>
          <w:divBdr>
            <w:top w:val="none" w:sz="0" w:space="0" w:color="auto"/>
            <w:left w:val="none" w:sz="0" w:space="0" w:color="auto"/>
            <w:bottom w:val="none" w:sz="0" w:space="0" w:color="auto"/>
            <w:right w:val="none" w:sz="0" w:space="0" w:color="auto"/>
          </w:divBdr>
        </w:div>
        <w:div w:id="2012828649">
          <w:marLeft w:val="0"/>
          <w:marRight w:val="0"/>
          <w:marTop w:val="0"/>
          <w:marBottom w:val="0"/>
          <w:divBdr>
            <w:top w:val="none" w:sz="0" w:space="0" w:color="auto"/>
            <w:left w:val="none" w:sz="0" w:space="0" w:color="auto"/>
            <w:bottom w:val="none" w:sz="0" w:space="0" w:color="auto"/>
            <w:right w:val="none" w:sz="0" w:space="0" w:color="auto"/>
          </w:divBdr>
        </w:div>
        <w:div w:id="2016614101">
          <w:marLeft w:val="0"/>
          <w:marRight w:val="0"/>
          <w:marTop w:val="0"/>
          <w:marBottom w:val="0"/>
          <w:divBdr>
            <w:top w:val="none" w:sz="0" w:space="0" w:color="auto"/>
            <w:left w:val="none" w:sz="0" w:space="0" w:color="auto"/>
            <w:bottom w:val="none" w:sz="0" w:space="0" w:color="auto"/>
            <w:right w:val="none" w:sz="0" w:space="0" w:color="auto"/>
          </w:divBdr>
        </w:div>
        <w:div w:id="2026469483">
          <w:marLeft w:val="0"/>
          <w:marRight w:val="0"/>
          <w:marTop w:val="0"/>
          <w:marBottom w:val="0"/>
          <w:divBdr>
            <w:top w:val="none" w:sz="0" w:space="0" w:color="auto"/>
            <w:left w:val="none" w:sz="0" w:space="0" w:color="auto"/>
            <w:bottom w:val="none" w:sz="0" w:space="0" w:color="auto"/>
            <w:right w:val="none" w:sz="0" w:space="0" w:color="auto"/>
          </w:divBdr>
        </w:div>
      </w:divsChild>
    </w:div>
    <w:div w:id="90711256">
      <w:bodyDiv w:val="1"/>
      <w:marLeft w:val="0"/>
      <w:marRight w:val="0"/>
      <w:marTop w:val="0"/>
      <w:marBottom w:val="0"/>
      <w:divBdr>
        <w:top w:val="none" w:sz="0" w:space="0" w:color="auto"/>
        <w:left w:val="none" w:sz="0" w:space="0" w:color="auto"/>
        <w:bottom w:val="none" w:sz="0" w:space="0" w:color="auto"/>
        <w:right w:val="none" w:sz="0" w:space="0" w:color="auto"/>
      </w:divBdr>
    </w:div>
    <w:div w:id="90857103">
      <w:bodyDiv w:val="1"/>
      <w:marLeft w:val="0"/>
      <w:marRight w:val="0"/>
      <w:marTop w:val="0"/>
      <w:marBottom w:val="0"/>
      <w:divBdr>
        <w:top w:val="none" w:sz="0" w:space="0" w:color="auto"/>
        <w:left w:val="none" w:sz="0" w:space="0" w:color="auto"/>
        <w:bottom w:val="none" w:sz="0" w:space="0" w:color="auto"/>
        <w:right w:val="none" w:sz="0" w:space="0" w:color="auto"/>
      </w:divBdr>
    </w:div>
    <w:div w:id="91051481">
      <w:bodyDiv w:val="1"/>
      <w:marLeft w:val="0"/>
      <w:marRight w:val="0"/>
      <w:marTop w:val="0"/>
      <w:marBottom w:val="0"/>
      <w:divBdr>
        <w:top w:val="none" w:sz="0" w:space="0" w:color="auto"/>
        <w:left w:val="none" w:sz="0" w:space="0" w:color="auto"/>
        <w:bottom w:val="none" w:sz="0" w:space="0" w:color="auto"/>
        <w:right w:val="none" w:sz="0" w:space="0" w:color="auto"/>
      </w:divBdr>
    </w:div>
    <w:div w:id="91054315">
      <w:bodyDiv w:val="1"/>
      <w:marLeft w:val="0"/>
      <w:marRight w:val="0"/>
      <w:marTop w:val="0"/>
      <w:marBottom w:val="0"/>
      <w:divBdr>
        <w:top w:val="none" w:sz="0" w:space="0" w:color="auto"/>
        <w:left w:val="none" w:sz="0" w:space="0" w:color="auto"/>
        <w:bottom w:val="none" w:sz="0" w:space="0" w:color="auto"/>
        <w:right w:val="none" w:sz="0" w:space="0" w:color="auto"/>
      </w:divBdr>
    </w:div>
    <w:div w:id="91056533">
      <w:bodyDiv w:val="1"/>
      <w:marLeft w:val="0"/>
      <w:marRight w:val="0"/>
      <w:marTop w:val="0"/>
      <w:marBottom w:val="0"/>
      <w:divBdr>
        <w:top w:val="none" w:sz="0" w:space="0" w:color="auto"/>
        <w:left w:val="none" w:sz="0" w:space="0" w:color="auto"/>
        <w:bottom w:val="none" w:sz="0" w:space="0" w:color="auto"/>
        <w:right w:val="none" w:sz="0" w:space="0" w:color="auto"/>
      </w:divBdr>
    </w:div>
    <w:div w:id="91172708">
      <w:bodyDiv w:val="1"/>
      <w:marLeft w:val="0"/>
      <w:marRight w:val="0"/>
      <w:marTop w:val="0"/>
      <w:marBottom w:val="0"/>
      <w:divBdr>
        <w:top w:val="none" w:sz="0" w:space="0" w:color="auto"/>
        <w:left w:val="none" w:sz="0" w:space="0" w:color="auto"/>
        <w:bottom w:val="none" w:sz="0" w:space="0" w:color="auto"/>
        <w:right w:val="none" w:sz="0" w:space="0" w:color="auto"/>
      </w:divBdr>
    </w:div>
    <w:div w:id="91174267">
      <w:bodyDiv w:val="1"/>
      <w:marLeft w:val="0"/>
      <w:marRight w:val="0"/>
      <w:marTop w:val="0"/>
      <w:marBottom w:val="0"/>
      <w:divBdr>
        <w:top w:val="none" w:sz="0" w:space="0" w:color="auto"/>
        <w:left w:val="none" w:sz="0" w:space="0" w:color="auto"/>
        <w:bottom w:val="none" w:sz="0" w:space="0" w:color="auto"/>
        <w:right w:val="none" w:sz="0" w:space="0" w:color="auto"/>
      </w:divBdr>
    </w:div>
    <w:div w:id="91243571">
      <w:bodyDiv w:val="1"/>
      <w:marLeft w:val="0"/>
      <w:marRight w:val="0"/>
      <w:marTop w:val="0"/>
      <w:marBottom w:val="0"/>
      <w:divBdr>
        <w:top w:val="none" w:sz="0" w:space="0" w:color="auto"/>
        <w:left w:val="none" w:sz="0" w:space="0" w:color="auto"/>
        <w:bottom w:val="none" w:sz="0" w:space="0" w:color="auto"/>
        <w:right w:val="none" w:sz="0" w:space="0" w:color="auto"/>
      </w:divBdr>
    </w:div>
    <w:div w:id="91244859">
      <w:bodyDiv w:val="1"/>
      <w:marLeft w:val="0"/>
      <w:marRight w:val="0"/>
      <w:marTop w:val="0"/>
      <w:marBottom w:val="0"/>
      <w:divBdr>
        <w:top w:val="none" w:sz="0" w:space="0" w:color="auto"/>
        <w:left w:val="none" w:sz="0" w:space="0" w:color="auto"/>
        <w:bottom w:val="none" w:sz="0" w:space="0" w:color="auto"/>
        <w:right w:val="none" w:sz="0" w:space="0" w:color="auto"/>
      </w:divBdr>
    </w:div>
    <w:div w:id="91246520">
      <w:bodyDiv w:val="1"/>
      <w:marLeft w:val="0"/>
      <w:marRight w:val="0"/>
      <w:marTop w:val="0"/>
      <w:marBottom w:val="0"/>
      <w:divBdr>
        <w:top w:val="none" w:sz="0" w:space="0" w:color="auto"/>
        <w:left w:val="none" w:sz="0" w:space="0" w:color="auto"/>
        <w:bottom w:val="none" w:sz="0" w:space="0" w:color="auto"/>
        <w:right w:val="none" w:sz="0" w:space="0" w:color="auto"/>
      </w:divBdr>
    </w:div>
    <w:div w:id="91246697">
      <w:bodyDiv w:val="1"/>
      <w:marLeft w:val="0"/>
      <w:marRight w:val="0"/>
      <w:marTop w:val="0"/>
      <w:marBottom w:val="0"/>
      <w:divBdr>
        <w:top w:val="none" w:sz="0" w:space="0" w:color="auto"/>
        <w:left w:val="none" w:sz="0" w:space="0" w:color="auto"/>
        <w:bottom w:val="none" w:sz="0" w:space="0" w:color="auto"/>
        <w:right w:val="none" w:sz="0" w:space="0" w:color="auto"/>
      </w:divBdr>
    </w:div>
    <w:div w:id="91318544">
      <w:bodyDiv w:val="1"/>
      <w:marLeft w:val="0"/>
      <w:marRight w:val="0"/>
      <w:marTop w:val="0"/>
      <w:marBottom w:val="0"/>
      <w:divBdr>
        <w:top w:val="none" w:sz="0" w:space="0" w:color="auto"/>
        <w:left w:val="none" w:sz="0" w:space="0" w:color="auto"/>
        <w:bottom w:val="none" w:sz="0" w:space="0" w:color="auto"/>
        <w:right w:val="none" w:sz="0" w:space="0" w:color="auto"/>
      </w:divBdr>
    </w:div>
    <w:div w:id="91321839">
      <w:bodyDiv w:val="1"/>
      <w:marLeft w:val="0"/>
      <w:marRight w:val="0"/>
      <w:marTop w:val="0"/>
      <w:marBottom w:val="0"/>
      <w:divBdr>
        <w:top w:val="none" w:sz="0" w:space="0" w:color="auto"/>
        <w:left w:val="none" w:sz="0" w:space="0" w:color="auto"/>
        <w:bottom w:val="none" w:sz="0" w:space="0" w:color="auto"/>
        <w:right w:val="none" w:sz="0" w:space="0" w:color="auto"/>
      </w:divBdr>
    </w:div>
    <w:div w:id="91364345">
      <w:bodyDiv w:val="1"/>
      <w:marLeft w:val="0"/>
      <w:marRight w:val="0"/>
      <w:marTop w:val="0"/>
      <w:marBottom w:val="0"/>
      <w:divBdr>
        <w:top w:val="none" w:sz="0" w:space="0" w:color="auto"/>
        <w:left w:val="none" w:sz="0" w:space="0" w:color="auto"/>
        <w:bottom w:val="none" w:sz="0" w:space="0" w:color="auto"/>
        <w:right w:val="none" w:sz="0" w:space="0" w:color="auto"/>
      </w:divBdr>
    </w:div>
    <w:div w:id="91515467">
      <w:bodyDiv w:val="1"/>
      <w:marLeft w:val="0"/>
      <w:marRight w:val="0"/>
      <w:marTop w:val="0"/>
      <w:marBottom w:val="0"/>
      <w:divBdr>
        <w:top w:val="none" w:sz="0" w:space="0" w:color="auto"/>
        <w:left w:val="none" w:sz="0" w:space="0" w:color="auto"/>
        <w:bottom w:val="none" w:sz="0" w:space="0" w:color="auto"/>
        <w:right w:val="none" w:sz="0" w:space="0" w:color="auto"/>
      </w:divBdr>
    </w:div>
    <w:div w:id="91515510">
      <w:bodyDiv w:val="1"/>
      <w:marLeft w:val="0"/>
      <w:marRight w:val="0"/>
      <w:marTop w:val="0"/>
      <w:marBottom w:val="0"/>
      <w:divBdr>
        <w:top w:val="none" w:sz="0" w:space="0" w:color="auto"/>
        <w:left w:val="none" w:sz="0" w:space="0" w:color="auto"/>
        <w:bottom w:val="none" w:sz="0" w:space="0" w:color="auto"/>
        <w:right w:val="none" w:sz="0" w:space="0" w:color="auto"/>
      </w:divBdr>
    </w:div>
    <w:div w:id="91517874">
      <w:bodyDiv w:val="1"/>
      <w:marLeft w:val="0"/>
      <w:marRight w:val="0"/>
      <w:marTop w:val="0"/>
      <w:marBottom w:val="0"/>
      <w:divBdr>
        <w:top w:val="none" w:sz="0" w:space="0" w:color="auto"/>
        <w:left w:val="none" w:sz="0" w:space="0" w:color="auto"/>
        <w:bottom w:val="none" w:sz="0" w:space="0" w:color="auto"/>
        <w:right w:val="none" w:sz="0" w:space="0" w:color="auto"/>
      </w:divBdr>
    </w:div>
    <w:div w:id="91628186">
      <w:bodyDiv w:val="1"/>
      <w:marLeft w:val="0"/>
      <w:marRight w:val="0"/>
      <w:marTop w:val="0"/>
      <w:marBottom w:val="0"/>
      <w:divBdr>
        <w:top w:val="none" w:sz="0" w:space="0" w:color="auto"/>
        <w:left w:val="none" w:sz="0" w:space="0" w:color="auto"/>
        <w:bottom w:val="none" w:sz="0" w:space="0" w:color="auto"/>
        <w:right w:val="none" w:sz="0" w:space="0" w:color="auto"/>
      </w:divBdr>
    </w:div>
    <w:div w:id="91629467">
      <w:bodyDiv w:val="1"/>
      <w:marLeft w:val="0"/>
      <w:marRight w:val="0"/>
      <w:marTop w:val="0"/>
      <w:marBottom w:val="0"/>
      <w:divBdr>
        <w:top w:val="none" w:sz="0" w:space="0" w:color="auto"/>
        <w:left w:val="none" w:sz="0" w:space="0" w:color="auto"/>
        <w:bottom w:val="none" w:sz="0" w:space="0" w:color="auto"/>
        <w:right w:val="none" w:sz="0" w:space="0" w:color="auto"/>
      </w:divBdr>
    </w:div>
    <w:div w:id="91707109">
      <w:bodyDiv w:val="1"/>
      <w:marLeft w:val="0"/>
      <w:marRight w:val="0"/>
      <w:marTop w:val="0"/>
      <w:marBottom w:val="0"/>
      <w:divBdr>
        <w:top w:val="none" w:sz="0" w:space="0" w:color="auto"/>
        <w:left w:val="none" w:sz="0" w:space="0" w:color="auto"/>
        <w:bottom w:val="none" w:sz="0" w:space="0" w:color="auto"/>
        <w:right w:val="none" w:sz="0" w:space="0" w:color="auto"/>
      </w:divBdr>
    </w:div>
    <w:div w:id="91823319">
      <w:bodyDiv w:val="1"/>
      <w:marLeft w:val="0"/>
      <w:marRight w:val="0"/>
      <w:marTop w:val="0"/>
      <w:marBottom w:val="0"/>
      <w:divBdr>
        <w:top w:val="none" w:sz="0" w:space="0" w:color="auto"/>
        <w:left w:val="none" w:sz="0" w:space="0" w:color="auto"/>
        <w:bottom w:val="none" w:sz="0" w:space="0" w:color="auto"/>
        <w:right w:val="none" w:sz="0" w:space="0" w:color="auto"/>
      </w:divBdr>
    </w:div>
    <w:div w:id="91825861">
      <w:bodyDiv w:val="1"/>
      <w:marLeft w:val="0"/>
      <w:marRight w:val="0"/>
      <w:marTop w:val="0"/>
      <w:marBottom w:val="0"/>
      <w:divBdr>
        <w:top w:val="none" w:sz="0" w:space="0" w:color="auto"/>
        <w:left w:val="none" w:sz="0" w:space="0" w:color="auto"/>
        <w:bottom w:val="none" w:sz="0" w:space="0" w:color="auto"/>
        <w:right w:val="none" w:sz="0" w:space="0" w:color="auto"/>
      </w:divBdr>
    </w:div>
    <w:div w:id="91902710">
      <w:bodyDiv w:val="1"/>
      <w:marLeft w:val="0"/>
      <w:marRight w:val="0"/>
      <w:marTop w:val="0"/>
      <w:marBottom w:val="0"/>
      <w:divBdr>
        <w:top w:val="none" w:sz="0" w:space="0" w:color="auto"/>
        <w:left w:val="none" w:sz="0" w:space="0" w:color="auto"/>
        <w:bottom w:val="none" w:sz="0" w:space="0" w:color="auto"/>
        <w:right w:val="none" w:sz="0" w:space="0" w:color="auto"/>
      </w:divBdr>
    </w:div>
    <w:div w:id="91903227">
      <w:bodyDiv w:val="1"/>
      <w:marLeft w:val="0"/>
      <w:marRight w:val="0"/>
      <w:marTop w:val="0"/>
      <w:marBottom w:val="0"/>
      <w:divBdr>
        <w:top w:val="none" w:sz="0" w:space="0" w:color="auto"/>
        <w:left w:val="none" w:sz="0" w:space="0" w:color="auto"/>
        <w:bottom w:val="none" w:sz="0" w:space="0" w:color="auto"/>
        <w:right w:val="none" w:sz="0" w:space="0" w:color="auto"/>
      </w:divBdr>
    </w:div>
    <w:div w:id="92096885">
      <w:bodyDiv w:val="1"/>
      <w:marLeft w:val="0"/>
      <w:marRight w:val="0"/>
      <w:marTop w:val="0"/>
      <w:marBottom w:val="0"/>
      <w:divBdr>
        <w:top w:val="none" w:sz="0" w:space="0" w:color="auto"/>
        <w:left w:val="none" w:sz="0" w:space="0" w:color="auto"/>
        <w:bottom w:val="none" w:sz="0" w:space="0" w:color="auto"/>
        <w:right w:val="none" w:sz="0" w:space="0" w:color="auto"/>
      </w:divBdr>
    </w:div>
    <w:div w:id="92167685">
      <w:bodyDiv w:val="1"/>
      <w:marLeft w:val="0"/>
      <w:marRight w:val="0"/>
      <w:marTop w:val="0"/>
      <w:marBottom w:val="0"/>
      <w:divBdr>
        <w:top w:val="none" w:sz="0" w:space="0" w:color="auto"/>
        <w:left w:val="none" w:sz="0" w:space="0" w:color="auto"/>
        <w:bottom w:val="none" w:sz="0" w:space="0" w:color="auto"/>
        <w:right w:val="none" w:sz="0" w:space="0" w:color="auto"/>
      </w:divBdr>
    </w:div>
    <w:div w:id="92173014">
      <w:bodyDiv w:val="1"/>
      <w:marLeft w:val="0"/>
      <w:marRight w:val="0"/>
      <w:marTop w:val="0"/>
      <w:marBottom w:val="0"/>
      <w:divBdr>
        <w:top w:val="none" w:sz="0" w:space="0" w:color="auto"/>
        <w:left w:val="none" w:sz="0" w:space="0" w:color="auto"/>
        <w:bottom w:val="none" w:sz="0" w:space="0" w:color="auto"/>
        <w:right w:val="none" w:sz="0" w:space="0" w:color="auto"/>
      </w:divBdr>
    </w:div>
    <w:div w:id="92173085">
      <w:bodyDiv w:val="1"/>
      <w:marLeft w:val="0"/>
      <w:marRight w:val="0"/>
      <w:marTop w:val="0"/>
      <w:marBottom w:val="0"/>
      <w:divBdr>
        <w:top w:val="none" w:sz="0" w:space="0" w:color="auto"/>
        <w:left w:val="none" w:sz="0" w:space="0" w:color="auto"/>
        <w:bottom w:val="none" w:sz="0" w:space="0" w:color="auto"/>
        <w:right w:val="none" w:sz="0" w:space="0" w:color="auto"/>
      </w:divBdr>
    </w:div>
    <w:div w:id="92209321">
      <w:bodyDiv w:val="1"/>
      <w:marLeft w:val="0"/>
      <w:marRight w:val="0"/>
      <w:marTop w:val="0"/>
      <w:marBottom w:val="0"/>
      <w:divBdr>
        <w:top w:val="none" w:sz="0" w:space="0" w:color="auto"/>
        <w:left w:val="none" w:sz="0" w:space="0" w:color="auto"/>
        <w:bottom w:val="none" w:sz="0" w:space="0" w:color="auto"/>
        <w:right w:val="none" w:sz="0" w:space="0" w:color="auto"/>
      </w:divBdr>
    </w:div>
    <w:div w:id="92212921">
      <w:bodyDiv w:val="1"/>
      <w:marLeft w:val="0"/>
      <w:marRight w:val="0"/>
      <w:marTop w:val="0"/>
      <w:marBottom w:val="0"/>
      <w:divBdr>
        <w:top w:val="none" w:sz="0" w:space="0" w:color="auto"/>
        <w:left w:val="none" w:sz="0" w:space="0" w:color="auto"/>
        <w:bottom w:val="none" w:sz="0" w:space="0" w:color="auto"/>
        <w:right w:val="none" w:sz="0" w:space="0" w:color="auto"/>
      </w:divBdr>
    </w:div>
    <w:div w:id="92285845">
      <w:bodyDiv w:val="1"/>
      <w:marLeft w:val="0"/>
      <w:marRight w:val="0"/>
      <w:marTop w:val="0"/>
      <w:marBottom w:val="0"/>
      <w:divBdr>
        <w:top w:val="none" w:sz="0" w:space="0" w:color="auto"/>
        <w:left w:val="none" w:sz="0" w:space="0" w:color="auto"/>
        <w:bottom w:val="none" w:sz="0" w:space="0" w:color="auto"/>
        <w:right w:val="none" w:sz="0" w:space="0" w:color="auto"/>
      </w:divBdr>
    </w:div>
    <w:div w:id="92357268">
      <w:bodyDiv w:val="1"/>
      <w:marLeft w:val="0"/>
      <w:marRight w:val="0"/>
      <w:marTop w:val="0"/>
      <w:marBottom w:val="0"/>
      <w:divBdr>
        <w:top w:val="none" w:sz="0" w:space="0" w:color="auto"/>
        <w:left w:val="none" w:sz="0" w:space="0" w:color="auto"/>
        <w:bottom w:val="none" w:sz="0" w:space="0" w:color="auto"/>
        <w:right w:val="none" w:sz="0" w:space="0" w:color="auto"/>
      </w:divBdr>
    </w:div>
    <w:div w:id="92406519">
      <w:bodyDiv w:val="1"/>
      <w:marLeft w:val="0"/>
      <w:marRight w:val="0"/>
      <w:marTop w:val="0"/>
      <w:marBottom w:val="0"/>
      <w:divBdr>
        <w:top w:val="none" w:sz="0" w:space="0" w:color="auto"/>
        <w:left w:val="none" w:sz="0" w:space="0" w:color="auto"/>
        <w:bottom w:val="none" w:sz="0" w:space="0" w:color="auto"/>
        <w:right w:val="none" w:sz="0" w:space="0" w:color="auto"/>
      </w:divBdr>
    </w:div>
    <w:div w:id="92476058">
      <w:bodyDiv w:val="1"/>
      <w:marLeft w:val="0"/>
      <w:marRight w:val="0"/>
      <w:marTop w:val="0"/>
      <w:marBottom w:val="0"/>
      <w:divBdr>
        <w:top w:val="none" w:sz="0" w:space="0" w:color="auto"/>
        <w:left w:val="none" w:sz="0" w:space="0" w:color="auto"/>
        <w:bottom w:val="none" w:sz="0" w:space="0" w:color="auto"/>
        <w:right w:val="none" w:sz="0" w:space="0" w:color="auto"/>
      </w:divBdr>
    </w:div>
    <w:div w:id="92483410">
      <w:bodyDiv w:val="1"/>
      <w:marLeft w:val="0"/>
      <w:marRight w:val="0"/>
      <w:marTop w:val="0"/>
      <w:marBottom w:val="0"/>
      <w:divBdr>
        <w:top w:val="none" w:sz="0" w:space="0" w:color="auto"/>
        <w:left w:val="none" w:sz="0" w:space="0" w:color="auto"/>
        <w:bottom w:val="none" w:sz="0" w:space="0" w:color="auto"/>
        <w:right w:val="none" w:sz="0" w:space="0" w:color="auto"/>
      </w:divBdr>
    </w:div>
    <w:div w:id="92602681">
      <w:bodyDiv w:val="1"/>
      <w:marLeft w:val="0"/>
      <w:marRight w:val="0"/>
      <w:marTop w:val="0"/>
      <w:marBottom w:val="0"/>
      <w:divBdr>
        <w:top w:val="none" w:sz="0" w:space="0" w:color="auto"/>
        <w:left w:val="none" w:sz="0" w:space="0" w:color="auto"/>
        <w:bottom w:val="none" w:sz="0" w:space="0" w:color="auto"/>
        <w:right w:val="none" w:sz="0" w:space="0" w:color="auto"/>
      </w:divBdr>
    </w:div>
    <w:div w:id="92627275">
      <w:bodyDiv w:val="1"/>
      <w:marLeft w:val="0"/>
      <w:marRight w:val="0"/>
      <w:marTop w:val="0"/>
      <w:marBottom w:val="0"/>
      <w:divBdr>
        <w:top w:val="none" w:sz="0" w:space="0" w:color="auto"/>
        <w:left w:val="none" w:sz="0" w:space="0" w:color="auto"/>
        <w:bottom w:val="none" w:sz="0" w:space="0" w:color="auto"/>
        <w:right w:val="none" w:sz="0" w:space="0" w:color="auto"/>
      </w:divBdr>
    </w:div>
    <w:div w:id="92632734">
      <w:bodyDiv w:val="1"/>
      <w:marLeft w:val="0"/>
      <w:marRight w:val="0"/>
      <w:marTop w:val="0"/>
      <w:marBottom w:val="0"/>
      <w:divBdr>
        <w:top w:val="none" w:sz="0" w:space="0" w:color="auto"/>
        <w:left w:val="none" w:sz="0" w:space="0" w:color="auto"/>
        <w:bottom w:val="none" w:sz="0" w:space="0" w:color="auto"/>
        <w:right w:val="none" w:sz="0" w:space="0" w:color="auto"/>
      </w:divBdr>
    </w:div>
    <w:div w:id="92675675">
      <w:bodyDiv w:val="1"/>
      <w:marLeft w:val="0"/>
      <w:marRight w:val="0"/>
      <w:marTop w:val="0"/>
      <w:marBottom w:val="0"/>
      <w:divBdr>
        <w:top w:val="none" w:sz="0" w:space="0" w:color="auto"/>
        <w:left w:val="none" w:sz="0" w:space="0" w:color="auto"/>
        <w:bottom w:val="none" w:sz="0" w:space="0" w:color="auto"/>
        <w:right w:val="none" w:sz="0" w:space="0" w:color="auto"/>
      </w:divBdr>
    </w:div>
    <w:div w:id="92819673">
      <w:bodyDiv w:val="1"/>
      <w:marLeft w:val="0"/>
      <w:marRight w:val="0"/>
      <w:marTop w:val="0"/>
      <w:marBottom w:val="0"/>
      <w:divBdr>
        <w:top w:val="none" w:sz="0" w:space="0" w:color="auto"/>
        <w:left w:val="none" w:sz="0" w:space="0" w:color="auto"/>
        <w:bottom w:val="none" w:sz="0" w:space="0" w:color="auto"/>
        <w:right w:val="none" w:sz="0" w:space="0" w:color="auto"/>
      </w:divBdr>
    </w:div>
    <w:div w:id="92822168">
      <w:bodyDiv w:val="1"/>
      <w:marLeft w:val="0"/>
      <w:marRight w:val="0"/>
      <w:marTop w:val="0"/>
      <w:marBottom w:val="0"/>
      <w:divBdr>
        <w:top w:val="none" w:sz="0" w:space="0" w:color="auto"/>
        <w:left w:val="none" w:sz="0" w:space="0" w:color="auto"/>
        <w:bottom w:val="none" w:sz="0" w:space="0" w:color="auto"/>
        <w:right w:val="none" w:sz="0" w:space="0" w:color="auto"/>
      </w:divBdr>
    </w:div>
    <w:div w:id="93210122">
      <w:bodyDiv w:val="1"/>
      <w:marLeft w:val="0"/>
      <w:marRight w:val="0"/>
      <w:marTop w:val="0"/>
      <w:marBottom w:val="0"/>
      <w:divBdr>
        <w:top w:val="none" w:sz="0" w:space="0" w:color="auto"/>
        <w:left w:val="none" w:sz="0" w:space="0" w:color="auto"/>
        <w:bottom w:val="none" w:sz="0" w:space="0" w:color="auto"/>
        <w:right w:val="none" w:sz="0" w:space="0" w:color="auto"/>
      </w:divBdr>
    </w:div>
    <w:div w:id="93282051">
      <w:bodyDiv w:val="1"/>
      <w:marLeft w:val="0"/>
      <w:marRight w:val="0"/>
      <w:marTop w:val="0"/>
      <w:marBottom w:val="0"/>
      <w:divBdr>
        <w:top w:val="none" w:sz="0" w:space="0" w:color="auto"/>
        <w:left w:val="none" w:sz="0" w:space="0" w:color="auto"/>
        <w:bottom w:val="none" w:sz="0" w:space="0" w:color="auto"/>
        <w:right w:val="none" w:sz="0" w:space="0" w:color="auto"/>
      </w:divBdr>
    </w:div>
    <w:div w:id="93284517">
      <w:bodyDiv w:val="1"/>
      <w:marLeft w:val="0"/>
      <w:marRight w:val="0"/>
      <w:marTop w:val="0"/>
      <w:marBottom w:val="0"/>
      <w:divBdr>
        <w:top w:val="none" w:sz="0" w:space="0" w:color="auto"/>
        <w:left w:val="none" w:sz="0" w:space="0" w:color="auto"/>
        <w:bottom w:val="none" w:sz="0" w:space="0" w:color="auto"/>
        <w:right w:val="none" w:sz="0" w:space="0" w:color="auto"/>
      </w:divBdr>
    </w:div>
    <w:div w:id="93325299">
      <w:bodyDiv w:val="1"/>
      <w:marLeft w:val="0"/>
      <w:marRight w:val="0"/>
      <w:marTop w:val="0"/>
      <w:marBottom w:val="0"/>
      <w:divBdr>
        <w:top w:val="none" w:sz="0" w:space="0" w:color="auto"/>
        <w:left w:val="none" w:sz="0" w:space="0" w:color="auto"/>
        <w:bottom w:val="none" w:sz="0" w:space="0" w:color="auto"/>
        <w:right w:val="none" w:sz="0" w:space="0" w:color="auto"/>
      </w:divBdr>
    </w:div>
    <w:div w:id="93330373">
      <w:bodyDiv w:val="1"/>
      <w:marLeft w:val="0"/>
      <w:marRight w:val="0"/>
      <w:marTop w:val="0"/>
      <w:marBottom w:val="0"/>
      <w:divBdr>
        <w:top w:val="none" w:sz="0" w:space="0" w:color="auto"/>
        <w:left w:val="none" w:sz="0" w:space="0" w:color="auto"/>
        <w:bottom w:val="none" w:sz="0" w:space="0" w:color="auto"/>
        <w:right w:val="none" w:sz="0" w:space="0" w:color="auto"/>
      </w:divBdr>
    </w:div>
    <w:div w:id="93403288">
      <w:bodyDiv w:val="1"/>
      <w:marLeft w:val="0"/>
      <w:marRight w:val="0"/>
      <w:marTop w:val="0"/>
      <w:marBottom w:val="0"/>
      <w:divBdr>
        <w:top w:val="none" w:sz="0" w:space="0" w:color="auto"/>
        <w:left w:val="none" w:sz="0" w:space="0" w:color="auto"/>
        <w:bottom w:val="none" w:sz="0" w:space="0" w:color="auto"/>
        <w:right w:val="none" w:sz="0" w:space="0" w:color="auto"/>
      </w:divBdr>
    </w:div>
    <w:div w:id="93484068">
      <w:bodyDiv w:val="1"/>
      <w:marLeft w:val="0"/>
      <w:marRight w:val="0"/>
      <w:marTop w:val="0"/>
      <w:marBottom w:val="0"/>
      <w:divBdr>
        <w:top w:val="none" w:sz="0" w:space="0" w:color="auto"/>
        <w:left w:val="none" w:sz="0" w:space="0" w:color="auto"/>
        <w:bottom w:val="none" w:sz="0" w:space="0" w:color="auto"/>
        <w:right w:val="none" w:sz="0" w:space="0" w:color="auto"/>
      </w:divBdr>
    </w:div>
    <w:div w:id="93674483">
      <w:bodyDiv w:val="1"/>
      <w:marLeft w:val="0"/>
      <w:marRight w:val="0"/>
      <w:marTop w:val="0"/>
      <w:marBottom w:val="0"/>
      <w:divBdr>
        <w:top w:val="none" w:sz="0" w:space="0" w:color="auto"/>
        <w:left w:val="none" w:sz="0" w:space="0" w:color="auto"/>
        <w:bottom w:val="none" w:sz="0" w:space="0" w:color="auto"/>
        <w:right w:val="none" w:sz="0" w:space="0" w:color="auto"/>
      </w:divBdr>
    </w:div>
    <w:div w:id="93676002">
      <w:bodyDiv w:val="1"/>
      <w:marLeft w:val="0"/>
      <w:marRight w:val="0"/>
      <w:marTop w:val="0"/>
      <w:marBottom w:val="0"/>
      <w:divBdr>
        <w:top w:val="none" w:sz="0" w:space="0" w:color="auto"/>
        <w:left w:val="none" w:sz="0" w:space="0" w:color="auto"/>
        <w:bottom w:val="none" w:sz="0" w:space="0" w:color="auto"/>
        <w:right w:val="none" w:sz="0" w:space="0" w:color="auto"/>
      </w:divBdr>
    </w:div>
    <w:div w:id="93988259">
      <w:bodyDiv w:val="1"/>
      <w:marLeft w:val="0"/>
      <w:marRight w:val="0"/>
      <w:marTop w:val="0"/>
      <w:marBottom w:val="0"/>
      <w:divBdr>
        <w:top w:val="none" w:sz="0" w:space="0" w:color="auto"/>
        <w:left w:val="none" w:sz="0" w:space="0" w:color="auto"/>
        <w:bottom w:val="none" w:sz="0" w:space="0" w:color="auto"/>
        <w:right w:val="none" w:sz="0" w:space="0" w:color="auto"/>
      </w:divBdr>
    </w:div>
    <w:div w:id="94180125">
      <w:bodyDiv w:val="1"/>
      <w:marLeft w:val="0"/>
      <w:marRight w:val="0"/>
      <w:marTop w:val="0"/>
      <w:marBottom w:val="0"/>
      <w:divBdr>
        <w:top w:val="none" w:sz="0" w:space="0" w:color="auto"/>
        <w:left w:val="none" w:sz="0" w:space="0" w:color="auto"/>
        <w:bottom w:val="none" w:sz="0" w:space="0" w:color="auto"/>
        <w:right w:val="none" w:sz="0" w:space="0" w:color="auto"/>
      </w:divBdr>
    </w:div>
    <w:div w:id="94207926">
      <w:bodyDiv w:val="1"/>
      <w:marLeft w:val="0"/>
      <w:marRight w:val="0"/>
      <w:marTop w:val="0"/>
      <w:marBottom w:val="0"/>
      <w:divBdr>
        <w:top w:val="none" w:sz="0" w:space="0" w:color="auto"/>
        <w:left w:val="none" w:sz="0" w:space="0" w:color="auto"/>
        <w:bottom w:val="none" w:sz="0" w:space="0" w:color="auto"/>
        <w:right w:val="none" w:sz="0" w:space="0" w:color="auto"/>
      </w:divBdr>
    </w:div>
    <w:div w:id="94327527">
      <w:bodyDiv w:val="1"/>
      <w:marLeft w:val="0"/>
      <w:marRight w:val="0"/>
      <w:marTop w:val="0"/>
      <w:marBottom w:val="0"/>
      <w:divBdr>
        <w:top w:val="none" w:sz="0" w:space="0" w:color="auto"/>
        <w:left w:val="none" w:sz="0" w:space="0" w:color="auto"/>
        <w:bottom w:val="none" w:sz="0" w:space="0" w:color="auto"/>
        <w:right w:val="none" w:sz="0" w:space="0" w:color="auto"/>
      </w:divBdr>
    </w:div>
    <w:div w:id="94328079">
      <w:bodyDiv w:val="1"/>
      <w:marLeft w:val="0"/>
      <w:marRight w:val="0"/>
      <w:marTop w:val="0"/>
      <w:marBottom w:val="0"/>
      <w:divBdr>
        <w:top w:val="none" w:sz="0" w:space="0" w:color="auto"/>
        <w:left w:val="none" w:sz="0" w:space="0" w:color="auto"/>
        <w:bottom w:val="none" w:sz="0" w:space="0" w:color="auto"/>
        <w:right w:val="none" w:sz="0" w:space="0" w:color="auto"/>
      </w:divBdr>
    </w:div>
    <w:div w:id="94329644">
      <w:bodyDiv w:val="1"/>
      <w:marLeft w:val="0"/>
      <w:marRight w:val="0"/>
      <w:marTop w:val="0"/>
      <w:marBottom w:val="0"/>
      <w:divBdr>
        <w:top w:val="none" w:sz="0" w:space="0" w:color="auto"/>
        <w:left w:val="none" w:sz="0" w:space="0" w:color="auto"/>
        <w:bottom w:val="none" w:sz="0" w:space="0" w:color="auto"/>
        <w:right w:val="none" w:sz="0" w:space="0" w:color="auto"/>
      </w:divBdr>
    </w:div>
    <w:div w:id="94517078">
      <w:bodyDiv w:val="1"/>
      <w:marLeft w:val="0"/>
      <w:marRight w:val="0"/>
      <w:marTop w:val="0"/>
      <w:marBottom w:val="0"/>
      <w:divBdr>
        <w:top w:val="none" w:sz="0" w:space="0" w:color="auto"/>
        <w:left w:val="none" w:sz="0" w:space="0" w:color="auto"/>
        <w:bottom w:val="none" w:sz="0" w:space="0" w:color="auto"/>
        <w:right w:val="none" w:sz="0" w:space="0" w:color="auto"/>
      </w:divBdr>
    </w:div>
    <w:div w:id="94520092">
      <w:bodyDiv w:val="1"/>
      <w:marLeft w:val="0"/>
      <w:marRight w:val="0"/>
      <w:marTop w:val="0"/>
      <w:marBottom w:val="0"/>
      <w:divBdr>
        <w:top w:val="none" w:sz="0" w:space="0" w:color="auto"/>
        <w:left w:val="none" w:sz="0" w:space="0" w:color="auto"/>
        <w:bottom w:val="none" w:sz="0" w:space="0" w:color="auto"/>
        <w:right w:val="none" w:sz="0" w:space="0" w:color="auto"/>
      </w:divBdr>
    </w:div>
    <w:div w:id="94522265">
      <w:bodyDiv w:val="1"/>
      <w:marLeft w:val="0"/>
      <w:marRight w:val="0"/>
      <w:marTop w:val="0"/>
      <w:marBottom w:val="0"/>
      <w:divBdr>
        <w:top w:val="none" w:sz="0" w:space="0" w:color="auto"/>
        <w:left w:val="none" w:sz="0" w:space="0" w:color="auto"/>
        <w:bottom w:val="none" w:sz="0" w:space="0" w:color="auto"/>
        <w:right w:val="none" w:sz="0" w:space="0" w:color="auto"/>
      </w:divBdr>
    </w:div>
    <w:div w:id="94638722">
      <w:bodyDiv w:val="1"/>
      <w:marLeft w:val="0"/>
      <w:marRight w:val="0"/>
      <w:marTop w:val="0"/>
      <w:marBottom w:val="0"/>
      <w:divBdr>
        <w:top w:val="none" w:sz="0" w:space="0" w:color="auto"/>
        <w:left w:val="none" w:sz="0" w:space="0" w:color="auto"/>
        <w:bottom w:val="none" w:sz="0" w:space="0" w:color="auto"/>
        <w:right w:val="none" w:sz="0" w:space="0" w:color="auto"/>
      </w:divBdr>
      <w:divsChild>
        <w:div w:id="14161879">
          <w:marLeft w:val="0"/>
          <w:marRight w:val="0"/>
          <w:marTop w:val="0"/>
          <w:marBottom w:val="0"/>
          <w:divBdr>
            <w:top w:val="none" w:sz="0" w:space="0" w:color="auto"/>
            <w:left w:val="none" w:sz="0" w:space="0" w:color="auto"/>
            <w:bottom w:val="none" w:sz="0" w:space="0" w:color="auto"/>
            <w:right w:val="none" w:sz="0" w:space="0" w:color="auto"/>
          </w:divBdr>
        </w:div>
        <w:div w:id="15163039">
          <w:marLeft w:val="0"/>
          <w:marRight w:val="0"/>
          <w:marTop w:val="0"/>
          <w:marBottom w:val="0"/>
          <w:divBdr>
            <w:top w:val="none" w:sz="0" w:space="0" w:color="auto"/>
            <w:left w:val="none" w:sz="0" w:space="0" w:color="auto"/>
            <w:bottom w:val="none" w:sz="0" w:space="0" w:color="auto"/>
            <w:right w:val="none" w:sz="0" w:space="0" w:color="auto"/>
          </w:divBdr>
        </w:div>
        <w:div w:id="17314068">
          <w:marLeft w:val="0"/>
          <w:marRight w:val="0"/>
          <w:marTop w:val="0"/>
          <w:marBottom w:val="0"/>
          <w:divBdr>
            <w:top w:val="none" w:sz="0" w:space="0" w:color="auto"/>
            <w:left w:val="none" w:sz="0" w:space="0" w:color="auto"/>
            <w:bottom w:val="none" w:sz="0" w:space="0" w:color="auto"/>
            <w:right w:val="none" w:sz="0" w:space="0" w:color="auto"/>
          </w:divBdr>
        </w:div>
        <w:div w:id="33387949">
          <w:marLeft w:val="0"/>
          <w:marRight w:val="0"/>
          <w:marTop w:val="0"/>
          <w:marBottom w:val="0"/>
          <w:divBdr>
            <w:top w:val="none" w:sz="0" w:space="0" w:color="auto"/>
            <w:left w:val="none" w:sz="0" w:space="0" w:color="auto"/>
            <w:bottom w:val="none" w:sz="0" w:space="0" w:color="auto"/>
            <w:right w:val="none" w:sz="0" w:space="0" w:color="auto"/>
          </w:divBdr>
        </w:div>
        <w:div w:id="41559864">
          <w:marLeft w:val="0"/>
          <w:marRight w:val="0"/>
          <w:marTop w:val="0"/>
          <w:marBottom w:val="0"/>
          <w:divBdr>
            <w:top w:val="none" w:sz="0" w:space="0" w:color="auto"/>
            <w:left w:val="none" w:sz="0" w:space="0" w:color="auto"/>
            <w:bottom w:val="none" w:sz="0" w:space="0" w:color="auto"/>
            <w:right w:val="none" w:sz="0" w:space="0" w:color="auto"/>
          </w:divBdr>
        </w:div>
        <w:div w:id="60251930">
          <w:marLeft w:val="0"/>
          <w:marRight w:val="0"/>
          <w:marTop w:val="0"/>
          <w:marBottom w:val="0"/>
          <w:divBdr>
            <w:top w:val="none" w:sz="0" w:space="0" w:color="auto"/>
            <w:left w:val="none" w:sz="0" w:space="0" w:color="auto"/>
            <w:bottom w:val="none" w:sz="0" w:space="0" w:color="auto"/>
            <w:right w:val="none" w:sz="0" w:space="0" w:color="auto"/>
          </w:divBdr>
        </w:div>
        <w:div w:id="66807038">
          <w:marLeft w:val="0"/>
          <w:marRight w:val="0"/>
          <w:marTop w:val="0"/>
          <w:marBottom w:val="0"/>
          <w:divBdr>
            <w:top w:val="none" w:sz="0" w:space="0" w:color="auto"/>
            <w:left w:val="none" w:sz="0" w:space="0" w:color="auto"/>
            <w:bottom w:val="none" w:sz="0" w:space="0" w:color="auto"/>
            <w:right w:val="none" w:sz="0" w:space="0" w:color="auto"/>
          </w:divBdr>
        </w:div>
        <w:div w:id="76950276">
          <w:marLeft w:val="0"/>
          <w:marRight w:val="0"/>
          <w:marTop w:val="0"/>
          <w:marBottom w:val="0"/>
          <w:divBdr>
            <w:top w:val="none" w:sz="0" w:space="0" w:color="auto"/>
            <w:left w:val="none" w:sz="0" w:space="0" w:color="auto"/>
            <w:bottom w:val="none" w:sz="0" w:space="0" w:color="auto"/>
            <w:right w:val="none" w:sz="0" w:space="0" w:color="auto"/>
          </w:divBdr>
        </w:div>
        <w:div w:id="77018592">
          <w:marLeft w:val="0"/>
          <w:marRight w:val="0"/>
          <w:marTop w:val="0"/>
          <w:marBottom w:val="0"/>
          <w:divBdr>
            <w:top w:val="none" w:sz="0" w:space="0" w:color="auto"/>
            <w:left w:val="none" w:sz="0" w:space="0" w:color="auto"/>
            <w:bottom w:val="none" w:sz="0" w:space="0" w:color="auto"/>
            <w:right w:val="none" w:sz="0" w:space="0" w:color="auto"/>
          </w:divBdr>
        </w:div>
        <w:div w:id="79448638">
          <w:marLeft w:val="0"/>
          <w:marRight w:val="0"/>
          <w:marTop w:val="0"/>
          <w:marBottom w:val="0"/>
          <w:divBdr>
            <w:top w:val="none" w:sz="0" w:space="0" w:color="auto"/>
            <w:left w:val="none" w:sz="0" w:space="0" w:color="auto"/>
            <w:bottom w:val="none" w:sz="0" w:space="0" w:color="auto"/>
            <w:right w:val="none" w:sz="0" w:space="0" w:color="auto"/>
          </w:divBdr>
        </w:div>
        <w:div w:id="84108027">
          <w:marLeft w:val="0"/>
          <w:marRight w:val="0"/>
          <w:marTop w:val="0"/>
          <w:marBottom w:val="0"/>
          <w:divBdr>
            <w:top w:val="none" w:sz="0" w:space="0" w:color="auto"/>
            <w:left w:val="none" w:sz="0" w:space="0" w:color="auto"/>
            <w:bottom w:val="none" w:sz="0" w:space="0" w:color="auto"/>
            <w:right w:val="none" w:sz="0" w:space="0" w:color="auto"/>
          </w:divBdr>
        </w:div>
        <w:div w:id="84421511">
          <w:marLeft w:val="0"/>
          <w:marRight w:val="0"/>
          <w:marTop w:val="0"/>
          <w:marBottom w:val="0"/>
          <w:divBdr>
            <w:top w:val="none" w:sz="0" w:space="0" w:color="auto"/>
            <w:left w:val="none" w:sz="0" w:space="0" w:color="auto"/>
            <w:bottom w:val="none" w:sz="0" w:space="0" w:color="auto"/>
            <w:right w:val="none" w:sz="0" w:space="0" w:color="auto"/>
          </w:divBdr>
        </w:div>
        <w:div w:id="103499338">
          <w:marLeft w:val="0"/>
          <w:marRight w:val="0"/>
          <w:marTop w:val="0"/>
          <w:marBottom w:val="0"/>
          <w:divBdr>
            <w:top w:val="none" w:sz="0" w:space="0" w:color="auto"/>
            <w:left w:val="none" w:sz="0" w:space="0" w:color="auto"/>
            <w:bottom w:val="none" w:sz="0" w:space="0" w:color="auto"/>
            <w:right w:val="none" w:sz="0" w:space="0" w:color="auto"/>
          </w:divBdr>
        </w:div>
        <w:div w:id="116293602">
          <w:marLeft w:val="0"/>
          <w:marRight w:val="0"/>
          <w:marTop w:val="0"/>
          <w:marBottom w:val="0"/>
          <w:divBdr>
            <w:top w:val="none" w:sz="0" w:space="0" w:color="auto"/>
            <w:left w:val="none" w:sz="0" w:space="0" w:color="auto"/>
            <w:bottom w:val="none" w:sz="0" w:space="0" w:color="auto"/>
            <w:right w:val="none" w:sz="0" w:space="0" w:color="auto"/>
          </w:divBdr>
        </w:div>
        <w:div w:id="129326667">
          <w:marLeft w:val="0"/>
          <w:marRight w:val="0"/>
          <w:marTop w:val="0"/>
          <w:marBottom w:val="0"/>
          <w:divBdr>
            <w:top w:val="none" w:sz="0" w:space="0" w:color="auto"/>
            <w:left w:val="none" w:sz="0" w:space="0" w:color="auto"/>
            <w:bottom w:val="none" w:sz="0" w:space="0" w:color="auto"/>
            <w:right w:val="none" w:sz="0" w:space="0" w:color="auto"/>
          </w:divBdr>
        </w:div>
        <w:div w:id="141580981">
          <w:marLeft w:val="0"/>
          <w:marRight w:val="0"/>
          <w:marTop w:val="0"/>
          <w:marBottom w:val="0"/>
          <w:divBdr>
            <w:top w:val="none" w:sz="0" w:space="0" w:color="auto"/>
            <w:left w:val="none" w:sz="0" w:space="0" w:color="auto"/>
            <w:bottom w:val="none" w:sz="0" w:space="0" w:color="auto"/>
            <w:right w:val="none" w:sz="0" w:space="0" w:color="auto"/>
          </w:divBdr>
        </w:div>
        <w:div w:id="158235737">
          <w:marLeft w:val="0"/>
          <w:marRight w:val="0"/>
          <w:marTop w:val="0"/>
          <w:marBottom w:val="0"/>
          <w:divBdr>
            <w:top w:val="none" w:sz="0" w:space="0" w:color="auto"/>
            <w:left w:val="none" w:sz="0" w:space="0" w:color="auto"/>
            <w:bottom w:val="none" w:sz="0" w:space="0" w:color="auto"/>
            <w:right w:val="none" w:sz="0" w:space="0" w:color="auto"/>
          </w:divBdr>
        </w:div>
        <w:div w:id="197553918">
          <w:marLeft w:val="0"/>
          <w:marRight w:val="0"/>
          <w:marTop w:val="0"/>
          <w:marBottom w:val="0"/>
          <w:divBdr>
            <w:top w:val="none" w:sz="0" w:space="0" w:color="auto"/>
            <w:left w:val="none" w:sz="0" w:space="0" w:color="auto"/>
            <w:bottom w:val="none" w:sz="0" w:space="0" w:color="auto"/>
            <w:right w:val="none" w:sz="0" w:space="0" w:color="auto"/>
          </w:divBdr>
        </w:div>
        <w:div w:id="198595335">
          <w:marLeft w:val="0"/>
          <w:marRight w:val="0"/>
          <w:marTop w:val="0"/>
          <w:marBottom w:val="0"/>
          <w:divBdr>
            <w:top w:val="none" w:sz="0" w:space="0" w:color="auto"/>
            <w:left w:val="none" w:sz="0" w:space="0" w:color="auto"/>
            <w:bottom w:val="none" w:sz="0" w:space="0" w:color="auto"/>
            <w:right w:val="none" w:sz="0" w:space="0" w:color="auto"/>
          </w:divBdr>
        </w:div>
        <w:div w:id="201015880">
          <w:marLeft w:val="0"/>
          <w:marRight w:val="0"/>
          <w:marTop w:val="0"/>
          <w:marBottom w:val="0"/>
          <w:divBdr>
            <w:top w:val="none" w:sz="0" w:space="0" w:color="auto"/>
            <w:left w:val="none" w:sz="0" w:space="0" w:color="auto"/>
            <w:bottom w:val="none" w:sz="0" w:space="0" w:color="auto"/>
            <w:right w:val="none" w:sz="0" w:space="0" w:color="auto"/>
          </w:divBdr>
        </w:div>
        <w:div w:id="216741317">
          <w:marLeft w:val="0"/>
          <w:marRight w:val="0"/>
          <w:marTop w:val="0"/>
          <w:marBottom w:val="0"/>
          <w:divBdr>
            <w:top w:val="none" w:sz="0" w:space="0" w:color="auto"/>
            <w:left w:val="none" w:sz="0" w:space="0" w:color="auto"/>
            <w:bottom w:val="none" w:sz="0" w:space="0" w:color="auto"/>
            <w:right w:val="none" w:sz="0" w:space="0" w:color="auto"/>
          </w:divBdr>
        </w:div>
        <w:div w:id="232201315">
          <w:marLeft w:val="0"/>
          <w:marRight w:val="0"/>
          <w:marTop w:val="0"/>
          <w:marBottom w:val="0"/>
          <w:divBdr>
            <w:top w:val="none" w:sz="0" w:space="0" w:color="auto"/>
            <w:left w:val="none" w:sz="0" w:space="0" w:color="auto"/>
            <w:bottom w:val="none" w:sz="0" w:space="0" w:color="auto"/>
            <w:right w:val="none" w:sz="0" w:space="0" w:color="auto"/>
          </w:divBdr>
        </w:div>
        <w:div w:id="234436943">
          <w:marLeft w:val="0"/>
          <w:marRight w:val="0"/>
          <w:marTop w:val="0"/>
          <w:marBottom w:val="0"/>
          <w:divBdr>
            <w:top w:val="none" w:sz="0" w:space="0" w:color="auto"/>
            <w:left w:val="none" w:sz="0" w:space="0" w:color="auto"/>
            <w:bottom w:val="none" w:sz="0" w:space="0" w:color="auto"/>
            <w:right w:val="none" w:sz="0" w:space="0" w:color="auto"/>
          </w:divBdr>
        </w:div>
        <w:div w:id="246110820">
          <w:marLeft w:val="0"/>
          <w:marRight w:val="0"/>
          <w:marTop w:val="0"/>
          <w:marBottom w:val="0"/>
          <w:divBdr>
            <w:top w:val="none" w:sz="0" w:space="0" w:color="auto"/>
            <w:left w:val="none" w:sz="0" w:space="0" w:color="auto"/>
            <w:bottom w:val="none" w:sz="0" w:space="0" w:color="auto"/>
            <w:right w:val="none" w:sz="0" w:space="0" w:color="auto"/>
          </w:divBdr>
        </w:div>
        <w:div w:id="257255782">
          <w:marLeft w:val="0"/>
          <w:marRight w:val="0"/>
          <w:marTop w:val="0"/>
          <w:marBottom w:val="0"/>
          <w:divBdr>
            <w:top w:val="none" w:sz="0" w:space="0" w:color="auto"/>
            <w:left w:val="none" w:sz="0" w:space="0" w:color="auto"/>
            <w:bottom w:val="none" w:sz="0" w:space="0" w:color="auto"/>
            <w:right w:val="none" w:sz="0" w:space="0" w:color="auto"/>
          </w:divBdr>
        </w:div>
        <w:div w:id="260918183">
          <w:marLeft w:val="0"/>
          <w:marRight w:val="0"/>
          <w:marTop w:val="0"/>
          <w:marBottom w:val="0"/>
          <w:divBdr>
            <w:top w:val="none" w:sz="0" w:space="0" w:color="auto"/>
            <w:left w:val="none" w:sz="0" w:space="0" w:color="auto"/>
            <w:bottom w:val="none" w:sz="0" w:space="0" w:color="auto"/>
            <w:right w:val="none" w:sz="0" w:space="0" w:color="auto"/>
          </w:divBdr>
        </w:div>
        <w:div w:id="265116680">
          <w:marLeft w:val="0"/>
          <w:marRight w:val="0"/>
          <w:marTop w:val="0"/>
          <w:marBottom w:val="0"/>
          <w:divBdr>
            <w:top w:val="none" w:sz="0" w:space="0" w:color="auto"/>
            <w:left w:val="none" w:sz="0" w:space="0" w:color="auto"/>
            <w:bottom w:val="none" w:sz="0" w:space="0" w:color="auto"/>
            <w:right w:val="none" w:sz="0" w:space="0" w:color="auto"/>
          </w:divBdr>
        </w:div>
        <w:div w:id="266542022">
          <w:marLeft w:val="0"/>
          <w:marRight w:val="0"/>
          <w:marTop w:val="0"/>
          <w:marBottom w:val="0"/>
          <w:divBdr>
            <w:top w:val="none" w:sz="0" w:space="0" w:color="auto"/>
            <w:left w:val="none" w:sz="0" w:space="0" w:color="auto"/>
            <w:bottom w:val="none" w:sz="0" w:space="0" w:color="auto"/>
            <w:right w:val="none" w:sz="0" w:space="0" w:color="auto"/>
          </w:divBdr>
        </w:div>
        <w:div w:id="300424025">
          <w:marLeft w:val="0"/>
          <w:marRight w:val="0"/>
          <w:marTop w:val="0"/>
          <w:marBottom w:val="0"/>
          <w:divBdr>
            <w:top w:val="none" w:sz="0" w:space="0" w:color="auto"/>
            <w:left w:val="none" w:sz="0" w:space="0" w:color="auto"/>
            <w:bottom w:val="none" w:sz="0" w:space="0" w:color="auto"/>
            <w:right w:val="none" w:sz="0" w:space="0" w:color="auto"/>
          </w:divBdr>
        </w:div>
        <w:div w:id="336154270">
          <w:marLeft w:val="0"/>
          <w:marRight w:val="0"/>
          <w:marTop w:val="0"/>
          <w:marBottom w:val="0"/>
          <w:divBdr>
            <w:top w:val="none" w:sz="0" w:space="0" w:color="auto"/>
            <w:left w:val="none" w:sz="0" w:space="0" w:color="auto"/>
            <w:bottom w:val="none" w:sz="0" w:space="0" w:color="auto"/>
            <w:right w:val="none" w:sz="0" w:space="0" w:color="auto"/>
          </w:divBdr>
        </w:div>
        <w:div w:id="344135138">
          <w:marLeft w:val="0"/>
          <w:marRight w:val="0"/>
          <w:marTop w:val="0"/>
          <w:marBottom w:val="0"/>
          <w:divBdr>
            <w:top w:val="none" w:sz="0" w:space="0" w:color="auto"/>
            <w:left w:val="none" w:sz="0" w:space="0" w:color="auto"/>
            <w:bottom w:val="none" w:sz="0" w:space="0" w:color="auto"/>
            <w:right w:val="none" w:sz="0" w:space="0" w:color="auto"/>
          </w:divBdr>
        </w:div>
        <w:div w:id="346299722">
          <w:marLeft w:val="0"/>
          <w:marRight w:val="0"/>
          <w:marTop w:val="0"/>
          <w:marBottom w:val="0"/>
          <w:divBdr>
            <w:top w:val="none" w:sz="0" w:space="0" w:color="auto"/>
            <w:left w:val="none" w:sz="0" w:space="0" w:color="auto"/>
            <w:bottom w:val="none" w:sz="0" w:space="0" w:color="auto"/>
            <w:right w:val="none" w:sz="0" w:space="0" w:color="auto"/>
          </w:divBdr>
        </w:div>
        <w:div w:id="361827173">
          <w:marLeft w:val="0"/>
          <w:marRight w:val="0"/>
          <w:marTop w:val="0"/>
          <w:marBottom w:val="0"/>
          <w:divBdr>
            <w:top w:val="none" w:sz="0" w:space="0" w:color="auto"/>
            <w:left w:val="none" w:sz="0" w:space="0" w:color="auto"/>
            <w:bottom w:val="none" w:sz="0" w:space="0" w:color="auto"/>
            <w:right w:val="none" w:sz="0" w:space="0" w:color="auto"/>
          </w:divBdr>
        </w:div>
        <w:div w:id="370346821">
          <w:marLeft w:val="0"/>
          <w:marRight w:val="0"/>
          <w:marTop w:val="0"/>
          <w:marBottom w:val="0"/>
          <w:divBdr>
            <w:top w:val="none" w:sz="0" w:space="0" w:color="auto"/>
            <w:left w:val="none" w:sz="0" w:space="0" w:color="auto"/>
            <w:bottom w:val="none" w:sz="0" w:space="0" w:color="auto"/>
            <w:right w:val="none" w:sz="0" w:space="0" w:color="auto"/>
          </w:divBdr>
        </w:div>
        <w:div w:id="383530949">
          <w:marLeft w:val="0"/>
          <w:marRight w:val="0"/>
          <w:marTop w:val="0"/>
          <w:marBottom w:val="0"/>
          <w:divBdr>
            <w:top w:val="none" w:sz="0" w:space="0" w:color="auto"/>
            <w:left w:val="none" w:sz="0" w:space="0" w:color="auto"/>
            <w:bottom w:val="none" w:sz="0" w:space="0" w:color="auto"/>
            <w:right w:val="none" w:sz="0" w:space="0" w:color="auto"/>
          </w:divBdr>
        </w:div>
        <w:div w:id="385295963">
          <w:marLeft w:val="0"/>
          <w:marRight w:val="0"/>
          <w:marTop w:val="0"/>
          <w:marBottom w:val="0"/>
          <w:divBdr>
            <w:top w:val="none" w:sz="0" w:space="0" w:color="auto"/>
            <w:left w:val="none" w:sz="0" w:space="0" w:color="auto"/>
            <w:bottom w:val="none" w:sz="0" w:space="0" w:color="auto"/>
            <w:right w:val="none" w:sz="0" w:space="0" w:color="auto"/>
          </w:divBdr>
        </w:div>
        <w:div w:id="388380877">
          <w:marLeft w:val="0"/>
          <w:marRight w:val="0"/>
          <w:marTop w:val="0"/>
          <w:marBottom w:val="0"/>
          <w:divBdr>
            <w:top w:val="none" w:sz="0" w:space="0" w:color="auto"/>
            <w:left w:val="none" w:sz="0" w:space="0" w:color="auto"/>
            <w:bottom w:val="none" w:sz="0" w:space="0" w:color="auto"/>
            <w:right w:val="none" w:sz="0" w:space="0" w:color="auto"/>
          </w:divBdr>
        </w:div>
        <w:div w:id="407463536">
          <w:marLeft w:val="0"/>
          <w:marRight w:val="0"/>
          <w:marTop w:val="0"/>
          <w:marBottom w:val="0"/>
          <w:divBdr>
            <w:top w:val="none" w:sz="0" w:space="0" w:color="auto"/>
            <w:left w:val="none" w:sz="0" w:space="0" w:color="auto"/>
            <w:bottom w:val="none" w:sz="0" w:space="0" w:color="auto"/>
            <w:right w:val="none" w:sz="0" w:space="0" w:color="auto"/>
          </w:divBdr>
        </w:div>
        <w:div w:id="409734611">
          <w:marLeft w:val="0"/>
          <w:marRight w:val="0"/>
          <w:marTop w:val="0"/>
          <w:marBottom w:val="0"/>
          <w:divBdr>
            <w:top w:val="none" w:sz="0" w:space="0" w:color="auto"/>
            <w:left w:val="none" w:sz="0" w:space="0" w:color="auto"/>
            <w:bottom w:val="none" w:sz="0" w:space="0" w:color="auto"/>
            <w:right w:val="none" w:sz="0" w:space="0" w:color="auto"/>
          </w:divBdr>
        </w:div>
        <w:div w:id="411858960">
          <w:marLeft w:val="0"/>
          <w:marRight w:val="0"/>
          <w:marTop w:val="0"/>
          <w:marBottom w:val="0"/>
          <w:divBdr>
            <w:top w:val="none" w:sz="0" w:space="0" w:color="auto"/>
            <w:left w:val="none" w:sz="0" w:space="0" w:color="auto"/>
            <w:bottom w:val="none" w:sz="0" w:space="0" w:color="auto"/>
            <w:right w:val="none" w:sz="0" w:space="0" w:color="auto"/>
          </w:divBdr>
        </w:div>
        <w:div w:id="416564669">
          <w:marLeft w:val="0"/>
          <w:marRight w:val="0"/>
          <w:marTop w:val="0"/>
          <w:marBottom w:val="0"/>
          <w:divBdr>
            <w:top w:val="none" w:sz="0" w:space="0" w:color="auto"/>
            <w:left w:val="none" w:sz="0" w:space="0" w:color="auto"/>
            <w:bottom w:val="none" w:sz="0" w:space="0" w:color="auto"/>
            <w:right w:val="none" w:sz="0" w:space="0" w:color="auto"/>
          </w:divBdr>
        </w:div>
        <w:div w:id="421881349">
          <w:marLeft w:val="0"/>
          <w:marRight w:val="0"/>
          <w:marTop w:val="0"/>
          <w:marBottom w:val="0"/>
          <w:divBdr>
            <w:top w:val="none" w:sz="0" w:space="0" w:color="auto"/>
            <w:left w:val="none" w:sz="0" w:space="0" w:color="auto"/>
            <w:bottom w:val="none" w:sz="0" w:space="0" w:color="auto"/>
            <w:right w:val="none" w:sz="0" w:space="0" w:color="auto"/>
          </w:divBdr>
        </w:div>
        <w:div w:id="436565587">
          <w:marLeft w:val="0"/>
          <w:marRight w:val="0"/>
          <w:marTop w:val="0"/>
          <w:marBottom w:val="0"/>
          <w:divBdr>
            <w:top w:val="none" w:sz="0" w:space="0" w:color="auto"/>
            <w:left w:val="none" w:sz="0" w:space="0" w:color="auto"/>
            <w:bottom w:val="none" w:sz="0" w:space="0" w:color="auto"/>
            <w:right w:val="none" w:sz="0" w:space="0" w:color="auto"/>
          </w:divBdr>
        </w:div>
        <w:div w:id="443961333">
          <w:marLeft w:val="0"/>
          <w:marRight w:val="0"/>
          <w:marTop w:val="0"/>
          <w:marBottom w:val="0"/>
          <w:divBdr>
            <w:top w:val="none" w:sz="0" w:space="0" w:color="auto"/>
            <w:left w:val="none" w:sz="0" w:space="0" w:color="auto"/>
            <w:bottom w:val="none" w:sz="0" w:space="0" w:color="auto"/>
            <w:right w:val="none" w:sz="0" w:space="0" w:color="auto"/>
          </w:divBdr>
        </w:div>
        <w:div w:id="452331606">
          <w:marLeft w:val="0"/>
          <w:marRight w:val="0"/>
          <w:marTop w:val="0"/>
          <w:marBottom w:val="0"/>
          <w:divBdr>
            <w:top w:val="none" w:sz="0" w:space="0" w:color="auto"/>
            <w:left w:val="none" w:sz="0" w:space="0" w:color="auto"/>
            <w:bottom w:val="none" w:sz="0" w:space="0" w:color="auto"/>
            <w:right w:val="none" w:sz="0" w:space="0" w:color="auto"/>
          </w:divBdr>
        </w:div>
        <w:div w:id="455607157">
          <w:marLeft w:val="0"/>
          <w:marRight w:val="0"/>
          <w:marTop w:val="0"/>
          <w:marBottom w:val="0"/>
          <w:divBdr>
            <w:top w:val="none" w:sz="0" w:space="0" w:color="auto"/>
            <w:left w:val="none" w:sz="0" w:space="0" w:color="auto"/>
            <w:bottom w:val="none" w:sz="0" w:space="0" w:color="auto"/>
            <w:right w:val="none" w:sz="0" w:space="0" w:color="auto"/>
          </w:divBdr>
        </w:div>
        <w:div w:id="463546778">
          <w:marLeft w:val="0"/>
          <w:marRight w:val="0"/>
          <w:marTop w:val="0"/>
          <w:marBottom w:val="0"/>
          <w:divBdr>
            <w:top w:val="none" w:sz="0" w:space="0" w:color="auto"/>
            <w:left w:val="none" w:sz="0" w:space="0" w:color="auto"/>
            <w:bottom w:val="none" w:sz="0" w:space="0" w:color="auto"/>
            <w:right w:val="none" w:sz="0" w:space="0" w:color="auto"/>
          </w:divBdr>
        </w:div>
        <w:div w:id="467629859">
          <w:marLeft w:val="0"/>
          <w:marRight w:val="0"/>
          <w:marTop w:val="0"/>
          <w:marBottom w:val="0"/>
          <w:divBdr>
            <w:top w:val="none" w:sz="0" w:space="0" w:color="auto"/>
            <w:left w:val="none" w:sz="0" w:space="0" w:color="auto"/>
            <w:bottom w:val="none" w:sz="0" w:space="0" w:color="auto"/>
            <w:right w:val="none" w:sz="0" w:space="0" w:color="auto"/>
          </w:divBdr>
        </w:div>
        <w:div w:id="490952582">
          <w:marLeft w:val="0"/>
          <w:marRight w:val="0"/>
          <w:marTop w:val="0"/>
          <w:marBottom w:val="0"/>
          <w:divBdr>
            <w:top w:val="none" w:sz="0" w:space="0" w:color="auto"/>
            <w:left w:val="none" w:sz="0" w:space="0" w:color="auto"/>
            <w:bottom w:val="none" w:sz="0" w:space="0" w:color="auto"/>
            <w:right w:val="none" w:sz="0" w:space="0" w:color="auto"/>
          </w:divBdr>
        </w:div>
        <w:div w:id="508908628">
          <w:marLeft w:val="0"/>
          <w:marRight w:val="0"/>
          <w:marTop w:val="0"/>
          <w:marBottom w:val="0"/>
          <w:divBdr>
            <w:top w:val="none" w:sz="0" w:space="0" w:color="auto"/>
            <w:left w:val="none" w:sz="0" w:space="0" w:color="auto"/>
            <w:bottom w:val="none" w:sz="0" w:space="0" w:color="auto"/>
            <w:right w:val="none" w:sz="0" w:space="0" w:color="auto"/>
          </w:divBdr>
        </w:div>
        <w:div w:id="509831137">
          <w:marLeft w:val="0"/>
          <w:marRight w:val="0"/>
          <w:marTop w:val="0"/>
          <w:marBottom w:val="0"/>
          <w:divBdr>
            <w:top w:val="none" w:sz="0" w:space="0" w:color="auto"/>
            <w:left w:val="none" w:sz="0" w:space="0" w:color="auto"/>
            <w:bottom w:val="none" w:sz="0" w:space="0" w:color="auto"/>
            <w:right w:val="none" w:sz="0" w:space="0" w:color="auto"/>
          </w:divBdr>
        </w:div>
        <w:div w:id="517044316">
          <w:marLeft w:val="0"/>
          <w:marRight w:val="0"/>
          <w:marTop w:val="0"/>
          <w:marBottom w:val="0"/>
          <w:divBdr>
            <w:top w:val="none" w:sz="0" w:space="0" w:color="auto"/>
            <w:left w:val="none" w:sz="0" w:space="0" w:color="auto"/>
            <w:bottom w:val="none" w:sz="0" w:space="0" w:color="auto"/>
            <w:right w:val="none" w:sz="0" w:space="0" w:color="auto"/>
          </w:divBdr>
        </w:div>
        <w:div w:id="518005357">
          <w:marLeft w:val="0"/>
          <w:marRight w:val="0"/>
          <w:marTop w:val="0"/>
          <w:marBottom w:val="0"/>
          <w:divBdr>
            <w:top w:val="none" w:sz="0" w:space="0" w:color="auto"/>
            <w:left w:val="none" w:sz="0" w:space="0" w:color="auto"/>
            <w:bottom w:val="none" w:sz="0" w:space="0" w:color="auto"/>
            <w:right w:val="none" w:sz="0" w:space="0" w:color="auto"/>
          </w:divBdr>
        </w:div>
        <w:div w:id="522977809">
          <w:marLeft w:val="0"/>
          <w:marRight w:val="0"/>
          <w:marTop w:val="0"/>
          <w:marBottom w:val="0"/>
          <w:divBdr>
            <w:top w:val="none" w:sz="0" w:space="0" w:color="auto"/>
            <w:left w:val="none" w:sz="0" w:space="0" w:color="auto"/>
            <w:bottom w:val="none" w:sz="0" w:space="0" w:color="auto"/>
            <w:right w:val="none" w:sz="0" w:space="0" w:color="auto"/>
          </w:divBdr>
        </w:div>
        <w:div w:id="562986150">
          <w:marLeft w:val="0"/>
          <w:marRight w:val="0"/>
          <w:marTop w:val="0"/>
          <w:marBottom w:val="0"/>
          <w:divBdr>
            <w:top w:val="none" w:sz="0" w:space="0" w:color="auto"/>
            <w:left w:val="none" w:sz="0" w:space="0" w:color="auto"/>
            <w:bottom w:val="none" w:sz="0" w:space="0" w:color="auto"/>
            <w:right w:val="none" w:sz="0" w:space="0" w:color="auto"/>
          </w:divBdr>
        </w:div>
        <w:div w:id="629671018">
          <w:marLeft w:val="0"/>
          <w:marRight w:val="0"/>
          <w:marTop w:val="0"/>
          <w:marBottom w:val="0"/>
          <w:divBdr>
            <w:top w:val="none" w:sz="0" w:space="0" w:color="auto"/>
            <w:left w:val="none" w:sz="0" w:space="0" w:color="auto"/>
            <w:bottom w:val="none" w:sz="0" w:space="0" w:color="auto"/>
            <w:right w:val="none" w:sz="0" w:space="0" w:color="auto"/>
          </w:divBdr>
        </w:div>
        <w:div w:id="630794577">
          <w:marLeft w:val="0"/>
          <w:marRight w:val="0"/>
          <w:marTop w:val="0"/>
          <w:marBottom w:val="0"/>
          <w:divBdr>
            <w:top w:val="none" w:sz="0" w:space="0" w:color="auto"/>
            <w:left w:val="none" w:sz="0" w:space="0" w:color="auto"/>
            <w:bottom w:val="none" w:sz="0" w:space="0" w:color="auto"/>
            <w:right w:val="none" w:sz="0" w:space="0" w:color="auto"/>
          </w:divBdr>
        </w:div>
        <w:div w:id="665479392">
          <w:marLeft w:val="0"/>
          <w:marRight w:val="0"/>
          <w:marTop w:val="0"/>
          <w:marBottom w:val="0"/>
          <w:divBdr>
            <w:top w:val="none" w:sz="0" w:space="0" w:color="auto"/>
            <w:left w:val="none" w:sz="0" w:space="0" w:color="auto"/>
            <w:bottom w:val="none" w:sz="0" w:space="0" w:color="auto"/>
            <w:right w:val="none" w:sz="0" w:space="0" w:color="auto"/>
          </w:divBdr>
        </w:div>
        <w:div w:id="667056679">
          <w:marLeft w:val="0"/>
          <w:marRight w:val="0"/>
          <w:marTop w:val="0"/>
          <w:marBottom w:val="0"/>
          <w:divBdr>
            <w:top w:val="none" w:sz="0" w:space="0" w:color="auto"/>
            <w:left w:val="none" w:sz="0" w:space="0" w:color="auto"/>
            <w:bottom w:val="none" w:sz="0" w:space="0" w:color="auto"/>
            <w:right w:val="none" w:sz="0" w:space="0" w:color="auto"/>
          </w:divBdr>
        </w:div>
        <w:div w:id="683633892">
          <w:marLeft w:val="0"/>
          <w:marRight w:val="0"/>
          <w:marTop w:val="0"/>
          <w:marBottom w:val="0"/>
          <w:divBdr>
            <w:top w:val="none" w:sz="0" w:space="0" w:color="auto"/>
            <w:left w:val="none" w:sz="0" w:space="0" w:color="auto"/>
            <w:bottom w:val="none" w:sz="0" w:space="0" w:color="auto"/>
            <w:right w:val="none" w:sz="0" w:space="0" w:color="auto"/>
          </w:divBdr>
        </w:div>
        <w:div w:id="698244916">
          <w:marLeft w:val="0"/>
          <w:marRight w:val="0"/>
          <w:marTop w:val="0"/>
          <w:marBottom w:val="0"/>
          <w:divBdr>
            <w:top w:val="none" w:sz="0" w:space="0" w:color="auto"/>
            <w:left w:val="none" w:sz="0" w:space="0" w:color="auto"/>
            <w:bottom w:val="none" w:sz="0" w:space="0" w:color="auto"/>
            <w:right w:val="none" w:sz="0" w:space="0" w:color="auto"/>
          </w:divBdr>
        </w:div>
        <w:div w:id="701174789">
          <w:marLeft w:val="0"/>
          <w:marRight w:val="0"/>
          <w:marTop w:val="0"/>
          <w:marBottom w:val="0"/>
          <w:divBdr>
            <w:top w:val="none" w:sz="0" w:space="0" w:color="auto"/>
            <w:left w:val="none" w:sz="0" w:space="0" w:color="auto"/>
            <w:bottom w:val="none" w:sz="0" w:space="0" w:color="auto"/>
            <w:right w:val="none" w:sz="0" w:space="0" w:color="auto"/>
          </w:divBdr>
        </w:div>
        <w:div w:id="712920010">
          <w:marLeft w:val="0"/>
          <w:marRight w:val="0"/>
          <w:marTop w:val="0"/>
          <w:marBottom w:val="0"/>
          <w:divBdr>
            <w:top w:val="none" w:sz="0" w:space="0" w:color="auto"/>
            <w:left w:val="none" w:sz="0" w:space="0" w:color="auto"/>
            <w:bottom w:val="none" w:sz="0" w:space="0" w:color="auto"/>
            <w:right w:val="none" w:sz="0" w:space="0" w:color="auto"/>
          </w:divBdr>
        </w:div>
        <w:div w:id="718820918">
          <w:marLeft w:val="0"/>
          <w:marRight w:val="0"/>
          <w:marTop w:val="0"/>
          <w:marBottom w:val="0"/>
          <w:divBdr>
            <w:top w:val="none" w:sz="0" w:space="0" w:color="auto"/>
            <w:left w:val="none" w:sz="0" w:space="0" w:color="auto"/>
            <w:bottom w:val="none" w:sz="0" w:space="0" w:color="auto"/>
            <w:right w:val="none" w:sz="0" w:space="0" w:color="auto"/>
          </w:divBdr>
        </w:div>
        <w:div w:id="727654025">
          <w:marLeft w:val="0"/>
          <w:marRight w:val="0"/>
          <w:marTop w:val="0"/>
          <w:marBottom w:val="0"/>
          <w:divBdr>
            <w:top w:val="none" w:sz="0" w:space="0" w:color="auto"/>
            <w:left w:val="none" w:sz="0" w:space="0" w:color="auto"/>
            <w:bottom w:val="none" w:sz="0" w:space="0" w:color="auto"/>
            <w:right w:val="none" w:sz="0" w:space="0" w:color="auto"/>
          </w:divBdr>
        </w:div>
        <w:div w:id="734930971">
          <w:marLeft w:val="0"/>
          <w:marRight w:val="0"/>
          <w:marTop w:val="0"/>
          <w:marBottom w:val="0"/>
          <w:divBdr>
            <w:top w:val="none" w:sz="0" w:space="0" w:color="auto"/>
            <w:left w:val="none" w:sz="0" w:space="0" w:color="auto"/>
            <w:bottom w:val="none" w:sz="0" w:space="0" w:color="auto"/>
            <w:right w:val="none" w:sz="0" w:space="0" w:color="auto"/>
          </w:divBdr>
        </w:div>
        <w:div w:id="745804512">
          <w:marLeft w:val="0"/>
          <w:marRight w:val="0"/>
          <w:marTop w:val="0"/>
          <w:marBottom w:val="0"/>
          <w:divBdr>
            <w:top w:val="none" w:sz="0" w:space="0" w:color="auto"/>
            <w:left w:val="none" w:sz="0" w:space="0" w:color="auto"/>
            <w:bottom w:val="none" w:sz="0" w:space="0" w:color="auto"/>
            <w:right w:val="none" w:sz="0" w:space="0" w:color="auto"/>
          </w:divBdr>
        </w:div>
        <w:div w:id="774449207">
          <w:marLeft w:val="0"/>
          <w:marRight w:val="0"/>
          <w:marTop w:val="0"/>
          <w:marBottom w:val="0"/>
          <w:divBdr>
            <w:top w:val="none" w:sz="0" w:space="0" w:color="auto"/>
            <w:left w:val="none" w:sz="0" w:space="0" w:color="auto"/>
            <w:bottom w:val="none" w:sz="0" w:space="0" w:color="auto"/>
            <w:right w:val="none" w:sz="0" w:space="0" w:color="auto"/>
          </w:divBdr>
        </w:div>
        <w:div w:id="782846721">
          <w:marLeft w:val="0"/>
          <w:marRight w:val="0"/>
          <w:marTop w:val="0"/>
          <w:marBottom w:val="0"/>
          <w:divBdr>
            <w:top w:val="none" w:sz="0" w:space="0" w:color="auto"/>
            <w:left w:val="none" w:sz="0" w:space="0" w:color="auto"/>
            <w:bottom w:val="none" w:sz="0" w:space="0" w:color="auto"/>
            <w:right w:val="none" w:sz="0" w:space="0" w:color="auto"/>
          </w:divBdr>
        </w:div>
        <w:div w:id="809320385">
          <w:marLeft w:val="0"/>
          <w:marRight w:val="0"/>
          <w:marTop w:val="0"/>
          <w:marBottom w:val="0"/>
          <w:divBdr>
            <w:top w:val="none" w:sz="0" w:space="0" w:color="auto"/>
            <w:left w:val="none" w:sz="0" w:space="0" w:color="auto"/>
            <w:bottom w:val="none" w:sz="0" w:space="0" w:color="auto"/>
            <w:right w:val="none" w:sz="0" w:space="0" w:color="auto"/>
          </w:divBdr>
        </w:div>
        <w:div w:id="821849173">
          <w:marLeft w:val="0"/>
          <w:marRight w:val="0"/>
          <w:marTop w:val="0"/>
          <w:marBottom w:val="0"/>
          <w:divBdr>
            <w:top w:val="none" w:sz="0" w:space="0" w:color="auto"/>
            <w:left w:val="none" w:sz="0" w:space="0" w:color="auto"/>
            <w:bottom w:val="none" w:sz="0" w:space="0" w:color="auto"/>
            <w:right w:val="none" w:sz="0" w:space="0" w:color="auto"/>
          </w:divBdr>
        </w:div>
        <w:div w:id="830104198">
          <w:marLeft w:val="0"/>
          <w:marRight w:val="0"/>
          <w:marTop w:val="0"/>
          <w:marBottom w:val="0"/>
          <w:divBdr>
            <w:top w:val="none" w:sz="0" w:space="0" w:color="auto"/>
            <w:left w:val="none" w:sz="0" w:space="0" w:color="auto"/>
            <w:bottom w:val="none" w:sz="0" w:space="0" w:color="auto"/>
            <w:right w:val="none" w:sz="0" w:space="0" w:color="auto"/>
          </w:divBdr>
        </w:div>
        <w:div w:id="855509441">
          <w:marLeft w:val="0"/>
          <w:marRight w:val="0"/>
          <w:marTop w:val="0"/>
          <w:marBottom w:val="0"/>
          <w:divBdr>
            <w:top w:val="none" w:sz="0" w:space="0" w:color="auto"/>
            <w:left w:val="none" w:sz="0" w:space="0" w:color="auto"/>
            <w:bottom w:val="none" w:sz="0" w:space="0" w:color="auto"/>
            <w:right w:val="none" w:sz="0" w:space="0" w:color="auto"/>
          </w:divBdr>
        </w:div>
        <w:div w:id="855775617">
          <w:marLeft w:val="0"/>
          <w:marRight w:val="0"/>
          <w:marTop w:val="0"/>
          <w:marBottom w:val="0"/>
          <w:divBdr>
            <w:top w:val="none" w:sz="0" w:space="0" w:color="auto"/>
            <w:left w:val="none" w:sz="0" w:space="0" w:color="auto"/>
            <w:bottom w:val="none" w:sz="0" w:space="0" w:color="auto"/>
            <w:right w:val="none" w:sz="0" w:space="0" w:color="auto"/>
          </w:divBdr>
        </w:div>
        <w:div w:id="874971408">
          <w:marLeft w:val="0"/>
          <w:marRight w:val="0"/>
          <w:marTop w:val="0"/>
          <w:marBottom w:val="0"/>
          <w:divBdr>
            <w:top w:val="none" w:sz="0" w:space="0" w:color="auto"/>
            <w:left w:val="none" w:sz="0" w:space="0" w:color="auto"/>
            <w:bottom w:val="none" w:sz="0" w:space="0" w:color="auto"/>
            <w:right w:val="none" w:sz="0" w:space="0" w:color="auto"/>
          </w:divBdr>
        </w:div>
        <w:div w:id="889269440">
          <w:marLeft w:val="0"/>
          <w:marRight w:val="0"/>
          <w:marTop w:val="0"/>
          <w:marBottom w:val="0"/>
          <w:divBdr>
            <w:top w:val="none" w:sz="0" w:space="0" w:color="auto"/>
            <w:left w:val="none" w:sz="0" w:space="0" w:color="auto"/>
            <w:bottom w:val="none" w:sz="0" w:space="0" w:color="auto"/>
            <w:right w:val="none" w:sz="0" w:space="0" w:color="auto"/>
          </w:divBdr>
        </w:div>
        <w:div w:id="912013275">
          <w:marLeft w:val="0"/>
          <w:marRight w:val="0"/>
          <w:marTop w:val="0"/>
          <w:marBottom w:val="0"/>
          <w:divBdr>
            <w:top w:val="none" w:sz="0" w:space="0" w:color="auto"/>
            <w:left w:val="none" w:sz="0" w:space="0" w:color="auto"/>
            <w:bottom w:val="none" w:sz="0" w:space="0" w:color="auto"/>
            <w:right w:val="none" w:sz="0" w:space="0" w:color="auto"/>
          </w:divBdr>
        </w:div>
        <w:div w:id="915826173">
          <w:marLeft w:val="0"/>
          <w:marRight w:val="0"/>
          <w:marTop w:val="0"/>
          <w:marBottom w:val="0"/>
          <w:divBdr>
            <w:top w:val="none" w:sz="0" w:space="0" w:color="auto"/>
            <w:left w:val="none" w:sz="0" w:space="0" w:color="auto"/>
            <w:bottom w:val="none" w:sz="0" w:space="0" w:color="auto"/>
            <w:right w:val="none" w:sz="0" w:space="0" w:color="auto"/>
          </w:divBdr>
        </w:div>
        <w:div w:id="942490248">
          <w:marLeft w:val="0"/>
          <w:marRight w:val="0"/>
          <w:marTop w:val="0"/>
          <w:marBottom w:val="0"/>
          <w:divBdr>
            <w:top w:val="none" w:sz="0" w:space="0" w:color="auto"/>
            <w:left w:val="none" w:sz="0" w:space="0" w:color="auto"/>
            <w:bottom w:val="none" w:sz="0" w:space="0" w:color="auto"/>
            <w:right w:val="none" w:sz="0" w:space="0" w:color="auto"/>
          </w:divBdr>
        </w:div>
        <w:div w:id="1020202469">
          <w:marLeft w:val="0"/>
          <w:marRight w:val="0"/>
          <w:marTop w:val="0"/>
          <w:marBottom w:val="0"/>
          <w:divBdr>
            <w:top w:val="none" w:sz="0" w:space="0" w:color="auto"/>
            <w:left w:val="none" w:sz="0" w:space="0" w:color="auto"/>
            <w:bottom w:val="none" w:sz="0" w:space="0" w:color="auto"/>
            <w:right w:val="none" w:sz="0" w:space="0" w:color="auto"/>
          </w:divBdr>
        </w:div>
        <w:div w:id="1027174587">
          <w:marLeft w:val="0"/>
          <w:marRight w:val="0"/>
          <w:marTop w:val="0"/>
          <w:marBottom w:val="0"/>
          <w:divBdr>
            <w:top w:val="none" w:sz="0" w:space="0" w:color="auto"/>
            <w:left w:val="none" w:sz="0" w:space="0" w:color="auto"/>
            <w:bottom w:val="none" w:sz="0" w:space="0" w:color="auto"/>
            <w:right w:val="none" w:sz="0" w:space="0" w:color="auto"/>
          </w:divBdr>
        </w:div>
        <w:div w:id="1028726459">
          <w:marLeft w:val="0"/>
          <w:marRight w:val="0"/>
          <w:marTop w:val="0"/>
          <w:marBottom w:val="0"/>
          <w:divBdr>
            <w:top w:val="none" w:sz="0" w:space="0" w:color="auto"/>
            <w:left w:val="none" w:sz="0" w:space="0" w:color="auto"/>
            <w:bottom w:val="none" w:sz="0" w:space="0" w:color="auto"/>
            <w:right w:val="none" w:sz="0" w:space="0" w:color="auto"/>
          </w:divBdr>
        </w:div>
        <w:div w:id="1036349512">
          <w:marLeft w:val="0"/>
          <w:marRight w:val="0"/>
          <w:marTop w:val="0"/>
          <w:marBottom w:val="0"/>
          <w:divBdr>
            <w:top w:val="none" w:sz="0" w:space="0" w:color="auto"/>
            <w:left w:val="none" w:sz="0" w:space="0" w:color="auto"/>
            <w:bottom w:val="none" w:sz="0" w:space="0" w:color="auto"/>
            <w:right w:val="none" w:sz="0" w:space="0" w:color="auto"/>
          </w:divBdr>
        </w:div>
        <w:div w:id="1048454220">
          <w:marLeft w:val="0"/>
          <w:marRight w:val="0"/>
          <w:marTop w:val="0"/>
          <w:marBottom w:val="0"/>
          <w:divBdr>
            <w:top w:val="none" w:sz="0" w:space="0" w:color="auto"/>
            <w:left w:val="none" w:sz="0" w:space="0" w:color="auto"/>
            <w:bottom w:val="none" w:sz="0" w:space="0" w:color="auto"/>
            <w:right w:val="none" w:sz="0" w:space="0" w:color="auto"/>
          </w:divBdr>
        </w:div>
        <w:div w:id="1054701370">
          <w:marLeft w:val="0"/>
          <w:marRight w:val="0"/>
          <w:marTop w:val="0"/>
          <w:marBottom w:val="0"/>
          <w:divBdr>
            <w:top w:val="none" w:sz="0" w:space="0" w:color="auto"/>
            <w:left w:val="none" w:sz="0" w:space="0" w:color="auto"/>
            <w:bottom w:val="none" w:sz="0" w:space="0" w:color="auto"/>
            <w:right w:val="none" w:sz="0" w:space="0" w:color="auto"/>
          </w:divBdr>
        </w:div>
        <w:div w:id="1069645506">
          <w:marLeft w:val="0"/>
          <w:marRight w:val="0"/>
          <w:marTop w:val="0"/>
          <w:marBottom w:val="0"/>
          <w:divBdr>
            <w:top w:val="none" w:sz="0" w:space="0" w:color="auto"/>
            <w:left w:val="none" w:sz="0" w:space="0" w:color="auto"/>
            <w:bottom w:val="none" w:sz="0" w:space="0" w:color="auto"/>
            <w:right w:val="none" w:sz="0" w:space="0" w:color="auto"/>
          </w:divBdr>
        </w:div>
        <w:div w:id="1072628731">
          <w:marLeft w:val="0"/>
          <w:marRight w:val="0"/>
          <w:marTop w:val="0"/>
          <w:marBottom w:val="0"/>
          <w:divBdr>
            <w:top w:val="none" w:sz="0" w:space="0" w:color="auto"/>
            <w:left w:val="none" w:sz="0" w:space="0" w:color="auto"/>
            <w:bottom w:val="none" w:sz="0" w:space="0" w:color="auto"/>
            <w:right w:val="none" w:sz="0" w:space="0" w:color="auto"/>
          </w:divBdr>
        </w:div>
        <w:div w:id="1077628860">
          <w:marLeft w:val="0"/>
          <w:marRight w:val="0"/>
          <w:marTop w:val="0"/>
          <w:marBottom w:val="0"/>
          <w:divBdr>
            <w:top w:val="none" w:sz="0" w:space="0" w:color="auto"/>
            <w:left w:val="none" w:sz="0" w:space="0" w:color="auto"/>
            <w:bottom w:val="none" w:sz="0" w:space="0" w:color="auto"/>
            <w:right w:val="none" w:sz="0" w:space="0" w:color="auto"/>
          </w:divBdr>
        </w:div>
        <w:div w:id="1084455200">
          <w:marLeft w:val="0"/>
          <w:marRight w:val="0"/>
          <w:marTop w:val="0"/>
          <w:marBottom w:val="0"/>
          <w:divBdr>
            <w:top w:val="none" w:sz="0" w:space="0" w:color="auto"/>
            <w:left w:val="none" w:sz="0" w:space="0" w:color="auto"/>
            <w:bottom w:val="none" w:sz="0" w:space="0" w:color="auto"/>
            <w:right w:val="none" w:sz="0" w:space="0" w:color="auto"/>
          </w:divBdr>
        </w:div>
        <w:div w:id="1104492873">
          <w:marLeft w:val="0"/>
          <w:marRight w:val="0"/>
          <w:marTop w:val="0"/>
          <w:marBottom w:val="0"/>
          <w:divBdr>
            <w:top w:val="none" w:sz="0" w:space="0" w:color="auto"/>
            <w:left w:val="none" w:sz="0" w:space="0" w:color="auto"/>
            <w:bottom w:val="none" w:sz="0" w:space="0" w:color="auto"/>
            <w:right w:val="none" w:sz="0" w:space="0" w:color="auto"/>
          </w:divBdr>
        </w:div>
        <w:div w:id="1111054157">
          <w:marLeft w:val="0"/>
          <w:marRight w:val="0"/>
          <w:marTop w:val="0"/>
          <w:marBottom w:val="0"/>
          <w:divBdr>
            <w:top w:val="none" w:sz="0" w:space="0" w:color="auto"/>
            <w:left w:val="none" w:sz="0" w:space="0" w:color="auto"/>
            <w:bottom w:val="none" w:sz="0" w:space="0" w:color="auto"/>
            <w:right w:val="none" w:sz="0" w:space="0" w:color="auto"/>
          </w:divBdr>
        </w:div>
        <w:div w:id="1144466265">
          <w:marLeft w:val="0"/>
          <w:marRight w:val="0"/>
          <w:marTop w:val="0"/>
          <w:marBottom w:val="0"/>
          <w:divBdr>
            <w:top w:val="none" w:sz="0" w:space="0" w:color="auto"/>
            <w:left w:val="none" w:sz="0" w:space="0" w:color="auto"/>
            <w:bottom w:val="none" w:sz="0" w:space="0" w:color="auto"/>
            <w:right w:val="none" w:sz="0" w:space="0" w:color="auto"/>
          </w:divBdr>
        </w:div>
        <w:div w:id="1182553770">
          <w:marLeft w:val="0"/>
          <w:marRight w:val="0"/>
          <w:marTop w:val="0"/>
          <w:marBottom w:val="0"/>
          <w:divBdr>
            <w:top w:val="none" w:sz="0" w:space="0" w:color="auto"/>
            <w:left w:val="none" w:sz="0" w:space="0" w:color="auto"/>
            <w:bottom w:val="none" w:sz="0" w:space="0" w:color="auto"/>
            <w:right w:val="none" w:sz="0" w:space="0" w:color="auto"/>
          </w:divBdr>
        </w:div>
        <w:div w:id="1195194534">
          <w:marLeft w:val="0"/>
          <w:marRight w:val="0"/>
          <w:marTop w:val="0"/>
          <w:marBottom w:val="0"/>
          <w:divBdr>
            <w:top w:val="none" w:sz="0" w:space="0" w:color="auto"/>
            <w:left w:val="none" w:sz="0" w:space="0" w:color="auto"/>
            <w:bottom w:val="none" w:sz="0" w:space="0" w:color="auto"/>
            <w:right w:val="none" w:sz="0" w:space="0" w:color="auto"/>
          </w:divBdr>
        </w:div>
        <w:div w:id="1196234809">
          <w:marLeft w:val="0"/>
          <w:marRight w:val="0"/>
          <w:marTop w:val="0"/>
          <w:marBottom w:val="0"/>
          <w:divBdr>
            <w:top w:val="none" w:sz="0" w:space="0" w:color="auto"/>
            <w:left w:val="none" w:sz="0" w:space="0" w:color="auto"/>
            <w:bottom w:val="none" w:sz="0" w:space="0" w:color="auto"/>
            <w:right w:val="none" w:sz="0" w:space="0" w:color="auto"/>
          </w:divBdr>
        </w:div>
        <w:div w:id="1227180810">
          <w:marLeft w:val="0"/>
          <w:marRight w:val="0"/>
          <w:marTop w:val="0"/>
          <w:marBottom w:val="0"/>
          <w:divBdr>
            <w:top w:val="none" w:sz="0" w:space="0" w:color="auto"/>
            <w:left w:val="none" w:sz="0" w:space="0" w:color="auto"/>
            <w:bottom w:val="none" w:sz="0" w:space="0" w:color="auto"/>
            <w:right w:val="none" w:sz="0" w:space="0" w:color="auto"/>
          </w:divBdr>
        </w:div>
        <w:div w:id="1231160814">
          <w:marLeft w:val="0"/>
          <w:marRight w:val="0"/>
          <w:marTop w:val="0"/>
          <w:marBottom w:val="0"/>
          <w:divBdr>
            <w:top w:val="none" w:sz="0" w:space="0" w:color="auto"/>
            <w:left w:val="none" w:sz="0" w:space="0" w:color="auto"/>
            <w:bottom w:val="none" w:sz="0" w:space="0" w:color="auto"/>
            <w:right w:val="none" w:sz="0" w:space="0" w:color="auto"/>
          </w:divBdr>
        </w:div>
        <w:div w:id="1231577858">
          <w:marLeft w:val="0"/>
          <w:marRight w:val="0"/>
          <w:marTop w:val="0"/>
          <w:marBottom w:val="0"/>
          <w:divBdr>
            <w:top w:val="none" w:sz="0" w:space="0" w:color="auto"/>
            <w:left w:val="none" w:sz="0" w:space="0" w:color="auto"/>
            <w:bottom w:val="none" w:sz="0" w:space="0" w:color="auto"/>
            <w:right w:val="none" w:sz="0" w:space="0" w:color="auto"/>
          </w:divBdr>
        </w:div>
        <w:div w:id="1232083247">
          <w:marLeft w:val="0"/>
          <w:marRight w:val="0"/>
          <w:marTop w:val="0"/>
          <w:marBottom w:val="0"/>
          <w:divBdr>
            <w:top w:val="none" w:sz="0" w:space="0" w:color="auto"/>
            <w:left w:val="none" w:sz="0" w:space="0" w:color="auto"/>
            <w:bottom w:val="none" w:sz="0" w:space="0" w:color="auto"/>
            <w:right w:val="none" w:sz="0" w:space="0" w:color="auto"/>
          </w:divBdr>
        </w:div>
        <w:div w:id="1252083270">
          <w:marLeft w:val="0"/>
          <w:marRight w:val="0"/>
          <w:marTop w:val="0"/>
          <w:marBottom w:val="0"/>
          <w:divBdr>
            <w:top w:val="none" w:sz="0" w:space="0" w:color="auto"/>
            <w:left w:val="none" w:sz="0" w:space="0" w:color="auto"/>
            <w:bottom w:val="none" w:sz="0" w:space="0" w:color="auto"/>
            <w:right w:val="none" w:sz="0" w:space="0" w:color="auto"/>
          </w:divBdr>
        </w:div>
        <w:div w:id="1263075417">
          <w:marLeft w:val="0"/>
          <w:marRight w:val="0"/>
          <w:marTop w:val="0"/>
          <w:marBottom w:val="0"/>
          <w:divBdr>
            <w:top w:val="none" w:sz="0" w:space="0" w:color="auto"/>
            <w:left w:val="none" w:sz="0" w:space="0" w:color="auto"/>
            <w:bottom w:val="none" w:sz="0" w:space="0" w:color="auto"/>
            <w:right w:val="none" w:sz="0" w:space="0" w:color="auto"/>
          </w:divBdr>
        </w:div>
        <w:div w:id="1263103680">
          <w:marLeft w:val="0"/>
          <w:marRight w:val="0"/>
          <w:marTop w:val="0"/>
          <w:marBottom w:val="0"/>
          <w:divBdr>
            <w:top w:val="none" w:sz="0" w:space="0" w:color="auto"/>
            <w:left w:val="none" w:sz="0" w:space="0" w:color="auto"/>
            <w:bottom w:val="none" w:sz="0" w:space="0" w:color="auto"/>
            <w:right w:val="none" w:sz="0" w:space="0" w:color="auto"/>
          </w:divBdr>
        </w:div>
        <w:div w:id="1270041281">
          <w:marLeft w:val="0"/>
          <w:marRight w:val="0"/>
          <w:marTop w:val="0"/>
          <w:marBottom w:val="0"/>
          <w:divBdr>
            <w:top w:val="none" w:sz="0" w:space="0" w:color="auto"/>
            <w:left w:val="none" w:sz="0" w:space="0" w:color="auto"/>
            <w:bottom w:val="none" w:sz="0" w:space="0" w:color="auto"/>
            <w:right w:val="none" w:sz="0" w:space="0" w:color="auto"/>
          </w:divBdr>
        </w:div>
        <w:div w:id="1311206139">
          <w:marLeft w:val="0"/>
          <w:marRight w:val="0"/>
          <w:marTop w:val="0"/>
          <w:marBottom w:val="0"/>
          <w:divBdr>
            <w:top w:val="none" w:sz="0" w:space="0" w:color="auto"/>
            <w:left w:val="none" w:sz="0" w:space="0" w:color="auto"/>
            <w:bottom w:val="none" w:sz="0" w:space="0" w:color="auto"/>
            <w:right w:val="none" w:sz="0" w:space="0" w:color="auto"/>
          </w:divBdr>
        </w:div>
        <w:div w:id="1312636245">
          <w:marLeft w:val="0"/>
          <w:marRight w:val="0"/>
          <w:marTop w:val="0"/>
          <w:marBottom w:val="0"/>
          <w:divBdr>
            <w:top w:val="none" w:sz="0" w:space="0" w:color="auto"/>
            <w:left w:val="none" w:sz="0" w:space="0" w:color="auto"/>
            <w:bottom w:val="none" w:sz="0" w:space="0" w:color="auto"/>
            <w:right w:val="none" w:sz="0" w:space="0" w:color="auto"/>
          </w:divBdr>
        </w:div>
        <w:div w:id="1317153038">
          <w:marLeft w:val="0"/>
          <w:marRight w:val="0"/>
          <w:marTop w:val="0"/>
          <w:marBottom w:val="0"/>
          <w:divBdr>
            <w:top w:val="none" w:sz="0" w:space="0" w:color="auto"/>
            <w:left w:val="none" w:sz="0" w:space="0" w:color="auto"/>
            <w:bottom w:val="none" w:sz="0" w:space="0" w:color="auto"/>
            <w:right w:val="none" w:sz="0" w:space="0" w:color="auto"/>
          </w:divBdr>
        </w:div>
        <w:div w:id="1320379424">
          <w:marLeft w:val="0"/>
          <w:marRight w:val="0"/>
          <w:marTop w:val="0"/>
          <w:marBottom w:val="0"/>
          <w:divBdr>
            <w:top w:val="none" w:sz="0" w:space="0" w:color="auto"/>
            <w:left w:val="none" w:sz="0" w:space="0" w:color="auto"/>
            <w:bottom w:val="none" w:sz="0" w:space="0" w:color="auto"/>
            <w:right w:val="none" w:sz="0" w:space="0" w:color="auto"/>
          </w:divBdr>
        </w:div>
        <w:div w:id="1332299585">
          <w:marLeft w:val="0"/>
          <w:marRight w:val="0"/>
          <w:marTop w:val="0"/>
          <w:marBottom w:val="0"/>
          <w:divBdr>
            <w:top w:val="none" w:sz="0" w:space="0" w:color="auto"/>
            <w:left w:val="none" w:sz="0" w:space="0" w:color="auto"/>
            <w:bottom w:val="none" w:sz="0" w:space="0" w:color="auto"/>
            <w:right w:val="none" w:sz="0" w:space="0" w:color="auto"/>
          </w:divBdr>
        </w:div>
        <w:div w:id="1336569802">
          <w:marLeft w:val="0"/>
          <w:marRight w:val="0"/>
          <w:marTop w:val="0"/>
          <w:marBottom w:val="0"/>
          <w:divBdr>
            <w:top w:val="none" w:sz="0" w:space="0" w:color="auto"/>
            <w:left w:val="none" w:sz="0" w:space="0" w:color="auto"/>
            <w:bottom w:val="none" w:sz="0" w:space="0" w:color="auto"/>
            <w:right w:val="none" w:sz="0" w:space="0" w:color="auto"/>
          </w:divBdr>
        </w:div>
        <w:div w:id="1355232279">
          <w:marLeft w:val="0"/>
          <w:marRight w:val="0"/>
          <w:marTop w:val="0"/>
          <w:marBottom w:val="0"/>
          <w:divBdr>
            <w:top w:val="none" w:sz="0" w:space="0" w:color="auto"/>
            <w:left w:val="none" w:sz="0" w:space="0" w:color="auto"/>
            <w:bottom w:val="none" w:sz="0" w:space="0" w:color="auto"/>
            <w:right w:val="none" w:sz="0" w:space="0" w:color="auto"/>
          </w:divBdr>
        </w:div>
        <w:div w:id="1373262800">
          <w:marLeft w:val="0"/>
          <w:marRight w:val="0"/>
          <w:marTop w:val="0"/>
          <w:marBottom w:val="0"/>
          <w:divBdr>
            <w:top w:val="none" w:sz="0" w:space="0" w:color="auto"/>
            <w:left w:val="none" w:sz="0" w:space="0" w:color="auto"/>
            <w:bottom w:val="none" w:sz="0" w:space="0" w:color="auto"/>
            <w:right w:val="none" w:sz="0" w:space="0" w:color="auto"/>
          </w:divBdr>
        </w:div>
        <w:div w:id="1395736511">
          <w:marLeft w:val="0"/>
          <w:marRight w:val="0"/>
          <w:marTop w:val="0"/>
          <w:marBottom w:val="0"/>
          <w:divBdr>
            <w:top w:val="none" w:sz="0" w:space="0" w:color="auto"/>
            <w:left w:val="none" w:sz="0" w:space="0" w:color="auto"/>
            <w:bottom w:val="none" w:sz="0" w:space="0" w:color="auto"/>
            <w:right w:val="none" w:sz="0" w:space="0" w:color="auto"/>
          </w:divBdr>
        </w:div>
        <w:div w:id="1399090123">
          <w:marLeft w:val="0"/>
          <w:marRight w:val="0"/>
          <w:marTop w:val="0"/>
          <w:marBottom w:val="0"/>
          <w:divBdr>
            <w:top w:val="none" w:sz="0" w:space="0" w:color="auto"/>
            <w:left w:val="none" w:sz="0" w:space="0" w:color="auto"/>
            <w:bottom w:val="none" w:sz="0" w:space="0" w:color="auto"/>
            <w:right w:val="none" w:sz="0" w:space="0" w:color="auto"/>
          </w:divBdr>
        </w:div>
        <w:div w:id="1403529305">
          <w:marLeft w:val="0"/>
          <w:marRight w:val="0"/>
          <w:marTop w:val="0"/>
          <w:marBottom w:val="0"/>
          <w:divBdr>
            <w:top w:val="none" w:sz="0" w:space="0" w:color="auto"/>
            <w:left w:val="none" w:sz="0" w:space="0" w:color="auto"/>
            <w:bottom w:val="none" w:sz="0" w:space="0" w:color="auto"/>
            <w:right w:val="none" w:sz="0" w:space="0" w:color="auto"/>
          </w:divBdr>
        </w:div>
        <w:div w:id="1409840351">
          <w:marLeft w:val="0"/>
          <w:marRight w:val="0"/>
          <w:marTop w:val="0"/>
          <w:marBottom w:val="0"/>
          <w:divBdr>
            <w:top w:val="none" w:sz="0" w:space="0" w:color="auto"/>
            <w:left w:val="none" w:sz="0" w:space="0" w:color="auto"/>
            <w:bottom w:val="none" w:sz="0" w:space="0" w:color="auto"/>
            <w:right w:val="none" w:sz="0" w:space="0" w:color="auto"/>
          </w:divBdr>
        </w:div>
        <w:div w:id="1424304678">
          <w:marLeft w:val="0"/>
          <w:marRight w:val="0"/>
          <w:marTop w:val="0"/>
          <w:marBottom w:val="0"/>
          <w:divBdr>
            <w:top w:val="none" w:sz="0" w:space="0" w:color="auto"/>
            <w:left w:val="none" w:sz="0" w:space="0" w:color="auto"/>
            <w:bottom w:val="none" w:sz="0" w:space="0" w:color="auto"/>
            <w:right w:val="none" w:sz="0" w:space="0" w:color="auto"/>
          </w:divBdr>
        </w:div>
        <w:div w:id="1448356779">
          <w:marLeft w:val="0"/>
          <w:marRight w:val="0"/>
          <w:marTop w:val="0"/>
          <w:marBottom w:val="0"/>
          <w:divBdr>
            <w:top w:val="none" w:sz="0" w:space="0" w:color="auto"/>
            <w:left w:val="none" w:sz="0" w:space="0" w:color="auto"/>
            <w:bottom w:val="none" w:sz="0" w:space="0" w:color="auto"/>
            <w:right w:val="none" w:sz="0" w:space="0" w:color="auto"/>
          </w:divBdr>
        </w:div>
        <w:div w:id="1466385640">
          <w:marLeft w:val="0"/>
          <w:marRight w:val="0"/>
          <w:marTop w:val="0"/>
          <w:marBottom w:val="0"/>
          <w:divBdr>
            <w:top w:val="none" w:sz="0" w:space="0" w:color="auto"/>
            <w:left w:val="none" w:sz="0" w:space="0" w:color="auto"/>
            <w:bottom w:val="none" w:sz="0" w:space="0" w:color="auto"/>
            <w:right w:val="none" w:sz="0" w:space="0" w:color="auto"/>
          </w:divBdr>
        </w:div>
        <w:div w:id="1466461953">
          <w:marLeft w:val="0"/>
          <w:marRight w:val="0"/>
          <w:marTop w:val="0"/>
          <w:marBottom w:val="0"/>
          <w:divBdr>
            <w:top w:val="none" w:sz="0" w:space="0" w:color="auto"/>
            <w:left w:val="none" w:sz="0" w:space="0" w:color="auto"/>
            <w:bottom w:val="none" w:sz="0" w:space="0" w:color="auto"/>
            <w:right w:val="none" w:sz="0" w:space="0" w:color="auto"/>
          </w:divBdr>
        </w:div>
        <w:div w:id="1476029304">
          <w:marLeft w:val="0"/>
          <w:marRight w:val="0"/>
          <w:marTop w:val="0"/>
          <w:marBottom w:val="0"/>
          <w:divBdr>
            <w:top w:val="none" w:sz="0" w:space="0" w:color="auto"/>
            <w:left w:val="none" w:sz="0" w:space="0" w:color="auto"/>
            <w:bottom w:val="none" w:sz="0" w:space="0" w:color="auto"/>
            <w:right w:val="none" w:sz="0" w:space="0" w:color="auto"/>
          </w:divBdr>
        </w:div>
        <w:div w:id="1535341325">
          <w:marLeft w:val="0"/>
          <w:marRight w:val="0"/>
          <w:marTop w:val="0"/>
          <w:marBottom w:val="0"/>
          <w:divBdr>
            <w:top w:val="none" w:sz="0" w:space="0" w:color="auto"/>
            <w:left w:val="none" w:sz="0" w:space="0" w:color="auto"/>
            <w:bottom w:val="none" w:sz="0" w:space="0" w:color="auto"/>
            <w:right w:val="none" w:sz="0" w:space="0" w:color="auto"/>
          </w:divBdr>
        </w:div>
        <w:div w:id="1540630206">
          <w:marLeft w:val="0"/>
          <w:marRight w:val="0"/>
          <w:marTop w:val="0"/>
          <w:marBottom w:val="0"/>
          <w:divBdr>
            <w:top w:val="none" w:sz="0" w:space="0" w:color="auto"/>
            <w:left w:val="none" w:sz="0" w:space="0" w:color="auto"/>
            <w:bottom w:val="none" w:sz="0" w:space="0" w:color="auto"/>
            <w:right w:val="none" w:sz="0" w:space="0" w:color="auto"/>
          </w:divBdr>
        </w:div>
        <w:div w:id="1561593340">
          <w:marLeft w:val="0"/>
          <w:marRight w:val="0"/>
          <w:marTop w:val="0"/>
          <w:marBottom w:val="0"/>
          <w:divBdr>
            <w:top w:val="none" w:sz="0" w:space="0" w:color="auto"/>
            <w:left w:val="none" w:sz="0" w:space="0" w:color="auto"/>
            <w:bottom w:val="none" w:sz="0" w:space="0" w:color="auto"/>
            <w:right w:val="none" w:sz="0" w:space="0" w:color="auto"/>
          </w:divBdr>
        </w:div>
        <w:div w:id="1573152292">
          <w:marLeft w:val="0"/>
          <w:marRight w:val="0"/>
          <w:marTop w:val="0"/>
          <w:marBottom w:val="0"/>
          <w:divBdr>
            <w:top w:val="none" w:sz="0" w:space="0" w:color="auto"/>
            <w:left w:val="none" w:sz="0" w:space="0" w:color="auto"/>
            <w:bottom w:val="none" w:sz="0" w:space="0" w:color="auto"/>
            <w:right w:val="none" w:sz="0" w:space="0" w:color="auto"/>
          </w:divBdr>
        </w:div>
        <w:div w:id="1575355762">
          <w:marLeft w:val="0"/>
          <w:marRight w:val="0"/>
          <w:marTop w:val="0"/>
          <w:marBottom w:val="0"/>
          <w:divBdr>
            <w:top w:val="none" w:sz="0" w:space="0" w:color="auto"/>
            <w:left w:val="none" w:sz="0" w:space="0" w:color="auto"/>
            <w:bottom w:val="none" w:sz="0" w:space="0" w:color="auto"/>
            <w:right w:val="none" w:sz="0" w:space="0" w:color="auto"/>
          </w:divBdr>
        </w:div>
        <w:div w:id="1580561232">
          <w:marLeft w:val="0"/>
          <w:marRight w:val="0"/>
          <w:marTop w:val="0"/>
          <w:marBottom w:val="0"/>
          <w:divBdr>
            <w:top w:val="none" w:sz="0" w:space="0" w:color="auto"/>
            <w:left w:val="none" w:sz="0" w:space="0" w:color="auto"/>
            <w:bottom w:val="none" w:sz="0" w:space="0" w:color="auto"/>
            <w:right w:val="none" w:sz="0" w:space="0" w:color="auto"/>
          </w:divBdr>
        </w:div>
        <w:div w:id="1582643832">
          <w:marLeft w:val="0"/>
          <w:marRight w:val="0"/>
          <w:marTop w:val="0"/>
          <w:marBottom w:val="0"/>
          <w:divBdr>
            <w:top w:val="none" w:sz="0" w:space="0" w:color="auto"/>
            <w:left w:val="none" w:sz="0" w:space="0" w:color="auto"/>
            <w:bottom w:val="none" w:sz="0" w:space="0" w:color="auto"/>
            <w:right w:val="none" w:sz="0" w:space="0" w:color="auto"/>
          </w:divBdr>
        </w:div>
        <w:div w:id="1584532588">
          <w:marLeft w:val="0"/>
          <w:marRight w:val="0"/>
          <w:marTop w:val="0"/>
          <w:marBottom w:val="0"/>
          <w:divBdr>
            <w:top w:val="none" w:sz="0" w:space="0" w:color="auto"/>
            <w:left w:val="none" w:sz="0" w:space="0" w:color="auto"/>
            <w:bottom w:val="none" w:sz="0" w:space="0" w:color="auto"/>
            <w:right w:val="none" w:sz="0" w:space="0" w:color="auto"/>
          </w:divBdr>
        </w:div>
        <w:div w:id="1610579796">
          <w:marLeft w:val="0"/>
          <w:marRight w:val="0"/>
          <w:marTop w:val="0"/>
          <w:marBottom w:val="0"/>
          <w:divBdr>
            <w:top w:val="none" w:sz="0" w:space="0" w:color="auto"/>
            <w:left w:val="none" w:sz="0" w:space="0" w:color="auto"/>
            <w:bottom w:val="none" w:sz="0" w:space="0" w:color="auto"/>
            <w:right w:val="none" w:sz="0" w:space="0" w:color="auto"/>
          </w:divBdr>
        </w:div>
        <w:div w:id="1612783191">
          <w:marLeft w:val="0"/>
          <w:marRight w:val="0"/>
          <w:marTop w:val="0"/>
          <w:marBottom w:val="0"/>
          <w:divBdr>
            <w:top w:val="none" w:sz="0" w:space="0" w:color="auto"/>
            <w:left w:val="none" w:sz="0" w:space="0" w:color="auto"/>
            <w:bottom w:val="none" w:sz="0" w:space="0" w:color="auto"/>
            <w:right w:val="none" w:sz="0" w:space="0" w:color="auto"/>
          </w:divBdr>
        </w:div>
        <w:div w:id="1621643581">
          <w:marLeft w:val="0"/>
          <w:marRight w:val="0"/>
          <w:marTop w:val="0"/>
          <w:marBottom w:val="0"/>
          <w:divBdr>
            <w:top w:val="none" w:sz="0" w:space="0" w:color="auto"/>
            <w:left w:val="none" w:sz="0" w:space="0" w:color="auto"/>
            <w:bottom w:val="none" w:sz="0" w:space="0" w:color="auto"/>
            <w:right w:val="none" w:sz="0" w:space="0" w:color="auto"/>
          </w:divBdr>
        </w:div>
        <w:div w:id="1646349734">
          <w:marLeft w:val="0"/>
          <w:marRight w:val="0"/>
          <w:marTop w:val="0"/>
          <w:marBottom w:val="0"/>
          <w:divBdr>
            <w:top w:val="none" w:sz="0" w:space="0" w:color="auto"/>
            <w:left w:val="none" w:sz="0" w:space="0" w:color="auto"/>
            <w:bottom w:val="none" w:sz="0" w:space="0" w:color="auto"/>
            <w:right w:val="none" w:sz="0" w:space="0" w:color="auto"/>
          </w:divBdr>
        </w:div>
        <w:div w:id="1652976819">
          <w:marLeft w:val="0"/>
          <w:marRight w:val="0"/>
          <w:marTop w:val="0"/>
          <w:marBottom w:val="0"/>
          <w:divBdr>
            <w:top w:val="none" w:sz="0" w:space="0" w:color="auto"/>
            <w:left w:val="none" w:sz="0" w:space="0" w:color="auto"/>
            <w:bottom w:val="none" w:sz="0" w:space="0" w:color="auto"/>
            <w:right w:val="none" w:sz="0" w:space="0" w:color="auto"/>
          </w:divBdr>
        </w:div>
        <w:div w:id="1655449437">
          <w:marLeft w:val="0"/>
          <w:marRight w:val="0"/>
          <w:marTop w:val="0"/>
          <w:marBottom w:val="0"/>
          <w:divBdr>
            <w:top w:val="none" w:sz="0" w:space="0" w:color="auto"/>
            <w:left w:val="none" w:sz="0" w:space="0" w:color="auto"/>
            <w:bottom w:val="none" w:sz="0" w:space="0" w:color="auto"/>
            <w:right w:val="none" w:sz="0" w:space="0" w:color="auto"/>
          </w:divBdr>
        </w:div>
        <w:div w:id="1659378837">
          <w:marLeft w:val="0"/>
          <w:marRight w:val="0"/>
          <w:marTop w:val="0"/>
          <w:marBottom w:val="0"/>
          <w:divBdr>
            <w:top w:val="none" w:sz="0" w:space="0" w:color="auto"/>
            <w:left w:val="none" w:sz="0" w:space="0" w:color="auto"/>
            <w:bottom w:val="none" w:sz="0" w:space="0" w:color="auto"/>
            <w:right w:val="none" w:sz="0" w:space="0" w:color="auto"/>
          </w:divBdr>
        </w:div>
        <w:div w:id="1666202375">
          <w:marLeft w:val="0"/>
          <w:marRight w:val="0"/>
          <w:marTop w:val="0"/>
          <w:marBottom w:val="0"/>
          <w:divBdr>
            <w:top w:val="none" w:sz="0" w:space="0" w:color="auto"/>
            <w:left w:val="none" w:sz="0" w:space="0" w:color="auto"/>
            <w:bottom w:val="none" w:sz="0" w:space="0" w:color="auto"/>
            <w:right w:val="none" w:sz="0" w:space="0" w:color="auto"/>
          </w:divBdr>
        </w:div>
        <w:div w:id="1668511356">
          <w:marLeft w:val="0"/>
          <w:marRight w:val="0"/>
          <w:marTop w:val="0"/>
          <w:marBottom w:val="0"/>
          <w:divBdr>
            <w:top w:val="none" w:sz="0" w:space="0" w:color="auto"/>
            <w:left w:val="none" w:sz="0" w:space="0" w:color="auto"/>
            <w:bottom w:val="none" w:sz="0" w:space="0" w:color="auto"/>
            <w:right w:val="none" w:sz="0" w:space="0" w:color="auto"/>
          </w:divBdr>
        </w:div>
        <w:div w:id="1694922394">
          <w:marLeft w:val="0"/>
          <w:marRight w:val="0"/>
          <w:marTop w:val="0"/>
          <w:marBottom w:val="0"/>
          <w:divBdr>
            <w:top w:val="none" w:sz="0" w:space="0" w:color="auto"/>
            <w:left w:val="none" w:sz="0" w:space="0" w:color="auto"/>
            <w:bottom w:val="none" w:sz="0" w:space="0" w:color="auto"/>
            <w:right w:val="none" w:sz="0" w:space="0" w:color="auto"/>
          </w:divBdr>
        </w:div>
        <w:div w:id="1696006858">
          <w:marLeft w:val="0"/>
          <w:marRight w:val="0"/>
          <w:marTop w:val="0"/>
          <w:marBottom w:val="0"/>
          <w:divBdr>
            <w:top w:val="none" w:sz="0" w:space="0" w:color="auto"/>
            <w:left w:val="none" w:sz="0" w:space="0" w:color="auto"/>
            <w:bottom w:val="none" w:sz="0" w:space="0" w:color="auto"/>
            <w:right w:val="none" w:sz="0" w:space="0" w:color="auto"/>
          </w:divBdr>
        </w:div>
        <w:div w:id="1697999915">
          <w:marLeft w:val="0"/>
          <w:marRight w:val="0"/>
          <w:marTop w:val="0"/>
          <w:marBottom w:val="0"/>
          <w:divBdr>
            <w:top w:val="none" w:sz="0" w:space="0" w:color="auto"/>
            <w:left w:val="none" w:sz="0" w:space="0" w:color="auto"/>
            <w:bottom w:val="none" w:sz="0" w:space="0" w:color="auto"/>
            <w:right w:val="none" w:sz="0" w:space="0" w:color="auto"/>
          </w:divBdr>
        </w:div>
        <w:div w:id="1714192010">
          <w:marLeft w:val="0"/>
          <w:marRight w:val="0"/>
          <w:marTop w:val="0"/>
          <w:marBottom w:val="0"/>
          <w:divBdr>
            <w:top w:val="none" w:sz="0" w:space="0" w:color="auto"/>
            <w:left w:val="none" w:sz="0" w:space="0" w:color="auto"/>
            <w:bottom w:val="none" w:sz="0" w:space="0" w:color="auto"/>
            <w:right w:val="none" w:sz="0" w:space="0" w:color="auto"/>
          </w:divBdr>
        </w:div>
        <w:div w:id="1759324492">
          <w:marLeft w:val="0"/>
          <w:marRight w:val="0"/>
          <w:marTop w:val="0"/>
          <w:marBottom w:val="0"/>
          <w:divBdr>
            <w:top w:val="none" w:sz="0" w:space="0" w:color="auto"/>
            <w:left w:val="none" w:sz="0" w:space="0" w:color="auto"/>
            <w:bottom w:val="none" w:sz="0" w:space="0" w:color="auto"/>
            <w:right w:val="none" w:sz="0" w:space="0" w:color="auto"/>
          </w:divBdr>
        </w:div>
        <w:div w:id="1760831653">
          <w:marLeft w:val="0"/>
          <w:marRight w:val="0"/>
          <w:marTop w:val="0"/>
          <w:marBottom w:val="0"/>
          <w:divBdr>
            <w:top w:val="none" w:sz="0" w:space="0" w:color="auto"/>
            <w:left w:val="none" w:sz="0" w:space="0" w:color="auto"/>
            <w:bottom w:val="none" w:sz="0" w:space="0" w:color="auto"/>
            <w:right w:val="none" w:sz="0" w:space="0" w:color="auto"/>
          </w:divBdr>
        </w:div>
        <w:div w:id="1785926110">
          <w:marLeft w:val="0"/>
          <w:marRight w:val="0"/>
          <w:marTop w:val="0"/>
          <w:marBottom w:val="0"/>
          <w:divBdr>
            <w:top w:val="none" w:sz="0" w:space="0" w:color="auto"/>
            <w:left w:val="none" w:sz="0" w:space="0" w:color="auto"/>
            <w:bottom w:val="none" w:sz="0" w:space="0" w:color="auto"/>
            <w:right w:val="none" w:sz="0" w:space="0" w:color="auto"/>
          </w:divBdr>
        </w:div>
        <w:div w:id="1794982449">
          <w:marLeft w:val="0"/>
          <w:marRight w:val="0"/>
          <w:marTop w:val="0"/>
          <w:marBottom w:val="0"/>
          <w:divBdr>
            <w:top w:val="none" w:sz="0" w:space="0" w:color="auto"/>
            <w:left w:val="none" w:sz="0" w:space="0" w:color="auto"/>
            <w:bottom w:val="none" w:sz="0" w:space="0" w:color="auto"/>
            <w:right w:val="none" w:sz="0" w:space="0" w:color="auto"/>
          </w:divBdr>
        </w:div>
        <w:div w:id="1806310073">
          <w:marLeft w:val="0"/>
          <w:marRight w:val="0"/>
          <w:marTop w:val="0"/>
          <w:marBottom w:val="0"/>
          <w:divBdr>
            <w:top w:val="none" w:sz="0" w:space="0" w:color="auto"/>
            <w:left w:val="none" w:sz="0" w:space="0" w:color="auto"/>
            <w:bottom w:val="none" w:sz="0" w:space="0" w:color="auto"/>
            <w:right w:val="none" w:sz="0" w:space="0" w:color="auto"/>
          </w:divBdr>
        </w:div>
        <w:div w:id="1814328737">
          <w:marLeft w:val="0"/>
          <w:marRight w:val="0"/>
          <w:marTop w:val="0"/>
          <w:marBottom w:val="0"/>
          <w:divBdr>
            <w:top w:val="none" w:sz="0" w:space="0" w:color="auto"/>
            <w:left w:val="none" w:sz="0" w:space="0" w:color="auto"/>
            <w:bottom w:val="none" w:sz="0" w:space="0" w:color="auto"/>
            <w:right w:val="none" w:sz="0" w:space="0" w:color="auto"/>
          </w:divBdr>
        </w:div>
        <w:div w:id="1819414492">
          <w:marLeft w:val="0"/>
          <w:marRight w:val="0"/>
          <w:marTop w:val="0"/>
          <w:marBottom w:val="0"/>
          <w:divBdr>
            <w:top w:val="none" w:sz="0" w:space="0" w:color="auto"/>
            <w:left w:val="none" w:sz="0" w:space="0" w:color="auto"/>
            <w:bottom w:val="none" w:sz="0" w:space="0" w:color="auto"/>
            <w:right w:val="none" w:sz="0" w:space="0" w:color="auto"/>
          </w:divBdr>
        </w:div>
        <w:div w:id="1821539415">
          <w:marLeft w:val="0"/>
          <w:marRight w:val="0"/>
          <w:marTop w:val="0"/>
          <w:marBottom w:val="0"/>
          <w:divBdr>
            <w:top w:val="none" w:sz="0" w:space="0" w:color="auto"/>
            <w:left w:val="none" w:sz="0" w:space="0" w:color="auto"/>
            <w:bottom w:val="none" w:sz="0" w:space="0" w:color="auto"/>
            <w:right w:val="none" w:sz="0" w:space="0" w:color="auto"/>
          </w:divBdr>
        </w:div>
        <w:div w:id="1821580712">
          <w:marLeft w:val="0"/>
          <w:marRight w:val="0"/>
          <w:marTop w:val="0"/>
          <w:marBottom w:val="0"/>
          <w:divBdr>
            <w:top w:val="none" w:sz="0" w:space="0" w:color="auto"/>
            <w:left w:val="none" w:sz="0" w:space="0" w:color="auto"/>
            <w:bottom w:val="none" w:sz="0" w:space="0" w:color="auto"/>
            <w:right w:val="none" w:sz="0" w:space="0" w:color="auto"/>
          </w:divBdr>
        </w:div>
        <w:div w:id="1822572767">
          <w:marLeft w:val="0"/>
          <w:marRight w:val="0"/>
          <w:marTop w:val="0"/>
          <w:marBottom w:val="0"/>
          <w:divBdr>
            <w:top w:val="none" w:sz="0" w:space="0" w:color="auto"/>
            <w:left w:val="none" w:sz="0" w:space="0" w:color="auto"/>
            <w:bottom w:val="none" w:sz="0" w:space="0" w:color="auto"/>
            <w:right w:val="none" w:sz="0" w:space="0" w:color="auto"/>
          </w:divBdr>
        </w:div>
        <w:div w:id="1827669731">
          <w:marLeft w:val="0"/>
          <w:marRight w:val="0"/>
          <w:marTop w:val="0"/>
          <w:marBottom w:val="0"/>
          <w:divBdr>
            <w:top w:val="none" w:sz="0" w:space="0" w:color="auto"/>
            <w:left w:val="none" w:sz="0" w:space="0" w:color="auto"/>
            <w:bottom w:val="none" w:sz="0" w:space="0" w:color="auto"/>
            <w:right w:val="none" w:sz="0" w:space="0" w:color="auto"/>
          </w:divBdr>
        </w:div>
        <w:div w:id="1855653242">
          <w:marLeft w:val="0"/>
          <w:marRight w:val="0"/>
          <w:marTop w:val="0"/>
          <w:marBottom w:val="0"/>
          <w:divBdr>
            <w:top w:val="none" w:sz="0" w:space="0" w:color="auto"/>
            <w:left w:val="none" w:sz="0" w:space="0" w:color="auto"/>
            <w:bottom w:val="none" w:sz="0" w:space="0" w:color="auto"/>
            <w:right w:val="none" w:sz="0" w:space="0" w:color="auto"/>
          </w:divBdr>
        </w:div>
        <w:div w:id="1864321933">
          <w:marLeft w:val="0"/>
          <w:marRight w:val="0"/>
          <w:marTop w:val="0"/>
          <w:marBottom w:val="0"/>
          <w:divBdr>
            <w:top w:val="none" w:sz="0" w:space="0" w:color="auto"/>
            <w:left w:val="none" w:sz="0" w:space="0" w:color="auto"/>
            <w:bottom w:val="none" w:sz="0" w:space="0" w:color="auto"/>
            <w:right w:val="none" w:sz="0" w:space="0" w:color="auto"/>
          </w:divBdr>
        </w:div>
        <w:div w:id="1867013920">
          <w:marLeft w:val="0"/>
          <w:marRight w:val="0"/>
          <w:marTop w:val="0"/>
          <w:marBottom w:val="0"/>
          <w:divBdr>
            <w:top w:val="none" w:sz="0" w:space="0" w:color="auto"/>
            <w:left w:val="none" w:sz="0" w:space="0" w:color="auto"/>
            <w:bottom w:val="none" w:sz="0" w:space="0" w:color="auto"/>
            <w:right w:val="none" w:sz="0" w:space="0" w:color="auto"/>
          </w:divBdr>
        </w:div>
        <w:div w:id="1871137740">
          <w:marLeft w:val="0"/>
          <w:marRight w:val="0"/>
          <w:marTop w:val="0"/>
          <w:marBottom w:val="0"/>
          <w:divBdr>
            <w:top w:val="none" w:sz="0" w:space="0" w:color="auto"/>
            <w:left w:val="none" w:sz="0" w:space="0" w:color="auto"/>
            <w:bottom w:val="none" w:sz="0" w:space="0" w:color="auto"/>
            <w:right w:val="none" w:sz="0" w:space="0" w:color="auto"/>
          </w:divBdr>
        </w:div>
        <w:div w:id="1874028638">
          <w:marLeft w:val="0"/>
          <w:marRight w:val="0"/>
          <w:marTop w:val="0"/>
          <w:marBottom w:val="0"/>
          <w:divBdr>
            <w:top w:val="none" w:sz="0" w:space="0" w:color="auto"/>
            <w:left w:val="none" w:sz="0" w:space="0" w:color="auto"/>
            <w:bottom w:val="none" w:sz="0" w:space="0" w:color="auto"/>
            <w:right w:val="none" w:sz="0" w:space="0" w:color="auto"/>
          </w:divBdr>
        </w:div>
        <w:div w:id="1876654685">
          <w:marLeft w:val="0"/>
          <w:marRight w:val="0"/>
          <w:marTop w:val="0"/>
          <w:marBottom w:val="0"/>
          <w:divBdr>
            <w:top w:val="none" w:sz="0" w:space="0" w:color="auto"/>
            <w:left w:val="none" w:sz="0" w:space="0" w:color="auto"/>
            <w:bottom w:val="none" w:sz="0" w:space="0" w:color="auto"/>
            <w:right w:val="none" w:sz="0" w:space="0" w:color="auto"/>
          </w:divBdr>
        </w:div>
        <w:div w:id="1903562053">
          <w:marLeft w:val="0"/>
          <w:marRight w:val="0"/>
          <w:marTop w:val="0"/>
          <w:marBottom w:val="0"/>
          <w:divBdr>
            <w:top w:val="none" w:sz="0" w:space="0" w:color="auto"/>
            <w:left w:val="none" w:sz="0" w:space="0" w:color="auto"/>
            <w:bottom w:val="none" w:sz="0" w:space="0" w:color="auto"/>
            <w:right w:val="none" w:sz="0" w:space="0" w:color="auto"/>
          </w:divBdr>
        </w:div>
        <w:div w:id="1917008282">
          <w:marLeft w:val="0"/>
          <w:marRight w:val="0"/>
          <w:marTop w:val="0"/>
          <w:marBottom w:val="0"/>
          <w:divBdr>
            <w:top w:val="none" w:sz="0" w:space="0" w:color="auto"/>
            <w:left w:val="none" w:sz="0" w:space="0" w:color="auto"/>
            <w:bottom w:val="none" w:sz="0" w:space="0" w:color="auto"/>
            <w:right w:val="none" w:sz="0" w:space="0" w:color="auto"/>
          </w:divBdr>
        </w:div>
        <w:div w:id="1928070784">
          <w:marLeft w:val="0"/>
          <w:marRight w:val="0"/>
          <w:marTop w:val="0"/>
          <w:marBottom w:val="0"/>
          <w:divBdr>
            <w:top w:val="none" w:sz="0" w:space="0" w:color="auto"/>
            <w:left w:val="none" w:sz="0" w:space="0" w:color="auto"/>
            <w:bottom w:val="none" w:sz="0" w:space="0" w:color="auto"/>
            <w:right w:val="none" w:sz="0" w:space="0" w:color="auto"/>
          </w:divBdr>
        </w:div>
        <w:div w:id="1971743821">
          <w:marLeft w:val="0"/>
          <w:marRight w:val="0"/>
          <w:marTop w:val="0"/>
          <w:marBottom w:val="0"/>
          <w:divBdr>
            <w:top w:val="none" w:sz="0" w:space="0" w:color="auto"/>
            <w:left w:val="none" w:sz="0" w:space="0" w:color="auto"/>
            <w:bottom w:val="none" w:sz="0" w:space="0" w:color="auto"/>
            <w:right w:val="none" w:sz="0" w:space="0" w:color="auto"/>
          </w:divBdr>
        </w:div>
        <w:div w:id="1975721023">
          <w:marLeft w:val="0"/>
          <w:marRight w:val="0"/>
          <w:marTop w:val="0"/>
          <w:marBottom w:val="0"/>
          <w:divBdr>
            <w:top w:val="none" w:sz="0" w:space="0" w:color="auto"/>
            <w:left w:val="none" w:sz="0" w:space="0" w:color="auto"/>
            <w:bottom w:val="none" w:sz="0" w:space="0" w:color="auto"/>
            <w:right w:val="none" w:sz="0" w:space="0" w:color="auto"/>
          </w:divBdr>
        </w:div>
        <w:div w:id="2027171475">
          <w:marLeft w:val="0"/>
          <w:marRight w:val="0"/>
          <w:marTop w:val="0"/>
          <w:marBottom w:val="0"/>
          <w:divBdr>
            <w:top w:val="none" w:sz="0" w:space="0" w:color="auto"/>
            <w:left w:val="none" w:sz="0" w:space="0" w:color="auto"/>
            <w:bottom w:val="none" w:sz="0" w:space="0" w:color="auto"/>
            <w:right w:val="none" w:sz="0" w:space="0" w:color="auto"/>
          </w:divBdr>
        </w:div>
        <w:div w:id="2030444144">
          <w:marLeft w:val="0"/>
          <w:marRight w:val="0"/>
          <w:marTop w:val="0"/>
          <w:marBottom w:val="0"/>
          <w:divBdr>
            <w:top w:val="none" w:sz="0" w:space="0" w:color="auto"/>
            <w:left w:val="none" w:sz="0" w:space="0" w:color="auto"/>
            <w:bottom w:val="none" w:sz="0" w:space="0" w:color="auto"/>
            <w:right w:val="none" w:sz="0" w:space="0" w:color="auto"/>
          </w:divBdr>
        </w:div>
      </w:divsChild>
    </w:div>
    <w:div w:id="94638727">
      <w:bodyDiv w:val="1"/>
      <w:marLeft w:val="0"/>
      <w:marRight w:val="0"/>
      <w:marTop w:val="0"/>
      <w:marBottom w:val="0"/>
      <w:divBdr>
        <w:top w:val="none" w:sz="0" w:space="0" w:color="auto"/>
        <w:left w:val="none" w:sz="0" w:space="0" w:color="auto"/>
        <w:bottom w:val="none" w:sz="0" w:space="0" w:color="auto"/>
        <w:right w:val="none" w:sz="0" w:space="0" w:color="auto"/>
      </w:divBdr>
    </w:div>
    <w:div w:id="94643875">
      <w:bodyDiv w:val="1"/>
      <w:marLeft w:val="0"/>
      <w:marRight w:val="0"/>
      <w:marTop w:val="0"/>
      <w:marBottom w:val="0"/>
      <w:divBdr>
        <w:top w:val="none" w:sz="0" w:space="0" w:color="auto"/>
        <w:left w:val="none" w:sz="0" w:space="0" w:color="auto"/>
        <w:bottom w:val="none" w:sz="0" w:space="0" w:color="auto"/>
        <w:right w:val="none" w:sz="0" w:space="0" w:color="auto"/>
      </w:divBdr>
    </w:div>
    <w:div w:id="94712769">
      <w:bodyDiv w:val="1"/>
      <w:marLeft w:val="0"/>
      <w:marRight w:val="0"/>
      <w:marTop w:val="0"/>
      <w:marBottom w:val="0"/>
      <w:divBdr>
        <w:top w:val="none" w:sz="0" w:space="0" w:color="auto"/>
        <w:left w:val="none" w:sz="0" w:space="0" w:color="auto"/>
        <w:bottom w:val="none" w:sz="0" w:space="0" w:color="auto"/>
        <w:right w:val="none" w:sz="0" w:space="0" w:color="auto"/>
      </w:divBdr>
    </w:div>
    <w:div w:id="94716232">
      <w:bodyDiv w:val="1"/>
      <w:marLeft w:val="0"/>
      <w:marRight w:val="0"/>
      <w:marTop w:val="0"/>
      <w:marBottom w:val="0"/>
      <w:divBdr>
        <w:top w:val="none" w:sz="0" w:space="0" w:color="auto"/>
        <w:left w:val="none" w:sz="0" w:space="0" w:color="auto"/>
        <w:bottom w:val="none" w:sz="0" w:space="0" w:color="auto"/>
        <w:right w:val="none" w:sz="0" w:space="0" w:color="auto"/>
      </w:divBdr>
    </w:div>
    <w:div w:id="94907168">
      <w:bodyDiv w:val="1"/>
      <w:marLeft w:val="0"/>
      <w:marRight w:val="0"/>
      <w:marTop w:val="0"/>
      <w:marBottom w:val="0"/>
      <w:divBdr>
        <w:top w:val="none" w:sz="0" w:space="0" w:color="auto"/>
        <w:left w:val="none" w:sz="0" w:space="0" w:color="auto"/>
        <w:bottom w:val="none" w:sz="0" w:space="0" w:color="auto"/>
        <w:right w:val="none" w:sz="0" w:space="0" w:color="auto"/>
      </w:divBdr>
    </w:div>
    <w:div w:id="94985412">
      <w:bodyDiv w:val="1"/>
      <w:marLeft w:val="0"/>
      <w:marRight w:val="0"/>
      <w:marTop w:val="0"/>
      <w:marBottom w:val="0"/>
      <w:divBdr>
        <w:top w:val="none" w:sz="0" w:space="0" w:color="auto"/>
        <w:left w:val="none" w:sz="0" w:space="0" w:color="auto"/>
        <w:bottom w:val="none" w:sz="0" w:space="0" w:color="auto"/>
        <w:right w:val="none" w:sz="0" w:space="0" w:color="auto"/>
      </w:divBdr>
    </w:div>
    <w:div w:id="95099594">
      <w:bodyDiv w:val="1"/>
      <w:marLeft w:val="0"/>
      <w:marRight w:val="0"/>
      <w:marTop w:val="0"/>
      <w:marBottom w:val="0"/>
      <w:divBdr>
        <w:top w:val="none" w:sz="0" w:space="0" w:color="auto"/>
        <w:left w:val="none" w:sz="0" w:space="0" w:color="auto"/>
        <w:bottom w:val="none" w:sz="0" w:space="0" w:color="auto"/>
        <w:right w:val="none" w:sz="0" w:space="0" w:color="auto"/>
      </w:divBdr>
    </w:div>
    <w:div w:id="95100128">
      <w:bodyDiv w:val="1"/>
      <w:marLeft w:val="0"/>
      <w:marRight w:val="0"/>
      <w:marTop w:val="0"/>
      <w:marBottom w:val="0"/>
      <w:divBdr>
        <w:top w:val="none" w:sz="0" w:space="0" w:color="auto"/>
        <w:left w:val="none" w:sz="0" w:space="0" w:color="auto"/>
        <w:bottom w:val="none" w:sz="0" w:space="0" w:color="auto"/>
        <w:right w:val="none" w:sz="0" w:space="0" w:color="auto"/>
      </w:divBdr>
    </w:div>
    <w:div w:id="95102315">
      <w:bodyDiv w:val="1"/>
      <w:marLeft w:val="0"/>
      <w:marRight w:val="0"/>
      <w:marTop w:val="0"/>
      <w:marBottom w:val="0"/>
      <w:divBdr>
        <w:top w:val="none" w:sz="0" w:space="0" w:color="auto"/>
        <w:left w:val="none" w:sz="0" w:space="0" w:color="auto"/>
        <w:bottom w:val="none" w:sz="0" w:space="0" w:color="auto"/>
        <w:right w:val="none" w:sz="0" w:space="0" w:color="auto"/>
      </w:divBdr>
    </w:div>
    <w:div w:id="95103966">
      <w:bodyDiv w:val="1"/>
      <w:marLeft w:val="0"/>
      <w:marRight w:val="0"/>
      <w:marTop w:val="0"/>
      <w:marBottom w:val="0"/>
      <w:divBdr>
        <w:top w:val="none" w:sz="0" w:space="0" w:color="auto"/>
        <w:left w:val="none" w:sz="0" w:space="0" w:color="auto"/>
        <w:bottom w:val="none" w:sz="0" w:space="0" w:color="auto"/>
        <w:right w:val="none" w:sz="0" w:space="0" w:color="auto"/>
      </w:divBdr>
    </w:div>
    <w:div w:id="95178916">
      <w:bodyDiv w:val="1"/>
      <w:marLeft w:val="0"/>
      <w:marRight w:val="0"/>
      <w:marTop w:val="0"/>
      <w:marBottom w:val="0"/>
      <w:divBdr>
        <w:top w:val="none" w:sz="0" w:space="0" w:color="auto"/>
        <w:left w:val="none" w:sz="0" w:space="0" w:color="auto"/>
        <w:bottom w:val="none" w:sz="0" w:space="0" w:color="auto"/>
        <w:right w:val="none" w:sz="0" w:space="0" w:color="auto"/>
      </w:divBdr>
    </w:div>
    <w:div w:id="95249451">
      <w:bodyDiv w:val="1"/>
      <w:marLeft w:val="0"/>
      <w:marRight w:val="0"/>
      <w:marTop w:val="0"/>
      <w:marBottom w:val="0"/>
      <w:divBdr>
        <w:top w:val="none" w:sz="0" w:space="0" w:color="auto"/>
        <w:left w:val="none" w:sz="0" w:space="0" w:color="auto"/>
        <w:bottom w:val="none" w:sz="0" w:space="0" w:color="auto"/>
        <w:right w:val="none" w:sz="0" w:space="0" w:color="auto"/>
      </w:divBdr>
    </w:div>
    <w:div w:id="95253452">
      <w:bodyDiv w:val="1"/>
      <w:marLeft w:val="0"/>
      <w:marRight w:val="0"/>
      <w:marTop w:val="0"/>
      <w:marBottom w:val="0"/>
      <w:divBdr>
        <w:top w:val="none" w:sz="0" w:space="0" w:color="auto"/>
        <w:left w:val="none" w:sz="0" w:space="0" w:color="auto"/>
        <w:bottom w:val="none" w:sz="0" w:space="0" w:color="auto"/>
        <w:right w:val="none" w:sz="0" w:space="0" w:color="auto"/>
      </w:divBdr>
    </w:div>
    <w:div w:id="95289977">
      <w:bodyDiv w:val="1"/>
      <w:marLeft w:val="0"/>
      <w:marRight w:val="0"/>
      <w:marTop w:val="0"/>
      <w:marBottom w:val="0"/>
      <w:divBdr>
        <w:top w:val="none" w:sz="0" w:space="0" w:color="auto"/>
        <w:left w:val="none" w:sz="0" w:space="0" w:color="auto"/>
        <w:bottom w:val="none" w:sz="0" w:space="0" w:color="auto"/>
        <w:right w:val="none" w:sz="0" w:space="0" w:color="auto"/>
      </w:divBdr>
    </w:div>
    <w:div w:id="95487315">
      <w:bodyDiv w:val="1"/>
      <w:marLeft w:val="0"/>
      <w:marRight w:val="0"/>
      <w:marTop w:val="0"/>
      <w:marBottom w:val="0"/>
      <w:divBdr>
        <w:top w:val="none" w:sz="0" w:space="0" w:color="auto"/>
        <w:left w:val="none" w:sz="0" w:space="0" w:color="auto"/>
        <w:bottom w:val="none" w:sz="0" w:space="0" w:color="auto"/>
        <w:right w:val="none" w:sz="0" w:space="0" w:color="auto"/>
      </w:divBdr>
    </w:div>
    <w:div w:id="95489576">
      <w:bodyDiv w:val="1"/>
      <w:marLeft w:val="0"/>
      <w:marRight w:val="0"/>
      <w:marTop w:val="0"/>
      <w:marBottom w:val="0"/>
      <w:divBdr>
        <w:top w:val="none" w:sz="0" w:space="0" w:color="auto"/>
        <w:left w:val="none" w:sz="0" w:space="0" w:color="auto"/>
        <w:bottom w:val="none" w:sz="0" w:space="0" w:color="auto"/>
        <w:right w:val="none" w:sz="0" w:space="0" w:color="auto"/>
      </w:divBdr>
    </w:div>
    <w:div w:id="95709091">
      <w:bodyDiv w:val="1"/>
      <w:marLeft w:val="0"/>
      <w:marRight w:val="0"/>
      <w:marTop w:val="0"/>
      <w:marBottom w:val="0"/>
      <w:divBdr>
        <w:top w:val="none" w:sz="0" w:space="0" w:color="auto"/>
        <w:left w:val="none" w:sz="0" w:space="0" w:color="auto"/>
        <w:bottom w:val="none" w:sz="0" w:space="0" w:color="auto"/>
        <w:right w:val="none" w:sz="0" w:space="0" w:color="auto"/>
      </w:divBdr>
    </w:div>
    <w:div w:id="95759126">
      <w:bodyDiv w:val="1"/>
      <w:marLeft w:val="0"/>
      <w:marRight w:val="0"/>
      <w:marTop w:val="0"/>
      <w:marBottom w:val="0"/>
      <w:divBdr>
        <w:top w:val="none" w:sz="0" w:space="0" w:color="auto"/>
        <w:left w:val="none" w:sz="0" w:space="0" w:color="auto"/>
        <w:bottom w:val="none" w:sz="0" w:space="0" w:color="auto"/>
        <w:right w:val="none" w:sz="0" w:space="0" w:color="auto"/>
      </w:divBdr>
    </w:div>
    <w:div w:id="95827912">
      <w:bodyDiv w:val="1"/>
      <w:marLeft w:val="0"/>
      <w:marRight w:val="0"/>
      <w:marTop w:val="0"/>
      <w:marBottom w:val="0"/>
      <w:divBdr>
        <w:top w:val="none" w:sz="0" w:space="0" w:color="auto"/>
        <w:left w:val="none" w:sz="0" w:space="0" w:color="auto"/>
        <w:bottom w:val="none" w:sz="0" w:space="0" w:color="auto"/>
        <w:right w:val="none" w:sz="0" w:space="0" w:color="auto"/>
      </w:divBdr>
    </w:div>
    <w:div w:id="95836347">
      <w:bodyDiv w:val="1"/>
      <w:marLeft w:val="0"/>
      <w:marRight w:val="0"/>
      <w:marTop w:val="0"/>
      <w:marBottom w:val="0"/>
      <w:divBdr>
        <w:top w:val="none" w:sz="0" w:space="0" w:color="auto"/>
        <w:left w:val="none" w:sz="0" w:space="0" w:color="auto"/>
        <w:bottom w:val="none" w:sz="0" w:space="0" w:color="auto"/>
        <w:right w:val="none" w:sz="0" w:space="0" w:color="auto"/>
      </w:divBdr>
    </w:div>
    <w:div w:id="95902368">
      <w:bodyDiv w:val="1"/>
      <w:marLeft w:val="0"/>
      <w:marRight w:val="0"/>
      <w:marTop w:val="0"/>
      <w:marBottom w:val="0"/>
      <w:divBdr>
        <w:top w:val="none" w:sz="0" w:space="0" w:color="auto"/>
        <w:left w:val="none" w:sz="0" w:space="0" w:color="auto"/>
        <w:bottom w:val="none" w:sz="0" w:space="0" w:color="auto"/>
        <w:right w:val="none" w:sz="0" w:space="0" w:color="auto"/>
      </w:divBdr>
    </w:div>
    <w:div w:id="95949465">
      <w:bodyDiv w:val="1"/>
      <w:marLeft w:val="0"/>
      <w:marRight w:val="0"/>
      <w:marTop w:val="0"/>
      <w:marBottom w:val="0"/>
      <w:divBdr>
        <w:top w:val="none" w:sz="0" w:space="0" w:color="auto"/>
        <w:left w:val="none" w:sz="0" w:space="0" w:color="auto"/>
        <w:bottom w:val="none" w:sz="0" w:space="0" w:color="auto"/>
        <w:right w:val="none" w:sz="0" w:space="0" w:color="auto"/>
      </w:divBdr>
    </w:div>
    <w:div w:id="95952483">
      <w:bodyDiv w:val="1"/>
      <w:marLeft w:val="0"/>
      <w:marRight w:val="0"/>
      <w:marTop w:val="0"/>
      <w:marBottom w:val="0"/>
      <w:divBdr>
        <w:top w:val="none" w:sz="0" w:space="0" w:color="auto"/>
        <w:left w:val="none" w:sz="0" w:space="0" w:color="auto"/>
        <w:bottom w:val="none" w:sz="0" w:space="0" w:color="auto"/>
        <w:right w:val="none" w:sz="0" w:space="0" w:color="auto"/>
      </w:divBdr>
    </w:div>
    <w:div w:id="96027501">
      <w:bodyDiv w:val="1"/>
      <w:marLeft w:val="0"/>
      <w:marRight w:val="0"/>
      <w:marTop w:val="0"/>
      <w:marBottom w:val="0"/>
      <w:divBdr>
        <w:top w:val="none" w:sz="0" w:space="0" w:color="auto"/>
        <w:left w:val="none" w:sz="0" w:space="0" w:color="auto"/>
        <w:bottom w:val="none" w:sz="0" w:space="0" w:color="auto"/>
        <w:right w:val="none" w:sz="0" w:space="0" w:color="auto"/>
      </w:divBdr>
    </w:div>
    <w:div w:id="96029212">
      <w:bodyDiv w:val="1"/>
      <w:marLeft w:val="0"/>
      <w:marRight w:val="0"/>
      <w:marTop w:val="0"/>
      <w:marBottom w:val="0"/>
      <w:divBdr>
        <w:top w:val="none" w:sz="0" w:space="0" w:color="auto"/>
        <w:left w:val="none" w:sz="0" w:space="0" w:color="auto"/>
        <w:bottom w:val="none" w:sz="0" w:space="0" w:color="auto"/>
        <w:right w:val="none" w:sz="0" w:space="0" w:color="auto"/>
      </w:divBdr>
    </w:div>
    <w:div w:id="96214491">
      <w:bodyDiv w:val="1"/>
      <w:marLeft w:val="0"/>
      <w:marRight w:val="0"/>
      <w:marTop w:val="0"/>
      <w:marBottom w:val="0"/>
      <w:divBdr>
        <w:top w:val="none" w:sz="0" w:space="0" w:color="auto"/>
        <w:left w:val="none" w:sz="0" w:space="0" w:color="auto"/>
        <w:bottom w:val="none" w:sz="0" w:space="0" w:color="auto"/>
        <w:right w:val="none" w:sz="0" w:space="0" w:color="auto"/>
      </w:divBdr>
    </w:div>
    <w:div w:id="96216842">
      <w:bodyDiv w:val="1"/>
      <w:marLeft w:val="0"/>
      <w:marRight w:val="0"/>
      <w:marTop w:val="0"/>
      <w:marBottom w:val="0"/>
      <w:divBdr>
        <w:top w:val="none" w:sz="0" w:space="0" w:color="auto"/>
        <w:left w:val="none" w:sz="0" w:space="0" w:color="auto"/>
        <w:bottom w:val="none" w:sz="0" w:space="0" w:color="auto"/>
        <w:right w:val="none" w:sz="0" w:space="0" w:color="auto"/>
      </w:divBdr>
    </w:div>
    <w:div w:id="96218455">
      <w:bodyDiv w:val="1"/>
      <w:marLeft w:val="0"/>
      <w:marRight w:val="0"/>
      <w:marTop w:val="0"/>
      <w:marBottom w:val="0"/>
      <w:divBdr>
        <w:top w:val="none" w:sz="0" w:space="0" w:color="auto"/>
        <w:left w:val="none" w:sz="0" w:space="0" w:color="auto"/>
        <w:bottom w:val="none" w:sz="0" w:space="0" w:color="auto"/>
        <w:right w:val="none" w:sz="0" w:space="0" w:color="auto"/>
      </w:divBdr>
    </w:div>
    <w:div w:id="96367883">
      <w:bodyDiv w:val="1"/>
      <w:marLeft w:val="0"/>
      <w:marRight w:val="0"/>
      <w:marTop w:val="0"/>
      <w:marBottom w:val="0"/>
      <w:divBdr>
        <w:top w:val="none" w:sz="0" w:space="0" w:color="auto"/>
        <w:left w:val="none" w:sz="0" w:space="0" w:color="auto"/>
        <w:bottom w:val="none" w:sz="0" w:space="0" w:color="auto"/>
        <w:right w:val="none" w:sz="0" w:space="0" w:color="auto"/>
      </w:divBdr>
    </w:div>
    <w:div w:id="96482393">
      <w:bodyDiv w:val="1"/>
      <w:marLeft w:val="0"/>
      <w:marRight w:val="0"/>
      <w:marTop w:val="0"/>
      <w:marBottom w:val="0"/>
      <w:divBdr>
        <w:top w:val="none" w:sz="0" w:space="0" w:color="auto"/>
        <w:left w:val="none" w:sz="0" w:space="0" w:color="auto"/>
        <w:bottom w:val="none" w:sz="0" w:space="0" w:color="auto"/>
        <w:right w:val="none" w:sz="0" w:space="0" w:color="auto"/>
      </w:divBdr>
    </w:div>
    <w:div w:id="96490998">
      <w:bodyDiv w:val="1"/>
      <w:marLeft w:val="0"/>
      <w:marRight w:val="0"/>
      <w:marTop w:val="0"/>
      <w:marBottom w:val="0"/>
      <w:divBdr>
        <w:top w:val="none" w:sz="0" w:space="0" w:color="auto"/>
        <w:left w:val="none" w:sz="0" w:space="0" w:color="auto"/>
        <w:bottom w:val="none" w:sz="0" w:space="0" w:color="auto"/>
        <w:right w:val="none" w:sz="0" w:space="0" w:color="auto"/>
      </w:divBdr>
    </w:div>
    <w:div w:id="96559538">
      <w:bodyDiv w:val="1"/>
      <w:marLeft w:val="0"/>
      <w:marRight w:val="0"/>
      <w:marTop w:val="0"/>
      <w:marBottom w:val="0"/>
      <w:divBdr>
        <w:top w:val="none" w:sz="0" w:space="0" w:color="auto"/>
        <w:left w:val="none" w:sz="0" w:space="0" w:color="auto"/>
        <w:bottom w:val="none" w:sz="0" w:space="0" w:color="auto"/>
        <w:right w:val="none" w:sz="0" w:space="0" w:color="auto"/>
      </w:divBdr>
    </w:div>
    <w:div w:id="96562838">
      <w:bodyDiv w:val="1"/>
      <w:marLeft w:val="0"/>
      <w:marRight w:val="0"/>
      <w:marTop w:val="0"/>
      <w:marBottom w:val="0"/>
      <w:divBdr>
        <w:top w:val="none" w:sz="0" w:space="0" w:color="auto"/>
        <w:left w:val="none" w:sz="0" w:space="0" w:color="auto"/>
        <w:bottom w:val="none" w:sz="0" w:space="0" w:color="auto"/>
        <w:right w:val="none" w:sz="0" w:space="0" w:color="auto"/>
      </w:divBdr>
    </w:div>
    <w:div w:id="96753500">
      <w:bodyDiv w:val="1"/>
      <w:marLeft w:val="0"/>
      <w:marRight w:val="0"/>
      <w:marTop w:val="0"/>
      <w:marBottom w:val="0"/>
      <w:divBdr>
        <w:top w:val="none" w:sz="0" w:space="0" w:color="auto"/>
        <w:left w:val="none" w:sz="0" w:space="0" w:color="auto"/>
        <w:bottom w:val="none" w:sz="0" w:space="0" w:color="auto"/>
        <w:right w:val="none" w:sz="0" w:space="0" w:color="auto"/>
      </w:divBdr>
    </w:div>
    <w:div w:id="96797351">
      <w:bodyDiv w:val="1"/>
      <w:marLeft w:val="0"/>
      <w:marRight w:val="0"/>
      <w:marTop w:val="0"/>
      <w:marBottom w:val="0"/>
      <w:divBdr>
        <w:top w:val="none" w:sz="0" w:space="0" w:color="auto"/>
        <w:left w:val="none" w:sz="0" w:space="0" w:color="auto"/>
        <w:bottom w:val="none" w:sz="0" w:space="0" w:color="auto"/>
        <w:right w:val="none" w:sz="0" w:space="0" w:color="auto"/>
      </w:divBdr>
    </w:div>
    <w:div w:id="96953844">
      <w:bodyDiv w:val="1"/>
      <w:marLeft w:val="0"/>
      <w:marRight w:val="0"/>
      <w:marTop w:val="0"/>
      <w:marBottom w:val="0"/>
      <w:divBdr>
        <w:top w:val="none" w:sz="0" w:space="0" w:color="auto"/>
        <w:left w:val="none" w:sz="0" w:space="0" w:color="auto"/>
        <w:bottom w:val="none" w:sz="0" w:space="0" w:color="auto"/>
        <w:right w:val="none" w:sz="0" w:space="0" w:color="auto"/>
      </w:divBdr>
    </w:div>
    <w:div w:id="97066024">
      <w:bodyDiv w:val="1"/>
      <w:marLeft w:val="0"/>
      <w:marRight w:val="0"/>
      <w:marTop w:val="0"/>
      <w:marBottom w:val="0"/>
      <w:divBdr>
        <w:top w:val="none" w:sz="0" w:space="0" w:color="auto"/>
        <w:left w:val="none" w:sz="0" w:space="0" w:color="auto"/>
        <w:bottom w:val="none" w:sz="0" w:space="0" w:color="auto"/>
        <w:right w:val="none" w:sz="0" w:space="0" w:color="auto"/>
      </w:divBdr>
    </w:div>
    <w:div w:id="97219308">
      <w:bodyDiv w:val="1"/>
      <w:marLeft w:val="0"/>
      <w:marRight w:val="0"/>
      <w:marTop w:val="0"/>
      <w:marBottom w:val="0"/>
      <w:divBdr>
        <w:top w:val="none" w:sz="0" w:space="0" w:color="auto"/>
        <w:left w:val="none" w:sz="0" w:space="0" w:color="auto"/>
        <w:bottom w:val="none" w:sz="0" w:space="0" w:color="auto"/>
        <w:right w:val="none" w:sz="0" w:space="0" w:color="auto"/>
      </w:divBdr>
    </w:div>
    <w:div w:id="97257039">
      <w:bodyDiv w:val="1"/>
      <w:marLeft w:val="0"/>
      <w:marRight w:val="0"/>
      <w:marTop w:val="0"/>
      <w:marBottom w:val="0"/>
      <w:divBdr>
        <w:top w:val="none" w:sz="0" w:space="0" w:color="auto"/>
        <w:left w:val="none" w:sz="0" w:space="0" w:color="auto"/>
        <w:bottom w:val="none" w:sz="0" w:space="0" w:color="auto"/>
        <w:right w:val="none" w:sz="0" w:space="0" w:color="auto"/>
      </w:divBdr>
    </w:div>
    <w:div w:id="97338960">
      <w:bodyDiv w:val="1"/>
      <w:marLeft w:val="0"/>
      <w:marRight w:val="0"/>
      <w:marTop w:val="0"/>
      <w:marBottom w:val="0"/>
      <w:divBdr>
        <w:top w:val="none" w:sz="0" w:space="0" w:color="auto"/>
        <w:left w:val="none" w:sz="0" w:space="0" w:color="auto"/>
        <w:bottom w:val="none" w:sz="0" w:space="0" w:color="auto"/>
        <w:right w:val="none" w:sz="0" w:space="0" w:color="auto"/>
      </w:divBdr>
    </w:div>
    <w:div w:id="97339562">
      <w:bodyDiv w:val="1"/>
      <w:marLeft w:val="0"/>
      <w:marRight w:val="0"/>
      <w:marTop w:val="0"/>
      <w:marBottom w:val="0"/>
      <w:divBdr>
        <w:top w:val="none" w:sz="0" w:space="0" w:color="auto"/>
        <w:left w:val="none" w:sz="0" w:space="0" w:color="auto"/>
        <w:bottom w:val="none" w:sz="0" w:space="0" w:color="auto"/>
        <w:right w:val="none" w:sz="0" w:space="0" w:color="auto"/>
      </w:divBdr>
    </w:div>
    <w:div w:id="97406203">
      <w:bodyDiv w:val="1"/>
      <w:marLeft w:val="0"/>
      <w:marRight w:val="0"/>
      <w:marTop w:val="0"/>
      <w:marBottom w:val="0"/>
      <w:divBdr>
        <w:top w:val="none" w:sz="0" w:space="0" w:color="auto"/>
        <w:left w:val="none" w:sz="0" w:space="0" w:color="auto"/>
        <w:bottom w:val="none" w:sz="0" w:space="0" w:color="auto"/>
        <w:right w:val="none" w:sz="0" w:space="0" w:color="auto"/>
      </w:divBdr>
    </w:div>
    <w:div w:id="97454252">
      <w:bodyDiv w:val="1"/>
      <w:marLeft w:val="0"/>
      <w:marRight w:val="0"/>
      <w:marTop w:val="0"/>
      <w:marBottom w:val="0"/>
      <w:divBdr>
        <w:top w:val="none" w:sz="0" w:space="0" w:color="auto"/>
        <w:left w:val="none" w:sz="0" w:space="0" w:color="auto"/>
        <w:bottom w:val="none" w:sz="0" w:space="0" w:color="auto"/>
        <w:right w:val="none" w:sz="0" w:space="0" w:color="auto"/>
      </w:divBdr>
    </w:div>
    <w:div w:id="97677549">
      <w:bodyDiv w:val="1"/>
      <w:marLeft w:val="0"/>
      <w:marRight w:val="0"/>
      <w:marTop w:val="0"/>
      <w:marBottom w:val="0"/>
      <w:divBdr>
        <w:top w:val="none" w:sz="0" w:space="0" w:color="auto"/>
        <w:left w:val="none" w:sz="0" w:space="0" w:color="auto"/>
        <w:bottom w:val="none" w:sz="0" w:space="0" w:color="auto"/>
        <w:right w:val="none" w:sz="0" w:space="0" w:color="auto"/>
      </w:divBdr>
    </w:div>
    <w:div w:id="97723573">
      <w:bodyDiv w:val="1"/>
      <w:marLeft w:val="0"/>
      <w:marRight w:val="0"/>
      <w:marTop w:val="0"/>
      <w:marBottom w:val="0"/>
      <w:divBdr>
        <w:top w:val="none" w:sz="0" w:space="0" w:color="auto"/>
        <w:left w:val="none" w:sz="0" w:space="0" w:color="auto"/>
        <w:bottom w:val="none" w:sz="0" w:space="0" w:color="auto"/>
        <w:right w:val="none" w:sz="0" w:space="0" w:color="auto"/>
      </w:divBdr>
    </w:div>
    <w:div w:id="97868102">
      <w:bodyDiv w:val="1"/>
      <w:marLeft w:val="0"/>
      <w:marRight w:val="0"/>
      <w:marTop w:val="0"/>
      <w:marBottom w:val="0"/>
      <w:divBdr>
        <w:top w:val="none" w:sz="0" w:space="0" w:color="auto"/>
        <w:left w:val="none" w:sz="0" w:space="0" w:color="auto"/>
        <w:bottom w:val="none" w:sz="0" w:space="0" w:color="auto"/>
        <w:right w:val="none" w:sz="0" w:space="0" w:color="auto"/>
      </w:divBdr>
    </w:div>
    <w:div w:id="97875050">
      <w:bodyDiv w:val="1"/>
      <w:marLeft w:val="0"/>
      <w:marRight w:val="0"/>
      <w:marTop w:val="0"/>
      <w:marBottom w:val="0"/>
      <w:divBdr>
        <w:top w:val="none" w:sz="0" w:space="0" w:color="auto"/>
        <w:left w:val="none" w:sz="0" w:space="0" w:color="auto"/>
        <w:bottom w:val="none" w:sz="0" w:space="0" w:color="auto"/>
        <w:right w:val="none" w:sz="0" w:space="0" w:color="auto"/>
      </w:divBdr>
    </w:div>
    <w:div w:id="97991150">
      <w:bodyDiv w:val="1"/>
      <w:marLeft w:val="0"/>
      <w:marRight w:val="0"/>
      <w:marTop w:val="0"/>
      <w:marBottom w:val="0"/>
      <w:divBdr>
        <w:top w:val="none" w:sz="0" w:space="0" w:color="auto"/>
        <w:left w:val="none" w:sz="0" w:space="0" w:color="auto"/>
        <w:bottom w:val="none" w:sz="0" w:space="0" w:color="auto"/>
        <w:right w:val="none" w:sz="0" w:space="0" w:color="auto"/>
      </w:divBdr>
    </w:div>
    <w:div w:id="98067219">
      <w:bodyDiv w:val="1"/>
      <w:marLeft w:val="0"/>
      <w:marRight w:val="0"/>
      <w:marTop w:val="0"/>
      <w:marBottom w:val="0"/>
      <w:divBdr>
        <w:top w:val="none" w:sz="0" w:space="0" w:color="auto"/>
        <w:left w:val="none" w:sz="0" w:space="0" w:color="auto"/>
        <w:bottom w:val="none" w:sz="0" w:space="0" w:color="auto"/>
        <w:right w:val="none" w:sz="0" w:space="0" w:color="auto"/>
      </w:divBdr>
    </w:div>
    <w:div w:id="98111344">
      <w:bodyDiv w:val="1"/>
      <w:marLeft w:val="0"/>
      <w:marRight w:val="0"/>
      <w:marTop w:val="0"/>
      <w:marBottom w:val="0"/>
      <w:divBdr>
        <w:top w:val="none" w:sz="0" w:space="0" w:color="auto"/>
        <w:left w:val="none" w:sz="0" w:space="0" w:color="auto"/>
        <w:bottom w:val="none" w:sz="0" w:space="0" w:color="auto"/>
        <w:right w:val="none" w:sz="0" w:space="0" w:color="auto"/>
      </w:divBdr>
    </w:div>
    <w:div w:id="98113274">
      <w:bodyDiv w:val="1"/>
      <w:marLeft w:val="0"/>
      <w:marRight w:val="0"/>
      <w:marTop w:val="0"/>
      <w:marBottom w:val="0"/>
      <w:divBdr>
        <w:top w:val="none" w:sz="0" w:space="0" w:color="auto"/>
        <w:left w:val="none" w:sz="0" w:space="0" w:color="auto"/>
        <w:bottom w:val="none" w:sz="0" w:space="0" w:color="auto"/>
        <w:right w:val="none" w:sz="0" w:space="0" w:color="auto"/>
      </w:divBdr>
    </w:div>
    <w:div w:id="98136971">
      <w:bodyDiv w:val="1"/>
      <w:marLeft w:val="0"/>
      <w:marRight w:val="0"/>
      <w:marTop w:val="0"/>
      <w:marBottom w:val="0"/>
      <w:divBdr>
        <w:top w:val="none" w:sz="0" w:space="0" w:color="auto"/>
        <w:left w:val="none" w:sz="0" w:space="0" w:color="auto"/>
        <w:bottom w:val="none" w:sz="0" w:space="0" w:color="auto"/>
        <w:right w:val="none" w:sz="0" w:space="0" w:color="auto"/>
      </w:divBdr>
    </w:div>
    <w:div w:id="98182517">
      <w:bodyDiv w:val="1"/>
      <w:marLeft w:val="0"/>
      <w:marRight w:val="0"/>
      <w:marTop w:val="0"/>
      <w:marBottom w:val="0"/>
      <w:divBdr>
        <w:top w:val="none" w:sz="0" w:space="0" w:color="auto"/>
        <w:left w:val="none" w:sz="0" w:space="0" w:color="auto"/>
        <w:bottom w:val="none" w:sz="0" w:space="0" w:color="auto"/>
        <w:right w:val="none" w:sz="0" w:space="0" w:color="auto"/>
      </w:divBdr>
    </w:div>
    <w:div w:id="98255635">
      <w:bodyDiv w:val="1"/>
      <w:marLeft w:val="0"/>
      <w:marRight w:val="0"/>
      <w:marTop w:val="0"/>
      <w:marBottom w:val="0"/>
      <w:divBdr>
        <w:top w:val="none" w:sz="0" w:space="0" w:color="auto"/>
        <w:left w:val="none" w:sz="0" w:space="0" w:color="auto"/>
        <w:bottom w:val="none" w:sz="0" w:space="0" w:color="auto"/>
        <w:right w:val="none" w:sz="0" w:space="0" w:color="auto"/>
      </w:divBdr>
    </w:div>
    <w:div w:id="98304869">
      <w:bodyDiv w:val="1"/>
      <w:marLeft w:val="0"/>
      <w:marRight w:val="0"/>
      <w:marTop w:val="0"/>
      <w:marBottom w:val="0"/>
      <w:divBdr>
        <w:top w:val="none" w:sz="0" w:space="0" w:color="auto"/>
        <w:left w:val="none" w:sz="0" w:space="0" w:color="auto"/>
        <w:bottom w:val="none" w:sz="0" w:space="0" w:color="auto"/>
        <w:right w:val="none" w:sz="0" w:space="0" w:color="auto"/>
      </w:divBdr>
    </w:div>
    <w:div w:id="98376641">
      <w:bodyDiv w:val="1"/>
      <w:marLeft w:val="0"/>
      <w:marRight w:val="0"/>
      <w:marTop w:val="0"/>
      <w:marBottom w:val="0"/>
      <w:divBdr>
        <w:top w:val="none" w:sz="0" w:space="0" w:color="auto"/>
        <w:left w:val="none" w:sz="0" w:space="0" w:color="auto"/>
        <w:bottom w:val="none" w:sz="0" w:space="0" w:color="auto"/>
        <w:right w:val="none" w:sz="0" w:space="0" w:color="auto"/>
      </w:divBdr>
    </w:div>
    <w:div w:id="98527140">
      <w:bodyDiv w:val="1"/>
      <w:marLeft w:val="0"/>
      <w:marRight w:val="0"/>
      <w:marTop w:val="0"/>
      <w:marBottom w:val="0"/>
      <w:divBdr>
        <w:top w:val="none" w:sz="0" w:space="0" w:color="auto"/>
        <w:left w:val="none" w:sz="0" w:space="0" w:color="auto"/>
        <w:bottom w:val="none" w:sz="0" w:space="0" w:color="auto"/>
        <w:right w:val="none" w:sz="0" w:space="0" w:color="auto"/>
      </w:divBdr>
    </w:div>
    <w:div w:id="98527613">
      <w:bodyDiv w:val="1"/>
      <w:marLeft w:val="0"/>
      <w:marRight w:val="0"/>
      <w:marTop w:val="0"/>
      <w:marBottom w:val="0"/>
      <w:divBdr>
        <w:top w:val="none" w:sz="0" w:space="0" w:color="auto"/>
        <w:left w:val="none" w:sz="0" w:space="0" w:color="auto"/>
        <w:bottom w:val="none" w:sz="0" w:space="0" w:color="auto"/>
        <w:right w:val="none" w:sz="0" w:space="0" w:color="auto"/>
      </w:divBdr>
    </w:div>
    <w:div w:id="98531421">
      <w:bodyDiv w:val="1"/>
      <w:marLeft w:val="0"/>
      <w:marRight w:val="0"/>
      <w:marTop w:val="0"/>
      <w:marBottom w:val="0"/>
      <w:divBdr>
        <w:top w:val="none" w:sz="0" w:space="0" w:color="auto"/>
        <w:left w:val="none" w:sz="0" w:space="0" w:color="auto"/>
        <w:bottom w:val="none" w:sz="0" w:space="0" w:color="auto"/>
        <w:right w:val="none" w:sz="0" w:space="0" w:color="auto"/>
      </w:divBdr>
    </w:div>
    <w:div w:id="98723714">
      <w:bodyDiv w:val="1"/>
      <w:marLeft w:val="0"/>
      <w:marRight w:val="0"/>
      <w:marTop w:val="0"/>
      <w:marBottom w:val="0"/>
      <w:divBdr>
        <w:top w:val="none" w:sz="0" w:space="0" w:color="auto"/>
        <w:left w:val="none" w:sz="0" w:space="0" w:color="auto"/>
        <w:bottom w:val="none" w:sz="0" w:space="0" w:color="auto"/>
        <w:right w:val="none" w:sz="0" w:space="0" w:color="auto"/>
      </w:divBdr>
    </w:div>
    <w:div w:id="98766900">
      <w:bodyDiv w:val="1"/>
      <w:marLeft w:val="0"/>
      <w:marRight w:val="0"/>
      <w:marTop w:val="0"/>
      <w:marBottom w:val="0"/>
      <w:divBdr>
        <w:top w:val="none" w:sz="0" w:space="0" w:color="auto"/>
        <w:left w:val="none" w:sz="0" w:space="0" w:color="auto"/>
        <w:bottom w:val="none" w:sz="0" w:space="0" w:color="auto"/>
        <w:right w:val="none" w:sz="0" w:space="0" w:color="auto"/>
      </w:divBdr>
    </w:div>
    <w:div w:id="98792671">
      <w:bodyDiv w:val="1"/>
      <w:marLeft w:val="0"/>
      <w:marRight w:val="0"/>
      <w:marTop w:val="0"/>
      <w:marBottom w:val="0"/>
      <w:divBdr>
        <w:top w:val="none" w:sz="0" w:space="0" w:color="auto"/>
        <w:left w:val="none" w:sz="0" w:space="0" w:color="auto"/>
        <w:bottom w:val="none" w:sz="0" w:space="0" w:color="auto"/>
        <w:right w:val="none" w:sz="0" w:space="0" w:color="auto"/>
      </w:divBdr>
    </w:div>
    <w:div w:id="98841338">
      <w:bodyDiv w:val="1"/>
      <w:marLeft w:val="0"/>
      <w:marRight w:val="0"/>
      <w:marTop w:val="0"/>
      <w:marBottom w:val="0"/>
      <w:divBdr>
        <w:top w:val="none" w:sz="0" w:space="0" w:color="auto"/>
        <w:left w:val="none" w:sz="0" w:space="0" w:color="auto"/>
        <w:bottom w:val="none" w:sz="0" w:space="0" w:color="auto"/>
        <w:right w:val="none" w:sz="0" w:space="0" w:color="auto"/>
      </w:divBdr>
    </w:div>
    <w:div w:id="98914483">
      <w:bodyDiv w:val="1"/>
      <w:marLeft w:val="0"/>
      <w:marRight w:val="0"/>
      <w:marTop w:val="0"/>
      <w:marBottom w:val="0"/>
      <w:divBdr>
        <w:top w:val="none" w:sz="0" w:space="0" w:color="auto"/>
        <w:left w:val="none" w:sz="0" w:space="0" w:color="auto"/>
        <w:bottom w:val="none" w:sz="0" w:space="0" w:color="auto"/>
        <w:right w:val="none" w:sz="0" w:space="0" w:color="auto"/>
      </w:divBdr>
    </w:div>
    <w:div w:id="99109689">
      <w:bodyDiv w:val="1"/>
      <w:marLeft w:val="0"/>
      <w:marRight w:val="0"/>
      <w:marTop w:val="0"/>
      <w:marBottom w:val="0"/>
      <w:divBdr>
        <w:top w:val="none" w:sz="0" w:space="0" w:color="auto"/>
        <w:left w:val="none" w:sz="0" w:space="0" w:color="auto"/>
        <w:bottom w:val="none" w:sz="0" w:space="0" w:color="auto"/>
        <w:right w:val="none" w:sz="0" w:space="0" w:color="auto"/>
      </w:divBdr>
    </w:div>
    <w:div w:id="99111999">
      <w:bodyDiv w:val="1"/>
      <w:marLeft w:val="0"/>
      <w:marRight w:val="0"/>
      <w:marTop w:val="0"/>
      <w:marBottom w:val="0"/>
      <w:divBdr>
        <w:top w:val="none" w:sz="0" w:space="0" w:color="auto"/>
        <w:left w:val="none" w:sz="0" w:space="0" w:color="auto"/>
        <w:bottom w:val="none" w:sz="0" w:space="0" w:color="auto"/>
        <w:right w:val="none" w:sz="0" w:space="0" w:color="auto"/>
      </w:divBdr>
    </w:div>
    <w:div w:id="99112648">
      <w:bodyDiv w:val="1"/>
      <w:marLeft w:val="0"/>
      <w:marRight w:val="0"/>
      <w:marTop w:val="0"/>
      <w:marBottom w:val="0"/>
      <w:divBdr>
        <w:top w:val="none" w:sz="0" w:space="0" w:color="auto"/>
        <w:left w:val="none" w:sz="0" w:space="0" w:color="auto"/>
        <w:bottom w:val="none" w:sz="0" w:space="0" w:color="auto"/>
        <w:right w:val="none" w:sz="0" w:space="0" w:color="auto"/>
      </w:divBdr>
    </w:div>
    <w:div w:id="99180388">
      <w:bodyDiv w:val="1"/>
      <w:marLeft w:val="0"/>
      <w:marRight w:val="0"/>
      <w:marTop w:val="0"/>
      <w:marBottom w:val="0"/>
      <w:divBdr>
        <w:top w:val="none" w:sz="0" w:space="0" w:color="auto"/>
        <w:left w:val="none" w:sz="0" w:space="0" w:color="auto"/>
        <w:bottom w:val="none" w:sz="0" w:space="0" w:color="auto"/>
        <w:right w:val="none" w:sz="0" w:space="0" w:color="auto"/>
      </w:divBdr>
    </w:div>
    <w:div w:id="99296910">
      <w:bodyDiv w:val="1"/>
      <w:marLeft w:val="0"/>
      <w:marRight w:val="0"/>
      <w:marTop w:val="0"/>
      <w:marBottom w:val="0"/>
      <w:divBdr>
        <w:top w:val="none" w:sz="0" w:space="0" w:color="auto"/>
        <w:left w:val="none" w:sz="0" w:space="0" w:color="auto"/>
        <w:bottom w:val="none" w:sz="0" w:space="0" w:color="auto"/>
        <w:right w:val="none" w:sz="0" w:space="0" w:color="auto"/>
      </w:divBdr>
    </w:div>
    <w:div w:id="99300368">
      <w:bodyDiv w:val="1"/>
      <w:marLeft w:val="0"/>
      <w:marRight w:val="0"/>
      <w:marTop w:val="0"/>
      <w:marBottom w:val="0"/>
      <w:divBdr>
        <w:top w:val="none" w:sz="0" w:space="0" w:color="auto"/>
        <w:left w:val="none" w:sz="0" w:space="0" w:color="auto"/>
        <w:bottom w:val="none" w:sz="0" w:space="0" w:color="auto"/>
        <w:right w:val="none" w:sz="0" w:space="0" w:color="auto"/>
      </w:divBdr>
    </w:div>
    <w:div w:id="99377470">
      <w:bodyDiv w:val="1"/>
      <w:marLeft w:val="0"/>
      <w:marRight w:val="0"/>
      <w:marTop w:val="0"/>
      <w:marBottom w:val="0"/>
      <w:divBdr>
        <w:top w:val="none" w:sz="0" w:space="0" w:color="auto"/>
        <w:left w:val="none" w:sz="0" w:space="0" w:color="auto"/>
        <w:bottom w:val="none" w:sz="0" w:space="0" w:color="auto"/>
        <w:right w:val="none" w:sz="0" w:space="0" w:color="auto"/>
      </w:divBdr>
    </w:div>
    <w:div w:id="99378264">
      <w:bodyDiv w:val="1"/>
      <w:marLeft w:val="0"/>
      <w:marRight w:val="0"/>
      <w:marTop w:val="0"/>
      <w:marBottom w:val="0"/>
      <w:divBdr>
        <w:top w:val="none" w:sz="0" w:space="0" w:color="auto"/>
        <w:left w:val="none" w:sz="0" w:space="0" w:color="auto"/>
        <w:bottom w:val="none" w:sz="0" w:space="0" w:color="auto"/>
        <w:right w:val="none" w:sz="0" w:space="0" w:color="auto"/>
      </w:divBdr>
    </w:div>
    <w:div w:id="99381389">
      <w:bodyDiv w:val="1"/>
      <w:marLeft w:val="0"/>
      <w:marRight w:val="0"/>
      <w:marTop w:val="0"/>
      <w:marBottom w:val="0"/>
      <w:divBdr>
        <w:top w:val="none" w:sz="0" w:space="0" w:color="auto"/>
        <w:left w:val="none" w:sz="0" w:space="0" w:color="auto"/>
        <w:bottom w:val="none" w:sz="0" w:space="0" w:color="auto"/>
        <w:right w:val="none" w:sz="0" w:space="0" w:color="auto"/>
      </w:divBdr>
    </w:div>
    <w:div w:id="99567050">
      <w:bodyDiv w:val="1"/>
      <w:marLeft w:val="0"/>
      <w:marRight w:val="0"/>
      <w:marTop w:val="0"/>
      <w:marBottom w:val="0"/>
      <w:divBdr>
        <w:top w:val="none" w:sz="0" w:space="0" w:color="auto"/>
        <w:left w:val="none" w:sz="0" w:space="0" w:color="auto"/>
        <w:bottom w:val="none" w:sz="0" w:space="0" w:color="auto"/>
        <w:right w:val="none" w:sz="0" w:space="0" w:color="auto"/>
      </w:divBdr>
    </w:div>
    <w:div w:id="99573143">
      <w:bodyDiv w:val="1"/>
      <w:marLeft w:val="0"/>
      <w:marRight w:val="0"/>
      <w:marTop w:val="0"/>
      <w:marBottom w:val="0"/>
      <w:divBdr>
        <w:top w:val="none" w:sz="0" w:space="0" w:color="auto"/>
        <w:left w:val="none" w:sz="0" w:space="0" w:color="auto"/>
        <w:bottom w:val="none" w:sz="0" w:space="0" w:color="auto"/>
        <w:right w:val="none" w:sz="0" w:space="0" w:color="auto"/>
      </w:divBdr>
    </w:div>
    <w:div w:id="99839657">
      <w:bodyDiv w:val="1"/>
      <w:marLeft w:val="0"/>
      <w:marRight w:val="0"/>
      <w:marTop w:val="0"/>
      <w:marBottom w:val="0"/>
      <w:divBdr>
        <w:top w:val="none" w:sz="0" w:space="0" w:color="auto"/>
        <w:left w:val="none" w:sz="0" w:space="0" w:color="auto"/>
        <w:bottom w:val="none" w:sz="0" w:space="0" w:color="auto"/>
        <w:right w:val="none" w:sz="0" w:space="0" w:color="auto"/>
      </w:divBdr>
    </w:div>
    <w:div w:id="100103173">
      <w:bodyDiv w:val="1"/>
      <w:marLeft w:val="0"/>
      <w:marRight w:val="0"/>
      <w:marTop w:val="0"/>
      <w:marBottom w:val="0"/>
      <w:divBdr>
        <w:top w:val="none" w:sz="0" w:space="0" w:color="auto"/>
        <w:left w:val="none" w:sz="0" w:space="0" w:color="auto"/>
        <w:bottom w:val="none" w:sz="0" w:space="0" w:color="auto"/>
        <w:right w:val="none" w:sz="0" w:space="0" w:color="auto"/>
      </w:divBdr>
    </w:div>
    <w:div w:id="100222325">
      <w:bodyDiv w:val="1"/>
      <w:marLeft w:val="0"/>
      <w:marRight w:val="0"/>
      <w:marTop w:val="0"/>
      <w:marBottom w:val="0"/>
      <w:divBdr>
        <w:top w:val="none" w:sz="0" w:space="0" w:color="auto"/>
        <w:left w:val="none" w:sz="0" w:space="0" w:color="auto"/>
        <w:bottom w:val="none" w:sz="0" w:space="0" w:color="auto"/>
        <w:right w:val="none" w:sz="0" w:space="0" w:color="auto"/>
      </w:divBdr>
    </w:div>
    <w:div w:id="100223528">
      <w:bodyDiv w:val="1"/>
      <w:marLeft w:val="0"/>
      <w:marRight w:val="0"/>
      <w:marTop w:val="0"/>
      <w:marBottom w:val="0"/>
      <w:divBdr>
        <w:top w:val="none" w:sz="0" w:space="0" w:color="auto"/>
        <w:left w:val="none" w:sz="0" w:space="0" w:color="auto"/>
        <w:bottom w:val="none" w:sz="0" w:space="0" w:color="auto"/>
        <w:right w:val="none" w:sz="0" w:space="0" w:color="auto"/>
      </w:divBdr>
    </w:div>
    <w:div w:id="100225620">
      <w:bodyDiv w:val="1"/>
      <w:marLeft w:val="0"/>
      <w:marRight w:val="0"/>
      <w:marTop w:val="0"/>
      <w:marBottom w:val="0"/>
      <w:divBdr>
        <w:top w:val="none" w:sz="0" w:space="0" w:color="auto"/>
        <w:left w:val="none" w:sz="0" w:space="0" w:color="auto"/>
        <w:bottom w:val="none" w:sz="0" w:space="0" w:color="auto"/>
        <w:right w:val="none" w:sz="0" w:space="0" w:color="auto"/>
      </w:divBdr>
    </w:div>
    <w:div w:id="100270838">
      <w:bodyDiv w:val="1"/>
      <w:marLeft w:val="0"/>
      <w:marRight w:val="0"/>
      <w:marTop w:val="0"/>
      <w:marBottom w:val="0"/>
      <w:divBdr>
        <w:top w:val="none" w:sz="0" w:space="0" w:color="auto"/>
        <w:left w:val="none" w:sz="0" w:space="0" w:color="auto"/>
        <w:bottom w:val="none" w:sz="0" w:space="0" w:color="auto"/>
        <w:right w:val="none" w:sz="0" w:space="0" w:color="auto"/>
      </w:divBdr>
    </w:div>
    <w:div w:id="100302215">
      <w:bodyDiv w:val="1"/>
      <w:marLeft w:val="0"/>
      <w:marRight w:val="0"/>
      <w:marTop w:val="0"/>
      <w:marBottom w:val="0"/>
      <w:divBdr>
        <w:top w:val="none" w:sz="0" w:space="0" w:color="auto"/>
        <w:left w:val="none" w:sz="0" w:space="0" w:color="auto"/>
        <w:bottom w:val="none" w:sz="0" w:space="0" w:color="auto"/>
        <w:right w:val="none" w:sz="0" w:space="0" w:color="auto"/>
      </w:divBdr>
    </w:div>
    <w:div w:id="100339268">
      <w:bodyDiv w:val="1"/>
      <w:marLeft w:val="0"/>
      <w:marRight w:val="0"/>
      <w:marTop w:val="0"/>
      <w:marBottom w:val="0"/>
      <w:divBdr>
        <w:top w:val="none" w:sz="0" w:space="0" w:color="auto"/>
        <w:left w:val="none" w:sz="0" w:space="0" w:color="auto"/>
        <w:bottom w:val="none" w:sz="0" w:space="0" w:color="auto"/>
        <w:right w:val="none" w:sz="0" w:space="0" w:color="auto"/>
      </w:divBdr>
    </w:div>
    <w:div w:id="100421122">
      <w:bodyDiv w:val="1"/>
      <w:marLeft w:val="0"/>
      <w:marRight w:val="0"/>
      <w:marTop w:val="0"/>
      <w:marBottom w:val="0"/>
      <w:divBdr>
        <w:top w:val="none" w:sz="0" w:space="0" w:color="auto"/>
        <w:left w:val="none" w:sz="0" w:space="0" w:color="auto"/>
        <w:bottom w:val="none" w:sz="0" w:space="0" w:color="auto"/>
        <w:right w:val="none" w:sz="0" w:space="0" w:color="auto"/>
      </w:divBdr>
    </w:div>
    <w:div w:id="100422869">
      <w:bodyDiv w:val="1"/>
      <w:marLeft w:val="0"/>
      <w:marRight w:val="0"/>
      <w:marTop w:val="0"/>
      <w:marBottom w:val="0"/>
      <w:divBdr>
        <w:top w:val="none" w:sz="0" w:space="0" w:color="auto"/>
        <w:left w:val="none" w:sz="0" w:space="0" w:color="auto"/>
        <w:bottom w:val="none" w:sz="0" w:space="0" w:color="auto"/>
        <w:right w:val="none" w:sz="0" w:space="0" w:color="auto"/>
      </w:divBdr>
    </w:div>
    <w:div w:id="100535408">
      <w:bodyDiv w:val="1"/>
      <w:marLeft w:val="0"/>
      <w:marRight w:val="0"/>
      <w:marTop w:val="0"/>
      <w:marBottom w:val="0"/>
      <w:divBdr>
        <w:top w:val="none" w:sz="0" w:space="0" w:color="auto"/>
        <w:left w:val="none" w:sz="0" w:space="0" w:color="auto"/>
        <w:bottom w:val="none" w:sz="0" w:space="0" w:color="auto"/>
        <w:right w:val="none" w:sz="0" w:space="0" w:color="auto"/>
      </w:divBdr>
    </w:div>
    <w:div w:id="100537231">
      <w:bodyDiv w:val="1"/>
      <w:marLeft w:val="0"/>
      <w:marRight w:val="0"/>
      <w:marTop w:val="0"/>
      <w:marBottom w:val="0"/>
      <w:divBdr>
        <w:top w:val="none" w:sz="0" w:space="0" w:color="auto"/>
        <w:left w:val="none" w:sz="0" w:space="0" w:color="auto"/>
        <w:bottom w:val="none" w:sz="0" w:space="0" w:color="auto"/>
        <w:right w:val="none" w:sz="0" w:space="0" w:color="auto"/>
      </w:divBdr>
    </w:div>
    <w:div w:id="100758353">
      <w:bodyDiv w:val="1"/>
      <w:marLeft w:val="0"/>
      <w:marRight w:val="0"/>
      <w:marTop w:val="0"/>
      <w:marBottom w:val="0"/>
      <w:divBdr>
        <w:top w:val="none" w:sz="0" w:space="0" w:color="auto"/>
        <w:left w:val="none" w:sz="0" w:space="0" w:color="auto"/>
        <w:bottom w:val="none" w:sz="0" w:space="0" w:color="auto"/>
        <w:right w:val="none" w:sz="0" w:space="0" w:color="auto"/>
      </w:divBdr>
    </w:div>
    <w:div w:id="100760965">
      <w:bodyDiv w:val="1"/>
      <w:marLeft w:val="0"/>
      <w:marRight w:val="0"/>
      <w:marTop w:val="0"/>
      <w:marBottom w:val="0"/>
      <w:divBdr>
        <w:top w:val="none" w:sz="0" w:space="0" w:color="auto"/>
        <w:left w:val="none" w:sz="0" w:space="0" w:color="auto"/>
        <w:bottom w:val="none" w:sz="0" w:space="0" w:color="auto"/>
        <w:right w:val="none" w:sz="0" w:space="0" w:color="auto"/>
      </w:divBdr>
    </w:div>
    <w:div w:id="100807089">
      <w:bodyDiv w:val="1"/>
      <w:marLeft w:val="0"/>
      <w:marRight w:val="0"/>
      <w:marTop w:val="0"/>
      <w:marBottom w:val="0"/>
      <w:divBdr>
        <w:top w:val="none" w:sz="0" w:space="0" w:color="auto"/>
        <w:left w:val="none" w:sz="0" w:space="0" w:color="auto"/>
        <w:bottom w:val="none" w:sz="0" w:space="0" w:color="auto"/>
        <w:right w:val="none" w:sz="0" w:space="0" w:color="auto"/>
      </w:divBdr>
    </w:div>
    <w:div w:id="100997127">
      <w:bodyDiv w:val="1"/>
      <w:marLeft w:val="0"/>
      <w:marRight w:val="0"/>
      <w:marTop w:val="0"/>
      <w:marBottom w:val="0"/>
      <w:divBdr>
        <w:top w:val="none" w:sz="0" w:space="0" w:color="auto"/>
        <w:left w:val="none" w:sz="0" w:space="0" w:color="auto"/>
        <w:bottom w:val="none" w:sz="0" w:space="0" w:color="auto"/>
        <w:right w:val="none" w:sz="0" w:space="0" w:color="auto"/>
      </w:divBdr>
    </w:div>
    <w:div w:id="101191451">
      <w:bodyDiv w:val="1"/>
      <w:marLeft w:val="0"/>
      <w:marRight w:val="0"/>
      <w:marTop w:val="0"/>
      <w:marBottom w:val="0"/>
      <w:divBdr>
        <w:top w:val="none" w:sz="0" w:space="0" w:color="auto"/>
        <w:left w:val="none" w:sz="0" w:space="0" w:color="auto"/>
        <w:bottom w:val="none" w:sz="0" w:space="0" w:color="auto"/>
        <w:right w:val="none" w:sz="0" w:space="0" w:color="auto"/>
      </w:divBdr>
    </w:div>
    <w:div w:id="101263280">
      <w:bodyDiv w:val="1"/>
      <w:marLeft w:val="0"/>
      <w:marRight w:val="0"/>
      <w:marTop w:val="0"/>
      <w:marBottom w:val="0"/>
      <w:divBdr>
        <w:top w:val="none" w:sz="0" w:space="0" w:color="auto"/>
        <w:left w:val="none" w:sz="0" w:space="0" w:color="auto"/>
        <w:bottom w:val="none" w:sz="0" w:space="0" w:color="auto"/>
        <w:right w:val="none" w:sz="0" w:space="0" w:color="auto"/>
      </w:divBdr>
    </w:div>
    <w:div w:id="101266090">
      <w:bodyDiv w:val="1"/>
      <w:marLeft w:val="0"/>
      <w:marRight w:val="0"/>
      <w:marTop w:val="0"/>
      <w:marBottom w:val="0"/>
      <w:divBdr>
        <w:top w:val="none" w:sz="0" w:space="0" w:color="auto"/>
        <w:left w:val="none" w:sz="0" w:space="0" w:color="auto"/>
        <w:bottom w:val="none" w:sz="0" w:space="0" w:color="auto"/>
        <w:right w:val="none" w:sz="0" w:space="0" w:color="auto"/>
      </w:divBdr>
    </w:div>
    <w:div w:id="101345090">
      <w:bodyDiv w:val="1"/>
      <w:marLeft w:val="0"/>
      <w:marRight w:val="0"/>
      <w:marTop w:val="0"/>
      <w:marBottom w:val="0"/>
      <w:divBdr>
        <w:top w:val="none" w:sz="0" w:space="0" w:color="auto"/>
        <w:left w:val="none" w:sz="0" w:space="0" w:color="auto"/>
        <w:bottom w:val="none" w:sz="0" w:space="0" w:color="auto"/>
        <w:right w:val="none" w:sz="0" w:space="0" w:color="auto"/>
      </w:divBdr>
    </w:div>
    <w:div w:id="101415126">
      <w:bodyDiv w:val="1"/>
      <w:marLeft w:val="0"/>
      <w:marRight w:val="0"/>
      <w:marTop w:val="0"/>
      <w:marBottom w:val="0"/>
      <w:divBdr>
        <w:top w:val="none" w:sz="0" w:space="0" w:color="auto"/>
        <w:left w:val="none" w:sz="0" w:space="0" w:color="auto"/>
        <w:bottom w:val="none" w:sz="0" w:space="0" w:color="auto"/>
        <w:right w:val="none" w:sz="0" w:space="0" w:color="auto"/>
      </w:divBdr>
    </w:div>
    <w:div w:id="101416340">
      <w:bodyDiv w:val="1"/>
      <w:marLeft w:val="0"/>
      <w:marRight w:val="0"/>
      <w:marTop w:val="0"/>
      <w:marBottom w:val="0"/>
      <w:divBdr>
        <w:top w:val="none" w:sz="0" w:space="0" w:color="auto"/>
        <w:left w:val="none" w:sz="0" w:space="0" w:color="auto"/>
        <w:bottom w:val="none" w:sz="0" w:space="0" w:color="auto"/>
        <w:right w:val="none" w:sz="0" w:space="0" w:color="auto"/>
      </w:divBdr>
    </w:div>
    <w:div w:id="101649794">
      <w:bodyDiv w:val="1"/>
      <w:marLeft w:val="0"/>
      <w:marRight w:val="0"/>
      <w:marTop w:val="0"/>
      <w:marBottom w:val="0"/>
      <w:divBdr>
        <w:top w:val="none" w:sz="0" w:space="0" w:color="auto"/>
        <w:left w:val="none" w:sz="0" w:space="0" w:color="auto"/>
        <w:bottom w:val="none" w:sz="0" w:space="0" w:color="auto"/>
        <w:right w:val="none" w:sz="0" w:space="0" w:color="auto"/>
      </w:divBdr>
    </w:div>
    <w:div w:id="101651259">
      <w:bodyDiv w:val="1"/>
      <w:marLeft w:val="0"/>
      <w:marRight w:val="0"/>
      <w:marTop w:val="0"/>
      <w:marBottom w:val="0"/>
      <w:divBdr>
        <w:top w:val="none" w:sz="0" w:space="0" w:color="auto"/>
        <w:left w:val="none" w:sz="0" w:space="0" w:color="auto"/>
        <w:bottom w:val="none" w:sz="0" w:space="0" w:color="auto"/>
        <w:right w:val="none" w:sz="0" w:space="0" w:color="auto"/>
      </w:divBdr>
    </w:div>
    <w:div w:id="101728777">
      <w:bodyDiv w:val="1"/>
      <w:marLeft w:val="0"/>
      <w:marRight w:val="0"/>
      <w:marTop w:val="0"/>
      <w:marBottom w:val="0"/>
      <w:divBdr>
        <w:top w:val="none" w:sz="0" w:space="0" w:color="auto"/>
        <w:left w:val="none" w:sz="0" w:space="0" w:color="auto"/>
        <w:bottom w:val="none" w:sz="0" w:space="0" w:color="auto"/>
        <w:right w:val="none" w:sz="0" w:space="0" w:color="auto"/>
      </w:divBdr>
    </w:div>
    <w:div w:id="101803745">
      <w:bodyDiv w:val="1"/>
      <w:marLeft w:val="0"/>
      <w:marRight w:val="0"/>
      <w:marTop w:val="0"/>
      <w:marBottom w:val="0"/>
      <w:divBdr>
        <w:top w:val="none" w:sz="0" w:space="0" w:color="auto"/>
        <w:left w:val="none" w:sz="0" w:space="0" w:color="auto"/>
        <w:bottom w:val="none" w:sz="0" w:space="0" w:color="auto"/>
        <w:right w:val="none" w:sz="0" w:space="0" w:color="auto"/>
      </w:divBdr>
    </w:div>
    <w:div w:id="101847831">
      <w:bodyDiv w:val="1"/>
      <w:marLeft w:val="0"/>
      <w:marRight w:val="0"/>
      <w:marTop w:val="0"/>
      <w:marBottom w:val="0"/>
      <w:divBdr>
        <w:top w:val="none" w:sz="0" w:space="0" w:color="auto"/>
        <w:left w:val="none" w:sz="0" w:space="0" w:color="auto"/>
        <w:bottom w:val="none" w:sz="0" w:space="0" w:color="auto"/>
        <w:right w:val="none" w:sz="0" w:space="0" w:color="auto"/>
      </w:divBdr>
    </w:div>
    <w:div w:id="101995139">
      <w:bodyDiv w:val="1"/>
      <w:marLeft w:val="0"/>
      <w:marRight w:val="0"/>
      <w:marTop w:val="0"/>
      <w:marBottom w:val="0"/>
      <w:divBdr>
        <w:top w:val="none" w:sz="0" w:space="0" w:color="auto"/>
        <w:left w:val="none" w:sz="0" w:space="0" w:color="auto"/>
        <w:bottom w:val="none" w:sz="0" w:space="0" w:color="auto"/>
        <w:right w:val="none" w:sz="0" w:space="0" w:color="auto"/>
      </w:divBdr>
    </w:div>
    <w:div w:id="101995645">
      <w:bodyDiv w:val="1"/>
      <w:marLeft w:val="0"/>
      <w:marRight w:val="0"/>
      <w:marTop w:val="0"/>
      <w:marBottom w:val="0"/>
      <w:divBdr>
        <w:top w:val="none" w:sz="0" w:space="0" w:color="auto"/>
        <w:left w:val="none" w:sz="0" w:space="0" w:color="auto"/>
        <w:bottom w:val="none" w:sz="0" w:space="0" w:color="auto"/>
        <w:right w:val="none" w:sz="0" w:space="0" w:color="auto"/>
      </w:divBdr>
    </w:div>
    <w:div w:id="102040745">
      <w:bodyDiv w:val="1"/>
      <w:marLeft w:val="0"/>
      <w:marRight w:val="0"/>
      <w:marTop w:val="0"/>
      <w:marBottom w:val="0"/>
      <w:divBdr>
        <w:top w:val="none" w:sz="0" w:space="0" w:color="auto"/>
        <w:left w:val="none" w:sz="0" w:space="0" w:color="auto"/>
        <w:bottom w:val="none" w:sz="0" w:space="0" w:color="auto"/>
        <w:right w:val="none" w:sz="0" w:space="0" w:color="auto"/>
      </w:divBdr>
    </w:div>
    <w:div w:id="102119721">
      <w:bodyDiv w:val="1"/>
      <w:marLeft w:val="0"/>
      <w:marRight w:val="0"/>
      <w:marTop w:val="0"/>
      <w:marBottom w:val="0"/>
      <w:divBdr>
        <w:top w:val="none" w:sz="0" w:space="0" w:color="auto"/>
        <w:left w:val="none" w:sz="0" w:space="0" w:color="auto"/>
        <w:bottom w:val="none" w:sz="0" w:space="0" w:color="auto"/>
        <w:right w:val="none" w:sz="0" w:space="0" w:color="auto"/>
      </w:divBdr>
    </w:div>
    <w:div w:id="102188923">
      <w:bodyDiv w:val="1"/>
      <w:marLeft w:val="0"/>
      <w:marRight w:val="0"/>
      <w:marTop w:val="0"/>
      <w:marBottom w:val="0"/>
      <w:divBdr>
        <w:top w:val="none" w:sz="0" w:space="0" w:color="auto"/>
        <w:left w:val="none" w:sz="0" w:space="0" w:color="auto"/>
        <w:bottom w:val="none" w:sz="0" w:space="0" w:color="auto"/>
        <w:right w:val="none" w:sz="0" w:space="0" w:color="auto"/>
      </w:divBdr>
    </w:div>
    <w:div w:id="102264163">
      <w:bodyDiv w:val="1"/>
      <w:marLeft w:val="0"/>
      <w:marRight w:val="0"/>
      <w:marTop w:val="0"/>
      <w:marBottom w:val="0"/>
      <w:divBdr>
        <w:top w:val="none" w:sz="0" w:space="0" w:color="auto"/>
        <w:left w:val="none" w:sz="0" w:space="0" w:color="auto"/>
        <w:bottom w:val="none" w:sz="0" w:space="0" w:color="auto"/>
        <w:right w:val="none" w:sz="0" w:space="0" w:color="auto"/>
      </w:divBdr>
    </w:div>
    <w:div w:id="102264801">
      <w:bodyDiv w:val="1"/>
      <w:marLeft w:val="0"/>
      <w:marRight w:val="0"/>
      <w:marTop w:val="0"/>
      <w:marBottom w:val="0"/>
      <w:divBdr>
        <w:top w:val="none" w:sz="0" w:space="0" w:color="auto"/>
        <w:left w:val="none" w:sz="0" w:space="0" w:color="auto"/>
        <w:bottom w:val="none" w:sz="0" w:space="0" w:color="auto"/>
        <w:right w:val="none" w:sz="0" w:space="0" w:color="auto"/>
      </w:divBdr>
    </w:div>
    <w:div w:id="102312401">
      <w:bodyDiv w:val="1"/>
      <w:marLeft w:val="0"/>
      <w:marRight w:val="0"/>
      <w:marTop w:val="0"/>
      <w:marBottom w:val="0"/>
      <w:divBdr>
        <w:top w:val="none" w:sz="0" w:space="0" w:color="auto"/>
        <w:left w:val="none" w:sz="0" w:space="0" w:color="auto"/>
        <w:bottom w:val="none" w:sz="0" w:space="0" w:color="auto"/>
        <w:right w:val="none" w:sz="0" w:space="0" w:color="auto"/>
      </w:divBdr>
    </w:div>
    <w:div w:id="102499140">
      <w:bodyDiv w:val="1"/>
      <w:marLeft w:val="0"/>
      <w:marRight w:val="0"/>
      <w:marTop w:val="0"/>
      <w:marBottom w:val="0"/>
      <w:divBdr>
        <w:top w:val="none" w:sz="0" w:space="0" w:color="auto"/>
        <w:left w:val="none" w:sz="0" w:space="0" w:color="auto"/>
        <w:bottom w:val="none" w:sz="0" w:space="0" w:color="auto"/>
        <w:right w:val="none" w:sz="0" w:space="0" w:color="auto"/>
      </w:divBdr>
    </w:div>
    <w:div w:id="102575401">
      <w:bodyDiv w:val="1"/>
      <w:marLeft w:val="0"/>
      <w:marRight w:val="0"/>
      <w:marTop w:val="0"/>
      <w:marBottom w:val="0"/>
      <w:divBdr>
        <w:top w:val="none" w:sz="0" w:space="0" w:color="auto"/>
        <w:left w:val="none" w:sz="0" w:space="0" w:color="auto"/>
        <w:bottom w:val="none" w:sz="0" w:space="0" w:color="auto"/>
        <w:right w:val="none" w:sz="0" w:space="0" w:color="auto"/>
      </w:divBdr>
    </w:div>
    <w:div w:id="102696656">
      <w:bodyDiv w:val="1"/>
      <w:marLeft w:val="0"/>
      <w:marRight w:val="0"/>
      <w:marTop w:val="0"/>
      <w:marBottom w:val="0"/>
      <w:divBdr>
        <w:top w:val="none" w:sz="0" w:space="0" w:color="auto"/>
        <w:left w:val="none" w:sz="0" w:space="0" w:color="auto"/>
        <w:bottom w:val="none" w:sz="0" w:space="0" w:color="auto"/>
        <w:right w:val="none" w:sz="0" w:space="0" w:color="auto"/>
      </w:divBdr>
    </w:div>
    <w:div w:id="102724377">
      <w:bodyDiv w:val="1"/>
      <w:marLeft w:val="0"/>
      <w:marRight w:val="0"/>
      <w:marTop w:val="0"/>
      <w:marBottom w:val="0"/>
      <w:divBdr>
        <w:top w:val="none" w:sz="0" w:space="0" w:color="auto"/>
        <w:left w:val="none" w:sz="0" w:space="0" w:color="auto"/>
        <w:bottom w:val="none" w:sz="0" w:space="0" w:color="auto"/>
        <w:right w:val="none" w:sz="0" w:space="0" w:color="auto"/>
      </w:divBdr>
    </w:div>
    <w:div w:id="102845830">
      <w:bodyDiv w:val="1"/>
      <w:marLeft w:val="0"/>
      <w:marRight w:val="0"/>
      <w:marTop w:val="0"/>
      <w:marBottom w:val="0"/>
      <w:divBdr>
        <w:top w:val="none" w:sz="0" w:space="0" w:color="auto"/>
        <w:left w:val="none" w:sz="0" w:space="0" w:color="auto"/>
        <w:bottom w:val="none" w:sz="0" w:space="0" w:color="auto"/>
        <w:right w:val="none" w:sz="0" w:space="0" w:color="auto"/>
      </w:divBdr>
    </w:div>
    <w:div w:id="102922111">
      <w:bodyDiv w:val="1"/>
      <w:marLeft w:val="0"/>
      <w:marRight w:val="0"/>
      <w:marTop w:val="0"/>
      <w:marBottom w:val="0"/>
      <w:divBdr>
        <w:top w:val="none" w:sz="0" w:space="0" w:color="auto"/>
        <w:left w:val="none" w:sz="0" w:space="0" w:color="auto"/>
        <w:bottom w:val="none" w:sz="0" w:space="0" w:color="auto"/>
        <w:right w:val="none" w:sz="0" w:space="0" w:color="auto"/>
      </w:divBdr>
    </w:div>
    <w:div w:id="103042530">
      <w:bodyDiv w:val="1"/>
      <w:marLeft w:val="0"/>
      <w:marRight w:val="0"/>
      <w:marTop w:val="0"/>
      <w:marBottom w:val="0"/>
      <w:divBdr>
        <w:top w:val="none" w:sz="0" w:space="0" w:color="auto"/>
        <w:left w:val="none" w:sz="0" w:space="0" w:color="auto"/>
        <w:bottom w:val="none" w:sz="0" w:space="0" w:color="auto"/>
        <w:right w:val="none" w:sz="0" w:space="0" w:color="auto"/>
      </w:divBdr>
    </w:div>
    <w:div w:id="103110645">
      <w:bodyDiv w:val="1"/>
      <w:marLeft w:val="0"/>
      <w:marRight w:val="0"/>
      <w:marTop w:val="0"/>
      <w:marBottom w:val="0"/>
      <w:divBdr>
        <w:top w:val="none" w:sz="0" w:space="0" w:color="auto"/>
        <w:left w:val="none" w:sz="0" w:space="0" w:color="auto"/>
        <w:bottom w:val="none" w:sz="0" w:space="0" w:color="auto"/>
        <w:right w:val="none" w:sz="0" w:space="0" w:color="auto"/>
      </w:divBdr>
    </w:div>
    <w:div w:id="103113933">
      <w:bodyDiv w:val="1"/>
      <w:marLeft w:val="0"/>
      <w:marRight w:val="0"/>
      <w:marTop w:val="0"/>
      <w:marBottom w:val="0"/>
      <w:divBdr>
        <w:top w:val="none" w:sz="0" w:space="0" w:color="auto"/>
        <w:left w:val="none" w:sz="0" w:space="0" w:color="auto"/>
        <w:bottom w:val="none" w:sz="0" w:space="0" w:color="auto"/>
        <w:right w:val="none" w:sz="0" w:space="0" w:color="auto"/>
      </w:divBdr>
    </w:div>
    <w:div w:id="103232429">
      <w:bodyDiv w:val="1"/>
      <w:marLeft w:val="0"/>
      <w:marRight w:val="0"/>
      <w:marTop w:val="0"/>
      <w:marBottom w:val="0"/>
      <w:divBdr>
        <w:top w:val="none" w:sz="0" w:space="0" w:color="auto"/>
        <w:left w:val="none" w:sz="0" w:space="0" w:color="auto"/>
        <w:bottom w:val="none" w:sz="0" w:space="0" w:color="auto"/>
        <w:right w:val="none" w:sz="0" w:space="0" w:color="auto"/>
      </w:divBdr>
    </w:div>
    <w:div w:id="103353800">
      <w:bodyDiv w:val="1"/>
      <w:marLeft w:val="0"/>
      <w:marRight w:val="0"/>
      <w:marTop w:val="0"/>
      <w:marBottom w:val="0"/>
      <w:divBdr>
        <w:top w:val="none" w:sz="0" w:space="0" w:color="auto"/>
        <w:left w:val="none" w:sz="0" w:space="0" w:color="auto"/>
        <w:bottom w:val="none" w:sz="0" w:space="0" w:color="auto"/>
        <w:right w:val="none" w:sz="0" w:space="0" w:color="auto"/>
      </w:divBdr>
    </w:div>
    <w:div w:id="103354700">
      <w:bodyDiv w:val="1"/>
      <w:marLeft w:val="0"/>
      <w:marRight w:val="0"/>
      <w:marTop w:val="0"/>
      <w:marBottom w:val="0"/>
      <w:divBdr>
        <w:top w:val="none" w:sz="0" w:space="0" w:color="auto"/>
        <w:left w:val="none" w:sz="0" w:space="0" w:color="auto"/>
        <w:bottom w:val="none" w:sz="0" w:space="0" w:color="auto"/>
        <w:right w:val="none" w:sz="0" w:space="0" w:color="auto"/>
      </w:divBdr>
    </w:div>
    <w:div w:id="103501103">
      <w:bodyDiv w:val="1"/>
      <w:marLeft w:val="0"/>
      <w:marRight w:val="0"/>
      <w:marTop w:val="0"/>
      <w:marBottom w:val="0"/>
      <w:divBdr>
        <w:top w:val="none" w:sz="0" w:space="0" w:color="auto"/>
        <w:left w:val="none" w:sz="0" w:space="0" w:color="auto"/>
        <w:bottom w:val="none" w:sz="0" w:space="0" w:color="auto"/>
        <w:right w:val="none" w:sz="0" w:space="0" w:color="auto"/>
      </w:divBdr>
    </w:div>
    <w:div w:id="103575850">
      <w:bodyDiv w:val="1"/>
      <w:marLeft w:val="0"/>
      <w:marRight w:val="0"/>
      <w:marTop w:val="0"/>
      <w:marBottom w:val="0"/>
      <w:divBdr>
        <w:top w:val="none" w:sz="0" w:space="0" w:color="auto"/>
        <w:left w:val="none" w:sz="0" w:space="0" w:color="auto"/>
        <w:bottom w:val="none" w:sz="0" w:space="0" w:color="auto"/>
        <w:right w:val="none" w:sz="0" w:space="0" w:color="auto"/>
      </w:divBdr>
    </w:div>
    <w:div w:id="103618776">
      <w:bodyDiv w:val="1"/>
      <w:marLeft w:val="0"/>
      <w:marRight w:val="0"/>
      <w:marTop w:val="0"/>
      <w:marBottom w:val="0"/>
      <w:divBdr>
        <w:top w:val="none" w:sz="0" w:space="0" w:color="auto"/>
        <w:left w:val="none" w:sz="0" w:space="0" w:color="auto"/>
        <w:bottom w:val="none" w:sz="0" w:space="0" w:color="auto"/>
        <w:right w:val="none" w:sz="0" w:space="0" w:color="auto"/>
      </w:divBdr>
    </w:div>
    <w:div w:id="103699242">
      <w:bodyDiv w:val="1"/>
      <w:marLeft w:val="0"/>
      <w:marRight w:val="0"/>
      <w:marTop w:val="0"/>
      <w:marBottom w:val="0"/>
      <w:divBdr>
        <w:top w:val="none" w:sz="0" w:space="0" w:color="auto"/>
        <w:left w:val="none" w:sz="0" w:space="0" w:color="auto"/>
        <w:bottom w:val="none" w:sz="0" w:space="0" w:color="auto"/>
        <w:right w:val="none" w:sz="0" w:space="0" w:color="auto"/>
      </w:divBdr>
    </w:div>
    <w:div w:id="103770953">
      <w:bodyDiv w:val="1"/>
      <w:marLeft w:val="0"/>
      <w:marRight w:val="0"/>
      <w:marTop w:val="0"/>
      <w:marBottom w:val="0"/>
      <w:divBdr>
        <w:top w:val="none" w:sz="0" w:space="0" w:color="auto"/>
        <w:left w:val="none" w:sz="0" w:space="0" w:color="auto"/>
        <w:bottom w:val="none" w:sz="0" w:space="0" w:color="auto"/>
        <w:right w:val="none" w:sz="0" w:space="0" w:color="auto"/>
      </w:divBdr>
    </w:div>
    <w:div w:id="103813643">
      <w:bodyDiv w:val="1"/>
      <w:marLeft w:val="0"/>
      <w:marRight w:val="0"/>
      <w:marTop w:val="0"/>
      <w:marBottom w:val="0"/>
      <w:divBdr>
        <w:top w:val="none" w:sz="0" w:space="0" w:color="auto"/>
        <w:left w:val="none" w:sz="0" w:space="0" w:color="auto"/>
        <w:bottom w:val="none" w:sz="0" w:space="0" w:color="auto"/>
        <w:right w:val="none" w:sz="0" w:space="0" w:color="auto"/>
      </w:divBdr>
    </w:div>
    <w:div w:id="103814784">
      <w:bodyDiv w:val="1"/>
      <w:marLeft w:val="0"/>
      <w:marRight w:val="0"/>
      <w:marTop w:val="0"/>
      <w:marBottom w:val="0"/>
      <w:divBdr>
        <w:top w:val="none" w:sz="0" w:space="0" w:color="auto"/>
        <w:left w:val="none" w:sz="0" w:space="0" w:color="auto"/>
        <w:bottom w:val="none" w:sz="0" w:space="0" w:color="auto"/>
        <w:right w:val="none" w:sz="0" w:space="0" w:color="auto"/>
      </w:divBdr>
    </w:div>
    <w:div w:id="103960653">
      <w:bodyDiv w:val="1"/>
      <w:marLeft w:val="0"/>
      <w:marRight w:val="0"/>
      <w:marTop w:val="0"/>
      <w:marBottom w:val="0"/>
      <w:divBdr>
        <w:top w:val="none" w:sz="0" w:space="0" w:color="auto"/>
        <w:left w:val="none" w:sz="0" w:space="0" w:color="auto"/>
        <w:bottom w:val="none" w:sz="0" w:space="0" w:color="auto"/>
        <w:right w:val="none" w:sz="0" w:space="0" w:color="auto"/>
      </w:divBdr>
    </w:div>
    <w:div w:id="104006241">
      <w:bodyDiv w:val="1"/>
      <w:marLeft w:val="0"/>
      <w:marRight w:val="0"/>
      <w:marTop w:val="0"/>
      <w:marBottom w:val="0"/>
      <w:divBdr>
        <w:top w:val="none" w:sz="0" w:space="0" w:color="auto"/>
        <w:left w:val="none" w:sz="0" w:space="0" w:color="auto"/>
        <w:bottom w:val="none" w:sz="0" w:space="0" w:color="auto"/>
        <w:right w:val="none" w:sz="0" w:space="0" w:color="auto"/>
      </w:divBdr>
    </w:div>
    <w:div w:id="104155286">
      <w:bodyDiv w:val="1"/>
      <w:marLeft w:val="0"/>
      <w:marRight w:val="0"/>
      <w:marTop w:val="0"/>
      <w:marBottom w:val="0"/>
      <w:divBdr>
        <w:top w:val="none" w:sz="0" w:space="0" w:color="auto"/>
        <w:left w:val="none" w:sz="0" w:space="0" w:color="auto"/>
        <w:bottom w:val="none" w:sz="0" w:space="0" w:color="auto"/>
        <w:right w:val="none" w:sz="0" w:space="0" w:color="auto"/>
      </w:divBdr>
    </w:div>
    <w:div w:id="104228683">
      <w:bodyDiv w:val="1"/>
      <w:marLeft w:val="0"/>
      <w:marRight w:val="0"/>
      <w:marTop w:val="0"/>
      <w:marBottom w:val="0"/>
      <w:divBdr>
        <w:top w:val="none" w:sz="0" w:space="0" w:color="auto"/>
        <w:left w:val="none" w:sz="0" w:space="0" w:color="auto"/>
        <w:bottom w:val="none" w:sz="0" w:space="0" w:color="auto"/>
        <w:right w:val="none" w:sz="0" w:space="0" w:color="auto"/>
      </w:divBdr>
    </w:div>
    <w:div w:id="104232254">
      <w:bodyDiv w:val="1"/>
      <w:marLeft w:val="0"/>
      <w:marRight w:val="0"/>
      <w:marTop w:val="0"/>
      <w:marBottom w:val="0"/>
      <w:divBdr>
        <w:top w:val="none" w:sz="0" w:space="0" w:color="auto"/>
        <w:left w:val="none" w:sz="0" w:space="0" w:color="auto"/>
        <w:bottom w:val="none" w:sz="0" w:space="0" w:color="auto"/>
        <w:right w:val="none" w:sz="0" w:space="0" w:color="auto"/>
      </w:divBdr>
    </w:div>
    <w:div w:id="104234204">
      <w:bodyDiv w:val="1"/>
      <w:marLeft w:val="0"/>
      <w:marRight w:val="0"/>
      <w:marTop w:val="0"/>
      <w:marBottom w:val="0"/>
      <w:divBdr>
        <w:top w:val="none" w:sz="0" w:space="0" w:color="auto"/>
        <w:left w:val="none" w:sz="0" w:space="0" w:color="auto"/>
        <w:bottom w:val="none" w:sz="0" w:space="0" w:color="auto"/>
        <w:right w:val="none" w:sz="0" w:space="0" w:color="auto"/>
      </w:divBdr>
    </w:div>
    <w:div w:id="104277374">
      <w:bodyDiv w:val="1"/>
      <w:marLeft w:val="0"/>
      <w:marRight w:val="0"/>
      <w:marTop w:val="0"/>
      <w:marBottom w:val="0"/>
      <w:divBdr>
        <w:top w:val="none" w:sz="0" w:space="0" w:color="auto"/>
        <w:left w:val="none" w:sz="0" w:space="0" w:color="auto"/>
        <w:bottom w:val="none" w:sz="0" w:space="0" w:color="auto"/>
        <w:right w:val="none" w:sz="0" w:space="0" w:color="auto"/>
      </w:divBdr>
    </w:div>
    <w:div w:id="104278144">
      <w:bodyDiv w:val="1"/>
      <w:marLeft w:val="0"/>
      <w:marRight w:val="0"/>
      <w:marTop w:val="0"/>
      <w:marBottom w:val="0"/>
      <w:divBdr>
        <w:top w:val="none" w:sz="0" w:space="0" w:color="auto"/>
        <w:left w:val="none" w:sz="0" w:space="0" w:color="auto"/>
        <w:bottom w:val="none" w:sz="0" w:space="0" w:color="auto"/>
        <w:right w:val="none" w:sz="0" w:space="0" w:color="auto"/>
      </w:divBdr>
    </w:div>
    <w:div w:id="104346891">
      <w:bodyDiv w:val="1"/>
      <w:marLeft w:val="0"/>
      <w:marRight w:val="0"/>
      <w:marTop w:val="0"/>
      <w:marBottom w:val="0"/>
      <w:divBdr>
        <w:top w:val="none" w:sz="0" w:space="0" w:color="auto"/>
        <w:left w:val="none" w:sz="0" w:space="0" w:color="auto"/>
        <w:bottom w:val="none" w:sz="0" w:space="0" w:color="auto"/>
        <w:right w:val="none" w:sz="0" w:space="0" w:color="auto"/>
      </w:divBdr>
    </w:div>
    <w:div w:id="104422208">
      <w:bodyDiv w:val="1"/>
      <w:marLeft w:val="0"/>
      <w:marRight w:val="0"/>
      <w:marTop w:val="0"/>
      <w:marBottom w:val="0"/>
      <w:divBdr>
        <w:top w:val="none" w:sz="0" w:space="0" w:color="auto"/>
        <w:left w:val="none" w:sz="0" w:space="0" w:color="auto"/>
        <w:bottom w:val="none" w:sz="0" w:space="0" w:color="auto"/>
        <w:right w:val="none" w:sz="0" w:space="0" w:color="auto"/>
      </w:divBdr>
    </w:div>
    <w:div w:id="104465745">
      <w:bodyDiv w:val="1"/>
      <w:marLeft w:val="0"/>
      <w:marRight w:val="0"/>
      <w:marTop w:val="0"/>
      <w:marBottom w:val="0"/>
      <w:divBdr>
        <w:top w:val="none" w:sz="0" w:space="0" w:color="auto"/>
        <w:left w:val="none" w:sz="0" w:space="0" w:color="auto"/>
        <w:bottom w:val="none" w:sz="0" w:space="0" w:color="auto"/>
        <w:right w:val="none" w:sz="0" w:space="0" w:color="auto"/>
      </w:divBdr>
    </w:div>
    <w:div w:id="104467454">
      <w:bodyDiv w:val="1"/>
      <w:marLeft w:val="0"/>
      <w:marRight w:val="0"/>
      <w:marTop w:val="0"/>
      <w:marBottom w:val="0"/>
      <w:divBdr>
        <w:top w:val="none" w:sz="0" w:space="0" w:color="auto"/>
        <w:left w:val="none" w:sz="0" w:space="0" w:color="auto"/>
        <w:bottom w:val="none" w:sz="0" w:space="0" w:color="auto"/>
        <w:right w:val="none" w:sz="0" w:space="0" w:color="auto"/>
      </w:divBdr>
    </w:div>
    <w:div w:id="104732428">
      <w:bodyDiv w:val="1"/>
      <w:marLeft w:val="0"/>
      <w:marRight w:val="0"/>
      <w:marTop w:val="0"/>
      <w:marBottom w:val="0"/>
      <w:divBdr>
        <w:top w:val="none" w:sz="0" w:space="0" w:color="auto"/>
        <w:left w:val="none" w:sz="0" w:space="0" w:color="auto"/>
        <w:bottom w:val="none" w:sz="0" w:space="0" w:color="auto"/>
        <w:right w:val="none" w:sz="0" w:space="0" w:color="auto"/>
      </w:divBdr>
    </w:div>
    <w:div w:id="104809094">
      <w:bodyDiv w:val="1"/>
      <w:marLeft w:val="0"/>
      <w:marRight w:val="0"/>
      <w:marTop w:val="0"/>
      <w:marBottom w:val="0"/>
      <w:divBdr>
        <w:top w:val="none" w:sz="0" w:space="0" w:color="auto"/>
        <w:left w:val="none" w:sz="0" w:space="0" w:color="auto"/>
        <w:bottom w:val="none" w:sz="0" w:space="0" w:color="auto"/>
        <w:right w:val="none" w:sz="0" w:space="0" w:color="auto"/>
      </w:divBdr>
    </w:div>
    <w:div w:id="104884399">
      <w:bodyDiv w:val="1"/>
      <w:marLeft w:val="0"/>
      <w:marRight w:val="0"/>
      <w:marTop w:val="0"/>
      <w:marBottom w:val="0"/>
      <w:divBdr>
        <w:top w:val="none" w:sz="0" w:space="0" w:color="auto"/>
        <w:left w:val="none" w:sz="0" w:space="0" w:color="auto"/>
        <w:bottom w:val="none" w:sz="0" w:space="0" w:color="auto"/>
        <w:right w:val="none" w:sz="0" w:space="0" w:color="auto"/>
      </w:divBdr>
    </w:div>
    <w:div w:id="104887152">
      <w:bodyDiv w:val="1"/>
      <w:marLeft w:val="0"/>
      <w:marRight w:val="0"/>
      <w:marTop w:val="0"/>
      <w:marBottom w:val="0"/>
      <w:divBdr>
        <w:top w:val="none" w:sz="0" w:space="0" w:color="auto"/>
        <w:left w:val="none" w:sz="0" w:space="0" w:color="auto"/>
        <w:bottom w:val="none" w:sz="0" w:space="0" w:color="auto"/>
        <w:right w:val="none" w:sz="0" w:space="0" w:color="auto"/>
      </w:divBdr>
    </w:div>
    <w:div w:id="104928831">
      <w:bodyDiv w:val="1"/>
      <w:marLeft w:val="0"/>
      <w:marRight w:val="0"/>
      <w:marTop w:val="0"/>
      <w:marBottom w:val="0"/>
      <w:divBdr>
        <w:top w:val="none" w:sz="0" w:space="0" w:color="auto"/>
        <w:left w:val="none" w:sz="0" w:space="0" w:color="auto"/>
        <w:bottom w:val="none" w:sz="0" w:space="0" w:color="auto"/>
        <w:right w:val="none" w:sz="0" w:space="0" w:color="auto"/>
      </w:divBdr>
    </w:div>
    <w:div w:id="105001908">
      <w:bodyDiv w:val="1"/>
      <w:marLeft w:val="0"/>
      <w:marRight w:val="0"/>
      <w:marTop w:val="0"/>
      <w:marBottom w:val="0"/>
      <w:divBdr>
        <w:top w:val="none" w:sz="0" w:space="0" w:color="auto"/>
        <w:left w:val="none" w:sz="0" w:space="0" w:color="auto"/>
        <w:bottom w:val="none" w:sz="0" w:space="0" w:color="auto"/>
        <w:right w:val="none" w:sz="0" w:space="0" w:color="auto"/>
      </w:divBdr>
    </w:div>
    <w:div w:id="105119909">
      <w:bodyDiv w:val="1"/>
      <w:marLeft w:val="0"/>
      <w:marRight w:val="0"/>
      <w:marTop w:val="0"/>
      <w:marBottom w:val="0"/>
      <w:divBdr>
        <w:top w:val="none" w:sz="0" w:space="0" w:color="auto"/>
        <w:left w:val="none" w:sz="0" w:space="0" w:color="auto"/>
        <w:bottom w:val="none" w:sz="0" w:space="0" w:color="auto"/>
        <w:right w:val="none" w:sz="0" w:space="0" w:color="auto"/>
      </w:divBdr>
    </w:div>
    <w:div w:id="105123252">
      <w:bodyDiv w:val="1"/>
      <w:marLeft w:val="0"/>
      <w:marRight w:val="0"/>
      <w:marTop w:val="0"/>
      <w:marBottom w:val="0"/>
      <w:divBdr>
        <w:top w:val="none" w:sz="0" w:space="0" w:color="auto"/>
        <w:left w:val="none" w:sz="0" w:space="0" w:color="auto"/>
        <w:bottom w:val="none" w:sz="0" w:space="0" w:color="auto"/>
        <w:right w:val="none" w:sz="0" w:space="0" w:color="auto"/>
      </w:divBdr>
    </w:div>
    <w:div w:id="105127273">
      <w:bodyDiv w:val="1"/>
      <w:marLeft w:val="0"/>
      <w:marRight w:val="0"/>
      <w:marTop w:val="0"/>
      <w:marBottom w:val="0"/>
      <w:divBdr>
        <w:top w:val="none" w:sz="0" w:space="0" w:color="auto"/>
        <w:left w:val="none" w:sz="0" w:space="0" w:color="auto"/>
        <w:bottom w:val="none" w:sz="0" w:space="0" w:color="auto"/>
        <w:right w:val="none" w:sz="0" w:space="0" w:color="auto"/>
      </w:divBdr>
    </w:div>
    <w:div w:id="105273277">
      <w:bodyDiv w:val="1"/>
      <w:marLeft w:val="0"/>
      <w:marRight w:val="0"/>
      <w:marTop w:val="0"/>
      <w:marBottom w:val="0"/>
      <w:divBdr>
        <w:top w:val="none" w:sz="0" w:space="0" w:color="auto"/>
        <w:left w:val="none" w:sz="0" w:space="0" w:color="auto"/>
        <w:bottom w:val="none" w:sz="0" w:space="0" w:color="auto"/>
        <w:right w:val="none" w:sz="0" w:space="0" w:color="auto"/>
      </w:divBdr>
    </w:div>
    <w:div w:id="105390387">
      <w:bodyDiv w:val="1"/>
      <w:marLeft w:val="0"/>
      <w:marRight w:val="0"/>
      <w:marTop w:val="0"/>
      <w:marBottom w:val="0"/>
      <w:divBdr>
        <w:top w:val="none" w:sz="0" w:space="0" w:color="auto"/>
        <w:left w:val="none" w:sz="0" w:space="0" w:color="auto"/>
        <w:bottom w:val="none" w:sz="0" w:space="0" w:color="auto"/>
        <w:right w:val="none" w:sz="0" w:space="0" w:color="auto"/>
      </w:divBdr>
    </w:div>
    <w:div w:id="105392629">
      <w:bodyDiv w:val="1"/>
      <w:marLeft w:val="0"/>
      <w:marRight w:val="0"/>
      <w:marTop w:val="0"/>
      <w:marBottom w:val="0"/>
      <w:divBdr>
        <w:top w:val="none" w:sz="0" w:space="0" w:color="auto"/>
        <w:left w:val="none" w:sz="0" w:space="0" w:color="auto"/>
        <w:bottom w:val="none" w:sz="0" w:space="0" w:color="auto"/>
        <w:right w:val="none" w:sz="0" w:space="0" w:color="auto"/>
      </w:divBdr>
    </w:div>
    <w:div w:id="105543669">
      <w:bodyDiv w:val="1"/>
      <w:marLeft w:val="0"/>
      <w:marRight w:val="0"/>
      <w:marTop w:val="0"/>
      <w:marBottom w:val="0"/>
      <w:divBdr>
        <w:top w:val="none" w:sz="0" w:space="0" w:color="auto"/>
        <w:left w:val="none" w:sz="0" w:space="0" w:color="auto"/>
        <w:bottom w:val="none" w:sz="0" w:space="0" w:color="auto"/>
        <w:right w:val="none" w:sz="0" w:space="0" w:color="auto"/>
      </w:divBdr>
    </w:div>
    <w:div w:id="105731587">
      <w:bodyDiv w:val="1"/>
      <w:marLeft w:val="0"/>
      <w:marRight w:val="0"/>
      <w:marTop w:val="0"/>
      <w:marBottom w:val="0"/>
      <w:divBdr>
        <w:top w:val="none" w:sz="0" w:space="0" w:color="auto"/>
        <w:left w:val="none" w:sz="0" w:space="0" w:color="auto"/>
        <w:bottom w:val="none" w:sz="0" w:space="0" w:color="auto"/>
        <w:right w:val="none" w:sz="0" w:space="0" w:color="auto"/>
      </w:divBdr>
    </w:div>
    <w:div w:id="105731951">
      <w:bodyDiv w:val="1"/>
      <w:marLeft w:val="0"/>
      <w:marRight w:val="0"/>
      <w:marTop w:val="0"/>
      <w:marBottom w:val="0"/>
      <w:divBdr>
        <w:top w:val="none" w:sz="0" w:space="0" w:color="auto"/>
        <w:left w:val="none" w:sz="0" w:space="0" w:color="auto"/>
        <w:bottom w:val="none" w:sz="0" w:space="0" w:color="auto"/>
        <w:right w:val="none" w:sz="0" w:space="0" w:color="auto"/>
      </w:divBdr>
    </w:div>
    <w:div w:id="105734671">
      <w:bodyDiv w:val="1"/>
      <w:marLeft w:val="0"/>
      <w:marRight w:val="0"/>
      <w:marTop w:val="0"/>
      <w:marBottom w:val="0"/>
      <w:divBdr>
        <w:top w:val="none" w:sz="0" w:space="0" w:color="auto"/>
        <w:left w:val="none" w:sz="0" w:space="0" w:color="auto"/>
        <w:bottom w:val="none" w:sz="0" w:space="0" w:color="auto"/>
        <w:right w:val="none" w:sz="0" w:space="0" w:color="auto"/>
      </w:divBdr>
    </w:div>
    <w:div w:id="105739124">
      <w:bodyDiv w:val="1"/>
      <w:marLeft w:val="0"/>
      <w:marRight w:val="0"/>
      <w:marTop w:val="0"/>
      <w:marBottom w:val="0"/>
      <w:divBdr>
        <w:top w:val="none" w:sz="0" w:space="0" w:color="auto"/>
        <w:left w:val="none" w:sz="0" w:space="0" w:color="auto"/>
        <w:bottom w:val="none" w:sz="0" w:space="0" w:color="auto"/>
        <w:right w:val="none" w:sz="0" w:space="0" w:color="auto"/>
      </w:divBdr>
    </w:div>
    <w:div w:id="105740797">
      <w:bodyDiv w:val="1"/>
      <w:marLeft w:val="0"/>
      <w:marRight w:val="0"/>
      <w:marTop w:val="0"/>
      <w:marBottom w:val="0"/>
      <w:divBdr>
        <w:top w:val="none" w:sz="0" w:space="0" w:color="auto"/>
        <w:left w:val="none" w:sz="0" w:space="0" w:color="auto"/>
        <w:bottom w:val="none" w:sz="0" w:space="0" w:color="auto"/>
        <w:right w:val="none" w:sz="0" w:space="0" w:color="auto"/>
      </w:divBdr>
    </w:div>
    <w:div w:id="105777101">
      <w:bodyDiv w:val="1"/>
      <w:marLeft w:val="0"/>
      <w:marRight w:val="0"/>
      <w:marTop w:val="0"/>
      <w:marBottom w:val="0"/>
      <w:divBdr>
        <w:top w:val="none" w:sz="0" w:space="0" w:color="auto"/>
        <w:left w:val="none" w:sz="0" w:space="0" w:color="auto"/>
        <w:bottom w:val="none" w:sz="0" w:space="0" w:color="auto"/>
        <w:right w:val="none" w:sz="0" w:space="0" w:color="auto"/>
      </w:divBdr>
    </w:div>
    <w:div w:id="105780796">
      <w:bodyDiv w:val="1"/>
      <w:marLeft w:val="0"/>
      <w:marRight w:val="0"/>
      <w:marTop w:val="0"/>
      <w:marBottom w:val="0"/>
      <w:divBdr>
        <w:top w:val="none" w:sz="0" w:space="0" w:color="auto"/>
        <w:left w:val="none" w:sz="0" w:space="0" w:color="auto"/>
        <w:bottom w:val="none" w:sz="0" w:space="0" w:color="auto"/>
        <w:right w:val="none" w:sz="0" w:space="0" w:color="auto"/>
      </w:divBdr>
    </w:div>
    <w:div w:id="105781303">
      <w:bodyDiv w:val="1"/>
      <w:marLeft w:val="0"/>
      <w:marRight w:val="0"/>
      <w:marTop w:val="0"/>
      <w:marBottom w:val="0"/>
      <w:divBdr>
        <w:top w:val="none" w:sz="0" w:space="0" w:color="auto"/>
        <w:left w:val="none" w:sz="0" w:space="0" w:color="auto"/>
        <w:bottom w:val="none" w:sz="0" w:space="0" w:color="auto"/>
        <w:right w:val="none" w:sz="0" w:space="0" w:color="auto"/>
      </w:divBdr>
    </w:div>
    <w:div w:id="106002516">
      <w:bodyDiv w:val="1"/>
      <w:marLeft w:val="0"/>
      <w:marRight w:val="0"/>
      <w:marTop w:val="0"/>
      <w:marBottom w:val="0"/>
      <w:divBdr>
        <w:top w:val="none" w:sz="0" w:space="0" w:color="auto"/>
        <w:left w:val="none" w:sz="0" w:space="0" w:color="auto"/>
        <w:bottom w:val="none" w:sz="0" w:space="0" w:color="auto"/>
        <w:right w:val="none" w:sz="0" w:space="0" w:color="auto"/>
      </w:divBdr>
    </w:div>
    <w:div w:id="106125925">
      <w:bodyDiv w:val="1"/>
      <w:marLeft w:val="0"/>
      <w:marRight w:val="0"/>
      <w:marTop w:val="0"/>
      <w:marBottom w:val="0"/>
      <w:divBdr>
        <w:top w:val="none" w:sz="0" w:space="0" w:color="auto"/>
        <w:left w:val="none" w:sz="0" w:space="0" w:color="auto"/>
        <w:bottom w:val="none" w:sz="0" w:space="0" w:color="auto"/>
        <w:right w:val="none" w:sz="0" w:space="0" w:color="auto"/>
      </w:divBdr>
    </w:div>
    <w:div w:id="106317833">
      <w:bodyDiv w:val="1"/>
      <w:marLeft w:val="0"/>
      <w:marRight w:val="0"/>
      <w:marTop w:val="0"/>
      <w:marBottom w:val="0"/>
      <w:divBdr>
        <w:top w:val="none" w:sz="0" w:space="0" w:color="auto"/>
        <w:left w:val="none" w:sz="0" w:space="0" w:color="auto"/>
        <w:bottom w:val="none" w:sz="0" w:space="0" w:color="auto"/>
        <w:right w:val="none" w:sz="0" w:space="0" w:color="auto"/>
      </w:divBdr>
    </w:div>
    <w:div w:id="106320536">
      <w:bodyDiv w:val="1"/>
      <w:marLeft w:val="0"/>
      <w:marRight w:val="0"/>
      <w:marTop w:val="0"/>
      <w:marBottom w:val="0"/>
      <w:divBdr>
        <w:top w:val="none" w:sz="0" w:space="0" w:color="auto"/>
        <w:left w:val="none" w:sz="0" w:space="0" w:color="auto"/>
        <w:bottom w:val="none" w:sz="0" w:space="0" w:color="auto"/>
        <w:right w:val="none" w:sz="0" w:space="0" w:color="auto"/>
      </w:divBdr>
    </w:div>
    <w:div w:id="106432004">
      <w:bodyDiv w:val="1"/>
      <w:marLeft w:val="0"/>
      <w:marRight w:val="0"/>
      <w:marTop w:val="0"/>
      <w:marBottom w:val="0"/>
      <w:divBdr>
        <w:top w:val="none" w:sz="0" w:space="0" w:color="auto"/>
        <w:left w:val="none" w:sz="0" w:space="0" w:color="auto"/>
        <w:bottom w:val="none" w:sz="0" w:space="0" w:color="auto"/>
        <w:right w:val="none" w:sz="0" w:space="0" w:color="auto"/>
      </w:divBdr>
    </w:div>
    <w:div w:id="106585082">
      <w:bodyDiv w:val="1"/>
      <w:marLeft w:val="0"/>
      <w:marRight w:val="0"/>
      <w:marTop w:val="0"/>
      <w:marBottom w:val="0"/>
      <w:divBdr>
        <w:top w:val="none" w:sz="0" w:space="0" w:color="auto"/>
        <w:left w:val="none" w:sz="0" w:space="0" w:color="auto"/>
        <w:bottom w:val="none" w:sz="0" w:space="0" w:color="auto"/>
        <w:right w:val="none" w:sz="0" w:space="0" w:color="auto"/>
      </w:divBdr>
    </w:div>
    <w:div w:id="106589500">
      <w:bodyDiv w:val="1"/>
      <w:marLeft w:val="0"/>
      <w:marRight w:val="0"/>
      <w:marTop w:val="0"/>
      <w:marBottom w:val="0"/>
      <w:divBdr>
        <w:top w:val="none" w:sz="0" w:space="0" w:color="auto"/>
        <w:left w:val="none" w:sz="0" w:space="0" w:color="auto"/>
        <w:bottom w:val="none" w:sz="0" w:space="0" w:color="auto"/>
        <w:right w:val="none" w:sz="0" w:space="0" w:color="auto"/>
      </w:divBdr>
    </w:div>
    <w:div w:id="106823955">
      <w:bodyDiv w:val="1"/>
      <w:marLeft w:val="0"/>
      <w:marRight w:val="0"/>
      <w:marTop w:val="0"/>
      <w:marBottom w:val="0"/>
      <w:divBdr>
        <w:top w:val="none" w:sz="0" w:space="0" w:color="auto"/>
        <w:left w:val="none" w:sz="0" w:space="0" w:color="auto"/>
        <w:bottom w:val="none" w:sz="0" w:space="0" w:color="auto"/>
        <w:right w:val="none" w:sz="0" w:space="0" w:color="auto"/>
      </w:divBdr>
    </w:div>
    <w:div w:id="106850835">
      <w:bodyDiv w:val="1"/>
      <w:marLeft w:val="0"/>
      <w:marRight w:val="0"/>
      <w:marTop w:val="0"/>
      <w:marBottom w:val="0"/>
      <w:divBdr>
        <w:top w:val="none" w:sz="0" w:space="0" w:color="auto"/>
        <w:left w:val="none" w:sz="0" w:space="0" w:color="auto"/>
        <w:bottom w:val="none" w:sz="0" w:space="0" w:color="auto"/>
        <w:right w:val="none" w:sz="0" w:space="0" w:color="auto"/>
      </w:divBdr>
    </w:div>
    <w:div w:id="106854661">
      <w:bodyDiv w:val="1"/>
      <w:marLeft w:val="0"/>
      <w:marRight w:val="0"/>
      <w:marTop w:val="0"/>
      <w:marBottom w:val="0"/>
      <w:divBdr>
        <w:top w:val="none" w:sz="0" w:space="0" w:color="auto"/>
        <w:left w:val="none" w:sz="0" w:space="0" w:color="auto"/>
        <w:bottom w:val="none" w:sz="0" w:space="0" w:color="auto"/>
        <w:right w:val="none" w:sz="0" w:space="0" w:color="auto"/>
      </w:divBdr>
    </w:div>
    <w:div w:id="106894735">
      <w:bodyDiv w:val="1"/>
      <w:marLeft w:val="0"/>
      <w:marRight w:val="0"/>
      <w:marTop w:val="0"/>
      <w:marBottom w:val="0"/>
      <w:divBdr>
        <w:top w:val="none" w:sz="0" w:space="0" w:color="auto"/>
        <w:left w:val="none" w:sz="0" w:space="0" w:color="auto"/>
        <w:bottom w:val="none" w:sz="0" w:space="0" w:color="auto"/>
        <w:right w:val="none" w:sz="0" w:space="0" w:color="auto"/>
      </w:divBdr>
    </w:div>
    <w:div w:id="106968368">
      <w:bodyDiv w:val="1"/>
      <w:marLeft w:val="0"/>
      <w:marRight w:val="0"/>
      <w:marTop w:val="0"/>
      <w:marBottom w:val="0"/>
      <w:divBdr>
        <w:top w:val="none" w:sz="0" w:space="0" w:color="auto"/>
        <w:left w:val="none" w:sz="0" w:space="0" w:color="auto"/>
        <w:bottom w:val="none" w:sz="0" w:space="0" w:color="auto"/>
        <w:right w:val="none" w:sz="0" w:space="0" w:color="auto"/>
      </w:divBdr>
    </w:div>
    <w:div w:id="106972698">
      <w:bodyDiv w:val="1"/>
      <w:marLeft w:val="0"/>
      <w:marRight w:val="0"/>
      <w:marTop w:val="0"/>
      <w:marBottom w:val="0"/>
      <w:divBdr>
        <w:top w:val="none" w:sz="0" w:space="0" w:color="auto"/>
        <w:left w:val="none" w:sz="0" w:space="0" w:color="auto"/>
        <w:bottom w:val="none" w:sz="0" w:space="0" w:color="auto"/>
        <w:right w:val="none" w:sz="0" w:space="0" w:color="auto"/>
      </w:divBdr>
    </w:div>
    <w:div w:id="107044979">
      <w:bodyDiv w:val="1"/>
      <w:marLeft w:val="0"/>
      <w:marRight w:val="0"/>
      <w:marTop w:val="0"/>
      <w:marBottom w:val="0"/>
      <w:divBdr>
        <w:top w:val="none" w:sz="0" w:space="0" w:color="auto"/>
        <w:left w:val="none" w:sz="0" w:space="0" w:color="auto"/>
        <w:bottom w:val="none" w:sz="0" w:space="0" w:color="auto"/>
        <w:right w:val="none" w:sz="0" w:space="0" w:color="auto"/>
      </w:divBdr>
    </w:div>
    <w:div w:id="107092525">
      <w:bodyDiv w:val="1"/>
      <w:marLeft w:val="0"/>
      <w:marRight w:val="0"/>
      <w:marTop w:val="0"/>
      <w:marBottom w:val="0"/>
      <w:divBdr>
        <w:top w:val="none" w:sz="0" w:space="0" w:color="auto"/>
        <w:left w:val="none" w:sz="0" w:space="0" w:color="auto"/>
        <w:bottom w:val="none" w:sz="0" w:space="0" w:color="auto"/>
        <w:right w:val="none" w:sz="0" w:space="0" w:color="auto"/>
      </w:divBdr>
    </w:div>
    <w:div w:id="107313734">
      <w:bodyDiv w:val="1"/>
      <w:marLeft w:val="0"/>
      <w:marRight w:val="0"/>
      <w:marTop w:val="0"/>
      <w:marBottom w:val="0"/>
      <w:divBdr>
        <w:top w:val="none" w:sz="0" w:space="0" w:color="auto"/>
        <w:left w:val="none" w:sz="0" w:space="0" w:color="auto"/>
        <w:bottom w:val="none" w:sz="0" w:space="0" w:color="auto"/>
        <w:right w:val="none" w:sz="0" w:space="0" w:color="auto"/>
      </w:divBdr>
    </w:div>
    <w:div w:id="107353947">
      <w:bodyDiv w:val="1"/>
      <w:marLeft w:val="0"/>
      <w:marRight w:val="0"/>
      <w:marTop w:val="0"/>
      <w:marBottom w:val="0"/>
      <w:divBdr>
        <w:top w:val="none" w:sz="0" w:space="0" w:color="auto"/>
        <w:left w:val="none" w:sz="0" w:space="0" w:color="auto"/>
        <w:bottom w:val="none" w:sz="0" w:space="0" w:color="auto"/>
        <w:right w:val="none" w:sz="0" w:space="0" w:color="auto"/>
      </w:divBdr>
    </w:div>
    <w:div w:id="107362437">
      <w:bodyDiv w:val="1"/>
      <w:marLeft w:val="0"/>
      <w:marRight w:val="0"/>
      <w:marTop w:val="0"/>
      <w:marBottom w:val="0"/>
      <w:divBdr>
        <w:top w:val="none" w:sz="0" w:space="0" w:color="auto"/>
        <w:left w:val="none" w:sz="0" w:space="0" w:color="auto"/>
        <w:bottom w:val="none" w:sz="0" w:space="0" w:color="auto"/>
        <w:right w:val="none" w:sz="0" w:space="0" w:color="auto"/>
      </w:divBdr>
    </w:div>
    <w:div w:id="107434529">
      <w:bodyDiv w:val="1"/>
      <w:marLeft w:val="0"/>
      <w:marRight w:val="0"/>
      <w:marTop w:val="0"/>
      <w:marBottom w:val="0"/>
      <w:divBdr>
        <w:top w:val="none" w:sz="0" w:space="0" w:color="auto"/>
        <w:left w:val="none" w:sz="0" w:space="0" w:color="auto"/>
        <w:bottom w:val="none" w:sz="0" w:space="0" w:color="auto"/>
        <w:right w:val="none" w:sz="0" w:space="0" w:color="auto"/>
      </w:divBdr>
    </w:div>
    <w:div w:id="107627301">
      <w:bodyDiv w:val="1"/>
      <w:marLeft w:val="0"/>
      <w:marRight w:val="0"/>
      <w:marTop w:val="0"/>
      <w:marBottom w:val="0"/>
      <w:divBdr>
        <w:top w:val="none" w:sz="0" w:space="0" w:color="auto"/>
        <w:left w:val="none" w:sz="0" w:space="0" w:color="auto"/>
        <w:bottom w:val="none" w:sz="0" w:space="0" w:color="auto"/>
        <w:right w:val="none" w:sz="0" w:space="0" w:color="auto"/>
      </w:divBdr>
    </w:div>
    <w:div w:id="107697277">
      <w:bodyDiv w:val="1"/>
      <w:marLeft w:val="0"/>
      <w:marRight w:val="0"/>
      <w:marTop w:val="0"/>
      <w:marBottom w:val="0"/>
      <w:divBdr>
        <w:top w:val="none" w:sz="0" w:space="0" w:color="auto"/>
        <w:left w:val="none" w:sz="0" w:space="0" w:color="auto"/>
        <w:bottom w:val="none" w:sz="0" w:space="0" w:color="auto"/>
        <w:right w:val="none" w:sz="0" w:space="0" w:color="auto"/>
      </w:divBdr>
    </w:div>
    <w:div w:id="107698281">
      <w:bodyDiv w:val="1"/>
      <w:marLeft w:val="0"/>
      <w:marRight w:val="0"/>
      <w:marTop w:val="0"/>
      <w:marBottom w:val="0"/>
      <w:divBdr>
        <w:top w:val="none" w:sz="0" w:space="0" w:color="auto"/>
        <w:left w:val="none" w:sz="0" w:space="0" w:color="auto"/>
        <w:bottom w:val="none" w:sz="0" w:space="0" w:color="auto"/>
        <w:right w:val="none" w:sz="0" w:space="0" w:color="auto"/>
      </w:divBdr>
    </w:div>
    <w:div w:id="107702442">
      <w:bodyDiv w:val="1"/>
      <w:marLeft w:val="0"/>
      <w:marRight w:val="0"/>
      <w:marTop w:val="0"/>
      <w:marBottom w:val="0"/>
      <w:divBdr>
        <w:top w:val="none" w:sz="0" w:space="0" w:color="auto"/>
        <w:left w:val="none" w:sz="0" w:space="0" w:color="auto"/>
        <w:bottom w:val="none" w:sz="0" w:space="0" w:color="auto"/>
        <w:right w:val="none" w:sz="0" w:space="0" w:color="auto"/>
      </w:divBdr>
    </w:div>
    <w:div w:id="107703777">
      <w:bodyDiv w:val="1"/>
      <w:marLeft w:val="0"/>
      <w:marRight w:val="0"/>
      <w:marTop w:val="0"/>
      <w:marBottom w:val="0"/>
      <w:divBdr>
        <w:top w:val="none" w:sz="0" w:space="0" w:color="auto"/>
        <w:left w:val="none" w:sz="0" w:space="0" w:color="auto"/>
        <w:bottom w:val="none" w:sz="0" w:space="0" w:color="auto"/>
        <w:right w:val="none" w:sz="0" w:space="0" w:color="auto"/>
      </w:divBdr>
    </w:div>
    <w:div w:id="107819221">
      <w:bodyDiv w:val="1"/>
      <w:marLeft w:val="0"/>
      <w:marRight w:val="0"/>
      <w:marTop w:val="0"/>
      <w:marBottom w:val="0"/>
      <w:divBdr>
        <w:top w:val="none" w:sz="0" w:space="0" w:color="auto"/>
        <w:left w:val="none" w:sz="0" w:space="0" w:color="auto"/>
        <w:bottom w:val="none" w:sz="0" w:space="0" w:color="auto"/>
        <w:right w:val="none" w:sz="0" w:space="0" w:color="auto"/>
      </w:divBdr>
    </w:div>
    <w:div w:id="107822457">
      <w:bodyDiv w:val="1"/>
      <w:marLeft w:val="0"/>
      <w:marRight w:val="0"/>
      <w:marTop w:val="0"/>
      <w:marBottom w:val="0"/>
      <w:divBdr>
        <w:top w:val="none" w:sz="0" w:space="0" w:color="auto"/>
        <w:left w:val="none" w:sz="0" w:space="0" w:color="auto"/>
        <w:bottom w:val="none" w:sz="0" w:space="0" w:color="auto"/>
        <w:right w:val="none" w:sz="0" w:space="0" w:color="auto"/>
      </w:divBdr>
    </w:div>
    <w:div w:id="107894792">
      <w:bodyDiv w:val="1"/>
      <w:marLeft w:val="0"/>
      <w:marRight w:val="0"/>
      <w:marTop w:val="0"/>
      <w:marBottom w:val="0"/>
      <w:divBdr>
        <w:top w:val="none" w:sz="0" w:space="0" w:color="auto"/>
        <w:left w:val="none" w:sz="0" w:space="0" w:color="auto"/>
        <w:bottom w:val="none" w:sz="0" w:space="0" w:color="auto"/>
        <w:right w:val="none" w:sz="0" w:space="0" w:color="auto"/>
      </w:divBdr>
    </w:div>
    <w:div w:id="107898499">
      <w:bodyDiv w:val="1"/>
      <w:marLeft w:val="0"/>
      <w:marRight w:val="0"/>
      <w:marTop w:val="0"/>
      <w:marBottom w:val="0"/>
      <w:divBdr>
        <w:top w:val="none" w:sz="0" w:space="0" w:color="auto"/>
        <w:left w:val="none" w:sz="0" w:space="0" w:color="auto"/>
        <w:bottom w:val="none" w:sz="0" w:space="0" w:color="auto"/>
        <w:right w:val="none" w:sz="0" w:space="0" w:color="auto"/>
      </w:divBdr>
    </w:div>
    <w:div w:id="108009647">
      <w:bodyDiv w:val="1"/>
      <w:marLeft w:val="0"/>
      <w:marRight w:val="0"/>
      <w:marTop w:val="0"/>
      <w:marBottom w:val="0"/>
      <w:divBdr>
        <w:top w:val="none" w:sz="0" w:space="0" w:color="auto"/>
        <w:left w:val="none" w:sz="0" w:space="0" w:color="auto"/>
        <w:bottom w:val="none" w:sz="0" w:space="0" w:color="auto"/>
        <w:right w:val="none" w:sz="0" w:space="0" w:color="auto"/>
      </w:divBdr>
    </w:div>
    <w:div w:id="108011104">
      <w:bodyDiv w:val="1"/>
      <w:marLeft w:val="0"/>
      <w:marRight w:val="0"/>
      <w:marTop w:val="0"/>
      <w:marBottom w:val="0"/>
      <w:divBdr>
        <w:top w:val="none" w:sz="0" w:space="0" w:color="auto"/>
        <w:left w:val="none" w:sz="0" w:space="0" w:color="auto"/>
        <w:bottom w:val="none" w:sz="0" w:space="0" w:color="auto"/>
        <w:right w:val="none" w:sz="0" w:space="0" w:color="auto"/>
      </w:divBdr>
    </w:div>
    <w:div w:id="108014940">
      <w:bodyDiv w:val="1"/>
      <w:marLeft w:val="0"/>
      <w:marRight w:val="0"/>
      <w:marTop w:val="0"/>
      <w:marBottom w:val="0"/>
      <w:divBdr>
        <w:top w:val="none" w:sz="0" w:space="0" w:color="auto"/>
        <w:left w:val="none" w:sz="0" w:space="0" w:color="auto"/>
        <w:bottom w:val="none" w:sz="0" w:space="0" w:color="auto"/>
        <w:right w:val="none" w:sz="0" w:space="0" w:color="auto"/>
      </w:divBdr>
    </w:div>
    <w:div w:id="108015102">
      <w:bodyDiv w:val="1"/>
      <w:marLeft w:val="0"/>
      <w:marRight w:val="0"/>
      <w:marTop w:val="0"/>
      <w:marBottom w:val="0"/>
      <w:divBdr>
        <w:top w:val="none" w:sz="0" w:space="0" w:color="auto"/>
        <w:left w:val="none" w:sz="0" w:space="0" w:color="auto"/>
        <w:bottom w:val="none" w:sz="0" w:space="0" w:color="auto"/>
        <w:right w:val="none" w:sz="0" w:space="0" w:color="auto"/>
      </w:divBdr>
    </w:div>
    <w:div w:id="108017957">
      <w:bodyDiv w:val="1"/>
      <w:marLeft w:val="0"/>
      <w:marRight w:val="0"/>
      <w:marTop w:val="0"/>
      <w:marBottom w:val="0"/>
      <w:divBdr>
        <w:top w:val="none" w:sz="0" w:space="0" w:color="auto"/>
        <w:left w:val="none" w:sz="0" w:space="0" w:color="auto"/>
        <w:bottom w:val="none" w:sz="0" w:space="0" w:color="auto"/>
        <w:right w:val="none" w:sz="0" w:space="0" w:color="auto"/>
      </w:divBdr>
    </w:div>
    <w:div w:id="108091873">
      <w:bodyDiv w:val="1"/>
      <w:marLeft w:val="0"/>
      <w:marRight w:val="0"/>
      <w:marTop w:val="0"/>
      <w:marBottom w:val="0"/>
      <w:divBdr>
        <w:top w:val="none" w:sz="0" w:space="0" w:color="auto"/>
        <w:left w:val="none" w:sz="0" w:space="0" w:color="auto"/>
        <w:bottom w:val="none" w:sz="0" w:space="0" w:color="auto"/>
        <w:right w:val="none" w:sz="0" w:space="0" w:color="auto"/>
      </w:divBdr>
    </w:div>
    <w:div w:id="108092294">
      <w:bodyDiv w:val="1"/>
      <w:marLeft w:val="0"/>
      <w:marRight w:val="0"/>
      <w:marTop w:val="0"/>
      <w:marBottom w:val="0"/>
      <w:divBdr>
        <w:top w:val="none" w:sz="0" w:space="0" w:color="auto"/>
        <w:left w:val="none" w:sz="0" w:space="0" w:color="auto"/>
        <w:bottom w:val="none" w:sz="0" w:space="0" w:color="auto"/>
        <w:right w:val="none" w:sz="0" w:space="0" w:color="auto"/>
      </w:divBdr>
    </w:div>
    <w:div w:id="108135119">
      <w:bodyDiv w:val="1"/>
      <w:marLeft w:val="0"/>
      <w:marRight w:val="0"/>
      <w:marTop w:val="0"/>
      <w:marBottom w:val="0"/>
      <w:divBdr>
        <w:top w:val="none" w:sz="0" w:space="0" w:color="auto"/>
        <w:left w:val="none" w:sz="0" w:space="0" w:color="auto"/>
        <w:bottom w:val="none" w:sz="0" w:space="0" w:color="auto"/>
        <w:right w:val="none" w:sz="0" w:space="0" w:color="auto"/>
      </w:divBdr>
    </w:div>
    <w:div w:id="108164229">
      <w:bodyDiv w:val="1"/>
      <w:marLeft w:val="0"/>
      <w:marRight w:val="0"/>
      <w:marTop w:val="0"/>
      <w:marBottom w:val="0"/>
      <w:divBdr>
        <w:top w:val="none" w:sz="0" w:space="0" w:color="auto"/>
        <w:left w:val="none" w:sz="0" w:space="0" w:color="auto"/>
        <w:bottom w:val="none" w:sz="0" w:space="0" w:color="auto"/>
        <w:right w:val="none" w:sz="0" w:space="0" w:color="auto"/>
      </w:divBdr>
    </w:div>
    <w:div w:id="108207019">
      <w:bodyDiv w:val="1"/>
      <w:marLeft w:val="0"/>
      <w:marRight w:val="0"/>
      <w:marTop w:val="0"/>
      <w:marBottom w:val="0"/>
      <w:divBdr>
        <w:top w:val="none" w:sz="0" w:space="0" w:color="auto"/>
        <w:left w:val="none" w:sz="0" w:space="0" w:color="auto"/>
        <w:bottom w:val="none" w:sz="0" w:space="0" w:color="auto"/>
        <w:right w:val="none" w:sz="0" w:space="0" w:color="auto"/>
      </w:divBdr>
    </w:div>
    <w:div w:id="108279562">
      <w:bodyDiv w:val="1"/>
      <w:marLeft w:val="0"/>
      <w:marRight w:val="0"/>
      <w:marTop w:val="0"/>
      <w:marBottom w:val="0"/>
      <w:divBdr>
        <w:top w:val="none" w:sz="0" w:space="0" w:color="auto"/>
        <w:left w:val="none" w:sz="0" w:space="0" w:color="auto"/>
        <w:bottom w:val="none" w:sz="0" w:space="0" w:color="auto"/>
        <w:right w:val="none" w:sz="0" w:space="0" w:color="auto"/>
      </w:divBdr>
    </w:div>
    <w:div w:id="108282577">
      <w:bodyDiv w:val="1"/>
      <w:marLeft w:val="0"/>
      <w:marRight w:val="0"/>
      <w:marTop w:val="0"/>
      <w:marBottom w:val="0"/>
      <w:divBdr>
        <w:top w:val="none" w:sz="0" w:space="0" w:color="auto"/>
        <w:left w:val="none" w:sz="0" w:space="0" w:color="auto"/>
        <w:bottom w:val="none" w:sz="0" w:space="0" w:color="auto"/>
        <w:right w:val="none" w:sz="0" w:space="0" w:color="auto"/>
      </w:divBdr>
    </w:div>
    <w:div w:id="108286092">
      <w:bodyDiv w:val="1"/>
      <w:marLeft w:val="0"/>
      <w:marRight w:val="0"/>
      <w:marTop w:val="0"/>
      <w:marBottom w:val="0"/>
      <w:divBdr>
        <w:top w:val="none" w:sz="0" w:space="0" w:color="auto"/>
        <w:left w:val="none" w:sz="0" w:space="0" w:color="auto"/>
        <w:bottom w:val="none" w:sz="0" w:space="0" w:color="auto"/>
        <w:right w:val="none" w:sz="0" w:space="0" w:color="auto"/>
      </w:divBdr>
    </w:div>
    <w:div w:id="108357252">
      <w:bodyDiv w:val="1"/>
      <w:marLeft w:val="0"/>
      <w:marRight w:val="0"/>
      <w:marTop w:val="0"/>
      <w:marBottom w:val="0"/>
      <w:divBdr>
        <w:top w:val="none" w:sz="0" w:space="0" w:color="auto"/>
        <w:left w:val="none" w:sz="0" w:space="0" w:color="auto"/>
        <w:bottom w:val="none" w:sz="0" w:space="0" w:color="auto"/>
        <w:right w:val="none" w:sz="0" w:space="0" w:color="auto"/>
      </w:divBdr>
    </w:div>
    <w:div w:id="108397322">
      <w:bodyDiv w:val="1"/>
      <w:marLeft w:val="0"/>
      <w:marRight w:val="0"/>
      <w:marTop w:val="0"/>
      <w:marBottom w:val="0"/>
      <w:divBdr>
        <w:top w:val="none" w:sz="0" w:space="0" w:color="auto"/>
        <w:left w:val="none" w:sz="0" w:space="0" w:color="auto"/>
        <w:bottom w:val="none" w:sz="0" w:space="0" w:color="auto"/>
        <w:right w:val="none" w:sz="0" w:space="0" w:color="auto"/>
      </w:divBdr>
    </w:div>
    <w:div w:id="108471727">
      <w:bodyDiv w:val="1"/>
      <w:marLeft w:val="0"/>
      <w:marRight w:val="0"/>
      <w:marTop w:val="0"/>
      <w:marBottom w:val="0"/>
      <w:divBdr>
        <w:top w:val="none" w:sz="0" w:space="0" w:color="auto"/>
        <w:left w:val="none" w:sz="0" w:space="0" w:color="auto"/>
        <w:bottom w:val="none" w:sz="0" w:space="0" w:color="auto"/>
        <w:right w:val="none" w:sz="0" w:space="0" w:color="auto"/>
      </w:divBdr>
    </w:div>
    <w:div w:id="108476531">
      <w:bodyDiv w:val="1"/>
      <w:marLeft w:val="0"/>
      <w:marRight w:val="0"/>
      <w:marTop w:val="0"/>
      <w:marBottom w:val="0"/>
      <w:divBdr>
        <w:top w:val="none" w:sz="0" w:space="0" w:color="auto"/>
        <w:left w:val="none" w:sz="0" w:space="0" w:color="auto"/>
        <w:bottom w:val="none" w:sz="0" w:space="0" w:color="auto"/>
        <w:right w:val="none" w:sz="0" w:space="0" w:color="auto"/>
      </w:divBdr>
    </w:div>
    <w:div w:id="108476914">
      <w:bodyDiv w:val="1"/>
      <w:marLeft w:val="0"/>
      <w:marRight w:val="0"/>
      <w:marTop w:val="0"/>
      <w:marBottom w:val="0"/>
      <w:divBdr>
        <w:top w:val="none" w:sz="0" w:space="0" w:color="auto"/>
        <w:left w:val="none" w:sz="0" w:space="0" w:color="auto"/>
        <w:bottom w:val="none" w:sz="0" w:space="0" w:color="auto"/>
        <w:right w:val="none" w:sz="0" w:space="0" w:color="auto"/>
      </w:divBdr>
    </w:div>
    <w:div w:id="108546337">
      <w:bodyDiv w:val="1"/>
      <w:marLeft w:val="0"/>
      <w:marRight w:val="0"/>
      <w:marTop w:val="0"/>
      <w:marBottom w:val="0"/>
      <w:divBdr>
        <w:top w:val="none" w:sz="0" w:space="0" w:color="auto"/>
        <w:left w:val="none" w:sz="0" w:space="0" w:color="auto"/>
        <w:bottom w:val="none" w:sz="0" w:space="0" w:color="auto"/>
        <w:right w:val="none" w:sz="0" w:space="0" w:color="auto"/>
      </w:divBdr>
    </w:div>
    <w:div w:id="108595428">
      <w:bodyDiv w:val="1"/>
      <w:marLeft w:val="0"/>
      <w:marRight w:val="0"/>
      <w:marTop w:val="0"/>
      <w:marBottom w:val="0"/>
      <w:divBdr>
        <w:top w:val="none" w:sz="0" w:space="0" w:color="auto"/>
        <w:left w:val="none" w:sz="0" w:space="0" w:color="auto"/>
        <w:bottom w:val="none" w:sz="0" w:space="0" w:color="auto"/>
        <w:right w:val="none" w:sz="0" w:space="0" w:color="auto"/>
      </w:divBdr>
    </w:div>
    <w:div w:id="108623618">
      <w:bodyDiv w:val="1"/>
      <w:marLeft w:val="0"/>
      <w:marRight w:val="0"/>
      <w:marTop w:val="0"/>
      <w:marBottom w:val="0"/>
      <w:divBdr>
        <w:top w:val="none" w:sz="0" w:space="0" w:color="auto"/>
        <w:left w:val="none" w:sz="0" w:space="0" w:color="auto"/>
        <w:bottom w:val="none" w:sz="0" w:space="0" w:color="auto"/>
        <w:right w:val="none" w:sz="0" w:space="0" w:color="auto"/>
      </w:divBdr>
    </w:div>
    <w:div w:id="108670579">
      <w:bodyDiv w:val="1"/>
      <w:marLeft w:val="0"/>
      <w:marRight w:val="0"/>
      <w:marTop w:val="0"/>
      <w:marBottom w:val="0"/>
      <w:divBdr>
        <w:top w:val="none" w:sz="0" w:space="0" w:color="auto"/>
        <w:left w:val="none" w:sz="0" w:space="0" w:color="auto"/>
        <w:bottom w:val="none" w:sz="0" w:space="0" w:color="auto"/>
        <w:right w:val="none" w:sz="0" w:space="0" w:color="auto"/>
      </w:divBdr>
    </w:div>
    <w:div w:id="108818292">
      <w:bodyDiv w:val="1"/>
      <w:marLeft w:val="0"/>
      <w:marRight w:val="0"/>
      <w:marTop w:val="0"/>
      <w:marBottom w:val="0"/>
      <w:divBdr>
        <w:top w:val="none" w:sz="0" w:space="0" w:color="auto"/>
        <w:left w:val="none" w:sz="0" w:space="0" w:color="auto"/>
        <w:bottom w:val="none" w:sz="0" w:space="0" w:color="auto"/>
        <w:right w:val="none" w:sz="0" w:space="0" w:color="auto"/>
      </w:divBdr>
    </w:div>
    <w:div w:id="108940932">
      <w:bodyDiv w:val="1"/>
      <w:marLeft w:val="0"/>
      <w:marRight w:val="0"/>
      <w:marTop w:val="0"/>
      <w:marBottom w:val="0"/>
      <w:divBdr>
        <w:top w:val="none" w:sz="0" w:space="0" w:color="auto"/>
        <w:left w:val="none" w:sz="0" w:space="0" w:color="auto"/>
        <w:bottom w:val="none" w:sz="0" w:space="0" w:color="auto"/>
        <w:right w:val="none" w:sz="0" w:space="0" w:color="auto"/>
      </w:divBdr>
    </w:div>
    <w:div w:id="109130897">
      <w:bodyDiv w:val="1"/>
      <w:marLeft w:val="0"/>
      <w:marRight w:val="0"/>
      <w:marTop w:val="0"/>
      <w:marBottom w:val="0"/>
      <w:divBdr>
        <w:top w:val="none" w:sz="0" w:space="0" w:color="auto"/>
        <w:left w:val="none" w:sz="0" w:space="0" w:color="auto"/>
        <w:bottom w:val="none" w:sz="0" w:space="0" w:color="auto"/>
        <w:right w:val="none" w:sz="0" w:space="0" w:color="auto"/>
      </w:divBdr>
    </w:div>
    <w:div w:id="109207009">
      <w:bodyDiv w:val="1"/>
      <w:marLeft w:val="0"/>
      <w:marRight w:val="0"/>
      <w:marTop w:val="0"/>
      <w:marBottom w:val="0"/>
      <w:divBdr>
        <w:top w:val="none" w:sz="0" w:space="0" w:color="auto"/>
        <w:left w:val="none" w:sz="0" w:space="0" w:color="auto"/>
        <w:bottom w:val="none" w:sz="0" w:space="0" w:color="auto"/>
        <w:right w:val="none" w:sz="0" w:space="0" w:color="auto"/>
      </w:divBdr>
    </w:div>
    <w:div w:id="109279049">
      <w:bodyDiv w:val="1"/>
      <w:marLeft w:val="0"/>
      <w:marRight w:val="0"/>
      <w:marTop w:val="0"/>
      <w:marBottom w:val="0"/>
      <w:divBdr>
        <w:top w:val="none" w:sz="0" w:space="0" w:color="auto"/>
        <w:left w:val="none" w:sz="0" w:space="0" w:color="auto"/>
        <w:bottom w:val="none" w:sz="0" w:space="0" w:color="auto"/>
        <w:right w:val="none" w:sz="0" w:space="0" w:color="auto"/>
      </w:divBdr>
    </w:div>
    <w:div w:id="109326784">
      <w:bodyDiv w:val="1"/>
      <w:marLeft w:val="0"/>
      <w:marRight w:val="0"/>
      <w:marTop w:val="0"/>
      <w:marBottom w:val="0"/>
      <w:divBdr>
        <w:top w:val="none" w:sz="0" w:space="0" w:color="auto"/>
        <w:left w:val="none" w:sz="0" w:space="0" w:color="auto"/>
        <w:bottom w:val="none" w:sz="0" w:space="0" w:color="auto"/>
        <w:right w:val="none" w:sz="0" w:space="0" w:color="auto"/>
      </w:divBdr>
    </w:div>
    <w:div w:id="109394385">
      <w:bodyDiv w:val="1"/>
      <w:marLeft w:val="0"/>
      <w:marRight w:val="0"/>
      <w:marTop w:val="0"/>
      <w:marBottom w:val="0"/>
      <w:divBdr>
        <w:top w:val="none" w:sz="0" w:space="0" w:color="auto"/>
        <w:left w:val="none" w:sz="0" w:space="0" w:color="auto"/>
        <w:bottom w:val="none" w:sz="0" w:space="0" w:color="auto"/>
        <w:right w:val="none" w:sz="0" w:space="0" w:color="auto"/>
      </w:divBdr>
    </w:div>
    <w:div w:id="109398864">
      <w:bodyDiv w:val="1"/>
      <w:marLeft w:val="0"/>
      <w:marRight w:val="0"/>
      <w:marTop w:val="0"/>
      <w:marBottom w:val="0"/>
      <w:divBdr>
        <w:top w:val="none" w:sz="0" w:space="0" w:color="auto"/>
        <w:left w:val="none" w:sz="0" w:space="0" w:color="auto"/>
        <w:bottom w:val="none" w:sz="0" w:space="0" w:color="auto"/>
        <w:right w:val="none" w:sz="0" w:space="0" w:color="auto"/>
      </w:divBdr>
    </w:div>
    <w:div w:id="109514842">
      <w:bodyDiv w:val="1"/>
      <w:marLeft w:val="0"/>
      <w:marRight w:val="0"/>
      <w:marTop w:val="0"/>
      <w:marBottom w:val="0"/>
      <w:divBdr>
        <w:top w:val="none" w:sz="0" w:space="0" w:color="auto"/>
        <w:left w:val="none" w:sz="0" w:space="0" w:color="auto"/>
        <w:bottom w:val="none" w:sz="0" w:space="0" w:color="auto"/>
        <w:right w:val="none" w:sz="0" w:space="0" w:color="auto"/>
      </w:divBdr>
    </w:div>
    <w:div w:id="109666172">
      <w:bodyDiv w:val="1"/>
      <w:marLeft w:val="0"/>
      <w:marRight w:val="0"/>
      <w:marTop w:val="0"/>
      <w:marBottom w:val="0"/>
      <w:divBdr>
        <w:top w:val="none" w:sz="0" w:space="0" w:color="auto"/>
        <w:left w:val="none" w:sz="0" w:space="0" w:color="auto"/>
        <w:bottom w:val="none" w:sz="0" w:space="0" w:color="auto"/>
        <w:right w:val="none" w:sz="0" w:space="0" w:color="auto"/>
      </w:divBdr>
    </w:div>
    <w:div w:id="109667138">
      <w:bodyDiv w:val="1"/>
      <w:marLeft w:val="0"/>
      <w:marRight w:val="0"/>
      <w:marTop w:val="0"/>
      <w:marBottom w:val="0"/>
      <w:divBdr>
        <w:top w:val="none" w:sz="0" w:space="0" w:color="auto"/>
        <w:left w:val="none" w:sz="0" w:space="0" w:color="auto"/>
        <w:bottom w:val="none" w:sz="0" w:space="0" w:color="auto"/>
        <w:right w:val="none" w:sz="0" w:space="0" w:color="auto"/>
      </w:divBdr>
    </w:div>
    <w:div w:id="109712731">
      <w:bodyDiv w:val="1"/>
      <w:marLeft w:val="0"/>
      <w:marRight w:val="0"/>
      <w:marTop w:val="0"/>
      <w:marBottom w:val="0"/>
      <w:divBdr>
        <w:top w:val="none" w:sz="0" w:space="0" w:color="auto"/>
        <w:left w:val="none" w:sz="0" w:space="0" w:color="auto"/>
        <w:bottom w:val="none" w:sz="0" w:space="0" w:color="auto"/>
        <w:right w:val="none" w:sz="0" w:space="0" w:color="auto"/>
      </w:divBdr>
    </w:div>
    <w:div w:id="109789872">
      <w:bodyDiv w:val="1"/>
      <w:marLeft w:val="0"/>
      <w:marRight w:val="0"/>
      <w:marTop w:val="0"/>
      <w:marBottom w:val="0"/>
      <w:divBdr>
        <w:top w:val="none" w:sz="0" w:space="0" w:color="auto"/>
        <w:left w:val="none" w:sz="0" w:space="0" w:color="auto"/>
        <w:bottom w:val="none" w:sz="0" w:space="0" w:color="auto"/>
        <w:right w:val="none" w:sz="0" w:space="0" w:color="auto"/>
      </w:divBdr>
    </w:div>
    <w:div w:id="109857266">
      <w:bodyDiv w:val="1"/>
      <w:marLeft w:val="0"/>
      <w:marRight w:val="0"/>
      <w:marTop w:val="0"/>
      <w:marBottom w:val="0"/>
      <w:divBdr>
        <w:top w:val="none" w:sz="0" w:space="0" w:color="auto"/>
        <w:left w:val="none" w:sz="0" w:space="0" w:color="auto"/>
        <w:bottom w:val="none" w:sz="0" w:space="0" w:color="auto"/>
        <w:right w:val="none" w:sz="0" w:space="0" w:color="auto"/>
      </w:divBdr>
    </w:div>
    <w:div w:id="109861368">
      <w:bodyDiv w:val="1"/>
      <w:marLeft w:val="0"/>
      <w:marRight w:val="0"/>
      <w:marTop w:val="0"/>
      <w:marBottom w:val="0"/>
      <w:divBdr>
        <w:top w:val="none" w:sz="0" w:space="0" w:color="auto"/>
        <w:left w:val="none" w:sz="0" w:space="0" w:color="auto"/>
        <w:bottom w:val="none" w:sz="0" w:space="0" w:color="auto"/>
        <w:right w:val="none" w:sz="0" w:space="0" w:color="auto"/>
      </w:divBdr>
    </w:div>
    <w:div w:id="109974179">
      <w:bodyDiv w:val="1"/>
      <w:marLeft w:val="0"/>
      <w:marRight w:val="0"/>
      <w:marTop w:val="0"/>
      <w:marBottom w:val="0"/>
      <w:divBdr>
        <w:top w:val="none" w:sz="0" w:space="0" w:color="auto"/>
        <w:left w:val="none" w:sz="0" w:space="0" w:color="auto"/>
        <w:bottom w:val="none" w:sz="0" w:space="0" w:color="auto"/>
        <w:right w:val="none" w:sz="0" w:space="0" w:color="auto"/>
      </w:divBdr>
    </w:div>
    <w:div w:id="109981732">
      <w:bodyDiv w:val="1"/>
      <w:marLeft w:val="0"/>
      <w:marRight w:val="0"/>
      <w:marTop w:val="0"/>
      <w:marBottom w:val="0"/>
      <w:divBdr>
        <w:top w:val="none" w:sz="0" w:space="0" w:color="auto"/>
        <w:left w:val="none" w:sz="0" w:space="0" w:color="auto"/>
        <w:bottom w:val="none" w:sz="0" w:space="0" w:color="auto"/>
        <w:right w:val="none" w:sz="0" w:space="0" w:color="auto"/>
      </w:divBdr>
    </w:div>
    <w:div w:id="110130691">
      <w:bodyDiv w:val="1"/>
      <w:marLeft w:val="0"/>
      <w:marRight w:val="0"/>
      <w:marTop w:val="0"/>
      <w:marBottom w:val="0"/>
      <w:divBdr>
        <w:top w:val="none" w:sz="0" w:space="0" w:color="auto"/>
        <w:left w:val="none" w:sz="0" w:space="0" w:color="auto"/>
        <w:bottom w:val="none" w:sz="0" w:space="0" w:color="auto"/>
        <w:right w:val="none" w:sz="0" w:space="0" w:color="auto"/>
      </w:divBdr>
    </w:div>
    <w:div w:id="110131614">
      <w:bodyDiv w:val="1"/>
      <w:marLeft w:val="0"/>
      <w:marRight w:val="0"/>
      <w:marTop w:val="0"/>
      <w:marBottom w:val="0"/>
      <w:divBdr>
        <w:top w:val="none" w:sz="0" w:space="0" w:color="auto"/>
        <w:left w:val="none" w:sz="0" w:space="0" w:color="auto"/>
        <w:bottom w:val="none" w:sz="0" w:space="0" w:color="auto"/>
        <w:right w:val="none" w:sz="0" w:space="0" w:color="auto"/>
      </w:divBdr>
    </w:div>
    <w:div w:id="110172660">
      <w:bodyDiv w:val="1"/>
      <w:marLeft w:val="0"/>
      <w:marRight w:val="0"/>
      <w:marTop w:val="0"/>
      <w:marBottom w:val="0"/>
      <w:divBdr>
        <w:top w:val="none" w:sz="0" w:space="0" w:color="auto"/>
        <w:left w:val="none" w:sz="0" w:space="0" w:color="auto"/>
        <w:bottom w:val="none" w:sz="0" w:space="0" w:color="auto"/>
        <w:right w:val="none" w:sz="0" w:space="0" w:color="auto"/>
      </w:divBdr>
    </w:div>
    <w:div w:id="110172894">
      <w:bodyDiv w:val="1"/>
      <w:marLeft w:val="0"/>
      <w:marRight w:val="0"/>
      <w:marTop w:val="0"/>
      <w:marBottom w:val="0"/>
      <w:divBdr>
        <w:top w:val="none" w:sz="0" w:space="0" w:color="auto"/>
        <w:left w:val="none" w:sz="0" w:space="0" w:color="auto"/>
        <w:bottom w:val="none" w:sz="0" w:space="0" w:color="auto"/>
        <w:right w:val="none" w:sz="0" w:space="0" w:color="auto"/>
      </w:divBdr>
    </w:div>
    <w:div w:id="110247992">
      <w:bodyDiv w:val="1"/>
      <w:marLeft w:val="0"/>
      <w:marRight w:val="0"/>
      <w:marTop w:val="0"/>
      <w:marBottom w:val="0"/>
      <w:divBdr>
        <w:top w:val="none" w:sz="0" w:space="0" w:color="auto"/>
        <w:left w:val="none" w:sz="0" w:space="0" w:color="auto"/>
        <w:bottom w:val="none" w:sz="0" w:space="0" w:color="auto"/>
        <w:right w:val="none" w:sz="0" w:space="0" w:color="auto"/>
      </w:divBdr>
    </w:div>
    <w:div w:id="110250788">
      <w:bodyDiv w:val="1"/>
      <w:marLeft w:val="0"/>
      <w:marRight w:val="0"/>
      <w:marTop w:val="0"/>
      <w:marBottom w:val="0"/>
      <w:divBdr>
        <w:top w:val="none" w:sz="0" w:space="0" w:color="auto"/>
        <w:left w:val="none" w:sz="0" w:space="0" w:color="auto"/>
        <w:bottom w:val="none" w:sz="0" w:space="0" w:color="auto"/>
        <w:right w:val="none" w:sz="0" w:space="0" w:color="auto"/>
      </w:divBdr>
    </w:div>
    <w:div w:id="110367120">
      <w:bodyDiv w:val="1"/>
      <w:marLeft w:val="0"/>
      <w:marRight w:val="0"/>
      <w:marTop w:val="0"/>
      <w:marBottom w:val="0"/>
      <w:divBdr>
        <w:top w:val="none" w:sz="0" w:space="0" w:color="auto"/>
        <w:left w:val="none" w:sz="0" w:space="0" w:color="auto"/>
        <w:bottom w:val="none" w:sz="0" w:space="0" w:color="auto"/>
        <w:right w:val="none" w:sz="0" w:space="0" w:color="auto"/>
      </w:divBdr>
    </w:div>
    <w:div w:id="110436666">
      <w:bodyDiv w:val="1"/>
      <w:marLeft w:val="0"/>
      <w:marRight w:val="0"/>
      <w:marTop w:val="0"/>
      <w:marBottom w:val="0"/>
      <w:divBdr>
        <w:top w:val="none" w:sz="0" w:space="0" w:color="auto"/>
        <w:left w:val="none" w:sz="0" w:space="0" w:color="auto"/>
        <w:bottom w:val="none" w:sz="0" w:space="0" w:color="auto"/>
        <w:right w:val="none" w:sz="0" w:space="0" w:color="auto"/>
      </w:divBdr>
    </w:div>
    <w:div w:id="110445326">
      <w:bodyDiv w:val="1"/>
      <w:marLeft w:val="0"/>
      <w:marRight w:val="0"/>
      <w:marTop w:val="0"/>
      <w:marBottom w:val="0"/>
      <w:divBdr>
        <w:top w:val="none" w:sz="0" w:space="0" w:color="auto"/>
        <w:left w:val="none" w:sz="0" w:space="0" w:color="auto"/>
        <w:bottom w:val="none" w:sz="0" w:space="0" w:color="auto"/>
        <w:right w:val="none" w:sz="0" w:space="0" w:color="auto"/>
      </w:divBdr>
    </w:div>
    <w:div w:id="110559909">
      <w:bodyDiv w:val="1"/>
      <w:marLeft w:val="0"/>
      <w:marRight w:val="0"/>
      <w:marTop w:val="0"/>
      <w:marBottom w:val="0"/>
      <w:divBdr>
        <w:top w:val="none" w:sz="0" w:space="0" w:color="auto"/>
        <w:left w:val="none" w:sz="0" w:space="0" w:color="auto"/>
        <w:bottom w:val="none" w:sz="0" w:space="0" w:color="auto"/>
        <w:right w:val="none" w:sz="0" w:space="0" w:color="auto"/>
      </w:divBdr>
    </w:div>
    <w:div w:id="110637937">
      <w:bodyDiv w:val="1"/>
      <w:marLeft w:val="0"/>
      <w:marRight w:val="0"/>
      <w:marTop w:val="0"/>
      <w:marBottom w:val="0"/>
      <w:divBdr>
        <w:top w:val="none" w:sz="0" w:space="0" w:color="auto"/>
        <w:left w:val="none" w:sz="0" w:space="0" w:color="auto"/>
        <w:bottom w:val="none" w:sz="0" w:space="0" w:color="auto"/>
        <w:right w:val="none" w:sz="0" w:space="0" w:color="auto"/>
      </w:divBdr>
    </w:div>
    <w:div w:id="110713867">
      <w:bodyDiv w:val="1"/>
      <w:marLeft w:val="0"/>
      <w:marRight w:val="0"/>
      <w:marTop w:val="0"/>
      <w:marBottom w:val="0"/>
      <w:divBdr>
        <w:top w:val="none" w:sz="0" w:space="0" w:color="auto"/>
        <w:left w:val="none" w:sz="0" w:space="0" w:color="auto"/>
        <w:bottom w:val="none" w:sz="0" w:space="0" w:color="auto"/>
        <w:right w:val="none" w:sz="0" w:space="0" w:color="auto"/>
      </w:divBdr>
    </w:div>
    <w:div w:id="110903644">
      <w:bodyDiv w:val="1"/>
      <w:marLeft w:val="0"/>
      <w:marRight w:val="0"/>
      <w:marTop w:val="0"/>
      <w:marBottom w:val="0"/>
      <w:divBdr>
        <w:top w:val="none" w:sz="0" w:space="0" w:color="auto"/>
        <w:left w:val="none" w:sz="0" w:space="0" w:color="auto"/>
        <w:bottom w:val="none" w:sz="0" w:space="0" w:color="auto"/>
        <w:right w:val="none" w:sz="0" w:space="0" w:color="auto"/>
      </w:divBdr>
    </w:div>
    <w:div w:id="110973833">
      <w:bodyDiv w:val="1"/>
      <w:marLeft w:val="0"/>
      <w:marRight w:val="0"/>
      <w:marTop w:val="0"/>
      <w:marBottom w:val="0"/>
      <w:divBdr>
        <w:top w:val="none" w:sz="0" w:space="0" w:color="auto"/>
        <w:left w:val="none" w:sz="0" w:space="0" w:color="auto"/>
        <w:bottom w:val="none" w:sz="0" w:space="0" w:color="auto"/>
        <w:right w:val="none" w:sz="0" w:space="0" w:color="auto"/>
      </w:divBdr>
    </w:div>
    <w:div w:id="110975296">
      <w:bodyDiv w:val="1"/>
      <w:marLeft w:val="0"/>
      <w:marRight w:val="0"/>
      <w:marTop w:val="0"/>
      <w:marBottom w:val="0"/>
      <w:divBdr>
        <w:top w:val="none" w:sz="0" w:space="0" w:color="auto"/>
        <w:left w:val="none" w:sz="0" w:space="0" w:color="auto"/>
        <w:bottom w:val="none" w:sz="0" w:space="0" w:color="auto"/>
        <w:right w:val="none" w:sz="0" w:space="0" w:color="auto"/>
      </w:divBdr>
    </w:div>
    <w:div w:id="110976602">
      <w:bodyDiv w:val="1"/>
      <w:marLeft w:val="0"/>
      <w:marRight w:val="0"/>
      <w:marTop w:val="0"/>
      <w:marBottom w:val="0"/>
      <w:divBdr>
        <w:top w:val="none" w:sz="0" w:space="0" w:color="auto"/>
        <w:left w:val="none" w:sz="0" w:space="0" w:color="auto"/>
        <w:bottom w:val="none" w:sz="0" w:space="0" w:color="auto"/>
        <w:right w:val="none" w:sz="0" w:space="0" w:color="auto"/>
      </w:divBdr>
    </w:div>
    <w:div w:id="110983067">
      <w:bodyDiv w:val="1"/>
      <w:marLeft w:val="0"/>
      <w:marRight w:val="0"/>
      <w:marTop w:val="0"/>
      <w:marBottom w:val="0"/>
      <w:divBdr>
        <w:top w:val="none" w:sz="0" w:space="0" w:color="auto"/>
        <w:left w:val="none" w:sz="0" w:space="0" w:color="auto"/>
        <w:bottom w:val="none" w:sz="0" w:space="0" w:color="auto"/>
        <w:right w:val="none" w:sz="0" w:space="0" w:color="auto"/>
      </w:divBdr>
    </w:div>
    <w:div w:id="111020921">
      <w:bodyDiv w:val="1"/>
      <w:marLeft w:val="0"/>
      <w:marRight w:val="0"/>
      <w:marTop w:val="0"/>
      <w:marBottom w:val="0"/>
      <w:divBdr>
        <w:top w:val="none" w:sz="0" w:space="0" w:color="auto"/>
        <w:left w:val="none" w:sz="0" w:space="0" w:color="auto"/>
        <w:bottom w:val="none" w:sz="0" w:space="0" w:color="auto"/>
        <w:right w:val="none" w:sz="0" w:space="0" w:color="auto"/>
      </w:divBdr>
    </w:div>
    <w:div w:id="111100790">
      <w:bodyDiv w:val="1"/>
      <w:marLeft w:val="0"/>
      <w:marRight w:val="0"/>
      <w:marTop w:val="0"/>
      <w:marBottom w:val="0"/>
      <w:divBdr>
        <w:top w:val="none" w:sz="0" w:space="0" w:color="auto"/>
        <w:left w:val="none" w:sz="0" w:space="0" w:color="auto"/>
        <w:bottom w:val="none" w:sz="0" w:space="0" w:color="auto"/>
        <w:right w:val="none" w:sz="0" w:space="0" w:color="auto"/>
      </w:divBdr>
    </w:div>
    <w:div w:id="111171951">
      <w:bodyDiv w:val="1"/>
      <w:marLeft w:val="0"/>
      <w:marRight w:val="0"/>
      <w:marTop w:val="0"/>
      <w:marBottom w:val="0"/>
      <w:divBdr>
        <w:top w:val="none" w:sz="0" w:space="0" w:color="auto"/>
        <w:left w:val="none" w:sz="0" w:space="0" w:color="auto"/>
        <w:bottom w:val="none" w:sz="0" w:space="0" w:color="auto"/>
        <w:right w:val="none" w:sz="0" w:space="0" w:color="auto"/>
      </w:divBdr>
    </w:div>
    <w:div w:id="111174164">
      <w:bodyDiv w:val="1"/>
      <w:marLeft w:val="0"/>
      <w:marRight w:val="0"/>
      <w:marTop w:val="0"/>
      <w:marBottom w:val="0"/>
      <w:divBdr>
        <w:top w:val="none" w:sz="0" w:space="0" w:color="auto"/>
        <w:left w:val="none" w:sz="0" w:space="0" w:color="auto"/>
        <w:bottom w:val="none" w:sz="0" w:space="0" w:color="auto"/>
        <w:right w:val="none" w:sz="0" w:space="0" w:color="auto"/>
      </w:divBdr>
    </w:div>
    <w:div w:id="111242531">
      <w:bodyDiv w:val="1"/>
      <w:marLeft w:val="0"/>
      <w:marRight w:val="0"/>
      <w:marTop w:val="0"/>
      <w:marBottom w:val="0"/>
      <w:divBdr>
        <w:top w:val="none" w:sz="0" w:space="0" w:color="auto"/>
        <w:left w:val="none" w:sz="0" w:space="0" w:color="auto"/>
        <w:bottom w:val="none" w:sz="0" w:space="0" w:color="auto"/>
        <w:right w:val="none" w:sz="0" w:space="0" w:color="auto"/>
      </w:divBdr>
    </w:div>
    <w:div w:id="111291206">
      <w:bodyDiv w:val="1"/>
      <w:marLeft w:val="0"/>
      <w:marRight w:val="0"/>
      <w:marTop w:val="0"/>
      <w:marBottom w:val="0"/>
      <w:divBdr>
        <w:top w:val="none" w:sz="0" w:space="0" w:color="auto"/>
        <w:left w:val="none" w:sz="0" w:space="0" w:color="auto"/>
        <w:bottom w:val="none" w:sz="0" w:space="0" w:color="auto"/>
        <w:right w:val="none" w:sz="0" w:space="0" w:color="auto"/>
      </w:divBdr>
    </w:div>
    <w:div w:id="111362205">
      <w:bodyDiv w:val="1"/>
      <w:marLeft w:val="0"/>
      <w:marRight w:val="0"/>
      <w:marTop w:val="0"/>
      <w:marBottom w:val="0"/>
      <w:divBdr>
        <w:top w:val="none" w:sz="0" w:space="0" w:color="auto"/>
        <w:left w:val="none" w:sz="0" w:space="0" w:color="auto"/>
        <w:bottom w:val="none" w:sz="0" w:space="0" w:color="auto"/>
        <w:right w:val="none" w:sz="0" w:space="0" w:color="auto"/>
      </w:divBdr>
    </w:div>
    <w:div w:id="111439298">
      <w:bodyDiv w:val="1"/>
      <w:marLeft w:val="0"/>
      <w:marRight w:val="0"/>
      <w:marTop w:val="0"/>
      <w:marBottom w:val="0"/>
      <w:divBdr>
        <w:top w:val="none" w:sz="0" w:space="0" w:color="auto"/>
        <w:left w:val="none" w:sz="0" w:space="0" w:color="auto"/>
        <w:bottom w:val="none" w:sz="0" w:space="0" w:color="auto"/>
        <w:right w:val="none" w:sz="0" w:space="0" w:color="auto"/>
      </w:divBdr>
    </w:div>
    <w:div w:id="111441316">
      <w:bodyDiv w:val="1"/>
      <w:marLeft w:val="0"/>
      <w:marRight w:val="0"/>
      <w:marTop w:val="0"/>
      <w:marBottom w:val="0"/>
      <w:divBdr>
        <w:top w:val="none" w:sz="0" w:space="0" w:color="auto"/>
        <w:left w:val="none" w:sz="0" w:space="0" w:color="auto"/>
        <w:bottom w:val="none" w:sz="0" w:space="0" w:color="auto"/>
        <w:right w:val="none" w:sz="0" w:space="0" w:color="auto"/>
      </w:divBdr>
    </w:div>
    <w:div w:id="111442169">
      <w:bodyDiv w:val="1"/>
      <w:marLeft w:val="0"/>
      <w:marRight w:val="0"/>
      <w:marTop w:val="0"/>
      <w:marBottom w:val="0"/>
      <w:divBdr>
        <w:top w:val="none" w:sz="0" w:space="0" w:color="auto"/>
        <w:left w:val="none" w:sz="0" w:space="0" w:color="auto"/>
        <w:bottom w:val="none" w:sz="0" w:space="0" w:color="auto"/>
        <w:right w:val="none" w:sz="0" w:space="0" w:color="auto"/>
      </w:divBdr>
    </w:div>
    <w:div w:id="111442862">
      <w:bodyDiv w:val="1"/>
      <w:marLeft w:val="0"/>
      <w:marRight w:val="0"/>
      <w:marTop w:val="0"/>
      <w:marBottom w:val="0"/>
      <w:divBdr>
        <w:top w:val="none" w:sz="0" w:space="0" w:color="auto"/>
        <w:left w:val="none" w:sz="0" w:space="0" w:color="auto"/>
        <w:bottom w:val="none" w:sz="0" w:space="0" w:color="auto"/>
        <w:right w:val="none" w:sz="0" w:space="0" w:color="auto"/>
      </w:divBdr>
    </w:div>
    <w:div w:id="111674699">
      <w:bodyDiv w:val="1"/>
      <w:marLeft w:val="0"/>
      <w:marRight w:val="0"/>
      <w:marTop w:val="0"/>
      <w:marBottom w:val="0"/>
      <w:divBdr>
        <w:top w:val="none" w:sz="0" w:space="0" w:color="auto"/>
        <w:left w:val="none" w:sz="0" w:space="0" w:color="auto"/>
        <w:bottom w:val="none" w:sz="0" w:space="0" w:color="auto"/>
        <w:right w:val="none" w:sz="0" w:space="0" w:color="auto"/>
      </w:divBdr>
    </w:div>
    <w:div w:id="111678635">
      <w:bodyDiv w:val="1"/>
      <w:marLeft w:val="0"/>
      <w:marRight w:val="0"/>
      <w:marTop w:val="0"/>
      <w:marBottom w:val="0"/>
      <w:divBdr>
        <w:top w:val="none" w:sz="0" w:space="0" w:color="auto"/>
        <w:left w:val="none" w:sz="0" w:space="0" w:color="auto"/>
        <w:bottom w:val="none" w:sz="0" w:space="0" w:color="auto"/>
        <w:right w:val="none" w:sz="0" w:space="0" w:color="auto"/>
      </w:divBdr>
    </w:div>
    <w:div w:id="111873065">
      <w:bodyDiv w:val="1"/>
      <w:marLeft w:val="0"/>
      <w:marRight w:val="0"/>
      <w:marTop w:val="0"/>
      <w:marBottom w:val="0"/>
      <w:divBdr>
        <w:top w:val="none" w:sz="0" w:space="0" w:color="auto"/>
        <w:left w:val="none" w:sz="0" w:space="0" w:color="auto"/>
        <w:bottom w:val="none" w:sz="0" w:space="0" w:color="auto"/>
        <w:right w:val="none" w:sz="0" w:space="0" w:color="auto"/>
      </w:divBdr>
    </w:div>
    <w:div w:id="111900834">
      <w:bodyDiv w:val="1"/>
      <w:marLeft w:val="0"/>
      <w:marRight w:val="0"/>
      <w:marTop w:val="0"/>
      <w:marBottom w:val="0"/>
      <w:divBdr>
        <w:top w:val="none" w:sz="0" w:space="0" w:color="auto"/>
        <w:left w:val="none" w:sz="0" w:space="0" w:color="auto"/>
        <w:bottom w:val="none" w:sz="0" w:space="0" w:color="auto"/>
        <w:right w:val="none" w:sz="0" w:space="0" w:color="auto"/>
      </w:divBdr>
    </w:div>
    <w:div w:id="111900985">
      <w:bodyDiv w:val="1"/>
      <w:marLeft w:val="0"/>
      <w:marRight w:val="0"/>
      <w:marTop w:val="0"/>
      <w:marBottom w:val="0"/>
      <w:divBdr>
        <w:top w:val="none" w:sz="0" w:space="0" w:color="auto"/>
        <w:left w:val="none" w:sz="0" w:space="0" w:color="auto"/>
        <w:bottom w:val="none" w:sz="0" w:space="0" w:color="auto"/>
        <w:right w:val="none" w:sz="0" w:space="0" w:color="auto"/>
      </w:divBdr>
    </w:div>
    <w:div w:id="111949372">
      <w:bodyDiv w:val="1"/>
      <w:marLeft w:val="0"/>
      <w:marRight w:val="0"/>
      <w:marTop w:val="0"/>
      <w:marBottom w:val="0"/>
      <w:divBdr>
        <w:top w:val="none" w:sz="0" w:space="0" w:color="auto"/>
        <w:left w:val="none" w:sz="0" w:space="0" w:color="auto"/>
        <w:bottom w:val="none" w:sz="0" w:space="0" w:color="auto"/>
        <w:right w:val="none" w:sz="0" w:space="0" w:color="auto"/>
      </w:divBdr>
    </w:div>
    <w:div w:id="112094591">
      <w:bodyDiv w:val="1"/>
      <w:marLeft w:val="0"/>
      <w:marRight w:val="0"/>
      <w:marTop w:val="0"/>
      <w:marBottom w:val="0"/>
      <w:divBdr>
        <w:top w:val="none" w:sz="0" w:space="0" w:color="auto"/>
        <w:left w:val="none" w:sz="0" w:space="0" w:color="auto"/>
        <w:bottom w:val="none" w:sz="0" w:space="0" w:color="auto"/>
        <w:right w:val="none" w:sz="0" w:space="0" w:color="auto"/>
      </w:divBdr>
    </w:div>
    <w:div w:id="112134702">
      <w:bodyDiv w:val="1"/>
      <w:marLeft w:val="0"/>
      <w:marRight w:val="0"/>
      <w:marTop w:val="0"/>
      <w:marBottom w:val="0"/>
      <w:divBdr>
        <w:top w:val="none" w:sz="0" w:space="0" w:color="auto"/>
        <w:left w:val="none" w:sz="0" w:space="0" w:color="auto"/>
        <w:bottom w:val="none" w:sz="0" w:space="0" w:color="auto"/>
        <w:right w:val="none" w:sz="0" w:space="0" w:color="auto"/>
      </w:divBdr>
    </w:div>
    <w:div w:id="112138445">
      <w:bodyDiv w:val="1"/>
      <w:marLeft w:val="0"/>
      <w:marRight w:val="0"/>
      <w:marTop w:val="0"/>
      <w:marBottom w:val="0"/>
      <w:divBdr>
        <w:top w:val="none" w:sz="0" w:space="0" w:color="auto"/>
        <w:left w:val="none" w:sz="0" w:space="0" w:color="auto"/>
        <w:bottom w:val="none" w:sz="0" w:space="0" w:color="auto"/>
        <w:right w:val="none" w:sz="0" w:space="0" w:color="auto"/>
      </w:divBdr>
    </w:div>
    <w:div w:id="112212865">
      <w:bodyDiv w:val="1"/>
      <w:marLeft w:val="0"/>
      <w:marRight w:val="0"/>
      <w:marTop w:val="0"/>
      <w:marBottom w:val="0"/>
      <w:divBdr>
        <w:top w:val="none" w:sz="0" w:space="0" w:color="auto"/>
        <w:left w:val="none" w:sz="0" w:space="0" w:color="auto"/>
        <w:bottom w:val="none" w:sz="0" w:space="0" w:color="auto"/>
        <w:right w:val="none" w:sz="0" w:space="0" w:color="auto"/>
      </w:divBdr>
    </w:div>
    <w:div w:id="112215333">
      <w:bodyDiv w:val="1"/>
      <w:marLeft w:val="0"/>
      <w:marRight w:val="0"/>
      <w:marTop w:val="0"/>
      <w:marBottom w:val="0"/>
      <w:divBdr>
        <w:top w:val="none" w:sz="0" w:space="0" w:color="auto"/>
        <w:left w:val="none" w:sz="0" w:space="0" w:color="auto"/>
        <w:bottom w:val="none" w:sz="0" w:space="0" w:color="auto"/>
        <w:right w:val="none" w:sz="0" w:space="0" w:color="auto"/>
      </w:divBdr>
    </w:div>
    <w:div w:id="112402414">
      <w:bodyDiv w:val="1"/>
      <w:marLeft w:val="0"/>
      <w:marRight w:val="0"/>
      <w:marTop w:val="0"/>
      <w:marBottom w:val="0"/>
      <w:divBdr>
        <w:top w:val="none" w:sz="0" w:space="0" w:color="auto"/>
        <w:left w:val="none" w:sz="0" w:space="0" w:color="auto"/>
        <w:bottom w:val="none" w:sz="0" w:space="0" w:color="auto"/>
        <w:right w:val="none" w:sz="0" w:space="0" w:color="auto"/>
      </w:divBdr>
    </w:div>
    <w:div w:id="112409644">
      <w:bodyDiv w:val="1"/>
      <w:marLeft w:val="0"/>
      <w:marRight w:val="0"/>
      <w:marTop w:val="0"/>
      <w:marBottom w:val="0"/>
      <w:divBdr>
        <w:top w:val="none" w:sz="0" w:space="0" w:color="auto"/>
        <w:left w:val="none" w:sz="0" w:space="0" w:color="auto"/>
        <w:bottom w:val="none" w:sz="0" w:space="0" w:color="auto"/>
        <w:right w:val="none" w:sz="0" w:space="0" w:color="auto"/>
      </w:divBdr>
    </w:div>
    <w:div w:id="112481007">
      <w:bodyDiv w:val="1"/>
      <w:marLeft w:val="0"/>
      <w:marRight w:val="0"/>
      <w:marTop w:val="0"/>
      <w:marBottom w:val="0"/>
      <w:divBdr>
        <w:top w:val="none" w:sz="0" w:space="0" w:color="auto"/>
        <w:left w:val="none" w:sz="0" w:space="0" w:color="auto"/>
        <w:bottom w:val="none" w:sz="0" w:space="0" w:color="auto"/>
        <w:right w:val="none" w:sz="0" w:space="0" w:color="auto"/>
      </w:divBdr>
    </w:div>
    <w:div w:id="112481584">
      <w:bodyDiv w:val="1"/>
      <w:marLeft w:val="0"/>
      <w:marRight w:val="0"/>
      <w:marTop w:val="0"/>
      <w:marBottom w:val="0"/>
      <w:divBdr>
        <w:top w:val="none" w:sz="0" w:space="0" w:color="auto"/>
        <w:left w:val="none" w:sz="0" w:space="0" w:color="auto"/>
        <w:bottom w:val="none" w:sz="0" w:space="0" w:color="auto"/>
        <w:right w:val="none" w:sz="0" w:space="0" w:color="auto"/>
      </w:divBdr>
    </w:div>
    <w:div w:id="112527085">
      <w:bodyDiv w:val="1"/>
      <w:marLeft w:val="0"/>
      <w:marRight w:val="0"/>
      <w:marTop w:val="0"/>
      <w:marBottom w:val="0"/>
      <w:divBdr>
        <w:top w:val="none" w:sz="0" w:space="0" w:color="auto"/>
        <w:left w:val="none" w:sz="0" w:space="0" w:color="auto"/>
        <w:bottom w:val="none" w:sz="0" w:space="0" w:color="auto"/>
        <w:right w:val="none" w:sz="0" w:space="0" w:color="auto"/>
      </w:divBdr>
    </w:div>
    <w:div w:id="112795511">
      <w:bodyDiv w:val="1"/>
      <w:marLeft w:val="0"/>
      <w:marRight w:val="0"/>
      <w:marTop w:val="0"/>
      <w:marBottom w:val="0"/>
      <w:divBdr>
        <w:top w:val="none" w:sz="0" w:space="0" w:color="auto"/>
        <w:left w:val="none" w:sz="0" w:space="0" w:color="auto"/>
        <w:bottom w:val="none" w:sz="0" w:space="0" w:color="auto"/>
        <w:right w:val="none" w:sz="0" w:space="0" w:color="auto"/>
      </w:divBdr>
    </w:div>
    <w:div w:id="112986937">
      <w:bodyDiv w:val="1"/>
      <w:marLeft w:val="0"/>
      <w:marRight w:val="0"/>
      <w:marTop w:val="0"/>
      <w:marBottom w:val="0"/>
      <w:divBdr>
        <w:top w:val="none" w:sz="0" w:space="0" w:color="auto"/>
        <w:left w:val="none" w:sz="0" w:space="0" w:color="auto"/>
        <w:bottom w:val="none" w:sz="0" w:space="0" w:color="auto"/>
        <w:right w:val="none" w:sz="0" w:space="0" w:color="auto"/>
      </w:divBdr>
    </w:div>
    <w:div w:id="113057807">
      <w:bodyDiv w:val="1"/>
      <w:marLeft w:val="0"/>
      <w:marRight w:val="0"/>
      <w:marTop w:val="0"/>
      <w:marBottom w:val="0"/>
      <w:divBdr>
        <w:top w:val="none" w:sz="0" w:space="0" w:color="auto"/>
        <w:left w:val="none" w:sz="0" w:space="0" w:color="auto"/>
        <w:bottom w:val="none" w:sz="0" w:space="0" w:color="auto"/>
        <w:right w:val="none" w:sz="0" w:space="0" w:color="auto"/>
      </w:divBdr>
    </w:div>
    <w:div w:id="113333676">
      <w:bodyDiv w:val="1"/>
      <w:marLeft w:val="0"/>
      <w:marRight w:val="0"/>
      <w:marTop w:val="0"/>
      <w:marBottom w:val="0"/>
      <w:divBdr>
        <w:top w:val="none" w:sz="0" w:space="0" w:color="auto"/>
        <w:left w:val="none" w:sz="0" w:space="0" w:color="auto"/>
        <w:bottom w:val="none" w:sz="0" w:space="0" w:color="auto"/>
        <w:right w:val="none" w:sz="0" w:space="0" w:color="auto"/>
      </w:divBdr>
    </w:div>
    <w:div w:id="113639549">
      <w:bodyDiv w:val="1"/>
      <w:marLeft w:val="0"/>
      <w:marRight w:val="0"/>
      <w:marTop w:val="0"/>
      <w:marBottom w:val="0"/>
      <w:divBdr>
        <w:top w:val="none" w:sz="0" w:space="0" w:color="auto"/>
        <w:left w:val="none" w:sz="0" w:space="0" w:color="auto"/>
        <w:bottom w:val="none" w:sz="0" w:space="0" w:color="auto"/>
        <w:right w:val="none" w:sz="0" w:space="0" w:color="auto"/>
      </w:divBdr>
    </w:div>
    <w:div w:id="113716162">
      <w:bodyDiv w:val="1"/>
      <w:marLeft w:val="0"/>
      <w:marRight w:val="0"/>
      <w:marTop w:val="0"/>
      <w:marBottom w:val="0"/>
      <w:divBdr>
        <w:top w:val="none" w:sz="0" w:space="0" w:color="auto"/>
        <w:left w:val="none" w:sz="0" w:space="0" w:color="auto"/>
        <w:bottom w:val="none" w:sz="0" w:space="0" w:color="auto"/>
        <w:right w:val="none" w:sz="0" w:space="0" w:color="auto"/>
      </w:divBdr>
    </w:div>
    <w:div w:id="113791112">
      <w:bodyDiv w:val="1"/>
      <w:marLeft w:val="0"/>
      <w:marRight w:val="0"/>
      <w:marTop w:val="0"/>
      <w:marBottom w:val="0"/>
      <w:divBdr>
        <w:top w:val="none" w:sz="0" w:space="0" w:color="auto"/>
        <w:left w:val="none" w:sz="0" w:space="0" w:color="auto"/>
        <w:bottom w:val="none" w:sz="0" w:space="0" w:color="auto"/>
        <w:right w:val="none" w:sz="0" w:space="0" w:color="auto"/>
      </w:divBdr>
    </w:div>
    <w:div w:id="113792536">
      <w:bodyDiv w:val="1"/>
      <w:marLeft w:val="0"/>
      <w:marRight w:val="0"/>
      <w:marTop w:val="0"/>
      <w:marBottom w:val="0"/>
      <w:divBdr>
        <w:top w:val="none" w:sz="0" w:space="0" w:color="auto"/>
        <w:left w:val="none" w:sz="0" w:space="0" w:color="auto"/>
        <w:bottom w:val="none" w:sz="0" w:space="0" w:color="auto"/>
        <w:right w:val="none" w:sz="0" w:space="0" w:color="auto"/>
      </w:divBdr>
    </w:div>
    <w:div w:id="113907902">
      <w:bodyDiv w:val="1"/>
      <w:marLeft w:val="0"/>
      <w:marRight w:val="0"/>
      <w:marTop w:val="0"/>
      <w:marBottom w:val="0"/>
      <w:divBdr>
        <w:top w:val="none" w:sz="0" w:space="0" w:color="auto"/>
        <w:left w:val="none" w:sz="0" w:space="0" w:color="auto"/>
        <w:bottom w:val="none" w:sz="0" w:space="0" w:color="auto"/>
        <w:right w:val="none" w:sz="0" w:space="0" w:color="auto"/>
      </w:divBdr>
    </w:div>
    <w:div w:id="113984981">
      <w:bodyDiv w:val="1"/>
      <w:marLeft w:val="0"/>
      <w:marRight w:val="0"/>
      <w:marTop w:val="0"/>
      <w:marBottom w:val="0"/>
      <w:divBdr>
        <w:top w:val="none" w:sz="0" w:space="0" w:color="auto"/>
        <w:left w:val="none" w:sz="0" w:space="0" w:color="auto"/>
        <w:bottom w:val="none" w:sz="0" w:space="0" w:color="auto"/>
        <w:right w:val="none" w:sz="0" w:space="0" w:color="auto"/>
      </w:divBdr>
    </w:div>
    <w:div w:id="114061838">
      <w:bodyDiv w:val="1"/>
      <w:marLeft w:val="0"/>
      <w:marRight w:val="0"/>
      <w:marTop w:val="0"/>
      <w:marBottom w:val="0"/>
      <w:divBdr>
        <w:top w:val="none" w:sz="0" w:space="0" w:color="auto"/>
        <w:left w:val="none" w:sz="0" w:space="0" w:color="auto"/>
        <w:bottom w:val="none" w:sz="0" w:space="0" w:color="auto"/>
        <w:right w:val="none" w:sz="0" w:space="0" w:color="auto"/>
      </w:divBdr>
    </w:div>
    <w:div w:id="114099575">
      <w:bodyDiv w:val="1"/>
      <w:marLeft w:val="0"/>
      <w:marRight w:val="0"/>
      <w:marTop w:val="0"/>
      <w:marBottom w:val="0"/>
      <w:divBdr>
        <w:top w:val="none" w:sz="0" w:space="0" w:color="auto"/>
        <w:left w:val="none" w:sz="0" w:space="0" w:color="auto"/>
        <w:bottom w:val="none" w:sz="0" w:space="0" w:color="auto"/>
        <w:right w:val="none" w:sz="0" w:space="0" w:color="auto"/>
      </w:divBdr>
    </w:div>
    <w:div w:id="114181013">
      <w:bodyDiv w:val="1"/>
      <w:marLeft w:val="0"/>
      <w:marRight w:val="0"/>
      <w:marTop w:val="0"/>
      <w:marBottom w:val="0"/>
      <w:divBdr>
        <w:top w:val="none" w:sz="0" w:space="0" w:color="auto"/>
        <w:left w:val="none" w:sz="0" w:space="0" w:color="auto"/>
        <w:bottom w:val="none" w:sz="0" w:space="0" w:color="auto"/>
        <w:right w:val="none" w:sz="0" w:space="0" w:color="auto"/>
      </w:divBdr>
    </w:div>
    <w:div w:id="114367889">
      <w:bodyDiv w:val="1"/>
      <w:marLeft w:val="0"/>
      <w:marRight w:val="0"/>
      <w:marTop w:val="0"/>
      <w:marBottom w:val="0"/>
      <w:divBdr>
        <w:top w:val="none" w:sz="0" w:space="0" w:color="auto"/>
        <w:left w:val="none" w:sz="0" w:space="0" w:color="auto"/>
        <w:bottom w:val="none" w:sz="0" w:space="0" w:color="auto"/>
        <w:right w:val="none" w:sz="0" w:space="0" w:color="auto"/>
      </w:divBdr>
    </w:div>
    <w:div w:id="114443836">
      <w:bodyDiv w:val="1"/>
      <w:marLeft w:val="0"/>
      <w:marRight w:val="0"/>
      <w:marTop w:val="0"/>
      <w:marBottom w:val="0"/>
      <w:divBdr>
        <w:top w:val="none" w:sz="0" w:space="0" w:color="auto"/>
        <w:left w:val="none" w:sz="0" w:space="0" w:color="auto"/>
        <w:bottom w:val="none" w:sz="0" w:space="0" w:color="auto"/>
        <w:right w:val="none" w:sz="0" w:space="0" w:color="auto"/>
      </w:divBdr>
    </w:div>
    <w:div w:id="114451294">
      <w:bodyDiv w:val="1"/>
      <w:marLeft w:val="0"/>
      <w:marRight w:val="0"/>
      <w:marTop w:val="0"/>
      <w:marBottom w:val="0"/>
      <w:divBdr>
        <w:top w:val="none" w:sz="0" w:space="0" w:color="auto"/>
        <w:left w:val="none" w:sz="0" w:space="0" w:color="auto"/>
        <w:bottom w:val="none" w:sz="0" w:space="0" w:color="auto"/>
        <w:right w:val="none" w:sz="0" w:space="0" w:color="auto"/>
      </w:divBdr>
    </w:div>
    <w:div w:id="114568142">
      <w:bodyDiv w:val="1"/>
      <w:marLeft w:val="0"/>
      <w:marRight w:val="0"/>
      <w:marTop w:val="0"/>
      <w:marBottom w:val="0"/>
      <w:divBdr>
        <w:top w:val="none" w:sz="0" w:space="0" w:color="auto"/>
        <w:left w:val="none" w:sz="0" w:space="0" w:color="auto"/>
        <w:bottom w:val="none" w:sz="0" w:space="0" w:color="auto"/>
        <w:right w:val="none" w:sz="0" w:space="0" w:color="auto"/>
      </w:divBdr>
    </w:div>
    <w:div w:id="114716520">
      <w:bodyDiv w:val="1"/>
      <w:marLeft w:val="0"/>
      <w:marRight w:val="0"/>
      <w:marTop w:val="0"/>
      <w:marBottom w:val="0"/>
      <w:divBdr>
        <w:top w:val="none" w:sz="0" w:space="0" w:color="auto"/>
        <w:left w:val="none" w:sz="0" w:space="0" w:color="auto"/>
        <w:bottom w:val="none" w:sz="0" w:space="0" w:color="auto"/>
        <w:right w:val="none" w:sz="0" w:space="0" w:color="auto"/>
      </w:divBdr>
    </w:div>
    <w:div w:id="114762918">
      <w:bodyDiv w:val="1"/>
      <w:marLeft w:val="0"/>
      <w:marRight w:val="0"/>
      <w:marTop w:val="0"/>
      <w:marBottom w:val="0"/>
      <w:divBdr>
        <w:top w:val="none" w:sz="0" w:space="0" w:color="auto"/>
        <w:left w:val="none" w:sz="0" w:space="0" w:color="auto"/>
        <w:bottom w:val="none" w:sz="0" w:space="0" w:color="auto"/>
        <w:right w:val="none" w:sz="0" w:space="0" w:color="auto"/>
      </w:divBdr>
    </w:div>
    <w:div w:id="114830550">
      <w:bodyDiv w:val="1"/>
      <w:marLeft w:val="0"/>
      <w:marRight w:val="0"/>
      <w:marTop w:val="0"/>
      <w:marBottom w:val="0"/>
      <w:divBdr>
        <w:top w:val="none" w:sz="0" w:space="0" w:color="auto"/>
        <w:left w:val="none" w:sz="0" w:space="0" w:color="auto"/>
        <w:bottom w:val="none" w:sz="0" w:space="0" w:color="auto"/>
        <w:right w:val="none" w:sz="0" w:space="0" w:color="auto"/>
      </w:divBdr>
    </w:div>
    <w:div w:id="114950258">
      <w:bodyDiv w:val="1"/>
      <w:marLeft w:val="0"/>
      <w:marRight w:val="0"/>
      <w:marTop w:val="0"/>
      <w:marBottom w:val="0"/>
      <w:divBdr>
        <w:top w:val="none" w:sz="0" w:space="0" w:color="auto"/>
        <w:left w:val="none" w:sz="0" w:space="0" w:color="auto"/>
        <w:bottom w:val="none" w:sz="0" w:space="0" w:color="auto"/>
        <w:right w:val="none" w:sz="0" w:space="0" w:color="auto"/>
      </w:divBdr>
    </w:div>
    <w:div w:id="115030701">
      <w:bodyDiv w:val="1"/>
      <w:marLeft w:val="0"/>
      <w:marRight w:val="0"/>
      <w:marTop w:val="0"/>
      <w:marBottom w:val="0"/>
      <w:divBdr>
        <w:top w:val="none" w:sz="0" w:space="0" w:color="auto"/>
        <w:left w:val="none" w:sz="0" w:space="0" w:color="auto"/>
        <w:bottom w:val="none" w:sz="0" w:space="0" w:color="auto"/>
        <w:right w:val="none" w:sz="0" w:space="0" w:color="auto"/>
      </w:divBdr>
    </w:div>
    <w:div w:id="115150159">
      <w:bodyDiv w:val="1"/>
      <w:marLeft w:val="0"/>
      <w:marRight w:val="0"/>
      <w:marTop w:val="0"/>
      <w:marBottom w:val="0"/>
      <w:divBdr>
        <w:top w:val="none" w:sz="0" w:space="0" w:color="auto"/>
        <w:left w:val="none" w:sz="0" w:space="0" w:color="auto"/>
        <w:bottom w:val="none" w:sz="0" w:space="0" w:color="auto"/>
        <w:right w:val="none" w:sz="0" w:space="0" w:color="auto"/>
      </w:divBdr>
    </w:div>
    <w:div w:id="115179210">
      <w:bodyDiv w:val="1"/>
      <w:marLeft w:val="0"/>
      <w:marRight w:val="0"/>
      <w:marTop w:val="0"/>
      <w:marBottom w:val="0"/>
      <w:divBdr>
        <w:top w:val="none" w:sz="0" w:space="0" w:color="auto"/>
        <w:left w:val="none" w:sz="0" w:space="0" w:color="auto"/>
        <w:bottom w:val="none" w:sz="0" w:space="0" w:color="auto"/>
        <w:right w:val="none" w:sz="0" w:space="0" w:color="auto"/>
      </w:divBdr>
    </w:div>
    <w:div w:id="115218736">
      <w:bodyDiv w:val="1"/>
      <w:marLeft w:val="0"/>
      <w:marRight w:val="0"/>
      <w:marTop w:val="0"/>
      <w:marBottom w:val="0"/>
      <w:divBdr>
        <w:top w:val="none" w:sz="0" w:space="0" w:color="auto"/>
        <w:left w:val="none" w:sz="0" w:space="0" w:color="auto"/>
        <w:bottom w:val="none" w:sz="0" w:space="0" w:color="auto"/>
        <w:right w:val="none" w:sz="0" w:space="0" w:color="auto"/>
      </w:divBdr>
    </w:div>
    <w:div w:id="115410036">
      <w:bodyDiv w:val="1"/>
      <w:marLeft w:val="0"/>
      <w:marRight w:val="0"/>
      <w:marTop w:val="0"/>
      <w:marBottom w:val="0"/>
      <w:divBdr>
        <w:top w:val="none" w:sz="0" w:space="0" w:color="auto"/>
        <w:left w:val="none" w:sz="0" w:space="0" w:color="auto"/>
        <w:bottom w:val="none" w:sz="0" w:space="0" w:color="auto"/>
        <w:right w:val="none" w:sz="0" w:space="0" w:color="auto"/>
      </w:divBdr>
    </w:div>
    <w:div w:id="115419020">
      <w:bodyDiv w:val="1"/>
      <w:marLeft w:val="0"/>
      <w:marRight w:val="0"/>
      <w:marTop w:val="0"/>
      <w:marBottom w:val="0"/>
      <w:divBdr>
        <w:top w:val="none" w:sz="0" w:space="0" w:color="auto"/>
        <w:left w:val="none" w:sz="0" w:space="0" w:color="auto"/>
        <w:bottom w:val="none" w:sz="0" w:space="0" w:color="auto"/>
        <w:right w:val="none" w:sz="0" w:space="0" w:color="auto"/>
      </w:divBdr>
    </w:div>
    <w:div w:id="115487325">
      <w:bodyDiv w:val="1"/>
      <w:marLeft w:val="0"/>
      <w:marRight w:val="0"/>
      <w:marTop w:val="0"/>
      <w:marBottom w:val="0"/>
      <w:divBdr>
        <w:top w:val="none" w:sz="0" w:space="0" w:color="auto"/>
        <w:left w:val="none" w:sz="0" w:space="0" w:color="auto"/>
        <w:bottom w:val="none" w:sz="0" w:space="0" w:color="auto"/>
        <w:right w:val="none" w:sz="0" w:space="0" w:color="auto"/>
      </w:divBdr>
    </w:div>
    <w:div w:id="115490157">
      <w:bodyDiv w:val="1"/>
      <w:marLeft w:val="0"/>
      <w:marRight w:val="0"/>
      <w:marTop w:val="0"/>
      <w:marBottom w:val="0"/>
      <w:divBdr>
        <w:top w:val="none" w:sz="0" w:space="0" w:color="auto"/>
        <w:left w:val="none" w:sz="0" w:space="0" w:color="auto"/>
        <w:bottom w:val="none" w:sz="0" w:space="0" w:color="auto"/>
        <w:right w:val="none" w:sz="0" w:space="0" w:color="auto"/>
      </w:divBdr>
    </w:div>
    <w:div w:id="115683906">
      <w:bodyDiv w:val="1"/>
      <w:marLeft w:val="0"/>
      <w:marRight w:val="0"/>
      <w:marTop w:val="0"/>
      <w:marBottom w:val="0"/>
      <w:divBdr>
        <w:top w:val="none" w:sz="0" w:space="0" w:color="auto"/>
        <w:left w:val="none" w:sz="0" w:space="0" w:color="auto"/>
        <w:bottom w:val="none" w:sz="0" w:space="0" w:color="auto"/>
        <w:right w:val="none" w:sz="0" w:space="0" w:color="auto"/>
      </w:divBdr>
    </w:div>
    <w:div w:id="115760021">
      <w:bodyDiv w:val="1"/>
      <w:marLeft w:val="0"/>
      <w:marRight w:val="0"/>
      <w:marTop w:val="0"/>
      <w:marBottom w:val="0"/>
      <w:divBdr>
        <w:top w:val="none" w:sz="0" w:space="0" w:color="auto"/>
        <w:left w:val="none" w:sz="0" w:space="0" w:color="auto"/>
        <w:bottom w:val="none" w:sz="0" w:space="0" w:color="auto"/>
        <w:right w:val="none" w:sz="0" w:space="0" w:color="auto"/>
      </w:divBdr>
    </w:div>
    <w:div w:id="115760552">
      <w:bodyDiv w:val="1"/>
      <w:marLeft w:val="0"/>
      <w:marRight w:val="0"/>
      <w:marTop w:val="0"/>
      <w:marBottom w:val="0"/>
      <w:divBdr>
        <w:top w:val="none" w:sz="0" w:space="0" w:color="auto"/>
        <w:left w:val="none" w:sz="0" w:space="0" w:color="auto"/>
        <w:bottom w:val="none" w:sz="0" w:space="0" w:color="auto"/>
        <w:right w:val="none" w:sz="0" w:space="0" w:color="auto"/>
      </w:divBdr>
    </w:div>
    <w:div w:id="115805829">
      <w:bodyDiv w:val="1"/>
      <w:marLeft w:val="0"/>
      <w:marRight w:val="0"/>
      <w:marTop w:val="0"/>
      <w:marBottom w:val="0"/>
      <w:divBdr>
        <w:top w:val="none" w:sz="0" w:space="0" w:color="auto"/>
        <w:left w:val="none" w:sz="0" w:space="0" w:color="auto"/>
        <w:bottom w:val="none" w:sz="0" w:space="0" w:color="auto"/>
        <w:right w:val="none" w:sz="0" w:space="0" w:color="auto"/>
      </w:divBdr>
    </w:div>
    <w:div w:id="115834793">
      <w:bodyDiv w:val="1"/>
      <w:marLeft w:val="0"/>
      <w:marRight w:val="0"/>
      <w:marTop w:val="0"/>
      <w:marBottom w:val="0"/>
      <w:divBdr>
        <w:top w:val="none" w:sz="0" w:space="0" w:color="auto"/>
        <w:left w:val="none" w:sz="0" w:space="0" w:color="auto"/>
        <w:bottom w:val="none" w:sz="0" w:space="0" w:color="auto"/>
        <w:right w:val="none" w:sz="0" w:space="0" w:color="auto"/>
      </w:divBdr>
    </w:div>
    <w:div w:id="115873553">
      <w:bodyDiv w:val="1"/>
      <w:marLeft w:val="0"/>
      <w:marRight w:val="0"/>
      <w:marTop w:val="0"/>
      <w:marBottom w:val="0"/>
      <w:divBdr>
        <w:top w:val="none" w:sz="0" w:space="0" w:color="auto"/>
        <w:left w:val="none" w:sz="0" w:space="0" w:color="auto"/>
        <w:bottom w:val="none" w:sz="0" w:space="0" w:color="auto"/>
        <w:right w:val="none" w:sz="0" w:space="0" w:color="auto"/>
      </w:divBdr>
    </w:div>
    <w:div w:id="115947251">
      <w:bodyDiv w:val="1"/>
      <w:marLeft w:val="0"/>
      <w:marRight w:val="0"/>
      <w:marTop w:val="0"/>
      <w:marBottom w:val="0"/>
      <w:divBdr>
        <w:top w:val="none" w:sz="0" w:space="0" w:color="auto"/>
        <w:left w:val="none" w:sz="0" w:space="0" w:color="auto"/>
        <w:bottom w:val="none" w:sz="0" w:space="0" w:color="auto"/>
        <w:right w:val="none" w:sz="0" w:space="0" w:color="auto"/>
      </w:divBdr>
    </w:div>
    <w:div w:id="115949671">
      <w:bodyDiv w:val="1"/>
      <w:marLeft w:val="0"/>
      <w:marRight w:val="0"/>
      <w:marTop w:val="0"/>
      <w:marBottom w:val="0"/>
      <w:divBdr>
        <w:top w:val="none" w:sz="0" w:space="0" w:color="auto"/>
        <w:left w:val="none" w:sz="0" w:space="0" w:color="auto"/>
        <w:bottom w:val="none" w:sz="0" w:space="0" w:color="auto"/>
        <w:right w:val="none" w:sz="0" w:space="0" w:color="auto"/>
      </w:divBdr>
    </w:div>
    <w:div w:id="115949750">
      <w:bodyDiv w:val="1"/>
      <w:marLeft w:val="0"/>
      <w:marRight w:val="0"/>
      <w:marTop w:val="0"/>
      <w:marBottom w:val="0"/>
      <w:divBdr>
        <w:top w:val="none" w:sz="0" w:space="0" w:color="auto"/>
        <w:left w:val="none" w:sz="0" w:space="0" w:color="auto"/>
        <w:bottom w:val="none" w:sz="0" w:space="0" w:color="auto"/>
        <w:right w:val="none" w:sz="0" w:space="0" w:color="auto"/>
      </w:divBdr>
    </w:div>
    <w:div w:id="115950283">
      <w:bodyDiv w:val="1"/>
      <w:marLeft w:val="0"/>
      <w:marRight w:val="0"/>
      <w:marTop w:val="0"/>
      <w:marBottom w:val="0"/>
      <w:divBdr>
        <w:top w:val="none" w:sz="0" w:space="0" w:color="auto"/>
        <w:left w:val="none" w:sz="0" w:space="0" w:color="auto"/>
        <w:bottom w:val="none" w:sz="0" w:space="0" w:color="auto"/>
        <w:right w:val="none" w:sz="0" w:space="0" w:color="auto"/>
      </w:divBdr>
    </w:div>
    <w:div w:id="116028595">
      <w:bodyDiv w:val="1"/>
      <w:marLeft w:val="0"/>
      <w:marRight w:val="0"/>
      <w:marTop w:val="0"/>
      <w:marBottom w:val="0"/>
      <w:divBdr>
        <w:top w:val="none" w:sz="0" w:space="0" w:color="auto"/>
        <w:left w:val="none" w:sz="0" w:space="0" w:color="auto"/>
        <w:bottom w:val="none" w:sz="0" w:space="0" w:color="auto"/>
        <w:right w:val="none" w:sz="0" w:space="0" w:color="auto"/>
      </w:divBdr>
    </w:div>
    <w:div w:id="116067967">
      <w:bodyDiv w:val="1"/>
      <w:marLeft w:val="0"/>
      <w:marRight w:val="0"/>
      <w:marTop w:val="0"/>
      <w:marBottom w:val="0"/>
      <w:divBdr>
        <w:top w:val="none" w:sz="0" w:space="0" w:color="auto"/>
        <w:left w:val="none" w:sz="0" w:space="0" w:color="auto"/>
        <w:bottom w:val="none" w:sz="0" w:space="0" w:color="auto"/>
        <w:right w:val="none" w:sz="0" w:space="0" w:color="auto"/>
      </w:divBdr>
    </w:div>
    <w:div w:id="116144288">
      <w:bodyDiv w:val="1"/>
      <w:marLeft w:val="0"/>
      <w:marRight w:val="0"/>
      <w:marTop w:val="0"/>
      <w:marBottom w:val="0"/>
      <w:divBdr>
        <w:top w:val="none" w:sz="0" w:space="0" w:color="auto"/>
        <w:left w:val="none" w:sz="0" w:space="0" w:color="auto"/>
        <w:bottom w:val="none" w:sz="0" w:space="0" w:color="auto"/>
        <w:right w:val="none" w:sz="0" w:space="0" w:color="auto"/>
      </w:divBdr>
    </w:div>
    <w:div w:id="116224030">
      <w:bodyDiv w:val="1"/>
      <w:marLeft w:val="0"/>
      <w:marRight w:val="0"/>
      <w:marTop w:val="0"/>
      <w:marBottom w:val="0"/>
      <w:divBdr>
        <w:top w:val="none" w:sz="0" w:space="0" w:color="auto"/>
        <w:left w:val="none" w:sz="0" w:space="0" w:color="auto"/>
        <w:bottom w:val="none" w:sz="0" w:space="0" w:color="auto"/>
        <w:right w:val="none" w:sz="0" w:space="0" w:color="auto"/>
      </w:divBdr>
    </w:div>
    <w:div w:id="116291230">
      <w:bodyDiv w:val="1"/>
      <w:marLeft w:val="0"/>
      <w:marRight w:val="0"/>
      <w:marTop w:val="0"/>
      <w:marBottom w:val="0"/>
      <w:divBdr>
        <w:top w:val="none" w:sz="0" w:space="0" w:color="auto"/>
        <w:left w:val="none" w:sz="0" w:space="0" w:color="auto"/>
        <w:bottom w:val="none" w:sz="0" w:space="0" w:color="auto"/>
        <w:right w:val="none" w:sz="0" w:space="0" w:color="auto"/>
      </w:divBdr>
    </w:div>
    <w:div w:id="116409141">
      <w:bodyDiv w:val="1"/>
      <w:marLeft w:val="0"/>
      <w:marRight w:val="0"/>
      <w:marTop w:val="0"/>
      <w:marBottom w:val="0"/>
      <w:divBdr>
        <w:top w:val="none" w:sz="0" w:space="0" w:color="auto"/>
        <w:left w:val="none" w:sz="0" w:space="0" w:color="auto"/>
        <w:bottom w:val="none" w:sz="0" w:space="0" w:color="auto"/>
        <w:right w:val="none" w:sz="0" w:space="0" w:color="auto"/>
      </w:divBdr>
    </w:div>
    <w:div w:id="116459239">
      <w:bodyDiv w:val="1"/>
      <w:marLeft w:val="0"/>
      <w:marRight w:val="0"/>
      <w:marTop w:val="0"/>
      <w:marBottom w:val="0"/>
      <w:divBdr>
        <w:top w:val="none" w:sz="0" w:space="0" w:color="auto"/>
        <w:left w:val="none" w:sz="0" w:space="0" w:color="auto"/>
        <w:bottom w:val="none" w:sz="0" w:space="0" w:color="auto"/>
        <w:right w:val="none" w:sz="0" w:space="0" w:color="auto"/>
      </w:divBdr>
    </w:div>
    <w:div w:id="116459488">
      <w:bodyDiv w:val="1"/>
      <w:marLeft w:val="0"/>
      <w:marRight w:val="0"/>
      <w:marTop w:val="0"/>
      <w:marBottom w:val="0"/>
      <w:divBdr>
        <w:top w:val="none" w:sz="0" w:space="0" w:color="auto"/>
        <w:left w:val="none" w:sz="0" w:space="0" w:color="auto"/>
        <w:bottom w:val="none" w:sz="0" w:space="0" w:color="auto"/>
        <w:right w:val="none" w:sz="0" w:space="0" w:color="auto"/>
      </w:divBdr>
    </w:div>
    <w:div w:id="116680337">
      <w:bodyDiv w:val="1"/>
      <w:marLeft w:val="0"/>
      <w:marRight w:val="0"/>
      <w:marTop w:val="0"/>
      <w:marBottom w:val="0"/>
      <w:divBdr>
        <w:top w:val="none" w:sz="0" w:space="0" w:color="auto"/>
        <w:left w:val="none" w:sz="0" w:space="0" w:color="auto"/>
        <w:bottom w:val="none" w:sz="0" w:space="0" w:color="auto"/>
        <w:right w:val="none" w:sz="0" w:space="0" w:color="auto"/>
      </w:divBdr>
    </w:div>
    <w:div w:id="116686491">
      <w:bodyDiv w:val="1"/>
      <w:marLeft w:val="0"/>
      <w:marRight w:val="0"/>
      <w:marTop w:val="0"/>
      <w:marBottom w:val="0"/>
      <w:divBdr>
        <w:top w:val="none" w:sz="0" w:space="0" w:color="auto"/>
        <w:left w:val="none" w:sz="0" w:space="0" w:color="auto"/>
        <w:bottom w:val="none" w:sz="0" w:space="0" w:color="auto"/>
        <w:right w:val="none" w:sz="0" w:space="0" w:color="auto"/>
      </w:divBdr>
    </w:div>
    <w:div w:id="116798118">
      <w:bodyDiv w:val="1"/>
      <w:marLeft w:val="0"/>
      <w:marRight w:val="0"/>
      <w:marTop w:val="0"/>
      <w:marBottom w:val="0"/>
      <w:divBdr>
        <w:top w:val="none" w:sz="0" w:space="0" w:color="auto"/>
        <w:left w:val="none" w:sz="0" w:space="0" w:color="auto"/>
        <w:bottom w:val="none" w:sz="0" w:space="0" w:color="auto"/>
        <w:right w:val="none" w:sz="0" w:space="0" w:color="auto"/>
      </w:divBdr>
    </w:div>
    <w:div w:id="116872581">
      <w:bodyDiv w:val="1"/>
      <w:marLeft w:val="0"/>
      <w:marRight w:val="0"/>
      <w:marTop w:val="0"/>
      <w:marBottom w:val="0"/>
      <w:divBdr>
        <w:top w:val="none" w:sz="0" w:space="0" w:color="auto"/>
        <w:left w:val="none" w:sz="0" w:space="0" w:color="auto"/>
        <w:bottom w:val="none" w:sz="0" w:space="0" w:color="auto"/>
        <w:right w:val="none" w:sz="0" w:space="0" w:color="auto"/>
      </w:divBdr>
    </w:div>
    <w:div w:id="116876058">
      <w:bodyDiv w:val="1"/>
      <w:marLeft w:val="0"/>
      <w:marRight w:val="0"/>
      <w:marTop w:val="0"/>
      <w:marBottom w:val="0"/>
      <w:divBdr>
        <w:top w:val="none" w:sz="0" w:space="0" w:color="auto"/>
        <w:left w:val="none" w:sz="0" w:space="0" w:color="auto"/>
        <w:bottom w:val="none" w:sz="0" w:space="0" w:color="auto"/>
        <w:right w:val="none" w:sz="0" w:space="0" w:color="auto"/>
      </w:divBdr>
    </w:div>
    <w:div w:id="116989135">
      <w:bodyDiv w:val="1"/>
      <w:marLeft w:val="0"/>
      <w:marRight w:val="0"/>
      <w:marTop w:val="0"/>
      <w:marBottom w:val="0"/>
      <w:divBdr>
        <w:top w:val="none" w:sz="0" w:space="0" w:color="auto"/>
        <w:left w:val="none" w:sz="0" w:space="0" w:color="auto"/>
        <w:bottom w:val="none" w:sz="0" w:space="0" w:color="auto"/>
        <w:right w:val="none" w:sz="0" w:space="0" w:color="auto"/>
      </w:divBdr>
    </w:div>
    <w:div w:id="116991690">
      <w:bodyDiv w:val="1"/>
      <w:marLeft w:val="0"/>
      <w:marRight w:val="0"/>
      <w:marTop w:val="0"/>
      <w:marBottom w:val="0"/>
      <w:divBdr>
        <w:top w:val="none" w:sz="0" w:space="0" w:color="auto"/>
        <w:left w:val="none" w:sz="0" w:space="0" w:color="auto"/>
        <w:bottom w:val="none" w:sz="0" w:space="0" w:color="auto"/>
        <w:right w:val="none" w:sz="0" w:space="0" w:color="auto"/>
      </w:divBdr>
    </w:div>
    <w:div w:id="117340364">
      <w:bodyDiv w:val="1"/>
      <w:marLeft w:val="0"/>
      <w:marRight w:val="0"/>
      <w:marTop w:val="0"/>
      <w:marBottom w:val="0"/>
      <w:divBdr>
        <w:top w:val="none" w:sz="0" w:space="0" w:color="auto"/>
        <w:left w:val="none" w:sz="0" w:space="0" w:color="auto"/>
        <w:bottom w:val="none" w:sz="0" w:space="0" w:color="auto"/>
        <w:right w:val="none" w:sz="0" w:space="0" w:color="auto"/>
      </w:divBdr>
    </w:div>
    <w:div w:id="117651576">
      <w:bodyDiv w:val="1"/>
      <w:marLeft w:val="0"/>
      <w:marRight w:val="0"/>
      <w:marTop w:val="0"/>
      <w:marBottom w:val="0"/>
      <w:divBdr>
        <w:top w:val="none" w:sz="0" w:space="0" w:color="auto"/>
        <w:left w:val="none" w:sz="0" w:space="0" w:color="auto"/>
        <w:bottom w:val="none" w:sz="0" w:space="0" w:color="auto"/>
        <w:right w:val="none" w:sz="0" w:space="0" w:color="auto"/>
      </w:divBdr>
    </w:div>
    <w:div w:id="117769671">
      <w:bodyDiv w:val="1"/>
      <w:marLeft w:val="0"/>
      <w:marRight w:val="0"/>
      <w:marTop w:val="0"/>
      <w:marBottom w:val="0"/>
      <w:divBdr>
        <w:top w:val="none" w:sz="0" w:space="0" w:color="auto"/>
        <w:left w:val="none" w:sz="0" w:space="0" w:color="auto"/>
        <w:bottom w:val="none" w:sz="0" w:space="0" w:color="auto"/>
        <w:right w:val="none" w:sz="0" w:space="0" w:color="auto"/>
      </w:divBdr>
    </w:div>
    <w:div w:id="117799615">
      <w:bodyDiv w:val="1"/>
      <w:marLeft w:val="0"/>
      <w:marRight w:val="0"/>
      <w:marTop w:val="0"/>
      <w:marBottom w:val="0"/>
      <w:divBdr>
        <w:top w:val="none" w:sz="0" w:space="0" w:color="auto"/>
        <w:left w:val="none" w:sz="0" w:space="0" w:color="auto"/>
        <w:bottom w:val="none" w:sz="0" w:space="0" w:color="auto"/>
        <w:right w:val="none" w:sz="0" w:space="0" w:color="auto"/>
      </w:divBdr>
    </w:div>
    <w:div w:id="117838359">
      <w:bodyDiv w:val="1"/>
      <w:marLeft w:val="0"/>
      <w:marRight w:val="0"/>
      <w:marTop w:val="0"/>
      <w:marBottom w:val="0"/>
      <w:divBdr>
        <w:top w:val="none" w:sz="0" w:space="0" w:color="auto"/>
        <w:left w:val="none" w:sz="0" w:space="0" w:color="auto"/>
        <w:bottom w:val="none" w:sz="0" w:space="0" w:color="auto"/>
        <w:right w:val="none" w:sz="0" w:space="0" w:color="auto"/>
      </w:divBdr>
    </w:div>
    <w:div w:id="117991951">
      <w:bodyDiv w:val="1"/>
      <w:marLeft w:val="0"/>
      <w:marRight w:val="0"/>
      <w:marTop w:val="0"/>
      <w:marBottom w:val="0"/>
      <w:divBdr>
        <w:top w:val="none" w:sz="0" w:space="0" w:color="auto"/>
        <w:left w:val="none" w:sz="0" w:space="0" w:color="auto"/>
        <w:bottom w:val="none" w:sz="0" w:space="0" w:color="auto"/>
        <w:right w:val="none" w:sz="0" w:space="0" w:color="auto"/>
      </w:divBdr>
    </w:div>
    <w:div w:id="117994598">
      <w:bodyDiv w:val="1"/>
      <w:marLeft w:val="0"/>
      <w:marRight w:val="0"/>
      <w:marTop w:val="0"/>
      <w:marBottom w:val="0"/>
      <w:divBdr>
        <w:top w:val="none" w:sz="0" w:space="0" w:color="auto"/>
        <w:left w:val="none" w:sz="0" w:space="0" w:color="auto"/>
        <w:bottom w:val="none" w:sz="0" w:space="0" w:color="auto"/>
        <w:right w:val="none" w:sz="0" w:space="0" w:color="auto"/>
      </w:divBdr>
    </w:div>
    <w:div w:id="118039767">
      <w:bodyDiv w:val="1"/>
      <w:marLeft w:val="0"/>
      <w:marRight w:val="0"/>
      <w:marTop w:val="0"/>
      <w:marBottom w:val="0"/>
      <w:divBdr>
        <w:top w:val="none" w:sz="0" w:space="0" w:color="auto"/>
        <w:left w:val="none" w:sz="0" w:space="0" w:color="auto"/>
        <w:bottom w:val="none" w:sz="0" w:space="0" w:color="auto"/>
        <w:right w:val="none" w:sz="0" w:space="0" w:color="auto"/>
      </w:divBdr>
    </w:div>
    <w:div w:id="118108675">
      <w:bodyDiv w:val="1"/>
      <w:marLeft w:val="0"/>
      <w:marRight w:val="0"/>
      <w:marTop w:val="0"/>
      <w:marBottom w:val="0"/>
      <w:divBdr>
        <w:top w:val="none" w:sz="0" w:space="0" w:color="auto"/>
        <w:left w:val="none" w:sz="0" w:space="0" w:color="auto"/>
        <w:bottom w:val="none" w:sz="0" w:space="0" w:color="auto"/>
        <w:right w:val="none" w:sz="0" w:space="0" w:color="auto"/>
      </w:divBdr>
    </w:div>
    <w:div w:id="118183923">
      <w:bodyDiv w:val="1"/>
      <w:marLeft w:val="0"/>
      <w:marRight w:val="0"/>
      <w:marTop w:val="0"/>
      <w:marBottom w:val="0"/>
      <w:divBdr>
        <w:top w:val="none" w:sz="0" w:space="0" w:color="auto"/>
        <w:left w:val="none" w:sz="0" w:space="0" w:color="auto"/>
        <w:bottom w:val="none" w:sz="0" w:space="0" w:color="auto"/>
        <w:right w:val="none" w:sz="0" w:space="0" w:color="auto"/>
      </w:divBdr>
    </w:div>
    <w:div w:id="118188508">
      <w:bodyDiv w:val="1"/>
      <w:marLeft w:val="0"/>
      <w:marRight w:val="0"/>
      <w:marTop w:val="0"/>
      <w:marBottom w:val="0"/>
      <w:divBdr>
        <w:top w:val="none" w:sz="0" w:space="0" w:color="auto"/>
        <w:left w:val="none" w:sz="0" w:space="0" w:color="auto"/>
        <w:bottom w:val="none" w:sz="0" w:space="0" w:color="auto"/>
        <w:right w:val="none" w:sz="0" w:space="0" w:color="auto"/>
      </w:divBdr>
    </w:div>
    <w:div w:id="118190626">
      <w:bodyDiv w:val="1"/>
      <w:marLeft w:val="0"/>
      <w:marRight w:val="0"/>
      <w:marTop w:val="0"/>
      <w:marBottom w:val="0"/>
      <w:divBdr>
        <w:top w:val="none" w:sz="0" w:space="0" w:color="auto"/>
        <w:left w:val="none" w:sz="0" w:space="0" w:color="auto"/>
        <w:bottom w:val="none" w:sz="0" w:space="0" w:color="auto"/>
        <w:right w:val="none" w:sz="0" w:space="0" w:color="auto"/>
      </w:divBdr>
    </w:div>
    <w:div w:id="118227338">
      <w:bodyDiv w:val="1"/>
      <w:marLeft w:val="0"/>
      <w:marRight w:val="0"/>
      <w:marTop w:val="0"/>
      <w:marBottom w:val="0"/>
      <w:divBdr>
        <w:top w:val="none" w:sz="0" w:space="0" w:color="auto"/>
        <w:left w:val="none" w:sz="0" w:space="0" w:color="auto"/>
        <w:bottom w:val="none" w:sz="0" w:space="0" w:color="auto"/>
        <w:right w:val="none" w:sz="0" w:space="0" w:color="auto"/>
      </w:divBdr>
    </w:div>
    <w:div w:id="118303379">
      <w:bodyDiv w:val="1"/>
      <w:marLeft w:val="0"/>
      <w:marRight w:val="0"/>
      <w:marTop w:val="0"/>
      <w:marBottom w:val="0"/>
      <w:divBdr>
        <w:top w:val="none" w:sz="0" w:space="0" w:color="auto"/>
        <w:left w:val="none" w:sz="0" w:space="0" w:color="auto"/>
        <w:bottom w:val="none" w:sz="0" w:space="0" w:color="auto"/>
        <w:right w:val="none" w:sz="0" w:space="0" w:color="auto"/>
      </w:divBdr>
    </w:div>
    <w:div w:id="118377621">
      <w:bodyDiv w:val="1"/>
      <w:marLeft w:val="0"/>
      <w:marRight w:val="0"/>
      <w:marTop w:val="0"/>
      <w:marBottom w:val="0"/>
      <w:divBdr>
        <w:top w:val="none" w:sz="0" w:space="0" w:color="auto"/>
        <w:left w:val="none" w:sz="0" w:space="0" w:color="auto"/>
        <w:bottom w:val="none" w:sz="0" w:space="0" w:color="auto"/>
        <w:right w:val="none" w:sz="0" w:space="0" w:color="auto"/>
      </w:divBdr>
    </w:div>
    <w:div w:id="118380341">
      <w:bodyDiv w:val="1"/>
      <w:marLeft w:val="0"/>
      <w:marRight w:val="0"/>
      <w:marTop w:val="0"/>
      <w:marBottom w:val="0"/>
      <w:divBdr>
        <w:top w:val="none" w:sz="0" w:space="0" w:color="auto"/>
        <w:left w:val="none" w:sz="0" w:space="0" w:color="auto"/>
        <w:bottom w:val="none" w:sz="0" w:space="0" w:color="auto"/>
        <w:right w:val="none" w:sz="0" w:space="0" w:color="auto"/>
      </w:divBdr>
    </w:div>
    <w:div w:id="118424721">
      <w:bodyDiv w:val="1"/>
      <w:marLeft w:val="0"/>
      <w:marRight w:val="0"/>
      <w:marTop w:val="0"/>
      <w:marBottom w:val="0"/>
      <w:divBdr>
        <w:top w:val="none" w:sz="0" w:space="0" w:color="auto"/>
        <w:left w:val="none" w:sz="0" w:space="0" w:color="auto"/>
        <w:bottom w:val="none" w:sz="0" w:space="0" w:color="auto"/>
        <w:right w:val="none" w:sz="0" w:space="0" w:color="auto"/>
      </w:divBdr>
    </w:div>
    <w:div w:id="118426352">
      <w:bodyDiv w:val="1"/>
      <w:marLeft w:val="0"/>
      <w:marRight w:val="0"/>
      <w:marTop w:val="0"/>
      <w:marBottom w:val="0"/>
      <w:divBdr>
        <w:top w:val="none" w:sz="0" w:space="0" w:color="auto"/>
        <w:left w:val="none" w:sz="0" w:space="0" w:color="auto"/>
        <w:bottom w:val="none" w:sz="0" w:space="0" w:color="auto"/>
        <w:right w:val="none" w:sz="0" w:space="0" w:color="auto"/>
      </w:divBdr>
    </w:div>
    <w:div w:id="118455691">
      <w:bodyDiv w:val="1"/>
      <w:marLeft w:val="0"/>
      <w:marRight w:val="0"/>
      <w:marTop w:val="0"/>
      <w:marBottom w:val="0"/>
      <w:divBdr>
        <w:top w:val="none" w:sz="0" w:space="0" w:color="auto"/>
        <w:left w:val="none" w:sz="0" w:space="0" w:color="auto"/>
        <w:bottom w:val="none" w:sz="0" w:space="0" w:color="auto"/>
        <w:right w:val="none" w:sz="0" w:space="0" w:color="auto"/>
      </w:divBdr>
    </w:div>
    <w:div w:id="118574559">
      <w:bodyDiv w:val="1"/>
      <w:marLeft w:val="0"/>
      <w:marRight w:val="0"/>
      <w:marTop w:val="0"/>
      <w:marBottom w:val="0"/>
      <w:divBdr>
        <w:top w:val="none" w:sz="0" w:space="0" w:color="auto"/>
        <w:left w:val="none" w:sz="0" w:space="0" w:color="auto"/>
        <w:bottom w:val="none" w:sz="0" w:space="0" w:color="auto"/>
        <w:right w:val="none" w:sz="0" w:space="0" w:color="auto"/>
      </w:divBdr>
    </w:div>
    <w:div w:id="118576310">
      <w:bodyDiv w:val="1"/>
      <w:marLeft w:val="0"/>
      <w:marRight w:val="0"/>
      <w:marTop w:val="0"/>
      <w:marBottom w:val="0"/>
      <w:divBdr>
        <w:top w:val="none" w:sz="0" w:space="0" w:color="auto"/>
        <w:left w:val="none" w:sz="0" w:space="0" w:color="auto"/>
        <w:bottom w:val="none" w:sz="0" w:space="0" w:color="auto"/>
        <w:right w:val="none" w:sz="0" w:space="0" w:color="auto"/>
      </w:divBdr>
    </w:div>
    <w:div w:id="118645910">
      <w:bodyDiv w:val="1"/>
      <w:marLeft w:val="0"/>
      <w:marRight w:val="0"/>
      <w:marTop w:val="0"/>
      <w:marBottom w:val="0"/>
      <w:divBdr>
        <w:top w:val="none" w:sz="0" w:space="0" w:color="auto"/>
        <w:left w:val="none" w:sz="0" w:space="0" w:color="auto"/>
        <w:bottom w:val="none" w:sz="0" w:space="0" w:color="auto"/>
        <w:right w:val="none" w:sz="0" w:space="0" w:color="auto"/>
      </w:divBdr>
    </w:div>
    <w:div w:id="118841101">
      <w:bodyDiv w:val="1"/>
      <w:marLeft w:val="0"/>
      <w:marRight w:val="0"/>
      <w:marTop w:val="0"/>
      <w:marBottom w:val="0"/>
      <w:divBdr>
        <w:top w:val="none" w:sz="0" w:space="0" w:color="auto"/>
        <w:left w:val="none" w:sz="0" w:space="0" w:color="auto"/>
        <w:bottom w:val="none" w:sz="0" w:space="0" w:color="auto"/>
        <w:right w:val="none" w:sz="0" w:space="0" w:color="auto"/>
      </w:divBdr>
    </w:div>
    <w:div w:id="118888948">
      <w:bodyDiv w:val="1"/>
      <w:marLeft w:val="0"/>
      <w:marRight w:val="0"/>
      <w:marTop w:val="0"/>
      <w:marBottom w:val="0"/>
      <w:divBdr>
        <w:top w:val="none" w:sz="0" w:space="0" w:color="auto"/>
        <w:left w:val="none" w:sz="0" w:space="0" w:color="auto"/>
        <w:bottom w:val="none" w:sz="0" w:space="0" w:color="auto"/>
        <w:right w:val="none" w:sz="0" w:space="0" w:color="auto"/>
      </w:divBdr>
    </w:div>
    <w:div w:id="118963137">
      <w:bodyDiv w:val="1"/>
      <w:marLeft w:val="0"/>
      <w:marRight w:val="0"/>
      <w:marTop w:val="0"/>
      <w:marBottom w:val="0"/>
      <w:divBdr>
        <w:top w:val="none" w:sz="0" w:space="0" w:color="auto"/>
        <w:left w:val="none" w:sz="0" w:space="0" w:color="auto"/>
        <w:bottom w:val="none" w:sz="0" w:space="0" w:color="auto"/>
        <w:right w:val="none" w:sz="0" w:space="0" w:color="auto"/>
      </w:divBdr>
    </w:div>
    <w:div w:id="119036460">
      <w:bodyDiv w:val="1"/>
      <w:marLeft w:val="0"/>
      <w:marRight w:val="0"/>
      <w:marTop w:val="0"/>
      <w:marBottom w:val="0"/>
      <w:divBdr>
        <w:top w:val="none" w:sz="0" w:space="0" w:color="auto"/>
        <w:left w:val="none" w:sz="0" w:space="0" w:color="auto"/>
        <w:bottom w:val="none" w:sz="0" w:space="0" w:color="auto"/>
        <w:right w:val="none" w:sz="0" w:space="0" w:color="auto"/>
      </w:divBdr>
    </w:div>
    <w:div w:id="119080544">
      <w:bodyDiv w:val="1"/>
      <w:marLeft w:val="0"/>
      <w:marRight w:val="0"/>
      <w:marTop w:val="0"/>
      <w:marBottom w:val="0"/>
      <w:divBdr>
        <w:top w:val="none" w:sz="0" w:space="0" w:color="auto"/>
        <w:left w:val="none" w:sz="0" w:space="0" w:color="auto"/>
        <w:bottom w:val="none" w:sz="0" w:space="0" w:color="auto"/>
        <w:right w:val="none" w:sz="0" w:space="0" w:color="auto"/>
      </w:divBdr>
    </w:div>
    <w:div w:id="119224909">
      <w:bodyDiv w:val="1"/>
      <w:marLeft w:val="0"/>
      <w:marRight w:val="0"/>
      <w:marTop w:val="0"/>
      <w:marBottom w:val="0"/>
      <w:divBdr>
        <w:top w:val="none" w:sz="0" w:space="0" w:color="auto"/>
        <w:left w:val="none" w:sz="0" w:space="0" w:color="auto"/>
        <w:bottom w:val="none" w:sz="0" w:space="0" w:color="auto"/>
        <w:right w:val="none" w:sz="0" w:space="0" w:color="auto"/>
      </w:divBdr>
    </w:div>
    <w:div w:id="119344459">
      <w:bodyDiv w:val="1"/>
      <w:marLeft w:val="0"/>
      <w:marRight w:val="0"/>
      <w:marTop w:val="0"/>
      <w:marBottom w:val="0"/>
      <w:divBdr>
        <w:top w:val="none" w:sz="0" w:space="0" w:color="auto"/>
        <w:left w:val="none" w:sz="0" w:space="0" w:color="auto"/>
        <w:bottom w:val="none" w:sz="0" w:space="0" w:color="auto"/>
        <w:right w:val="none" w:sz="0" w:space="0" w:color="auto"/>
      </w:divBdr>
    </w:div>
    <w:div w:id="119350730">
      <w:bodyDiv w:val="1"/>
      <w:marLeft w:val="0"/>
      <w:marRight w:val="0"/>
      <w:marTop w:val="0"/>
      <w:marBottom w:val="0"/>
      <w:divBdr>
        <w:top w:val="none" w:sz="0" w:space="0" w:color="auto"/>
        <w:left w:val="none" w:sz="0" w:space="0" w:color="auto"/>
        <w:bottom w:val="none" w:sz="0" w:space="0" w:color="auto"/>
        <w:right w:val="none" w:sz="0" w:space="0" w:color="auto"/>
      </w:divBdr>
    </w:div>
    <w:div w:id="119569838">
      <w:bodyDiv w:val="1"/>
      <w:marLeft w:val="0"/>
      <w:marRight w:val="0"/>
      <w:marTop w:val="0"/>
      <w:marBottom w:val="0"/>
      <w:divBdr>
        <w:top w:val="none" w:sz="0" w:space="0" w:color="auto"/>
        <w:left w:val="none" w:sz="0" w:space="0" w:color="auto"/>
        <w:bottom w:val="none" w:sz="0" w:space="0" w:color="auto"/>
        <w:right w:val="none" w:sz="0" w:space="0" w:color="auto"/>
      </w:divBdr>
    </w:div>
    <w:div w:id="119690008">
      <w:bodyDiv w:val="1"/>
      <w:marLeft w:val="0"/>
      <w:marRight w:val="0"/>
      <w:marTop w:val="0"/>
      <w:marBottom w:val="0"/>
      <w:divBdr>
        <w:top w:val="none" w:sz="0" w:space="0" w:color="auto"/>
        <w:left w:val="none" w:sz="0" w:space="0" w:color="auto"/>
        <w:bottom w:val="none" w:sz="0" w:space="0" w:color="auto"/>
        <w:right w:val="none" w:sz="0" w:space="0" w:color="auto"/>
      </w:divBdr>
    </w:div>
    <w:div w:id="119878783">
      <w:bodyDiv w:val="1"/>
      <w:marLeft w:val="0"/>
      <w:marRight w:val="0"/>
      <w:marTop w:val="0"/>
      <w:marBottom w:val="0"/>
      <w:divBdr>
        <w:top w:val="none" w:sz="0" w:space="0" w:color="auto"/>
        <w:left w:val="none" w:sz="0" w:space="0" w:color="auto"/>
        <w:bottom w:val="none" w:sz="0" w:space="0" w:color="auto"/>
        <w:right w:val="none" w:sz="0" w:space="0" w:color="auto"/>
      </w:divBdr>
    </w:div>
    <w:div w:id="119955245">
      <w:bodyDiv w:val="1"/>
      <w:marLeft w:val="0"/>
      <w:marRight w:val="0"/>
      <w:marTop w:val="0"/>
      <w:marBottom w:val="0"/>
      <w:divBdr>
        <w:top w:val="none" w:sz="0" w:space="0" w:color="auto"/>
        <w:left w:val="none" w:sz="0" w:space="0" w:color="auto"/>
        <w:bottom w:val="none" w:sz="0" w:space="0" w:color="auto"/>
        <w:right w:val="none" w:sz="0" w:space="0" w:color="auto"/>
      </w:divBdr>
    </w:div>
    <w:div w:id="120077114">
      <w:bodyDiv w:val="1"/>
      <w:marLeft w:val="0"/>
      <w:marRight w:val="0"/>
      <w:marTop w:val="0"/>
      <w:marBottom w:val="0"/>
      <w:divBdr>
        <w:top w:val="none" w:sz="0" w:space="0" w:color="auto"/>
        <w:left w:val="none" w:sz="0" w:space="0" w:color="auto"/>
        <w:bottom w:val="none" w:sz="0" w:space="0" w:color="auto"/>
        <w:right w:val="none" w:sz="0" w:space="0" w:color="auto"/>
      </w:divBdr>
    </w:div>
    <w:div w:id="120079321">
      <w:bodyDiv w:val="1"/>
      <w:marLeft w:val="0"/>
      <w:marRight w:val="0"/>
      <w:marTop w:val="0"/>
      <w:marBottom w:val="0"/>
      <w:divBdr>
        <w:top w:val="none" w:sz="0" w:space="0" w:color="auto"/>
        <w:left w:val="none" w:sz="0" w:space="0" w:color="auto"/>
        <w:bottom w:val="none" w:sz="0" w:space="0" w:color="auto"/>
        <w:right w:val="none" w:sz="0" w:space="0" w:color="auto"/>
      </w:divBdr>
    </w:div>
    <w:div w:id="120149507">
      <w:bodyDiv w:val="1"/>
      <w:marLeft w:val="0"/>
      <w:marRight w:val="0"/>
      <w:marTop w:val="0"/>
      <w:marBottom w:val="0"/>
      <w:divBdr>
        <w:top w:val="none" w:sz="0" w:space="0" w:color="auto"/>
        <w:left w:val="none" w:sz="0" w:space="0" w:color="auto"/>
        <w:bottom w:val="none" w:sz="0" w:space="0" w:color="auto"/>
        <w:right w:val="none" w:sz="0" w:space="0" w:color="auto"/>
      </w:divBdr>
    </w:div>
    <w:div w:id="120156818">
      <w:bodyDiv w:val="1"/>
      <w:marLeft w:val="0"/>
      <w:marRight w:val="0"/>
      <w:marTop w:val="0"/>
      <w:marBottom w:val="0"/>
      <w:divBdr>
        <w:top w:val="none" w:sz="0" w:space="0" w:color="auto"/>
        <w:left w:val="none" w:sz="0" w:space="0" w:color="auto"/>
        <w:bottom w:val="none" w:sz="0" w:space="0" w:color="auto"/>
        <w:right w:val="none" w:sz="0" w:space="0" w:color="auto"/>
      </w:divBdr>
    </w:div>
    <w:div w:id="120197625">
      <w:bodyDiv w:val="1"/>
      <w:marLeft w:val="0"/>
      <w:marRight w:val="0"/>
      <w:marTop w:val="0"/>
      <w:marBottom w:val="0"/>
      <w:divBdr>
        <w:top w:val="none" w:sz="0" w:space="0" w:color="auto"/>
        <w:left w:val="none" w:sz="0" w:space="0" w:color="auto"/>
        <w:bottom w:val="none" w:sz="0" w:space="0" w:color="auto"/>
        <w:right w:val="none" w:sz="0" w:space="0" w:color="auto"/>
      </w:divBdr>
    </w:div>
    <w:div w:id="120225652">
      <w:bodyDiv w:val="1"/>
      <w:marLeft w:val="0"/>
      <w:marRight w:val="0"/>
      <w:marTop w:val="0"/>
      <w:marBottom w:val="0"/>
      <w:divBdr>
        <w:top w:val="none" w:sz="0" w:space="0" w:color="auto"/>
        <w:left w:val="none" w:sz="0" w:space="0" w:color="auto"/>
        <w:bottom w:val="none" w:sz="0" w:space="0" w:color="auto"/>
        <w:right w:val="none" w:sz="0" w:space="0" w:color="auto"/>
      </w:divBdr>
    </w:div>
    <w:div w:id="120391524">
      <w:bodyDiv w:val="1"/>
      <w:marLeft w:val="0"/>
      <w:marRight w:val="0"/>
      <w:marTop w:val="0"/>
      <w:marBottom w:val="0"/>
      <w:divBdr>
        <w:top w:val="none" w:sz="0" w:space="0" w:color="auto"/>
        <w:left w:val="none" w:sz="0" w:space="0" w:color="auto"/>
        <w:bottom w:val="none" w:sz="0" w:space="0" w:color="auto"/>
        <w:right w:val="none" w:sz="0" w:space="0" w:color="auto"/>
      </w:divBdr>
    </w:div>
    <w:div w:id="120391671">
      <w:bodyDiv w:val="1"/>
      <w:marLeft w:val="0"/>
      <w:marRight w:val="0"/>
      <w:marTop w:val="0"/>
      <w:marBottom w:val="0"/>
      <w:divBdr>
        <w:top w:val="none" w:sz="0" w:space="0" w:color="auto"/>
        <w:left w:val="none" w:sz="0" w:space="0" w:color="auto"/>
        <w:bottom w:val="none" w:sz="0" w:space="0" w:color="auto"/>
        <w:right w:val="none" w:sz="0" w:space="0" w:color="auto"/>
      </w:divBdr>
    </w:div>
    <w:div w:id="120392787">
      <w:bodyDiv w:val="1"/>
      <w:marLeft w:val="0"/>
      <w:marRight w:val="0"/>
      <w:marTop w:val="0"/>
      <w:marBottom w:val="0"/>
      <w:divBdr>
        <w:top w:val="none" w:sz="0" w:space="0" w:color="auto"/>
        <w:left w:val="none" w:sz="0" w:space="0" w:color="auto"/>
        <w:bottom w:val="none" w:sz="0" w:space="0" w:color="auto"/>
        <w:right w:val="none" w:sz="0" w:space="0" w:color="auto"/>
      </w:divBdr>
    </w:div>
    <w:div w:id="120460985">
      <w:bodyDiv w:val="1"/>
      <w:marLeft w:val="0"/>
      <w:marRight w:val="0"/>
      <w:marTop w:val="0"/>
      <w:marBottom w:val="0"/>
      <w:divBdr>
        <w:top w:val="none" w:sz="0" w:space="0" w:color="auto"/>
        <w:left w:val="none" w:sz="0" w:space="0" w:color="auto"/>
        <w:bottom w:val="none" w:sz="0" w:space="0" w:color="auto"/>
        <w:right w:val="none" w:sz="0" w:space="0" w:color="auto"/>
      </w:divBdr>
    </w:div>
    <w:div w:id="120615263">
      <w:bodyDiv w:val="1"/>
      <w:marLeft w:val="0"/>
      <w:marRight w:val="0"/>
      <w:marTop w:val="0"/>
      <w:marBottom w:val="0"/>
      <w:divBdr>
        <w:top w:val="none" w:sz="0" w:space="0" w:color="auto"/>
        <w:left w:val="none" w:sz="0" w:space="0" w:color="auto"/>
        <w:bottom w:val="none" w:sz="0" w:space="0" w:color="auto"/>
        <w:right w:val="none" w:sz="0" w:space="0" w:color="auto"/>
      </w:divBdr>
    </w:div>
    <w:div w:id="120655889">
      <w:bodyDiv w:val="1"/>
      <w:marLeft w:val="0"/>
      <w:marRight w:val="0"/>
      <w:marTop w:val="0"/>
      <w:marBottom w:val="0"/>
      <w:divBdr>
        <w:top w:val="none" w:sz="0" w:space="0" w:color="auto"/>
        <w:left w:val="none" w:sz="0" w:space="0" w:color="auto"/>
        <w:bottom w:val="none" w:sz="0" w:space="0" w:color="auto"/>
        <w:right w:val="none" w:sz="0" w:space="0" w:color="auto"/>
      </w:divBdr>
    </w:div>
    <w:div w:id="120656063">
      <w:bodyDiv w:val="1"/>
      <w:marLeft w:val="0"/>
      <w:marRight w:val="0"/>
      <w:marTop w:val="0"/>
      <w:marBottom w:val="0"/>
      <w:divBdr>
        <w:top w:val="none" w:sz="0" w:space="0" w:color="auto"/>
        <w:left w:val="none" w:sz="0" w:space="0" w:color="auto"/>
        <w:bottom w:val="none" w:sz="0" w:space="0" w:color="auto"/>
        <w:right w:val="none" w:sz="0" w:space="0" w:color="auto"/>
      </w:divBdr>
    </w:div>
    <w:div w:id="120656184">
      <w:bodyDiv w:val="1"/>
      <w:marLeft w:val="0"/>
      <w:marRight w:val="0"/>
      <w:marTop w:val="0"/>
      <w:marBottom w:val="0"/>
      <w:divBdr>
        <w:top w:val="none" w:sz="0" w:space="0" w:color="auto"/>
        <w:left w:val="none" w:sz="0" w:space="0" w:color="auto"/>
        <w:bottom w:val="none" w:sz="0" w:space="0" w:color="auto"/>
        <w:right w:val="none" w:sz="0" w:space="0" w:color="auto"/>
      </w:divBdr>
    </w:div>
    <w:div w:id="120660061">
      <w:bodyDiv w:val="1"/>
      <w:marLeft w:val="0"/>
      <w:marRight w:val="0"/>
      <w:marTop w:val="0"/>
      <w:marBottom w:val="0"/>
      <w:divBdr>
        <w:top w:val="none" w:sz="0" w:space="0" w:color="auto"/>
        <w:left w:val="none" w:sz="0" w:space="0" w:color="auto"/>
        <w:bottom w:val="none" w:sz="0" w:space="0" w:color="auto"/>
        <w:right w:val="none" w:sz="0" w:space="0" w:color="auto"/>
      </w:divBdr>
    </w:div>
    <w:div w:id="120733303">
      <w:bodyDiv w:val="1"/>
      <w:marLeft w:val="0"/>
      <w:marRight w:val="0"/>
      <w:marTop w:val="0"/>
      <w:marBottom w:val="0"/>
      <w:divBdr>
        <w:top w:val="none" w:sz="0" w:space="0" w:color="auto"/>
        <w:left w:val="none" w:sz="0" w:space="0" w:color="auto"/>
        <w:bottom w:val="none" w:sz="0" w:space="0" w:color="auto"/>
        <w:right w:val="none" w:sz="0" w:space="0" w:color="auto"/>
      </w:divBdr>
    </w:div>
    <w:div w:id="120805127">
      <w:bodyDiv w:val="1"/>
      <w:marLeft w:val="0"/>
      <w:marRight w:val="0"/>
      <w:marTop w:val="0"/>
      <w:marBottom w:val="0"/>
      <w:divBdr>
        <w:top w:val="none" w:sz="0" w:space="0" w:color="auto"/>
        <w:left w:val="none" w:sz="0" w:space="0" w:color="auto"/>
        <w:bottom w:val="none" w:sz="0" w:space="0" w:color="auto"/>
        <w:right w:val="none" w:sz="0" w:space="0" w:color="auto"/>
      </w:divBdr>
    </w:div>
    <w:div w:id="120924110">
      <w:bodyDiv w:val="1"/>
      <w:marLeft w:val="0"/>
      <w:marRight w:val="0"/>
      <w:marTop w:val="0"/>
      <w:marBottom w:val="0"/>
      <w:divBdr>
        <w:top w:val="none" w:sz="0" w:space="0" w:color="auto"/>
        <w:left w:val="none" w:sz="0" w:space="0" w:color="auto"/>
        <w:bottom w:val="none" w:sz="0" w:space="0" w:color="auto"/>
        <w:right w:val="none" w:sz="0" w:space="0" w:color="auto"/>
      </w:divBdr>
    </w:div>
    <w:div w:id="120996596">
      <w:bodyDiv w:val="1"/>
      <w:marLeft w:val="0"/>
      <w:marRight w:val="0"/>
      <w:marTop w:val="0"/>
      <w:marBottom w:val="0"/>
      <w:divBdr>
        <w:top w:val="none" w:sz="0" w:space="0" w:color="auto"/>
        <w:left w:val="none" w:sz="0" w:space="0" w:color="auto"/>
        <w:bottom w:val="none" w:sz="0" w:space="0" w:color="auto"/>
        <w:right w:val="none" w:sz="0" w:space="0" w:color="auto"/>
      </w:divBdr>
    </w:div>
    <w:div w:id="120999566">
      <w:bodyDiv w:val="1"/>
      <w:marLeft w:val="0"/>
      <w:marRight w:val="0"/>
      <w:marTop w:val="0"/>
      <w:marBottom w:val="0"/>
      <w:divBdr>
        <w:top w:val="none" w:sz="0" w:space="0" w:color="auto"/>
        <w:left w:val="none" w:sz="0" w:space="0" w:color="auto"/>
        <w:bottom w:val="none" w:sz="0" w:space="0" w:color="auto"/>
        <w:right w:val="none" w:sz="0" w:space="0" w:color="auto"/>
      </w:divBdr>
    </w:div>
    <w:div w:id="121077361">
      <w:bodyDiv w:val="1"/>
      <w:marLeft w:val="0"/>
      <w:marRight w:val="0"/>
      <w:marTop w:val="0"/>
      <w:marBottom w:val="0"/>
      <w:divBdr>
        <w:top w:val="none" w:sz="0" w:space="0" w:color="auto"/>
        <w:left w:val="none" w:sz="0" w:space="0" w:color="auto"/>
        <w:bottom w:val="none" w:sz="0" w:space="0" w:color="auto"/>
        <w:right w:val="none" w:sz="0" w:space="0" w:color="auto"/>
      </w:divBdr>
    </w:div>
    <w:div w:id="121192780">
      <w:bodyDiv w:val="1"/>
      <w:marLeft w:val="0"/>
      <w:marRight w:val="0"/>
      <w:marTop w:val="0"/>
      <w:marBottom w:val="0"/>
      <w:divBdr>
        <w:top w:val="none" w:sz="0" w:space="0" w:color="auto"/>
        <w:left w:val="none" w:sz="0" w:space="0" w:color="auto"/>
        <w:bottom w:val="none" w:sz="0" w:space="0" w:color="auto"/>
        <w:right w:val="none" w:sz="0" w:space="0" w:color="auto"/>
      </w:divBdr>
    </w:div>
    <w:div w:id="121308768">
      <w:bodyDiv w:val="1"/>
      <w:marLeft w:val="0"/>
      <w:marRight w:val="0"/>
      <w:marTop w:val="0"/>
      <w:marBottom w:val="0"/>
      <w:divBdr>
        <w:top w:val="none" w:sz="0" w:space="0" w:color="auto"/>
        <w:left w:val="none" w:sz="0" w:space="0" w:color="auto"/>
        <w:bottom w:val="none" w:sz="0" w:space="0" w:color="auto"/>
        <w:right w:val="none" w:sz="0" w:space="0" w:color="auto"/>
      </w:divBdr>
    </w:div>
    <w:div w:id="121311898">
      <w:bodyDiv w:val="1"/>
      <w:marLeft w:val="0"/>
      <w:marRight w:val="0"/>
      <w:marTop w:val="0"/>
      <w:marBottom w:val="0"/>
      <w:divBdr>
        <w:top w:val="none" w:sz="0" w:space="0" w:color="auto"/>
        <w:left w:val="none" w:sz="0" w:space="0" w:color="auto"/>
        <w:bottom w:val="none" w:sz="0" w:space="0" w:color="auto"/>
        <w:right w:val="none" w:sz="0" w:space="0" w:color="auto"/>
      </w:divBdr>
    </w:div>
    <w:div w:id="121312862">
      <w:bodyDiv w:val="1"/>
      <w:marLeft w:val="0"/>
      <w:marRight w:val="0"/>
      <w:marTop w:val="0"/>
      <w:marBottom w:val="0"/>
      <w:divBdr>
        <w:top w:val="none" w:sz="0" w:space="0" w:color="auto"/>
        <w:left w:val="none" w:sz="0" w:space="0" w:color="auto"/>
        <w:bottom w:val="none" w:sz="0" w:space="0" w:color="auto"/>
        <w:right w:val="none" w:sz="0" w:space="0" w:color="auto"/>
      </w:divBdr>
    </w:div>
    <w:div w:id="121386741">
      <w:bodyDiv w:val="1"/>
      <w:marLeft w:val="0"/>
      <w:marRight w:val="0"/>
      <w:marTop w:val="0"/>
      <w:marBottom w:val="0"/>
      <w:divBdr>
        <w:top w:val="none" w:sz="0" w:space="0" w:color="auto"/>
        <w:left w:val="none" w:sz="0" w:space="0" w:color="auto"/>
        <w:bottom w:val="none" w:sz="0" w:space="0" w:color="auto"/>
        <w:right w:val="none" w:sz="0" w:space="0" w:color="auto"/>
      </w:divBdr>
    </w:div>
    <w:div w:id="121467040">
      <w:bodyDiv w:val="1"/>
      <w:marLeft w:val="0"/>
      <w:marRight w:val="0"/>
      <w:marTop w:val="0"/>
      <w:marBottom w:val="0"/>
      <w:divBdr>
        <w:top w:val="none" w:sz="0" w:space="0" w:color="auto"/>
        <w:left w:val="none" w:sz="0" w:space="0" w:color="auto"/>
        <w:bottom w:val="none" w:sz="0" w:space="0" w:color="auto"/>
        <w:right w:val="none" w:sz="0" w:space="0" w:color="auto"/>
      </w:divBdr>
    </w:div>
    <w:div w:id="121507464">
      <w:bodyDiv w:val="1"/>
      <w:marLeft w:val="0"/>
      <w:marRight w:val="0"/>
      <w:marTop w:val="0"/>
      <w:marBottom w:val="0"/>
      <w:divBdr>
        <w:top w:val="none" w:sz="0" w:space="0" w:color="auto"/>
        <w:left w:val="none" w:sz="0" w:space="0" w:color="auto"/>
        <w:bottom w:val="none" w:sz="0" w:space="0" w:color="auto"/>
        <w:right w:val="none" w:sz="0" w:space="0" w:color="auto"/>
      </w:divBdr>
    </w:div>
    <w:div w:id="121507804">
      <w:bodyDiv w:val="1"/>
      <w:marLeft w:val="0"/>
      <w:marRight w:val="0"/>
      <w:marTop w:val="0"/>
      <w:marBottom w:val="0"/>
      <w:divBdr>
        <w:top w:val="none" w:sz="0" w:space="0" w:color="auto"/>
        <w:left w:val="none" w:sz="0" w:space="0" w:color="auto"/>
        <w:bottom w:val="none" w:sz="0" w:space="0" w:color="auto"/>
        <w:right w:val="none" w:sz="0" w:space="0" w:color="auto"/>
      </w:divBdr>
    </w:div>
    <w:div w:id="121580422">
      <w:bodyDiv w:val="1"/>
      <w:marLeft w:val="0"/>
      <w:marRight w:val="0"/>
      <w:marTop w:val="0"/>
      <w:marBottom w:val="0"/>
      <w:divBdr>
        <w:top w:val="none" w:sz="0" w:space="0" w:color="auto"/>
        <w:left w:val="none" w:sz="0" w:space="0" w:color="auto"/>
        <w:bottom w:val="none" w:sz="0" w:space="0" w:color="auto"/>
        <w:right w:val="none" w:sz="0" w:space="0" w:color="auto"/>
      </w:divBdr>
    </w:div>
    <w:div w:id="121660111">
      <w:bodyDiv w:val="1"/>
      <w:marLeft w:val="0"/>
      <w:marRight w:val="0"/>
      <w:marTop w:val="0"/>
      <w:marBottom w:val="0"/>
      <w:divBdr>
        <w:top w:val="none" w:sz="0" w:space="0" w:color="auto"/>
        <w:left w:val="none" w:sz="0" w:space="0" w:color="auto"/>
        <w:bottom w:val="none" w:sz="0" w:space="0" w:color="auto"/>
        <w:right w:val="none" w:sz="0" w:space="0" w:color="auto"/>
      </w:divBdr>
    </w:div>
    <w:div w:id="121701324">
      <w:bodyDiv w:val="1"/>
      <w:marLeft w:val="0"/>
      <w:marRight w:val="0"/>
      <w:marTop w:val="0"/>
      <w:marBottom w:val="0"/>
      <w:divBdr>
        <w:top w:val="none" w:sz="0" w:space="0" w:color="auto"/>
        <w:left w:val="none" w:sz="0" w:space="0" w:color="auto"/>
        <w:bottom w:val="none" w:sz="0" w:space="0" w:color="auto"/>
        <w:right w:val="none" w:sz="0" w:space="0" w:color="auto"/>
      </w:divBdr>
    </w:div>
    <w:div w:id="121770847">
      <w:bodyDiv w:val="1"/>
      <w:marLeft w:val="0"/>
      <w:marRight w:val="0"/>
      <w:marTop w:val="0"/>
      <w:marBottom w:val="0"/>
      <w:divBdr>
        <w:top w:val="none" w:sz="0" w:space="0" w:color="auto"/>
        <w:left w:val="none" w:sz="0" w:space="0" w:color="auto"/>
        <w:bottom w:val="none" w:sz="0" w:space="0" w:color="auto"/>
        <w:right w:val="none" w:sz="0" w:space="0" w:color="auto"/>
      </w:divBdr>
    </w:div>
    <w:div w:id="121770982">
      <w:bodyDiv w:val="1"/>
      <w:marLeft w:val="0"/>
      <w:marRight w:val="0"/>
      <w:marTop w:val="0"/>
      <w:marBottom w:val="0"/>
      <w:divBdr>
        <w:top w:val="none" w:sz="0" w:space="0" w:color="auto"/>
        <w:left w:val="none" w:sz="0" w:space="0" w:color="auto"/>
        <w:bottom w:val="none" w:sz="0" w:space="0" w:color="auto"/>
        <w:right w:val="none" w:sz="0" w:space="0" w:color="auto"/>
      </w:divBdr>
    </w:div>
    <w:div w:id="121777334">
      <w:bodyDiv w:val="1"/>
      <w:marLeft w:val="0"/>
      <w:marRight w:val="0"/>
      <w:marTop w:val="0"/>
      <w:marBottom w:val="0"/>
      <w:divBdr>
        <w:top w:val="none" w:sz="0" w:space="0" w:color="auto"/>
        <w:left w:val="none" w:sz="0" w:space="0" w:color="auto"/>
        <w:bottom w:val="none" w:sz="0" w:space="0" w:color="auto"/>
        <w:right w:val="none" w:sz="0" w:space="0" w:color="auto"/>
      </w:divBdr>
    </w:div>
    <w:div w:id="122039718">
      <w:bodyDiv w:val="1"/>
      <w:marLeft w:val="0"/>
      <w:marRight w:val="0"/>
      <w:marTop w:val="0"/>
      <w:marBottom w:val="0"/>
      <w:divBdr>
        <w:top w:val="none" w:sz="0" w:space="0" w:color="auto"/>
        <w:left w:val="none" w:sz="0" w:space="0" w:color="auto"/>
        <w:bottom w:val="none" w:sz="0" w:space="0" w:color="auto"/>
        <w:right w:val="none" w:sz="0" w:space="0" w:color="auto"/>
      </w:divBdr>
    </w:div>
    <w:div w:id="122040407">
      <w:bodyDiv w:val="1"/>
      <w:marLeft w:val="0"/>
      <w:marRight w:val="0"/>
      <w:marTop w:val="0"/>
      <w:marBottom w:val="0"/>
      <w:divBdr>
        <w:top w:val="none" w:sz="0" w:space="0" w:color="auto"/>
        <w:left w:val="none" w:sz="0" w:space="0" w:color="auto"/>
        <w:bottom w:val="none" w:sz="0" w:space="0" w:color="auto"/>
        <w:right w:val="none" w:sz="0" w:space="0" w:color="auto"/>
      </w:divBdr>
    </w:div>
    <w:div w:id="122043276">
      <w:bodyDiv w:val="1"/>
      <w:marLeft w:val="0"/>
      <w:marRight w:val="0"/>
      <w:marTop w:val="0"/>
      <w:marBottom w:val="0"/>
      <w:divBdr>
        <w:top w:val="none" w:sz="0" w:space="0" w:color="auto"/>
        <w:left w:val="none" w:sz="0" w:space="0" w:color="auto"/>
        <w:bottom w:val="none" w:sz="0" w:space="0" w:color="auto"/>
        <w:right w:val="none" w:sz="0" w:space="0" w:color="auto"/>
      </w:divBdr>
    </w:div>
    <w:div w:id="122116431">
      <w:bodyDiv w:val="1"/>
      <w:marLeft w:val="0"/>
      <w:marRight w:val="0"/>
      <w:marTop w:val="0"/>
      <w:marBottom w:val="0"/>
      <w:divBdr>
        <w:top w:val="none" w:sz="0" w:space="0" w:color="auto"/>
        <w:left w:val="none" w:sz="0" w:space="0" w:color="auto"/>
        <w:bottom w:val="none" w:sz="0" w:space="0" w:color="auto"/>
        <w:right w:val="none" w:sz="0" w:space="0" w:color="auto"/>
      </w:divBdr>
    </w:div>
    <w:div w:id="122162785">
      <w:bodyDiv w:val="1"/>
      <w:marLeft w:val="0"/>
      <w:marRight w:val="0"/>
      <w:marTop w:val="0"/>
      <w:marBottom w:val="0"/>
      <w:divBdr>
        <w:top w:val="none" w:sz="0" w:space="0" w:color="auto"/>
        <w:left w:val="none" w:sz="0" w:space="0" w:color="auto"/>
        <w:bottom w:val="none" w:sz="0" w:space="0" w:color="auto"/>
        <w:right w:val="none" w:sz="0" w:space="0" w:color="auto"/>
      </w:divBdr>
    </w:div>
    <w:div w:id="122236365">
      <w:bodyDiv w:val="1"/>
      <w:marLeft w:val="0"/>
      <w:marRight w:val="0"/>
      <w:marTop w:val="0"/>
      <w:marBottom w:val="0"/>
      <w:divBdr>
        <w:top w:val="none" w:sz="0" w:space="0" w:color="auto"/>
        <w:left w:val="none" w:sz="0" w:space="0" w:color="auto"/>
        <w:bottom w:val="none" w:sz="0" w:space="0" w:color="auto"/>
        <w:right w:val="none" w:sz="0" w:space="0" w:color="auto"/>
      </w:divBdr>
    </w:div>
    <w:div w:id="122238186">
      <w:bodyDiv w:val="1"/>
      <w:marLeft w:val="0"/>
      <w:marRight w:val="0"/>
      <w:marTop w:val="0"/>
      <w:marBottom w:val="0"/>
      <w:divBdr>
        <w:top w:val="none" w:sz="0" w:space="0" w:color="auto"/>
        <w:left w:val="none" w:sz="0" w:space="0" w:color="auto"/>
        <w:bottom w:val="none" w:sz="0" w:space="0" w:color="auto"/>
        <w:right w:val="none" w:sz="0" w:space="0" w:color="auto"/>
      </w:divBdr>
    </w:div>
    <w:div w:id="122239486">
      <w:bodyDiv w:val="1"/>
      <w:marLeft w:val="0"/>
      <w:marRight w:val="0"/>
      <w:marTop w:val="0"/>
      <w:marBottom w:val="0"/>
      <w:divBdr>
        <w:top w:val="none" w:sz="0" w:space="0" w:color="auto"/>
        <w:left w:val="none" w:sz="0" w:space="0" w:color="auto"/>
        <w:bottom w:val="none" w:sz="0" w:space="0" w:color="auto"/>
        <w:right w:val="none" w:sz="0" w:space="0" w:color="auto"/>
      </w:divBdr>
    </w:div>
    <w:div w:id="122310372">
      <w:bodyDiv w:val="1"/>
      <w:marLeft w:val="0"/>
      <w:marRight w:val="0"/>
      <w:marTop w:val="0"/>
      <w:marBottom w:val="0"/>
      <w:divBdr>
        <w:top w:val="none" w:sz="0" w:space="0" w:color="auto"/>
        <w:left w:val="none" w:sz="0" w:space="0" w:color="auto"/>
        <w:bottom w:val="none" w:sz="0" w:space="0" w:color="auto"/>
        <w:right w:val="none" w:sz="0" w:space="0" w:color="auto"/>
      </w:divBdr>
    </w:div>
    <w:div w:id="122620894">
      <w:bodyDiv w:val="1"/>
      <w:marLeft w:val="0"/>
      <w:marRight w:val="0"/>
      <w:marTop w:val="0"/>
      <w:marBottom w:val="0"/>
      <w:divBdr>
        <w:top w:val="none" w:sz="0" w:space="0" w:color="auto"/>
        <w:left w:val="none" w:sz="0" w:space="0" w:color="auto"/>
        <w:bottom w:val="none" w:sz="0" w:space="0" w:color="auto"/>
        <w:right w:val="none" w:sz="0" w:space="0" w:color="auto"/>
      </w:divBdr>
    </w:div>
    <w:div w:id="122623920">
      <w:bodyDiv w:val="1"/>
      <w:marLeft w:val="0"/>
      <w:marRight w:val="0"/>
      <w:marTop w:val="0"/>
      <w:marBottom w:val="0"/>
      <w:divBdr>
        <w:top w:val="none" w:sz="0" w:space="0" w:color="auto"/>
        <w:left w:val="none" w:sz="0" w:space="0" w:color="auto"/>
        <w:bottom w:val="none" w:sz="0" w:space="0" w:color="auto"/>
        <w:right w:val="none" w:sz="0" w:space="0" w:color="auto"/>
      </w:divBdr>
    </w:div>
    <w:div w:id="122699165">
      <w:bodyDiv w:val="1"/>
      <w:marLeft w:val="0"/>
      <w:marRight w:val="0"/>
      <w:marTop w:val="0"/>
      <w:marBottom w:val="0"/>
      <w:divBdr>
        <w:top w:val="none" w:sz="0" w:space="0" w:color="auto"/>
        <w:left w:val="none" w:sz="0" w:space="0" w:color="auto"/>
        <w:bottom w:val="none" w:sz="0" w:space="0" w:color="auto"/>
        <w:right w:val="none" w:sz="0" w:space="0" w:color="auto"/>
      </w:divBdr>
    </w:div>
    <w:div w:id="122772743">
      <w:bodyDiv w:val="1"/>
      <w:marLeft w:val="0"/>
      <w:marRight w:val="0"/>
      <w:marTop w:val="0"/>
      <w:marBottom w:val="0"/>
      <w:divBdr>
        <w:top w:val="none" w:sz="0" w:space="0" w:color="auto"/>
        <w:left w:val="none" w:sz="0" w:space="0" w:color="auto"/>
        <w:bottom w:val="none" w:sz="0" w:space="0" w:color="auto"/>
        <w:right w:val="none" w:sz="0" w:space="0" w:color="auto"/>
      </w:divBdr>
    </w:div>
    <w:div w:id="122774775">
      <w:bodyDiv w:val="1"/>
      <w:marLeft w:val="0"/>
      <w:marRight w:val="0"/>
      <w:marTop w:val="0"/>
      <w:marBottom w:val="0"/>
      <w:divBdr>
        <w:top w:val="none" w:sz="0" w:space="0" w:color="auto"/>
        <w:left w:val="none" w:sz="0" w:space="0" w:color="auto"/>
        <w:bottom w:val="none" w:sz="0" w:space="0" w:color="auto"/>
        <w:right w:val="none" w:sz="0" w:space="0" w:color="auto"/>
      </w:divBdr>
    </w:div>
    <w:div w:id="122775845">
      <w:bodyDiv w:val="1"/>
      <w:marLeft w:val="0"/>
      <w:marRight w:val="0"/>
      <w:marTop w:val="0"/>
      <w:marBottom w:val="0"/>
      <w:divBdr>
        <w:top w:val="none" w:sz="0" w:space="0" w:color="auto"/>
        <w:left w:val="none" w:sz="0" w:space="0" w:color="auto"/>
        <w:bottom w:val="none" w:sz="0" w:space="0" w:color="auto"/>
        <w:right w:val="none" w:sz="0" w:space="0" w:color="auto"/>
      </w:divBdr>
    </w:div>
    <w:div w:id="122776661">
      <w:bodyDiv w:val="1"/>
      <w:marLeft w:val="0"/>
      <w:marRight w:val="0"/>
      <w:marTop w:val="0"/>
      <w:marBottom w:val="0"/>
      <w:divBdr>
        <w:top w:val="none" w:sz="0" w:space="0" w:color="auto"/>
        <w:left w:val="none" w:sz="0" w:space="0" w:color="auto"/>
        <w:bottom w:val="none" w:sz="0" w:space="0" w:color="auto"/>
        <w:right w:val="none" w:sz="0" w:space="0" w:color="auto"/>
      </w:divBdr>
    </w:div>
    <w:div w:id="122895546">
      <w:bodyDiv w:val="1"/>
      <w:marLeft w:val="0"/>
      <w:marRight w:val="0"/>
      <w:marTop w:val="0"/>
      <w:marBottom w:val="0"/>
      <w:divBdr>
        <w:top w:val="none" w:sz="0" w:space="0" w:color="auto"/>
        <w:left w:val="none" w:sz="0" w:space="0" w:color="auto"/>
        <w:bottom w:val="none" w:sz="0" w:space="0" w:color="auto"/>
        <w:right w:val="none" w:sz="0" w:space="0" w:color="auto"/>
      </w:divBdr>
    </w:div>
    <w:div w:id="123012102">
      <w:bodyDiv w:val="1"/>
      <w:marLeft w:val="0"/>
      <w:marRight w:val="0"/>
      <w:marTop w:val="0"/>
      <w:marBottom w:val="0"/>
      <w:divBdr>
        <w:top w:val="none" w:sz="0" w:space="0" w:color="auto"/>
        <w:left w:val="none" w:sz="0" w:space="0" w:color="auto"/>
        <w:bottom w:val="none" w:sz="0" w:space="0" w:color="auto"/>
        <w:right w:val="none" w:sz="0" w:space="0" w:color="auto"/>
      </w:divBdr>
    </w:div>
    <w:div w:id="123012308">
      <w:bodyDiv w:val="1"/>
      <w:marLeft w:val="0"/>
      <w:marRight w:val="0"/>
      <w:marTop w:val="0"/>
      <w:marBottom w:val="0"/>
      <w:divBdr>
        <w:top w:val="none" w:sz="0" w:space="0" w:color="auto"/>
        <w:left w:val="none" w:sz="0" w:space="0" w:color="auto"/>
        <w:bottom w:val="none" w:sz="0" w:space="0" w:color="auto"/>
        <w:right w:val="none" w:sz="0" w:space="0" w:color="auto"/>
      </w:divBdr>
    </w:div>
    <w:div w:id="123161686">
      <w:bodyDiv w:val="1"/>
      <w:marLeft w:val="0"/>
      <w:marRight w:val="0"/>
      <w:marTop w:val="0"/>
      <w:marBottom w:val="0"/>
      <w:divBdr>
        <w:top w:val="none" w:sz="0" w:space="0" w:color="auto"/>
        <w:left w:val="none" w:sz="0" w:space="0" w:color="auto"/>
        <w:bottom w:val="none" w:sz="0" w:space="0" w:color="auto"/>
        <w:right w:val="none" w:sz="0" w:space="0" w:color="auto"/>
      </w:divBdr>
    </w:div>
    <w:div w:id="123276608">
      <w:bodyDiv w:val="1"/>
      <w:marLeft w:val="0"/>
      <w:marRight w:val="0"/>
      <w:marTop w:val="0"/>
      <w:marBottom w:val="0"/>
      <w:divBdr>
        <w:top w:val="none" w:sz="0" w:space="0" w:color="auto"/>
        <w:left w:val="none" w:sz="0" w:space="0" w:color="auto"/>
        <w:bottom w:val="none" w:sz="0" w:space="0" w:color="auto"/>
        <w:right w:val="none" w:sz="0" w:space="0" w:color="auto"/>
      </w:divBdr>
    </w:div>
    <w:div w:id="123277806">
      <w:bodyDiv w:val="1"/>
      <w:marLeft w:val="0"/>
      <w:marRight w:val="0"/>
      <w:marTop w:val="0"/>
      <w:marBottom w:val="0"/>
      <w:divBdr>
        <w:top w:val="none" w:sz="0" w:space="0" w:color="auto"/>
        <w:left w:val="none" w:sz="0" w:space="0" w:color="auto"/>
        <w:bottom w:val="none" w:sz="0" w:space="0" w:color="auto"/>
        <w:right w:val="none" w:sz="0" w:space="0" w:color="auto"/>
      </w:divBdr>
    </w:div>
    <w:div w:id="123349695">
      <w:bodyDiv w:val="1"/>
      <w:marLeft w:val="0"/>
      <w:marRight w:val="0"/>
      <w:marTop w:val="0"/>
      <w:marBottom w:val="0"/>
      <w:divBdr>
        <w:top w:val="none" w:sz="0" w:space="0" w:color="auto"/>
        <w:left w:val="none" w:sz="0" w:space="0" w:color="auto"/>
        <w:bottom w:val="none" w:sz="0" w:space="0" w:color="auto"/>
        <w:right w:val="none" w:sz="0" w:space="0" w:color="auto"/>
      </w:divBdr>
    </w:div>
    <w:div w:id="123471908">
      <w:bodyDiv w:val="1"/>
      <w:marLeft w:val="0"/>
      <w:marRight w:val="0"/>
      <w:marTop w:val="0"/>
      <w:marBottom w:val="0"/>
      <w:divBdr>
        <w:top w:val="none" w:sz="0" w:space="0" w:color="auto"/>
        <w:left w:val="none" w:sz="0" w:space="0" w:color="auto"/>
        <w:bottom w:val="none" w:sz="0" w:space="0" w:color="auto"/>
        <w:right w:val="none" w:sz="0" w:space="0" w:color="auto"/>
      </w:divBdr>
    </w:div>
    <w:div w:id="123546727">
      <w:bodyDiv w:val="1"/>
      <w:marLeft w:val="0"/>
      <w:marRight w:val="0"/>
      <w:marTop w:val="0"/>
      <w:marBottom w:val="0"/>
      <w:divBdr>
        <w:top w:val="none" w:sz="0" w:space="0" w:color="auto"/>
        <w:left w:val="none" w:sz="0" w:space="0" w:color="auto"/>
        <w:bottom w:val="none" w:sz="0" w:space="0" w:color="auto"/>
        <w:right w:val="none" w:sz="0" w:space="0" w:color="auto"/>
      </w:divBdr>
    </w:div>
    <w:div w:id="123625864">
      <w:bodyDiv w:val="1"/>
      <w:marLeft w:val="0"/>
      <w:marRight w:val="0"/>
      <w:marTop w:val="0"/>
      <w:marBottom w:val="0"/>
      <w:divBdr>
        <w:top w:val="none" w:sz="0" w:space="0" w:color="auto"/>
        <w:left w:val="none" w:sz="0" w:space="0" w:color="auto"/>
        <w:bottom w:val="none" w:sz="0" w:space="0" w:color="auto"/>
        <w:right w:val="none" w:sz="0" w:space="0" w:color="auto"/>
      </w:divBdr>
    </w:div>
    <w:div w:id="123626650">
      <w:bodyDiv w:val="1"/>
      <w:marLeft w:val="0"/>
      <w:marRight w:val="0"/>
      <w:marTop w:val="0"/>
      <w:marBottom w:val="0"/>
      <w:divBdr>
        <w:top w:val="none" w:sz="0" w:space="0" w:color="auto"/>
        <w:left w:val="none" w:sz="0" w:space="0" w:color="auto"/>
        <w:bottom w:val="none" w:sz="0" w:space="0" w:color="auto"/>
        <w:right w:val="none" w:sz="0" w:space="0" w:color="auto"/>
      </w:divBdr>
    </w:div>
    <w:div w:id="123738079">
      <w:bodyDiv w:val="1"/>
      <w:marLeft w:val="0"/>
      <w:marRight w:val="0"/>
      <w:marTop w:val="0"/>
      <w:marBottom w:val="0"/>
      <w:divBdr>
        <w:top w:val="none" w:sz="0" w:space="0" w:color="auto"/>
        <w:left w:val="none" w:sz="0" w:space="0" w:color="auto"/>
        <w:bottom w:val="none" w:sz="0" w:space="0" w:color="auto"/>
        <w:right w:val="none" w:sz="0" w:space="0" w:color="auto"/>
      </w:divBdr>
    </w:div>
    <w:div w:id="123886340">
      <w:bodyDiv w:val="1"/>
      <w:marLeft w:val="0"/>
      <w:marRight w:val="0"/>
      <w:marTop w:val="0"/>
      <w:marBottom w:val="0"/>
      <w:divBdr>
        <w:top w:val="none" w:sz="0" w:space="0" w:color="auto"/>
        <w:left w:val="none" w:sz="0" w:space="0" w:color="auto"/>
        <w:bottom w:val="none" w:sz="0" w:space="0" w:color="auto"/>
        <w:right w:val="none" w:sz="0" w:space="0" w:color="auto"/>
      </w:divBdr>
    </w:div>
    <w:div w:id="123892964">
      <w:bodyDiv w:val="1"/>
      <w:marLeft w:val="0"/>
      <w:marRight w:val="0"/>
      <w:marTop w:val="0"/>
      <w:marBottom w:val="0"/>
      <w:divBdr>
        <w:top w:val="none" w:sz="0" w:space="0" w:color="auto"/>
        <w:left w:val="none" w:sz="0" w:space="0" w:color="auto"/>
        <w:bottom w:val="none" w:sz="0" w:space="0" w:color="auto"/>
        <w:right w:val="none" w:sz="0" w:space="0" w:color="auto"/>
      </w:divBdr>
    </w:div>
    <w:div w:id="123931585">
      <w:bodyDiv w:val="1"/>
      <w:marLeft w:val="0"/>
      <w:marRight w:val="0"/>
      <w:marTop w:val="0"/>
      <w:marBottom w:val="0"/>
      <w:divBdr>
        <w:top w:val="none" w:sz="0" w:space="0" w:color="auto"/>
        <w:left w:val="none" w:sz="0" w:space="0" w:color="auto"/>
        <w:bottom w:val="none" w:sz="0" w:space="0" w:color="auto"/>
        <w:right w:val="none" w:sz="0" w:space="0" w:color="auto"/>
      </w:divBdr>
    </w:div>
    <w:div w:id="123934912">
      <w:bodyDiv w:val="1"/>
      <w:marLeft w:val="0"/>
      <w:marRight w:val="0"/>
      <w:marTop w:val="0"/>
      <w:marBottom w:val="0"/>
      <w:divBdr>
        <w:top w:val="none" w:sz="0" w:space="0" w:color="auto"/>
        <w:left w:val="none" w:sz="0" w:space="0" w:color="auto"/>
        <w:bottom w:val="none" w:sz="0" w:space="0" w:color="auto"/>
        <w:right w:val="none" w:sz="0" w:space="0" w:color="auto"/>
      </w:divBdr>
    </w:div>
    <w:div w:id="123935442">
      <w:bodyDiv w:val="1"/>
      <w:marLeft w:val="0"/>
      <w:marRight w:val="0"/>
      <w:marTop w:val="0"/>
      <w:marBottom w:val="0"/>
      <w:divBdr>
        <w:top w:val="none" w:sz="0" w:space="0" w:color="auto"/>
        <w:left w:val="none" w:sz="0" w:space="0" w:color="auto"/>
        <w:bottom w:val="none" w:sz="0" w:space="0" w:color="auto"/>
        <w:right w:val="none" w:sz="0" w:space="0" w:color="auto"/>
      </w:divBdr>
    </w:div>
    <w:div w:id="124086171">
      <w:bodyDiv w:val="1"/>
      <w:marLeft w:val="0"/>
      <w:marRight w:val="0"/>
      <w:marTop w:val="0"/>
      <w:marBottom w:val="0"/>
      <w:divBdr>
        <w:top w:val="none" w:sz="0" w:space="0" w:color="auto"/>
        <w:left w:val="none" w:sz="0" w:space="0" w:color="auto"/>
        <w:bottom w:val="none" w:sz="0" w:space="0" w:color="auto"/>
        <w:right w:val="none" w:sz="0" w:space="0" w:color="auto"/>
      </w:divBdr>
    </w:div>
    <w:div w:id="124277071">
      <w:bodyDiv w:val="1"/>
      <w:marLeft w:val="0"/>
      <w:marRight w:val="0"/>
      <w:marTop w:val="0"/>
      <w:marBottom w:val="0"/>
      <w:divBdr>
        <w:top w:val="none" w:sz="0" w:space="0" w:color="auto"/>
        <w:left w:val="none" w:sz="0" w:space="0" w:color="auto"/>
        <w:bottom w:val="none" w:sz="0" w:space="0" w:color="auto"/>
        <w:right w:val="none" w:sz="0" w:space="0" w:color="auto"/>
      </w:divBdr>
    </w:div>
    <w:div w:id="124352172">
      <w:bodyDiv w:val="1"/>
      <w:marLeft w:val="0"/>
      <w:marRight w:val="0"/>
      <w:marTop w:val="0"/>
      <w:marBottom w:val="0"/>
      <w:divBdr>
        <w:top w:val="none" w:sz="0" w:space="0" w:color="auto"/>
        <w:left w:val="none" w:sz="0" w:space="0" w:color="auto"/>
        <w:bottom w:val="none" w:sz="0" w:space="0" w:color="auto"/>
        <w:right w:val="none" w:sz="0" w:space="0" w:color="auto"/>
      </w:divBdr>
    </w:div>
    <w:div w:id="124469967">
      <w:bodyDiv w:val="1"/>
      <w:marLeft w:val="0"/>
      <w:marRight w:val="0"/>
      <w:marTop w:val="0"/>
      <w:marBottom w:val="0"/>
      <w:divBdr>
        <w:top w:val="none" w:sz="0" w:space="0" w:color="auto"/>
        <w:left w:val="none" w:sz="0" w:space="0" w:color="auto"/>
        <w:bottom w:val="none" w:sz="0" w:space="0" w:color="auto"/>
        <w:right w:val="none" w:sz="0" w:space="0" w:color="auto"/>
      </w:divBdr>
    </w:div>
    <w:div w:id="124470979">
      <w:bodyDiv w:val="1"/>
      <w:marLeft w:val="0"/>
      <w:marRight w:val="0"/>
      <w:marTop w:val="0"/>
      <w:marBottom w:val="0"/>
      <w:divBdr>
        <w:top w:val="none" w:sz="0" w:space="0" w:color="auto"/>
        <w:left w:val="none" w:sz="0" w:space="0" w:color="auto"/>
        <w:bottom w:val="none" w:sz="0" w:space="0" w:color="auto"/>
        <w:right w:val="none" w:sz="0" w:space="0" w:color="auto"/>
      </w:divBdr>
    </w:div>
    <w:div w:id="124588388">
      <w:bodyDiv w:val="1"/>
      <w:marLeft w:val="0"/>
      <w:marRight w:val="0"/>
      <w:marTop w:val="0"/>
      <w:marBottom w:val="0"/>
      <w:divBdr>
        <w:top w:val="none" w:sz="0" w:space="0" w:color="auto"/>
        <w:left w:val="none" w:sz="0" w:space="0" w:color="auto"/>
        <w:bottom w:val="none" w:sz="0" w:space="0" w:color="auto"/>
        <w:right w:val="none" w:sz="0" w:space="0" w:color="auto"/>
      </w:divBdr>
    </w:div>
    <w:div w:id="124661754">
      <w:bodyDiv w:val="1"/>
      <w:marLeft w:val="0"/>
      <w:marRight w:val="0"/>
      <w:marTop w:val="0"/>
      <w:marBottom w:val="0"/>
      <w:divBdr>
        <w:top w:val="none" w:sz="0" w:space="0" w:color="auto"/>
        <w:left w:val="none" w:sz="0" w:space="0" w:color="auto"/>
        <w:bottom w:val="none" w:sz="0" w:space="0" w:color="auto"/>
        <w:right w:val="none" w:sz="0" w:space="0" w:color="auto"/>
      </w:divBdr>
    </w:div>
    <w:div w:id="124661909">
      <w:bodyDiv w:val="1"/>
      <w:marLeft w:val="0"/>
      <w:marRight w:val="0"/>
      <w:marTop w:val="0"/>
      <w:marBottom w:val="0"/>
      <w:divBdr>
        <w:top w:val="none" w:sz="0" w:space="0" w:color="auto"/>
        <w:left w:val="none" w:sz="0" w:space="0" w:color="auto"/>
        <w:bottom w:val="none" w:sz="0" w:space="0" w:color="auto"/>
        <w:right w:val="none" w:sz="0" w:space="0" w:color="auto"/>
      </w:divBdr>
    </w:div>
    <w:div w:id="124666209">
      <w:bodyDiv w:val="1"/>
      <w:marLeft w:val="0"/>
      <w:marRight w:val="0"/>
      <w:marTop w:val="0"/>
      <w:marBottom w:val="0"/>
      <w:divBdr>
        <w:top w:val="none" w:sz="0" w:space="0" w:color="auto"/>
        <w:left w:val="none" w:sz="0" w:space="0" w:color="auto"/>
        <w:bottom w:val="none" w:sz="0" w:space="0" w:color="auto"/>
        <w:right w:val="none" w:sz="0" w:space="0" w:color="auto"/>
      </w:divBdr>
    </w:div>
    <w:div w:id="124735112">
      <w:bodyDiv w:val="1"/>
      <w:marLeft w:val="0"/>
      <w:marRight w:val="0"/>
      <w:marTop w:val="0"/>
      <w:marBottom w:val="0"/>
      <w:divBdr>
        <w:top w:val="none" w:sz="0" w:space="0" w:color="auto"/>
        <w:left w:val="none" w:sz="0" w:space="0" w:color="auto"/>
        <w:bottom w:val="none" w:sz="0" w:space="0" w:color="auto"/>
        <w:right w:val="none" w:sz="0" w:space="0" w:color="auto"/>
      </w:divBdr>
    </w:div>
    <w:div w:id="124740542">
      <w:bodyDiv w:val="1"/>
      <w:marLeft w:val="0"/>
      <w:marRight w:val="0"/>
      <w:marTop w:val="0"/>
      <w:marBottom w:val="0"/>
      <w:divBdr>
        <w:top w:val="none" w:sz="0" w:space="0" w:color="auto"/>
        <w:left w:val="none" w:sz="0" w:space="0" w:color="auto"/>
        <w:bottom w:val="none" w:sz="0" w:space="0" w:color="auto"/>
        <w:right w:val="none" w:sz="0" w:space="0" w:color="auto"/>
      </w:divBdr>
    </w:div>
    <w:div w:id="124809917">
      <w:bodyDiv w:val="1"/>
      <w:marLeft w:val="0"/>
      <w:marRight w:val="0"/>
      <w:marTop w:val="0"/>
      <w:marBottom w:val="0"/>
      <w:divBdr>
        <w:top w:val="none" w:sz="0" w:space="0" w:color="auto"/>
        <w:left w:val="none" w:sz="0" w:space="0" w:color="auto"/>
        <w:bottom w:val="none" w:sz="0" w:space="0" w:color="auto"/>
        <w:right w:val="none" w:sz="0" w:space="0" w:color="auto"/>
      </w:divBdr>
    </w:div>
    <w:div w:id="124934694">
      <w:bodyDiv w:val="1"/>
      <w:marLeft w:val="0"/>
      <w:marRight w:val="0"/>
      <w:marTop w:val="0"/>
      <w:marBottom w:val="0"/>
      <w:divBdr>
        <w:top w:val="none" w:sz="0" w:space="0" w:color="auto"/>
        <w:left w:val="none" w:sz="0" w:space="0" w:color="auto"/>
        <w:bottom w:val="none" w:sz="0" w:space="0" w:color="auto"/>
        <w:right w:val="none" w:sz="0" w:space="0" w:color="auto"/>
      </w:divBdr>
    </w:div>
    <w:div w:id="125008643">
      <w:bodyDiv w:val="1"/>
      <w:marLeft w:val="0"/>
      <w:marRight w:val="0"/>
      <w:marTop w:val="0"/>
      <w:marBottom w:val="0"/>
      <w:divBdr>
        <w:top w:val="none" w:sz="0" w:space="0" w:color="auto"/>
        <w:left w:val="none" w:sz="0" w:space="0" w:color="auto"/>
        <w:bottom w:val="none" w:sz="0" w:space="0" w:color="auto"/>
        <w:right w:val="none" w:sz="0" w:space="0" w:color="auto"/>
      </w:divBdr>
    </w:div>
    <w:div w:id="125009772">
      <w:bodyDiv w:val="1"/>
      <w:marLeft w:val="0"/>
      <w:marRight w:val="0"/>
      <w:marTop w:val="0"/>
      <w:marBottom w:val="0"/>
      <w:divBdr>
        <w:top w:val="none" w:sz="0" w:space="0" w:color="auto"/>
        <w:left w:val="none" w:sz="0" w:space="0" w:color="auto"/>
        <w:bottom w:val="none" w:sz="0" w:space="0" w:color="auto"/>
        <w:right w:val="none" w:sz="0" w:space="0" w:color="auto"/>
      </w:divBdr>
    </w:div>
    <w:div w:id="125046522">
      <w:bodyDiv w:val="1"/>
      <w:marLeft w:val="0"/>
      <w:marRight w:val="0"/>
      <w:marTop w:val="0"/>
      <w:marBottom w:val="0"/>
      <w:divBdr>
        <w:top w:val="none" w:sz="0" w:space="0" w:color="auto"/>
        <w:left w:val="none" w:sz="0" w:space="0" w:color="auto"/>
        <w:bottom w:val="none" w:sz="0" w:space="0" w:color="auto"/>
        <w:right w:val="none" w:sz="0" w:space="0" w:color="auto"/>
      </w:divBdr>
    </w:div>
    <w:div w:id="125124488">
      <w:bodyDiv w:val="1"/>
      <w:marLeft w:val="0"/>
      <w:marRight w:val="0"/>
      <w:marTop w:val="0"/>
      <w:marBottom w:val="0"/>
      <w:divBdr>
        <w:top w:val="none" w:sz="0" w:space="0" w:color="auto"/>
        <w:left w:val="none" w:sz="0" w:space="0" w:color="auto"/>
        <w:bottom w:val="none" w:sz="0" w:space="0" w:color="auto"/>
        <w:right w:val="none" w:sz="0" w:space="0" w:color="auto"/>
      </w:divBdr>
    </w:div>
    <w:div w:id="125203398">
      <w:bodyDiv w:val="1"/>
      <w:marLeft w:val="0"/>
      <w:marRight w:val="0"/>
      <w:marTop w:val="0"/>
      <w:marBottom w:val="0"/>
      <w:divBdr>
        <w:top w:val="none" w:sz="0" w:space="0" w:color="auto"/>
        <w:left w:val="none" w:sz="0" w:space="0" w:color="auto"/>
        <w:bottom w:val="none" w:sz="0" w:space="0" w:color="auto"/>
        <w:right w:val="none" w:sz="0" w:space="0" w:color="auto"/>
      </w:divBdr>
    </w:div>
    <w:div w:id="125240630">
      <w:bodyDiv w:val="1"/>
      <w:marLeft w:val="0"/>
      <w:marRight w:val="0"/>
      <w:marTop w:val="0"/>
      <w:marBottom w:val="0"/>
      <w:divBdr>
        <w:top w:val="none" w:sz="0" w:space="0" w:color="auto"/>
        <w:left w:val="none" w:sz="0" w:space="0" w:color="auto"/>
        <w:bottom w:val="none" w:sz="0" w:space="0" w:color="auto"/>
        <w:right w:val="none" w:sz="0" w:space="0" w:color="auto"/>
      </w:divBdr>
    </w:div>
    <w:div w:id="125244626">
      <w:bodyDiv w:val="1"/>
      <w:marLeft w:val="0"/>
      <w:marRight w:val="0"/>
      <w:marTop w:val="0"/>
      <w:marBottom w:val="0"/>
      <w:divBdr>
        <w:top w:val="none" w:sz="0" w:space="0" w:color="auto"/>
        <w:left w:val="none" w:sz="0" w:space="0" w:color="auto"/>
        <w:bottom w:val="none" w:sz="0" w:space="0" w:color="auto"/>
        <w:right w:val="none" w:sz="0" w:space="0" w:color="auto"/>
      </w:divBdr>
    </w:div>
    <w:div w:id="125271838">
      <w:bodyDiv w:val="1"/>
      <w:marLeft w:val="0"/>
      <w:marRight w:val="0"/>
      <w:marTop w:val="0"/>
      <w:marBottom w:val="0"/>
      <w:divBdr>
        <w:top w:val="none" w:sz="0" w:space="0" w:color="auto"/>
        <w:left w:val="none" w:sz="0" w:space="0" w:color="auto"/>
        <w:bottom w:val="none" w:sz="0" w:space="0" w:color="auto"/>
        <w:right w:val="none" w:sz="0" w:space="0" w:color="auto"/>
      </w:divBdr>
    </w:div>
    <w:div w:id="125316841">
      <w:bodyDiv w:val="1"/>
      <w:marLeft w:val="0"/>
      <w:marRight w:val="0"/>
      <w:marTop w:val="0"/>
      <w:marBottom w:val="0"/>
      <w:divBdr>
        <w:top w:val="none" w:sz="0" w:space="0" w:color="auto"/>
        <w:left w:val="none" w:sz="0" w:space="0" w:color="auto"/>
        <w:bottom w:val="none" w:sz="0" w:space="0" w:color="auto"/>
        <w:right w:val="none" w:sz="0" w:space="0" w:color="auto"/>
      </w:divBdr>
    </w:div>
    <w:div w:id="125322320">
      <w:bodyDiv w:val="1"/>
      <w:marLeft w:val="0"/>
      <w:marRight w:val="0"/>
      <w:marTop w:val="0"/>
      <w:marBottom w:val="0"/>
      <w:divBdr>
        <w:top w:val="none" w:sz="0" w:space="0" w:color="auto"/>
        <w:left w:val="none" w:sz="0" w:space="0" w:color="auto"/>
        <w:bottom w:val="none" w:sz="0" w:space="0" w:color="auto"/>
        <w:right w:val="none" w:sz="0" w:space="0" w:color="auto"/>
      </w:divBdr>
    </w:div>
    <w:div w:id="125396070">
      <w:bodyDiv w:val="1"/>
      <w:marLeft w:val="0"/>
      <w:marRight w:val="0"/>
      <w:marTop w:val="0"/>
      <w:marBottom w:val="0"/>
      <w:divBdr>
        <w:top w:val="none" w:sz="0" w:space="0" w:color="auto"/>
        <w:left w:val="none" w:sz="0" w:space="0" w:color="auto"/>
        <w:bottom w:val="none" w:sz="0" w:space="0" w:color="auto"/>
        <w:right w:val="none" w:sz="0" w:space="0" w:color="auto"/>
      </w:divBdr>
    </w:div>
    <w:div w:id="125396559">
      <w:bodyDiv w:val="1"/>
      <w:marLeft w:val="0"/>
      <w:marRight w:val="0"/>
      <w:marTop w:val="0"/>
      <w:marBottom w:val="0"/>
      <w:divBdr>
        <w:top w:val="none" w:sz="0" w:space="0" w:color="auto"/>
        <w:left w:val="none" w:sz="0" w:space="0" w:color="auto"/>
        <w:bottom w:val="none" w:sz="0" w:space="0" w:color="auto"/>
        <w:right w:val="none" w:sz="0" w:space="0" w:color="auto"/>
      </w:divBdr>
    </w:div>
    <w:div w:id="125440998">
      <w:bodyDiv w:val="1"/>
      <w:marLeft w:val="0"/>
      <w:marRight w:val="0"/>
      <w:marTop w:val="0"/>
      <w:marBottom w:val="0"/>
      <w:divBdr>
        <w:top w:val="none" w:sz="0" w:space="0" w:color="auto"/>
        <w:left w:val="none" w:sz="0" w:space="0" w:color="auto"/>
        <w:bottom w:val="none" w:sz="0" w:space="0" w:color="auto"/>
        <w:right w:val="none" w:sz="0" w:space="0" w:color="auto"/>
      </w:divBdr>
    </w:div>
    <w:div w:id="125466867">
      <w:bodyDiv w:val="1"/>
      <w:marLeft w:val="0"/>
      <w:marRight w:val="0"/>
      <w:marTop w:val="0"/>
      <w:marBottom w:val="0"/>
      <w:divBdr>
        <w:top w:val="none" w:sz="0" w:space="0" w:color="auto"/>
        <w:left w:val="none" w:sz="0" w:space="0" w:color="auto"/>
        <w:bottom w:val="none" w:sz="0" w:space="0" w:color="auto"/>
        <w:right w:val="none" w:sz="0" w:space="0" w:color="auto"/>
      </w:divBdr>
    </w:div>
    <w:div w:id="125508806">
      <w:bodyDiv w:val="1"/>
      <w:marLeft w:val="0"/>
      <w:marRight w:val="0"/>
      <w:marTop w:val="0"/>
      <w:marBottom w:val="0"/>
      <w:divBdr>
        <w:top w:val="none" w:sz="0" w:space="0" w:color="auto"/>
        <w:left w:val="none" w:sz="0" w:space="0" w:color="auto"/>
        <w:bottom w:val="none" w:sz="0" w:space="0" w:color="auto"/>
        <w:right w:val="none" w:sz="0" w:space="0" w:color="auto"/>
      </w:divBdr>
    </w:div>
    <w:div w:id="125583013">
      <w:bodyDiv w:val="1"/>
      <w:marLeft w:val="0"/>
      <w:marRight w:val="0"/>
      <w:marTop w:val="0"/>
      <w:marBottom w:val="0"/>
      <w:divBdr>
        <w:top w:val="none" w:sz="0" w:space="0" w:color="auto"/>
        <w:left w:val="none" w:sz="0" w:space="0" w:color="auto"/>
        <w:bottom w:val="none" w:sz="0" w:space="0" w:color="auto"/>
        <w:right w:val="none" w:sz="0" w:space="0" w:color="auto"/>
      </w:divBdr>
    </w:div>
    <w:div w:id="125586566">
      <w:bodyDiv w:val="1"/>
      <w:marLeft w:val="0"/>
      <w:marRight w:val="0"/>
      <w:marTop w:val="0"/>
      <w:marBottom w:val="0"/>
      <w:divBdr>
        <w:top w:val="none" w:sz="0" w:space="0" w:color="auto"/>
        <w:left w:val="none" w:sz="0" w:space="0" w:color="auto"/>
        <w:bottom w:val="none" w:sz="0" w:space="0" w:color="auto"/>
        <w:right w:val="none" w:sz="0" w:space="0" w:color="auto"/>
      </w:divBdr>
    </w:div>
    <w:div w:id="125663276">
      <w:bodyDiv w:val="1"/>
      <w:marLeft w:val="0"/>
      <w:marRight w:val="0"/>
      <w:marTop w:val="0"/>
      <w:marBottom w:val="0"/>
      <w:divBdr>
        <w:top w:val="none" w:sz="0" w:space="0" w:color="auto"/>
        <w:left w:val="none" w:sz="0" w:space="0" w:color="auto"/>
        <w:bottom w:val="none" w:sz="0" w:space="0" w:color="auto"/>
        <w:right w:val="none" w:sz="0" w:space="0" w:color="auto"/>
      </w:divBdr>
    </w:div>
    <w:div w:id="125664281">
      <w:bodyDiv w:val="1"/>
      <w:marLeft w:val="0"/>
      <w:marRight w:val="0"/>
      <w:marTop w:val="0"/>
      <w:marBottom w:val="0"/>
      <w:divBdr>
        <w:top w:val="none" w:sz="0" w:space="0" w:color="auto"/>
        <w:left w:val="none" w:sz="0" w:space="0" w:color="auto"/>
        <w:bottom w:val="none" w:sz="0" w:space="0" w:color="auto"/>
        <w:right w:val="none" w:sz="0" w:space="0" w:color="auto"/>
      </w:divBdr>
    </w:div>
    <w:div w:id="125701102">
      <w:bodyDiv w:val="1"/>
      <w:marLeft w:val="0"/>
      <w:marRight w:val="0"/>
      <w:marTop w:val="0"/>
      <w:marBottom w:val="0"/>
      <w:divBdr>
        <w:top w:val="none" w:sz="0" w:space="0" w:color="auto"/>
        <w:left w:val="none" w:sz="0" w:space="0" w:color="auto"/>
        <w:bottom w:val="none" w:sz="0" w:space="0" w:color="auto"/>
        <w:right w:val="none" w:sz="0" w:space="0" w:color="auto"/>
      </w:divBdr>
    </w:div>
    <w:div w:id="125779035">
      <w:bodyDiv w:val="1"/>
      <w:marLeft w:val="0"/>
      <w:marRight w:val="0"/>
      <w:marTop w:val="0"/>
      <w:marBottom w:val="0"/>
      <w:divBdr>
        <w:top w:val="none" w:sz="0" w:space="0" w:color="auto"/>
        <w:left w:val="none" w:sz="0" w:space="0" w:color="auto"/>
        <w:bottom w:val="none" w:sz="0" w:space="0" w:color="auto"/>
        <w:right w:val="none" w:sz="0" w:space="0" w:color="auto"/>
      </w:divBdr>
    </w:div>
    <w:div w:id="125780832">
      <w:bodyDiv w:val="1"/>
      <w:marLeft w:val="0"/>
      <w:marRight w:val="0"/>
      <w:marTop w:val="0"/>
      <w:marBottom w:val="0"/>
      <w:divBdr>
        <w:top w:val="none" w:sz="0" w:space="0" w:color="auto"/>
        <w:left w:val="none" w:sz="0" w:space="0" w:color="auto"/>
        <w:bottom w:val="none" w:sz="0" w:space="0" w:color="auto"/>
        <w:right w:val="none" w:sz="0" w:space="0" w:color="auto"/>
      </w:divBdr>
    </w:div>
    <w:div w:id="125785556">
      <w:bodyDiv w:val="1"/>
      <w:marLeft w:val="0"/>
      <w:marRight w:val="0"/>
      <w:marTop w:val="0"/>
      <w:marBottom w:val="0"/>
      <w:divBdr>
        <w:top w:val="none" w:sz="0" w:space="0" w:color="auto"/>
        <w:left w:val="none" w:sz="0" w:space="0" w:color="auto"/>
        <w:bottom w:val="none" w:sz="0" w:space="0" w:color="auto"/>
        <w:right w:val="none" w:sz="0" w:space="0" w:color="auto"/>
      </w:divBdr>
    </w:div>
    <w:div w:id="126046724">
      <w:bodyDiv w:val="1"/>
      <w:marLeft w:val="0"/>
      <w:marRight w:val="0"/>
      <w:marTop w:val="0"/>
      <w:marBottom w:val="0"/>
      <w:divBdr>
        <w:top w:val="none" w:sz="0" w:space="0" w:color="auto"/>
        <w:left w:val="none" w:sz="0" w:space="0" w:color="auto"/>
        <w:bottom w:val="none" w:sz="0" w:space="0" w:color="auto"/>
        <w:right w:val="none" w:sz="0" w:space="0" w:color="auto"/>
      </w:divBdr>
    </w:div>
    <w:div w:id="126051829">
      <w:bodyDiv w:val="1"/>
      <w:marLeft w:val="0"/>
      <w:marRight w:val="0"/>
      <w:marTop w:val="0"/>
      <w:marBottom w:val="0"/>
      <w:divBdr>
        <w:top w:val="none" w:sz="0" w:space="0" w:color="auto"/>
        <w:left w:val="none" w:sz="0" w:space="0" w:color="auto"/>
        <w:bottom w:val="none" w:sz="0" w:space="0" w:color="auto"/>
        <w:right w:val="none" w:sz="0" w:space="0" w:color="auto"/>
      </w:divBdr>
    </w:div>
    <w:div w:id="126091794">
      <w:bodyDiv w:val="1"/>
      <w:marLeft w:val="0"/>
      <w:marRight w:val="0"/>
      <w:marTop w:val="0"/>
      <w:marBottom w:val="0"/>
      <w:divBdr>
        <w:top w:val="none" w:sz="0" w:space="0" w:color="auto"/>
        <w:left w:val="none" w:sz="0" w:space="0" w:color="auto"/>
        <w:bottom w:val="none" w:sz="0" w:space="0" w:color="auto"/>
        <w:right w:val="none" w:sz="0" w:space="0" w:color="auto"/>
      </w:divBdr>
    </w:div>
    <w:div w:id="126096895">
      <w:bodyDiv w:val="1"/>
      <w:marLeft w:val="0"/>
      <w:marRight w:val="0"/>
      <w:marTop w:val="0"/>
      <w:marBottom w:val="0"/>
      <w:divBdr>
        <w:top w:val="none" w:sz="0" w:space="0" w:color="auto"/>
        <w:left w:val="none" w:sz="0" w:space="0" w:color="auto"/>
        <w:bottom w:val="none" w:sz="0" w:space="0" w:color="auto"/>
        <w:right w:val="none" w:sz="0" w:space="0" w:color="auto"/>
      </w:divBdr>
    </w:div>
    <w:div w:id="126123120">
      <w:bodyDiv w:val="1"/>
      <w:marLeft w:val="0"/>
      <w:marRight w:val="0"/>
      <w:marTop w:val="0"/>
      <w:marBottom w:val="0"/>
      <w:divBdr>
        <w:top w:val="none" w:sz="0" w:space="0" w:color="auto"/>
        <w:left w:val="none" w:sz="0" w:space="0" w:color="auto"/>
        <w:bottom w:val="none" w:sz="0" w:space="0" w:color="auto"/>
        <w:right w:val="none" w:sz="0" w:space="0" w:color="auto"/>
      </w:divBdr>
    </w:div>
    <w:div w:id="126169865">
      <w:bodyDiv w:val="1"/>
      <w:marLeft w:val="0"/>
      <w:marRight w:val="0"/>
      <w:marTop w:val="0"/>
      <w:marBottom w:val="0"/>
      <w:divBdr>
        <w:top w:val="none" w:sz="0" w:space="0" w:color="auto"/>
        <w:left w:val="none" w:sz="0" w:space="0" w:color="auto"/>
        <w:bottom w:val="none" w:sz="0" w:space="0" w:color="auto"/>
        <w:right w:val="none" w:sz="0" w:space="0" w:color="auto"/>
      </w:divBdr>
    </w:div>
    <w:div w:id="126172149">
      <w:bodyDiv w:val="1"/>
      <w:marLeft w:val="0"/>
      <w:marRight w:val="0"/>
      <w:marTop w:val="0"/>
      <w:marBottom w:val="0"/>
      <w:divBdr>
        <w:top w:val="none" w:sz="0" w:space="0" w:color="auto"/>
        <w:left w:val="none" w:sz="0" w:space="0" w:color="auto"/>
        <w:bottom w:val="none" w:sz="0" w:space="0" w:color="auto"/>
        <w:right w:val="none" w:sz="0" w:space="0" w:color="auto"/>
      </w:divBdr>
    </w:div>
    <w:div w:id="126245324">
      <w:bodyDiv w:val="1"/>
      <w:marLeft w:val="0"/>
      <w:marRight w:val="0"/>
      <w:marTop w:val="0"/>
      <w:marBottom w:val="0"/>
      <w:divBdr>
        <w:top w:val="none" w:sz="0" w:space="0" w:color="auto"/>
        <w:left w:val="none" w:sz="0" w:space="0" w:color="auto"/>
        <w:bottom w:val="none" w:sz="0" w:space="0" w:color="auto"/>
        <w:right w:val="none" w:sz="0" w:space="0" w:color="auto"/>
      </w:divBdr>
    </w:div>
    <w:div w:id="126357471">
      <w:bodyDiv w:val="1"/>
      <w:marLeft w:val="0"/>
      <w:marRight w:val="0"/>
      <w:marTop w:val="0"/>
      <w:marBottom w:val="0"/>
      <w:divBdr>
        <w:top w:val="none" w:sz="0" w:space="0" w:color="auto"/>
        <w:left w:val="none" w:sz="0" w:space="0" w:color="auto"/>
        <w:bottom w:val="none" w:sz="0" w:space="0" w:color="auto"/>
        <w:right w:val="none" w:sz="0" w:space="0" w:color="auto"/>
      </w:divBdr>
    </w:div>
    <w:div w:id="126435401">
      <w:bodyDiv w:val="1"/>
      <w:marLeft w:val="0"/>
      <w:marRight w:val="0"/>
      <w:marTop w:val="0"/>
      <w:marBottom w:val="0"/>
      <w:divBdr>
        <w:top w:val="none" w:sz="0" w:space="0" w:color="auto"/>
        <w:left w:val="none" w:sz="0" w:space="0" w:color="auto"/>
        <w:bottom w:val="none" w:sz="0" w:space="0" w:color="auto"/>
        <w:right w:val="none" w:sz="0" w:space="0" w:color="auto"/>
      </w:divBdr>
    </w:div>
    <w:div w:id="126514739">
      <w:bodyDiv w:val="1"/>
      <w:marLeft w:val="0"/>
      <w:marRight w:val="0"/>
      <w:marTop w:val="0"/>
      <w:marBottom w:val="0"/>
      <w:divBdr>
        <w:top w:val="none" w:sz="0" w:space="0" w:color="auto"/>
        <w:left w:val="none" w:sz="0" w:space="0" w:color="auto"/>
        <w:bottom w:val="none" w:sz="0" w:space="0" w:color="auto"/>
        <w:right w:val="none" w:sz="0" w:space="0" w:color="auto"/>
      </w:divBdr>
    </w:div>
    <w:div w:id="126582657">
      <w:bodyDiv w:val="1"/>
      <w:marLeft w:val="0"/>
      <w:marRight w:val="0"/>
      <w:marTop w:val="0"/>
      <w:marBottom w:val="0"/>
      <w:divBdr>
        <w:top w:val="none" w:sz="0" w:space="0" w:color="auto"/>
        <w:left w:val="none" w:sz="0" w:space="0" w:color="auto"/>
        <w:bottom w:val="none" w:sz="0" w:space="0" w:color="auto"/>
        <w:right w:val="none" w:sz="0" w:space="0" w:color="auto"/>
      </w:divBdr>
    </w:div>
    <w:div w:id="126624862">
      <w:bodyDiv w:val="1"/>
      <w:marLeft w:val="0"/>
      <w:marRight w:val="0"/>
      <w:marTop w:val="0"/>
      <w:marBottom w:val="0"/>
      <w:divBdr>
        <w:top w:val="none" w:sz="0" w:space="0" w:color="auto"/>
        <w:left w:val="none" w:sz="0" w:space="0" w:color="auto"/>
        <w:bottom w:val="none" w:sz="0" w:space="0" w:color="auto"/>
        <w:right w:val="none" w:sz="0" w:space="0" w:color="auto"/>
      </w:divBdr>
    </w:div>
    <w:div w:id="126625444">
      <w:bodyDiv w:val="1"/>
      <w:marLeft w:val="0"/>
      <w:marRight w:val="0"/>
      <w:marTop w:val="0"/>
      <w:marBottom w:val="0"/>
      <w:divBdr>
        <w:top w:val="none" w:sz="0" w:space="0" w:color="auto"/>
        <w:left w:val="none" w:sz="0" w:space="0" w:color="auto"/>
        <w:bottom w:val="none" w:sz="0" w:space="0" w:color="auto"/>
        <w:right w:val="none" w:sz="0" w:space="0" w:color="auto"/>
      </w:divBdr>
    </w:div>
    <w:div w:id="126625951">
      <w:bodyDiv w:val="1"/>
      <w:marLeft w:val="0"/>
      <w:marRight w:val="0"/>
      <w:marTop w:val="0"/>
      <w:marBottom w:val="0"/>
      <w:divBdr>
        <w:top w:val="none" w:sz="0" w:space="0" w:color="auto"/>
        <w:left w:val="none" w:sz="0" w:space="0" w:color="auto"/>
        <w:bottom w:val="none" w:sz="0" w:space="0" w:color="auto"/>
        <w:right w:val="none" w:sz="0" w:space="0" w:color="auto"/>
      </w:divBdr>
    </w:div>
    <w:div w:id="126709164">
      <w:bodyDiv w:val="1"/>
      <w:marLeft w:val="0"/>
      <w:marRight w:val="0"/>
      <w:marTop w:val="0"/>
      <w:marBottom w:val="0"/>
      <w:divBdr>
        <w:top w:val="none" w:sz="0" w:space="0" w:color="auto"/>
        <w:left w:val="none" w:sz="0" w:space="0" w:color="auto"/>
        <w:bottom w:val="none" w:sz="0" w:space="0" w:color="auto"/>
        <w:right w:val="none" w:sz="0" w:space="0" w:color="auto"/>
      </w:divBdr>
    </w:div>
    <w:div w:id="126750756">
      <w:bodyDiv w:val="1"/>
      <w:marLeft w:val="0"/>
      <w:marRight w:val="0"/>
      <w:marTop w:val="0"/>
      <w:marBottom w:val="0"/>
      <w:divBdr>
        <w:top w:val="none" w:sz="0" w:space="0" w:color="auto"/>
        <w:left w:val="none" w:sz="0" w:space="0" w:color="auto"/>
        <w:bottom w:val="none" w:sz="0" w:space="0" w:color="auto"/>
        <w:right w:val="none" w:sz="0" w:space="0" w:color="auto"/>
      </w:divBdr>
    </w:div>
    <w:div w:id="127014627">
      <w:bodyDiv w:val="1"/>
      <w:marLeft w:val="0"/>
      <w:marRight w:val="0"/>
      <w:marTop w:val="0"/>
      <w:marBottom w:val="0"/>
      <w:divBdr>
        <w:top w:val="none" w:sz="0" w:space="0" w:color="auto"/>
        <w:left w:val="none" w:sz="0" w:space="0" w:color="auto"/>
        <w:bottom w:val="none" w:sz="0" w:space="0" w:color="auto"/>
        <w:right w:val="none" w:sz="0" w:space="0" w:color="auto"/>
      </w:divBdr>
    </w:div>
    <w:div w:id="127016539">
      <w:bodyDiv w:val="1"/>
      <w:marLeft w:val="0"/>
      <w:marRight w:val="0"/>
      <w:marTop w:val="0"/>
      <w:marBottom w:val="0"/>
      <w:divBdr>
        <w:top w:val="none" w:sz="0" w:space="0" w:color="auto"/>
        <w:left w:val="none" w:sz="0" w:space="0" w:color="auto"/>
        <w:bottom w:val="none" w:sz="0" w:space="0" w:color="auto"/>
        <w:right w:val="none" w:sz="0" w:space="0" w:color="auto"/>
      </w:divBdr>
    </w:div>
    <w:div w:id="127206046">
      <w:bodyDiv w:val="1"/>
      <w:marLeft w:val="0"/>
      <w:marRight w:val="0"/>
      <w:marTop w:val="0"/>
      <w:marBottom w:val="0"/>
      <w:divBdr>
        <w:top w:val="none" w:sz="0" w:space="0" w:color="auto"/>
        <w:left w:val="none" w:sz="0" w:space="0" w:color="auto"/>
        <w:bottom w:val="none" w:sz="0" w:space="0" w:color="auto"/>
        <w:right w:val="none" w:sz="0" w:space="0" w:color="auto"/>
      </w:divBdr>
    </w:div>
    <w:div w:id="127206870">
      <w:bodyDiv w:val="1"/>
      <w:marLeft w:val="0"/>
      <w:marRight w:val="0"/>
      <w:marTop w:val="0"/>
      <w:marBottom w:val="0"/>
      <w:divBdr>
        <w:top w:val="none" w:sz="0" w:space="0" w:color="auto"/>
        <w:left w:val="none" w:sz="0" w:space="0" w:color="auto"/>
        <w:bottom w:val="none" w:sz="0" w:space="0" w:color="auto"/>
        <w:right w:val="none" w:sz="0" w:space="0" w:color="auto"/>
      </w:divBdr>
    </w:div>
    <w:div w:id="127476655">
      <w:bodyDiv w:val="1"/>
      <w:marLeft w:val="0"/>
      <w:marRight w:val="0"/>
      <w:marTop w:val="0"/>
      <w:marBottom w:val="0"/>
      <w:divBdr>
        <w:top w:val="none" w:sz="0" w:space="0" w:color="auto"/>
        <w:left w:val="none" w:sz="0" w:space="0" w:color="auto"/>
        <w:bottom w:val="none" w:sz="0" w:space="0" w:color="auto"/>
        <w:right w:val="none" w:sz="0" w:space="0" w:color="auto"/>
      </w:divBdr>
    </w:div>
    <w:div w:id="127477499">
      <w:bodyDiv w:val="1"/>
      <w:marLeft w:val="0"/>
      <w:marRight w:val="0"/>
      <w:marTop w:val="0"/>
      <w:marBottom w:val="0"/>
      <w:divBdr>
        <w:top w:val="none" w:sz="0" w:space="0" w:color="auto"/>
        <w:left w:val="none" w:sz="0" w:space="0" w:color="auto"/>
        <w:bottom w:val="none" w:sz="0" w:space="0" w:color="auto"/>
        <w:right w:val="none" w:sz="0" w:space="0" w:color="auto"/>
      </w:divBdr>
    </w:div>
    <w:div w:id="127482125">
      <w:bodyDiv w:val="1"/>
      <w:marLeft w:val="0"/>
      <w:marRight w:val="0"/>
      <w:marTop w:val="0"/>
      <w:marBottom w:val="0"/>
      <w:divBdr>
        <w:top w:val="none" w:sz="0" w:space="0" w:color="auto"/>
        <w:left w:val="none" w:sz="0" w:space="0" w:color="auto"/>
        <w:bottom w:val="none" w:sz="0" w:space="0" w:color="auto"/>
        <w:right w:val="none" w:sz="0" w:space="0" w:color="auto"/>
      </w:divBdr>
    </w:div>
    <w:div w:id="127482166">
      <w:bodyDiv w:val="1"/>
      <w:marLeft w:val="0"/>
      <w:marRight w:val="0"/>
      <w:marTop w:val="0"/>
      <w:marBottom w:val="0"/>
      <w:divBdr>
        <w:top w:val="none" w:sz="0" w:space="0" w:color="auto"/>
        <w:left w:val="none" w:sz="0" w:space="0" w:color="auto"/>
        <w:bottom w:val="none" w:sz="0" w:space="0" w:color="auto"/>
        <w:right w:val="none" w:sz="0" w:space="0" w:color="auto"/>
      </w:divBdr>
    </w:div>
    <w:div w:id="127552830">
      <w:bodyDiv w:val="1"/>
      <w:marLeft w:val="0"/>
      <w:marRight w:val="0"/>
      <w:marTop w:val="0"/>
      <w:marBottom w:val="0"/>
      <w:divBdr>
        <w:top w:val="none" w:sz="0" w:space="0" w:color="auto"/>
        <w:left w:val="none" w:sz="0" w:space="0" w:color="auto"/>
        <w:bottom w:val="none" w:sz="0" w:space="0" w:color="auto"/>
        <w:right w:val="none" w:sz="0" w:space="0" w:color="auto"/>
      </w:divBdr>
    </w:div>
    <w:div w:id="127599437">
      <w:bodyDiv w:val="1"/>
      <w:marLeft w:val="0"/>
      <w:marRight w:val="0"/>
      <w:marTop w:val="0"/>
      <w:marBottom w:val="0"/>
      <w:divBdr>
        <w:top w:val="none" w:sz="0" w:space="0" w:color="auto"/>
        <w:left w:val="none" w:sz="0" w:space="0" w:color="auto"/>
        <w:bottom w:val="none" w:sz="0" w:space="0" w:color="auto"/>
        <w:right w:val="none" w:sz="0" w:space="0" w:color="auto"/>
      </w:divBdr>
    </w:div>
    <w:div w:id="127676148">
      <w:bodyDiv w:val="1"/>
      <w:marLeft w:val="0"/>
      <w:marRight w:val="0"/>
      <w:marTop w:val="0"/>
      <w:marBottom w:val="0"/>
      <w:divBdr>
        <w:top w:val="none" w:sz="0" w:space="0" w:color="auto"/>
        <w:left w:val="none" w:sz="0" w:space="0" w:color="auto"/>
        <w:bottom w:val="none" w:sz="0" w:space="0" w:color="auto"/>
        <w:right w:val="none" w:sz="0" w:space="0" w:color="auto"/>
      </w:divBdr>
    </w:div>
    <w:div w:id="127824810">
      <w:bodyDiv w:val="1"/>
      <w:marLeft w:val="0"/>
      <w:marRight w:val="0"/>
      <w:marTop w:val="0"/>
      <w:marBottom w:val="0"/>
      <w:divBdr>
        <w:top w:val="none" w:sz="0" w:space="0" w:color="auto"/>
        <w:left w:val="none" w:sz="0" w:space="0" w:color="auto"/>
        <w:bottom w:val="none" w:sz="0" w:space="0" w:color="auto"/>
        <w:right w:val="none" w:sz="0" w:space="0" w:color="auto"/>
      </w:divBdr>
    </w:div>
    <w:div w:id="127861563">
      <w:bodyDiv w:val="1"/>
      <w:marLeft w:val="0"/>
      <w:marRight w:val="0"/>
      <w:marTop w:val="0"/>
      <w:marBottom w:val="0"/>
      <w:divBdr>
        <w:top w:val="none" w:sz="0" w:space="0" w:color="auto"/>
        <w:left w:val="none" w:sz="0" w:space="0" w:color="auto"/>
        <w:bottom w:val="none" w:sz="0" w:space="0" w:color="auto"/>
        <w:right w:val="none" w:sz="0" w:space="0" w:color="auto"/>
      </w:divBdr>
    </w:div>
    <w:div w:id="127865983">
      <w:bodyDiv w:val="1"/>
      <w:marLeft w:val="0"/>
      <w:marRight w:val="0"/>
      <w:marTop w:val="0"/>
      <w:marBottom w:val="0"/>
      <w:divBdr>
        <w:top w:val="none" w:sz="0" w:space="0" w:color="auto"/>
        <w:left w:val="none" w:sz="0" w:space="0" w:color="auto"/>
        <w:bottom w:val="none" w:sz="0" w:space="0" w:color="auto"/>
        <w:right w:val="none" w:sz="0" w:space="0" w:color="auto"/>
      </w:divBdr>
    </w:div>
    <w:div w:id="127935949">
      <w:bodyDiv w:val="1"/>
      <w:marLeft w:val="0"/>
      <w:marRight w:val="0"/>
      <w:marTop w:val="0"/>
      <w:marBottom w:val="0"/>
      <w:divBdr>
        <w:top w:val="none" w:sz="0" w:space="0" w:color="auto"/>
        <w:left w:val="none" w:sz="0" w:space="0" w:color="auto"/>
        <w:bottom w:val="none" w:sz="0" w:space="0" w:color="auto"/>
        <w:right w:val="none" w:sz="0" w:space="0" w:color="auto"/>
      </w:divBdr>
    </w:div>
    <w:div w:id="128010613">
      <w:bodyDiv w:val="1"/>
      <w:marLeft w:val="0"/>
      <w:marRight w:val="0"/>
      <w:marTop w:val="0"/>
      <w:marBottom w:val="0"/>
      <w:divBdr>
        <w:top w:val="none" w:sz="0" w:space="0" w:color="auto"/>
        <w:left w:val="none" w:sz="0" w:space="0" w:color="auto"/>
        <w:bottom w:val="none" w:sz="0" w:space="0" w:color="auto"/>
        <w:right w:val="none" w:sz="0" w:space="0" w:color="auto"/>
      </w:divBdr>
    </w:div>
    <w:div w:id="128017878">
      <w:bodyDiv w:val="1"/>
      <w:marLeft w:val="0"/>
      <w:marRight w:val="0"/>
      <w:marTop w:val="0"/>
      <w:marBottom w:val="0"/>
      <w:divBdr>
        <w:top w:val="none" w:sz="0" w:space="0" w:color="auto"/>
        <w:left w:val="none" w:sz="0" w:space="0" w:color="auto"/>
        <w:bottom w:val="none" w:sz="0" w:space="0" w:color="auto"/>
        <w:right w:val="none" w:sz="0" w:space="0" w:color="auto"/>
      </w:divBdr>
    </w:div>
    <w:div w:id="128283218">
      <w:bodyDiv w:val="1"/>
      <w:marLeft w:val="0"/>
      <w:marRight w:val="0"/>
      <w:marTop w:val="0"/>
      <w:marBottom w:val="0"/>
      <w:divBdr>
        <w:top w:val="none" w:sz="0" w:space="0" w:color="auto"/>
        <w:left w:val="none" w:sz="0" w:space="0" w:color="auto"/>
        <w:bottom w:val="none" w:sz="0" w:space="0" w:color="auto"/>
        <w:right w:val="none" w:sz="0" w:space="0" w:color="auto"/>
      </w:divBdr>
    </w:div>
    <w:div w:id="128788223">
      <w:bodyDiv w:val="1"/>
      <w:marLeft w:val="0"/>
      <w:marRight w:val="0"/>
      <w:marTop w:val="0"/>
      <w:marBottom w:val="0"/>
      <w:divBdr>
        <w:top w:val="none" w:sz="0" w:space="0" w:color="auto"/>
        <w:left w:val="none" w:sz="0" w:space="0" w:color="auto"/>
        <w:bottom w:val="none" w:sz="0" w:space="0" w:color="auto"/>
        <w:right w:val="none" w:sz="0" w:space="0" w:color="auto"/>
      </w:divBdr>
    </w:div>
    <w:div w:id="128859139">
      <w:bodyDiv w:val="1"/>
      <w:marLeft w:val="0"/>
      <w:marRight w:val="0"/>
      <w:marTop w:val="0"/>
      <w:marBottom w:val="0"/>
      <w:divBdr>
        <w:top w:val="none" w:sz="0" w:space="0" w:color="auto"/>
        <w:left w:val="none" w:sz="0" w:space="0" w:color="auto"/>
        <w:bottom w:val="none" w:sz="0" w:space="0" w:color="auto"/>
        <w:right w:val="none" w:sz="0" w:space="0" w:color="auto"/>
      </w:divBdr>
    </w:div>
    <w:div w:id="128866050">
      <w:bodyDiv w:val="1"/>
      <w:marLeft w:val="0"/>
      <w:marRight w:val="0"/>
      <w:marTop w:val="0"/>
      <w:marBottom w:val="0"/>
      <w:divBdr>
        <w:top w:val="none" w:sz="0" w:space="0" w:color="auto"/>
        <w:left w:val="none" w:sz="0" w:space="0" w:color="auto"/>
        <w:bottom w:val="none" w:sz="0" w:space="0" w:color="auto"/>
        <w:right w:val="none" w:sz="0" w:space="0" w:color="auto"/>
      </w:divBdr>
    </w:div>
    <w:div w:id="128986071">
      <w:bodyDiv w:val="1"/>
      <w:marLeft w:val="0"/>
      <w:marRight w:val="0"/>
      <w:marTop w:val="0"/>
      <w:marBottom w:val="0"/>
      <w:divBdr>
        <w:top w:val="none" w:sz="0" w:space="0" w:color="auto"/>
        <w:left w:val="none" w:sz="0" w:space="0" w:color="auto"/>
        <w:bottom w:val="none" w:sz="0" w:space="0" w:color="auto"/>
        <w:right w:val="none" w:sz="0" w:space="0" w:color="auto"/>
      </w:divBdr>
    </w:div>
    <w:div w:id="129057082">
      <w:bodyDiv w:val="1"/>
      <w:marLeft w:val="0"/>
      <w:marRight w:val="0"/>
      <w:marTop w:val="0"/>
      <w:marBottom w:val="0"/>
      <w:divBdr>
        <w:top w:val="none" w:sz="0" w:space="0" w:color="auto"/>
        <w:left w:val="none" w:sz="0" w:space="0" w:color="auto"/>
        <w:bottom w:val="none" w:sz="0" w:space="0" w:color="auto"/>
        <w:right w:val="none" w:sz="0" w:space="0" w:color="auto"/>
      </w:divBdr>
    </w:div>
    <w:div w:id="129061278">
      <w:bodyDiv w:val="1"/>
      <w:marLeft w:val="0"/>
      <w:marRight w:val="0"/>
      <w:marTop w:val="0"/>
      <w:marBottom w:val="0"/>
      <w:divBdr>
        <w:top w:val="none" w:sz="0" w:space="0" w:color="auto"/>
        <w:left w:val="none" w:sz="0" w:space="0" w:color="auto"/>
        <w:bottom w:val="none" w:sz="0" w:space="0" w:color="auto"/>
        <w:right w:val="none" w:sz="0" w:space="0" w:color="auto"/>
      </w:divBdr>
    </w:div>
    <w:div w:id="129249591">
      <w:bodyDiv w:val="1"/>
      <w:marLeft w:val="0"/>
      <w:marRight w:val="0"/>
      <w:marTop w:val="0"/>
      <w:marBottom w:val="0"/>
      <w:divBdr>
        <w:top w:val="none" w:sz="0" w:space="0" w:color="auto"/>
        <w:left w:val="none" w:sz="0" w:space="0" w:color="auto"/>
        <w:bottom w:val="none" w:sz="0" w:space="0" w:color="auto"/>
        <w:right w:val="none" w:sz="0" w:space="0" w:color="auto"/>
      </w:divBdr>
    </w:div>
    <w:div w:id="129252100">
      <w:bodyDiv w:val="1"/>
      <w:marLeft w:val="0"/>
      <w:marRight w:val="0"/>
      <w:marTop w:val="0"/>
      <w:marBottom w:val="0"/>
      <w:divBdr>
        <w:top w:val="none" w:sz="0" w:space="0" w:color="auto"/>
        <w:left w:val="none" w:sz="0" w:space="0" w:color="auto"/>
        <w:bottom w:val="none" w:sz="0" w:space="0" w:color="auto"/>
        <w:right w:val="none" w:sz="0" w:space="0" w:color="auto"/>
      </w:divBdr>
    </w:div>
    <w:div w:id="129326917">
      <w:bodyDiv w:val="1"/>
      <w:marLeft w:val="0"/>
      <w:marRight w:val="0"/>
      <w:marTop w:val="0"/>
      <w:marBottom w:val="0"/>
      <w:divBdr>
        <w:top w:val="none" w:sz="0" w:space="0" w:color="auto"/>
        <w:left w:val="none" w:sz="0" w:space="0" w:color="auto"/>
        <w:bottom w:val="none" w:sz="0" w:space="0" w:color="auto"/>
        <w:right w:val="none" w:sz="0" w:space="0" w:color="auto"/>
      </w:divBdr>
    </w:div>
    <w:div w:id="129397554">
      <w:bodyDiv w:val="1"/>
      <w:marLeft w:val="0"/>
      <w:marRight w:val="0"/>
      <w:marTop w:val="0"/>
      <w:marBottom w:val="0"/>
      <w:divBdr>
        <w:top w:val="none" w:sz="0" w:space="0" w:color="auto"/>
        <w:left w:val="none" w:sz="0" w:space="0" w:color="auto"/>
        <w:bottom w:val="none" w:sz="0" w:space="0" w:color="auto"/>
        <w:right w:val="none" w:sz="0" w:space="0" w:color="auto"/>
      </w:divBdr>
    </w:div>
    <w:div w:id="129595662">
      <w:bodyDiv w:val="1"/>
      <w:marLeft w:val="0"/>
      <w:marRight w:val="0"/>
      <w:marTop w:val="0"/>
      <w:marBottom w:val="0"/>
      <w:divBdr>
        <w:top w:val="none" w:sz="0" w:space="0" w:color="auto"/>
        <w:left w:val="none" w:sz="0" w:space="0" w:color="auto"/>
        <w:bottom w:val="none" w:sz="0" w:space="0" w:color="auto"/>
        <w:right w:val="none" w:sz="0" w:space="0" w:color="auto"/>
      </w:divBdr>
    </w:div>
    <w:div w:id="129716513">
      <w:bodyDiv w:val="1"/>
      <w:marLeft w:val="0"/>
      <w:marRight w:val="0"/>
      <w:marTop w:val="0"/>
      <w:marBottom w:val="0"/>
      <w:divBdr>
        <w:top w:val="none" w:sz="0" w:space="0" w:color="auto"/>
        <w:left w:val="none" w:sz="0" w:space="0" w:color="auto"/>
        <w:bottom w:val="none" w:sz="0" w:space="0" w:color="auto"/>
        <w:right w:val="none" w:sz="0" w:space="0" w:color="auto"/>
      </w:divBdr>
    </w:div>
    <w:div w:id="129791424">
      <w:bodyDiv w:val="1"/>
      <w:marLeft w:val="0"/>
      <w:marRight w:val="0"/>
      <w:marTop w:val="0"/>
      <w:marBottom w:val="0"/>
      <w:divBdr>
        <w:top w:val="none" w:sz="0" w:space="0" w:color="auto"/>
        <w:left w:val="none" w:sz="0" w:space="0" w:color="auto"/>
        <w:bottom w:val="none" w:sz="0" w:space="0" w:color="auto"/>
        <w:right w:val="none" w:sz="0" w:space="0" w:color="auto"/>
      </w:divBdr>
    </w:div>
    <w:div w:id="129834447">
      <w:bodyDiv w:val="1"/>
      <w:marLeft w:val="0"/>
      <w:marRight w:val="0"/>
      <w:marTop w:val="0"/>
      <w:marBottom w:val="0"/>
      <w:divBdr>
        <w:top w:val="none" w:sz="0" w:space="0" w:color="auto"/>
        <w:left w:val="none" w:sz="0" w:space="0" w:color="auto"/>
        <w:bottom w:val="none" w:sz="0" w:space="0" w:color="auto"/>
        <w:right w:val="none" w:sz="0" w:space="0" w:color="auto"/>
      </w:divBdr>
    </w:div>
    <w:div w:id="129909135">
      <w:bodyDiv w:val="1"/>
      <w:marLeft w:val="0"/>
      <w:marRight w:val="0"/>
      <w:marTop w:val="0"/>
      <w:marBottom w:val="0"/>
      <w:divBdr>
        <w:top w:val="none" w:sz="0" w:space="0" w:color="auto"/>
        <w:left w:val="none" w:sz="0" w:space="0" w:color="auto"/>
        <w:bottom w:val="none" w:sz="0" w:space="0" w:color="auto"/>
        <w:right w:val="none" w:sz="0" w:space="0" w:color="auto"/>
      </w:divBdr>
    </w:div>
    <w:div w:id="129981661">
      <w:bodyDiv w:val="1"/>
      <w:marLeft w:val="0"/>
      <w:marRight w:val="0"/>
      <w:marTop w:val="0"/>
      <w:marBottom w:val="0"/>
      <w:divBdr>
        <w:top w:val="none" w:sz="0" w:space="0" w:color="auto"/>
        <w:left w:val="none" w:sz="0" w:space="0" w:color="auto"/>
        <w:bottom w:val="none" w:sz="0" w:space="0" w:color="auto"/>
        <w:right w:val="none" w:sz="0" w:space="0" w:color="auto"/>
      </w:divBdr>
    </w:div>
    <w:div w:id="130027614">
      <w:bodyDiv w:val="1"/>
      <w:marLeft w:val="0"/>
      <w:marRight w:val="0"/>
      <w:marTop w:val="0"/>
      <w:marBottom w:val="0"/>
      <w:divBdr>
        <w:top w:val="none" w:sz="0" w:space="0" w:color="auto"/>
        <w:left w:val="none" w:sz="0" w:space="0" w:color="auto"/>
        <w:bottom w:val="none" w:sz="0" w:space="0" w:color="auto"/>
        <w:right w:val="none" w:sz="0" w:space="0" w:color="auto"/>
      </w:divBdr>
    </w:div>
    <w:div w:id="130027863">
      <w:bodyDiv w:val="1"/>
      <w:marLeft w:val="0"/>
      <w:marRight w:val="0"/>
      <w:marTop w:val="0"/>
      <w:marBottom w:val="0"/>
      <w:divBdr>
        <w:top w:val="none" w:sz="0" w:space="0" w:color="auto"/>
        <w:left w:val="none" w:sz="0" w:space="0" w:color="auto"/>
        <w:bottom w:val="none" w:sz="0" w:space="0" w:color="auto"/>
        <w:right w:val="none" w:sz="0" w:space="0" w:color="auto"/>
      </w:divBdr>
    </w:div>
    <w:div w:id="130102868">
      <w:bodyDiv w:val="1"/>
      <w:marLeft w:val="0"/>
      <w:marRight w:val="0"/>
      <w:marTop w:val="0"/>
      <w:marBottom w:val="0"/>
      <w:divBdr>
        <w:top w:val="none" w:sz="0" w:space="0" w:color="auto"/>
        <w:left w:val="none" w:sz="0" w:space="0" w:color="auto"/>
        <w:bottom w:val="none" w:sz="0" w:space="0" w:color="auto"/>
        <w:right w:val="none" w:sz="0" w:space="0" w:color="auto"/>
      </w:divBdr>
    </w:div>
    <w:div w:id="130171364">
      <w:bodyDiv w:val="1"/>
      <w:marLeft w:val="0"/>
      <w:marRight w:val="0"/>
      <w:marTop w:val="0"/>
      <w:marBottom w:val="0"/>
      <w:divBdr>
        <w:top w:val="none" w:sz="0" w:space="0" w:color="auto"/>
        <w:left w:val="none" w:sz="0" w:space="0" w:color="auto"/>
        <w:bottom w:val="none" w:sz="0" w:space="0" w:color="auto"/>
        <w:right w:val="none" w:sz="0" w:space="0" w:color="auto"/>
      </w:divBdr>
    </w:div>
    <w:div w:id="130245021">
      <w:bodyDiv w:val="1"/>
      <w:marLeft w:val="0"/>
      <w:marRight w:val="0"/>
      <w:marTop w:val="0"/>
      <w:marBottom w:val="0"/>
      <w:divBdr>
        <w:top w:val="none" w:sz="0" w:space="0" w:color="auto"/>
        <w:left w:val="none" w:sz="0" w:space="0" w:color="auto"/>
        <w:bottom w:val="none" w:sz="0" w:space="0" w:color="auto"/>
        <w:right w:val="none" w:sz="0" w:space="0" w:color="auto"/>
      </w:divBdr>
    </w:div>
    <w:div w:id="130439425">
      <w:bodyDiv w:val="1"/>
      <w:marLeft w:val="0"/>
      <w:marRight w:val="0"/>
      <w:marTop w:val="0"/>
      <w:marBottom w:val="0"/>
      <w:divBdr>
        <w:top w:val="none" w:sz="0" w:space="0" w:color="auto"/>
        <w:left w:val="none" w:sz="0" w:space="0" w:color="auto"/>
        <w:bottom w:val="none" w:sz="0" w:space="0" w:color="auto"/>
        <w:right w:val="none" w:sz="0" w:space="0" w:color="auto"/>
      </w:divBdr>
    </w:div>
    <w:div w:id="130513909">
      <w:bodyDiv w:val="1"/>
      <w:marLeft w:val="0"/>
      <w:marRight w:val="0"/>
      <w:marTop w:val="0"/>
      <w:marBottom w:val="0"/>
      <w:divBdr>
        <w:top w:val="none" w:sz="0" w:space="0" w:color="auto"/>
        <w:left w:val="none" w:sz="0" w:space="0" w:color="auto"/>
        <w:bottom w:val="none" w:sz="0" w:space="0" w:color="auto"/>
        <w:right w:val="none" w:sz="0" w:space="0" w:color="auto"/>
      </w:divBdr>
    </w:div>
    <w:div w:id="130560917">
      <w:bodyDiv w:val="1"/>
      <w:marLeft w:val="0"/>
      <w:marRight w:val="0"/>
      <w:marTop w:val="0"/>
      <w:marBottom w:val="0"/>
      <w:divBdr>
        <w:top w:val="none" w:sz="0" w:space="0" w:color="auto"/>
        <w:left w:val="none" w:sz="0" w:space="0" w:color="auto"/>
        <w:bottom w:val="none" w:sz="0" w:space="0" w:color="auto"/>
        <w:right w:val="none" w:sz="0" w:space="0" w:color="auto"/>
      </w:divBdr>
    </w:div>
    <w:div w:id="130635825">
      <w:bodyDiv w:val="1"/>
      <w:marLeft w:val="0"/>
      <w:marRight w:val="0"/>
      <w:marTop w:val="0"/>
      <w:marBottom w:val="0"/>
      <w:divBdr>
        <w:top w:val="none" w:sz="0" w:space="0" w:color="auto"/>
        <w:left w:val="none" w:sz="0" w:space="0" w:color="auto"/>
        <w:bottom w:val="none" w:sz="0" w:space="0" w:color="auto"/>
        <w:right w:val="none" w:sz="0" w:space="0" w:color="auto"/>
      </w:divBdr>
    </w:div>
    <w:div w:id="130681344">
      <w:bodyDiv w:val="1"/>
      <w:marLeft w:val="0"/>
      <w:marRight w:val="0"/>
      <w:marTop w:val="0"/>
      <w:marBottom w:val="0"/>
      <w:divBdr>
        <w:top w:val="none" w:sz="0" w:space="0" w:color="auto"/>
        <w:left w:val="none" w:sz="0" w:space="0" w:color="auto"/>
        <w:bottom w:val="none" w:sz="0" w:space="0" w:color="auto"/>
        <w:right w:val="none" w:sz="0" w:space="0" w:color="auto"/>
      </w:divBdr>
    </w:div>
    <w:div w:id="130833538">
      <w:bodyDiv w:val="1"/>
      <w:marLeft w:val="0"/>
      <w:marRight w:val="0"/>
      <w:marTop w:val="0"/>
      <w:marBottom w:val="0"/>
      <w:divBdr>
        <w:top w:val="none" w:sz="0" w:space="0" w:color="auto"/>
        <w:left w:val="none" w:sz="0" w:space="0" w:color="auto"/>
        <w:bottom w:val="none" w:sz="0" w:space="0" w:color="auto"/>
        <w:right w:val="none" w:sz="0" w:space="0" w:color="auto"/>
      </w:divBdr>
    </w:div>
    <w:div w:id="131019768">
      <w:bodyDiv w:val="1"/>
      <w:marLeft w:val="0"/>
      <w:marRight w:val="0"/>
      <w:marTop w:val="0"/>
      <w:marBottom w:val="0"/>
      <w:divBdr>
        <w:top w:val="none" w:sz="0" w:space="0" w:color="auto"/>
        <w:left w:val="none" w:sz="0" w:space="0" w:color="auto"/>
        <w:bottom w:val="none" w:sz="0" w:space="0" w:color="auto"/>
        <w:right w:val="none" w:sz="0" w:space="0" w:color="auto"/>
      </w:divBdr>
    </w:div>
    <w:div w:id="131023412">
      <w:bodyDiv w:val="1"/>
      <w:marLeft w:val="0"/>
      <w:marRight w:val="0"/>
      <w:marTop w:val="0"/>
      <w:marBottom w:val="0"/>
      <w:divBdr>
        <w:top w:val="none" w:sz="0" w:space="0" w:color="auto"/>
        <w:left w:val="none" w:sz="0" w:space="0" w:color="auto"/>
        <w:bottom w:val="none" w:sz="0" w:space="0" w:color="auto"/>
        <w:right w:val="none" w:sz="0" w:space="0" w:color="auto"/>
      </w:divBdr>
    </w:div>
    <w:div w:id="131214598">
      <w:bodyDiv w:val="1"/>
      <w:marLeft w:val="0"/>
      <w:marRight w:val="0"/>
      <w:marTop w:val="0"/>
      <w:marBottom w:val="0"/>
      <w:divBdr>
        <w:top w:val="none" w:sz="0" w:space="0" w:color="auto"/>
        <w:left w:val="none" w:sz="0" w:space="0" w:color="auto"/>
        <w:bottom w:val="none" w:sz="0" w:space="0" w:color="auto"/>
        <w:right w:val="none" w:sz="0" w:space="0" w:color="auto"/>
      </w:divBdr>
    </w:div>
    <w:div w:id="131215212">
      <w:bodyDiv w:val="1"/>
      <w:marLeft w:val="0"/>
      <w:marRight w:val="0"/>
      <w:marTop w:val="0"/>
      <w:marBottom w:val="0"/>
      <w:divBdr>
        <w:top w:val="none" w:sz="0" w:space="0" w:color="auto"/>
        <w:left w:val="none" w:sz="0" w:space="0" w:color="auto"/>
        <w:bottom w:val="none" w:sz="0" w:space="0" w:color="auto"/>
        <w:right w:val="none" w:sz="0" w:space="0" w:color="auto"/>
      </w:divBdr>
    </w:div>
    <w:div w:id="131216157">
      <w:bodyDiv w:val="1"/>
      <w:marLeft w:val="0"/>
      <w:marRight w:val="0"/>
      <w:marTop w:val="0"/>
      <w:marBottom w:val="0"/>
      <w:divBdr>
        <w:top w:val="none" w:sz="0" w:space="0" w:color="auto"/>
        <w:left w:val="none" w:sz="0" w:space="0" w:color="auto"/>
        <w:bottom w:val="none" w:sz="0" w:space="0" w:color="auto"/>
        <w:right w:val="none" w:sz="0" w:space="0" w:color="auto"/>
      </w:divBdr>
    </w:div>
    <w:div w:id="131291619">
      <w:bodyDiv w:val="1"/>
      <w:marLeft w:val="0"/>
      <w:marRight w:val="0"/>
      <w:marTop w:val="0"/>
      <w:marBottom w:val="0"/>
      <w:divBdr>
        <w:top w:val="none" w:sz="0" w:space="0" w:color="auto"/>
        <w:left w:val="none" w:sz="0" w:space="0" w:color="auto"/>
        <w:bottom w:val="none" w:sz="0" w:space="0" w:color="auto"/>
        <w:right w:val="none" w:sz="0" w:space="0" w:color="auto"/>
      </w:divBdr>
    </w:div>
    <w:div w:id="131294413">
      <w:bodyDiv w:val="1"/>
      <w:marLeft w:val="0"/>
      <w:marRight w:val="0"/>
      <w:marTop w:val="0"/>
      <w:marBottom w:val="0"/>
      <w:divBdr>
        <w:top w:val="none" w:sz="0" w:space="0" w:color="auto"/>
        <w:left w:val="none" w:sz="0" w:space="0" w:color="auto"/>
        <w:bottom w:val="none" w:sz="0" w:space="0" w:color="auto"/>
        <w:right w:val="none" w:sz="0" w:space="0" w:color="auto"/>
      </w:divBdr>
    </w:div>
    <w:div w:id="131296584">
      <w:bodyDiv w:val="1"/>
      <w:marLeft w:val="0"/>
      <w:marRight w:val="0"/>
      <w:marTop w:val="0"/>
      <w:marBottom w:val="0"/>
      <w:divBdr>
        <w:top w:val="none" w:sz="0" w:space="0" w:color="auto"/>
        <w:left w:val="none" w:sz="0" w:space="0" w:color="auto"/>
        <w:bottom w:val="none" w:sz="0" w:space="0" w:color="auto"/>
        <w:right w:val="none" w:sz="0" w:space="0" w:color="auto"/>
      </w:divBdr>
    </w:div>
    <w:div w:id="131363088">
      <w:bodyDiv w:val="1"/>
      <w:marLeft w:val="0"/>
      <w:marRight w:val="0"/>
      <w:marTop w:val="0"/>
      <w:marBottom w:val="0"/>
      <w:divBdr>
        <w:top w:val="none" w:sz="0" w:space="0" w:color="auto"/>
        <w:left w:val="none" w:sz="0" w:space="0" w:color="auto"/>
        <w:bottom w:val="none" w:sz="0" w:space="0" w:color="auto"/>
        <w:right w:val="none" w:sz="0" w:space="0" w:color="auto"/>
      </w:divBdr>
    </w:div>
    <w:div w:id="131683136">
      <w:bodyDiv w:val="1"/>
      <w:marLeft w:val="0"/>
      <w:marRight w:val="0"/>
      <w:marTop w:val="0"/>
      <w:marBottom w:val="0"/>
      <w:divBdr>
        <w:top w:val="none" w:sz="0" w:space="0" w:color="auto"/>
        <w:left w:val="none" w:sz="0" w:space="0" w:color="auto"/>
        <w:bottom w:val="none" w:sz="0" w:space="0" w:color="auto"/>
        <w:right w:val="none" w:sz="0" w:space="0" w:color="auto"/>
      </w:divBdr>
    </w:div>
    <w:div w:id="131867794">
      <w:bodyDiv w:val="1"/>
      <w:marLeft w:val="0"/>
      <w:marRight w:val="0"/>
      <w:marTop w:val="0"/>
      <w:marBottom w:val="0"/>
      <w:divBdr>
        <w:top w:val="none" w:sz="0" w:space="0" w:color="auto"/>
        <w:left w:val="none" w:sz="0" w:space="0" w:color="auto"/>
        <w:bottom w:val="none" w:sz="0" w:space="0" w:color="auto"/>
        <w:right w:val="none" w:sz="0" w:space="0" w:color="auto"/>
      </w:divBdr>
    </w:div>
    <w:div w:id="131875610">
      <w:bodyDiv w:val="1"/>
      <w:marLeft w:val="0"/>
      <w:marRight w:val="0"/>
      <w:marTop w:val="0"/>
      <w:marBottom w:val="0"/>
      <w:divBdr>
        <w:top w:val="none" w:sz="0" w:space="0" w:color="auto"/>
        <w:left w:val="none" w:sz="0" w:space="0" w:color="auto"/>
        <w:bottom w:val="none" w:sz="0" w:space="0" w:color="auto"/>
        <w:right w:val="none" w:sz="0" w:space="0" w:color="auto"/>
      </w:divBdr>
    </w:div>
    <w:div w:id="131947814">
      <w:bodyDiv w:val="1"/>
      <w:marLeft w:val="0"/>
      <w:marRight w:val="0"/>
      <w:marTop w:val="0"/>
      <w:marBottom w:val="0"/>
      <w:divBdr>
        <w:top w:val="none" w:sz="0" w:space="0" w:color="auto"/>
        <w:left w:val="none" w:sz="0" w:space="0" w:color="auto"/>
        <w:bottom w:val="none" w:sz="0" w:space="0" w:color="auto"/>
        <w:right w:val="none" w:sz="0" w:space="0" w:color="auto"/>
      </w:divBdr>
    </w:div>
    <w:div w:id="131951380">
      <w:bodyDiv w:val="1"/>
      <w:marLeft w:val="0"/>
      <w:marRight w:val="0"/>
      <w:marTop w:val="0"/>
      <w:marBottom w:val="0"/>
      <w:divBdr>
        <w:top w:val="none" w:sz="0" w:space="0" w:color="auto"/>
        <w:left w:val="none" w:sz="0" w:space="0" w:color="auto"/>
        <w:bottom w:val="none" w:sz="0" w:space="0" w:color="auto"/>
        <w:right w:val="none" w:sz="0" w:space="0" w:color="auto"/>
      </w:divBdr>
    </w:div>
    <w:div w:id="131994099">
      <w:bodyDiv w:val="1"/>
      <w:marLeft w:val="0"/>
      <w:marRight w:val="0"/>
      <w:marTop w:val="0"/>
      <w:marBottom w:val="0"/>
      <w:divBdr>
        <w:top w:val="none" w:sz="0" w:space="0" w:color="auto"/>
        <w:left w:val="none" w:sz="0" w:space="0" w:color="auto"/>
        <w:bottom w:val="none" w:sz="0" w:space="0" w:color="auto"/>
        <w:right w:val="none" w:sz="0" w:space="0" w:color="auto"/>
      </w:divBdr>
    </w:div>
    <w:div w:id="132018420">
      <w:bodyDiv w:val="1"/>
      <w:marLeft w:val="0"/>
      <w:marRight w:val="0"/>
      <w:marTop w:val="0"/>
      <w:marBottom w:val="0"/>
      <w:divBdr>
        <w:top w:val="none" w:sz="0" w:space="0" w:color="auto"/>
        <w:left w:val="none" w:sz="0" w:space="0" w:color="auto"/>
        <w:bottom w:val="none" w:sz="0" w:space="0" w:color="auto"/>
        <w:right w:val="none" w:sz="0" w:space="0" w:color="auto"/>
      </w:divBdr>
    </w:div>
    <w:div w:id="132139457">
      <w:bodyDiv w:val="1"/>
      <w:marLeft w:val="0"/>
      <w:marRight w:val="0"/>
      <w:marTop w:val="0"/>
      <w:marBottom w:val="0"/>
      <w:divBdr>
        <w:top w:val="none" w:sz="0" w:space="0" w:color="auto"/>
        <w:left w:val="none" w:sz="0" w:space="0" w:color="auto"/>
        <w:bottom w:val="none" w:sz="0" w:space="0" w:color="auto"/>
        <w:right w:val="none" w:sz="0" w:space="0" w:color="auto"/>
      </w:divBdr>
    </w:div>
    <w:div w:id="132139565">
      <w:bodyDiv w:val="1"/>
      <w:marLeft w:val="0"/>
      <w:marRight w:val="0"/>
      <w:marTop w:val="0"/>
      <w:marBottom w:val="0"/>
      <w:divBdr>
        <w:top w:val="none" w:sz="0" w:space="0" w:color="auto"/>
        <w:left w:val="none" w:sz="0" w:space="0" w:color="auto"/>
        <w:bottom w:val="none" w:sz="0" w:space="0" w:color="auto"/>
        <w:right w:val="none" w:sz="0" w:space="0" w:color="auto"/>
      </w:divBdr>
    </w:div>
    <w:div w:id="132143490">
      <w:bodyDiv w:val="1"/>
      <w:marLeft w:val="0"/>
      <w:marRight w:val="0"/>
      <w:marTop w:val="0"/>
      <w:marBottom w:val="0"/>
      <w:divBdr>
        <w:top w:val="none" w:sz="0" w:space="0" w:color="auto"/>
        <w:left w:val="none" w:sz="0" w:space="0" w:color="auto"/>
        <w:bottom w:val="none" w:sz="0" w:space="0" w:color="auto"/>
        <w:right w:val="none" w:sz="0" w:space="0" w:color="auto"/>
      </w:divBdr>
    </w:div>
    <w:div w:id="132335897">
      <w:bodyDiv w:val="1"/>
      <w:marLeft w:val="0"/>
      <w:marRight w:val="0"/>
      <w:marTop w:val="0"/>
      <w:marBottom w:val="0"/>
      <w:divBdr>
        <w:top w:val="none" w:sz="0" w:space="0" w:color="auto"/>
        <w:left w:val="none" w:sz="0" w:space="0" w:color="auto"/>
        <w:bottom w:val="none" w:sz="0" w:space="0" w:color="auto"/>
        <w:right w:val="none" w:sz="0" w:space="0" w:color="auto"/>
      </w:divBdr>
    </w:div>
    <w:div w:id="132452556">
      <w:bodyDiv w:val="1"/>
      <w:marLeft w:val="0"/>
      <w:marRight w:val="0"/>
      <w:marTop w:val="0"/>
      <w:marBottom w:val="0"/>
      <w:divBdr>
        <w:top w:val="none" w:sz="0" w:space="0" w:color="auto"/>
        <w:left w:val="none" w:sz="0" w:space="0" w:color="auto"/>
        <w:bottom w:val="none" w:sz="0" w:space="0" w:color="auto"/>
        <w:right w:val="none" w:sz="0" w:space="0" w:color="auto"/>
      </w:divBdr>
    </w:div>
    <w:div w:id="132602530">
      <w:bodyDiv w:val="1"/>
      <w:marLeft w:val="0"/>
      <w:marRight w:val="0"/>
      <w:marTop w:val="0"/>
      <w:marBottom w:val="0"/>
      <w:divBdr>
        <w:top w:val="none" w:sz="0" w:space="0" w:color="auto"/>
        <w:left w:val="none" w:sz="0" w:space="0" w:color="auto"/>
        <w:bottom w:val="none" w:sz="0" w:space="0" w:color="auto"/>
        <w:right w:val="none" w:sz="0" w:space="0" w:color="auto"/>
      </w:divBdr>
    </w:div>
    <w:div w:id="132606598">
      <w:bodyDiv w:val="1"/>
      <w:marLeft w:val="0"/>
      <w:marRight w:val="0"/>
      <w:marTop w:val="0"/>
      <w:marBottom w:val="0"/>
      <w:divBdr>
        <w:top w:val="none" w:sz="0" w:space="0" w:color="auto"/>
        <w:left w:val="none" w:sz="0" w:space="0" w:color="auto"/>
        <w:bottom w:val="none" w:sz="0" w:space="0" w:color="auto"/>
        <w:right w:val="none" w:sz="0" w:space="0" w:color="auto"/>
      </w:divBdr>
    </w:div>
    <w:div w:id="132647596">
      <w:bodyDiv w:val="1"/>
      <w:marLeft w:val="0"/>
      <w:marRight w:val="0"/>
      <w:marTop w:val="0"/>
      <w:marBottom w:val="0"/>
      <w:divBdr>
        <w:top w:val="none" w:sz="0" w:space="0" w:color="auto"/>
        <w:left w:val="none" w:sz="0" w:space="0" w:color="auto"/>
        <w:bottom w:val="none" w:sz="0" w:space="0" w:color="auto"/>
        <w:right w:val="none" w:sz="0" w:space="0" w:color="auto"/>
      </w:divBdr>
    </w:div>
    <w:div w:id="132797555">
      <w:bodyDiv w:val="1"/>
      <w:marLeft w:val="0"/>
      <w:marRight w:val="0"/>
      <w:marTop w:val="0"/>
      <w:marBottom w:val="0"/>
      <w:divBdr>
        <w:top w:val="none" w:sz="0" w:space="0" w:color="auto"/>
        <w:left w:val="none" w:sz="0" w:space="0" w:color="auto"/>
        <w:bottom w:val="none" w:sz="0" w:space="0" w:color="auto"/>
        <w:right w:val="none" w:sz="0" w:space="0" w:color="auto"/>
      </w:divBdr>
    </w:div>
    <w:div w:id="132866070">
      <w:bodyDiv w:val="1"/>
      <w:marLeft w:val="0"/>
      <w:marRight w:val="0"/>
      <w:marTop w:val="0"/>
      <w:marBottom w:val="0"/>
      <w:divBdr>
        <w:top w:val="none" w:sz="0" w:space="0" w:color="auto"/>
        <w:left w:val="none" w:sz="0" w:space="0" w:color="auto"/>
        <w:bottom w:val="none" w:sz="0" w:space="0" w:color="auto"/>
        <w:right w:val="none" w:sz="0" w:space="0" w:color="auto"/>
      </w:divBdr>
    </w:div>
    <w:div w:id="132868498">
      <w:bodyDiv w:val="1"/>
      <w:marLeft w:val="0"/>
      <w:marRight w:val="0"/>
      <w:marTop w:val="0"/>
      <w:marBottom w:val="0"/>
      <w:divBdr>
        <w:top w:val="none" w:sz="0" w:space="0" w:color="auto"/>
        <w:left w:val="none" w:sz="0" w:space="0" w:color="auto"/>
        <w:bottom w:val="none" w:sz="0" w:space="0" w:color="auto"/>
        <w:right w:val="none" w:sz="0" w:space="0" w:color="auto"/>
      </w:divBdr>
    </w:div>
    <w:div w:id="132913597">
      <w:bodyDiv w:val="1"/>
      <w:marLeft w:val="0"/>
      <w:marRight w:val="0"/>
      <w:marTop w:val="0"/>
      <w:marBottom w:val="0"/>
      <w:divBdr>
        <w:top w:val="none" w:sz="0" w:space="0" w:color="auto"/>
        <w:left w:val="none" w:sz="0" w:space="0" w:color="auto"/>
        <w:bottom w:val="none" w:sz="0" w:space="0" w:color="auto"/>
        <w:right w:val="none" w:sz="0" w:space="0" w:color="auto"/>
      </w:divBdr>
    </w:div>
    <w:div w:id="132988964">
      <w:bodyDiv w:val="1"/>
      <w:marLeft w:val="0"/>
      <w:marRight w:val="0"/>
      <w:marTop w:val="0"/>
      <w:marBottom w:val="0"/>
      <w:divBdr>
        <w:top w:val="none" w:sz="0" w:space="0" w:color="auto"/>
        <w:left w:val="none" w:sz="0" w:space="0" w:color="auto"/>
        <w:bottom w:val="none" w:sz="0" w:space="0" w:color="auto"/>
        <w:right w:val="none" w:sz="0" w:space="0" w:color="auto"/>
      </w:divBdr>
    </w:div>
    <w:div w:id="133104180">
      <w:bodyDiv w:val="1"/>
      <w:marLeft w:val="0"/>
      <w:marRight w:val="0"/>
      <w:marTop w:val="0"/>
      <w:marBottom w:val="0"/>
      <w:divBdr>
        <w:top w:val="none" w:sz="0" w:space="0" w:color="auto"/>
        <w:left w:val="none" w:sz="0" w:space="0" w:color="auto"/>
        <w:bottom w:val="none" w:sz="0" w:space="0" w:color="auto"/>
        <w:right w:val="none" w:sz="0" w:space="0" w:color="auto"/>
      </w:divBdr>
    </w:div>
    <w:div w:id="133105774">
      <w:bodyDiv w:val="1"/>
      <w:marLeft w:val="0"/>
      <w:marRight w:val="0"/>
      <w:marTop w:val="0"/>
      <w:marBottom w:val="0"/>
      <w:divBdr>
        <w:top w:val="none" w:sz="0" w:space="0" w:color="auto"/>
        <w:left w:val="none" w:sz="0" w:space="0" w:color="auto"/>
        <w:bottom w:val="none" w:sz="0" w:space="0" w:color="auto"/>
        <w:right w:val="none" w:sz="0" w:space="0" w:color="auto"/>
      </w:divBdr>
    </w:div>
    <w:div w:id="133261622">
      <w:bodyDiv w:val="1"/>
      <w:marLeft w:val="0"/>
      <w:marRight w:val="0"/>
      <w:marTop w:val="0"/>
      <w:marBottom w:val="0"/>
      <w:divBdr>
        <w:top w:val="none" w:sz="0" w:space="0" w:color="auto"/>
        <w:left w:val="none" w:sz="0" w:space="0" w:color="auto"/>
        <w:bottom w:val="none" w:sz="0" w:space="0" w:color="auto"/>
        <w:right w:val="none" w:sz="0" w:space="0" w:color="auto"/>
      </w:divBdr>
    </w:div>
    <w:div w:id="133328354">
      <w:bodyDiv w:val="1"/>
      <w:marLeft w:val="0"/>
      <w:marRight w:val="0"/>
      <w:marTop w:val="0"/>
      <w:marBottom w:val="0"/>
      <w:divBdr>
        <w:top w:val="none" w:sz="0" w:space="0" w:color="auto"/>
        <w:left w:val="none" w:sz="0" w:space="0" w:color="auto"/>
        <w:bottom w:val="none" w:sz="0" w:space="0" w:color="auto"/>
        <w:right w:val="none" w:sz="0" w:space="0" w:color="auto"/>
      </w:divBdr>
    </w:div>
    <w:div w:id="133371971">
      <w:bodyDiv w:val="1"/>
      <w:marLeft w:val="0"/>
      <w:marRight w:val="0"/>
      <w:marTop w:val="0"/>
      <w:marBottom w:val="0"/>
      <w:divBdr>
        <w:top w:val="none" w:sz="0" w:space="0" w:color="auto"/>
        <w:left w:val="none" w:sz="0" w:space="0" w:color="auto"/>
        <w:bottom w:val="none" w:sz="0" w:space="0" w:color="auto"/>
        <w:right w:val="none" w:sz="0" w:space="0" w:color="auto"/>
      </w:divBdr>
    </w:div>
    <w:div w:id="133523999">
      <w:bodyDiv w:val="1"/>
      <w:marLeft w:val="0"/>
      <w:marRight w:val="0"/>
      <w:marTop w:val="0"/>
      <w:marBottom w:val="0"/>
      <w:divBdr>
        <w:top w:val="none" w:sz="0" w:space="0" w:color="auto"/>
        <w:left w:val="none" w:sz="0" w:space="0" w:color="auto"/>
        <w:bottom w:val="none" w:sz="0" w:space="0" w:color="auto"/>
        <w:right w:val="none" w:sz="0" w:space="0" w:color="auto"/>
      </w:divBdr>
    </w:div>
    <w:div w:id="133526955">
      <w:bodyDiv w:val="1"/>
      <w:marLeft w:val="0"/>
      <w:marRight w:val="0"/>
      <w:marTop w:val="0"/>
      <w:marBottom w:val="0"/>
      <w:divBdr>
        <w:top w:val="none" w:sz="0" w:space="0" w:color="auto"/>
        <w:left w:val="none" w:sz="0" w:space="0" w:color="auto"/>
        <w:bottom w:val="none" w:sz="0" w:space="0" w:color="auto"/>
        <w:right w:val="none" w:sz="0" w:space="0" w:color="auto"/>
      </w:divBdr>
    </w:div>
    <w:div w:id="133528838">
      <w:bodyDiv w:val="1"/>
      <w:marLeft w:val="0"/>
      <w:marRight w:val="0"/>
      <w:marTop w:val="0"/>
      <w:marBottom w:val="0"/>
      <w:divBdr>
        <w:top w:val="none" w:sz="0" w:space="0" w:color="auto"/>
        <w:left w:val="none" w:sz="0" w:space="0" w:color="auto"/>
        <w:bottom w:val="none" w:sz="0" w:space="0" w:color="auto"/>
        <w:right w:val="none" w:sz="0" w:space="0" w:color="auto"/>
      </w:divBdr>
    </w:div>
    <w:div w:id="133647107">
      <w:bodyDiv w:val="1"/>
      <w:marLeft w:val="0"/>
      <w:marRight w:val="0"/>
      <w:marTop w:val="0"/>
      <w:marBottom w:val="0"/>
      <w:divBdr>
        <w:top w:val="none" w:sz="0" w:space="0" w:color="auto"/>
        <w:left w:val="none" w:sz="0" w:space="0" w:color="auto"/>
        <w:bottom w:val="none" w:sz="0" w:space="0" w:color="auto"/>
        <w:right w:val="none" w:sz="0" w:space="0" w:color="auto"/>
      </w:divBdr>
    </w:div>
    <w:div w:id="133722130">
      <w:bodyDiv w:val="1"/>
      <w:marLeft w:val="0"/>
      <w:marRight w:val="0"/>
      <w:marTop w:val="0"/>
      <w:marBottom w:val="0"/>
      <w:divBdr>
        <w:top w:val="none" w:sz="0" w:space="0" w:color="auto"/>
        <w:left w:val="none" w:sz="0" w:space="0" w:color="auto"/>
        <w:bottom w:val="none" w:sz="0" w:space="0" w:color="auto"/>
        <w:right w:val="none" w:sz="0" w:space="0" w:color="auto"/>
      </w:divBdr>
    </w:div>
    <w:div w:id="133761012">
      <w:bodyDiv w:val="1"/>
      <w:marLeft w:val="0"/>
      <w:marRight w:val="0"/>
      <w:marTop w:val="0"/>
      <w:marBottom w:val="0"/>
      <w:divBdr>
        <w:top w:val="none" w:sz="0" w:space="0" w:color="auto"/>
        <w:left w:val="none" w:sz="0" w:space="0" w:color="auto"/>
        <w:bottom w:val="none" w:sz="0" w:space="0" w:color="auto"/>
        <w:right w:val="none" w:sz="0" w:space="0" w:color="auto"/>
      </w:divBdr>
    </w:div>
    <w:div w:id="133790808">
      <w:bodyDiv w:val="1"/>
      <w:marLeft w:val="0"/>
      <w:marRight w:val="0"/>
      <w:marTop w:val="0"/>
      <w:marBottom w:val="0"/>
      <w:divBdr>
        <w:top w:val="none" w:sz="0" w:space="0" w:color="auto"/>
        <w:left w:val="none" w:sz="0" w:space="0" w:color="auto"/>
        <w:bottom w:val="none" w:sz="0" w:space="0" w:color="auto"/>
        <w:right w:val="none" w:sz="0" w:space="0" w:color="auto"/>
      </w:divBdr>
    </w:div>
    <w:div w:id="133917259">
      <w:bodyDiv w:val="1"/>
      <w:marLeft w:val="0"/>
      <w:marRight w:val="0"/>
      <w:marTop w:val="0"/>
      <w:marBottom w:val="0"/>
      <w:divBdr>
        <w:top w:val="none" w:sz="0" w:space="0" w:color="auto"/>
        <w:left w:val="none" w:sz="0" w:space="0" w:color="auto"/>
        <w:bottom w:val="none" w:sz="0" w:space="0" w:color="auto"/>
        <w:right w:val="none" w:sz="0" w:space="0" w:color="auto"/>
      </w:divBdr>
    </w:div>
    <w:div w:id="134030287">
      <w:bodyDiv w:val="1"/>
      <w:marLeft w:val="0"/>
      <w:marRight w:val="0"/>
      <w:marTop w:val="0"/>
      <w:marBottom w:val="0"/>
      <w:divBdr>
        <w:top w:val="none" w:sz="0" w:space="0" w:color="auto"/>
        <w:left w:val="none" w:sz="0" w:space="0" w:color="auto"/>
        <w:bottom w:val="none" w:sz="0" w:space="0" w:color="auto"/>
        <w:right w:val="none" w:sz="0" w:space="0" w:color="auto"/>
      </w:divBdr>
    </w:div>
    <w:div w:id="134220865">
      <w:bodyDiv w:val="1"/>
      <w:marLeft w:val="0"/>
      <w:marRight w:val="0"/>
      <w:marTop w:val="0"/>
      <w:marBottom w:val="0"/>
      <w:divBdr>
        <w:top w:val="none" w:sz="0" w:space="0" w:color="auto"/>
        <w:left w:val="none" w:sz="0" w:space="0" w:color="auto"/>
        <w:bottom w:val="none" w:sz="0" w:space="0" w:color="auto"/>
        <w:right w:val="none" w:sz="0" w:space="0" w:color="auto"/>
      </w:divBdr>
    </w:div>
    <w:div w:id="134227573">
      <w:bodyDiv w:val="1"/>
      <w:marLeft w:val="0"/>
      <w:marRight w:val="0"/>
      <w:marTop w:val="0"/>
      <w:marBottom w:val="0"/>
      <w:divBdr>
        <w:top w:val="none" w:sz="0" w:space="0" w:color="auto"/>
        <w:left w:val="none" w:sz="0" w:space="0" w:color="auto"/>
        <w:bottom w:val="none" w:sz="0" w:space="0" w:color="auto"/>
        <w:right w:val="none" w:sz="0" w:space="0" w:color="auto"/>
      </w:divBdr>
    </w:div>
    <w:div w:id="134295291">
      <w:bodyDiv w:val="1"/>
      <w:marLeft w:val="0"/>
      <w:marRight w:val="0"/>
      <w:marTop w:val="0"/>
      <w:marBottom w:val="0"/>
      <w:divBdr>
        <w:top w:val="none" w:sz="0" w:space="0" w:color="auto"/>
        <w:left w:val="none" w:sz="0" w:space="0" w:color="auto"/>
        <w:bottom w:val="none" w:sz="0" w:space="0" w:color="auto"/>
        <w:right w:val="none" w:sz="0" w:space="0" w:color="auto"/>
      </w:divBdr>
    </w:div>
    <w:div w:id="134374598">
      <w:bodyDiv w:val="1"/>
      <w:marLeft w:val="0"/>
      <w:marRight w:val="0"/>
      <w:marTop w:val="0"/>
      <w:marBottom w:val="0"/>
      <w:divBdr>
        <w:top w:val="none" w:sz="0" w:space="0" w:color="auto"/>
        <w:left w:val="none" w:sz="0" w:space="0" w:color="auto"/>
        <w:bottom w:val="none" w:sz="0" w:space="0" w:color="auto"/>
        <w:right w:val="none" w:sz="0" w:space="0" w:color="auto"/>
      </w:divBdr>
    </w:div>
    <w:div w:id="134415019">
      <w:bodyDiv w:val="1"/>
      <w:marLeft w:val="0"/>
      <w:marRight w:val="0"/>
      <w:marTop w:val="0"/>
      <w:marBottom w:val="0"/>
      <w:divBdr>
        <w:top w:val="none" w:sz="0" w:space="0" w:color="auto"/>
        <w:left w:val="none" w:sz="0" w:space="0" w:color="auto"/>
        <w:bottom w:val="none" w:sz="0" w:space="0" w:color="auto"/>
        <w:right w:val="none" w:sz="0" w:space="0" w:color="auto"/>
      </w:divBdr>
    </w:div>
    <w:div w:id="134445366">
      <w:bodyDiv w:val="1"/>
      <w:marLeft w:val="0"/>
      <w:marRight w:val="0"/>
      <w:marTop w:val="0"/>
      <w:marBottom w:val="0"/>
      <w:divBdr>
        <w:top w:val="none" w:sz="0" w:space="0" w:color="auto"/>
        <w:left w:val="none" w:sz="0" w:space="0" w:color="auto"/>
        <w:bottom w:val="none" w:sz="0" w:space="0" w:color="auto"/>
        <w:right w:val="none" w:sz="0" w:space="0" w:color="auto"/>
      </w:divBdr>
    </w:div>
    <w:div w:id="134569312">
      <w:bodyDiv w:val="1"/>
      <w:marLeft w:val="0"/>
      <w:marRight w:val="0"/>
      <w:marTop w:val="0"/>
      <w:marBottom w:val="0"/>
      <w:divBdr>
        <w:top w:val="none" w:sz="0" w:space="0" w:color="auto"/>
        <w:left w:val="none" w:sz="0" w:space="0" w:color="auto"/>
        <w:bottom w:val="none" w:sz="0" w:space="0" w:color="auto"/>
        <w:right w:val="none" w:sz="0" w:space="0" w:color="auto"/>
      </w:divBdr>
    </w:div>
    <w:div w:id="134571440">
      <w:bodyDiv w:val="1"/>
      <w:marLeft w:val="0"/>
      <w:marRight w:val="0"/>
      <w:marTop w:val="0"/>
      <w:marBottom w:val="0"/>
      <w:divBdr>
        <w:top w:val="none" w:sz="0" w:space="0" w:color="auto"/>
        <w:left w:val="none" w:sz="0" w:space="0" w:color="auto"/>
        <w:bottom w:val="none" w:sz="0" w:space="0" w:color="auto"/>
        <w:right w:val="none" w:sz="0" w:space="0" w:color="auto"/>
      </w:divBdr>
    </w:div>
    <w:div w:id="134641215">
      <w:bodyDiv w:val="1"/>
      <w:marLeft w:val="0"/>
      <w:marRight w:val="0"/>
      <w:marTop w:val="0"/>
      <w:marBottom w:val="0"/>
      <w:divBdr>
        <w:top w:val="none" w:sz="0" w:space="0" w:color="auto"/>
        <w:left w:val="none" w:sz="0" w:space="0" w:color="auto"/>
        <w:bottom w:val="none" w:sz="0" w:space="0" w:color="auto"/>
        <w:right w:val="none" w:sz="0" w:space="0" w:color="auto"/>
      </w:divBdr>
    </w:div>
    <w:div w:id="134642053">
      <w:bodyDiv w:val="1"/>
      <w:marLeft w:val="0"/>
      <w:marRight w:val="0"/>
      <w:marTop w:val="0"/>
      <w:marBottom w:val="0"/>
      <w:divBdr>
        <w:top w:val="none" w:sz="0" w:space="0" w:color="auto"/>
        <w:left w:val="none" w:sz="0" w:space="0" w:color="auto"/>
        <w:bottom w:val="none" w:sz="0" w:space="0" w:color="auto"/>
        <w:right w:val="none" w:sz="0" w:space="0" w:color="auto"/>
      </w:divBdr>
    </w:div>
    <w:div w:id="134764743">
      <w:bodyDiv w:val="1"/>
      <w:marLeft w:val="0"/>
      <w:marRight w:val="0"/>
      <w:marTop w:val="0"/>
      <w:marBottom w:val="0"/>
      <w:divBdr>
        <w:top w:val="none" w:sz="0" w:space="0" w:color="auto"/>
        <w:left w:val="none" w:sz="0" w:space="0" w:color="auto"/>
        <w:bottom w:val="none" w:sz="0" w:space="0" w:color="auto"/>
        <w:right w:val="none" w:sz="0" w:space="0" w:color="auto"/>
      </w:divBdr>
    </w:div>
    <w:div w:id="134878603">
      <w:bodyDiv w:val="1"/>
      <w:marLeft w:val="0"/>
      <w:marRight w:val="0"/>
      <w:marTop w:val="0"/>
      <w:marBottom w:val="0"/>
      <w:divBdr>
        <w:top w:val="none" w:sz="0" w:space="0" w:color="auto"/>
        <w:left w:val="none" w:sz="0" w:space="0" w:color="auto"/>
        <w:bottom w:val="none" w:sz="0" w:space="0" w:color="auto"/>
        <w:right w:val="none" w:sz="0" w:space="0" w:color="auto"/>
      </w:divBdr>
    </w:div>
    <w:div w:id="134956418">
      <w:bodyDiv w:val="1"/>
      <w:marLeft w:val="0"/>
      <w:marRight w:val="0"/>
      <w:marTop w:val="0"/>
      <w:marBottom w:val="0"/>
      <w:divBdr>
        <w:top w:val="none" w:sz="0" w:space="0" w:color="auto"/>
        <w:left w:val="none" w:sz="0" w:space="0" w:color="auto"/>
        <w:bottom w:val="none" w:sz="0" w:space="0" w:color="auto"/>
        <w:right w:val="none" w:sz="0" w:space="0" w:color="auto"/>
      </w:divBdr>
    </w:div>
    <w:div w:id="135151997">
      <w:bodyDiv w:val="1"/>
      <w:marLeft w:val="0"/>
      <w:marRight w:val="0"/>
      <w:marTop w:val="0"/>
      <w:marBottom w:val="0"/>
      <w:divBdr>
        <w:top w:val="none" w:sz="0" w:space="0" w:color="auto"/>
        <w:left w:val="none" w:sz="0" w:space="0" w:color="auto"/>
        <w:bottom w:val="none" w:sz="0" w:space="0" w:color="auto"/>
        <w:right w:val="none" w:sz="0" w:space="0" w:color="auto"/>
      </w:divBdr>
    </w:div>
    <w:div w:id="135337392">
      <w:bodyDiv w:val="1"/>
      <w:marLeft w:val="0"/>
      <w:marRight w:val="0"/>
      <w:marTop w:val="0"/>
      <w:marBottom w:val="0"/>
      <w:divBdr>
        <w:top w:val="none" w:sz="0" w:space="0" w:color="auto"/>
        <w:left w:val="none" w:sz="0" w:space="0" w:color="auto"/>
        <w:bottom w:val="none" w:sz="0" w:space="0" w:color="auto"/>
        <w:right w:val="none" w:sz="0" w:space="0" w:color="auto"/>
      </w:divBdr>
    </w:div>
    <w:div w:id="135337417">
      <w:bodyDiv w:val="1"/>
      <w:marLeft w:val="0"/>
      <w:marRight w:val="0"/>
      <w:marTop w:val="0"/>
      <w:marBottom w:val="0"/>
      <w:divBdr>
        <w:top w:val="none" w:sz="0" w:space="0" w:color="auto"/>
        <w:left w:val="none" w:sz="0" w:space="0" w:color="auto"/>
        <w:bottom w:val="none" w:sz="0" w:space="0" w:color="auto"/>
        <w:right w:val="none" w:sz="0" w:space="0" w:color="auto"/>
      </w:divBdr>
    </w:div>
    <w:div w:id="135341888">
      <w:bodyDiv w:val="1"/>
      <w:marLeft w:val="0"/>
      <w:marRight w:val="0"/>
      <w:marTop w:val="0"/>
      <w:marBottom w:val="0"/>
      <w:divBdr>
        <w:top w:val="none" w:sz="0" w:space="0" w:color="auto"/>
        <w:left w:val="none" w:sz="0" w:space="0" w:color="auto"/>
        <w:bottom w:val="none" w:sz="0" w:space="0" w:color="auto"/>
        <w:right w:val="none" w:sz="0" w:space="0" w:color="auto"/>
      </w:divBdr>
    </w:div>
    <w:div w:id="135412470">
      <w:bodyDiv w:val="1"/>
      <w:marLeft w:val="0"/>
      <w:marRight w:val="0"/>
      <w:marTop w:val="0"/>
      <w:marBottom w:val="0"/>
      <w:divBdr>
        <w:top w:val="none" w:sz="0" w:space="0" w:color="auto"/>
        <w:left w:val="none" w:sz="0" w:space="0" w:color="auto"/>
        <w:bottom w:val="none" w:sz="0" w:space="0" w:color="auto"/>
        <w:right w:val="none" w:sz="0" w:space="0" w:color="auto"/>
      </w:divBdr>
    </w:div>
    <w:div w:id="135416106">
      <w:bodyDiv w:val="1"/>
      <w:marLeft w:val="0"/>
      <w:marRight w:val="0"/>
      <w:marTop w:val="0"/>
      <w:marBottom w:val="0"/>
      <w:divBdr>
        <w:top w:val="none" w:sz="0" w:space="0" w:color="auto"/>
        <w:left w:val="none" w:sz="0" w:space="0" w:color="auto"/>
        <w:bottom w:val="none" w:sz="0" w:space="0" w:color="auto"/>
        <w:right w:val="none" w:sz="0" w:space="0" w:color="auto"/>
      </w:divBdr>
    </w:div>
    <w:div w:id="135610119">
      <w:bodyDiv w:val="1"/>
      <w:marLeft w:val="0"/>
      <w:marRight w:val="0"/>
      <w:marTop w:val="0"/>
      <w:marBottom w:val="0"/>
      <w:divBdr>
        <w:top w:val="none" w:sz="0" w:space="0" w:color="auto"/>
        <w:left w:val="none" w:sz="0" w:space="0" w:color="auto"/>
        <w:bottom w:val="none" w:sz="0" w:space="0" w:color="auto"/>
        <w:right w:val="none" w:sz="0" w:space="0" w:color="auto"/>
      </w:divBdr>
    </w:div>
    <w:div w:id="135680608">
      <w:bodyDiv w:val="1"/>
      <w:marLeft w:val="0"/>
      <w:marRight w:val="0"/>
      <w:marTop w:val="0"/>
      <w:marBottom w:val="0"/>
      <w:divBdr>
        <w:top w:val="none" w:sz="0" w:space="0" w:color="auto"/>
        <w:left w:val="none" w:sz="0" w:space="0" w:color="auto"/>
        <w:bottom w:val="none" w:sz="0" w:space="0" w:color="auto"/>
        <w:right w:val="none" w:sz="0" w:space="0" w:color="auto"/>
      </w:divBdr>
    </w:div>
    <w:div w:id="135680698">
      <w:bodyDiv w:val="1"/>
      <w:marLeft w:val="0"/>
      <w:marRight w:val="0"/>
      <w:marTop w:val="0"/>
      <w:marBottom w:val="0"/>
      <w:divBdr>
        <w:top w:val="none" w:sz="0" w:space="0" w:color="auto"/>
        <w:left w:val="none" w:sz="0" w:space="0" w:color="auto"/>
        <w:bottom w:val="none" w:sz="0" w:space="0" w:color="auto"/>
        <w:right w:val="none" w:sz="0" w:space="0" w:color="auto"/>
      </w:divBdr>
    </w:div>
    <w:div w:id="135729254">
      <w:bodyDiv w:val="1"/>
      <w:marLeft w:val="0"/>
      <w:marRight w:val="0"/>
      <w:marTop w:val="0"/>
      <w:marBottom w:val="0"/>
      <w:divBdr>
        <w:top w:val="none" w:sz="0" w:space="0" w:color="auto"/>
        <w:left w:val="none" w:sz="0" w:space="0" w:color="auto"/>
        <w:bottom w:val="none" w:sz="0" w:space="0" w:color="auto"/>
        <w:right w:val="none" w:sz="0" w:space="0" w:color="auto"/>
      </w:divBdr>
    </w:div>
    <w:div w:id="135877511">
      <w:bodyDiv w:val="1"/>
      <w:marLeft w:val="0"/>
      <w:marRight w:val="0"/>
      <w:marTop w:val="0"/>
      <w:marBottom w:val="0"/>
      <w:divBdr>
        <w:top w:val="none" w:sz="0" w:space="0" w:color="auto"/>
        <w:left w:val="none" w:sz="0" w:space="0" w:color="auto"/>
        <w:bottom w:val="none" w:sz="0" w:space="0" w:color="auto"/>
        <w:right w:val="none" w:sz="0" w:space="0" w:color="auto"/>
      </w:divBdr>
    </w:div>
    <w:div w:id="135878567">
      <w:bodyDiv w:val="1"/>
      <w:marLeft w:val="0"/>
      <w:marRight w:val="0"/>
      <w:marTop w:val="0"/>
      <w:marBottom w:val="0"/>
      <w:divBdr>
        <w:top w:val="none" w:sz="0" w:space="0" w:color="auto"/>
        <w:left w:val="none" w:sz="0" w:space="0" w:color="auto"/>
        <w:bottom w:val="none" w:sz="0" w:space="0" w:color="auto"/>
        <w:right w:val="none" w:sz="0" w:space="0" w:color="auto"/>
      </w:divBdr>
    </w:div>
    <w:div w:id="135880886">
      <w:bodyDiv w:val="1"/>
      <w:marLeft w:val="0"/>
      <w:marRight w:val="0"/>
      <w:marTop w:val="0"/>
      <w:marBottom w:val="0"/>
      <w:divBdr>
        <w:top w:val="none" w:sz="0" w:space="0" w:color="auto"/>
        <w:left w:val="none" w:sz="0" w:space="0" w:color="auto"/>
        <w:bottom w:val="none" w:sz="0" w:space="0" w:color="auto"/>
        <w:right w:val="none" w:sz="0" w:space="0" w:color="auto"/>
      </w:divBdr>
    </w:div>
    <w:div w:id="135924635">
      <w:bodyDiv w:val="1"/>
      <w:marLeft w:val="0"/>
      <w:marRight w:val="0"/>
      <w:marTop w:val="0"/>
      <w:marBottom w:val="0"/>
      <w:divBdr>
        <w:top w:val="none" w:sz="0" w:space="0" w:color="auto"/>
        <w:left w:val="none" w:sz="0" w:space="0" w:color="auto"/>
        <w:bottom w:val="none" w:sz="0" w:space="0" w:color="auto"/>
        <w:right w:val="none" w:sz="0" w:space="0" w:color="auto"/>
      </w:divBdr>
    </w:div>
    <w:div w:id="135952134">
      <w:bodyDiv w:val="1"/>
      <w:marLeft w:val="0"/>
      <w:marRight w:val="0"/>
      <w:marTop w:val="0"/>
      <w:marBottom w:val="0"/>
      <w:divBdr>
        <w:top w:val="none" w:sz="0" w:space="0" w:color="auto"/>
        <w:left w:val="none" w:sz="0" w:space="0" w:color="auto"/>
        <w:bottom w:val="none" w:sz="0" w:space="0" w:color="auto"/>
        <w:right w:val="none" w:sz="0" w:space="0" w:color="auto"/>
      </w:divBdr>
    </w:div>
    <w:div w:id="135953382">
      <w:bodyDiv w:val="1"/>
      <w:marLeft w:val="0"/>
      <w:marRight w:val="0"/>
      <w:marTop w:val="0"/>
      <w:marBottom w:val="0"/>
      <w:divBdr>
        <w:top w:val="none" w:sz="0" w:space="0" w:color="auto"/>
        <w:left w:val="none" w:sz="0" w:space="0" w:color="auto"/>
        <w:bottom w:val="none" w:sz="0" w:space="0" w:color="auto"/>
        <w:right w:val="none" w:sz="0" w:space="0" w:color="auto"/>
      </w:divBdr>
    </w:div>
    <w:div w:id="136194735">
      <w:bodyDiv w:val="1"/>
      <w:marLeft w:val="0"/>
      <w:marRight w:val="0"/>
      <w:marTop w:val="0"/>
      <w:marBottom w:val="0"/>
      <w:divBdr>
        <w:top w:val="none" w:sz="0" w:space="0" w:color="auto"/>
        <w:left w:val="none" w:sz="0" w:space="0" w:color="auto"/>
        <w:bottom w:val="none" w:sz="0" w:space="0" w:color="auto"/>
        <w:right w:val="none" w:sz="0" w:space="0" w:color="auto"/>
      </w:divBdr>
    </w:div>
    <w:div w:id="136260969">
      <w:bodyDiv w:val="1"/>
      <w:marLeft w:val="0"/>
      <w:marRight w:val="0"/>
      <w:marTop w:val="0"/>
      <w:marBottom w:val="0"/>
      <w:divBdr>
        <w:top w:val="none" w:sz="0" w:space="0" w:color="auto"/>
        <w:left w:val="none" w:sz="0" w:space="0" w:color="auto"/>
        <w:bottom w:val="none" w:sz="0" w:space="0" w:color="auto"/>
        <w:right w:val="none" w:sz="0" w:space="0" w:color="auto"/>
      </w:divBdr>
    </w:div>
    <w:div w:id="136605753">
      <w:bodyDiv w:val="1"/>
      <w:marLeft w:val="0"/>
      <w:marRight w:val="0"/>
      <w:marTop w:val="0"/>
      <w:marBottom w:val="0"/>
      <w:divBdr>
        <w:top w:val="none" w:sz="0" w:space="0" w:color="auto"/>
        <w:left w:val="none" w:sz="0" w:space="0" w:color="auto"/>
        <w:bottom w:val="none" w:sz="0" w:space="0" w:color="auto"/>
        <w:right w:val="none" w:sz="0" w:space="0" w:color="auto"/>
      </w:divBdr>
    </w:div>
    <w:div w:id="136651451">
      <w:bodyDiv w:val="1"/>
      <w:marLeft w:val="0"/>
      <w:marRight w:val="0"/>
      <w:marTop w:val="0"/>
      <w:marBottom w:val="0"/>
      <w:divBdr>
        <w:top w:val="none" w:sz="0" w:space="0" w:color="auto"/>
        <w:left w:val="none" w:sz="0" w:space="0" w:color="auto"/>
        <w:bottom w:val="none" w:sz="0" w:space="0" w:color="auto"/>
        <w:right w:val="none" w:sz="0" w:space="0" w:color="auto"/>
      </w:divBdr>
    </w:div>
    <w:div w:id="136655901">
      <w:bodyDiv w:val="1"/>
      <w:marLeft w:val="0"/>
      <w:marRight w:val="0"/>
      <w:marTop w:val="0"/>
      <w:marBottom w:val="0"/>
      <w:divBdr>
        <w:top w:val="none" w:sz="0" w:space="0" w:color="auto"/>
        <w:left w:val="none" w:sz="0" w:space="0" w:color="auto"/>
        <w:bottom w:val="none" w:sz="0" w:space="0" w:color="auto"/>
        <w:right w:val="none" w:sz="0" w:space="0" w:color="auto"/>
      </w:divBdr>
    </w:div>
    <w:div w:id="136728072">
      <w:bodyDiv w:val="1"/>
      <w:marLeft w:val="0"/>
      <w:marRight w:val="0"/>
      <w:marTop w:val="0"/>
      <w:marBottom w:val="0"/>
      <w:divBdr>
        <w:top w:val="none" w:sz="0" w:space="0" w:color="auto"/>
        <w:left w:val="none" w:sz="0" w:space="0" w:color="auto"/>
        <w:bottom w:val="none" w:sz="0" w:space="0" w:color="auto"/>
        <w:right w:val="none" w:sz="0" w:space="0" w:color="auto"/>
      </w:divBdr>
    </w:div>
    <w:div w:id="136805962">
      <w:bodyDiv w:val="1"/>
      <w:marLeft w:val="0"/>
      <w:marRight w:val="0"/>
      <w:marTop w:val="0"/>
      <w:marBottom w:val="0"/>
      <w:divBdr>
        <w:top w:val="none" w:sz="0" w:space="0" w:color="auto"/>
        <w:left w:val="none" w:sz="0" w:space="0" w:color="auto"/>
        <w:bottom w:val="none" w:sz="0" w:space="0" w:color="auto"/>
        <w:right w:val="none" w:sz="0" w:space="0" w:color="auto"/>
      </w:divBdr>
    </w:div>
    <w:div w:id="136840880">
      <w:bodyDiv w:val="1"/>
      <w:marLeft w:val="0"/>
      <w:marRight w:val="0"/>
      <w:marTop w:val="0"/>
      <w:marBottom w:val="0"/>
      <w:divBdr>
        <w:top w:val="none" w:sz="0" w:space="0" w:color="auto"/>
        <w:left w:val="none" w:sz="0" w:space="0" w:color="auto"/>
        <w:bottom w:val="none" w:sz="0" w:space="0" w:color="auto"/>
        <w:right w:val="none" w:sz="0" w:space="0" w:color="auto"/>
      </w:divBdr>
    </w:div>
    <w:div w:id="136842603">
      <w:bodyDiv w:val="1"/>
      <w:marLeft w:val="0"/>
      <w:marRight w:val="0"/>
      <w:marTop w:val="0"/>
      <w:marBottom w:val="0"/>
      <w:divBdr>
        <w:top w:val="none" w:sz="0" w:space="0" w:color="auto"/>
        <w:left w:val="none" w:sz="0" w:space="0" w:color="auto"/>
        <w:bottom w:val="none" w:sz="0" w:space="0" w:color="auto"/>
        <w:right w:val="none" w:sz="0" w:space="0" w:color="auto"/>
      </w:divBdr>
    </w:div>
    <w:div w:id="136847590">
      <w:bodyDiv w:val="1"/>
      <w:marLeft w:val="0"/>
      <w:marRight w:val="0"/>
      <w:marTop w:val="0"/>
      <w:marBottom w:val="0"/>
      <w:divBdr>
        <w:top w:val="none" w:sz="0" w:space="0" w:color="auto"/>
        <w:left w:val="none" w:sz="0" w:space="0" w:color="auto"/>
        <w:bottom w:val="none" w:sz="0" w:space="0" w:color="auto"/>
        <w:right w:val="none" w:sz="0" w:space="0" w:color="auto"/>
      </w:divBdr>
    </w:div>
    <w:div w:id="136919708">
      <w:bodyDiv w:val="1"/>
      <w:marLeft w:val="0"/>
      <w:marRight w:val="0"/>
      <w:marTop w:val="0"/>
      <w:marBottom w:val="0"/>
      <w:divBdr>
        <w:top w:val="none" w:sz="0" w:space="0" w:color="auto"/>
        <w:left w:val="none" w:sz="0" w:space="0" w:color="auto"/>
        <w:bottom w:val="none" w:sz="0" w:space="0" w:color="auto"/>
        <w:right w:val="none" w:sz="0" w:space="0" w:color="auto"/>
      </w:divBdr>
    </w:div>
    <w:div w:id="136991983">
      <w:bodyDiv w:val="1"/>
      <w:marLeft w:val="0"/>
      <w:marRight w:val="0"/>
      <w:marTop w:val="0"/>
      <w:marBottom w:val="0"/>
      <w:divBdr>
        <w:top w:val="none" w:sz="0" w:space="0" w:color="auto"/>
        <w:left w:val="none" w:sz="0" w:space="0" w:color="auto"/>
        <w:bottom w:val="none" w:sz="0" w:space="0" w:color="auto"/>
        <w:right w:val="none" w:sz="0" w:space="0" w:color="auto"/>
      </w:divBdr>
    </w:div>
    <w:div w:id="137000136">
      <w:bodyDiv w:val="1"/>
      <w:marLeft w:val="0"/>
      <w:marRight w:val="0"/>
      <w:marTop w:val="0"/>
      <w:marBottom w:val="0"/>
      <w:divBdr>
        <w:top w:val="none" w:sz="0" w:space="0" w:color="auto"/>
        <w:left w:val="none" w:sz="0" w:space="0" w:color="auto"/>
        <w:bottom w:val="none" w:sz="0" w:space="0" w:color="auto"/>
        <w:right w:val="none" w:sz="0" w:space="0" w:color="auto"/>
      </w:divBdr>
    </w:div>
    <w:div w:id="137118054">
      <w:bodyDiv w:val="1"/>
      <w:marLeft w:val="0"/>
      <w:marRight w:val="0"/>
      <w:marTop w:val="0"/>
      <w:marBottom w:val="0"/>
      <w:divBdr>
        <w:top w:val="none" w:sz="0" w:space="0" w:color="auto"/>
        <w:left w:val="none" w:sz="0" w:space="0" w:color="auto"/>
        <w:bottom w:val="none" w:sz="0" w:space="0" w:color="auto"/>
        <w:right w:val="none" w:sz="0" w:space="0" w:color="auto"/>
      </w:divBdr>
    </w:div>
    <w:div w:id="137189777">
      <w:bodyDiv w:val="1"/>
      <w:marLeft w:val="0"/>
      <w:marRight w:val="0"/>
      <w:marTop w:val="0"/>
      <w:marBottom w:val="0"/>
      <w:divBdr>
        <w:top w:val="none" w:sz="0" w:space="0" w:color="auto"/>
        <w:left w:val="none" w:sz="0" w:space="0" w:color="auto"/>
        <w:bottom w:val="none" w:sz="0" w:space="0" w:color="auto"/>
        <w:right w:val="none" w:sz="0" w:space="0" w:color="auto"/>
      </w:divBdr>
    </w:div>
    <w:div w:id="137190441">
      <w:bodyDiv w:val="1"/>
      <w:marLeft w:val="0"/>
      <w:marRight w:val="0"/>
      <w:marTop w:val="0"/>
      <w:marBottom w:val="0"/>
      <w:divBdr>
        <w:top w:val="none" w:sz="0" w:space="0" w:color="auto"/>
        <w:left w:val="none" w:sz="0" w:space="0" w:color="auto"/>
        <w:bottom w:val="none" w:sz="0" w:space="0" w:color="auto"/>
        <w:right w:val="none" w:sz="0" w:space="0" w:color="auto"/>
      </w:divBdr>
    </w:div>
    <w:div w:id="137308243">
      <w:bodyDiv w:val="1"/>
      <w:marLeft w:val="0"/>
      <w:marRight w:val="0"/>
      <w:marTop w:val="0"/>
      <w:marBottom w:val="0"/>
      <w:divBdr>
        <w:top w:val="none" w:sz="0" w:space="0" w:color="auto"/>
        <w:left w:val="none" w:sz="0" w:space="0" w:color="auto"/>
        <w:bottom w:val="none" w:sz="0" w:space="0" w:color="auto"/>
        <w:right w:val="none" w:sz="0" w:space="0" w:color="auto"/>
      </w:divBdr>
    </w:div>
    <w:div w:id="137310802">
      <w:bodyDiv w:val="1"/>
      <w:marLeft w:val="0"/>
      <w:marRight w:val="0"/>
      <w:marTop w:val="0"/>
      <w:marBottom w:val="0"/>
      <w:divBdr>
        <w:top w:val="none" w:sz="0" w:space="0" w:color="auto"/>
        <w:left w:val="none" w:sz="0" w:space="0" w:color="auto"/>
        <w:bottom w:val="none" w:sz="0" w:space="0" w:color="auto"/>
        <w:right w:val="none" w:sz="0" w:space="0" w:color="auto"/>
      </w:divBdr>
    </w:div>
    <w:div w:id="137454740">
      <w:bodyDiv w:val="1"/>
      <w:marLeft w:val="0"/>
      <w:marRight w:val="0"/>
      <w:marTop w:val="0"/>
      <w:marBottom w:val="0"/>
      <w:divBdr>
        <w:top w:val="none" w:sz="0" w:space="0" w:color="auto"/>
        <w:left w:val="none" w:sz="0" w:space="0" w:color="auto"/>
        <w:bottom w:val="none" w:sz="0" w:space="0" w:color="auto"/>
        <w:right w:val="none" w:sz="0" w:space="0" w:color="auto"/>
      </w:divBdr>
    </w:div>
    <w:div w:id="137571048">
      <w:bodyDiv w:val="1"/>
      <w:marLeft w:val="0"/>
      <w:marRight w:val="0"/>
      <w:marTop w:val="0"/>
      <w:marBottom w:val="0"/>
      <w:divBdr>
        <w:top w:val="none" w:sz="0" w:space="0" w:color="auto"/>
        <w:left w:val="none" w:sz="0" w:space="0" w:color="auto"/>
        <w:bottom w:val="none" w:sz="0" w:space="0" w:color="auto"/>
        <w:right w:val="none" w:sz="0" w:space="0" w:color="auto"/>
      </w:divBdr>
    </w:div>
    <w:div w:id="137576188">
      <w:bodyDiv w:val="1"/>
      <w:marLeft w:val="0"/>
      <w:marRight w:val="0"/>
      <w:marTop w:val="0"/>
      <w:marBottom w:val="0"/>
      <w:divBdr>
        <w:top w:val="none" w:sz="0" w:space="0" w:color="auto"/>
        <w:left w:val="none" w:sz="0" w:space="0" w:color="auto"/>
        <w:bottom w:val="none" w:sz="0" w:space="0" w:color="auto"/>
        <w:right w:val="none" w:sz="0" w:space="0" w:color="auto"/>
      </w:divBdr>
    </w:div>
    <w:div w:id="137650339">
      <w:bodyDiv w:val="1"/>
      <w:marLeft w:val="0"/>
      <w:marRight w:val="0"/>
      <w:marTop w:val="0"/>
      <w:marBottom w:val="0"/>
      <w:divBdr>
        <w:top w:val="none" w:sz="0" w:space="0" w:color="auto"/>
        <w:left w:val="none" w:sz="0" w:space="0" w:color="auto"/>
        <w:bottom w:val="none" w:sz="0" w:space="0" w:color="auto"/>
        <w:right w:val="none" w:sz="0" w:space="0" w:color="auto"/>
      </w:divBdr>
    </w:div>
    <w:div w:id="137654651">
      <w:bodyDiv w:val="1"/>
      <w:marLeft w:val="0"/>
      <w:marRight w:val="0"/>
      <w:marTop w:val="0"/>
      <w:marBottom w:val="0"/>
      <w:divBdr>
        <w:top w:val="none" w:sz="0" w:space="0" w:color="auto"/>
        <w:left w:val="none" w:sz="0" w:space="0" w:color="auto"/>
        <w:bottom w:val="none" w:sz="0" w:space="0" w:color="auto"/>
        <w:right w:val="none" w:sz="0" w:space="0" w:color="auto"/>
      </w:divBdr>
    </w:div>
    <w:div w:id="137764789">
      <w:bodyDiv w:val="1"/>
      <w:marLeft w:val="0"/>
      <w:marRight w:val="0"/>
      <w:marTop w:val="0"/>
      <w:marBottom w:val="0"/>
      <w:divBdr>
        <w:top w:val="none" w:sz="0" w:space="0" w:color="auto"/>
        <w:left w:val="none" w:sz="0" w:space="0" w:color="auto"/>
        <w:bottom w:val="none" w:sz="0" w:space="0" w:color="auto"/>
        <w:right w:val="none" w:sz="0" w:space="0" w:color="auto"/>
      </w:divBdr>
    </w:div>
    <w:div w:id="137766173">
      <w:bodyDiv w:val="1"/>
      <w:marLeft w:val="0"/>
      <w:marRight w:val="0"/>
      <w:marTop w:val="0"/>
      <w:marBottom w:val="0"/>
      <w:divBdr>
        <w:top w:val="none" w:sz="0" w:space="0" w:color="auto"/>
        <w:left w:val="none" w:sz="0" w:space="0" w:color="auto"/>
        <w:bottom w:val="none" w:sz="0" w:space="0" w:color="auto"/>
        <w:right w:val="none" w:sz="0" w:space="0" w:color="auto"/>
      </w:divBdr>
    </w:div>
    <w:div w:id="137915950">
      <w:bodyDiv w:val="1"/>
      <w:marLeft w:val="0"/>
      <w:marRight w:val="0"/>
      <w:marTop w:val="0"/>
      <w:marBottom w:val="0"/>
      <w:divBdr>
        <w:top w:val="none" w:sz="0" w:space="0" w:color="auto"/>
        <w:left w:val="none" w:sz="0" w:space="0" w:color="auto"/>
        <w:bottom w:val="none" w:sz="0" w:space="0" w:color="auto"/>
        <w:right w:val="none" w:sz="0" w:space="0" w:color="auto"/>
      </w:divBdr>
    </w:div>
    <w:div w:id="137960364">
      <w:bodyDiv w:val="1"/>
      <w:marLeft w:val="0"/>
      <w:marRight w:val="0"/>
      <w:marTop w:val="0"/>
      <w:marBottom w:val="0"/>
      <w:divBdr>
        <w:top w:val="none" w:sz="0" w:space="0" w:color="auto"/>
        <w:left w:val="none" w:sz="0" w:space="0" w:color="auto"/>
        <w:bottom w:val="none" w:sz="0" w:space="0" w:color="auto"/>
        <w:right w:val="none" w:sz="0" w:space="0" w:color="auto"/>
      </w:divBdr>
    </w:div>
    <w:div w:id="138036759">
      <w:bodyDiv w:val="1"/>
      <w:marLeft w:val="0"/>
      <w:marRight w:val="0"/>
      <w:marTop w:val="0"/>
      <w:marBottom w:val="0"/>
      <w:divBdr>
        <w:top w:val="none" w:sz="0" w:space="0" w:color="auto"/>
        <w:left w:val="none" w:sz="0" w:space="0" w:color="auto"/>
        <w:bottom w:val="none" w:sz="0" w:space="0" w:color="auto"/>
        <w:right w:val="none" w:sz="0" w:space="0" w:color="auto"/>
      </w:divBdr>
    </w:div>
    <w:div w:id="138112537">
      <w:bodyDiv w:val="1"/>
      <w:marLeft w:val="0"/>
      <w:marRight w:val="0"/>
      <w:marTop w:val="0"/>
      <w:marBottom w:val="0"/>
      <w:divBdr>
        <w:top w:val="none" w:sz="0" w:space="0" w:color="auto"/>
        <w:left w:val="none" w:sz="0" w:space="0" w:color="auto"/>
        <w:bottom w:val="none" w:sz="0" w:space="0" w:color="auto"/>
        <w:right w:val="none" w:sz="0" w:space="0" w:color="auto"/>
      </w:divBdr>
    </w:div>
    <w:div w:id="138115298">
      <w:bodyDiv w:val="1"/>
      <w:marLeft w:val="0"/>
      <w:marRight w:val="0"/>
      <w:marTop w:val="0"/>
      <w:marBottom w:val="0"/>
      <w:divBdr>
        <w:top w:val="none" w:sz="0" w:space="0" w:color="auto"/>
        <w:left w:val="none" w:sz="0" w:space="0" w:color="auto"/>
        <w:bottom w:val="none" w:sz="0" w:space="0" w:color="auto"/>
        <w:right w:val="none" w:sz="0" w:space="0" w:color="auto"/>
      </w:divBdr>
    </w:div>
    <w:div w:id="138234171">
      <w:bodyDiv w:val="1"/>
      <w:marLeft w:val="0"/>
      <w:marRight w:val="0"/>
      <w:marTop w:val="0"/>
      <w:marBottom w:val="0"/>
      <w:divBdr>
        <w:top w:val="none" w:sz="0" w:space="0" w:color="auto"/>
        <w:left w:val="none" w:sz="0" w:space="0" w:color="auto"/>
        <w:bottom w:val="none" w:sz="0" w:space="0" w:color="auto"/>
        <w:right w:val="none" w:sz="0" w:space="0" w:color="auto"/>
      </w:divBdr>
    </w:div>
    <w:div w:id="138234295">
      <w:bodyDiv w:val="1"/>
      <w:marLeft w:val="0"/>
      <w:marRight w:val="0"/>
      <w:marTop w:val="0"/>
      <w:marBottom w:val="0"/>
      <w:divBdr>
        <w:top w:val="none" w:sz="0" w:space="0" w:color="auto"/>
        <w:left w:val="none" w:sz="0" w:space="0" w:color="auto"/>
        <w:bottom w:val="none" w:sz="0" w:space="0" w:color="auto"/>
        <w:right w:val="none" w:sz="0" w:space="0" w:color="auto"/>
      </w:divBdr>
    </w:div>
    <w:div w:id="138309571">
      <w:bodyDiv w:val="1"/>
      <w:marLeft w:val="0"/>
      <w:marRight w:val="0"/>
      <w:marTop w:val="0"/>
      <w:marBottom w:val="0"/>
      <w:divBdr>
        <w:top w:val="none" w:sz="0" w:space="0" w:color="auto"/>
        <w:left w:val="none" w:sz="0" w:space="0" w:color="auto"/>
        <w:bottom w:val="none" w:sz="0" w:space="0" w:color="auto"/>
        <w:right w:val="none" w:sz="0" w:space="0" w:color="auto"/>
      </w:divBdr>
    </w:div>
    <w:div w:id="138350568">
      <w:bodyDiv w:val="1"/>
      <w:marLeft w:val="0"/>
      <w:marRight w:val="0"/>
      <w:marTop w:val="0"/>
      <w:marBottom w:val="0"/>
      <w:divBdr>
        <w:top w:val="none" w:sz="0" w:space="0" w:color="auto"/>
        <w:left w:val="none" w:sz="0" w:space="0" w:color="auto"/>
        <w:bottom w:val="none" w:sz="0" w:space="0" w:color="auto"/>
        <w:right w:val="none" w:sz="0" w:space="0" w:color="auto"/>
      </w:divBdr>
    </w:div>
    <w:div w:id="138500335">
      <w:bodyDiv w:val="1"/>
      <w:marLeft w:val="0"/>
      <w:marRight w:val="0"/>
      <w:marTop w:val="0"/>
      <w:marBottom w:val="0"/>
      <w:divBdr>
        <w:top w:val="none" w:sz="0" w:space="0" w:color="auto"/>
        <w:left w:val="none" w:sz="0" w:space="0" w:color="auto"/>
        <w:bottom w:val="none" w:sz="0" w:space="0" w:color="auto"/>
        <w:right w:val="none" w:sz="0" w:space="0" w:color="auto"/>
      </w:divBdr>
    </w:div>
    <w:div w:id="138691143">
      <w:bodyDiv w:val="1"/>
      <w:marLeft w:val="0"/>
      <w:marRight w:val="0"/>
      <w:marTop w:val="0"/>
      <w:marBottom w:val="0"/>
      <w:divBdr>
        <w:top w:val="none" w:sz="0" w:space="0" w:color="auto"/>
        <w:left w:val="none" w:sz="0" w:space="0" w:color="auto"/>
        <w:bottom w:val="none" w:sz="0" w:space="0" w:color="auto"/>
        <w:right w:val="none" w:sz="0" w:space="0" w:color="auto"/>
      </w:divBdr>
    </w:div>
    <w:div w:id="138694072">
      <w:bodyDiv w:val="1"/>
      <w:marLeft w:val="0"/>
      <w:marRight w:val="0"/>
      <w:marTop w:val="0"/>
      <w:marBottom w:val="0"/>
      <w:divBdr>
        <w:top w:val="none" w:sz="0" w:space="0" w:color="auto"/>
        <w:left w:val="none" w:sz="0" w:space="0" w:color="auto"/>
        <w:bottom w:val="none" w:sz="0" w:space="0" w:color="auto"/>
        <w:right w:val="none" w:sz="0" w:space="0" w:color="auto"/>
      </w:divBdr>
    </w:div>
    <w:div w:id="138766288">
      <w:bodyDiv w:val="1"/>
      <w:marLeft w:val="0"/>
      <w:marRight w:val="0"/>
      <w:marTop w:val="0"/>
      <w:marBottom w:val="0"/>
      <w:divBdr>
        <w:top w:val="none" w:sz="0" w:space="0" w:color="auto"/>
        <w:left w:val="none" w:sz="0" w:space="0" w:color="auto"/>
        <w:bottom w:val="none" w:sz="0" w:space="0" w:color="auto"/>
        <w:right w:val="none" w:sz="0" w:space="0" w:color="auto"/>
      </w:divBdr>
    </w:div>
    <w:div w:id="138882738">
      <w:bodyDiv w:val="1"/>
      <w:marLeft w:val="0"/>
      <w:marRight w:val="0"/>
      <w:marTop w:val="0"/>
      <w:marBottom w:val="0"/>
      <w:divBdr>
        <w:top w:val="none" w:sz="0" w:space="0" w:color="auto"/>
        <w:left w:val="none" w:sz="0" w:space="0" w:color="auto"/>
        <w:bottom w:val="none" w:sz="0" w:space="0" w:color="auto"/>
        <w:right w:val="none" w:sz="0" w:space="0" w:color="auto"/>
      </w:divBdr>
    </w:div>
    <w:div w:id="138884554">
      <w:bodyDiv w:val="1"/>
      <w:marLeft w:val="0"/>
      <w:marRight w:val="0"/>
      <w:marTop w:val="0"/>
      <w:marBottom w:val="0"/>
      <w:divBdr>
        <w:top w:val="none" w:sz="0" w:space="0" w:color="auto"/>
        <w:left w:val="none" w:sz="0" w:space="0" w:color="auto"/>
        <w:bottom w:val="none" w:sz="0" w:space="0" w:color="auto"/>
        <w:right w:val="none" w:sz="0" w:space="0" w:color="auto"/>
      </w:divBdr>
    </w:div>
    <w:div w:id="138887902">
      <w:bodyDiv w:val="1"/>
      <w:marLeft w:val="0"/>
      <w:marRight w:val="0"/>
      <w:marTop w:val="0"/>
      <w:marBottom w:val="0"/>
      <w:divBdr>
        <w:top w:val="none" w:sz="0" w:space="0" w:color="auto"/>
        <w:left w:val="none" w:sz="0" w:space="0" w:color="auto"/>
        <w:bottom w:val="none" w:sz="0" w:space="0" w:color="auto"/>
        <w:right w:val="none" w:sz="0" w:space="0" w:color="auto"/>
      </w:divBdr>
    </w:div>
    <w:div w:id="138889139">
      <w:bodyDiv w:val="1"/>
      <w:marLeft w:val="0"/>
      <w:marRight w:val="0"/>
      <w:marTop w:val="0"/>
      <w:marBottom w:val="0"/>
      <w:divBdr>
        <w:top w:val="none" w:sz="0" w:space="0" w:color="auto"/>
        <w:left w:val="none" w:sz="0" w:space="0" w:color="auto"/>
        <w:bottom w:val="none" w:sz="0" w:space="0" w:color="auto"/>
        <w:right w:val="none" w:sz="0" w:space="0" w:color="auto"/>
      </w:divBdr>
    </w:div>
    <w:div w:id="139007751">
      <w:bodyDiv w:val="1"/>
      <w:marLeft w:val="0"/>
      <w:marRight w:val="0"/>
      <w:marTop w:val="0"/>
      <w:marBottom w:val="0"/>
      <w:divBdr>
        <w:top w:val="none" w:sz="0" w:space="0" w:color="auto"/>
        <w:left w:val="none" w:sz="0" w:space="0" w:color="auto"/>
        <w:bottom w:val="none" w:sz="0" w:space="0" w:color="auto"/>
        <w:right w:val="none" w:sz="0" w:space="0" w:color="auto"/>
      </w:divBdr>
    </w:div>
    <w:div w:id="139033438">
      <w:bodyDiv w:val="1"/>
      <w:marLeft w:val="0"/>
      <w:marRight w:val="0"/>
      <w:marTop w:val="0"/>
      <w:marBottom w:val="0"/>
      <w:divBdr>
        <w:top w:val="none" w:sz="0" w:space="0" w:color="auto"/>
        <w:left w:val="none" w:sz="0" w:space="0" w:color="auto"/>
        <w:bottom w:val="none" w:sz="0" w:space="0" w:color="auto"/>
        <w:right w:val="none" w:sz="0" w:space="0" w:color="auto"/>
      </w:divBdr>
    </w:div>
    <w:div w:id="139154843">
      <w:bodyDiv w:val="1"/>
      <w:marLeft w:val="0"/>
      <w:marRight w:val="0"/>
      <w:marTop w:val="0"/>
      <w:marBottom w:val="0"/>
      <w:divBdr>
        <w:top w:val="none" w:sz="0" w:space="0" w:color="auto"/>
        <w:left w:val="none" w:sz="0" w:space="0" w:color="auto"/>
        <w:bottom w:val="none" w:sz="0" w:space="0" w:color="auto"/>
        <w:right w:val="none" w:sz="0" w:space="0" w:color="auto"/>
      </w:divBdr>
    </w:div>
    <w:div w:id="139200342">
      <w:bodyDiv w:val="1"/>
      <w:marLeft w:val="0"/>
      <w:marRight w:val="0"/>
      <w:marTop w:val="0"/>
      <w:marBottom w:val="0"/>
      <w:divBdr>
        <w:top w:val="none" w:sz="0" w:space="0" w:color="auto"/>
        <w:left w:val="none" w:sz="0" w:space="0" w:color="auto"/>
        <w:bottom w:val="none" w:sz="0" w:space="0" w:color="auto"/>
        <w:right w:val="none" w:sz="0" w:space="0" w:color="auto"/>
      </w:divBdr>
    </w:div>
    <w:div w:id="139423898">
      <w:bodyDiv w:val="1"/>
      <w:marLeft w:val="0"/>
      <w:marRight w:val="0"/>
      <w:marTop w:val="0"/>
      <w:marBottom w:val="0"/>
      <w:divBdr>
        <w:top w:val="none" w:sz="0" w:space="0" w:color="auto"/>
        <w:left w:val="none" w:sz="0" w:space="0" w:color="auto"/>
        <w:bottom w:val="none" w:sz="0" w:space="0" w:color="auto"/>
        <w:right w:val="none" w:sz="0" w:space="0" w:color="auto"/>
      </w:divBdr>
    </w:div>
    <w:div w:id="139464404">
      <w:bodyDiv w:val="1"/>
      <w:marLeft w:val="0"/>
      <w:marRight w:val="0"/>
      <w:marTop w:val="0"/>
      <w:marBottom w:val="0"/>
      <w:divBdr>
        <w:top w:val="none" w:sz="0" w:space="0" w:color="auto"/>
        <w:left w:val="none" w:sz="0" w:space="0" w:color="auto"/>
        <w:bottom w:val="none" w:sz="0" w:space="0" w:color="auto"/>
        <w:right w:val="none" w:sz="0" w:space="0" w:color="auto"/>
      </w:divBdr>
    </w:div>
    <w:div w:id="139466476">
      <w:bodyDiv w:val="1"/>
      <w:marLeft w:val="0"/>
      <w:marRight w:val="0"/>
      <w:marTop w:val="0"/>
      <w:marBottom w:val="0"/>
      <w:divBdr>
        <w:top w:val="none" w:sz="0" w:space="0" w:color="auto"/>
        <w:left w:val="none" w:sz="0" w:space="0" w:color="auto"/>
        <w:bottom w:val="none" w:sz="0" w:space="0" w:color="auto"/>
        <w:right w:val="none" w:sz="0" w:space="0" w:color="auto"/>
      </w:divBdr>
    </w:div>
    <w:div w:id="139612979">
      <w:bodyDiv w:val="1"/>
      <w:marLeft w:val="0"/>
      <w:marRight w:val="0"/>
      <w:marTop w:val="0"/>
      <w:marBottom w:val="0"/>
      <w:divBdr>
        <w:top w:val="none" w:sz="0" w:space="0" w:color="auto"/>
        <w:left w:val="none" w:sz="0" w:space="0" w:color="auto"/>
        <w:bottom w:val="none" w:sz="0" w:space="0" w:color="auto"/>
        <w:right w:val="none" w:sz="0" w:space="0" w:color="auto"/>
      </w:divBdr>
    </w:div>
    <w:div w:id="139614601">
      <w:bodyDiv w:val="1"/>
      <w:marLeft w:val="0"/>
      <w:marRight w:val="0"/>
      <w:marTop w:val="0"/>
      <w:marBottom w:val="0"/>
      <w:divBdr>
        <w:top w:val="none" w:sz="0" w:space="0" w:color="auto"/>
        <w:left w:val="none" w:sz="0" w:space="0" w:color="auto"/>
        <w:bottom w:val="none" w:sz="0" w:space="0" w:color="auto"/>
        <w:right w:val="none" w:sz="0" w:space="0" w:color="auto"/>
      </w:divBdr>
    </w:div>
    <w:div w:id="139730607">
      <w:bodyDiv w:val="1"/>
      <w:marLeft w:val="0"/>
      <w:marRight w:val="0"/>
      <w:marTop w:val="0"/>
      <w:marBottom w:val="0"/>
      <w:divBdr>
        <w:top w:val="none" w:sz="0" w:space="0" w:color="auto"/>
        <w:left w:val="none" w:sz="0" w:space="0" w:color="auto"/>
        <w:bottom w:val="none" w:sz="0" w:space="0" w:color="auto"/>
        <w:right w:val="none" w:sz="0" w:space="0" w:color="auto"/>
      </w:divBdr>
    </w:div>
    <w:div w:id="139735407">
      <w:bodyDiv w:val="1"/>
      <w:marLeft w:val="0"/>
      <w:marRight w:val="0"/>
      <w:marTop w:val="0"/>
      <w:marBottom w:val="0"/>
      <w:divBdr>
        <w:top w:val="none" w:sz="0" w:space="0" w:color="auto"/>
        <w:left w:val="none" w:sz="0" w:space="0" w:color="auto"/>
        <w:bottom w:val="none" w:sz="0" w:space="0" w:color="auto"/>
        <w:right w:val="none" w:sz="0" w:space="0" w:color="auto"/>
      </w:divBdr>
    </w:div>
    <w:div w:id="139738591">
      <w:bodyDiv w:val="1"/>
      <w:marLeft w:val="0"/>
      <w:marRight w:val="0"/>
      <w:marTop w:val="0"/>
      <w:marBottom w:val="0"/>
      <w:divBdr>
        <w:top w:val="none" w:sz="0" w:space="0" w:color="auto"/>
        <w:left w:val="none" w:sz="0" w:space="0" w:color="auto"/>
        <w:bottom w:val="none" w:sz="0" w:space="0" w:color="auto"/>
        <w:right w:val="none" w:sz="0" w:space="0" w:color="auto"/>
      </w:divBdr>
    </w:div>
    <w:div w:id="139808583">
      <w:bodyDiv w:val="1"/>
      <w:marLeft w:val="0"/>
      <w:marRight w:val="0"/>
      <w:marTop w:val="0"/>
      <w:marBottom w:val="0"/>
      <w:divBdr>
        <w:top w:val="none" w:sz="0" w:space="0" w:color="auto"/>
        <w:left w:val="none" w:sz="0" w:space="0" w:color="auto"/>
        <w:bottom w:val="none" w:sz="0" w:space="0" w:color="auto"/>
        <w:right w:val="none" w:sz="0" w:space="0" w:color="auto"/>
      </w:divBdr>
    </w:div>
    <w:div w:id="139809398">
      <w:bodyDiv w:val="1"/>
      <w:marLeft w:val="0"/>
      <w:marRight w:val="0"/>
      <w:marTop w:val="0"/>
      <w:marBottom w:val="0"/>
      <w:divBdr>
        <w:top w:val="none" w:sz="0" w:space="0" w:color="auto"/>
        <w:left w:val="none" w:sz="0" w:space="0" w:color="auto"/>
        <w:bottom w:val="none" w:sz="0" w:space="0" w:color="auto"/>
        <w:right w:val="none" w:sz="0" w:space="0" w:color="auto"/>
      </w:divBdr>
    </w:div>
    <w:div w:id="139931732">
      <w:bodyDiv w:val="1"/>
      <w:marLeft w:val="0"/>
      <w:marRight w:val="0"/>
      <w:marTop w:val="0"/>
      <w:marBottom w:val="0"/>
      <w:divBdr>
        <w:top w:val="none" w:sz="0" w:space="0" w:color="auto"/>
        <w:left w:val="none" w:sz="0" w:space="0" w:color="auto"/>
        <w:bottom w:val="none" w:sz="0" w:space="0" w:color="auto"/>
        <w:right w:val="none" w:sz="0" w:space="0" w:color="auto"/>
      </w:divBdr>
    </w:div>
    <w:div w:id="140001954">
      <w:bodyDiv w:val="1"/>
      <w:marLeft w:val="0"/>
      <w:marRight w:val="0"/>
      <w:marTop w:val="0"/>
      <w:marBottom w:val="0"/>
      <w:divBdr>
        <w:top w:val="none" w:sz="0" w:space="0" w:color="auto"/>
        <w:left w:val="none" w:sz="0" w:space="0" w:color="auto"/>
        <w:bottom w:val="none" w:sz="0" w:space="0" w:color="auto"/>
        <w:right w:val="none" w:sz="0" w:space="0" w:color="auto"/>
      </w:divBdr>
    </w:div>
    <w:div w:id="140005148">
      <w:bodyDiv w:val="1"/>
      <w:marLeft w:val="0"/>
      <w:marRight w:val="0"/>
      <w:marTop w:val="0"/>
      <w:marBottom w:val="0"/>
      <w:divBdr>
        <w:top w:val="none" w:sz="0" w:space="0" w:color="auto"/>
        <w:left w:val="none" w:sz="0" w:space="0" w:color="auto"/>
        <w:bottom w:val="none" w:sz="0" w:space="0" w:color="auto"/>
        <w:right w:val="none" w:sz="0" w:space="0" w:color="auto"/>
      </w:divBdr>
    </w:div>
    <w:div w:id="140005755">
      <w:bodyDiv w:val="1"/>
      <w:marLeft w:val="0"/>
      <w:marRight w:val="0"/>
      <w:marTop w:val="0"/>
      <w:marBottom w:val="0"/>
      <w:divBdr>
        <w:top w:val="none" w:sz="0" w:space="0" w:color="auto"/>
        <w:left w:val="none" w:sz="0" w:space="0" w:color="auto"/>
        <w:bottom w:val="none" w:sz="0" w:space="0" w:color="auto"/>
        <w:right w:val="none" w:sz="0" w:space="0" w:color="auto"/>
      </w:divBdr>
    </w:div>
    <w:div w:id="140079480">
      <w:bodyDiv w:val="1"/>
      <w:marLeft w:val="0"/>
      <w:marRight w:val="0"/>
      <w:marTop w:val="0"/>
      <w:marBottom w:val="0"/>
      <w:divBdr>
        <w:top w:val="none" w:sz="0" w:space="0" w:color="auto"/>
        <w:left w:val="none" w:sz="0" w:space="0" w:color="auto"/>
        <w:bottom w:val="none" w:sz="0" w:space="0" w:color="auto"/>
        <w:right w:val="none" w:sz="0" w:space="0" w:color="auto"/>
      </w:divBdr>
    </w:div>
    <w:div w:id="140121358">
      <w:bodyDiv w:val="1"/>
      <w:marLeft w:val="0"/>
      <w:marRight w:val="0"/>
      <w:marTop w:val="0"/>
      <w:marBottom w:val="0"/>
      <w:divBdr>
        <w:top w:val="none" w:sz="0" w:space="0" w:color="auto"/>
        <w:left w:val="none" w:sz="0" w:space="0" w:color="auto"/>
        <w:bottom w:val="none" w:sz="0" w:space="0" w:color="auto"/>
        <w:right w:val="none" w:sz="0" w:space="0" w:color="auto"/>
      </w:divBdr>
    </w:div>
    <w:div w:id="140268920">
      <w:bodyDiv w:val="1"/>
      <w:marLeft w:val="0"/>
      <w:marRight w:val="0"/>
      <w:marTop w:val="0"/>
      <w:marBottom w:val="0"/>
      <w:divBdr>
        <w:top w:val="none" w:sz="0" w:space="0" w:color="auto"/>
        <w:left w:val="none" w:sz="0" w:space="0" w:color="auto"/>
        <w:bottom w:val="none" w:sz="0" w:space="0" w:color="auto"/>
        <w:right w:val="none" w:sz="0" w:space="0" w:color="auto"/>
      </w:divBdr>
    </w:div>
    <w:div w:id="140270170">
      <w:bodyDiv w:val="1"/>
      <w:marLeft w:val="0"/>
      <w:marRight w:val="0"/>
      <w:marTop w:val="0"/>
      <w:marBottom w:val="0"/>
      <w:divBdr>
        <w:top w:val="none" w:sz="0" w:space="0" w:color="auto"/>
        <w:left w:val="none" w:sz="0" w:space="0" w:color="auto"/>
        <w:bottom w:val="none" w:sz="0" w:space="0" w:color="auto"/>
        <w:right w:val="none" w:sz="0" w:space="0" w:color="auto"/>
      </w:divBdr>
    </w:div>
    <w:div w:id="140273721">
      <w:bodyDiv w:val="1"/>
      <w:marLeft w:val="0"/>
      <w:marRight w:val="0"/>
      <w:marTop w:val="0"/>
      <w:marBottom w:val="0"/>
      <w:divBdr>
        <w:top w:val="none" w:sz="0" w:space="0" w:color="auto"/>
        <w:left w:val="none" w:sz="0" w:space="0" w:color="auto"/>
        <w:bottom w:val="none" w:sz="0" w:space="0" w:color="auto"/>
        <w:right w:val="none" w:sz="0" w:space="0" w:color="auto"/>
      </w:divBdr>
    </w:div>
    <w:div w:id="140274633">
      <w:bodyDiv w:val="1"/>
      <w:marLeft w:val="0"/>
      <w:marRight w:val="0"/>
      <w:marTop w:val="0"/>
      <w:marBottom w:val="0"/>
      <w:divBdr>
        <w:top w:val="none" w:sz="0" w:space="0" w:color="auto"/>
        <w:left w:val="none" w:sz="0" w:space="0" w:color="auto"/>
        <w:bottom w:val="none" w:sz="0" w:space="0" w:color="auto"/>
        <w:right w:val="none" w:sz="0" w:space="0" w:color="auto"/>
      </w:divBdr>
    </w:div>
    <w:div w:id="140313307">
      <w:bodyDiv w:val="1"/>
      <w:marLeft w:val="0"/>
      <w:marRight w:val="0"/>
      <w:marTop w:val="0"/>
      <w:marBottom w:val="0"/>
      <w:divBdr>
        <w:top w:val="none" w:sz="0" w:space="0" w:color="auto"/>
        <w:left w:val="none" w:sz="0" w:space="0" w:color="auto"/>
        <w:bottom w:val="none" w:sz="0" w:space="0" w:color="auto"/>
        <w:right w:val="none" w:sz="0" w:space="0" w:color="auto"/>
      </w:divBdr>
    </w:div>
    <w:div w:id="140318952">
      <w:bodyDiv w:val="1"/>
      <w:marLeft w:val="0"/>
      <w:marRight w:val="0"/>
      <w:marTop w:val="0"/>
      <w:marBottom w:val="0"/>
      <w:divBdr>
        <w:top w:val="none" w:sz="0" w:space="0" w:color="auto"/>
        <w:left w:val="none" w:sz="0" w:space="0" w:color="auto"/>
        <w:bottom w:val="none" w:sz="0" w:space="0" w:color="auto"/>
        <w:right w:val="none" w:sz="0" w:space="0" w:color="auto"/>
      </w:divBdr>
    </w:div>
    <w:div w:id="140464316">
      <w:bodyDiv w:val="1"/>
      <w:marLeft w:val="0"/>
      <w:marRight w:val="0"/>
      <w:marTop w:val="0"/>
      <w:marBottom w:val="0"/>
      <w:divBdr>
        <w:top w:val="none" w:sz="0" w:space="0" w:color="auto"/>
        <w:left w:val="none" w:sz="0" w:space="0" w:color="auto"/>
        <w:bottom w:val="none" w:sz="0" w:space="0" w:color="auto"/>
        <w:right w:val="none" w:sz="0" w:space="0" w:color="auto"/>
      </w:divBdr>
    </w:div>
    <w:div w:id="140536976">
      <w:bodyDiv w:val="1"/>
      <w:marLeft w:val="0"/>
      <w:marRight w:val="0"/>
      <w:marTop w:val="0"/>
      <w:marBottom w:val="0"/>
      <w:divBdr>
        <w:top w:val="none" w:sz="0" w:space="0" w:color="auto"/>
        <w:left w:val="none" w:sz="0" w:space="0" w:color="auto"/>
        <w:bottom w:val="none" w:sz="0" w:space="0" w:color="auto"/>
        <w:right w:val="none" w:sz="0" w:space="0" w:color="auto"/>
      </w:divBdr>
    </w:div>
    <w:div w:id="140582284">
      <w:bodyDiv w:val="1"/>
      <w:marLeft w:val="0"/>
      <w:marRight w:val="0"/>
      <w:marTop w:val="0"/>
      <w:marBottom w:val="0"/>
      <w:divBdr>
        <w:top w:val="none" w:sz="0" w:space="0" w:color="auto"/>
        <w:left w:val="none" w:sz="0" w:space="0" w:color="auto"/>
        <w:bottom w:val="none" w:sz="0" w:space="0" w:color="auto"/>
        <w:right w:val="none" w:sz="0" w:space="0" w:color="auto"/>
      </w:divBdr>
    </w:div>
    <w:div w:id="140584280">
      <w:bodyDiv w:val="1"/>
      <w:marLeft w:val="0"/>
      <w:marRight w:val="0"/>
      <w:marTop w:val="0"/>
      <w:marBottom w:val="0"/>
      <w:divBdr>
        <w:top w:val="none" w:sz="0" w:space="0" w:color="auto"/>
        <w:left w:val="none" w:sz="0" w:space="0" w:color="auto"/>
        <w:bottom w:val="none" w:sz="0" w:space="0" w:color="auto"/>
        <w:right w:val="none" w:sz="0" w:space="0" w:color="auto"/>
      </w:divBdr>
    </w:div>
    <w:div w:id="140658392">
      <w:bodyDiv w:val="1"/>
      <w:marLeft w:val="0"/>
      <w:marRight w:val="0"/>
      <w:marTop w:val="0"/>
      <w:marBottom w:val="0"/>
      <w:divBdr>
        <w:top w:val="none" w:sz="0" w:space="0" w:color="auto"/>
        <w:left w:val="none" w:sz="0" w:space="0" w:color="auto"/>
        <w:bottom w:val="none" w:sz="0" w:space="0" w:color="auto"/>
        <w:right w:val="none" w:sz="0" w:space="0" w:color="auto"/>
      </w:divBdr>
    </w:div>
    <w:div w:id="140737299">
      <w:bodyDiv w:val="1"/>
      <w:marLeft w:val="0"/>
      <w:marRight w:val="0"/>
      <w:marTop w:val="0"/>
      <w:marBottom w:val="0"/>
      <w:divBdr>
        <w:top w:val="none" w:sz="0" w:space="0" w:color="auto"/>
        <w:left w:val="none" w:sz="0" w:space="0" w:color="auto"/>
        <w:bottom w:val="none" w:sz="0" w:space="0" w:color="auto"/>
        <w:right w:val="none" w:sz="0" w:space="0" w:color="auto"/>
      </w:divBdr>
    </w:div>
    <w:div w:id="140849274">
      <w:bodyDiv w:val="1"/>
      <w:marLeft w:val="0"/>
      <w:marRight w:val="0"/>
      <w:marTop w:val="0"/>
      <w:marBottom w:val="0"/>
      <w:divBdr>
        <w:top w:val="none" w:sz="0" w:space="0" w:color="auto"/>
        <w:left w:val="none" w:sz="0" w:space="0" w:color="auto"/>
        <w:bottom w:val="none" w:sz="0" w:space="0" w:color="auto"/>
        <w:right w:val="none" w:sz="0" w:space="0" w:color="auto"/>
      </w:divBdr>
    </w:div>
    <w:div w:id="141047560">
      <w:bodyDiv w:val="1"/>
      <w:marLeft w:val="0"/>
      <w:marRight w:val="0"/>
      <w:marTop w:val="0"/>
      <w:marBottom w:val="0"/>
      <w:divBdr>
        <w:top w:val="none" w:sz="0" w:space="0" w:color="auto"/>
        <w:left w:val="none" w:sz="0" w:space="0" w:color="auto"/>
        <w:bottom w:val="none" w:sz="0" w:space="0" w:color="auto"/>
        <w:right w:val="none" w:sz="0" w:space="0" w:color="auto"/>
      </w:divBdr>
    </w:div>
    <w:div w:id="141120132">
      <w:bodyDiv w:val="1"/>
      <w:marLeft w:val="0"/>
      <w:marRight w:val="0"/>
      <w:marTop w:val="0"/>
      <w:marBottom w:val="0"/>
      <w:divBdr>
        <w:top w:val="none" w:sz="0" w:space="0" w:color="auto"/>
        <w:left w:val="none" w:sz="0" w:space="0" w:color="auto"/>
        <w:bottom w:val="none" w:sz="0" w:space="0" w:color="auto"/>
        <w:right w:val="none" w:sz="0" w:space="0" w:color="auto"/>
      </w:divBdr>
    </w:div>
    <w:div w:id="141124105">
      <w:bodyDiv w:val="1"/>
      <w:marLeft w:val="0"/>
      <w:marRight w:val="0"/>
      <w:marTop w:val="0"/>
      <w:marBottom w:val="0"/>
      <w:divBdr>
        <w:top w:val="none" w:sz="0" w:space="0" w:color="auto"/>
        <w:left w:val="none" w:sz="0" w:space="0" w:color="auto"/>
        <w:bottom w:val="none" w:sz="0" w:space="0" w:color="auto"/>
        <w:right w:val="none" w:sz="0" w:space="0" w:color="auto"/>
      </w:divBdr>
    </w:div>
    <w:div w:id="141124750">
      <w:bodyDiv w:val="1"/>
      <w:marLeft w:val="0"/>
      <w:marRight w:val="0"/>
      <w:marTop w:val="0"/>
      <w:marBottom w:val="0"/>
      <w:divBdr>
        <w:top w:val="none" w:sz="0" w:space="0" w:color="auto"/>
        <w:left w:val="none" w:sz="0" w:space="0" w:color="auto"/>
        <w:bottom w:val="none" w:sz="0" w:space="0" w:color="auto"/>
        <w:right w:val="none" w:sz="0" w:space="0" w:color="auto"/>
      </w:divBdr>
    </w:div>
    <w:div w:id="141124976">
      <w:bodyDiv w:val="1"/>
      <w:marLeft w:val="0"/>
      <w:marRight w:val="0"/>
      <w:marTop w:val="0"/>
      <w:marBottom w:val="0"/>
      <w:divBdr>
        <w:top w:val="none" w:sz="0" w:space="0" w:color="auto"/>
        <w:left w:val="none" w:sz="0" w:space="0" w:color="auto"/>
        <w:bottom w:val="none" w:sz="0" w:space="0" w:color="auto"/>
        <w:right w:val="none" w:sz="0" w:space="0" w:color="auto"/>
      </w:divBdr>
    </w:div>
    <w:div w:id="141238939">
      <w:bodyDiv w:val="1"/>
      <w:marLeft w:val="0"/>
      <w:marRight w:val="0"/>
      <w:marTop w:val="0"/>
      <w:marBottom w:val="0"/>
      <w:divBdr>
        <w:top w:val="none" w:sz="0" w:space="0" w:color="auto"/>
        <w:left w:val="none" w:sz="0" w:space="0" w:color="auto"/>
        <w:bottom w:val="none" w:sz="0" w:space="0" w:color="auto"/>
        <w:right w:val="none" w:sz="0" w:space="0" w:color="auto"/>
      </w:divBdr>
    </w:div>
    <w:div w:id="141243366">
      <w:bodyDiv w:val="1"/>
      <w:marLeft w:val="0"/>
      <w:marRight w:val="0"/>
      <w:marTop w:val="0"/>
      <w:marBottom w:val="0"/>
      <w:divBdr>
        <w:top w:val="none" w:sz="0" w:space="0" w:color="auto"/>
        <w:left w:val="none" w:sz="0" w:space="0" w:color="auto"/>
        <w:bottom w:val="none" w:sz="0" w:space="0" w:color="auto"/>
        <w:right w:val="none" w:sz="0" w:space="0" w:color="auto"/>
      </w:divBdr>
    </w:div>
    <w:div w:id="141312107">
      <w:bodyDiv w:val="1"/>
      <w:marLeft w:val="0"/>
      <w:marRight w:val="0"/>
      <w:marTop w:val="0"/>
      <w:marBottom w:val="0"/>
      <w:divBdr>
        <w:top w:val="none" w:sz="0" w:space="0" w:color="auto"/>
        <w:left w:val="none" w:sz="0" w:space="0" w:color="auto"/>
        <w:bottom w:val="none" w:sz="0" w:space="0" w:color="auto"/>
        <w:right w:val="none" w:sz="0" w:space="0" w:color="auto"/>
      </w:divBdr>
    </w:div>
    <w:div w:id="141392053">
      <w:bodyDiv w:val="1"/>
      <w:marLeft w:val="0"/>
      <w:marRight w:val="0"/>
      <w:marTop w:val="0"/>
      <w:marBottom w:val="0"/>
      <w:divBdr>
        <w:top w:val="none" w:sz="0" w:space="0" w:color="auto"/>
        <w:left w:val="none" w:sz="0" w:space="0" w:color="auto"/>
        <w:bottom w:val="none" w:sz="0" w:space="0" w:color="auto"/>
        <w:right w:val="none" w:sz="0" w:space="0" w:color="auto"/>
      </w:divBdr>
    </w:div>
    <w:div w:id="141432210">
      <w:bodyDiv w:val="1"/>
      <w:marLeft w:val="0"/>
      <w:marRight w:val="0"/>
      <w:marTop w:val="0"/>
      <w:marBottom w:val="0"/>
      <w:divBdr>
        <w:top w:val="none" w:sz="0" w:space="0" w:color="auto"/>
        <w:left w:val="none" w:sz="0" w:space="0" w:color="auto"/>
        <w:bottom w:val="none" w:sz="0" w:space="0" w:color="auto"/>
        <w:right w:val="none" w:sz="0" w:space="0" w:color="auto"/>
      </w:divBdr>
    </w:div>
    <w:div w:id="141505514">
      <w:bodyDiv w:val="1"/>
      <w:marLeft w:val="0"/>
      <w:marRight w:val="0"/>
      <w:marTop w:val="0"/>
      <w:marBottom w:val="0"/>
      <w:divBdr>
        <w:top w:val="none" w:sz="0" w:space="0" w:color="auto"/>
        <w:left w:val="none" w:sz="0" w:space="0" w:color="auto"/>
        <w:bottom w:val="none" w:sz="0" w:space="0" w:color="auto"/>
        <w:right w:val="none" w:sz="0" w:space="0" w:color="auto"/>
      </w:divBdr>
    </w:div>
    <w:div w:id="141578979">
      <w:bodyDiv w:val="1"/>
      <w:marLeft w:val="0"/>
      <w:marRight w:val="0"/>
      <w:marTop w:val="0"/>
      <w:marBottom w:val="0"/>
      <w:divBdr>
        <w:top w:val="none" w:sz="0" w:space="0" w:color="auto"/>
        <w:left w:val="none" w:sz="0" w:space="0" w:color="auto"/>
        <w:bottom w:val="none" w:sz="0" w:space="0" w:color="auto"/>
        <w:right w:val="none" w:sz="0" w:space="0" w:color="auto"/>
      </w:divBdr>
    </w:div>
    <w:div w:id="141626362">
      <w:bodyDiv w:val="1"/>
      <w:marLeft w:val="0"/>
      <w:marRight w:val="0"/>
      <w:marTop w:val="0"/>
      <w:marBottom w:val="0"/>
      <w:divBdr>
        <w:top w:val="none" w:sz="0" w:space="0" w:color="auto"/>
        <w:left w:val="none" w:sz="0" w:space="0" w:color="auto"/>
        <w:bottom w:val="none" w:sz="0" w:space="0" w:color="auto"/>
        <w:right w:val="none" w:sz="0" w:space="0" w:color="auto"/>
      </w:divBdr>
    </w:div>
    <w:div w:id="141628636">
      <w:bodyDiv w:val="1"/>
      <w:marLeft w:val="0"/>
      <w:marRight w:val="0"/>
      <w:marTop w:val="0"/>
      <w:marBottom w:val="0"/>
      <w:divBdr>
        <w:top w:val="none" w:sz="0" w:space="0" w:color="auto"/>
        <w:left w:val="none" w:sz="0" w:space="0" w:color="auto"/>
        <w:bottom w:val="none" w:sz="0" w:space="0" w:color="auto"/>
        <w:right w:val="none" w:sz="0" w:space="0" w:color="auto"/>
      </w:divBdr>
    </w:div>
    <w:div w:id="141699529">
      <w:bodyDiv w:val="1"/>
      <w:marLeft w:val="0"/>
      <w:marRight w:val="0"/>
      <w:marTop w:val="0"/>
      <w:marBottom w:val="0"/>
      <w:divBdr>
        <w:top w:val="none" w:sz="0" w:space="0" w:color="auto"/>
        <w:left w:val="none" w:sz="0" w:space="0" w:color="auto"/>
        <w:bottom w:val="none" w:sz="0" w:space="0" w:color="auto"/>
        <w:right w:val="none" w:sz="0" w:space="0" w:color="auto"/>
      </w:divBdr>
    </w:div>
    <w:div w:id="141703762">
      <w:bodyDiv w:val="1"/>
      <w:marLeft w:val="0"/>
      <w:marRight w:val="0"/>
      <w:marTop w:val="0"/>
      <w:marBottom w:val="0"/>
      <w:divBdr>
        <w:top w:val="none" w:sz="0" w:space="0" w:color="auto"/>
        <w:left w:val="none" w:sz="0" w:space="0" w:color="auto"/>
        <w:bottom w:val="none" w:sz="0" w:space="0" w:color="auto"/>
        <w:right w:val="none" w:sz="0" w:space="0" w:color="auto"/>
      </w:divBdr>
    </w:div>
    <w:div w:id="141897065">
      <w:bodyDiv w:val="1"/>
      <w:marLeft w:val="0"/>
      <w:marRight w:val="0"/>
      <w:marTop w:val="0"/>
      <w:marBottom w:val="0"/>
      <w:divBdr>
        <w:top w:val="none" w:sz="0" w:space="0" w:color="auto"/>
        <w:left w:val="none" w:sz="0" w:space="0" w:color="auto"/>
        <w:bottom w:val="none" w:sz="0" w:space="0" w:color="auto"/>
        <w:right w:val="none" w:sz="0" w:space="0" w:color="auto"/>
      </w:divBdr>
    </w:div>
    <w:div w:id="141897739">
      <w:bodyDiv w:val="1"/>
      <w:marLeft w:val="0"/>
      <w:marRight w:val="0"/>
      <w:marTop w:val="0"/>
      <w:marBottom w:val="0"/>
      <w:divBdr>
        <w:top w:val="none" w:sz="0" w:space="0" w:color="auto"/>
        <w:left w:val="none" w:sz="0" w:space="0" w:color="auto"/>
        <w:bottom w:val="none" w:sz="0" w:space="0" w:color="auto"/>
        <w:right w:val="none" w:sz="0" w:space="0" w:color="auto"/>
      </w:divBdr>
    </w:div>
    <w:div w:id="141969029">
      <w:bodyDiv w:val="1"/>
      <w:marLeft w:val="0"/>
      <w:marRight w:val="0"/>
      <w:marTop w:val="0"/>
      <w:marBottom w:val="0"/>
      <w:divBdr>
        <w:top w:val="none" w:sz="0" w:space="0" w:color="auto"/>
        <w:left w:val="none" w:sz="0" w:space="0" w:color="auto"/>
        <w:bottom w:val="none" w:sz="0" w:space="0" w:color="auto"/>
        <w:right w:val="none" w:sz="0" w:space="0" w:color="auto"/>
      </w:divBdr>
    </w:div>
    <w:div w:id="142040268">
      <w:bodyDiv w:val="1"/>
      <w:marLeft w:val="0"/>
      <w:marRight w:val="0"/>
      <w:marTop w:val="0"/>
      <w:marBottom w:val="0"/>
      <w:divBdr>
        <w:top w:val="none" w:sz="0" w:space="0" w:color="auto"/>
        <w:left w:val="none" w:sz="0" w:space="0" w:color="auto"/>
        <w:bottom w:val="none" w:sz="0" w:space="0" w:color="auto"/>
        <w:right w:val="none" w:sz="0" w:space="0" w:color="auto"/>
      </w:divBdr>
    </w:div>
    <w:div w:id="142040966">
      <w:bodyDiv w:val="1"/>
      <w:marLeft w:val="0"/>
      <w:marRight w:val="0"/>
      <w:marTop w:val="0"/>
      <w:marBottom w:val="0"/>
      <w:divBdr>
        <w:top w:val="none" w:sz="0" w:space="0" w:color="auto"/>
        <w:left w:val="none" w:sz="0" w:space="0" w:color="auto"/>
        <w:bottom w:val="none" w:sz="0" w:space="0" w:color="auto"/>
        <w:right w:val="none" w:sz="0" w:space="0" w:color="auto"/>
      </w:divBdr>
    </w:div>
    <w:div w:id="142044483">
      <w:bodyDiv w:val="1"/>
      <w:marLeft w:val="0"/>
      <w:marRight w:val="0"/>
      <w:marTop w:val="0"/>
      <w:marBottom w:val="0"/>
      <w:divBdr>
        <w:top w:val="none" w:sz="0" w:space="0" w:color="auto"/>
        <w:left w:val="none" w:sz="0" w:space="0" w:color="auto"/>
        <w:bottom w:val="none" w:sz="0" w:space="0" w:color="auto"/>
        <w:right w:val="none" w:sz="0" w:space="0" w:color="auto"/>
      </w:divBdr>
    </w:div>
    <w:div w:id="142161508">
      <w:bodyDiv w:val="1"/>
      <w:marLeft w:val="0"/>
      <w:marRight w:val="0"/>
      <w:marTop w:val="0"/>
      <w:marBottom w:val="0"/>
      <w:divBdr>
        <w:top w:val="none" w:sz="0" w:space="0" w:color="auto"/>
        <w:left w:val="none" w:sz="0" w:space="0" w:color="auto"/>
        <w:bottom w:val="none" w:sz="0" w:space="0" w:color="auto"/>
        <w:right w:val="none" w:sz="0" w:space="0" w:color="auto"/>
      </w:divBdr>
    </w:div>
    <w:div w:id="142163573">
      <w:bodyDiv w:val="1"/>
      <w:marLeft w:val="0"/>
      <w:marRight w:val="0"/>
      <w:marTop w:val="0"/>
      <w:marBottom w:val="0"/>
      <w:divBdr>
        <w:top w:val="none" w:sz="0" w:space="0" w:color="auto"/>
        <w:left w:val="none" w:sz="0" w:space="0" w:color="auto"/>
        <w:bottom w:val="none" w:sz="0" w:space="0" w:color="auto"/>
        <w:right w:val="none" w:sz="0" w:space="0" w:color="auto"/>
      </w:divBdr>
    </w:div>
    <w:div w:id="142164358">
      <w:bodyDiv w:val="1"/>
      <w:marLeft w:val="0"/>
      <w:marRight w:val="0"/>
      <w:marTop w:val="0"/>
      <w:marBottom w:val="0"/>
      <w:divBdr>
        <w:top w:val="none" w:sz="0" w:space="0" w:color="auto"/>
        <w:left w:val="none" w:sz="0" w:space="0" w:color="auto"/>
        <w:bottom w:val="none" w:sz="0" w:space="0" w:color="auto"/>
        <w:right w:val="none" w:sz="0" w:space="0" w:color="auto"/>
      </w:divBdr>
    </w:div>
    <w:div w:id="142233322">
      <w:bodyDiv w:val="1"/>
      <w:marLeft w:val="0"/>
      <w:marRight w:val="0"/>
      <w:marTop w:val="0"/>
      <w:marBottom w:val="0"/>
      <w:divBdr>
        <w:top w:val="none" w:sz="0" w:space="0" w:color="auto"/>
        <w:left w:val="none" w:sz="0" w:space="0" w:color="auto"/>
        <w:bottom w:val="none" w:sz="0" w:space="0" w:color="auto"/>
        <w:right w:val="none" w:sz="0" w:space="0" w:color="auto"/>
      </w:divBdr>
    </w:div>
    <w:div w:id="142236306">
      <w:bodyDiv w:val="1"/>
      <w:marLeft w:val="0"/>
      <w:marRight w:val="0"/>
      <w:marTop w:val="0"/>
      <w:marBottom w:val="0"/>
      <w:divBdr>
        <w:top w:val="none" w:sz="0" w:space="0" w:color="auto"/>
        <w:left w:val="none" w:sz="0" w:space="0" w:color="auto"/>
        <w:bottom w:val="none" w:sz="0" w:space="0" w:color="auto"/>
        <w:right w:val="none" w:sz="0" w:space="0" w:color="auto"/>
      </w:divBdr>
    </w:div>
    <w:div w:id="142241606">
      <w:bodyDiv w:val="1"/>
      <w:marLeft w:val="0"/>
      <w:marRight w:val="0"/>
      <w:marTop w:val="0"/>
      <w:marBottom w:val="0"/>
      <w:divBdr>
        <w:top w:val="none" w:sz="0" w:space="0" w:color="auto"/>
        <w:left w:val="none" w:sz="0" w:space="0" w:color="auto"/>
        <w:bottom w:val="none" w:sz="0" w:space="0" w:color="auto"/>
        <w:right w:val="none" w:sz="0" w:space="0" w:color="auto"/>
      </w:divBdr>
    </w:div>
    <w:div w:id="142355795">
      <w:bodyDiv w:val="1"/>
      <w:marLeft w:val="0"/>
      <w:marRight w:val="0"/>
      <w:marTop w:val="0"/>
      <w:marBottom w:val="0"/>
      <w:divBdr>
        <w:top w:val="none" w:sz="0" w:space="0" w:color="auto"/>
        <w:left w:val="none" w:sz="0" w:space="0" w:color="auto"/>
        <w:bottom w:val="none" w:sz="0" w:space="0" w:color="auto"/>
        <w:right w:val="none" w:sz="0" w:space="0" w:color="auto"/>
      </w:divBdr>
    </w:div>
    <w:div w:id="142435561">
      <w:bodyDiv w:val="1"/>
      <w:marLeft w:val="0"/>
      <w:marRight w:val="0"/>
      <w:marTop w:val="0"/>
      <w:marBottom w:val="0"/>
      <w:divBdr>
        <w:top w:val="none" w:sz="0" w:space="0" w:color="auto"/>
        <w:left w:val="none" w:sz="0" w:space="0" w:color="auto"/>
        <w:bottom w:val="none" w:sz="0" w:space="0" w:color="auto"/>
        <w:right w:val="none" w:sz="0" w:space="0" w:color="auto"/>
      </w:divBdr>
    </w:div>
    <w:div w:id="142551405">
      <w:bodyDiv w:val="1"/>
      <w:marLeft w:val="0"/>
      <w:marRight w:val="0"/>
      <w:marTop w:val="0"/>
      <w:marBottom w:val="0"/>
      <w:divBdr>
        <w:top w:val="none" w:sz="0" w:space="0" w:color="auto"/>
        <w:left w:val="none" w:sz="0" w:space="0" w:color="auto"/>
        <w:bottom w:val="none" w:sz="0" w:space="0" w:color="auto"/>
        <w:right w:val="none" w:sz="0" w:space="0" w:color="auto"/>
      </w:divBdr>
    </w:div>
    <w:div w:id="142551789">
      <w:bodyDiv w:val="1"/>
      <w:marLeft w:val="0"/>
      <w:marRight w:val="0"/>
      <w:marTop w:val="0"/>
      <w:marBottom w:val="0"/>
      <w:divBdr>
        <w:top w:val="none" w:sz="0" w:space="0" w:color="auto"/>
        <w:left w:val="none" w:sz="0" w:space="0" w:color="auto"/>
        <w:bottom w:val="none" w:sz="0" w:space="0" w:color="auto"/>
        <w:right w:val="none" w:sz="0" w:space="0" w:color="auto"/>
      </w:divBdr>
    </w:div>
    <w:div w:id="142697579">
      <w:bodyDiv w:val="1"/>
      <w:marLeft w:val="0"/>
      <w:marRight w:val="0"/>
      <w:marTop w:val="0"/>
      <w:marBottom w:val="0"/>
      <w:divBdr>
        <w:top w:val="none" w:sz="0" w:space="0" w:color="auto"/>
        <w:left w:val="none" w:sz="0" w:space="0" w:color="auto"/>
        <w:bottom w:val="none" w:sz="0" w:space="0" w:color="auto"/>
        <w:right w:val="none" w:sz="0" w:space="0" w:color="auto"/>
      </w:divBdr>
    </w:div>
    <w:div w:id="142704287">
      <w:bodyDiv w:val="1"/>
      <w:marLeft w:val="0"/>
      <w:marRight w:val="0"/>
      <w:marTop w:val="0"/>
      <w:marBottom w:val="0"/>
      <w:divBdr>
        <w:top w:val="none" w:sz="0" w:space="0" w:color="auto"/>
        <w:left w:val="none" w:sz="0" w:space="0" w:color="auto"/>
        <w:bottom w:val="none" w:sz="0" w:space="0" w:color="auto"/>
        <w:right w:val="none" w:sz="0" w:space="0" w:color="auto"/>
      </w:divBdr>
    </w:div>
    <w:div w:id="143012512">
      <w:bodyDiv w:val="1"/>
      <w:marLeft w:val="0"/>
      <w:marRight w:val="0"/>
      <w:marTop w:val="0"/>
      <w:marBottom w:val="0"/>
      <w:divBdr>
        <w:top w:val="none" w:sz="0" w:space="0" w:color="auto"/>
        <w:left w:val="none" w:sz="0" w:space="0" w:color="auto"/>
        <w:bottom w:val="none" w:sz="0" w:space="0" w:color="auto"/>
        <w:right w:val="none" w:sz="0" w:space="0" w:color="auto"/>
      </w:divBdr>
    </w:div>
    <w:div w:id="143161401">
      <w:bodyDiv w:val="1"/>
      <w:marLeft w:val="0"/>
      <w:marRight w:val="0"/>
      <w:marTop w:val="0"/>
      <w:marBottom w:val="0"/>
      <w:divBdr>
        <w:top w:val="none" w:sz="0" w:space="0" w:color="auto"/>
        <w:left w:val="none" w:sz="0" w:space="0" w:color="auto"/>
        <w:bottom w:val="none" w:sz="0" w:space="0" w:color="auto"/>
        <w:right w:val="none" w:sz="0" w:space="0" w:color="auto"/>
      </w:divBdr>
    </w:div>
    <w:div w:id="143162386">
      <w:bodyDiv w:val="1"/>
      <w:marLeft w:val="0"/>
      <w:marRight w:val="0"/>
      <w:marTop w:val="0"/>
      <w:marBottom w:val="0"/>
      <w:divBdr>
        <w:top w:val="none" w:sz="0" w:space="0" w:color="auto"/>
        <w:left w:val="none" w:sz="0" w:space="0" w:color="auto"/>
        <w:bottom w:val="none" w:sz="0" w:space="0" w:color="auto"/>
        <w:right w:val="none" w:sz="0" w:space="0" w:color="auto"/>
      </w:divBdr>
    </w:div>
    <w:div w:id="143206558">
      <w:bodyDiv w:val="1"/>
      <w:marLeft w:val="0"/>
      <w:marRight w:val="0"/>
      <w:marTop w:val="0"/>
      <w:marBottom w:val="0"/>
      <w:divBdr>
        <w:top w:val="none" w:sz="0" w:space="0" w:color="auto"/>
        <w:left w:val="none" w:sz="0" w:space="0" w:color="auto"/>
        <w:bottom w:val="none" w:sz="0" w:space="0" w:color="auto"/>
        <w:right w:val="none" w:sz="0" w:space="0" w:color="auto"/>
      </w:divBdr>
    </w:div>
    <w:div w:id="143206897">
      <w:bodyDiv w:val="1"/>
      <w:marLeft w:val="0"/>
      <w:marRight w:val="0"/>
      <w:marTop w:val="0"/>
      <w:marBottom w:val="0"/>
      <w:divBdr>
        <w:top w:val="none" w:sz="0" w:space="0" w:color="auto"/>
        <w:left w:val="none" w:sz="0" w:space="0" w:color="auto"/>
        <w:bottom w:val="none" w:sz="0" w:space="0" w:color="auto"/>
        <w:right w:val="none" w:sz="0" w:space="0" w:color="auto"/>
      </w:divBdr>
    </w:div>
    <w:div w:id="143276471">
      <w:bodyDiv w:val="1"/>
      <w:marLeft w:val="0"/>
      <w:marRight w:val="0"/>
      <w:marTop w:val="0"/>
      <w:marBottom w:val="0"/>
      <w:divBdr>
        <w:top w:val="none" w:sz="0" w:space="0" w:color="auto"/>
        <w:left w:val="none" w:sz="0" w:space="0" w:color="auto"/>
        <w:bottom w:val="none" w:sz="0" w:space="0" w:color="auto"/>
        <w:right w:val="none" w:sz="0" w:space="0" w:color="auto"/>
      </w:divBdr>
    </w:div>
    <w:div w:id="143283364">
      <w:bodyDiv w:val="1"/>
      <w:marLeft w:val="0"/>
      <w:marRight w:val="0"/>
      <w:marTop w:val="0"/>
      <w:marBottom w:val="0"/>
      <w:divBdr>
        <w:top w:val="none" w:sz="0" w:space="0" w:color="auto"/>
        <w:left w:val="none" w:sz="0" w:space="0" w:color="auto"/>
        <w:bottom w:val="none" w:sz="0" w:space="0" w:color="auto"/>
        <w:right w:val="none" w:sz="0" w:space="0" w:color="auto"/>
      </w:divBdr>
    </w:div>
    <w:div w:id="143356346">
      <w:bodyDiv w:val="1"/>
      <w:marLeft w:val="0"/>
      <w:marRight w:val="0"/>
      <w:marTop w:val="0"/>
      <w:marBottom w:val="0"/>
      <w:divBdr>
        <w:top w:val="none" w:sz="0" w:space="0" w:color="auto"/>
        <w:left w:val="none" w:sz="0" w:space="0" w:color="auto"/>
        <w:bottom w:val="none" w:sz="0" w:space="0" w:color="auto"/>
        <w:right w:val="none" w:sz="0" w:space="0" w:color="auto"/>
      </w:divBdr>
    </w:div>
    <w:div w:id="143398725">
      <w:bodyDiv w:val="1"/>
      <w:marLeft w:val="0"/>
      <w:marRight w:val="0"/>
      <w:marTop w:val="0"/>
      <w:marBottom w:val="0"/>
      <w:divBdr>
        <w:top w:val="none" w:sz="0" w:space="0" w:color="auto"/>
        <w:left w:val="none" w:sz="0" w:space="0" w:color="auto"/>
        <w:bottom w:val="none" w:sz="0" w:space="0" w:color="auto"/>
        <w:right w:val="none" w:sz="0" w:space="0" w:color="auto"/>
      </w:divBdr>
    </w:div>
    <w:div w:id="143401208">
      <w:bodyDiv w:val="1"/>
      <w:marLeft w:val="0"/>
      <w:marRight w:val="0"/>
      <w:marTop w:val="0"/>
      <w:marBottom w:val="0"/>
      <w:divBdr>
        <w:top w:val="none" w:sz="0" w:space="0" w:color="auto"/>
        <w:left w:val="none" w:sz="0" w:space="0" w:color="auto"/>
        <w:bottom w:val="none" w:sz="0" w:space="0" w:color="auto"/>
        <w:right w:val="none" w:sz="0" w:space="0" w:color="auto"/>
      </w:divBdr>
    </w:div>
    <w:div w:id="143473976">
      <w:bodyDiv w:val="1"/>
      <w:marLeft w:val="0"/>
      <w:marRight w:val="0"/>
      <w:marTop w:val="0"/>
      <w:marBottom w:val="0"/>
      <w:divBdr>
        <w:top w:val="none" w:sz="0" w:space="0" w:color="auto"/>
        <w:left w:val="none" w:sz="0" w:space="0" w:color="auto"/>
        <w:bottom w:val="none" w:sz="0" w:space="0" w:color="auto"/>
        <w:right w:val="none" w:sz="0" w:space="0" w:color="auto"/>
      </w:divBdr>
    </w:div>
    <w:div w:id="143547073">
      <w:bodyDiv w:val="1"/>
      <w:marLeft w:val="0"/>
      <w:marRight w:val="0"/>
      <w:marTop w:val="0"/>
      <w:marBottom w:val="0"/>
      <w:divBdr>
        <w:top w:val="none" w:sz="0" w:space="0" w:color="auto"/>
        <w:left w:val="none" w:sz="0" w:space="0" w:color="auto"/>
        <w:bottom w:val="none" w:sz="0" w:space="0" w:color="auto"/>
        <w:right w:val="none" w:sz="0" w:space="0" w:color="auto"/>
      </w:divBdr>
    </w:div>
    <w:div w:id="143591056">
      <w:bodyDiv w:val="1"/>
      <w:marLeft w:val="0"/>
      <w:marRight w:val="0"/>
      <w:marTop w:val="0"/>
      <w:marBottom w:val="0"/>
      <w:divBdr>
        <w:top w:val="none" w:sz="0" w:space="0" w:color="auto"/>
        <w:left w:val="none" w:sz="0" w:space="0" w:color="auto"/>
        <w:bottom w:val="none" w:sz="0" w:space="0" w:color="auto"/>
        <w:right w:val="none" w:sz="0" w:space="0" w:color="auto"/>
      </w:divBdr>
    </w:div>
    <w:div w:id="143662885">
      <w:bodyDiv w:val="1"/>
      <w:marLeft w:val="0"/>
      <w:marRight w:val="0"/>
      <w:marTop w:val="0"/>
      <w:marBottom w:val="0"/>
      <w:divBdr>
        <w:top w:val="none" w:sz="0" w:space="0" w:color="auto"/>
        <w:left w:val="none" w:sz="0" w:space="0" w:color="auto"/>
        <w:bottom w:val="none" w:sz="0" w:space="0" w:color="auto"/>
        <w:right w:val="none" w:sz="0" w:space="0" w:color="auto"/>
      </w:divBdr>
    </w:div>
    <w:div w:id="143741551">
      <w:bodyDiv w:val="1"/>
      <w:marLeft w:val="0"/>
      <w:marRight w:val="0"/>
      <w:marTop w:val="0"/>
      <w:marBottom w:val="0"/>
      <w:divBdr>
        <w:top w:val="none" w:sz="0" w:space="0" w:color="auto"/>
        <w:left w:val="none" w:sz="0" w:space="0" w:color="auto"/>
        <w:bottom w:val="none" w:sz="0" w:space="0" w:color="auto"/>
        <w:right w:val="none" w:sz="0" w:space="0" w:color="auto"/>
      </w:divBdr>
    </w:div>
    <w:div w:id="143813606">
      <w:bodyDiv w:val="1"/>
      <w:marLeft w:val="0"/>
      <w:marRight w:val="0"/>
      <w:marTop w:val="0"/>
      <w:marBottom w:val="0"/>
      <w:divBdr>
        <w:top w:val="none" w:sz="0" w:space="0" w:color="auto"/>
        <w:left w:val="none" w:sz="0" w:space="0" w:color="auto"/>
        <w:bottom w:val="none" w:sz="0" w:space="0" w:color="auto"/>
        <w:right w:val="none" w:sz="0" w:space="0" w:color="auto"/>
      </w:divBdr>
    </w:div>
    <w:div w:id="143862984">
      <w:bodyDiv w:val="1"/>
      <w:marLeft w:val="0"/>
      <w:marRight w:val="0"/>
      <w:marTop w:val="0"/>
      <w:marBottom w:val="0"/>
      <w:divBdr>
        <w:top w:val="none" w:sz="0" w:space="0" w:color="auto"/>
        <w:left w:val="none" w:sz="0" w:space="0" w:color="auto"/>
        <w:bottom w:val="none" w:sz="0" w:space="0" w:color="auto"/>
        <w:right w:val="none" w:sz="0" w:space="0" w:color="auto"/>
      </w:divBdr>
    </w:div>
    <w:div w:id="143936201">
      <w:bodyDiv w:val="1"/>
      <w:marLeft w:val="0"/>
      <w:marRight w:val="0"/>
      <w:marTop w:val="0"/>
      <w:marBottom w:val="0"/>
      <w:divBdr>
        <w:top w:val="none" w:sz="0" w:space="0" w:color="auto"/>
        <w:left w:val="none" w:sz="0" w:space="0" w:color="auto"/>
        <w:bottom w:val="none" w:sz="0" w:space="0" w:color="auto"/>
        <w:right w:val="none" w:sz="0" w:space="0" w:color="auto"/>
      </w:divBdr>
    </w:div>
    <w:div w:id="144008507">
      <w:bodyDiv w:val="1"/>
      <w:marLeft w:val="0"/>
      <w:marRight w:val="0"/>
      <w:marTop w:val="0"/>
      <w:marBottom w:val="0"/>
      <w:divBdr>
        <w:top w:val="none" w:sz="0" w:space="0" w:color="auto"/>
        <w:left w:val="none" w:sz="0" w:space="0" w:color="auto"/>
        <w:bottom w:val="none" w:sz="0" w:space="0" w:color="auto"/>
        <w:right w:val="none" w:sz="0" w:space="0" w:color="auto"/>
      </w:divBdr>
    </w:div>
    <w:div w:id="144054262">
      <w:bodyDiv w:val="1"/>
      <w:marLeft w:val="0"/>
      <w:marRight w:val="0"/>
      <w:marTop w:val="0"/>
      <w:marBottom w:val="0"/>
      <w:divBdr>
        <w:top w:val="none" w:sz="0" w:space="0" w:color="auto"/>
        <w:left w:val="none" w:sz="0" w:space="0" w:color="auto"/>
        <w:bottom w:val="none" w:sz="0" w:space="0" w:color="auto"/>
        <w:right w:val="none" w:sz="0" w:space="0" w:color="auto"/>
      </w:divBdr>
    </w:div>
    <w:div w:id="144056092">
      <w:bodyDiv w:val="1"/>
      <w:marLeft w:val="0"/>
      <w:marRight w:val="0"/>
      <w:marTop w:val="0"/>
      <w:marBottom w:val="0"/>
      <w:divBdr>
        <w:top w:val="none" w:sz="0" w:space="0" w:color="auto"/>
        <w:left w:val="none" w:sz="0" w:space="0" w:color="auto"/>
        <w:bottom w:val="none" w:sz="0" w:space="0" w:color="auto"/>
        <w:right w:val="none" w:sz="0" w:space="0" w:color="auto"/>
      </w:divBdr>
    </w:div>
    <w:div w:id="144126253">
      <w:bodyDiv w:val="1"/>
      <w:marLeft w:val="0"/>
      <w:marRight w:val="0"/>
      <w:marTop w:val="0"/>
      <w:marBottom w:val="0"/>
      <w:divBdr>
        <w:top w:val="none" w:sz="0" w:space="0" w:color="auto"/>
        <w:left w:val="none" w:sz="0" w:space="0" w:color="auto"/>
        <w:bottom w:val="none" w:sz="0" w:space="0" w:color="auto"/>
        <w:right w:val="none" w:sz="0" w:space="0" w:color="auto"/>
      </w:divBdr>
    </w:div>
    <w:div w:id="144201979">
      <w:bodyDiv w:val="1"/>
      <w:marLeft w:val="0"/>
      <w:marRight w:val="0"/>
      <w:marTop w:val="0"/>
      <w:marBottom w:val="0"/>
      <w:divBdr>
        <w:top w:val="none" w:sz="0" w:space="0" w:color="auto"/>
        <w:left w:val="none" w:sz="0" w:space="0" w:color="auto"/>
        <w:bottom w:val="none" w:sz="0" w:space="0" w:color="auto"/>
        <w:right w:val="none" w:sz="0" w:space="0" w:color="auto"/>
      </w:divBdr>
    </w:div>
    <w:div w:id="144202355">
      <w:bodyDiv w:val="1"/>
      <w:marLeft w:val="0"/>
      <w:marRight w:val="0"/>
      <w:marTop w:val="0"/>
      <w:marBottom w:val="0"/>
      <w:divBdr>
        <w:top w:val="none" w:sz="0" w:space="0" w:color="auto"/>
        <w:left w:val="none" w:sz="0" w:space="0" w:color="auto"/>
        <w:bottom w:val="none" w:sz="0" w:space="0" w:color="auto"/>
        <w:right w:val="none" w:sz="0" w:space="0" w:color="auto"/>
      </w:divBdr>
    </w:div>
    <w:div w:id="144205666">
      <w:bodyDiv w:val="1"/>
      <w:marLeft w:val="0"/>
      <w:marRight w:val="0"/>
      <w:marTop w:val="0"/>
      <w:marBottom w:val="0"/>
      <w:divBdr>
        <w:top w:val="none" w:sz="0" w:space="0" w:color="auto"/>
        <w:left w:val="none" w:sz="0" w:space="0" w:color="auto"/>
        <w:bottom w:val="none" w:sz="0" w:space="0" w:color="auto"/>
        <w:right w:val="none" w:sz="0" w:space="0" w:color="auto"/>
      </w:divBdr>
    </w:div>
    <w:div w:id="144510619">
      <w:bodyDiv w:val="1"/>
      <w:marLeft w:val="0"/>
      <w:marRight w:val="0"/>
      <w:marTop w:val="0"/>
      <w:marBottom w:val="0"/>
      <w:divBdr>
        <w:top w:val="none" w:sz="0" w:space="0" w:color="auto"/>
        <w:left w:val="none" w:sz="0" w:space="0" w:color="auto"/>
        <w:bottom w:val="none" w:sz="0" w:space="0" w:color="auto"/>
        <w:right w:val="none" w:sz="0" w:space="0" w:color="auto"/>
      </w:divBdr>
    </w:div>
    <w:div w:id="144589337">
      <w:bodyDiv w:val="1"/>
      <w:marLeft w:val="0"/>
      <w:marRight w:val="0"/>
      <w:marTop w:val="0"/>
      <w:marBottom w:val="0"/>
      <w:divBdr>
        <w:top w:val="none" w:sz="0" w:space="0" w:color="auto"/>
        <w:left w:val="none" w:sz="0" w:space="0" w:color="auto"/>
        <w:bottom w:val="none" w:sz="0" w:space="0" w:color="auto"/>
        <w:right w:val="none" w:sz="0" w:space="0" w:color="auto"/>
      </w:divBdr>
    </w:div>
    <w:div w:id="144662063">
      <w:bodyDiv w:val="1"/>
      <w:marLeft w:val="0"/>
      <w:marRight w:val="0"/>
      <w:marTop w:val="0"/>
      <w:marBottom w:val="0"/>
      <w:divBdr>
        <w:top w:val="none" w:sz="0" w:space="0" w:color="auto"/>
        <w:left w:val="none" w:sz="0" w:space="0" w:color="auto"/>
        <w:bottom w:val="none" w:sz="0" w:space="0" w:color="auto"/>
        <w:right w:val="none" w:sz="0" w:space="0" w:color="auto"/>
      </w:divBdr>
    </w:div>
    <w:div w:id="144782592">
      <w:bodyDiv w:val="1"/>
      <w:marLeft w:val="0"/>
      <w:marRight w:val="0"/>
      <w:marTop w:val="0"/>
      <w:marBottom w:val="0"/>
      <w:divBdr>
        <w:top w:val="none" w:sz="0" w:space="0" w:color="auto"/>
        <w:left w:val="none" w:sz="0" w:space="0" w:color="auto"/>
        <w:bottom w:val="none" w:sz="0" w:space="0" w:color="auto"/>
        <w:right w:val="none" w:sz="0" w:space="0" w:color="auto"/>
      </w:divBdr>
    </w:div>
    <w:div w:id="144783871">
      <w:bodyDiv w:val="1"/>
      <w:marLeft w:val="0"/>
      <w:marRight w:val="0"/>
      <w:marTop w:val="0"/>
      <w:marBottom w:val="0"/>
      <w:divBdr>
        <w:top w:val="none" w:sz="0" w:space="0" w:color="auto"/>
        <w:left w:val="none" w:sz="0" w:space="0" w:color="auto"/>
        <w:bottom w:val="none" w:sz="0" w:space="0" w:color="auto"/>
        <w:right w:val="none" w:sz="0" w:space="0" w:color="auto"/>
      </w:divBdr>
    </w:div>
    <w:div w:id="144784548">
      <w:bodyDiv w:val="1"/>
      <w:marLeft w:val="0"/>
      <w:marRight w:val="0"/>
      <w:marTop w:val="0"/>
      <w:marBottom w:val="0"/>
      <w:divBdr>
        <w:top w:val="none" w:sz="0" w:space="0" w:color="auto"/>
        <w:left w:val="none" w:sz="0" w:space="0" w:color="auto"/>
        <w:bottom w:val="none" w:sz="0" w:space="0" w:color="auto"/>
        <w:right w:val="none" w:sz="0" w:space="0" w:color="auto"/>
      </w:divBdr>
    </w:div>
    <w:div w:id="144862540">
      <w:bodyDiv w:val="1"/>
      <w:marLeft w:val="0"/>
      <w:marRight w:val="0"/>
      <w:marTop w:val="0"/>
      <w:marBottom w:val="0"/>
      <w:divBdr>
        <w:top w:val="none" w:sz="0" w:space="0" w:color="auto"/>
        <w:left w:val="none" w:sz="0" w:space="0" w:color="auto"/>
        <w:bottom w:val="none" w:sz="0" w:space="0" w:color="auto"/>
        <w:right w:val="none" w:sz="0" w:space="0" w:color="auto"/>
      </w:divBdr>
    </w:div>
    <w:div w:id="144981873">
      <w:bodyDiv w:val="1"/>
      <w:marLeft w:val="0"/>
      <w:marRight w:val="0"/>
      <w:marTop w:val="0"/>
      <w:marBottom w:val="0"/>
      <w:divBdr>
        <w:top w:val="none" w:sz="0" w:space="0" w:color="auto"/>
        <w:left w:val="none" w:sz="0" w:space="0" w:color="auto"/>
        <w:bottom w:val="none" w:sz="0" w:space="0" w:color="auto"/>
        <w:right w:val="none" w:sz="0" w:space="0" w:color="auto"/>
      </w:divBdr>
    </w:div>
    <w:div w:id="145099109">
      <w:bodyDiv w:val="1"/>
      <w:marLeft w:val="0"/>
      <w:marRight w:val="0"/>
      <w:marTop w:val="0"/>
      <w:marBottom w:val="0"/>
      <w:divBdr>
        <w:top w:val="none" w:sz="0" w:space="0" w:color="auto"/>
        <w:left w:val="none" w:sz="0" w:space="0" w:color="auto"/>
        <w:bottom w:val="none" w:sz="0" w:space="0" w:color="auto"/>
        <w:right w:val="none" w:sz="0" w:space="0" w:color="auto"/>
      </w:divBdr>
    </w:div>
    <w:div w:id="145171978">
      <w:bodyDiv w:val="1"/>
      <w:marLeft w:val="0"/>
      <w:marRight w:val="0"/>
      <w:marTop w:val="0"/>
      <w:marBottom w:val="0"/>
      <w:divBdr>
        <w:top w:val="none" w:sz="0" w:space="0" w:color="auto"/>
        <w:left w:val="none" w:sz="0" w:space="0" w:color="auto"/>
        <w:bottom w:val="none" w:sz="0" w:space="0" w:color="auto"/>
        <w:right w:val="none" w:sz="0" w:space="0" w:color="auto"/>
      </w:divBdr>
    </w:div>
    <w:div w:id="145246358">
      <w:bodyDiv w:val="1"/>
      <w:marLeft w:val="0"/>
      <w:marRight w:val="0"/>
      <w:marTop w:val="0"/>
      <w:marBottom w:val="0"/>
      <w:divBdr>
        <w:top w:val="none" w:sz="0" w:space="0" w:color="auto"/>
        <w:left w:val="none" w:sz="0" w:space="0" w:color="auto"/>
        <w:bottom w:val="none" w:sz="0" w:space="0" w:color="auto"/>
        <w:right w:val="none" w:sz="0" w:space="0" w:color="auto"/>
      </w:divBdr>
    </w:div>
    <w:div w:id="145247266">
      <w:bodyDiv w:val="1"/>
      <w:marLeft w:val="0"/>
      <w:marRight w:val="0"/>
      <w:marTop w:val="0"/>
      <w:marBottom w:val="0"/>
      <w:divBdr>
        <w:top w:val="none" w:sz="0" w:space="0" w:color="auto"/>
        <w:left w:val="none" w:sz="0" w:space="0" w:color="auto"/>
        <w:bottom w:val="none" w:sz="0" w:space="0" w:color="auto"/>
        <w:right w:val="none" w:sz="0" w:space="0" w:color="auto"/>
      </w:divBdr>
    </w:div>
    <w:div w:id="145359738">
      <w:bodyDiv w:val="1"/>
      <w:marLeft w:val="0"/>
      <w:marRight w:val="0"/>
      <w:marTop w:val="0"/>
      <w:marBottom w:val="0"/>
      <w:divBdr>
        <w:top w:val="none" w:sz="0" w:space="0" w:color="auto"/>
        <w:left w:val="none" w:sz="0" w:space="0" w:color="auto"/>
        <w:bottom w:val="none" w:sz="0" w:space="0" w:color="auto"/>
        <w:right w:val="none" w:sz="0" w:space="0" w:color="auto"/>
      </w:divBdr>
    </w:div>
    <w:div w:id="145435403">
      <w:bodyDiv w:val="1"/>
      <w:marLeft w:val="0"/>
      <w:marRight w:val="0"/>
      <w:marTop w:val="0"/>
      <w:marBottom w:val="0"/>
      <w:divBdr>
        <w:top w:val="none" w:sz="0" w:space="0" w:color="auto"/>
        <w:left w:val="none" w:sz="0" w:space="0" w:color="auto"/>
        <w:bottom w:val="none" w:sz="0" w:space="0" w:color="auto"/>
        <w:right w:val="none" w:sz="0" w:space="0" w:color="auto"/>
      </w:divBdr>
    </w:div>
    <w:div w:id="145556524">
      <w:bodyDiv w:val="1"/>
      <w:marLeft w:val="0"/>
      <w:marRight w:val="0"/>
      <w:marTop w:val="0"/>
      <w:marBottom w:val="0"/>
      <w:divBdr>
        <w:top w:val="none" w:sz="0" w:space="0" w:color="auto"/>
        <w:left w:val="none" w:sz="0" w:space="0" w:color="auto"/>
        <w:bottom w:val="none" w:sz="0" w:space="0" w:color="auto"/>
        <w:right w:val="none" w:sz="0" w:space="0" w:color="auto"/>
      </w:divBdr>
    </w:div>
    <w:div w:id="145627647">
      <w:bodyDiv w:val="1"/>
      <w:marLeft w:val="0"/>
      <w:marRight w:val="0"/>
      <w:marTop w:val="0"/>
      <w:marBottom w:val="0"/>
      <w:divBdr>
        <w:top w:val="none" w:sz="0" w:space="0" w:color="auto"/>
        <w:left w:val="none" w:sz="0" w:space="0" w:color="auto"/>
        <w:bottom w:val="none" w:sz="0" w:space="0" w:color="auto"/>
        <w:right w:val="none" w:sz="0" w:space="0" w:color="auto"/>
      </w:divBdr>
    </w:div>
    <w:div w:id="145703260">
      <w:bodyDiv w:val="1"/>
      <w:marLeft w:val="0"/>
      <w:marRight w:val="0"/>
      <w:marTop w:val="0"/>
      <w:marBottom w:val="0"/>
      <w:divBdr>
        <w:top w:val="none" w:sz="0" w:space="0" w:color="auto"/>
        <w:left w:val="none" w:sz="0" w:space="0" w:color="auto"/>
        <w:bottom w:val="none" w:sz="0" w:space="0" w:color="auto"/>
        <w:right w:val="none" w:sz="0" w:space="0" w:color="auto"/>
      </w:divBdr>
    </w:div>
    <w:div w:id="145821820">
      <w:bodyDiv w:val="1"/>
      <w:marLeft w:val="0"/>
      <w:marRight w:val="0"/>
      <w:marTop w:val="0"/>
      <w:marBottom w:val="0"/>
      <w:divBdr>
        <w:top w:val="none" w:sz="0" w:space="0" w:color="auto"/>
        <w:left w:val="none" w:sz="0" w:space="0" w:color="auto"/>
        <w:bottom w:val="none" w:sz="0" w:space="0" w:color="auto"/>
        <w:right w:val="none" w:sz="0" w:space="0" w:color="auto"/>
      </w:divBdr>
    </w:div>
    <w:div w:id="145824598">
      <w:bodyDiv w:val="1"/>
      <w:marLeft w:val="0"/>
      <w:marRight w:val="0"/>
      <w:marTop w:val="0"/>
      <w:marBottom w:val="0"/>
      <w:divBdr>
        <w:top w:val="none" w:sz="0" w:space="0" w:color="auto"/>
        <w:left w:val="none" w:sz="0" w:space="0" w:color="auto"/>
        <w:bottom w:val="none" w:sz="0" w:space="0" w:color="auto"/>
        <w:right w:val="none" w:sz="0" w:space="0" w:color="auto"/>
      </w:divBdr>
    </w:div>
    <w:div w:id="145896913">
      <w:bodyDiv w:val="1"/>
      <w:marLeft w:val="0"/>
      <w:marRight w:val="0"/>
      <w:marTop w:val="0"/>
      <w:marBottom w:val="0"/>
      <w:divBdr>
        <w:top w:val="none" w:sz="0" w:space="0" w:color="auto"/>
        <w:left w:val="none" w:sz="0" w:space="0" w:color="auto"/>
        <w:bottom w:val="none" w:sz="0" w:space="0" w:color="auto"/>
        <w:right w:val="none" w:sz="0" w:space="0" w:color="auto"/>
      </w:divBdr>
    </w:div>
    <w:div w:id="145899791">
      <w:bodyDiv w:val="1"/>
      <w:marLeft w:val="0"/>
      <w:marRight w:val="0"/>
      <w:marTop w:val="0"/>
      <w:marBottom w:val="0"/>
      <w:divBdr>
        <w:top w:val="none" w:sz="0" w:space="0" w:color="auto"/>
        <w:left w:val="none" w:sz="0" w:space="0" w:color="auto"/>
        <w:bottom w:val="none" w:sz="0" w:space="0" w:color="auto"/>
        <w:right w:val="none" w:sz="0" w:space="0" w:color="auto"/>
      </w:divBdr>
    </w:div>
    <w:div w:id="145902766">
      <w:bodyDiv w:val="1"/>
      <w:marLeft w:val="0"/>
      <w:marRight w:val="0"/>
      <w:marTop w:val="0"/>
      <w:marBottom w:val="0"/>
      <w:divBdr>
        <w:top w:val="none" w:sz="0" w:space="0" w:color="auto"/>
        <w:left w:val="none" w:sz="0" w:space="0" w:color="auto"/>
        <w:bottom w:val="none" w:sz="0" w:space="0" w:color="auto"/>
        <w:right w:val="none" w:sz="0" w:space="0" w:color="auto"/>
      </w:divBdr>
    </w:div>
    <w:div w:id="145977157">
      <w:bodyDiv w:val="1"/>
      <w:marLeft w:val="0"/>
      <w:marRight w:val="0"/>
      <w:marTop w:val="0"/>
      <w:marBottom w:val="0"/>
      <w:divBdr>
        <w:top w:val="none" w:sz="0" w:space="0" w:color="auto"/>
        <w:left w:val="none" w:sz="0" w:space="0" w:color="auto"/>
        <w:bottom w:val="none" w:sz="0" w:space="0" w:color="auto"/>
        <w:right w:val="none" w:sz="0" w:space="0" w:color="auto"/>
      </w:divBdr>
    </w:div>
    <w:div w:id="146096516">
      <w:bodyDiv w:val="1"/>
      <w:marLeft w:val="0"/>
      <w:marRight w:val="0"/>
      <w:marTop w:val="0"/>
      <w:marBottom w:val="0"/>
      <w:divBdr>
        <w:top w:val="none" w:sz="0" w:space="0" w:color="auto"/>
        <w:left w:val="none" w:sz="0" w:space="0" w:color="auto"/>
        <w:bottom w:val="none" w:sz="0" w:space="0" w:color="auto"/>
        <w:right w:val="none" w:sz="0" w:space="0" w:color="auto"/>
      </w:divBdr>
    </w:div>
    <w:div w:id="146171251">
      <w:bodyDiv w:val="1"/>
      <w:marLeft w:val="0"/>
      <w:marRight w:val="0"/>
      <w:marTop w:val="0"/>
      <w:marBottom w:val="0"/>
      <w:divBdr>
        <w:top w:val="none" w:sz="0" w:space="0" w:color="auto"/>
        <w:left w:val="none" w:sz="0" w:space="0" w:color="auto"/>
        <w:bottom w:val="none" w:sz="0" w:space="0" w:color="auto"/>
        <w:right w:val="none" w:sz="0" w:space="0" w:color="auto"/>
      </w:divBdr>
    </w:div>
    <w:div w:id="146171344">
      <w:bodyDiv w:val="1"/>
      <w:marLeft w:val="0"/>
      <w:marRight w:val="0"/>
      <w:marTop w:val="0"/>
      <w:marBottom w:val="0"/>
      <w:divBdr>
        <w:top w:val="none" w:sz="0" w:space="0" w:color="auto"/>
        <w:left w:val="none" w:sz="0" w:space="0" w:color="auto"/>
        <w:bottom w:val="none" w:sz="0" w:space="0" w:color="auto"/>
        <w:right w:val="none" w:sz="0" w:space="0" w:color="auto"/>
      </w:divBdr>
    </w:div>
    <w:div w:id="146362473">
      <w:bodyDiv w:val="1"/>
      <w:marLeft w:val="0"/>
      <w:marRight w:val="0"/>
      <w:marTop w:val="0"/>
      <w:marBottom w:val="0"/>
      <w:divBdr>
        <w:top w:val="none" w:sz="0" w:space="0" w:color="auto"/>
        <w:left w:val="none" w:sz="0" w:space="0" w:color="auto"/>
        <w:bottom w:val="none" w:sz="0" w:space="0" w:color="auto"/>
        <w:right w:val="none" w:sz="0" w:space="0" w:color="auto"/>
      </w:divBdr>
    </w:div>
    <w:div w:id="146438620">
      <w:bodyDiv w:val="1"/>
      <w:marLeft w:val="0"/>
      <w:marRight w:val="0"/>
      <w:marTop w:val="0"/>
      <w:marBottom w:val="0"/>
      <w:divBdr>
        <w:top w:val="none" w:sz="0" w:space="0" w:color="auto"/>
        <w:left w:val="none" w:sz="0" w:space="0" w:color="auto"/>
        <w:bottom w:val="none" w:sz="0" w:space="0" w:color="auto"/>
        <w:right w:val="none" w:sz="0" w:space="0" w:color="auto"/>
      </w:divBdr>
    </w:div>
    <w:div w:id="146557705">
      <w:bodyDiv w:val="1"/>
      <w:marLeft w:val="0"/>
      <w:marRight w:val="0"/>
      <w:marTop w:val="0"/>
      <w:marBottom w:val="0"/>
      <w:divBdr>
        <w:top w:val="none" w:sz="0" w:space="0" w:color="auto"/>
        <w:left w:val="none" w:sz="0" w:space="0" w:color="auto"/>
        <w:bottom w:val="none" w:sz="0" w:space="0" w:color="auto"/>
        <w:right w:val="none" w:sz="0" w:space="0" w:color="auto"/>
      </w:divBdr>
    </w:div>
    <w:div w:id="146626672">
      <w:bodyDiv w:val="1"/>
      <w:marLeft w:val="0"/>
      <w:marRight w:val="0"/>
      <w:marTop w:val="0"/>
      <w:marBottom w:val="0"/>
      <w:divBdr>
        <w:top w:val="none" w:sz="0" w:space="0" w:color="auto"/>
        <w:left w:val="none" w:sz="0" w:space="0" w:color="auto"/>
        <w:bottom w:val="none" w:sz="0" w:space="0" w:color="auto"/>
        <w:right w:val="none" w:sz="0" w:space="0" w:color="auto"/>
      </w:divBdr>
      <w:divsChild>
        <w:div w:id="13114026">
          <w:marLeft w:val="0"/>
          <w:marRight w:val="0"/>
          <w:marTop w:val="0"/>
          <w:marBottom w:val="0"/>
          <w:divBdr>
            <w:top w:val="none" w:sz="0" w:space="0" w:color="auto"/>
            <w:left w:val="none" w:sz="0" w:space="0" w:color="auto"/>
            <w:bottom w:val="none" w:sz="0" w:space="0" w:color="auto"/>
            <w:right w:val="none" w:sz="0" w:space="0" w:color="auto"/>
          </w:divBdr>
        </w:div>
        <w:div w:id="61608410">
          <w:marLeft w:val="0"/>
          <w:marRight w:val="0"/>
          <w:marTop w:val="0"/>
          <w:marBottom w:val="0"/>
          <w:divBdr>
            <w:top w:val="none" w:sz="0" w:space="0" w:color="auto"/>
            <w:left w:val="none" w:sz="0" w:space="0" w:color="auto"/>
            <w:bottom w:val="none" w:sz="0" w:space="0" w:color="auto"/>
            <w:right w:val="none" w:sz="0" w:space="0" w:color="auto"/>
          </w:divBdr>
        </w:div>
        <w:div w:id="62719756">
          <w:marLeft w:val="0"/>
          <w:marRight w:val="0"/>
          <w:marTop w:val="0"/>
          <w:marBottom w:val="0"/>
          <w:divBdr>
            <w:top w:val="none" w:sz="0" w:space="0" w:color="auto"/>
            <w:left w:val="none" w:sz="0" w:space="0" w:color="auto"/>
            <w:bottom w:val="none" w:sz="0" w:space="0" w:color="auto"/>
            <w:right w:val="none" w:sz="0" w:space="0" w:color="auto"/>
          </w:divBdr>
        </w:div>
        <w:div w:id="73169354">
          <w:marLeft w:val="0"/>
          <w:marRight w:val="0"/>
          <w:marTop w:val="0"/>
          <w:marBottom w:val="0"/>
          <w:divBdr>
            <w:top w:val="none" w:sz="0" w:space="0" w:color="auto"/>
            <w:left w:val="none" w:sz="0" w:space="0" w:color="auto"/>
            <w:bottom w:val="none" w:sz="0" w:space="0" w:color="auto"/>
            <w:right w:val="none" w:sz="0" w:space="0" w:color="auto"/>
          </w:divBdr>
        </w:div>
        <w:div w:id="107088957">
          <w:marLeft w:val="0"/>
          <w:marRight w:val="0"/>
          <w:marTop w:val="0"/>
          <w:marBottom w:val="0"/>
          <w:divBdr>
            <w:top w:val="none" w:sz="0" w:space="0" w:color="auto"/>
            <w:left w:val="none" w:sz="0" w:space="0" w:color="auto"/>
            <w:bottom w:val="none" w:sz="0" w:space="0" w:color="auto"/>
            <w:right w:val="none" w:sz="0" w:space="0" w:color="auto"/>
          </w:divBdr>
        </w:div>
        <w:div w:id="110514825">
          <w:marLeft w:val="0"/>
          <w:marRight w:val="0"/>
          <w:marTop w:val="0"/>
          <w:marBottom w:val="0"/>
          <w:divBdr>
            <w:top w:val="none" w:sz="0" w:space="0" w:color="auto"/>
            <w:left w:val="none" w:sz="0" w:space="0" w:color="auto"/>
            <w:bottom w:val="none" w:sz="0" w:space="0" w:color="auto"/>
            <w:right w:val="none" w:sz="0" w:space="0" w:color="auto"/>
          </w:divBdr>
        </w:div>
        <w:div w:id="144443272">
          <w:marLeft w:val="0"/>
          <w:marRight w:val="0"/>
          <w:marTop w:val="0"/>
          <w:marBottom w:val="0"/>
          <w:divBdr>
            <w:top w:val="none" w:sz="0" w:space="0" w:color="auto"/>
            <w:left w:val="none" w:sz="0" w:space="0" w:color="auto"/>
            <w:bottom w:val="none" w:sz="0" w:space="0" w:color="auto"/>
            <w:right w:val="none" w:sz="0" w:space="0" w:color="auto"/>
          </w:divBdr>
        </w:div>
        <w:div w:id="144978368">
          <w:marLeft w:val="0"/>
          <w:marRight w:val="0"/>
          <w:marTop w:val="0"/>
          <w:marBottom w:val="0"/>
          <w:divBdr>
            <w:top w:val="none" w:sz="0" w:space="0" w:color="auto"/>
            <w:left w:val="none" w:sz="0" w:space="0" w:color="auto"/>
            <w:bottom w:val="none" w:sz="0" w:space="0" w:color="auto"/>
            <w:right w:val="none" w:sz="0" w:space="0" w:color="auto"/>
          </w:divBdr>
        </w:div>
        <w:div w:id="149715336">
          <w:marLeft w:val="0"/>
          <w:marRight w:val="0"/>
          <w:marTop w:val="0"/>
          <w:marBottom w:val="0"/>
          <w:divBdr>
            <w:top w:val="none" w:sz="0" w:space="0" w:color="auto"/>
            <w:left w:val="none" w:sz="0" w:space="0" w:color="auto"/>
            <w:bottom w:val="none" w:sz="0" w:space="0" w:color="auto"/>
            <w:right w:val="none" w:sz="0" w:space="0" w:color="auto"/>
          </w:divBdr>
        </w:div>
        <w:div w:id="177158242">
          <w:marLeft w:val="0"/>
          <w:marRight w:val="0"/>
          <w:marTop w:val="0"/>
          <w:marBottom w:val="0"/>
          <w:divBdr>
            <w:top w:val="none" w:sz="0" w:space="0" w:color="auto"/>
            <w:left w:val="none" w:sz="0" w:space="0" w:color="auto"/>
            <w:bottom w:val="none" w:sz="0" w:space="0" w:color="auto"/>
            <w:right w:val="none" w:sz="0" w:space="0" w:color="auto"/>
          </w:divBdr>
        </w:div>
        <w:div w:id="189802654">
          <w:marLeft w:val="0"/>
          <w:marRight w:val="0"/>
          <w:marTop w:val="0"/>
          <w:marBottom w:val="0"/>
          <w:divBdr>
            <w:top w:val="none" w:sz="0" w:space="0" w:color="auto"/>
            <w:left w:val="none" w:sz="0" w:space="0" w:color="auto"/>
            <w:bottom w:val="none" w:sz="0" w:space="0" w:color="auto"/>
            <w:right w:val="none" w:sz="0" w:space="0" w:color="auto"/>
          </w:divBdr>
        </w:div>
        <w:div w:id="190992377">
          <w:marLeft w:val="0"/>
          <w:marRight w:val="0"/>
          <w:marTop w:val="0"/>
          <w:marBottom w:val="0"/>
          <w:divBdr>
            <w:top w:val="none" w:sz="0" w:space="0" w:color="auto"/>
            <w:left w:val="none" w:sz="0" w:space="0" w:color="auto"/>
            <w:bottom w:val="none" w:sz="0" w:space="0" w:color="auto"/>
            <w:right w:val="none" w:sz="0" w:space="0" w:color="auto"/>
          </w:divBdr>
        </w:div>
        <w:div w:id="195508329">
          <w:marLeft w:val="0"/>
          <w:marRight w:val="0"/>
          <w:marTop w:val="0"/>
          <w:marBottom w:val="0"/>
          <w:divBdr>
            <w:top w:val="none" w:sz="0" w:space="0" w:color="auto"/>
            <w:left w:val="none" w:sz="0" w:space="0" w:color="auto"/>
            <w:bottom w:val="none" w:sz="0" w:space="0" w:color="auto"/>
            <w:right w:val="none" w:sz="0" w:space="0" w:color="auto"/>
          </w:divBdr>
        </w:div>
        <w:div w:id="197818440">
          <w:marLeft w:val="0"/>
          <w:marRight w:val="0"/>
          <w:marTop w:val="0"/>
          <w:marBottom w:val="0"/>
          <w:divBdr>
            <w:top w:val="none" w:sz="0" w:space="0" w:color="auto"/>
            <w:left w:val="none" w:sz="0" w:space="0" w:color="auto"/>
            <w:bottom w:val="none" w:sz="0" w:space="0" w:color="auto"/>
            <w:right w:val="none" w:sz="0" w:space="0" w:color="auto"/>
          </w:divBdr>
        </w:div>
        <w:div w:id="200290928">
          <w:marLeft w:val="0"/>
          <w:marRight w:val="0"/>
          <w:marTop w:val="0"/>
          <w:marBottom w:val="0"/>
          <w:divBdr>
            <w:top w:val="none" w:sz="0" w:space="0" w:color="auto"/>
            <w:left w:val="none" w:sz="0" w:space="0" w:color="auto"/>
            <w:bottom w:val="none" w:sz="0" w:space="0" w:color="auto"/>
            <w:right w:val="none" w:sz="0" w:space="0" w:color="auto"/>
          </w:divBdr>
        </w:div>
        <w:div w:id="228930608">
          <w:marLeft w:val="0"/>
          <w:marRight w:val="0"/>
          <w:marTop w:val="0"/>
          <w:marBottom w:val="0"/>
          <w:divBdr>
            <w:top w:val="none" w:sz="0" w:space="0" w:color="auto"/>
            <w:left w:val="none" w:sz="0" w:space="0" w:color="auto"/>
            <w:bottom w:val="none" w:sz="0" w:space="0" w:color="auto"/>
            <w:right w:val="none" w:sz="0" w:space="0" w:color="auto"/>
          </w:divBdr>
        </w:div>
        <w:div w:id="235020036">
          <w:marLeft w:val="0"/>
          <w:marRight w:val="0"/>
          <w:marTop w:val="0"/>
          <w:marBottom w:val="0"/>
          <w:divBdr>
            <w:top w:val="none" w:sz="0" w:space="0" w:color="auto"/>
            <w:left w:val="none" w:sz="0" w:space="0" w:color="auto"/>
            <w:bottom w:val="none" w:sz="0" w:space="0" w:color="auto"/>
            <w:right w:val="none" w:sz="0" w:space="0" w:color="auto"/>
          </w:divBdr>
        </w:div>
        <w:div w:id="237322709">
          <w:marLeft w:val="0"/>
          <w:marRight w:val="0"/>
          <w:marTop w:val="0"/>
          <w:marBottom w:val="0"/>
          <w:divBdr>
            <w:top w:val="none" w:sz="0" w:space="0" w:color="auto"/>
            <w:left w:val="none" w:sz="0" w:space="0" w:color="auto"/>
            <w:bottom w:val="none" w:sz="0" w:space="0" w:color="auto"/>
            <w:right w:val="none" w:sz="0" w:space="0" w:color="auto"/>
          </w:divBdr>
        </w:div>
        <w:div w:id="251401126">
          <w:marLeft w:val="0"/>
          <w:marRight w:val="0"/>
          <w:marTop w:val="0"/>
          <w:marBottom w:val="0"/>
          <w:divBdr>
            <w:top w:val="none" w:sz="0" w:space="0" w:color="auto"/>
            <w:left w:val="none" w:sz="0" w:space="0" w:color="auto"/>
            <w:bottom w:val="none" w:sz="0" w:space="0" w:color="auto"/>
            <w:right w:val="none" w:sz="0" w:space="0" w:color="auto"/>
          </w:divBdr>
        </w:div>
        <w:div w:id="262307148">
          <w:marLeft w:val="0"/>
          <w:marRight w:val="0"/>
          <w:marTop w:val="0"/>
          <w:marBottom w:val="0"/>
          <w:divBdr>
            <w:top w:val="none" w:sz="0" w:space="0" w:color="auto"/>
            <w:left w:val="none" w:sz="0" w:space="0" w:color="auto"/>
            <w:bottom w:val="none" w:sz="0" w:space="0" w:color="auto"/>
            <w:right w:val="none" w:sz="0" w:space="0" w:color="auto"/>
          </w:divBdr>
        </w:div>
        <w:div w:id="280303988">
          <w:marLeft w:val="0"/>
          <w:marRight w:val="0"/>
          <w:marTop w:val="0"/>
          <w:marBottom w:val="0"/>
          <w:divBdr>
            <w:top w:val="none" w:sz="0" w:space="0" w:color="auto"/>
            <w:left w:val="none" w:sz="0" w:space="0" w:color="auto"/>
            <w:bottom w:val="none" w:sz="0" w:space="0" w:color="auto"/>
            <w:right w:val="none" w:sz="0" w:space="0" w:color="auto"/>
          </w:divBdr>
        </w:div>
        <w:div w:id="292102989">
          <w:marLeft w:val="0"/>
          <w:marRight w:val="0"/>
          <w:marTop w:val="0"/>
          <w:marBottom w:val="0"/>
          <w:divBdr>
            <w:top w:val="none" w:sz="0" w:space="0" w:color="auto"/>
            <w:left w:val="none" w:sz="0" w:space="0" w:color="auto"/>
            <w:bottom w:val="none" w:sz="0" w:space="0" w:color="auto"/>
            <w:right w:val="none" w:sz="0" w:space="0" w:color="auto"/>
          </w:divBdr>
        </w:div>
        <w:div w:id="296450733">
          <w:marLeft w:val="0"/>
          <w:marRight w:val="0"/>
          <w:marTop w:val="0"/>
          <w:marBottom w:val="0"/>
          <w:divBdr>
            <w:top w:val="none" w:sz="0" w:space="0" w:color="auto"/>
            <w:left w:val="none" w:sz="0" w:space="0" w:color="auto"/>
            <w:bottom w:val="none" w:sz="0" w:space="0" w:color="auto"/>
            <w:right w:val="none" w:sz="0" w:space="0" w:color="auto"/>
          </w:divBdr>
        </w:div>
        <w:div w:id="298389090">
          <w:marLeft w:val="0"/>
          <w:marRight w:val="0"/>
          <w:marTop w:val="0"/>
          <w:marBottom w:val="0"/>
          <w:divBdr>
            <w:top w:val="none" w:sz="0" w:space="0" w:color="auto"/>
            <w:left w:val="none" w:sz="0" w:space="0" w:color="auto"/>
            <w:bottom w:val="none" w:sz="0" w:space="0" w:color="auto"/>
            <w:right w:val="none" w:sz="0" w:space="0" w:color="auto"/>
          </w:divBdr>
        </w:div>
        <w:div w:id="304970586">
          <w:marLeft w:val="0"/>
          <w:marRight w:val="0"/>
          <w:marTop w:val="0"/>
          <w:marBottom w:val="0"/>
          <w:divBdr>
            <w:top w:val="none" w:sz="0" w:space="0" w:color="auto"/>
            <w:left w:val="none" w:sz="0" w:space="0" w:color="auto"/>
            <w:bottom w:val="none" w:sz="0" w:space="0" w:color="auto"/>
            <w:right w:val="none" w:sz="0" w:space="0" w:color="auto"/>
          </w:divBdr>
        </w:div>
        <w:div w:id="327561214">
          <w:marLeft w:val="0"/>
          <w:marRight w:val="0"/>
          <w:marTop w:val="0"/>
          <w:marBottom w:val="0"/>
          <w:divBdr>
            <w:top w:val="none" w:sz="0" w:space="0" w:color="auto"/>
            <w:left w:val="none" w:sz="0" w:space="0" w:color="auto"/>
            <w:bottom w:val="none" w:sz="0" w:space="0" w:color="auto"/>
            <w:right w:val="none" w:sz="0" w:space="0" w:color="auto"/>
          </w:divBdr>
        </w:div>
        <w:div w:id="336008119">
          <w:marLeft w:val="0"/>
          <w:marRight w:val="0"/>
          <w:marTop w:val="0"/>
          <w:marBottom w:val="0"/>
          <w:divBdr>
            <w:top w:val="none" w:sz="0" w:space="0" w:color="auto"/>
            <w:left w:val="none" w:sz="0" w:space="0" w:color="auto"/>
            <w:bottom w:val="none" w:sz="0" w:space="0" w:color="auto"/>
            <w:right w:val="none" w:sz="0" w:space="0" w:color="auto"/>
          </w:divBdr>
        </w:div>
        <w:div w:id="354160535">
          <w:marLeft w:val="0"/>
          <w:marRight w:val="0"/>
          <w:marTop w:val="0"/>
          <w:marBottom w:val="0"/>
          <w:divBdr>
            <w:top w:val="none" w:sz="0" w:space="0" w:color="auto"/>
            <w:left w:val="none" w:sz="0" w:space="0" w:color="auto"/>
            <w:bottom w:val="none" w:sz="0" w:space="0" w:color="auto"/>
            <w:right w:val="none" w:sz="0" w:space="0" w:color="auto"/>
          </w:divBdr>
        </w:div>
        <w:div w:id="365180569">
          <w:marLeft w:val="0"/>
          <w:marRight w:val="0"/>
          <w:marTop w:val="0"/>
          <w:marBottom w:val="0"/>
          <w:divBdr>
            <w:top w:val="none" w:sz="0" w:space="0" w:color="auto"/>
            <w:left w:val="none" w:sz="0" w:space="0" w:color="auto"/>
            <w:bottom w:val="none" w:sz="0" w:space="0" w:color="auto"/>
            <w:right w:val="none" w:sz="0" w:space="0" w:color="auto"/>
          </w:divBdr>
        </w:div>
        <w:div w:id="373505109">
          <w:marLeft w:val="0"/>
          <w:marRight w:val="0"/>
          <w:marTop w:val="0"/>
          <w:marBottom w:val="0"/>
          <w:divBdr>
            <w:top w:val="none" w:sz="0" w:space="0" w:color="auto"/>
            <w:left w:val="none" w:sz="0" w:space="0" w:color="auto"/>
            <w:bottom w:val="none" w:sz="0" w:space="0" w:color="auto"/>
            <w:right w:val="none" w:sz="0" w:space="0" w:color="auto"/>
          </w:divBdr>
        </w:div>
        <w:div w:id="400371753">
          <w:marLeft w:val="0"/>
          <w:marRight w:val="0"/>
          <w:marTop w:val="0"/>
          <w:marBottom w:val="0"/>
          <w:divBdr>
            <w:top w:val="none" w:sz="0" w:space="0" w:color="auto"/>
            <w:left w:val="none" w:sz="0" w:space="0" w:color="auto"/>
            <w:bottom w:val="none" w:sz="0" w:space="0" w:color="auto"/>
            <w:right w:val="none" w:sz="0" w:space="0" w:color="auto"/>
          </w:divBdr>
        </w:div>
        <w:div w:id="407114327">
          <w:marLeft w:val="0"/>
          <w:marRight w:val="0"/>
          <w:marTop w:val="0"/>
          <w:marBottom w:val="0"/>
          <w:divBdr>
            <w:top w:val="none" w:sz="0" w:space="0" w:color="auto"/>
            <w:left w:val="none" w:sz="0" w:space="0" w:color="auto"/>
            <w:bottom w:val="none" w:sz="0" w:space="0" w:color="auto"/>
            <w:right w:val="none" w:sz="0" w:space="0" w:color="auto"/>
          </w:divBdr>
        </w:div>
        <w:div w:id="425728869">
          <w:marLeft w:val="0"/>
          <w:marRight w:val="0"/>
          <w:marTop w:val="0"/>
          <w:marBottom w:val="0"/>
          <w:divBdr>
            <w:top w:val="none" w:sz="0" w:space="0" w:color="auto"/>
            <w:left w:val="none" w:sz="0" w:space="0" w:color="auto"/>
            <w:bottom w:val="none" w:sz="0" w:space="0" w:color="auto"/>
            <w:right w:val="none" w:sz="0" w:space="0" w:color="auto"/>
          </w:divBdr>
        </w:div>
        <w:div w:id="438724326">
          <w:marLeft w:val="0"/>
          <w:marRight w:val="0"/>
          <w:marTop w:val="0"/>
          <w:marBottom w:val="0"/>
          <w:divBdr>
            <w:top w:val="none" w:sz="0" w:space="0" w:color="auto"/>
            <w:left w:val="none" w:sz="0" w:space="0" w:color="auto"/>
            <w:bottom w:val="none" w:sz="0" w:space="0" w:color="auto"/>
            <w:right w:val="none" w:sz="0" w:space="0" w:color="auto"/>
          </w:divBdr>
        </w:div>
        <w:div w:id="443308169">
          <w:marLeft w:val="0"/>
          <w:marRight w:val="0"/>
          <w:marTop w:val="0"/>
          <w:marBottom w:val="0"/>
          <w:divBdr>
            <w:top w:val="none" w:sz="0" w:space="0" w:color="auto"/>
            <w:left w:val="none" w:sz="0" w:space="0" w:color="auto"/>
            <w:bottom w:val="none" w:sz="0" w:space="0" w:color="auto"/>
            <w:right w:val="none" w:sz="0" w:space="0" w:color="auto"/>
          </w:divBdr>
        </w:div>
        <w:div w:id="446196483">
          <w:marLeft w:val="0"/>
          <w:marRight w:val="0"/>
          <w:marTop w:val="0"/>
          <w:marBottom w:val="0"/>
          <w:divBdr>
            <w:top w:val="none" w:sz="0" w:space="0" w:color="auto"/>
            <w:left w:val="none" w:sz="0" w:space="0" w:color="auto"/>
            <w:bottom w:val="none" w:sz="0" w:space="0" w:color="auto"/>
            <w:right w:val="none" w:sz="0" w:space="0" w:color="auto"/>
          </w:divBdr>
        </w:div>
        <w:div w:id="451872692">
          <w:marLeft w:val="0"/>
          <w:marRight w:val="0"/>
          <w:marTop w:val="0"/>
          <w:marBottom w:val="0"/>
          <w:divBdr>
            <w:top w:val="none" w:sz="0" w:space="0" w:color="auto"/>
            <w:left w:val="none" w:sz="0" w:space="0" w:color="auto"/>
            <w:bottom w:val="none" w:sz="0" w:space="0" w:color="auto"/>
            <w:right w:val="none" w:sz="0" w:space="0" w:color="auto"/>
          </w:divBdr>
        </w:div>
        <w:div w:id="460652566">
          <w:marLeft w:val="0"/>
          <w:marRight w:val="0"/>
          <w:marTop w:val="0"/>
          <w:marBottom w:val="0"/>
          <w:divBdr>
            <w:top w:val="none" w:sz="0" w:space="0" w:color="auto"/>
            <w:left w:val="none" w:sz="0" w:space="0" w:color="auto"/>
            <w:bottom w:val="none" w:sz="0" w:space="0" w:color="auto"/>
            <w:right w:val="none" w:sz="0" w:space="0" w:color="auto"/>
          </w:divBdr>
        </w:div>
        <w:div w:id="463160098">
          <w:marLeft w:val="0"/>
          <w:marRight w:val="0"/>
          <w:marTop w:val="0"/>
          <w:marBottom w:val="0"/>
          <w:divBdr>
            <w:top w:val="none" w:sz="0" w:space="0" w:color="auto"/>
            <w:left w:val="none" w:sz="0" w:space="0" w:color="auto"/>
            <w:bottom w:val="none" w:sz="0" w:space="0" w:color="auto"/>
            <w:right w:val="none" w:sz="0" w:space="0" w:color="auto"/>
          </w:divBdr>
        </w:div>
        <w:div w:id="464585954">
          <w:marLeft w:val="0"/>
          <w:marRight w:val="0"/>
          <w:marTop w:val="0"/>
          <w:marBottom w:val="0"/>
          <w:divBdr>
            <w:top w:val="none" w:sz="0" w:space="0" w:color="auto"/>
            <w:left w:val="none" w:sz="0" w:space="0" w:color="auto"/>
            <w:bottom w:val="none" w:sz="0" w:space="0" w:color="auto"/>
            <w:right w:val="none" w:sz="0" w:space="0" w:color="auto"/>
          </w:divBdr>
        </w:div>
        <w:div w:id="467745727">
          <w:marLeft w:val="0"/>
          <w:marRight w:val="0"/>
          <w:marTop w:val="0"/>
          <w:marBottom w:val="0"/>
          <w:divBdr>
            <w:top w:val="none" w:sz="0" w:space="0" w:color="auto"/>
            <w:left w:val="none" w:sz="0" w:space="0" w:color="auto"/>
            <w:bottom w:val="none" w:sz="0" w:space="0" w:color="auto"/>
            <w:right w:val="none" w:sz="0" w:space="0" w:color="auto"/>
          </w:divBdr>
        </w:div>
        <w:div w:id="489561159">
          <w:marLeft w:val="0"/>
          <w:marRight w:val="0"/>
          <w:marTop w:val="0"/>
          <w:marBottom w:val="0"/>
          <w:divBdr>
            <w:top w:val="none" w:sz="0" w:space="0" w:color="auto"/>
            <w:left w:val="none" w:sz="0" w:space="0" w:color="auto"/>
            <w:bottom w:val="none" w:sz="0" w:space="0" w:color="auto"/>
            <w:right w:val="none" w:sz="0" w:space="0" w:color="auto"/>
          </w:divBdr>
        </w:div>
        <w:div w:id="523518641">
          <w:marLeft w:val="0"/>
          <w:marRight w:val="0"/>
          <w:marTop w:val="0"/>
          <w:marBottom w:val="0"/>
          <w:divBdr>
            <w:top w:val="none" w:sz="0" w:space="0" w:color="auto"/>
            <w:left w:val="none" w:sz="0" w:space="0" w:color="auto"/>
            <w:bottom w:val="none" w:sz="0" w:space="0" w:color="auto"/>
            <w:right w:val="none" w:sz="0" w:space="0" w:color="auto"/>
          </w:divBdr>
        </w:div>
        <w:div w:id="533346843">
          <w:marLeft w:val="0"/>
          <w:marRight w:val="0"/>
          <w:marTop w:val="0"/>
          <w:marBottom w:val="0"/>
          <w:divBdr>
            <w:top w:val="none" w:sz="0" w:space="0" w:color="auto"/>
            <w:left w:val="none" w:sz="0" w:space="0" w:color="auto"/>
            <w:bottom w:val="none" w:sz="0" w:space="0" w:color="auto"/>
            <w:right w:val="none" w:sz="0" w:space="0" w:color="auto"/>
          </w:divBdr>
        </w:div>
        <w:div w:id="540094175">
          <w:marLeft w:val="0"/>
          <w:marRight w:val="0"/>
          <w:marTop w:val="0"/>
          <w:marBottom w:val="0"/>
          <w:divBdr>
            <w:top w:val="none" w:sz="0" w:space="0" w:color="auto"/>
            <w:left w:val="none" w:sz="0" w:space="0" w:color="auto"/>
            <w:bottom w:val="none" w:sz="0" w:space="0" w:color="auto"/>
            <w:right w:val="none" w:sz="0" w:space="0" w:color="auto"/>
          </w:divBdr>
        </w:div>
        <w:div w:id="546064294">
          <w:marLeft w:val="0"/>
          <w:marRight w:val="0"/>
          <w:marTop w:val="0"/>
          <w:marBottom w:val="0"/>
          <w:divBdr>
            <w:top w:val="none" w:sz="0" w:space="0" w:color="auto"/>
            <w:left w:val="none" w:sz="0" w:space="0" w:color="auto"/>
            <w:bottom w:val="none" w:sz="0" w:space="0" w:color="auto"/>
            <w:right w:val="none" w:sz="0" w:space="0" w:color="auto"/>
          </w:divBdr>
        </w:div>
        <w:div w:id="549731688">
          <w:marLeft w:val="0"/>
          <w:marRight w:val="0"/>
          <w:marTop w:val="0"/>
          <w:marBottom w:val="0"/>
          <w:divBdr>
            <w:top w:val="none" w:sz="0" w:space="0" w:color="auto"/>
            <w:left w:val="none" w:sz="0" w:space="0" w:color="auto"/>
            <w:bottom w:val="none" w:sz="0" w:space="0" w:color="auto"/>
            <w:right w:val="none" w:sz="0" w:space="0" w:color="auto"/>
          </w:divBdr>
        </w:div>
        <w:div w:id="552275326">
          <w:marLeft w:val="0"/>
          <w:marRight w:val="0"/>
          <w:marTop w:val="0"/>
          <w:marBottom w:val="0"/>
          <w:divBdr>
            <w:top w:val="none" w:sz="0" w:space="0" w:color="auto"/>
            <w:left w:val="none" w:sz="0" w:space="0" w:color="auto"/>
            <w:bottom w:val="none" w:sz="0" w:space="0" w:color="auto"/>
            <w:right w:val="none" w:sz="0" w:space="0" w:color="auto"/>
          </w:divBdr>
        </w:div>
        <w:div w:id="563874657">
          <w:marLeft w:val="0"/>
          <w:marRight w:val="0"/>
          <w:marTop w:val="0"/>
          <w:marBottom w:val="0"/>
          <w:divBdr>
            <w:top w:val="none" w:sz="0" w:space="0" w:color="auto"/>
            <w:left w:val="none" w:sz="0" w:space="0" w:color="auto"/>
            <w:bottom w:val="none" w:sz="0" w:space="0" w:color="auto"/>
            <w:right w:val="none" w:sz="0" w:space="0" w:color="auto"/>
          </w:divBdr>
        </w:div>
        <w:div w:id="567499662">
          <w:marLeft w:val="0"/>
          <w:marRight w:val="0"/>
          <w:marTop w:val="0"/>
          <w:marBottom w:val="0"/>
          <w:divBdr>
            <w:top w:val="none" w:sz="0" w:space="0" w:color="auto"/>
            <w:left w:val="none" w:sz="0" w:space="0" w:color="auto"/>
            <w:bottom w:val="none" w:sz="0" w:space="0" w:color="auto"/>
            <w:right w:val="none" w:sz="0" w:space="0" w:color="auto"/>
          </w:divBdr>
        </w:div>
        <w:div w:id="571351870">
          <w:marLeft w:val="0"/>
          <w:marRight w:val="0"/>
          <w:marTop w:val="0"/>
          <w:marBottom w:val="0"/>
          <w:divBdr>
            <w:top w:val="none" w:sz="0" w:space="0" w:color="auto"/>
            <w:left w:val="none" w:sz="0" w:space="0" w:color="auto"/>
            <w:bottom w:val="none" w:sz="0" w:space="0" w:color="auto"/>
            <w:right w:val="none" w:sz="0" w:space="0" w:color="auto"/>
          </w:divBdr>
        </w:div>
        <w:div w:id="577710371">
          <w:marLeft w:val="0"/>
          <w:marRight w:val="0"/>
          <w:marTop w:val="0"/>
          <w:marBottom w:val="0"/>
          <w:divBdr>
            <w:top w:val="none" w:sz="0" w:space="0" w:color="auto"/>
            <w:left w:val="none" w:sz="0" w:space="0" w:color="auto"/>
            <w:bottom w:val="none" w:sz="0" w:space="0" w:color="auto"/>
            <w:right w:val="none" w:sz="0" w:space="0" w:color="auto"/>
          </w:divBdr>
        </w:div>
        <w:div w:id="581836117">
          <w:marLeft w:val="0"/>
          <w:marRight w:val="0"/>
          <w:marTop w:val="0"/>
          <w:marBottom w:val="0"/>
          <w:divBdr>
            <w:top w:val="none" w:sz="0" w:space="0" w:color="auto"/>
            <w:left w:val="none" w:sz="0" w:space="0" w:color="auto"/>
            <w:bottom w:val="none" w:sz="0" w:space="0" w:color="auto"/>
            <w:right w:val="none" w:sz="0" w:space="0" w:color="auto"/>
          </w:divBdr>
        </w:div>
        <w:div w:id="615404676">
          <w:marLeft w:val="0"/>
          <w:marRight w:val="0"/>
          <w:marTop w:val="0"/>
          <w:marBottom w:val="0"/>
          <w:divBdr>
            <w:top w:val="none" w:sz="0" w:space="0" w:color="auto"/>
            <w:left w:val="none" w:sz="0" w:space="0" w:color="auto"/>
            <w:bottom w:val="none" w:sz="0" w:space="0" w:color="auto"/>
            <w:right w:val="none" w:sz="0" w:space="0" w:color="auto"/>
          </w:divBdr>
        </w:div>
        <w:div w:id="617296988">
          <w:marLeft w:val="0"/>
          <w:marRight w:val="0"/>
          <w:marTop w:val="0"/>
          <w:marBottom w:val="0"/>
          <w:divBdr>
            <w:top w:val="none" w:sz="0" w:space="0" w:color="auto"/>
            <w:left w:val="none" w:sz="0" w:space="0" w:color="auto"/>
            <w:bottom w:val="none" w:sz="0" w:space="0" w:color="auto"/>
            <w:right w:val="none" w:sz="0" w:space="0" w:color="auto"/>
          </w:divBdr>
        </w:div>
        <w:div w:id="618032602">
          <w:marLeft w:val="0"/>
          <w:marRight w:val="0"/>
          <w:marTop w:val="0"/>
          <w:marBottom w:val="0"/>
          <w:divBdr>
            <w:top w:val="none" w:sz="0" w:space="0" w:color="auto"/>
            <w:left w:val="none" w:sz="0" w:space="0" w:color="auto"/>
            <w:bottom w:val="none" w:sz="0" w:space="0" w:color="auto"/>
            <w:right w:val="none" w:sz="0" w:space="0" w:color="auto"/>
          </w:divBdr>
        </w:div>
        <w:div w:id="622350093">
          <w:marLeft w:val="0"/>
          <w:marRight w:val="0"/>
          <w:marTop w:val="0"/>
          <w:marBottom w:val="0"/>
          <w:divBdr>
            <w:top w:val="none" w:sz="0" w:space="0" w:color="auto"/>
            <w:left w:val="none" w:sz="0" w:space="0" w:color="auto"/>
            <w:bottom w:val="none" w:sz="0" w:space="0" w:color="auto"/>
            <w:right w:val="none" w:sz="0" w:space="0" w:color="auto"/>
          </w:divBdr>
        </w:div>
        <w:div w:id="649094191">
          <w:marLeft w:val="0"/>
          <w:marRight w:val="0"/>
          <w:marTop w:val="0"/>
          <w:marBottom w:val="0"/>
          <w:divBdr>
            <w:top w:val="none" w:sz="0" w:space="0" w:color="auto"/>
            <w:left w:val="none" w:sz="0" w:space="0" w:color="auto"/>
            <w:bottom w:val="none" w:sz="0" w:space="0" w:color="auto"/>
            <w:right w:val="none" w:sz="0" w:space="0" w:color="auto"/>
          </w:divBdr>
        </w:div>
        <w:div w:id="652875985">
          <w:marLeft w:val="0"/>
          <w:marRight w:val="0"/>
          <w:marTop w:val="0"/>
          <w:marBottom w:val="0"/>
          <w:divBdr>
            <w:top w:val="none" w:sz="0" w:space="0" w:color="auto"/>
            <w:left w:val="none" w:sz="0" w:space="0" w:color="auto"/>
            <w:bottom w:val="none" w:sz="0" w:space="0" w:color="auto"/>
            <w:right w:val="none" w:sz="0" w:space="0" w:color="auto"/>
          </w:divBdr>
        </w:div>
        <w:div w:id="660306948">
          <w:marLeft w:val="0"/>
          <w:marRight w:val="0"/>
          <w:marTop w:val="0"/>
          <w:marBottom w:val="0"/>
          <w:divBdr>
            <w:top w:val="none" w:sz="0" w:space="0" w:color="auto"/>
            <w:left w:val="none" w:sz="0" w:space="0" w:color="auto"/>
            <w:bottom w:val="none" w:sz="0" w:space="0" w:color="auto"/>
            <w:right w:val="none" w:sz="0" w:space="0" w:color="auto"/>
          </w:divBdr>
        </w:div>
        <w:div w:id="660616914">
          <w:marLeft w:val="0"/>
          <w:marRight w:val="0"/>
          <w:marTop w:val="0"/>
          <w:marBottom w:val="0"/>
          <w:divBdr>
            <w:top w:val="none" w:sz="0" w:space="0" w:color="auto"/>
            <w:left w:val="none" w:sz="0" w:space="0" w:color="auto"/>
            <w:bottom w:val="none" w:sz="0" w:space="0" w:color="auto"/>
            <w:right w:val="none" w:sz="0" w:space="0" w:color="auto"/>
          </w:divBdr>
        </w:div>
        <w:div w:id="669716884">
          <w:marLeft w:val="0"/>
          <w:marRight w:val="0"/>
          <w:marTop w:val="0"/>
          <w:marBottom w:val="0"/>
          <w:divBdr>
            <w:top w:val="none" w:sz="0" w:space="0" w:color="auto"/>
            <w:left w:val="none" w:sz="0" w:space="0" w:color="auto"/>
            <w:bottom w:val="none" w:sz="0" w:space="0" w:color="auto"/>
            <w:right w:val="none" w:sz="0" w:space="0" w:color="auto"/>
          </w:divBdr>
        </w:div>
        <w:div w:id="700011860">
          <w:marLeft w:val="0"/>
          <w:marRight w:val="0"/>
          <w:marTop w:val="0"/>
          <w:marBottom w:val="0"/>
          <w:divBdr>
            <w:top w:val="none" w:sz="0" w:space="0" w:color="auto"/>
            <w:left w:val="none" w:sz="0" w:space="0" w:color="auto"/>
            <w:bottom w:val="none" w:sz="0" w:space="0" w:color="auto"/>
            <w:right w:val="none" w:sz="0" w:space="0" w:color="auto"/>
          </w:divBdr>
        </w:div>
        <w:div w:id="707074070">
          <w:marLeft w:val="0"/>
          <w:marRight w:val="0"/>
          <w:marTop w:val="0"/>
          <w:marBottom w:val="0"/>
          <w:divBdr>
            <w:top w:val="none" w:sz="0" w:space="0" w:color="auto"/>
            <w:left w:val="none" w:sz="0" w:space="0" w:color="auto"/>
            <w:bottom w:val="none" w:sz="0" w:space="0" w:color="auto"/>
            <w:right w:val="none" w:sz="0" w:space="0" w:color="auto"/>
          </w:divBdr>
        </w:div>
        <w:div w:id="715198814">
          <w:marLeft w:val="0"/>
          <w:marRight w:val="0"/>
          <w:marTop w:val="0"/>
          <w:marBottom w:val="0"/>
          <w:divBdr>
            <w:top w:val="none" w:sz="0" w:space="0" w:color="auto"/>
            <w:left w:val="none" w:sz="0" w:space="0" w:color="auto"/>
            <w:bottom w:val="none" w:sz="0" w:space="0" w:color="auto"/>
            <w:right w:val="none" w:sz="0" w:space="0" w:color="auto"/>
          </w:divBdr>
        </w:div>
        <w:div w:id="717513114">
          <w:marLeft w:val="0"/>
          <w:marRight w:val="0"/>
          <w:marTop w:val="0"/>
          <w:marBottom w:val="0"/>
          <w:divBdr>
            <w:top w:val="none" w:sz="0" w:space="0" w:color="auto"/>
            <w:left w:val="none" w:sz="0" w:space="0" w:color="auto"/>
            <w:bottom w:val="none" w:sz="0" w:space="0" w:color="auto"/>
            <w:right w:val="none" w:sz="0" w:space="0" w:color="auto"/>
          </w:divBdr>
        </w:div>
        <w:div w:id="730814731">
          <w:marLeft w:val="0"/>
          <w:marRight w:val="0"/>
          <w:marTop w:val="0"/>
          <w:marBottom w:val="0"/>
          <w:divBdr>
            <w:top w:val="none" w:sz="0" w:space="0" w:color="auto"/>
            <w:left w:val="none" w:sz="0" w:space="0" w:color="auto"/>
            <w:bottom w:val="none" w:sz="0" w:space="0" w:color="auto"/>
            <w:right w:val="none" w:sz="0" w:space="0" w:color="auto"/>
          </w:divBdr>
        </w:div>
        <w:div w:id="740903450">
          <w:marLeft w:val="0"/>
          <w:marRight w:val="0"/>
          <w:marTop w:val="0"/>
          <w:marBottom w:val="0"/>
          <w:divBdr>
            <w:top w:val="none" w:sz="0" w:space="0" w:color="auto"/>
            <w:left w:val="none" w:sz="0" w:space="0" w:color="auto"/>
            <w:bottom w:val="none" w:sz="0" w:space="0" w:color="auto"/>
            <w:right w:val="none" w:sz="0" w:space="0" w:color="auto"/>
          </w:divBdr>
        </w:div>
        <w:div w:id="750197557">
          <w:marLeft w:val="0"/>
          <w:marRight w:val="0"/>
          <w:marTop w:val="0"/>
          <w:marBottom w:val="0"/>
          <w:divBdr>
            <w:top w:val="none" w:sz="0" w:space="0" w:color="auto"/>
            <w:left w:val="none" w:sz="0" w:space="0" w:color="auto"/>
            <w:bottom w:val="none" w:sz="0" w:space="0" w:color="auto"/>
            <w:right w:val="none" w:sz="0" w:space="0" w:color="auto"/>
          </w:divBdr>
        </w:div>
        <w:div w:id="755055360">
          <w:marLeft w:val="0"/>
          <w:marRight w:val="0"/>
          <w:marTop w:val="0"/>
          <w:marBottom w:val="0"/>
          <w:divBdr>
            <w:top w:val="none" w:sz="0" w:space="0" w:color="auto"/>
            <w:left w:val="none" w:sz="0" w:space="0" w:color="auto"/>
            <w:bottom w:val="none" w:sz="0" w:space="0" w:color="auto"/>
            <w:right w:val="none" w:sz="0" w:space="0" w:color="auto"/>
          </w:divBdr>
        </w:div>
        <w:div w:id="775640247">
          <w:marLeft w:val="0"/>
          <w:marRight w:val="0"/>
          <w:marTop w:val="0"/>
          <w:marBottom w:val="0"/>
          <w:divBdr>
            <w:top w:val="none" w:sz="0" w:space="0" w:color="auto"/>
            <w:left w:val="none" w:sz="0" w:space="0" w:color="auto"/>
            <w:bottom w:val="none" w:sz="0" w:space="0" w:color="auto"/>
            <w:right w:val="none" w:sz="0" w:space="0" w:color="auto"/>
          </w:divBdr>
        </w:div>
        <w:div w:id="776218697">
          <w:marLeft w:val="0"/>
          <w:marRight w:val="0"/>
          <w:marTop w:val="0"/>
          <w:marBottom w:val="0"/>
          <w:divBdr>
            <w:top w:val="none" w:sz="0" w:space="0" w:color="auto"/>
            <w:left w:val="none" w:sz="0" w:space="0" w:color="auto"/>
            <w:bottom w:val="none" w:sz="0" w:space="0" w:color="auto"/>
            <w:right w:val="none" w:sz="0" w:space="0" w:color="auto"/>
          </w:divBdr>
        </w:div>
        <w:div w:id="781649706">
          <w:marLeft w:val="0"/>
          <w:marRight w:val="0"/>
          <w:marTop w:val="0"/>
          <w:marBottom w:val="0"/>
          <w:divBdr>
            <w:top w:val="none" w:sz="0" w:space="0" w:color="auto"/>
            <w:left w:val="none" w:sz="0" w:space="0" w:color="auto"/>
            <w:bottom w:val="none" w:sz="0" w:space="0" w:color="auto"/>
            <w:right w:val="none" w:sz="0" w:space="0" w:color="auto"/>
          </w:divBdr>
        </w:div>
        <w:div w:id="787772358">
          <w:marLeft w:val="0"/>
          <w:marRight w:val="0"/>
          <w:marTop w:val="0"/>
          <w:marBottom w:val="0"/>
          <w:divBdr>
            <w:top w:val="none" w:sz="0" w:space="0" w:color="auto"/>
            <w:left w:val="none" w:sz="0" w:space="0" w:color="auto"/>
            <w:bottom w:val="none" w:sz="0" w:space="0" w:color="auto"/>
            <w:right w:val="none" w:sz="0" w:space="0" w:color="auto"/>
          </w:divBdr>
        </w:div>
        <w:div w:id="789785233">
          <w:marLeft w:val="0"/>
          <w:marRight w:val="0"/>
          <w:marTop w:val="0"/>
          <w:marBottom w:val="0"/>
          <w:divBdr>
            <w:top w:val="none" w:sz="0" w:space="0" w:color="auto"/>
            <w:left w:val="none" w:sz="0" w:space="0" w:color="auto"/>
            <w:bottom w:val="none" w:sz="0" w:space="0" w:color="auto"/>
            <w:right w:val="none" w:sz="0" w:space="0" w:color="auto"/>
          </w:divBdr>
        </w:div>
        <w:div w:id="790174257">
          <w:marLeft w:val="0"/>
          <w:marRight w:val="0"/>
          <w:marTop w:val="0"/>
          <w:marBottom w:val="0"/>
          <w:divBdr>
            <w:top w:val="none" w:sz="0" w:space="0" w:color="auto"/>
            <w:left w:val="none" w:sz="0" w:space="0" w:color="auto"/>
            <w:bottom w:val="none" w:sz="0" w:space="0" w:color="auto"/>
            <w:right w:val="none" w:sz="0" w:space="0" w:color="auto"/>
          </w:divBdr>
        </w:div>
        <w:div w:id="808473568">
          <w:marLeft w:val="0"/>
          <w:marRight w:val="0"/>
          <w:marTop w:val="0"/>
          <w:marBottom w:val="0"/>
          <w:divBdr>
            <w:top w:val="none" w:sz="0" w:space="0" w:color="auto"/>
            <w:left w:val="none" w:sz="0" w:space="0" w:color="auto"/>
            <w:bottom w:val="none" w:sz="0" w:space="0" w:color="auto"/>
            <w:right w:val="none" w:sz="0" w:space="0" w:color="auto"/>
          </w:divBdr>
        </w:div>
        <w:div w:id="831410382">
          <w:marLeft w:val="0"/>
          <w:marRight w:val="0"/>
          <w:marTop w:val="0"/>
          <w:marBottom w:val="0"/>
          <w:divBdr>
            <w:top w:val="none" w:sz="0" w:space="0" w:color="auto"/>
            <w:left w:val="none" w:sz="0" w:space="0" w:color="auto"/>
            <w:bottom w:val="none" w:sz="0" w:space="0" w:color="auto"/>
            <w:right w:val="none" w:sz="0" w:space="0" w:color="auto"/>
          </w:divBdr>
        </w:div>
        <w:div w:id="866869729">
          <w:marLeft w:val="0"/>
          <w:marRight w:val="0"/>
          <w:marTop w:val="0"/>
          <w:marBottom w:val="0"/>
          <w:divBdr>
            <w:top w:val="none" w:sz="0" w:space="0" w:color="auto"/>
            <w:left w:val="none" w:sz="0" w:space="0" w:color="auto"/>
            <w:bottom w:val="none" w:sz="0" w:space="0" w:color="auto"/>
            <w:right w:val="none" w:sz="0" w:space="0" w:color="auto"/>
          </w:divBdr>
        </w:div>
        <w:div w:id="885413025">
          <w:marLeft w:val="0"/>
          <w:marRight w:val="0"/>
          <w:marTop w:val="0"/>
          <w:marBottom w:val="0"/>
          <w:divBdr>
            <w:top w:val="none" w:sz="0" w:space="0" w:color="auto"/>
            <w:left w:val="none" w:sz="0" w:space="0" w:color="auto"/>
            <w:bottom w:val="none" w:sz="0" w:space="0" w:color="auto"/>
            <w:right w:val="none" w:sz="0" w:space="0" w:color="auto"/>
          </w:divBdr>
        </w:div>
        <w:div w:id="930548872">
          <w:marLeft w:val="0"/>
          <w:marRight w:val="0"/>
          <w:marTop w:val="0"/>
          <w:marBottom w:val="0"/>
          <w:divBdr>
            <w:top w:val="none" w:sz="0" w:space="0" w:color="auto"/>
            <w:left w:val="none" w:sz="0" w:space="0" w:color="auto"/>
            <w:bottom w:val="none" w:sz="0" w:space="0" w:color="auto"/>
            <w:right w:val="none" w:sz="0" w:space="0" w:color="auto"/>
          </w:divBdr>
        </w:div>
        <w:div w:id="943076541">
          <w:marLeft w:val="0"/>
          <w:marRight w:val="0"/>
          <w:marTop w:val="0"/>
          <w:marBottom w:val="0"/>
          <w:divBdr>
            <w:top w:val="none" w:sz="0" w:space="0" w:color="auto"/>
            <w:left w:val="none" w:sz="0" w:space="0" w:color="auto"/>
            <w:bottom w:val="none" w:sz="0" w:space="0" w:color="auto"/>
            <w:right w:val="none" w:sz="0" w:space="0" w:color="auto"/>
          </w:divBdr>
        </w:div>
        <w:div w:id="944464161">
          <w:marLeft w:val="0"/>
          <w:marRight w:val="0"/>
          <w:marTop w:val="0"/>
          <w:marBottom w:val="0"/>
          <w:divBdr>
            <w:top w:val="none" w:sz="0" w:space="0" w:color="auto"/>
            <w:left w:val="none" w:sz="0" w:space="0" w:color="auto"/>
            <w:bottom w:val="none" w:sz="0" w:space="0" w:color="auto"/>
            <w:right w:val="none" w:sz="0" w:space="0" w:color="auto"/>
          </w:divBdr>
        </w:div>
        <w:div w:id="951976323">
          <w:marLeft w:val="0"/>
          <w:marRight w:val="0"/>
          <w:marTop w:val="0"/>
          <w:marBottom w:val="0"/>
          <w:divBdr>
            <w:top w:val="none" w:sz="0" w:space="0" w:color="auto"/>
            <w:left w:val="none" w:sz="0" w:space="0" w:color="auto"/>
            <w:bottom w:val="none" w:sz="0" w:space="0" w:color="auto"/>
            <w:right w:val="none" w:sz="0" w:space="0" w:color="auto"/>
          </w:divBdr>
        </w:div>
        <w:div w:id="964430929">
          <w:marLeft w:val="0"/>
          <w:marRight w:val="0"/>
          <w:marTop w:val="0"/>
          <w:marBottom w:val="0"/>
          <w:divBdr>
            <w:top w:val="none" w:sz="0" w:space="0" w:color="auto"/>
            <w:left w:val="none" w:sz="0" w:space="0" w:color="auto"/>
            <w:bottom w:val="none" w:sz="0" w:space="0" w:color="auto"/>
            <w:right w:val="none" w:sz="0" w:space="0" w:color="auto"/>
          </w:divBdr>
        </w:div>
        <w:div w:id="1015378676">
          <w:marLeft w:val="0"/>
          <w:marRight w:val="0"/>
          <w:marTop w:val="0"/>
          <w:marBottom w:val="0"/>
          <w:divBdr>
            <w:top w:val="none" w:sz="0" w:space="0" w:color="auto"/>
            <w:left w:val="none" w:sz="0" w:space="0" w:color="auto"/>
            <w:bottom w:val="none" w:sz="0" w:space="0" w:color="auto"/>
            <w:right w:val="none" w:sz="0" w:space="0" w:color="auto"/>
          </w:divBdr>
        </w:div>
        <w:div w:id="1020205858">
          <w:marLeft w:val="0"/>
          <w:marRight w:val="0"/>
          <w:marTop w:val="0"/>
          <w:marBottom w:val="0"/>
          <w:divBdr>
            <w:top w:val="none" w:sz="0" w:space="0" w:color="auto"/>
            <w:left w:val="none" w:sz="0" w:space="0" w:color="auto"/>
            <w:bottom w:val="none" w:sz="0" w:space="0" w:color="auto"/>
            <w:right w:val="none" w:sz="0" w:space="0" w:color="auto"/>
          </w:divBdr>
        </w:div>
        <w:div w:id="1029069405">
          <w:marLeft w:val="0"/>
          <w:marRight w:val="0"/>
          <w:marTop w:val="0"/>
          <w:marBottom w:val="0"/>
          <w:divBdr>
            <w:top w:val="none" w:sz="0" w:space="0" w:color="auto"/>
            <w:left w:val="none" w:sz="0" w:space="0" w:color="auto"/>
            <w:bottom w:val="none" w:sz="0" w:space="0" w:color="auto"/>
            <w:right w:val="none" w:sz="0" w:space="0" w:color="auto"/>
          </w:divBdr>
        </w:div>
        <w:div w:id="1034577151">
          <w:marLeft w:val="0"/>
          <w:marRight w:val="0"/>
          <w:marTop w:val="0"/>
          <w:marBottom w:val="0"/>
          <w:divBdr>
            <w:top w:val="none" w:sz="0" w:space="0" w:color="auto"/>
            <w:left w:val="none" w:sz="0" w:space="0" w:color="auto"/>
            <w:bottom w:val="none" w:sz="0" w:space="0" w:color="auto"/>
            <w:right w:val="none" w:sz="0" w:space="0" w:color="auto"/>
          </w:divBdr>
        </w:div>
        <w:div w:id="1049572362">
          <w:marLeft w:val="0"/>
          <w:marRight w:val="0"/>
          <w:marTop w:val="0"/>
          <w:marBottom w:val="0"/>
          <w:divBdr>
            <w:top w:val="none" w:sz="0" w:space="0" w:color="auto"/>
            <w:left w:val="none" w:sz="0" w:space="0" w:color="auto"/>
            <w:bottom w:val="none" w:sz="0" w:space="0" w:color="auto"/>
            <w:right w:val="none" w:sz="0" w:space="0" w:color="auto"/>
          </w:divBdr>
        </w:div>
        <w:div w:id="1049649777">
          <w:marLeft w:val="0"/>
          <w:marRight w:val="0"/>
          <w:marTop w:val="0"/>
          <w:marBottom w:val="0"/>
          <w:divBdr>
            <w:top w:val="none" w:sz="0" w:space="0" w:color="auto"/>
            <w:left w:val="none" w:sz="0" w:space="0" w:color="auto"/>
            <w:bottom w:val="none" w:sz="0" w:space="0" w:color="auto"/>
            <w:right w:val="none" w:sz="0" w:space="0" w:color="auto"/>
          </w:divBdr>
        </w:div>
        <w:div w:id="1053237623">
          <w:marLeft w:val="0"/>
          <w:marRight w:val="0"/>
          <w:marTop w:val="0"/>
          <w:marBottom w:val="0"/>
          <w:divBdr>
            <w:top w:val="none" w:sz="0" w:space="0" w:color="auto"/>
            <w:left w:val="none" w:sz="0" w:space="0" w:color="auto"/>
            <w:bottom w:val="none" w:sz="0" w:space="0" w:color="auto"/>
            <w:right w:val="none" w:sz="0" w:space="0" w:color="auto"/>
          </w:divBdr>
        </w:div>
        <w:div w:id="1061100534">
          <w:marLeft w:val="0"/>
          <w:marRight w:val="0"/>
          <w:marTop w:val="0"/>
          <w:marBottom w:val="0"/>
          <w:divBdr>
            <w:top w:val="none" w:sz="0" w:space="0" w:color="auto"/>
            <w:left w:val="none" w:sz="0" w:space="0" w:color="auto"/>
            <w:bottom w:val="none" w:sz="0" w:space="0" w:color="auto"/>
            <w:right w:val="none" w:sz="0" w:space="0" w:color="auto"/>
          </w:divBdr>
        </w:div>
        <w:div w:id="1061295561">
          <w:marLeft w:val="0"/>
          <w:marRight w:val="0"/>
          <w:marTop w:val="0"/>
          <w:marBottom w:val="0"/>
          <w:divBdr>
            <w:top w:val="none" w:sz="0" w:space="0" w:color="auto"/>
            <w:left w:val="none" w:sz="0" w:space="0" w:color="auto"/>
            <w:bottom w:val="none" w:sz="0" w:space="0" w:color="auto"/>
            <w:right w:val="none" w:sz="0" w:space="0" w:color="auto"/>
          </w:divBdr>
        </w:div>
        <w:div w:id="1082218470">
          <w:marLeft w:val="0"/>
          <w:marRight w:val="0"/>
          <w:marTop w:val="0"/>
          <w:marBottom w:val="0"/>
          <w:divBdr>
            <w:top w:val="none" w:sz="0" w:space="0" w:color="auto"/>
            <w:left w:val="none" w:sz="0" w:space="0" w:color="auto"/>
            <w:bottom w:val="none" w:sz="0" w:space="0" w:color="auto"/>
            <w:right w:val="none" w:sz="0" w:space="0" w:color="auto"/>
          </w:divBdr>
        </w:div>
        <w:div w:id="1082413608">
          <w:marLeft w:val="0"/>
          <w:marRight w:val="0"/>
          <w:marTop w:val="0"/>
          <w:marBottom w:val="0"/>
          <w:divBdr>
            <w:top w:val="none" w:sz="0" w:space="0" w:color="auto"/>
            <w:left w:val="none" w:sz="0" w:space="0" w:color="auto"/>
            <w:bottom w:val="none" w:sz="0" w:space="0" w:color="auto"/>
            <w:right w:val="none" w:sz="0" w:space="0" w:color="auto"/>
          </w:divBdr>
        </w:div>
        <w:div w:id="1092817584">
          <w:marLeft w:val="0"/>
          <w:marRight w:val="0"/>
          <w:marTop w:val="0"/>
          <w:marBottom w:val="0"/>
          <w:divBdr>
            <w:top w:val="none" w:sz="0" w:space="0" w:color="auto"/>
            <w:left w:val="none" w:sz="0" w:space="0" w:color="auto"/>
            <w:bottom w:val="none" w:sz="0" w:space="0" w:color="auto"/>
            <w:right w:val="none" w:sz="0" w:space="0" w:color="auto"/>
          </w:divBdr>
        </w:div>
        <w:div w:id="1096828054">
          <w:marLeft w:val="0"/>
          <w:marRight w:val="0"/>
          <w:marTop w:val="0"/>
          <w:marBottom w:val="0"/>
          <w:divBdr>
            <w:top w:val="none" w:sz="0" w:space="0" w:color="auto"/>
            <w:left w:val="none" w:sz="0" w:space="0" w:color="auto"/>
            <w:bottom w:val="none" w:sz="0" w:space="0" w:color="auto"/>
            <w:right w:val="none" w:sz="0" w:space="0" w:color="auto"/>
          </w:divBdr>
        </w:div>
        <w:div w:id="1100372361">
          <w:marLeft w:val="0"/>
          <w:marRight w:val="0"/>
          <w:marTop w:val="0"/>
          <w:marBottom w:val="0"/>
          <w:divBdr>
            <w:top w:val="none" w:sz="0" w:space="0" w:color="auto"/>
            <w:left w:val="none" w:sz="0" w:space="0" w:color="auto"/>
            <w:bottom w:val="none" w:sz="0" w:space="0" w:color="auto"/>
            <w:right w:val="none" w:sz="0" w:space="0" w:color="auto"/>
          </w:divBdr>
        </w:div>
        <w:div w:id="1103575136">
          <w:marLeft w:val="0"/>
          <w:marRight w:val="0"/>
          <w:marTop w:val="0"/>
          <w:marBottom w:val="0"/>
          <w:divBdr>
            <w:top w:val="none" w:sz="0" w:space="0" w:color="auto"/>
            <w:left w:val="none" w:sz="0" w:space="0" w:color="auto"/>
            <w:bottom w:val="none" w:sz="0" w:space="0" w:color="auto"/>
            <w:right w:val="none" w:sz="0" w:space="0" w:color="auto"/>
          </w:divBdr>
        </w:div>
        <w:div w:id="1106191348">
          <w:marLeft w:val="0"/>
          <w:marRight w:val="0"/>
          <w:marTop w:val="0"/>
          <w:marBottom w:val="0"/>
          <w:divBdr>
            <w:top w:val="none" w:sz="0" w:space="0" w:color="auto"/>
            <w:left w:val="none" w:sz="0" w:space="0" w:color="auto"/>
            <w:bottom w:val="none" w:sz="0" w:space="0" w:color="auto"/>
            <w:right w:val="none" w:sz="0" w:space="0" w:color="auto"/>
          </w:divBdr>
        </w:div>
        <w:div w:id="1129124356">
          <w:marLeft w:val="0"/>
          <w:marRight w:val="0"/>
          <w:marTop w:val="0"/>
          <w:marBottom w:val="0"/>
          <w:divBdr>
            <w:top w:val="none" w:sz="0" w:space="0" w:color="auto"/>
            <w:left w:val="none" w:sz="0" w:space="0" w:color="auto"/>
            <w:bottom w:val="none" w:sz="0" w:space="0" w:color="auto"/>
            <w:right w:val="none" w:sz="0" w:space="0" w:color="auto"/>
          </w:divBdr>
        </w:div>
        <w:div w:id="1134056582">
          <w:marLeft w:val="0"/>
          <w:marRight w:val="0"/>
          <w:marTop w:val="0"/>
          <w:marBottom w:val="0"/>
          <w:divBdr>
            <w:top w:val="none" w:sz="0" w:space="0" w:color="auto"/>
            <w:left w:val="none" w:sz="0" w:space="0" w:color="auto"/>
            <w:bottom w:val="none" w:sz="0" w:space="0" w:color="auto"/>
            <w:right w:val="none" w:sz="0" w:space="0" w:color="auto"/>
          </w:divBdr>
        </w:div>
        <w:div w:id="1156342505">
          <w:marLeft w:val="0"/>
          <w:marRight w:val="0"/>
          <w:marTop w:val="0"/>
          <w:marBottom w:val="0"/>
          <w:divBdr>
            <w:top w:val="none" w:sz="0" w:space="0" w:color="auto"/>
            <w:left w:val="none" w:sz="0" w:space="0" w:color="auto"/>
            <w:bottom w:val="none" w:sz="0" w:space="0" w:color="auto"/>
            <w:right w:val="none" w:sz="0" w:space="0" w:color="auto"/>
          </w:divBdr>
        </w:div>
        <w:div w:id="1193104540">
          <w:marLeft w:val="0"/>
          <w:marRight w:val="0"/>
          <w:marTop w:val="0"/>
          <w:marBottom w:val="0"/>
          <w:divBdr>
            <w:top w:val="none" w:sz="0" w:space="0" w:color="auto"/>
            <w:left w:val="none" w:sz="0" w:space="0" w:color="auto"/>
            <w:bottom w:val="none" w:sz="0" w:space="0" w:color="auto"/>
            <w:right w:val="none" w:sz="0" w:space="0" w:color="auto"/>
          </w:divBdr>
        </w:div>
        <w:div w:id="1194342822">
          <w:marLeft w:val="0"/>
          <w:marRight w:val="0"/>
          <w:marTop w:val="0"/>
          <w:marBottom w:val="0"/>
          <w:divBdr>
            <w:top w:val="none" w:sz="0" w:space="0" w:color="auto"/>
            <w:left w:val="none" w:sz="0" w:space="0" w:color="auto"/>
            <w:bottom w:val="none" w:sz="0" w:space="0" w:color="auto"/>
            <w:right w:val="none" w:sz="0" w:space="0" w:color="auto"/>
          </w:divBdr>
        </w:div>
        <w:div w:id="1214386677">
          <w:marLeft w:val="0"/>
          <w:marRight w:val="0"/>
          <w:marTop w:val="0"/>
          <w:marBottom w:val="0"/>
          <w:divBdr>
            <w:top w:val="none" w:sz="0" w:space="0" w:color="auto"/>
            <w:left w:val="none" w:sz="0" w:space="0" w:color="auto"/>
            <w:bottom w:val="none" w:sz="0" w:space="0" w:color="auto"/>
            <w:right w:val="none" w:sz="0" w:space="0" w:color="auto"/>
          </w:divBdr>
        </w:div>
        <w:div w:id="1220050327">
          <w:marLeft w:val="0"/>
          <w:marRight w:val="0"/>
          <w:marTop w:val="0"/>
          <w:marBottom w:val="0"/>
          <w:divBdr>
            <w:top w:val="none" w:sz="0" w:space="0" w:color="auto"/>
            <w:left w:val="none" w:sz="0" w:space="0" w:color="auto"/>
            <w:bottom w:val="none" w:sz="0" w:space="0" w:color="auto"/>
            <w:right w:val="none" w:sz="0" w:space="0" w:color="auto"/>
          </w:divBdr>
        </w:div>
        <w:div w:id="1254513594">
          <w:marLeft w:val="0"/>
          <w:marRight w:val="0"/>
          <w:marTop w:val="0"/>
          <w:marBottom w:val="0"/>
          <w:divBdr>
            <w:top w:val="none" w:sz="0" w:space="0" w:color="auto"/>
            <w:left w:val="none" w:sz="0" w:space="0" w:color="auto"/>
            <w:bottom w:val="none" w:sz="0" w:space="0" w:color="auto"/>
            <w:right w:val="none" w:sz="0" w:space="0" w:color="auto"/>
          </w:divBdr>
        </w:div>
        <w:div w:id="1284070058">
          <w:marLeft w:val="0"/>
          <w:marRight w:val="0"/>
          <w:marTop w:val="0"/>
          <w:marBottom w:val="0"/>
          <w:divBdr>
            <w:top w:val="none" w:sz="0" w:space="0" w:color="auto"/>
            <w:left w:val="none" w:sz="0" w:space="0" w:color="auto"/>
            <w:bottom w:val="none" w:sz="0" w:space="0" w:color="auto"/>
            <w:right w:val="none" w:sz="0" w:space="0" w:color="auto"/>
          </w:divBdr>
        </w:div>
        <w:div w:id="1300456773">
          <w:marLeft w:val="0"/>
          <w:marRight w:val="0"/>
          <w:marTop w:val="0"/>
          <w:marBottom w:val="0"/>
          <w:divBdr>
            <w:top w:val="none" w:sz="0" w:space="0" w:color="auto"/>
            <w:left w:val="none" w:sz="0" w:space="0" w:color="auto"/>
            <w:bottom w:val="none" w:sz="0" w:space="0" w:color="auto"/>
            <w:right w:val="none" w:sz="0" w:space="0" w:color="auto"/>
          </w:divBdr>
        </w:div>
        <w:div w:id="1304391210">
          <w:marLeft w:val="0"/>
          <w:marRight w:val="0"/>
          <w:marTop w:val="0"/>
          <w:marBottom w:val="0"/>
          <w:divBdr>
            <w:top w:val="none" w:sz="0" w:space="0" w:color="auto"/>
            <w:left w:val="none" w:sz="0" w:space="0" w:color="auto"/>
            <w:bottom w:val="none" w:sz="0" w:space="0" w:color="auto"/>
            <w:right w:val="none" w:sz="0" w:space="0" w:color="auto"/>
          </w:divBdr>
        </w:div>
        <w:div w:id="1321420248">
          <w:marLeft w:val="0"/>
          <w:marRight w:val="0"/>
          <w:marTop w:val="0"/>
          <w:marBottom w:val="0"/>
          <w:divBdr>
            <w:top w:val="none" w:sz="0" w:space="0" w:color="auto"/>
            <w:left w:val="none" w:sz="0" w:space="0" w:color="auto"/>
            <w:bottom w:val="none" w:sz="0" w:space="0" w:color="auto"/>
            <w:right w:val="none" w:sz="0" w:space="0" w:color="auto"/>
          </w:divBdr>
        </w:div>
        <w:div w:id="1322853816">
          <w:marLeft w:val="0"/>
          <w:marRight w:val="0"/>
          <w:marTop w:val="0"/>
          <w:marBottom w:val="0"/>
          <w:divBdr>
            <w:top w:val="none" w:sz="0" w:space="0" w:color="auto"/>
            <w:left w:val="none" w:sz="0" w:space="0" w:color="auto"/>
            <w:bottom w:val="none" w:sz="0" w:space="0" w:color="auto"/>
            <w:right w:val="none" w:sz="0" w:space="0" w:color="auto"/>
          </w:divBdr>
        </w:div>
        <w:div w:id="1336154364">
          <w:marLeft w:val="0"/>
          <w:marRight w:val="0"/>
          <w:marTop w:val="0"/>
          <w:marBottom w:val="0"/>
          <w:divBdr>
            <w:top w:val="none" w:sz="0" w:space="0" w:color="auto"/>
            <w:left w:val="none" w:sz="0" w:space="0" w:color="auto"/>
            <w:bottom w:val="none" w:sz="0" w:space="0" w:color="auto"/>
            <w:right w:val="none" w:sz="0" w:space="0" w:color="auto"/>
          </w:divBdr>
        </w:div>
        <w:div w:id="1344626326">
          <w:marLeft w:val="0"/>
          <w:marRight w:val="0"/>
          <w:marTop w:val="0"/>
          <w:marBottom w:val="0"/>
          <w:divBdr>
            <w:top w:val="none" w:sz="0" w:space="0" w:color="auto"/>
            <w:left w:val="none" w:sz="0" w:space="0" w:color="auto"/>
            <w:bottom w:val="none" w:sz="0" w:space="0" w:color="auto"/>
            <w:right w:val="none" w:sz="0" w:space="0" w:color="auto"/>
          </w:divBdr>
        </w:div>
        <w:div w:id="1354959267">
          <w:marLeft w:val="0"/>
          <w:marRight w:val="0"/>
          <w:marTop w:val="0"/>
          <w:marBottom w:val="0"/>
          <w:divBdr>
            <w:top w:val="none" w:sz="0" w:space="0" w:color="auto"/>
            <w:left w:val="none" w:sz="0" w:space="0" w:color="auto"/>
            <w:bottom w:val="none" w:sz="0" w:space="0" w:color="auto"/>
            <w:right w:val="none" w:sz="0" w:space="0" w:color="auto"/>
          </w:divBdr>
        </w:div>
        <w:div w:id="1388339956">
          <w:marLeft w:val="0"/>
          <w:marRight w:val="0"/>
          <w:marTop w:val="0"/>
          <w:marBottom w:val="0"/>
          <w:divBdr>
            <w:top w:val="none" w:sz="0" w:space="0" w:color="auto"/>
            <w:left w:val="none" w:sz="0" w:space="0" w:color="auto"/>
            <w:bottom w:val="none" w:sz="0" w:space="0" w:color="auto"/>
            <w:right w:val="none" w:sz="0" w:space="0" w:color="auto"/>
          </w:divBdr>
        </w:div>
        <w:div w:id="1392994498">
          <w:marLeft w:val="0"/>
          <w:marRight w:val="0"/>
          <w:marTop w:val="0"/>
          <w:marBottom w:val="0"/>
          <w:divBdr>
            <w:top w:val="none" w:sz="0" w:space="0" w:color="auto"/>
            <w:left w:val="none" w:sz="0" w:space="0" w:color="auto"/>
            <w:bottom w:val="none" w:sz="0" w:space="0" w:color="auto"/>
            <w:right w:val="none" w:sz="0" w:space="0" w:color="auto"/>
          </w:divBdr>
        </w:div>
        <w:div w:id="1399980247">
          <w:marLeft w:val="0"/>
          <w:marRight w:val="0"/>
          <w:marTop w:val="0"/>
          <w:marBottom w:val="0"/>
          <w:divBdr>
            <w:top w:val="none" w:sz="0" w:space="0" w:color="auto"/>
            <w:left w:val="none" w:sz="0" w:space="0" w:color="auto"/>
            <w:bottom w:val="none" w:sz="0" w:space="0" w:color="auto"/>
            <w:right w:val="none" w:sz="0" w:space="0" w:color="auto"/>
          </w:divBdr>
        </w:div>
        <w:div w:id="1409351685">
          <w:marLeft w:val="0"/>
          <w:marRight w:val="0"/>
          <w:marTop w:val="0"/>
          <w:marBottom w:val="0"/>
          <w:divBdr>
            <w:top w:val="none" w:sz="0" w:space="0" w:color="auto"/>
            <w:left w:val="none" w:sz="0" w:space="0" w:color="auto"/>
            <w:bottom w:val="none" w:sz="0" w:space="0" w:color="auto"/>
            <w:right w:val="none" w:sz="0" w:space="0" w:color="auto"/>
          </w:divBdr>
        </w:div>
        <w:div w:id="1409695391">
          <w:marLeft w:val="0"/>
          <w:marRight w:val="0"/>
          <w:marTop w:val="0"/>
          <w:marBottom w:val="0"/>
          <w:divBdr>
            <w:top w:val="none" w:sz="0" w:space="0" w:color="auto"/>
            <w:left w:val="none" w:sz="0" w:space="0" w:color="auto"/>
            <w:bottom w:val="none" w:sz="0" w:space="0" w:color="auto"/>
            <w:right w:val="none" w:sz="0" w:space="0" w:color="auto"/>
          </w:divBdr>
        </w:div>
        <w:div w:id="1431505292">
          <w:marLeft w:val="0"/>
          <w:marRight w:val="0"/>
          <w:marTop w:val="0"/>
          <w:marBottom w:val="0"/>
          <w:divBdr>
            <w:top w:val="none" w:sz="0" w:space="0" w:color="auto"/>
            <w:left w:val="none" w:sz="0" w:space="0" w:color="auto"/>
            <w:bottom w:val="none" w:sz="0" w:space="0" w:color="auto"/>
            <w:right w:val="none" w:sz="0" w:space="0" w:color="auto"/>
          </w:divBdr>
        </w:div>
        <w:div w:id="1432507680">
          <w:marLeft w:val="0"/>
          <w:marRight w:val="0"/>
          <w:marTop w:val="0"/>
          <w:marBottom w:val="0"/>
          <w:divBdr>
            <w:top w:val="none" w:sz="0" w:space="0" w:color="auto"/>
            <w:left w:val="none" w:sz="0" w:space="0" w:color="auto"/>
            <w:bottom w:val="none" w:sz="0" w:space="0" w:color="auto"/>
            <w:right w:val="none" w:sz="0" w:space="0" w:color="auto"/>
          </w:divBdr>
        </w:div>
        <w:div w:id="1459684438">
          <w:marLeft w:val="0"/>
          <w:marRight w:val="0"/>
          <w:marTop w:val="0"/>
          <w:marBottom w:val="0"/>
          <w:divBdr>
            <w:top w:val="none" w:sz="0" w:space="0" w:color="auto"/>
            <w:left w:val="none" w:sz="0" w:space="0" w:color="auto"/>
            <w:bottom w:val="none" w:sz="0" w:space="0" w:color="auto"/>
            <w:right w:val="none" w:sz="0" w:space="0" w:color="auto"/>
          </w:divBdr>
        </w:div>
        <w:div w:id="1461269385">
          <w:marLeft w:val="0"/>
          <w:marRight w:val="0"/>
          <w:marTop w:val="0"/>
          <w:marBottom w:val="0"/>
          <w:divBdr>
            <w:top w:val="none" w:sz="0" w:space="0" w:color="auto"/>
            <w:left w:val="none" w:sz="0" w:space="0" w:color="auto"/>
            <w:bottom w:val="none" w:sz="0" w:space="0" w:color="auto"/>
            <w:right w:val="none" w:sz="0" w:space="0" w:color="auto"/>
          </w:divBdr>
        </w:div>
        <w:div w:id="1463696070">
          <w:marLeft w:val="0"/>
          <w:marRight w:val="0"/>
          <w:marTop w:val="0"/>
          <w:marBottom w:val="0"/>
          <w:divBdr>
            <w:top w:val="none" w:sz="0" w:space="0" w:color="auto"/>
            <w:left w:val="none" w:sz="0" w:space="0" w:color="auto"/>
            <w:bottom w:val="none" w:sz="0" w:space="0" w:color="auto"/>
            <w:right w:val="none" w:sz="0" w:space="0" w:color="auto"/>
          </w:divBdr>
        </w:div>
        <w:div w:id="1463890060">
          <w:marLeft w:val="0"/>
          <w:marRight w:val="0"/>
          <w:marTop w:val="0"/>
          <w:marBottom w:val="0"/>
          <w:divBdr>
            <w:top w:val="none" w:sz="0" w:space="0" w:color="auto"/>
            <w:left w:val="none" w:sz="0" w:space="0" w:color="auto"/>
            <w:bottom w:val="none" w:sz="0" w:space="0" w:color="auto"/>
            <w:right w:val="none" w:sz="0" w:space="0" w:color="auto"/>
          </w:divBdr>
        </w:div>
        <w:div w:id="1493839950">
          <w:marLeft w:val="0"/>
          <w:marRight w:val="0"/>
          <w:marTop w:val="0"/>
          <w:marBottom w:val="0"/>
          <w:divBdr>
            <w:top w:val="none" w:sz="0" w:space="0" w:color="auto"/>
            <w:left w:val="none" w:sz="0" w:space="0" w:color="auto"/>
            <w:bottom w:val="none" w:sz="0" w:space="0" w:color="auto"/>
            <w:right w:val="none" w:sz="0" w:space="0" w:color="auto"/>
          </w:divBdr>
        </w:div>
        <w:div w:id="1517108700">
          <w:marLeft w:val="0"/>
          <w:marRight w:val="0"/>
          <w:marTop w:val="0"/>
          <w:marBottom w:val="0"/>
          <w:divBdr>
            <w:top w:val="none" w:sz="0" w:space="0" w:color="auto"/>
            <w:left w:val="none" w:sz="0" w:space="0" w:color="auto"/>
            <w:bottom w:val="none" w:sz="0" w:space="0" w:color="auto"/>
            <w:right w:val="none" w:sz="0" w:space="0" w:color="auto"/>
          </w:divBdr>
        </w:div>
        <w:div w:id="1569222804">
          <w:marLeft w:val="0"/>
          <w:marRight w:val="0"/>
          <w:marTop w:val="0"/>
          <w:marBottom w:val="0"/>
          <w:divBdr>
            <w:top w:val="none" w:sz="0" w:space="0" w:color="auto"/>
            <w:left w:val="none" w:sz="0" w:space="0" w:color="auto"/>
            <w:bottom w:val="none" w:sz="0" w:space="0" w:color="auto"/>
            <w:right w:val="none" w:sz="0" w:space="0" w:color="auto"/>
          </w:divBdr>
        </w:div>
        <w:div w:id="1573196831">
          <w:marLeft w:val="0"/>
          <w:marRight w:val="0"/>
          <w:marTop w:val="0"/>
          <w:marBottom w:val="0"/>
          <w:divBdr>
            <w:top w:val="none" w:sz="0" w:space="0" w:color="auto"/>
            <w:left w:val="none" w:sz="0" w:space="0" w:color="auto"/>
            <w:bottom w:val="none" w:sz="0" w:space="0" w:color="auto"/>
            <w:right w:val="none" w:sz="0" w:space="0" w:color="auto"/>
          </w:divBdr>
        </w:div>
        <w:div w:id="1603220501">
          <w:marLeft w:val="0"/>
          <w:marRight w:val="0"/>
          <w:marTop w:val="0"/>
          <w:marBottom w:val="0"/>
          <w:divBdr>
            <w:top w:val="none" w:sz="0" w:space="0" w:color="auto"/>
            <w:left w:val="none" w:sz="0" w:space="0" w:color="auto"/>
            <w:bottom w:val="none" w:sz="0" w:space="0" w:color="auto"/>
            <w:right w:val="none" w:sz="0" w:space="0" w:color="auto"/>
          </w:divBdr>
        </w:div>
        <w:div w:id="1605307313">
          <w:marLeft w:val="0"/>
          <w:marRight w:val="0"/>
          <w:marTop w:val="0"/>
          <w:marBottom w:val="0"/>
          <w:divBdr>
            <w:top w:val="none" w:sz="0" w:space="0" w:color="auto"/>
            <w:left w:val="none" w:sz="0" w:space="0" w:color="auto"/>
            <w:bottom w:val="none" w:sz="0" w:space="0" w:color="auto"/>
            <w:right w:val="none" w:sz="0" w:space="0" w:color="auto"/>
          </w:divBdr>
        </w:div>
        <w:div w:id="1613199741">
          <w:marLeft w:val="0"/>
          <w:marRight w:val="0"/>
          <w:marTop w:val="0"/>
          <w:marBottom w:val="0"/>
          <w:divBdr>
            <w:top w:val="none" w:sz="0" w:space="0" w:color="auto"/>
            <w:left w:val="none" w:sz="0" w:space="0" w:color="auto"/>
            <w:bottom w:val="none" w:sz="0" w:space="0" w:color="auto"/>
            <w:right w:val="none" w:sz="0" w:space="0" w:color="auto"/>
          </w:divBdr>
        </w:div>
        <w:div w:id="1619144525">
          <w:marLeft w:val="0"/>
          <w:marRight w:val="0"/>
          <w:marTop w:val="0"/>
          <w:marBottom w:val="0"/>
          <w:divBdr>
            <w:top w:val="none" w:sz="0" w:space="0" w:color="auto"/>
            <w:left w:val="none" w:sz="0" w:space="0" w:color="auto"/>
            <w:bottom w:val="none" w:sz="0" w:space="0" w:color="auto"/>
            <w:right w:val="none" w:sz="0" w:space="0" w:color="auto"/>
          </w:divBdr>
        </w:div>
        <w:div w:id="1661542489">
          <w:marLeft w:val="0"/>
          <w:marRight w:val="0"/>
          <w:marTop w:val="0"/>
          <w:marBottom w:val="0"/>
          <w:divBdr>
            <w:top w:val="none" w:sz="0" w:space="0" w:color="auto"/>
            <w:left w:val="none" w:sz="0" w:space="0" w:color="auto"/>
            <w:bottom w:val="none" w:sz="0" w:space="0" w:color="auto"/>
            <w:right w:val="none" w:sz="0" w:space="0" w:color="auto"/>
          </w:divBdr>
        </w:div>
        <w:div w:id="1680039857">
          <w:marLeft w:val="0"/>
          <w:marRight w:val="0"/>
          <w:marTop w:val="0"/>
          <w:marBottom w:val="0"/>
          <w:divBdr>
            <w:top w:val="none" w:sz="0" w:space="0" w:color="auto"/>
            <w:left w:val="none" w:sz="0" w:space="0" w:color="auto"/>
            <w:bottom w:val="none" w:sz="0" w:space="0" w:color="auto"/>
            <w:right w:val="none" w:sz="0" w:space="0" w:color="auto"/>
          </w:divBdr>
        </w:div>
        <w:div w:id="1708484848">
          <w:marLeft w:val="0"/>
          <w:marRight w:val="0"/>
          <w:marTop w:val="0"/>
          <w:marBottom w:val="0"/>
          <w:divBdr>
            <w:top w:val="none" w:sz="0" w:space="0" w:color="auto"/>
            <w:left w:val="none" w:sz="0" w:space="0" w:color="auto"/>
            <w:bottom w:val="none" w:sz="0" w:space="0" w:color="auto"/>
            <w:right w:val="none" w:sz="0" w:space="0" w:color="auto"/>
          </w:divBdr>
        </w:div>
        <w:div w:id="1712807627">
          <w:marLeft w:val="0"/>
          <w:marRight w:val="0"/>
          <w:marTop w:val="0"/>
          <w:marBottom w:val="0"/>
          <w:divBdr>
            <w:top w:val="none" w:sz="0" w:space="0" w:color="auto"/>
            <w:left w:val="none" w:sz="0" w:space="0" w:color="auto"/>
            <w:bottom w:val="none" w:sz="0" w:space="0" w:color="auto"/>
            <w:right w:val="none" w:sz="0" w:space="0" w:color="auto"/>
          </w:divBdr>
        </w:div>
        <w:div w:id="1725182569">
          <w:marLeft w:val="0"/>
          <w:marRight w:val="0"/>
          <w:marTop w:val="0"/>
          <w:marBottom w:val="0"/>
          <w:divBdr>
            <w:top w:val="none" w:sz="0" w:space="0" w:color="auto"/>
            <w:left w:val="none" w:sz="0" w:space="0" w:color="auto"/>
            <w:bottom w:val="none" w:sz="0" w:space="0" w:color="auto"/>
            <w:right w:val="none" w:sz="0" w:space="0" w:color="auto"/>
          </w:divBdr>
        </w:div>
        <w:div w:id="1727532894">
          <w:marLeft w:val="0"/>
          <w:marRight w:val="0"/>
          <w:marTop w:val="0"/>
          <w:marBottom w:val="0"/>
          <w:divBdr>
            <w:top w:val="none" w:sz="0" w:space="0" w:color="auto"/>
            <w:left w:val="none" w:sz="0" w:space="0" w:color="auto"/>
            <w:bottom w:val="none" w:sz="0" w:space="0" w:color="auto"/>
            <w:right w:val="none" w:sz="0" w:space="0" w:color="auto"/>
          </w:divBdr>
        </w:div>
        <w:div w:id="1729986440">
          <w:marLeft w:val="0"/>
          <w:marRight w:val="0"/>
          <w:marTop w:val="0"/>
          <w:marBottom w:val="0"/>
          <w:divBdr>
            <w:top w:val="none" w:sz="0" w:space="0" w:color="auto"/>
            <w:left w:val="none" w:sz="0" w:space="0" w:color="auto"/>
            <w:bottom w:val="none" w:sz="0" w:space="0" w:color="auto"/>
            <w:right w:val="none" w:sz="0" w:space="0" w:color="auto"/>
          </w:divBdr>
        </w:div>
        <w:div w:id="1736463494">
          <w:marLeft w:val="0"/>
          <w:marRight w:val="0"/>
          <w:marTop w:val="0"/>
          <w:marBottom w:val="0"/>
          <w:divBdr>
            <w:top w:val="none" w:sz="0" w:space="0" w:color="auto"/>
            <w:left w:val="none" w:sz="0" w:space="0" w:color="auto"/>
            <w:bottom w:val="none" w:sz="0" w:space="0" w:color="auto"/>
            <w:right w:val="none" w:sz="0" w:space="0" w:color="auto"/>
          </w:divBdr>
        </w:div>
        <w:div w:id="1758862581">
          <w:marLeft w:val="0"/>
          <w:marRight w:val="0"/>
          <w:marTop w:val="0"/>
          <w:marBottom w:val="0"/>
          <w:divBdr>
            <w:top w:val="none" w:sz="0" w:space="0" w:color="auto"/>
            <w:left w:val="none" w:sz="0" w:space="0" w:color="auto"/>
            <w:bottom w:val="none" w:sz="0" w:space="0" w:color="auto"/>
            <w:right w:val="none" w:sz="0" w:space="0" w:color="auto"/>
          </w:divBdr>
        </w:div>
        <w:div w:id="1773210207">
          <w:marLeft w:val="0"/>
          <w:marRight w:val="0"/>
          <w:marTop w:val="0"/>
          <w:marBottom w:val="0"/>
          <w:divBdr>
            <w:top w:val="none" w:sz="0" w:space="0" w:color="auto"/>
            <w:left w:val="none" w:sz="0" w:space="0" w:color="auto"/>
            <w:bottom w:val="none" w:sz="0" w:space="0" w:color="auto"/>
            <w:right w:val="none" w:sz="0" w:space="0" w:color="auto"/>
          </w:divBdr>
        </w:div>
        <w:div w:id="1783723098">
          <w:marLeft w:val="0"/>
          <w:marRight w:val="0"/>
          <w:marTop w:val="0"/>
          <w:marBottom w:val="0"/>
          <w:divBdr>
            <w:top w:val="none" w:sz="0" w:space="0" w:color="auto"/>
            <w:left w:val="none" w:sz="0" w:space="0" w:color="auto"/>
            <w:bottom w:val="none" w:sz="0" w:space="0" w:color="auto"/>
            <w:right w:val="none" w:sz="0" w:space="0" w:color="auto"/>
          </w:divBdr>
        </w:div>
        <w:div w:id="1805200814">
          <w:marLeft w:val="0"/>
          <w:marRight w:val="0"/>
          <w:marTop w:val="0"/>
          <w:marBottom w:val="0"/>
          <w:divBdr>
            <w:top w:val="none" w:sz="0" w:space="0" w:color="auto"/>
            <w:left w:val="none" w:sz="0" w:space="0" w:color="auto"/>
            <w:bottom w:val="none" w:sz="0" w:space="0" w:color="auto"/>
            <w:right w:val="none" w:sz="0" w:space="0" w:color="auto"/>
          </w:divBdr>
        </w:div>
        <w:div w:id="1807510244">
          <w:marLeft w:val="0"/>
          <w:marRight w:val="0"/>
          <w:marTop w:val="0"/>
          <w:marBottom w:val="0"/>
          <w:divBdr>
            <w:top w:val="none" w:sz="0" w:space="0" w:color="auto"/>
            <w:left w:val="none" w:sz="0" w:space="0" w:color="auto"/>
            <w:bottom w:val="none" w:sz="0" w:space="0" w:color="auto"/>
            <w:right w:val="none" w:sz="0" w:space="0" w:color="auto"/>
          </w:divBdr>
        </w:div>
        <w:div w:id="1831945776">
          <w:marLeft w:val="0"/>
          <w:marRight w:val="0"/>
          <w:marTop w:val="0"/>
          <w:marBottom w:val="0"/>
          <w:divBdr>
            <w:top w:val="none" w:sz="0" w:space="0" w:color="auto"/>
            <w:left w:val="none" w:sz="0" w:space="0" w:color="auto"/>
            <w:bottom w:val="none" w:sz="0" w:space="0" w:color="auto"/>
            <w:right w:val="none" w:sz="0" w:space="0" w:color="auto"/>
          </w:divBdr>
        </w:div>
        <w:div w:id="1846047934">
          <w:marLeft w:val="0"/>
          <w:marRight w:val="0"/>
          <w:marTop w:val="0"/>
          <w:marBottom w:val="0"/>
          <w:divBdr>
            <w:top w:val="none" w:sz="0" w:space="0" w:color="auto"/>
            <w:left w:val="none" w:sz="0" w:space="0" w:color="auto"/>
            <w:bottom w:val="none" w:sz="0" w:space="0" w:color="auto"/>
            <w:right w:val="none" w:sz="0" w:space="0" w:color="auto"/>
          </w:divBdr>
        </w:div>
        <w:div w:id="1848057558">
          <w:marLeft w:val="0"/>
          <w:marRight w:val="0"/>
          <w:marTop w:val="0"/>
          <w:marBottom w:val="0"/>
          <w:divBdr>
            <w:top w:val="none" w:sz="0" w:space="0" w:color="auto"/>
            <w:left w:val="none" w:sz="0" w:space="0" w:color="auto"/>
            <w:bottom w:val="none" w:sz="0" w:space="0" w:color="auto"/>
            <w:right w:val="none" w:sz="0" w:space="0" w:color="auto"/>
          </w:divBdr>
        </w:div>
        <w:div w:id="1877428347">
          <w:marLeft w:val="0"/>
          <w:marRight w:val="0"/>
          <w:marTop w:val="0"/>
          <w:marBottom w:val="0"/>
          <w:divBdr>
            <w:top w:val="none" w:sz="0" w:space="0" w:color="auto"/>
            <w:left w:val="none" w:sz="0" w:space="0" w:color="auto"/>
            <w:bottom w:val="none" w:sz="0" w:space="0" w:color="auto"/>
            <w:right w:val="none" w:sz="0" w:space="0" w:color="auto"/>
          </w:divBdr>
        </w:div>
        <w:div w:id="1902209418">
          <w:marLeft w:val="0"/>
          <w:marRight w:val="0"/>
          <w:marTop w:val="0"/>
          <w:marBottom w:val="0"/>
          <w:divBdr>
            <w:top w:val="none" w:sz="0" w:space="0" w:color="auto"/>
            <w:left w:val="none" w:sz="0" w:space="0" w:color="auto"/>
            <w:bottom w:val="none" w:sz="0" w:space="0" w:color="auto"/>
            <w:right w:val="none" w:sz="0" w:space="0" w:color="auto"/>
          </w:divBdr>
        </w:div>
        <w:div w:id="1920362404">
          <w:marLeft w:val="0"/>
          <w:marRight w:val="0"/>
          <w:marTop w:val="0"/>
          <w:marBottom w:val="0"/>
          <w:divBdr>
            <w:top w:val="none" w:sz="0" w:space="0" w:color="auto"/>
            <w:left w:val="none" w:sz="0" w:space="0" w:color="auto"/>
            <w:bottom w:val="none" w:sz="0" w:space="0" w:color="auto"/>
            <w:right w:val="none" w:sz="0" w:space="0" w:color="auto"/>
          </w:divBdr>
        </w:div>
        <w:div w:id="1923372218">
          <w:marLeft w:val="0"/>
          <w:marRight w:val="0"/>
          <w:marTop w:val="0"/>
          <w:marBottom w:val="0"/>
          <w:divBdr>
            <w:top w:val="none" w:sz="0" w:space="0" w:color="auto"/>
            <w:left w:val="none" w:sz="0" w:space="0" w:color="auto"/>
            <w:bottom w:val="none" w:sz="0" w:space="0" w:color="auto"/>
            <w:right w:val="none" w:sz="0" w:space="0" w:color="auto"/>
          </w:divBdr>
        </w:div>
        <w:div w:id="1923907503">
          <w:marLeft w:val="0"/>
          <w:marRight w:val="0"/>
          <w:marTop w:val="0"/>
          <w:marBottom w:val="0"/>
          <w:divBdr>
            <w:top w:val="none" w:sz="0" w:space="0" w:color="auto"/>
            <w:left w:val="none" w:sz="0" w:space="0" w:color="auto"/>
            <w:bottom w:val="none" w:sz="0" w:space="0" w:color="auto"/>
            <w:right w:val="none" w:sz="0" w:space="0" w:color="auto"/>
          </w:divBdr>
        </w:div>
        <w:div w:id="1949653314">
          <w:marLeft w:val="0"/>
          <w:marRight w:val="0"/>
          <w:marTop w:val="0"/>
          <w:marBottom w:val="0"/>
          <w:divBdr>
            <w:top w:val="none" w:sz="0" w:space="0" w:color="auto"/>
            <w:left w:val="none" w:sz="0" w:space="0" w:color="auto"/>
            <w:bottom w:val="none" w:sz="0" w:space="0" w:color="auto"/>
            <w:right w:val="none" w:sz="0" w:space="0" w:color="auto"/>
          </w:divBdr>
        </w:div>
        <w:div w:id="1962105808">
          <w:marLeft w:val="0"/>
          <w:marRight w:val="0"/>
          <w:marTop w:val="0"/>
          <w:marBottom w:val="0"/>
          <w:divBdr>
            <w:top w:val="none" w:sz="0" w:space="0" w:color="auto"/>
            <w:left w:val="none" w:sz="0" w:space="0" w:color="auto"/>
            <w:bottom w:val="none" w:sz="0" w:space="0" w:color="auto"/>
            <w:right w:val="none" w:sz="0" w:space="0" w:color="auto"/>
          </w:divBdr>
        </w:div>
        <w:div w:id="1967345023">
          <w:marLeft w:val="0"/>
          <w:marRight w:val="0"/>
          <w:marTop w:val="0"/>
          <w:marBottom w:val="0"/>
          <w:divBdr>
            <w:top w:val="none" w:sz="0" w:space="0" w:color="auto"/>
            <w:left w:val="none" w:sz="0" w:space="0" w:color="auto"/>
            <w:bottom w:val="none" w:sz="0" w:space="0" w:color="auto"/>
            <w:right w:val="none" w:sz="0" w:space="0" w:color="auto"/>
          </w:divBdr>
        </w:div>
        <w:div w:id="1984650278">
          <w:marLeft w:val="0"/>
          <w:marRight w:val="0"/>
          <w:marTop w:val="0"/>
          <w:marBottom w:val="0"/>
          <w:divBdr>
            <w:top w:val="none" w:sz="0" w:space="0" w:color="auto"/>
            <w:left w:val="none" w:sz="0" w:space="0" w:color="auto"/>
            <w:bottom w:val="none" w:sz="0" w:space="0" w:color="auto"/>
            <w:right w:val="none" w:sz="0" w:space="0" w:color="auto"/>
          </w:divBdr>
        </w:div>
        <w:div w:id="1991866107">
          <w:marLeft w:val="0"/>
          <w:marRight w:val="0"/>
          <w:marTop w:val="0"/>
          <w:marBottom w:val="0"/>
          <w:divBdr>
            <w:top w:val="none" w:sz="0" w:space="0" w:color="auto"/>
            <w:left w:val="none" w:sz="0" w:space="0" w:color="auto"/>
            <w:bottom w:val="none" w:sz="0" w:space="0" w:color="auto"/>
            <w:right w:val="none" w:sz="0" w:space="0" w:color="auto"/>
          </w:divBdr>
        </w:div>
        <w:div w:id="2027515173">
          <w:marLeft w:val="0"/>
          <w:marRight w:val="0"/>
          <w:marTop w:val="0"/>
          <w:marBottom w:val="0"/>
          <w:divBdr>
            <w:top w:val="none" w:sz="0" w:space="0" w:color="auto"/>
            <w:left w:val="none" w:sz="0" w:space="0" w:color="auto"/>
            <w:bottom w:val="none" w:sz="0" w:space="0" w:color="auto"/>
            <w:right w:val="none" w:sz="0" w:space="0" w:color="auto"/>
          </w:divBdr>
        </w:div>
        <w:div w:id="2028560993">
          <w:marLeft w:val="0"/>
          <w:marRight w:val="0"/>
          <w:marTop w:val="0"/>
          <w:marBottom w:val="0"/>
          <w:divBdr>
            <w:top w:val="none" w:sz="0" w:space="0" w:color="auto"/>
            <w:left w:val="none" w:sz="0" w:space="0" w:color="auto"/>
            <w:bottom w:val="none" w:sz="0" w:space="0" w:color="auto"/>
            <w:right w:val="none" w:sz="0" w:space="0" w:color="auto"/>
          </w:divBdr>
        </w:div>
      </w:divsChild>
    </w:div>
    <w:div w:id="146630240">
      <w:bodyDiv w:val="1"/>
      <w:marLeft w:val="0"/>
      <w:marRight w:val="0"/>
      <w:marTop w:val="0"/>
      <w:marBottom w:val="0"/>
      <w:divBdr>
        <w:top w:val="none" w:sz="0" w:space="0" w:color="auto"/>
        <w:left w:val="none" w:sz="0" w:space="0" w:color="auto"/>
        <w:bottom w:val="none" w:sz="0" w:space="0" w:color="auto"/>
        <w:right w:val="none" w:sz="0" w:space="0" w:color="auto"/>
      </w:divBdr>
    </w:div>
    <w:div w:id="146677161">
      <w:bodyDiv w:val="1"/>
      <w:marLeft w:val="0"/>
      <w:marRight w:val="0"/>
      <w:marTop w:val="0"/>
      <w:marBottom w:val="0"/>
      <w:divBdr>
        <w:top w:val="none" w:sz="0" w:space="0" w:color="auto"/>
        <w:left w:val="none" w:sz="0" w:space="0" w:color="auto"/>
        <w:bottom w:val="none" w:sz="0" w:space="0" w:color="auto"/>
        <w:right w:val="none" w:sz="0" w:space="0" w:color="auto"/>
      </w:divBdr>
    </w:div>
    <w:div w:id="146749520">
      <w:bodyDiv w:val="1"/>
      <w:marLeft w:val="0"/>
      <w:marRight w:val="0"/>
      <w:marTop w:val="0"/>
      <w:marBottom w:val="0"/>
      <w:divBdr>
        <w:top w:val="none" w:sz="0" w:space="0" w:color="auto"/>
        <w:left w:val="none" w:sz="0" w:space="0" w:color="auto"/>
        <w:bottom w:val="none" w:sz="0" w:space="0" w:color="auto"/>
        <w:right w:val="none" w:sz="0" w:space="0" w:color="auto"/>
      </w:divBdr>
    </w:div>
    <w:div w:id="146750435">
      <w:bodyDiv w:val="1"/>
      <w:marLeft w:val="0"/>
      <w:marRight w:val="0"/>
      <w:marTop w:val="0"/>
      <w:marBottom w:val="0"/>
      <w:divBdr>
        <w:top w:val="none" w:sz="0" w:space="0" w:color="auto"/>
        <w:left w:val="none" w:sz="0" w:space="0" w:color="auto"/>
        <w:bottom w:val="none" w:sz="0" w:space="0" w:color="auto"/>
        <w:right w:val="none" w:sz="0" w:space="0" w:color="auto"/>
      </w:divBdr>
    </w:div>
    <w:div w:id="146751196">
      <w:bodyDiv w:val="1"/>
      <w:marLeft w:val="0"/>
      <w:marRight w:val="0"/>
      <w:marTop w:val="0"/>
      <w:marBottom w:val="0"/>
      <w:divBdr>
        <w:top w:val="none" w:sz="0" w:space="0" w:color="auto"/>
        <w:left w:val="none" w:sz="0" w:space="0" w:color="auto"/>
        <w:bottom w:val="none" w:sz="0" w:space="0" w:color="auto"/>
        <w:right w:val="none" w:sz="0" w:space="0" w:color="auto"/>
      </w:divBdr>
    </w:div>
    <w:div w:id="146897574">
      <w:bodyDiv w:val="1"/>
      <w:marLeft w:val="0"/>
      <w:marRight w:val="0"/>
      <w:marTop w:val="0"/>
      <w:marBottom w:val="0"/>
      <w:divBdr>
        <w:top w:val="none" w:sz="0" w:space="0" w:color="auto"/>
        <w:left w:val="none" w:sz="0" w:space="0" w:color="auto"/>
        <w:bottom w:val="none" w:sz="0" w:space="0" w:color="auto"/>
        <w:right w:val="none" w:sz="0" w:space="0" w:color="auto"/>
      </w:divBdr>
    </w:div>
    <w:div w:id="146938987">
      <w:bodyDiv w:val="1"/>
      <w:marLeft w:val="0"/>
      <w:marRight w:val="0"/>
      <w:marTop w:val="0"/>
      <w:marBottom w:val="0"/>
      <w:divBdr>
        <w:top w:val="none" w:sz="0" w:space="0" w:color="auto"/>
        <w:left w:val="none" w:sz="0" w:space="0" w:color="auto"/>
        <w:bottom w:val="none" w:sz="0" w:space="0" w:color="auto"/>
        <w:right w:val="none" w:sz="0" w:space="0" w:color="auto"/>
      </w:divBdr>
    </w:div>
    <w:div w:id="147088835">
      <w:bodyDiv w:val="1"/>
      <w:marLeft w:val="0"/>
      <w:marRight w:val="0"/>
      <w:marTop w:val="0"/>
      <w:marBottom w:val="0"/>
      <w:divBdr>
        <w:top w:val="none" w:sz="0" w:space="0" w:color="auto"/>
        <w:left w:val="none" w:sz="0" w:space="0" w:color="auto"/>
        <w:bottom w:val="none" w:sz="0" w:space="0" w:color="auto"/>
        <w:right w:val="none" w:sz="0" w:space="0" w:color="auto"/>
      </w:divBdr>
    </w:div>
    <w:div w:id="147135778">
      <w:bodyDiv w:val="1"/>
      <w:marLeft w:val="0"/>
      <w:marRight w:val="0"/>
      <w:marTop w:val="0"/>
      <w:marBottom w:val="0"/>
      <w:divBdr>
        <w:top w:val="none" w:sz="0" w:space="0" w:color="auto"/>
        <w:left w:val="none" w:sz="0" w:space="0" w:color="auto"/>
        <w:bottom w:val="none" w:sz="0" w:space="0" w:color="auto"/>
        <w:right w:val="none" w:sz="0" w:space="0" w:color="auto"/>
      </w:divBdr>
    </w:div>
    <w:div w:id="147138786">
      <w:bodyDiv w:val="1"/>
      <w:marLeft w:val="0"/>
      <w:marRight w:val="0"/>
      <w:marTop w:val="0"/>
      <w:marBottom w:val="0"/>
      <w:divBdr>
        <w:top w:val="none" w:sz="0" w:space="0" w:color="auto"/>
        <w:left w:val="none" w:sz="0" w:space="0" w:color="auto"/>
        <w:bottom w:val="none" w:sz="0" w:space="0" w:color="auto"/>
        <w:right w:val="none" w:sz="0" w:space="0" w:color="auto"/>
      </w:divBdr>
    </w:div>
    <w:div w:id="147207888">
      <w:bodyDiv w:val="1"/>
      <w:marLeft w:val="0"/>
      <w:marRight w:val="0"/>
      <w:marTop w:val="0"/>
      <w:marBottom w:val="0"/>
      <w:divBdr>
        <w:top w:val="none" w:sz="0" w:space="0" w:color="auto"/>
        <w:left w:val="none" w:sz="0" w:space="0" w:color="auto"/>
        <w:bottom w:val="none" w:sz="0" w:space="0" w:color="auto"/>
        <w:right w:val="none" w:sz="0" w:space="0" w:color="auto"/>
      </w:divBdr>
    </w:div>
    <w:div w:id="147208432">
      <w:bodyDiv w:val="1"/>
      <w:marLeft w:val="0"/>
      <w:marRight w:val="0"/>
      <w:marTop w:val="0"/>
      <w:marBottom w:val="0"/>
      <w:divBdr>
        <w:top w:val="none" w:sz="0" w:space="0" w:color="auto"/>
        <w:left w:val="none" w:sz="0" w:space="0" w:color="auto"/>
        <w:bottom w:val="none" w:sz="0" w:space="0" w:color="auto"/>
        <w:right w:val="none" w:sz="0" w:space="0" w:color="auto"/>
      </w:divBdr>
    </w:div>
    <w:div w:id="147216160">
      <w:bodyDiv w:val="1"/>
      <w:marLeft w:val="0"/>
      <w:marRight w:val="0"/>
      <w:marTop w:val="0"/>
      <w:marBottom w:val="0"/>
      <w:divBdr>
        <w:top w:val="none" w:sz="0" w:space="0" w:color="auto"/>
        <w:left w:val="none" w:sz="0" w:space="0" w:color="auto"/>
        <w:bottom w:val="none" w:sz="0" w:space="0" w:color="auto"/>
        <w:right w:val="none" w:sz="0" w:space="0" w:color="auto"/>
      </w:divBdr>
    </w:div>
    <w:div w:id="147403536">
      <w:bodyDiv w:val="1"/>
      <w:marLeft w:val="0"/>
      <w:marRight w:val="0"/>
      <w:marTop w:val="0"/>
      <w:marBottom w:val="0"/>
      <w:divBdr>
        <w:top w:val="none" w:sz="0" w:space="0" w:color="auto"/>
        <w:left w:val="none" w:sz="0" w:space="0" w:color="auto"/>
        <w:bottom w:val="none" w:sz="0" w:space="0" w:color="auto"/>
        <w:right w:val="none" w:sz="0" w:space="0" w:color="auto"/>
      </w:divBdr>
    </w:div>
    <w:div w:id="147403601">
      <w:bodyDiv w:val="1"/>
      <w:marLeft w:val="0"/>
      <w:marRight w:val="0"/>
      <w:marTop w:val="0"/>
      <w:marBottom w:val="0"/>
      <w:divBdr>
        <w:top w:val="none" w:sz="0" w:space="0" w:color="auto"/>
        <w:left w:val="none" w:sz="0" w:space="0" w:color="auto"/>
        <w:bottom w:val="none" w:sz="0" w:space="0" w:color="auto"/>
        <w:right w:val="none" w:sz="0" w:space="0" w:color="auto"/>
      </w:divBdr>
    </w:div>
    <w:div w:id="147483665">
      <w:bodyDiv w:val="1"/>
      <w:marLeft w:val="0"/>
      <w:marRight w:val="0"/>
      <w:marTop w:val="0"/>
      <w:marBottom w:val="0"/>
      <w:divBdr>
        <w:top w:val="none" w:sz="0" w:space="0" w:color="auto"/>
        <w:left w:val="none" w:sz="0" w:space="0" w:color="auto"/>
        <w:bottom w:val="none" w:sz="0" w:space="0" w:color="auto"/>
        <w:right w:val="none" w:sz="0" w:space="0" w:color="auto"/>
      </w:divBdr>
    </w:div>
    <w:div w:id="147521947">
      <w:bodyDiv w:val="1"/>
      <w:marLeft w:val="0"/>
      <w:marRight w:val="0"/>
      <w:marTop w:val="0"/>
      <w:marBottom w:val="0"/>
      <w:divBdr>
        <w:top w:val="none" w:sz="0" w:space="0" w:color="auto"/>
        <w:left w:val="none" w:sz="0" w:space="0" w:color="auto"/>
        <w:bottom w:val="none" w:sz="0" w:space="0" w:color="auto"/>
        <w:right w:val="none" w:sz="0" w:space="0" w:color="auto"/>
      </w:divBdr>
    </w:div>
    <w:div w:id="147596247">
      <w:bodyDiv w:val="1"/>
      <w:marLeft w:val="0"/>
      <w:marRight w:val="0"/>
      <w:marTop w:val="0"/>
      <w:marBottom w:val="0"/>
      <w:divBdr>
        <w:top w:val="none" w:sz="0" w:space="0" w:color="auto"/>
        <w:left w:val="none" w:sz="0" w:space="0" w:color="auto"/>
        <w:bottom w:val="none" w:sz="0" w:space="0" w:color="auto"/>
        <w:right w:val="none" w:sz="0" w:space="0" w:color="auto"/>
      </w:divBdr>
    </w:div>
    <w:div w:id="147676248">
      <w:bodyDiv w:val="1"/>
      <w:marLeft w:val="0"/>
      <w:marRight w:val="0"/>
      <w:marTop w:val="0"/>
      <w:marBottom w:val="0"/>
      <w:divBdr>
        <w:top w:val="none" w:sz="0" w:space="0" w:color="auto"/>
        <w:left w:val="none" w:sz="0" w:space="0" w:color="auto"/>
        <w:bottom w:val="none" w:sz="0" w:space="0" w:color="auto"/>
        <w:right w:val="none" w:sz="0" w:space="0" w:color="auto"/>
      </w:divBdr>
    </w:div>
    <w:div w:id="147787674">
      <w:bodyDiv w:val="1"/>
      <w:marLeft w:val="0"/>
      <w:marRight w:val="0"/>
      <w:marTop w:val="0"/>
      <w:marBottom w:val="0"/>
      <w:divBdr>
        <w:top w:val="none" w:sz="0" w:space="0" w:color="auto"/>
        <w:left w:val="none" w:sz="0" w:space="0" w:color="auto"/>
        <w:bottom w:val="none" w:sz="0" w:space="0" w:color="auto"/>
        <w:right w:val="none" w:sz="0" w:space="0" w:color="auto"/>
      </w:divBdr>
    </w:div>
    <w:div w:id="147866219">
      <w:bodyDiv w:val="1"/>
      <w:marLeft w:val="0"/>
      <w:marRight w:val="0"/>
      <w:marTop w:val="0"/>
      <w:marBottom w:val="0"/>
      <w:divBdr>
        <w:top w:val="none" w:sz="0" w:space="0" w:color="auto"/>
        <w:left w:val="none" w:sz="0" w:space="0" w:color="auto"/>
        <w:bottom w:val="none" w:sz="0" w:space="0" w:color="auto"/>
        <w:right w:val="none" w:sz="0" w:space="0" w:color="auto"/>
      </w:divBdr>
    </w:div>
    <w:div w:id="147981450">
      <w:bodyDiv w:val="1"/>
      <w:marLeft w:val="0"/>
      <w:marRight w:val="0"/>
      <w:marTop w:val="0"/>
      <w:marBottom w:val="0"/>
      <w:divBdr>
        <w:top w:val="none" w:sz="0" w:space="0" w:color="auto"/>
        <w:left w:val="none" w:sz="0" w:space="0" w:color="auto"/>
        <w:bottom w:val="none" w:sz="0" w:space="0" w:color="auto"/>
        <w:right w:val="none" w:sz="0" w:space="0" w:color="auto"/>
      </w:divBdr>
    </w:div>
    <w:div w:id="148058770">
      <w:bodyDiv w:val="1"/>
      <w:marLeft w:val="0"/>
      <w:marRight w:val="0"/>
      <w:marTop w:val="0"/>
      <w:marBottom w:val="0"/>
      <w:divBdr>
        <w:top w:val="none" w:sz="0" w:space="0" w:color="auto"/>
        <w:left w:val="none" w:sz="0" w:space="0" w:color="auto"/>
        <w:bottom w:val="none" w:sz="0" w:space="0" w:color="auto"/>
        <w:right w:val="none" w:sz="0" w:space="0" w:color="auto"/>
      </w:divBdr>
    </w:div>
    <w:div w:id="148059083">
      <w:bodyDiv w:val="1"/>
      <w:marLeft w:val="0"/>
      <w:marRight w:val="0"/>
      <w:marTop w:val="0"/>
      <w:marBottom w:val="0"/>
      <w:divBdr>
        <w:top w:val="none" w:sz="0" w:space="0" w:color="auto"/>
        <w:left w:val="none" w:sz="0" w:space="0" w:color="auto"/>
        <w:bottom w:val="none" w:sz="0" w:space="0" w:color="auto"/>
        <w:right w:val="none" w:sz="0" w:space="0" w:color="auto"/>
      </w:divBdr>
    </w:div>
    <w:div w:id="148059087">
      <w:bodyDiv w:val="1"/>
      <w:marLeft w:val="0"/>
      <w:marRight w:val="0"/>
      <w:marTop w:val="0"/>
      <w:marBottom w:val="0"/>
      <w:divBdr>
        <w:top w:val="none" w:sz="0" w:space="0" w:color="auto"/>
        <w:left w:val="none" w:sz="0" w:space="0" w:color="auto"/>
        <w:bottom w:val="none" w:sz="0" w:space="0" w:color="auto"/>
        <w:right w:val="none" w:sz="0" w:space="0" w:color="auto"/>
      </w:divBdr>
    </w:div>
    <w:div w:id="148329467">
      <w:bodyDiv w:val="1"/>
      <w:marLeft w:val="0"/>
      <w:marRight w:val="0"/>
      <w:marTop w:val="0"/>
      <w:marBottom w:val="0"/>
      <w:divBdr>
        <w:top w:val="none" w:sz="0" w:space="0" w:color="auto"/>
        <w:left w:val="none" w:sz="0" w:space="0" w:color="auto"/>
        <w:bottom w:val="none" w:sz="0" w:space="0" w:color="auto"/>
        <w:right w:val="none" w:sz="0" w:space="0" w:color="auto"/>
      </w:divBdr>
    </w:div>
    <w:div w:id="148332036">
      <w:bodyDiv w:val="1"/>
      <w:marLeft w:val="0"/>
      <w:marRight w:val="0"/>
      <w:marTop w:val="0"/>
      <w:marBottom w:val="0"/>
      <w:divBdr>
        <w:top w:val="none" w:sz="0" w:space="0" w:color="auto"/>
        <w:left w:val="none" w:sz="0" w:space="0" w:color="auto"/>
        <w:bottom w:val="none" w:sz="0" w:space="0" w:color="auto"/>
        <w:right w:val="none" w:sz="0" w:space="0" w:color="auto"/>
      </w:divBdr>
    </w:div>
    <w:div w:id="148442587">
      <w:bodyDiv w:val="1"/>
      <w:marLeft w:val="0"/>
      <w:marRight w:val="0"/>
      <w:marTop w:val="0"/>
      <w:marBottom w:val="0"/>
      <w:divBdr>
        <w:top w:val="none" w:sz="0" w:space="0" w:color="auto"/>
        <w:left w:val="none" w:sz="0" w:space="0" w:color="auto"/>
        <w:bottom w:val="none" w:sz="0" w:space="0" w:color="auto"/>
        <w:right w:val="none" w:sz="0" w:space="0" w:color="auto"/>
      </w:divBdr>
    </w:div>
    <w:div w:id="148451457">
      <w:bodyDiv w:val="1"/>
      <w:marLeft w:val="0"/>
      <w:marRight w:val="0"/>
      <w:marTop w:val="0"/>
      <w:marBottom w:val="0"/>
      <w:divBdr>
        <w:top w:val="none" w:sz="0" w:space="0" w:color="auto"/>
        <w:left w:val="none" w:sz="0" w:space="0" w:color="auto"/>
        <w:bottom w:val="none" w:sz="0" w:space="0" w:color="auto"/>
        <w:right w:val="none" w:sz="0" w:space="0" w:color="auto"/>
      </w:divBdr>
    </w:div>
    <w:div w:id="148598846">
      <w:bodyDiv w:val="1"/>
      <w:marLeft w:val="0"/>
      <w:marRight w:val="0"/>
      <w:marTop w:val="0"/>
      <w:marBottom w:val="0"/>
      <w:divBdr>
        <w:top w:val="none" w:sz="0" w:space="0" w:color="auto"/>
        <w:left w:val="none" w:sz="0" w:space="0" w:color="auto"/>
        <w:bottom w:val="none" w:sz="0" w:space="0" w:color="auto"/>
        <w:right w:val="none" w:sz="0" w:space="0" w:color="auto"/>
      </w:divBdr>
    </w:div>
    <w:div w:id="148635850">
      <w:bodyDiv w:val="1"/>
      <w:marLeft w:val="0"/>
      <w:marRight w:val="0"/>
      <w:marTop w:val="0"/>
      <w:marBottom w:val="0"/>
      <w:divBdr>
        <w:top w:val="none" w:sz="0" w:space="0" w:color="auto"/>
        <w:left w:val="none" w:sz="0" w:space="0" w:color="auto"/>
        <w:bottom w:val="none" w:sz="0" w:space="0" w:color="auto"/>
        <w:right w:val="none" w:sz="0" w:space="0" w:color="auto"/>
      </w:divBdr>
    </w:div>
    <w:div w:id="148642950">
      <w:bodyDiv w:val="1"/>
      <w:marLeft w:val="0"/>
      <w:marRight w:val="0"/>
      <w:marTop w:val="0"/>
      <w:marBottom w:val="0"/>
      <w:divBdr>
        <w:top w:val="none" w:sz="0" w:space="0" w:color="auto"/>
        <w:left w:val="none" w:sz="0" w:space="0" w:color="auto"/>
        <w:bottom w:val="none" w:sz="0" w:space="0" w:color="auto"/>
        <w:right w:val="none" w:sz="0" w:space="0" w:color="auto"/>
      </w:divBdr>
    </w:div>
    <w:div w:id="148787834">
      <w:bodyDiv w:val="1"/>
      <w:marLeft w:val="0"/>
      <w:marRight w:val="0"/>
      <w:marTop w:val="0"/>
      <w:marBottom w:val="0"/>
      <w:divBdr>
        <w:top w:val="none" w:sz="0" w:space="0" w:color="auto"/>
        <w:left w:val="none" w:sz="0" w:space="0" w:color="auto"/>
        <w:bottom w:val="none" w:sz="0" w:space="0" w:color="auto"/>
        <w:right w:val="none" w:sz="0" w:space="0" w:color="auto"/>
      </w:divBdr>
    </w:div>
    <w:div w:id="148836320">
      <w:bodyDiv w:val="1"/>
      <w:marLeft w:val="0"/>
      <w:marRight w:val="0"/>
      <w:marTop w:val="0"/>
      <w:marBottom w:val="0"/>
      <w:divBdr>
        <w:top w:val="none" w:sz="0" w:space="0" w:color="auto"/>
        <w:left w:val="none" w:sz="0" w:space="0" w:color="auto"/>
        <w:bottom w:val="none" w:sz="0" w:space="0" w:color="auto"/>
        <w:right w:val="none" w:sz="0" w:space="0" w:color="auto"/>
      </w:divBdr>
    </w:div>
    <w:div w:id="148986923">
      <w:bodyDiv w:val="1"/>
      <w:marLeft w:val="0"/>
      <w:marRight w:val="0"/>
      <w:marTop w:val="0"/>
      <w:marBottom w:val="0"/>
      <w:divBdr>
        <w:top w:val="none" w:sz="0" w:space="0" w:color="auto"/>
        <w:left w:val="none" w:sz="0" w:space="0" w:color="auto"/>
        <w:bottom w:val="none" w:sz="0" w:space="0" w:color="auto"/>
        <w:right w:val="none" w:sz="0" w:space="0" w:color="auto"/>
      </w:divBdr>
    </w:div>
    <w:div w:id="149056631">
      <w:bodyDiv w:val="1"/>
      <w:marLeft w:val="0"/>
      <w:marRight w:val="0"/>
      <w:marTop w:val="0"/>
      <w:marBottom w:val="0"/>
      <w:divBdr>
        <w:top w:val="none" w:sz="0" w:space="0" w:color="auto"/>
        <w:left w:val="none" w:sz="0" w:space="0" w:color="auto"/>
        <w:bottom w:val="none" w:sz="0" w:space="0" w:color="auto"/>
        <w:right w:val="none" w:sz="0" w:space="0" w:color="auto"/>
      </w:divBdr>
    </w:div>
    <w:div w:id="149178738">
      <w:bodyDiv w:val="1"/>
      <w:marLeft w:val="0"/>
      <w:marRight w:val="0"/>
      <w:marTop w:val="0"/>
      <w:marBottom w:val="0"/>
      <w:divBdr>
        <w:top w:val="none" w:sz="0" w:space="0" w:color="auto"/>
        <w:left w:val="none" w:sz="0" w:space="0" w:color="auto"/>
        <w:bottom w:val="none" w:sz="0" w:space="0" w:color="auto"/>
        <w:right w:val="none" w:sz="0" w:space="0" w:color="auto"/>
      </w:divBdr>
    </w:div>
    <w:div w:id="149248358">
      <w:bodyDiv w:val="1"/>
      <w:marLeft w:val="0"/>
      <w:marRight w:val="0"/>
      <w:marTop w:val="0"/>
      <w:marBottom w:val="0"/>
      <w:divBdr>
        <w:top w:val="none" w:sz="0" w:space="0" w:color="auto"/>
        <w:left w:val="none" w:sz="0" w:space="0" w:color="auto"/>
        <w:bottom w:val="none" w:sz="0" w:space="0" w:color="auto"/>
        <w:right w:val="none" w:sz="0" w:space="0" w:color="auto"/>
      </w:divBdr>
    </w:div>
    <w:div w:id="149251627">
      <w:bodyDiv w:val="1"/>
      <w:marLeft w:val="0"/>
      <w:marRight w:val="0"/>
      <w:marTop w:val="0"/>
      <w:marBottom w:val="0"/>
      <w:divBdr>
        <w:top w:val="none" w:sz="0" w:space="0" w:color="auto"/>
        <w:left w:val="none" w:sz="0" w:space="0" w:color="auto"/>
        <w:bottom w:val="none" w:sz="0" w:space="0" w:color="auto"/>
        <w:right w:val="none" w:sz="0" w:space="0" w:color="auto"/>
      </w:divBdr>
    </w:div>
    <w:div w:id="149371055">
      <w:bodyDiv w:val="1"/>
      <w:marLeft w:val="0"/>
      <w:marRight w:val="0"/>
      <w:marTop w:val="0"/>
      <w:marBottom w:val="0"/>
      <w:divBdr>
        <w:top w:val="none" w:sz="0" w:space="0" w:color="auto"/>
        <w:left w:val="none" w:sz="0" w:space="0" w:color="auto"/>
        <w:bottom w:val="none" w:sz="0" w:space="0" w:color="auto"/>
        <w:right w:val="none" w:sz="0" w:space="0" w:color="auto"/>
      </w:divBdr>
    </w:div>
    <w:div w:id="149374730">
      <w:bodyDiv w:val="1"/>
      <w:marLeft w:val="0"/>
      <w:marRight w:val="0"/>
      <w:marTop w:val="0"/>
      <w:marBottom w:val="0"/>
      <w:divBdr>
        <w:top w:val="none" w:sz="0" w:space="0" w:color="auto"/>
        <w:left w:val="none" w:sz="0" w:space="0" w:color="auto"/>
        <w:bottom w:val="none" w:sz="0" w:space="0" w:color="auto"/>
        <w:right w:val="none" w:sz="0" w:space="0" w:color="auto"/>
      </w:divBdr>
    </w:div>
    <w:div w:id="149517120">
      <w:bodyDiv w:val="1"/>
      <w:marLeft w:val="0"/>
      <w:marRight w:val="0"/>
      <w:marTop w:val="0"/>
      <w:marBottom w:val="0"/>
      <w:divBdr>
        <w:top w:val="none" w:sz="0" w:space="0" w:color="auto"/>
        <w:left w:val="none" w:sz="0" w:space="0" w:color="auto"/>
        <w:bottom w:val="none" w:sz="0" w:space="0" w:color="auto"/>
        <w:right w:val="none" w:sz="0" w:space="0" w:color="auto"/>
      </w:divBdr>
    </w:div>
    <w:div w:id="149519448">
      <w:bodyDiv w:val="1"/>
      <w:marLeft w:val="0"/>
      <w:marRight w:val="0"/>
      <w:marTop w:val="0"/>
      <w:marBottom w:val="0"/>
      <w:divBdr>
        <w:top w:val="none" w:sz="0" w:space="0" w:color="auto"/>
        <w:left w:val="none" w:sz="0" w:space="0" w:color="auto"/>
        <w:bottom w:val="none" w:sz="0" w:space="0" w:color="auto"/>
        <w:right w:val="none" w:sz="0" w:space="0" w:color="auto"/>
      </w:divBdr>
    </w:div>
    <w:div w:id="149641408">
      <w:bodyDiv w:val="1"/>
      <w:marLeft w:val="0"/>
      <w:marRight w:val="0"/>
      <w:marTop w:val="0"/>
      <w:marBottom w:val="0"/>
      <w:divBdr>
        <w:top w:val="none" w:sz="0" w:space="0" w:color="auto"/>
        <w:left w:val="none" w:sz="0" w:space="0" w:color="auto"/>
        <w:bottom w:val="none" w:sz="0" w:space="0" w:color="auto"/>
        <w:right w:val="none" w:sz="0" w:space="0" w:color="auto"/>
      </w:divBdr>
    </w:div>
    <w:div w:id="149685606">
      <w:bodyDiv w:val="1"/>
      <w:marLeft w:val="0"/>
      <w:marRight w:val="0"/>
      <w:marTop w:val="0"/>
      <w:marBottom w:val="0"/>
      <w:divBdr>
        <w:top w:val="none" w:sz="0" w:space="0" w:color="auto"/>
        <w:left w:val="none" w:sz="0" w:space="0" w:color="auto"/>
        <w:bottom w:val="none" w:sz="0" w:space="0" w:color="auto"/>
        <w:right w:val="none" w:sz="0" w:space="0" w:color="auto"/>
      </w:divBdr>
    </w:div>
    <w:div w:id="149759833">
      <w:bodyDiv w:val="1"/>
      <w:marLeft w:val="0"/>
      <w:marRight w:val="0"/>
      <w:marTop w:val="0"/>
      <w:marBottom w:val="0"/>
      <w:divBdr>
        <w:top w:val="none" w:sz="0" w:space="0" w:color="auto"/>
        <w:left w:val="none" w:sz="0" w:space="0" w:color="auto"/>
        <w:bottom w:val="none" w:sz="0" w:space="0" w:color="auto"/>
        <w:right w:val="none" w:sz="0" w:space="0" w:color="auto"/>
      </w:divBdr>
    </w:div>
    <w:div w:id="149762002">
      <w:bodyDiv w:val="1"/>
      <w:marLeft w:val="0"/>
      <w:marRight w:val="0"/>
      <w:marTop w:val="0"/>
      <w:marBottom w:val="0"/>
      <w:divBdr>
        <w:top w:val="none" w:sz="0" w:space="0" w:color="auto"/>
        <w:left w:val="none" w:sz="0" w:space="0" w:color="auto"/>
        <w:bottom w:val="none" w:sz="0" w:space="0" w:color="auto"/>
        <w:right w:val="none" w:sz="0" w:space="0" w:color="auto"/>
      </w:divBdr>
    </w:div>
    <w:div w:id="149830877">
      <w:bodyDiv w:val="1"/>
      <w:marLeft w:val="0"/>
      <w:marRight w:val="0"/>
      <w:marTop w:val="0"/>
      <w:marBottom w:val="0"/>
      <w:divBdr>
        <w:top w:val="none" w:sz="0" w:space="0" w:color="auto"/>
        <w:left w:val="none" w:sz="0" w:space="0" w:color="auto"/>
        <w:bottom w:val="none" w:sz="0" w:space="0" w:color="auto"/>
        <w:right w:val="none" w:sz="0" w:space="0" w:color="auto"/>
      </w:divBdr>
    </w:div>
    <w:div w:id="149903285">
      <w:bodyDiv w:val="1"/>
      <w:marLeft w:val="0"/>
      <w:marRight w:val="0"/>
      <w:marTop w:val="0"/>
      <w:marBottom w:val="0"/>
      <w:divBdr>
        <w:top w:val="none" w:sz="0" w:space="0" w:color="auto"/>
        <w:left w:val="none" w:sz="0" w:space="0" w:color="auto"/>
        <w:bottom w:val="none" w:sz="0" w:space="0" w:color="auto"/>
        <w:right w:val="none" w:sz="0" w:space="0" w:color="auto"/>
      </w:divBdr>
    </w:div>
    <w:div w:id="150099468">
      <w:bodyDiv w:val="1"/>
      <w:marLeft w:val="0"/>
      <w:marRight w:val="0"/>
      <w:marTop w:val="0"/>
      <w:marBottom w:val="0"/>
      <w:divBdr>
        <w:top w:val="none" w:sz="0" w:space="0" w:color="auto"/>
        <w:left w:val="none" w:sz="0" w:space="0" w:color="auto"/>
        <w:bottom w:val="none" w:sz="0" w:space="0" w:color="auto"/>
        <w:right w:val="none" w:sz="0" w:space="0" w:color="auto"/>
      </w:divBdr>
    </w:div>
    <w:div w:id="150217436">
      <w:bodyDiv w:val="1"/>
      <w:marLeft w:val="0"/>
      <w:marRight w:val="0"/>
      <w:marTop w:val="0"/>
      <w:marBottom w:val="0"/>
      <w:divBdr>
        <w:top w:val="none" w:sz="0" w:space="0" w:color="auto"/>
        <w:left w:val="none" w:sz="0" w:space="0" w:color="auto"/>
        <w:bottom w:val="none" w:sz="0" w:space="0" w:color="auto"/>
        <w:right w:val="none" w:sz="0" w:space="0" w:color="auto"/>
      </w:divBdr>
    </w:div>
    <w:div w:id="150367054">
      <w:bodyDiv w:val="1"/>
      <w:marLeft w:val="0"/>
      <w:marRight w:val="0"/>
      <w:marTop w:val="0"/>
      <w:marBottom w:val="0"/>
      <w:divBdr>
        <w:top w:val="none" w:sz="0" w:space="0" w:color="auto"/>
        <w:left w:val="none" w:sz="0" w:space="0" w:color="auto"/>
        <w:bottom w:val="none" w:sz="0" w:space="0" w:color="auto"/>
        <w:right w:val="none" w:sz="0" w:space="0" w:color="auto"/>
      </w:divBdr>
    </w:div>
    <w:div w:id="150367325">
      <w:bodyDiv w:val="1"/>
      <w:marLeft w:val="0"/>
      <w:marRight w:val="0"/>
      <w:marTop w:val="0"/>
      <w:marBottom w:val="0"/>
      <w:divBdr>
        <w:top w:val="none" w:sz="0" w:space="0" w:color="auto"/>
        <w:left w:val="none" w:sz="0" w:space="0" w:color="auto"/>
        <w:bottom w:val="none" w:sz="0" w:space="0" w:color="auto"/>
        <w:right w:val="none" w:sz="0" w:space="0" w:color="auto"/>
      </w:divBdr>
    </w:div>
    <w:div w:id="150371540">
      <w:bodyDiv w:val="1"/>
      <w:marLeft w:val="0"/>
      <w:marRight w:val="0"/>
      <w:marTop w:val="0"/>
      <w:marBottom w:val="0"/>
      <w:divBdr>
        <w:top w:val="none" w:sz="0" w:space="0" w:color="auto"/>
        <w:left w:val="none" w:sz="0" w:space="0" w:color="auto"/>
        <w:bottom w:val="none" w:sz="0" w:space="0" w:color="auto"/>
        <w:right w:val="none" w:sz="0" w:space="0" w:color="auto"/>
      </w:divBdr>
    </w:div>
    <w:div w:id="150409989">
      <w:bodyDiv w:val="1"/>
      <w:marLeft w:val="0"/>
      <w:marRight w:val="0"/>
      <w:marTop w:val="0"/>
      <w:marBottom w:val="0"/>
      <w:divBdr>
        <w:top w:val="none" w:sz="0" w:space="0" w:color="auto"/>
        <w:left w:val="none" w:sz="0" w:space="0" w:color="auto"/>
        <w:bottom w:val="none" w:sz="0" w:space="0" w:color="auto"/>
        <w:right w:val="none" w:sz="0" w:space="0" w:color="auto"/>
      </w:divBdr>
    </w:div>
    <w:div w:id="150486477">
      <w:bodyDiv w:val="1"/>
      <w:marLeft w:val="0"/>
      <w:marRight w:val="0"/>
      <w:marTop w:val="0"/>
      <w:marBottom w:val="0"/>
      <w:divBdr>
        <w:top w:val="none" w:sz="0" w:space="0" w:color="auto"/>
        <w:left w:val="none" w:sz="0" w:space="0" w:color="auto"/>
        <w:bottom w:val="none" w:sz="0" w:space="0" w:color="auto"/>
        <w:right w:val="none" w:sz="0" w:space="0" w:color="auto"/>
      </w:divBdr>
    </w:div>
    <w:div w:id="150491877">
      <w:bodyDiv w:val="1"/>
      <w:marLeft w:val="0"/>
      <w:marRight w:val="0"/>
      <w:marTop w:val="0"/>
      <w:marBottom w:val="0"/>
      <w:divBdr>
        <w:top w:val="none" w:sz="0" w:space="0" w:color="auto"/>
        <w:left w:val="none" w:sz="0" w:space="0" w:color="auto"/>
        <w:bottom w:val="none" w:sz="0" w:space="0" w:color="auto"/>
        <w:right w:val="none" w:sz="0" w:space="0" w:color="auto"/>
      </w:divBdr>
    </w:div>
    <w:div w:id="150602253">
      <w:bodyDiv w:val="1"/>
      <w:marLeft w:val="0"/>
      <w:marRight w:val="0"/>
      <w:marTop w:val="0"/>
      <w:marBottom w:val="0"/>
      <w:divBdr>
        <w:top w:val="none" w:sz="0" w:space="0" w:color="auto"/>
        <w:left w:val="none" w:sz="0" w:space="0" w:color="auto"/>
        <w:bottom w:val="none" w:sz="0" w:space="0" w:color="auto"/>
        <w:right w:val="none" w:sz="0" w:space="0" w:color="auto"/>
      </w:divBdr>
    </w:div>
    <w:div w:id="150677379">
      <w:bodyDiv w:val="1"/>
      <w:marLeft w:val="0"/>
      <w:marRight w:val="0"/>
      <w:marTop w:val="0"/>
      <w:marBottom w:val="0"/>
      <w:divBdr>
        <w:top w:val="none" w:sz="0" w:space="0" w:color="auto"/>
        <w:left w:val="none" w:sz="0" w:space="0" w:color="auto"/>
        <w:bottom w:val="none" w:sz="0" w:space="0" w:color="auto"/>
        <w:right w:val="none" w:sz="0" w:space="0" w:color="auto"/>
      </w:divBdr>
    </w:div>
    <w:div w:id="150678734">
      <w:bodyDiv w:val="1"/>
      <w:marLeft w:val="0"/>
      <w:marRight w:val="0"/>
      <w:marTop w:val="0"/>
      <w:marBottom w:val="0"/>
      <w:divBdr>
        <w:top w:val="none" w:sz="0" w:space="0" w:color="auto"/>
        <w:left w:val="none" w:sz="0" w:space="0" w:color="auto"/>
        <w:bottom w:val="none" w:sz="0" w:space="0" w:color="auto"/>
        <w:right w:val="none" w:sz="0" w:space="0" w:color="auto"/>
      </w:divBdr>
    </w:div>
    <w:div w:id="150755254">
      <w:bodyDiv w:val="1"/>
      <w:marLeft w:val="0"/>
      <w:marRight w:val="0"/>
      <w:marTop w:val="0"/>
      <w:marBottom w:val="0"/>
      <w:divBdr>
        <w:top w:val="none" w:sz="0" w:space="0" w:color="auto"/>
        <w:left w:val="none" w:sz="0" w:space="0" w:color="auto"/>
        <w:bottom w:val="none" w:sz="0" w:space="0" w:color="auto"/>
        <w:right w:val="none" w:sz="0" w:space="0" w:color="auto"/>
      </w:divBdr>
    </w:div>
    <w:div w:id="150798783">
      <w:bodyDiv w:val="1"/>
      <w:marLeft w:val="0"/>
      <w:marRight w:val="0"/>
      <w:marTop w:val="0"/>
      <w:marBottom w:val="0"/>
      <w:divBdr>
        <w:top w:val="none" w:sz="0" w:space="0" w:color="auto"/>
        <w:left w:val="none" w:sz="0" w:space="0" w:color="auto"/>
        <w:bottom w:val="none" w:sz="0" w:space="0" w:color="auto"/>
        <w:right w:val="none" w:sz="0" w:space="0" w:color="auto"/>
      </w:divBdr>
    </w:div>
    <w:div w:id="150799172">
      <w:bodyDiv w:val="1"/>
      <w:marLeft w:val="0"/>
      <w:marRight w:val="0"/>
      <w:marTop w:val="0"/>
      <w:marBottom w:val="0"/>
      <w:divBdr>
        <w:top w:val="none" w:sz="0" w:space="0" w:color="auto"/>
        <w:left w:val="none" w:sz="0" w:space="0" w:color="auto"/>
        <w:bottom w:val="none" w:sz="0" w:space="0" w:color="auto"/>
        <w:right w:val="none" w:sz="0" w:space="0" w:color="auto"/>
      </w:divBdr>
    </w:div>
    <w:div w:id="150827740">
      <w:bodyDiv w:val="1"/>
      <w:marLeft w:val="0"/>
      <w:marRight w:val="0"/>
      <w:marTop w:val="0"/>
      <w:marBottom w:val="0"/>
      <w:divBdr>
        <w:top w:val="none" w:sz="0" w:space="0" w:color="auto"/>
        <w:left w:val="none" w:sz="0" w:space="0" w:color="auto"/>
        <w:bottom w:val="none" w:sz="0" w:space="0" w:color="auto"/>
        <w:right w:val="none" w:sz="0" w:space="0" w:color="auto"/>
      </w:divBdr>
    </w:div>
    <w:div w:id="150827867">
      <w:bodyDiv w:val="1"/>
      <w:marLeft w:val="0"/>
      <w:marRight w:val="0"/>
      <w:marTop w:val="0"/>
      <w:marBottom w:val="0"/>
      <w:divBdr>
        <w:top w:val="none" w:sz="0" w:space="0" w:color="auto"/>
        <w:left w:val="none" w:sz="0" w:space="0" w:color="auto"/>
        <w:bottom w:val="none" w:sz="0" w:space="0" w:color="auto"/>
        <w:right w:val="none" w:sz="0" w:space="0" w:color="auto"/>
      </w:divBdr>
    </w:div>
    <w:div w:id="150874301">
      <w:bodyDiv w:val="1"/>
      <w:marLeft w:val="0"/>
      <w:marRight w:val="0"/>
      <w:marTop w:val="0"/>
      <w:marBottom w:val="0"/>
      <w:divBdr>
        <w:top w:val="none" w:sz="0" w:space="0" w:color="auto"/>
        <w:left w:val="none" w:sz="0" w:space="0" w:color="auto"/>
        <w:bottom w:val="none" w:sz="0" w:space="0" w:color="auto"/>
        <w:right w:val="none" w:sz="0" w:space="0" w:color="auto"/>
      </w:divBdr>
    </w:div>
    <w:div w:id="150877883">
      <w:bodyDiv w:val="1"/>
      <w:marLeft w:val="0"/>
      <w:marRight w:val="0"/>
      <w:marTop w:val="0"/>
      <w:marBottom w:val="0"/>
      <w:divBdr>
        <w:top w:val="none" w:sz="0" w:space="0" w:color="auto"/>
        <w:left w:val="none" w:sz="0" w:space="0" w:color="auto"/>
        <w:bottom w:val="none" w:sz="0" w:space="0" w:color="auto"/>
        <w:right w:val="none" w:sz="0" w:space="0" w:color="auto"/>
      </w:divBdr>
    </w:div>
    <w:div w:id="150947840">
      <w:bodyDiv w:val="1"/>
      <w:marLeft w:val="0"/>
      <w:marRight w:val="0"/>
      <w:marTop w:val="0"/>
      <w:marBottom w:val="0"/>
      <w:divBdr>
        <w:top w:val="none" w:sz="0" w:space="0" w:color="auto"/>
        <w:left w:val="none" w:sz="0" w:space="0" w:color="auto"/>
        <w:bottom w:val="none" w:sz="0" w:space="0" w:color="auto"/>
        <w:right w:val="none" w:sz="0" w:space="0" w:color="auto"/>
      </w:divBdr>
    </w:div>
    <w:div w:id="150997044">
      <w:bodyDiv w:val="1"/>
      <w:marLeft w:val="0"/>
      <w:marRight w:val="0"/>
      <w:marTop w:val="0"/>
      <w:marBottom w:val="0"/>
      <w:divBdr>
        <w:top w:val="none" w:sz="0" w:space="0" w:color="auto"/>
        <w:left w:val="none" w:sz="0" w:space="0" w:color="auto"/>
        <w:bottom w:val="none" w:sz="0" w:space="0" w:color="auto"/>
        <w:right w:val="none" w:sz="0" w:space="0" w:color="auto"/>
      </w:divBdr>
    </w:div>
    <w:div w:id="151021969">
      <w:bodyDiv w:val="1"/>
      <w:marLeft w:val="0"/>
      <w:marRight w:val="0"/>
      <w:marTop w:val="0"/>
      <w:marBottom w:val="0"/>
      <w:divBdr>
        <w:top w:val="none" w:sz="0" w:space="0" w:color="auto"/>
        <w:left w:val="none" w:sz="0" w:space="0" w:color="auto"/>
        <w:bottom w:val="none" w:sz="0" w:space="0" w:color="auto"/>
        <w:right w:val="none" w:sz="0" w:space="0" w:color="auto"/>
      </w:divBdr>
    </w:div>
    <w:div w:id="151262297">
      <w:bodyDiv w:val="1"/>
      <w:marLeft w:val="0"/>
      <w:marRight w:val="0"/>
      <w:marTop w:val="0"/>
      <w:marBottom w:val="0"/>
      <w:divBdr>
        <w:top w:val="none" w:sz="0" w:space="0" w:color="auto"/>
        <w:left w:val="none" w:sz="0" w:space="0" w:color="auto"/>
        <w:bottom w:val="none" w:sz="0" w:space="0" w:color="auto"/>
        <w:right w:val="none" w:sz="0" w:space="0" w:color="auto"/>
      </w:divBdr>
    </w:div>
    <w:div w:id="151334851">
      <w:bodyDiv w:val="1"/>
      <w:marLeft w:val="0"/>
      <w:marRight w:val="0"/>
      <w:marTop w:val="0"/>
      <w:marBottom w:val="0"/>
      <w:divBdr>
        <w:top w:val="none" w:sz="0" w:space="0" w:color="auto"/>
        <w:left w:val="none" w:sz="0" w:space="0" w:color="auto"/>
        <w:bottom w:val="none" w:sz="0" w:space="0" w:color="auto"/>
        <w:right w:val="none" w:sz="0" w:space="0" w:color="auto"/>
      </w:divBdr>
    </w:div>
    <w:div w:id="151454946">
      <w:bodyDiv w:val="1"/>
      <w:marLeft w:val="0"/>
      <w:marRight w:val="0"/>
      <w:marTop w:val="0"/>
      <w:marBottom w:val="0"/>
      <w:divBdr>
        <w:top w:val="none" w:sz="0" w:space="0" w:color="auto"/>
        <w:left w:val="none" w:sz="0" w:space="0" w:color="auto"/>
        <w:bottom w:val="none" w:sz="0" w:space="0" w:color="auto"/>
        <w:right w:val="none" w:sz="0" w:space="0" w:color="auto"/>
      </w:divBdr>
    </w:div>
    <w:div w:id="151484072">
      <w:bodyDiv w:val="1"/>
      <w:marLeft w:val="0"/>
      <w:marRight w:val="0"/>
      <w:marTop w:val="0"/>
      <w:marBottom w:val="0"/>
      <w:divBdr>
        <w:top w:val="none" w:sz="0" w:space="0" w:color="auto"/>
        <w:left w:val="none" w:sz="0" w:space="0" w:color="auto"/>
        <w:bottom w:val="none" w:sz="0" w:space="0" w:color="auto"/>
        <w:right w:val="none" w:sz="0" w:space="0" w:color="auto"/>
      </w:divBdr>
    </w:div>
    <w:div w:id="151603193">
      <w:bodyDiv w:val="1"/>
      <w:marLeft w:val="0"/>
      <w:marRight w:val="0"/>
      <w:marTop w:val="0"/>
      <w:marBottom w:val="0"/>
      <w:divBdr>
        <w:top w:val="none" w:sz="0" w:space="0" w:color="auto"/>
        <w:left w:val="none" w:sz="0" w:space="0" w:color="auto"/>
        <w:bottom w:val="none" w:sz="0" w:space="0" w:color="auto"/>
        <w:right w:val="none" w:sz="0" w:space="0" w:color="auto"/>
      </w:divBdr>
    </w:div>
    <w:div w:id="151609663">
      <w:bodyDiv w:val="1"/>
      <w:marLeft w:val="0"/>
      <w:marRight w:val="0"/>
      <w:marTop w:val="0"/>
      <w:marBottom w:val="0"/>
      <w:divBdr>
        <w:top w:val="none" w:sz="0" w:space="0" w:color="auto"/>
        <w:left w:val="none" w:sz="0" w:space="0" w:color="auto"/>
        <w:bottom w:val="none" w:sz="0" w:space="0" w:color="auto"/>
        <w:right w:val="none" w:sz="0" w:space="0" w:color="auto"/>
      </w:divBdr>
    </w:div>
    <w:div w:id="151723531">
      <w:bodyDiv w:val="1"/>
      <w:marLeft w:val="0"/>
      <w:marRight w:val="0"/>
      <w:marTop w:val="0"/>
      <w:marBottom w:val="0"/>
      <w:divBdr>
        <w:top w:val="none" w:sz="0" w:space="0" w:color="auto"/>
        <w:left w:val="none" w:sz="0" w:space="0" w:color="auto"/>
        <w:bottom w:val="none" w:sz="0" w:space="0" w:color="auto"/>
        <w:right w:val="none" w:sz="0" w:space="0" w:color="auto"/>
      </w:divBdr>
    </w:div>
    <w:div w:id="151727112">
      <w:bodyDiv w:val="1"/>
      <w:marLeft w:val="0"/>
      <w:marRight w:val="0"/>
      <w:marTop w:val="0"/>
      <w:marBottom w:val="0"/>
      <w:divBdr>
        <w:top w:val="none" w:sz="0" w:space="0" w:color="auto"/>
        <w:left w:val="none" w:sz="0" w:space="0" w:color="auto"/>
        <w:bottom w:val="none" w:sz="0" w:space="0" w:color="auto"/>
        <w:right w:val="none" w:sz="0" w:space="0" w:color="auto"/>
      </w:divBdr>
    </w:div>
    <w:div w:id="151798443">
      <w:bodyDiv w:val="1"/>
      <w:marLeft w:val="0"/>
      <w:marRight w:val="0"/>
      <w:marTop w:val="0"/>
      <w:marBottom w:val="0"/>
      <w:divBdr>
        <w:top w:val="none" w:sz="0" w:space="0" w:color="auto"/>
        <w:left w:val="none" w:sz="0" w:space="0" w:color="auto"/>
        <w:bottom w:val="none" w:sz="0" w:space="0" w:color="auto"/>
        <w:right w:val="none" w:sz="0" w:space="0" w:color="auto"/>
      </w:divBdr>
    </w:div>
    <w:div w:id="151987802">
      <w:bodyDiv w:val="1"/>
      <w:marLeft w:val="0"/>
      <w:marRight w:val="0"/>
      <w:marTop w:val="0"/>
      <w:marBottom w:val="0"/>
      <w:divBdr>
        <w:top w:val="none" w:sz="0" w:space="0" w:color="auto"/>
        <w:left w:val="none" w:sz="0" w:space="0" w:color="auto"/>
        <w:bottom w:val="none" w:sz="0" w:space="0" w:color="auto"/>
        <w:right w:val="none" w:sz="0" w:space="0" w:color="auto"/>
      </w:divBdr>
    </w:div>
    <w:div w:id="152063842">
      <w:bodyDiv w:val="1"/>
      <w:marLeft w:val="0"/>
      <w:marRight w:val="0"/>
      <w:marTop w:val="0"/>
      <w:marBottom w:val="0"/>
      <w:divBdr>
        <w:top w:val="none" w:sz="0" w:space="0" w:color="auto"/>
        <w:left w:val="none" w:sz="0" w:space="0" w:color="auto"/>
        <w:bottom w:val="none" w:sz="0" w:space="0" w:color="auto"/>
        <w:right w:val="none" w:sz="0" w:space="0" w:color="auto"/>
      </w:divBdr>
    </w:div>
    <w:div w:id="152111441">
      <w:bodyDiv w:val="1"/>
      <w:marLeft w:val="0"/>
      <w:marRight w:val="0"/>
      <w:marTop w:val="0"/>
      <w:marBottom w:val="0"/>
      <w:divBdr>
        <w:top w:val="none" w:sz="0" w:space="0" w:color="auto"/>
        <w:left w:val="none" w:sz="0" w:space="0" w:color="auto"/>
        <w:bottom w:val="none" w:sz="0" w:space="0" w:color="auto"/>
        <w:right w:val="none" w:sz="0" w:space="0" w:color="auto"/>
      </w:divBdr>
    </w:div>
    <w:div w:id="152139857">
      <w:bodyDiv w:val="1"/>
      <w:marLeft w:val="0"/>
      <w:marRight w:val="0"/>
      <w:marTop w:val="0"/>
      <w:marBottom w:val="0"/>
      <w:divBdr>
        <w:top w:val="none" w:sz="0" w:space="0" w:color="auto"/>
        <w:left w:val="none" w:sz="0" w:space="0" w:color="auto"/>
        <w:bottom w:val="none" w:sz="0" w:space="0" w:color="auto"/>
        <w:right w:val="none" w:sz="0" w:space="0" w:color="auto"/>
      </w:divBdr>
    </w:div>
    <w:div w:id="152181554">
      <w:bodyDiv w:val="1"/>
      <w:marLeft w:val="0"/>
      <w:marRight w:val="0"/>
      <w:marTop w:val="0"/>
      <w:marBottom w:val="0"/>
      <w:divBdr>
        <w:top w:val="none" w:sz="0" w:space="0" w:color="auto"/>
        <w:left w:val="none" w:sz="0" w:space="0" w:color="auto"/>
        <w:bottom w:val="none" w:sz="0" w:space="0" w:color="auto"/>
        <w:right w:val="none" w:sz="0" w:space="0" w:color="auto"/>
      </w:divBdr>
    </w:div>
    <w:div w:id="152187935">
      <w:bodyDiv w:val="1"/>
      <w:marLeft w:val="0"/>
      <w:marRight w:val="0"/>
      <w:marTop w:val="0"/>
      <w:marBottom w:val="0"/>
      <w:divBdr>
        <w:top w:val="none" w:sz="0" w:space="0" w:color="auto"/>
        <w:left w:val="none" w:sz="0" w:space="0" w:color="auto"/>
        <w:bottom w:val="none" w:sz="0" w:space="0" w:color="auto"/>
        <w:right w:val="none" w:sz="0" w:space="0" w:color="auto"/>
      </w:divBdr>
    </w:div>
    <w:div w:id="152188051">
      <w:bodyDiv w:val="1"/>
      <w:marLeft w:val="0"/>
      <w:marRight w:val="0"/>
      <w:marTop w:val="0"/>
      <w:marBottom w:val="0"/>
      <w:divBdr>
        <w:top w:val="none" w:sz="0" w:space="0" w:color="auto"/>
        <w:left w:val="none" w:sz="0" w:space="0" w:color="auto"/>
        <w:bottom w:val="none" w:sz="0" w:space="0" w:color="auto"/>
        <w:right w:val="none" w:sz="0" w:space="0" w:color="auto"/>
      </w:divBdr>
    </w:div>
    <w:div w:id="152256854">
      <w:bodyDiv w:val="1"/>
      <w:marLeft w:val="0"/>
      <w:marRight w:val="0"/>
      <w:marTop w:val="0"/>
      <w:marBottom w:val="0"/>
      <w:divBdr>
        <w:top w:val="none" w:sz="0" w:space="0" w:color="auto"/>
        <w:left w:val="none" w:sz="0" w:space="0" w:color="auto"/>
        <w:bottom w:val="none" w:sz="0" w:space="0" w:color="auto"/>
        <w:right w:val="none" w:sz="0" w:space="0" w:color="auto"/>
      </w:divBdr>
    </w:div>
    <w:div w:id="152257738">
      <w:bodyDiv w:val="1"/>
      <w:marLeft w:val="0"/>
      <w:marRight w:val="0"/>
      <w:marTop w:val="0"/>
      <w:marBottom w:val="0"/>
      <w:divBdr>
        <w:top w:val="none" w:sz="0" w:space="0" w:color="auto"/>
        <w:left w:val="none" w:sz="0" w:space="0" w:color="auto"/>
        <w:bottom w:val="none" w:sz="0" w:space="0" w:color="auto"/>
        <w:right w:val="none" w:sz="0" w:space="0" w:color="auto"/>
      </w:divBdr>
    </w:div>
    <w:div w:id="152452867">
      <w:bodyDiv w:val="1"/>
      <w:marLeft w:val="0"/>
      <w:marRight w:val="0"/>
      <w:marTop w:val="0"/>
      <w:marBottom w:val="0"/>
      <w:divBdr>
        <w:top w:val="none" w:sz="0" w:space="0" w:color="auto"/>
        <w:left w:val="none" w:sz="0" w:space="0" w:color="auto"/>
        <w:bottom w:val="none" w:sz="0" w:space="0" w:color="auto"/>
        <w:right w:val="none" w:sz="0" w:space="0" w:color="auto"/>
      </w:divBdr>
    </w:div>
    <w:div w:id="152644037">
      <w:bodyDiv w:val="1"/>
      <w:marLeft w:val="0"/>
      <w:marRight w:val="0"/>
      <w:marTop w:val="0"/>
      <w:marBottom w:val="0"/>
      <w:divBdr>
        <w:top w:val="none" w:sz="0" w:space="0" w:color="auto"/>
        <w:left w:val="none" w:sz="0" w:space="0" w:color="auto"/>
        <w:bottom w:val="none" w:sz="0" w:space="0" w:color="auto"/>
        <w:right w:val="none" w:sz="0" w:space="0" w:color="auto"/>
      </w:divBdr>
    </w:div>
    <w:div w:id="152726549">
      <w:bodyDiv w:val="1"/>
      <w:marLeft w:val="0"/>
      <w:marRight w:val="0"/>
      <w:marTop w:val="0"/>
      <w:marBottom w:val="0"/>
      <w:divBdr>
        <w:top w:val="none" w:sz="0" w:space="0" w:color="auto"/>
        <w:left w:val="none" w:sz="0" w:space="0" w:color="auto"/>
        <w:bottom w:val="none" w:sz="0" w:space="0" w:color="auto"/>
        <w:right w:val="none" w:sz="0" w:space="0" w:color="auto"/>
      </w:divBdr>
    </w:div>
    <w:div w:id="152838755">
      <w:bodyDiv w:val="1"/>
      <w:marLeft w:val="0"/>
      <w:marRight w:val="0"/>
      <w:marTop w:val="0"/>
      <w:marBottom w:val="0"/>
      <w:divBdr>
        <w:top w:val="none" w:sz="0" w:space="0" w:color="auto"/>
        <w:left w:val="none" w:sz="0" w:space="0" w:color="auto"/>
        <w:bottom w:val="none" w:sz="0" w:space="0" w:color="auto"/>
        <w:right w:val="none" w:sz="0" w:space="0" w:color="auto"/>
      </w:divBdr>
    </w:div>
    <w:div w:id="152842504">
      <w:bodyDiv w:val="1"/>
      <w:marLeft w:val="0"/>
      <w:marRight w:val="0"/>
      <w:marTop w:val="0"/>
      <w:marBottom w:val="0"/>
      <w:divBdr>
        <w:top w:val="none" w:sz="0" w:space="0" w:color="auto"/>
        <w:left w:val="none" w:sz="0" w:space="0" w:color="auto"/>
        <w:bottom w:val="none" w:sz="0" w:space="0" w:color="auto"/>
        <w:right w:val="none" w:sz="0" w:space="0" w:color="auto"/>
      </w:divBdr>
    </w:div>
    <w:div w:id="152842708">
      <w:bodyDiv w:val="1"/>
      <w:marLeft w:val="0"/>
      <w:marRight w:val="0"/>
      <w:marTop w:val="0"/>
      <w:marBottom w:val="0"/>
      <w:divBdr>
        <w:top w:val="none" w:sz="0" w:space="0" w:color="auto"/>
        <w:left w:val="none" w:sz="0" w:space="0" w:color="auto"/>
        <w:bottom w:val="none" w:sz="0" w:space="0" w:color="auto"/>
        <w:right w:val="none" w:sz="0" w:space="0" w:color="auto"/>
      </w:divBdr>
    </w:div>
    <w:div w:id="152991998">
      <w:bodyDiv w:val="1"/>
      <w:marLeft w:val="0"/>
      <w:marRight w:val="0"/>
      <w:marTop w:val="0"/>
      <w:marBottom w:val="0"/>
      <w:divBdr>
        <w:top w:val="none" w:sz="0" w:space="0" w:color="auto"/>
        <w:left w:val="none" w:sz="0" w:space="0" w:color="auto"/>
        <w:bottom w:val="none" w:sz="0" w:space="0" w:color="auto"/>
        <w:right w:val="none" w:sz="0" w:space="0" w:color="auto"/>
      </w:divBdr>
    </w:div>
    <w:div w:id="153112453">
      <w:bodyDiv w:val="1"/>
      <w:marLeft w:val="0"/>
      <w:marRight w:val="0"/>
      <w:marTop w:val="0"/>
      <w:marBottom w:val="0"/>
      <w:divBdr>
        <w:top w:val="none" w:sz="0" w:space="0" w:color="auto"/>
        <w:left w:val="none" w:sz="0" w:space="0" w:color="auto"/>
        <w:bottom w:val="none" w:sz="0" w:space="0" w:color="auto"/>
        <w:right w:val="none" w:sz="0" w:space="0" w:color="auto"/>
      </w:divBdr>
    </w:div>
    <w:div w:id="153183425">
      <w:bodyDiv w:val="1"/>
      <w:marLeft w:val="0"/>
      <w:marRight w:val="0"/>
      <w:marTop w:val="0"/>
      <w:marBottom w:val="0"/>
      <w:divBdr>
        <w:top w:val="none" w:sz="0" w:space="0" w:color="auto"/>
        <w:left w:val="none" w:sz="0" w:space="0" w:color="auto"/>
        <w:bottom w:val="none" w:sz="0" w:space="0" w:color="auto"/>
        <w:right w:val="none" w:sz="0" w:space="0" w:color="auto"/>
      </w:divBdr>
    </w:div>
    <w:div w:id="153229473">
      <w:bodyDiv w:val="1"/>
      <w:marLeft w:val="0"/>
      <w:marRight w:val="0"/>
      <w:marTop w:val="0"/>
      <w:marBottom w:val="0"/>
      <w:divBdr>
        <w:top w:val="none" w:sz="0" w:space="0" w:color="auto"/>
        <w:left w:val="none" w:sz="0" w:space="0" w:color="auto"/>
        <w:bottom w:val="none" w:sz="0" w:space="0" w:color="auto"/>
        <w:right w:val="none" w:sz="0" w:space="0" w:color="auto"/>
      </w:divBdr>
    </w:div>
    <w:div w:id="153300780">
      <w:bodyDiv w:val="1"/>
      <w:marLeft w:val="0"/>
      <w:marRight w:val="0"/>
      <w:marTop w:val="0"/>
      <w:marBottom w:val="0"/>
      <w:divBdr>
        <w:top w:val="none" w:sz="0" w:space="0" w:color="auto"/>
        <w:left w:val="none" w:sz="0" w:space="0" w:color="auto"/>
        <w:bottom w:val="none" w:sz="0" w:space="0" w:color="auto"/>
        <w:right w:val="none" w:sz="0" w:space="0" w:color="auto"/>
      </w:divBdr>
    </w:div>
    <w:div w:id="153380253">
      <w:bodyDiv w:val="1"/>
      <w:marLeft w:val="0"/>
      <w:marRight w:val="0"/>
      <w:marTop w:val="0"/>
      <w:marBottom w:val="0"/>
      <w:divBdr>
        <w:top w:val="none" w:sz="0" w:space="0" w:color="auto"/>
        <w:left w:val="none" w:sz="0" w:space="0" w:color="auto"/>
        <w:bottom w:val="none" w:sz="0" w:space="0" w:color="auto"/>
        <w:right w:val="none" w:sz="0" w:space="0" w:color="auto"/>
      </w:divBdr>
    </w:div>
    <w:div w:id="153492494">
      <w:bodyDiv w:val="1"/>
      <w:marLeft w:val="0"/>
      <w:marRight w:val="0"/>
      <w:marTop w:val="0"/>
      <w:marBottom w:val="0"/>
      <w:divBdr>
        <w:top w:val="none" w:sz="0" w:space="0" w:color="auto"/>
        <w:left w:val="none" w:sz="0" w:space="0" w:color="auto"/>
        <w:bottom w:val="none" w:sz="0" w:space="0" w:color="auto"/>
        <w:right w:val="none" w:sz="0" w:space="0" w:color="auto"/>
      </w:divBdr>
    </w:div>
    <w:div w:id="153567653">
      <w:bodyDiv w:val="1"/>
      <w:marLeft w:val="0"/>
      <w:marRight w:val="0"/>
      <w:marTop w:val="0"/>
      <w:marBottom w:val="0"/>
      <w:divBdr>
        <w:top w:val="none" w:sz="0" w:space="0" w:color="auto"/>
        <w:left w:val="none" w:sz="0" w:space="0" w:color="auto"/>
        <w:bottom w:val="none" w:sz="0" w:space="0" w:color="auto"/>
        <w:right w:val="none" w:sz="0" w:space="0" w:color="auto"/>
      </w:divBdr>
    </w:div>
    <w:div w:id="153572883">
      <w:bodyDiv w:val="1"/>
      <w:marLeft w:val="0"/>
      <w:marRight w:val="0"/>
      <w:marTop w:val="0"/>
      <w:marBottom w:val="0"/>
      <w:divBdr>
        <w:top w:val="none" w:sz="0" w:space="0" w:color="auto"/>
        <w:left w:val="none" w:sz="0" w:space="0" w:color="auto"/>
        <w:bottom w:val="none" w:sz="0" w:space="0" w:color="auto"/>
        <w:right w:val="none" w:sz="0" w:space="0" w:color="auto"/>
      </w:divBdr>
    </w:div>
    <w:div w:id="153616752">
      <w:bodyDiv w:val="1"/>
      <w:marLeft w:val="0"/>
      <w:marRight w:val="0"/>
      <w:marTop w:val="0"/>
      <w:marBottom w:val="0"/>
      <w:divBdr>
        <w:top w:val="none" w:sz="0" w:space="0" w:color="auto"/>
        <w:left w:val="none" w:sz="0" w:space="0" w:color="auto"/>
        <w:bottom w:val="none" w:sz="0" w:space="0" w:color="auto"/>
        <w:right w:val="none" w:sz="0" w:space="0" w:color="auto"/>
      </w:divBdr>
    </w:div>
    <w:div w:id="153644345">
      <w:bodyDiv w:val="1"/>
      <w:marLeft w:val="0"/>
      <w:marRight w:val="0"/>
      <w:marTop w:val="0"/>
      <w:marBottom w:val="0"/>
      <w:divBdr>
        <w:top w:val="none" w:sz="0" w:space="0" w:color="auto"/>
        <w:left w:val="none" w:sz="0" w:space="0" w:color="auto"/>
        <w:bottom w:val="none" w:sz="0" w:space="0" w:color="auto"/>
        <w:right w:val="none" w:sz="0" w:space="0" w:color="auto"/>
      </w:divBdr>
    </w:div>
    <w:div w:id="153684978">
      <w:bodyDiv w:val="1"/>
      <w:marLeft w:val="0"/>
      <w:marRight w:val="0"/>
      <w:marTop w:val="0"/>
      <w:marBottom w:val="0"/>
      <w:divBdr>
        <w:top w:val="none" w:sz="0" w:space="0" w:color="auto"/>
        <w:left w:val="none" w:sz="0" w:space="0" w:color="auto"/>
        <w:bottom w:val="none" w:sz="0" w:space="0" w:color="auto"/>
        <w:right w:val="none" w:sz="0" w:space="0" w:color="auto"/>
      </w:divBdr>
    </w:div>
    <w:div w:id="153689386">
      <w:bodyDiv w:val="1"/>
      <w:marLeft w:val="0"/>
      <w:marRight w:val="0"/>
      <w:marTop w:val="0"/>
      <w:marBottom w:val="0"/>
      <w:divBdr>
        <w:top w:val="none" w:sz="0" w:space="0" w:color="auto"/>
        <w:left w:val="none" w:sz="0" w:space="0" w:color="auto"/>
        <w:bottom w:val="none" w:sz="0" w:space="0" w:color="auto"/>
        <w:right w:val="none" w:sz="0" w:space="0" w:color="auto"/>
      </w:divBdr>
    </w:div>
    <w:div w:id="153692611">
      <w:bodyDiv w:val="1"/>
      <w:marLeft w:val="0"/>
      <w:marRight w:val="0"/>
      <w:marTop w:val="0"/>
      <w:marBottom w:val="0"/>
      <w:divBdr>
        <w:top w:val="none" w:sz="0" w:space="0" w:color="auto"/>
        <w:left w:val="none" w:sz="0" w:space="0" w:color="auto"/>
        <w:bottom w:val="none" w:sz="0" w:space="0" w:color="auto"/>
        <w:right w:val="none" w:sz="0" w:space="0" w:color="auto"/>
      </w:divBdr>
    </w:div>
    <w:div w:id="153837672">
      <w:bodyDiv w:val="1"/>
      <w:marLeft w:val="0"/>
      <w:marRight w:val="0"/>
      <w:marTop w:val="0"/>
      <w:marBottom w:val="0"/>
      <w:divBdr>
        <w:top w:val="none" w:sz="0" w:space="0" w:color="auto"/>
        <w:left w:val="none" w:sz="0" w:space="0" w:color="auto"/>
        <w:bottom w:val="none" w:sz="0" w:space="0" w:color="auto"/>
        <w:right w:val="none" w:sz="0" w:space="0" w:color="auto"/>
      </w:divBdr>
    </w:div>
    <w:div w:id="153844149">
      <w:bodyDiv w:val="1"/>
      <w:marLeft w:val="0"/>
      <w:marRight w:val="0"/>
      <w:marTop w:val="0"/>
      <w:marBottom w:val="0"/>
      <w:divBdr>
        <w:top w:val="none" w:sz="0" w:space="0" w:color="auto"/>
        <w:left w:val="none" w:sz="0" w:space="0" w:color="auto"/>
        <w:bottom w:val="none" w:sz="0" w:space="0" w:color="auto"/>
        <w:right w:val="none" w:sz="0" w:space="0" w:color="auto"/>
      </w:divBdr>
    </w:div>
    <w:div w:id="153879280">
      <w:bodyDiv w:val="1"/>
      <w:marLeft w:val="0"/>
      <w:marRight w:val="0"/>
      <w:marTop w:val="0"/>
      <w:marBottom w:val="0"/>
      <w:divBdr>
        <w:top w:val="none" w:sz="0" w:space="0" w:color="auto"/>
        <w:left w:val="none" w:sz="0" w:space="0" w:color="auto"/>
        <w:bottom w:val="none" w:sz="0" w:space="0" w:color="auto"/>
        <w:right w:val="none" w:sz="0" w:space="0" w:color="auto"/>
      </w:divBdr>
    </w:div>
    <w:div w:id="153879873">
      <w:bodyDiv w:val="1"/>
      <w:marLeft w:val="0"/>
      <w:marRight w:val="0"/>
      <w:marTop w:val="0"/>
      <w:marBottom w:val="0"/>
      <w:divBdr>
        <w:top w:val="none" w:sz="0" w:space="0" w:color="auto"/>
        <w:left w:val="none" w:sz="0" w:space="0" w:color="auto"/>
        <w:bottom w:val="none" w:sz="0" w:space="0" w:color="auto"/>
        <w:right w:val="none" w:sz="0" w:space="0" w:color="auto"/>
      </w:divBdr>
    </w:div>
    <w:div w:id="153960563">
      <w:bodyDiv w:val="1"/>
      <w:marLeft w:val="0"/>
      <w:marRight w:val="0"/>
      <w:marTop w:val="0"/>
      <w:marBottom w:val="0"/>
      <w:divBdr>
        <w:top w:val="none" w:sz="0" w:space="0" w:color="auto"/>
        <w:left w:val="none" w:sz="0" w:space="0" w:color="auto"/>
        <w:bottom w:val="none" w:sz="0" w:space="0" w:color="auto"/>
        <w:right w:val="none" w:sz="0" w:space="0" w:color="auto"/>
      </w:divBdr>
    </w:div>
    <w:div w:id="154032340">
      <w:bodyDiv w:val="1"/>
      <w:marLeft w:val="0"/>
      <w:marRight w:val="0"/>
      <w:marTop w:val="0"/>
      <w:marBottom w:val="0"/>
      <w:divBdr>
        <w:top w:val="none" w:sz="0" w:space="0" w:color="auto"/>
        <w:left w:val="none" w:sz="0" w:space="0" w:color="auto"/>
        <w:bottom w:val="none" w:sz="0" w:space="0" w:color="auto"/>
        <w:right w:val="none" w:sz="0" w:space="0" w:color="auto"/>
      </w:divBdr>
    </w:div>
    <w:div w:id="154106121">
      <w:bodyDiv w:val="1"/>
      <w:marLeft w:val="0"/>
      <w:marRight w:val="0"/>
      <w:marTop w:val="0"/>
      <w:marBottom w:val="0"/>
      <w:divBdr>
        <w:top w:val="none" w:sz="0" w:space="0" w:color="auto"/>
        <w:left w:val="none" w:sz="0" w:space="0" w:color="auto"/>
        <w:bottom w:val="none" w:sz="0" w:space="0" w:color="auto"/>
        <w:right w:val="none" w:sz="0" w:space="0" w:color="auto"/>
      </w:divBdr>
    </w:div>
    <w:div w:id="154107205">
      <w:bodyDiv w:val="1"/>
      <w:marLeft w:val="0"/>
      <w:marRight w:val="0"/>
      <w:marTop w:val="0"/>
      <w:marBottom w:val="0"/>
      <w:divBdr>
        <w:top w:val="none" w:sz="0" w:space="0" w:color="auto"/>
        <w:left w:val="none" w:sz="0" w:space="0" w:color="auto"/>
        <w:bottom w:val="none" w:sz="0" w:space="0" w:color="auto"/>
        <w:right w:val="none" w:sz="0" w:space="0" w:color="auto"/>
      </w:divBdr>
    </w:div>
    <w:div w:id="154152017">
      <w:bodyDiv w:val="1"/>
      <w:marLeft w:val="0"/>
      <w:marRight w:val="0"/>
      <w:marTop w:val="0"/>
      <w:marBottom w:val="0"/>
      <w:divBdr>
        <w:top w:val="none" w:sz="0" w:space="0" w:color="auto"/>
        <w:left w:val="none" w:sz="0" w:space="0" w:color="auto"/>
        <w:bottom w:val="none" w:sz="0" w:space="0" w:color="auto"/>
        <w:right w:val="none" w:sz="0" w:space="0" w:color="auto"/>
      </w:divBdr>
    </w:div>
    <w:div w:id="154153070">
      <w:bodyDiv w:val="1"/>
      <w:marLeft w:val="0"/>
      <w:marRight w:val="0"/>
      <w:marTop w:val="0"/>
      <w:marBottom w:val="0"/>
      <w:divBdr>
        <w:top w:val="none" w:sz="0" w:space="0" w:color="auto"/>
        <w:left w:val="none" w:sz="0" w:space="0" w:color="auto"/>
        <w:bottom w:val="none" w:sz="0" w:space="0" w:color="auto"/>
        <w:right w:val="none" w:sz="0" w:space="0" w:color="auto"/>
      </w:divBdr>
    </w:div>
    <w:div w:id="154221989">
      <w:bodyDiv w:val="1"/>
      <w:marLeft w:val="0"/>
      <w:marRight w:val="0"/>
      <w:marTop w:val="0"/>
      <w:marBottom w:val="0"/>
      <w:divBdr>
        <w:top w:val="none" w:sz="0" w:space="0" w:color="auto"/>
        <w:left w:val="none" w:sz="0" w:space="0" w:color="auto"/>
        <w:bottom w:val="none" w:sz="0" w:space="0" w:color="auto"/>
        <w:right w:val="none" w:sz="0" w:space="0" w:color="auto"/>
      </w:divBdr>
    </w:div>
    <w:div w:id="154298213">
      <w:bodyDiv w:val="1"/>
      <w:marLeft w:val="0"/>
      <w:marRight w:val="0"/>
      <w:marTop w:val="0"/>
      <w:marBottom w:val="0"/>
      <w:divBdr>
        <w:top w:val="none" w:sz="0" w:space="0" w:color="auto"/>
        <w:left w:val="none" w:sz="0" w:space="0" w:color="auto"/>
        <w:bottom w:val="none" w:sz="0" w:space="0" w:color="auto"/>
        <w:right w:val="none" w:sz="0" w:space="0" w:color="auto"/>
      </w:divBdr>
    </w:div>
    <w:div w:id="154345408">
      <w:bodyDiv w:val="1"/>
      <w:marLeft w:val="0"/>
      <w:marRight w:val="0"/>
      <w:marTop w:val="0"/>
      <w:marBottom w:val="0"/>
      <w:divBdr>
        <w:top w:val="none" w:sz="0" w:space="0" w:color="auto"/>
        <w:left w:val="none" w:sz="0" w:space="0" w:color="auto"/>
        <w:bottom w:val="none" w:sz="0" w:space="0" w:color="auto"/>
        <w:right w:val="none" w:sz="0" w:space="0" w:color="auto"/>
      </w:divBdr>
    </w:div>
    <w:div w:id="154348607">
      <w:bodyDiv w:val="1"/>
      <w:marLeft w:val="0"/>
      <w:marRight w:val="0"/>
      <w:marTop w:val="0"/>
      <w:marBottom w:val="0"/>
      <w:divBdr>
        <w:top w:val="none" w:sz="0" w:space="0" w:color="auto"/>
        <w:left w:val="none" w:sz="0" w:space="0" w:color="auto"/>
        <w:bottom w:val="none" w:sz="0" w:space="0" w:color="auto"/>
        <w:right w:val="none" w:sz="0" w:space="0" w:color="auto"/>
      </w:divBdr>
    </w:div>
    <w:div w:id="154565938">
      <w:bodyDiv w:val="1"/>
      <w:marLeft w:val="0"/>
      <w:marRight w:val="0"/>
      <w:marTop w:val="0"/>
      <w:marBottom w:val="0"/>
      <w:divBdr>
        <w:top w:val="none" w:sz="0" w:space="0" w:color="auto"/>
        <w:left w:val="none" w:sz="0" w:space="0" w:color="auto"/>
        <w:bottom w:val="none" w:sz="0" w:space="0" w:color="auto"/>
        <w:right w:val="none" w:sz="0" w:space="0" w:color="auto"/>
      </w:divBdr>
    </w:div>
    <w:div w:id="154952820">
      <w:bodyDiv w:val="1"/>
      <w:marLeft w:val="0"/>
      <w:marRight w:val="0"/>
      <w:marTop w:val="0"/>
      <w:marBottom w:val="0"/>
      <w:divBdr>
        <w:top w:val="none" w:sz="0" w:space="0" w:color="auto"/>
        <w:left w:val="none" w:sz="0" w:space="0" w:color="auto"/>
        <w:bottom w:val="none" w:sz="0" w:space="0" w:color="auto"/>
        <w:right w:val="none" w:sz="0" w:space="0" w:color="auto"/>
      </w:divBdr>
    </w:div>
    <w:div w:id="154957943">
      <w:bodyDiv w:val="1"/>
      <w:marLeft w:val="0"/>
      <w:marRight w:val="0"/>
      <w:marTop w:val="0"/>
      <w:marBottom w:val="0"/>
      <w:divBdr>
        <w:top w:val="none" w:sz="0" w:space="0" w:color="auto"/>
        <w:left w:val="none" w:sz="0" w:space="0" w:color="auto"/>
        <w:bottom w:val="none" w:sz="0" w:space="0" w:color="auto"/>
        <w:right w:val="none" w:sz="0" w:space="0" w:color="auto"/>
      </w:divBdr>
    </w:div>
    <w:div w:id="154996746">
      <w:bodyDiv w:val="1"/>
      <w:marLeft w:val="0"/>
      <w:marRight w:val="0"/>
      <w:marTop w:val="0"/>
      <w:marBottom w:val="0"/>
      <w:divBdr>
        <w:top w:val="none" w:sz="0" w:space="0" w:color="auto"/>
        <w:left w:val="none" w:sz="0" w:space="0" w:color="auto"/>
        <w:bottom w:val="none" w:sz="0" w:space="0" w:color="auto"/>
        <w:right w:val="none" w:sz="0" w:space="0" w:color="auto"/>
      </w:divBdr>
    </w:div>
    <w:div w:id="155072416">
      <w:bodyDiv w:val="1"/>
      <w:marLeft w:val="0"/>
      <w:marRight w:val="0"/>
      <w:marTop w:val="0"/>
      <w:marBottom w:val="0"/>
      <w:divBdr>
        <w:top w:val="none" w:sz="0" w:space="0" w:color="auto"/>
        <w:left w:val="none" w:sz="0" w:space="0" w:color="auto"/>
        <w:bottom w:val="none" w:sz="0" w:space="0" w:color="auto"/>
        <w:right w:val="none" w:sz="0" w:space="0" w:color="auto"/>
      </w:divBdr>
    </w:div>
    <w:div w:id="155151226">
      <w:bodyDiv w:val="1"/>
      <w:marLeft w:val="0"/>
      <w:marRight w:val="0"/>
      <w:marTop w:val="0"/>
      <w:marBottom w:val="0"/>
      <w:divBdr>
        <w:top w:val="none" w:sz="0" w:space="0" w:color="auto"/>
        <w:left w:val="none" w:sz="0" w:space="0" w:color="auto"/>
        <w:bottom w:val="none" w:sz="0" w:space="0" w:color="auto"/>
        <w:right w:val="none" w:sz="0" w:space="0" w:color="auto"/>
      </w:divBdr>
    </w:div>
    <w:div w:id="155220722">
      <w:bodyDiv w:val="1"/>
      <w:marLeft w:val="0"/>
      <w:marRight w:val="0"/>
      <w:marTop w:val="0"/>
      <w:marBottom w:val="0"/>
      <w:divBdr>
        <w:top w:val="none" w:sz="0" w:space="0" w:color="auto"/>
        <w:left w:val="none" w:sz="0" w:space="0" w:color="auto"/>
        <w:bottom w:val="none" w:sz="0" w:space="0" w:color="auto"/>
        <w:right w:val="none" w:sz="0" w:space="0" w:color="auto"/>
      </w:divBdr>
    </w:div>
    <w:div w:id="155267311">
      <w:bodyDiv w:val="1"/>
      <w:marLeft w:val="0"/>
      <w:marRight w:val="0"/>
      <w:marTop w:val="0"/>
      <w:marBottom w:val="0"/>
      <w:divBdr>
        <w:top w:val="none" w:sz="0" w:space="0" w:color="auto"/>
        <w:left w:val="none" w:sz="0" w:space="0" w:color="auto"/>
        <w:bottom w:val="none" w:sz="0" w:space="0" w:color="auto"/>
        <w:right w:val="none" w:sz="0" w:space="0" w:color="auto"/>
      </w:divBdr>
    </w:div>
    <w:div w:id="155416941">
      <w:bodyDiv w:val="1"/>
      <w:marLeft w:val="0"/>
      <w:marRight w:val="0"/>
      <w:marTop w:val="0"/>
      <w:marBottom w:val="0"/>
      <w:divBdr>
        <w:top w:val="none" w:sz="0" w:space="0" w:color="auto"/>
        <w:left w:val="none" w:sz="0" w:space="0" w:color="auto"/>
        <w:bottom w:val="none" w:sz="0" w:space="0" w:color="auto"/>
        <w:right w:val="none" w:sz="0" w:space="0" w:color="auto"/>
      </w:divBdr>
    </w:div>
    <w:div w:id="155462419">
      <w:bodyDiv w:val="1"/>
      <w:marLeft w:val="0"/>
      <w:marRight w:val="0"/>
      <w:marTop w:val="0"/>
      <w:marBottom w:val="0"/>
      <w:divBdr>
        <w:top w:val="none" w:sz="0" w:space="0" w:color="auto"/>
        <w:left w:val="none" w:sz="0" w:space="0" w:color="auto"/>
        <w:bottom w:val="none" w:sz="0" w:space="0" w:color="auto"/>
        <w:right w:val="none" w:sz="0" w:space="0" w:color="auto"/>
      </w:divBdr>
    </w:div>
    <w:div w:id="155607540">
      <w:bodyDiv w:val="1"/>
      <w:marLeft w:val="0"/>
      <w:marRight w:val="0"/>
      <w:marTop w:val="0"/>
      <w:marBottom w:val="0"/>
      <w:divBdr>
        <w:top w:val="none" w:sz="0" w:space="0" w:color="auto"/>
        <w:left w:val="none" w:sz="0" w:space="0" w:color="auto"/>
        <w:bottom w:val="none" w:sz="0" w:space="0" w:color="auto"/>
        <w:right w:val="none" w:sz="0" w:space="0" w:color="auto"/>
      </w:divBdr>
    </w:div>
    <w:div w:id="155613545">
      <w:bodyDiv w:val="1"/>
      <w:marLeft w:val="0"/>
      <w:marRight w:val="0"/>
      <w:marTop w:val="0"/>
      <w:marBottom w:val="0"/>
      <w:divBdr>
        <w:top w:val="none" w:sz="0" w:space="0" w:color="auto"/>
        <w:left w:val="none" w:sz="0" w:space="0" w:color="auto"/>
        <w:bottom w:val="none" w:sz="0" w:space="0" w:color="auto"/>
        <w:right w:val="none" w:sz="0" w:space="0" w:color="auto"/>
      </w:divBdr>
    </w:div>
    <w:div w:id="155650284">
      <w:bodyDiv w:val="1"/>
      <w:marLeft w:val="0"/>
      <w:marRight w:val="0"/>
      <w:marTop w:val="0"/>
      <w:marBottom w:val="0"/>
      <w:divBdr>
        <w:top w:val="none" w:sz="0" w:space="0" w:color="auto"/>
        <w:left w:val="none" w:sz="0" w:space="0" w:color="auto"/>
        <w:bottom w:val="none" w:sz="0" w:space="0" w:color="auto"/>
        <w:right w:val="none" w:sz="0" w:space="0" w:color="auto"/>
      </w:divBdr>
    </w:div>
    <w:div w:id="155809042">
      <w:bodyDiv w:val="1"/>
      <w:marLeft w:val="0"/>
      <w:marRight w:val="0"/>
      <w:marTop w:val="0"/>
      <w:marBottom w:val="0"/>
      <w:divBdr>
        <w:top w:val="none" w:sz="0" w:space="0" w:color="auto"/>
        <w:left w:val="none" w:sz="0" w:space="0" w:color="auto"/>
        <w:bottom w:val="none" w:sz="0" w:space="0" w:color="auto"/>
        <w:right w:val="none" w:sz="0" w:space="0" w:color="auto"/>
      </w:divBdr>
    </w:div>
    <w:div w:id="155919380">
      <w:bodyDiv w:val="1"/>
      <w:marLeft w:val="0"/>
      <w:marRight w:val="0"/>
      <w:marTop w:val="0"/>
      <w:marBottom w:val="0"/>
      <w:divBdr>
        <w:top w:val="none" w:sz="0" w:space="0" w:color="auto"/>
        <w:left w:val="none" w:sz="0" w:space="0" w:color="auto"/>
        <w:bottom w:val="none" w:sz="0" w:space="0" w:color="auto"/>
        <w:right w:val="none" w:sz="0" w:space="0" w:color="auto"/>
      </w:divBdr>
    </w:div>
    <w:div w:id="155919500">
      <w:bodyDiv w:val="1"/>
      <w:marLeft w:val="0"/>
      <w:marRight w:val="0"/>
      <w:marTop w:val="0"/>
      <w:marBottom w:val="0"/>
      <w:divBdr>
        <w:top w:val="none" w:sz="0" w:space="0" w:color="auto"/>
        <w:left w:val="none" w:sz="0" w:space="0" w:color="auto"/>
        <w:bottom w:val="none" w:sz="0" w:space="0" w:color="auto"/>
        <w:right w:val="none" w:sz="0" w:space="0" w:color="auto"/>
      </w:divBdr>
    </w:div>
    <w:div w:id="155926268">
      <w:bodyDiv w:val="1"/>
      <w:marLeft w:val="0"/>
      <w:marRight w:val="0"/>
      <w:marTop w:val="0"/>
      <w:marBottom w:val="0"/>
      <w:divBdr>
        <w:top w:val="none" w:sz="0" w:space="0" w:color="auto"/>
        <w:left w:val="none" w:sz="0" w:space="0" w:color="auto"/>
        <w:bottom w:val="none" w:sz="0" w:space="0" w:color="auto"/>
        <w:right w:val="none" w:sz="0" w:space="0" w:color="auto"/>
      </w:divBdr>
    </w:div>
    <w:div w:id="155999106">
      <w:bodyDiv w:val="1"/>
      <w:marLeft w:val="0"/>
      <w:marRight w:val="0"/>
      <w:marTop w:val="0"/>
      <w:marBottom w:val="0"/>
      <w:divBdr>
        <w:top w:val="none" w:sz="0" w:space="0" w:color="auto"/>
        <w:left w:val="none" w:sz="0" w:space="0" w:color="auto"/>
        <w:bottom w:val="none" w:sz="0" w:space="0" w:color="auto"/>
        <w:right w:val="none" w:sz="0" w:space="0" w:color="auto"/>
      </w:divBdr>
    </w:div>
    <w:div w:id="156116365">
      <w:bodyDiv w:val="1"/>
      <w:marLeft w:val="0"/>
      <w:marRight w:val="0"/>
      <w:marTop w:val="0"/>
      <w:marBottom w:val="0"/>
      <w:divBdr>
        <w:top w:val="none" w:sz="0" w:space="0" w:color="auto"/>
        <w:left w:val="none" w:sz="0" w:space="0" w:color="auto"/>
        <w:bottom w:val="none" w:sz="0" w:space="0" w:color="auto"/>
        <w:right w:val="none" w:sz="0" w:space="0" w:color="auto"/>
      </w:divBdr>
    </w:div>
    <w:div w:id="156121343">
      <w:bodyDiv w:val="1"/>
      <w:marLeft w:val="0"/>
      <w:marRight w:val="0"/>
      <w:marTop w:val="0"/>
      <w:marBottom w:val="0"/>
      <w:divBdr>
        <w:top w:val="none" w:sz="0" w:space="0" w:color="auto"/>
        <w:left w:val="none" w:sz="0" w:space="0" w:color="auto"/>
        <w:bottom w:val="none" w:sz="0" w:space="0" w:color="auto"/>
        <w:right w:val="none" w:sz="0" w:space="0" w:color="auto"/>
      </w:divBdr>
    </w:div>
    <w:div w:id="156265521">
      <w:bodyDiv w:val="1"/>
      <w:marLeft w:val="0"/>
      <w:marRight w:val="0"/>
      <w:marTop w:val="0"/>
      <w:marBottom w:val="0"/>
      <w:divBdr>
        <w:top w:val="none" w:sz="0" w:space="0" w:color="auto"/>
        <w:left w:val="none" w:sz="0" w:space="0" w:color="auto"/>
        <w:bottom w:val="none" w:sz="0" w:space="0" w:color="auto"/>
        <w:right w:val="none" w:sz="0" w:space="0" w:color="auto"/>
      </w:divBdr>
    </w:div>
    <w:div w:id="156461541">
      <w:bodyDiv w:val="1"/>
      <w:marLeft w:val="0"/>
      <w:marRight w:val="0"/>
      <w:marTop w:val="0"/>
      <w:marBottom w:val="0"/>
      <w:divBdr>
        <w:top w:val="none" w:sz="0" w:space="0" w:color="auto"/>
        <w:left w:val="none" w:sz="0" w:space="0" w:color="auto"/>
        <w:bottom w:val="none" w:sz="0" w:space="0" w:color="auto"/>
        <w:right w:val="none" w:sz="0" w:space="0" w:color="auto"/>
      </w:divBdr>
    </w:div>
    <w:div w:id="156501261">
      <w:bodyDiv w:val="1"/>
      <w:marLeft w:val="0"/>
      <w:marRight w:val="0"/>
      <w:marTop w:val="0"/>
      <w:marBottom w:val="0"/>
      <w:divBdr>
        <w:top w:val="none" w:sz="0" w:space="0" w:color="auto"/>
        <w:left w:val="none" w:sz="0" w:space="0" w:color="auto"/>
        <w:bottom w:val="none" w:sz="0" w:space="0" w:color="auto"/>
        <w:right w:val="none" w:sz="0" w:space="0" w:color="auto"/>
      </w:divBdr>
    </w:div>
    <w:div w:id="156505467">
      <w:bodyDiv w:val="1"/>
      <w:marLeft w:val="0"/>
      <w:marRight w:val="0"/>
      <w:marTop w:val="0"/>
      <w:marBottom w:val="0"/>
      <w:divBdr>
        <w:top w:val="none" w:sz="0" w:space="0" w:color="auto"/>
        <w:left w:val="none" w:sz="0" w:space="0" w:color="auto"/>
        <w:bottom w:val="none" w:sz="0" w:space="0" w:color="auto"/>
        <w:right w:val="none" w:sz="0" w:space="0" w:color="auto"/>
      </w:divBdr>
    </w:div>
    <w:div w:id="156649962">
      <w:bodyDiv w:val="1"/>
      <w:marLeft w:val="0"/>
      <w:marRight w:val="0"/>
      <w:marTop w:val="0"/>
      <w:marBottom w:val="0"/>
      <w:divBdr>
        <w:top w:val="none" w:sz="0" w:space="0" w:color="auto"/>
        <w:left w:val="none" w:sz="0" w:space="0" w:color="auto"/>
        <w:bottom w:val="none" w:sz="0" w:space="0" w:color="auto"/>
        <w:right w:val="none" w:sz="0" w:space="0" w:color="auto"/>
      </w:divBdr>
    </w:div>
    <w:div w:id="156700826">
      <w:bodyDiv w:val="1"/>
      <w:marLeft w:val="0"/>
      <w:marRight w:val="0"/>
      <w:marTop w:val="0"/>
      <w:marBottom w:val="0"/>
      <w:divBdr>
        <w:top w:val="none" w:sz="0" w:space="0" w:color="auto"/>
        <w:left w:val="none" w:sz="0" w:space="0" w:color="auto"/>
        <w:bottom w:val="none" w:sz="0" w:space="0" w:color="auto"/>
        <w:right w:val="none" w:sz="0" w:space="0" w:color="auto"/>
      </w:divBdr>
    </w:div>
    <w:div w:id="156768946">
      <w:bodyDiv w:val="1"/>
      <w:marLeft w:val="0"/>
      <w:marRight w:val="0"/>
      <w:marTop w:val="0"/>
      <w:marBottom w:val="0"/>
      <w:divBdr>
        <w:top w:val="none" w:sz="0" w:space="0" w:color="auto"/>
        <w:left w:val="none" w:sz="0" w:space="0" w:color="auto"/>
        <w:bottom w:val="none" w:sz="0" w:space="0" w:color="auto"/>
        <w:right w:val="none" w:sz="0" w:space="0" w:color="auto"/>
      </w:divBdr>
    </w:div>
    <w:div w:id="156846082">
      <w:bodyDiv w:val="1"/>
      <w:marLeft w:val="0"/>
      <w:marRight w:val="0"/>
      <w:marTop w:val="0"/>
      <w:marBottom w:val="0"/>
      <w:divBdr>
        <w:top w:val="none" w:sz="0" w:space="0" w:color="auto"/>
        <w:left w:val="none" w:sz="0" w:space="0" w:color="auto"/>
        <w:bottom w:val="none" w:sz="0" w:space="0" w:color="auto"/>
        <w:right w:val="none" w:sz="0" w:space="0" w:color="auto"/>
      </w:divBdr>
    </w:div>
    <w:div w:id="156851088">
      <w:bodyDiv w:val="1"/>
      <w:marLeft w:val="0"/>
      <w:marRight w:val="0"/>
      <w:marTop w:val="0"/>
      <w:marBottom w:val="0"/>
      <w:divBdr>
        <w:top w:val="none" w:sz="0" w:space="0" w:color="auto"/>
        <w:left w:val="none" w:sz="0" w:space="0" w:color="auto"/>
        <w:bottom w:val="none" w:sz="0" w:space="0" w:color="auto"/>
        <w:right w:val="none" w:sz="0" w:space="0" w:color="auto"/>
      </w:divBdr>
    </w:div>
    <w:div w:id="156894133">
      <w:bodyDiv w:val="1"/>
      <w:marLeft w:val="0"/>
      <w:marRight w:val="0"/>
      <w:marTop w:val="0"/>
      <w:marBottom w:val="0"/>
      <w:divBdr>
        <w:top w:val="none" w:sz="0" w:space="0" w:color="auto"/>
        <w:left w:val="none" w:sz="0" w:space="0" w:color="auto"/>
        <w:bottom w:val="none" w:sz="0" w:space="0" w:color="auto"/>
        <w:right w:val="none" w:sz="0" w:space="0" w:color="auto"/>
      </w:divBdr>
    </w:div>
    <w:div w:id="157040639">
      <w:bodyDiv w:val="1"/>
      <w:marLeft w:val="0"/>
      <w:marRight w:val="0"/>
      <w:marTop w:val="0"/>
      <w:marBottom w:val="0"/>
      <w:divBdr>
        <w:top w:val="none" w:sz="0" w:space="0" w:color="auto"/>
        <w:left w:val="none" w:sz="0" w:space="0" w:color="auto"/>
        <w:bottom w:val="none" w:sz="0" w:space="0" w:color="auto"/>
        <w:right w:val="none" w:sz="0" w:space="0" w:color="auto"/>
      </w:divBdr>
    </w:div>
    <w:div w:id="157159786">
      <w:bodyDiv w:val="1"/>
      <w:marLeft w:val="0"/>
      <w:marRight w:val="0"/>
      <w:marTop w:val="0"/>
      <w:marBottom w:val="0"/>
      <w:divBdr>
        <w:top w:val="none" w:sz="0" w:space="0" w:color="auto"/>
        <w:left w:val="none" w:sz="0" w:space="0" w:color="auto"/>
        <w:bottom w:val="none" w:sz="0" w:space="0" w:color="auto"/>
        <w:right w:val="none" w:sz="0" w:space="0" w:color="auto"/>
      </w:divBdr>
    </w:div>
    <w:div w:id="157186477">
      <w:bodyDiv w:val="1"/>
      <w:marLeft w:val="0"/>
      <w:marRight w:val="0"/>
      <w:marTop w:val="0"/>
      <w:marBottom w:val="0"/>
      <w:divBdr>
        <w:top w:val="none" w:sz="0" w:space="0" w:color="auto"/>
        <w:left w:val="none" w:sz="0" w:space="0" w:color="auto"/>
        <w:bottom w:val="none" w:sz="0" w:space="0" w:color="auto"/>
        <w:right w:val="none" w:sz="0" w:space="0" w:color="auto"/>
      </w:divBdr>
    </w:div>
    <w:div w:id="157238675">
      <w:bodyDiv w:val="1"/>
      <w:marLeft w:val="0"/>
      <w:marRight w:val="0"/>
      <w:marTop w:val="0"/>
      <w:marBottom w:val="0"/>
      <w:divBdr>
        <w:top w:val="none" w:sz="0" w:space="0" w:color="auto"/>
        <w:left w:val="none" w:sz="0" w:space="0" w:color="auto"/>
        <w:bottom w:val="none" w:sz="0" w:space="0" w:color="auto"/>
        <w:right w:val="none" w:sz="0" w:space="0" w:color="auto"/>
      </w:divBdr>
    </w:div>
    <w:div w:id="157430135">
      <w:bodyDiv w:val="1"/>
      <w:marLeft w:val="0"/>
      <w:marRight w:val="0"/>
      <w:marTop w:val="0"/>
      <w:marBottom w:val="0"/>
      <w:divBdr>
        <w:top w:val="none" w:sz="0" w:space="0" w:color="auto"/>
        <w:left w:val="none" w:sz="0" w:space="0" w:color="auto"/>
        <w:bottom w:val="none" w:sz="0" w:space="0" w:color="auto"/>
        <w:right w:val="none" w:sz="0" w:space="0" w:color="auto"/>
      </w:divBdr>
    </w:div>
    <w:div w:id="157500595">
      <w:bodyDiv w:val="1"/>
      <w:marLeft w:val="0"/>
      <w:marRight w:val="0"/>
      <w:marTop w:val="0"/>
      <w:marBottom w:val="0"/>
      <w:divBdr>
        <w:top w:val="none" w:sz="0" w:space="0" w:color="auto"/>
        <w:left w:val="none" w:sz="0" w:space="0" w:color="auto"/>
        <w:bottom w:val="none" w:sz="0" w:space="0" w:color="auto"/>
        <w:right w:val="none" w:sz="0" w:space="0" w:color="auto"/>
      </w:divBdr>
    </w:div>
    <w:div w:id="157505343">
      <w:bodyDiv w:val="1"/>
      <w:marLeft w:val="0"/>
      <w:marRight w:val="0"/>
      <w:marTop w:val="0"/>
      <w:marBottom w:val="0"/>
      <w:divBdr>
        <w:top w:val="none" w:sz="0" w:space="0" w:color="auto"/>
        <w:left w:val="none" w:sz="0" w:space="0" w:color="auto"/>
        <w:bottom w:val="none" w:sz="0" w:space="0" w:color="auto"/>
        <w:right w:val="none" w:sz="0" w:space="0" w:color="auto"/>
      </w:divBdr>
    </w:div>
    <w:div w:id="157549471">
      <w:bodyDiv w:val="1"/>
      <w:marLeft w:val="0"/>
      <w:marRight w:val="0"/>
      <w:marTop w:val="0"/>
      <w:marBottom w:val="0"/>
      <w:divBdr>
        <w:top w:val="none" w:sz="0" w:space="0" w:color="auto"/>
        <w:left w:val="none" w:sz="0" w:space="0" w:color="auto"/>
        <w:bottom w:val="none" w:sz="0" w:space="0" w:color="auto"/>
        <w:right w:val="none" w:sz="0" w:space="0" w:color="auto"/>
      </w:divBdr>
    </w:div>
    <w:div w:id="157572967">
      <w:bodyDiv w:val="1"/>
      <w:marLeft w:val="0"/>
      <w:marRight w:val="0"/>
      <w:marTop w:val="0"/>
      <w:marBottom w:val="0"/>
      <w:divBdr>
        <w:top w:val="none" w:sz="0" w:space="0" w:color="auto"/>
        <w:left w:val="none" w:sz="0" w:space="0" w:color="auto"/>
        <w:bottom w:val="none" w:sz="0" w:space="0" w:color="auto"/>
        <w:right w:val="none" w:sz="0" w:space="0" w:color="auto"/>
      </w:divBdr>
    </w:div>
    <w:div w:id="157578823">
      <w:bodyDiv w:val="1"/>
      <w:marLeft w:val="0"/>
      <w:marRight w:val="0"/>
      <w:marTop w:val="0"/>
      <w:marBottom w:val="0"/>
      <w:divBdr>
        <w:top w:val="none" w:sz="0" w:space="0" w:color="auto"/>
        <w:left w:val="none" w:sz="0" w:space="0" w:color="auto"/>
        <w:bottom w:val="none" w:sz="0" w:space="0" w:color="auto"/>
        <w:right w:val="none" w:sz="0" w:space="0" w:color="auto"/>
      </w:divBdr>
    </w:div>
    <w:div w:id="157623923">
      <w:bodyDiv w:val="1"/>
      <w:marLeft w:val="0"/>
      <w:marRight w:val="0"/>
      <w:marTop w:val="0"/>
      <w:marBottom w:val="0"/>
      <w:divBdr>
        <w:top w:val="none" w:sz="0" w:space="0" w:color="auto"/>
        <w:left w:val="none" w:sz="0" w:space="0" w:color="auto"/>
        <w:bottom w:val="none" w:sz="0" w:space="0" w:color="auto"/>
        <w:right w:val="none" w:sz="0" w:space="0" w:color="auto"/>
      </w:divBdr>
    </w:div>
    <w:div w:id="157624931">
      <w:bodyDiv w:val="1"/>
      <w:marLeft w:val="0"/>
      <w:marRight w:val="0"/>
      <w:marTop w:val="0"/>
      <w:marBottom w:val="0"/>
      <w:divBdr>
        <w:top w:val="none" w:sz="0" w:space="0" w:color="auto"/>
        <w:left w:val="none" w:sz="0" w:space="0" w:color="auto"/>
        <w:bottom w:val="none" w:sz="0" w:space="0" w:color="auto"/>
        <w:right w:val="none" w:sz="0" w:space="0" w:color="auto"/>
      </w:divBdr>
    </w:div>
    <w:div w:id="157767518">
      <w:bodyDiv w:val="1"/>
      <w:marLeft w:val="0"/>
      <w:marRight w:val="0"/>
      <w:marTop w:val="0"/>
      <w:marBottom w:val="0"/>
      <w:divBdr>
        <w:top w:val="none" w:sz="0" w:space="0" w:color="auto"/>
        <w:left w:val="none" w:sz="0" w:space="0" w:color="auto"/>
        <w:bottom w:val="none" w:sz="0" w:space="0" w:color="auto"/>
        <w:right w:val="none" w:sz="0" w:space="0" w:color="auto"/>
      </w:divBdr>
    </w:div>
    <w:div w:id="157842208">
      <w:bodyDiv w:val="1"/>
      <w:marLeft w:val="0"/>
      <w:marRight w:val="0"/>
      <w:marTop w:val="0"/>
      <w:marBottom w:val="0"/>
      <w:divBdr>
        <w:top w:val="none" w:sz="0" w:space="0" w:color="auto"/>
        <w:left w:val="none" w:sz="0" w:space="0" w:color="auto"/>
        <w:bottom w:val="none" w:sz="0" w:space="0" w:color="auto"/>
        <w:right w:val="none" w:sz="0" w:space="0" w:color="auto"/>
      </w:divBdr>
    </w:div>
    <w:div w:id="157884787">
      <w:bodyDiv w:val="1"/>
      <w:marLeft w:val="0"/>
      <w:marRight w:val="0"/>
      <w:marTop w:val="0"/>
      <w:marBottom w:val="0"/>
      <w:divBdr>
        <w:top w:val="none" w:sz="0" w:space="0" w:color="auto"/>
        <w:left w:val="none" w:sz="0" w:space="0" w:color="auto"/>
        <w:bottom w:val="none" w:sz="0" w:space="0" w:color="auto"/>
        <w:right w:val="none" w:sz="0" w:space="0" w:color="auto"/>
      </w:divBdr>
    </w:div>
    <w:div w:id="157891658">
      <w:bodyDiv w:val="1"/>
      <w:marLeft w:val="0"/>
      <w:marRight w:val="0"/>
      <w:marTop w:val="0"/>
      <w:marBottom w:val="0"/>
      <w:divBdr>
        <w:top w:val="none" w:sz="0" w:space="0" w:color="auto"/>
        <w:left w:val="none" w:sz="0" w:space="0" w:color="auto"/>
        <w:bottom w:val="none" w:sz="0" w:space="0" w:color="auto"/>
        <w:right w:val="none" w:sz="0" w:space="0" w:color="auto"/>
      </w:divBdr>
    </w:div>
    <w:div w:id="157969224">
      <w:bodyDiv w:val="1"/>
      <w:marLeft w:val="0"/>
      <w:marRight w:val="0"/>
      <w:marTop w:val="0"/>
      <w:marBottom w:val="0"/>
      <w:divBdr>
        <w:top w:val="none" w:sz="0" w:space="0" w:color="auto"/>
        <w:left w:val="none" w:sz="0" w:space="0" w:color="auto"/>
        <w:bottom w:val="none" w:sz="0" w:space="0" w:color="auto"/>
        <w:right w:val="none" w:sz="0" w:space="0" w:color="auto"/>
      </w:divBdr>
    </w:div>
    <w:div w:id="158011624">
      <w:bodyDiv w:val="1"/>
      <w:marLeft w:val="0"/>
      <w:marRight w:val="0"/>
      <w:marTop w:val="0"/>
      <w:marBottom w:val="0"/>
      <w:divBdr>
        <w:top w:val="none" w:sz="0" w:space="0" w:color="auto"/>
        <w:left w:val="none" w:sz="0" w:space="0" w:color="auto"/>
        <w:bottom w:val="none" w:sz="0" w:space="0" w:color="auto"/>
        <w:right w:val="none" w:sz="0" w:space="0" w:color="auto"/>
      </w:divBdr>
    </w:div>
    <w:div w:id="158153555">
      <w:bodyDiv w:val="1"/>
      <w:marLeft w:val="0"/>
      <w:marRight w:val="0"/>
      <w:marTop w:val="0"/>
      <w:marBottom w:val="0"/>
      <w:divBdr>
        <w:top w:val="none" w:sz="0" w:space="0" w:color="auto"/>
        <w:left w:val="none" w:sz="0" w:space="0" w:color="auto"/>
        <w:bottom w:val="none" w:sz="0" w:space="0" w:color="auto"/>
        <w:right w:val="none" w:sz="0" w:space="0" w:color="auto"/>
      </w:divBdr>
    </w:div>
    <w:div w:id="158160051">
      <w:bodyDiv w:val="1"/>
      <w:marLeft w:val="0"/>
      <w:marRight w:val="0"/>
      <w:marTop w:val="0"/>
      <w:marBottom w:val="0"/>
      <w:divBdr>
        <w:top w:val="none" w:sz="0" w:space="0" w:color="auto"/>
        <w:left w:val="none" w:sz="0" w:space="0" w:color="auto"/>
        <w:bottom w:val="none" w:sz="0" w:space="0" w:color="auto"/>
        <w:right w:val="none" w:sz="0" w:space="0" w:color="auto"/>
      </w:divBdr>
    </w:div>
    <w:div w:id="158204130">
      <w:bodyDiv w:val="1"/>
      <w:marLeft w:val="0"/>
      <w:marRight w:val="0"/>
      <w:marTop w:val="0"/>
      <w:marBottom w:val="0"/>
      <w:divBdr>
        <w:top w:val="none" w:sz="0" w:space="0" w:color="auto"/>
        <w:left w:val="none" w:sz="0" w:space="0" w:color="auto"/>
        <w:bottom w:val="none" w:sz="0" w:space="0" w:color="auto"/>
        <w:right w:val="none" w:sz="0" w:space="0" w:color="auto"/>
      </w:divBdr>
    </w:div>
    <w:div w:id="158234458">
      <w:bodyDiv w:val="1"/>
      <w:marLeft w:val="0"/>
      <w:marRight w:val="0"/>
      <w:marTop w:val="0"/>
      <w:marBottom w:val="0"/>
      <w:divBdr>
        <w:top w:val="none" w:sz="0" w:space="0" w:color="auto"/>
        <w:left w:val="none" w:sz="0" w:space="0" w:color="auto"/>
        <w:bottom w:val="none" w:sz="0" w:space="0" w:color="auto"/>
        <w:right w:val="none" w:sz="0" w:space="0" w:color="auto"/>
      </w:divBdr>
    </w:div>
    <w:div w:id="158278557">
      <w:bodyDiv w:val="1"/>
      <w:marLeft w:val="0"/>
      <w:marRight w:val="0"/>
      <w:marTop w:val="0"/>
      <w:marBottom w:val="0"/>
      <w:divBdr>
        <w:top w:val="none" w:sz="0" w:space="0" w:color="auto"/>
        <w:left w:val="none" w:sz="0" w:space="0" w:color="auto"/>
        <w:bottom w:val="none" w:sz="0" w:space="0" w:color="auto"/>
        <w:right w:val="none" w:sz="0" w:space="0" w:color="auto"/>
      </w:divBdr>
    </w:div>
    <w:div w:id="158351149">
      <w:bodyDiv w:val="1"/>
      <w:marLeft w:val="0"/>
      <w:marRight w:val="0"/>
      <w:marTop w:val="0"/>
      <w:marBottom w:val="0"/>
      <w:divBdr>
        <w:top w:val="none" w:sz="0" w:space="0" w:color="auto"/>
        <w:left w:val="none" w:sz="0" w:space="0" w:color="auto"/>
        <w:bottom w:val="none" w:sz="0" w:space="0" w:color="auto"/>
        <w:right w:val="none" w:sz="0" w:space="0" w:color="auto"/>
      </w:divBdr>
    </w:div>
    <w:div w:id="158426915">
      <w:bodyDiv w:val="1"/>
      <w:marLeft w:val="0"/>
      <w:marRight w:val="0"/>
      <w:marTop w:val="0"/>
      <w:marBottom w:val="0"/>
      <w:divBdr>
        <w:top w:val="none" w:sz="0" w:space="0" w:color="auto"/>
        <w:left w:val="none" w:sz="0" w:space="0" w:color="auto"/>
        <w:bottom w:val="none" w:sz="0" w:space="0" w:color="auto"/>
        <w:right w:val="none" w:sz="0" w:space="0" w:color="auto"/>
      </w:divBdr>
    </w:div>
    <w:div w:id="158469712">
      <w:bodyDiv w:val="1"/>
      <w:marLeft w:val="0"/>
      <w:marRight w:val="0"/>
      <w:marTop w:val="0"/>
      <w:marBottom w:val="0"/>
      <w:divBdr>
        <w:top w:val="none" w:sz="0" w:space="0" w:color="auto"/>
        <w:left w:val="none" w:sz="0" w:space="0" w:color="auto"/>
        <w:bottom w:val="none" w:sz="0" w:space="0" w:color="auto"/>
        <w:right w:val="none" w:sz="0" w:space="0" w:color="auto"/>
      </w:divBdr>
    </w:div>
    <w:div w:id="158664350">
      <w:bodyDiv w:val="1"/>
      <w:marLeft w:val="0"/>
      <w:marRight w:val="0"/>
      <w:marTop w:val="0"/>
      <w:marBottom w:val="0"/>
      <w:divBdr>
        <w:top w:val="none" w:sz="0" w:space="0" w:color="auto"/>
        <w:left w:val="none" w:sz="0" w:space="0" w:color="auto"/>
        <w:bottom w:val="none" w:sz="0" w:space="0" w:color="auto"/>
        <w:right w:val="none" w:sz="0" w:space="0" w:color="auto"/>
      </w:divBdr>
    </w:div>
    <w:div w:id="158693242">
      <w:bodyDiv w:val="1"/>
      <w:marLeft w:val="0"/>
      <w:marRight w:val="0"/>
      <w:marTop w:val="0"/>
      <w:marBottom w:val="0"/>
      <w:divBdr>
        <w:top w:val="none" w:sz="0" w:space="0" w:color="auto"/>
        <w:left w:val="none" w:sz="0" w:space="0" w:color="auto"/>
        <w:bottom w:val="none" w:sz="0" w:space="0" w:color="auto"/>
        <w:right w:val="none" w:sz="0" w:space="0" w:color="auto"/>
      </w:divBdr>
    </w:div>
    <w:div w:id="158695378">
      <w:bodyDiv w:val="1"/>
      <w:marLeft w:val="0"/>
      <w:marRight w:val="0"/>
      <w:marTop w:val="0"/>
      <w:marBottom w:val="0"/>
      <w:divBdr>
        <w:top w:val="none" w:sz="0" w:space="0" w:color="auto"/>
        <w:left w:val="none" w:sz="0" w:space="0" w:color="auto"/>
        <w:bottom w:val="none" w:sz="0" w:space="0" w:color="auto"/>
        <w:right w:val="none" w:sz="0" w:space="0" w:color="auto"/>
      </w:divBdr>
    </w:div>
    <w:div w:id="158733240">
      <w:bodyDiv w:val="1"/>
      <w:marLeft w:val="0"/>
      <w:marRight w:val="0"/>
      <w:marTop w:val="0"/>
      <w:marBottom w:val="0"/>
      <w:divBdr>
        <w:top w:val="none" w:sz="0" w:space="0" w:color="auto"/>
        <w:left w:val="none" w:sz="0" w:space="0" w:color="auto"/>
        <w:bottom w:val="none" w:sz="0" w:space="0" w:color="auto"/>
        <w:right w:val="none" w:sz="0" w:space="0" w:color="auto"/>
      </w:divBdr>
    </w:div>
    <w:div w:id="158931117">
      <w:bodyDiv w:val="1"/>
      <w:marLeft w:val="0"/>
      <w:marRight w:val="0"/>
      <w:marTop w:val="0"/>
      <w:marBottom w:val="0"/>
      <w:divBdr>
        <w:top w:val="none" w:sz="0" w:space="0" w:color="auto"/>
        <w:left w:val="none" w:sz="0" w:space="0" w:color="auto"/>
        <w:bottom w:val="none" w:sz="0" w:space="0" w:color="auto"/>
        <w:right w:val="none" w:sz="0" w:space="0" w:color="auto"/>
      </w:divBdr>
    </w:div>
    <w:div w:id="159082359">
      <w:bodyDiv w:val="1"/>
      <w:marLeft w:val="0"/>
      <w:marRight w:val="0"/>
      <w:marTop w:val="0"/>
      <w:marBottom w:val="0"/>
      <w:divBdr>
        <w:top w:val="none" w:sz="0" w:space="0" w:color="auto"/>
        <w:left w:val="none" w:sz="0" w:space="0" w:color="auto"/>
        <w:bottom w:val="none" w:sz="0" w:space="0" w:color="auto"/>
        <w:right w:val="none" w:sz="0" w:space="0" w:color="auto"/>
      </w:divBdr>
    </w:div>
    <w:div w:id="159123206">
      <w:bodyDiv w:val="1"/>
      <w:marLeft w:val="0"/>
      <w:marRight w:val="0"/>
      <w:marTop w:val="0"/>
      <w:marBottom w:val="0"/>
      <w:divBdr>
        <w:top w:val="none" w:sz="0" w:space="0" w:color="auto"/>
        <w:left w:val="none" w:sz="0" w:space="0" w:color="auto"/>
        <w:bottom w:val="none" w:sz="0" w:space="0" w:color="auto"/>
        <w:right w:val="none" w:sz="0" w:space="0" w:color="auto"/>
      </w:divBdr>
    </w:div>
    <w:div w:id="159124310">
      <w:bodyDiv w:val="1"/>
      <w:marLeft w:val="0"/>
      <w:marRight w:val="0"/>
      <w:marTop w:val="0"/>
      <w:marBottom w:val="0"/>
      <w:divBdr>
        <w:top w:val="none" w:sz="0" w:space="0" w:color="auto"/>
        <w:left w:val="none" w:sz="0" w:space="0" w:color="auto"/>
        <w:bottom w:val="none" w:sz="0" w:space="0" w:color="auto"/>
        <w:right w:val="none" w:sz="0" w:space="0" w:color="auto"/>
      </w:divBdr>
    </w:div>
    <w:div w:id="159195274">
      <w:bodyDiv w:val="1"/>
      <w:marLeft w:val="0"/>
      <w:marRight w:val="0"/>
      <w:marTop w:val="0"/>
      <w:marBottom w:val="0"/>
      <w:divBdr>
        <w:top w:val="none" w:sz="0" w:space="0" w:color="auto"/>
        <w:left w:val="none" w:sz="0" w:space="0" w:color="auto"/>
        <w:bottom w:val="none" w:sz="0" w:space="0" w:color="auto"/>
        <w:right w:val="none" w:sz="0" w:space="0" w:color="auto"/>
      </w:divBdr>
    </w:div>
    <w:div w:id="159199847">
      <w:bodyDiv w:val="1"/>
      <w:marLeft w:val="0"/>
      <w:marRight w:val="0"/>
      <w:marTop w:val="0"/>
      <w:marBottom w:val="0"/>
      <w:divBdr>
        <w:top w:val="none" w:sz="0" w:space="0" w:color="auto"/>
        <w:left w:val="none" w:sz="0" w:space="0" w:color="auto"/>
        <w:bottom w:val="none" w:sz="0" w:space="0" w:color="auto"/>
        <w:right w:val="none" w:sz="0" w:space="0" w:color="auto"/>
      </w:divBdr>
    </w:div>
    <w:div w:id="159390179">
      <w:bodyDiv w:val="1"/>
      <w:marLeft w:val="0"/>
      <w:marRight w:val="0"/>
      <w:marTop w:val="0"/>
      <w:marBottom w:val="0"/>
      <w:divBdr>
        <w:top w:val="none" w:sz="0" w:space="0" w:color="auto"/>
        <w:left w:val="none" w:sz="0" w:space="0" w:color="auto"/>
        <w:bottom w:val="none" w:sz="0" w:space="0" w:color="auto"/>
        <w:right w:val="none" w:sz="0" w:space="0" w:color="auto"/>
      </w:divBdr>
    </w:div>
    <w:div w:id="159539512">
      <w:bodyDiv w:val="1"/>
      <w:marLeft w:val="0"/>
      <w:marRight w:val="0"/>
      <w:marTop w:val="0"/>
      <w:marBottom w:val="0"/>
      <w:divBdr>
        <w:top w:val="none" w:sz="0" w:space="0" w:color="auto"/>
        <w:left w:val="none" w:sz="0" w:space="0" w:color="auto"/>
        <w:bottom w:val="none" w:sz="0" w:space="0" w:color="auto"/>
        <w:right w:val="none" w:sz="0" w:space="0" w:color="auto"/>
      </w:divBdr>
    </w:div>
    <w:div w:id="159544455">
      <w:bodyDiv w:val="1"/>
      <w:marLeft w:val="0"/>
      <w:marRight w:val="0"/>
      <w:marTop w:val="0"/>
      <w:marBottom w:val="0"/>
      <w:divBdr>
        <w:top w:val="none" w:sz="0" w:space="0" w:color="auto"/>
        <w:left w:val="none" w:sz="0" w:space="0" w:color="auto"/>
        <w:bottom w:val="none" w:sz="0" w:space="0" w:color="auto"/>
        <w:right w:val="none" w:sz="0" w:space="0" w:color="auto"/>
      </w:divBdr>
    </w:div>
    <w:div w:id="159657940">
      <w:bodyDiv w:val="1"/>
      <w:marLeft w:val="0"/>
      <w:marRight w:val="0"/>
      <w:marTop w:val="0"/>
      <w:marBottom w:val="0"/>
      <w:divBdr>
        <w:top w:val="none" w:sz="0" w:space="0" w:color="auto"/>
        <w:left w:val="none" w:sz="0" w:space="0" w:color="auto"/>
        <w:bottom w:val="none" w:sz="0" w:space="0" w:color="auto"/>
        <w:right w:val="none" w:sz="0" w:space="0" w:color="auto"/>
      </w:divBdr>
    </w:div>
    <w:div w:id="159658115">
      <w:bodyDiv w:val="1"/>
      <w:marLeft w:val="0"/>
      <w:marRight w:val="0"/>
      <w:marTop w:val="0"/>
      <w:marBottom w:val="0"/>
      <w:divBdr>
        <w:top w:val="none" w:sz="0" w:space="0" w:color="auto"/>
        <w:left w:val="none" w:sz="0" w:space="0" w:color="auto"/>
        <w:bottom w:val="none" w:sz="0" w:space="0" w:color="auto"/>
        <w:right w:val="none" w:sz="0" w:space="0" w:color="auto"/>
      </w:divBdr>
    </w:div>
    <w:div w:id="159663284">
      <w:bodyDiv w:val="1"/>
      <w:marLeft w:val="0"/>
      <w:marRight w:val="0"/>
      <w:marTop w:val="0"/>
      <w:marBottom w:val="0"/>
      <w:divBdr>
        <w:top w:val="none" w:sz="0" w:space="0" w:color="auto"/>
        <w:left w:val="none" w:sz="0" w:space="0" w:color="auto"/>
        <w:bottom w:val="none" w:sz="0" w:space="0" w:color="auto"/>
        <w:right w:val="none" w:sz="0" w:space="0" w:color="auto"/>
      </w:divBdr>
    </w:div>
    <w:div w:id="159781077">
      <w:bodyDiv w:val="1"/>
      <w:marLeft w:val="0"/>
      <w:marRight w:val="0"/>
      <w:marTop w:val="0"/>
      <w:marBottom w:val="0"/>
      <w:divBdr>
        <w:top w:val="none" w:sz="0" w:space="0" w:color="auto"/>
        <w:left w:val="none" w:sz="0" w:space="0" w:color="auto"/>
        <w:bottom w:val="none" w:sz="0" w:space="0" w:color="auto"/>
        <w:right w:val="none" w:sz="0" w:space="0" w:color="auto"/>
      </w:divBdr>
    </w:div>
    <w:div w:id="159851837">
      <w:bodyDiv w:val="1"/>
      <w:marLeft w:val="0"/>
      <w:marRight w:val="0"/>
      <w:marTop w:val="0"/>
      <w:marBottom w:val="0"/>
      <w:divBdr>
        <w:top w:val="none" w:sz="0" w:space="0" w:color="auto"/>
        <w:left w:val="none" w:sz="0" w:space="0" w:color="auto"/>
        <w:bottom w:val="none" w:sz="0" w:space="0" w:color="auto"/>
        <w:right w:val="none" w:sz="0" w:space="0" w:color="auto"/>
      </w:divBdr>
    </w:div>
    <w:div w:id="160051080">
      <w:bodyDiv w:val="1"/>
      <w:marLeft w:val="0"/>
      <w:marRight w:val="0"/>
      <w:marTop w:val="0"/>
      <w:marBottom w:val="0"/>
      <w:divBdr>
        <w:top w:val="none" w:sz="0" w:space="0" w:color="auto"/>
        <w:left w:val="none" w:sz="0" w:space="0" w:color="auto"/>
        <w:bottom w:val="none" w:sz="0" w:space="0" w:color="auto"/>
        <w:right w:val="none" w:sz="0" w:space="0" w:color="auto"/>
      </w:divBdr>
    </w:div>
    <w:div w:id="160201715">
      <w:bodyDiv w:val="1"/>
      <w:marLeft w:val="0"/>
      <w:marRight w:val="0"/>
      <w:marTop w:val="0"/>
      <w:marBottom w:val="0"/>
      <w:divBdr>
        <w:top w:val="none" w:sz="0" w:space="0" w:color="auto"/>
        <w:left w:val="none" w:sz="0" w:space="0" w:color="auto"/>
        <w:bottom w:val="none" w:sz="0" w:space="0" w:color="auto"/>
        <w:right w:val="none" w:sz="0" w:space="0" w:color="auto"/>
      </w:divBdr>
    </w:div>
    <w:div w:id="160320107">
      <w:bodyDiv w:val="1"/>
      <w:marLeft w:val="0"/>
      <w:marRight w:val="0"/>
      <w:marTop w:val="0"/>
      <w:marBottom w:val="0"/>
      <w:divBdr>
        <w:top w:val="none" w:sz="0" w:space="0" w:color="auto"/>
        <w:left w:val="none" w:sz="0" w:space="0" w:color="auto"/>
        <w:bottom w:val="none" w:sz="0" w:space="0" w:color="auto"/>
        <w:right w:val="none" w:sz="0" w:space="0" w:color="auto"/>
      </w:divBdr>
    </w:div>
    <w:div w:id="160321257">
      <w:bodyDiv w:val="1"/>
      <w:marLeft w:val="0"/>
      <w:marRight w:val="0"/>
      <w:marTop w:val="0"/>
      <w:marBottom w:val="0"/>
      <w:divBdr>
        <w:top w:val="none" w:sz="0" w:space="0" w:color="auto"/>
        <w:left w:val="none" w:sz="0" w:space="0" w:color="auto"/>
        <w:bottom w:val="none" w:sz="0" w:space="0" w:color="auto"/>
        <w:right w:val="none" w:sz="0" w:space="0" w:color="auto"/>
      </w:divBdr>
    </w:div>
    <w:div w:id="160513848">
      <w:bodyDiv w:val="1"/>
      <w:marLeft w:val="0"/>
      <w:marRight w:val="0"/>
      <w:marTop w:val="0"/>
      <w:marBottom w:val="0"/>
      <w:divBdr>
        <w:top w:val="none" w:sz="0" w:space="0" w:color="auto"/>
        <w:left w:val="none" w:sz="0" w:space="0" w:color="auto"/>
        <w:bottom w:val="none" w:sz="0" w:space="0" w:color="auto"/>
        <w:right w:val="none" w:sz="0" w:space="0" w:color="auto"/>
      </w:divBdr>
    </w:div>
    <w:div w:id="160583581">
      <w:bodyDiv w:val="1"/>
      <w:marLeft w:val="0"/>
      <w:marRight w:val="0"/>
      <w:marTop w:val="0"/>
      <w:marBottom w:val="0"/>
      <w:divBdr>
        <w:top w:val="none" w:sz="0" w:space="0" w:color="auto"/>
        <w:left w:val="none" w:sz="0" w:space="0" w:color="auto"/>
        <w:bottom w:val="none" w:sz="0" w:space="0" w:color="auto"/>
        <w:right w:val="none" w:sz="0" w:space="0" w:color="auto"/>
      </w:divBdr>
    </w:div>
    <w:div w:id="160774013">
      <w:bodyDiv w:val="1"/>
      <w:marLeft w:val="0"/>
      <w:marRight w:val="0"/>
      <w:marTop w:val="0"/>
      <w:marBottom w:val="0"/>
      <w:divBdr>
        <w:top w:val="none" w:sz="0" w:space="0" w:color="auto"/>
        <w:left w:val="none" w:sz="0" w:space="0" w:color="auto"/>
        <w:bottom w:val="none" w:sz="0" w:space="0" w:color="auto"/>
        <w:right w:val="none" w:sz="0" w:space="0" w:color="auto"/>
      </w:divBdr>
    </w:div>
    <w:div w:id="160851160">
      <w:bodyDiv w:val="1"/>
      <w:marLeft w:val="0"/>
      <w:marRight w:val="0"/>
      <w:marTop w:val="0"/>
      <w:marBottom w:val="0"/>
      <w:divBdr>
        <w:top w:val="none" w:sz="0" w:space="0" w:color="auto"/>
        <w:left w:val="none" w:sz="0" w:space="0" w:color="auto"/>
        <w:bottom w:val="none" w:sz="0" w:space="0" w:color="auto"/>
        <w:right w:val="none" w:sz="0" w:space="0" w:color="auto"/>
      </w:divBdr>
    </w:div>
    <w:div w:id="160851925">
      <w:bodyDiv w:val="1"/>
      <w:marLeft w:val="0"/>
      <w:marRight w:val="0"/>
      <w:marTop w:val="0"/>
      <w:marBottom w:val="0"/>
      <w:divBdr>
        <w:top w:val="none" w:sz="0" w:space="0" w:color="auto"/>
        <w:left w:val="none" w:sz="0" w:space="0" w:color="auto"/>
        <w:bottom w:val="none" w:sz="0" w:space="0" w:color="auto"/>
        <w:right w:val="none" w:sz="0" w:space="0" w:color="auto"/>
      </w:divBdr>
    </w:div>
    <w:div w:id="160892556">
      <w:bodyDiv w:val="1"/>
      <w:marLeft w:val="0"/>
      <w:marRight w:val="0"/>
      <w:marTop w:val="0"/>
      <w:marBottom w:val="0"/>
      <w:divBdr>
        <w:top w:val="none" w:sz="0" w:space="0" w:color="auto"/>
        <w:left w:val="none" w:sz="0" w:space="0" w:color="auto"/>
        <w:bottom w:val="none" w:sz="0" w:space="0" w:color="auto"/>
        <w:right w:val="none" w:sz="0" w:space="0" w:color="auto"/>
      </w:divBdr>
    </w:div>
    <w:div w:id="160971934">
      <w:bodyDiv w:val="1"/>
      <w:marLeft w:val="0"/>
      <w:marRight w:val="0"/>
      <w:marTop w:val="0"/>
      <w:marBottom w:val="0"/>
      <w:divBdr>
        <w:top w:val="none" w:sz="0" w:space="0" w:color="auto"/>
        <w:left w:val="none" w:sz="0" w:space="0" w:color="auto"/>
        <w:bottom w:val="none" w:sz="0" w:space="0" w:color="auto"/>
        <w:right w:val="none" w:sz="0" w:space="0" w:color="auto"/>
      </w:divBdr>
    </w:div>
    <w:div w:id="161047596">
      <w:bodyDiv w:val="1"/>
      <w:marLeft w:val="0"/>
      <w:marRight w:val="0"/>
      <w:marTop w:val="0"/>
      <w:marBottom w:val="0"/>
      <w:divBdr>
        <w:top w:val="none" w:sz="0" w:space="0" w:color="auto"/>
        <w:left w:val="none" w:sz="0" w:space="0" w:color="auto"/>
        <w:bottom w:val="none" w:sz="0" w:space="0" w:color="auto"/>
        <w:right w:val="none" w:sz="0" w:space="0" w:color="auto"/>
      </w:divBdr>
    </w:div>
    <w:div w:id="161049690">
      <w:bodyDiv w:val="1"/>
      <w:marLeft w:val="0"/>
      <w:marRight w:val="0"/>
      <w:marTop w:val="0"/>
      <w:marBottom w:val="0"/>
      <w:divBdr>
        <w:top w:val="none" w:sz="0" w:space="0" w:color="auto"/>
        <w:left w:val="none" w:sz="0" w:space="0" w:color="auto"/>
        <w:bottom w:val="none" w:sz="0" w:space="0" w:color="auto"/>
        <w:right w:val="none" w:sz="0" w:space="0" w:color="auto"/>
      </w:divBdr>
    </w:div>
    <w:div w:id="161089056">
      <w:bodyDiv w:val="1"/>
      <w:marLeft w:val="0"/>
      <w:marRight w:val="0"/>
      <w:marTop w:val="0"/>
      <w:marBottom w:val="0"/>
      <w:divBdr>
        <w:top w:val="none" w:sz="0" w:space="0" w:color="auto"/>
        <w:left w:val="none" w:sz="0" w:space="0" w:color="auto"/>
        <w:bottom w:val="none" w:sz="0" w:space="0" w:color="auto"/>
        <w:right w:val="none" w:sz="0" w:space="0" w:color="auto"/>
      </w:divBdr>
    </w:div>
    <w:div w:id="161162454">
      <w:bodyDiv w:val="1"/>
      <w:marLeft w:val="0"/>
      <w:marRight w:val="0"/>
      <w:marTop w:val="0"/>
      <w:marBottom w:val="0"/>
      <w:divBdr>
        <w:top w:val="none" w:sz="0" w:space="0" w:color="auto"/>
        <w:left w:val="none" w:sz="0" w:space="0" w:color="auto"/>
        <w:bottom w:val="none" w:sz="0" w:space="0" w:color="auto"/>
        <w:right w:val="none" w:sz="0" w:space="0" w:color="auto"/>
      </w:divBdr>
    </w:div>
    <w:div w:id="161165057">
      <w:bodyDiv w:val="1"/>
      <w:marLeft w:val="0"/>
      <w:marRight w:val="0"/>
      <w:marTop w:val="0"/>
      <w:marBottom w:val="0"/>
      <w:divBdr>
        <w:top w:val="none" w:sz="0" w:space="0" w:color="auto"/>
        <w:left w:val="none" w:sz="0" w:space="0" w:color="auto"/>
        <w:bottom w:val="none" w:sz="0" w:space="0" w:color="auto"/>
        <w:right w:val="none" w:sz="0" w:space="0" w:color="auto"/>
      </w:divBdr>
    </w:div>
    <w:div w:id="161236191">
      <w:bodyDiv w:val="1"/>
      <w:marLeft w:val="0"/>
      <w:marRight w:val="0"/>
      <w:marTop w:val="0"/>
      <w:marBottom w:val="0"/>
      <w:divBdr>
        <w:top w:val="none" w:sz="0" w:space="0" w:color="auto"/>
        <w:left w:val="none" w:sz="0" w:space="0" w:color="auto"/>
        <w:bottom w:val="none" w:sz="0" w:space="0" w:color="auto"/>
        <w:right w:val="none" w:sz="0" w:space="0" w:color="auto"/>
      </w:divBdr>
    </w:div>
    <w:div w:id="161237384">
      <w:bodyDiv w:val="1"/>
      <w:marLeft w:val="0"/>
      <w:marRight w:val="0"/>
      <w:marTop w:val="0"/>
      <w:marBottom w:val="0"/>
      <w:divBdr>
        <w:top w:val="none" w:sz="0" w:space="0" w:color="auto"/>
        <w:left w:val="none" w:sz="0" w:space="0" w:color="auto"/>
        <w:bottom w:val="none" w:sz="0" w:space="0" w:color="auto"/>
        <w:right w:val="none" w:sz="0" w:space="0" w:color="auto"/>
      </w:divBdr>
    </w:div>
    <w:div w:id="161432424">
      <w:bodyDiv w:val="1"/>
      <w:marLeft w:val="0"/>
      <w:marRight w:val="0"/>
      <w:marTop w:val="0"/>
      <w:marBottom w:val="0"/>
      <w:divBdr>
        <w:top w:val="none" w:sz="0" w:space="0" w:color="auto"/>
        <w:left w:val="none" w:sz="0" w:space="0" w:color="auto"/>
        <w:bottom w:val="none" w:sz="0" w:space="0" w:color="auto"/>
        <w:right w:val="none" w:sz="0" w:space="0" w:color="auto"/>
      </w:divBdr>
    </w:div>
    <w:div w:id="161507613">
      <w:bodyDiv w:val="1"/>
      <w:marLeft w:val="0"/>
      <w:marRight w:val="0"/>
      <w:marTop w:val="0"/>
      <w:marBottom w:val="0"/>
      <w:divBdr>
        <w:top w:val="none" w:sz="0" w:space="0" w:color="auto"/>
        <w:left w:val="none" w:sz="0" w:space="0" w:color="auto"/>
        <w:bottom w:val="none" w:sz="0" w:space="0" w:color="auto"/>
        <w:right w:val="none" w:sz="0" w:space="0" w:color="auto"/>
      </w:divBdr>
    </w:div>
    <w:div w:id="161628847">
      <w:bodyDiv w:val="1"/>
      <w:marLeft w:val="0"/>
      <w:marRight w:val="0"/>
      <w:marTop w:val="0"/>
      <w:marBottom w:val="0"/>
      <w:divBdr>
        <w:top w:val="none" w:sz="0" w:space="0" w:color="auto"/>
        <w:left w:val="none" w:sz="0" w:space="0" w:color="auto"/>
        <w:bottom w:val="none" w:sz="0" w:space="0" w:color="auto"/>
        <w:right w:val="none" w:sz="0" w:space="0" w:color="auto"/>
      </w:divBdr>
    </w:div>
    <w:div w:id="161744016">
      <w:bodyDiv w:val="1"/>
      <w:marLeft w:val="0"/>
      <w:marRight w:val="0"/>
      <w:marTop w:val="0"/>
      <w:marBottom w:val="0"/>
      <w:divBdr>
        <w:top w:val="none" w:sz="0" w:space="0" w:color="auto"/>
        <w:left w:val="none" w:sz="0" w:space="0" w:color="auto"/>
        <w:bottom w:val="none" w:sz="0" w:space="0" w:color="auto"/>
        <w:right w:val="none" w:sz="0" w:space="0" w:color="auto"/>
      </w:divBdr>
    </w:div>
    <w:div w:id="161744148">
      <w:bodyDiv w:val="1"/>
      <w:marLeft w:val="0"/>
      <w:marRight w:val="0"/>
      <w:marTop w:val="0"/>
      <w:marBottom w:val="0"/>
      <w:divBdr>
        <w:top w:val="none" w:sz="0" w:space="0" w:color="auto"/>
        <w:left w:val="none" w:sz="0" w:space="0" w:color="auto"/>
        <w:bottom w:val="none" w:sz="0" w:space="0" w:color="auto"/>
        <w:right w:val="none" w:sz="0" w:space="0" w:color="auto"/>
      </w:divBdr>
    </w:div>
    <w:div w:id="161816144">
      <w:bodyDiv w:val="1"/>
      <w:marLeft w:val="0"/>
      <w:marRight w:val="0"/>
      <w:marTop w:val="0"/>
      <w:marBottom w:val="0"/>
      <w:divBdr>
        <w:top w:val="none" w:sz="0" w:space="0" w:color="auto"/>
        <w:left w:val="none" w:sz="0" w:space="0" w:color="auto"/>
        <w:bottom w:val="none" w:sz="0" w:space="0" w:color="auto"/>
        <w:right w:val="none" w:sz="0" w:space="0" w:color="auto"/>
      </w:divBdr>
    </w:div>
    <w:div w:id="161822582">
      <w:bodyDiv w:val="1"/>
      <w:marLeft w:val="0"/>
      <w:marRight w:val="0"/>
      <w:marTop w:val="0"/>
      <w:marBottom w:val="0"/>
      <w:divBdr>
        <w:top w:val="none" w:sz="0" w:space="0" w:color="auto"/>
        <w:left w:val="none" w:sz="0" w:space="0" w:color="auto"/>
        <w:bottom w:val="none" w:sz="0" w:space="0" w:color="auto"/>
        <w:right w:val="none" w:sz="0" w:space="0" w:color="auto"/>
      </w:divBdr>
    </w:div>
    <w:div w:id="161942902">
      <w:bodyDiv w:val="1"/>
      <w:marLeft w:val="0"/>
      <w:marRight w:val="0"/>
      <w:marTop w:val="0"/>
      <w:marBottom w:val="0"/>
      <w:divBdr>
        <w:top w:val="none" w:sz="0" w:space="0" w:color="auto"/>
        <w:left w:val="none" w:sz="0" w:space="0" w:color="auto"/>
        <w:bottom w:val="none" w:sz="0" w:space="0" w:color="auto"/>
        <w:right w:val="none" w:sz="0" w:space="0" w:color="auto"/>
      </w:divBdr>
    </w:div>
    <w:div w:id="162010137">
      <w:bodyDiv w:val="1"/>
      <w:marLeft w:val="0"/>
      <w:marRight w:val="0"/>
      <w:marTop w:val="0"/>
      <w:marBottom w:val="0"/>
      <w:divBdr>
        <w:top w:val="none" w:sz="0" w:space="0" w:color="auto"/>
        <w:left w:val="none" w:sz="0" w:space="0" w:color="auto"/>
        <w:bottom w:val="none" w:sz="0" w:space="0" w:color="auto"/>
        <w:right w:val="none" w:sz="0" w:space="0" w:color="auto"/>
      </w:divBdr>
    </w:div>
    <w:div w:id="162014994">
      <w:bodyDiv w:val="1"/>
      <w:marLeft w:val="0"/>
      <w:marRight w:val="0"/>
      <w:marTop w:val="0"/>
      <w:marBottom w:val="0"/>
      <w:divBdr>
        <w:top w:val="none" w:sz="0" w:space="0" w:color="auto"/>
        <w:left w:val="none" w:sz="0" w:space="0" w:color="auto"/>
        <w:bottom w:val="none" w:sz="0" w:space="0" w:color="auto"/>
        <w:right w:val="none" w:sz="0" w:space="0" w:color="auto"/>
      </w:divBdr>
    </w:div>
    <w:div w:id="162016252">
      <w:bodyDiv w:val="1"/>
      <w:marLeft w:val="0"/>
      <w:marRight w:val="0"/>
      <w:marTop w:val="0"/>
      <w:marBottom w:val="0"/>
      <w:divBdr>
        <w:top w:val="none" w:sz="0" w:space="0" w:color="auto"/>
        <w:left w:val="none" w:sz="0" w:space="0" w:color="auto"/>
        <w:bottom w:val="none" w:sz="0" w:space="0" w:color="auto"/>
        <w:right w:val="none" w:sz="0" w:space="0" w:color="auto"/>
      </w:divBdr>
    </w:div>
    <w:div w:id="162017351">
      <w:bodyDiv w:val="1"/>
      <w:marLeft w:val="0"/>
      <w:marRight w:val="0"/>
      <w:marTop w:val="0"/>
      <w:marBottom w:val="0"/>
      <w:divBdr>
        <w:top w:val="none" w:sz="0" w:space="0" w:color="auto"/>
        <w:left w:val="none" w:sz="0" w:space="0" w:color="auto"/>
        <w:bottom w:val="none" w:sz="0" w:space="0" w:color="auto"/>
        <w:right w:val="none" w:sz="0" w:space="0" w:color="auto"/>
      </w:divBdr>
    </w:div>
    <w:div w:id="162203356">
      <w:bodyDiv w:val="1"/>
      <w:marLeft w:val="0"/>
      <w:marRight w:val="0"/>
      <w:marTop w:val="0"/>
      <w:marBottom w:val="0"/>
      <w:divBdr>
        <w:top w:val="none" w:sz="0" w:space="0" w:color="auto"/>
        <w:left w:val="none" w:sz="0" w:space="0" w:color="auto"/>
        <w:bottom w:val="none" w:sz="0" w:space="0" w:color="auto"/>
        <w:right w:val="none" w:sz="0" w:space="0" w:color="auto"/>
      </w:divBdr>
    </w:div>
    <w:div w:id="162283268">
      <w:bodyDiv w:val="1"/>
      <w:marLeft w:val="0"/>
      <w:marRight w:val="0"/>
      <w:marTop w:val="0"/>
      <w:marBottom w:val="0"/>
      <w:divBdr>
        <w:top w:val="none" w:sz="0" w:space="0" w:color="auto"/>
        <w:left w:val="none" w:sz="0" w:space="0" w:color="auto"/>
        <w:bottom w:val="none" w:sz="0" w:space="0" w:color="auto"/>
        <w:right w:val="none" w:sz="0" w:space="0" w:color="auto"/>
      </w:divBdr>
    </w:div>
    <w:div w:id="162359123">
      <w:bodyDiv w:val="1"/>
      <w:marLeft w:val="0"/>
      <w:marRight w:val="0"/>
      <w:marTop w:val="0"/>
      <w:marBottom w:val="0"/>
      <w:divBdr>
        <w:top w:val="none" w:sz="0" w:space="0" w:color="auto"/>
        <w:left w:val="none" w:sz="0" w:space="0" w:color="auto"/>
        <w:bottom w:val="none" w:sz="0" w:space="0" w:color="auto"/>
        <w:right w:val="none" w:sz="0" w:space="0" w:color="auto"/>
      </w:divBdr>
    </w:div>
    <w:div w:id="162361340">
      <w:bodyDiv w:val="1"/>
      <w:marLeft w:val="0"/>
      <w:marRight w:val="0"/>
      <w:marTop w:val="0"/>
      <w:marBottom w:val="0"/>
      <w:divBdr>
        <w:top w:val="none" w:sz="0" w:space="0" w:color="auto"/>
        <w:left w:val="none" w:sz="0" w:space="0" w:color="auto"/>
        <w:bottom w:val="none" w:sz="0" w:space="0" w:color="auto"/>
        <w:right w:val="none" w:sz="0" w:space="0" w:color="auto"/>
      </w:divBdr>
    </w:div>
    <w:div w:id="162362900">
      <w:bodyDiv w:val="1"/>
      <w:marLeft w:val="0"/>
      <w:marRight w:val="0"/>
      <w:marTop w:val="0"/>
      <w:marBottom w:val="0"/>
      <w:divBdr>
        <w:top w:val="none" w:sz="0" w:space="0" w:color="auto"/>
        <w:left w:val="none" w:sz="0" w:space="0" w:color="auto"/>
        <w:bottom w:val="none" w:sz="0" w:space="0" w:color="auto"/>
        <w:right w:val="none" w:sz="0" w:space="0" w:color="auto"/>
      </w:divBdr>
    </w:div>
    <w:div w:id="162479877">
      <w:bodyDiv w:val="1"/>
      <w:marLeft w:val="0"/>
      <w:marRight w:val="0"/>
      <w:marTop w:val="0"/>
      <w:marBottom w:val="0"/>
      <w:divBdr>
        <w:top w:val="none" w:sz="0" w:space="0" w:color="auto"/>
        <w:left w:val="none" w:sz="0" w:space="0" w:color="auto"/>
        <w:bottom w:val="none" w:sz="0" w:space="0" w:color="auto"/>
        <w:right w:val="none" w:sz="0" w:space="0" w:color="auto"/>
      </w:divBdr>
    </w:div>
    <w:div w:id="162666576">
      <w:bodyDiv w:val="1"/>
      <w:marLeft w:val="0"/>
      <w:marRight w:val="0"/>
      <w:marTop w:val="0"/>
      <w:marBottom w:val="0"/>
      <w:divBdr>
        <w:top w:val="none" w:sz="0" w:space="0" w:color="auto"/>
        <w:left w:val="none" w:sz="0" w:space="0" w:color="auto"/>
        <w:bottom w:val="none" w:sz="0" w:space="0" w:color="auto"/>
        <w:right w:val="none" w:sz="0" w:space="0" w:color="auto"/>
      </w:divBdr>
    </w:div>
    <w:div w:id="162817524">
      <w:bodyDiv w:val="1"/>
      <w:marLeft w:val="0"/>
      <w:marRight w:val="0"/>
      <w:marTop w:val="0"/>
      <w:marBottom w:val="0"/>
      <w:divBdr>
        <w:top w:val="none" w:sz="0" w:space="0" w:color="auto"/>
        <w:left w:val="none" w:sz="0" w:space="0" w:color="auto"/>
        <w:bottom w:val="none" w:sz="0" w:space="0" w:color="auto"/>
        <w:right w:val="none" w:sz="0" w:space="0" w:color="auto"/>
      </w:divBdr>
    </w:div>
    <w:div w:id="162822481">
      <w:bodyDiv w:val="1"/>
      <w:marLeft w:val="0"/>
      <w:marRight w:val="0"/>
      <w:marTop w:val="0"/>
      <w:marBottom w:val="0"/>
      <w:divBdr>
        <w:top w:val="none" w:sz="0" w:space="0" w:color="auto"/>
        <w:left w:val="none" w:sz="0" w:space="0" w:color="auto"/>
        <w:bottom w:val="none" w:sz="0" w:space="0" w:color="auto"/>
        <w:right w:val="none" w:sz="0" w:space="0" w:color="auto"/>
      </w:divBdr>
    </w:div>
    <w:div w:id="162822492">
      <w:bodyDiv w:val="1"/>
      <w:marLeft w:val="0"/>
      <w:marRight w:val="0"/>
      <w:marTop w:val="0"/>
      <w:marBottom w:val="0"/>
      <w:divBdr>
        <w:top w:val="none" w:sz="0" w:space="0" w:color="auto"/>
        <w:left w:val="none" w:sz="0" w:space="0" w:color="auto"/>
        <w:bottom w:val="none" w:sz="0" w:space="0" w:color="auto"/>
        <w:right w:val="none" w:sz="0" w:space="0" w:color="auto"/>
      </w:divBdr>
    </w:div>
    <w:div w:id="162823360">
      <w:bodyDiv w:val="1"/>
      <w:marLeft w:val="0"/>
      <w:marRight w:val="0"/>
      <w:marTop w:val="0"/>
      <w:marBottom w:val="0"/>
      <w:divBdr>
        <w:top w:val="none" w:sz="0" w:space="0" w:color="auto"/>
        <w:left w:val="none" w:sz="0" w:space="0" w:color="auto"/>
        <w:bottom w:val="none" w:sz="0" w:space="0" w:color="auto"/>
        <w:right w:val="none" w:sz="0" w:space="0" w:color="auto"/>
      </w:divBdr>
    </w:div>
    <w:div w:id="162859886">
      <w:bodyDiv w:val="1"/>
      <w:marLeft w:val="0"/>
      <w:marRight w:val="0"/>
      <w:marTop w:val="0"/>
      <w:marBottom w:val="0"/>
      <w:divBdr>
        <w:top w:val="none" w:sz="0" w:space="0" w:color="auto"/>
        <w:left w:val="none" w:sz="0" w:space="0" w:color="auto"/>
        <w:bottom w:val="none" w:sz="0" w:space="0" w:color="auto"/>
        <w:right w:val="none" w:sz="0" w:space="0" w:color="auto"/>
      </w:divBdr>
    </w:div>
    <w:div w:id="162935066">
      <w:bodyDiv w:val="1"/>
      <w:marLeft w:val="0"/>
      <w:marRight w:val="0"/>
      <w:marTop w:val="0"/>
      <w:marBottom w:val="0"/>
      <w:divBdr>
        <w:top w:val="none" w:sz="0" w:space="0" w:color="auto"/>
        <w:left w:val="none" w:sz="0" w:space="0" w:color="auto"/>
        <w:bottom w:val="none" w:sz="0" w:space="0" w:color="auto"/>
        <w:right w:val="none" w:sz="0" w:space="0" w:color="auto"/>
      </w:divBdr>
    </w:div>
    <w:div w:id="163015225">
      <w:bodyDiv w:val="1"/>
      <w:marLeft w:val="0"/>
      <w:marRight w:val="0"/>
      <w:marTop w:val="0"/>
      <w:marBottom w:val="0"/>
      <w:divBdr>
        <w:top w:val="none" w:sz="0" w:space="0" w:color="auto"/>
        <w:left w:val="none" w:sz="0" w:space="0" w:color="auto"/>
        <w:bottom w:val="none" w:sz="0" w:space="0" w:color="auto"/>
        <w:right w:val="none" w:sz="0" w:space="0" w:color="auto"/>
      </w:divBdr>
    </w:div>
    <w:div w:id="163209247">
      <w:bodyDiv w:val="1"/>
      <w:marLeft w:val="0"/>
      <w:marRight w:val="0"/>
      <w:marTop w:val="0"/>
      <w:marBottom w:val="0"/>
      <w:divBdr>
        <w:top w:val="none" w:sz="0" w:space="0" w:color="auto"/>
        <w:left w:val="none" w:sz="0" w:space="0" w:color="auto"/>
        <w:bottom w:val="none" w:sz="0" w:space="0" w:color="auto"/>
        <w:right w:val="none" w:sz="0" w:space="0" w:color="auto"/>
      </w:divBdr>
    </w:div>
    <w:div w:id="163325251">
      <w:bodyDiv w:val="1"/>
      <w:marLeft w:val="0"/>
      <w:marRight w:val="0"/>
      <w:marTop w:val="0"/>
      <w:marBottom w:val="0"/>
      <w:divBdr>
        <w:top w:val="none" w:sz="0" w:space="0" w:color="auto"/>
        <w:left w:val="none" w:sz="0" w:space="0" w:color="auto"/>
        <w:bottom w:val="none" w:sz="0" w:space="0" w:color="auto"/>
        <w:right w:val="none" w:sz="0" w:space="0" w:color="auto"/>
      </w:divBdr>
    </w:div>
    <w:div w:id="163475963">
      <w:bodyDiv w:val="1"/>
      <w:marLeft w:val="0"/>
      <w:marRight w:val="0"/>
      <w:marTop w:val="0"/>
      <w:marBottom w:val="0"/>
      <w:divBdr>
        <w:top w:val="none" w:sz="0" w:space="0" w:color="auto"/>
        <w:left w:val="none" w:sz="0" w:space="0" w:color="auto"/>
        <w:bottom w:val="none" w:sz="0" w:space="0" w:color="auto"/>
        <w:right w:val="none" w:sz="0" w:space="0" w:color="auto"/>
      </w:divBdr>
    </w:div>
    <w:div w:id="163476925">
      <w:bodyDiv w:val="1"/>
      <w:marLeft w:val="0"/>
      <w:marRight w:val="0"/>
      <w:marTop w:val="0"/>
      <w:marBottom w:val="0"/>
      <w:divBdr>
        <w:top w:val="none" w:sz="0" w:space="0" w:color="auto"/>
        <w:left w:val="none" w:sz="0" w:space="0" w:color="auto"/>
        <w:bottom w:val="none" w:sz="0" w:space="0" w:color="auto"/>
        <w:right w:val="none" w:sz="0" w:space="0" w:color="auto"/>
      </w:divBdr>
    </w:div>
    <w:div w:id="163515077">
      <w:bodyDiv w:val="1"/>
      <w:marLeft w:val="0"/>
      <w:marRight w:val="0"/>
      <w:marTop w:val="0"/>
      <w:marBottom w:val="0"/>
      <w:divBdr>
        <w:top w:val="none" w:sz="0" w:space="0" w:color="auto"/>
        <w:left w:val="none" w:sz="0" w:space="0" w:color="auto"/>
        <w:bottom w:val="none" w:sz="0" w:space="0" w:color="auto"/>
        <w:right w:val="none" w:sz="0" w:space="0" w:color="auto"/>
      </w:divBdr>
    </w:div>
    <w:div w:id="163515927">
      <w:bodyDiv w:val="1"/>
      <w:marLeft w:val="0"/>
      <w:marRight w:val="0"/>
      <w:marTop w:val="0"/>
      <w:marBottom w:val="0"/>
      <w:divBdr>
        <w:top w:val="none" w:sz="0" w:space="0" w:color="auto"/>
        <w:left w:val="none" w:sz="0" w:space="0" w:color="auto"/>
        <w:bottom w:val="none" w:sz="0" w:space="0" w:color="auto"/>
        <w:right w:val="none" w:sz="0" w:space="0" w:color="auto"/>
      </w:divBdr>
    </w:div>
    <w:div w:id="163520815">
      <w:bodyDiv w:val="1"/>
      <w:marLeft w:val="0"/>
      <w:marRight w:val="0"/>
      <w:marTop w:val="0"/>
      <w:marBottom w:val="0"/>
      <w:divBdr>
        <w:top w:val="none" w:sz="0" w:space="0" w:color="auto"/>
        <w:left w:val="none" w:sz="0" w:space="0" w:color="auto"/>
        <w:bottom w:val="none" w:sz="0" w:space="0" w:color="auto"/>
        <w:right w:val="none" w:sz="0" w:space="0" w:color="auto"/>
      </w:divBdr>
    </w:div>
    <w:div w:id="163594971">
      <w:bodyDiv w:val="1"/>
      <w:marLeft w:val="0"/>
      <w:marRight w:val="0"/>
      <w:marTop w:val="0"/>
      <w:marBottom w:val="0"/>
      <w:divBdr>
        <w:top w:val="none" w:sz="0" w:space="0" w:color="auto"/>
        <w:left w:val="none" w:sz="0" w:space="0" w:color="auto"/>
        <w:bottom w:val="none" w:sz="0" w:space="0" w:color="auto"/>
        <w:right w:val="none" w:sz="0" w:space="0" w:color="auto"/>
      </w:divBdr>
    </w:div>
    <w:div w:id="163595086">
      <w:bodyDiv w:val="1"/>
      <w:marLeft w:val="0"/>
      <w:marRight w:val="0"/>
      <w:marTop w:val="0"/>
      <w:marBottom w:val="0"/>
      <w:divBdr>
        <w:top w:val="none" w:sz="0" w:space="0" w:color="auto"/>
        <w:left w:val="none" w:sz="0" w:space="0" w:color="auto"/>
        <w:bottom w:val="none" w:sz="0" w:space="0" w:color="auto"/>
        <w:right w:val="none" w:sz="0" w:space="0" w:color="auto"/>
      </w:divBdr>
    </w:div>
    <w:div w:id="163864038">
      <w:bodyDiv w:val="1"/>
      <w:marLeft w:val="0"/>
      <w:marRight w:val="0"/>
      <w:marTop w:val="0"/>
      <w:marBottom w:val="0"/>
      <w:divBdr>
        <w:top w:val="none" w:sz="0" w:space="0" w:color="auto"/>
        <w:left w:val="none" w:sz="0" w:space="0" w:color="auto"/>
        <w:bottom w:val="none" w:sz="0" w:space="0" w:color="auto"/>
        <w:right w:val="none" w:sz="0" w:space="0" w:color="auto"/>
      </w:divBdr>
    </w:div>
    <w:div w:id="163934504">
      <w:bodyDiv w:val="1"/>
      <w:marLeft w:val="0"/>
      <w:marRight w:val="0"/>
      <w:marTop w:val="0"/>
      <w:marBottom w:val="0"/>
      <w:divBdr>
        <w:top w:val="none" w:sz="0" w:space="0" w:color="auto"/>
        <w:left w:val="none" w:sz="0" w:space="0" w:color="auto"/>
        <w:bottom w:val="none" w:sz="0" w:space="0" w:color="auto"/>
        <w:right w:val="none" w:sz="0" w:space="0" w:color="auto"/>
      </w:divBdr>
    </w:div>
    <w:div w:id="163937985">
      <w:bodyDiv w:val="1"/>
      <w:marLeft w:val="0"/>
      <w:marRight w:val="0"/>
      <w:marTop w:val="0"/>
      <w:marBottom w:val="0"/>
      <w:divBdr>
        <w:top w:val="none" w:sz="0" w:space="0" w:color="auto"/>
        <w:left w:val="none" w:sz="0" w:space="0" w:color="auto"/>
        <w:bottom w:val="none" w:sz="0" w:space="0" w:color="auto"/>
        <w:right w:val="none" w:sz="0" w:space="0" w:color="auto"/>
      </w:divBdr>
    </w:div>
    <w:div w:id="163977172">
      <w:bodyDiv w:val="1"/>
      <w:marLeft w:val="0"/>
      <w:marRight w:val="0"/>
      <w:marTop w:val="0"/>
      <w:marBottom w:val="0"/>
      <w:divBdr>
        <w:top w:val="none" w:sz="0" w:space="0" w:color="auto"/>
        <w:left w:val="none" w:sz="0" w:space="0" w:color="auto"/>
        <w:bottom w:val="none" w:sz="0" w:space="0" w:color="auto"/>
        <w:right w:val="none" w:sz="0" w:space="0" w:color="auto"/>
      </w:divBdr>
    </w:div>
    <w:div w:id="164132602">
      <w:bodyDiv w:val="1"/>
      <w:marLeft w:val="0"/>
      <w:marRight w:val="0"/>
      <w:marTop w:val="0"/>
      <w:marBottom w:val="0"/>
      <w:divBdr>
        <w:top w:val="none" w:sz="0" w:space="0" w:color="auto"/>
        <w:left w:val="none" w:sz="0" w:space="0" w:color="auto"/>
        <w:bottom w:val="none" w:sz="0" w:space="0" w:color="auto"/>
        <w:right w:val="none" w:sz="0" w:space="0" w:color="auto"/>
      </w:divBdr>
    </w:div>
    <w:div w:id="164245085">
      <w:bodyDiv w:val="1"/>
      <w:marLeft w:val="0"/>
      <w:marRight w:val="0"/>
      <w:marTop w:val="0"/>
      <w:marBottom w:val="0"/>
      <w:divBdr>
        <w:top w:val="none" w:sz="0" w:space="0" w:color="auto"/>
        <w:left w:val="none" w:sz="0" w:space="0" w:color="auto"/>
        <w:bottom w:val="none" w:sz="0" w:space="0" w:color="auto"/>
        <w:right w:val="none" w:sz="0" w:space="0" w:color="auto"/>
      </w:divBdr>
    </w:div>
    <w:div w:id="164246087">
      <w:bodyDiv w:val="1"/>
      <w:marLeft w:val="0"/>
      <w:marRight w:val="0"/>
      <w:marTop w:val="0"/>
      <w:marBottom w:val="0"/>
      <w:divBdr>
        <w:top w:val="none" w:sz="0" w:space="0" w:color="auto"/>
        <w:left w:val="none" w:sz="0" w:space="0" w:color="auto"/>
        <w:bottom w:val="none" w:sz="0" w:space="0" w:color="auto"/>
        <w:right w:val="none" w:sz="0" w:space="0" w:color="auto"/>
      </w:divBdr>
    </w:div>
    <w:div w:id="164436865">
      <w:bodyDiv w:val="1"/>
      <w:marLeft w:val="0"/>
      <w:marRight w:val="0"/>
      <w:marTop w:val="0"/>
      <w:marBottom w:val="0"/>
      <w:divBdr>
        <w:top w:val="none" w:sz="0" w:space="0" w:color="auto"/>
        <w:left w:val="none" w:sz="0" w:space="0" w:color="auto"/>
        <w:bottom w:val="none" w:sz="0" w:space="0" w:color="auto"/>
        <w:right w:val="none" w:sz="0" w:space="0" w:color="auto"/>
      </w:divBdr>
    </w:div>
    <w:div w:id="164632410">
      <w:bodyDiv w:val="1"/>
      <w:marLeft w:val="0"/>
      <w:marRight w:val="0"/>
      <w:marTop w:val="0"/>
      <w:marBottom w:val="0"/>
      <w:divBdr>
        <w:top w:val="none" w:sz="0" w:space="0" w:color="auto"/>
        <w:left w:val="none" w:sz="0" w:space="0" w:color="auto"/>
        <w:bottom w:val="none" w:sz="0" w:space="0" w:color="auto"/>
        <w:right w:val="none" w:sz="0" w:space="0" w:color="auto"/>
      </w:divBdr>
    </w:div>
    <w:div w:id="164634645">
      <w:bodyDiv w:val="1"/>
      <w:marLeft w:val="0"/>
      <w:marRight w:val="0"/>
      <w:marTop w:val="0"/>
      <w:marBottom w:val="0"/>
      <w:divBdr>
        <w:top w:val="none" w:sz="0" w:space="0" w:color="auto"/>
        <w:left w:val="none" w:sz="0" w:space="0" w:color="auto"/>
        <w:bottom w:val="none" w:sz="0" w:space="0" w:color="auto"/>
        <w:right w:val="none" w:sz="0" w:space="0" w:color="auto"/>
      </w:divBdr>
    </w:div>
    <w:div w:id="164786346">
      <w:bodyDiv w:val="1"/>
      <w:marLeft w:val="0"/>
      <w:marRight w:val="0"/>
      <w:marTop w:val="0"/>
      <w:marBottom w:val="0"/>
      <w:divBdr>
        <w:top w:val="none" w:sz="0" w:space="0" w:color="auto"/>
        <w:left w:val="none" w:sz="0" w:space="0" w:color="auto"/>
        <w:bottom w:val="none" w:sz="0" w:space="0" w:color="auto"/>
        <w:right w:val="none" w:sz="0" w:space="0" w:color="auto"/>
      </w:divBdr>
    </w:div>
    <w:div w:id="164825513">
      <w:bodyDiv w:val="1"/>
      <w:marLeft w:val="0"/>
      <w:marRight w:val="0"/>
      <w:marTop w:val="0"/>
      <w:marBottom w:val="0"/>
      <w:divBdr>
        <w:top w:val="none" w:sz="0" w:space="0" w:color="auto"/>
        <w:left w:val="none" w:sz="0" w:space="0" w:color="auto"/>
        <w:bottom w:val="none" w:sz="0" w:space="0" w:color="auto"/>
        <w:right w:val="none" w:sz="0" w:space="0" w:color="auto"/>
      </w:divBdr>
    </w:div>
    <w:div w:id="164980862">
      <w:bodyDiv w:val="1"/>
      <w:marLeft w:val="0"/>
      <w:marRight w:val="0"/>
      <w:marTop w:val="0"/>
      <w:marBottom w:val="0"/>
      <w:divBdr>
        <w:top w:val="none" w:sz="0" w:space="0" w:color="auto"/>
        <w:left w:val="none" w:sz="0" w:space="0" w:color="auto"/>
        <w:bottom w:val="none" w:sz="0" w:space="0" w:color="auto"/>
        <w:right w:val="none" w:sz="0" w:space="0" w:color="auto"/>
      </w:divBdr>
    </w:div>
    <w:div w:id="165026246">
      <w:bodyDiv w:val="1"/>
      <w:marLeft w:val="0"/>
      <w:marRight w:val="0"/>
      <w:marTop w:val="0"/>
      <w:marBottom w:val="0"/>
      <w:divBdr>
        <w:top w:val="none" w:sz="0" w:space="0" w:color="auto"/>
        <w:left w:val="none" w:sz="0" w:space="0" w:color="auto"/>
        <w:bottom w:val="none" w:sz="0" w:space="0" w:color="auto"/>
        <w:right w:val="none" w:sz="0" w:space="0" w:color="auto"/>
      </w:divBdr>
    </w:div>
    <w:div w:id="165050441">
      <w:bodyDiv w:val="1"/>
      <w:marLeft w:val="0"/>
      <w:marRight w:val="0"/>
      <w:marTop w:val="0"/>
      <w:marBottom w:val="0"/>
      <w:divBdr>
        <w:top w:val="none" w:sz="0" w:space="0" w:color="auto"/>
        <w:left w:val="none" w:sz="0" w:space="0" w:color="auto"/>
        <w:bottom w:val="none" w:sz="0" w:space="0" w:color="auto"/>
        <w:right w:val="none" w:sz="0" w:space="0" w:color="auto"/>
      </w:divBdr>
    </w:div>
    <w:div w:id="165092751">
      <w:bodyDiv w:val="1"/>
      <w:marLeft w:val="0"/>
      <w:marRight w:val="0"/>
      <w:marTop w:val="0"/>
      <w:marBottom w:val="0"/>
      <w:divBdr>
        <w:top w:val="none" w:sz="0" w:space="0" w:color="auto"/>
        <w:left w:val="none" w:sz="0" w:space="0" w:color="auto"/>
        <w:bottom w:val="none" w:sz="0" w:space="0" w:color="auto"/>
        <w:right w:val="none" w:sz="0" w:space="0" w:color="auto"/>
      </w:divBdr>
    </w:div>
    <w:div w:id="165098890">
      <w:bodyDiv w:val="1"/>
      <w:marLeft w:val="0"/>
      <w:marRight w:val="0"/>
      <w:marTop w:val="0"/>
      <w:marBottom w:val="0"/>
      <w:divBdr>
        <w:top w:val="none" w:sz="0" w:space="0" w:color="auto"/>
        <w:left w:val="none" w:sz="0" w:space="0" w:color="auto"/>
        <w:bottom w:val="none" w:sz="0" w:space="0" w:color="auto"/>
        <w:right w:val="none" w:sz="0" w:space="0" w:color="auto"/>
      </w:divBdr>
    </w:div>
    <w:div w:id="165173562">
      <w:bodyDiv w:val="1"/>
      <w:marLeft w:val="0"/>
      <w:marRight w:val="0"/>
      <w:marTop w:val="0"/>
      <w:marBottom w:val="0"/>
      <w:divBdr>
        <w:top w:val="none" w:sz="0" w:space="0" w:color="auto"/>
        <w:left w:val="none" w:sz="0" w:space="0" w:color="auto"/>
        <w:bottom w:val="none" w:sz="0" w:space="0" w:color="auto"/>
        <w:right w:val="none" w:sz="0" w:space="0" w:color="auto"/>
      </w:divBdr>
    </w:div>
    <w:div w:id="165243083">
      <w:bodyDiv w:val="1"/>
      <w:marLeft w:val="0"/>
      <w:marRight w:val="0"/>
      <w:marTop w:val="0"/>
      <w:marBottom w:val="0"/>
      <w:divBdr>
        <w:top w:val="none" w:sz="0" w:space="0" w:color="auto"/>
        <w:left w:val="none" w:sz="0" w:space="0" w:color="auto"/>
        <w:bottom w:val="none" w:sz="0" w:space="0" w:color="auto"/>
        <w:right w:val="none" w:sz="0" w:space="0" w:color="auto"/>
      </w:divBdr>
    </w:div>
    <w:div w:id="165245464">
      <w:bodyDiv w:val="1"/>
      <w:marLeft w:val="0"/>
      <w:marRight w:val="0"/>
      <w:marTop w:val="0"/>
      <w:marBottom w:val="0"/>
      <w:divBdr>
        <w:top w:val="none" w:sz="0" w:space="0" w:color="auto"/>
        <w:left w:val="none" w:sz="0" w:space="0" w:color="auto"/>
        <w:bottom w:val="none" w:sz="0" w:space="0" w:color="auto"/>
        <w:right w:val="none" w:sz="0" w:space="0" w:color="auto"/>
      </w:divBdr>
    </w:div>
    <w:div w:id="165245781">
      <w:bodyDiv w:val="1"/>
      <w:marLeft w:val="0"/>
      <w:marRight w:val="0"/>
      <w:marTop w:val="0"/>
      <w:marBottom w:val="0"/>
      <w:divBdr>
        <w:top w:val="none" w:sz="0" w:space="0" w:color="auto"/>
        <w:left w:val="none" w:sz="0" w:space="0" w:color="auto"/>
        <w:bottom w:val="none" w:sz="0" w:space="0" w:color="auto"/>
        <w:right w:val="none" w:sz="0" w:space="0" w:color="auto"/>
      </w:divBdr>
    </w:div>
    <w:div w:id="165292348">
      <w:bodyDiv w:val="1"/>
      <w:marLeft w:val="0"/>
      <w:marRight w:val="0"/>
      <w:marTop w:val="0"/>
      <w:marBottom w:val="0"/>
      <w:divBdr>
        <w:top w:val="none" w:sz="0" w:space="0" w:color="auto"/>
        <w:left w:val="none" w:sz="0" w:space="0" w:color="auto"/>
        <w:bottom w:val="none" w:sz="0" w:space="0" w:color="auto"/>
        <w:right w:val="none" w:sz="0" w:space="0" w:color="auto"/>
      </w:divBdr>
    </w:div>
    <w:div w:id="165362752">
      <w:bodyDiv w:val="1"/>
      <w:marLeft w:val="0"/>
      <w:marRight w:val="0"/>
      <w:marTop w:val="0"/>
      <w:marBottom w:val="0"/>
      <w:divBdr>
        <w:top w:val="none" w:sz="0" w:space="0" w:color="auto"/>
        <w:left w:val="none" w:sz="0" w:space="0" w:color="auto"/>
        <w:bottom w:val="none" w:sz="0" w:space="0" w:color="auto"/>
        <w:right w:val="none" w:sz="0" w:space="0" w:color="auto"/>
      </w:divBdr>
    </w:div>
    <w:div w:id="165441124">
      <w:bodyDiv w:val="1"/>
      <w:marLeft w:val="0"/>
      <w:marRight w:val="0"/>
      <w:marTop w:val="0"/>
      <w:marBottom w:val="0"/>
      <w:divBdr>
        <w:top w:val="none" w:sz="0" w:space="0" w:color="auto"/>
        <w:left w:val="none" w:sz="0" w:space="0" w:color="auto"/>
        <w:bottom w:val="none" w:sz="0" w:space="0" w:color="auto"/>
        <w:right w:val="none" w:sz="0" w:space="0" w:color="auto"/>
      </w:divBdr>
    </w:div>
    <w:div w:id="165634114">
      <w:bodyDiv w:val="1"/>
      <w:marLeft w:val="0"/>
      <w:marRight w:val="0"/>
      <w:marTop w:val="0"/>
      <w:marBottom w:val="0"/>
      <w:divBdr>
        <w:top w:val="none" w:sz="0" w:space="0" w:color="auto"/>
        <w:left w:val="none" w:sz="0" w:space="0" w:color="auto"/>
        <w:bottom w:val="none" w:sz="0" w:space="0" w:color="auto"/>
        <w:right w:val="none" w:sz="0" w:space="0" w:color="auto"/>
      </w:divBdr>
    </w:div>
    <w:div w:id="165680275">
      <w:bodyDiv w:val="1"/>
      <w:marLeft w:val="0"/>
      <w:marRight w:val="0"/>
      <w:marTop w:val="0"/>
      <w:marBottom w:val="0"/>
      <w:divBdr>
        <w:top w:val="none" w:sz="0" w:space="0" w:color="auto"/>
        <w:left w:val="none" w:sz="0" w:space="0" w:color="auto"/>
        <w:bottom w:val="none" w:sz="0" w:space="0" w:color="auto"/>
        <w:right w:val="none" w:sz="0" w:space="0" w:color="auto"/>
      </w:divBdr>
    </w:div>
    <w:div w:id="165680784">
      <w:bodyDiv w:val="1"/>
      <w:marLeft w:val="0"/>
      <w:marRight w:val="0"/>
      <w:marTop w:val="0"/>
      <w:marBottom w:val="0"/>
      <w:divBdr>
        <w:top w:val="none" w:sz="0" w:space="0" w:color="auto"/>
        <w:left w:val="none" w:sz="0" w:space="0" w:color="auto"/>
        <w:bottom w:val="none" w:sz="0" w:space="0" w:color="auto"/>
        <w:right w:val="none" w:sz="0" w:space="0" w:color="auto"/>
      </w:divBdr>
    </w:div>
    <w:div w:id="165680951">
      <w:bodyDiv w:val="1"/>
      <w:marLeft w:val="0"/>
      <w:marRight w:val="0"/>
      <w:marTop w:val="0"/>
      <w:marBottom w:val="0"/>
      <w:divBdr>
        <w:top w:val="none" w:sz="0" w:space="0" w:color="auto"/>
        <w:left w:val="none" w:sz="0" w:space="0" w:color="auto"/>
        <w:bottom w:val="none" w:sz="0" w:space="0" w:color="auto"/>
        <w:right w:val="none" w:sz="0" w:space="0" w:color="auto"/>
      </w:divBdr>
    </w:div>
    <w:div w:id="165705631">
      <w:bodyDiv w:val="1"/>
      <w:marLeft w:val="0"/>
      <w:marRight w:val="0"/>
      <w:marTop w:val="0"/>
      <w:marBottom w:val="0"/>
      <w:divBdr>
        <w:top w:val="none" w:sz="0" w:space="0" w:color="auto"/>
        <w:left w:val="none" w:sz="0" w:space="0" w:color="auto"/>
        <w:bottom w:val="none" w:sz="0" w:space="0" w:color="auto"/>
        <w:right w:val="none" w:sz="0" w:space="0" w:color="auto"/>
      </w:divBdr>
    </w:div>
    <w:div w:id="165944800">
      <w:bodyDiv w:val="1"/>
      <w:marLeft w:val="0"/>
      <w:marRight w:val="0"/>
      <w:marTop w:val="0"/>
      <w:marBottom w:val="0"/>
      <w:divBdr>
        <w:top w:val="none" w:sz="0" w:space="0" w:color="auto"/>
        <w:left w:val="none" w:sz="0" w:space="0" w:color="auto"/>
        <w:bottom w:val="none" w:sz="0" w:space="0" w:color="auto"/>
        <w:right w:val="none" w:sz="0" w:space="0" w:color="auto"/>
      </w:divBdr>
    </w:div>
    <w:div w:id="165945387">
      <w:bodyDiv w:val="1"/>
      <w:marLeft w:val="0"/>
      <w:marRight w:val="0"/>
      <w:marTop w:val="0"/>
      <w:marBottom w:val="0"/>
      <w:divBdr>
        <w:top w:val="none" w:sz="0" w:space="0" w:color="auto"/>
        <w:left w:val="none" w:sz="0" w:space="0" w:color="auto"/>
        <w:bottom w:val="none" w:sz="0" w:space="0" w:color="auto"/>
        <w:right w:val="none" w:sz="0" w:space="0" w:color="auto"/>
      </w:divBdr>
    </w:div>
    <w:div w:id="166022107">
      <w:bodyDiv w:val="1"/>
      <w:marLeft w:val="0"/>
      <w:marRight w:val="0"/>
      <w:marTop w:val="0"/>
      <w:marBottom w:val="0"/>
      <w:divBdr>
        <w:top w:val="none" w:sz="0" w:space="0" w:color="auto"/>
        <w:left w:val="none" w:sz="0" w:space="0" w:color="auto"/>
        <w:bottom w:val="none" w:sz="0" w:space="0" w:color="auto"/>
        <w:right w:val="none" w:sz="0" w:space="0" w:color="auto"/>
      </w:divBdr>
    </w:div>
    <w:div w:id="166138784">
      <w:bodyDiv w:val="1"/>
      <w:marLeft w:val="0"/>
      <w:marRight w:val="0"/>
      <w:marTop w:val="0"/>
      <w:marBottom w:val="0"/>
      <w:divBdr>
        <w:top w:val="none" w:sz="0" w:space="0" w:color="auto"/>
        <w:left w:val="none" w:sz="0" w:space="0" w:color="auto"/>
        <w:bottom w:val="none" w:sz="0" w:space="0" w:color="auto"/>
        <w:right w:val="none" w:sz="0" w:space="0" w:color="auto"/>
      </w:divBdr>
    </w:div>
    <w:div w:id="166218841">
      <w:bodyDiv w:val="1"/>
      <w:marLeft w:val="0"/>
      <w:marRight w:val="0"/>
      <w:marTop w:val="0"/>
      <w:marBottom w:val="0"/>
      <w:divBdr>
        <w:top w:val="none" w:sz="0" w:space="0" w:color="auto"/>
        <w:left w:val="none" w:sz="0" w:space="0" w:color="auto"/>
        <w:bottom w:val="none" w:sz="0" w:space="0" w:color="auto"/>
        <w:right w:val="none" w:sz="0" w:space="0" w:color="auto"/>
      </w:divBdr>
    </w:div>
    <w:div w:id="166290200">
      <w:bodyDiv w:val="1"/>
      <w:marLeft w:val="0"/>
      <w:marRight w:val="0"/>
      <w:marTop w:val="0"/>
      <w:marBottom w:val="0"/>
      <w:divBdr>
        <w:top w:val="none" w:sz="0" w:space="0" w:color="auto"/>
        <w:left w:val="none" w:sz="0" w:space="0" w:color="auto"/>
        <w:bottom w:val="none" w:sz="0" w:space="0" w:color="auto"/>
        <w:right w:val="none" w:sz="0" w:space="0" w:color="auto"/>
      </w:divBdr>
    </w:div>
    <w:div w:id="166294248">
      <w:bodyDiv w:val="1"/>
      <w:marLeft w:val="0"/>
      <w:marRight w:val="0"/>
      <w:marTop w:val="0"/>
      <w:marBottom w:val="0"/>
      <w:divBdr>
        <w:top w:val="none" w:sz="0" w:space="0" w:color="auto"/>
        <w:left w:val="none" w:sz="0" w:space="0" w:color="auto"/>
        <w:bottom w:val="none" w:sz="0" w:space="0" w:color="auto"/>
        <w:right w:val="none" w:sz="0" w:space="0" w:color="auto"/>
      </w:divBdr>
    </w:div>
    <w:div w:id="166334252">
      <w:bodyDiv w:val="1"/>
      <w:marLeft w:val="0"/>
      <w:marRight w:val="0"/>
      <w:marTop w:val="0"/>
      <w:marBottom w:val="0"/>
      <w:divBdr>
        <w:top w:val="none" w:sz="0" w:space="0" w:color="auto"/>
        <w:left w:val="none" w:sz="0" w:space="0" w:color="auto"/>
        <w:bottom w:val="none" w:sz="0" w:space="0" w:color="auto"/>
        <w:right w:val="none" w:sz="0" w:space="0" w:color="auto"/>
      </w:divBdr>
    </w:div>
    <w:div w:id="166482052">
      <w:bodyDiv w:val="1"/>
      <w:marLeft w:val="0"/>
      <w:marRight w:val="0"/>
      <w:marTop w:val="0"/>
      <w:marBottom w:val="0"/>
      <w:divBdr>
        <w:top w:val="none" w:sz="0" w:space="0" w:color="auto"/>
        <w:left w:val="none" w:sz="0" w:space="0" w:color="auto"/>
        <w:bottom w:val="none" w:sz="0" w:space="0" w:color="auto"/>
        <w:right w:val="none" w:sz="0" w:space="0" w:color="auto"/>
      </w:divBdr>
    </w:div>
    <w:div w:id="166485827">
      <w:bodyDiv w:val="1"/>
      <w:marLeft w:val="0"/>
      <w:marRight w:val="0"/>
      <w:marTop w:val="0"/>
      <w:marBottom w:val="0"/>
      <w:divBdr>
        <w:top w:val="none" w:sz="0" w:space="0" w:color="auto"/>
        <w:left w:val="none" w:sz="0" w:space="0" w:color="auto"/>
        <w:bottom w:val="none" w:sz="0" w:space="0" w:color="auto"/>
        <w:right w:val="none" w:sz="0" w:space="0" w:color="auto"/>
      </w:divBdr>
    </w:div>
    <w:div w:id="166554770">
      <w:bodyDiv w:val="1"/>
      <w:marLeft w:val="0"/>
      <w:marRight w:val="0"/>
      <w:marTop w:val="0"/>
      <w:marBottom w:val="0"/>
      <w:divBdr>
        <w:top w:val="none" w:sz="0" w:space="0" w:color="auto"/>
        <w:left w:val="none" w:sz="0" w:space="0" w:color="auto"/>
        <w:bottom w:val="none" w:sz="0" w:space="0" w:color="auto"/>
        <w:right w:val="none" w:sz="0" w:space="0" w:color="auto"/>
      </w:divBdr>
    </w:div>
    <w:div w:id="166746786">
      <w:bodyDiv w:val="1"/>
      <w:marLeft w:val="0"/>
      <w:marRight w:val="0"/>
      <w:marTop w:val="0"/>
      <w:marBottom w:val="0"/>
      <w:divBdr>
        <w:top w:val="none" w:sz="0" w:space="0" w:color="auto"/>
        <w:left w:val="none" w:sz="0" w:space="0" w:color="auto"/>
        <w:bottom w:val="none" w:sz="0" w:space="0" w:color="auto"/>
        <w:right w:val="none" w:sz="0" w:space="0" w:color="auto"/>
      </w:divBdr>
    </w:div>
    <w:div w:id="166747890">
      <w:bodyDiv w:val="1"/>
      <w:marLeft w:val="0"/>
      <w:marRight w:val="0"/>
      <w:marTop w:val="0"/>
      <w:marBottom w:val="0"/>
      <w:divBdr>
        <w:top w:val="none" w:sz="0" w:space="0" w:color="auto"/>
        <w:left w:val="none" w:sz="0" w:space="0" w:color="auto"/>
        <w:bottom w:val="none" w:sz="0" w:space="0" w:color="auto"/>
        <w:right w:val="none" w:sz="0" w:space="0" w:color="auto"/>
      </w:divBdr>
    </w:div>
    <w:div w:id="166753055">
      <w:bodyDiv w:val="1"/>
      <w:marLeft w:val="0"/>
      <w:marRight w:val="0"/>
      <w:marTop w:val="0"/>
      <w:marBottom w:val="0"/>
      <w:divBdr>
        <w:top w:val="none" w:sz="0" w:space="0" w:color="auto"/>
        <w:left w:val="none" w:sz="0" w:space="0" w:color="auto"/>
        <w:bottom w:val="none" w:sz="0" w:space="0" w:color="auto"/>
        <w:right w:val="none" w:sz="0" w:space="0" w:color="auto"/>
      </w:divBdr>
    </w:div>
    <w:div w:id="166943456">
      <w:bodyDiv w:val="1"/>
      <w:marLeft w:val="0"/>
      <w:marRight w:val="0"/>
      <w:marTop w:val="0"/>
      <w:marBottom w:val="0"/>
      <w:divBdr>
        <w:top w:val="none" w:sz="0" w:space="0" w:color="auto"/>
        <w:left w:val="none" w:sz="0" w:space="0" w:color="auto"/>
        <w:bottom w:val="none" w:sz="0" w:space="0" w:color="auto"/>
        <w:right w:val="none" w:sz="0" w:space="0" w:color="auto"/>
      </w:divBdr>
    </w:div>
    <w:div w:id="166943642">
      <w:bodyDiv w:val="1"/>
      <w:marLeft w:val="0"/>
      <w:marRight w:val="0"/>
      <w:marTop w:val="0"/>
      <w:marBottom w:val="0"/>
      <w:divBdr>
        <w:top w:val="none" w:sz="0" w:space="0" w:color="auto"/>
        <w:left w:val="none" w:sz="0" w:space="0" w:color="auto"/>
        <w:bottom w:val="none" w:sz="0" w:space="0" w:color="auto"/>
        <w:right w:val="none" w:sz="0" w:space="0" w:color="auto"/>
      </w:divBdr>
    </w:div>
    <w:div w:id="167016114">
      <w:bodyDiv w:val="1"/>
      <w:marLeft w:val="0"/>
      <w:marRight w:val="0"/>
      <w:marTop w:val="0"/>
      <w:marBottom w:val="0"/>
      <w:divBdr>
        <w:top w:val="none" w:sz="0" w:space="0" w:color="auto"/>
        <w:left w:val="none" w:sz="0" w:space="0" w:color="auto"/>
        <w:bottom w:val="none" w:sz="0" w:space="0" w:color="auto"/>
        <w:right w:val="none" w:sz="0" w:space="0" w:color="auto"/>
      </w:divBdr>
    </w:div>
    <w:div w:id="167061013">
      <w:bodyDiv w:val="1"/>
      <w:marLeft w:val="0"/>
      <w:marRight w:val="0"/>
      <w:marTop w:val="0"/>
      <w:marBottom w:val="0"/>
      <w:divBdr>
        <w:top w:val="none" w:sz="0" w:space="0" w:color="auto"/>
        <w:left w:val="none" w:sz="0" w:space="0" w:color="auto"/>
        <w:bottom w:val="none" w:sz="0" w:space="0" w:color="auto"/>
        <w:right w:val="none" w:sz="0" w:space="0" w:color="auto"/>
      </w:divBdr>
    </w:div>
    <w:div w:id="167142008">
      <w:bodyDiv w:val="1"/>
      <w:marLeft w:val="0"/>
      <w:marRight w:val="0"/>
      <w:marTop w:val="0"/>
      <w:marBottom w:val="0"/>
      <w:divBdr>
        <w:top w:val="none" w:sz="0" w:space="0" w:color="auto"/>
        <w:left w:val="none" w:sz="0" w:space="0" w:color="auto"/>
        <w:bottom w:val="none" w:sz="0" w:space="0" w:color="auto"/>
        <w:right w:val="none" w:sz="0" w:space="0" w:color="auto"/>
      </w:divBdr>
    </w:div>
    <w:div w:id="167183240">
      <w:bodyDiv w:val="1"/>
      <w:marLeft w:val="0"/>
      <w:marRight w:val="0"/>
      <w:marTop w:val="0"/>
      <w:marBottom w:val="0"/>
      <w:divBdr>
        <w:top w:val="none" w:sz="0" w:space="0" w:color="auto"/>
        <w:left w:val="none" w:sz="0" w:space="0" w:color="auto"/>
        <w:bottom w:val="none" w:sz="0" w:space="0" w:color="auto"/>
        <w:right w:val="none" w:sz="0" w:space="0" w:color="auto"/>
      </w:divBdr>
    </w:div>
    <w:div w:id="167252014">
      <w:bodyDiv w:val="1"/>
      <w:marLeft w:val="0"/>
      <w:marRight w:val="0"/>
      <w:marTop w:val="0"/>
      <w:marBottom w:val="0"/>
      <w:divBdr>
        <w:top w:val="none" w:sz="0" w:space="0" w:color="auto"/>
        <w:left w:val="none" w:sz="0" w:space="0" w:color="auto"/>
        <w:bottom w:val="none" w:sz="0" w:space="0" w:color="auto"/>
        <w:right w:val="none" w:sz="0" w:space="0" w:color="auto"/>
      </w:divBdr>
    </w:div>
    <w:div w:id="167260165">
      <w:bodyDiv w:val="1"/>
      <w:marLeft w:val="0"/>
      <w:marRight w:val="0"/>
      <w:marTop w:val="0"/>
      <w:marBottom w:val="0"/>
      <w:divBdr>
        <w:top w:val="none" w:sz="0" w:space="0" w:color="auto"/>
        <w:left w:val="none" w:sz="0" w:space="0" w:color="auto"/>
        <w:bottom w:val="none" w:sz="0" w:space="0" w:color="auto"/>
        <w:right w:val="none" w:sz="0" w:space="0" w:color="auto"/>
      </w:divBdr>
    </w:div>
    <w:div w:id="167335812">
      <w:bodyDiv w:val="1"/>
      <w:marLeft w:val="0"/>
      <w:marRight w:val="0"/>
      <w:marTop w:val="0"/>
      <w:marBottom w:val="0"/>
      <w:divBdr>
        <w:top w:val="none" w:sz="0" w:space="0" w:color="auto"/>
        <w:left w:val="none" w:sz="0" w:space="0" w:color="auto"/>
        <w:bottom w:val="none" w:sz="0" w:space="0" w:color="auto"/>
        <w:right w:val="none" w:sz="0" w:space="0" w:color="auto"/>
      </w:divBdr>
    </w:div>
    <w:div w:id="167404477">
      <w:bodyDiv w:val="1"/>
      <w:marLeft w:val="0"/>
      <w:marRight w:val="0"/>
      <w:marTop w:val="0"/>
      <w:marBottom w:val="0"/>
      <w:divBdr>
        <w:top w:val="none" w:sz="0" w:space="0" w:color="auto"/>
        <w:left w:val="none" w:sz="0" w:space="0" w:color="auto"/>
        <w:bottom w:val="none" w:sz="0" w:space="0" w:color="auto"/>
        <w:right w:val="none" w:sz="0" w:space="0" w:color="auto"/>
      </w:divBdr>
    </w:div>
    <w:div w:id="167600870">
      <w:bodyDiv w:val="1"/>
      <w:marLeft w:val="0"/>
      <w:marRight w:val="0"/>
      <w:marTop w:val="0"/>
      <w:marBottom w:val="0"/>
      <w:divBdr>
        <w:top w:val="none" w:sz="0" w:space="0" w:color="auto"/>
        <w:left w:val="none" w:sz="0" w:space="0" w:color="auto"/>
        <w:bottom w:val="none" w:sz="0" w:space="0" w:color="auto"/>
        <w:right w:val="none" w:sz="0" w:space="0" w:color="auto"/>
      </w:divBdr>
    </w:div>
    <w:div w:id="167646469">
      <w:bodyDiv w:val="1"/>
      <w:marLeft w:val="0"/>
      <w:marRight w:val="0"/>
      <w:marTop w:val="0"/>
      <w:marBottom w:val="0"/>
      <w:divBdr>
        <w:top w:val="none" w:sz="0" w:space="0" w:color="auto"/>
        <w:left w:val="none" w:sz="0" w:space="0" w:color="auto"/>
        <w:bottom w:val="none" w:sz="0" w:space="0" w:color="auto"/>
        <w:right w:val="none" w:sz="0" w:space="0" w:color="auto"/>
      </w:divBdr>
    </w:div>
    <w:div w:id="167714193">
      <w:bodyDiv w:val="1"/>
      <w:marLeft w:val="0"/>
      <w:marRight w:val="0"/>
      <w:marTop w:val="0"/>
      <w:marBottom w:val="0"/>
      <w:divBdr>
        <w:top w:val="none" w:sz="0" w:space="0" w:color="auto"/>
        <w:left w:val="none" w:sz="0" w:space="0" w:color="auto"/>
        <w:bottom w:val="none" w:sz="0" w:space="0" w:color="auto"/>
        <w:right w:val="none" w:sz="0" w:space="0" w:color="auto"/>
      </w:divBdr>
    </w:div>
    <w:div w:id="167722258">
      <w:bodyDiv w:val="1"/>
      <w:marLeft w:val="0"/>
      <w:marRight w:val="0"/>
      <w:marTop w:val="0"/>
      <w:marBottom w:val="0"/>
      <w:divBdr>
        <w:top w:val="none" w:sz="0" w:space="0" w:color="auto"/>
        <w:left w:val="none" w:sz="0" w:space="0" w:color="auto"/>
        <w:bottom w:val="none" w:sz="0" w:space="0" w:color="auto"/>
        <w:right w:val="none" w:sz="0" w:space="0" w:color="auto"/>
      </w:divBdr>
    </w:div>
    <w:div w:id="167792146">
      <w:bodyDiv w:val="1"/>
      <w:marLeft w:val="0"/>
      <w:marRight w:val="0"/>
      <w:marTop w:val="0"/>
      <w:marBottom w:val="0"/>
      <w:divBdr>
        <w:top w:val="none" w:sz="0" w:space="0" w:color="auto"/>
        <w:left w:val="none" w:sz="0" w:space="0" w:color="auto"/>
        <w:bottom w:val="none" w:sz="0" w:space="0" w:color="auto"/>
        <w:right w:val="none" w:sz="0" w:space="0" w:color="auto"/>
      </w:divBdr>
    </w:div>
    <w:div w:id="167840963">
      <w:bodyDiv w:val="1"/>
      <w:marLeft w:val="0"/>
      <w:marRight w:val="0"/>
      <w:marTop w:val="0"/>
      <w:marBottom w:val="0"/>
      <w:divBdr>
        <w:top w:val="none" w:sz="0" w:space="0" w:color="auto"/>
        <w:left w:val="none" w:sz="0" w:space="0" w:color="auto"/>
        <w:bottom w:val="none" w:sz="0" w:space="0" w:color="auto"/>
        <w:right w:val="none" w:sz="0" w:space="0" w:color="auto"/>
      </w:divBdr>
    </w:div>
    <w:div w:id="167984779">
      <w:bodyDiv w:val="1"/>
      <w:marLeft w:val="0"/>
      <w:marRight w:val="0"/>
      <w:marTop w:val="0"/>
      <w:marBottom w:val="0"/>
      <w:divBdr>
        <w:top w:val="none" w:sz="0" w:space="0" w:color="auto"/>
        <w:left w:val="none" w:sz="0" w:space="0" w:color="auto"/>
        <w:bottom w:val="none" w:sz="0" w:space="0" w:color="auto"/>
        <w:right w:val="none" w:sz="0" w:space="0" w:color="auto"/>
      </w:divBdr>
    </w:div>
    <w:div w:id="168184219">
      <w:bodyDiv w:val="1"/>
      <w:marLeft w:val="0"/>
      <w:marRight w:val="0"/>
      <w:marTop w:val="0"/>
      <w:marBottom w:val="0"/>
      <w:divBdr>
        <w:top w:val="none" w:sz="0" w:space="0" w:color="auto"/>
        <w:left w:val="none" w:sz="0" w:space="0" w:color="auto"/>
        <w:bottom w:val="none" w:sz="0" w:space="0" w:color="auto"/>
        <w:right w:val="none" w:sz="0" w:space="0" w:color="auto"/>
      </w:divBdr>
    </w:div>
    <w:div w:id="168253684">
      <w:bodyDiv w:val="1"/>
      <w:marLeft w:val="0"/>
      <w:marRight w:val="0"/>
      <w:marTop w:val="0"/>
      <w:marBottom w:val="0"/>
      <w:divBdr>
        <w:top w:val="none" w:sz="0" w:space="0" w:color="auto"/>
        <w:left w:val="none" w:sz="0" w:space="0" w:color="auto"/>
        <w:bottom w:val="none" w:sz="0" w:space="0" w:color="auto"/>
        <w:right w:val="none" w:sz="0" w:space="0" w:color="auto"/>
      </w:divBdr>
    </w:div>
    <w:div w:id="168296856">
      <w:bodyDiv w:val="1"/>
      <w:marLeft w:val="0"/>
      <w:marRight w:val="0"/>
      <w:marTop w:val="0"/>
      <w:marBottom w:val="0"/>
      <w:divBdr>
        <w:top w:val="none" w:sz="0" w:space="0" w:color="auto"/>
        <w:left w:val="none" w:sz="0" w:space="0" w:color="auto"/>
        <w:bottom w:val="none" w:sz="0" w:space="0" w:color="auto"/>
        <w:right w:val="none" w:sz="0" w:space="0" w:color="auto"/>
      </w:divBdr>
    </w:div>
    <w:div w:id="168300466">
      <w:bodyDiv w:val="1"/>
      <w:marLeft w:val="0"/>
      <w:marRight w:val="0"/>
      <w:marTop w:val="0"/>
      <w:marBottom w:val="0"/>
      <w:divBdr>
        <w:top w:val="none" w:sz="0" w:space="0" w:color="auto"/>
        <w:left w:val="none" w:sz="0" w:space="0" w:color="auto"/>
        <w:bottom w:val="none" w:sz="0" w:space="0" w:color="auto"/>
        <w:right w:val="none" w:sz="0" w:space="0" w:color="auto"/>
      </w:divBdr>
    </w:div>
    <w:div w:id="168443850">
      <w:bodyDiv w:val="1"/>
      <w:marLeft w:val="0"/>
      <w:marRight w:val="0"/>
      <w:marTop w:val="0"/>
      <w:marBottom w:val="0"/>
      <w:divBdr>
        <w:top w:val="none" w:sz="0" w:space="0" w:color="auto"/>
        <w:left w:val="none" w:sz="0" w:space="0" w:color="auto"/>
        <w:bottom w:val="none" w:sz="0" w:space="0" w:color="auto"/>
        <w:right w:val="none" w:sz="0" w:space="0" w:color="auto"/>
      </w:divBdr>
    </w:div>
    <w:div w:id="168449718">
      <w:bodyDiv w:val="1"/>
      <w:marLeft w:val="0"/>
      <w:marRight w:val="0"/>
      <w:marTop w:val="0"/>
      <w:marBottom w:val="0"/>
      <w:divBdr>
        <w:top w:val="none" w:sz="0" w:space="0" w:color="auto"/>
        <w:left w:val="none" w:sz="0" w:space="0" w:color="auto"/>
        <w:bottom w:val="none" w:sz="0" w:space="0" w:color="auto"/>
        <w:right w:val="none" w:sz="0" w:space="0" w:color="auto"/>
      </w:divBdr>
    </w:div>
    <w:div w:id="168494023">
      <w:bodyDiv w:val="1"/>
      <w:marLeft w:val="0"/>
      <w:marRight w:val="0"/>
      <w:marTop w:val="0"/>
      <w:marBottom w:val="0"/>
      <w:divBdr>
        <w:top w:val="none" w:sz="0" w:space="0" w:color="auto"/>
        <w:left w:val="none" w:sz="0" w:space="0" w:color="auto"/>
        <w:bottom w:val="none" w:sz="0" w:space="0" w:color="auto"/>
        <w:right w:val="none" w:sz="0" w:space="0" w:color="auto"/>
      </w:divBdr>
    </w:div>
    <w:div w:id="168524239">
      <w:bodyDiv w:val="1"/>
      <w:marLeft w:val="0"/>
      <w:marRight w:val="0"/>
      <w:marTop w:val="0"/>
      <w:marBottom w:val="0"/>
      <w:divBdr>
        <w:top w:val="none" w:sz="0" w:space="0" w:color="auto"/>
        <w:left w:val="none" w:sz="0" w:space="0" w:color="auto"/>
        <w:bottom w:val="none" w:sz="0" w:space="0" w:color="auto"/>
        <w:right w:val="none" w:sz="0" w:space="0" w:color="auto"/>
      </w:divBdr>
    </w:div>
    <w:div w:id="168524512">
      <w:bodyDiv w:val="1"/>
      <w:marLeft w:val="0"/>
      <w:marRight w:val="0"/>
      <w:marTop w:val="0"/>
      <w:marBottom w:val="0"/>
      <w:divBdr>
        <w:top w:val="none" w:sz="0" w:space="0" w:color="auto"/>
        <w:left w:val="none" w:sz="0" w:space="0" w:color="auto"/>
        <w:bottom w:val="none" w:sz="0" w:space="0" w:color="auto"/>
        <w:right w:val="none" w:sz="0" w:space="0" w:color="auto"/>
      </w:divBdr>
    </w:div>
    <w:div w:id="168563692">
      <w:bodyDiv w:val="1"/>
      <w:marLeft w:val="0"/>
      <w:marRight w:val="0"/>
      <w:marTop w:val="0"/>
      <w:marBottom w:val="0"/>
      <w:divBdr>
        <w:top w:val="none" w:sz="0" w:space="0" w:color="auto"/>
        <w:left w:val="none" w:sz="0" w:space="0" w:color="auto"/>
        <w:bottom w:val="none" w:sz="0" w:space="0" w:color="auto"/>
        <w:right w:val="none" w:sz="0" w:space="0" w:color="auto"/>
      </w:divBdr>
    </w:div>
    <w:div w:id="168565944">
      <w:bodyDiv w:val="1"/>
      <w:marLeft w:val="0"/>
      <w:marRight w:val="0"/>
      <w:marTop w:val="0"/>
      <w:marBottom w:val="0"/>
      <w:divBdr>
        <w:top w:val="none" w:sz="0" w:space="0" w:color="auto"/>
        <w:left w:val="none" w:sz="0" w:space="0" w:color="auto"/>
        <w:bottom w:val="none" w:sz="0" w:space="0" w:color="auto"/>
        <w:right w:val="none" w:sz="0" w:space="0" w:color="auto"/>
      </w:divBdr>
    </w:div>
    <w:div w:id="168643406">
      <w:bodyDiv w:val="1"/>
      <w:marLeft w:val="0"/>
      <w:marRight w:val="0"/>
      <w:marTop w:val="0"/>
      <w:marBottom w:val="0"/>
      <w:divBdr>
        <w:top w:val="none" w:sz="0" w:space="0" w:color="auto"/>
        <w:left w:val="none" w:sz="0" w:space="0" w:color="auto"/>
        <w:bottom w:val="none" w:sz="0" w:space="0" w:color="auto"/>
        <w:right w:val="none" w:sz="0" w:space="0" w:color="auto"/>
      </w:divBdr>
    </w:div>
    <w:div w:id="168643811">
      <w:bodyDiv w:val="1"/>
      <w:marLeft w:val="0"/>
      <w:marRight w:val="0"/>
      <w:marTop w:val="0"/>
      <w:marBottom w:val="0"/>
      <w:divBdr>
        <w:top w:val="none" w:sz="0" w:space="0" w:color="auto"/>
        <w:left w:val="none" w:sz="0" w:space="0" w:color="auto"/>
        <w:bottom w:val="none" w:sz="0" w:space="0" w:color="auto"/>
        <w:right w:val="none" w:sz="0" w:space="0" w:color="auto"/>
      </w:divBdr>
    </w:div>
    <w:div w:id="168760660">
      <w:bodyDiv w:val="1"/>
      <w:marLeft w:val="0"/>
      <w:marRight w:val="0"/>
      <w:marTop w:val="0"/>
      <w:marBottom w:val="0"/>
      <w:divBdr>
        <w:top w:val="none" w:sz="0" w:space="0" w:color="auto"/>
        <w:left w:val="none" w:sz="0" w:space="0" w:color="auto"/>
        <w:bottom w:val="none" w:sz="0" w:space="0" w:color="auto"/>
        <w:right w:val="none" w:sz="0" w:space="0" w:color="auto"/>
      </w:divBdr>
    </w:div>
    <w:div w:id="168761922">
      <w:bodyDiv w:val="1"/>
      <w:marLeft w:val="0"/>
      <w:marRight w:val="0"/>
      <w:marTop w:val="0"/>
      <w:marBottom w:val="0"/>
      <w:divBdr>
        <w:top w:val="none" w:sz="0" w:space="0" w:color="auto"/>
        <w:left w:val="none" w:sz="0" w:space="0" w:color="auto"/>
        <w:bottom w:val="none" w:sz="0" w:space="0" w:color="auto"/>
        <w:right w:val="none" w:sz="0" w:space="0" w:color="auto"/>
      </w:divBdr>
    </w:div>
    <w:div w:id="168909983">
      <w:bodyDiv w:val="1"/>
      <w:marLeft w:val="0"/>
      <w:marRight w:val="0"/>
      <w:marTop w:val="0"/>
      <w:marBottom w:val="0"/>
      <w:divBdr>
        <w:top w:val="none" w:sz="0" w:space="0" w:color="auto"/>
        <w:left w:val="none" w:sz="0" w:space="0" w:color="auto"/>
        <w:bottom w:val="none" w:sz="0" w:space="0" w:color="auto"/>
        <w:right w:val="none" w:sz="0" w:space="0" w:color="auto"/>
      </w:divBdr>
    </w:div>
    <w:div w:id="168983747">
      <w:bodyDiv w:val="1"/>
      <w:marLeft w:val="0"/>
      <w:marRight w:val="0"/>
      <w:marTop w:val="0"/>
      <w:marBottom w:val="0"/>
      <w:divBdr>
        <w:top w:val="none" w:sz="0" w:space="0" w:color="auto"/>
        <w:left w:val="none" w:sz="0" w:space="0" w:color="auto"/>
        <w:bottom w:val="none" w:sz="0" w:space="0" w:color="auto"/>
        <w:right w:val="none" w:sz="0" w:space="0" w:color="auto"/>
      </w:divBdr>
    </w:div>
    <w:div w:id="169027781">
      <w:bodyDiv w:val="1"/>
      <w:marLeft w:val="0"/>
      <w:marRight w:val="0"/>
      <w:marTop w:val="0"/>
      <w:marBottom w:val="0"/>
      <w:divBdr>
        <w:top w:val="none" w:sz="0" w:space="0" w:color="auto"/>
        <w:left w:val="none" w:sz="0" w:space="0" w:color="auto"/>
        <w:bottom w:val="none" w:sz="0" w:space="0" w:color="auto"/>
        <w:right w:val="none" w:sz="0" w:space="0" w:color="auto"/>
      </w:divBdr>
    </w:div>
    <w:div w:id="169028114">
      <w:bodyDiv w:val="1"/>
      <w:marLeft w:val="0"/>
      <w:marRight w:val="0"/>
      <w:marTop w:val="0"/>
      <w:marBottom w:val="0"/>
      <w:divBdr>
        <w:top w:val="none" w:sz="0" w:space="0" w:color="auto"/>
        <w:left w:val="none" w:sz="0" w:space="0" w:color="auto"/>
        <w:bottom w:val="none" w:sz="0" w:space="0" w:color="auto"/>
        <w:right w:val="none" w:sz="0" w:space="0" w:color="auto"/>
      </w:divBdr>
    </w:div>
    <w:div w:id="169107396">
      <w:bodyDiv w:val="1"/>
      <w:marLeft w:val="0"/>
      <w:marRight w:val="0"/>
      <w:marTop w:val="0"/>
      <w:marBottom w:val="0"/>
      <w:divBdr>
        <w:top w:val="none" w:sz="0" w:space="0" w:color="auto"/>
        <w:left w:val="none" w:sz="0" w:space="0" w:color="auto"/>
        <w:bottom w:val="none" w:sz="0" w:space="0" w:color="auto"/>
        <w:right w:val="none" w:sz="0" w:space="0" w:color="auto"/>
      </w:divBdr>
    </w:div>
    <w:div w:id="169174632">
      <w:bodyDiv w:val="1"/>
      <w:marLeft w:val="0"/>
      <w:marRight w:val="0"/>
      <w:marTop w:val="0"/>
      <w:marBottom w:val="0"/>
      <w:divBdr>
        <w:top w:val="none" w:sz="0" w:space="0" w:color="auto"/>
        <w:left w:val="none" w:sz="0" w:space="0" w:color="auto"/>
        <w:bottom w:val="none" w:sz="0" w:space="0" w:color="auto"/>
        <w:right w:val="none" w:sz="0" w:space="0" w:color="auto"/>
      </w:divBdr>
    </w:div>
    <w:div w:id="169178827">
      <w:bodyDiv w:val="1"/>
      <w:marLeft w:val="0"/>
      <w:marRight w:val="0"/>
      <w:marTop w:val="0"/>
      <w:marBottom w:val="0"/>
      <w:divBdr>
        <w:top w:val="none" w:sz="0" w:space="0" w:color="auto"/>
        <w:left w:val="none" w:sz="0" w:space="0" w:color="auto"/>
        <w:bottom w:val="none" w:sz="0" w:space="0" w:color="auto"/>
        <w:right w:val="none" w:sz="0" w:space="0" w:color="auto"/>
      </w:divBdr>
    </w:div>
    <w:div w:id="169179746">
      <w:bodyDiv w:val="1"/>
      <w:marLeft w:val="0"/>
      <w:marRight w:val="0"/>
      <w:marTop w:val="0"/>
      <w:marBottom w:val="0"/>
      <w:divBdr>
        <w:top w:val="none" w:sz="0" w:space="0" w:color="auto"/>
        <w:left w:val="none" w:sz="0" w:space="0" w:color="auto"/>
        <w:bottom w:val="none" w:sz="0" w:space="0" w:color="auto"/>
        <w:right w:val="none" w:sz="0" w:space="0" w:color="auto"/>
      </w:divBdr>
    </w:div>
    <w:div w:id="169218262">
      <w:bodyDiv w:val="1"/>
      <w:marLeft w:val="0"/>
      <w:marRight w:val="0"/>
      <w:marTop w:val="0"/>
      <w:marBottom w:val="0"/>
      <w:divBdr>
        <w:top w:val="none" w:sz="0" w:space="0" w:color="auto"/>
        <w:left w:val="none" w:sz="0" w:space="0" w:color="auto"/>
        <w:bottom w:val="none" w:sz="0" w:space="0" w:color="auto"/>
        <w:right w:val="none" w:sz="0" w:space="0" w:color="auto"/>
      </w:divBdr>
    </w:div>
    <w:div w:id="169225796">
      <w:bodyDiv w:val="1"/>
      <w:marLeft w:val="0"/>
      <w:marRight w:val="0"/>
      <w:marTop w:val="0"/>
      <w:marBottom w:val="0"/>
      <w:divBdr>
        <w:top w:val="none" w:sz="0" w:space="0" w:color="auto"/>
        <w:left w:val="none" w:sz="0" w:space="0" w:color="auto"/>
        <w:bottom w:val="none" w:sz="0" w:space="0" w:color="auto"/>
        <w:right w:val="none" w:sz="0" w:space="0" w:color="auto"/>
      </w:divBdr>
    </w:div>
    <w:div w:id="169369140">
      <w:bodyDiv w:val="1"/>
      <w:marLeft w:val="0"/>
      <w:marRight w:val="0"/>
      <w:marTop w:val="0"/>
      <w:marBottom w:val="0"/>
      <w:divBdr>
        <w:top w:val="none" w:sz="0" w:space="0" w:color="auto"/>
        <w:left w:val="none" w:sz="0" w:space="0" w:color="auto"/>
        <w:bottom w:val="none" w:sz="0" w:space="0" w:color="auto"/>
        <w:right w:val="none" w:sz="0" w:space="0" w:color="auto"/>
      </w:divBdr>
    </w:div>
    <w:div w:id="169370292">
      <w:bodyDiv w:val="1"/>
      <w:marLeft w:val="0"/>
      <w:marRight w:val="0"/>
      <w:marTop w:val="0"/>
      <w:marBottom w:val="0"/>
      <w:divBdr>
        <w:top w:val="none" w:sz="0" w:space="0" w:color="auto"/>
        <w:left w:val="none" w:sz="0" w:space="0" w:color="auto"/>
        <w:bottom w:val="none" w:sz="0" w:space="0" w:color="auto"/>
        <w:right w:val="none" w:sz="0" w:space="0" w:color="auto"/>
      </w:divBdr>
    </w:div>
    <w:div w:id="169375395">
      <w:bodyDiv w:val="1"/>
      <w:marLeft w:val="0"/>
      <w:marRight w:val="0"/>
      <w:marTop w:val="0"/>
      <w:marBottom w:val="0"/>
      <w:divBdr>
        <w:top w:val="none" w:sz="0" w:space="0" w:color="auto"/>
        <w:left w:val="none" w:sz="0" w:space="0" w:color="auto"/>
        <w:bottom w:val="none" w:sz="0" w:space="0" w:color="auto"/>
        <w:right w:val="none" w:sz="0" w:space="0" w:color="auto"/>
      </w:divBdr>
    </w:div>
    <w:div w:id="169417311">
      <w:bodyDiv w:val="1"/>
      <w:marLeft w:val="0"/>
      <w:marRight w:val="0"/>
      <w:marTop w:val="0"/>
      <w:marBottom w:val="0"/>
      <w:divBdr>
        <w:top w:val="none" w:sz="0" w:space="0" w:color="auto"/>
        <w:left w:val="none" w:sz="0" w:space="0" w:color="auto"/>
        <w:bottom w:val="none" w:sz="0" w:space="0" w:color="auto"/>
        <w:right w:val="none" w:sz="0" w:space="0" w:color="auto"/>
      </w:divBdr>
    </w:div>
    <w:div w:id="169568107">
      <w:bodyDiv w:val="1"/>
      <w:marLeft w:val="0"/>
      <w:marRight w:val="0"/>
      <w:marTop w:val="0"/>
      <w:marBottom w:val="0"/>
      <w:divBdr>
        <w:top w:val="none" w:sz="0" w:space="0" w:color="auto"/>
        <w:left w:val="none" w:sz="0" w:space="0" w:color="auto"/>
        <w:bottom w:val="none" w:sz="0" w:space="0" w:color="auto"/>
        <w:right w:val="none" w:sz="0" w:space="0" w:color="auto"/>
      </w:divBdr>
    </w:div>
    <w:div w:id="169607294">
      <w:bodyDiv w:val="1"/>
      <w:marLeft w:val="0"/>
      <w:marRight w:val="0"/>
      <w:marTop w:val="0"/>
      <w:marBottom w:val="0"/>
      <w:divBdr>
        <w:top w:val="none" w:sz="0" w:space="0" w:color="auto"/>
        <w:left w:val="none" w:sz="0" w:space="0" w:color="auto"/>
        <w:bottom w:val="none" w:sz="0" w:space="0" w:color="auto"/>
        <w:right w:val="none" w:sz="0" w:space="0" w:color="auto"/>
      </w:divBdr>
    </w:div>
    <w:div w:id="169611010">
      <w:bodyDiv w:val="1"/>
      <w:marLeft w:val="0"/>
      <w:marRight w:val="0"/>
      <w:marTop w:val="0"/>
      <w:marBottom w:val="0"/>
      <w:divBdr>
        <w:top w:val="none" w:sz="0" w:space="0" w:color="auto"/>
        <w:left w:val="none" w:sz="0" w:space="0" w:color="auto"/>
        <w:bottom w:val="none" w:sz="0" w:space="0" w:color="auto"/>
        <w:right w:val="none" w:sz="0" w:space="0" w:color="auto"/>
      </w:divBdr>
    </w:div>
    <w:div w:id="169639003">
      <w:bodyDiv w:val="1"/>
      <w:marLeft w:val="0"/>
      <w:marRight w:val="0"/>
      <w:marTop w:val="0"/>
      <w:marBottom w:val="0"/>
      <w:divBdr>
        <w:top w:val="none" w:sz="0" w:space="0" w:color="auto"/>
        <w:left w:val="none" w:sz="0" w:space="0" w:color="auto"/>
        <w:bottom w:val="none" w:sz="0" w:space="0" w:color="auto"/>
        <w:right w:val="none" w:sz="0" w:space="0" w:color="auto"/>
      </w:divBdr>
    </w:div>
    <w:div w:id="169639032">
      <w:bodyDiv w:val="1"/>
      <w:marLeft w:val="0"/>
      <w:marRight w:val="0"/>
      <w:marTop w:val="0"/>
      <w:marBottom w:val="0"/>
      <w:divBdr>
        <w:top w:val="none" w:sz="0" w:space="0" w:color="auto"/>
        <w:left w:val="none" w:sz="0" w:space="0" w:color="auto"/>
        <w:bottom w:val="none" w:sz="0" w:space="0" w:color="auto"/>
        <w:right w:val="none" w:sz="0" w:space="0" w:color="auto"/>
      </w:divBdr>
    </w:div>
    <w:div w:id="169833350">
      <w:bodyDiv w:val="1"/>
      <w:marLeft w:val="0"/>
      <w:marRight w:val="0"/>
      <w:marTop w:val="0"/>
      <w:marBottom w:val="0"/>
      <w:divBdr>
        <w:top w:val="none" w:sz="0" w:space="0" w:color="auto"/>
        <w:left w:val="none" w:sz="0" w:space="0" w:color="auto"/>
        <w:bottom w:val="none" w:sz="0" w:space="0" w:color="auto"/>
        <w:right w:val="none" w:sz="0" w:space="0" w:color="auto"/>
      </w:divBdr>
    </w:div>
    <w:div w:id="169836137">
      <w:bodyDiv w:val="1"/>
      <w:marLeft w:val="0"/>
      <w:marRight w:val="0"/>
      <w:marTop w:val="0"/>
      <w:marBottom w:val="0"/>
      <w:divBdr>
        <w:top w:val="none" w:sz="0" w:space="0" w:color="auto"/>
        <w:left w:val="none" w:sz="0" w:space="0" w:color="auto"/>
        <w:bottom w:val="none" w:sz="0" w:space="0" w:color="auto"/>
        <w:right w:val="none" w:sz="0" w:space="0" w:color="auto"/>
      </w:divBdr>
    </w:div>
    <w:div w:id="169874219">
      <w:bodyDiv w:val="1"/>
      <w:marLeft w:val="0"/>
      <w:marRight w:val="0"/>
      <w:marTop w:val="0"/>
      <w:marBottom w:val="0"/>
      <w:divBdr>
        <w:top w:val="none" w:sz="0" w:space="0" w:color="auto"/>
        <w:left w:val="none" w:sz="0" w:space="0" w:color="auto"/>
        <w:bottom w:val="none" w:sz="0" w:space="0" w:color="auto"/>
        <w:right w:val="none" w:sz="0" w:space="0" w:color="auto"/>
      </w:divBdr>
    </w:div>
    <w:div w:id="169878231">
      <w:bodyDiv w:val="1"/>
      <w:marLeft w:val="0"/>
      <w:marRight w:val="0"/>
      <w:marTop w:val="0"/>
      <w:marBottom w:val="0"/>
      <w:divBdr>
        <w:top w:val="none" w:sz="0" w:space="0" w:color="auto"/>
        <w:left w:val="none" w:sz="0" w:space="0" w:color="auto"/>
        <w:bottom w:val="none" w:sz="0" w:space="0" w:color="auto"/>
        <w:right w:val="none" w:sz="0" w:space="0" w:color="auto"/>
      </w:divBdr>
    </w:div>
    <w:div w:id="169950270">
      <w:bodyDiv w:val="1"/>
      <w:marLeft w:val="0"/>
      <w:marRight w:val="0"/>
      <w:marTop w:val="0"/>
      <w:marBottom w:val="0"/>
      <w:divBdr>
        <w:top w:val="none" w:sz="0" w:space="0" w:color="auto"/>
        <w:left w:val="none" w:sz="0" w:space="0" w:color="auto"/>
        <w:bottom w:val="none" w:sz="0" w:space="0" w:color="auto"/>
        <w:right w:val="none" w:sz="0" w:space="0" w:color="auto"/>
      </w:divBdr>
    </w:div>
    <w:div w:id="170027887">
      <w:bodyDiv w:val="1"/>
      <w:marLeft w:val="0"/>
      <w:marRight w:val="0"/>
      <w:marTop w:val="0"/>
      <w:marBottom w:val="0"/>
      <w:divBdr>
        <w:top w:val="none" w:sz="0" w:space="0" w:color="auto"/>
        <w:left w:val="none" w:sz="0" w:space="0" w:color="auto"/>
        <w:bottom w:val="none" w:sz="0" w:space="0" w:color="auto"/>
        <w:right w:val="none" w:sz="0" w:space="0" w:color="auto"/>
      </w:divBdr>
    </w:div>
    <w:div w:id="170028734">
      <w:bodyDiv w:val="1"/>
      <w:marLeft w:val="0"/>
      <w:marRight w:val="0"/>
      <w:marTop w:val="0"/>
      <w:marBottom w:val="0"/>
      <w:divBdr>
        <w:top w:val="none" w:sz="0" w:space="0" w:color="auto"/>
        <w:left w:val="none" w:sz="0" w:space="0" w:color="auto"/>
        <w:bottom w:val="none" w:sz="0" w:space="0" w:color="auto"/>
        <w:right w:val="none" w:sz="0" w:space="0" w:color="auto"/>
      </w:divBdr>
    </w:div>
    <w:div w:id="170075170">
      <w:bodyDiv w:val="1"/>
      <w:marLeft w:val="0"/>
      <w:marRight w:val="0"/>
      <w:marTop w:val="0"/>
      <w:marBottom w:val="0"/>
      <w:divBdr>
        <w:top w:val="none" w:sz="0" w:space="0" w:color="auto"/>
        <w:left w:val="none" w:sz="0" w:space="0" w:color="auto"/>
        <w:bottom w:val="none" w:sz="0" w:space="0" w:color="auto"/>
        <w:right w:val="none" w:sz="0" w:space="0" w:color="auto"/>
      </w:divBdr>
    </w:div>
    <w:div w:id="170144910">
      <w:bodyDiv w:val="1"/>
      <w:marLeft w:val="0"/>
      <w:marRight w:val="0"/>
      <w:marTop w:val="0"/>
      <w:marBottom w:val="0"/>
      <w:divBdr>
        <w:top w:val="none" w:sz="0" w:space="0" w:color="auto"/>
        <w:left w:val="none" w:sz="0" w:space="0" w:color="auto"/>
        <w:bottom w:val="none" w:sz="0" w:space="0" w:color="auto"/>
        <w:right w:val="none" w:sz="0" w:space="0" w:color="auto"/>
      </w:divBdr>
    </w:div>
    <w:div w:id="170216497">
      <w:bodyDiv w:val="1"/>
      <w:marLeft w:val="0"/>
      <w:marRight w:val="0"/>
      <w:marTop w:val="0"/>
      <w:marBottom w:val="0"/>
      <w:divBdr>
        <w:top w:val="none" w:sz="0" w:space="0" w:color="auto"/>
        <w:left w:val="none" w:sz="0" w:space="0" w:color="auto"/>
        <w:bottom w:val="none" w:sz="0" w:space="0" w:color="auto"/>
        <w:right w:val="none" w:sz="0" w:space="0" w:color="auto"/>
      </w:divBdr>
    </w:div>
    <w:div w:id="170218290">
      <w:bodyDiv w:val="1"/>
      <w:marLeft w:val="0"/>
      <w:marRight w:val="0"/>
      <w:marTop w:val="0"/>
      <w:marBottom w:val="0"/>
      <w:divBdr>
        <w:top w:val="none" w:sz="0" w:space="0" w:color="auto"/>
        <w:left w:val="none" w:sz="0" w:space="0" w:color="auto"/>
        <w:bottom w:val="none" w:sz="0" w:space="0" w:color="auto"/>
        <w:right w:val="none" w:sz="0" w:space="0" w:color="auto"/>
      </w:divBdr>
    </w:div>
    <w:div w:id="170218900">
      <w:bodyDiv w:val="1"/>
      <w:marLeft w:val="0"/>
      <w:marRight w:val="0"/>
      <w:marTop w:val="0"/>
      <w:marBottom w:val="0"/>
      <w:divBdr>
        <w:top w:val="none" w:sz="0" w:space="0" w:color="auto"/>
        <w:left w:val="none" w:sz="0" w:space="0" w:color="auto"/>
        <w:bottom w:val="none" w:sz="0" w:space="0" w:color="auto"/>
        <w:right w:val="none" w:sz="0" w:space="0" w:color="auto"/>
      </w:divBdr>
    </w:div>
    <w:div w:id="170533217">
      <w:bodyDiv w:val="1"/>
      <w:marLeft w:val="0"/>
      <w:marRight w:val="0"/>
      <w:marTop w:val="0"/>
      <w:marBottom w:val="0"/>
      <w:divBdr>
        <w:top w:val="none" w:sz="0" w:space="0" w:color="auto"/>
        <w:left w:val="none" w:sz="0" w:space="0" w:color="auto"/>
        <w:bottom w:val="none" w:sz="0" w:space="0" w:color="auto"/>
        <w:right w:val="none" w:sz="0" w:space="0" w:color="auto"/>
      </w:divBdr>
    </w:div>
    <w:div w:id="170604880">
      <w:bodyDiv w:val="1"/>
      <w:marLeft w:val="0"/>
      <w:marRight w:val="0"/>
      <w:marTop w:val="0"/>
      <w:marBottom w:val="0"/>
      <w:divBdr>
        <w:top w:val="none" w:sz="0" w:space="0" w:color="auto"/>
        <w:left w:val="none" w:sz="0" w:space="0" w:color="auto"/>
        <w:bottom w:val="none" w:sz="0" w:space="0" w:color="auto"/>
        <w:right w:val="none" w:sz="0" w:space="0" w:color="auto"/>
      </w:divBdr>
    </w:div>
    <w:div w:id="170678643">
      <w:bodyDiv w:val="1"/>
      <w:marLeft w:val="0"/>
      <w:marRight w:val="0"/>
      <w:marTop w:val="0"/>
      <w:marBottom w:val="0"/>
      <w:divBdr>
        <w:top w:val="none" w:sz="0" w:space="0" w:color="auto"/>
        <w:left w:val="none" w:sz="0" w:space="0" w:color="auto"/>
        <w:bottom w:val="none" w:sz="0" w:space="0" w:color="auto"/>
        <w:right w:val="none" w:sz="0" w:space="0" w:color="auto"/>
      </w:divBdr>
    </w:div>
    <w:div w:id="170685666">
      <w:bodyDiv w:val="1"/>
      <w:marLeft w:val="0"/>
      <w:marRight w:val="0"/>
      <w:marTop w:val="0"/>
      <w:marBottom w:val="0"/>
      <w:divBdr>
        <w:top w:val="none" w:sz="0" w:space="0" w:color="auto"/>
        <w:left w:val="none" w:sz="0" w:space="0" w:color="auto"/>
        <w:bottom w:val="none" w:sz="0" w:space="0" w:color="auto"/>
        <w:right w:val="none" w:sz="0" w:space="0" w:color="auto"/>
      </w:divBdr>
    </w:div>
    <w:div w:id="170724075">
      <w:bodyDiv w:val="1"/>
      <w:marLeft w:val="0"/>
      <w:marRight w:val="0"/>
      <w:marTop w:val="0"/>
      <w:marBottom w:val="0"/>
      <w:divBdr>
        <w:top w:val="none" w:sz="0" w:space="0" w:color="auto"/>
        <w:left w:val="none" w:sz="0" w:space="0" w:color="auto"/>
        <w:bottom w:val="none" w:sz="0" w:space="0" w:color="auto"/>
        <w:right w:val="none" w:sz="0" w:space="0" w:color="auto"/>
      </w:divBdr>
    </w:div>
    <w:div w:id="170728563">
      <w:bodyDiv w:val="1"/>
      <w:marLeft w:val="0"/>
      <w:marRight w:val="0"/>
      <w:marTop w:val="0"/>
      <w:marBottom w:val="0"/>
      <w:divBdr>
        <w:top w:val="none" w:sz="0" w:space="0" w:color="auto"/>
        <w:left w:val="none" w:sz="0" w:space="0" w:color="auto"/>
        <w:bottom w:val="none" w:sz="0" w:space="0" w:color="auto"/>
        <w:right w:val="none" w:sz="0" w:space="0" w:color="auto"/>
      </w:divBdr>
    </w:div>
    <w:div w:id="170874220">
      <w:bodyDiv w:val="1"/>
      <w:marLeft w:val="0"/>
      <w:marRight w:val="0"/>
      <w:marTop w:val="0"/>
      <w:marBottom w:val="0"/>
      <w:divBdr>
        <w:top w:val="none" w:sz="0" w:space="0" w:color="auto"/>
        <w:left w:val="none" w:sz="0" w:space="0" w:color="auto"/>
        <w:bottom w:val="none" w:sz="0" w:space="0" w:color="auto"/>
        <w:right w:val="none" w:sz="0" w:space="0" w:color="auto"/>
      </w:divBdr>
    </w:div>
    <w:div w:id="171068965">
      <w:bodyDiv w:val="1"/>
      <w:marLeft w:val="0"/>
      <w:marRight w:val="0"/>
      <w:marTop w:val="0"/>
      <w:marBottom w:val="0"/>
      <w:divBdr>
        <w:top w:val="none" w:sz="0" w:space="0" w:color="auto"/>
        <w:left w:val="none" w:sz="0" w:space="0" w:color="auto"/>
        <w:bottom w:val="none" w:sz="0" w:space="0" w:color="auto"/>
        <w:right w:val="none" w:sz="0" w:space="0" w:color="auto"/>
      </w:divBdr>
    </w:div>
    <w:div w:id="171142255">
      <w:bodyDiv w:val="1"/>
      <w:marLeft w:val="0"/>
      <w:marRight w:val="0"/>
      <w:marTop w:val="0"/>
      <w:marBottom w:val="0"/>
      <w:divBdr>
        <w:top w:val="none" w:sz="0" w:space="0" w:color="auto"/>
        <w:left w:val="none" w:sz="0" w:space="0" w:color="auto"/>
        <w:bottom w:val="none" w:sz="0" w:space="0" w:color="auto"/>
        <w:right w:val="none" w:sz="0" w:space="0" w:color="auto"/>
      </w:divBdr>
    </w:div>
    <w:div w:id="171186238">
      <w:bodyDiv w:val="1"/>
      <w:marLeft w:val="0"/>
      <w:marRight w:val="0"/>
      <w:marTop w:val="0"/>
      <w:marBottom w:val="0"/>
      <w:divBdr>
        <w:top w:val="none" w:sz="0" w:space="0" w:color="auto"/>
        <w:left w:val="none" w:sz="0" w:space="0" w:color="auto"/>
        <w:bottom w:val="none" w:sz="0" w:space="0" w:color="auto"/>
        <w:right w:val="none" w:sz="0" w:space="0" w:color="auto"/>
      </w:divBdr>
    </w:div>
    <w:div w:id="171379323">
      <w:bodyDiv w:val="1"/>
      <w:marLeft w:val="0"/>
      <w:marRight w:val="0"/>
      <w:marTop w:val="0"/>
      <w:marBottom w:val="0"/>
      <w:divBdr>
        <w:top w:val="none" w:sz="0" w:space="0" w:color="auto"/>
        <w:left w:val="none" w:sz="0" w:space="0" w:color="auto"/>
        <w:bottom w:val="none" w:sz="0" w:space="0" w:color="auto"/>
        <w:right w:val="none" w:sz="0" w:space="0" w:color="auto"/>
      </w:divBdr>
    </w:div>
    <w:div w:id="171408981">
      <w:bodyDiv w:val="1"/>
      <w:marLeft w:val="0"/>
      <w:marRight w:val="0"/>
      <w:marTop w:val="0"/>
      <w:marBottom w:val="0"/>
      <w:divBdr>
        <w:top w:val="none" w:sz="0" w:space="0" w:color="auto"/>
        <w:left w:val="none" w:sz="0" w:space="0" w:color="auto"/>
        <w:bottom w:val="none" w:sz="0" w:space="0" w:color="auto"/>
        <w:right w:val="none" w:sz="0" w:space="0" w:color="auto"/>
      </w:divBdr>
    </w:div>
    <w:div w:id="171452144">
      <w:bodyDiv w:val="1"/>
      <w:marLeft w:val="0"/>
      <w:marRight w:val="0"/>
      <w:marTop w:val="0"/>
      <w:marBottom w:val="0"/>
      <w:divBdr>
        <w:top w:val="none" w:sz="0" w:space="0" w:color="auto"/>
        <w:left w:val="none" w:sz="0" w:space="0" w:color="auto"/>
        <w:bottom w:val="none" w:sz="0" w:space="0" w:color="auto"/>
        <w:right w:val="none" w:sz="0" w:space="0" w:color="auto"/>
      </w:divBdr>
    </w:div>
    <w:div w:id="171452450">
      <w:bodyDiv w:val="1"/>
      <w:marLeft w:val="0"/>
      <w:marRight w:val="0"/>
      <w:marTop w:val="0"/>
      <w:marBottom w:val="0"/>
      <w:divBdr>
        <w:top w:val="none" w:sz="0" w:space="0" w:color="auto"/>
        <w:left w:val="none" w:sz="0" w:space="0" w:color="auto"/>
        <w:bottom w:val="none" w:sz="0" w:space="0" w:color="auto"/>
        <w:right w:val="none" w:sz="0" w:space="0" w:color="auto"/>
      </w:divBdr>
    </w:div>
    <w:div w:id="171458459">
      <w:bodyDiv w:val="1"/>
      <w:marLeft w:val="0"/>
      <w:marRight w:val="0"/>
      <w:marTop w:val="0"/>
      <w:marBottom w:val="0"/>
      <w:divBdr>
        <w:top w:val="none" w:sz="0" w:space="0" w:color="auto"/>
        <w:left w:val="none" w:sz="0" w:space="0" w:color="auto"/>
        <w:bottom w:val="none" w:sz="0" w:space="0" w:color="auto"/>
        <w:right w:val="none" w:sz="0" w:space="0" w:color="auto"/>
      </w:divBdr>
    </w:div>
    <w:div w:id="171726704">
      <w:bodyDiv w:val="1"/>
      <w:marLeft w:val="0"/>
      <w:marRight w:val="0"/>
      <w:marTop w:val="0"/>
      <w:marBottom w:val="0"/>
      <w:divBdr>
        <w:top w:val="none" w:sz="0" w:space="0" w:color="auto"/>
        <w:left w:val="none" w:sz="0" w:space="0" w:color="auto"/>
        <w:bottom w:val="none" w:sz="0" w:space="0" w:color="auto"/>
        <w:right w:val="none" w:sz="0" w:space="0" w:color="auto"/>
      </w:divBdr>
    </w:div>
    <w:div w:id="171729671">
      <w:bodyDiv w:val="1"/>
      <w:marLeft w:val="0"/>
      <w:marRight w:val="0"/>
      <w:marTop w:val="0"/>
      <w:marBottom w:val="0"/>
      <w:divBdr>
        <w:top w:val="none" w:sz="0" w:space="0" w:color="auto"/>
        <w:left w:val="none" w:sz="0" w:space="0" w:color="auto"/>
        <w:bottom w:val="none" w:sz="0" w:space="0" w:color="auto"/>
        <w:right w:val="none" w:sz="0" w:space="0" w:color="auto"/>
      </w:divBdr>
    </w:div>
    <w:div w:id="171772248">
      <w:bodyDiv w:val="1"/>
      <w:marLeft w:val="0"/>
      <w:marRight w:val="0"/>
      <w:marTop w:val="0"/>
      <w:marBottom w:val="0"/>
      <w:divBdr>
        <w:top w:val="none" w:sz="0" w:space="0" w:color="auto"/>
        <w:left w:val="none" w:sz="0" w:space="0" w:color="auto"/>
        <w:bottom w:val="none" w:sz="0" w:space="0" w:color="auto"/>
        <w:right w:val="none" w:sz="0" w:space="0" w:color="auto"/>
      </w:divBdr>
    </w:div>
    <w:div w:id="171845618">
      <w:bodyDiv w:val="1"/>
      <w:marLeft w:val="0"/>
      <w:marRight w:val="0"/>
      <w:marTop w:val="0"/>
      <w:marBottom w:val="0"/>
      <w:divBdr>
        <w:top w:val="none" w:sz="0" w:space="0" w:color="auto"/>
        <w:left w:val="none" w:sz="0" w:space="0" w:color="auto"/>
        <w:bottom w:val="none" w:sz="0" w:space="0" w:color="auto"/>
        <w:right w:val="none" w:sz="0" w:space="0" w:color="auto"/>
      </w:divBdr>
    </w:div>
    <w:div w:id="171914519">
      <w:bodyDiv w:val="1"/>
      <w:marLeft w:val="0"/>
      <w:marRight w:val="0"/>
      <w:marTop w:val="0"/>
      <w:marBottom w:val="0"/>
      <w:divBdr>
        <w:top w:val="none" w:sz="0" w:space="0" w:color="auto"/>
        <w:left w:val="none" w:sz="0" w:space="0" w:color="auto"/>
        <w:bottom w:val="none" w:sz="0" w:space="0" w:color="auto"/>
        <w:right w:val="none" w:sz="0" w:space="0" w:color="auto"/>
      </w:divBdr>
    </w:div>
    <w:div w:id="171989302">
      <w:bodyDiv w:val="1"/>
      <w:marLeft w:val="0"/>
      <w:marRight w:val="0"/>
      <w:marTop w:val="0"/>
      <w:marBottom w:val="0"/>
      <w:divBdr>
        <w:top w:val="none" w:sz="0" w:space="0" w:color="auto"/>
        <w:left w:val="none" w:sz="0" w:space="0" w:color="auto"/>
        <w:bottom w:val="none" w:sz="0" w:space="0" w:color="auto"/>
        <w:right w:val="none" w:sz="0" w:space="0" w:color="auto"/>
      </w:divBdr>
    </w:div>
    <w:div w:id="172036795">
      <w:bodyDiv w:val="1"/>
      <w:marLeft w:val="0"/>
      <w:marRight w:val="0"/>
      <w:marTop w:val="0"/>
      <w:marBottom w:val="0"/>
      <w:divBdr>
        <w:top w:val="none" w:sz="0" w:space="0" w:color="auto"/>
        <w:left w:val="none" w:sz="0" w:space="0" w:color="auto"/>
        <w:bottom w:val="none" w:sz="0" w:space="0" w:color="auto"/>
        <w:right w:val="none" w:sz="0" w:space="0" w:color="auto"/>
      </w:divBdr>
    </w:div>
    <w:div w:id="172037820">
      <w:bodyDiv w:val="1"/>
      <w:marLeft w:val="0"/>
      <w:marRight w:val="0"/>
      <w:marTop w:val="0"/>
      <w:marBottom w:val="0"/>
      <w:divBdr>
        <w:top w:val="none" w:sz="0" w:space="0" w:color="auto"/>
        <w:left w:val="none" w:sz="0" w:space="0" w:color="auto"/>
        <w:bottom w:val="none" w:sz="0" w:space="0" w:color="auto"/>
        <w:right w:val="none" w:sz="0" w:space="0" w:color="auto"/>
      </w:divBdr>
    </w:div>
    <w:div w:id="172116244">
      <w:bodyDiv w:val="1"/>
      <w:marLeft w:val="0"/>
      <w:marRight w:val="0"/>
      <w:marTop w:val="0"/>
      <w:marBottom w:val="0"/>
      <w:divBdr>
        <w:top w:val="none" w:sz="0" w:space="0" w:color="auto"/>
        <w:left w:val="none" w:sz="0" w:space="0" w:color="auto"/>
        <w:bottom w:val="none" w:sz="0" w:space="0" w:color="auto"/>
        <w:right w:val="none" w:sz="0" w:space="0" w:color="auto"/>
      </w:divBdr>
    </w:div>
    <w:div w:id="172184170">
      <w:bodyDiv w:val="1"/>
      <w:marLeft w:val="0"/>
      <w:marRight w:val="0"/>
      <w:marTop w:val="0"/>
      <w:marBottom w:val="0"/>
      <w:divBdr>
        <w:top w:val="none" w:sz="0" w:space="0" w:color="auto"/>
        <w:left w:val="none" w:sz="0" w:space="0" w:color="auto"/>
        <w:bottom w:val="none" w:sz="0" w:space="0" w:color="auto"/>
        <w:right w:val="none" w:sz="0" w:space="0" w:color="auto"/>
      </w:divBdr>
    </w:div>
    <w:div w:id="172231809">
      <w:bodyDiv w:val="1"/>
      <w:marLeft w:val="0"/>
      <w:marRight w:val="0"/>
      <w:marTop w:val="0"/>
      <w:marBottom w:val="0"/>
      <w:divBdr>
        <w:top w:val="none" w:sz="0" w:space="0" w:color="auto"/>
        <w:left w:val="none" w:sz="0" w:space="0" w:color="auto"/>
        <w:bottom w:val="none" w:sz="0" w:space="0" w:color="auto"/>
        <w:right w:val="none" w:sz="0" w:space="0" w:color="auto"/>
      </w:divBdr>
    </w:div>
    <w:div w:id="172304126">
      <w:bodyDiv w:val="1"/>
      <w:marLeft w:val="0"/>
      <w:marRight w:val="0"/>
      <w:marTop w:val="0"/>
      <w:marBottom w:val="0"/>
      <w:divBdr>
        <w:top w:val="none" w:sz="0" w:space="0" w:color="auto"/>
        <w:left w:val="none" w:sz="0" w:space="0" w:color="auto"/>
        <w:bottom w:val="none" w:sz="0" w:space="0" w:color="auto"/>
        <w:right w:val="none" w:sz="0" w:space="0" w:color="auto"/>
      </w:divBdr>
    </w:div>
    <w:div w:id="172380769">
      <w:bodyDiv w:val="1"/>
      <w:marLeft w:val="0"/>
      <w:marRight w:val="0"/>
      <w:marTop w:val="0"/>
      <w:marBottom w:val="0"/>
      <w:divBdr>
        <w:top w:val="none" w:sz="0" w:space="0" w:color="auto"/>
        <w:left w:val="none" w:sz="0" w:space="0" w:color="auto"/>
        <w:bottom w:val="none" w:sz="0" w:space="0" w:color="auto"/>
        <w:right w:val="none" w:sz="0" w:space="0" w:color="auto"/>
      </w:divBdr>
    </w:div>
    <w:div w:id="172451289">
      <w:bodyDiv w:val="1"/>
      <w:marLeft w:val="0"/>
      <w:marRight w:val="0"/>
      <w:marTop w:val="0"/>
      <w:marBottom w:val="0"/>
      <w:divBdr>
        <w:top w:val="none" w:sz="0" w:space="0" w:color="auto"/>
        <w:left w:val="none" w:sz="0" w:space="0" w:color="auto"/>
        <w:bottom w:val="none" w:sz="0" w:space="0" w:color="auto"/>
        <w:right w:val="none" w:sz="0" w:space="0" w:color="auto"/>
      </w:divBdr>
    </w:div>
    <w:div w:id="172452087">
      <w:bodyDiv w:val="1"/>
      <w:marLeft w:val="0"/>
      <w:marRight w:val="0"/>
      <w:marTop w:val="0"/>
      <w:marBottom w:val="0"/>
      <w:divBdr>
        <w:top w:val="none" w:sz="0" w:space="0" w:color="auto"/>
        <w:left w:val="none" w:sz="0" w:space="0" w:color="auto"/>
        <w:bottom w:val="none" w:sz="0" w:space="0" w:color="auto"/>
        <w:right w:val="none" w:sz="0" w:space="0" w:color="auto"/>
      </w:divBdr>
    </w:div>
    <w:div w:id="172452263">
      <w:bodyDiv w:val="1"/>
      <w:marLeft w:val="0"/>
      <w:marRight w:val="0"/>
      <w:marTop w:val="0"/>
      <w:marBottom w:val="0"/>
      <w:divBdr>
        <w:top w:val="none" w:sz="0" w:space="0" w:color="auto"/>
        <w:left w:val="none" w:sz="0" w:space="0" w:color="auto"/>
        <w:bottom w:val="none" w:sz="0" w:space="0" w:color="auto"/>
        <w:right w:val="none" w:sz="0" w:space="0" w:color="auto"/>
      </w:divBdr>
    </w:div>
    <w:div w:id="172454970">
      <w:bodyDiv w:val="1"/>
      <w:marLeft w:val="0"/>
      <w:marRight w:val="0"/>
      <w:marTop w:val="0"/>
      <w:marBottom w:val="0"/>
      <w:divBdr>
        <w:top w:val="none" w:sz="0" w:space="0" w:color="auto"/>
        <w:left w:val="none" w:sz="0" w:space="0" w:color="auto"/>
        <w:bottom w:val="none" w:sz="0" w:space="0" w:color="auto"/>
        <w:right w:val="none" w:sz="0" w:space="0" w:color="auto"/>
      </w:divBdr>
    </w:div>
    <w:div w:id="172501067">
      <w:bodyDiv w:val="1"/>
      <w:marLeft w:val="0"/>
      <w:marRight w:val="0"/>
      <w:marTop w:val="0"/>
      <w:marBottom w:val="0"/>
      <w:divBdr>
        <w:top w:val="none" w:sz="0" w:space="0" w:color="auto"/>
        <w:left w:val="none" w:sz="0" w:space="0" w:color="auto"/>
        <w:bottom w:val="none" w:sz="0" w:space="0" w:color="auto"/>
        <w:right w:val="none" w:sz="0" w:space="0" w:color="auto"/>
      </w:divBdr>
    </w:div>
    <w:div w:id="172572700">
      <w:bodyDiv w:val="1"/>
      <w:marLeft w:val="0"/>
      <w:marRight w:val="0"/>
      <w:marTop w:val="0"/>
      <w:marBottom w:val="0"/>
      <w:divBdr>
        <w:top w:val="none" w:sz="0" w:space="0" w:color="auto"/>
        <w:left w:val="none" w:sz="0" w:space="0" w:color="auto"/>
        <w:bottom w:val="none" w:sz="0" w:space="0" w:color="auto"/>
        <w:right w:val="none" w:sz="0" w:space="0" w:color="auto"/>
      </w:divBdr>
    </w:div>
    <w:div w:id="172577178">
      <w:bodyDiv w:val="1"/>
      <w:marLeft w:val="0"/>
      <w:marRight w:val="0"/>
      <w:marTop w:val="0"/>
      <w:marBottom w:val="0"/>
      <w:divBdr>
        <w:top w:val="none" w:sz="0" w:space="0" w:color="auto"/>
        <w:left w:val="none" w:sz="0" w:space="0" w:color="auto"/>
        <w:bottom w:val="none" w:sz="0" w:space="0" w:color="auto"/>
        <w:right w:val="none" w:sz="0" w:space="0" w:color="auto"/>
      </w:divBdr>
    </w:div>
    <w:div w:id="172690858">
      <w:bodyDiv w:val="1"/>
      <w:marLeft w:val="0"/>
      <w:marRight w:val="0"/>
      <w:marTop w:val="0"/>
      <w:marBottom w:val="0"/>
      <w:divBdr>
        <w:top w:val="none" w:sz="0" w:space="0" w:color="auto"/>
        <w:left w:val="none" w:sz="0" w:space="0" w:color="auto"/>
        <w:bottom w:val="none" w:sz="0" w:space="0" w:color="auto"/>
        <w:right w:val="none" w:sz="0" w:space="0" w:color="auto"/>
      </w:divBdr>
    </w:div>
    <w:div w:id="172765833">
      <w:bodyDiv w:val="1"/>
      <w:marLeft w:val="0"/>
      <w:marRight w:val="0"/>
      <w:marTop w:val="0"/>
      <w:marBottom w:val="0"/>
      <w:divBdr>
        <w:top w:val="none" w:sz="0" w:space="0" w:color="auto"/>
        <w:left w:val="none" w:sz="0" w:space="0" w:color="auto"/>
        <w:bottom w:val="none" w:sz="0" w:space="0" w:color="auto"/>
        <w:right w:val="none" w:sz="0" w:space="0" w:color="auto"/>
      </w:divBdr>
    </w:div>
    <w:div w:id="172884357">
      <w:bodyDiv w:val="1"/>
      <w:marLeft w:val="0"/>
      <w:marRight w:val="0"/>
      <w:marTop w:val="0"/>
      <w:marBottom w:val="0"/>
      <w:divBdr>
        <w:top w:val="none" w:sz="0" w:space="0" w:color="auto"/>
        <w:left w:val="none" w:sz="0" w:space="0" w:color="auto"/>
        <w:bottom w:val="none" w:sz="0" w:space="0" w:color="auto"/>
        <w:right w:val="none" w:sz="0" w:space="0" w:color="auto"/>
      </w:divBdr>
    </w:div>
    <w:div w:id="172885389">
      <w:bodyDiv w:val="1"/>
      <w:marLeft w:val="0"/>
      <w:marRight w:val="0"/>
      <w:marTop w:val="0"/>
      <w:marBottom w:val="0"/>
      <w:divBdr>
        <w:top w:val="none" w:sz="0" w:space="0" w:color="auto"/>
        <w:left w:val="none" w:sz="0" w:space="0" w:color="auto"/>
        <w:bottom w:val="none" w:sz="0" w:space="0" w:color="auto"/>
        <w:right w:val="none" w:sz="0" w:space="0" w:color="auto"/>
      </w:divBdr>
    </w:div>
    <w:div w:id="172886521">
      <w:bodyDiv w:val="1"/>
      <w:marLeft w:val="0"/>
      <w:marRight w:val="0"/>
      <w:marTop w:val="0"/>
      <w:marBottom w:val="0"/>
      <w:divBdr>
        <w:top w:val="none" w:sz="0" w:space="0" w:color="auto"/>
        <w:left w:val="none" w:sz="0" w:space="0" w:color="auto"/>
        <w:bottom w:val="none" w:sz="0" w:space="0" w:color="auto"/>
        <w:right w:val="none" w:sz="0" w:space="0" w:color="auto"/>
      </w:divBdr>
    </w:div>
    <w:div w:id="172914504">
      <w:bodyDiv w:val="1"/>
      <w:marLeft w:val="0"/>
      <w:marRight w:val="0"/>
      <w:marTop w:val="0"/>
      <w:marBottom w:val="0"/>
      <w:divBdr>
        <w:top w:val="none" w:sz="0" w:space="0" w:color="auto"/>
        <w:left w:val="none" w:sz="0" w:space="0" w:color="auto"/>
        <w:bottom w:val="none" w:sz="0" w:space="0" w:color="auto"/>
        <w:right w:val="none" w:sz="0" w:space="0" w:color="auto"/>
      </w:divBdr>
    </w:div>
    <w:div w:id="172957567">
      <w:bodyDiv w:val="1"/>
      <w:marLeft w:val="0"/>
      <w:marRight w:val="0"/>
      <w:marTop w:val="0"/>
      <w:marBottom w:val="0"/>
      <w:divBdr>
        <w:top w:val="none" w:sz="0" w:space="0" w:color="auto"/>
        <w:left w:val="none" w:sz="0" w:space="0" w:color="auto"/>
        <w:bottom w:val="none" w:sz="0" w:space="0" w:color="auto"/>
        <w:right w:val="none" w:sz="0" w:space="0" w:color="auto"/>
      </w:divBdr>
    </w:div>
    <w:div w:id="173036590">
      <w:bodyDiv w:val="1"/>
      <w:marLeft w:val="0"/>
      <w:marRight w:val="0"/>
      <w:marTop w:val="0"/>
      <w:marBottom w:val="0"/>
      <w:divBdr>
        <w:top w:val="none" w:sz="0" w:space="0" w:color="auto"/>
        <w:left w:val="none" w:sz="0" w:space="0" w:color="auto"/>
        <w:bottom w:val="none" w:sz="0" w:space="0" w:color="auto"/>
        <w:right w:val="none" w:sz="0" w:space="0" w:color="auto"/>
      </w:divBdr>
    </w:div>
    <w:div w:id="173082982">
      <w:bodyDiv w:val="1"/>
      <w:marLeft w:val="0"/>
      <w:marRight w:val="0"/>
      <w:marTop w:val="0"/>
      <w:marBottom w:val="0"/>
      <w:divBdr>
        <w:top w:val="none" w:sz="0" w:space="0" w:color="auto"/>
        <w:left w:val="none" w:sz="0" w:space="0" w:color="auto"/>
        <w:bottom w:val="none" w:sz="0" w:space="0" w:color="auto"/>
        <w:right w:val="none" w:sz="0" w:space="0" w:color="auto"/>
      </w:divBdr>
    </w:div>
    <w:div w:id="173112425">
      <w:bodyDiv w:val="1"/>
      <w:marLeft w:val="0"/>
      <w:marRight w:val="0"/>
      <w:marTop w:val="0"/>
      <w:marBottom w:val="0"/>
      <w:divBdr>
        <w:top w:val="none" w:sz="0" w:space="0" w:color="auto"/>
        <w:left w:val="none" w:sz="0" w:space="0" w:color="auto"/>
        <w:bottom w:val="none" w:sz="0" w:space="0" w:color="auto"/>
        <w:right w:val="none" w:sz="0" w:space="0" w:color="auto"/>
      </w:divBdr>
    </w:div>
    <w:div w:id="173152436">
      <w:bodyDiv w:val="1"/>
      <w:marLeft w:val="0"/>
      <w:marRight w:val="0"/>
      <w:marTop w:val="0"/>
      <w:marBottom w:val="0"/>
      <w:divBdr>
        <w:top w:val="none" w:sz="0" w:space="0" w:color="auto"/>
        <w:left w:val="none" w:sz="0" w:space="0" w:color="auto"/>
        <w:bottom w:val="none" w:sz="0" w:space="0" w:color="auto"/>
        <w:right w:val="none" w:sz="0" w:space="0" w:color="auto"/>
      </w:divBdr>
    </w:div>
    <w:div w:id="173155433">
      <w:bodyDiv w:val="1"/>
      <w:marLeft w:val="0"/>
      <w:marRight w:val="0"/>
      <w:marTop w:val="0"/>
      <w:marBottom w:val="0"/>
      <w:divBdr>
        <w:top w:val="none" w:sz="0" w:space="0" w:color="auto"/>
        <w:left w:val="none" w:sz="0" w:space="0" w:color="auto"/>
        <w:bottom w:val="none" w:sz="0" w:space="0" w:color="auto"/>
        <w:right w:val="none" w:sz="0" w:space="0" w:color="auto"/>
      </w:divBdr>
    </w:div>
    <w:div w:id="173226016">
      <w:bodyDiv w:val="1"/>
      <w:marLeft w:val="0"/>
      <w:marRight w:val="0"/>
      <w:marTop w:val="0"/>
      <w:marBottom w:val="0"/>
      <w:divBdr>
        <w:top w:val="none" w:sz="0" w:space="0" w:color="auto"/>
        <w:left w:val="none" w:sz="0" w:space="0" w:color="auto"/>
        <w:bottom w:val="none" w:sz="0" w:space="0" w:color="auto"/>
        <w:right w:val="none" w:sz="0" w:space="0" w:color="auto"/>
      </w:divBdr>
    </w:div>
    <w:div w:id="173226175">
      <w:bodyDiv w:val="1"/>
      <w:marLeft w:val="0"/>
      <w:marRight w:val="0"/>
      <w:marTop w:val="0"/>
      <w:marBottom w:val="0"/>
      <w:divBdr>
        <w:top w:val="none" w:sz="0" w:space="0" w:color="auto"/>
        <w:left w:val="none" w:sz="0" w:space="0" w:color="auto"/>
        <w:bottom w:val="none" w:sz="0" w:space="0" w:color="auto"/>
        <w:right w:val="none" w:sz="0" w:space="0" w:color="auto"/>
      </w:divBdr>
    </w:div>
    <w:div w:id="173347713">
      <w:bodyDiv w:val="1"/>
      <w:marLeft w:val="0"/>
      <w:marRight w:val="0"/>
      <w:marTop w:val="0"/>
      <w:marBottom w:val="0"/>
      <w:divBdr>
        <w:top w:val="none" w:sz="0" w:space="0" w:color="auto"/>
        <w:left w:val="none" w:sz="0" w:space="0" w:color="auto"/>
        <w:bottom w:val="none" w:sz="0" w:space="0" w:color="auto"/>
        <w:right w:val="none" w:sz="0" w:space="0" w:color="auto"/>
      </w:divBdr>
    </w:div>
    <w:div w:id="173350710">
      <w:bodyDiv w:val="1"/>
      <w:marLeft w:val="0"/>
      <w:marRight w:val="0"/>
      <w:marTop w:val="0"/>
      <w:marBottom w:val="0"/>
      <w:divBdr>
        <w:top w:val="none" w:sz="0" w:space="0" w:color="auto"/>
        <w:left w:val="none" w:sz="0" w:space="0" w:color="auto"/>
        <w:bottom w:val="none" w:sz="0" w:space="0" w:color="auto"/>
        <w:right w:val="none" w:sz="0" w:space="0" w:color="auto"/>
      </w:divBdr>
    </w:div>
    <w:div w:id="173419284">
      <w:bodyDiv w:val="1"/>
      <w:marLeft w:val="0"/>
      <w:marRight w:val="0"/>
      <w:marTop w:val="0"/>
      <w:marBottom w:val="0"/>
      <w:divBdr>
        <w:top w:val="none" w:sz="0" w:space="0" w:color="auto"/>
        <w:left w:val="none" w:sz="0" w:space="0" w:color="auto"/>
        <w:bottom w:val="none" w:sz="0" w:space="0" w:color="auto"/>
        <w:right w:val="none" w:sz="0" w:space="0" w:color="auto"/>
      </w:divBdr>
    </w:div>
    <w:div w:id="173499320">
      <w:bodyDiv w:val="1"/>
      <w:marLeft w:val="0"/>
      <w:marRight w:val="0"/>
      <w:marTop w:val="0"/>
      <w:marBottom w:val="0"/>
      <w:divBdr>
        <w:top w:val="none" w:sz="0" w:space="0" w:color="auto"/>
        <w:left w:val="none" w:sz="0" w:space="0" w:color="auto"/>
        <w:bottom w:val="none" w:sz="0" w:space="0" w:color="auto"/>
        <w:right w:val="none" w:sz="0" w:space="0" w:color="auto"/>
      </w:divBdr>
    </w:div>
    <w:div w:id="173500002">
      <w:bodyDiv w:val="1"/>
      <w:marLeft w:val="0"/>
      <w:marRight w:val="0"/>
      <w:marTop w:val="0"/>
      <w:marBottom w:val="0"/>
      <w:divBdr>
        <w:top w:val="none" w:sz="0" w:space="0" w:color="auto"/>
        <w:left w:val="none" w:sz="0" w:space="0" w:color="auto"/>
        <w:bottom w:val="none" w:sz="0" w:space="0" w:color="auto"/>
        <w:right w:val="none" w:sz="0" w:space="0" w:color="auto"/>
      </w:divBdr>
    </w:div>
    <w:div w:id="173617180">
      <w:bodyDiv w:val="1"/>
      <w:marLeft w:val="0"/>
      <w:marRight w:val="0"/>
      <w:marTop w:val="0"/>
      <w:marBottom w:val="0"/>
      <w:divBdr>
        <w:top w:val="none" w:sz="0" w:space="0" w:color="auto"/>
        <w:left w:val="none" w:sz="0" w:space="0" w:color="auto"/>
        <w:bottom w:val="none" w:sz="0" w:space="0" w:color="auto"/>
        <w:right w:val="none" w:sz="0" w:space="0" w:color="auto"/>
      </w:divBdr>
    </w:div>
    <w:div w:id="173617409">
      <w:bodyDiv w:val="1"/>
      <w:marLeft w:val="0"/>
      <w:marRight w:val="0"/>
      <w:marTop w:val="0"/>
      <w:marBottom w:val="0"/>
      <w:divBdr>
        <w:top w:val="none" w:sz="0" w:space="0" w:color="auto"/>
        <w:left w:val="none" w:sz="0" w:space="0" w:color="auto"/>
        <w:bottom w:val="none" w:sz="0" w:space="0" w:color="auto"/>
        <w:right w:val="none" w:sz="0" w:space="0" w:color="auto"/>
      </w:divBdr>
    </w:div>
    <w:div w:id="173692562">
      <w:bodyDiv w:val="1"/>
      <w:marLeft w:val="0"/>
      <w:marRight w:val="0"/>
      <w:marTop w:val="0"/>
      <w:marBottom w:val="0"/>
      <w:divBdr>
        <w:top w:val="none" w:sz="0" w:space="0" w:color="auto"/>
        <w:left w:val="none" w:sz="0" w:space="0" w:color="auto"/>
        <w:bottom w:val="none" w:sz="0" w:space="0" w:color="auto"/>
        <w:right w:val="none" w:sz="0" w:space="0" w:color="auto"/>
      </w:divBdr>
    </w:div>
    <w:div w:id="173764045">
      <w:bodyDiv w:val="1"/>
      <w:marLeft w:val="0"/>
      <w:marRight w:val="0"/>
      <w:marTop w:val="0"/>
      <w:marBottom w:val="0"/>
      <w:divBdr>
        <w:top w:val="none" w:sz="0" w:space="0" w:color="auto"/>
        <w:left w:val="none" w:sz="0" w:space="0" w:color="auto"/>
        <w:bottom w:val="none" w:sz="0" w:space="0" w:color="auto"/>
        <w:right w:val="none" w:sz="0" w:space="0" w:color="auto"/>
      </w:divBdr>
    </w:div>
    <w:div w:id="173883981">
      <w:bodyDiv w:val="1"/>
      <w:marLeft w:val="0"/>
      <w:marRight w:val="0"/>
      <w:marTop w:val="0"/>
      <w:marBottom w:val="0"/>
      <w:divBdr>
        <w:top w:val="none" w:sz="0" w:space="0" w:color="auto"/>
        <w:left w:val="none" w:sz="0" w:space="0" w:color="auto"/>
        <w:bottom w:val="none" w:sz="0" w:space="0" w:color="auto"/>
        <w:right w:val="none" w:sz="0" w:space="0" w:color="auto"/>
      </w:divBdr>
    </w:div>
    <w:div w:id="173886639">
      <w:bodyDiv w:val="1"/>
      <w:marLeft w:val="0"/>
      <w:marRight w:val="0"/>
      <w:marTop w:val="0"/>
      <w:marBottom w:val="0"/>
      <w:divBdr>
        <w:top w:val="none" w:sz="0" w:space="0" w:color="auto"/>
        <w:left w:val="none" w:sz="0" w:space="0" w:color="auto"/>
        <w:bottom w:val="none" w:sz="0" w:space="0" w:color="auto"/>
        <w:right w:val="none" w:sz="0" w:space="0" w:color="auto"/>
      </w:divBdr>
    </w:div>
    <w:div w:id="174003948">
      <w:bodyDiv w:val="1"/>
      <w:marLeft w:val="0"/>
      <w:marRight w:val="0"/>
      <w:marTop w:val="0"/>
      <w:marBottom w:val="0"/>
      <w:divBdr>
        <w:top w:val="none" w:sz="0" w:space="0" w:color="auto"/>
        <w:left w:val="none" w:sz="0" w:space="0" w:color="auto"/>
        <w:bottom w:val="none" w:sz="0" w:space="0" w:color="auto"/>
        <w:right w:val="none" w:sz="0" w:space="0" w:color="auto"/>
      </w:divBdr>
    </w:div>
    <w:div w:id="174150358">
      <w:bodyDiv w:val="1"/>
      <w:marLeft w:val="0"/>
      <w:marRight w:val="0"/>
      <w:marTop w:val="0"/>
      <w:marBottom w:val="0"/>
      <w:divBdr>
        <w:top w:val="none" w:sz="0" w:space="0" w:color="auto"/>
        <w:left w:val="none" w:sz="0" w:space="0" w:color="auto"/>
        <w:bottom w:val="none" w:sz="0" w:space="0" w:color="auto"/>
        <w:right w:val="none" w:sz="0" w:space="0" w:color="auto"/>
      </w:divBdr>
    </w:div>
    <w:div w:id="174195730">
      <w:bodyDiv w:val="1"/>
      <w:marLeft w:val="0"/>
      <w:marRight w:val="0"/>
      <w:marTop w:val="0"/>
      <w:marBottom w:val="0"/>
      <w:divBdr>
        <w:top w:val="none" w:sz="0" w:space="0" w:color="auto"/>
        <w:left w:val="none" w:sz="0" w:space="0" w:color="auto"/>
        <w:bottom w:val="none" w:sz="0" w:space="0" w:color="auto"/>
        <w:right w:val="none" w:sz="0" w:space="0" w:color="auto"/>
      </w:divBdr>
    </w:div>
    <w:div w:id="174198198">
      <w:bodyDiv w:val="1"/>
      <w:marLeft w:val="0"/>
      <w:marRight w:val="0"/>
      <w:marTop w:val="0"/>
      <w:marBottom w:val="0"/>
      <w:divBdr>
        <w:top w:val="none" w:sz="0" w:space="0" w:color="auto"/>
        <w:left w:val="none" w:sz="0" w:space="0" w:color="auto"/>
        <w:bottom w:val="none" w:sz="0" w:space="0" w:color="auto"/>
        <w:right w:val="none" w:sz="0" w:space="0" w:color="auto"/>
      </w:divBdr>
    </w:div>
    <w:div w:id="174269236">
      <w:bodyDiv w:val="1"/>
      <w:marLeft w:val="0"/>
      <w:marRight w:val="0"/>
      <w:marTop w:val="0"/>
      <w:marBottom w:val="0"/>
      <w:divBdr>
        <w:top w:val="none" w:sz="0" w:space="0" w:color="auto"/>
        <w:left w:val="none" w:sz="0" w:space="0" w:color="auto"/>
        <w:bottom w:val="none" w:sz="0" w:space="0" w:color="auto"/>
        <w:right w:val="none" w:sz="0" w:space="0" w:color="auto"/>
      </w:divBdr>
    </w:div>
    <w:div w:id="174342362">
      <w:bodyDiv w:val="1"/>
      <w:marLeft w:val="0"/>
      <w:marRight w:val="0"/>
      <w:marTop w:val="0"/>
      <w:marBottom w:val="0"/>
      <w:divBdr>
        <w:top w:val="none" w:sz="0" w:space="0" w:color="auto"/>
        <w:left w:val="none" w:sz="0" w:space="0" w:color="auto"/>
        <w:bottom w:val="none" w:sz="0" w:space="0" w:color="auto"/>
        <w:right w:val="none" w:sz="0" w:space="0" w:color="auto"/>
      </w:divBdr>
    </w:div>
    <w:div w:id="174349557">
      <w:bodyDiv w:val="1"/>
      <w:marLeft w:val="0"/>
      <w:marRight w:val="0"/>
      <w:marTop w:val="0"/>
      <w:marBottom w:val="0"/>
      <w:divBdr>
        <w:top w:val="none" w:sz="0" w:space="0" w:color="auto"/>
        <w:left w:val="none" w:sz="0" w:space="0" w:color="auto"/>
        <w:bottom w:val="none" w:sz="0" w:space="0" w:color="auto"/>
        <w:right w:val="none" w:sz="0" w:space="0" w:color="auto"/>
      </w:divBdr>
    </w:div>
    <w:div w:id="174350026">
      <w:bodyDiv w:val="1"/>
      <w:marLeft w:val="0"/>
      <w:marRight w:val="0"/>
      <w:marTop w:val="0"/>
      <w:marBottom w:val="0"/>
      <w:divBdr>
        <w:top w:val="none" w:sz="0" w:space="0" w:color="auto"/>
        <w:left w:val="none" w:sz="0" w:space="0" w:color="auto"/>
        <w:bottom w:val="none" w:sz="0" w:space="0" w:color="auto"/>
        <w:right w:val="none" w:sz="0" w:space="0" w:color="auto"/>
      </w:divBdr>
    </w:div>
    <w:div w:id="174462104">
      <w:bodyDiv w:val="1"/>
      <w:marLeft w:val="0"/>
      <w:marRight w:val="0"/>
      <w:marTop w:val="0"/>
      <w:marBottom w:val="0"/>
      <w:divBdr>
        <w:top w:val="none" w:sz="0" w:space="0" w:color="auto"/>
        <w:left w:val="none" w:sz="0" w:space="0" w:color="auto"/>
        <w:bottom w:val="none" w:sz="0" w:space="0" w:color="auto"/>
        <w:right w:val="none" w:sz="0" w:space="0" w:color="auto"/>
      </w:divBdr>
    </w:div>
    <w:div w:id="174660678">
      <w:bodyDiv w:val="1"/>
      <w:marLeft w:val="0"/>
      <w:marRight w:val="0"/>
      <w:marTop w:val="0"/>
      <w:marBottom w:val="0"/>
      <w:divBdr>
        <w:top w:val="none" w:sz="0" w:space="0" w:color="auto"/>
        <w:left w:val="none" w:sz="0" w:space="0" w:color="auto"/>
        <w:bottom w:val="none" w:sz="0" w:space="0" w:color="auto"/>
        <w:right w:val="none" w:sz="0" w:space="0" w:color="auto"/>
      </w:divBdr>
    </w:div>
    <w:div w:id="174728161">
      <w:bodyDiv w:val="1"/>
      <w:marLeft w:val="0"/>
      <w:marRight w:val="0"/>
      <w:marTop w:val="0"/>
      <w:marBottom w:val="0"/>
      <w:divBdr>
        <w:top w:val="none" w:sz="0" w:space="0" w:color="auto"/>
        <w:left w:val="none" w:sz="0" w:space="0" w:color="auto"/>
        <w:bottom w:val="none" w:sz="0" w:space="0" w:color="auto"/>
        <w:right w:val="none" w:sz="0" w:space="0" w:color="auto"/>
      </w:divBdr>
    </w:div>
    <w:div w:id="174728456">
      <w:bodyDiv w:val="1"/>
      <w:marLeft w:val="0"/>
      <w:marRight w:val="0"/>
      <w:marTop w:val="0"/>
      <w:marBottom w:val="0"/>
      <w:divBdr>
        <w:top w:val="none" w:sz="0" w:space="0" w:color="auto"/>
        <w:left w:val="none" w:sz="0" w:space="0" w:color="auto"/>
        <w:bottom w:val="none" w:sz="0" w:space="0" w:color="auto"/>
        <w:right w:val="none" w:sz="0" w:space="0" w:color="auto"/>
      </w:divBdr>
    </w:div>
    <w:div w:id="174806866">
      <w:bodyDiv w:val="1"/>
      <w:marLeft w:val="0"/>
      <w:marRight w:val="0"/>
      <w:marTop w:val="0"/>
      <w:marBottom w:val="0"/>
      <w:divBdr>
        <w:top w:val="none" w:sz="0" w:space="0" w:color="auto"/>
        <w:left w:val="none" w:sz="0" w:space="0" w:color="auto"/>
        <w:bottom w:val="none" w:sz="0" w:space="0" w:color="auto"/>
        <w:right w:val="none" w:sz="0" w:space="0" w:color="auto"/>
      </w:divBdr>
    </w:div>
    <w:div w:id="174930559">
      <w:bodyDiv w:val="1"/>
      <w:marLeft w:val="0"/>
      <w:marRight w:val="0"/>
      <w:marTop w:val="0"/>
      <w:marBottom w:val="0"/>
      <w:divBdr>
        <w:top w:val="none" w:sz="0" w:space="0" w:color="auto"/>
        <w:left w:val="none" w:sz="0" w:space="0" w:color="auto"/>
        <w:bottom w:val="none" w:sz="0" w:space="0" w:color="auto"/>
        <w:right w:val="none" w:sz="0" w:space="0" w:color="auto"/>
      </w:divBdr>
    </w:div>
    <w:div w:id="174999822">
      <w:bodyDiv w:val="1"/>
      <w:marLeft w:val="0"/>
      <w:marRight w:val="0"/>
      <w:marTop w:val="0"/>
      <w:marBottom w:val="0"/>
      <w:divBdr>
        <w:top w:val="none" w:sz="0" w:space="0" w:color="auto"/>
        <w:left w:val="none" w:sz="0" w:space="0" w:color="auto"/>
        <w:bottom w:val="none" w:sz="0" w:space="0" w:color="auto"/>
        <w:right w:val="none" w:sz="0" w:space="0" w:color="auto"/>
      </w:divBdr>
    </w:div>
    <w:div w:id="175076090">
      <w:bodyDiv w:val="1"/>
      <w:marLeft w:val="0"/>
      <w:marRight w:val="0"/>
      <w:marTop w:val="0"/>
      <w:marBottom w:val="0"/>
      <w:divBdr>
        <w:top w:val="none" w:sz="0" w:space="0" w:color="auto"/>
        <w:left w:val="none" w:sz="0" w:space="0" w:color="auto"/>
        <w:bottom w:val="none" w:sz="0" w:space="0" w:color="auto"/>
        <w:right w:val="none" w:sz="0" w:space="0" w:color="auto"/>
      </w:divBdr>
    </w:div>
    <w:div w:id="175268277">
      <w:bodyDiv w:val="1"/>
      <w:marLeft w:val="0"/>
      <w:marRight w:val="0"/>
      <w:marTop w:val="0"/>
      <w:marBottom w:val="0"/>
      <w:divBdr>
        <w:top w:val="none" w:sz="0" w:space="0" w:color="auto"/>
        <w:left w:val="none" w:sz="0" w:space="0" w:color="auto"/>
        <w:bottom w:val="none" w:sz="0" w:space="0" w:color="auto"/>
        <w:right w:val="none" w:sz="0" w:space="0" w:color="auto"/>
      </w:divBdr>
    </w:div>
    <w:div w:id="175315896">
      <w:bodyDiv w:val="1"/>
      <w:marLeft w:val="0"/>
      <w:marRight w:val="0"/>
      <w:marTop w:val="0"/>
      <w:marBottom w:val="0"/>
      <w:divBdr>
        <w:top w:val="none" w:sz="0" w:space="0" w:color="auto"/>
        <w:left w:val="none" w:sz="0" w:space="0" w:color="auto"/>
        <w:bottom w:val="none" w:sz="0" w:space="0" w:color="auto"/>
        <w:right w:val="none" w:sz="0" w:space="0" w:color="auto"/>
      </w:divBdr>
    </w:div>
    <w:div w:id="175462159">
      <w:bodyDiv w:val="1"/>
      <w:marLeft w:val="0"/>
      <w:marRight w:val="0"/>
      <w:marTop w:val="0"/>
      <w:marBottom w:val="0"/>
      <w:divBdr>
        <w:top w:val="none" w:sz="0" w:space="0" w:color="auto"/>
        <w:left w:val="none" w:sz="0" w:space="0" w:color="auto"/>
        <w:bottom w:val="none" w:sz="0" w:space="0" w:color="auto"/>
        <w:right w:val="none" w:sz="0" w:space="0" w:color="auto"/>
      </w:divBdr>
    </w:div>
    <w:div w:id="175462425">
      <w:bodyDiv w:val="1"/>
      <w:marLeft w:val="0"/>
      <w:marRight w:val="0"/>
      <w:marTop w:val="0"/>
      <w:marBottom w:val="0"/>
      <w:divBdr>
        <w:top w:val="none" w:sz="0" w:space="0" w:color="auto"/>
        <w:left w:val="none" w:sz="0" w:space="0" w:color="auto"/>
        <w:bottom w:val="none" w:sz="0" w:space="0" w:color="auto"/>
        <w:right w:val="none" w:sz="0" w:space="0" w:color="auto"/>
      </w:divBdr>
    </w:div>
    <w:div w:id="175462452">
      <w:bodyDiv w:val="1"/>
      <w:marLeft w:val="0"/>
      <w:marRight w:val="0"/>
      <w:marTop w:val="0"/>
      <w:marBottom w:val="0"/>
      <w:divBdr>
        <w:top w:val="none" w:sz="0" w:space="0" w:color="auto"/>
        <w:left w:val="none" w:sz="0" w:space="0" w:color="auto"/>
        <w:bottom w:val="none" w:sz="0" w:space="0" w:color="auto"/>
        <w:right w:val="none" w:sz="0" w:space="0" w:color="auto"/>
      </w:divBdr>
    </w:div>
    <w:div w:id="175660809">
      <w:bodyDiv w:val="1"/>
      <w:marLeft w:val="0"/>
      <w:marRight w:val="0"/>
      <w:marTop w:val="0"/>
      <w:marBottom w:val="0"/>
      <w:divBdr>
        <w:top w:val="none" w:sz="0" w:space="0" w:color="auto"/>
        <w:left w:val="none" w:sz="0" w:space="0" w:color="auto"/>
        <w:bottom w:val="none" w:sz="0" w:space="0" w:color="auto"/>
        <w:right w:val="none" w:sz="0" w:space="0" w:color="auto"/>
      </w:divBdr>
    </w:div>
    <w:div w:id="175727337">
      <w:bodyDiv w:val="1"/>
      <w:marLeft w:val="0"/>
      <w:marRight w:val="0"/>
      <w:marTop w:val="0"/>
      <w:marBottom w:val="0"/>
      <w:divBdr>
        <w:top w:val="none" w:sz="0" w:space="0" w:color="auto"/>
        <w:left w:val="none" w:sz="0" w:space="0" w:color="auto"/>
        <w:bottom w:val="none" w:sz="0" w:space="0" w:color="auto"/>
        <w:right w:val="none" w:sz="0" w:space="0" w:color="auto"/>
      </w:divBdr>
    </w:div>
    <w:div w:id="175770707">
      <w:bodyDiv w:val="1"/>
      <w:marLeft w:val="0"/>
      <w:marRight w:val="0"/>
      <w:marTop w:val="0"/>
      <w:marBottom w:val="0"/>
      <w:divBdr>
        <w:top w:val="none" w:sz="0" w:space="0" w:color="auto"/>
        <w:left w:val="none" w:sz="0" w:space="0" w:color="auto"/>
        <w:bottom w:val="none" w:sz="0" w:space="0" w:color="auto"/>
        <w:right w:val="none" w:sz="0" w:space="0" w:color="auto"/>
      </w:divBdr>
    </w:div>
    <w:div w:id="175775942">
      <w:bodyDiv w:val="1"/>
      <w:marLeft w:val="0"/>
      <w:marRight w:val="0"/>
      <w:marTop w:val="0"/>
      <w:marBottom w:val="0"/>
      <w:divBdr>
        <w:top w:val="none" w:sz="0" w:space="0" w:color="auto"/>
        <w:left w:val="none" w:sz="0" w:space="0" w:color="auto"/>
        <w:bottom w:val="none" w:sz="0" w:space="0" w:color="auto"/>
        <w:right w:val="none" w:sz="0" w:space="0" w:color="auto"/>
      </w:divBdr>
    </w:div>
    <w:div w:id="175850725">
      <w:bodyDiv w:val="1"/>
      <w:marLeft w:val="0"/>
      <w:marRight w:val="0"/>
      <w:marTop w:val="0"/>
      <w:marBottom w:val="0"/>
      <w:divBdr>
        <w:top w:val="none" w:sz="0" w:space="0" w:color="auto"/>
        <w:left w:val="none" w:sz="0" w:space="0" w:color="auto"/>
        <w:bottom w:val="none" w:sz="0" w:space="0" w:color="auto"/>
        <w:right w:val="none" w:sz="0" w:space="0" w:color="auto"/>
      </w:divBdr>
    </w:div>
    <w:div w:id="175852627">
      <w:bodyDiv w:val="1"/>
      <w:marLeft w:val="0"/>
      <w:marRight w:val="0"/>
      <w:marTop w:val="0"/>
      <w:marBottom w:val="0"/>
      <w:divBdr>
        <w:top w:val="none" w:sz="0" w:space="0" w:color="auto"/>
        <w:left w:val="none" w:sz="0" w:space="0" w:color="auto"/>
        <w:bottom w:val="none" w:sz="0" w:space="0" w:color="auto"/>
        <w:right w:val="none" w:sz="0" w:space="0" w:color="auto"/>
      </w:divBdr>
    </w:div>
    <w:div w:id="175965634">
      <w:bodyDiv w:val="1"/>
      <w:marLeft w:val="0"/>
      <w:marRight w:val="0"/>
      <w:marTop w:val="0"/>
      <w:marBottom w:val="0"/>
      <w:divBdr>
        <w:top w:val="none" w:sz="0" w:space="0" w:color="auto"/>
        <w:left w:val="none" w:sz="0" w:space="0" w:color="auto"/>
        <w:bottom w:val="none" w:sz="0" w:space="0" w:color="auto"/>
        <w:right w:val="none" w:sz="0" w:space="0" w:color="auto"/>
      </w:divBdr>
    </w:div>
    <w:div w:id="175969071">
      <w:bodyDiv w:val="1"/>
      <w:marLeft w:val="0"/>
      <w:marRight w:val="0"/>
      <w:marTop w:val="0"/>
      <w:marBottom w:val="0"/>
      <w:divBdr>
        <w:top w:val="none" w:sz="0" w:space="0" w:color="auto"/>
        <w:left w:val="none" w:sz="0" w:space="0" w:color="auto"/>
        <w:bottom w:val="none" w:sz="0" w:space="0" w:color="auto"/>
        <w:right w:val="none" w:sz="0" w:space="0" w:color="auto"/>
      </w:divBdr>
    </w:div>
    <w:div w:id="175969967">
      <w:bodyDiv w:val="1"/>
      <w:marLeft w:val="0"/>
      <w:marRight w:val="0"/>
      <w:marTop w:val="0"/>
      <w:marBottom w:val="0"/>
      <w:divBdr>
        <w:top w:val="none" w:sz="0" w:space="0" w:color="auto"/>
        <w:left w:val="none" w:sz="0" w:space="0" w:color="auto"/>
        <w:bottom w:val="none" w:sz="0" w:space="0" w:color="auto"/>
        <w:right w:val="none" w:sz="0" w:space="0" w:color="auto"/>
      </w:divBdr>
    </w:div>
    <w:div w:id="176117385">
      <w:bodyDiv w:val="1"/>
      <w:marLeft w:val="0"/>
      <w:marRight w:val="0"/>
      <w:marTop w:val="0"/>
      <w:marBottom w:val="0"/>
      <w:divBdr>
        <w:top w:val="none" w:sz="0" w:space="0" w:color="auto"/>
        <w:left w:val="none" w:sz="0" w:space="0" w:color="auto"/>
        <w:bottom w:val="none" w:sz="0" w:space="0" w:color="auto"/>
        <w:right w:val="none" w:sz="0" w:space="0" w:color="auto"/>
      </w:divBdr>
    </w:div>
    <w:div w:id="176238516">
      <w:bodyDiv w:val="1"/>
      <w:marLeft w:val="0"/>
      <w:marRight w:val="0"/>
      <w:marTop w:val="0"/>
      <w:marBottom w:val="0"/>
      <w:divBdr>
        <w:top w:val="none" w:sz="0" w:space="0" w:color="auto"/>
        <w:left w:val="none" w:sz="0" w:space="0" w:color="auto"/>
        <w:bottom w:val="none" w:sz="0" w:space="0" w:color="auto"/>
        <w:right w:val="none" w:sz="0" w:space="0" w:color="auto"/>
      </w:divBdr>
    </w:div>
    <w:div w:id="176383450">
      <w:bodyDiv w:val="1"/>
      <w:marLeft w:val="0"/>
      <w:marRight w:val="0"/>
      <w:marTop w:val="0"/>
      <w:marBottom w:val="0"/>
      <w:divBdr>
        <w:top w:val="none" w:sz="0" w:space="0" w:color="auto"/>
        <w:left w:val="none" w:sz="0" w:space="0" w:color="auto"/>
        <w:bottom w:val="none" w:sz="0" w:space="0" w:color="auto"/>
        <w:right w:val="none" w:sz="0" w:space="0" w:color="auto"/>
      </w:divBdr>
    </w:div>
    <w:div w:id="176387783">
      <w:bodyDiv w:val="1"/>
      <w:marLeft w:val="0"/>
      <w:marRight w:val="0"/>
      <w:marTop w:val="0"/>
      <w:marBottom w:val="0"/>
      <w:divBdr>
        <w:top w:val="none" w:sz="0" w:space="0" w:color="auto"/>
        <w:left w:val="none" w:sz="0" w:space="0" w:color="auto"/>
        <w:bottom w:val="none" w:sz="0" w:space="0" w:color="auto"/>
        <w:right w:val="none" w:sz="0" w:space="0" w:color="auto"/>
      </w:divBdr>
    </w:div>
    <w:div w:id="176389404">
      <w:bodyDiv w:val="1"/>
      <w:marLeft w:val="0"/>
      <w:marRight w:val="0"/>
      <w:marTop w:val="0"/>
      <w:marBottom w:val="0"/>
      <w:divBdr>
        <w:top w:val="none" w:sz="0" w:space="0" w:color="auto"/>
        <w:left w:val="none" w:sz="0" w:space="0" w:color="auto"/>
        <w:bottom w:val="none" w:sz="0" w:space="0" w:color="auto"/>
        <w:right w:val="none" w:sz="0" w:space="0" w:color="auto"/>
      </w:divBdr>
    </w:div>
    <w:div w:id="176426386">
      <w:bodyDiv w:val="1"/>
      <w:marLeft w:val="0"/>
      <w:marRight w:val="0"/>
      <w:marTop w:val="0"/>
      <w:marBottom w:val="0"/>
      <w:divBdr>
        <w:top w:val="none" w:sz="0" w:space="0" w:color="auto"/>
        <w:left w:val="none" w:sz="0" w:space="0" w:color="auto"/>
        <w:bottom w:val="none" w:sz="0" w:space="0" w:color="auto"/>
        <w:right w:val="none" w:sz="0" w:space="0" w:color="auto"/>
      </w:divBdr>
    </w:div>
    <w:div w:id="176576375">
      <w:bodyDiv w:val="1"/>
      <w:marLeft w:val="0"/>
      <w:marRight w:val="0"/>
      <w:marTop w:val="0"/>
      <w:marBottom w:val="0"/>
      <w:divBdr>
        <w:top w:val="none" w:sz="0" w:space="0" w:color="auto"/>
        <w:left w:val="none" w:sz="0" w:space="0" w:color="auto"/>
        <w:bottom w:val="none" w:sz="0" w:space="0" w:color="auto"/>
        <w:right w:val="none" w:sz="0" w:space="0" w:color="auto"/>
      </w:divBdr>
    </w:div>
    <w:div w:id="176580889">
      <w:bodyDiv w:val="1"/>
      <w:marLeft w:val="0"/>
      <w:marRight w:val="0"/>
      <w:marTop w:val="0"/>
      <w:marBottom w:val="0"/>
      <w:divBdr>
        <w:top w:val="none" w:sz="0" w:space="0" w:color="auto"/>
        <w:left w:val="none" w:sz="0" w:space="0" w:color="auto"/>
        <w:bottom w:val="none" w:sz="0" w:space="0" w:color="auto"/>
        <w:right w:val="none" w:sz="0" w:space="0" w:color="auto"/>
      </w:divBdr>
    </w:div>
    <w:div w:id="176702556">
      <w:bodyDiv w:val="1"/>
      <w:marLeft w:val="0"/>
      <w:marRight w:val="0"/>
      <w:marTop w:val="0"/>
      <w:marBottom w:val="0"/>
      <w:divBdr>
        <w:top w:val="none" w:sz="0" w:space="0" w:color="auto"/>
        <w:left w:val="none" w:sz="0" w:space="0" w:color="auto"/>
        <w:bottom w:val="none" w:sz="0" w:space="0" w:color="auto"/>
        <w:right w:val="none" w:sz="0" w:space="0" w:color="auto"/>
      </w:divBdr>
    </w:div>
    <w:div w:id="176702732">
      <w:bodyDiv w:val="1"/>
      <w:marLeft w:val="0"/>
      <w:marRight w:val="0"/>
      <w:marTop w:val="0"/>
      <w:marBottom w:val="0"/>
      <w:divBdr>
        <w:top w:val="none" w:sz="0" w:space="0" w:color="auto"/>
        <w:left w:val="none" w:sz="0" w:space="0" w:color="auto"/>
        <w:bottom w:val="none" w:sz="0" w:space="0" w:color="auto"/>
        <w:right w:val="none" w:sz="0" w:space="0" w:color="auto"/>
      </w:divBdr>
    </w:div>
    <w:div w:id="176819321">
      <w:bodyDiv w:val="1"/>
      <w:marLeft w:val="0"/>
      <w:marRight w:val="0"/>
      <w:marTop w:val="0"/>
      <w:marBottom w:val="0"/>
      <w:divBdr>
        <w:top w:val="none" w:sz="0" w:space="0" w:color="auto"/>
        <w:left w:val="none" w:sz="0" w:space="0" w:color="auto"/>
        <w:bottom w:val="none" w:sz="0" w:space="0" w:color="auto"/>
        <w:right w:val="none" w:sz="0" w:space="0" w:color="auto"/>
      </w:divBdr>
    </w:div>
    <w:div w:id="176966237">
      <w:bodyDiv w:val="1"/>
      <w:marLeft w:val="0"/>
      <w:marRight w:val="0"/>
      <w:marTop w:val="0"/>
      <w:marBottom w:val="0"/>
      <w:divBdr>
        <w:top w:val="none" w:sz="0" w:space="0" w:color="auto"/>
        <w:left w:val="none" w:sz="0" w:space="0" w:color="auto"/>
        <w:bottom w:val="none" w:sz="0" w:space="0" w:color="auto"/>
        <w:right w:val="none" w:sz="0" w:space="0" w:color="auto"/>
      </w:divBdr>
    </w:div>
    <w:div w:id="176967135">
      <w:bodyDiv w:val="1"/>
      <w:marLeft w:val="0"/>
      <w:marRight w:val="0"/>
      <w:marTop w:val="0"/>
      <w:marBottom w:val="0"/>
      <w:divBdr>
        <w:top w:val="none" w:sz="0" w:space="0" w:color="auto"/>
        <w:left w:val="none" w:sz="0" w:space="0" w:color="auto"/>
        <w:bottom w:val="none" w:sz="0" w:space="0" w:color="auto"/>
        <w:right w:val="none" w:sz="0" w:space="0" w:color="auto"/>
      </w:divBdr>
    </w:div>
    <w:div w:id="176968961">
      <w:bodyDiv w:val="1"/>
      <w:marLeft w:val="0"/>
      <w:marRight w:val="0"/>
      <w:marTop w:val="0"/>
      <w:marBottom w:val="0"/>
      <w:divBdr>
        <w:top w:val="none" w:sz="0" w:space="0" w:color="auto"/>
        <w:left w:val="none" w:sz="0" w:space="0" w:color="auto"/>
        <w:bottom w:val="none" w:sz="0" w:space="0" w:color="auto"/>
        <w:right w:val="none" w:sz="0" w:space="0" w:color="auto"/>
      </w:divBdr>
    </w:div>
    <w:div w:id="177014091">
      <w:bodyDiv w:val="1"/>
      <w:marLeft w:val="0"/>
      <w:marRight w:val="0"/>
      <w:marTop w:val="0"/>
      <w:marBottom w:val="0"/>
      <w:divBdr>
        <w:top w:val="none" w:sz="0" w:space="0" w:color="auto"/>
        <w:left w:val="none" w:sz="0" w:space="0" w:color="auto"/>
        <w:bottom w:val="none" w:sz="0" w:space="0" w:color="auto"/>
        <w:right w:val="none" w:sz="0" w:space="0" w:color="auto"/>
      </w:divBdr>
    </w:div>
    <w:div w:id="177041979">
      <w:bodyDiv w:val="1"/>
      <w:marLeft w:val="0"/>
      <w:marRight w:val="0"/>
      <w:marTop w:val="0"/>
      <w:marBottom w:val="0"/>
      <w:divBdr>
        <w:top w:val="none" w:sz="0" w:space="0" w:color="auto"/>
        <w:left w:val="none" w:sz="0" w:space="0" w:color="auto"/>
        <w:bottom w:val="none" w:sz="0" w:space="0" w:color="auto"/>
        <w:right w:val="none" w:sz="0" w:space="0" w:color="auto"/>
      </w:divBdr>
    </w:div>
    <w:div w:id="177086270">
      <w:bodyDiv w:val="1"/>
      <w:marLeft w:val="0"/>
      <w:marRight w:val="0"/>
      <w:marTop w:val="0"/>
      <w:marBottom w:val="0"/>
      <w:divBdr>
        <w:top w:val="none" w:sz="0" w:space="0" w:color="auto"/>
        <w:left w:val="none" w:sz="0" w:space="0" w:color="auto"/>
        <w:bottom w:val="none" w:sz="0" w:space="0" w:color="auto"/>
        <w:right w:val="none" w:sz="0" w:space="0" w:color="auto"/>
      </w:divBdr>
    </w:div>
    <w:div w:id="177087956">
      <w:bodyDiv w:val="1"/>
      <w:marLeft w:val="0"/>
      <w:marRight w:val="0"/>
      <w:marTop w:val="0"/>
      <w:marBottom w:val="0"/>
      <w:divBdr>
        <w:top w:val="none" w:sz="0" w:space="0" w:color="auto"/>
        <w:left w:val="none" w:sz="0" w:space="0" w:color="auto"/>
        <w:bottom w:val="none" w:sz="0" w:space="0" w:color="auto"/>
        <w:right w:val="none" w:sz="0" w:space="0" w:color="auto"/>
      </w:divBdr>
    </w:div>
    <w:div w:id="177088033">
      <w:bodyDiv w:val="1"/>
      <w:marLeft w:val="0"/>
      <w:marRight w:val="0"/>
      <w:marTop w:val="0"/>
      <w:marBottom w:val="0"/>
      <w:divBdr>
        <w:top w:val="none" w:sz="0" w:space="0" w:color="auto"/>
        <w:left w:val="none" w:sz="0" w:space="0" w:color="auto"/>
        <w:bottom w:val="none" w:sz="0" w:space="0" w:color="auto"/>
        <w:right w:val="none" w:sz="0" w:space="0" w:color="auto"/>
      </w:divBdr>
    </w:div>
    <w:div w:id="177156922">
      <w:bodyDiv w:val="1"/>
      <w:marLeft w:val="0"/>
      <w:marRight w:val="0"/>
      <w:marTop w:val="0"/>
      <w:marBottom w:val="0"/>
      <w:divBdr>
        <w:top w:val="none" w:sz="0" w:space="0" w:color="auto"/>
        <w:left w:val="none" w:sz="0" w:space="0" w:color="auto"/>
        <w:bottom w:val="none" w:sz="0" w:space="0" w:color="auto"/>
        <w:right w:val="none" w:sz="0" w:space="0" w:color="auto"/>
      </w:divBdr>
    </w:div>
    <w:div w:id="177160044">
      <w:bodyDiv w:val="1"/>
      <w:marLeft w:val="0"/>
      <w:marRight w:val="0"/>
      <w:marTop w:val="0"/>
      <w:marBottom w:val="0"/>
      <w:divBdr>
        <w:top w:val="none" w:sz="0" w:space="0" w:color="auto"/>
        <w:left w:val="none" w:sz="0" w:space="0" w:color="auto"/>
        <w:bottom w:val="none" w:sz="0" w:space="0" w:color="auto"/>
        <w:right w:val="none" w:sz="0" w:space="0" w:color="auto"/>
      </w:divBdr>
    </w:div>
    <w:div w:id="177237672">
      <w:bodyDiv w:val="1"/>
      <w:marLeft w:val="0"/>
      <w:marRight w:val="0"/>
      <w:marTop w:val="0"/>
      <w:marBottom w:val="0"/>
      <w:divBdr>
        <w:top w:val="none" w:sz="0" w:space="0" w:color="auto"/>
        <w:left w:val="none" w:sz="0" w:space="0" w:color="auto"/>
        <w:bottom w:val="none" w:sz="0" w:space="0" w:color="auto"/>
        <w:right w:val="none" w:sz="0" w:space="0" w:color="auto"/>
      </w:divBdr>
    </w:div>
    <w:div w:id="177307599">
      <w:bodyDiv w:val="1"/>
      <w:marLeft w:val="0"/>
      <w:marRight w:val="0"/>
      <w:marTop w:val="0"/>
      <w:marBottom w:val="0"/>
      <w:divBdr>
        <w:top w:val="none" w:sz="0" w:space="0" w:color="auto"/>
        <w:left w:val="none" w:sz="0" w:space="0" w:color="auto"/>
        <w:bottom w:val="none" w:sz="0" w:space="0" w:color="auto"/>
        <w:right w:val="none" w:sz="0" w:space="0" w:color="auto"/>
      </w:divBdr>
    </w:div>
    <w:div w:id="177544324">
      <w:bodyDiv w:val="1"/>
      <w:marLeft w:val="0"/>
      <w:marRight w:val="0"/>
      <w:marTop w:val="0"/>
      <w:marBottom w:val="0"/>
      <w:divBdr>
        <w:top w:val="none" w:sz="0" w:space="0" w:color="auto"/>
        <w:left w:val="none" w:sz="0" w:space="0" w:color="auto"/>
        <w:bottom w:val="none" w:sz="0" w:space="0" w:color="auto"/>
        <w:right w:val="none" w:sz="0" w:space="0" w:color="auto"/>
      </w:divBdr>
    </w:div>
    <w:div w:id="177618113">
      <w:bodyDiv w:val="1"/>
      <w:marLeft w:val="0"/>
      <w:marRight w:val="0"/>
      <w:marTop w:val="0"/>
      <w:marBottom w:val="0"/>
      <w:divBdr>
        <w:top w:val="none" w:sz="0" w:space="0" w:color="auto"/>
        <w:left w:val="none" w:sz="0" w:space="0" w:color="auto"/>
        <w:bottom w:val="none" w:sz="0" w:space="0" w:color="auto"/>
        <w:right w:val="none" w:sz="0" w:space="0" w:color="auto"/>
      </w:divBdr>
    </w:div>
    <w:div w:id="177622697">
      <w:bodyDiv w:val="1"/>
      <w:marLeft w:val="0"/>
      <w:marRight w:val="0"/>
      <w:marTop w:val="0"/>
      <w:marBottom w:val="0"/>
      <w:divBdr>
        <w:top w:val="none" w:sz="0" w:space="0" w:color="auto"/>
        <w:left w:val="none" w:sz="0" w:space="0" w:color="auto"/>
        <w:bottom w:val="none" w:sz="0" w:space="0" w:color="auto"/>
        <w:right w:val="none" w:sz="0" w:space="0" w:color="auto"/>
      </w:divBdr>
    </w:div>
    <w:div w:id="177624904">
      <w:bodyDiv w:val="1"/>
      <w:marLeft w:val="0"/>
      <w:marRight w:val="0"/>
      <w:marTop w:val="0"/>
      <w:marBottom w:val="0"/>
      <w:divBdr>
        <w:top w:val="none" w:sz="0" w:space="0" w:color="auto"/>
        <w:left w:val="none" w:sz="0" w:space="0" w:color="auto"/>
        <w:bottom w:val="none" w:sz="0" w:space="0" w:color="auto"/>
        <w:right w:val="none" w:sz="0" w:space="0" w:color="auto"/>
      </w:divBdr>
    </w:div>
    <w:div w:id="177626221">
      <w:bodyDiv w:val="1"/>
      <w:marLeft w:val="0"/>
      <w:marRight w:val="0"/>
      <w:marTop w:val="0"/>
      <w:marBottom w:val="0"/>
      <w:divBdr>
        <w:top w:val="none" w:sz="0" w:space="0" w:color="auto"/>
        <w:left w:val="none" w:sz="0" w:space="0" w:color="auto"/>
        <w:bottom w:val="none" w:sz="0" w:space="0" w:color="auto"/>
        <w:right w:val="none" w:sz="0" w:space="0" w:color="auto"/>
      </w:divBdr>
    </w:div>
    <w:div w:id="177818270">
      <w:bodyDiv w:val="1"/>
      <w:marLeft w:val="0"/>
      <w:marRight w:val="0"/>
      <w:marTop w:val="0"/>
      <w:marBottom w:val="0"/>
      <w:divBdr>
        <w:top w:val="none" w:sz="0" w:space="0" w:color="auto"/>
        <w:left w:val="none" w:sz="0" w:space="0" w:color="auto"/>
        <w:bottom w:val="none" w:sz="0" w:space="0" w:color="auto"/>
        <w:right w:val="none" w:sz="0" w:space="0" w:color="auto"/>
      </w:divBdr>
    </w:div>
    <w:div w:id="177818729">
      <w:bodyDiv w:val="1"/>
      <w:marLeft w:val="0"/>
      <w:marRight w:val="0"/>
      <w:marTop w:val="0"/>
      <w:marBottom w:val="0"/>
      <w:divBdr>
        <w:top w:val="none" w:sz="0" w:space="0" w:color="auto"/>
        <w:left w:val="none" w:sz="0" w:space="0" w:color="auto"/>
        <w:bottom w:val="none" w:sz="0" w:space="0" w:color="auto"/>
        <w:right w:val="none" w:sz="0" w:space="0" w:color="auto"/>
      </w:divBdr>
    </w:div>
    <w:div w:id="177893450">
      <w:bodyDiv w:val="1"/>
      <w:marLeft w:val="0"/>
      <w:marRight w:val="0"/>
      <w:marTop w:val="0"/>
      <w:marBottom w:val="0"/>
      <w:divBdr>
        <w:top w:val="none" w:sz="0" w:space="0" w:color="auto"/>
        <w:left w:val="none" w:sz="0" w:space="0" w:color="auto"/>
        <w:bottom w:val="none" w:sz="0" w:space="0" w:color="auto"/>
        <w:right w:val="none" w:sz="0" w:space="0" w:color="auto"/>
      </w:divBdr>
    </w:div>
    <w:div w:id="178004795">
      <w:bodyDiv w:val="1"/>
      <w:marLeft w:val="0"/>
      <w:marRight w:val="0"/>
      <w:marTop w:val="0"/>
      <w:marBottom w:val="0"/>
      <w:divBdr>
        <w:top w:val="none" w:sz="0" w:space="0" w:color="auto"/>
        <w:left w:val="none" w:sz="0" w:space="0" w:color="auto"/>
        <w:bottom w:val="none" w:sz="0" w:space="0" w:color="auto"/>
        <w:right w:val="none" w:sz="0" w:space="0" w:color="auto"/>
      </w:divBdr>
    </w:div>
    <w:div w:id="178087291">
      <w:bodyDiv w:val="1"/>
      <w:marLeft w:val="0"/>
      <w:marRight w:val="0"/>
      <w:marTop w:val="0"/>
      <w:marBottom w:val="0"/>
      <w:divBdr>
        <w:top w:val="none" w:sz="0" w:space="0" w:color="auto"/>
        <w:left w:val="none" w:sz="0" w:space="0" w:color="auto"/>
        <w:bottom w:val="none" w:sz="0" w:space="0" w:color="auto"/>
        <w:right w:val="none" w:sz="0" w:space="0" w:color="auto"/>
      </w:divBdr>
    </w:div>
    <w:div w:id="178158953">
      <w:bodyDiv w:val="1"/>
      <w:marLeft w:val="0"/>
      <w:marRight w:val="0"/>
      <w:marTop w:val="0"/>
      <w:marBottom w:val="0"/>
      <w:divBdr>
        <w:top w:val="none" w:sz="0" w:space="0" w:color="auto"/>
        <w:left w:val="none" w:sz="0" w:space="0" w:color="auto"/>
        <w:bottom w:val="none" w:sz="0" w:space="0" w:color="auto"/>
        <w:right w:val="none" w:sz="0" w:space="0" w:color="auto"/>
      </w:divBdr>
    </w:div>
    <w:div w:id="178203057">
      <w:bodyDiv w:val="1"/>
      <w:marLeft w:val="0"/>
      <w:marRight w:val="0"/>
      <w:marTop w:val="0"/>
      <w:marBottom w:val="0"/>
      <w:divBdr>
        <w:top w:val="none" w:sz="0" w:space="0" w:color="auto"/>
        <w:left w:val="none" w:sz="0" w:space="0" w:color="auto"/>
        <w:bottom w:val="none" w:sz="0" w:space="0" w:color="auto"/>
        <w:right w:val="none" w:sz="0" w:space="0" w:color="auto"/>
      </w:divBdr>
    </w:div>
    <w:div w:id="178203373">
      <w:bodyDiv w:val="1"/>
      <w:marLeft w:val="0"/>
      <w:marRight w:val="0"/>
      <w:marTop w:val="0"/>
      <w:marBottom w:val="0"/>
      <w:divBdr>
        <w:top w:val="none" w:sz="0" w:space="0" w:color="auto"/>
        <w:left w:val="none" w:sz="0" w:space="0" w:color="auto"/>
        <w:bottom w:val="none" w:sz="0" w:space="0" w:color="auto"/>
        <w:right w:val="none" w:sz="0" w:space="0" w:color="auto"/>
      </w:divBdr>
    </w:div>
    <w:div w:id="178399483">
      <w:bodyDiv w:val="1"/>
      <w:marLeft w:val="0"/>
      <w:marRight w:val="0"/>
      <w:marTop w:val="0"/>
      <w:marBottom w:val="0"/>
      <w:divBdr>
        <w:top w:val="none" w:sz="0" w:space="0" w:color="auto"/>
        <w:left w:val="none" w:sz="0" w:space="0" w:color="auto"/>
        <w:bottom w:val="none" w:sz="0" w:space="0" w:color="auto"/>
        <w:right w:val="none" w:sz="0" w:space="0" w:color="auto"/>
      </w:divBdr>
    </w:div>
    <w:div w:id="178468402">
      <w:bodyDiv w:val="1"/>
      <w:marLeft w:val="0"/>
      <w:marRight w:val="0"/>
      <w:marTop w:val="0"/>
      <w:marBottom w:val="0"/>
      <w:divBdr>
        <w:top w:val="none" w:sz="0" w:space="0" w:color="auto"/>
        <w:left w:val="none" w:sz="0" w:space="0" w:color="auto"/>
        <w:bottom w:val="none" w:sz="0" w:space="0" w:color="auto"/>
        <w:right w:val="none" w:sz="0" w:space="0" w:color="auto"/>
      </w:divBdr>
    </w:div>
    <w:div w:id="178470623">
      <w:bodyDiv w:val="1"/>
      <w:marLeft w:val="0"/>
      <w:marRight w:val="0"/>
      <w:marTop w:val="0"/>
      <w:marBottom w:val="0"/>
      <w:divBdr>
        <w:top w:val="none" w:sz="0" w:space="0" w:color="auto"/>
        <w:left w:val="none" w:sz="0" w:space="0" w:color="auto"/>
        <w:bottom w:val="none" w:sz="0" w:space="0" w:color="auto"/>
        <w:right w:val="none" w:sz="0" w:space="0" w:color="auto"/>
      </w:divBdr>
    </w:div>
    <w:div w:id="178589397">
      <w:bodyDiv w:val="1"/>
      <w:marLeft w:val="0"/>
      <w:marRight w:val="0"/>
      <w:marTop w:val="0"/>
      <w:marBottom w:val="0"/>
      <w:divBdr>
        <w:top w:val="none" w:sz="0" w:space="0" w:color="auto"/>
        <w:left w:val="none" w:sz="0" w:space="0" w:color="auto"/>
        <w:bottom w:val="none" w:sz="0" w:space="0" w:color="auto"/>
        <w:right w:val="none" w:sz="0" w:space="0" w:color="auto"/>
      </w:divBdr>
    </w:div>
    <w:div w:id="178589993">
      <w:bodyDiv w:val="1"/>
      <w:marLeft w:val="0"/>
      <w:marRight w:val="0"/>
      <w:marTop w:val="0"/>
      <w:marBottom w:val="0"/>
      <w:divBdr>
        <w:top w:val="none" w:sz="0" w:space="0" w:color="auto"/>
        <w:left w:val="none" w:sz="0" w:space="0" w:color="auto"/>
        <w:bottom w:val="none" w:sz="0" w:space="0" w:color="auto"/>
        <w:right w:val="none" w:sz="0" w:space="0" w:color="auto"/>
      </w:divBdr>
    </w:div>
    <w:div w:id="178593733">
      <w:bodyDiv w:val="1"/>
      <w:marLeft w:val="0"/>
      <w:marRight w:val="0"/>
      <w:marTop w:val="0"/>
      <w:marBottom w:val="0"/>
      <w:divBdr>
        <w:top w:val="none" w:sz="0" w:space="0" w:color="auto"/>
        <w:left w:val="none" w:sz="0" w:space="0" w:color="auto"/>
        <w:bottom w:val="none" w:sz="0" w:space="0" w:color="auto"/>
        <w:right w:val="none" w:sz="0" w:space="0" w:color="auto"/>
      </w:divBdr>
    </w:div>
    <w:div w:id="178740935">
      <w:bodyDiv w:val="1"/>
      <w:marLeft w:val="0"/>
      <w:marRight w:val="0"/>
      <w:marTop w:val="0"/>
      <w:marBottom w:val="0"/>
      <w:divBdr>
        <w:top w:val="none" w:sz="0" w:space="0" w:color="auto"/>
        <w:left w:val="none" w:sz="0" w:space="0" w:color="auto"/>
        <w:bottom w:val="none" w:sz="0" w:space="0" w:color="auto"/>
        <w:right w:val="none" w:sz="0" w:space="0" w:color="auto"/>
      </w:divBdr>
    </w:div>
    <w:div w:id="178742547">
      <w:bodyDiv w:val="1"/>
      <w:marLeft w:val="0"/>
      <w:marRight w:val="0"/>
      <w:marTop w:val="0"/>
      <w:marBottom w:val="0"/>
      <w:divBdr>
        <w:top w:val="none" w:sz="0" w:space="0" w:color="auto"/>
        <w:left w:val="none" w:sz="0" w:space="0" w:color="auto"/>
        <w:bottom w:val="none" w:sz="0" w:space="0" w:color="auto"/>
        <w:right w:val="none" w:sz="0" w:space="0" w:color="auto"/>
      </w:divBdr>
    </w:div>
    <w:div w:id="178930251">
      <w:bodyDiv w:val="1"/>
      <w:marLeft w:val="0"/>
      <w:marRight w:val="0"/>
      <w:marTop w:val="0"/>
      <w:marBottom w:val="0"/>
      <w:divBdr>
        <w:top w:val="none" w:sz="0" w:space="0" w:color="auto"/>
        <w:left w:val="none" w:sz="0" w:space="0" w:color="auto"/>
        <w:bottom w:val="none" w:sz="0" w:space="0" w:color="auto"/>
        <w:right w:val="none" w:sz="0" w:space="0" w:color="auto"/>
      </w:divBdr>
    </w:div>
    <w:div w:id="178930548">
      <w:bodyDiv w:val="1"/>
      <w:marLeft w:val="0"/>
      <w:marRight w:val="0"/>
      <w:marTop w:val="0"/>
      <w:marBottom w:val="0"/>
      <w:divBdr>
        <w:top w:val="none" w:sz="0" w:space="0" w:color="auto"/>
        <w:left w:val="none" w:sz="0" w:space="0" w:color="auto"/>
        <w:bottom w:val="none" w:sz="0" w:space="0" w:color="auto"/>
        <w:right w:val="none" w:sz="0" w:space="0" w:color="auto"/>
      </w:divBdr>
    </w:div>
    <w:div w:id="178937471">
      <w:bodyDiv w:val="1"/>
      <w:marLeft w:val="0"/>
      <w:marRight w:val="0"/>
      <w:marTop w:val="0"/>
      <w:marBottom w:val="0"/>
      <w:divBdr>
        <w:top w:val="none" w:sz="0" w:space="0" w:color="auto"/>
        <w:left w:val="none" w:sz="0" w:space="0" w:color="auto"/>
        <w:bottom w:val="none" w:sz="0" w:space="0" w:color="auto"/>
        <w:right w:val="none" w:sz="0" w:space="0" w:color="auto"/>
      </w:divBdr>
    </w:div>
    <w:div w:id="179006342">
      <w:bodyDiv w:val="1"/>
      <w:marLeft w:val="0"/>
      <w:marRight w:val="0"/>
      <w:marTop w:val="0"/>
      <w:marBottom w:val="0"/>
      <w:divBdr>
        <w:top w:val="none" w:sz="0" w:space="0" w:color="auto"/>
        <w:left w:val="none" w:sz="0" w:space="0" w:color="auto"/>
        <w:bottom w:val="none" w:sz="0" w:space="0" w:color="auto"/>
        <w:right w:val="none" w:sz="0" w:space="0" w:color="auto"/>
      </w:divBdr>
    </w:div>
    <w:div w:id="179008598">
      <w:bodyDiv w:val="1"/>
      <w:marLeft w:val="0"/>
      <w:marRight w:val="0"/>
      <w:marTop w:val="0"/>
      <w:marBottom w:val="0"/>
      <w:divBdr>
        <w:top w:val="none" w:sz="0" w:space="0" w:color="auto"/>
        <w:left w:val="none" w:sz="0" w:space="0" w:color="auto"/>
        <w:bottom w:val="none" w:sz="0" w:space="0" w:color="auto"/>
        <w:right w:val="none" w:sz="0" w:space="0" w:color="auto"/>
      </w:divBdr>
    </w:div>
    <w:div w:id="179055516">
      <w:bodyDiv w:val="1"/>
      <w:marLeft w:val="0"/>
      <w:marRight w:val="0"/>
      <w:marTop w:val="0"/>
      <w:marBottom w:val="0"/>
      <w:divBdr>
        <w:top w:val="none" w:sz="0" w:space="0" w:color="auto"/>
        <w:left w:val="none" w:sz="0" w:space="0" w:color="auto"/>
        <w:bottom w:val="none" w:sz="0" w:space="0" w:color="auto"/>
        <w:right w:val="none" w:sz="0" w:space="0" w:color="auto"/>
      </w:divBdr>
    </w:div>
    <w:div w:id="179125519">
      <w:bodyDiv w:val="1"/>
      <w:marLeft w:val="0"/>
      <w:marRight w:val="0"/>
      <w:marTop w:val="0"/>
      <w:marBottom w:val="0"/>
      <w:divBdr>
        <w:top w:val="none" w:sz="0" w:space="0" w:color="auto"/>
        <w:left w:val="none" w:sz="0" w:space="0" w:color="auto"/>
        <w:bottom w:val="none" w:sz="0" w:space="0" w:color="auto"/>
        <w:right w:val="none" w:sz="0" w:space="0" w:color="auto"/>
      </w:divBdr>
    </w:div>
    <w:div w:id="179126495">
      <w:bodyDiv w:val="1"/>
      <w:marLeft w:val="0"/>
      <w:marRight w:val="0"/>
      <w:marTop w:val="0"/>
      <w:marBottom w:val="0"/>
      <w:divBdr>
        <w:top w:val="none" w:sz="0" w:space="0" w:color="auto"/>
        <w:left w:val="none" w:sz="0" w:space="0" w:color="auto"/>
        <w:bottom w:val="none" w:sz="0" w:space="0" w:color="auto"/>
        <w:right w:val="none" w:sz="0" w:space="0" w:color="auto"/>
      </w:divBdr>
    </w:div>
    <w:div w:id="179203919">
      <w:bodyDiv w:val="1"/>
      <w:marLeft w:val="0"/>
      <w:marRight w:val="0"/>
      <w:marTop w:val="0"/>
      <w:marBottom w:val="0"/>
      <w:divBdr>
        <w:top w:val="none" w:sz="0" w:space="0" w:color="auto"/>
        <w:left w:val="none" w:sz="0" w:space="0" w:color="auto"/>
        <w:bottom w:val="none" w:sz="0" w:space="0" w:color="auto"/>
        <w:right w:val="none" w:sz="0" w:space="0" w:color="auto"/>
      </w:divBdr>
    </w:div>
    <w:div w:id="179242928">
      <w:bodyDiv w:val="1"/>
      <w:marLeft w:val="0"/>
      <w:marRight w:val="0"/>
      <w:marTop w:val="0"/>
      <w:marBottom w:val="0"/>
      <w:divBdr>
        <w:top w:val="none" w:sz="0" w:space="0" w:color="auto"/>
        <w:left w:val="none" w:sz="0" w:space="0" w:color="auto"/>
        <w:bottom w:val="none" w:sz="0" w:space="0" w:color="auto"/>
        <w:right w:val="none" w:sz="0" w:space="0" w:color="auto"/>
      </w:divBdr>
    </w:div>
    <w:div w:id="179247061">
      <w:bodyDiv w:val="1"/>
      <w:marLeft w:val="0"/>
      <w:marRight w:val="0"/>
      <w:marTop w:val="0"/>
      <w:marBottom w:val="0"/>
      <w:divBdr>
        <w:top w:val="none" w:sz="0" w:space="0" w:color="auto"/>
        <w:left w:val="none" w:sz="0" w:space="0" w:color="auto"/>
        <w:bottom w:val="none" w:sz="0" w:space="0" w:color="auto"/>
        <w:right w:val="none" w:sz="0" w:space="0" w:color="auto"/>
      </w:divBdr>
    </w:div>
    <w:div w:id="179469810">
      <w:bodyDiv w:val="1"/>
      <w:marLeft w:val="0"/>
      <w:marRight w:val="0"/>
      <w:marTop w:val="0"/>
      <w:marBottom w:val="0"/>
      <w:divBdr>
        <w:top w:val="none" w:sz="0" w:space="0" w:color="auto"/>
        <w:left w:val="none" w:sz="0" w:space="0" w:color="auto"/>
        <w:bottom w:val="none" w:sz="0" w:space="0" w:color="auto"/>
        <w:right w:val="none" w:sz="0" w:space="0" w:color="auto"/>
      </w:divBdr>
    </w:div>
    <w:div w:id="179513091">
      <w:bodyDiv w:val="1"/>
      <w:marLeft w:val="0"/>
      <w:marRight w:val="0"/>
      <w:marTop w:val="0"/>
      <w:marBottom w:val="0"/>
      <w:divBdr>
        <w:top w:val="none" w:sz="0" w:space="0" w:color="auto"/>
        <w:left w:val="none" w:sz="0" w:space="0" w:color="auto"/>
        <w:bottom w:val="none" w:sz="0" w:space="0" w:color="auto"/>
        <w:right w:val="none" w:sz="0" w:space="0" w:color="auto"/>
      </w:divBdr>
    </w:div>
    <w:div w:id="179583437">
      <w:bodyDiv w:val="1"/>
      <w:marLeft w:val="0"/>
      <w:marRight w:val="0"/>
      <w:marTop w:val="0"/>
      <w:marBottom w:val="0"/>
      <w:divBdr>
        <w:top w:val="none" w:sz="0" w:space="0" w:color="auto"/>
        <w:left w:val="none" w:sz="0" w:space="0" w:color="auto"/>
        <w:bottom w:val="none" w:sz="0" w:space="0" w:color="auto"/>
        <w:right w:val="none" w:sz="0" w:space="0" w:color="auto"/>
      </w:divBdr>
    </w:div>
    <w:div w:id="179589050">
      <w:bodyDiv w:val="1"/>
      <w:marLeft w:val="0"/>
      <w:marRight w:val="0"/>
      <w:marTop w:val="0"/>
      <w:marBottom w:val="0"/>
      <w:divBdr>
        <w:top w:val="none" w:sz="0" w:space="0" w:color="auto"/>
        <w:left w:val="none" w:sz="0" w:space="0" w:color="auto"/>
        <w:bottom w:val="none" w:sz="0" w:space="0" w:color="auto"/>
        <w:right w:val="none" w:sz="0" w:space="0" w:color="auto"/>
      </w:divBdr>
    </w:div>
    <w:div w:id="179660108">
      <w:bodyDiv w:val="1"/>
      <w:marLeft w:val="0"/>
      <w:marRight w:val="0"/>
      <w:marTop w:val="0"/>
      <w:marBottom w:val="0"/>
      <w:divBdr>
        <w:top w:val="none" w:sz="0" w:space="0" w:color="auto"/>
        <w:left w:val="none" w:sz="0" w:space="0" w:color="auto"/>
        <w:bottom w:val="none" w:sz="0" w:space="0" w:color="auto"/>
        <w:right w:val="none" w:sz="0" w:space="0" w:color="auto"/>
      </w:divBdr>
    </w:div>
    <w:div w:id="179704797">
      <w:bodyDiv w:val="1"/>
      <w:marLeft w:val="0"/>
      <w:marRight w:val="0"/>
      <w:marTop w:val="0"/>
      <w:marBottom w:val="0"/>
      <w:divBdr>
        <w:top w:val="none" w:sz="0" w:space="0" w:color="auto"/>
        <w:left w:val="none" w:sz="0" w:space="0" w:color="auto"/>
        <w:bottom w:val="none" w:sz="0" w:space="0" w:color="auto"/>
        <w:right w:val="none" w:sz="0" w:space="0" w:color="auto"/>
      </w:divBdr>
    </w:div>
    <w:div w:id="179855516">
      <w:bodyDiv w:val="1"/>
      <w:marLeft w:val="0"/>
      <w:marRight w:val="0"/>
      <w:marTop w:val="0"/>
      <w:marBottom w:val="0"/>
      <w:divBdr>
        <w:top w:val="none" w:sz="0" w:space="0" w:color="auto"/>
        <w:left w:val="none" w:sz="0" w:space="0" w:color="auto"/>
        <w:bottom w:val="none" w:sz="0" w:space="0" w:color="auto"/>
        <w:right w:val="none" w:sz="0" w:space="0" w:color="auto"/>
      </w:divBdr>
    </w:div>
    <w:div w:id="179858365">
      <w:bodyDiv w:val="1"/>
      <w:marLeft w:val="0"/>
      <w:marRight w:val="0"/>
      <w:marTop w:val="0"/>
      <w:marBottom w:val="0"/>
      <w:divBdr>
        <w:top w:val="none" w:sz="0" w:space="0" w:color="auto"/>
        <w:left w:val="none" w:sz="0" w:space="0" w:color="auto"/>
        <w:bottom w:val="none" w:sz="0" w:space="0" w:color="auto"/>
        <w:right w:val="none" w:sz="0" w:space="0" w:color="auto"/>
      </w:divBdr>
    </w:div>
    <w:div w:id="179902760">
      <w:bodyDiv w:val="1"/>
      <w:marLeft w:val="0"/>
      <w:marRight w:val="0"/>
      <w:marTop w:val="0"/>
      <w:marBottom w:val="0"/>
      <w:divBdr>
        <w:top w:val="none" w:sz="0" w:space="0" w:color="auto"/>
        <w:left w:val="none" w:sz="0" w:space="0" w:color="auto"/>
        <w:bottom w:val="none" w:sz="0" w:space="0" w:color="auto"/>
        <w:right w:val="none" w:sz="0" w:space="0" w:color="auto"/>
      </w:divBdr>
    </w:div>
    <w:div w:id="179927934">
      <w:bodyDiv w:val="1"/>
      <w:marLeft w:val="0"/>
      <w:marRight w:val="0"/>
      <w:marTop w:val="0"/>
      <w:marBottom w:val="0"/>
      <w:divBdr>
        <w:top w:val="none" w:sz="0" w:space="0" w:color="auto"/>
        <w:left w:val="none" w:sz="0" w:space="0" w:color="auto"/>
        <w:bottom w:val="none" w:sz="0" w:space="0" w:color="auto"/>
        <w:right w:val="none" w:sz="0" w:space="0" w:color="auto"/>
      </w:divBdr>
    </w:div>
    <w:div w:id="179971467">
      <w:bodyDiv w:val="1"/>
      <w:marLeft w:val="0"/>
      <w:marRight w:val="0"/>
      <w:marTop w:val="0"/>
      <w:marBottom w:val="0"/>
      <w:divBdr>
        <w:top w:val="none" w:sz="0" w:space="0" w:color="auto"/>
        <w:left w:val="none" w:sz="0" w:space="0" w:color="auto"/>
        <w:bottom w:val="none" w:sz="0" w:space="0" w:color="auto"/>
        <w:right w:val="none" w:sz="0" w:space="0" w:color="auto"/>
      </w:divBdr>
    </w:div>
    <w:div w:id="180045520">
      <w:bodyDiv w:val="1"/>
      <w:marLeft w:val="0"/>
      <w:marRight w:val="0"/>
      <w:marTop w:val="0"/>
      <w:marBottom w:val="0"/>
      <w:divBdr>
        <w:top w:val="none" w:sz="0" w:space="0" w:color="auto"/>
        <w:left w:val="none" w:sz="0" w:space="0" w:color="auto"/>
        <w:bottom w:val="none" w:sz="0" w:space="0" w:color="auto"/>
        <w:right w:val="none" w:sz="0" w:space="0" w:color="auto"/>
      </w:divBdr>
    </w:div>
    <w:div w:id="180045642">
      <w:bodyDiv w:val="1"/>
      <w:marLeft w:val="0"/>
      <w:marRight w:val="0"/>
      <w:marTop w:val="0"/>
      <w:marBottom w:val="0"/>
      <w:divBdr>
        <w:top w:val="none" w:sz="0" w:space="0" w:color="auto"/>
        <w:left w:val="none" w:sz="0" w:space="0" w:color="auto"/>
        <w:bottom w:val="none" w:sz="0" w:space="0" w:color="auto"/>
        <w:right w:val="none" w:sz="0" w:space="0" w:color="auto"/>
      </w:divBdr>
    </w:div>
    <w:div w:id="180166723">
      <w:bodyDiv w:val="1"/>
      <w:marLeft w:val="0"/>
      <w:marRight w:val="0"/>
      <w:marTop w:val="0"/>
      <w:marBottom w:val="0"/>
      <w:divBdr>
        <w:top w:val="none" w:sz="0" w:space="0" w:color="auto"/>
        <w:left w:val="none" w:sz="0" w:space="0" w:color="auto"/>
        <w:bottom w:val="none" w:sz="0" w:space="0" w:color="auto"/>
        <w:right w:val="none" w:sz="0" w:space="0" w:color="auto"/>
      </w:divBdr>
    </w:div>
    <w:div w:id="180169310">
      <w:bodyDiv w:val="1"/>
      <w:marLeft w:val="0"/>
      <w:marRight w:val="0"/>
      <w:marTop w:val="0"/>
      <w:marBottom w:val="0"/>
      <w:divBdr>
        <w:top w:val="none" w:sz="0" w:space="0" w:color="auto"/>
        <w:left w:val="none" w:sz="0" w:space="0" w:color="auto"/>
        <w:bottom w:val="none" w:sz="0" w:space="0" w:color="auto"/>
        <w:right w:val="none" w:sz="0" w:space="0" w:color="auto"/>
      </w:divBdr>
    </w:div>
    <w:div w:id="180172296">
      <w:bodyDiv w:val="1"/>
      <w:marLeft w:val="0"/>
      <w:marRight w:val="0"/>
      <w:marTop w:val="0"/>
      <w:marBottom w:val="0"/>
      <w:divBdr>
        <w:top w:val="none" w:sz="0" w:space="0" w:color="auto"/>
        <w:left w:val="none" w:sz="0" w:space="0" w:color="auto"/>
        <w:bottom w:val="none" w:sz="0" w:space="0" w:color="auto"/>
        <w:right w:val="none" w:sz="0" w:space="0" w:color="auto"/>
      </w:divBdr>
    </w:div>
    <w:div w:id="180357163">
      <w:bodyDiv w:val="1"/>
      <w:marLeft w:val="0"/>
      <w:marRight w:val="0"/>
      <w:marTop w:val="0"/>
      <w:marBottom w:val="0"/>
      <w:divBdr>
        <w:top w:val="none" w:sz="0" w:space="0" w:color="auto"/>
        <w:left w:val="none" w:sz="0" w:space="0" w:color="auto"/>
        <w:bottom w:val="none" w:sz="0" w:space="0" w:color="auto"/>
        <w:right w:val="none" w:sz="0" w:space="0" w:color="auto"/>
      </w:divBdr>
    </w:div>
    <w:div w:id="180363206">
      <w:bodyDiv w:val="1"/>
      <w:marLeft w:val="0"/>
      <w:marRight w:val="0"/>
      <w:marTop w:val="0"/>
      <w:marBottom w:val="0"/>
      <w:divBdr>
        <w:top w:val="none" w:sz="0" w:space="0" w:color="auto"/>
        <w:left w:val="none" w:sz="0" w:space="0" w:color="auto"/>
        <w:bottom w:val="none" w:sz="0" w:space="0" w:color="auto"/>
        <w:right w:val="none" w:sz="0" w:space="0" w:color="auto"/>
      </w:divBdr>
    </w:div>
    <w:div w:id="180433367">
      <w:bodyDiv w:val="1"/>
      <w:marLeft w:val="0"/>
      <w:marRight w:val="0"/>
      <w:marTop w:val="0"/>
      <w:marBottom w:val="0"/>
      <w:divBdr>
        <w:top w:val="none" w:sz="0" w:space="0" w:color="auto"/>
        <w:left w:val="none" w:sz="0" w:space="0" w:color="auto"/>
        <w:bottom w:val="none" w:sz="0" w:space="0" w:color="auto"/>
        <w:right w:val="none" w:sz="0" w:space="0" w:color="auto"/>
      </w:divBdr>
    </w:div>
    <w:div w:id="180507832">
      <w:bodyDiv w:val="1"/>
      <w:marLeft w:val="0"/>
      <w:marRight w:val="0"/>
      <w:marTop w:val="0"/>
      <w:marBottom w:val="0"/>
      <w:divBdr>
        <w:top w:val="none" w:sz="0" w:space="0" w:color="auto"/>
        <w:left w:val="none" w:sz="0" w:space="0" w:color="auto"/>
        <w:bottom w:val="none" w:sz="0" w:space="0" w:color="auto"/>
        <w:right w:val="none" w:sz="0" w:space="0" w:color="auto"/>
      </w:divBdr>
    </w:div>
    <w:div w:id="180510575">
      <w:bodyDiv w:val="1"/>
      <w:marLeft w:val="0"/>
      <w:marRight w:val="0"/>
      <w:marTop w:val="0"/>
      <w:marBottom w:val="0"/>
      <w:divBdr>
        <w:top w:val="none" w:sz="0" w:space="0" w:color="auto"/>
        <w:left w:val="none" w:sz="0" w:space="0" w:color="auto"/>
        <w:bottom w:val="none" w:sz="0" w:space="0" w:color="auto"/>
        <w:right w:val="none" w:sz="0" w:space="0" w:color="auto"/>
      </w:divBdr>
    </w:div>
    <w:div w:id="180776161">
      <w:bodyDiv w:val="1"/>
      <w:marLeft w:val="0"/>
      <w:marRight w:val="0"/>
      <w:marTop w:val="0"/>
      <w:marBottom w:val="0"/>
      <w:divBdr>
        <w:top w:val="none" w:sz="0" w:space="0" w:color="auto"/>
        <w:left w:val="none" w:sz="0" w:space="0" w:color="auto"/>
        <w:bottom w:val="none" w:sz="0" w:space="0" w:color="auto"/>
        <w:right w:val="none" w:sz="0" w:space="0" w:color="auto"/>
      </w:divBdr>
    </w:div>
    <w:div w:id="180900764">
      <w:bodyDiv w:val="1"/>
      <w:marLeft w:val="0"/>
      <w:marRight w:val="0"/>
      <w:marTop w:val="0"/>
      <w:marBottom w:val="0"/>
      <w:divBdr>
        <w:top w:val="none" w:sz="0" w:space="0" w:color="auto"/>
        <w:left w:val="none" w:sz="0" w:space="0" w:color="auto"/>
        <w:bottom w:val="none" w:sz="0" w:space="0" w:color="auto"/>
        <w:right w:val="none" w:sz="0" w:space="0" w:color="auto"/>
      </w:divBdr>
    </w:div>
    <w:div w:id="180973820">
      <w:bodyDiv w:val="1"/>
      <w:marLeft w:val="0"/>
      <w:marRight w:val="0"/>
      <w:marTop w:val="0"/>
      <w:marBottom w:val="0"/>
      <w:divBdr>
        <w:top w:val="none" w:sz="0" w:space="0" w:color="auto"/>
        <w:left w:val="none" w:sz="0" w:space="0" w:color="auto"/>
        <w:bottom w:val="none" w:sz="0" w:space="0" w:color="auto"/>
        <w:right w:val="none" w:sz="0" w:space="0" w:color="auto"/>
      </w:divBdr>
    </w:div>
    <w:div w:id="181016599">
      <w:bodyDiv w:val="1"/>
      <w:marLeft w:val="0"/>
      <w:marRight w:val="0"/>
      <w:marTop w:val="0"/>
      <w:marBottom w:val="0"/>
      <w:divBdr>
        <w:top w:val="none" w:sz="0" w:space="0" w:color="auto"/>
        <w:left w:val="none" w:sz="0" w:space="0" w:color="auto"/>
        <w:bottom w:val="none" w:sz="0" w:space="0" w:color="auto"/>
        <w:right w:val="none" w:sz="0" w:space="0" w:color="auto"/>
      </w:divBdr>
    </w:div>
    <w:div w:id="181090597">
      <w:bodyDiv w:val="1"/>
      <w:marLeft w:val="0"/>
      <w:marRight w:val="0"/>
      <w:marTop w:val="0"/>
      <w:marBottom w:val="0"/>
      <w:divBdr>
        <w:top w:val="none" w:sz="0" w:space="0" w:color="auto"/>
        <w:left w:val="none" w:sz="0" w:space="0" w:color="auto"/>
        <w:bottom w:val="none" w:sz="0" w:space="0" w:color="auto"/>
        <w:right w:val="none" w:sz="0" w:space="0" w:color="auto"/>
      </w:divBdr>
    </w:div>
    <w:div w:id="181360962">
      <w:bodyDiv w:val="1"/>
      <w:marLeft w:val="0"/>
      <w:marRight w:val="0"/>
      <w:marTop w:val="0"/>
      <w:marBottom w:val="0"/>
      <w:divBdr>
        <w:top w:val="none" w:sz="0" w:space="0" w:color="auto"/>
        <w:left w:val="none" w:sz="0" w:space="0" w:color="auto"/>
        <w:bottom w:val="none" w:sz="0" w:space="0" w:color="auto"/>
        <w:right w:val="none" w:sz="0" w:space="0" w:color="auto"/>
      </w:divBdr>
    </w:div>
    <w:div w:id="181407941">
      <w:bodyDiv w:val="1"/>
      <w:marLeft w:val="0"/>
      <w:marRight w:val="0"/>
      <w:marTop w:val="0"/>
      <w:marBottom w:val="0"/>
      <w:divBdr>
        <w:top w:val="none" w:sz="0" w:space="0" w:color="auto"/>
        <w:left w:val="none" w:sz="0" w:space="0" w:color="auto"/>
        <w:bottom w:val="none" w:sz="0" w:space="0" w:color="auto"/>
        <w:right w:val="none" w:sz="0" w:space="0" w:color="auto"/>
      </w:divBdr>
    </w:div>
    <w:div w:id="181433032">
      <w:bodyDiv w:val="1"/>
      <w:marLeft w:val="0"/>
      <w:marRight w:val="0"/>
      <w:marTop w:val="0"/>
      <w:marBottom w:val="0"/>
      <w:divBdr>
        <w:top w:val="none" w:sz="0" w:space="0" w:color="auto"/>
        <w:left w:val="none" w:sz="0" w:space="0" w:color="auto"/>
        <w:bottom w:val="none" w:sz="0" w:space="0" w:color="auto"/>
        <w:right w:val="none" w:sz="0" w:space="0" w:color="auto"/>
      </w:divBdr>
    </w:div>
    <w:div w:id="181550497">
      <w:bodyDiv w:val="1"/>
      <w:marLeft w:val="0"/>
      <w:marRight w:val="0"/>
      <w:marTop w:val="0"/>
      <w:marBottom w:val="0"/>
      <w:divBdr>
        <w:top w:val="none" w:sz="0" w:space="0" w:color="auto"/>
        <w:left w:val="none" w:sz="0" w:space="0" w:color="auto"/>
        <w:bottom w:val="none" w:sz="0" w:space="0" w:color="auto"/>
        <w:right w:val="none" w:sz="0" w:space="0" w:color="auto"/>
      </w:divBdr>
    </w:div>
    <w:div w:id="181553484">
      <w:bodyDiv w:val="1"/>
      <w:marLeft w:val="0"/>
      <w:marRight w:val="0"/>
      <w:marTop w:val="0"/>
      <w:marBottom w:val="0"/>
      <w:divBdr>
        <w:top w:val="none" w:sz="0" w:space="0" w:color="auto"/>
        <w:left w:val="none" w:sz="0" w:space="0" w:color="auto"/>
        <w:bottom w:val="none" w:sz="0" w:space="0" w:color="auto"/>
        <w:right w:val="none" w:sz="0" w:space="0" w:color="auto"/>
      </w:divBdr>
    </w:div>
    <w:div w:id="181667415">
      <w:bodyDiv w:val="1"/>
      <w:marLeft w:val="0"/>
      <w:marRight w:val="0"/>
      <w:marTop w:val="0"/>
      <w:marBottom w:val="0"/>
      <w:divBdr>
        <w:top w:val="none" w:sz="0" w:space="0" w:color="auto"/>
        <w:left w:val="none" w:sz="0" w:space="0" w:color="auto"/>
        <w:bottom w:val="none" w:sz="0" w:space="0" w:color="auto"/>
        <w:right w:val="none" w:sz="0" w:space="0" w:color="auto"/>
      </w:divBdr>
    </w:div>
    <w:div w:id="181669618">
      <w:bodyDiv w:val="1"/>
      <w:marLeft w:val="0"/>
      <w:marRight w:val="0"/>
      <w:marTop w:val="0"/>
      <w:marBottom w:val="0"/>
      <w:divBdr>
        <w:top w:val="none" w:sz="0" w:space="0" w:color="auto"/>
        <w:left w:val="none" w:sz="0" w:space="0" w:color="auto"/>
        <w:bottom w:val="none" w:sz="0" w:space="0" w:color="auto"/>
        <w:right w:val="none" w:sz="0" w:space="0" w:color="auto"/>
      </w:divBdr>
    </w:div>
    <w:div w:id="181674817">
      <w:bodyDiv w:val="1"/>
      <w:marLeft w:val="0"/>
      <w:marRight w:val="0"/>
      <w:marTop w:val="0"/>
      <w:marBottom w:val="0"/>
      <w:divBdr>
        <w:top w:val="none" w:sz="0" w:space="0" w:color="auto"/>
        <w:left w:val="none" w:sz="0" w:space="0" w:color="auto"/>
        <w:bottom w:val="none" w:sz="0" w:space="0" w:color="auto"/>
        <w:right w:val="none" w:sz="0" w:space="0" w:color="auto"/>
      </w:divBdr>
    </w:div>
    <w:div w:id="181750059">
      <w:bodyDiv w:val="1"/>
      <w:marLeft w:val="0"/>
      <w:marRight w:val="0"/>
      <w:marTop w:val="0"/>
      <w:marBottom w:val="0"/>
      <w:divBdr>
        <w:top w:val="none" w:sz="0" w:space="0" w:color="auto"/>
        <w:left w:val="none" w:sz="0" w:space="0" w:color="auto"/>
        <w:bottom w:val="none" w:sz="0" w:space="0" w:color="auto"/>
        <w:right w:val="none" w:sz="0" w:space="0" w:color="auto"/>
      </w:divBdr>
    </w:div>
    <w:div w:id="181940096">
      <w:bodyDiv w:val="1"/>
      <w:marLeft w:val="0"/>
      <w:marRight w:val="0"/>
      <w:marTop w:val="0"/>
      <w:marBottom w:val="0"/>
      <w:divBdr>
        <w:top w:val="none" w:sz="0" w:space="0" w:color="auto"/>
        <w:left w:val="none" w:sz="0" w:space="0" w:color="auto"/>
        <w:bottom w:val="none" w:sz="0" w:space="0" w:color="auto"/>
        <w:right w:val="none" w:sz="0" w:space="0" w:color="auto"/>
      </w:divBdr>
    </w:div>
    <w:div w:id="182091401">
      <w:bodyDiv w:val="1"/>
      <w:marLeft w:val="0"/>
      <w:marRight w:val="0"/>
      <w:marTop w:val="0"/>
      <w:marBottom w:val="0"/>
      <w:divBdr>
        <w:top w:val="none" w:sz="0" w:space="0" w:color="auto"/>
        <w:left w:val="none" w:sz="0" w:space="0" w:color="auto"/>
        <w:bottom w:val="none" w:sz="0" w:space="0" w:color="auto"/>
        <w:right w:val="none" w:sz="0" w:space="0" w:color="auto"/>
      </w:divBdr>
    </w:div>
    <w:div w:id="182132119">
      <w:bodyDiv w:val="1"/>
      <w:marLeft w:val="0"/>
      <w:marRight w:val="0"/>
      <w:marTop w:val="0"/>
      <w:marBottom w:val="0"/>
      <w:divBdr>
        <w:top w:val="none" w:sz="0" w:space="0" w:color="auto"/>
        <w:left w:val="none" w:sz="0" w:space="0" w:color="auto"/>
        <w:bottom w:val="none" w:sz="0" w:space="0" w:color="auto"/>
        <w:right w:val="none" w:sz="0" w:space="0" w:color="auto"/>
      </w:divBdr>
    </w:div>
    <w:div w:id="182136132">
      <w:bodyDiv w:val="1"/>
      <w:marLeft w:val="0"/>
      <w:marRight w:val="0"/>
      <w:marTop w:val="0"/>
      <w:marBottom w:val="0"/>
      <w:divBdr>
        <w:top w:val="none" w:sz="0" w:space="0" w:color="auto"/>
        <w:left w:val="none" w:sz="0" w:space="0" w:color="auto"/>
        <w:bottom w:val="none" w:sz="0" w:space="0" w:color="auto"/>
        <w:right w:val="none" w:sz="0" w:space="0" w:color="auto"/>
      </w:divBdr>
    </w:div>
    <w:div w:id="182207993">
      <w:bodyDiv w:val="1"/>
      <w:marLeft w:val="0"/>
      <w:marRight w:val="0"/>
      <w:marTop w:val="0"/>
      <w:marBottom w:val="0"/>
      <w:divBdr>
        <w:top w:val="none" w:sz="0" w:space="0" w:color="auto"/>
        <w:left w:val="none" w:sz="0" w:space="0" w:color="auto"/>
        <w:bottom w:val="none" w:sz="0" w:space="0" w:color="auto"/>
        <w:right w:val="none" w:sz="0" w:space="0" w:color="auto"/>
      </w:divBdr>
    </w:div>
    <w:div w:id="182282653">
      <w:bodyDiv w:val="1"/>
      <w:marLeft w:val="0"/>
      <w:marRight w:val="0"/>
      <w:marTop w:val="0"/>
      <w:marBottom w:val="0"/>
      <w:divBdr>
        <w:top w:val="none" w:sz="0" w:space="0" w:color="auto"/>
        <w:left w:val="none" w:sz="0" w:space="0" w:color="auto"/>
        <w:bottom w:val="none" w:sz="0" w:space="0" w:color="auto"/>
        <w:right w:val="none" w:sz="0" w:space="0" w:color="auto"/>
      </w:divBdr>
    </w:div>
    <w:div w:id="182285504">
      <w:bodyDiv w:val="1"/>
      <w:marLeft w:val="0"/>
      <w:marRight w:val="0"/>
      <w:marTop w:val="0"/>
      <w:marBottom w:val="0"/>
      <w:divBdr>
        <w:top w:val="none" w:sz="0" w:space="0" w:color="auto"/>
        <w:left w:val="none" w:sz="0" w:space="0" w:color="auto"/>
        <w:bottom w:val="none" w:sz="0" w:space="0" w:color="auto"/>
        <w:right w:val="none" w:sz="0" w:space="0" w:color="auto"/>
      </w:divBdr>
    </w:div>
    <w:div w:id="182325855">
      <w:bodyDiv w:val="1"/>
      <w:marLeft w:val="0"/>
      <w:marRight w:val="0"/>
      <w:marTop w:val="0"/>
      <w:marBottom w:val="0"/>
      <w:divBdr>
        <w:top w:val="none" w:sz="0" w:space="0" w:color="auto"/>
        <w:left w:val="none" w:sz="0" w:space="0" w:color="auto"/>
        <w:bottom w:val="none" w:sz="0" w:space="0" w:color="auto"/>
        <w:right w:val="none" w:sz="0" w:space="0" w:color="auto"/>
      </w:divBdr>
    </w:div>
    <w:div w:id="182401944">
      <w:bodyDiv w:val="1"/>
      <w:marLeft w:val="0"/>
      <w:marRight w:val="0"/>
      <w:marTop w:val="0"/>
      <w:marBottom w:val="0"/>
      <w:divBdr>
        <w:top w:val="none" w:sz="0" w:space="0" w:color="auto"/>
        <w:left w:val="none" w:sz="0" w:space="0" w:color="auto"/>
        <w:bottom w:val="none" w:sz="0" w:space="0" w:color="auto"/>
        <w:right w:val="none" w:sz="0" w:space="0" w:color="auto"/>
      </w:divBdr>
    </w:div>
    <w:div w:id="182404846">
      <w:bodyDiv w:val="1"/>
      <w:marLeft w:val="0"/>
      <w:marRight w:val="0"/>
      <w:marTop w:val="0"/>
      <w:marBottom w:val="0"/>
      <w:divBdr>
        <w:top w:val="none" w:sz="0" w:space="0" w:color="auto"/>
        <w:left w:val="none" w:sz="0" w:space="0" w:color="auto"/>
        <w:bottom w:val="none" w:sz="0" w:space="0" w:color="auto"/>
        <w:right w:val="none" w:sz="0" w:space="0" w:color="auto"/>
      </w:divBdr>
    </w:div>
    <w:div w:id="182592554">
      <w:bodyDiv w:val="1"/>
      <w:marLeft w:val="0"/>
      <w:marRight w:val="0"/>
      <w:marTop w:val="0"/>
      <w:marBottom w:val="0"/>
      <w:divBdr>
        <w:top w:val="none" w:sz="0" w:space="0" w:color="auto"/>
        <w:left w:val="none" w:sz="0" w:space="0" w:color="auto"/>
        <w:bottom w:val="none" w:sz="0" w:space="0" w:color="auto"/>
        <w:right w:val="none" w:sz="0" w:space="0" w:color="auto"/>
      </w:divBdr>
    </w:div>
    <w:div w:id="182592838">
      <w:bodyDiv w:val="1"/>
      <w:marLeft w:val="0"/>
      <w:marRight w:val="0"/>
      <w:marTop w:val="0"/>
      <w:marBottom w:val="0"/>
      <w:divBdr>
        <w:top w:val="none" w:sz="0" w:space="0" w:color="auto"/>
        <w:left w:val="none" w:sz="0" w:space="0" w:color="auto"/>
        <w:bottom w:val="none" w:sz="0" w:space="0" w:color="auto"/>
        <w:right w:val="none" w:sz="0" w:space="0" w:color="auto"/>
      </w:divBdr>
    </w:div>
    <w:div w:id="182669397">
      <w:bodyDiv w:val="1"/>
      <w:marLeft w:val="0"/>
      <w:marRight w:val="0"/>
      <w:marTop w:val="0"/>
      <w:marBottom w:val="0"/>
      <w:divBdr>
        <w:top w:val="none" w:sz="0" w:space="0" w:color="auto"/>
        <w:left w:val="none" w:sz="0" w:space="0" w:color="auto"/>
        <w:bottom w:val="none" w:sz="0" w:space="0" w:color="auto"/>
        <w:right w:val="none" w:sz="0" w:space="0" w:color="auto"/>
      </w:divBdr>
    </w:div>
    <w:div w:id="182716460">
      <w:bodyDiv w:val="1"/>
      <w:marLeft w:val="0"/>
      <w:marRight w:val="0"/>
      <w:marTop w:val="0"/>
      <w:marBottom w:val="0"/>
      <w:divBdr>
        <w:top w:val="none" w:sz="0" w:space="0" w:color="auto"/>
        <w:left w:val="none" w:sz="0" w:space="0" w:color="auto"/>
        <w:bottom w:val="none" w:sz="0" w:space="0" w:color="auto"/>
        <w:right w:val="none" w:sz="0" w:space="0" w:color="auto"/>
      </w:divBdr>
    </w:div>
    <w:div w:id="182741958">
      <w:bodyDiv w:val="1"/>
      <w:marLeft w:val="0"/>
      <w:marRight w:val="0"/>
      <w:marTop w:val="0"/>
      <w:marBottom w:val="0"/>
      <w:divBdr>
        <w:top w:val="none" w:sz="0" w:space="0" w:color="auto"/>
        <w:left w:val="none" w:sz="0" w:space="0" w:color="auto"/>
        <w:bottom w:val="none" w:sz="0" w:space="0" w:color="auto"/>
        <w:right w:val="none" w:sz="0" w:space="0" w:color="auto"/>
      </w:divBdr>
    </w:div>
    <w:div w:id="182743891">
      <w:bodyDiv w:val="1"/>
      <w:marLeft w:val="0"/>
      <w:marRight w:val="0"/>
      <w:marTop w:val="0"/>
      <w:marBottom w:val="0"/>
      <w:divBdr>
        <w:top w:val="none" w:sz="0" w:space="0" w:color="auto"/>
        <w:left w:val="none" w:sz="0" w:space="0" w:color="auto"/>
        <w:bottom w:val="none" w:sz="0" w:space="0" w:color="auto"/>
        <w:right w:val="none" w:sz="0" w:space="0" w:color="auto"/>
      </w:divBdr>
    </w:div>
    <w:div w:id="182911543">
      <w:bodyDiv w:val="1"/>
      <w:marLeft w:val="0"/>
      <w:marRight w:val="0"/>
      <w:marTop w:val="0"/>
      <w:marBottom w:val="0"/>
      <w:divBdr>
        <w:top w:val="none" w:sz="0" w:space="0" w:color="auto"/>
        <w:left w:val="none" w:sz="0" w:space="0" w:color="auto"/>
        <w:bottom w:val="none" w:sz="0" w:space="0" w:color="auto"/>
        <w:right w:val="none" w:sz="0" w:space="0" w:color="auto"/>
      </w:divBdr>
    </w:div>
    <w:div w:id="182936143">
      <w:bodyDiv w:val="1"/>
      <w:marLeft w:val="0"/>
      <w:marRight w:val="0"/>
      <w:marTop w:val="0"/>
      <w:marBottom w:val="0"/>
      <w:divBdr>
        <w:top w:val="none" w:sz="0" w:space="0" w:color="auto"/>
        <w:left w:val="none" w:sz="0" w:space="0" w:color="auto"/>
        <w:bottom w:val="none" w:sz="0" w:space="0" w:color="auto"/>
        <w:right w:val="none" w:sz="0" w:space="0" w:color="auto"/>
      </w:divBdr>
    </w:div>
    <w:div w:id="182941341">
      <w:bodyDiv w:val="1"/>
      <w:marLeft w:val="0"/>
      <w:marRight w:val="0"/>
      <w:marTop w:val="0"/>
      <w:marBottom w:val="0"/>
      <w:divBdr>
        <w:top w:val="none" w:sz="0" w:space="0" w:color="auto"/>
        <w:left w:val="none" w:sz="0" w:space="0" w:color="auto"/>
        <w:bottom w:val="none" w:sz="0" w:space="0" w:color="auto"/>
        <w:right w:val="none" w:sz="0" w:space="0" w:color="auto"/>
      </w:divBdr>
    </w:div>
    <w:div w:id="183061093">
      <w:bodyDiv w:val="1"/>
      <w:marLeft w:val="0"/>
      <w:marRight w:val="0"/>
      <w:marTop w:val="0"/>
      <w:marBottom w:val="0"/>
      <w:divBdr>
        <w:top w:val="none" w:sz="0" w:space="0" w:color="auto"/>
        <w:left w:val="none" w:sz="0" w:space="0" w:color="auto"/>
        <w:bottom w:val="none" w:sz="0" w:space="0" w:color="auto"/>
        <w:right w:val="none" w:sz="0" w:space="0" w:color="auto"/>
      </w:divBdr>
    </w:div>
    <w:div w:id="183129647">
      <w:bodyDiv w:val="1"/>
      <w:marLeft w:val="0"/>
      <w:marRight w:val="0"/>
      <w:marTop w:val="0"/>
      <w:marBottom w:val="0"/>
      <w:divBdr>
        <w:top w:val="none" w:sz="0" w:space="0" w:color="auto"/>
        <w:left w:val="none" w:sz="0" w:space="0" w:color="auto"/>
        <w:bottom w:val="none" w:sz="0" w:space="0" w:color="auto"/>
        <w:right w:val="none" w:sz="0" w:space="0" w:color="auto"/>
      </w:divBdr>
    </w:div>
    <w:div w:id="183174002">
      <w:bodyDiv w:val="1"/>
      <w:marLeft w:val="0"/>
      <w:marRight w:val="0"/>
      <w:marTop w:val="0"/>
      <w:marBottom w:val="0"/>
      <w:divBdr>
        <w:top w:val="none" w:sz="0" w:space="0" w:color="auto"/>
        <w:left w:val="none" w:sz="0" w:space="0" w:color="auto"/>
        <w:bottom w:val="none" w:sz="0" w:space="0" w:color="auto"/>
        <w:right w:val="none" w:sz="0" w:space="0" w:color="auto"/>
      </w:divBdr>
    </w:div>
    <w:div w:id="183246788">
      <w:bodyDiv w:val="1"/>
      <w:marLeft w:val="0"/>
      <w:marRight w:val="0"/>
      <w:marTop w:val="0"/>
      <w:marBottom w:val="0"/>
      <w:divBdr>
        <w:top w:val="none" w:sz="0" w:space="0" w:color="auto"/>
        <w:left w:val="none" w:sz="0" w:space="0" w:color="auto"/>
        <w:bottom w:val="none" w:sz="0" w:space="0" w:color="auto"/>
        <w:right w:val="none" w:sz="0" w:space="0" w:color="auto"/>
      </w:divBdr>
    </w:div>
    <w:div w:id="183323207">
      <w:bodyDiv w:val="1"/>
      <w:marLeft w:val="0"/>
      <w:marRight w:val="0"/>
      <w:marTop w:val="0"/>
      <w:marBottom w:val="0"/>
      <w:divBdr>
        <w:top w:val="none" w:sz="0" w:space="0" w:color="auto"/>
        <w:left w:val="none" w:sz="0" w:space="0" w:color="auto"/>
        <w:bottom w:val="none" w:sz="0" w:space="0" w:color="auto"/>
        <w:right w:val="none" w:sz="0" w:space="0" w:color="auto"/>
      </w:divBdr>
    </w:div>
    <w:div w:id="183566416">
      <w:bodyDiv w:val="1"/>
      <w:marLeft w:val="0"/>
      <w:marRight w:val="0"/>
      <w:marTop w:val="0"/>
      <w:marBottom w:val="0"/>
      <w:divBdr>
        <w:top w:val="none" w:sz="0" w:space="0" w:color="auto"/>
        <w:left w:val="none" w:sz="0" w:space="0" w:color="auto"/>
        <w:bottom w:val="none" w:sz="0" w:space="0" w:color="auto"/>
        <w:right w:val="none" w:sz="0" w:space="0" w:color="auto"/>
      </w:divBdr>
    </w:div>
    <w:div w:id="183596500">
      <w:bodyDiv w:val="1"/>
      <w:marLeft w:val="0"/>
      <w:marRight w:val="0"/>
      <w:marTop w:val="0"/>
      <w:marBottom w:val="0"/>
      <w:divBdr>
        <w:top w:val="none" w:sz="0" w:space="0" w:color="auto"/>
        <w:left w:val="none" w:sz="0" w:space="0" w:color="auto"/>
        <w:bottom w:val="none" w:sz="0" w:space="0" w:color="auto"/>
        <w:right w:val="none" w:sz="0" w:space="0" w:color="auto"/>
      </w:divBdr>
    </w:div>
    <w:div w:id="183786327">
      <w:bodyDiv w:val="1"/>
      <w:marLeft w:val="0"/>
      <w:marRight w:val="0"/>
      <w:marTop w:val="0"/>
      <w:marBottom w:val="0"/>
      <w:divBdr>
        <w:top w:val="none" w:sz="0" w:space="0" w:color="auto"/>
        <w:left w:val="none" w:sz="0" w:space="0" w:color="auto"/>
        <w:bottom w:val="none" w:sz="0" w:space="0" w:color="auto"/>
        <w:right w:val="none" w:sz="0" w:space="0" w:color="auto"/>
      </w:divBdr>
    </w:div>
    <w:div w:id="183787540">
      <w:bodyDiv w:val="1"/>
      <w:marLeft w:val="0"/>
      <w:marRight w:val="0"/>
      <w:marTop w:val="0"/>
      <w:marBottom w:val="0"/>
      <w:divBdr>
        <w:top w:val="none" w:sz="0" w:space="0" w:color="auto"/>
        <w:left w:val="none" w:sz="0" w:space="0" w:color="auto"/>
        <w:bottom w:val="none" w:sz="0" w:space="0" w:color="auto"/>
        <w:right w:val="none" w:sz="0" w:space="0" w:color="auto"/>
      </w:divBdr>
    </w:div>
    <w:div w:id="183787717">
      <w:bodyDiv w:val="1"/>
      <w:marLeft w:val="0"/>
      <w:marRight w:val="0"/>
      <w:marTop w:val="0"/>
      <w:marBottom w:val="0"/>
      <w:divBdr>
        <w:top w:val="none" w:sz="0" w:space="0" w:color="auto"/>
        <w:left w:val="none" w:sz="0" w:space="0" w:color="auto"/>
        <w:bottom w:val="none" w:sz="0" w:space="0" w:color="auto"/>
        <w:right w:val="none" w:sz="0" w:space="0" w:color="auto"/>
      </w:divBdr>
    </w:div>
    <w:div w:id="183828905">
      <w:bodyDiv w:val="1"/>
      <w:marLeft w:val="0"/>
      <w:marRight w:val="0"/>
      <w:marTop w:val="0"/>
      <w:marBottom w:val="0"/>
      <w:divBdr>
        <w:top w:val="none" w:sz="0" w:space="0" w:color="auto"/>
        <w:left w:val="none" w:sz="0" w:space="0" w:color="auto"/>
        <w:bottom w:val="none" w:sz="0" w:space="0" w:color="auto"/>
        <w:right w:val="none" w:sz="0" w:space="0" w:color="auto"/>
      </w:divBdr>
    </w:div>
    <w:div w:id="183833404">
      <w:bodyDiv w:val="1"/>
      <w:marLeft w:val="0"/>
      <w:marRight w:val="0"/>
      <w:marTop w:val="0"/>
      <w:marBottom w:val="0"/>
      <w:divBdr>
        <w:top w:val="none" w:sz="0" w:space="0" w:color="auto"/>
        <w:left w:val="none" w:sz="0" w:space="0" w:color="auto"/>
        <w:bottom w:val="none" w:sz="0" w:space="0" w:color="auto"/>
        <w:right w:val="none" w:sz="0" w:space="0" w:color="auto"/>
      </w:divBdr>
    </w:div>
    <w:div w:id="183835240">
      <w:bodyDiv w:val="1"/>
      <w:marLeft w:val="0"/>
      <w:marRight w:val="0"/>
      <w:marTop w:val="0"/>
      <w:marBottom w:val="0"/>
      <w:divBdr>
        <w:top w:val="none" w:sz="0" w:space="0" w:color="auto"/>
        <w:left w:val="none" w:sz="0" w:space="0" w:color="auto"/>
        <w:bottom w:val="none" w:sz="0" w:space="0" w:color="auto"/>
        <w:right w:val="none" w:sz="0" w:space="0" w:color="auto"/>
      </w:divBdr>
    </w:div>
    <w:div w:id="183903727">
      <w:bodyDiv w:val="1"/>
      <w:marLeft w:val="0"/>
      <w:marRight w:val="0"/>
      <w:marTop w:val="0"/>
      <w:marBottom w:val="0"/>
      <w:divBdr>
        <w:top w:val="none" w:sz="0" w:space="0" w:color="auto"/>
        <w:left w:val="none" w:sz="0" w:space="0" w:color="auto"/>
        <w:bottom w:val="none" w:sz="0" w:space="0" w:color="auto"/>
        <w:right w:val="none" w:sz="0" w:space="0" w:color="auto"/>
      </w:divBdr>
    </w:div>
    <w:div w:id="184025300">
      <w:bodyDiv w:val="1"/>
      <w:marLeft w:val="0"/>
      <w:marRight w:val="0"/>
      <w:marTop w:val="0"/>
      <w:marBottom w:val="0"/>
      <w:divBdr>
        <w:top w:val="none" w:sz="0" w:space="0" w:color="auto"/>
        <w:left w:val="none" w:sz="0" w:space="0" w:color="auto"/>
        <w:bottom w:val="none" w:sz="0" w:space="0" w:color="auto"/>
        <w:right w:val="none" w:sz="0" w:space="0" w:color="auto"/>
      </w:divBdr>
    </w:div>
    <w:div w:id="184057623">
      <w:bodyDiv w:val="1"/>
      <w:marLeft w:val="0"/>
      <w:marRight w:val="0"/>
      <w:marTop w:val="0"/>
      <w:marBottom w:val="0"/>
      <w:divBdr>
        <w:top w:val="none" w:sz="0" w:space="0" w:color="auto"/>
        <w:left w:val="none" w:sz="0" w:space="0" w:color="auto"/>
        <w:bottom w:val="none" w:sz="0" w:space="0" w:color="auto"/>
        <w:right w:val="none" w:sz="0" w:space="0" w:color="auto"/>
      </w:divBdr>
    </w:div>
    <w:div w:id="184095319">
      <w:bodyDiv w:val="1"/>
      <w:marLeft w:val="0"/>
      <w:marRight w:val="0"/>
      <w:marTop w:val="0"/>
      <w:marBottom w:val="0"/>
      <w:divBdr>
        <w:top w:val="none" w:sz="0" w:space="0" w:color="auto"/>
        <w:left w:val="none" w:sz="0" w:space="0" w:color="auto"/>
        <w:bottom w:val="none" w:sz="0" w:space="0" w:color="auto"/>
        <w:right w:val="none" w:sz="0" w:space="0" w:color="auto"/>
      </w:divBdr>
    </w:div>
    <w:div w:id="184173329">
      <w:bodyDiv w:val="1"/>
      <w:marLeft w:val="0"/>
      <w:marRight w:val="0"/>
      <w:marTop w:val="0"/>
      <w:marBottom w:val="0"/>
      <w:divBdr>
        <w:top w:val="none" w:sz="0" w:space="0" w:color="auto"/>
        <w:left w:val="none" w:sz="0" w:space="0" w:color="auto"/>
        <w:bottom w:val="none" w:sz="0" w:space="0" w:color="auto"/>
        <w:right w:val="none" w:sz="0" w:space="0" w:color="auto"/>
      </w:divBdr>
    </w:div>
    <w:div w:id="184222424">
      <w:bodyDiv w:val="1"/>
      <w:marLeft w:val="0"/>
      <w:marRight w:val="0"/>
      <w:marTop w:val="0"/>
      <w:marBottom w:val="0"/>
      <w:divBdr>
        <w:top w:val="none" w:sz="0" w:space="0" w:color="auto"/>
        <w:left w:val="none" w:sz="0" w:space="0" w:color="auto"/>
        <w:bottom w:val="none" w:sz="0" w:space="0" w:color="auto"/>
        <w:right w:val="none" w:sz="0" w:space="0" w:color="auto"/>
      </w:divBdr>
    </w:div>
    <w:div w:id="184248908">
      <w:bodyDiv w:val="1"/>
      <w:marLeft w:val="0"/>
      <w:marRight w:val="0"/>
      <w:marTop w:val="0"/>
      <w:marBottom w:val="0"/>
      <w:divBdr>
        <w:top w:val="none" w:sz="0" w:space="0" w:color="auto"/>
        <w:left w:val="none" w:sz="0" w:space="0" w:color="auto"/>
        <w:bottom w:val="none" w:sz="0" w:space="0" w:color="auto"/>
        <w:right w:val="none" w:sz="0" w:space="0" w:color="auto"/>
      </w:divBdr>
    </w:div>
    <w:div w:id="184249256">
      <w:bodyDiv w:val="1"/>
      <w:marLeft w:val="0"/>
      <w:marRight w:val="0"/>
      <w:marTop w:val="0"/>
      <w:marBottom w:val="0"/>
      <w:divBdr>
        <w:top w:val="none" w:sz="0" w:space="0" w:color="auto"/>
        <w:left w:val="none" w:sz="0" w:space="0" w:color="auto"/>
        <w:bottom w:val="none" w:sz="0" w:space="0" w:color="auto"/>
        <w:right w:val="none" w:sz="0" w:space="0" w:color="auto"/>
      </w:divBdr>
    </w:div>
    <w:div w:id="184296086">
      <w:bodyDiv w:val="1"/>
      <w:marLeft w:val="0"/>
      <w:marRight w:val="0"/>
      <w:marTop w:val="0"/>
      <w:marBottom w:val="0"/>
      <w:divBdr>
        <w:top w:val="none" w:sz="0" w:space="0" w:color="auto"/>
        <w:left w:val="none" w:sz="0" w:space="0" w:color="auto"/>
        <w:bottom w:val="none" w:sz="0" w:space="0" w:color="auto"/>
        <w:right w:val="none" w:sz="0" w:space="0" w:color="auto"/>
      </w:divBdr>
    </w:div>
    <w:div w:id="184296415">
      <w:bodyDiv w:val="1"/>
      <w:marLeft w:val="0"/>
      <w:marRight w:val="0"/>
      <w:marTop w:val="0"/>
      <w:marBottom w:val="0"/>
      <w:divBdr>
        <w:top w:val="none" w:sz="0" w:space="0" w:color="auto"/>
        <w:left w:val="none" w:sz="0" w:space="0" w:color="auto"/>
        <w:bottom w:val="none" w:sz="0" w:space="0" w:color="auto"/>
        <w:right w:val="none" w:sz="0" w:space="0" w:color="auto"/>
      </w:divBdr>
    </w:div>
    <w:div w:id="184296642">
      <w:bodyDiv w:val="1"/>
      <w:marLeft w:val="0"/>
      <w:marRight w:val="0"/>
      <w:marTop w:val="0"/>
      <w:marBottom w:val="0"/>
      <w:divBdr>
        <w:top w:val="none" w:sz="0" w:space="0" w:color="auto"/>
        <w:left w:val="none" w:sz="0" w:space="0" w:color="auto"/>
        <w:bottom w:val="none" w:sz="0" w:space="0" w:color="auto"/>
        <w:right w:val="none" w:sz="0" w:space="0" w:color="auto"/>
      </w:divBdr>
    </w:div>
    <w:div w:id="184365646">
      <w:bodyDiv w:val="1"/>
      <w:marLeft w:val="0"/>
      <w:marRight w:val="0"/>
      <w:marTop w:val="0"/>
      <w:marBottom w:val="0"/>
      <w:divBdr>
        <w:top w:val="none" w:sz="0" w:space="0" w:color="auto"/>
        <w:left w:val="none" w:sz="0" w:space="0" w:color="auto"/>
        <w:bottom w:val="none" w:sz="0" w:space="0" w:color="auto"/>
        <w:right w:val="none" w:sz="0" w:space="0" w:color="auto"/>
      </w:divBdr>
    </w:div>
    <w:div w:id="184367807">
      <w:bodyDiv w:val="1"/>
      <w:marLeft w:val="0"/>
      <w:marRight w:val="0"/>
      <w:marTop w:val="0"/>
      <w:marBottom w:val="0"/>
      <w:divBdr>
        <w:top w:val="none" w:sz="0" w:space="0" w:color="auto"/>
        <w:left w:val="none" w:sz="0" w:space="0" w:color="auto"/>
        <w:bottom w:val="none" w:sz="0" w:space="0" w:color="auto"/>
        <w:right w:val="none" w:sz="0" w:space="0" w:color="auto"/>
      </w:divBdr>
    </w:div>
    <w:div w:id="184562998">
      <w:bodyDiv w:val="1"/>
      <w:marLeft w:val="0"/>
      <w:marRight w:val="0"/>
      <w:marTop w:val="0"/>
      <w:marBottom w:val="0"/>
      <w:divBdr>
        <w:top w:val="none" w:sz="0" w:space="0" w:color="auto"/>
        <w:left w:val="none" w:sz="0" w:space="0" w:color="auto"/>
        <w:bottom w:val="none" w:sz="0" w:space="0" w:color="auto"/>
        <w:right w:val="none" w:sz="0" w:space="0" w:color="auto"/>
      </w:divBdr>
    </w:div>
    <w:div w:id="184641208">
      <w:bodyDiv w:val="1"/>
      <w:marLeft w:val="0"/>
      <w:marRight w:val="0"/>
      <w:marTop w:val="0"/>
      <w:marBottom w:val="0"/>
      <w:divBdr>
        <w:top w:val="none" w:sz="0" w:space="0" w:color="auto"/>
        <w:left w:val="none" w:sz="0" w:space="0" w:color="auto"/>
        <w:bottom w:val="none" w:sz="0" w:space="0" w:color="auto"/>
        <w:right w:val="none" w:sz="0" w:space="0" w:color="auto"/>
      </w:divBdr>
    </w:div>
    <w:div w:id="184641566">
      <w:bodyDiv w:val="1"/>
      <w:marLeft w:val="0"/>
      <w:marRight w:val="0"/>
      <w:marTop w:val="0"/>
      <w:marBottom w:val="0"/>
      <w:divBdr>
        <w:top w:val="none" w:sz="0" w:space="0" w:color="auto"/>
        <w:left w:val="none" w:sz="0" w:space="0" w:color="auto"/>
        <w:bottom w:val="none" w:sz="0" w:space="0" w:color="auto"/>
        <w:right w:val="none" w:sz="0" w:space="0" w:color="auto"/>
      </w:divBdr>
    </w:div>
    <w:div w:id="184752466">
      <w:bodyDiv w:val="1"/>
      <w:marLeft w:val="0"/>
      <w:marRight w:val="0"/>
      <w:marTop w:val="0"/>
      <w:marBottom w:val="0"/>
      <w:divBdr>
        <w:top w:val="none" w:sz="0" w:space="0" w:color="auto"/>
        <w:left w:val="none" w:sz="0" w:space="0" w:color="auto"/>
        <w:bottom w:val="none" w:sz="0" w:space="0" w:color="auto"/>
        <w:right w:val="none" w:sz="0" w:space="0" w:color="auto"/>
      </w:divBdr>
    </w:div>
    <w:div w:id="184758752">
      <w:bodyDiv w:val="1"/>
      <w:marLeft w:val="0"/>
      <w:marRight w:val="0"/>
      <w:marTop w:val="0"/>
      <w:marBottom w:val="0"/>
      <w:divBdr>
        <w:top w:val="none" w:sz="0" w:space="0" w:color="auto"/>
        <w:left w:val="none" w:sz="0" w:space="0" w:color="auto"/>
        <w:bottom w:val="none" w:sz="0" w:space="0" w:color="auto"/>
        <w:right w:val="none" w:sz="0" w:space="0" w:color="auto"/>
      </w:divBdr>
    </w:div>
    <w:div w:id="185022837">
      <w:bodyDiv w:val="1"/>
      <w:marLeft w:val="0"/>
      <w:marRight w:val="0"/>
      <w:marTop w:val="0"/>
      <w:marBottom w:val="0"/>
      <w:divBdr>
        <w:top w:val="none" w:sz="0" w:space="0" w:color="auto"/>
        <w:left w:val="none" w:sz="0" w:space="0" w:color="auto"/>
        <w:bottom w:val="none" w:sz="0" w:space="0" w:color="auto"/>
        <w:right w:val="none" w:sz="0" w:space="0" w:color="auto"/>
      </w:divBdr>
    </w:div>
    <w:div w:id="185293407">
      <w:bodyDiv w:val="1"/>
      <w:marLeft w:val="0"/>
      <w:marRight w:val="0"/>
      <w:marTop w:val="0"/>
      <w:marBottom w:val="0"/>
      <w:divBdr>
        <w:top w:val="none" w:sz="0" w:space="0" w:color="auto"/>
        <w:left w:val="none" w:sz="0" w:space="0" w:color="auto"/>
        <w:bottom w:val="none" w:sz="0" w:space="0" w:color="auto"/>
        <w:right w:val="none" w:sz="0" w:space="0" w:color="auto"/>
      </w:divBdr>
    </w:div>
    <w:div w:id="185337496">
      <w:bodyDiv w:val="1"/>
      <w:marLeft w:val="0"/>
      <w:marRight w:val="0"/>
      <w:marTop w:val="0"/>
      <w:marBottom w:val="0"/>
      <w:divBdr>
        <w:top w:val="none" w:sz="0" w:space="0" w:color="auto"/>
        <w:left w:val="none" w:sz="0" w:space="0" w:color="auto"/>
        <w:bottom w:val="none" w:sz="0" w:space="0" w:color="auto"/>
        <w:right w:val="none" w:sz="0" w:space="0" w:color="auto"/>
      </w:divBdr>
    </w:div>
    <w:div w:id="185749907">
      <w:bodyDiv w:val="1"/>
      <w:marLeft w:val="0"/>
      <w:marRight w:val="0"/>
      <w:marTop w:val="0"/>
      <w:marBottom w:val="0"/>
      <w:divBdr>
        <w:top w:val="none" w:sz="0" w:space="0" w:color="auto"/>
        <w:left w:val="none" w:sz="0" w:space="0" w:color="auto"/>
        <w:bottom w:val="none" w:sz="0" w:space="0" w:color="auto"/>
        <w:right w:val="none" w:sz="0" w:space="0" w:color="auto"/>
      </w:divBdr>
    </w:div>
    <w:div w:id="185751444">
      <w:bodyDiv w:val="1"/>
      <w:marLeft w:val="0"/>
      <w:marRight w:val="0"/>
      <w:marTop w:val="0"/>
      <w:marBottom w:val="0"/>
      <w:divBdr>
        <w:top w:val="none" w:sz="0" w:space="0" w:color="auto"/>
        <w:left w:val="none" w:sz="0" w:space="0" w:color="auto"/>
        <w:bottom w:val="none" w:sz="0" w:space="0" w:color="auto"/>
        <w:right w:val="none" w:sz="0" w:space="0" w:color="auto"/>
      </w:divBdr>
    </w:div>
    <w:div w:id="185799707">
      <w:bodyDiv w:val="1"/>
      <w:marLeft w:val="0"/>
      <w:marRight w:val="0"/>
      <w:marTop w:val="0"/>
      <w:marBottom w:val="0"/>
      <w:divBdr>
        <w:top w:val="none" w:sz="0" w:space="0" w:color="auto"/>
        <w:left w:val="none" w:sz="0" w:space="0" w:color="auto"/>
        <w:bottom w:val="none" w:sz="0" w:space="0" w:color="auto"/>
        <w:right w:val="none" w:sz="0" w:space="0" w:color="auto"/>
      </w:divBdr>
    </w:div>
    <w:div w:id="185801552">
      <w:bodyDiv w:val="1"/>
      <w:marLeft w:val="0"/>
      <w:marRight w:val="0"/>
      <w:marTop w:val="0"/>
      <w:marBottom w:val="0"/>
      <w:divBdr>
        <w:top w:val="none" w:sz="0" w:space="0" w:color="auto"/>
        <w:left w:val="none" w:sz="0" w:space="0" w:color="auto"/>
        <w:bottom w:val="none" w:sz="0" w:space="0" w:color="auto"/>
        <w:right w:val="none" w:sz="0" w:space="0" w:color="auto"/>
      </w:divBdr>
    </w:div>
    <w:div w:id="185871706">
      <w:bodyDiv w:val="1"/>
      <w:marLeft w:val="0"/>
      <w:marRight w:val="0"/>
      <w:marTop w:val="0"/>
      <w:marBottom w:val="0"/>
      <w:divBdr>
        <w:top w:val="none" w:sz="0" w:space="0" w:color="auto"/>
        <w:left w:val="none" w:sz="0" w:space="0" w:color="auto"/>
        <w:bottom w:val="none" w:sz="0" w:space="0" w:color="auto"/>
        <w:right w:val="none" w:sz="0" w:space="0" w:color="auto"/>
      </w:divBdr>
    </w:div>
    <w:div w:id="185875856">
      <w:bodyDiv w:val="1"/>
      <w:marLeft w:val="0"/>
      <w:marRight w:val="0"/>
      <w:marTop w:val="0"/>
      <w:marBottom w:val="0"/>
      <w:divBdr>
        <w:top w:val="none" w:sz="0" w:space="0" w:color="auto"/>
        <w:left w:val="none" w:sz="0" w:space="0" w:color="auto"/>
        <w:bottom w:val="none" w:sz="0" w:space="0" w:color="auto"/>
        <w:right w:val="none" w:sz="0" w:space="0" w:color="auto"/>
      </w:divBdr>
    </w:div>
    <w:div w:id="186140391">
      <w:bodyDiv w:val="1"/>
      <w:marLeft w:val="0"/>
      <w:marRight w:val="0"/>
      <w:marTop w:val="0"/>
      <w:marBottom w:val="0"/>
      <w:divBdr>
        <w:top w:val="none" w:sz="0" w:space="0" w:color="auto"/>
        <w:left w:val="none" w:sz="0" w:space="0" w:color="auto"/>
        <w:bottom w:val="none" w:sz="0" w:space="0" w:color="auto"/>
        <w:right w:val="none" w:sz="0" w:space="0" w:color="auto"/>
      </w:divBdr>
    </w:div>
    <w:div w:id="186141464">
      <w:bodyDiv w:val="1"/>
      <w:marLeft w:val="0"/>
      <w:marRight w:val="0"/>
      <w:marTop w:val="0"/>
      <w:marBottom w:val="0"/>
      <w:divBdr>
        <w:top w:val="none" w:sz="0" w:space="0" w:color="auto"/>
        <w:left w:val="none" w:sz="0" w:space="0" w:color="auto"/>
        <w:bottom w:val="none" w:sz="0" w:space="0" w:color="auto"/>
        <w:right w:val="none" w:sz="0" w:space="0" w:color="auto"/>
      </w:divBdr>
    </w:div>
    <w:div w:id="186188074">
      <w:bodyDiv w:val="1"/>
      <w:marLeft w:val="0"/>
      <w:marRight w:val="0"/>
      <w:marTop w:val="0"/>
      <w:marBottom w:val="0"/>
      <w:divBdr>
        <w:top w:val="none" w:sz="0" w:space="0" w:color="auto"/>
        <w:left w:val="none" w:sz="0" w:space="0" w:color="auto"/>
        <w:bottom w:val="none" w:sz="0" w:space="0" w:color="auto"/>
        <w:right w:val="none" w:sz="0" w:space="0" w:color="auto"/>
      </w:divBdr>
    </w:div>
    <w:div w:id="186215242">
      <w:bodyDiv w:val="1"/>
      <w:marLeft w:val="0"/>
      <w:marRight w:val="0"/>
      <w:marTop w:val="0"/>
      <w:marBottom w:val="0"/>
      <w:divBdr>
        <w:top w:val="none" w:sz="0" w:space="0" w:color="auto"/>
        <w:left w:val="none" w:sz="0" w:space="0" w:color="auto"/>
        <w:bottom w:val="none" w:sz="0" w:space="0" w:color="auto"/>
        <w:right w:val="none" w:sz="0" w:space="0" w:color="auto"/>
      </w:divBdr>
    </w:div>
    <w:div w:id="186257121">
      <w:bodyDiv w:val="1"/>
      <w:marLeft w:val="0"/>
      <w:marRight w:val="0"/>
      <w:marTop w:val="0"/>
      <w:marBottom w:val="0"/>
      <w:divBdr>
        <w:top w:val="none" w:sz="0" w:space="0" w:color="auto"/>
        <w:left w:val="none" w:sz="0" w:space="0" w:color="auto"/>
        <w:bottom w:val="none" w:sz="0" w:space="0" w:color="auto"/>
        <w:right w:val="none" w:sz="0" w:space="0" w:color="auto"/>
      </w:divBdr>
    </w:div>
    <w:div w:id="186407130">
      <w:bodyDiv w:val="1"/>
      <w:marLeft w:val="0"/>
      <w:marRight w:val="0"/>
      <w:marTop w:val="0"/>
      <w:marBottom w:val="0"/>
      <w:divBdr>
        <w:top w:val="none" w:sz="0" w:space="0" w:color="auto"/>
        <w:left w:val="none" w:sz="0" w:space="0" w:color="auto"/>
        <w:bottom w:val="none" w:sz="0" w:space="0" w:color="auto"/>
        <w:right w:val="none" w:sz="0" w:space="0" w:color="auto"/>
      </w:divBdr>
    </w:div>
    <w:div w:id="186407556">
      <w:bodyDiv w:val="1"/>
      <w:marLeft w:val="0"/>
      <w:marRight w:val="0"/>
      <w:marTop w:val="0"/>
      <w:marBottom w:val="0"/>
      <w:divBdr>
        <w:top w:val="none" w:sz="0" w:space="0" w:color="auto"/>
        <w:left w:val="none" w:sz="0" w:space="0" w:color="auto"/>
        <w:bottom w:val="none" w:sz="0" w:space="0" w:color="auto"/>
        <w:right w:val="none" w:sz="0" w:space="0" w:color="auto"/>
      </w:divBdr>
    </w:div>
    <w:div w:id="186603546">
      <w:bodyDiv w:val="1"/>
      <w:marLeft w:val="0"/>
      <w:marRight w:val="0"/>
      <w:marTop w:val="0"/>
      <w:marBottom w:val="0"/>
      <w:divBdr>
        <w:top w:val="none" w:sz="0" w:space="0" w:color="auto"/>
        <w:left w:val="none" w:sz="0" w:space="0" w:color="auto"/>
        <w:bottom w:val="none" w:sz="0" w:space="0" w:color="auto"/>
        <w:right w:val="none" w:sz="0" w:space="0" w:color="auto"/>
      </w:divBdr>
    </w:div>
    <w:div w:id="186607448">
      <w:bodyDiv w:val="1"/>
      <w:marLeft w:val="0"/>
      <w:marRight w:val="0"/>
      <w:marTop w:val="0"/>
      <w:marBottom w:val="0"/>
      <w:divBdr>
        <w:top w:val="none" w:sz="0" w:space="0" w:color="auto"/>
        <w:left w:val="none" w:sz="0" w:space="0" w:color="auto"/>
        <w:bottom w:val="none" w:sz="0" w:space="0" w:color="auto"/>
        <w:right w:val="none" w:sz="0" w:space="0" w:color="auto"/>
      </w:divBdr>
    </w:div>
    <w:div w:id="186607722">
      <w:bodyDiv w:val="1"/>
      <w:marLeft w:val="0"/>
      <w:marRight w:val="0"/>
      <w:marTop w:val="0"/>
      <w:marBottom w:val="0"/>
      <w:divBdr>
        <w:top w:val="none" w:sz="0" w:space="0" w:color="auto"/>
        <w:left w:val="none" w:sz="0" w:space="0" w:color="auto"/>
        <w:bottom w:val="none" w:sz="0" w:space="0" w:color="auto"/>
        <w:right w:val="none" w:sz="0" w:space="0" w:color="auto"/>
      </w:divBdr>
    </w:div>
    <w:div w:id="186649437">
      <w:bodyDiv w:val="1"/>
      <w:marLeft w:val="0"/>
      <w:marRight w:val="0"/>
      <w:marTop w:val="0"/>
      <w:marBottom w:val="0"/>
      <w:divBdr>
        <w:top w:val="none" w:sz="0" w:space="0" w:color="auto"/>
        <w:left w:val="none" w:sz="0" w:space="0" w:color="auto"/>
        <w:bottom w:val="none" w:sz="0" w:space="0" w:color="auto"/>
        <w:right w:val="none" w:sz="0" w:space="0" w:color="auto"/>
      </w:divBdr>
    </w:div>
    <w:div w:id="186716442">
      <w:bodyDiv w:val="1"/>
      <w:marLeft w:val="0"/>
      <w:marRight w:val="0"/>
      <w:marTop w:val="0"/>
      <w:marBottom w:val="0"/>
      <w:divBdr>
        <w:top w:val="none" w:sz="0" w:space="0" w:color="auto"/>
        <w:left w:val="none" w:sz="0" w:space="0" w:color="auto"/>
        <w:bottom w:val="none" w:sz="0" w:space="0" w:color="auto"/>
        <w:right w:val="none" w:sz="0" w:space="0" w:color="auto"/>
      </w:divBdr>
    </w:div>
    <w:div w:id="186723183">
      <w:bodyDiv w:val="1"/>
      <w:marLeft w:val="0"/>
      <w:marRight w:val="0"/>
      <w:marTop w:val="0"/>
      <w:marBottom w:val="0"/>
      <w:divBdr>
        <w:top w:val="none" w:sz="0" w:space="0" w:color="auto"/>
        <w:left w:val="none" w:sz="0" w:space="0" w:color="auto"/>
        <w:bottom w:val="none" w:sz="0" w:space="0" w:color="auto"/>
        <w:right w:val="none" w:sz="0" w:space="0" w:color="auto"/>
      </w:divBdr>
    </w:div>
    <w:div w:id="186795517">
      <w:bodyDiv w:val="1"/>
      <w:marLeft w:val="0"/>
      <w:marRight w:val="0"/>
      <w:marTop w:val="0"/>
      <w:marBottom w:val="0"/>
      <w:divBdr>
        <w:top w:val="none" w:sz="0" w:space="0" w:color="auto"/>
        <w:left w:val="none" w:sz="0" w:space="0" w:color="auto"/>
        <w:bottom w:val="none" w:sz="0" w:space="0" w:color="auto"/>
        <w:right w:val="none" w:sz="0" w:space="0" w:color="auto"/>
      </w:divBdr>
    </w:div>
    <w:div w:id="186911930">
      <w:bodyDiv w:val="1"/>
      <w:marLeft w:val="0"/>
      <w:marRight w:val="0"/>
      <w:marTop w:val="0"/>
      <w:marBottom w:val="0"/>
      <w:divBdr>
        <w:top w:val="none" w:sz="0" w:space="0" w:color="auto"/>
        <w:left w:val="none" w:sz="0" w:space="0" w:color="auto"/>
        <w:bottom w:val="none" w:sz="0" w:space="0" w:color="auto"/>
        <w:right w:val="none" w:sz="0" w:space="0" w:color="auto"/>
      </w:divBdr>
    </w:div>
    <w:div w:id="186918133">
      <w:bodyDiv w:val="1"/>
      <w:marLeft w:val="0"/>
      <w:marRight w:val="0"/>
      <w:marTop w:val="0"/>
      <w:marBottom w:val="0"/>
      <w:divBdr>
        <w:top w:val="none" w:sz="0" w:space="0" w:color="auto"/>
        <w:left w:val="none" w:sz="0" w:space="0" w:color="auto"/>
        <w:bottom w:val="none" w:sz="0" w:space="0" w:color="auto"/>
        <w:right w:val="none" w:sz="0" w:space="0" w:color="auto"/>
      </w:divBdr>
    </w:div>
    <w:div w:id="186985285">
      <w:bodyDiv w:val="1"/>
      <w:marLeft w:val="0"/>
      <w:marRight w:val="0"/>
      <w:marTop w:val="0"/>
      <w:marBottom w:val="0"/>
      <w:divBdr>
        <w:top w:val="none" w:sz="0" w:space="0" w:color="auto"/>
        <w:left w:val="none" w:sz="0" w:space="0" w:color="auto"/>
        <w:bottom w:val="none" w:sz="0" w:space="0" w:color="auto"/>
        <w:right w:val="none" w:sz="0" w:space="0" w:color="auto"/>
      </w:divBdr>
    </w:div>
    <w:div w:id="186989793">
      <w:bodyDiv w:val="1"/>
      <w:marLeft w:val="0"/>
      <w:marRight w:val="0"/>
      <w:marTop w:val="0"/>
      <w:marBottom w:val="0"/>
      <w:divBdr>
        <w:top w:val="none" w:sz="0" w:space="0" w:color="auto"/>
        <w:left w:val="none" w:sz="0" w:space="0" w:color="auto"/>
        <w:bottom w:val="none" w:sz="0" w:space="0" w:color="auto"/>
        <w:right w:val="none" w:sz="0" w:space="0" w:color="auto"/>
      </w:divBdr>
    </w:div>
    <w:div w:id="187061953">
      <w:bodyDiv w:val="1"/>
      <w:marLeft w:val="0"/>
      <w:marRight w:val="0"/>
      <w:marTop w:val="0"/>
      <w:marBottom w:val="0"/>
      <w:divBdr>
        <w:top w:val="none" w:sz="0" w:space="0" w:color="auto"/>
        <w:left w:val="none" w:sz="0" w:space="0" w:color="auto"/>
        <w:bottom w:val="none" w:sz="0" w:space="0" w:color="auto"/>
        <w:right w:val="none" w:sz="0" w:space="0" w:color="auto"/>
      </w:divBdr>
    </w:div>
    <w:div w:id="187065862">
      <w:bodyDiv w:val="1"/>
      <w:marLeft w:val="0"/>
      <w:marRight w:val="0"/>
      <w:marTop w:val="0"/>
      <w:marBottom w:val="0"/>
      <w:divBdr>
        <w:top w:val="none" w:sz="0" w:space="0" w:color="auto"/>
        <w:left w:val="none" w:sz="0" w:space="0" w:color="auto"/>
        <w:bottom w:val="none" w:sz="0" w:space="0" w:color="auto"/>
        <w:right w:val="none" w:sz="0" w:space="0" w:color="auto"/>
      </w:divBdr>
    </w:div>
    <w:div w:id="187107055">
      <w:bodyDiv w:val="1"/>
      <w:marLeft w:val="0"/>
      <w:marRight w:val="0"/>
      <w:marTop w:val="0"/>
      <w:marBottom w:val="0"/>
      <w:divBdr>
        <w:top w:val="none" w:sz="0" w:space="0" w:color="auto"/>
        <w:left w:val="none" w:sz="0" w:space="0" w:color="auto"/>
        <w:bottom w:val="none" w:sz="0" w:space="0" w:color="auto"/>
        <w:right w:val="none" w:sz="0" w:space="0" w:color="auto"/>
      </w:divBdr>
    </w:div>
    <w:div w:id="187110946">
      <w:bodyDiv w:val="1"/>
      <w:marLeft w:val="0"/>
      <w:marRight w:val="0"/>
      <w:marTop w:val="0"/>
      <w:marBottom w:val="0"/>
      <w:divBdr>
        <w:top w:val="none" w:sz="0" w:space="0" w:color="auto"/>
        <w:left w:val="none" w:sz="0" w:space="0" w:color="auto"/>
        <w:bottom w:val="none" w:sz="0" w:space="0" w:color="auto"/>
        <w:right w:val="none" w:sz="0" w:space="0" w:color="auto"/>
      </w:divBdr>
    </w:div>
    <w:div w:id="187182585">
      <w:bodyDiv w:val="1"/>
      <w:marLeft w:val="0"/>
      <w:marRight w:val="0"/>
      <w:marTop w:val="0"/>
      <w:marBottom w:val="0"/>
      <w:divBdr>
        <w:top w:val="none" w:sz="0" w:space="0" w:color="auto"/>
        <w:left w:val="none" w:sz="0" w:space="0" w:color="auto"/>
        <w:bottom w:val="none" w:sz="0" w:space="0" w:color="auto"/>
        <w:right w:val="none" w:sz="0" w:space="0" w:color="auto"/>
      </w:divBdr>
    </w:div>
    <w:div w:id="187331308">
      <w:bodyDiv w:val="1"/>
      <w:marLeft w:val="0"/>
      <w:marRight w:val="0"/>
      <w:marTop w:val="0"/>
      <w:marBottom w:val="0"/>
      <w:divBdr>
        <w:top w:val="none" w:sz="0" w:space="0" w:color="auto"/>
        <w:left w:val="none" w:sz="0" w:space="0" w:color="auto"/>
        <w:bottom w:val="none" w:sz="0" w:space="0" w:color="auto"/>
        <w:right w:val="none" w:sz="0" w:space="0" w:color="auto"/>
      </w:divBdr>
    </w:div>
    <w:div w:id="187449307">
      <w:bodyDiv w:val="1"/>
      <w:marLeft w:val="0"/>
      <w:marRight w:val="0"/>
      <w:marTop w:val="0"/>
      <w:marBottom w:val="0"/>
      <w:divBdr>
        <w:top w:val="none" w:sz="0" w:space="0" w:color="auto"/>
        <w:left w:val="none" w:sz="0" w:space="0" w:color="auto"/>
        <w:bottom w:val="none" w:sz="0" w:space="0" w:color="auto"/>
        <w:right w:val="none" w:sz="0" w:space="0" w:color="auto"/>
      </w:divBdr>
    </w:div>
    <w:div w:id="187450492">
      <w:bodyDiv w:val="1"/>
      <w:marLeft w:val="0"/>
      <w:marRight w:val="0"/>
      <w:marTop w:val="0"/>
      <w:marBottom w:val="0"/>
      <w:divBdr>
        <w:top w:val="none" w:sz="0" w:space="0" w:color="auto"/>
        <w:left w:val="none" w:sz="0" w:space="0" w:color="auto"/>
        <w:bottom w:val="none" w:sz="0" w:space="0" w:color="auto"/>
        <w:right w:val="none" w:sz="0" w:space="0" w:color="auto"/>
      </w:divBdr>
    </w:div>
    <w:div w:id="187565772">
      <w:bodyDiv w:val="1"/>
      <w:marLeft w:val="0"/>
      <w:marRight w:val="0"/>
      <w:marTop w:val="0"/>
      <w:marBottom w:val="0"/>
      <w:divBdr>
        <w:top w:val="none" w:sz="0" w:space="0" w:color="auto"/>
        <w:left w:val="none" w:sz="0" w:space="0" w:color="auto"/>
        <w:bottom w:val="none" w:sz="0" w:space="0" w:color="auto"/>
        <w:right w:val="none" w:sz="0" w:space="0" w:color="auto"/>
      </w:divBdr>
    </w:div>
    <w:div w:id="187762469">
      <w:bodyDiv w:val="1"/>
      <w:marLeft w:val="0"/>
      <w:marRight w:val="0"/>
      <w:marTop w:val="0"/>
      <w:marBottom w:val="0"/>
      <w:divBdr>
        <w:top w:val="none" w:sz="0" w:space="0" w:color="auto"/>
        <w:left w:val="none" w:sz="0" w:space="0" w:color="auto"/>
        <w:bottom w:val="none" w:sz="0" w:space="0" w:color="auto"/>
        <w:right w:val="none" w:sz="0" w:space="0" w:color="auto"/>
      </w:divBdr>
    </w:div>
    <w:div w:id="187764786">
      <w:bodyDiv w:val="1"/>
      <w:marLeft w:val="0"/>
      <w:marRight w:val="0"/>
      <w:marTop w:val="0"/>
      <w:marBottom w:val="0"/>
      <w:divBdr>
        <w:top w:val="none" w:sz="0" w:space="0" w:color="auto"/>
        <w:left w:val="none" w:sz="0" w:space="0" w:color="auto"/>
        <w:bottom w:val="none" w:sz="0" w:space="0" w:color="auto"/>
        <w:right w:val="none" w:sz="0" w:space="0" w:color="auto"/>
      </w:divBdr>
    </w:div>
    <w:div w:id="187767414">
      <w:bodyDiv w:val="1"/>
      <w:marLeft w:val="0"/>
      <w:marRight w:val="0"/>
      <w:marTop w:val="0"/>
      <w:marBottom w:val="0"/>
      <w:divBdr>
        <w:top w:val="none" w:sz="0" w:space="0" w:color="auto"/>
        <w:left w:val="none" w:sz="0" w:space="0" w:color="auto"/>
        <w:bottom w:val="none" w:sz="0" w:space="0" w:color="auto"/>
        <w:right w:val="none" w:sz="0" w:space="0" w:color="auto"/>
      </w:divBdr>
    </w:div>
    <w:div w:id="187793144">
      <w:bodyDiv w:val="1"/>
      <w:marLeft w:val="0"/>
      <w:marRight w:val="0"/>
      <w:marTop w:val="0"/>
      <w:marBottom w:val="0"/>
      <w:divBdr>
        <w:top w:val="none" w:sz="0" w:space="0" w:color="auto"/>
        <w:left w:val="none" w:sz="0" w:space="0" w:color="auto"/>
        <w:bottom w:val="none" w:sz="0" w:space="0" w:color="auto"/>
        <w:right w:val="none" w:sz="0" w:space="0" w:color="auto"/>
      </w:divBdr>
    </w:div>
    <w:div w:id="187909252">
      <w:bodyDiv w:val="1"/>
      <w:marLeft w:val="0"/>
      <w:marRight w:val="0"/>
      <w:marTop w:val="0"/>
      <w:marBottom w:val="0"/>
      <w:divBdr>
        <w:top w:val="none" w:sz="0" w:space="0" w:color="auto"/>
        <w:left w:val="none" w:sz="0" w:space="0" w:color="auto"/>
        <w:bottom w:val="none" w:sz="0" w:space="0" w:color="auto"/>
        <w:right w:val="none" w:sz="0" w:space="0" w:color="auto"/>
      </w:divBdr>
    </w:div>
    <w:div w:id="188106398">
      <w:bodyDiv w:val="1"/>
      <w:marLeft w:val="0"/>
      <w:marRight w:val="0"/>
      <w:marTop w:val="0"/>
      <w:marBottom w:val="0"/>
      <w:divBdr>
        <w:top w:val="none" w:sz="0" w:space="0" w:color="auto"/>
        <w:left w:val="none" w:sz="0" w:space="0" w:color="auto"/>
        <w:bottom w:val="none" w:sz="0" w:space="0" w:color="auto"/>
        <w:right w:val="none" w:sz="0" w:space="0" w:color="auto"/>
      </w:divBdr>
    </w:div>
    <w:div w:id="188303677">
      <w:bodyDiv w:val="1"/>
      <w:marLeft w:val="0"/>
      <w:marRight w:val="0"/>
      <w:marTop w:val="0"/>
      <w:marBottom w:val="0"/>
      <w:divBdr>
        <w:top w:val="none" w:sz="0" w:space="0" w:color="auto"/>
        <w:left w:val="none" w:sz="0" w:space="0" w:color="auto"/>
        <w:bottom w:val="none" w:sz="0" w:space="0" w:color="auto"/>
        <w:right w:val="none" w:sz="0" w:space="0" w:color="auto"/>
      </w:divBdr>
    </w:div>
    <w:div w:id="188447269">
      <w:bodyDiv w:val="1"/>
      <w:marLeft w:val="0"/>
      <w:marRight w:val="0"/>
      <w:marTop w:val="0"/>
      <w:marBottom w:val="0"/>
      <w:divBdr>
        <w:top w:val="none" w:sz="0" w:space="0" w:color="auto"/>
        <w:left w:val="none" w:sz="0" w:space="0" w:color="auto"/>
        <w:bottom w:val="none" w:sz="0" w:space="0" w:color="auto"/>
        <w:right w:val="none" w:sz="0" w:space="0" w:color="auto"/>
      </w:divBdr>
    </w:div>
    <w:div w:id="188566409">
      <w:bodyDiv w:val="1"/>
      <w:marLeft w:val="0"/>
      <w:marRight w:val="0"/>
      <w:marTop w:val="0"/>
      <w:marBottom w:val="0"/>
      <w:divBdr>
        <w:top w:val="none" w:sz="0" w:space="0" w:color="auto"/>
        <w:left w:val="none" w:sz="0" w:space="0" w:color="auto"/>
        <w:bottom w:val="none" w:sz="0" w:space="0" w:color="auto"/>
        <w:right w:val="none" w:sz="0" w:space="0" w:color="auto"/>
      </w:divBdr>
    </w:div>
    <w:div w:id="188570330">
      <w:bodyDiv w:val="1"/>
      <w:marLeft w:val="0"/>
      <w:marRight w:val="0"/>
      <w:marTop w:val="0"/>
      <w:marBottom w:val="0"/>
      <w:divBdr>
        <w:top w:val="none" w:sz="0" w:space="0" w:color="auto"/>
        <w:left w:val="none" w:sz="0" w:space="0" w:color="auto"/>
        <w:bottom w:val="none" w:sz="0" w:space="0" w:color="auto"/>
        <w:right w:val="none" w:sz="0" w:space="0" w:color="auto"/>
      </w:divBdr>
    </w:div>
    <w:div w:id="188614824">
      <w:bodyDiv w:val="1"/>
      <w:marLeft w:val="0"/>
      <w:marRight w:val="0"/>
      <w:marTop w:val="0"/>
      <w:marBottom w:val="0"/>
      <w:divBdr>
        <w:top w:val="none" w:sz="0" w:space="0" w:color="auto"/>
        <w:left w:val="none" w:sz="0" w:space="0" w:color="auto"/>
        <w:bottom w:val="none" w:sz="0" w:space="0" w:color="auto"/>
        <w:right w:val="none" w:sz="0" w:space="0" w:color="auto"/>
      </w:divBdr>
    </w:div>
    <w:div w:id="188688017">
      <w:bodyDiv w:val="1"/>
      <w:marLeft w:val="0"/>
      <w:marRight w:val="0"/>
      <w:marTop w:val="0"/>
      <w:marBottom w:val="0"/>
      <w:divBdr>
        <w:top w:val="none" w:sz="0" w:space="0" w:color="auto"/>
        <w:left w:val="none" w:sz="0" w:space="0" w:color="auto"/>
        <w:bottom w:val="none" w:sz="0" w:space="0" w:color="auto"/>
        <w:right w:val="none" w:sz="0" w:space="0" w:color="auto"/>
      </w:divBdr>
    </w:div>
    <w:div w:id="188758417">
      <w:bodyDiv w:val="1"/>
      <w:marLeft w:val="0"/>
      <w:marRight w:val="0"/>
      <w:marTop w:val="0"/>
      <w:marBottom w:val="0"/>
      <w:divBdr>
        <w:top w:val="none" w:sz="0" w:space="0" w:color="auto"/>
        <w:left w:val="none" w:sz="0" w:space="0" w:color="auto"/>
        <w:bottom w:val="none" w:sz="0" w:space="0" w:color="auto"/>
        <w:right w:val="none" w:sz="0" w:space="0" w:color="auto"/>
      </w:divBdr>
    </w:div>
    <w:div w:id="188764052">
      <w:bodyDiv w:val="1"/>
      <w:marLeft w:val="0"/>
      <w:marRight w:val="0"/>
      <w:marTop w:val="0"/>
      <w:marBottom w:val="0"/>
      <w:divBdr>
        <w:top w:val="none" w:sz="0" w:space="0" w:color="auto"/>
        <w:left w:val="none" w:sz="0" w:space="0" w:color="auto"/>
        <w:bottom w:val="none" w:sz="0" w:space="0" w:color="auto"/>
        <w:right w:val="none" w:sz="0" w:space="0" w:color="auto"/>
      </w:divBdr>
    </w:div>
    <w:div w:id="188836578">
      <w:bodyDiv w:val="1"/>
      <w:marLeft w:val="0"/>
      <w:marRight w:val="0"/>
      <w:marTop w:val="0"/>
      <w:marBottom w:val="0"/>
      <w:divBdr>
        <w:top w:val="none" w:sz="0" w:space="0" w:color="auto"/>
        <w:left w:val="none" w:sz="0" w:space="0" w:color="auto"/>
        <w:bottom w:val="none" w:sz="0" w:space="0" w:color="auto"/>
        <w:right w:val="none" w:sz="0" w:space="0" w:color="auto"/>
      </w:divBdr>
    </w:div>
    <w:div w:id="188878582">
      <w:bodyDiv w:val="1"/>
      <w:marLeft w:val="0"/>
      <w:marRight w:val="0"/>
      <w:marTop w:val="0"/>
      <w:marBottom w:val="0"/>
      <w:divBdr>
        <w:top w:val="none" w:sz="0" w:space="0" w:color="auto"/>
        <w:left w:val="none" w:sz="0" w:space="0" w:color="auto"/>
        <w:bottom w:val="none" w:sz="0" w:space="0" w:color="auto"/>
        <w:right w:val="none" w:sz="0" w:space="0" w:color="auto"/>
      </w:divBdr>
    </w:div>
    <w:div w:id="188952299">
      <w:bodyDiv w:val="1"/>
      <w:marLeft w:val="0"/>
      <w:marRight w:val="0"/>
      <w:marTop w:val="0"/>
      <w:marBottom w:val="0"/>
      <w:divBdr>
        <w:top w:val="none" w:sz="0" w:space="0" w:color="auto"/>
        <w:left w:val="none" w:sz="0" w:space="0" w:color="auto"/>
        <w:bottom w:val="none" w:sz="0" w:space="0" w:color="auto"/>
        <w:right w:val="none" w:sz="0" w:space="0" w:color="auto"/>
      </w:divBdr>
    </w:div>
    <w:div w:id="188953241">
      <w:bodyDiv w:val="1"/>
      <w:marLeft w:val="0"/>
      <w:marRight w:val="0"/>
      <w:marTop w:val="0"/>
      <w:marBottom w:val="0"/>
      <w:divBdr>
        <w:top w:val="none" w:sz="0" w:space="0" w:color="auto"/>
        <w:left w:val="none" w:sz="0" w:space="0" w:color="auto"/>
        <w:bottom w:val="none" w:sz="0" w:space="0" w:color="auto"/>
        <w:right w:val="none" w:sz="0" w:space="0" w:color="auto"/>
      </w:divBdr>
    </w:div>
    <w:div w:id="189148926">
      <w:bodyDiv w:val="1"/>
      <w:marLeft w:val="0"/>
      <w:marRight w:val="0"/>
      <w:marTop w:val="0"/>
      <w:marBottom w:val="0"/>
      <w:divBdr>
        <w:top w:val="none" w:sz="0" w:space="0" w:color="auto"/>
        <w:left w:val="none" w:sz="0" w:space="0" w:color="auto"/>
        <w:bottom w:val="none" w:sz="0" w:space="0" w:color="auto"/>
        <w:right w:val="none" w:sz="0" w:space="0" w:color="auto"/>
      </w:divBdr>
    </w:div>
    <w:div w:id="189149021">
      <w:bodyDiv w:val="1"/>
      <w:marLeft w:val="0"/>
      <w:marRight w:val="0"/>
      <w:marTop w:val="0"/>
      <w:marBottom w:val="0"/>
      <w:divBdr>
        <w:top w:val="none" w:sz="0" w:space="0" w:color="auto"/>
        <w:left w:val="none" w:sz="0" w:space="0" w:color="auto"/>
        <w:bottom w:val="none" w:sz="0" w:space="0" w:color="auto"/>
        <w:right w:val="none" w:sz="0" w:space="0" w:color="auto"/>
      </w:divBdr>
    </w:div>
    <w:div w:id="189150813">
      <w:bodyDiv w:val="1"/>
      <w:marLeft w:val="0"/>
      <w:marRight w:val="0"/>
      <w:marTop w:val="0"/>
      <w:marBottom w:val="0"/>
      <w:divBdr>
        <w:top w:val="none" w:sz="0" w:space="0" w:color="auto"/>
        <w:left w:val="none" w:sz="0" w:space="0" w:color="auto"/>
        <w:bottom w:val="none" w:sz="0" w:space="0" w:color="auto"/>
        <w:right w:val="none" w:sz="0" w:space="0" w:color="auto"/>
      </w:divBdr>
    </w:div>
    <w:div w:id="189489144">
      <w:bodyDiv w:val="1"/>
      <w:marLeft w:val="0"/>
      <w:marRight w:val="0"/>
      <w:marTop w:val="0"/>
      <w:marBottom w:val="0"/>
      <w:divBdr>
        <w:top w:val="none" w:sz="0" w:space="0" w:color="auto"/>
        <w:left w:val="none" w:sz="0" w:space="0" w:color="auto"/>
        <w:bottom w:val="none" w:sz="0" w:space="0" w:color="auto"/>
        <w:right w:val="none" w:sz="0" w:space="0" w:color="auto"/>
      </w:divBdr>
    </w:div>
    <w:div w:id="189682115">
      <w:bodyDiv w:val="1"/>
      <w:marLeft w:val="0"/>
      <w:marRight w:val="0"/>
      <w:marTop w:val="0"/>
      <w:marBottom w:val="0"/>
      <w:divBdr>
        <w:top w:val="none" w:sz="0" w:space="0" w:color="auto"/>
        <w:left w:val="none" w:sz="0" w:space="0" w:color="auto"/>
        <w:bottom w:val="none" w:sz="0" w:space="0" w:color="auto"/>
        <w:right w:val="none" w:sz="0" w:space="0" w:color="auto"/>
      </w:divBdr>
    </w:div>
    <w:div w:id="189690425">
      <w:bodyDiv w:val="1"/>
      <w:marLeft w:val="0"/>
      <w:marRight w:val="0"/>
      <w:marTop w:val="0"/>
      <w:marBottom w:val="0"/>
      <w:divBdr>
        <w:top w:val="none" w:sz="0" w:space="0" w:color="auto"/>
        <w:left w:val="none" w:sz="0" w:space="0" w:color="auto"/>
        <w:bottom w:val="none" w:sz="0" w:space="0" w:color="auto"/>
        <w:right w:val="none" w:sz="0" w:space="0" w:color="auto"/>
      </w:divBdr>
    </w:div>
    <w:div w:id="189802132">
      <w:bodyDiv w:val="1"/>
      <w:marLeft w:val="0"/>
      <w:marRight w:val="0"/>
      <w:marTop w:val="0"/>
      <w:marBottom w:val="0"/>
      <w:divBdr>
        <w:top w:val="none" w:sz="0" w:space="0" w:color="auto"/>
        <w:left w:val="none" w:sz="0" w:space="0" w:color="auto"/>
        <w:bottom w:val="none" w:sz="0" w:space="0" w:color="auto"/>
        <w:right w:val="none" w:sz="0" w:space="0" w:color="auto"/>
      </w:divBdr>
    </w:div>
    <w:div w:id="189925896">
      <w:bodyDiv w:val="1"/>
      <w:marLeft w:val="0"/>
      <w:marRight w:val="0"/>
      <w:marTop w:val="0"/>
      <w:marBottom w:val="0"/>
      <w:divBdr>
        <w:top w:val="none" w:sz="0" w:space="0" w:color="auto"/>
        <w:left w:val="none" w:sz="0" w:space="0" w:color="auto"/>
        <w:bottom w:val="none" w:sz="0" w:space="0" w:color="auto"/>
        <w:right w:val="none" w:sz="0" w:space="0" w:color="auto"/>
      </w:divBdr>
    </w:div>
    <w:div w:id="189955727">
      <w:bodyDiv w:val="1"/>
      <w:marLeft w:val="0"/>
      <w:marRight w:val="0"/>
      <w:marTop w:val="0"/>
      <w:marBottom w:val="0"/>
      <w:divBdr>
        <w:top w:val="none" w:sz="0" w:space="0" w:color="auto"/>
        <w:left w:val="none" w:sz="0" w:space="0" w:color="auto"/>
        <w:bottom w:val="none" w:sz="0" w:space="0" w:color="auto"/>
        <w:right w:val="none" w:sz="0" w:space="0" w:color="auto"/>
      </w:divBdr>
    </w:div>
    <w:div w:id="189993462">
      <w:bodyDiv w:val="1"/>
      <w:marLeft w:val="0"/>
      <w:marRight w:val="0"/>
      <w:marTop w:val="0"/>
      <w:marBottom w:val="0"/>
      <w:divBdr>
        <w:top w:val="none" w:sz="0" w:space="0" w:color="auto"/>
        <w:left w:val="none" w:sz="0" w:space="0" w:color="auto"/>
        <w:bottom w:val="none" w:sz="0" w:space="0" w:color="auto"/>
        <w:right w:val="none" w:sz="0" w:space="0" w:color="auto"/>
      </w:divBdr>
    </w:div>
    <w:div w:id="190186847">
      <w:bodyDiv w:val="1"/>
      <w:marLeft w:val="0"/>
      <w:marRight w:val="0"/>
      <w:marTop w:val="0"/>
      <w:marBottom w:val="0"/>
      <w:divBdr>
        <w:top w:val="none" w:sz="0" w:space="0" w:color="auto"/>
        <w:left w:val="none" w:sz="0" w:space="0" w:color="auto"/>
        <w:bottom w:val="none" w:sz="0" w:space="0" w:color="auto"/>
        <w:right w:val="none" w:sz="0" w:space="0" w:color="auto"/>
      </w:divBdr>
    </w:div>
    <w:div w:id="190343732">
      <w:bodyDiv w:val="1"/>
      <w:marLeft w:val="0"/>
      <w:marRight w:val="0"/>
      <w:marTop w:val="0"/>
      <w:marBottom w:val="0"/>
      <w:divBdr>
        <w:top w:val="none" w:sz="0" w:space="0" w:color="auto"/>
        <w:left w:val="none" w:sz="0" w:space="0" w:color="auto"/>
        <w:bottom w:val="none" w:sz="0" w:space="0" w:color="auto"/>
        <w:right w:val="none" w:sz="0" w:space="0" w:color="auto"/>
      </w:divBdr>
    </w:div>
    <w:div w:id="190454795">
      <w:bodyDiv w:val="1"/>
      <w:marLeft w:val="0"/>
      <w:marRight w:val="0"/>
      <w:marTop w:val="0"/>
      <w:marBottom w:val="0"/>
      <w:divBdr>
        <w:top w:val="none" w:sz="0" w:space="0" w:color="auto"/>
        <w:left w:val="none" w:sz="0" w:space="0" w:color="auto"/>
        <w:bottom w:val="none" w:sz="0" w:space="0" w:color="auto"/>
        <w:right w:val="none" w:sz="0" w:space="0" w:color="auto"/>
      </w:divBdr>
    </w:div>
    <w:div w:id="190459094">
      <w:bodyDiv w:val="1"/>
      <w:marLeft w:val="0"/>
      <w:marRight w:val="0"/>
      <w:marTop w:val="0"/>
      <w:marBottom w:val="0"/>
      <w:divBdr>
        <w:top w:val="none" w:sz="0" w:space="0" w:color="auto"/>
        <w:left w:val="none" w:sz="0" w:space="0" w:color="auto"/>
        <w:bottom w:val="none" w:sz="0" w:space="0" w:color="auto"/>
        <w:right w:val="none" w:sz="0" w:space="0" w:color="auto"/>
      </w:divBdr>
    </w:div>
    <w:div w:id="190461666">
      <w:bodyDiv w:val="1"/>
      <w:marLeft w:val="0"/>
      <w:marRight w:val="0"/>
      <w:marTop w:val="0"/>
      <w:marBottom w:val="0"/>
      <w:divBdr>
        <w:top w:val="none" w:sz="0" w:space="0" w:color="auto"/>
        <w:left w:val="none" w:sz="0" w:space="0" w:color="auto"/>
        <w:bottom w:val="none" w:sz="0" w:space="0" w:color="auto"/>
        <w:right w:val="none" w:sz="0" w:space="0" w:color="auto"/>
      </w:divBdr>
    </w:div>
    <w:div w:id="190532791">
      <w:bodyDiv w:val="1"/>
      <w:marLeft w:val="0"/>
      <w:marRight w:val="0"/>
      <w:marTop w:val="0"/>
      <w:marBottom w:val="0"/>
      <w:divBdr>
        <w:top w:val="none" w:sz="0" w:space="0" w:color="auto"/>
        <w:left w:val="none" w:sz="0" w:space="0" w:color="auto"/>
        <w:bottom w:val="none" w:sz="0" w:space="0" w:color="auto"/>
        <w:right w:val="none" w:sz="0" w:space="0" w:color="auto"/>
      </w:divBdr>
    </w:div>
    <w:div w:id="190533241">
      <w:bodyDiv w:val="1"/>
      <w:marLeft w:val="0"/>
      <w:marRight w:val="0"/>
      <w:marTop w:val="0"/>
      <w:marBottom w:val="0"/>
      <w:divBdr>
        <w:top w:val="none" w:sz="0" w:space="0" w:color="auto"/>
        <w:left w:val="none" w:sz="0" w:space="0" w:color="auto"/>
        <w:bottom w:val="none" w:sz="0" w:space="0" w:color="auto"/>
        <w:right w:val="none" w:sz="0" w:space="0" w:color="auto"/>
      </w:divBdr>
    </w:div>
    <w:div w:id="190534030">
      <w:bodyDiv w:val="1"/>
      <w:marLeft w:val="0"/>
      <w:marRight w:val="0"/>
      <w:marTop w:val="0"/>
      <w:marBottom w:val="0"/>
      <w:divBdr>
        <w:top w:val="none" w:sz="0" w:space="0" w:color="auto"/>
        <w:left w:val="none" w:sz="0" w:space="0" w:color="auto"/>
        <w:bottom w:val="none" w:sz="0" w:space="0" w:color="auto"/>
        <w:right w:val="none" w:sz="0" w:space="0" w:color="auto"/>
      </w:divBdr>
    </w:div>
    <w:div w:id="190608445">
      <w:bodyDiv w:val="1"/>
      <w:marLeft w:val="0"/>
      <w:marRight w:val="0"/>
      <w:marTop w:val="0"/>
      <w:marBottom w:val="0"/>
      <w:divBdr>
        <w:top w:val="none" w:sz="0" w:space="0" w:color="auto"/>
        <w:left w:val="none" w:sz="0" w:space="0" w:color="auto"/>
        <w:bottom w:val="none" w:sz="0" w:space="0" w:color="auto"/>
        <w:right w:val="none" w:sz="0" w:space="0" w:color="auto"/>
      </w:divBdr>
    </w:div>
    <w:div w:id="190806238">
      <w:bodyDiv w:val="1"/>
      <w:marLeft w:val="0"/>
      <w:marRight w:val="0"/>
      <w:marTop w:val="0"/>
      <w:marBottom w:val="0"/>
      <w:divBdr>
        <w:top w:val="none" w:sz="0" w:space="0" w:color="auto"/>
        <w:left w:val="none" w:sz="0" w:space="0" w:color="auto"/>
        <w:bottom w:val="none" w:sz="0" w:space="0" w:color="auto"/>
        <w:right w:val="none" w:sz="0" w:space="0" w:color="auto"/>
      </w:divBdr>
    </w:div>
    <w:div w:id="190842592">
      <w:bodyDiv w:val="1"/>
      <w:marLeft w:val="0"/>
      <w:marRight w:val="0"/>
      <w:marTop w:val="0"/>
      <w:marBottom w:val="0"/>
      <w:divBdr>
        <w:top w:val="none" w:sz="0" w:space="0" w:color="auto"/>
        <w:left w:val="none" w:sz="0" w:space="0" w:color="auto"/>
        <w:bottom w:val="none" w:sz="0" w:space="0" w:color="auto"/>
        <w:right w:val="none" w:sz="0" w:space="0" w:color="auto"/>
      </w:divBdr>
    </w:div>
    <w:div w:id="190923624">
      <w:bodyDiv w:val="1"/>
      <w:marLeft w:val="0"/>
      <w:marRight w:val="0"/>
      <w:marTop w:val="0"/>
      <w:marBottom w:val="0"/>
      <w:divBdr>
        <w:top w:val="none" w:sz="0" w:space="0" w:color="auto"/>
        <w:left w:val="none" w:sz="0" w:space="0" w:color="auto"/>
        <w:bottom w:val="none" w:sz="0" w:space="0" w:color="auto"/>
        <w:right w:val="none" w:sz="0" w:space="0" w:color="auto"/>
      </w:divBdr>
    </w:div>
    <w:div w:id="190994899">
      <w:bodyDiv w:val="1"/>
      <w:marLeft w:val="0"/>
      <w:marRight w:val="0"/>
      <w:marTop w:val="0"/>
      <w:marBottom w:val="0"/>
      <w:divBdr>
        <w:top w:val="none" w:sz="0" w:space="0" w:color="auto"/>
        <w:left w:val="none" w:sz="0" w:space="0" w:color="auto"/>
        <w:bottom w:val="none" w:sz="0" w:space="0" w:color="auto"/>
        <w:right w:val="none" w:sz="0" w:space="0" w:color="auto"/>
      </w:divBdr>
    </w:div>
    <w:div w:id="190997409">
      <w:bodyDiv w:val="1"/>
      <w:marLeft w:val="0"/>
      <w:marRight w:val="0"/>
      <w:marTop w:val="0"/>
      <w:marBottom w:val="0"/>
      <w:divBdr>
        <w:top w:val="none" w:sz="0" w:space="0" w:color="auto"/>
        <w:left w:val="none" w:sz="0" w:space="0" w:color="auto"/>
        <w:bottom w:val="none" w:sz="0" w:space="0" w:color="auto"/>
        <w:right w:val="none" w:sz="0" w:space="0" w:color="auto"/>
      </w:divBdr>
    </w:div>
    <w:div w:id="191039343">
      <w:bodyDiv w:val="1"/>
      <w:marLeft w:val="0"/>
      <w:marRight w:val="0"/>
      <w:marTop w:val="0"/>
      <w:marBottom w:val="0"/>
      <w:divBdr>
        <w:top w:val="none" w:sz="0" w:space="0" w:color="auto"/>
        <w:left w:val="none" w:sz="0" w:space="0" w:color="auto"/>
        <w:bottom w:val="none" w:sz="0" w:space="0" w:color="auto"/>
        <w:right w:val="none" w:sz="0" w:space="0" w:color="auto"/>
      </w:divBdr>
    </w:div>
    <w:div w:id="191185176">
      <w:bodyDiv w:val="1"/>
      <w:marLeft w:val="0"/>
      <w:marRight w:val="0"/>
      <w:marTop w:val="0"/>
      <w:marBottom w:val="0"/>
      <w:divBdr>
        <w:top w:val="none" w:sz="0" w:space="0" w:color="auto"/>
        <w:left w:val="none" w:sz="0" w:space="0" w:color="auto"/>
        <w:bottom w:val="none" w:sz="0" w:space="0" w:color="auto"/>
        <w:right w:val="none" w:sz="0" w:space="0" w:color="auto"/>
      </w:divBdr>
    </w:div>
    <w:div w:id="191234479">
      <w:bodyDiv w:val="1"/>
      <w:marLeft w:val="0"/>
      <w:marRight w:val="0"/>
      <w:marTop w:val="0"/>
      <w:marBottom w:val="0"/>
      <w:divBdr>
        <w:top w:val="none" w:sz="0" w:space="0" w:color="auto"/>
        <w:left w:val="none" w:sz="0" w:space="0" w:color="auto"/>
        <w:bottom w:val="none" w:sz="0" w:space="0" w:color="auto"/>
        <w:right w:val="none" w:sz="0" w:space="0" w:color="auto"/>
      </w:divBdr>
    </w:div>
    <w:div w:id="191261032">
      <w:bodyDiv w:val="1"/>
      <w:marLeft w:val="0"/>
      <w:marRight w:val="0"/>
      <w:marTop w:val="0"/>
      <w:marBottom w:val="0"/>
      <w:divBdr>
        <w:top w:val="none" w:sz="0" w:space="0" w:color="auto"/>
        <w:left w:val="none" w:sz="0" w:space="0" w:color="auto"/>
        <w:bottom w:val="none" w:sz="0" w:space="0" w:color="auto"/>
        <w:right w:val="none" w:sz="0" w:space="0" w:color="auto"/>
      </w:divBdr>
    </w:div>
    <w:div w:id="191307432">
      <w:bodyDiv w:val="1"/>
      <w:marLeft w:val="0"/>
      <w:marRight w:val="0"/>
      <w:marTop w:val="0"/>
      <w:marBottom w:val="0"/>
      <w:divBdr>
        <w:top w:val="none" w:sz="0" w:space="0" w:color="auto"/>
        <w:left w:val="none" w:sz="0" w:space="0" w:color="auto"/>
        <w:bottom w:val="none" w:sz="0" w:space="0" w:color="auto"/>
        <w:right w:val="none" w:sz="0" w:space="0" w:color="auto"/>
      </w:divBdr>
    </w:div>
    <w:div w:id="191461146">
      <w:bodyDiv w:val="1"/>
      <w:marLeft w:val="0"/>
      <w:marRight w:val="0"/>
      <w:marTop w:val="0"/>
      <w:marBottom w:val="0"/>
      <w:divBdr>
        <w:top w:val="none" w:sz="0" w:space="0" w:color="auto"/>
        <w:left w:val="none" w:sz="0" w:space="0" w:color="auto"/>
        <w:bottom w:val="none" w:sz="0" w:space="0" w:color="auto"/>
        <w:right w:val="none" w:sz="0" w:space="0" w:color="auto"/>
      </w:divBdr>
    </w:div>
    <w:div w:id="191766120">
      <w:bodyDiv w:val="1"/>
      <w:marLeft w:val="0"/>
      <w:marRight w:val="0"/>
      <w:marTop w:val="0"/>
      <w:marBottom w:val="0"/>
      <w:divBdr>
        <w:top w:val="none" w:sz="0" w:space="0" w:color="auto"/>
        <w:left w:val="none" w:sz="0" w:space="0" w:color="auto"/>
        <w:bottom w:val="none" w:sz="0" w:space="0" w:color="auto"/>
        <w:right w:val="none" w:sz="0" w:space="0" w:color="auto"/>
      </w:divBdr>
    </w:div>
    <w:div w:id="191768340">
      <w:bodyDiv w:val="1"/>
      <w:marLeft w:val="0"/>
      <w:marRight w:val="0"/>
      <w:marTop w:val="0"/>
      <w:marBottom w:val="0"/>
      <w:divBdr>
        <w:top w:val="none" w:sz="0" w:space="0" w:color="auto"/>
        <w:left w:val="none" w:sz="0" w:space="0" w:color="auto"/>
        <w:bottom w:val="none" w:sz="0" w:space="0" w:color="auto"/>
        <w:right w:val="none" w:sz="0" w:space="0" w:color="auto"/>
      </w:divBdr>
    </w:div>
    <w:div w:id="191769805">
      <w:bodyDiv w:val="1"/>
      <w:marLeft w:val="0"/>
      <w:marRight w:val="0"/>
      <w:marTop w:val="0"/>
      <w:marBottom w:val="0"/>
      <w:divBdr>
        <w:top w:val="none" w:sz="0" w:space="0" w:color="auto"/>
        <w:left w:val="none" w:sz="0" w:space="0" w:color="auto"/>
        <w:bottom w:val="none" w:sz="0" w:space="0" w:color="auto"/>
        <w:right w:val="none" w:sz="0" w:space="0" w:color="auto"/>
      </w:divBdr>
    </w:div>
    <w:div w:id="191959709">
      <w:bodyDiv w:val="1"/>
      <w:marLeft w:val="0"/>
      <w:marRight w:val="0"/>
      <w:marTop w:val="0"/>
      <w:marBottom w:val="0"/>
      <w:divBdr>
        <w:top w:val="none" w:sz="0" w:space="0" w:color="auto"/>
        <w:left w:val="none" w:sz="0" w:space="0" w:color="auto"/>
        <w:bottom w:val="none" w:sz="0" w:space="0" w:color="auto"/>
        <w:right w:val="none" w:sz="0" w:space="0" w:color="auto"/>
      </w:divBdr>
    </w:div>
    <w:div w:id="192034929">
      <w:bodyDiv w:val="1"/>
      <w:marLeft w:val="0"/>
      <w:marRight w:val="0"/>
      <w:marTop w:val="0"/>
      <w:marBottom w:val="0"/>
      <w:divBdr>
        <w:top w:val="none" w:sz="0" w:space="0" w:color="auto"/>
        <w:left w:val="none" w:sz="0" w:space="0" w:color="auto"/>
        <w:bottom w:val="none" w:sz="0" w:space="0" w:color="auto"/>
        <w:right w:val="none" w:sz="0" w:space="0" w:color="auto"/>
      </w:divBdr>
    </w:div>
    <w:div w:id="192040171">
      <w:bodyDiv w:val="1"/>
      <w:marLeft w:val="0"/>
      <w:marRight w:val="0"/>
      <w:marTop w:val="0"/>
      <w:marBottom w:val="0"/>
      <w:divBdr>
        <w:top w:val="none" w:sz="0" w:space="0" w:color="auto"/>
        <w:left w:val="none" w:sz="0" w:space="0" w:color="auto"/>
        <w:bottom w:val="none" w:sz="0" w:space="0" w:color="auto"/>
        <w:right w:val="none" w:sz="0" w:space="0" w:color="auto"/>
      </w:divBdr>
    </w:div>
    <w:div w:id="192423324">
      <w:bodyDiv w:val="1"/>
      <w:marLeft w:val="0"/>
      <w:marRight w:val="0"/>
      <w:marTop w:val="0"/>
      <w:marBottom w:val="0"/>
      <w:divBdr>
        <w:top w:val="none" w:sz="0" w:space="0" w:color="auto"/>
        <w:left w:val="none" w:sz="0" w:space="0" w:color="auto"/>
        <w:bottom w:val="none" w:sz="0" w:space="0" w:color="auto"/>
        <w:right w:val="none" w:sz="0" w:space="0" w:color="auto"/>
      </w:divBdr>
    </w:div>
    <w:div w:id="192617732">
      <w:bodyDiv w:val="1"/>
      <w:marLeft w:val="0"/>
      <w:marRight w:val="0"/>
      <w:marTop w:val="0"/>
      <w:marBottom w:val="0"/>
      <w:divBdr>
        <w:top w:val="none" w:sz="0" w:space="0" w:color="auto"/>
        <w:left w:val="none" w:sz="0" w:space="0" w:color="auto"/>
        <w:bottom w:val="none" w:sz="0" w:space="0" w:color="auto"/>
        <w:right w:val="none" w:sz="0" w:space="0" w:color="auto"/>
      </w:divBdr>
    </w:div>
    <w:div w:id="192692326">
      <w:bodyDiv w:val="1"/>
      <w:marLeft w:val="0"/>
      <w:marRight w:val="0"/>
      <w:marTop w:val="0"/>
      <w:marBottom w:val="0"/>
      <w:divBdr>
        <w:top w:val="none" w:sz="0" w:space="0" w:color="auto"/>
        <w:left w:val="none" w:sz="0" w:space="0" w:color="auto"/>
        <w:bottom w:val="none" w:sz="0" w:space="0" w:color="auto"/>
        <w:right w:val="none" w:sz="0" w:space="0" w:color="auto"/>
      </w:divBdr>
    </w:div>
    <w:div w:id="192883151">
      <w:bodyDiv w:val="1"/>
      <w:marLeft w:val="0"/>
      <w:marRight w:val="0"/>
      <w:marTop w:val="0"/>
      <w:marBottom w:val="0"/>
      <w:divBdr>
        <w:top w:val="none" w:sz="0" w:space="0" w:color="auto"/>
        <w:left w:val="none" w:sz="0" w:space="0" w:color="auto"/>
        <w:bottom w:val="none" w:sz="0" w:space="0" w:color="auto"/>
        <w:right w:val="none" w:sz="0" w:space="0" w:color="auto"/>
      </w:divBdr>
    </w:div>
    <w:div w:id="192957775">
      <w:bodyDiv w:val="1"/>
      <w:marLeft w:val="0"/>
      <w:marRight w:val="0"/>
      <w:marTop w:val="0"/>
      <w:marBottom w:val="0"/>
      <w:divBdr>
        <w:top w:val="none" w:sz="0" w:space="0" w:color="auto"/>
        <w:left w:val="none" w:sz="0" w:space="0" w:color="auto"/>
        <w:bottom w:val="none" w:sz="0" w:space="0" w:color="auto"/>
        <w:right w:val="none" w:sz="0" w:space="0" w:color="auto"/>
      </w:divBdr>
    </w:div>
    <w:div w:id="192960164">
      <w:bodyDiv w:val="1"/>
      <w:marLeft w:val="0"/>
      <w:marRight w:val="0"/>
      <w:marTop w:val="0"/>
      <w:marBottom w:val="0"/>
      <w:divBdr>
        <w:top w:val="none" w:sz="0" w:space="0" w:color="auto"/>
        <w:left w:val="none" w:sz="0" w:space="0" w:color="auto"/>
        <w:bottom w:val="none" w:sz="0" w:space="0" w:color="auto"/>
        <w:right w:val="none" w:sz="0" w:space="0" w:color="auto"/>
      </w:divBdr>
    </w:div>
    <w:div w:id="193004132">
      <w:bodyDiv w:val="1"/>
      <w:marLeft w:val="0"/>
      <w:marRight w:val="0"/>
      <w:marTop w:val="0"/>
      <w:marBottom w:val="0"/>
      <w:divBdr>
        <w:top w:val="none" w:sz="0" w:space="0" w:color="auto"/>
        <w:left w:val="none" w:sz="0" w:space="0" w:color="auto"/>
        <w:bottom w:val="none" w:sz="0" w:space="0" w:color="auto"/>
        <w:right w:val="none" w:sz="0" w:space="0" w:color="auto"/>
      </w:divBdr>
    </w:div>
    <w:div w:id="193035764">
      <w:bodyDiv w:val="1"/>
      <w:marLeft w:val="0"/>
      <w:marRight w:val="0"/>
      <w:marTop w:val="0"/>
      <w:marBottom w:val="0"/>
      <w:divBdr>
        <w:top w:val="none" w:sz="0" w:space="0" w:color="auto"/>
        <w:left w:val="none" w:sz="0" w:space="0" w:color="auto"/>
        <w:bottom w:val="none" w:sz="0" w:space="0" w:color="auto"/>
        <w:right w:val="none" w:sz="0" w:space="0" w:color="auto"/>
      </w:divBdr>
    </w:div>
    <w:div w:id="193076094">
      <w:bodyDiv w:val="1"/>
      <w:marLeft w:val="0"/>
      <w:marRight w:val="0"/>
      <w:marTop w:val="0"/>
      <w:marBottom w:val="0"/>
      <w:divBdr>
        <w:top w:val="none" w:sz="0" w:space="0" w:color="auto"/>
        <w:left w:val="none" w:sz="0" w:space="0" w:color="auto"/>
        <w:bottom w:val="none" w:sz="0" w:space="0" w:color="auto"/>
        <w:right w:val="none" w:sz="0" w:space="0" w:color="auto"/>
      </w:divBdr>
    </w:div>
    <w:div w:id="193154406">
      <w:bodyDiv w:val="1"/>
      <w:marLeft w:val="0"/>
      <w:marRight w:val="0"/>
      <w:marTop w:val="0"/>
      <w:marBottom w:val="0"/>
      <w:divBdr>
        <w:top w:val="none" w:sz="0" w:space="0" w:color="auto"/>
        <w:left w:val="none" w:sz="0" w:space="0" w:color="auto"/>
        <w:bottom w:val="none" w:sz="0" w:space="0" w:color="auto"/>
        <w:right w:val="none" w:sz="0" w:space="0" w:color="auto"/>
      </w:divBdr>
    </w:div>
    <w:div w:id="193154522">
      <w:bodyDiv w:val="1"/>
      <w:marLeft w:val="0"/>
      <w:marRight w:val="0"/>
      <w:marTop w:val="0"/>
      <w:marBottom w:val="0"/>
      <w:divBdr>
        <w:top w:val="none" w:sz="0" w:space="0" w:color="auto"/>
        <w:left w:val="none" w:sz="0" w:space="0" w:color="auto"/>
        <w:bottom w:val="none" w:sz="0" w:space="0" w:color="auto"/>
        <w:right w:val="none" w:sz="0" w:space="0" w:color="auto"/>
      </w:divBdr>
    </w:div>
    <w:div w:id="193157565">
      <w:bodyDiv w:val="1"/>
      <w:marLeft w:val="0"/>
      <w:marRight w:val="0"/>
      <w:marTop w:val="0"/>
      <w:marBottom w:val="0"/>
      <w:divBdr>
        <w:top w:val="none" w:sz="0" w:space="0" w:color="auto"/>
        <w:left w:val="none" w:sz="0" w:space="0" w:color="auto"/>
        <w:bottom w:val="none" w:sz="0" w:space="0" w:color="auto"/>
        <w:right w:val="none" w:sz="0" w:space="0" w:color="auto"/>
      </w:divBdr>
    </w:div>
    <w:div w:id="193232177">
      <w:bodyDiv w:val="1"/>
      <w:marLeft w:val="0"/>
      <w:marRight w:val="0"/>
      <w:marTop w:val="0"/>
      <w:marBottom w:val="0"/>
      <w:divBdr>
        <w:top w:val="none" w:sz="0" w:space="0" w:color="auto"/>
        <w:left w:val="none" w:sz="0" w:space="0" w:color="auto"/>
        <w:bottom w:val="none" w:sz="0" w:space="0" w:color="auto"/>
        <w:right w:val="none" w:sz="0" w:space="0" w:color="auto"/>
      </w:divBdr>
    </w:div>
    <w:div w:id="193350139">
      <w:bodyDiv w:val="1"/>
      <w:marLeft w:val="0"/>
      <w:marRight w:val="0"/>
      <w:marTop w:val="0"/>
      <w:marBottom w:val="0"/>
      <w:divBdr>
        <w:top w:val="none" w:sz="0" w:space="0" w:color="auto"/>
        <w:left w:val="none" w:sz="0" w:space="0" w:color="auto"/>
        <w:bottom w:val="none" w:sz="0" w:space="0" w:color="auto"/>
        <w:right w:val="none" w:sz="0" w:space="0" w:color="auto"/>
      </w:divBdr>
    </w:div>
    <w:div w:id="193615016">
      <w:bodyDiv w:val="1"/>
      <w:marLeft w:val="0"/>
      <w:marRight w:val="0"/>
      <w:marTop w:val="0"/>
      <w:marBottom w:val="0"/>
      <w:divBdr>
        <w:top w:val="none" w:sz="0" w:space="0" w:color="auto"/>
        <w:left w:val="none" w:sz="0" w:space="0" w:color="auto"/>
        <w:bottom w:val="none" w:sz="0" w:space="0" w:color="auto"/>
        <w:right w:val="none" w:sz="0" w:space="0" w:color="auto"/>
      </w:divBdr>
    </w:div>
    <w:div w:id="193620673">
      <w:bodyDiv w:val="1"/>
      <w:marLeft w:val="0"/>
      <w:marRight w:val="0"/>
      <w:marTop w:val="0"/>
      <w:marBottom w:val="0"/>
      <w:divBdr>
        <w:top w:val="none" w:sz="0" w:space="0" w:color="auto"/>
        <w:left w:val="none" w:sz="0" w:space="0" w:color="auto"/>
        <w:bottom w:val="none" w:sz="0" w:space="0" w:color="auto"/>
        <w:right w:val="none" w:sz="0" w:space="0" w:color="auto"/>
      </w:divBdr>
    </w:div>
    <w:div w:id="193663989">
      <w:bodyDiv w:val="1"/>
      <w:marLeft w:val="0"/>
      <w:marRight w:val="0"/>
      <w:marTop w:val="0"/>
      <w:marBottom w:val="0"/>
      <w:divBdr>
        <w:top w:val="none" w:sz="0" w:space="0" w:color="auto"/>
        <w:left w:val="none" w:sz="0" w:space="0" w:color="auto"/>
        <w:bottom w:val="none" w:sz="0" w:space="0" w:color="auto"/>
        <w:right w:val="none" w:sz="0" w:space="0" w:color="auto"/>
      </w:divBdr>
    </w:div>
    <w:div w:id="193814050">
      <w:bodyDiv w:val="1"/>
      <w:marLeft w:val="0"/>
      <w:marRight w:val="0"/>
      <w:marTop w:val="0"/>
      <w:marBottom w:val="0"/>
      <w:divBdr>
        <w:top w:val="none" w:sz="0" w:space="0" w:color="auto"/>
        <w:left w:val="none" w:sz="0" w:space="0" w:color="auto"/>
        <w:bottom w:val="none" w:sz="0" w:space="0" w:color="auto"/>
        <w:right w:val="none" w:sz="0" w:space="0" w:color="auto"/>
      </w:divBdr>
    </w:div>
    <w:div w:id="193855928">
      <w:bodyDiv w:val="1"/>
      <w:marLeft w:val="0"/>
      <w:marRight w:val="0"/>
      <w:marTop w:val="0"/>
      <w:marBottom w:val="0"/>
      <w:divBdr>
        <w:top w:val="none" w:sz="0" w:space="0" w:color="auto"/>
        <w:left w:val="none" w:sz="0" w:space="0" w:color="auto"/>
        <w:bottom w:val="none" w:sz="0" w:space="0" w:color="auto"/>
        <w:right w:val="none" w:sz="0" w:space="0" w:color="auto"/>
      </w:divBdr>
    </w:div>
    <w:div w:id="193887115">
      <w:bodyDiv w:val="1"/>
      <w:marLeft w:val="0"/>
      <w:marRight w:val="0"/>
      <w:marTop w:val="0"/>
      <w:marBottom w:val="0"/>
      <w:divBdr>
        <w:top w:val="none" w:sz="0" w:space="0" w:color="auto"/>
        <w:left w:val="none" w:sz="0" w:space="0" w:color="auto"/>
        <w:bottom w:val="none" w:sz="0" w:space="0" w:color="auto"/>
        <w:right w:val="none" w:sz="0" w:space="0" w:color="auto"/>
      </w:divBdr>
    </w:div>
    <w:div w:id="193924991">
      <w:bodyDiv w:val="1"/>
      <w:marLeft w:val="0"/>
      <w:marRight w:val="0"/>
      <w:marTop w:val="0"/>
      <w:marBottom w:val="0"/>
      <w:divBdr>
        <w:top w:val="none" w:sz="0" w:space="0" w:color="auto"/>
        <w:left w:val="none" w:sz="0" w:space="0" w:color="auto"/>
        <w:bottom w:val="none" w:sz="0" w:space="0" w:color="auto"/>
        <w:right w:val="none" w:sz="0" w:space="0" w:color="auto"/>
      </w:divBdr>
    </w:div>
    <w:div w:id="194074946">
      <w:bodyDiv w:val="1"/>
      <w:marLeft w:val="0"/>
      <w:marRight w:val="0"/>
      <w:marTop w:val="0"/>
      <w:marBottom w:val="0"/>
      <w:divBdr>
        <w:top w:val="none" w:sz="0" w:space="0" w:color="auto"/>
        <w:left w:val="none" w:sz="0" w:space="0" w:color="auto"/>
        <w:bottom w:val="none" w:sz="0" w:space="0" w:color="auto"/>
        <w:right w:val="none" w:sz="0" w:space="0" w:color="auto"/>
      </w:divBdr>
    </w:div>
    <w:div w:id="194077486">
      <w:bodyDiv w:val="1"/>
      <w:marLeft w:val="0"/>
      <w:marRight w:val="0"/>
      <w:marTop w:val="0"/>
      <w:marBottom w:val="0"/>
      <w:divBdr>
        <w:top w:val="none" w:sz="0" w:space="0" w:color="auto"/>
        <w:left w:val="none" w:sz="0" w:space="0" w:color="auto"/>
        <w:bottom w:val="none" w:sz="0" w:space="0" w:color="auto"/>
        <w:right w:val="none" w:sz="0" w:space="0" w:color="auto"/>
      </w:divBdr>
    </w:div>
    <w:div w:id="194081972">
      <w:bodyDiv w:val="1"/>
      <w:marLeft w:val="0"/>
      <w:marRight w:val="0"/>
      <w:marTop w:val="0"/>
      <w:marBottom w:val="0"/>
      <w:divBdr>
        <w:top w:val="none" w:sz="0" w:space="0" w:color="auto"/>
        <w:left w:val="none" w:sz="0" w:space="0" w:color="auto"/>
        <w:bottom w:val="none" w:sz="0" w:space="0" w:color="auto"/>
        <w:right w:val="none" w:sz="0" w:space="0" w:color="auto"/>
      </w:divBdr>
    </w:div>
    <w:div w:id="194124695">
      <w:bodyDiv w:val="1"/>
      <w:marLeft w:val="0"/>
      <w:marRight w:val="0"/>
      <w:marTop w:val="0"/>
      <w:marBottom w:val="0"/>
      <w:divBdr>
        <w:top w:val="none" w:sz="0" w:space="0" w:color="auto"/>
        <w:left w:val="none" w:sz="0" w:space="0" w:color="auto"/>
        <w:bottom w:val="none" w:sz="0" w:space="0" w:color="auto"/>
        <w:right w:val="none" w:sz="0" w:space="0" w:color="auto"/>
      </w:divBdr>
    </w:div>
    <w:div w:id="194125227">
      <w:bodyDiv w:val="1"/>
      <w:marLeft w:val="0"/>
      <w:marRight w:val="0"/>
      <w:marTop w:val="0"/>
      <w:marBottom w:val="0"/>
      <w:divBdr>
        <w:top w:val="none" w:sz="0" w:space="0" w:color="auto"/>
        <w:left w:val="none" w:sz="0" w:space="0" w:color="auto"/>
        <w:bottom w:val="none" w:sz="0" w:space="0" w:color="auto"/>
        <w:right w:val="none" w:sz="0" w:space="0" w:color="auto"/>
      </w:divBdr>
    </w:div>
    <w:div w:id="194127061">
      <w:bodyDiv w:val="1"/>
      <w:marLeft w:val="0"/>
      <w:marRight w:val="0"/>
      <w:marTop w:val="0"/>
      <w:marBottom w:val="0"/>
      <w:divBdr>
        <w:top w:val="none" w:sz="0" w:space="0" w:color="auto"/>
        <w:left w:val="none" w:sz="0" w:space="0" w:color="auto"/>
        <w:bottom w:val="none" w:sz="0" w:space="0" w:color="auto"/>
        <w:right w:val="none" w:sz="0" w:space="0" w:color="auto"/>
      </w:divBdr>
    </w:div>
    <w:div w:id="194195350">
      <w:bodyDiv w:val="1"/>
      <w:marLeft w:val="0"/>
      <w:marRight w:val="0"/>
      <w:marTop w:val="0"/>
      <w:marBottom w:val="0"/>
      <w:divBdr>
        <w:top w:val="none" w:sz="0" w:space="0" w:color="auto"/>
        <w:left w:val="none" w:sz="0" w:space="0" w:color="auto"/>
        <w:bottom w:val="none" w:sz="0" w:space="0" w:color="auto"/>
        <w:right w:val="none" w:sz="0" w:space="0" w:color="auto"/>
      </w:divBdr>
    </w:div>
    <w:div w:id="194197751">
      <w:bodyDiv w:val="1"/>
      <w:marLeft w:val="0"/>
      <w:marRight w:val="0"/>
      <w:marTop w:val="0"/>
      <w:marBottom w:val="0"/>
      <w:divBdr>
        <w:top w:val="none" w:sz="0" w:space="0" w:color="auto"/>
        <w:left w:val="none" w:sz="0" w:space="0" w:color="auto"/>
        <w:bottom w:val="none" w:sz="0" w:space="0" w:color="auto"/>
        <w:right w:val="none" w:sz="0" w:space="0" w:color="auto"/>
      </w:divBdr>
    </w:div>
    <w:div w:id="194199834">
      <w:bodyDiv w:val="1"/>
      <w:marLeft w:val="0"/>
      <w:marRight w:val="0"/>
      <w:marTop w:val="0"/>
      <w:marBottom w:val="0"/>
      <w:divBdr>
        <w:top w:val="none" w:sz="0" w:space="0" w:color="auto"/>
        <w:left w:val="none" w:sz="0" w:space="0" w:color="auto"/>
        <w:bottom w:val="none" w:sz="0" w:space="0" w:color="auto"/>
        <w:right w:val="none" w:sz="0" w:space="0" w:color="auto"/>
      </w:divBdr>
    </w:div>
    <w:div w:id="194317335">
      <w:bodyDiv w:val="1"/>
      <w:marLeft w:val="0"/>
      <w:marRight w:val="0"/>
      <w:marTop w:val="0"/>
      <w:marBottom w:val="0"/>
      <w:divBdr>
        <w:top w:val="none" w:sz="0" w:space="0" w:color="auto"/>
        <w:left w:val="none" w:sz="0" w:space="0" w:color="auto"/>
        <w:bottom w:val="none" w:sz="0" w:space="0" w:color="auto"/>
        <w:right w:val="none" w:sz="0" w:space="0" w:color="auto"/>
      </w:divBdr>
    </w:div>
    <w:div w:id="194511596">
      <w:bodyDiv w:val="1"/>
      <w:marLeft w:val="0"/>
      <w:marRight w:val="0"/>
      <w:marTop w:val="0"/>
      <w:marBottom w:val="0"/>
      <w:divBdr>
        <w:top w:val="none" w:sz="0" w:space="0" w:color="auto"/>
        <w:left w:val="none" w:sz="0" w:space="0" w:color="auto"/>
        <w:bottom w:val="none" w:sz="0" w:space="0" w:color="auto"/>
        <w:right w:val="none" w:sz="0" w:space="0" w:color="auto"/>
      </w:divBdr>
    </w:div>
    <w:div w:id="194538082">
      <w:bodyDiv w:val="1"/>
      <w:marLeft w:val="0"/>
      <w:marRight w:val="0"/>
      <w:marTop w:val="0"/>
      <w:marBottom w:val="0"/>
      <w:divBdr>
        <w:top w:val="none" w:sz="0" w:space="0" w:color="auto"/>
        <w:left w:val="none" w:sz="0" w:space="0" w:color="auto"/>
        <w:bottom w:val="none" w:sz="0" w:space="0" w:color="auto"/>
        <w:right w:val="none" w:sz="0" w:space="0" w:color="auto"/>
      </w:divBdr>
    </w:div>
    <w:div w:id="194543174">
      <w:bodyDiv w:val="1"/>
      <w:marLeft w:val="0"/>
      <w:marRight w:val="0"/>
      <w:marTop w:val="0"/>
      <w:marBottom w:val="0"/>
      <w:divBdr>
        <w:top w:val="none" w:sz="0" w:space="0" w:color="auto"/>
        <w:left w:val="none" w:sz="0" w:space="0" w:color="auto"/>
        <w:bottom w:val="none" w:sz="0" w:space="0" w:color="auto"/>
        <w:right w:val="none" w:sz="0" w:space="0" w:color="auto"/>
      </w:divBdr>
    </w:div>
    <w:div w:id="194583432">
      <w:bodyDiv w:val="1"/>
      <w:marLeft w:val="0"/>
      <w:marRight w:val="0"/>
      <w:marTop w:val="0"/>
      <w:marBottom w:val="0"/>
      <w:divBdr>
        <w:top w:val="none" w:sz="0" w:space="0" w:color="auto"/>
        <w:left w:val="none" w:sz="0" w:space="0" w:color="auto"/>
        <w:bottom w:val="none" w:sz="0" w:space="0" w:color="auto"/>
        <w:right w:val="none" w:sz="0" w:space="0" w:color="auto"/>
      </w:divBdr>
    </w:div>
    <w:div w:id="194587425">
      <w:bodyDiv w:val="1"/>
      <w:marLeft w:val="0"/>
      <w:marRight w:val="0"/>
      <w:marTop w:val="0"/>
      <w:marBottom w:val="0"/>
      <w:divBdr>
        <w:top w:val="none" w:sz="0" w:space="0" w:color="auto"/>
        <w:left w:val="none" w:sz="0" w:space="0" w:color="auto"/>
        <w:bottom w:val="none" w:sz="0" w:space="0" w:color="auto"/>
        <w:right w:val="none" w:sz="0" w:space="0" w:color="auto"/>
      </w:divBdr>
    </w:div>
    <w:div w:id="194588383">
      <w:bodyDiv w:val="1"/>
      <w:marLeft w:val="0"/>
      <w:marRight w:val="0"/>
      <w:marTop w:val="0"/>
      <w:marBottom w:val="0"/>
      <w:divBdr>
        <w:top w:val="none" w:sz="0" w:space="0" w:color="auto"/>
        <w:left w:val="none" w:sz="0" w:space="0" w:color="auto"/>
        <w:bottom w:val="none" w:sz="0" w:space="0" w:color="auto"/>
        <w:right w:val="none" w:sz="0" w:space="0" w:color="auto"/>
      </w:divBdr>
    </w:div>
    <w:div w:id="194738578">
      <w:bodyDiv w:val="1"/>
      <w:marLeft w:val="0"/>
      <w:marRight w:val="0"/>
      <w:marTop w:val="0"/>
      <w:marBottom w:val="0"/>
      <w:divBdr>
        <w:top w:val="none" w:sz="0" w:space="0" w:color="auto"/>
        <w:left w:val="none" w:sz="0" w:space="0" w:color="auto"/>
        <w:bottom w:val="none" w:sz="0" w:space="0" w:color="auto"/>
        <w:right w:val="none" w:sz="0" w:space="0" w:color="auto"/>
      </w:divBdr>
    </w:div>
    <w:div w:id="194854057">
      <w:bodyDiv w:val="1"/>
      <w:marLeft w:val="0"/>
      <w:marRight w:val="0"/>
      <w:marTop w:val="0"/>
      <w:marBottom w:val="0"/>
      <w:divBdr>
        <w:top w:val="none" w:sz="0" w:space="0" w:color="auto"/>
        <w:left w:val="none" w:sz="0" w:space="0" w:color="auto"/>
        <w:bottom w:val="none" w:sz="0" w:space="0" w:color="auto"/>
        <w:right w:val="none" w:sz="0" w:space="0" w:color="auto"/>
      </w:divBdr>
    </w:div>
    <w:div w:id="194933060">
      <w:bodyDiv w:val="1"/>
      <w:marLeft w:val="0"/>
      <w:marRight w:val="0"/>
      <w:marTop w:val="0"/>
      <w:marBottom w:val="0"/>
      <w:divBdr>
        <w:top w:val="none" w:sz="0" w:space="0" w:color="auto"/>
        <w:left w:val="none" w:sz="0" w:space="0" w:color="auto"/>
        <w:bottom w:val="none" w:sz="0" w:space="0" w:color="auto"/>
        <w:right w:val="none" w:sz="0" w:space="0" w:color="auto"/>
      </w:divBdr>
    </w:div>
    <w:div w:id="195043643">
      <w:bodyDiv w:val="1"/>
      <w:marLeft w:val="0"/>
      <w:marRight w:val="0"/>
      <w:marTop w:val="0"/>
      <w:marBottom w:val="0"/>
      <w:divBdr>
        <w:top w:val="none" w:sz="0" w:space="0" w:color="auto"/>
        <w:left w:val="none" w:sz="0" w:space="0" w:color="auto"/>
        <w:bottom w:val="none" w:sz="0" w:space="0" w:color="auto"/>
        <w:right w:val="none" w:sz="0" w:space="0" w:color="auto"/>
      </w:divBdr>
    </w:div>
    <w:div w:id="195236106">
      <w:bodyDiv w:val="1"/>
      <w:marLeft w:val="0"/>
      <w:marRight w:val="0"/>
      <w:marTop w:val="0"/>
      <w:marBottom w:val="0"/>
      <w:divBdr>
        <w:top w:val="none" w:sz="0" w:space="0" w:color="auto"/>
        <w:left w:val="none" w:sz="0" w:space="0" w:color="auto"/>
        <w:bottom w:val="none" w:sz="0" w:space="0" w:color="auto"/>
        <w:right w:val="none" w:sz="0" w:space="0" w:color="auto"/>
      </w:divBdr>
    </w:div>
    <w:div w:id="195241473">
      <w:bodyDiv w:val="1"/>
      <w:marLeft w:val="0"/>
      <w:marRight w:val="0"/>
      <w:marTop w:val="0"/>
      <w:marBottom w:val="0"/>
      <w:divBdr>
        <w:top w:val="none" w:sz="0" w:space="0" w:color="auto"/>
        <w:left w:val="none" w:sz="0" w:space="0" w:color="auto"/>
        <w:bottom w:val="none" w:sz="0" w:space="0" w:color="auto"/>
        <w:right w:val="none" w:sz="0" w:space="0" w:color="auto"/>
      </w:divBdr>
    </w:div>
    <w:div w:id="195392420">
      <w:bodyDiv w:val="1"/>
      <w:marLeft w:val="0"/>
      <w:marRight w:val="0"/>
      <w:marTop w:val="0"/>
      <w:marBottom w:val="0"/>
      <w:divBdr>
        <w:top w:val="none" w:sz="0" w:space="0" w:color="auto"/>
        <w:left w:val="none" w:sz="0" w:space="0" w:color="auto"/>
        <w:bottom w:val="none" w:sz="0" w:space="0" w:color="auto"/>
        <w:right w:val="none" w:sz="0" w:space="0" w:color="auto"/>
      </w:divBdr>
    </w:div>
    <w:div w:id="195436242">
      <w:bodyDiv w:val="1"/>
      <w:marLeft w:val="0"/>
      <w:marRight w:val="0"/>
      <w:marTop w:val="0"/>
      <w:marBottom w:val="0"/>
      <w:divBdr>
        <w:top w:val="none" w:sz="0" w:space="0" w:color="auto"/>
        <w:left w:val="none" w:sz="0" w:space="0" w:color="auto"/>
        <w:bottom w:val="none" w:sz="0" w:space="0" w:color="auto"/>
        <w:right w:val="none" w:sz="0" w:space="0" w:color="auto"/>
      </w:divBdr>
    </w:div>
    <w:div w:id="195503570">
      <w:bodyDiv w:val="1"/>
      <w:marLeft w:val="0"/>
      <w:marRight w:val="0"/>
      <w:marTop w:val="0"/>
      <w:marBottom w:val="0"/>
      <w:divBdr>
        <w:top w:val="none" w:sz="0" w:space="0" w:color="auto"/>
        <w:left w:val="none" w:sz="0" w:space="0" w:color="auto"/>
        <w:bottom w:val="none" w:sz="0" w:space="0" w:color="auto"/>
        <w:right w:val="none" w:sz="0" w:space="0" w:color="auto"/>
      </w:divBdr>
    </w:div>
    <w:div w:id="195626801">
      <w:bodyDiv w:val="1"/>
      <w:marLeft w:val="0"/>
      <w:marRight w:val="0"/>
      <w:marTop w:val="0"/>
      <w:marBottom w:val="0"/>
      <w:divBdr>
        <w:top w:val="none" w:sz="0" w:space="0" w:color="auto"/>
        <w:left w:val="none" w:sz="0" w:space="0" w:color="auto"/>
        <w:bottom w:val="none" w:sz="0" w:space="0" w:color="auto"/>
        <w:right w:val="none" w:sz="0" w:space="0" w:color="auto"/>
      </w:divBdr>
    </w:div>
    <w:div w:id="195627390">
      <w:bodyDiv w:val="1"/>
      <w:marLeft w:val="0"/>
      <w:marRight w:val="0"/>
      <w:marTop w:val="0"/>
      <w:marBottom w:val="0"/>
      <w:divBdr>
        <w:top w:val="none" w:sz="0" w:space="0" w:color="auto"/>
        <w:left w:val="none" w:sz="0" w:space="0" w:color="auto"/>
        <w:bottom w:val="none" w:sz="0" w:space="0" w:color="auto"/>
        <w:right w:val="none" w:sz="0" w:space="0" w:color="auto"/>
      </w:divBdr>
    </w:div>
    <w:div w:id="195703068">
      <w:bodyDiv w:val="1"/>
      <w:marLeft w:val="0"/>
      <w:marRight w:val="0"/>
      <w:marTop w:val="0"/>
      <w:marBottom w:val="0"/>
      <w:divBdr>
        <w:top w:val="none" w:sz="0" w:space="0" w:color="auto"/>
        <w:left w:val="none" w:sz="0" w:space="0" w:color="auto"/>
        <w:bottom w:val="none" w:sz="0" w:space="0" w:color="auto"/>
        <w:right w:val="none" w:sz="0" w:space="0" w:color="auto"/>
      </w:divBdr>
    </w:div>
    <w:div w:id="195703317">
      <w:bodyDiv w:val="1"/>
      <w:marLeft w:val="0"/>
      <w:marRight w:val="0"/>
      <w:marTop w:val="0"/>
      <w:marBottom w:val="0"/>
      <w:divBdr>
        <w:top w:val="none" w:sz="0" w:space="0" w:color="auto"/>
        <w:left w:val="none" w:sz="0" w:space="0" w:color="auto"/>
        <w:bottom w:val="none" w:sz="0" w:space="0" w:color="auto"/>
        <w:right w:val="none" w:sz="0" w:space="0" w:color="auto"/>
      </w:divBdr>
    </w:div>
    <w:div w:id="195777812">
      <w:bodyDiv w:val="1"/>
      <w:marLeft w:val="0"/>
      <w:marRight w:val="0"/>
      <w:marTop w:val="0"/>
      <w:marBottom w:val="0"/>
      <w:divBdr>
        <w:top w:val="none" w:sz="0" w:space="0" w:color="auto"/>
        <w:left w:val="none" w:sz="0" w:space="0" w:color="auto"/>
        <w:bottom w:val="none" w:sz="0" w:space="0" w:color="auto"/>
        <w:right w:val="none" w:sz="0" w:space="0" w:color="auto"/>
      </w:divBdr>
    </w:div>
    <w:div w:id="195778511">
      <w:bodyDiv w:val="1"/>
      <w:marLeft w:val="0"/>
      <w:marRight w:val="0"/>
      <w:marTop w:val="0"/>
      <w:marBottom w:val="0"/>
      <w:divBdr>
        <w:top w:val="none" w:sz="0" w:space="0" w:color="auto"/>
        <w:left w:val="none" w:sz="0" w:space="0" w:color="auto"/>
        <w:bottom w:val="none" w:sz="0" w:space="0" w:color="auto"/>
        <w:right w:val="none" w:sz="0" w:space="0" w:color="auto"/>
      </w:divBdr>
    </w:div>
    <w:div w:id="195890536">
      <w:bodyDiv w:val="1"/>
      <w:marLeft w:val="0"/>
      <w:marRight w:val="0"/>
      <w:marTop w:val="0"/>
      <w:marBottom w:val="0"/>
      <w:divBdr>
        <w:top w:val="none" w:sz="0" w:space="0" w:color="auto"/>
        <w:left w:val="none" w:sz="0" w:space="0" w:color="auto"/>
        <w:bottom w:val="none" w:sz="0" w:space="0" w:color="auto"/>
        <w:right w:val="none" w:sz="0" w:space="0" w:color="auto"/>
      </w:divBdr>
    </w:div>
    <w:div w:id="195894928">
      <w:bodyDiv w:val="1"/>
      <w:marLeft w:val="0"/>
      <w:marRight w:val="0"/>
      <w:marTop w:val="0"/>
      <w:marBottom w:val="0"/>
      <w:divBdr>
        <w:top w:val="none" w:sz="0" w:space="0" w:color="auto"/>
        <w:left w:val="none" w:sz="0" w:space="0" w:color="auto"/>
        <w:bottom w:val="none" w:sz="0" w:space="0" w:color="auto"/>
        <w:right w:val="none" w:sz="0" w:space="0" w:color="auto"/>
      </w:divBdr>
    </w:div>
    <w:div w:id="196047987">
      <w:bodyDiv w:val="1"/>
      <w:marLeft w:val="0"/>
      <w:marRight w:val="0"/>
      <w:marTop w:val="0"/>
      <w:marBottom w:val="0"/>
      <w:divBdr>
        <w:top w:val="none" w:sz="0" w:space="0" w:color="auto"/>
        <w:left w:val="none" w:sz="0" w:space="0" w:color="auto"/>
        <w:bottom w:val="none" w:sz="0" w:space="0" w:color="auto"/>
        <w:right w:val="none" w:sz="0" w:space="0" w:color="auto"/>
      </w:divBdr>
    </w:div>
    <w:div w:id="196050000">
      <w:bodyDiv w:val="1"/>
      <w:marLeft w:val="0"/>
      <w:marRight w:val="0"/>
      <w:marTop w:val="0"/>
      <w:marBottom w:val="0"/>
      <w:divBdr>
        <w:top w:val="none" w:sz="0" w:space="0" w:color="auto"/>
        <w:left w:val="none" w:sz="0" w:space="0" w:color="auto"/>
        <w:bottom w:val="none" w:sz="0" w:space="0" w:color="auto"/>
        <w:right w:val="none" w:sz="0" w:space="0" w:color="auto"/>
      </w:divBdr>
    </w:div>
    <w:div w:id="196084032">
      <w:bodyDiv w:val="1"/>
      <w:marLeft w:val="0"/>
      <w:marRight w:val="0"/>
      <w:marTop w:val="0"/>
      <w:marBottom w:val="0"/>
      <w:divBdr>
        <w:top w:val="none" w:sz="0" w:space="0" w:color="auto"/>
        <w:left w:val="none" w:sz="0" w:space="0" w:color="auto"/>
        <w:bottom w:val="none" w:sz="0" w:space="0" w:color="auto"/>
        <w:right w:val="none" w:sz="0" w:space="0" w:color="auto"/>
      </w:divBdr>
    </w:div>
    <w:div w:id="196088688">
      <w:bodyDiv w:val="1"/>
      <w:marLeft w:val="0"/>
      <w:marRight w:val="0"/>
      <w:marTop w:val="0"/>
      <w:marBottom w:val="0"/>
      <w:divBdr>
        <w:top w:val="none" w:sz="0" w:space="0" w:color="auto"/>
        <w:left w:val="none" w:sz="0" w:space="0" w:color="auto"/>
        <w:bottom w:val="none" w:sz="0" w:space="0" w:color="auto"/>
        <w:right w:val="none" w:sz="0" w:space="0" w:color="auto"/>
      </w:divBdr>
    </w:div>
    <w:div w:id="196159189">
      <w:bodyDiv w:val="1"/>
      <w:marLeft w:val="0"/>
      <w:marRight w:val="0"/>
      <w:marTop w:val="0"/>
      <w:marBottom w:val="0"/>
      <w:divBdr>
        <w:top w:val="none" w:sz="0" w:space="0" w:color="auto"/>
        <w:left w:val="none" w:sz="0" w:space="0" w:color="auto"/>
        <w:bottom w:val="none" w:sz="0" w:space="0" w:color="auto"/>
        <w:right w:val="none" w:sz="0" w:space="0" w:color="auto"/>
      </w:divBdr>
    </w:div>
    <w:div w:id="196162175">
      <w:bodyDiv w:val="1"/>
      <w:marLeft w:val="0"/>
      <w:marRight w:val="0"/>
      <w:marTop w:val="0"/>
      <w:marBottom w:val="0"/>
      <w:divBdr>
        <w:top w:val="none" w:sz="0" w:space="0" w:color="auto"/>
        <w:left w:val="none" w:sz="0" w:space="0" w:color="auto"/>
        <w:bottom w:val="none" w:sz="0" w:space="0" w:color="auto"/>
        <w:right w:val="none" w:sz="0" w:space="0" w:color="auto"/>
      </w:divBdr>
    </w:div>
    <w:div w:id="196164213">
      <w:bodyDiv w:val="1"/>
      <w:marLeft w:val="0"/>
      <w:marRight w:val="0"/>
      <w:marTop w:val="0"/>
      <w:marBottom w:val="0"/>
      <w:divBdr>
        <w:top w:val="none" w:sz="0" w:space="0" w:color="auto"/>
        <w:left w:val="none" w:sz="0" w:space="0" w:color="auto"/>
        <w:bottom w:val="none" w:sz="0" w:space="0" w:color="auto"/>
        <w:right w:val="none" w:sz="0" w:space="0" w:color="auto"/>
      </w:divBdr>
    </w:div>
    <w:div w:id="196239967">
      <w:bodyDiv w:val="1"/>
      <w:marLeft w:val="0"/>
      <w:marRight w:val="0"/>
      <w:marTop w:val="0"/>
      <w:marBottom w:val="0"/>
      <w:divBdr>
        <w:top w:val="none" w:sz="0" w:space="0" w:color="auto"/>
        <w:left w:val="none" w:sz="0" w:space="0" w:color="auto"/>
        <w:bottom w:val="none" w:sz="0" w:space="0" w:color="auto"/>
        <w:right w:val="none" w:sz="0" w:space="0" w:color="auto"/>
      </w:divBdr>
    </w:div>
    <w:div w:id="196283782">
      <w:bodyDiv w:val="1"/>
      <w:marLeft w:val="0"/>
      <w:marRight w:val="0"/>
      <w:marTop w:val="0"/>
      <w:marBottom w:val="0"/>
      <w:divBdr>
        <w:top w:val="none" w:sz="0" w:space="0" w:color="auto"/>
        <w:left w:val="none" w:sz="0" w:space="0" w:color="auto"/>
        <w:bottom w:val="none" w:sz="0" w:space="0" w:color="auto"/>
        <w:right w:val="none" w:sz="0" w:space="0" w:color="auto"/>
      </w:divBdr>
    </w:div>
    <w:div w:id="196311433">
      <w:bodyDiv w:val="1"/>
      <w:marLeft w:val="0"/>
      <w:marRight w:val="0"/>
      <w:marTop w:val="0"/>
      <w:marBottom w:val="0"/>
      <w:divBdr>
        <w:top w:val="none" w:sz="0" w:space="0" w:color="auto"/>
        <w:left w:val="none" w:sz="0" w:space="0" w:color="auto"/>
        <w:bottom w:val="none" w:sz="0" w:space="0" w:color="auto"/>
        <w:right w:val="none" w:sz="0" w:space="0" w:color="auto"/>
      </w:divBdr>
    </w:div>
    <w:div w:id="196311899">
      <w:bodyDiv w:val="1"/>
      <w:marLeft w:val="0"/>
      <w:marRight w:val="0"/>
      <w:marTop w:val="0"/>
      <w:marBottom w:val="0"/>
      <w:divBdr>
        <w:top w:val="none" w:sz="0" w:space="0" w:color="auto"/>
        <w:left w:val="none" w:sz="0" w:space="0" w:color="auto"/>
        <w:bottom w:val="none" w:sz="0" w:space="0" w:color="auto"/>
        <w:right w:val="none" w:sz="0" w:space="0" w:color="auto"/>
      </w:divBdr>
    </w:div>
    <w:div w:id="196312532">
      <w:bodyDiv w:val="1"/>
      <w:marLeft w:val="0"/>
      <w:marRight w:val="0"/>
      <w:marTop w:val="0"/>
      <w:marBottom w:val="0"/>
      <w:divBdr>
        <w:top w:val="none" w:sz="0" w:space="0" w:color="auto"/>
        <w:left w:val="none" w:sz="0" w:space="0" w:color="auto"/>
        <w:bottom w:val="none" w:sz="0" w:space="0" w:color="auto"/>
        <w:right w:val="none" w:sz="0" w:space="0" w:color="auto"/>
      </w:divBdr>
    </w:div>
    <w:div w:id="196436587">
      <w:bodyDiv w:val="1"/>
      <w:marLeft w:val="0"/>
      <w:marRight w:val="0"/>
      <w:marTop w:val="0"/>
      <w:marBottom w:val="0"/>
      <w:divBdr>
        <w:top w:val="none" w:sz="0" w:space="0" w:color="auto"/>
        <w:left w:val="none" w:sz="0" w:space="0" w:color="auto"/>
        <w:bottom w:val="none" w:sz="0" w:space="0" w:color="auto"/>
        <w:right w:val="none" w:sz="0" w:space="0" w:color="auto"/>
      </w:divBdr>
    </w:div>
    <w:div w:id="196508668">
      <w:bodyDiv w:val="1"/>
      <w:marLeft w:val="0"/>
      <w:marRight w:val="0"/>
      <w:marTop w:val="0"/>
      <w:marBottom w:val="0"/>
      <w:divBdr>
        <w:top w:val="none" w:sz="0" w:space="0" w:color="auto"/>
        <w:left w:val="none" w:sz="0" w:space="0" w:color="auto"/>
        <w:bottom w:val="none" w:sz="0" w:space="0" w:color="auto"/>
        <w:right w:val="none" w:sz="0" w:space="0" w:color="auto"/>
      </w:divBdr>
    </w:div>
    <w:div w:id="196546243">
      <w:bodyDiv w:val="1"/>
      <w:marLeft w:val="0"/>
      <w:marRight w:val="0"/>
      <w:marTop w:val="0"/>
      <w:marBottom w:val="0"/>
      <w:divBdr>
        <w:top w:val="none" w:sz="0" w:space="0" w:color="auto"/>
        <w:left w:val="none" w:sz="0" w:space="0" w:color="auto"/>
        <w:bottom w:val="none" w:sz="0" w:space="0" w:color="auto"/>
        <w:right w:val="none" w:sz="0" w:space="0" w:color="auto"/>
      </w:divBdr>
    </w:div>
    <w:div w:id="196553198">
      <w:bodyDiv w:val="1"/>
      <w:marLeft w:val="0"/>
      <w:marRight w:val="0"/>
      <w:marTop w:val="0"/>
      <w:marBottom w:val="0"/>
      <w:divBdr>
        <w:top w:val="none" w:sz="0" w:space="0" w:color="auto"/>
        <w:left w:val="none" w:sz="0" w:space="0" w:color="auto"/>
        <w:bottom w:val="none" w:sz="0" w:space="0" w:color="auto"/>
        <w:right w:val="none" w:sz="0" w:space="0" w:color="auto"/>
      </w:divBdr>
    </w:div>
    <w:div w:id="196696799">
      <w:bodyDiv w:val="1"/>
      <w:marLeft w:val="0"/>
      <w:marRight w:val="0"/>
      <w:marTop w:val="0"/>
      <w:marBottom w:val="0"/>
      <w:divBdr>
        <w:top w:val="none" w:sz="0" w:space="0" w:color="auto"/>
        <w:left w:val="none" w:sz="0" w:space="0" w:color="auto"/>
        <w:bottom w:val="none" w:sz="0" w:space="0" w:color="auto"/>
        <w:right w:val="none" w:sz="0" w:space="0" w:color="auto"/>
      </w:divBdr>
    </w:div>
    <w:div w:id="196704055">
      <w:bodyDiv w:val="1"/>
      <w:marLeft w:val="0"/>
      <w:marRight w:val="0"/>
      <w:marTop w:val="0"/>
      <w:marBottom w:val="0"/>
      <w:divBdr>
        <w:top w:val="none" w:sz="0" w:space="0" w:color="auto"/>
        <w:left w:val="none" w:sz="0" w:space="0" w:color="auto"/>
        <w:bottom w:val="none" w:sz="0" w:space="0" w:color="auto"/>
        <w:right w:val="none" w:sz="0" w:space="0" w:color="auto"/>
      </w:divBdr>
    </w:div>
    <w:div w:id="196742622">
      <w:bodyDiv w:val="1"/>
      <w:marLeft w:val="0"/>
      <w:marRight w:val="0"/>
      <w:marTop w:val="0"/>
      <w:marBottom w:val="0"/>
      <w:divBdr>
        <w:top w:val="none" w:sz="0" w:space="0" w:color="auto"/>
        <w:left w:val="none" w:sz="0" w:space="0" w:color="auto"/>
        <w:bottom w:val="none" w:sz="0" w:space="0" w:color="auto"/>
        <w:right w:val="none" w:sz="0" w:space="0" w:color="auto"/>
      </w:divBdr>
    </w:div>
    <w:div w:id="196746537">
      <w:bodyDiv w:val="1"/>
      <w:marLeft w:val="0"/>
      <w:marRight w:val="0"/>
      <w:marTop w:val="0"/>
      <w:marBottom w:val="0"/>
      <w:divBdr>
        <w:top w:val="none" w:sz="0" w:space="0" w:color="auto"/>
        <w:left w:val="none" w:sz="0" w:space="0" w:color="auto"/>
        <w:bottom w:val="none" w:sz="0" w:space="0" w:color="auto"/>
        <w:right w:val="none" w:sz="0" w:space="0" w:color="auto"/>
      </w:divBdr>
    </w:div>
    <w:div w:id="196746589">
      <w:bodyDiv w:val="1"/>
      <w:marLeft w:val="0"/>
      <w:marRight w:val="0"/>
      <w:marTop w:val="0"/>
      <w:marBottom w:val="0"/>
      <w:divBdr>
        <w:top w:val="none" w:sz="0" w:space="0" w:color="auto"/>
        <w:left w:val="none" w:sz="0" w:space="0" w:color="auto"/>
        <w:bottom w:val="none" w:sz="0" w:space="0" w:color="auto"/>
        <w:right w:val="none" w:sz="0" w:space="0" w:color="auto"/>
      </w:divBdr>
    </w:div>
    <w:div w:id="196817001">
      <w:bodyDiv w:val="1"/>
      <w:marLeft w:val="0"/>
      <w:marRight w:val="0"/>
      <w:marTop w:val="0"/>
      <w:marBottom w:val="0"/>
      <w:divBdr>
        <w:top w:val="none" w:sz="0" w:space="0" w:color="auto"/>
        <w:left w:val="none" w:sz="0" w:space="0" w:color="auto"/>
        <w:bottom w:val="none" w:sz="0" w:space="0" w:color="auto"/>
        <w:right w:val="none" w:sz="0" w:space="0" w:color="auto"/>
      </w:divBdr>
    </w:div>
    <w:div w:id="196823303">
      <w:bodyDiv w:val="1"/>
      <w:marLeft w:val="0"/>
      <w:marRight w:val="0"/>
      <w:marTop w:val="0"/>
      <w:marBottom w:val="0"/>
      <w:divBdr>
        <w:top w:val="none" w:sz="0" w:space="0" w:color="auto"/>
        <w:left w:val="none" w:sz="0" w:space="0" w:color="auto"/>
        <w:bottom w:val="none" w:sz="0" w:space="0" w:color="auto"/>
        <w:right w:val="none" w:sz="0" w:space="0" w:color="auto"/>
      </w:divBdr>
    </w:div>
    <w:div w:id="196823382">
      <w:bodyDiv w:val="1"/>
      <w:marLeft w:val="0"/>
      <w:marRight w:val="0"/>
      <w:marTop w:val="0"/>
      <w:marBottom w:val="0"/>
      <w:divBdr>
        <w:top w:val="none" w:sz="0" w:space="0" w:color="auto"/>
        <w:left w:val="none" w:sz="0" w:space="0" w:color="auto"/>
        <w:bottom w:val="none" w:sz="0" w:space="0" w:color="auto"/>
        <w:right w:val="none" w:sz="0" w:space="0" w:color="auto"/>
      </w:divBdr>
    </w:div>
    <w:div w:id="196939889">
      <w:bodyDiv w:val="1"/>
      <w:marLeft w:val="0"/>
      <w:marRight w:val="0"/>
      <w:marTop w:val="0"/>
      <w:marBottom w:val="0"/>
      <w:divBdr>
        <w:top w:val="none" w:sz="0" w:space="0" w:color="auto"/>
        <w:left w:val="none" w:sz="0" w:space="0" w:color="auto"/>
        <w:bottom w:val="none" w:sz="0" w:space="0" w:color="auto"/>
        <w:right w:val="none" w:sz="0" w:space="0" w:color="auto"/>
      </w:divBdr>
    </w:div>
    <w:div w:id="197008725">
      <w:bodyDiv w:val="1"/>
      <w:marLeft w:val="0"/>
      <w:marRight w:val="0"/>
      <w:marTop w:val="0"/>
      <w:marBottom w:val="0"/>
      <w:divBdr>
        <w:top w:val="none" w:sz="0" w:space="0" w:color="auto"/>
        <w:left w:val="none" w:sz="0" w:space="0" w:color="auto"/>
        <w:bottom w:val="none" w:sz="0" w:space="0" w:color="auto"/>
        <w:right w:val="none" w:sz="0" w:space="0" w:color="auto"/>
      </w:divBdr>
    </w:div>
    <w:div w:id="197014480">
      <w:bodyDiv w:val="1"/>
      <w:marLeft w:val="0"/>
      <w:marRight w:val="0"/>
      <w:marTop w:val="0"/>
      <w:marBottom w:val="0"/>
      <w:divBdr>
        <w:top w:val="none" w:sz="0" w:space="0" w:color="auto"/>
        <w:left w:val="none" w:sz="0" w:space="0" w:color="auto"/>
        <w:bottom w:val="none" w:sz="0" w:space="0" w:color="auto"/>
        <w:right w:val="none" w:sz="0" w:space="0" w:color="auto"/>
      </w:divBdr>
    </w:div>
    <w:div w:id="197083406">
      <w:bodyDiv w:val="1"/>
      <w:marLeft w:val="0"/>
      <w:marRight w:val="0"/>
      <w:marTop w:val="0"/>
      <w:marBottom w:val="0"/>
      <w:divBdr>
        <w:top w:val="none" w:sz="0" w:space="0" w:color="auto"/>
        <w:left w:val="none" w:sz="0" w:space="0" w:color="auto"/>
        <w:bottom w:val="none" w:sz="0" w:space="0" w:color="auto"/>
        <w:right w:val="none" w:sz="0" w:space="0" w:color="auto"/>
      </w:divBdr>
    </w:div>
    <w:div w:id="197085925">
      <w:bodyDiv w:val="1"/>
      <w:marLeft w:val="0"/>
      <w:marRight w:val="0"/>
      <w:marTop w:val="0"/>
      <w:marBottom w:val="0"/>
      <w:divBdr>
        <w:top w:val="none" w:sz="0" w:space="0" w:color="auto"/>
        <w:left w:val="none" w:sz="0" w:space="0" w:color="auto"/>
        <w:bottom w:val="none" w:sz="0" w:space="0" w:color="auto"/>
        <w:right w:val="none" w:sz="0" w:space="0" w:color="auto"/>
      </w:divBdr>
    </w:div>
    <w:div w:id="197089794">
      <w:bodyDiv w:val="1"/>
      <w:marLeft w:val="0"/>
      <w:marRight w:val="0"/>
      <w:marTop w:val="0"/>
      <w:marBottom w:val="0"/>
      <w:divBdr>
        <w:top w:val="none" w:sz="0" w:space="0" w:color="auto"/>
        <w:left w:val="none" w:sz="0" w:space="0" w:color="auto"/>
        <w:bottom w:val="none" w:sz="0" w:space="0" w:color="auto"/>
        <w:right w:val="none" w:sz="0" w:space="0" w:color="auto"/>
      </w:divBdr>
    </w:div>
    <w:div w:id="197162269">
      <w:bodyDiv w:val="1"/>
      <w:marLeft w:val="0"/>
      <w:marRight w:val="0"/>
      <w:marTop w:val="0"/>
      <w:marBottom w:val="0"/>
      <w:divBdr>
        <w:top w:val="none" w:sz="0" w:space="0" w:color="auto"/>
        <w:left w:val="none" w:sz="0" w:space="0" w:color="auto"/>
        <w:bottom w:val="none" w:sz="0" w:space="0" w:color="auto"/>
        <w:right w:val="none" w:sz="0" w:space="0" w:color="auto"/>
      </w:divBdr>
    </w:div>
    <w:div w:id="197163890">
      <w:bodyDiv w:val="1"/>
      <w:marLeft w:val="0"/>
      <w:marRight w:val="0"/>
      <w:marTop w:val="0"/>
      <w:marBottom w:val="0"/>
      <w:divBdr>
        <w:top w:val="none" w:sz="0" w:space="0" w:color="auto"/>
        <w:left w:val="none" w:sz="0" w:space="0" w:color="auto"/>
        <w:bottom w:val="none" w:sz="0" w:space="0" w:color="auto"/>
        <w:right w:val="none" w:sz="0" w:space="0" w:color="auto"/>
      </w:divBdr>
    </w:div>
    <w:div w:id="197207838">
      <w:bodyDiv w:val="1"/>
      <w:marLeft w:val="0"/>
      <w:marRight w:val="0"/>
      <w:marTop w:val="0"/>
      <w:marBottom w:val="0"/>
      <w:divBdr>
        <w:top w:val="none" w:sz="0" w:space="0" w:color="auto"/>
        <w:left w:val="none" w:sz="0" w:space="0" w:color="auto"/>
        <w:bottom w:val="none" w:sz="0" w:space="0" w:color="auto"/>
        <w:right w:val="none" w:sz="0" w:space="0" w:color="auto"/>
      </w:divBdr>
    </w:div>
    <w:div w:id="197276029">
      <w:bodyDiv w:val="1"/>
      <w:marLeft w:val="0"/>
      <w:marRight w:val="0"/>
      <w:marTop w:val="0"/>
      <w:marBottom w:val="0"/>
      <w:divBdr>
        <w:top w:val="none" w:sz="0" w:space="0" w:color="auto"/>
        <w:left w:val="none" w:sz="0" w:space="0" w:color="auto"/>
        <w:bottom w:val="none" w:sz="0" w:space="0" w:color="auto"/>
        <w:right w:val="none" w:sz="0" w:space="0" w:color="auto"/>
      </w:divBdr>
    </w:div>
    <w:div w:id="197280285">
      <w:bodyDiv w:val="1"/>
      <w:marLeft w:val="0"/>
      <w:marRight w:val="0"/>
      <w:marTop w:val="0"/>
      <w:marBottom w:val="0"/>
      <w:divBdr>
        <w:top w:val="none" w:sz="0" w:space="0" w:color="auto"/>
        <w:left w:val="none" w:sz="0" w:space="0" w:color="auto"/>
        <w:bottom w:val="none" w:sz="0" w:space="0" w:color="auto"/>
        <w:right w:val="none" w:sz="0" w:space="0" w:color="auto"/>
      </w:divBdr>
    </w:div>
    <w:div w:id="197352153">
      <w:bodyDiv w:val="1"/>
      <w:marLeft w:val="0"/>
      <w:marRight w:val="0"/>
      <w:marTop w:val="0"/>
      <w:marBottom w:val="0"/>
      <w:divBdr>
        <w:top w:val="none" w:sz="0" w:space="0" w:color="auto"/>
        <w:left w:val="none" w:sz="0" w:space="0" w:color="auto"/>
        <w:bottom w:val="none" w:sz="0" w:space="0" w:color="auto"/>
        <w:right w:val="none" w:sz="0" w:space="0" w:color="auto"/>
      </w:divBdr>
    </w:div>
    <w:div w:id="197426516">
      <w:bodyDiv w:val="1"/>
      <w:marLeft w:val="0"/>
      <w:marRight w:val="0"/>
      <w:marTop w:val="0"/>
      <w:marBottom w:val="0"/>
      <w:divBdr>
        <w:top w:val="none" w:sz="0" w:space="0" w:color="auto"/>
        <w:left w:val="none" w:sz="0" w:space="0" w:color="auto"/>
        <w:bottom w:val="none" w:sz="0" w:space="0" w:color="auto"/>
        <w:right w:val="none" w:sz="0" w:space="0" w:color="auto"/>
      </w:divBdr>
    </w:div>
    <w:div w:id="197475852">
      <w:bodyDiv w:val="1"/>
      <w:marLeft w:val="0"/>
      <w:marRight w:val="0"/>
      <w:marTop w:val="0"/>
      <w:marBottom w:val="0"/>
      <w:divBdr>
        <w:top w:val="none" w:sz="0" w:space="0" w:color="auto"/>
        <w:left w:val="none" w:sz="0" w:space="0" w:color="auto"/>
        <w:bottom w:val="none" w:sz="0" w:space="0" w:color="auto"/>
        <w:right w:val="none" w:sz="0" w:space="0" w:color="auto"/>
      </w:divBdr>
    </w:div>
    <w:div w:id="197592917">
      <w:bodyDiv w:val="1"/>
      <w:marLeft w:val="0"/>
      <w:marRight w:val="0"/>
      <w:marTop w:val="0"/>
      <w:marBottom w:val="0"/>
      <w:divBdr>
        <w:top w:val="none" w:sz="0" w:space="0" w:color="auto"/>
        <w:left w:val="none" w:sz="0" w:space="0" w:color="auto"/>
        <w:bottom w:val="none" w:sz="0" w:space="0" w:color="auto"/>
        <w:right w:val="none" w:sz="0" w:space="0" w:color="auto"/>
      </w:divBdr>
    </w:div>
    <w:div w:id="197739469">
      <w:bodyDiv w:val="1"/>
      <w:marLeft w:val="0"/>
      <w:marRight w:val="0"/>
      <w:marTop w:val="0"/>
      <w:marBottom w:val="0"/>
      <w:divBdr>
        <w:top w:val="none" w:sz="0" w:space="0" w:color="auto"/>
        <w:left w:val="none" w:sz="0" w:space="0" w:color="auto"/>
        <w:bottom w:val="none" w:sz="0" w:space="0" w:color="auto"/>
        <w:right w:val="none" w:sz="0" w:space="0" w:color="auto"/>
      </w:divBdr>
    </w:div>
    <w:div w:id="198009089">
      <w:bodyDiv w:val="1"/>
      <w:marLeft w:val="0"/>
      <w:marRight w:val="0"/>
      <w:marTop w:val="0"/>
      <w:marBottom w:val="0"/>
      <w:divBdr>
        <w:top w:val="none" w:sz="0" w:space="0" w:color="auto"/>
        <w:left w:val="none" w:sz="0" w:space="0" w:color="auto"/>
        <w:bottom w:val="none" w:sz="0" w:space="0" w:color="auto"/>
        <w:right w:val="none" w:sz="0" w:space="0" w:color="auto"/>
      </w:divBdr>
    </w:div>
    <w:div w:id="198015486">
      <w:bodyDiv w:val="1"/>
      <w:marLeft w:val="0"/>
      <w:marRight w:val="0"/>
      <w:marTop w:val="0"/>
      <w:marBottom w:val="0"/>
      <w:divBdr>
        <w:top w:val="none" w:sz="0" w:space="0" w:color="auto"/>
        <w:left w:val="none" w:sz="0" w:space="0" w:color="auto"/>
        <w:bottom w:val="none" w:sz="0" w:space="0" w:color="auto"/>
        <w:right w:val="none" w:sz="0" w:space="0" w:color="auto"/>
      </w:divBdr>
    </w:div>
    <w:div w:id="198248367">
      <w:bodyDiv w:val="1"/>
      <w:marLeft w:val="0"/>
      <w:marRight w:val="0"/>
      <w:marTop w:val="0"/>
      <w:marBottom w:val="0"/>
      <w:divBdr>
        <w:top w:val="none" w:sz="0" w:space="0" w:color="auto"/>
        <w:left w:val="none" w:sz="0" w:space="0" w:color="auto"/>
        <w:bottom w:val="none" w:sz="0" w:space="0" w:color="auto"/>
        <w:right w:val="none" w:sz="0" w:space="0" w:color="auto"/>
      </w:divBdr>
    </w:div>
    <w:div w:id="198278322">
      <w:bodyDiv w:val="1"/>
      <w:marLeft w:val="0"/>
      <w:marRight w:val="0"/>
      <w:marTop w:val="0"/>
      <w:marBottom w:val="0"/>
      <w:divBdr>
        <w:top w:val="none" w:sz="0" w:space="0" w:color="auto"/>
        <w:left w:val="none" w:sz="0" w:space="0" w:color="auto"/>
        <w:bottom w:val="none" w:sz="0" w:space="0" w:color="auto"/>
        <w:right w:val="none" w:sz="0" w:space="0" w:color="auto"/>
      </w:divBdr>
    </w:div>
    <w:div w:id="198325391">
      <w:bodyDiv w:val="1"/>
      <w:marLeft w:val="0"/>
      <w:marRight w:val="0"/>
      <w:marTop w:val="0"/>
      <w:marBottom w:val="0"/>
      <w:divBdr>
        <w:top w:val="none" w:sz="0" w:space="0" w:color="auto"/>
        <w:left w:val="none" w:sz="0" w:space="0" w:color="auto"/>
        <w:bottom w:val="none" w:sz="0" w:space="0" w:color="auto"/>
        <w:right w:val="none" w:sz="0" w:space="0" w:color="auto"/>
      </w:divBdr>
      <w:divsChild>
        <w:div w:id="35787626">
          <w:marLeft w:val="0"/>
          <w:marRight w:val="0"/>
          <w:marTop w:val="0"/>
          <w:marBottom w:val="0"/>
          <w:divBdr>
            <w:top w:val="none" w:sz="0" w:space="0" w:color="auto"/>
            <w:left w:val="none" w:sz="0" w:space="0" w:color="auto"/>
            <w:bottom w:val="none" w:sz="0" w:space="0" w:color="auto"/>
            <w:right w:val="none" w:sz="0" w:space="0" w:color="auto"/>
          </w:divBdr>
        </w:div>
        <w:div w:id="41944401">
          <w:marLeft w:val="0"/>
          <w:marRight w:val="0"/>
          <w:marTop w:val="0"/>
          <w:marBottom w:val="0"/>
          <w:divBdr>
            <w:top w:val="none" w:sz="0" w:space="0" w:color="auto"/>
            <w:left w:val="none" w:sz="0" w:space="0" w:color="auto"/>
            <w:bottom w:val="none" w:sz="0" w:space="0" w:color="auto"/>
            <w:right w:val="none" w:sz="0" w:space="0" w:color="auto"/>
          </w:divBdr>
        </w:div>
        <w:div w:id="49959068">
          <w:marLeft w:val="0"/>
          <w:marRight w:val="0"/>
          <w:marTop w:val="0"/>
          <w:marBottom w:val="0"/>
          <w:divBdr>
            <w:top w:val="none" w:sz="0" w:space="0" w:color="auto"/>
            <w:left w:val="none" w:sz="0" w:space="0" w:color="auto"/>
            <w:bottom w:val="none" w:sz="0" w:space="0" w:color="auto"/>
            <w:right w:val="none" w:sz="0" w:space="0" w:color="auto"/>
          </w:divBdr>
        </w:div>
        <w:div w:id="81074054">
          <w:marLeft w:val="0"/>
          <w:marRight w:val="0"/>
          <w:marTop w:val="0"/>
          <w:marBottom w:val="0"/>
          <w:divBdr>
            <w:top w:val="none" w:sz="0" w:space="0" w:color="auto"/>
            <w:left w:val="none" w:sz="0" w:space="0" w:color="auto"/>
            <w:bottom w:val="none" w:sz="0" w:space="0" w:color="auto"/>
            <w:right w:val="none" w:sz="0" w:space="0" w:color="auto"/>
          </w:divBdr>
        </w:div>
        <w:div w:id="83309679">
          <w:marLeft w:val="0"/>
          <w:marRight w:val="0"/>
          <w:marTop w:val="0"/>
          <w:marBottom w:val="0"/>
          <w:divBdr>
            <w:top w:val="none" w:sz="0" w:space="0" w:color="auto"/>
            <w:left w:val="none" w:sz="0" w:space="0" w:color="auto"/>
            <w:bottom w:val="none" w:sz="0" w:space="0" w:color="auto"/>
            <w:right w:val="none" w:sz="0" w:space="0" w:color="auto"/>
          </w:divBdr>
        </w:div>
        <w:div w:id="94523797">
          <w:marLeft w:val="0"/>
          <w:marRight w:val="0"/>
          <w:marTop w:val="0"/>
          <w:marBottom w:val="0"/>
          <w:divBdr>
            <w:top w:val="none" w:sz="0" w:space="0" w:color="auto"/>
            <w:left w:val="none" w:sz="0" w:space="0" w:color="auto"/>
            <w:bottom w:val="none" w:sz="0" w:space="0" w:color="auto"/>
            <w:right w:val="none" w:sz="0" w:space="0" w:color="auto"/>
          </w:divBdr>
        </w:div>
        <w:div w:id="103967708">
          <w:marLeft w:val="0"/>
          <w:marRight w:val="0"/>
          <w:marTop w:val="0"/>
          <w:marBottom w:val="0"/>
          <w:divBdr>
            <w:top w:val="none" w:sz="0" w:space="0" w:color="auto"/>
            <w:left w:val="none" w:sz="0" w:space="0" w:color="auto"/>
            <w:bottom w:val="none" w:sz="0" w:space="0" w:color="auto"/>
            <w:right w:val="none" w:sz="0" w:space="0" w:color="auto"/>
          </w:divBdr>
        </w:div>
        <w:div w:id="125316518">
          <w:marLeft w:val="0"/>
          <w:marRight w:val="0"/>
          <w:marTop w:val="0"/>
          <w:marBottom w:val="0"/>
          <w:divBdr>
            <w:top w:val="none" w:sz="0" w:space="0" w:color="auto"/>
            <w:left w:val="none" w:sz="0" w:space="0" w:color="auto"/>
            <w:bottom w:val="none" w:sz="0" w:space="0" w:color="auto"/>
            <w:right w:val="none" w:sz="0" w:space="0" w:color="auto"/>
          </w:divBdr>
        </w:div>
        <w:div w:id="129713330">
          <w:marLeft w:val="0"/>
          <w:marRight w:val="0"/>
          <w:marTop w:val="0"/>
          <w:marBottom w:val="0"/>
          <w:divBdr>
            <w:top w:val="none" w:sz="0" w:space="0" w:color="auto"/>
            <w:left w:val="none" w:sz="0" w:space="0" w:color="auto"/>
            <w:bottom w:val="none" w:sz="0" w:space="0" w:color="auto"/>
            <w:right w:val="none" w:sz="0" w:space="0" w:color="auto"/>
          </w:divBdr>
        </w:div>
        <w:div w:id="135686103">
          <w:marLeft w:val="0"/>
          <w:marRight w:val="0"/>
          <w:marTop w:val="0"/>
          <w:marBottom w:val="0"/>
          <w:divBdr>
            <w:top w:val="none" w:sz="0" w:space="0" w:color="auto"/>
            <w:left w:val="none" w:sz="0" w:space="0" w:color="auto"/>
            <w:bottom w:val="none" w:sz="0" w:space="0" w:color="auto"/>
            <w:right w:val="none" w:sz="0" w:space="0" w:color="auto"/>
          </w:divBdr>
        </w:div>
        <w:div w:id="154344896">
          <w:marLeft w:val="0"/>
          <w:marRight w:val="0"/>
          <w:marTop w:val="0"/>
          <w:marBottom w:val="0"/>
          <w:divBdr>
            <w:top w:val="none" w:sz="0" w:space="0" w:color="auto"/>
            <w:left w:val="none" w:sz="0" w:space="0" w:color="auto"/>
            <w:bottom w:val="none" w:sz="0" w:space="0" w:color="auto"/>
            <w:right w:val="none" w:sz="0" w:space="0" w:color="auto"/>
          </w:divBdr>
        </w:div>
        <w:div w:id="183399092">
          <w:marLeft w:val="0"/>
          <w:marRight w:val="0"/>
          <w:marTop w:val="0"/>
          <w:marBottom w:val="0"/>
          <w:divBdr>
            <w:top w:val="none" w:sz="0" w:space="0" w:color="auto"/>
            <w:left w:val="none" w:sz="0" w:space="0" w:color="auto"/>
            <w:bottom w:val="none" w:sz="0" w:space="0" w:color="auto"/>
            <w:right w:val="none" w:sz="0" w:space="0" w:color="auto"/>
          </w:divBdr>
        </w:div>
        <w:div w:id="185868046">
          <w:marLeft w:val="0"/>
          <w:marRight w:val="0"/>
          <w:marTop w:val="0"/>
          <w:marBottom w:val="0"/>
          <w:divBdr>
            <w:top w:val="none" w:sz="0" w:space="0" w:color="auto"/>
            <w:left w:val="none" w:sz="0" w:space="0" w:color="auto"/>
            <w:bottom w:val="none" w:sz="0" w:space="0" w:color="auto"/>
            <w:right w:val="none" w:sz="0" w:space="0" w:color="auto"/>
          </w:divBdr>
        </w:div>
        <w:div w:id="192503941">
          <w:marLeft w:val="0"/>
          <w:marRight w:val="0"/>
          <w:marTop w:val="0"/>
          <w:marBottom w:val="0"/>
          <w:divBdr>
            <w:top w:val="none" w:sz="0" w:space="0" w:color="auto"/>
            <w:left w:val="none" w:sz="0" w:space="0" w:color="auto"/>
            <w:bottom w:val="none" w:sz="0" w:space="0" w:color="auto"/>
            <w:right w:val="none" w:sz="0" w:space="0" w:color="auto"/>
          </w:divBdr>
        </w:div>
        <w:div w:id="193428901">
          <w:marLeft w:val="0"/>
          <w:marRight w:val="0"/>
          <w:marTop w:val="0"/>
          <w:marBottom w:val="0"/>
          <w:divBdr>
            <w:top w:val="none" w:sz="0" w:space="0" w:color="auto"/>
            <w:left w:val="none" w:sz="0" w:space="0" w:color="auto"/>
            <w:bottom w:val="none" w:sz="0" w:space="0" w:color="auto"/>
            <w:right w:val="none" w:sz="0" w:space="0" w:color="auto"/>
          </w:divBdr>
        </w:div>
        <w:div w:id="199057422">
          <w:marLeft w:val="0"/>
          <w:marRight w:val="0"/>
          <w:marTop w:val="0"/>
          <w:marBottom w:val="0"/>
          <w:divBdr>
            <w:top w:val="none" w:sz="0" w:space="0" w:color="auto"/>
            <w:left w:val="none" w:sz="0" w:space="0" w:color="auto"/>
            <w:bottom w:val="none" w:sz="0" w:space="0" w:color="auto"/>
            <w:right w:val="none" w:sz="0" w:space="0" w:color="auto"/>
          </w:divBdr>
        </w:div>
        <w:div w:id="210072088">
          <w:marLeft w:val="0"/>
          <w:marRight w:val="0"/>
          <w:marTop w:val="0"/>
          <w:marBottom w:val="0"/>
          <w:divBdr>
            <w:top w:val="none" w:sz="0" w:space="0" w:color="auto"/>
            <w:left w:val="none" w:sz="0" w:space="0" w:color="auto"/>
            <w:bottom w:val="none" w:sz="0" w:space="0" w:color="auto"/>
            <w:right w:val="none" w:sz="0" w:space="0" w:color="auto"/>
          </w:divBdr>
        </w:div>
        <w:div w:id="219051708">
          <w:marLeft w:val="0"/>
          <w:marRight w:val="0"/>
          <w:marTop w:val="0"/>
          <w:marBottom w:val="0"/>
          <w:divBdr>
            <w:top w:val="none" w:sz="0" w:space="0" w:color="auto"/>
            <w:left w:val="none" w:sz="0" w:space="0" w:color="auto"/>
            <w:bottom w:val="none" w:sz="0" w:space="0" w:color="auto"/>
            <w:right w:val="none" w:sz="0" w:space="0" w:color="auto"/>
          </w:divBdr>
        </w:div>
        <w:div w:id="226501162">
          <w:marLeft w:val="0"/>
          <w:marRight w:val="0"/>
          <w:marTop w:val="0"/>
          <w:marBottom w:val="0"/>
          <w:divBdr>
            <w:top w:val="none" w:sz="0" w:space="0" w:color="auto"/>
            <w:left w:val="none" w:sz="0" w:space="0" w:color="auto"/>
            <w:bottom w:val="none" w:sz="0" w:space="0" w:color="auto"/>
            <w:right w:val="none" w:sz="0" w:space="0" w:color="auto"/>
          </w:divBdr>
        </w:div>
        <w:div w:id="226958298">
          <w:marLeft w:val="0"/>
          <w:marRight w:val="0"/>
          <w:marTop w:val="0"/>
          <w:marBottom w:val="0"/>
          <w:divBdr>
            <w:top w:val="none" w:sz="0" w:space="0" w:color="auto"/>
            <w:left w:val="none" w:sz="0" w:space="0" w:color="auto"/>
            <w:bottom w:val="none" w:sz="0" w:space="0" w:color="auto"/>
            <w:right w:val="none" w:sz="0" w:space="0" w:color="auto"/>
          </w:divBdr>
        </w:div>
        <w:div w:id="232814970">
          <w:marLeft w:val="0"/>
          <w:marRight w:val="0"/>
          <w:marTop w:val="0"/>
          <w:marBottom w:val="0"/>
          <w:divBdr>
            <w:top w:val="none" w:sz="0" w:space="0" w:color="auto"/>
            <w:left w:val="none" w:sz="0" w:space="0" w:color="auto"/>
            <w:bottom w:val="none" w:sz="0" w:space="0" w:color="auto"/>
            <w:right w:val="none" w:sz="0" w:space="0" w:color="auto"/>
          </w:divBdr>
        </w:div>
        <w:div w:id="242107411">
          <w:marLeft w:val="0"/>
          <w:marRight w:val="0"/>
          <w:marTop w:val="0"/>
          <w:marBottom w:val="0"/>
          <w:divBdr>
            <w:top w:val="none" w:sz="0" w:space="0" w:color="auto"/>
            <w:left w:val="none" w:sz="0" w:space="0" w:color="auto"/>
            <w:bottom w:val="none" w:sz="0" w:space="0" w:color="auto"/>
            <w:right w:val="none" w:sz="0" w:space="0" w:color="auto"/>
          </w:divBdr>
        </w:div>
        <w:div w:id="247616332">
          <w:marLeft w:val="0"/>
          <w:marRight w:val="0"/>
          <w:marTop w:val="0"/>
          <w:marBottom w:val="0"/>
          <w:divBdr>
            <w:top w:val="none" w:sz="0" w:space="0" w:color="auto"/>
            <w:left w:val="none" w:sz="0" w:space="0" w:color="auto"/>
            <w:bottom w:val="none" w:sz="0" w:space="0" w:color="auto"/>
            <w:right w:val="none" w:sz="0" w:space="0" w:color="auto"/>
          </w:divBdr>
        </w:div>
        <w:div w:id="266277506">
          <w:marLeft w:val="0"/>
          <w:marRight w:val="0"/>
          <w:marTop w:val="0"/>
          <w:marBottom w:val="0"/>
          <w:divBdr>
            <w:top w:val="none" w:sz="0" w:space="0" w:color="auto"/>
            <w:left w:val="none" w:sz="0" w:space="0" w:color="auto"/>
            <w:bottom w:val="none" w:sz="0" w:space="0" w:color="auto"/>
            <w:right w:val="none" w:sz="0" w:space="0" w:color="auto"/>
          </w:divBdr>
        </w:div>
        <w:div w:id="298074182">
          <w:marLeft w:val="0"/>
          <w:marRight w:val="0"/>
          <w:marTop w:val="0"/>
          <w:marBottom w:val="0"/>
          <w:divBdr>
            <w:top w:val="none" w:sz="0" w:space="0" w:color="auto"/>
            <w:left w:val="none" w:sz="0" w:space="0" w:color="auto"/>
            <w:bottom w:val="none" w:sz="0" w:space="0" w:color="auto"/>
            <w:right w:val="none" w:sz="0" w:space="0" w:color="auto"/>
          </w:divBdr>
        </w:div>
        <w:div w:id="305209329">
          <w:marLeft w:val="0"/>
          <w:marRight w:val="0"/>
          <w:marTop w:val="0"/>
          <w:marBottom w:val="0"/>
          <w:divBdr>
            <w:top w:val="none" w:sz="0" w:space="0" w:color="auto"/>
            <w:left w:val="none" w:sz="0" w:space="0" w:color="auto"/>
            <w:bottom w:val="none" w:sz="0" w:space="0" w:color="auto"/>
            <w:right w:val="none" w:sz="0" w:space="0" w:color="auto"/>
          </w:divBdr>
        </w:div>
        <w:div w:id="311059094">
          <w:marLeft w:val="0"/>
          <w:marRight w:val="0"/>
          <w:marTop w:val="0"/>
          <w:marBottom w:val="0"/>
          <w:divBdr>
            <w:top w:val="none" w:sz="0" w:space="0" w:color="auto"/>
            <w:left w:val="none" w:sz="0" w:space="0" w:color="auto"/>
            <w:bottom w:val="none" w:sz="0" w:space="0" w:color="auto"/>
            <w:right w:val="none" w:sz="0" w:space="0" w:color="auto"/>
          </w:divBdr>
        </w:div>
        <w:div w:id="335159702">
          <w:marLeft w:val="0"/>
          <w:marRight w:val="0"/>
          <w:marTop w:val="0"/>
          <w:marBottom w:val="0"/>
          <w:divBdr>
            <w:top w:val="none" w:sz="0" w:space="0" w:color="auto"/>
            <w:left w:val="none" w:sz="0" w:space="0" w:color="auto"/>
            <w:bottom w:val="none" w:sz="0" w:space="0" w:color="auto"/>
            <w:right w:val="none" w:sz="0" w:space="0" w:color="auto"/>
          </w:divBdr>
        </w:div>
        <w:div w:id="353531959">
          <w:marLeft w:val="0"/>
          <w:marRight w:val="0"/>
          <w:marTop w:val="0"/>
          <w:marBottom w:val="0"/>
          <w:divBdr>
            <w:top w:val="none" w:sz="0" w:space="0" w:color="auto"/>
            <w:left w:val="none" w:sz="0" w:space="0" w:color="auto"/>
            <w:bottom w:val="none" w:sz="0" w:space="0" w:color="auto"/>
            <w:right w:val="none" w:sz="0" w:space="0" w:color="auto"/>
          </w:divBdr>
        </w:div>
        <w:div w:id="374044346">
          <w:marLeft w:val="0"/>
          <w:marRight w:val="0"/>
          <w:marTop w:val="0"/>
          <w:marBottom w:val="0"/>
          <w:divBdr>
            <w:top w:val="none" w:sz="0" w:space="0" w:color="auto"/>
            <w:left w:val="none" w:sz="0" w:space="0" w:color="auto"/>
            <w:bottom w:val="none" w:sz="0" w:space="0" w:color="auto"/>
            <w:right w:val="none" w:sz="0" w:space="0" w:color="auto"/>
          </w:divBdr>
        </w:div>
        <w:div w:id="385879287">
          <w:marLeft w:val="0"/>
          <w:marRight w:val="0"/>
          <w:marTop w:val="0"/>
          <w:marBottom w:val="0"/>
          <w:divBdr>
            <w:top w:val="none" w:sz="0" w:space="0" w:color="auto"/>
            <w:left w:val="none" w:sz="0" w:space="0" w:color="auto"/>
            <w:bottom w:val="none" w:sz="0" w:space="0" w:color="auto"/>
            <w:right w:val="none" w:sz="0" w:space="0" w:color="auto"/>
          </w:divBdr>
        </w:div>
        <w:div w:id="405078353">
          <w:marLeft w:val="0"/>
          <w:marRight w:val="0"/>
          <w:marTop w:val="0"/>
          <w:marBottom w:val="0"/>
          <w:divBdr>
            <w:top w:val="none" w:sz="0" w:space="0" w:color="auto"/>
            <w:left w:val="none" w:sz="0" w:space="0" w:color="auto"/>
            <w:bottom w:val="none" w:sz="0" w:space="0" w:color="auto"/>
            <w:right w:val="none" w:sz="0" w:space="0" w:color="auto"/>
          </w:divBdr>
        </w:div>
        <w:div w:id="435909295">
          <w:marLeft w:val="0"/>
          <w:marRight w:val="0"/>
          <w:marTop w:val="0"/>
          <w:marBottom w:val="0"/>
          <w:divBdr>
            <w:top w:val="none" w:sz="0" w:space="0" w:color="auto"/>
            <w:left w:val="none" w:sz="0" w:space="0" w:color="auto"/>
            <w:bottom w:val="none" w:sz="0" w:space="0" w:color="auto"/>
            <w:right w:val="none" w:sz="0" w:space="0" w:color="auto"/>
          </w:divBdr>
        </w:div>
        <w:div w:id="449934369">
          <w:marLeft w:val="0"/>
          <w:marRight w:val="0"/>
          <w:marTop w:val="0"/>
          <w:marBottom w:val="0"/>
          <w:divBdr>
            <w:top w:val="none" w:sz="0" w:space="0" w:color="auto"/>
            <w:left w:val="none" w:sz="0" w:space="0" w:color="auto"/>
            <w:bottom w:val="none" w:sz="0" w:space="0" w:color="auto"/>
            <w:right w:val="none" w:sz="0" w:space="0" w:color="auto"/>
          </w:divBdr>
        </w:div>
        <w:div w:id="458687058">
          <w:marLeft w:val="0"/>
          <w:marRight w:val="0"/>
          <w:marTop w:val="0"/>
          <w:marBottom w:val="0"/>
          <w:divBdr>
            <w:top w:val="none" w:sz="0" w:space="0" w:color="auto"/>
            <w:left w:val="none" w:sz="0" w:space="0" w:color="auto"/>
            <w:bottom w:val="none" w:sz="0" w:space="0" w:color="auto"/>
            <w:right w:val="none" w:sz="0" w:space="0" w:color="auto"/>
          </w:divBdr>
        </w:div>
        <w:div w:id="463620892">
          <w:marLeft w:val="0"/>
          <w:marRight w:val="0"/>
          <w:marTop w:val="0"/>
          <w:marBottom w:val="0"/>
          <w:divBdr>
            <w:top w:val="none" w:sz="0" w:space="0" w:color="auto"/>
            <w:left w:val="none" w:sz="0" w:space="0" w:color="auto"/>
            <w:bottom w:val="none" w:sz="0" w:space="0" w:color="auto"/>
            <w:right w:val="none" w:sz="0" w:space="0" w:color="auto"/>
          </w:divBdr>
        </w:div>
        <w:div w:id="468134663">
          <w:marLeft w:val="0"/>
          <w:marRight w:val="0"/>
          <w:marTop w:val="0"/>
          <w:marBottom w:val="0"/>
          <w:divBdr>
            <w:top w:val="none" w:sz="0" w:space="0" w:color="auto"/>
            <w:left w:val="none" w:sz="0" w:space="0" w:color="auto"/>
            <w:bottom w:val="none" w:sz="0" w:space="0" w:color="auto"/>
            <w:right w:val="none" w:sz="0" w:space="0" w:color="auto"/>
          </w:divBdr>
        </w:div>
        <w:div w:id="495342703">
          <w:marLeft w:val="0"/>
          <w:marRight w:val="0"/>
          <w:marTop w:val="0"/>
          <w:marBottom w:val="0"/>
          <w:divBdr>
            <w:top w:val="none" w:sz="0" w:space="0" w:color="auto"/>
            <w:left w:val="none" w:sz="0" w:space="0" w:color="auto"/>
            <w:bottom w:val="none" w:sz="0" w:space="0" w:color="auto"/>
            <w:right w:val="none" w:sz="0" w:space="0" w:color="auto"/>
          </w:divBdr>
        </w:div>
        <w:div w:id="539826901">
          <w:marLeft w:val="0"/>
          <w:marRight w:val="0"/>
          <w:marTop w:val="0"/>
          <w:marBottom w:val="0"/>
          <w:divBdr>
            <w:top w:val="none" w:sz="0" w:space="0" w:color="auto"/>
            <w:left w:val="none" w:sz="0" w:space="0" w:color="auto"/>
            <w:bottom w:val="none" w:sz="0" w:space="0" w:color="auto"/>
            <w:right w:val="none" w:sz="0" w:space="0" w:color="auto"/>
          </w:divBdr>
        </w:div>
        <w:div w:id="545869513">
          <w:marLeft w:val="0"/>
          <w:marRight w:val="0"/>
          <w:marTop w:val="0"/>
          <w:marBottom w:val="0"/>
          <w:divBdr>
            <w:top w:val="none" w:sz="0" w:space="0" w:color="auto"/>
            <w:left w:val="none" w:sz="0" w:space="0" w:color="auto"/>
            <w:bottom w:val="none" w:sz="0" w:space="0" w:color="auto"/>
            <w:right w:val="none" w:sz="0" w:space="0" w:color="auto"/>
          </w:divBdr>
        </w:div>
        <w:div w:id="546065433">
          <w:marLeft w:val="0"/>
          <w:marRight w:val="0"/>
          <w:marTop w:val="0"/>
          <w:marBottom w:val="0"/>
          <w:divBdr>
            <w:top w:val="none" w:sz="0" w:space="0" w:color="auto"/>
            <w:left w:val="none" w:sz="0" w:space="0" w:color="auto"/>
            <w:bottom w:val="none" w:sz="0" w:space="0" w:color="auto"/>
            <w:right w:val="none" w:sz="0" w:space="0" w:color="auto"/>
          </w:divBdr>
        </w:div>
        <w:div w:id="547448802">
          <w:marLeft w:val="0"/>
          <w:marRight w:val="0"/>
          <w:marTop w:val="0"/>
          <w:marBottom w:val="0"/>
          <w:divBdr>
            <w:top w:val="none" w:sz="0" w:space="0" w:color="auto"/>
            <w:left w:val="none" w:sz="0" w:space="0" w:color="auto"/>
            <w:bottom w:val="none" w:sz="0" w:space="0" w:color="auto"/>
            <w:right w:val="none" w:sz="0" w:space="0" w:color="auto"/>
          </w:divBdr>
        </w:div>
        <w:div w:id="552354722">
          <w:marLeft w:val="0"/>
          <w:marRight w:val="0"/>
          <w:marTop w:val="0"/>
          <w:marBottom w:val="0"/>
          <w:divBdr>
            <w:top w:val="none" w:sz="0" w:space="0" w:color="auto"/>
            <w:left w:val="none" w:sz="0" w:space="0" w:color="auto"/>
            <w:bottom w:val="none" w:sz="0" w:space="0" w:color="auto"/>
            <w:right w:val="none" w:sz="0" w:space="0" w:color="auto"/>
          </w:divBdr>
        </w:div>
        <w:div w:id="568032088">
          <w:marLeft w:val="0"/>
          <w:marRight w:val="0"/>
          <w:marTop w:val="0"/>
          <w:marBottom w:val="0"/>
          <w:divBdr>
            <w:top w:val="none" w:sz="0" w:space="0" w:color="auto"/>
            <w:left w:val="none" w:sz="0" w:space="0" w:color="auto"/>
            <w:bottom w:val="none" w:sz="0" w:space="0" w:color="auto"/>
            <w:right w:val="none" w:sz="0" w:space="0" w:color="auto"/>
          </w:divBdr>
        </w:div>
        <w:div w:id="570165084">
          <w:marLeft w:val="0"/>
          <w:marRight w:val="0"/>
          <w:marTop w:val="0"/>
          <w:marBottom w:val="0"/>
          <w:divBdr>
            <w:top w:val="none" w:sz="0" w:space="0" w:color="auto"/>
            <w:left w:val="none" w:sz="0" w:space="0" w:color="auto"/>
            <w:bottom w:val="none" w:sz="0" w:space="0" w:color="auto"/>
            <w:right w:val="none" w:sz="0" w:space="0" w:color="auto"/>
          </w:divBdr>
        </w:div>
        <w:div w:id="594023604">
          <w:marLeft w:val="0"/>
          <w:marRight w:val="0"/>
          <w:marTop w:val="0"/>
          <w:marBottom w:val="0"/>
          <w:divBdr>
            <w:top w:val="none" w:sz="0" w:space="0" w:color="auto"/>
            <w:left w:val="none" w:sz="0" w:space="0" w:color="auto"/>
            <w:bottom w:val="none" w:sz="0" w:space="0" w:color="auto"/>
            <w:right w:val="none" w:sz="0" w:space="0" w:color="auto"/>
          </w:divBdr>
        </w:div>
        <w:div w:id="611861092">
          <w:marLeft w:val="0"/>
          <w:marRight w:val="0"/>
          <w:marTop w:val="0"/>
          <w:marBottom w:val="0"/>
          <w:divBdr>
            <w:top w:val="none" w:sz="0" w:space="0" w:color="auto"/>
            <w:left w:val="none" w:sz="0" w:space="0" w:color="auto"/>
            <w:bottom w:val="none" w:sz="0" w:space="0" w:color="auto"/>
            <w:right w:val="none" w:sz="0" w:space="0" w:color="auto"/>
          </w:divBdr>
        </w:div>
        <w:div w:id="612051487">
          <w:marLeft w:val="0"/>
          <w:marRight w:val="0"/>
          <w:marTop w:val="0"/>
          <w:marBottom w:val="0"/>
          <w:divBdr>
            <w:top w:val="none" w:sz="0" w:space="0" w:color="auto"/>
            <w:left w:val="none" w:sz="0" w:space="0" w:color="auto"/>
            <w:bottom w:val="none" w:sz="0" w:space="0" w:color="auto"/>
            <w:right w:val="none" w:sz="0" w:space="0" w:color="auto"/>
          </w:divBdr>
        </w:div>
        <w:div w:id="649214652">
          <w:marLeft w:val="0"/>
          <w:marRight w:val="0"/>
          <w:marTop w:val="0"/>
          <w:marBottom w:val="0"/>
          <w:divBdr>
            <w:top w:val="none" w:sz="0" w:space="0" w:color="auto"/>
            <w:left w:val="none" w:sz="0" w:space="0" w:color="auto"/>
            <w:bottom w:val="none" w:sz="0" w:space="0" w:color="auto"/>
            <w:right w:val="none" w:sz="0" w:space="0" w:color="auto"/>
          </w:divBdr>
        </w:div>
        <w:div w:id="673455318">
          <w:marLeft w:val="0"/>
          <w:marRight w:val="0"/>
          <w:marTop w:val="0"/>
          <w:marBottom w:val="0"/>
          <w:divBdr>
            <w:top w:val="none" w:sz="0" w:space="0" w:color="auto"/>
            <w:left w:val="none" w:sz="0" w:space="0" w:color="auto"/>
            <w:bottom w:val="none" w:sz="0" w:space="0" w:color="auto"/>
            <w:right w:val="none" w:sz="0" w:space="0" w:color="auto"/>
          </w:divBdr>
        </w:div>
        <w:div w:id="675231063">
          <w:marLeft w:val="0"/>
          <w:marRight w:val="0"/>
          <w:marTop w:val="0"/>
          <w:marBottom w:val="0"/>
          <w:divBdr>
            <w:top w:val="none" w:sz="0" w:space="0" w:color="auto"/>
            <w:left w:val="none" w:sz="0" w:space="0" w:color="auto"/>
            <w:bottom w:val="none" w:sz="0" w:space="0" w:color="auto"/>
            <w:right w:val="none" w:sz="0" w:space="0" w:color="auto"/>
          </w:divBdr>
        </w:div>
        <w:div w:id="709768900">
          <w:marLeft w:val="0"/>
          <w:marRight w:val="0"/>
          <w:marTop w:val="0"/>
          <w:marBottom w:val="0"/>
          <w:divBdr>
            <w:top w:val="none" w:sz="0" w:space="0" w:color="auto"/>
            <w:left w:val="none" w:sz="0" w:space="0" w:color="auto"/>
            <w:bottom w:val="none" w:sz="0" w:space="0" w:color="auto"/>
            <w:right w:val="none" w:sz="0" w:space="0" w:color="auto"/>
          </w:divBdr>
        </w:div>
        <w:div w:id="717970417">
          <w:marLeft w:val="0"/>
          <w:marRight w:val="0"/>
          <w:marTop w:val="0"/>
          <w:marBottom w:val="0"/>
          <w:divBdr>
            <w:top w:val="none" w:sz="0" w:space="0" w:color="auto"/>
            <w:left w:val="none" w:sz="0" w:space="0" w:color="auto"/>
            <w:bottom w:val="none" w:sz="0" w:space="0" w:color="auto"/>
            <w:right w:val="none" w:sz="0" w:space="0" w:color="auto"/>
          </w:divBdr>
        </w:div>
        <w:div w:id="741830991">
          <w:marLeft w:val="0"/>
          <w:marRight w:val="0"/>
          <w:marTop w:val="0"/>
          <w:marBottom w:val="0"/>
          <w:divBdr>
            <w:top w:val="none" w:sz="0" w:space="0" w:color="auto"/>
            <w:left w:val="none" w:sz="0" w:space="0" w:color="auto"/>
            <w:bottom w:val="none" w:sz="0" w:space="0" w:color="auto"/>
            <w:right w:val="none" w:sz="0" w:space="0" w:color="auto"/>
          </w:divBdr>
        </w:div>
        <w:div w:id="744105322">
          <w:marLeft w:val="0"/>
          <w:marRight w:val="0"/>
          <w:marTop w:val="0"/>
          <w:marBottom w:val="0"/>
          <w:divBdr>
            <w:top w:val="none" w:sz="0" w:space="0" w:color="auto"/>
            <w:left w:val="none" w:sz="0" w:space="0" w:color="auto"/>
            <w:bottom w:val="none" w:sz="0" w:space="0" w:color="auto"/>
            <w:right w:val="none" w:sz="0" w:space="0" w:color="auto"/>
          </w:divBdr>
        </w:div>
        <w:div w:id="751001113">
          <w:marLeft w:val="0"/>
          <w:marRight w:val="0"/>
          <w:marTop w:val="0"/>
          <w:marBottom w:val="0"/>
          <w:divBdr>
            <w:top w:val="none" w:sz="0" w:space="0" w:color="auto"/>
            <w:left w:val="none" w:sz="0" w:space="0" w:color="auto"/>
            <w:bottom w:val="none" w:sz="0" w:space="0" w:color="auto"/>
            <w:right w:val="none" w:sz="0" w:space="0" w:color="auto"/>
          </w:divBdr>
        </w:div>
        <w:div w:id="758986902">
          <w:marLeft w:val="0"/>
          <w:marRight w:val="0"/>
          <w:marTop w:val="0"/>
          <w:marBottom w:val="0"/>
          <w:divBdr>
            <w:top w:val="none" w:sz="0" w:space="0" w:color="auto"/>
            <w:left w:val="none" w:sz="0" w:space="0" w:color="auto"/>
            <w:bottom w:val="none" w:sz="0" w:space="0" w:color="auto"/>
            <w:right w:val="none" w:sz="0" w:space="0" w:color="auto"/>
          </w:divBdr>
        </w:div>
        <w:div w:id="768430657">
          <w:marLeft w:val="0"/>
          <w:marRight w:val="0"/>
          <w:marTop w:val="0"/>
          <w:marBottom w:val="0"/>
          <w:divBdr>
            <w:top w:val="none" w:sz="0" w:space="0" w:color="auto"/>
            <w:left w:val="none" w:sz="0" w:space="0" w:color="auto"/>
            <w:bottom w:val="none" w:sz="0" w:space="0" w:color="auto"/>
            <w:right w:val="none" w:sz="0" w:space="0" w:color="auto"/>
          </w:divBdr>
        </w:div>
        <w:div w:id="776873004">
          <w:marLeft w:val="0"/>
          <w:marRight w:val="0"/>
          <w:marTop w:val="0"/>
          <w:marBottom w:val="0"/>
          <w:divBdr>
            <w:top w:val="none" w:sz="0" w:space="0" w:color="auto"/>
            <w:left w:val="none" w:sz="0" w:space="0" w:color="auto"/>
            <w:bottom w:val="none" w:sz="0" w:space="0" w:color="auto"/>
            <w:right w:val="none" w:sz="0" w:space="0" w:color="auto"/>
          </w:divBdr>
        </w:div>
        <w:div w:id="786119290">
          <w:marLeft w:val="0"/>
          <w:marRight w:val="0"/>
          <w:marTop w:val="0"/>
          <w:marBottom w:val="0"/>
          <w:divBdr>
            <w:top w:val="none" w:sz="0" w:space="0" w:color="auto"/>
            <w:left w:val="none" w:sz="0" w:space="0" w:color="auto"/>
            <w:bottom w:val="none" w:sz="0" w:space="0" w:color="auto"/>
            <w:right w:val="none" w:sz="0" w:space="0" w:color="auto"/>
          </w:divBdr>
        </w:div>
        <w:div w:id="819079410">
          <w:marLeft w:val="0"/>
          <w:marRight w:val="0"/>
          <w:marTop w:val="0"/>
          <w:marBottom w:val="0"/>
          <w:divBdr>
            <w:top w:val="none" w:sz="0" w:space="0" w:color="auto"/>
            <w:left w:val="none" w:sz="0" w:space="0" w:color="auto"/>
            <w:bottom w:val="none" w:sz="0" w:space="0" w:color="auto"/>
            <w:right w:val="none" w:sz="0" w:space="0" w:color="auto"/>
          </w:divBdr>
        </w:div>
        <w:div w:id="829752819">
          <w:marLeft w:val="0"/>
          <w:marRight w:val="0"/>
          <w:marTop w:val="0"/>
          <w:marBottom w:val="0"/>
          <w:divBdr>
            <w:top w:val="none" w:sz="0" w:space="0" w:color="auto"/>
            <w:left w:val="none" w:sz="0" w:space="0" w:color="auto"/>
            <w:bottom w:val="none" w:sz="0" w:space="0" w:color="auto"/>
            <w:right w:val="none" w:sz="0" w:space="0" w:color="auto"/>
          </w:divBdr>
        </w:div>
        <w:div w:id="850529815">
          <w:marLeft w:val="0"/>
          <w:marRight w:val="0"/>
          <w:marTop w:val="0"/>
          <w:marBottom w:val="0"/>
          <w:divBdr>
            <w:top w:val="none" w:sz="0" w:space="0" w:color="auto"/>
            <w:left w:val="none" w:sz="0" w:space="0" w:color="auto"/>
            <w:bottom w:val="none" w:sz="0" w:space="0" w:color="auto"/>
            <w:right w:val="none" w:sz="0" w:space="0" w:color="auto"/>
          </w:divBdr>
        </w:div>
        <w:div w:id="874348021">
          <w:marLeft w:val="0"/>
          <w:marRight w:val="0"/>
          <w:marTop w:val="0"/>
          <w:marBottom w:val="0"/>
          <w:divBdr>
            <w:top w:val="none" w:sz="0" w:space="0" w:color="auto"/>
            <w:left w:val="none" w:sz="0" w:space="0" w:color="auto"/>
            <w:bottom w:val="none" w:sz="0" w:space="0" w:color="auto"/>
            <w:right w:val="none" w:sz="0" w:space="0" w:color="auto"/>
          </w:divBdr>
        </w:div>
        <w:div w:id="878738054">
          <w:marLeft w:val="0"/>
          <w:marRight w:val="0"/>
          <w:marTop w:val="0"/>
          <w:marBottom w:val="0"/>
          <w:divBdr>
            <w:top w:val="none" w:sz="0" w:space="0" w:color="auto"/>
            <w:left w:val="none" w:sz="0" w:space="0" w:color="auto"/>
            <w:bottom w:val="none" w:sz="0" w:space="0" w:color="auto"/>
            <w:right w:val="none" w:sz="0" w:space="0" w:color="auto"/>
          </w:divBdr>
        </w:div>
        <w:div w:id="879244883">
          <w:marLeft w:val="0"/>
          <w:marRight w:val="0"/>
          <w:marTop w:val="0"/>
          <w:marBottom w:val="0"/>
          <w:divBdr>
            <w:top w:val="none" w:sz="0" w:space="0" w:color="auto"/>
            <w:left w:val="none" w:sz="0" w:space="0" w:color="auto"/>
            <w:bottom w:val="none" w:sz="0" w:space="0" w:color="auto"/>
            <w:right w:val="none" w:sz="0" w:space="0" w:color="auto"/>
          </w:divBdr>
        </w:div>
        <w:div w:id="898786823">
          <w:marLeft w:val="0"/>
          <w:marRight w:val="0"/>
          <w:marTop w:val="0"/>
          <w:marBottom w:val="0"/>
          <w:divBdr>
            <w:top w:val="none" w:sz="0" w:space="0" w:color="auto"/>
            <w:left w:val="none" w:sz="0" w:space="0" w:color="auto"/>
            <w:bottom w:val="none" w:sz="0" w:space="0" w:color="auto"/>
            <w:right w:val="none" w:sz="0" w:space="0" w:color="auto"/>
          </w:divBdr>
        </w:div>
        <w:div w:id="900094949">
          <w:marLeft w:val="0"/>
          <w:marRight w:val="0"/>
          <w:marTop w:val="0"/>
          <w:marBottom w:val="0"/>
          <w:divBdr>
            <w:top w:val="none" w:sz="0" w:space="0" w:color="auto"/>
            <w:left w:val="none" w:sz="0" w:space="0" w:color="auto"/>
            <w:bottom w:val="none" w:sz="0" w:space="0" w:color="auto"/>
            <w:right w:val="none" w:sz="0" w:space="0" w:color="auto"/>
          </w:divBdr>
        </w:div>
        <w:div w:id="912088687">
          <w:marLeft w:val="0"/>
          <w:marRight w:val="0"/>
          <w:marTop w:val="0"/>
          <w:marBottom w:val="0"/>
          <w:divBdr>
            <w:top w:val="none" w:sz="0" w:space="0" w:color="auto"/>
            <w:left w:val="none" w:sz="0" w:space="0" w:color="auto"/>
            <w:bottom w:val="none" w:sz="0" w:space="0" w:color="auto"/>
            <w:right w:val="none" w:sz="0" w:space="0" w:color="auto"/>
          </w:divBdr>
        </w:div>
        <w:div w:id="913860309">
          <w:marLeft w:val="0"/>
          <w:marRight w:val="0"/>
          <w:marTop w:val="0"/>
          <w:marBottom w:val="0"/>
          <w:divBdr>
            <w:top w:val="none" w:sz="0" w:space="0" w:color="auto"/>
            <w:left w:val="none" w:sz="0" w:space="0" w:color="auto"/>
            <w:bottom w:val="none" w:sz="0" w:space="0" w:color="auto"/>
            <w:right w:val="none" w:sz="0" w:space="0" w:color="auto"/>
          </w:divBdr>
        </w:div>
        <w:div w:id="916672670">
          <w:marLeft w:val="0"/>
          <w:marRight w:val="0"/>
          <w:marTop w:val="0"/>
          <w:marBottom w:val="0"/>
          <w:divBdr>
            <w:top w:val="none" w:sz="0" w:space="0" w:color="auto"/>
            <w:left w:val="none" w:sz="0" w:space="0" w:color="auto"/>
            <w:bottom w:val="none" w:sz="0" w:space="0" w:color="auto"/>
            <w:right w:val="none" w:sz="0" w:space="0" w:color="auto"/>
          </w:divBdr>
        </w:div>
        <w:div w:id="932595138">
          <w:marLeft w:val="0"/>
          <w:marRight w:val="0"/>
          <w:marTop w:val="0"/>
          <w:marBottom w:val="0"/>
          <w:divBdr>
            <w:top w:val="none" w:sz="0" w:space="0" w:color="auto"/>
            <w:left w:val="none" w:sz="0" w:space="0" w:color="auto"/>
            <w:bottom w:val="none" w:sz="0" w:space="0" w:color="auto"/>
            <w:right w:val="none" w:sz="0" w:space="0" w:color="auto"/>
          </w:divBdr>
        </w:div>
        <w:div w:id="938829859">
          <w:marLeft w:val="0"/>
          <w:marRight w:val="0"/>
          <w:marTop w:val="0"/>
          <w:marBottom w:val="0"/>
          <w:divBdr>
            <w:top w:val="none" w:sz="0" w:space="0" w:color="auto"/>
            <w:left w:val="none" w:sz="0" w:space="0" w:color="auto"/>
            <w:bottom w:val="none" w:sz="0" w:space="0" w:color="auto"/>
            <w:right w:val="none" w:sz="0" w:space="0" w:color="auto"/>
          </w:divBdr>
        </w:div>
        <w:div w:id="948854933">
          <w:marLeft w:val="0"/>
          <w:marRight w:val="0"/>
          <w:marTop w:val="0"/>
          <w:marBottom w:val="0"/>
          <w:divBdr>
            <w:top w:val="none" w:sz="0" w:space="0" w:color="auto"/>
            <w:left w:val="none" w:sz="0" w:space="0" w:color="auto"/>
            <w:bottom w:val="none" w:sz="0" w:space="0" w:color="auto"/>
            <w:right w:val="none" w:sz="0" w:space="0" w:color="auto"/>
          </w:divBdr>
        </w:div>
        <w:div w:id="951475935">
          <w:marLeft w:val="0"/>
          <w:marRight w:val="0"/>
          <w:marTop w:val="0"/>
          <w:marBottom w:val="0"/>
          <w:divBdr>
            <w:top w:val="none" w:sz="0" w:space="0" w:color="auto"/>
            <w:left w:val="none" w:sz="0" w:space="0" w:color="auto"/>
            <w:bottom w:val="none" w:sz="0" w:space="0" w:color="auto"/>
            <w:right w:val="none" w:sz="0" w:space="0" w:color="auto"/>
          </w:divBdr>
        </w:div>
        <w:div w:id="963854588">
          <w:marLeft w:val="0"/>
          <w:marRight w:val="0"/>
          <w:marTop w:val="0"/>
          <w:marBottom w:val="0"/>
          <w:divBdr>
            <w:top w:val="none" w:sz="0" w:space="0" w:color="auto"/>
            <w:left w:val="none" w:sz="0" w:space="0" w:color="auto"/>
            <w:bottom w:val="none" w:sz="0" w:space="0" w:color="auto"/>
            <w:right w:val="none" w:sz="0" w:space="0" w:color="auto"/>
          </w:divBdr>
        </w:div>
        <w:div w:id="969362910">
          <w:marLeft w:val="0"/>
          <w:marRight w:val="0"/>
          <w:marTop w:val="0"/>
          <w:marBottom w:val="0"/>
          <w:divBdr>
            <w:top w:val="none" w:sz="0" w:space="0" w:color="auto"/>
            <w:left w:val="none" w:sz="0" w:space="0" w:color="auto"/>
            <w:bottom w:val="none" w:sz="0" w:space="0" w:color="auto"/>
            <w:right w:val="none" w:sz="0" w:space="0" w:color="auto"/>
          </w:divBdr>
        </w:div>
        <w:div w:id="987171701">
          <w:marLeft w:val="0"/>
          <w:marRight w:val="0"/>
          <w:marTop w:val="0"/>
          <w:marBottom w:val="0"/>
          <w:divBdr>
            <w:top w:val="none" w:sz="0" w:space="0" w:color="auto"/>
            <w:left w:val="none" w:sz="0" w:space="0" w:color="auto"/>
            <w:bottom w:val="none" w:sz="0" w:space="0" w:color="auto"/>
            <w:right w:val="none" w:sz="0" w:space="0" w:color="auto"/>
          </w:divBdr>
        </w:div>
        <w:div w:id="1006635396">
          <w:marLeft w:val="0"/>
          <w:marRight w:val="0"/>
          <w:marTop w:val="0"/>
          <w:marBottom w:val="0"/>
          <w:divBdr>
            <w:top w:val="none" w:sz="0" w:space="0" w:color="auto"/>
            <w:left w:val="none" w:sz="0" w:space="0" w:color="auto"/>
            <w:bottom w:val="none" w:sz="0" w:space="0" w:color="auto"/>
            <w:right w:val="none" w:sz="0" w:space="0" w:color="auto"/>
          </w:divBdr>
        </w:div>
        <w:div w:id="1024213175">
          <w:marLeft w:val="0"/>
          <w:marRight w:val="0"/>
          <w:marTop w:val="0"/>
          <w:marBottom w:val="0"/>
          <w:divBdr>
            <w:top w:val="none" w:sz="0" w:space="0" w:color="auto"/>
            <w:left w:val="none" w:sz="0" w:space="0" w:color="auto"/>
            <w:bottom w:val="none" w:sz="0" w:space="0" w:color="auto"/>
            <w:right w:val="none" w:sz="0" w:space="0" w:color="auto"/>
          </w:divBdr>
        </w:div>
        <w:div w:id="1041788341">
          <w:marLeft w:val="0"/>
          <w:marRight w:val="0"/>
          <w:marTop w:val="0"/>
          <w:marBottom w:val="0"/>
          <w:divBdr>
            <w:top w:val="none" w:sz="0" w:space="0" w:color="auto"/>
            <w:left w:val="none" w:sz="0" w:space="0" w:color="auto"/>
            <w:bottom w:val="none" w:sz="0" w:space="0" w:color="auto"/>
            <w:right w:val="none" w:sz="0" w:space="0" w:color="auto"/>
          </w:divBdr>
        </w:div>
        <w:div w:id="1043479000">
          <w:marLeft w:val="0"/>
          <w:marRight w:val="0"/>
          <w:marTop w:val="0"/>
          <w:marBottom w:val="0"/>
          <w:divBdr>
            <w:top w:val="none" w:sz="0" w:space="0" w:color="auto"/>
            <w:left w:val="none" w:sz="0" w:space="0" w:color="auto"/>
            <w:bottom w:val="none" w:sz="0" w:space="0" w:color="auto"/>
            <w:right w:val="none" w:sz="0" w:space="0" w:color="auto"/>
          </w:divBdr>
        </w:div>
        <w:div w:id="1044330402">
          <w:marLeft w:val="0"/>
          <w:marRight w:val="0"/>
          <w:marTop w:val="0"/>
          <w:marBottom w:val="0"/>
          <w:divBdr>
            <w:top w:val="none" w:sz="0" w:space="0" w:color="auto"/>
            <w:left w:val="none" w:sz="0" w:space="0" w:color="auto"/>
            <w:bottom w:val="none" w:sz="0" w:space="0" w:color="auto"/>
            <w:right w:val="none" w:sz="0" w:space="0" w:color="auto"/>
          </w:divBdr>
        </w:div>
        <w:div w:id="1046873709">
          <w:marLeft w:val="0"/>
          <w:marRight w:val="0"/>
          <w:marTop w:val="0"/>
          <w:marBottom w:val="0"/>
          <w:divBdr>
            <w:top w:val="none" w:sz="0" w:space="0" w:color="auto"/>
            <w:left w:val="none" w:sz="0" w:space="0" w:color="auto"/>
            <w:bottom w:val="none" w:sz="0" w:space="0" w:color="auto"/>
            <w:right w:val="none" w:sz="0" w:space="0" w:color="auto"/>
          </w:divBdr>
        </w:div>
        <w:div w:id="1049452490">
          <w:marLeft w:val="0"/>
          <w:marRight w:val="0"/>
          <w:marTop w:val="0"/>
          <w:marBottom w:val="0"/>
          <w:divBdr>
            <w:top w:val="none" w:sz="0" w:space="0" w:color="auto"/>
            <w:left w:val="none" w:sz="0" w:space="0" w:color="auto"/>
            <w:bottom w:val="none" w:sz="0" w:space="0" w:color="auto"/>
            <w:right w:val="none" w:sz="0" w:space="0" w:color="auto"/>
          </w:divBdr>
        </w:div>
        <w:div w:id="1067343354">
          <w:marLeft w:val="0"/>
          <w:marRight w:val="0"/>
          <w:marTop w:val="0"/>
          <w:marBottom w:val="0"/>
          <w:divBdr>
            <w:top w:val="none" w:sz="0" w:space="0" w:color="auto"/>
            <w:left w:val="none" w:sz="0" w:space="0" w:color="auto"/>
            <w:bottom w:val="none" w:sz="0" w:space="0" w:color="auto"/>
            <w:right w:val="none" w:sz="0" w:space="0" w:color="auto"/>
          </w:divBdr>
        </w:div>
        <w:div w:id="1072195187">
          <w:marLeft w:val="0"/>
          <w:marRight w:val="0"/>
          <w:marTop w:val="0"/>
          <w:marBottom w:val="0"/>
          <w:divBdr>
            <w:top w:val="none" w:sz="0" w:space="0" w:color="auto"/>
            <w:left w:val="none" w:sz="0" w:space="0" w:color="auto"/>
            <w:bottom w:val="none" w:sz="0" w:space="0" w:color="auto"/>
            <w:right w:val="none" w:sz="0" w:space="0" w:color="auto"/>
          </w:divBdr>
        </w:div>
        <w:div w:id="1106074153">
          <w:marLeft w:val="0"/>
          <w:marRight w:val="0"/>
          <w:marTop w:val="0"/>
          <w:marBottom w:val="0"/>
          <w:divBdr>
            <w:top w:val="none" w:sz="0" w:space="0" w:color="auto"/>
            <w:left w:val="none" w:sz="0" w:space="0" w:color="auto"/>
            <w:bottom w:val="none" w:sz="0" w:space="0" w:color="auto"/>
            <w:right w:val="none" w:sz="0" w:space="0" w:color="auto"/>
          </w:divBdr>
        </w:div>
        <w:div w:id="1146047466">
          <w:marLeft w:val="0"/>
          <w:marRight w:val="0"/>
          <w:marTop w:val="0"/>
          <w:marBottom w:val="0"/>
          <w:divBdr>
            <w:top w:val="none" w:sz="0" w:space="0" w:color="auto"/>
            <w:left w:val="none" w:sz="0" w:space="0" w:color="auto"/>
            <w:bottom w:val="none" w:sz="0" w:space="0" w:color="auto"/>
            <w:right w:val="none" w:sz="0" w:space="0" w:color="auto"/>
          </w:divBdr>
        </w:div>
        <w:div w:id="1166096386">
          <w:marLeft w:val="0"/>
          <w:marRight w:val="0"/>
          <w:marTop w:val="0"/>
          <w:marBottom w:val="0"/>
          <w:divBdr>
            <w:top w:val="none" w:sz="0" w:space="0" w:color="auto"/>
            <w:left w:val="none" w:sz="0" w:space="0" w:color="auto"/>
            <w:bottom w:val="none" w:sz="0" w:space="0" w:color="auto"/>
            <w:right w:val="none" w:sz="0" w:space="0" w:color="auto"/>
          </w:divBdr>
        </w:div>
        <w:div w:id="1183669216">
          <w:marLeft w:val="0"/>
          <w:marRight w:val="0"/>
          <w:marTop w:val="0"/>
          <w:marBottom w:val="0"/>
          <w:divBdr>
            <w:top w:val="none" w:sz="0" w:space="0" w:color="auto"/>
            <w:left w:val="none" w:sz="0" w:space="0" w:color="auto"/>
            <w:bottom w:val="none" w:sz="0" w:space="0" w:color="auto"/>
            <w:right w:val="none" w:sz="0" w:space="0" w:color="auto"/>
          </w:divBdr>
        </w:div>
        <w:div w:id="1185939549">
          <w:marLeft w:val="0"/>
          <w:marRight w:val="0"/>
          <w:marTop w:val="0"/>
          <w:marBottom w:val="0"/>
          <w:divBdr>
            <w:top w:val="none" w:sz="0" w:space="0" w:color="auto"/>
            <w:left w:val="none" w:sz="0" w:space="0" w:color="auto"/>
            <w:bottom w:val="none" w:sz="0" w:space="0" w:color="auto"/>
            <w:right w:val="none" w:sz="0" w:space="0" w:color="auto"/>
          </w:divBdr>
        </w:div>
        <w:div w:id="1191530323">
          <w:marLeft w:val="0"/>
          <w:marRight w:val="0"/>
          <w:marTop w:val="0"/>
          <w:marBottom w:val="0"/>
          <w:divBdr>
            <w:top w:val="none" w:sz="0" w:space="0" w:color="auto"/>
            <w:left w:val="none" w:sz="0" w:space="0" w:color="auto"/>
            <w:bottom w:val="none" w:sz="0" w:space="0" w:color="auto"/>
            <w:right w:val="none" w:sz="0" w:space="0" w:color="auto"/>
          </w:divBdr>
        </w:div>
        <w:div w:id="1194075840">
          <w:marLeft w:val="0"/>
          <w:marRight w:val="0"/>
          <w:marTop w:val="0"/>
          <w:marBottom w:val="0"/>
          <w:divBdr>
            <w:top w:val="none" w:sz="0" w:space="0" w:color="auto"/>
            <w:left w:val="none" w:sz="0" w:space="0" w:color="auto"/>
            <w:bottom w:val="none" w:sz="0" w:space="0" w:color="auto"/>
            <w:right w:val="none" w:sz="0" w:space="0" w:color="auto"/>
          </w:divBdr>
        </w:div>
        <w:div w:id="1197037029">
          <w:marLeft w:val="0"/>
          <w:marRight w:val="0"/>
          <w:marTop w:val="0"/>
          <w:marBottom w:val="0"/>
          <w:divBdr>
            <w:top w:val="none" w:sz="0" w:space="0" w:color="auto"/>
            <w:left w:val="none" w:sz="0" w:space="0" w:color="auto"/>
            <w:bottom w:val="none" w:sz="0" w:space="0" w:color="auto"/>
            <w:right w:val="none" w:sz="0" w:space="0" w:color="auto"/>
          </w:divBdr>
        </w:div>
        <w:div w:id="1200822943">
          <w:marLeft w:val="0"/>
          <w:marRight w:val="0"/>
          <w:marTop w:val="0"/>
          <w:marBottom w:val="0"/>
          <w:divBdr>
            <w:top w:val="none" w:sz="0" w:space="0" w:color="auto"/>
            <w:left w:val="none" w:sz="0" w:space="0" w:color="auto"/>
            <w:bottom w:val="none" w:sz="0" w:space="0" w:color="auto"/>
            <w:right w:val="none" w:sz="0" w:space="0" w:color="auto"/>
          </w:divBdr>
        </w:div>
        <w:div w:id="1201553144">
          <w:marLeft w:val="0"/>
          <w:marRight w:val="0"/>
          <w:marTop w:val="0"/>
          <w:marBottom w:val="0"/>
          <w:divBdr>
            <w:top w:val="none" w:sz="0" w:space="0" w:color="auto"/>
            <w:left w:val="none" w:sz="0" w:space="0" w:color="auto"/>
            <w:bottom w:val="none" w:sz="0" w:space="0" w:color="auto"/>
            <w:right w:val="none" w:sz="0" w:space="0" w:color="auto"/>
          </w:divBdr>
        </w:div>
        <w:div w:id="1204252483">
          <w:marLeft w:val="0"/>
          <w:marRight w:val="0"/>
          <w:marTop w:val="0"/>
          <w:marBottom w:val="0"/>
          <w:divBdr>
            <w:top w:val="none" w:sz="0" w:space="0" w:color="auto"/>
            <w:left w:val="none" w:sz="0" w:space="0" w:color="auto"/>
            <w:bottom w:val="none" w:sz="0" w:space="0" w:color="auto"/>
            <w:right w:val="none" w:sz="0" w:space="0" w:color="auto"/>
          </w:divBdr>
        </w:div>
        <w:div w:id="1206790807">
          <w:marLeft w:val="0"/>
          <w:marRight w:val="0"/>
          <w:marTop w:val="0"/>
          <w:marBottom w:val="0"/>
          <w:divBdr>
            <w:top w:val="none" w:sz="0" w:space="0" w:color="auto"/>
            <w:left w:val="none" w:sz="0" w:space="0" w:color="auto"/>
            <w:bottom w:val="none" w:sz="0" w:space="0" w:color="auto"/>
            <w:right w:val="none" w:sz="0" w:space="0" w:color="auto"/>
          </w:divBdr>
        </w:div>
        <w:div w:id="1207110615">
          <w:marLeft w:val="0"/>
          <w:marRight w:val="0"/>
          <w:marTop w:val="0"/>
          <w:marBottom w:val="0"/>
          <w:divBdr>
            <w:top w:val="none" w:sz="0" w:space="0" w:color="auto"/>
            <w:left w:val="none" w:sz="0" w:space="0" w:color="auto"/>
            <w:bottom w:val="none" w:sz="0" w:space="0" w:color="auto"/>
            <w:right w:val="none" w:sz="0" w:space="0" w:color="auto"/>
          </w:divBdr>
        </w:div>
        <w:div w:id="1232689382">
          <w:marLeft w:val="0"/>
          <w:marRight w:val="0"/>
          <w:marTop w:val="0"/>
          <w:marBottom w:val="0"/>
          <w:divBdr>
            <w:top w:val="none" w:sz="0" w:space="0" w:color="auto"/>
            <w:left w:val="none" w:sz="0" w:space="0" w:color="auto"/>
            <w:bottom w:val="none" w:sz="0" w:space="0" w:color="auto"/>
            <w:right w:val="none" w:sz="0" w:space="0" w:color="auto"/>
          </w:divBdr>
        </w:div>
        <w:div w:id="1233389379">
          <w:marLeft w:val="0"/>
          <w:marRight w:val="0"/>
          <w:marTop w:val="0"/>
          <w:marBottom w:val="0"/>
          <w:divBdr>
            <w:top w:val="none" w:sz="0" w:space="0" w:color="auto"/>
            <w:left w:val="none" w:sz="0" w:space="0" w:color="auto"/>
            <w:bottom w:val="none" w:sz="0" w:space="0" w:color="auto"/>
            <w:right w:val="none" w:sz="0" w:space="0" w:color="auto"/>
          </w:divBdr>
        </w:div>
        <w:div w:id="1236280972">
          <w:marLeft w:val="0"/>
          <w:marRight w:val="0"/>
          <w:marTop w:val="0"/>
          <w:marBottom w:val="0"/>
          <w:divBdr>
            <w:top w:val="none" w:sz="0" w:space="0" w:color="auto"/>
            <w:left w:val="none" w:sz="0" w:space="0" w:color="auto"/>
            <w:bottom w:val="none" w:sz="0" w:space="0" w:color="auto"/>
            <w:right w:val="none" w:sz="0" w:space="0" w:color="auto"/>
          </w:divBdr>
        </w:div>
        <w:div w:id="1236477079">
          <w:marLeft w:val="0"/>
          <w:marRight w:val="0"/>
          <w:marTop w:val="0"/>
          <w:marBottom w:val="0"/>
          <w:divBdr>
            <w:top w:val="none" w:sz="0" w:space="0" w:color="auto"/>
            <w:left w:val="none" w:sz="0" w:space="0" w:color="auto"/>
            <w:bottom w:val="none" w:sz="0" w:space="0" w:color="auto"/>
            <w:right w:val="none" w:sz="0" w:space="0" w:color="auto"/>
          </w:divBdr>
        </w:div>
        <w:div w:id="1244535111">
          <w:marLeft w:val="0"/>
          <w:marRight w:val="0"/>
          <w:marTop w:val="0"/>
          <w:marBottom w:val="0"/>
          <w:divBdr>
            <w:top w:val="none" w:sz="0" w:space="0" w:color="auto"/>
            <w:left w:val="none" w:sz="0" w:space="0" w:color="auto"/>
            <w:bottom w:val="none" w:sz="0" w:space="0" w:color="auto"/>
            <w:right w:val="none" w:sz="0" w:space="0" w:color="auto"/>
          </w:divBdr>
        </w:div>
        <w:div w:id="1275019464">
          <w:marLeft w:val="0"/>
          <w:marRight w:val="0"/>
          <w:marTop w:val="0"/>
          <w:marBottom w:val="0"/>
          <w:divBdr>
            <w:top w:val="none" w:sz="0" w:space="0" w:color="auto"/>
            <w:left w:val="none" w:sz="0" w:space="0" w:color="auto"/>
            <w:bottom w:val="none" w:sz="0" w:space="0" w:color="auto"/>
            <w:right w:val="none" w:sz="0" w:space="0" w:color="auto"/>
          </w:divBdr>
        </w:div>
        <w:div w:id="1276982757">
          <w:marLeft w:val="0"/>
          <w:marRight w:val="0"/>
          <w:marTop w:val="0"/>
          <w:marBottom w:val="0"/>
          <w:divBdr>
            <w:top w:val="none" w:sz="0" w:space="0" w:color="auto"/>
            <w:left w:val="none" w:sz="0" w:space="0" w:color="auto"/>
            <w:bottom w:val="none" w:sz="0" w:space="0" w:color="auto"/>
            <w:right w:val="none" w:sz="0" w:space="0" w:color="auto"/>
          </w:divBdr>
        </w:div>
        <w:div w:id="1280725267">
          <w:marLeft w:val="0"/>
          <w:marRight w:val="0"/>
          <w:marTop w:val="0"/>
          <w:marBottom w:val="0"/>
          <w:divBdr>
            <w:top w:val="none" w:sz="0" w:space="0" w:color="auto"/>
            <w:left w:val="none" w:sz="0" w:space="0" w:color="auto"/>
            <w:bottom w:val="none" w:sz="0" w:space="0" w:color="auto"/>
            <w:right w:val="none" w:sz="0" w:space="0" w:color="auto"/>
          </w:divBdr>
        </w:div>
        <w:div w:id="1288850328">
          <w:marLeft w:val="0"/>
          <w:marRight w:val="0"/>
          <w:marTop w:val="0"/>
          <w:marBottom w:val="0"/>
          <w:divBdr>
            <w:top w:val="none" w:sz="0" w:space="0" w:color="auto"/>
            <w:left w:val="none" w:sz="0" w:space="0" w:color="auto"/>
            <w:bottom w:val="none" w:sz="0" w:space="0" w:color="auto"/>
            <w:right w:val="none" w:sz="0" w:space="0" w:color="auto"/>
          </w:divBdr>
        </w:div>
        <w:div w:id="1309826700">
          <w:marLeft w:val="0"/>
          <w:marRight w:val="0"/>
          <w:marTop w:val="0"/>
          <w:marBottom w:val="0"/>
          <w:divBdr>
            <w:top w:val="none" w:sz="0" w:space="0" w:color="auto"/>
            <w:left w:val="none" w:sz="0" w:space="0" w:color="auto"/>
            <w:bottom w:val="none" w:sz="0" w:space="0" w:color="auto"/>
            <w:right w:val="none" w:sz="0" w:space="0" w:color="auto"/>
          </w:divBdr>
        </w:div>
        <w:div w:id="1311255522">
          <w:marLeft w:val="0"/>
          <w:marRight w:val="0"/>
          <w:marTop w:val="0"/>
          <w:marBottom w:val="0"/>
          <w:divBdr>
            <w:top w:val="none" w:sz="0" w:space="0" w:color="auto"/>
            <w:left w:val="none" w:sz="0" w:space="0" w:color="auto"/>
            <w:bottom w:val="none" w:sz="0" w:space="0" w:color="auto"/>
            <w:right w:val="none" w:sz="0" w:space="0" w:color="auto"/>
          </w:divBdr>
        </w:div>
        <w:div w:id="1312099220">
          <w:marLeft w:val="0"/>
          <w:marRight w:val="0"/>
          <w:marTop w:val="0"/>
          <w:marBottom w:val="0"/>
          <w:divBdr>
            <w:top w:val="none" w:sz="0" w:space="0" w:color="auto"/>
            <w:left w:val="none" w:sz="0" w:space="0" w:color="auto"/>
            <w:bottom w:val="none" w:sz="0" w:space="0" w:color="auto"/>
            <w:right w:val="none" w:sz="0" w:space="0" w:color="auto"/>
          </w:divBdr>
        </w:div>
        <w:div w:id="1343972412">
          <w:marLeft w:val="0"/>
          <w:marRight w:val="0"/>
          <w:marTop w:val="0"/>
          <w:marBottom w:val="0"/>
          <w:divBdr>
            <w:top w:val="none" w:sz="0" w:space="0" w:color="auto"/>
            <w:left w:val="none" w:sz="0" w:space="0" w:color="auto"/>
            <w:bottom w:val="none" w:sz="0" w:space="0" w:color="auto"/>
            <w:right w:val="none" w:sz="0" w:space="0" w:color="auto"/>
          </w:divBdr>
        </w:div>
        <w:div w:id="1382941431">
          <w:marLeft w:val="0"/>
          <w:marRight w:val="0"/>
          <w:marTop w:val="0"/>
          <w:marBottom w:val="0"/>
          <w:divBdr>
            <w:top w:val="none" w:sz="0" w:space="0" w:color="auto"/>
            <w:left w:val="none" w:sz="0" w:space="0" w:color="auto"/>
            <w:bottom w:val="none" w:sz="0" w:space="0" w:color="auto"/>
            <w:right w:val="none" w:sz="0" w:space="0" w:color="auto"/>
          </w:divBdr>
        </w:div>
        <w:div w:id="1398239998">
          <w:marLeft w:val="0"/>
          <w:marRight w:val="0"/>
          <w:marTop w:val="0"/>
          <w:marBottom w:val="0"/>
          <w:divBdr>
            <w:top w:val="none" w:sz="0" w:space="0" w:color="auto"/>
            <w:left w:val="none" w:sz="0" w:space="0" w:color="auto"/>
            <w:bottom w:val="none" w:sz="0" w:space="0" w:color="auto"/>
            <w:right w:val="none" w:sz="0" w:space="0" w:color="auto"/>
          </w:divBdr>
        </w:div>
        <w:div w:id="1408696412">
          <w:marLeft w:val="0"/>
          <w:marRight w:val="0"/>
          <w:marTop w:val="0"/>
          <w:marBottom w:val="0"/>
          <w:divBdr>
            <w:top w:val="none" w:sz="0" w:space="0" w:color="auto"/>
            <w:left w:val="none" w:sz="0" w:space="0" w:color="auto"/>
            <w:bottom w:val="none" w:sz="0" w:space="0" w:color="auto"/>
            <w:right w:val="none" w:sz="0" w:space="0" w:color="auto"/>
          </w:divBdr>
        </w:div>
        <w:div w:id="1445493143">
          <w:marLeft w:val="0"/>
          <w:marRight w:val="0"/>
          <w:marTop w:val="0"/>
          <w:marBottom w:val="0"/>
          <w:divBdr>
            <w:top w:val="none" w:sz="0" w:space="0" w:color="auto"/>
            <w:left w:val="none" w:sz="0" w:space="0" w:color="auto"/>
            <w:bottom w:val="none" w:sz="0" w:space="0" w:color="auto"/>
            <w:right w:val="none" w:sz="0" w:space="0" w:color="auto"/>
          </w:divBdr>
        </w:div>
        <w:div w:id="1456825751">
          <w:marLeft w:val="0"/>
          <w:marRight w:val="0"/>
          <w:marTop w:val="0"/>
          <w:marBottom w:val="0"/>
          <w:divBdr>
            <w:top w:val="none" w:sz="0" w:space="0" w:color="auto"/>
            <w:left w:val="none" w:sz="0" w:space="0" w:color="auto"/>
            <w:bottom w:val="none" w:sz="0" w:space="0" w:color="auto"/>
            <w:right w:val="none" w:sz="0" w:space="0" w:color="auto"/>
          </w:divBdr>
        </w:div>
        <w:div w:id="1458137807">
          <w:marLeft w:val="0"/>
          <w:marRight w:val="0"/>
          <w:marTop w:val="0"/>
          <w:marBottom w:val="0"/>
          <w:divBdr>
            <w:top w:val="none" w:sz="0" w:space="0" w:color="auto"/>
            <w:left w:val="none" w:sz="0" w:space="0" w:color="auto"/>
            <w:bottom w:val="none" w:sz="0" w:space="0" w:color="auto"/>
            <w:right w:val="none" w:sz="0" w:space="0" w:color="auto"/>
          </w:divBdr>
        </w:div>
        <w:div w:id="1476920134">
          <w:marLeft w:val="0"/>
          <w:marRight w:val="0"/>
          <w:marTop w:val="0"/>
          <w:marBottom w:val="0"/>
          <w:divBdr>
            <w:top w:val="none" w:sz="0" w:space="0" w:color="auto"/>
            <w:left w:val="none" w:sz="0" w:space="0" w:color="auto"/>
            <w:bottom w:val="none" w:sz="0" w:space="0" w:color="auto"/>
            <w:right w:val="none" w:sz="0" w:space="0" w:color="auto"/>
          </w:divBdr>
        </w:div>
        <w:div w:id="1478955561">
          <w:marLeft w:val="0"/>
          <w:marRight w:val="0"/>
          <w:marTop w:val="0"/>
          <w:marBottom w:val="0"/>
          <w:divBdr>
            <w:top w:val="none" w:sz="0" w:space="0" w:color="auto"/>
            <w:left w:val="none" w:sz="0" w:space="0" w:color="auto"/>
            <w:bottom w:val="none" w:sz="0" w:space="0" w:color="auto"/>
            <w:right w:val="none" w:sz="0" w:space="0" w:color="auto"/>
          </w:divBdr>
        </w:div>
        <w:div w:id="1479228384">
          <w:marLeft w:val="0"/>
          <w:marRight w:val="0"/>
          <w:marTop w:val="0"/>
          <w:marBottom w:val="0"/>
          <w:divBdr>
            <w:top w:val="none" w:sz="0" w:space="0" w:color="auto"/>
            <w:left w:val="none" w:sz="0" w:space="0" w:color="auto"/>
            <w:bottom w:val="none" w:sz="0" w:space="0" w:color="auto"/>
            <w:right w:val="none" w:sz="0" w:space="0" w:color="auto"/>
          </w:divBdr>
        </w:div>
        <w:div w:id="1489177726">
          <w:marLeft w:val="0"/>
          <w:marRight w:val="0"/>
          <w:marTop w:val="0"/>
          <w:marBottom w:val="0"/>
          <w:divBdr>
            <w:top w:val="none" w:sz="0" w:space="0" w:color="auto"/>
            <w:left w:val="none" w:sz="0" w:space="0" w:color="auto"/>
            <w:bottom w:val="none" w:sz="0" w:space="0" w:color="auto"/>
            <w:right w:val="none" w:sz="0" w:space="0" w:color="auto"/>
          </w:divBdr>
        </w:div>
        <w:div w:id="1499422771">
          <w:marLeft w:val="0"/>
          <w:marRight w:val="0"/>
          <w:marTop w:val="0"/>
          <w:marBottom w:val="0"/>
          <w:divBdr>
            <w:top w:val="none" w:sz="0" w:space="0" w:color="auto"/>
            <w:left w:val="none" w:sz="0" w:space="0" w:color="auto"/>
            <w:bottom w:val="none" w:sz="0" w:space="0" w:color="auto"/>
            <w:right w:val="none" w:sz="0" w:space="0" w:color="auto"/>
          </w:divBdr>
        </w:div>
        <w:div w:id="1502038448">
          <w:marLeft w:val="0"/>
          <w:marRight w:val="0"/>
          <w:marTop w:val="0"/>
          <w:marBottom w:val="0"/>
          <w:divBdr>
            <w:top w:val="none" w:sz="0" w:space="0" w:color="auto"/>
            <w:left w:val="none" w:sz="0" w:space="0" w:color="auto"/>
            <w:bottom w:val="none" w:sz="0" w:space="0" w:color="auto"/>
            <w:right w:val="none" w:sz="0" w:space="0" w:color="auto"/>
          </w:divBdr>
        </w:div>
        <w:div w:id="1509902019">
          <w:marLeft w:val="0"/>
          <w:marRight w:val="0"/>
          <w:marTop w:val="0"/>
          <w:marBottom w:val="0"/>
          <w:divBdr>
            <w:top w:val="none" w:sz="0" w:space="0" w:color="auto"/>
            <w:left w:val="none" w:sz="0" w:space="0" w:color="auto"/>
            <w:bottom w:val="none" w:sz="0" w:space="0" w:color="auto"/>
            <w:right w:val="none" w:sz="0" w:space="0" w:color="auto"/>
          </w:divBdr>
        </w:div>
        <w:div w:id="1514951098">
          <w:marLeft w:val="0"/>
          <w:marRight w:val="0"/>
          <w:marTop w:val="0"/>
          <w:marBottom w:val="0"/>
          <w:divBdr>
            <w:top w:val="none" w:sz="0" w:space="0" w:color="auto"/>
            <w:left w:val="none" w:sz="0" w:space="0" w:color="auto"/>
            <w:bottom w:val="none" w:sz="0" w:space="0" w:color="auto"/>
            <w:right w:val="none" w:sz="0" w:space="0" w:color="auto"/>
          </w:divBdr>
        </w:div>
        <w:div w:id="1518885045">
          <w:marLeft w:val="0"/>
          <w:marRight w:val="0"/>
          <w:marTop w:val="0"/>
          <w:marBottom w:val="0"/>
          <w:divBdr>
            <w:top w:val="none" w:sz="0" w:space="0" w:color="auto"/>
            <w:left w:val="none" w:sz="0" w:space="0" w:color="auto"/>
            <w:bottom w:val="none" w:sz="0" w:space="0" w:color="auto"/>
            <w:right w:val="none" w:sz="0" w:space="0" w:color="auto"/>
          </w:divBdr>
        </w:div>
        <w:div w:id="1524897050">
          <w:marLeft w:val="0"/>
          <w:marRight w:val="0"/>
          <w:marTop w:val="0"/>
          <w:marBottom w:val="0"/>
          <w:divBdr>
            <w:top w:val="none" w:sz="0" w:space="0" w:color="auto"/>
            <w:left w:val="none" w:sz="0" w:space="0" w:color="auto"/>
            <w:bottom w:val="none" w:sz="0" w:space="0" w:color="auto"/>
            <w:right w:val="none" w:sz="0" w:space="0" w:color="auto"/>
          </w:divBdr>
        </w:div>
        <w:div w:id="1527061651">
          <w:marLeft w:val="0"/>
          <w:marRight w:val="0"/>
          <w:marTop w:val="0"/>
          <w:marBottom w:val="0"/>
          <w:divBdr>
            <w:top w:val="none" w:sz="0" w:space="0" w:color="auto"/>
            <w:left w:val="none" w:sz="0" w:space="0" w:color="auto"/>
            <w:bottom w:val="none" w:sz="0" w:space="0" w:color="auto"/>
            <w:right w:val="none" w:sz="0" w:space="0" w:color="auto"/>
          </w:divBdr>
        </w:div>
        <w:div w:id="1540432295">
          <w:marLeft w:val="0"/>
          <w:marRight w:val="0"/>
          <w:marTop w:val="0"/>
          <w:marBottom w:val="0"/>
          <w:divBdr>
            <w:top w:val="none" w:sz="0" w:space="0" w:color="auto"/>
            <w:left w:val="none" w:sz="0" w:space="0" w:color="auto"/>
            <w:bottom w:val="none" w:sz="0" w:space="0" w:color="auto"/>
            <w:right w:val="none" w:sz="0" w:space="0" w:color="auto"/>
          </w:divBdr>
        </w:div>
        <w:div w:id="1553883410">
          <w:marLeft w:val="0"/>
          <w:marRight w:val="0"/>
          <w:marTop w:val="0"/>
          <w:marBottom w:val="0"/>
          <w:divBdr>
            <w:top w:val="none" w:sz="0" w:space="0" w:color="auto"/>
            <w:left w:val="none" w:sz="0" w:space="0" w:color="auto"/>
            <w:bottom w:val="none" w:sz="0" w:space="0" w:color="auto"/>
            <w:right w:val="none" w:sz="0" w:space="0" w:color="auto"/>
          </w:divBdr>
        </w:div>
        <w:div w:id="1555004559">
          <w:marLeft w:val="0"/>
          <w:marRight w:val="0"/>
          <w:marTop w:val="0"/>
          <w:marBottom w:val="0"/>
          <w:divBdr>
            <w:top w:val="none" w:sz="0" w:space="0" w:color="auto"/>
            <w:left w:val="none" w:sz="0" w:space="0" w:color="auto"/>
            <w:bottom w:val="none" w:sz="0" w:space="0" w:color="auto"/>
            <w:right w:val="none" w:sz="0" w:space="0" w:color="auto"/>
          </w:divBdr>
        </w:div>
        <w:div w:id="1584752559">
          <w:marLeft w:val="0"/>
          <w:marRight w:val="0"/>
          <w:marTop w:val="0"/>
          <w:marBottom w:val="0"/>
          <w:divBdr>
            <w:top w:val="none" w:sz="0" w:space="0" w:color="auto"/>
            <w:left w:val="none" w:sz="0" w:space="0" w:color="auto"/>
            <w:bottom w:val="none" w:sz="0" w:space="0" w:color="auto"/>
            <w:right w:val="none" w:sz="0" w:space="0" w:color="auto"/>
          </w:divBdr>
        </w:div>
        <w:div w:id="1593127485">
          <w:marLeft w:val="0"/>
          <w:marRight w:val="0"/>
          <w:marTop w:val="0"/>
          <w:marBottom w:val="0"/>
          <w:divBdr>
            <w:top w:val="none" w:sz="0" w:space="0" w:color="auto"/>
            <w:left w:val="none" w:sz="0" w:space="0" w:color="auto"/>
            <w:bottom w:val="none" w:sz="0" w:space="0" w:color="auto"/>
            <w:right w:val="none" w:sz="0" w:space="0" w:color="auto"/>
          </w:divBdr>
        </w:div>
        <w:div w:id="1610622463">
          <w:marLeft w:val="0"/>
          <w:marRight w:val="0"/>
          <w:marTop w:val="0"/>
          <w:marBottom w:val="0"/>
          <w:divBdr>
            <w:top w:val="none" w:sz="0" w:space="0" w:color="auto"/>
            <w:left w:val="none" w:sz="0" w:space="0" w:color="auto"/>
            <w:bottom w:val="none" w:sz="0" w:space="0" w:color="auto"/>
            <w:right w:val="none" w:sz="0" w:space="0" w:color="auto"/>
          </w:divBdr>
        </w:div>
        <w:div w:id="1620642840">
          <w:marLeft w:val="0"/>
          <w:marRight w:val="0"/>
          <w:marTop w:val="0"/>
          <w:marBottom w:val="0"/>
          <w:divBdr>
            <w:top w:val="none" w:sz="0" w:space="0" w:color="auto"/>
            <w:left w:val="none" w:sz="0" w:space="0" w:color="auto"/>
            <w:bottom w:val="none" w:sz="0" w:space="0" w:color="auto"/>
            <w:right w:val="none" w:sz="0" w:space="0" w:color="auto"/>
          </w:divBdr>
        </w:div>
        <w:div w:id="1658150926">
          <w:marLeft w:val="0"/>
          <w:marRight w:val="0"/>
          <w:marTop w:val="0"/>
          <w:marBottom w:val="0"/>
          <w:divBdr>
            <w:top w:val="none" w:sz="0" w:space="0" w:color="auto"/>
            <w:left w:val="none" w:sz="0" w:space="0" w:color="auto"/>
            <w:bottom w:val="none" w:sz="0" w:space="0" w:color="auto"/>
            <w:right w:val="none" w:sz="0" w:space="0" w:color="auto"/>
          </w:divBdr>
        </w:div>
        <w:div w:id="1662584437">
          <w:marLeft w:val="0"/>
          <w:marRight w:val="0"/>
          <w:marTop w:val="0"/>
          <w:marBottom w:val="0"/>
          <w:divBdr>
            <w:top w:val="none" w:sz="0" w:space="0" w:color="auto"/>
            <w:left w:val="none" w:sz="0" w:space="0" w:color="auto"/>
            <w:bottom w:val="none" w:sz="0" w:space="0" w:color="auto"/>
            <w:right w:val="none" w:sz="0" w:space="0" w:color="auto"/>
          </w:divBdr>
        </w:div>
        <w:div w:id="1666586751">
          <w:marLeft w:val="0"/>
          <w:marRight w:val="0"/>
          <w:marTop w:val="0"/>
          <w:marBottom w:val="0"/>
          <w:divBdr>
            <w:top w:val="none" w:sz="0" w:space="0" w:color="auto"/>
            <w:left w:val="none" w:sz="0" w:space="0" w:color="auto"/>
            <w:bottom w:val="none" w:sz="0" w:space="0" w:color="auto"/>
            <w:right w:val="none" w:sz="0" w:space="0" w:color="auto"/>
          </w:divBdr>
        </w:div>
        <w:div w:id="1698385200">
          <w:marLeft w:val="0"/>
          <w:marRight w:val="0"/>
          <w:marTop w:val="0"/>
          <w:marBottom w:val="0"/>
          <w:divBdr>
            <w:top w:val="none" w:sz="0" w:space="0" w:color="auto"/>
            <w:left w:val="none" w:sz="0" w:space="0" w:color="auto"/>
            <w:bottom w:val="none" w:sz="0" w:space="0" w:color="auto"/>
            <w:right w:val="none" w:sz="0" w:space="0" w:color="auto"/>
          </w:divBdr>
        </w:div>
        <w:div w:id="1702854592">
          <w:marLeft w:val="0"/>
          <w:marRight w:val="0"/>
          <w:marTop w:val="0"/>
          <w:marBottom w:val="0"/>
          <w:divBdr>
            <w:top w:val="none" w:sz="0" w:space="0" w:color="auto"/>
            <w:left w:val="none" w:sz="0" w:space="0" w:color="auto"/>
            <w:bottom w:val="none" w:sz="0" w:space="0" w:color="auto"/>
            <w:right w:val="none" w:sz="0" w:space="0" w:color="auto"/>
          </w:divBdr>
        </w:div>
        <w:div w:id="1709797171">
          <w:marLeft w:val="0"/>
          <w:marRight w:val="0"/>
          <w:marTop w:val="0"/>
          <w:marBottom w:val="0"/>
          <w:divBdr>
            <w:top w:val="none" w:sz="0" w:space="0" w:color="auto"/>
            <w:left w:val="none" w:sz="0" w:space="0" w:color="auto"/>
            <w:bottom w:val="none" w:sz="0" w:space="0" w:color="auto"/>
            <w:right w:val="none" w:sz="0" w:space="0" w:color="auto"/>
          </w:divBdr>
        </w:div>
        <w:div w:id="1724870877">
          <w:marLeft w:val="0"/>
          <w:marRight w:val="0"/>
          <w:marTop w:val="0"/>
          <w:marBottom w:val="0"/>
          <w:divBdr>
            <w:top w:val="none" w:sz="0" w:space="0" w:color="auto"/>
            <w:left w:val="none" w:sz="0" w:space="0" w:color="auto"/>
            <w:bottom w:val="none" w:sz="0" w:space="0" w:color="auto"/>
            <w:right w:val="none" w:sz="0" w:space="0" w:color="auto"/>
          </w:divBdr>
        </w:div>
        <w:div w:id="1732464529">
          <w:marLeft w:val="0"/>
          <w:marRight w:val="0"/>
          <w:marTop w:val="0"/>
          <w:marBottom w:val="0"/>
          <w:divBdr>
            <w:top w:val="none" w:sz="0" w:space="0" w:color="auto"/>
            <w:left w:val="none" w:sz="0" w:space="0" w:color="auto"/>
            <w:bottom w:val="none" w:sz="0" w:space="0" w:color="auto"/>
            <w:right w:val="none" w:sz="0" w:space="0" w:color="auto"/>
          </w:divBdr>
        </w:div>
        <w:div w:id="1735926035">
          <w:marLeft w:val="0"/>
          <w:marRight w:val="0"/>
          <w:marTop w:val="0"/>
          <w:marBottom w:val="0"/>
          <w:divBdr>
            <w:top w:val="none" w:sz="0" w:space="0" w:color="auto"/>
            <w:left w:val="none" w:sz="0" w:space="0" w:color="auto"/>
            <w:bottom w:val="none" w:sz="0" w:space="0" w:color="auto"/>
            <w:right w:val="none" w:sz="0" w:space="0" w:color="auto"/>
          </w:divBdr>
        </w:div>
        <w:div w:id="1742755985">
          <w:marLeft w:val="0"/>
          <w:marRight w:val="0"/>
          <w:marTop w:val="0"/>
          <w:marBottom w:val="0"/>
          <w:divBdr>
            <w:top w:val="none" w:sz="0" w:space="0" w:color="auto"/>
            <w:left w:val="none" w:sz="0" w:space="0" w:color="auto"/>
            <w:bottom w:val="none" w:sz="0" w:space="0" w:color="auto"/>
            <w:right w:val="none" w:sz="0" w:space="0" w:color="auto"/>
          </w:divBdr>
        </w:div>
        <w:div w:id="1745646753">
          <w:marLeft w:val="0"/>
          <w:marRight w:val="0"/>
          <w:marTop w:val="0"/>
          <w:marBottom w:val="0"/>
          <w:divBdr>
            <w:top w:val="none" w:sz="0" w:space="0" w:color="auto"/>
            <w:left w:val="none" w:sz="0" w:space="0" w:color="auto"/>
            <w:bottom w:val="none" w:sz="0" w:space="0" w:color="auto"/>
            <w:right w:val="none" w:sz="0" w:space="0" w:color="auto"/>
          </w:divBdr>
        </w:div>
        <w:div w:id="1764761911">
          <w:marLeft w:val="0"/>
          <w:marRight w:val="0"/>
          <w:marTop w:val="0"/>
          <w:marBottom w:val="0"/>
          <w:divBdr>
            <w:top w:val="none" w:sz="0" w:space="0" w:color="auto"/>
            <w:left w:val="none" w:sz="0" w:space="0" w:color="auto"/>
            <w:bottom w:val="none" w:sz="0" w:space="0" w:color="auto"/>
            <w:right w:val="none" w:sz="0" w:space="0" w:color="auto"/>
          </w:divBdr>
        </w:div>
        <w:div w:id="1779324760">
          <w:marLeft w:val="0"/>
          <w:marRight w:val="0"/>
          <w:marTop w:val="0"/>
          <w:marBottom w:val="0"/>
          <w:divBdr>
            <w:top w:val="none" w:sz="0" w:space="0" w:color="auto"/>
            <w:left w:val="none" w:sz="0" w:space="0" w:color="auto"/>
            <w:bottom w:val="none" w:sz="0" w:space="0" w:color="auto"/>
            <w:right w:val="none" w:sz="0" w:space="0" w:color="auto"/>
          </w:divBdr>
        </w:div>
        <w:div w:id="1784880942">
          <w:marLeft w:val="0"/>
          <w:marRight w:val="0"/>
          <w:marTop w:val="0"/>
          <w:marBottom w:val="0"/>
          <w:divBdr>
            <w:top w:val="none" w:sz="0" w:space="0" w:color="auto"/>
            <w:left w:val="none" w:sz="0" w:space="0" w:color="auto"/>
            <w:bottom w:val="none" w:sz="0" w:space="0" w:color="auto"/>
            <w:right w:val="none" w:sz="0" w:space="0" w:color="auto"/>
          </w:divBdr>
        </w:div>
        <w:div w:id="1787657906">
          <w:marLeft w:val="0"/>
          <w:marRight w:val="0"/>
          <w:marTop w:val="0"/>
          <w:marBottom w:val="0"/>
          <w:divBdr>
            <w:top w:val="none" w:sz="0" w:space="0" w:color="auto"/>
            <w:left w:val="none" w:sz="0" w:space="0" w:color="auto"/>
            <w:bottom w:val="none" w:sz="0" w:space="0" w:color="auto"/>
            <w:right w:val="none" w:sz="0" w:space="0" w:color="auto"/>
          </w:divBdr>
        </w:div>
        <w:div w:id="1790512350">
          <w:marLeft w:val="0"/>
          <w:marRight w:val="0"/>
          <w:marTop w:val="0"/>
          <w:marBottom w:val="0"/>
          <w:divBdr>
            <w:top w:val="none" w:sz="0" w:space="0" w:color="auto"/>
            <w:left w:val="none" w:sz="0" w:space="0" w:color="auto"/>
            <w:bottom w:val="none" w:sz="0" w:space="0" w:color="auto"/>
            <w:right w:val="none" w:sz="0" w:space="0" w:color="auto"/>
          </w:divBdr>
        </w:div>
        <w:div w:id="1817843963">
          <w:marLeft w:val="0"/>
          <w:marRight w:val="0"/>
          <w:marTop w:val="0"/>
          <w:marBottom w:val="0"/>
          <w:divBdr>
            <w:top w:val="none" w:sz="0" w:space="0" w:color="auto"/>
            <w:left w:val="none" w:sz="0" w:space="0" w:color="auto"/>
            <w:bottom w:val="none" w:sz="0" w:space="0" w:color="auto"/>
            <w:right w:val="none" w:sz="0" w:space="0" w:color="auto"/>
          </w:divBdr>
        </w:div>
        <w:div w:id="1820152881">
          <w:marLeft w:val="0"/>
          <w:marRight w:val="0"/>
          <w:marTop w:val="0"/>
          <w:marBottom w:val="0"/>
          <w:divBdr>
            <w:top w:val="none" w:sz="0" w:space="0" w:color="auto"/>
            <w:left w:val="none" w:sz="0" w:space="0" w:color="auto"/>
            <w:bottom w:val="none" w:sz="0" w:space="0" w:color="auto"/>
            <w:right w:val="none" w:sz="0" w:space="0" w:color="auto"/>
          </w:divBdr>
        </w:div>
        <w:div w:id="1822691076">
          <w:marLeft w:val="0"/>
          <w:marRight w:val="0"/>
          <w:marTop w:val="0"/>
          <w:marBottom w:val="0"/>
          <w:divBdr>
            <w:top w:val="none" w:sz="0" w:space="0" w:color="auto"/>
            <w:left w:val="none" w:sz="0" w:space="0" w:color="auto"/>
            <w:bottom w:val="none" w:sz="0" w:space="0" w:color="auto"/>
            <w:right w:val="none" w:sz="0" w:space="0" w:color="auto"/>
          </w:divBdr>
        </w:div>
        <w:div w:id="1831483779">
          <w:marLeft w:val="0"/>
          <w:marRight w:val="0"/>
          <w:marTop w:val="0"/>
          <w:marBottom w:val="0"/>
          <w:divBdr>
            <w:top w:val="none" w:sz="0" w:space="0" w:color="auto"/>
            <w:left w:val="none" w:sz="0" w:space="0" w:color="auto"/>
            <w:bottom w:val="none" w:sz="0" w:space="0" w:color="auto"/>
            <w:right w:val="none" w:sz="0" w:space="0" w:color="auto"/>
          </w:divBdr>
        </w:div>
        <w:div w:id="1852257406">
          <w:marLeft w:val="0"/>
          <w:marRight w:val="0"/>
          <w:marTop w:val="0"/>
          <w:marBottom w:val="0"/>
          <w:divBdr>
            <w:top w:val="none" w:sz="0" w:space="0" w:color="auto"/>
            <w:left w:val="none" w:sz="0" w:space="0" w:color="auto"/>
            <w:bottom w:val="none" w:sz="0" w:space="0" w:color="auto"/>
            <w:right w:val="none" w:sz="0" w:space="0" w:color="auto"/>
          </w:divBdr>
        </w:div>
        <w:div w:id="1865634888">
          <w:marLeft w:val="0"/>
          <w:marRight w:val="0"/>
          <w:marTop w:val="0"/>
          <w:marBottom w:val="0"/>
          <w:divBdr>
            <w:top w:val="none" w:sz="0" w:space="0" w:color="auto"/>
            <w:left w:val="none" w:sz="0" w:space="0" w:color="auto"/>
            <w:bottom w:val="none" w:sz="0" w:space="0" w:color="auto"/>
            <w:right w:val="none" w:sz="0" w:space="0" w:color="auto"/>
          </w:divBdr>
        </w:div>
        <w:div w:id="1918784416">
          <w:marLeft w:val="0"/>
          <w:marRight w:val="0"/>
          <w:marTop w:val="0"/>
          <w:marBottom w:val="0"/>
          <w:divBdr>
            <w:top w:val="none" w:sz="0" w:space="0" w:color="auto"/>
            <w:left w:val="none" w:sz="0" w:space="0" w:color="auto"/>
            <w:bottom w:val="none" w:sz="0" w:space="0" w:color="auto"/>
            <w:right w:val="none" w:sz="0" w:space="0" w:color="auto"/>
          </w:divBdr>
        </w:div>
        <w:div w:id="1940527480">
          <w:marLeft w:val="0"/>
          <w:marRight w:val="0"/>
          <w:marTop w:val="0"/>
          <w:marBottom w:val="0"/>
          <w:divBdr>
            <w:top w:val="none" w:sz="0" w:space="0" w:color="auto"/>
            <w:left w:val="none" w:sz="0" w:space="0" w:color="auto"/>
            <w:bottom w:val="none" w:sz="0" w:space="0" w:color="auto"/>
            <w:right w:val="none" w:sz="0" w:space="0" w:color="auto"/>
          </w:divBdr>
        </w:div>
        <w:div w:id="1942253433">
          <w:marLeft w:val="0"/>
          <w:marRight w:val="0"/>
          <w:marTop w:val="0"/>
          <w:marBottom w:val="0"/>
          <w:divBdr>
            <w:top w:val="none" w:sz="0" w:space="0" w:color="auto"/>
            <w:left w:val="none" w:sz="0" w:space="0" w:color="auto"/>
            <w:bottom w:val="none" w:sz="0" w:space="0" w:color="auto"/>
            <w:right w:val="none" w:sz="0" w:space="0" w:color="auto"/>
          </w:divBdr>
        </w:div>
        <w:div w:id="1952473091">
          <w:marLeft w:val="0"/>
          <w:marRight w:val="0"/>
          <w:marTop w:val="0"/>
          <w:marBottom w:val="0"/>
          <w:divBdr>
            <w:top w:val="none" w:sz="0" w:space="0" w:color="auto"/>
            <w:left w:val="none" w:sz="0" w:space="0" w:color="auto"/>
            <w:bottom w:val="none" w:sz="0" w:space="0" w:color="auto"/>
            <w:right w:val="none" w:sz="0" w:space="0" w:color="auto"/>
          </w:divBdr>
        </w:div>
        <w:div w:id="1959137113">
          <w:marLeft w:val="0"/>
          <w:marRight w:val="0"/>
          <w:marTop w:val="0"/>
          <w:marBottom w:val="0"/>
          <w:divBdr>
            <w:top w:val="none" w:sz="0" w:space="0" w:color="auto"/>
            <w:left w:val="none" w:sz="0" w:space="0" w:color="auto"/>
            <w:bottom w:val="none" w:sz="0" w:space="0" w:color="auto"/>
            <w:right w:val="none" w:sz="0" w:space="0" w:color="auto"/>
          </w:divBdr>
        </w:div>
        <w:div w:id="1959409262">
          <w:marLeft w:val="0"/>
          <w:marRight w:val="0"/>
          <w:marTop w:val="0"/>
          <w:marBottom w:val="0"/>
          <w:divBdr>
            <w:top w:val="none" w:sz="0" w:space="0" w:color="auto"/>
            <w:left w:val="none" w:sz="0" w:space="0" w:color="auto"/>
            <w:bottom w:val="none" w:sz="0" w:space="0" w:color="auto"/>
            <w:right w:val="none" w:sz="0" w:space="0" w:color="auto"/>
          </w:divBdr>
        </w:div>
        <w:div w:id="1988588276">
          <w:marLeft w:val="0"/>
          <w:marRight w:val="0"/>
          <w:marTop w:val="0"/>
          <w:marBottom w:val="0"/>
          <w:divBdr>
            <w:top w:val="none" w:sz="0" w:space="0" w:color="auto"/>
            <w:left w:val="none" w:sz="0" w:space="0" w:color="auto"/>
            <w:bottom w:val="none" w:sz="0" w:space="0" w:color="auto"/>
            <w:right w:val="none" w:sz="0" w:space="0" w:color="auto"/>
          </w:divBdr>
        </w:div>
        <w:div w:id="2016957788">
          <w:marLeft w:val="0"/>
          <w:marRight w:val="0"/>
          <w:marTop w:val="0"/>
          <w:marBottom w:val="0"/>
          <w:divBdr>
            <w:top w:val="none" w:sz="0" w:space="0" w:color="auto"/>
            <w:left w:val="none" w:sz="0" w:space="0" w:color="auto"/>
            <w:bottom w:val="none" w:sz="0" w:space="0" w:color="auto"/>
            <w:right w:val="none" w:sz="0" w:space="0" w:color="auto"/>
          </w:divBdr>
        </w:div>
        <w:div w:id="2028679367">
          <w:marLeft w:val="0"/>
          <w:marRight w:val="0"/>
          <w:marTop w:val="0"/>
          <w:marBottom w:val="0"/>
          <w:divBdr>
            <w:top w:val="none" w:sz="0" w:space="0" w:color="auto"/>
            <w:left w:val="none" w:sz="0" w:space="0" w:color="auto"/>
            <w:bottom w:val="none" w:sz="0" w:space="0" w:color="auto"/>
            <w:right w:val="none" w:sz="0" w:space="0" w:color="auto"/>
          </w:divBdr>
        </w:div>
      </w:divsChild>
    </w:div>
    <w:div w:id="198400730">
      <w:bodyDiv w:val="1"/>
      <w:marLeft w:val="0"/>
      <w:marRight w:val="0"/>
      <w:marTop w:val="0"/>
      <w:marBottom w:val="0"/>
      <w:divBdr>
        <w:top w:val="none" w:sz="0" w:space="0" w:color="auto"/>
        <w:left w:val="none" w:sz="0" w:space="0" w:color="auto"/>
        <w:bottom w:val="none" w:sz="0" w:space="0" w:color="auto"/>
        <w:right w:val="none" w:sz="0" w:space="0" w:color="auto"/>
      </w:divBdr>
    </w:div>
    <w:div w:id="198402335">
      <w:bodyDiv w:val="1"/>
      <w:marLeft w:val="0"/>
      <w:marRight w:val="0"/>
      <w:marTop w:val="0"/>
      <w:marBottom w:val="0"/>
      <w:divBdr>
        <w:top w:val="none" w:sz="0" w:space="0" w:color="auto"/>
        <w:left w:val="none" w:sz="0" w:space="0" w:color="auto"/>
        <w:bottom w:val="none" w:sz="0" w:space="0" w:color="auto"/>
        <w:right w:val="none" w:sz="0" w:space="0" w:color="auto"/>
      </w:divBdr>
    </w:div>
    <w:div w:id="198511195">
      <w:bodyDiv w:val="1"/>
      <w:marLeft w:val="0"/>
      <w:marRight w:val="0"/>
      <w:marTop w:val="0"/>
      <w:marBottom w:val="0"/>
      <w:divBdr>
        <w:top w:val="none" w:sz="0" w:space="0" w:color="auto"/>
        <w:left w:val="none" w:sz="0" w:space="0" w:color="auto"/>
        <w:bottom w:val="none" w:sz="0" w:space="0" w:color="auto"/>
        <w:right w:val="none" w:sz="0" w:space="0" w:color="auto"/>
      </w:divBdr>
    </w:div>
    <w:div w:id="198706689">
      <w:bodyDiv w:val="1"/>
      <w:marLeft w:val="0"/>
      <w:marRight w:val="0"/>
      <w:marTop w:val="0"/>
      <w:marBottom w:val="0"/>
      <w:divBdr>
        <w:top w:val="none" w:sz="0" w:space="0" w:color="auto"/>
        <w:left w:val="none" w:sz="0" w:space="0" w:color="auto"/>
        <w:bottom w:val="none" w:sz="0" w:space="0" w:color="auto"/>
        <w:right w:val="none" w:sz="0" w:space="0" w:color="auto"/>
      </w:divBdr>
    </w:div>
    <w:div w:id="198783175">
      <w:bodyDiv w:val="1"/>
      <w:marLeft w:val="0"/>
      <w:marRight w:val="0"/>
      <w:marTop w:val="0"/>
      <w:marBottom w:val="0"/>
      <w:divBdr>
        <w:top w:val="none" w:sz="0" w:space="0" w:color="auto"/>
        <w:left w:val="none" w:sz="0" w:space="0" w:color="auto"/>
        <w:bottom w:val="none" w:sz="0" w:space="0" w:color="auto"/>
        <w:right w:val="none" w:sz="0" w:space="0" w:color="auto"/>
      </w:divBdr>
    </w:div>
    <w:div w:id="198855482">
      <w:bodyDiv w:val="1"/>
      <w:marLeft w:val="0"/>
      <w:marRight w:val="0"/>
      <w:marTop w:val="0"/>
      <w:marBottom w:val="0"/>
      <w:divBdr>
        <w:top w:val="none" w:sz="0" w:space="0" w:color="auto"/>
        <w:left w:val="none" w:sz="0" w:space="0" w:color="auto"/>
        <w:bottom w:val="none" w:sz="0" w:space="0" w:color="auto"/>
        <w:right w:val="none" w:sz="0" w:space="0" w:color="auto"/>
      </w:divBdr>
    </w:div>
    <w:div w:id="198904846">
      <w:bodyDiv w:val="1"/>
      <w:marLeft w:val="0"/>
      <w:marRight w:val="0"/>
      <w:marTop w:val="0"/>
      <w:marBottom w:val="0"/>
      <w:divBdr>
        <w:top w:val="none" w:sz="0" w:space="0" w:color="auto"/>
        <w:left w:val="none" w:sz="0" w:space="0" w:color="auto"/>
        <w:bottom w:val="none" w:sz="0" w:space="0" w:color="auto"/>
        <w:right w:val="none" w:sz="0" w:space="0" w:color="auto"/>
      </w:divBdr>
    </w:div>
    <w:div w:id="198974908">
      <w:bodyDiv w:val="1"/>
      <w:marLeft w:val="0"/>
      <w:marRight w:val="0"/>
      <w:marTop w:val="0"/>
      <w:marBottom w:val="0"/>
      <w:divBdr>
        <w:top w:val="none" w:sz="0" w:space="0" w:color="auto"/>
        <w:left w:val="none" w:sz="0" w:space="0" w:color="auto"/>
        <w:bottom w:val="none" w:sz="0" w:space="0" w:color="auto"/>
        <w:right w:val="none" w:sz="0" w:space="0" w:color="auto"/>
      </w:divBdr>
    </w:div>
    <w:div w:id="198975375">
      <w:bodyDiv w:val="1"/>
      <w:marLeft w:val="0"/>
      <w:marRight w:val="0"/>
      <w:marTop w:val="0"/>
      <w:marBottom w:val="0"/>
      <w:divBdr>
        <w:top w:val="none" w:sz="0" w:space="0" w:color="auto"/>
        <w:left w:val="none" w:sz="0" w:space="0" w:color="auto"/>
        <w:bottom w:val="none" w:sz="0" w:space="0" w:color="auto"/>
        <w:right w:val="none" w:sz="0" w:space="0" w:color="auto"/>
      </w:divBdr>
    </w:div>
    <w:div w:id="199319827">
      <w:bodyDiv w:val="1"/>
      <w:marLeft w:val="0"/>
      <w:marRight w:val="0"/>
      <w:marTop w:val="0"/>
      <w:marBottom w:val="0"/>
      <w:divBdr>
        <w:top w:val="none" w:sz="0" w:space="0" w:color="auto"/>
        <w:left w:val="none" w:sz="0" w:space="0" w:color="auto"/>
        <w:bottom w:val="none" w:sz="0" w:space="0" w:color="auto"/>
        <w:right w:val="none" w:sz="0" w:space="0" w:color="auto"/>
      </w:divBdr>
    </w:div>
    <w:div w:id="199437276">
      <w:bodyDiv w:val="1"/>
      <w:marLeft w:val="0"/>
      <w:marRight w:val="0"/>
      <w:marTop w:val="0"/>
      <w:marBottom w:val="0"/>
      <w:divBdr>
        <w:top w:val="none" w:sz="0" w:space="0" w:color="auto"/>
        <w:left w:val="none" w:sz="0" w:space="0" w:color="auto"/>
        <w:bottom w:val="none" w:sz="0" w:space="0" w:color="auto"/>
        <w:right w:val="none" w:sz="0" w:space="0" w:color="auto"/>
      </w:divBdr>
    </w:div>
    <w:div w:id="199438682">
      <w:bodyDiv w:val="1"/>
      <w:marLeft w:val="0"/>
      <w:marRight w:val="0"/>
      <w:marTop w:val="0"/>
      <w:marBottom w:val="0"/>
      <w:divBdr>
        <w:top w:val="none" w:sz="0" w:space="0" w:color="auto"/>
        <w:left w:val="none" w:sz="0" w:space="0" w:color="auto"/>
        <w:bottom w:val="none" w:sz="0" w:space="0" w:color="auto"/>
        <w:right w:val="none" w:sz="0" w:space="0" w:color="auto"/>
      </w:divBdr>
    </w:div>
    <w:div w:id="199442370">
      <w:bodyDiv w:val="1"/>
      <w:marLeft w:val="0"/>
      <w:marRight w:val="0"/>
      <w:marTop w:val="0"/>
      <w:marBottom w:val="0"/>
      <w:divBdr>
        <w:top w:val="none" w:sz="0" w:space="0" w:color="auto"/>
        <w:left w:val="none" w:sz="0" w:space="0" w:color="auto"/>
        <w:bottom w:val="none" w:sz="0" w:space="0" w:color="auto"/>
        <w:right w:val="none" w:sz="0" w:space="0" w:color="auto"/>
      </w:divBdr>
    </w:div>
    <w:div w:id="199633396">
      <w:bodyDiv w:val="1"/>
      <w:marLeft w:val="0"/>
      <w:marRight w:val="0"/>
      <w:marTop w:val="0"/>
      <w:marBottom w:val="0"/>
      <w:divBdr>
        <w:top w:val="none" w:sz="0" w:space="0" w:color="auto"/>
        <w:left w:val="none" w:sz="0" w:space="0" w:color="auto"/>
        <w:bottom w:val="none" w:sz="0" w:space="0" w:color="auto"/>
        <w:right w:val="none" w:sz="0" w:space="0" w:color="auto"/>
      </w:divBdr>
    </w:div>
    <w:div w:id="199708559">
      <w:bodyDiv w:val="1"/>
      <w:marLeft w:val="0"/>
      <w:marRight w:val="0"/>
      <w:marTop w:val="0"/>
      <w:marBottom w:val="0"/>
      <w:divBdr>
        <w:top w:val="none" w:sz="0" w:space="0" w:color="auto"/>
        <w:left w:val="none" w:sz="0" w:space="0" w:color="auto"/>
        <w:bottom w:val="none" w:sz="0" w:space="0" w:color="auto"/>
        <w:right w:val="none" w:sz="0" w:space="0" w:color="auto"/>
      </w:divBdr>
    </w:div>
    <w:div w:id="199975324">
      <w:bodyDiv w:val="1"/>
      <w:marLeft w:val="0"/>
      <w:marRight w:val="0"/>
      <w:marTop w:val="0"/>
      <w:marBottom w:val="0"/>
      <w:divBdr>
        <w:top w:val="none" w:sz="0" w:space="0" w:color="auto"/>
        <w:left w:val="none" w:sz="0" w:space="0" w:color="auto"/>
        <w:bottom w:val="none" w:sz="0" w:space="0" w:color="auto"/>
        <w:right w:val="none" w:sz="0" w:space="0" w:color="auto"/>
      </w:divBdr>
    </w:div>
    <w:div w:id="199979004">
      <w:bodyDiv w:val="1"/>
      <w:marLeft w:val="0"/>
      <w:marRight w:val="0"/>
      <w:marTop w:val="0"/>
      <w:marBottom w:val="0"/>
      <w:divBdr>
        <w:top w:val="none" w:sz="0" w:space="0" w:color="auto"/>
        <w:left w:val="none" w:sz="0" w:space="0" w:color="auto"/>
        <w:bottom w:val="none" w:sz="0" w:space="0" w:color="auto"/>
        <w:right w:val="none" w:sz="0" w:space="0" w:color="auto"/>
      </w:divBdr>
    </w:div>
    <w:div w:id="200016890">
      <w:bodyDiv w:val="1"/>
      <w:marLeft w:val="0"/>
      <w:marRight w:val="0"/>
      <w:marTop w:val="0"/>
      <w:marBottom w:val="0"/>
      <w:divBdr>
        <w:top w:val="none" w:sz="0" w:space="0" w:color="auto"/>
        <w:left w:val="none" w:sz="0" w:space="0" w:color="auto"/>
        <w:bottom w:val="none" w:sz="0" w:space="0" w:color="auto"/>
        <w:right w:val="none" w:sz="0" w:space="0" w:color="auto"/>
      </w:divBdr>
    </w:div>
    <w:div w:id="200092096">
      <w:bodyDiv w:val="1"/>
      <w:marLeft w:val="0"/>
      <w:marRight w:val="0"/>
      <w:marTop w:val="0"/>
      <w:marBottom w:val="0"/>
      <w:divBdr>
        <w:top w:val="none" w:sz="0" w:space="0" w:color="auto"/>
        <w:left w:val="none" w:sz="0" w:space="0" w:color="auto"/>
        <w:bottom w:val="none" w:sz="0" w:space="0" w:color="auto"/>
        <w:right w:val="none" w:sz="0" w:space="0" w:color="auto"/>
      </w:divBdr>
    </w:div>
    <w:div w:id="200094045">
      <w:bodyDiv w:val="1"/>
      <w:marLeft w:val="0"/>
      <w:marRight w:val="0"/>
      <w:marTop w:val="0"/>
      <w:marBottom w:val="0"/>
      <w:divBdr>
        <w:top w:val="none" w:sz="0" w:space="0" w:color="auto"/>
        <w:left w:val="none" w:sz="0" w:space="0" w:color="auto"/>
        <w:bottom w:val="none" w:sz="0" w:space="0" w:color="auto"/>
        <w:right w:val="none" w:sz="0" w:space="0" w:color="auto"/>
      </w:divBdr>
    </w:div>
    <w:div w:id="200096577">
      <w:bodyDiv w:val="1"/>
      <w:marLeft w:val="0"/>
      <w:marRight w:val="0"/>
      <w:marTop w:val="0"/>
      <w:marBottom w:val="0"/>
      <w:divBdr>
        <w:top w:val="none" w:sz="0" w:space="0" w:color="auto"/>
        <w:left w:val="none" w:sz="0" w:space="0" w:color="auto"/>
        <w:bottom w:val="none" w:sz="0" w:space="0" w:color="auto"/>
        <w:right w:val="none" w:sz="0" w:space="0" w:color="auto"/>
      </w:divBdr>
    </w:div>
    <w:div w:id="200212534">
      <w:bodyDiv w:val="1"/>
      <w:marLeft w:val="0"/>
      <w:marRight w:val="0"/>
      <w:marTop w:val="0"/>
      <w:marBottom w:val="0"/>
      <w:divBdr>
        <w:top w:val="none" w:sz="0" w:space="0" w:color="auto"/>
        <w:left w:val="none" w:sz="0" w:space="0" w:color="auto"/>
        <w:bottom w:val="none" w:sz="0" w:space="0" w:color="auto"/>
        <w:right w:val="none" w:sz="0" w:space="0" w:color="auto"/>
      </w:divBdr>
    </w:div>
    <w:div w:id="200215981">
      <w:bodyDiv w:val="1"/>
      <w:marLeft w:val="0"/>
      <w:marRight w:val="0"/>
      <w:marTop w:val="0"/>
      <w:marBottom w:val="0"/>
      <w:divBdr>
        <w:top w:val="none" w:sz="0" w:space="0" w:color="auto"/>
        <w:left w:val="none" w:sz="0" w:space="0" w:color="auto"/>
        <w:bottom w:val="none" w:sz="0" w:space="0" w:color="auto"/>
        <w:right w:val="none" w:sz="0" w:space="0" w:color="auto"/>
      </w:divBdr>
    </w:div>
    <w:div w:id="200241697">
      <w:bodyDiv w:val="1"/>
      <w:marLeft w:val="0"/>
      <w:marRight w:val="0"/>
      <w:marTop w:val="0"/>
      <w:marBottom w:val="0"/>
      <w:divBdr>
        <w:top w:val="none" w:sz="0" w:space="0" w:color="auto"/>
        <w:left w:val="none" w:sz="0" w:space="0" w:color="auto"/>
        <w:bottom w:val="none" w:sz="0" w:space="0" w:color="auto"/>
        <w:right w:val="none" w:sz="0" w:space="0" w:color="auto"/>
      </w:divBdr>
    </w:div>
    <w:div w:id="200242957">
      <w:bodyDiv w:val="1"/>
      <w:marLeft w:val="0"/>
      <w:marRight w:val="0"/>
      <w:marTop w:val="0"/>
      <w:marBottom w:val="0"/>
      <w:divBdr>
        <w:top w:val="none" w:sz="0" w:space="0" w:color="auto"/>
        <w:left w:val="none" w:sz="0" w:space="0" w:color="auto"/>
        <w:bottom w:val="none" w:sz="0" w:space="0" w:color="auto"/>
        <w:right w:val="none" w:sz="0" w:space="0" w:color="auto"/>
      </w:divBdr>
      <w:divsChild>
        <w:div w:id="787819676">
          <w:marLeft w:val="0"/>
          <w:marRight w:val="0"/>
          <w:marTop w:val="0"/>
          <w:marBottom w:val="0"/>
          <w:divBdr>
            <w:top w:val="none" w:sz="0" w:space="0" w:color="auto"/>
            <w:left w:val="none" w:sz="0" w:space="0" w:color="auto"/>
            <w:bottom w:val="none" w:sz="0" w:space="0" w:color="auto"/>
            <w:right w:val="none" w:sz="0" w:space="0" w:color="auto"/>
          </w:divBdr>
        </w:div>
        <w:div w:id="1705715724">
          <w:marLeft w:val="0"/>
          <w:marRight w:val="0"/>
          <w:marTop w:val="0"/>
          <w:marBottom w:val="0"/>
          <w:divBdr>
            <w:top w:val="none" w:sz="0" w:space="0" w:color="auto"/>
            <w:left w:val="none" w:sz="0" w:space="0" w:color="auto"/>
            <w:bottom w:val="none" w:sz="0" w:space="0" w:color="auto"/>
            <w:right w:val="none" w:sz="0" w:space="0" w:color="auto"/>
          </w:divBdr>
        </w:div>
        <w:div w:id="1929845369">
          <w:marLeft w:val="0"/>
          <w:marRight w:val="0"/>
          <w:marTop w:val="0"/>
          <w:marBottom w:val="0"/>
          <w:divBdr>
            <w:top w:val="none" w:sz="0" w:space="0" w:color="auto"/>
            <w:left w:val="none" w:sz="0" w:space="0" w:color="auto"/>
            <w:bottom w:val="none" w:sz="0" w:space="0" w:color="auto"/>
            <w:right w:val="none" w:sz="0" w:space="0" w:color="auto"/>
          </w:divBdr>
        </w:div>
        <w:div w:id="622687733">
          <w:marLeft w:val="0"/>
          <w:marRight w:val="0"/>
          <w:marTop w:val="0"/>
          <w:marBottom w:val="0"/>
          <w:divBdr>
            <w:top w:val="none" w:sz="0" w:space="0" w:color="auto"/>
            <w:left w:val="none" w:sz="0" w:space="0" w:color="auto"/>
            <w:bottom w:val="none" w:sz="0" w:space="0" w:color="auto"/>
            <w:right w:val="none" w:sz="0" w:space="0" w:color="auto"/>
          </w:divBdr>
        </w:div>
        <w:div w:id="1893690260">
          <w:marLeft w:val="0"/>
          <w:marRight w:val="0"/>
          <w:marTop w:val="0"/>
          <w:marBottom w:val="0"/>
          <w:divBdr>
            <w:top w:val="none" w:sz="0" w:space="0" w:color="auto"/>
            <w:left w:val="none" w:sz="0" w:space="0" w:color="auto"/>
            <w:bottom w:val="none" w:sz="0" w:space="0" w:color="auto"/>
            <w:right w:val="none" w:sz="0" w:space="0" w:color="auto"/>
          </w:divBdr>
        </w:div>
        <w:div w:id="946738329">
          <w:marLeft w:val="0"/>
          <w:marRight w:val="0"/>
          <w:marTop w:val="0"/>
          <w:marBottom w:val="0"/>
          <w:divBdr>
            <w:top w:val="none" w:sz="0" w:space="0" w:color="auto"/>
            <w:left w:val="none" w:sz="0" w:space="0" w:color="auto"/>
            <w:bottom w:val="none" w:sz="0" w:space="0" w:color="auto"/>
            <w:right w:val="none" w:sz="0" w:space="0" w:color="auto"/>
          </w:divBdr>
        </w:div>
        <w:div w:id="1294678014">
          <w:marLeft w:val="0"/>
          <w:marRight w:val="0"/>
          <w:marTop w:val="0"/>
          <w:marBottom w:val="0"/>
          <w:divBdr>
            <w:top w:val="none" w:sz="0" w:space="0" w:color="auto"/>
            <w:left w:val="none" w:sz="0" w:space="0" w:color="auto"/>
            <w:bottom w:val="none" w:sz="0" w:space="0" w:color="auto"/>
            <w:right w:val="none" w:sz="0" w:space="0" w:color="auto"/>
          </w:divBdr>
        </w:div>
        <w:div w:id="490176214">
          <w:marLeft w:val="0"/>
          <w:marRight w:val="0"/>
          <w:marTop w:val="0"/>
          <w:marBottom w:val="0"/>
          <w:divBdr>
            <w:top w:val="none" w:sz="0" w:space="0" w:color="auto"/>
            <w:left w:val="none" w:sz="0" w:space="0" w:color="auto"/>
            <w:bottom w:val="none" w:sz="0" w:space="0" w:color="auto"/>
            <w:right w:val="none" w:sz="0" w:space="0" w:color="auto"/>
          </w:divBdr>
        </w:div>
        <w:div w:id="398132250">
          <w:marLeft w:val="0"/>
          <w:marRight w:val="0"/>
          <w:marTop w:val="0"/>
          <w:marBottom w:val="0"/>
          <w:divBdr>
            <w:top w:val="none" w:sz="0" w:space="0" w:color="auto"/>
            <w:left w:val="none" w:sz="0" w:space="0" w:color="auto"/>
            <w:bottom w:val="none" w:sz="0" w:space="0" w:color="auto"/>
            <w:right w:val="none" w:sz="0" w:space="0" w:color="auto"/>
          </w:divBdr>
        </w:div>
        <w:div w:id="1704090066">
          <w:marLeft w:val="0"/>
          <w:marRight w:val="0"/>
          <w:marTop w:val="0"/>
          <w:marBottom w:val="0"/>
          <w:divBdr>
            <w:top w:val="none" w:sz="0" w:space="0" w:color="auto"/>
            <w:left w:val="none" w:sz="0" w:space="0" w:color="auto"/>
            <w:bottom w:val="none" w:sz="0" w:space="0" w:color="auto"/>
            <w:right w:val="none" w:sz="0" w:space="0" w:color="auto"/>
          </w:divBdr>
        </w:div>
        <w:div w:id="1591886410">
          <w:marLeft w:val="0"/>
          <w:marRight w:val="0"/>
          <w:marTop w:val="0"/>
          <w:marBottom w:val="0"/>
          <w:divBdr>
            <w:top w:val="none" w:sz="0" w:space="0" w:color="auto"/>
            <w:left w:val="none" w:sz="0" w:space="0" w:color="auto"/>
            <w:bottom w:val="none" w:sz="0" w:space="0" w:color="auto"/>
            <w:right w:val="none" w:sz="0" w:space="0" w:color="auto"/>
          </w:divBdr>
        </w:div>
        <w:div w:id="442118917">
          <w:marLeft w:val="0"/>
          <w:marRight w:val="0"/>
          <w:marTop w:val="0"/>
          <w:marBottom w:val="0"/>
          <w:divBdr>
            <w:top w:val="none" w:sz="0" w:space="0" w:color="auto"/>
            <w:left w:val="none" w:sz="0" w:space="0" w:color="auto"/>
            <w:bottom w:val="none" w:sz="0" w:space="0" w:color="auto"/>
            <w:right w:val="none" w:sz="0" w:space="0" w:color="auto"/>
          </w:divBdr>
        </w:div>
        <w:div w:id="1697152589">
          <w:marLeft w:val="0"/>
          <w:marRight w:val="0"/>
          <w:marTop w:val="0"/>
          <w:marBottom w:val="0"/>
          <w:divBdr>
            <w:top w:val="none" w:sz="0" w:space="0" w:color="auto"/>
            <w:left w:val="none" w:sz="0" w:space="0" w:color="auto"/>
            <w:bottom w:val="none" w:sz="0" w:space="0" w:color="auto"/>
            <w:right w:val="none" w:sz="0" w:space="0" w:color="auto"/>
          </w:divBdr>
        </w:div>
        <w:div w:id="2035495358">
          <w:marLeft w:val="0"/>
          <w:marRight w:val="0"/>
          <w:marTop w:val="0"/>
          <w:marBottom w:val="0"/>
          <w:divBdr>
            <w:top w:val="none" w:sz="0" w:space="0" w:color="auto"/>
            <w:left w:val="none" w:sz="0" w:space="0" w:color="auto"/>
            <w:bottom w:val="none" w:sz="0" w:space="0" w:color="auto"/>
            <w:right w:val="none" w:sz="0" w:space="0" w:color="auto"/>
          </w:divBdr>
        </w:div>
        <w:div w:id="1397435345">
          <w:marLeft w:val="0"/>
          <w:marRight w:val="0"/>
          <w:marTop w:val="0"/>
          <w:marBottom w:val="0"/>
          <w:divBdr>
            <w:top w:val="none" w:sz="0" w:space="0" w:color="auto"/>
            <w:left w:val="none" w:sz="0" w:space="0" w:color="auto"/>
            <w:bottom w:val="none" w:sz="0" w:space="0" w:color="auto"/>
            <w:right w:val="none" w:sz="0" w:space="0" w:color="auto"/>
          </w:divBdr>
        </w:div>
        <w:div w:id="1975986813">
          <w:marLeft w:val="0"/>
          <w:marRight w:val="0"/>
          <w:marTop w:val="0"/>
          <w:marBottom w:val="0"/>
          <w:divBdr>
            <w:top w:val="none" w:sz="0" w:space="0" w:color="auto"/>
            <w:left w:val="none" w:sz="0" w:space="0" w:color="auto"/>
            <w:bottom w:val="none" w:sz="0" w:space="0" w:color="auto"/>
            <w:right w:val="none" w:sz="0" w:space="0" w:color="auto"/>
          </w:divBdr>
        </w:div>
        <w:div w:id="402871265">
          <w:marLeft w:val="0"/>
          <w:marRight w:val="0"/>
          <w:marTop w:val="0"/>
          <w:marBottom w:val="0"/>
          <w:divBdr>
            <w:top w:val="none" w:sz="0" w:space="0" w:color="auto"/>
            <w:left w:val="none" w:sz="0" w:space="0" w:color="auto"/>
            <w:bottom w:val="none" w:sz="0" w:space="0" w:color="auto"/>
            <w:right w:val="none" w:sz="0" w:space="0" w:color="auto"/>
          </w:divBdr>
        </w:div>
        <w:div w:id="207382983">
          <w:marLeft w:val="0"/>
          <w:marRight w:val="0"/>
          <w:marTop w:val="0"/>
          <w:marBottom w:val="0"/>
          <w:divBdr>
            <w:top w:val="none" w:sz="0" w:space="0" w:color="auto"/>
            <w:left w:val="none" w:sz="0" w:space="0" w:color="auto"/>
            <w:bottom w:val="none" w:sz="0" w:space="0" w:color="auto"/>
            <w:right w:val="none" w:sz="0" w:space="0" w:color="auto"/>
          </w:divBdr>
        </w:div>
        <w:div w:id="386732808">
          <w:marLeft w:val="0"/>
          <w:marRight w:val="0"/>
          <w:marTop w:val="0"/>
          <w:marBottom w:val="0"/>
          <w:divBdr>
            <w:top w:val="none" w:sz="0" w:space="0" w:color="auto"/>
            <w:left w:val="none" w:sz="0" w:space="0" w:color="auto"/>
            <w:bottom w:val="none" w:sz="0" w:space="0" w:color="auto"/>
            <w:right w:val="none" w:sz="0" w:space="0" w:color="auto"/>
          </w:divBdr>
        </w:div>
        <w:div w:id="494152629">
          <w:marLeft w:val="0"/>
          <w:marRight w:val="0"/>
          <w:marTop w:val="0"/>
          <w:marBottom w:val="0"/>
          <w:divBdr>
            <w:top w:val="none" w:sz="0" w:space="0" w:color="auto"/>
            <w:left w:val="none" w:sz="0" w:space="0" w:color="auto"/>
            <w:bottom w:val="none" w:sz="0" w:space="0" w:color="auto"/>
            <w:right w:val="none" w:sz="0" w:space="0" w:color="auto"/>
          </w:divBdr>
        </w:div>
        <w:div w:id="1177692714">
          <w:marLeft w:val="0"/>
          <w:marRight w:val="0"/>
          <w:marTop w:val="0"/>
          <w:marBottom w:val="0"/>
          <w:divBdr>
            <w:top w:val="none" w:sz="0" w:space="0" w:color="auto"/>
            <w:left w:val="none" w:sz="0" w:space="0" w:color="auto"/>
            <w:bottom w:val="none" w:sz="0" w:space="0" w:color="auto"/>
            <w:right w:val="none" w:sz="0" w:space="0" w:color="auto"/>
          </w:divBdr>
        </w:div>
        <w:div w:id="378284358">
          <w:marLeft w:val="0"/>
          <w:marRight w:val="0"/>
          <w:marTop w:val="0"/>
          <w:marBottom w:val="0"/>
          <w:divBdr>
            <w:top w:val="none" w:sz="0" w:space="0" w:color="auto"/>
            <w:left w:val="none" w:sz="0" w:space="0" w:color="auto"/>
            <w:bottom w:val="none" w:sz="0" w:space="0" w:color="auto"/>
            <w:right w:val="none" w:sz="0" w:space="0" w:color="auto"/>
          </w:divBdr>
        </w:div>
        <w:div w:id="1784958528">
          <w:marLeft w:val="0"/>
          <w:marRight w:val="0"/>
          <w:marTop w:val="0"/>
          <w:marBottom w:val="0"/>
          <w:divBdr>
            <w:top w:val="none" w:sz="0" w:space="0" w:color="auto"/>
            <w:left w:val="none" w:sz="0" w:space="0" w:color="auto"/>
            <w:bottom w:val="none" w:sz="0" w:space="0" w:color="auto"/>
            <w:right w:val="none" w:sz="0" w:space="0" w:color="auto"/>
          </w:divBdr>
        </w:div>
        <w:div w:id="2076397029">
          <w:marLeft w:val="0"/>
          <w:marRight w:val="0"/>
          <w:marTop w:val="0"/>
          <w:marBottom w:val="0"/>
          <w:divBdr>
            <w:top w:val="none" w:sz="0" w:space="0" w:color="auto"/>
            <w:left w:val="none" w:sz="0" w:space="0" w:color="auto"/>
            <w:bottom w:val="none" w:sz="0" w:space="0" w:color="auto"/>
            <w:right w:val="none" w:sz="0" w:space="0" w:color="auto"/>
          </w:divBdr>
        </w:div>
        <w:div w:id="1655573515">
          <w:marLeft w:val="0"/>
          <w:marRight w:val="0"/>
          <w:marTop w:val="0"/>
          <w:marBottom w:val="0"/>
          <w:divBdr>
            <w:top w:val="none" w:sz="0" w:space="0" w:color="auto"/>
            <w:left w:val="none" w:sz="0" w:space="0" w:color="auto"/>
            <w:bottom w:val="none" w:sz="0" w:space="0" w:color="auto"/>
            <w:right w:val="none" w:sz="0" w:space="0" w:color="auto"/>
          </w:divBdr>
        </w:div>
        <w:div w:id="369040456">
          <w:marLeft w:val="0"/>
          <w:marRight w:val="0"/>
          <w:marTop w:val="0"/>
          <w:marBottom w:val="0"/>
          <w:divBdr>
            <w:top w:val="none" w:sz="0" w:space="0" w:color="auto"/>
            <w:left w:val="none" w:sz="0" w:space="0" w:color="auto"/>
            <w:bottom w:val="none" w:sz="0" w:space="0" w:color="auto"/>
            <w:right w:val="none" w:sz="0" w:space="0" w:color="auto"/>
          </w:divBdr>
        </w:div>
        <w:div w:id="232741745">
          <w:marLeft w:val="0"/>
          <w:marRight w:val="0"/>
          <w:marTop w:val="0"/>
          <w:marBottom w:val="0"/>
          <w:divBdr>
            <w:top w:val="none" w:sz="0" w:space="0" w:color="auto"/>
            <w:left w:val="none" w:sz="0" w:space="0" w:color="auto"/>
            <w:bottom w:val="none" w:sz="0" w:space="0" w:color="auto"/>
            <w:right w:val="none" w:sz="0" w:space="0" w:color="auto"/>
          </w:divBdr>
        </w:div>
        <w:div w:id="315648541">
          <w:marLeft w:val="0"/>
          <w:marRight w:val="0"/>
          <w:marTop w:val="0"/>
          <w:marBottom w:val="0"/>
          <w:divBdr>
            <w:top w:val="none" w:sz="0" w:space="0" w:color="auto"/>
            <w:left w:val="none" w:sz="0" w:space="0" w:color="auto"/>
            <w:bottom w:val="none" w:sz="0" w:space="0" w:color="auto"/>
            <w:right w:val="none" w:sz="0" w:space="0" w:color="auto"/>
          </w:divBdr>
        </w:div>
        <w:div w:id="190842109">
          <w:marLeft w:val="0"/>
          <w:marRight w:val="0"/>
          <w:marTop w:val="0"/>
          <w:marBottom w:val="0"/>
          <w:divBdr>
            <w:top w:val="none" w:sz="0" w:space="0" w:color="auto"/>
            <w:left w:val="none" w:sz="0" w:space="0" w:color="auto"/>
            <w:bottom w:val="none" w:sz="0" w:space="0" w:color="auto"/>
            <w:right w:val="none" w:sz="0" w:space="0" w:color="auto"/>
          </w:divBdr>
        </w:div>
        <w:div w:id="1802962081">
          <w:marLeft w:val="0"/>
          <w:marRight w:val="0"/>
          <w:marTop w:val="0"/>
          <w:marBottom w:val="0"/>
          <w:divBdr>
            <w:top w:val="none" w:sz="0" w:space="0" w:color="auto"/>
            <w:left w:val="none" w:sz="0" w:space="0" w:color="auto"/>
            <w:bottom w:val="none" w:sz="0" w:space="0" w:color="auto"/>
            <w:right w:val="none" w:sz="0" w:space="0" w:color="auto"/>
          </w:divBdr>
        </w:div>
        <w:div w:id="332026789">
          <w:marLeft w:val="0"/>
          <w:marRight w:val="0"/>
          <w:marTop w:val="0"/>
          <w:marBottom w:val="0"/>
          <w:divBdr>
            <w:top w:val="none" w:sz="0" w:space="0" w:color="auto"/>
            <w:left w:val="none" w:sz="0" w:space="0" w:color="auto"/>
            <w:bottom w:val="none" w:sz="0" w:space="0" w:color="auto"/>
            <w:right w:val="none" w:sz="0" w:space="0" w:color="auto"/>
          </w:divBdr>
        </w:div>
        <w:div w:id="2102213819">
          <w:marLeft w:val="0"/>
          <w:marRight w:val="0"/>
          <w:marTop w:val="0"/>
          <w:marBottom w:val="0"/>
          <w:divBdr>
            <w:top w:val="none" w:sz="0" w:space="0" w:color="auto"/>
            <w:left w:val="none" w:sz="0" w:space="0" w:color="auto"/>
            <w:bottom w:val="none" w:sz="0" w:space="0" w:color="auto"/>
            <w:right w:val="none" w:sz="0" w:space="0" w:color="auto"/>
          </w:divBdr>
        </w:div>
        <w:div w:id="1540781724">
          <w:marLeft w:val="0"/>
          <w:marRight w:val="0"/>
          <w:marTop w:val="0"/>
          <w:marBottom w:val="0"/>
          <w:divBdr>
            <w:top w:val="none" w:sz="0" w:space="0" w:color="auto"/>
            <w:left w:val="none" w:sz="0" w:space="0" w:color="auto"/>
            <w:bottom w:val="none" w:sz="0" w:space="0" w:color="auto"/>
            <w:right w:val="none" w:sz="0" w:space="0" w:color="auto"/>
          </w:divBdr>
        </w:div>
        <w:div w:id="1560700945">
          <w:marLeft w:val="0"/>
          <w:marRight w:val="0"/>
          <w:marTop w:val="0"/>
          <w:marBottom w:val="0"/>
          <w:divBdr>
            <w:top w:val="none" w:sz="0" w:space="0" w:color="auto"/>
            <w:left w:val="none" w:sz="0" w:space="0" w:color="auto"/>
            <w:bottom w:val="none" w:sz="0" w:space="0" w:color="auto"/>
            <w:right w:val="none" w:sz="0" w:space="0" w:color="auto"/>
          </w:divBdr>
        </w:div>
        <w:div w:id="75563216">
          <w:marLeft w:val="0"/>
          <w:marRight w:val="0"/>
          <w:marTop w:val="0"/>
          <w:marBottom w:val="0"/>
          <w:divBdr>
            <w:top w:val="none" w:sz="0" w:space="0" w:color="auto"/>
            <w:left w:val="none" w:sz="0" w:space="0" w:color="auto"/>
            <w:bottom w:val="none" w:sz="0" w:space="0" w:color="auto"/>
            <w:right w:val="none" w:sz="0" w:space="0" w:color="auto"/>
          </w:divBdr>
        </w:div>
        <w:div w:id="985938824">
          <w:marLeft w:val="0"/>
          <w:marRight w:val="0"/>
          <w:marTop w:val="0"/>
          <w:marBottom w:val="0"/>
          <w:divBdr>
            <w:top w:val="none" w:sz="0" w:space="0" w:color="auto"/>
            <w:left w:val="none" w:sz="0" w:space="0" w:color="auto"/>
            <w:bottom w:val="none" w:sz="0" w:space="0" w:color="auto"/>
            <w:right w:val="none" w:sz="0" w:space="0" w:color="auto"/>
          </w:divBdr>
        </w:div>
        <w:div w:id="1837919228">
          <w:marLeft w:val="0"/>
          <w:marRight w:val="0"/>
          <w:marTop w:val="0"/>
          <w:marBottom w:val="0"/>
          <w:divBdr>
            <w:top w:val="none" w:sz="0" w:space="0" w:color="auto"/>
            <w:left w:val="none" w:sz="0" w:space="0" w:color="auto"/>
            <w:bottom w:val="none" w:sz="0" w:space="0" w:color="auto"/>
            <w:right w:val="none" w:sz="0" w:space="0" w:color="auto"/>
          </w:divBdr>
        </w:div>
        <w:div w:id="1488745054">
          <w:marLeft w:val="0"/>
          <w:marRight w:val="0"/>
          <w:marTop w:val="0"/>
          <w:marBottom w:val="0"/>
          <w:divBdr>
            <w:top w:val="none" w:sz="0" w:space="0" w:color="auto"/>
            <w:left w:val="none" w:sz="0" w:space="0" w:color="auto"/>
            <w:bottom w:val="none" w:sz="0" w:space="0" w:color="auto"/>
            <w:right w:val="none" w:sz="0" w:space="0" w:color="auto"/>
          </w:divBdr>
        </w:div>
        <w:div w:id="989292733">
          <w:marLeft w:val="0"/>
          <w:marRight w:val="0"/>
          <w:marTop w:val="0"/>
          <w:marBottom w:val="0"/>
          <w:divBdr>
            <w:top w:val="none" w:sz="0" w:space="0" w:color="auto"/>
            <w:left w:val="none" w:sz="0" w:space="0" w:color="auto"/>
            <w:bottom w:val="none" w:sz="0" w:space="0" w:color="auto"/>
            <w:right w:val="none" w:sz="0" w:space="0" w:color="auto"/>
          </w:divBdr>
        </w:div>
        <w:div w:id="1175878436">
          <w:marLeft w:val="0"/>
          <w:marRight w:val="0"/>
          <w:marTop w:val="0"/>
          <w:marBottom w:val="0"/>
          <w:divBdr>
            <w:top w:val="none" w:sz="0" w:space="0" w:color="auto"/>
            <w:left w:val="none" w:sz="0" w:space="0" w:color="auto"/>
            <w:bottom w:val="none" w:sz="0" w:space="0" w:color="auto"/>
            <w:right w:val="none" w:sz="0" w:space="0" w:color="auto"/>
          </w:divBdr>
        </w:div>
        <w:div w:id="888145981">
          <w:marLeft w:val="0"/>
          <w:marRight w:val="0"/>
          <w:marTop w:val="0"/>
          <w:marBottom w:val="0"/>
          <w:divBdr>
            <w:top w:val="none" w:sz="0" w:space="0" w:color="auto"/>
            <w:left w:val="none" w:sz="0" w:space="0" w:color="auto"/>
            <w:bottom w:val="none" w:sz="0" w:space="0" w:color="auto"/>
            <w:right w:val="none" w:sz="0" w:space="0" w:color="auto"/>
          </w:divBdr>
        </w:div>
        <w:div w:id="415246148">
          <w:marLeft w:val="0"/>
          <w:marRight w:val="0"/>
          <w:marTop w:val="0"/>
          <w:marBottom w:val="0"/>
          <w:divBdr>
            <w:top w:val="none" w:sz="0" w:space="0" w:color="auto"/>
            <w:left w:val="none" w:sz="0" w:space="0" w:color="auto"/>
            <w:bottom w:val="none" w:sz="0" w:space="0" w:color="auto"/>
            <w:right w:val="none" w:sz="0" w:space="0" w:color="auto"/>
          </w:divBdr>
        </w:div>
        <w:div w:id="1813281792">
          <w:marLeft w:val="0"/>
          <w:marRight w:val="0"/>
          <w:marTop w:val="0"/>
          <w:marBottom w:val="0"/>
          <w:divBdr>
            <w:top w:val="none" w:sz="0" w:space="0" w:color="auto"/>
            <w:left w:val="none" w:sz="0" w:space="0" w:color="auto"/>
            <w:bottom w:val="none" w:sz="0" w:space="0" w:color="auto"/>
            <w:right w:val="none" w:sz="0" w:space="0" w:color="auto"/>
          </w:divBdr>
        </w:div>
        <w:div w:id="1258520502">
          <w:marLeft w:val="0"/>
          <w:marRight w:val="0"/>
          <w:marTop w:val="0"/>
          <w:marBottom w:val="0"/>
          <w:divBdr>
            <w:top w:val="none" w:sz="0" w:space="0" w:color="auto"/>
            <w:left w:val="none" w:sz="0" w:space="0" w:color="auto"/>
            <w:bottom w:val="none" w:sz="0" w:space="0" w:color="auto"/>
            <w:right w:val="none" w:sz="0" w:space="0" w:color="auto"/>
          </w:divBdr>
        </w:div>
        <w:div w:id="279143528">
          <w:marLeft w:val="0"/>
          <w:marRight w:val="0"/>
          <w:marTop w:val="0"/>
          <w:marBottom w:val="0"/>
          <w:divBdr>
            <w:top w:val="none" w:sz="0" w:space="0" w:color="auto"/>
            <w:left w:val="none" w:sz="0" w:space="0" w:color="auto"/>
            <w:bottom w:val="none" w:sz="0" w:space="0" w:color="auto"/>
            <w:right w:val="none" w:sz="0" w:space="0" w:color="auto"/>
          </w:divBdr>
        </w:div>
        <w:div w:id="283922308">
          <w:marLeft w:val="0"/>
          <w:marRight w:val="0"/>
          <w:marTop w:val="0"/>
          <w:marBottom w:val="0"/>
          <w:divBdr>
            <w:top w:val="none" w:sz="0" w:space="0" w:color="auto"/>
            <w:left w:val="none" w:sz="0" w:space="0" w:color="auto"/>
            <w:bottom w:val="none" w:sz="0" w:space="0" w:color="auto"/>
            <w:right w:val="none" w:sz="0" w:space="0" w:color="auto"/>
          </w:divBdr>
        </w:div>
        <w:div w:id="677736878">
          <w:marLeft w:val="0"/>
          <w:marRight w:val="0"/>
          <w:marTop w:val="0"/>
          <w:marBottom w:val="0"/>
          <w:divBdr>
            <w:top w:val="none" w:sz="0" w:space="0" w:color="auto"/>
            <w:left w:val="none" w:sz="0" w:space="0" w:color="auto"/>
            <w:bottom w:val="none" w:sz="0" w:space="0" w:color="auto"/>
            <w:right w:val="none" w:sz="0" w:space="0" w:color="auto"/>
          </w:divBdr>
        </w:div>
        <w:div w:id="1332172994">
          <w:marLeft w:val="0"/>
          <w:marRight w:val="0"/>
          <w:marTop w:val="0"/>
          <w:marBottom w:val="0"/>
          <w:divBdr>
            <w:top w:val="none" w:sz="0" w:space="0" w:color="auto"/>
            <w:left w:val="none" w:sz="0" w:space="0" w:color="auto"/>
            <w:bottom w:val="none" w:sz="0" w:space="0" w:color="auto"/>
            <w:right w:val="none" w:sz="0" w:space="0" w:color="auto"/>
          </w:divBdr>
        </w:div>
        <w:div w:id="487285904">
          <w:marLeft w:val="0"/>
          <w:marRight w:val="0"/>
          <w:marTop w:val="0"/>
          <w:marBottom w:val="0"/>
          <w:divBdr>
            <w:top w:val="none" w:sz="0" w:space="0" w:color="auto"/>
            <w:left w:val="none" w:sz="0" w:space="0" w:color="auto"/>
            <w:bottom w:val="none" w:sz="0" w:space="0" w:color="auto"/>
            <w:right w:val="none" w:sz="0" w:space="0" w:color="auto"/>
          </w:divBdr>
        </w:div>
        <w:div w:id="318123213">
          <w:marLeft w:val="0"/>
          <w:marRight w:val="0"/>
          <w:marTop w:val="0"/>
          <w:marBottom w:val="0"/>
          <w:divBdr>
            <w:top w:val="none" w:sz="0" w:space="0" w:color="auto"/>
            <w:left w:val="none" w:sz="0" w:space="0" w:color="auto"/>
            <w:bottom w:val="none" w:sz="0" w:space="0" w:color="auto"/>
            <w:right w:val="none" w:sz="0" w:space="0" w:color="auto"/>
          </w:divBdr>
        </w:div>
        <w:div w:id="1129322959">
          <w:marLeft w:val="0"/>
          <w:marRight w:val="0"/>
          <w:marTop w:val="0"/>
          <w:marBottom w:val="0"/>
          <w:divBdr>
            <w:top w:val="none" w:sz="0" w:space="0" w:color="auto"/>
            <w:left w:val="none" w:sz="0" w:space="0" w:color="auto"/>
            <w:bottom w:val="none" w:sz="0" w:space="0" w:color="auto"/>
            <w:right w:val="none" w:sz="0" w:space="0" w:color="auto"/>
          </w:divBdr>
        </w:div>
        <w:div w:id="750734871">
          <w:marLeft w:val="0"/>
          <w:marRight w:val="0"/>
          <w:marTop w:val="0"/>
          <w:marBottom w:val="0"/>
          <w:divBdr>
            <w:top w:val="none" w:sz="0" w:space="0" w:color="auto"/>
            <w:left w:val="none" w:sz="0" w:space="0" w:color="auto"/>
            <w:bottom w:val="none" w:sz="0" w:space="0" w:color="auto"/>
            <w:right w:val="none" w:sz="0" w:space="0" w:color="auto"/>
          </w:divBdr>
        </w:div>
        <w:div w:id="1935090938">
          <w:marLeft w:val="0"/>
          <w:marRight w:val="0"/>
          <w:marTop w:val="0"/>
          <w:marBottom w:val="0"/>
          <w:divBdr>
            <w:top w:val="none" w:sz="0" w:space="0" w:color="auto"/>
            <w:left w:val="none" w:sz="0" w:space="0" w:color="auto"/>
            <w:bottom w:val="none" w:sz="0" w:space="0" w:color="auto"/>
            <w:right w:val="none" w:sz="0" w:space="0" w:color="auto"/>
          </w:divBdr>
        </w:div>
        <w:div w:id="522135112">
          <w:marLeft w:val="0"/>
          <w:marRight w:val="0"/>
          <w:marTop w:val="0"/>
          <w:marBottom w:val="0"/>
          <w:divBdr>
            <w:top w:val="none" w:sz="0" w:space="0" w:color="auto"/>
            <w:left w:val="none" w:sz="0" w:space="0" w:color="auto"/>
            <w:bottom w:val="none" w:sz="0" w:space="0" w:color="auto"/>
            <w:right w:val="none" w:sz="0" w:space="0" w:color="auto"/>
          </w:divBdr>
        </w:div>
        <w:div w:id="414715628">
          <w:marLeft w:val="0"/>
          <w:marRight w:val="0"/>
          <w:marTop w:val="0"/>
          <w:marBottom w:val="0"/>
          <w:divBdr>
            <w:top w:val="none" w:sz="0" w:space="0" w:color="auto"/>
            <w:left w:val="none" w:sz="0" w:space="0" w:color="auto"/>
            <w:bottom w:val="none" w:sz="0" w:space="0" w:color="auto"/>
            <w:right w:val="none" w:sz="0" w:space="0" w:color="auto"/>
          </w:divBdr>
        </w:div>
        <w:div w:id="1907252862">
          <w:marLeft w:val="0"/>
          <w:marRight w:val="0"/>
          <w:marTop w:val="0"/>
          <w:marBottom w:val="0"/>
          <w:divBdr>
            <w:top w:val="none" w:sz="0" w:space="0" w:color="auto"/>
            <w:left w:val="none" w:sz="0" w:space="0" w:color="auto"/>
            <w:bottom w:val="none" w:sz="0" w:space="0" w:color="auto"/>
            <w:right w:val="none" w:sz="0" w:space="0" w:color="auto"/>
          </w:divBdr>
        </w:div>
        <w:div w:id="1014721549">
          <w:marLeft w:val="0"/>
          <w:marRight w:val="0"/>
          <w:marTop w:val="0"/>
          <w:marBottom w:val="0"/>
          <w:divBdr>
            <w:top w:val="none" w:sz="0" w:space="0" w:color="auto"/>
            <w:left w:val="none" w:sz="0" w:space="0" w:color="auto"/>
            <w:bottom w:val="none" w:sz="0" w:space="0" w:color="auto"/>
            <w:right w:val="none" w:sz="0" w:space="0" w:color="auto"/>
          </w:divBdr>
        </w:div>
        <w:div w:id="1412463848">
          <w:marLeft w:val="0"/>
          <w:marRight w:val="0"/>
          <w:marTop w:val="0"/>
          <w:marBottom w:val="0"/>
          <w:divBdr>
            <w:top w:val="none" w:sz="0" w:space="0" w:color="auto"/>
            <w:left w:val="none" w:sz="0" w:space="0" w:color="auto"/>
            <w:bottom w:val="none" w:sz="0" w:space="0" w:color="auto"/>
            <w:right w:val="none" w:sz="0" w:space="0" w:color="auto"/>
          </w:divBdr>
        </w:div>
        <w:div w:id="207425643">
          <w:marLeft w:val="0"/>
          <w:marRight w:val="0"/>
          <w:marTop w:val="0"/>
          <w:marBottom w:val="0"/>
          <w:divBdr>
            <w:top w:val="none" w:sz="0" w:space="0" w:color="auto"/>
            <w:left w:val="none" w:sz="0" w:space="0" w:color="auto"/>
            <w:bottom w:val="none" w:sz="0" w:space="0" w:color="auto"/>
            <w:right w:val="none" w:sz="0" w:space="0" w:color="auto"/>
          </w:divBdr>
        </w:div>
        <w:div w:id="1687825536">
          <w:marLeft w:val="0"/>
          <w:marRight w:val="0"/>
          <w:marTop w:val="0"/>
          <w:marBottom w:val="0"/>
          <w:divBdr>
            <w:top w:val="none" w:sz="0" w:space="0" w:color="auto"/>
            <w:left w:val="none" w:sz="0" w:space="0" w:color="auto"/>
            <w:bottom w:val="none" w:sz="0" w:space="0" w:color="auto"/>
            <w:right w:val="none" w:sz="0" w:space="0" w:color="auto"/>
          </w:divBdr>
        </w:div>
        <w:div w:id="989332179">
          <w:marLeft w:val="0"/>
          <w:marRight w:val="0"/>
          <w:marTop w:val="0"/>
          <w:marBottom w:val="0"/>
          <w:divBdr>
            <w:top w:val="none" w:sz="0" w:space="0" w:color="auto"/>
            <w:left w:val="none" w:sz="0" w:space="0" w:color="auto"/>
            <w:bottom w:val="none" w:sz="0" w:space="0" w:color="auto"/>
            <w:right w:val="none" w:sz="0" w:space="0" w:color="auto"/>
          </w:divBdr>
        </w:div>
        <w:div w:id="1776365664">
          <w:marLeft w:val="0"/>
          <w:marRight w:val="0"/>
          <w:marTop w:val="0"/>
          <w:marBottom w:val="0"/>
          <w:divBdr>
            <w:top w:val="none" w:sz="0" w:space="0" w:color="auto"/>
            <w:left w:val="none" w:sz="0" w:space="0" w:color="auto"/>
            <w:bottom w:val="none" w:sz="0" w:space="0" w:color="auto"/>
            <w:right w:val="none" w:sz="0" w:space="0" w:color="auto"/>
          </w:divBdr>
        </w:div>
        <w:div w:id="1889411390">
          <w:marLeft w:val="0"/>
          <w:marRight w:val="0"/>
          <w:marTop w:val="0"/>
          <w:marBottom w:val="0"/>
          <w:divBdr>
            <w:top w:val="none" w:sz="0" w:space="0" w:color="auto"/>
            <w:left w:val="none" w:sz="0" w:space="0" w:color="auto"/>
            <w:bottom w:val="none" w:sz="0" w:space="0" w:color="auto"/>
            <w:right w:val="none" w:sz="0" w:space="0" w:color="auto"/>
          </w:divBdr>
        </w:div>
        <w:div w:id="1696730328">
          <w:marLeft w:val="0"/>
          <w:marRight w:val="0"/>
          <w:marTop w:val="0"/>
          <w:marBottom w:val="0"/>
          <w:divBdr>
            <w:top w:val="none" w:sz="0" w:space="0" w:color="auto"/>
            <w:left w:val="none" w:sz="0" w:space="0" w:color="auto"/>
            <w:bottom w:val="none" w:sz="0" w:space="0" w:color="auto"/>
            <w:right w:val="none" w:sz="0" w:space="0" w:color="auto"/>
          </w:divBdr>
        </w:div>
        <w:div w:id="962660909">
          <w:marLeft w:val="0"/>
          <w:marRight w:val="0"/>
          <w:marTop w:val="0"/>
          <w:marBottom w:val="0"/>
          <w:divBdr>
            <w:top w:val="none" w:sz="0" w:space="0" w:color="auto"/>
            <w:left w:val="none" w:sz="0" w:space="0" w:color="auto"/>
            <w:bottom w:val="none" w:sz="0" w:space="0" w:color="auto"/>
            <w:right w:val="none" w:sz="0" w:space="0" w:color="auto"/>
          </w:divBdr>
        </w:div>
        <w:div w:id="1577089481">
          <w:marLeft w:val="0"/>
          <w:marRight w:val="0"/>
          <w:marTop w:val="0"/>
          <w:marBottom w:val="0"/>
          <w:divBdr>
            <w:top w:val="none" w:sz="0" w:space="0" w:color="auto"/>
            <w:left w:val="none" w:sz="0" w:space="0" w:color="auto"/>
            <w:bottom w:val="none" w:sz="0" w:space="0" w:color="auto"/>
            <w:right w:val="none" w:sz="0" w:space="0" w:color="auto"/>
          </w:divBdr>
        </w:div>
        <w:div w:id="1047797159">
          <w:marLeft w:val="0"/>
          <w:marRight w:val="0"/>
          <w:marTop w:val="0"/>
          <w:marBottom w:val="0"/>
          <w:divBdr>
            <w:top w:val="none" w:sz="0" w:space="0" w:color="auto"/>
            <w:left w:val="none" w:sz="0" w:space="0" w:color="auto"/>
            <w:bottom w:val="none" w:sz="0" w:space="0" w:color="auto"/>
            <w:right w:val="none" w:sz="0" w:space="0" w:color="auto"/>
          </w:divBdr>
        </w:div>
        <w:div w:id="525605447">
          <w:marLeft w:val="0"/>
          <w:marRight w:val="0"/>
          <w:marTop w:val="0"/>
          <w:marBottom w:val="0"/>
          <w:divBdr>
            <w:top w:val="none" w:sz="0" w:space="0" w:color="auto"/>
            <w:left w:val="none" w:sz="0" w:space="0" w:color="auto"/>
            <w:bottom w:val="none" w:sz="0" w:space="0" w:color="auto"/>
            <w:right w:val="none" w:sz="0" w:space="0" w:color="auto"/>
          </w:divBdr>
        </w:div>
        <w:div w:id="364867949">
          <w:marLeft w:val="0"/>
          <w:marRight w:val="0"/>
          <w:marTop w:val="0"/>
          <w:marBottom w:val="0"/>
          <w:divBdr>
            <w:top w:val="none" w:sz="0" w:space="0" w:color="auto"/>
            <w:left w:val="none" w:sz="0" w:space="0" w:color="auto"/>
            <w:bottom w:val="none" w:sz="0" w:space="0" w:color="auto"/>
            <w:right w:val="none" w:sz="0" w:space="0" w:color="auto"/>
          </w:divBdr>
        </w:div>
        <w:div w:id="2093889209">
          <w:marLeft w:val="0"/>
          <w:marRight w:val="0"/>
          <w:marTop w:val="0"/>
          <w:marBottom w:val="0"/>
          <w:divBdr>
            <w:top w:val="none" w:sz="0" w:space="0" w:color="auto"/>
            <w:left w:val="none" w:sz="0" w:space="0" w:color="auto"/>
            <w:bottom w:val="none" w:sz="0" w:space="0" w:color="auto"/>
            <w:right w:val="none" w:sz="0" w:space="0" w:color="auto"/>
          </w:divBdr>
        </w:div>
        <w:div w:id="1984919435">
          <w:marLeft w:val="0"/>
          <w:marRight w:val="0"/>
          <w:marTop w:val="0"/>
          <w:marBottom w:val="0"/>
          <w:divBdr>
            <w:top w:val="none" w:sz="0" w:space="0" w:color="auto"/>
            <w:left w:val="none" w:sz="0" w:space="0" w:color="auto"/>
            <w:bottom w:val="none" w:sz="0" w:space="0" w:color="auto"/>
            <w:right w:val="none" w:sz="0" w:space="0" w:color="auto"/>
          </w:divBdr>
        </w:div>
        <w:div w:id="1013266581">
          <w:marLeft w:val="0"/>
          <w:marRight w:val="0"/>
          <w:marTop w:val="0"/>
          <w:marBottom w:val="0"/>
          <w:divBdr>
            <w:top w:val="none" w:sz="0" w:space="0" w:color="auto"/>
            <w:left w:val="none" w:sz="0" w:space="0" w:color="auto"/>
            <w:bottom w:val="none" w:sz="0" w:space="0" w:color="auto"/>
            <w:right w:val="none" w:sz="0" w:space="0" w:color="auto"/>
          </w:divBdr>
        </w:div>
        <w:div w:id="1472939635">
          <w:marLeft w:val="0"/>
          <w:marRight w:val="0"/>
          <w:marTop w:val="0"/>
          <w:marBottom w:val="0"/>
          <w:divBdr>
            <w:top w:val="none" w:sz="0" w:space="0" w:color="auto"/>
            <w:left w:val="none" w:sz="0" w:space="0" w:color="auto"/>
            <w:bottom w:val="none" w:sz="0" w:space="0" w:color="auto"/>
            <w:right w:val="none" w:sz="0" w:space="0" w:color="auto"/>
          </w:divBdr>
        </w:div>
        <w:div w:id="1431928010">
          <w:marLeft w:val="0"/>
          <w:marRight w:val="0"/>
          <w:marTop w:val="0"/>
          <w:marBottom w:val="0"/>
          <w:divBdr>
            <w:top w:val="none" w:sz="0" w:space="0" w:color="auto"/>
            <w:left w:val="none" w:sz="0" w:space="0" w:color="auto"/>
            <w:bottom w:val="none" w:sz="0" w:space="0" w:color="auto"/>
            <w:right w:val="none" w:sz="0" w:space="0" w:color="auto"/>
          </w:divBdr>
        </w:div>
        <w:div w:id="2041664551">
          <w:marLeft w:val="0"/>
          <w:marRight w:val="0"/>
          <w:marTop w:val="0"/>
          <w:marBottom w:val="0"/>
          <w:divBdr>
            <w:top w:val="none" w:sz="0" w:space="0" w:color="auto"/>
            <w:left w:val="none" w:sz="0" w:space="0" w:color="auto"/>
            <w:bottom w:val="none" w:sz="0" w:space="0" w:color="auto"/>
            <w:right w:val="none" w:sz="0" w:space="0" w:color="auto"/>
          </w:divBdr>
        </w:div>
        <w:div w:id="129324320">
          <w:marLeft w:val="0"/>
          <w:marRight w:val="0"/>
          <w:marTop w:val="0"/>
          <w:marBottom w:val="0"/>
          <w:divBdr>
            <w:top w:val="none" w:sz="0" w:space="0" w:color="auto"/>
            <w:left w:val="none" w:sz="0" w:space="0" w:color="auto"/>
            <w:bottom w:val="none" w:sz="0" w:space="0" w:color="auto"/>
            <w:right w:val="none" w:sz="0" w:space="0" w:color="auto"/>
          </w:divBdr>
        </w:div>
        <w:div w:id="1522547241">
          <w:marLeft w:val="0"/>
          <w:marRight w:val="0"/>
          <w:marTop w:val="0"/>
          <w:marBottom w:val="0"/>
          <w:divBdr>
            <w:top w:val="none" w:sz="0" w:space="0" w:color="auto"/>
            <w:left w:val="none" w:sz="0" w:space="0" w:color="auto"/>
            <w:bottom w:val="none" w:sz="0" w:space="0" w:color="auto"/>
            <w:right w:val="none" w:sz="0" w:space="0" w:color="auto"/>
          </w:divBdr>
        </w:div>
        <w:div w:id="1089690945">
          <w:marLeft w:val="0"/>
          <w:marRight w:val="0"/>
          <w:marTop w:val="0"/>
          <w:marBottom w:val="0"/>
          <w:divBdr>
            <w:top w:val="none" w:sz="0" w:space="0" w:color="auto"/>
            <w:left w:val="none" w:sz="0" w:space="0" w:color="auto"/>
            <w:bottom w:val="none" w:sz="0" w:space="0" w:color="auto"/>
            <w:right w:val="none" w:sz="0" w:space="0" w:color="auto"/>
          </w:divBdr>
        </w:div>
        <w:div w:id="463155060">
          <w:marLeft w:val="0"/>
          <w:marRight w:val="0"/>
          <w:marTop w:val="0"/>
          <w:marBottom w:val="0"/>
          <w:divBdr>
            <w:top w:val="none" w:sz="0" w:space="0" w:color="auto"/>
            <w:left w:val="none" w:sz="0" w:space="0" w:color="auto"/>
            <w:bottom w:val="none" w:sz="0" w:space="0" w:color="auto"/>
            <w:right w:val="none" w:sz="0" w:space="0" w:color="auto"/>
          </w:divBdr>
        </w:div>
        <w:div w:id="2021663692">
          <w:marLeft w:val="0"/>
          <w:marRight w:val="0"/>
          <w:marTop w:val="0"/>
          <w:marBottom w:val="0"/>
          <w:divBdr>
            <w:top w:val="none" w:sz="0" w:space="0" w:color="auto"/>
            <w:left w:val="none" w:sz="0" w:space="0" w:color="auto"/>
            <w:bottom w:val="none" w:sz="0" w:space="0" w:color="auto"/>
            <w:right w:val="none" w:sz="0" w:space="0" w:color="auto"/>
          </w:divBdr>
        </w:div>
        <w:div w:id="1547795426">
          <w:marLeft w:val="0"/>
          <w:marRight w:val="0"/>
          <w:marTop w:val="0"/>
          <w:marBottom w:val="0"/>
          <w:divBdr>
            <w:top w:val="none" w:sz="0" w:space="0" w:color="auto"/>
            <w:left w:val="none" w:sz="0" w:space="0" w:color="auto"/>
            <w:bottom w:val="none" w:sz="0" w:space="0" w:color="auto"/>
            <w:right w:val="none" w:sz="0" w:space="0" w:color="auto"/>
          </w:divBdr>
        </w:div>
        <w:div w:id="701324966">
          <w:marLeft w:val="0"/>
          <w:marRight w:val="0"/>
          <w:marTop w:val="0"/>
          <w:marBottom w:val="0"/>
          <w:divBdr>
            <w:top w:val="none" w:sz="0" w:space="0" w:color="auto"/>
            <w:left w:val="none" w:sz="0" w:space="0" w:color="auto"/>
            <w:bottom w:val="none" w:sz="0" w:space="0" w:color="auto"/>
            <w:right w:val="none" w:sz="0" w:space="0" w:color="auto"/>
          </w:divBdr>
        </w:div>
        <w:div w:id="416638468">
          <w:marLeft w:val="0"/>
          <w:marRight w:val="0"/>
          <w:marTop w:val="0"/>
          <w:marBottom w:val="0"/>
          <w:divBdr>
            <w:top w:val="none" w:sz="0" w:space="0" w:color="auto"/>
            <w:left w:val="none" w:sz="0" w:space="0" w:color="auto"/>
            <w:bottom w:val="none" w:sz="0" w:space="0" w:color="auto"/>
            <w:right w:val="none" w:sz="0" w:space="0" w:color="auto"/>
          </w:divBdr>
        </w:div>
        <w:div w:id="1327172630">
          <w:marLeft w:val="0"/>
          <w:marRight w:val="0"/>
          <w:marTop w:val="0"/>
          <w:marBottom w:val="0"/>
          <w:divBdr>
            <w:top w:val="none" w:sz="0" w:space="0" w:color="auto"/>
            <w:left w:val="none" w:sz="0" w:space="0" w:color="auto"/>
            <w:bottom w:val="none" w:sz="0" w:space="0" w:color="auto"/>
            <w:right w:val="none" w:sz="0" w:space="0" w:color="auto"/>
          </w:divBdr>
        </w:div>
        <w:div w:id="749739558">
          <w:marLeft w:val="0"/>
          <w:marRight w:val="0"/>
          <w:marTop w:val="0"/>
          <w:marBottom w:val="0"/>
          <w:divBdr>
            <w:top w:val="none" w:sz="0" w:space="0" w:color="auto"/>
            <w:left w:val="none" w:sz="0" w:space="0" w:color="auto"/>
            <w:bottom w:val="none" w:sz="0" w:space="0" w:color="auto"/>
            <w:right w:val="none" w:sz="0" w:space="0" w:color="auto"/>
          </w:divBdr>
        </w:div>
        <w:div w:id="593981361">
          <w:marLeft w:val="0"/>
          <w:marRight w:val="0"/>
          <w:marTop w:val="0"/>
          <w:marBottom w:val="0"/>
          <w:divBdr>
            <w:top w:val="none" w:sz="0" w:space="0" w:color="auto"/>
            <w:left w:val="none" w:sz="0" w:space="0" w:color="auto"/>
            <w:bottom w:val="none" w:sz="0" w:space="0" w:color="auto"/>
            <w:right w:val="none" w:sz="0" w:space="0" w:color="auto"/>
          </w:divBdr>
        </w:div>
        <w:div w:id="2077970008">
          <w:marLeft w:val="0"/>
          <w:marRight w:val="0"/>
          <w:marTop w:val="0"/>
          <w:marBottom w:val="0"/>
          <w:divBdr>
            <w:top w:val="none" w:sz="0" w:space="0" w:color="auto"/>
            <w:left w:val="none" w:sz="0" w:space="0" w:color="auto"/>
            <w:bottom w:val="none" w:sz="0" w:space="0" w:color="auto"/>
            <w:right w:val="none" w:sz="0" w:space="0" w:color="auto"/>
          </w:divBdr>
        </w:div>
        <w:div w:id="597908668">
          <w:marLeft w:val="0"/>
          <w:marRight w:val="0"/>
          <w:marTop w:val="0"/>
          <w:marBottom w:val="0"/>
          <w:divBdr>
            <w:top w:val="none" w:sz="0" w:space="0" w:color="auto"/>
            <w:left w:val="none" w:sz="0" w:space="0" w:color="auto"/>
            <w:bottom w:val="none" w:sz="0" w:space="0" w:color="auto"/>
            <w:right w:val="none" w:sz="0" w:space="0" w:color="auto"/>
          </w:divBdr>
        </w:div>
        <w:div w:id="777944172">
          <w:marLeft w:val="0"/>
          <w:marRight w:val="0"/>
          <w:marTop w:val="0"/>
          <w:marBottom w:val="0"/>
          <w:divBdr>
            <w:top w:val="none" w:sz="0" w:space="0" w:color="auto"/>
            <w:left w:val="none" w:sz="0" w:space="0" w:color="auto"/>
            <w:bottom w:val="none" w:sz="0" w:space="0" w:color="auto"/>
            <w:right w:val="none" w:sz="0" w:space="0" w:color="auto"/>
          </w:divBdr>
        </w:div>
        <w:div w:id="1481077478">
          <w:marLeft w:val="0"/>
          <w:marRight w:val="0"/>
          <w:marTop w:val="0"/>
          <w:marBottom w:val="0"/>
          <w:divBdr>
            <w:top w:val="none" w:sz="0" w:space="0" w:color="auto"/>
            <w:left w:val="none" w:sz="0" w:space="0" w:color="auto"/>
            <w:bottom w:val="none" w:sz="0" w:space="0" w:color="auto"/>
            <w:right w:val="none" w:sz="0" w:space="0" w:color="auto"/>
          </w:divBdr>
        </w:div>
        <w:div w:id="41910156">
          <w:marLeft w:val="0"/>
          <w:marRight w:val="0"/>
          <w:marTop w:val="0"/>
          <w:marBottom w:val="0"/>
          <w:divBdr>
            <w:top w:val="none" w:sz="0" w:space="0" w:color="auto"/>
            <w:left w:val="none" w:sz="0" w:space="0" w:color="auto"/>
            <w:bottom w:val="none" w:sz="0" w:space="0" w:color="auto"/>
            <w:right w:val="none" w:sz="0" w:space="0" w:color="auto"/>
          </w:divBdr>
        </w:div>
        <w:div w:id="1528592337">
          <w:marLeft w:val="0"/>
          <w:marRight w:val="0"/>
          <w:marTop w:val="0"/>
          <w:marBottom w:val="0"/>
          <w:divBdr>
            <w:top w:val="none" w:sz="0" w:space="0" w:color="auto"/>
            <w:left w:val="none" w:sz="0" w:space="0" w:color="auto"/>
            <w:bottom w:val="none" w:sz="0" w:space="0" w:color="auto"/>
            <w:right w:val="none" w:sz="0" w:space="0" w:color="auto"/>
          </w:divBdr>
        </w:div>
        <w:div w:id="990868140">
          <w:marLeft w:val="0"/>
          <w:marRight w:val="0"/>
          <w:marTop w:val="0"/>
          <w:marBottom w:val="0"/>
          <w:divBdr>
            <w:top w:val="none" w:sz="0" w:space="0" w:color="auto"/>
            <w:left w:val="none" w:sz="0" w:space="0" w:color="auto"/>
            <w:bottom w:val="none" w:sz="0" w:space="0" w:color="auto"/>
            <w:right w:val="none" w:sz="0" w:space="0" w:color="auto"/>
          </w:divBdr>
        </w:div>
        <w:div w:id="1684473078">
          <w:marLeft w:val="0"/>
          <w:marRight w:val="0"/>
          <w:marTop w:val="0"/>
          <w:marBottom w:val="0"/>
          <w:divBdr>
            <w:top w:val="none" w:sz="0" w:space="0" w:color="auto"/>
            <w:left w:val="none" w:sz="0" w:space="0" w:color="auto"/>
            <w:bottom w:val="none" w:sz="0" w:space="0" w:color="auto"/>
            <w:right w:val="none" w:sz="0" w:space="0" w:color="auto"/>
          </w:divBdr>
        </w:div>
        <w:div w:id="1381630336">
          <w:marLeft w:val="0"/>
          <w:marRight w:val="0"/>
          <w:marTop w:val="0"/>
          <w:marBottom w:val="0"/>
          <w:divBdr>
            <w:top w:val="none" w:sz="0" w:space="0" w:color="auto"/>
            <w:left w:val="none" w:sz="0" w:space="0" w:color="auto"/>
            <w:bottom w:val="none" w:sz="0" w:space="0" w:color="auto"/>
            <w:right w:val="none" w:sz="0" w:space="0" w:color="auto"/>
          </w:divBdr>
        </w:div>
        <w:div w:id="245192624">
          <w:marLeft w:val="0"/>
          <w:marRight w:val="0"/>
          <w:marTop w:val="0"/>
          <w:marBottom w:val="0"/>
          <w:divBdr>
            <w:top w:val="none" w:sz="0" w:space="0" w:color="auto"/>
            <w:left w:val="none" w:sz="0" w:space="0" w:color="auto"/>
            <w:bottom w:val="none" w:sz="0" w:space="0" w:color="auto"/>
            <w:right w:val="none" w:sz="0" w:space="0" w:color="auto"/>
          </w:divBdr>
        </w:div>
        <w:div w:id="668336173">
          <w:marLeft w:val="0"/>
          <w:marRight w:val="0"/>
          <w:marTop w:val="0"/>
          <w:marBottom w:val="0"/>
          <w:divBdr>
            <w:top w:val="none" w:sz="0" w:space="0" w:color="auto"/>
            <w:left w:val="none" w:sz="0" w:space="0" w:color="auto"/>
            <w:bottom w:val="none" w:sz="0" w:space="0" w:color="auto"/>
            <w:right w:val="none" w:sz="0" w:space="0" w:color="auto"/>
          </w:divBdr>
        </w:div>
        <w:div w:id="959797296">
          <w:marLeft w:val="0"/>
          <w:marRight w:val="0"/>
          <w:marTop w:val="0"/>
          <w:marBottom w:val="0"/>
          <w:divBdr>
            <w:top w:val="none" w:sz="0" w:space="0" w:color="auto"/>
            <w:left w:val="none" w:sz="0" w:space="0" w:color="auto"/>
            <w:bottom w:val="none" w:sz="0" w:space="0" w:color="auto"/>
            <w:right w:val="none" w:sz="0" w:space="0" w:color="auto"/>
          </w:divBdr>
        </w:div>
        <w:div w:id="1477650107">
          <w:marLeft w:val="0"/>
          <w:marRight w:val="0"/>
          <w:marTop w:val="0"/>
          <w:marBottom w:val="0"/>
          <w:divBdr>
            <w:top w:val="none" w:sz="0" w:space="0" w:color="auto"/>
            <w:left w:val="none" w:sz="0" w:space="0" w:color="auto"/>
            <w:bottom w:val="none" w:sz="0" w:space="0" w:color="auto"/>
            <w:right w:val="none" w:sz="0" w:space="0" w:color="auto"/>
          </w:divBdr>
        </w:div>
        <w:div w:id="1590314572">
          <w:marLeft w:val="0"/>
          <w:marRight w:val="0"/>
          <w:marTop w:val="0"/>
          <w:marBottom w:val="0"/>
          <w:divBdr>
            <w:top w:val="none" w:sz="0" w:space="0" w:color="auto"/>
            <w:left w:val="none" w:sz="0" w:space="0" w:color="auto"/>
            <w:bottom w:val="none" w:sz="0" w:space="0" w:color="auto"/>
            <w:right w:val="none" w:sz="0" w:space="0" w:color="auto"/>
          </w:divBdr>
        </w:div>
        <w:div w:id="1962103366">
          <w:marLeft w:val="0"/>
          <w:marRight w:val="0"/>
          <w:marTop w:val="0"/>
          <w:marBottom w:val="0"/>
          <w:divBdr>
            <w:top w:val="none" w:sz="0" w:space="0" w:color="auto"/>
            <w:left w:val="none" w:sz="0" w:space="0" w:color="auto"/>
            <w:bottom w:val="none" w:sz="0" w:space="0" w:color="auto"/>
            <w:right w:val="none" w:sz="0" w:space="0" w:color="auto"/>
          </w:divBdr>
        </w:div>
        <w:div w:id="1947275468">
          <w:marLeft w:val="0"/>
          <w:marRight w:val="0"/>
          <w:marTop w:val="0"/>
          <w:marBottom w:val="0"/>
          <w:divBdr>
            <w:top w:val="none" w:sz="0" w:space="0" w:color="auto"/>
            <w:left w:val="none" w:sz="0" w:space="0" w:color="auto"/>
            <w:bottom w:val="none" w:sz="0" w:space="0" w:color="auto"/>
            <w:right w:val="none" w:sz="0" w:space="0" w:color="auto"/>
          </w:divBdr>
        </w:div>
        <w:div w:id="2133204180">
          <w:marLeft w:val="0"/>
          <w:marRight w:val="0"/>
          <w:marTop w:val="0"/>
          <w:marBottom w:val="0"/>
          <w:divBdr>
            <w:top w:val="none" w:sz="0" w:space="0" w:color="auto"/>
            <w:left w:val="none" w:sz="0" w:space="0" w:color="auto"/>
            <w:bottom w:val="none" w:sz="0" w:space="0" w:color="auto"/>
            <w:right w:val="none" w:sz="0" w:space="0" w:color="auto"/>
          </w:divBdr>
        </w:div>
        <w:div w:id="2065367225">
          <w:marLeft w:val="0"/>
          <w:marRight w:val="0"/>
          <w:marTop w:val="0"/>
          <w:marBottom w:val="0"/>
          <w:divBdr>
            <w:top w:val="none" w:sz="0" w:space="0" w:color="auto"/>
            <w:left w:val="none" w:sz="0" w:space="0" w:color="auto"/>
            <w:bottom w:val="none" w:sz="0" w:space="0" w:color="auto"/>
            <w:right w:val="none" w:sz="0" w:space="0" w:color="auto"/>
          </w:divBdr>
        </w:div>
        <w:div w:id="1385327414">
          <w:marLeft w:val="0"/>
          <w:marRight w:val="0"/>
          <w:marTop w:val="0"/>
          <w:marBottom w:val="0"/>
          <w:divBdr>
            <w:top w:val="none" w:sz="0" w:space="0" w:color="auto"/>
            <w:left w:val="none" w:sz="0" w:space="0" w:color="auto"/>
            <w:bottom w:val="none" w:sz="0" w:space="0" w:color="auto"/>
            <w:right w:val="none" w:sz="0" w:space="0" w:color="auto"/>
          </w:divBdr>
        </w:div>
        <w:div w:id="343243684">
          <w:marLeft w:val="0"/>
          <w:marRight w:val="0"/>
          <w:marTop w:val="0"/>
          <w:marBottom w:val="0"/>
          <w:divBdr>
            <w:top w:val="none" w:sz="0" w:space="0" w:color="auto"/>
            <w:left w:val="none" w:sz="0" w:space="0" w:color="auto"/>
            <w:bottom w:val="none" w:sz="0" w:space="0" w:color="auto"/>
            <w:right w:val="none" w:sz="0" w:space="0" w:color="auto"/>
          </w:divBdr>
        </w:div>
        <w:div w:id="1875850623">
          <w:marLeft w:val="0"/>
          <w:marRight w:val="0"/>
          <w:marTop w:val="0"/>
          <w:marBottom w:val="0"/>
          <w:divBdr>
            <w:top w:val="none" w:sz="0" w:space="0" w:color="auto"/>
            <w:left w:val="none" w:sz="0" w:space="0" w:color="auto"/>
            <w:bottom w:val="none" w:sz="0" w:space="0" w:color="auto"/>
            <w:right w:val="none" w:sz="0" w:space="0" w:color="auto"/>
          </w:divBdr>
        </w:div>
        <w:div w:id="1343507310">
          <w:marLeft w:val="0"/>
          <w:marRight w:val="0"/>
          <w:marTop w:val="0"/>
          <w:marBottom w:val="0"/>
          <w:divBdr>
            <w:top w:val="none" w:sz="0" w:space="0" w:color="auto"/>
            <w:left w:val="none" w:sz="0" w:space="0" w:color="auto"/>
            <w:bottom w:val="none" w:sz="0" w:space="0" w:color="auto"/>
            <w:right w:val="none" w:sz="0" w:space="0" w:color="auto"/>
          </w:divBdr>
        </w:div>
        <w:div w:id="1794977418">
          <w:marLeft w:val="0"/>
          <w:marRight w:val="0"/>
          <w:marTop w:val="0"/>
          <w:marBottom w:val="0"/>
          <w:divBdr>
            <w:top w:val="none" w:sz="0" w:space="0" w:color="auto"/>
            <w:left w:val="none" w:sz="0" w:space="0" w:color="auto"/>
            <w:bottom w:val="none" w:sz="0" w:space="0" w:color="auto"/>
            <w:right w:val="none" w:sz="0" w:space="0" w:color="auto"/>
          </w:divBdr>
        </w:div>
        <w:div w:id="2125610167">
          <w:marLeft w:val="0"/>
          <w:marRight w:val="0"/>
          <w:marTop w:val="0"/>
          <w:marBottom w:val="0"/>
          <w:divBdr>
            <w:top w:val="none" w:sz="0" w:space="0" w:color="auto"/>
            <w:left w:val="none" w:sz="0" w:space="0" w:color="auto"/>
            <w:bottom w:val="none" w:sz="0" w:space="0" w:color="auto"/>
            <w:right w:val="none" w:sz="0" w:space="0" w:color="auto"/>
          </w:divBdr>
        </w:div>
        <w:div w:id="1239052682">
          <w:marLeft w:val="0"/>
          <w:marRight w:val="0"/>
          <w:marTop w:val="0"/>
          <w:marBottom w:val="0"/>
          <w:divBdr>
            <w:top w:val="none" w:sz="0" w:space="0" w:color="auto"/>
            <w:left w:val="none" w:sz="0" w:space="0" w:color="auto"/>
            <w:bottom w:val="none" w:sz="0" w:space="0" w:color="auto"/>
            <w:right w:val="none" w:sz="0" w:space="0" w:color="auto"/>
          </w:divBdr>
        </w:div>
        <w:div w:id="1385643570">
          <w:marLeft w:val="0"/>
          <w:marRight w:val="0"/>
          <w:marTop w:val="0"/>
          <w:marBottom w:val="0"/>
          <w:divBdr>
            <w:top w:val="none" w:sz="0" w:space="0" w:color="auto"/>
            <w:left w:val="none" w:sz="0" w:space="0" w:color="auto"/>
            <w:bottom w:val="none" w:sz="0" w:space="0" w:color="auto"/>
            <w:right w:val="none" w:sz="0" w:space="0" w:color="auto"/>
          </w:divBdr>
        </w:div>
        <w:div w:id="360475714">
          <w:marLeft w:val="0"/>
          <w:marRight w:val="0"/>
          <w:marTop w:val="0"/>
          <w:marBottom w:val="0"/>
          <w:divBdr>
            <w:top w:val="none" w:sz="0" w:space="0" w:color="auto"/>
            <w:left w:val="none" w:sz="0" w:space="0" w:color="auto"/>
            <w:bottom w:val="none" w:sz="0" w:space="0" w:color="auto"/>
            <w:right w:val="none" w:sz="0" w:space="0" w:color="auto"/>
          </w:divBdr>
        </w:div>
        <w:div w:id="1453749207">
          <w:marLeft w:val="0"/>
          <w:marRight w:val="0"/>
          <w:marTop w:val="0"/>
          <w:marBottom w:val="0"/>
          <w:divBdr>
            <w:top w:val="none" w:sz="0" w:space="0" w:color="auto"/>
            <w:left w:val="none" w:sz="0" w:space="0" w:color="auto"/>
            <w:bottom w:val="none" w:sz="0" w:space="0" w:color="auto"/>
            <w:right w:val="none" w:sz="0" w:space="0" w:color="auto"/>
          </w:divBdr>
        </w:div>
        <w:div w:id="499539287">
          <w:marLeft w:val="0"/>
          <w:marRight w:val="0"/>
          <w:marTop w:val="0"/>
          <w:marBottom w:val="0"/>
          <w:divBdr>
            <w:top w:val="none" w:sz="0" w:space="0" w:color="auto"/>
            <w:left w:val="none" w:sz="0" w:space="0" w:color="auto"/>
            <w:bottom w:val="none" w:sz="0" w:space="0" w:color="auto"/>
            <w:right w:val="none" w:sz="0" w:space="0" w:color="auto"/>
          </w:divBdr>
        </w:div>
        <w:div w:id="1753308159">
          <w:marLeft w:val="0"/>
          <w:marRight w:val="0"/>
          <w:marTop w:val="0"/>
          <w:marBottom w:val="0"/>
          <w:divBdr>
            <w:top w:val="none" w:sz="0" w:space="0" w:color="auto"/>
            <w:left w:val="none" w:sz="0" w:space="0" w:color="auto"/>
            <w:bottom w:val="none" w:sz="0" w:space="0" w:color="auto"/>
            <w:right w:val="none" w:sz="0" w:space="0" w:color="auto"/>
          </w:divBdr>
        </w:div>
        <w:div w:id="1752309411">
          <w:marLeft w:val="0"/>
          <w:marRight w:val="0"/>
          <w:marTop w:val="0"/>
          <w:marBottom w:val="0"/>
          <w:divBdr>
            <w:top w:val="none" w:sz="0" w:space="0" w:color="auto"/>
            <w:left w:val="none" w:sz="0" w:space="0" w:color="auto"/>
            <w:bottom w:val="none" w:sz="0" w:space="0" w:color="auto"/>
            <w:right w:val="none" w:sz="0" w:space="0" w:color="auto"/>
          </w:divBdr>
        </w:div>
        <w:div w:id="1491949136">
          <w:marLeft w:val="0"/>
          <w:marRight w:val="0"/>
          <w:marTop w:val="0"/>
          <w:marBottom w:val="0"/>
          <w:divBdr>
            <w:top w:val="none" w:sz="0" w:space="0" w:color="auto"/>
            <w:left w:val="none" w:sz="0" w:space="0" w:color="auto"/>
            <w:bottom w:val="none" w:sz="0" w:space="0" w:color="auto"/>
            <w:right w:val="none" w:sz="0" w:space="0" w:color="auto"/>
          </w:divBdr>
        </w:div>
        <w:div w:id="1450128658">
          <w:marLeft w:val="0"/>
          <w:marRight w:val="0"/>
          <w:marTop w:val="0"/>
          <w:marBottom w:val="0"/>
          <w:divBdr>
            <w:top w:val="none" w:sz="0" w:space="0" w:color="auto"/>
            <w:left w:val="none" w:sz="0" w:space="0" w:color="auto"/>
            <w:bottom w:val="none" w:sz="0" w:space="0" w:color="auto"/>
            <w:right w:val="none" w:sz="0" w:space="0" w:color="auto"/>
          </w:divBdr>
        </w:div>
        <w:div w:id="476729716">
          <w:marLeft w:val="0"/>
          <w:marRight w:val="0"/>
          <w:marTop w:val="0"/>
          <w:marBottom w:val="0"/>
          <w:divBdr>
            <w:top w:val="none" w:sz="0" w:space="0" w:color="auto"/>
            <w:left w:val="none" w:sz="0" w:space="0" w:color="auto"/>
            <w:bottom w:val="none" w:sz="0" w:space="0" w:color="auto"/>
            <w:right w:val="none" w:sz="0" w:space="0" w:color="auto"/>
          </w:divBdr>
        </w:div>
        <w:div w:id="1875193341">
          <w:marLeft w:val="0"/>
          <w:marRight w:val="0"/>
          <w:marTop w:val="0"/>
          <w:marBottom w:val="0"/>
          <w:divBdr>
            <w:top w:val="none" w:sz="0" w:space="0" w:color="auto"/>
            <w:left w:val="none" w:sz="0" w:space="0" w:color="auto"/>
            <w:bottom w:val="none" w:sz="0" w:space="0" w:color="auto"/>
            <w:right w:val="none" w:sz="0" w:space="0" w:color="auto"/>
          </w:divBdr>
        </w:div>
        <w:div w:id="1344938956">
          <w:marLeft w:val="0"/>
          <w:marRight w:val="0"/>
          <w:marTop w:val="0"/>
          <w:marBottom w:val="0"/>
          <w:divBdr>
            <w:top w:val="none" w:sz="0" w:space="0" w:color="auto"/>
            <w:left w:val="none" w:sz="0" w:space="0" w:color="auto"/>
            <w:bottom w:val="none" w:sz="0" w:space="0" w:color="auto"/>
            <w:right w:val="none" w:sz="0" w:space="0" w:color="auto"/>
          </w:divBdr>
        </w:div>
        <w:div w:id="1539931837">
          <w:marLeft w:val="0"/>
          <w:marRight w:val="0"/>
          <w:marTop w:val="0"/>
          <w:marBottom w:val="0"/>
          <w:divBdr>
            <w:top w:val="none" w:sz="0" w:space="0" w:color="auto"/>
            <w:left w:val="none" w:sz="0" w:space="0" w:color="auto"/>
            <w:bottom w:val="none" w:sz="0" w:space="0" w:color="auto"/>
            <w:right w:val="none" w:sz="0" w:space="0" w:color="auto"/>
          </w:divBdr>
        </w:div>
        <w:div w:id="1177884004">
          <w:marLeft w:val="0"/>
          <w:marRight w:val="0"/>
          <w:marTop w:val="0"/>
          <w:marBottom w:val="0"/>
          <w:divBdr>
            <w:top w:val="none" w:sz="0" w:space="0" w:color="auto"/>
            <w:left w:val="none" w:sz="0" w:space="0" w:color="auto"/>
            <w:bottom w:val="none" w:sz="0" w:space="0" w:color="auto"/>
            <w:right w:val="none" w:sz="0" w:space="0" w:color="auto"/>
          </w:divBdr>
        </w:div>
        <w:div w:id="499736611">
          <w:marLeft w:val="0"/>
          <w:marRight w:val="0"/>
          <w:marTop w:val="0"/>
          <w:marBottom w:val="0"/>
          <w:divBdr>
            <w:top w:val="none" w:sz="0" w:space="0" w:color="auto"/>
            <w:left w:val="none" w:sz="0" w:space="0" w:color="auto"/>
            <w:bottom w:val="none" w:sz="0" w:space="0" w:color="auto"/>
            <w:right w:val="none" w:sz="0" w:space="0" w:color="auto"/>
          </w:divBdr>
        </w:div>
        <w:div w:id="1294871773">
          <w:marLeft w:val="0"/>
          <w:marRight w:val="0"/>
          <w:marTop w:val="0"/>
          <w:marBottom w:val="0"/>
          <w:divBdr>
            <w:top w:val="none" w:sz="0" w:space="0" w:color="auto"/>
            <w:left w:val="none" w:sz="0" w:space="0" w:color="auto"/>
            <w:bottom w:val="none" w:sz="0" w:space="0" w:color="auto"/>
            <w:right w:val="none" w:sz="0" w:space="0" w:color="auto"/>
          </w:divBdr>
        </w:div>
        <w:div w:id="538977056">
          <w:marLeft w:val="0"/>
          <w:marRight w:val="0"/>
          <w:marTop w:val="0"/>
          <w:marBottom w:val="0"/>
          <w:divBdr>
            <w:top w:val="none" w:sz="0" w:space="0" w:color="auto"/>
            <w:left w:val="none" w:sz="0" w:space="0" w:color="auto"/>
            <w:bottom w:val="none" w:sz="0" w:space="0" w:color="auto"/>
            <w:right w:val="none" w:sz="0" w:space="0" w:color="auto"/>
          </w:divBdr>
        </w:div>
        <w:div w:id="248471742">
          <w:marLeft w:val="0"/>
          <w:marRight w:val="0"/>
          <w:marTop w:val="0"/>
          <w:marBottom w:val="0"/>
          <w:divBdr>
            <w:top w:val="none" w:sz="0" w:space="0" w:color="auto"/>
            <w:left w:val="none" w:sz="0" w:space="0" w:color="auto"/>
            <w:bottom w:val="none" w:sz="0" w:space="0" w:color="auto"/>
            <w:right w:val="none" w:sz="0" w:space="0" w:color="auto"/>
          </w:divBdr>
        </w:div>
        <w:div w:id="259534881">
          <w:marLeft w:val="0"/>
          <w:marRight w:val="0"/>
          <w:marTop w:val="0"/>
          <w:marBottom w:val="0"/>
          <w:divBdr>
            <w:top w:val="none" w:sz="0" w:space="0" w:color="auto"/>
            <w:left w:val="none" w:sz="0" w:space="0" w:color="auto"/>
            <w:bottom w:val="none" w:sz="0" w:space="0" w:color="auto"/>
            <w:right w:val="none" w:sz="0" w:space="0" w:color="auto"/>
          </w:divBdr>
        </w:div>
        <w:div w:id="15471350">
          <w:marLeft w:val="0"/>
          <w:marRight w:val="0"/>
          <w:marTop w:val="0"/>
          <w:marBottom w:val="0"/>
          <w:divBdr>
            <w:top w:val="none" w:sz="0" w:space="0" w:color="auto"/>
            <w:left w:val="none" w:sz="0" w:space="0" w:color="auto"/>
            <w:bottom w:val="none" w:sz="0" w:space="0" w:color="auto"/>
            <w:right w:val="none" w:sz="0" w:space="0" w:color="auto"/>
          </w:divBdr>
        </w:div>
        <w:div w:id="1654412541">
          <w:marLeft w:val="0"/>
          <w:marRight w:val="0"/>
          <w:marTop w:val="0"/>
          <w:marBottom w:val="0"/>
          <w:divBdr>
            <w:top w:val="none" w:sz="0" w:space="0" w:color="auto"/>
            <w:left w:val="none" w:sz="0" w:space="0" w:color="auto"/>
            <w:bottom w:val="none" w:sz="0" w:space="0" w:color="auto"/>
            <w:right w:val="none" w:sz="0" w:space="0" w:color="auto"/>
          </w:divBdr>
        </w:div>
        <w:div w:id="2115203426">
          <w:marLeft w:val="0"/>
          <w:marRight w:val="0"/>
          <w:marTop w:val="0"/>
          <w:marBottom w:val="0"/>
          <w:divBdr>
            <w:top w:val="none" w:sz="0" w:space="0" w:color="auto"/>
            <w:left w:val="none" w:sz="0" w:space="0" w:color="auto"/>
            <w:bottom w:val="none" w:sz="0" w:space="0" w:color="auto"/>
            <w:right w:val="none" w:sz="0" w:space="0" w:color="auto"/>
          </w:divBdr>
        </w:div>
        <w:div w:id="2012952501">
          <w:marLeft w:val="0"/>
          <w:marRight w:val="0"/>
          <w:marTop w:val="0"/>
          <w:marBottom w:val="0"/>
          <w:divBdr>
            <w:top w:val="none" w:sz="0" w:space="0" w:color="auto"/>
            <w:left w:val="none" w:sz="0" w:space="0" w:color="auto"/>
            <w:bottom w:val="none" w:sz="0" w:space="0" w:color="auto"/>
            <w:right w:val="none" w:sz="0" w:space="0" w:color="auto"/>
          </w:divBdr>
        </w:div>
        <w:div w:id="1028333607">
          <w:marLeft w:val="0"/>
          <w:marRight w:val="0"/>
          <w:marTop w:val="0"/>
          <w:marBottom w:val="0"/>
          <w:divBdr>
            <w:top w:val="none" w:sz="0" w:space="0" w:color="auto"/>
            <w:left w:val="none" w:sz="0" w:space="0" w:color="auto"/>
            <w:bottom w:val="none" w:sz="0" w:space="0" w:color="auto"/>
            <w:right w:val="none" w:sz="0" w:space="0" w:color="auto"/>
          </w:divBdr>
        </w:div>
        <w:div w:id="2142724924">
          <w:marLeft w:val="0"/>
          <w:marRight w:val="0"/>
          <w:marTop w:val="0"/>
          <w:marBottom w:val="0"/>
          <w:divBdr>
            <w:top w:val="none" w:sz="0" w:space="0" w:color="auto"/>
            <w:left w:val="none" w:sz="0" w:space="0" w:color="auto"/>
            <w:bottom w:val="none" w:sz="0" w:space="0" w:color="auto"/>
            <w:right w:val="none" w:sz="0" w:space="0" w:color="auto"/>
          </w:divBdr>
        </w:div>
        <w:div w:id="720372500">
          <w:marLeft w:val="0"/>
          <w:marRight w:val="0"/>
          <w:marTop w:val="0"/>
          <w:marBottom w:val="0"/>
          <w:divBdr>
            <w:top w:val="none" w:sz="0" w:space="0" w:color="auto"/>
            <w:left w:val="none" w:sz="0" w:space="0" w:color="auto"/>
            <w:bottom w:val="none" w:sz="0" w:space="0" w:color="auto"/>
            <w:right w:val="none" w:sz="0" w:space="0" w:color="auto"/>
          </w:divBdr>
        </w:div>
        <w:div w:id="330568902">
          <w:marLeft w:val="0"/>
          <w:marRight w:val="0"/>
          <w:marTop w:val="0"/>
          <w:marBottom w:val="0"/>
          <w:divBdr>
            <w:top w:val="none" w:sz="0" w:space="0" w:color="auto"/>
            <w:left w:val="none" w:sz="0" w:space="0" w:color="auto"/>
            <w:bottom w:val="none" w:sz="0" w:space="0" w:color="auto"/>
            <w:right w:val="none" w:sz="0" w:space="0" w:color="auto"/>
          </w:divBdr>
        </w:div>
        <w:div w:id="2005815876">
          <w:marLeft w:val="0"/>
          <w:marRight w:val="0"/>
          <w:marTop w:val="0"/>
          <w:marBottom w:val="0"/>
          <w:divBdr>
            <w:top w:val="none" w:sz="0" w:space="0" w:color="auto"/>
            <w:left w:val="none" w:sz="0" w:space="0" w:color="auto"/>
            <w:bottom w:val="none" w:sz="0" w:space="0" w:color="auto"/>
            <w:right w:val="none" w:sz="0" w:space="0" w:color="auto"/>
          </w:divBdr>
        </w:div>
        <w:div w:id="522476127">
          <w:marLeft w:val="0"/>
          <w:marRight w:val="0"/>
          <w:marTop w:val="0"/>
          <w:marBottom w:val="0"/>
          <w:divBdr>
            <w:top w:val="none" w:sz="0" w:space="0" w:color="auto"/>
            <w:left w:val="none" w:sz="0" w:space="0" w:color="auto"/>
            <w:bottom w:val="none" w:sz="0" w:space="0" w:color="auto"/>
            <w:right w:val="none" w:sz="0" w:space="0" w:color="auto"/>
          </w:divBdr>
        </w:div>
        <w:div w:id="321585763">
          <w:marLeft w:val="0"/>
          <w:marRight w:val="0"/>
          <w:marTop w:val="0"/>
          <w:marBottom w:val="0"/>
          <w:divBdr>
            <w:top w:val="none" w:sz="0" w:space="0" w:color="auto"/>
            <w:left w:val="none" w:sz="0" w:space="0" w:color="auto"/>
            <w:bottom w:val="none" w:sz="0" w:space="0" w:color="auto"/>
            <w:right w:val="none" w:sz="0" w:space="0" w:color="auto"/>
          </w:divBdr>
        </w:div>
        <w:div w:id="546841630">
          <w:marLeft w:val="0"/>
          <w:marRight w:val="0"/>
          <w:marTop w:val="0"/>
          <w:marBottom w:val="0"/>
          <w:divBdr>
            <w:top w:val="none" w:sz="0" w:space="0" w:color="auto"/>
            <w:left w:val="none" w:sz="0" w:space="0" w:color="auto"/>
            <w:bottom w:val="none" w:sz="0" w:space="0" w:color="auto"/>
            <w:right w:val="none" w:sz="0" w:space="0" w:color="auto"/>
          </w:divBdr>
        </w:div>
        <w:div w:id="639307518">
          <w:marLeft w:val="0"/>
          <w:marRight w:val="0"/>
          <w:marTop w:val="0"/>
          <w:marBottom w:val="0"/>
          <w:divBdr>
            <w:top w:val="none" w:sz="0" w:space="0" w:color="auto"/>
            <w:left w:val="none" w:sz="0" w:space="0" w:color="auto"/>
            <w:bottom w:val="none" w:sz="0" w:space="0" w:color="auto"/>
            <w:right w:val="none" w:sz="0" w:space="0" w:color="auto"/>
          </w:divBdr>
        </w:div>
        <w:div w:id="684524567">
          <w:marLeft w:val="0"/>
          <w:marRight w:val="0"/>
          <w:marTop w:val="0"/>
          <w:marBottom w:val="0"/>
          <w:divBdr>
            <w:top w:val="none" w:sz="0" w:space="0" w:color="auto"/>
            <w:left w:val="none" w:sz="0" w:space="0" w:color="auto"/>
            <w:bottom w:val="none" w:sz="0" w:space="0" w:color="auto"/>
            <w:right w:val="none" w:sz="0" w:space="0" w:color="auto"/>
          </w:divBdr>
        </w:div>
        <w:div w:id="1824422283">
          <w:marLeft w:val="0"/>
          <w:marRight w:val="0"/>
          <w:marTop w:val="0"/>
          <w:marBottom w:val="0"/>
          <w:divBdr>
            <w:top w:val="none" w:sz="0" w:space="0" w:color="auto"/>
            <w:left w:val="none" w:sz="0" w:space="0" w:color="auto"/>
            <w:bottom w:val="none" w:sz="0" w:space="0" w:color="auto"/>
            <w:right w:val="none" w:sz="0" w:space="0" w:color="auto"/>
          </w:divBdr>
        </w:div>
        <w:div w:id="110442166">
          <w:marLeft w:val="0"/>
          <w:marRight w:val="0"/>
          <w:marTop w:val="0"/>
          <w:marBottom w:val="0"/>
          <w:divBdr>
            <w:top w:val="none" w:sz="0" w:space="0" w:color="auto"/>
            <w:left w:val="none" w:sz="0" w:space="0" w:color="auto"/>
            <w:bottom w:val="none" w:sz="0" w:space="0" w:color="auto"/>
            <w:right w:val="none" w:sz="0" w:space="0" w:color="auto"/>
          </w:divBdr>
        </w:div>
        <w:div w:id="61559880">
          <w:marLeft w:val="0"/>
          <w:marRight w:val="0"/>
          <w:marTop w:val="0"/>
          <w:marBottom w:val="0"/>
          <w:divBdr>
            <w:top w:val="none" w:sz="0" w:space="0" w:color="auto"/>
            <w:left w:val="none" w:sz="0" w:space="0" w:color="auto"/>
            <w:bottom w:val="none" w:sz="0" w:space="0" w:color="auto"/>
            <w:right w:val="none" w:sz="0" w:space="0" w:color="auto"/>
          </w:divBdr>
        </w:div>
        <w:div w:id="2116628837">
          <w:marLeft w:val="0"/>
          <w:marRight w:val="0"/>
          <w:marTop w:val="0"/>
          <w:marBottom w:val="0"/>
          <w:divBdr>
            <w:top w:val="none" w:sz="0" w:space="0" w:color="auto"/>
            <w:left w:val="none" w:sz="0" w:space="0" w:color="auto"/>
            <w:bottom w:val="none" w:sz="0" w:space="0" w:color="auto"/>
            <w:right w:val="none" w:sz="0" w:space="0" w:color="auto"/>
          </w:divBdr>
        </w:div>
        <w:div w:id="2034303878">
          <w:marLeft w:val="0"/>
          <w:marRight w:val="0"/>
          <w:marTop w:val="0"/>
          <w:marBottom w:val="0"/>
          <w:divBdr>
            <w:top w:val="none" w:sz="0" w:space="0" w:color="auto"/>
            <w:left w:val="none" w:sz="0" w:space="0" w:color="auto"/>
            <w:bottom w:val="none" w:sz="0" w:space="0" w:color="auto"/>
            <w:right w:val="none" w:sz="0" w:space="0" w:color="auto"/>
          </w:divBdr>
        </w:div>
        <w:div w:id="685139717">
          <w:marLeft w:val="0"/>
          <w:marRight w:val="0"/>
          <w:marTop w:val="0"/>
          <w:marBottom w:val="0"/>
          <w:divBdr>
            <w:top w:val="none" w:sz="0" w:space="0" w:color="auto"/>
            <w:left w:val="none" w:sz="0" w:space="0" w:color="auto"/>
            <w:bottom w:val="none" w:sz="0" w:space="0" w:color="auto"/>
            <w:right w:val="none" w:sz="0" w:space="0" w:color="auto"/>
          </w:divBdr>
        </w:div>
        <w:div w:id="1104766454">
          <w:marLeft w:val="0"/>
          <w:marRight w:val="0"/>
          <w:marTop w:val="0"/>
          <w:marBottom w:val="0"/>
          <w:divBdr>
            <w:top w:val="none" w:sz="0" w:space="0" w:color="auto"/>
            <w:left w:val="none" w:sz="0" w:space="0" w:color="auto"/>
            <w:bottom w:val="none" w:sz="0" w:space="0" w:color="auto"/>
            <w:right w:val="none" w:sz="0" w:space="0" w:color="auto"/>
          </w:divBdr>
        </w:div>
        <w:div w:id="735976910">
          <w:marLeft w:val="0"/>
          <w:marRight w:val="0"/>
          <w:marTop w:val="0"/>
          <w:marBottom w:val="0"/>
          <w:divBdr>
            <w:top w:val="none" w:sz="0" w:space="0" w:color="auto"/>
            <w:left w:val="none" w:sz="0" w:space="0" w:color="auto"/>
            <w:bottom w:val="none" w:sz="0" w:space="0" w:color="auto"/>
            <w:right w:val="none" w:sz="0" w:space="0" w:color="auto"/>
          </w:divBdr>
        </w:div>
        <w:div w:id="57704204">
          <w:marLeft w:val="0"/>
          <w:marRight w:val="0"/>
          <w:marTop w:val="0"/>
          <w:marBottom w:val="0"/>
          <w:divBdr>
            <w:top w:val="none" w:sz="0" w:space="0" w:color="auto"/>
            <w:left w:val="none" w:sz="0" w:space="0" w:color="auto"/>
            <w:bottom w:val="none" w:sz="0" w:space="0" w:color="auto"/>
            <w:right w:val="none" w:sz="0" w:space="0" w:color="auto"/>
          </w:divBdr>
        </w:div>
        <w:div w:id="691805598">
          <w:marLeft w:val="0"/>
          <w:marRight w:val="0"/>
          <w:marTop w:val="0"/>
          <w:marBottom w:val="0"/>
          <w:divBdr>
            <w:top w:val="none" w:sz="0" w:space="0" w:color="auto"/>
            <w:left w:val="none" w:sz="0" w:space="0" w:color="auto"/>
            <w:bottom w:val="none" w:sz="0" w:space="0" w:color="auto"/>
            <w:right w:val="none" w:sz="0" w:space="0" w:color="auto"/>
          </w:divBdr>
        </w:div>
        <w:div w:id="1272979192">
          <w:marLeft w:val="0"/>
          <w:marRight w:val="0"/>
          <w:marTop w:val="0"/>
          <w:marBottom w:val="0"/>
          <w:divBdr>
            <w:top w:val="none" w:sz="0" w:space="0" w:color="auto"/>
            <w:left w:val="none" w:sz="0" w:space="0" w:color="auto"/>
            <w:bottom w:val="none" w:sz="0" w:space="0" w:color="auto"/>
            <w:right w:val="none" w:sz="0" w:space="0" w:color="auto"/>
          </w:divBdr>
        </w:div>
        <w:div w:id="668604343">
          <w:marLeft w:val="0"/>
          <w:marRight w:val="0"/>
          <w:marTop w:val="0"/>
          <w:marBottom w:val="0"/>
          <w:divBdr>
            <w:top w:val="none" w:sz="0" w:space="0" w:color="auto"/>
            <w:left w:val="none" w:sz="0" w:space="0" w:color="auto"/>
            <w:bottom w:val="none" w:sz="0" w:space="0" w:color="auto"/>
            <w:right w:val="none" w:sz="0" w:space="0" w:color="auto"/>
          </w:divBdr>
        </w:div>
        <w:div w:id="1184050674">
          <w:marLeft w:val="0"/>
          <w:marRight w:val="0"/>
          <w:marTop w:val="0"/>
          <w:marBottom w:val="0"/>
          <w:divBdr>
            <w:top w:val="none" w:sz="0" w:space="0" w:color="auto"/>
            <w:left w:val="none" w:sz="0" w:space="0" w:color="auto"/>
            <w:bottom w:val="none" w:sz="0" w:space="0" w:color="auto"/>
            <w:right w:val="none" w:sz="0" w:space="0" w:color="auto"/>
          </w:divBdr>
        </w:div>
        <w:div w:id="526719932">
          <w:marLeft w:val="0"/>
          <w:marRight w:val="0"/>
          <w:marTop w:val="0"/>
          <w:marBottom w:val="0"/>
          <w:divBdr>
            <w:top w:val="none" w:sz="0" w:space="0" w:color="auto"/>
            <w:left w:val="none" w:sz="0" w:space="0" w:color="auto"/>
            <w:bottom w:val="none" w:sz="0" w:space="0" w:color="auto"/>
            <w:right w:val="none" w:sz="0" w:space="0" w:color="auto"/>
          </w:divBdr>
        </w:div>
        <w:div w:id="235938969">
          <w:marLeft w:val="0"/>
          <w:marRight w:val="0"/>
          <w:marTop w:val="0"/>
          <w:marBottom w:val="0"/>
          <w:divBdr>
            <w:top w:val="none" w:sz="0" w:space="0" w:color="auto"/>
            <w:left w:val="none" w:sz="0" w:space="0" w:color="auto"/>
            <w:bottom w:val="none" w:sz="0" w:space="0" w:color="auto"/>
            <w:right w:val="none" w:sz="0" w:space="0" w:color="auto"/>
          </w:divBdr>
        </w:div>
        <w:div w:id="130293808">
          <w:marLeft w:val="0"/>
          <w:marRight w:val="0"/>
          <w:marTop w:val="0"/>
          <w:marBottom w:val="0"/>
          <w:divBdr>
            <w:top w:val="none" w:sz="0" w:space="0" w:color="auto"/>
            <w:left w:val="none" w:sz="0" w:space="0" w:color="auto"/>
            <w:bottom w:val="none" w:sz="0" w:space="0" w:color="auto"/>
            <w:right w:val="none" w:sz="0" w:space="0" w:color="auto"/>
          </w:divBdr>
        </w:div>
        <w:div w:id="1847787948">
          <w:marLeft w:val="0"/>
          <w:marRight w:val="0"/>
          <w:marTop w:val="0"/>
          <w:marBottom w:val="0"/>
          <w:divBdr>
            <w:top w:val="none" w:sz="0" w:space="0" w:color="auto"/>
            <w:left w:val="none" w:sz="0" w:space="0" w:color="auto"/>
            <w:bottom w:val="none" w:sz="0" w:space="0" w:color="auto"/>
            <w:right w:val="none" w:sz="0" w:space="0" w:color="auto"/>
          </w:divBdr>
        </w:div>
        <w:div w:id="484442404">
          <w:marLeft w:val="0"/>
          <w:marRight w:val="0"/>
          <w:marTop w:val="0"/>
          <w:marBottom w:val="0"/>
          <w:divBdr>
            <w:top w:val="none" w:sz="0" w:space="0" w:color="auto"/>
            <w:left w:val="none" w:sz="0" w:space="0" w:color="auto"/>
            <w:bottom w:val="none" w:sz="0" w:space="0" w:color="auto"/>
            <w:right w:val="none" w:sz="0" w:space="0" w:color="auto"/>
          </w:divBdr>
        </w:div>
        <w:div w:id="1197351642">
          <w:marLeft w:val="0"/>
          <w:marRight w:val="0"/>
          <w:marTop w:val="0"/>
          <w:marBottom w:val="0"/>
          <w:divBdr>
            <w:top w:val="none" w:sz="0" w:space="0" w:color="auto"/>
            <w:left w:val="none" w:sz="0" w:space="0" w:color="auto"/>
            <w:bottom w:val="none" w:sz="0" w:space="0" w:color="auto"/>
            <w:right w:val="none" w:sz="0" w:space="0" w:color="auto"/>
          </w:divBdr>
        </w:div>
        <w:div w:id="231283197">
          <w:marLeft w:val="0"/>
          <w:marRight w:val="0"/>
          <w:marTop w:val="0"/>
          <w:marBottom w:val="0"/>
          <w:divBdr>
            <w:top w:val="none" w:sz="0" w:space="0" w:color="auto"/>
            <w:left w:val="none" w:sz="0" w:space="0" w:color="auto"/>
            <w:bottom w:val="none" w:sz="0" w:space="0" w:color="auto"/>
            <w:right w:val="none" w:sz="0" w:space="0" w:color="auto"/>
          </w:divBdr>
        </w:div>
        <w:div w:id="220482377">
          <w:marLeft w:val="0"/>
          <w:marRight w:val="0"/>
          <w:marTop w:val="0"/>
          <w:marBottom w:val="0"/>
          <w:divBdr>
            <w:top w:val="none" w:sz="0" w:space="0" w:color="auto"/>
            <w:left w:val="none" w:sz="0" w:space="0" w:color="auto"/>
            <w:bottom w:val="none" w:sz="0" w:space="0" w:color="auto"/>
            <w:right w:val="none" w:sz="0" w:space="0" w:color="auto"/>
          </w:divBdr>
        </w:div>
        <w:div w:id="1259175489">
          <w:marLeft w:val="0"/>
          <w:marRight w:val="0"/>
          <w:marTop w:val="0"/>
          <w:marBottom w:val="0"/>
          <w:divBdr>
            <w:top w:val="none" w:sz="0" w:space="0" w:color="auto"/>
            <w:left w:val="none" w:sz="0" w:space="0" w:color="auto"/>
            <w:bottom w:val="none" w:sz="0" w:space="0" w:color="auto"/>
            <w:right w:val="none" w:sz="0" w:space="0" w:color="auto"/>
          </w:divBdr>
        </w:div>
        <w:div w:id="732775042">
          <w:marLeft w:val="0"/>
          <w:marRight w:val="0"/>
          <w:marTop w:val="0"/>
          <w:marBottom w:val="0"/>
          <w:divBdr>
            <w:top w:val="none" w:sz="0" w:space="0" w:color="auto"/>
            <w:left w:val="none" w:sz="0" w:space="0" w:color="auto"/>
            <w:bottom w:val="none" w:sz="0" w:space="0" w:color="auto"/>
            <w:right w:val="none" w:sz="0" w:space="0" w:color="auto"/>
          </w:divBdr>
        </w:div>
        <w:div w:id="324939957">
          <w:marLeft w:val="0"/>
          <w:marRight w:val="0"/>
          <w:marTop w:val="0"/>
          <w:marBottom w:val="0"/>
          <w:divBdr>
            <w:top w:val="none" w:sz="0" w:space="0" w:color="auto"/>
            <w:left w:val="none" w:sz="0" w:space="0" w:color="auto"/>
            <w:bottom w:val="none" w:sz="0" w:space="0" w:color="auto"/>
            <w:right w:val="none" w:sz="0" w:space="0" w:color="auto"/>
          </w:divBdr>
        </w:div>
        <w:div w:id="958074542">
          <w:marLeft w:val="0"/>
          <w:marRight w:val="0"/>
          <w:marTop w:val="0"/>
          <w:marBottom w:val="0"/>
          <w:divBdr>
            <w:top w:val="none" w:sz="0" w:space="0" w:color="auto"/>
            <w:left w:val="none" w:sz="0" w:space="0" w:color="auto"/>
            <w:bottom w:val="none" w:sz="0" w:space="0" w:color="auto"/>
            <w:right w:val="none" w:sz="0" w:space="0" w:color="auto"/>
          </w:divBdr>
        </w:div>
        <w:div w:id="715736612">
          <w:marLeft w:val="0"/>
          <w:marRight w:val="0"/>
          <w:marTop w:val="0"/>
          <w:marBottom w:val="0"/>
          <w:divBdr>
            <w:top w:val="none" w:sz="0" w:space="0" w:color="auto"/>
            <w:left w:val="none" w:sz="0" w:space="0" w:color="auto"/>
            <w:bottom w:val="none" w:sz="0" w:space="0" w:color="auto"/>
            <w:right w:val="none" w:sz="0" w:space="0" w:color="auto"/>
          </w:divBdr>
        </w:div>
        <w:div w:id="2127578017">
          <w:marLeft w:val="0"/>
          <w:marRight w:val="0"/>
          <w:marTop w:val="0"/>
          <w:marBottom w:val="0"/>
          <w:divBdr>
            <w:top w:val="none" w:sz="0" w:space="0" w:color="auto"/>
            <w:left w:val="none" w:sz="0" w:space="0" w:color="auto"/>
            <w:bottom w:val="none" w:sz="0" w:space="0" w:color="auto"/>
            <w:right w:val="none" w:sz="0" w:space="0" w:color="auto"/>
          </w:divBdr>
        </w:div>
        <w:div w:id="173766071">
          <w:marLeft w:val="0"/>
          <w:marRight w:val="0"/>
          <w:marTop w:val="0"/>
          <w:marBottom w:val="0"/>
          <w:divBdr>
            <w:top w:val="none" w:sz="0" w:space="0" w:color="auto"/>
            <w:left w:val="none" w:sz="0" w:space="0" w:color="auto"/>
            <w:bottom w:val="none" w:sz="0" w:space="0" w:color="auto"/>
            <w:right w:val="none" w:sz="0" w:space="0" w:color="auto"/>
          </w:divBdr>
        </w:div>
        <w:div w:id="529878483">
          <w:marLeft w:val="0"/>
          <w:marRight w:val="0"/>
          <w:marTop w:val="0"/>
          <w:marBottom w:val="0"/>
          <w:divBdr>
            <w:top w:val="none" w:sz="0" w:space="0" w:color="auto"/>
            <w:left w:val="none" w:sz="0" w:space="0" w:color="auto"/>
            <w:bottom w:val="none" w:sz="0" w:space="0" w:color="auto"/>
            <w:right w:val="none" w:sz="0" w:space="0" w:color="auto"/>
          </w:divBdr>
        </w:div>
        <w:div w:id="864174596">
          <w:marLeft w:val="0"/>
          <w:marRight w:val="0"/>
          <w:marTop w:val="0"/>
          <w:marBottom w:val="0"/>
          <w:divBdr>
            <w:top w:val="none" w:sz="0" w:space="0" w:color="auto"/>
            <w:left w:val="none" w:sz="0" w:space="0" w:color="auto"/>
            <w:bottom w:val="none" w:sz="0" w:space="0" w:color="auto"/>
            <w:right w:val="none" w:sz="0" w:space="0" w:color="auto"/>
          </w:divBdr>
        </w:div>
        <w:div w:id="960307223">
          <w:marLeft w:val="0"/>
          <w:marRight w:val="0"/>
          <w:marTop w:val="0"/>
          <w:marBottom w:val="0"/>
          <w:divBdr>
            <w:top w:val="none" w:sz="0" w:space="0" w:color="auto"/>
            <w:left w:val="none" w:sz="0" w:space="0" w:color="auto"/>
            <w:bottom w:val="none" w:sz="0" w:space="0" w:color="auto"/>
            <w:right w:val="none" w:sz="0" w:space="0" w:color="auto"/>
          </w:divBdr>
        </w:div>
        <w:div w:id="908882468">
          <w:marLeft w:val="0"/>
          <w:marRight w:val="0"/>
          <w:marTop w:val="0"/>
          <w:marBottom w:val="0"/>
          <w:divBdr>
            <w:top w:val="none" w:sz="0" w:space="0" w:color="auto"/>
            <w:left w:val="none" w:sz="0" w:space="0" w:color="auto"/>
            <w:bottom w:val="none" w:sz="0" w:space="0" w:color="auto"/>
            <w:right w:val="none" w:sz="0" w:space="0" w:color="auto"/>
          </w:divBdr>
        </w:div>
        <w:div w:id="2015303805">
          <w:marLeft w:val="0"/>
          <w:marRight w:val="0"/>
          <w:marTop w:val="0"/>
          <w:marBottom w:val="0"/>
          <w:divBdr>
            <w:top w:val="none" w:sz="0" w:space="0" w:color="auto"/>
            <w:left w:val="none" w:sz="0" w:space="0" w:color="auto"/>
            <w:bottom w:val="none" w:sz="0" w:space="0" w:color="auto"/>
            <w:right w:val="none" w:sz="0" w:space="0" w:color="auto"/>
          </w:divBdr>
        </w:div>
        <w:div w:id="1962686367">
          <w:marLeft w:val="0"/>
          <w:marRight w:val="0"/>
          <w:marTop w:val="0"/>
          <w:marBottom w:val="0"/>
          <w:divBdr>
            <w:top w:val="none" w:sz="0" w:space="0" w:color="auto"/>
            <w:left w:val="none" w:sz="0" w:space="0" w:color="auto"/>
            <w:bottom w:val="none" w:sz="0" w:space="0" w:color="auto"/>
            <w:right w:val="none" w:sz="0" w:space="0" w:color="auto"/>
          </w:divBdr>
        </w:div>
        <w:div w:id="1561987273">
          <w:marLeft w:val="0"/>
          <w:marRight w:val="0"/>
          <w:marTop w:val="0"/>
          <w:marBottom w:val="0"/>
          <w:divBdr>
            <w:top w:val="none" w:sz="0" w:space="0" w:color="auto"/>
            <w:left w:val="none" w:sz="0" w:space="0" w:color="auto"/>
            <w:bottom w:val="none" w:sz="0" w:space="0" w:color="auto"/>
            <w:right w:val="none" w:sz="0" w:space="0" w:color="auto"/>
          </w:divBdr>
        </w:div>
        <w:div w:id="27335986">
          <w:marLeft w:val="0"/>
          <w:marRight w:val="0"/>
          <w:marTop w:val="0"/>
          <w:marBottom w:val="0"/>
          <w:divBdr>
            <w:top w:val="none" w:sz="0" w:space="0" w:color="auto"/>
            <w:left w:val="none" w:sz="0" w:space="0" w:color="auto"/>
            <w:bottom w:val="none" w:sz="0" w:space="0" w:color="auto"/>
            <w:right w:val="none" w:sz="0" w:space="0" w:color="auto"/>
          </w:divBdr>
        </w:div>
        <w:div w:id="280916720">
          <w:marLeft w:val="0"/>
          <w:marRight w:val="0"/>
          <w:marTop w:val="0"/>
          <w:marBottom w:val="0"/>
          <w:divBdr>
            <w:top w:val="none" w:sz="0" w:space="0" w:color="auto"/>
            <w:left w:val="none" w:sz="0" w:space="0" w:color="auto"/>
            <w:bottom w:val="none" w:sz="0" w:space="0" w:color="auto"/>
            <w:right w:val="none" w:sz="0" w:space="0" w:color="auto"/>
          </w:divBdr>
        </w:div>
        <w:div w:id="494229612">
          <w:marLeft w:val="0"/>
          <w:marRight w:val="0"/>
          <w:marTop w:val="0"/>
          <w:marBottom w:val="0"/>
          <w:divBdr>
            <w:top w:val="none" w:sz="0" w:space="0" w:color="auto"/>
            <w:left w:val="none" w:sz="0" w:space="0" w:color="auto"/>
            <w:bottom w:val="none" w:sz="0" w:space="0" w:color="auto"/>
            <w:right w:val="none" w:sz="0" w:space="0" w:color="auto"/>
          </w:divBdr>
        </w:div>
        <w:div w:id="1168643050">
          <w:marLeft w:val="0"/>
          <w:marRight w:val="0"/>
          <w:marTop w:val="0"/>
          <w:marBottom w:val="0"/>
          <w:divBdr>
            <w:top w:val="none" w:sz="0" w:space="0" w:color="auto"/>
            <w:left w:val="none" w:sz="0" w:space="0" w:color="auto"/>
            <w:bottom w:val="none" w:sz="0" w:space="0" w:color="auto"/>
            <w:right w:val="none" w:sz="0" w:space="0" w:color="auto"/>
          </w:divBdr>
        </w:div>
        <w:div w:id="356396753">
          <w:marLeft w:val="0"/>
          <w:marRight w:val="0"/>
          <w:marTop w:val="0"/>
          <w:marBottom w:val="0"/>
          <w:divBdr>
            <w:top w:val="none" w:sz="0" w:space="0" w:color="auto"/>
            <w:left w:val="none" w:sz="0" w:space="0" w:color="auto"/>
            <w:bottom w:val="none" w:sz="0" w:space="0" w:color="auto"/>
            <w:right w:val="none" w:sz="0" w:space="0" w:color="auto"/>
          </w:divBdr>
        </w:div>
        <w:div w:id="809371625">
          <w:marLeft w:val="0"/>
          <w:marRight w:val="0"/>
          <w:marTop w:val="0"/>
          <w:marBottom w:val="0"/>
          <w:divBdr>
            <w:top w:val="none" w:sz="0" w:space="0" w:color="auto"/>
            <w:left w:val="none" w:sz="0" w:space="0" w:color="auto"/>
            <w:bottom w:val="none" w:sz="0" w:space="0" w:color="auto"/>
            <w:right w:val="none" w:sz="0" w:space="0" w:color="auto"/>
          </w:divBdr>
        </w:div>
        <w:div w:id="275644885">
          <w:marLeft w:val="0"/>
          <w:marRight w:val="0"/>
          <w:marTop w:val="0"/>
          <w:marBottom w:val="0"/>
          <w:divBdr>
            <w:top w:val="none" w:sz="0" w:space="0" w:color="auto"/>
            <w:left w:val="none" w:sz="0" w:space="0" w:color="auto"/>
            <w:bottom w:val="none" w:sz="0" w:space="0" w:color="auto"/>
            <w:right w:val="none" w:sz="0" w:space="0" w:color="auto"/>
          </w:divBdr>
        </w:div>
        <w:div w:id="1442147824">
          <w:marLeft w:val="0"/>
          <w:marRight w:val="0"/>
          <w:marTop w:val="0"/>
          <w:marBottom w:val="0"/>
          <w:divBdr>
            <w:top w:val="none" w:sz="0" w:space="0" w:color="auto"/>
            <w:left w:val="none" w:sz="0" w:space="0" w:color="auto"/>
            <w:bottom w:val="none" w:sz="0" w:space="0" w:color="auto"/>
            <w:right w:val="none" w:sz="0" w:space="0" w:color="auto"/>
          </w:divBdr>
        </w:div>
        <w:div w:id="1077092461">
          <w:marLeft w:val="0"/>
          <w:marRight w:val="0"/>
          <w:marTop w:val="0"/>
          <w:marBottom w:val="0"/>
          <w:divBdr>
            <w:top w:val="none" w:sz="0" w:space="0" w:color="auto"/>
            <w:left w:val="none" w:sz="0" w:space="0" w:color="auto"/>
            <w:bottom w:val="none" w:sz="0" w:space="0" w:color="auto"/>
            <w:right w:val="none" w:sz="0" w:space="0" w:color="auto"/>
          </w:divBdr>
        </w:div>
        <w:div w:id="2069256818">
          <w:marLeft w:val="0"/>
          <w:marRight w:val="0"/>
          <w:marTop w:val="0"/>
          <w:marBottom w:val="0"/>
          <w:divBdr>
            <w:top w:val="none" w:sz="0" w:space="0" w:color="auto"/>
            <w:left w:val="none" w:sz="0" w:space="0" w:color="auto"/>
            <w:bottom w:val="none" w:sz="0" w:space="0" w:color="auto"/>
            <w:right w:val="none" w:sz="0" w:space="0" w:color="auto"/>
          </w:divBdr>
        </w:div>
        <w:div w:id="1482581037">
          <w:marLeft w:val="0"/>
          <w:marRight w:val="0"/>
          <w:marTop w:val="0"/>
          <w:marBottom w:val="0"/>
          <w:divBdr>
            <w:top w:val="none" w:sz="0" w:space="0" w:color="auto"/>
            <w:left w:val="none" w:sz="0" w:space="0" w:color="auto"/>
            <w:bottom w:val="none" w:sz="0" w:space="0" w:color="auto"/>
            <w:right w:val="none" w:sz="0" w:space="0" w:color="auto"/>
          </w:divBdr>
        </w:div>
        <w:div w:id="1023750706">
          <w:marLeft w:val="0"/>
          <w:marRight w:val="0"/>
          <w:marTop w:val="0"/>
          <w:marBottom w:val="0"/>
          <w:divBdr>
            <w:top w:val="none" w:sz="0" w:space="0" w:color="auto"/>
            <w:left w:val="none" w:sz="0" w:space="0" w:color="auto"/>
            <w:bottom w:val="none" w:sz="0" w:space="0" w:color="auto"/>
            <w:right w:val="none" w:sz="0" w:space="0" w:color="auto"/>
          </w:divBdr>
        </w:div>
        <w:div w:id="981734565">
          <w:marLeft w:val="0"/>
          <w:marRight w:val="0"/>
          <w:marTop w:val="0"/>
          <w:marBottom w:val="0"/>
          <w:divBdr>
            <w:top w:val="none" w:sz="0" w:space="0" w:color="auto"/>
            <w:left w:val="none" w:sz="0" w:space="0" w:color="auto"/>
            <w:bottom w:val="none" w:sz="0" w:space="0" w:color="auto"/>
            <w:right w:val="none" w:sz="0" w:space="0" w:color="auto"/>
          </w:divBdr>
        </w:div>
        <w:div w:id="2071803272">
          <w:marLeft w:val="0"/>
          <w:marRight w:val="0"/>
          <w:marTop w:val="0"/>
          <w:marBottom w:val="0"/>
          <w:divBdr>
            <w:top w:val="none" w:sz="0" w:space="0" w:color="auto"/>
            <w:left w:val="none" w:sz="0" w:space="0" w:color="auto"/>
            <w:bottom w:val="none" w:sz="0" w:space="0" w:color="auto"/>
            <w:right w:val="none" w:sz="0" w:space="0" w:color="auto"/>
          </w:divBdr>
        </w:div>
        <w:div w:id="962006142">
          <w:marLeft w:val="0"/>
          <w:marRight w:val="0"/>
          <w:marTop w:val="0"/>
          <w:marBottom w:val="0"/>
          <w:divBdr>
            <w:top w:val="none" w:sz="0" w:space="0" w:color="auto"/>
            <w:left w:val="none" w:sz="0" w:space="0" w:color="auto"/>
            <w:bottom w:val="none" w:sz="0" w:space="0" w:color="auto"/>
            <w:right w:val="none" w:sz="0" w:space="0" w:color="auto"/>
          </w:divBdr>
        </w:div>
        <w:div w:id="1506095794">
          <w:marLeft w:val="0"/>
          <w:marRight w:val="0"/>
          <w:marTop w:val="0"/>
          <w:marBottom w:val="0"/>
          <w:divBdr>
            <w:top w:val="none" w:sz="0" w:space="0" w:color="auto"/>
            <w:left w:val="none" w:sz="0" w:space="0" w:color="auto"/>
            <w:bottom w:val="none" w:sz="0" w:space="0" w:color="auto"/>
            <w:right w:val="none" w:sz="0" w:space="0" w:color="auto"/>
          </w:divBdr>
        </w:div>
        <w:div w:id="1537154364">
          <w:marLeft w:val="0"/>
          <w:marRight w:val="0"/>
          <w:marTop w:val="0"/>
          <w:marBottom w:val="0"/>
          <w:divBdr>
            <w:top w:val="none" w:sz="0" w:space="0" w:color="auto"/>
            <w:left w:val="none" w:sz="0" w:space="0" w:color="auto"/>
            <w:bottom w:val="none" w:sz="0" w:space="0" w:color="auto"/>
            <w:right w:val="none" w:sz="0" w:space="0" w:color="auto"/>
          </w:divBdr>
        </w:div>
      </w:divsChild>
    </w:div>
    <w:div w:id="200365948">
      <w:bodyDiv w:val="1"/>
      <w:marLeft w:val="0"/>
      <w:marRight w:val="0"/>
      <w:marTop w:val="0"/>
      <w:marBottom w:val="0"/>
      <w:divBdr>
        <w:top w:val="none" w:sz="0" w:space="0" w:color="auto"/>
        <w:left w:val="none" w:sz="0" w:space="0" w:color="auto"/>
        <w:bottom w:val="none" w:sz="0" w:space="0" w:color="auto"/>
        <w:right w:val="none" w:sz="0" w:space="0" w:color="auto"/>
      </w:divBdr>
    </w:div>
    <w:div w:id="200479397">
      <w:bodyDiv w:val="1"/>
      <w:marLeft w:val="0"/>
      <w:marRight w:val="0"/>
      <w:marTop w:val="0"/>
      <w:marBottom w:val="0"/>
      <w:divBdr>
        <w:top w:val="none" w:sz="0" w:space="0" w:color="auto"/>
        <w:left w:val="none" w:sz="0" w:space="0" w:color="auto"/>
        <w:bottom w:val="none" w:sz="0" w:space="0" w:color="auto"/>
        <w:right w:val="none" w:sz="0" w:space="0" w:color="auto"/>
      </w:divBdr>
    </w:div>
    <w:div w:id="200559098">
      <w:bodyDiv w:val="1"/>
      <w:marLeft w:val="0"/>
      <w:marRight w:val="0"/>
      <w:marTop w:val="0"/>
      <w:marBottom w:val="0"/>
      <w:divBdr>
        <w:top w:val="none" w:sz="0" w:space="0" w:color="auto"/>
        <w:left w:val="none" w:sz="0" w:space="0" w:color="auto"/>
        <w:bottom w:val="none" w:sz="0" w:space="0" w:color="auto"/>
        <w:right w:val="none" w:sz="0" w:space="0" w:color="auto"/>
      </w:divBdr>
    </w:div>
    <w:div w:id="200752187">
      <w:bodyDiv w:val="1"/>
      <w:marLeft w:val="0"/>
      <w:marRight w:val="0"/>
      <w:marTop w:val="0"/>
      <w:marBottom w:val="0"/>
      <w:divBdr>
        <w:top w:val="none" w:sz="0" w:space="0" w:color="auto"/>
        <w:left w:val="none" w:sz="0" w:space="0" w:color="auto"/>
        <w:bottom w:val="none" w:sz="0" w:space="0" w:color="auto"/>
        <w:right w:val="none" w:sz="0" w:space="0" w:color="auto"/>
      </w:divBdr>
    </w:div>
    <w:div w:id="200827718">
      <w:bodyDiv w:val="1"/>
      <w:marLeft w:val="0"/>
      <w:marRight w:val="0"/>
      <w:marTop w:val="0"/>
      <w:marBottom w:val="0"/>
      <w:divBdr>
        <w:top w:val="none" w:sz="0" w:space="0" w:color="auto"/>
        <w:left w:val="none" w:sz="0" w:space="0" w:color="auto"/>
        <w:bottom w:val="none" w:sz="0" w:space="0" w:color="auto"/>
        <w:right w:val="none" w:sz="0" w:space="0" w:color="auto"/>
      </w:divBdr>
    </w:div>
    <w:div w:id="200868728">
      <w:bodyDiv w:val="1"/>
      <w:marLeft w:val="0"/>
      <w:marRight w:val="0"/>
      <w:marTop w:val="0"/>
      <w:marBottom w:val="0"/>
      <w:divBdr>
        <w:top w:val="none" w:sz="0" w:space="0" w:color="auto"/>
        <w:left w:val="none" w:sz="0" w:space="0" w:color="auto"/>
        <w:bottom w:val="none" w:sz="0" w:space="0" w:color="auto"/>
        <w:right w:val="none" w:sz="0" w:space="0" w:color="auto"/>
      </w:divBdr>
    </w:div>
    <w:div w:id="200898880">
      <w:bodyDiv w:val="1"/>
      <w:marLeft w:val="0"/>
      <w:marRight w:val="0"/>
      <w:marTop w:val="0"/>
      <w:marBottom w:val="0"/>
      <w:divBdr>
        <w:top w:val="none" w:sz="0" w:space="0" w:color="auto"/>
        <w:left w:val="none" w:sz="0" w:space="0" w:color="auto"/>
        <w:bottom w:val="none" w:sz="0" w:space="0" w:color="auto"/>
        <w:right w:val="none" w:sz="0" w:space="0" w:color="auto"/>
      </w:divBdr>
    </w:div>
    <w:div w:id="200945114">
      <w:bodyDiv w:val="1"/>
      <w:marLeft w:val="0"/>
      <w:marRight w:val="0"/>
      <w:marTop w:val="0"/>
      <w:marBottom w:val="0"/>
      <w:divBdr>
        <w:top w:val="none" w:sz="0" w:space="0" w:color="auto"/>
        <w:left w:val="none" w:sz="0" w:space="0" w:color="auto"/>
        <w:bottom w:val="none" w:sz="0" w:space="0" w:color="auto"/>
        <w:right w:val="none" w:sz="0" w:space="0" w:color="auto"/>
      </w:divBdr>
    </w:div>
    <w:div w:id="200946844">
      <w:bodyDiv w:val="1"/>
      <w:marLeft w:val="0"/>
      <w:marRight w:val="0"/>
      <w:marTop w:val="0"/>
      <w:marBottom w:val="0"/>
      <w:divBdr>
        <w:top w:val="none" w:sz="0" w:space="0" w:color="auto"/>
        <w:left w:val="none" w:sz="0" w:space="0" w:color="auto"/>
        <w:bottom w:val="none" w:sz="0" w:space="0" w:color="auto"/>
        <w:right w:val="none" w:sz="0" w:space="0" w:color="auto"/>
      </w:divBdr>
    </w:div>
    <w:div w:id="201019141">
      <w:bodyDiv w:val="1"/>
      <w:marLeft w:val="0"/>
      <w:marRight w:val="0"/>
      <w:marTop w:val="0"/>
      <w:marBottom w:val="0"/>
      <w:divBdr>
        <w:top w:val="none" w:sz="0" w:space="0" w:color="auto"/>
        <w:left w:val="none" w:sz="0" w:space="0" w:color="auto"/>
        <w:bottom w:val="none" w:sz="0" w:space="0" w:color="auto"/>
        <w:right w:val="none" w:sz="0" w:space="0" w:color="auto"/>
      </w:divBdr>
    </w:div>
    <w:div w:id="201023482">
      <w:bodyDiv w:val="1"/>
      <w:marLeft w:val="0"/>
      <w:marRight w:val="0"/>
      <w:marTop w:val="0"/>
      <w:marBottom w:val="0"/>
      <w:divBdr>
        <w:top w:val="none" w:sz="0" w:space="0" w:color="auto"/>
        <w:left w:val="none" w:sz="0" w:space="0" w:color="auto"/>
        <w:bottom w:val="none" w:sz="0" w:space="0" w:color="auto"/>
        <w:right w:val="none" w:sz="0" w:space="0" w:color="auto"/>
      </w:divBdr>
    </w:div>
    <w:div w:id="201090216">
      <w:bodyDiv w:val="1"/>
      <w:marLeft w:val="0"/>
      <w:marRight w:val="0"/>
      <w:marTop w:val="0"/>
      <w:marBottom w:val="0"/>
      <w:divBdr>
        <w:top w:val="none" w:sz="0" w:space="0" w:color="auto"/>
        <w:left w:val="none" w:sz="0" w:space="0" w:color="auto"/>
        <w:bottom w:val="none" w:sz="0" w:space="0" w:color="auto"/>
        <w:right w:val="none" w:sz="0" w:space="0" w:color="auto"/>
      </w:divBdr>
    </w:div>
    <w:div w:id="201138278">
      <w:bodyDiv w:val="1"/>
      <w:marLeft w:val="0"/>
      <w:marRight w:val="0"/>
      <w:marTop w:val="0"/>
      <w:marBottom w:val="0"/>
      <w:divBdr>
        <w:top w:val="none" w:sz="0" w:space="0" w:color="auto"/>
        <w:left w:val="none" w:sz="0" w:space="0" w:color="auto"/>
        <w:bottom w:val="none" w:sz="0" w:space="0" w:color="auto"/>
        <w:right w:val="none" w:sz="0" w:space="0" w:color="auto"/>
      </w:divBdr>
    </w:div>
    <w:div w:id="201291173">
      <w:bodyDiv w:val="1"/>
      <w:marLeft w:val="0"/>
      <w:marRight w:val="0"/>
      <w:marTop w:val="0"/>
      <w:marBottom w:val="0"/>
      <w:divBdr>
        <w:top w:val="none" w:sz="0" w:space="0" w:color="auto"/>
        <w:left w:val="none" w:sz="0" w:space="0" w:color="auto"/>
        <w:bottom w:val="none" w:sz="0" w:space="0" w:color="auto"/>
        <w:right w:val="none" w:sz="0" w:space="0" w:color="auto"/>
      </w:divBdr>
    </w:div>
    <w:div w:id="201329663">
      <w:bodyDiv w:val="1"/>
      <w:marLeft w:val="0"/>
      <w:marRight w:val="0"/>
      <w:marTop w:val="0"/>
      <w:marBottom w:val="0"/>
      <w:divBdr>
        <w:top w:val="none" w:sz="0" w:space="0" w:color="auto"/>
        <w:left w:val="none" w:sz="0" w:space="0" w:color="auto"/>
        <w:bottom w:val="none" w:sz="0" w:space="0" w:color="auto"/>
        <w:right w:val="none" w:sz="0" w:space="0" w:color="auto"/>
      </w:divBdr>
    </w:div>
    <w:div w:id="201334804">
      <w:bodyDiv w:val="1"/>
      <w:marLeft w:val="0"/>
      <w:marRight w:val="0"/>
      <w:marTop w:val="0"/>
      <w:marBottom w:val="0"/>
      <w:divBdr>
        <w:top w:val="none" w:sz="0" w:space="0" w:color="auto"/>
        <w:left w:val="none" w:sz="0" w:space="0" w:color="auto"/>
        <w:bottom w:val="none" w:sz="0" w:space="0" w:color="auto"/>
        <w:right w:val="none" w:sz="0" w:space="0" w:color="auto"/>
      </w:divBdr>
    </w:div>
    <w:div w:id="201408538">
      <w:bodyDiv w:val="1"/>
      <w:marLeft w:val="0"/>
      <w:marRight w:val="0"/>
      <w:marTop w:val="0"/>
      <w:marBottom w:val="0"/>
      <w:divBdr>
        <w:top w:val="none" w:sz="0" w:space="0" w:color="auto"/>
        <w:left w:val="none" w:sz="0" w:space="0" w:color="auto"/>
        <w:bottom w:val="none" w:sz="0" w:space="0" w:color="auto"/>
        <w:right w:val="none" w:sz="0" w:space="0" w:color="auto"/>
      </w:divBdr>
    </w:div>
    <w:div w:id="201597372">
      <w:bodyDiv w:val="1"/>
      <w:marLeft w:val="0"/>
      <w:marRight w:val="0"/>
      <w:marTop w:val="0"/>
      <w:marBottom w:val="0"/>
      <w:divBdr>
        <w:top w:val="none" w:sz="0" w:space="0" w:color="auto"/>
        <w:left w:val="none" w:sz="0" w:space="0" w:color="auto"/>
        <w:bottom w:val="none" w:sz="0" w:space="0" w:color="auto"/>
        <w:right w:val="none" w:sz="0" w:space="0" w:color="auto"/>
      </w:divBdr>
    </w:div>
    <w:div w:id="201677577">
      <w:bodyDiv w:val="1"/>
      <w:marLeft w:val="0"/>
      <w:marRight w:val="0"/>
      <w:marTop w:val="0"/>
      <w:marBottom w:val="0"/>
      <w:divBdr>
        <w:top w:val="none" w:sz="0" w:space="0" w:color="auto"/>
        <w:left w:val="none" w:sz="0" w:space="0" w:color="auto"/>
        <w:bottom w:val="none" w:sz="0" w:space="0" w:color="auto"/>
        <w:right w:val="none" w:sz="0" w:space="0" w:color="auto"/>
      </w:divBdr>
    </w:div>
    <w:div w:id="201678025">
      <w:bodyDiv w:val="1"/>
      <w:marLeft w:val="0"/>
      <w:marRight w:val="0"/>
      <w:marTop w:val="0"/>
      <w:marBottom w:val="0"/>
      <w:divBdr>
        <w:top w:val="none" w:sz="0" w:space="0" w:color="auto"/>
        <w:left w:val="none" w:sz="0" w:space="0" w:color="auto"/>
        <w:bottom w:val="none" w:sz="0" w:space="0" w:color="auto"/>
        <w:right w:val="none" w:sz="0" w:space="0" w:color="auto"/>
      </w:divBdr>
    </w:div>
    <w:div w:id="201748510">
      <w:bodyDiv w:val="1"/>
      <w:marLeft w:val="0"/>
      <w:marRight w:val="0"/>
      <w:marTop w:val="0"/>
      <w:marBottom w:val="0"/>
      <w:divBdr>
        <w:top w:val="none" w:sz="0" w:space="0" w:color="auto"/>
        <w:left w:val="none" w:sz="0" w:space="0" w:color="auto"/>
        <w:bottom w:val="none" w:sz="0" w:space="0" w:color="auto"/>
        <w:right w:val="none" w:sz="0" w:space="0" w:color="auto"/>
      </w:divBdr>
    </w:div>
    <w:div w:id="201751321">
      <w:bodyDiv w:val="1"/>
      <w:marLeft w:val="0"/>
      <w:marRight w:val="0"/>
      <w:marTop w:val="0"/>
      <w:marBottom w:val="0"/>
      <w:divBdr>
        <w:top w:val="none" w:sz="0" w:space="0" w:color="auto"/>
        <w:left w:val="none" w:sz="0" w:space="0" w:color="auto"/>
        <w:bottom w:val="none" w:sz="0" w:space="0" w:color="auto"/>
        <w:right w:val="none" w:sz="0" w:space="0" w:color="auto"/>
      </w:divBdr>
    </w:div>
    <w:div w:id="201863325">
      <w:bodyDiv w:val="1"/>
      <w:marLeft w:val="0"/>
      <w:marRight w:val="0"/>
      <w:marTop w:val="0"/>
      <w:marBottom w:val="0"/>
      <w:divBdr>
        <w:top w:val="none" w:sz="0" w:space="0" w:color="auto"/>
        <w:left w:val="none" w:sz="0" w:space="0" w:color="auto"/>
        <w:bottom w:val="none" w:sz="0" w:space="0" w:color="auto"/>
        <w:right w:val="none" w:sz="0" w:space="0" w:color="auto"/>
      </w:divBdr>
    </w:div>
    <w:div w:id="202056060">
      <w:bodyDiv w:val="1"/>
      <w:marLeft w:val="0"/>
      <w:marRight w:val="0"/>
      <w:marTop w:val="0"/>
      <w:marBottom w:val="0"/>
      <w:divBdr>
        <w:top w:val="none" w:sz="0" w:space="0" w:color="auto"/>
        <w:left w:val="none" w:sz="0" w:space="0" w:color="auto"/>
        <w:bottom w:val="none" w:sz="0" w:space="0" w:color="auto"/>
        <w:right w:val="none" w:sz="0" w:space="0" w:color="auto"/>
      </w:divBdr>
    </w:div>
    <w:div w:id="202138532">
      <w:bodyDiv w:val="1"/>
      <w:marLeft w:val="0"/>
      <w:marRight w:val="0"/>
      <w:marTop w:val="0"/>
      <w:marBottom w:val="0"/>
      <w:divBdr>
        <w:top w:val="none" w:sz="0" w:space="0" w:color="auto"/>
        <w:left w:val="none" w:sz="0" w:space="0" w:color="auto"/>
        <w:bottom w:val="none" w:sz="0" w:space="0" w:color="auto"/>
        <w:right w:val="none" w:sz="0" w:space="0" w:color="auto"/>
      </w:divBdr>
    </w:div>
    <w:div w:id="202179938">
      <w:bodyDiv w:val="1"/>
      <w:marLeft w:val="0"/>
      <w:marRight w:val="0"/>
      <w:marTop w:val="0"/>
      <w:marBottom w:val="0"/>
      <w:divBdr>
        <w:top w:val="none" w:sz="0" w:space="0" w:color="auto"/>
        <w:left w:val="none" w:sz="0" w:space="0" w:color="auto"/>
        <w:bottom w:val="none" w:sz="0" w:space="0" w:color="auto"/>
        <w:right w:val="none" w:sz="0" w:space="0" w:color="auto"/>
      </w:divBdr>
    </w:div>
    <w:div w:id="202249351">
      <w:bodyDiv w:val="1"/>
      <w:marLeft w:val="0"/>
      <w:marRight w:val="0"/>
      <w:marTop w:val="0"/>
      <w:marBottom w:val="0"/>
      <w:divBdr>
        <w:top w:val="none" w:sz="0" w:space="0" w:color="auto"/>
        <w:left w:val="none" w:sz="0" w:space="0" w:color="auto"/>
        <w:bottom w:val="none" w:sz="0" w:space="0" w:color="auto"/>
        <w:right w:val="none" w:sz="0" w:space="0" w:color="auto"/>
      </w:divBdr>
    </w:div>
    <w:div w:id="202250425">
      <w:bodyDiv w:val="1"/>
      <w:marLeft w:val="0"/>
      <w:marRight w:val="0"/>
      <w:marTop w:val="0"/>
      <w:marBottom w:val="0"/>
      <w:divBdr>
        <w:top w:val="none" w:sz="0" w:space="0" w:color="auto"/>
        <w:left w:val="none" w:sz="0" w:space="0" w:color="auto"/>
        <w:bottom w:val="none" w:sz="0" w:space="0" w:color="auto"/>
        <w:right w:val="none" w:sz="0" w:space="0" w:color="auto"/>
      </w:divBdr>
    </w:div>
    <w:div w:id="202250873">
      <w:bodyDiv w:val="1"/>
      <w:marLeft w:val="0"/>
      <w:marRight w:val="0"/>
      <w:marTop w:val="0"/>
      <w:marBottom w:val="0"/>
      <w:divBdr>
        <w:top w:val="none" w:sz="0" w:space="0" w:color="auto"/>
        <w:left w:val="none" w:sz="0" w:space="0" w:color="auto"/>
        <w:bottom w:val="none" w:sz="0" w:space="0" w:color="auto"/>
        <w:right w:val="none" w:sz="0" w:space="0" w:color="auto"/>
      </w:divBdr>
    </w:div>
    <w:div w:id="202327370">
      <w:bodyDiv w:val="1"/>
      <w:marLeft w:val="0"/>
      <w:marRight w:val="0"/>
      <w:marTop w:val="0"/>
      <w:marBottom w:val="0"/>
      <w:divBdr>
        <w:top w:val="none" w:sz="0" w:space="0" w:color="auto"/>
        <w:left w:val="none" w:sz="0" w:space="0" w:color="auto"/>
        <w:bottom w:val="none" w:sz="0" w:space="0" w:color="auto"/>
        <w:right w:val="none" w:sz="0" w:space="0" w:color="auto"/>
      </w:divBdr>
    </w:div>
    <w:div w:id="202328962">
      <w:bodyDiv w:val="1"/>
      <w:marLeft w:val="0"/>
      <w:marRight w:val="0"/>
      <w:marTop w:val="0"/>
      <w:marBottom w:val="0"/>
      <w:divBdr>
        <w:top w:val="none" w:sz="0" w:space="0" w:color="auto"/>
        <w:left w:val="none" w:sz="0" w:space="0" w:color="auto"/>
        <w:bottom w:val="none" w:sz="0" w:space="0" w:color="auto"/>
        <w:right w:val="none" w:sz="0" w:space="0" w:color="auto"/>
      </w:divBdr>
    </w:div>
    <w:div w:id="202400524">
      <w:bodyDiv w:val="1"/>
      <w:marLeft w:val="0"/>
      <w:marRight w:val="0"/>
      <w:marTop w:val="0"/>
      <w:marBottom w:val="0"/>
      <w:divBdr>
        <w:top w:val="none" w:sz="0" w:space="0" w:color="auto"/>
        <w:left w:val="none" w:sz="0" w:space="0" w:color="auto"/>
        <w:bottom w:val="none" w:sz="0" w:space="0" w:color="auto"/>
        <w:right w:val="none" w:sz="0" w:space="0" w:color="auto"/>
      </w:divBdr>
    </w:div>
    <w:div w:id="202403373">
      <w:bodyDiv w:val="1"/>
      <w:marLeft w:val="0"/>
      <w:marRight w:val="0"/>
      <w:marTop w:val="0"/>
      <w:marBottom w:val="0"/>
      <w:divBdr>
        <w:top w:val="none" w:sz="0" w:space="0" w:color="auto"/>
        <w:left w:val="none" w:sz="0" w:space="0" w:color="auto"/>
        <w:bottom w:val="none" w:sz="0" w:space="0" w:color="auto"/>
        <w:right w:val="none" w:sz="0" w:space="0" w:color="auto"/>
      </w:divBdr>
    </w:div>
    <w:div w:id="202518971">
      <w:bodyDiv w:val="1"/>
      <w:marLeft w:val="0"/>
      <w:marRight w:val="0"/>
      <w:marTop w:val="0"/>
      <w:marBottom w:val="0"/>
      <w:divBdr>
        <w:top w:val="none" w:sz="0" w:space="0" w:color="auto"/>
        <w:left w:val="none" w:sz="0" w:space="0" w:color="auto"/>
        <w:bottom w:val="none" w:sz="0" w:space="0" w:color="auto"/>
        <w:right w:val="none" w:sz="0" w:space="0" w:color="auto"/>
      </w:divBdr>
    </w:div>
    <w:div w:id="202598705">
      <w:bodyDiv w:val="1"/>
      <w:marLeft w:val="0"/>
      <w:marRight w:val="0"/>
      <w:marTop w:val="0"/>
      <w:marBottom w:val="0"/>
      <w:divBdr>
        <w:top w:val="none" w:sz="0" w:space="0" w:color="auto"/>
        <w:left w:val="none" w:sz="0" w:space="0" w:color="auto"/>
        <w:bottom w:val="none" w:sz="0" w:space="0" w:color="auto"/>
        <w:right w:val="none" w:sz="0" w:space="0" w:color="auto"/>
      </w:divBdr>
    </w:div>
    <w:div w:id="202645248">
      <w:bodyDiv w:val="1"/>
      <w:marLeft w:val="0"/>
      <w:marRight w:val="0"/>
      <w:marTop w:val="0"/>
      <w:marBottom w:val="0"/>
      <w:divBdr>
        <w:top w:val="none" w:sz="0" w:space="0" w:color="auto"/>
        <w:left w:val="none" w:sz="0" w:space="0" w:color="auto"/>
        <w:bottom w:val="none" w:sz="0" w:space="0" w:color="auto"/>
        <w:right w:val="none" w:sz="0" w:space="0" w:color="auto"/>
      </w:divBdr>
    </w:div>
    <w:div w:id="202713565">
      <w:bodyDiv w:val="1"/>
      <w:marLeft w:val="0"/>
      <w:marRight w:val="0"/>
      <w:marTop w:val="0"/>
      <w:marBottom w:val="0"/>
      <w:divBdr>
        <w:top w:val="none" w:sz="0" w:space="0" w:color="auto"/>
        <w:left w:val="none" w:sz="0" w:space="0" w:color="auto"/>
        <w:bottom w:val="none" w:sz="0" w:space="0" w:color="auto"/>
        <w:right w:val="none" w:sz="0" w:space="0" w:color="auto"/>
      </w:divBdr>
    </w:div>
    <w:div w:id="202792625">
      <w:bodyDiv w:val="1"/>
      <w:marLeft w:val="0"/>
      <w:marRight w:val="0"/>
      <w:marTop w:val="0"/>
      <w:marBottom w:val="0"/>
      <w:divBdr>
        <w:top w:val="none" w:sz="0" w:space="0" w:color="auto"/>
        <w:left w:val="none" w:sz="0" w:space="0" w:color="auto"/>
        <w:bottom w:val="none" w:sz="0" w:space="0" w:color="auto"/>
        <w:right w:val="none" w:sz="0" w:space="0" w:color="auto"/>
      </w:divBdr>
    </w:div>
    <w:div w:id="202835497">
      <w:bodyDiv w:val="1"/>
      <w:marLeft w:val="0"/>
      <w:marRight w:val="0"/>
      <w:marTop w:val="0"/>
      <w:marBottom w:val="0"/>
      <w:divBdr>
        <w:top w:val="none" w:sz="0" w:space="0" w:color="auto"/>
        <w:left w:val="none" w:sz="0" w:space="0" w:color="auto"/>
        <w:bottom w:val="none" w:sz="0" w:space="0" w:color="auto"/>
        <w:right w:val="none" w:sz="0" w:space="0" w:color="auto"/>
      </w:divBdr>
    </w:div>
    <w:div w:id="202837011">
      <w:bodyDiv w:val="1"/>
      <w:marLeft w:val="0"/>
      <w:marRight w:val="0"/>
      <w:marTop w:val="0"/>
      <w:marBottom w:val="0"/>
      <w:divBdr>
        <w:top w:val="none" w:sz="0" w:space="0" w:color="auto"/>
        <w:left w:val="none" w:sz="0" w:space="0" w:color="auto"/>
        <w:bottom w:val="none" w:sz="0" w:space="0" w:color="auto"/>
        <w:right w:val="none" w:sz="0" w:space="0" w:color="auto"/>
      </w:divBdr>
    </w:div>
    <w:div w:id="202862691">
      <w:bodyDiv w:val="1"/>
      <w:marLeft w:val="0"/>
      <w:marRight w:val="0"/>
      <w:marTop w:val="0"/>
      <w:marBottom w:val="0"/>
      <w:divBdr>
        <w:top w:val="none" w:sz="0" w:space="0" w:color="auto"/>
        <w:left w:val="none" w:sz="0" w:space="0" w:color="auto"/>
        <w:bottom w:val="none" w:sz="0" w:space="0" w:color="auto"/>
        <w:right w:val="none" w:sz="0" w:space="0" w:color="auto"/>
      </w:divBdr>
    </w:div>
    <w:div w:id="202864789">
      <w:bodyDiv w:val="1"/>
      <w:marLeft w:val="0"/>
      <w:marRight w:val="0"/>
      <w:marTop w:val="0"/>
      <w:marBottom w:val="0"/>
      <w:divBdr>
        <w:top w:val="none" w:sz="0" w:space="0" w:color="auto"/>
        <w:left w:val="none" w:sz="0" w:space="0" w:color="auto"/>
        <w:bottom w:val="none" w:sz="0" w:space="0" w:color="auto"/>
        <w:right w:val="none" w:sz="0" w:space="0" w:color="auto"/>
      </w:divBdr>
    </w:div>
    <w:div w:id="202907761">
      <w:bodyDiv w:val="1"/>
      <w:marLeft w:val="0"/>
      <w:marRight w:val="0"/>
      <w:marTop w:val="0"/>
      <w:marBottom w:val="0"/>
      <w:divBdr>
        <w:top w:val="none" w:sz="0" w:space="0" w:color="auto"/>
        <w:left w:val="none" w:sz="0" w:space="0" w:color="auto"/>
        <w:bottom w:val="none" w:sz="0" w:space="0" w:color="auto"/>
        <w:right w:val="none" w:sz="0" w:space="0" w:color="auto"/>
      </w:divBdr>
    </w:div>
    <w:div w:id="203059529">
      <w:bodyDiv w:val="1"/>
      <w:marLeft w:val="0"/>
      <w:marRight w:val="0"/>
      <w:marTop w:val="0"/>
      <w:marBottom w:val="0"/>
      <w:divBdr>
        <w:top w:val="none" w:sz="0" w:space="0" w:color="auto"/>
        <w:left w:val="none" w:sz="0" w:space="0" w:color="auto"/>
        <w:bottom w:val="none" w:sz="0" w:space="0" w:color="auto"/>
        <w:right w:val="none" w:sz="0" w:space="0" w:color="auto"/>
      </w:divBdr>
    </w:div>
    <w:div w:id="203179115">
      <w:bodyDiv w:val="1"/>
      <w:marLeft w:val="0"/>
      <w:marRight w:val="0"/>
      <w:marTop w:val="0"/>
      <w:marBottom w:val="0"/>
      <w:divBdr>
        <w:top w:val="none" w:sz="0" w:space="0" w:color="auto"/>
        <w:left w:val="none" w:sz="0" w:space="0" w:color="auto"/>
        <w:bottom w:val="none" w:sz="0" w:space="0" w:color="auto"/>
        <w:right w:val="none" w:sz="0" w:space="0" w:color="auto"/>
      </w:divBdr>
    </w:div>
    <w:div w:id="203253720">
      <w:bodyDiv w:val="1"/>
      <w:marLeft w:val="0"/>
      <w:marRight w:val="0"/>
      <w:marTop w:val="0"/>
      <w:marBottom w:val="0"/>
      <w:divBdr>
        <w:top w:val="none" w:sz="0" w:space="0" w:color="auto"/>
        <w:left w:val="none" w:sz="0" w:space="0" w:color="auto"/>
        <w:bottom w:val="none" w:sz="0" w:space="0" w:color="auto"/>
        <w:right w:val="none" w:sz="0" w:space="0" w:color="auto"/>
      </w:divBdr>
    </w:div>
    <w:div w:id="203372108">
      <w:bodyDiv w:val="1"/>
      <w:marLeft w:val="0"/>
      <w:marRight w:val="0"/>
      <w:marTop w:val="0"/>
      <w:marBottom w:val="0"/>
      <w:divBdr>
        <w:top w:val="none" w:sz="0" w:space="0" w:color="auto"/>
        <w:left w:val="none" w:sz="0" w:space="0" w:color="auto"/>
        <w:bottom w:val="none" w:sz="0" w:space="0" w:color="auto"/>
        <w:right w:val="none" w:sz="0" w:space="0" w:color="auto"/>
      </w:divBdr>
    </w:div>
    <w:div w:id="203444366">
      <w:bodyDiv w:val="1"/>
      <w:marLeft w:val="0"/>
      <w:marRight w:val="0"/>
      <w:marTop w:val="0"/>
      <w:marBottom w:val="0"/>
      <w:divBdr>
        <w:top w:val="none" w:sz="0" w:space="0" w:color="auto"/>
        <w:left w:val="none" w:sz="0" w:space="0" w:color="auto"/>
        <w:bottom w:val="none" w:sz="0" w:space="0" w:color="auto"/>
        <w:right w:val="none" w:sz="0" w:space="0" w:color="auto"/>
      </w:divBdr>
    </w:div>
    <w:div w:id="203491506">
      <w:bodyDiv w:val="1"/>
      <w:marLeft w:val="0"/>
      <w:marRight w:val="0"/>
      <w:marTop w:val="0"/>
      <w:marBottom w:val="0"/>
      <w:divBdr>
        <w:top w:val="none" w:sz="0" w:space="0" w:color="auto"/>
        <w:left w:val="none" w:sz="0" w:space="0" w:color="auto"/>
        <w:bottom w:val="none" w:sz="0" w:space="0" w:color="auto"/>
        <w:right w:val="none" w:sz="0" w:space="0" w:color="auto"/>
      </w:divBdr>
    </w:div>
    <w:div w:id="203522013">
      <w:bodyDiv w:val="1"/>
      <w:marLeft w:val="0"/>
      <w:marRight w:val="0"/>
      <w:marTop w:val="0"/>
      <w:marBottom w:val="0"/>
      <w:divBdr>
        <w:top w:val="none" w:sz="0" w:space="0" w:color="auto"/>
        <w:left w:val="none" w:sz="0" w:space="0" w:color="auto"/>
        <w:bottom w:val="none" w:sz="0" w:space="0" w:color="auto"/>
        <w:right w:val="none" w:sz="0" w:space="0" w:color="auto"/>
      </w:divBdr>
    </w:div>
    <w:div w:id="203566890">
      <w:bodyDiv w:val="1"/>
      <w:marLeft w:val="0"/>
      <w:marRight w:val="0"/>
      <w:marTop w:val="0"/>
      <w:marBottom w:val="0"/>
      <w:divBdr>
        <w:top w:val="none" w:sz="0" w:space="0" w:color="auto"/>
        <w:left w:val="none" w:sz="0" w:space="0" w:color="auto"/>
        <w:bottom w:val="none" w:sz="0" w:space="0" w:color="auto"/>
        <w:right w:val="none" w:sz="0" w:space="0" w:color="auto"/>
      </w:divBdr>
    </w:div>
    <w:div w:id="203641030">
      <w:bodyDiv w:val="1"/>
      <w:marLeft w:val="0"/>
      <w:marRight w:val="0"/>
      <w:marTop w:val="0"/>
      <w:marBottom w:val="0"/>
      <w:divBdr>
        <w:top w:val="none" w:sz="0" w:space="0" w:color="auto"/>
        <w:left w:val="none" w:sz="0" w:space="0" w:color="auto"/>
        <w:bottom w:val="none" w:sz="0" w:space="0" w:color="auto"/>
        <w:right w:val="none" w:sz="0" w:space="0" w:color="auto"/>
      </w:divBdr>
    </w:div>
    <w:div w:id="203642186">
      <w:bodyDiv w:val="1"/>
      <w:marLeft w:val="0"/>
      <w:marRight w:val="0"/>
      <w:marTop w:val="0"/>
      <w:marBottom w:val="0"/>
      <w:divBdr>
        <w:top w:val="none" w:sz="0" w:space="0" w:color="auto"/>
        <w:left w:val="none" w:sz="0" w:space="0" w:color="auto"/>
        <w:bottom w:val="none" w:sz="0" w:space="0" w:color="auto"/>
        <w:right w:val="none" w:sz="0" w:space="0" w:color="auto"/>
      </w:divBdr>
    </w:div>
    <w:div w:id="203716966">
      <w:bodyDiv w:val="1"/>
      <w:marLeft w:val="0"/>
      <w:marRight w:val="0"/>
      <w:marTop w:val="0"/>
      <w:marBottom w:val="0"/>
      <w:divBdr>
        <w:top w:val="none" w:sz="0" w:space="0" w:color="auto"/>
        <w:left w:val="none" w:sz="0" w:space="0" w:color="auto"/>
        <w:bottom w:val="none" w:sz="0" w:space="0" w:color="auto"/>
        <w:right w:val="none" w:sz="0" w:space="0" w:color="auto"/>
      </w:divBdr>
    </w:div>
    <w:div w:id="203758637">
      <w:bodyDiv w:val="1"/>
      <w:marLeft w:val="0"/>
      <w:marRight w:val="0"/>
      <w:marTop w:val="0"/>
      <w:marBottom w:val="0"/>
      <w:divBdr>
        <w:top w:val="none" w:sz="0" w:space="0" w:color="auto"/>
        <w:left w:val="none" w:sz="0" w:space="0" w:color="auto"/>
        <w:bottom w:val="none" w:sz="0" w:space="0" w:color="auto"/>
        <w:right w:val="none" w:sz="0" w:space="0" w:color="auto"/>
      </w:divBdr>
    </w:div>
    <w:div w:id="203834998">
      <w:bodyDiv w:val="1"/>
      <w:marLeft w:val="0"/>
      <w:marRight w:val="0"/>
      <w:marTop w:val="0"/>
      <w:marBottom w:val="0"/>
      <w:divBdr>
        <w:top w:val="none" w:sz="0" w:space="0" w:color="auto"/>
        <w:left w:val="none" w:sz="0" w:space="0" w:color="auto"/>
        <w:bottom w:val="none" w:sz="0" w:space="0" w:color="auto"/>
        <w:right w:val="none" w:sz="0" w:space="0" w:color="auto"/>
      </w:divBdr>
    </w:div>
    <w:div w:id="204026686">
      <w:bodyDiv w:val="1"/>
      <w:marLeft w:val="0"/>
      <w:marRight w:val="0"/>
      <w:marTop w:val="0"/>
      <w:marBottom w:val="0"/>
      <w:divBdr>
        <w:top w:val="none" w:sz="0" w:space="0" w:color="auto"/>
        <w:left w:val="none" w:sz="0" w:space="0" w:color="auto"/>
        <w:bottom w:val="none" w:sz="0" w:space="0" w:color="auto"/>
        <w:right w:val="none" w:sz="0" w:space="0" w:color="auto"/>
      </w:divBdr>
    </w:div>
    <w:div w:id="204099154">
      <w:bodyDiv w:val="1"/>
      <w:marLeft w:val="0"/>
      <w:marRight w:val="0"/>
      <w:marTop w:val="0"/>
      <w:marBottom w:val="0"/>
      <w:divBdr>
        <w:top w:val="none" w:sz="0" w:space="0" w:color="auto"/>
        <w:left w:val="none" w:sz="0" w:space="0" w:color="auto"/>
        <w:bottom w:val="none" w:sz="0" w:space="0" w:color="auto"/>
        <w:right w:val="none" w:sz="0" w:space="0" w:color="auto"/>
      </w:divBdr>
    </w:div>
    <w:div w:id="204100242">
      <w:bodyDiv w:val="1"/>
      <w:marLeft w:val="0"/>
      <w:marRight w:val="0"/>
      <w:marTop w:val="0"/>
      <w:marBottom w:val="0"/>
      <w:divBdr>
        <w:top w:val="none" w:sz="0" w:space="0" w:color="auto"/>
        <w:left w:val="none" w:sz="0" w:space="0" w:color="auto"/>
        <w:bottom w:val="none" w:sz="0" w:space="0" w:color="auto"/>
        <w:right w:val="none" w:sz="0" w:space="0" w:color="auto"/>
      </w:divBdr>
    </w:div>
    <w:div w:id="204173875">
      <w:bodyDiv w:val="1"/>
      <w:marLeft w:val="0"/>
      <w:marRight w:val="0"/>
      <w:marTop w:val="0"/>
      <w:marBottom w:val="0"/>
      <w:divBdr>
        <w:top w:val="none" w:sz="0" w:space="0" w:color="auto"/>
        <w:left w:val="none" w:sz="0" w:space="0" w:color="auto"/>
        <w:bottom w:val="none" w:sz="0" w:space="0" w:color="auto"/>
        <w:right w:val="none" w:sz="0" w:space="0" w:color="auto"/>
      </w:divBdr>
    </w:div>
    <w:div w:id="204175733">
      <w:bodyDiv w:val="1"/>
      <w:marLeft w:val="0"/>
      <w:marRight w:val="0"/>
      <w:marTop w:val="0"/>
      <w:marBottom w:val="0"/>
      <w:divBdr>
        <w:top w:val="none" w:sz="0" w:space="0" w:color="auto"/>
        <w:left w:val="none" w:sz="0" w:space="0" w:color="auto"/>
        <w:bottom w:val="none" w:sz="0" w:space="0" w:color="auto"/>
        <w:right w:val="none" w:sz="0" w:space="0" w:color="auto"/>
      </w:divBdr>
    </w:div>
    <w:div w:id="204369537">
      <w:bodyDiv w:val="1"/>
      <w:marLeft w:val="0"/>
      <w:marRight w:val="0"/>
      <w:marTop w:val="0"/>
      <w:marBottom w:val="0"/>
      <w:divBdr>
        <w:top w:val="none" w:sz="0" w:space="0" w:color="auto"/>
        <w:left w:val="none" w:sz="0" w:space="0" w:color="auto"/>
        <w:bottom w:val="none" w:sz="0" w:space="0" w:color="auto"/>
        <w:right w:val="none" w:sz="0" w:space="0" w:color="auto"/>
      </w:divBdr>
    </w:div>
    <w:div w:id="204414583">
      <w:bodyDiv w:val="1"/>
      <w:marLeft w:val="0"/>
      <w:marRight w:val="0"/>
      <w:marTop w:val="0"/>
      <w:marBottom w:val="0"/>
      <w:divBdr>
        <w:top w:val="none" w:sz="0" w:space="0" w:color="auto"/>
        <w:left w:val="none" w:sz="0" w:space="0" w:color="auto"/>
        <w:bottom w:val="none" w:sz="0" w:space="0" w:color="auto"/>
        <w:right w:val="none" w:sz="0" w:space="0" w:color="auto"/>
      </w:divBdr>
    </w:div>
    <w:div w:id="204417055">
      <w:bodyDiv w:val="1"/>
      <w:marLeft w:val="0"/>
      <w:marRight w:val="0"/>
      <w:marTop w:val="0"/>
      <w:marBottom w:val="0"/>
      <w:divBdr>
        <w:top w:val="none" w:sz="0" w:space="0" w:color="auto"/>
        <w:left w:val="none" w:sz="0" w:space="0" w:color="auto"/>
        <w:bottom w:val="none" w:sz="0" w:space="0" w:color="auto"/>
        <w:right w:val="none" w:sz="0" w:space="0" w:color="auto"/>
      </w:divBdr>
    </w:div>
    <w:div w:id="204491439">
      <w:bodyDiv w:val="1"/>
      <w:marLeft w:val="0"/>
      <w:marRight w:val="0"/>
      <w:marTop w:val="0"/>
      <w:marBottom w:val="0"/>
      <w:divBdr>
        <w:top w:val="none" w:sz="0" w:space="0" w:color="auto"/>
        <w:left w:val="none" w:sz="0" w:space="0" w:color="auto"/>
        <w:bottom w:val="none" w:sz="0" w:space="0" w:color="auto"/>
        <w:right w:val="none" w:sz="0" w:space="0" w:color="auto"/>
      </w:divBdr>
    </w:div>
    <w:div w:id="204561988">
      <w:bodyDiv w:val="1"/>
      <w:marLeft w:val="0"/>
      <w:marRight w:val="0"/>
      <w:marTop w:val="0"/>
      <w:marBottom w:val="0"/>
      <w:divBdr>
        <w:top w:val="none" w:sz="0" w:space="0" w:color="auto"/>
        <w:left w:val="none" w:sz="0" w:space="0" w:color="auto"/>
        <w:bottom w:val="none" w:sz="0" w:space="0" w:color="auto"/>
        <w:right w:val="none" w:sz="0" w:space="0" w:color="auto"/>
      </w:divBdr>
    </w:div>
    <w:div w:id="204635306">
      <w:bodyDiv w:val="1"/>
      <w:marLeft w:val="0"/>
      <w:marRight w:val="0"/>
      <w:marTop w:val="0"/>
      <w:marBottom w:val="0"/>
      <w:divBdr>
        <w:top w:val="none" w:sz="0" w:space="0" w:color="auto"/>
        <w:left w:val="none" w:sz="0" w:space="0" w:color="auto"/>
        <w:bottom w:val="none" w:sz="0" w:space="0" w:color="auto"/>
        <w:right w:val="none" w:sz="0" w:space="0" w:color="auto"/>
      </w:divBdr>
    </w:div>
    <w:div w:id="204760051">
      <w:bodyDiv w:val="1"/>
      <w:marLeft w:val="0"/>
      <w:marRight w:val="0"/>
      <w:marTop w:val="0"/>
      <w:marBottom w:val="0"/>
      <w:divBdr>
        <w:top w:val="none" w:sz="0" w:space="0" w:color="auto"/>
        <w:left w:val="none" w:sz="0" w:space="0" w:color="auto"/>
        <w:bottom w:val="none" w:sz="0" w:space="0" w:color="auto"/>
        <w:right w:val="none" w:sz="0" w:space="0" w:color="auto"/>
      </w:divBdr>
    </w:div>
    <w:div w:id="205022601">
      <w:bodyDiv w:val="1"/>
      <w:marLeft w:val="0"/>
      <w:marRight w:val="0"/>
      <w:marTop w:val="0"/>
      <w:marBottom w:val="0"/>
      <w:divBdr>
        <w:top w:val="none" w:sz="0" w:space="0" w:color="auto"/>
        <w:left w:val="none" w:sz="0" w:space="0" w:color="auto"/>
        <w:bottom w:val="none" w:sz="0" w:space="0" w:color="auto"/>
        <w:right w:val="none" w:sz="0" w:space="0" w:color="auto"/>
      </w:divBdr>
    </w:div>
    <w:div w:id="205069792">
      <w:bodyDiv w:val="1"/>
      <w:marLeft w:val="0"/>
      <w:marRight w:val="0"/>
      <w:marTop w:val="0"/>
      <w:marBottom w:val="0"/>
      <w:divBdr>
        <w:top w:val="none" w:sz="0" w:space="0" w:color="auto"/>
        <w:left w:val="none" w:sz="0" w:space="0" w:color="auto"/>
        <w:bottom w:val="none" w:sz="0" w:space="0" w:color="auto"/>
        <w:right w:val="none" w:sz="0" w:space="0" w:color="auto"/>
      </w:divBdr>
    </w:div>
    <w:div w:id="205145072">
      <w:bodyDiv w:val="1"/>
      <w:marLeft w:val="0"/>
      <w:marRight w:val="0"/>
      <w:marTop w:val="0"/>
      <w:marBottom w:val="0"/>
      <w:divBdr>
        <w:top w:val="none" w:sz="0" w:space="0" w:color="auto"/>
        <w:left w:val="none" w:sz="0" w:space="0" w:color="auto"/>
        <w:bottom w:val="none" w:sz="0" w:space="0" w:color="auto"/>
        <w:right w:val="none" w:sz="0" w:space="0" w:color="auto"/>
      </w:divBdr>
    </w:div>
    <w:div w:id="205263782">
      <w:bodyDiv w:val="1"/>
      <w:marLeft w:val="0"/>
      <w:marRight w:val="0"/>
      <w:marTop w:val="0"/>
      <w:marBottom w:val="0"/>
      <w:divBdr>
        <w:top w:val="none" w:sz="0" w:space="0" w:color="auto"/>
        <w:left w:val="none" w:sz="0" w:space="0" w:color="auto"/>
        <w:bottom w:val="none" w:sz="0" w:space="0" w:color="auto"/>
        <w:right w:val="none" w:sz="0" w:space="0" w:color="auto"/>
      </w:divBdr>
    </w:div>
    <w:div w:id="205265930">
      <w:bodyDiv w:val="1"/>
      <w:marLeft w:val="0"/>
      <w:marRight w:val="0"/>
      <w:marTop w:val="0"/>
      <w:marBottom w:val="0"/>
      <w:divBdr>
        <w:top w:val="none" w:sz="0" w:space="0" w:color="auto"/>
        <w:left w:val="none" w:sz="0" w:space="0" w:color="auto"/>
        <w:bottom w:val="none" w:sz="0" w:space="0" w:color="auto"/>
        <w:right w:val="none" w:sz="0" w:space="0" w:color="auto"/>
      </w:divBdr>
    </w:div>
    <w:div w:id="205338020">
      <w:bodyDiv w:val="1"/>
      <w:marLeft w:val="0"/>
      <w:marRight w:val="0"/>
      <w:marTop w:val="0"/>
      <w:marBottom w:val="0"/>
      <w:divBdr>
        <w:top w:val="none" w:sz="0" w:space="0" w:color="auto"/>
        <w:left w:val="none" w:sz="0" w:space="0" w:color="auto"/>
        <w:bottom w:val="none" w:sz="0" w:space="0" w:color="auto"/>
        <w:right w:val="none" w:sz="0" w:space="0" w:color="auto"/>
      </w:divBdr>
    </w:div>
    <w:div w:id="205412495">
      <w:bodyDiv w:val="1"/>
      <w:marLeft w:val="0"/>
      <w:marRight w:val="0"/>
      <w:marTop w:val="0"/>
      <w:marBottom w:val="0"/>
      <w:divBdr>
        <w:top w:val="none" w:sz="0" w:space="0" w:color="auto"/>
        <w:left w:val="none" w:sz="0" w:space="0" w:color="auto"/>
        <w:bottom w:val="none" w:sz="0" w:space="0" w:color="auto"/>
        <w:right w:val="none" w:sz="0" w:space="0" w:color="auto"/>
      </w:divBdr>
    </w:div>
    <w:div w:id="205414412">
      <w:bodyDiv w:val="1"/>
      <w:marLeft w:val="0"/>
      <w:marRight w:val="0"/>
      <w:marTop w:val="0"/>
      <w:marBottom w:val="0"/>
      <w:divBdr>
        <w:top w:val="none" w:sz="0" w:space="0" w:color="auto"/>
        <w:left w:val="none" w:sz="0" w:space="0" w:color="auto"/>
        <w:bottom w:val="none" w:sz="0" w:space="0" w:color="auto"/>
        <w:right w:val="none" w:sz="0" w:space="0" w:color="auto"/>
      </w:divBdr>
    </w:div>
    <w:div w:id="205533550">
      <w:bodyDiv w:val="1"/>
      <w:marLeft w:val="0"/>
      <w:marRight w:val="0"/>
      <w:marTop w:val="0"/>
      <w:marBottom w:val="0"/>
      <w:divBdr>
        <w:top w:val="none" w:sz="0" w:space="0" w:color="auto"/>
        <w:left w:val="none" w:sz="0" w:space="0" w:color="auto"/>
        <w:bottom w:val="none" w:sz="0" w:space="0" w:color="auto"/>
        <w:right w:val="none" w:sz="0" w:space="0" w:color="auto"/>
      </w:divBdr>
    </w:div>
    <w:div w:id="205602489">
      <w:bodyDiv w:val="1"/>
      <w:marLeft w:val="0"/>
      <w:marRight w:val="0"/>
      <w:marTop w:val="0"/>
      <w:marBottom w:val="0"/>
      <w:divBdr>
        <w:top w:val="none" w:sz="0" w:space="0" w:color="auto"/>
        <w:left w:val="none" w:sz="0" w:space="0" w:color="auto"/>
        <w:bottom w:val="none" w:sz="0" w:space="0" w:color="auto"/>
        <w:right w:val="none" w:sz="0" w:space="0" w:color="auto"/>
      </w:divBdr>
    </w:div>
    <w:div w:id="205721329">
      <w:bodyDiv w:val="1"/>
      <w:marLeft w:val="0"/>
      <w:marRight w:val="0"/>
      <w:marTop w:val="0"/>
      <w:marBottom w:val="0"/>
      <w:divBdr>
        <w:top w:val="none" w:sz="0" w:space="0" w:color="auto"/>
        <w:left w:val="none" w:sz="0" w:space="0" w:color="auto"/>
        <w:bottom w:val="none" w:sz="0" w:space="0" w:color="auto"/>
        <w:right w:val="none" w:sz="0" w:space="0" w:color="auto"/>
      </w:divBdr>
    </w:div>
    <w:div w:id="205723192">
      <w:bodyDiv w:val="1"/>
      <w:marLeft w:val="0"/>
      <w:marRight w:val="0"/>
      <w:marTop w:val="0"/>
      <w:marBottom w:val="0"/>
      <w:divBdr>
        <w:top w:val="none" w:sz="0" w:space="0" w:color="auto"/>
        <w:left w:val="none" w:sz="0" w:space="0" w:color="auto"/>
        <w:bottom w:val="none" w:sz="0" w:space="0" w:color="auto"/>
        <w:right w:val="none" w:sz="0" w:space="0" w:color="auto"/>
      </w:divBdr>
    </w:div>
    <w:div w:id="205795251">
      <w:bodyDiv w:val="1"/>
      <w:marLeft w:val="0"/>
      <w:marRight w:val="0"/>
      <w:marTop w:val="0"/>
      <w:marBottom w:val="0"/>
      <w:divBdr>
        <w:top w:val="none" w:sz="0" w:space="0" w:color="auto"/>
        <w:left w:val="none" w:sz="0" w:space="0" w:color="auto"/>
        <w:bottom w:val="none" w:sz="0" w:space="0" w:color="auto"/>
        <w:right w:val="none" w:sz="0" w:space="0" w:color="auto"/>
      </w:divBdr>
    </w:div>
    <w:div w:id="205797288">
      <w:bodyDiv w:val="1"/>
      <w:marLeft w:val="0"/>
      <w:marRight w:val="0"/>
      <w:marTop w:val="0"/>
      <w:marBottom w:val="0"/>
      <w:divBdr>
        <w:top w:val="none" w:sz="0" w:space="0" w:color="auto"/>
        <w:left w:val="none" w:sz="0" w:space="0" w:color="auto"/>
        <w:bottom w:val="none" w:sz="0" w:space="0" w:color="auto"/>
        <w:right w:val="none" w:sz="0" w:space="0" w:color="auto"/>
      </w:divBdr>
    </w:div>
    <w:div w:id="205797523">
      <w:bodyDiv w:val="1"/>
      <w:marLeft w:val="0"/>
      <w:marRight w:val="0"/>
      <w:marTop w:val="0"/>
      <w:marBottom w:val="0"/>
      <w:divBdr>
        <w:top w:val="none" w:sz="0" w:space="0" w:color="auto"/>
        <w:left w:val="none" w:sz="0" w:space="0" w:color="auto"/>
        <w:bottom w:val="none" w:sz="0" w:space="0" w:color="auto"/>
        <w:right w:val="none" w:sz="0" w:space="0" w:color="auto"/>
      </w:divBdr>
    </w:div>
    <w:div w:id="205915775">
      <w:bodyDiv w:val="1"/>
      <w:marLeft w:val="0"/>
      <w:marRight w:val="0"/>
      <w:marTop w:val="0"/>
      <w:marBottom w:val="0"/>
      <w:divBdr>
        <w:top w:val="none" w:sz="0" w:space="0" w:color="auto"/>
        <w:left w:val="none" w:sz="0" w:space="0" w:color="auto"/>
        <w:bottom w:val="none" w:sz="0" w:space="0" w:color="auto"/>
        <w:right w:val="none" w:sz="0" w:space="0" w:color="auto"/>
      </w:divBdr>
    </w:div>
    <w:div w:id="205992942">
      <w:bodyDiv w:val="1"/>
      <w:marLeft w:val="0"/>
      <w:marRight w:val="0"/>
      <w:marTop w:val="0"/>
      <w:marBottom w:val="0"/>
      <w:divBdr>
        <w:top w:val="none" w:sz="0" w:space="0" w:color="auto"/>
        <w:left w:val="none" w:sz="0" w:space="0" w:color="auto"/>
        <w:bottom w:val="none" w:sz="0" w:space="0" w:color="auto"/>
        <w:right w:val="none" w:sz="0" w:space="0" w:color="auto"/>
      </w:divBdr>
    </w:div>
    <w:div w:id="206111404">
      <w:bodyDiv w:val="1"/>
      <w:marLeft w:val="0"/>
      <w:marRight w:val="0"/>
      <w:marTop w:val="0"/>
      <w:marBottom w:val="0"/>
      <w:divBdr>
        <w:top w:val="none" w:sz="0" w:space="0" w:color="auto"/>
        <w:left w:val="none" w:sz="0" w:space="0" w:color="auto"/>
        <w:bottom w:val="none" w:sz="0" w:space="0" w:color="auto"/>
        <w:right w:val="none" w:sz="0" w:space="0" w:color="auto"/>
      </w:divBdr>
    </w:div>
    <w:div w:id="206142559">
      <w:bodyDiv w:val="1"/>
      <w:marLeft w:val="0"/>
      <w:marRight w:val="0"/>
      <w:marTop w:val="0"/>
      <w:marBottom w:val="0"/>
      <w:divBdr>
        <w:top w:val="none" w:sz="0" w:space="0" w:color="auto"/>
        <w:left w:val="none" w:sz="0" w:space="0" w:color="auto"/>
        <w:bottom w:val="none" w:sz="0" w:space="0" w:color="auto"/>
        <w:right w:val="none" w:sz="0" w:space="0" w:color="auto"/>
      </w:divBdr>
    </w:div>
    <w:div w:id="206181677">
      <w:bodyDiv w:val="1"/>
      <w:marLeft w:val="0"/>
      <w:marRight w:val="0"/>
      <w:marTop w:val="0"/>
      <w:marBottom w:val="0"/>
      <w:divBdr>
        <w:top w:val="none" w:sz="0" w:space="0" w:color="auto"/>
        <w:left w:val="none" w:sz="0" w:space="0" w:color="auto"/>
        <w:bottom w:val="none" w:sz="0" w:space="0" w:color="auto"/>
        <w:right w:val="none" w:sz="0" w:space="0" w:color="auto"/>
      </w:divBdr>
    </w:div>
    <w:div w:id="206186967">
      <w:bodyDiv w:val="1"/>
      <w:marLeft w:val="0"/>
      <w:marRight w:val="0"/>
      <w:marTop w:val="0"/>
      <w:marBottom w:val="0"/>
      <w:divBdr>
        <w:top w:val="none" w:sz="0" w:space="0" w:color="auto"/>
        <w:left w:val="none" w:sz="0" w:space="0" w:color="auto"/>
        <w:bottom w:val="none" w:sz="0" w:space="0" w:color="auto"/>
        <w:right w:val="none" w:sz="0" w:space="0" w:color="auto"/>
      </w:divBdr>
    </w:div>
    <w:div w:id="206375310">
      <w:bodyDiv w:val="1"/>
      <w:marLeft w:val="0"/>
      <w:marRight w:val="0"/>
      <w:marTop w:val="0"/>
      <w:marBottom w:val="0"/>
      <w:divBdr>
        <w:top w:val="none" w:sz="0" w:space="0" w:color="auto"/>
        <w:left w:val="none" w:sz="0" w:space="0" w:color="auto"/>
        <w:bottom w:val="none" w:sz="0" w:space="0" w:color="auto"/>
        <w:right w:val="none" w:sz="0" w:space="0" w:color="auto"/>
      </w:divBdr>
    </w:div>
    <w:div w:id="206376856">
      <w:bodyDiv w:val="1"/>
      <w:marLeft w:val="0"/>
      <w:marRight w:val="0"/>
      <w:marTop w:val="0"/>
      <w:marBottom w:val="0"/>
      <w:divBdr>
        <w:top w:val="none" w:sz="0" w:space="0" w:color="auto"/>
        <w:left w:val="none" w:sz="0" w:space="0" w:color="auto"/>
        <w:bottom w:val="none" w:sz="0" w:space="0" w:color="auto"/>
        <w:right w:val="none" w:sz="0" w:space="0" w:color="auto"/>
      </w:divBdr>
    </w:div>
    <w:div w:id="206382800">
      <w:bodyDiv w:val="1"/>
      <w:marLeft w:val="0"/>
      <w:marRight w:val="0"/>
      <w:marTop w:val="0"/>
      <w:marBottom w:val="0"/>
      <w:divBdr>
        <w:top w:val="none" w:sz="0" w:space="0" w:color="auto"/>
        <w:left w:val="none" w:sz="0" w:space="0" w:color="auto"/>
        <w:bottom w:val="none" w:sz="0" w:space="0" w:color="auto"/>
        <w:right w:val="none" w:sz="0" w:space="0" w:color="auto"/>
      </w:divBdr>
    </w:div>
    <w:div w:id="206450642">
      <w:bodyDiv w:val="1"/>
      <w:marLeft w:val="0"/>
      <w:marRight w:val="0"/>
      <w:marTop w:val="0"/>
      <w:marBottom w:val="0"/>
      <w:divBdr>
        <w:top w:val="none" w:sz="0" w:space="0" w:color="auto"/>
        <w:left w:val="none" w:sz="0" w:space="0" w:color="auto"/>
        <w:bottom w:val="none" w:sz="0" w:space="0" w:color="auto"/>
        <w:right w:val="none" w:sz="0" w:space="0" w:color="auto"/>
      </w:divBdr>
    </w:div>
    <w:div w:id="206452892">
      <w:bodyDiv w:val="1"/>
      <w:marLeft w:val="0"/>
      <w:marRight w:val="0"/>
      <w:marTop w:val="0"/>
      <w:marBottom w:val="0"/>
      <w:divBdr>
        <w:top w:val="none" w:sz="0" w:space="0" w:color="auto"/>
        <w:left w:val="none" w:sz="0" w:space="0" w:color="auto"/>
        <w:bottom w:val="none" w:sz="0" w:space="0" w:color="auto"/>
        <w:right w:val="none" w:sz="0" w:space="0" w:color="auto"/>
      </w:divBdr>
    </w:div>
    <w:div w:id="206576853">
      <w:bodyDiv w:val="1"/>
      <w:marLeft w:val="0"/>
      <w:marRight w:val="0"/>
      <w:marTop w:val="0"/>
      <w:marBottom w:val="0"/>
      <w:divBdr>
        <w:top w:val="none" w:sz="0" w:space="0" w:color="auto"/>
        <w:left w:val="none" w:sz="0" w:space="0" w:color="auto"/>
        <w:bottom w:val="none" w:sz="0" w:space="0" w:color="auto"/>
        <w:right w:val="none" w:sz="0" w:space="0" w:color="auto"/>
      </w:divBdr>
    </w:div>
    <w:div w:id="206600724">
      <w:bodyDiv w:val="1"/>
      <w:marLeft w:val="0"/>
      <w:marRight w:val="0"/>
      <w:marTop w:val="0"/>
      <w:marBottom w:val="0"/>
      <w:divBdr>
        <w:top w:val="none" w:sz="0" w:space="0" w:color="auto"/>
        <w:left w:val="none" w:sz="0" w:space="0" w:color="auto"/>
        <w:bottom w:val="none" w:sz="0" w:space="0" w:color="auto"/>
        <w:right w:val="none" w:sz="0" w:space="0" w:color="auto"/>
      </w:divBdr>
    </w:div>
    <w:div w:id="206644878">
      <w:bodyDiv w:val="1"/>
      <w:marLeft w:val="0"/>
      <w:marRight w:val="0"/>
      <w:marTop w:val="0"/>
      <w:marBottom w:val="0"/>
      <w:divBdr>
        <w:top w:val="none" w:sz="0" w:space="0" w:color="auto"/>
        <w:left w:val="none" w:sz="0" w:space="0" w:color="auto"/>
        <w:bottom w:val="none" w:sz="0" w:space="0" w:color="auto"/>
        <w:right w:val="none" w:sz="0" w:space="0" w:color="auto"/>
      </w:divBdr>
    </w:div>
    <w:div w:id="206645313">
      <w:bodyDiv w:val="1"/>
      <w:marLeft w:val="0"/>
      <w:marRight w:val="0"/>
      <w:marTop w:val="0"/>
      <w:marBottom w:val="0"/>
      <w:divBdr>
        <w:top w:val="none" w:sz="0" w:space="0" w:color="auto"/>
        <w:left w:val="none" w:sz="0" w:space="0" w:color="auto"/>
        <w:bottom w:val="none" w:sz="0" w:space="0" w:color="auto"/>
        <w:right w:val="none" w:sz="0" w:space="0" w:color="auto"/>
      </w:divBdr>
    </w:div>
    <w:div w:id="206651284">
      <w:bodyDiv w:val="1"/>
      <w:marLeft w:val="0"/>
      <w:marRight w:val="0"/>
      <w:marTop w:val="0"/>
      <w:marBottom w:val="0"/>
      <w:divBdr>
        <w:top w:val="none" w:sz="0" w:space="0" w:color="auto"/>
        <w:left w:val="none" w:sz="0" w:space="0" w:color="auto"/>
        <w:bottom w:val="none" w:sz="0" w:space="0" w:color="auto"/>
        <w:right w:val="none" w:sz="0" w:space="0" w:color="auto"/>
      </w:divBdr>
    </w:div>
    <w:div w:id="206651882">
      <w:bodyDiv w:val="1"/>
      <w:marLeft w:val="0"/>
      <w:marRight w:val="0"/>
      <w:marTop w:val="0"/>
      <w:marBottom w:val="0"/>
      <w:divBdr>
        <w:top w:val="none" w:sz="0" w:space="0" w:color="auto"/>
        <w:left w:val="none" w:sz="0" w:space="0" w:color="auto"/>
        <w:bottom w:val="none" w:sz="0" w:space="0" w:color="auto"/>
        <w:right w:val="none" w:sz="0" w:space="0" w:color="auto"/>
      </w:divBdr>
    </w:div>
    <w:div w:id="206727886">
      <w:bodyDiv w:val="1"/>
      <w:marLeft w:val="0"/>
      <w:marRight w:val="0"/>
      <w:marTop w:val="0"/>
      <w:marBottom w:val="0"/>
      <w:divBdr>
        <w:top w:val="none" w:sz="0" w:space="0" w:color="auto"/>
        <w:left w:val="none" w:sz="0" w:space="0" w:color="auto"/>
        <w:bottom w:val="none" w:sz="0" w:space="0" w:color="auto"/>
        <w:right w:val="none" w:sz="0" w:space="0" w:color="auto"/>
      </w:divBdr>
    </w:div>
    <w:div w:id="206767593">
      <w:bodyDiv w:val="1"/>
      <w:marLeft w:val="0"/>
      <w:marRight w:val="0"/>
      <w:marTop w:val="0"/>
      <w:marBottom w:val="0"/>
      <w:divBdr>
        <w:top w:val="none" w:sz="0" w:space="0" w:color="auto"/>
        <w:left w:val="none" w:sz="0" w:space="0" w:color="auto"/>
        <w:bottom w:val="none" w:sz="0" w:space="0" w:color="auto"/>
        <w:right w:val="none" w:sz="0" w:space="0" w:color="auto"/>
      </w:divBdr>
    </w:div>
    <w:div w:id="206770122">
      <w:bodyDiv w:val="1"/>
      <w:marLeft w:val="0"/>
      <w:marRight w:val="0"/>
      <w:marTop w:val="0"/>
      <w:marBottom w:val="0"/>
      <w:divBdr>
        <w:top w:val="none" w:sz="0" w:space="0" w:color="auto"/>
        <w:left w:val="none" w:sz="0" w:space="0" w:color="auto"/>
        <w:bottom w:val="none" w:sz="0" w:space="0" w:color="auto"/>
        <w:right w:val="none" w:sz="0" w:space="0" w:color="auto"/>
      </w:divBdr>
    </w:div>
    <w:div w:id="206837458">
      <w:bodyDiv w:val="1"/>
      <w:marLeft w:val="0"/>
      <w:marRight w:val="0"/>
      <w:marTop w:val="0"/>
      <w:marBottom w:val="0"/>
      <w:divBdr>
        <w:top w:val="none" w:sz="0" w:space="0" w:color="auto"/>
        <w:left w:val="none" w:sz="0" w:space="0" w:color="auto"/>
        <w:bottom w:val="none" w:sz="0" w:space="0" w:color="auto"/>
        <w:right w:val="none" w:sz="0" w:space="0" w:color="auto"/>
      </w:divBdr>
    </w:div>
    <w:div w:id="206845082">
      <w:bodyDiv w:val="1"/>
      <w:marLeft w:val="0"/>
      <w:marRight w:val="0"/>
      <w:marTop w:val="0"/>
      <w:marBottom w:val="0"/>
      <w:divBdr>
        <w:top w:val="none" w:sz="0" w:space="0" w:color="auto"/>
        <w:left w:val="none" w:sz="0" w:space="0" w:color="auto"/>
        <w:bottom w:val="none" w:sz="0" w:space="0" w:color="auto"/>
        <w:right w:val="none" w:sz="0" w:space="0" w:color="auto"/>
      </w:divBdr>
    </w:div>
    <w:div w:id="206913791">
      <w:bodyDiv w:val="1"/>
      <w:marLeft w:val="0"/>
      <w:marRight w:val="0"/>
      <w:marTop w:val="0"/>
      <w:marBottom w:val="0"/>
      <w:divBdr>
        <w:top w:val="none" w:sz="0" w:space="0" w:color="auto"/>
        <w:left w:val="none" w:sz="0" w:space="0" w:color="auto"/>
        <w:bottom w:val="none" w:sz="0" w:space="0" w:color="auto"/>
        <w:right w:val="none" w:sz="0" w:space="0" w:color="auto"/>
      </w:divBdr>
    </w:div>
    <w:div w:id="206915029">
      <w:bodyDiv w:val="1"/>
      <w:marLeft w:val="0"/>
      <w:marRight w:val="0"/>
      <w:marTop w:val="0"/>
      <w:marBottom w:val="0"/>
      <w:divBdr>
        <w:top w:val="none" w:sz="0" w:space="0" w:color="auto"/>
        <w:left w:val="none" w:sz="0" w:space="0" w:color="auto"/>
        <w:bottom w:val="none" w:sz="0" w:space="0" w:color="auto"/>
        <w:right w:val="none" w:sz="0" w:space="0" w:color="auto"/>
      </w:divBdr>
    </w:div>
    <w:div w:id="206991475">
      <w:bodyDiv w:val="1"/>
      <w:marLeft w:val="0"/>
      <w:marRight w:val="0"/>
      <w:marTop w:val="0"/>
      <w:marBottom w:val="0"/>
      <w:divBdr>
        <w:top w:val="none" w:sz="0" w:space="0" w:color="auto"/>
        <w:left w:val="none" w:sz="0" w:space="0" w:color="auto"/>
        <w:bottom w:val="none" w:sz="0" w:space="0" w:color="auto"/>
        <w:right w:val="none" w:sz="0" w:space="0" w:color="auto"/>
      </w:divBdr>
    </w:div>
    <w:div w:id="206994263">
      <w:bodyDiv w:val="1"/>
      <w:marLeft w:val="0"/>
      <w:marRight w:val="0"/>
      <w:marTop w:val="0"/>
      <w:marBottom w:val="0"/>
      <w:divBdr>
        <w:top w:val="none" w:sz="0" w:space="0" w:color="auto"/>
        <w:left w:val="none" w:sz="0" w:space="0" w:color="auto"/>
        <w:bottom w:val="none" w:sz="0" w:space="0" w:color="auto"/>
        <w:right w:val="none" w:sz="0" w:space="0" w:color="auto"/>
      </w:divBdr>
    </w:div>
    <w:div w:id="207036743">
      <w:bodyDiv w:val="1"/>
      <w:marLeft w:val="0"/>
      <w:marRight w:val="0"/>
      <w:marTop w:val="0"/>
      <w:marBottom w:val="0"/>
      <w:divBdr>
        <w:top w:val="none" w:sz="0" w:space="0" w:color="auto"/>
        <w:left w:val="none" w:sz="0" w:space="0" w:color="auto"/>
        <w:bottom w:val="none" w:sz="0" w:space="0" w:color="auto"/>
        <w:right w:val="none" w:sz="0" w:space="0" w:color="auto"/>
      </w:divBdr>
    </w:div>
    <w:div w:id="207228734">
      <w:bodyDiv w:val="1"/>
      <w:marLeft w:val="0"/>
      <w:marRight w:val="0"/>
      <w:marTop w:val="0"/>
      <w:marBottom w:val="0"/>
      <w:divBdr>
        <w:top w:val="none" w:sz="0" w:space="0" w:color="auto"/>
        <w:left w:val="none" w:sz="0" w:space="0" w:color="auto"/>
        <w:bottom w:val="none" w:sz="0" w:space="0" w:color="auto"/>
        <w:right w:val="none" w:sz="0" w:space="0" w:color="auto"/>
      </w:divBdr>
    </w:div>
    <w:div w:id="207305624">
      <w:bodyDiv w:val="1"/>
      <w:marLeft w:val="0"/>
      <w:marRight w:val="0"/>
      <w:marTop w:val="0"/>
      <w:marBottom w:val="0"/>
      <w:divBdr>
        <w:top w:val="none" w:sz="0" w:space="0" w:color="auto"/>
        <w:left w:val="none" w:sz="0" w:space="0" w:color="auto"/>
        <w:bottom w:val="none" w:sz="0" w:space="0" w:color="auto"/>
        <w:right w:val="none" w:sz="0" w:space="0" w:color="auto"/>
      </w:divBdr>
    </w:div>
    <w:div w:id="207453219">
      <w:bodyDiv w:val="1"/>
      <w:marLeft w:val="0"/>
      <w:marRight w:val="0"/>
      <w:marTop w:val="0"/>
      <w:marBottom w:val="0"/>
      <w:divBdr>
        <w:top w:val="none" w:sz="0" w:space="0" w:color="auto"/>
        <w:left w:val="none" w:sz="0" w:space="0" w:color="auto"/>
        <w:bottom w:val="none" w:sz="0" w:space="0" w:color="auto"/>
        <w:right w:val="none" w:sz="0" w:space="0" w:color="auto"/>
      </w:divBdr>
    </w:div>
    <w:div w:id="207453473">
      <w:bodyDiv w:val="1"/>
      <w:marLeft w:val="0"/>
      <w:marRight w:val="0"/>
      <w:marTop w:val="0"/>
      <w:marBottom w:val="0"/>
      <w:divBdr>
        <w:top w:val="none" w:sz="0" w:space="0" w:color="auto"/>
        <w:left w:val="none" w:sz="0" w:space="0" w:color="auto"/>
        <w:bottom w:val="none" w:sz="0" w:space="0" w:color="auto"/>
        <w:right w:val="none" w:sz="0" w:space="0" w:color="auto"/>
      </w:divBdr>
    </w:div>
    <w:div w:id="207494549">
      <w:bodyDiv w:val="1"/>
      <w:marLeft w:val="0"/>
      <w:marRight w:val="0"/>
      <w:marTop w:val="0"/>
      <w:marBottom w:val="0"/>
      <w:divBdr>
        <w:top w:val="none" w:sz="0" w:space="0" w:color="auto"/>
        <w:left w:val="none" w:sz="0" w:space="0" w:color="auto"/>
        <w:bottom w:val="none" w:sz="0" w:space="0" w:color="auto"/>
        <w:right w:val="none" w:sz="0" w:space="0" w:color="auto"/>
      </w:divBdr>
    </w:div>
    <w:div w:id="207495812">
      <w:bodyDiv w:val="1"/>
      <w:marLeft w:val="0"/>
      <w:marRight w:val="0"/>
      <w:marTop w:val="0"/>
      <w:marBottom w:val="0"/>
      <w:divBdr>
        <w:top w:val="none" w:sz="0" w:space="0" w:color="auto"/>
        <w:left w:val="none" w:sz="0" w:space="0" w:color="auto"/>
        <w:bottom w:val="none" w:sz="0" w:space="0" w:color="auto"/>
        <w:right w:val="none" w:sz="0" w:space="0" w:color="auto"/>
      </w:divBdr>
    </w:div>
    <w:div w:id="207569746">
      <w:bodyDiv w:val="1"/>
      <w:marLeft w:val="0"/>
      <w:marRight w:val="0"/>
      <w:marTop w:val="0"/>
      <w:marBottom w:val="0"/>
      <w:divBdr>
        <w:top w:val="none" w:sz="0" w:space="0" w:color="auto"/>
        <w:left w:val="none" w:sz="0" w:space="0" w:color="auto"/>
        <w:bottom w:val="none" w:sz="0" w:space="0" w:color="auto"/>
        <w:right w:val="none" w:sz="0" w:space="0" w:color="auto"/>
      </w:divBdr>
    </w:div>
    <w:div w:id="207570234">
      <w:bodyDiv w:val="1"/>
      <w:marLeft w:val="0"/>
      <w:marRight w:val="0"/>
      <w:marTop w:val="0"/>
      <w:marBottom w:val="0"/>
      <w:divBdr>
        <w:top w:val="none" w:sz="0" w:space="0" w:color="auto"/>
        <w:left w:val="none" w:sz="0" w:space="0" w:color="auto"/>
        <w:bottom w:val="none" w:sz="0" w:space="0" w:color="auto"/>
        <w:right w:val="none" w:sz="0" w:space="0" w:color="auto"/>
      </w:divBdr>
    </w:div>
    <w:div w:id="207572201">
      <w:bodyDiv w:val="1"/>
      <w:marLeft w:val="0"/>
      <w:marRight w:val="0"/>
      <w:marTop w:val="0"/>
      <w:marBottom w:val="0"/>
      <w:divBdr>
        <w:top w:val="none" w:sz="0" w:space="0" w:color="auto"/>
        <w:left w:val="none" w:sz="0" w:space="0" w:color="auto"/>
        <w:bottom w:val="none" w:sz="0" w:space="0" w:color="auto"/>
        <w:right w:val="none" w:sz="0" w:space="0" w:color="auto"/>
      </w:divBdr>
    </w:div>
    <w:div w:id="207575176">
      <w:bodyDiv w:val="1"/>
      <w:marLeft w:val="0"/>
      <w:marRight w:val="0"/>
      <w:marTop w:val="0"/>
      <w:marBottom w:val="0"/>
      <w:divBdr>
        <w:top w:val="none" w:sz="0" w:space="0" w:color="auto"/>
        <w:left w:val="none" w:sz="0" w:space="0" w:color="auto"/>
        <w:bottom w:val="none" w:sz="0" w:space="0" w:color="auto"/>
        <w:right w:val="none" w:sz="0" w:space="0" w:color="auto"/>
      </w:divBdr>
    </w:div>
    <w:div w:id="207643270">
      <w:bodyDiv w:val="1"/>
      <w:marLeft w:val="0"/>
      <w:marRight w:val="0"/>
      <w:marTop w:val="0"/>
      <w:marBottom w:val="0"/>
      <w:divBdr>
        <w:top w:val="none" w:sz="0" w:space="0" w:color="auto"/>
        <w:left w:val="none" w:sz="0" w:space="0" w:color="auto"/>
        <w:bottom w:val="none" w:sz="0" w:space="0" w:color="auto"/>
        <w:right w:val="none" w:sz="0" w:space="0" w:color="auto"/>
      </w:divBdr>
    </w:div>
    <w:div w:id="207835768">
      <w:bodyDiv w:val="1"/>
      <w:marLeft w:val="0"/>
      <w:marRight w:val="0"/>
      <w:marTop w:val="0"/>
      <w:marBottom w:val="0"/>
      <w:divBdr>
        <w:top w:val="none" w:sz="0" w:space="0" w:color="auto"/>
        <w:left w:val="none" w:sz="0" w:space="0" w:color="auto"/>
        <w:bottom w:val="none" w:sz="0" w:space="0" w:color="auto"/>
        <w:right w:val="none" w:sz="0" w:space="0" w:color="auto"/>
      </w:divBdr>
    </w:div>
    <w:div w:id="207842086">
      <w:bodyDiv w:val="1"/>
      <w:marLeft w:val="0"/>
      <w:marRight w:val="0"/>
      <w:marTop w:val="0"/>
      <w:marBottom w:val="0"/>
      <w:divBdr>
        <w:top w:val="none" w:sz="0" w:space="0" w:color="auto"/>
        <w:left w:val="none" w:sz="0" w:space="0" w:color="auto"/>
        <w:bottom w:val="none" w:sz="0" w:space="0" w:color="auto"/>
        <w:right w:val="none" w:sz="0" w:space="0" w:color="auto"/>
      </w:divBdr>
    </w:div>
    <w:div w:id="207843018">
      <w:bodyDiv w:val="1"/>
      <w:marLeft w:val="0"/>
      <w:marRight w:val="0"/>
      <w:marTop w:val="0"/>
      <w:marBottom w:val="0"/>
      <w:divBdr>
        <w:top w:val="none" w:sz="0" w:space="0" w:color="auto"/>
        <w:left w:val="none" w:sz="0" w:space="0" w:color="auto"/>
        <w:bottom w:val="none" w:sz="0" w:space="0" w:color="auto"/>
        <w:right w:val="none" w:sz="0" w:space="0" w:color="auto"/>
      </w:divBdr>
    </w:div>
    <w:div w:id="208078283">
      <w:bodyDiv w:val="1"/>
      <w:marLeft w:val="0"/>
      <w:marRight w:val="0"/>
      <w:marTop w:val="0"/>
      <w:marBottom w:val="0"/>
      <w:divBdr>
        <w:top w:val="none" w:sz="0" w:space="0" w:color="auto"/>
        <w:left w:val="none" w:sz="0" w:space="0" w:color="auto"/>
        <w:bottom w:val="none" w:sz="0" w:space="0" w:color="auto"/>
        <w:right w:val="none" w:sz="0" w:space="0" w:color="auto"/>
      </w:divBdr>
    </w:div>
    <w:div w:id="208495513">
      <w:bodyDiv w:val="1"/>
      <w:marLeft w:val="0"/>
      <w:marRight w:val="0"/>
      <w:marTop w:val="0"/>
      <w:marBottom w:val="0"/>
      <w:divBdr>
        <w:top w:val="none" w:sz="0" w:space="0" w:color="auto"/>
        <w:left w:val="none" w:sz="0" w:space="0" w:color="auto"/>
        <w:bottom w:val="none" w:sz="0" w:space="0" w:color="auto"/>
        <w:right w:val="none" w:sz="0" w:space="0" w:color="auto"/>
      </w:divBdr>
    </w:div>
    <w:div w:id="208537628">
      <w:bodyDiv w:val="1"/>
      <w:marLeft w:val="0"/>
      <w:marRight w:val="0"/>
      <w:marTop w:val="0"/>
      <w:marBottom w:val="0"/>
      <w:divBdr>
        <w:top w:val="none" w:sz="0" w:space="0" w:color="auto"/>
        <w:left w:val="none" w:sz="0" w:space="0" w:color="auto"/>
        <w:bottom w:val="none" w:sz="0" w:space="0" w:color="auto"/>
        <w:right w:val="none" w:sz="0" w:space="0" w:color="auto"/>
      </w:divBdr>
    </w:div>
    <w:div w:id="208540088">
      <w:bodyDiv w:val="1"/>
      <w:marLeft w:val="0"/>
      <w:marRight w:val="0"/>
      <w:marTop w:val="0"/>
      <w:marBottom w:val="0"/>
      <w:divBdr>
        <w:top w:val="none" w:sz="0" w:space="0" w:color="auto"/>
        <w:left w:val="none" w:sz="0" w:space="0" w:color="auto"/>
        <w:bottom w:val="none" w:sz="0" w:space="0" w:color="auto"/>
        <w:right w:val="none" w:sz="0" w:space="0" w:color="auto"/>
      </w:divBdr>
    </w:div>
    <w:div w:id="208689872">
      <w:bodyDiv w:val="1"/>
      <w:marLeft w:val="0"/>
      <w:marRight w:val="0"/>
      <w:marTop w:val="0"/>
      <w:marBottom w:val="0"/>
      <w:divBdr>
        <w:top w:val="none" w:sz="0" w:space="0" w:color="auto"/>
        <w:left w:val="none" w:sz="0" w:space="0" w:color="auto"/>
        <w:bottom w:val="none" w:sz="0" w:space="0" w:color="auto"/>
        <w:right w:val="none" w:sz="0" w:space="0" w:color="auto"/>
      </w:divBdr>
    </w:div>
    <w:div w:id="208763931">
      <w:bodyDiv w:val="1"/>
      <w:marLeft w:val="0"/>
      <w:marRight w:val="0"/>
      <w:marTop w:val="0"/>
      <w:marBottom w:val="0"/>
      <w:divBdr>
        <w:top w:val="none" w:sz="0" w:space="0" w:color="auto"/>
        <w:left w:val="none" w:sz="0" w:space="0" w:color="auto"/>
        <w:bottom w:val="none" w:sz="0" w:space="0" w:color="auto"/>
        <w:right w:val="none" w:sz="0" w:space="0" w:color="auto"/>
      </w:divBdr>
    </w:div>
    <w:div w:id="208878620">
      <w:bodyDiv w:val="1"/>
      <w:marLeft w:val="0"/>
      <w:marRight w:val="0"/>
      <w:marTop w:val="0"/>
      <w:marBottom w:val="0"/>
      <w:divBdr>
        <w:top w:val="none" w:sz="0" w:space="0" w:color="auto"/>
        <w:left w:val="none" w:sz="0" w:space="0" w:color="auto"/>
        <w:bottom w:val="none" w:sz="0" w:space="0" w:color="auto"/>
        <w:right w:val="none" w:sz="0" w:space="0" w:color="auto"/>
      </w:divBdr>
    </w:div>
    <w:div w:id="208955065">
      <w:bodyDiv w:val="1"/>
      <w:marLeft w:val="0"/>
      <w:marRight w:val="0"/>
      <w:marTop w:val="0"/>
      <w:marBottom w:val="0"/>
      <w:divBdr>
        <w:top w:val="none" w:sz="0" w:space="0" w:color="auto"/>
        <w:left w:val="none" w:sz="0" w:space="0" w:color="auto"/>
        <w:bottom w:val="none" w:sz="0" w:space="0" w:color="auto"/>
        <w:right w:val="none" w:sz="0" w:space="0" w:color="auto"/>
      </w:divBdr>
    </w:div>
    <w:div w:id="209071612">
      <w:bodyDiv w:val="1"/>
      <w:marLeft w:val="0"/>
      <w:marRight w:val="0"/>
      <w:marTop w:val="0"/>
      <w:marBottom w:val="0"/>
      <w:divBdr>
        <w:top w:val="none" w:sz="0" w:space="0" w:color="auto"/>
        <w:left w:val="none" w:sz="0" w:space="0" w:color="auto"/>
        <w:bottom w:val="none" w:sz="0" w:space="0" w:color="auto"/>
        <w:right w:val="none" w:sz="0" w:space="0" w:color="auto"/>
      </w:divBdr>
    </w:div>
    <w:div w:id="209075008">
      <w:bodyDiv w:val="1"/>
      <w:marLeft w:val="0"/>
      <w:marRight w:val="0"/>
      <w:marTop w:val="0"/>
      <w:marBottom w:val="0"/>
      <w:divBdr>
        <w:top w:val="none" w:sz="0" w:space="0" w:color="auto"/>
        <w:left w:val="none" w:sz="0" w:space="0" w:color="auto"/>
        <w:bottom w:val="none" w:sz="0" w:space="0" w:color="auto"/>
        <w:right w:val="none" w:sz="0" w:space="0" w:color="auto"/>
      </w:divBdr>
    </w:div>
    <w:div w:id="209076842">
      <w:bodyDiv w:val="1"/>
      <w:marLeft w:val="0"/>
      <w:marRight w:val="0"/>
      <w:marTop w:val="0"/>
      <w:marBottom w:val="0"/>
      <w:divBdr>
        <w:top w:val="none" w:sz="0" w:space="0" w:color="auto"/>
        <w:left w:val="none" w:sz="0" w:space="0" w:color="auto"/>
        <w:bottom w:val="none" w:sz="0" w:space="0" w:color="auto"/>
        <w:right w:val="none" w:sz="0" w:space="0" w:color="auto"/>
      </w:divBdr>
    </w:div>
    <w:div w:id="209194534">
      <w:bodyDiv w:val="1"/>
      <w:marLeft w:val="0"/>
      <w:marRight w:val="0"/>
      <w:marTop w:val="0"/>
      <w:marBottom w:val="0"/>
      <w:divBdr>
        <w:top w:val="none" w:sz="0" w:space="0" w:color="auto"/>
        <w:left w:val="none" w:sz="0" w:space="0" w:color="auto"/>
        <w:bottom w:val="none" w:sz="0" w:space="0" w:color="auto"/>
        <w:right w:val="none" w:sz="0" w:space="0" w:color="auto"/>
      </w:divBdr>
    </w:div>
    <w:div w:id="209340447">
      <w:bodyDiv w:val="1"/>
      <w:marLeft w:val="0"/>
      <w:marRight w:val="0"/>
      <w:marTop w:val="0"/>
      <w:marBottom w:val="0"/>
      <w:divBdr>
        <w:top w:val="none" w:sz="0" w:space="0" w:color="auto"/>
        <w:left w:val="none" w:sz="0" w:space="0" w:color="auto"/>
        <w:bottom w:val="none" w:sz="0" w:space="0" w:color="auto"/>
        <w:right w:val="none" w:sz="0" w:space="0" w:color="auto"/>
      </w:divBdr>
    </w:div>
    <w:div w:id="209343549">
      <w:bodyDiv w:val="1"/>
      <w:marLeft w:val="0"/>
      <w:marRight w:val="0"/>
      <w:marTop w:val="0"/>
      <w:marBottom w:val="0"/>
      <w:divBdr>
        <w:top w:val="none" w:sz="0" w:space="0" w:color="auto"/>
        <w:left w:val="none" w:sz="0" w:space="0" w:color="auto"/>
        <w:bottom w:val="none" w:sz="0" w:space="0" w:color="auto"/>
        <w:right w:val="none" w:sz="0" w:space="0" w:color="auto"/>
      </w:divBdr>
    </w:div>
    <w:div w:id="209388067">
      <w:bodyDiv w:val="1"/>
      <w:marLeft w:val="0"/>
      <w:marRight w:val="0"/>
      <w:marTop w:val="0"/>
      <w:marBottom w:val="0"/>
      <w:divBdr>
        <w:top w:val="none" w:sz="0" w:space="0" w:color="auto"/>
        <w:left w:val="none" w:sz="0" w:space="0" w:color="auto"/>
        <w:bottom w:val="none" w:sz="0" w:space="0" w:color="auto"/>
        <w:right w:val="none" w:sz="0" w:space="0" w:color="auto"/>
      </w:divBdr>
    </w:div>
    <w:div w:id="209390475">
      <w:bodyDiv w:val="1"/>
      <w:marLeft w:val="0"/>
      <w:marRight w:val="0"/>
      <w:marTop w:val="0"/>
      <w:marBottom w:val="0"/>
      <w:divBdr>
        <w:top w:val="none" w:sz="0" w:space="0" w:color="auto"/>
        <w:left w:val="none" w:sz="0" w:space="0" w:color="auto"/>
        <w:bottom w:val="none" w:sz="0" w:space="0" w:color="auto"/>
        <w:right w:val="none" w:sz="0" w:space="0" w:color="auto"/>
      </w:divBdr>
    </w:div>
    <w:div w:id="209415212">
      <w:bodyDiv w:val="1"/>
      <w:marLeft w:val="0"/>
      <w:marRight w:val="0"/>
      <w:marTop w:val="0"/>
      <w:marBottom w:val="0"/>
      <w:divBdr>
        <w:top w:val="none" w:sz="0" w:space="0" w:color="auto"/>
        <w:left w:val="none" w:sz="0" w:space="0" w:color="auto"/>
        <w:bottom w:val="none" w:sz="0" w:space="0" w:color="auto"/>
        <w:right w:val="none" w:sz="0" w:space="0" w:color="auto"/>
      </w:divBdr>
    </w:div>
    <w:div w:id="209418135">
      <w:bodyDiv w:val="1"/>
      <w:marLeft w:val="0"/>
      <w:marRight w:val="0"/>
      <w:marTop w:val="0"/>
      <w:marBottom w:val="0"/>
      <w:divBdr>
        <w:top w:val="none" w:sz="0" w:space="0" w:color="auto"/>
        <w:left w:val="none" w:sz="0" w:space="0" w:color="auto"/>
        <w:bottom w:val="none" w:sz="0" w:space="0" w:color="auto"/>
        <w:right w:val="none" w:sz="0" w:space="0" w:color="auto"/>
      </w:divBdr>
    </w:div>
    <w:div w:id="209462228">
      <w:bodyDiv w:val="1"/>
      <w:marLeft w:val="0"/>
      <w:marRight w:val="0"/>
      <w:marTop w:val="0"/>
      <w:marBottom w:val="0"/>
      <w:divBdr>
        <w:top w:val="none" w:sz="0" w:space="0" w:color="auto"/>
        <w:left w:val="none" w:sz="0" w:space="0" w:color="auto"/>
        <w:bottom w:val="none" w:sz="0" w:space="0" w:color="auto"/>
        <w:right w:val="none" w:sz="0" w:space="0" w:color="auto"/>
      </w:divBdr>
    </w:div>
    <w:div w:id="209653355">
      <w:bodyDiv w:val="1"/>
      <w:marLeft w:val="0"/>
      <w:marRight w:val="0"/>
      <w:marTop w:val="0"/>
      <w:marBottom w:val="0"/>
      <w:divBdr>
        <w:top w:val="none" w:sz="0" w:space="0" w:color="auto"/>
        <w:left w:val="none" w:sz="0" w:space="0" w:color="auto"/>
        <w:bottom w:val="none" w:sz="0" w:space="0" w:color="auto"/>
        <w:right w:val="none" w:sz="0" w:space="0" w:color="auto"/>
      </w:divBdr>
    </w:div>
    <w:div w:id="209659111">
      <w:bodyDiv w:val="1"/>
      <w:marLeft w:val="0"/>
      <w:marRight w:val="0"/>
      <w:marTop w:val="0"/>
      <w:marBottom w:val="0"/>
      <w:divBdr>
        <w:top w:val="none" w:sz="0" w:space="0" w:color="auto"/>
        <w:left w:val="none" w:sz="0" w:space="0" w:color="auto"/>
        <w:bottom w:val="none" w:sz="0" w:space="0" w:color="auto"/>
        <w:right w:val="none" w:sz="0" w:space="0" w:color="auto"/>
      </w:divBdr>
    </w:div>
    <w:div w:id="209727126">
      <w:bodyDiv w:val="1"/>
      <w:marLeft w:val="0"/>
      <w:marRight w:val="0"/>
      <w:marTop w:val="0"/>
      <w:marBottom w:val="0"/>
      <w:divBdr>
        <w:top w:val="none" w:sz="0" w:space="0" w:color="auto"/>
        <w:left w:val="none" w:sz="0" w:space="0" w:color="auto"/>
        <w:bottom w:val="none" w:sz="0" w:space="0" w:color="auto"/>
        <w:right w:val="none" w:sz="0" w:space="0" w:color="auto"/>
      </w:divBdr>
    </w:div>
    <w:div w:id="209731095">
      <w:bodyDiv w:val="1"/>
      <w:marLeft w:val="0"/>
      <w:marRight w:val="0"/>
      <w:marTop w:val="0"/>
      <w:marBottom w:val="0"/>
      <w:divBdr>
        <w:top w:val="none" w:sz="0" w:space="0" w:color="auto"/>
        <w:left w:val="none" w:sz="0" w:space="0" w:color="auto"/>
        <w:bottom w:val="none" w:sz="0" w:space="0" w:color="auto"/>
        <w:right w:val="none" w:sz="0" w:space="0" w:color="auto"/>
      </w:divBdr>
    </w:div>
    <w:div w:id="209735110">
      <w:bodyDiv w:val="1"/>
      <w:marLeft w:val="0"/>
      <w:marRight w:val="0"/>
      <w:marTop w:val="0"/>
      <w:marBottom w:val="0"/>
      <w:divBdr>
        <w:top w:val="none" w:sz="0" w:space="0" w:color="auto"/>
        <w:left w:val="none" w:sz="0" w:space="0" w:color="auto"/>
        <w:bottom w:val="none" w:sz="0" w:space="0" w:color="auto"/>
        <w:right w:val="none" w:sz="0" w:space="0" w:color="auto"/>
      </w:divBdr>
    </w:div>
    <w:div w:id="210003693">
      <w:bodyDiv w:val="1"/>
      <w:marLeft w:val="0"/>
      <w:marRight w:val="0"/>
      <w:marTop w:val="0"/>
      <w:marBottom w:val="0"/>
      <w:divBdr>
        <w:top w:val="none" w:sz="0" w:space="0" w:color="auto"/>
        <w:left w:val="none" w:sz="0" w:space="0" w:color="auto"/>
        <w:bottom w:val="none" w:sz="0" w:space="0" w:color="auto"/>
        <w:right w:val="none" w:sz="0" w:space="0" w:color="auto"/>
      </w:divBdr>
    </w:div>
    <w:div w:id="210044794">
      <w:bodyDiv w:val="1"/>
      <w:marLeft w:val="0"/>
      <w:marRight w:val="0"/>
      <w:marTop w:val="0"/>
      <w:marBottom w:val="0"/>
      <w:divBdr>
        <w:top w:val="none" w:sz="0" w:space="0" w:color="auto"/>
        <w:left w:val="none" w:sz="0" w:space="0" w:color="auto"/>
        <w:bottom w:val="none" w:sz="0" w:space="0" w:color="auto"/>
        <w:right w:val="none" w:sz="0" w:space="0" w:color="auto"/>
      </w:divBdr>
    </w:div>
    <w:div w:id="210113128">
      <w:bodyDiv w:val="1"/>
      <w:marLeft w:val="0"/>
      <w:marRight w:val="0"/>
      <w:marTop w:val="0"/>
      <w:marBottom w:val="0"/>
      <w:divBdr>
        <w:top w:val="none" w:sz="0" w:space="0" w:color="auto"/>
        <w:left w:val="none" w:sz="0" w:space="0" w:color="auto"/>
        <w:bottom w:val="none" w:sz="0" w:space="0" w:color="auto"/>
        <w:right w:val="none" w:sz="0" w:space="0" w:color="auto"/>
      </w:divBdr>
    </w:div>
    <w:div w:id="210116401">
      <w:bodyDiv w:val="1"/>
      <w:marLeft w:val="0"/>
      <w:marRight w:val="0"/>
      <w:marTop w:val="0"/>
      <w:marBottom w:val="0"/>
      <w:divBdr>
        <w:top w:val="none" w:sz="0" w:space="0" w:color="auto"/>
        <w:left w:val="none" w:sz="0" w:space="0" w:color="auto"/>
        <w:bottom w:val="none" w:sz="0" w:space="0" w:color="auto"/>
        <w:right w:val="none" w:sz="0" w:space="0" w:color="auto"/>
      </w:divBdr>
    </w:div>
    <w:div w:id="210116762">
      <w:bodyDiv w:val="1"/>
      <w:marLeft w:val="0"/>
      <w:marRight w:val="0"/>
      <w:marTop w:val="0"/>
      <w:marBottom w:val="0"/>
      <w:divBdr>
        <w:top w:val="none" w:sz="0" w:space="0" w:color="auto"/>
        <w:left w:val="none" w:sz="0" w:space="0" w:color="auto"/>
        <w:bottom w:val="none" w:sz="0" w:space="0" w:color="auto"/>
        <w:right w:val="none" w:sz="0" w:space="0" w:color="auto"/>
      </w:divBdr>
    </w:div>
    <w:div w:id="210306393">
      <w:bodyDiv w:val="1"/>
      <w:marLeft w:val="0"/>
      <w:marRight w:val="0"/>
      <w:marTop w:val="0"/>
      <w:marBottom w:val="0"/>
      <w:divBdr>
        <w:top w:val="none" w:sz="0" w:space="0" w:color="auto"/>
        <w:left w:val="none" w:sz="0" w:space="0" w:color="auto"/>
        <w:bottom w:val="none" w:sz="0" w:space="0" w:color="auto"/>
        <w:right w:val="none" w:sz="0" w:space="0" w:color="auto"/>
      </w:divBdr>
    </w:div>
    <w:div w:id="210310308">
      <w:bodyDiv w:val="1"/>
      <w:marLeft w:val="0"/>
      <w:marRight w:val="0"/>
      <w:marTop w:val="0"/>
      <w:marBottom w:val="0"/>
      <w:divBdr>
        <w:top w:val="none" w:sz="0" w:space="0" w:color="auto"/>
        <w:left w:val="none" w:sz="0" w:space="0" w:color="auto"/>
        <w:bottom w:val="none" w:sz="0" w:space="0" w:color="auto"/>
        <w:right w:val="none" w:sz="0" w:space="0" w:color="auto"/>
      </w:divBdr>
    </w:div>
    <w:div w:id="210463611">
      <w:bodyDiv w:val="1"/>
      <w:marLeft w:val="0"/>
      <w:marRight w:val="0"/>
      <w:marTop w:val="0"/>
      <w:marBottom w:val="0"/>
      <w:divBdr>
        <w:top w:val="none" w:sz="0" w:space="0" w:color="auto"/>
        <w:left w:val="none" w:sz="0" w:space="0" w:color="auto"/>
        <w:bottom w:val="none" w:sz="0" w:space="0" w:color="auto"/>
        <w:right w:val="none" w:sz="0" w:space="0" w:color="auto"/>
      </w:divBdr>
    </w:div>
    <w:div w:id="210465509">
      <w:bodyDiv w:val="1"/>
      <w:marLeft w:val="0"/>
      <w:marRight w:val="0"/>
      <w:marTop w:val="0"/>
      <w:marBottom w:val="0"/>
      <w:divBdr>
        <w:top w:val="none" w:sz="0" w:space="0" w:color="auto"/>
        <w:left w:val="none" w:sz="0" w:space="0" w:color="auto"/>
        <w:bottom w:val="none" w:sz="0" w:space="0" w:color="auto"/>
        <w:right w:val="none" w:sz="0" w:space="0" w:color="auto"/>
      </w:divBdr>
    </w:div>
    <w:div w:id="210770126">
      <w:bodyDiv w:val="1"/>
      <w:marLeft w:val="0"/>
      <w:marRight w:val="0"/>
      <w:marTop w:val="0"/>
      <w:marBottom w:val="0"/>
      <w:divBdr>
        <w:top w:val="none" w:sz="0" w:space="0" w:color="auto"/>
        <w:left w:val="none" w:sz="0" w:space="0" w:color="auto"/>
        <w:bottom w:val="none" w:sz="0" w:space="0" w:color="auto"/>
        <w:right w:val="none" w:sz="0" w:space="0" w:color="auto"/>
      </w:divBdr>
    </w:div>
    <w:div w:id="210923367">
      <w:bodyDiv w:val="1"/>
      <w:marLeft w:val="0"/>
      <w:marRight w:val="0"/>
      <w:marTop w:val="0"/>
      <w:marBottom w:val="0"/>
      <w:divBdr>
        <w:top w:val="none" w:sz="0" w:space="0" w:color="auto"/>
        <w:left w:val="none" w:sz="0" w:space="0" w:color="auto"/>
        <w:bottom w:val="none" w:sz="0" w:space="0" w:color="auto"/>
        <w:right w:val="none" w:sz="0" w:space="0" w:color="auto"/>
      </w:divBdr>
    </w:div>
    <w:div w:id="210968650">
      <w:bodyDiv w:val="1"/>
      <w:marLeft w:val="0"/>
      <w:marRight w:val="0"/>
      <w:marTop w:val="0"/>
      <w:marBottom w:val="0"/>
      <w:divBdr>
        <w:top w:val="none" w:sz="0" w:space="0" w:color="auto"/>
        <w:left w:val="none" w:sz="0" w:space="0" w:color="auto"/>
        <w:bottom w:val="none" w:sz="0" w:space="0" w:color="auto"/>
        <w:right w:val="none" w:sz="0" w:space="0" w:color="auto"/>
      </w:divBdr>
    </w:div>
    <w:div w:id="211042249">
      <w:bodyDiv w:val="1"/>
      <w:marLeft w:val="0"/>
      <w:marRight w:val="0"/>
      <w:marTop w:val="0"/>
      <w:marBottom w:val="0"/>
      <w:divBdr>
        <w:top w:val="none" w:sz="0" w:space="0" w:color="auto"/>
        <w:left w:val="none" w:sz="0" w:space="0" w:color="auto"/>
        <w:bottom w:val="none" w:sz="0" w:space="0" w:color="auto"/>
        <w:right w:val="none" w:sz="0" w:space="0" w:color="auto"/>
      </w:divBdr>
    </w:div>
    <w:div w:id="211119823">
      <w:bodyDiv w:val="1"/>
      <w:marLeft w:val="0"/>
      <w:marRight w:val="0"/>
      <w:marTop w:val="0"/>
      <w:marBottom w:val="0"/>
      <w:divBdr>
        <w:top w:val="none" w:sz="0" w:space="0" w:color="auto"/>
        <w:left w:val="none" w:sz="0" w:space="0" w:color="auto"/>
        <w:bottom w:val="none" w:sz="0" w:space="0" w:color="auto"/>
        <w:right w:val="none" w:sz="0" w:space="0" w:color="auto"/>
      </w:divBdr>
    </w:div>
    <w:div w:id="211188086">
      <w:bodyDiv w:val="1"/>
      <w:marLeft w:val="0"/>
      <w:marRight w:val="0"/>
      <w:marTop w:val="0"/>
      <w:marBottom w:val="0"/>
      <w:divBdr>
        <w:top w:val="none" w:sz="0" w:space="0" w:color="auto"/>
        <w:left w:val="none" w:sz="0" w:space="0" w:color="auto"/>
        <w:bottom w:val="none" w:sz="0" w:space="0" w:color="auto"/>
        <w:right w:val="none" w:sz="0" w:space="0" w:color="auto"/>
      </w:divBdr>
    </w:div>
    <w:div w:id="211234187">
      <w:bodyDiv w:val="1"/>
      <w:marLeft w:val="0"/>
      <w:marRight w:val="0"/>
      <w:marTop w:val="0"/>
      <w:marBottom w:val="0"/>
      <w:divBdr>
        <w:top w:val="none" w:sz="0" w:space="0" w:color="auto"/>
        <w:left w:val="none" w:sz="0" w:space="0" w:color="auto"/>
        <w:bottom w:val="none" w:sz="0" w:space="0" w:color="auto"/>
        <w:right w:val="none" w:sz="0" w:space="0" w:color="auto"/>
      </w:divBdr>
    </w:div>
    <w:div w:id="211357019">
      <w:bodyDiv w:val="1"/>
      <w:marLeft w:val="0"/>
      <w:marRight w:val="0"/>
      <w:marTop w:val="0"/>
      <w:marBottom w:val="0"/>
      <w:divBdr>
        <w:top w:val="none" w:sz="0" w:space="0" w:color="auto"/>
        <w:left w:val="none" w:sz="0" w:space="0" w:color="auto"/>
        <w:bottom w:val="none" w:sz="0" w:space="0" w:color="auto"/>
        <w:right w:val="none" w:sz="0" w:space="0" w:color="auto"/>
      </w:divBdr>
    </w:div>
    <w:div w:id="211424355">
      <w:bodyDiv w:val="1"/>
      <w:marLeft w:val="0"/>
      <w:marRight w:val="0"/>
      <w:marTop w:val="0"/>
      <w:marBottom w:val="0"/>
      <w:divBdr>
        <w:top w:val="none" w:sz="0" w:space="0" w:color="auto"/>
        <w:left w:val="none" w:sz="0" w:space="0" w:color="auto"/>
        <w:bottom w:val="none" w:sz="0" w:space="0" w:color="auto"/>
        <w:right w:val="none" w:sz="0" w:space="0" w:color="auto"/>
      </w:divBdr>
    </w:div>
    <w:div w:id="211427344">
      <w:bodyDiv w:val="1"/>
      <w:marLeft w:val="0"/>
      <w:marRight w:val="0"/>
      <w:marTop w:val="0"/>
      <w:marBottom w:val="0"/>
      <w:divBdr>
        <w:top w:val="none" w:sz="0" w:space="0" w:color="auto"/>
        <w:left w:val="none" w:sz="0" w:space="0" w:color="auto"/>
        <w:bottom w:val="none" w:sz="0" w:space="0" w:color="auto"/>
        <w:right w:val="none" w:sz="0" w:space="0" w:color="auto"/>
      </w:divBdr>
    </w:div>
    <w:div w:id="211428686">
      <w:bodyDiv w:val="1"/>
      <w:marLeft w:val="0"/>
      <w:marRight w:val="0"/>
      <w:marTop w:val="0"/>
      <w:marBottom w:val="0"/>
      <w:divBdr>
        <w:top w:val="none" w:sz="0" w:space="0" w:color="auto"/>
        <w:left w:val="none" w:sz="0" w:space="0" w:color="auto"/>
        <w:bottom w:val="none" w:sz="0" w:space="0" w:color="auto"/>
        <w:right w:val="none" w:sz="0" w:space="0" w:color="auto"/>
      </w:divBdr>
    </w:div>
    <w:div w:id="211505065">
      <w:bodyDiv w:val="1"/>
      <w:marLeft w:val="0"/>
      <w:marRight w:val="0"/>
      <w:marTop w:val="0"/>
      <w:marBottom w:val="0"/>
      <w:divBdr>
        <w:top w:val="none" w:sz="0" w:space="0" w:color="auto"/>
        <w:left w:val="none" w:sz="0" w:space="0" w:color="auto"/>
        <w:bottom w:val="none" w:sz="0" w:space="0" w:color="auto"/>
        <w:right w:val="none" w:sz="0" w:space="0" w:color="auto"/>
      </w:divBdr>
    </w:div>
    <w:div w:id="211508047">
      <w:bodyDiv w:val="1"/>
      <w:marLeft w:val="0"/>
      <w:marRight w:val="0"/>
      <w:marTop w:val="0"/>
      <w:marBottom w:val="0"/>
      <w:divBdr>
        <w:top w:val="none" w:sz="0" w:space="0" w:color="auto"/>
        <w:left w:val="none" w:sz="0" w:space="0" w:color="auto"/>
        <w:bottom w:val="none" w:sz="0" w:space="0" w:color="auto"/>
        <w:right w:val="none" w:sz="0" w:space="0" w:color="auto"/>
      </w:divBdr>
    </w:div>
    <w:div w:id="211576084">
      <w:bodyDiv w:val="1"/>
      <w:marLeft w:val="0"/>
      <w:marRight w:val="0"/>
      <w:marTop w:val="0"/>
      <w:marBottom w:val="0"/>
      <w:divBdr>
        <w:top w:val="none" w:sz="0" w:space="0" w:color="auto"/>
        <w:left w:val="none" w:sz="0" w:space="0" w:color="auto"/>
        <w:bottom w:val="none" w:sz="0" w:space="0" w:color="auto"/>
        <w:right w:val="none" w:sz="0" w:space="0" w:color="auto"/>
      </w:divBdr>
    </w:div>
    <w:div w:id="211577673">
      <w:bodyDiv w:val="1"/>
      <w:marLeft w:val="0"/>
      <w:marRight w:val="0"/>
      <w:marTop w:val="0"/>
      <w:marBottom w:val="0"/>
      <w:divBdr>
        <w:top w:val="none" w:sz="0" w:space="0" w:color="auto"/>
        <w:left w:val="none" w:sz="0" w:space="0" w:color="auto"/>
        <w:bottom w:val="none" w:sz="0" w:space="0" w:color="auto"/>
        <w:right w:val="none" w:sz="0" w:space="0" w:color="auto"/>
      </w:divBdr>
    </w:div>
    <w:div w:id="211621024">
      <w:bodyDiv w:val="1"/>
      <w:marLeft w:val="0"/>
      <w:marRight w:val="0"/>
      <w:marTop w:val="0"/>
      <w:marBottom w:val="0"/>
      <w:divBdr>
        <w:top w:val="none" w:sz="0" w:space="0" w:color="auto"/>
        <w:left w:val="none" w:sz="0" w:space="0" w:color="auto"/>
        <w:bottom w:val="none" w:sz="0" w:space="0" w:color="auto"/>
        <w:right w:val="none" w:sz="0" w:space="0" w:color="auto"/>
      </w:divBdr>
    </w:div>
    <w:div w:id="211694658">
      <w:bodyDiv w:val="1"/>
      <w:marLeft w:val="0"/>
      <w:marRight w:val="0"/>
      <w:marTop w:val="0"/>
      <w:marBottom w:val="0"/>
      <w:divBdr>
        <w:top w:val="none" w:sz="0" w:space="0" w:color="auto"/>
        <w:left w:val="none" w:sz="0" w:space="0" w:color="auto"/>
        <w:bottom w:val="none" w:sz="0" w:space="0" w:color="auto"/>
        <w:right w:val="none" w:sz="0" w:space="0" w:color="auto"/>
      </w:divBdr>
    </w:div>
    <w:div w:id="211770994">
      <w:bodyDiv w:val="1"/>
      <w:marLeft w:val="0"/>
      <w:marRight w:val="0"/>
      <w:marTop w:val="0"/>
      <w:marBottom w:val="0"/>
      <w:divBdr>
        <w:top w:val="none" w:sz="0" w:space="0" w:color="auto"/>
        <w:left w:val="none" w:sz="0" w:space="0" w:color="auto"/>
        <w:bottom w:val="none" w:sz="0" w:space="0" w:color="auto"/>
        <w:right w:val="none" w:sz="0" w:space="0" w:color="auto"/>
      </w:divBdr>
    </w:div>
    <w:div w:id="211889420">
      <w:bodyDiv w:val="1"/>
      <w:marLeft w:val="0"/>
      <w:marRight w:val="0"/>
      <w:marTop w:val="0"/>
      <w:marBottom w:val="0"/>
      <w:divBdr>
        <w:top w:val="none" w:sz="0" w:space="0" w:color="auto"/>
        <w:left w:val="none" w:sz="0" w:space="0" w:color="auto"/>
        <w:bottom w:val="none" w:sz="0" w:space="0" w:color="auto"/>
        <w:right w:val="none" w:sz="0" w:space="0" w:color="auto"/>
      </w:divBdr>
    </w:div>
    <w:div w:id="211892825">
      <w:bodyDiv w:val="1"/>
      <w:marLeft w:val="0"/>
      <w:marRight w:val="0"/>
      <w:marTop w:val="0"/>
      <w:marBottom w:val="0"/>
      <w:divBdr>
        <w:top w:val="none" w:sz="0" w:space="0" w:color="auto"/>
        <w:left w:val="none" w:sz="0" w:space="0" w:color="auto"/>
        <w:bottom w:val="none" w:sz="0" w:space="0" w:color="auto"/>
        <w:right w:val="none" w:sz="0" w:space="0" w:color="auto"/>
      </w:divBdr>
    </w:div>
    <w:div w:id="212037958">
      <w:bodyDiv w:val="1"/>
      <w:marLeft w:val="0"/>
      <w:marRight w:val="0"/>
      <w:marTop w:val="0"/>
      <w:marBottom w:val="0"/>
      <w:divBdr>
        <w:top w:val="none" w:sz="0" w:space="0" w:color="auto"/>
        <w:left w:val="none" w:sz="0" w:space="0" w:color="auto"/>
        <w:bottom w:val="none" w:sz="0" w:space="0" w:color="auto"/>
        <w:right w:val="none" w:sz="0" w:space="0" w:color="auto"/>
      </w:divBdr>
    </w:div>
    <w:div w:id="212038204">
      <w:bodyDiv w:val="1"/>
      <w:marLeft w:val="0"/>
      <w:marRight w:val="0"/>
      <w:marTop w:val="0"/>
      <w:marBottom w:val="0"/>
      <w:divBdr>
        <w:top w:val="none" w:sz="0" w:space="0" w:color="auto"/>
        <w:left w:val="none" w:sz="0" w:space="0" w:color="auto"/>
        <w:bottom w:val="none" w:sz="0" w:space="0" w:color="auto"/>
        <w:right w:val="none" w:sz="0" w:space="0" w:color="auto"/>
      </w:divBdr>
    </w:div>
    <w:div w:id="212039044">
      <w:bodyDiv w:val="1"/>
      <w:marLeft w:val="0"/>
      <w:marRight w:val="0"/>
      <w:marTop w:val="0"/>
      <w:marBottom w:val="0"/>
      <w:divBdr>
        <w:top w:val="none" w:sz="0" w:space="0" w:color="auto"/>
        <w:left w:val="none" w:sz="0" w:space="0" w:color="auto"/>
        <w:bottom w:val="none" w:sz="0" w:space="0" w:color="auto"/>
        <w:right w:val="none" w:sz="0" w:space="0" w:color="auto"/>
      </w:divBdr>
    </w:div>
    <w:div w:id="212161904">
      <w:bodyDiv w:val="1"/>
      <w:marLeft w:val="0"/>
      <w:marRight w:val="0"/>
      <w:marTop w:val="0"/>
      <w:marBottom w:val="0"/>
      <w:divBdr>
        <w:top w:val="none" w:sz="0" w:space="0" w:color="auto"/>
        <w:left w:val="none" w:sz="0" w:space="0" w:color="auto"/>
        <w:bottom w:val="none" w:sz="0" w:space="0" w:color="auto"/>
        <w:right w:val="none" w:sz="0" w:space="0" w:color="auto"/>
      </w:divBdr>
    </w:div>
    <w:div w:id="212232170">
      <w:bodyDiv w:val="1"/>
      <w:marLeft w:val="0"/>
      <w:marRight w:val="0"/>
      <w:marTop w:val="0"/>
      <w:marBottom w:val="0"/>
      <w:divBdr>
        <w:top w:val="none" w:sz="0" w:space="0" w:color="auto"/>
        <w:left w:val="none" w:sz="0" w:space="0" w:color="auto"/>
        <w:bottom w:val="none" w:sz="0" w:space="0" w:color="auto"/>
        <w:right w:val="none" w:sz="0" w:space="0" w:color="auto"/>
      </w:divBdr>
    </w:div>
    <w:div w:id="212236625">
      <w:bodyDiv w:val="1"/>
      <w:marLeft w:val="0"/>
      <w:marRight w:val="0"/>
      <w:marTop w:val="0"/>
      <w:marBottom w:val="0"/>
      <w:divBdr>
        <w:top w:val="none" w:sz="0" w:space="0" w:color="auto"/>
        <w:left w:val="none" w:sz="0" w:space="0" w:color="auto"/>
        <w:bottom w:val="none" w:sz="0" w:space="0" w:color="auto"/>
        <w:right w:val="none" w:sz="0" w:space="0" w:color="auto"/>
      </w:divBdr>
    </w:div>
    <w:div w:id="212274338">
      <w:bodyDiv w:val="1"/>
      <w:marLeft w:val="0"/>
      <w:marRight w:val="0"/>
      <w:marTop w:val="0"/>
      <w:marBottom w:val="0"/>
      <w:divBdr>
        <w:top w:val="none" w:sz="0" w:space="0" w:color="auto"/>
        <w:left w:val="none" w:sz="0" w:space="0" w:color="auto"/>
        <w:bottom w:val="none" w:sz="0" w:space="0" w:color="auto"/>
        <w:right w:val="none" w:sz="0" w:space="0" w:color="auto"/>
      </w:divBdr>
    </w:div>
    <w:div w:id="212281103">
      <w:bodyDiv w:val="1"/>
      <w:marLeft w:val="0"/>
      <w:marRight w:val="0"/>
      <w:marTop w:val="0"/>
      <w:marBottom w:val="0"/>
      <w:divBdr>
        <w:top w:val="none" w:sz="0" w:space="0" w:color="auto"/>
        <w:left w:val="none" w:sz="0" w:space="0" w:color="auto"/>
        <w:bottom w:val="none" w:sz="0" w:space="0" w:color="auto"/>
        <w:right w:val="none" w:sz="0" w:space="0" w:color="auto"/>
      </w:divBdr>
    </w:div>
    <w:div w:id="212347056">
      <w:bodyDiv w:val="1"/>
      <w:marLeft w:val="0"/>
      <w:marRight w:val="0"/>
      <w:marTop w:val="0"/>
      <w:marBottom w:val="0"/>
      <w:divBdr>
        <w:top w:val="none" w:sz="0" w:space="0" w:color="auto"/>
        <w:left w:val="none" w:sz="0" w:space="0" w:color="auto"/>
        <w:bottom w:val="none" w:sz="0" w:space="0" w:color="auto"/>
        <w:right w:val="none" w:sz="0" w:space="0" w:color="auto"/>
      </w:divBdr>
    </w:div>
    <w:div w:id="212426451">
      <w:bodyDiv w:val="1"/>
      <w:marLeft w:val="0"/>
      <w:marRight w:val="0"/>
      <w:marTop w:val="0"/>
      <w:marBottom w:val="0"/>
      <w:divBdr>
        <w:top w:val="none" w:sz="0" w:space="0" w:color="auto"/>
        <w:left w:val="none" w:sz="0" w:space="0" w:color="auto"/>
        <w:bottom w:val="none" w:sz="0" w:space="0" w:color="auto"/>
        <w:right w:val="none" w:sz="0" w:space="0" w:color="auto"/>
      </w:divBdr>
    </w:div>
    <w:div w:id="212472647">
      <w:bodyDiv w:val="1"/>
      <w:marLeft w:val="0"/>
      <w:marRight w:val="0"/>
      <w:marTop w:val="0"/>
      <w:marBottom w:val="0"/>
      <w:divBdr>
        <w:top w:val="none" w:sz="0" w:space="0" w:color="auto"/>
        <w:left w:val="none" w:sz="0" w:space="0" w:color="auto"/>
        <w:bottom w:val="none" w:sz="0" w:space="0" w:color="auto"/>
        <w:right w:val="none" w:sz="0" w:space="0" w:color="auto"/>
      </w:divBdr>
    </w:div>
    <w:div w:id="212474004">
      <w:bodyDiv w:val="1"/>
      <w:marLeft w:val="0"/>
      <w:marRight w:val="0"/>
      <w:marTop w:val="0"/>
      <w:marBottom w:val="0"/>
      <w:divBdr>
        <w:top w:val="none" w:sz="0" w:space="0" w:color="auto"/>
        <w:left w:val="none" w:sz="0" w:space="0" w:color="auto"/>
        <w:bottom w:val="none" w:sz="0" w:space="0" w:color="auto"/>
        <w:right w:val="none" w:sz="0" w:space="0" w:color="auto"/>
      </w:divBdr>
    </w:div>
    <w:div w:id="212540413">
      <w:bodyDiv w:val="1"/>
      <w:marLeft w:val="0"/>
      <w:marRight w:val="0"/>
      <w:marTop w:val="0"/>
      <w:marBottom w:val="0"/>
      <w:divBdr>
        <w:top w:val="none" w:sz="0" w:space="0" w:color="auto"/>
        <w:left w:val="none" w:sz="0" w:space="0" w:color="auto"/>
        <w:bottom w:val="none" w:sz="0" w:space="0" w:color="auto"/>
        <w:right w:val="none" w:sz="0" w:space="0" w:color="auto"/>
      </w:divBdr>
    </w:div>
    <w:div w:id="212691158">
      <w:bodyDiv w:val="1"/>
      <w:marLeft w:val="0"/>
      <w:marRight w:val="0"/>
      <w:marTop w:val="0"/>
      <w:marBottom w:val="0"/>
      <w:divBdr>
        <w:top w:val="none" w:sz="0" w:space="0" w:color="auto"/>
        <w:left w:val="none" w:sz="0" w:space="0" w:color="auto"/>
        <w:bottom w:val="none" w:sz="0" w:space="0" w:color="auto"/>
        <w:right w:val="none" w:sz="0" w:space="0" w:color="auto"/>
      </w:divBdr>
    </w:div>
    <w:div w:id="212736348">
      <w:bodyDiv w:val="1"/>
      <w:marLeft w:val="0"/>
      <w:marRight w:val="0"/>
      <w:marTop w:val="0"/>
      <w:marBottom w:val="0"/>
      <w:divBdr>
        <w:top w:val="none" w:sz="0" w:space="0" w:color="auto"/>
        <w:left w:val="none" w:sz="0" w:space="0" w:color="auto"/>
        <w:bottom w:val="none" w:sz="0" w:space="0" w:color="auto"/>
        <w:right w:val="none" w:sz="0" w:space="0" w:color="auto"/>
      </w:divBdr>
    </w:div>
    <w:div w:id="212739759">
      <w:bodyDiv w:val="1"/>
      <w:marLeft w:val="0"/>
      <w:marRight w:val="0"/>
      <w:marTop w:val="0"/>
      <w:marBottom w:val="0"/>
      <w:divBdr>
        <w:top w:val="none" w:sz="0" w:space="0" w:color="auto"/>
        <w:left w:val="none" w:sz="0" w:space="0" w:color="auto"/>
        <w:bottom w:val="none" w:sz="0" w:space="0" w:color="auto"/>
        <w:right w:val="none" w:sz="0" w:space="0" w:color="auto"/>
      </w:divBdr>
    </w:div>
    <w:div w:id="212818615">
      <w:bodyDiv w:val="1"/>
      <w:marLeft w:val="0"/>
      <w:marRight w:val="0"/>
      <w:marTop w:val="0"/>
      <w:marBottom w:val="0"/>
      <w:divBdr>
        <w:top w:val="none" w:sz="0" w:space="0" w:color="auto"/>
        <w:left w:val="none" w:sz="0" w:space="0" w:color="auto"/>
        <w:bottom w:val="none" w:sz="0" w:space="0" w:color="auto"/>
        <w:right w:val="none" w:sz="0" w:space="0" w:color="auto"/>
      </w:divBdr>
    </w:div>
    <w:div w:id="212935585">
      <w:bodyDiv w:val="1"/>
      <w:marLeft w:val="0"/>
      <w:marRight w:val="0"/>
      <w:marTop w:val="0"/>
      <w:marBottom w:val="0"/>
      <w:divBdr>
        <w:top w:val="none" w:sz="0" w:space="0" w:color="auto"/>
        <w:left w:val="none" w:sz="0" w:space="0" w:color="auto"/>
        <w:bottom w:val="none" w:sz="0" w:space="0" w:color="auto"/>
        <w:right w:val="none" w:sz="0" w:space="0" w:color="auto"/>
      </w:divBdr>
    </w:div>
    <w:div w:id="213010998">
      <w:bodyDiv w:val="1"/>
      <w:marLeft w:val="0"/>
      <w:marRight w:val="0"/>
      <w:marTop w:val="0"/>
      <w:marBottom w:val="0"/>
      <w:divBdr>
        <w:top w:val="none" w:sz="0" w:space="0" w:color="auto"/>
        <w:left w:val="none" w:sz="0" w:space="0" w:color="auto"/>
        <w:bottom w:val="none" w:sz="0" w:space="0" w:color="auto"/>
        <w:right w:val="none" w:sz="0" w:space="0" w:color="auto"/>
      </w:divBdr>
    </w:div>
    <w:div w:id="213079227">
      <w:bodyDiv w:val="1"/>
      <w:marLeft w:val="0"/>
      <w:marRight w:val="0"/>
      <w:marTop w:val="0"/>
      <w:marBottom w:val="0"/>
      <w:divBdr>
        <w:top w:val="none" w:sz="0" w:space="0" w:color="auto"/>
        <w:left w:val="none" w:sz="0" w:space="0" w:color="auto"/>
        <w:bottom w:val="none" w:sz="0" w:space="0" w:color="auto"/>
        <w:right w:val="none" w:sz="0" w:space="0" w:color="auto"/>
      </w:divBdr>
    </w:div>
    <w:div w:id="213082004">
      <w:bodyDiv w:val="1"/>
      <w:marLeft w:val="0"/>
      <w:marRight w:val="0"/>
      <w:marTop w:val="0"/>
      <w:marBottom w:val="0"/>
      <w:divBdr>
        <w:top w:val="none" w:sz="0" w:space="0" w:color="auto"/>
        <w:left w:val="none" w:sz="0" w:space="0" w:color="auto"/>
        <w:bottom w:val="none" w:sz="0" w:space="0" w:color="auto"/>
        <w:right w:val="none" w:sz="0" w:space="0" w:color="auto"/>
      </w:divBdr>
    </w:div>
    <w:div w:id="213082395">
      <w:bodyDiv w:val="1"/>
      <w:marLeft w:val="0"/>
      <w:marRight w:val="0"/>
      <w:marTop w:val="0"/>
      <w:marBottom w:val="0"/>
      <w:divBdr>
        <w:top w:val="none" w:sz="0" w:space="0" w:color="auto"/>
        <w:left w:val="none" w:sz="0" w:space="0" w:color="auto"/>
        <w:bottom w:val="none" w:sz="0" w:space="0" w:color="auto"/>
        <w:right w:val="none" w:sz="0" w:space="0" w:color="auto"/>
      </w:divBdr>
    </w:div>
    <w:div w:id="213154178">
      <w:bodyDiv w:val="1"/>
      <w:marLeft w:val="0"/>
      <w:marRight w:val="0"/>
      <w:marTop w:val="0"/>
      <w:marBottom w:val="0"/>
      <w:divBdr>
        <w:top w:val="none" w:sz="0" w:space="0" w:color="auto"/>
        <w:left w:val="none" w:sz="0" w:space="0" w:color="auto"/>
        <w:bottom w:val="none" w:sz="0" w:space="0" w:color="auto"/>
        <w:right w:val="none" w:sz="0" w:space="0" w:color="auto"/>
      </w:divBdr>
    </w:div>
    <w:div w:id="213272394">
      <w:bodyDiv w:val="1"/>
      <w:marLeft w:val="0"/>
      <w:marRight w:val="0"/>
      <w:marTop w:val="0"/>
      <w:marBottom w:val="0"/>
      <w:divBdr>
        <w:top w:val="none" w:sz="0" w:space="0" w:color="auto"/>
        <w:left w:val="none" w:sz="0" w:space="0" w:color="auto"/>
        <w:bottom w:val="none" w:sz="0" w:space="0" w:color="auto"/>
        <w:right w:val="none" w:sz="0" w:space="0" w:color="auto"/>
      </w:divBdr>
    </w:div>
    <w:div w:id="213390938">
      <w:bodyDiv w:val="1"/>
      <w:marLeft w:val="0"/>
      <w:marRight w:val="0"/>
      <w:marTop w:val="0"/>
      <w:marBottom w:val="0"/>
      <w:divBdr>
        <w:top w:val="none" w:sz="0" w:space="0" w:color="auto"/>
        <w:left w:val="none" w:sz="0" w:space="0" w:color="auto"/>
        <w:bottom w:val="none" w:sz="0" w:space="0" w:color="auto"/>
        <w:right w:val="none" w:sz="0" w:space="0" w:color="auto"/>
      </w:divBdr>
    </w:div>
    <w:div w:id="213542962">
      <w:bodyDiv w:val="1"/>
      <w:marLeft w:val="0"/>
      <w:marRight w:val="0"/>
      <w:marTop w:val="0"/>
      <w:marBottom w:val="0"/>
      <w:divBdr>
        <w:top w:val="none" w:sz="0" w:space="0" w:color="auto"/>
        <w:left w:val="none" w:sz="0" w:space="0" w:color="auto"/>
        <w:bottom w:val="none" w:sz="0" w:space="0" w:color="auto"/>
        <w:right w:val="none" w:sz="0" w:space="0" w:color="auto"/>
      </w:divBdr>
    </w:div>
    <w:div w:id="213735949">
      <w:bodyDiv w:val="1"/>
      <w:marLeft w:val="0"/>
      <w:marRight w:val="0"/>
      <w:marTop w:val="0"/>
      <w:marBottom w:val="0"/>
      <w:divBdr>
        <w:top w:val="none" w:sz="0" w:space="0" w:color="auto"/>
        <w:left w:val="none" w:sz="0" w:space="0" w:color="auto"/>
        <w:bottom w:val="none" w:sz="0" w:space="0" w:color="auto"/>
        <w:right w:val="none" w:sz="0" w:space="0" w:color="auto"/>
      </w:divBdr>
    </w:div>
    <w:div w:id="213783198">
      <w:bodyDiv w:val="1"/>
      <w:marLeft w:val="0"/>
      <w:marRight w:val="0"/>
      <w:marTop w:val="0"/>
      <w:marBottom w:val="0"/>
      <w:divBdr>
        <w:top w:val="none" w:sz="0" w:space="0" w:color="auto"/>
        <w:left w:val="none" w:sz="0" w:space="0" w:color="auto"/>
        <w:bottom w:val="none" w:sz="0" w:space="0" w:color="auto"/>
        <w:right w:val="none" w:sz="0" w:space="0" w:color="auto"/>
      </w:divBdr>
    </w:div>
    <w:div w:id="213927631">
      <w:bodyDiv w:val="1"/>
      <w:marLeft w:val="0"/>
      <w:marRight w:val="0"/>
      <w:marTop w:val="0"/>
      <w:marBottom w:val="0"/>
      <w:divBdr>
        <w:top w:val="none" w:sz="0" w:space="0" w:color="auto"/>
        <w:left w:val="none" w:sz="0" w:space="0" w:color="auto"/>
        <w:bottom w:val="none" w:sz="0" w:space="0" w:color="auto"/>
        <w:right w:val="none" w:sz="0" w:space="0" w:color="auto"/>
      </w:divBdr>
    </w:div>
    <w:div w:id="213929242">
      <w:bodyDiv w:val="1"/>
      <w:marLeft w:val="0"/>
      <w:marRight w:val="0"/>
      <w:marTop w:val="0"/>
      <w:marBottom w:val="0"/>
      <w:divBdr>
        <w:top w:val="none" w:sz="0" w:space="0" w:color="auto"/>
        <w:left w:val="none" w:sz="0" w:space="0" w:color="auto"/>
        <w:bottom w:val="none" w:sz="0" w:space="0" w:color="auto"/>
        <w:right w:val="none" w:sz="0" w:space="0" w:color="auto"/>
      </w:divBdr>
    </w:div>
    <w:div w:id="213934809">
      <w:bodyDiv w:val="1"/>
      <w:marLeft w:val="0"/>
      <w:marRight w:val="0"/>
      <w:marTop w:val="0"/>
      <w:marBottom w:val="0"/>
      <w:divBdr>
        <w:top w:val="none" w:sz="0" w:space="0" w:color="auto"/>
        <w:left w:val="none" w:sz="0" w:space="0" w:color="auto"/>
        <w:bottom w:val="none" w:sz="0" w:space="0" w:color="auto"/>
        <w:right w:val="none" w:sz="0" w:space="0" w:color="auto"/>
      </w:divBdr>
    </w:div>
    <w:div w:id="213977843">
      <w:bodyDiv w:val="1"/>
      <w:marLeft w:val="0"/>
      <w:marRight w:val="0"/>
      <w:marTop w:val="0"/>
      <w:marBottom w:val="0"/>
      <w:divBdr>
        <w:top w:val="none" w:sz="0" w:space="0" w:color="auto"/>
        <w:left w:val="none" w:sz="0" w:space="0" w:color="auto"/>
        <w:bottom w:val="none" w:sz="0" w:space="0" w:color="auto"/>
        <w:right w:val="none" w:sz="0" w:space="0" w:color="auto"/>
      </w:divBdr>
    </w:div>
    <w:div w:id="214044369">
      <w:bodyDiv w:val="1"/>
      <w:marLeft w:val="0"/>
      <w:marRight w:val="0"/>
      <w:marTop w:val="0"/>
      <w:marBottom w:val="0"/>
      <w:divBdr>
        <w:top w:val="none" w:sz="0" w:space="0" w:color="auto"/>
        <w:left w:val="none" w:sz="0" w:space="0" w:color="auto"/>
        <w:bottom w:val="none" w:sz="0" w:space="0" w:color="auto"/>
        <w:right w:val="none" w:sz="0" w:space="0" w:color="auto"/>
      </w:divBdr>
    </w:div>
    <w:div w:id="214044730">
      <w:bodyDiv w:val="1"/>
      <w:marLeft w:val="0"/>
      <w:marRight w:val="0"/>
      <w:marTop w:val="0"/>
      <w:marBottom w:val="0"/>
      <w:divBdr>
        <w:top w:val="none" w:sz="0" w:space="0" w:color="auto"/>
        <w:left w:val="none" w:sz="0" w:space="0" w:color="auto"/>
        <w:bottom w:val="none" w:sz="0" w:space="0" w:color="auto"/>
        <w:right w:val="none" w:sz="0" w:space="0" w:color="auto"/>
      </w:divBdr>
    </w:div>
    <w:div w:id="214045881">
      <w:bodyDiv w:val="1"/>
      <w:marLeft w:val="0"/>
      <w:marRight w:val="0"/>
      <w:marTop w:val="0"/>
      <w:marBottom w:val="0"/>
      <w:divBdr>
        <w:top w:val="none" w:sz="0" w:space="0" w:color="auto"/>
        <w:left w:val="none" w:sz="0" w:space="0" w:color="auto"/>
        <w:bottom w:val="none" w:sz="0" w:space="0" w:color="auto"/>
        <w:right w:val="none" w:sz="0" w:space="0" w:color="auto"/>
      </w:divBdr>
    </w:div>
    <w:div w:id="214048353">
      <w:bodyDiv w:val="1"/>
      <w:marLeft w:val="0"/>
      <w:marRight w:val="0"/>
      <w:marTop w:val="0"/>
      <w:marBottom w:val="0"/>
      <w:divBdr>
        <w:top w:val="none" w:sz="0" w:space="0" w:color="auto"/>
        <w:left w:val="none" w:sz="0" w:space="0" w:color="auto"/>
        <w:bottom w:val="none" w:sz="0" w:space="0" w:color="auto"/>
        <w:right w:val="none" w:sz="0" w:space="0" w:color="auto"/>
      </w:divBdr>
    </w:div>
    <w:div w:id="214127344">
      <w:bodyDiv w:val="1"/>
      <w:marLeft w:val="0"/>
      <w:marRight w:val="0"/>
      <w:marTop w:val="0"/>
      <w:marBottom w:val="0"/>
      <w:divBdr>
        <w:top w:val="none" w:sz="0" w:space="0" w:color="auto"/>
        <w:left w:val="none" w:sz="0" w:space="0" w:color="auto"/>
        <w:bottom w:val="none" w:sz="0" w:space="0" w:color="auto"/>
        <w:right w:val="none" w:sz="0" w:space="0" w:color="auto"/>
      </w:divBdr>
    </w:div>
    <w:div w:id="214196081">
      <w:bodyDiv w:val="1"/>
      <w:marLeft w:val="0"/>
      <w:marRight w:val="0"/>
      <w:marTop w:val="0"/>
      <w:marBottom w:val="0"/>
      <w:divBdr>
        <w:top w:val="none" w:sz="0" w:space="0" w:color="auto"/>
        <w:left w:val="none" w:sz="0" w:space="0" w:color="auto"/>
        <w:bottom w:val="none" w:sz="0" w:space="0" w:color="auto"/>
        <w:right w:val="none" w:sz="0" w:space="0" w:color="auto"/>
      </w:divBdr>
    </w:div>
    <w:div w:id="214317479">
      <w:bodyDiv w:val="1"/>
      <w:marLeft w:val="0"/>
      <w:marRight w:val="0"/>
      <w:marTop w:val="0"/>
      <w:marBottom w:val="0"/>
      <w:divBdr>
        <w:top w:val="none" w:sz="0" w:space="0" w:color="auto"/>
        <w:left w:val="none" w:sz="0" w:space="0" w:color="auto"/>
        <w:bottom w:val="none" w:sz="0" w:space="0" w:color="auto"/>
        <w:right w:val="none" w:sz="0" w:space="0" w:color="auto"/>
      </w:divBdr>
    </w:div>
    <w:div w:id="214393998">
      <w:bodyDiv w:val="1"/>
      <w:marLeft w:val="0"/>
      <w:marRight w:val="0"/>
      <w:marTop w:val="0"/>
      <w:marBottom w:val="0"/>
      <w:divBdr>
        <w:top w:val="none" w:sz="0" w:space="0" w:color="auto"/>
        <w:left w:val="none" w:sz="0" w:space="0" w:color="auto"/>
        <w:bottom w:val="none" w:sz="0" w:space="0" w:color="auto"/>
        <w:right w:val="none" w:sz="0" w:space="0" w:color="auto"/>
      </w:divBdr>
    </w:div>
    <w:div w:id="214436990">
      <w:bodyDiv w:val="1"/>
      <w:marLeft w:val="0"/>
      <w:marRight w:val="0"/>
      <w:marTop w:val="0"/>
      <w:marBottom w:val="0"/>
      <w:divBdr>
        <w:top w:val="none" w:sz="0" w:space="0" w:color="auto"/>
        <w:left w:val="none" w:sz="0" w:space="0" w:color="auto"/>
        <w:bottom w:val="none" w:sz="0" w:space="0" w:color="auto"/>
        <w:right w:val="none" w:sz="0" w:space="0" w:color="auto"/>
      </w:divBdr>
    </w:div>
    <w:div w:id="214439613">
      <w:bodyDiv w:val="1"/>
      <w:marLeft w:val="0"/>
      <w:marRight w:val="0"/>
      <w:marTop w:val="0"/>
      <w:marBottom w:val="0"/>
      <w:divBdr>
        <w:top w:val="none" w:sz="0" w:space="0" w:color="auto"/>
        <w:left w:val="none" w:sz="0" w:space="0" w:color="auto"/>
        <w:bottom w:val="none" w:sz="0" w:space="0" w:color="auto"/>
        <w:right w:val="none" w:sz="0" w:space="0" w:color="auto"/>
      </w:divBdr>
    </w:div>
    <w:div w:id="214440084">
      <w:bodyDiv w:val="1"/>
      <w:marLeft w:val="0"/>
      <w:marRight w:val="0"/>
      <w:marTop w:val="0"/>
      <w:marBottom w:val="0"/>
      <w:divBdr>
        <w:top w:val="none" w:sz="0" w:space="0" w:color="auto"/>
        <w:left w:val="none" w:sz="0" w:space="0" w:color="auto"/>
        <w:bottom w:val="none" w:sz="0" w:space="0" w:color="auto"/>
        <w:right w:val="none" w:sz="0" w:space="0" w:color="auto"/>
      </w:divBdr>
    </w:div>
    <w:div w:id="214582693">
      <w:bodyDiv w:val="1"/>
      <w:marLeft w:val="0"/>
      <w:marRight w:val="0"/>
      <w:marTop w:val="0"/>
      <w:marBottom w:val="0"/>
      <w:divBdr>
        <w:top w:val="none" w:sz="0" w:space="0" w:color="auto"/>
        <w:left w:val="none" w:sz="0" w:space="0" w:color="auto"/>
        <w:bottom w:val="none" w:sz="0" w:space="0" w:color="auto"/>
        <w:right w:val="none" w:sz="0" w:space="0" w:color="auto"/>
      </w:divBdr>
    </w:div>
    <w:div w:id="214584738">
      <w:bodyDiv w:val="1"/>
      <w:marLeft w:val="0"/>
      <w:marRight w:val="0"/>
      <w:marTop w:val="0"/>
      <w:marBottom w:val="0"/>
      <w:divBdr>
        <w:top w:val="none" w:sz="0" w:space="0" w:color="auto"/>
        <w:left w:val="none" w:sz="0" w:space="0" w:color="auto"/>
        <w:bottom w:val="none" w:sz="0" w:space="0" w:color="auto"/>
        <w:right w:val="none" w:sz="0" w:space="0" w:color="auto"/>
      </w:divBdr>
    </w:div>
    <w:div w:id="214586646">
      <w:bodyDiv w:val="1"/>
      <w:marLeft w:val="0"/>
      <w:marRight w:val="0"/>
      <w:marTop w:val="0"/>
      <w:marBottom w:val="0"/>
      <w:divBdr>
        <w:top w:val="none" w:sz="0" w:space="0" w:color="auto"/>
        <w:left w:val="none" w:sz="0" w:space="0" w:color="auto"/>
        <w:bottom w:val="none" w:sz="0" w:space="0" w:color="auto"/>
        <w:right w:val="none" w:sz="0" w:space="0" w:color="auto"/>
      </w:divBdr>
    </w:div>
    <w:div w:id="214659127">
      <w:bodyDiv w:val="1"/>
      <w:marLeft w:val="0"/>
      <w:marRight w:val="0"/>
      <w:marTop w:val="0"/>
      <w:marBottom w:val="0"/>
      <w:divBdr>
        <w:top w:val="none" w:sz="0" w:space="0" w:color="auto"/>
        <w:left w:val="none" w:sz="0" w:space="0" w:color="auto"/>
        <w:bottom w:val="none" w:sz="0" w:space="0" w:color="auto"/>
        <w:right w:val="none" w:sz="0" w:space="0" w:color="auto"/>
      </w:divBdr>
    </w:div>
    <w:div w:id="214705101">
      <w:bodyDiv w:val="1"/>
      <w:marLeft w:val="0"/>
      <w:marRight w:val="0"/>
      <w:marTop w:val="0"/>
      <w:marBottom w:val="0"/>
      <w:divBdr>
        <w:top w:val="none" w:sz="0" w:space="0" w:color="auto"/>
        <w:left w:val="none" w:sz="0" w:space="0" w:color="auto"/>
        <w:bottom w:val="none" w:sz="0" w:space="0" w:color="auto"/>
        <w:right w:val="none" w:sz="0" w:space="0" w:color="auto"/>
      </w:divBdr>
    </w:div>
    <w:div w:id="214782200">
      <w:bodyDiv w:val="1"/>
      <w:marLeft w:val="0"/>
      <w:marRight w:val="0"/>
      <w:marTop w:val="0"/>
      <w:marBottom w:val="0"/>
      <w:divBdr>
        <w:top w:val="none" w:sz="0" w:space="0" w:color="auto"/>
        <w:left w:val="none" w:sz="0" w:space="0" w:color="auto"/>
        <w:bottom w:val="none" w:sz="0" w:space="0" w:color="auto"/>
        <w:right w:val="none" w:sz="0" w:space="0" w:color="auto"/>
      </w:divBdr>
    </w:div>
    <w:div w:id="214782554">
      <w:bodyDiv w:val="1"/>
      <w:marLeft w:val="0"/>
      <w:marRight w:val="0"/>
      <w:marTop w:val="0"/>
      <w:marBottom w:val="0"/>
      <w:divBdr>
        <w:top w:val="none" w:sz="0" w:space="0" w:color="auto"/>
        <w:left w:val="none" w:sz="0" w:space="0" w:color="auto"/>
        <w:bottom w:val="none" w:sz="0" w:space="0" w:color="auto"/>
        <w:right w:val="none" w:sz="0" w:space="0" w:color="auto"/>
      </w:divBdr>
    </w:div>
    <w:div w:id="214851361">
      <w:bodyDiv w:val="1"/>
      <w:marLeft w:val="0"/>
      <w:marRight w:val="0"/>
      <w:marTop w:val="0"/>
      <w:marBottom w:val="0"/>
      <w:divBdr>
        <w:top w:val="none" w:sz="0" w:space="0" w:color="auto"/>
        <w:left w:val="none" w:sz="0" w:space="0" w:color="auto"/>
        <w:bottom w:val="none" w:sz="0" w:space="0" w:color="auto"/>
        <w:right w:val="none" w:sz="0" w:space="0" w:color="auto"/>
      </w:divBdr>
    </w:div>
    <w:div w:id="214852277">
      <w:bodyDiv w:val="1"/>
      <w:marLeft w:val="0"/>
      <w:marRight w:val="0"/>
      <w:marTop w:val="0"/>
      <w:marBottom w:val="0"/>
      <w:divBdr>
        <w:top w:val="none" w:sz="0" w:space="0" w:color="auto"/>
        <w:left w:val="none" w:sz="0" w:space="0" w:color="auto"/>
        <w:bottom w:val="none" w:sz="0" w:space="0" w:color="auto"/>
        <w:right w:val="none" w:sz="0" w:space="0" w:color="auto"/>
      </w:divBdr>
    </w:div>
    <w:div w:id="214858733">
      <w:bodyDiv w:val="1"/>
      <w:marLeft w:val="0"/>
      <w:marRight w:val="0"/>
      <w:marTop w:val="0"/>
      <w:marBottom w:val="0"/>
      <w:divBdr>
        <w:top w:val="none" w:sz="0" w:space="0" w:color="auto"/>
        <w:left w:val="none" w:sz="0" w:space="0" w:color="auto"/>
        <w:bottom w:val="none" w:sz="0" w:space="0" w:color="auto"/>
        <w:right w:val="none" w:sz="0" w:space="0" w:color="auto"/>
      </w:divBdr>
    </w:div>
    <w:div w:id="215089557">
      <w:bodyDiv w:val="1"/>
      <w:marLeft w:val="0"/>
      <w:marRight w:val="0"/>
      <w:marTop w:val="0"/>
      <w:marBottom w:val="0"/>
      <w:divBdr>
        <w:top w:val="none" w:sz="0" w:space="0" w:color="auto"/>
        <w:left w:val="none" w:sz="0" w:space="0" w:color="auto"/>
        <w:bottom w:val="none" w:sz="0" w:space="0" w:color="auto"/>
        <w:right w:val="none" w:sz="0" w:space="0" w:color="auto"/>
      </w:divBdr>
    </w:div>
    <w:div w:id="215093845">
      <w:bodyDiv w:val="1"/>
      <w:marLeft w:val="0"/>
      <w:marRight w:val="0"/>
      <w:marTop w:val="0"/>
      <w:marBottom w:val="0"/>
      <w:divBdr>
        <w:top w:val="none" w:sz="0" w:space="0" w:color="auto"/>
        <w:left w:val="none" w:sz="0" w:space="0" w:color="auto"/>
        <w:bottom w:val="none" w:sz="0" w:space="0" w:color="auto"/>
        <w:right w:val="none" w:sz="0" w:space="0" w:color="auto"/>
      </w:divBdr>
    </w:div>
    <w:div w:id="215119535">
      <w:bodyDiv w:val="1"/>
      <w:marLeft w:val="0"/>
      <w:marRight w:val="0"/>
      <w:marTop w:val="0"/>
      <w:marBottom w:val="0"/>
      <w:divBdr>
        <w:top w:val="none" w:sz="0" w:space="0" w:color="auto"/>
        <w:left w:val="none" w:sz="0" w:space="0" w:color="auto"/>
        <w:bottom w:val="none" w:sz="0" w:space="0" w:color="auto"/>
        <w:right w:val="none" w:sz="0" w:space="0" w:color="auto"/>
      </w:divBdr>
    </w:div>
    <w:div w:id="215120063">
      <w:bodyDiv w:val="1"/>
      <w:marLeft w:val="0"/>
      <w:marRight w:val="0"/>
      <w:marTop w:val="0"/>
      <w:marBottom w:val="0"/>
      <w:divBdr>
        <w:top w:val="none" w:sz="0" w:space="0" w:color="auto"/>
        <w:left w:val="none" w:sz="0" w:space="0" w:color="auto"/>
        <w:bottom w:val="none" w:sz="0" w:space="0" w:color="auto"/>
        <w:right w:val="none" w:sz="0" w:space="0" w:color="auto"/>
      </w:divBdr>
    </w:div>
    <w:div w:id="215169080">
      <w:bodyDiv w:val="1"/>
      <w:marLeft w:val="0"/>
      <w:marRight w:val="0"/>
      <w:marTop w:val="0"/>
      <w:marBottom w:val="0"/>
      <w:divBdr>
        <w:top w:val="none" w:sz="0" w:space="0" w:color="auto"/>
        <w:left w:val="none" w:sz="0" w:space="0" w:color="auto"/>
        <w:bottom w:val="none" w:sz="0" w:space="0" w:color="auto"/>
        <w:right w:val="none" w:sz="0" w:space="0" w:color="auto"/>
      </w:divBdr>
    </w:div>
    <w:div w:id="215236889">
      <w:bodyDiv w:val="1"/>
      <w:marLeft w:val="0"/>
      <w:marRight w:val="0"/>
      <w:marTop w:val="0"/>
      <w:marBottom w:val="0"/>
      <w:divBdr>
        <w:top w:val="none" w:sz="0" w:space="0" w:color="auto"/>
        <w:left w:val="none" w:sz="0" w:space="0" w:color="auto"/>
        <w:bottom w:val="none" w:sz="0" w:space="0" w:color="auto"/>
        <w:right w:val="none" w:sz="0" w:space="0" w:color="auto"/>
      </w:divBdr>
    </w:div>
    <w:div w:id="215242468">
      <w:bodyDiv w:val="1"/>
      <w:marLeft w:val="0"/>
      <w:marRight w:val="0"/>
      <w:marTop w:val="0"/>
      <w:marBottom w:val="0"/>
      <w:divBdr>
        <w:top w:val="none" w:sz="0" w:space="0" w:color="auto"/>
        <w:left w:val="none" w:sz="0" w:space="0" w:color="auto"/>
        <w:bottom w:val="none" w:sz="0" w:space="0" w:color="auto"/>
        <w:right w:val="none" w:sz="0" w:space="0" w:color="auto"/>
      </w:divBdr>
    </w:div>
    <w:div w:id="215355601">
      <w:bodyDiv w:val="1"/>
      <w:marLeft w:val="0"/>
      <w:marRight w:val="0"/>
      <w:marTop w:val="0"/>
      <w:marBottom w:val="0"/>
      <w:divBdr>
        <w:top w:val="none" w:sz="0" w:space="0" w:color="auto"/>
        <w:left w:val="none" w:sz="0" w:space="0" w:color="auto"/>
        <w:bottom w:val="none" w:sz="0" w:space="0" w:color="auto"/>
        <w:right w:val="none" w:sz="0" w:space="0" w:color="auto"/>
      </w:divBdr>
    </w:div>
    <w:div w:id="215433944">
      <w:bodyDiv w:val="1"/>
      <w:marLeft w:val="0"/>
      <w:marRight w:val="0"/>
      <w:marTop w:val="0"/>
      <w:marBottom w:val="0"/>
      <w:divBdr>
        <w:top w:val="none" w:sz="0" w:space="0" w:color="auto"/>
        <w:left w:val="none" w:sz="0" w:space="0" w:color="auto"/>
        <w:bottom w:val="none" w:sz="0" w:space="0" w:color="auto"/>
        <w:right w:val="none" w:sz="0" w:space="0" w:color="auto"/>
      </w:divBdr>
    </w:div>
    <w:div w:id="215550145">
      <w:bodyDiv w:val="1"/>
      <w:marLeft w:val="0"/>
      <w:marRight w:val="0"/>
      <w:marTop w:val="0"/>
      <w:marBottom w:val="0"/>
      <w:divBdr>
        <w:top w:val="none" w:sz="0" w:space="0" w:color="auto"/>
        <w:left w:val="none" w:sz="0" w:space="0" w:color="auto"/>
        <w:bottom w:val="none" w:sz="0" w:space="0" w:color="auto"/>
        <w:right w:val="none" w:sz="0" w:space="0" w:color="auto"/>
      </w:divBdr>
    </w:div>
    <w:div w:id="215630435">
      <w:bodyDiv w:val="1"/>
      <w:marLeft w:val="0"/>
      <w:marRight w:val="0"/>
      <w:marTop w:val="0"/>
      <w:marBottom w:val="0"/>
      <w:divBdr>
        <w:top w:val="none" w:sz="0" w:space="0" w:color="auto"/>
        <w:left w:val="none" w:sz="0" w:space="0" w:color="auto"/>
        <w:bottom w:val="none" w:sz="0" w:space="0" w:color="auto"/>
        <w:right w:val="none" w:sz="0" w:space="0" w:color="auto"/>
      </w:divBdr>
    </w:div>
    <w:div w:id="215631904">
      <w:bodyDiv w:val="1"/>
      <w:marLeft w:val="0"/>
      <w:marRight w:val="0"/>
      <w:marTop w:val="0"/>
      <w:marBottom w:val="0"/>
      <w:divBdr>
        <w:top w:val="none" w:sz="0" w:space="0" w:color="auto"/>
        <w:left w:val="none" w:sz="0" w:space="0" w:color="auto"/>
        <w:bottom w:val="none" w:sz="0" w:space="0" w:color="auto"/>
        <w:right w:val="none" w:sz="0" w:space="0" w:color="auto"/>
      </w:divBdr>
    </w:div>
    <w:div w:id="215899683">
      <w:bodyDiv w:val="1"/>
      <w:marLeft w:val="0"/>
      <w:marRight w:val="0"/>
      <w:marTop w:val="0"/>
      <w:marBottom w:val="0"/>
      <w:divBdr>
        <w:top w:val="none" w:sz="0" w:space="0" w:color="auto"/>
        <w:left w:val="none" w:sz="0" w:space="0" w:color="auto"/>
        <w:bottom w:val="none" w:sz="0" w:space="0" w:color="auto"/>
        <w:right w:val="none" w:sz="0" w:space="0" w:color="auto"/>
      </w:divBdr>
    </w:div>
    <w:div w:id="215941311">
      <w:bodyDiv w:val="1"/>
      <w:marLeft w:val="0"/>
      <w:marRight w:val="0"/>
      <w:marTop w:val="0"/>
      <w:marBottom w:val="0"/>
      <w:divBdr>
        <w:top w:val="none" w:sz="0" w:space="0" w:color="auto"/>
        <w:left w:val="none" w:sz="0" w:space="0" w:color="auto"/>
        <w:bottom w:val="none" w:sz="0" w:space="0" w:color="auto"/>
        <w:right w:val="none" w:sz="0" w:space="0" w:color="auto"/>
      </w:divBdr>
    </w:div>
    <w:div w:id="215972140">
      <w:bodyDiv w:val="1"/>
      <w:marLeft w:val="0"/>
      <w:marRight w:val="0"/>
      <w:marTop w:val="0"/>
      <w:marBottom w:val="0"/>
      <w:divBdr>
        <w:top w:val="none" w:sz="0" w:space="0" w:color="auto"/>
        <w:left w:val="none" w:sz="0" w:space="0" w:color="auto"/>
        <w:bottom w:val="none" w:sz="0" w:space="0" w:color="auto"/>
        <w:right w:val="none" w:sz="0" w:space="0" w:color="auto"/>
      </w:divBdr>
    </w:div>
    <w:div w:id="215972555">
      <w:bodyDiv w:val="1"/>
      <w:marLeft w:val="0"/>
      <w:marRight w:val="0"/>
      <w:marTop w:val="0"/>
      <w:marBottom w:val="0"/>
      <w:divBdr>
        <w:top w:val="none" w:sz="0" w:space="0" w:color="auto"/>
        <w:left w:val="none" w:sz="0" w:space="0" w:color="auto"/>
        <w:bottom w:val="none" w:sz="0" w:space="0" w:color="auto"/>
        <w:right w:val="none" w:sz="0" w:space="0" w:color="auto"/>
      </w:divBdr>
    </w:div>
    <w:div w:id="216015459">
      <w:bodyDiv w:val="1"/>
      <w:marLeft w:val="0"/>
      <w:marRight w:val="0"/>
      <w:marTop w:val="0"/>
      <w:marBottom w:val="0"/>
      <w:divBdr>
        <w:top w:val="none" w:sz="0" w:space="0" w:color="auto"/>
        <w:left w:val="none" w:sz="0" w:space="0" w:color="auto"/>
        <w:bottom w:val="none" w:sz="0" w:space="0" w:color="auto"/>
        <w:right w:val="none" w:sz="0" w:space="0" w:color="auto"/>
      </w:divBdr>
    </w:div>
    <w:div w:id="216017217">
      <w:bodyDiv w:val="1"/>
      <w:marLeft w:val="0"/>
      <w:marRight w:val="0"/>
      <w:marTop w:val="0"/>
      <w:marBottom w:val="0"/>
      <w:divBdr>
        <w:top w:val="none" w:sz="0" w:space="0" w:color="auto"/>
        <w:left w:val="none" w:sz="0" w:space="0" w:color="auto"/>
        <w:bottom w:val="none" w:sz="0" w:space="0" w:color="auto"/>
        <w:right w:val="none" w:sz="0" w:space="0" w:color="auto"/>
      </w:divBdr>
    </w:div>
    <w:div w:id="216087313">
      <w:bodyDiv w:val="1"/>
      <w:marLeft w:val="0"/>
      <w:marRight w:val="0"/>
      <w:marTop w:val="0"/>
      <w:marBottom w:val="0"/>
      <w:divBdr>
        <w:top w:val="none" w:sz="0" w:space="0" w:color="auto"/>
        <w:left w:val="none" w:sz="0" w:space="0" w:color="auto"/>
        <w:bottom w:val="none" w:sz="0" w:space="0" w:color="auto"/>
        <w:right w:val="none" w:sz="0" w:space="0" w:color="auto"/>
      </w:divBdr>
    </w:div>
    <w:div w:id="216088223">
      <w:bodyDiv w:val="1"/>
      <w:marLeft w:val="0"/>
      <w:marRight w:val="0"/>
      <w:marTop w:val="0"/>
      <w:marBottom w:val="0"/>
      <w:divBdr>
        <w:top w:val="none" w:sz="0" w:space="0" w:color="auto"/>
        <w:left w:val="none" w:sz="0" w:space="0" w:color="auto"/>
        <w:bottom w:val="none" w:sz="0" w:space="0" w:color="auto"/>
        <w:right w:val="none" w:sz="0" w:space="0" w:color="auto"/>
      </w:divBdr>
    </w:div>
    <w:div w:id="216093848">
      <w:bodyDiv w:val="1"/>
      <w:marLeft w:val="0"/>
      <w:marRight w:val="0"/>
      <w:marTop w:val="0"/>
      <w:marBottom w:val="0"/>
      <w:divBdr>
        <w:top w:val="none" w:sz="0" w:space="0" w:color="auto"/>
        <w:left w:val="none" w:sz="0" w:space="0" w:color="auto"/>
        <w:bottom w:val="none" w:sz="0" w:space="0" w:color="auto"/>
        <w:right w:val="none" w:sz="0" w:space="0" w:color="auto"/>
      </w:divBdr>
    </w:div>
    <w:div w:id="216160765">
      <w:bodyDiv w:val="1"/>
      <w:marLeft w:val="0"/>
      <w:marRight w:val="0"/>
      <w:marTop w:val="0"/>
      <w:marBottom w:val="0"/>
      <w:divBdr>
        <w:top w:val="none" w:sz="0" w:space="0" w:color="auto"/>
        <w:left w:val="none" w:sz="0" w:space="0" w:color="auto"/>
        <w:bottom w:val="none" w:sz="0" w:space="0" w:color="auto"/>
        <w:right w:val="none" w:sz="0" w:space="0" w:color="auto"/>
      </w:divBdr>
    </w:div>
    <w:div w:id="216165463">
      <w:bodyDiv w:val="1"/>
      <w:marLeft w:val="0"/>
      <w:marRight w:val="0"/>
      <w:marTop w:val="0"/>
      <w:marBottom w:val="0"/>
      <w:divBdr>
        <w:top w:val="none" w:sz="0" w:space="0" w:color="auto"/>
        <w:left w:val="none" w:sz="0" w:space="0" w:color="auto"/>
        <w:bottom w:val="none" w:sz="0" w:space="0" w:color="auto"/>
        <w:right w:val="none" w:sz="0" w:space="0" w:color="auto"/>
      </w:divBdr>
    </w:div>
    <w:div w:id="216205558">
      <w:bodyDiv w:val="1"/>
      <w:marLeft w:val="0"/>
      <w:marRight w:val="0"/>
      <w:marTop w:val="0"/>
      <w:marBottom w:val="0"/>
      <w:divBdr>
        <w:top w:val="none" w:sz="0" w:space="0" w:color="auto"/>
        <w:left w:val="none" w:sz="0" w:space="0" w:color="auto"/>
        <w:bottom w:val="none" w:sz="0" w:space="0" w:color="auto"/>
        <w:right w:val="none" w:sz="0" w:space="0" w:color="auto"/>
      </w:divBdr>
    </w:div>
    <w:div w:id="216206850">
      <w:bodyDiv w:val="1"/>
      <w:marLeft w:val="0"/>
      <w:marRight w:val="0"/>
      <w:marTop w:val="0"/>
      <w:marBottom w:val="0"/>
      <w:divBdr>
        <w:top w:val="none" w:sz="0" w:space="0" w:color="auto"/>
        <w:left w:val="none" w:sz="0" w:space="0" w:color="auto"/>
        <w:bottom w:val="none" w:sz="0" w:space="0" w:color="auto"/>
        <w:right w:val="none" w:sz="0" w:space="0" w:color="auto"/>
      </w:divBdr>
    </w:div>
    <w:div w:id="216207908">
      <w:bodyDiv w:val="1"/>
      <w:marLeft w:val="0"/>
      <w:marRight w:val="0"/>
      <w:marTop w:val="0"/>
      <w:marBottom w:val="0"/>
      <w:divBdr>
        <w:top w:val="none" w:sz="0" w:space="0" w:color="auto"/>
        <w:left w:val="none" w:sz="0" w:space="0" w:color="auto"/>
        <w:bottom w:val="none" w:sz="0" w:space="0" w:color="auto"/>
        <w:right w:val="none" w:sz="0" w:space="0" w:color="auto"/>
      </w:divBdr>
    </w:div>
    <w:div w:id="216279147">
      <w:bodyDiv w:val="1"/>
      <w:marLeft w:val="0"/>
      <w:marRight w:val="0"/>
      <w:marTop w:val="0"/>
      <w:marBottom w:val="0"/>
      <w:divBdr>
        <w:top w:val="none" w:sz="0" w:space="0" w:color="auto"/>
        <w:left w:val="none" w:sz="0" w:space="0" w:color="auto"/>
        <w:bottom w:val="none" w:sz="0" w:space="0" w:color="auto"/>
        <w:right w:val="none" w:sz="0" w:space="0" w:color="auto"/>
      </w:divBdr>
    </w:div>
    <w:div w:id="216281053">
      <w:bodyDiv w:val="1"/>
      <w:marLeft w:val="0"/>
      <w:marRight w:val="0"/>
      <w:marTop w:val="0"/>
      <w:marBottom w:val="0"/>
      <w:divBdr>
        <w:top w:val="none" w:sz="0" w:space="0" w:color="auto"/>
        <w:left w:val="none" w:sz="0" w:space="0" w:color="auto"/>
        <w:bottom w:val="none" w:sz="0" w:space="0" w:color="auto"/>
        <w:right w:val="none" w:sz="0" w:space="0" w:color="auto"/>
      </w:divBdr>
    </w:div>
    <w:div w:id="216282321">
      <w:bodyDiv w:val="1"/>
      <w:marLeft w:val="0"/>
      <w:marRight w:val="0"/>
      <w:marTop w:val="0"/>
      <w:marBottom w:val="0"/>
      <w:divBdr>
        <w:top w:val="none" w:sz="0" w:space="0" w:color="auto"/>
        <w:left w:val="none" w:sz="0" w:space="0" w:color="auto"/>
        <w:bottom w:val="none" w:sz="0" w:space="0" w:color="auto"/>
        <w:right w:val="none" w:sz="0" w:space="0" w:color="auto"/>
      </w:divBdr>
    </w:div>
    <w:div w:id="216429934">
      <w:bodyDiv w:val="1"/>
      <w:marLeft w:val="0"/>
      <w:marRight w:val="0"/>
      <w:marTop w:val="0"/>
      <w:marBottom w:val="0"/>
      <w:divBdr>
        <w:top w:val="none" w:sz="0" w:space="0" w:color="auto"/>
        <w:left w:val="none" w:sz="0" w:space="0" w:color="auto"/>
        <w:bottom w:val="none" w:sz="0" w:space="0" w:color="auto"/>
        <w:right w:val="none" w:sz="0" w:space="0" w:color="auto"/>
      </w:divBdr>
    </w:div>
    <w:div w:id="216473004">
      <w:bodyDiv w:val="1"/>
      <w:marLeft w:val="0"/>
      <w:marRight w:val="0"/>
      <w:marTop w:val="0"/>
      <w:marBottom w:val="0"/>
      <w:divBdr>
        <w:top w:val="none" w:sz="0" w:space="0" w:color="auto"/>
        <w:left w:val="none" w:sz="0" w:space="0" w:color="auto"/>
        <w:bottom w:val="none" w:sz="0" w:space="0" w:color="auto"/>
        <w:right w:val="none" w:sz="0" w:space="0" w:color="auto"/>
      </w:divBdr>
    </w:div>
    <w:div w:id="216475666">
      <w:bodyDiv w:val="1"/>
      <w:marLeft w:val="0"/>
      <w:marRight w:val="0"/>
      <w:marTop w:val="0"/>
      <w:marBottom w:val="0"/>
      <w:divBdr>
        <w:top w:val="none" w:sz="0" w:space="0" w:color="auto"/>
        <w:left w:val="none" w:sz="0" w:space="0" w:color="auto"/>
        <w:bottom w:val="none" w:sz="0" w:space="0" w:color="auto"/>
        <w:right w:val="none" w:sz="0" w:space="0" w:color="auto"/>
      </w:divBdr>
    </w:div>
    <w:div w:id="216475975">
      <w:bodyDiv w:val="1"/>
      <w:marLeft w:val="0"/>
      <w:marRight w:val="0"/>
      <w:marTop w:val="0"/>
      <w:marBottom w:val="0"/>
      <w:divBdr>
        <w:top w:val="none" w:sz="0" w:space="0" w:color="auto"/>
        <w:left w:val="none" w:sz="0" w:space="0" w:color="auto"/>
        <w:bottom w:val="none" w:sz="0" w:space="0" w:color="auto"/>
        <w:right w:val="none" w:sz="0" w:space="0" w:color="auto"/>
      </w:divBdr>
    </w:div>
    <w:div w:id="216480866">
      <w:bodyDiv w:val="1"/>
      <w:marLeft w:val="0"/>
      <w:marRight w:val="0"/>
      <w:marTop w:val="0"/>
      <w:marBottom w:val="0"/>
      <w:divBdr>
        <w:top w:val="none" w:sz="0" w:space="0" w:color="auto"/>
        <w:left w:val="none" w:sz="0" w:space="0" w:color="auto"/>
        <w:bottom w:val="none" w:sz="0" w:space="0" w:color="auto"/>
        <w:right w:val="none" w:sz="0" w:space="0" w:color="auto"/>
      </w:divBdr>
    </w:div>
    <w:div w:id="216555620">
      <w:bodyDiv w:val="1"/>
      <w:marLeft w:val="0"/>
      <w:marRight w:val="0"/>
      <w:marTop w:val="0"/>
      <w:marBottom w:val="0"/>
      <w:divBdr>
        <w:top w:val="none" w:sz="0" w:space="0" w:color="auto"/>
        <w:left w:val="none" w:sz="0" w:space="0" w:color="auto"/>
        <w:bottom w:val="none" w:sz="0" w:space="0" w:color="auto"/>
        <w:right w:val="none" w:sz="0" w:space="0" w:color="auto"/>
      </w:divBdr>
    </w:div>
    <w:div w:id="216555972">
      <w:bodyDiv w:val="1"/>
      <w:marLeft w:val="0"/>
      <w:marRight w:val="0"/>
      <w:marTop w:val="0"/>
      <w:marBottom w:val="0"/>
      <w:divBdr>
        <w:top w:val="none" w:sz="0" w:space="0" w:color="auto"/>
        <w:left w:val="none" w:sz="0" w:space="0" w:color="auto"/>
        <w:bottom w:val="none" w:sz="0" w:space="0" w:color="auto"/>
        <w:right w:val="none" w:sz="0" w:space="0" w:color="auto"/>
      </w:divBdr>
    </w:div>
    <w:div w:id="216596884">
      <w:bodyDiv w:val="1"/>
      <w:marLeft w:val="0"/>
      <w:marRight w:val="0"/>
      <w:marTop w:val="0"/>
      <w:marBottom w:val="0"/>
      <w:divBdr>
        <w:top w:val="none" w:sz="0" w:space="0" w:color="auto"/>
        <w:left w:val="none" w:sz="0" w:space="0" w:color="auto"/>
        <w:bottom w:val="none" w:sz="0" w:space="0" w:color="auto"/>
        <w:right w:val="none" w:sz="0" w:space="0" w:color="auto"/>
      </w:divBdr>
    </w:div>
    <w:div w:id="216744905">
      <w:bodyDiv w:val="1"/>
      <w:marLeft w:val="0"/>
      <w:marRight w:val="0"/>
      <w:marTop w:val="0"/>
      <w:marBottom w:val="0"/>
      <w:divBdr>
        <w:top w:val="none" w:sz="0" w:space="0" w:color="auto"/>
        <w:left w:val="none" w:sz="0" w:space="0" w:color="auto"/>
        <w:bottom w:val="none" w:sz="0" w:space="0" w:color="auto"/>
        <w:right w:val="none" w:sz="0" w:space="0" w:color="auto"/>
      </w:divBdr>
    </w:div>
    <w:div w:id="216748971">
      <w:bodyDiv w:val="1"/>
      <w:marLeft w:val="0"/>
      <w:marRight w:val="0"/>
      <w:marTop w:val="0"/>
      <w:marBottom w:val="0"/>
      <w:divBdr>
        <w:top w:val="none" w:sz="0" w:space="0" w:color="auto"/>
        <w:left w:val="none" w:sz="0" w:space="0" w:color="auto"/>
        <w:bottom w:val="none" w:sz="0" w:space="0" w:color="auto"/>
        <w:right w:val="none" w:sz="0" w:space="0" w:color="auto"/>
      </w:divBdr>
    </w:div>
    <w:div w:id="216819263">
      <w:bodyDiv w:val="1"/>
      <w:marLeft w:val="0"/>
      <w:marRight w:val="0"/>
      <w:marTop w:val="0"/>
      <w:marBottom w:val="0"/>
      <w:divBdr>
        <w:top w:val="none" w:sz="0" w:space="0" w:color="auto"/>
        <w:left w:val="none" w:sz="0" w:space="0" w:color="auto"/>
        <w:bottom w:val="none" w:sz="0" w:space="0" w:color="auto"/>
        <w:right w:val="none" w:sz="0" w:space="0" w:color="auto"/>
      </w:divBdr>
    </w:div>
    <w:div w:id="216941726">
      <w:bodyDiv w:val="1"/>
      <w:marLeft w:val="0"/>
      <w:marRight w:val="0"/>
      <w:marTop w:val="0"/>
      <w:marBottom w:val="0"/>
      <w:divBdr>
        <w:top w:val="none" w:sz="0" w:space="0" w:color="auto"/>
        <w:left w:val="none" w:sz="0" w:space="0" w:color="auto"/>
        <w:bottom w:val="none" w:sz="0" w:space="0" w:color="auto"/>
        <w:right w:val="none" w:sz="0" w:space="0" w:color="auto"/>
      </w:divBdr>
    </w:div>
    <w:div w:id="216942517">
      <w:bodyDiv w:val="1"/>
      <w:marLeft w:val="0"/>
      <w:marRight w:val="0"/>
      <w:marTop w:val="0"/>
      <w:marBottom w:val="0"/>
      <w:divBdr>
        <w:top w:val="none" w:sz="0" w:space="0" w:color="auto"/>
        <w:left w:val="none" w:sz="0" w:space="0" w:color="auto"/>
        <w:bottom w:val="none" w:sz="0" w:space="0" w:color="auto"/>
        <w:right w:val="none" w:sz="0" w:space="0" w:color="auto"/>
      </w:divBdr>
    </w:div>
    <w:div w:id="217127706">
      <w:bodyDiv w:val="1"/>
      <w:marLeft w:val="0"/>
      <w:marRight w:val="0"/>
      <w:marTop w:val="0"/>
      <w:marBottom w:val="0"/>
      <w:divBdr>
        <w:top w:val="none" w:sz="0" w:space="0" w:color="auto"/>
        <w:left w:val="none" w:sz="0" w:space="0" w:color="auto"/>
        <w:bottom w:val="none" w:sz="0" w:space="0" w:color="auto"/>
        <w:right w:val="none" w:sz="0" w:space="0" w:color="auto"/>
      </w:divBdr>
    </w:div>
    <w:div w:id="217278886">
      <w:bodyDiv w:val="1"/>
      <w:marLeft w:val="0"/>
      <w:marRight w:val="0"/>
      <w:marTop w:val="0"/>
      <w:marBottom w:val="0"/>
      <w:divBdr>
        <w:top w:val="none" w:sz="0" w:space="0" w:color="auto"/>
        <w:left w:val="none" w:sz="0" w:space="0" w:color="auto"/>
        <w:bottom w:val="none" w:sz="0" w:space="0" w:color="auto"/>
        <w:right w:val="none" w:sz="0" w:space="0" w:color="auto"/>
      </w:divBdr>
    </w:div>
    <w:div w:id="217322418">
      <w:bodyDiv w:val="1"/>
      <w:marLeft w:val="0"/>
      <w:marRight w:val="0"/>
      <w:marTop w:val="0"/>
      <w:marBottom w:val="0"/>
      <w:divBdr>
        <w:top w:val="none" w:sz="0" w:space="0" w:color="auto"/>
        <w:left w:val="none" w:sz="0" w:space="0" w:color="auto"/>
        <w:bottom w:val="none" w:sz="0" w:space="0" w:color="auto"/>
        <w:right w:val="none" w:sz="0" w:space="0" w:color="auto"/>
      </w:divBdr>
    </w:div>
    <w:div w:id="217326945">
      <w:bodyDiv w:val="1"/>
      <w:marLeft w:val="0"/>
      <w:marRight w:val="0"/>
      <w:marTop w:val="0"/>
      <w:marBottom w:val="0"/>
      <w:divBdr>
        <w:top w:val="none" w:sz="0" w:space="0" w:color="auto"/>
        <w:left w:val="none" w:sz="0" w:space="0" w:color="auto"/>
        <w:bottom w:val="none" w:sz="0" w:space="0" w:color="auto"/>
        <w:right w:val="none" w:sz="0" w:space="0" w:color="auto"/>
      </w:divBdr>
    </w:div>
    <w:div w:id="217328401">
      <w:bodyDiv w:val="1"/>
      <w:marLeft w:val="0"/>
      <w:marRight w:val="0"/>
      <w:marTop w:val="0"/>
      <w:marBottom w:val="0"/>
      <w:divBdr>
        <w:top w:val="none" w:sz="0" w:space="0" w:color="auto"/>
        <w:left w:val="none" w:sz="0" w:space="0" w:color="auto"/>
        <w:bottom w:val="none" w:sz="0" w:space="0" w:color="auto"/>
        <w:right w:val="none" w:sz="0" w:space="0" w:color="auto"/>
      </w:divBdr>
    </w:div>
    <w:div w:id="217403088">
      <w:bodyDiv w:val="1"/>
      <w:marLeft w:val="0"/>
      <w:marRight w:val="0"/>
      <w:marTop w:val="0"/>
      <w:marBottom w:val="0"/>
      <w:divBdr>
        <w:top w:val="none" w:sz="0" w:space="0" w:color="auto"/>
        <w:left w:val="none" w:sz="0" w:space="0" w:color="auto"/>
        <w:bottom w:val="none" w:sz="0" w:space="0" w:color="auto"/>
        <w:right w:val="none" w:sz="0" w:space="0" w:color="auto"/>
      </w:divBdr>
    </w:div>
    <w:div w:id="217473980">
      <w:bodyDiv w:val="1"/>
      <w:marLeft w:val="0"/>
      <w:marRight w:val="0"/>
      <w:marTop w:val="0"/>
      <w:marBottom w:val="0"/>
      <w:divBdr>
        <w:top w:val="none" w:sz="0" w:space="0" w:color="auto"/>
        <w:left w:val="none" w:sz="0" w:space="0" w:color="auto"/>
        <w:bottom w:val="none" w:sz="0" w:space="0" w:color="auto"/>
        <w:right w:val="none" w:sz="0" w:space="0" w:color="auto"/>
      </w:divBdr>
    </w:div>
    <w:div w:id="217474873">
      <w:bodyDiv w:val="1"/>
      <w:marLeft w:val="0"/>
      <w:marRight w:val="0"/>
      <w:marTop w:val="0"/>
      <w:marBottom w:val="0"/>
      <w:divBdr>
        <w:top w:val="none" w:sz="0" w:space="0" w:color="auto"/>
        <w:left w:val="none" w:sz="0" w:space="0" w:color="auto"/>
        <w:bottom w:val="none" w:sz="0" w:space="0" w:color="auto"/>
        <w:right w:val="none" w:sz="0" w:space="0" w:color="auto"/>
      </w:divBdr>
    </w:div>
    <w:div w:id="217480361">
      <w:bodyDiv w:val="1"/>
      <w:marLeft w:val="0"/>
      <w:marRight w:val="0"/>
      <w:marTop w:val="0"/>
      <w:marBottom w:val="0"/>
      <w:divBdr>
        <w:top w:val="none" w:sz="0" w:space="0" w:color="auto"/>
        <w:left w:val="none" w:sz="0" w:space="0" w:color="auto"/>
        <w:bottom w:val="none" w:sz="0" w:space="0" w:color="auto"/>
        <w:right w:val="none" w:sz="0" w:space="0" w:color="auto"/>
      </w:divBdr>
    </w:div>
    <w:div w:id="217590106">
      <w:bodyDiv w:val="1"/>
      <w:marLeft w:val="0"/>
      <w:marRight w:val="0"/>
      <w:marTop w:val="0"/>
      <w:marBottom w:val="0"/>
      <w:divBdr>
        <w:top w:val="none" w:sz="0" w:space="0" w:color="auto"/>
        <w:left w:val="none" w:sz="0" w:space="0" w:color="auto"/>
        <w:bottom w:val="none" w:sz="0" w:space="0" w:color="auto"/>
        <w:right w:val="none" w:sz="0" w:space="0" w:color="auto"/>
      </w:divBdr>
    </w:div>
    <w:div w:id="217591843">
      <w:bodyDiv w:val="1"/>
      <w:marLeft w:val="0"/>
      <w:marRight w:val="0"/>
      <w:marTop w:val="0"/>
      <w:marBottom w:val="0"/>
      <w:divBdr>
        <w:top w:val="none" w:sz="0" w:space="0" w:color="auto"/>
        <w:left w:val="none" w:sz="0" w:space="0" w:color="auto"/>
        <w:bottom w:val="none" w:sz="0" w:space="0" w:color="auto"/>
        <w:right w:val="none" w:sz="0" w:space="0" w:color="auto"/>
      </w:divBdr>
    </w:div>
    <w:div w:id="217740283">
      <w:bodyDiv w:val="1"/>
      <w:marLeft w:val="0"/>
      <w:marRight w:val="0"/>
      <w:marTop w:val="0"/>
      <w:marBottom w:val="0"/>
      <w:divBdr>
        <w:top w:val="none" w:sz="0" w:space="0" w:color="auto"/>
        <w:left w:val="none" w:sz="0" w:space="0" w:color="auto"/>
        <w:bottom w:val="none" w:sz="0" w:space="0" w:color="auto"/>
        <w:right w:val="none" w:sz="0" w:space="0" w:color="auto"/>
      </w:divBdr>
    </w:div>
    <w:div w:id="217782803">
      <w:bodyDiv w:val="1"/>
      <w:marLeft w:val="0"/>
      <w:marRight w:val="0"/>
      <w:marTop w:val="0"/>
      <w:marBottom w:val="0"/>
      <w:divBdr>
        <w:top w:val="none" w:sz="0" w:space="0" w:color="auto"/>
        <w:left w:val="none" w:sz="0" w:space="0" w:color="auto"/>
        <w:bottom w:val="none" w:sz="0" w:space="0" w:color="auto"/>
        <w:right w:val="none" w:sz="0" w:space="0" w:color="auto"/>
      </w:divBdr>
    </w:div>
    <w:div w:id="217858927">
      <w:bodyDiv w:val="1"/>
      <w:marLeft w:val="0"/>
      <w:marRight w:val="0"/>
      <w:marTop w:val="0"/>
      <w:marBottom w:val="0"/>
      <w:divBdr>
        <w:top w:val="none" w:sz="0" w:space="0" w:color="auto"/>
        <w:left w:val="none" w:sz="0" w:space="0" w:color="auto"/>
        <w:bottom w:val="none" w:sz="0" w:space="0" w:color="auto"/>
        <w:right w:val="none" w:sz="0" w:space="0" w:color="auto"/>
      </w:divBdr>
    </w:div>
    <w:div w:id="217909593">
      <w:bodyDiv w:val="1"/>
      <w:marLeft w:val="0"/>
      <w:marRight w:val="0"/>
      <w:marTop w:val="0"/>
      <w:marBottom w:val="0"/>
      <w:divBdr>
        <w:top w:val="none" w:sz="0" w:space="0" w:color="auto"/>
        <w:left w:val="none" w:sz="0" w:space="0" w:color="auto"/>
        <w:bottom w:val="none" w:sz="0" w:space="0" w:color="auto"/>
        <w:right w:val="none" w:sz="0" w:space="0" w:color="auto"/>
      </w:divBdr>
    </w:div>
    <w:div w:id="217979554">
      <w:bodyDiv w:val="1"/>
      <w:marLeft w:val="0"/>
      <w:marRight w:val="0"/>
      <w:marTop w:val="0"/>
      <w:marBottom w:val="0"/>
      <w:divBdr>
        <w:top w:val="none" w:sz="0" w:space="0" w:color="auto"/>
        <w:left w:val="none" w:sz="0" w:space="0" w:color="auto"/>
        <w:bottom w:val="none" w:sz="0" w:space="0" w:color="auto"/>
        <w:right w:val="none" w:sz="0" w:space="0" w:color="auto"/>
      </w:divBdr>
    </w:div>
    <w:div w:id="217980498">
      <w:bodyDiv w:val="1"/>
      <w:marLeft w:val="0"/>
      <w:marRight w:val="0"/>
      <w:marTop w:val="0"/>
      <w:marBottom w:val="0"/>
      <w:divBdr>
        <w:top w:val="none" w:sz="0" w:space="0" w:color="auto"/>
        <w:left w:val="none" w:sz="0" w:space="0" w:color="auto"/>
        <w:bottom w:val="none" w:sz="0" w:space="0" w:color="auto"/>
        <w:right w:val="none" w:sz="0" w:space="0" w:color="auto"/>
      </w:divBdr>
    </w:div>
    <w:div w:id="217980967">
      <w:bodyDiv w:val="1"/>
      <w:marLeft w:val="0"/>
      <w:marRight w:val="0"/>
      <w:marTop w:val="0"/>
      <w:marBottom w:val="0"/>
      <w:divBdr>
        <w:top w:val="none" w:sz="0" w:space="0" w:color="auto"/>
        <w:left w:val="none" w:sz="0" w:space="0" w:color="auto"/>
        <w:bottom w:val="none" w:sz="0" w:space="0" w:color="auto"/>
        <w:right w:val="none" w:sz="0" w:space="0" w:color="auto"/>
      </w:divBdr>
    </w:div>
    <w:div w:id="218126679">
      <w:bodyDiv w:val="1"/>
      <w:marLeft w:val="0"/>
      <w:marRight w:val="0"/>
      <w:marTop w:val="0"/>
      <w:marBottom w:val="0"/>
      <w:divBdr>
        <w:top w:val="none" w:sz="0" w:space="0" w:color="auto"/>
        <w:left w:val="none" w:sz="0" w:space="0" w:color="auto"/>
        <w:bottom w:val="none" w:sz="0" w:space="0" w:color="auto"/>
        <w:right w:val="none" w:sz="0" w:space="0" w:color="auto"/>
      </w:divBdr>
    </w:div>
    <w:div w:id="218129313">
      <w:bodyDiv w:val="1"/>
      <w:marLeft w:val="0"/>
      <w:marRight w:val="0"/>
      <w:marTop w:val="0"/>
      <w:marBottom w:val="0"/>
      <w:divBdr>
        <w:top w:val="none" w:sz="0" w:space="0" w:color="auto"/>
        <w:left w:val="none" w:sz="0" w:space="0" w:color="auto"/>
        <w:bottom w:val="none" w:sz="0" w:space="0" w:color="auto"/>
        <w:right w:val="none" w:sz="0" w:space="0" w:color="auto"/>
      </w:divBdr>
    </w:div>
    <w:div w:id="218130308">
      <w:bodyDiv w:val="1"/>
      <w:marLeft w:val="0"/>
      <w:marRight w:val="0"/>
      <w:marTop w:val="0"/>
      <w:marBottom w:val="0"/>
      <w:divBdr>
        <w:top w:val="none" w:sz="0" w:space="0" w:color="auto"/>
        <w:left w:val="none" w:sz="0" w:space="0" w:color="auto"/>
        <w:bottom w:val="none" w:sz="0" w:space="0" w:color="auto"/>
        <w:right w:val="none" w:sz="0" w:space="0" w:color="auto"/>
      </w:divBdr>
    </w:div>
    <w:div w:id="218131843">
      <w:bodyDiv w:val="1"/>
      <w:marLeft w:val="0"/>
      <w:marRight w:val="0"/>
      <w:marTop w:val="0"/>
      <w:marBottom w:val="0"/>
      <w:divBdr>
        <w:top w:val="none" w:sz="0" w:space="0" w:color="auto"/>
        <w:left w:val="none" w:sz="0" w:space="0" w:color="auto"/>
        <w:bottom w:val="none" w:sz="0" w:space="0" w:color="auto"/>
        <w:right w:val="none" w:sz="0" w:space="0" w:color="auto"/>
      </w:divBdr>
    </w:div>
    <w:div w:id="218170767">
      <w:bodyDiv w:val="1"/>
      <w:marLeft w:val="0"/>
      <w:marRight w:val="0"/>
      <w:marTop w:val="0"/>
      <w:marBottom w:val="0"/>
      <w:divBdr>
        <w:top w:val="none" w:sz="0" w:space="0" w:color="auto"/>
        <w:left w:val="none" w:sz="0" w:space="0" w:color="auto"/>
        <w:bottom w:val="none" w:sz="0" w:space="0" w:color="auto"/>
        <w:right w:val="none" w:sz="0" w:space="0" w:color="auto"/>
      </w:divBdr>
    </w:div>
    <w:div w:id="218201885">
      <w:bodyDiv w:val="1"/>
      <w:marLeft w:val="0"/>
      <w:marRight w:val="0"/>
      <w:marTop w:val="0"/>
      <w:marBottom w:val="0"/>
      <w:divBdr>
        <w:top w:val="none" w:sz="0" w:space="0" w:color="auto"/>
        <w:left w:val="none" w:sz="0" w:space="0" w:color="auto"/>
        <w:bottom w:val="none" w:sz="0" w:space="0" w:color="auto"/>
        <w:right w:val="none" w:sz="0" w:space="0" w:color="auto"/>
      </w:divBdr>
    </w:div>
    <w:div w:id="218252107">
      <w:bodyDiv w:val="1"/>
      <w:marLeft w:val="0"/>
      <w:marRight w:val="0"/>
      <w:marTop w:val="0"/>
      <w:marBottom w:val="0"/>
      <w:divBdr>
        <w:top w:val="none" w:sz="0" w:space="0" w:color="auto"/>
        <w:left w:val="none" w:sz="0" w:space="0" w:color="auto"/>
        <w:bottom w:val="none" w:sz="0" w:space="0" w:color="auto"/>
        <w:right w:val="none" w:sz="0" w:space="0" w:color="auto"/>
      </w:divBdr>
    </w:div>
    <w:div w:id="218324765">
      <w:bodyDiv w:val="1"/>
      <w:marLeft w:val="0"/>
      <w:marRight w:val="0"/>
      <w:marTop w:val="0"/>
      <w:marBottom w:val="0"/>
      <w:divBdr>
        <w:top w:val="none" w:sz="0" w:space="0" w:color="auto"/>
        <w:left w:val="none" w:sz="0" w:space="0" w:color="auto"/>
        <w:bottom w:val="none" w:sz="0" w:space="0" w:color="auto"/>
        <w:right w:val="none" w:sz="0" w:space="0" w:color="auto"/>
      </w:divBdr>
    </w:div>
    <w:div w:id="218367687">
      <w:bodyDiv w:val="1"/>
      <w:marLeft w:val="0"/>
      <w:marRight w:val="0"/>
      <w:marTop w:val="0"/>
      <w:marBottom w:val="0"/>
      <w:divBdr>
        <w:top w:val="none" w:sz="0" w:space="0" w:color="auto"/>
        <w:left w:val="none" w:sz="0" w:space="0" w:color="auto"/>
        <w:bottom w:val="none" w:sz="0" w:space="0" w:color="auto"/>
        <w:right w:val="none" w:sz="0" w:space="0" w:color="auto"/>
      </w:divBdr>
    </w:div>
    <w:div w:id="218369986">
      <w:bodyDiv w:val="1"/>
      <w:marLeft w:val="0"/>
      <w:marRight w:val="0"/>
      <w:marTop w:val="0"/>
      <w:marBottom w:val="0"/>
      <w:divBdr>
        <w:top w:val="none" w:sz="0" w:space="0" w:color="auto"/>
        <w:left w:val="none" w:sz="0" w:space="0" w:color="auto"/>
        <w:bottom w:val="none" w:sz="0" w:space="0" w:color="auto"/>
        <w:right w:val="none" w:sz="0" w:space="0" w:color="auto"/>
      </w:divBdr>
    </w:div>
    <w:div w:id="218371988">
      <w:bodyDiv w:val="1"/>
      <w:marLeft w:val="0"/>
      <w:marRight w:val="0"/>
      <w:marTop w:val="0"/>
      <w:marBottom w:val="0"/>
      <w:divBdr>
        <w:top w:val="none" w:sz="0" w:space="0" w:color="auto"/>
        <w:left w:val="none" w:sz="0" w:space="0" w:color="auto"/>
        <w:bottom w:val="none" w:sz="0" w:space="0" w:color="auto"/>
        <w:right w:val="none" w:sz="0" w:space="0" w:color="auto"/>
      </w:divBdr>
    </w:div>
    <w:div w:id="218437746">
      <w:bodyDiv w:val="1"/>
      <w:marLeft w:val="0"/>
      <w:marRight w:val="0"/>
      <w:marTop w:val="0"/>
      <w:marBottom w:val="0"/>
      <w:divBdr>
        <w:top w:val="none" w:sz="0" w:space="0" w:color="auto"/>
        <w:left w:val="none" w:sz="0" w:space="0" w:color="auto"/>
        <w:bottom w:val="none" w:sz="0" w:space="0" w:color="auto"/>
        <w:right w:val="none" w:sz="0" w:space="0" w:color="auto"/>
      </w:divBdr>
    </w:div>
    <w:div w:id="218439320">
      <w:bodyDiv w:val="1"/>
      <w:marLeft w:val="0"/>
      <w:marRight w:val="0"/>
      <w:marTop w:val="0"/>
      <w:marBottom w:val="0"/>
      <w:divBdr>
        <w:top w:val="none" w:sz="0" w:space="0" w:color="auto"/>
        <w:left w:val="none" w:sz="0" w:space="0" w:color="auto"/>
        <w:bottom w:val="none" w:sz="0" w:space="0" w:color="auto"/>
        <w:right w:val="none" w:sz="0" w:space="0" w:color="auto"/>
      </w:divBdr>
    </w:div>
    <w:div w:id="218589861">
      <w:bodyDiv w:val="1"/>
      <w:marLeft w:val="0"/>
      <w:marRight w:val="0"/>
      <w:marTop w:val="0"/>
      <w:marBottom w:val="0"/>
      <w:divBdr>
        <w:top w:val="none" w:sz="0" w:space="0" w:color="auto"/>
        <w:left w:val="none" w:sz="0" w:space="0" w:color="auto"/>
        <w:bottom w:val="none" w:sz="0" w:space="0" w:color="auto"/>
        <w:right w:val="none" w:sz="0" w:space="0" w:color="auto"/>
      </w:divBdr>
    </w:div>
    <w:div w:id="218593476">
      <w:bodyDiv w:val="1"/>
      <w:marLeft w:val="0"/>
      <w:marRight w:val="0"/>
      <w:marTop w:val="0"/>
      <w:marBottom w:val="0"/>
      <w:divBdr>
        <w:top w:val="none" w:sz="0" w:space="0" w:color="auto"/>
        <w:left w:val="none" w:sz="0" w:space="0" w:color="auto"/>
        <w:bottom w:val="none" w:sz="0" w:space="0" w:color="auto"/>
        <w:right w:val="none" w:sz="0" w:space="0" w:color="auto"/>
      </w:divBdr>
    </w:div>
    <w:div w:id="218638496">
      <w:bodyDiv w:val="1"/>
      <w:marLeft w:val="0"/>
      <w:marRight w:val="0"/>
      <w:marTop w:val="0"/>
      <w:marBottom w:val="0"/>
      <w:divBdr>
        <w:top w:val="none" w:sz="0" w:space="0" w:color="auto"/>
        <w:left w:val="none" w:sz="0" w:space="0" w:color="auto"/>
        <w:bottom w:val="none" w:sz="0" w:space="0" w:color="auto"/>
        <w:right w:val="none" w:sz="0" w:space="0" w:color="auto"/>
      </w:divBdr>
    </w:div>
    <w:div w:id="218707810">
      <w:bodyDiv w:val="1"/>
      <w:marLeft w:val="0"/>
      <w:marRight w:val="0"/>
      <w:marTop w:val="0"/>
      <w:marBottom w:val="0"/>
      <w:divBdr>
        <w:top w:val="none" w:sz="0" w:space="0" w:color="auto"/>
        <w:left w:val="none" w:sz="0" w:space="0" w:color="auto"/>
        <w:bottom w:val="none" w:sz="0" w:space="0" w:color="auto"/>
        <w:right w:val="none" w:sz="0" w:space="0" w:color="auto"/>
      </w:divBdr>
    </w:div>
    <w:div w:id="218713044">
      <w:bodyDiv w:val="1"/>
      <w:marLeft w:val="0"/>
      <w:marRight w:val="0"/>
      <w:marTop w:val="0"/>
      <w:marBottom w:val="0"/>
      <w:divBdr>
        <w:top w:val="none" w:sz="0" w:space="0" w:color="auto"/>
        <w:left w:val="none" w:sz="0" w:space="0" w:color="auto"/>
        <w:bottom w:val="none" w:sz="0" w:space="0" w:color="auto"/>
        <w:right w:val="none" w:sz="0" w:space="0" w:color="auto"/>
      </w:divBdr>
    </w:div>
    <w:div w:id="218787200">
      <w:bodyDiv w:val="1"/>
      <w:marLeft w:val="0"/>
      <w:marRight w:val="0"/>
      <w:marTop w:val="0"/>
      <w:marBottom w:val="0"/>
      <w:divBdr>
        <w:top w:val="none" w:sz="0" w:space="0" w:color="auto"/>
        <w:left w:val="none" w:sz="0" w:space="0" w:color="auto"/>
        <w:bottom w:val="none" w:sz="0" w:space="0" w:color="auto"/>
        <w:right w:val="none" w:sz="0" w:space="0" w:color="auto"/>
      </w:divBdr>
    </w:div>
    <w:div w:id="219169375">
      <w:bodyDiv w:val="1"/>
      <w:marLeft w:val="0"/>
      <w:marRight w:val="0"/>
      <w:marTop w:val="0"/>
      <w:marBottom w:val="0"/>
      <w:divBdr>
        <w:top w:val="none" w:sz="0" w:space="0" w:color="auto"/>
        <w:left w:val="none" w:sz="0" w:space="0" w:color="auto"/>
        <w:bottom w:val="none" w:sz="0" w:space="0" w:color="auto"/>
        <w:right w:val="none" w:sz="0" w:space="0" w:color="auto"/>
      </w:divBdr>
    </w:div>
    <w:div w:id="219169569">
      <w:bodyDiv w:val="1"/>
      <w:marLeft w:val="0"/>
      <w:marRight w:val="0"/>
      <w:marTop w:val="0"/>
      <w:marBottom w:val="0"/>
      <w:divBdr>
        <w:top w:val="none" w:sz="0" w:space="0" w:color="auto"/>
        <w:left w:val="none" w:sz="0" w:space="0" w:color="auto"/>
        <w:bottom w:val="none" w:sz="0" w:space="0" w:color="auto"/>
        <w:right w:val="none" w:sz="0" w:space="0" w:color="auto"/>
      </w:divBdr>
    </w:div>
    <w:div w:id="219175020">
      <w:bodyDiv w:val="1"/>
      <w:marLeft w:val="0"/>
      <w:marRight w:val="0"/>
      <w:marTop w:val="0"/>
      <w:marBottom w:val="0"/>
      <w:divBdr>
        <w:top w:val="none" w:sz="0" w:space="0" w:color="auto"/>
        <w:left w:val="none" w:sz="0" w:space="0" w:color="auto"/>
        <w:bottom w:val="none" w:sz="0" w:space="0" w:color="auto"/>
        <w:right w:val="none" w:sz="0" w:space="0" w:color="auto"/>
      </w:divBdr>
    </w:div>
    <w:div w:id="219243778">
      <w:bodyDiv w:val="1"/>
      <w:marLeft w:val="0"/>
      <w:marRight w:val="0"/>
      <w:marTop w:val="0"/>
      <w:marBottom w:val="0"/>
      <w:divBdr>
        <w:top w:val="none" w:sz="0" w:space="0" w:color="auto"/>
        <w:left w:val="none" w:sz="0" w:space="0" w:color="auto"/>
        <w:bottom w:val="none" w:sz="0" w:space="0" w:color="auto"/>
        <w:right w:val="none" w:sz="0" w:space="0" w:color="auto"/>
      </w:divBdr>
    </w:div>
    <w:div w:id="219290572">
      <w:bodyDiv w:val="1"/>
      <w:marLeft w:val="0"/>
      <w:marRight w:val="0"/>
      <w:marTop w:val="0"/>
      <w:marBottom w:val="0"/>
      <w:divBdr>
        <w:top w:val="none" w:sz="0" w:space="0" w:color="auto"/>
        <w:left w:val="none" w:sz="0" w:space="0" w:color="auto"/>
        <w:bottom w:val="none" w:sz="0" w:space="0" w:color="auto"/>
        <w:right w:val="none" w:sz="0" w:space="0" w:color="auto"/>
      </w:divBdr>
    </w:div>
    <w:div w:id="219639628">
      <w:bodyDiv w:val="1"/>
      <w:marLeft w:val="0"/>
      <w:marRight w:val="0"/>
      <w:marTop w:val="0"/>
      <w:marBottom w:val="0"/>
      <w:divBdr>
        <w:top w:val="none" w:sz="0" w:space="0" w:color="auto"/>
        <w:left w:val="none" w:sz="0" w:space="0" w:color="auto"/>
        <w:bottom w:val="none" w:sz="0" w:space="0" w:color="auto"/>
        <w:right w:val="none" w:sz="0" w:space="0" w:color="auto"/>
      </w:divBdr>
    </w:div>
    <w:div w:id="219681525">
      <w:bodyDiv w:val="1"/>
      <w:marLeft w:val="0"/>
      <w:marRight w:val="0"/>
      <w:marTop w:val="0"/>
      <w:marBottom w:val="0"/>
      <w:divBdr>
        <w:top w:val="none" w:sz="0" w:space="0" w:color="auto"/>
        <w:left w:val="none" w:sz="0" w:space="0" w:color="auto"/>
        <w:bottom w:val="none" w:sz="0" w:space="0" w:color="auto"/>
        <w:right w:val="none" w:sz="0" w:space="0" w:color="auto"/>
      </w:divBdr>
    </w:div>
    <w:div w:id="219708976">
      <w:bodyDiv w:val="1"/>
      <w:marLeft w:val="0"/>
      <w:marRight w:val="0"/>
      <w:marTop w:val="0"/>
      <w:marBottom w:val="0"/>
      <w:divBdr>
        <w:top w:val="none" w:sz="0" w:space="0" w:color="auto"/>
        <w:left w:val="none" w:sz="0" w:space="0" w:color="auto"/>
        <w:bottom w:val="none" w:sz="0" w:space="0" w:color="auto"/>
        <w:right w:val="none" w:sz="0" w:space="0" w:color="auto"/>
      </w:divBdr>
    </w:div>
    <w:div w:id="219752965">
      <w:bodyDiv w:val="1"/>
      <w:marLeft w:val="0"/>
      <w:marRight w:val="0"/>
      <w:marTop w:val="0"/>
      <w:marBottom w:val="0"/>
      <w:divBdr>
        <w:top w:val="none" w:sz="0" w:space="0" w:color="auto"/>
        <w:left w:val="none" w:sz="0" w:space="0" w:color="auto"/>
        <w:bottom w:val="none" w:sz="0" w:space="0" w:color="auto"/>
        <w:right w:val="none" w:sz="0" w:space="0" w:color="auto"/>
      </w:divBdr>
    </w:div>
    <w:div w:id="219756985">
      <w:bodyDiv w:val="1"/>
      <w:marLeft w:val="0"/>
      <w:marRight w:val="0"/>
      <w:marTop w:val="0"/>
      <w:marBottom w:val="0"/>
      <w:divBdr>
        <w:top w:val="none" w:sz="0" w:space="0" w:color="auto"/>
        <w:left w:val="none" w:sz="0" w:space="0" w:color="auto"/>
        <w:bottom w:val="none" w:sz="0" w:space="0" w:color="auto"/>
        <w:right w:val="none" w:sz="0" w:space="0" w:color="auto"/>
      </w:divBdr>
    </w:div>
    <w:div w:id="219823782">
      <w:bodyDiv w:val="1"/>
      <w:marLeft w:val="0"/>
      <w:marRight w:val="0"/>
      <w:marTop w:val="0"/>
      <w:marBottom w:val="0"/>
      <w:divBdr>
        <w:top w:val="none" w:sz="0" w:space="0" w:color="auto"/>
        <w:left w:val="none" w:sz="0" w:space="0" w:color="auto"/>
        <w:bottom w:val="none" w:sz="0" w:space="0" w:color="auto"/>
        <w:right w:val="none" w:sz="0" w:space="0" w:color="auto"/>
      </w:divBdr>
    </w:div>
    <w:div w:id="219824837">
      <w:bodyDiv w:val="1"/>
      <w:marLeft w:val="0"/>
      <w:marRight w:val="0"/>
      <w:marTop w:val="0"/>
      <w:marBottom w:val="0"/>
      <w:divBdr>
        <w:top w:val="none" w:sz="0" w:space="0" w:color="auto"/>
        <w:left w:val="none" w:sz="0" w:space="0" w:color="auto"/>
        <w:bottom w:val="none" w:sz="0" w:space="0" w:color="auto"/>
        <w:right w:val="none" w:sz="0" w:space="0" w:color="auto"/>
      </w:divBdr>
    </w:div>
    <w:div w:id="219875499">
      <w:bodyDiv w:val="1"/>
      <w:marLeft w:val="0"/>
      <w:marRight w:val="0"/>
      <w:marTop w:val="0"/>
      <w:marBottom w:val="0"/>
      <w:divBdr>
        <w:top w:val="none" w:sz="0" w:space="0" w:color="auto"/>
        <w:left w:val="none" w:sz="0" w:space="0" w:color="auto"/>
        <w:bottom w:val="none" w:sz="0" w:space="0" w:color="auto"/>
        <w:right w:val="none" w:sz="0" w:space="0" w:color="auto"/>
      </w:divBdr>
    </w:div>
    <w:div w:id="219905127">
      <w:bodyDiv w:val="1"/>
      <w:marLeft w:val="0"/>
      <w:marRight w:val="0"/>
      <w:marTop w:val="0"/>
      <w:marBottom w:val="0"/>
      <w:divBdr>
        <w:top w:val="none" w:sz="0" w:space="0" w:color="auto"/>
        <w:left w:val="none" w:sz="0" w:space="0" w:color="auto"/>
        <w:bottom w:val="none" w:sz="0" w:space="0" w:color="auto"/>
        <w:right w:val="none" w:sz="0" w:space="0" w:color="auto"/>
      </w:divBdr>
    </w:div>
    <w:div w:id="220095038">
      <w:bodyDiv w:val="1"/>
      <w:marLeft w:val="0"/>
      <w:marRight w:val="0"/>
      <w:marTop w:val="0"/>
      <w:marBottom w:val="0"/>
      <w:divBdr>
        <w:top w:val="none" w:sz="0" w:space="0" w:color="auto"/>
        <w:left w:val="none" w:sz="0" w:space="0" w:color="auto"/>
        <w:bottom w:val="none" w:sz="0" w:space="0" w:color="auto"/>
        <w:right w:val="none" w:sz="0" w:space="0" w:color="auto"/>
      </w:divBdr>
    </w:div>
    <w:div w:id="220099526">
      <w:bodyDiv w:val="1"/>
      <w:marLeft w:val="0"/>
      <w:marRight w:val="0"/>
      <w:marTop w:val="0"/>
      <w:marBottom w:val="0"/>
      <w:divBdr>
        <w:top w:val="none" w:sz="0" w:space="0" w:color="auto"/>
        <w:left w:val="none" w:sz="0" w:space="0" w:color="auto"/>
        <w:bottom w:val="none" w:sz="0" w:space="0" w:color="auto"/>
        <w:right w:val="none" w:sz="0" w:space="0" w:color="auto"/>
      </w:divBdr>
    </w:div>
    <w:div w:id="220144377">
      <w:bodyDiv w:val="1"/>
      <w:marLeft w:val="0"/>
      <w:marRight w:val="0"/>
      <w:marTop w:val="0"/>
      <w:marBottom w:val="0"/>
      <w:divBdr>
        <w:top w:val="none" w:sz="0" w:space="0" w:color="auto"/>
        <w:left w:val="none" w:sz="0" w:space="0" w:color="auto"/>
        <w:bottom w:val="none" w:sz="0" w:space="0" w:color="auto"/>
        <w:right w:val="none" w:sz="0" w:space="0" w:color="auto"/>
      </w:divBdr>
    </w:div>
    <w:div w:id="220214190">
      <w:bodyDiv w:val="1"/>
      <w:marLeft w:val="0"/>
      <w:marRight w:val="0"/>
      <w:marTop w:val="0"/>
      <w:marBottom w:val="0"/>
      <w:divBdr>
        <w:top w:val="none" w:sz="0" w:space="0" w:color="auto"/>
        <w:left w:val="none" w:sz="0" w:space="0" w:color="auto"/>
        <w:bottom w:val="none" w:sz="0" w:space="0" w:color="auto"/>
        <w:right w:val="none" w:sz="0" w:space="0" w:color="auto"/>
      </w:divBdr>
    </w:div>
    <w:div w:id="220217354">
      <w:bodyDiv w:val="1"/>
      <w:marLeft w:val="0"/>
      <w:marRight w:val="0"/>
      <w:marTop w:val="0"/>
      <w:marBottom w:val="0"/>
      <w:divBdr>
        <w:top w:val="none" w:sz="0" w:space="0" w:color="auto"/>
        <w:left w:val="none" w:sz="0" w:space="0" w:color="auto"/>
        <w:bottom w:val="none" w:sz="0" w:space="0" w:color="auto"/>
        <w:right w:val="none" w:sz="0" w:space="0" w:color="auto"/>
      </w:divBdr>
    </w:div>
    <w:div w:id="220288813">
      <w:bodyDiv w:val="1"/>
      <w:marLeft w:val="0"/>
      <w:marRight w:val="0"/>
      <w:marTop w:val="0"/>
      <w:marBottom w:val="0"/>
      <w:divBdr>
        <w:top w:val="none" w:sz="0" w:space="0" w:color="auto"/>
        <w:left w:val="none" w:sz="0" w:space="0" w:color="auto"/>
        <w:bottom w:val="none" w:sz="0" w:space="0" w:color="auto"/>
        <w:right w:val="none" w:sz="0" w:space="0" w:color="auto"/>
      </w:divBdr>
    </w:div>
    <w:div w:id="220335289">
      <w:bodyDiv w:val="1"/>
      <w:marLeft w:val="0"/>
      <w:marRight w:val="0"/>
      <w:marTop w:val="0"/>
      <w:marBottom w:val="0"/>
      <w:divBdr>
        <w:top w:val="none" w:sz="0" w:space="0" w:color="auto"/>
        <w:left w:val="none" w:sz="0" w:space="0" w:color="auto"/>
        <w:bottom w:val="none" w:sz="0" w:space="0" w:color="auto"/>
        <w:right w:val="none" w:sz="0" w:space="0" w:color="auto"/>
      </w:divBdr>
    </w:div>
    <w:div w:id="220408277">
      <w:bodyDiv w:val="1"/>
      <w:marLeft w:val="0"/>
      <w:marRight w:val="0"/>
      <w:marTop w:val="0"/>
      <w:marBottom w:val="0"/>
      <w:divBdr>
        <w:top w:val="none" w:sz="0" w:space="0" w:color="auto"/>
        <w:left w:val="none" w:sz="0" w:space="0" w:color="auto"/>
        <w:bottom w:val="none" w:sz="0" w:space="0" w:color="auto"/>
        <w:right w:val="none" w:sz="0" w:space="0" w:color="auto"/>
      </w:divBdr>
    </w:div>
    <w:div w:id="220484836">
      <w:bodyDiv w:val="1"/>
      <w:marLeft w:val="0"/>
      <w:marRight w:val="0"/>
      <w:marTop w:val="0"/>
      <w:marBottom w:val="0"/>
      <w:divBdr>
        <w:top w:val="none" w:sz="0" w:space="0" w:color="auto"/>
        <w:left w:val="none" w:sz="0" w:space="0" w:color="auto"/>
        <w:bottom w:val="none" w:sz="0" w:space="0" w:color="auto"/>
        <w:right w:val="none" w:sz="0" w:space="0" w:color="auto"/>
      </w:divBdr>
    </w:div>
    <w:div w:id="220679496">
      <w:bodyDiv w:val="1"/>
      <w:marLeft w:val="0"/>
      <w:marRight w:val="0"/>
      <w:marTop w:val="0"/>
      <w:marBottom w:val="0"/>
      <w:divBdr>
        <w:top w:val="none" w:sz="0" w:space="0" w:color="auto"/>
        <w:left w:val="none" w:sz="0" w:space="0" w:color="auto"/>
        <w:bottom w:val="none" w:sz="0" w:space="0" w:color="auto"/>
        <w:right w:val="none" w:sz="0" w:space="0" w:color="auto"/>
      </w:divBdr>
    </w:div>
    <w:div w:id="220680925">
      <w:bodyDiv w:val="1"/>
      <w:marLeft w:val="0"/>
      <w:marRight w:val="0"/>
      <w:marTop w:val="0"/>
      <w:marBottom w:val="0"/>
      <w:divBdr>
        <w:top w:val="none" w:sz="0" w:space="0" w:color="auto"/>
        <w:left w:val="none" w:sz="0" w:space="0" w:color="auto"/>
        <w:bottom w:val="none" w:sz="0" w:space="0" w:color="auto"/>
        <w:right w:val="none" w:sz="0" w:space="0" w:color="auto"/>
      </w:divBdr>
    </w:div>
    <w:div w:id="220751443">
      <w:bodyDiv w:val="1"/>
      <w:marLeft w:val="0"/>
      <w:marRight w:val="0"/>
      <w:marTop w:val="0"/>
      <w:marBottom w:val="0"/>
      <w:divBdr>
        <w:top w:val="none" w:sz="0" w:space="0" w:color="auto"/>
        <w:left w:val="none" w:sz="0" w:space="0" w:color="auto"/>
        <w:bottom w:val="none" w:sz="0" w:space="0" w:color="auto"/>
        <w:right w:val="none" w:sz="0" w:space="0" w:color="auto"/>
      </w:divBdr>
    </w:div>
    <w:div w:id="220755762">
      <w:bodyDiv w:val="1"/>
      <w:marLeft w:val="0"/>
      <w:marRight w:val="0"/>
      <w:marTop w:val="0"/>
      <w:marBottom w:val="0"/>
      <w:divBdr>
        <w:top w:val="none" w:sz="0" w:space="0" w:color="auto"/>
        <w:left w:val="none" w:sz="0" w:space="0" w:color="auto"/>
        <w:bottom w:val="none" w:sz="0" w:space="0" w:color="auto"/>
        <w:right w:val="none" w:sz="0" w:space="0" w:color="auto"/>
      </w:divBdr>
    </w:div>
    <w:div w:id="220868904">
      <w:bodyDiv w:val="1"/>
      <w:marLeft w:val="0"/>
      <w:marRight w:val="0"/>
      <w:marTop w:val="0"/>
      <w:marBottom w:val="0"/>
      <w:divBdr>
        <w:top w:val="none" w:sz="0" w:space="0" w:color="auto"/>
        <w:left w:val="none" w:sz="0" w:space="0" w:color="auto"/>
        <w:bottom w:val="none" w:sz="0" w:space="0" w:color="auto"/>
        <w:right w:val="none" w:sz="0" w:space="0" w:color="auto"/>
      </w:divBdr>
    </w:div>
    <w:div w:id="220873162">
      <w:bodyDiv w:val="1"/>
      <w:marLeft w:val="0"/>
      <w:marRight w:val="0"/>
      <w:marTop w:val="0"/>
      <w:marBottom w:val="0"/>
      <w:divBdr>
        <w:top w:val="none" w:sz="0" w:space="0" w:color="auto"/>
        <w:left w:val="none" w:sz="0" w:space="0" w:color="auto"/>
        <w:bottom w:val="none" w:sz="0" w:space="0" w:color="auto"/>
        <w:right w:val="none" w:sz="0" w:space="0" w:color="auto"/>
      </w:divBdr>
    </w:div>
    <w:div w:id="220941079">
      <w:bodyDiv w:val="1"/>
      <w:marLeft w:val="0"/>
      <w:marRight w:val="0"/>
      <w:marTop w:val="0"/>
      <w:marBottom w:val="0"/>
      <w:divBdr>
        <w:top w:val="none" w:sz="0" w:space="0" w:color="auto"/>
        <w:left w:val="none" w:sz="0" w:space="0" w:color="auto"/>
        <w:bottom w:val="none" w:sz="0" w:space="0" w:color="auto"/>
        <w:right w:val="none" w:sz="0" w:space="0" w:color="auto"/>
      </w:divBdr>
    </w:div>
    <w:div w:id="220948968">
      <w:bodyDiv w:val="1"/>
      <w:marLeft w:val="0"/>
      <w:marRight w:val="0"/>
      <w:marTop w:val="0"/>
      <w:marBottom w:val="0"/>
      <w:divBdr>
        <w:top w:val="none" w:sz="0" w:space="0" w:color="auto"/>
        <w:left w:val="none" w:sz="0" w:space="0" w:color="auto"/>
        <w:bottom w:val="none" w:sz="0" w:space="0" w:color="auto"/>
        <w:right w:val="none" w:sz="0" w:space="0" w:color="auto"/>
      </w:divBdr>
    </w:div>
    <w:div w:id="220949763">
      <w:bodyDiv w:val="1"/>
      <w:marLeft w:val="0"/>
      <w:marRight w:val="0"/>
      <w:marTop w:val="0"/>
      <w:marBottom w:val="0"/>
      <w:divBdr>
        <w:top w:val="none" w:sz="0" w:space="0" w:color="auto"/>
        <w:left w:val="none" w:sz="0" w:space="0" w:color="auto"/>
        <w:bottom w:val="none" w:sz="0" w:space="0" w:color="auto"/>
        <w:right w:val="none" w:sz="0" w:space="0" w:color="auto"/>
      </w:divBdr>
    </w:div>
    <w:div w:id="221064342">
      <w:bodyDiv w:val="1"/>
      <w:marLeft w:val="0"/>
      <w:marRight w:val="0"/>
      <w:marTop w:val="0"/>
      <w:marBottom w:val="0"/>
      <w:divBdr>
        <w:top w:val="none" w:sz="0" w:space="0" w:color="auto"/>
        <w:left w:val="none" w:sz="0" w:space="0" w:color="auto"/>
        <w:bottom w:val="none" w:sz="0" w:space="0" w:color="auto"/>
        <w:right w:val="none" w:sz="0" w:space="0" w:color="auto"/>
      </w:divBdr>
    </w:div>
    <w:div w:id="221066358">
      <w:bodyDiv w:val="1"/>
      <w:marLeft w:val="0"/>
      <w:marRight w:val="0"/>
      <w:marTop w:val="0"/>
      <w:marBottom w:val="0"/>
      <w:divBdr>
        <w:top w:val="none" w:sz="0" w:space="0" w:color="auto"/>
        <w:left w:val="none" w:sz="0" w:space="0" w:color="auto"/>
        <w:bottom w:val="none" w:sz="0" w:space="0" w:color="auto"/>
        <w:right w:val="none" w:sz="0" w:space="0" w:color="auto"/>
      </w:divBdr>
    </w:div>
    <w:div w:id="221066617">
      <w:bodyDiv w:val="1"/>
      <w:marLeft w:val="0"/>
      <w:marRight w:val="0"/>
      <w:marTop w:val="0"/>
      <w:marBottom w:val="0"/>
      <w:divBdr>
        <w:top w:val="none" w:sz="0" w:space="0" w:color="auto"/>
        <w:left w:val="none" w:sz="0" w:space="0" w:color="auto"/>
        <w:bottom w:val="none" w:sz="0" w:space="0" w:color="auto"/>
        <w:right w:val="none" w:sz="0" w:space="0" w:color="auto"/>
      </w:divBdr>
    </w:div>
    <w:div w:id="221210001">
      <w:bodyDiv w:val="1"/>
      <w:marLeft w:val="0"/>
      <w:marRight w:val="0"/>
      <w:marTop w:val="0"/>
      <w:marBottom w:val="0"/>
      <w:divBdr>
        <w:top w:val="none" w:sz="0" w:space="0" w:color="auto"/>
        <w:left w:val="none" w:sz="0" w:space="0" w:color="auto"/>
        <w:bottom w:val="none" w:sz="0" w:space="0" w:color="auto"/>
        <w:right w:val="none" w:sz="0" w:space="0" w:color="auto"/>
      </w:divBdr>
    </w:div>
    <w:div w:id="221261156">
      <w:bodyDiv w:val="1"/>
      <w:marLeft w:val="0"/>
      <w:marRight w:val="0"/>
      <w:marTop w:val="0"/>
      <w:marBottom w:val="0"/>
      <w:divBdr>
        <w:top w:val="none" w:sz="0" w:space="0" w:color="auto"/>
        <w:left w:val="none" w:sz="0" w:space="0" w:color="auto"/>
        <w:bottom w:val="none" w:sz="0" w:space="0" w:color="auto"/>
        <w:right w:val="none" w:sz="0" w:space="0" w:color="auto"/>
      </w:divBdr>
    </w:div>
    <w:div w:id="221525220">
      <w:bodyDiv w:val="1"/>
      <w:marLeft w:val="0"/>
      <w:marRight w:val="0"/>
      <w:marTop w:val="0"/>
      <w:marBottom w:val="0"/>
      <w:divBdr>
        <w:top w:val="none" w:sz="0" w:space="0" w:color="auto"/>
        <w:left w:val="none" w:sz="0" w:space="0" w:color="auto"/>
        <w:bottom w:val="none" w:sz="0" w:space="0" w:color="auto"/>
        <w:right w:val="none" w:sz="0" w:space="0" w:color="auto"/>
      </w:divBdr>
    </w:div>
    <w:div w:id="221527948">
      <w:bodyDiv w:val="1"/>
      <w:marLeft w:val="0"/>
      <w:marRight w:val="0"/>
      <w:marTop w:val="0"/>
      <w:marBottom w:val="0"/>
      <w:divBdr>
        <w:top w:val="none" w:sz="0" w:space="0" w:color="auto"/>
        <w:left w:val="none" w:sz="0" w:space="0" w:color="auto"/>
        <w:bottom w:val="none" w:sz="0" w:space="0" w:color="auto"/>
        <w:right w:val="none" w:sz="0" w:space="0" w:color="auto"/>
      </w:divBdr>
    </w:div>
    <w:div w:id="221528369">
      <w:bodyDiv w:val="1"/>
      <w:marLeft w:val="0"/>
      <w:marRight w:val="0"/>
      <w:marTop w:val="0"/>
      <w:marBottom w:val="0"/>
      <w:divBdr>
        <w:top w:val="none" w:sz="0" w:space="0" w:color="auto"/>
        <w:left w:val="none" w:sz="0" w:space="0" w:color="auto"/>
        <w:bottom w:val="none" w:sz="0" w:space="0" w:color="auto"/>
        <w:right w:val="none" w:sz="0" w:space="0" w:color="auto"/>
      </w:divBdr>
    </w:div>
    <w:div w:id="221602305">
      <w:bodyDiv w:val="1"/>
      <w:marLeft w:val="0"/>
      <w:marRight w:val="0"/>
      <w:marTop w:val="0"/>
      <w:marBottom w:val="0"/>
      <w:divBdr>
        <w:top w:val="none" w:sz="0" w:space="0" w:color="auto"/>
        <w:left w:val="none" w:sz="0" w:space="0" w:color="auto"/>
        <w:bottom w:val="none" w:sz="0" w:space="0" w:color="auto"/>
        <w:right w:val="none" w:sz="0" w:space="0" w:color="auto"/>
      </w:divBdr>
    </w:div>
    <w:div w:id="221644552">
      <w:bodyDiv w:val="1"/>
      <w:marLeft w:val="0"/>
      <w:marRight w:val="0"/>
      <w:marTop w:val="0"/>
      <w:marBottom w:val="0"/>
      <w:divBdr>
        <w:top w:val="none" w:sz="0" w:space="0" w:color="auto"/>
        <w:left w:val="none" w:sz="0" w:space="0" w:color="auto"/>
        <w:bottom w:val="none" w:sz="0" w:space="0" w:color="auto"/>
        <w:right w:val="none" w:sz="0" w:space="0" w:color="auto"/>
      </w:divBdr>
    </w:div>
    <w:div w:id="221674897">
      <w:bodyDiv w:val="1"/>
      <w:marLeft w:val="0"/>
      <w:marRight w:val="0"/>
      <w:marTop w:val="0"/>
      <w:marBottom w:val="0"/>
      <w:divBdr>
        <w:top w:val="none" w:sz="0" w:space="0" w:color="auto"/>
        <w:left w:val="none" w:sz="0" w:space="0" w:color="auto"/>
        <w:bottom w:val="none" w:sz="0" w:space="0" w:color="auto"/>
        <w:right w:val="none" w:sz="0" w:space="0" w:color="auto"/>
      </w:divBdr>
    </w:div>
    <w:div w:id="221866348">
      <w:bodyDiv w:val="1"/>
      <w:marLeft w:val="0"/>
      <w:marRight w:val="0"/>
      <w:marTop w:val="0"/>
      <w:marBottom w:val="0"/>
      <w:divBdr>
        <w:top w:val="none" w:sz="0" w:space="0" w:color="auto"/>
        <w:left w:val="none" w:sz="0" w:space="0" w:color="auto"/>
        <w:bottom w:val="none" w:sz="0" w:space="0" w:color="auto"/>
        <w:right w:val="none" w:sz="0" w:space="0" w:color="auto"/>
      </w:divBdr>
    </w:div>
    <w:div w:id="221867863">
      <w:bodyDiv w:val="1"/>
      <w:marLeft w:val="0"/>
      <w:marRight w:val="0"/>
      <w:marTop w:val="0"/>
      <w:marBottom w:val="0"/>
      <w:divBdr>
        <w:top w:val="none" w:sz="0" w:space="0" w:color="auto"/>
        <w:left w:val="none" w:sz="0" w:space="0" w:color="auto"/>
        <w:bottom w:val="none" w:sz="0" w:space="0" w:color="auto"/>
        <w:right w:val="none" w:sz="0" w:space="0" w:color="auto"/>
      </w:divBdr>
    </w:div>
    <w:div w:id="221911443">
      <w:bodyDiv w:val="1"/>
      <w:marLeft w:val="0"/>
      <w:marRight w:val="0"/>
      <w:marTop w:val="0"/>
      <w:marBottom w:val="0"/>
      <w:divBdr>
        <w:top w:val="none" w:sz="0" w:space="0" w:color="auto"/>
        <w:left w:val="none" w:sz="0" w:space="0" w:color="auto"/>
        <w:bottom w:val="none" w:sz="0" w:space="0" w:color="auto"/>
        <w:right w:val="none" w:sz="0" w:space="0" w:color="auto"/>
      </w:divBdr>
    </w:div>
    <w:div w:id="221985531">
      <w:bodyDiv w:val="1"/>
      <w:marLeft w:val="0"/>
      <w:marRight w:val="0"/>
      <w:marTop w:val="0"/>
      <w:marBottom w:val="0"/>
      <w:divBdr>
        <w:top w:val="none" w:sz="0" w:space="0" w:color="auto"/>
        <w:left w:val="none" w:sz="0" w:space="0" w:color="auto"/>
        <w:bottom w:val="none" w:sz="0" w:space="0" w:color="auto"/>
        <w:right w:val="none" w:sz="0" w:space="0" w:color="auto"/>
      </w:divBdr>
    </w:div>
    <w:div w:id="221991819">
      <w:bodyDiv w:val="1"/>
      <w:marLeft w:val="0"/>
      <w:marRight w:val="0"/>
      <w:marTop w:val="0"/>
      <w:marBottom w:val="0"/>
      <w:divBdr>
        <w:top w:val="none" w:sz="0" w:space="0" w:color="auto"/>
        <w:left w:val="none" w:sz="0" w:space="0" w:color="auto"/>
        <w:bottom w:val="none" w:sz="0" w:space="0" w:color="auto"/>
        <w:right w:val="none" w:sz="0" w:space="0" w:color="auto"/>
      </w:divBdr>
    </w:div>
    <w:div w:id="222101886">
      <w:bodyDiv w:val="1"/>
      <w:marLeft w:val="0"/>
      <w:marRight w:val="0"/>
      <w:marTop w:val="0"/>
      <w:marBottom w:val="0"/>
      <w:divBdr>
        <w:top w:val="none" w:sz="0" w:space="0" w:color="auto"/>
        <w:left w:val="none" w:sz="0" w:space="0" w:color="auto"/>
        <w:bottom w:val="none" w:sz="0" w:space="0" w:color="auto"/>
        <w:right w:val="none" w:sz="0" w:space="0" w:color="auto"/>
      </w:divBdr>
    </w:div>
    <w:div w:id="222181413">
      <w:bodyDiv w:val="1"/>
      <w:marLeft w:val="0"/>
      <w:marRight w:val="0"/>
      <w:marTop w:val="0"/>
      <w:marBottom w:val="0"/>
      <w:divBdr>
        <w:top w:val="none" w:sz="0" w:space="0" w:color="auto"/>
        <w:left w:val="none" w:sz="0" w:space="0" w:color="auto"/>
        <w:bottom w:val="none" w:sz="0" w:space="0" w:color="auto"/>
        <w:right w:val="none" w:sz="0" w:space="0" w:color="auto"/>
      </w:divBdr>
    </w:div>
    <w:div w:id="222184546">
      <w:bodyDiv w:val="1"/>
      <w:marLeft w:val="0"/>
      <w:marRight w:val="0"/>
      <w:marTop w:val="0"/>
      <w:marBottom w:val="0"/>
      <w:divBdr>
        <w:top w:val="none" w:sz="0" w:space="0" w:color="auto"/>
        <w:left w:val="none" w:sz="0" w:space="0" w:color="auto"/>
        <w:bottom w:val="none" w:sz="0" w:space="0" w:color="auto"/>
        <w:right w:val="none" w:sz="0" w:space="0" w:color="auto"/>
      </w:divBdr>
    </w:div>
    <w:div w:id="222251603">
      <w:bodyDiv w:val="1"/>
      <w:marLeft w:val="0"/>
      <w:marRight w:val="0"/>
      <w:marTop w:val="0"/>
      <w:marBottom w:val="0"/>
      <w:divBdr>
        <w:top w:val="none" w:sz="0" w:space="0" w:color="auto"/>
        <w:left w:val="none" w:sz="0" w:space="0" w:color="auto"/>
        <w:bottom w:val="none" w:sz="0" w:space="0" w:color="auto"/>
        <w:right w:val="none" w:sz="0" w:space="0" w:color="auto"/>
      </w:divBdr>
    </w:div>
    <w:div w:id="222257263">
      <w:bodyDiv w:val="1"/>
      <w:marLeft w:val="0"/>
      <w:marRight w:val="0"/>
      <w:marTop w:val="0"/>
      <w:marBottom w:val="0"/>
      <w:divBdr>
        <w:top w:val="none" w:sz="0" w:space="0" w:color="auto"/>
        <w:left w:val="none" w:sz="0" w:space="0" w:color="auto"/>
        <w:bottom w:val="none" w:sz="0" w:space="0" w:color="auto"/>
        <w:right w:val="none" w:sz="0" w:space="0" w:color="auto"/>
      </w:divBdr>
    </w:div>
    <w:div w:id="222372544">
      <w:bodyDiv w:val="1"/>
      <w:marLeft w:val="0"/>
      <w:marRight w:val="0"/>
      <w:marTop w:val="0"/>
      <w:marBottom w:val="0"/>
      <w:divBdr>
        <w:top w:val="none" w:sz="0" w:space="0" w:color="auto"/>
        <w:left w:val="none" w:sz="0" w:space="0" w:color="auto"/>
        <w:bottom w:val="none" w:sz="0" w:space="0" w:color="auto"/>
        <w:right w:val="none" w:sz="0" w:space="0" w:color="auto"/>
      </w:divBdr>
    </w:div>
    <w:div w:id="222375454">
      <w:bodyDiv w:val="1"/>
      <w:marLeft w:val="0"/>
      <w:marRight w:val="0"/>
      <w:marTop w:val="0"/>
      <w:marBottom w:val="0"/>
      <w:divBdr>
        <w:top w:val="none" w:sz="0" w:space="0" w:color="auto"/>
        <w:left w:val="none" w:sz="0" w:space="0" w:color="auto"/>
        <w:bottom w:val="none" w:sz="0" w:space="0" w:color="auto"/>
        <w:right w:val="none" w:sz="0" w:space="0" w:color="auto"/>
      </w:divBdr>
    </w:div>
    <w:div w:id="222447426">
      <w:bodyDiv w:val="1"/>
      <w:marLeft w:val="0"/>
      <w:marRight w:val="0"/>
      <w:marTop w:val="0"/>
      <w:marBottom w:val="0"/>
      <w:divBdr>
        <w:top w:val="none" w:sz="0" w:space="0" w:color="auto"/>
        <w:left w:val="none" w:sz="0" w:space="0" w:color="auto"/>
        <w:bottom w:val="none" w:sz="0" w:space="0" w:color="auto"/>
        <w:right w:val="none" w:sz="0" w:space="0" w:color="auto"/>
      </w:divBdr>
    </w:div>
    <w:div w:id="222450098">
      <w:bodyDiv w:val="1"/>
      <w:marLeft w:val="0"/>
      <w:marRight w:val="0"/>
      <w:marTop w:val="0"/>
      <w:marBottom w:val="0"/>
      <w:divBdr>
        <w:top w:val="none" w:sz="0" w:space="0" w:color="auto"/>
        <w:left w:val="none" w:sz="0" w:space="0" w:color="auto"/>
        <w:bottom w:val="none" w:sz="0" w:space="0" w:color="auto"/>
        <w:right w:val="none" w:sz="0" w:space="0" w:color="auto"/>
      </w:divBdr>
    </w:div>
    <w:div w:id="222521834">
      <w:bodyDiv w:val="1"/>
      <w:marLeft w:val="0"/>
      <w:marRight w:val="0"/>
      <w:marTop w:val="0"/>
      <w:marBottom w:val="0"/>
      <w:divBdr>
        <w:top w:val="none" w:sz="0" w:space="0" w:color="auto"/>
        <w:left w:val="none" w:sz="0" w:space="0" w:color="auto"/>
        <w:bottom w:val="none" w:sz="0" w:space="0" w:color="auto"/>
        <w:right w:val="none" w:sz="0" w:space="0" w:color="auto"/>
      </w:divBdr>
    </w:div>
    <w:div w:id="222570721">
      <w:bodyDiv w:val="1"/>
      <w:marLeft w:val="0"/>
      <w:marRight w:val="0"/>
      <w:marTop w:val="0"/>
      <w:marBottom w:val="0"/>
      <w:divBdr>
        <w:top w:val="none" w:sz="0" w:space="0" w:color="auto"/>
        <w:left w:val="none" w:sz="0" w:space="0" w:color="auto"/>
        <w:bottom w:val="none" w:sz="0" w:space="0" w:color="auto"/>
        <w:right w:val="none" w:sz="0" w:space="0" w:color="auto"/>
      </w:divBdr>
    </w:div>
    <w:div w:id="222642892">
      <w:bodyDiv w:val="1"/>
      <w:marLeft w:val="0"/>
      <w:marRight w:val="0"/>
      <w:marTop w:val="0"/>
      <w:marBottom w:val="0"/>
      <w:divBdr>
        <w:top w:val="none" w:sz="0" w:space="0" w:color="auto"/>
        <w:left w:val="none" w:sz="0" w:space="0" w:color="auto"/>
        <w:bottom w:val="none" w:sz="0" w:space="0" w:color="auto"/>
        <w:right w:val="none" w:sz="0" w:space="0" w:color="auto"/>
      </w:divBdr>
    </w:div>
    <w:div w:id="222645725">
      <w:bodyDiv w:val="1"/>
      <w:marLeft w:val="0"/>
      <w:marRight w:val="0"/>
      <w:marTop w:val="0"/>
      <w:marBottom w:val="0"/>
      <w:divBdr>
        <w:top w:val="none" w:sz="0" w:space="0" w:color="auto"/>
        <w:left w:val="none" w:sz="0" w:space="0" w:color="auto"/>
        <w:bottom w:val="none" w:sz="0" w:space="0" w:color="auto"/>
        <w:right w:val="none" w:sz="0" w:space="0" w:color="auto"/>
      </w:divBdr>
    </w:div>
    <w:div w:id="222715977">
      <w:bodyDiv w:val="1"/>
      <w:marLeft w:val="0"/>
      <w:marRight w:val="0"/>
      <w:marTop w:val="0"/>
      <w:marBottom w:val="0"/>
      <w:divBdr>
        <w:top w:val="none" w:sz="0" w:space="0" w:color="auto"/>
        <w:left w:val="none" w:sz="0" w:space="0" w:color="auto"/>
        <w:bottom w:val="none" w:sz="0" w:space="0" w:color="auto"/>
        <w:right w:val="none" w:sz="0" w:space="0" w:color="auto"/>
      </w:divBdr>
    </w:div>
    <w:div w:id="222833352">
      <w:bodyDiv w:val="1"/>
      <w:marLeft w:val="0"/>
      <w:marRight w:val="0"/>
      <w:marTop w:val="0"/>
      <w:marBottom w:val="0"/>
      <w:divBdr>
        <w:top w:val="none" w:sz="0" w:space="0" w:color="auto"/>
        <w:left w:val="none" w:sz="0" w:space="0" w:color="auto"/>
        <w:bottom w:val="none" w:sz="0" w:space="0" w:color="auto"/>
        <w:right w:val="none" w:sz="0" w:space="0" w:color="auto"/>
      </w:divBdr>
    </w:div>
    <w:div w:id="222908954">
      <w:bodyDiv w:val="1"/>
      <w:marLeft w:val="0"/>
      <w:marRight w:val="0"/>
      <w:marTop w:val="0"/>
      <w:marBottom w:val="0"/>
      <w:divBdr>
        <w:top w:val="none" w:sz="0" w:space="0" w:color="auto"/>
        <w:left w:val="none" w:sz="0" w:space="0" w:color="auto"/>
        <w:bottom w:val="none" w:sz="0" w:space="0" w:color="auto"/>
        <w:right w:val="none" w:sz="0" w:space="0" w:color="auto"/>
      </w:divBdr>
    </w:div>
    <w:div w:id="222910956">
      <w:bodyDiv w:val="1"/>
      <w:marLeft w:val="0"/>
      <w:marRight w:val="0"/>
      <w:marTop w:val="0"/>
      <w:marBottom w:val="0"/>
      <w:divBdr>
        <w:top w:val="none" w:sz="0" w:space="0" w:color="auto"/>
        <w:left w:val="none" w:sz="0" w:space="0" w:color="auto"/>
        <w:bottom w:val="none" w:sz="0" w:space="0" w:color="auto"/>
        <w:right w:val="none" w:sz="0" w:space="0" w:color="auto"/>
      </w:divBdr>
    </w:div>
    <w:div w:id="222912612">
      <w:bodyDiv w:val="1"/>
      <w:marLeft w:val="0"/>
      <w:marRight w:val="0"/>
      <w:marTop w:val="0"/>
      <w:marBottom w:val="0"/>
      <w:divBdr>
        <w:top w:val="none" w:sz="0" w:space="0" w:color="auto"/>
        <w:left w:val="none" w:sz="0" w:space="0" w:color="auto"/>
        <w:bottom w:val="none" w:sz="0" w:space="0" w:color="auto"/>
        <w:right w:val="none" w:sz="0" w:space="0" w:color="auto"/>
      </w:divBdr>
    </w:div>
    <w:div w:id="223031091">
      <w:bodyDiv w:val="1"/>
      <w:marLeft w:val="0"/>
      <w:marRight w:val="0"/>
      <w:marTop w:val="0"/>
      <w:marBottom w:val="0"/>
      <w:divBdr>
        <w:top w:val="none" w:sz="0" w:space="0" w:color="auto"/>
        <w:left w:val="none" w:sz="0" w:space="0" w:color="auto"/>
        <w:bottom w:val="none" w:sz="0" w:space="0" w:color="auto"/>
        <w:right w:val="none" w:sz="0" w:space="0" w:color="auto"/>
      </w:divBdr>
    </w:div>
    <w:div w:id="223105652">
      <w:bodyDiv w:val="1"/>
      <w:marLeft w:val="0"/>
      <w:marRight w:val="0"/>
      <w:marTop w:val="0"/>
      <w:marBottom w:val="0"/>
      <w:divBdr>
        <w:top w:val="none" w:sz="0" w:space="0" w:color="auto"/>
        <w:left w:val="none" w:sz="0" w:space="0" w:color="auto"/>
        <w:bottom w:val="none" w:sz="0" w:space="0" w:color="auto"/>
        <w:right w:val="none" w:sz="0" w:space="0" w:color="auto"/>
      </w:divBdr>
    </w:div>
    <w:div w:id="223179214">
      <w:bodyDiv w:val="1"/>
      <w:marLeft w:val="0"/>
      <w:marRight w:val="0"/>
      <w:marTop w:val="0"/>
      <w:marBottom w:val="0"/>
      <w:divBdr>
        <w:top w:val="none" w:sz="0" w:space="0" w:color="auto"/>
        <w:left w:val="none" w:sz="0" w:space="0" w:color="auto"/>
        <w:bottom w:val="none" w:sz="0" w:space="0" w:color="auto"/>
        <w:right w:val="none" w:sz="0" w:space="0" w:color="auto"/>
      </w:divBdr>
    </w:div>
    <w:div w:id="223182809">
      <w:bodyDiv w:val="1"/>
      <w:marLeft w:val="0"/>
      <w:marRight w:val="0"/>
      <w:marTop w:val="0"/>
      <w:marBottom w:val="0"/>
      <w:divBdr>
        <w:top w:val="none" w:sz="0" w:space="0" w:color="auto"/>
        <w:left w:val="none" w:sz="0" w:space="0" w:color="auto"/>
        <w:bottom w:val="none" w:sz="0" w:space="0" w:color="auto"/>
        <w:right w:val="none" w:sz="0" w:space="0" w:color="auto"/>
      </w:divBdr>
    </w:div>
    <w:div w:id="223226895">
      <w:bodyDiv w:val="1"/>
      <w:marLeft w:val="0"/>
      <w:marRight w:val="0"/>
      <w:marTop w:val="0"/>
      <w:marBottom w:val="0"/>
      <w:divBdr>
        <w:top w:val="none" w:sz="0" w:space="0" w:color="auto"/>
        <w:left w:val="none" w:sz="0" w:space="0" w:color="auto"/>
        <w:bottom w:val="none" w:sz="0" w:space="0" w:color="auto"/>
        <w:right w:val="none" w:sz="0" w:space="0" w:color="auto"/>
      </w:divBdr>
    </w:div>
    <w:div w:id="223374752">
      <w:bodyDiv w:val="1"/>
      <w:marLeft w:val="0"/>
      <w:marRight w:val="0"/>
      <w:marTop w:val="0"/>
      <w:marBottom w:val="0"/>
      <w:divBdr>
        <w:top w:val="none" w:sz="0" w:space="0" w:color="auto"/>
        <w:left w:val="none" w:sz="0" w:space="0" w:color="auto"/>
        <w:bottom w:val="none" w:sz="0" w:space="0" w:color="auto"/>
        <w:right w:val="none" w:sz="0" w:space="0" w:color="auto"/>
      </w:divBdr>
    </w:div>
    <w:div w:id="223419341">
      <w:bodyDiv w:val="1"/>
      <w:marLeft w:val="0"/>
      <w:marRight w:val="0"/>
      <w:marTop w:val="0"/>
      <w:marBottom w:val="0"/>
      <w:divBdr>
        <w:top w:val="none" w:sz="0" w:space="0" w:color="auto"/>
        <w:left w:val="none" w:sz="0" w:space="0" w:color="auto"/>
        <w:bottom w:val="none" w:sz="0" w:space="0" w:color="auto"/>
        <w:right w:val="none" w:sz="0" w:space="0" w:color="auto"/>
      </w:divBdr>
    </w:div>
    <w:div w:id="223611507">
      <w:bodyDiv w:val="1"/>
      <w:marLeft w:val="0"/>
      <w:marRight w:val="0"/>
      <w:marTop w:val="0"/>
      <w:marBottom w:val="0"/>
      <w:divBdr>
        <w:top w:val="none" w:sz="0" w:space="0" w:color="auto"/>
        <w:left w:val="none" w:sz="0" w:space="0" w:color="auto"/>
        <w:bottom w:val="none" w:sz="0" w:space="0" w:color="auto"/>
        <w:right w:val="none" w:sz="0" w:space="0" w:color="auto"/>
      </w:divBdr>
    </w:div>
    <w:div w:id="223640937">
      <w:bodyDiv w:val="1"/>
      <w:marLeft w:val="0"/>
      <w:marRight w:val="0"/>
      <w:marTop w:val="0"/>
      <w:marBottom w:val="0"/>
      <w:divBdr>
        <w:top w:val="none" w:sz="0" w:space="0" w:color="auto"/>
        <w:left w:val="none" w:sz="0" w:space="0" w:color="auto"/>
        <w:bottom w:val="none" w:sz="0" w:space="0" w:color="auto"/>
        <w:right w:val="none" w:sz="0" w:space="0" w:color="auto"/>
      </w:divBdr>
    </w:div>
    <w:div w:id="223683245">
      <w:bodyDiv w:val="1"/>
      <w:marLeft w:val="0"/>
      <w:marRight w:val="0"/>
      <w:marTop w:val="0"/>
      <w:marBottom w:val="0"/>
      <w:divBdr>
        <w:top w:val="none" w:sz="0" w:space="0" w:color="auto"/>
        <w:left w:val="none" w:sz="0" w:space="0" w:color="auto"/>
        <w:bottom w:val="none" w:sz="0" w:space="0" w:color="auto"/>
        <w:right w:val="none" w:sz="0" w:space="0" w:color="auto"/>
      </w:divBdr>
    </w:div>
    <w:div w:id="223689120">
      <w:bodyDiv w:val="1"/>
      <w:marLeft w:val="0"/>
      <w:marRight w:val="0"/>
      <w:marTop w:val="0"/>
      <w:marBottom w:val="0"/>
      <w:divBdr>
        <w:top w:val="none" w:sz="0" w:space="0" w:color="auto"/>
        <w:left w:val="none" w:sz="0" w:space="0" w:color="auto"/>
        <w:bottom w:val="none" w:sz="0" w:space="0" w:color="auto"/>
        <w:right w:val="none" w:sz="0" w:space="0" w:color="auto"/>
      </w:divBdr>
    </w:div>
    <w:div w:id="223881301">
      <w:bodyDiv w:val="1"/>
      <w:marLeft w:val="0"/>
      <w:marRight w:val="0"/>
      <w:marTop w:val="0"/>
      <w:marBottom w:val="0"/>
      <w:divBdr>
        <w:top w:val="none" w:sz="0" w:space="0" w:color="auto"/>
        <w:left w:val="none" w:sz="0" w:space="0" w:color="auto"/>
        <w:bottom w:val="none" w:sz="0" w:space="0" w:color="auto"/>
        <w:right w:val="none" w:sz="0" w:space="0" w:color="auto"/>
      </w:divBdr>
    </w:div>
    <w:div w:id="223882275">
      <w:bodyDiv w:val="1"/>
      <w:marLeft w:val="0"/>
      <w:marRight w:val="0"/>
      <w:marTop w:val="0"/>
      <w:marBottom w:val="0"/>
      <w:divBdr>
        <w:top w:val="none" w:sz="0" w:space="0" w:color="auto"/>
        <w:left w:val="none" w:sz="0" w:space="0" w:color="auto"/>
        <w:bottom w:val="none" w:sz="0" w:space="0" w:color="auto"/>
        <w:right w:val="none" w:sz="0" w:space="0" w:color="auto"/>
      </w:divBdr>
    </w:div>
    <w:div w:id="223951945">
      <w:bodyDiv w:val="1"/>
      <w:marLeft w:val="0"/>
      <w:marRight w:val="0"/>
      <w:marTop w:val="0"/>
      <w:marBottom w:val="0"/>
      <w:divBdr>
        <w:top w:val="none" w:sz="0" w:space="0" w:color="auto"/>
        <w:left w:val="none" w:sz="0" w:space="0" w:color="auto"/>
        <w:bottom w:val="none" w:sz="0" w:space="0" w:color="auto"/>
        <w:right w:val="none" w:sz="0" w:space="0" w:color="auto"/>
      </w:divBdr>
    </w:div>
    <w:div w:id="224026060">
      <w:bodyDiv w:val="1"/>
      <w:marLeft w:val="0"/>
      <w:marRight w:val="0"/>
      <w:marTop w:val="0"/>
      <w:marBottom w:val="0"/>
      <w:divBdr>
        <w:top w:val="none" w:sz="0" w:space="0" w:color="auto"/>
        <w:left w:val="none" w:sz="0" w:space="0" w:color="auto"/>
        <w:bottom w:val="none" w:sz="0" w:space="0" w:color="auto"/>
        <w:right w:val="none" w:sz="0" w:space="0" w:color="auto"/>
      </w:divBdr>
    </w:div>
    <w:div w:id="224028968">
      <w:bodyDiv w:val="1"/>
      <w:marLeft w:val="0"/>
      <w:marRight w:val="0"/>
      <w:marTop w:val="0"/>
      <w:marBottom w:val="0"/>
      <w:divBdr>
        <w:top w:val="none" w:sz="0" w:space="0" w:color="auto"/>
        <w:left w:val="none" w:sz="0" w:space="0" w:color="auto"/>
        <w:bottom w:val="none" w:sz="0" w:space="0" w:color="auto"/>
        <w:right w:val="none" w:sz="0" w:space="0" w:color="auto"/>
      </w:divBdr>
    </w:div>
    <w:div w:id="224074122">
      <w:bodyDiv w:val="1"/>
      <w:marLeft w:val="0"/>
      <w:marRight w:val="0"/>
      <w:marTop w:val="0"/>
      <w:marBottom w:val="0"/>
      <w:divBdr>
        <w:top w:val="none" w:sz="0" w:space="0" w:color="auto"/>
        <w:left w:val="none" w:sz="0" w:space="0" w:color="auto"/>
        <w:bottom w:val="none" w:sz="0" w:space="0" w:color="auto"/>
        <w:right w:val="none" w:sz="0" w:space="0" w:color="auto"/>
      </w:divBdr>
    </w:div>
    <w:div w:id="224074744">
      <w:bodyDiv w:val="1"/>
      <w:marLeft w:val="0"/>
      <w:marRight w:val="0"/>
      <w:marTop w:val="0"/>
      <w:marBottom w:val="0"/>
      <w:divBdr>
        <w:top w:val="none" w:sz="0" w:space="0" w:color="auto"/>
        <w:left w:val="none" w:sz="0" w:space="0" w:color="auto"/>
        <w:bottom w:val="none" w:sz="0" w:space="0" w:color="auto"/>
        <w:right w:val="none" w:sz="0" w:space="0" w:color="auto"/>
      </w:divBdr>
    </w:div>
    <w:div w:id="224268511">
      <w:bodyDiv w:val="1"/>
      <w:marLeft w:val="0"/>
      <w:marRight w:val="0"/>
      <w:marTop w:val="0"/>
      <w:marBottom w:val="0"/>
      <w:divBdr>
        <w:top w:val="none" w:sz="0" w:space="0" w:color="auto"/>
        <w:left w:val="none" w:sz="0" w:space="0" w:color="auto"/>
        <w:bottom w:val="none" w:sz="0" w:space="0" w:color="auto"/>
        <w:right w:val="none" w:sz="0" w:space="0" w:color="auto"/>
      </w:divBdr>
    </w:div>
    <w:div w:id="224294342">
      <w:bodyDiv w:val="1"/>
      <w:marLeft w:val="0"/>
      <w:marRight w:val="0"/>
      <w:marTop w:val="0"/>
      <w:marBottom w:val="0"/>
      <w:divBdr>
        <w:top w:val="none" w:sz="0" w:space="0" w:color="auto"/>
        <w:left w:val="none" w:sz="0" w:space="0" w:color="auto"/>
        <w:bottom w:val="none" w:sz="0" w:space="0" w:color="auto"/>
        <w:right w:val="none" w:sz="0" w:space="0" w:color="auto"/>
      </w:divBdr>
    </w:div>
    <w:div w:id="224336426">
      <w:bodyDiv w:val="1"/>
      <w:marLeft w:val="0"/>
      <w:marRight w:val="0"/>
      <w:marTop w:val="0"/>
      <w:marBottom w:val="0"/>
      <w:divBdr>
        <w:top w:val="none" w:sz="0" w:space="0" w:color="auto"/>
        <w:left w:val="none" w:sz="0" w:space="0" w:color="auto"/>
        <w:bottom w:val="none" w:sz="0" w:space="0" w:color="auto"/>
        <w:right w:val="none" w:sz="0" w:space="0" w:color="auto"/>
      </w:divBdr>
    </w:div>
    <w:div w:id="224414209">
      <w:bodyDiv w:val="1"/>
      <w:marLeft w:val="0"/>
      <w:marRight w:val="0"/>
      <w:marTop w:val="0"/>
      <w:marBottom w:val="0"/>
      <w:divBdr>
        <w:top w:val="none" w:sz="0" w:space="0" w:color="auto"/>
        <w:left w:val="none" w:sz="0" w:space="0" w:color="auto"/>
        <w:bottom w:val="none" w:sz="0" w:space="0" w:color="auto"/>
        <w:right w:val="none" w:sz="0" w:space="0" w:color="auto"/>
      </w:divBdr>
    </w:div>
    <w:div w:id="224462718">
      <w:bodyDiv w:val="1"/>
      <w:marLeft w:val="0"/>
      <w:marRight w:val="0"/>
      <w:marTop w:val="0"/>
      <w:marBottom w:val="0"/>
      <w:divBdr>
        <w:top w:val="none" w:sz="0" w:space="0" w:color="auto"/>
        <w:left w:val="none" w:sz="0" w:space="0" w:color="auto"/>
        <w:bottom w:val="none" w:sz="0" w:space="0" w:color="auto"/>
        <w:right w:val="none" w:sz="0" w:space="0" w:color="auto"/>
      </w:divBdr>
    </w:div>
    <w:div w:id="224606662">
      <w:bodyDiv w:val="1"/>
      <w:marLeft w:val="0"/>
      <w:marRight w:val="0"/>
      <w:marTop w:val="0"/>
      <w:marBottom w:val="0"/>
      <w:divBdr>
        <w:top w:val="none" w:sz="0" w:space="0" w:color="auto"/>
        <w:left w:val="none" w:sz="0" w:space="0" w:color="auto"/>
        <w:bottom w:val="none" w:sz="0" w:space="0" w:color="auto"/>
        <w:right w:val="none" w:sz="0" w:space="0" w:color="auto"/>
      </w:divBdr>
    </w:div>
    <w:div w:id="224688748">
      <w:bodyDiv w:val="1"/>
      <w:marLeft w:val="0"/>
      <w:marRight w:val="0"/>
      <w:marTop w:val="0"/>
      <w:marBottom w:val="0"/>
      <w:divBdr>
        <w:top w:val="none" w:sz="0" w:space="0" w:color="auto"/>
        <w:left w:val="none" w:sz="0" w:space="0" w:color="auto"/>
        <w:bottom w:val="none" w:sz="0" w:space="0" w:color="auto"/>
        <w:right w:val="none" w:sz="0" w:space="0" w:color="auto"/>
      </w:divBdr>
    </w:div>
    <w:div w:id="224723311">
      <w:bodyDiv w:val="1"/>
      <w:marLeft w:val="0"/>
      <w:marRight w:val="0"/>
      <w:marTop w:val="0"/>
      <w:marBottom w:val="0"/>
      <w:divBdr>
        <w:top w:val="none" w:sz="0" w:space="0" w:color="auto"/>
        <w:left w:val="none" w:sz="0" w:space="0" w:color="auto"/>
        <w:bottom w:val="none" w:sz="0" w:space="0" w:color="auto"/>
        <w:right w:val="none" w:sz="0" w:space="0" w:color="auto"/>
      </w:divBdr>
    </w:div>
    <w:div w:id="224798215">
      <w:bodyDiv w:val="1"/>
      <w:marLeft w:val="0"/>
      <w:marRight w:val="0"/>
      <w:marTop w:val="0"/>
      <w:marBottom w:val="0"/>
      <w:divBdr>
        <w:top w:val="none" w:sz="0" w:space="0" w:color="auto"/>
        <w:left w:val="none" w:sz="0" w:space="0" w:color="auto"/>
        <w:bottom w:val="none" w:sz="0" w:space="0" w:color="auto"/>
        <w:right w:val="none" w:sz="0" w:space="0" w:color="auto"/>
      </w:divBdr>
    </w:div>
    <w:div w:id="224804856">
      <w:bodyDiv w:val="1"/>
      <w:marLeft w:val="0"/>
      <w:marRight w:val="0"/>
      <w:marTop w:val="0"/>
      <w:marBottom w:val="0"/>
      <w:divBdr>
        <w:top w:val="none" w:sz="0" w:space="0" w:color="auto"/>
        <w:left w:val="none" w:sz="0" w:space="0" w:color="auto"/>
        <w:bottom w:val="none" w:sz="0" w:space="0" w:color="auto"/>
        <w:right w:val="none" w:sz="0" w:space="0" w:color="auto"/>
      </w:divBdr>
    </w:div>
    <w:div w:id="224806443">
      <w:bodyDiv w:val="1"/>
      <w:marLeft w:val="0"/>
      <w:marRight w:val="0"/>
      <w:marTop w:val="0"/>
      <w:marBottom w:val="0"/>
      <w:divBdr>
        <w:top w:val="none" w:sz="0" w:space="0" w:color="auto"/>
        <w:left w:val="none" w:sz="0" w:space="0" w:color="auto"/>
        <w:bottom w:val="none" w:sz="0" w:space="0" w:color="auto"/>
        <w:right w:val="none" w:sz="0" w:space="0" w:color="auto"/>
      </w:divBdr>
    </w:div>
    <w:div w:id="225071543">
      <w:bodyDiv w:val="1"/>
      <w:marLeft w:val="0"/>
      <w:marRight w:val="0"/>
      <w:marTop w:val="0"/>
      <w:marBottom w:val="0"/>
      <w:divBdr>
        <w:top w:val="none" w:sz="0" w:space="0" w:color="auto"/>
        <w:left w:val="none" w:sz="0" w:space="0" w:color="auto"/>
        <w:bottom w:val="none" w:sz="0" w:space="0" w:color="auto"/>
        <w:right w:val="none" w:sz="0" w:space="0" w:color="auto"/>
      </w:divBdr>
    </w:div>
    <w:div w:id="225145737">
      <w:bodyDiv w:val="1"/>
      <w:marLeft w:val="0"/>
      <w:marRight w:val="0"/>
      <w:marTop w:val="0"/>
      <w:marBottom w:val="0"/>
      <w:divBdr>
        <w:top w:val="none" w:sz="0" w:space="0" w:color="auto"/>
        <w:left w:val="none" w:sz="0" w:space="0" w:color="auto"/>
        <w:bottom w:val="none" w:sz="0" w:space="0" w:color="auto"/>
        <w:right w:val="none" w:sz="0" w:space="0" w:color="auto"/>
      </w:divBdr>
    </w:div>
    <w:div w:id="225145897">
      <w:bodyDiv w:val="1"/>
      <w:marLeft w:val="0"/>
      <w:marRight w:val="0"/>
      <w:marTop w:val="0"/>
      <w:marBottom w:val="0"/>
      <w:divBdr>
        <w:top w:val="none" w:sz="0" w:space="0" w:color="auto"/>
        <w:left w:val="none" w:sz="0" w:space="0" w:color="auto"/>
        <w:bottom w:val="none" w:sz="0" w:space="0" w:color="auto"/>
        <w:right w:val="none" w:sz="0" w:space="0" w:color="auto"/>
      </w:divBdr>
    </w:div>
    <w:div w:id="225259778">
      <w:bodyDiv w:val="1"/>
      <w:marLeft w:val="0"/>
      <w:marRight w:val="0"/>
      <w:marTop w:val="0"/>
      <w:marBottom w:val="0"/>
      <w:divBdr>
        <w:top w:val="none" w:sz="0" w:space="0" w:color="auto"/>
        <w:left w:val="none" w:sz="0" w:space="0" w:color="auto"/>
        <w:bottom w:val="none" w:sz="0" w:space="0" w:color="auto"/>
        <w:right w:val="none" w:sz="0" w:space="0" w:color="auto"/>
      </w:divBdr>
    </w:div>
    <w:div w:id="225260570">
      <w:bodyDiv w:val="1"/>
      <w:marLeft w:val="0"/>
      <w:marRight w:val="0"/>
      <w:marTop w:val="0"/>
      <w:marBottom w:val="0"/>
      <w:divBdr>
        <w:top w:val="none" w:sz="0" w:space="0" w:color="auto"/>
        <w:left w:val="none" w:sz="0" w:space="0" w:color="auto"/>
        <w:bottom w:val="none" w:sz="0" w:space="0" w:color="auto"/>
        <w:right w:val="none" w:sz="0" w:space="0" w:color="auto"/>
      </w:divBdr>
    </w:div>
    <w:div w:id="225336121">
      <w:bodyDiv w:val="1"/>
      <w:marLeft w:val="0"/>
      <w:marRight w:val="0"/>
      <w:marTop w:val="0"/>
      <w:marBottom w:val="0"/>
      <w:divBdr>
        <w:top w:val="none" w:sz="0" w:space="0" w:color="auto"/>
        <w:left w:val="none" w:sz="0" w:space="0" w:color="auto"/>
        <w:bottom w:val="none" w:sz="0" w:space="0" w:color="auto"/>
        <w:right w:val="none" w:sz="0" w:space="0" w:color="auto"/>
      </w:divBdr>
    </w:div>
    <w:div w:id="225383077">
      <w:bodyDiv w:val="1"/>
      <w:marLeft w:val="0"/>
      <w:marRight w:val="0"/>
      <w:marTop w:val="0"/>
      <w:marBottom w:val="0"/>
      <w:divBdr>
        <w:top w:val="none" w:sz="0" w:space="0" w:color="auto"/>
        <w:left w:val="none" w:sz="0" w:space="0" w:color="auto"/>
        <w:bottom w:val="none" w:sz="0" w:space="0" w:color="auto"/>
        <w:right w:val="none" w:sz="0" w:space="0" w:color="auto"/>
      </w:divBdr>
    </w:div>
    <w:div w:id="225453517">
      <w:bodyDiv w:val="1"/>
      <w:marLeft w:val="0"/>
      <w:marRight w:val="0"/>
      <w:marTop w:val="0"/>
      <w:marBottom w:val="0"/>
      <w:divBdr>
        <w:top w:val="none" w:sz="0" w:space="0" w:color="auto"/>
        <w:left w:val="none" w:sz="0" w:space="0" w:color="auto"/>
        <w:bottom w:val="none" w:sz="0" w:space="0" w:color="auto"/>
        <w:right w:val="none" w:sz="0" w:space="0" w:color="auto"/>
      </w:divBdr>
    </w:div>
    <w:div w:id="225461358">
      <w:bodyDiv w:val="1"/>
      <w:marLeft w:val="0"/>
      <w:marRight w:val="0"/>
      <w:marTop w:val="0"/>
      <w:marBottom w:val="0"/>
      <w:divBdr>
        <w:top w:val="none" w:sz="0" w:space="0" w:color="auto"/>
        <w:left w:val="none" w:sz="0" w:space="0" w:color="auto"/>
        <w:bottom w:val="none" w:sz="0" w:space="0" w:color="auto"/>
        <w:right w:val="none" w:sz="0" w:space="0" w:color="auto"/>
      </w:divBdr>
    </w:div>
    <w:div w:id="225578421">
      <w:bodyDiv w:val="1"/>
      <w:marLeft w:val="0"/>
      <w:marRight w:val="0"/>
      <w:marTop w:val="0"/>
      <w:marBottom w:val="0"/>
      <w:divBdr>
        <w:top w:val="none" w:sz="0" w:space="0" w:color="auto"/>
        <w:left w:val="none" w:sz="0" w:space="0" w:color="auto"/>
        <w:bottom w:val="none" w:sz="0" w:space="0" w:color="auto"/>
        <w:right w:val="none" w:sz="0" w:space="0" w:color="auto"/>
      </w:divBdr>
    </w:div>
    <w:div w:id="225578879">
      <w:bodyDiv w:val="1"/>
      <w:marLeft w:val="0"/>
      <w:marRight w:val="0"/>
      <w:marTop w:val="0"/>
      <w:marBottom w:val="0"/>
      <w:divBdr>
        <w:top w:val="none" w:sz="0" w:space="0" w:color="auto"/>
        <w:left w:val="none" w:sz="0" w:space="0" w:color="auto"/>
        <w:bottom w:val="none" w:sz="0" w:space="0" w:color="auto"/>
        <w:right w:val="none" w:sz="0" w:space="0" w:color="auto"/>
      </w:divBdr>
    </w:div>
    <w:div w:id="225603214">
      <w:bodyDiv w:val="1"/>
      <w:marLeft w:val="0"/>
      <w:marRight w:val="0"/>
      <w:marTop w:val="0"/>
      <w:marBottom w:val="0"/>
      <w:divBdr>
        <w:top w:val="none" w:sz="0" w:space="0" w:color="auto"/>
        <w:left w:val="none" w:sz="0" w:space="0" w:color="auto"/>
        <w:bottom w:val="none" w:sz="0" w:space="0" w:color="auto"/>
        <w:right w:val="none" w:sz="0" w:space="0" w:color="auto"/>
      </w:divBdr>
    </w:div>
    <w:div w:id="225607093">
      <w:bodyDiv w:val="1"/>
      <w:marLeft w:val="0"/>
      <w:marRight w:val="0"/>
      <w:marTop w:val="0"/>
      <w:marBottom w:val="0"/>
      <w:divBdr>
        <w:top w:val="none" w:sz="0" w:space="0" w:color="auto"/>
        <w:left w:val="none" w:sz="0" w:space="0" w:color="auto"/>
        <w:bottom w:val="none" w:sz="0" w:space="0" w:color="auto"/>
        <w:right w:val="none" w:sz="0" w:space="0" w:color="auto"/>
      </w:divBdr>
    </w:div>
    <w:div w:id="225724982">
      <w:bodyDiv w:val="1"/>
      <w:marLeft w:val="0"/>
      <w:marRight w:val="0"/>
      <w:marTop w:val="0"/>
      <w:marBottom w:val="0"/>
      <w:divBdr>
        <w:top w:val="none" w:sz="0" w:space="0" w:color="auto"/>
        <w:left w:val="none" w:sz="0" w:space="0" w:color="auto"/>
        <w:bottom w:val="none" w:sz="0" w:space="0" w:color="auto"/>
        <w:right w:val="none" w:sz="0" w:space="0" w:color="auto"/>
      </w:divBdr>
    </w:div>
    <w:div w:id="225771636">
      <w:bodyDiv w:val="1"/>
      <w:marLeft w:val="0"/>
      <w:marRight w:val="0"/>
      <w:marTop w:val="0"/>
      <w:marBottom w:val="0"/>
      <w:divBdr>
        <w:top w:val="none" w:sz="0" w:space="0" w:color="auto"/>
        <w:left w:val="none" w:sz="0" w:space="0" w:color="auto"/>
        <w:bottom w:val="none" w:sz="0" w:space="0" w:color="auto"/>
        <w:right w:val="none" w:sz="0" w:space="0" w:color="auto"/>
      </w:divBdr>
    </w:div>
    <w:div w:id="225803014">
      <w:bodyDiv w:val="1"/>
      <w:marLeft w:val="0"/>
      <w:marRight w:val="0"/>
      <w:marTop w:val="0"/>
      <w:marBottom w:val="0"/>
      <w:divBdr>
        <w:top w:val="none" w:sz="0" w:space="0" w:color="auto"/>
        <w:left w:val="none" w:sz="0" w:space="0" w:color="auto"/>
        <w:bottom w:val="none" w:sz="0" w:space="0" w:color="auto"/>
        <w:right w:val="none" w:sz="0" w:space="0" w:color="auto"/>
      </w:divBdr>
    </w:div>
    <w:div w:id="225847260">
      <w:bodyDiv w:val="1"/>
      <w:marLeft w:val="0"/>
      <w:marRight w:val="0"/>
      <w:marTop w:val="0"/>
      <w:marBottom w:val="0"/>
      <w:divBdr>
        <w:top w:val="none" w:sz="0" w:space="0" w:color="auto"/>
        <w:left w:val="none" w:sz="0" w:space="0" w:color="auto"/>
        <w:bottom w:val="none" w:sz="0" w:space="0" w:color="auto"/>
        <w:right w:val="none" w:sz="0" w:space="0" w:color="auto"/>
      </w:divBdr>
    </w:div>
    <w:div w:id="225917276">
      <w:bodyDiv w:val="1"/>
      <w:marLeft w:val="0"/>
      <w:marRight w:val="0"/>
      <w:marTop w:val="0"/>
      <w:marBottom w:val="0"/>
      <w:divBdr>
        <w:top w:val="none" w:sz="0" w:space="0" w:color="auto"/>
        <w:left w:val="none" w:sz="0" w:space="0" w:color="auto"/>
        <w:bottom w:val="none" w:sz="0" w:space="0" w:color="auto"/>
        <w:right w:val="none" w:sz="0" w:space="0" w:color="auto"/>
      </w:divBdr>
    </w:div>
    <w:div w:id="225995555">
      <w:bodyDiv w:val="1"/>
      <w:marLeft w:val="0"/>
      <w:marRight w:val="0"/>
      <w:marTop w:val="0"/>
      <w:marBottom w:val="0"/>
      <w:divBdr>
        <w:top w:val="none" w:sz="0" w:space="0" w:color="auto"/>
        <w:left w:val="none" w:sz="0" w:space="0" w:color="auto"/>
        <w:bottom w:val="none" w:sz="0" w:space="0" w:color="auto"/>
        <w:right w:val="none" w:sz="0" w:space="0" w:color="auto"/>
      </w:divBdr>
    </w:div>
    <w:div w:id="226035703">
      <w:bodyDiv w:val="1"/>
      <w:marLeft w:val="0"/>
      <w:marRight w:val="0"/>
      <w:marTop w:val="0"/>
      <w:marBottom w:val="0"/>
      <w:divBdr>
        <w:top w:val="none" w:sz="0" w:space="0" w:color="auto"/>
        <w:left w:val="none" w:sz="0" w:space="0" w:color="auto"/>
        <w:bottom w:val="none" w:sz="0" w:space="0" w:color="auto"/>
        <w:right w:val="none" w:sz="0" w:space="0" w:color="auto"/>
      </w:divBdr>
    </w:div>
    <w:div w:id="226036076">
      <w:bodyDiv w:val="1"/>
      <w:marLeft w:val="0"/>
      <w:marRight w:val="0"/>
      <w:marTop w:val="0"/>
      <w:marBottom w:val="0"/>
      <w:divBdr>
        <w:top w:val="none" w:sz="0" w:space="0" w:color="auto"/>
        <w:left w:val="none" w:sz="0" w:space="0" w:color="auto"/>
        <w:bottom w:val="none" w:sz="0" w:space="0" w:color="auto"/>
        <w:right w:val="none" w:sz="0" w:space="0" w:color="auto"/>
      </w:divBdr>
    </w:div>
    <w:div w:id="226039667">
      <w:bodyDiv w:val="1"/>
      <w:marLeft w:val="0"/>
      <w:marRight w:val="0"/>
      <w:marTop w:val="0"/>
      <w:marBottom w:val="0"/>
      <w:divBdr>
        <w:top w:val="none" w:sz="0" w:space="0" w:color="auto"/>
        <w:left w:val="none" w:sz="0" w:space="0" w:color="auto"/>
        <w:bottom w:val="none" w:sz="0" w:space="0" w:color="auto"/>
        <w:right w:val="none" w:sz="0" w:space="0" w:color="auto"/>
      </w:divBdr>
    </w:div>
    <w:div w:id="226107724">
      <w:bodyDiv w:val="1"/>
      <w:marLeft w:val="0"/>
      <w:marRight w:val="0"/>
      <w:marTop w:val="0"/>
      <w:marBottom w:val="0"/>
      <w:divBdr>
        <w:top w:val="none" w:sz="0" w:space="0" w:color="auto"/>
        <w:left w:val="none" w:sz="0" w:space="0" w:color="auto"/>
        <w:bottom w:val="none" w:sz="0" w:space="0" w:color="auto"/>
        <w:right w:val="none" w:sz="0" w:space="0" w:color="auto"/>
      </w:divBdr>
    </w:div>
    <w:div w:id="226107888">
      <w:bodyDiv w:val="1"/>
      <w:marLeft w:val="0"/>
      <w:marRight w:val="0"/>
      <w:marTop w:val="0"/>
      <w:marBottom w:val="0"/>
      <w:divBdr>
        <w:top w:val="none" w:sz="0" w:space="0" w:color="auto"/>
        <w:left w:val="none" w:sz="0" w:space="0" w:color="auto"/>
        <w:bottom w:val="none" w:sz="0" w:space="0" w:color="auto"/>
        <w:right w:val="none" w:sz="0" w:space="0" w:color="auto"/>
      </w:divBdr>
    </w:div>
    <w:div w:id="226192194">
      <w:bodyDiv w:val="1"/>
      <w:marLeft w:val="0"/>
      <w:marRight w:val="0"/>
      <w:marTop w:val="0"/>
      <w:marBottom w:val="0"/>
      <w:divBdr>
        <w:top w:val="none" w:sz="0" w:space="0" w:color="auto"/>
        <w:left w:val="none" w:sz="0" w:space="0" w:color="auto"/>
        <w:bottom w:val="none" w:sz="0" w:space="0" w:color="auto"/>
        <w:right w:val="none" w:sz="0" w:space="0" w:color="auto"/>
      </w:divBdr>
    </w:div>
    <w:div w:id="226454381">
      <w:bodyDiv w:val="1"/>
      <w:marLeft w:val="0"/>
      <w:marRight w:val="0"/>
      <w:marTop w:val="0"/>
      <w:marBottom w:val="0"/>
      <w:divBdr>
        <w:top w:val="none" w:sz="0" w:space="0" w:color="auto"/>
        <w:left w:val="none" w:sz="0" w:space="0" w:color="auto"/>
        <w:bottom w:val="none" w:sz="0" w:space="0" w:color="auto"/>
        <w:right w:val="none" w:sz="0" w:space="0" w:color="auto"/>
      </w:divBdr>
    </w:div>
    <w:div w:id="226497545">
      <w:bodyDiv w:val="1"/>
      <w:marLeft w:val="0"/>
      <w:marRight w:val="0"/>
      <w:marTop w:val="0"/>
      <w:marBottom w:val="0"/>
      <w:divBdr>
        <w:top w:val="none" w:sz="0" w:space="0" w:color="auto"/>
        <w:left w:val="none" w:sz="0" w:space="0" w:color="auto"/>
        <w:bottom w:val="none" w:sz="0" w:space="0" w:color="auto"/>
        <w:right w:val="none" w:sz="0" w:space="0" w:color="auto"/>
      </w:divBdr>
    </w:div>
    <w:div w:id="226652956">
      <w:bodyDiv w:val="1"/>
      <w:marLeft w:val="0"/>
      <w:marRight w:val="0"/>
      <w:marTop w:val="0"/>
      <w:marBottom w:val="0"/>
      <w:divBdr>
        <w:top w:val="none" w:sz="0" w:space="0" w:color="auto"/>
        <w:left w:val="none" w:sz="0" w:space="0" w:color="auto"/>
        <w:bottom w:val="none" w:sz="0" w:space="0" w:color="auto"/>
        <w:right w:val="none" w:sz="0" w:space="0" w:color="auto"/>
      </w:divBdr>
    </w:div>
    <w:div w:id="226721363">
      <w:bodyDiv w:val="1"/>
      <w:marLeft w:val="0"/>
      <w:marRight w:val="0"/>
      <w:marTop w:val="0"/>
      <w:marBottom w:val="0"/>
      <w:divBdr>
        <w:top w:val="none" w:sz="0" w:space="0" w:color="auto"/>
        <w:left w:val="none" w:sz="0" w:space="0" w:color="auto"/>
        <w:bottom w:val="none" w:sz="0" w:space="0" w:color="auto"/>
        <w:right w:val="none" w:sz="0" w:space="0" w:color="auto"/>
      </w:divBdr>
    </w:div>
    <w:div w:id="226764502">
      <w:bodyDiv w:val="1"/>
      <w:marLeft w:val="0"/>
      <w:marRight w:val="0"/>
      <w:marTop w:val="0"/>
      <w:marBottom w:val="0"/>
      <w:divBdr>
        <w:top w:val="none" w:sz="0" w:space="0" w:color="auto"/>
        <w:left w:val="none" w:sz="0" w:space="0" w:color="auto"/>
        <w:bottom w:val="none" w:sz="0" w:space="0" w:color="auto"/>
        <w:right w:val="none" w:sz="0" w:space="0" w:color="auto"/>
      </w:divBdr>
    </w:div>
    <w:div w:id="226844289">
      <w:bodyDiv w:val="1"/>
      <w:marLeft w:val="0"/>
      <w:marRight w:val="0"/>
      <w:marTop w:val="0"/>
      <w:marBottom w:val="0"/>
      <w:divBdr>
        <w:top w:val="none" w:sz="0" w:space="0" w:color="auto"/>
        <w:left w:val="none" w:sz="0" w:space="0" w:color="auto"/>
        <w:bottom w:val="none" w:sz="0" w:space="0" w:color="auto"/>
        <w:right w:val="none" w:sz="0" w:space="0" w:color="auto"/>
      </w:divBdr>
    </w:div>
    <w:div w:id="226845796">
      <w:bodyDiv w:val="1"/>
      <w:marLeft w:val="0"/>
      <w:marRight w:val="0"/>
      <w:marTop w:val="0"/>
      <w:marBottom w:val="0"/>
      <w:divBdr>
        <w:top w:val="none" w:sz="0" w:space="0" w:color="auto"/>
        <w:left w:val="none" w:sz="0" w:space="0" w:color="auto"/>
        <w:bottom w:val="none" w:sz="0" w:space="0" w:color="auto"/>
        <w:right w:val="none" w:sz="0" w:space="0" w:color="auto"/>
      </w:divBdr>
    </w:div>
    <w:div w:id="226845841">
      <w:bodyDiv w:val="1"/>
      <w:marLeft w:val="0"/>
      <w:marRight w:val="0"/>
      <w:marTop w:val="0"/>
      <w:marBottom w:val="0"/>
      <w:divBdr>
        <w:top w:val="none" w:sz="0" w:space="0" w:color="auto"/>
        <w:left w:val="none" w:sz="0" w:space="0" w:color="auto"/>
        <w:bottom w:val="none" w:sz="0" w:space="0" w:color="auto"/>
        <w:right w:val="none" w:sz="0" w:space="0" w:color="auto"/>
      </w:divBdr>
    </w:div>
    <w:div w:id="226964513">
      <w:bodyDiv w:val="1"/>
      <w:marLeft w:val="0"/>
      <w:marRight w:val="0"/>
      <w:marTop w:val="0"/>
      <w:marBottom w:val="0"/>
      <w:divBdr>
        <w:top w:val="none" w:sz="0" w:space="0" w:color="auto"/>
        <w:left w:val="none" w:sz="0" w:space="0" w:color="auto"/>
        <w:bottom w:val="none" w:sz="0" w:space="0" w:color="auto"/>
        <w:right w:val="none" w:sz="0" w:space="0" w:color="auto"/>
      </w:divBdr>
    </w:div>
    <w:div w:id="226964846">
      <w:bodyDiv w:val="1"/>
      <w:marLeft w:val="0"/>
      <w:marRight w:val="0"/>
      <w:marTop w:val="0"/>
      <w:marBottom w:val="0"/>
      <w:divBdr>
        <w:top w:val="none" w:sz="0" w:space="0" w:color="auto"/>
        <w:left w:val="none" w:sz="0" w:space="0" w:color="auto"/>
        <w:bottom w:val="none" w:sz="0" w:space="0" w:color="auto"/>
        <w:right w:val="none" w:sz="0" w:space="0" w:color="auto"/>
      </w:divBdr>
    </w:div>
    <w:div w:id="227032538">
      <w:bodyDiv w:val="1"/>
      <w:marLeft w:val="0"/>
      <w:marRight w:val="0"/>
      <w:marTop w:val="0"/>
      <w:marBottom w:val="0"/>
      <w:divBdr>
        <w:top w:val="none" w:sz="0" w:space="0" w:color="auto"/>
        <w:left w:val="none" w:sz="0" w:space="0" w:color="auto"/>
        <w:bottom w:val="none" w:sz="0" w:space="0" w:color="auto"/>
        <w:right w:val="none" w:sz="0" w:space="0" w:color="auto"/>
      </w:divBdr>
    </w:div>
    <w:div w:id="227035827">
      <w:bodyDiv w:val="1"/>
      <w:marLeft w:val="0"/>
      <w:marRight w:val="0"/>
      <w:marTop w:val="0"/>
      <w:marBottom w:val="0"/>
      <w:divBdr>
        <w:top w:val="none" w:sz="0" w:space="0" w:color="auto"/>
        <w:left w:val="none" w:sz="0" w:space="0" w:color="auto"/>
        <w:bottom w:val="none" w:sz="0" w:space="0" w:color="auto"/>
        <w:right w:val="none" w:sz="0" w:space="0" w:color="auto"/>
      </w:divBdr>
    </w:div>
    <w:div w:id="227082928">
      <w:bodyDiv w:val="1"/>
      <w:marLeft w:val="0"/>
      <w:marRight w:val="0"/>
      <w:marTop w:val="0"/>
      <w:marBottom w:val="0"/>
      <w:divBdr>
        <w:top w:val="none" w:sz="0" w:space="0" w:color="auto"/>
        <w:left w:val="none" w:sz="0" w:space="0" w:color="auto"/>
        <w:bottom w:val="none" w:sz="0" w:space="0" w:color="auto"/>
        <w:right w:val="none" w:sz="0" w:space="0" w:color="auto"/>
      </w:divBdr>
    </w:div>
    <w:div w:id="227107182">
      <w:bodyDiv w:val="1"/>
      <w:marLeft w:val="0"/>
      <w:marRight w:val="0"/>
      <w:marTop w:val="0"/>
      <w:marBottom w:val="0"/>
      <w:divBdr>
        <w:top w:val="none" w:sz="0" w:space="0" w:color="auto"/>
        <w:left w:val="none" w:sz="0" w:space="0" w:color="auto"/>
        <w:bottom w:val="none" w:sz="0" w:space="0" w:color="auto"/>
        <w:right w:val="none" w:sz="0" w:space="0" w:color="auto"/>
      </w:divBdr>
    </w:div>
    <w:div w:id="227114171">
      <w:bodyDiv w:val="1"/>
      <w:marLeft w:val="0"/>
      <w:marRight w:val="0"/>
      <w:marTop w:val="0"/>
      <w:marBottom w:val="0"/>
      <w:divBdr>
        <w:top w:val="none" w:sz="0" w:space="0" w:color="auto"/>
        <w:left w:val="none" w:sz="0" w:space="0" w:color="auto"/>
        <w:bottom w:val="none" w:sz="0" w:space="0" w:color="auto"/>
        <w:right w:val="none" w:sz="0" w:space="0" w:color="auto"/>
      </w:divBdr>
    </w:div>
    <w:div w:id="227149870">
      <w:bodyDiv w:val="1"/>
      <w:marLeft w:val="0"/>
      <w:marRight w:val="0"/>
      <w:marTop w:val="0"/>
      <w:marBottom w:val="0"/>
      <w:divBdr>
        <w:top w:val="none" w:sz="0" w:space="0" w:color="auto"/>
        <w:left w:val="none" w:sz="0" w:space="0" w:color="auto"/>
        <w:bottom w:val="none" w:sz="0" w:space="0" w:color="auto"/>
        <w:right w:val="none" w:sz="0" w:space="0" w:color="auto"/>
      </w:divBdr>
    </w:div>
    <w:div w:id="227376536">
      <w:bodyDiv w:val="1"/>
      <w:marLeft w:val="0"/>
      <w:marRight w:val="0"/>
      <w:marTop w:val="0"/>
      <w:marBottom w:val="0"/>
      <w:divBdr>
        <w:top w:val="none" w:sz="0" w:space="0" w:color="auto"/>
        <w:left w:val="none" w:sz="0" w:space="0" w:color="auto"/>
        <w:bottom w:val="none" w:sz="0" w:space="0" w:color="auto"/>
        <w:right w:val="none" w:sz="0" w:space="0" w:color="auto"/>
      </w:divBdr>
    </w:div>
    <w:div w:id="227501302">
      <w:bodyDiv w:val="1"/>
      <w:marLeft w:val="0"/>
      <w:marRight w:val="0"/>
      <w:marTop w:val="0"/>
      <w:marBottom w:val="0"/>
      <w:divBdr>
        <w:top w:val="none" w:sz="0" w:space="0" w:color="auto"/>
        <w:left w:val="none" w:sz="0" w:space="0" w:color="auto"/>
        <w:bottom w:val="none" w:sz="0" w:space="0" w:color="auto"/>
        <w:right w:val="none" w:sz="0" w:space="0" w:color="auto"/>
      </w:divBdr>
    </w:div>
    <w:div w:id="227502049">
      <w:bodyDiv w:val="1"/>
      <w:marLeft w:val="0"/>
      <w:marRight w:val="0"/>
      <w:marTop w:val="0"/>
      <w:marBottom w:val="0"/>
      <w:divBdr>
        <w:top w:val="none" w:sz="0" w:space="0" w:color="auto"/>
        <w:left w:val="none" w:sz="0" w:space="0" w:color="auto"/>
        <w:bottom w:val="none" w:sz="0" w:space="0" w:color="auto"/>
        <w:right w:val="none" w:sz="0" w:space="0" w:color="auto"/>
      </w:divBdr>
    </w:div>
    <w:div w:id="227572234">
      <w:bodyDiv w:val="1"/>
      <w:marLeft w:val="0"/>
      <w:marRight w:val="0"/>
      <w:marTop w:val="0"/>
      <w:marBottom w:val="0"/>
      <w:divBdr>
        <w:top w:val="none" w:sz="0" w:space="0" w:color="auto"/>
        <w:left w:val="none" w:sz="0" w:space="0" w:color="auto"/>
        <w:bottom w:val="none" w:sz="0" w:space="0" w:color="auto"/>
        <w:right w:val="none" w:sz="0" w:space="0" w:color="auto"/>
      </w:divBdr>
    </w:div>
    <w:div w:id="227616958">
      <w:bodyDiv w:val="1"/>
      <w:marLeft w:val="0"/>
      <w:marRight w:val="0"/>
      <w:marTop w:val="0"/>
      <w:marBottom w:val="0"/>
      <w:divBdr>
        <w:top w:val="none" w:sz="0" w:space="0" w:color="auto"/>
        <w:left w:val="none" w:sz="0" w:space="0" w:color="auto"/>
        <w:bottom w:val="none" w:sz="0" w:space="0" w:color="auto"/>
        <w:right w:val="none" w:sz="0" w:space="0" w:color="auto"/>
      </w:divBdr>
    </w:div>
    <w:div w:id="227696411">
      <w:bodyDiv w:val="1"/>
      <w:marLeft w:val="0"/>
      <w:marRight w:val="0"/>
      <w:marTop w:val="0"/>
      <w:marBottom w:val="0"/>
      <w:divBdr>
        <w:top w:val="none" w:sz="0" w:space="0" w:color="auto"/>
        <w:left w:val="none" w:sz="0" w:space="0" w:color="auto"/>
        <w:bottom w:val="none" w:sz="0" w:space="0" w:color="auto"/>
        <w:right w:val="none" w:sz="0" w:space="0" w:color="auto"/>
      </w:divBdr>
    </w:div>
    <w:div w:id="227808025">
      <w:bodyDiv w:val="1"/>
      <w:marLeft w:val="0"/>
      <w:marRight w:val="0"/>
      <w:marTop w:val="0"/>
      <w:marBottom w:val="0"/>
      <w:divBdr>
        <w:top w:val="none" w:sz="0" w:space="0" w:color="auto"/>
        <w:left w:val="none" w:sz="0" w:space="0" w:color="auto"/>
        <w:bottom w:val="none" w:sz="0" w:space="0" w:color="auto"/>
        <w:right w:val="none" w:sz="0" w:space="0" w:color="auto"/>
      </w:divBdr>
    </w:div>
    <w:div w:id="227882169">
      <w:bodyDiv w:val="1"/>
      <w:marLeft w:val="0"/>
      <w:marRight w:val="0"/>
      <w:marTop w:val="0"/>
      <w:marBottom w:val="0"/>
      <w:divBdr>
        <w:top w:val="none" w:sz="0" w:space="0" w:color="auto"/>
        <w:left w:val="none" w:sz="0" w:space="0" w:color="auto"/>
        <w:bottom w:val="none" w:sz="0" w:space="0" w:color="auto"/>
        <w:right w:val="none" w:sz="0" w:space="0" w:color="auto"/>
      </w:divBdr>
    </w:div>
    <w:div w:id="227882339">
      <w:bodyDiv w:val="1"/>
      <w:marLeft w:val="0"/>
      <w:marRight w:val="0"/>
      <w:marTop w:val="0"/>
      <w:marBottom w:val="0"/>
      <w:divBdr>
        <w:top w:val="none" w:sz="0" w:space="0" w:color="auto"/>
        <w:left w:val="none" w:sz="0" w:space="0" w:color="auto"/>
        <w:bottom w:val="none" w:sz="0" w:space="0" w:color="auto"/>
        <w:right w:val="none" w:sz="0" w:space="0" w:color="auto"/>
      </w:divBdr>
    </w:div>
    <w:div w:id="227963718">
      <w:bodyDiv w:val="1"/>
      <w:marLeft w:val="0"/>
      <w:marRight w:val="0"/>
      <w:marTop w:val="0"/>
      <w:marBottom w:val="0"/>
      <w:divBdr>
        <w:top w:val="none" w:sz="0" w:space="0" w:color="auto"/>
        <w:left w:val="none" w:sz="0" w:space="0" w:color="auto"/>
        <w:bottom w:val="none" w:sz="0" w:space="0" w:color="auto"/>
        <w:right w:val="none" w:sz="0" w:space="0" w:color="auto"/>
      </w:divBdr>
    </w:div>
    <w:div w:id="228200559">
      <w:bodyDiv w:val="1"/>
      <w:marLeft w:val="0"/>
      <w:marRight w:val="0"/>
      <w:marTop w:val="0"/>
      <w:marBottom w:val="0"/>
      <w:divBdr>
        <w:top w:val="none" w:sz="0" w:space="0" w:color="auto"/>
        <w:left w:val="none" w:sz="0" w:space="0" w:color="auto"/>
        <w:bottom w:val="none" w:sz="0" w:space="0" w:color="auto"/>
        <w:right w:val="none" w:sz="0" w:space="0" w:color="auto"/>
      </w:divBdr>
    </w:div>
    <w:div w:id="228269586">
      <w:bodyDiv w:val="1"/>
      <w:marLeft w:val="0"/>
      <w:marRight w:val="0"/>
      <w:marTop w:val="0"/>
      <w:marBottom w:val="0"/>
      <w:divBdr>
        <w:top w:val="none" w:sz="0" w:space="0" w:color="auto"/>
        <w:left w:val="none" w:sz="0" w:space="0" w:color="auto"/>
        <w:bottom w:val="none" w:sz="0" w:space="0" w:color="auto"/>
        <w:right w:val="none" w:sz="0" w:space="0" w:color="auto"/>
      </w:divBdr>
    </w:div>
    <w:div w:id="228343406">
      <w:bodyDiv w:val="1"/>
      <w:marLeft w:val="0"/>
      <w:marRight w:val="0"/>
      <w:marTop w:val="0"/>
      <w:marBottom w:val="0"/>
      <w:divBdr>
        <w:top w:val="none" w:sz="0" w:space="0" w:color="auto"/>
        <w:left w:val="none" w:sz="0" w:space="0" w:color="auto"/>
        <w:bottom w:val="none" w:sz="0" w:space="0" w:color="auto"/>
        <w:right w:val="none" w:sz="0" w:space="0" w:color="auto"/>
      </w:divBdr>
    </w:div>
    <w:div w:id="228343538">
      <w:bodyDiv w:val="1"/>
      <w:marLeft w:val="0"/>
      <w:marRight w:val="0"/>
      <w:marTop w:val="0"/>
      <w:marBottom w:val="0"/>
      <w:divBdr>
        <w:top w:val="none" w:sz="0" w:space="0" w:color="auto"/>
        <w:left w:val="none" w:sz="0" w:space="0" w:color="auto"/>
        <w:bottom w:val="none" w:sz="0" w:space="0" w:color="auto"/>
        <w:right w:val="none" w:sz="0" w:space="0" w:color="auto"/>
      </w:divBdr>
    </w:div>
    <w:div w:id="228461027">
      <w:bodyDiv w:val="1"/>
      <w:marLeft w:val="0"/>
      <w:marRight w:val="0"/>
      <w:marTop w:val="0"/>
      <w:marBottom w:val="0"/>
      <w:divBdr>
        <w:top w:val="none" w:sz="0" w:space="0" w:color="auto"/>
        <w:left w:val="none" w:sz="0" w:space="0" w:color="auto"/>
        <w:bottom w:val="none" w:sz="0" w:space="0" w:color="auto"/>
        <w:right w:val="none" w:sz="0" w:space="0" w:color="auto"/>
      </w:divBdr>
    </w:div>
    <w:div w:id="228468286">
      <w:bodyDiv w:val="1"/>
      <w:marLeft w:val="0"/>
      <w:marRight w:val="0"/>
      <w:marTop w:val="0"/>
      <w:marBottom w:val="0"/>
      <w:divBdr>
        <w:top w:val="none" w:sz="0" w:space="0" w:color="auto"/>
        <w:left w:val="none" w:sz="0" w:space="0" w:color="auto"/>
        <w:bottom w:val="none" w:sz="0" w:space="0" w:color="auto"/>
        <w:right w:val="none" w:sz="0" w:space="0" w:color="auto"/>
      </w:divBdr>
    </w:div>
    <w:div w:id="228539236">
      <w:bodyDiv w:val="1"/>
      <w:marLeft w:val="0"/>
      <w:marRight w:val="0"/>
      <w:marTop w:val="0"/>
      <w:marBottom w:val="0"/>
      <w:divBdr>
        <w:top w:val="none" w:sz="0" w:space="0" w:color="auto"/>
        <w:left w:val="none" w:sz="0" w:space="0" w:color="auto"/>
        <w:bottom w:val="none" w:sz="0" w:space="0" w:color="auto"/>
        <w:right w:val="none" w:sz="0" w:space="0" w:color="auto"/>
      </w:divBdr>
    </w:div>
    <w:div w:id="228543030">
      <w:bodyDiv w:val="1"/>
      <w:marLeft w:val="0"/>
      <w:marRight w:val="0"/>
      <w:marTop w:val="0"/>
      <w:marBottom w:val="0"/>
      <w:divBdr>
        <w:top w:val="none" w:sz="0" w:space="0" w:color="auto"/>
        <w:left w:val="none" w:sz="0" w:space="0" w:color="auto"/>
        <w:bottom w:val="none" w:sz="0" w:space="0" w:color="auto"/>
        <w:right w:val="none" w:sz="0" w:space="0" w:color="auto"/>
      </w:divBdr>
    </w:div>
    <w:div w:id="228611492">
      <w:bodyDiv w:val="1"/>
      <w:marLeft w:val="0"/>
      <w:marRight w:val="0"/>
      <w:marTop w:val="0"/>
      <w:marBottom w:val="0"/>
      <w:divBdr>
        <w:top w:val="none" w:sz="0" w:space="0" w:color="auto"/>
        <w:left w:val="none" w:sz="0" w:space="0" w:color="auto"/>
        <w:bottom w:val="none" w:sz="0" w:space="0" w:color="auto"/>
        <w:right w:val="none" w:sz="0" w:space="0" w:color="auto"/>
      </w:divBdr>
    </w:div>
    <w:div w:id="228661567">
      <w:bodyDiv w:val="1"/>
      <w:marLeft w:val="0"/>
      <w:marRight w:val="0"/>
      <w:marTop w:val="0"/>
      <w:marBottom w:val="0"/>
      <w:divBdr>
        <w:top w:val="none" w:sz="0" w:space="0" w:color="auto"/>
        <w:left w:val="none" w:sz="0" w:space="0" w:color="auto"/>
        <w:bottom w:val="none" w:sz="0" w:space="0" w:color="auto"/>
        <w:right w:val="none" w:sz="0" w:space="0" w:color="auto"/>
      </w:divBdr>
    </w:div>
    <w:div w:id="228809075">
      <w:bodyDiv w:val="1"/>
      <w:marLeft w:val="0"/>
      <w:marRight w:val="0"/>
      <w:marTop w:val="0"/>
      <w:marBottom w:val="0"/>
      <w:divBdr>
        <w:top w:val="none" w:sz="0" w:space="0" w:color="auto"/>
        <w:left w:val="none" w:sz="0" w:space="0" w:color="auto"/>
        <w:bottom w:val="none" w:sz="0" w:space="0" w:color="auto"/>
        <w:right w:val="none" w:sz="0" w:space="0" w:color="auto"/>
      </w:divBdr>
    </w:div>
    <w:div w:id="228852348">
      <w:bodyDiv w:val="1"/>
      <w:marLeft w:val="0"/>
      <w:marRight w:val="0"/>
      <w:marTop w:val="0"/>
      <w:marBottom w:val="0"/>
      <w:divBdr>
        <w:top w:val="none" w:sz="0" w:space="0" w:color="auto"/>
        <w:left w:val="none" w:sz="0" w:space="0" w:color="auto"/>
        <w:bottom w:val="none" w:sz="0" w:space="0" w:color="auto"/>
        <w:right w:val="none" w:sz="0" w:space="0" w:color="auto"/>
      </w:divBdr>
    </w:div>
    <w:div w:id="228881814">
      <w:bodyDiv w:val="1"/>
      <w:marLeft w:val="0"/>
      <w:marRight w:val="0"/>
      <w:marTop w:val="0"/>
      <w:marBottom w:val="0"/>
      <w:divBdr>
        <w:top w:val="none" w:sz="0" w:space="0" w:color="auto"/>
        <w:left w:val="none" w:sz="0" w:space="0" w:color="auto"/>
        <w:bottom w:val="none" w:sz="0" w:space="0" w:color="auto"/>
        <w:right w:val="none" w:sz="0" w:space="0" w:color="auto"/>
      </w:divBdr>
    </w:div>
    <w:div w:id="228882589">
      <w:bodyDiv w:val="1"/>
      <w:marLeft w:val="0"/>
      <w:marRight w:val="0"/>
      <w:marTop w:val="0"/>
      <w:marBottom w:val="0"/>
      <w:divBdr>
        <w:top w:val="none" w:sz="0" w:space="0" w:color="auto"/>
        <w:left w:val="none" w:sz="0" w:space="0" w:color="auto"/>
        <w:bottom w:val="none" w:sz="0" w:space="0" w:color="auto"/>
        <w:right w:val="none" w:sz="0" w:space="0" w:color="auto"/>
      </w:divBdr>
    </w:div>
    <w:div w:id="228884428">
      <w:bodyDiv w:val="1"/>
      <w:marLeft w:val="0"/>
      <w:marRight w:val="0"/>
      <w:marTop w:val="0"/>
      <w:marBottom w:val="0"/>
      <w:divBdr>
        <w:top w:val="none" w:sz="0" w:space="0" w:color="auto"/>
        <w:left w:val="none" w:sz="0" w:space="0" w:color="auto"/>
        <w:bottom w:val="none" w:sz="0" w:space="0" w:color="auto"/>
        <w:right w:val="none" w:sz="0" w:space="0" w:color="auto"/>
      </w:divBdr>
    </w:div>
    <w:div w:id="228924251">
      <w:bodyDiv w:val="1"/>
      <w:marLeft w:val="0"/>
      <w:marRight w:val="0"/>
      <w:marTop w:val="0"/>
      <w:marBottom w:val="0"/>
      <w:divBdr>
        <w:top w:val="none" w:sz="0" w:space="0" w:color="auto"/>
        <w:left w:val="none" w:sz="0" w:space="0" w:color="auto"/>
        <w:bottom w:val="none" w:sz="0" w:space="0" w:color="auto"/>
        <w:right w:val="none" w:sz="0" w:space="0" w:color="auto"/>
      </w:divBdr>
    </w:div>
    <w:div w:id="228928670">
      <w:bodyDiv w:val="1"/>
      <w:marLeft w:val="0"/>
      <w:marRight w:val="0"/>
      <w:marTop w:val="0"/>
      <w:marBottom w:val="0"/>
      <w:divBdr>
        <w:top w:val="none" w:sz="0" w:space="0" w:color="auto"/>
        <w:left w:val="none" w:sz="0" w:space="0" w:color="auto"/>
        <w:bottom w:val="none" w:sz="0" w:space="0" w:color="auto"/>
        <w:right w:val="none" w:sz="0" w:space="0" w:color="auto"/>
      </w:divBdr>
    </w:div>
    <w:div w:id="229120344">
      <w:bodyDiv w:val="1"/>
      <w:marLeft w:val="0"/>
      <w:marRight w:val="0"/>
      <w:marTop w:val="0"/>
      <w:marBottom w:val="0"/>
      <w:divBdr>
        <w:top w:val="none" w:sz="0" w:space="0" w:color="auto"/>
        <w:left w:val="none" w:sz="0" w:space="0" w:color="auto"/>
        <w:bottom w:val="none" w:sz="0" w:space="0" w:color="auto"/>
        <w:right w:val="none" w:sz="0" w:space="0" w:color="auto"/>
      </w:divBdr>
    </w:div>
    <w:div w:id="229121760">
      <w:bodyDiv w:val="1"/>
      <w:marLeft w:val="0"/>
      <w:marRight w:val="0"/>
      <w:marTop w:val="0"/>
      <w:marBottom w:val="0"/>
      <w:divBdr>
        <w:top w:val="none" w:sz="0" w:space="0" w:color="auto"/>
        <w:left w:val="none" w:sz="0" w:space="0" w:color="auto"/>
        <w:bottom w:val="none" w:sz="0" w:space="0" w:color="auto"/>
        <w:right w:val="none" w:sz="0" w:space="0" w:color="auto"/>
      </w:divBdr>
    </w:div>
    <w:div w:id="229124550">
      <w:bodyDiv w:val="1"/>
      <w:marLeft w:val="0"/>
      <w:marRight w:val="0"/>
      <w:marTop w:val="0"/>
      <w:marBottom w:val="0"/>
      <w:divBdr>
        <w:top w:val="none" w:sz="0" w:space="0" w:color="auto"/>
        <w:left w:val="none" w:sz="0" w:space="0" w:color="auto"/>
        <w:bottom w:val="none" w:sz="0" w:space="0" w:color="auto"/>
        <w:right w:val="none" w:sz="0" w:space="0" w:color="auto"/>
      </w:divBdr>
    </w:div>
    <w:div w:id="229315070">
      <w:bodyDiv w:val="1"/>
      <w:marLeft w:val="0"/>
      <w:marRight w:val="0"/>
      <w:marTop w:val="0"/>
      <w:marBottom w:val="0"/>
      <w:divBdr>
        <w:top w:val="none" w:sz="0" w:space="0" w:color="auto"/>
        <w:left w:val="none" w:sz="0" w:space="0" w:color="auto"/>
        <w:bottom w:val="none" w:sz="0" w:space="0" w:color="auto"/>
        <w:right w:val="none" w:sz="0" w:space="0" w:color="auto"/>
      </w:divBdr>
    </w:div>
    <w:div w:id="229467068">
      <w:bodyDiv w:val="1"/>
      <w:marLeft w:val="0"/>
      <w:marRight w:val="0"/>
      <w:marTop w:val="0"/>
      <w:marBottom w:val="0"/>
      <w:divBdr>
        <w:top w:val="none" w:sz="0" w:space="0" w:color="auto"/>
        <w:left w:val="none" w:sz="0" w:space="0" w:color="auto"/>
        <w:bottom w:val="none" w:sz="0" w:space="0" w:color="auto"/>
        <w:right w:val="none" w:sz="0" w:space="0" w:color="auto"/>
      </w:divBdr>
    </w:div>
    <w:div w:id="229508706">
      <w:bodyDiv w:val="1"/>
      <w:marLeft w:val="0"/>
      <w:marRight w:val="0"/>
      <w:marTop w:val="0"/>
      <w:marBottom w:val="0"/>
      <w:divBdr>
        <w:top w:val="none" w:sz="0" w:space="0" w:color="auto"/>
        <w:left w:val="none" w:sz="0" w:space="0" w:color="auto"/>
        <w:bottom w:val="none" w:sz="0" w:space="0" w:color="auto"/>
        <w:right w:val="none" w:sz="0" w:space="0" w:color="auto"/>
      </w:divBdr>
    </w:div>
    <w:div w:id="229537007">
      <w:bodyDiv w:val="1"/>
      <w:marLeft w:val="0"/>
      <w:marRight w:val="0"/>
      <w:marTop w:val="0"/>
      <w:marBottom w:val="0"/>
      <w:divBdr>
        <w:top w:val="none" w:sz="0" w:space="0" w:color="auto"/>
        <w:left w:val="none" w:sz="0" w:space="0" w:color="auto"/>
        <w:bottom w:val="none" w:sz="0" w:space="0" w:color="auto"/>
        <w:right w:val="none" w:sz="0" w:space="0" w:color="auto"/>
      </w:divBdr>
    </w:div>
    <w:div w:id="229657929">
      <w:bodyDiv w:val="1"/>
      <w:marLeft w:val="0"/>
      <w:marRight w:val="0"/>
      <w:marTop w:val="0"/>
      <w:marBottom w:val="0"/>
      <w:divBdr>
        <w:top w:val="none" w:sz="0" w:space="0" w:color="auto"/>
        <w:left w:val="none" w:sz="0" w:space="0" w:color="auto"/>
        <w:bottom w:val="none" w:sz="0" w:space="0" w:color="auto"/>
        <w:right w:val="none" w:sz="0" w:space="0" w:color="auto"/>
      </w:divBdr>
    </w:div>
    <w:div w:id="229849756">
      <w:bodyDiv w:val="1"/>
      <w:marLeft w:val="0"/>
      <w:marRight w:val="0"/>
      <w:marTop w:val="0"/>
      <w:marBottom w:val="0"/>
      <w:divBdr>
        <w:top w:val="none" w:sz="0" w:space="0" w:color="auto"/>
        <w:left w:val="none" w:sz="0" w:space="0" w:color="auto"/>
        <w:bottom w:val="none" w:sz="0" w:space="0" w:color="auto"/>
        <w:right w:val="none" w:sz="0" w:space="0" w:color="auto"/>
      </w:divBdr>
    </w:div>
    <w:div w:id="229921368">
      <w:bodyDiv w:val="1"/>
      <w:marLeft w:val="0"/>
      <w:marRight w:val="0"/>
      <w:marTop w:val="0"/>
      <w:marBottom w:val="0"/>
      <w:divBdr>
        <w:top w:val="none" w:sz="0" w:space="0" w:color="auto"/>
        <w:left w:val="none" w:sz="0" w:space="0" w:color="auto"/>
        <w:bottom w:val="none" w:sz="0" w:space="0" w:color="auto"/>
        <w:right w:val="none" w:sz="0" w:space="0" w:color="auto"/>
      </w:divBdr>
    </w:div>
    <w:div w:id="229968340">
      <w:bodyDiv w:val="1"/>
      <w:marLeft w:val="0"/>
      <w:marRight w:val="0"/>
      <w:marTop w:val="0"/>
      <w:marBottom w:val="0"/>
      <w:divBdr>
        <w:top w:val="none" w:sz="0" w:space="0" w:color="auto"/>
        <w:left w:val="none" w:sz="0" w:space="0" w:color="auto"/>
        <w:bottom w:val="none" w:sz="0" w:space="0" w:color="auto"/>
        <w:right w:val="none" w:sz="0" w:space="0" w:color="auto"/>
      </w:divBdr>
    </w:div>
    <w:div w:id="229968618">
      <w:bodyDiv w:val="1"/>
      <w:marLeft w:val="0"/>
      <w:marRight w:val="0"/>
      <w:marTop w:val="0"/>
      <w:marBottom w:val="0"/>
      <w:divBdr>
        <w:top w:val="none" w:sz="0" w:space="0" w:color="auto"/>
        <w:left w:val="none" w:sz="0" w:space="0" w:color="auto"/>
        <w:bottom w:val="none" w:sz="0" w:space="0" w:color="auto"/>
        <w:right w:val="none" w:sz="0" w:space="0" w:color="auto"/>
      </w:divBdr>
    </w:div>
    <w:div w:id="230041288">
      <w:bodyDiv w:val="1"/>
      <w:marLeft w:val="0"/>
      <w:marRight w:val="0"/>
      <w:marTop w:val="0"/>
      <w:marBottom w:val="0"/>
      <w:divBdr>
        <w:top w:val="none" w:sz="0" w:space="0" w:color="auto"/>
        <w:left w:val="none" w:sz="0" w:space="0" w:color="auto"/>
        <w:bottom w:val="none" w:sz="0" w:space="0" w:color="auto"/>
        <w:right w:val="none" w:sz="0" w:space="0" w:color="auto"/>
      </w:divBdr>
    </w:div>
    <w:div w:id="230048069">
      <w:bodyDiv w:val="1"/>
      <w:marLeft w:val="0"/>
      <w:marRight w:val="0"/>
      <w:marTop w:val="0"/>
      <w:marBottom w:val="0"/>
      <w:divBdr>
        <w:top w:val="none" w:sz="0" w:space="0" w:color="auto"/>
        <w:left w:val="none" w:sz="0" w:space="0" w:color="auto"/>
        <w:bottom w:val="none" w:sz="0" w:space="0" w:color="auto"/>
        <w:right w:val="none" w:sz="0" w:space="0" w:color="auto"/>
      </w:divBdr>
    </w:div>
    <w:div w:id="230309842">
      <w:bodyDiv w:val="1"/>
      <w:marLeft w:val="0"/>
      <w:marRight w:val="0"/>
      <w:marTop w:val="0"/>
      <w:marBottom w:val="0"/>
      <w:divBdr>
        <w:top w:val="none" w:sz="0" w:space="0" w:color="auto"/>
        <w:left w:val="none" w:sz="0" w:space="0" w:color="auto"/>
        <w:bottom w:val="none" w:sz="0" w:space="0" w:color="auto"/>
        <w:right w:val="none" w:sz="0" w:space="0" w:color="auto"/>
      </w:divBdr>
    </w:div>
    <w:div w:id="230386787">
      <w:bodyDiv w:val="1"/>
      <w:marLeft w:val="0"/>
      <w:marRight w:val="0"/>
      <w:marTop w:val="0"/>
      <w:marBottom w:val="0"/>
      <w:divBdr>
        <w:top w:val="none" w:sz="0" w:space="0" w:color="auto"/>
        <w:left w:val="none" w:sz="0" w:space="0" w:color="auto"/>
        <w:bottom w:val="none" w:sz="0" w:space="0" w:color="auto"/>
        <w:right w:val="none" w:sz="0" w:space="0" w:color="auto"/>
      </w:divBdr>
    </w:div>
    <w:div w:id="230430540">
      <w:bodyDiv w:val="1"/>
      <w:marLeft w:val="0"/>
      <w:marRight w:val="0"/>
      <w:marTop w:val="0"/>
      <w:marBottom w:val="0"/>
      <w:divBdr>
        <w:top w:val="none" w:sz="0" w:space="0" w:color="auto"/>
        <w:left w:val="none" w:sz="0" w:space="0" w:color="auto"/>
        <w:bottom w:val="none" w:sz="0" w:space="0" w:color="auto"/>
        <w:right w:val="none" w:sz="0" w:space="0" w:color="auto"/>
      </w:divBdr>
    </w:div>
    <w:div w:id="230652850">
      <w:bodyDiv w:val="1"/>
      <w:marLeft w:val="0"/>
      <w:marRight w:val="0"/>
      <w:marTop w:val="0"/>
      <w:marBottom w:val="0"/>
      <w:divBdr>
        <w:top w:val="none" w:sz="0" w:space="0" w:color="auto"/>
        <w:left w:val="none" w:sz="0" w:space="0" w:color="auto"/>
        <w:bottom w:val="none" w:sz="0" w:space="0" w:color="auto"/>
        <w:right w:val="none" w:sz="0" w:space="0" w:color="auto"/>
      </w:divBdr>
    </w:div>
    <w:div w:id="230778064">
      <w:bodyDiv w:val="1"/>
      <w:marLeft w:val="0"/>
      <w:marRight w:val="0"/>
      <w:marTop w:val="0"/>
      <w:marBottom w:val="0"/>
      <w:divBdr>
        <w:top w:val="none" w:sz="0" w:space="0" w:color="auto"/>
        <w:left w:val="none" w:sz="0" w:space="0" w:color="auto"/>
        <w:bottom w:val="none" w:sz="0" w:space="0" w:color="auto"/>
        <w:right w:val="none" w:sz="0" w:space="0" w:color="auto"/>
      </w:divBdr>
    </w:div>
    <w:div w:id="230850410">
      <w:bodyDiv w:val="1"/>
      <w:marLeft w:val="0"/>
      <w:marRight w:val="0"/>
      <w:marTop w:val="0"/>
      <w:marBottom w:val="0"/>
      <w:divBdr>
        <w:top w:val="none" w:sz="0" w:space="0" w:color="auto"/>
        <w:left w:val="none" w:sz="0" w:space="0" w:color="auto"/>
        <w:bottom w:val="none" w:sz="0" w:space="0" w:color="auto"/>
        <w:right w:val="none" w:sz="0" w:space="0" w:color="auto"/>
      </w:divBdr>
    </w:div>
    <w:div w:id="230891607">
      <w:bodyDiv w:val="1"/>
      <w:marLeft w:val="0"/>
      <w:marRight w:val="0"/>
      <w:marTop w:val="0"/>
      <w:marBottom w:val="0"/>
      <w:divBdr>
        <w:top w:val="none" w:sz="0" w:space="0" w:color="auto"/>
        <w:left w:val="none" w:sz="0" w:space="0" w:color="auto"/>
        <w:bottom w:val="none" w:sz="0" w:space="0" w:color="auto"/>
        <w:right w:val="none" w:sz="0" w:space="0" w:color="auto"/>
      </w:divBdr>
    </w:div>
    <w:div w:id="230897019">
      <w:bodyDiv w:val="1"/>
      <w:marLeft w:val="0"/>
      <w:marRight w:val="0"/>
      <w:marTop w:val="0"/>
      <w:marBottom w:val="0"/>
      <w:divBdr>
        <w:top w:val="none" w:sz="0" w:space="0" w:color="auto"/>
        <w:left w:val="none" w:sz="0" w:space="0" w:color="auto"/>
        <w:bottom w:val="none" w:sz="0" w:space="0" w:color="auto"/>
        <w:right w:val="none" w:sz="0" w:space="0" w:color="auto"/>
      </w:divBdr>
    </w:div>
    <w:div w:id="231014482">
      <w:bodyDiv w:val="1"/>
      <w:marLeft w:val="0"/>
      <w:marRight w:val="0"/>
      <w:marTop w:val="0"/>
      <w:marBottom w:val="0"/>
      <w:divBdr>
        <w:top w:val="none" w:sz="0" w:space="0" w:color="auto"/>
        <w:left w:val="none" w:sz="0" w:space="0" w:color="auto"/>
        <w:bottom w:val="none" w:sz="0" w:space="0" w:color="auto"/>
        <w:right w:val="none" w:sz="0" w:space="0" w:color="auto"/>
      </w:divBdr>
    </w:div>
    <w:div w:id="231040915">
      <w:bodyDiv w:val="1"/>
      <w:marLeft w:val="0"/>
      <w:marRight w:val="0"/>
      <w:marTop w:val="0"/>
      <w:marBottom w:val="0"/>
      <w:divBdr>
        <w:top w:val="none" w:sz="0" w:space="0" w:color="auto"/>
        <w:left w:val="none" w:sz="0" w:space="0" w:color="auto"/>
        <w:bottom w:val="none" w:sz="0" w:space="0" w:color="auto"/>
        <w:right w:val="none" w:sz="0" w:space="0" w:color="auto"/>
      </w:divBdr>
    </w:div>
    <w:div w:id="231043345">
      <w:bodyDiv w:val="1"/>
      <w:marLeft w:val="0"/>
      <w:marRight w:val="0"/>
      <w:marTop w:val="0"/>
      <w:marBottom w:val="0"/>
      <w:divBdr>
        <w:top w:val="none" w:sz="0" w:space="0" w:color="auto"/>
        <w:left w:val="none" w:sz="0" w:space="0" w:color="auto"/>
        <w:bottom w:val="none" w:sz="0" w:space="0" w:color="auto"/>
        <w:right w:val="none" w:sz="0" w:space="0" w:color="auto"/>
      </w:divBdr>
    </w:div>
    <w:div w:id="231160624">
      <w:bodyDiv w:val="1"/>
      <w:marLeft w:val="0"/>
      <w:marRight w:val="0"/>
      <w:marTop w:val="0"/>
      <w:marBottom w:val="0"/>
      <w:divBdr>
        <w:top w:val="none" w:sz="0" w:space="0" w:color="auto"/>
        <w:left w:val="none" w:sz="0" w:space="0" w:color="auto"/>
        <w:bottom w:val="none" w:sz="0" w:space="0" w:color="auto"/>
        <w:right w:val="none" w:sz="0" w:space="0" w:color="auto"/>
      </w:divBdr>
    </w:div>
    <w:div w:id="231544692">
      <w:bodyDiv w:val="1"/>
      <w:marLeft w:val="0"/>
      <w:marRight w:val="0"/>
      <w:marTop w:val="0"/>
      <w:marBottom w:val="0"/>
      <w:divBdr>
        <w:top w:val="none" w:sz="0" w:space="0" w:color="auto"/>
        <w:left w:val="none" w:sz="0" w:space="0" w:color="auto"/>
        <w:bottom w:val="none" w:sz="0" w:space="0" w:color="auto"/>
        <w:right w:val="none" w:sz="0" w:space="0" w:color="auto"/>
      </w:divBdr>
    </w:div>
    <w:div w:id="231819526">
      <w:bodyDiv w:val="1"/>
      <w:marLeft w:val="0"/>
      <w:marRight w:val="0"/>
      <w:marTop w:val="0"/>
      <w:marBottom w:val="0"/>
      <w:divBdr>
        <w:top w:val="none" w:sz="0" w:space="0" w:color="auto"/>
        <w:left w:val="none" w:sz="0" w:space="0" w:color="auto"/>
        <w:bottom w:val="none" w:sz="0" w:space="0" w:color="auto"/>
        <w:right w:val="none" w:sz="0" w:space="0" w:color="auto"/>
      </w:divBdr>
    </w:div>
    <w:div w:id="231896459">
      <w:bodyDiv w:val="1"/>
      <w:marLeft w:val="0"/>
      <w:marRight w:val="0"/>
      <w:marTop w:val="0"/>
      <w:marBottom w:val="0"/>
      <w:divBdr>
        <w:top w:val="none" w:sz="0" w:space="0" w:color="auto"/>
        <w:left w:val="none" w:sz="0" w:space="0" w:color="auto"/>
        <w:bottom w:val="none" w:sz="0" w:space="0" w:color="auto"/>
        <w:right w:val="none" w:sz="0" w:space="0" w:color="auto"/>
      </w:divBdr>
    </w:div>
    <w:div w:id="232013606">
      <w:bodyDiv w:val="1"/>
      <w:marLeft w:val="0"/>
      <w:marRight w:val="0"/>
      <w:marTop w:val="0"/>
      <w:marBottom w:val="0"/>
      <w:divBdr>
        <w:top w:val="none" w:sz="0" w:space="0" w:color="auto"/>
        <w:left w:val="none" w:sz="0" w:space="0" w:color="auto"/>
        <w:bottom w:val="none" w:sz="0" w:space="0" w:color="auto"/>
        <w:right w:val="none" w:sz="0" w:space="0" w:color="auto"/>
      </w:divBdr>
    </w:div>
    <w:div w:id="232081665">
      <w:bodyDiv w:val="1"/>
      <w:marLeft w:val="0"/>
      <w:marRight w:val="0"/>
      <w:marTop w:val="0"/>
      <w:marBottom w:val="0"/>
      <w:divBdr>
        <w:top w:val="none" w:sz="0" w:space="0" w:color="auto"/>
        <w:left w:val="none" w:sz="0" w:space="0" w:color="auto"/>
        <w:bottom w:val="none" w:sz="0" w:space="0" w:color="auto"/>
        <w:right w:val="none" w:sz="0" w:space="0" w:color="auto"/>
      </w:divBdr>
    </w:div>
    <w:div w:id="232158317">
      <w:bodyDiv w:val="1"/>
      <w:marLeft w:val="0"/>
      <w:marRight w:val="0"/>
      <w:marTop w:val="0"/>
      <w:marBottom w:val="0"/>
      <w:divBdr>
        <w:top w:val="none" w:sz="0" w:space="0" w:color="auto"/>
        <w:left w:val="none" w:sz="0" w:space="0" w:color="auto"/>
        <w:bottom w:val="none" w:sz="0" w:space="0" w:color="auto"/>
        <w:right w:val="none" w:sz="0" w:space="0" w:color="auto"/>
      </w:divBdr>
    </w:div>
    <w:div w:id="232276819">
      <w:bodyDiv w:val="1"/>
      <w:marLeft w:val="0"/>
      <w:marRight w:val="0"/>
      <w:marTop w:val="0"/>
      <w:marBottom w:val="0"/>
      <w:divBdr>
        <w:top w:val="none" w:sz="0" w:space="0" w:color="auto"/>
        <w:left w:val="none" w:sz="0" w:space="0" w:color="auto"/>
        <w:bottom w:val="none" w:sz="0" w:space="0" w:color="auto"/>
        <w:right w:val="none" w:sz="0" w:space="0" w:color="auto"/>
      </w:divBdr>
    </w:div>
    <w:div w:id="232279543">
      <w:bodyDiv w:val="1"/>
      <w:marLeft w:val="0"/>
      <w:marRight w:val="0"/>
      <w:marTop w:val="0"/>
      <w:marBottom w:val="0"/>
      <w:divBdr>
        <w:top w:val="none" w:sz="0" w:space="0" w:color="auto"/>
        <w:left w:val="none" w:sz="0" w:space="0" w:color="auto"/>
        <w:bottom w:val="none" w:sz="0" w:space="0" w:color="auto"/>
        <w:right w:val="none" w:sz="0" w:space="0" w:color="auto"/>
      </w:divBdr>
    </w:div>
    <w:div w:id="232393374">
      <w:bodyDiv w:val="1"/>
      <w:marLeft w:val="0"/>
      <w:marRight w:val="0"/>
      <w:marTop w:val="0"/>
      <w:marBottom w:val="0"/>
      <w:divBdr>
        <w:top w:val="none" w:sz="0" w:space="0" w:color="auto"/>
        <w:left w:val="none" w:sz="0" w:space="0" w:color="auto"/>
        <w:bottom w:val="none" w:sz="0" w:space="0" w:color="auto"/>
        <w:right w:val="none" w:sz="0" w:space="0" w:color="auto"/>
      </w:divBdr>
    </w:div>
    <w:div w:id="232472878">
      <w:bodyDiv w:val="1"/>
      <w:marLeft w:val="0"/>
      <w:marRight w:val="0"/>
      <w:marTop w:val="0"/>
      <w:marBottom w:val="0"/>
      <w:divBdr>
        <w:top w:val="none" w:sz="0" w:space="0" w:color="auto"/>
        <w:left w:val="none" w:sz="0" w:space="0" w:color="auto"/>
        <w:bottom w:val="none" w:sz="0" w:space="0" w:color="auto"/>
        <w:right w:val="none" w:sz="0" w:space="0" w:color="auto"/>
      </w:divBdr>
    </w:div>
    <w:div w:id="232475668">
      <w:bodyDiv w:val="1"/>
      <w:marLeft w:val="0"/>
      <w:marRight w:val="0"/>
      <w:marTop w:val="0"/>
      <w:marBottom w:val="0"/>
      <w:divBdr>
        <w:top w:val="none" w:sz="0" w:space="0" w:color="auto"/>
        <w:left w:val="none" w:sz="0" w:space="0" w:color="auto"/>
        <w:bottom w:val="none" w:sz="0" w:space="0" w:color="auto"/>
        <w:right w:val="none" w:sz="0" w:space="0" w:color="auto"/>
      </w:divBdr>
    </w:div>
    <w:div w:id="232590805">
      <w:bodyDiv w:val="1"/>
      <w:marLeft w:val="0"/>
      <w:marRight w:val="0"/>
      <w:marTop w:val="0"/>
      <w:marBottom w:val="0"/>
      <w:divBdr>
        <w:top w:val="none" w:sz="0" w:space="0" w:color="auto"/>
        <w:left w:val="none" w:sz="0" w:space="0" w:color="auto"/>
        <w:bottom w:val="none" w:sz="0" w:space="0" w:color="auto"/>
        <w:right w:val="none" w:sz="0" w:space="0" w:color="auto"/>
      </w:divBdr>
    </w:div>
    <w:div w:id="232592039">
      <w:bodyDiv w:val="1"/>
      <w:marLeft w:val="0"/>
      <w:marRight w:val="0"/>
      <w:marTop w:val="0"/>
      <w:marBottom w:val="0"/>
      <w:divBdr>
        <w:top w:val="none" w:sz="0" w:space="0" w:color="auto"/>
        <w:left w:val="none" w:sz="0" w:space="0" w:color="auto"/>
        <w:bottom w:val="none" w:sz="0" w:space="0" w:color="auto"/>
        <w:right w:val="none" w:sz="0" w:space="0" w:color="auto"/>
      </w:divBdr>
    </w:div>
    <w:div w:id="232740563">
      <w:bodyDiv w:val="1"/>
      <w:marLeft w:val="0"/>
      <w:marRight w:val="0"/>
      <w:marTop w:val="0"/>
      <w:marBottom w:val="0"/>
      <w:divBdr>
        <w:top w:val="none" w:sz="0" w:space="0" w:color="auto"/>
        <w:left w:val="none" w:sz="0" w:space="0" w:color="auto"/>
        <w:bottom w:val="none" w:sz="0" w:space="0" w:color="auto"/>
        <w:right w:val="none" w:sz="0" w:space="0" w:color="auto"/>
      </w:divBdr>
    </w:div>
    <w:div w:id="232744132">
      <w:bodyDiv w:val="1"/>
      <w:marLeft w:val="0"/>
      <w:marRight w:val="0"/>
      <w:marTop w:val="0"/>
      <w:marBottom w:val="0"/>
      <w:divBdr>
        <w:top w:val="none" w:sz="0" w:space="0" w:color="auto"/>
        <w:left w:val="none" w:sz="0" w:space="0" w:color="auto"/>
        <w:bottom w:val="none" w:sz="0" w:space="0" w:color="auto"/>
        <w:right w:val="none" w:sz="0" w:space="0" w:color="auto"/>
      </w:divBdr>
    </w:div>
    <w:div w:id="232812454">
      <w:bodyDiv w:val="1"/>
      <w:marLeft w:val="0"/>
      <w:marRight w:val="0"/>
      <w:marTop w:val="0"/>
      <w:marBottom w:val="0"/>
      <w:divBdr>
        <w:top w:val="none" w:sz="0" w:space="0" w:color="auto"/>
        <w:left w:val="none" w:sz="0" w:space="0" w:color="auto"/>
        <w:bottom w:val="none" w:sz="0" w:space="0" w:color="auto"/>
        <w:right w:val="none" w:sz="0" w:space="0" w:color="auto"/>
      </w:divBdr>
    </w:div>
    <w:div w:id="233054642">
      <w:bodyDiv w:val="1"/>
      <w:marLeft w:val="0"/>
      <w:marRight w:val="0"/>
      <w:marTop w:val="0"/>
      <w:marBottom w:val="0"/>
      <w:divBdr>
        <w:top w:val="none" w:sz="0" w:space="0" w:color="auto"/>
        <w:left w:val="none" w:sz="0" w:space="0" w:color="auto"/>
        <w:bottom w:val="none" w:sz="0" w:space="0" w:color="auto"/>
        <w:right w:val="none" w:sz="0" w:space="0" w:color="auto"/>
      </w:divBdr>
    </w:div>
    <w:div w:id="233204990">
      <w:bodyDiv w:val="1"/>
      <w:marLeft w:val="0"/>
      <w:marRight w:val="0"/>
      <w:marTop w:val="0"/>
      <w:marBottom w:val="0"/>
      <w:divBdr>
        <w:top w:val="none" w:sz="0" w:space="0" w:color="auto"/>
        <w:left w:val="none" w:sz="0" w:space="0" w:color="auto"/>
        <w:bottom w:val="none" w:sz="0" w:space="0" w:color="auto"/>
        <w:right w:val="none" w:sz="0" w:space="0" w:color="auto"/>
      </w:divBdr>
    </w:div>
    <w:div w:id="233244039">
      <w:bodyDiv w:val="1"/>
      <w:marLeft w:val="0"/>
      <w:marRight w:val="0"/>
      <w:marTop w:val="0"/>
      <w:marBottom w:val="0"/>
      <w:divBdr>
        <w:top w:val="none" w:sz="0" w:space="0" w:color="auto"/>
        <w:left w:val="none" w:sz="0" w:space="0" w:color="auto"/>
        <w:bottom w:val="none" w:sz="0" w:space="0" w:color="auto"/>
        <w:right w:val="none" w:sz="0" w:space="0" w:color="auto"/>
      </w:divBdr>
    </w:div>
    <w:div w:id="233315775">
      <w:bodyDiv w:val="1"/>
      <w:marLeft w:val="0"/>
      <w:marRight w:val="0"/>
      <w:marTop w:val="0"/>
      <w:marBottom w:val="0"/>
      <w:divBdr>
        <w:top w:val="none" w:sz="0" w:space="0" w:color="auto"/>
        <w:left w:val="none" w:sz="0" w:space="0" w:color="auto"/>
        <w:bottom w:val="none" w:sz="0" w:space="0" w:color="auto"/>
        <w:right w:val="none" w:sz="0" w:space="0" w:color="auto"/>
      </w:divBdr>
    </w:div>
    <w:div w:id="233321695">
      <w:bodyDiv w:val="1"/>
      <w:marLeft w:val="0"/>
      <w:marRight w:val="0"/>
      <w:marTop w:val="0"/>
      <w:marBottom w:val="0"/>
      <w:divBdr>
        <w:top w:val="none" w:sz="0" w:space="0" w:color="auto"/>
        <w:left w:val="none" w:sz="0" w:space="0" w:color="auto"/>
        <w:bottom w:val="none" w:sz="0" w:space="0" w:color="auto"/>
        <w:right w:val="none" w:sz="0" w:space="0" w:color="auto"/>
      </w:divBdr>
    </w:div>
    <w:div w:id="233394072">
      <w:bodyDiv w:val="1"/>
      <w:marLeft w:val="0"/>
      <w:marRight w:val="0"/>
      <w:marTop w:val="0"/>
      <w:marBottom w:val="0"/>
      <w:divBdr>
        <w:top w:val="none" w:sz="0" w:space="0" w:color="auto"/>
        <w:left w:val="none" w:sz="0" w:space="0" w:color="auto"/>
        <w:bottom w:val="none" w:sz="0" w:space="0" w:color="auto"/>
        <w:right w:val="none" w:sz="0" w:space="0" w:color="auto"/>
      </w:divBdr>
    </w:div>
    <w:div w:id="233398414">
      <w:bodyDiv w:val="1"/>
      <w:marLeft w:val="0"/>
      <w:marRight w:val="0"/>
      <w:marTop w:val="0"/>
      <w:marBottom w:val="0"/>
      <w:divBdr>
        <w:top w:val="none" w:sz="0" w:space="0" w:color="auto"/>
        <w:left w:val="none" w:sz="0" w:space="0" w:color="auto"/>
        <w:bottom w:val="none" w:sz="0" w:space="0" w:color="auto"/>
        <w:right w:val="none" w:sz="0" w:space="0" w:color="auto"/>
      </w:divBdr>
    </w:div>
    <w:div w:id="233442452">
      <w:bodyDiv w:val="1"/>
      <w:marLeft w:val="0"/>
      <w:marRight w:val="0"/>
      <w:marTop w:val="0"/>
      <w:marBottom w:val="0"/>
      <w:divBdr>
        <w:top w:val="none" w:sz="0" w:space="0" w:color="auto"/>
        <w:left w:val="none" w:sz="0" w:space="0" w:color="auto"/>
        <w:bottom w:val="none" w:sz="0" w:space="0" w:color="auto"/>
        <w:right w:val="none" w:sz="0" w:space="0" w:color="auto"/>
      </w:divBdr>
    </w:div>
    <w:div w:id="233469268">
      <w:bodyDiv w:val="1"/>
      <w:marLeft w:val="0"/>
      <w:marRight w:val="0"/>
      <w:marTop w:val="0"/>
      <w:marBottom w:val="0"/>
      <w:divBdr>
        <w:top w:val="none" w:sz="0" w:space="0" w:color="auto"/>
        <w:left w:val="none" w:sz="0" w:space="0" w:color="auto"/>
        <w:bottom w:val="none" w:sz="0" w:space="0" w:color="auto"/>
        <w:right w:val="none" w:sz="0" w:space="0" w:color="auto"/>
      </w:divBdr>
    </w:div>
    <w:div w:id="233470909">
      <w:bodyDiv w:val="1"/>
      <w:marLeft w:val="0"/>
      <w:marRight w:val="0"/>
      <w:marTop w:val="0"/>
      <w:marBottom w:val="0"/>
      <w:divBdr>
        <w:top w:val="none" w:sz="0" w:space="0" w:color="auto"/>
        <w:left w:val="none" w:sz="0" w:space="0" w:color="auto"/>
        <w:bottom w:val="none" w:sz="0" w:space="0" w:color="auto"/>
        <w:right w:val="none" w:sz="0" w:space="0" w:color="auto"/>
      </w:divBdr>
    </w:div>
    <w:div w:id="233512922">
      <w:bodyDiv w:val="1"/>
      <w:marLeft w:val="0"/>
      <w:marRight w:val="0"/>
      <w:marTop w:val="0"/>
      <w:marBottom w:val="0"/>
      <w:divBdr>
        <w:top w:val="none" w:sz="0" w:space="0" w:color="auto"/>
        <w:left w:val="none" w:sz="0" w:space="0" w:color="auto"/>
        <w:bottom w:val="none" w:sz="0" w:space="0" w:color="auto"/>
        <w:right w:val="none" w:sz="0" w:space="0" w:color="auto"/>
      </w:divBdr>
    </w:div>
    <w:div w:id="233589711">
      <w:bodyDiv w:val="1"/>
      <w:marLeft w:val="0"/>
      <w:marRight w:val="0"/>
      <w:marTop w:val="0"/>
      <w:marBottom w:val="0"/>
      <w:divBdr>
        <w:top w:val="none" w:sz="0" w:space="0" w:color="auto"/>
        <w:left w:val="none" w:sz="0" w:space="0" w:color="auto"/>
        <w:bottom w:val="none" w:sz="0" w:space="0" w:color="auto"/>
        <w:right w:val="none" w:sz="0" w:space="0" w:color="auto"/>
      </w:divBdr>
    </w:div>
    <w:div w:id="233591580">
      <w:bodyDiv w:val="1"/>
      <w:marLeft w:val="0"/>
      <w:marRight w:val="0"/>
      <w:marTop w:val="0"/>
      <w:marBottom w:val="0"/>
      <w:divBdr>
        <w:top w:val="none" w:sz="0" w:space="0" w:color="auto"/>
        <w:left w:val="none" w:sz="0" w:space="0" w:color="auto"/>
        <w:bottom w:val="none" w:sz="0" w:space="0" w:color="auto"/>
        <w:right w:val="none" w:sz="0" w:space="0" w:color="auto"/>
      </w:divBdr>
    </w:div>
    <w:div w:id="233662224">
      <w:bodyDiv w:val="1"/>
      <w:marLeft w:val="0"/>
      <w:marRight w:val="0"/>
      <w:marTop w:val="0"/>
      <w:marBottom w:val="0"/>
      <w:divBdr>
        <w:top w:val="none" w:sz="0" w:space="0" w:color="auto"/>
        <w:left w:val="none" w:sz="0" w:space="0" w:color="auto"/>
        <w:bottom w:val="none" w:sz="0" w:space="0" w:color="auto"/>
        <w:right w:val="none" w:sz="0" w:space="0" w:color="auto"/>
      </w:divBdr>
    </w:div>
    <w:div w:id="233780307">
      <w:bodyDiv w:val="1"/>
      <w:marLeft w:val="0"/>
      <w:marRight w:val="0"/>
      <w:marTop w:val="0"/>
      <w:marBottom w:val="0"/>
      <w:divBdr>
        <w:top w:val="none" w:sz="0" w:space="0" w:color="auto"/>
        <w:left w:val="none" w:sz="0" w:space="0" w:color="auto"/>
        <w:bottom w:val="none" w:sz="0" w:space="0" w:color="auto"/>
        <w:right w:val="none" w:sz="0" w:space="0" w:color="auto"/>
      </w:divBdr>
    </w:div>
    <w:div w:id="233783617">
      <w:bodyDiv w:val="1"/>
      <w:marLeft w:val="0"/>
      <w:marRight w:val="0"/>
      <w:marTop w:val="0"/>
      <w:marBottom w:val="0"/>
      <w:divBdr>
        <w:top w:val="none" w:sz="0" w:space="0" w:color="auto"/>
        <w:left w:val="none" w:sz="0" w:space="0" w:color="auto"/>
        <w:bottom w:val="none" w:sz="0" w:space="0" w:color="auto"/>
        <w:right w:val="none" w:sz="0" w:space="0" w:color="auto"/>
      </w:divBdr>
    </w:div>
    <w:div w:id="233853279">
      <w:bodyDiv w:val="1"/>
      <w:marLeft w:val="0"/>
      <w:marRight w:val="0"/>
      <w:marTop w:val="0"/>
      <w:marBottom w:val="0"/>
      <w:divBdr>
        <w:top w:val="none" w:sz="0" w:space="0" w:color="auto"/>
        <w:left w:val="none" w:sz="0" w:space="0" w:color="auto"/>
        <w:bottom w:val="none" w:sz="0" w:space="0" w:color="auto"/>
        <w:right w:val="none" w:sz="0" w:space="0" w:color="auto"/>
      </w:divBdr>
    </w:div>
    <w:div w:id="233854168">
      <w:bodyDiv w:val="1"/>
      <w:marLeft w:val="0"/>
      <w:marRight w:val="0"/>
      <w:marTop w:val="0"/>
      <w:marBottom w:val="0"/>
      <w:divBdr>
        <w:top w:val="none" w:sz="0" w:space="0" w:color="auto"/>
        <w:left w:val="none" w:sz="0" w:space="0" w:color="auto"/>
        <w:bottom w:val="none" w:sz="0" w:space="0" w:color="auto"/>
        <w:right w:val="none" w:sz="0" w:space="0" w:color="auto"/>
      </w:divBdr>
    </w:div>
    <w:div w:id="234050258">
      <w:bodyDiv w:val="1"/>
      <w:marLeft w:val="0"/>
      <w:marRight w:val="0"/>
      <w:marTop w:val="0"/>
      <w:marBottom w:val="0"/>
      <w:divBdr>
        <w:top w:val="none" w:sz="0" w:space="0" w:color="auto"/>
        <w:left w:val="none" w:sz="0" w:space="0" w:color="auto"/>
        <w:bottom w:val="none" w:sz="0" w:space="0" w:color="auto"/>
        <w:right w:val="none" w:sz="0" w:space="0" w:color="auto"/>
      </w:divBdr>
    </w:div>
    <w:div w:id="234050915">
      <w:bodyDiv w:val="1"/>
      <w:marLeft w:val="0"/>
      <w:marRight w:val="0"/>
      <w:marTop w:val="0"/>
      <w:marBottom w:val="0"/>
      <w:divBdr>
        <w:top w:val="none" w:sz="0" w:space="0" w:color="auto"/>
        <w:left w:val="none" w:sz="0" w:space="0" w:color="auto"/>
        <w:bottom w:val="none" w:sz="0" w:space="0" w:color="auto"/>
        <w:right w:val="none" w:sz="0" w:space="0" w:color="auto"/>
      </w:divBdr>
    </w:div>
    <w:div w:id="234053076">
      <w:bodyDiv w:val="1"/>
      <w:marLeft w:val="0"/>
      <w:marRight w:val="0"/>
      <w:marTop w:val="0"/>
      <w:marBottom w:val="0"/>
      <w:divBdr>
        <w:top w:val="none" w:sz="0" w:space="0" w:color="auto"/>
        <w:left w:val="none" w:sz="0" w:space="0" w:color="auto"/>
        <w:bottom w:val="none" w:sz="0" w:space="0" w:color="auto"/>
        <w:right w:val="none" w:sz="0" w:space="0" w:color="auto"/>
      </w:divBdr>
    </w:div>
    <w:div w:id="234053943">
      <w:bodyDiv w:val="1"/>
      <w:marLeft w:val="0"/>
      <w:marRight w:val="0"/>
      <w:marTop w:val="0"/>
      <w:marBottom w:val="0"/>
      <w:divBdr>
        <w:top w:val="none" w:sz="0" w:space="0" w:color="auto"/>
        <w:left w:val="none" w:sz="0" w:space="0" w:color="auto"/>
        <w:bottom w:val="none" w:sz="0" w:space="0" w:color="auto"/>
        <w:right w:val="none" w:sz="0" w:space="0" w:color="auto"/>
      </w:divBdr>
    </w:div>
    <w:div w:id="234095691">
      <w:bodyDiv w:val="1"/>
      <w:marLeft w:val="0"/>
      <w:marRight w:val="0"/>
      <w:marTop w:val="0"/>
      <w:marBottom w:val="0"/>
      <w:divBdr>
        <w:top w:val="none" w:sz="0" w:space="0" w:color="auto"/>
        <w:left w:val="none" w:sz="0" w:space="0" w:color="auto"/>
        <w:bottom w:val="none" w:sz="0" w:space="0" w:color="auto"/>
        <w:right w:val="none" w:sz="0" w:space="0" w:color="auto"/>
      </w:divBdr>
    </w:div>
    <w:div w:id="234164412">
      <w:bodyDiv w:val="1"/>
      <w:marLeft w:val="0"/>
      <w:marRight w:val="0"/>
      <w:marTop w:val="0"/>
      <w:marBottom w:val="0"/>
      <w:divBdr>
        <w:top w:val="none" w:sz="0" w:space="0" w:color="auto"/>
        <w:left w:val="none" w:sz="0" w:space="0" w:color="auto"/>
        <w:bottom w:val="none" w:sz="0" w:space="0" w:color="auto"/>
        <w:right w:val="none" w:sz="0" w:space="0" w:color="auto"/>
      </w:divBdr>
    </w:div>
    <w:div w:id="234169385">
      <w:bodyDiv w:val="1"/>
      <w:marLeft w:val="0"/>
      <w:marRight w:val="0"/>
      <w:marTop w:val="0"/>
      <w:marBottom w:val="0"/>
      <w:divBdr>
        <w:top w:val="none" w:sz="0" w:space="0" w:color="auto"/>
        <w:left w:val="none" w:sz="0" w:space="0" w:color="auto"/>
        <w:bottom w:val="none" w:sz="0" w:space="0" w:color="auto"/>
        <w:right w:val="none" w:sz="0" w:space="0" w:color="auto"/>
      </w:divBdr>
    </w:div>
    <w:div w:id="234243836">
      <w:bodyDiv w:val="1"/>
      <w:marLeft w:val="0"/>
      <w:marRight w:val="0"/>
      <w:marTop w:val="0"/>
      <w:marBottom w:val="0"/>
      <w:divBdr>
        <w:top w:val="none" w:sz="0" w:space="0" w:color="auto"/>
        <w:left w:val="none" w:sz="0" w:space="0" w:color="auto"/>
        <w:bottom w:val="none" w:sz="0" w:space="0" w:color="auto"/>
        <w:right w:val="none" w:sz="0" w:space="0" w:color="auto"/>
      </w:divBdr>
    </w:div>
    <w:div w:id="234440336">
      <w:bodyDiv w:val="1"/>
      <w:marLeft w:val="0"/>
      <w:marRight w:val="0"/>
      <w:marTop w:val="0"/>
      <w:marBottom w:val="0"/>
      <w:divBdr>
        <w:top w:val="none" w:sz="0" w:space="0" w:color="auto"/>
        <w:left w:val="none" w:sz="0" w:space="0" w:color="auto"/>
        <w:bottom w:val="none" w:sz="0" w:space="0" w:color="auto"/>
        <w:right w:val="none" w:sz="0" w:space="0" w:color="auto"/>
      </w:divBdr>
    </w:div>
    <w:div w:id="234633404">
      <w:bodyDiv w:val="1"/>
      <w:marLeft w:val="0"/>
      <w:marRight w:val="0"/>
      <w:marTop w:val="0"/>
      <w:marBottom w:val="0"/>
      <w:divBdr>
        <w:top w:val="none" w:sz="0" w:space="0" w:color="auto"/>
        <w:left w:val="none" w:sz="0" w:space="0" w:color="auto"/>
        <w:bottom w:val="none" w:sz="0" w:space="0" w:color="auto"/>
        <w:right w:val="none" w:sz="0" w:space="0" w:color="auto"/>
      </w:divBdr>
    </w:div>
    <w:div w:id="234781607">
      <w:bodyDiv w:val="1"/>
      <w:marLeft w:val="0"/>
      <w:marRight w:val="0"/>
      <w:marTop w:val="0"/>
      <w:marBottom w:val="0"/>
      <w:divBdr>
        <w:top w:val="none" w:sz="0" w:space="0" w:color="auto"/>
        <w:left w:val="none" w:sz="0" w:space="0" w:color="auto"/>
        <w:bottom w:val="none" w:sz="0" w:space="0" w:color="auto"/>
        <w:right w:val="none" w:sz="0" w:space="0" w:color="auto"/>
      </w:divBdr>
    </w:div>
    <w:div w:id="234895866">
      <w:bodyDiv w:val="1"/>
      <w:marLeft w:val="0"/>
      <w:marRight w:val="0"/>
      <w:marTop w:val="0"/>
      <w:marBottom w:val="0"/>
      <w:divBdr>
        <w:top w:val="none" w:sz="0" w:space="0" w:color="auto"/>
        <w:left w:val="none" w:sz="0" w:space="0" w:color="auto"/>
        <w:bottom w:val="none" w:sz="0" w:space="0" w:color="auto"/>
        <w:right w:val="none" w:sz="0" w:space="0" w:color="auto"/>
      </w:divBdr>
    </w:div>
    <w:div w:id="234970830">
      <w:bodyDiv w:val="1"/>
      <w:marLeft w:val="0"/>
      <w:marRight w:val="0"/>
      <w:marTop w:val="0"/>
      <w:marBottom w:val="0"/>
      <w:divBdr>
        <w:top w:val="none" w:sz="0" w:space="0" w:color="auto"/>
        <w:left w:val="none" w:sz="0" w:space="0" w:color="auto"/>
        <w:bottom w:val="none" w:sz="0" w:space="0" w:color="auto"/>
        <w:right w:val="none" w:sz="0" w:space="0" w:color="auto"/>
      </w:divBdr>
    </w:div>
    <w:div w:id="235095565">
      <w:bodyDiv w:val="1"/>
      <w:marLeft w:val="0"/>
      <w:marRight w:val="0"/>
      <w:marTop w:val="0"/>
      <w:marBottom w:val="0"/>
      <w:divBdr>
        <w:top w:val="none" w:sz="0" w:space="0" w:color="auto"/>
        <w:left w:val="none" w:sz="0" w:space="0" w:color="auto"/>
        <w:bottom w:val="none" w:sz="0" w:space="0" w:color="auto"/>
        <w:right w:val="none" w:sz="0" w:space="0" w:color="auto"/>
      </w:divBdr>
    </w:div>
    <w:div w:id="235213704">
      <w:bodyDiv w:val="1"/>
      <w:marLeft w:val="0"/>
      <w:marRight w:val="0"/>
      <w:marTop w:val="0"/>
      <w:marBottom w:val="0"/>
      <w:divBdr>
        <w:top w:val="none" w:sz="0" w:space="0" w:color="auto"/>
        <w:left w:val="none" w:sz="0" w:space="0" w:color="auto"/>
        <w:bottom w:val="none" w:sz="0" w:space="0" w:color="auto"/>
        <w:right w:val="none" w:sz="0" w:space="0" w:color="auto"/>
      </w:divBdr>
    </w:div>
    <w:div w:id="235239092">
      <w:bodyDiv w:val="1"/>
      <w:marLeft w:val="0"/>
      <w:marRight w:val="0"/>
      <w:marTop w:val="0"/>
      <w:marBottom w:val="0"/>
      <w:divBdr>
        <w:top w:val="none" w:sz="0" w:space="0" w:color="auto"/>
        <w:left w:val="none" w:sz="0" w:space="0" w:color="auto"/>
        <w:bottom w:val="none" w:sz="0" w:space="0" w:color="auto"/>
        <w:right w:val="none" w:sz="0" w:space="0" w:color="auto"/>
      </w:divBdr>
    </w:div>
    <w:div w:id="235361303">
      <w:bodyDiv w:val="1"/>
      <w:marLeft w:val="0"/>
      <w:marRight w:val="0"/>
      <w:marTop w:val="0"/>
      <w:marBottom w:val="0"/>
      <w:divBdr>
        <w:top w:val="none" w:sz="0" w:space="0" w:color="auto"/>
        <w:left w:val="none" w:sz="0" w:space="0" w:color="auto"/>
        <w:bottom w:val="none" w:sz="0" w:space="0" w:color="auto"/>
        <w:right w:val="none" w:sz="0" w:space="0" w:color="auto"/>
      </w:divBdr>
    </w:div>
    <w:div w:id="235363783">
      <w:bodyDiv w:val="1"/>
      <w:marLeft w:val="0"/>
      <w:marRight w:val="0"/>
      <w:marTop w:val="0"/>
      <w:marBottom w:val="0"/>
      <w:divBdr>
        <w:top w:val="none" w:sz="0" w:space="0" w:color="auto"/>
        <w:left w:val="none" w:sz="0" w:space="0" w:color="auto"/>
        <w:bottom w:val="none" w:sz="0" w:space="0" w:color="auto"/>
        <w:right w:val="none" w:sz="0" w:space="0" w:color="auto"/>
      </w:divBdr>
    </w:div>
    <w:div w:id="235433644">
      <w:bodyDiv w:val="1"/>
      <w:marLeft w:val="0"/>
      <w:marRight w:val="0"/>
      <w:marTop w:val="0"/>
      <w:marBottom w:val="0"/>
      <w:divBdr>
        <w:top w:val="none" w:sz="0" w:space="0" w:color="auto"/>
        <w:left w:val="none" w:sz="0" w:space="0" w:color="auto"/>
        <w:bottom w:val="none" w:sz="0" w:space="0" w:color="auto"/>
        <w:right w:val="none" w:sz="0" w:space="0" w:color="auto"/>
      </w:divBdr>
    </w:div>
    <w:div w:id="235557384">
      <w:bodyDiv w:val="1"/>
      <w:marLeft w:val="0"/>
      <w:marRight w:val="0"/>
      <w:marTop w:val="0"/>
      <w:marBottom w:val="0"/>
      <w:divBdr>
        <w:top w:val="none" w:sz="0" w:space="0" w:color="auto"/>
        <w:left w:val="none" w:sz="0" w:space="0" w:color="auto"/>
        <w:bottom w:val="none" w:sz="0" w:space="0" w:color="auto"/>
        <w:right w:val="none" w:sz="0" w:space="0" w:color="auto"/>
      </w:divBdr>
    </w:div>
    <w:div w:id="235672394">
      <w:bodyDiv w:val="1"/>
      <w:marLeft w:val="0"/>
      <w:marRight w:val="0"/>
      <w:marTop w:val="0"/>
      <w:marBottom w:val="0"/>
      <w:divBdr>
        <w:top w:val="none" w:sz="0" w:space="0" w:color="auto"/>
        <w:left w:val="none" w:sz="0" w:space="0" w:color="auto"/>
        <w:bottom w:val="none" w:sz="0" w:space="0" w:color="auto"/>
        <w:right w:val="none" w:sz="0" w:space="0" w:color="auto"/>
      </w:divBdr>
    </w:div>
    <w:div w:id="236018236">
      <w:bodyDiv w:val="1"/>
      <w:marLeft w:val="0"/>
      <w:marRight w:val="0"/>
      <w:marTop w:val="0"/>
      <w:marBottom w:val="0"/>
      <w:divBdr>
        <w:top w:val="none" w:sz="0" w:space="0" w:color="auto"/>
        <w:left w:val="none" w:sz="0" w:space="0" w:color="auto"/>
        <w:bottom w:val="none" w:sz="0" w:space="0" w:color="auto"/>
        <w:right w:val="none" w:sz="0" w:space="0" w:color="auto"/>
      </w:divBdr>
    </w:div>
    <w:div w:id="236020890">
      <w:bodyDiv w:val="1"/>
      <w:marLeft w:val="0"/>
      <w:marRight w:val="0"/>
      <w:marTop w:val="0"/>
      <w:marBottom w:val="0"/>
      <w:divBdr>
        <w:top w:val="none" w:sz="0" w:space="0" w:color="auto"/>
        <w:left w:val="none" w:sz="0" w:space="0" w:color="auto"/>
        <w:bottom w:val="none" w:sz="0" w:space="0" w:color="auto"/>
        <w:right w:val="none" w:sz="0" w:space="0" w:color="auto"/>
      </w:divBdr>
    </w:div>
    <w:div w:id="236089959">
      <w:bodyDiv w:val="1"/>
      <w:marLeft w:val="0"/>
      <w:marRight w:val="0"/>
      <w:marTop w:val="0"/>
      <w:marBottom w:val="0"/>
      <w:divBdr>
        <w:top w:val="none" w:sz="0" w:space="0" w:color="auto"/>
        <w:left w:val="none" w:sz="0" w:space="0" w:color="auto"/>
        <w:bottom w:val="none" w:sz="0" w:space="0" w:color="auto"/>
        <w:right w:val="none" w:sz="0" w:space="0" w:color="auto"/>
      </w:divBdr>
    </w:div>
    <w:div w:id="236130694">
      <w:bodyDiv w:val="1"/>
      <w:marLeft w:val="0"/>
      <w:marRight w:val="0"/>
      <w:marTop w:val="0"/>
      <w:marBottom w:val="0"/>
      <w:divBdr>
        <w:top w:val="none" w:sz="0" w:space="0" w:color="auto"/>
        <w:left w:val="none" w:sz="0" w:space="0" w:color="auto"/>
        <w:bottom w:val="none" w:sz="0" w:space="0" w:color="auto"/>
        <w:right w:val="none" w:sz="0" w:space="0" w:color="auto"/>
      </w:divBdr>
    </w:div>
    <w:div w:id="236136660">
      <w:bodyDiv w:val="1"/>
      <w:marLeft w:val="0"/>
      <w:marRight w:val="0"/>
      <w:marTop w:val="0"/>
      <w:marBottom w:val="0"/>
      <w:divBdr>
        <w:top w:val="none" w:sz="0" w:space="0" w:color="auto"/>
        <w:left w:val="none" w:sz="0" w:space="0" w:color="auto"/>
        <w:bottom w:val="none" w:sz="0" w:space="0" w:color="auto"/>
        <w:right w:val="none" w:sz="0" w:space="0" w:color="auto"/>
      </w:divBdr>
    </w:div>
    <w:div w:id="236136748">
      <w:bodyDiv w:val="1"/>
      <w:marLeft w:val="0"/>
      <w:marRight w:val="0"/>
      <w:marTop w:val="0"/>
      <w:marBottom w:val="0"/>
      <w:divBdr>
        <w:top w:val="none" w:sz="0" w:space="0" w:color="auto"/>
        <w:left w:val="none" w:sz="0" w:space="0" w:color="auto"/>
        <w:bottom w:val="none" w:sz="0" w:space="0" w:color="auto"/>
        <w:right w:val="none" w:sz="0" w:space="0" w:color="auto"/>
      </w:divBdr>
    </w:div>
    <w:div w:id="236207939">
      <w:bodyDiv w:val="1"/>
      <w:marLeft w:val="0"/>
      <w:marRight w:val="0"/>
      <w:marTop w:val="0"/>
      <w:marBottom w:val="0"/>
      <w:divBdr>
        <w:top w:val="none" w:sz="0" w:space="0" w:color="auto"/>
        <w:left w:val="none" w:sz="0" w:space="0" w:color="auto"/>
        <w:bottom w:val="none" w:sz="0" w:space="0" w:color="auto"/>
        <w:right w:val="none" w:sz="0" w:space="0" w:color="auto"/>
      </w:divBdr>
    </w:div>
    <w:div w:id="236284545">
      <w:bodyDiv w:val="1"/>
      <w:marLeft w:val="0"/>
      <w:marRight w:val="0"/>
      <w:marTop w:val="0"/>
      <w:marBottom w:val="0"/>
      <w:divBdr>
        <w:top w:val="none" w:sz="0" w:space="0" w:color="auto"/>
        <w:left w:val="none" w:sz="0" w:space="0" w:color="auto"/>
        <w:bottom w:val="none" w:sz="0" w:space="0" w:color="auto"/>
        <w:right w:val="none" w:sz="0" w:space="0" w:color="auto"/>
      </w:divBdr>
    </w:div>
    <w:div w:id="236285580">
      <w:bodyDiv w:val="1"/>
      <w:marLeft w:val="0"/>
      <w:marRight w:val="0"/>
      <w:marTop w:val="0"/>
      <w:marBottom w:val="0"/>
      <w:divBdr>
        <w:top w:val="none" w:sz="0" w:space="0" w:color="auto"/>
        <w:left w:val="none" w:sz="0" w:space="0" w:color="auto"/>
        <w:bottom w:val="none" w:sz="0" w:space="0" w:color="auto"/>
        <w:right w:val="none" w:sz="0" w:space="0" w:color="auto"/>
      </w:divBdr>
    </w:div>
    <w:div w:id="236328360">
      <w:bodyDiv w:val="1"/>
      <w:marLeft w:val="0"/>
      <w:marRight w:val="0"/>
      <w:marTop w:val="0"/>
      <w:marBottom w:val="0"/>
      <w:divBdr>
        <w:top w:val="none" w:sz="0" w:space="0" w:color="auto"/>
        <w:left w:val="none" w:sz="0" w:space="0" w:color="auto"/>
        <w:bottom w:val="none" w:sz="0" w:space="0" w:color="auto"/>
        <w:right w:val="none" w:sz="0" w:space="0" w:color="auto"/>
      </w:divBdr>
    </w:div>
    <w:div w:id="236329491">
      <w:bodyDiv w:val="1"/>
      <w:marLeft w:val="0"/>
      <w:marRight w:val="0"/>
      <w:marTop w:val="0"/>
      <w:marBottom w:val="0"/>
      <w:divBdr>
        <w:top w:val="none" w:sz="0" w:space="0" w:color="auto"/>
        <w:left w:val="none" w:sz="0" w:space="0" w:color="auto"/>
        <w:bottom w:val="none" w:sz="0" w:space="0" w:color="auto"/>
        <w:right w:val="none" w:sz="0" w:space="0" w:color="auto"/>
      </w:divBdr>
    </w:div>
    <w:div w:id="236524805">
      <w:bodyDiv w:val="1"/>
      <w:marLeft w:val="0"/>
      <w:marRight w:val="0"/>
      <w:marTop w:val="0"/>
      <w:marBottom w:val="0"/>
      <w:divBdr>
        <w:top w:val="none" w:sz="0" w:space="0" w:color="auto"/>
        <w:left w:val="none" w:sz="0" w:space="0" w:color="auto"/>
        <w:bottom w:val="none" w:sz="0" w:space="0" w:color="auto"/>
        <w:right w:val="none" w:sz="0" w:space="0" w:color="auto"/>
      </w:divBdr>
    </w:div>
    <w:div w:id="236672824">
      <w:bodyDiv w:val="1"/>
      <w:marLeft w:val="0"/>
      <w:marRight w:val="0"/>
      <w:marTop w:val="0"/>
      <w:marBottom w:val="0"/>
      <w:divBdr>
        <w:top w:val="none" w:sz="0" w:space="0" w:color="auto"/>
        <w:left w:val="none" w:sz="0" w:space="0" w:color="auto"/>
        <w:bottom w:val="none" w:sz="0" w:space="0" w:color="auto"/>
        <w:right w:val="none" w:sz="0" w:space="0" w:color="auto"/>
      </w:divBdr>
    </w:div>
    <w:div w:id="236865949">
      <w:bodyDiv w:val="1"/>
      <w:marLeft w:val="0"/>
      <w:marRight w:val="0"/>
      <w:marTop w:val="0"/>
      <w:marBottom w:val="0"/>
      <w:divBdr>
        <w:top w:val="none" w:sz="0" w:space="0" w:color="auto"/>
        <w:left w:val="none" w:sz="0" w:space="0" w:color="auto"/>
        <w:bottom w:val="none" w:sz="0" w:space="0" w:color="auto"/>
        <w:right w:val="none" w:sz="0" w:space="0" w:color="auto"/>
      </w:divBdr>
    </w:div>
    <w:div w:id="236944538">
      <w:bodyDiv w:val="1"/>
      <w:marLeft w:val="0"/>
      <w:marRight w:val="0"/>
      <w:marTop w:val="0"/>
      <w:marBottom w:val="0"/>
      <w:divBdr>
        <w:top w:val="none" w:sz="0" w:space="0" w:color="auto"/>
        <w:left w:val="none" w:sz="0" w:space="0" w:color="auto"/>
        <w:bottom w:val="none" w:sz="0" w:space="0" w:color="auto"/>
        <w:right w:val="none" w:sz="0" w:space="0" w:color="auto"/>
      </w:divBdr>
    </w:div>
    <w:div w:id="237055332">
      <w:bodyDiv w:val="1"/>
      <w:marLeft w:val="0"/>
      <w:marRight w:val="0"/>
      <w:marTop w:val="0"/>
      <w:marBottom w:val="0"/>
      <w:divBdr>
        <w:top w:val="none" w:sz="0" w:space="0" w:color="auto"/>
        <w:left w:val="none" w:sz="0" w:space="0" w:color="auto"/>
        <w:bottom w:val="none" w:sz="0" w:space="0" w:color="auto"/>
        <w:right w:val="none" w:sz="0" w:space="0" w:color="auto"/>
      </w:divBdr>
    </w:div>
    <w:div w:id="237324251">
      <w:bodyDiv w:val="1"/>
      <w:marLeft w:val="0"/>
      <w:marRight w:val="0"/>
      <w:marTop w:val="0"/>
      <w:marBottom w:val="0"/>
      <w:divBdr>
        <w:top w:val="none" w:sz="0" w:space="0" w:color="auto"/>
        <w:left w:val="none" w:sz="0" w:space="0" w:color="auto"/>
        <w:bottom w:val="none" w:sz="0" w:space="0" w:color="auto"/>
        <w:right w:val="none" w:sz="0" w:space="0" w:color="auto"/>
      </w:divBdr>
    </w:div>
    <w:div w:id="237325363">
      <w:bodyDiv w:val="1"/>
      <w:marLeft w:val="0"/>
      <w:marRight w:val="0"/>
      <w:marTop w:val="0"/>
      <w:marBottom w:val="0"/>
      <w:divBdr>
        <w:top w:val="none" w:sz="0" w:space="0" w:color="auto"/>
        <w:left w:val="none" w:sz="0" w:space="0" w:color="auto"/>
        <w:bottom w:val="none" w:sz="0" w:space="0" w:color="auto"/>
        <w:right w:val="none" w:sz="0" w:space="0" w:color="auto"/>
      </w:divBdr>
    </w:div>
    <w:div w:id="237515929">
      <w:bodyDiv w:val="1"/>
      <w:marLeft w:val="0"/>
      <w:marRight w:val="0"/>
      <w:marTop w:val="0"/>
      <w:marBottom w:val="0"/>
      <w:divBdr>
        <w:top w:val="none" w:sz="0" w:space="0" w:color="auto"/>
        <w:left w:val="none" w:sz="0" w:space="0" w:color="auto"/>
        <w:bottom w:val="none" w:sz="0" w:space="0" w:color="auto"/>
        <w:right w:val="none" w:sz="0" w:space="0" w:color="auto"/>
      </w:divBdr>
    </w:div>
    <w:div w:id="237638047">
      <w:bodyDiv w:val="1"/>
      <w:marLeft w:val="0"/>
      <w:marRight w:val="0"/>
      <w:marTop w:val="0"/>
      <w:marBottom w:val="0"/>
      <w:divBdr>
        <w:top w:val="none" w:sz="0" w:space="0" w:color="auto"/>
        <w:left w:val="none" w:sz="0" w:space="0" w:color="auto"/>
        <w:bottom w:val="none" w:sz="0" w:space="0" w:color="auto"/>
        <w:right w:val="none" w:sz="0" w:space="0" w:color="auto"/>
      </w:divBdr>
    </w:div>
    <w:div w:id="237714364">
      <w:bodyDiv w:val="1"/>
      <w:marLeft w:val="0"/>
      <w:marRight w:val="0"/>
      <w:marTop w:val="0"/>
      <w:marBottom w:val="0"/>
      <w:divBdr>
        <w:top w:val="none" w:sz="0" w:space="0" w:color="auto"/>
        <w:left w:val="none" w:sz="0" w:space="0" w:color="auto"/>
        <w:bottom w:val="none" w:sz="0" w:space="0" w:color="auto"/>
        <w:right w:val="none" w:sz="0" w:space="0" w:color="auto"/>
      </w:divBdr>
    </w:div>
    <w:div w:id="237785147">
      <w:bodyDiv w:val="1"/>
      <w:marLeft w:val="0"/>
      <w:marRight w:val="0"/>
      <w:marTop w:val="0"/>
      <w:marBottom w:val="0"/>
      <w:divBdr>
        <w:top w:val="none" w:sz="0" w:space="0" w:color="auto"/>
        <w:left w:val="none" w:sz="0" w:space="0" w:color="auto"/>
        <w:bottom w:val="none" w:sz="0" w:space="0" w:color="auto"/>
        <w:right w:val="none" w:sz="0" w:space="0" w:color="auto"/>
      </w:divBdr>
    </w:div>
    <w:div w:id="237786046">
      <w:bodyDiv w:val="1"/>
      <w:marLeft w:val="0"/>
      <w:marRight w:val="0"/>
      <w:marTop w:val="0"/>
      <w:marBottom w:val="0"/>
      <w:divBdr>
        <w:top w:val="none" w:sz="0" w:space="0" w:color="auto"/>
        <w:left w:val="none" w:sz="0" w:space="0" w:color="auto"/>
        <w:bottom w:val="none" w:sz="0" w:space="0" w:color="auto"/>
        <w:right w:val="none" w:sz="0" w:space="0" w:color="auto"/>
      </w:divBdr>
    </w:div>
    <w:div w:id="237831381">
      <w:bodyDiv w:val="1"/>
      <w:marLeft w:val="0"/>
      <w:marRight w:val="0"/>
      <w:marTop w:val="0"/>
      <w:marBottom w:val="0"/>
      <w:divBdr>
        <w:top w:val="none" w:sz="0" w:space="0" w:color="auto"/>
        <w:left w:val="none" w:sz="0" w:space="0" w:color="auto"/>
        <w:bottom w:val="none" w:sz="0" w:space="0" w:color="auto"/>
        <w:right w:val="none" w:sz="0" w:space="0" w:color="auto"/>
      </w:divBdr>
    </w:div>
    <w:div w:id="237834748">
      <w:bodyDiv w:val="1"/>
      <w:marLeft w:val="0"/>
      <w:marRight w:val="0"/>
      <w:marTop w:val="0"/>
      <w:marBottom w:val="0"/>
      <w:divBdr>
        <w:top w:val="none" w:sz="0" w:space="0" w:color="auto"/>
        <w:left w:val="none" w:sz="0" w:space="0" w:color="auto"/>
        <w:bottom w:val="none" w:sz="0" w:space="0" w:color="auto"/>
        <w:right w:val="none" w:sz="0" w:space="0" w:color="auto"/>
      </w:divBdr>
    </w:div>
    <w:div w:id="237834941">
      <w:bodyDiv w:val="1"/>
      <w:marLeft w:val="0"/>
      <w:marRight w:val="0"/>
      <w:marTop w:val="0"/>
      <w:marBottom w:val="0"/>
      <w:divBdr>
        <w:top w:val="none" w:sz="0" w:space="0" w:color="auto"/>
        <w:left w:val="none" w:sz="0" w:space="0" w:color="auto"/>
        <w:bottom w:val="none" w:sz="0" w:space="0" w:color="auto"/>
        <w:right w:val="none" w:sz="0" w:space="0" w:color="auto"/>
      </w:divBdr>
    </w:div>
    <w:div w:id="237904772">
      <w:bodyDiv w:val="1"/>
      <w:marLeft w:val="0"/>
      <w:marRight w:val="0"/>
      <w:marTop w:val="0"/>
      <w:marBottom w:val="0"/>
      <w:divBdr>
        <w:top w:val="none" w:sz="0" w:space="0" w:color="auto"/>
        <w:left w:val="none" w:sz="0" w:space="0" w:color="auto"/>
        <w:bottom w:val="none" w:sz="0" w:space="0" w:color="auto"/>
        <w:right w:val="none" w:sz="0" w:space="0" w:color="auto"/>
      </w:divBdr>
    </w:div>
    <w:div w:id="237907517">
      <w:bodyDiv w:val="1"/>
      <w:marLeft w:val="0"/>
      <w:marRight w:val="0"/>
      <w:marTop w:val="0"/>
      <w:marBottom w:val="0"/>
      <w:divBdr>
        <w:top w:val="none" w:sz="0" w:space="0" w:color="auto"/>
        <w:left w:val="none" w:sz="0" w:space="0" w:color="auto"/>
        <w:bottom w:val="none" w:sz="0" w:space="0" w:color="auto"/>
        <w:right w:val="none" w:sz="0" w:space="0" w:color="auto"/>
      </w:divBdr>
    </w:div>
    <w:div w:id="237908744">
      <w:bodyDiv w:val="1"/>
      <w:marLeft w:val="0"/>
      <w:marRight w:val="0"/>
      <w:marTop w:val="0"/>
      <w:marBottom w:val="0"/>
      <w:divBdr>
        <w:top w:val="none" w:sz="0" w:space="0" w:color="auto"/>
        <w:left w:val="none" w:sz="0" w:space="0" w:color="auto"/>
        <w:bottom w:val="none" w:sz="0" w:space="0" w:color="auto"/>
        <w:right w:val="none" w:sz="0" w:space="0" w:color="auto"/>
      </w:divBdr>
    </w:div>
    <w:div w:id="237978616">
      <w:bodyDiv w:val="1"/>
      <w:marLeft w:val="0"/>
      <w:marRight w:val="0"/>
      <w:marTop w:val="0"/>
      <w:marBottom w:val="0"/>
      <w:divBdr>
        <w:top w:val="none" w:sz="0" w:space="0" w:color="auto"/>
        <w:left w:val="none" w:sz="0" w:space="0" w:color="auto"/>
        <w:bottom w:val="none" w:sz="0" w:space="0" w:color="auto"/>
        <w:right w:val="none" w:sz="0" w:space="0" w:color="auto"/>
      </w:divBdr>
    </w:div>
    <w:div w:id="237987089">
      <w:bodyDiv w:val="1"/>
      <w:marLeft w:val="0"/>
      <w:marRight w:val="0"/>
      <w:marTop w:val="0"/>
      <w:marBottom w:val="0"/>
      <w:divBdr>
        <w:top w:val="none" w:sz="0" w:space="0" w:color="auto"/>
        <w:left w:val="none" w:sz="0" w:space="0" w:color="auto"/>
        <w:bottom w:val="none" w:sz="0" w:space="0" w:color="auto"/>
        <w:right w:val="none" w:sz="0" w:space="0" w:color="auto"/>
      </w:divBdr>
    </w:div>
    <w:div w:id="237987516">
      <w:bodyDiv w:val="1"/>
      <w:marLeft w:val="0"/>
      <w:marRight w:val="0"/>
      <w:marTop w:val="0"/>
      <w:marBottom w:val="0"/>
      <w:divBdr>
        <w:top w:val="none" w:sz="0" w:space="0" w:color="auto"/>
        <w:left w:val="none" w:sz="0" w:space="0" w:color="auto"/>
        <w:bottom w:val="none" w:sz="0" w:space="0" w:color="auto"/>
        <w:right w:val="none" w:sz="0" w:space="0" w:color="auto"/>
      </w:divBdr>
    </w:div>
    <w:div w:id="238097239">
      <w:bodyDiv w:val="1"/>
      <w:marLeft w:val="0"/>
      <w:marRight w:val="0"/>
      <w:marTop w:val="0"/>
      <w:marBottom w:val="0"/>
      <w:divBdr>
        <w:top w:val="none" w:sz="0" w:space="0" w:color="auto"/>
        <w:left w:val="none" w:sz="0" w:space="0" w:color="auto"/>
        <w:bottom w:val="none" w:sz="0" w:space="0" w:color="auto"/>
        <w:right w:val="none" w:sz="0" w:space="0" w:color="auto"/>
      </w:divBdr>
    </w:div>
    <w:div w:id="238100192">
      <w:bodyDiv w:val="1"/>
      <w:marLeft w:val="0"/>
      <w:marRight w:val="0"/>
      <w:marTop w:val="0"/>
      <w:marBottom w:val="0"/>
      <w:divBdr>
        <w:top w:val="none" w:sz="0" w:space="0" w:color="auto"/>
        <w:left w:val="none" w:sz="0" w:space="0" w:color="auto"/>
        <w:bottom w:val="none" w:sz="0" w:space="0" w:color="auto"/>
        <w:right w:val="none" w:sz="0" w:space="0" w:color="auto"/>
      </w:divBdr>
    </w:div>
    <w:div w:id="238174931">
      <w:bodyDiv w:val="1"/>
      <w:marLeft w:val="0"/>
      <w:marRight w:val="0"/>
      <w:marTop w:val="0"/>
      <w:marBottom w:val="0"/>
      <w:divBdr>
        <w:top w:val="none" w:sz="0" w:space="0" w:color="auto"/>
        <w:left w:val="none" w:sz="0" w:space="0" w:color="auto"/>
        <w:bottom w:val="none" w:sz="0" w:space="0" w:color="auto"/>
        <w:right w:val="none" w:sz="0" w:space="0" w:color="auto"/>
      </w:divBdr>
    </w:div>
    <w:div w:id="238254232">
      <w:bodyDiv w:val="1"/>
      <w:marLeft w:val="0"/>
      <w:marRight w:val="0"/>
      <w:marTop w:val="0"/>
      <w:marBottom w:val="0"/>
      <w:divBdr>
        <w:top w:val="none" w:sz="0" w:space="0" w:color="auto"/>
        <w:left w:val="none" w:sz="0" w:space="0" w:color="auto"/>
        <w:bottom w:val="none" w:sz="0" w:space="0" w:color="auto"/>
        <w:right w:val="none" w:sz="0" w:space="0" w:color="auto"/>
      </w:divBdr>
    </w:div>
    <w:div w:id="238366029">
      <w:bodyDiv w:val="1"/>
      <w:marLeft w:val="0"/>
      <w:marRight w:val="0"/>
      <w:marTop w:val="0"/>
      <w:marBottom w:val="0"/>
      <w:divBdr>
        <w:top w:val="none" w:sz="0" w:space="0" w:color="auto"/>
        <w:left w:val="none" w:sz="0" w:space="0" w:color="auto"/>
        <w:bottom w:val="none" w:sz="0" w:space="0" w:color="auto"/>
        <w:right w:val="none" w:sz="0" w:space="0" w:color="auto"/>
      </w:divBdr>
    </w:div>
    <w:div w:id="238371712">
      <w:bodyDiv w:val="1"/>
      <w:marLeft w:val="0"/>
      <w:marRight w:val="0"/>
      <w:marTop w:val="0"/>
      <w:marBottom w:val="0"/>
      <w:divBdr>
        <w:top w:val="none" w:sz="0" w:space="0" w:color="auto"/>
        <w:left w:val="none" w:sz="0" w:space="0" w:color="auto"/>
        <w:bottom w:val="none" w:sz="0" w:space="0" w:color="auto"/>
        <w:right w:val="none" w:sz="0" w:space="0" w:color="auto"/>
      </w:divBdr>
    </w:div>
    <w:div w:id="238443314">
      <w:bodyDiv w:val="1"/>
      <w:marLeft w:val="0"/>
      <w:marRight w:val="0"/>
      <w:marTop w:val="0"/>
      <w:marBottom w:val="0"/>
      <w:divBdr>
        <w:top w:val="none" w:sz="0" w:space="0" w:color="auto"/>
        <w:left w:val="none" w:sz="0" w:space="0" w:color="auto"/>
        <w:bottom w:val="none" w:sz="0" w:space="0" w:color="auto"/>
        <w:right w:val="none" w:sz="0" w:space="0" w:color="auto"/>
      </w:divBdr>
    </w:div>
    <w:div w:id="238443920">
      <w:bodyDiv w:val="1"/>
      <w:marLeft w:val="0"/>
      <w:marRight w:val="0"/>
      <w:marTop w:val="0"/>
      <w:marBottom w:val="0"/>
      <w:divBdr>
        <w:top w:val="none" w:sz="0" w:space="0" w:color="auto"/>
        <w:left w:val="none" w:sz="0" w:space="0" w:color="auto"/>
        <w:bottom w:val="none" w:sz="0" w:space="0" w:color="auto"/>
        <w:right w:val="none" w:sz="0" w:space="0" w:color="auto"/>
      </w:divBdr>
    </w:div>
    <w:div w:id="238449211">
      <w:bodyDiv w:val="1"/>
      <w:marLeft w:val="0"/>
      <w:marRight w:val="0"/>
      <w:marTop w:val="0"/>
      <w:marBottom w:val="0"/>
      <w:divBdr>
        <w:top w:val="none" w:sz="0" w:space="0" w:color="auto"/>
        <w:left w:val="none" w:sz="0" w:space="0" w:color="auto"/>
        <w:bottom w:val="none" w:sz="0" w:space="0" w:color="auto"/>
        <w:right w:val="none" w:sz="0" w:space="0" w:color="auto"/>
      </w:divBdr>
    </w:div>
    <w:div w:id="238449223">
      <w:bodyDiv w:val="1"/>
      <w:marLeft w:val="0"/>
      <w:marRight w:val="0"/>
      <w:marTop w:val="0"/>
      <w:marBottom w:val="0"/>
      <w:divBdr>
        <w:top w:val="none" w:sz="0" w:space="0" w:color="auto"/>
        <w:left w:val="none" w:sz="0" w:space="0" w:color="auto"/>
        <w:bottom w:val="none" w:sz="0" w:space="0" w:color="auto"/>
        <w:right w:val="none" w:sz="0" w:space="0" w:color="auto"/>
      </w:divBdr>
    </w:div>
    <w:div w:id="238485804">
      <w:bodyDiv w:val="1"/>
      <w:marLeft w:val="0"/>
      <w:marRight w:val="0"/>
      <w:marTop w:val="0"/>
      <w:marBottom w:val="0"/>
      <w:divBdr>
        <w:top w:val="none" w:sz="0" w:space="0" w:color="auto"/>
        <w:left w:val="none" w:sz="0" w:space="0" w:color="auto"/>
        <w:bottom w:val="none" w:sz="0" w:space="0" w:color="auto"/>
        <w:right w:val="none" w:sz="0" w:space="0" w:color="auto"/>
      </w:divBdr>
    </w:div>
    <w:div w:id="238488567">
      <w:bodyDiv w:val="1"/>
      <w:marLeft w:val="0"/>
      <w:marRight w:val="0"/>
      <w:marTop w:val="0"/>
      <w:marBottom w:val="0"/>
      <w:divBdr>
        <w:top w:val="none" w:sz="0" w:space="0" w:color="auto"/>
        <w:left w:val="none" w:sz="0" w:space="0" w:color="auto"/>
        <w:bottom w:val="none" w:sz="0" w:space="0" w:color="auto"/>
        <w:right w:val="none" w:sz="0" w:space="0" w:color="auto"/>
      </w:divBdr>
    </w:div>
    <w:div w:id="238635517">
      <w:bodyDiv w:val="1"/>
      <w:marLeft w:val="0"/>
      <w:marRight w:val="0"/>
      <w:marTop w:val="0"/>
      <w:marBottom w:val="0"/>
      <w:divBdr>
        <w:top w:val="none" w:sz="0" w:space="0" w:color="auto"/>
        <w:left w:val="none" w:sz="0" w:space="0" w:color="auto"/>
        <w:bottom w:val="none" w:sz="0" w:space="0" w:color="auto"/>
        <w:right w:val="none" w:sz="0" w:space="0" w:color="auto"/>
      </w:divBdr>
    </w:div>
    <w:div w:id="238637876">
      <w:bodyDiv w:val="1"/>
      <w:marLeft w:val="0"/>
      <w:marRight w:val="0"/>
      <w:marTop w:val="0"/>
      <w:marBottom w:val="0"/>
      <w:divBdr>
        <w:top w:val="none" w:sz="0" w:space="0" w:color="auto"/>
        <w:left w:val="none" w:sz="0" w:space="0" w:color="auto"/>
        <w:bottom w:val="none" w:sz="0" w:space="0" w:color="auto"/>
        <w:right w:val="none" w:sz="0" w:space="0" w:color="auto"/>
      </w:divBdr>
    </w:div>
    <w:div w:id="238641490">
      <w:bodyDiv w:val="1"/>
      <w:marLeft w:val="0"/>
      <w:marRight w:val="0"/>
      <w:marTop w:val="0"/>
      <w:marBottom w:val="0"/>
      <w:divBdr>
        <w:top w:val="none" w:sz="0" w:space="0" w:color="auto"/>
        <w:left w:val="none" w:sz="0" w:space="0" w:color="auto"/>
        <w:bottom w:val="none" w:sz="0" w:space="0" w:color="auto"/>
        <w:right w:val="none" w:sz="0" w:space="0" w:color="auto"/>
      </w:divBdr>
    </w:div>
    <w:div w:id="238685139">
      <w:bodyDiv w:val="1"/>
      <w:marLeft w:val="0"/>
      <w:marRight w:val="0"/>
      <w:marTop w:val="0"/>
      <w:marBottom w:val="0"/>
      <w:divBdr>
        <w:top w:val="none" w:sz="0" w:space="0" w:color="auto"/>
        <w:left w:val="none" w:sz="0" w:space="0" w:color="auto"/>
        <w:bottom w:val="none" w:sz="0" w:space="0" w:color="auto"/>
        <w:right w:val="none" w:sz="0" w:space="0" w:color="auto"/>
      </w:divBdr>
    </w:div>
    <w:div w:id="238710149">
      <w:bodyDiv w:val="1"/>
      <w:marLeft w:val="0"/>
      <w:marRight w:val="0"/>
      <w:marTop w:val="0"/>
      <w:marBottom w:val="0"/>
      <w:divBdr>
        <w:top w:val="none" w:sz="0" w:space="0" w:color="auto"/>
        <w:left w:val="none" w:sz="0" w:space="0" w:color="auto"/>
        <w:bottom w:val="none" w:sz="0" w:space="0" w:color="auto"/>
        <w:right w:val="none" w:sz="0" w:space="0" w:color="auto"/>
      </w:divBdr>
    </w:div>
    <w:div w:id="238714269">
      <w:bodyDiv w:val="1"/>
      <w:marLeft w:val="0"/>
      <w:marRight w:val="0"/>
      <w:marTop w:val="0"/>
      <w:marBottom w:val="0"/>
      <w:divBdr>
        <w:top w:val="none" w:sz="0" w:space="0" w:color="auto"/>
        <w:left w:val="none" w:sz="0" w:space="0" w:color="auto"/>
        <w:bottom w:val="none" w:sz="0" w:space="0" w:color="auto"/>
        <w:right w:val="none" w:sz="0" w:space="0" w:color="auto"/>
      </w:divBdr>
    </w:div>
    <w:div w:id="238756477">
      <w:bodyDiv w:val="1"/>
      <w:marLeft w:val="0"/>
      <w:marRight w:val="0"/>
      <w:marTop w:val="0"/>
      <w:marBottom w:val="0"/>
      <w:divBdr>
        <w:top w:val="none" w:sz="0" w:space="0" w:color="auto"/>
        <w:left w:val="none" w:sz="0" w:space="0" w:color="auto"/>
        <w:bottom w:val="none" w:sz="0" w:space="0" w:color="auto"/>
        <w:right w:val="none" w:sz="0" w:space="0" w:color="auto"/>
      </w:divBdr>
    </w:div>
    <w:div w:id="238828195">
      <w:bodyDiv w:val="1"/>
      <w:marLeft w:val="0"/>
      <w:marRight w:val="0"/>
      <w:marTop w:val="0"/>
      <w:marBottom w:val="0"/>
      <w:divBdr>
        <w:top w:val="none" w:sz="0" w:space="0" w:color="auto"/>
        <w:left w:val="none" w:sz="0" w:space="0" w:color="auto"/>
        <w:bottom w:val="none" w:sz="0" w:space="0" w:color="auto"/>
        <w:right w:val="none" w:sz="0" w:space="0" w:color="auto"/>
      </w:divBdr>
    </w:div>
    <w:div w:id="239022552">
      <w:bodyDiv w:val="1"/>
      <w:marLeft w:val="0"/>
      <w:marRight w:val="0"/>
      <w:marTop w:val="0"/>
      <w:marBottom w:val="0"/>
      <w:divBdr>
        <w:top w:val="none" w:sz="0" w:space="0" w:color="auto"/>
        <w:left w:val="none" w:sz="0" w:space="0" w:color="auto"/>
        <w:bottom w:val="none" w:sz="0" w:space="0" w:color="auto"/>
        <w:right w:val="none" w:sz="0" w:space="0" w:color="auto"/>
      </w:divBdr>
    </w:div>
    <w:div w:id="239025664">
      <w:bodyDiv w:val="1"/>
      <w:marLeft w:val="0"/>
      <w:marRight w:val="0"/>
      <w:marTop w:val="0"/>
      <w:marBottom w:val="0"/>
      <w:divBdr>
        <w:top w:val="none" w:sz="0" w:space="0" w:color="auto"/>
        <w:left w:val="none" w:sz="0" w:space="0" w:color="auto"/>
        <w:bottom w:val="none" w:sz="0" w:space="0" w:color="auto"/>
        <w:right w:val="none" w:sz="0" w:space="0" w:color="auto"/>
      </w:divBdr>
    </w:div>
    <w:div w:id="239101912">
      <w:bodyDiv w:val="1"/>
      <w:marLeft w:val="0"/>
      <w:marRight w:val="0"/>
      <w:marTop w:val="0"/>
      <w:marBottom w:val="0"/>
      <w:divBdr>
        <w:top w:val="none" w:sz="0" w:space="0" w:color="auto"/>
        <w:left w:val="none" w:sz="0" w:space="0" w:color="auto"/>
        <w:bottom w:val="none" w:sz="0" w:space="0" w:color="auto"/>
        <w:right w:val="none" w:sz="0" w:space="0" w:color="auto"/>
      </w:divBdr>
    </w:div>
    <w:div w:id="239103465">
      <w:bodyDiv w:val="1"/>
      <w:marLeft w:val="0"/>
      <w:marRight w:val="0"/>
      <w:marTop w:val="0"/>
      <w:marBottom w:val="0"/>
      <w:divBdr>
        <w:top w:val="none" w:sz="0" w:space="0" w:color="auto"/>
        <w:left w:val="none" w:sz="0" w:space="0" w:color="auto"/>
        <w:bottom w:val="none" w:sz="0" w:space="0" w:color="auto"/>
        <w:right w:val="none" w:sz="0" w:space="0" w:color="auto"/>
      </w:divBdr>
    </w:div>
    <w:div w:id="239144697">
      <w:bodyDiv w:val="1"/>
      <w:marLeft w:val="0"/>
      <w:marRight w:val="0"/>
      <w:marTop w:val="0"/>
      <w:marBottom w:val="0"/>
      <w:divBdr>
        <w:top w:val="none" w:sz="0" w:space="0" w:color="auto"/>
        <w:left w:val="none" w:sz="0" w:space="0" w:color="auto"/>
        <w:bottom w:val="none" w:sz="0" w:space="0" w:color="auto"/>
        <w:right w:val="none" w:sz="0" w:space="0" w:color="auto"/>
      </w:divBdr>
    </w:div>
    <w:div w:id="239218655">
      <w:bodyDiv w:val="1"/>
      <w:marLeft w:val="0"/>
      <w:marRight w:val="0"/>
      <w:marTop w:val="0"/>
      <w:marBottom w:val="0"/>
      <w:divBdr>
        <w:top w:val="none" w:sz="0" w:space="0" w:color="auto"/>
        <w:left w:val="none" w:sz="0" w:space="0" w:color="auto"/>
        <w:bottom w:val="none" w:sz="0" w:space="0" w:color="auto"/>
        <w:right w:val="none" w:sz="0" w:space="0" w:color="auto"/>
      </w:divBdr>
    </w:div>
    <w:div w:id="239293619">
      <w:bodyDiv w:val="1"/>
      <w:marLeft w:val="0"/>
      <w:marRight w:val="0"/>
      <w:marTop w:val="0"/>
      <w:marBottom w:val="0"/>
      <w:divBdr>
        <w:top w:val="none" w:sz="0" w:space="0" w:color="auto"/>
        <w:left w:val="none" w:sz="0" w:space="0" w:color="auto"/>
        <w:bottom w:val="none" w:sz="0" w:space="0" w:color="auto"/>
        <w:right w:val="none" w:sz="0" w:space="0" w:color="auto"/>
      </w:divBdr>
    </w:div>
    <w:div w:id="239339958">
      <w:bodyDiv w:val="1"/>
      <w:marLeft w:val="0"/>
      <w:marRight w:val="0"/>
      <w:marTop w:val="0"/>
      <w:marBottom w:val="0"/>
      <w:divBdr>
        <w:top w:val="none" w:sz="0" w:space="0" w:color="auto"/>
        <w:left w:val="none" w:sz="0" w:space="0" w:color="auto"/>
        <w:bottom w:val="none" w:sz="0" w:space="0" w:color="auto"/>
        <w:right w:val="none" w:sz="0" w:space="0" w:color="auto"/>
      </w:divBdr>
    </w:div>
    <w:div w:id="239340379">
      <w:bodyDiv w:val="1"/>
      <w:marLeft w:val="0"/>
      <w:marRight w:val="0"/>
      <w:marTop w:val="0"/>
      <w:marBottom w:val="0"/>
      <w:divBdr>
        <w:top w:val="none" w:sz="0" w:space="0" w:color="auto"/>
        <w:left w:val="none" w:sz="0" w:space="0" w:color="auto"/>
        <w:bottom w:val="none" w:sz="0" w:space="0" w:color="auto"/>
        <w:right w:val="none" w:sz="0" w:space="0" w:color="auto"/>
      </w:divBdr>
    </w:div>
    <w:div w:id="239558625">
      <w:bodyDiv w:val="1"/>
      <w:marLeft w:val="0"/>
      <w:marRight w:val="0"/>
      <w:marTop w:val="0"/>
      <w:marBottom w:val="0"/>
      <w:divBdr>
        <w:top w:val="none" w:sz="0" w:space="0" w:color="auto"/>
        <w:left w:val="none" w:sz="0" w:space="0" w:color="auto"/>
        <w:bottom w:val="none" w:sz="0" w:space="0" w:color="auto"/>
        <w:right w:val="none" w:sz="0" w:space="0" w:color="auto"/>
      </w:divBdr>
    </w:div>
    <w:div w:id="239681846">
      <w:bodyDiv w:val="1"/>
      <w:marLeft w:val="0"/>
      <w:marRight w:val="0"/>
      <w:marTop w:val="0"/>
      <w:marBottom w:val="0"/>
      <w:divBdr>
        <w:top w:val="none" w:sz="0" w:space="0" w:color="auto"/>
        <w:left w:val="none" w:sz="0" w:space="0" w:color="auto"/>
        <w:bottom w:val="none" w:sz="0" w:space="0" w:color="auto"/>
        <w:right w:val="none" w:sz="0" w:space="0" w:color="auto"/>
      </w:divBdr>
    </w:div>
    <w:div w:id="240025340">
      <w:bodyDiv w:val="1"/>
      <w:marLeft w:val="0"/>
      <w:marRight w:val="0"/>
      <w:marTop w:val="0"/>
      <w:marBottom w:val="0"/>
      <w:divBdr>
        <w:top w:val="none" w:sz="0" w:space="0" w:color="auto"/>
        <w:left w:val="none" w:sz="0" w:space="0" w:color="auto"/>
        <w:bottom w:val="none" w:sz="0" w:space="0" w:color="auto"/>
        <w:right w:val="none" w:sz="0" w:space="0" w:color="auto"/>
      </w:divBdr>
    </w:div>
    <w:div w:id="240141908">
      <w:bodyDiv w:val="1"/>
      <w:marLeft w:val="0"/>
      <w:marRight w:val="0"/>
      <w:marTop w:val="0"/>
      <w:marBottom w:val="0"/>
      <w:divBdr>
        <w:top w:val="none" w:sz="0" w:space="0" w:color="auto"/>
        <w:left w:val="none" w:sz="0" w:space="0" w:color="auto"/>
        <w:bottom w:val="none" w:sz="0" w:space="0" w:color="auto"/>
        <w:right w:val="none" w:sz="0" w:space="0" w:color="auto"/>
      </w:divBdr>
    </w:div>
    <w:div w:id="240219139">
      <w:bodyDiv w:val="1"/>
      <w:marLeft w:val="0"/>
      <w:marRight w:val="0"/>
      <w:marTop w:val="0"/>
      <w:marBottom w:val="0"/>
      <w:divBdr>
        <w:top w:val="none" w:sz="0" w:space="0" w:color="auto"/>
        <w:left w:val="none" w:sz="0" w:space="0" w:color="auto"/>
        <w:bottom w:val="none" w:sz="0" w:space="0" w:color="auto"/>
        <w:right w:val="none" w:sz="0" w:space="0" w:color="auto"/>
      </w:divBdr>
    </w:div>
    <w:div w:id="240605467">
      <w:bodyDiv w:val="1"/>
      <w:marLeft w:val="0"/>
      <w:marRight w:val="0"/>
      <w:marTop w:val="0"/>
      <w:marBottom w:val="0"/>
      <w:divBdr>
        <w:top w:val="none" w:sz="0" w:space="0" w:color="auto"/>
        <w:left w:val="none" w:sz="0" w:space="0" w:color="auto"/>
        <w:bottom w:val="none" w:sz="0" w:space="0" w:color="auto"/>
        <w:right w:val="none" w:sz="0" w:space="0" w:color="auto"/>
      </w:divBdr>
    </w:div>
    <w:div w:id="240608365">
      <w:bodyDiv w:val="1"/>
      <w:marLeft w:val="0"/>
      <w:marRight w:val="0"/>
      <w:marTop w:val="0"/>
      <w:marBottom w:val="0"/>
      <w:divBdr>
        <w:top w:val="none" w:sz="0" w:space="0" w:color="auto"/>
        <w:left w:val="none" w:sz="0" w:space="0" w:color="auto"/>
        <w:bottom w:val="none" w:sz="0" w:space="0" w:color="auto"/>
        <w:right w:val="none" w:sz="0" w:space="0" w:color="auto"/>
      </w:divBdr>
    </w:div>
    <w:div w:id="240675048">
      <w:bodyDiv w:val="1"/>
      <w:marLeft w:val="0"/>
      <w:marRight w:val="0"/>
      <w:marTop w:val="0"/>
      <w:marBottom w:val="0"/>
      <w:divBdr>
        <w:top w:val="none" w:sz="0" w:space="0" w:color="auto"/>
        <w:left w:val="none" w:sz="0" w:space="0" w:color="auto"/>
        <w:bottom w:val="none" w:sz="0" w:space="0" w:color="auto"/>
        <w:right w:val="none" w:sz="0" w:space="0" w:color="auto"/>
      </w:divBdr>
    </w:div>
    <w:div w:id="240677889">
      <w:bodyDiv w:val="1"/>
      <w:marLeft w:val="0"/>
      <w:marRight w:val="0"/>
      <w:marTop w:val="0"/>
      <w:marBottom w:val="0"/>
      <w:divBdr>
        <w:top w:val="none" w:sz="0" w:space="0" w:color="auto"/>
        <w:left w:val="none" w:sz="0" w:space="0" w:color="auto"/>
        <w:bottom w:val="none" w:sz="0" w:space="0" w:color="auto"/>
        <w:right w:val="none" w:sz="0" w:space="0" w:color="auto"/>
      </w:divBdr>
    </w:div>
    <w:div w:id="240718829">
      <w:bodyDiv w:val="1"/>
      <w:marLeft w:val="0"/>
      <w:marRight w:val="0"/>
      <w:marTop w:val="0"/>
      <w:marBottom w:val="0"/>
      <w:divBdr>
        <w:top w:val="none" w:sz="0" w:space="0" w:color="auto"/>
        <w:left w:val="none" w:sz="0" w:space="0" w:color="auto"/>
        <w:bottom w:val="none" w:sz="0" w:space="0" w:color="auto"/>
        <w:right w:val="none" w:sz="0" w:space="0" w:color="auto"/>
      </w:divBdr>
    </w:div>
    <w:div w:id="240721351">
      <w:bodyDiv w:val="1"/>
      <w:marLeft w:val="0"/>
      <w:marRight w:val="0"/>
      <w:marTop w:val="0"/>
      <w:marBottom w:val="0"/>
      <w:divBdr>
        <w:top w:val="none" w:sz="0" w:space="0" w:color="auto"/>
        <w:left w:val="none" w:sz="0" w:space="0" w:color="auto"/>
        <w:bottom w:val="none" w:sz="0" w:space="0" w:color="auto"/>
        <w:right w:val="none" w:sz="0" w:space="0" w:color="auto"/>
      </w:divBdr>
    </w:div>
    <w:div w:id="240726246">
      <w:bodyDiv w:val="1"/>
      <w:marLeft w:val="0"/>
      <w:marRight w:val="0"/>
      <w:marTop w:val="0"/>
      <w:marBottom w:val="0"/>
      <w:divBdr>
        <w:top w:val="none" w:sz="0" w:space="0" w:color="auto"/>
        <w:left w:val="none" w:sz="0" w:space="0" w:color="auto"/>
        <w:bottom w:val="none" w:sz="0" w:space="0" w:color="auto"/>
        <w:right w:val="none" w:sz="0" w:space="0" w:color="auto"/>
      </w:divBdr>
    </w:div>
    <w:div w:id="240917088">
      <w:bodyDiv w:val="1"/>
      <w:marLeft w:val="0"/>
      <w:marRight w:val="0"/>
      <w:marTop w:val="0"/>
      <w:marBottom w:val="0"/>
      <w:divBdr>
        <w:top w:val="none" w:sz="0" w:space="0" w:color="auto"/>
        <w:left w:val="none" w:sz="0" w:space="0" w:color="auto"/>
        <w:bottom w:val="none" w:sz="0" w:space="0" w:color="auto"/>
        <w:right w:val="none" w:sz="0" w:space="0" w:color="auto"/>
      </w:divBdr>
    </w:div>
    <w:div w:id="240990917">
      <w:bodyDiv w:val="1"/>
      <w:marLeft w:val="0"/>
      <w:marRight w:val="0"/>
      <w:marTop w:val="0"/>
      <w:marBottom w:val="0"/>
      <w:divBdr>
        <w:top w:val="none" w:sz="0" w:space="0" w:color="auto"/>
        <w:left w:val="none" w:sz="0" w:space="0" w:color="auto"/>
        <w:bottom w:val="none" w:sz="0" w:space="0" w:color="auto"/>
        <w:right w:val="none" w:sz="0" w:space="0" w:color="auto"/>
      </w:divBdr>
    </w:div>
    <w:div w:id="240991543">
      <w:bodyDiv w:val="1"/>
      <w:marLeft w:val="0"/>
      <w:marRight w:val="0"/>
      <w:marTop w:val="0"/>
      <w:marBottom w:val="0"/>
      <w:divBdr>
        <w:top w:val="none" w:sz="0" w:space="0" w:color="auto"/>
        <w:left w:val="none" w:sz="0" w:space="0" w:color="auto"/>
        <w:bottom w:val="none" w:sz="0" w:space="0" w:color="auto"/>
        <w:right w:val="none" w:sz="0" w:space="0" w:color="auto"/>
      </w:divBdr>
    </w:div>
    <w:div w:id="241066401">
      <w:bodyDiv w:val="1"/>
      <w:marLeft w:val="0"/>
      <w:marRight w:val="0"/>
      <w:marTop w:val="0"/>
      <w:marBottom w:val="0"/>
      <w:divBdr>
        <w:top w:val="none" w:sz="0" w:space="0" w:color="auto"/>
        <w:left w:val="none" w:sz="0" w:space="0" w:color="auto"/>
        <w:bottom w:val="none" w:sz="0" w:space="0" w:color="auto"/>
        <w:right w:val="none" w:sz="0" w:space="0" w:color="auto"/>
      </w:divBdr>
    </w:div>
    <w:div w:id="241106975">
      <w:bodyDiv w:val="1"/>
      <w:marLeft w:val="0"/>
      <w:marRight w:val="0"/>
      <w:marTop w:val="0"/>
      <w:marBottom w:val="0"/>
      <w:divBdr>
        <w:top w:val="none" w:sz="0" w:space="0" w:color="auto"/>
        <w:left w:val="none" w:sz="0" w:space="0" w:color="auto"/>
        <w:bottom w:val="none" w:sz="0" w:space="0" w:color="auto"/>
        <w:right w:val="none" w:sz="0" w:space="0" w:color="auto"/>
      </w:divBdr>
    </w:div>
    <w:div w:id="241136224">
      <w:bodyDiv w:val="1"/>
      <w:marLeft w:val="0"/>
      <w:marRight w:val="0"/>
      <w:marTop w:val="0"/>
      <w:marBottom w:val="0"/>
      <w:divBdr>
        <w:top w:val="none" w:sz="0" w:space="0" w:color="auto"/>
        <w:left w:val="none" w:sz="0" w:space="0" w:color="auto"/>
        <w:bottom w:val="none" w:sz="0" w:space="0" w:color="auto"/>
        <w:right w:val="none" w:sz="0" w:space="0" w:color="auto"/>
      </w:divBdr>
    </w:div>
    <w:div w:id="241255845">
      <w:bodyDiv w:val="1"/>
      <w:marLeft w:val="0"/>
      <w:marRight w:val="0"/>
      <w:marTop w:val="0"/>
      <w:marBottom w:val="0"/>
      <w:divBdr>
        <w:top w:val="none" w:sz="0" w:space="0" w:color="auto"/>
        <w:left w:val="none" w:sz="0" w:space="0" w:color="auto"/>
        <w:bottom w:val="none" w:sz="0" w:space="0" w:color="auto"/>
        <w:right w:val="none" w:sz="0" w:space="0" w:color="auto"/>
      </w:divBdr>
    </w:div>
    <w:div w:id="241259488">
      <w:bodyDiv w:val="1"/>
      <w:marLeft w:val="0"/>
      <w:marRight w:val="0"/>
      <w:marTop w:val="0"/>
      <w:marBottom w:val="0"/>
      <w:divBdr>
        <w:top w:val="none" w:sz="0" w:space="0" w:color="auto"/>
        <w:left w:val="none" w:sz="0" w:space="0" w:color="auto"/>
        <w:bottom w:val="none" w:sz="0" w:space="0" w:color="auto"/>
        <w:right w:val="none" w:sz="0" w:space="0" w:color="auto"/>
      </w:divBdr>
    </w:div>
    <w:div w:id="241260232">
      <w:bodyDiv w:val="1"/>
      <w:marLeft w:val="0"/>
      <w:marRight w:val="0"/>
      <w:marTop w:val="0"/>
      <w:marBottom w:val="0"/>
      <w:divBdr>
        <w:top w:val="none" w:sz="0" w:space="0" w:color="auto"/>
        <w:left w:val="none" w:sz="0" w:space="0" w:color="auto"/>
        <w:bottom w:val="none" w:sz="0" w:space="0" w:color="auto"/>
        <w:right w:val="none" w:sz="0" w:space="0" w:color="auto"/>
      </w:divBdr>
    </w:div>
    <w:div w:id="241449745">
      <w:bodyDiv w:val="1"/>
      <w:marLeft w:val="0"/>
      <w:marRight w:val="0"/>
      <w:marTop w:val="0"/>
      <w:marBottom w:val="0"/>
      <w:divBdr>
        <w:top w:val="none" w:sz="0" w:space="0" w:color="auto"/>
        <w:left w:val="none" w:sz="0" w:space="0" w:color="auto"/>
        <w:bottom w:val="none" w:sz="0" w:space="0" w:color="auto"/>
        <w:right w:val="none" w:sz="0" w:space="0" w:color="auto"/>
      </w:divBdr>
    </w:div>
    <w:div w:id="241453691">
      <w:bodyDiv w:val="1"/>
      <w:marLeft w:val="0"/>
      <w:marRight w:val="0"/>
      <w:marTop w:val="0"/>
      <w:marBottom w:val="0"/>
      <w:divBdr>
        <w:top w:val="none" w:sz="0" w:space="0" w:color="auto"/>
        <w:left w:val="none" w:sz="0" w:space="0" w:color="auto"/>
        <w:bottom w:val="none" w:sz="0" w:space="0" w:color="auto"/>
        <w:right w:val="none" w:sz="0" w:space="0" w:color="auto"/>
      </w:divBdr>
    </w:div>
    <w:div w:id="241527668">
      <w:bodyDiv w:val="1"/>
      <w:marLeft w:val="0"/>
      <w:marRight w:val="0"/>
      <w:marTop w:val="0"/>
      <w:marBottom w:val="0"/>
      <w:divBdr>
        <w:top w:val="none" w:sz="0" w:space="0" w:color="auto"/>
        <w:left w:val="none" w:sz="0" w:space="0" w:color="auto"/>
        <w:bottom w:val="none" w:sz="0" w:space="0" w:color="auto"/>
        <w:right w:val="none" w:sz="0" w:space="0" w:color="auto"/>
      </w:divBdr>
    </w:div>
    <w:div w:id="241574199">
      <w:bodyDiv w:val="1"/>
      <w:marLeft w:val="0"/>
      <w:marRight w:val="0"/>
      <w:marTop w:val="0"/>
      <w:marBottom w:val="0"/>
      <w:divBdr>
        <w:top w:val="none" w:sz="0" w:space="0" w:color="auto"/>
        <w:left w:val="none" w:sz="0" w:space="0" w:color="auto"/>
        <w:bottom w:val="none" w:sz="0" w:space="0" w:color="auto"/>
        <w:right w:val="none" w:sz="0" w:space="0" w:color="auto"/>
      </w:divBdr>
    </w:div>
    <w:div w:id="241574849">
      <w:bodyDiv w:val="1"/>
      <w:marLeft w:val="0"/>
      <w:marRight w:val="0"/>
      <w:marTop w:val="0"/>
      <w:marBottom w:val="0"/>
      <w:divBdr>
        <w:top w:val="none" w:sz="0" w:space="0" w:color="auto"/>
        <w:left w:val="none" w:sz="0" w:space="0" w:color="auto"/>
        <w:bottom w:val="none" w:sz="0" w:space="0" w:color="auto"/>
        <w:right w:val="none" w:sz="0" w:space="0" w:color="auto"/>
      </w:divBdr>
    </w:div>
    <w:div w:id="241650236">
      <w:bodyDiv w:val="1"/>
      <w:marLeft w:val="0"/>
      <w:marRight w:val="0"/>
      <w:marTop w:val="0"/>
      <w:marBottom w:val="0"/>
      <w:divBdr>
        <w:top w:val="none" w:sz="0" w:space="0" w:color="auto"/>
        <w:left w:val="none" w:sz="0" w:space="0" w:color="auto"/>
        <w:bottom w:val="none" w:sz="0" w:space="0" w:color="auto"/>
        <w:right w:val="none" w:sz="0" w:space="0" w:color="auto"/>
      </w:divBdr>
    </w:div>
    <w:div w:id="241722360">
      <w:bodyDiv w:val="1"/>
      <w:marLeft w:val="0"/>
      <w:marRight w:val="0"/>
      <w:marTop w:val="0"/>
      <w:marBottom w:val="0"/>
      <w:divBdr>
        <w:top w:val="none" w:sz="0" w:space="0" w:color="auto"/>
        <w:left w:val="none" w:sz="0" w:space="0" w:color="auto"/>
        <w:bottom w:val="none" w:sz="0" w:space="0" w:color="auto"/>
        <w:right w:val="none" w:sz="0" w:space="0" w:color="auto"/>
      </w:divBdr>
    </w:div>
    <w:div w:id="241794812">
      <w:bodyDiv w:val="1"/>
      <w:marLeft w:val="0"/>
      <w:marRight w:val="0"/>
      <w:marTop w:val="0"/>
      <w:marBottom w:val="0"/>
      <w:divBdr>
        <w:top w:val="none" w:sz="0" w:space="0" w:color="auto"/>
        <w:left w:val="none" w:sz="0" w:space="0" w:color="auto"/>
        <w:bottom w:val="none" w:sz="0" w:space="0" w:color="auto"/>
        <w:right w:val="none" w:sz="0" w:space="0" w:color="auto"/>
      </w:divBdr>
    </w:div>
    <w:div w:id="241794869">
      <w:bodyDiv w:val="1"/>
      <w:marLeft w:val="0"/>
      <w:marRight w:val="0"/>
      <w:marTop w:val="0"/>
      <w:marBottom w:val="0"/>
      <w:divBdr>
        <w:top w:val="none" w:sz="0" w:space="0" w:color="auto"/>
        <w:left w:val="none" w:sz="0" w:space="0" w:color="auto"/>
        <w:bottom w:val="none" w:sz="0" w:space="0" w:color="auto"/>
        <w:right w:val="none" w:sz="0" w:space="0" w:color="auto"/>
      </w:divBdr>
    </w:div>
    <w:div w:id="241836335">
      <w:bodyDiv w:val="1"/>
      <w:marLeft w:val="0"/>
      <w:marRight w:val="0"/>
      <w:marTop w:val="0"/>
      <w:marBottom w:val="0"/>
      <w:divBdr>
        <w:top w:val="none" w:sz="0" w:space="0" w:color="auto"/>
        <w:left w:val="none" w:sz="0" w:space="0" w:color="auto"/>
        <w:bottom w:val="none" w:sz="0" w:space="0" w:color="auto"/>
        <w:right w:val="none" w:sz="0" w:space="0" w:color="auto"/>
      </w:divBdr>
    </w:div>
    <w:div w:id="241842329">
      <w:bodyDiv w:val="1"/>
      <w:marLeft w:val="0"/>
      <w:marRight w:val="0"/>
      <w:marTop w:val="0"/>
      <w:marBottom w:val="0"/>
      <w:divBdr>
        <w:top w:val="none" w:sz="0" w:space="0" w:color="auto"/>
        <w:left w:val="none" w:sz="0" w:space="0" w:color="auto"/>
        <w:bottom w:val="none" w:sz="0" w:space="0" w:color="auto"/>
        <w:right w:val="none" w:sz="0" w:space="0" w:color="auto"/>
      </w:divBdr>
    </w:div>
    <w:div w:id="241909885">
      <w:bodyDiv w:val="1"/>
      <w:marLeft w:val="0"/>
      <w:marRight w:val="0"/>
      <w:marTop w:val="0"/>
      <w:marBottom w:val="0"/>
      <w:divBdr>
        <w:top w:val="none" w:sz="0" w:space="0" w:color="auto"/>
        <w:left w:val="none" w:sz="0" w:space="0" w:color="auto"/>
        <w:bottom w:val="none" w:sz="0" w:space="0" w:color="auto"/>
        <w:right w:val="none" w:sz="0" w:space="0" w:color="auto"/>
      </w:divBdr>
    </w:div>
    <w:div w:id="241911352">
      <w:bodyDiv w:val="1"/>
      <w:marLeft w:val="0"/>
      <w:marRight w:val="0"/>
      <w:marTop w:val="0"/>
      <w:marBottom w:val="0"/>
      <w:divBdr>
        <w:top w:val="none" w:sz="0" w:space="0" w:color="auto"/>
        <w:left w:val="none" w:sz="0" w:space="0" w:color="auto"/>
        <w:bottom w:val="none" w:sz="0" w:space="0" w:color="auto"/>
        <w:right w:val="none" w:sz="0" w:space="0" w:color="auto"/>
      </w:divBdr>
    </w:div>
    <w:div w:id="242034315">
      <w:bodyDiv w:val="1"/>
      <w:marLeft w:val="0"/>
      <w:marRight w:val="0"/>
      <w:marTop w:val="0"/>
      <w:marBottom w:val="0"/>
      <w:divBdr>
        <w:top w:val="none" w:sz="0" w:space="0" w:color="auto"/>
        <w:left w:val="none" w:sz="0" w:space="0" w:color="auto"/>
        <w:bottom w:val="none" w:sz="0" w:space="0" w:color="auto"/>
        <w:right w:val="none" w:sz="0" w:space="0" w:color="auto"/>
      </w:divBdr>
    </w:div>
    <w:div w:id="242103682">
      <w:bodyDiv w:val="1"/>
      <w:marLeft w:val="0"/>
      <w:marRight w:val="0"/>
      <w:marTop w:val="0"/>
      <w:marBottom w:val="0"/>
      <w:divBdr>
        <w:top w:val="none" w:sz="0" w:space="0" w:color="auto"/>
        <w:left w:val="none" w:sz="0" w:space="0" w:color="auto"/>
        <w:bottom w:val="none" w:sz="0" w:space="0" w:color="auto"/>
        <w:right w:val="none" w:sz="0" w:space="0" w:color="auto"/>
      </w:divBdr>
    </w:div>
    <w:div w:id="242179068">
      <w:bodyDiv w:val="1"/>
      <w:marLeft w:val="0"/>
      <w:marRight w:val="0"/>
      <w:marTop w:val="0"/>
      <w:marBottom w:val="0"/>
      <w:divBdr>
        <w:top w:val="none" w:sz="0" w:space="0" w:color="auto"/>
        <w:left w:val="none" w:sz="0" w:space="0" w:color="auto"/>
        <w:bottom w:val="none" w:sz="0" w:space="0" w:color="auto"/>
        <w:right w:val="none" w:sz="0" w:space="0" w:color="auto"/>
      </w:divBdr>
    </w:div>
    <w:div w:id="242227904">
      <w:bodyDiv w:val="1"/>
      <w:marLeft w:val="0"/>
      <w:marRight w:val="0"/>
      <w:marTop w:val="0"/>
      <w:marBottom w:val="0"/>
      <w:divBdr>
        <w:top w:val="none" w:sz="0" w:space="0" w:color="auto"/>
        <w:left w:val="none" w:sz="0" w:space="0" w:color="auto"/>
        <w:bottom w:val="none" w:sz="0" w:space="0" w:color="auto"/>
        <w:right w:val="none" w:sz="0" w:space="0" w:color="auto"/>
      </w:divBdr>
    </w:div>
    <w:div w:id="242376335">
      <w:bodyDiv w:val="1"/>
      <w:marLeft w:val="0"/>
      <w:marRight w:val="0"/>
      <w:marTop w:val="0"/>
      <w:marBottom w:val="0"/>
      <w:divBdr>
        <w:top w:val="none" w:sz="0" w:space="0" w:color="auto"/>
        <w:left w:val="none" w:sz="0" w:space="0" w:color="auto"/>
        <w:bottom w:val="none" w:sz="0" w:space="0" w:color="auto"/>
        <w:right w:val="none" w:sz="0" w:space="0" w:color="auto"/>
      </w:divBdr>
    </w:div>
    <w:div w:id="242377467">
      <w:bodyDiv w:val="1"/>
      <w:marLeft w:val="0"/>
      <w:marRight w:val="0"/>
      <w:marTop w:val="0"/>
      <w:marBottom w:val="0"/>
      <w:divBdr>
        <w:top w:val="none" w:sz="0" w:space="0" w:color="auto"/>
        <w:left w:val="none" w:sz="0" w:space="0" w:color="auto"/>
        <w:bottom w:val="none" w:sz="0" w:space="0" w:color="auto"/>
        <w:right w:val="none" w:sz="0" w:space="0" w:color="auto"/>
      </w:divBdr>
    </w:div>
    <w:div w:id="242422787">
      <w:bodyDiv w:val="1"/>
      <w:marLeft w:val="0"/>
      <w:marRight w:val="0"/>
      <w:marTop w:val="0"/>
      <w:marBottom w:val="0"/>
      <w:divBdr>
        <w:top w:val="none" w:sz="0" w:space="0" w:color="auto"/>
        <w:left w:val="none" w:sz="0" w:space="0" w:color="auto"/>
        <w:bottom w:val="none" w:sz="0" w:space="0" w:color="auto"/>
        <w:right w:val="none" w:sz="0" w:space="0" w:color="auto"/>
      </w:divBdr>
    </w:div>
    <w:div w:id="242450416">
      <w:bodyDiv w:val="1"/>
      <w:marLeft w:val="0"/>
      <w:marRight w:val="0"/>
      <w:marTop w:val="0"/>
      <w:marBottom w:val="0"/>
      <w:divBdr>
        <w:top w:val="none" w:sz="0" w:space="0" w:color="auto"/>
        <w:left w:val="none" w:sz="0" w:space="0" w:color="auto"/>
        <w:bottom w:val="none" w:sz="0" w:space="0" w:color="auto"/>
        <w:right w:val="none" w:sz="0" w:space="0" w:color="auto"/>
      </w:divBdr>
    </w:div>
    <w:div w:id="242492383">
      <w:bodyDiv w:val="1"/>
      <w:marLeft w:val="0"/>
      <w:marRight w:val="0"/>
      <w:marTop w:val="0"/>
      <w:marBottom w:val="0"/>
      <w:divBdr>
        <w:top w:val="none" w:sz="0" w:space="0" w:color="auto"/>
        <w:left w:val="none" w:sz="0" w:space="0" w:color="auto"/>
        <w:bottom w:val="none" w:sz="0" w:space="0" w:color="auto"/>
        <w:right w:val="none" w:sz="0" w:space="0" w:color="auto"/>
      </w:divBdr>
    </w:div>
    <w:div w:id="242571498">
      <w:bodyDiv w:val="1"/>
      <w:marLeft w:val="0"/>
      <w:marRight w:val="0"/>
      <w:marTop w:val="0"/>
      <w:marBottom w:val="0"/>
      <w:divBdr>
        <w:top w:val="none" w:sz="0" w:space="0" w:color="auto"/>
        <w:left w:val="none" w:sz="0" w:space="0" w:color="auto"/>
        <w:bottom w:val="none" w:sz="0" w:space="0" w:color="auto"/>
        <w:right w:val="none" w:sz="0" w:space="0" w:color="auto"/>
      </w:divBdr>
    </w:div>
    <w:div w:id="242615196">
      <w:bodyDiv w:val="1"/>
      <w:marLeft w:val="0"/>
      <w:marRight w:val="0"/>
      <w:marTop w:val="0"/>
      <w:marBottom w:val="0"/>
      <w:divBdr>
        <w:top w:val="none" w:sz="0" w:space="0" w:color="auto"/>
        <w:left w:val="none" w:sz="0" w:space="0" w:color="auto"/>
        <w:bottom w:val="none" w:sz="0" w:space="0" w:color="auto"/>
        <w:right w:val="none" w:sz="0" w:space="0" w:color="auto"/>
      </w:divBdr>
    </w:div>
    <w:div w:id="242641317">
      <w:bodyDiv w:val="1"/>
      <w:marLeft w:val="0"/>
      <w:marRight w:val="0"/>
      <w:marTop w:val="0"/>
      <w:marBottom w:val="0"/>
      <w:divBdr>
        <w:top w:val="none" w:sz="0" w:space="0" w:color="auto"/>
        <w:left w:val="none" w:sz="0" w:space="0" w:color="auto"/>
        <w:bottom w:val="none" w:sz="0" w:space="0" w:color="auto"/>
        <w:right w:val="none" w:sz="0" w:space="0" w:color="auto"/>
      </w:divBdr>
    </w:div>
    <w:div w:id="242642177">
      <w:bodyDiv w:val="1"/>
      <w:marLeft w:val="0"/>
      <w:marRight w:val="0"/>
      <w:marTop w:val="0"/>
      <w:marBottom w:val="0"/>
      <w:divBdr>
        <w:top w:val="none" w:sz="0" w:space="0" w:color="auto"/>
        <w:left w:val="none" w:sz="0" w:space="0" w:color="auto"/>
        <w:bottom w:val="none" w:sz="0" w:space="0" w:color="auto"/>
        <w:right w:val="none" w:sz="0" w:space="0" w:color="auto"/>
      </w:divBdr>
    </w:div>
    <w:div w:id="242643726">
      <w:bodyDiv w:val="1"/>
      <w:marLeft w:val="0"/>
      <w:marRight w:val="0"/>
      <w:marTop w:val="0"/>
      <w:marBottom w:val="0"/>
      <w:divBdr>
        <w:top w:val="none" w:sz="0" w:space="0" w:color="auto"/>
        <w:left w:val="none" w:sz="0" w:space="0" w:color="auto"/>
        <w:bottom w:val="none" w:sz="0" w:space="0" w:color="auto"/>
        <w:right w:val="none" w:sz="0" w:space="0" w:color="auto"/>
      </w:divBdr>
    </w:div>
    <w:div w:id="242688240">
      <w:bodyDiv w:val="1"/>
      <w:marLeft w:val="0"/>
      <w:marRight w:val="0"/>
      <w:marTop w:val="0"/>
      <w:marBottom w:val="0"/>
      <w:divBdr>
        <w:top w:val="none" w:sz="0" w:space="0" w:color="auto"/>
        <w:left w:val="none" w:sz="0" w:space="0" w:color="auto"/>
        <w:bottom w:val="none" w:sz="0" w:space="0" w:color="auto"/>
        <w:right w:val="none" w:sz="0" w:space="0" w:color="auto"/>
      </w:divBdr>
    </w:div>
    <w:div w:id="242689439">
      <w:bodyDiv w:val="1"/>
      <w:marLeft w:val="0"/>
      <w:marRight w:val="0"/>
      <w:marTop w:val="0"/>
      <w:marBottom w:val="0"/>
      <w:divBdr>
        <w:top w:val="none" w:sz="0" w:space="0" w:color="auto"/>
        <w:left w:val="none" w:sz="0" w:space="0" w:color="auto"/>
        <w:bottom w:val="none" w:sz="0" w:space="0" w:color="auto"/>
        <w:right w:val="none" w:sz="0" w:space="0" w:color="auto"/>
      </w:divBdr>
    </w:div>
    <w:div w:id="242757955">
      <w:bodyDiv w:val="1"/>
      <w:marLeft w:val="0"/>
      <w:marRight w:val="0"/>
      <w:marTop w:val="0"/>
      <w:marBottom w:val="0"/>
      <w:divBdr>
        <w:top w:val="none" w:sz="0" w:space="0" w:color="auto"/>
        <w:left w:val="none" w:sz="0" w:space="0" w:color="auto"/>
        <w:bottom w:val="none" w:sz="0" w:space="0" w:color="auto"/>
        <w:right w:val="none" w:sz="0" w:space="0" w:color="auto"/>
      </w:divBdr>
    </w:div>
    <w:div w:id="242758122">
      <w:bodyDiv w:val="1"/>
      <w:marLeft w:val="0"/>
      <w:marRight w:val="0"/>
      <w:marTop w:val="0"/>
      <w:marBottom w:val="0"/>
      <w:divBdr>
        <w:top w:val="none" w:sz="0" w:space="0" w:color="auto"/>
        <w:left w:val="none" w:sz="0" w:space="0" w:color="auto"/>
        <w:bottom w:val="none" w:sz="0" w:space="0" w:color="auto"/>
        <w:right w:val="none" w:sz="0" w:space="0" w:color="auto"/>
      </w:divBdr>
    </w:div>
    <w:div w:id="242763248">
      <w:bodyDiv w:val="1"/>
      <w:marLeft w:val="0"/>
      <w:marRight w:val="0"/>
      <w:marTop w:val="0"/>
      <w:marBottom w:val="0"/>
      <w:divBdr>
        <w:top w:val="none" w:sz="0" w:space="0" w:color="auto"/>
        <w:left w:val="none" w:sz="0" w:space="0" w:color="auto"/>
        <w:bottom w:val="none" w:sz="0" w:space="0" w:color="auto"/>
        <w:right w:val="none" w:sz="0" w:space="0" w:color="auto"/>
      </w:divBdr>
    </w:div>
    <w:div w:id="242841566">
      <w:bodyDiv w:val="1"/>
      <w:marLeft w:val="0"/>
      <w:marRight w:val="0"/>
      <w:marTop w:val="0"/>
      <w:marBottom w:val="0"/>
      <w:divBdr>
        <w:top w:val="none" w:sz="0" w:space="0" w:color="auto"/>
        <w:left w:val="none" w:sz="0" w:space="0" w:color="auto"/>
        <w:bottom w:val="none" w:sz="0" w:space="0" w:color="auto"/>
        <w:right w:val="none" w:sz="0" w:space="0" w:color="auto"/>
      </w:divBdr>
    </w:div>
    <w:div w:id="242957604">
      <w:bodyDiv w:val="1"/>
      <w:marLeft w:val="0"/>
      <w:marRight w:val="0"/>
      <w:marTop w:val="0"/>
      <w:marBottom w:val="0"/>
      <w:divBdr>
        <w:top w:val="none" w:sz="0" w:space="0" w:color="auto"/>
        <w:left w:val="none" w:sz="0" w:space="0" w:color="auto"/>
        <w:bottom w:val="none" w:sz="0" w:space="0" w:color="auto"/>
        <w:right w:val="none" w:sz="0" w:space="0" w:color="auto"/>
      </w:divBdr>
    </w:div>
    <w:div w:id="243027739">
      <w:bodyDiv w:val="1"/>
      <w:marLeft w:val="0"/>
      <w:marRight w:val="0"/>
      <w:marTop w:val="0"/>
      <w:marBottom w:val="0"/>
      <w:divBdr>
        <w:top w:val="none" w:sz="0" w:space="0" w:color="auto"/>
        <w:left w:val="none" w:sz="0" w:space="0" w:color="auto"/>
        <w:bottom w:val="none" w:sz="0" w:space="0" w:color="auto"/>
        <w:right w:val="none" w:sz="0" w:space="0" w:color="auto"/>
      </w:divBdr>
    </w:div>
    <w:div w:id="243034004">
      <w:bodyDiv w:val="1"/>
      <w:marLeft w:val="0"/>
      <w:marRight w:val="0"/>
      <w:marTop w:val="0"/>
      <w:marBottom w:val="0"/>
      <w:divBdr>
        <w:top w:val="none" w:sz="0" w:space="0" w:color="auto"/>
        <w:left w:val="none" w:sz="0" w:space="0" w:color="auto"/>
        <w:bottom w:val="none" w:sz="0" w:space="0" w:color="auto"/>
        <w:right w:val="none" w:sz="0" w:space="0" w:color="auto"/>
      </w:divBdr>
    </w:div>
    <w:div w:id="243225963">
      <w:bodyDiv w:val="1"/>
      <w:marLeft w:val="0"/>
      <w:marRight w:val="0"/>
      <w:marTop w:val="0"/>
      <w:marBottom w:val="0"/>
      <w:divBdr>
        <w:top w:val="none" w:sz="0" w:space="0" w:color="auto"/>
        <w:left w:val="none" w:sz="0" w:space="0" w:color="auto"/>
        <w:bottom w:val="none" w:sz="0" w:space="0" w:color="auto"/>
        <w:right w:val="none" w:sz="0" w:space="0" w:color="auto"/>
      </w:divBdr>
    </w:div>
    <w:div w:id="243419396">
      <w:bodyDiv w:val="1"/>
      <w:marLeft w:val="0"/>
      <w:marRight w:val="0"/>
      <w:marTop w:val="0"/>
      <w:marBottom w:val="0"/>
      <w:divBdr>
        <w:top w:val="none" w:sz="0" w:space="0" w:color="auto"/>
        <w:left w:val="none" w:sz="0" w:space="0" w:color="auto"/>
        <w:bottom w:val="none" w:sz="0" w:space="0" w:color="auto"/>
        <w:right w:val="none" w:sz="0" w:space="0" w:color="auto"/>
      </w:divBdr>
    </w:div>
    <w:div w:id="243492133">
      <w:bodyDiv w:val="1"/>
      <w:marLeft w:val="0"/>
      <w:marRight w:val="0"/>
      <w:marTop w:val="0"/>
      <w:marBottom w:val="0"/>
      <w:divBdr>
        <w:top w:val="none" w:sz="0" w:space="0" w:color="auto"/>
        <w:left w:val="none" w:sz="0" w:space="0" w:color="auto"/>
        <w:bottom w:val="none" w:sz="0" w:space="0" w:color="auto"/>
        <w:right w:val="none" w:sz="0" w:space="0" w:color="auto"/>
      </w:divBdr>
    </w:div>
    <w:div w:id="243538871">
      <w:bodyDiv w:val="1"/>
      <w:marLeft w:val="0"/>
      <w:marRight w:val="0"/>
      <w:marTop w:val="0"/>
      <w:marBottom w:val="0"/>
      <w:divBdr>
        <w:top w:val="none" w:sz="0" w:space="0" w:color="auto"/>
        <w:left w:val="none" w:sz="0" w:space="0" w:color="auto"/>
        <w:bottom w:val="none" w:sz="0" w:space="0" w:color="auto"/>
        <w:right w:val="none" w:sz="0" w:space="0" w:color="auto"/>
      </w:divBdr>
    </w:div>
    <w:div w:id="243608655">
      <w:bodyDiv w:val="1"/>
      <w:marLeft w:val="0"/>
      <w:marRight w:val="0"/>
      <w:marTop w:val="0"/>
      <w:marBottom w:val="0"/>
      <w:divBdr>
        <w:top w:val="none" w:sz="0" w:space="0" w:color="auto"/>
        <w:left w:val="none" w:sz="0" w:space="0" w:color="auto"/>
        <w:bottom w:val="none" w:sz="0" w:space="0" w:color="auto"/>
        <w:right w:val="none" w:sz="0" w:space="0" w:color="auto"/>
      </w:divBdr>
    </w:div>
    <w:div w:id="243609541">
      <w:bodyDiv w:val="1"/>
      <w:marLeft w:val="0"/>
      <w:marRight w:val="0"/>
      <w:marTop w:val="0"/>
      <w:marBottom w:val="0"/>
      <w:divBdr>
        <w:top w:val="none" w:sz="0" w:space="0" w:color="auto"/>
        <w:left w:val="none" w:sz="0" w:space="0" w:color="auto"/>
        <w:bottom w:val="none" w:sz="0" w:space="0" w:color="auto"/>
        <w:right w:val="none" w:sz="0" w:space="0" w:color="auto"/>
      </w:divBdr>
    </w:div>
    <w:div w:id="243689401">
      <w:bodyDiv w:val="1"/>
      <w:marLeft w:val="0"/>
      <w:marRight w:val="0"/>
      <w:marTop w:val="0"/>
      <w:marBottom w:val="0"/>
      <w:divBdr>
        <w:top w:val="none" w:sz="0" w:space="0" w:color="auto"/>
        <w:left w:val="none" w:sz="0" w:space="0" w:color="auto"/>
        <w:bottom w:val="none" w:sz="0" w:space="0" w:color="auto"/>
        <w:right w:val="none" w:sz="0" w:space="0" w:color="auto"/>
      </w:divBdr>
    </w:div>
    <w:div w:id="243801260">
      <w:bodyDiv w:val="1"/>
      <w:marLeft w:val="0"/>
      <w:marRight w:val="0"/>
      <w:marTop w:val="0"/>
      <w:marBottom w:val="0"/>
      <w:divBdr>
        <w:top w:val="none" w:sz="0" w:space="0" w:color="auto"/>
        <w:left w:val="none" w:sz="0" w:space="0" w:color="auto"/>
        <w:bottom w:val="none" w:sz="0" w:space="0" w:color="auto"/>
        <w:right w:val="none" w:sz="0" w:space="0" w:color="auto"/>
      </w:divBdr>
    </w:div>
    <w:div w:id="243876756">
      <w:bodyDiv w:val="1"/>
      <w:marLeft w:val="0"/>
      <w:marRight w:val="0"/>
      <w:marTop w:val="0"/>
      <w:marBottom w:val="0"/>
      <w:divBdr>
        <w:top w:val="none" w:sz="0" w:space="0" w:color="auto"/>
        <w:left w:val="none" w:sz="0" w:space="0" w:color="auto"/>
        <w:bottom w:val="none" w:sz="0" w:space="0" w:color="auto"/>
        <w:right w:val="none" w:sz="0" w:space="0" w:color="auto"/>
      </w:divBdr>
    </w:div>
    <w:div w:id="243878259">
      <w:bodyDiv w:val="1"/>
      <w:marLeft w:val="0"/>
      <w:marRight w:val="0"/>
      <w:marTop w:val="0"/>
      <w:marBottom w:val="0"/>
      <w:divBdr>
        <w:top w:val="none" w:sz="0" w:space="0" w:color="auto"/>
        <w:left w:val="none" w:sz="0" w:space="0" w:color="auto"/>
        <w:bottom w:val="none" w:sz="0" w:space="0" w:color="auto"/>
        <w:right w:val="none" w:sz="0" w:space="0" w:color="auto"/>
      </w:divBdr>
    </w:div>
    <w:div w:id="243881404">
      <w:bodyDiv w:val="1"/>
      <w:marLeft w:val="0"/>
      <w:marRight w:val="0"/>
      <w:marTop w:val="0"/>
      <w:marBottom w:val="0"/>
      <w:divBdr>
        <w:top w:val="none" w:sz="0" w:space="0" w:color="auto"/>
        <w:left w:val="none" w:sz="0" w:space="0" w:color="auto"/>
        <w:bottom w:val="none" w:sz="0" w:space="0" w:color="auto"/>
        <w:right w:val="none" w:sz="0" w:space="0" w:color="auto"/>
      </w:divBdr>
    </w:div>
    <w:div w:id="243950665">
      <w:bodyDiv w:val="1"/>
      <w:marLeft w:val="0"/>
      <w:marRight w:val="0"/>
      <w:marTop w:val="0"/>
      <w:marBottom w:val="0"/>
      <w:divBdr>
        <w:top w:val="none" w:sz="0" w:space="0" w:color="auto"/>
        <w:left w:val="none" w:sz="0" w:space="0" w:color="auto"/>
        <w:bottom w:val="none" w:sz="0" w:space="0" w:color="auto"/>
        <w:right w:val="none" w:sz="0" w:space="0" w:color="auto"/>
      </w:divBdr>
    </w:div>
    <w:div w:id="243953697">
      <w:bodyDiv w:val="1"/>
      <w:marLeft w:val="0"/>
      <w:marRight w:val="0"/>
      <w:marTop w:val="0"/>
      <w:marBottom w:val="0"/>
      <w:divBdr>
        <w:top w:val="none" w:sz="0" w:space="0" w:color="auto"/>
        <w:left w:val="none" w:sz="0" w:space="0" w:color="auto"/>
        <w:bottom w:val="none" w:sz="0" w:space="0" w:color="auto"/>
        <w:right w:val="none" w:sz="0" w:space="0" w:color="auto"/>
      </w:divBdr>
    </w:div>
    <w:div w:id="243993704">
      <w:bodyDiv w:val="1"/>
      <w:marLeft w:val="0"/>
      <w:marRight w:val="0"/>
      <w:marTop w:val="0"/>
      <w:marBottom w:val="0"/>
      <w:divBdr>
        <w:top w:val="none" w:sz="0" w:space="0" w:color="auto"/>
        <w:left w:val="none" w:sz="0" w:space="0" w:color="auto"/>
        <w:bottom w:val="none" w:sz="0" w:space="0" w:color="auto"/>
        <w:right w:val="none" w:sz="0" w:space="0" w:color="auto"/>
      </w:divBdr>
    </w:div>
    <w:div w:id="243994707">
      <w:bodyDiv w:val="1"/>
      <w:marLeft w:val="0"/>
      <w:marRight w:val="0"/>
      <w:marTop w:val="0"/>
      <w:marBottom w:val="0"/>
      <w:divBdr>
        <w:top w:val="none" w:sz="0" w:space="0" w:color="auto"/>
        <w:left w:val="none" w:sz="0" w:space="0" w:color="auto"/>
        <w:bottom w:val="none" w:sz="0" w:space="0" w:color="auto"/>
        <w:right w:val="none" w:sz="0" w:space="0" w:color="auto"/>
      </w:divBdr>
    </w:div>
    <w:div w:id="243996956">
      <w:bodyDiv w:val="1"/>
      <w:marLeft w:val="0"/>
      <w:marRight w:val="0"/>
      <w:marTop w:val="0"/>
      <w:marBottom w:val="0"/>
      <w:divBdr>
        <w:top w:val="none" w:sz="0" w:space="0" w:color="auto"/>
        <w:left w:val="none" w:sz="0" w:space="0" w:color="auto"/>
        <w:bottom w:val="none" w:sz="0" w:space="0" w:color="auto"/>
        <w:right w:val="none" w:sz="0" w:space="0" w:color="auto"/>
      </w:divBdr>
    </w:div>
    <w:div w:id="243997237">
      <w:bodyDiv w:val="1"/>
      <w:marLeft w:val="0"/>
      <w:marRight w:val="0"/>
      <w:marTop w:val="0"/>
      <w:marBottom w:val="0"/>
      <w:divBdr>
        <w:top w:val="none" w:sz="0" w:space="0" w:color="auto"/>
        <w:left w:val="none" w:sz="0" w:space="0" w:color="auto"/>
        <w:bottom w:val="none" w:sz="0" w:space="0" w:color="auto"/>
        <w:right w:val="none" w:sz="0" w:space="0" w:color="auto"/>
      </w:divBdr>
    </w:div>
    <w:div w:id="244069906">
      <w:bodyDiv w:val="1"/>
      <w:marLeft w:val="0"/>
      <w:marRight w:val="0"/>
      <w:marTop w:val="0"/>
      <w:marBottom w:val="0"/>
      <w:divBdr>
        <w:top w:val="none" w:sz="0" w:space="0" w:color="auto"/>
        <w:left w:val="none" w:sz="0" w:space="0" w:color="auto"/>
        <w:bottom w:val="none" w:sz="0" w:space="0" w:color="auto"/>
        <w:right w:val="none" w:sz="0" w:space="0" w:color="auto"/>
      </w:divBdr>
    </w:div>
    <w:div w:id="244072628">
      <w:bodyDiv w:val="1"/>
      <w:marLeft w:val="0"/>
      <w:marRight w:val="0"/>
      <w:marTop w:val="0"/>
      <w:marBottom w:val="0"/>
      <w:divBdr>
        <w:top w:val="none" w:sz="0" w:space="0" w:color="auto"/>
        <w:left w:val="none" w:sz="0" w:space="0" w:color="auto"/>
        <w:bottom w:val="none" w:sz="0" w:space="0" w:color="auto"/>
        <w:right w:val="none" w:sz="0" w:space="0" w:color="auto"/>
      </w:divBdr>
    </w:div>
    <w:div w:id="244076716">
      <w:bodyDiv w:val="1"/>
      <w:marLeft w:val="0"/>
      <w:marRight w:val="0"/>
      <w:marTop w:val="0"/>
      <w:marBottom w:val="0"/>
      <w:divBdr>
        <w:top w:val="none" w:sz="0" w:space="0" w:color="auto"/>
        <w:left w:val="none" w:sz="0" w:space="0" w:color="auto"/>
        <w:bottom w:val="none" w:sz="0" w:space="0" w:color="auto"/>
        <w:right w:val="none" w:sz="0" w:space="0" w:color="auto"/>
      </w:divBdr>
    </w:div>
    <w:div w:id="244147036">
      <w:bodyDiv w:val="1"/>
      <w:marLeft w:val="0"/>
      <w:marRight w:val="0"/>
      <w:marTop w:val="0"/>
      <w:marBottom w:val="0"/>
      <w:divBdr>
        <w:top w:val="none" w:sz="0" w:space="0" w:color="auto"/>
        <w:left w:val="none" w:sz="0" w:space="0" w:color="auto"/>
        <w:bottom w:val="none" w:sz="0" w:space="0" w:color="auto"/>
        <w:right w:val="none" w:sz="0" w:space="0" w:color="auto"/>
      </w:divBdr>
    </w:div>
    <w:div w:id="244262761">
      <w:bodyDiv w:val="1"/>
      <w:marLeft w:val="0"/>
      <w:marRight w:val="0"/>
      <w:marTop w:val="0"/>
      <w:marBottom w:val="0"/>
      <w:divBdr>
        <w:top w:val="none" w:sz="0" w:space="0" w:color="auto"/>
        <w:left w:val="none" w:sz="0" w:space="0" w:color="auto"/>
        <w:bottom w:val="none" w:sz="0" w:space="0" w:color="auto"/>
        <w:right w:val="none" w:sz="0" w:space="0" w:color="auto"/>
      </w:divBdr>
    </w:div>
    <w:div w:id="244265396">
      <w:bodyDiv w:val="1"/>
      <w:marLeft w:val="0"/>
      <w:marRight w:val="0"/>
      <w:marTop w:val="0"/>
      <w:marBottom w:val="0"/>
      <w:divBdr>
        <w:top w:val="none" w:sz="0" w:space="0" w:color="auto"/>
        <w:left w:val="none" w:sz="0" w:space="0" w:color="auto"/>
        <w:bottom w:val="none" w:sz="0" w:space="0" w:color="auto"/>
        <w:right w:val="none" w:sz="0" w:space="0" w:color="auto"/>
      </w:divBdr>
    </w:div>
    <w:div w:id="244338859">
      <w:bodyDiv w:val="1"/>
      <w:marLeft w:val="0"/>
      <w:marRight w:val="0"/>
      <w:marTop w:val="0"/>
      <w:marBottom w:val="0"/>
      <w:divBdr>
        <w:top w:val="none" w:sz="0" w:space="0" w:color="auto"/>
        <w:left w:val="none" w:sz="0" w:space="0" w:color="auto"/>
        <w:bottom w:val="none" w:sz="0" w:space="0" w:color="auto"/>
        <w:right w:val="none" w:sz="0" w:space="0" w:color="auto"/>
      </w:divBdr>
    </w:div>
    <w:div w:id="244649134">
      <w:bodyDiv w:val="1"/>
      <w:marLeft w:val="0"/>
      <w:marRight w:val="0"/>
      <w:marTop w:val="0"/>
      <w:marBottom w:val="0"/>
      <w:divBdr>
        <w:top w:val="none" w:sz="0" w:space="0" w:color="auto"/>
        <w:left w:val="none" w:sz="0" w:space="0" w:color="auto"/>
        <w:bottom w:val="none" w:sz="0" w:space="0" w:color="auto"/>
        <w:right w:val="none" w:sz="0" w:space="0" w:color="auto"/>
      </w:divBdr>
    </w:div>
    <w:div w:id="244652282">
      <w:bodyDiv w:val="1"/>
      <w:marLeft w:val="0"/>
      <w:marRight w:val="0"/>
      <w:marTop w:val="0"/>
      <w:marBottom w:val="0"/>
      <w:divBdr>
        <w:top w:val="none" w:sz="0" w:space="0" w:color="auto"/>
        <w:left w:val="none" w:sz="0" w:space="0" w:color="auto"/>
        <w:bottom w:val="none" w:sz="0" w:space="0" w:color="auto"/>
        <w:right w:val="none" w:sz="0" w:space="0" w:color="auto"/>
      </w:divBdr>
    </w:div>
    <w:div w:id="244652621">
      <w:bodyDiv w:val="1"/>
      <w:marLeft w:val="0"/>
      <w:marRight w:val="0"/>
      <w:marTop w:val="0"/>
      <w:marBottom w:val="0"/>
      <w:divBdr>
        <w:top w:val="none" w:sz="0" w:space="0" w:color="auto"/>
        <w:left w:val="none" w:sz="0" w:space="0" w:color="auto"/>
        <w:bottom w:val="none" w:sz="0" w:space="0" w:color="auto"/>
        <w:right w:val="none" w:sz="0" w:space="0" w:color="auto"/>
      </w:divBdr>
    </w:div>
    <w:div w:id="244654619">
      <w:bodyDiv w:val="1"/>
      <w:marLeft w:val="0"/>
      <w:marRight w:val="0"/>
      <w:marTop w:val="0"/>
      <w:marBottom w:val="0"/>
      <w:divBdr>
        <w:top w:val="none" w:sz="0" w:space="0" w:color="auto"/>
        <w:left w:val="none" w:sz="0" w:space="0" w:color="auto"/>
        <w:bottom w:val="none" w:sz="0" w:space="0" w:color="auto"/>
        <w:right w:val="none" w:sz="0" w:space="0" w:color="auto"/>
      </w:divBdr>
    </w:div>
    <w:div w:id="244850663">
      <w:bodyDiv w:val="1"/>
      <w:marLeft w:val="0"/>
      <w:marRight w:val="0"/>
      <w:marTop w:val="0"/>
      <w:marBottom w:val="0"/>
      <w:divBdr>
        <w:top w:val="none" w:sz="0" w:space="0" w:color="auto"/>
        <w:left w:val="none" w:sz="0" w:space="0" w:color="auto"/>
        <w:bottom w:val="none" w:sz="0" w:space="0" w:color="auto"/>
        <w:right w:val="none" w:sz="0" w:space="0" w:color="auto"/>
      </w:divBdr>
    </w:div>
    <w:div w:id="244918334">
      <w:bodyDiv w:val="1"/>
      <w:marLeft w:val="0"/>
      <w:marRight w:val="0"/>
      <w:marTop w:val="0"/>
      <w:marBottom w:val="0"/>
      <w:divBdr>
        <w:top w:val="none" w:sz="0" w:space="0" w:color="auto"/>
        <w:left w:val="none" w:sz="0" w:space="0" w:color="auto"/>
        <w:bottom w:val="none" w:sz="0" w:space="0" w:color="auto"/>
        <w:right w:val="none" w:sz="0" w:space="0" w:color="auto"/>
      </w:divBdr>
    </w:div>
    <w:div w:id="245043548">
      <w:bodyDiv w:val="1"/>
      <w:marLeft w:val="0"/>
      <w:marRight w:val="0"/>
      <w:marTop w:val="0"/>
      <w:marBottom w:val="0"/>
      <w:divBdr>
        <w:top w:val="none" w:sz="0" w:space="0" w:color="auto"/>
        <w:left w:val="none" w:sz="0" w:space="0" w:color="auto"/>
        <w:bottom w:val="none" w:sz="0" w:space="0" w:color="auto"/>
        <w:right w:val="none" w:sz="0" w:space="0" w:color="auto"/>
      </w:divBdr>
    </w:div>
    <w:div w:id="245185757">
      <w:bodyDiv w:val="1"/>
      <w:marLeft w:val="0"/>
      <w:marRight w:val="0"/>
      <w:marTop w:val="0"/>
      <w:marBottom w:val="0"/>
      <w:divBdr>
        <w:top w:val="none" w:sz="0" w:space="0" w:color="auto"/>
        <w:left w:val="none" w:sz="0" w:space="0" w:color="auto"/>
        <w:bottom w:val="none" w:sz="0" w:space="0" w:color="auto"/>
        <w:right w:val="none" w:sz="0" w:space="0" w:color="auto"/>
      </w:divBdr>
    </w:div>
    <w:div w:id="245193394">
      <w:bodyDiv w:val="1"/>
      <w:marLeft w:val="0"/>
      <w:marRight w:val="0"/>
      <w:marTop w:val="0"/>
      <w:marBottom w:val="0"/>
      <w:divBdr>
        <w:top w:val="none" w:sz="0" w:space="0" w:color="auto"/>
        <w:left w:val="none" w:sz="0" w:space="0" w:color="auto"/>
        <w:bottom w:val="none" w:sz="0" w:space="0" w:color="auto"/>
        <w:right w:val="none" w:sz="0" w:space="0" w:color="auto"/>
      </w:divBdr>
    </w:div>
    <w:div w:id="245267749">
      <w:bodyDiv w:val="1"/>
      <w:marLeft w:val="0"/>
      <w:marRight w:val="0"/>
      <w:marTop w:val="0"/>
      <w:marBottom w:val="0"/>
      <w:divBdr>
        <w:top w:val="none" w:sz="0" w:space="0" w:color="auto"/>
        <w:left w:val="none" w:sz="0" w:space="0" w:color="auto"/>
        <w:bottom w:val="none" w:sz="0" w:space="0" w:color="auto"/>
        <w:right w:val="none" w:sz="0" w:space="0" w:color="auto"/>
      </w:divBdr>
    </w:div>
    <w:div w:id="245308687">
      <w:bodyDiv w:val="1"/>
      <w:marLeft w:val="0"/>
      <w:marRight w:val="0"/>
      <w:marTop w:val="0"/>
      <w:marBottom w:val="0"/>
      <w:divBdr>
        <w:top w:val="none" w:sz="0" w:space="0" w:color="auto"/>
        <w:left w:val="none" w:sz="0" w:space="0" w:color="auto"/>
        <w:bottom w:val="none" w:sz="0" w:space="0" w:color="auto"/>
        <w:right w:val="none" w:sz="0" w:space="0" w:color="auto"/>
      </w:divBdr>
    </w:div>
    <w:div w:id="245309099">
      <w:bodyDiv w:val="1"/>
      <w:marLeft w:val="0"/>
      <w:marRight w:val="0"/>
      <w:marTop w:val="0"/>
      <w:marBottom w:val="0"/>
      <w:divBdr>
        <w:top w:val="none" w:sz="0" w:space="0" w:color="auto"/>
        <w:left w:val="none" w:sz="0" w:space="0" w:color="auto"/>
        <w:bottom w:val="none" w:sz="0" w:space="0" w:color="auto"/>
        <w:right w:val="none" w:sz="0" w:space="0" w:color="auto"/>
      </w:divBdr>
    </w:div>
    <w:div w:id="245309540">
      <w:bodyDiv w:val="1"/>
      <w:marLeft w:val="0"/>
      <w:marRight w:val="0"/>
      <w:marTop w:val="0"/>
      <w:marBottom w:val="0"/>
      <w:divBdr>
        <w:top w:val="none" w:sz="0" w:space="0" w:color="auto"/>
        <w:left w:val="none" w:sz="0" w:space="0" w:color="auto"/>
        <w:bottom w:val="none" w:sz="0" w:space="0" w:color="auto"/>
        <w:right w:val="none" w:sz="0" w:space="0" w:color="auto"/>
      </w:divBdr>
    </w:div>
    <w:div w:id="245384552">
      <w:bodyDiv w:val="1"/>
      <w:marLeft w:val="0"/>
      <w:marRight w:val="0"/>
      <w:marTop w:val="0"/>
      <w:marBottom w:val="0"/>
      <w:divBdr>
        <w:top w:val="none" w:sz="0" w:space="0" w:color="auto"/>
        <w:left w:val="none" w:sz="0" w:space="0" w:color="auto"/>
        <w:bottom w:val="none" w:sz="0" w:space="0" w:color="auto"/>
        <w:right w:val="none" w:sz="0" w:space="0" w:color="auto"/>
      </w:divBdr>
    </w:div>
    <w:div w:id="245650831">
      <w:bodyDiv w:val="1"/>
      <w:marLeft w:val="0"/>
      <w:marRight w:val="0"/>
      <w:marTop w:val="0"/>
      <w:marBottom w:val="0"/>
      <w:divBdr>
        <w:top w:val="none" w:sz="0" w:space="0" w:color="auto"/>
        <w:left w:val="none" w:sz="0" w:space="0" w:color="auto"/>
        <w:bottom w:val="none" w:sz="0" w:space="0" w:color="auto"/>
        <w:right w:val="none" w:sz="0" w:space="0" w:color="auto"/>
      </w:divBdr>
    </w:div>
    <w:div w:id="245696606">
      <w:bodyDiv w:val="1"/>
      <w:marLeft w:val="0"/>
      <w:marRight w:val="0"/>
      <w:marTop w:val="0"/>
      <w:marBottom w:val="0"/>
      <w:divBdr>
        <w:top w:val="none" w:sz="0" w:space="0" w:color="auto"/>
        <w:left w:val="none" w:sz="0" w:space="0" w:color="auto"/>
        <w:bottom w:val="none" w:sz="0" w:space="0" w:color="auto"/>
        <w:right w:val="none" w:sz="0" w:space="0" w:color="auto"/>
      </w:divBdr>
    </w:div>
    <w:div w:id="245725825">
      <w:bodyDiv w:val="1"/>
      <w:marLeft w:val="0"/>
      <w:marRight w:val="0"/>
      <w:marTop w:val="0"/>
      <w:marBottom w:val="0"/>
      <w:divBdr>
        <w:top w:val="none" w:sz="0" w:space="0" w:color="auto"/>
        <w:left w:val="none" w:sz="0" w:space="0" w:color="auto"/>
        <w:bottom w:val="none" w:sz="0" w:space="0" w:color="auto"/>
        <w:right w:val="none" w:sz="0" w:space="0" w:color="auto"/>
      </w:divBdr>
    </w:div>
    <w:div w:id="245773533">
      <w:bodyDiv w:val="1"/>
      <w:marLeft w:val="0"/>
      <w:marRight w:val="0"/>
      <w:marTop w:val="0"/>
      <w:marBottom w:val="0"/>
      <w:divBdr>
        <w:top w:val="none" w:sz="0" w:space="0" w:color="auto"/>
        <w:left w:val="none" w:sz="0" w:space="0" w:color="auto"/>
        <w:bottom w:val="none" w:sz="0" w:space="0" w:color="auto"/>
        <w:right w:val="none" w:sz="0" w:space="0" w:color="auto"/>
      </w:divBdr>
    </w:div>
    <w:div w:id="245847311">
      <w:bodyDiv w:val="1"/>
      <w:marLeft w:val="0"/>
      <w:marRight w:val="0"/>
      <w:marTop w:val="0"/>
      <w:marBottom w:val="0"/>
      <w:divBdr>
        <w:top w:val="none" w:sz="0" w:space="0" w:color="auto"/>
        <w:left w:val="none" w:sz="0" w:space="0" w:color="auto"/>
        <w:bottom w:val="none" w:sz="0" w:space="0" w:color="auto"/>
        <w:right w:val="none" w:sz="0" w:space="0" w:color="auto"/>
      </w:divBdr>
    </w:div>
    <w:div w:id="245917610">
      <w:bodyDiv w:val="1"/>
      <w:marLeft w:val="0"/>
      <w:marRight w:val="0"/>
      <w:marTop w:val="0"/>
      <w:marBottom w:val="0"/>
      <w:divBdr>
        <w:top w:val="none" w:sz="0" w:space="0" w:color="auto"/>
        <w:left w:val="none" w:sz="0" w:space="0" w:color="auto"/>
        <w:bottom w:val="none" w:sz="0" w:space="0" w:color="auto"/>
        <w:right w:val="none" w:sz="0" w:space="0" w:color="auto"/>
      </w:divBdr>
    </w:div>
    <w:div w:id="246034568">
      <w:bodyDiv w:val="1"/>
      <w:marLeft w:val="0"/>
      <w:marRight w:val="0"/>
      <w:marTop w:val="0"/>
      <w:marBottom w:val="0"/>
      <w:divBdr>
        <w:top w:val="none" w:sz="0" w:space="0" w:color="auto"/>
        <w:left w:val="none" w:sz="0" w:space="0" w:color="auto"/>
        <w:bottom w:val="none" w:sz="0" w:space="0" w:color="auto"/>
        <w:right w:val="none" w:sz="0" w:space="0" w:color="auto"/>
      </w:divBdr>
    </w:div>
    <w:div w:id="246039662">
      <w:bodyDiv w:val="1"/>
      <w:marLeft w:val="0"/>
      <w:marRight w:val="0"/>
      <w:marTop w:val="0"/>
      <w:marBottom w:val="0"/>
      <w:divBdr>
        <w:top w:val="none" w:sz="0" w:space="0" w:color="auto"/>
        <w:left w:val="none" w:sz="0" w:space="0" w:color="auto"/>
        <w:bottom w:val="none" w:sz="0" w:space="0" w:color="auto"/>
        <w:right w:val="none" w:sz="0" w:space="0" w:color="auto"/>
      </w:divBdr>
    </w:div>
    <w:div w:id="246042048">
      <w:bodyDiv w:val="1"/>
      <w:marLeft w:val="0"/>
      <w:marRight w:val="0"/>
      <w:marTop w:val="0"/>
      <w:marBottom w:val="0"/>
      <w:divBdr>
        <w:top w:val="none" w:sz="0" w:space="0" w:color="auto"/>
        <w:left w:val="none" w:sz="0" w:space="0" w:color="auto"/>
        <w:bottom w:val="none" w:sz="0" w:space="0" w:color="auto"/>
        <w:right w:val="none" w:sz="0" w:space="0" w:color="auto"/>
      </w:divBdr>
    </w:div>
    <w:div w:id="246109847">
      <w:bodyDiv w:val="1"/>
      <w:marLeft w:val="0"/>
      <w:marRight w:val="0"/>
      <w:marTop w:val="0"/>
      <w:marBottom w:val="0"/>
      <w:divBdr>
        <w:top w:val="none" w:sz="0" w:space="0" w:color="auto"/>
        <w:left w:val="none" w:sz="0" w:space="0" w:color="auto"/>
        <w:bottom w:val="none" w:sz="0" w:space="0" w:color="auto"/>
        <w:right w:val="none" w:sz="0" w:space="0" w:color="auto"/>
      </w:divBdr>
    </w:div>
    <w:div w:id="246110737">
      <w:bodyDiv w:val="1"/>
      <w:marLeft w:val="0"/>
      <w:marRight w:val="0"/>
      <w:marTop w:val="0"/>
      <w:marBottom w:val="0"/>
      <w:divBdr>
        <w:top w:val="none" w:sz="0" w:space="0" w:color="auto"/>
        <w:left w:val="none" w:sz="0" w:space="0" w:color="auto"/>
        <w:bottom w:val="none" w:sz="0" w:space="0" w:color="auto"/>
        <w:right w:val="none" w:sz="0" w:space="0" w:color="auto"/>
      </w:divBdr>
    </w:div>
    <w:div w:id="246111991">
      <w:bodyDiv w:val="1"/>
      <w:marLeft w:val="0"/>
      <w:marRight w:val="0"/>
      <w:marTop w:val="0"/>
      <w:marBottom w:val="0"/>
      <w:divBdr>
        <w:top w:val="none" w:sz="0" w:space="0" w:color="auto"/>
        <w:left w:val="none" w:sz="0" w:space="0" w:color="auto"/>
        <w:bottom w:val="none" w:sz="0" w:space="0" w:color="auto"/>
        <w:right w:val="none" w:sz="0" w:space="0" w:color="auto"/>
      </w:divBdr>
    </w:div>
    <w:div w:id="246114050">
      <w:bodyDiv w:val="1"/>
      <w:marLeft w:val="0"/>
      <w:marRight w:val="0"/>
      <w:marTop w:val="0"/>
      <w:marBottom w:val="0"/>
      <w:divBdr>
        <w:top w:val="none" w:sz="0" w:space="0" w:color="auto"/>
        <w:left w:val="none" w:sz="0" w:space="0" w:color="auto"/>
        <w:bottom w:val="none" w:sz="0" w:space="0" w:color="auto"/>
        <w:right w:val="none" w:sz="0" w:space="0" w:color="auto"/>
      </w:divBdr>
    </w:div>
    <w:div w:id="246156970">
      <w:bodyDiv w:val="1"/>
      <w:marLeft w:val="0"/>
      <w:marRight w:val="0"/>
      <w:marTop w:val="0"/>
      <w:marBottom w:val="0"/>
      <w:divBdr>
        <w:top w:val="none" w:sz="0" w:space="0" w:color="auto"/>
        <w:left w:val="none" w:sz="0" w:space="0" w:color="auto"/>
        <w:bottom w:val="none" w:sz="0" w:space="0" w:color="auto"/>
        <w:right w:val="none" w:sz="0" w:space="0" w:color="auto"/>
      </w:divBdr>
    </w:div>
    <w:div w:id="246158247">
      <w:bodyDiv w:val="1"/>
      <w:marLeft w:val="0"/>
      <w:marRight w:val="0"/>
      <w:marTop w:val="0"/>
      <w:marBottom w:val="0"/>
      <w:divBdr>
        <w:top w:val="none" w:sz="0" w:space="0" w:color="auto"/>
        <w:left w:val="none" w:sz="0" w:space="0" w:color="auto"/>
        <w:bottom w:val="none" w:sz="0" w:space="0" w:color="auto"/>
        <w:right w:val="none" w:sz="0" w:space="0" w:color="auto"/>
      </w:divBdr>
    </w:div>
    <w:div w:id="246304412">
      <w:bodyDiv w:val="1"/>
      <w:marLeft w:val="0"/>
      <w:marRight w:val="0"/>
      <w:marTop w:val="0"/>
      <w:marBottom w:val="0"/>
      <w:divBdr>
        <w:top w:val="none" w:sz="0" w:space="0" w:color="auto"/>
        <w:left w:val="none" w:sz="0" w:space="0" w:color="auto"/>
        <w:bottom w:val="none" w:sz="0" w:space="0" w:color="auto"/>
        <w:right w:val="none" w:sz="0" w:space="0" w:color="auto"/>
      </w:divBdr>
    </w:div>
    <w:div w:id="246312044">
      <w:bodyDiv w:val="1"/>
      <w:marLeft w:val="0"/>
      <w:marRight w:val="0"/>
      <w:marTop w:val="0"/>
      <w:marBottom w:val="0"/>
      <w:divBdr>
        <w:top w:val="none" w:sz="0" w:space="0" w:color="auto"/>
        <w:left w:val="none" w:sz="0" w:space="0" w:color="auto"/>
        <w:bottom w:val="none" w:sz="0" w:space="0" w:color="auto"/>
        <w:right w:val="none" w:sz="0" w:space="0" w:color="auto"/>
      </w:divBdr>
    </w:div>
    <w:div w:id="246692729">
      <w:bodyDiv w:val="1"/>
      <w:marLeft w:val="0"/>
      <w:marRight w:val="0"/>
      <w:marTop w:val="0"/>
      <w:marBottom w:val="0"/>
      <w:divBdr>
        <w:top w:val="none" w:sz="0" w:space="0" w:color="auto"/>
        <w:left w:val="none" w:sz="0" w:space="0" w:color="auto"/>
        <w:bottom w:val="none" w:sz="0" w:space="0" w:color="auto"/>
        <w:right w:val="none" w:sz="0" w:space="0" w:color="auto"/>
      </w:divBdr>
    </w:div>
    <w:div w:id="246765336">
      <w:bodyDiv w:val="1"/>
      <w:marLeft w:val="0"/>
      <w:marRight w:val="0"/>
      <w:marTop w:val="0"/>
      <w:marBottom w:val="0"/>
      <w:divBdr>
        <w:top w:val="none" w:sz="0" w:space="0" w:color="auto"/>
        <w:left w:val="none" w:sz="0" w:space="0" w:color="auto"/>
        <w:bottom w:val="none" w:sz="0" w:space="0" w:color="auto"/>
        <w:right w:val="none" w:sz="0" w:space="0" w:color="auto"/>
      </w:divBdr>
    </w:div>
    <w:div w:id="246770031">
      <w:bodyDiv w:val="1"/>
      <w:marLeft w:val="0"/>
      <w:marRight w:val="0"/>
      <w:marTop w:val="0"/>
      <w:marBottom w:val="0"/>
      <w:divBdr>
        <w:top w:val="none" w:sz="0" w:space="0" w:color="auto"/>
        <w:left w:val="none" w:sz="0" w:space="0" w:color="auto"/>
        <w:bottom w:val="none" w:sz="0" w:space="0" w:color="auto"/>
        <w:right w:val="none" w:sz="0" w:space="0" w:color="auto"/>
      </w:divBdr>
    </w:div>
    <w:div w:id="246812832">
      <w:bodyDiv w:val="1"/>
      <w:marLeft w:val="0"/>
      <w:marRight w:val="0"/>
      <w:marTop w:val="0"/>
      <w:marBottom w:val="0"/>
      <w:divBdr>
        <w:top w:val="none" w:sz="0" w:space="0" w:color="auto"/>
        <w:left w:val="none" w:sz="0" w:space="0" w:color="auto"/>
        <w:bottom w:val="none" w:sz="0" w:space="0" w:color="auto"/>
        <w:right w:val="none" w:sz="0" w:space="0" w:color="auto"/>
      </w:divBdr>
    </w:div>
    <w:div w:id="246958325">
      <w:bodyDiv w:val="1"/>
      <w:marLeft w:val="0"/>
      <w:marRight w:val="0"/>
      <w:marTop w:val="0"/>
      <w:marBottom w:val="0"/>
      <w:divBdr>
        <w:top w:val="none" w:sz="0" w:space="0" w:color="auto"/>
        <w:left w:val="none" w:sz="0" w:space="0" w:color="auto"/>
        <w:bottom w:val="none" w:sz="0" w:space="0" w:color="auto"/>
        <w:right w:val="none" w:sz="0" w:space="0" w:color="auto"/>
      </w:divBdr>
    </w:div>
    <w:div w:id="246958926">
      <w:bodyDiv w:val="1"/>
      <w:marLeft w:val="0"/>
      <w:marRight w:val="0"/>
      <w:marTop w:val="0"/>
      <w:marBottom w:val="0"/>
      <w:divBdr>
        <w:top w:val="none" w:sz="0" w:space="0" w:color="auto"/>
        <w:left w:val="none" w:sz="0" w:space="0" w:color="auto"/>
        <w:bottom w:val="none" w:sz="0" w:space="0" w:color="auto"/>
        <w:right w:val="none" w:sz="0" w:space="0" w:color="auto"/>
      </w:divBdr>
    </w:div>
    <w:div w:id="247035755">
      <w:bodyDiv w:val="1"/>
      <w:marLeft w:val="0"/>
      <w:marRight w:val="0"/>
      <w:marTop w:val="0"/>
      <w:marBottom w:val="0"/>
      <w:divBdr>
        <w:top w:val="none" w:sz="0" w:space="0" w:color="auto"/>
        <w:left w:val="none" w:sz="0" w:space="0" w:color="auto"/>
        <w:bottom w:val="none" w:sz="0" w:space="0" w:color="auto"/>
        <w:right w:val="none" w:sz="0" w:space="0" w:color="auto"/>
      </w:divBdr>
    </w:div>
    <w:div w:id="247083111">
      <w:bodyDiv w:val="1"/>
      <w:marLeft w:val="0"/>
      <w:marRight w:val="0"/>
      <w:marTop w:val="0"/>
      <w:marBottom w:val="0"/>
      <w:divBdr>
        <w:top w:val="none" w:sz="0" w:space="0" w:color="auto"/>
        <w:left w:val="none" w:sz="0" w:space="0" w:color="auto"/>
        <w:bottom w:val="none" w:sz="0" w:space="0" w:color="auto"/>
        <w:right w:val="none" w:sz="0" w:space="0" w:color="auto"/>
      </w:divBdr>
    </w:div>
    <w:div w:id="247153079">
      <w:bodyDiv w:val="1"/>
      <w:marLeft w:val="0"/>
      <w:marRight w:val="0"/>
      <w:marTop w:val="0"/>
      <w:marBottom w:val="0"/>
      <w:divBdr>
        <w:top w:val="none" w:sz="0" w:space="0" w:color="auto"/>
        <w:left w:val="none" w:sz="0" w:space="0" w:color="auto"/>
        <w:bottom w:val="none" w:sz="0" w:space="0" w:color="auto"/>
        <w:right w:val="none" w:sz="0" w:space="0" w:color="auto"/>
      </w:divBdr>
    </w:div>
    <w:div w:id="247202911">
      <w:bodyDiv w:val="1"/>
      <w:marLeft w:val="0"/>
      <w:marRight w:val="0"/>
      <w:marTop w:val="0"/>
      <w:marBottom w:val="0"/>
      <w:divBdr>
        <w:top w:val="none" w:sz="0" w:space="0" w:color="auto"/>
        <w:left w:val="none" w:sz="0" w:space="0" w:color="auto"/>
        <w:bottom w:val="none" w:sz="0" w:space="0" w:color="auto"/>
        <w:right w:val="none" w:sz="0" w:space="0" w:color="auto"/>
      </w:divBdr>
    </w:div>
    <w:div w:id="247273913">
      <w:bodyDiv w:val="1"/>
      <w:marLeft w:val="0"/>
      <w:marRight w:val="0"/>
      <w:marTop w:val="0"/>
      <w:marBottom w:val="0"/>
      <w:divBdr>
        <w:top w:val="none" w:sz="0" w:space="0" w:color="auto"/>
        <w:left w:val="none" w:sz="0" w:space="0" w:color="auto"/>
        <w:bottom w:val="none" w:sz="0" w:space="0" w:color="auto"/>
        <w:right w:val="none" w:sz="0" w:space="0" w:color="auto"/>
      </w:divBdr>
    </w:div>
    <w:div w:id="247278088">
      <w:bodyDiv w:val="1"/>
      <w:marLeft w:val="0"/>
      <w:marRight w:val="0"/>
      <w:marTop w:val="0"/>
      <w:marBottom w:val="0"/>
      <w:divBdr>
        <w:top w:val="none" w:sz="0" w:space="0" w:color="auto"/>
        <w:left w:val="none" w:sz="0" w:space="0" w:color="auto"/>
        <w:bottom w:val="none" w:sz="0" w:space="0" w:color="auto"/>
        <w:right w:val="none" w:sz="0" w:space="0" w:color="auto"/>
      </w:divBdr>
    </w:div>
    <w:div w:id="247425500">
      <w:bodyDiv w:val="1"/>
      <w:marLeft w:val="0"/>
      <w:marRight w:val="0"/>
      <w:marTop w:val="0"/>
      <w:marBottom w:val="0"/>
      <w:divBdr>
        <w:top w:val="none" w:sz="0" w:space="0" w:color="auto"/>
        <w:left w:val="none" w:sz="0" w:space="0" w:color="auto"/>
        <w:bottom w:val="none" w:sz="0" w:space="0" w:color="auto"/>
        <w:right w:val="none" w:sz="0" w:space="0" w:color="auto"/>
      </w:divBdr>
    </w:div>
    <w:div w:id="247466158">
      <w:bodyDiv w:val="1"/>
      <w:marLeft w:val="0"/>
      <w:marRight w:val="0"/>
      <w:marTop w:val="0"/>
      <w:marBottom w:val="0"/>
      <w:divBdr>
        <w:top w:val="none" w:sz="0" w:space="0" w:color="auto"/>
        <w:left w:val="none" w:sz="0" w:space="0" w:color="auto"/>
        <w:bottom w:val="none" w:sz="0" w:space="0" w:color="auto"/>
        <w:right w:val="none" w:sz="0" w:space="0" w:color="auto"/>
      </w:divBdr>
    </w:div>
    <w:div w:id="247467082">
      <w:bodyDiv w:val="1"/>
      <w:marLeft w:val="0"/>
      <w:marRight w:val="0"/>
      <w:marTop w:val="0"/>
      <w:marBottom w:val="0"/>
      <w:divBdr>
        <w:top w:val="none" w:sz="0" w:space="0" w:color="auto"/>
        <w:left w:val="none" w:sz="0" w:space="0" w:color="auto"/>
        <w:bottom w:val="none" w:sz="0" w:space="0" w:color="auto"/>
        <w:right w:val="none" w:sz="0" w:space="0" w:color="auto"/>
      </w:divBdr>
    </w:div>
    <w:div w:id="247467648">
      <w:bodyDiv w:val="1"/>
      <w:marLeft w:val="0"/>
      <w:marRight w:val="0"/>
      <w:marTop w:val="0"/>
      <w:marBottom w:val="0"/>
      <w:divBdr>
        <w:top w:val="none" w:sz="0" w:space="0" w:color="auto"/>
        <w:left w:val="none" w:sz="0" w:space="0" w:color="auto"/>
        <w:bottom w:val="none" w:sz="0" w:space="0" w:color="auto"/>
        <w:right w:val="none" w:sz="0" w:space="0" w:color="auto"/>
      </w:divBdr>
    </w:div>
    <w:div w:id="247613967">
      <w:bodyDiv w:val="1"/>
      <w:marLeft w:val="0"/>
      <w:marRight w:val="0"/>
      <w:marTop w:val="0"/>
      <w:marBottom w:val="0"/>
      <w:divBdr>
        <w:top w:val="none" w:sz="0" w:space="0" w:color="auto"/>
        <w:left w:val="none" w:sz="0" w:space="0" w:color="auto"/>
        <w:bottom w:val="none" w:sz="0" w:space="0" w:color="auto"/>
        <w:right w:val="none" w:sz="0" w:space="0" w:color="auto"/>
      </w:divBdr>
    </w:div>
    <w:div w:id="247616761">
      <w:bodyDiv w:val="1"/>
      <w:marLeft w:val="0"/>
      <w:marRight w:val="0"/>
      <w:marTop w:val="0"/>
      <w:marBottom w:val="0"/>
      <w:divBdr>
        <w:top w:val="none" w:sz="0" w:space="0" w:color="auto"/>
        <w:left w:val="none" w:sz="0" w:space="0" w:color="auto"/>
        <w:bottom w:val="none" w:sz="0" w:space="0" w:color="auto"/>
        <w:right w:val="none" w:sz="0" w:space="0" w:color="auto"/>
      </w:divBdr>
    </w:div>
    <w:div w:id="247620239">
      <w:bodyDiv w:val="1"/>
      <w:marLeft w:val="0"/>
      <w:marRight w:val="0"/>
      <w:marTop w:val="0"/>
      <w:marBottom w:val="0"/>
      <w:divBdr>
        <w:top w:val="none" w:sz="0" w:space="0" w:color="auto"/>
        <w:left w:val="none" w:sz="0" w:space="0" w:color="auto"/>
        <w:bottom w:val="none" w:sz="0" w:space="0" w:color="auto"/>
        <w:right w:val="none" w:sz="0" w:space="0" w:color="auto"/>
      </w:divBdr>
    </w:div>
    <w:div w:id="247622804">
      <w:bodyDiv w:val="1"/>
      <w:marLeft w:val="0"/>
      <w:marRight w:val="0"/>
      <w:marTop w:val="0"/>
      <w:marBottom w:val="0"/>
      <w:divBdr>
        <w:top w:val="none" w:sz="0" w:space="0" w:color="auto"/>
        <w:left w:val="none" w:sz="0" w:space="0" w:color="auto"/>
        <w:bottom w:val="none" w:sz="0" w:space="0" w:color="auto"/>
        <w:right w:val="none" w:sz="0" w:space="0" w:color="auto"/>
      </w:divBdr>
    </w:div>
    <w:div w:id="247662310">
      <w:bodyDiv w:val="1"/>
      <w:marLeft w:val="0"/>
      <w:marRight w:val="0"/>
      <w:marTop w:val="0"/>
      <w:marBottom w:val="0"/>
      <w:divBdr>
        <w:top w:val="none" w:sz="0" w:space="0" w:color="auto"/>
        <w:left w:val="none" w:sz="0" w:space="0" w:color="auto"/>
        <w:bottom w:val="none" w:sz="0" w:space="0" w:color="auto"/>
        <w:right w:val="none" w:sz="0" w:space="0" w:color="auto"/>
      </w:divBdr>
    </w:div>
    <w:div w:id="247692857">
      <w:bodyDiv w:val="1"/>
      <w:marLeft w:val="0"/>
      <w:marRight w:val="0"/>
      <w:marTop w:val="0"/>
      <w:marBottom w:val="0"/>
      <w:divBdr>
        <w:top w:val="none" w:sz="0" w:space="0" w:color="auto"/>
        <w:left w:val="none" w:sz="0" w:space="0" w:color="auto"/>
        <w:bottom w:val="none" w:sz="0" w:space="0" w:color="auto"/>
        <w:right w:val="none" w:sz="0" w:space="0" w:color="auto"/>
      </w:divBdr>
    </w:div>
    <w:div w:id="247812426">
      <w:bodyDiv w:val="1"/>
      <w:marLeft w:val="0"/>
      <w:marRight w:val="0"/>
      <w:marTop w:val="0"/>
      <w:marBottom w:val="0"/>
      <w:divBdr>
        <w:top w:val="none" w:sz="0" w:space="0" w:color="auto"/>
        <w:left w:val="none" w:sz="0" w:space="0" w:color="auto"/>
        <w:bottom w:val="none" w:sz="0" w:space="0" w:color="auto"/>
        <w:right w:val="none" w:sz="0" w:space="0" w:color="auto"/>
      </w:divBdr>
    </w:div>
    <w:div w:id="247814144">
      <w:bodyDiv w:val="1"/>
      <w:marLeft w:val="0"/>
      <w:marRight w:val="0"/>
      <w:marTop w:val="0"/>
      <w:marBottom w:val="0"/>
      <w:divBdr>
        <w:top w:val="none" w:sz="0" w:space="0" w:color="auto"/>
        <w:left w:val="none" w:sz="0" w:space="0" w:color="auto"/>
        <w:bottom w:val="none" w:sz="0" w:space="0" w:color="auto"/>
        <w:right w:val="none" w:sz="0" w:space="0" w:color="auto"/>
      </w:divBdr>
    </w:div>
    <w:div w:id="247887878">
      <w:bodyDiv w:val="1"/>
      <w:marLeft w:val="0"/>
      <w:marRight w:val="0"/>
      <w:marTop w:val="0"/>
      <w:marBottom w:val="0"/>
      <w:divBdr>
        <w:top w:val="none" w:sz="0" w:space="0" w:color="auto"/>
        <w:left w:val="none" w:sz="0" w:space="0" w:color="auto"/>
        <w:bottom w:val="none" w:sz="0" w:space="0" w:color="auto"/>
        <w:right w:val="none" w:sz="0" w:space="0" w:color="auto"/>
      </w:divBdr>
    </w:div>
    <w:div w:id="248002906">
      <w:bodyDiv w:val="1"/>
      <w:marLeft w:val="0"/>
      <w:marRight w:val="0"/>
      <w:marTop w:val="0"/>
      <w:marBottom w:val="0"/>
      <w:divBdr>
        <w:top w:val="none" w:sz="0" w:space="0" w:color="auto"/>
        <w:left w:val="none" w:sz="0" w:space="0" w:color="auto"/>
        <w:bottom w:val="none" w:sz="0" w:space="0" w:color="auto"/>
        <w:right w:val="none" w:sz="0" w:space="0" w:color="auto"/>
      </w:divBdr>
    </w:div>
    <w:div w:id="248318414">
      <w:bodyDiv w:val="1"/>
      <w:marLeft w:val="0"/>
      <w:marRight w:val="0"/>
      <w:marTop w:val="0"/>
      <w:marBottom w:val="0"/>
      <w:divBdr>
        <w:top w:val="none" w:sz="0" w:space="0" w:color="auto"/>
        <w:left w:val="none" w:sz="0" w:space="0" w:color="auto"/>
        <w:bottom w:val="none" w:sz="0" w:space="0" w:color="auto"/>
        <w:right w:val="none" w:sz="0" w:space="0" w:color="auto"/>
      </w:divBdr>
    </w:div>
    <w:div w:id="248345601">
      <w:bodyDiv w:val="1"/>
      <w:marLeft w:val="0"/>
      <w:marRight w:val="0"/>
      <w:marTop w:val="0"/>
      <w:marBottom w:val="0"/>
      <w:divBdr>
        <w:top w:val="none" w:sz="0" w:space="0" w:color="auto"/>
        <w:left w:val="none" w:sz="0" w:space="0" w:color="auto"/>
        <w:bottom w:val="none" w:sz="0" w:space="0" w:color="auto"/>
        <w:right w:val="none" w:sz="0" w:space="0" w:color="auto"/>
      </w:divBdr>
    </w:div>
    <w:div w:id="248392411">
      <w:bodyDiv w:val="1"/>
      <w:marLeft w:val="0"/>
      <w:marRight w:val="0"/>
      <w:marTop w:val="0"/>
      <w:marBottom w:val="0"/>
      <w:divBdr>
        <w:top w:val="none" w:sz="0" w:space="0" w:color="auto"/>
        <w:left w:val="none" w:sz="0" w:space="0" w:color="auto"/>
        <w:bottom w:val="none" w:sz="0" w:space="0" w:color="auto"/>
        <w:right w:val="none" w:sz="0" w:space="0" w:color="auto"/>
      </w:divBdr>
    </w:div>
    <w:div w:id="248580644">
      <w:bodyDiv w:val="1"/>
      <w:marLeft w:val="0"/>
      <w:marRight w:val="0"/>
      <w:marTop w:val="0"/>
      <w:marBottom w:val="0"/>
      <w:divBdr>
        <w:top w:val="none" w:sz="0" w:space="0" w:color="auto"/>
        <w:left w:val="none" w:sz="0" w:space="0" w:color="auto"/>
        <w:bottom w:val="none" w:sz="0" w:space="0" w:color="auto"/>
        <w:right w:val="none" w:sz="0" w:space="0" w:color="auto"/>
      </w:divBdr>
    </w:div>
    <w:div w:id="248585483">
      <w:bodyDiv w:val="1"/>
      <w:marLeft w:val="0"/>
      <w:marRight w:val="0"/>
      <w:marTop w:val="0"/>
      <w:marBottom w:val="0"/>
      <w:divBdr>
        <w:top w:val="none" w:sz="0" w:space="0" w:color="auto"/>
        <w:left w:val="none" w:sz="0" w:space="0" w:color="auto"/>
        <w:bottom w:val="none" w:sz="0" w:space="0" w:color="auto"/>
        <w:right w:val="none" w:sz="0" w:space="0" w:color="auto"/>
      </w:divBdr>
    </w:div>
    <w:div w:id="248657837">
      <w:bodyDiv w:val="1"/>
      <w:marLeft w:val="0"/>
      <w:marRight w:val="0"/>
      <w:marTop w:val="0"/>
      <w:marBottom w:val="0"/>
      <w:divBdr>
        <w:top w:val="none" w:sz="0" w:space="0" w:color="auto"/>
        <w:left w:val="none" w:sz="0" w:space="0" w:color="auto"/>
        <w:bottom w:val="none" w:sz="0" w:space="0" w:color="auto"/>
        <w:right w:val="none" w:sz="0" w:space="0" w:color="auto"/>
      </w:divBdr>
    </w:div>
    <w:div w:id="248852580">
      <w:bodyDiv w:val="1"/>
      <w:marLeft w:val="0"/>
      <w:marRight w:val="0"/>
      <w:marTop w:val="0"/>
      <w:marBottom w:val="0"/>
      <w:divBdr>
        <w:top w:val="none" w:sz="0" w:space="0" w:color="auto"/>
        <w:left w:val="none" w:sz="0" w:space="0" w:color="auto"/>
        <w:bottom w:val="none" w:sz="0" w:space="0" w:color="auto"/>
        <w:right w:val="none" w:sz="0" w:space="0" w:color="auto"/>
      </w:divBdr>
    </w:div>
    <w:div w:id="248854283">
      <w:bodyDiv w:val="1"/>
      <w:marLeft w:val="0"/>
      <w:marRight w:val="0"/>
      <w:marTop w:val="0"/>
      <w:marBottom w:val="0"/>
      <w:divBdr>
        <w:top w:val="none" w:sz="0" w:space="0" w:color="auto"/>
        <w:left w:val="none" w:sz="0" w:space="0" w:color="auto"/>
        <w:bottom w:val="none" w:sz="0" w:space="0" w:color="auto"/>
        <w:right w:val="none" w:sz="0" w:space="0" w:color="auto"/>
      </w:divBdr>
    </w:div>
    <w:div w:id="248857689">
      <w:bodyDiv w:val="1"/>
      <w:marLeft w:val="0"/>
      <w:marRight w:val="0"/>
      <w:marTop w:val="0"/>
      <w:marBottom w:val="0"/>
      <w:divBdr>
        <w:top w:val="none" w:sz="0" w:space="0" w:color="auto"/>
        <w:left w:val="none" w:sz="0" w:space="0" w:color="auto"/>
        <w:bottom w:val="none" w:sz="0" w:space="0" w:color="auto"/>
        <w:right w:val="none" w:sz="0" w:space="0" w:color="auto"/>
      </w:divBdr>
    </w:div>
    <w:div w:id="248926111">
      <w:bodyDiv w:val="1"/>
      <w:marLeft w:val="0"/>
      <w:marRight w:val="0"/>
      <w:marTop w:val="0"/>
      <w:marBottom w:val="0"/>
      <w:divBdr>
        <w:top w:val="none" w:sz="0" w:space="0" w:color="auto"/>
        <w:left w:val="none" w:sz="0" w:space="0" w:color="auto"/>
        <w:bottom w:val="none" w:sz="0" w:space="0" w:color="auto"/>
        <w:right w:val="none" w:sz="0" w:space="0" w:color="auto"/>
      </w:divBdr>
    </w:div>
    <w:div w:id="248929080">
      <w:bodyDiv w:val="1"/>
      <w:marLeft w:val="0"/>
      <w:marRight w:val="0"/>
      <w:marTop w:val="0"/>
      <w:marBottom w:val="0"/>
      <w:divBdr>
        <w:top w:val="none" w:sz="0" w:space="0" w:color="auto"/>
        <w:left w:val="none" w:sz="0" w:space="0" w:color="auto"/>
        <w:bottom w:val="none" w:sz="0" w:space="0" w:color="auto"/>
        <w:right w:val="none" w:sz="0" w:space="0" w:color="auto"/>
      </w:divBdr>
    </w:div>
    <w:div w:id="248930730">
      <w:bodyDiv w:val="1"/>
      <w:marLeft w:val="0"/>
      <w:marRight w:val="0"/>
      <w:marTop w:val="0"/>
      <w:marBottom w:val="0"/>
      <w:divBdr>
        <w:top w:val="none" w:sz="0" w:space="0" w:color="auto"/>
        <w:left w:val="none" w:sz="0" w:space="0" w:color="auto"/>
        <w:bottom w:val="none" w:sz="0" w:space="0" w:color="auto"/>
        <w:right w:val="none" w:sz="0" w:space="0" w:color="auto"/>
      </w:divBdr>
    </w:div>
    <w:div w:id="249049325">
      <w:bodyDiv w:val="1"/>
      <w:marLeft w:val="0"/>
      <w:marRight w:val="0"/>
      <w:marTop w:val="0"/>
      <w:marBottom w:val="0"/>
      <w:divBdr>
        <w:top w:val="none" w:sz="0" w:space="0" w:color="auto"/>
        <w:left w:val="none" w:sz="0" w:space="0" w:color="auto"/>
        <w:bottom w:val="none" w:sz="0" w:space="0" w:color="auto"/>
        <w:right w:val="none" w:sz="0" w:space="0" w:color="auto"/>
      </w:divBdr>
    </w:div>
    <w:div w:id="249121136">
      <w:bodyDiv w:val="1"/>
      <w:marLeft w:val="0"/>
      <w:marRight w:val="0"/>
      <w:marTop w:val="0"/>
      <w:marBottom w:val="0"/>
      <w:divBdr>
        <w:top w:val="none" w:sz="0" w:space="0" w:color="auto"/>
        <w:left w:val="none" w:sz="0" w:space="0" w:color="auto"/>
        <w:bottom w:val="none" w:sz="0" w:space="0" w:color="auto"/>
        <w:right w:val="none" w:sz="0" w:space="0" w:color="auto"/>
      </w:divBdr>
    </w:div>
    <w:div w:id="249122389">
      <w:bodyDiv w:val="1"/>
      <w:marLeft w:val="0"/>
      <w:marRight w:val="0"/>
      <w:marTop w:val="0"/>
      <w:marBottom w:val="0"/>
      <w:divBdr>
        <w:top w:val="none" w:sz="0" w:space="0" w:color="auto"/>
        <w:left w:val="none" w:sz="0" w:space="0" w:color="auto"/>
        <w:bottom w:val="none" w:sz="0" w:space="0" w:color="auto"/>
        <w:right w:val="none" w:sz="0" w:space="0" w:color="auto"/>
      </w:divBdr>
    </w:div>
    <w:div w:id="249194498">
      <w:bodyDiv w:val="1"/>
      <w:marLeft w:val="0"/>
      <w:marRight w:val="0"/>
      <w:marTop w:val="0"/>
      <w:marBottom w:val="0"/>
      <w:divBdr>
        <w:top w:val="none" w:sz="0" w:space="0" w:color="auto"/>
        <w:left w:val="none" w:sz="0" w:space="0" w:color="auto"/>
        <w:bottom w:val="none" w:sz="0" w:space="0" w:color="auto"/>
        <w:right w:val="none" w:sz="0" w:space="0" w:color="auto"/>
      </w:divBdr>
    </w:div>
    <w:div w:id="249237670">
      <w:bodyDiv w:val="1"/>
      <w:marLeft w:val="0"/>
      <w:marRight w:val="0"/>
      <w:marTop w:val="0"/>
      <w:marBottom w:val="0"/>
      <w:divBdr>
        <w:top w:val="none" w:sz="0" w:space="0" w:color="auto"/>
        <w:left w:val="none" w:sz="0" w:space="0" w:color="auto"/>
        <w:bottom w:val="none" w:sz="0" w:space="0" w:color="auto"/>
        <w:right w:val="none" w:sz="0" w:space="0" w:color="auto"/>
      </w:divBdr>
    </w:div>
    <w:div w:id="249238647">
      <w:bodyDiv w:val="1"/>
      <w:marLeft w:val="0"/>
      <w:marRight w:val="0"/>
      <w:marTop w:val="0"/>
      <w:marBottom w:val="0"/>
      <w:divBdr>
        <w:top w:val="none" w:sz="0" w:space="0" w:color="auto"/>
        <w:left w:val="none" w:sz="0" w:space="0" w:color="auto"/>
        <w:bottom w:val="none" w:sz="0" w:space="0" w:color="auto"/>
        <w:right w:val="none" w:sz="0" w:space="0" w:color="auto"/>
      </w:divBdr>
    </w:div>
    <w:div w:id="249316571">
      <w:bodyDiv w:val="1"/>
      <w:marLeft w:val="0"/>
      <w:marRight w:val="0"/>
      <w:marTop w:val="0"/>
      <w:marBottom w:val="0"/>
      <w:divBdr>
        <w:top w:val="none" w:sz="0" w:space="0" w:color="auto"/>
        <w:left w:val="none" w:sz="0" w:space="0" w:color="auto"/>
        <w:bottom w:val="none" w:sz="0" w:space="0" w:color="auto"/>
        <w:right w:val="none" w:sz="0" w:space="0" w:color="auto"/>
      </w:divBdr>
    </w:div>
    <w:div w:id="249316592">
      <w:bodyDiv w:val="1"/>
      <w:marLeft w:val="0"/>
      <w:marRight w:val="0"/>
      <w:marTop w:val="0"/>
      <w:marBottom w:val="0"/>
      <w:divBdr>
        <w:top w:val="none" w:sz="0" w:space="0" w:color="auto"/>
        <w:left w:val="none" w:sz="0" w:space="0" w:color="auto"/>
        <w:bottom w:val="none" w:sz="0" w:space="0" w:color="auto"/>
        <w:right w:val="none" w:sz="0" w:space="0" w:color="auto"/>
      </w:divBdr>
    </w:div>
    <w:div w:id="249316886">
      <w:bodyDiv w:val="1"/>
      <w:marLeft w:val="0"/>
      <w:marRight w:val="0"/>
      <w:marTop w:val="0"/>
      <w:marBottom w:val="0"/>
      <w:divBdr>
        <w:top w:val="none" w:sz="0" w:space="0" w:color="auto"/>
        <w:left w:val="none" w:sz="0" w:space="0" w:color="auto"/>
        <w:bottom w:val="none" w:sz="0" w:space="0" w:color="auto"/>
        <w:right w:val="none" w:sz="0" w:space="0" w:color="auto"/>
      </w:divBdr>
    </w:div>
    <w:div w:id="249318829">
      <w:bodyDiv w:val="1"/>
      <w:marLeft w:val="0"/>
      <w:marRight w:val="0"/>
      <w:marTop w:val="0"/>
      <w:marBottom w:val="0"/>
      <w:divBdr>
        <w:top w:val="none" w:sz="0" w:space="0" w:color="auto"/>
        <w:left w:val="none" w:sz="0" w:space="0" w:color="auto"/>
        <w:bottom w:val="none" w:sz="0" w:space="0" w:color="auto"/>
        <w:right w:val="none" w:sz="0" w:space="0" w:color="auto"/>
      </w:divBdr>
    </w:div>
    <w:div w:id="249387926">
      <w:bodyDiv w:val="1"/>
      <w:marLeft w:val="0"/>
      <w:marRight w:val="0"/>
      <w:marTop w:val="0"/>
      <w:marBottom w:val="0"/>
      <w:divBdr>
        <w:top w:val="none" w:sz="0" w:space="0" w:color="auto"/>
        <w:left w:val="none" w:sz="0" w:space="0" w:color="auto"/>
        <w:bottom w:val="none" w:sz="0" w:space="0" w:color="auto"/>
        <w:right w:val="none" w:sz="0" w:space="0" w:color="auto"/>
      </w:divBdr>
    </w:div>
    <w:div w:id="249462695">
      <w:bodyDiv w:val="1"/>
      <w:marLeft w:val="0"/>
      <w:marRight w:val="0"/>
      <w:marTop w:val="0"/>
      <w:marBottom w:val="0"/>
      <w:divBdr>
        <w:top w:val="none" w:sz="0" w:space="0" w:color="auto"/>
        <w:left w:val="none" w:sz="0" w:space="0" w:color="auto"/>
        <w:bottom w:val="none" w:sz="0" w:space="0" w:color="auto"/>
        <w:right w:val="none" w:sz="0" w:space="0" w:color="auto"/>
      </w:divBdr>
    </w:div>
    <w:div w:id="249580882">
      <w:bodyDiv w:val="1"/>
      <w:marLeft w:val="0"/>
      <w:marRight w:val="0"/>
      <w:marTop w:val="0"/>
      <w:marBottom w:val="0"/>
      <w:divBdr>
        <w:top w:val="none" w:sz="0" w:space="0" w:color="auto"/>
        <w:left w:val="none" w:sz="0" w:space="0" w:color="auto"/>
        <w:bottom w:val="none" w:sz="0" w:space="0" w:color="auto"/>
        <w:right w:val="none" w:sz="0" w:space="0" w:color="auto"/>
      </w:divBdr>
    </w:div>
    <w:div w:id="249627130">
      <w:bodyDiv w:val="1"/>
      <w:marLeft w:val="0"/>
      <w:marRight w:val="0"/>
      <w:marTop w:val="0"/>
      <w:marBottom w:val="0"/>
      <w:divBdr>
        <w:top w:val="none" w:sz="0" w:space="0" w:color="auto"/>
        <w:left w:val="none" w:sz="0" w:space="0" w:color="auto"/>
        <w:bottom w:val="none" w:sz="0" w:space="0" w:color="auto"/>
        <w:right w:val="none" w:sz="0" w:space="0" w:color="auto"/>
      </w:divBdr>
    </w:div>
    <w:div w:id="249700235">
      <w:bodyDiv w:val="1"/>
      <w:marLeft w:val="0"/>
      <w:marRight w:val="0"/>
      <w:marTop w:val="0"/>
      <w:marBottom w:val="0"/>
      <w:divBdr>
        <w:top w:val="none" w:sz="0" w:space="0" w:color="auto"/>
        <w:left w:val="none" w:sz="0" w:space="0" w:color="auto"/>
        <w:bottom w:val="none" w:sz="0" w:space="0" w:color="auto"/>
        <w:right w:val="none" w:sz="0" w:space="0" w:color="auto"/>
      </w:divBdr>
    </w:div>
    <w:div w:id="249893719">
      <w:bodyDiv w:val="1"/>
      <w:marLeft w:val="0"/>
      <w:marRight w:val="0"/>
      <w:marTop w:val="0"/>
      <w:marBottom w:val="0"/>
      <w:divBdr>
        <w:top w:val="none" w:sz="0" w:space="0" w:color="auto"/>
        <w:left w:val="none" w:sz="0" w:space="0" w:color="auto"/>
        <w:bottom w:val="none" w:sz="0" w:space="0" w:color="auto"/>
        <w:right w:val="none" w:sz="0" w:space="0" w:color="auto"/>
      </w:divBdr>
    </w:div>
    <w:div w:id="250050217">
      <w:bodyDiv w:val="1"/>
      <w:marLeft w:val="0"/>
      <w:marRight w:val="0"/>
      <w:marTop w:val="0"/>
      <w:marBottom w:val="0"/>
      <w:divBdr>
        <w:top w:val="none" w:sz="0" w:space="0" w:color="auto"/>
        <w:left w:val="none" w:sz="0" w:space="0" w:color="auto"/>
        <w:bottom w:val="none" w:sz="0" w:space="0" w:color="auto"/>
        <w:right w:val="none" w:sz="0" w:space="0" w:color="auto"/>
      </w:divBdr>
    </w:div>
    <w:div w:id="250117329">
      <w:bodyDiv w:val="1"/>
      <w:marLeft w:val="0"/>
      <w:marRight w:val="0"/>
      <w:marTop w:val="0"/>
      <w:marBottom w:val="0"/>
      <w:divBdr>
        <w:top w:val="none" w:sz="0" w:space="0" w:color="auto"/>
        <w:left w:val="none" w:sz="0" w:space="0" w:color="auto"/>
        <w:bottom w:val="none" w:sz="0" w:space="0" w:color="auto"/>
        <w:right w:val="none" w:sz="0" w:space="0" w:color="auto"/>
      </w:divBdr>
    </w:div>
    <w:div w:id="250162104">
      <w:bodyDiv w:val="1"/>
      <w:marLeft w:val="0"/>
      <w:marRight w:val="0"/>
      <w:marTop w:val="0"/>
      <w:marBottom w:val="0"/>
      <w:divBdr>
        <w:top w:val="none" w:sz="0" w:space="0" w:color="auto"/>
        <w:left w:val="none" w:sz="0" w:space="0" w:color="auto"/>
        <w:bottom w:val="none" w:sz="0" w:space="0" w:color="auto"/>
        <w:right w:val="none" w:sz="0" w:space="0" w:color="auto"/>
      </w:divBdr>
    </w:div>
    <w:div w:id="250162997">
      <w:bodyDiv w:val="1"/>
      <w:marLeft w:val="0"/>
      <w:marRight w:val="0"/>
      <w:marTop w:val="0"/>
      <w:marBottom w:val="0"/>
      <w:divBdr>
        <w:top w:val="none" w:sz="0" w:space="0" w:color="auto"/>
        <w:left w:val="none" w:sz="0" w:space="0" w:color="auto"/>
        <w:bottom w:val="none" w:sz="0" w:space="0" w:color="auto"/>
        <w:right w:val="none" w:sz="0" w:space="0" w:color="auto"/>
      </w:divBdr>
    </w:div>
    <w:div w:id="250505817">
      <w:bodyDiv w:val="1"/>
      <w:marLeft w:val="0"/>
      <w:marRight w:val="0"/>
      <w:marTop w:val="0"/>
      <w:marBottom w:val="0"/>
      <w:divBdr>
        <w:top w:val="none" w:sz="0" w:space="0" w:color="auto"/>
        <w:left w:val="none" w:sz="0" w:space="0" w:color="auto"/>
        <w:bottom w:val="none" w:sz="0" w:space="0" w:color="auto"/>
        <w:right w:val="none" w:sz="0" w:space="0" w:color="auto"/>
      </w:divBdr>
    </w:div>
    <w:div w:id="250506430">
      <w:bodyDiv w:val="1"/>
      <w:marLeft w:val="0"/>
      <w:marRight w:val="0"/>
      <w:marTop w:val="0"/>
      <w:marBottom w:val="0"/>
      <w:divBdr>
        <w:top w:val="none" w:sz="0" w:space="0" w:color="auto"/>
        <w:left w:val="none" w:sz="0" w:space="0" w:color="auto"/>
        <w:bottom w:val="none" w:sz="0" w:space="0" w:color="auto"/>
        <w:right w:val="none" w:sz="0" w:space="0" w:color="auto"/>
      </w:divBdr>
    </w:div>
    <w:div w:id="250506663">
      <w:bodyDiv w:val="1"/>
      <w:marLeft w:val="0"/>
      <w:marRight w:val="0"/>
      <w:marTop w:val="0"/>
      <w:marBottom w:val="0"/>
      <w:divBdr>
        <w:top w:val="none" w:sz="0" w:space="0" w:color="auto"/>
        <w:left w:val="none" w:sz="0" w:space="0" w:color="auto"/>
        <w:bottom w:val="none" w:sz="0" w:space="0" w:color="auto"/>
        <w:right w:val="none" w:sz="0" w:space="0" w:color="auto"/>
      </w:divBdr>
    </w:div>
    <w:div w:id="250629235">
      <w:bodyDiv w:val="1"/>
      <w:marLeft w:val="0"/>
      <w:marRight w:val="0"/>
      <w:marTop w:val="0"/>
      <w:marBottom w:val="0"/>
      <w:divBdr>
        <w:top w:val="none" w:sz="0" w:space="0" w:color="auto"/>
        <w:left w:val="none" w:sz="0" w:space="0" w:color="auto"/>
        <w:bottom w:val="none" w:sz="0" w:space="0" w:color="auto"/>
        <w:right w:val="none" w:sz="0" w:space="0" w:color="auto"/>
      </w:divBdr>
    </w:div>
    <w:div w:id="250890872">
      <w:bodyDiv w:val="1"/>
      <w:marLeft w:val="0"/>
      <w:marRight w:val="0"/>
      <w:marTop w:val="0"/>
      <w:marBottom w:val="0"/>
      <w:divBdr>
        <w:top w:val="none" w:sz="0" w:space="0" w:color="auto"/>
        <w:left w:val="none" w:sz="0" w:space="0" w:color="auto"/>
        <w:bottom w:val="none" w:sz="0" w:space="0" w:color="auto"/>
        <w:right w:val="none" w:sz="0" w:space="0" w:color="auto"/>
      </w:divBdr>
    </w:div>
    <w:div w:id="251016486">
      <w:bodyDiv w:val="1"/>
      <w:marLeft w:val="0"/>
      <w:marRight w:val="0"/>
      <w:marTop w:val="0"/>
      <w:marBottom w:val="0"/>
      <w:divBdr>
        <w:top w:val="none" w:sz="0" w:space="0" w:color="auto"/>
        <w:left w:val="none" w:sz="0" w:space="0" w:color="auto"/>
        <w:bottom w:val="none" w:sz="0" w:space="0" w:color="auto"/>
        <w:right w:val="none" w:sz="0" w:space="0" w:color="auto"/>
      </w:divBdr>
    </w:div>
    <w:div w:id="251086474">
      <w:bodyDiv w:val="1"/>
      <w:marLeft w:val="0"/>
      <w:marRight w:val="0"/>
      <w:marTop w:val="0"/>
      <w:marBottom w:val="0"/>
      <w:divBdr>
        <w:top w:val="none" w:sz="0" w:space="0" w:color="auto"/>
        <w:left w:val="none" w:sz="0" w:space="0" w:color="auto"/>
        <w:bottom w:val="none" w:sz="0" w:space="0" w:color="auto"/>
        <w:right w:val="none" w:sz="0" w:space="0" w:color="auto"/>
      </w:divBdr>
    </w:div>
    <w:div w:id="251208499">
      <w:bodyDiv w:val="1"/>
      <w:marLeft w:val="0"/>
      <w:marRight w:val="0"/>
      <w:marTop w:val="0"/>
      <w:marBottom w:val="0"/>
      <w:divBdr>
        <w:top w:val="none" w:sz="0" w:space="0" w:color="auto"/>
        <w:left w:val="none" w:sz="0" w:space="0" w:color="auto"/>
        <w:bottom w:val="none" w:sz="0" w:space="0" w:color="auto"/>
        <w:right w:val="none" w:sz="0" w:space="0" w:color="auto"/>
      </w:divBdr>
    </w:div>
    <w:div w:id="251276540">
      <w:bodyDiv w:val="1"/>
      <w:marLeft w:val="0"/>
      <w:marRight w:val="0"/>
      <w:marTop w:val="0"/>
      <w:marBottom w:val="0"/>
      <w:divBdr>
        <w:top w:val="none" w:sz="0" w:space="0" w:color="auto"/>
        <w:left w:val="none" w:sz="0" w:space="0" w:color="auto"/>
        <w:bottom w:val="none" w:sz="0" w:space="0" w:color="auto"/>
        <w:right w:val="none" w:sz="0" w:space="0" w:color="auto"/>
      </w:divBdr>
    </w:div>
    <w:div w:id="251277570">
      <w:bodyDiv w:val="1"/>
      <w:marLeft w:val="0"/>
      <w:marRight w:val="0"/>
      <w:marTop w:val="0"/>
      <w:marBottom w:val="0"/>
      <w:divBdr>
        <w:top w:val="none" w:sz="0" w:space="0" w:color="auto"/>
        <w:left w:val="none" w:sz="0" w:space="0" w:color="auto"/>
        <w:bottom w:val="none" w:sz="0" w:space="0" w:color="auto"/>
        <w:right w:val="none" w:sz="0" w:space="0" w:color="auto"/>
      </w:divBdr>
    </w:div>
    <w:div w:id="251548246">
      <w:bodyDiv w:val="1"/>
      <w:marLeft w:val="0"/>
      <w:marRight w:val="0"/>
      <w:marTop w:val="0"/>
      <w:marBottom w:val="0"/>
      <w:divBdr>
        <w:top w:val="none" w:sz="0" w:space="0" w:color="auto"/>
        <w:left w:val="none" w:sz="0" w:space="0" w:color="auto"/>
        <w:bottom w:val="none" w:sz="0" w:space="0" w:color="auto"/>
        <w:right w:val="none" w:sz="0" w:space="0" w:color="auto"/>
      </w:divBdr>
    </w:div>
    <w:div w:id="251550412">
      <w:bodyDiv w:val="1"/>
      <w:marLeft w:val="0"/>
      <w:marRight w:val="0"/>
      <w:marTop w:val="0"/>
      <w:marBottom w:val="0"/>
      <w:divBdr>
        <w:top w:val="none" w:sz="0" w:space="0" w:color="auto"/>
        <w:left w:val="none" w:sz="0" w:space="0" w:color="auto"/>
        <w:bottom w:val="none" w:sz="0" w:space="0" w:color="auto"/>
        <w:right w:val="none" w:sz="0" w:space="0" w:color="auto"/>
      </w:divBdr>
    </w:div>
    <w:div w:id="251624999">
      <w:bodyDiv w:val="1"/>
      <w:marLeft w:val="0"/>
      <w:marRight w:val="0"/>
      <w:marTop w:val="0"/>
      <w:marBottom w:val="0"/>
      <w:divBdr>
        <w:top w:val="none" w:sz="0" w:space="0" w:color="auto"/>
        <w:left w:val="none" w:sz="0" w:space="0" w:color="auto"/>
        <w:bottom w:val="none" w:sz="0" w:space="0" w:color="auto"/>
        <w:right w:val="none" w:sz="0" w:space="0" w:color="auto"/>
      </w:divBdr>
    </w:div>
    <w:div w:id="251743781">
      <w:bodyDiv w:val="1"/>
      <w:marLeft w:val="0"/>
      <w:marRight w:val="0"/>
      <w:marTop w:val="0"/>
      <w:marBottom w:val="0"/>
      <w:divBdr>
        <w:top w:val="none" w:sz="0" w:space="0" w:color="auto"/>
        <w:left w:val="none" w:sz="0" w:space="0" w:color="auto"/>
        <w:bottom w:val="none" w:sz="0" w:space="0" w:color="auto"/>
        <w:right w:val="none" w:sz="0" w:space="0" w:color="auto"/>
      </w:divBdr>
    </w:div>
    <w:div w:id="251789445">
      <w:bodyDiv w:val="1"/>
      <w:marLeft w:val="0"/>
      <w:marRight w:val="0"/>
      <w:marTop w:val="0"/>
      <w:marBottom w:val="0"/>
      <w:divBdr>
        <w:top w:val="none" w:sz="0" w:space="0" w:color="auto"/>
        <w:left w:val="none" w:sz="0" w:space="0" w:color="auto"/>
        <w:bottom w:val="none" w:sz="0" w:space="0" w:color="auto"/>
        <w:right w:val="none" w:sz="0" w:space="0" w:color="auto"/>
      </w:divBdr>
    </w:div>
    <w:div w:id="251816558">
      <w:bodyDiv w:val="1"/>
      <w:marLeft w:val="0"/>
      <w:marRight w:val="0"/>
      <w:marTop w:val="0"/>
      <w:marBottom w:val="0"/>
      <w:divBdr>
        <w:top w:val="none" w:sz="0" w:space="0" w:color="auto"/>
        <w:left w:val="none" w:sz="0" w:space="0" w:color="auto"/>
        <w:bottom w:val="none" w:sz="0" w:space="0" w:color="auto"/>
        <w:right w:val="none" w:sz="0" w:space="0" w:color="auto"/>
      </w:divBdr>
    </w:div>
    <w:div w:id="251859432">
      <w:bodyDiv w:val="1"/>
      <w:marLeft w:val="0"/>
      <w:marRight w:val="0"/>
      <w:marTop w:val="0"/>
      <w:marBottom w:val="0"/>
      <w:divBdr>
        <w:top w:val="none" w:sz="0" w:space="0" w:color="auto"/>
        <w:left w:val="none" w:sz="0" w:space="0" w:color="auto"/>
        <w:bottom w:val="none" w:sz="0" w:space="0" w:color="auto"/>
        <w:right w:val="none" w:sz="0" w:space="0" w:color="auto"/>
      </w:divBdr>
    </w:div>
    <w:div w:id="252015101">
      <w:bodyDiv w:val="1"/>
      <w:marLeft w:val="0"/>
      <w:marRight w:val="0"/>
      <w:marTop w:val="0"/>
      <w:marBottom w:val="0"/>
      <w:divBdr>
        <w:top w:val="none" w:sz="0" w:space="0" w:color="auto"/>
        <w:left w:val="none" w:sz="0" w:space="0" w:color="auto"/>
        <w:bottom w:val="none" w:sz="0" w:space="0" w:color="auto"/>
        <w:right w:val="none" w:sz="0" w:space="0" w:color="auto"/>
      </w:divBdr>
    </w:div>
    <w:div w:id="252128893">
      <w:bodyDiv w:val="1"/>
      <w:marLeft w:val="0"/>
      <w:marRight w:val="0"/>
      <w:marTop w:val="0"/>
      <w:marBottom w:val="0"/>
      <w:divBdr>
        <w:top w:val="none" w:sz="0" w:space="0" w:color="auto"/>
        <w:left w:val="none" w:sz="0" w:space="0" w:color="auto"/>
        <w:bottom w:val="none" w:sz="0" w:space="0" w:color="auto"/>
        <w:right w:val="none" w:sz="0" w:space="0" w:color="auto"/>
      </w:divBdr>
    </w:div>
    <w:div w:id="252132762">
      <w:bodyDiv w:val="1"/>
      <w:marLeft w:val="0"/>
      <w:marRight w:val="0"/>
      <w:marTop w:val="0"/>
      <w:marBottom w:val="0"/>
      <w:divBdr>
        <w:top w:val="none" w:sz="0" w:space="0" w:color="auto"/>
        <w:left w:val="none" w:sz="0" w:space="0" w:color="auto"/>
        <w:bottom w:val="none" w:sz="0" w:space="0" w:color="auto"/>
        <w:right w:val="none" w:sz="0" w:space="0" w:color="auto"/>
      </w:divBdr>
    </w:div>
    <w:div w:id="252248955">
      <w:bodyDiv w:val="1"/>
      <w:marLeft w:val="0"/>
      <w:marRight w:val="0"/>
      <w:marTop w:val="0"/>
      <w:marBottom w:val="0"/>
      <w:divBdr>
        <w:top w:val="none" w:sz="0" w:space="0" w:color="auto"/>
        <w:left w:val="none" w:sz="0" w:space="0" w:color="auto"/>
        <w:bottom w:val="none" w:sz="0" w:space="0" w:color="auto"/>
        <w:right w:val="none" w:sz="0" w:space="0" w:color="auto"/>
      </w:divBdr>
    </w:div>
    <w:div w:id="252394607">
      <w:bodyDiv w:val="1"/>
      <w:marLeft w:val="0"/>
      <w:marRight w:val="0"/>
      <w:marTop w:val="0"/>
      <w:marBottom w:val="0"/>
      <w:divBdr>
        <w:top w:val="none" w:sz="0" w:space="0" w:color="auto"/>
        <w:left w:val="none" w:sz="0" w:space="0" w:color="auto"/>
        <w:bottom w:val="none" w:sz="0" w:space="0" w:color="auto"/>
        <w:right w:val="none" w:sz="0" w:space="0" w:color="auto"/>
      </w:divBdr>
    </w:div>
    <w:div w:id="252397419">
      <w:bodyDiv w:val="1"/>
      <w:marLeft w:val="0"/>
      <w:marRight w:val="0"/>
      <w:marTop w:val="0"/>
      <w:marBottom w:val="0"/>
      <w:divBdr>
        <w:top w:val="none" w:sz="0" w:space="0" w:color="auto"/>
        <w:left w:val="none" w:sz="0" w:space="0" w:color="auto"/>
        <w:bottom w:val="none" w:sz="0" w:space="0" w:color="auto"/>
        <w:right w:val="none" w:sz="0" w:space="0" w:color="auto"/>
      </w:divBdr>
    </w:div>
    <w:div w:id="252665014">
      <w:bodyDiv w:val="1"/>
      <w:marLeft w:val="0"/>
      <w:marRight w:val="0"/>
      <w:marTop w:val="0"/>
      <w:marBottom w:val="0"/>
      <w:divBdr>
        <w:top w:val="none" w:sz="0" w:space="0" w:color="auto"/>
        <w:left w:val="none" w:sz="0" w:space="0" w:color="auto"/>
        <w:bottom w:val="none" w:sz="0" w:space="0" w:color="auto"/>
        <w:right w:val="none" w:sz="0" w:space="0" w:color="auto"/>
      </w:divBdr>
    </w:div>
    <w:div w:id="252857209">
      <w:bodyDiv w:val="1"/>
      <w:marLeft w:val="0"/>
      <w:marRight w:val="0"/>
      <w:marTop w:val="0"/>
      <w:marBottom w:val="0"/>
      <w:divBdr>
        <w:top w:val="none" w:sz="0" w:space="0" w:color="auto"/>
        <w:left w:val="none" w:sz="0" w:space="0" w:color="auto"/>
        <w:bottom w:val="none" w:sz="0" w:space="0" w:color="auto"/>
        <w:right w:val="none" w:sz="0" w:space="0" w:color="auto"/>
      </w:divBdr>
    </w:div>
    <w:div w:id="252862017">
      <w:bodyDiv w:val="1"/>
      <w:marLeft w:val="0"/>
      <w:marRight w:val="0"/>
      <w:marTop w:val="0"/>
      <w:marBottom w:val="0"/>
      <w:divBdr>
        <w:top w:val="none" w:sz="0" w:space="0" w:color="auto"/>
        <w:left w:val="none" w:sz="0" w:space="0" w:color="auto"/>
        <w:bottom w:val="none" w:sz="0" w:space="0" w:color="auto"/>
        <w:right w:val="none" w:sz="0" w:space="0" w:color="auto"/>
      </w:divBdr>
    </w:div>
    <w:div w:id="253100604">
      <w:bodyDiv w:val="1"/>
      <w:marLeft w:val="0"/>
      <w:marRight w:val="0"/>
      <w:marTop w:val="0"/>
      <w:marBottom w:val="0"/>
      <w:divBdr>
        <w:top w:val="none" w:sz="0" w:space="0" w:color="auto"/>
        <w:left w:val="none" w:sz="0" w:space="0" w:color="auto"/>
        <w:bottom w:val="none" w:sz="0" w:space="0" w:color="auto"/>
        <w:right w:val="none" w:sz="0" w:space="0" w:color="auto"/>
      </w:divBdr>
    </w:div>
    <w:div w:id="253170235">
      <w:bodyDiv w:val="1"/>
      <w:marLeft w:val="0"/>
      <w:marRight w:val="0"/>
      <w:marTop w:val="0"/>
      <w:marBottom w:val="0"/>
      <w:divBdr>
        <w:top w:val="none" w:sz="0" w:space="0" w:color="auto"/>
        <w:left w:val="none" w:sz="0" w:space="0" w:color="auto"/>
        <w:bottom w:val="none" w:sz="0" w:space="0" w:color="auto"/>
        <w:right w:val="none" w:sz="0" w:space="0" w:color="auto"/>
      </w:divBdr>
    </w:div>
    <w:div w:id="253245935">
      <w:bodyDiv w:val="1"/>
      <w:marLeft w:val="0"/>
      <w:marRight w:val="0"/>
      <w:marTop w:val="0"/>
      <w:marBottom w:val="0"/>
      <w:divBdr>
        <w:top w:val="none" w:sz="0" w:space="0" w:color="auto"/>
        <w:left w:val="none" w:sz="0" w:space="0" w:color="auto"/>
        <w:bottom w:val="none" w:sz="0" w:space="0" w:color="auto"/>
        <w:right w:val="none" w:sz="0" w:space="0" w:color="auto"/>
      </w:divBdr>
    </w:div>
    <w:div w:id="253365966">
      <w:bodyDiv w:val="1"/>
      <w:marLeft w:val="0"/>
      <w:marRight w:val="0"/>
      <w:marTop w:val="0"/>
      <w:marBottom w:val="0"/>
      <w:divBdr>
        <w:top w:val="none" w:sz="0" w:space="0" w:color="auto"/>
        <w:left w:val="none" w:sz="0" w:space="0" w:color="auto"/>
        <w:bottom w:val="none" w:sz="0" w:space="0" w:color="auto"/>
        <w:right w:val="none" w:sz="0" w:space="0" w:color="auto"/>
      </w:divBdr>
    </w:div>
    <w:div w:id="253394741">
      <w:bodyDiv w:val="1"/>
      <w:marLeft w:val="0"/>
      <w:marRight w:val="0"/>
      <w:marTop w:val="0"/>
      <w:marBottom w:val="0"/>
      <w:divBdr>
        <w:top w:val="none" w:sz="0" w:space="0" w:color="auto"/>
        <w:left w:val="none" w:sz="0" w:space="0" w:color="auto"/>
        <w:bottom w:val="none" w:sz="0" w:space="0" w:color="auto"/>
        <w:right w:val="none" w:sz="0" w:space="0" w:color="auto"/>
      </w:divBdr>
    </w:div>
    <w:div w:id="253437312">
      <w:bodyDiv w:val="1"/>
      <w:marLeft w:val="0"/>
      <w:marRight w:val="0"/>
      <w:marTop w:val="0"/>
      <w:marBottom w:val="0"/>
      <w:divBdr>
        <w:top w:val="none" w:sz="0" w:space="0" w:color="auto"/>
        <w:left w:val="none" w:sz="0" w:space="0" w:color="auto"/>
        <w:bottom w:val="none" w:sz="0" w:space="0" w:color="auto"/>
        <w:right w:val="none" w:sz="0" w:space="0" w:color="auto"/>
      </w:divBdr>
    </w:div>
    <w:div w:id="253514295">
      <w:bodyDiv w:val="1"/>
      <w:marLeft w:val="0"/>
      <w:marRight w:val="0"/>
      <w:marTop w:val="0"/>
      <w:marBottom w:val="0"/>
      <w:divBdr>
        <w:top w:val="none" w:sz="0" w:space="0" w:color="auto"/>
        <w:left w:val="none" w:sz="0" w:space="0" w:color="auto"/>
        <w:bottom w:val="none" w:sz="0" w:space="0" w:color="auto"/>
        <w:right w:val="none" w:sz="0" w:space="0" w:color="auto"/>
      </w:divBdr>
    </w:div>
    <w:div w:id="253519328">
      <w:bodyDiv w:val="1"/>
      <w:marLeft w:val="0"/>
      <w:marRight w:val="0"/>
      <w:marTop w:val="0"/>
      <w:marBottom w:val="0"/>
      <w:divBdr>
        <w:top w:val="none" w:sz="0" w:space="0" w:color="auto"/>
        <w:left w:val="none" w:sz="0" w:space="0" w:color="auto"/>
        <w:bottom w:val="none" w:sz="0" w:space="0" w:color="auto"/>
        <w:right w:val="none" w:sz="0" w:space="0" w:color="auto"/>
      </w:divBdr>
    </w:div>
    <w:div w:id="253589883">
      <w:bodyDiv w:val="1"/>
      <w:marLeft w:val="0"/>
      <w:marRight w:val="0"/>
      <w:marTop w:val="0"/>
      <w:marBottom w:val="0"/>
      <w:divBdr>
        <w:top w:val="none" w:sz="0" w:space="0" w:color="auto"/>
        <w:left w:val="none" w:sz="0" w:space="0" w:color="auto"/>
        <w:bottom w:val="none" w:sz="0" w:space="0" w:color="auto"/>
        <w:right w:val="none" w:sz="0" w:space="0" w:color="auto"/>
      </w:divBdr>
    </w:div>
    <w:div w:id="253633534">
      <w:bodyDiv w:val="1"/>
      <w:marLeft w:val="0"/>
      <w:marRight w:val="0"/>
      <w:marTop w:val="0"/>
      <w:marBottom w:val="0"/>
      <w:divBdr>
        <w:top w:val="none" w:sz="0" w:space="0" w:color="auto"/>
        <w:left w:val="none" w:sz="0" w:space="0" w:color="auto"/>
        <w:bottom w:val="none" w:sz="0" w:space="0" w:color="auto"/>
        <w:right w:val="none" w:sz="0" w:space="0" w:color="auto"/>
      </w:divBdr>
    </w:div>
    <w:div w:id="253705126">
      <w:bodyDiv w:val="1"/>
      <w:marLeft w:val="0"/>
      <w:marRight w:val="0"/>
      <w:marTop w:val="0"/>
      <w:marBottom w:val="0"/>
      <w:divBdr>
        <w:top w:val="none" w:sz="0" w:space="0" w:color="auto"/>
        <w:left w:val="none" w:sz="0" w:space="0" w:color="auto"/>
        <w:bottom w:val="none" w:sz="0" w:space="0" w:color="auto"/>
        <w:right w:val="none" w:sz="0" w:space="0" w:color="auto"/>
      </w:divBdr>
    </w:div>
    <w:div w:id="253709919">
      <w:bodyDiv w:val="1"/>
      <w:marLeft w:val="0"/>
      <w:marRight w:val="0"/>
      <w:marTop w:val="0"/>
      <w:marBottom w:val="0"/>
      <w:divBdr>
        <w:top w:val="none" w:sz="0" w:space="0" w:color="auto"/>
        <w:left w:val="none" w:sz="0" w:space="0" w:color="auto"/>
        <w:bottom w:val="none" w:sz="0" w:space="0" w:color="auto"/>
        <w:right w:val="none" w:sz="0" w:space="0" w:color="auto"/>
      </w:divBdr>
    </w:div>
    <w:div w:id="253782454">
      <w:bodyDiv w:val="1"/>
      <w:marLeft w:val="0"/>
      <w:marRight w:val="0"/>
      <w:marTop w:val="0"/>
      <w:marBottom w:val="0"/>
      <w:divBdr>
        <w:top w:val="none" w:sz="0" w:space="0" w:color="auto"/>
        <w:left w:val="none" w:sz="0" w:space="0" w:color="auto"/>
        <w:bottom w:val="none" w:sz="0" w:space="0" w:color="auto"/>
        <w:right w:val="none" w:sz="0" w:space="0" w:color="auto"/>
      </w:divBdr>
    </w:div>
    <w:div w:id="253899012">
      <w:bodyDiv w:val="1"/>
      <w:marLeft w:val="0"/>
      <w:marRight w:val="0"/>
      <w:marTop w:val="0"/>
      <w:marBottom w:val="0"/>
      <w:divBdr>
        <w:top w:val="none" w:sz="0" w:space="0" w:color="auto"/>
        <w:left w:val="none" w:sz="0" w:space="0" w:color="auto"/>
        <w:bottom w:val="none" w:sz="0" w:space="0" w:color="auto"/>
        <w:right w:val="none" w:sz="0" w:space="0" w:color="auto"/>
      </w:divBdr>
    </w:div>
    <w:div w:id="253901003">
      <w:bodyDiv w:val="1"/>
      <w:marLeft w:val="0"/>
      <w:marRight w:val="0"/>
      <w:marTop w:val="0"/>
      <w:marBottom w:val="0"/>
      <w:divBdr>
        <w:top w:val="none" w:sz="0" w:space="0" w:color="auto"/>
        <w:left w:val="none" w:sz="0" w:space="0" w:color="auto"/>
        <w:bottom w:val="none" w:sz="0" w:space="0" w:color="auto"/>
        <w:right w:val="none" w:sz="0" w:space="0" w:color="auto"/>
      </w:divBdr>
    </w:div>
    <w:div w:id="253904977">
      <w:bodyDiv w:val="1"/>
      <w:marLeft w:val="0"/>
      <w:marRight w:val="0"/>
      <w:marTop w:val="0"/>
      <w:marBottom w:val="0"/>
      <w:divBdr>
        <w:top w:val="none" w:sz="0" w:space="0" w:color="auto"/>
        <w:left w:val="none" w:sz="0" w:space="0" w:color="auto"/>
        <w:bottom w:val="none" w:sz="0" w:space="0" w:color="auto"/>
        <w:right w:val="none" w:sz="0" w:space="0" w:color="auto"/>
      </w:divBdr>
    </w:div>
    <w:div w:id="253982460">
      <w:bodyDiv w:val="1"/>
      <w:marLeft w:val="0"/>
      <w:marRight w:val="0"/>
      <w:marTop w:val="0"/>
      <w:marBottom w:val="0"/>
      <w:divBdr>
        <w:top w:val="none" w:sz="0" w:space="0" w:color="auto"/>
        <w:left w:val="none" w:sz="0" w:space="0" w:color="auto"/>
        <w:bottom w:val="none" w:sz="0" w:space="0" w:color="auto"/>
        <w:right w:val="none" w:sz="0" w:space="0" w:color="auto"/>
      </w:divBdr>
    </w:div>
    <w:div w:id="254095527">
      <w:bodyDiv w:val="1"/>
      <w:marLeft w:val="0"/>
      <w:marRight w:val="0"/>
      <w:marTop w:val="0"/>
      <w:marBottom w:val="0"/>
      <w:divBdr>
        <w:top w:val="none" w:sz="0" w:space="0" w:color="auto"/>
        <w:left w:val="none" w:sz="0" w:space="0" w:color="auto"/>
        <w:bottom w:val="none" w:sz="0" w:space="0" w:color="auto"/>
        <w:right w:val="none" w:sz="0" w:space="0" w:color="auto"/>
      </w:divBdr>
    </w:div>
    <w:div w:id="254096617">
      <w:bodyDiv w:val="1"/>
      <w:marLeft w:val="0"/>
      <w:marRight w:val="0"/>
      <w:marTop w:val="0"/>
      <w:marBottom w:val="0"/>
      <w:divBdr>
        <w:top w:val="none" w:sz="0" w:space="0" w:color="auto"/>
        <w:left w:val="none" w:sz="0" w:space="0" w:color="auto"/>
        <w:bottom w:val="none" w:sz="0" w:space="0" w:color="auto"/>
        <w:right w:val="none" w:sz="0" w:space="0" w:color="auto"/>
      </w:divBdr>
    </w:div>
    <w:div w:id="254168248">
      <w:bodyDiv w:val="1"/>
      <w:marLeft w:val="0"/>
      <w:marRight w:val="0"/>
      <w:marTop w:val="0"/>
      <w:marBottom w:val="0"/>
      <w:divBdr>
        <w:top w:val="none" w:sz="0" w:space="0" w:color="auto"/>
        <w:left w:val="none" w:sz="0" w:space="0" w:color="auto"/>
        <w:bottom w:val="none" w:sz="0" w:space="0" w:color="auto"/>
        <w:right w:val="none" w:sz="0" w:space="0" w:color="auto"/>
      </w:divBdr>
    </w:div>
    <w:div w:id="254168463">
      <w:bodyDiv w:val="1"/>
      <w:marLeft w:val="0"/>
      <w:marRight w:val="0"/>
      <w:marTop w:val="0"/>
      <w:marBottom w:val="0"/>
      <w:divBdr>
        <w:top w:val="none" w:sz="0" w:space="0" w:color="auto"/>
        <w:left w:val="none" w:sz="0" w:space="0" w:color="auto"/>
        <w:bottom w:val="none" w:sz="0" w:space="0" w:color="auto"/>
        <w:right w:val="none" w:sz="0" w:space="0" w:color="auto"/>
      </w:divBdr>
    </w:div>
    <w:div w:id="254293524">
      <w:bodyDiv w:val="1"/>
      <w:marLeft w:val="0"/>
      <w:marRight w:val="0"/>
      <w:marTop w:val="0"/>
      <w:marBottom w:val="0"/>
      <w:divBdr>
        <w:top w:val="none" w:sz="0" w:space="0" w:color="auto"/>
        <w:left w:val="none" w:sz="0" w:space="0" w:color="auto"/>
        <w:bottom w:val="none" w:sz="0" w:space="0" w:color="auto"/>
        <w:right w:val="none" w:sz="0" w:space="0" w:color="auto"/>
      </w:divBdr>
    </w:div>
    <w:div w:id="254360702">
      <w:bodyDiv w:val="1"/>
      <w:marLeft w:val="0"/>
      <w:marRight w:val="0"/>
      <w:marTop w:val="0"/>
      <w:marBottom w:val="0"/>
      <w:divBdr>
        <w:top w:val="none" w:sz="0" w:space="0" w:color="auto"/>
        <w:left w:val="none" w:sz="0" w:space="0" w:color="auto"/>
        <w:bottom w:val="none" w:sz="0" w:space="0" w:color="auto"/>
        <w:right w:val="none" w:sz="0" w:space="0" w:color="auto"/>
      </w:divBdr>
    </w:div>
    <w:div w:id="254363398">
      <w:bodyDiv w:val="1"/>
      <w:marLeft w:val="0"/>
      <w:marRight w:val="0"/>
      <w:marTop w:val="0"/>
      <w:marBottom w:val="0"/>
      <w:divBdr>
        <w:top w:val="none" w:sz="0" w:space="0" w:color="auto"/>
        <w:left w:val="none" w:sz="0" w:space="0" w:color="auto"/>
        <w:bottom w:val="none" w:sz="0" w:space="0" w:color="auto"/>
        <w:right w:val="none" w:sz="0" w:space="0" w:color="auto"/>
      </w:divBdr>
    </w:div>
    <w:div w:id="254364472">
      <w:bodyDiv w:val="1"/>
      <w:marLeft w:val="0"/>
      <w:marRight w:val="0"/>
      <w:marTop w:val="0"/>
      <w:marBottom w:val="0"/>
      <w:divBdr>
        <w:top w:val="none" w:sz="0" w:space="0" w:color="auto"/>
        <w:left w:val="none" w:sz="0" w:space="0" w:color="auto"/>
        <w:bottom w:val="none" w:sz="0" w:space="0" w:color="auto"/>
        <w:right w:val="none" w:sz="0" w:space="0" w:color="auto"/>
      </w:divBdr>
    </w:div>
    <w:div w:id="254436289">
      <w:bodyDiv w:val="1"/>
      <w:marLeft w:val="0"/>
      <w:marRight w:val="0"/>
      <w:marTop w:val="0"/>
      <w:marBottom w:val="0"/>
      <w:divBdr>
        <w:top w:val="none" w:sz="0" w:space="0" w:color="auto"/>
        <w:left w:val="none" w:sz="0" w:space="0" w:color="auto"/>
        <w:bottom w:val="none" w:sz="0" w:space="0" w:color="auto"/>
        <w:right w:val="none" w:sz="0" w:space="0" w:color="auto"/>
      </w:divBdr>
    </w:div>
    <w:div w:id="254631384">
      <w:bodyDiv w:val="1"/>
      <w:marLeft w:val="0"/>
      <w:marRight w:val="0"/>
      <w:marTop w:val="0"/>
      <w:marBottom w:val="0"/>
      <w:divBdr>
        <w:top w:val="none" w:sz="0" w:space="0" w:color="auto"/>
        <w:left w:val="none" w:sz="0" w:space="0" w:color="auto"/>
        <w:bottom w:val="none" w:sz="0" w:space="0" w:color="auto"/>
        <w:right w:val="none" w:sz="0" w:space="0" w:color="auto"/>
      </w:divBdr>
    </w:div>
    <w:div w:id="254672948">
      <w:bodyDiv w:val="1"/>
      <w:marLeft w:val="0"/>
      <w:marRight w:val="0"/>
      <w:marTop w:val="0"/>
      <w:marBottom w:val="0"/>
      <w:divBdr>
        <w:top w:val="none" w:sz="0" w:space="0" w:color="auto"/>
        <w:left w:val="none" w:sz="0" w:space="0" w:color="auto"/>
        <w:bottom w:val="none" w:sz="0" w:space="0" w:color="auto"/>
        <w:right w:val="none" w:sz="0" w:space="0" w:color="auto"/>
      </w:divBdr>
    </w:div>
    <w:div w:id="254942386">
      <w:bodyDiv w:val="1"/>
      <w:marLeft w:val="0"/>
      <w:marRight w:val="0"/>
      <w:marTop w:val="0"/>
      <w:marBottom w:val="0"/>
      <w:divBdr>
        <w:top w:val="none" w:sz="0" w:space="0" w:color="auto"/>
        <w:left w:val="none" w:sz="0" w:space="0" w:color="auto"/>
        <w:bottom w:val="none" w:sz="0" w:space="0" w:color="auto"/>
        <w:right w:val="none" w:sz="0" w:space="0" w:color="auto"/>
      </w:divBdr>
    </w:div>
    <w:div w:id="255290924">
      <w:bodyDiv w:val="1"/>
      <w:marLeft w:val="0"/>
      <w:marRight w:val="0"/>
      <w:marTop w:val="0"/>
      <w:marBottom w:val="0"/>
      <w:divBdr>
        <w:top w:val="none" w:sz="0" w:space="0" w:color="auto"/>
        <w:left w:val="none" w:sz="0" w:space="0" w:color="auto"/>
        <w:bottom w:val="none" w:sz="0" w:space="0" w:color="auto"/>
        <w:right w:val="none" w:sz="0" w:space="0" w:color="auto"/>
      </w:divBdr>
    </w:div>
    <w:div w:id="255330017">
      <w:bodyDiv w:val="1"/>
      <w:marLeft w:val="0"/>
      <w:marRight w:val="0"/>
      <w:marTop w:val="0"/>
      <w:marBottom w:val="0"/>
      <w:divBdr>
        <w:top w:val="none" w:sz="0" w:space="0" w:color="auto"/>
        <w:left w:val="none" w:sz="0" w:space="0" w:color="auto"/>
        <w:bottom w:val="none" w:sz="0" w:space="0" w:color="auto"/>
        <w:right w:val="none" w:sz="0" w:space="0" w:color="auto"/>
      </w:divBdr>
    </w:div>
    <w:div w:id="255554034">
      <w:bodyDiv w:val="1"/>
      <w:marLeft w:val="0"/>
      <w:marRight w:val="0"/>
      <w:marTop w:val="0"/>
      <w:marBottom w:val="0"/>
      <w:divBdr>
        <w:top w:val="none" w:sz="0" w:space="0" w:color="auto"/>
        <w:left w:val="none" w:sz="0" w:space="0" w:color="auto"/>
        <w:bottom w:val="none" w:sz="0" w:space="0" w:color="auto"/>
        <w:right w:val="none" w:sz="0" w:space="0" w:color="auto"/>
      </w:divBdr>
    </w:div>
    <w:div w:id="255557579">
      <w:bodyDiv w:val="1"/>
      <w:marLeft w:val="0"/>
      <w:marRight w:val="0"/>
      <w:marTop w:val="0"/>
      <w:marBottom w:val="0"/>
      <w:divBdr>
        <w:top w:val="none" w:sz="0" w:space="0" w:color="auto"/>
        <w:left w:val="none" w:sz="0" w:space="0" w:color="auto"/>
        <w:bottom w:val="none" w:sz="0" w:space="0" w:color="auto"/>
        <w:right w:val="none" w:sz="0" w:space="0" w:color="auto"/>
      </w:divBdr>
    </w:div>
    <w:div w:id="255746701">
      <w:bodyDiv w:val="1"/>
      <w:marLeft w:val="0"/>
      <w:marRight w:val="0"/>
      <w:marTop w:val="0"/>
      <w:marBottom w:val="0"/>
      <w:divBdr>
        <w:top w:val="none" w:sz="0" w:space="0" w:color="auto"/>
        <w:left w:val="none" w:sz="0" w:space="0" w:color="auto"/>
        <w:bottom w:val="none" w:sz="0" w:space="0" w:color="auto"/>
        <w:right w:val="none" w:sz="0" w:space="0" w:color="auto"/>
      </w:divBdr>
    </w:div>
    <w:div w:id="255790833">
      <w:bodyDiv w:val="1"/>
      <w:marLeft w:val="0"/>
      <w:marRight w:val="0"/>
      <w:marTop w:val="0"/>
      <w:marBottom w:val="0"/>
      <w:divBdr>
        <w:top w:val="none" w:sz="0" w:space="0" w:color="auto"/>
        <w:left w:val="none" w:sz="0" w:space="0" w:color="auto"/>
        <w:bottom w:val="none" w:sz="0" w:space="0" w:color="auto"/>
        <w:right w:val="none" w:sz="0" w:space="0" w:color="auto"/>
      </w:divBdr>
    </w:div>
    <w:div w:id="255791663">
      <w:bodyDiv w:val="1"/>
      <w:marLeft w:val="0"/>
      <w:marRight w:val="0"/>
      <w:marTop w:val="0"/>
      <w:marBottom w:val="0"/>
      <w:divBdr>
        <w:top w:val="none" w:sz="0" w:space="0" w:color="auto"/>
        <w:left w:val="none" w:sz="0" w:space="0" w:color="auto"/>
        <w:bottom w:val="none" w:sz="0" w:space="0" w:color="auto"/>
        <w:right w:val="none" w:sz="0" w:space="0" w:color="auto"/>
      </w:divBdr>
    </w:div>
    <w:div w:id="255795903">
      <w:bodyDiv w:val="1"/>
      <w:marLeft w:val="0"/>
      <w:marRight w:val="0"/>
      <w:marTop w:val="0"/>
      <w:marBottom w:val="0"/>
      <w:divBdr>
        <w:top w:val="none" w:sz="0" w:space="0" w:color="auto"/>
        <w:left w:val="none" w:sz="0" w:space="0" w:color="auto"/>
        <w:bottom w:val="none" w:sz="0" w:space="0" w:color="auto"/>
        <w:right w:val="none" w:sz="0" w:space="0" w:color="auto"/>
      </w:divBdr>
    </w:div>
    <w:div w:id="255863940">
      <w:bodyDiv w:val="1"/>
      <w:marLeft w:val="0"/>
      <w:marRight w:val="0"/>
      <w:marTop w:val="0"/>
      <w:marBottom w:val="0"/>
      <w:divBdr>
        <w:top w:val="none" w:sz="0" w:space="0" w:color="auto"/>
        <w:left w:val="none" w:sz="0" w:space="0" w:color="auto"/>
        <w:bottom w:val="none" w:sz="0" w:space="0" w:color="auto"/>
        <w:right w:val="none" w:sz="0" w:space="0" w:color="auto"/>
      </w:divBdr>
    </w:div>
    <w:div w:id="255868011">
      <w:bodyDiv w:val="1"/>
      <w:marLeft w:val="0"/>
      <w:marRight w:val="0"/>
      <w:marTop w:val="0"/>
      <w:marBottom w:val="0"/>
      <w:divBdr>
        <w:top w:val="none" w:sz="0" w:space="0" w:color="auto"/>
        <w:left w:val="none" w:sz="0" w:space="0" w:color="auto"/>
        <w:bottom w:val="none" w:sz="0" w:space="0" w:color="auto"/>
        <w:right w:val="none" w:sz="0" w:space="0" w:color="auto"/>
      </w:divBdr>
    </w:div>
    <w:div w:id="255940548">
      <w:bodyDiv w:val="1"/>
      <w:marLeft w:val="0"/>
      <w:marRight w:val="0"/>
      <w:marTop w:val="0"/>
      <w:marBottom w:val="0"/>
      <w:divBdr>
        <w:top w:val="none" w:sz="0" w:space="0" w:color="auto"/>
        <w:left w:val="none" w:sz="0" w:space="0" w:color="auto"/>
        <w:bottom w:val="none" w:sz="0" w:space="0" w:color="auto"/>
        <w:right w:val="none" w:sz="0" w:space="0" w:color="auto"/>
      </w:divBdr>
    </w:div>
    <w:div w:id="255942347">
      <w:bodyDiv w:val="1"/>
      <w:marLeft w:val="0"/>
      <w:marRight w:val="0"/>
      <w:marTop w:val="0"/>
      <w:marBottom w:val="0"/>
      <w:divBdr>
        <w:top w:val="none" w:sz="0" w:space="0" w:color="auto"/>
        <w:left w:val="none" w:sz="0" w:space="0" w:color="auto"/>
        <w:bottom w:val="none" w:sz="0" w:space="0" w:color="auto"/>
        <w:right w:val="none" w:sz="0" w:space="0" w:color="auto"/>
      </w:divBdr>
    </w:div>
    <w:div w:id="256133739">
      <w:bodyDiv w:val="1"/>
      <w:marLeft w:val="0"/>
      <w:marRight w:val="0"/>
      <w:marTop w:val="0"/>
      <w:marBottom w:val="0"/>
      <w:divBdr>
        <w:top w:val="none" w:sz="0" w:space="0" w:color="auto"/>
        <w:left w:val="none" w:sz="0" w:space="0" w:color="auto"/>
        <w:bottom w:val="none" w:sz="0" w:space="0" w:color="auto"/>
        <w:right w:val="none" w:sz="0" w:space="0" w:color="auto"/>
      </w:divBdr>
    </w:div>
    <w:div w:id="256256878">
      <w:bodyDiv w:val="1"/>
      <w:marLeft w:val="0"/>
      <w:marRight w:val="0"/>
      <w:marTop w:val="0"/>
      <w:marBottom w:val="0"/>
      <w:divBdr>
        <w:top w:val="none" w:sz="0" w:space="0" w:color="auto"/>
        <w:left w:val="none" w:sz="0" w:space="0" w:color="auto"/>
        <w:bottom w:val="none" w:sz="0" w:space="0" w:color="auto"/>
        <w:right w:val="none" w:sz="0" w:space="0" w:color="auto"/>
      </w:divBdr>
    </w:div>
    <w:div w:id="256259437">
      <w:bodyDiv w:val="1"/>
      <w:marLeft w:val="0"/>
      <w:marRight w:val="0"/>
      <w:marTop w:val="0"/>
      <w:marBottom w:val="0"/>
      <w:divBdr>
        <w:top w:val="none" w:sz="0" w:space="0" w:color="auto"/>
        <w:left w:val="none" w:sz="0" w:space="0" w:color="auto"/>
        <w:bottom w:val="none" w:sz="0" w:space="0" w:color="auto"/>
        <w:right w:val="none" w:sz="0" w:space="0" w:color="auto"/>
      </w:divBdr>
    </w:div>
    <w:div w:id="256407500">
      <w:bodyDiv w:val="1"/>
      <w:marLeft w:val="0"/>
      <w:marRight w:val="0"/>
      <w:marTop w:val="0"/>
      <w:marBottom w:val="0"/>
      <w:divBdr>
        <w:top w:val="none" w:sz="0" w:space="0" w:color="auto"/>
        <w:left w:val="none" w:sz="0" w:space="0" w:color="auto"/>
        <w:bottom w:val="none" w:sz="0" w:space="0" w:color="auto"/>
        <w:right w:val="none" w:sz="0" w:space="0" w:color="auto"/>
      </w:divBdr>
    </w:div>
    <w:div w:id="256600248">
      <w:bodyDiv w:val="1"/>
      <w:marLeft w:val="0"/>
      <w:marRight w:val="0"/>
      <w:marTop w:val="0"/>
      <w:marBottom w:val="0"/>
      <w:divBdr>
        <w:top w:val="none" w:sz="0" w:space="0" w:color="auto"/>
        <w:left w:val="none" w:sz="0" w:space="0" w:color="auto"/>
        <w:bottom w:val="none" w:sz="0" w:space="0" w:color="auto"/>
        <w:right w:val="none" w:sz="0" w:space="0" w:color="auto"/>
      </w:divBdr>
    </w:div>
    <w:div w:id="256602166">
      <w:bodyDiv w:val="1"/>
      <w:marLeft w:val="0"/>
      <w:marRight w:val="0"/>
      <w:marTop w:val="0"/>
      <w:marBottom w:val="0"/>
      <w:divBdr>
        <w:top w:val="none" w:sz="0" w:space="0" w:color="auto"/>
        <w:left w:val="none" w:sz="0" w:space="0" w:color="auto"/>
        <w:bottom w:val="none" w:sz="0" w:space="0" w:color="auto"/>
        <w:right w:val="none" w:sz="0" w:space="0" w:color="auto"/>
      </w:divBdr>
    </w:div>
    <w:div w:id="256669289">
      <w:bodyDiv w:val="1"/>
      <w:marLeft w:val="0"/>
      <w:marRight w:val="0"/>
      <w:marTop w:val="0"/>
      <w:marBottom w:val="0"/>
      <w:divBdr>
        <w:top w:val="none" w:sz="0" w:space="0" w:color="auto"/>
        <w:left w:val="none" w:sz="0" w:space="0" w:color="auto"/>
        <w:bottom w:val="none" w:sz="0" w:space="0" w:color="auto"/>
        <w:right w:val="none" w:sz="0" w:space="0" w:color="auto"/>
      </w:divBdr>
    </w:div>
    <w:div w:id="256714390">
      <w:bodyDiv w:val="1"/>
      <w:marLeft w:val="0"/>
      <w:marRight w:val="0"/>
      <w:marTop w:val="0"/>
      <w:marBottom w:val="0"/>
      <w:divBdr>
        <w:top w:val="none" w:sz="0" w:space="0" w:color="auto"/>
        <w:left w:val="none" w:sz="0" w:space="0" w:color="auto"/>
        <w:bottom w:val="none" w:sz="0" w:space="0" w:color="auto"/>
        <w:right w:val="none" w:sz="0" w:space="0" w:color="auto"/>
      </w:divBdr>
    </w:div>
    <w:div w:id="256717529">
      <w:bodyDiv w:val="1"/>
      <w:marLeft w:val="0"/>
      <w:marRight w:val="0"/>
      <w:marTop w:val="0"/>
      <w:marBottom w:val="0"/>
      <w:divBdr>
        <w:top w:val="none" w:sz="0" w:space="0" w:color="auto"/>
        <w:left w:val="none" w:sz="0" w:space="0" w:color="auto"/>
        <w:bottom w:val="none" w:sz="0" w:space="0" w:color="auto"/>
        <w:right w:val="none" w:sz="0" w:space="0" w:color="auto"/>
      </w:divBdr>
    </w:div>
    <w:div w:id="256794002">
      <w:bodyDiv w:val="1"/>
      <w:marLeft w:val="0"/>
      <w:marRight w:val="0"/>
      <w:marTop w:val="0"/>
      <w:marBottom w:val="0"/>
      <w:divBdr>
        <w:top w:val="none" w:sz="0" w:space="0" w:color="auto"/>
        <w:left w:val="none" w:sz="0" w:space="0" w:color="auto"/>
        <w:bottom w:val="none" w:sz="0" w:space="0" w:color="auto"/>
        <w:right w:val="none" w:sz="0" w:space="0" w:color="auto"/>
      </w:divBdr>
    </w:div>
    <w:div w:id="256837856">
      <w:bodyDiv w:val="1"/>
      <w:marLeft w:val="0"/>
      <w:marRight w:val="0"/>
      <w:marTop w:val="0"/>
      <w:marBottom w:val="0"/>
      <w:divBdr>
        <w:top w:val="none" w:sz="0" w:space="0" w:color="auto"/>
        <w:left w:val="none" w:sz="0" w:space="0" w:color="auto"/>
        <w:bottom w:val="none" w:sz="0" w:space="0" w:color="auto"/>
        <w:right w:val="none" w:sz="0" w:space="0" w:color="auto"/>
      </w:divBdr>
    </w:div>
    <w:div w:id="256908898">
      <w:bodyDiv w:val="1"/>
      <w:marLeft w:val="0"/>
      <w:marRight w:val="0"/>
      <w:marTop w:val="0"/>
      <w:marBottom w:val="0"/>
      <w:divBdr>
        <w:top w:val="none" w:sz="0" w:space="0" w:color="auto"/>
        <w:left w:val="none" w:sz="0" w:space="0" w:color="auto"/>
        <w:bottom w:val="none" w:sz="0" w:space="0" w:color="auto"/>
        <w:right w:val="none" w:sz="0" w:space="0" w:color="auto"/>
      </w:divBdr>
    </w:div>
    <w:div w:id="257368298">
      <w:bodyDiv w:val="1"/>
      <w:marLeft w:val="0"/>
      <w:marRight w:val="0"/>
      <w:marTop w:val="0"/>
      <w:marBottom w:val="0"/>
      <w:divBdr>
        <w:top w:val="none" w:sz="0" w:space="0" w:color="auto"/>
        <w:left w:val="none" w:sz="0" w:space="0" w:color="auto"/>
        <w:bottom w:val="none" w:sz="0" w:space="0" w:color="auto"/>
        <w:right w:val="none" w:sz="0" w:space="0" w:color="auto"/>
      </w:divBdr>
    </w:div>
    <w:div w:id="257449279">
      <w:bodyDiv w:val="1"/>
      <w:marLeft w:val="0"/>
      <w:marRight w:val="0"/>
      <w:marTop w:val="0"/>
      <w:marBottom w:val="0"/>
      <w:divBdr>
        <w:top w:val="none" w:sz="0" w:space="0" w:color="auto"/>
        <w:left w:val="none" w:sz="0" w:space="0" w:color="auto"/>
        <w:bottom w:val="none" w:sz="0" w:space="0" w:color="auto"/>
        <w:right w:val="none" w:sz="0" w:space="0" w:color="auto"/>
      </w:divBdr>
    </w:div>
    <w:div w:id="257569127">
      <w:bodyDiv w:val="1"/>
      <w:marLeft w:val="0"/>
      <w:marRight w:val="0"/>
      <w:marTop w:val="0"/>
      <w:marBottom w:val="0"/>
      <w:divBdr>
        <w:top w:val="none" w:sz="0" w:space="0" w:color="auto"/>
        <w:left w:val="none" w:sz="0" w:space="0" w:color="auto"/>
        <w:bottom w:val="none" w:sz="0" w:space="0" w:color="auto"/>
        <w:right w:val="none" w:sz="0" w:space="0" w:color="auto"/>
      </w:divBdr>
    </w:div>
    <w:div w:id="257638212">
      <w:bodyDiv w:val="1"/>
      <w:marLeft w:val="0"/>
      <w:marRight w:val="0"/>
      <w:marTop w:val="0"/>
      <w:marBottom w:val="0"/>
      <w:divBdr>
        <w:top w:val="none" w:sz="0" w:space="0" w:color="auto"/>
        <w:left w:val="none" w:sz="0" w:space="0" w:color="auto"/>
        <w:bottom w:val="none" w:sz="0" w:space="0" w:color="auto"/>
        <w:right w:val="none" w:sz="0" w:space="0" w:color="auto"/>
      </w:divBdr>
    </w:div>
    <w:div w:id="257644944">
      <w:bodyDiv w:val="1"/>
      <w:marLeft w:val="0"/>
      <w:marRight w:val="0"/>
      <w:marTop w:val="0"/>
      <w:marBottom w:val="0"/>
      <w:divBdr>
        <w:top w:val="none" w:sz="0" w:space="0" w:color="auto"/>
        <w:left w:val="none" w:sz="0" w:space="0" w:color="auto"/>
        <w:bottom w:val="none" w:sz="0" w:space="0" w:color="auto"/>
        <w:right w:val="none" w:sz="0" w:space="0" w:color="auto"/>
      </w:divBdr>
    </w:div>
    <w:div w:id="257759273">
      <w:bodyDiv w:val="1"/>
      <w:marLeft w:val="0"/>
      <w:marRight w:val="0"/>
      <w:marTop w:val="0"/>
      <w:marBottom w:val="0"/>
      <w:divBdr>
        <w:top w:val="none" w:sz="0" w:space="0" w:color="auto"/>
        <w:left w:val="none" w:sz="0" w:space="0" w:color="auto"/>
        <w:bottom w:val="none" w:sz="0" w:space="0" w:color="auto"/>
        <w:right w:val="none" w:sz="0" w:space="0" w:color="auto"/>
      </w:divBdr>
    </w:div>
    <w:div w:id="257833289">
      <w:bodyDiv w:val="1"/>
      <w:marLeft w:val="0"/>
      <w:marRight w:val="0"/>
      <w:marTop w:val="0"/>
      <w:marBottom w:val="0"/>
      <w:divBdr>
        <w:top w:val="none" w:sz="0" w:space="0" w:color="auto"/>
        <w:left w:val="none" w:sz="0" w:space="0" w:color="auto"/>
        <w:bottom w:val="none" w:sz="0" w:space="0" w:color="auto"/>
        <w:right w:val="none" w:sz="0" w:space="0" w:color="auto"/>
      </w:divBdr>
    </w:div>
    <w:div w:id="257907419">
      <w:bodyDiv w:val="1"/>
      <w:marLeft w:val="0"/>
      <w:marRight w:val="0"/>
      <w:marTop w:val="0"/>
      <w:marBottom w:val="0"/>
      <w:divBdr>
        <w:top w:val="none" w:sz="0" w:space="0" w:color="auto"/>
        <w:left w:val="none" w:sz="0" w:space="0" w:color="auto"/>
        <w:bottom w:val="none" w:sz="0" w:space="0" w:color="auto"/>
        <w:right w:val="none" w:sz="0" w:space="0" w:color="auto"/>
      </w:divBdr>
    </w:div>
    <w:div w:id="257956776">
      <w:bodyDiv w:val="1"/>
      <w:marLeft w:val="0"/>
      <w:marRight w:val="0"/>
      <w:marTop w:val="0"/>
      <w:marBottom w:val="0"/>
      <w:divBdr>
        <w:top w:val="none" w:sz="0" w:space="0" w:color="auto"/>
        <w:left w:val="none" w:sz="0" w:space="0" w:color="auto"/>
        <w:bottom w:val="none" w:sz="0" w:space="0" w:color="auto"/>
        <w:right w:val="none" w:sz="0" w:space="0" w:color="auto"/>
      </w:divBdr>
    </w:div>
    <w:div w:id="257981944">
      <w:bodyDiv w:val="1"/>
      <w:marLeft w:val="0"/>
      <w:marRight w:val="0"/>
      <w:marTop w:val="0"/>
      <w:marBottom w:val="0"/>
      <w:divBdr>
        <w:top w:val="none" w:sz="0" w:space="0" w:color="auto"/>
        <w:left w:val="none" w:sz="0" w:space="0" w:color="auto"/>
        <w:bottom w:val="none" w:sz="0" w:space="0" w:color="auto"/>
        <w:right w:val="none" w:sz="0" w:space="0" w:color="auto"/>
      </w:divBdr>
    </w:div>
    <w:div w:id="258174110">
      <w:bodyDiv w:val="1"/>
      <w:marLeft w:val="0"/>
      <w:marRight w:val="0"/>
      <w:marTop w:val="0"/>
      <w:marBottom w:val="0"/>
      <w:divBdr>
        <w:top w:val="none" w:sz="0" w:space="0" w:color="auto"/>
        <w:left w:val="none" w:sz="0" w:space="0" w:color="auto"/>
        <w:bottom w:val="none" w:sz="0" w:space="0" w:color="auto"/>
        <w:right w:val="none" w:sz="0" w:space="0" w:color="auto"/>
      </w:divBdr>
    </w:div>
    <w:div w:id="258222527">
      <w:bodyDiv w:val="1"/>
      <w:marLeft w:val="0"/>
      <w:marRight w:val="0"/>
      <w:marTop w:val="0"/>
      <w:marBottom w:val="0"/>
      <w:divBdr>
        <w:top w:val="none" w:sz="0" w:space="0" w:color="auto"/>
        <w:left w:val="none" w:sz="0" w:space="0" w:color="auto"/>
        <w:bottom w:val="none" w:sz="0" w:space="0" w:color="auto"/>
        <w:right w:val="none" w:sz="0" w:space="0" w:color="auto"/>
      </w:divBdr>
    </w:div>
    <w:div w:id="258298387">
      <w:bodyDiv w:val="1"/>
      <w:marLeft w:val="0"/>
      <w:marRight w:val="0"/>
      <w:marTop w:val="0"/>
      <w:marBottom w:val="0"/>
      <w:divBdr>
        <w:top w:val="none" w:sz="0" w:space="0" w:color="auto"/>
        <w:left w:val="none" w:sz="0" w:space="0" w:color="auto"/>
        <w:bottom w:val="none" w:sz="0" w:space="0" w:color="auto"/>
        <w:right w:val="none" w:sz="0" w:space="0" w:color="auto"/>
      </w:divBdr>
    </w:div>
    <w:div w:id="258369102">
      <w:bodyDiv w:val="1"/>
      <w:marLeft w:val="0"/>
      <w:marRight w:val="0"/>
      <w:marTop w:val="0"/>
      <w:marBottom w:val="0"/>
      <w:divBdr>
        <w:top w:val="none" w:sz="0" w:space="0" w:color="auto"/>
        <w:left w:val="none" w:sz="0" w:space="0" w:color="auto"/>
        <w:bottom w:val="none" w:sz="0" w:space="0" w:color="auto"/>
        <w:right w:val="none" w:sz="0" w:space="0" w:color="auto"/>
      </w:divBdr>
    </w:div>
    <w:div w:id="258369624">
      <w:bodyDiv w:val="1"/>
      <w:marLeft w:val="0"/>
      <w:marRight w:val="0"/>
      <w:marTop w:val="0"/>
      <w:marBottom w:val="0"/>
      <w:divBdr>
        <w:top w:val="none" w:sz="0" w:space="0" w:color="auto"/>
        <w:left w:val="none" w:sz="0" w:space="0" w:color="auto"/>
        <w:bottom w:val="none" w:sz="0" w:space="0" w:color="auto"/>
        <w:right w:val="none" w:sz="0" w:space="0" w:color="auto"/>
      </w:divBdr>
    </w:div>
    <w:div w:id="258559838">
      <w:bodyDiv w:val="1"/>
      <w:marLeft w:val="0"/>
      <w:marRight w:val="0"/>
      <w:marTop w:val="0"/>
      <w:marBottom w:val="0"/>
      <w:divBdr>
        <w:top w:val="none" w:sz="0" w:space="0" w:color="auto"/>
        <w:left w:val="none" w:sz="0" w:space="0" w:color="auto"/>
        <w:bottom w:val="none" w:sz="0" w:space="0" w:color="auto"/>
        <w:right w:val="none" w:sz="0" w:space="0" w:color="auto"/>
      </w:divBdr>
    </w:div>
    <w:div w:id="258635864">
      <w:bodyDiv w:val="1"/>
      <w:marLeft w:val="0"/>
      <w:marRight w:val="0"/>
      <w:marTop w:val="0"/>
      <w:marBottom w:val="0"/>
      <w:divBdr>
        <w:top w:val="none" w:sz="0" w:space="0" w:color="auto"/>
        <w:left w:val="none" w:sz="0" w:space="0" w:color="auto"/>
        <w:bottom w:val="none" w:sz="0" w:space="0" w:color="auto"/>
        <w:right w:val="none" w:sz="0" w:space="0" w:color="auto"/>
      </w:divBdr>
    </w:div>
    <w:div w:id="258636473">
      <w:bodyDiv w:val="1"/>
      <w:marLeft w:val="0"/>
      <w:marRight w:val="0"/>
      <w:marTop w:val="0"/>
      <w:marBottom w:val="0"/>
      <w:divBdr>
        <w:top w:val="none" w:sz="0" w:space="0" w:color="auto"/>
        <w:left w:val="none" w:sz="0" w:space="0" w:color="auto"/>
        <w:bottom w:val="none" w:sz="0" w:space="0" w:color="auto"/>
        <w:right w:val="none" w:sz="0" w:space="0" w:color="auto"/>
      </w:divBdr>
    </w:div>
    <w:div w:id="258680696">
      <w:bodyDiv w:val="1"/>
      <w:marLeft w:val="0"/>
      <w:marRight w:val="0"/>
      <w:marTop w:val="0"/>
      <w:marBottom w:val="0"/>
      <w:divBdr>
        <w:top w:val="none" w:sz="0" w:space="0" w:color="auto"/>
        <w:left w:val="none" w:sz="0" w:space="0" w:color="auto"/>
        <w:bottom w:val="none" w:sz="0" w:space="0" w:color="auto"/>
        <w:right w:val="none" w:sz="0" w:space="0" w:color="auto"/>
      </w:divBdr>
    </w:div>
    <w:div w:id="258757120">
      <w:bodyDiv w:val="1"/>
      <w:marLeft w:val="0"/>
      <w:marRight w:val="0"/>
      <w:marTop w:val="0"/>
      <w:marBottom w:val="0"/>
      <w:divBdr>
        <w:top w:val="none" w:sz="0" w:space="0" w:color="auto"/>
        <w:left w:val="none" w:sz="0" w:space="0" w:color="auto"/>
        <w:bottom w:val="none" w:sz="0" w:space="0" w:color="auto"/>
        <w:right w:val="none" w:sz="0" w:space="0" w:color="auto"/>
      </w:divBdr>
    </w:div>
    <w:div w:id="258803839">
      <w:bodyDiv w:val="1"/>
      <w:marLeft w:val="0"/>
      <w:marRight w:val="0"/>
      <w:marTop w:val="0"/>
      <w:marBottom w:val="0"/>
      <w:divBdr>
        <w:top w:val="none" w:sz="0" w:space="0" w:color="auto"/>
        <w:left w:val="none" w:sz="0" w:space="0" w:color="auto"/>
        <w:bottom w:val="none" w:sz="0" w:space="0" w:color="auto"/>
        <w:right w:val="none" w:sz="0" w:space="0" w:color="auto"/>
      </w:divBdr>
    </w:div>
    <w:div w:id="258955710">
      <w:bodyDiv w:val="1"/>
      <w:marLeft w:val="0"/>
      <w:marRight w:val="0"/>
      <w:marTop w:val="0"/>
      <w:marBottom w:val="0"/>
      <w:divBdr>
        <w:top w:val="none" w:sz="0" w:space="0" w:color="auto"/>
        <w:left w:val="none" w:sz="0" w:space="0" w:color="auto"/>
        <w:bottom w:val="none" w:sz="0" w:space="0" w:color="auto"/>
        <w:right w:val="none" w:sz="0" w:space="0" w:color="auto"/>
      </w:divBdr>
    </w:div>
    <w:div w:id="258955732">
      <w:bodyDiv w:val="1"/>
      <w:marLeft w:val="0"/>
      <w:marRight w:val="0"/>
      <w:marTop w:val="0"/>
      <w:marBottom w:val="0"/>
      <w:divBdr>
        <w:top w:val="none" w:sz="0" w:space="0" w:color="auto"/>
        <w:left w:val="none" w:sz="0" w:space="0" w:color="auto"/>
        <w:bottom w:val="none" w:sz="0" w:space="0" w:color="auto"/>
        <w:right w:val="none" w:sz="0" w:space="0" w:color="auto"/>
      </w:divBdr>
    </w:div>
    <w:div w:id="259022534">
      <w:bodyDiv w:val="1"/>
      <w:marLeft w:val="0"/>
      <w:marRight w:val="0"/>
      <w:marTop w:val="0"/>
      <w:marBottom w:val="0"/>
      <w:divBdr>
        <w:top w:val="none" w:sz="0" w:space="0" w:color="auto"/>
        <w:left w:val="none" w:sz="0" w:space="0" w:color="auto"/>
        <w:bottom w:val="none" w:sz="0" w:space="0" w:color="auto"/>
        <w:right w:val="none" w:sz="0" w:space="0" w:color="auto"/>
      </w:divBdr>
    </w:div>
    <w:div w:id="259024254">
      <w:bodyDiv w:val="1"/>
      <w:marLeft w:val="0"/>
      <w:marRight w:val="0"/>
      <w:marTop w:val="0"/>
      <w:marBottom w:val="0"/>
      <w:divBdr>
        <w:top w:val="none" w:sz="0" w:space="0" w:color="auto"/>
        <w:left w:val="none" w:sz="0" w:space="0" w:color="auto"/>
        <w:bottom w:val="none" w:sz="0" w:space="0" w:color="auto"/>
        <w:right w:val="none" w:sz="0" w:space="0" w:color="auto"/>
      </w:divBdr>
    </w:div>
    <w:div w:id="259069888">
      <w:bodyDiv w:val="1"/>
      <w:marLeft w:val="0"/>
      <w:marRight w:val="0"/>
      <w:marTop w:val="0"/>
      <w:marBottom w:val="0"/>
      <w:divBdr>
        <w:top w:val="none" w:sz="0" w:space="0" w:color="auto"/>
        <w:left w:val="none" w:sz="0" w:space="0" w:color="auto"/>
        <w:bottom w:val="none" w:sz="0" w:space="0" w:color="auto"/>
        <w:right w:val="none" w:sz="0" w:space="0" w:color="auto"/>
      </w:divBdr>
    </w:div>
    <w:div w:id="259218472">
      <w:bodyDiv w:val="1"/>
      <w:marLeft w:val="0"/>
      <w:marRight w:val="0"/>
      <w:marTop w:val="0"/>
      <w:marBottom w:val="0"/>
      <w:divBdr>
        <w:top w:val="none" w:sz="0" w:space="0" w:color="auto"/>
        <w:left w:val="none" w:sz="0" w:space="0" w:color="auto"/>
        <w:bottom w:val="none" w:sz="0" w:space="0" w:color="auto"/>
        <w:right w:val="none" w:sz="0" w:space="0" w:color="auto"/>
      </w:divBdr>
    </w:div>
    <w:div w:id="259292693">
      <w:bodyDiv w:val="1"/>
      <w:marLeft w:val="0"/>
      <w:marRight w:val="0"/>
      <w:marTop w:val="0"/>
      <w:marBottom w:val="0"/>
      <w:divBdr>
        <w:top w:val="none" w:sz="0" w:space="0" w:color="auto"/>
        <w:left w:val="none" w:sz="0" w:space="0" w:color="auto"/>
        <w:bottom w:val="none" w:sz="0" w:space="0" w:color="auto"/>
        <w:right w:val="none" w:sz="0" w:space="0" w:color="auto"/>
      </w:divBdr>
    </w:div>
    <w:div w:id="259337034">
      <w:bodyDiv w:val="1"/>
      <w:marLeft w:val="0"/>
      <w:marRight w:val="0"/>
      <w:marTop w:val="0"/>
      <w:marBottom w:val="0"/>
      <w:divBdr>
        <w:top w:val="none" w:sz="0" w:space="0" w:color="auto"/>
        <w:left w:val="none" w:sz="0" w:space="0" w:color="auto"/>
        <w:bottom w:val="none" w:sz="0" w:space="0" w:color="auto"/>
        <w:right w:val="none" w:sz="0" w:space="0" w:color="auto"/>
      </w:divBdr>
    </w:div>
    <w:div w:id="259337674">
      <w:bodyDiv w:val="1"/>
      <w:marLeft w:val="0"/>
      <w:marRight w:val="0"/>
      <w:marTop w:val="0"/>
      <w:marBottom w:val="0"/>
      <w:divBdr>
        <w:top w:val="none" w:sz="0" w:space="0" w:color="auto"/>
        <w:left w:val="none" w:sz="0" w:space="0" w:color="auto"/>
        <w:bottom w:val="none" w:sz="0" w:space="0" w:color="auto"/>
        <w:right w:val="none" w:sz="0" w:space="0" w:color="auto"/>
      </w:divBdr>
    </w:div>
    <w:div w:id="259339100">
      <w:bodyDiv w:val="1"/>
      <w:marLeft w:val="0"/>
      <w:marRight w:val="0"/>
      <w:marTop w:val="0"/>
      <w:marBottom w:val="0"/>
      <w:divBdr>
        <w:top w:val="none" w:sz="0" w:space="0" w:color="auto"/>
        <w:left w:val="none" w:sz="0" w:space="0" w:color="auto"/>
        <w:bottom w:val="none" w:sz="0" w:space="0" w:color="auto"/>
        <w:right w:val="none" w:sz="0" w:space="0" w:color="auto"/>
      </w:divBdr>
    </w:div>
    <w:div w:id="259487865">
      <w:bodyDiv w:val="1"/>
      <w:marLeft w:val="0"/>
      <w:marRight w:val="0"/>
      <w:marTop w:val="0"/>
      <w:marBottom w:val="0"/>
      <w:divBdr>
        <w:top w:val="none" w:sz="0" w:space="0" w:color="auto"/>
        <w:left w:val="none" w:sz="0" w:space="0" w:color="auto"/>
        <w:bottom w:val="none" w:sz="0" w:space="0" w:color="auto"/>
        <w:right w:val="none" w:sz="0" w:space="0" w:color="auto"/>
      </w:divBdr>
    </w:div>
    <w:div w:id="259605418">
      <w:bodyDiv w:val="1"/>
      <w:marLeft w:val="0"/>
      <w:marRight w:val="0"/>
      <w:marTop w:val="0"/>
      <w:marBottom w:val="0"/>
      <w:divBdr>
        <w:top w:val="none" w:sz="0" w:space="0" w:color="auto"/>
        <w:left w:val="none" w:sz="0" w:space="0" w:color="auto"/>
        <w:bottom w:val="none" w:sz="0" w:space="0" w:color="auto"/>
        <w:right w:val="none" w:sz="0" w:space="0" w:color="auto"/>
      </w:divBdr>
    </w:div>
    <w:div w:id="259606209">
      <w:bodyDiv w:val="1"/>
      <w:marLeft w:val="0"/>
      <w:marRight w:val="0"/>
      <w:marTop w:val="0"/>
      <w:marBottom w:val="0"/>
      <w:divBdr>
        <w:top w:val="none" w:sz="0" w:space="0" w:color="auto"/>
        <w:left w:val="none" w:sz="0" w:space="0" w:color="auto"/>
        <w:bottom w:val="none" w:sz="0" w:space="0" w:color="auto"/>
        <w:right w:val="none" w:sz="0" w:space="0" w:color="auto"/>
      </w:divBdr>
    </w:div>
    <w:div w:id="259611357">
      <w:bodyDiv w:val="1"/>
      <w:marLeft w:val="0"/>
      <w:marRight w:val="0"/>
      <w:marTop w:val="0"/>
      <w:marBottom w:val="0"/>
      <w:divBdr>
        <w:top w:val="none" w:sz="0" w:space="0" w:color="auto"/>
        <w:left w:val="none" w:sz="0" w:space="0" w:color="auto"/>
        <w:bottom w:val="none" w:sz="0" w:space="0" w:color="auto"/>
        <w:right w:val="none" w:sz="0" w:space="0" w:color="auto"/>
      </w:divBdr>
    </w:div>
    <w:div w:id="259685574">
      <w:bodyDiv w:val="1"/>
      <w:marLeft w:val="0"/>
      <w:marRight w:val="0"/>
      <w:marTop w:val="0"/>
      <w:marBottom w:val="0"/>
      <w:divBdr>
        <w:top w:val="none" w:sz="0" w:space="0" w:color="auto"/>
        <w:left w:val="none" w:sz="0" w:space="0" w:color="auto"/>
        <w:bottom w:val="none" w:sz="0" w:space="0" w:color="auto"/>
        <w:right w:val="none" w:sz="0" w:space="0" w:color="auto"/>
      </w:divBdr>
    </w:div>
    <w:div w:id="259798622">
      <w:bodyDiv w:val="1"/>
      <w:marLeft w:val="0"/>
      <w:marRight w:val="0"/>
      <w:marTop w:val="0"/>
      <w:marBottom w:val="0"/>
      <w:divBdr>
        <w:top w:val="none" w:sz="0" w:space="0" w:color="auto"/>
        <w:left w:val="none" w:sz="0" w:space="0" w:color="auto"/>
        <w:bottom w:val="none" w:sz="0" w:space="0" w:color="auto"/>
        <w:right w:val="none" w:sz="0" w:space="0" w:color="auto"/>
      </w:divBdr>
    </w:div>
    <w:div w:id="259918355">
      <w:bodyDiv w:val="1"/>
      <w:marLeft w:val="0"/>
      <w:marRight w:val="0"/>
      <w:marTop w:val="0"/>
      <w:marBottom w:val="0"/>
      <w:divBdr>
        <w:top w:val="none" w:sz="0" w:space="0" w:color="auto"/>
        <w:left w:val="none" w:sz="0" w:space="0" w:color="auto"/>
        <w:bottom w:val="none" w:sz="0" w:space="0" w:color="auto"/>
        <w:right w:val="none" w:sz="0" w:space="0" w:color="auto"/>
      </w:divBdr>
    </w:div>
    <w:div w:id="260114964">
      <w:bodyDiv w:val="1"/>
      <w:marLeft w:val="0"/>
      <w:marRight w:val="0"/>
      <w:marTop w:val="0"/>
      <w:marBottom w:val="0"/>
      <w:divBdr>
        <w:top w:val="none" w:sz="0" w:space="0" w:color="auto"/>
        <w:left w:val="none" w:sz="0" w:space="0" w:color="auto"/>
        <w:bottom w:val="none" w:sz="0" w:space="0" w:color="auto"/>
        <w:right w:val="none" w:sz="0" w:space="0" w:color="auto"/>
      </w:divBdr>
    </w:div>
    <w:div w:id="260141393">
      <w:bodyDiv w:val="1"/>
      <w:marLeft w:val="0"/>
      <w:marRight w:val="0"/>
      <w:marTop w:val="0"/>
      <w:marBottom w:val="0"/>
      <w:divBdr>
        <w:top w:val="none" w:sz="0" w:space="0" w:color="auto"/>
        <w:left w:val="none" w:sz="0" w:space="0" w:color="auto"/>
        <w:bottom w:val="none" w:sz="0" w:space="0" w:color="auto"/>
        <w:right w:val="none" w:sz="0" w:space="0" w:color="auto"/>
      </w:divBdr>
    </w:div>
    <w:div w:id="260141702">
      <w:bodyDiv w:val="1"/>
      <w:marLeft w:val="0"/>
      <w:marRight w:val="0"/>
      <w:marTop w:val="0"/>
      <w:marBottom w:val="0"/>
      <w:divBdr>
        <w:top w:val="none" w:sz="0" w:space="0" w:color="auto"/>
        <w:left w:val="none" w:sz="0" w:space="0" w:color="auto"/>
        <w:bottom w:val="none" w:sz="0" w:space="0" w:color="auto"/>
        <w:right w:val="none" w:sz="0" w:space="0" w:color="auto"/>
      </w:divBdr>
    </w:div>
    <w:div w:id="260185986">
      <w:bodyDiv w:val="1"/>
      <w:marLeft w:val="0"/>
      <w:marRight w:val="0"/>
      <w:marTop w:val="0"/>
      <w:marBottom w:val="0"/>
      <w:divBdr>
        <w:top w:val="none" w:sz="0" w:space="0" w:color="auto"/>
        <w:left w:val="none" w:sz="0" w:space="0" w:color="auto"/>
        <w:bottom w:val="none" w:sz="0" w:space="0" w:color="auto"/>
        <w:right w:val="none" w:sz="0" w:space="0" w:color="auto"/>
      </w:divBdr>
    </w:div>
    <w:div w:id="260264880">
      <w:bodyDiv w:val="1"/>
      <w:marLeft w:val="0"/>
      <w:marRight w:val="0"/>
      <w:marTop w:val="0"/>
      <w:marBottom w:val="0"/>
      <w:divBdr>
        <w:top w:val="none" w:sz="0" w:space="0" w:color="auto"/>
        <w:left w:val="none" w:sz="0" w:space="0" w:color="auto"/>
        <w:bottom w:val="none" w:sz="0" w:space="0" w:color="auto"/>
        <w:right w:val="none" w:sz="0" w:space="0" w:color="auto"/>
      </w:divBdr>
    </w:div>
    <w:div w:id="260338283">
      <w:bodyDiv w:val="1"/>
      <w:marLeft w:val="0"/>
      <w:marRight w:val="0"/>
      <w:marTop w:val="0"/>
      <w:marBottom w:val="0"/>
      <w:divBdr>
        <w:top w:val="none" w:sz="0" w:space="0" w:color="auto"/>
        <w:left w:val="none" w:sz="0" w:space="0" w:color="auto"/>
        <w:bottom w:val="none" w:sz="0" w:space="0" w:color="auto"/>
        <w:right w:val="none" w:sz="0" w:space="0" w:color="auto"/>
      </w:divBdr>
    </w:div>
    <w:div w:id="260376115">
      <w:bodyDiv w:val="1"/>
      <w:marLeft w:val="0"/>
      <w:marRight w:val="0"/>
      <w:marTop w:val="0"/>
      <w:marBottom w:val="0"/>
      <w:divBdr>
        <w:top w:val="none" w:sz="0" w:space="0" w:color="auto"/>
        <w:left w:val="none" w:sz="0" w:space="0" w:color="auto"/>
        <w:bottom w:val="none" w:sz="0" w:space="0" w:color="auto"/>
        <w:right w:val="none" w:sz="0" w:space="0" w:color="auto"/>
      </w:divBdr>
    </w:div>
    <w:div w:id="260530614">
      <w:bodyDiv w:val="1"/>
      <w:marLeft w:val="0"/>
      <w:marRight w:val="0"/>
      <w:marTop w:val="0"/>
      <w:marBottom w:val="0"/>
      <w:divBdr>
        <w:top w:val="none" w:sz="0" w:space="0" w:color="auto"/>
        <w:left w:val="none" w:sz="0" w:space="0" w:color="auto"/>
        <w:bottom w:val="none" w:sz="0" w:space="0" w:color="auto"/>
        <w:right w:val="none" w:sz="0" w:space="0" w:color="auto"/>
      </w:divBdr>
    </w:div>
    <w:div w:id="260534433">
      <w:bodyDiv w:val="1"/>
      <w:marLeft w:val="0"/>
      <w:marRight w:val="0"/>
      <w:marTop w:val="0"/>
      <w:marBottom w:val="0"/>
      <w:divBdr>
        <w:top w:val="none" w:sz="0" w:space="0" w:color="auto"/>
        <w:left w:val="none" w:sz="0" w:space="0" w:color="auto"/>
        <w:bottom w:val="none" w:sz="0" w:space="0" w:color="auto"/>
        <w:right w:val="none" w:sz="0" w:space="0" w:color="auto"/>
      </w:divBdr>
    </w:div>
    <w:div w:id="260577208">
      <w:bodyDiv w:val="1"/>
      <w:marLeft w:val="0"/>
      <w:marRight w:val="0"/>
      <w:marTop w:val="0"/>
      <w:marBottom w:val="0"/>
      <w:divBdr>
        <w:top w:val="none" w:sz="0" w:space="0" w:color="auto"/>
        <w:left w:val="none" w:sz="0" w:space="0" w:color="auto"/>
        <w:bottom w:val="none" w:sz="0" w:space="0" w:color="auto"/>
        <w:right w:val="none" w:sz="0" w:space="0" w:color="auto"/>
      </w:divBdr>
    </w:div>
    <w:div w:id="260645356">
      <w:bodyDiv w:val="1"/>
      <w:marLeft w:val="0"/>
      <w:marRight w:val="0"/>
      <w:marTop w:val="0"/>
      <w:marBottom w:val="0"/>
      <w:divBdr>
        <w:top w:val="none" w:sz="0" w:space="0" w:color="auto"/>
        <w:left w:val="none" w:sz="0" w:space="0" w:color="auto"/>
        <w:bottom w:val="none" w:sz="0" w:space="0" w:color="auto"/>
        <w:right w:val="none" w:sz="0" w:space="0" w:color="auto"/>
      </w:divBdr>
    </w:div>
    <w:div w:id="260845736">
      <w:bodyDiv w:val="1"/>
      <w:marLeft w:val="0"/>
      <w:marRight w:val="0"/>
      <w:marTop w:val="0"/>
      <w:marBottom w:val="0"/>
      <w:divBdr>
        <w:top w:val="none" w:sz="0" w:space="0" w:color="auto"/>
        <w:left w:val="none" w:sz="0" w:space="0" w:color="auto"/>
        <w:bottom w:val="none" w:sz="0" w:space="0" w:color="auto"/>
        <w:right w:val="none" w:sz="0" w:space="0" w:color="auto"/>
      </w:divBdr>
    </w:div>
    <w:div w:id="260913145">
      <w:bodyDiv w:val="1"/>
      <w:marLeft w:val="0"/>
      <w:marRight w:val="0"/>
      <w:marTop w:val="0"/>
      <w:marBottom w:val="0"/>
      <w:divBdr>
        <w:top w:val="none" w:sz="0" w:space="0" w:color="auto"/>
        <w:left w:val="none" w:sz="0" w:space="0" w:color="auto"/>
        <w:bottom w:val="none" w:sz="0" w:space="0" w:color="auto"/>
        <w:right w:val="none" w:sz="0" w:space="0" w:color="auto"/>
      </w:divBdr>
    </w:div>
    <w:div w:id="260915642">
      <w:bodyDiv w:val="1"/>
      <w:marLeft w:val="0"/>
      <w:marRight w:val="0"/>
      <w:marTop w:val="0"/>
      <w:marBottom w:val="0"/>
      <w:divBdr>
        <w:top w:val="none" w:sz="0" w:space="0" w:color="auto"/>
        <w:left w:val="none" w:sz="0" w:space="0" w:color="auto"/>
        <w:bottom w:val="none" w:sz="0" w:space="0" w:color="auto"/>
        <w:right w:val="none" w:sz="0" w:space="0" w:color="auto"/>
      </w:divBdr>
    </w:div>
    <w:div w:id="260921709">
      <w:bodyDiv w:val="1"/>
      <w:marLeft w:val="0"/>
      <w:marRight w:val="0"/>
      <w:marTop w:val="0"/>
      <w:marBottom w:val="0"/>
      <w:divBdr>
        <w:top w:val="none" w:sz="0" w:space="0" w:color="auto"/>
        <w:left w:val="none" w:sz="0" w:space="0" w:color="auto"/>
        <w:bottom w:val="none" w:sz="0" w:space="0" w:color="auto"/>
        <w:right w:val="none" w:sz="0" w:space="0" w:color="auto"/>
      </w:divBdr>
    </w:div>
    <w:div w:id="261039636">
      <w:bodyDiv w:val="1"/>
      <w:marLeft w:val="0"/>
      <w:marRight w:val="0"/>
      <w:marTop w:val="0"/>
      <w:marBottom w:val="0"/>
      <w:divBdr>
        <w:top w:val="none" w:sz="0" w:space="0" w:color="auto"/>
        <w:left w:val="none" w:sz="0" w:space="0" w:color="auto"/>
        <w:bottom w:val="none" w:sz="0" w:space="0" w:color="auto"/>
        <w:right w:val="none" w:sz="0" w:space="0" w:color="auto"/>
      </w:divBdr>
    </w:div>
    <w:div w:id="261111085">
      <w:bodyDiv w:val="1"/>
      <w:marLeft w:val="0"/>
      <w:marRight w:val="0"/>
      <w:marTop w:val="0"/>
      <w:marBottom w:val="0"/>
      <w:divBdr>
        <w:top w:val="none" w:sz="0" w:space="0" w:color="auto"/>
        <w:left w:val="none" w:sz="0" w:space="0" w:color="auto"/>
        <w:bottom w:val="none" w:sz="0" w:space="0" w:color="auto"/>
        <w:right w:val="none" w:sz="0" w:space="0" w:color="auto"/>
      </w:divBdr>
    </w:div>
    <w:div w:id="261114438">
      <w:bodyDiv w:val="1"/>
      <w:marLeft w:val="0"/>
      <w:marRight w:val="0"/>
      <w:marTop w:val="0"/>
      <w:marBottom w:val="0"/>
      <w:divBdr>
        <w:top w:val="none" w:sz="0" w:space="0" w:color="auto"/>
        <w:left w:val="none" w:sz="0" w:space="0" w:color="auto"/>
        <w:bottom w:val="none" w:sz="0" w:space="0" w:color="auto"/>
        <w:right w:val="none" w:sz="0" w:space="0" w:color="auto"/>
      </w:divBdr>
    </w:div>
    <w:div w:id="261181439">
      <w:bodyDiv w:val="1"/>
      <w:marLeft w:val="0"/>
      <w:marRight w:val="0"/>
      <w:marTop w:val="0"/>
      <w:marBottom w:val="0"/>
      <w:divBdr>
        <w:top w:val="none" w:sz="0" w:space="0" w:color="auto"/>
        <w:left w:val="none" w:sz="0" w:space="0" w:color="auto"/>
        <w:bottom w:val="none" w:sz="0" w:space="0" w:color="auto"/>
        <w:right w:val="none" w:sz="0" w:space="0" w:color="auto"/>
      </w:divBdr>
    </w:div>
    <w:div w:id="261186302">
      <w:bodyDiv w:val="1"/>
      <w:marLeft w:val="0"/>
      <w:marRight w:val="0"/>
      <w:marTop w:val="0"/>
      <w:marBottom w:val="0"/>
      <w:divBdr>
        <w:top w:val="none" w:sz="0" w:space="0" w:color="auto"/>
        <w:left w:val="none" w:sz="0" w:space="0" w:color="auto"/>
        <w:bottom w:val="none" w:sz="0" w:space="0" w:color="auto"/>
        <w:right w:val="none" w:sz="0" w:space="0" w:color="auto"/>
      </w:divBdr>
    </w:div>
    <w:div w:id="261258265">
      <w:bodyDiv w:val="1"/>
      <w:marLeft w:val="0"/>
      <w:marRight w:val="0"/>
      <w:marTop w:val="0"/>
      <w:marBottom w:val="0"/>
      <w:divBdr>
        <w:top w:val="none" w:sz="0" w:space="0" w:color="auto"/>
        <w:left w:val="none" w:sz="0" w:space="0" w:color="auto"/>
        <w:bottom w:val="none" w:sz="0" w:space="0" w:color="auto"/>
        <w:right w:val="none" w:sz="0" w:space="0" w:color="auto"/>
      </w:divBdr>
    </w:div>
    <w:div w:id="261299440">
      <w:bodyDiv w:val="1"/>
      <w:marLeft w:val="0"/>
      <w:marRight w:val="0"/>
      <w:marTop w:val="0"/>
      <w:marBottom w:val="0"/>
      <w:divBdr>
        <w:top w:val="none" w:sz="0" w:space="0" w:color="auto"/>
        <w:left w:val="none" w:sz="0" w:space="0" w:color="auto"/>
        <w:bottom w:val="none" w:sz="0" w:space="0" w:color="auto"/>
        <w:right w:val="none" w:sz="0" w:space="0" w:color="auto"/>
      </w:divBdr>
    </w:div>
    <w:div w:id="261450258">
      <w:bodyDiv w:val="1"/>
      <w:marLeft w:val="0"/>
      <w:marRight w:val="0"/>
      <w:marTop w:val="0"/>
      <w:marBottom w:val="0"/>
      <w:divBdr>
        <w:top w:val="none" w:sz="0" w:space="0" w:color="auto"/>
        <w:left w:val="none" w:sz="0" w:space="0" w:color="auto"/>
        <w:bottom w:val="none" w:sz="0" w:space="0" w:color="auto"/>
        <w:right w:val="none" w:sz="0" w:space="0" w:color="auto"/>
      </w:divBdr>
    </w:div>
    <w:div w:id="261497455">
      <w:bodyDiv w:val="1"/>
      <w:marLeft w:val="0"/>
      <w:marRight w:val="0"/>
      <w:marTop w:val="0"/>
      <w:marBottom w:val="0"/>
      <w:divBdr>
        <w:top w:val="none" w:sz="0" w:space="0" w:color="auto"/>
        <w:left w:val="none" w:sz="0" w:space="0" w:color="auto"/>
        <w:bottom w:val="none" w:sz="0" w:space="0" w:color="auto"/>
        <w:right w:val="none" w:sz="0" w:space="0" w:color="auto"/>
      </w:divBdr>
    </w:div>
    <w:div w:id="261499300">
      <w:bodyDiv w:val="1"/>
      <w:marLeft w:val="0"/>
      <w:marRight w:val="0"/>
      <w:marTop w:val="0"/>
      <w:marBottom w:val="0"/>
      <w:divBdr>
        <w:top w:val="none" w:sz="0" w:space="0" w:color="auto"/>
        <w:left w:val="none" w:sz="0" w:space="0" w:color="auto"/>
        <w:bottom w:val="none" w:sz="0" w:space="0" w:color="auto"/>
        <w:right w:val="none" w:sz="0" w:space="0" w:color="auto"/>
      </w:divBdr>
    </w:div>
    <w:div w:id="261500813">
      <w:bodyDiv w:val="1"/>
      <w:marLeft w:val="0"/>
      <w:marRight w:val="0"/>
      <w:marTop w:val="0"/>
      <w:marBottom w:val="0"/>
      <w:divBdr>
        <w:top w:val="none" w:sz="0" w:space="0" w:color="auto"/>
        <w:left w:val="none" w:sz="0" w:space="0" w:color="auto"/>
        <w:bottom w:val="none" w:sz="0" w:space="0" w:color="auto"/>
        <w:right w:val="none" w:sz="0" w:space="0" w:color="auto"/>
      </w:divBdr>
    </w:div>
    <w:div w:id="261573506">
      <w:bodyDiv w:val="1"/>
      <w:marLeft w:val="0"/>
      <w:marRight w:val="0"/>
      <w:marTop w:val="0"/>
      <w:marBottom w:val="0"/>
      <w:divBdr>
        <w:top w:val="none" w:sz="0" w:space="0" w:color="auto"/>
        <w:left w:val="none" w:sz="0" w:space="0" w:color="auto"/>
        <w:bottom w:val="none" w:sz="0" w:space="0" w:color="auto"/>
        <w:right w:val="none" w:sz="0" w:space="0" w:color="auto"/>
      </w:divBdr>
    </w:div>
    <w:div w:id="261646039">
      <w:bodyDiv w:val="1"/>
      <w:marLeft w:val="0"/>
      <w:marRight w:val="0"/>
      <w:marTop w:val="0"/>
      <w:marBottom w:val="0"/>
      <w:divBdr>
        <w:top w:val="none" w:sz="0" w:space="0" w:color="auto"/>
        <w:left w:val="none" w:sz="0" w:space="0" w:color="auto"/>
        <w:bottom w:val="none" w:sz="0" w:space="0" w:color="auto"/>
        <w:right w:val="none" w:sz="0" w:space="0" w:color="auto"/>
      </w:divBdr>
    </w:div>
    <w:div w:id="261688722">
      <w:bodyDiv w:val="1"/>
      <w:marLeft w:val="0"/>
      <w:marRight w:val="0"/>
      <w:marTop w:val="0"/>
      <w:marBottom w:val="0"/>
      <w:divBdr>
        <w:top w:val="none" w:sz="0" w:space="0" w:color="auto"/>
        <w:left w:val="none" w:sz="0" w:space="0" w:color="auto"/>
        <w:bottom w:val="none" w:sz="0" w:space="0" w:color="auto"/>
        <w:right w:val="none" w:sz="0" w:space="0" w:color="auto"/>
      </w:divBdr>
    </w:div>
    <w:div w:id="261689231">
      <w:bodyDiv w:val="1"/>
      <w:marLeft w:val="0"/>
      <w:marRight w:val="0"/>
      <w:marTop w:val="0"/>
      <w:marBottom w:val="0"/>
      <w:divBdr>
        <w:top w:val="none" w:sz="0" w:space="0" w:color="auto"/>
        <w:left w:val="none" w:sz="0" w:space="0" w:color="auto"/>
        <w:bottom w:val="none" w:sz="0" w:space="0" w:color="auto"/>
        <w:right w:val="none" w:sz="0" w:space="0" w:color="auto"/>
      </w:divBdr>
    </w:div>
    <w:div w:id="261689760">
      <w:bodyDiv w:val="1"/>
      <w:marLeft w:val="0"/>
      <w:marRight w:val="0"/>
      <w:marTop w:val="0"/>
      <w:marBottom w:val="0"/>
      <w:divBdr>
        <w:top w:val="none" w:sz="0" w:space="0" w:color="auto"/>
        <w:left w:val="none" w:sz="0" w:space="0" w:color="auto"/>
        <w:bottom w:val="none" w:sz="0" w:space="0" w:color="auto"/>
        <w:right w:val="none" w:sz="0" w:space="0" w:color="auto"/>
      </w:divBdr>
    </w:div>
    <w:div w:id="261690467">
      <w:bodyDiv w:val="1"/>
      <w:marLeft w:val="0"/>
      <w:marRight w:val="0"/>
      <w:marTop w:val="0"/>
      <w:marBottom w:val="0"/>
      <w:divBdr>
        <w:top w:val="none" w:sz="0" w:space="0" w:color="auto"/>
        <w:left w:val="none" w:sz="0" w:space="0" w:color="auto"/>
        <w:bottom w:val="none" w:sz="0" w:space="0" w:color="auto"/>
        <w:right w:val="none" w:sz="0" w:space="0" w:color="auto"/>
      </w:divBdr>
    </w:div>
    <w:div w:id="261695059">
      <w:bodyDiv w:val="1"/>
      <w:marLeft w:val="0"/>
      <w:marRight w:val="0"/>
      <w:marTop w:val="0"/>
      <w:marBottom w:val="0"/>
      <w:divBdr>
        <w:top w:val="none" w:sz="0" w:space="0" w:color="auto"/>
        <w:left w:val="none" w:sz="0" w:space="0" w:color="auto"/>
        <w:bottom w:val="none" w:sz="0" w:space="0" w:color="auto"/>
        <w:right w:val="none" w:sz="0" w:space="0" w:color="auto"/>
      </w:divBdr>
    </w:div>
    <w:div w:id="261841826">
      <w:bodyDiv w:val="1"/>
      <w:marLeft w:val="0"/>
      <w:marRight w:val="0"/>
      <w:marTop w:val="0"/>
      <w:marBottom w:val="0"/>
      <w:divBdr>
        <w:top w:val="none" w:sz="0" w:space="0" w:color="auto"/>
        <w:left w:val="none" w:sz="0" w:space="0" w:color="auto"/>
        <w:bottom w:val="none" w:sz="0" w:space="0" w:color="auto"/>
        <w:right w:val="none" w:sz="0" w:space="0" w:color="auto"/>
      </w:divBdr>
    </w:div>
    <w:div w:id="261845320">
      <w:bodyDiv w:val="1"/>
      <w:marLeft w:val="0"/>
      <w:marRight w:val="0"/>
      <w:marTop w:val="0"/>
      <w:marBottom w:val="0"/>
      <w:divBdr>
        <w:top w:val="none" w:sz="0" w:space="0" w:color="auto"/>
        <w:left w:val="none" w:sz="0" w:space="0" w:color="auto"/>
        <w:bottom w:val="none" w:sz="0" w:space="0" w:color="auto"/>
        <w:right w:val="none" w:sz="0" w:space="0" w:color="auto"/>
      </w:divBdr>
    </w:div>
    <w:div w:id="261845595">
      <w:bodyDiv w:val="1"/>
      <w:marLeft w:val="0"/>
      <w:marRight w:val="0"/>
      <w:marTop w:val="0"/>
      <w:marBottom w:val="0"/>
      <w:divBdr>
        <w:top w:val="none" w:sz="0" w:space="0" w:color="auto"/>
        <w:left w:val="none" w:sz="0" w:space="0" w:color="auto"/>
        <w:bottom w:val="none" w:sz="0" w:space="0" w:color="auto"/>
        <w:right w:val="none" w:sz="0" w:space="0" w:color="auto"/>
      </w:divBdr>
    </w:div>
    <w:div w:id="261882016">
      <w:bodyDiv w:val="1"/>
      <w:marLeft w:val="0"/>
      <w:marRight w:val="0"/>
      <w:marTop w:val="0"/>
      <w:marBottom w:val="0"/>
      <w:divBdr>
        <w:top w:val="none" w:sz="0" w:space="0" w:color="auto"/>
        <w:left w:val="none" w:sz="0" w:space="0" w:color="auto"/>
        <w:bottom w:val="none" w:sz="0" w:space="0" w:color="auto"/>
        <w:right w:val="none" w:sz="0" w:space="0" w:color="auto"/>
      </w:divBdr>
    </w:div>
    <w:div w:id="261912703">
      <w:bodyDiv w:val="1"/>
      <w:marLeft w:val="0"/>
      <w:marRight w:val="0"/>
      <w:marTop w:val="0"/>
      <w:marBottom w:val="0"/>
      <w:divBdr>
        <w:top w:val="none" w:sz="0" w:space="0" w:color="auto"/>
        <w:left w:val="none" w:sz="0" w:space="0" w:color="auto"/>
        <w:bottom w:val="none" w:sz="0" w:space="0" w:color="auto"/>
        <w:right w:val="none" w:sz="0" w:space="0" w:color="auto"/>
      </w:divBdr>
    </w:div>
    <w:div w:id="261958681">
      <w:bodyDiv w:val="1"/>
      <w:marLeft w:val="0"/>
      <w:marRight w:val="0"/>
      <w:marTop w:val="0"/>
      <w:marBottom w:val="0"/>
      <w:divBdr>
        <w:top w:val="none" w:sz="0" w:space="0" w:color="auto"/>
        <w:left w:val="none" w:sz="0" w:space="0" w:color="auto"/>
        <w:bottom w:val="none" w:sz="0" w:space="0" w:color="auto"/>
        <w:right w:val="none" w:sz="0" w:space="0" w:color="auto"/>
      </w:divBdr>
    </w:div>
    <w:div w:id="261963322">
      <w:bodyDiv w:val="1"/>
      <w:marLeft w:val="0"/>
      <w:marRight w:val="0"/>
      <w:marTop w:val="0"/>
      <w:marBottom w:val="0"/>
      <w:divBdr>
        <w:top w:val="none" w:sz="0" w:space="0" w:color="auto"/>
        <w:left w:val="none" w:sz="0" w:space="0" w:color="auto"/>
        <w:bottom w:val="none" w:sz="0" w:space="0" w:color="auto"/>
        <w:right w:val="none" w:sz="0" w:space="0" w:color="auto"/>
      </w:divBdr>
    </w:div>
    <w:div w:id="262037416">
      <w:bodyDiv w:val="1"/>
      <w:marLeft w:val="0"/>
      <w:marRight w:val="0"/>
      <w:marTop w:val="0"/>
      <w:marBottom w:val="0"/>
      <w:divBdr>
        <w:top w:val="none" w:sz="0" w:space="0" w:color="auto"/>
        <w:left w:val="none" w:sz="0" w:space="0" w:color="auto"/>
        <w:bottom w:val="none" w:sz="0" w:space="0" w:color="auto"/>
        <w:right w:val="none" w:sz="0" w:space="0" w:color="auto"/>
      </w:divBdr>
    </w:div>
    <w:div w:id="262038480">
      <w:bodyDiv w:val="1"/>
      <w:marLeft w:val="0"/>
      <w:marRight w:val="0"/>
      <w:marTop w:val="0"/>
      <w:marBottom w:val="0"/>
      <w:divBdr>
        <w:top w:val="none" w:sz="0" w:space="0" w:color="auto"/>
        <w:left w:val="none" w:sz="0" w:space="0" w:color="auto"/>
        <w:bottom w:val="none" w:sz="0" w:space="0" w:color="auto"/>
        <w:right w:val="none" w:sz="0" w:space="0" w:color="auto"/>
      </w:divBdr>
    </w:div>
    <w:div w:id="262153756">
      <w:bodyDiv w:val="1"/>
      <w:marLeft w:val="0"/>
      <w:marRight w:val="0"/>
      <w:marTop w:val="0"/>
      <w:marBottom w:val="0"/>
      <w:divBdr>
        <w:top w:val="none" w:sz="0" w:space="0" w:color="auto"/>
        <w:left w:val="none" w:sz="0" w:space="0" w:color="auto"/>
        <w:bottom w:val="none" w:sz="0" w:space="0" w:color="auto"/>
        <w:right w:val="none" w:sz="0" w:space="0" w:color="auto"/>
      </w:divBdr>
    </w:div>
    <w:div w:id="262155066">
      <w:bodyDiv w:val="1"/>
      <w:marLeft w:val="0"/>
      <w:marRight w:val="0"/>
      <w:marTop w:val="0"/>
      <w:marBottom w:val="0"/>
      <w:divBdr>
        <w:top w:val="none" w:sz="0" w:space="0" w:color="auto"/>
        <w:left w:val="none" w:sz="0" w:space="0" w:color="auto"/>
        <w:bottom w:val="none" w:sz="0" w:space="0" w:color="auto"/>
        <w:right w:val="none" w:sz="0" w:space="0" w:color="auto"/>
      </w:divBdr>
    </w:div>
    <w:div w:id="262226936">
      <w:bodyDiv w:val="1"/>
      <w:marLeft w:val="0"/>
      <w:marRight w:val="0"/>
      <w:marTop w:val="0"/>
      <w:marBottom w:val="0"/>
      <w:divBdr>
        <w:top w:val="none" w:sz="0" w:space="0" w:color="auto"/>
        <w:left w:val="none" w:sz="0" w:space="0" w:color="auto"/>
        <w:bottom w:val="none" w:sz="0" w:space="0" w:color="auto"/>
        <w:right w:val="none" w:sz="0" w:space="0" w:color="auto"/>
      </w:divBdr>
    </w:div>
    <w:div w:id="262303519">
      <w:bodyDiv w:val="1"/>
      <w:marLeft w:val="0"/>
      <w:marRight w:val="0"/>
      <w:marTop w:val="0"/>
      <w:marBottom w:val="0"/>
      <w:divBdr>
        <w:top w:val="none" w:sz="0" w:space="0" w:color="auto"/>
        <w:left w:val="none" w:sz="0" w:space="0" w:color="auto"/>
        <w:bottom w:val="none" w:sz="0" w:space="0" w:color="auto"/>
        <w:right w:val="none" w:sz="0" w:space="0" w:color="auto"/>
      </w:divBdr>
    </w:div>
    <w:div w:id="262347002">
      <w:bodyDiv w:val="1"/>
      <w:marLeft w:val="0"/>
      <w:marRight w:val="0"/>
      <w:marTop w:val="0"/>
      <w:marBottom w:val="0"/>
      <w:divBdr>
        <w:top w:val="none" w:sz="0" w:space="0" w:color="auto"/>
        <w:left w:val="none" w:sz="0" w:space="0" w:color="auto"/>
        <w:bottom w:val="none" w:sz="0" w:space="0" w:color="auto"/>
        <w:right w:val="none" w:sz="0" w:space="0" w:color="auto"/>
      </w:divBdr>
    </w:div>
    <w:div w:id="262347450">
      <w:bodyDiv w:val="1"/>
      <w:marLeft w:val="0"/>
      <w:marRight w:val="0"/>
      <w:marTop w:val="0"/>
      <w:marBottom w:val="0"/>
      <w:divBdr>
        <w:top w:val="none" w:sz="0" w:space="0" w:color="auto"/>
        <w:left w:val="none" w:sz="0" w:space="0" w:color="auto"/>
        <w:bottom w:val="none" w:sz="0" w:space="0" w:color="auto"/>
        <w:right w:val="none" w:sz="0" w:space="0" w:color="auto"/>
      </w:divBdr>
    </w:div>
    <w:div w:id="262492501">
      <w:bodyDiv w:val="1"/>
      <w:marLeft w:val="0"/>
      <w:marRight w:val="0"/>
      <w:marTop w:val="0"/>
      <w:marBottom w:val="0"/>
      <w:divBdr>
        <w:top w:val="none" w:sz="0" w:space="0" w:color="auto"/>
        <w:left w:val="none" w:sz="0" w:space="0" w:color="auto"/>
        <w:bottom w:val="none" w:sz="0" w:space="0" w:color="auto"/>
        <w:right w:val="none" w:sz="0" w:space="0" w:color="auto"/>
      </w:divBdr>
    </w:div>
    <w:div w:id="262500938">
      <w:bodyDiv w:val="1"/>
      <w:marLeft w:val="0"/>
      <w:marRight w:val="0"/>
      <w:marTop w:val="0"/>
      <w:marBottom w:val="0"/>
      <w:divBdr>
        <w:top w:val="none" w:sz="0" w:space="0" w:color="auto"/>
        <w:left w:val="none" w:sz="0" w:space="0" w:color="auto"/>
        <w:bottom w:val="none" w:sz="0" w:space="0" w:color="auto"/>
        <w:right w:val="none" w:sz="0" w:space="0" w:color="auto"/>
      </w:divBdr>
    </w:div>
    <w:div w:id="262687657">
      <w:bodyDiv w:val="1"/>
      <w:marLeft w:val="0"/>
      <w:marRight w:val="0"/>
      <w:marTop w:val="0"/>
      <w:marBottom w:val="0"/>
      <w:divBdr>
        <w:top w:val="none" w:sz="0" w:space="0" w:color="auto"/>
        <w:left w:val="none" w:sz="0" w:space="0" w:color="auto"/>
        <w:bottom w:val="none" w:sz="0" w:space="0" w:color="auto"/>
        <w:right w:val="none" w:sz="0" w:space="0" w:color="auto"/>
      </w:divBdr>
    </w:div>
    <w:div w:id="262690651">
      <w:bodyDiv w:val="1"/>
      <w:marLeft w:val="0"/>
      <w:marRight w:val="0"/>
      <w:marTop w:val="0"/>
      <w:marBottom w:val="0"/>
      <w:divBdr>
        <w:top w:val="none" w:sz="0" w:space="0" w:color="auto"/>
        <w:left w:val="none" w:sz="0" w:space="0" w:color="auto"/>
        <w:bottom w:val="none" w:sz="0" w:space="0" w:color="auto"/>
        <w:right w:val="none" w:sz="0" w:space="0" w:color="auto"/>
      </w:divBdr>
    </w:div>
    <w:div w:id="262885162">
      <w:bodyDiv w:val="1"/>
      <w:marLeft w:val="0"/>
      <w:marRight w:val="0"/>
      <w:marTop w:val="0"/>
      <w:marBottom w:val="0"/>
      <w:divBdr>
        <w:top w:val="none" w:sz="0" w:space="0" w:color="auto"/>
        <w:left w:val="none" w:sz="0" w:space="0" w:color="auto"/>
        <w:bottom w:val="none" w:sz="0" w:space="0" w:color="auto"/>
        <w:right w:val="none" w:sz="0" w:space="0" w:color="auto"/>
      </w:divBdr>
    </w:div>
    <w:div w:id="262956704">
      <w:bodyDiv w:val="1"/>
      <w:marLeft w:val="0"/>
      <w:marRight w:val="0"/>
      <w:marTop w:val="0"/>
      <w:marBottom w:val="0"/>
      <w:divBdr>
        <w:top w:val="none" w:sz="0" w:space="0" w:color="auto"/>
        <w:left w:val="none" w:sz="0" w:space="0" w:color="auto"/>
        <w:bottom w:val="none" w:sz="0" w:space="0" w:color="auto"/>
        <w:right w:val="none" w:sz="0" w:space="0" w:color="auto"/>
      </w:divBdr>
    </w:div>
    <w:div w:id="263005684">
      <w:bodyDiv w:val="1"/>
      <w:marLeft w:val="0"/>
      <w:marRight w:val="0"/>
      <w:marTop w:val="0"/>
      <w:marBottom w:val="0"/>
      <w:divBdr>
        <w:top w:val="none" w:sz="0" w:space="0" w:color="auto"/>
        <w:left w:val="none" w:sz="0" w:space="0" w:color="auto"/>
        <w:bottom w:val="none" w:sz="0" w:space="0" w:color="auto"/>
        <w:right w:val="none" w:sz="0" w:space="0" w:color="auto"/>
      </w:divBdr>
    </w:div>
    <w:div w:id="263075243">
      <w:bodyDiv w:val="1"/>
      <w:marLeft w:val="0"/>
      <w:marRight w:val="0"/>
      <w:marTop w:val="0"/>
      <w:marBottom w:val="0"/>
      <w:divBdr>
        <w:top w:val="none" w:sz="0" w:space="0" w:color="auto"/>
        <w:left w:val="none" w:sz="0" w:space="0" w:color="auto"/>
        <w:bottom w:val="none" w:sz="0" w:space="0" w:color="auto"/>
        <w:right w:val="none" w:sz="0" w:space="0" w:color="auto"/>
      </w:divBdr>
    </w:div>
    <w:div w:id="263149791">
      <w:bodyDiv w:val="1"/>
      <w:marLeft w:val="0"/>
      <w:marRight w:val="0"/>
      <w:marTop w:val="0"/>
      <w:marBottom w:val="0"/>
      <w:divBdr>
        <w:top w:val="none" w:sz="0" w:space="0" w:color="auto"/>
        <w:left w:val="none" w:sz="0" w:space="0" w:color="auto"/>
        <w:bottom w:val="none" w:sz="0" w:space="0" w:color="auto"/>
        <w:right w:val="none" w:sz="0" w:space="0" w:color="auto"/>
      </w:divBdr>
    </w:div>
    <w:div w:id="263156200">
      <w:bodyDiv w:val="1"/>
      <w:marLeft w:val="0"/>
      <w:marRight w:val="0"/>
      <w:marTop w:val="0"/>
      <w:marBottom w:val="0"/>
      <w:divBdr>
        <w:top w:val="none" w:sz="0" w:space="0" w:color="auto"/>
        <w:left w:val="none" w:sz="0" w:space="0" w:color="auto"/>
        <w:bottom w:val="none" w:sz="0" w:space="0" w:color="auto"/>
        <w:right w:val="none" w:sz="0" w:space="0" w:color="auto"/>
      </w:divBdr>
    </w:div>
    <w:div w:id="263266698">
      <w:bodyDiv w:val="1"/>
      <w:marLeft w:val="0"/>
      <w:marRight w:val="0"/>
      <w:marTop w:val="0"/>
      <w:marBottom w:val="0"/>
      <w:divBdr>
        <w:top w:val="none" w:sz="0" w:space="0" w:color="auto"/>
        <w:left w:val="none" w:sz="0" w:space="0" w:color="auto"/>
        <w:bottom w:val="none" w:sz="0" w:space="0" w:color="auto"/>
        <w:right w:val="none" w:sz="0" w:space="0" w:color="auto"/>
      </w:divBdr>
    </w:div>
    <w:div w:id="263272236">
      <w:bodyDiv w:val="1"/>
      <w:marLeft w:val="0"/>
      <w:marRight w:val="0"/>
      <w:marTop w:val="0"/>
      <w:marBottom w:val="0"/>
      <w:divBdr>
        <w:top w:val="none" w:sz="0" w:space="0" w:color="auto"/>
        <w:left w:val="none" w:sz="0" w:space="0" w:color="auto"/>
        <w:bottom w:val="none" w:sz="0" w:space="0" w:color="auto"/>
        <w:right w:val="none" w:sz="0" w:space="0" w:color="auto"/>
      </w:divBdr>
    </w:div>
    <w:div w:id="263342338">
      <w:bodyDiv w:val="1"/>
      <w:marLeft w:val="0"/>
      <w:marRight w:val="0"/>
      <w:marTop w:val="0"/>
      <w:marBottom w:val="0"/>
      <w:divBdr>
        <w:top w:val="none" w:sz="0" w:space="0" w:color="auto"/>
        <w:left w:val="none" w:sz="0" w:space="0" w:color="auto"/>
        <w:bottom w:val="none" w:sz="0" w:space="0" w:color="auto"/>
        <w:right w:val="none" w:sz="0" w:space="0" w:color="auto"/>
      </w:divBdr>
    </w:div>
    <w:div w:id="263464708">
      <w:bodyDiv w:val="1"/>
      <w:marLeft w:val="0"/>
      <w:marRight w:val="0"/>
      <w:marTop w:val="0"/>
      <w:marBottom w:val="0"/>
      <w:divBdr>
        <w:top w:val="none" w:sz="0" w:space="0" w:color="auto"/>
        <w:left w:val="none" w:sz="0" w:space="0" w:color="auto"/>
        <w:bottom w:val="none" w:sz="0" w:space="0" w:color="auto"/>
        <w:right w:val="none" w:sz="0" w:space="0" w:color="auto"/>
      </w:divBdr>
    </w:div>
    <w:div w:id="263537955">
      <w:bodyDiv w:val="1"/>
      <w:marLeft w:val="0"/>
      <w:marRight w:val="0"/>
      <w:marTop w:val="0"/>
      <w:marBottom w:val="0"/>
      <w:divBdr>
        <w:top w:val="none" w:sz="0" w:space="0" w:color="auto"/>
        <w:left w:val="none" w:sz="0" w:space="0" w:color="auto"/>
        <w:bottom w:val="none" w:sz="0" w:space="0" w:color="auto"/>
        <w:right w:val="none" w:sz="0" w:space="0" w:color="auto"/>
      </w:divBdr>
    </w:div>
    <w:div w:id="263542162">
      <w:bodyDiv w:val="1"/>
      <w:marLeft w:val="0"/>
      <w:marRight w:val="0"/>
      <w:marTop w:val="0"/>
      <w:marBottom w:val="0"/>
      <w:divBdr>
        <w:top w:val="none" w:sz="0" w:space="0" w:color="auto"/>
        <w:left w:val="none" w:sz="0" w:space="0" w:color="auto"/>
        <w:bottom w:val="none" w:sz="0" w:space="0" w:color="auto"/>
        <w:right w:val="none" w:sz="0" w:space="0" w:color="auto"/>
      </w:divBdr>
    </w:div>
    <w:div w:id="263614317">
      <w:bodyDiv w:val="1"/>
      <w:marLeft w:val="0"/>
      <w:marRight w:val="0"/>
      <w:marTop w:val="0"/>
      <w:marBottom w:val="0"/>
      <w:divBdr>
        <w:top w:val="none" w:sz="0" w:space="0" w:color="auto"/>
        <w:left w:val="none" w:sz="0" w:space="0" w:color="auto"/>
        <w:bottom w:val="none" w:sz="0" w:space="0" w:color="auto"/>
        <w:right w:val="none" w:sz="0" w:space="0" w:color="auto"/>
      </w:divBdr>
    </w:div>
    <w:div w:id="263615104">
      <w:bodyDiv w:val="1"/>
      <w:marLeft w:val="0"/>
      <w:marRight w:val="0"/>
      <w:marTop w:val="0"/>
      <w:marBottom w:val="0"/>
      <w:divBdr>
        <w:top w:val="none" w:sz="0" w:space="0" w:color="auto"/>
        <w:left w:val="none" w:sz="0" w:space="0" w:color="auto"/>
        <w:bottom w:val="none" w:sz="0" w:space="0" w:color="auto"/>
        <w:right w:val="none" w:sz="0" w:space="0" w:color="auto"/>
      </w:divBdr>
    </w:div>
    <w:div w:id="263653386">
      <w:bodyDiv w:val="1"/>
      <w:marLeft w:val="0"/>
      <w:marRight w:val="0"/>
      <w:marTop w:val="0"/>
      <w:marBottom w:val="0"/>
      <w:divBdr>
        <w:top w:val="none" w:sz="0" w:space="0" w:color="auto"/>
        <w:left w:val="none" w:sz="0" w:space="0" w:color="auto"/>
        <w:bottom w:val="none" w:sz="0" w:space="0" w:color="auto"/>
        <w:right w:val="none" w:sz="0" w:space="0" w:color="auto"/>
      </w:divBdr>
    </w:div>
    <w:div w:id="263804241">
      <w:bodyDiv w:val="1"/>
      <w:marLeft w:val="0"/>
      <w:marRight w:val="0"/>
      <w:marTop w:val="0"/>
      <w:marBottom w:val="0"/>
      <w:divBdr>
        <w:top w:val="none" w:sz="0" w:space="0" w:color="auto"/>
        <w:left w:val="none" w:sz="0" w:space="0" w:color="auto"/>
        <w:bottom w:val="none" w:sz="0" w:space="0" w:color="auto"/>
        <w:right w:val="none" w:sz="0" w:space="0" w:color="auto"/>
      </w:divBdr>
    </w:div>
    <w:div w:id="263808666">
      <w:bodyDiv w:val="1"/>
      <w:marLeft w:val="0"/>
      <w:marRight w:val="0"/>
      <w:marTop w:val="0"/>
      <w:marBottom w:val="0"/>
      <w:divBdr>
        <w:top w:val="none" w:sz="0" w:space="0" w:color="auto"/>
        <w:left w:val="none" w:sz="0" w:space="0" w:color="auto"/>
        <w:bottom w:val="none" w:sz="0" w:space="0" w:color="auto"/>
        <w:right w:val="none" w:sz="0" w:space="0" w:color="auto"/>
      </w:divBdr>
    </w:div>
    <w:div w:id="263853102">
      <w:bodyDiv w:val="1"/>
      <w:marLeft w:val="0"/>
      <w:marRight w:val="0"/>
      <w:marTop w:val="0"/>
      <w:marBottom w:val="0"/>
      <w:divBdr>
        <w:top w:val="none" w:sz="0" w:space="0" w:color="auto"/>
        <w:left w:val="none" w:sz="0" w:space="0" w:color="auto"/>
        <w:bottom w:val="none" w:sz="0" w:space="0" w:color="auto"/>
        <w:right w:val="none" w:sz="0" w:space="0" w:color="auto"/>
      </w:divBdr>
    </w:div>
    <w:div w:id="263920829">
      <w:bodyDiv w:val="1"/>
      <w:marLeft w:val="0"/>
      <w:marRight w:val="0"/>
      <w:marTop w:val="0"/>
      <w:marBottom w:val="0"/>
      <w:divBdr>
        <w:top w:val="none" w:sz="0" w:space="0" w:color="auto"/>
        <w:left w:val="none" w:sz="0" w:space="0" w:color="auto"/>
        <w:bottom w:val="none" w:sz="0" w:space="0" w:color="auto"/>
        <w:right w:val="none" w:sz="0" w:space="0" w:color="auto"/>
      </w:divBdr>
    </w:div>
    <w:div w:id="263924748">
      <w:bodyDiv w:val="1"/>
      <w:marLeft w:val="0"/>
      <w:marRight w:val="0"/>
      <w:marTop w:val="0"/>
      <w:marBottom w:val="0"/>
      <w:divBdr>
        <w:top w:val="none" w:sz="0" w:space="0" w:color="auto"/>
        <w:left w:val="none" w:sz="0" w:space="0" w:color="auto"/>
        <w:bottom w:val="none" w:sz="0" w:space="0" w:color="auto"/>
        <w:right w:val="none" w:sz="0" w:space="0" w:color="auto"/>
      </w:divBdr>
    </w:div>
    <w:div w:id="264002221">
      <w:bodyDiv w:val="1"/>
      <w:marLeft w:val="0"/>
      <w:marRight w:val="0"/>
      <w:marTop w:val="0"/>
      <w:marBottom w:val="0"/>
      <w:divBdr>
        <w:top w:val="none" w:sz="0" w:space="0" w:color="auto"/>
        <w:left w:val="none" w:sz="0" w:space="0" w:color="auto"/>
        <w:bottom w:val="none" w:sz="0" w:space="0" w:color="auto"/>
        <w:right w:val="none" w:sz="0" w:space="0" w:color="auto"/>
      </w:divBdr>
    </w:div>
    <w:div w:id="264072199">
      <w:bodyDiv w:val="1"/>
      <w:marLeft w:val="0"/>
      <w:marRight w:val="0"/>
      <w:marTop w:val="0"/>
      <w:marBottom w:val="0"/>
      <w:divBdr>
        <w:top w:val="none" w:sz="0" w:space="0" w:color="auto"/>
        <w:left w:val="none" w:sz="0" w:space="0" w:color="auto"/>
        <w:bottom w:val="none" w:sz="0" w:space="0" w:color="auto"/>
        <w:right w:val="none" w:sz="0" w:space="0" w:color="auto"/>
      </w:divBdr>
    </w:div>
    <w:div w:id="264073671">
      <w:bodyDiv w:val="1"/>
      <w:marLeft w:val="0"/>
      <w:marRight w:val="0"/>
      <w:marTop w:val="0"/>
      <w:marBottom w:val="0"/>
      <w:divBdr>
        <w:top w:val="none" w:sz="0" w:space="0" w:color="auto"/>
        <w:left w:val="none" w:sz="0" w:space="0" w:color="auto"/>
        <w:bottom w:val="none" w:sz="0" w:space="0" w:color="auto"/>
        <w:right w:val="none" w:sz="0" w:space="0" w:color="auto"/>
      </w:divBdr>
    </w:div>
    <w:div w:id="264075750">
      <w:bodyDiv w:val="1"/>
      <w:marLeft w:val="0"/>
      <w:marRight w:val="0"/>
      <w:marTop w:val="0"/>
      <w:marBottom w:val="0"/>
      <w:divBdr>
        <w:top w:val="none" w:sz="0" w:space="0" w:color="auto"/>
        <w:left w:val="none" w:sz="0" w:space="0" w:color="auto"/>
        <w:bottom w:val="none" w:sz="0" w:space="0" w:color="auto"/>
        <w:right w:val="none" w:sz="0" w:space="0" w:color="auto"/>
      </w:divBdr>
    </w:div>
    <w:div w:id="264114664">
      <w:bodyDiv w:val="1"/>
      <w:marLeft w:val="0"/>
      <w:marRight w:val="0"/>
      <w:marTop w:val="0"/>
      <w:marBottom w:val="0"/>
      <w:divBdr>
        <w:top w:val="none" w:sz="0" w:space="0" w:color="auto"/>
        <w:left w:val="none" w:sz="0" w:space="0" w:color="auto"/>
        <w:bottom w:val="none" w:sz="0" w:space="0" w:color="auto"/>
        <w:right w:val="none" w:sz="0" w:space="0" w:color="auto"/>
      </w:divBdr>
    </w:div>
    <w:div w:id="264263962">
      <w:bodyDiv w:val="1"/>
      <w:marLeft w:val="0"/>
      <w:marRight w:val="0"/>
      <w:marTop w:val="0"/>
      <w:marBottom w:val="0"/>
      <w:divBdr>
        <w:top w:val="none" w:sz="0" w:space="0" w:color="auto"/>
        <w:left w:val="none" w:sz="0" w:space="0" w:color="auto"/>
        <w:bottom w:val="none" w:sz="0" w:space="0" w:color="auto"/>
        <w:right w:val="none" w:sz="0" w:space="0" w:color="auto"/>
      </w:divBdr>
    </w:div>
    <w:div w:id="264272323">
      <w:bodyDiv w:val="1"/>
      <w:marLeft w:val="0"/>
      <w:marRight w:val="0"/>
      <w:marTop w:val="0"/>
      <w:marBottom w:val="0"/>
      <w:divBdr>
        <w:top w:val="none" w:sz="0" w:space="0" w:color="auto"/>
        <w:left w:val="none" w:sz="0" w:space="0" w:color="auto"/>
        <w:bottom w:val="none" w:sz="0" w:space="0" w:color="auto"/>
        <w:right w:val="none" w:sz="0" w:space="0" w:color="auto"/>
      </w:divBdr>
    </w:div>
    <w:div w:id="264310491">
      <w:bodyDiv w:val="1"/>
      <w:marLeft w:val="0"/>
      <w:marRight w:val="0"/>
      <w:marTop w:val="0"/>
      <w:marBottom w:val="0"/>
      <w:divBdr>
        <w:top w:val="none" w:sz="0" w:space="0" w:color="auto"/>
        <w:left w:val="none" w:sz="0" w:space="0" w:color="auto"/>
        <w:bottom w:val="none" w:sz="0" w:space="0" w:color="auto"/>
        <w:right w:val="none" w:sz="0" w:space="0" w:color="auto"/>
      </w:divBdr>
    </w:div>
    <w:div w:id="264314748">
      <w:bodyDiv w:val="1"/>
      <w:marLeft w:val="0"/>
      <w:marRight w:val="0"/>
      <w:marTop w:val="0"/>
      <w:marBottom w:val="0"/>
      <w:divBdr>
        <w:top w:val="none" w:sz="0" w:space="0" w:color="auto"/>
        <w:left w:val="none" w:sz="0" w:space="0" w:color="auto"/>
        <w:bottom w:val="none" w:sz="0" w:space="0" w:color="auto"/>
        <w:right w:val="none" w:sz="0" w:space="0" w:color="auto"/>
      </w:divBdr>
    </w:div>
    <w:div w:id="264384854">
      <w:bodyDiv w:val="1"/>
      <w:marLeft w:val="0"/>
      <w:marRight w:val="0"/>
      <w:marTop w:val="0"/>
      <w:marBottom w:val="0"/>
      <w:divBdr>
        <w:top w:val="none" w:sz="0" w:space="0" w:color="auto"/>
        <w:left w:val="none" w:sz="0" w:space="0" w:color="auto"/>
        <w:bottom w:val="none" w:sz="0" w:space="0" w:color="auto"/>
        <w:right w:val="none" w:sz="0" w:space="0" w:color="auto"/>
      </w:divBdr>
    </w:div>
    <w:div w:id="264386559">
      <w:bodyDiv w:val="1"/>
      <w:marLeft w:val="0"/>
      <w:marRight w:val="0"/>
      <w:marTop w:val="0"/>
      <w:marBottom w:val="0"/>
      <w:divBdr>
        <w:top w:val="none" w:sz="0" w:space="0" w:color="auto"/>
        <w:left w:val="none" w:sz="0" w:space="0" w:color="auto"/>
        <w:bottom w:val="none" w:sz="0" w:space="0" w:color="auto"/>
        <w:right w:val="none" w:sz="0" w:space="0" w:color="auto"/>
      </w:divBdr>
    </w:div>
    <w:div w:id="264727604">
      <w:bodyDiv w:val="1"/>
      <w:marLeft w:val="0"/>
      <w:marRight w:val="0"/>
      <w:marTop w:val="0"/>
      <w:marBottom w:val="0"/>
      <w:divBdr>
        <w:top w:val="none" w:sz="0" w:space="0" w:color="auto"/>
        <w:left w:val="none" w:sz="0" w:space="0" w:color="auto"/>
        <w:bottom w:val="none" w:sz="0" w:space="0" w:color="auto"/>
        <w:right w:val="none" w:sz="0" w:space="0" w:color="auto"/>
      </w:divBdr>
    </w:div>
    <w:div w:id="264773797">
      <w:bodyDiv w:val="1"/>
      <w:marLeft w:val="0"/>
      <w:marRight w:val="0"/>
      <w:marTop w:val="0"/>
      <w:marBottom w:val="0"/>
      <w:divBdr>
        <w:top w:val="none" w:sz="0" w:space="0" w:color="auto"/>
        <w:left w:val="none" w:sz="0" w:space="0" w:color="auto"/>
        <w:bottom w:val="none" w:sz="0" w:space="0" w:color="auto"/>
        <w:right w:val="none" w:sz="0" w:space="0" w:color="auto"/>
      </w:divBdr>
    </w:div>
    <w:div w:id="265116518">
      <w:bodyDiv w:val="1"/>
      <w:marLeft w:val="0"/>
      <w:marRight w:val="0"/>
      <w:marTop w:val="0"/>
      <w:marBottom w:val="0"/>
      <w:divBdr>
        <w:top w:val="none" w:sz="0" w:space="0" w:color="auto"/>
        <w:left w:val="none" w:sz="0" w:space="0" w:color="auto"/>
        <w:bottom w:val="none" w:sz="0" w:space="0" w:color="auto"/>
        <w:right w:val="none" w:sz="0" w:space="0" w:color="auto"/>
      </w:divBdr>
    </w:div>
    <w:div w:id="265188849">
      <w:bodyDiv w:val="1"/>
      <w:marLeft w:val="0"/>
      <w:marRight w:val="0"/>
      <w:marTop w:val="0"/>
      <w:marBottom w:val="0"/>
      <w:divBdr>
        <w:top w:val="none" w:sz="0" w:space="0" w:color="auto"/>
        <w:left w:val="none" w:sz="0" w:space="0" w:color="auto"/>
        <w:bottom w:val="none" w:sz="0" w:space="0" w:color="auto"/>
        <w:right w:val="none" w:sz="0" w:space="0" w:color="auto"/>
      </w:divBdr>
    </w:div>
    <w:div w:id="265190980">
      <w:bodyDiv w:val="1"/>
      <w:marLeft w:val="0"/>
      <w:marRight w:val="0"/>
      <w:marTop w:val="0"/>
      <w:marBottom w:val="0"/>
      <w:divBdr>
        <w:top w:val="none" w:sz="0" w:space="0" w:color="auto"/>
        <w:left w:val="none" w:sz="0" w:space="0" w:color="auto"/>
        <w:bottom w:val="none" w:sz="0" w:space="0" w:color="auto"/>
        <w:right w:val="none" w:sz="0" w:space="0" w:color="auto"/>
      </w:divBdr>
    </w:div>
    <w:div w:id="265236012">
      <w:bodyDiv w:val="1"/>
      <w:marLeft w:val="0"/>
      <w:marRight w:val="0"/>
      <w:marTop w:val="0"/>
      <w:marBottom w:val="0"/>
      <w:divBdr>
        <w:top w:val="none" w:sz="0" w:space="0" w:color="auto"/>
        <w:left w:val="none" w:sz="0" w:space="0" w:color="auto"/>
        <w:bottom w:val="none" w:sz="0" w:space="0" w:color="auto"/>
        <w:right w:val="none" w:sz="0" w:space="0" w:color="auto"/>
      </w:divBdr>
    </w:div>
    <w:div w:id="265356864">
      <w:bodyDiv w:val="1"/>
      <w:marLeft w:val="0"/>
      <w:marRight w:val="0"/>
      <w:marTop w:val="0"/>
      <w:marBottom w:val="0"/>
      <w:divBdr>
        <w:top w:val="none" w:sz="0" w:space="0" w:color="auto"/>
        <w:left w:val="none" w:sz="0" w:space="0" w:color="auto"/>
        <w:bottom w:val="none" w:sz="0" w:space="0" w:color="auto"/>
        <w:right w:val="none" w:sz="0" w:space="0" w:color="auto"/>
      </w:divBdr>
    </w:div>
    <w:div w:id="265387821">
      <w:bodyDiv w:val="1"/>
      <w:marLeft w:val="0"/>
      <w:marRight w:val="0"/>
      <w:marTop w:val="0"/>
      <w:marBottom w:val="0"/>
      <w:divBdr>
        <w:top w:val="none" w:sz="0" w:space="0" w:color="auto"/>
        <w:left w:val="none" w:sz="0" w:space="0" w:color="auto"/>
        <w:bottom w:val="none" w:sz="0" w:space="0" w:color="auto"/>
        <w:right w:val="none" w:sz="0" w:space="0" w:color="auto"/>
      </w:divBdr>
    </w:div>
    <w:div w:id="265423945">
      <w:bodyDiv w:val="1"/>
      <w:marLeft w:val="0"/>
      <w:marRight w:val="0"/>
      <w:marTop w:val="0"/>
      <w:marBottom w:val="0"/>
      <w:divBdr>
        <w:top w:val="none" w:sz="0" w:space="0" w:color="auto"/>
        <w:left w:val="none" w:sz="0" w:space="0" w:color="auto"/>
        <w:bottom w:val="none" w:sz="0" w:space="0" w:color="auto"/>
        <w:right w:val="none" w:sz="0" w:space="0" w:color="auto"/>
      </w:divBdr>
    </w:div>
    <w:div w:id="265424781">
      <w:bodyDiv w:val="1"/>
      <w:marLeft w:val="0"/>
      <w:marRight w:val="0"/>
      <w:marTop w:val="0"/>
      <w:marBottom w:val="0"/>
      <w:divBdr>
        <w:top w:val="none" w:sz="0" w:space="0" w:color="auto"/>
        <w:left w:val="none" w:sz="0" w:space="0" w:color="auto"/>
        <w:bottom w:val="none" w:sz="0" w:space="0" w:color="auto"/>
        <w:right w:val="none" w:sz="0" w:space="0" w:color="auto"/>
      </w:divBdr>
    </w:div>
    <w:div w:id="265432287">
      <w:bodyDiv w:val="1"/>
      <w:marLeft w:val="0"/>
      <w:marRight w:val="0"/>
      <w:marTop w:val="0"/>
      <w:marBottom w:val="0"/>
      <w:divBdr>
        <w:top w:val="none" w:sz="0" w:space="0" w:color="auto"/>
        <w:left w:val="none" w:sz="0" w:space="0" w:color="auto"/>
        <w:bottom w:val="none" w:sz="0" w:space="0" w:color="auto"/>
        <w:right w:val="none" w:sz="0" w:space="0" w:color="auto"/>
      </w:divBdr>
    </w:div>
    <w:div w:id="265845869">
      <w:bodyDiv w:val="1"/>
      <w:marLeft w:val="0"/>
      <w:marRight w:val="0"/>
      <w:marTop w:val="0"/>
      <w:marBottom w:val="0"/>
      <w:divBdr>
        <w:top w:val="none" w:sz="0" w:space="0" w:color="auto"/>
        <w:left w:val="none" w:sz="0" w:space="0" w:color="auto"/>
        <w:bottom w:val="none" w:sz="0" w:space="0" w:color="auto"/>
        <w:right w:val="none" w:sz="0" w:space="0" w:color="auto"/>
      </w:divBdr>
    </w:div>
    <w:div w:id="265962482">
      <w:bodyDiv w:val="1"/>
      <w:marLeft w:val="0"/>
      <w:marRight w:val="0"/>
      <w:marTop w:val="0"/>
      <w:marBottom w:val="0"/>
      <w:divBdr>
        <w:top w:val="none" w:sz="0" w:space="0" w:color="auto"/>
        <w:left w:val="none" w:sz="0" w:space="0" w:color="auto"/>
        <w:bottom w:val="none" w:sz="0" w:space="0" w:color="auto"/>
        <w:right w:val="none" w:sz="0" w:space="0" w:color="auto"/>
      </w:divBdr>
    </w:div>
    <w:div w:id="265965173">
      <w:bodyDiv w:val="1"/>
      <w:marLeft w:val="0"/>
      <w:marRight w:val="0"/>
      <w:marTop w:val="0"/>
      <w:marBottom w:val="0"/>
      <w:divBdr>
        <w:top w:val="none" w:sz="0" w:space="0" w:color="auto"/>
        <w:left w:val="none" w:sz="0" w:space="0" w:color="auto"/>
        <w:bottom w:val="none" w:sz="0" w:space="0" w:color="auto"/>
        <w:right w:val="none" w:sz="0" w:space="0" w:color="auto"/>
      </w:divBdr>
    </w:div>
    <w:div w:id="265968932">
      <w:bodyDiv w:val="1"/>
      <w:marLeft w:val="0"/>
      <w:marRight w:val="0"/>
      <w:marTop w:val="0"/>
      <w:marBottom w:val="0"/>
      <w:divBdr>
        <w:top w:val="none" w:sz="0" w:space="0" w:color="auto"/>
        <w:left w:val="none" w:sz="0" w:space="0" w:color="auto"/>
        <w:bottom w:val="none" w:sz="0" w:space="0" w:color="auto"/>
        <w:right w:val="none" w:sz="0" w:space="0" w:color="auto"/>
      </w:divBdr>
    </w:div>
    <w:div w:id="266041953">
      <w:bodyDiv w:val="1"/>
      <w:marLeft w:val="0"/>
      <w:marRight w:val="0"/>
      <w:marTop w:val="0"/>
      <w:marBottom w:val="0"/>
      <w:divBdr>
        <w:top w:val="none" w:sz="0" w:space="0" w:color="auto"/>
        <w:left w:val="none" w:sz="0" w:space="0" w:color="auto"/>
        <w:bottom w:val="none" w:sz="0" w:space="0" w:color="auto"/>
        <w:right w:val="none" w:sz="0" w:space="0" w:color="auto"/>
      </w:divBdr>
    </w:div>
    <w:div w:id="266086914">
      <w:bodyDiv w:val="1"/>
      <w:marLeft w:val="0"/>
      <w:marRight w:val="0"/>
      <w:marTop w:val="0"/>
      <w:marBottom w:val="0"/>
      <w:divBdr>
        <w:top w:val="none" w:sz="0" w:space="0" w:color="auto"/>
        <w:left w:val="none" w:sz="0" w:space="0" w:color="auto"/>
        <w:bottom w:val="none" w:sz="0" w:space="0" w:color="auto"/>
        <w:right w:val="none" w:sz="0" w:space="0" w:color="auto"/>
      </w:divBdr>
    </w:div>
    <w:div w:id="266088006">
      <w:bodyDiv w:val="1"/>
      <w:marLeft w:val="0"/>
      <w:marRight w:val="0"/>
      <w:marTop w:val="0"/>
      <w:marBottom w:val="0"/>
      <w:divBdr>
        <w:top w:val="none" w:sz="0" w:space="0" w:color="auto"/>
        <w:left w:val="none" w:sz="0" w:space="0" w:color="auto"/>
        <w:bottom w:val="none" w:sz="0" w:space="0" w:color="auto"/>
        <w:right w:val="none" w:sz="0" w:space="0" w:color="auto"/>
      </w:divBdr>
    </w:div>
    <w:div w:id="266235067">
      <w:bodyDiv w:val="1"/>
      <w:marLeft w:val="0"/>
      <w:marRight w:val="0"/>
      <w:marTop w:val="0"/>
      <w:marBottom w:val="0"/>
      <w:divBdr>
        <w:top w:val="none" w:sz="0" w:space="0" w:color="auto"/>
        <w:left w:val="none" w:sz="0" w:space="0" w:color="auto"/>
        <w:bottom w:val="none" w:sz="0" w:space="0" w:color="auto"/>
        <w:right w:val="none" w:sz="0" w:space="0" w:color="auto"/>
      </w:divBdr>
    </w:div>
    <w:div w:id="266235245">
      <w:bodyDiv w:val="1"/>
      <w:marLeft w:val="0"/>
      <w:marRight w:val="0"/>
      <w:marTop w:val="0"/>
      <w:marBottom w:val="0"/>
      <w:divBdr>
        <w:top w:val="none" w:sz="0" w:space="0" w:color="auto"/>
        <w:left w:val="none" w:sz="0" w:space="0" w:color="auto"/>
        <w:bottom w:val="none" w:sz="0" w:space="0" w:color="auto"/>
        <w:right w:val="none" w:sz="0" w:space="0" w:color="auto"/>
      </w:divBdr>
    </w:div>
    <w:div w:id="266280110">
      <w:bodyDiv w:val="1"/>
      <w:marLeft w:val="0"/>
      <w:marRight w:val="0"/>
      <w:marTop w:val="0"/>
      <w:marBottom w:val="0"/>
      <w:divBdr>
        <w:top w:val="none" w:sz="0" w:space="0" w:color="auto"/>
        <w:left w:val="none" w:sz="0" w:space="0" w:color="auto"/>
        <w:bottom w:val="none" w:sz="0" w:space="0" w:color="auto"/>
        <w:right w:val="none" w:sz="0" w:space="0" w:color="auto"/>
      </w:divBdr>
    </w:div>
    <w:div w:id="266350723">
      <w:bodyDiv w:val="1"/>
      <w:marLeft w:val="0"/>
      <w:marRight w:val="0"/>
      <w:marTop w:val="0"/>
      <w:marBottom w:val="0"/>
      <w:divBdr>
        <w:top w:val="none" w:sz="0" w:space="0" w:color="auto"/>
        <w:left w:val="none" w:sz="0" w:space="0" w:color="auto"/>
        <w:bottom w:val="none" w:sz="0" w:space="0" w:color="auto"/>
        <w:right w:val="none" w:sz="0" w:space="0" w:color="auto"/>
      </w:divBdr>
    </w:div>
    <w:div w:id="266500786">
      <w:bodyDiv w:val="1"/>
      <w:marLeft w:val="0"/>
      <w:marRight w:val="0"/>
      <w:marTop w:val="0"/>
      <w:marBottom w:val="0"/>
      <w:divBdr>
        <w:top w:val="none" w:sz="0" w:space="0" w:color="auto"/>
        <w:left w:val="none" w:sz="0" w:space="0" w:color="auto"/>
        <w:bottom w:val="none" w:sz="0" w:space="0" w:color="auto"/>
        <w:right w:val="none" w:sz="0" w:space="0" w:color="auto"/>
      </w:divBdr>
    </w:div>
    <w:div w:id="266544170">
      <w:bodyDiv w:val="1"/>
      <w:marLeft w:val="0"/>
      <w:marRight w:val="0"/>
      <w:marTop w:val="0"/>
      <w:marBottom w:val="0"/>
      <w:divBdr>
        <w:top w:val="none" w:sz="0" w:space="0" w:color="auto"/>
        <w:left w:val="none" w:sz="0" w:space="0" w:color="auto"/>
        <w:bottom w:val="none" w:sz="0" w:space="0" w:color="auto"/>
        <w:right w:val="none" w:sz="0" w:space="0" w:color="auto"/>
      </w:divBdr>
    </w:div>
    <w:div w:id="266544343">
      <w:bodyDiv w:val="1"/>
      <w:marLeft w:val="0"/>
      <w:marRight w:val="0"/>
      <w:marTop w:val="0"/>
      <w:marBottom w:val="0"/>
      <w:divBdr>
        <w:top w:val="none" w:sz="0" w:space="0" w:color="auto"/>
        <w:left w:val="none" w:sz="0" w:space="0" w:color="auto"/>
        <w:bottom w:val="none" w:sz="0" w:space="0" w:color="auto"/>
        <w:right w:val="none" w:sz="0" w:space="0" w:color="auto"/>
      </w:divBdr>
    </w:div>
    <w:div w:id="266618233">
      <w:bodyDiv w:val="1"/>
      <w:marLeft w:val="0"/>
      <w:marRight w:val="0"/>
      <w:marTop w:val="0"/>
      <w:marBottom w:val="0"/>
      <w:divBdr>
        <w:top w:val="none" w:sz="0" w:space="0" w:color="auto"/>
        <w:left w:val="none" w:sz="0" w:space="0" w:color="auto"/>
        <w:bottom w:val="none" w:sz="0" w:space="0" w:color="auto"/>
        <w:right w:val="none" w:sz="0" w:space="0" w:color="auto"/>
      </w:divBdr>
    </w:div>
    <w:div w:id="266620481">
      <w:bodyDiv w:val="1"/>
      <w:marLeft w:val="0"/>
      <w:marRight w:val="0"/>
      <w:marTop w:val="0"/>
      <w:marBottom w:val="0"/>
      <w:divBdr>
        <w:top w:val="none" w:sz="0" w:space="0" w:color="auto"/>
        <w:left w:val="none" w:sz="0" w:space="0" w:color="auto"/>
        <w:bottom w:val="none" w:sz="0" w:space="0" w:color="auto"/>
        <w:right w:val="none" w:sz="0" w:space="0" w:color="auto"/>
      </w:divBdr>
    </w:div>
    <w:div w:id="266888958">
      <w:bodyDiv w:val="1"/>
      <w:marLeft w:val="0"/>
      <w:marRight w:val="0"/>
      <w:marTop w:val="0"/>
      <w:marBottom w:val="0"/>
      <w:divBdr>
        <w:top w:val="none" w:sz="0" w:space="0" w:color="auto"/>
        <w:left w:val="none" w:sz="0" w:space="0" w:color="auto"/>
        <w:bottom w:val="none" w:sz="0" w:space="0" w:color="auto"/>
        <w:right w:val="none" w:sz="0" w:space="0" w:color="auto"/>
      </w:divBdr>
    </w:div>
    <w:div w:id="266892270">
      <w:bodyDiv w:val="1"/>
      <w:marLeft w:val="0"/>
      <w:marRight w:val="0"/>
      <w:marTop w:val="0"/>
      <w:marBottom w:val="0"/>
      <w:divBdr>
        <w:top w:val="none" w:sz="0" w:space="0" w:color="auto"/>
        <w:left w:val="none" w:sz="0" w:space="0" w:color="auto"/>
        <w:bottom w:val="none" w:sz="0" w:space="0" w:color="auto"/>
        <w:right w:val="none" w:sz="0" w:space="0" w:color="auto"/>
      </w:divBdr>
    </w:div>
    <w:div w:id="267009925">
      <w:bodyDiv w:val="1"/>
      <w:marLeft w:val="0"/>
      <w:marRight w:val="0"/>
      <w:marTop w:val="0"/>
      <w:marBottom w:val="0"/>
      <w:divBdr>
        <w:top w:val="none" w:sz="0" w:space="0" w:color="auto"/>
        <w:left w:val="none" w:sz="0" w:space="0" w:color="auto"/>
        <w:bottom w:val="none" w:sz="0" w:space="0" w:color="auto"/>
        <w:right w:val="none" w:sz="0" w:space="0" w:color="auto"/>
      </w:divBdr>
      <w:divsChild>
        <w:div w:id="7098452">
          <w:marLeft w:val="0"/>
          <w:marRight w:val="0"/>
          <w:marTop w:val="0"/>
          <w:marBottom w:val="0"/>
          <w:divBdr>
            <w:top w:val="none" w:sz="0" w:space="0" w:color="auto"/>
            <w:left w:val="none" w:sz="0" w:space="0" w:color="auto"/>
            <w:bottom w:val="none" w:sz="0" w:space="0" w:color="auto"/>
            <w:right w:val="none" w:sz="0" w:space="0" w:color="auto"/>
          </w:divBdr>
        </w:div>
        <w:div w:id="11810697">
          <w:marLeft w:val="0"/>
          <w:marRight w:val="0"/>
          <w:marTop w:val="0"/>
          <w:marBottom w:val="0"/>
          <w:divBdr>
            <w:top w:val="none" w:sz="0" w:space="0" w:color="auto"/>
            <w:left w:val="none" w:sz="0" w:space="0" w:color="auto"/>
            <w:bottom w:val="none" w:sz="0" w:space="0" w:color="auto"/>
            <w:right w:val="none" w:sz="0" w:space="0" w:color="auto"/>
          </w:divBdr>
        </w:div>
        <w:div w:id="17892798">
          <w:marLeft w:val="0"/>
          <w:marRight w:val="0"/>
          <w:marTop w:val="0"/>
          <w:marBottom w:val="0"/>
          <w:divBdr>
            <w:top w:val="none" w:sz="0" w:space="0" w:color="auto"/>
            <w:left w:val="none" w:sz="0" w:space="0" w:color="auto"/>
            <w:bottom w:val="none" w:sz="0" w:space="0" w:color="auto"/>
            <w:right w:val="none" w:sz="0" w:space="0" w:color="auto"/>
          </w:divBdr>
        </w:div>
        <w:div w:id="38089835">
          <w:marLeft w:val="0"/>
          <w:marRight w:val="0"/>
          <w:marTop w:val="0"/>
          <w:marBottom w:val="0"/>
          <w:divBdr>
            <w:top w:val="none" w:sz="0" w:space="0" w:color="auto"/>
            <w:left w:val="none" w:sz="0" w:space="0" w:color="auto"/>
            <w:bottom w:val="none" w:sz="0" w:space="0" w:color="auto"/>
            <w:right w:val="none" w:sz="0" w:space="0" w:color="auto"/>
          </w:divBdr>
        </w:div>
        <w:div w:id="43453895">
          <w:marLeft w:val="0"/>
          <w:marRight w:val="0"/>
          <w:marTop w:val="0"/>
          <w:marBottom w:val="0"/>
          <w:divBdr>
            <w:top w:val="none" w:sz="0" w:space="0" w:color="auto"/>
            <w:left w:val="none" w:sz="0" w:space="0" w:color="auto"/>
            <w:bottom w:val="none" w:sz="0" w:space="0" w:color="auto"/>
            <w:right w:val="none" w:sz="0" w:space="0" w:color="auto"/>
          </w:divBdr>
        </w:div>
        <w:div w:id="51346299">
          <w:marLeft w:val="0"/>
          <w:marRight w:val="0"/>
          <w:marTop w:val="0"/>
          <w:marBottom w:val="0"/>
          <w:divBdr>
            <w:top w:val="none" w:sz="0" w:space="0" w:color="auto"/>
            <w:left w:val="none" w:sz="0" w:space="0" w:color="auto"/>
            <w:bottom w:val="none" w:sz="0" w:space="0" w:color="auto"/>
            <w:right w:val="none" w:sz="0" w:space="0" w:color="auto"/>
          </w:divBdr>
        </w:div>
        <w:div w:id="64500253">
          <w:marLeft w:val="0"/>
          <w:marRight w:val="0"/>
          <w:marTop w:val="0"/>
          <w:marBottom w:val="0"/>
          <w:divBdr>
            <w:top w:val="none" w:sz="0" w:space="0" w:color="auto"/>
            <w:left w:val="none" w:sz="0" w:space="0" w:color="auto"/>
            <w:bottom w:val="none" w:sz="0" w:space="0" w:color="auto"/>
            <w:right w:val="none" w:sz="0" w:space="0" w:color="auto"/>
          </w:divBdr>
        </w:div>
        <w:div w:id="74322158">
          <w:marLeft w:val="0"/>
          <w:marRight w:val="0"/>
          <w:marTop w:val="0"/>
          <w:marBottom w:val="0"/>
          <w:divBdr>
            <w:top w:val="none" w:sz="0" w:space="0" w:color="auto"/>
            <w:left w:val="none" w:sz="0" w:space="0" w:color="auto"/>
            <w:bottom w:val="none" w:sz="0" w:space="0" w:color="auto"/>
            <w:right w:val="none" w:sz="0" w:space="0" w:color="auto"/>
          </w:divBdr>
        </w:div>
        <w:div w:id="92828021">
          <w:marLeft w:val="0"/>
          <w:marRight w:val="0"/>
          <w:marTop w:val="0"/>
          <w:marBottom w:val="0"/>
          <w:divBdr>
            <w:top w:val="none" w:sz="0" w:space="0" w:color="auto"/>
            <w:left w:val="none" w:sz="0" w:space="0" w:color="auto"/>
            <w:bottom w:val="none" w:sz="0" w:space="0" w:color="auto"/>
            <w:right w:val="none" w:sz="0" w:space="0" w:color="auto"/>
          </w:divBdr>
        </w:div>
        <w:div w:id="113790935">
          <w:marLeft w:val="0"/>
          <w:marRight w:val="0"/>
          <w:marTop w:val="0"/>
          <w:marBottom w:val="0"/>
          <w:divBdr>
            <w:top w:val="none" w:sz="0" w:space="0" w:color="auto"/>
            <w:left w:val="none" w:sz="0" w:space="0" w:color="auto"/>
            <w:bottom w:val="none" w:sz="0" w:space="0" w:color="auto"/>
            <w:right w:val="none" w:sz="0" w:space="0" w:color="auto"/>
          </w:divBdr>
        </w:div>
        <w:div w:id="133177528">
          <w:marLeft w:val="0"/>
          <w:marRight w:val="0"/>
          <w:marTop w:val="0"/>
          <w:marBottom w:val="0"/>
          <w:divBdr>
            <w:top w:val="none" w:sz="0" w:space="0" w:color="auto"/>
            <w:left w:val="none" w:sz="0" w:space="0" w:color="auto"/>
            <w:bottom w:val="none" w:sz="0" w:space="0" w:color="auto"/>
            <w:right w:val="none" w:sz="0" w:space="0" w:color="auto"/>
          </w:divBdr>
        </w:div>
        <w:div w:id="143545413">
          <w:marLeft w:val="0"/>
          <w:marRight w:val="0"/>
          <w:marTop w:val="0"/>
          <w:marBottom w:val="0"/>
          <w:divBdr>
            <w:top w:val="none" w:sz="0" w:space="0" w:color="auto"/>
            <w:left w:val="none" w:sz="0" w:space="0" w:color="auto"/>
            <w:bottom w:val="none" w:sz="0" w:space="0" w:color="auto"/>
            <w:right w:val="none" w:sz="0" w:space="0" w:color="auto"/>
          </w:divBdr>
        </w:div>
        <w:div w:id="153302850">
          <w:marLeft w:val="0"/>
          <w:marRight w:val="0"/>
          <w:marTop w:val="0"/>
          <w:marBottom w:val="0"/>
          <w:divBdr>
            <w:top w:val="none" w:sz="0" w:space="0" w:color="auto"/>
            <w:left w:val="none" w:sz="0" w:space="0" w:color="auto"/>
            <w:bottom w:val="none" w:sz="0" w:space="0" w:color="auto"/>
            <w:right w:val="none" w:sz="0" w:space="0" w:color="auto"/>
          </w:divBdr>
        </w:div>
        <w:div w:id="156314021">
          <w:marLeft w:val="0"/>
          <w:marRight w:val="0"/>
          <w:marTop w:val="0"/>
          <w:marBottom w:val="0"/>
          <w:divBdr>
            <w:top w:val="none" w:sz="0" w:space="0" w:color="auto"/>
            <w:left w:val="none" w:sz="0" w:space="0" w:color="auto"/>
            <w:bottom w:val="none" w:sz="0" w:space="0" w:color="auto"/>
            <w:right w:val="none" w:sz="0" w:space="0" w:color="auto"/>
          </w:divBdr>
        </w:div>
        <w:div w:id="159350669">
          <w:marLeft w:val="0"/>
          <w:marRight w:val="0"/>
          <w:marTop w:val="0"/>
          <w:marBottom w:val="0"/>
          <w:divBdr>
            <w:top w:val="none" w:sz="0" w:space="0" w:color="auto"/>
            <w:left w:val="none" w:sz="0" w:space="0" w:color="auto"/>
            <w:bottom w:val="none" w:sz="0" w:space="0" w:color="auto"/>
            <w:right w:val="none" w:sz="0" w:space="0" w:color="auto"/>
          </w:divBdr>
        </w:div>
        <w:div w:id="163513596">
          <w:marLeft w:val="0"/>
          <w:marRight w:val="0"/>
          <w:marTop w:val="0"/>
          <w:marBottom w:val="0"/>
          <w:divBdr>
            <w:top w:val="none" w:sz="0" w:space="0" w:color="auto"/>
            <w:left w:val="none" w:sz="0" w:space="0" w:color="auto"/>
            <w:bottom w:val="none" w:sz="0" w:space="0" w:color="auto"/>
            <w:right w:val="none" w:sz="0" w:space="0" w:color="auto"/>
          </w:divBdr>
        </w:div>
        <w:div w:id="165755167">
          <w:marLeft w:val="0"/>
          <w:marRight w:val="0"/>
          <w:marTop w:val="0"/>
          <w:marBottom w:val="0"/>
          <w:divBdr>
            <w:top w:val="none" w:sz="0" w:space="0" w:color="auto"/>
            <w:left w:val="none" w:sz="0" w:space="0" w:color="auto"/>
            <w:bottom w:val="none" w:sz="0" w:space="0" w:color="auto"/>
            <w:right w:val="none" w:sz="0" w:space="0" w:color="auto"/>
          </w:divBdr>
        </w:div>
        <w:div w:id="188567742">
          <w:marLeft w:val="0"/>
          <w:marRight w:val="0"/>
          <w:marTop w:val="0"/>
          <w:marBottom w:val="0"/>
          <w:divBdr>
            <w:top w:val="none" w:sz="0" w:space="0" w:color="auto"/>
            <w:left w:val="none" w:sz="0" w:space="0" w:color="auto"/>
            <w:bottom w:val="none" w:sz="0" w:space="0" w:color="auto"/>
            <w:right w:val="none" w:sz="0" w:space="0" w:color="auto"/>
          </w:divBdr>
        </w:div>
        <w:div w:id="193542906">
          <w:marLeft w:val="0"/>
          <w:marRight w:val="0"/>
          <w:marTop w:val="0"/>
          <w:marBottom w:val="0"/>
          <w:divBdr>
            <w:top w:val="none" w:sz="0" w:space="0" w:color="auto"/>
            <w:left w:val="none" w:sz="0" w:space="0" w:color="auto"/>
            <w:bottom w:val="none" w:sz="0" w:space="0" w:color="auto"/>
            <w:right w:val="none" w:sz="0" w:space="0" w:color="auto"/>
          </w:divBdr>
        </w:div>
        <w:div w:id="230359632">
          <w:marLeft w:val="0"/>
          <w:marRight w:val="0"/>
          <w:marTop w:val="0"/>
          <w:marBottom w:val="0"/>
          <w:divBdr>
            <w:top w:val="none" w:sz="0" w:space="0" w:color="auto"/>
            <w:left w:val="none" w:sz="0" w:space="0" w:color="auto"/>
            <w:bottom w:val="none" w:sz="0" w:space="0" w:color="auto"/>
            <w:right w:val="none" w:sz="0" w:space="0" w:color="auto"/>
          </w:divBdr>
        </w:div>
        <w:div w:id="244530674">
          <w:marLeft w:val="0"/>
          <w:marRight w:val="0"/>
          <w:marTop w:val="0"/>
          <w:marBottom w:val="0"/>
          <w:divBdr>
            <w:top w:val="none" w:sz="0" w:space="0" w:color="auto"/>
            <w:left w:val="none" w:sz="0" w:space="0" w:color="auto"/>
            <w:bottom w:val="none" w:sz="0" w:space="0" w:color="auto"/>
            <w:right w:val="none" w:sz="0" w:space="0" w:color="auto"/>
          </w:divBdr>
        </w:div>
        <w:div w:id="256909609">
          <w:marLeft w:val="0"/>
          <w:marRight w:val="0"/>
          <w:marTop w:val="0"/>
          <w:marBottom w:val="0"/>
          <w:divBdr>
            <w:top w:val="none" w:sz="0" w:space="0" w:color="auto"/>
            <w:left w:val="none" w:sz="0" w:space="0" w:color="auto"/>
            <w:bottom w:val="none" w:sz="0" w:space="0" w:color="auto"/>
            <w:right w:val="none" w:sz="0" w:space="0" w:color="auto"/>
          </w:divBdr>
        </w:div>
        <w:div w:id="262540239">
          <w:marLeft w:val="0"/>
          <w:marRight w:val="0"/>
          <w:marTop w:val="0"/>
          <w:marBottom w:val="0"/>
          <w:divBdr>
            <w:top w:val="none" w:sz="0" w:space="0" w:color="auto"/>
            <w:left w:val="none" w:sz="0" w:space="0" w:color="auto"/>
            <w:bottom w:val="none" w:sz="0" w:space="0" w:color="auto"/>
            <w:right w:val="none" w:sz="0" w:space="0" w:color="auto"/>
          </w:divBdr>
        </w:div>
        <w:div w:id="269699270">
          <w:marLeft w:val="0"/>
          <w:marRight w:val="0"/>
          <w:marTop w:val="0"/>
          <w:marBottom w:val="0"/>
          <w:divBdr>
            <w:top w:val="none" w:sz="0" w:space="0" w:color="auto"/>
            <w:left w:val="none" w:sz="0" w:space="0" w:color="auto"/>
            <w:bottom w:val="none" w:sz="0" w:space="0" w:color="auto"/>
            <w:right w:val="none" w:sz="0" w:space="0" w:color="auto"/>
          </w:divBdr>
        </w:div>
        <w:div w:id="283314298">
          <w:marLeft w:val="0"/>
          <w:marRight w:val="0"/>
          <w:marTop w:val="0"/>
          <w:marBottom w:val="0"/>
          <w:divBdr>
            <w:top w:val="none" w:sz="0" w:space="0" w:color="auto"/>
            <w:left w:val="none" w:sz="0" w:space="0" w:color="auto"/>
            <w:bottom w:val="none" w:sz="0" w:space="0" w:color="auto"/>
            <w:right w:val="none" w:sz="0" w:space="0" w:color="auto"/>
          </w:divBdr>
        </w:div>
        <w:div w:id="301079906">
          <w:marLeft w:val="0"/>
          <w:marRight w:val="0"/>
          <w:marTop w:val="0"/>
          <w:marBottom w:val="0"/>
          <w:divBdr>
            <w:top w:val="none" w:sz="0" w:space="0" w:color="auto"/>
            <w:left w:val="none" w:sz="0" w:space="0" w:color="auto"/>
            <w:bottom w:val="none" w:sz="0" w:space="0" w:color="auto"/>
            <w:right w:val="none" w:sz="0" w:space="0" w:color="auto"/>
          </w:divBdr>
        </w:div>
        <w:div w:id="308291738">
          <w:marLeft w:val="0"/>
          <w:marRight w:val="0"/>
          <w:marTop w:val="0"/>
          <w:marBottom w:val="0"/>
          <w:divBdr>
            <w:top w:val="none" w:sz="0" w:space="0" w:color="auto"/>
            <w:left w:val="none" w:sz="0" w:space="0" w:color="auto"/>
            <w:bottom w:val="none" w:sz="0" w:space="0" w:color="auto"/>
            <w:right w:val="none" w:sz="0" w:space="0" w:color="auto"/>
          </w:divBdr>
        </w:div>
        <w:div w:id="320037265">
          <w:marLeft w:val="0"/>
          <w:marRight w:val="0"/>
          <w:marTop w:val="0"/>
          <w:marBottom w:val="0"/>
          <w:divBdr>
            <w:top w:val="none" w:sz="0" w:space="0" w:color="auto"/>
            <w:left w:val="none" w:sz="0" w:space="0" w:color="auto"/>
            <w:bottom w:val="none" w:sz="0" w:space="0" w:color="auto"/>
            <w:right w:val="none" w:sz="0" w:space="0" w:color="auto"/>
          </w:divBdr>
        </w:div>
        <w:div w:id="321011306">
          <w:marLeft w:val="0"/>
          <w:marRight w:val="0"/>
          <w:marTop w:val="0"/>
          <w:marBottom w:val="0"/>
          <w:divBdr>
            <w:top w:val="none" w:sz="0" w:space="0" w:color="auto"/>
            <w:left w:val="none" w:sz="0" w:space="0" w:color="auto"/>
            <w:bottom w:val="none" w:sz="0" w:space="0" w:color="auto"/>
            <w:right w:val="none" w:sz="0" w:space="0" w:color="auto"/>
          </w:divBdr>
        </w:div>
        <w:div w:id="321544320">
          <w:marLeft w:val="0"/>
          <w:marRight w:val="0"/>
          <w:marTop w:val="0"/>
          <w:marBottom w:val="0"/>
          <w:divBdr>
            <w:top w:val="none" w:sz="0" w:space="0" w:color="auto"/>
            <w:left w:val="none" w:sz="0" w:space="0" w:color="auto"/>
            <w:bottom w:val="none" w:sz="0" w:space="0" w:color="auto"/>
            <w:right w:val="none" w:sz="0" w:space="0" w:color="auto"/>
          </w:divBdr>
        </w:div>
        <w:div w:id="338705590">
          <w:marLeft w:val="0"/>
          <w:marRight w:val="0"/>
          <w:marTop w:val="0"/>
          <w:marBottom w:val="0"/>
          <w:divBdr>
            <w:top w:val="none" w:sz="0" w:space="0" w:color="auto"/>
            <w:left w:val="none" w:sz="0" w:space="0" w:color="auto"/>
            <w:bottom w:val="none" w:sz="0" w:space="0" w:color="auto"/>
            <w:right w:val="none" w:sz="0" w:space="0" w:color="auto"/>
          </w:divBdr>
        </w:div>
        <w:div w:id="339936756">
          <w:marLeft w:val="0"/>
          <w:marRight w:val="0"/>
          <w:marTop w:val="0"/>
          <w:marBottom w:val="0"/>
          <w:divBdr>
            <w:top w:val="none" w:sz="0" w:space="0" w:color="auto"/>
            <w:left w:val="none" w:sz="0" w:space="0" w:color="auto"/>
            <w:bottom w:val="none" w:sz="0" w:space="0" w:color="auto"/>
            <w:right w:val="none" w:sz="0" w:space="0" w:color="auto"/>
          </w:divBdr>
        </w:div>
        <w:div w:id="351878423">
          <w:marLeft w:val="0"/>
          <w:marRight w:val="0"/>
          <w:marTop w:val="0"/>
          <w:marBottom w:val="0"/>
          <w:divBdr>
            <w:top w:val="none" w:sz="0" w:space="0" w:color="auto"/>
            <w:left w:val="none" w:sz="0" w:space="0" w:color="auto"/>
            <w:bottom w:val="none" w:sz="0" w:space="0" w:color="auto"/>
            <w:right w:val="none" w:sz="0" w:space="0" w:color="auto"/>
          </w:divBdr>
        </w:div>
        <w:div w:id="357124442">
          <w:marLeft w:val="0"/>
          <w:marRight w:val="0"/>
          <w:marTop w:val="0"/>
          <w:marBottom w:val="0"/>
          <w:divBdr>
            <w:top w:val="none" w:sz="0" w:space="0" w:color="auto"/>
            <w:left w:val="none" w:sz="0" w:space="0" w:color="auto"/>
            <w:bottom w:val="none" w:sz="0" w:space="0" w:color="auto"/>
            <w:right w:val="none" w:sz="0" w:space="0" w:color="auto"/>
          </w:divBdr>
        </w:div>
        <w:div w:id="362676986">
          <w:marLeft w:val="0"/>
          <w:marRight w:val="0"/>
          <w:marTop w:val="0"/>
          <w:marBottom w:val="0"/>
          <w:divBdr>
            <w:top w:val="none" w:sz="0" w:space="0" w:color="auto"/>
            <w:left w:val="none" w:sz="0" w:space="0" w:color="auto"/>
            <w:bottom w:val="none" w:sz="0" w:space="0" w:color="auto"/>
            <w:right w:val="none" w:sz="0" w:space="0" w:color="auto"/>
          </w:divBdr>
        </w:div>
        <w:div w:id="375198131">
          <w:marLeft w:val="0"/>
          <w:marRight w:val="0"/>
          <w:marTop w:val="0"/>
          <w:marBottom w:val="0"/>
          <w:divBdr>
            <w:top w:val="none" w:sz="0" w:space="0" w:color="auto"/>
            <w:left w:val="none" w:sz="0" w:space="0" w:color="auto"/>
            <w:bottom w:val="none" w:sz="0" w:space="0" w:color="auto"/>
            <w:right w:val="none" w:sz="0" w:space="0" w:color="auto"/>
          </w:divBdr>
        </w:div>
        <w:div w:id="376898810">
          <w:marLeft w:val="0"/>
          <w:marRight w:val="0"/>
          <w:marTop w:val="0"/>
          <w:marBottom w:val="0"/>
          <w:divBdr>
            <w:top w:val="none" w:sz="0" w:space="0" w:color="auto"/>
            <w:left w:val="none" w:sz="0" w:space="0" w:color="auto"/>
            <w:bottom w:val="none" w:sz="0" w:space="0" w:color="auto"/>
            <w:right w:val="none" w:sz="0" w:space="0" w:color="auto"/>
          </w:divBdr>
        </w:div>
        <w:div w:id="386225303">
          <w:marLeft w:val="0"/>
          <w:marRight w:val="0"/>
          <w:marTop w:val="0"/>
          <w:marBottom w:val="0"/>
          <w:divBdr>
            <w:top w:val="none" w:sz="0" w:space="0" w:color="auto"/>
            <w:left w:val="none" w:sz="0" w:space="0" w:color="auto"/>
            <w:bottom w:val="none" w:sz="0" w:space="0" w:color="auto"/>
            <w:right w:val="none" w:sz="0" w:space="0" w:color="auto"/>
          </w:divBdr>
        </w:div>
        <w:div w:id="405079861">
          <w:marLeft w:val="0"/>
          <w:marRight w:val="0"/>
          <w:marTop w:val="0"/>
          <w:marBottom w:val="0"/>
          <w:divBdr>
            <w:top w:val="none" w:sz="0" w:space="0" w:color="auto"/>
            <w:left w:val="none" w:sz="0" w:space="0" w:color="auto"/>
            <w:bottom w:val="none" w:sz="0" w:space="0" w:color="auto"/>
            <w:right w:val="none" w:sz="0" w:space="0" w:color="auto"/>
          </w:divBdr>
        </w:div>
        <w:div w:id="408579961">
          <w:marLeft w:val="0"/>
          <w:marRight w:val="0"/>
          <w:marTop w:val="0"/>
          <w:marBottom w:val="0"/>
          <w:divBdr>
            <w:top w:val="none" w:sz="0" w:space="0" w:color="auto"/>
            <w:left w:val="none" w:sz="0" w:space="0" w:color="auto"/>
            <w:bottom w:val="none" w:sz="0" w:space="0" w:color="auto"/>
            <w:right w:val="none" w:sz="0" w:space="0" w:color="auto"/>
          </w:divBdr>
        </w:div>
        <w:div w:id="470175986">
          <w:marLeft w:val="0"/>
          <w:marRight w:val="0"/>
          <w:marTop w:val="0"/>
          <w:marBottom w:val="0"/>
          <w:divBdr>
            <w:top w:val="none" w:sz="0" w:space="0" w:color="auto"/>
            <w:left w:val="none" w:sz="0" w:space="0" w:color="auto"/>
            <w:bottom w:val="none" w:sz="0" w:space="0" w:color="auto"/>
            <w:right w:val="none" w:sz="0" w:space="0" w:color="auto"/>
          </w:divBdr>
        </w:div>
        <w:div w:id="474379055">
          <w:marLeft w:val="0"/>
          <w:marRight w:val="0"/>
          <w:marTop w:val="0"/>
          <w:marBottom w:val="0"/>
          <w:divBdr>
            <w:top w:val="none" w:sz="0" w:space="0" w:color="auto"/>
            <w:left w:val="none" w:sz="0" w:space="0" w:color="auto"/>
            <w:bottom w:val="none" w:sz="0" w:space="0" w:color="auto"/>
            <w:right w:val="none" w:sz="0" w:space="0" w:color="auto"/>
          </w:divBdr>
        </w:div>
        <w:div w:id="477845282">
          <w:marLeft w:val="0"/>
          <w:marRight w:val="0"/>
          <w:marTop w:val="0"/>
          <w:marBottom w:val="0"/>
          <w:divBdr>
            <w:top w:val="none" w:sz="0" w:space="0" w:color="auto"/>
            <w:left w:val="none" w:sz="0" w:space="0" w:color="auto"/>
            <w:bottom w:val="none" w:sz="0" w:space="0" w:color="auto"/>
            <w:right w:val="none" w:sz="0" w:space="0" w:color="auto"/>
          </w:divBdr>
        </w:div>
        <w:div w:id="506749502">
          <w:marLeft w:val="0"/>
          <w:marRight w:val="0"/>
          <w:marTop w:val="0"/>
          <w:marBottom w:val="0"/>
          <w:divBdr>
            <w:top w:val="none" w:sz="0" w:space="0" w:color="auto"/>
            <w:left w:val="none" w:sz="0" w:space="0" w:color="auto"/>
            <w:bottom w:val="none" w:sz="0" w:space="0" w:color="auto"/>
            <w:right w:val="none" w:sz="0" w:space="0" w:color="auto"/>
          </w:divBdr>
        </w:div>
        <w:div w:id="527836468">
          <w:marLeft w:val="0"/>
          <w:marRight w:val="0"/>
          <w:marTop w:val="0"/>
          <w:marBottom w:val="0"/>
          <w:divBdr>
            <w:top w:val="none" w:sz="0" w:space="0" w:color="auto"/>
            <w:left w:val="none" w:sz="0" w:space="0" w:color="auto"/>
            <w:bottom w:val="none" w:sz="0" w:space="0" w:color="auto"/>
            <w:right w:val="none" w:sz="0" w:space="0" w:color="auto"/>
          </w:divBdr>
        </w:div>
        <w:div w:id="530806013">
          <w:marLeft w:val="0"/>
          <w:marRight w:val="0"/>
          <w:marTop w:val="0"/>
          <w:marBottom w:val="0"/>
          <w:divBdr>
            <w:top w:val="none" w:sz="0" w:space="0" w:color="auto"/>
            <w:left w:val="none" w:sz="0" w:space="0" w:color="auto"/>
            <w:bottom w:val="none" w:sz="0" w:space="0" w:color="auto"/>
            <w:right w:val="none" w:sz="0" w:space="0" w:color="auto"/>
          </w:divBdr>
        </w:div>
        <w:div w:id="543953536">
          <w:marLeft w:val="0"/>
          <w:marRight w:val="0"/>
          <w:marTop w:val="0"/>
          <w:marBottom w:val="0"/>
          <w:divBdr>
            <w:top w:val="none" w:sz="0" w:space="0" w:color="auto"/>
            <w:left w:val="none" w:sz="0" w:space="0" w:color="auto"/>
            <w:bottom w:val="none" w:sz="0" w:space="0" w:color="auto"/>
            <w:right w:val="none" w:sz="0" w:space="0" w:color="auto"/>
          </w:divBdr>
        </w:div>
        <w:div w:id="545409019">
          <w:marLeft w:val="0"/>
          <w:marRight w:val="0"/>
          <w:marTop w:val="0"/>
          <w:marBottom w:val="0"/>
          <w:divBdr>
            <w:top w:val="none" w:sz="0" w:space="0" w:color="auto"/>
            <w:left w:val="none" w:sz="0" w:space="0" w:color="auto"/>
            <w:bottom w:val="none" w:sz="0" w:space="0" w:color="auto"/>
            <w:right w:val="none" w:sz="0" w:space="0" w:color="auto"/>
          </w:divBdr>
        </w:div>
        <w:div w:id="551428745">
          <w:marLeft w:val="0"/>
          <w:marRight w:val="0"/>
          <w:marTop w:val="0"/>
          <w:marBottom w:val="0"/>
          <w:divBdr>
            <w:top w:val="none" w:sz="0" w:space="0" w:color="auto"/>
            <w:left w:val="none" w:sz="0" w:space="0" w:color="auto"/>
            <w:bottom w:val="none" w:sz="0" w:space="0" w:color="auto"/>
            <w:right w:val="none" w:sz="0" w:space="0" w:color="auto"/>
          </w:divBdr>
        </w:div>
        <w:div w:id="620036318">
          <w:marLeft w:val="0"/>
          <w:marRight w:val="0"/>
          <w:marTop w:val="0"/>
          <w:marBottom w:val="0"/>
          <w:divBdr>
            <w:top w:val="none" w:sz="0" w:space="0" w:color="auto"/>
            <w:left w:val="none" w:sz="0" w:space="0" w:color="auto"/>
            <w:bottom w:val="none" w:sz="0" w:space="0" w:color="auto"/>
            <w:right w:val="none" w:sz="0" w:space="0" w:color="auto"/>
          </w:divBdr>
        </w:div>
        <w:div w:id="623927707">
          <w:marLeft w:val="0"/>
          <w:marRight w:val="0"/>
          <w:marTop w:val="0"/>
          <w:marBottom w:val="0"/>
          <w:divBdr>
            <w:top w:val="none" w:sz="0" w:space="0" w:color="auto"/>
            <w:left w:val="none" w:sz="0" w:space="0" w:color="auto"/>
            <w:bottom w:val="none" w:sz="0" w:space="0" w:color="auto"/>
            <w:right w:val="none" w:sz="0" w:space="0" w:color="auto"/>
          </w:divBdr>
        </w:div>
        <w:div w:id="652758598">
          <w:marLeft w:val="0"/>
          <w:marRight w:val="0"/>
          <w:marTop w:val="0"/>
          <w:marBottom w:val="0"/>
          <w:divBdr>
            <w:top w:val="none" w:sz="0" w:space="0" w:color="auto"/>
            <w:left w:val="none" w:sz="0" w:space="0" w:color="auto"/>
            <w:bottom w:val="none" w:sz="0" w:space="0" w:color="auto"/>
            <w:right w:val="none" w:sz="0" w:space="0" w:color="auto"/>
          </w:divBdr>
        </w:div>
        <w:div w:id="663362205">
          <w:marLeft w:val="0"/>
          <w:marRight w:val="0"/>
          <w:marTop w:val="0"/>
          <w:marBottom w:val="0"/>
          <w:divBdr>
            <w:top w:val="none" w:sz="0" w:space="0" w:color="auto"/>
            <w:left w:val="none" w:sz="0" w:space="0" w:color="auto"/>
            <w:bottom w:val="none" w:sz="0" w:space="0" w:color="auto"/>
            <w:right w:val="none" w:sz="0" w:space="0" w:color="auto"/>
          </w:divBdr>
        </w:div>
        <w:div w:id="664625264">
          <w:marLeft w:val="0"/>
          <w:marRight w:val="0"/>
          <w:marTop w:val="0"/>
          <w:marBottom w:val="0"/>
          <w:divBdr>
            <w:top w:val="none" w:sz="0" w:space="0" w:color="auto"/>
            <w:left w:val="none" w:sz="0" w:space="0" w:color="auto"/>
            <w:bottom w:val="none" w:sz="0" w:space="0" w:color="auto"/>
            <w:right w:val="none" w:sz="0" w:space="0" w:color="auto"/>
          </w:divBdr>
        </w:div>
        <w:div w:id="671882919">
          <w:marLeft w:val="0"/>
          <w:marRight w:val="0"/>
          <w:marTop w:val="0"/>
          <w:marBottom w:val="0"/>
          <w:divBdr>
            <w:top w:val="none" w:sz="0" w:space="0" w:color="auto"/>
            <w:left w:val="none" w:sz="0" w:space="0" w:color="auto"/>
            <w:bottom w:val="none" w:sz="0" w:space="0" w:color="auto"/>
            <w:right w:val="none" w:sz="0" w:space="0" w:color="auto"/>
          </w:divBdr>
        </w:div>
        <w:div w:id="676033030">
          <w:marLeft w:val="0"/>
          <w:marRight w:val="0"/>
          <w:marTop w:val="0"/>
          <w:marBottom w:val="0"/>
          <w:divBdr>
            <w:top w:val="none" w:sz="0" w:space="0" w:color="auto"/>
            <w:left w:val="none" w:sz="0" w:space="0" w:color="auto"/>
            <w:bottom w:val="none" w:sz="0" w:space="0" w:color="auto"/>
            <w:right w:val="none" w:sz="0" w:space="0" w:color="auto"/>
          </w:divBdr>
        </w:div>
        <w:div w:id="691106926">
          <w:marLeft w:val="0"/>
          <w:marRight w:val="0"/>
          <w:marTop w:val="0"/>
          <w:marBottom w:val="0"/>
          <w:divBdr>
            <w:top w:val="none" w:sz="0" w:space="0" w:color="auto"/>
            <w:left w:val="none" w:sz="0" w:space="0" w:color="auto"/>
            <w:bottom w:val="none" w:sz="0" w:space="0" w:color="auto"/>
            <w:right w:val="none" w:sz="0" w:space="0" w:color="auto"/>
          </w:divBdr>
        </w:div>
        <w:div w:id="700059606">
          <w:marLeft w:val="0"/>
          <w:marRight w:val="0"/>
          <w:marTop w:val="0"/>
          <w:marBottom w:val="0"/>
          <w:divBdr>
            <w:top w:val="none" w:sz="0" w:space="0" w:color="auto"/>
            <w:left w:val="none" w:sz="0" w:space="0" w:color="auto"/>
            <w:bottom w:val="none" w:sz="0" w:space="0" w:color="auto"/>
            <w:right w:val="none" w:sz="0" w:space="0" w:color="auto"/>
          </w:divBdr>
        </w:div>
        <w:div w:id="709962082">
          <w:marLeft w:val="0"/>
          <w:marRight w:val="0"/>
          <w:marTop w:val="0"/>
          <w:marBottom w:val="0"/>
          <w:divBdr>
            <w:top w:val="none" w:sz="0" w:space="0" w:color="auto"/>
            <w:left w:val="none" w:sz="0" w:space="0" w:color="auto"/>
            <w:bottom w:val="none" w:sz="0" w:space="0" w:color="auto"/>
            <w:right w:val="none" w:sz="0" w:space="0" w:color="auto"/>
          </w:divBdr>
        </w:div>
        <w:div w:id="728303536">
          <w:marLeft w:val="0"/>
          <w:marRight w:val="0"/>
          <w:marTop w:val="0"/>
          <w:marBottom w:val="0"/>
          <w:divBdr>
            <w:top w:val="none" w:sz="0" w:space="0" w:color="auto"/>
            <w:left w:val="none" w:sz="0" w:space="0" w:color="auto"/>
            <w:bottom w:val="none" w:sz="0" w:space="0" w:color="auto"/>
            <w:right w:val="none" w:sz="0" w:space="0" w:color="auto"/>
          </w:divBdr>
        </w:div>
        <w:div w:id="739443871">
          <w:marLeft w:val="0"/>
          <w:marRight w:val="0"/>
          <w:marTop w:val="0"/>
          <w:marBottom w:val="0"/>
          <w:divBdr>
            <w:top w:val="none" w:sz="0" w:space="0" w:color="auto"/>
            <w:left w:val="none" w:sz="0" w:space="0" w:color="auto"/>
            <w:bottom w:val="none" w:sz="0" w:space="0" w:color="auto"/>
            <w:right w:val="none" w:sz="0" w:space="0" w:color="auto"/>
          </w:divBdr>
        </w:div>
        <w:div w:id="740833693">
          <w:marLeft w:val="0"/>
          <w:marRight w:val="0"/>
          <w:marTop w:val="0"/>
          <w:marBottom w:val="0"/>
          <w:divBdr>
            <w:top w:val="none" w:sz="0" w:space="0" w:color="auto"/>
            <w:left w:val="none" w:sz="0" w:space="0" w:color="auto"/>
            <w:bottom w:val="none" w:sz="0" w:space="0" w:color="auto"/>
            <w:right w:val="none" w:sz="0" w:space="0" w:color="auto"/>
          </w:divBdr>
        </w:div>
        <w:div w:id="754739432">
          <w:marLeft w:val="0"/>
          <w:marRight w:val="0"/>
          <w:marTop w:val="0"/>
          <w:marBottom w:val="0"/>
          <w:divBdr>
            <w:top w:val="none" w:sz="0" w:space="0" w:color="auto"/>
            <w:left w:val="none" w:sz="0" w:space="0" w:color="auto"/>
            <w:bottom w:val="none" w:sz="0" w:space="0" w:color="auto"/>
            <w:right w:val="none" w:sz="0" w:space="0" w:color="auto"/>
          </w:divBdr>
        </w:div>
        <w:div w:id="789394586">
          <w:marLeft w:val="0"/>
          <w:marRight w:val="0"/>
          <w:marTop w:val="0"/>
          <w:marBottom w:val="0"/>
          <w:divBdr>
            <w:top w:val="none" w:sz="0" w:space="0" w:color="auto"/>
            <w:left w:val="none" w:sz="0" w:space="0" w:color="auto"/>
            <w:bottom w:val="none" w:sz="0" w:space="0" w:color="auto"/>
            <w:right w:val="none" w:sz="0" w:space="0" w:color="auto"/>
          </w:divBdr>
        </w:div>
        <w:div w:id="792943302">
          <w:marLeft w:val="0"/>
          <w:marRight w:val="0"/>
          <w:marTop w:val="0"/>
          <w:marBottom w:val="0"/>
          <w:divBdr>
            <w:top w:val="none" w:sz="0" w:space="0" w:color="auto"/>
            <w:left w:val="none" w:sz="0" w:space="0" w:color="auto"/>
            <w:bottom w:val="none" w:sz="0" w:space="0" w:color="auto"/>
            <w:right w:val="none" w:sz="0" w:space="0" w:color="auto"/>
          </w:divBdr>
        </w:div>
        <w:div w:id="796023771">
          <w:marLeft w:val="0"/>
          <w:marRight w:val="0"/>
          <w:marTop w:val="0"/>
          <w:marBottom w:val="0"/>
          <w:divBdr>
            <w:top w:val="none" w:sz="0" w:space="0" w:color="auto"/>
            <w:left w:val="none" w:sz="0" w:space="0" w:color="auto"/>
            <w:bottom w:val="none" w:sz="0" w:space="0" w:color="auto"/>
            <w:right w:val="none" w:sz="0" w:space="0" w:color="auto"/>
          </w:divBdr>
        </w:div>
        <w:div w:id="814109644">
          <w:marLeft w:val="0"/>
          <w:marRight w:val="0"/>
          <w:marTop w:val="0"/>
          <w:marBottom w:val="0"/>
          <w:divBdr>
            <w:top w:val="none" w:sz="0" w:space="0" w:color="auto"/>
            <w:left w:val="none" w:sz="0" w:space="0" w:color="auto"/>
            <w:bottom w:val="none" w:sz="0" w:space="0" w:color="auto"/>
            <w:right w:val="none" w:sz="0" w:space="0" w:color="auto"/>
          </w:divBdr>
        </w:div>
        <w:div w:id="850413293">
          <w:marLeft w:val="0"/>
          <w:marRight w:val="0"/>
          <w:marTop w:val="0"/>
          <w:marBottom w:val="0"/>
          <w:divBdr>
            <w:top w:val="none" w:sz="0" w:space="0" w:color="auto"/>
            <w:left w:val="none" w:sz="0" w:space="0" w:color="auto"/>
            <w:bottom w:val="none" w:sz="0" w:space="0" w:color="auto"/>
            <w:right w:val="none" w:sz="0" w:space="0" w:color="auto"/>
          </w:divBdr>
        </w:div>
        <w:div w:id="896937099">
          <w:marLeft w:val="0"/>
          <w:marRight w:val="0"/>
          <w:marTop w:val="0"/>
          <w:marBottom w:val="0"/>
          <w:divBdr>
            <w:top w:val="none" w:sz="0" w:space="0" w:color="auto"/>
            <w:left w:val="none" w:sz="0" w:space="0" w:color="auto"/>
            <w:bottom w:val="none" w:sz="0" w:space="0" w:color="auto"/>
            <w:right w:val="none" w:sz="0" w:space="0" w:color="auto"/>
          </w:divBdr>
        </w:div>
        <w:div w:id="902564092">
          <w:marLeft w:val="0"/>
          <w:marRight w:val="0"/>
          <w:marTop w:val="0"/>
          <w:marBottom w:val="0"/>
          <w:divBdr>
            <w:top w:val="none" w:sz="0" w:space="0" w:color="auto"/>
            <w:left w:val="none" w:sz="0" w:space="0" w:color="auto"/>
            <w:bottom w:val="none" w:sz="0" w:space="0" w:color="auto"/>
            <w:right w:val="none" w:sz="0" w:space="0" w:color="auto"/>
          </w:divBdr>
        </w:div>
        <w:div w:id="916600015">
          <w:marLeft w:val="0"/>
          <w:marRight w:val="0"/>
          <w:marTop w:val="0"/>
          <w:marBottom w:val="0"/>
          <w:divBdr>
            <w:top w:val="none" w:sz="0" w:space="0" w:color="auto"/>
            <w:left w:val="none" w:sz="0" w:space="0" w:color="auto"/>
            <w:bottom w:val="none" w:sz="0" w:space="0" w:color="auto"/>
            <w:right w:val="none" w:sz="0" w:space="0" w:color="auto"/>
          </w:divBdr>
        </w:div>
        <w:div w:id="951786925">
          <w:marLeft w:val="0"/>
          <w:marRight w:val="0"/>
          <w:marTop w:val="0"/>
          <w:marBottom w:val="0"/>
          <w:divBdr>
            <w:top w:val="none" w:sz="0" w:space="0" w:color="auto"/>
            <w:left w:val="none" w:sz="0" w:space="0" w:color="auto"/>
            <w:bottom w:val="none" w:sz="0" w:space="0" w:color="auto"/>
            <w:right w:val="none" w:sz="0" w:space="0" w:color="auto"/>
          </w:divBdr>
        </w:div>
        <w:div w:id="952394701">
          <w:marLeft w:val="0"/>
          <w:marRight w:val="0"/>
          <w:marTop w:val="0"/>
          <w:marBottom w:val="0"/>
          <w:divBdr>
            <w:top w:val="none" w:sz="0" w:space="0" w:color="auto"/>
            <w:left w:val="none" w:sz="0" w:space="0" w:color="auto"/>
            <w:bottom w:val="none" w:sz="0" w:space="0" w:color="auto"/>
            <w:right w:val="none" w:sz="0" w:space="0" w:color="auto"/>
          </w:divBdr>
        </w:div>
        <w:div w:id="968706564">
          <w:marLeft w:val="0"/>
          <w:marRight w:val="0"/>
          <w:marTop w:val="0"/>
          <w:marBottom w:val="0"/>
          <w:divBdr>
            <w:top w:val="none" w:sz="0" w:space="0" w:color="auto"/>
            <w:left w:val="none" w:sz="0" w:space="0" w:color="auto"/>
            <w:bottom w:val="none" w:sz="0" w:space="0" w:color="auto"/>
            <w:right w:val="none" w:sz="0" w:space="0" w:color="auto"/>
          </w:divBdr>
        </w:div>
        <w:div w:id="973565559">
          <w:marLeft w:val="0"/>
          <w:marRight w:val="0"/>
          <w:marTop w:val="0"/>
          <w:marBottom w:val="0"/>
          <w:divBdr>
            <w:top w:val="none" w:sz="0" w:space="0" w:color="auto"/>
            <w:left w:val="none" w:sz="0" w:space="0" w:color="auto"/>
            <w:bottom w:val="none" w:sz="0" w:space="0" w:color="auto"/>
            <w:right w:val="none" w:sz="0" w:space="0" w:color="auto"/>
          </w:divBdr>
        </w:div>
        <w:div w:id="990139905">
          <w:marLeft w:val="0"/>
          <w:marRight w:val="0"/>
          <w:marTop w:val="0"/>
          <w:marBottom w:val="0"/>
          <w:divBdr>
            <w:top w:val="none" w:sz="0" w:space="0" w:color="auto"/>
            <w:left w:val="none" w:sz="0" w:space="0" w:color="auto"/>
            <w:bottom w:val="none" w:sz="0" w:space="0" w:color="auto"/>
            <w:right w:val="none" w:sz="0" w:space="0" w:color="auto"/>
          </w:divBdr>
        </w:div>
        <w:div w:id="991832940">
          <w:marLeft w:val="0"/>
          <w:marRight w:val="0"/>
          <w:marTop w:val="0"/>
          <w:marBottom w:val="0"/>
          <w:divBdr>
            <w:top w:val="none" w:sz="0" w:space="0" w:color="auto"/>
            <w:left w:val="none" w:sz="0" w:space="0" w:color="auto"/>
            <w:bottom w:val="none" w:sz="0" w:space="0" w:color="auto"/>
            <w:right w:val="none" w:sz="0" w:space="0" w:color="auto"/>
          </w:divBdr>
        </w:div>
        <w:div w:id="991909013">
          <w:marLeft w:val="0"/>
          <w:marRight w:val="0"/>
          <w:marTop w:val="0"/>
          <w:marBottom w:val="0"/>
          <w:divBdr>
            <w:top w:val="none" w:sz="0" w:space="0" w:color="auto"/>
            <w:left w:val="none" w:sz="0" w:space="0" w:color="auto"/>
            <w:bottom w:val="none" w:sz="0" w:space="0" w:color="auto"/>
            <w:right w:val="none" w:sz="0" w:space="0" w:color="auto"/>
          </w:divBdr>
        </w:div>
        <w:div w:id="996033297">
          <w:marLeft w:val="0"/>
          <w:marRight w:val="0"/>
          <w:marTop w:val="0"/>
          <w:marBottom w:val="0"/>
          <w:divBdr>
            <w:top w:val="none" w:sz="0" w:space="0" w:color="auto"/>
            <w:left w:val="none" w:sz="0" w:space="0" w:color="auto"/>
            <w:bottom w:val="none" w:sz="0" w:space="0" w:color="auto"/>
            <w:right w:val="none" w:sz="0" w:space="0" w:color="auto"/>
          </w:divBdr>
        </w:div>
        <w:div w:id="1020817944">
          <w:marLeft w:val="0"/>
          <w:marRight w:val="0"/>
          <w:marTop w:val="0"/>
          <w:marBottom w:val="0"/>
          <w:divBdr>
            <w:top w:val="none" w:sz="0" w:space="0" w:color="auto"/>
            <w:left w:val="none" w:sz="0" w:space="0" w:color="auto"/>
            <w:bottom w:val="none" w:sz="0" w:space="0" w:color="auto"/>
            <w:right w:val="none" w:sz="0" w:space="0" w:color="auto"/>
          </w:divBdr>
        </w:div>
        <w:div w:id="1023702555">
          <w:marLeft w:val="0"/>
          <w:marRight w:val="0"/>
          <w:marTop w:val="0"/>
          <w:marBottom w:val="0"/>
          <w:divBdr>
            <w:top w:val="none" w:sz="0" w:space="0" w:color="auto"/>
            <w:left w:val="none" w:sz="0" w:space="0" w:color="auto"/>
            <w:bottom w:val="none" w:sz="0" w:space="0" w:color="auto"/>
            <w:right w:val="none" w:sz="0" w:space="0" w:color="auto"/>
          </w:divBdr>
        </w:div>
        <w:div w:id="1067724035">
          <w:marLeft w:val="0"/>
          <w:marRight w:val="0"/>
          <w:marTop w:val="0"/>
          <w:marBottom w:val="0"/>
          <w:divBdr>
            <w:top w:val="none" w:sz="0" w:space="0" w:color="auto"/>
            <w:left w:val="none" w:sz="0" w:space="0" w:color="auto"/>
            <w:bottom w:val="none" w:sz="0" w:space="0" w:color="auto"/>
            <w:right w:val="none" w:sz="0" w:space="0" w:color="auto"/>
          </w:divBdr>
        </w:div>
        <w:div w:id="1076241001">
          <w:marLeft w:val="0"/>
          <w:marRight w:val="0"/>
          <w:marTop w:val="0"/>
          <w:marBottom w:val="0"/>
          <w:divBdr>
            <w:top w:val="none" w:sz="0" w:space="0" w:color="auto"/>
            <w:left w:val="none" w:sz="0" w:space="0" w:color="auto"/>
            <w:bottom w:val="none" w:sz="0" w:space="0" w:color="auto"/>
            <w:right w:val="none" w:sz="0" w:space="0" w:color="auto"/>
          </w:divBdr>
        </w:div>
        <w:div w:id="1091120945">
          <w:marLeft w:val="0"/>
          <w:marRight w:val="0"/>
          <w:marTop w:val="0"/>
          <w:marBottom w:val="0"/>
          <w:divBdr>
            <w:top w:val="none" w:sz="0" w:space="0" w:color="auto"/>
            <w:left w:val="none" w:sz="0" w:space="0" w:color="auto"/>
            <w:bottom w:val="none" w:sz="0" w:space="0" w:color="auto"/>
            <w:right w:val="none" w:sz="0" w:space="0" w:color="auto"/>
          </w:divBdr>
        </w:div>
        <w:div w:id="1091272154">
          <w:marLeft w:val="0"/>
          <w:marRight w:val="0"/>
          <w:marTop w:val="0"/>
          <w:marBottom w:val="0"/>
          <w:divBdr>
            <w:top w:val="none" w:sz="0" w:space="0" w:color="auto"/>
            <w:left w:val="none" w:sz="0" w:space="0" w:color="auto"/>
            <w:bottom w:val="none" w:sz="0" w:space="0" w:color="auto"/>
            <w:right w:val="none" w:sz="0" w:space="0" w:color="auto"/>
          </w:divBdr>
        </w:div>
        <w:div w:id="1098988001">
          <w:marLeft w:val="0"/>
          <w:marRight w:val="0"/>
          <w:marTop w:val="0"/>
          <w:marBottom w:val="0"/>
          <w:divBdr>
            <w:top w:val="none" w:sz="0" w:space="0" w:color="auto"/>
            <w:left w:val="none" w:sz="0" w:space="0" w:color="auto"/>
            <w:bottom w:val="none" w:sz="0" w:space="0" w:color="auto"/>
            <w:right w:val="none" w:sz="0" w:space="0" w:color="auto"/>
          </w:divBdr>
        </w:div>
        <w:div w:id="1114058830">
          <w:marLeft w:val="0"/>
          <w:marRight w:val="0"/>
          <w:marTop w:val="0"/>
          <w:marBottom w:val="0"/>
          <w:divBdr>
            <w:top w:val="none" w:sz="0" w:space="0" w:color="auto"/>
            <w:left w:val="none" w:sz="0" w:space="0" w:color="auto"/>
            <w:bottom w:val="none" w:sz="0" w:space="0" w:color="auto"/>
            <w:right w:val="none" w:sz="0" w:space="0" w:color="auto"/>
          </w:divBdr>
        </w:div>
        <w:div w:id="1117218703">
          <w:marLeft w:val="0"/>
          <w:marRight w:val="0"/>
          <w:marTop w:val="0"/>
          <w:marBottom w:val="0"/>
          <w:divBdr>
            <w:top w:val="none" w:sz="0" w:space="0" w:color="auto"/>
            <w:left w:val="none" w:sz="0" w:space="0" w:color="auto"/>
            <w:bottom w:val="none" w:sz="0" w:space="0" w:color="auto"/>
            <w:right w:val="none" w:sz="0" w:space="0" w:color="auto"/>
          </w:divBdr>
        </w:div>
        <w:div w:id="1137528978">
          <w:marLeft w:val="0"/>
          <w:marRight w:val="0"/>
          <w:marTop w:val="0"/>
          <w:marBottom w:val="0"/>
          <w:divBdr>
            <w:top w:val="none" w:sz="0" w:space="0" w:color="auto"/>
            <w:left w:val="none" w:sz="0" w:space="0" w:color="auto"/>
            <w:bottom w:val="none" w:sz="0" w:space="0" w:color="auto"/>
            <w:right w:val="none" w:sz="0" w:space="0" w:color="auto"/>
          </w:divBdr>
        </w:div>
        <w:div w:id="1142161616">
          <w:marLeft w:val="0"/>
          <w:marRight w:val="0"/>
          <w:marTop w:val="0"/>
          <w:marBottom w:val="0"/>
          <w:divBdr>
            <w:top w:val="none" w:sz="0" w:space="0" w:color="auto"/>
            <w:left w:val="none" w:sz="0" w:space="0" w:color="auto"/>
            <w:bottom w:val="none" w:sz="0" w:space="0" w:color="auto"/>
            <w:right w:val="none" w:sz="0" w:space="0" w:color="auto"/>
          </w:divBdr>
        </w:div>
        <w:div w:id="1158686952">
          <w:marLeft w:val="0"/>
          <w:marRight w:val="0"/>
          <w:marTop w:val="0"/>
          <w:marBottom w:val="0"/>
          <w:divBdr>
            <w:top w:val="none" w:sz="0" w:space="0" w:color="auto"/>
            <w:left w:val="none" w:sz="0" w:space="0" w:color="auto"/>
            <w:bottom w:val="none" w:sz="0" w:space="0" w:color="auto"/>
            <w:right w:val="none" w:sz="0" w:space="0" w:color="auto"/>
          </w:divBdr>
        </w:div>
        <w:div w:id="1164082832">
          <w:marLeft w:val="0"/>
          <w:marRight w:val="0"/>
          <w:marTop w:val="0"/>
          <w:marBottom w:val="0"/>
          <w:divBdr>
            <w:top w:val="none" w:sz="0" w:space="0" w:color="auto"/>
            <w:left w:val="none" w:sz="0" w:space="0" w:color="auto"/>
            <w:bottom w:val="none" w:sz="0" w:space="0" w:color="auto"/>
            <w:right w:val="none" w:sz="0" w:space="0" w:color="auto"/>
          </w:divBdr>
        </w:div>
        <w:div w:id="1165439472">
          <w:marLeft w:val="0"/>
          <w:marRight w:val="0"/>
          <w:marTop w:val="0"/>
          <w:marBottom w:val="0"/>
          <w:divBdr>
            <w:top w:val="none" w:sz="0" w:space="0" w:color="auto"/>
            <w:left w:val="none" w:sz="0" w:space="0" w:color="auto"/>
            <w:bottom w:val="none" w:sz="0" w:space="0" w:color="auto"/>
            <w:right w:val="none" w:sz="0" w:space="0" w:color="auto"/>
          </w:divBdr>
        </w:div>
        <w:div w:id="1167601047">
          <w:marLeft w:val="0"/>
          <w:marRight w:val="0"/>
          <w:marTop w:val="0"/>
          <w:marBottom w:val="0"/>
          <w:divBdr>
            <w:top w:val="none" w:sz="0" w:space="0" w:color="auto"/>
            <w:left w:val="none" w:sz="0" w:space="0" w:color="auto"/>
            <w:bottom w:val="none" w:sz="0" w:space="0" w:color="auto"/>
            <w:right w:val="none" w:sz="0" w:space="0" w:color="auto"/>
          </w:divBdr>
        </w:div>
        <w:div w:id="1184174709">
          <w:marLeft w:val="0"/>
          <w:marRight w:val="0"/>
          <w:marTop w:val="0"/>
          <w:marBottom w:val="0"/>
          <w:divBdr>
            <w:top w:val="none" w:sz="0" w:space="0" w:color="auto"/>
            <w:left w:val="none" w:sz="0" w:space="0" w:color="auto"/>
            <w:bottom w:val="none" w:sz="0" w:space="0" w:color="auto"/>
            <w:right w:val="none" w:sz="0" w:space="0" w:color="auto"/>
          </w:divBdr>
        </w:div>
        <w:div w:id="1202746936">
          <w:marLeft w:val="0"/>
          <w:marRight w:val="0"/>
          <w:marTop w:val="0"/>
          <w:marBottom w:val="0"/>
          <w:divBdr>
            <w:top w:val="none" w:sz="0" w:space="0" w:color="auto"/>
            <w:left w:val="none" w:sz="0" w:space="0" w:color="auto"/>
            <w:bottom w:val="none" w:sz="0" w:space="0" w:color="auto"/>
            <w:right w:val="none" w:sz="0" w:space="0" w:color="auto"/>
          </w:divBdr>
        </w:div>
        <w:div w:id="1216506542">
          <w:marLeft w:val="0"/>
          <w:marRight w:val="0"/>
          <w:marTop w:val="0"/>
          <w:marBottom w:val="0"/>
          <w:divBdr>
            <w:top w:val="none" w:sz="0" w:space="0" w:color="auto"/>
            <w:left w:val="none" w:sz="0" w:space="0" w:color="auto"/>
            <w:bottom w:val="none" w:sz="0" w:space="0" w:color="auto"/>
            <w:right w:val="none" w:sz="0" w:space="0" w:color="auto"/>
          </w:divBdr>
        </w:div>
        <w:div w:id="1219783325">
          <w:marLeft w:val="0"/>
          <w:marRight w:val="0"/>
          <w:marTop w:val="0"/>
          <w:marBottom w:val="0"/>
          <w:divBdr>
            <w:top w:val="none" w:sz="0" w:space="0" w:color="auto"/>
            <w:left w:val="none" w:sz="0" w:space="0" w:color="auto"/>
            <w:bottom w:val="none" w:sz="0" w:space="0" w:color="auto"/>
            <w:right w:val="none" w:sz="0" w:space="0" w:color="auto"/>
          </w:divBdr>
        </w:div>
        <w:div w:id="1243487544">
          <w:marLeft w:val="0"/>
          <w:marRight w:val="0"/>
          <w:marTop w:val="0"/>
          <w:marBottom w:val="0"/>
          <w:divBdr>
            <w:top w:val="none" w:sz="0" w:space="0" w:color="auto"/>
            <w:left w:val="none" w:sz="0" w:space="0" w:color="auto"/>
            <w:bottom w:val="none" w:sz="0" w:space="0" w:color="auto"/>
            <w:right w:val="none" w:sz="0" w:space="0" w:color="auto"/>
          </w:divBdr>
        </w:div>
        <w:div w:id="1248268652">
          <w:marLeft w:val="0"/>
          <w:marRight w:val="0"/>
          <w:marTop w:val="0"/>
          <w:marBottom w:val="0"/>
          <w:divBdr>
            <w:top w:val="none" w:sz="0" w:space="0" w:color="auto"/>
            <w:left w:val="none" w:sz="0" w:space="0" w:color="auto"/>
            <w:bottom w:val="none" w:sz="0" w:space="0" w:color="auto"/>
            <w:right w:val="none" w:sz="0" w:space="0" w:color="auto"/>
          </w:divBdr>
        </w:div>
        <w:div w:id="1285624620">
          <w:marLeft w:val="0"/>
          <w:marRight w:val="0"/>
          <w:marTop w:val="0"/>
          <w:marBottom w:val="0"/>
          <w:divBdr>
            <w:top w:val="none" w:sz="0" w:space="0" w:color="auto"/>
            <w:left w:val="none" w:sz="0" w:space="0" w:color="auto"/>
            <w:bottom w:val="none" w:sz="0" w:space="0" w:color="auto"/>
            <w:right w:val="none" w:sz="0" w:space="0" w:color="auto"/>
          </w:divBdr>
        </w:div>
        <w:div w:id="1308851087">
          <w:marLeft w:val="0"/>
          <w:marRight w:val="0"/>
          <w:marTop w:val="0"/>
          <w:marBottom w:val="0"/>
          <w:divBdr>
            <w:top w:val="none" w:sz="0" w:space="0" w:color="auto"/>
            <w:left w:val="none" w:sz="0" w:space="0" w:color="auto"/>
            <w:bottom w:val="none" w:sz="0" w:space="0" w:color="auto"/>
            <w:right w:val="none" w:sz="0" w:space="0" w:color="auto"/>
          </w:divBdr>
        </w:div>
        <w:div w:id="1327710586">
          <w:marLeft w:val="0"/>
          <w:marRight w:val="0"/>
          <w:marTop w:val="0"/>
          <w:marBottom w:val="0"/>
          <w:divBdr>
            <w:top w:val="none" w:sz="0" w:space="0" w:color="auto"/>
            <w:left w:val="none" w:sz="0" w:space="0" w:color="auto"/>
            <w:bottom w:val="none" w:sz="0" w:space="0" w:color="auto"/>
            <w:right w:val="none" w:sz="0" w:space="0" w:color="auto"/>
          </w:divBdr>
        </w:div>
        <w:div w:id="1336417954">
          <w:marLeft w:val="0"/>
          <w:marRight w:val="0"/>
          <w:marTop w:val="0"/>
          <w:marBottom w:val="0"/>
          <w:divBdr>
            <w:top w:val="none" w:sz="0" w:space="0" w:color="auto"/>
            <w:left w:val="none" w:sz="0" w:space="0" w:color="auto"/>
            <w:bottom w:val="none" w:sz="0" w:space="0" w:color="auto"/>
            <w:right w:val="none" w:sz="0" w:space="0" w:color="auto"/>
          </w:divBdr>
        </w:div>
        <w:div w:id="1339231258">
          <w:marLeft w:val="0"/>
          <w:marRight w:val="0"/>
          <w:marTop w:val="0"/>
          <w:marBottom w:val="0"/>
          <w:divBdr>
            <w:top w:val="none" w:sz="0" w:space="0" w:color="auto"/>
            <w:left w:val="none" w:sz="0" w:space="0" w:color="auto"/>
            <w:bottom w:val="none" w:sz="0" w:space="0" w:color="auto"/>
            <w:right w:val="none" w:sz="0" w:space="0" w:color="auto"/>
          </w:divBdr>
        </w:div>
        <w:div w:id="1369527399">
          <w:marLeft w:val="0"/>
          <w:marRight w:val="0"/>
          <w:marTop w:val="0"/>
          <w:marBottom w:val="0"/>
          <w:divBdr>
            <w:top w:val="none" w:sz="0" w:space="0" w:color="auto"/>
            <w:left w:val="none" w:sz="0" w:space="0" w:color="auto"/>
            <w:bottom w:val="none" w:sz="0" w:space="0" w:color="auto"/>
            <w:right w:val="none" w:sz="0" w:space="0" w:color="auto"/>
          </w:divBdr>
        </w:div>
        <w:div w:id="1376546856">
          <w:marLeft w:val="0"/>
          <w:marRight w:val="0"/>
          <w:marTop w:val="0"/>
          <w:marBottom w:val="0"/>
          <w:divBdr>
            <w:top w:val="none" w:sz="0" w:space="0" w:color="auto"/>
            <w:left w:val="none" w:sz="0" w:space="0" w:color="auto"/>
            <w:bottom w:val="none" w:sz="0" w:space="0" w:color="auto"/>
            <w:right w:val="none" w:sz="0" w:space="0" w:color="auto"/>
          </w:divBdr>
        </w:div>
        <w:div w:id="1386181907">
          <w:marLeft w:val="0"/>
          <w:marRight w:val="0"/>
          <w:marTop w:val="0"/>
          <w:marBottom w:val="0"/>
          <w:divBdr>
            <w:top w:val="none" w:sz="0" w:space="0" w:color="auto"/>
            <w:left w:val="none" w:sz="0" w:space="0" w:color="auto"/>
            <w:bottom w:val="none" w:sz="0" w:space="0" w:color="auto"/>
            <w:right w:val="none" w:sz="0" w:space="0" w:color="auto"/>
          </w:divBdr>
        </w:div>
        <w:div w:id="1389494625">
          <w:marLeft w:val="0"/>
          <w:marRight w:val="0"/>
          <w:marTop w:val="0"/>
          <w:marBottom w:val="0"/>
          <w:divBdr>
            <w:top w:val="none" w:sz="0" w:space="0" w:color="auto"/>
            <w:left w:val="none" w:sz="0" w:space="0" w:color="auto"/>
            <w:bottom w:val="none" w:sz="0" w:space="0" w:color="auto"/>
            <w:right w:val="none" w:sz="0" w:space="0" w:color="auto"/>
          </w:divBdr>
        </w:div>
        <w:div w:id="1403332004">
          <w:marLeft w:val="0"/>
          <w:marRight w:val="0"/>
          <w:marTop w:val="0"/>
          <w:marBottom w:val="0"/>
          <w:divBdr>
            <w:top w:val="none" w:sz="0" w:space="0" w:color="auto"/>
            <w:left w:val="none" w:sz="0" w:space="0" w:color="auto"/>
            <w:bottom w:val="none" w:sz="0" w:space="0" w:color="auto"/>
            <w:right w:val="none" w:sz="0" w:space="0" w:color="auto"/>
          </w:divBdr>
        </w:div>
        <w:div w:id="1408310251">
          <w:marLeft w:val="0"/>
          <w:marRight w:val="0"/>
          <w:marTop w:val="0"/>
          <w:marBottom w:val="0"/>
          <w:divBdr>
            <w:top w:val="none" w:sz="0" w:space="0" w:color="auto"/>
            <w:left w:val="none" w:sz="0" w:space="0" w:color="auto"/>
            <w:bottom w:val="none" w:sz="0" w:space="0" w:color="auto"/>
            <w:right w:val="none" w:sz="0" w:space="0" w:color="auto"/>
          </w:divBdr>
        </w:div>
        <w:div w:id="1424647652">
          <w:marLeft w:val="0"/>
          <w:marRight w:val="0"/>
          <w:marTop w:val="0"/>
          <w:marBottom w:val="0"/>
          <w:divBdr>
            <w:top w:val="none" w:sz="0" w:space="0" w:color="auto"/>
            <w:left w:val="none" w:sz="0" w:space="0" w:color="auto"/>
            <w:bottom w:val="none" w:sz="0" w:space="0" w:color="auto"/>
            <w:right w:val="none" w:sz="0" w:space="0" w:color="auto"/>
          </w:divBdr>
        </w:div>
        <w:div w:id="1436974791">
          <w:marLeft w:val="0"/>
          <w:marRight w:val="0"/>
          <w:marTop w:val="0"/>
          <w:marBottom w:val="0"/>
          <w:divBdr>
            <w:top w:val="none" w:sz="0" w:space="0" w:color="auto"/>
            <w:left w:val="none" w:sz="0" w:space="0" w:color="auto"/>
            <w:bottom w:val="none" w:sz="0" w:space="0" w:color="auto"/>
            <w:right w:val="none" w:sz="0" w:space="0" w:color="auto"/>
          </w:divBdr>
        </w:div>
        <w:div w:id="1437629122">
          <w:marLeft w:val="0"/>
          <w:marRight w:val="0"/>
          <w:marTop w:val="0"/>
          <w:marBottom w:val="0"/>
          <w:divBdr>
            <w:top w:val="none" w:sz="0" w:space="0" w:color="auto"/>
            <w:left w:val="none" w:sz="0" w:space="0" w:color="auto"/>
            <w:bottom w:val="none" w:sz="0" w:space="0" w:color="auto"/>
            <w:right w:val="none" w:sz="0" w:space="0" w:color="auto"/>
          </w:divBdr>
        </w:div>
        <w:div w:id="1443719674">
          <w:marLeft w:val="0"/>
          <w:marRight w:val="0"/>
          <w:marTop w:val="0"/>
          <w:marBottom w:val="0"/>
          <w:divBdr>
            <w:top w:val="none" w:sz="0" w:space="0" w:color="auto"/>
            <w:left w:val="none" w:sz="0" w:space="0" w:color="auto"/>
            <w:bottom w:val="none" w:sz="0" w:space="0" w:color="auto"/>
            <w:right w:val="none" w:sz="0" w:space="0" w:color="auto"/>
          </w:divBdr>
        </w:div>
        <w:div w:id="1444034071">
          <w:marLeft w:val="0"/>
          <w:marRight w:val="0"/>
          <w:marTop w:val="0"/>
          <w:marBottom w:val="0"/>
          <w:divBdr>
            <w:top w:val="none" w:sz="0" w:space="0" w:color="auto"/>
            <w:left w:val="none" w:sz="0" w:space="0" w:color="auto"/>
            <w:bottom w:val="none" w:sz="0" w:space="0" w:color="auto"/>
            <w:right w:val="none" w:sz="0" w:space="0" w:color="auto"/>
          </w:divBdr>
        </w:div>
        <w:div w:id="1448310370">
          <w:marLeft w:val="0"/>
          <w:marRight w:val="0"/>
          <w:marTop w:val="0"/>
          <w:marBottom w:val="0"/>
          <w:divBdr>
            <w:top w:val="none" w:sz="0" w:space="0" w:color="auto"/>
            <w:left w:val="none" w:sz="0" w:space="0" w:color="auto"/>
            <w:bottom w:val="none" w:sz="0" w:space="0" w:color="auto"/>
            <w:right w:val="none" w:sz="0" w:space="0" w:color="auto"/>
          </w:divBdr>
        </w:div>
        <w:div w:id="1453092800">
          <w:marLeft w:val="0"/>
          <w:marRight w:val="0"/>
          <w:marTop w:val="0"/>
          <w:marBottom w:val="0"/>
          <w:divBdr>
            <w:top w:val="none" w:sz="0" w:space="0" w:color="auto"/>
            <w:left w:val="none" w:sz="0" w:space="0" w:color="auto"/>
            <w:bottom w:val="none" w:sz="0" w:space="0" w:color="auto"/>
            <w:right w:val="none" w:sz="0" w:space="0" w:color="auto"/>
          </w:divBdr>
        </w:div>
        <w:div w:id="1460609385">
          <w:marLeft w:val="0"/>
          <w:marRight w:val="0"/>
          <w:marTop w:val="0"/>
          <w:marBottom w:val="0"/>
          <w:divBdr>
            <w:top w:val="none" w:sz="0" w:space="0" w:color="auto"/>
            <w:left w:val="none" w:sz="0" w:space="0" w:color="auto"/>
            <w:bottom w:val="none" w:sz="0" w:space="0" w:color="auto"/>
            <w:right w:val="none" w:sz="0" w:space="0" w:color="auto"/>
          </w:divBdr>
        </w:div>
        <w:div w:id="1477449496">
          <w:marLeft w:val="0"/>
          <w:marRight w:val="0"/>
          <w:marTop w:val="0"/>
          <w:marBottom w:val="0"/>
          <w:divBdr>
            <w:top w:val="none" w:sz="0" w:space="0" w:color="auto"/>
            <w:left w:val="none" w:sz="0" w:space="0" w:color="auto"/>
            <w:bottom w:val="none" w:sz="0" w:space="0" w:color="auto"/>
            <w:right w:val="none" w:sz="0" w:space="0" w:color="auto"/>
          </w:divBdr>
        </w:div>
        <w:div w:id="1497453863">
          <w:marLeft w:val="0"/>
          <w:marRight w:val="0"/>
          <w:marTop w:val="0"/>
          <w:marBottom w:val="0"/>
          <w:divBdr>
            <w:top w:val="none" w:sz="0" w:space="0" w:color="auto"/>
            <w:left w:val="none" w:sz="0" w:space="0" w:color="auto"/>
            <w:bottom w:val="none" w:sz="0" w:space="0" w:color="auto"/>
            <w:right w:val="none" w:sz="0" w:space="0" w:color="auto"/>
          </w:divBdr>
        </w:div>
        <w:div w:id="1522550223">
          <w:marLeft w:val="0"/>
          <w:marRight w:val="0"/>
          <w:marTop w:val="0"/>
          <w:marBottom w:val="0"/>
          <w:divBdr>
            <w:top w:val="none" w:sz="0" w:space="0" w:color="auto"/>
            <w:left w:val="none" w:sz="0" w:space="0" w:color="auto"/>
            <w:bottom w:val="none" w:sz="0" w:space="0" w:color="auto"/>
            <w:right w:val="none" w:sz="0" w:space="0" w:color="auto"/>
          </w:divBdr>
        </w:div>
        <w:div w:id="1528370920">
          <w:marLeft w:val="0"/>
          <w:marRight w:val="0"/>
          <w:marTop w:val="0"/>
          <w:marBottom w:val="0"/>
          <w:divBdr>
            <w:top w:val="none" w:sz="0" w:space="0" w:color="auto"/>
            <w:left w:val="none" w:sz="0" w:space="0" w:color="auto"/>
            <w:bottom w:val="none" w:sz="0" w:space="0" w:color="auto"/>
            <w:right w:val="none" w:sz="0" w:space="0" w:color="auto"/>
          </w:divBdr>
        </w:div>
        <w:div w:id="1529296929">
          <w:marLeft w:val="0"/>
          <w:marRight w:val="0"/>
          <w:marTop w:val="0"/>
          <w:marBottom w:val="0"/>
          <w:divBdr>
            <w:top w:val="none" w:sz="0" w:space="0" w:color="auto"/>
            <w:left w:val="none" w:sz="0" w:space="0" w:color="auto"/>
            <w:bottom w:val="none" w:sz="0" w:space="0" w:color="auto"/>
            <w:right w:val="none" w:sz="0" w:space="0" w:color="auto"/>
          </w:divBdr>
        </w:div>
        <w:div w:id="1548254859">
          <w:marLeft w:val="0"/>
          <w:marRight w:val="0"/>
          <w:marTop w:val="0"/>
          <w:marBottom w:val="0"/>
          <w:divBdr>
            <w:top w:val="none" w:sz="0" w:space="0" w:color="auto"/>
            <w:left w:val="none" w:sz="0" w:space="0" w:color="auto"/>
            <w:bottom w:val="none" w:sz="0" w:space="0" w:color="auto"/>
            <w:right w:val="none" w:sz="0" w:space="0" w:color="auto"/>
          </w:divBdr>
        </w:div>
        <w:div w:id="1568417815">
          <w:marLeft w:val="0"/>
          <w:marRight w:val="0"/>
          <w:marTop w:val="0"/>
          <w:marBottom w:val="0"/>
          <w:divBdr>
            <w:top w:val="none" w:sz="0" w:space="0" w:color="auto"/>
            <w:left w:val="none" w:sz="0" w:space="0" w:color="auto"/>
            <w:bottom w:val="none" w:sz="0" w:space="0" w:color="auto"/>
            <w:right w:val="none" w:sz="0" w:space="0" w:color="auto"/>
          </w:divBdr>
        </w:div>
        <w:div w:id="1569222566">
          <w:marLeft w:val="0"/>
          <w:marRight w:val="0"/>
          <w:marTop w:val="0"/>
          <w:marBottom w:val="0"/>
          <w:divBdr>
            <w:top w:val="none" w:sz="0" w:space="0" w:color="auto"/>
            <w:left w:val="none" w:sz="0" w:space="0" w:color="auto"/>
            <w:bottom w:val="none" w:sz="0" w:space="0" w:color="auto"/>
            <w:right w:val="none" w:sz="0" w:space="0" w:color="auto"/>
          </w:divBdr>
        </w:div>
        <w:div w:id="1581523542">
          <w:marLeft w:val="0"/>
          <w:marRight w:val="0"/>
          <w:marTop w:val="0"/>
          <w:marBottom w:val="0"/>
          <w:divBdr>
            <w:top w:val="none" w:sz="0" w:space="0" w:color="auto"/>
            <w:left w:val="none" w:sz="0" w:space="0" w:color="auto"/>
            <w:bottom w:val="none" w:sz="0" w:space="0" w:color="auto"/>
            <w:right w:val="none" w:sz="0" w:space="0" w:color="auto"/>
          </w:divBdr>
        </w:div>
        <w:div w:id="1585914849">
          <w:marLeft w:val="0"/>
          <w:marRight w:val="0"/>
          <w:marTop w:val="0"/>
          <w:marBottom w:val="0"/>
          <w:divBdr>
            <w:top w:val="none" w:sz="0" w:space="0" w:color="auto"/>
            <w:left w:val="none" w:sz="0" w:space="0" w:color="auto"/>
            <w:bottom w:val="none" w:sz="0" w:space="0" w:color="auto"/>
            <w:right w:val="none" w:sz="0" w:space="0" w:color="auto"/>
          </w:divBdr>
        </w:div>
        <w:div w:id="1593078585">
          <w:marLeft w:val="0"/>
          <w:marRight w:val="0"/>
          <w:marTop w:val="0"/>
          <w:marBottom w:val="0"/>
          <w:divBdr>
            <w:top w:val="none" w:sz="0" w:space="0" w:color="auto"/>
            <w:left w:val="none" w:sz="0" w:space="0" w:color="auto"/>
            <w:bottom w:val="none" w:sz="0" w:space="0" w:color="auto"/>
            <w:right w:val="none" w:sz="0" w:space="0" w:color="auto"/>
          </w:divBdr>
        </w:div>
        <w:div w:id="1661228955">
          <w:marLeft w:val="0"/>
          <w:marRight w:val="0"/>
          <w:marTop w:val="0"/>
          <w:marBottom w:val="0"/>
          <w:divBdr>
            <w:top w:val="none" w:sz="0" w:space="0" w:color="auto"/>
            <w:left w:val="none" w:sz="0" w:space="0" w:color="auto"/>
            <w:bottom w:val="none" w:sz="0" w:space="0" w:color="auto"/>
            <w:right w:val="none" w:sz="0" w:space="0" w:color="auto"/>
          </w:divBdr>
        </w:div>
        <w:div w:id="1666589730">
          <w:marLeft w:val="0"/>
          <w:marRight w:val="0"/>
          <w:marTop w:val="0"/>
          <w:marBottom w:val="0"/>
          <w:divBdr>
            <w:top w:val="none" w:sz="0" w:space="0" w:color="auto"/>
            <w:left w:val="none" w:sz="0" w:space="0" w:color="auto"/>
            <w:bottom w:val="none" w:sz="0" w:space="0" w:color="auto"/>
            <w:right w:val="none" w:sz="0" w:space="0" w:color="auto"/>
          </w:divBdr>
        </w:div>
        <w:div w:id="1676610551">
          <w:marLeft w:val="0"/>
          <w:marRight w:val="0"/>
          <w:marTop w:val="0"/>
          <w:marBottom w:val="0"/>
          <w:divBdr>
            <w:top w:val="none" w:sz="0" w:space="0" w:color="auto"/>
            <w:left w:val="none" w:sz="0" w:space="0" w:color="auto"/>
            <w:bottom w:val="none" w:sz="0" w:space="0" w:color="auto"/>
            <w:right w:val="none" w:sz="0" w:space="0" w:color="auto"/>
          </w:divBdr>
        </w:div>
        <w:div w:id="1700812216">
          <w:marLeft w:val="0"/>
          <w:marRight w:val="0"/>
          <w:marTop w:val="0"/>
          <w:marBottom w:val="0"/>
          <w:divBdr>
            <w:top w:val="none" w:sz="0" w:space="0" w:color="auto"/>
            <w:left w:val="none" w:sz="0" w:space="0" w:color="auto"/>
            <w:bottom w:val="none" w:sz="0" w:space="0" w:color="auto"/>
            <w:right w:val="none" w:sz="0" w:space="0" w:color="auto"/>
          </w:divBdr>
        </w:div>
        <w:div w:id="1713919484">
          <w:marLeft w:val="0"/>
          <w:marRight w:val="0"/>
          <w:marTop w:val="0"/>
          <w:marBottom w:val="0"/>
          <w:divBdr>
            <w:top w:val="none" w:sz="0" w:space="0" w:color="auto"/>
            <w:left w:val="none" w:sz="0" w:space="0" w:color="auto"/>
            <w:bottom w:val="none" w:sz="0" w:space="0" w:color="auto"/>
            <w:right w:val="none" w:sz="0" w:space="0" w:color="auto"/>
          </w:divBdr>
        </w:div>
        <w:div w:id="1729111047">
          <w:marLeft w:val="0"/>
          <w:marRight w:val="0"/>
          <w:marTop w:val="0"/>
          <w:marBottom w:val="0"/>
          <w:divBdr>
            <w:top w:val="none" w:sz="0" w:space="0" w:color="auto"/>
            <w:left w:val="none" w:sz="0" w:space="0" w:color="auto"/>
            <w:bottom w:val="none" w:sz="0" w:space="0" w:color="auto"/>
            <w:right w:val="none" w:sz="0" w:space="0" w:color="auto"/>
          </w:divBdr>
        </w:div>
        <w:div w:id="1739205993">
          <w:marLeft w:val="0"/>
          <w:marRight w:val="0"/>
          <w:marTop w:val="0"/>
          <w:marBottom w:val="0"/>
          <w:divBdr>
            <w:top w:val="none" w:sz="0" w:space="0" w:color="auto"/>
            <w:left w:val="none" w:sz="0" w:space="0" w:color="auto"/>
            <w:bottom w:val="none" w:sz="0" w:space="0" w:color="auto"/>
            <w:right w:val="none" w:sz="0" w:space="0" w:color="auto"/>
          </w:divBdr>
        </w:div>
        <w:div w:id="1743405036">
          <w:marLeft w:val="0"/>
          <w:marRight w:val="0"/>
          <w:marTop w:val="0"/>
          <w:marBottom w:val="0"/>
          <w:divBdr>
            <w:top w:val="none" w:sz="0" w:space="0" w:color="auto"/>
            <w:left w:val="none" w:sz="0" w:space="0" w:color="auto"/>
            <w:bottom w:val="none" w:sz="0" w:space="0" w:color="auto"/>
            <w:right w:val="none" w:sz="0" w:space="0" w:color="auto"/>
          </w:divBdr>
        </w:div>
        <w:div w:id="1745298987">
          <w:marLeft w:val="0"/>
          <w:marRight w:val="0"/>
          <w:marTop w:val="0"/>
          <w:marBottom w:val="0"/>
          <w:divBdr>
            <w:top w:val="none" w:sz="0" w:space="0" w:color="auto"/>
            <w:left w:val="none" w:sz="0" w:space="0" w:color="auto"/>
            <w:bottom w:val="none" w:sz="0" w:space="0" w:color="auto"/>
            <w:right w:val="none" w:sz="0" w:space="0" w:color="auto"/>
          </w:divBdr>
        </w:div>
        <w:div w:id="1747071460">
          <w:marLeft w:val="0"/>
          <w:marRight w:val="0"/>
          <w:marTop w:val="0"/>
          <w:marBottom w:val="0"/>
          <w:divBdr>
            <w:top w:val="none" w:sz="0" w:space="0" w:color="auto"/>
            <w:left w:val="none" w:sz="0" w:space="0" w:color="auto"/>
            <w:bottom w:val="none" w:sz="0" w:space="0" w:color="auto"/>
            <w:right w:val="none" w:sz="0" w:space="0" w:color="auto"/>
          </w:divBdr>
        </w:div>
        <w:div w:id="1752236490">
          <w:marLeft w:val="0"/>
          <w:marRight w:val="0"/>
          <w:marTop w:val="0"/>
          <w:marBottom w:val="0"/>
          <w:divBdr>
            <w:top w:val="none" w:sz="0" w:space="0" w:color="auto"/>
            <w:left w:val="none" w:sz="0" w:space="0" w:color="auto"/>
            <w:bottom w:val="none" w:sz="0" w:space="0" w:color="auto"/>
            <w:right w:val="none" w:sz="0" w:space="0" w:color="auto"/>
          </w:divBdr>
        </w:div>
        <w:div w:id="1761025419">
          <w:marLeft w:val="0"/>
          <w:marRight w:val="0"/>
          <w:marTop w:val="0"/>
          <w:marBottom w:val="0"/>
          <w:divBdr>
            <w:top w:val="none" w:sz="0" w:space="0" w:color="auto"/>
            <w:left w:val="none" w:sz="0" w:space="0" w:color="auto"/>
            <w:bottom w:val="none" w:sz="0" w:space="0" w:color="auto"/>
            <w:right w:val="none" w:sz="0" w:space="0" w:color="auto"/>
          </w:divBdr>
        </w:div>
        <w:div w:id="1774130103">
          <w:marLeft w:val="0"/>
          <w:marRight w:val="0"/>
          <w:marTop w:val="0"/>
          <w:marBottom w:val="0"/>
          <w:divBdr>
            <w:top w:val="none" w:sz="0" w:space="0" w:color="auto"/>
            <w:left w:val="none" w:sz="0" w:space="0" w:color="auto"/>
            <w:bottom w:val="none" w:sz="0" w:space="0" w:color="auto"/>
            <w:right w:val="none" w:sz="0" w:space="0" w:color="auto"/>
          </w:divBdr>
        </w:div>
        <w:div w:id="1806316304">
          <w:marLeft w:val="0"/>
          <w:marRight w:val="0"/>
          <w:marTop w:val="0"/>
          <w:marBottom w:val="0"/>
          <w:divBdr>
            <w:top w:val="none" w:sz="0" w:space="0" w:color="auto"/>
            <w:left w:val="none" w:sz="0" w:space="0" w:color="auto"/>
            <w:bottom w:val="none" w:sz="0" w:space="0" w:color="auto"/>
            <w:right w:val="none" w:sz="0" w:space="0" w:color="auto"/>
          </w:divBdr>
        </w:div>
        <w:div w:id="1823427596">
          <w:marLeft w:val="0"/>
          <w:marRight w:val="0"/>
          <w:marTop w:val="0"/>
          <w:marBottom w:val="0"/>
          <w:divBdr>
            <w:top w:val="none" w:sz="0" w:space="0" w:color="auto"/>
            <w:left w:val="none" w:sz="0" w:space="0" w:color="auto"/>
            <w:bottom w:val="none" w:sz="0" w:space="0" w:color="auto"/>
            <w:right w:val="none" w:sz="0" w:space="0" w:color="auto"/>
          </w:divBdr>
        </w:div>
        <w:div w:id="1835416861">
          <w:marLeft w:val="0"/>
          <w:marRight w:val="0"/>
          <w:marTop w:val="0"/>
          <w:marBottom w:val="0"/>
          <w:divBdr>
            <w:top w:val="none" w:sz="0" w:space="0" w:color="auto"/>
            <w:left w:val="none" w:sz="0" w:space="0" w:color="auto"/>
            <w:bottom w:val="none" w:sz="0" w:space="0" w:color="auto"/>
            <w:right w:val="none" w:sz="0" w:space="0" w:color="auto"/>
          </w:divBdr>
        </w:div>
        <w:div w:id="1837456060">
          <w:marLeft w:val="0"/>
          <w:marRight w:val="0"/>
          <w:marTop w:val="0"/>
          <w:marBottom w:val="0"/>
          <w:divBdr>
            <w:top w:val="none" w:sz="0" w:space="0" w:color="auto"/>
            <w:left w:val="none" w:sz="0" w:space="0" w:color="auto"/>
            <w:bottom w:val="none" w:sz="0" w:space="0" w:color="auto"/>
            <w:right w:val="none" w:sz="0" w:space="0" w:color="auto"/>
          </w:divBdr>
        </w:div>
        <w:div w:id="1851554873">
          <w:marLeft w:val="0"/>
          <w:marRight w:val="0"/>
          <w:marTop w:val="0"/>
          <w:marBottom w:val="0"/>
          <w:divBdr>
            <w:top w:val="none" w:sz="0" w:space="0" w:color="auto"/>
            <w:left w:val="none" w:sz="0" w:space="0" w:color="auto"/>
            <w:bottom w:val="none" w:sz="0" w:space="0" w:color="auto"/>
            <w:right w:val="none" w:sz="0" w:space="0" w:color="auto"/>
          </w:divBdr>
        </w:div>
        <w:div w:id="1857697139">
          <w:marLeft w:val="0"/>
          <w:marRight w:val="0"/>
          <w:marTop w:val="0"/>
          <w:marBottom w:val="0"/>
          <w:divBdr>
            <w:top w:val="none" w:sz="0" w:space="0" w:color="auto"/>
            <w:left w:val="none" w:sz="0" w:space="0" w:color="auto"/>
            <w:bottom w:val="none" w:sz="0" w:space="0" w:color="auto"/>
            <w:right w:val="none" w:sz="0" w:space="0" w:color="auto"/>
          </w:divBdr>
        </w:div>
        <w:div w:id="1862358241">
          <w:marLeft w:val="0"/>
          <w:marRight w:val="0"/>
          <w:marTop w:val="0"/>
          <w:marBottom w:val="0"/>
          <w:divBdr>
            <w:top w:val="none" w:sz="0" w:space="0" w:color="auto"/>
            <w:left w:val="none" w:sz="0" w:space="0" w:color="auto"/>
            <w:bottom w:val="none" w:sz="0" w:space="0" w:color="auto"/>
            <w:right w:val="none" w:sz="0" w:space="0" w:color="auto"/>
          </w:divBdr>
        </w:div>
        <w:div w:id="1863399257">
          <w:marLeft w:val="0"/>
          <w:marRight w:val="0"/>
          <w:marTop w:val="0"/>
          <w:marBottom w:val="0"/>
          <w:divBdr>
            <w:top w:val="none" w:sz="0" w:space="0" w:color="auto"/>
            <w:left w:val="none" w:sz="0" w:space="0" w:color="auto"/>
            <w:bottom w:val="none" w:sz="0" w:space="0" w:color="auto"/>
            <w:right w:val="none" w:sz="0" w:space="0" w:color="auto"/>
          </w:divBdr>
        </w:div>
        <w:div w:id="1864438483">
          <w:marLeft w:val="0"/>
          <w:marRight w:val="0"/>
          <w:marTop w:val="0"/>
          <w:marBottom w:val="0"/>
          <w:divBdr>
            <w:top w:val="none" w:sz="0" w:space="0" w:color="auto"/>
            <w:left w:val="none" w:sz="0" w:space="0" w:color="auto"/>
            <w:bottom w:val="none" w:sz="0" w:space="0" w:color="auto"/>
            <w:right w:val="none" w:sz="0" w:space="0" w:color="auto"/>
          </w:divBdr>
        </w:div>
        <w:div w:id="1877890654">
          <w:marLeft w:val="0"/>
          <w:marRight w:val="0"/>
          <w:marTop w:val="0"/>
          <w:marBottom w:val="0"/>
          <w:divBdr>
            <w:top w:val="none" w:sz="0" w:space="0" w:color="auto"/>
            <w:left w:val="none" w:sz="0" w:space="0" w:color="auto"/>
            <w:bottom w:val="none" w:sz="0" w:space="0" w:color="auto"/>
            <w:right w:val="none" w:sz="0" w:space="0" w:color="auto"/>
          </w:divBdr>
        </w:div>
        <w:div w:id="1881353388">
          <w:marLeft w:val="0"/>
          <w:marRight w:val="0"/>
          <w:marTop w:val="0"/>
          <w:marBottom w:val="0"/>
          <w:divBdr>
            <w:top w:val="none" w:sz="0" w:space="0" w:color="auto"/>
            <w:left w:val="none" w:sz="0" w:space="0" w:color="auto"/>
            <w:bottom w:val="none" w:sz="0" w:space="0" w:color="auto"/>
            <w:right w:val="none" w:sz="0" w:space="0" w:color="auto"/>
          </w:divBdr>
        </w:div>
        <w:div w:id="1889995062">
          <w:marLeft w:val="0"/>
          <w:marRight w:val="0"/>
          <w:marTop w:val="0"/>
          <w:marBottom w:val="0"/>
          <w:divBdr>
            <w:top w:val="none" w:sz="0" w:space="0" w:color="auto"/>
            <w:left w:val="none" w:sz="0" w:space="0" w:color="auto"/>
            <w:bottom w:val="none" w:sz="0" w:space="0" w:color="auto"/>
            <w:right w:val="none" w:sz="0" w:space="0" w:color="auto"/>
          </w:divBdr>
        </w:div>
        <w:div w:id="1911959032">
          <w:marLeft w:val="0"/>
          <w:marRight w:val="0"/>
          <w:marTop w:val="0"/>
          <w:marBottom w:val="0"/>
          <w:divBdr>
            <w:top w:val="none" w:sz="0" w:space="0" w:color="auto"/>
            <w:left w:val="none" w:sz="0" w:space="0" w:color="auto"/>
            <w:bottom w:val="none" w:sz="0" w:space="0" w:color="auto"/>
            <w:right w:val="none" w:sz="0" w:space="0" w:color="auto"/>
          </w:divBdr>
        </w:div>
        <w:div w:id="1918204120">
          <w:marLeft w:val="0"/>
          <w:marRight w:val="0"/>
          <w:marTop w:val="0"/>
          <w:marBottom w:val="0"/>
          <w:divBdr>
            <w:top w:val="none" w:sz="0" w:space="0" w:color="auto"/>
            <w:left w:val="none" w:sz="0" w:space="0" w:color="auto"/>
            <w:bottom w:val="none" w:sz="0" w:space="0" w:color="auto"/>
            <w:right w:val="none" w:sz="0" w:space="0" w:color="auto"/>
          </w:divBdr>
        </w:div>
        <w:div w:id="1947618959">
          <w:marLeft w:val="0"/>
          <w:marRight w:val="0"/>
          <w:marTop w:val="0"/>
          <w:marBottom w:val="0"/>
          <w:divBdr>
            <w:top w:val="none" w:sz="0" w:space="0" w:color="auto"/>
            <w:left w:val="none" w:sz="0" w:space="0" w:color="auto"/>
            <w:bottom w:val="none" w:sz="0" w:space="0" w:color="auto"/>
            <w:right w:val="none" w:sz="0" w:space="0" w:color="auto"/>
          </w:divBdr>
        </w:div>
        <w:div w:id="1958483298">
          <w:marLeft w:val="0"/>
          <w:marRight w:val="0"/>
          <w:marTop w:val="0"/>
          <w:marBottom w:val="0"/>
          <w:divBdr>
            <w:top w:val="none" w:sz="0" w:space="0" w:color="auto"/>
            <w:left w:val="none" w:sz="0" w:space="0" w:color="auto"/>
            <w:bottom w:val="none" w:sz="0" w:space="0" w:color="auto"/>
            <w:right w:val="none" w:sz="0" w:space="0" w:color="auto"/>
          </w:divBdr>
        </w:div>
        <w:div w:id="1998336310">
          <w:marLeft w:val="0"/>
          <w:marRight w:val="0"/>
          <w:marTop w:val="0"/>
          <w:marBottom w:val="0"/>
          <w:divBdr>
            <w:top w:val="none" w:sz="0" w:space="0" w:color="auto"/>
            <w:left w:val="none" w:sz="0" w:space="0" w:color="auto"/>
            <w:bottom w:val="none" w:sz="0" w:space="0" w:color="auto"/>
            <w:right w:val="none" w:sz="0" w:space="0" w:color="auto"/>
          </w:divBdr>
        </w:div>
        <w:div w:id="2012755003">
          <w:marLeft w:val="0"/>
          <w:marRight w:val="0"/>
          <w:marTop w:val="0"/>
          <w:marBottom w:val="0"/>
          <w:divBdr>
            <w:top w:val="none" w:sz="0" w:space="0" w:color="auto"/>
            <w:left w:val="none" w:sz="0" w:space="0" w:color="auto"/>
            <w:bottom w:val="none" w:sz="0" w:space="0" w:color="auto"/>
            <w:right w:val="none" w:sz="0" w:space="0" w:color="auto"/>
          </w:divBdr>
        </w:div>
        <w:div w:id="2027292658">
          <w:marLeft w:val="0"/>
          <w:marRight w:val="0"/>
          <w:marTop w:val="0"/>
          <w:marBottom w:val="0"/>
          <w:divBdr>
            <w:top w:val="none" w:sz="0" w:space="0" w:color="auto"/>
            <w:left w:val="none" w:sz="0" w:space="0" w:color="auto"/>
            <w:bottom w:val="none" w:sz="0" w:space="0" w:color="auto"/>
            <w:right w:val="none" w:sz="0" w:space="0" w:color="auto"/>
          </w:divBdr>
        </w:div>
      </w:divsChild>
    </w:div>
    <w:div w:id="267086588">
      <w:bodyDiv w:val="1"/>
      <w:marLeft w:val="0"/>
      <w:marRight w:val="0"/>
      <w:marTop w:val="0"/>
      <w:marBottom w:val="0"/>
      <w:divBdr>
        <w:top w:val="none" w:sz="0" w:space="0" w:color="auto"/>
        <w:left w:val="none" w:sz="0" w:space="0" w:color="auto"/>
        <w:bottom w:val="none" w:sz="0" w:space="0" w:color="auto"/>
        <w:right w:val="none" w:sz="0" w:space="0" w:color="auto"/>
      </w:divBdr>
    </w:div>
    <w:div w:id="267200417">
      <w:bodyDiv w:val="1"/>
      <w:marLeft w:val="0"/>
      <w:marRight w:val="0"/>
      <w:marTop w:val="0"/>
      <w:marBottom w:val="0"/>
      <w:divBdr>
        <w:top w:val="none" w:sz="0" w:space="0" w:color="auto"/>
        <w:left w:val="none" w:sz="0" w:space="0" w:color="auto"/>
        <w:bottom w:val="none" w:sz="0" w:space="0" w:color="auto"/>
        <w:right w:val="none" w:sz="0" w:space="0" w:color="auto"/>
      </w:divBdr>
    </w:div>
    <w:div w:id="267201511">
      <w:bodyDiv w:val="1"/>
      <w:marLeft w:val="0"/>
      <w:marRight w:val="0"/>
      <w:marTop w:val="0"/>
      <w:marBottom w:val="0"/>
      <w:divBdr>
        <w:top w:val="none" w:sz="0" w:space="0" w:color="auto"/>
        <w:left w:val="none" w:sz="0" w:space="0" w:color="auto"/>
        <w:bottom w:val="none" w:sz="0" w:space="0" w:color="auto"/>
        <w:right w:val="none" w:sz="0" w:space="0" w:color="auto"/>
      </w:divBdr>
    </w:div>
    <w:div w:id="267271825">
      <w:bodyDiv w:val="1"/>
      <w:marLeft w:val="0"/>
      <w:marRight w:val="0"/>
      <w:marTop w:val="0"/>
      <w:marBottom w:val="0"/>
      <w:divBdr>
        <w:top w:val="none" w:sz="0" w:space="0" w:color="auto"/>
        <w:left w:val="none" w:sz="0" w:space="0" w:color="auto"/>
        <w:bottom w:val="none" w:sz="0" w:space="0" w:color="auto"/>
        <w:right w:val="none" w:sz="0" w:space="0" w:color="auto"/>
      </w:divBdr>
    </w:div>
    <w:div w:id="267392710">
      <w:bodyDiv w:val="1"/>
      <w:marLeft w:val="0"/>
      <w:marRight w:val="0"/>
      <w:marTop w:val="0"/>
      <w:marBottom w:val="0"/>
      <w:divBdr>
        <w:top w:val="none" w:sz="0" w:space="0" w:color="auto"/>
        <w:left w:val="none" w:sz="0" w:space="0" w:color="auto"/>
        <w:bottom w:val="none" w:sz="0" w:space="0" w:color="auto"/>
        <w:right w:val="none" w:sz="0" w:space="0" w:color="auto"/>
      </w:divBdr>
    </w:div>
    <w:div w:id="267469796">
      <w:bodyDiv w:val="1"/>
      <w:marLeft w:val="0"/>
      <w:marRight w:val="0"/>
      <w:marTop w:val="0"/>
      <w:marBottom w:val="0"/>
      <w:divBdr>
        <w:top w:val="none" w:sz="0" w:space="0" w:color="auto"/>
        <w:left w:val="none" w:sz="0" w:space="0" w:color="auto"/>
        <w:bottom w:val="none" w:sz="0" w:space="0" w:color="auto"/>
        <w:right w:val="none" w:sz="0" w:space="0" w:color="auto"/>
      </w:divBdr>
    </w:div>
    <w:div w:id="267542184">
      <w:bodyDiv w:val="1"/>
      <w:marLeft w:val="0"/>
      <w:marRight w:val="0"/>
      <w:marTop w:val="0"/>
      <w:marBottom w:val="0"/>
      <w:divBdr>
        <w:top w:val="none" w:sz="0" w:space="0" w:color="auto"/>
        <w:left w:val="none" w:sz="0" w:space="0" w:color="auto"/>
        <w:bottom w:val="none" w:sz="0" w:space="0" w:color="auto"/>
        <w:right w:val="none" w:sz="0" w:space="0" w:color="auto"/>
      </w:divBdr>
    </w:div>
    <w:div w:id="267546252">
      <w:bodyDiv w:val="1"/>
      <w:marLeft w:val="0"/>
      <w:marRight w:val="0"/>
      <w:marTop w:val="0"/>
      <w:marBottom w:val="0"/>
      <w:divBdr>
        <w:top w:val="none" w:sz="0" w:space="0" w:color="auto"/>
        <w:left w:val="none" w:sz="0" w:space="0" w:color="auto"/>
        <w:bottom w:val="none" w:sz="0" w:space="0" w:color="auto"/>
        <w:right w:val="none" w:sz="0" w:space="0" w:color="auto"/>
      </w:divBdr>
    </w:div>
    <w:div w:id="267546518">
      <w:bodyDiv w:val="1"/>
      <w:marLeft w:val="0"/>
      <w:marRight w:val="0"/>
      <w:marTop w:val="0"/>
      <w:marBottom w:val="0"/>
      <w:divBdr>
        <w:top w:val="none" w:sz="0" w:space="0" w:color="auto"/>
        <w:left w:val="none" w:sz="0" w:space="0" w:color="auto"/>
        <w:bottom w:val="none" w:sz="0" w:space="0" w:color="auto"/>
        <w:right w:val="none" w:sz="0" w:space="0" w:color="auto"/>
      </w:divBdr>
    </w:div>
    <w:div w:id="267586839">
      <w:bodyDiv w:val="1"/>
      <w:marLeft w:val="0"/>
      <w:marRight w:val="0"/>
      <w:marTop w:val="0"/>
      <w:marBottom w:val="0"/>
      <w:divBdr>
        <w:top w:val="none" w:sz="0" w:space="0" w:color="auto"/>
        <w:left w:val="none" w:sz="0" w:space="0" w:color="auto"/>
        <w:bottom w:val="none" w:sz="0" w:space="0" w:color="auto"/>
        <w:right w:val="none" w:sz="0" w:space="0" w:color="auto"/>
      </w:divBdr>
    </w:div>
    <w:div w:id="267659166">
      <w:bodyDiv w:val="1"/>
      <w:marLeft w:val="0"/>
      <w:marRight w:val="0"/>
      <w:marTop w:val="0"/>
      <w:marBottom w:val="0"/>
      <w:divBdr>
        <w:top w:val="none" w:sz="0" w:space="0" w:color="auto"/>
        <w:left w:val="none" w:sz="0" w:space="0" w:color="auto"/>
        <w:bottom w:val="none" w:sz="0" w:space="0" w:color="auto"/>
        <w:right w:val="none" w:sz="0" w:space="0" w:color="auto"/>
      </w:divBdr>
    </w:div>
    <w:div w:id="267659851">
      <w:bodyDiv w:val="1"/>
      <w:marLeft w:val="0"/>
      <w:marRight w:val="0"/>
      <w:marTop w:val="0"/>
      <w:marBottom w:val="0"/>
      <w:divBdr>
        <w:top w:val="none" w:sz="0" w:space="0" w:color="auto"/>
        <w:left w:val="none" w:sz="0" w:space="0" w:color="auto"/>
        <w:bottom w:val="none" w:sz="0" w:space="0" w:color="auto"/>
        <w:right w:val="none" w:sz="0" w:space="0" w:color="auto"/>
      </w:divBdr>
    </w:div>
    <w:div w:id="267660468">
      <w:bodyDiv w:val="1"/>
      <w:marLeft w:val="0"/>
      <w:marRight w:val="0"/>
      <w:marTop w:val="0"/>
      <w:marBottom w:val="0"/>
      <w:divBdr>
        <w:top w:val="none" w:sz="0" w:space="0" w:color="auto"/>
        <w:left w:val="none" w:sz="0" w:space="0" w:color="auto"/>
        <w:bottom w:val="none" w:sz="0" w:space="0" w:color="auto"/>
        <w:right w:val="none" w:sz="0" w:space="0" w:color="auto"/>
      </w:divBdr>
    </w:div>
    <w:div w:id="267810293">
      <w:bodyDiv w:val="1"/>
      <w:marLeft w:val="0"/>
      <w:marRight w:val="0"/>
      <w:marTop w:val="0"/>
      <w:marBottom w:val="0"/>
      <w:divBdr>
        <w:top w:val="none" w:sz="0" w:space="0" w:color="auto"/>
        <w:left w:val="none" w:sz="0" w:space="0" w:color="auto"/>
        <w:bottom w:val="none" w:sz="0" w:space="0" w:color="auto"/>
        <w:right w:val="none" w:sz="0" w:space="0" w:color="auto"/>
      </w:divBdr>
    </w:div>
    <w:div w:id="267812701">
      <w:bodyDiv w:val="1"/>
      <w:marLeft w:val="0"/>
      <w:marRight w:val="0"/>
      <w:marTop w:val="0"/>
      <w:marBottom w:val="0"/>
      <w:divBdr>
        <w:top w:val="none" w:sz="0" w:space="0" w:color="auto"/>
        <w:left w:val="none" w:sz="0" w:space="0" w:color="auto"/>
        <w:bottom w:val="none" w:sz="0" w:space="0" w:color="auto"/>
        <w:right w:val="none" w:sz="0" w:space="0" w:color="auto"/>
      </w:divBdr>
    </w:div>
    <w:div w:id="267851787">
      <w:bodyDiv w:val="1"/>
      <w:marLeft w:val="0"/>
      <w:marRight w:val="0"/>
      <w:marTop w:val="0"/>
      <w:marBottom w:val="0"/>
      <w:divBdr>
        <w:top w:val="none" w:sz="0" w:space="0" w:color="auto"/>
        <w:left w:val="none" w:sz="0" w:space="0" w:color="auto"/>
        <w:bottom w:val="none" w:sz="0" w:space="0" w:color="auto"/>
        <w:right w:val="none" w:sz="0" w:space="0" w:color="auto"/>
      </w:divBdr>
    </w:div>
    <w:div w:id="267856126">
      <w:bodyDiv w:val="1"/>
      <w:marLeft w:val="0"/>
      <w:marRight w:val="0"/>
      <w:marTop w:val="0"/>
      <w:marBottom w:val="0"/>
      <w:divBdr>
        <w:top w:val="none" w:sz="0" w:space="0" w:color="auto"/>
        <w:left w:val="none" w:sz="0" w:space="0" w:color="auto"/>
        <w:bottom w:val="none" w:sz="0" w:space="0" w:color="auto"/>
        <w:right w:val="none" w:sz="0" w:space="0" w:color="auto"/>
      </w:divBdr>
    </w:div>
    <w:div w:id="267931925">
      <w:bodyDiv w:val="1"/>
      <w:marLeft w:val="0"/>
      <w:marRight w:val="0"/>
      <w:marTop w:val="0"/>
      <w:marBottom w:val="0"/>
      <w:divBdr>
        <w:top w:val="none" w:sz="0" w:space="0" w:color="auto"/>
        <w:left w:val="none" w:sz="0" w:space="0" w:color="auto"/>
        <w:bottom w:val="none" w:sz="0" w:space="0" w:color="auto"/>
        <w:right w:val="none" w:sz="0" w:space="0" w:color="auto"/>
      </w:divBdr>
    </w:div>
    <w:div w:id="267978578">
      <w:bodyDiv w:val="1"/>
      <w:marLeft w:val="0"/>
      <w:marRight w:val="0"/>
      <w:marTop w:val="0"/>
      <w:marBottom w:val="0"/>
      <w:divBdr>
        <w:top w:val="none" w:sz="0" w:space="0" w:color="auto"/>
        <w:left w:val="none" w:sz="0" w:space="0" w:color="auto"/>
        <w:bottom w:val="none" w:sz="0" w:space="0" w:color="auto"/>
        <w:right w:val="none" w:sz="0" w:space="0" w:color="auto"/>
      </w:divBdr>
    </w:div>
    <w:div w:id="268047023">
      <w:bodyDiv w:val="1"/>
      <w:marLeft w:val="0"/>
      <w:marRight w:val="0"/>
      <w:marTop w:val="0"/>
      <w:marBottom w:val="0"/>
      <w:divBdr>
        <w:top w:val="none" w:sz="0" w:space="0" w:color="auto"/>
        <w:left w:val="none" w:sz="0" w:space="0" w:color="auto"/>
        <w:bottom w:val="none" w:sz="0" w:space="0" w:color="auto"/>
        <w:right w:val="none" w:sz="0" w:space="0" w:color="auto"/>
      </w:divBdr>
    </w:div>
    <w:div w:id="268052949">
      <w:bodyDiv w:val="1"/>
      <w:marLeft w:val="0"/>
      <w:marRight w:val="0"/>
      <w:marTop w:val="0"/>
      <w:marBottom w:val="0"/>
      <w:divBdr>
        <w:top w:val="none" w:sz="0" w:space="0" w:color="auto"/>
        <w:left w:val="none" w:sz="0" w:space="0" w:color="auto"/>
        <w:bottom w:val="none" w:sz="0" w:space="0" w:color="auto"/>
        <w:right w:val="none" w:sz="0" w:space="0" w:color="auto"/>
      </w:divBdr>
    </w:div>
    <w:div w:id="268122610">
      <w:bodyDiv w:val="1"/>
      <w:marLeft w:val="0"/>
      <w:marRight w:val="0"/>
      <w:marTop w:val="0"/>
      <w:marBottom w:val="0"/>
      <w:divBdr>
        <w:top w:val="none" w:sz="0" w:space="0" w:color="auto"/>
        <w:left w:val="none" w:sz="0" w:space="0" w:color="auto"/>
        <w:bottom w:val="none" w:sz="0" w:space="0" w:color="auto"/>
        <w:right w:val="none" w:sz="0" w:space="0" w:color="auto"/>
      </w:divBdr>
    </w:div>
    <w:div w:id="268125479">
      <w:bodyDiv w:val="1"/>
      <w:marLeft w:val="0"/>
      <w:marRight w:val="0"/>
      <w:marTop w:val="0"/>
      <w:marBottom w:val="0"/>
      <w:divBdr>
        <w:top w:val="none" w:sz="0" w:space="0" w:color="auto"/>
        <w:left w:val="none" w:sz="0" w:space="0" w:color="auto"/>
        <w:bottom w:val="none" w:sz="0" w:space="0" w:color="auto"/>
        <w:right w:val="none" w:sz="0" w:space="0" w:color="auto"/>
      </w:divBdr>
    </w:div>
    <w:div w:id="268245123">
      <w:bodyDiv w:val="1"/>
      <w:marLeft w:val="0"/>
      <w:marRight w:val="0"/>
      <w:marTop w:val="0"/>
      <w:marBottom w:val="0"/>
      <w:divBdr>
        <w:top w:val="none" w:sz="0" w:space="0" w:color="auto"/>
        <w:left w:val="none" w:sz="0" w:space="0" w:color="auto"/>
        <w:bottom w:val="none" w:sz="0" w:space="0" w:color="auto"/>
        <w:right w:val="none" w:sz="0" w:space="0" w:color="auto"/>
      </w:divBdr>
    </w:div>
    <w:div w:id="268317428">
      <w:bodyDiv w:val="1"/>
      <w:marLeft w:val="0"/>
      <w:marRight w:val="0"/>
      <w:marTop w:val="0"/>
      <w:marBottom w:val="0"/>
      <w:divBdr>
        <w:top w:val="none" w:sz="0" w:space="0" w:color="auto"/>
        <w:left w:val="none" w:sz="0" w:space="0" w:color="auto"/>
        <w:bottom w:val="none" w:sz="0" w:space="0" w:color="auto"/>
        <w:right w:val="none" w:sz="0" w:space="0" w:color="auto"/>
      </w:divBdr>
    </w:div>
    <w:div w:id="268318357">
      <w:bodyDiv w:val="1"/>
      <w:marLeft w:val="0"/>
      <w:marRight w:val="0"/>
      <w:marTop w:val="0"/>
      <w:marBottom w:val="0"/>
      <w:divBdr>
        <w:top w:val="none" w:sz="0" w:space="0" w:color="auto"/>
        <w:left w:val="none" w:sz="0" w:space="0" w:color="auto"/>
        <w:bottom w:val="none" w:sz="0" w:space="0" w:color="auto"/>
        <w:right w:val="none" w:sz="0" w:space="0" w:color="auto"/>
      </w:divBdr>
    </w:div>
    <w:div w:id="268320409">
      <w:bodyDiv w:val="1"/>
      <w:marLeft w:val="0"/>
      <w:marRight w:val="0"/>
      <w:marTop w:val="0"/>
      <w:marBottom w:val="0"/>
      <w:divBdr>
        <w:top w:val="none" w:sz="0" w:space="0" w:color="auto"/>
        <w:left w:val="none" w:sz="0" w:space="0" w:color="auto"/>
        <w:bottom w:val="none" w:sz="0" w:space="0" w:color="auto"/>
        <w:right w:val="none" w:sz="0" w:space="0" w:color="auto"/>
      </w:divBdr>
    </w:div>
    <w:div w:id="268322302">
      <w:bodyDiv w:val="1"/>
      <w:marLeft w:val="0"/>
      <w:marRight w:val="0"/>
      <w:marTop w:val="0"/>
      <w:marBottom w:val="0"/>
      <w:divBdr>
        <w:top w:val="none" w:sz="0" w:space="0" w:color="auto"/>
        <w:left w:val="none" w:sz="0" w:space="0" w:color="auto"/>
        <w:bottom w:val="none" w:sz="0" w:space="0" w:color="auto"/>
        <w:right w:val="none" w:sz="0" w:space="0" w:color="auto"/>
      </w:divBdr>
    </w:div>
    <w:div w:id="268465432">
      <w:bodyDiv w:val="1"/>
      <w:marLeft w:val="0"/>
      <w:marRight w:val="0"/>
      <w:marTop w:val="0"/>
      <w:marBottom w:val="0"/>
      <w:divBdr>
        <w:top w:val="none" w:sz="0" w:space="0" w:color="auto"/>
        <w:left w:val="none" w:sz="0" w:space="0" w:color="auto"/>
        <w:bottom w:val="none" w:sz="0" w:space="0" w:color="auto"/>
        <w:right w:val="none" w:sz="0" w:space="0" w:color="auto"/>
      </w:divBdr>
    </w:div>
    <w:div w:id="268466809">
      <w:bodyDiv w:val="1"/>
      <w:marLeft w:val="0"/>
      <w:marRight w:val="0"/>
      <w:marTop w:val="0"/>
      <w:marBottom w:val="0"/>
      <w:divBdr>
        <w:top w:val="none" w:sz="0" w:space="0" w:color="auto"/>
        <w:left w:val="none" w:sz="0" w:space="0" w:color="auto"/>
        <w:bottom w:val="none" w:sz="0" w:space="0" w:color="auto"/>
        <w:right w:val="none" w:sz="0" w:space="0" w:color="auto"/>
      </w:divBdr>
    </w:div>
    <w:div w:id="268777634">
      <w:bodyDiv w:val="1"/>
      <w:marLeft w:val="0"/>
      <w:marRight w:val="0"/>
      <w:marTop w:val="0"/>
      <w:marBottom w:val="0"/>
      <w:divBdr>
        <w:top w:val="none" w:sz="0" w:space="0" w:color="auto"/>
        <w:left w:val="none" w:sz="0" w:space="0" w:color="auto"/>
        <w:bottom w:val="none" w:sz="0" w:space="0" w:color="auto"/>
        <w:right w:val="none" w:sz="0" w:space="0" w:color="auto"/>
      </w:divBdr>
    </w:div>
    <w:div w:id="268781794">
      <w:bodyDiv w:val="1"/>
      <w:marLeft w:val="0"/>
      <w:marRight w:val="0"/>
      <w:marTop w:val="0"/>
      <w:marBottom w:val="0"/>
      <w:divBdr>
        <w:top w:val="none" w:sz="0" w:space="0" w:color="auto"/>
        <w:left w:val="none" w:sz="0" w:space="0" w:color="auto"/>
        <w:bottom w:val="none" w:sz="0" w:space="0" w:color="auto"/>
        <w:right w:val="none" w:sz="0" w:space="0" w:color="auto"/>
      </w:divBdr>
    </w:div>
    <w:div w:id="268852922">
      <w:bodyDiv w:val="1"/>
      <w:marLeft w:val="0"/>
      <w:marRight w:val="0"/>
      <w:marTop w:val="0"/>
      <w:marBottom w:val="0"/>
      <w:divBdr>
        <w:top w:val="none" w:sz="0" w:space="0" w:color="auto"/>
        <w:left w:val="none" w:sz="0" w:space="0" w:color="auto"/>
        <w:bottom w:val="none" w:sz="0" w:space="0" w:color="auto"/>
        <w:right w:val="none" w:sz="0" w:space="0" w:color="auto"/>
      </w:divBdr>
    </w:div>
    <w:div w:id="268897780">
      <w:bodyDiv w:val="1"/>
      <w:marLeft w:val="0"/>
      <w:marRight w:val="0"/>
      <w:marTop w:val="0"/>
      <w:marBottom w:val="0"/>
      <w:divBdr>
        <w:top w:val="none" w:sz="0" w:space="0" w:color="auto"/>
        <w:left w:val="none" w:sz="0" w:space="0" w:color="auto"/>
        <w:bottom w:val="none" w:sz="0" w:space="0" w:color="auto"/>
        <w:right w:val="none" w:sz="0" w:space="0" w:color="auto"/>
      </w:divBdr>
    </w:div>
    <w:div w:id="268926659">
      <w:bodyDiv w:val="1"/>
      <w:marLeft w:val="0"/>
      <w:marRight w:val="0"/>
      <w:marTop w:val="0"/>
      <w:marBottom w:val="0"/>
      <w:divBdr>
        <w:top w:val="none" w:sz="0" w:space="0" w:color="auto"/>
        <w:left w:val="none" w:sz="0" w:space="0" w:color="auto"/>
        <w:bottom w:val="none" w:sz="0" w:space="0" w:color="auto"/>
        <w:right w:val="none" w:sz="0" w:space="0" w:color="auto"/>
      </w:divBdr>
    </w:div>
    <w:div w:id="269051772">
      <w:bodyDiv w:val="1"/>
      <w:marLeft w:val="0"/>
      <w:marRight w:val="0"/>
      <w:marTop w:val="0"/>
      <w:marBottom w:val="0"/>
      <w:divBdr>
        <w:top w:val="none" w:sz="0" w:space="0" w:color="auto"/>
        <w:left w:val="none" w:sz="0" w:space="0" w:color="auto"/>
        <w:bottom w:val="none" w:sz="0" w:space="0" w:color="auto"/>
        <w:right w:val="none" w:sz="0" w:space="0" w:color="auto"/>
      </w:divBdr>
    </w:div>
    <w:div w:id="269092202">
      <w:bodyDiv w:val="1"/>
      <w:marLeft w:val="0"/>
      <w:marRight w:val="0"/>
      <w:marTop w:val="0"/>
      <w:marBottom w:val="0"/>
      <w:divBdr>
        <w:top w:val="none" w:sz="0" w:space="0" w:color="auto"/>
        <w:left w:val="none" w:sz="0" w:space="0" w:color="auto"/>
        <w:bottom w:val="none" w:sz="0" w:space="0" w:color="auto"/>
        <w:right w:val="none" w:sz="0" w:space="0" w:color="auto"/>
      </w:divBdr>
    </w:div>
    <w:div w:id="269164613">
      <w:bodyDiv w:val="1"/>
      <w:marLeft w:val="0"/>
      <w:marRight w:val="0"/>
      <w:marTop w:val="0"/>
      <w:marBottom w:val="0"/>
      <w:divBdr>
        <w:top w:val="none" w:sz="0" w:space="0" w:color="auto"/>
        <w:left w:val="none" w:sz="0" w:space="0" w:color="auto"/>
        <w:bottom w:val="none" w:sz="0" w:space="0" w:color="auto"/>
        <w:right w:val="none" w:sz="0" w:space="0" w:color="auto"/>
      </w:divBdr>
    </w:div>
    <w:div w:id="269168246">
      <w:bodyDiv w:val="1"/>
      <w:marLeft w:val="0"/>
      <w:marRight w:val="0"/>
      <w:marTop w:val="0"/>
      <w:marBottom w:val="0"/>
      <w:divBdr>
        <w:top w:val="none" w:sz="0" w:space="0" w:color="auto"/>
        <w:left w:val="none" w:sz="0" w:space="0" w:color="auto"/>
        <w:bottom w:val="none" w:sz="0" w:space="0" w:color="auto"/>
        <w:right w:val="none" w:sz="0" w:space="0" w:color="auto"/>
      </w:divBdr>
    </w:div>
    <w:div w:id="269238586">
      <w:bodyDiv w:val="1"/>
      <w:marLeft w:val="0"/>
      <w:marRight w:val="0"/>
      <w:marTop w:val="0"/>
      <w:marBottom w:val="0"/>
      <w:divBdr>
        <w:top w:val="none" w:sz="0" w:space="0" w:color="auto"/>
        <w:left w:val="none" w:sz="0" w:space="0" w:color="auto"/>
        <w:bottom w:val="none" w:sz="0" w:space="0" w:color="auto"/>
        <w:right w:val="none" w:sz="0" w:space="0" w:color="auto"/>
      </w:divBdr>
    </w:div>
    <w:div w:id="269242728">
      <w:bodyDiv w:val="1"/>
      <w:marLeft w:val="0"/>
      <w:marRight w:val="0"/>
      <w:marTop w:val="0"/>
      <w:marBottom w:val="0"/>
      <w:divBdr>
        <w:top w:val="none" w:sz="0" w:space="0" w:color="auto"/>
        <w:left w:val="none" w:sz="0" w:space="0" w:color="auto"/>
        <w:bottom w:val="none" w:sz="0" w:space="0" w:color="auto"/>
        <w:right w:val="none" w:sz="0" w:space="0" w:color="auto"/>
      </w:divBdr>
    </w:div>
    <w:div w:id="269355700">
      <w:bodyDiv w:val="1"/>
      <w:marLeft w:val="0"/>
      <w:marRight w:val="0"/>
      <w:marTop w:val="0"/>
      <w:marBottom w:val="0"/>
      <w:divBdr>
        <w:top w:val="none" w:sz="0" w:space="0" w:color="auto"/>
        <w:left w:val="none" w:sz="0" w:space="0" w:color="auto"/>
        <w:bottom w:val="none" w:sz="0" w:space="0" w:color="auto"/>
        <w:right w:val="none" w:sz="0" w:space="0" w:color="auto"/>
      </w:divBdr>
    </w:div>
    <w:div w:id="269364590">
      <w:bodyDiv w:val="1"/>
      <w:marLeft w:val="0"/>
      <w:marRight w:val="0"/>
      <w:marTop w:val="0"/>
      <w:marBottom w:val="0"/>
      <w:divBdr>
        <w:top w:val="none" w:sz="0" w:space="0" w:color="auto"/>
        <w:left w:val="none" w:sz="0" w:space="0" w:color="auto"/>
        <w:bottom w:val="none" w:sz="0" w:space="0" w:color="auto"/>
        <w:right w:val="none" w:sz="0" w:space="0" w:color="auto"/>
      </w:divBdr>
    </w:div>
    <w:div w:id="269438332">
      <w:bodyDiv w:val="1"/>
      <w:marLeft w:val="0"/>
      <w:marRight w:val="0"/>
      <w:marTop w:val="0"/>
      <w:marBottom w:val="0"/>
      <w:divBdr>
        <w:top w:val="none" w:sz="0" w:space="0" w:color="auto"/>
        <w:left w:val="none" w:sz="0" w:space="0" w:color="auto"/>
        <w:bottom w:val="none" w:sz="0" w:space="0" w:color="auto"/>
        <w:right w:val="none" w:sz="0" w:space="0" w:color="auto"/>
      </w:divBdr>
    </w:div>
    <w:div w:id="269515482">
      <w:bodyDiv w:val="1"/>
      <w:marLeft w:val="0"/>
      <w:marRight w:val="0"/>
      <w:marTop w:val="0"/>
      <w:marBottom w:val="0"/>
      <w:divBdr>
        <w:top w:val="none" w:sz="0" w:space="0" w:color="auto"/>
        <w:left w:val="none" w:sz="0" w:space="0" w:color="auto"/>
        <w:bottom w:val="none" w:sz="0" w:space="0" w:color="auto"/>
        <w:right w:val="none" w:sz="0" w:space="0" w:color="auto"/>
      </w:divBdr>
    </w:div>
    <w:div w:id="269708085">
      <w:bodyDiv w:val="1"/>
      <w:marLeft w:val="0"/>
      <w:marRight w:val="0"/>
      <w:marTop w:val="0"/>
      <w:marBottom w:val="0"/>
      <w:divBdr>
        <w:top w:val="none" w:sz="0" w:space="0" w:color="auto"/>
        <w:left w:val="none" w:sz="0" w:space="0" w:color="auto"/>
        <w:bottom w:val="none" w:sz="0" w:space="0" w:color="auto"/>
        <w:right w:val="none" w:sz="0" w:space="0" w:color="auto"/>
      </w:divBdr>
    </w:div>
    <w:div w:id="269708281">
      <w:bodyDiv w:val="1"/>
      <w:marLeft w:val="0"/>
      <w:marRight w:val="0"/>
      <w:marTop w:val="0"/>
      <w:marBottom w:val="0"/>
      <w:divBdr>
        <w:top w:val="none" w:sz="0" w:space="0" w:color="auto"/>
        <w:left w:val="none" w:sz="0" w:space="0" w:color="auto"/>
        <w:bottom w:val="none" w:sz="0" w:space="0" w:color="auto"/>
        <w:right w:val="none" w:sz="0" w:space="0" w:color="auto"/>
      </w:divBdr>
    </w:div>
    <w:div w:id="269747914">
      <w:bodyDiv w:val="1"/>
      <w:marLeft w:val="0"/>
      <w:marRight w:val="0"/>
      <w:marTop w:val="0"/>
      <w:marBottom w:val="0"/>
      <w:divBdr>
        <w:top w:val="none" w:sz="0" w:space="0" w:color="auto"/>
        <w:left w:val="none" w:sz="0" w:space="0" w:color="auto"/>
        <w:bottom w:val="none" w:sz="0" w:space="0" w:color="auto"/>
        <w:right w:val="none" w:sz="0" w:space="0" w:color="auto"/>
      </w:divBdr>
    </w:div>
    <w:div w:id="269822647">
      <w:bodyDiv w:val="1"/>
      <w:marLeft w:val="0"/>
      <w:marRight w:val="0"/>
      <w:marTop w:val="0"/>
      <w:marBottom w:val="0"/>
      <w:divBdr>
        <w:top w:val="none" w:sz="0" w:space="0" w:color="auto"/>
        <w:left w:val="none" w:sz="0" w:space="0" w:color="auto"/>
        <w:bottom w:val="none" w:sz="0" w:space="0" w:color="auto"/>
        <w:right w:val="none" w:sz="0" w:space="0" w:color="auto"/>
      </w:divBdr>
    </w:div>
    <w:div w:id="270011270">
      <w:bodyDiv w:val="1"/>
      <w:marLeft w:val="0"/>
      <w:marRight w:val="0"/>
      <w:marTop w:val="0"/>
      <w:marBottom w:val="0"/>
      <w:divBdr>
        <w:top w:val="none" w:sz="0" w:space="0" w:color="auto"/>
        <w:left w:val="none" w:sz="0" w:space="0" w:color="auto"/>
        <w:bottom w:val="none" w:sz="0" w:space="0" w:color="auto"/>
        <w:right w:val="none" w:sz="0" w:space="0" w:color="auto"/>
      </w:divBdr>
    </w:div>
    <w:div w:id="270013145">
      <w:bodyDiv w:val="1"/>
      <w:marLeft w:val="0"/>
      <w:marRight w:val="0"/>
      <w:marTop w:val="0"/>
      <w:marBottom w:val="0"/>
      <w:divBdr>
        <w:top w:val="none" w:sz="0" w:space="0" w:color="auto"/>
        <w:left w:val="none" w:sz="0" w:space="0" w:color="auto"/>
        <w:bottom w:val="none" w:sz="0" w:space="0" w:color="auto"/>
        <w:right w:val="none" w:sz="0" w:space="0" w:color="auto"/>
      </w:divBdr>
    </w:div>
    <w:div w:id="270280696">
      <w:bodyDiv w:val="1"/>
      <w:marLeft w:val="0"/>
      <w:marRight w:val="0"/>
      <w:marTop w:val="0"/>
      <w:marBottom w:val="0"/>
      <w:divBdr>
        <w:top w:val="none" w:sz="0" w:space="0" w:color="auto"/>
        <w:left w:val="none" w:sz="0" w:space="0" w:color="auto"/>
        <w:bottom w:val="none" w:sz="0" w:space="0" w:color="auto"/>
        <w:right w:val="none" w:sz="0" w:space="0" w:color="auto"/>
      </w:divBdr>
    </w:div>
    <w:div w:id="270404073">
      <w:bodyDiv w:val="1"/>
      <w:marLeft w:val="0"/>
      <w:marRight w:val="0"/>
      <w:marTop w:val="0"/>
      <w:marBottom w:val="0"/>
      <w:divBdr>
        <w:top w:val="none" w:sz="0" w:space="0" w:color="auto"/>
        <w:left w:val="none" w:sz="0" w:space="0" w:color="auto"/>
        <w:bottom w:val="none" w:sz="0" w:space="0" w:color="auto"/>
        <w:right w:val="none" w:sz="0" w:space="0" w:color="auto"/>
      </w:divBdr>
    </w:div>
    <w:div w:id="270475469">
      <w:bodyDiv w:val="1"/>
      <w:marLeft w:val="0"/>
      <w:marRight w:val="0"/>
      <w:marTop w:val="0"/>
      <w:marBottom w:val="0"/>
      <w:divBdr>
        <w:top w:val="none" w:sz="0" w:space="0" w:color="auto"/>
        <w:left w:val="none" w:sz="0" w:space="0" w:color="auto"/>
        <w:bottom w:val="none" w:sz="0" w:space="0" w:color="auto"/>
        <w:right w:val="none" w:sz="0" w:space="0" w:color="auto"/>
      </w:divBdr>
    </w:div>
    <w:div w:id="270675238">
      <w:bodyDiv w:val="1"/>
      <w:marLeft w:val="0"/>
      <w:marRight w:val="0"/>
      <w:marTop w:val="0"/>
      <w:marBottom w:val="0"/>
      <w:divBdr>
        <w:top w:val="none" w:sz="0" w:space="0" w:color="auto"/>
        <w:left w:val="none" w:sz="0" w:space="0" w:color="auto"/>
        <w:bottom w:val="none" w:sz="0" w:space="0" w:color="auto"/>
        <w:right w:val="none" w:sz="0" w:space="0" w:color="auto"/>
      </w:divBdr>
    </w:div>
    <w:div w:id="270817429">
      <w:bodyDiv w:val="1"/>
      <w:marLeft w:val="0"/>
      <w:marRight w:val="0"/>
      <w:marTop w:val="0"/>
      <w:marBottom w:val="0"/>
      <w:divBdr>
        <w:top w:val="none" w:sz="0" w:space="0" w:color="auto"/>
        <w:left w:val="none" w:sz="0" w:space="0" w:color="auto"/>
        <w:bottom w:val="none" w:sz="0" w:space="0" w:color="auto"/>
        <w:right w:val="none" w:sz="0" w:space="0" w:color="auto"/>
      </w:divBdr>
    </w:div>
    <w:div w:id="270818135">
      <w:bodyDiv w:val="1"/>
      <w:marLeft w:val="0"/>
      <w:marRight w:val="0"/>
      <w:marTop w:val="0"/>
      <w:marBottom w:val="0"/>
      <w:divBdr>
        <w:top w:val="none" w:sz="0" w:space="0" w:color="auto"/>
        <w:left w:val="none" w:sz="0" w:space="0" w:color="auto"/>
        <w:bottom w:val="none" w:sz="0" w:space="0" w:color="auto"/>
        <w:right w:val="none" w:sz="0" w:space="0" w:color="auto"/>
      </w:divBdr>
    </w:div>
    <w:div w:id="270892758">
      <w:bodyDiv w:val="1"/>
      <w:marLeft w:val="0"/>
      <w:marRight w:val="0"/>
      <w:marTop w:val="0"/>
      <w:marBottom w:val="0"/>
      <w:divBdr>
        <w:top w:val="none" w:sz="0" w:space="0" w:color="auto"/>
        <w:left w:val="none" w:sz="0" w:space="0" w:color="auto"/>
        <w:bottom w:val="none" w:sz="0" w:space="0" w:color="auto"/>
        <w:right w:val="none" w:sz="0" w:space="0" w:color="auto"/>
      </w:divBdr>
    </w:div>
    <w:div w:id="271015208">
      <w:bodyDiv w:val="1"/>
      <w:marLeft w:val="0"/>
      <w:marRight w:val="0"/>
      <w:marTop w:val="0"/>
      <w:marBottom w:val="0"/>
      <w:divBdr>
        <w:top w:val="none" w:sz="0" w:space="0" w:color="auto"/>
        <w:left w:val="none" w:sz="0" w:space="0" w:color="auto"/>
        <w:bottom w:val="none" w:sz="0" w:space="0" w:color="auto"/>
        <w:right w:val="none" w:sz="0" w:space="0" w:color="auto"/>
      </w:divBdr>
    </w:div>
    <w:div w:id="271137342">
      <w:bodyDiv w:val="1"/>
      <w:marLeft w:val="0"/>
      <w:marRight w:val="0"/>
      <w:marTop w:val="0"/>
      <w:marBottom w:val="0"/>
      <w:divBdr>
        <w:top w:val="none" w:sz="0" w:space="0" w:color="auto"/>
        <w:left w:val="none" w:sz="0" w:space="0" w:color="auto"/>
        <w:bottom w:val="none" w:sz="0" w:space="0" w:color="auto"/>
        <w:right w:val="none" w:sz="0" w:space="0" w:color="auto"/>
      </w:divBdr>
    </w:div>
    <w:div w:id="271203802">
      <w:bodyDiv w:val="1"/>
      <w:marLeft w:val="0"/>
      <w:marRight w:val="0"/>
      <w:marTop w:val="0"/>
      <w:marBottom w:val="0"/>
      <w:divBdr>
        <w:top w:val="none" w:sz="0" w:space="0" w:color="auto"/>
        <w:left w:val="none" w:sz="0" w:space="0" w:color="auto"/>
        <w:bottom w:val="none" w:sz="0" w:space="0" w:color="auto"/>
        <w:right w:val="none" w:sz="0" w:space="0" w:color="auto"/>
      </w:divBdr>
    </w:div>
    <w:div w:id="271206250">
      <w:bodyDiv w:val="1"/>
      <w:marLeft w:val="0"/>
      <w:marRight w:val="0"/>
      <w:marTop w:val="0"/>
      <w:marBottom w:val="0"/>
      <w:divBdr>
        <w:top w:val="none" w:sz="0" w:space="0" w:color="auto"/>
        <w:left w:val="none" w:sz="0" w:space="0" w:color="auto"/>
        <w:bottom w:val="none" w:sz="0" w:space="0" w:color="auto"/>
        <w:right w:val="none" w:sz="0" w:space="0" w:color="auto"/>
      </w:divBdr>
    </w:div>
    <w:div w:id="271206372">
      <w:bodyDiv w:val="1"/>
      <w:marLeft w:val="0"/>
      <w:marRight w:val="0"/>
      <w:marTop w:val="0"/>
      <w:marBottom w:val="0"/>
      <w:divBdr>
        <w:top w:val="none" w:sz="0" w:space="0" w:color="auto"/>
        <w:left w:val="none" w:sz="0" w:space="0" w:color="auto"/>
        <w:bottom w:val="none" w:sz="0" w:space="0" w:color="auto"/>
        <w:right w:val="none" w:sz="0" w:space="0" w:color="auto"/>
      </w:divBdr>
    </w:div>
    <w:div w:id="271322183">
      <w:bodyDiv w:val="1"/>
      <w:marLeft w:val="0"/>
      <w:marRight w:val="0"/>
      <w:marTop w:val="0"/>
      <w:marBottom w:val="0"/>
      <w:divBdr>
        <w:top w:val="none" w:sz="0" w:space="0" w:color="auto"/>
        <w:left w:val="none" w:sz="0" w:space="0" w:color="auto"/>
        <w:bottom w:val="none" w:sz="0" w:space="0" w:color="auto"/>
        <w:right w:val="none" w:sz="0" w:space="0" w:color="auto"/>
      </w:divBdr>
    </w:div>
    <w:div w:id="271322248">
      <w:bodyDiv w:val="1"/>
      <w:marLeft w:val="0"/>
      <w:marRight w:val="0"/>
      <w:marTop w:val="0"/>
      <w:marBottom w:val="0"/>
      <w:divBdr>
        <w:top w:val="none" w:sz="0" w:space="0" w:color="auto"/>
        <w:left w:val="none" w:sz="0" w:space="0" w:color="auto"/>
        <w:bottom w:val="none" w:sz="0" w:space="0" w:color="auto"/>
        <w:right w:val="none" w:sz="0" w:space="0" w:color="auto"/>
      </w:divBdr>
    </w:div>
    <w:div w:id="271590782">
      <w:bodyDiv w:val="1"/>
      <w:marLeft w:val="0"/>
      <w:marRight w:val="0"/>
      <w:marTop w:val="0"/>
      <w:marBottom w:val="0"/>
      <w:divBdr>
        <w:top w:val="none" w:sz="0" w:space="0" w:color="auto"/>
        <w:left w:val="none" w:sz="0" w:space="0" w:color="auto"/>
        <w:bottom w:val="none" w:sz="0" w:space="0" w:color="auto"/>
        <w:right w:val="none" w:sz="0" w:space="0" w:color="auto"/>
      </w:divBdr>
    </w:div>
    <w:div w:id="271592215">
      <w:bodyDiv w:val="1"/>
      <w:marLeft w:val="0"/>
      <w:marRight w:val="0"/>
      <w:marTop w:val="0"/>
      <w:marBottom w:val="0"/>
      <w:divBdr>
        <w:top w:val="none" w:sz="0" w:space="0" w:color="auto"/>
        <w:left w:val="none" w:sz="0" w:space="0" w:color="auto"/>
        <w:bottom w:val="none" w:sz="0" w:space="0" w:color="auto"/>
        <w:right w:val="none" w:sz="0" w:space="0" w:color="auto"/>
      </w:divBdr>
    </w:div>
    <w:div w:id="271671263">
      <w:bodyDiv w:val="1"/>
      <w:marLeft w:val="0"/>
      <w:marRight w:val="0"/>
      <w:marTop w:val="0"/>
      <w:marBottom w:val="0"/>
      <w:divBdr>
        <w:top w:val="none" w:sz="0" w:space="0" w:color="auto"/>
        <w:left w:val="none" w:sz="0" w:space="0" w:color="auto"/>
        <w:bottom w:val="none" w:sz="0" w:space="0" w:color="auto"/>
        <w:right w:val="none" w:sz="0" w:space="0" w:color="auto"/>
      </w:divBdr>
    </w:div>
    <w:div w:id="271784628">
      <w:bodyDiv w:val="1"/>
      <w:marLeft w:val="0"/>
      <w:marRight w:val="0"/>
      <w:marTop w:val="0"/>
      <w:marBottom w:val="0"/>
      <w:divBdr>
        <w:top w:val="none" w:sz="0" w:space="0" w:color="auto"/>
        <w:left w:val="none" w:sz="0" w:space="0" w:color="auto"/>
        <w:bottom w:val="none" w:sz="0" w:space="0" w:color="auto"/>
        <w:right w:val="none" w:sz="0" w:space="0" w:color="auto"/>
      </w:divBdr>
    </w:div>
    <w:div w:id="271788743">
      <w:bodyDiv w:val="1"/>
      <w:marLeft w:val="0"/>
      <w:marRight w:val="0"/>
      <w:marTop w:val="0"/>
      <w:marBottom w:val="0"/>
      <w:divBdr>
        <w:top w:val="none" w:sz="0" w:space="0" w:color="auto"/>
        <w:left w:val="none" w:sz="0" w:space="0" w:color="auto"/>
        <w:bottom w:val="none" w:sz="0" w:space="0" w:color="auto"/>
        <w:right w:val="none" w:sz="0" w:space="0" w:color="auto"/>
      </w:divBdr>
    </w:div>
    <w:div w:id="271792765">
      <w:bodyDiv w:val="1"/>
      <w:marLeft w:val="0"/>
      <w:marRight w:val="0"/>
      <w:marTop w:val="0"/>
      <w:marBottom w:val="0"/>
      <w:divBdr>
        <w:top w:val="none" w:sz="0" w:space="0" w:color="auto"/>
        <w:left w:val="none" w:sz="0" w:space="0" w:color="auto"/>
        <w:bottom w:val="none" w:sz="0" w:space="0" w:color="auto"/>
        <w:right w:val="none" w:sz="0" w:space="0" w:color="auto"/>
      </w:divBdr>
    </w:div>
    <w:div w:id="271858849">
      <w:bodyDiv w:val="1"/>
      <w:marLeft w:val="0"/>
      <w:marRight w:val="0"/>
      <w:marTop w:val="0"/>
      <w:marBottom w:val="0"/>
      <w:divBdr>
        <w:top w:val="none" w:sz="0" w:space="0" w:color="auto"/>
        <w:left w:val="none" w:sz="0" w:space="0" w:color="auto"/>
        <w:bottom w:val="none" w:sz="0" w:space="0" w:color="auto"/>
        <w:right w:val="none" w:sz="0" w:space="0" w:color="auto"/>
      </w:divBdr>
    </w:div>
    <w:div w:id="271936313">
      <w:bodyDiv w:val="1"/>
      <w:marLeft w:val="0"/>
      <w:marRight w:val="0"/>
      <w:marTop w:val="0"/>
      <w:marBottom w:val="0"/>
      <w:divBdr>
        <w:top w:val="none" w:sz="0" w:space="0" w:color="auto"/>
        <w:left w:val="none" w:sz="0" w:space="0" w:color="auto"/>
        <w:bottom w:val="none" w:sz="0" w:space="0" w:color="auto"/>
        <w:right w:val="none" w:sz="0" w:space="0" w:color="auto"/>
      </w:divBdr>
    </w:div>
    <w:div w:id="271941082">
      <w:bodyDiv w:val="1"/>
      <w:marLeft w:val="0"/>
      <w:marRight w:val="0"/>
      <w:marTop w:val="0"/>
      <w:marBottom w:val="0"/>
      <w:divBdr>
        <w:top w:val="none" w:sz="0" w:space="0" w:color="auto"/>
        <w:left w:val="none" w:sz="0" w:space="0" w:color="auto"/>
        <w:bottom w:val="none" w:sz="0" w:space="0" w:color="auto"/>
        <w:right w:val="none" w:sz="0" w:space="0" w:color="auto"/>
      </w:divBdr>
    </w:div>
    <w:div w:id="271978737">
      <w:bodyDiv w:val="1"/>
      <w:marLeft w:val="0"/>
      <w:marRight w:val="0"/>
      <w:marTop w:val="0"/>
      <w:marBottom w:val="0"/>
      <w:divBdr>
        <w:top w:val="none" w:sz="0" w:space="0" w:color="auto"/>
        <w:left w:val="none" w:sz="0" w:space="0" w:color="auto"/>
        <w:bottom w:val="none" w:sz="0" w:space="0" w:color="auto"/>
        <w:right w:val="none" w:sz="0" w:space="0" w:color="auto"/>
      </w:divBdr>
    </w:div>
    <w:div w:id="272054522">
      <w:bodyDiv w:val="1"/>
      <w:marLeft w:val="0"/>
      <w:marRight w:val="0"/>
      <w:marTop w:val="0"/>
      <w:marBottom w:val="0"/>
      <w:divBdr>
        <w:top w:val="none" w:sz="0" w:space="0" w:color="auto"/>
        <w:left w:val="none" w:sz="0" w:space="0" w:color="auto"/>
        <w:bottom w:val="none" w:sz="0" w:space="0" w:color="auto"/>
        <w:right w:val="none" w:sz="0" w:space="0" w:color="auto"/>
      </w:divBdr>
    </w:div>
    <w:div w:id="272055490">
      <w:bodyDiv w:val="1"/>
      <w:marLeft w:val="0"/>
      <w:marRight w:val="0"/>
      <w:marTop w:val="0"/>
      <w:marBottom w:val="0"/>
      <w:divBdr>
        <w:top w:val="none" w:sz="0" w:space="0" w:color="auto"/>
        <w:left w:val="none" w:sz="0" w:space="0" w:color="auto"/>
        <w:bottom w:val="none" w:sz="0" w:space="0" w:color="auto"/>
        <w:right w:val="none" w:sz="0" w:space="0" w:color="auto"/>
      </w:divBdr>
    </w:div>
    <w:div w:id="272056256">
      <w:bodyDiv w:val="1"/>
      <w:marLeft w:val="0"/>
      <w:marRight w:val="0"/>
      <w:marTop w:val="0"/>
      <w:marBottom w:val="0"/>
      <w:divBdr>
        <w:top w:val="none" w:sz="0" w:space="0" w:color="auto"/>
        <w:left w:val="none" w:sz="0" w:space="0" w:color="auto"/>
        <w:bottom w:val="none" w:sz="0" w:space="0" w:color="auto"/>
        <w:right w:val="none" w:sz="0" w:space="0" w:color="auto"/>
      </w:divBdr>
    </w:div>
    <w:div w:id="272059919">
      <w:bodyDiv w:val="1"/>
      <w:marLeft w:val="0"/>
      <w:marRight w:val="0"/>
      <w:marTop w:val="0"/>
      <w:marBottom w:val="0"/>
      <w:divBdr>
        <w:top w:val="none" w:sz="0" w:space="0" w:color="auto"/>
        <w:left w:val="none" w:sz="0" w:space="0" w:color="auto"/>
        <w:bottom w:val="none" w:sz="0" w:space="0" w:color="auto"/>
        <w:right w:val="none" w:sz="0" w:space="0" w:color="auto"/>
      </w:divBdr>
    </w:div>
    <w:div w:id="272172091">
      <w:bodyDiv w:val="1"/>
      <w:marLeft w:val="0"/>
      <w:marRight w:val="0"/>
      <w:marTop w:val="0"/>
      <w:marBottom w:val="0"/>
      <w:divBdr>
        <w:top w:val="none" w:sz="0" w:space="0" w:color="auto"/>
        <w:left w:val="none" w:sz="0" w:space="0" w:color="auto"/>
        <w:bottom w:val="none" w:sz="0" w:space="0" w:color="auto"/>
        <w:right w:val="none" w:sz="0" w:space="0" w:color="auto"/>
      </w:divBdr>
    </w:div>
    <w:div w:id="272173436">
      <w:bodyDiv w:val="1"/>
      <w:marLeft w:val="0"/>
      <w:marRight w:val="0"/>
      <w:marTop w:val="0"/>
      <w:marBottom w:val="0"/>
      <w:divBdr>
        <w:top w:val="none" w:sz="0" w:space="0" w:color="auto"/>
        <w:left w:val="none" w:sz="0" w:space="0" w:color="auto"/>
        <w:bottom w:val="none" w:sz="0" w:space="0" w:color="auto"/>
        <w:right w:val="none" w:sz="0" w:space="0" w:color="auto"/>
      </w:divBdr>
    </w:div>
    <w:div w:id="272249868">
      <w:bodyDiv w:val="1"/>
      <w:marLeft w:val="0"/>
      <w:marRight w:val="0"/>
      <w:marTop w:val="0"/>
      <w:marBottom w:val="0"/>
      <w:divBdr>
        <w:top w:val="none" w:sz="0" w:space="0" w:color="auto"/>
        <w:left w:val="none" w:sz="0" w:space="0" w:color="auto"/>
        <w:bottom w:val="none" w:sz="0" w:space="0" w:color="auto"/>
        <w:right w:val="none" w:sz="0" w:space="0" w:color="auto"/>
      </w:divBdr>
    </w:div>
    <w:div w:id="272398087">
      <w:bodyDiv w:val="1"/>
      <w:marLeft w:val="0"/>
      <w:marRight w:val="0"/>
      <w:marTop w:val="0"/>
      <w:marBottom w:val="0"/>
      <w:divBdr>
        <w:top w:val="none" w:sz="0" w:space="0" w:color="auto"/>
        <w:left w:val="none" w:sz="0" w:space="0" w:color="auto"/>
        <w:bottom w:val="none" w:sz="0" w:space="0" w:color="auto"/>
        <w:right w:val="none" w:sz="0" w:space="0" w:color="auto"/>
      </w:divBdr>
    </w:div>
    <w:div w:id="272513706">
      <w:bodyDiv w:val="1"/>
      <w:marLeft w:val="0"/>
      <w:marRight w:val="0"/>
      <w:marTop w:val="0"/>
      <w:marBottom w:val="0"/>
      <w:divBdr>
        <w:top w:val="none" w:sz="0" w:space="0" w:color="auto"/>
        <w:left w:val="none" w:sz="0" w:space="0" w:color="auto"/>
        <w:bottom w:val="none" w:sz="0" w:space="0" w:color="auto"/>
        <w:right w:val="none" w:sz="0" w:space="0" w:color="auto"/>
      </w:divBdr>
    </w:div>
    <w:div w:id="272514781">
      <w:bodyDiv w:val="1"/>
      <w:marLeft w:val="0"/>
      <w:marRight w:val="0"/>
      <w:marTop w:val="0"/>
      <w:marBottom w:val="0"/>
      <w:divBdr>
        <w:top w:val="none" w:sz="0" w:space="0" w:color="auto"/>
        <w:left w:val="none" w:sz="0" w:space="0" w:color="auto"/>
        <w:bottom w:val="none" w:sz="0" w:space="0" w:color="auto"/>
        <w:right w:val="none" w:sz="0" w:space="0" w:color="auto"/>
      </w:divBdr>
    </w:div>
    <w:div w:id="272523181">
      <w:bodyDiv w:val="1"/>
      <w:marLeft w:val="0"/>
      <w:marRight w:val="0"/>
      <w:marTop w:val="0"/>
      <w:marBottom w:val="0"/>
      <w:divBdr>
        <w:top w:val="none" w:sz="0" w:space="0" w:color="auto"/>
        <w:left w:val="none" w:sz="0" w:space="0" w:color="auto"/>
        <w:bottom w:val="none" w:sz="0" w:space="0" w:color="auto"/>
        <w:right w:val="none" w:sz="0" w:space="0" w:color="auto"/>
      </w:divBdr>
    </w:div>
    <w:div w:id="272631657">
      <w:bodyDiv w:val="1"/>
      <w:marLeft w:val="0"/>
      <w:marRight w:val="0"/>
      <w:marTop w:val="0"/>
      <w:marBottom w:val="0"/>
      <w:divBdr>
        <w:top w:val="none" w:sz="0" w:space="0" w:color="auto"/>
        <w:left w:val="none" w:sz="0" w:space="0" w:color="auto"/>
        <w:bottom w:val="none" w:sz="0" w:space="0" w:color="auto"/>
        <w:right w:val="none" w:sz="0" w:space="0" w:color="auto"/>
      </w:divBdr>
    </w:div>
    <w:div w:id="272712901">
      <w:bodyDiv w:val="1"/>
      <w:marLeft w:val="0"/>
      <w:marRight w:val="0"/>
      <w:marTop w:val="0"/>
      <w:marBottom w:val="0"/>
      <w:divBdr>
        <w:top w:val="none" w:sz="0" w:space="0" w:color="auto"/>
        <w:left w:val="none" w:sz="0" w:space="0" w:color="auto"/>
        <w:bottom w:val="none" w:sz="0" w:space="0" w:color="auto"/>
        <w:right w:val="none" w:sz="0" w:space="0" w:color="auto"/>
      </w:divBdr>
    </w:div>
    <w:div w:id="272831576">
      <w:bodyDiv w:val="1"/>
      <w:marLeft w:val="0"/>
      <w:marRight w:val="0"/>
      <w:marTop w:val="0"/>
      <w:marBottom w:val="0"/>
      <w:divBdr>
        <w:top w:val="none" w:sz="0" w:space="0" w:color="auto"/>
        <w:left w:val="none" w:sz="0" w:space="0" w:color="auto"/>
        <w:bottom w:val="none" w:sz="0" w:space="0" w:color="auto"/>
        <w:right w:val="none" w:sz="0" w:space="0" w:color="auto"/>
      </w:divBdr>
    </w:div>
    <w:div w:id="272983350">
      <w:bodyDiv w:val="1"/>
      <w:marLeft w:val="0"/>
      <w:marRight w:val="0"/>
      <w:marTop w:val="0"/>
      <w:marBottom w:val="0"/>
      <w:divBdr>
        <w:top w:val="none" w:sz="0" w:space="0" w:color="auto"/>
        <w:left w:val="none" w:sz="0" w:space="0" w:color="auto"/>
        <w:bottom w:val="none" w:sz="0" w:space="0" w:color="auto"/>
        <w:right w:val="none" w:sz="0" w:space="0" w:color="auto"/>
      </w:divBdr>
    </w:div>
    <w:div w:id="273051667">
      <w:bodyDiv w:val="1"/>
      <w:marLeft w:val="0"/>
      <w:marRight w:val="0"/>
      <w:marTop w:val="0"/>
      <w:marBottom w:val="0"/>
      <w:divBdr>
        <w:top w:val="none" w:sz="0" w:space="0" w:color="auto"/>
        <w:left w:val="none" w:sz="0" w:space="0" w:color="auto"/>
        <w:bottom w:val="none" w:sz="0" w:space="0" w:color="auto"/>
        <w:right w:val="none" w:sz="0" w:space="0" w:color="auto"/>
      </w:divBdr>
    </w:div>
    <w:div w:id="273171630">
      <w:bodyDiv w:val="1"/>
      <w:marLeft w:val="0"/>
      <w:marRight w:val="0"/>
      <w:marTop w:val="0"/>
      <w:marBottom w:val="0"/>
      <w:divBdr>
        <w:top w:val="none" w:sz="0" w:space="0" w:color="auto"/>
        <w:left w:val="none" w:sz="0" w:space="0" w:color="auto"/>
        <w:bottom w:val="none" w:sz="0" w:space="0" w:color="auto"/>
        <w:right w:val="none" w:sz="0" w:space="0" w:color="auto"/>
      </w:divBdr>
    </w:div>
    <w:div w:id="273245912">
      <w:bodyDiv w:val="1"/>
      <w:marLeft w:val="0"/>
      <w:marRight w:val="0"/>
      <w:marTop w:val="0"/>
      <w:marBottom w:val="0"/>
      <w:divBdr>
        <w:top w:val="none" w:sz="0" w:space="0" w:color="auto"/>
        <w:left w:val="none" w:sz="0" w:space="0" w:color="auto"/>
        <w:bottom w:val="none" w:sz="0" w:space="0" w:color="auto"/>
        <w:right w:val="none" w:sz="0" w:space="0" w:color="auto"/>
      </w:divBdr>
    </w:div>
    <w:div w:id="273248988">
      <w:bodyDiv w:val="1"/>
      <w:marLeft w:val="0"/>
      <w:marRight w:val="0"/>
      <w:marTop w:val="0"/>
      <w:marBottom w:val="0"/>
      <w:divBdr>
        <w:top w:val="none" w:sz="0" w:space="0" w:color="auto"/>
        <w:left w:val="none" w:sz="0" w:space="0" w:color="auto"/>
        <w:bottom w:val="none" w:sz="0" w:space="0" w:color="auto"/>
        <w:right w:val="none" w:sz="0" w:space="0" w:color="auto"/>
      </w:divBdr>
    </w:div>
    <w:div w:id="273292299">
      <w:bodyDiv w:val="1"/>
      <w:marLeft w:val="0"/>
      <w:marRight w:val="0"/>
      <w:marTop w:val="0"/>
      <w:marBottom w:val="0"/>
      <w:divBdr>
        <w:top w:val="none" w:sz="0" w:space="0" w:color="auto"/>
        <w:left w:val="none" w:sz="0" w:space="0" w:color="auto"/>
        <w:bottom w:val="none" w:sz="0" w:space="0" w:color="auto"/>
        <w:right w:val="none" w:sz="0" w:space="0" w:color="auto"/>
      </w:divBdr>
    </w:div>
    <w:div w:id="273366794">
      <w:bodyDiv w:val="1"/>
      <w:marLeft w:val="0"/>
      <w:marRight w:val="0"/>
      <w:marTop w:val="0"/>
      <w:marBottom w:val="0"/>
      <w:divBdr>
        <w:top w:val="none" w:sz="0" w:space="0" w:color="auto"/>
        <w:left w:val="none" w:sz="0" w:space="0" w:color="auto"/>
        <w:bottom w:val="none" w:sz="0" w:space="0" w:color="auto"/>
        <w:right w:val="none" w:sz="0" w:space="0" w:color="auto"/>
      </w:divBdr>
    </w:div>
    <w:div w:id="273368589">
      <w:bodyDiv w:val="1"/>
      <w:marLeft w:val="0"/>
      <w:marRight w:val="0"/>
      <w:marTop w:val="0"/>
      <w:marBottom w:val="0"/>
      <w:divBdr>
        <w:top w:val="none" w:sz="0" w:space="0" w:color="auto"/>
        <w:left w:val="none" w:sz="0" w:space="0" w:color="auto"/>
        <w:bottom w:val="none" w:sz="0" w:space="0" w:color="auto"/>
        <w:right w:val="none" w:sz="0" w:space="0" w:color="auto"/>
      </w:divBdr>
    </w:div>
    <w:div w:id="273369155">
      <w:bodyDiv w:val="1"/>
      <w:marLeft w:val="0"/>
      <w:marRight w:val="0"/>
      <w:marTop w:val="0"/>
      <w:marBottom w:val="0"/>
      <w:divBdr>
        <w:top w:val="none" w:sz="0" w:space="0" w:color="auto"/>
        <w:left w:val="none" w:sz="0" w:space="0" w:color="auto"/>
        <w:bottom w:val="none" w:sz="0" w:space="0" w:color="auto"/>
        <w:right w:val="none" w:sz="0" w:space="0" w:color="auto"/>
      </w:divBdr>
    </w:div>
    <w:div w:id="273443346">
      <w:bodyDiv w:val="1"/>
      <w:marLeft w:val="0"/>
      <w:marRight w:val="0"/>
      <w:marTop w:val="0"/>
      <w:marBottom w:val="0"/>
      <w:divBdr>
        <w:top w:val="none" w:sz="0" w:space="0" w:color="auto"/>
        <w:left w:val="none" w:sz="0" w:space="0" w:color="auto"/>
        <w:bottom w:val="none" w:sz="0" w:space="0" w:color="auto"/>
        <w:right w:val="none" w:sz="0" w:space="0" w:color="auto"/>
      </w:divBdr>
    </w:div>
    <w:div w:id="273486935">
      <w:bodyDiv w:val="1"/>
      <w:marLeft w:val="0"/>
      <w:marRight w:val="0"/>
      <w:marTop w:val="0"/>
      <w:marBottom w:val="0"/>
      <w:divBdr>
        <w:top w:val="none" w:sz="0" w:space="0" w:color="auto"/>
        <w:left w:val="none" w:sz="0" w:space="0" w:color="auto"/>
        <w:bottom w:val="none" w:sz="0" w:space="0" w:color="auto"/>
        <w:right w:val="none" w:sz="0" w:space="0" w:color="auto"/>
      </w:divBdr>
    </w:div>
    <w:div w:id="273708187">
      <w:bodyDiv w:val="1"/>
      <w:marLeft w:val="0"/>
      <w:marRight w:val="0"/>
      <w:marTop w:val="0"/>
      <w:marBottom w:val="0"/>
      <w:divBdr>
        <w:top w:val="none" w:sz="0" w:space="0" w:color="auto"/>
        <w:left w:val="none" w:sz="0" w:space="0" w:color="auto"/>
        <w:bottom w:val="none" w:sz="0" w:space="0" w:color="auto"/>
        <w:right w:val="none" w:sz="0" w:space="0" w:color="auto"/>
      </w:divBdr>
    </w:div>
    <w:div w:id="273753587">
      <w:bodyDiv w:val="1"/>
      <w:marLeft w:val="0"/>
      <w:marRight w:val="0"/>
      <w:marTop w:val="0"/>
      <w:marBottom w:val="0"/>
      <w:divBdr>
        <w:top w:val="none" w:sz="0" w:space="0" w:color="auto"/>
        <w:left w:val="none" w:sz="0" w:space="0" w:color="auto"/>
        <w:bottom w:val="none" w:sz="0" w:space="0" w:color="auto"/>
        <w:right w:val="none" w:sz="0" w:space="0" w:color="auto"/>
      </w:divBdr>
    </w:div>
    <w:div w:id="273754698">
      <w:bodyDiv w:val="1"/>
      <w:marLeft w:val="0"/>
      <w:marRight w:val="0"/>
      <w:marTop w:val="0"/>
      <w:marBottom w:val="0"/>
      <w:divBdr>
        <w:top w:val="none" w:sz="0" w:space="0" w:color="auto"/>
        <w:left w:val="none" w:sz="0" w:space="0" w:color="auto"/>
        <w:bottom w:val="none" w:sz="0" w:space="0" w:color="auto"/>
        <w:right w:val="none" w:sz="0" w:space="0" w:color="auto"/>
      </w:divBdr>
    </w:div>
    <w:div w:id="273826114">
      <w:bodyDiv w:val="1"/>
      <w:marLeft w:val="0"/>
      <w:marRight w:val="0"/>
      <w:marTop w:val="0"/>
      <w:marBottom w:val="0"/>
      <w:divBdr>
        <w:top w:val="none" w:sz="0" w:space="0" w:color="auto"/>
        <w:left w:val="none" w:sz="0" w:space="0" w:color="auto"/>
        <w:bottom w:val="none" w:sz="0" w:space="0" w:color="auto"/>
        <w:right w:val="none" w:sz="0" w:space="0" w:color="auto"/>
      </w:divBdr>
    </w:div>
    <w:div w:id="273831831">
      <w:bodyDiv w:val="1"/>
      <w:marLeft w:val="0"/>
      <w:marRight w:val="0"/>
      <w:marTop w:val="0"/>
      <w:marBottom w:val="0"/>
      <w:divBdr>
        <w:top w:val="none" w:sz="0" w:space="0" w:color="auto"/>
        <w:left w:val="none" w:sz="0" w:space="0" w:color="auto"/>
        <w:bottom w:val="none" w:sz="0" w:space="0" w:color="auto"/>
        <w:right w:val="none" w:sz="0" w:space="0" w:color="auto"/>
      </w:divBdr>
    </w:div>
    <w:div w:id="273875491">
      <w:bodyDiv w:val="1"/>
      <w:marLeft w:val="0"/>
      <w:marRight w:val="0"/>
      <w:marTop w:val="0"/>
      <w:marBottom w:val="0"/>
      <w:divBdr>
        <w:top w:val="none" w:sz="0" w:space="0" w:color="auto"/>
        <w:left w:val="none" w:sz="0" w:space="0" w:color="auto"/>
        <w:bottom w:val="none" w:sz="0" w:space="0" w:color="auto"/>
        <w:right w:val="none" w:sz="0" w:space="0" w:color="auto"/>
      </w:divBdr>
    </w:div>
    <w:div w:id="273901446">
      <w:bodyDiv w:val="1"/>
      <w:marLeft w:val="0"/>
      <w:marRight w:val="0"/>
      <w:marTop w:val="0"/>
      <w:marBottom w:val="0"/>
      <w:divBdr>
        <w:top w:val="none" w:sz="0" w:space="0" w:color="auto"/>
        <w:left w:val="none" w:sz="0" w:space="0" w:color="auto"/>
        <w:bottom w:val="none" w:sz="0" w:space="0" w:color="auto"/>
        <w:right w:val="none" w:sz="0" w:space="0" w:color="auto"/>
      </w:divBdr>
    </w:div>
    <w:div w:id="273944067">
      <w:bodyDiv w:val="1"/>
      <w:marLeft w:val="0"/>
      <w:marRight w:val="0"/>
      <w:marTop w:val="0"/>
      <w:marBottom w:val="0"/>
      <w:divBdr>
        <w:top w:val="none" w:sz="0" w:space="0" w:color="auto"/>
        <w:left w:val="none" w:sz="0" w:space="0" w:color="auto"/>
        <w:bottom w:val="none" w:sz="0" w:space="0" w:color="auto"/>
        <w:right w:val="none" w:sz="0" w:space="0" w:color="auto"/>
      </w:divBdr>
    </w:div>
    <w:div w:id="274093578">
      <w:bodyDiv w:val="1"/>
      <w:marLeft w:val="0"/>
      <w:marRight w:val="0"/>
      <w:marTop w:val="0"/>
      <w:marBottom w:val="0"/>
      <w:divBdr>
        <w:top w:val="none" w:sz="0" w:space="0" w:color="auto"/>
        <w:left w:val="none" w:sz="0" w:space="0" w:color="auto"/>
        <w:bottom w:val="none" w:sz="0" w:space="0" w:color="auto"/>
        <w:right w:val="none" w:sz="0" w:space="0" w:color="auto"/>
      </w:divBdr>
    </w:div>
    <w:div w:id="274220557">
      <w:bodyDiv w:val="1"/>
      <w:marLeft w:val="0"/>
      <w:marRight w:val="0"/>
      <w:marTop w:val="0"/>
      <w:marBottom w:val="0"/>
      <w:divBdr>
        <w:top w:val="none" w:sz="0" w:space="0" w:color="auto"/>
        <w:left w:val="none" w:sz="0" w:space="0" w:color="auto"/>
        <w:bottom w:val="none" w:sz="0" w:space="0" w:color="auto"/>
        <w:right w:val="none" w:sz="0" w:space="0" w:color="auto"/>
      </w:divBdr>
    </w:div>
    <w:div w:id="274294450">
      <w:bodyDiv w:val="1"/>
      <w:marLeft w:val="0"/>
      <w:marRight w:val="0"/>
      <w:marTop w:val="0"/>
      <w:marBottom w:val="0"/>
      <w:divBdr>
        <w:top w:val="none" w:sz="0" w:space="0" w:color="auto"/>
        <w:left w:val="none" w:sz="0" w:space="0" w:color="auto"/>
        <w:bottom w:val="none" w:sz="0" w:space="0" w:color="auto"/>
        <w:right w:val="none" w:sz="0" w:space="0" w:color="auto"/>
      </w:divBdr>
    </w:div>
    <w:div w:id="274365684">
      <w:bodyDiv w:val="1"/>
      <w:marLeft w:val="0"/>
      <w:marRight w:val="0"/>
      <w:marTop w:val="0"/>
      <w:marBottom w:val="0"/>
      <w:divBdr>
        <w:top w:val="none" w:sz="0" w:space="0" w:color="auto"/>
        <w:left w:val="none" w:sz="0" w:space="0" w:color="auto"/>
        <w:bottom w:val="none" w:sz="0" w:space="0" w:color="auto"/>
        <w:right w:val="none" w:sz="0" w:space="0" w:color="auto"/>
      </w:divBdr>
    </w:div>
    <w:div w:id="274484972">
      <w:bodyDiv w:val="1"/>
      <w:marLeft w:val="0"/>
      <w:marRight w:val="0"/>
      <w:marTop w:val="0"/>
      <w:marBottom w:val="0"/>
      <w:divBdr>
        <w:top w:val="none" w:sz="0" w:space="0" w:color="auto"/>
        <w:left w:val="none" w:sz="0" w:space="0" w:color="auto"/>
        <w:bottom w:val="none" w:sz="0" w:space="0" w:color="auto"/>
        <w:right w:val="none" w:sz="0" w:space="0" w:color="auto"/>
      </w:divBdr>
    </w:div>
    <w:div w:id="274555511">
      <w:bodyDiv w:val="1"/>
      <w:marLeft w:val="0"/>
      <w:marRight w:val="0"/>
      <w:marTop w:val="0"/>
      <w:marBottom w:val="0"/>
      <w:divBdr>
        <w:top w:val="none" w:sz="0" w:space="0" w:color="auto"/>
        <w:left w:val="none" w:sz="0" w:space="0" w:color="auto"/>
        <w:bottom w:val="none" w:sz="0" w:space="0" w:color="auto"/>
        <w:right w:val="none" w:sz="0" w:space="0" w:color="auto"/>
      </w:divBdr>
    </w:div>
    <w:div w:id="274598027">
      <w:bodyDiv w:val="1"/>
      <w:marLeft w:val="0"/>
      <w:marRight w:val="0"/>
      <w:marTop w:val="0"/>
      <w:marBottom w:val="0"/>
      <w:divBdr>
        <w:top w:val="none" w:sz="0" w:space="0" w:color="auto"/>
        <w:left w:val="none" w:sz="0" w:space="0" w:color="auto"/>
        <w:bottom w:val="none" w:sz="0" w:space="0" w:color="auto"/>
        <w:right w:val="none" w:sz="0" w:space="0" w:color="auto"/>
      </w:divBdr>
    </w:div>
    <w:div w:id="274602913">
      <w:bodyDiv w:val="1"/>
      <w:marLeft w:val="0"/>
      <w:marRight w:val="0"/>
      <w:marTop w:val="0"/>
      <w:marBottom w:val="0"/>
      <w:divBdr>
        <w:top w:val="none" w:sz="0" w:space="0" w:color="auto"/>
        <w:left w:val="none" w:sz="0" w:space="0" w:color="auto"/>
        <w:bottom w:val="none" w:sz="0" w:space="0" w:color="auto"/>
        <w:right w:val="none" w:sz="0" w:space="0" w:color="auto"/>
      </w:divBdr>
    </w:div>
    <w:div w:id="274798769">
      <w:bodyDiv w:val="1"/>
      <w:marLeft w:val="0"/>
      <w:marRight w:val="0"/>
      <w:marTop w:val="0"/>
      <w:marBottom w:val="0"/>
      <w:divBdr>
        <w:top w:val="none" w:sz="0" w:space="0" w:color="auto"/>
        <w:left w:val="none" w:sz="0" w:space="0" w:color="auto"/>
        <w:bottom w:val="none" w:sz="0" w:space="0" w:color="auto"/>
        <w:right w:val="none" w:sz="0" w:space="0" w:color="auto"/>
      </w:divBdr>
    </w:div>
    <w:div w:id="274824466">
      <w:bodyDiv w:val="1"/>
      <w:marLeft w:val="0"/>
      <w:marRight w:val="0"/>
      <w:marTop w:val="0"/>
      <w:marBottom w:val="0"/>
      <w:divBdr>
        <w:top w:val="none" w:sz="0" w:space="0" w:color="auto"/>
        <w:left w:val="none" w:sz="0" w:space="0" w:color="auto"/>
        <w:bottom w:val="none" w:sz="0" w:space="0" w:color="auto"/>
        <w:right w:val="none" w:sz="0" w:space="0" w:color="auto"/>
      </w:divBdr>
    </w:div>
    <w:div w:id="274875528">
      <w:bodyDiv w:val="1"/>
      <w:marLeft w:val="0"/>
      <w:marRight w:val="0"/>
      <w:marTop w:val="0"/>
      <w:marBottom w:val="0"/>
      <w:divBdr>
        <w:top w:val="none" w:sz="0" w:space="0" w:color="auto"/>
        <w:left w:val="none" w:sz="0" w:space="0" w:color="auto"/>
        <w:bottom w:val="none" w:sz="0" w:space="0" w:color="auto"/>
        <w:right w:val="none" w:sz="0" w:space="0" w:color="auto"/>
      </w:divBdr>
    </w:div>
    <w:div w:id="274941496">
      <w:bodyDiv w:val="1"/>
      <w:marLeft w:val="0"/>
      <w:marRight w:val="0"/>
      <w:marTop w:val="0"/>
      <w:marBottom w:val="0"/>
      <w:divBdr>
        <w:top w:val="none" w:sz="0" w:space="0" w:color="auto"/>
        <w:left w:val="none" w:sz="0" w:space="0" w:color="auto"/>
        <w:bottom w:val="none" w:sz="0" w:space="0" w:color="auto"/>
        <w:right w:val="none" w:sz="0" w:space="0" w:color="auto"/>
      </w:divBdr>
    </w:div>
    <w:div w:id="275064852">
      <w:bodyDiv w:val="1"/>
      <w:marLeft w:val="0"/>
      <w:marRight w:val="0"/>
      <w:marTop w:val="0"/>
      <w:marBottom w:val="0"/>
      <w:divBdr>
        <w:top w:val="none" w:sz="0" w:space="0" w:color="auto"/>
        <w:left w:val="none" w:sz="0" w:space="0" w:color="auto"/>
        <w:bottom w:val="none" w:sz="0" w:space="0" w:color="auto"/>
        <w:right w:val="none" w:sz="0" w:space="0" w:color="auto"/>
      </w:divBdr>
    </w:div>
    <w:div w:id="275064872">
      <w:bodyDiv w:val="1"/>
      <w:marLeft w:val="0"/>
      <w:marRight w:val="0"/>
      <w:marTop w:val="0"/>
      <w:marBottom w:val="0"/>
      <w:divBdr>
        <w:top w:val="none" w:sz="0" w:space="0" w:color="auto"/>
        <w:left w:val="none" w:sz="0" w:space="0" w:color="auto"/>
        <w:bottom w:val="none" w:sz="0" w:space="0" w:color="auto"/>
        <w:right w:val="none" w:sz="0" w:space="0" w:color="auto"/>
      </w:divBdr>
    </w:div>
    <w:div w:id="275065431">
      <w:bodyDiv w:val="1"/>
      <w:marLeft w:val="0"/>
      <w:marRight w:val="0"/>
      <w:marTop w:val="0"/>
      <w:marBottom w:val="0"/>
      <w:divBdr>
        <w:top w:val="none" w:sz="0" w:space="0" w:color="auto"/>
        <w:left w:val="none" w:sz="0" w:space="0" w:color="auto"/>
        <w:bottom w:val="none" w:sz="0" w:space="0" w:color="auto"/>
        <w:right w:val="none" w:sz="0" w:space="0" w:color="auto"/>
      </w:divBdr>
    </w:div>
    <w:div w:id="275141026">
      <w:bodyDiv w:val="1"/>
      <w:marLeft w:val="0"/>
      <w:marRight w:val="0"/>
      <w:marTop w:val="0"/>
      <w:marBottom w:val="0"/>
      <w:divBdr>
        <w:top w:val="none" w:sz="0" w:space="0" w:color="auto"/>
        <w:left w:val="none" w:sz="0" w:space="0" w:color="auto"/>
        <w:bottom w:val="none" w:sz="0" w:space="0" w:color="auto"/>
        <w:right w:val="none" w:sz="0" w:space="0" w:color="auto"/>
      </w:divBdr>
    </w:div>
    <w:div w:id="275142638">
      <w:bodyDiv w:val="1"/>
      <w:marLeft w:val="0"/>
      <w:marRight w:val="0"/>
      <w:marTop w:val="0"/>
      <w:marBottom w:val="0"/>
      <w:divBdr>
        <w:top w:val="none" w:sz="0" w:space="0" w:color="auto"/>
        <w:left w:val="none" w:sz="0" w:space="0" w:color="auto"/>
        <w:bottom w:val="none" w:sz="0" w:space="0" w:color="auto"/>
        <w:right w:val="none" w:sz="0" w:space="0" w:color="auto"/>
      </w:divBdr>
    </w:div>
    <w:div w:id="275143838">
      <w:bodyDiv w:val="1"/>
      <w:marLeft w:val="0"/>
      <w:marRight w:val="0"/>
      <w:marTop w:val="0"/>
      <w:marBottom w:val="0"/>
      <w:divBdr>
        <w:top w:val="none" w:sz="0" w:space="0" w:color="auto"/>
        <w:left w:val="none" w:sz="0" w:space="0" w:color="auto"/>
        <w:bottom w:val="none" w:sz="0" w:space="0" w:color="auto"/>
        <w:right w:val="none" w:sz="0" w:space="0" w:color="auto"/>
      </w:divBdr>
    </w:div>
    <w:div w:id="275210431">
      <w:bodyDiv w:val="1"/>
      <w:marLeft w:val="0"/>
      <w:marRight w:val="0"/>
      <w:marTop w:val="0"/>
      <w:marBottom w:val="0"/>
      <w:divBdr>
        <w:top w:val="none" w:sz="0" w:space="0" w:color="auto"/>
        <w:left w:val="none" w:sz="0" w:space="0" w:color="auto"/>
        <w:bottom w:val="none" w:sz="0" w:space="0" w:color="auto"/>
        <w:right w:val="none" w:sz="0" w:space="0" w:color="auto"/>
      </w:divBdr>
    </w:div>
    <w:div w:id="275255664">
      <w:bodyDiv w:val="1"/>
      <w:marLeft w:val="0"/>
      <w:marRight w:val="0"/>
      <w:marTop w:val="0"/>
      <w:marBottom w:val="0"/>
      <w:divBdr>
        <w:top w:val="none" w:sz="0" w:space="0" w:color="auto"/>
        <w:left w:val="none" w:sz="0" w:space="0" w:color="auto"/>
        <w:bottom w:val="none" w:sz="0" w:space="0" w:color="auto"/>
        <w:right w:val="none" w:sz="0" w:space="0" w:color="auto"/>
      </w:divBdr>
    </w:div>
    <w:div w:id="275259093">
      <w:bodyDiv w:val="1"/>
      <w:marLeft w:val="0"/>
      <w:marRight w:val="0"/>
      <w:marTop w:val="0"/>
      <w:marBottom w:val="0"/>
      <w:divBdr>
        <w:top w:val="none" w:sz="0" w:space="0" w:color="auto"/>
        <w:left w:val="none" w:sz="0" w:space="0" w:color="auto"/>
        <w:bottom w:val="none" w:sz="0" w:space="0" w:color="auto"/>
        <w:right w:val="none" w:sz="0" w:space="0" w:color="auto"/>
      </w:divBdr>
    </w:div>
    <w:div w:id="275448911">
      <w:bodyDiv w:val="1"/>
      <w:marLeft w:val="0"/>
      <w:marRight w:val="0"/>
      <w:marTop w:val="0"/>
      <w:marBottom w:val="0"/>
      <w:divBdr>
        <w:top w:val="none" w:sz="0" w:space="0" w:color="auto"/>
        <w:left w:val="none" w:sz="0" w:space="0" w:color="auto"/>
        <w:bottom w:val="none" w:sz="0" w:space="0" w:color="auto"/>
        <w:right w:val="none" w:sz="0" w:space="0" w:color="auto"/>
      </w:divBdr>
    </w:div>
    <w:div w:id="275523427">
      <w:bodyDiv w:val="1"/>
      <w:marLeft w:val="0"/>
      <w:marRight w:val="0"/>
      <w:marTop w:val="0"/>
      <w:marBottom w:val="0"/>
      <w:divBdr>
        <w:top w:val="none" w:sz="0" w:space="0" w:color="auto"/>
        <w:left w:val="none" w:sz="0" w:space="0" w:color="auto"/>
        <w:bottom w:val="none" w:sz="0" w:space="0" w:color="auto"/>
        <w:right w:val="none" w:sz="0" w:space="0" w:color="auto"/>
      </w:divBdr>
    </w:div>
    <w:div w:id="275714730">
      <w:bodyDiv w:val="1"/>
      <w:marLeft w:val="0"/>
      <w:marRight w:val="0"/>
      <w:marTop w:val="0"/>
      <w:marBottom w:val="0"/>
      <w:divBdr>
        <w:top w:val="none" w:sz="0" w:space="0" w:color="auto"/>
        <w:left w:val="none" w:sz="0" w:space="0" w:color="auto"/>
        <w:bottom w:val="none" w:sz="0" w:space="0" w:color="auto"/>
        <w:right w:val="none" w:sz="0" w:space="0" w:color="auto"/>
      </w:divBdr>
    </w:div>
    <w:div w:id="275719399">
      <w:bodyDiv w:val="1"/>
      <w:marLeft w:val="0"/>
      <w:marRight w:val="0"/>
      <w:marTop w:val="0"/>
      <w:marBottom w:val="0"/>
      <w:divBdr>
        <w:top w:val="none" w:sz="0" w:space="0" w:color="auto"/>
        <w:left w:val="none" w:sz="0" w:space="0" w:color="auto"/>
        <w:bottom w:val="none" w:sz="0" w:space="0" w:color="auto"/>
        <w:right w:val="none" w:sz="0" w:space="0" w:color="auto"/>
      </w:divBdr>
    </w:div>
    <w:div w:id="275724272">
      <w:bodyDiv w:val="1"/>
      <w:marLeft w:val="0"/>
      <w:marRight w:val="0"/>
      <w:marTop w:val="0"/>
      <w:marBottom w:val="0"/>
      <w:divBdr>
        <w:top w:val="none" w:sz="0" w:space="0" w:color="auto"/>
        <w:left w:val="none" w:sz="0" w:space="0" w:color="auto"/>
        <w:bottom w:val="none" w:sz="0" w:space="0" w:color="auto"/>
        <w:right w:val="none" w:sz="0" w:space="0" w:color="auto"/>
      </w:divBdr>
    </w:div>
    <w:div w:id="275869923">
      <w:bodyDiv w:val="1"/>
      <w:marLeft w:val="0"/>
      <w:marRight w:val="0"/>
      <w:marTop w:val="0"/>
      <w:marBottom w:val="0"/>
      <w:divBdr>
        <w:top w:val="none" w:sz="0" w:space="0" w:color="auto"/>
        <w:left w:val="none" w:sz="0" w:space="0" w:color="auto"/>
        <w:bottom w:val="none" w:sz="0" w:space="0" w:color="auto"/>
        <w:right w:val="none" w:sz="0" w:space="0" w:color="auto"/>
      </w:divBdr>
    </w:div>
    <w:div w:id="275872501">
      <w:bodyDiv w:val="1"/>
      <w:marLeft w:val="0"/>
      <w:marRight w:val="0"/>
      <w:marTop w:val="0"/>
      <w:marBottom w:val="0"/>
      <w:divBdr>
        <w:top w:val="none" w:sz="0" w:space="0" w:color="auto"/>
        <w:left w:val="none" w:sz="0" w:space="0" w:color="auto"/>
        <w:bottom w:val="none" w:sz="0" w:space="0" w:color="auto"/>
        <w:right w:val="none" w:sz="0" w:space="0" w:color="auto"/>
      </w:divBdr>
    </w:div>
    <w:div w:id="275908009">
      <w:bodyDiv w:val="1"/>
      <w:marLeft w:val="0"/>
      <w:marRight w:val="0"/>
      <w:marTop w:val="0"/>
      <w:marBottom w:val="0"/>
      <w:divBdr>
        <w:top w:val="none" w:sz="0" w:space="0" w:color="auto"/>
        <w:left w:val="none" w:sz="0" w:space="0" w:color="auto"/>
        <w:bottom w:val="none" w:sz="0" w:space="0" w:color="auto"/>
        <w:right w:val="none" w:sz="0" w:space="0" w:color="auto"/>
      </w:divBdr>
    </w:div>
    <w:div w:id="275983539">
      <w:bodyDiv w:val="1"/>
      <w:marLeft w:val="0"/>
      <w:marRight w:val="0"/>
      <w:marTop w:val="0"/>
      <w:marBottom w:val="0"/>
      <w:divBdr>
        <w:top w:val="none" w:sz="0" w:space="0" w:color="auto"/>
        <w:left w:val="none" w:sz="0" w:space="0" w:color="auto"/>
        <w:bottom w:val="none" w:sz="0" w:space="0" w:color="auto"/>
        <w:right w:val="none" w:sz="0" w:space="0" w:color="auto"/>
      </w:divBdr>
    </w:div>
    <w:div w:id="275988613">
      <w:bodyDiv w:val="1"/>
      <w:marLeft w:val="0"/>
      <w:marRight w:val="0"/>
      <w:marTop w:val="0"/>
      <w:marBottom w:val="0"/>
      <w:divBdr>
        <w:top w:val="none" w:sz="0" w:space="0" w:color="auto"/>
        <w:left w:val="none" w:sz="0" w:space="0" w:color="auto"/>
        <w:bottom w:val="none" w:sz="0" w:space="0" w:color="auto"/>
        <w:right w:val="none" w:sz="0" w:space="0" w:color="auto"/>
      </w:divBdr>
    </w:div>
    <w:div w:id="276067300">
      <w:bodyDiv w:val="1"/>
      <w:marLeft w:val="0"/>
      <w:marRight w:val="0"/>
      <w:marTop w:val="0"/>
      <w:marBottom w:val="0"/>
      <w:divBdr>
        <w:top w:val="none" w:sz="0" w:space="0" w:color="auto"/>
        <w:left w:val="none" w:sz="0" w:space="0" w:color="auto"/>
        <w:bottom w:val="none" w:sz="0" w:space="0" w:color="auto"/>
        <w:right w:val="none" w:sz="0" w:space="0" w:color="auto"/>
      </w:divBdr>
    </w:div>
    <w:div w:id="276330262">
      <w:bodyDiv w:val="1"/>
      <w:marLeft w:val="0"/>
      <w:marRight w:val="0"/>
      <w:marTop w:val="0"/>
      <w:marBottom w:val="0"/>
      <w:divBdr>
        <w:top w:val="none" w:sz="0" w:space="0" w:color="auto"/>
        <w:left w:val="none" w:sz="0" w:space="0" w:color="auto"/>
        <w:bottom w:val="none" w:sz="0" w:space="0" w:color="auto"/>
        <w:right w:val="none" w:sz="0" w:space="0" w:color="auto"/>
      </w:divBdr>
    </w:div>
    <w:div w:id="276450972">
      <w:bodyDiv w:val="1"/>
      <w:marLeft w:val="0"/>
      <w:marRight w:val="0"/>
      <w:marTop w:val="0"/>
      <w:marBottom w:val="0"/>
      <w:divBdr>
        <w:top w:val="none" w:sz="0" w:space="0" w:color="auto"/>
        <w:left w:val="none" w:sz="0" w:space="0" w:color="auto"/>
        <w:bottom w:val="none" w:sz="0" w:space="0" w:color="auto"/>
        <w:right w:val="none" w:sz="0" w:space="0" w:color="auto"/>
      </w:divBdr>
    </w:div>
    <w:div w:id="276452636">
      <w:bodyDiv w:val="1"/>
      <w:marLeft w:val="0"/>
      <w:marRight w:val="0"/>
      <w:marTop w:val="0"/>
      <w:marBottom w:val="0"/>
      <w:divBdr>
        <w:top w:val="none" w:sz="0" w:space="0" w:color="auto"/>
        <w:left w:val="none" w:sz="0" w:space="0" w:color="auto"/>
        <w:bottom w:val="none" w:sz="0" w:space="0" w:color="auto"/>
        <w:right w:val="none" w:sz="0" w:space="0" w:color="auto"/>
      </w:divBdr>
    </w:div>
    <w:div w:id="276522053">
      <w:bodyDiv w:val="1"/>
      <w:marLeft w:val="0"/>
      <w:marRight w:val="0"/>
      <w:marTop w:val="0"/>
      <w:marBottom w:val="0"/>
      <w:divBdr>
        <w:top w:val="none" w:sz="0" w:space="0" w:color="auto"/>
        <w:left w:val="none" w:sz="0" w:space="0" w:color="auto"/>
        <w:bottom w:val="none" w:sz="0" w:space="0" w:color="auto"/>
        <w:right w:val="none" w:sz="0" w:space="0" w:color="auto"/>
      </w:divBdr>
    </w:div>
    <w:div w:id="276525816">
      <w:bodyDiv w:val="1"/>
      <w:marLeft w:val="0"/>
      <w:marRight w:val="0"/>
      <w:marTop w:val="0"/>
      <w:marBottom w:val="0"/>
      <w:divBdr>
        <w:top w:val="none" w:sz="0" w:space="0" w:color="auto"/>
        <w:left w:val="none" w:sz="0" w:space="0" w:color="auto"/>
        <w:bottom w:val="none" w:sz="0" w:space="0" w:color="auto"/>
        <w:right w:val="none" w:sz="0" w:space="0" w:color="auto"/>
      </w:divBdr>
    </w:div>
    <w:div w:id="276641876">
      <w:bodyDiv w:val="1"/>
      <w:marLeft w:val="0"/>
      <w:marRight w:val="0"/>
      <w:marTop w:val="0"/>
      <w:marBottom w:val="0"/>
      <w:divBdr>
        <w:top w:val="none" w:sz="0" w:space="0" w:color="auto"/>
        <w:left w:val="none" w:sz="0" w:space="0" w:color="auto"/>
        <w:bottom w:val="none" w:sz="0" w:space="0" w:color="auto"/>
        <w:right w:val="none" w:sz="0" w:space="0" w:color="auto"/>
      </w:divBdr>
    </w:div>
    <w:div w:id="276642151">
      <w:bodyDiv w:val="1"/>
      <w:marLeft w:val="0"/>
      <w:marRight w:val="0"/>
      <w:marTop w:val="0"/>
      <w:marBottom w:val="0"/>
      <w:divBdr>
        <w:top w:val="none" w:sz="0" w:space="0" w:color="auto"/>
        <w:left w:val="none" w:sz="0" w:space="0" w:color="auto"/>
        <w:bottom w:val="none" w:sz="0" w:space="0" w:color="auto"/>
        <w:right w:val="none" w:sz="0" w:space="0" w:color="auto"/>
      </w:divBdr>
    </w:div>
    <w:div w:id="276642243">
      <w:bodyDiv w:val="1"/>
      <w:marLeft w:val="0"/>
      <w:marRight w:val="0"/>
      <w:marTop w:val="0"/>
      <w:marBottom w:val="0"/>
      <w:divBdr>
        <w:top w:val="none" w:sz="0" w:space="0" w:color="auto"/>
        <w:left w:val="none" w:sz="0" w:space="0" w:color="auto"/>
        <w:bottom w:val="none" w:sz="0" w:space="0" w:color="auto"/>
        <w:right w:val="none" w:sz="0" w:space="0" w:color="auto"/>
      </w:divBdr>
    </w:div>
    <w:div w:id="276718626">
      <w:bodyDiv w:val="1"/>
      <w:marLeft w:val="0"/>
      <w:marRight w:val="0"/>
      <w:marTop w:val="0"/>
      <w:marBottom w:val="0"/>
      <w:divBdr>
        <w:top w:val="none" w:sz="0" w:space="0" w:color="auto"/>
        <w:left w:val="none" w:sz="0" w:space="0" w:color="auto"/>
        <w:bottom w:val="none" w:sz="0" w:space="0" w:color="auto"/>
        <w:right w:val="none" w:sz="0" w:space="0" w:color="auto"/>
      </w:divBdr>
    </w:div>
    <w:div w:id="276721902">
      <w:bodyDiv w:val="1"/>
      <w:marLeft w:val="0"/>
      <w:marRight w:val="0"/>
      <w:marTop w:val="0"/>
      <w:marBottom w:val="0"/>
      <w:divBdr>
        <w:top w:val="none" w:sz="0" w:space="0" w:color="auto"/>
        <w:left w:val="none" w:sz="0" w:space="0" w:color="auto"/>
        <w:bottom w:val="none" w:sz="0" w:space="0" w:color="auto"/>
        <w:right w:val="none" w:sz="0" w:space="0" w:color="auto"/>
      </w:divBdr>
    </w:div>
    <w:div w:id="276835287">
      <w:bodyDiv w:val="1"/>
      <w:marLeft w:val="0"/>
      <w:marRight w:val="0"/>
      <w:marTop w:val="0"/>
      <w:marBottom w:val="0"/>
      <w:divBdr>
        <w:top w:val="none" w:sz="0" w:space="0" w:color="auto"/>
        <w:left w:val="none" w:sz="0" w:space="0" w:color="auto"/>
        <w:bottom w:val="none" w:sz="0" w:space="0" w:color="auto"/>
        <w:right w:val="none" w:sz="0" w:space="0" w:color="auto"/>
      </w:divBdr>
    </w:div>
    <w:div w:id="276916167">
      <w:bodyDiv w:val="1"/>
      <w:marLeft w:val="0"/>
      <w:marRight w:val="0"/>
      <w:marTop w:val="0"/>
      <w:marBottom w:val="0"/>
      <w:divBdr>
        <w:top w:val="none" w:sz="0" w:space="0" w:color="auto"/>
        <w:left w:val="none" w:sz="0" w:space="0" w:color="auto"/>
        <w:bottom w:val="none" w:sz="0" w:space="0" w:color="auto"/>
        <w:right w:val="none" w:sz="0" w:space="0" w:color="auto"/>
      </w:divBdr>
    </w:div>
    <w:div w:id="276987788">
      <w:bodyDiv w:val="1"/>
      <w:marLeft w:val="0"/>
      <w:marRight w:val="0"/>
      <w:marTop w:val="0"/>
      <w:marBottom w:val="0"/>
      <w:divBdr>
        <w:top w:val="none" w:sz="0" w:space="0" w:color="auto"/>
        <w:left w:val="none" w:sz="0" w:space="0" w:color="auto"/>
        <w:bottom w:val="none" w:sz="0" w:space="0" w:color="auto"/>
        <w:right w:val="none" w:sz="0" w:space="0" w:color="auto"/>
      </w:divBdr>
    </w:div>
    <w:div w:id="277101413">
      <w:bodyDiv w:val="1"/>
      <w:marLeft w:val="0"/>
      <w:marRight w:val="0"/>
      <w:marTop w:val="0"/>
      <w:marBottom w:val="0"/>
      <w:divBdr>
        <w:top w:val="none" w:sz="0" w:space="0" w:color="auto"/>
        <w:left w:val="none" w:sz="0" w:space="0" w:color="auto"/>
        <w:bottom w:val="none" w:sz="0" w:space="0" w:color="auto"/>
        <w:right w:val="none" w:sz="0" w:space="0" w:color="auto"/>
      </w:divBdr>
    </w:div>
    <w:div w:id="277183421">
      <w:bodyDiv w:val="1"/>
      <w:marLeft w:val="0"/>
      <w:marRight w:val="0"/>
      <w:marTop w:val="0"/>
      <w:marBottom w:val="0"/>
      <w:divBdr>
        <w:top w:val="none" w:sz="0" w:space="0" w:color="auto"/>
        <w:left w:val="none" w:sz="0" w:space="0" w:color="auto"/>
        <w:bottom w:val="none" w:sz="0" w:space="0" w:color="auto"/>
        <w:right w:val="none" w:sz="0" w:space="0" w:color="auto"/>
      </w:divBdr>
    </w:div>
    <w:div w:id="277222366">
      <w:bodyDiv w:val="1"/>
      <w:marLeft w:val="0"/>
      <w:marRight w:val="0"/>
      <w:marTop w:val="0"/>
      <w:marBottom w:val="0"/>
      <w:divBdr>
        <w:top w:val="none" w:sz="0" w:space="0" w:color="auto"/>
        <w:left w:val="none" w:sz="0" w:space="0" w:color="auto"/>
        <w:bottom w:val="none" w:sz="0" w:space="0" w:color="auto"/>
        <w:right w:val="none" w:sz="0" w:space="0" w:color="auto"/>
      </w:divBdr>
    </w:div>
    <w:div w:id="277301046">
      <w:bodyDiv w:val="1"/>
      <w:marLeft w:val="0"/>
      <w:marRight w:val="0"/>
      <w:marTop w:val="0"/>
      <w:marBottom w:val="0"/>
      <w:divBdr>
        <w:top w:val="none" w:sz="0" w:space="0" w:color="auto"/>
        <w:left w:val="none" w:sz="0" w:space="0" w:color="auto"/>
        <w:bottom w:val="none" w:sz="0" w:space="0" w:color="auto"/>
        <w:right w:val="none" w:sz="0" w:space="0" w:color="auto"/>
      </w:divBdr>
    </w:div>
    <w:div w:id="277373800">
      <w:bodyDiv w:val="1"/>
      <w:marLeft w:val="0"/>
      <w:marRight w:val="0"/>
      <w:marTop w:val="0"/>
      <w:marBottom w:val="0"/>
      <w:divBdr>
        <w:top w:val="none" w:sz="0" w:space="0" w:color="auto"/>
        <w:left w:val="none" w:sz="0" w:space="0" w:color="auto"/>
        <w:bottom w:val="none" w:sz="0" w:space="0" w:color="auto"/>
        <w:right w:val="none" w:sz="0" w:space="0" w:color="auto"/>
      </w:divBdr>
    </w:div>
    <w:div w:id="277375449">
      <w:bodyDiv w:val="1"/>
      <w:marLeft w:val="0"/>
      <w:marRight w:val="0"/>
      <w:marTop w:val="0"/>
      <w:marBottom w:val="0"/>
      <w:divBdr>
        <w:top w:val="none" w:sz="0" w:space="0" w:color="auto"/>
        <w:left w:val="none" w:sz="0" w:space="0" w:color="auto"/>
        <w:bottom w:val="none" w:sz="0" w:space="0" w:color="auto"/>
        <w:right w:val="none" w:sz="0" w:space="0" w:color="auto"/>
      </w:divBdr>
    </w:div>
    <w:div w:id="277491118">
      <w:bodyDiv w:val="1"/>
      <w:marLeft w:val="0"/>
      <w:marRight w:val="0"/>
      <w:marTop w:val="0"/>
      <w:marBottom w:val="0"/>
      <w:divBdr>
        <w:top w:val="none" w:sz="0" w:space="0" w:color="auto"/>
        <w:left w:val="none" w:sz="0" w:space="0" w:color="auto"/>
        <w:bottom w:val="none" w:sz="0" w:space="0" w:color="auto"/>
        <w:right w:val="none" w:sz="0" w:space="0" w:color="auto"/>
      </w:divBdr>
    </w:div>
    <w:div w:id="277496359">
      <w:bodyDiv w:val="1"/>
      <w:marLeft w:val="0"/>
      <w:marRight w:val="0"/>
      <w:marTop w:val="0"/>
      <w:marBottom w:val="0"/>
      <w:divBdr>
        <w:top w:val="none" w:sz="0" w:space="0" w:color="auto"/>
        <w:left w:val="none" w:sz="0" w:space="0" w:color="auto"/>
        <w:bottom w:val="none" w:sz="0" w:space="0" w:color="auto"/>
        <w:right w:val="none" w:sz="0" w:space="0" w:color="auto"/>
      </w:divBdr>
    </w:div>
    <w:div w:id="277564561">
      <w:bodyDiv w:val="1"/>
      <w:marLeft w:val="0"/>
      <w:marRight w:val="0"/>
      <w:marTop w:val="0"/>
      <w:marBottom w:val="0"/>
      <w:divBdr>
        <w:top w:val="none" w:sz="0" w:space="0" w:color="auto"/>
        <w:left w:val="none" w:sz="0" w:space="0" w:color="auto"/>
        <w:bottom w:val="none" w:sz="0" w:space="0" w:color="auto"/>
        <w:right w:val="none" w:sz="0" w:space="0" w:color="auto"/>
      </w:divBdr>
    </w:div>
    <w:div w:id="277612800">
      <w:bodyDiv w:val="1"/>
      <w:marLeft w:val="0"/>
      <w:marRight w:val="0"/>
      <w:marTop w:val="0"/>
      <w:marBottom w:val="0"/>
      <w:divBdr>
        <w:top w:val="none" w:sz="0" w:space="0" w:color="auto"/>
        <w:left w:val="none" w:sz="0" w:space="0" w:color="auto"/>
        <w:bottom w:val="none" w:sz="0" w:space="0" w:color="auto"/>
        <w:right w:val="none" w:sz="0" w:space="0" w:color="auto"/>
      </w:divBdr>
    </w:div>
    <w:div w:id="277613990">
      <w:bodyDiv w:val="1"/>
      <w:marLeft w:val="0"/>
      <w:marRight w:val="0"/>
      <w:marTop w:val="0"/>
      <w:marBottom w:val="0"/>
      <w:divBdr>
        <w:top w:val="none" w:sz="0" w:space="0" w:color="auto"/>
        <w:left w:val="none" w:sz="0" w:space="0" w:color="auto"/>
        <w:bottom w:val="none" w:sz="0" w:space="0" w:color="auto"/>
        <w:right w:val="none" w:sz="0" w:space="0" w:color="auto"/>
      </w:divBdr>
    </w:div>
    <w:div w:id="277686669">
      <w:bodyDiv w:val="1"/>
      <w:marLeft w:val="0"/>
      <w:marRight w:val="0"/>
      <w:marTop w:val="0"/>
      <w:marBottom w:val="0"/>
      <w:divBdr>
        <w:top w:val="none" w:sz="0" w:space="0" w:color="auto"/>
        <w:left w:val="none" w:sz="0" w:space="0" w:color="auto"/>
        <w:bottom w:val="none" w:sz="0" w:space="0" w:color="auto"/>
        <w:right w:val="none" w:sz="0" w:space="0" w:color="auto"/>
      </w:divBdr>
    </w:div>
    <w:div w:id="277757741">
      <w:bodyDiv w:val="1"/>
      <w:marLeft w:val="0"/>
      <w:marRight w:val="0"/>
      <w:marTop w:val="0"/>
      <w:marBottom w:val="0"/>
      <w:divBdr>
        <w:top w:val="none" w:sz="0" w:space="0" w:color="auto"/>
        <w:left w:val="none" w:sz="0" w:space="0" w:color="auto"/>
        <w:bottom w:val="none" w:sz="0" w:space="0" w:color="auto"/>
        <w:right w:val="none" w:sz="0" w:space="0" w:color="auto"/>
      </w:divBdr>
    </w:div>
    <w:div w:id="277834712">
      <w:bodyDiv w:val="1"/>
      <w:marLeft w:val="0"/>
      <w:marRight w:val="0"/>
      <w:marTop w:val="0"/>
      <w:marBottom w:val="0"/>
      <w:divBdr>
        <w:top w:val="none" w:sz="0" w:space="0" w:color="auto"/>
        <w:left w:val="none" w:sz="0" w:space="0" w:color="auto"/>
        <w:bottom w:val="none" w:sz="0" w:space="0" w:color="auto"/>
        <w:right w:val="none" w:sz="0" w:space="0" w:color="auto"/>
      </w:divBdr>
    </w:div>
    <w:div w:id="277952229">
      <w:bodyDiv w:val="1"/>
      <w:marLeft w:val="0"/>
      <w:marRight w:val="0"/>
      <w:marTop w:val="0"/>
      <w:marBottom w:val="0"/>
      <w:divBdr>
        <w:top w:val="none" w:sz="0" w:space="0" w:color="auto"/>
        <w:left w:val="none" w:sz="0" w:space="0" w:color="auto"/>
        <w:bottom w:val="none" w:sz="0" w:space="0" w:color="auto"/>
        <w:right w:val="none" w:sz="0" w:space="0" w:color="auto"/>
      </w:divBdr>
    </w:div>
    <w:div w:id="278029378">
      <w:bodyDiv w:val="1"/>
      <w:marLeft w:val="0"/>
      <w:marRight w:val="0"/>
      <w:marTop w:val="0"/>
      <w:marBottom w:val="0"/>
      <w:divBdr>
        <w:top w:val="none" w:sz="0" w:space="0" w:color="auto"/>
        <w:left w:val="none" w:sz="0" w:space="0" w:color="auto"/>
        <w:bottom w:val="none" w:sz="0" w:space="0" w:color="auto"/>
        <w:right w:val="none" w:sz="0" w:space="0" w:color="auto"/>
      </w:divBdr>
    </w:div>
    <w:div w:id="278222641">
      <w:bodyDiv w:val="1"/>
      <w:marLeft w:val="0"/>
      <w:marRight w:val="0"/>
      <w:marTop w:val="0"/>
      <w:marBottom w:val="0"/>
      <w:divBdr>
        <w:top w:val="none" w:sz="0" w:space="0" w:color="auto"/>
        <w:left w:val="none" w:sz="0" w:space="0" w:color="auto"/>
        <w:bottom w:val="none" w:sz="0" w:space="0" w:color="auto"/>
        <w:right w:val="none" w:sz="0" w:space="0" w:color="auto"/>
      </w:divBdr>
    </w:div>
    <w:div w:id="278296016">
      <w:bodyDiv w:val="1"/>
      <w:marLeft w:val="0"/>
      <w:marRight w:val="0"/>
      <w:marTop w:val="0"/>
      <w:marBottom w:val="0"/>
      <w:divBdr>
        <w:top w:val="none" w:sz="0" w:space="0" w:color="auto"/>
        <w:left w:val="none" w:sz="0" w:space="0" w:color="auto"/>
        <w:bottom w:val="none" w:sz="0" w:space="0" w:color="auto"/>
        <w:right w:val="none" w:sz="0" w:space="0" w:color="auto"/>
      </w:divBdr>
    </w:div>
    <w:div w:id="278338002">
      <w:bodyDiv w:val="1"/>
      <w:marLeft w:val="0"/>
      <w:marRight w:val="0"/>
      <w:marTop w:val="0"/>
      <w:marBottom w:val="0"/>
      <w:divBdr>
        <w:top w:val="none" w:sz="0" w:space="0" w:color="auto"/>
        <w:left w:val="none" w:sz="0" w:space="0" w:color="auto"/>
        <w:bottom w:val="none" w:sz="0" w:space="0" w:color="auto"/>
        <w:right w:val="none" w:sz="0" w:space="0" w:color="auto"/>
      </w:divBdr>
    </w:div>
    <w:div w:id="278339504">
      <w:bodyDiv w:val="1"/>
      <w:marLeft w:val="0"/>
      <w:marRight w:val="0"/>
      <w:marTop w:val="0"/>
      <w:marBottom w:val="0"/>
      <w:divBdr>
        <w:top w:val="none" w:sz="0" w:space="0" w:color="auto"/>
        <w:left w:val="none" w:sz="0" w:space="0" w:color="auto"/>
        <w:bottom w:val="none" w:sz="0" w:space="0" w:color="auto"/>
        <w:right w:val="none" w:sz="0" w:space="0" w:color="auto"/>
      </w:divBdr>
    </w:div>
    <w:div w:id="278344225">
      <w:bodyDiv w:val="1"/>
      <w:marLeft w:val="0"/>
      <w:marRight w:val="0"/>
      <w:marTop w:val="0"/>
      <w:marBottom w:val="0"/>
      <w:divBdr>
        <w:top w:val="none" w:sz="0" w:space="0" w:color="auto"/>
        <w:left w:val="none" w:sz="0" w:space="0" w:color="auto"/>
        <w:bottom w:val="none" w:sz="0" w:space="0" w:color="auto"/>
        <w:right w:val="none" w:sz="0" w:space="0" w:color="auto"/>
      </w:divBdr>
    </w:div>
    <w:div w:id="278414170">
      <w:bodyDiv w:val="1"/>
      <w:marLeft w:val="0"/>
      <w:marRight w:val="0"/>
      <w:marTop w:val="0"/>
      <w:marBottom w:val="0"/>
      <w:divBdr>
        <w:top w:val="none" w:sz="0" w:space="0" w:color="auto"/>
        <w:left w:val="none" w:sz="0" w:space="0" w:color="auto"/>
        <w:bottom w:val="none" w:sz="0" w:space="0" w:color="auto"/>
        <w:right w:val="none" w:sz="0" w:space="0" w:color="auto"/>
      </w:divBdr>
    </w:div>
    <w:div w:id="278415305">
      <w:bodyDiv w:val="1"/>
      <w:marLeft w:val="0"/>
      <w:marRight w:val="0"/>
      <w:marTop w:val="0"/>
      <w:marBottom w:val="0"/>
      <w:divBdr>
        <w:top w:val="none" w:sz="0" w:space="0" w:color="auto"/>
        <w:left w:val="none" w:sz="0" w:space="0" w:color="auto"/>
        <w:bottom w:val="none" w:sz="0" w:space="0" w:color="auto"/>
        <w:right w:val="none" w:sz="0" w:space="0" w:color="auto"/>
      </w:divBdr>
    </w:div>
    <w:div w:id="278494887">
      <w:bodyDiv w:val="1"/>
      <w:marLeft w:val="0"/>
      <w:marRight w:val="0"/>
      <w:marTop w:val="0"/>
      <w:marBottom w:val="0"/>
      <w:divBdr>
        <w:top w:val="none" w:sz="0" w:space="0" w:color="auto"/>
        <w:left w:val="none" w:sz="0" w:space="0" w:color="auto"/>
        <w:bottom w:val="none" w:sz="0" w:space="0" w:color="auto"/>
        <w:right w:val="none" w:sz="0" w:space="0" w:color="auto"/>
      </w:divBdr>
    </w:div>
    <w:div w:id="278529460">
      <w:bodyDiv w:val="1"/>
      <w:marLeft w:val="0"/>
      <w:marRight w:val="0"/>
      <w:marTop w:val="0"/>
      <w:marBottom w:val="0"/>
      <w:divBdr>
        <w:top w:val="none" w:sz="0" w:space="0" w:color="auto"/>
        <w:left w:val="none" w:sz="0" w:space="0" w:color="auto"/>
        <w:bottom w:val="none" w:sz="0" w:space="0" w:color="auto"/>
        <w:right w:val="none" w:sz="0" w:space="0" w:color="auto"/>
      </w:divBdr>
    </w:div>
    <w:div w:id="278530184">
      <w:bodyDiv w:val="1"/>
      <w:marLeft w:val="0"/>
      <w:marRight w:val="0"/>
      <w:marTop w:val="0"/>
      <w:marBottom w:val="0"/>
      <w:divBdr>
        <w:top w:val="none" w:sz="0" w:space="0" w:color="auto"/>
        <w:left w:val="none" w:sz="0" w:space="0" w:color="auto"/>
        <w:bottom w:val="none" w:sz="0" w:space="0" w:color="auto"/>
        <w:right w:val="none" w:sz="0" w:space="0" w:color="auto"/>
      </w:divBdr>
    </w:div>
    <w:div w:id="278537260">
      <w:bodyDiv w:val="1"/>
      <w:marLeft w:val="0"/>
      <w:marRight w:val="0"/>
      <w:marTop w:val="0"/>
      <w:marBottom w:val="0"/>
      <w:divBdr>
        <w:top w:val="none" w:sz="0" w:space="0" w:color="auto"/>
        <w:left w:val="none" w:sz="0" w:space="0" w:color="auto"/>
        <w:bottom w:val="none" w:sz="0" w:space="0" w:color="auto"/>
        <w:right w:val="none" w:sz="0" w:space="0" w:color="auto"/>
      </w:divBdr>
    </w:div>
    <w:div w:id="278538204">
      <w:bodyDiv w:val="1"/>
      <w:marLeft w:val="0"/>
      <w:marRight w:val="0"/>
      <w:marTop w:val="0"/>
      <w:marBottom w:val="0"/>
      <w:divBdr>
        <w:top w:val="none" w:sz="0" w:space="0" w:color="auto"/>
        <w:left w:val="none" w:sz="0" w:space="0" w:color="auto"/>
        <w:bottom w:val="none" w:sz="0" w:space="0" w:color="auto"/>
        <w:right w:val="none" w:sz="0" w:space="0" w:color="auto"/>
      </w:divBdr>
    </w:div>
    <w:div w:id="278613392">
      <w:bodyDiv w:val="1"/>
      <w:marLeft w:val="0"/>
      <w:marRight w:val="0"/>
      <w:marTop w:val="0"/>
      <w:marBottom w:val="0"/>
      <w:divBdr>
        <w:top w:val="none" w:sz="0" w:space="0" w:color="auto"/>
        <w:left w:val="none" w:sz="0" w:space="0" w:color="auto"/>
        <w:bottom w:val="none" w:sz="0" w:space="0" w:color="auto"/>
        <w:right w:val="none" w:sz="0" w:space="0" w:color="auto"/>
      </w:divBdr>
    </w:div>
    <w:div w:id="278613553">
      <w:bodyDiv w:val="1"/>
      <w:marLeft w:val="0"/>
      <w:marRight w:val="0"/>
      <w:marTop w:val="0"/>
      <w:marBottom w:val="0"/>
      <w:divBdr>
        <w:top w:val="none" w:sz="0" w:space="0" w:color="auto"/>
        <w:left w:val="none" w:sz="0" w:space="0" w:color="auto"/>
        <w:bottom w:val="none" w:sz="0" w:space="0" w:color="auto"/>
        <w:right w:val="none" w:sz="0" w:space="0" w:color="auto"/>
      </w:divBdr>
    </w:div>
    <w:div w:id="278682403">
      <w:bodyDiv w:val="1"/>
      <w:marLeft w:val="0"/>
      <w:marRight w:val="0"/>
      <w:marTop w:val="0"/>
      <w:marBottom w:val="0"/>
      <w:divBdr>
        <w:top w:val="none" w:sz="0" w:space="0" w:color="auto"/>
        <w:left w:val="none" w:sz="0" w:space="0" w:color="auto"/>
        <w:bottom w:val="none" w:sz="0" w:space="0" w:color="auto"/>
        <w:right w:val="none" w:sz="0" w:space="0" w:color="auto"/>
      </w:divBdr>
    </w:div>
    <w:div w:id="278683225">
      <w:bodyDiv w:val="1"/>
      <w:marLeft w:val="0"/>
      <w:marRight w:val="0"/>
      <w:marTop w:val="0"/>
      <w:marBottom w:val="0"/>
      <w:divBdr>
        <w:top w:val="none" w:sz="0" w:space="0" w:color="auto"/>
        <w:left w:val="none" w:sz="0" w:space="0" w:color="auto"/>
        <w:bottom w:val="none" w:sz="0" w:space="0" w:color="auto"/>
        <w:right w:val="none" w:sz="0" w:space="0" w:color="auto"/>
      </w:divBdr>
    </w:div>
    <w:div w:id="278951472">
      <w:bodyDiv w:val="1"/>
      <w:marLeft w:val="0"/>
      <w:marRight w:val="0"/>
      <w:marTop w:val="0"/>
      <w:marBottom w:val="0"/>
      <w:divBdr>
        <w:top w:val="none" w:sz="0" w:space="0" w:color="auto"/>
        <w:left w:val="none" w:sz="0" w:space="0" w:color="auto"/>
        <w:bottom w:val="none" w:sz="0" w:space="0" w:color="auto"/>
        <w:right w:val="none" w:sz="0" w:space="0" w:color="auto"/>
      </w:divBdr>
    </w:div>
    <w:div w:id="279148866">
      <w:bodyDiv w:val="1"/>
      <w:marLeft w:val="0"/>
      <w:marRight w:val="0"/>
      <w:marTop w:val="0"/>
      <w:marBottom w:val="0"/>
      <w:divBdr>
        <w:top w:val="none" w:sz="0" w:space="0" w:color="auto"/>
        <w:left w:val="none" w:sz="0" w:space="0" w:color="auto"/>
        <w:bottom w:val="none" w:sz="0" w:space="0" w:color="auto"/>
        <w:right w:val="none" w:sz="0" w:space="0" w:color="auto"/>
      </w:divBdr>
    </w:div>
    <w:div w:id="279260232">
      <w:bodyDiv w:val="1"/>
      <w:marLeft w:val="0"/>
      <w:marRight w:val="0"/>
      <w:marTop w:val="0"/>
      <w:marBottom w:val="0"/>
      <w:divBdr>
        <w:top w:val="none" w:sz="0" w:space="0" w:color="auto"/>
        <w:left w:val="none" w:sz="0" w:space="0" w:color="auto"/>
        <w:bottom w:val="none" w:sz="0" w:space="0" w:color="auto"/>
        <w:right w:val="none" w:sz="0" w:space="0" w:color="auto"/>
      </w:divBdr>
    </w:div>
    <w:div w:id="279263611">
      <w:bodyDiv w:val="1"/>
      <w:marLeft w:val="0"/>
      <w:marRight w:val="0"/>
      <w:marTop w:val="0"/>
      <w:marBottom w:val="0"/>
      <w:divBdr>
        <w:top w:val="none" w:sz="0" w:space="0" w:color="auto"/>
        <w:left w:val="none" w:sz="0" w:space="0" w:color="auto"/>
        <w:bottom w:val="none" w:sz="0" w:space="0" w:color="auto"/>
        <w:right w:val="none" w:sz="0" w:space="0" w:color="auto"/>
      </w:divBdr>
    </w:div>
    <w:div w:id="279267074">
      <w:bodyDiv w:val="1"/>
      <w:marLeft w:val="0"/>
      <w:marRight w:val="0"/>
      <w:marTop w:val="0"/>
      <w:marBottom w:val="0"/>
      <w:divBdr>
        <w:top w:val="none" w:sz="0" w:space="0" w:color="auto"/>
        <w:left w:val="none" w:sz="0" w:space="0" w:color="auto"/>
        <w:bottom w:val="none" w:sz="0" w:space="0" w:color="auto"/>
        <w:right w:val="none" w:sz="0" w:space="0" w:color="auto"/>
      </w:divBdr>
    </w:div>
    <w:div w:id="279335992">
      <w:bodyDiv w:val="1"/>
      <w:marLeft w:val="0"/>
      <w:marRight w:val="0"/>
      <w:marTop w:val="0"/>
      <w:marBottom w:val="0"/>
      <w:divBdr>
        <w:top w:val="none" w:sz="0" w:space="0" w:color="auto"/>
        <w:left w:val="none" w:sz="0" w:space="0" w:color="auto"/>
        <w:bottom w:val="none" w:sz="0" w:space="0" w:color="auto"/>
        <w:right w:val="none" w:sz="0" w:space="0" w:color="auto"/>
      </w:divBdr>
    </w:div>
    <w:div w:id="279341888">
      <w:bodyDiv w:val="1"/>
      <w:marLeft w:val="0"/>
      <w:marRight w:val="0"/>
      <w:marTop w:val="0"/>
      <w:marBottom w:val="0"/>
      <w:divBdr>
        <w:top w:val="none" w:sz="0" w:space="0" w:color="auto"/>
        <w:left w:val="none" w:sz="0" w:space="0" w:color="auto"/>
        <w:bottom w:val="none" w:sz="0" w:space="0" w:color="auto"/>
        <w:right w:val="none" w:sz="0" w:space="0" w:color="auto"/>
      </w:divBdr>
    </w:div>
    <w:div w:id="279342188">
      <w:bodyDiv w:val="1"/>
      <w:marLeft w:val="0"/>
      <w:marRight w:val="0"/>
      <w:marTop w:val="0"/>
      <w:marBottom w:val="0"/>
      <w:divBdr>
        <w:top w:val="none" w:sz="0" w:space="0" w:color="auto"/>
        <w:left w:val="none" w:sz="0" w:space="0" w:color="auto"/>
        <w:bottom w:val="none" w:sz="0" w:space="0" w:color="auto"/>
        <w:right w:val="none" w:sz="0" w:space="0" w:color="auto"/>
      </w:divBdr>
    </w:div>
    <w:div w:id="279461122">
      <w:bodyDiv w:val="1"/>
      <w:marLeft w:val="0"/>
      <w:marRight w:val="0"/>
      <w:marTop w:val="0"/>
      <w:marBottom w:val="0"/>
      <w:divBdr>
        <w:top w:val="none" w:sz="0" w:space="0" w:color="auto"/>
        <w:left w:val="none" w:sz="0" w:space="0" w:color="auto"/>
        <w:bottom w:val="none" w:sz="0" w:space="0" w:color="auto"/>
        <w:right w:val="none" w:sz="0" w:space="0" w:color="auto"/>
      </w:divBdr>
    </w:div>
    <w:div w:id="279462309">
      <w:bodyDiv w:val="1"/>
      <w:marLeft w:val="0"/>
      <w:marRight w:val="0"/>
      <w:marTop w:val="0"/>
      <w:marBottom w:val="0"/>
      <w:divBdr>
        <w:top w:val="none" w:sz="0" w:space="0" w:color="auto"/>
        <w:left w:val="none" w:sz="0" w:space="0" w:color="auto"/>
        <w:bottom w:val="none" w:sz="0" w:space="0" w:color="auto"/>
        <w:right w:val="none" w:sz="0" w:space="0" w:color="auto"/>
      </w:divBdr>
    </w:div>
    <w:div w:id="279603786">
      <w:bodyDiv w:val="1"/>
      <w:marLeft w:val="0"/>
      <w:marRight w:val="0"/>
      <w:marTop w:val="0"/>
      <w:marBottom w:val="0"/>
      <w:divBdr>
        <w:top w:val="none" w:sz="0" w:space="0" w:color="auto"/>
        <w:left w:val="none" w:sz="0" w:space="0" w:color="auto"/>
        <w:bottom w:val="none" w:sz="0" w:space="0" w:color="auto"/>
        <w:right w:val="none" w:sz="0" w:space="0" w:color="auto"/>
      </w:divBdr>
    </w:div>
    <w:div w:id="279724369">
      <w:bodyDiv w:val="1"/>
      <w:marLeft w:val="0"/>
      <w:marRight w:val="0"/>
      <w:marTop w:val="0"/>
      <w:marBottom w:val="0"/>
      <w:divBdr>
        <w:top w:val="none" w:sz="0" w:space="0" w:color="auto"/>
        <w:left w:val="none" w:sz="0" w:space="0" w:color="auto"/>
        <w:bottom w:val="none" w:sz="0" w:space="0" w:color="auto"/>
        <w:right w:val="none" w:sz="0" w:space="0" w:color="auto"/>
      </w:divBdr>
    </w:div>
    <w:div w:id="279730071">
      <w:bodyDiv w:val="1"/>
      <w:marLeft w:val="0"/>
      <w:marRight w:val="0"/>
      <w:marTop w:val="0"/>
      <w:marBottom w:val="0"/>
      <w:divBdr>
        <w:top w:val="none" w:sz="0" w:space="0" w:color="auto"/>
        <w:left w:val="none" w:sz="0" w:space="0" w:color="auto"/>
        <w:bottom w:val="none" w:sz="0" w:space="0" w:color="auto"/>
        <w:right w:val="none" w:sz="0" w:space="0" w:color="auto"/>
      </w:divBdr>
    </w:div>
    <w:div w:id="279801018">
      <w:bodyDiv w:val="1"/>
      <w:marLeft w:val="0"/>
      <w:marRight w:val="0"/>
      <w:marTop w:val="0"/>
      <w:marBottom w:val="0"/>
      <w:divBdr>
        <w:top w:val="none" w:sz="0" w:space="0" w:color="auto"/>
        <w:left w:val="none" w:sz="0" w:space="0" w:color="auto"/>
        <w:bottom w:val="none" w:sz="0" w:space="0" w:color="auto"/>
        <w:right w:val="none" w:sz="0" w:space="0" w:color="auto"/>
      </w:divBdr>
    </w:div>
    <w:div w:id="279847445">
      <w:bodyDiv w:val="1"/>
      <w:marLeft w:val="0"/>
      <w:marRight w:val="0"/>
      <w:marTop w:val="0"/>
      <w:marBottom w:val="0"/>
      <w:divBdr>
        <w:top w:val="none" w:sz="0" w:space="0" w:color="auto"/>
        <w:left w:val="none" w:sz="0" w:space="0" w:color="auto"/>
        <w:bottom w:val="none" w:sz="0" w:space="0" w:color="auto"/>
        <w:right w:val="none" w:sz="0" w:space="0" w:color="auto"/>
      </w:divBdr>
    </w:div>
    <w:div w:id="279997627">
      <w:bodyDiv w:val="1"/>
      <w:marLeft w:val="0"/>
      <w:marRight w:val="0"/>
      <w:marTop w:val="0"/>
      <w:marBottom w:val="0"/>
      <w:divBdr>
        <w:top w:val="none" w:sz="0" w:space="0" w:color="auto"/>
        <w:left w:val="none" w:sz="0" w:space="0" w:color="auto"/>
        <w:bottom w:val="none" w:sz="0" w:space="0" w:color="auto"/>
        <w:right w:val="none" w:sz="0" w:space="0" w:color="auto"/>
      </w:divBdr>
    </w:div>
    <w:div w:id="279998132">
      <w:bodyDiv w:val="1"/>
      <w:marLeft w:val="0"/>
      <w:marRight w:val="0"/>
      <w:marTop w:val="0"/>
      <w:marBottom w:val="0"/>
      <w:divBdr>
        <w:top w:val="none" w:sz="0" w:space="0" w:color="auto"/>
        <w:left w:val="none" w:sz="0" w:space="0" w:color="auto"/>
        <w:bottom w:val="none" w:sz="0" w:space="0" w:color="auto"/>
        <w:right w:val="none" w:sz="0" w:space="0" w:color="auto"/>
      </w:divBdr>
    </w:div>
    <w:div w:id="280042349">
      <w:bodyDiv w:val="1"/>
      <w:marLeft w:val="0"/>
      <w:marRight w:val="0"/>
      <w:marTop w:val="0"/>
      <w:marBottom w:val="0"/>
      <w:divBdr>
        <w:top w:val="none" w:sz="0" w:space="0" w:color="auto"/>
        <w:left w:val="none" w:sz="0" w:space="0" w:color="auto"/>
        <w:bottom w:val="none" w:sz="0" w:space="0" w:color="auto"/>
        <w:right w:val="none" w:sz="0" w:space="0" w:color="auto"/>
      </w:divBdr>
    </w:div>
    <w:div w:id="280108775">
      <w:bodyDiv w:val="1"/>
      <w:marLeft w:val="0"/>
      <w:marRight w:val="0"/>
      <w:marTop w:val="0"/>
      <w:marBottom w:val="0"/>
      <w:divBdr>
        <w:top w:val="none" w:sz="0" w:space="0" w:color="auto"/>
        <w:left w:val="none" w:sz="0" w:space="0" w:color="auto"/>
        <w:bottom w:val="none" w:sz="0" w:space="0" w:color="auto"/>
        <w:right w:val="none" w:sz="0" w:space="0" w:color="auto"/>
      </w:divBdr>
    </w:div>
    <w:div w:id="280187789">
      <w:bodyDiv w:val="1"/>
      <w:marLeft w:val="0"/>
      <w:marRight w:val="0"/>
      <w:marTop w:val="0"/>
      <w:marBottom w:val="0"/>
      <w:divBdr>
        <w:top w:val="none" w:sz="0" w:space="0" w:color="auto"/>
        <w:left w:val="none" w:sz="0" w:space="0" w:color="auto"/>
        <w:bottom w:val="none" w:sz="0" w:space="0" w:color="auto"/>
        <w:right w:val="none" w:sz="0" w:space="0" w:color="auto"/>
      </w:divBdr>
    </w:div>
    <w:div w:id="280232016">
      <w:bodyDiv w:val="1"/>
      <w:marLeft w:val="0"/>
      <w:marRight w:val="0"/>
      <w:marTop w:val="0"/>
      <w:marBottom w:val="0"/>
      <w:divBdr>
        <w:top w:val="none" w:sz="0" w:space="0" w:color="auto"/>
        <w:left w:val="none" w:sz="0" w:space="0" w:color="auto"/>
        <w:bottom w:val="none" w:sz="0" w:space="0" w:color="auto"/>
        <w:right w:val="none" w:sz="0" w:space="0" w:color="auto"/>
      </w:divBdr>
    </w:div>
    <w:div w:id="280260338">
      <w:bodyDiv w:val="1"/>
      <w:marLeft w:val="0"/>
      <w:marRight w:val="0"/>
      <w:marTop w:val="0"/>
      <w:marBottom w:val="0"/>
      <w:divBdr>
        <w:top w:val="none" w:sz="0" w:space="0" w:color="auto"/>
        <w:left w:val="none" w:sz="0" w:space="0" w:color="auto"/>
        <w:bottom w:val="none" w:sz="0" w:space="0" w:color="auto"/>
        <w:right w:val="none" w:sz="0" w:space="0" w:color="auto"/>
      </w:divBdr>
    </w:div>
    <w:div w:id="280262396">
      <w:bodyDiv w:val="1"/>
      <w:marLeft w:val="0"/>
      <w:marRight w:val="0"/>
      <w:marTop w:val="0"/>
      <w:marBottom w:val="0"/>
      <w:divBdr>
        <w:top w:val="none" w:sz="0" w:space="0" w:color="auto"/>
        <w:left w:val="none" w:sz="0" w:space="0" w:color="auto"/>
        <w:bottom w:val="none" w:sz="0" w:space="0" w:color="auto"/>
        <w:right w:val="none" w:sz="0" w:space="0" w:color="auto"/>
      </w:divBdr>
    </w:div>
    <w:div w:id="280380651">
      <w:bodyDiv w:val="1"/>
      <w:marLeft w:val="0"/>
      <w:marRight w:val="0"/>
      <w:marTop w:val="0"/>
      <w:marBottom w:val="0"/>
      <w:divBdr>
        <w:top w:val="none" w:sz="0" w:space="0" w:color="auto"/>
        <w:left w:val="none" w:sz="0" w:space="0" w:color="auto"/>
        <w:bottom w:val="none" w:sz="0" w:space="0" w:color="auto"/>
        <w:right w:val="none" w:sz="0" w:space="0" w:color="auto"/>
      </w:divBdr>
    </w:div>
    <w:div w:id="280381451">
      <w:bodyDiv w:val="1"/>
      <w:marLeft w:val="0"/>
      <w:marRight w:val="0"/>
      <w:marTop w:val="0"/>
      <w:marBottom w:val="0"/>
      <w:divBdr>
        <w:top w:val="none" w:sz="0" w:space="0" w:color="auto"/>
        <w:left w:val="none" w:sz="0" w:space="0" w:color="auto"/>
        <w:bottom w:val="none" w:sz="0" w:space="0" w:color="auto"/>
        <w:right w:val="none" w:sz="0" w:space="0" w:color="auto"/>
      </w:divBdr>
    </w:div>
    <w:div w:id="280384198">
      <w:bodyDiv w:val="1"/>
      <w:marLeft w:val="0"/>
      <w:marRight w:val="0"/>
      <w:marTop w:val="0"/>
      <w:marBottom w:val="0"/>
      <w:divBdr>
        <w:top w:val="none" w:sz="0" w:space="0" w:color="auto"/>
        <w:left w:val="none" w:sz="0" w:space="0" w:color="auto"/>
        <w:bottom w:val="none" w:sz="0" w:space="0" w:color="auto"/>
        <w:right w:val="none" w:sz="0" w:space="0" w:color="auto"/>
      </w:divBdr>
    </w:div>
    <w:div w:id="280454009">
      <w:bodyDiv w:val="1"/>
      <w:marLeft w:val="0"/>
      <w:marRight w:val="0"/>
      <w:marTop w:val="0"/>
      <w:marBottom w:val="0"/>
      <w:divBdr>
        <w:top w:val="none" w:sz="0" w:space="0" w:color="auto"/>
        <w:left w:val="none" w:sz="0" w:space="0" w:color="auto"/>
        <w:bottom w:val="none" w:sz="0" w:space="0" w:color="auto"/>
        <w:right w:val="none" w:sz="0" w:space="0" w:color="auto"/>
      </w:divBdr>
    </w:div>
    <w:div w:id="280571180">
      <w:bodyDiv w:val="1"/>
      <w:marLeft w:val="0"/>
      <w:marRight w:val="0"/>
      <w:marTop w:val="0"/>
      <w:marBottom w:val="0"/>
      <w:divBdr>
        <w:top w:val="none" w:sz="0" w:space="0" w:color="auto"/>
        <w:left w:val="none" w:sz="0" w:space="0" w:color="auto"/>
        <w:bottom w:val="none" w:sz="0" w:space="0" w:color="auto"/>
        <w:right w:val="none" w:sz="0" w:space="0" w:color="auto"/>
      </w:divBdr>
    </w:div>
    <w:div w:id="280572550">
      <w:bodyDiv w:val="1"/>
      <w:marLeft w:val="0"/>
      <w:marRight w:val="0"/>
      <w:marTop w:val="0"/>
      <w:marBottom w:val="0"/>
      <w:divBdr>
        <w:top w:val="none" w:sz="0" w:space="0" w:color="auto"/>
        <w:left w:val="none" w:sz="0" w:space="0" w:color="auto"/>
        <w:bottom w:val="none" w:sz="0" w:space="0" w:color="auto"/>
        <w:right w:val="none" w:sz="0" w:space="0" w:color="auto"/>
      </w:divBdr>
    </w:div>
    <w:div w:id="280574232">
      <w:bodyDiv w:val="1"/>
      <w:marLeft w:val="0"/>
      <w:marRight w:val="0"/>
      <w:marTop w:val="0"/>
      <w:marBottom w:val="0"/>
      <w:divBdr>
        <w:top w:val="none" w:sz="0" w:space="0" w:color="auto"/>
        <w:left w:val="none" w:sz="0" w:space="0" w:color="auto"/>
        <w:bottom w:val="none" w:sz="0" w:space="0" w:color="auto"/>
        <w:right w:val="none" w:sz="0" w:space="0" w:color="auto"/>
      </w:divBdr>
    </w:div>
    <w:div w:id="280579955">
      <w:bodyDiv w:val="1"/>
      <w:marLeft w:val="0"/>
      <w:marRight w:val="0"/>
      <w:marTop w:val="0"/>
      <w:marBottom w:val="0"/>
      <w:divBdr>
        <w:top w:val="none" w:sz="0" w:space="0" w:color="auto"/>
        <w:left w:val="none" w:sz="0" w:space="0" w:color="auto"/>
        <w:bottom w:val="none" w:sz="0" w:space="0" w:color="auto"/>
        <w:right w:val="none" w:sz="0" w:space="0" w:color="auto"/>
      </w:divBdr>
    </w:div>
    <w:div w:id="280652893">
      <w:bodyDiv w:val="1"/>
      <w:marLeft w:val="0"/>
      <w:marRight w:val="0"/>
      <w:marTop w:val="0"/>
      <w:marBottom w:val="0"/>
      <w:divBdr>
        <w:top w:val="none" w:sz="0" w:space="0" w:color="auto"/>
        <w:left w:val="none" w:sz="0" w:space="0" w:color="auto"/>
        <w:bottom w:val="none" w:sz="0" w:space="0" w:color="auto"/>
        <w:right w:val="none" w:sz="0" w:space="0" w:color="auto"/>
      </w:divBdr>
    </w:div>
    <w:div w:id="280773184">
      <w:bodyDiv w:val="1"/>
      <w:marLeft w:val="0"/>
      <w:marRight w:val="0"/>
      <w:marTop w:val="0"/>
      <w:marBottom w:val="0"/>
      <w:divBdr>
        <w:top w:val="none" w:sz="0" w:space="0" w:color="auto"/>
        <w:left w:val="none" w:sz="0" w:space="0" w:color="auto"/>
        <w:bottom w:val="none" w:sz="0" w:space="0" w:color="auto"/>
        <w:right w:val="none" w:sz="0" w:space="0" w:color="auto"/>
      </w:divBdr>
    </w:div>
    <w:div w:id="280842249">
      <w:bodyDiv w:val="1"/>
      <w:marLeft w:val="0"/>
      <w:marRight w:val="0"/>
      <w:marTop w:val="0"/>
      <w:marBottom w:val="0"/>
      <w:divBdr>
        <w:top w:val="none" w:sz="0" w:space="0" w:color="auto"/>
        <w:left w:val="none" w:sz="0" w:space="0" w:color="auto"/>
        <w:bottom w:val="none" w:sz="0" w:space="0" w:color="auto"/>
        <w:right w:val="none" w:sz="0" w:space="0" w:color="auto"/>
      </w:divBdr>
    </w:div>
    <w:div w:id="280890960">
      <w:bodyDiv w:val="1"/>
      <w:marLeft w:val="0"/>
      <w:marRight w:val="0"/>
      <w:marTop w:val="0"/>
      <w:marBottom w:val="0"/>
      <w:divBdr>
        <w:top w:val="none" w:sz="0" w:space="0" w:color="auto"/>
        <w:left w:val="none" w:sz="0" w:space="0" w:color="auto"/>
        <w:bottom w:val="none" w:sz="0" w:space="0" w:color="auto"/>
        <w:right w:val="none" w:sz="0" w:space="0" w:color="auto"/>
      </w:divBdr>
    </w:div>
    <w:div w:id="281307226">
      <w:bodyDiv w:val="1"/>
      <w:marLeft w:val="0"/>
      <w:marRight w:val="0"/>
      <w:marTop w:val="0"/>
      <w:marBottom w:val="0"/>
      <w:divBdr>
        <w:top w:val="none" w:sz="0" w:space="0" w:color="auto"/>
        <w:left w:val="none" w:sz="0" w:space="0" w:color="auto"/>
        <w:bottom w:val="none" w:sz="0" w:space="0" w:color="auto"/>
        <w:right w:val="none" w:sz="0" w:space="0" w:color="auto"/>
      </w:divBdr>
    </w:div>
    <w:div w:id="281348799">
      <w:bodyDiv w:val="1"/>
      <w:marLeft w:val="0"/>
      <w:marRight w:val="0"/>
      <w:marTop w:val="0"/>
      <w:marBottom w:val="0"/>
      <w:divBdr>
        <w:top w:val="none" w:sz="0" w:space="0" w:color="auto"/>
        <w:left w:val="none" w:sz="0" w:space="0" w:color="auto"/>
        <w:bottom w:val="none" w:sz="0" w:space="0" w:color="auto"/>
        <w:right w:val="none" w:sz="0" w:space="0" w:color="auto"/>
      </w:divBdr>
    </w:div>
    <w:div w:id="281350443">
      <w:bodyDiv w:val="1"/>
      <w:marLeft w:val="0"/>
      <w:marRight w:val="0"/>
      <w:marTop w:val="0"/>
      <w:marBottom w:val="0"/>
      <w:divBdr>
        <w:top w:val="none" w:sz="0" w:space="0" w:color="auto"/>
        <w:left w:val="none" w:sz="0" w:space="0" w:color="auto"/>
        <w:bottom w:val="none" w:sz="0" w:space="0" w:color="auto"/>
        <w:right w:val="none" w:sz="0" w:space="0" w:color="auto"/>
      </w:divBdr>
    </w:div>
    <w:div w:id="281351862">
      <w:bodyDiv w:val="1"/>
      <w:marLeft w:val="0"/>
      <w:marRight w:val="0"/>
      <w:marTop w:val="0"/>
      <w:marBottom w:val="0"/>
      <w:divBdr>
        <w:top w:val="none" w:sz="0" w:space="0" w:color="auto"/>
        <w:left w:val="none" w:sz="0" w:space="0" w:color="auto"/>
        <w:bottom w:val="none" w:sz="0" w:space="0" w:color="auto"/>
        <w:right w:val="none" w:sz="0" w:space="0" w:color="auto"/>
      </w:divBdr>
    </w:div>
    <w:div w:id="281352240">
      <w:bodyDiv w:val="1"/>
      <w:marLeft w:val="0"/>
      <w:marRight w:val="0"/>
      <w:marTop w:val="0"/>
      <w:marBottom w:val="0"/>
      <w:divBdr>
        <w:top w:val="none" w:sz="0" w:space="0" w:color="auto"/>
        <w:left w:val="none" w:sz="0" w:space="0" w:color="auto"/>
        <w:bottom w:val="none" w:sz="0" w:space="0" w:color="auto"/>
        <w:right w:val="none" w:sz="0" w:space="0" w:color="auto"/>
      </w:divBdr>
    </w:div>
    <w:div w:id="281501160">
      <w:bodyDiv w:val="1"/>
      <w:marLeft w:val="0"/>
      <w:marRight w:val="0"/>
      <w:marTop w:val="0"/>
      <w:marBottom w:val="0"/>
      <w:divBdr>
        <w:top w:val="none" w:sz="0" w:space="0" w:color="auto"/>
        <w:left w:val="none" w:sz="0" w:space="0" w:color="auto"/>
        <w:bottom w:val="none" w:sz="0" w:space="0" w:color="auto"/>
        <w:right w:val="none" w:sz="0" w:space="0" w:color="auto"/>
      </w:divBdr>
    </w:div>
    <w:div w:id="281612462">
      <w:bodyDiv w:val="1"/>
      <w:marLeft w:val="0"/>
      <w:marRight w:val="0"/>
      <w:marTop w:val="0"/>
      <w:marBottom w:val="0"/>
      <w:divBdr>
        <w:top w:val="none" w:sz="0" w:space="0" w:color="auto"/>
        <w:left w:val="none" w:sz="0" w:space="0" w:color="auto"/>
        <w:bottom w:val="none" w:sz="0" w:space="0" w:color="auto"/>
        <w:right w:val="none" w:sz="0" w:space="0" w:color="auto"/>
      </w:divBdr>
    </w:div>
    <w:div w:id="281692667">
      <w:bodyDiv w:val="1"/>
      <w:marLeft w:val="0"/>
      <w:marRight w:val="0"/>
      <w:marTop w:val="0"/>
      <w:marBottom w:val="0"/>
      <w:divBdr>
        <w:top w:val="none" w:sz="0" w:space="0" w:color="auto"/>
        <w:left w:val="none" w:sz="0" w:space="0" w:color="auto"/>
        <w:bottom w:val="none" w:sz="0" w:space="0" w:color="auto"/>
        <w:right w:val="none" w:sz="0" w:space="0" w:color="auto"/>
      </w:divBdr>
    </w:div>
    <w:div w:id="281766117">
      <w:bodyDiv w:val="1"/>
      <w:marLeft w:val="0"/>
      <w:marRight w:val="0"/>
      <w:marTop w:val="0"/>
      <w:marBottom w:val="0"/>
      <w:divBdr>
        <w:top w:val="none" w:sz="0" w:space="0" w:color="auto"/>
        <w:left w:val="none" w:sz="0" w:space="0" w:color="auto"/>
        <w:bottom w:val="none" w:sz="0" w:space="0" w:color="auto"/>
        <w:right w:val="none" w:sz="0" w:space="0" w:color="auto"/>
      </w:divBdr>
    </w:div>
    <w:div w:id="281767910">
      <w:bodyDiv w:val="1"/>
      <w:marLeft w:val="0"/>
      <w:marRight w:val="0"/>
      <w:marTop w:val="0"/>
      <w:marBottom w:val="0"/>
      <w:divBdr>
        <w:top w:val="none" w:sz="0" w:space="0" w:color="auto"/>
        <w:left w:val="none" w:sz="0" w:space="0" w:color="auto"/>
        <w:bottom w:val="none" w:sz="0" w:space="0" w:color="auto"/>
        <w:right w:val="none" w:sz="0" w:space="0" w:color="auto"/>
      </w:divBdr>
    </w:div>
    <w:div w:id="281807676">
      <w:bodyDiv w:val="1"/>
      <w:marLeft w:val="0"/>
      <w:marRight w:val="0"/>
      <w:marTop w:val="0"/>
      <w:marBottom w:val="0"/>
      <w:divBdr>
        <w:top w:val="none" w:sz="0" w:space="0" w:color="auto"/>
        <w:left w:val="none" w:sz="0" w:space="0" w:color="auto"/>
        <w:bottom w:val="none" w:sz="0" w:space="0" w:color="auto"/>
        <w:right w:val="none" w:sz="0" w:space="0" w:color="auto"/>
      </w:divBdr>
    </w:div>
    <w:div w:id="281814358">
      <w:bodyDiv w:val="1"/>
      <w:marLeft w:val="0"/>
      <w:marRight w:val="0"/>
      <w:marTop w:val="0"/>
      <w:marBottom w:val="0"/>
      <w:divBdr>
        <w:top w:val="none" w:sz="0" w:space="0" w:color="auto"/>
        <w:left w:val="none" w:sz="0" w:space="0" w:color="auto"/>
        <w:bottom w:val="none" w:sz="0" w:space="0" w:color="auto"/>
        <w:right w:val="none" w:sz="0" w:space="0" w:color="auto"/>
      </w:divBdr>
    </w:div>
    <w:div w:id="281881980">
      <w:bodyDiv w:val="1"/>
      <w:marLeft w:val="0"/>
      <w:marRight w:val="0"/>
      <w:marTop w:val="0"/>
      <w:marBottom w:val="0"/>
      <w:divBdr>
        <w:top w:val="none" w:sz="0" w:space="0" w:color="auto"/>
        <w:left w:val="none" w:sz="0" w:space="0" w:color="auto"/>
        <w:bottom w:val="none" w:sz="0" w:space="0" w:color="auto"/>
        <w:right w:val="none" w:sz="0" w:space="0" w:color="auto"/>
      </w:divBdr>
    </w:div>
    <w:div w:id="281883423">
      <w:bodyDiv w:val="1"/>
      <w:marLeft w:val="0"/>
      <w:marRight w:val="0"/>
      <w:marTop w:val="0"/>
      <w:marBottom w:val="0"/>
      <w:divBdr>
        <w:top w:val="none" w:sz="0" w:space="0" w:color="auto"/>
        <w:left w:val="none" w:sz="0" w:space="0" w:color="auto"/>
        <w:bottom w:val="none" w:sz="0" w:space="0" w:color="auto"/>
        <w:right w:val="none" w:sz="0" w:space="0" w:color="auto"/>
      </w:divBdr>
    </w:div>
    <w:div w:id="281963851">
      <w:bodyDiv w:val="1"/>
      <w:marLeft w:val="0"/>
      <w:marRight w:val="0"/>
      <w:marTop w:val="0"/>
      <w:marBottom w:val="0"/>
      <w:divBdr>
        <w:top w:val="none" w:sz="0" w:space="0" w:color="auto"/>
        <w:left w:val="none" w:sz="0" w:space="0" w:color="auto"/>
        <w:bottom w:val="none" w:sz="0" w:space="0" w:color="auto"/>
        <w:right w:val="none" w:sz="0" w:space="0" w:color="auto"/>
      </w:divBdr>
    </w:div>
    <w:div w:id="282153667">
      <w:bodyDiv w:val="1"/>
      <w:marLeft w:val="0"/>
      <w:marRight w:val="0"/>
      <w:marTop w:val="0"/>
      <w:marBottom w:val="0"/>
      <w:divBdr>
        <w:top w:val="none" w:sz="0" w:space="0" w:color="auto"/>
        <w:left w:val="none" w:sz="0" w:space="0" w:color="auto"/>
        <w:bottom w:val="none" w:sz="0" w:space="0" w:color="auto"/>
        <w:right w:val="none" w:sz="0" w:space="0" w:color="auto"/>
      </w:divBdr>
    </w:div>
    <w:div w:id="282230034">
      <w:bodyDiv w:val="1"/>
      <w:marLeft w:val="0"/>
      <w:marRight w:val="0"/>
      <w:marTop w:val="0"/>
      <w:marBottom w:val="0"/>
      <w:divBdr>
        <w:top w:val="none" w:sz="0" w:space="0" w:color="auto"/>
        <w:left w:val="none" w:sz="0" w:space="0" w:color="auto"/>
        <w:bottom w:val="none" w:sz="0" w:space="0" w:color="auto"/>
        <w:right w:val="none" w:sz="0" w:space="0" w:color="auto"/>
      </w:divBdr>
    </w:div>
    <w:div w:id="282269637">
      <w:bodyDiv w:val="1"/>
      <w:marLeft w:val="0"/>
      <w:marRight w:val="0"/>
      <w:marTop w:val="0"/>
      <w:marBottom w:val="0"/>
      <w:divBdr>
        <w:top w:val="none" w:sz="0" w:space="0" w:color="auto"/>
        <w:left w:val="none" w:sz="0" w:space="0" w:color="auto"/>
        <w:bottom w:val="none" w:sz="0" w:space="0" w:color="auto"/>
        <w:right w:val="none" w:sz="0" w:space="0" w:color="auto"/>
      </w:divBdr>
    </w:div>
    <w:div w:id="282424080">
      <w:bodyDiv w:val="1"/>
      <w:marLeft w:val="0"/>
      <w:marRight w:val="0"/>
      <w:marTop w:val="0"/>
      <w:marBottom w:val="0"/>
      <w:divBdr>
        <w:top w:val="none" w:sz="0" w:space="0" w:color="auto"/>
        <w:left w:val="none" w:sz="0" w:space="0" w:color="auto"/>
        <w:bottom w:val="none" w:sz="0" w:space="0" w:color="auto"/>
        <w:right w:val="none" w:sz="0" w:space="0" w:color="auto"/>
      </w:divBdr>
    </w:div>
    <w:div w:id="282426099">
      <w:bodyDiv w:val="1"/>
      <w:marLeft w:val="0"/>
      <w:marRight w:val="0"/>
      <w:marTop w:val="0"/>
      <w:marBottom w:val="0"/>
      <w:divBdr>
        <w:top w:val="none" w:sz="0" w:space="0" w:color="auto"/>
        <w:left w:val="none" w:sz="0" w:space="0" w:color="auto"/>
        <w:bottom w:val="none" w:sz="0" w:space="0" w:color="auto"/>
        <w:right w:val="none" w:sz="0" w:space="0" w:color="auto"/>
      </w:divBdr>
    </w:div>
    <w:div w:id="282466005">
      <w:bodyDiv w:val="1"/>
      <w:marLeft w:val="0"/>
      <w:marRight w:val="0"/>
      <w:marTop w:val="0"/>
      <w:marBottom w:val="0"/>
      <w:divBdr>
        <w:top w:val="none" w:sz="0" w:space="0" w:color="auto"/>
        <w:left w:val="none" w:sz="0" w:space="0" w:color="auto"/>
        <w:bottom w:val="none" w:sz="0" w:space="0" w:color="auto"/>
        <w:right w:val="none" w:sz="0" w:space="0" w:color="auto"/>
      </w:divBdr>
    </w:div>
    <w:div w:id="282469570">
      <w:bodyDiv w:val="1"/>
      <w:marLeft w:val="0"/>
      <w:marRight w:val="0"/>
      <w:marTop w:val="0"/>
      <w:marBottom w:val="0"/>
      <w:divBdr>
        <w:top w:val="none" w:sz="0" w:space="0" w:color="auto"/>
        <w:left w:val="none" w:sz="0" w:space="0" w:color="auto"/>
        <w:bottom w:val="none" w:sz="0" w:space="0" w:color="auto"/>
        <w:right w:val="none" w:sz="0" w:space="0" w:color="auto"/>
      </w:divBdr>
    </w:div>
    <w:div w:id="282538582">
      <w:bodyDiv w:val="1"/>
      <w:marLeft w:val="0"/>
      <w:marRight w:val="0"/>
      <w:marTop w:val="0"/>
      <w:marBottom w:val="0"/>
      <w:divBdr>
        <w:top w:val="none" w:sz="0" w:space="0" w:color="auto"/>
        <w:left w:val="none" w:sz="0" w:space="0" w:color="auto"/>
        <w:bottom w:val="none" w:sz="0" w:space="0" w:color="auto"/>
        <w:right w:val="none" w:sz="0" w:space="0" w:color="auto"/>
      </w:divBdr>
    </w:div>
    <w:div w:id="282542847">
      <w:bodyDiv w:val="1"/>
      <w:marLeft w:val="0"/>
      <w:marRight w:val="0"/>
      <w:marTop w:val="0"/>
      <w:marBottom w:val="0"/>
      <w:divBdr>
        <w:top w:val="none" w:sz="0" w:space="0" w:color="auto"/>
        <w:left w:val="none" w:sz="0" w:space="0" w:color="auto"/>
        <w:bottom w:val="none" w:sz="0" w:space="0" w:color="auto"/>
        <w:right w:val="none" w:sz="0" w:space="0" w:color="auto"/>
      </w:divBdr>
    </w:div>
    <w:div w:id="282620454">
      <w:bodyDiv w:val="1"/>
      <w:marLeft w:val="0"/>
      <w:marRight w:val="0"/>
      <w:marTop w:val="0"/>
      <w:marBottom w:val="0"/>
      <w:divBdr>
        <w:top w:val="none" w:sz="0" w:space="0" w:color="auto"/>
        <w:left w:val="none" w:sz="0" w:space="0" w:color="auto"/>
        <w:bottom w:val="none" w:sz="0" w:space="0" w:color="auto"/>
        <w:right w:val="none" w:sz="0" w:space="0" w:color="auto"/>
      </w:divBdr>
    </w:div>
    <w:div w:id="282729709">
      <w:bodyDiv w:val="1"/>
      <w:marLeft w:val="0"/>
      <w:marRight w:val="0"/>
      <w:marTop w:val="0"/>
      <w:marBottom w:val="0"/>
      <w:divBdr>
        <w:top w:val="none" w:sz="0" w:space="0" w:color="auto"/>
        <w:left w:val="none" w:sz="0" w:space="0" w:color="auto"/>
        <w:bottom w:val="none" w:sz="0" w:space="0" w:color="auto"/>
        <w:right w:val="none" w:sz="0" w:space="0" w:color="auto"/>
      </w:divBdr>
    </w:div>
    <w:div w:id="282884012">
      <w:bodyDiv w:val="1"/>
      <w:marLeft w:val="0"/>
      <w:marRight w:val="0"/>
      <w:marTop w:val="0"/>
      <w:marBottom w:val="0"/>
      <w:divBdr>
        <w:top w:val="none" w:sz="0" w:space="0" w:color="auto"/>
        <w:left w:val="none" w:sz="0" w:space="0" w:color="auto"/>
        <w:bottom w:val="none" w:sz="0" w:space="0" w:color="auto"/>
        <w:right w:val="none" w:sz="0" w:space="0" w:color="auto"/>
      </w:divBdr>
    </w:div>
    <w:div w:id="283007463">
      <w:bodyDiv w:val="1"/>
      <w:marLeft w:val="0"/>
      <w:marRight w:val="0"/>
      <w:marTop w:val="0"/>
      <w:marBottom w:val="0"/>
      <w:divBdr>
        <w:top w:val="none" w:sz="0" w:space="0" w:color="auto"/>
        <w:left w:val="none" w:sz="0" w:space="0" w:color="auto"/>
        <w:bottom w:val="none" w:sz="0" w:space="0" w:color="auto"/>
        <w:right w:val="none" w:sz="0" w:space="0" w:color="auto"/>
      </w:divBdr>
    </w:div>
    <w:div w:id="283080264">
      <w:bodyDiv w:val="1"/>
      <w:marLeft w:val="0"/>
      <w:marRight w:val="0"/>
      <w:marTop w:val="0"/>
      <w:marBottom w:val="0"/>
      <w:divBdr>
        <w:top w:val="none" w:sz="0" w:space="0" w:color="auto"/>
        <w:left w:val="none" w:sz="0" w:space="0" w:color="auto"/>
        <w:bottom w:val="none" w:sz="0" w:space="0" w:color="auto"/>
        <w:right w:val="none" w:sz="0" w:space="0" w:color="auto"/>
      </w:divBdr>
    </w:div>
    <w:div w:id="283080299">
      <w:bodyDiv w:val="1"/>
      <w:marLeft w:val="0"/>
      <w:marRight w:val="0"/>
      <w:marTop w:val="0"/>
      <w:marBottom w:val="0"/>
      <w:divBdr>
        <w:top w:val="none" w:sz="0" w:space="0" w:color="auto"/>
        <w:left w:val="none" w:sz="0" w:space="0" w:color="auto"/>
        <w:bottom w:val="none" w:sz="0" w:space="0" w:color="auto"/>
        <w:right w:val="none" w:sz="0" w:space="0" w:color="auto"/>
      </w:divBdr>
    </w:div>
    <w:div w:id="283119220">
      <w:bodyDiv w:val="1"/>
      <w:marLeft w:val="0"/>
      <w:marRight w:val="0"/>
      <w:marTop w:val="0"/>
      <w:marBottom w:val="0"/>
      <w:divBdr>
        <w:top w:val="none" w:sz="0" w:space="0" w:color="auto"/>
        <w:left w:val="none" w:sz="0" w:space="0" w:color="auto"/>
        <w:bottom w:val="none" w:sz="0" w:space="0" w:color="auto"/>
        <w:right w:val="none" w:sz="0" w:space="0" w:color="auto"/>
      </w:divBdr>
    </w:div>
    <w:div w:id="283191422">
      <w:bodyDiv w:val="1"/>
      <w:marLeft w:val="0"/>
      <w:marRight w:val="0"/>
      <w:marTop w:val="0"/>
      <w:marBottom w:val="0"/>
      <w:divBdr>
        <w:top w:val="none" w:sz="0" w:space="0" w:color="auto"/>
        <w:left w:val="none" w:sz="0" w:space="0" w:color="auto"/>
        <w:bottom w:val="none" w:sz="0" w:space="0" w:color="auto"/>
        <w:right w:val="none" w:sz="0" w:space="0" w:color="auto"/>
      </w:divBdr>
    </w:div>
    <w:div w:id="283194479">
      <w:bodyDiv w:val="1"/>
      <w:marLeft w:val="0"/>
      <w:marRight w:val="0"/>
      <w:marTop w:val="0"/>
      <w:marBottom w:val="0"/>
      <w:divBdr>
        <w:top w:val="none" w:sz="0" w:space="0" w:color="auto"/>
        <w:left w:val="none" w:sz="0" w:space="0" w:color="auto"/>
        <w:bottom w:val="none" w:sz="0" w:space="0" w:color="auto"/>
        <w:right w:val="none" w:sz="0" w:space="0" w:color="auto"/>
      </w:divBdr>
    </w:div>
    <w:div w:id="283200435">
      <w:bodyDiv w:val="1"/>
      <w:marLeft w:val="0"/>
      <w:marRight w:val="0"/>
      <w:marTop w:val="0"/>
      <w:marBottom w:val="0"/>
      <w:divBdr>
        <w:top w:val="none" w:sz="0" w:space="0" w:color="auto"/>
        <w:left w:val="none" w:sz="0" w:space="0" w:color="auto"/>
        <w:bottom w:val="none" w:sz="0" w:space="0" w:color="auto"/>
        <w:right w:val="none" w:sz="0" w:space="0" w:color="auto"/>
      </w:divBdr>
    </w:div>
    <w:div w:id="283312885">
      <w:bodyDiv w:val="1"/>
      <w:marLeft w:val="0"/>
      <w:marRight w:val="0"/>
      <w:marTop w:val="0"/>
      <w:marBottom w:val="0"/>
      <w:divBdr>
        <w:top w:val="none" w:sz="0" w:space="0" w:color="auto"/>
        <w:left w:val="none" w:sz="0" w:space="0" w:color="auto"/>
        <w:bottom w:val="none" w:sz="0" w:space="0" w:color="auto"/>
        <w:right w:val="none" w:sz="0" w:space="0" w:color="auto"/>
      </w:divBdr>
    </w:div>
    <w:div w:id="283579205">
      <w:bodyDiv w:val="1"/>
      <w:marLeft w:val="0"/>
      <w:marRight w:val="0"/>
      <w:marTop w:val="0"/>
      <w:marBottom w:val="0"/>
      <w:divBdr>
        <w:top w:val="none" w:sz="0" w:space="0" w:color="auto"/>
        <w:left w:val="none" w:sz="0" w:space="0" w:color="auto"/>
        <w:bottom w:val="none" w:sz="0" w:space="0" w:color="auto"/>
        <w:right w:val="none" w:sz="0" w:space="0" w:color="auto"/>
      </w:divBdr>
    </w:div>
    <w:div w:id="283584135">
      <w:bodyDiv w:val="1"/>
      <w:marLeft w:val="0"/>
      <w:marRight w:val="0"/>
      <w:marTop w:val="0"/>
      <w:marBottom w:val="0"/>
      <w:divBdr>
        <w:top w:val="none" w:sz="0" w:space="0" w:color="auto"/>
        <w:left w:val="none" w:sz="0" w:space="0" w:color="auto"/>
        <w:bottom w:val="none" w:sz="0" w:space="0" w:color="auto"/>
        <w:right w:val="none" w:sz="0" w:space="0" w:color="auto"/>
      </w:divBdr>
    </w:div>
    <w:div w:id="283584950">
      <w:bodyDiv w:val="1"/>
      <w:marLeft w:val="0"/>
      <w:marRight w:val="0"/>
      <w:marTop w:val="0"/>
      <w:marBottom w:val="0"/>
      <w:divBdr>
        <w:top w:val="none" w:sz="0" w:space="0" w:color="auto"/>
        <w:left w:val="none" w:sz="0" w:space="0" w:color="auto"/>
        <w:bottom w:val="none" w:sz="0" w:space="0" w:color="auto"/>
        <w:right w:val="none" w:sz="0" w:space="0" w:color="auto"/>
      </w:divBdr>
    </w:div>
    <w:div w:id="283730916">
      <w:bodyDiv w:val="1"/>
      <w:marLeft w:val="0"/>
      <w:marRight w:val="0"/>
      <w:marTop w:val="0"/>
      <w:marBottom w:val="0"/>
      <w:divBdr>
        <w:top w:val="none" w:sz="0" w:space="0" w:color="auto"/>
        <w:left w:val="none" w:sz="0" w:space="0" w:color="auto"/>
        <w:bottom w:val="none" w:sz="0" w:space="0" w:color="auto"/>
        <w:right w:val="none" w:sz="0" w:space="0" w:color="auto"/>
      </w:divBdr>
    </w:div>
    <w:div w:id="283734399">
      <w:bodyDiv w:val="1"/>
      <w:marLeft w:val="0"/>
      <w:marRight w:val="0"/>
      <w:marTop w:val="0"/>
      <w:marBottom w:val="0"/>
      <w:divBdr>
        <w:top w:val="none" w:sz="0" w:space="0" w:color="auto"/>
        <w:left w:val="none" w:sz="0" w:space="0" w:color="auto"/>
        <w:bottom w:val="none" w:sz="0" w:space="0" w:color="auto"/>
        <w:right w:val="none" w:sz="0" w:space="0" w:color="auto"/>
      </w:divBdr>
    </w:div>
    <w:div w:id="283779416">
      <w:bodyDiv w:val="1"/>
      <w:marLeft w:val="0"/>
      <w:marRight w:val="0"/>
      <w:marTop w:val="0"/>
      <w:marBottom w:val="0"/>
      <w:divBdr>
        <w:top w:val="none" w:sz="0" w:space="0" w:color="auto"/>
        <w:left w:val="none" w:sz="0" w:space="0" w:color="auto"/>
        <w:bottom w:val="none" w:sz="0" w:space="0" w:color="auto"/>
        <w:right w:val="none" w:sz="0" w:space="0" w:color="auto"/>
      </w:divBdr>
    </w:div>
    <w:div w:id="283779481">
      <w:bodyDiv w:val="1"/>
      <w:marLeft w:val="0"/>
      <w:marRight w:val="0"/>
      <w:marTop w:val="0"/>
      <w:marBottom w:val="0"/>
      <w:divBdr>
        <w:top w:val="none" w:sz="0" w:space="0" w:color="auto"/>
        <w:left w:val="none" w:sz="0" w:space="0" w:color="auto"/>
        <w:bottom w:val="none" w:sz="0" w:space="0" w:color="auto"/>
        <w:right w:val="none" w:sz="0" w:space="0" w:color="auto"/>
      </w:divBdr>
    </w:div>
    <w:div w:id="283923485">
      <w:bodyDiv w:val="1"/>
      <w:marLeft w:val="0"/>
      <w:marRight w:val="0"/>
      <w:marTop w:val="0"/>
      <w:marBottom w:val="0"/>
      <w:divBdr>
        <w:top w:val="none" w:sz="0" w:space="0" w:color="auto"/>
        <w:left w:val="none" w:sz="0" w:space="0" w:color="auto"/>
        <w:bottom w:val="none" w:sz="0" w:space="0" w:color="auto"/>
        <w:right w:val="none" w:sz="0" w:space="0" w:color="auto"/>
      </w:divBdr>
    </w:div>
    <w:div w:id="283970682">
      <w:bodyDiv w:val="1"/>
      <w:marLeft w:val="0"/>
      <w:marRight w:val="0"/>
      <w:marTop w:val="0"/>
      <w:marBottom w:val="0"/>
      <w:divBdr>
        <w:top w:val="none" w:sz="0" w:space="0" w:color="auto"/>
        <w:left w:val="none" w:sz="0" w:space="0" w:color="auto"/>
        <w:bottom w:val="none" w:sz="0" w:space="0" w:color="auto"/>
        <w:right w:val="none" w:sz="0" w:space="0" w:color="auto"/>
      </w:divBdr>
    </w:div>
    <w:div w:id="284042480">
      <w:bodyDiv w:val="1"/>
      <w:marLeft w:val="0"/>
      <w:marRight w:val="0"/>
      <w:marTop w:val="0"/>
      <w:marBottom w:val="0"/>
      <w:divBdr>
        <w:top w:val="none" w:sz="0" w:space="0" w:color="auto"/>
        <w:left w:val="none" w:sz="0" w:space="0" w:color="auto"/>
        <w:bottom w:val="none" w:sz="0" w:space="0" w:color="auto"/>
        <w:right w:val="none" w:sz="0" w:space="0" w:color="auto"/>
      </w:divBdr>
    </w:div>
    <w:div w:id="284121511">
      <w:bodyDiv w:val="1"/>
      <w:marLeft w:val="0"/>
      <w:marRight w:val="0"/>
      <w:marTop w:val="0"/>
      <w:marBottom w:val="0"/>
      <w:divBdr>
        <w:top w:val="none" w:sz="0" w:space="0" w:color="auto"/>
        <w:left w:val="none" w:sz="0" w:space="0" w:color="auto"/>
        <w:bottom w:val="none" w:sz="0" w:space="0" w:color="auto"/>
        <w:right w:val="none" w:sz="0" w:space="0" w:color="auto"/>
      </w:divBdr>
    </w:div>
    <w:div w:id="284429100">
      <w:bodyDiv w:val="1"/>
      <w:marLeft w:val="0"/>
      <w:marRight w:val="0"/>
      <w:marTop w:val="0"/>
      <w:marBottom w:val="0"/>
      <w:divBdr>
        <w:top w:val="none" w:sz="0" w:space="0" w:color="auto"/>
        <w:left w:val="none" w:sz="0" w:space="0" w:color="auto"/>
        <w:bottom w:val="none" w:sz="0" w:space="0" w:color="auto"/>
        <w:right w:val="none" w:sz="0" w:space="0" w:color="auto"/>
      </w:divBdr>
    </w:div>
    <w:div w:id="284433165">
      <w:bodyDiv w:val="1"/>
      <w:marLeft w:val="0"/>
      <w:marRight w:val="0"/>
      <w:marTop w:val="0"/>
      <w:marBottom w:val="0"/>
      <w:divBdr>
        <w:top w:val="none" w:sz="0" w:space="0" w:color="auto"/>
        <w:left w:val="none" w:sz="0" w:space="0" w:color="auto"/>
        <w:bottom w:val="none" w:sz="0" w:space="0" w:color="auto"/>
        <w:right w:val="none" w:sz="0" w:space="0" w:color="auto"/>
      </w:divBdr>
    </w:div>
    <w:div w:id="284505546">
      <w:bodyDiv w:val="1"/>
      <w:marLeft w:val="0"/>
      <w:marRight w:val="0"/>
      <w:marTop w:val="0"/>
      <w:marBottom w:val="0"/>
      <w:divBdr>
        <w:top w:val="none" w:sz="0" w:space="0" w:color="auto"/>
        <w:left w:val="none" w:sz="0" w:space="0" w:color="auto"/>
        <w:bottom w:val="none" w:sz="0" w:space="0" w:color="auto"/>
        <w:right w:val="none" w:sz="0" w:space="0" w:color="auto"/>
      </w:divBdr>
    </w:div>
    <w:div w:id="284507397">
      <w:bodyDiv w:val="1"/>
      <w:marLeft w:val="0"/>
      <w:marRight w:val="0"/>
      <w:marTop w:val="0"/>
      <w:marBottom w:val="0"/>
      <w:divBdr>
        <w:top w:val="none" w:sz="0" w:space="0" w:color="auto"/>
        <w:left w:val="none" w:sz="0" w:space="0" w:color="auto"/>
        <w:bottom w:val="none" w:sz="0" w:space="0" w:color="auto"/>
        <w:right w:val="none" w:sz="0" w:space="0" w:color="auto"/>
      </w:divBdr>
    </w:div>
    <w:div w:id="284509550">
      <w:bodyDiv w:val="1"/>
      <w:marLeft w:val="0"/>
      <w:marRight w:val="0"/>
      <w:marTop w:val="0"/>
      <w:marBottom w:val="0"/>
      <w:divBdr>
        <w:top w:val="none" w:sz="0" w:space="0" w:color="auto"/>
        <w:left w:val="none" w:sz="0" w:space="0" w:color="auto"/>
        <w:bottom w:val="none" w:sz="0" w:space="0" w:color="auto"/>
        <w:right w:val="none" w:sz="0" w:space="0" w:color="auto"/>
      </w:divBdr>
    </w:div>
    <w:div w:id="284580865">
      <w:bodyDiv w:val="1"/>
      <w:marLeft w:val="0"/>
      <w:marRight w:val="0"/>
      <w:marTop w:val="0"/>
      <w:marBottom w:val="0"/>
      <w:divBdr>
        <w:top w:val="none" w:sz="0" w:space="0" w:color="auto"/>
        <w:left w:val="none" w:sz="0" w:space="0" w:color="auto"/>
        <w:bottom w:val="none" w:sz="0" w:space="0" w:color="auto"/>
        <w:right w:val="none" w:sz="0" w:space="0" w:color="auto"/>
      </w:divBdr>
    </w:div>
    <w:div w:id="284696916">
      <w:bodyDiv w:val="1"/>
      <w:marLeft w:val="0"/>
      <w:marRight w:val="0"/>
      <w:marTop w:val="0"/>
      <w:marBottom w:val="0"/>
      <w:divBdr>
        <w:top w:val="none" w:sz="0" w:space="0" w:color="auto"/>
        <w:left w:val="none" w:sz="0" w:space="0" w:color="auto"/>
        <w:bottom w:val="none" w:sz="0" w:space="0" w:color="auto"/>
        <w:right w:val="none" w:sz="0" w:space="0" w:color="auto"/>
      </w:divBdr>
    </w:div>
    <w:div w:id="284699214">
      <w:bodyDiv w:val="1"/>
      <w:marLeft w:val="0"/>
      <w:marRight w:val="0"/>
      <w:marTop w:val="0"/>
      <w:marBottom w:val="0"/>
      <w:divBdr>
        <w:top w:val="none" w:sz="0" w:space="0" w:color="auto"/>
        <w:left w:val="none" w:sz="0" w:space="0" w:color="auto"/>
        <w:bottom w:val="none" w:sz="0" w:space="0" w:color="auto"/>
        <w:right w:val="none" w:sz="0" w:space="0" w:color="auto"/>
      </w:divBdr>
    </w:div>
    <w:div w:id="284699874">
      <w:bodyDiv w:val="1"/>
      <w:marLeft w:val="0"/>
      <w:marRight w:val="0"/>
      <w:marTop w:val="0"/>
      <w:marBottom w:val="0"/>
      <w:divBdr>
        <w:top w:val="none" w:sz="0" w:space="0" w:color="auto"/>
        <w:left w:val="none" w:sz="0" w:space="0" w:color="auto"/>
        <w:bottom w:val="none" w:sz="0" w:space="0" w:color="auto"/>
        <w:right w:val="none" w:sz="0" w:space="0" w:color="auto"/>
      </w:divBdr>
    </w:div>
    <w:div w:id="284775777">
      <w:bodyDiv w:val="1"/>
      <w:marLeft w:val="0"/>
      <w:marRight w:val="0"/>
      <w:marTop w:val="0"/>
      <w:marBottom w:val="0"/>
      <w:divBdr>
        <w:top w:val="none" w:sz="0" w:space="0" w:color="auto"/>
        <w:left w:val="none" w:sz="0" w:space="0" w:color="auto"/>
        <w:bottom w:val="none" w:sz="0" w:space="0" w:color="auto"/>
        <w:right w:val="none" w:sz="0" w:space="0" w:color="auto"/>
      </w:divBdr>
    </w:div>
    <w:div w:id="284846692">
      <w:bodyDiv w:val="1"/>
      <w:marLeft w:val="0"/>
      <w:marRight w:val="0"/>
      <w:marTop w:val="0"/>
      <w:marBottom w:val="0"/>
      <w:divBdr>
        <w:top w:val="none" w:sz="0" w:space="0" w:color="auto"/>
        <w:left w:val="none" w:sz="0" w:space="0" w:color="auto"/>
        <w:bottom w:val="none" w:sz="0" w:space="0" w:color="auto"/>
        <w:right w:val="none" w:sz="0" w:space="0" w:color="auto"/>
      </w:divBdr>
    </w:div>
    <w:div w:id="284848455">
      <w:bodyDiv w:val="1"/>
      <w:marLeft w:val="0"/>
      <w:marRight w:val="0"/>
      <w:marTop w:val="0"/>
      <w:marBottom w:val="0"/>
      <w:divBdr>
        <w:top w:val="none" w:sz="0" w:space="0" w:color="auto"/>
        <w:left w:val="none" w:sz="0" w:space="0" w:color="auto"/>
        <w:bottom w:val="none" w:sz="0" w:space="0" w:color="auto"/>
        <w:right w:val="none" w:sz="0" w:space="0" w:color="auto"/>
      </w:divBdr>
    </w:div>
    <w:div w:id="284851963">
      <w:bodyDiv w:val="1"/>
      <w:marLeft w:val="0"/>
      <w:marRight w:val="0"/>
      <w:marTop w:val="0"/>
      <w:marBottom w:val="0"/>
      <w:divBdr>
        <w:top w:val="none" w:sz="0" w:space="0" w:color="auto"/>
        <w:left w:val="none" w:sz="0" w:space="0" w:color="auto"/>
        <w:bottom w:val="none" w:sz="0" w:space="0" w:color="auto"/>
        <w:right w:val="none" w:sz="0" w:space="0" w:color="auto"/>
      </w:divBdr>
    </w:div>
    <w:div w:id="284897554">
      <w:bodyDiv w:val="1"/>
      <w:marLeft w:val="0"/>
      <w:marRight w:val="0"/>
      <w:marTop w:val="0"/>
      <w:marBottom w:val="0"/>
      <w:divBdr>
        <w:top w:val="none" w:sz="0" w:space="0" w:color="auto"/>
        <w:left w:val="none" w:sz="0" w:space="0" w:color="auto"/>
        <w:bottom w:val="none" w:sz="0" w:space="0" w:color="auto"/>
        <w:right w:val="none" w:sz="0" w:space="0" w:color="auto"/>
      </w:divBdr>
    </w:div>
    <w:div w:id="285042695">
      <w:bodyDiv w:val="1"/>
      <w:marLeft w:val="0"/>
      <w:marRight w:val="0"/>
      <w:marTop w:val="0"/>
      <w:marBottom w:val="0"/>
      <w:divBdr>
        <w:top w:val="none" w:sz="0" w:space="0" w:color="auto"/>
        <w:left w:val="none" w:sz="0" w:space="0" w:color="auto"/>
        <w:bottom w:val="none" w:sz="0" w:space="0" w:color="auto"/>
        <w:right w:val="none" w:sz="0" w:space="0" w:color="auto"/>
      </w:divBdr>
    </w:div>
    <w:div w:id="285046633">
      <w:bodyDiv w:val="1"/>
      <w:marLeft w:val="0"/>
      <w:marRight w:val="0"/>
      <w:marTop w:val="0"/>
      <w:marBottom w:val="0"/>
      <w:divBdr>
        <w:top w:val="none" w:sz="0" w:space="0" w:color="auto"/>
        <w:left w:val="none" w:sz="0" w:space="0" w:color="auto"/>
        <w:bottom w:val="none" w:sz="0" w:space="0" w:color="auto"/>
        <w:right w:val="none" w:sz="0" w:space="0" w:color="auto"/>
      </w:divBdr>
    </w:div>
    <w:div w:id="285086929">
      <w:bodyDiv w:val="1"/>
      <w:marLeft w:val="0"/>
      <w:marRight w:val="0"/>
      <w:marTop w:val="0"/>
      <w:marBottom w:val="0"/>
      <w:divBdr>
        <w:top w:val="none" w:sz="0" w:space="0" w:color="auto"/>
        <w:left w:val="none" w:sz="0" w:space="0" w:color="auto"/>
        <w:bottom w:val="none" w:sz="0" w:space="0" w:color="auto"/>
        <w:right w:val="none" w:sz="0" w:space="0" w:color="auto"/>
      </w:divBdr>
    </w:div>
    <w:div w:id="285160815">
      <w:bodyDiv w:val="1"/>
      <w:marLeft w:val="0"/>
      <w:marRight w:val="0"/>
      <w:marTop w:val="0"/>
      <w:marBottom w:val="0"/>
      <w:divBdr>
        <w:top w:val="none" w:sz="0" w:space="0" w:color="auto"/>
        <w:left w:val="none" w:sz="0" w:space="0" w:color="auto"/>
        <w:bottom w:val="none" w:sz="0" w:space="0" w:color="auto"/>
        <w:right w:val="none" w:sz="0" w:space="0" w:color="auto"/>
      </w:divBdr>
    </w:div>
    <w:div w:id="285240763">
      <w:bodyDiv w:val="1"/>
      <w:marLeft w:val="0"/>
      <w:marRight w:val="0"/>
      <w:marTop w:val="0"/>
      <w:marBottom w:val="0"/>
      <w:divBdr>
        <w:top w:val="none" w:sz="0" w:space="0" w:color="auto"/>
        <w:left w:val="none" w:sz="0" w:space="0" w:color="auto"/>
        <w:bottom w:val="none" w:sz="0" w:space="0" w:color="auto"/>
        <w:right w:val="none" w:sz="0" w:space="0" w:color="auto"/>
      </w:divBdr>
    </w:div>
    <w:div w:id="285308980">
      <w:bodyDiv w:val="1"/>
      <w:marLeft w:val="0"/>
      <w:marRight w:val="0"/>
      <w:marTop w:val="0"/>
      <w:marBottom w:val="0"/>
      <w:divBdr>
        <w:top w:val="none" w:sz="0" w:space="0" w:color="auto"/>
        <w:left w:val="none" w:sz="0" w:space="0" w:color="auto"/>
        <w:bottom w:val="none" w:sz="0" w:space="0" w:color="auto"/>
        <w:right w:val="none" w:sz="0" w:space="0" w:color="auto"/>
      </w:divBdr>
    </w:div>
    <w:div w:id="285696679">
      <w:bodyDiv w:val="1"/>
      <w:marLeft w:val="0"/>
      <w:marRight w:val="0"/>
      <w:marTop w:val="0"/>
      <w:marBottom w:val="0"/>
      <w:divBdr>
        <w:top w:val="none" w:sz="0" w:space="0" w:color="auto"/>
        <w:left w:val="none" w:sz="0" w:space="0" w:color="auto"/>
        <w:bottom w:val="none" w:sz="0" w:space="0" w:color="auto"/>
        <w:right w:val="none" w:sz="0" w:space="0" w:color="auto"/>
      </w:divBdr>
    </w:div>
    <w:div w:id="285696754">
      <w:bodyDiv w:val="1"/>
      <w:marLeft w:val="0"/>
      <w:marRight w:val="0"/>
      <w:marTop w:val="0"/>
      <w:marBottom w:val="0"/>
      <w:divBdr>
        <w:top w:val="none" w:sz="0" w:space="0" w:color="auto"/>
        <w:left w:val="none" w:sz="0" w:space="0" w:color="auto"/>
        <w:bottom w:val="none" w:sz="0" w:space="0" w:color="auto"/>
        <w:right w:val="none" w:sz="0" w:space="0" w:color="auto"/>
      </w:divBdr>
    </w:div>
    <w:div w:id="285699476">
      <w:bodyDiv w:val="1"/>
      <w:marLeft w:val="0"/>
      <w:marRight w:val="0"/>
      <w:marTop w:val="0"/>
      <w:marBottom w:val="0"/>
      <w:divBdr>
        <w:top w:val="none" w:sz="0" w:space="0" w:color="auto"/>
        <w:left w:val="none" w:sz="0" w:space="0" w:color="auto"/>
        <w:bottom w:val="none" w:sz="0" w:space="0" w:color="auto"/>
        <w:right w:val="none" w:sz="0" w:space="0" w:color="auto"/>
      </w:divBdr>
    </w:div>
    <w:div w:id="285703367">
      <w:bodyDiv w:val="1"/>
      <w:marLeft w:val="0"/>
      <w:marRight w:val="0"/>
      <w:marTop w:val="0"/>
      <w:marBottom w:val="0"/>
      <w:divBdr>
        <w:top w:val="none" w:sz="0" w:space="0" w:color="auto"/>
        <w:left w:val="none" w:sz="0" w:space="0" w:color="auto"/>
        <w:bottom w:val="none" w:sz="0" w:space="0" w:color="auto"/>
        <w:right w:val="none" w:sz="0" w:space="0" w:color="auto"/>
      </w:divBdr>
    </w:div>
    <w:div w:id="285812907">
      <w:bodyDiv w:val="1"/>
      <w:marLeft w:val="0"/>
      <w:marRight w:val="0"/>
      <w:marTop w:val="0"/>
      <w:marBottom w:val="0"/>
      <w:divBdr>
        <w:top w:val="none" w:sz="0" w:space="0" w:color="auto"/>
        <w:left w:val="none" w:sz="0" w:space="0" w:color="auto"/>
        <w:bottom w:val="none" w:sz="0" w:space="0" w:color="auto"/>
        <w:right w:val="none" w:sz="0" w:space="0" w:color="auto"/>
      </w:divBdr>
    </w:div>
    <w:div w:id="285819380">
      <w:bodyDiv w:val="1"/>
      <w:marLeft w:val="0"/>
      <w:marRight w:val="0"/>
      <w:marTop w:val="0"/>
      <w:marBottom w:val="0"/>
      <w:divBdr>
        <w:top w:val="none" w:sz="0" w:space="0" w:color="auto"/>
        <w:left w:val="none" w:sz="0" w:space="0" w:color="auto"/>
        <w:bottom w:val="none" w:sz="0" w:space="0" w:color="auto"/>
        <w:right w:val="none" w:sz="0" w:space="0" w:color="auto"/>
      </w:divBdr>
    </w:div>
    <w:div w:id="285892960">
      <w:bodyDiv w:val="1"/>
      <w:marLeft w:val="0"/>
      <w:marRight w:val="0"/>
      <w:marTop w:val="0"/>
      <w:marBottom w:val="0"/>
      <w:divBdr>
        <w:top w:val="none" w:sz="0" w:space="0" w:color="auto"/>
        <w:left w:val="none" w:sz="0" w:space="0" w:color="auto"/>
        <w:bottom w:val="none" w:sz="0" w:space="0" w:color="auto"/>
        <w:right w:val="none" w:sz="0" w:space="0" w:color="auto"/>
      </w:divBdr>
    </w:div>
    <w:div w:id="285963232">
      <w:bodyDiv w:val="1"/>
      <w:marLeft w:val="0"/>
      <w:marRight w:val="0"/>
      <w:marTop w:val="0"/>
      <w:marBottom w:val="0"/>
      <w:divBdr>
        <w:top w:val="none" w:sz="0" w:space="0" w:color="auto"/>
        <w:left w:val="none" w:sz="0" w:space="0" w:color="auto"/>
        <w:bottom w:val="none" w:sz="0" w:space="0" w:color="auto"/>
        <w:right w:val="none" w:sz="0" w:space="0" w:color="auto"/>
      </w:divBdr>
    </w:div>
    <w:div w:id="285963837">
      <w:bodyDiv w:val="1"/>
      <w:marLeft w:val="0"/>
      <w:marRight w:val="0"/>
      <w:marTop w:val="0"/>
      <w:marBottom w:val="0"/>
      <w:divBdr>
        <w:top w:val="none" w:sz="0" w:space="0" w:color="auto"/>
        <w:left w:val="none" w:sz="0" w:space="0" w:color="auto"/>
        <w:bottom w:val="none" w:sz="0" w:space="0" w:color="auto"/>
        <w:right w:val="none" w:sz="0" w:space="0" w:color="auto"/>
      </w:divBdr>
    </w:div>
    <w:div w:id="285964390">
      <w:bodyDiv w:val="1"/>
      <w:marLeft w:val="0"/>
      <w:marRight w:val="0"/>
      <w:marTop w:val="0"/>
      <w:marBottom w:val="0"/>
      <w:divBdr>
        <w:top w:val="none" w:sz="0" w:space="0" w:color="auto"/>
        <w:left w:val="none" w:sz="0" w:space="0" w:color="auto"/>
        <w:bottom w:val="none" w:sz="0" w:space="0" w:color="auto"/>
        <w:right w:val="none" w:sz="0" w:space="0" w:color="auto"/>
      </w:divBdr>
    </w:div>
    <w:div w:id="286008485">
      <w:bodyDiv w:val="1"/>
      <w:marLeft w:val="0"/>
      <w:marRight w:val="0"/>
      <w:marTop w:val="0"/>
      <w:marBottom w:val="0"/>
      <w:divBdr>
        <w:top w:val="none" w:sz="0" w:space="0" w:color="auto"/>
        <w:left w:val="none" w:sz="0" w:space="0" w:color="auto"/>
        <w:bottom w:val="none" w:sz="0" w:space="0" w:color="auto"/>
        <w:right w:val="none" w:sz="0" w:space="0" w:color="auto"/>
      </w:divBdr>
    </w:div>
    <w:div w:id="286008580">
      <w:bodyDiv w:val="1"/>
      <w:marLeft w:val="0"/>
      <w:marRight w:val="0"/>
      <w:marTop w:val="0"/>
      <w:marBottom w:val="0"/>
      <w:divBdr>
        <w:top w:val="none" w:sz="0" w:space="0" w:color="auto"/>
        <w:left w:val="none" w:sz="0" w:space="0" w:color="auto"/>
        <w:bottom w:val="none" w:sz="0" w:space="0" w:color="auto"/>
        <w:right w:val="none" w:sz="0" w:space="0" w:color="auto"/>
      </w:divBdr>
    </w:div>
    <w:div w:id="286156865">
      <w:bodyDiv w:val="1"/>
      <w:marLeft w:val="0"/>
      <w:marRight w:val="0"/>
      <w:marTop w:val="0"/>
      <w:marBottom w:val="0"/>
      <w:divBdr>
        <w:top w:val="none" w:sz="0" w:space="0" w:color="auto"/>
        <w:left w:val="none" w:sz="0" w:space="0" w:color="auto"/>
        <w:bottom w:val="none" w:sz="0" w:space="0" w:color="auto"/>
        <w:right w:val="none" w:sz="0" w:space="0" w:color="auto"/>
      </w:divBdr>
    </w:div>
    <w:div w:id="286159989">
      <w:bodyDiv w:val="1"/>
      <w:marLeft w:val="0"/>
      <w:marRight w:val="0"/>
      <w:marTop w:val="0"/>
      <w:marBottom w:val="0"/>
      <w:divBdr>
        <w:top w:val="none" w:sz="0" w:space="0" w:color="auto"/>
        <w:left w:val="none" w:sz="0" w:space="0" w:color="auto"/>
        <w:bottom w:val="none" w:sz="0" w:space="0" w:color="auto"/>
        <w:right w:val="none" w:sz="0" w:space="0" w:color="auto"/>
      </w:divBdr>
    </w:div>
    <w:div w:id="286199064">
      <w:bodyDiv w:val="1"/>
      <w:marLeft w:val="0"/>
      <w:marRight w:val="0"/>
      <w:marTop w:val="0"/>
      <w:marBottom w:val="0"/>
      <w:divBdr>
        <w:top w:val="none" w:sz="0" w:space="0" w:color="auto"/>
        <w:left w:val="none" w:sz="0" w:space="0" w:color="auto"/>
        <w:bottom w:val="none" w:sz="0" w:space="0" w:color="auto"/>
        <w:right w:val="none" w:sz="0" w:space="0" w:color="auto"/>
      </w:divBdr>
    </w:div>
    <w:div w:id="286283501">
      <w:bodyDiv w:val="1"/>
      <w:marLeft w:val="0"/>
      <w:marRight w:val="0"/>
      <w:marTop w:val="0"/>
      <w:marBottom w:val="0"/>
      <w:divBdr>
        <w:top w:val="none" w:sz="0" w:space="0" w:color="auto"/>
        <w:left w:val="none" w:sz="0" w:space="0" w:color="auto"/>
        <w:bottom w:val="none" w:sz="0" w:space="0" w:color="auto"/>
        <w:right w:val="none" w:sz="0" w:space="0" w:color="auto"/>
      </w:divBdr>
    </w:div>
    <w:div w:id="286351959">
      <w:bodyDiv w:val="1"/>
      <w:marLeft w:val="0"/>
      <w:marRight w:val="0"/>
      <w:marTop w:val="0"/>
      <w:marBottom w:val="0"/>
      <w:divBdr>
        <w:top w:val="none" w:sz="0" w:space="0" w:color="auto"/>
        <w:left w:val="none" w:sz="0" w:space="0" w:color="auto"/>
        <w:bottom w:val="none" w:sz="0" w:space="0" w:color="auto"/>
        <w:right w:val="none" w:sz="0" w:space="0" w:color="auto"/>
      </w:divBdr>
    </w:div>
    <w:div w:id="286400243">
      <w:bodyDiv w:val="1"/>
      <w:marLeft w:val="0"/>
      <w:marRight w:val="0"/>
      <w:marTop w:val="0"/>
      <w:marBottom w:val="0"/>
      <w:divBdr>
        <w:top w:val="none" w:sz="0" w:space="0" w:color="auto"/>
        <w:left w:val="none" w:sz="0" w:space="0" w:color="auto"/>
        <w:bottom w:val="none" w:sz="0" w:space="0" w:color="auto"/>
        <w:right w:val="none" w:sz="0" w:space="0" w:color="auto"/>
      </w:divBdr>
    </w:div>
    <w:div w:id="286548941">
      <w:bodyDiv w:val="1"/>
      <w:marLeft w:val="0"/>
      <w:marRight w:val="0"/>
      <w:marTop w:val="0"/>
      <w:marBottom w:val="0"/>
      <w:divBdr>
        <w:top w:val="none" w:sz="0" w:space="0" w:color="auto"/>
        <w:left w:val="none" w:sz="0" w:space="0" w:color="auto"/>
        <w:bottom w:val="none" w:sz="0" w:space="0" w:color="auto"/>
        <w:right w:val="none" w:sz="0" w:space="0" w:color="auto"/>
      </w:divBdr>
    </w:div>
    <w:div w:id="286549616">
      <w:bodyDiv w:val="1"/>
      <w:marLeft w:val="0"/>
      <w:marRight w:val="0"/>
      <w:marTop w:val="0"/>
      <w:marBottom w:val="0"/>
      <w:divBdr>
        <w:top w:val="none" w:sz="0" w:space="0" w:color="auto"/>
        <w:left w:val="none" w:sz="0" w:space="0" w:color="auto"/>
        <w:bottom w:val="none" w:sz="0" w:space="0" w:color="auto"/>
        <w:right w:val="none" w:sz="0" w:space="0" w:color="auto"/>
      </w:divBdr>
    </w:div>
    <w:div w:id="286552290">
      <w:bodyDiv w:val="1"/>
      <w:marLeft w:val="0"/>
      <w:marRight w:val="0"/>
      <w:marTop w:val="0"/>
      <w:marBottom w:val="0"/>
      <w:divBdr>
        <w:top w:val="none" w:sz="0" w:space="0" w:color="auto"/>
        <w:left w:val="none" w:sz="0" w:space="0" w:color="auto"/>
        <w:bottom w:val="none" w:sz="0" w:space="0" w:color="auto"/>
        <w:right w:val="none" w:sz="0" w:space="0" w:color="auto"/>
      </w:divBdr>
    </w:div>
    <w:div w:id="286619281">
      <w:bodyDiv w:val="1"/>
      <w:marLeft w:val="0"/>
      <w:marRight w:val="0"/>
      <w:marTop w:val="0"/>
      <w:marBottom w:val="0"/>
      <w:divBdr>
        <w:top w:val="none" w:sz="0" w:space="0" w:color="auto"/>
        <w:left w:val="none" w:sz="0" w:space="0" w:color="auto"/>
        <w:bottom w:val="none" w:sz="0" w:space="0" w:color="auto"/>
        <w:right w:val="none" w:sz="0" w:space="0" w:color="auto"/>
      </w:divBdr>
    </w:div>
    <w:div w:id="286661953">
      <w:bodyDiv w:val="1"/>
      <w:marLeft w:val="0"/>
      <w:marRight w:val="0"/>
      <w:marTop w:val="0"/>
      <w:marBottom w:val="0"/>
      <w:divBdr>
        <w:top w:val="none" w:sz="0" w:space="0" w:color="auto"/>
        <w:left w:val="none" w:sz="0" w:space="0" w:color="auto"/>
        <w:bottom w:val="none" w:sz="0" w:space="0" w:color="auto"/>
        <w:right w:val="none" w:sz="0" w:space="0" w:color="auto"/>
      </w:divBdr>
    </w:div>
    <w:div w:id="286664115">
      <w:bodyDiv w:val="1"/>
      <w:marLeft w:val="0"/>
      <w:marRight w:val="0"/>
      <w:marTop w:val="0"/>
      <w:marBottom w:val="0"/>
      <w:divBdr>
        <w:top w:val="none" w:sz="0" w:space="0" w:color="auto"/>
        <w:left w:val="none" w:sz="0" w:space="0" w:color="auto"/>
        <w:bottom w:val="none" w:sz="0" w:space="0" w:color="auto"/>
        <w:right w:val="none" w:sz="0" w:space="0" w:color="auto"/>
      </w:divBdr>
    </w:div>
    <w:div w:id="286668313">
      <w:bodyDiv w:val="1"/>
      <w:marLeft w:val="0"/>
      <w:marRight w:val="0"/>
      <w:marTop w:val="0"/>
      <w:marBottom w:val="0"/>
      <w:divBdr>
        <w:top w:val="none" w:sz="0" w:space="0" w:color="auto"/>
        <w:left w:val="none" w:sz="0" w:space="0" w:color="auto"/>
        <w:bottom w:val="none" w:sz="0" w:space="0" w:color="auto"/>
        <w:right w:val="none" w:sz="0" w:space="0" w:color="auto"/>
      </w:divBdr>
    </w:div>
    <w:div w:id="286743994">
      <w:bodyDiv w:val="1"/>
      <w:marLeft w:val="0"/>
      <w:marRight w:val="0"/>
      <w:marTop w:val="0"/>
      <w:marBottom w:val="0"/>
      <w:divBdr>
        <w:top w:val="none" w:sz="0" w:space="0" w:color="auto"/>
        <w:left w:val="none" w:sz="0" w:space="0" w:color="auto"/>
        <w:bottom w:val="none" w:sz="0" w:space="0" w:color="auto"/>
        <w:right w:val="none" w:sz="0" w:space="0" w:color="auto"/>
      </w:divBdr>
    </w:div>
    <w:div w:id="286813340">
      <w:bodyDiv w:val="1"/>
      <w:marLeft w:val="0"/>
      <w:marRight w:val="0"/>
      <w:marTop w:val="0"/>
      <w:marBottom w:val="0"/>
      <w:divBdr>
        <w:top w:val="none" w:sz="0" w:space="0" w:color="auto"/>
        <w:left w:val="none" w:sz="0" w:space="0" w:color="auto"/>
        <w:bottom w:val="none" w:sz="0" w:space="0" w:color="auto"/>
        <w:right w:val="none" w:sz="0" w:space="0" w:color="auto"/>
      </w:divBdr>
    </w:div>
    <w:div w:id="287009812">
      <w:bodyDiv w:val="1"/>
      <w:marLeft w:val="0"/>
      <w:marRight w:val="0"/>
      <w:marTop w:val="0"/>
      <w:marBottom w:val="0"/>
      <w:divBdr>
        <w:top w:val="none" w:sz="0" w:space="0" w:color="auto"/>
        <w:left w:val="none" w:sz="0" w:space="0" w:color="auto"/>
        <w:bottom w:val="none" w:sz="0" w:space="0" w:color="auto"/>
        <w:right w:val="none" w:sz="0" w:space="0" w:color="auto"/>
      </w:divBdr>
    </w:div>
    <w:div w:id="287011167">
      <w:bodyDiv w:val="1"/>
      <w:marLeft w:val="0"/>
      <w:marRight w:val="0"/>
      <w:marTop w:val="0"/>
      <w:marBottom w:val="0"/>
      <w:divBdr>
        <w:top w:val="none" w:sz="0" w:space="0" w:color="auto"/>
        <w:left w:val="none" w:sz="0" w:space="0" w:color="auto"/>
        <w:bottom w:val="none" w:sz="0" w:space="0" w:color="auto"/>
        <w:right w:val="none" w:sz="0" w:space="0" w:color="auto"/>
      </w:divBdr>
    </w:div>
    <w:div w:id="287013653">
      <w:bodyDiv w:val="1"/>
      <w:marLeft w:val="0"/>
      <w:marRight w:val="0"/>
      <w:marTop w:val="0"/>
      <w:marBottom w:val="0"/>
      <w:divBdr>
        <w:top w:val="none" w:sz="0" w:space="0" w:color="auto"/>
        <w:left w:val="none" w:sz="0" w:space="0" w:color="auto"/>
        <w:bottom w:val="none" w:sz="0" w:space="0" w:color="auto"/>
        <w:right w:val="none" w:sz="0" w:space="0" w:color="auto"/>
      </w:divBdr>
    </w:div>
    <w:div w:id="287049934">
      <w:bodyDiv w:val="1"/>
      <w:marLeft w:val="0"/>
      <w:marRight w:val="0"/>
      <w:marTop w:val="0"/>
      <w:marBottom w:val="0"/>
      <w:divBdr>
        <w:top w:val="none" w:sz="0" w:space="0" w:color="auto"/>
        <w:left w:val="none" w:sz="0" w:space="0" w:color="auto"/>
        <w:bottom w:val="none" w:sz="0" w:space="0" w:color="auto"/>
        <w:right w:val="none" w:sz="0" w:space="0" w:color="auto"/>
      </w:divBdr>
    </w:div>
    <w:div w:id="287055806">
      <w:bodyDiv w:val="1"/>
      <w:marLeft w:val="0"/>
      <w:marRight w:val="0"/>
      <w:marTop w:val="0"/>
      <w:marBottom w:val="0"/>
      <w:divBdr>
        <w:top w:val="none" w:sz="0" w:space="0" w:color="auto"/>
        <w:left w:val="none" w:sz="0" w:space="0" w:color="auto"/>
        <w:bottom w:val="none" w:sz="0" w:space="0" w:color="auto"/>
        <w:right w:val="none" w:sz="0" w:space="0" w:color="auto"/>
      </w:divBdr>
    </w:div>
    <w:div w:id="287124626">
      <w:bodyDiv w:val="1"/>
      <w:marLeft w:val="0"/>
      <w:marRight w:val="0"/>
      <w:marTop w:val="0"/>
      <w:marBottom w:val="0"/>
      <w:divBdr>
        <w:top w:val="none" w:sz="0" w:space="0" w:color="auto"/>
        <w:left w:val="none" w:sz="0" w:space="0" w:color="auto"/>
        <w:bottom w:val="none" w:sz="0" w:space="0" w:color="auto"/>
        <w:right w:val="none" w:sz="0" w:space="0" w:color="auto"/>
      </w:divBdr>
    </w:div>
    <w:div w:id="287129945">
      <w:bodyDiv w:val="1"/>
      <w:marLeft w:val="0"/>
      <w:marRight w:val="0"/>
      <w:marTop w:val="0"/>
      <w:marBottom w:val="0"/>
      <w:divBdr>
        <w:top w:val="none" w:sz="0" w:space="0" w:color="auto"/>
        <w:left w:val="none" w:sz="0" w:space="0" w:color="auto"/>
        <w:bottom w:val="none" w:sz="0" w:space="0" w:color="auto"/>
        <w:right w:val="none" w:sz="0" w:space="0" w:color="auto"/>
      </w:divBdr>
    </w:div>
    <w:div w:id="287276156">
      <w:bodyDiv w:val="1"/>
      <w:marLeft w:val="0"/>
      <w:marRight w:val="0"/>
      <w:marTop w:val="0"/>
      <w:marBottom w:val="0"/>
      <w:divBdr>
        <w:top w:val="none" w:sz="0" w:space="0" w:color="auto"/>
        <w:left w:val="none" w:sz="0" w:space="0" w:color="auto"/>
        <w:bottom w:val="none" w:sz="0" w:space="0" w:color="auto"/>
        <w:right w:val="none" w:sz="0" w:space="0" w:color="auto"/>
      </w:divBdr>
    </w:div>
    <w:div w:id="287277027">
      <w:bodyDiv w:val="1"/>
      <w:marLeft w:val="0"/>
      <w:marRight w:val="0"/>
      <w:marTop w:val="0"/>
      <w:marBottom w:val="0"/>
      <w:divBdr>
        <w:top w:val="none" w:sz="0" w:space="0" w:color="auto"/>
        <w:left w:val="none" w:sz="0" w:space="0" w:color="auto"/>
        <w:bottom w:val="none" w:sz="0" w:space="0" w:color="auto"/>
        <w:right w:val="none" w:sz="0" w:space="0" w:color="auto"/>
      </w:divBdr>
    </w:div>
    <w:div w:id="287443924">
      <w:bodyDiv w:val="1"/>
      <w:marLeft w:val="0"/>
      <w:marRight w:val="0"/>
      <w:marTop w:val="0"/>
      <w:marBottom w:val="0"/>
      <w:divBdr>
        <w:top w:val="none" w:sz="0" w:space="0" w:color="auto"/>
        <w:left w:val="none" w:sz="0" w:space="0" w:color="auto"/>
        <w:bottom w:val="none" w:sz="0" w:space="0" w:color="auto"/>
        <w:right w:val="none" w:sz="0" w:space="0" w:color="auto"/>
      </w:divBdr>
    </w:div>
    <w:div w:id="287472121">
      <w:bodyDiv w:val="1"/>
      <w:marLeft w:val="0"/>
      <w:marRight w:val="0"/>
      <w:marTop w:val="0"/>
      <w:marBottom w:val="0"/>
      <w:divBdr>
        <w:top w:val="none" w:sz="0" w:space="0" w:color="auto"/>
        <w:left w:val="none" w:sz="0" w:space="0" w:color="auto"/>
        <w:bottom w:val="none" w:sz="0" w:space="0" w:color="auto"/>
        <w:right w:val="none" w:sz="0" w:space="0" w:color="auto"/>
      </w:divBdr>
    </w:div>
    <w:div w:id="287662071">
      <w:bodyDiv w:val="1"/>
      <w:marLeft w:val="0"/>
      <w:marRight w:val="0"/>
      <w:marTop w:val="0"/>
      <w:marBottom w:val="0"/>
      <w:divBdr>
        <w:top w:val="none" w:sz="0" w:space="0" w:color="auto"/>
        <w:left w:val="none" w:sz="0" w:space="0" w:color="auto"/>
        <w:bottom w:val="none" w:sz="0" w:space="0" w:color="auto"/>
        <w:right w:val="none" w:sz="0" w:space="0" w:color="auto"/>
      </w:divBdr>
    </w:div>
    <w:div w:id="287665468">
      <w:bodyDiv w:val="1"/>
      <w:marLeft w:val="0"/>
      <w:marRight w:val="0"/>
      <w:marTop w:val="0"/>
      <w:marBottom w:val="0"/>
      <w:divBdr>
        <w:top w:val="none" w:sz="0" w:space="0" w:color="auto"/>
        <w:left w:val="none" w:sz="0" w:space="0" w:color="auto"/>
        <w:bottom w:val="none" w:sz="0" w:space="0" w:color="auto"/>
        <w:right w:val="none" w:sz="0" w:space="0" w:color="auto"/>
      </w:divBdr>
    </w:div>
    <w:div w:id="287778900">
      <w:bodyDiv w:val="1"/>
      <w:marLeft w:val="0"/>
      <w:marRight w:val="0"/>
      <w:marTop w:val="0"/>
      <w:marBottom w:val="0"/>
      <w:divBdr>
        <w:top w:val="none" w:sz="0" w:space="0" w:color="auto"/>
        <w:left w:val="none" w:sz="0" w:space="0" w:color="auto"/>
        <w:bottom w:val="none" w:sz="0" w:space="0" w:color="auto"/>
        <w:right w:val="none" w:sz="0" w:space="0" w:color="auto"/>
      </w:divBdr>
    </w:div>
    <w:div w:id="287786939">
      <w:bodyDiv w:val="1"/>
      <w:marLeft w:val="0"/>
      <w:marRight w:val="0"/>
      <w:marTop w:val="0"/>
      <w:marBottom w:val="0"/>
      <w:divBdr>
        <w:top w:val="none" w:sz="0" w:space="0" w:color="auto"/>
        <w:left w:val="none" w:sz="0" w:space="0" w:color="auto"/>
        <w:bottom w:val="none" w:sz="0" w:space="0" w:color="auto"/>
        <w:right w:val="none" w:sz="0" w:space="0" w:color="auto"/>
      </w:divBdr>
    </w:div>
    <w:div w:id="287854480">
      <w:bodyDiv w:val="1"/>
      <w:marLeft w:val="0"/>
      <w:marRight w:val="0"/>
      <w:marTop w:val="0"/>
      <w:marBottom w:val="0"/>
      <w:divBdr>
        <w:top w:val="none" w:sz="0" w:space="0" w:color="auto"/>
        <w:left w:val="none" w:sz="0" w:space="0" w:color="auto"/>
        <w:bottom w:val="none" w:sz="0" w:space="0" w:color="auto"/>
        <w:right w:val="none" w:sz="0" w:space="0" w:color="auto"/>
      </w:divBdr>
    </w:div>
    <w:div w:id="287862321">
      <w:bodyDiv w:val="1"/>
      <w:marLeft w:val="0"/>
      <w:marRight w:val="0"/>
      <w:marTop w:val="0"/>
      <w:marBottom w:val="0"/>
      <w:divBdr>
        <w:top w:val="none" w:sz="0" w:space="0" w:color="auto"/>
        <w:left w:val="none" w:sz="0" w:space="0" w:color="auto"/>
        <w:bottom w:val="none" w:sz="0" w:space="0" w:color="auto"/>
        <w:right w:val="none" w:sz="0" w:space="0" w:color="auto"/>
      </w:divBdr>
    </w:div>
    <w:div w:id="287929405">
      <w:bodyDiv w:val="1"/>
      <w:marLeft w:val="0"/>
      <w:marRight w:val="0"/>
      <w:marTop w:val="0"/>
      <w:marBottom w:val="0"/>
      <w:divBdr>
        <w:top w:val="none" w:sz="0" w:space="0" w:color="auto"/>
        <w:left w:val="none" w:sz="0" w:space="0" w:color="auto"/>
        <w:bottom w:val="none" w:sz="0" w:space="0" w:color="auto"/>
        <w:right w:val="none" w:sz="0" w:space="0" w:color="auto"/>
      </w:divBdr>
    </w:div>
    <w:div w:id="287973212">
      <w:bodyDiv w:val="1"/>
      <w:marLeft w:val="0"/>
      <w:marRight w:val="0"/>
      <w:marTop w:val="0"/>
      <w:marBottom w:val="0"/>
      <w:divBdr>
        <w:top w:val="none" w:sz="0" w:space="0" w:color="auto"/>
        <w:left w:val="none" w:sz="0" w:space="0" w:color="auto"/>
        <w:bottom w:val="none" w:sz="0" w:space="0" w:color="auto"/>
        <w:right w:val="none" w:sz="0" w:space="0" w:color="auto"/>
      </w:divBdr>
    </w:div>
    <w:div w:id="287974809">
      <w:bodyDiv w:val="1"/>
      <w:marLeft w:val="0"/>
      <w:marRight w:val="0"/>
      <w:marTop w:val="0"/>
      <w:marBottom w:val="0"/>
      <w:divBdr>
        <w:top w:val="none" w:sz="0" w:space="0" w:color="auto"/>
        <w:left w:val="none" w:sz="0" w:space="0" w:color="auto"/>
        <w:bottom w:val="none" w:sz="0" w:space="0" w:color="auto"/>
        <w:right w:val="none" w:sz="0" w:space="0" w:color="auto"/>
      </w:divBdr>
    </w:div>
    <w:div w:id="287976780">
      <w:bodyDiv w:val="1"/>
      <w:marLeft w:val="0"/>
      <w:marRight w:val="0"/>
      <w:marTop w:val="0"/>
      <w:marBottom w:val="0"/>
      <w:divBdr>
        <w:top w:val="none" w:sz="0" w:space="0" w:color="auto"/>
        <w:left w:val="none" w:sz="0" w:space="0" w:color="auto"/>
        <w:bottom w:val="none" w:sz="0" w:space="0" w:color="auto"/>
        <w:right w:val="none" w:sz="0" w:space="0" w:color="auto"/>
      </w:divBdr>
    </w:div>
    <w:div w:id="288049220">
      <w:bodyDiv w:val="1"/>
      <w:marLeft w:val="0"/>
      <w:marRight w:val="0"/>
      <w:marTop w:val="0"/>
      <w:marBottom w:val="0"/>
      <w:divBdr>
        <w:top w:val="none" w:sz="0" w:space="0" w:color="auto"/>
        <w:left w:val="none" w:sz="0" w:space="0" w:color="auto"/>
        <w:bottom w:val="none" w:sz="0" w:space="0" w:color="auto"/>
        <w:right w:val="none" w:sz="0" w:space="0" w:color="auto"/>
      </w:divBdr>
    </w:div>
    <w:div w:id="288054040">
      <w:bodyDiv w:val="1"/>
      <w:marLeft w:val="0"/>
      <w:marRight w:val="0"/>
      <w:marTop w:val="0"/>
      <w:marBottom w:val="0"/>
      <w:divBdr>
        <w:top w:val="none" w:sz="0" w:space="0" w:color="auto"/>
        <w:left w:val="none" w:sz="0" w:space="0" w:color="auto"/>
        <w:bottom w:val="none" w:sz="0" w:space="0" w:color="auto"/>
        <w:right w:val="none" w:sz="0" w:space="0" w:color="auto"/>
      </w:divBdr>
    </w:div>
    <w:div w:id="288127566">
      <w:bodyDiv w:val="1"/>
      <w:marLeft w:val="0"/>
      <w:marRight w:val="0"/>
      <w:marTop w:val="0"/>
      <w:marBottom w:val="0"/>
      <w:divBdr>
        <w:top w:val="none" w:sz="0" w:space="0" w:color="auto"/>
        <w:left w:val="none" w:sz="0" w:space="0" w:color="auto"/>
        <w:bottom w:val="none" w:sz="0" w:space="0" w:color="auto"/>
        <w:right w:val="none" w:sz="0" w:space="0" w:color="auto"/>
      </w:divBdr>
    </w:div>
    <w:div w:id="288167723">
      <w:bodyDiv w:val="1"/>
      <w:marLeft w:val="0"/>
      <w:marRight w:val="0"/>
      <w:marTop w:val="0"/>
      <w:marBottom w:val="0"/>
      <w:divBdr>
        <w:top w:val="none" w:sz="0" w:space="0" w:color="auto"/>
        <w:left w:val="none" w:sz="0" w:space="0" w:color="auto"/>
        <w:bottom w:val="none" w:sz="0" w:space="0" w:color="auto"/>
        <w:right w:val="none" w:sz="0" w:space="0" w:color="auto"/>
      </w:divBdr>
    </w:div>
    <w:div w:id="288362781">
      <w:bodyDiv w:val="1"/>
      <w:marLeft w:val="0"/>
      <w:marRight w:val="0"/>
      <w:marTop w:val="0"/>
      <w:marBottom w:val="0"/>
      <w:divBdr>
        <w:top w:val="none" w:sz="0" w:space="0" w:color="auto"/>
        <w:left w:val="none" w:sz="0" w:space="0" w:color="auto"/>
        <w:bottom w:val="none" w:sz="0" w:space="0" w:color="auto"/>
        <w:right w:val="none" w:sz="0" w:space="0" w:color="auto"/>
      </w:divBdr>
    </w:div>
    <w:div w:id="288513773">
      <w:bodyDiv w:val="1"/>
      <w:marLeft w:val="0"/>
      <w:marRight w:val="0"/>
      <w:marTop w:val="0"/>
      <w:marBottom w:val="0"/>
      <w:divBdr>
        <w:top w:val="none" w:sz="0" w:space="0" w:color="auto"/>
        <w:left w:val="none" w:sz="0" w:space="0" w:color="auto"/>
        <w:bottom w:val="none" w:sz="0" w:space="0" w:color="auto"/>
        <w:right w:val="none" w:sz="0" w:space="0" w:color="auto"/>
      </w:divBdr>
    </w:div>
    <w:div w:id="288517769">
      <w:bodyDiv w:val="1"/>
      <w:marLeft w:val="0"/>
      <w:marRight w:val="0"/>
      <w:marTop w:val="0"/>
      <w:marBottom w:val="0"/>
      <w:divBdr>
        <w:top w:val="none" w:sz="0" w:space="0" w:color="auto"/>
        <w:left w:val="none" w:sz="0" w:space="0" w:color="auto"/>
        <w:bottom w:val="none" w:sz="0" w:space="0" w:color="auto"/>
        <w:right w:val="none" w:sz="0" w:space="0" w:color="auto"/>
      </w:divBdr>
    </w:div>
    <w:div w:id="288627530">
      <w:bodyDiv w:val="1"/>
      <w:marLeft w:val="0"/>
      <w:marRight w:val="0"/>
      <w:marTop w:val="0"/>
      <w:marBottom w:val="0"/>
      <w:divBdr>
        <w:top w:val="none" w:sz="0" w:space="0" w:color="auto"/>
        <w:left w:val="none" w:sz="0" w:space="0" w:color="auto"/>
        <w:bottom w:val="none" w:sz="0" w:space="0" w:color="auto"/>
        <w:right w:val="none" w:sz="0" w:space="0" w:color="auto"/>
      </w:divBdr>
    </w:div>
    <w:div w:id="288824685">
      <w:bodyDiv w:val="1"/>
      <w:marLeft w:val="0"/>
      <w:marRight w:val="0"/>
      <w:marTop w:val="0"/>
      <w:marBottom w:val="0"/>
      <w:divBdr>
        <w:top w:val="none" w:sz="0" w:space="0" w:color="auto"/>
        <w:left w:val="none" w:sz="0" w:space="0" w:color="auto"/>
        <w:bottom w:val="none" w:sz="0" w:space="0" w:color="auto"/>
        <w:right w:val="none" w:sz="0" w:space="0" w:color="auto"/>
      </w:divBdr>
    </w:div>
    <w:div w:id="288829236">
      <w:bodyDiv w:val="1"/>
      <w:marLeft w:val="0"/>
      <w:marRight w:val="0"/>
      <w:marTop w:val="0"/>
      <w:marBottom w:val="0"/>
      <w:divBdr>
        <w:top w:val="none" w:sz="0" w:space="0" w:color="auto"/>
        <w:left w:val="none" w:sz="0" w:space="0" w:color="auto"/>
        <w:bottom w:val="none" w:sz="0" w:space="0" w:color="auto"/>
        <w:right w:val="none" w:sz="0" w:space="0" w:color="auto"/>
      </w:divBdr>
    </w:div>
    <w:div w:id="288829735">
      <w:bodyDiv w:val="1"/>
      <w:marLeft w:val="0"/>
      <w:marRight w:val="0"/>
      <w:marTop w:val="0"/>
      <w:marBottom w:val="0"/>
      <w:divBdr>
        <w:top w:val="none" w:sz="0" w:space="0" w:color="auto"/>
        <w:left w:val="none" w:sz="0" w:space="0" w:color="auto"/>
        <w:bottom w:val="none" w:sz="0" w:space="0" w:color="auto"/>
        <w:right w:val="none" w:sz="0" w:space="0" w:color="auto"/>
      </w:divBdr>
    </w:div>
    <w:div w:id="288974622">
      <w:bodyDiv w:val="1"/>
      <w:marLeft w:val="0"/>
      <w:marRight w:val="0"/>
      <w:marTop w:val="0"/>
      <w:marBottom w:val="0"/>
      <w:divBdr>
        <w:top w:val="none" w:sz="0" w:space="0" w:color="auto"/>
        <w:left w:val="none" w:sz="0" w:space="0" w:color="auto"/>
        <w:bottom w:val="none" w:sz="0" w:space="0" w:color="auto"/>
        <w:right w:val="none" w:sz="0" w:space="0" w:color="auto"/>
      </w:divBdr>
    </w:div>
    <w:div w:id="288978665">
      <w:bodyDiv w:val="1"/>
      <w:marLeft w:val="0"/>
      <w:marRight w:val="0"/>
      <w:marTop w:val="0"/>
      <w:marBottom w:val="0"/>
      <w:divBdr>
        <w:top w:val="none" w:sz="0" w:space="0" w:color="auto"/>
        <w:left w:val="none" w:sz="0" w:space="0" w:color="auto"/>
        <w:bottom w:val="none" w:sz="0" w:space="0" w:color="auto"/>
        <w:right w:val="none" w:sz="0" w:space="0" w:color="auto"/>
      </w:divBdr>
    </w:div>
    <w:div w:id="289021488">
      <w:bodyDiv w:val="1"/>
      <w:marLeft w:val="0"/>
      <w:marRight w:val="0"/>
      <w:marTop w:val="0"/>
      <w:marBottom w:val="0"/>
      <w:divBdr>
        <w:top w:val="none" w:sz="0" w:space="0" w:color="auto"/>
        <w:left w:val="none" w:sz="0" w:space="0" w:color="auto"/>
        <w:bottom w:val="none" w:sz="0" w:space="0" w:color="auto"/>
        <w:right w:val="none" w:sz="0" w:space="0" w:color="auto"/>
      </w:divBdr>
    </w:div>
    <w:div w:id="289166750">
      <w:bodyDiv w:val="1"/>
      <w:marLeft w:val="0"/>
      <w:marRight w:val="0"/>
      <w:marTop w:val="0"/>
      <w:marBottom w:val="0"/>
      <w:divBdr>
        <w:top w:val="none" w:sz="0" w:space="0" w:color="auto"/>
        <w:left w:val="none" w:sz="0" w:space="0" w:color="auto"/>
        <w:bottom w:val="none" w:sz="0" w:space="0" w:color="auto"/>
        <w:right w:val="none" w:sz="0" w:space="0" w:color="auto"/>
      </w:divBdr>
    </w:div>
    <w:div w:id="289167172">
      <w:bodyDiv w:val="1"/>
      <w:marLeft w:val="0"/>
      <w:marRight w:val="0"/>
      <w:marTop w:val="0"/>
      <w:marBottom w:val="0"/>
      <w:divBdr>
        <w:top w:val="none" w:sz="0" w:space="0" w:color="auto"/>
        <w:left w:val="none" w:sz="0" w:space="0" w:color="auto"/>
        <w:bottom w:val="none" w:sz="0" w:space="0" w:color="auto"/>
        <w:right w:val="none" w:sz="0" w:space="0" w:color="auto"/>
      </w:divBdr>
    </w:div>
    <w:div w:id="289216254">
      <w:bodyDiv w:val="1"/>
      <w:marLeft w:val="0"/>
      <w:marRight w:val="0"/>
      <w:marTop w:val="0"/>
      <w:marBottom w:val="0"/>
      <w:divBdr>
        <w:top w:val="none" w:sz="0" w:space="0" w:color="auto"/>
        <w:left w:val="none" w:sz="0" w:space="0" w:color="auto"/>
        <w:bottom w:val="none" w:sz="0" w:space="0" w:color="auto"/>
        <w:right w:val="none" w:sz="0" w:space="0" w:color="auto"/>
      </w:divBdr>
    </w:div>
    <w:div w:id="289359057">
      <w:bodyDiv w:val="1"/>
      <w:marLeft w:val="0"/>
      <w:marRight w:val="0"/>
      <w:marTop w:val="0"/>
      <w:marBottom w:val="0"/>
      <w:divBdr>
        <w:top w:val="none" w:sz="0" w:space="0" w:color="auto"/>
        <w:left w:val="none" w:sz="0" w:space="0" w:color="auto"/>
        <w:bottom w:val="none" w:sz="0" w:space="0" w:color="auto"/>
        <w:right w:val="none" w:sz="0" w:space="0" w:color="auto"/>
      </w:divBdr>
    </w:div>
    <w:div w:id="289434312">
      <w:bodyDiv w:val="1"/>
      <w:marLeft w:val="0"/>
      <w:marRight w:val="0"/>
      <w:marTop w:val="0"/>
      <w:marBottom w:val="0"/>
      <w:divBdr>
        <w:top w:val="none" w:sz="0" w:space="0" w:color="auto"/>
        <w:left w:val="none" w:sz="0" w:space="0" w:color="auto"/>
        <w:bottom w:val="none" w:sz="0" w:space="0" w:color="auto"/>
        <w:right w:val="none" w:sz="0" w:space="0" w:color="auto"/>
      </w:divBdr>
    </w:div>
    <w:div w:id="289438683">
      <w:bodyDiv w:val="1"/>
      <w:marLeft w:val="0"/>
      <w:marRight w:val="0"/>
      <w:marTop w:val="0"/>
      <w:marBottom w:val="0"/>
      <w:divBdr>
        <w:top w:val="none" w:sz="0" w:space="0" w:color="auto"/>
        <w:left w:val="none" w:sz="0" w:space="0" w:color="auto"/>
        <w:bottom w:val="none" w:sz="0" w:space="0" w:color="auto"/>
        <w:right w:val="none" w:sz="0" w:space="0" w:color="auto"/>
      </w:divBdr>
    </w:div>
    <w:div w:id="289439234">
      <w:bodyDiv w:val="1"/>
      <w:marLeft w:val="0"/>
      <w:marRight w:val="0"/>
      <w:marTop w:val="0"/>
      <w:marBottom w:val="0"/>
      <w:divBdr>
        <w:top w:val="none" w:sz="0" w:space="0" w:color="auto"/>
        <w:left w:val="none" w:sz="0" w:space="0" w:color="auto"/>
        <w:bottom w:val="none" w:sz="0" w:space="0" w:color="auto"/>
        <w:right w:val="none" w:sz="0" w:space="0" w:color="auto"/>
      </w:divBdr>
    </w:div>
    <w:div w:id="289557781">
      <w:bodyDiv w:val="1"/>
      <w:marLeft w:val="0"/>
      <w:marRight w:val="0"/>
      <w:marTop w:val="0"/>
      <w:marBottom w:val="0"/>
      <w:divBdr>
        <w:top w:val="none" w:sz="0" w:space="0" w:color="auto"/>
        <w:left w:val="none" w:sz="0" w:space="0" w:color="auto"/>
        <w:bottom w:val="none" w:sz="0" w:space="0" w:color="auto"/>
        <w:right w:val="none" w:sz="0" w:space="0" w:color="auto"/>
      </w:divBdr>
    </w:div>
    <w:div w:id="289751500">
      <w:bodyDiv w:val="1"/>
      <w:marLeft w:val="0"/>
      <w:marRight w:val="0"/>
      <w:marTop w:val="0"/>
      <w:marBottom w:val="0"/>
      <w:divBdr>
        <w:top w:val="none" w:sz="0" w:space="0" w:color="auto"/>
        <w:left w:val="none" w:sz="0" w:space="0" w:color="auto"/>
        <w:bottom w:val="none" w:sz="0" w:space="0" w:color="auto"/>
        <w:right w:val="none" w:sz="0" w:space="0" w:color="auto"/>
      </w:divBdr>
    </w:div>
    <w:div w:id="289868957">
      <w:bodyDiv w:val="1"/>
      <w:marLeft w:val="0"/>
      <w:marRight w:val="0"/>
      <w:marTop w:val="0"/>
      <w:marBottom w:val="0"/>
      <w:divBdr>
        <w:top w:val="none" w:sz="0" w:space="0" w:color="auto"/>
        <w:left w:val="none" w:sz="0" w:space="0" w:color="auto"/>
        <w:bottom w:val="none" w:sz="0" w:space="0" w:color="auto"/>
        <w:right w:val="none" w:sz="0" w:space="0" w:color="auto"/>
      </w:divBdr>
    </w:div>
    <w:div w:id="289869011">
      <w:bodyDiv w:val="1"/>
      <w:marLeft w:val="0"/>
      <w:marRight w:val="0"/>
      <w:marTop w:val="0"/>
      <w:marBottom w:val="0"/>
      <w:divBdr>
        <w:top w:val="none" w:sz="0" w:space="0" w:color="auto"/>
        <w:left w:val="none" w:sz="0" w:space="0" w:color="auto"/>
        <w:bottom w:val="none" w:sz="0" w:space="0" w:color="auto"/>
        <w:right w:val="none" w:sz="0" w:space="0" w:color="auto"/>
      </w:divBdr>
    </w:div>
    <w:div w:id="289938706">
      <w:bodyDiv w:val="1"/>
      <w:marLeft w:val="0"/>
      <w:marRight w:val="0"/>
      <w:marTop w:val="0"/>
      <w:marBottom w:val="0"/>
      <w:divBdr>
        <w:top w:val="none" w:sz="0" w:space="0" w:color="auto"/>
        <w:left w:val="none" w:sz="0" w:space="0" w:color="auto"/>
        <w:bottom w:val="none" w:sz="0" w:space="0" w:color="auto"/>
        <w:right w:val="none" w:sz="0" w:space="0" w:color="auto"/>
      </w:divBdr>
    </w:div>
    <w:div w:id="290014664">
      <w:bodyDiv w:val="1"/>
      <w:marLeft w:val="0"/>
      <w:marRight w:val="0"/>
      <w:marTop w:val="0"/>
      <w:marBottom w:val="0"/>
      <w:divBdr>
        <w:top w:val="none" w:sz="0" w:space="0" w:color="auto"/>
        <w:left w:val="none" w:sz="0" w:space="0" w:color="auto"/>
        <w:bottom w:val="none" w:sz="0" w:space="0" w:color="auto"/>
        <w:right w:val="none" w:sz="0" w:space="0" w:color="auto"/>
      </w:divBdr>
    </w:div>
    <w:div w:id="290088268">
      <w:bodyDiv w:val="1"/>
      <w:marLeft w:val="0"/>
      <w:marRight w:val="0"/>
      <w:marTop w:val="0"/>
      <w:marBottom w:val="0"/>
      <w:divBdr>
        <w:top w:val="none" w:sz="0" w:space="0" w:color="auto"/>
        <w:left w:val="none" w:sz="0" w:space="0" w:color="auto"/>
        <w:bottom w:val="none" w:sz="0" w:space="0" w:color="auto"/>
        <w:right w:val="none" w:sz="0" w:space="0" w:color="auto"/>
      </w:divBdr>
    </w:div>
    <w:div w:id="290092400">
      <w:bodyDiv w:val="1"/>
      <w:marLeft w:val="0"/>
      <w:marRight w:val="0"/>
      <w:marTop w:val="0"/>
      <w:marBottom w:val="0"/>
      <w:divBdr>
        <w:top w:val="none" w:sz="0" w:space="0" w:color="auto"/>
        <w:left w:val="none" w:sz="0" w:space="0" w:color="auto"/>
        <w:bottom w:val="none" w:sz="0" w:space="0" w:color="auto"/>
        <w:right w:val="none" w:sz="0" w:space="0" w:color="auto"/>
      </w:divBdr>
    </w:div>
    <w:div w:id="290137005">
      <w:bodyDiv w:val="1"/>
      <w:marLeft w:val="0"/>
      <w:marRight w:val="0"/>
      <w:marTop w:val="0"/>
      <w:marBottom w:val="0"/>
      <w:divBdr>
        <w:top w:val="none" w:sz="0" w:space="0" w:color="auto"/>
        <w:left w:val="none" w:sz="0" w:space="0" w:color="auto"/>
        <w:bottom w:val="none" w:sz="0" w:space="0" w:color="auto"/>
        <w:right w:val="none" w:sz="0" w:space="0" w:color="auto"/>
      </w:divBdr>
    </w:div>
    <w:div w:id="290206974">
      <w:bodyDiv w:val="1"/>
      <w:marLeft w:val="0"/>
      <w:marRight w:val="0"/>
      <w:marTop w:val="0"/>
      <w:marBottom w:val="0"/>
      <w:divBdr>
        <w:top w:val="none" w:sz="0" w:space="0" w:color="auto"/>
        <w:left w:val="none" w:sz="0" w:space="0" w:color="auto"/>
        <w:bottom w:val="none" w:sz="0" w:space="0" w:color="auto"/>
        <w:right w:val="none" w:sz="0" w:space="0" w:color="auto"/>
      </w:divBdr>
    </w:div>
    <w:div w:id="290210022">
      <w:bodyDiv w:val="1"/>
      <w:marLeft w:val="0"/>
      <w:marRight w:val="0"/>
      <w:marTop w:val="0"/>
      <w:marBottom w:val="0"/>
      <w:divBdr>
        <w:top w:val="none" w:sz="0" w:space="0" w:color="auto"/>
        <w:left w:val="none" w:sz="0" w:space="0" w:color="auto"/>
        <w:bottom w:val="none" w:sz="0" w:space="0" w:color="auto"/>
        <w:right w:val="none" w:sz="0" w:space="0" w:color="auto"/>
      </w:divBdr>
    </w:div>
    <w:div w:id="290333535">
      <w:bodyDiv w:val="1"/>
      <w:marLeft w:val="0"/>
      <w:marRight w:val="0"/>
      <w:marTop w:val="0"/>
      <w:marBottom w:val="0"/>
      <w:divBdr>
        <w:top w:val="none" w:sz="0" w:space="0" w:color="auto"/>
        <w:left w:val="none" w:sz="0" w:space="0" w:color="auto"/>
        <w:bottom w:val="none" w:sz="0" w:space="0" w:color="auto"/>
        <w:right w:val="none" w:sz="0" w:space="0" w:color="auto"/>
      </w:divBdr>
    </w:div>
    <w:div w:id="290401117">
      <w:bodyDiv w:val="1"/>
      <w:marLeft w:val="0"/>
      <w:marRight w:val="0"/>
      <w:marTop w:val="0"/>
      <w:marBottom w:val="0"/>
      <w:divBdr>
        <w:top w:val="none" w:sz="0" w:space="0" w:color="auto"/>
        <w:left w:val="none" w:sz="0" w:space="0" w:color="auto"/>
        <w:bottom w:val="none" w:sz="0" w:space="0" w:color="auto"/>
        <w:right w:val="none" w:sz="0" w:space="0" w:color="auto"/>
      </w:divBdr>
    </w:div>
    <w:div w:id="290477337">
      <w:bodyDiv w:val="1"/>
      <w:marLeft w:val="0"/>
      <w:marRight w:val="0"/>
      <w:marTop w:val="0"/>
      <w:marBottom w:val="0"/>
      <w:divBdr>
        <w:top w:val="none" w:sz="0" w:space="0" w:color="auto"/>
        <w:left w:val="none" w:sz="0" w:space="0" w:color="auto"/>
        <w:bottom w:val="none" w:sz="0" w:space="0" w:color="auto"/>
        <w:right w:val="none" w:sz="0" w:space="0" w:color="auto"/>
      </w:divBdr>
    </w:div>
    <w:div w:id="290479868">
      <w:bodyDiv w:val="1"/>
      <w:marLeft w:val="0"/>
      <w:marRight w:val="0"/>
      <w:marTop w:val="0"/>
      <w:marBottom w:val="0"/>
      <w:divBdr>
        <w:top w:val="none" w:sz="0" w:space="0" w:color="auto"/>
        <w:left w:val="none" w:sz="0" w:space="0" w:color="auto"/>
        <w:bottom w:val="none" w:sz="0" w:space="0" w:color="auto"/>
        <w:right w:val="none" w:sz="0" w:space="0" w:color="auto"/>
      </w:divBdr>
    </w:div>
    <w:div w:id="290524734">
      <w:bodyDiv w:val="1"/>
      <w:marLeft w:val="0"/>
      <w:marRight w:val="0"/>
      <w:marTop w:val="0"/>
      <w:marBottom w:val="0"/>
      <w:divBdr>
        <w:top w:val="none" w:sz="0" w:space="0" w:color="auto"/>
        <w:left w:val="none" w:sz="0" w:space="0" w:color="auto"/>
        <w:bottom w:val="none" w:sz="0" w:space="0" w:color="auto"/>
        <w:right w:val="none" w:sz="0" w:space="0" w:color="auto"/>
      </w:divBdr>
    </w:div>
    <w:div w:id="290525883">
      <w:bodyDiv w:val="1"/>
      <w:marLeft w:val="0"/>
      <w:marRight w:val="0"/>
      <w:marTop w:val="0"/>
      <w:marBottom w:val="0"/>
      <w:divBdr>
        <w:top w:val="none" w:sz="0" w:space="0" w:color="auto"/>
        <w:left w:val="none" w:sz="0" w:space="0" w:color="auto"/>
        <w:bottom w:val="none" w:sz="0" w:space="0" w:color="auto"/>
        <w:right w:val="none" w:sz="0" w:space="0" w:color="auto"/>
      </w:divBdr>
    </w:div>
    <w:div w:id="290525905">
      <w:bodyDiv w:val="1"/>
      <w:marLeft w:val="0"/>
      <w:marRight w:val="0"/>
      <w:marTop w:val="0"/>
      <w:marBottom w:val="0"/>
      <w:divBdr>
        <w:top w:val="none" w:sz="0" w:space="0" w:color="auto"/>
        <w:left w:val="none" w:sz="0" w:space="0" w:color="auto"/>
        <w:bottom w:val="none" w:sz="0" w:space="0" w:color="auto"/>
        <w:right w:val="none" w:sz="0" w:space="0" w:color="auto"/>
      </w:divBdr>
    </w:div>
    <w:div w:id="290526633">
      <w:bodyDiv w:val="1"/>
      <w:marLeft w:val="0"/>
      <w:marRight w:val="0"/>
      <w:marTop w:val="0"/>
      <w:marBottom w:val="0"/>
      <w:divBdr>
        <w:top w:val="none" w:sz="0" w:space="0" w:color="auto"/>
        <w:left w:val="none" w:sz="0" w:space="0" w:color="auto"/>
        <w:bottom w:val="none" w:sz="0" w:space="0" w:color="auto"/>
        <w:right w:val="none" w:sz="0" w:space="0" w:color="auto"/>
      </w:divBdr>
    </w:div>
    <w:div w:id="290597271">
      <w:bodyDiv w:val="1"/>
      <w:marLeft w:val="0"/>
      <w:marRight w:val="0"/>
      <w:marTop w:val="0"/>
      <w:marBottom w:val="0"/>
      <w:divBdr>
        <w:top w:val="none" w:sz="0" w:space="0" w:color="auto"/>
        <w:left w:val="none" w:sz="0" w:space="0" w:color="auto"/>
        <w:bottom w:val="none" w:sz="0" w:space="0" w:color="auto"/>
        <w:right w:val="none" w:sz="0" w:space="0" w:color="auto"/>
      </w:divBdr>
    </w:div>
    <w:div w:id="290598708">
      <w:bodyDiv w:val="1"/>
      <w:marLeft w:val="0"/>
      <w:marRight w:val="0"/>
      <w:marTop w:val="0"/>
      <w:marBottom w:val="0"/>
      <w:divBdr>
        <w:top w:val="none" w:sz="0" w:space="0" w:color="auto"/>
        <w:left w:val="none" w:sz="0" w:space="0" w:color="auto"/>
        <w:bottom w:val="none" w:sz="0" w:space="0" w:color="auto"/>
        <w:right w:val="none" w:sz="0" w:space="0" w:color="auto"/>
      </w:divBdr>
    </w:div>
    <w:div w:id="290749867">
      <w:bodyDiv w:val="1"/>
      <w:marLeft w:val="0"/>
      <w:marRight w:val="0"/>
      <w:marTop w:val="0"/>
      <w:marBottom w:val="0"/>
      <w:divBdr>
        <w:top w:val="none" w:sz="0" w:space="0" w:color="auto"/>
        <w:left w:val="none" w:sz="0" w:space="0" w:color="auto"/>
        <w:bottom w:val="none" w:sz="0" w:space="0" w:color="auto"/>
        <w:right w:val="none" w:sz="0" w:space="0" w:color="auto"/>
      </w:divBdr>
    </w:div>
    <w:div w:id="290750004">
      <w:bodyDiv w:val="1"/>
      <w:marLeft w:val="0"/>
      <w:marRight w:val="0"/>
      <w:marTop w:val="0"/>
      <w:marBottom w:val="0"/>
      <w:divBdr>
        <w:top w:val="none" w:sz="0" w:space="0" w:color="auto"/>
        <w:left w:val="none" w:sz="0" w:space="0" w:color="auto"/>
        <w:bottom w:val="none" w:sz="0" w:space="0" w:color="auto"/>
        <w:right w:val="none" w:sz="0" w:space="0" w:color="auto"/>
      </w:divBdr>
    </w:div>
    <w:div w:id="290868498">
      <w:bodyDiv w:val="1"/>
      <w:marLeft w:val="0"/>
      <w:marRight w:val="0"/>
      <w:marTop w:val="0"/>
      <w:marBottom w:val="0"/>
      <w:divBdr>
        <w:top w:val="none" w:sz="0" w:space="0" w:color="auto"/>
        <w:left w:val="none" w:sz="0" w:space="0" w:color="auto"/>
        <w:bottom w:val="none" w:sz="0" w:space="0" w:color="auto"/>
        <w:right w:val="none" w:sz="0" w:space="0" w:color="auto"/>
      </w:divBdr>
    </w:div>
    <w:div w:id="290870195">
      <w:bodyDiv w:val="1"/>
      <w:marLeft w:val="0"/>
      <w:marRight w:val="0"/>
      <w:marTop w:val="0"/>
      <w:marBottom w:val="0"/>
      <w:divBdr>
        <w:top w:val="none" w:sz="0" w:space="0" w:color="auto"/>
        <w:left w:val="none" w:sz="0" w:space="0" w:color="auto"/>
        <w:bottom w:val="none" w:sz="0" w:space="0" w:color="auto"/>
        <w:right w:val="none" w:sz="0" w:space="0" w:color="auto"/>
      </w:divBdr>
    </w:div>
    <w:div w:id="291059745">
      <w:bodyDiv w:val="1"/>
      <w:marLeft w:val="0"/>
      <w:marRight w:val="0"/>
      <w:marTop w:val="0"/>
      <w:marBottom w:val="0"/>
      <w:divBdr>
        <w:top w:val="none" w:sz="0" w:space="0" w:color="auto"/>
        <w:left w:val="none" w:sz="0" w:space="0" w:color="auto"/>
        <w:bottom w:val="none" w:sz="0" w:space="0" w:color="auto"/>
        <w:right w:val="none" w:sz="0" w:space="0" w:color="auto"/>
      </w:divBdr>
    </w:div>
    <w:div w:id="291134037">
      <w:bodyDiv w:val="1"/>
      <w:marLeft w:val="0"/>
      <w:marRight w:val="0"/>
      <w:marTop w:val="0"/>
      <w:marBottom w:val="0"/>
      <w:divBdr>
        <w:top w:val="none" w:sz="0" w:space="0" w:color="auto"/>
        <w:left w:val="none" w:sz="0" w:space="0" w:color="auto"/>
        <w:bottom w:val="none" w:sz="0" w:space="0" w:color="auto"/>
        <w:right w:val="none" w:sz="0" w:space="0" w:color="auto"/>
      </w:divBdr>
    </w:div>
    <w:div w:id="291206427">
      <w:bodyDiv w:val="1"/>
      <w:marLeft w:val="0"/>
      <w:marRight w:val="0"/>
      <w:marTop w:val="0"/>
      <w:marBottom w:val="0"/>
      <w:divBdr>
        <w:top w:val="none" w:sz="0" w:space="0" w:color="auto"/>
        <w:left w:val="none" w:sz="0" w:space="0" w:color="auto"/>
        <w:bottom w:val="none" w:sz="0" w:space="0" w:color="auto"/>
        <w:right w:val="none" w:sz="0" w:space="0" w:color="auto"/>
      </w:divBdr>
    </w:div>
    <w:div w:id="291248852">
      <w:bodyDiv w:val="1"/>
      <w:marLeft w:val="0"/>
      <w:marRight w:val="0"/>
      <w:marTop w:val="0"/>
      <w:marBottom w:val="0"/>
      <w:divBdr>
        <w:top w:val="none" w:sz="0" w:space="0" w:color="auto"/>
        <w:left w:val="none" w:sz="0" w:space="0" w:color="auto"/>
        <w:bottom w:val="none" w:sz="0" w:space="0" w:color="auto"/>
        <w:right w:val="none" w:sz="0" w:space="0" w:color="auto"/>
      </w:divBdr>
    </w:div>
    <w:div w:id="291448272">
      <w:bodyDiv w:val="1"/>
      <w:marLeft w:val="0"/>
      <w:marRight w:val="0"/>
      <w:marTop w:val="0"/>
      <w:marBottom w:val="0"/>
      <w:divBdr>
        <w:top w:val="none" w:sz="0" w:space="0" w:color="auto"/>
        <w:left w:val="none" w:sz="0" w:space="0" w:color="auto"/>
        <w:bottom w:val="none" w:sz="0" w:space="0" w:color="auto"/>
        <w:right w:val="none" w:sz="0" w:space="0" w:color="auto"/>
      </w:divBdr>
    </w:div>
    <w:div w:id="291785135">
      <w:bodyDiv w:val="1"/>
      <w:marLeft w:val="0"/>
      <w:marRight w:val="0"/>
      <w:marTop w:val="0"/>
      <w:marBottom w:val="0"/>
      <w:divBdr>
        <w:top w:val="none" w:sz="0" w:space="0" w:color="auto"/>
        <w:left w:val="none" w:sz="0" w:space="0" w:color="auto"/>
        <w:bottom w:val="none" w:sz="0" w:space="0" w:color="auto"/>
        <w:right w:val="none" w:sz="0" w:space="0" w:color="auto"/>
      </w:divBdr>
    </w:div>
    <w:div w:id="291788109">
      <w:bodyDiv w:val="1"/>
      <w:marLeft w:val="0"/>
      <w:marRight w:val="0"/>
      <w:marTop w:val="0"/>
      <w:marBottom w:val="0"/>
      <w:divBdr>
        <w:top w:val="none" w:sz="0" w:space="0" w:color="auto"/>
        <w:left w:val="none" w:sz="0" w:space="0" w:color="auto"/>
        <w:bottom w:val="none" w:sz="0" w:space="0" w:color="auto"/>
        <w:right w:val="none" w:sz="0" w:space="0" w:color="auto"/>
      </w:divBdr>
    </w:div>
    <w:div w:id="291835379">
      <w:bodyDiv w:val="1"/>
      <w:marLeft w:val="0"/>
      <w:marRight w:val="0"/>
      <w:marTop w:val="0"/>
      <w:marBottom w:val="0"/>
      <w:divBdr>
        <w:top w:val="none" w:sz="0" w:space="0" w:color="auto"/>
        <w:left w:val="none" w:sz="0" w:space="0" w:color="auto"/>
        <w:bottom w:val="none" w:sz="0" w:space="0" w:color="auto"/>
        <w:right w:val="none" w:sz="0" w:space="0" w:color="auto"/>
      </w:divBdr>
    </w:div>
    <w:div w:id="291837019">
      <w:bodyDiv w:val="1"/>
      <w:marLeft w:val="0"/>
      <w:marRight w:val="0"/>
      <w:marTop w:val="0"/>
      <w:marBottom w:val="0"/>
      <w:divBdr>
        <w:top w:val="none" w:sz="0" w:space="0" w:color="auto"/>
        <w:left w:val="none" w:sz="0" w:space="0" w:color="auto"/>
        <w:bottom w:val="none" w:sz="0" w:space="0" w:color="auto"/>
        <w:right w:val="none" w:sz="0" w:space="0" w:color="auto"/>
      </w:divBdr>
    </w:div>
    <w:div w:id="291986707">
      <w:bodyDiv w:val="1"/>
      <w:marLeft w:val="0"/>
      <w:marRight w:val="0"/>
      <w:marTop w:val="0"/>
      <w:marBottom w:val="0"/>
      <w:divBdr>
        <w:top w:val="none" w:sz="0" w:space="0" w:color="auto"/>
        <w:left w:val="none" w:sz="0" w:space="0" w:color="auto"/>
        <w:bottom w:val="none" w:sz="0" w:space="0" w:color="auto"/>
        <w:right w:val="none" w:sz="0" w:space="0" w:color="auto"/>
      </w:divBdr>
    </w:div>
    <w:div w:id="291987715">
      <w:bodyDiv w:val="1"/>
      <w:marLeft w:val="0"/>
      <w:marRight w:val="0"/>
      <w:marTop w:val="0"/>
      <w:marBottom w:val="0"/>
      <w:divBdr>
        <w:top w:val="none" w:sz="0" w:space="0" w:color="auto"/>
        <w:left w:val="none" w:sz="0" w:space="0" w:color="auto"/>
        <w:bottom w:val="none" w:sz="0" w:space="0" w:color="auto"/>
        <w:right w:val="none" w:sz="0" w:space="0" w:color="auto"/>
      </w:divBdr>
    </w:div>
    <w:div w:id="292059310">
      <w:bodyDiv w:val="1"/>
      <w:marLeft w:val="0"/>
      <w:marRight w:val="0"/>
      <w:marTop w:val="0"/>
      <w:marBottom w:val="0"/>
      <w:divBdr>
        <w:top w:val="none" w:sz="0" w:space="0" w:color="auto"/>
        <w:left w:val="none" w:sz="0" w:space="0" w:color="auto"/>
        <w:bottom w:val="none" w:sz="0" w:space="0" w:color="auto"/>
        <w:right w:val="none" w:sz="0" w:space="0" w:color="auto"/>
      </w:divBdr>
    </w:div>
    <w:div w:id="292096541">
      <w:bodyDiv w:val="1"/>
      <w:marLeft w:val="0"/>
      <w:marRight w:val="0"/>
      <w:marTop w:val="0"/>
      <w:marBottom w:val="0"/>
      <w:divBdr>
        <w:top w:val="none" w:sz="0" w:space="0" w:color="auto"/>
        <w:left w:val="none" w:sz="0" w:space="0" w:color="auto"/>
        <w:bottom w:val="none" w:sz="0" w:space="0" w:color="auto"/>
        <w:right w:val="none" w:sz="0" w:space="0" w:color="auto"/>
      </w:divBdr>
    </w:div>
    <w:div w:id="292096720">
      <w:bodyDiv w:val="1"/>
      <w:marLeft w:val="0"/>
      <w:marRight w:val="0"/>
      <w:marTop w:val="0"/>
      <w:marBottom w:val="0"/>
      <w:divBdr>
        <w:top w:val="none" w:sz="0" w:space="0" w:color="auto"/>
        <w:left w:val="none" w:sz="0" w:space="0" w:color="auto"/>
        <w:bottom w:val="none" w:sz="0" w:space="0" w:color="auto"/>
        <w:right w:val="none" w:sz="0" w:space="0" w:color="auto"/>
      </w:divBdr>
    </w:div>
    <w:div w:id="292097890">
      <w:bodyDiv w:val="1"/>
      <w:marLeft w:val="0"/>
      <w:marRight w:val="0"/>
      <w:marTop w:val="0"/>
      <w:marBottom w:val="0"/>
      <w:divBdr>
        <w:top w:val="none" w:sz="0" w:space="0" w:color="auto"/>
        <w:left w:val="none" w:sz="0" w:space="0" w:color="auto"/>
        <w:bottom w:val="none" w:sz="0" w:space="0" w:color="auto"/>
        <w:right w:val="none" w:sz="0" w:space="0" w:color="auto"/>
      </w:divBdr>
    </w:div>
    <w:div w:id="292518672">
      <w:bodyDiv w:val="1"/>
      <w:marLeft w:val="0"/>
      <w:marRight w:val="0"/>
      <w:marTop w:val="0"/>
      <w:marBottom w:val="0"/>
      <w:divBdr>
        <w:top w:val="none" w:sz="0" w:space="0" w:color="auto"/>
        <w:left w:val="none" w:sz="0" w:space="0" w:color="auto"/>
        <w:bottom w:val="none" w:sz="0" w:space="0" w:color="auto"/>
        <w:right w:val="none" w:sz="0" w:space="0" w:color="auto"/>
      </w:divBdr>
    </w:div>
    <w:div w:id="292559008">
      <w:bodyDiv w:val="1"/>
      <w:marLeft w:val="0"/>
      <w:marRight w:val="0"/>
      <w:marTop w:val="0"/>
      <w:marBottom w:val="0"/>
      <w:divBdr>
        <w:top w:val="none" w:sz="0" w:space="0" w:color="auto"/>
        <w:left w:val="none" w:sz="0" w:space="0" w:color="auto"/>
        <w:bottom w:val="none" w:sz="0" w:space="0" w:color="auto"/>
        <w:right w:val="none" w:sz="0" w:space="0" w:color="auto"/>
      </w:divBdr>
    </w:div>
    <w:div w:id="292562794">
      <w:bodyDiv w:val="1"/>
      <w:marLeft w:val="0"/>
      <w:marRight w:val="0"/>
      <w:marTop w:val="0"/>
      <w:marBottom w:val="0"/>
      <w:divBdr>
        <w:top w:val="none" w:sz="0" w:space="0" w:color="auto"/>
        <w:left w:val="none" w:sz="0" w:space="0" w:color="auto"/>
        <w:bottom w:val="none" w:sz="0" w:space="0" w:color="auto"/>
        <w:right w:val="none" w:sz="0" w:space="0" w:color="auto"/>
      </w:divBdr>
    </w:div>
    <w:div w:id="292642195">
      <w:bodyDiv w:val="1"/>
      <w:marLeft w:val="0"/>
      <w:marRight w:val="0"/>
      <w:marTop w:val="0"/>
      <w:marBottom w:val="0"/>
      <w:divBdr>
        <w:top w:val="none" w:sz="0" w:space="0" w:color="auto"/>
        <w:left w:val="none" w:sz="0" w:space="0" w:color="auto"/>
        <w:bottom w:val="none" w:sz="0" w:space="0" w:color="auto"/>
        <w:right w:val="none" w:sz="0" w:space="0" w:color="auto"/>
      </w:divBdr>
    </w:div>
    <w:div w:id="292685122">
      <w:bodyDiv w:val="1"/>
      <w:marLeft w:val="0"/>
      <w:marRight w:val="0"/>
      <w:marTop w:val="0"/>
      <w:marBottom w:val="0"/>
      <w:divBdr>
        <w:top w:val="none" w:sz="0" w:space="0" w:color="auto"/>
        <w:left w:val="none" w:sz="0" w:space="0" w:color="auto"/>
        <w:bottom w:val="none" w:sz="0" w:space="0" w:color="auto"/>
        <w:right w:val="none" w:sz="0" w:space="0" w:color="auto"/>
      </w:divBdr>
    </w:div>
    <w:div w:id="292685599">
      <w:bodyDiv w:val="1"/>
      <w:marLeft w:val="0"/>
      <w:marRight w:val="0"/>
      <w:marTop w:val="0"/>
      <w:marBottom w:val="0"/>
      <w:divBdr>
        <w:top w:val="none" w:sz="0" w:space="0" w:color="auto"/>
        <w:left w:val="none" w:sz="0" w:space="0" w:color="auto"/>
        <w:bottom w:val="none" w:sz="0" w:space="0" w:color="auto"/>
        <w:right w:val="none" w:sz="0" w:space="0" w:color="auto"/>
      </w:divBdr>
    </w:div>
    <w:div w:id="292753225">
      <w:bodyDiv w:val="1"/>
      <w:marLeft w:val="0"/>
      <w:marRight w:val="0"/>
      <w:marTop w:val="0"/>
      <w:marBottom w:val="0"/>
      <w:divBdr>
        <w:top w:val="none" w:sz="0" w:space="0" w:color="auto"/>
        <w:left w:val="none" w:sz="0" w:space="0" w:color="auto"/>
        <w:bottom w:val="none" w:sz="0" w:space="0" w:color="auto"/>
        <w:right w:val="none" w:sz="0" w:space="0" w:color="auto"/>
      </w:divBdr>
    </w:div>
    <w:div w:id="292756054">
      <w:bodyDiv w:val="1"/>
      <w:marLeft w:val="0"/>
      <w:marRight w:val="0"/>
      <w:marTop w:val="0"/>
      <w:marBottom w:val="0"/>
      <w:divBdr>
        <w:top w:val="none" w:sz="0" w:space="0" w:color="auto"/>
        <w:left w:val="none" w:sz="0" w:space="0" w:color="auto"/>
        <w:bottom w:val="none" w:sz="0" w:space="0" w:color="auto"/>
        <w:right w:val="none" w:sz="0" w:space="0" w:color="auto"/>
      </w:divBdr>
    </w:div>
    <w:div w:id="292830866">
      <w:bodyDiv w:val="1"/>
      <w:marLeft w:val="0"/>
      <w:marRight w:val="0"/>
      <w:marTop w:val="0"/>
      <w:marBottom w:val="0"/>
      <w:divBdr>
        <w:top w:val="none" w:sz="0" w:space="0" w:color="auto"/>
        <w:left w:val="none" w:sz="0" w:space="0" w:color="auto"/>
        <w:bottom w:val="none" w:sz="0" w:space="0" w:color="auto"/>
        <w:right w:val="none" w:sz="0" w:space="0" w:color="auto"/>
      </w:divBdr>
    </w:div>
    <w:div w:id="292833539">
      <w:bodyDiv w:val="1"/>
      <w:marLeft w:val="0"/>
      <w:marRight w:val="0"/>
      <w:marTop w:val="0"/>
      <w:marBottom w:val="0"/>
      <w:divBdr>
        <w:top w:val="none" w:sz="0" w:space="0" w:color="auto"/>
        <w:left w:val="none" w:sz="0" w:space="0" w:color="auto"/>
        <w:bottom w:val="none" w:sz="0" w:space="0" w:color="auto"/>
        <w:right w:val="none" w:sz="0" w:space="0" w:color="auto"/>
      </w:divBdr>
    </w:div>
    <w:div w:id="292902537">
      <w:bodyDiv w:val="1"/>
      <w:marLeft w:val="0"/>
      <w:marRight w:val="0"/>
      <w:marTop w:val="0"/>
      <w:marBottom w:val="0"/>
      <w:divBdr>
        <w:top w:val="none" w:sz="0" w:space="0" w:color="auto"/>
        <w:left w:val="none" w:sz="0" w:space="0" w:color="auto"/>
        <w:bottom w:val="none" w:sz="0" w:space="0" w:color="auto"/>
        <w:right w:val="none" w:sz="0" w:space="0" w:color="auto"/>
      </w:divBdr>
    </w:div>
    <w:div w:id="292904386">
      <w:bodyDiv w:val="1"/>
      <w:marLeft w:val="0"/>
      <w:marRight w:val="0"/>
      <w:marTop w:val="0"/>
      <w:marBottom w:val="0"/>
      <w:divBdr>
        <w:top w:val="none" w:sz="0" w:space="0" w:color="auto"/>
        <w:left w:val="none" w:sz="0" w:space="0" w:color="auto"/>
        <w:bottom w:val="none" w:sz="0" w:space="0" w:color="auto"/>
        <w:right w:val="none" w:sz="0" w:space="0" w:color="auto"/>
      </w:divBdr>
    </w:div>
    <w:div w:id="292906798">
      <w:bodyDiv w:val="1"/>
      <w:marLeft w:val="0"/>
      <w:marRight w:val="0"/>
      <w:marTop w:val="0"/>
      <w:marBottom w:val="0"/>
      <w:divBdr>
        <w:top w:val="none" w:sz="0" w:space="0" w:color="auto"/>
        <w:left w:val="none" w:sz="0" w:space="0" w:color="auto"/>
        <w:bottom w:val="none" w:sz="0" w:space="0" w:color="auto"/>
        <w:right w:val="none" w:sz="0" w:space="0" w:color="auto"/>
      </w:divBdr>
    </w:div>
    <w:div w:id="292908132">
      <w:bodyDiv w:val="1"/>
      <w:marLeft w:val="0"/>
      <w:marRight w:val="0"/>
      <w:marTop w:val="0"/>
      <w:marBottom w:val="0"/>
      <w:divBdr>
        <w:top w:val="none" w:sz="0" w:space="0" w:color="auto"/>
        <w:left w:val="none" w:sz="0" w:space="0" w:color="auto"/>
        <w:bottom w:val="none" w:sz="0" w:space="0" w:color="auto"/>
        <w:right w:val="none" w:sz="0" w:space="0" w:color="auto"/>
      </w:divBdr>
    </w:div>
    <w:div w:id="292911143">
      <w:bodyDiv w:val="1"/>
      <w:marLeft w:val="0"/>
      <w:marRight w:val="0"/>
      <w:marTop w:val="0"/>
      <w:marBottom w:val="0"/>
      <w:divBdr>
        <w:top w:val="none" w:sz="0" w:space="0" w:color="auto"/>
        <w:left w:val="none" w:sz="0" w:space="0" w:color="auto"/>
        <w:bottom w:val="none" w:sz="0" w:space="0" w:color="auto"/>
        <w:right w:val="none" w:sz="0" w:space="0" w:color="auto"/>
      </w:divBdr>
    </w:div>
    <w:div w:id="292946639">
      <w:bodyDiv w:val="1"/>
      <w:marLeft w:val="0"/>
      <w:marRight w:val="0"/>
      <w:marTop w:val="0"/>
      <w:marBottom w:val="0"/>
      <w:divBdr>
        <w:top w:val="none" w:sz="0" w:space="0" w:color="auto"/>
        <w:left w:val="none" w:sz="0" w:space="0" w:color="auto"/>
        <w:bottom w:val="none" w:sz="0" w:space="0" w:color="auto"/>
        <w:right w:val="none" w:sz="0" w:space="0" w:color="auto"/>
      </w:divBdr>
    </w:div>
    <w:div w:id="292951076">
      <w:bodyDiv w:val="1"/>
      <w:marLeft w:val="0"/>
      <w:marRight w:val="0"/>
      <w:marTop w:val="0"/>
      <w:marBottom w:val="0"/>
      <w:divBdr>
        <w:top w:val="none" w:sz="0" w:space="0" w:color="auto"/>
        <w:left w:val="none" w:sz="0" w:space="0" w:color="auto"/>
        <w:bottom w:val="none" w:sz="0" w:space="0" w:color="auto"/>
        <w:right w:val="none" w:sz="0" w:space="0" w:color="auto"/>
      </w:divBdr>
    </w:div>
    <w:div w:id="293027086">
      <w:bodyDiv w:val="1"/>
      <w:marLeft w:val="0"/>
      <w:marRight w:val="0"/>
      <w:marTop w:val="0"/>
      <w:marBottom w:val="0"/>
      <w:divBdr>
        <w:top w:val="none" w:sz="0" w:space="0" w:color="auto"/>
        <w:left w:val="none" w:sz="0" w:space="0" w:color="auto"/>
        <w:bottom w:val="none" w:sz="0" w:space="0" w:color="auto"/>
        <w:right w:val="none" w:sz="0" w:space="0" w:color="auto"/>
      </w:divBdr>
    </w:div>
    <w:div w:id="293098475">
      <w:bodyDiv w:val="1"/>
      <w:marLeft w:val="0"/>
      <w:marRight w:val="0"/>
      <w:marTop w:val="0"/>
      <w:marBottom w:val="0"/>
      <w:divBdr>
        <w:top w:val="none" w:sz="0" w:space="0" w:color="auto"/>
        <w:left w:val="none" w:sz="0" w:space="0" w:color="auto"/>
        <w:bottom w:val="none" w:sz="0" w:space="0" w:color="auto"/>
        <w:right w:val="none" w:sz="0" w:space="0" w:color="auto"/>
      </w:divBdr>
    </w:div>
    <w:div w:id="293099488">
      <w:bodyDiv w:val="1"/>
      <w:marLeft w:val="0"/>
      <w:marRight w:val="0"/>
      <w:marTop w:val="0"/>
      <w:marBottom w:val="0"/>
      <w:divBdr>
        <w:top w:val="none" w:sz="0" w:space="0" w:color="auto"/>
        <w:left w:val="none" w:sz="0" w:space="0" w:color="auto"/>
        <w:bottom w:val="none" w:sz="0" w:space="0" w:color="auto"/>
        <w:right w:val="none" w:sz="0" w:space="0" w:color="auto"/>
      </w:divBdr>
    </w:div>
    <w:div w:id="293216346">
      <w:bodyDiv w:val="1"/>
      <w:marLeft w:val="0"/>
      <w:marRight w:val="0"/>
      <w:marTop w:val="0"/>
      <w:marBottom w:val="0"/>
      <w:divBdr>
        <w:top w:val="none" w:sz="0" w:space="0" w:color="auto"/>
        <w:left w:val="none" w:sz="0" w:space="0" w:color="auto"/>
        <w:bottom w:val="none" w:sz="0" w:space="0" w:color="auto"/>
        <w:right w:val="none" w:sz="0" w:space="0" w:color="auto"/>
      </w:divBdr>
    </w:div>
    <w:div w:id="293218164">
      <w:bodyDiv w:val="1"/>
      <w:marLeft w:val="0"/>
      <w:marRight w:val="0"/>
      <w:marTop w:val="0"/>
      <w:marBottom w:val="0"/>
      <w:divBdr>
        <w:top w:val="none" w:sz="0" w:space="0" w:color="auto"/>
        <w:left w:val="none" w:sz="0" w:space="0" w:color="auto"/>
        <w:bottom w:val="none" w:sz="0" w:space="0" w:color="auto"/>
        <w:right w:val="none" w:sz="0" w:space="0" w:color="auto"/>
      </w:divBdr>
    </w:div>
    <w:div w:id="293293111">
      <w:bodyDiv w:val="1"/>
      <w:marLeft w:val="0"/>
      <w:marRight w:val="0"/>
      <w:marTop w:val="0"/>
      <w:marBottom w:val="0"/>
      <w:divBdr>
        <w:top w:val="none" w:sz="0" w:space="0" w:color="auto"/>
        <w:left w:val="none" w:sz="0" w:space="0" w:color="auto"/>
        <w:bottom w:val="none" w:sz="0" w:space="0" w:color="auto"/>
        <w:right w:val="none" w:sz="0" w:space="0" w:color="auto"/>
      </w:divBdr>
    </w:div>
    <w:div w:id="293410105">
      <w:bodyDiv w:val="1"/>
      <w:marLeft w:val="0"/>
      <w:marRight w:val="0"/>
      <w:marTop w:val="0"/>
      <w:marBottom w:val="0"/>
      <w:divBdr>
        <w:top w:val="none" w:sz="0" w:space="0" w:color="auto"/>
        <w:left w:val="none" w:sz="0" w:space="0" w:color="auto"/>
        <w:bottom w:val="none" w:sz="0" w:space="0" w:color="auto"/>
        <w:right w:val="none" w:sz="0" w:space="0" w:color="auto"/>
      </w:divBdr>
    </w:div>
    <w:div w:id="293412190">
      <w:bodyDiv w:val="1"/>
      <w:marLeft w:val="0"/>
      <w:marRight w:val="0"/>
      <w:marTop w:val="0"/>
      <w:marBottom w:val="0"/>
      <w:divBdr>
        <w:top w:val="none" w:sz="0" w:space="0" w:color="auto"/>
        <w:left w:val="none" w:sz="0" w:space="0" w:color="auto"/>
        <w:bottom w:val="none" w:sz="0" w:space="0" w:color="auto"/>
        <w:right w:val="none" w:sz="0" w:space="0" w:color="auto"/>
      </w:divBdr>
    </w:div>
    <w:div w:id="293482950">
      <w:bodyDiv w:val="1"/>
      <w:marLeft w:val="0"/>
      <w:marRight w:val="0"/>
      <w:marTop w:val="0"/>
      <w:marBottom w:val="0"/>
      <w:divBdr>
        <w:top w:val="none" w:sz="0" w:space="0" w:color="auto"/>
        <w:left w:val="none" w:sz="0" w:space="0" w:color="auto"/>
        <w:bottom w:val="none" w:sz="0" w:space="0" w:color="auto"/>
        <w:right w:val="none" w:sz="0" w:space="0" w:color="auto"/>
      </w:divBdr>
    </w:div>
    <w:div w:id="293563964">
      <w:bodyDiv w:val="1"/>
      <w:marLeft w:val="0"/>
      <w:marRight w:val="0"/>
      <w:marTop w:val="0"/>
      <w:marBottom w:val="0"/>
      <w:divBdr>
        <w:top w:val="none" w:sz="0" w:space="0" w:color="auto"/>
        <w:left w:val="none" w:sz="0" w:space="0" w:color="auto"/>
        <w:bottom w:val="none" w:sz="0" w:space="0" w:color="auto"/>
        <w:right w:val="none" w:sz="0" w:space="0" w:color="auto"/>
      </w:divBdr>
    </w:div>
    <w:div w:id="293750970">
      <w:bodyDiv w:val="1"/>
      <w:marLeft w:val="0"/>
      <w:marRight w:val="0"/>
      <w:marTop w:val="0"/>
      <w:marBottom w:val="0"/>
      <w:divBdr>
        <w:top w:val="none" w:sz="0" w:space="0" w:color="auto"/>
        <w:left w:val="none" w:sz="0" w:space="0" w:color="auto"/>
        <w:bottom w:val="none" w:sz="0" w:space="0" w:color="auto"/>
        <w:right w:val="none" w:sz="0" w:space="0" w:color="auto"/>
      </w:divBdr>
    </w:div>
    <w:div w:id="293758958">
      <w:bodyDiv w:val="1"/>
      <w:marLeft w:val="0"/>
      <w:marRight w:val="0"/>
      <w:marTop w:val="0"/>
      <w:marBottom w:val="0"/>
      <w:divBdr>
        <w:top w:val="none" w:sz="0" w:space="0" w:color="auto"/>
        <w:left w:val="none" w:sz="0" w:space="0" w:color="auto"/>
        <w:bottom w:val="none" w:sz="0" w:space="0" w:color="auto"/>
        <w:right w:val="none" w:sz="0" w:space="0" w:color="auto"/>
      </w:divBdr>
    </w:div>
    <w:div w:id="294019961">
      <w:bodyDiv w:val="1"/>
      <w:marLeft w:val="0"/>
      <w:marRight w:val="0"/>
      <w:marTop w:val="0"/>
      <w:marBottom w:val="0"/>
      <w:divBdr>
        <w:top w:val="none" w:sz="0" w:space="0" w:color="auto"/>
        <w:left w:val="none" w:sz="0" w:space="0" w:color="auto"/>
        <w:bottom w:val="none" w:sz="0" w:space="0" w:color="auto"/>
        <w:right w:val="none" w:sz="0" w:space="0" w:color="auto"/>
      </w:divBdr>
    </w:div>
    <w:div w:id="294021160">
      <w:bodyDiv w:val="1"/>
      <w:marLeft w:val="0"/>
      <w:marRight w:val="0"/>
      <w:marTop w:val="0"/>
      <w:marBottom w:val="0"/>
      <w:divBdr>
        <w:top w:val="none" w:sz="0" w:space="0" w:color="auto"/>
        <w:left w:val="none" w:sz="0" w:space="0" w:color="auto"/>
        <w:bottom w:val="none" w:sz="0" w:space="0" w:color="auto"/>
        <w:right w:val="none" w:sz="0" w:space="0" w:color="auto"/>
      </w:divBdr>
    </w:div>
    <w:div w:id="294335593">
      <w:bodyDiv w:val="1"/>
      <w:marLeft w:val="0"/>
      <w:marRight w:val="0"/>
      <w:marTop w:val="0"/>
      <w:marBottom w:val="0"/>
      <w:divBdr>
        <w:top w:val="none" w:sz="0" w:space="0" w:color="auto"/>
        <w:left w:val="none" w:sz="0" w:space="0" w:color="auto"/>
        <w:bottom w:val="none" w:sz="0" w:space="0" w:color="auto"/>
        <w:right w:val="none" w:sz="0" w:space="0" w:color="auto"/>
      </w:divBdr>
    </w:div>
    <w:div w:id="294411529">
      <w:bodyDiv w:val="1"/>
      <w:marLeft w:val="0"/>
      <w:marRight w:val="0"/>
      <w:marTop w:val="0"/>
      <w:marBottom w:val="0"/>
      <w:divBdr>
        <w:top w:val="none" w:sz="0" w:space="0" w:color="auto"/>
        <w:left w:val="none" w:sz="0" w:space="0" w:color="auto"/>
        <w:bottom w:val="none" w:sz="0" w:space="0" w:color="auto"/>
        <w:right w:val="none" w:sz="0" w:space="0" w:color="auto"/>
      </w:divBdr>
    </w:div>
    <w:div w:id="294530166">
      <w:bodyDiv w:val="1"/>
      <w:marLeft w:val="0"/>
      <w:marRight w:val="0"/>
      <w:marTop w:val="0"/>
      <w:marBottom w:val="0"/>
      <w:divBdr>
        <w:top w:val="none" w:sz="0" w:space="0" w:color="auto"/>
        <w:left w:val="none" w:sz="0" w:space="0" w:color="auto"/>
        <w:bottom w:val="none" w:sz="0" w:space="0" w:color="auto"/>
        <w:right w:val="none" w:sz="0" w:space="0" w:color="auto"/>
      </w:divBdr>
    </w:div>
    <w:div w:id="294604281">
      <w:bodyDiv w:val="1"/>
      <w:marLeft w:val="0"/>
      <w:marRight w:val="0"/>
      <w:marTop w:val="0"/>
      <w:marBottom w:val="0"/>
      <w:divBdr>
        <w:top w:val="none" w:sz="0" w:space="0" w:color="auto"/>
        <w:left w:val="none" w:sz="0" w:space="0" w:color="auto"/>
        <w:bottom w:val="none" w:sz="0" w:space="0" w:color="auto"/>
        <w:right w:val="none" w:sz="0" w:space="0" w:color="auto"/>
      </w:divBdr>
    </w:div>
    <w:div w:id="294607802">
      <w:bodyDiv w:val="1"/>
      <w:marLeft w:val="0"/>
      <w:marRight w:val="0"/>
      <w:marTop w:val="0"/>
      <w:marBottom w:val="0"/>
      <w:divBdr>
        <w:top w:val="none" w:sz="0" w:space="0" w:color="auto"/>
        <w:left w:val="none" w:sz="0" w:space="0" w:color="auto"/>
        <w:bottom w:val="none" w:sz="0" w:space="0" w:color="auto"/>
        <w:right w:val="none" w:sz="0" w:space="0" w:color="auto"/>
      </w:divBdr>
    </w:div>
    <w:div w:id="294651717">
      <w:bodyDiv w:val="1"/>
      <w:marLeft w:val="0"/>
      <w:marRight w:val="0"/>
      <w:marTop w:val="0"/>
      <w:marBottom w:val="0"/>
      <w:divBdr>
        <w:top w:val="none" w:sz="0" w:space="0" w:color="auto"/>
        <w:left w:val="none" w:sz="0" w:space="0" w:color="auto"/>
        <w:bottom w:val="none" w:sz="0" w:space="0" w:color="auto"/>
        <w:right w:val="none" w:sz="0" w:space="0" w:color="auto"/>
      </w:divBdr>
    </w:div>
    <w:div w:id="294796287">
      <w:bodyDiv w:val="1"/>
      <w:marLeft w:val="0"/>
      <w:marRight w:val="0"/>
      <w:marTop w:val="0"/>
      <w:marBottom w:val="0"/>
      <w:divBdr>
        <w:top w:val="none" w:sz="0" w:space="0" w:color="auto"/>
        <w:left w:val="none" w:sz="0" w:space="0" w:color="auto"/>
        <w:bottom w:val="none" w:sz="0" w:space="0" w:color="auto"/>
        <w:right w:val="none" w:sz="0" w:space="0" w:color="auto"/>
      </w:divBdr>
    </w:div>
    <w:div w:id="294797719">
      <w:bodyDiv w:val="1"/>
      <w:marLeft w:val="0"/>
      <w:marRight w:val="0"/>
      <w:marTop w:val="0"/>
      <w:marBottom w:val="0"/>
      <w:divBdr>
        <w:top w:val="none" w:sz="0" w:space="0" w:color="auto"/>
        <w:left w:val="none" w:sz="0" w:space="0" w:color="auto"/>
        <w:bottom w:val="none" w:sz="0" w:space="0" w:color="auto"/>
        <w:right w:val="none" w:sz="0" w:space="0" w:color="auto"/>
      </w:divBdr>
    </w:div>
    <w:div w:id="294800953">
      <w:bodyDiv w:val="1"/>
      <w:marLeft w:val="0"/>
      <w:marRight w:val="0"/>
      <w:marTop w:val="0"/>
      <w:marBottom w:val="0"/>
      <w:divBdr>
        <w:top w:val="none" w:sz="0" w:space="0" w:color="auto"/>
        <w:left w:val="none" w:sz="0" w:space="0" w:color="auto"/>
        <w:bottom w:val="none" w:sz="0" w:space="0" w:color="auto"/>
        <w:right w:val="none" w:sz="0" w:space="0" w:color="auto"/>
      </w:divBdr>
    </w:div>
    <w:div w:id="294914465">
      <w:bodyDiv w:val="1"/>
      <w:marLeft w:val="0"/>
      <w:marRight w:val="0"/>
      <w:marTop w:val="0"/>
      <w:marBottom w:val="0"/>
      <w:divBdr>
        <w:top w:val="none" w:sz="0" w:space="0" w:color="auto"/>
        <w:left w:val="none" w:sz="0" w:space="0" w:color="auto"/>
        <w:bottom w:val="none" w:sz="0" w:space="0" w:color="auto"/>
        <w:right w:val="none" w:sz="0" w:space="0" w:color="auto"/>
      </w:divBdr>
    </w:div>
    <w:div w:id="294916280">
      <w:bodyDiv w:val="1"/>
      <w:marLeft w:val="0"/>
      <w:marRight w:val="0"/>
      <w:marTop w:val="0"/>
      <w:marBottom w:val="0"/>
      <w:divBdr>
        <w:top w:val="none" w:sz="0" w:space="0" w:color="auto"/>
        <w:left w:val="none" w:sz="0" w:space="0" w:color="auto"/>
        <w:bottom w:val="none" w:sz="0" w:space="0" w:color="auto"/>
        <w:right w:val="none" w:sz="0" w:space="0" w:color="auto"/>
      </w:divBdr>
    </w:div>
    <w:div w:id="294989939">
      <w:bodyDiv w:val="1"/>
      <w:marLeft w:val="0"/>
      <w:marRight w:val="0"/>
      <w:marTop w:val="0"/>
      <w:marBottom w:val="0"/>
      <w:divBdr>
        <w:top w:val="none" w:sz="0" w:space="0" w:color="auto"/>
        <w:left w:val="none" w:sz="0" w:space="0" w:color="auto"/>
        <w:bottom w:val="none" w:sz="0" w:space="0" w:color="auto"/>
        <w:right w:val="none" w:sz="0" w:space="0" w:color="auto"/>
      </w:divBdr>
    </w:div>
    <w:div w:id="294992627">
      <w:bodyDiv w:val="1"/>
      <w:marLeft w:val="0"/>
      <w:marRight w:val="0"/>
      <w:marTop w:val="0"/>
      <w:marBottom w:val="0"/>
      <w:divBdr>
        <w:top w:val="none" w:sz="0" w:space="0" w:color="auto"/>
        <w:left w:val="none" w:sz="0" w:space="0" w:color="auto"/>
        <w:bottom w:val="none" w:sz="0" w:space="0" w:color="auto"/>
        <w:right w:val="none" w:sz="0" w:space="0" w:color="auto"/>
      </w:divBdr>
    </w:div>
    <w:div w:id="295111509">
      <w:bodyDiv w:val="1"/>
      <w:marLeft w:val="0"/>
      <w:marRight w:val="0"/>
      <w:marTop w:val="0"/>
      <w:marBottom w:val="0"/>
      <w:divBdr>
        <w:top w:val="none" w:sz="0" w:space="0" w:color="auto"/>
        <w:left w:val="none" w:sz="0" w:space="0" w:color="auto"/>
        <w:bottom w:val="none" w:sz="0" w:space="0" w:color="auto"/>
        <w:right w:val="none" w:sz="0" w:space="0" w:color="auto"/>
      </w:divBdr>
    </w:div>
    <w:div w:id="295183149">
      <w:bodyDiv w:val="1"/>
      <w:marLeft w:val="0"/>
      <w:marRight w:val="0"/>
      <w:marTop w:val="0"/>
      <w:marBottom w:val="0"/>
      <w:divBdr>
        <w:top w:val="none" w:sz="0" w:space="0" w:color="auto"/>
        <w:left w:val="none" w:sz="0" w:space="0" w:color="auto"/>
        <w:bottom w:val="none" w:sz="0" w:space="0" w:color="auto"/>
        <w:right w:val="none" w:sz="0" w:space="0" w:color="auto"/>
      </w:divBdr>
    </w:div>
    <w:div w:id="295188830">
      <w:bodyDiv w:val="1"/>
      <w:marLeft w:val="0"/>
      <w:marRight w:val="0"/>
      <w:marTop w:val="0"/>
      <w:marBottom w:val="0"/>
      <w:divBdr>
        <w:top w:val="none" w:sz="0" w:space="0" w:color="auto"/>
        <w:left w:val="none" w:sz="0" w:space="0" w:color="auto"/>
        <w:bottom w:val="none" w:sz="0" w:space="0" w:color="auto"/>
        <w:right w:val="none" w:sz="0" w:space="0" w:color="auto"/>
      </w:divBdr>
    </w:div>
    <w:div w:id="295256955">
      <w:bodyDiv w:val="1"/>
      <w:marLeft w:val="0"/>
      <w:marRight w:val="0"/>
      <w:marTop w:val="0"/>
      <w:marBottom w:val="0"/>
      <w:divBdr>
        <w:top w:val="none" w:sz="0" w:space="0" w:color="auto"/>
        <w:left w:val="none" w:sz="0" w:space="0" w:color="auto"/>
        <w:bottom w:val="none" w:sz="0" w:space="0" w:color="auto"/>
        <w:right w:val="none" w:sz="0" w:space="0" w:color="auto"/>
      </w:divBdr>
    </w:div>
    <w:div w:id="295259982">
      <w:bodyDiv w:val="1"/>
      <w:marLeft w:val="0"/>
      <w:marRight w:val="0"/>
      <w:marTop w:val="0"/>
      <w:marBottom w:val="0"/>
      <w:divBdr>
        <w:top w:val="none" w:sz="0" w:space="0" w:color="auto"/>
        <w:left w:val="none" w:sz="0" w:space="0" w:color="auto"/>
        <w:bottom w:val="none" w:sz="0" w:space="0" w:color="auto"/>
        <w:right w:val="none" w:sz="0" w:space="0" w:color="auto"/>
      </w:divBdr>
    </w:div>
    <w:div w:id="295262177">
      <w:bodyDiv w:val="1"/>
      <w:marLeft w:val="0"/>
      <w:marRight w:val="0"/>
      <w:marTop w:val="0"/>
      <w:marBottom w:val="0"/>
      <w:divBdr>
        <w:top w:val="none" w:sz="0" w:space="0" w:color="auto"/>
        <w:left w:val="none" w:sz="0" w:space="0" w:color="auto"/>
        <w:bottom w:val="none" w:sz="0" w:space="0" w:color="auto"/>
        <w:right w:val="none" w:sz="0" w:space="0" w:color="auto"/>
      </w:divBdr>
    </w:div>
    <w:div w:id="295332603">
      <w:bodyDiv w:val="1"/>
      <w:marLeft w:val="0"/>
      <w:marRight w:val="0"/>
      <w:marTop w:val="0"/>
      <w:marBottom w:val="0"/>
      <w:divBdr>
        <w:top w:val="none" w:sz="0" w:space="0" w:color="auto"/>
        <w:left w:val="none" w:sz="0" w:space="0" w:color="auto"/>
        <w:bottom w:val="none" w:sz="0" w:space="0" w:color="auto"/>
        <w:right w:val="none" w:sz="0" w:space="0" w:color="auto"/>
      </w:divBdr>
    </w:div>
    <w:div w:id="295373251">
      <w:bodyDiv w:val="1"/>
      <w:marLeft w:val="0"/>
      <w:marRight w:val="0"/>
      <w:marTop w:val="0"/>
      <w:marBottom w:val="0"/>
      <w:divBdr>
        <w:top w:val="none" w:sz="0" w:space="0" w:color="auto"/>
        <w:left w:val="none" w:sz="0" w:space="0" w:color="auto"/>
        <w:bottom w:val="none" w:sz="0" w:space="0" w:color="auto"/>
        <w:right w:val="none" w:sz="0" w:space="0" w:color="auto"/>
      </w:divBdr>
    </w:div>
    <w:div w:id="295379426">
      <w:bodyDiv w:val="1"/>
      <w:marLeft w:val="0"/>
      <w:marRight w:val="0"/>
      <w:marTop w:val="0"/>
      <w:marBottom w:val="0"/>
      <w:divBdr>
        <w:top w:val="none" w:sz="0" w:space="0" w:color="auto"/>
        <w:left w:val="none" w:sz="0" w:space="0" w:color="auto"/>
        <w:bottom w:val="none" w:sz="0" w:space="0" w:color="auto"/>
        <w:right w:val="none" w:sz="0" w:space="0" w:color="auto"/>
      </w:divBdr>
    </w:div>
    <w:div w:id="295528349">
      <w:bodyDiv w:val="1"/>
      <w:marLeft w:val="0"/>
      <w:marRight w:val="0"/>
      <w:marTop w:val="0"/>
      <w:marBottom w:val="0"/>
      <w:divBdr>
        <w:top w:val="none" w:sz="0" w:space="0" w:color="auto"/>
        <w:left w:val="none" w:sz="0" w:space="0" w:color="auto"/>
        <w:bottom w:val="none" w:sz="0" w:space="0" w:color="auto"/>
        <w:right w:val="none" w:sz="0" w:space="0" w:color="auto"/>
      </w:divBdr>
    </w:div>
    <w:div w:id="295569312">
      <w:bodyDiv w:val="1"/>
      <w:marLeft w:val="0"/>
      <w:marRight w:val="0"/>
      <w:marTop w:val="0"/>
      <w:marBottom w:val="0"/>
      <w:divBdr>
        <w:top w:val="none" w:sz="0" w:space="0" w:color="auto"/>
        <w:left w:val="none" w:sz="0" w:space="0" w:color="auto"/>
        <w:bottom w:val="none" w:sz="0" w:space="0" w:color="auto"/>
        <w:right w:val="none" w:sz="0" w:space="0" w:color="auto"/>
      </w:divBdr>
    </w:div>
    <w:div w:id="295571126">
      <w:bodyDiv w:val="1"/>
      <w:marLeft w:val="0"/>
      <w:marRight w:val="0"/>
      <w:marTop w:val="0"/>
      <w:marBottom w:val="0"/>
      <w:divBdr>
        <w:top w:val="none" w:sz="0" w:space="0" w:color="auto"/>
        <w:left w:val="none" w:sz="0" w:space="0" w:color="auto"/>
        <w:bottom w:val="none" w:sz="0" w:space="0" w:color="auto"/>
        <w:right w:val="none" w:sz="0" w:space="0" w:color="auto"/>
      </w:divBdr>
    </w:div>
    <w:div w:id="295726432">
      <w:bodyDiv w:val="1"/>
      <w:marLeft w:val="0"/>
      <w:marRight w:val="0"/>
      <w:marTop w:val="0"/>
      <w:marBottom w:val="0"/>
      <w:divBdr>
        <w:top w:val="none" w:sz="0" w:space="0" w:color="auto"/>
        <w:left w:val="none" w:sz="0" w:space="0" w:color="auto"/>
        <w:bottom w:val="none" w:sz="0" w:space="0" w:color="auto"/>
        <w:right w:val="none" w:sz="0" w:space="0" w:color="auto"/>
      </w:divBdr>
    </w:div>
    <w:div w:id="295764231">
      <w:bodyDiv w:val="1"/>
      <w:marLeft w:val="0"/>
      <w:marRight w:val="0"/>
      <w:marTop w:val="0"/>
      <w:marBottom w:val="0"/>
      <w:divBdr>
        <w:top w:val="none" w:sz="0" w:space="0" w:color="auto"/>
        <w:left w:val="none" w:sz="0" w:space="0" w:color="auto"/>
        <w:bottom w:val="none" w:sz="0" w:space="0" w:color="auto"/>
        <w:right w:val="none" w:sz="0" w:space="0" w:color="auto"/>
      </w:divBdr>
    </w:div>
    <w:div w:id="295765682">
      <w:bodyDiv w:val="1"/>
      <w:marLeft w:val="0"/>
      <w:marRight w:val="0"/>
      <w:marTop w:val="0"/>
      <w:marBottom w:val="0"/>
      <w:divBdr>
        <w:top w:val="none" w:sz="0" w:space="0" w:color="auto"/>
        <w:left w:val="none" w:sz="0" w:space="0" w:color="auto"/>
        <w:bottom w:val="none" w:sz="0" w:space="0" w:color="auto"/>
        <w:right w:val="none" w:sz="0" w:space="0" w:color="auto"/>
      </w:divBdr>
    </w:div>
    <w:div w:id="296028916">
      <w:bodyDiv w:val="1"/>
      <w:marLeft w:val="0"/>
      <w:marRight w:val="0"/>
      <w:marTop w:val="0"/>
      <w:marBottom w:val="0"/>
      <w:divBdr>
        <w:top w:val="none" w:sz="0" w:space="0" w:color="auto"/>
        <w:left w:val="none" w:sz="0" w:space="0" w:color="auto"/>
        <w:bottom w:val="none" w:sz="0" w:space="0" w:color="auto"/>
        <w:right w:val="none" w:sz="0" w:space="0" w:color="auto"/>
      </w:divBdr>
    </w:div>
    <w:div w:id="296104443">
      <w:bodyDiv w:val="1"/>
      <w:marLeft w:val="0"/>
      <w:marRight w:val="0"/>
      <w:marTop w:val="0"/>
      <w:marBottom w:val="0"/>
      <w:divBdr>
        <w:top w:val="none" w:sz="0" w:space="0" w:color="auto"/>
        <w:left w:val="none" w:sz="0" w:space="0" w:color="auto"/>
        <w:bottom w:val="none" w:sz="0" w:space="0" w:color="auto"/>
        <w:right w:val="none" w:sz="0" w:space="0" w:color="auto"/>
      </w:divBdr>
    </w:div>
    <w:div w:id="296227864">
      <w:bodyDiv w:val="1"/>
      <w:marLeft w:val="0"/>
      <w:marRight w:val="0"/>
      <w:marTop w:val="0"/>
      <w:marBottom w:val="0"/>
      <w:divBdr>
        <w:top w:val="none" w:sz="0" w:space="0" w:color="auto"/>
        <w:left w:val="none" w:sz="0" w:space="0" w:color="auto"/>
        <w:bottom w:val="none" w:sz="0" w:space="0" w:color="auto"/>
        <w:right w:val="none" w:sz="0" w:space="0" w:color="auto"/>
      </w:divBdr>
    </w:div>
    <w:div w:id="296305295">
      <w:bodyDiv w:val="1"/>
      <w:marLeft w:val="0"/>
      <w:marRight w:val="0"/>
      <w:marTop w:val="0"/>
      <w:marBottom w:val="0"/>
      <w:divBdr>
        <w:top w:val="none" w:sz="0" w:space="0" w:color="auto"/>
        <w:left w:val="none" w:sz="0" w:space="0" w:color="auto"/>
        <w:bottom w:val="none" w:sz="0" w:space="0" w:color="auto"/>
        <w:right w:val="none" w:sz="0" w:space="0" w:color="auto"/>
      </w:divBdr>
    </w:div>
    <w:div w:id="296375450">
      <w:bodyDiv w:val="1"/>
      <w:marLeft w:val="0"/>
      <w:marRight w:val="0"/>
      <w:marTop w:val="0"/>
      <w:marBottom w:val="0"/>
      <w:divBdr>
        <w:top w:val="none" w:sz="0" w:space="0" w:color="auto"/>
        <w:left w:val="none" w:sz="0" w:space="0" w:color="auto"/>
        <w:bottom w:val="none" w:sz="0" w:space="0" w:color="auto"/>
        <w:right w:val="none" w:sz="0" w:space="0" w:color="auto"/>
      </w:divBdr>
    </w:div>
    <w:div w:id="296573138">
      <w:bodyDiv w:val="1"/>
      <w:marLeft w:val="0"/>
      <w:marRight w:val="0"/>
      <w:marTop w:val="0"/>
      <w:marBottom w:val="0"/>
      <w:divBdr>
        <w:top w:val="none" w:sz="0" w:space="0" w:color="auto"/>
        <w:left w:val="none" w:sz="0" w:space="0" w:color="auto"/>
        <w:bottom w:val="none" w:sz="0" w:space="0" w:color="auto"/>
        <w:right w:val="none" w:sz="0" w:space="0" w:color="auto"/>
      </w:divBdr>
    </w:div>
    <w:div w:id="296645925">
      <w:bodyDiv w:val="1"/>
      <w:marLeft w:val="0"/>
      <w:marRight w:val="0"/>
      <w:marTop w:val="0"/>
      <w:marBottom w:val="0"/>
      <w:divBdr>
        <w:top w:val="none" w:sz="0" w:space="0" w:color="auto"/>
        <w:left w:val="none" w:sz="0" w:space="0" w:color="auto"/>
        <w:bottom w:val="none" w:sz="0" w:space="0" w:color="auto"/>
        <w:right w:val="none" w:sz="0" w:space="0" w:color="auto"/>
      </w:divBdr>
    </w:div>
    <w:div w:id="296684738">
      <w:bodyDiv w:val="1"/>
      <w:marLeft w:val="0"/>
      <w:marRight w:val="0"/>
      <w:marTop w:val="0"/>
      <w:marBottom w:val="0"/>
      <w:divBdr>
        <w:top w:val="none" w:sz="0" w:space="0" w:color="auto"/>
        <w:left w:val="none" w:sz="0" w:space="0" w:color="auto"/>
        <w:bottom w:val="none" w:sz="0" w:space="0" w:color="auto"/>
        <w:right w:val="none" w:sz="0" w:space="0" w:color="auto"/>
      </w:divBdr>
    </w:div>
    <w:div w:id="296767253">
      <w:bodyDiv w:val="1"/>
      <w:marLeft w:val="0"/>
      <w:marRight w:val="0"/>
      <w:marTop w:val="0"/>
      <w:marBottom w:val="0"/>
      <w:divBdr>
        <w:top w:val="none" w:sz="0" w:space="0" w:color="auto"/>
        <w:left w:val="none" w:sz="0" w:space="0" w:color="auto"/>
        <w:bottom w:val="none" w:sz="0" w:space="0" w:color="auto"/>
        <w:right w:val="none" w:sz="0" w:space="0" w:color="auto"/>
      </w:divBdr>
    </w:div>
    <w:div w:id="296767875">
      <w:bodyDiv w:val="1"/>
      <w:marLeft w:val="0"/>
      <w:marRight w:val="0"/>
      <w:marTop w:val="0"/>
      <w:marBottom w:val="0"/>
      <w:divBdr>
        <w:top w:val="none" w:sz="0" w:space="0" w:color="auto"/>
        <w:left w:val="none" w:sz="0" w:space="0" w:color="auto"/>
        <w:bottom w:val="none" w:sz="0" w:space="0" w:color="auto"/>
        <w:right w:val="none" w:sz="0" w:space="0" w:color="auto"/>
      </w:divBdr>
    </w:div>
    <w:div w:id="296842895">
      <w:bodyDiv w:val="1"/>
      <w:marLeft w:val="0"/>
      <w:marRight w:val="0"/>
      <w:marTop w:val="0"/>
      <w:marBottom w:val="0"/>
      <w:divBdr>
        <w:top w:val="none" w:sz="0" w:space="0" w:color="auto"/>
        <w:left w:val="none" w:sz="0" w:space="0" w:color="auto"/>
        <w:bottom w:val="none" w:sz="0" w:space="0" w:color="auto"/>
        <w:right w:val="none" w:sz="0" w:space="0" w:color="auto"/>
      </w:divBdr>
    </w:div>
    <w:div w:id="297030796">
      <w:bodyDiv w:val="1"/>
      <w:marLeft w:val="0"/>
      <w:marRight w:val="0"/>
      <w:marTop w:val="0"/>
      <w:marBottom w:val="0"/>
      <w:divBdr>
        <w:top w:val="none" w:sz="0" w:space="0" w:color="auto"/>
        <w:left w:val="none" w:sz="0" w:space="0" w:color="auto"/>
        <w:bottom w:val="none" w:sz="0" w:space="0" w:color="auto"/>
        <w:right w:val="none" w:sz="0" w:space="0" w:color="auto"/>
      </w:divBdr>
    </w:div>
    <w:div w:id="297033144">
      <w:bodyDiv w:val="1"/>
      <w:marLeft w:val="0"/>
      <w:marRight w:val="0"/>
      <w:marTop w:val="0"/>
      <w:marBottom w:val="0"/>
      <w:divBdr>
        <w:top w:val="none" w:sz="0" w:space="0" w:color="auto"/>
        <w:left w:val="none" w:sz="0" w:space="0" w:color="auto"/>
        <w:bottom w:val="none" w:sz="0" w:space="0" w:color="auto"/>
        <w:right w:val="none" w:sz="0" w:space="0" w:color="auto"/>
      </w:divBdr>
    </w:div>
    <w:div w:id="297104346">
      <w:bodyDiv w:val="1"/>
      <w:marLeft w:val="0"/>
      <w:marRight w:val="0"/>
      <w:marTop w:val="0"/>
      <w:marBottom w:val="0"/>
      <w:divBdr>
        <w:top w:val="none" w:sz="0" w:space="0" w:color="auto"/>
        <w:left w:val="none" w:sz="0" w:space="0" w:color="auto"/>
        <w:bottom w:val="none" w:sz="0" w:space="0" w:color="auto"/>
        <w:right w:val="none" w:sz="0" w:space="0" w:color="auto"/>
      </w:divBdr>
    </w:div>
    <w:div w:id="297146268">
      <w:bodyDiv w:val="1"/>
      <w:marLeft w:val="0"/>
      <w:marRight w:val="0"/>
      <w:marTop w:val="0"/>
      <w:marBottom w:val="0"/>
      <w:divBdr>
        <w:top w:val="none" w:sz="0" w:space="0" w:color="auto"/>
        <w:left w:val="none" w:sz="0" w:space="0" w:color="auto"/>
        <w:bottom w:val="none" w:sz="0" w:space="0" w:color="auto"/>
        <w:right w:val="none" w:sz="0" w:space="0" w:color="auto"/>
      </w:divBdr>
    </w:div>
    <w:div w:id="297151327">
      <w:bodyDiv w:val="1"/>
      <w:marLeft w:val="0"/>
      <w:marRight w:val="0"/>
      <w:marTop w:val="0"/>
      <w:marBottom w:val="0"/>
      <w:divBdr>
        <w:top w:val="none" w:sz="0" w:space="0" w:color="auto"/>
        <w:left w:val="none" w:sz="0" w:space="0" w:color="auto"/>
        <w:bottom w:val="none" w:sz="0" w:space="0" w:color="auto"/>
        <w:right w:val="none" w:sz="0" w:space="0" w:color="auto"/>
      </w:divBdr>
    </w:div>
    <w:div w:id="297228818">
      <w:bodyDiv w:val="1"/>
      <w:marLeft w:val="0"/>
      <w:marRight w:val="0"/>
      <w:marTop w:val="0"/>
      <w:marBottom w:val="0"/>
      <w:divBdr>
        <w:top w:val="none" w:sz="0" w:space="0" w:color="auto"/>
        <w:left w:val="none" w:sz="0" w:space="0" w:color="auto"/>
        <w:bottom w:val="none" w:sz="0" w:space="0" w:color="auto"/>
        <w:right w:val="none" w:sz="0" w:space="0" w:color="auto"/>
      </w:divBdr>
    </w:div>
    <w:div w:id="297272879">
      <w:bodyDiv w:val="1"/>
      <w:marLeft w:val="0"/>
      <w:marRight w:val="0"/>
      <w:marTop w:val="0"/>
      <w:marBottom w:val="0"/>
      <w:divBdr>
        <w:top w:val="none" w:sz="0" w:space="0" w:color="auto"/>
        <w:left w:val="none" w:sz="0" w:space="0" w:color="auto"/>
        <w:bottom w:val="none" w:sz="0" w:space="0" w:color="auto"/>
        <w:right w:val="none" w:sz="0" w:space="0" w:color="auto"/>
      </w:divBdr>
    </w:div>
    <w:div w:id="297300464">
      <w:bodyDiv w:val="1"/>
      <w:marLeft w:val="0"/>
      <w:marRight w:val="0"/>
      <w:marTop w:val="0"/>
      <w:marBottom w:val="0"/>
      <w:divBdr>
        <w:top w:val="none" w:sz="0" w:space="0" w:color="auto"/>
        <w:left w:val="none" w:sz="0" w:space="0" w:color="auto"/>
        <w:bottom w:val="none" w:sz="0" w:space="0" w:color="auto"/>
        <w:right w:val="none" w:sz="0" w:space="0" w:color="auto"/>
      </w:divBdr>
    </w:div>
    <w:div w:id="297302885">
      <w:bodyDiv w:val="1"/>
      <w:marLeft w:val="0"/>
      <w:marRight w:val="0"/>
      <w:marTop w:val="0"/>
      <w:marBottom w:val="0"/>
      <w:divBdr>
        <w:top w:val="none" w:sz="0" w:space="0" w:color="auto"/>
        <w:left w:val="none" w:sz="0" w:space="0" w:color="auto"/>
        <w:bottom w:val="none" w:sz="0" w:space="0" w:color="auto"/>
        <w:right w:val="none" w:sz="0" w:space="0" w:color="auto"/>
      </w:divBdr>
    </w:div>
    <w:div w:id="297538247">
      <w:bodyDiv w:val="1"/>
      <w:marLeft w:val="0"/>
      <w:marRight w:val="0"/>
      <w:marTop w:val="0"/>
      <w:marBottom w:val="0"/>
      <w:divBdr>
        <w:top w:val="none" w:sz="0" w:space="0" w:color="auto"/>
        <w:left w:val="none" w:sz="0" w:space="0" w:color="auto"/>
        <w:bottom w:val="none" w:sz="0" w:space="0" w:color="auto"/>
        <w:right w:val="none" w:sz="0" w:space="0" w:color="auto"/>
      </w:divBdr>
    </w:div>
    <w:div w:id="297539821">
      <w:bodyDiv w:val="1"/>
      <w:marLeft w:val="0"/>
      <w:marRight w:val="0"/>
      <w:marTop w:val="0"/>
      <w:marBottom w:val="0"/>
      <w:divBdr>
        <w:top w:val="none" w:sz="0" w:space="0" w:color="auto"/>
        <w:left w:val="none" w:sz="0" w:space="0" w:color="auto"/>
        <w:bottom w:val="none" w:sz="0" w:space="0" w:color="auto"/>
        <w:right w:val="none" w:sz="0" w:space="0" w:color="auto"/>
      </w:divBdr>
    </w:div>
    <w:div w:id="297609857">
      <w:bodyDiv w:val="1"/>
      <w:marLeft w:val="0"/>
      <w:marRight w:val="0"/>
      <w:marTop w:val="0"/>
      <w:marBottom w:val="0"/>
      <w:divBdr>
        <w:top w:val="none" w:sz="0" w:space="0" w:color="auto"/>
        <w:left w:val="none" w:sz="0" w:space="0" w:color="auto"/>
        <w:bottom w:val="none" w:sz="0" w:space="0" w:color="auto"/>
        <w:right w:val="none" w:sz="0" w:space="0" w:color="auto"/>
      </w:divBdr>
    </w:div>
    <w:div w:id="297731435">
      <w:bodyDiv w:val="1"/>
      <w:marLeft w:val="0"/>
      <w:marRight w:val="0"/>
      <w:marTop w:val="0"/>
      <w:marBottom w:val="0"/>
      <w:divBdr>
        <w:top w:val="none" w:sz="0" w:space="0" w:color="auto"/>
        <w:left w:val="none" w:sz="0" w:space="0" w:color="auto"/>
        <w:bottom w:val="none" w:sz="0" w:space="0" w:color="auto"/>
        <w:right w:val="none" w:sz="0" w:space="0" w:color="auto"/>
      </w:divBdr>
    </w:div>
    <w:div w:id="297760957">
      <w:bodyDiv w:val="1"/>
      <w:marLeft w:val="0"/>
      <w:marRight w:val="0"/>
      <w:marTop w:val="0"/>
      <w:marBottom w:val="0"/>
      <w:divBdr>
        <w:top w:val="none" w:sz="0" w:space="0" w:color="auto"/>
        <w:left w:val="none" w:sz="0" w:space="0" w:color="auto"/>
        <w:bottom w:val="none" w:sz="0" w:space="0" w:color="auto"/>
        <w:right w:val="none" w:sz="0" w:space="0" w:color="auto"/>
      </w:divBdr>
    </w:div>
    <w:div w:id="297806939">
      <w:bodyDiv w:val="1"/>
      <w:marLeft w:val="0"/>
      <w:marRight w:val="0"/>
      <w:marTop w:val="0"/>
      <w:marBottom w:val="0"/>
      <w:divBdr>
        <w:top w:val="none" w:sz="0" w:space="0" w:color="auto"/>
        <w:left w:val="none" w:sz="0" w:space="0" w:color="auto"/>
        <w:bottom w:val="none" w:sz="0" w:space="0" w:color="auto"/>
        <w:right w:val="none" w:sz="0" w:space="0" w:color="auto"/>
      </w:divBdr>
    </w:div>
    <w:div w:id="297878306">
      <w:bodyDiv w:val="1"/>
      <w:marLeft w:val="0"/>
      <w:marRight w:val="0"/>
      <w:marTop w:val="0"/>
      <w:marBottom w:val="0"/>
      <w:divBdr>
        <w:top w:val="none" w:sz="0" w:space="0" w:color="auto"/>
        <w:left w:val="none" w:sz="0" w:space="0" w:color="auto"/>
        <w:bottom w:val="none" w:sz="0" w:space="0" w:color="auto"/>
        <w:right w:val="none" w:sz="0" w:space="0" w:color="auto"/>
      </w:divBdr>
    </w:div>
    <w:div w:id="297927415">
      <w:bodyDiv w:val="1"/>
      <w:marLeft w:val="0"/>
      <w:marRight w:val="0"/>
      <w:marTop w:val="0"/>
      <w:marBottom w:val="0"/>
      <w:divBdr>
        <w:top w:val="none" w:sz="0" w:space="0" w:color="auto"/>
        <w:left w:val="none" w:sz="0" w:space="0" w:color="auto"/>
        <w:bottom w:val="none" w:sz="0" w:space="0" w:color="auto"/>
        <w:right w:val="none" w:sz="0" w:space="0" w:color="auto"/>
      </w:divBdr>
    </w:div>
    <w:div w:id="297951848">
      <w:bodyDiv w:val="1"/>
      <w:marLeft w:val="0"/>
      <w:marRight w:val="0"/>
      <w:marTop w:val="0"/>
      <w:marBottom w:val="0"/>
      <w:divBdr>
        <w:top w:val="none" w:sz="0" w:space="0" w:color="auto"/>
        <w:left w:val="none" w:sz="0" w:space="0" w:color="auto"/>
        <w:bottom w:val="none" w:sz="0" w:space="0" w:color="auto"/>
        <w:right w:val="none" w:sz="0" w:space="0" w:color="auto"/>
      </w:divBdr>
    </w:div>
    <w:div w:id="297956027">
      <w:bodyDiv w:val="1"/>
      <w:marLeft w:val="0"/>
      <w:marRight w:val="0"/>
      <w:marTop w:val="0"/>
      <w:marBottom w:val="0"/>
      <w:divBdr>
        <w:top w:val="none" w:sz="0" w:space="0" w:color="auto"/>
        <w:left w:val="none" w:sz="0" w:space="0" w:color="auto"/>
        <w:bottom w:val="none" w:sz="0" w:space="0" w:color="auto"/>
        <w:right w:val="none" w:sz="0" w:space="0" w:color="auto"/>
      </w:divBdr>
    </w:div>
    <w:div w:id="298077454">
      <w:bodyDiv w:val="1"/>
      <w:marLeft w:val="0"/>
      <w:marRight w:val="0"/>
      <w:marTop w:val="0"/>
      <w:marBottom w:val="0"/>
      <w:divBdr>
        <w:top w:val="none" w:sz="0" w:space="0" w:color="auto"/>
        <w:left w:val="none" w:sz="0" w:space="0" w:color="auto"/>
        <w:bottom w:val="none" w:sz="0" w:space="0" w:color="auto"/>
        <w:right w:val="none" w:sz="0" w:space="0" w:color="auto"/>
      </w:divBdr>
    </w:div>
    <w:div w:id="298265255">
      <w:bodyDiv w:val="1"/>
      <w:marLeft w:val="0"/>
      <w:marRight w:val="0"/>
      <w:marTop w:val="0"/>
      <w:marBottom w:val="0"/>
      <w:divBdr>
        <w:top w:val="none" w:sz="0" w:space="0" w:color="auto"/>
        <w:left w:val="none" w:sz="0" w:space="0" w:color="auto"/>
        <w:bottom w:val="none" w:sz="0" w:space="0" w:color="auto"/>
        <w:right w:val="none" w:sz="0" w:space="0" w:color="auto"/>
      </w:divBdr>
    </w:div>
    <w:div w:id="298265949">
      <w:bodyDiv w:val="1"/>
      <w:marLeft w:val="0"/>
      <w:marRight w:val="0"/>
      <w:marTop w:val="0"/>
      <w:marBottom w:val="0"/>
      <w:divBdr>
        <w:top w:val="none" w:sz="0" w:space="0" w:color="auto"/>
        <w:left w:val="none" w:sz="0" w:space="0" w:color="auto"/>
        <w:bottom w:val="none" w:sz="0" w:space="0" w:color="auto"/>
        <w:right w:val="none" w:sz="0" w:space="0" w:color="auto"/>
      </w:divBdr>
    </w:div>
    <w:div w:id="298272050">
      <w:bodyDiv w:val="1"/>
      <w:marLeft w:val="0"/>
      <w:marRight w:val="0"/>
      <w:marTop w:val="0"/>
      <w:marBottom w:val="0"/>
      <w:divBdr>
        <w:top w:val="none" w:sz="0" w:space="0" w:color="auto"/>
        <w:left w:val="none" w:sz="0" w:space="0" w:color="auto"/>
        <w:bottom w:val="none" w:sz="0" w:space="0" w:color="auto"/>
        <w:right w:val="none" w:sz="0" w:space="0" w:color="auto"/>
      </w:divBdr>
    </w:div>
    <w:div w:id="298341308">
      <w:bodyDiv w:val="1"/>
      <w:marLeft w:val="0"/>
      <w:marRight w:val="0"/>
      <w:marTop w:val="0"/>
      <w:marBottom w:val="0"/>
      <w:divBdr>
        <w:top w:val="none" w:sz="0" w:space="0" w:color="auto"/>
        <w:left w:val="none" w:sz="0" w:space="0" w:color="auto"/>
        <w:bottom w:val="none" w:sz="0" w:space="0" w:color="auto"/>
        <w:right w:val="none" w:sz="0" w:space="0" w:color="auto"/>
      </w:divBdr>
    </w:div>
    <w:div w:id="298465415">
      <w:bodyDiv w:val="1"/>
      <w:marLeft w:val="0"/>
      <w:marRight w:val="0"/>
      <w:marTop w:val="0"/>
      <w:marBottom w:val="0"/>
      <w:divBdr>
        <w:top w:val="none" w:sz="0" w:space="0" w:color="auto"/>
        <w:left w:val="none" w:sz="0" w:space="0" w:color="auto"/>
        <w:bottom w:val="none" w:sz="0" w:space="0" w:color="auto"/>
        <w:right w:val="none" w:sz="0" w:space="0" w:color="auto"/>
      </w:divBdr>
    </w:div>
    <w:div w:id="298534568">
      <w:bodyDiv w:val="1"/>
      <w:marLeft w:val="0"/>
      <w:marRight w:val="0"/>
      <w:marTop w:val="0"/>
      <w:marBottom w:val="0"/>
      <w:divBdr>
        <w:top w:val="none" w:sz="0" w:space="0" w:color="auto"/>
        <w:left w:val="none" w:sz="0" w:space="0" w:color="auto"/>
        <w:bottom w:val="none" w:sz="0" w:space="0" w:color="auto"/>
        <w:right w:val="none" w:sz="0" w:space="0" w:color="auto"/>
      </w:divBdr>
    </w:div>
    <w:div w:id="298537479">
      <w:bodyDiv w:val="1"/>
      <w:marLeft w:val="0"/>
      <w:marRight w:val="0"/>
      <w:marTop w:val="0"/>
      <w:marBottom w:val="0"/>
      <w:divBdr>
        <w:top w:val="none" w:sz="0" w:space="0" w:color="auto"/>
        <w:left w:val="none" w:sz="0" w:space="0" w:color="auto"/>
        <w:bottom w:val="none" w:sz="0" w:space="0" w:color="auto"/>
        <w:right w:val="none" w:sz="0" w:space="0" w:color="auto"/>
      </w:divBdr>
    </w:div>
    <w:div w:id="298650481">
      <w:bodyDiv w:val="1"/>
      <w:marLeft w:val="0"/>
      <w:marRight w:val="0"/>
      <w:marTop w:val="0"/>
      <w:marBottom w:val="0"/>
      <w:divBdr>
        <w:top w:val="none" w:sz="0" w:space="0" w:color="auto"/>
        <w:left w:val="none" w:sz="0" w:space="0" w:color="auto"/>
        <w:bottom w:val="none" w:sz="0" w:space="0" w:color="auto"/>
        <w:right w:val="none" w:sz="0" w:space="0" w:color="auto"/>
      </w:divBdr>
    </w:div>
    <w:div w:id="298651430">
      <w:bodyDiv w:val="1"/>
      <w:marLeft w:val="0"/>
      <w:marRight w:val="0"/>
      <w:marTop w:val="0"/>
      <w:marBottom w:val="0"/>
      <w:divBdr>
        <w:top w:val="none" w:sz="0" w:space="0" w:color="auto"/>
        <w:left w:val="none" w:sz="0" w:space="0" w:color="auto"/>
        <w:bottom w:val="none" w:sz="0" w:space="0" w:color="auto"/>
        <w:right w:val="none" w:sz="0" w:space="0" w:color="auto"/>
      </w:divBdr>
    </w:div>
    <w:div w:id="298656794">
      <w:bodyDiv w:val="1"/>
      <w:marLeft w:val="0"/>
      <w:marRight w:val="0"/>
      <w:marTop w:val="0"/>
      <w:marBottom w:val="0"/>
      <w:divBdr>
        <w:top w:val="none" w:sz="0" w:space="0" w:color="auto"/>
        <w:left w:val="none" w:sz="0" w:space="0" w:color="auto"/>
        <w:bottom w:val="none" w:sz="0" w:space="0" w:color="auto"/>
        <w:right w:val="none" w:sz="0" w:space="0" w:color="auto"/>
      </w:divBdr>
    </w:div>
    <w:div w:id="298807833">
      <w:bodyDiv w:val="1"/>
      <w:marLeft w:val="0"/>
      <w:marRight w:val="0"/>
      <w:marTop w:val="0"/>
      <w:marBottom w:val="0"/>
      <w:divBdr>
        <w:top w:val="none" w:sz="0" w:space="0" w:color="auto"/>
        <w:left w:val="none" w:sz="0" w:space="0" w:color="auto"/>
        <w:bottom w:val="none" w:sz="0" w:space="0" w:color="auto"/>
        <w:right w:val="none" w:sz="0" w:space="0" w:color="auto"/>
      </w:divBdr>
    </w:div>
    <w:div w:id="298847317">
      <w:bodyDiv w:val="1"/>
      <w:marLeft w:val="0"/>
      <w:marRight w:val="0"/>
      <w:marTop w:val="0"/>
      <w:marBottom w:val="0"/>
      <w:divBdr>
        <w:top w:val="none" w:sz="0" w:space="0" w:color="auto"/>
        <w:left w:val="none" w:sz="0" w:space="0" w:color="auto"/>
        <w:bottom w:val="none" w:sz="0" w:space="0" w:color="auto"/>
        <w:right w:val="none" w:sz="0" w:space="0" w:color="auto"/>
      </w:divBdr>
    </w:div>
    <w:div w:id="298847870">
      <w:bodyDiv w:val="1"/>
      <w:marLeft w:val="0"/>
      <w:marRight w:val="0"/>
      <w:marTop w:val="0"/>
      <w:marBottom w:val="0"/>
      <w:divBdr>
        <w:top w:val="none" w:sz="0" w:space="0" w:color="auto"/>
        <w:left w:val="none" w:sz="0" w:space="0" w:color="auto"/>
        <w:bottom w:val="none" w:sz="0" w:space="0" w:color="auto"/>
        <w:right w:val="none" w:sz="0" w:space="0" w:color="auto"/>
      </w:divBdr>
    </w:div>
    <w:div w:id="298848728">
      <w:bodyDiv w:val="1"/>
      <w:marLeft w:val="0"/>
      <w:marRight w:val="0"/>
      <w:marTop w:val="0"/>
      <w:marBottom w:val="0"/>
      <w:divBdr>
        <w:top w:val="none" w:sz="0" w:space="0" w:color="auto"/>
        <w:left w:val="none" w:sz="0" w:space="0" w:color="auto"/>
        <w:bottom w:val="none" w:sz="0" w:space="0" w:color="auto"/>
        <w:right w:val="none" w:sz="0" w:space="0" w:color="auto"/>
      </w:divBdr>
    </w:div>
    <w:div w:id="298876440">
      <w:bodyDiv w:val="1"/>
      <w:marLeft w:val="0"/>
      <w:marRight w:val="0"/>
      <w:marTop w:val="0"/>
      <w:marBottom w:val="0"/>
      <w:divBdr>
        <w:top w:val="none" w:sz="0" w:space="0" w:color="auto"/>
        <w:left w:val="none" w:sz="0" w:space="0" w:color="auto"/>
        <w:bottom w:val="none" w:sz="0" w:space="0" w:color="auto"/>
        <w:right w:val="none" w:sz="0" w:space="0" w:color="auto"/>
      </w:divBdr>
    </w:div>
    <w:div w:id="298918093">
      <w:bodyDiv w:val="1"/>
      <w:marLeft w:val="0"/>
      <w:marRight w:val="0"/>
      <w:marTop w:val="0"/>
      <w:marBottom w:val="0"/>
      <w:divBdr>
        <w:top w:val="none" w:sz="0" w:space="0" w:color="auto"/>
        <w:left w:val="none" w:sz="0" w:space="0" w:color="auto"/>
        <w:bottom w:val="none" w:sz="0" w:space="0" w:color="auto"/>
        <w:right w:val="none" w:sz="0" w:space="0" w:color="auto"/>
      </w:divBdr>
    </w:div>
    <w:div w:id="298920113">
      <w:bodyDiv w:val="1"/>
      <w:marLeft w:val="0"/>
      <w:marRight w:val="0"/>
      <w:marTop w:val="0"/>
      <w:marBottom w:val="0"/>
      <w:divBdr>
        <w:top w:val="none" w:sz="0" w:space="0" w:color="auto"/>
        <w:left w:val="none" w:sz="0" w:space="0" w:color="auto"/>
        <w:bottom w:val="none" w:sz="0" w:space="0" w:color="auto"/>
        <w:right w:val="none" w:sz="0" w:space="0" w:color="auto"/>
      </w:divBdr>
    </w:div>
    <w:div w:id="298921323">
      <w:bodyDiv w:val="1"/>
      <w:marLeft w:val="0"/>
      <w:marRight w:val="0"/>
      <w:marTop w:val="0"/>
      <w:marBottom w:val="0"/>
      <w:divBdr>
        <w:top w:val="none" w:sz="0" w:space="0" w:color="auto"/>
        <w:left w:val="none" w:sz="0" w:space="0" w:color="auto"/>
        <w:bottom w:val="none" w:sz="0" w:space="0" w:color="auto"/>
        <w:right w:val="none" w:sz="0" w:space="0" w:color="auto"/>
      </w:divBdr>
    </w:div>
    <w:div w:id="299068573">
      <w:bodyDiv w:val="1"/>
      <w:marLeft w:val="0"/>
      <w:marRight w:val="0"/>
      <w:marTop w:val="0"/>
      <w:marBottom w:val="0"/>
      <w:divBdr>
        <w:top w:val="none" w:sz="0" w:space="0" w:color="auto"/>
        <w:left w:val="none" w:sz="0" w:space="0" w:color="auto"/>
        <w:bottom w:val="none" w:sz="0" w:space="0" w:color="auto"/>
        <w:right w:val="none" w:sz="0" w:space="0" w:color="auto"/>
      </w:divBdr>
    </w:div>
    <w:div w:id="299576527">
      <w:bodyDiv w:val="1"/>
      <w:marLeft w:val="0"/>
      <w:marRight w:val="0"/>
      <w:marTop w:val="0"/>
      <w:marBottom w:val="0"/>
      <w:divBdr>
        <w:top w:val="none" w:sz="0" w:space="0" w:color="auto"/>
        <w:left w:val="none" w:sz="0" w:space="0" w:color="auto"/>
        <w:bottom w:val="none" w:sz="0" w:space="0" w:color="auto"/>
        <w:right w:val="none" w:sz="0" w:space="0" w:color="auto"/>
      </w:divBdr>
    </w:div>
    <w:div w:id="299649808">
      <w:bodyDiv w:val="1"/>
      <w:marLeft w:val="0"/>
      <w:marRight w:val="0"/>
      <w:marTop w:val="0"/>
      <w:marBottom w:val="0"/>
      <w:divBdr>
        <w:top w:val="none" w:sz="0" w:space="0" w:color="auto"/>
        <w:left w:val="none" w:sz="0" w:space="0" w:color="auto"/>
        <w:bottom w:val="none" w:sz="0" w:space="0" w:color="auto"/>
        <w:right w:val="none" w:sz="0" w:space="0" w:color="auto"/>
      </w:divBdr>
    </w:div>
    <w:div w:id="299724553">
      <w:bodyDiv w:val="1"/>
      <w:marLeft w:val="0"/>
      <w:marRight w:val="0"/>
      <w:marTop w:val="0"/>
      <w:marBottom w:val="0"/>
      <w:divBdr>
        <w:top w:val="none" w:sz="0" w:space="0" w:color="auto"/>
        <w:left w:val="none" w:sz="0" w:space="0" w:color="auto"/>
        <w:bottom w:val="none" w:sz="0" w:space="0" w:color="auto"/>
        <w:right w:val="none" w:sz="0" w:space="0" w:color="auto"/>
      </w:divBdr>
    </w:div>
    <w:div w:id="299767407">
      <w:bodyDiv w:val="1"/>
      <w:marLeft w:val="0"/>
      <w:marRight w:val="0"/>
      <w:marTop w:val="0"/>
      <w:marBottom w:val="0"/>
      <w:divBdr>
        <w:top w:val="none" w:sz="0" w:space="0" w:color="auto"/>
        <w:left w:val="none" w:sz="0" w:space="0" w:color="auto"/>
        <w:bottom w:val="none" w:sz="0" w:space="0" w:color="auto"/>
        <w:right w:val="none" w:sz="0" w:space="0" w:color="auto"/>
      </w:divBdr>
    </w:div>
    <w:div w:id="299770004">
      <w:bodyDiv w:val="1"/>
      <w:marLeft w:val="0"/>
      <w:marRight w:val="0"/>
      <w:marTop w:val="0"/>
      <w:marBottom w:val="0"/>
      <w:divBdr>
        <w:top w:val="none" w:sz="0" w:space="0" w:color="auto"/>
        <w:left w:val="none" w:sz="0" w:space="0" w:color="auto"/>
        <w:bottom w:val="none" w:sz="0" w:space="0" w:color="auto"/>
        <w:right w:val="none" w:sz="0" w:space="0" w:color="auto"/>
      </w:divBdr>
    </w:div>
    <w:div w:id="299770091">
      <w:bodyDiv w:val="1"/>
      <w:marLeft w:val="0"/>
      <w:marRight w:val="0"/>
      <w:marTop w:val="0"/>
      <w:marBottom w:val="0"/>
      <w:divBdr>
        <w:top w:val="none" w:sz="0" w:space="0" w:color="auto"/>
        <w:left w:val="none" w:sz="0" w:space="0" w:color="auto"/>
        <w:bottom w:val="none" w:sz="0" w:space="0" w:color="auto"/>
        <w:right w:val="none" w:sz="0" w:space="0" w:color="auto"/>
      </w:divBdr>
    </w:div>
    <w:div w:id="299849758">
      <w:bodyDiv w:val="1"/>
      <w:marLeft w:val="0"/>
      <w:marRight w:val="0"/>
      <w:marTop w:val="0"/>
      <w:marBottom w:val="0"/>
      <w:divBdr>
        <w:top w:val="none" w:sz="0" w:space="0" w:color="auto"/>
        <w:left w:val="none" w:sz="0" w:space="0" w:color="auto"/>
        <w:bottom w:val="none" w:sz="0" w:space="0" w:color="auto"/>
        <w:right w:val="none" w:sz="0" w:space="0" w:color="auto"/>
      </w:divBdr>
    </w:div>
    <w:div w:id="300115956">
      <w:bodyDiv w:val="1"/>
      <w:marLeft w:val="0"/>
      <w:marRight w:val="0"/>
      <w:marTop w:val="0"/>
      <w:marBottom w:val="0"/>
      <w:divBdr>
        <w:top w:val="none" w:sz="0" w:space="0" w:color="auto"/>
        <w:left w:val="none" w:sz="0" w:space="0" w:color="auto"/>
        <w:bottom w:val="none" w:sz="0" w:space="0" w:color="auto"/>
        <w:right w:val="none" w:sz="0" w:space="0" w:color="auto"/>
      </w:divBdr>
    </w:div>
    <w:div w:id="300116686">
      <w:bodyDiv w:val="1"/>
      <w:marLeft w:val="0"/>
      <w:marRight w:val="0"/>
      <w:marTop w:val="0"/>
      <w:marBottom w:val="0"/>
      <w:divBdr>
        <w:top w:val="none" w:sz="0" w:space="0" w:color="auto"/>
        <w:left w:val="none" w:sz="0" w:space="0" w:color="auto"/>
        <w:bottom w:val="none" w:sz="0" w:space="0" w:color="auto"/>
        <w:right w:val="none" w:sz="0" w:space="0" w:color="auto"/>
      </w:divBdr>
    </w:div>
    <w:div w:id="300160030">
      <w:bodyDiv w:val="1"/>
      <w:marLeft w:val="0"/>
      <w:marRight w:val="0"/>
      <w:marTop w:val="0"/>
      <w:marBottom w:val="0"/>
      <w:divBdr>
        <w:top w:val="none" w:sz="0" w:space="0" w:color="auto"/>
        <w:left w:val="none" w:sz="0" w:space="0" w:color="auto"/>
        <w:bottom w:val="none" w:sz="0" w:space="0" w:color="auto"/>
        <w:right w:val="none" w:sz="0" w:space="0" w:color="auto"/>
      </w:divBdr>
    </w:div>
    <w:div w:id="300186908">
      <w:bodyDiv w:val="1"/>
      <w:marLeft w:val="0"/>
      <w:marRight w:val="0"/>
      <w:marTop w:val="0"/>
      <w:marBottom w:val="0"/>
      <w:divBdr>
        <w:top w:val="none" w:sz="0" w:space="0" w:color="auto"/>
        <w:left w:val="none" w:sz="0" w:space="0" w:color="auto"/>
        <w:bottom w:val="none" w:sz="0" w:space="0" w:color="auto"/>
        <w:right w:val="none" w:sz="0" w:space="0" w:color="auto"/>
      </w:divBdr>
    </w:div>
    <w:div w:id="300232720">
      <w:bodyDiv w:val="1"/>
      <w:marLeft w:val="0"/>
      <w:marRight w:val="0"/>
      <w:marTop w:val="0"/>
      <w:marBottom w:val="0"/>
      <w:divBdr>
        <w:top w:val="none" w:sz="0" w:space="0" w:color="auto"/>
        <w:left w:val="none" w:sz="0" w:space="0" w:color="auto"/>
        <w:bottom w:val="none" w:sz="0" w:space="0" w:color="auto"/>
        <w:right w:val="none" w:sz="0" w:space="0" w:color="auto"/>
      </w:divBdr>
    </w:div>
    <w:div w:id="300430186">
      <w:bodyDiv w:val="1"/>
      <w:marLeft w:val="0"/>
      <w:marRight w:val="0"/>
      <w:marTop w:val="0"/>
      <w:marBottom w:val="0"/>
      <w:divBdr>
        <w:top w:val="none" w:sz="0" w:space="0" w:color="auto"/>
        <w:left w:val="none" w:sz="0" w:space="0" w:color="auto"/>
        <w:bottom w:val="none" w:sz="0" w:space="0" w:color="auto"/>
        <w:right w:val="none" w:sz="0" w:space="0" w:color="auto"/>
      </w:divBdr>
    </w:div>
    <w:div w:id="300497584">
      <w:bodyDiv w:val="1"/>
      <w:marLeft w:val="0"/>
      <w:marRight w:val="0"/>
      <w:marTop w:val="0"/>
      <w:marBottom w:val="0"/>
      <w:divBdr>
        <w:top w:val="none" w:sz="0" w:space="0" w:color="auto"/>
        <w:left w:val="none" w:sz="0" w:space="0" w:color="auto"/>
        <w:bottom w:val="none" w:sz="0" w:space="0" w:color="auto"/>
        <w:right w:val="none" w:sz="0" w:space="0" w:color="auto"/>
      </w:divBdr>
    </w:div>
    <w:div w:id="300498278">
      <w:bodyDiv w:val="1"/>
      <w:marLeft w:val="0"/>
      <w:marRight w:val="0"/>
      <w:marTop w:val="0"/>
      <w:marBottom w:val="0"/>
      <w:divBdr>
        <w:top w:val="none" w:sz="0" w:space="0" w:color="auto"/>
        <w:left w:val="none" w:sz="0" w:space="0" w:color="auto"/>
        <w:bottom w:val="none" w:sz="0" w:space="0" w:color="auto"/>
        <w:right w:val="none" w:sz="0" w:space="0" w:color="auto"/>
      </w:divBdr>
    </w:div>
    <w:div w:id="300503957">
      <w:bodyDiv w:val="1"/>
      <w:marLeft w:val="0"/>
      <w:marRight w:val="0"/>
      <w:marTop w:val="0"/>
      <w:marBottom w:val="0"/>
      <w:divBdr>
        <w:top w:val="none" w:sz="0" w:space="0" w:color="auto"/>
        <w:left w:val="none" w:sz="0" w:space="0" w:color="auto"/>
        <w:bottom w:val="none" w:sz="0" w:space="0" w:color="auto"/>
        <w:right w:val="none" w:sz="0" w:space="0" w:color="auto"/>
      </w:divBdr>
    </w:div>
    <w:div w:id="300548383">
      <w:bodyDiv w:val="1"/>
      <w:marLeft w:val="0"/>
      <w:marRight w:val="0"/>
      <w:marTop w:val="0"/>
      <w:marBottom w:val="0"/>
      <w:divBdr>
        <w:top w:val="none" w:sz="0" w:space="0" w:color="auto"/>
        <w:left w:val="none" w:sz="0" w:space="0" w:color="auto"/>
        <w:bottom w:val="none" w:sz="0" w:space="0" w:color="auto"/>
        <w:right w:val="none" w:sz="0" w:space="0" w:color="auto"/>
      </w:divBdr>
    </w:div>
    <w:div w:id="300574747">
      <w:bodyDiv w:val="1"/>
      <w:marLeft w:val="0"/>
      <w:marRight w:val="0"/>
      <w:marTop w:val="0"/>
      <w:marBottom w:val="0"/>
      <w:divBdr>
        <w:top w:val="none" w:sz="0" w:space="0" w:color="auto"/>
        <w:left w:val="none" w:sz="0" w:space="0" w:color="auto"/>
        <w:bottom w:val="none" w:sz="0" w:space="0" w:color="auto"/>
        <w:right w:val="none" w:sz="0" w:space="0" w:color="auto"/>
      </w:divBdr>
    </w:div>
    <w:div w:id="300576102">
      <w:bodyDiv w:val="1"/>
      <w:marLeft w:val="0"/>
      <w:marRight w:val="0"/>
      <w:marTop w:val="0"/>
      <w:marBottom w:val="0"/>
      <w:divBdr>
        <w:top w:val="none" w:sz="0" w:space="0" w:color="auto"/>
        <w:left w:val="none" w:sz="0" w:space="0" w:color="auto"/>
        <w:bottom w:val="none" w:sz="0" w:space="0" w:color="auto"/>
        <w:right w:val="none" w:sz="0" w:space="0" w:color="auto"/>
      </w:divBdr>
    </w:div>
    <w:div w:id="300576556">
      <w:bodyDiv w:val="1"/>
      <w:marLeft w:val="0"/>
      <w:marRight w:val="0"/>
      <w:marTop w:val="0"/>
      <w:marBottom w:val="0"/>
      <w:divBdr>
        <w:top w:val="none" w:sz="0" w:space="0" w:color="auto"/>
        <w:left w:val="none" w:sz="0" w:space="0" w:color="auto"/>
        <w:bottom w:val="none" w:sz="0" w:space="0" w:color="auto"/>
        <w:right w:val="none" w:sz="0" w:space="0" w:color="auto"/>
      </w:divBdr>
    </w:div>
    <w:div w:id="300577201">
      <w:bodyDiv w:val="1"/>
      <w:marLeft w:val="0"/>
      <w:marRight w:val="0"/>
      <w:marTop w:val="0"/>
      <w:marBottom w:val="0"/>
      <w:divBdr>
        <w:top w:val="none" w:sz="0" w:space="0" w:color="auto"/>
        <w:left w:val="none" w:sz="0" w:space="0" w:color="auto"/>
        <w:bottom w:val="none" w:sz="0" w:space="0" w:color="auto"/>
        <w:right w:val="none" w:sz="0" w:space="0" w:color="auto"/>
      </w:divBdr>
    </w:div>
    <w:div w:id="300617998">
      <w:bodyDiv w:val="1"/>
      <w:marLeft w:val="0"/>
      <w:marRight w:val="0"/>
      <w:marTop w:val="0"/>
      <w:marBottom w:val="0"/>
      <w:divBdr>
        <w:top w:val="none" w:sz="0" w:space="0" w:color="auto"/>
        <w:left w:val="none" w:sz="0" w:space="0" w:color="auto"/>
        <w:bottom w:val="none" w:sz="0" w:space="0" w:color="auto"/>
        <w:right w:val="none" w:sz="0" w:space="0" w:color="auto"/>
      </w:divBdr>
    </w:div>
    <w:div w:id="300624454">
      <w:bodyDiv w:val="1"/>
      <w:marLeft w:val="0"/>
      <w:marRight w:val="0"/>
      <w:marTop w:val="0"/>
      <w:marBottom w:val="0"/>
      <w:divBdr>
        <w:top w:val="none" w:sz="0" w:space="0" w:color="auto"/>
        <w:left w:val="none" w:sz="0" w:space="0" w:color="auto"/>
        <w:bottom w:val="none" w:sz="0" w:space="0" w:color="auto"/>
        <w:right w:val="none" w:sz="0" w:space="0" w:color="auto"/>
      </w:divBdr>
    </w:div>
    <w:div w:id="300694280">
      <w:bodyDiv w:val="1"/>
      <w:marLeft w:val="0"/>
      <w:marRight w:val="0"/>
      <w:marTop w:val="0"/>
      <w:marBottom w:val="0"/>
      <w:divBdr>
        <w:top w:val="none" w:sz="0" w:space="0" w:color="auto"/>
        <w:left w:val="none" w:sz="0" w:space="0" w:color="auto"/>
        <w:bottom w:val="none" w:sz="0" w:space="0" w:color="auto"/>
        <w:right w:val="none" w:sz="0" w:space="0" w:color="auto"/>
      </w:divBdr>
    </w:div>
    <w:div w:id="300699848">
      <w:bodyDiv w:val="1"/>
      <w:marLeft w:val="0"/>
      <w:marRight w:val="0"/>
      <w:marTop w:val="0"/>
      <w:marBottom w:val="0"/>
      <w:divBdr>
        <w:top w:val="none" w:sz="0" w:space="0" w:color="auto"/>
        <w:left w:val="none" w:sz="0" w:space="0" w:color="auto"/>
        <w:bottom w:val="none" w:sz="0" w:space="0" w:color="auto"/>
        <w:right w:val="none" w:sz="0" w:space="0" w:color="auto"/>
      </w:divBdr>
    </w:div>
    <w:div w:id="300772472">
      <w:bodyDiv w:val="1"/>
      <w:marLeft w:val="0"/>
      <w:marRight w:val="0"/>
      <w:marTop w:val="0"/>
      <w:marBottom w:val="0"/>
      <w:divBdr>
        <w:top w:val="none" w:sz="0" w:space="0" w:color="auto"/>
        <w:left w:val="none" w:sz="0" w:space="0" w:color="auto"/>
        <w:bottom w:val="none" w:sz="0" w:space="0" w:color="auto"/>
        <w:right w:val="none" w:sz="0" w:space="0" w:color="auto"/>
      </w:divBdr>
    </w:div>
    <w:div w:id="300815329">
      <w:bodyDiv w:val="1"/>
      <w:marLeft w:val="0"/>
      <w:marRight w:val="0"/>
      <w:marTop w:val="0"/>
      <w:marBottom w:val="0"/>
      <w:divBdr>
        <w:top w:val="none" w:sz="0" w:space="0" w:color="auto"/>
        <w:left w:val="none" w:sz="0" w:space="0" w:color="auto"/>
        <w:bottom w:val="none" w:sz="0" w:space="0" w:color="auto"/>
        <w:right w:val="none" w:sz="0" w:space="0" w:color="auto"/>
      </w:divBdr>
    </w:div>
    <w:div w:id="301232982">
      <w:bodyDiv w:val="1"/>
      <w:marLeft w:val="0"/>
      <w:marRight w:val="0"/>
      <w:marTop w:val="0"/>
      <w:marBottom w:val="0"/>
      <w:divBdr>
        <w:top w:val="none" w:sz="0" w:space="0" w:color="auto"/>
        <w:left w:val="none" w:sz="0" w:space="0" w:color="auto"/>
        <w:bottom w:val="none" w:sz="0" w:space="0" w:color="auto"/>
        <w:right w:val="none" w:sz="0" w:space="0" w:color="auto"/>
      </w:divBdr>
    </w:div>
    <w:div w:id="301271985">
      <w:bodyDiv w:val="1"/>
      <w:marLeft w:val="0"/>
      <w:marRight w:val="0"/>
      <w:marTop w:val="0"/>
      <w:marBottom w:val="0"/>
      <w:divBdr>
        <w:top w:val="none" w:sz="0" w:space="0" w:color="auto"/>
        <w:left w:val="none" w:sz="0" w:space="0" w:color="auto"/>
        <w:bottom w:val="none" w:sz="0" w:space="0" w:color="auto"/>
        <w:right w:val="none" w:sz="0" w:space="0" w:color="auto"/>
      </w:divBdr>
    </w:div>
    <w:div w:id="301275886">
      <w:bodyDiv w:val="1"/>
      <w:marLeft w:val="0"/>
      <w:marRight w:val="0"/>
      <w:marTop w:val="0"/>
      <w:marBottom w:val="0"/>
      <w:divBdr>
        <w:top w:val="none" w:sz="0" w:space="0" w:color="auto"/>
        <w:left w:val="none" w:sz="0" w:space="0" w:color="auto"/>
        <w:bottom w:val="none" w:sz="0" w:space="0" w:color="auto"/>
        <w:right w:val="none" w:sz="0" w:space="0" w:color="auto"/>
      </w:divBdr>
    </w:div>
    <w:div w:id="301422989">
      <w:bodyDiv w:val="1"/>
      <w:marLeft w:val="0"/>
      <w:marRight w:val="0"/>
      <w:marTop w:val="0"/>
      <w:marBottom w:val="0"/>
      <w:divBdr>
        <w:top w:val="none" w:sz="0" w:space="0" w:color="auto"/>
        <w:left w:val="none" w:sz="0" w:space="0" w:color="auto"/>
        <w:bottom w:val="none" w:sz="0" w:space="0" w:color="auto"/>
        <w:right w:val="none" w:sz="0" w:space="0" w:color="auto"/>
      </w:divBdr>
    </w:div>
    <w:div w:id="301428402">
      <w:bodyDiv w:val="1"/>
      <w:marLeft w:val="0"/>
      <w:marRight w:val="0"/>
      <w:marTop w:val="0"/>
      <w:marBottom w:val="0"/>
      <w:divBdr>
        <w:top w:val="none" w:sz="0" w:space="0" w:color="auto"/>
        <w:left w:val="none" w:sz="0" w:space="0" w:color="auto"/>
        <w:bottom w:val="none" w:sz="0" w:space="0" w:color="auto"/>
        <w:right w:val="none" w:sz="0" w:space="0" w:color="auto"/>
      </w:divBdr>
    </w:div>
    <w:div w:id="301468805">
      <w:bodyDiv w:val="1"/>
      <w:marLeft w:val="0"/>
      <w:marRight w:val="0"/>
      <w:marTop w:val="0"/>
      <w:marBottom w:val="0"/>
      <w:divBdr>
        <w:top w:val="none" w:sz="0" w:space="0" w:color="auto"/>
        <w:left w:val="none" w:sz="0" w:space="0" w:color="auto"/>
        <w:bottom w:val="none" w:sz="0" w:space="0" w:color="auto"/>
        <w:right w:val="none" w:sz="0" w:space="0" w:color="auto"/>
      </w:divBdr>
    </w:div>
    <w:div w:id="301471837">
      <w:bodyDiv w:val="1"/>
      <w:marLeft w:val="0"/>
      <w:marRight w:val="0"/>
      <w:marTop w:val="0"/>
      <w:marBottom w:val="0"/>
      <w:divBdr>
        <w:top w:val="none" w:sz="0" w:space="0" w:color="auto"/>
        <w:left w:val="none" w:sz="0" w:space="0" w:color="auto"/>
        <w:bottom w:val="none" w:sz="0" w:space="0" w:color="auto"/>
        <w:right w:val="none" w:sz="0" w:space="0" w:color="auto"/>
      </w:divBdr>
    </w:div>
    <w:div w:id="301545792">
      <w:bodyDiv w:val="1"/>
      <w:marLeft w:val="0"/>
      <w:marRight w:val="0"/>
      <w:marTop w:val="0"/>
      <w:marBottom w:val="0"/>
      <w:divBdr>
        <w:top w:val="none" w:sz="0" w:space="0" w:color="auto"/>
        <w:left w:val="none" w:sz="0" w:space="0" w:color="auto"/>
        <w:bottom w:val="none" w:sz="0" w:space="0" w:color="auto"/>
        <w:right w:val="none" w:sz="0" w:space="0" w:color="auto"/>
      </w:divBdr>
    </w:div>
    <w:div w:id="301617875">
      <w:bodyDiv w:val="1"/>
      <w:marLeft w:val="0"/>
      <w:marRight w:val="0"/>
      <w:marTop w:val="0"/>
      <w:marBottom w:val="0"/>
      <w:divBdr>
        <w:top w:val="none" w:sz="0" w:space="0" w:color="auto"/>
        <w:left w:val="none" w:sz="0" w:space="0" w:color="auto"/>
        <w:bottom w:val="none" w:sz="0" w:space="0" w:color="auto"/>
        <w:right w:val="none" w:sz="0" w:space="0" w:color="auto"/>
      </w:divBdr>
    </w:div>
    <w:div w:id="301663901">
      <w:bodyDiv w:val="1"/>
      <w:marLeft w:val="0"/>
      <w:marRight w:val="0"/>
      <w:marTop w:val="0"/>
      <w:marBottom w:val="0"/>
      <w:divBdr>
        <w:top w:val="none" w:sz="0" w:space="0" w:color="auto"/>
        <w:left w:val="none" w:sz="0" w:space="0" w:color="auto"/>
        <w:bottom w:val="none" w:sz="0" w:space="0" w:color="auto"/>
        <w:right w:val="none" w:sz="0" w:space="0" w:color="auto"/>
      </w:divBdr>
    </w:div>
    <w:div w:id="301811606">
      <w:bodyDiv w:val="1"/>
      <w:marLeft w:val="0"/>
      <w:marRight w:val="0"/>
      <w:marTop w:val="0"/>
      <w:marBottom w:val="0"/>
      <w:divBdr>
        <w:top w:val="none" w:sz="0" w:space="0" w:color="auto"/>
        <w:left w:val="none" w:sz="0" w:space="0" w:color="auto"/>
        <w:bottom w:val="none" w:sz="0" w:space="0" w:color="auto"/>
        <w:right w:val="none" w:sz="0" w:space="0" w:color="auto"/>
      </w:divBdr>
    </w:div>
    <w:div w:id="301816699">
      <w:bodyDiv w:val="1"/>
      <w:marLeft w:val="0"/>
      <w:marRight w:val="0"/>
      <w:marTop w:val="0"/>
      <w:marBottom w:val="0"/>
      <w:divBdr>
        <w:top w:val="none" w:sz="0" w:space="0" w:color="auto"/>
        <w:left w:val="none" w:sz="0" w:space="0" w:color="auto"/>
        <w:bottom w:val="none" w:sz="0" w:space="0" w:color="auto"/>
        <w:right w:val="none" w:sz="0" w:space="0" w:color="auto"/>
      </w:divBdr>
    </w:div>
    <w:div w:id="301884339">
      <w:bodyDiv w:val="1"/>
      <w:marLeft w:val="0"/>
      <w:marRight w:val="0"/>
      <w:marTop w:val="0"/>
      <w:marBottom w:val="0"/>
      <w:divBdr>
        <w:top w:val="none" w:sz="0" w:space="0" w:color="auto"/>
        <w:left w:val="none" w:sz="0" w:space="0" w:color="auto"/>
        <w:bottom w:val="none" w:sz="0" w:space="0" w:color="auto"/>
        <w:right w:val="none" w:sz="0" w:space="0" w:color="auto"/>
      </w:divBdr>
    </w:div>
    <w:div w:id="301932384">
      <w:bodyDiv w:val="1"/>
      <w:marLeft w:val="0"/>
      <w:marRight w:val="0"/>
      <w:marTop w:val="0"/>
      <w:marBottom w:val="0"/>
      <w:divBdr>
        <w:top w:val="none" w:sz="0" w:space="0" w:color="auto"/>
        <w:left w:val="none" w:sz="0" w:space="0" w:color="auto"/>
        <w:bottom w:val="none" w:sz="0" w:space="0" w:color="auto"/>
        <w:right w:val="none" w:sz="0" w:space="0" w:color="auto"/>
      </w:divBdr>
    </w:div>
    <w:div w:id="302001308">
      <w:bodyDiv w:val="1"/>
      <w:marLeft w:val="0"/>
      <w:marRight w:val="0"/>
      <w:marTop w:val="0"/>
      <w:marBottom w:val="0"/>
      <w:divBdr>
        <w:top w:val="none" w:sz="0" w:space="0" w:color="auto"/>
        <w:left w:val="none" w:sz="0" w:space="0" w:color="auto"/>
        <w:bottom w:val="none" w:sz="0" w:space="0" w:color="auto"/>
        <w:right w:val="none" w:sz="0" w:space="0" w:color="auto"/>
      </w:divBdr>
    </w:div>
    <w:div w:id="302008275">
      <w:bodyDiv w:val="1"/>
      <w:marLeft w:val="0"/>
      <w:marRight w:val="0"/>
      <w:marTop w:val="0"/>
      <w:marBottom w:val="0"/>
      <w:divBdr>
        <w:top w:val="none" w:sz="0" w:space="0" w:color="auto"/>
        <w:left w:val="none" w:sz="0" w:space="0" w:color="auto"/>
        <w:bottom w:val="none" w:sz="0" w:space="0" w:color="auto"/>
        <w:right w:val="none" w:sz="0" w:space="0" w:color="auto"/>
      </w:divBdr>
    </w:div>
    <w:div w:id="302078175">
      <w:bodyDiv w:val="1"/>
      <w:marLeft w:val="0"/>
      <w:marRight w:val="0"/>
      <w:marTop w:val="0"/>
      <w:marBottom w:val="0"/>
      <w:divBdr>
        <w:top w:val="none" w:sz="0" w:space="0" w:color="auto"/>
        <w:left w:val="none" w:sz="0" w:space="0" w:color="auto"/>
        <w:bottom w:val="none" w:sz="0" w:space="0" w:color="auto"/>
        <w:right w:val="none" w:sz="0" w:space="0" w:color="auto"/>
      </w:divBdr>
    </w:div>
    <w:div w:id="302085574">
      <w:bodyDiv w:val="1"/>
      <w:marLeft w:val="0"/>
      <w:marRight w:val="0"/>
      <w:marTop w:val="0"/>
      <w:marBottom w:val="0"/>
      <w:divBdr>
        <w:top w:val="none" w:sz="0" w:space="0" w:color="auto"/>
        <w:left w:val="none" w:sz="0" w:space="0" w:color="auto"/>
        <w:bottom w:val="none" w:sz="0" w:space="0" w:color="auto"/>
        <w:right w:val="none" w:sz="0" w:space="0" w:color="auto"/>
      </w:divBdr>
    </w:div>
    <w:div w:id="302124558">
      <w:bodyDiv w:val="1"/>
      <w:marLeft w:val="0"/>
      <w:marRight w:val="0"/>
      <w:marTop w:val="0"/>
      <w:marBottom w:val="0"/>
      <w:divBdr>
        <w:top w:val="none" w:sz="0" w:space="0" w:color="auto"/>
        <w:left w:val="none" w:sz="0" w:space="0" w:color="auto"/>
        <w:bottom w:val="none" w:sz="0" w:space="0" w:color="auto"/>
        <w:right w:val="none" w:sz="0" w:space="0" w:color="auto"/>
      </w:divBdr>
    </w:div>
    <w:div w:id="302197227">
      <w:bodyDiv w:val="1"/>
      <w:marLeft w:val="0"/>
      <w:marRight w:val="0"/>
      <w:marTop w:val="0"/>
      <w:marBottom w:val="0"/>
      <w:divBdr>
        <w:top w:val="none" w:sz="0" w:space="0" w:color="auto"/>
        <w:left w:val="none" w:sz="0" w:space="0" w:color="auto"/>
        <w:bottom w:val="none" w:sz="0" w:space="0" w:color="auto"/>
        <w:right w:val="none" w:sz="0" w:space="0" w:color="auto"/>
      </w:divBdr>
    </w:div>
    <w:div w:id="302392295">
      <w:bodyDiv w:val="1"/>
      <w:marLeft w:val="0"/>
      <w:marRight w:val="0"/>
      <w:marTop w:val="0"/>
      <w:marBottom w:val="0"/>
      <w:divBdr>
        <w:top w:val="none" w:sz="0" w:space="0" w:color="auto"/>
        <w:left w:val="none" w:sz="0" w:space="0" w:color="auto"/>
        <w:bottom w:val="none" w:sz="0" w:space="0" w:color="auto"/>
        <w:right w:val="none" w:sz="0" w:space="0" w:color="auto"/>
      </w:divBdr>
    </w:div>
    <w:div w:id="302463520">
      <w:bodyDiv w:val="1"/>
      <w:marLeft w:val="0"/>
      <w:marRight w:val="0"/>
      <w:marTop w:val="0"/>
      <w:marBottom w:val="0"/>
      <w:divBdr>
        <w:top w:val="none" w:sz="0" w:space="0" w:color="auto"/>
        <w:left w:val="none" w:sz="0" w:space="0" w:color="auto"/>
        <w:bottom w:val="none" w:sz="0" w:space="0" w:color="auto"/>
        <w:right w:val="none" w:sz="0" w:space="0" w:color="auto"/>
      </w:divBdr>
    </w:div>
    <w:div w:id="302472089">
      <w:bodyDiv w:val="1"/>
      <w:marLeft w:val="0"/>
      <w:marRight w:val="0"/>
      <w:marTop w:val="0"/>
      <w:marBottom w:val="0"/>
      <w:divBdr>
        <w:top w:val="none" w:sz="0" w:space="0" w:color="auto"/>
        <w:left w:val="none" w:sz="0" w:space="0" w:color="auto"/>
        <w:bottom w:val="none" w:sz="0" w:space="0" w:color="auto"/>
        <w:right w:val="none" w:sz="0" w:space="0" w:color="auto"/>
      </w:divBdr>
    </w:div>
    <w:div w:id="302658431">
      <w:bodyDiv w:val="1"/>
      <w:marLeft w:val="0"/>
      <w:marRight w:val="0"/>
      <w:marTop w:val="0"/>
      <w:marBottom w:val="0"/>
      <w:divBdr>
        <w:top w:val="none" w:sz="0" w:space="0" w:color="auto"/>
        <w:left w:val="none" w:sz="0" w:space="0" w:color="auto"/>
        <w:bottom w:val="none" w:sz="0" w:space="0" w:color="auto"/>
        <w:right w:val="none" w:sz="0" w:space="0" w:color="auto"/>
      </w:divBdr>
    </w:div>
    <w:div w:id="302662380">
      <w:bodyDiv w:val="1"/>
      <w:marLeft w:val="0"/>
      <w:marRight w:val="0"/>
      <w:marTop w:val="0"/>
      <w:marBottom w:val="0"/>
      <w:divBdr>
        <w:top w:val="none" w:sz="0" w:space="0" w:color="auto"/>
        <w:left w:val="none" w:sz="0" w:space="0" w:color="auto"/>
        <w:bottom w:val="none" w:sz="0" w:space="0" w:color="auto"/>
        <w:right w:val="none" w:sz="0" w:space="0" w:color="auto"/>
      </w:divBdr>
    </w:div>
    <w:div w:id="302735405">
      <w:bodyDiv w:val="1"/>
      <w:marLeft w:val="0"/>
      <w:marRight w:val="0"/>
      <w:marTop w:val="0"/>
      <w:marBottom w:val="0"/>
      <w:divBdr>
        <w:top w:val="none" w:sz="0" w:space="0" w:color="auto"/>
        <w:left w:val="none" w:sz="0" w:space="0" w:color="auto"/>
        <w:bottom w:val="none" w:sz="0" w:space="0" w:color="auto"/>
        <w:right w:val="none" w:sz="0" w:space="0" w:color="auto"/>
      </w:divBdr>
    </w:div>
    <w:div w:id="302783064">
      <w:bodyDiv w:val="1"/>
      <w:marLeft w:val="0"/>
      <w:marRight w:val="0"/>
      <w:marTop w:val="0"/>
      <w:marBottom w:val="0"/>
      <w:divBdr>
        <w:top w:val="none" w:sz="0" w:space="0" w:color="auto"/>
        <w:left w:val="none" w:sz="0" w:space="0" w:color="auto"/>
        <w:bottom w:val="none" w:sz="0" w:space="0" w:color="auto"/>
        <w:right w:val="none" w:sz="0" w:space="0" w:color="auto"/>
      </w:divBdr>
    </w:div>
    <w:div w:id="302783313">
      <w:bodyDiv w:val="1"/>
      <w:marLeft w:val="0"/>
      <w:marRight w:val="0"/>
      <w:marTop w:val="0"/>
      <w:marBottom w:val="0"/>
      <w:divBdr>
        <w:top w:val="none" w:sz="0" w:space="0" w:color="auto"/>
        <w:left w:val="none" w:sz="0" w:space="0" w:color="auto"/>
        <w:bottom w:val="none" w:sz="0" w:space="0" w:color="auto"/>
        <w:right w:val="none" w:sz="0" w:space="0" w:color="auto"/>
      </w:divBdr>
    </w:div>
    <w:div w:id="302931289">
      <w:bodyDiv w:val="1"/>
      <w:marLeft w:val="0"/>
      <w:marRight w:val="0"/>
      <w:marTop w:val="0"/>
      <w:marBottom w:val="0"/>
      <w:divBdr>
        <w:top w:val="none" w:sz="0" w:space="0" w:color="auto"/>
        <w:left w:val="none" w:sz="0" w:space="0" w:color="auto"/>
        <w:bottom w:val="none" w:sz="0" w:space="0" w:color="auto"/>
        <w:right w:val="none" w:sz="0" w:space="0" w:color="auto"/>
      </w:divBdr>
    </w:div>
    <w:div w:id="303002720">
      <w:bodyDiv w:val="1"/>
      <w:marLeft w:val="0"/>
      <w:marRight w:val="0"/>
      <w:marTop w:val="0"/>
      <w:marBottom w:val="0"/>
      <w:divBdr>
        <w:top w:val="none" w:sz="0" w:space="0" w:color="auto"/>
        <w:left w:val="none" w:sz="0" w:space="0" w:color="auto"/>
        <w:bottom w:val="none" w:sz="0" w:space="0" w:color="auto"/>
        <w:right w:val="none" w:sz="0" w:space="0" w:color="auto"/>
      </w:divBdr>
    </w:div>
    <w:div w:id="303200428">
      <w:bodyDiv w:val="1"/>
      <w:marLeft w:val="0"/>
      <w:marRight w:val="0"/>
      <w:marTop w:val="0"/>
      <w:marBottom w:val="0"/>
      <w:divBdr>
        <w:top w:val="none" w:sz="0" w:space="0" w:color="auto"/>
        <w:left w:val="none" w:sz="0" w:space="0" w:color="auto"/>
        <w:bottom w:val="none" w:sz="0" w:space="0" w:color="auto"/>
        <w:right w:val="none" w:sz="0" w:space="0" w:color="auto"/>
      </w:divBdr>
    </w:div>
    <w:div w:id="303200709">
      <w:bodyDiv w:val="1"/>
      <w:marLeft w:val="0"/>
      <w:marRight w:val="0"/>
      <w:marTop w:val="0"/>
      <w:marBottom w:val="0"/>
      <w:divBdr>
        <w:top w:val="none" w:sz="0" w:space="0" w:color="auto"/>
        <w:left w:val="none" w:sz="0" w:space="0" w:color="auto"/>
        <w:bottom w:val="none" w:sz="0" w:space="0" w:color="auto"/>
        <w:right w:val="none" w:sz="0" w:space="0" w:color="auto"/>
      </w:divBdr>
    </w:div>
    <w:div w:id="303319586">
      <w:bodyDiv w:val="1"/>
      <w:marLeft w:val="0"/>
      <w:marRight w:val="0"/>
      <w:marTop w:val="0"/>
      <w:marBottom w:val="0"/>
      <w:divBdr>
        <w:top w:val="none" w:sz="0" w:space="0" w:color="auto"/>
        <w:left w:val="none" w:sz="0" w:space="0" w:color="auto"/>
        <w:bottom w:val="none" w:sz="0" w:space="0" w:color="auto"/>
        <w:right w:val="none" w:sz="0" w:space="0" w:color="auto"/>
      </w:divBdr>
    </w:div>
    <w:div w:id="303389148">
      <w:bodyDiv w:val="1"/>
      <w:marLeft w:val="0"/>
      <w:marRight w:val="0"/>
      <w:marTop w:val="0"/>
      <w:marBottom w:val="0"/>
      <w:divBdr>
        <w:top w:val="none" w:sz="0" w:space="0" w:color="auto"/>
        <w:left w:val="none" w:sz="0" w:space="0" w:color="auto"/>
        <w:bottom w:val="none" w:sz="0" w:space="0" w:color="auto"/>
        <w:right w:val="none" w:sz="0" w:space="0" w:color="auto"/>
      </w:divBdr>
    </w:div>
    <w:div w:id="303392686">
      <w:bodyDiv w:val="1"/>
      <w:marLeft w:val="0"/>
      <w:marRight w:val="0"/>
      <w:marTop w:val="0"/>
      <w:marBottom w:val="0"/>
      <w:divBdr>
        <w:top w:val="none" w:sz="0" w:space="0" w:color="auto"/>
        <w:left w:val="none" w:sz="0" w:space="0" w:color="auto"/>
        <w:bottom w:val="none" w:sz="0" w:space="0" w:color="auto"/>
        <w:right w:val="none" w:sz="0" w:space="0" w:color="auto"/>
      </w:divBdr>
    </w:div>
    <w:div w:id="303394864">
      <w:bodyDiv w:val="1"/>
      <w:marLeft w:val="0"/>
      <w:marRight w:val="0"/>
      <w:marTop w:val="0"/>
      <w:marBottom w:val="0"/>
      <w:divBdr>
        <w:top w:val="none" w:sz="0" w:space="0" w:color="auto"/>
        <w:left w:val="none" w:sz="0" w:space="0" w:color="auto"/>
        <w:bottom w:val="none" w:sz="0" w:space="0" w:color="auto"/>
        <w:right w:val="none" w:sz="0" w:space="0" w:color="auto"/>
      </w:divBdr>
    </w:div>
    <w:div w:id="303462556">
      <w:bodyDiv w:val="1"/>
      <w:marLeft w:val="0"/>
      <w:marRight w:val="0"/>
      <w:marTop w:val="0"/>
      <w:marBottom w:val="0"/>
      <w:divBdr>
        <w:top w:val="none" w:sz="0" w:space="0" w:color="auto"/>
        <w:left w:val="none" w:sz="0" w:space="0" w:color="auto"/>
        <w:bottom w:val="none" w:sz="0" w:space="0" w:color="auto"/>
        <w:right w:val="none" w:sz="0" w:space="0" w:color="auto"/>
      </w:divBdr>
    </w:div>
    <w:div w:id="303506432">
      <w:bodyDiv w:val="1"/>
      <w:marLeft w:val="0"/>
      <w:marRight w:val="0"/>
      <w:marTop w:val="0"/>
      <w:marBottom w:val="0"/>
      <w:divBdr>
        <w:top w:val="none" w:sz="0" w:space="0" w:color="auto"/>
        <w:left w:val="none" w:sz="0" w:space="0" w:color="auto"/>
        <w:bottom w:val="none" w:sz="0" w:space="0" w:color="auto"/>
        <w:right w:val="none" w:sz="0" w:space="0" w:color="auto"/>
      </w:divBdr>
    </w:div>
    <w:div w:id="303655627">
      <w:bodyDiv w:val="1"/>
      <w:marLeft w:val="0"/>
      <w:marRight w:val="0"/>
      <w:marTop w:val="0"/>
      <w:marBottom w:val="0"/>
      <w:divBdr>
        <w:top w:val="none" w:sz="0" w:space="0" w:color="auto"/>
        <w:left w:val="none" w:sz="0" w:space="0" w:color="auto"/>
        <w:bottom w:val="none" w:sz="0" w:space="0" w:color="auto"/>
        <w:right w:val="none" w:sz="0" w:space="0" w:color="auto"/>
      </w:divBdr>
    </w:div>
    <w:div w:id="303658341">
      <w:bodyDiv w:val="1"/>
      <w:marLeft w:val="0"/>
      <w:marRight w:val="0"/>
      <w:marTop w:val="0"/>
      <w:marBottom w:val="0"/>
      <w:divBdr>
        <w:top w:val="none" w:sz="0" w:space="0" w:color="auto"/>
        <w:left w:val="none" w:sz="0" w:space="0" w:color="auto"/>
        <w:bottom w:val="none" w:sz="0" w:space="0" w:color="auto"/>
        <w:right w:val="none" w:sz="0" w:space="0" w:color="auto"/>
      </w:divBdr>
    </w:div>
    <w:div w:id="303775318">
      <w:bodyDiv w:val="1"/>
      <w:marLeft w:val="0"/>
      <w:marRight w:val="0"/>
      <w:marTop w:val="0"/>
      <w:marBottom w:val="0"/>
      <w:divBdr>
        <w:top w:val="none" w:sz="0" w:space="0" w:color="auto"/>
        <w:left w:val="none" w:sz="0" w:space="0" w:color="auto"/>
        <w:bottom w:val="none" w:sz="0" w:space="0" w:color="auto"/>
        <w:right w:val="none" w:sz="0" w:space="0" w:color="auto"/>
      </w:divBdr>
    </w:div>
    <w:div w:id="303781551">
      <w:bodyDiv w:val="1"/>
      <w:marLeft w:val="0"/>
      <w:marRight w:val="0"/>
      <w:marTop w:val="0"/>
      <w:marBottom w:val="0"/>
      <w:divBdr>
        <w:top w:val="none" w:sz="0" w:space="0" w:color="auto"/>
        <w:left w:val="none" w:sz="0" w:space="0" w:color="auto"/>
        <w:bottom w:val="none" w:sz="0" w:space="0" w:color="auto"/>
        <w:right w:val="none" w:sz="0" w:space="0" w:color="auto"/>
      </w:divBdr>
    </w:div>
    <w:div w:id="304043894">
      <w:bodyDiv w:val="1"/>
      <w:marLeft w:val="0"/>
      <w:marRight w:val="0"/>
      <w:marTop w:val="0"/>
      <w:marBottom w:val="0"/>
      <w:divBdr>
        <w:top w:val="none" w:sz="0" w:space="0" w:color="auto"/>
        <w:left w:val="none" w:sz="0" w:space="0" w:color="auto"/>
        <w:bottom w:val="none" w:sz="0" w:space="0" w:color="auto"/>
        <w:right w:val="none" w:sz="0" w:space="0" w:color="auto"/>
      </w:divBdr>
    </w:div>
    <w:div w:id="304090495">
      <w:bodyDiv w:val="1"/>
      <w:marLeft w:val="0"/>
      <w:marRight w:val="0"/>
      <w:marTop w:val="0"/>
      <w:marBottom w:val="0"/>
      <w:divBdr>
        <w:top w:val="none" w:sz="0" w:space="0" w:color="auto"/>
        <w:left w:val="none" w:sz="0" w:space="0" w:color="auto"/>
        <w:bottom w:val="none" w:sz="0" w:space="0" w:color="auto"/>
        <w:right w:val="none" w:sz="0" w:space="0" w:color="auto"/>
      </w:divBdr>
    </w:div>
    <w:div w:id="304093336">
      <w:bodyDiv w:val="1"/>
      <w:marLeft w:val="0"/>
      <w:marRight w:val="0"/>
      <w:marTop w:val="0"/>
      <w:marBottom w:val="0"/>
      <w:divBdr>
        <w:top w:val="none" w:sz="0" w:space="0" w:color="auto"/>
        <w:left w:val="none" w:sz="0" w:space="0" w:color="auto"/>
        <w:bottom w:val="none" w:sz="0" w:space="0" w:color="auto"/>
        <w:right w:val="none" w:sz="0" w:space="0" w:color="auto"/>
      </w:divBdr>
    </w:div>
    <w:div w:id="304094111">
      <w:bodyDiv w:val="1"/>
      <w:marLeft w:val="0"/>
      <w:marRight w:val="0"/>
      <w:marTop w:val="0"/>
      <w:marBottom w:val="0"/>
      <w:divBdr>
        <w:top w:val="none" w:sz="0" w:space="0" w:color="auto"/>
        <w:left w:val="none" w:sz="0" w:space="0" w:color="auto"/>
        <w:bottom w:val="none" w:sz="0" w:space="0" w:color="auto"/>
        <w:right w:val="none" w:sz="0" w:space="0" w:color="auto"/>
      </w:divBdr>
    </w:div>
    <w:div w:id="304163147">
      <w:bodyDiv w:val="1"/>
      <w:marLeft w:val="0"/>
      <w:marRight w:val="0"/>
      <w:marTop w:val="0"/>
      <w:marBottom w:val="0"/>
      <w:divBdr>
        <w:top w:val="none" w:sz="0" w:space="0" w:color="auto"/>
        <w:left w:val="none" w:sz="0" w:space="0" w:color="auto"/>
        <w:bottom w:val="none" w:sz="0" w:space="0" w:color="auto"/>
        <w:right w:val="none" w:sz="0" w:space="0" w:color="auto"/>
      </w:divBdr>
    </w:div>
    <w:div w:id="304164128">
      <w:bodyDiv w:val="1"/>
      <w:marLeft w:val="0"/>
      <w:marRight w:val="0"/>
      <w:marTop w:val="0"/>
      <w:marBottom w:val="0"/>
      <w:divBdr>
        <w:top w:val="none" w:sz="0" w:space="0" w:color="auto"/>
        <w:left w:val="none" w:sz="0" w:space="0" w:color="auto"/>
        <w:bottom w:val="none" w:sz="0" w:space="0" w:color="auto"/>
        <w:right w:val="none" w:sz="0" w:space="0" w:color="auto"/>
      </w:divBdr>
    </w:div>
    <w:div w:id="304164291">
      <w:bodyDiv w:val="1"/>
      <w:marLeft w:val="0"/>
      <w:marRight w:val="0"/>
      <w:marTop w:val="0"/>
      <w:marBottom w:val="0"/>
      <w:divBdr>
        <w:top w:val="none" w:sz="0" w:space="0" w:color="auto"/>
        <w:left w:val="none" w:sz="0" w:space="0" w:color="auto"/>
        <w:bottom w:val="none" w:sz="0" w:space="0" w:color="auto"/>
        <w:right w:val="none" w:sz="0" w:space="0" w:color="auto"/>
      </w:divBdr>
    </w:div>
    <w:div w:id="304236891">
      <w:bodyDiv w:val="1"/>
      <w:marLeft w:val="0"/>
      <w:marRight w:val="0"/>
      <w:marTop w:val="0"/>
      <w:marBottom w:val="0"/>
      <w:divBdr>
        <w:top w:val="none" w:sz="0" w:space="0" w:color="auto"/>
        <w:left w:val="none" w:sz="0" w:space="0" w:color="auto"/>
        <w:bottom w:val="none" w:sz="0" w:space="0" w:color="auto"/>
        <w:right w:val="none" w:sz="0" w:space="0" w:color="auto"/>
      </w:divBdr>
    </w:div>
    <w:div w:id="304362854">
      <w:bodyDiv w:val="1"/>
      <w:marLeft w:val="0"/>
      <w:marRight w:val="0"/>
      <w:marTop w:val="0"/>
      <w:marBottom w:val="0"/>
      <w:divBdr>
        <w:top w:val="none" w:sz="0" w:space="0" w:color="auto"/>
        <w:left w:val="none" w:sz="0" w:space="0" w:color="auto"/>
        <w:bottom w:val="none" w:sz="0" w:space="0" w:color="auto"/>
        <w:right w:val="none" w:sz="0" w:space="0" w:color="auto"/>
      </w:divBdr>
    </w:div>
    <w:div w:id="304507951">
      <w:bodyDiv w:val="1"/>
      <w:marLeft w:val="0"/>
      <w:marRight w:val="0"/>
      <w:marTop w:val="0"/>
      <w:marBottom w:val="0"/>
      <w:divBdr>
        <w:top w:val="none" w:sz="0" w:space="0" w:color="auto"/>
        <w:left w:val="none" w:sz="0" w:space="0" w:color="auto"/>
        <w:bottom w:val="none" w:sz="0" w:space="0" w:color="auto"/>
        <w:right w:val="none" w:sz="0" w:space="0" w:color="auto"/>
      </w:divBdr>
    </w:div>
    <w:div w:id="304553603">
      <w:bodyDiv w:val="1"/>
      <w:marLeft w:val="0"/>
      <w:marRight w:val="0"/>
      <w:marTop w:val="0"/>
      <w:marBottom w:val="0"/>
      <w:divBdr>
        <w:top w:val="none" w:sz="0" w:space="0" w:color="auto"/>
        <w:left w:val="none" w:sz="0" w:space="0" w:color="auto"/>
        <w:bottom w:val="none" w:sz="0" w:space="0" w:color="auto"/>
        <w:right w:val="none" w:sz="0" w:space="0" w:color="auto"/>
      </w:divBdr>
    </w:div>
    <w:div w:id="304554844">
      <w:bodyDiv w:val="1"/>
      <w:marLeft w:val="0"/>
      <w:marRight w:val="0"/>
      <w:marTop w:val="0"/>
      <w:marBottom w:val="0"/>
      <w:divBdr>
        <w:top w:val="none" w:sz="0" w:space="0" w:color="auto"/>
        <w:left w:val="none" w:sz="0" w:space="0" w:color="auto"/>
        <w:bottom w:val="none" w:sz="0" w:space="0" w:color="auto"/>
        <w:right w:val="none" w:sz="0" w:space="0" w:color="auto"/>
      </w:divBdr>
    </w:div>
    <w:div w:id="304705451">
      <w:bodyDiv w:val="1"/>
      <w:marLeft w:val="0"/>
      <w:marRight w:val="0"/>
      <w:marTop w:val="0"/>
      <w:marBottom w:val="0"/>
      <w:divBdr>
        <w:top w:val="none" w:sz="0" w:space="0" w:color="auto"/>
        <w:left w:val="none" w:sz="0" w:space="0" w:color="auto"/>
        <w:bottom w:val="none" w:sz="0" w:space="0" w:color="auto"/>
        <w:right w:val="none" w:sz="0" w:space="0" w:color="auto"/>
      </w:divBdr>
    </w:div>
    <w:div w:id="304893422">
      <w:bodyDiv w:val="1"/>
      <w:marLeft w:val="0"/>
      <w:marRight w:val="0"/>
      <w:marTop w:val="0"/>
      <w:marBottom w:val="0"/>
      <w:divBdr>
        <w:top w:val="none" w:sz="0" w:space="0" w:color="auto"/>
        <w:left w:val="none" w:sz="0" w:space="0" w:color="auto"/>
        <w:bottom w:val="none" w:sz="0" w:space="0" w:color="auto"/>
        <w:right w:val="none" w:sz="0" w:space="0" w:color="auto"/>
      </w:divBdr>
    </w:div>
    <w:div w:id="304896740">
      <w:bodyDiv w:val="1"/>
      <w:marLeft w:val="0"/>
      <w:marRight w:val="0"/>
      <w:marTop w:val="0"/>
      <w:marBottom w:val="0"/>
      <w:divBdr>
        <w:top w:val="none" w:sz="0" w:space="0" w:color="auto"/>
        <w:left w:val="none" w:sz="0" w:space="0" w:color="auto"/>
        <w:bottom w:val="none" w:sz="0" w:space="0" w:color="auto"/>
        <w:right w:val="none" w:sz="0" w:space="0" w:color="auto"/>
      </w:divBdr>
    </w:div>
    <w:div w:id="304897125">
      <w:bodyDiv w:val="1"/>
      <w:marLeft w:val="0"/>
      <w:marRight w:val="0"/>
      <w:marTop w:val="0"/>
      <w:marBottom w:val="0"/>
      <w:divBdr>
        <w:top w:val="none" w:sz="0" w:space="0" w:color="auto"/>
        <w:left w:val="none" w:sz="0" w:space="0" w:color="auto"/>
        <w:bottom w:val="none" w:sz="0" w:space="0" w:color="auto"/>
        <w:right w:val="none" w:sz="0" w:space="0" w:color="auto"/>
      </w:divBdr>
    </w:div>
    <w:div w:id="305014288">
      <w:bodyDiv w:val="1"/>
      <w:marLeft w:val="0"/>
      <w:marRight w:val="0"/>
      <w:marTop w:val="0"/>
      <w:marBottom w:val="0"/>
      <w:divBdr>
        <w:top w:val="none" w:sz="0" w:space="0" w:color="auto"/>
        <w:left w:val="none" w:sz="0" w:space="0" w:color="auto"/>
        <w:bottom w:val="none" w:sz="0" w:space="0" w:color="auto"/>
        <w:right w:val="none" w:sz="0" w:space="0" w:color="auto"/>
      </w:divBdr>
    </w:div>
    <w:div w:id="305206570">
      <w:bodyDiv w:val="1"/>
      <w:marLeft w:val="0"/>
      <w:marRight w:val="0"/>
      <w:marTop w:val="0"/>
      <w:marBottom w:val="0"/>
      <w:divBdr>
        <w:top w:val="none" w:sz="0" w:space="0" w:color="auto"/>
        <w:left w:val="none" w:sz="0" w:space="0" w:color="auto"/>
        <w:bottom w:val="none" w:sz="0" w:space="0" w:color="auto"/>
        <w:right w:val="none" w:sz="0" w:space="0" w:color="auto"/>
      </w:divBdr>
    </w:div>
    <w:div w:id="305546170">
      <w:bodyDiv w:val="1"/>
      <w:marLeft w:val="0"/>
      <w:marRight w:val="0"/>
      <w:marTop w:val="0"/>
      <w:marBottom w:val="0"/>
      <w:divBdr>
        <w:top w:val="none" w:sz="0" w:space="0" w:color="auto"/>
        <w:left w:val="none" w:sz="0" w:space="0" w:color="auto"/>
        <w:bottom w:val="none" w:sz="0" w:space="0" w:color="auto"/>
        <w:right w:val="none" w:sz="0" w:space="0" w:color="auto"/>
      </w:divBdr>
    </w:div>
    <w:div w:id="305550314">
      <w:bodyDiv w:val="1"/>
      <w:marLeft w:val="0"/>
      <w:marRight w:val="0"/>
      <w:marTop w:val="0"/>
      <w:marBottom w:val="0"/>
      <w:divBdr>
        <w:top w:val="none" w:sz="0" w:space="0" w:color="auto"/>
        <w:left w:val="none" w:sz="0" w:space="0" w:color="auto"/>
        <w:bottom w:val="none" w:sz="0" w:space="0" w:color="auto"/>
        <w:right w:val="none" w:sz="0" w:space="0" w:color="auto"/>
      </w:divBdr>
    </w:div>
    <w:div w:id="305623971">
      <w:bodyDiv w:val="1"/>
      <w:marLeft w:val="0"/>
      <w:marRight w:val="0"/>
      <w:marTop w:val="0"/>
      <w:marBottom w:val="0"/>
      <w:divBdr>
        <w:top w:val="none" w:sz="0" w:space="0" w:color="auto"/>
        <w:left w:val="none" w:sz="0" w:space="0" w:color="auto"/>
        <w:bottom w:val="none" w:sz="0" w:space="0" w:color="auto"/>
        <w:right w:val="none" w:sz="0" w:space="0" w:color="auto"/>
      </w:divBdr>
    </w:div>
    <w:div w:id="305624872">
      <w:bodyDiv w:val="1"/>
      <w:marLeft w:val="0"/>
      <w:marRight w:val="0"/>
      <w:marTop w:val="0"/>
      <w:marBottom w:val="0"/>
      <w:divBdr>
        <w:top w:val="none" w:sz="0" w:space="0" w:color="auto"/>
        <w:left w:val="none" w:sz="0" w:space="0" w:color="auto"/>
        <w:bottom w:val="none" w:sz="0" w:space="0" w:color="auto"/>
        <w:right w:val="none" w:sz="0" w:space="0" w:color="auto"/>
      </w:divBdr>
    </w:div>
    <w:div w:id="305739188">
      <w:bodyDiv w:val="1"/>
      <w:marLeft w:val="0"/>
      <w:marRight w:val="0"/>
      <w:marTop w:val="0"/>
      <w:marBottom w:val="0"/>
      <w:divBdr>
        <w:top w:val="none" w:sz="0" w:space="0" w:color="auto"/>
        <w:left w:val="none" w:sz="0" w:space="0" w:color="auto"/>
        <w:bottom w:val="none" w:sz="0" w:space="0" w:color="auto"/>
        <w:right w:val="none" w:sz="0" w:space="0" w:color="auto"/>
      </w:divBdr>
    </w:div>
    <w:div w:id="305744935">
      <w:bodyDiv w:val="1"/>
      <w:marLeft w:val="0"/>
      <w:marRight w:val="0"/>
      <w:marTop w:val="0"/>
      <w:marBottom w:val="0"/>
      <w:divBdr>
        <w:top w:val="none" w:sz="0" w:space="0" w:color="auto"/>
        <w:left w:val="none" w:sz="0" w:space="0" w:color="auto"/>
        <w:bottom w:val="none" w:sz="0" w:space="0" w:color="auto"/>
        <w:right w:val="none" w:sz="0" w:space="0" w:color="auto"/>
      </w:divBdr>
    </w:div>
    <w:div w:id="305814811">
      <w:bodyDiv w:val="1"/>
      <w:marLeft w:val="0"/>
      <w:marRight w:val="0"/>
      <w:marTop w:val="0"/>
      <w:marBottom w:val="0"/>
      <w:divBdr>
        <w:top w:val="none" w:sz="0" w:space="0" w:color="auto"/>
        <w:left w:val="none" w:sz="0" w:space="0" w:color="auto"/>
        <w:bottom w:val="none" w:sz="0" w:space="0" w:color="auto"/>
        <w:right w:val="none" w:sz="0" w:space="0" w:color="auto"/>
      </w:divBdr>
    </w:div>
    <w:div w:id="305816015">
      <w:bodyDiv w:val="1"/>
      <w:marLeft w:val="0"/>
      <w:marRight w:val="0"/>
      <w:marTop w:val="0"/>
      <w:marBottom w:val="0"/>
      <w:divBdr>
        <w:top w:val="none" w:sz="0" w:space="0" w:color="auto"/>
        <w:left w:val="none" w:sz="0" w:space="0" w:color="auto"/>
        <w:bottom w:val="none" w:sz="0" w:space="0" w:color="auto"/>
        <w:right w:val="none" w:sz="0" w:space="0" w:color="auto"/>
      </w:divBdr>
    </w:div>
    <w:div w:id="305822101">
      <w:bodyDiv w:val="1"/>
      <w:marLeft w:val="0"/>
      <w:marRight w:val="0"/>
      <w:marTop w:val="0"/>
      <w:marBottom w:val="0"/>
      <w:divBdr>
        <w:top w:val="none" w:sz="0" w:space="0" w:color="auto"/>
        <w:left w:val="none" w:sz="0" w:space="0" w:color="auto"/>
        <w:bottom w:val="none" w:sz="0" w:space="0" w:color="auto"/>
        <w:right w:val="none" w:sz="0" w:space="0" w:color="auto"/>
      </w:divBdr>
    </w:div>
    <w:div w:id="305822216">
      <w:bodyDiv w:val="1"/>
      <w:marLeft w:val="0"/>
      <w:marRight w:val="0"/>
      <w:marTop w:val="0"/>
      <w:marBottom w:val="0"/>
      <w:divBdr>
        <w:top w:val="none" w:sz="0" w:space="0" w:color="auto"/>
        <w:left w:val="none" w:sz="0" w:space="0" w:color="auto"/>
        <w:bottom w:val="none" w:sz="0" w:space="0" w:color="auto"/>
        <w:right w:val="none" w:sz="0" w:space="0" w:color="auto"/>
      </w:divBdr>
    </w:div>
    <w:div w:id="305933032">
      <w:bodyDiv w:val="1"/>
      <w:marLeft w:val="0"/>
      <w:marRight w:val="0"/>
      <w:marTop w:val="0"/>
      <w:marBottom w:val="0"/>
      <w:divBdr>
        <w:top w:val="none" w:sz="0" w:space="0" w:color="auto"/>
        <w:left w:val="none" w:sz="0" w:space="0" w:color="auto"/>
        <w:bottom w:val="none" w:sz="0" w:space="0" w:color="auto"/>
        <w:right w:val="none" w:sz="0" w:space="0" w:color="auto"/>
      </w:divBdr>
    </w:div>
    <w:div w:id="306083304">
      <w:bodyDiv w:val="1"/>
      <w:marLeft w:val="0"/>
      <w:marRight w:val="0"/>
      <w:marTop w:val="0"/>
      <w:marBottom w:val="0"/>
      <w:divBdr>
        <w:top w:val="none" w:sz="0" w:space="0" w:color="auto"/>
        <w:left w:val="none" w:sz="0" w:space="0" w:color="auto"/>
        <w:bottom w:val="none" w:sz="0" w:space="0" w:color="auto"/>
        <w:right w:val="none" w:sz="0" w:space="0" w:color="auto"/>
      </w:divBdr>
    </w:div>
    <w:div w:id="306132111">
      <w:bodyDiv w:val="1"/>
      <w:marLeft w:val="0"/>
      <w:marRight w:val="0"/>
      <w:marTop w:val="0"/>
      <w:marBottom w:val="0"/>
      <w:divBdr>
        <w:top w:val="none" w:sz="0" w:space="0" w:color="auto"/>
        <w:left w:val="none" w:sz="0" w:space="0" w:color="auto"/>
        <w:bottom w:val="none" w:sz="0" w:space="0" w:color="auto"/>
        <w:right w:val="none" w:sz="0" w:space="0" w:color="auto"/>
      </w:divBdr>
    </w:div>
    <w:div w:id="306250235">
      <w:bodyDiv w:val="1"/>
      <w:marLeft w:val="0"/>
      <w:marRight w:val="0"/>
      <w:marTop w:val="0"/>
      <w:marBottom w:val="0"/>
      <w:divBdr>
        <w:top w:val="none" w:sz="0" w:space="0" w:color="auto"/>
        <w:left w:val="none" w:sz="0" w:space="0" w:color="auto"/>
        <w:bottom w:val="none" w:sz="0" w:space="0" w:color="auto"/>
        <w:right w:val="none" w:sz="0" w:space="0" w:color="auto"/>
      </w:divBdr>
    </w:div>
    <w:div w:id="306322337">
      <w:bodyDiv w:val="1"/>
      <w:marLeft w:val="0"/>
      <w:marRight w:val="0"/>
      <w:marTop w:val="0"/>
      <w:marBottom w:val="0"/>
      <w:divBdr>
        <w:top w:val="none" w:sz="0" w:space="0" w:color="auto"/>
        <w:left w:val="none" w:sz="0" w:space="0" w:color="auto"/>
        <w:bottom w:val="none" w:sz="0" w:space="0" w:color="auto"/>
        <w:right w:val="none" w:sz="0" w:space="0" w:color="auto"/>
      </w:divBdr>
    </w:div>
    <w:div w:id="306322517">
      <w:bodyDiv w:val="1"/>
      <w:marLeft w:val="0"/>
      <w:marRight w:val="0"/>
      <w:marTop w:val="0"/>
      <w:marBottom w:val="0"/>
      <w:divBdr>
        <w:top w:val="none" w:sz="0" w:space="0" w:color="auto"/>
        <w:left w:val="none" w:sz="0" w:space="0" w:color="auto"/>
        <w:bottom w:val="none" w:sz="0" w:space="0" w:color="auto"/>
        <w:right w:val="none" w:sz="0" w:space="0" w:color="auto"/>
      </w:divBdr>
    </w:div>
    <w:div w:id="306394870">
      <w:bodyDiv w:val="1"/>
      <w:marLeft w:val="0"/>
      <w:marRight w:val="0"/>
      <w:marTop w:val="0"/>
      <w:marBottom w:val="0"/>
      <w:divBdr>
        <w:top w:val="none" w:sz="0" w:space="0" w:color="auto"/>
        <w:left w:val="none" w:sz="0" w:space="0" w:color="auto"/>
        <w:bottom w:val="none" w:sz="0" w:space="0" w:color="auto"/>
        <w:right w:val="none" w:sz="0" w:space="0" w:color="auto"/>
      </w:divBdr>
    </w:div>
    <w:div w:id="306394880">
      <w:bodyDiv w:val="1"/>
      <w:marLeft w:val="0"/>
      <w:marRight w:val="0"/>
      <w:marTop w:val="0"/>
      <w:marBottom w:val="0"/>
      <w:divBdr>
        <w:top w:val="none" w:sz="0" w:space="0" w:color="auto"/>
        <w:left w:val="none" w:sz="0" w:space="0" w:color="auto"/>
        <w:bottom w:val="none" w:sz="0" w:space="0" w:color="auto"/>
        <w:right w:val="none" w:sz="0" w:space="0" w:color="auto"/>
      </w:divBdr>
    </w:div>
    <w:div w:id="306397976">
      <w:bodyDiv w:val="1"/>
      <w:marLeft w:val="0"/>
      <w:marRight w:val="0"/>
      <w:marTop w:val="0"/>
      <w:marBottom w:val="0"/>
      <w:divBdr>
        <w:top w:val="none" w:sz="0" w:space="0" w:color="auto"/>
        <w:left w:val="none" w:sz="0" w:space="0" w:color="auto"/>
        <w:bottom w:val="none" w:sz="0" w:space="0" w:color="auto"/>
        <w:right w:val="none" w:sz="0" w:space="0" w:color="auto"/>
      </w:divBdr>
    </w:div>
    <w:div w:id="306517704">
      <w:bodyDiv w:val="1"/>
      <w:marLeft w:val="0"/>
      <w:marRight w:val="0"/>
      <w:marTop w:val="0"/>
      <w:marBottom w:val="0"/>
      <w:divBdr>
        <w:top w:val="none" w:sz="0" w:space="0" w:color="auto"/>
        <w:left w:val="none" w:sz="0" w:space="0" w:color="auto"/>
        <w:bottom w:val="none" w:sz="0" w:space="0" w:color="auto"/>
        <w:right w:val="none" w:sz="0" w:space="0" w:color="auto"/>
      </w:divBdr>
    </w:div>
    <w:div w:id="306520443">
      <w:bodyDiv w:val="1"/>
      <w:marLeft w:val="0"/>
      <w:marRight w:val="0"/>
      <w:marTop w:val="0"/>
      <w:marBottom w:val="0"/>
      <w:divBdr>
        <w:top w:val="none" w:sz="0" w:space="0" w:color="auto"/>
        <w:left w:val="none" w:sz="0" w:space="0" w:color="auto"/>
        <w:bottom w:val="none" w:sz="0" w:space="0" w:color="auto"/>
        <w:right w:val="none" w:sz="0" w:space="0" w:color="auto"/>
      </w:divBdr>
    </w:div>
    <w:div w:id="306593886">
      <w:bodyDiv w:val="1"/>
      <w:marLeft w:val="0"/>
      <w:marRight w:val="0"/>
      <w:marTop w:val="0"/>
      <w:marBottom w:val="0"/>
      <w:divBdr>
        <w:top w:val="none" w:sz="0" w:space="0" w:color="auto"/>
        <w:left w:val="none" w:sz="0" w:space="0" w:color="auto"/>
        <w:bottom w:val="none" w:sz="0" w:space="0" w:color="auto"/>
        <w:right w:val="none" w:sz="0" w:space="0" w:color="auto"/>
      </w:divBdr>
    </w:div>
    <w:div w:id="306670000">
      <w:bodyDiv w:val="1"/>
      <w:marLeft w:val="0"/>
      <w:marRight w:val="0"/>
      <w:marTop w:val="0"/>
      <w:marBottom w:val="0"/>
      <w:divBdr>
        <w:top w:val="none" w:sz="0" w:space="0" w:color="auto"/>
        <w:left w:val="none" w:sz="0" w:space="0" w:color="auto"/>
        <w:bottom w:val="none" w:sz="0" w:space="0" w:color="auto"/>
        <w:right w:val="none" w:sz="0" w:space="0" w:color="auto"/>
      </w:divBdr>
    </w:div>
    <w:div w:id="306713446">
      <w:bodyDiv w:val="1"/>
      <w:marLeft w:val="0"/>
      <w:marRight w:val="0"/>
      <w:marTop w:val="0"/>
      <w:marBottom w:val="0"/>
      <w:divBdr>
        <w:top w:val="none" w:sz="0" w:space="0" w:color="auto"/>
        <w:left w:val="none" w:sz="0" w:space="0" w:color="auto"/>
        <w:bottom w:val="none" w:sz="0" w:space="0" w:color="auto"/>
        <w:right w:val="none" w:sz="0" w:space="0" w:color="auto"/>
      </w:divBdr>
    </w:div>
    <w:div w:id="306864326">
      <w:bodyDiv w:val="1"/>
      <w:marLeft w:val="0"/>
      <w:marRight w:val="0"/>
      <w:marTop w:val="0"/>
      <w:marBottom w:val="0"/>
      <w:divBdr>
        <w:top w:val="none" w:sz="0" w:space="0" w:color="auto"/>
        <w:left w:val="none" w:sz="0" w:space="0" w:color="auto"/>
        <w:bottom w:val="none" w:sz="0" w:space="0" w:color="auto"/>
        <w:right w:val="none" w:sz="0" w:space="0" w:color="auto"/>
      </w:divBdr>
    </w:div>
    <w:div w:id="306977200">
      <w:bodyDiv w:val="1"/>
      <w:marLeft w:val="0"/>
      <w:marRight w:val="0"/>
      <w:marTop w:val="0"/>
      <w:marBottom w:val="0"/>
      <w:divBdr>
        <w:top w:val="none" w:sz="0" w:space="0" w:color="auto"/>
        <w:left w:val="none" w:sz="0" w:space="0" w:color="auto"/>
        <w:bottom w:val="none" w:sz="0" w:space="0" w:color="auto"/>
        <w:right w:val="none" w:sz="0" w:space="0" w:color="auto"/>
      </w:divBdr>
    </w:div>
    <w:div w:id="307319070">
      <w:bodyDiv w:val="1"/>
      <w:marLeft w:val="0"/>
      <w:marRight w:val="0"/>
      <w:marTop w:val="0"/>
      <w:marBottom w:val="0"/>
      <w:divBdr>
        <w:top w:val="none" w:sz="0" w:space="0" w:color="auto"/>
        <w:left w:val="none" w:sz="0" w:space="0" w:color="auto"/>
        <w:bottom w:val="none" w:sz="0" w:space="0" w:color="auto"/>
        <w:right w:val="none" w:sz="0" w:space="0" w:color="auto"/>
      </w:divBdr>
    </w:div>
    <w:div w:id="307394289">
      <w:bodyDiv w:val="1"/>
      <w:marLeft w:val="0"/>
      <w:marRight w:val="0"/>
      <w:marTop w:val="0"/>
      <w:marBottom w:val="0"/>
      <w:divBdr>
        <w:top w:val="none" w:sz="0" w:space="0" w:color="auto"/>
        <w:left w:val="none" w:sz="0" w:space="0" w:color="auto"/>
        <w:bottom w:val="none" w:sz="0" w:space="0" w:color="auto"/>
        <w:right w:val="none" w:sz="0" w:space="0" w:color="auto"/>
      </w:divBdr>
    </w:div>
    <w:div w:id="307587009">
      <w:bodyDiv w:val="1"/>
      <w:marLeft w:val="0"/>
      <w:marRight w:val="0"/>
      <w:marTop w:val="0"/>
      <w:marBottom w:val="0"/>
      <w:divBdr>
        <w:top w:val="none" w:sz="0" w:space="0" w:color="auto"/>
        <w:left w:val="none" w:sz="0" w:space="0" w:color="auto"/>
        <w:bottom w:val="none" w:sz="0" w:space="0" w:color="auto"/>
        <w:right w:val="none" w:sz="0" w:space="0" w:color="auto"/>
      </w:divBdr>
    </w:div>
    <w:div w:id="307631881">
      <w:bodyDiv w:val="1"/>
      <w:marLeft w:val="0"/>
      <w:marRight w:val="0"/>
      <w:marTop w:val="0"/>
      <w:marBottom w:val="0"/>
      <w:divBdr>
        <w:top w:val="none" w:sz="0" w:space="0" w:color="auto"/>
        <w:left w:val="none" w:sz="0" w:space="0" w:color="auto"/>
        <w:bottom w:val="none" w:sz="0" w:space="0" w:color="auto"/>
        <w:right w:val="none" w:sz="0" w:space="0" w:color="auto"/>
      </w:divBdr>
    </w:div>
    <w:div w:id="307635407">
      <w:bodyDiv w:val="1"/>
      <w:marLeft w:val="0"/>
      <w:marRight w:val="0"/>
      <w:marTop w:val="0"/>
      <w:marBottom w:val="0"/>
      <w:divBdr>
        <w:top w:val="none" w:sz="0" w:space="0" w:color="auto"/>
        <w:left w:val="none" w:sz="0" w:space="0" w:color="auto"/>
        <w:bottom w:val="none" w:sz="0" w:space="0" w:color="auto"/>
        <w:right w:val="none" w:sz="0" w:space="0" w:color="auto"/>
      </w:divBdr>
    </w:div>
    <w:div w:id="307708656">
      <w:bodyDiv w:val="1"/>
      <w:marLeft w:val="0"/>
      <w:marRight w:val="0"/>
      <w:marTop w:val="0"/>
      <w:marBottom w:val="0"/>
      <w:divBdr>
        <w:top w:val="none" w:sz="0" w:space="0" w:color="auto"/>
        <w:left w:val="none" w:sz="0" w:space="0" w:color="auto"/>
        <w:bottom w:val="none" w:sz="0" w:space="0" w:color="auto"/>
        <w:right w:val="none" w:sz="0" w:space="0" w:color="auto"/>
      </w:divBdr>
    </w:div>
    <w:div w:id="307709744">
      <w:bodyDiv w:val="1"/>
      <w:marLeft w:val="0"/>
      <w:marRight w:val="0"/>
      <w:marTop w:val="0"/>
      <w:marBottom w:val="0"/>
      <w:divBdr>
        <w:top w:val="none" w:sz="0" w:space="0" w:color="auto"/>
        <w:left w:val="none" w:sz="0" w:space="0" w:color="auto"/>
        <w:bottom w:val="none" w:sz="0" w:space="0" w:color="auto"/>
        <w:right w:val="none" w:sz="0" w:space="0" w:color="auto"/>
      </w:divBdr>
    </w:div>
    <w:div w:id="307713406">
      <w:bodyDiv w:val="1"/>
      <w:marLeft w:val="0"/>
      <w:marRight w:val="0"/>
      <w:marTop w:val="0"/>
      <w:marBottom w:val="0"/>
      <w:divBdr>
        <w:top w:val="none" w:sz="0" w:space="0" w:color="auto"/>
        <w:left w:val="none" w:sz="0" w:space="0" w:color="auto"/>
        <w:bottom w:val="none" w:sz="0" w:space="0" w:color="auto"/>
        <w:right w:val="none" w:sz="0" w:space="0" w:color="auto"/>
      </w:divBdr>
    </w:div>
    <w:div w:id="307784926">
      <w:bodyDiv w:val="1"/>
      <w:marLeft w:val="0"/>
      <w:marRight w:val="0"/>
      <w:marTop w:val="0"/>
      <w:marBottom w:val="0"/>
      <w:divBdr>
        <w:top w:val="none" w:sz="0" w:space="0" w:color="auto"/>
        <w:left w:val="none" w:sz="0" w:space="0" w:color="auto"/>
        <w:bottom w:val="none" w:sz="0" w:space="0" w:color="auto"/>
        <w:right w:val="none" w:sz="0" w:space="0" w:color="auto"/>
      </w:divBdr>
    </w:div>
    <w:div w:id="307979371">
      <w:bodyDiv w:val="1"/>
      <w:marLeft w:val="0"/>
      <w:marRight w:val="0"/>
      <w:marTop w:val="0"/>
      <w:marBottom w:val="0"/>
      <w:divBdr>
        <w:top w:val="none" w:sz="0" w:space="0" w:color="auto"/>
        <w:left w:val="none" w:sz="0" w:space="0" w:color="auto"/>
        <w:bottom w:val="none" w:sz="0" w:space="0" w:color="auto"/>
        <w:right w:val="none" w:sz="0" w:space="0" w:color="auto"/>
      </w:divBdr>
    </w:div>
    <w:div w:id="308019738">
      <w:bodyDiv w:val="1"/>
      <w:marLeft w:val="0"/>
      <w:marRight w:val="0"/>
      <w:marTop w:val="0"/>
      <w:marBottom w:val="0"/>
      <w:divBdr>
        <w:top w:val="none" w:sz="0" w:space="0" w:color="auto"/>
        <w:left w:val="none" w:sz="0" w:space="0" w:color="auto"/>
        <w:bottom w:val="none" w:sz="0" w:space="0" w:color="auto"/>
        <w:right w:val="none" w:sz="0" w:space="0" w:color="auto"/>
      </w:divBdr>
    </w:div>
    <w:div w:id="308051385">
      <w:bodyDiv w:val="1"/>
      <w:marLeft w:val="0"/>
      <w:marRight w:val="0"/>
      <w:marTop w:val="0"/>
      <w:marBottom w:val="0"/>
      <w:divBdr>
        <w:top w:val="none" w:sz="0" w:space="0" w:color="auto"/>
        <w:left w:val="none" w:sz="0" w:space="0" w:color="auto"/>
        <w:bottom w:val="none" w:sz="0" w:space="0" w:color="auto"/>
        <w:right w:val="none" w:sz="0" w:space="0" w:color="auto"/>
      </w:divBdr>
    </w:div>
    <w:div w:id="308174256">
      <w:bodyDiv w:val="1"/>
      <w:marLeft w:val="0"/>
      <w:marRight w:val="0"/>
      <w:marTop w:val="0"/>
      <w:marBottom w:val="0"/>
      <w:divBdr>
        <w:top w:val="none" w:sz="0" w:space="0" w:color="auto"/>
        <w:left w:val="none" w:sz="0" w:space="0" w:color="auto"/>
        <w:bottom w:val="none" w:sz="0" w:space="0" w:color="auto"/>
        <w:right w:val="none" w:sz="0" w:space="0" w:color="auto"/>
      </w:divBdr>
    </w:div>
    <w:div w:id="308365274">
      <w:bodyDiv w:val="1"/>
      <w:marLeft w:val="0"/>
      <w:marRight w:val="0"/>
      <w:marTop w:val="0"/>
      <w:marBottom w:val="0"/>
      <w:divBdr>
        <w:top w:val="none" w:sz="0" w:space="0" w:color="auto"/>
        <w:left w:val="none" w:sz="0" w:space="0" w:color="auto"/>
        <w:bottom w:val="none" w:sz="0" w:space="0" w:color="auto"/>
        <w:right w:val="none" w:sz="0" w:space="0" w:color="auto"/>
      </w:divBdr>
    </w:div>
    <w:div w:id="308436652">
      <w:bodyDiv w:val="1"/>
      <w:marLeft w:val="0"/>
      <w:marRight w:val="0"/>
      <w:marTop w:val="0"/>
      <w:marBottom w:val="0"/>
      <w:divBdr>
        <w:top w:val="none" w:sz="0" w:space="0" w:color="auto"/>
        <w:left w:val="none" w:sz="0" w:space="0" w:color="auto"/>
        <w:bottom w:val="none" w:sz="0" w:space="0" w:color="auto"/>
        <w:right w:val="none" w:sz="0" w:space="0" w:color="auto"/>
      </w:divBdr>
    </w:div>
    <w:div w:id="308482674">
      <w:bodyDiv w:val="1"/>
      <w:marLeft w:val="0"/>
      <w:marRight w:val="0"/>
      <w:marTop w:val="0"/>
      <w:marBottom w:val="0"/>
      <w:divBdr>
        <w:top w:val="none" w:sz="0" w:space="0" w:color="auto"/>
        <w:left w:val="none" w:sz="0" w:space="0" w:color="auto"/>
        <w:bottom w:val="none" w:sz="0" w:space="0" w:color="auto"/>
        <w:right w:val="none" w:sz="0" w:space="0" w:color="auto"/>
      </w:divBdr>
    </w:div>
    <w:div w:id="308486551">
      <w:bodyDiv w:val="1"/>
      <w:marLeft w:val="0"/>
      <w:marRight w:val="0"/>
      <w:marTop w:val="0"/>
      <w:marBottom w:val="0"/>
      <w:divBdr>
        <w:top w:val="none" w:sz="0" w:space="0" w:color="auto"/>
        <w:left w:val="none" w:sz="0" w:space="0" w:color="auto"/>
        <w:bottom w:val="none" w:sz="0" w:space="0" w:color="auto"/>
        <w:right w:val="none" w:sz="0" w:space="0" w:color="auto"/>
      </w:divBdr>
    </w:div>
    <w:div w:id="308559258">
      <w:bodyDiv w:val="1"/>
      <w:marLeft w:val="0"/>
      <w:marRight w:val="0"/>
      <w:marTop w:val="0"/>
      <w:marBottom w:val="0"/>
      <w:divBdr>
        <w:top w:val="none" w:sz="0" w:space="0" w:color="auto"/>
        <w:left w:val="none" w:sz="0" w:space="0" w:color="auto"/>
        <w:bottom w:val="none" w:sz="0" w:space="0" w:color="auto"/>
        <w:right w:val="none" w:sz="0" w:space="0" w:color="auto"/>
      </w:divBdr>
    </w:div>
    <w:div w:id="308629822">
      <w:bodyDiv w:val="1"/>
      <w:marLeft w:val="0"/>
      <w:marRight w:val="0"/>
      <w:marTop w:val="0"/>
      <w:marBottom w:val="0"/>
      <w:divBdr>
        <w:top w:val="none" w:sz="0" w:space="0" w:color="auto"/>
        <w:left w:val="none" w:sz="0" w:space="0" w:color="auto"/>
        <w:bottom w:val="none" w:sz="0" w:space="0" w:color="auto"/>
        <w:right w:val="none" w:sz="0" w:space="0" w:color="auto"/>
      </w:divBdr>
    </w:div>
    <w:div w:id="308948725">
      <w:bodyDiv w:val="1"/>
      <w:marLeft w:val="0"/>
      <w:marRight w:val="0"/>
      <w:marTop w:val="0"/>
      <w:marBottom w:val="0"/>
      <w:divBdr>
        <w:top w:val="none" w:sz="0" w:space="0" w:color="auto"/>
        <w:left w:val="none" w:sz="0" w:space="0" w:color="auto"/>
        <w:bottom w:val="none" w:sz="0" w:space="0" w:color="auto"/>
        <w:right w:val="none" w:sz="0" w:space="0" w:color="auto"/>
      </w:divBdr>
    </w:div>
    <w:div w:id="309136273">
      <w:bodyDiv w:val="1"/>
      <w:marLeft w:val="0"/>
      <w:marRight w:val="0"/>
      <w:marTop w:val="0"/>
      <w:marBottom w:val="0"/>
      <w:divBdr>
        <w:top w:val="none" w:sz="0" w:space="0" w:color="auto"/>
        <w:left w:val="none" w:sz="0" w:space="0" w:color="auto"/>
        <w:bottom w:val="none" w:sz="0" w:space="0" w:color="auto"/>
        <w:right w:val="none" w:sz="0" w:space="0" w:color="auto"/>
      </w:divBdr>
    </w:div>
    <w:div w:id="309139113">
      <w:bodyDiv w:val="1"/>
      <w:marLeft w:val="0"/>
      <w:marRight w:val="0"/>
      <w:marTop w:val="0"/>
      <w:marBottom w:val="0"/>
      <w:divBdr>
        <w:top w:val="none" w:sz="0" w:space="0" w:color="auto"/>
        <w:left w:val="none" w:sz="0" w:space="0" w:color="auto"/>
        <w:bottom w:val="none" w:sz="0" w:space="0" w:color="auto"/>
        <w:right w:val="none" w:sz="0" w:space="0" w:color="auto"/>
      </w:divBdr>
    </w:div>
    <w:div w:id="309139652">
      <w:bodyDiv w:val="1"/>
      <w:marLeft w:val="0"/>
      <w:marRight w:val="0"/>
      <w:marTop w:val="0"/>
      <w:marBottom w:val="0"/>
      <w:divBdr>
        <w:top w:val="none" w:sz="0" w:space="0" w:color="auto"/>
        <w:left w:val="none" w:sz="0" w:space="0" w:color="auto"/>
        <w:bottom w:val="none" w:sz="0" w:space="0" w:color="auto"/>
        <w:right w:val="none" w:sz="0" w:space="0" w:color="auto"/>
      </w:divBdr>
    </w:div>
    <w:div w:id="309140890">
      <w:bodyDiv w:val="1"/>
      <w:marLeft w:val="0"/>
      <w:marRight w:val="0"/>
      <w:marTop w:val="0"/>
      <w:marBottom w:val="0"/>
      <w:divBdr>
        <w:top w:val="none" w:sz="0" w:space="0" w:color="auto"/>
        <w:left w:val="none" w:sz="0" w:space="0" w:color="auto"/>
        <w:bottom w:val="none" w:sz="0" w:space="0" w:color="auto"/>
        <w:right w:val="none" w:sz="0" w:space="0" w:color="auto"/>
      </w:divBdr>
    </w:div>
    <w:div w:id="309141935">
      <w:bodyDiv w:val="1"/>
      <w:marLeft w:val="0"/>
      <w:marRight w:val="0"/>
      <w:marTop w:val="0"/>
      <w:marBottom w:val="0"/>
      <w:divBdr>
        <w:top w:val="none" w:sz="0" w:space="0" w:color="auto"/>
        <w:left w:val="none" w:sz="0" w:space="0" w:color="auto"/>
        <w:bottom w:val="none" w:sz="0" w:space="0" w:color="auto"/>
        <w:right w:val="none" w:sz="0" w:space="0" w:color="auto"/>
      </w:divBdr>
    </w:div>
    <w:div w:id="309210719">
      <w:bodyDiv w:val="1"/>
      <w:marLeft w:val="0"/>
      <w:marRight w:val="0"/>
      <w:marTop w:val="0"/>
      <w:marBottom w:val="0"/>
      <w:divBdr>
        <w:top w:val="none" w:sz="0" w:space="0" w:color="auto"/>
        <w:left w:val="none" w:sz="0" w:space="0" w:color="auto"/>
        <w:bottom w:val="none" w:sz="0" w:space="0" w:color="auto"/>
        <w:right w:val="none" w:sz="0" w:space="0" w:color="auto"/>
      </w:divBdr>
    </w:div>
    <w:div w:id="309335094">
      <w:bodyDiv w:val="1"/>
      <w:marLeft w:val="0"/>
      <w:marRight w:val="0"/>
      <w:marTop w:val="0"/>
      <w:marBottom w:val="0"/>
      <w:divBdr>
        <w:top w:val="none" w:sz="0" w:space="0" w:color="auto"/>
        <w:left w:val="none" w:sz="0" w:space="0" w:color="auto"/>
        <w:bottom w:val="none" w:sz="0" w:space="0" w:color="auto"/>
        <w:right w:val="none" w:sz="0" w:space="0" w:color="auto"/>
      </w:divBdr>
    </w:div>
    <w:div w:id="309402573">
      <w:bodyDiv w:val="1"/>
      <w:marLeft w:val="0"/>
      <w:marRight w:val="0"/>
      <w:marTop w:val="0"/>
      <w:marBottom w:val="0"/>
      <w:divBdr>
        <w:top w:val="none" w:sz="0" w:space="0" w:color="auto"/>
        <w:left w:val="none" w:sz="0" w:space="0" w:color="auto"/>
        <w:bottom w:val="none" w:sz="0" w:space="0" w:color="auto"/>
        <w:right w:val="none" w:sz="0" w:space="0" w:color="auto"/>
      </w:divBdr>
    </w:div>
    <w:div w:id="309410930">
      <w:bodyDiv w:val="1"/>
      <w:marLeft w:val="0"/>
      <w:marRight w:val="0"/>
      <w:marTop w:val="0"/>
      <w:marBottom w:val="0"/>
      <w:divBdr>
        <w:top w:val="none" w:sz="0" w:space="0" w:color="auto"/>
        <w:left w:val="none" w:sz="0" w:space="0" w:color="auto"/>
        <w:bottom w:val="none" w:sz="0" w:space="0" w:color="auto"/>
        <w:right w:val="none" w:sz="0" w:space="0" w:color="auto"/>
      </w:divBdr>
    </w:div>
    <w:div w:id="309477504">
      <w:bodyDiv w:val="1"/>
      <w:marLeft w:val="0"/>
      <w:marRight w:val="0"/>
      <w:marTop w:val="0"/>
      <w:marBottom w:val="0"/>
      <w:divBdr>
        <w:top w:val="none" w:sz="0" w:space="0" w:color="auto"/>
        <w:left w:val="none" w:sz="0" w:space="0" w:color="auto"/>
        <w:bottom w:val="none" w:sz="0" w:space="0" w:color="auto"/>
        <w:right w:val="none" w:sz="0" w:space="0" w:color="auto"/>
      </w:divBdr>
    </w:div>
    <w:div w:id="309483956">
      <w:bodyDiv w:val="1"/>
      <w:marLeft w:val="0"/>
      <w:marRight w:val="0"/>
      <w:marTop w:val="0"/>
      <w:marBottom w:val="0"/>
      <w:divBdr>
        <w:top w:val="none" w:sz="0" w:space="0" w:color="auto"/>
        <w:left w:val="none" w:sz="0" w:space="0" w:color="auto"/>
        <w:bottom w:val="none" w:sz="0" w:space="0" w:color="auto"/>
        <w:right w:val="none" w:sz="0" w:space="0" w:color="auto"/>
      </w:divBdr>
    </w:div>
    <w:div w:id="309526728">
      <w:bodyDiv w:val="1"/>
      <w:marLeft w:val="0"/>
      <w:marRight w:val="0"/>
      <w:marTop w:val="0"/>
      <w:marBottom w:val="0"/>
      <w:divBdr>
        <w:top w:val="none" w:sz="0" w:space="0" w:color="auto"/>
        <w:left w:val="none" w:sz="0" w:space="0" w:color="auto"/>
        <w:bottom w:val="none" w:sz="0" w:space="0" w:color="auto"/>
        <w:right w:val="none" w:sz="0" w:space="0" w:color="auto"/>
      </w:divBdr>
    </w:div>
    <w:div w:id="309555538">
      <w:bodyDiv w:val="1"/>
      <w:marLeft w:val="0"/>
      <w:marRight w:val="0"/>
      <w:marTop w:val="0"/>
      <w:marBottom w:val="0"/>
      <w:divBdr>
        <w:top w:val="none" w:sz="0" w:space="0" w:color="auto"/>
        <w:left w:val="none" w:sz="0" w:space="0" w:color="auto"/>
        <w:bottom w:val="none" w:sz="0" w:space="0" w:color="auto"/>
        <w:right w:val="none" w:sz="0" w:space="0" w:color="auto"/>
      </w:divBdr>
    </w:div>
    <w:div w:id="309676806">
      <w:bodyDiv w:val="1"/>
      <w:marLeft w:val="0"/>
      <w:marRight w:val="0"/>
      <w:marTop w:val="0"/>
      <w:marBottom w:val="0"/>
      <w:divBdr>
        <w:top w:val="none" w:sz="0" w:space="0" w:color="auto"/>
        <w:left w:val="none" w:sz="0" w:space="0" w:color="auto"/>
        <w:bottom w:val="none" w:sz="0" w:space="0" w:color="auto"/>
        <w:right w:val="none" w:sz="0" w:space="0" w:color="auto"/>
      </w:divBdr>
    </w:div>
    <w:div w:id="309678053">
      <w:bodyDiv w:val="1"/>
      <w:marLeft w:val="0"/>
      <w:marRight w:val="0"/>
      <w:marTop w:val="0"/>
      <w:marBottom w:val="0"/>
      <w:divBdr>
        <w:top w:val="none" w:sz="0" w:space="0" w:color="auto"/>
        <w:left w:val="none" w:sz="0" w:space="0" w:color="auto"/>
        <w:bottom w:val="none" w:sz="0" w:space="0" w:color="auto"/>
        <w:right w:val="none" w:sz="0" w:space="0" w:color="auto"/>
      </w:divBdr>
    </w:div>
    <w:div w:id="309747889">
      <w:bodyDiv w:val="1"/>
      <w:marLeft w:val="0"/>
      <w:marRight w:val="0"/>
      <w:marTop w:val="0"/>
      <w:marBottom w:val="0"/>
      <w:divBdr>
        <w:top w:val="none" w:sz="0" w:space="0" w:color="auto"/>
        <w:left w:val="none" w:sz="0" w:space="0" w:color="auto"/>
        <w:bottom w:val="none" w:sz="0" w:space="0" w:color="auto"/>
        <w:right w:val="none" w:sz="0" w:space="0" w:color="auto"/>
      </w:divBdr>
    </w:div>
    <w:div w:id="309751280">
      <w:bodyDiv w:val="1"/>
      <w:marLeft w:val="0"/>
      <w:marRight w:val="0"/>
      <w:marTop w:val="0"/>
      <w:marBottom w:val="0"/>
      <w:divBdr>
        <w:top w:val="none" w:sz="0" w:space="0" w:color="auto"/>
        <w:left w:val="none" w:sz="0" w:space="0" w:color="auto"/>
        <w:bottom w:val="none" w:sz="0" w:space="0" w:color="auto"/>
        <w:right w:val="none" w:sz="0" w:space="0" w:color="auto"/>
      </w:divBdr>
    </w:div>
    <w:div w:id="309753181">
      <w:bodyDiv w:val="1"/>
      <w:marLeft w:val="0"/>
      <w:marRight w:val="0"/>
      <w:marTop w:val="0"/>
      <w:marBottom w:val="0"/>
      <w:divBdr>
        <w:top w:val="none" w:sz="0" w:space="0" w:color="auto"/>
        <w:left w:val="none" w:sz="0" w:space="0" w:color="auto"/>
        <w:bottom w:val="none" w:sz="0" w:space="0" w:color="auto"/>
        <w:right w:val="none" w:sz="0" w:space="0" w:color="auto"/>
      </w:divBdr>
    </w:div>
    <w:div w:id="310015870">
      <w:bodyDiv w:val="1"/>
      <w:marLeft w:val="0"/>
      <w:marRight w:val="0"/>
      <w:marTop w:val="0"/>
      <w:marBottom w:val="0"/>
      <w:divBdr>
        <w:top w:val="none" w:sz="0" w:space="0" w:color="auto"/>
        <w:left w:val="none" w:sz="0" w:space="0" w:color="auto"/>
        <w:bottom w:val="none" w:sz="0" w:space="0" w:color="auto"/>
        <w:right w:val="none" w:sz="0" w:space="0" w:color="auto"/>
      </w:divBdr>
    </w:div>
    <w:div w:id="310060316">
      <w:bodyDiv w:val="1"/>
      <w:marLeft w:val="0"/>
      <w:marRight w:val="0"/>
      <w:marTop w:val="0"/>
      <w:marBottom w:val="0"/>
      <w:divBdr>
        <w:top w:val="none" w:sz="0" w:space="0" w:color="auto"/>
        <w:left w:val="none" w:sz="0" w:space="0" w:color="auto"/>
        <w:bottom w:val="none" w:sz="0" w:space="0" w:color="auto"/>
        <w:right w:val="none" w:sz="0" w:space="0" w:color="auto"/>
      </w:divBdr>
    </w:div>
    <w:div w:id="310137589">
      <w:bodyDiv w:val="1"/>
      <w:marLeft w:val="0"/>
      <w:marRight w:val="0"/>
      <w:marTop w:val="0"/>
      <w:marBottom w:val="0"/>
      <w:divBdr>
        <w:top w:val="none" w:sz="0" w:space="0" w:color="auto"/>
        <w:left w:val="none" w:sz="0" w:space="0" w:color="auto"/>
        <w:bottom w:val="none" w:sz="0" w:space="0" w:color="auto"/>
        <w:right w:val="none" w:sz="0" w:space="0" w:color="auto"/>
      </w:divBdr>
    </w:div>
    <w:div w:id="310330330">
      <w:bodyDiv w:val="1"/>
      <w:marLeft w:val="0"/>
      <w:marRight w:val="0"/>
      <w:marTop w:val="0"/>
      <w:marBottom w:val="0"/>
      <w:divBdr>
        <w:top w:val="none" w:sz="0" w:space="0" w:color="auto"/>
        <w:left w:val="none" w:sz="0" w:space="0" w:color="auto"/>
        <w:bottom w:val="none" w:sz="0" w:space="0" w:color="auto"/>
        <w:right w:val="none" w:sz="0" w:space="0" w:color="auto"/>
      </w:divBdr>
    </w:div>
    <w:div w:id="310334992">
      <w:bodyDiv w:val="1"/>
      <w:marLeft w:val="0"/>
      <w:marRight w:val="0"/>
      <w:marTop w:val="0"/>
      <w:marBottom w:val="0"/>
      <w:divBdr>
        <w:top w:val="none" w:sz="0" w:space="0" w:color="auto"/>
        <w:left w:val="none" w:sz="0" w:space="0" w:color="auto"/>
        <w:bottom w:val="none" w:sz="0" w:space="0" w:color="auto"/>
        <w:right w:val="none" w:sz="0" w:space="0" w:color="auto"/>
      </w:divBdr>
    </w:div>
    <w:div w:id="310406860">
      <w:bodyDiv w:val="1"/>
      <w:marLeft w:val="0"/>
      <w:marRight w:val="0"/>
      <w:marTop w:val="0"/>
      <w:marBottom w:val="0"/>
      <w:divBdr>
        <w:top w:val="none" w:sz="0" w:space="0" w:color="auto"/>
        <w:left w:val="none" w:sz="0" w:space="0" w:color="auto"/>
        <w:bottom w:val="none" w:sz="0" w:space="0" w:color="auto"/>
        <w:right w:val="none" w:sz="0" w:space="0" w:color="auto"/>
      </w:divBdr>
    </w:div>
    <w:div w:id="310446041">
      <w:bodyDiv w:val="1"/>
      <w:marLeft w:val="0"/>
      <w:marRight w:val="0"/>
      <w:marTop w:val="0"/>
      <w:marBottom w:val="0"/>
      <w:divBdr>
        <w:top w:val="none" w:sz="0" w:space="0" w:color="auto"/>
        <w:left w:val="none" w:sz="0" w:space="0" w:color="auto"/>
        <w:bottom w:val="none" w:sz="0" w:space="0" w:color="auto"/>
        <w:right w:val="none" w:sz="0" w:space="0" w:color="auto"/>
      </w:divBdr>
    </w:div>
    <w:div w:id="310450550">
      <w:bodyDiv w:val="1"/>
      <w:marLeft w:val="0"/>
      <w:marRight w:val="0"/>
      <w:marTop w:val="0"/>
      <w:marBottom w:val="0"/>
      <w:divBdr>
        <w:top w:val="none" w:sz="0" w:space="0" w:color="auto"/>
        <w:left w:val="none" w:sz="0" w:space="0" w:color="auto"/>
        <w:bottom w:val="none" w:sz="0" w:space="0" w:color="auto"/>
        <w:right w:val="none" w:sz="0" w:space="0" w:color="auto"/>
      </w:divBdr>
    </w:div>
    <w:div w:id="310450732">
      <w:bodyDiv w:val="1"/>
      <w:marLeft w:val="0"/>
      <w:marRight w:val="0"/>
      <w:marTop w:val="0"/>
      <w:marBottom w:val="0"/>
      <w:divBdr>
        <w:top w:val="none" w:sz="0" w:space="0" w:color="auto"/>
        <w:left w:val="none" w:sz="0" w:space="0" w:color="auto"/>
        <w:bottom w:val="none" w:sz="0" w:space="0" w:color="auto"/>
        <w:right w:val="none" w:sz="0" w:space="0" w:color="auto"/>
      </w:divBdr>
    </w:div>
    <w:div w:id="310451912">
      <w:bodyDiv w:val="1"/>
      <w:marLeft w:val="0"/>
      <w:marRight w:val="0"/>
      <w:marTop w:val="0"/>
      <w:marBottom w:val="0"/>
      <w:divBdr>
        <w:top w:val="none" w:sz="0" w:space="0" w:color="auto"/>
        <w:left w:val="none" w:sz="0" w:space="0" w:color="auto"/>
        <w:bottom w:val="none" w:sz="0" w:space="0" w:color="auto"/>
        <w:right w:val="none" w:sz="0" w:space="0" w:color="auto"/>
      </w:divBdr>
    </w:div>
    <w:div w:id="310522076">
      <w:bodyDiv w:val="1"/>
      <w:marLeft w:val="0"/>
      <w:marRight w:val="0"/>
      <w:marTop w:val="0"/>
      <w:marBottom w:val="0"/>
      <w:divBdr>
        <w:top w:val="none" w:sz="0" w:space="0" w:color="auto"/>
        <w:left w:val="none" w:sz="0" w:space="0" w:color="auto"/>
        <w:bottom w:val="none" w:sz="0" w:space="0" w:color="auto"/>
        <w:right w:val="none" w:sz="0" w:space="0" w:color="auto"/>
      </w:divBdr>
    </w:div>
    <w:div w:id="310643036">
      <w:bodyDiv w:val="1"/>
      <w:marLeft w:val="0"/>
      <w:marRight w:val="0"/>
      <w:marTop w:val="0"/>
      <w:marBottom w:val="0"/>
      <w:divBdr>
        <w:top w:val="none" w:sz="0" w:space="0" w:color="auto"/>
        <w:left w:val="none" w:sz="0" w:space="0" w:color="auto"/>
        <w:bottom w:val="none" w:sz="0" w:space="0" w:color="auto"/>
        <w:right w:val="none" w:sz="0" w:space="0" w:color="auto"/>
      </w:divBdr>
    </w:div>
    <w:div w:id="310646679">
      <w:bodyDiv w:val="1"/>
      <w:marLeft w:val="0"/>
      <w:marRight w:val="0"/>
      <w:marTop w:val="0"/>
      <w:marBottom w:val="0"/>
      <w:divBdr>
        <w:top w:val="none" w:sz="0" w:space="0" w:color="auto"/>
        <w:left w:val="none" w:sz="0" w:space="0" w:color="auto"/>
        <w:bottom w:val="none" w:sz="0" w:space="0" w:color="auto"/>
        <w:right w:val="none" w:sz="0" w:space="0" w:color="auto"/>
      </w:divBdr>
    </w:div>
    <w:div w:id="310671877">
      <w:bodyDiv w:val="1"/>
      <w:marLeft w:val="0"/>
      <w:marRight w:val="0"/>
      <w:marTop w:val="0"/>
      <w:marBottom w:val="0"/>
      <w:divBdr>
        <w:top w:val="none" w:sz="0" w:space="0" w:color="auto"/>
        <w:left w:val="none" w:sz="0" w:space="0" w:color="auto"/>
        <w:bottom w:val="none" w:sz="0" w:space="0" w:color="auto"/>
        <w:right w:val="none" w:sz="0" w:space="0" w:color="auto"/>
      </w:divBdr>
    </w:div>
    <w:div w:id="310718579">
      <w:bodyDiv w:val="1"/>
      <w:marLeft w:val="0"/>
      <w:marRight w:val="0"/>
      <w:marTop w:val="0"/>
      <w:marBottom w:val="0"/>
      <w:divBdr>
        <w:top w:val="none" w:sz="0" w:space="0" w:color="auto"/>
        <w:left w:val="none" w:sz="0" w:space="0" w:color="auto"/>
        <w:bottom w:val="none" w:sz="0" w:space="0" w:color="auto"/>
        <w:right w:val="none" w:sz="0" w:space="0" w:color="auto"/>
      </w:divBdr>
    </w:div>
    <w:div w:id="310866152">
      <w:bodyDiv w:val="1"/>
      <w:marLeft w:val="0"/>
      <w:marRight w:val="0"/>
      <w:marTop w:val="0"/>
      <w:marBottom w:val="0"/>
      <w:divBdr>
        <w:top w:val="none" w:sz="0" w:space="0" w:color="auto"/>
        <w:left w:val="none" w:sz="0" w:space="0" w:color="auto"/>
        <w:bottom w:val="none" w:sz="0" w:space="0" w:color="auto"/>
        <w:right w:val="none" w:sz="0" w:space="0" w:color="auto"/>
      </w:divBdr>
    </w:div>
    <w:div w:id="311059445">
      <w:bodyDiv w:val="1"/>
      <w:marLeft w:val="0"/>
      <w:marRight w:val="0"/>
      <w:marTop w:val="0"/>
      <w:marBottom w:val="0"/>
      <w:divBdr>
        <w:top w:val="none" w:sz="0" w:space="0" w:color="auto"/>
        <w:left w:val="none" w:sz="0" w:space="0" w:color="auto"/>
        <w:bottom w:val="none" w:sz="0" w:space="0" w:color="auto"/>
        <w:right w:val="none" w:sz="0" w:space="0" w:color="auto"/>
      </w:divBdr>
    </w:div>
    <w:div w:id="311063446">
      <w:bodyDiv w:val="1"/>
      <w:marLeft w:val="0"/>
      <w:marRight w:val="0"/>
      <w:marTop w:val="0"/>
      <w:marBottom w:val="0"/>
      <w:divBdr>
        <w:top w:val="none" w:sz="0" w:space="0" w:color="auto"/>
        <w:left w:val="none" w:sz="0" w:space="0" w:color="auto"/>
        <w:bottom w:val="none" w:sz="0" w:space="0" w:color="auto"/>
        <w:right w:val="none" w:sz="0" w:space="0" w:color="auto"/>
      </w:divBdr>
    </w:div>
    <w:div w:id="311182783">
      <w:bodyDiv w:val="1"/>
      <w:marLeft w:val="0"/>
      <w:marRight w:val="0"/>
      <w:marTop w:val="0"/>
      <w:marBottom w:val="0"/>
      <w:divBdr>
        <w:top w:val="none" w:sz="0" w:space="0" w:color="auto"/>
        <w:left w:val="none" w:sz="0" w:space="0" w:color="auto"/>
        <w:bottom w:val="none" w:sz="0" w:space="0" w:color="auto"/>
        <w:right w:val="none" w:sz="0" w:space="0" w:color="auto"/>
      </w:divBdr>
    </w:div>
    <w:div w:id="311252583">
      <w:bodyDiv w:val="1"/>
      <w:marLeft w:val="0"/>
      <w:marRight w:val="0"/>
      <w:marTop w:val="0"/>
      <w:marBottom w:val="0"/>
      <w:divBdr>
        <w:top w:val="none" w:sz="0" w:space="0" w:color="auto"/>
        <w:left w:val="none" w:sz="0" w:space="0" w:color="auto"/>
        <w:bottom w:val="none" w:sz="0" w:space="0" w:color="auto"/>
        <w:right w:val="none" w:sz="0" w:space="0" w:color="auto"/>
      </w:divBdr>
    </w:div>
    <w:div w:id="311255923">
      <w:bodyDiv w:val="1"/>
      <w:marLeft w:val="0"/>
      <w:marRight w:val="0"/>
      <w:marTop w:val="0"/>
      <w:marBottom w:val="0"/>
      <w:divBdr>
        <w:top w:val="none" w:sz="0" w:space="0" w:color="auto"/>
        <w:left w:val="none" w:sz="0" w:space="0" w:color="auto"/>
        <w:bottom w:val="none" w:sz="0" w:space="0" w:color="auto"/>
        <w:right w:val="none" w:sz="0" w:space="0" w:color="auto"/>
      </w:divBdr>
    </w:div>
    <w:div w:id="311296479">
      <w:bodyDiv w:val="1"/>
      <w:marLeft w:val="0"/>
      <w:marRight w:val="0"/>
      <w:marTop w:val="0"/>
      <w:marBottom w:val="0"/>
      <w:divBdr>
        <w:top w:val="none" w:sz="0" w:space="0" w:color="auto"/>
        <w:left w:val="none" w:sz="0" w:space="0" w:color="auto"/>
        <w:bottom w:val="none" w:sz="0" w:space="0" w:color="auto"/>
        <w:right w:val="none" w:sz="0" w:space="0" w:color="auto"/>
      </w:divBdr>
    </w:div>
    <w:div w:id="311369626">
      <w:bodyDiv w:val="1"/>
      <w:marLeft w:val="0"/>
      <w:marRight w:val="0"/>
      <w:marTop w:val="0"/>
      <w:marBottom w:val="0"/>
      <w:divBdr>
        <w:top w:val="none" w:sz="0" w:space="0" w:color="auto"/>
        <w:left w:val="none" w:sz="0" w:space="0" w:color="auto"/>
        <w:bottom w:val="none" w:sz="0" w:space="0" w:color="auto"/>
        <w:right w:val="none" w:sz="0" w:space="0" w:color="auto"/>
      </w:divBdr>
    </w:div>
    <w:div w:id="311373314">
      <w:bodyDiv w:val="1"/>
      <w:marLeft w:val="0"/>
      <w:marRight w:val="0"/>
      <w:marTop w:val="0"/>
      <w:marBottom w:val="0"/>
      <w:divBdr>
        <w:top w:val="none" w:sz="0" w:space="0" w:color="auto"/>
        <w:left w:val="none" w:sz="0" w:space="0" w:color="auto"/>
        <w:bottom w:val="none" w:sz="0" w:space="0" w:color="auto"/>
        <w:right w:val="none" w:sz="0" w:space="0" w:color="auto"/>
      </w:divBdr>
    </w:div>
    <w:div w:id="311449365">
      <w:bodyDiv w:val="1"/>
      <w:marLeft w:val="0"/>
      <w:marRight w:val="0"/>
      <w:marTop w:val="0"/>
      <w:marBottom w:val="0"/>
      <w:divBdr>
        <w:top w:val="none" w:sz="0" w:space="0" w:color="auto"/>
        <w:left w:val="none" w:sz="0" w:space="0" w:color="auto"/>
        <w:bottom w:val="none" w:sz="0" w:space="0" w:color="auto"/>
        <w:right w:val="none" w:sz="0" w:space="0" w:color="auto"/>
      </w:divBdr>
    </w:div>
    <w:div w:id="311450843">
      <w:bodyDiv w:val="1"/>
      <w:marLeft w:val="0"/>
      <w:marRight w:val="0"/>
      <w:marTop w:val="0"/>
      <w:marBottom w:val="0"/>
      <w:divBdr>
        <w:top w:val="none" w:sz="0" w:space="0" w:color="auto"/>
        <w:left w:val="none" w:sz="0" w:space="0" w:color="auto"/>
        <w:bottom w:val="none" w:sz="0" w:space="0" w:color="auto"/>
        <w:right w:val="none" w:sz="0" w:space="0" w:color="auto"/>
      </w:divBdr>
    </w:div>
    <w:div w:id="311493870">
      <w:bodyDiv w:val="1"/>
      <w:marLeft w:val="0"/>
      <w:marRight w:val="0"/>
      <w:marTop w:val="0"/>
      <w:marBottom w:val="0"/>
      <w:divBdr>
        <w:top w:val="none" w:sz="0" w:space="0" w:color="auto"/>
        <w:left w:val="none" w:sz="0" w:space="0" w:color="auto"/>
        <w:bottom w:val="none" w:sz="0" w:space="0" w:color="auto"/>
        <w:right w:val="none" w:sz="0" w:space="0" w:color="auto"/>
      </w:divBdr>
    </w:div>
    <w:div w:id="311720584">
      <w:bodyDiv w:val="1"/>
      <w:marLeft w:val="0"/>
      <w:marRight w:val="0"/>
      <w:marTop w:val="0"/>
      <w:marBottom w:val="0"/>
      <w:divBdr>
        <w:top w:val="none" w:sz="0" w:space="0" w:color="auto"/>
        <w:left w:val="none" w:sz="0" w:space="0" w:color="auto"/>
        <w:bottom w:val="none" w:sz="0" w:space="0" w:color="auto"/>
        <w:right w:val="none" w:sz="0" w:space="0" w:color="auto"/>
      </w:divBdr>
    </w:div>
    <w:div w:id="311830479">
      <w:bodyDiv w:val="1"/>
      <w:marLeft w:val="0"/>
      <w:marRight w:val="0"/>
      <w:marTop w:val="0"/>
      <w:marBottom w:val="0"/>
      <w:divBdr>
        <w:top w:val="none" w:sz="0" w:space="0" w:color="auto"/>
        <w:left w:val="none" w:sz="0" w:space="0" w:color="auto"/>
        <w:bottom w:val="none" w:sz="0" w:space="0" w:color="auto"/>
        <w:right w:val="none" w:sz="0" w:space="0" w:color="auto"/>
      </w:divBdr>
    </w:div>
    <w:div w:id="311830822">
      <w:bodyDiv w:val="1"/>
      <w:marLeft w:val="0"/>
      <w:marRight w:val="0"/>
      <w:marTop w:val="0"/>
      <w:marBottom w:val="0"/>
      <w:divBdr>
        <w:top w:val="none" w:sz="0" w:space="0" w:color="auto"/>
        <w:left w:val="none" w:sz="0" w:space="0" w:color="auto"/>
        <w:bottom w:val="none" w:sz="0" w:space="0" w:color="auto"/>
        <w:right w:val="none" w:sz="0" w:space="0" w:color="auto"/>
      </w:divBdr>
    </w:div>
    <w:div w:id="311908035">
      <w:bodyDiv w:val="1"/>
      <w:marLeft w:val="0"/>
      <w:marRight w:val="0"/>
      <w:marTop w:val="0"/>
      <w:marBottom w:val="0"/>
      <w:divBdr>
        <w:top w:val="none" w:sz="0" w:space="0" w:color="auto"/>
        <w:left w:val="none" w:sz="0" w:space="0" w:color="auto"/>
        <w:bottom w:val="none" w:sz="0" w:space="0" w:color="auto"/>
        <w:right w:val="none" w:sz="0" w:space="0" w:color="auto"/>
      </w:divBdr>
    </w:div>
    <w:div w:id="312180350">
      <w:bodyDiv w:val="1"/>
      <w:marLeft w:val="0"/>
      <w:marRight w:val="0"/>
      <w:marTop w:val="0"/>
      <w:marBottom w:val="0"/>
      <w:divBdr>
        <w:top w:val="none" w:sz="0" w:space="0" w:color="auto"/>
        <w:left w:val="none" w:sz="0" w:space="0" w:color="auto"/>
        <w:bottom w:val="none" w:sz="0" w:space="0" w:color="auto"/>
        <w:right w:val="none" w:sz="0" w:space="0" w:color="auto"/>
      </w:divBdr>
    </w:div>
    <w:div w:id="312418699">
      <w:bodyDiv w:val="1"/>
      <w:marLeft w:val="0"/>
      <w:marRight w:val="0"/>
      <w:marTop w:val="0"/>
      <w:marBottom w:val="0"/>
      <w:divBdr>
        <w:top w:val="none" w:sz="0" w:space="0" w:color="auto"/>
        <w:left w:val="none" w:sz="0" w:space="0" w:color="auto"/>
        <w:bottom w:val="none" w:sz="0" w:space="0" w:color="auto"/>
        <w:right w:val="none" w:sz="0" w:space="0" w:color="auto"/>
      </w:divBdr>
    </w:div>
    <w:div w:id="312487036">
      <w:bodyDiv w:val="1"/>
      <w:marLeft w:val="0"/>
      <w:marRight w:val="0"/>
      <w:marTop w:val="0"/>
      <w:marBottom w:val="0"/>
      <w:divBdr>
        <w:top w:val="none" w:sz="0" w:space="0" w:color="auto"/>
        <w:left w:val="none" w:sz="0" w:space="0" w:color="auto"/>
        <w:bottom w:val="none" w:sz="0" w:space="0" w:color="auto"/>
        <w:right w:val="none" w:sz="0" w:space="0" w:color="auto"/>
      </w:divBdr>
    </w:div>
    <w:div w:id="312608199">
      <w:bodyDiv w:val="1"/>
      <w:marLeft w:val="0"/>
      <w:marRight w:val="0"/>
      <w:marTop w:val="0"/>
      <w:marBottom w:val="0"/>
      <w:divBdr>
        <w:top w:val="none" w:sz="0" w:space="0" w:color="auto"/>
        <w:left w:val="none" w:sz="0" w:space="0" w:color="auto"/>
        <w:bottom w:val="none" w:sz="0" w:space="0" w:color="auto"/>
        <w:right w:val="none" w:sz="0" w:space="0" w:color="auto"/>
      </w:divBdr>
    </w:div>
    <w:div w:id="312686714">
      <w:bodyDiv w:val="1"/>
      <w:marLeft w:val="0"/>
      <w:marRight w:val="0"/>
      <w:marTop w:val="0"/>
      <w:marBottom w:val="0"/>
      <w:divBdr>
        <w:top w:val="none" w:sz="0" w:space="0" w:color="auto"/>
        <w:left w:val="none" w:sz="0" w:space="0" w:color="auto"/>
        <w:bottom w:val="none" w:sz="0" w:space="0" w:color="auto"/>
        <w:right w:val="none" w:sz="0" w:space="0" w:color="auto"/>
      </w:divBdr>
    </w:div>
    <w:div w:id="312834120">
      <w:bodyDiv w:val="1"/>
      <w:marLeft w:val="0"/>
      <w:marRight w:val="0"/>
      <w:marTop w:val="0"/>
      <w:marBottom w:val="0"/>
      <w:divBdr>
        <w:top w:val="none" w:sz="0" w:space="0" w:color="auto"/>
        <w:left w:val="none" w:sz="0" w:space="0" w:color="auto"/>
        <w:bottom w:val="none" w:sz="0" w:space="0" w:color="auto"/>
        <w:right w:val="none" w:sz="0" w:space="0" w:color="auto"/>
      </w:divBdr>
    </w:div>
    <w:div w:id="312877461">
      <w:bodyDiv w:val="1"/>
      <w:marLeft w:val="0"/>
      <w:marRight w:val="0"/>
      <w:marTop w:val="0"/>
      <w:marBottom w:val="0"/>
      <w:divBdr>
        <w:top w:val="none" w:sz="0" w:space="0" w:color="auto"/>
        <w:left w:val="none" w:sz="0" w:space="0" w:color="auto"/>
        <w:bottom w:val="none" w:sz="0" w:space="0" w:color="auto"/>
        <w:right w:val="none" w:sz="0" w:space="0" w:color="auto"/>
      </w:divBdr>
    </w:div>
    <w:div w:id="312948611">
      <w:bodyDiv w:val="1"/>
      <w:marLeft w:val="0"/>
      <w:marRight w:val="0"/>
      <w:marTop w:val="0"/>
      <w:marBottom w:val="0"/>
      <w:divBdr>
        <w:top w:val="none" w:sz="0" w:space="0" w:color="auto"/>
        <w:left w:val="none" w:sz="0" w:space="0" w:color="auto"/>
        <w:bottom w:val="none" w:sz="0" w:space="0" w:color="auto"/>
        <w:right w:val="none" w:sz="0" w:space="0" w:color="auto"/>
      </w:divBdr>
    </w:div>
    <w:div w:id="313025485">
      <w:bodyDiv w:val="1"/>
      <w:marLeft w:val="0"/>
      <w:marRight w:val="0"/>
      <w:marTop w:val="0"/>
      <w:marBottom w:val="0"/>
      <w:divBdr>
        <w:top w:val="none" w:sz="0" w:space="0" w:color="auto"/>
        <w:left w:val="none" w:sz="0" w:space="0" w:color="auto"/>
        <w:bottom w:val="none" w:sz="0" w:space="0" w:color="auto"/>
        <w:right w:val="none" w:sz="0" w:space="0" w:color="auto"/>
      </w:divBdr>
    </w:div>
    <w:div w:id="313072588">
      <w:bodyDiv w:val="1"/>
      <w:marLeft w:val="0"/>
      <w:marRight w:val="0"/>
      <w:marTop w:val="0"/>
      <w:marBottom w:val="0"/>
      <w:divBdr>
        <w:top w:val="none" w:sz="0" w:space="0" w:color="auto"/>
        <w:left w:val="none" w:sz="0" w:space="0" w:color="auto"/>
        <w:bottom w:val="none" w:sz="0" w:space="0" w:color="auto"/>
        <w:right w:val="none" w:sz="0" w:space="0" w:color="auto"/>
      </w:divBdr>
    </w:div>
    <w:div w:id="313265833">
      <w:bodyDiv w:val="1"/>
      <w:marLeft w:val="0"/>
      <w:marRight w:val="0"/>
      <w:marTop w:val="0"/>
      <w:marBottom w:val="0"/>
      <w:divBdr>
        <w:top w:val="none" w:sz="0" w:space="0" w:color="auto"/>
        <w:left w:val="none" w:sz="0" w:space="0" w:color="auto"/>
        <w:bottom w:val="none" w:sz="0" w:space="0" w:color="auto"/>
        <w:right w:val="none" w:sz="0" w:space="0" w:color="auto"/>
      </w:divBdr>
    </w:div>
    <w:div w:id="313292759">
      <w:bodyDiv w:val="1"/>
      <w:marLeft w:val="0"/>
      <w:marRight w:val="0"/>
      <w:marTop w:val="0"/>
      <w:marBottom w:val="0"/>
      <w:divBdr>
        <w:top w:val="none" w:sz="0" w:space="0" w:color="auto"/>
        <w:left w:val="none" w:sz="0" w:space="0" w:color="auto"/>
        <w:bottom w:val="none" w:sz="0" w:space="0" w:color="auto"/>
        <w:right w:val="none" w:sz="0" w:space="0" w:color="auto"/>
      </w:divBdr>
    </w:div>
    <w:div w:id="313411221">
      <w:bodyDiv w:val="1"/>
      <w:marLeft w:val="0"/>
      <w:marRight w:val="0"/>
      <w:marTop w:val="0"/>
      <w:marBottom w:val="0"/>
      <w:divBdr>
        <w:top w:val="none" w:sz="0" w:space="0" w:color="auto"/>
        <w:left w:val="none" w:sz="0" w:space="0" w:color="auto"/>
        <w:bottom w:val="none" w:sz="0" w:space="0" w:color="auto"/>
        <w:right w:val="none" w:sz="0" w:space="0" w:color="auto"/>
      </w:divBdr>
    </w:div>
    <w:div w:id="313415781">
      <w:bodyDiv w:val="1"/>
      <w:marLeft w:val="0"/>
      <w:marRight w:val="0"/>
      <w:marTop w:val="0"/>
      <w:marBottom w:val="0"/>
      <w:divBdr>
        <w:top w:val="none" w:sz="0" w:space="0" w:color="auto"/>
        <w:left w:val="none" w:sz="0" w:space="0" w:color="auto"/>
        <w:bottom w:val="none" w:sz="0" w:space="0" w:color="auto"/>
        <w:right w:val="none" w:sz="0" w:space="0" w:color="auto"/>
      </w:divBdr>
    </w:div>
    <w:div w:id="313529923">
      <w:bodyDiv w:val="1"/>
      <w:marLeft w:val="0"/>
      <w:marRight w:val="0"/>
      <w:marTop w:val="0"/>
      <w:marBottom w:val="0"/>
      <w:divBdr>
        <w:top w:val="none" w:sz="0" w:space="0" w:color="auto"/>
        <w:left w:val="none" w:sz="0" w:space="0" w:color="auto"/>
        <w:bottom w:val="none" w:sz="0" w:space="0" w:color="auto"/>
        <w:right w:val="none" w:sz="0" w:space="0" w:color="auto"/>
      </w:divBdr>
    </w:div>
    <w:div w:id="313533583">
      <w:bodyDiv w:val="1"/>
      <w:marLeft w:val="0"/>
      <w:marRight w:val="0"/>
      <w:marTop w:val="0"/>
      <w:marBottom w:val="0"/>
      <w:divBdr>
        <w:top w:val="none" w:sz="0" w:space="0" w:color="auto"/>
        <w:left w:val="none" w:sz="0" w:space="0" w:color="auto"/>
        <w:bottom w:val="none" w:sz="0" w:space="0" w:color="auto"/>
        <w:right w:val="none" w:sz="0" w:space="0" w:color="auto"/>
      </w:divBdr>
    </w:div>
    <w:div w:id="313536055">
      <w:bodyDiv w:val="1"/>
      <w:marLeft w:val="0"/>
      <w:marRight w:val="0"/>
      <w:marTop w:val="0"/>
      <w:marBottom w:val="0"/>
      <w:divBdr>
        <w:top w:val="none" w:sz="0" w:space="0" w:color="auto"/>
        <w:left w:val="none" w:sz="0" w:space="0" w:color="auto"/>
        <w:bottom w:val="none" w:sz="0" w:space="0" w:color="auto"/>
        <w:right w:val="none" w:sz="0" w:space="0" w:color="auto"/>
      </w:divBdr>
    </w:div>
    <w:div w:id="313604873">
      <w:bodyDiv w:val="1"/>
      <w:marLeft w:val="0"/>
      <w:marRight w:val="0"/>
      <w:marTop w:val="0"/>
      <w:marBottom w:val="0"/>
      <w:divBdr>
        <w:top w:val="none" w:sz="0" w:space="0" w:color="auto"/>
        <w:left w:val="none" w:sz="0" w:space="0" w:color="auto"/>
        <w:bottom w:val="none" w:sz="0" w:space="0" w:color="auto"/>
        <w:right w:val="none" w:sz="0" w:space="0" w:color="auto"/>
      </w:divBdr>
    </w:div>
    <w:div w:id="313612009">
      <w:bodyDiv w:val="1"/>
      <w:marLeft w:val="0"/>
      <w:marRight w:val="0"/>
      <w:marTop w:val="0"/>
      <w:marBottom w:val="0"/>
      <w:divBdr>
        <w:top w:val="none" w:sz="0" w:space="0" w:color="auto"/>
        <w:left w:val="none" w:sz="0" w:space="0" w:color="auto"/>
        <w:bottom w:val="none" w:sz="0" w:space="0" w:color="auto"/>
        <w:right w:val="none" w:sz="0" w:space="0" w:color="auto"/>
      </w:divBdr>
    </w:div>
    <w:div w:id="313728030">
      <w:bodyDiv w:val="1"/>
      <w:marLeft w:val="0"/>
      <w:marRight w:val="0"/>
      <w:marTop w:val="0"/>
      <w:marBottom w:val="0"/>
      <w:divBdr>
        <w:top w:val="none" w:sz="0" w:space="0" w:color="auto"/>
        <w:left w:val="none" w:sz="0" w:space="0" w:color="auto"/>
        <w:bottom w:val="none" w:sz="0" w:space="0" w:color="auto"/>
        <w:right w:val="none" w:sz="0" w:space="0" w:color="auto"/>
      </w:divBdr>
    </w:div>
    <w:div w:id="313990823">
      <w:bodyDiv w:val="1"/>
      <w:marLeft w:val="0"/>
      <w:marRight w:val="0"/>
      <w:marTop w:val="0"/>
      <w:marBottom w:val="0"/>
      <w:divBdr>
        <w:top w:val="none" w:sz="0" w:space="0" w:color="auto"/>
        <w:left w:val="none" w:sz="0" w:space="0" w:color="auto"/>
        <w:bottom w:val="none" w:sz="0" w:space="0" w:color="auto"/>
        <w:right w:val="none" w:sz="0" w:space="0" w:color="auto"/>
      </w:divBdr>
    </w:div>
    <w:div w:id="314070925">
      <w:bodyDiv w:val="1"/>
      <w:marLeft w:val="0"/>
      <w:marRight w:val="0"/>
      <w:marTop w:val="0"/>
      <w:marBottom w:val="0"/>
      <w:divBdr>
        <w:top w:val="none" w:sz="0" w:space="0" w:color="auto"/>
        <w:left w:val="none" w:sz="0" w:space="0" w:color="auto"/>
        <w:bottom w:val="none" w:sz="0" w:space="0" w:color="auto"/>
        <w:right w:val="none" w:sz="0" w:space="0" w:color="auto"/>
      </w:divBdr>
    </w:div>
    <w:div w:id="314339449">
      <w:bodyDiv w:val="1"/>
      <w:marLeft w:val="0"/>
      <w:marRight w:val="0"/>
      <w:marTop w:val="0"/>
      <w:marBottom w:val="0"/>
      <w:divBdr>
        <w:top w:val="none" w:sz="0" w:space="0" w:color="auto"/>
        <w:left w:val="none" w:sz="0" w:space="0" w:color="auto"/>
        <w:bottom w:val="none" w:sz="0" w:space="0" w:color="auto"/>
        <w:right w:val="none" w:sz="0" w:space="0" w:color="auto"/>
      </w:divBdr>
    </w:div>
    <w:div w:id="314380364">
      <w:bodyDiv w:val="1"/>
      <w:marLeft w:val="0"/>
      <w:marRight w:val="0"/>
      <w:marTop w:val="0"/>
      <w:marBottom w:val="0"/>
      <w:divBdr>
        <w:top w:val="none" w:sz="0" w:space="0" w:color="auto"/>
        <w:left w:val="none" w:sz="0" w:space="0" w:color="auto"/>
        <w:bottom w:val="none" w:sz="0" w:space="0" w:color="auto"/>
        <w:right w:val="none" w:sz="0" w:space="0" w:color="auto"/>
      </w:divBdr>
    </w:div>
    <w:div w:id="314380800">
      <w:bodyDiv w:val="1"/>
      <w:marLeft w:val="0"/>
      <w:marRight w:val="0"/>
      <w:marTop w:val="0"/>
      <w:marBottom w:val="0"/>
      <w:divBdr>
        <w:top w:val="none" w:sz="0" w:space="0" w:color="auto"/>
        <w:left w:val="none" w:sz="0" w:space="0" w:color="auto"/>
        <w:bottom w:val="none" w:sz="0" w:space="0" w:color="auto"/>
        <w:right w:val="none" w:sz="0" w:space="0" w:color="auto"/>
      </w:divBdr>
    </w:div>
    <w:div w:id="314384136">
      <w:bodyDiv w:val="1"/>
      <w:marLeft w:val="0"/>
      <w:marRight w:val="0"/>
      <w:marTop w:val="0"/>
      <w:marBottom w:val="0"/>
      <w:divBdr>
        <w:top w:val="none" w:sz="0" w:space="0" w:color="auto"/>
        <w:left w:val="none" w:sz="0" w:space="0" w:color="auto"/>
        <w:bottom w:val="none" w:sz="0" w:space="0" w:color="auto"/>
        <w:right w:val="none" w:sz="0" w:space="0" w:color="auto"/>
      </w:divBdr>
    </w:div>
    <w:div w:id="314453808">
      <w:bodyDiv w:val="1"/>
      <w:marLeft w:val="0"/>
      <w:marRight w:val="0"/>
      <w:marTop w:val="0"/>
      <w:marBottom w:val="0"/>
      <w:divBdr>
        <w:top w:val="none" w:sz="0" w:space="0" w:color="auto"/>
        <w:left w:val="none" w:sz="0" w:space="0" w:color="auto"/>
        <w:bottom w:val="none" w:sz="0" w:space="0" w:color="auto"/>
        <w:right w:val="none" w:sz="0" w:space="0" w:color="auto"/>
      </w:divBdr>
    </w:div>
    <w:div w:id="314457813">
      <w:bodyDiv w:val="1"/>
      <w:marLeft w:val="0"/>
      <w:marRight w:val="0"/>
      <w:marTop w:val="0"/>
      <w:marBottom w:val="0"/>
      <w:divBdr>
        <w:top w:val="none" w:sz="0" w:space="0" w:color="auto"/>
        <w:left w:val="none" w:sz="0" w:space="0" w:color="auto"/>
        <w:bottom w:val="none" w:sz="0" w:space="0" w:color="auto"/>
        <w:right w:val="none" w:sz="0" w:space="0" w:color="auto"/>
      </w:divBdr>
    </w:div>
    <w:div w:id="314460593">
      <w:bodyDiv w:val="1"/>
      <w:marLeft w:val="0"/>
      <w:marRight w:val="0"/>
      <w:marTop w:val="0"/>
      <w:marBottom w:val="0"/>
      <w:divBdr>
        <w:top w:val="none" w:sz="0" w:space="0" w:color="auto"/>
        <w:left w:val="none" w:sz="0" w:space="0" w:color="auto"/>
        <w:bottom w:val="none" w:sz="0" w:space="0" w:color="auto"/>
        <w:right w:val="none" w:sz="0" w:space="0" w:color="auto"/>
      </w:divBdr>
    </w:div>
    <w:div w:id="314576563">
      <w:bodyDiv w:val="1"/>
      <w:marLeft w:val="0"/>
      <w:marRight w:val="0"/>
      <w:marTop w:val="0"/>
      <w:marBottom w:val="0"/>
      <w:divBdr>
        <w:top w:val="none" w:sz="0" w:space="0" w:color="auto"/>
        <w:left w:val="none" w:sz="0" w:space="0" w:color="auto"/>
        <w:bottom w:val="none" w:sz="0" w:space="0" w:color="auto"/>
        <w:right w:val="none" w:sz="0" w:space="0" w:color="auto"/>
      </w:divBdr>
    </w:div>
    <w:div w:id="314602636">
      <w:bodyDiv w:val="1"/>
      <w:marLeft w:val="0"/>
      <w:marRight w:val="0"/>
      <w:marTop w:val="0"/>
      <w:marBottom w:val="0"/>
      <w:divBdr>
        <w:top w:val="none" w:sz="0" w:space="0" w:color="auto"/>
        <w:left w:val="none" w:sz="0" w:space="0" w:color="auto"/>
        <w:bottom w:val="none" w:sz="0" w:space="0" w:color="auto"/>
        <w:right w:val="none" w:sz="0" w:space="0" w:color="auto"/>
      </w:divBdr>
    </w:div>
    <w:div w:id="314647393">
      <w:bodyDiv w:val="1"/>
      <w:marLeft w:val="0"/>
      <w:marRight w:val="0"/>
      <w:marTop w:val="0"/>
      <w:marBottom w:val="0"/>
      <w:divBdr>
        <w:top w:val="none" w:sz="0" w:space="0" w:color="auto"/>
        <w:left w:val="none" w:sz="0" w:space="0" w:color="auto"/>
        <w:bottom w:val="none" w:sz="0" w:space="0" w:color="auto"/>
        <w:right w:val="none" w:sz="0" w:space="0" w:color="auto"/>
      </w:divBdr>
    </w:div>
    <w:div w:id="314798634">
      <w:bodyDiv w:val="1"/>
      <w:marLeft w:val="0"/>
      <w:marRight w:val="0"/>
      <w:marTop w:val="0"/>
      <w:marBottom w:val="0"/>
      <w:divBdr>
        <w:top w:val="none" w:sz="0" w:space="0" w:color="auto"/>
        <w:left w:val="none" w:sz="0" w:space="0" w:color="auto"/>
        <w:bottom w:val="none" w:sz="0" w:space="0" w:color="auto"/>
        <w:right w:val="none" w:sz="0" w:space="0" w:color="auto"/>
      </w:divBdr>
    </w:div>
    <w:div w:id="314842609">
      <w:bodyDiv w:val="1"/>
      <w:marLeft w:val="0"/>
      <w:marRight w:val="0"/>
      <w:marTop w:val="0"/>
      <w:marBottom w:val="0"/>
      <w:divBdr>
        <w:top w:val="none" w:sz="0" w:space="0" w:color="auto"/>
        <w:left w:val="none" w:sz="0" w:space="0" w:color="auto"/>
        <w:bottom w:val="none" w:sz="0" w:space="0" w:color="auto"/>
        <w:right w:val="none" w:sz="0" w:space="0" w:color="auto"/>
      </w:divBdr>
    </w:div>
    <w:div w:id="314846815">
      <w:bodyDiv w:val="1"/>
      <w:marLeft w:val="0"/>
      <w:marRight w:val="0"/>
      <w:marTop w:val="0"/>
      <w:marBottom w:val="0"/>
      <w:divBdr>
        <w:top w:val="none" w:sz="0" w:space="0" w:color="auto"/>
        <w:left w:val="none" w:sz="0" w:space="0" w:color="auto"/>
        <w:bottom w:val="none" w:sz="0" w:space="0" w:color="auto"/>
        <w:right w:val="none" w:sz="0" w:space="0" w:color="auto"/>
      </w:divBdr>
    </w:div>
    <w:div w:id="314989088">
      <w:bodyDiv w:val="1"/>
      <w:marLeft w:val="0"/>
      <w:marRight w:val="0"/>
      <w:marTop w:val="0"/>
      <w:marBottom w:val="0"/>
      <w:divBdr>
        <w:top w:val="none" w:sz="0" w:space="0" w:color="auto"/>
        <w:left w:val="none" w:sz="0" w:space="0" w:color="auto"/>
        <w:bottom w:val="none" w:sz="0" w:space="0" w:color="auto"/>
        <w:right w:val="none" w:sz="0" w:space="0" w:color="auto"/>
      </w:divBdr>
    </w:div>
    <w:div w:id="314990886">
      <w:bodyDiv w:val="1"/>
      <w:marLeft w:val="0"/>
      <w:marRight w:val="0"/>
      <w:marTop w:val="0"/>
      <w:marBottom w:val="0"/>
      <w:divBdr>
        <w:top w:val="none" w:sz="0" w:space="0" w:color="auto"/>
        <w:left w:val="none" w:sz="0" w:space="0" w:color="auto"/>
        <w:bottom w:val="none" w:sz="0" w:space="0" w:color="auto"/>
        <w:right w:val="none" w:sz="0" w:space="0" w:color="auto"/>
      </w:divBdr>
    </w:div>
    <w:div w:id="315113485">
      <w:bodyDiv w:val="1"/>
      <w:marLeft w:val="0"/>
      <w:marRight w:val="0"/>
      <w:marTop w:val="0"/>
      <w:marBottom w:val="0"/>
      <w:divBdr>
        <w:top w:val="none" w:sz="0" w:space="0" w:color="auto"/>
        <w:left w:val="none" w:sz="0" w:space="0" w:color="auto"/>
        <w:bottom w:val="none" w:sz="0" w:space="0" w:color="auto"/>
        <w:right w:val="none" w:sz="0" w:space="0" w:color="auto"/>
      </w:divBdr>
    </w:div>
    <w:div w:id="315115006">
      <w:bodyDiv w:val="1"/>
      <w:marLeft w:val="0"/>
      <w:marRight w:val="0"/>
      <w:marTop w:val="0"/>
      <w:marBottom w:val="0"/>
      <w:divBdr>
        <w:top w:val="none" w:sz="0" w:space="0" w:color="auto"/>
        <w:left w:val="none" w:sz="0" w:space="0" w:color="auto"/>
        <w:bottom w:val="none" w:sz="0" w:space="0" w:color="auto"/>
        <w:right w:val="none" w:sz="0" w:space="0" w:color="auto"/>
      </w:divBdr>
    </w:div>
    <w:div w:id="315229515">
      <w:bodyDiv w:val="1"/>
      <w:marLeft w:val="0"/>
      <w:marRight w:val="0"/>
      <w:marTop w:val="0"/>
      <w:marBottom w:val="0"/>
      <w:divBdr>
        <w:top w:val="none" w:sz="0" w:space="0" w:color="auto"/>
        <w:left w:val="none" w:sz="0" w:space="0" w:color="auto"/>
        <w:bottom w:val="none" w:sz="0" w:space="0" w:color="auto"/>
        <w:right w:val="none" w:sz="0" w:space="0" w:color="auto"/>
      </w:divBdr>
    </w:div>
    <w:div w:id="315230768">
      <w:bodyDiv w:val="1"/>
      <w:marLeft w:val="0"/>
      <w:marRight w:val="0"/>
      <w:marTop w:val="0"/>
      <w:marBottom w:val="0"/>
      <w:divBdr>
        <w:top w:val="none" w:sz="0" w:space="0" w:color="auto"/>
        <w:left w:val="none" w:sz="0" w:space="0" w:color="auto"/>
        <w:bottom w:val="none" w:sz="0" w:space="0" w:color="auto"/>
        <w:right w:val="none" w:sz="0" w:space="0" w:color="auto"/>
      </w:divBdr>
    </w:div>
    <w:div w:id="315256900">
      <w:bodyDiv w:val="1"/>
      <w:marLeft w:val="0"/>
      <w:marRight w:val="0"/>
      <w:marTop w:val="0"/>
      <w:marBottom w:val="0"/>
      <w:divBdr>
        <w:top w:val="none" w:sz="0" w:space="0" w:color="auto"/>
        <w:left w:val="none" w:sz="0" w:space="0" w:color="auto"/>
        <w:bottom w:val="none" w:sz="0" w:space="0" w:color="auto"/>
        <w:right w:val="none" w:sz="0" w:space="0" w:color="auto"/>
      </w:divBdr>
    </w:div>
    <w:div w:id="315300616">
      <w:bodyDiv w:val="1"/>
      <w:marLeft w:val="0"/>
      <w:marRight w:val="0"/>
      <w:marTop w:val="0"/>
      <w:marBottom w:val="0"/>
      <w:divBdr>
        <w:top w:val="none" w:sz="0" w:space="0" w:color="auto"/>
        <w:left w:val="none" w:sz="0" w:space="0" w:color="auto"/>
        <w:bottom w:val="none" w:sz="0" w:space="0" w:color="auto"/>
        <w:right w:val="none" w:sz="0" w:space="0" w:color="auto"/>
      </w:divBdr>
    </w:div>
    <w:div w:id="315304326">
      <w:bodyDiv w:val="1"/>
      <w:marLeft w:val="0"/>
      <w:marRight w:val="0"/>
      <w:marTop w:val="0"/>
      <w:marBottom w:val="0"/>
      <w:divBdr>
        <w:top w:val="none" w:sz="0" w:space="0" w:color="auto"/>
        <w:left w:val="none" w:sz="0" w:space="0" w:color="auto"/>
        <w:bottom w:val="none" w:sz="0" w:space="0" w:color="auto"/>
        <w:right w:val="none" w:sz="0" w:space="0" w:color="auto"/>
      </w:divBdr>
    </w:div>
    <w:div w:id="315381752">
      <w:bodyDiv w:val="1"/>
      <w:marLeft w:val="0"/>
      <w:marRight w:val="0"/>
      <w:marTop w:val="0"/>
      <w:marBottom w:val="0"/>
      <w:divBdr>
        <w:top w:val="none" w:sz="0" w:space="0" w:color="auto"/>
        <w:left w:val="none" w:sz="0" w:space="0" w:color="auto"/>
        <w:bottom w:val="none" w:sz="0" w:space="0" w:color="auto"/>
        <w:right w:val="none" w:sz="0" w:space="0" w:color="auto"/>
      </w:divBdr>
    </w:div>
    <w:div w:id="315384061">
      <w:bodyDiv w:val="1"/>
      <w:marLeft w:val="0"/>
      <w:marRight w:val="0"/>
      <w:marTop w:val="0"/>
      <w:marBottom w:val="0"/>
      <w:divBdr>
        <w:top w:val="none" w:sz="0" w:space="0" w:color="auto"/>
        <w:left w:val="none" w:sz="0" w:space="0" w:color="auto"/>
        <w:bottom w:val="none" w:sz="0" w:space="0" w:color="auto"/>
        <w:right w:val="none" w:sz="0" w:space="0" w:color="auto"/>
      </w:divBdr>
    </w:div>
    <w:div w:id="315844872">
      <w:bodyDiv w:val="1"/>
      <w:marLeft w:val="0"/>
      <w:marRight w:val="0"/>
      <w:marTop w:val="0"/>
      <w:marBottom w:val="0"/>
      <w:divBdr>
        <w:top w:val="none" w:sz="0" w:space="0" w:color="auto"/>
        <w:left w:val="none" w:sz="0" w:space="0" w:color="auto"/>
        <w:bottom w:val="none" w:sz="0" w:space="0" w:color="auto"/>
        <w:right w:val="none" w:sz="0" w:space="0" w:color="auto"/>
      </w:divBdr>
    </w:div>
    <w:div w:id="315956352">
      <w:bodyDiv w:val="1"/>
      <w:marLeft w:val="0"/>
      <w:marRight w:val="0"/>
      <w:marTop w:val="0"/>
      <w:marBottom w:val="0"/>
      <w:divBdr>
        <w:top w:val="none" w:sz="0" w:space="0" w:color="auto"/>
        <w:left w:val="none" w:sz="0" w:space="0" w:color="auto"/>
        <w:bottom w:val="none" w:sz="0" w:space="0" w:color="auto"/>
        <w:right w:val="none" w:sz="0" w:space="0" w:color="auto"/>
      </w:divBdr>
    </w:div>
    <w:div w:id="316032035">
      <w:bodyDiv w:val="1"/>
      <w:marLeft w:val="0"/>
      <w:marRight w:val="0"/>
      <w:marTop w:val="0"/>
      <w:marBottom w:val="0"/>
      <w:divBdr>
        <w:top w:val="none" w:sz="0" w:space="0" w:color="auto"/>
        <w:left w:val="none" w:sz="0" w:space="0" w:color="auto"/>
        <w:bottom w:val="none" w:sz="0" w:space="0" w:color="auto"/>
        <w:right w:val="none" w:sz="0" w:space="0" w:color="auto"/>
      </w:divBdr>
    </w:div>
    <w:div w:id="316036467">
      <w:bodyDiv w:val="1"/>
      <w:marLeft w:val="0"/>
      <w:marRight w:val="0"/>
      <w:marTop w:val="0"/>
      <w:marBottom w:val="0"/>
      <w:divBdr>
        <w:top w:val="none" w:sz="0" w:space="0" w:color="auto"/>
        <w:left w:val="none" w:sz="0" w:space="0" w:color="auto"/>
        <w:bottom w:val="none" w:sz="0" w:space="0" w:color="auto"/>
        <w:right w:val="none" w:sz="0" w:space="0" w:color="auto"/>
      </w:divBdr>
    </w:div>
    <w:div w:id="316038761">
      <w:bodyDiv w:val="1"/>
      <w:marLeft w:val="0"/>
      <w:marRight w:val="0"/>
      <w:marTop w:val="0"/>
      <w:marBottom w:val="0"/>
      <w:divBdr>
        <w:top w:val="none" w:sz="0" w:space="0" w:color="auto"/>
        <w:left w:val="none" w:sz="0" w:space="0" w:color="auto"/>
        <w:bottom w:val="none" w:sz="0" w:space="0" w:color="auto"/>
        <w:right w:val="none" w:sz="0" w:space="0" w:color="auto"/>
      </w:divBdr>
    </w:div>
    <w:div w:id="316111526">
      <w:bodyDiv w:val="1"/>
      <w:marLeft w:val="0"/>
      <w:marRight w:val="0"/>
      <w:marTop w:val="0"/>
      <w:marBottom w:val="0"/>
      <w:divBdr>
        <w:top w:val="none" w:sz="0" w:space="0" w:color="auto"/>
        <w:left w:val="none" w:sz="0" w:space="0" w:color="auto"/>
        <w:bottom w:val="none" w:sz="0" w:space="0" w:color="auto"/>
        <w:right w:val="none" w:sz="0" w:space="0" w:color="auto"/>
      </w:divBdr>
    </w:div>
    <w:div w:id="316151136">
      <w:bodyDiv w:val="1"/>
      <w:marLeft w:val="0"/>
      <w:marRight w:val="0"/>
      <w:marTop w:val="0"/>
      <w:marBottom w:val="0"/>
      <w:divBdr>
        <w:top w:val="none" w:sz="0" w:space="0" w:color="auto"/>
        <w:left w:val="none" w:sz="0" w:space="0" w:color="auto"/>
        <w:bottom w:val="none" w:sz="0" w:space="0" w:color="auto"/>
        <w:right w:val="none" w:sz="0" w:space="0" w:color="auto"/>
      </w:divBdr>
    </w:div>
    <w:div w:id="316153938">
      <w:bodyDiv w:val="1"/>
      <w:marLeft w:val="0"/>
      <w:marRight w:val="0"/>
      <w:marTop w:val="0"/>
      <w:marBottom w:val="0"/>
      <w:divBdr>
        <w:top w:val="none" w:sz="0" w:space="0" w:color="auto"/>
        <w:left w:val="none" w:sz="0" w:space="0" w:color="auto"/>
        <w:bottom w:val="none" w:sz="0" w:space="0" w:color="auto"/>
        <w:right w:val="none" w:sz="0" w:space="0" w:color="auto"/>
      </w:divBdr>
    </w:div>
    <w:div w:id="316157382">
      <w:bodyDiv w:val="1"/>
      <w:marLeft w:val="0"/>
      <w:marRight w:val="0"/>
      <w:marTop w:val="0"/>
      <w:marBottom w:val="0"/>
      <w:divBdr>
        <w:top w:val="none" w:sz="0" w:space="0" w:color="auto"/>
        <w:left w:val="none" w:sz="0" w:space="0" w:color="auto"/>
        <w:bottom w:val="none" w:sz="0" w:space="0" w:color="auto"/>
        <w:right w:val="none" w:sz="0" w:space="0" w:color="auto"/>
      </w:divBdr>
    </w:div>
    <w:div w:id="316299570">
      <w:bodyDiv w:val="1"/>
      <w:marLeft w:val="0"/>
      <w:marRight w:val="0"/>
      <w:marTop w:val="0"/>
      <w:marBottom w:val="0"/>
      <w:divBdr>
        <w:top w:val="none" w:sz="0" w:space="0" w:color="auto"/>
        <w:left w:val="none" w:sz="0" w:space="0" w:color="auto"/>
        <w:bottom w:val="none" w:sz="0" w:space="0" w:color="auto"/>
        <w:right w:val="none" w:sz="0" w:space="0" w:color="auto"/>
      </w:divBdr>
    </w:div>
    <w:div w:id="316305606">
      <w:bodyDiv w:val="1"/>
      <w:marLeft w:val="0"/>
      <w:marRight w:val="0"/>
      <w:marTop w:val="0"/>
      <w:marBottom w:val="0"/>
      <w:divBdr>
        <w:top w:val="none" w:sz="0" w:space="0" w:color="auto"/>
        <w:left w:val="none" w:sz="0" w:space="0" w:color="auto"/>
        <w:bottom w:val="none" w:sz="0" w:space="0" w:color="auto"/>
        <w:right w:val="none" w:sz="0" w:space="0" w:color="auto"/>
      </w:divBdr>
    </w:div>
    <w:div w:id="316418340">
      <w:bodyDiv w:val="1"/>
      <w:marLeft w:val="0"/>
      <w:marRight w:val="0"/>
      <w:marTop w:val="0"/>
      <w:marBottom w:val="0"/>
      <w:divBdr>
        <w:top w:val="none" w:sz="0" w:space="0" w:color="auto"/>
        <w:left w:val="none" w:sz="0" w:space="0" w:color="auto"/>
        <w:bottom w:val="none" w:sz="0" w:space="0" w:color="auto"/>
        <w:right w:val="none" w:sz="0" w:space="0" w:color="auto"/>
      </w:divBdr>
    </w:div>
    <w:div w:id="316423588">
      <w:bodyDiv w:val="1"/>
      <w:marLeft w:val="0"/>
      <w:marRight w:val="0"/>
      <w:marTop w:val="0"/>
      <w:marBottom w:val="0"/>
      <w:divBdr>
        <w:top w:val="none" w:sz="0" w:space="0" w:color="auto"/>
        <w:left w:val="none" w:sz="0" w:space="0" w:color="auto"/>
        <w:bottom w:val="none" w:sz="0" w:space="0" w:color="auto"/>
        <w:right w:val="none" w:sz="0" w:space="0" w:color="auto"/>
      </w:divBdr>
    </w:div>
    <w:div w:id="316493748">
      <w:bodyDiv w:val="1"/>
      <w:marLeft w:val="0"/>
      <w:marRight w:val="0"/>
      <w:marTop w:val="0"/>
      <w:marBottom w:val="0"/>
      <w:divBdr>
        <w:top w:val="none" w:sz="0" w:space="0" w:color="auto"/>
        <w:left w:val="none" w:sz="0" w:space="0" w:color="auto"/>
        <w:bottom w:val="none" w:sz="0" w:space="0" w:color="auto"/>
        <w:right w:val="none" w:sz="0" w:space="0" w:color="auto"/>
      </w:divBdr>
    </w:div>
    <w:div w:id="316494720">
      <w:bodyDiv w:val="1"/>
      <w:marLeft w:val="0"/>
      <w:marRight w:val="0"/>
      <w:marTop w:val="0"/>
      <w:marBottom w:val="0"/>
      <w:divBdr>
        <w:top w:val="none" w:sz="0" w:space="0" w:color="auto"/>
        <w:left w:val="none" w:sz="0" w:space="0" w:color="auto"/>
        <w:bottom w:val="none" w:sz="0" w:space="0" w:color="auto"/>
        <w:right w:val="none" w:sz="0" w:space="0" w:color="auto"/>
      </w:divBdr>
    </w:div>
    <w:div w:id="316497551">
      <w:bodyDiv w:val="1"/>
      <w:marLeft w:val="0"/>
      <w:marRight w:val="0"/>
      <w:marTop w:val="0"/>
      <w:marBottom w:val="0"/>
      <w:divBdr>
        <w:top w:val="none" w:sz="0" w:space="0" w:color="auto"/>
        <w:left w:val="none" w:sz="0" w:space="0" w:color="auto"/>
        <w:bottom w:val="none" w:sz="0" w:space="0" w:color="auto"/>
        <w:right w:val="none" w:sz="0" w:space="0" w:color="auto"/>
      </w:divBdr>
    </w:div>
    <w:div w:id="316539982">
      <w:bodyDiv w:val="1"/>
      <w:marLeft w:val="0"/>
      <w:marRight w:val="0"/>
      <w:marTop w:val="0"/>
      <w:marBottom w:val="0"/>
      <w:divBdr>
        <w:top w:val="none" w:sz="0" w:space="0" w:color="auto"/>
        <w:left w:val="none" w:sz="0" w:space="0" w:color="auto"/>
        <w:bottom w:val="none" w:sz="0" w:space="0" w:color="auto"/>
        <w:right w:val="none" w:sz="0" w:space="0" w:color="auto"/>
      </w:divBdr>
    </w:div>
    <w:div w:id="316540979">
      <w:bodyDiv w:val="1"/>
      <w:marLeft w:val="0"/>
      <w:marRight w:val="0"/>
      <w:marTop w:val="0"/>
      <w:marBottom w:val="0"/>
      <w:divBdr>
        <w:top w:val="none" w:sz="0" w:space="0" w:color="auto"/>
        <w:left w:val="none" w:sz="0" w:space="0" w:color="auto"/>
        <w:bottom w:val="none" w:sz="0" w:space="0" w:color="auto"/>
        <w:right w:val="none" w:sz="0" w:space="0" w:color="auto"/>
      </w:divBdr>
    </w:div>
    <w:div w:id="316737720">
      <w:bodyDiv w:val="1"/>
      <w:marLeft w:val="0"/>
      <w:marRight w:val="0"/>
      <w:marTop w:val="0"/>
      <w:marBottom w:val="0"/>
      <w:divBdr>
        <w:top w:val="none" w:sz="0" w:space="0" w:color="auto"/>
        <w:left w:val="none" w:sz="0" w:space="0" w:color="auto"/>
        <w:bottom w:val="none" w:sz="0" w:space="0" w:color="auto"/>
        <w:right w:val="none" w:sz="0" w:space="0" w:color="auto"/>
      </w:divBdr>
    </w:div>
    <w:div w:id="316760724">
      <w:bodyDiv w:val="1"/>
      <w:marLeft w:val="0"/>
      <w:marRight w:val="0"/>
      <w:marTop w:val="0"/>
      <w:marBottom w:val="0"/>
      <w:divBdr>
        <w:top w:val="none" w:sz="0" w:space="0" w:color="auto"/>
        <w:left w:val="none" w:sz="0" w:space="0" w:color="auto"/>
        <w:bottom w:val="none" w:sz="0" w:space="0" w:color="auto"/>
        <w:right w:val="none" w:sz="0" w:space="0" w:color="auto"/>
      </w:divBdr>
    </w:div>
    <w:div w:id="316767400">
      <w:bodyDiv w:val="1"/>
      <w:marLeft w:val="0"/>
      <w:marRight w:val="0"/>
      <w:marTop w:val="0"/>
      <w:marBottom w:val="0"/>
      <w:divBdr>
        <w:top w:val="none" w:sz="0" w:space="0" w:color="auto"/>
        <w:left w:val="none" w:sz="0" w:space="0" w:color="auto"/>
        <w:bottom w:val="none" w:sz="0" w:space="0" w:color="auto"/>
        <w:right w:val="none" w:sz="0" w:space="0" w:color="auto"/>
      </w:divBdr>
    </w:div>
    <w:div w:id="316767894">
      <w:bodyDiv w:val="1"/>
      <w:marLeft w:val="0"/>
      <w:marRight w:val="0"/>
      <w:marTop w:val="0"/>
      <w:marBottom w:val="0"/>
      <w:divBdr>
        <w:top w:val="none" w:sz="0" w:space="0" w:color="auto"/>
        <w:left w:val="none" w:sz="0" w:space="0" w:color="auto"/>
        <w:bottom w:val="none" w:sz="0" w:space="0" w:color="auto"/>
        <w:right w:val="none" w:sz="0" w:space="0" w:color="auto"/>
      </w:divBdr>
    </w:div>
    <w:div w:id="316805452">
      <w:bodyDiv w:val="1"/>
      <w:marLeft w:val="0"/>
      <w:marRight w:val="0"/>
      <w:marTop w:val="0"/>
      <w:marBottom w:val="0"/>
      <w:divBdr>
        <w:top w:val="none" w:sz="0" w:space="0" w:color="auto"/>
        <w:left w:val="none" w:sz="0" w:space="0" w:color="auto"/>
        <w:bottom w:val="none" w:sz="0" w:space="0" w:color="auto"/>
        <w:right w:val="none" w:sz="0" w:space="0" w:color="auto"/>
      </w:divBdr>
    </w:div>
    <w:div w:id="316884490">
      <w:bodyDiv w:val="1"/>
      <w:marLeft w:val="0"/>
      <w:marRight w:val="0"/>
      <w:marTop w:val="0"/>
      <w:marBottom w:val="0"/>
      <w:divBdr>
        <w:top w:val="none" w:sz="0" w:space="0" w:color="auto"/>
        <w:left w:val="none" w:sz="0" w:space="0" w:color="auto"/>
        <w:bottom w:val="none" w:sz="0" w:space="0" w:color="auto"/>
        <w:right w:val="none" w:sz="0" w:space="0" w:color="auto"/>
      </w:divBdr>
    </w:div>
    <w:div w:id="316887302">
      <w:bodyDiv w:val="1"/>
      <w:marLeft w:val="0"/>
      <w:marRight w:val="0"/>
      <w:marTop w:val="0"/>
      <w:marBottom w:val="0"/>
      <w:divBdr>
        <w:top w:val="none" w:sz="0" w:space="0" w:color="auto"/>
        <w:left w:val="none" w:sz="0" w:space="0" w:color="auto"/>
        <w:bottom w:val="none" w:sz="0" w:space="0" w:color="auto"/>
        <w:right w:val="none" w:sz="0" w:space="0" w:color="auto"/>
      </w:divBdr>
    </w:div>
    <w:div w:id="316888323">
      <w:bodyDiv w:val="1"/>
      <w:marLeft w:val="0"/>
      <w:marRight w:val="0"/>
      <w:marTop w:val="0"/>
      <w:marBottom w:val="0"/>
      <w:divBdr>
        <w:top w:val="none" w:sz="0" w:space="0" w:color="auto"/>
        <w:left w:val="none" w:sz="0" w:space="0" w:color="auto"/>
        <w:bottom w:val="none" w:sz="0" w:space="0" w:color="auto"/>
        <w:right w:val="none" w:sz="0" w:space="0" w:color="auto"/>
      </w:divBdr>
    </w:div>
    <w:div w:id="316963167">
      <w:bodyDiv w:val="1"/>
      <w:marLeft w:val="0"/>
      <w:marRight w:val="0"/>
      <w:marTop w:val="0"/>
      <w:marBottom w:val="0"/>
      <w:divBdr>
        <w:top w:val="none" w:sz="0" w:space="0" w:color="auto"/>
        <w:left w:val="none" w:sz="0" w:space="0" w:color="auto"/>
        <w:bottom w:val="none" w:sz="0" w:space="0" w:color="auto"/>
        <w:right w:val="none" w:sz="0" w:space="0" w:color="auto"/>
      </w:divBdr>
    </w:div>
    <w:div w:id="317075590">
      <w:bodyDiv w:val="1"/>
      <w:marLeft w:val="0"/>
      <w:marRight w:val="0"/>
      <w:marTop w:val="0"/>
      <w:marBottom w:val="0"/>
      <w:divBdr>
        <w:top w:val="none" w:sz="0" w:space="0" w:color="auto"/>
        <w:left w:val="none" w:sz="0" w:space="0" w:color="auto"/>
        <w:bottom w:val="none" w:sz="0" w:space="0" w:color="auto"/>
        <w:right w:val="none" w:sz="0" w:space="0" w:color="auto"/>
      </w:divBdr>
    </w:div>
    <w:div w:id="317076041">
      <w:bodyDiv w:val="1"/>
      <w:marLeft w:val="0"/>
      <w:marRight w:val="0"/>
      <w:marTop w:val="0"/>
      <w:marBottom w:val="0"/>
      <w:divBdr>
        <w:top w:val="none" w:sz="0" w:space="0" w:color="auto"/>
        <w:left w:val="none" w:sz="0" w:space="0" w:color="auto"/>
        <w:bottom w:val="none" w:sz="0" w:space="0" w:color="auto"/>
        <w:right w:val="none" w:sz="0" w:space="0" w:color="auto"/>
      </w:divBdr>
    </w:div>
    <w:div w:id="317149636">
      <w:bodyDiv w:val="1"/>
      <w:marLeft w:val="0"/>
      <w:marRight w:val="0"/>
      <w:marTop w:val="0"/>
      <w:marBottom w:val="0"/>
      <w:divBdr>
        <w:top w:val="none" w:sz="0" w:space="0" w:color="auto"/>
        <w:left w:val="none" w:sz="0" w:space="0" w:color="auto"/>
        <w:bottom w:val="none" w:sz="0" w:space="0" w:color="auto"/>
        <w:right w:val="none" w:sz="0" w:space="0" w:color="auto"/>
      </w:divBdr>
    </w:div>
    <w:div w:id="317149760">
      <w:bodyDiv w:val="1"/>
      <w:marLeft w:val="0"/>
      <w:marRight w:val="0"/>
      <w:marTop w:val="0"/>
      <w:marBottom w:val="0"/>
      <w:divBdr>
        <w:top w:val="none" w:sz="0" w:space="0" w:color="auto"/>
        <w:left w:val="none" w:sz="0" w:space="0" w:color="auto"/>
        <w:bottom w:val="none" w:sz="0" w:space="0" w:color="auto"/>
        <w:right w:val="none" w:sz="0" w:space="0" w:color="auto"/>
      </w:divBdr>
    </w:div>
    <w:div w:id="317195021">
      <w:bodyDiv w:val="1"/>
      <w:marLeft w:val="0"/>
      <w:marRight w:val="0"/>
      <w:marTop w:val="0"/>
      <w:marBottom w:val="0"/>
      <w:divBdr>
        <w:top w:val="none" w:sz="0" w:space="0" w:color="auto"/>
        <w:left w:val="none" w:sz="0" w:space="0" w:color="auto"/>
        <w:bottom w:val="none" w:sz="0" w:space="0" w:color="auto"/>
        <w:right w:val="none" w:sz="0" w:space="0" w:color="auto"/>
      </w:divBdr>
    </w:div>
    <w:div w:id="317197754">
      <w:bodyDiv w:val="1"/>
      <w:marLeft w:val="0"/>
      <w:marRight w:val="0"/>
      <w:marTop w:val="0"/>
      <w:marBottom w:val="0"/>
      <w:divBdr>
        <w:top w:val="none" w:sz="0" w:space="0" w:color="auto"/>
        <w:left w:val="none" w:sz="0" w:space="0" w:color="auto"/>
        <w:bottom w:val="none" w:sz="0" w:space="0" w:color="auto"/>
        <w:right w:val="none" w:sz="0" w:space="0" w:color="auto"/>
      </w:divBdr>
    </w:div>
    <w:div w:id="317225622">
      <w:bodyDiv w:val="1"/>
      <w:marLeft w:val="0"/>
      <w:marRight w:val="0"/>
      <w:marTop w:val="0"/>
      <w:marBottom w:val="0"/>
      <w:divBdr>
        <w:top w:val="none" w:sz="0" w:space="0" w:color="auto"/>
        <w:left w:val="none" w:sz="0" w:space="0" w:color="auto"/>
        <w:bottom w:val="none" w:sz="0" w:space="0" w:color="auto"/>
        <w:right w:val="none" w:sz="0" w:space="0" w:color="auto"/>
      </w:divBdr>
    </w:div>
    <w:div w:id="317273468">
      <w:bodyDiv w:val="1"/>
      <w:marLeft w:val="0"/>
      <w:marRight w:val="0"/>
      <w:marTop w:val="0"/>
      <w:marBottom w:val="0"/>
      <w:divBdr>
        <w:top w:val="none" w:sz="0" w:space="0" w:color="auto"/>
        <w:left w:val="none" w:sz="0" w:space="0" w:color="auto"/>
        <w:bottom w:val="none" w:sz="0" w:space="0" w:color="auto"/>
        <w:right w:val="none" w:sz="0" w:space="0" w:color="auto"/>
      </w:divBdr>
    </w:div>
    <w:div w:id="317343094">
      <w:bodyDiv w:val="1"/>
      <w:marLeft w:val="0"/>
      <w:marRight w:val="0"/>
      <w:marTop w:val="0"/>
      <w:marBottom w:val="0"/>
      <w:divBdr>
        <w:top w:val="none" w:sz="0" w:space="0" w:color="auto"/>
        <w:left w:val="none" w:sz="0" w:space="0" w:color="auto"/>
        <w:bottom w:val="none" w:sz="0" w:space="0" w:color="auto"/>
        <w:right w:val="none" w:sz="0" w:space="0" w:color="auto"/>
      </w:divBdr>
    </w:div>
    <w:div w:id="317422511">
      <w:bodyDiv w:val="1"/>
      <w:marLeft w:val="0"/>
      <w:marRight w:val="0"/>
      <w:marTop w:val="0"/>
      <w:marBottom w:val="0"/>
      <w:divBdr>
        <w:top w:val="none" w:sz="0" w:space="0" w:color="auto"/>
        <w:left w:val="none" w:sz="0" w:space="0" w:color="auto"/>
        <w:bottom w:val="none" w:sz="0" w:space="0" w:color="auto"/>
        <w:right w:val="none" w:sz="0" w:space="0" w:color="auto"/>
      </w:divBdr>
    </w:div>
    <w:div w:id="317422768">
      <w:bodyDiv w:val="1"/>
      <w:marLeft w:val="0"/>
      <w:marRight w:val="0"/>
      <w:marTop w:val="0"/>
      <w:marBottom w:val="0"/>
      <w:divBdr>
        <w:top w:val="none" w:sz="0" w:space="0" w:color="auto"/>
        <w:left w:val="none" w:sz="0" w:space="0" w:color="auto"/>
        <w:bottom w:val="none" w:sz="0" w:space="0" w:color="auto"/>
        <w:right w:val="none" w:sz="0" w:space="0" w:color="auto"/>
      </w:divBdr>
    </w:div>
    <w:div w:id="317613081">
      <w:bodyDiv w:val="1"/>
      <w:marLeft w:val="0"/>
      <w:marRight w:val="0"/>
      <w:marTop w:val="0"/>
      <w:marBottom w:val="0"/>
      <w:divBdr>
        <w:top w:val="none" w:sz="0" w:space="0" w:color="auto"/>
        <w:left w:val="none" w:sz="0" w:space="0" w:color="auto"/>
        <w:bottom w:val="none" w:sz="0" w:space="0" w:color="auto"/>
        <w:right w:val="none" w:sz="0" w:space="0" w:color="auto"/>
      </w:divBdr>
    </w:div>
    <w:div w:id="317614920">
      <w:bodyDiv w:val="1"/>
      <w:marLeft w:val="0"/>
      <w:marRight w:val="0"/>
      <w:marTop w:val="0"/>
      <w:marBottom w:val="0"/>
      <w:divBdr>
        <w:top w:val="none" w:sz="0" w:space="0" w:color="auto"/>
        <w:left w:val="none" w:sz="0" w:space="0" w:color="auto"/>
        <w:bottom w:val="none" w:sz="0" w:space="0" w:color="auto"/>
        <w:right w:val="none" w:sz="0" w:space="0" w:color="auto"/>
      </w:divBdr>
    </w:div>
    <w:div w:id="317618186">
      <w:bodyDiv w:val="1"/>
      <w:marLeft w:val="0"/>
      <w:marRight w:val="0"/>
      <w:marTop w:val="0"/>
      <w:marBottom w:val="0"/>
      <w:divBdr>
        <w:top w:val="none" w:sz="0" w:space="0" w:color="auto"/>
        <w:left w:val="none" w:sz="0" w:space="0" w:color="auto"/>
        <w:bottom w:val="none" w:sz="0" w:space="0" w:color="auto"/>
        <w:right w:val="none" w:sz="0" w:space="0" w:color="auto"/>
      </w:divBdr>
    </w:div>
    <w:div w:id="317656131">
      <w:bodyDiv w:val="1"/>
      <w:marLeft w:val="0"/>
      <w:marRight w:val="0"/>
      <w:marTop w:val="0"/>
      <w:marBottom w:val="0"/>
      <w:divBdr>
        <w:top w:val="none" w:sz="0" w:space="0" w:color="auto"/>
        <w:left w:val="none" w:sz="0" w:space="0" w:color="auto"/>
        <w:bottom w:val="none" w:sz="0" w:space="0" w:color="auto"/>
        <w:right w:val="none" w:sz="0" w:space="0" w:color="auto"/>
      </w:divBdr>
    </w:div>
    <w:div w:id="317803318">
      <w:bodyDiv w:val="1"/>
      <w:marLeft w:val="0"/>
      <w:marRight w:val="0"/>
      <w:marTop w:val="0"/>
      <w:marBottom w:val="0"/>
      <w:divBdr>
        <w:top w:val="none" w:sz="0" w:space="0" w:color="auto"/>
        <w:left w:val="none" w:sz="0" w:space="0" w:color="auto"/>
        <w:bottom w:val="none" w:sz="0" w:space="0" w:color="auto"/>
        <w:right w:val="none" w:sz="0" w:space="0" w:color="auto"/>
      </w:divBdr>
    </w:div>
    <w:div w:id="317850011">
      <w:bodyDiv w:val="1"/>
      <w:marLeft w:val="0"/>
      <w:marRight w:val="0"/>
      <w:marTop w:val="0"/>
      <w:marBottom w:val="0"/>
      <w:divBdr>
        <w:top w:val="none" w:sz="0" w:space="0" w:color="auto"/>
        <w:left w:val="none" w:sz="0" w:space="0" w:color="auto"/>
        <w:bottom w:val="none" w:sz="0" w:space="0" w:color="auto"/>
        <w:right w:val="none" w:sz="0" w:space="0" w:color="auto"/>
      </w:divBdr>
    </w:div>
    <w:div w:id="317854177">
      <w:bodyDiv w:val="1"/>
      <w:marLeft w:val="0"/>
      <w:marRight w:val="0"/>
      <w:marTop w:val="0"/>
      <w:marBottom w:val="0"/>
      <w:divBdr>
        <w:top w:val="none" w:sz="0" w:space="0" w:color="auto"/>
        <w:left w:val="none" w:sz="0" w:space="0" w:color="auto"/>
        <w:bottom w:val="none" w:sz="0" w:space="0" w:color="auto"/>
        <w:right w:val="none" w:sz="0" w:space="0" w:color="auto"/>
      </w:divBdr>
    </w:div>
    <w:div w:id="318073537">
      <w:bodyDiv w:val="1"/>
      <w:marLeft w:val="0"/>
      <w:marRight w:val="0"/>
      <w:marTop w:val="0"/>
      <w:marBottom w:val="0"/>
      <w:divBdr>
        <w:top w:val="none" w:sz="0" w:space="0" w:color="auto"/>
        <w:left w:val="none" w:sz="0" w:space="0" w:color="auto"/>
        <w:bottom w:val="none" w:sz="0" w:space="0" w:color="auto"/>
        <w:right w:val="none" w:sz="0" w:space="0" w:color="auto"/>
      </w:divBdr>
    </w:div>
    <w:div w:id="318268018">
      <w:bodyDiv w:val="1"/>
      <w:marLeft w:val="0"/>
      <w:marRight w:val="0"/>
      <w:marTop w:val="0"/>
      <w:marBottom w:val="0"/>
      <w:divBdr>
        <w:top w:val="none" w:sz="0" w:space="0" w:color="auto"/>
        <w:left w:val="none" w:sz="0" w:space="0" w:color="auto"/>
        <w:bottom w:val="none" w:sz="0" w:space="0" w:color="auto"/>
        <w:right w:val="none" w:sz="0" w:space="0" w:color="auto"/>
      </w:divBdr>
    </w:div>
    <w:div w:id="318311001">
      <w:bodyDiv w:val="1"/>
      <w:marLeft w:val="0"/>
      <w:marRight w:val="0"/>
      <w:marTop w:val="0"/>
      <w:marBottom w:val="0"/>
      <w:divBdr>
        <w:top w:val="none" w:sz="0" w:space="0" w:color="auto"/>
        <w:left w:val="none" w:sz="0" w:space="0" w:color="auto"/>
        <w:bottom w:val="none" w:sz="0" w:space="0" w:color="auto"/>
        <w:right w:val="none" w:sz="0" w:space="0" w:color="auto"/>
      </w:divBdr>
    </w:div>
    <w:div w:id="318311919">
      <w:bodyDiv w:val="1"/>
      <w:marLeft w:val="0"/>
      <w:marRight w:val="0"/>
      <w:marTop w:val="0"/>
      <w:marBottom w:val="0"/>
      <w:divBdr>
        <w:top w:val="none" w:sz="0" w:space="0" w:color="auto"/>
        <w:left w:val="none" w:sz="0" w:space="0" w:color="auto"/>
        <w:bottom w:val="none" w:sz="0" w:space="0" w:color="auto"/>
        <w:right w:val="none" w:sz="0" w:space="0" w:color="auto"/>
      </w:divBdr>
    </w:div>
    <w:div w:id="318314158">
      <w:bodyDiv w:val="1"/>
      <w:marLeft w:val="0"/>
      <w:marRight w:val="0"/>
      <w:marTop w:val="0"/>
      <w:marBottom w:val="0"/>
      <w:divBdr>
        <w:top w:val="none" w:sz="0" w:space="0" w:color="auto"/>
        <w:left w:val="none" w:sz="0" w:space="0" w:color="auto"/>
        <w:bottom w:val="none" w:sz="0" w:space="0" w:color="auto"/>
        <w:right w:val="none" w:sz="0" w:space="0" w:color="auto"/>
      </w:divBdr>
    </w:div>
    <w:div w:id="318314838">
      <w:bodyDiv w:val="1"/>
      <w:marLeft w:val="0"/>
      <w:marRight w:val="0"/>
      <w:marTop w:val="0"/>
      <w:marBottom w:val="0"/>
      <w:divBdr>
        <w:top w:val="none" w:sz="0" w:space="0" w:color="auto"/>
        <w:left w:val="none" w:sz="0" w:space="0" w:color="auto"/>
        <w:bottom w:val="none" w:sz="0" w:space="0" w:color="auto"/>
        <w:right w:val="none" w:sz="0" w:space="0" w:color="auto"/>
      </w:divBdr>
    </w:div>
    <w:div w:id="318460911">
      <w:bodyDiv w:val="1"/>
      <w:marLeft w:val="0"/>
      <w:marRight w:val="0"/>
      <w:marTop w:val="0"/>
      <w:marBottom w:val="0"/>
      <w:divBdr>
        <w:top w:val="none" w:sz="0" w:space="0" w:color="auto"/>
        <w:left w:val="none" w:sz="0" w:space="0" w:color="auto"/>
        <w:bottom w:val="none" w:sz="0" w:space="0" w:color="auto"/>
        <w:right w:val="none" w:sz="0" w:space="0" w:color="auto"/>
      </w:divBdr>
    </w:div>
    <w:div w:id="318536406">
      <w:bodyDiv w:val="1"/>
      <w:marLeft w:val="0"/>
      <w:marRight w:val="0"/>
      <w:marTop w:val="0"/>
      <w:marBottom w:val="0"/>
      <w:divBdr>
        <w:top w:val="none" w:sz="0" w:space="0" w:color="auto"/>
        <w:left w:val="none" w:sz="0" w:space="0" w:color="auto"/>
        <w:bottom w:val="none" w:sz="0" w:space="0" w:color="auto"/>
        <w:right w:val="none" w:sz="0" w:space="0" w:color="auto"/>
      </w:divBdr>
    </w:div>
    <w:div w:id="318576209">
      <w:bodyDiv w:val="1"/>
      <w:marLeft w:val="0"/>
      <w:marRight w:val="0"/>
      <w:marTop w:val="0"/>
      <w:marBottom w:val="0"/>
      <w:divBdr>
        <w:top w:val="none" w:sz="0" w:space="0" w:color="auto"/>
        <w:left w:val="none" w:sz="0" w:space="0" w:color="auto"/>
        <w:bottom w:val="none" w:sz="0" w:space="0" w:color="auto"/>
        <w:right w:val="none" w:sz="0" w:space="0" w:color="auto"/>
      </w:divBdr>
    </w:div>
    <w:div w:id="318655676">
      <w:bodyDiv w:val="1"/>
      <w:marLeft w:val="0"/>
      <w:marRight w:val="0"/>
      <w:marTop w:val="0"/>
      <w:marBottom w:val="0"/>
      <w:divBdr>
        <w:top w:val="none" w:sz="0" w:space="0" w:color="auto"/>
        <w:left w:val="none" w:sz="0" w:space="0" w:color="auto"/>
        <w:bottom w:val="none" w:sz="0" w:space="0" w:color="auto"/>
        <w:right w:val="none" w:sz="0" w:space="0" w:color="auto"/>
      </w:divBdr>
    </w:div>
    <w:div w:id="318659302">
      <w:bodyDiv w:val="1"/>
      <w:marLeft w:val="0"/>
      <w:marRight w:val="0"/>
      <w:marTop w:val="0"/>
      <w:marBottom w:val="0"/>
      <w:divBdr>
        <w:top w:val="none" w:sz="0" w:space="0" w:color="auto"/>
        <w:left w:val="none" w:sz="0" w:space="0" w:color="auto"/>
        <w:bottom w:val="none" w:sz="0" w:space="0" w:color="auto"/>
        <w:right w:val="none" w:sz="0" w:space="0" w:color="auto"/>
      </w:divBdr>
    </w:div>
    <w:div w:id="318733311">
      <w:bodyDiv w:val="1"/>
      <w:marLeft w:val="0"/>
      <w:marRight w:val="0"/>
      <w:marTop w:val="0"/>
      <w:marBottom w:val="0"/>
      <w:divBdr>
        <w:top w:val="none" w:sz="0" w:space="0" w:color="auto"/>
        <w:left w:val="none" w:sz="0" w:space="0" w:color="auto"/>
        <w:bottom w:val="none" w:sz="0" w:space="0" w:color="auto"/>
        <w:right w:val="none" w:sz="0" w:space="0" w:color="auto"/>
      </w:divBdr>
    </w:div>
    <w:div w:id="318849938">
      <w:bodyDiv w:val="1"/>
      <w:marLeft w:val="0"/>
      <w:marRight w:val="0"/>
      <w:marTop w:val="0"/>
      <w:marBottom w:val="0"/>
      <w:divBdr>
        <w:top w:val="none" w:sz="0" w:space="0" w:color="auto"/>
        <w:left w:val="none" w:sz="0" w:space="0" w:color="auto"/>
        <w:bottom w:val="none" w:sz="0" w:space="0" w:color="auto"/>
        <w:right w:val="none" w:sz="0" w:space="0" w:color="auto"/>
      </w:divBdr>
    </w:div>
    <w:div w:id="318963878">
      <w:bodyDiv w:val="1"/>
      <w:marLeft w:val="0"/>
      <w:marRight w:val="0"/>
      <w:marTop w:val="0"/>
      <w:marBottom w:val="0"/>
      <w:divBdr>
        <w:top w:val="none" w:sz="0" w:space="0" w:color="auto"/>
        <w:left w:val="none" w:sz="0" w:space="0" w:color="auto"/>
        <w:bottom w:val="none" w:sz="0" w:space="0" w:color="auto"/>
        <w:right w:val="none" w:sz="0" w:space="0" w:color="auto"/>
      </w:divBdr>
    </w:div>
    <w:div w:id="318972158">
      <w:bodyDiv w:val="1"/>
      <w:marLeft w:val="0"/>
      <w:marRight w:val="0"/>
      <w:marTop w:val="0"/>
      <w:marBottom w:val="0"/>
      <w:divBdr>
        <w:top w:val="none" w:sz="0" w:space="0" w:color="auto"/>
        <w:left w:val="none" w:sz="0" w:space="0" w:color="auto"/>
        <w:bottom w:val="none" w:sz="0" w:space="0" w:color="auto"/>
        <w:right w:val="none" w:sz="0" w:space="0" w:color="auto"/>
      </w:divBdr>
    </w:div>
    <w:div w:id="319045256">
      <w:bodyDiv w:val="1"/>
      <w:marLeft w:val="0"/>
      <w:marRight w:val="0"/>
      <w:marTop w:val="0"/>
      <w:marBottom w:val="0"/>
      <w:divBdr>
        <w:top w:val="none" w:sz="0" w:space="0" w:color="auto"/>
        <w:left w:val="none" w:sz="0" w:space="0" w:color="auto"/>
        <w:bottom w:val="none" w:sz="0" w:space="0" w:color="auto"/>
        <w:right w:val="none" w:sz="0" w:space="0" w:color="auto"/>
      </w:divBdr>
    </w:div>
    <w:div w:id="319114042">
      <w:bodyDiv w:val="1"/>
      <w:marLeft w:val="0"/>
      <w:marRight w:val="0"/>
      <w:marTop w:val="0"/>
      <w:marBottom w:val="0"/>
      <w:divBdr>
        <w:top w:val="none" w:sz="0" w:space="0" w:color="auto"/>
        <w:left w:val="none" w:sz="0" w:space="0" w:color="auto"/>
        <w:bottom w:val="none" w:sz="0" w:space="0" w:color="auto"/>
        <w:right w:val="none" w:sz="0" w:space="0" w:color="auto"/>
      </w:divBdr>
    </w:div>
    <w:div w:id="319161862">
      <w:bodyDiv w:val="1"/>
      <w:marLeft w:val="0"/>
      <w:marRight w:val="0"/>
      <w:marTop w:val="0"/>
      <w:marBottom w:val="0"/>
      <w:divBdr>
        <w:top w:val="none" w:sz="0" w:space="0" w:color="auto"/>
        <w:left w:val="none" w:sz="0" w:space="0" w:color="auto"/>
        <w:bottom w:val="none" w:sz="0" w:space="0" w:color="auto"/>
        <w:right w:val="none" w:sz="0" w:space="0" w:color="auto"/>
      </w:divBdr>
    </w:div>
    <w:div w:id="319237095">
      <w:bodyDiv w:val="1"/>
      <w:marLeft w:val="0"/>
      <w:marRight w:val="0"/>
      <w:marTop w:val="0"/>
      <w:marBottom w:val="0"/>
      <w:divBdr>
        <w:top w:val="none" w:sz="0" w:space="0" w:color="auto"/>
        <w:left w:val="none" w:sz="0" w:space="0" w:color="auto"/>
        <w:bottom w:val="none" w:sz="0" w:space="0" w:color="auto"/>
        <w:right w:val="none" w:sz="0" w:space="0" w:color="auto"/>
      </w:divBdr>
    </w:div>
    <w:div w:id="319385855">
      <w:bodyDiv w:val="1"/>
      <w:marLeft w:val="0"/>
      <w:marRight w:val="0"/>
      <w:marTop w:val="0"/>
      <w:marBottom w:val="0"/>
      <w:divBdr>
        <w:top w:val="none" w:sz="0" w:space="0" w:color="auto"/>
        <w:left w:val="none" w:sz="0" w:space="0" w:color="auto"/>
        <w:bottom w:val="none" w:sz="0" w:space="0" w:color="auto"/>
        <w:right w:val="none" w:sz="0" w:space="0" w:color="auto"/>
      </w:divBdr>
    </w:div>
    <w:div w:id="319386962">
      <w:bodyDiv w:val="1"/>
      <w:marLeft w:val="0"/>
      <w:marRight w:val="0"/>
      <w:marTop w:val="0"/>
      <w:marBottom w:val="0"/>
      <w:divBdr>
        <w:top w:val="none" w:sz="0" w:space="0" w:color="auto"/>
        <w:left w:val="none" w:sz="0" w:space="0" w:color="auto"/>
        <w:bottom w:val="none" w:sz="0" w:space="0" w:color="auto"/>
        <w:right w:val="none" w:sz="0" w:space="0" w:color="auto"/>
      </w:divBdr>
    </w:div>
    <w:div w:id="319580969">
      <w:bodyDiv w:val="1"/>
      <w:marLeft w:val="0"/>
      <w:marRight w:val="0"/>
      <w:marTop w:val="0"/>
      <w:marBottom w:val="0"/>
      <w:divBdr>
        <w:top w:val="none" w:sz="0" w:space="0" w:color="auto"/>
        <w:left w:val="none" w:sz="0" w:space="0" w:color="auto"/>
        <w:bottom w:val="none" w:sz="0" w:space="0" w:color="auto"/>
        <w:right w:val="none" w:sz="0" w:space="0" w:color="auto"/>
      </w:divBdr>
    </w:div>
    <w:div w:id="319625321">
      <w:bodyDiv w:val="1"/>
      <w:marLeft w:val="0"/>
      <w:marRight w:val="0"/>
      <w:marTop w:val="0"/>
      <w:marBottom w:val="0"/>
      <w:divBdr>
        <w:top w:val="none" w:sz="0" w:space="0" w:color="auto"/>
        <w:left w:val="none" w:sz="0" w:space="0" w:color="auto"/>
        <w:bottom w:val="none" w:sz="0" w:space="0" w:color="auto"/>
        <w:right w:val="none" w:sz="0" w:space="0" w:color="auto"/>
      </w:divBdr>
    </w:div>
    <w:div w:id="319694344">
      <w:bodyDiv w:val="1"/>
      <w:marLeft w:val="0"/>
      <w:marRight w:val="0"/>
      <w:marTop w:val="0"/>
      <w:marBottom w:val="0"/>
      <w:divBdr>
        <w:top w:val="none" w:sz="0" w:space="0" w:color="auto"/>
        <w:left w:val="none" w:sz="0" w:space="0" w:color="auto"/>
        <w:bottom w:val="none" w:sz="0" w:space="0" w:color="auto"/>
        <w:right w:val="none" w:sz="0" w:space="0" w:color="auto"/>
      </w:divBdr>
    </w:div>
    <w:div w:id="319966547">
      <w:bodyDiv w:val="1"/>
      <w:marLeft w:val="0"/>
      <w:marRight w:val="0"/>
      <w:marTop w:val="0"/>
      <w:marBottom w:val="0"/>
      <w:divBdr>
        <w:top w:val="none" w:sz="0" w:space="0" w:color="auto"/>
        <w:left w:val="none" w:sz="0" w:space="0" w:color="auto"/>
        <w:bottom w:val="none" w:sz="0" w:space="0" w:color="auto"/>
        <w:right w:val="none" w:sz="0" w:space="0" w:color="auto"/>
      </w:divBdr>
    </w:div>
    <w:div w:id="320158247">
      <w:bodyDiv w:val="1"/>
      <w:marLeft w:val="0"/>
      <w:marRight w:val="0"/>
      <w:marTop w:val="0"/>
      <w:marBottom w:val="0"/>
      <w:divBdr>
        <w:top w:val="none" w:sz="0" w:space="0" w:color="auto"/>
        <w:left w:val="none" w:sz="0" w:space="0" w:color="auto"/>
        <w:bottom w:val="none" w:sz="0" w:space="0" w:color="auto"/>
        <w:right w:val="none" w:sz="0" w:space="0" w:color="auto"/>
      </w:divBdr>
    </w:div>
    <w:div w:id="320233889">
      <w:bodyDiv w:val="1"/>
      <w:marLeft w:val="0"/>
      <w:marRight w:val="0"/>
      <w:marTop w:val="0"/>
      <w:marBottom w:val="0"/>
      <w:divBdr>
        <w:top w:val="none" w:sz="0" w:space="0" w:color="auto"/>
        <w:left w:val="none" w:sz="0" w:space="0" w:color="auto"/>
        <w:bottom w:val="none" w:sz="0" w:space="0" w:color="auto"/>
        <w:right w:val="none" w:sz="0" w:space="0" w:color="auto"/>
      </w:divBdr>
    </w:div>
    <w:div w:id="320280936">
      <w:bodyDiv w:val="1"/>
      <w:marLeft w:val="0"/>
      <w:marRight w:val="0"/>
      <w:marTop w:val="0"/>
      <w:marBottom w:val="0"/>
      <w:divBdr>
        <w:top w:val="none" w:sz="0" w:space="0" w:color="auto"/>
        <w:left w:val="none" w:sz="0" w:space="0" w:color="auto"/>
        <w:bottom w:val="none" w:sz="0" w:space="0" w:color="auto"/>
        <w:right w:val="none" w:sz="0" w:space="0" w:color="auto"/>
      </w:divBdr>
    </w:div>
    <w:div w:id="320352908">
      <w:bodyDiv w:val="1"/>
      <w:marLeft w:val="0"/>
      <w:marRight w:val="0"/>
      <w:marTop w:val="0"/>
      <w:marBottom w:val="0"/>
      <w:divBdr>
        <w:top w:val="none" w:sz="0" w:space="0" w:color="auto"/>
        <w:left w:val="none" w:sz="0" w:space="0" w:color="auto"/>
        <w:bottom w:val="none" w:sz="0" w:space="0" w:color="auto"/>
        <w:right w:val="none" w:sz="0" w:space="0" w:color="auto"/>
      </w:divBdr>
    </w:div>
    <w:div w:id="320619704">
      <w:bodyDiv w:val="1"/>
      <w:marLeft w:val="0"/>
      <w:marRight w:val="0"/>
      <w:marTop w:val="0"/>
      <w:marBottom w:val="0"/>
      <w:divBdr>
        <w:top w:val="none" w:sz="0" w:space="0" w:color="auto"/>
        <w:left w:val="none" w:sz="0" w:space="0" w:color="auto"/>
        <w:bottom w:val="none" w:sz="0" w:space="0" w:color="auto"/>
        <w:right w:val="none" w:sz="0" w:space="0" w:color="auto"/>
      </w:divBdr>
    </w:div>
    <w:div w:id="320622158">
      <w:bodyDiv w:val="1"/>
      <w:marLeft w:val="0"/>
      <w:marRight w:val="0"/>
      <w:marTop w:val="0"/>
      <w:marBottom w:val="0"/>
      <w:divBdr>
        <w:top w:val="none" w:sz="0" w:space="0" w:color="auto"/>
        <w:left w:val="none" w:sz="0" w:space="0" w:color="auto"/>
        <w:bottom w:val="none" w:sz="0" w:space="0" w:color="auto"/>
        <w:right w:val="none" w:sz="0" w:space="0" w:color="auto"/>
      </w:divBdr>
    </w:div>
    <w:div w:id="320814547">
      <w:bodyDiv w:val="1"/>
      <w:marLeft w:val="0"/>
      <w:marRight w:val="0"/>
      <w:marTop w:val="0"/>
      <w:marBottom w:val="0"/>
      <w:divBdr>
        <w:top w:val="none" w:sz="0" w:space="0" w:color="auto"/>
        <w:left w:val="none" w:sz="0" w:space="0" w:color="auto"/>
        <w:bottom w:val="none" w:sz="0" w:space="0" w:color="auto"/>
        <w:right w:val="none" w:sz="0" w:space="0" w:color="auto"/>
      </w:divBdr>
    </w:div>
    <w:div w:id="320817808">
      <w:bodyDiv w:val="1"/>
      <w:marLeft w:val="0"/>
      <w:marRight w:val="0"/>
      <w:marTop w:val="0"/>
      <w:marBottom w:val="0"/>
      <w:divBdr>
        <w:top w:val="none" w:sz="0" w:space="0" w:color="auto"/>
        <w:left w:val="none" w:sz="0" w:space="0" w:color="auto"/>
        <w:bottom w:val="none" w:sz="0" w:space="0" w:color="auto"/>
        <w:right w:val="none" w:sz="0" w:space="0" w:color="auto"/>
      </w:divBdr>
    </w:div>
    <w:div w:id="320890786">
      <w:bodyDiv w:val="1"/>
      <w:marLeft w:val="0"/>
      <w:marRight w:val="0"/>
      <w:marTop w:val="0"/>
      <w:marBottom w:val="0"/>
      <w:divBdr>
        <w:top w:val="none" w:sz="0" w:space="0" w:color="auto"/>
        <w:left w:val="none" w:sz="0" w:space="0" w:color="auto"/>
        <w:bottom w:val="none" w:sz="0" w:space="0" w:color="auto"/>
        <w:right w:val="none" w:sz="0" w:space="0" w:color="auto"/>
      </w:divBdr>
    </w:div>
    <w:div w:id="320931812">
      <w:bodyDiv w:val="1"/>
      <w:marLeft w:val="0"/>
      <w:marRight w:val="0"/>
      <w:marTop w:val="0"/>
      <w:marBottom w:val="0"/>
      <w:divBdr>
        <w:top w:val="none" w:sz="0" w:space="0" w:color="auto"/>
        <w:left w:val="none" w:sz="0" w:space="0" w:color="auto"/>
        <w:bottom w:val="none" w:sz="0" w:space="0" w:color="auto"/>
        <w:right w:val="none" w:sz="0" w:space="0" w:color="auto"/>
      </w:divBdr>
    </w:div>
    <w:div w:id="321081235">
      <w:bodyDiv w:val="1"/>
      <w:marLeft w:val="0"/>
      <w:marRight w:val="0"/>
      <w:marTop w:val="0"/>
      <w:marBottom w:val="0"/>
      <w:divBdr>
        <w:top w:val="none" w:sz="0" w:space="0" w:color="auto"/>
        <w:left w:val="none" w:sz="0" w:space="0" w:color="auto"/>
        <w:bottom w:val="none" w:sz="0" w:space="0" w:color="auto"/>
        <w:right w:val="none" w:sz="0" w:space="0" w:color="auto"/>
      </w:divBdr>
    </w:div>
    <w:div w:id="321086802">
      <w:bodyDiv w:val="1"/>
      <w:marLeft w:val="0"/>
      <w:marRight w:val="0"/>
      <w:marTop w:val="0"/>
      <w:marBottom w:val="0"/>
      <w:divBdr>
        <w:top w:val="none" w:sz="0" w:space="0" w:color="auto"/>
        <w:left w:val="none" w:sz="0" w:space="0" w:color="auto"/>
        <w:bottom w:val="none" w:sz="0" w:space="0" w:color="auto"/>
        <w:right w:val="none" w:sz="0" w:space="0" w:color="auto"/>
      </w:divBdr>
    </w:div>
    <w:div w:id="321200032">
      <w:bodyDiv w:val="1"/>
      <w:marLeft w:val="0"/>
      <w:marRight w:val="0"/>
      <w:marTop w:val="0"/>
      <w:marBottom w:val="0"/>
      <w:divBdr>
        <w:top w:val="none" w:sz="0" w:space="0" w:color="auto"/>
        <w:left w:val="none" w:sz="0" w:space="0" w:color="auto"/>
        <w:bottom w:val="none" w:sz="0" w:space="0" w:color="auto"/>
        <w:right w:val="none" w:sz="0" w:space="0" w:color="auto"/>
      </w:divBdr>
    </w:div>
    <w:div w:id="321204804">
      <w:bodyDiv w:val="1"/>
      <w:marLeft w:val="0"/>
      <w:marRight w:val="0"/>
      <w:marTop w:val="0"/>
      <w:marBottom w:val="0"/>
      <w:divBdr>
        <w:top w:val="none" w:sz="0" w:space="0" w:color="auto"/>
        <w:left w:val="none" w:sz="0" w:space="0" w:color="auto"/>
        <w:bottom w:val="none" w:sz="0" w:space="0" w:color="auto"/>
        <w:right w:val="none" w:sz="0" w:space="0" w:color="auto"/>
      </w:divBdr>
    </w:div>
    <w:div w:id="321205261">
      <w:bodyDiv w:val="1"/>
      <w:marLeft w:val="0"/>
      <w:marRight w:val="0"/>
      <w:marTop w:val="0"/>
      <w:marBottom w:val="0"/>
      <w:divBdr>
        <w:top w:val="none" w:sz="0" w:space="0" w:color="auto"/>
        <w:left w:val="none" w:sz="0" w:space="0" w:color="auto"/>
        <w:bottom w:val="none" w:sz="0" w:space="0" w:color="auto"/>
        <w:right w:val="none" w:sz="0" w:space="0" w:color="auto"/>
      </w:divBdr>
    </w:div>
    <w:div w:id="321280739">
      <w:bodyDiv w:val="1"/>
      <w:marLeft w:val="0"/>
      <w:marRight w:val="0"/>
      <w:marTop w:val="0"/>
      <w:marBottom w:val="0"/>
      <w:divBdr>
        <w:top w:val="none" w:sz="0" w:space="0" w:color="auto"/>
        <w:left w:val="none" w:sz="0" w:space="0" w:color="auto"/>
        <w:bottom w:val="none" w:sz="0" w:space="0" w:color="auto"/>
        <w:right w:val="none" w:sz="0" w:space="0" w:color="auto"/>
      </w:divBdr>
    </w:div>
    <w:div w:id="321281547">
      <w:bodyDiv w:val="1"/>
      <w:marLeft w:val="0"/>
      <w:marRight w:val="0"/>
      <w:marTop w:val="0"/>
      <w:marBottom w:val="0"/>
      <w:divBdr>
        <w:top w:val="none" w:sz="0" w:space="0" w:color="auto"/>
        <w:left w:val="none" w:sz="0" w:space="0" w:color="auto"/>
        <w:bottom w:val="none" w:sz="0" w:space="0" w:color="auto"/>
        <w:right w:val="none" w:sz="0" w:space="0" w:color="auto"/>
      </w:divBdr>
    </w:div>
    <w:div w:id="321390471">
      <w:bodyDiv w:val="1"/>
      <w:marLeft w:val="0"/>
      <w:marRight w:val="0"/>
      <w:marTop w:val="0"/>
      <w:marBottom w:val="0"/>
      <w:divBdr>
        <w:top w:val="none" w:sz="0" w:space="0" w:color="auto"/>
        <w:left w:val="none" w:sz="0" w:space="0" w:color="auto"/>
        <w:bottom w:val="none" w:sz="0" w:space="0" w:color="auto"/>
        <w:right w:val="none" w:sz="0" w:space="0" w:color="auto"/>
      </w:divBdr>
    </w:div>
    <w:div w:id="321466482">
      <w:bodyDiv w:val="1"/>
      <w:marLeft w:val="0"/>
      <w:marRight w:val="0"/>
      <w:marTop w:val="0"/>
      <w:marBottom w:val="0"/>
      <w:divBdr>
        <w:top w:val="none" w:sz="0" w:space="0" w:color="auto"/>
        <w:left w:val="none" w:sz="0" w:space="0" w:color="auto"/>
        <w:bottom w:val="none" w:sz="0" w:space="0" w:color="auto"/>
        <w:right w:val="none" w:sz="0" w:space="0" w:color="auto"/>
      </w:divBdr>
    </w:div>
    <w:div w:id="321474808">
      <w:bodyDiv w:val="1"/>
      <w:marLeft w:val="0"/>
      <w:marRight w:val="0"/>
      <w:marTop w:val="0"/>
      <w:marBottom w:val="0"/>
      <w:divBdr>
        <w:top w:val="none" w:sz="0" w:space="0" w:color="auto"/>
        <w:left w:val="none" w:sz="0" w:space="0" w:color="auto"/>
        <w:bottom w:val="none" w:sz="0" w:space="0" w:color="auto"/>
        <w:right w:val="none" w:sz="0" w:space="0" w:color="auto"/>
      </w:divBdr>
    </w:div>
    <w:div w:id="321542450">
      <w:bodyDiv w:val="1"/>
      <w:marLeft w:val="0"/>
      <w:marRight w:val="0"/>
      <w:marTop w:val="0"/>
      <w:marBottom w:val="0"/>
      <w:divBdr>
        <w:top w:val="none" w:sz="0" w:space="0" w:color="auto"/>
        <w:left w:val="none" w:sz="0" w:space="0" w:color="auto"/>
        <w:bottom w:val="none" w:sz="0" w:space="0" w:color="auto"/>
        <w:right w:val="none" w:sz="0" w:space="0" w:color="auto"/>
      </w:divBdr>
    </w:div>
    <w:div w:id="321593194">
      <w:bodyDiv w:val="1"/>
      <w:marLeft w:val="0"/>
      <w:marRight w:val="0"/>
      <w:marTop w:val="0"/>
      <w:marBottom w:val="0"/>
      <w:divBdr>
        <w:top w:val="none" w:sz="0" w:space="0" w:color="auto"/>
        <w:left w:val="none" w:sz="0" w:space="0" w:color="auto"/>
        <w:bottom w:val="none" w:sz="0" w:space="0" w:color="auto"/>
        <w:right w:val="none" w:sz="0" w:space="0" w:color="auto"/>
      </w:divBdr>
    </w:div>
    <w:div w:id="321617050">
      <w:bodyDiv w:val="1"/>
      <w:marLeft w:val="0"/>
      <w:marRight w:val="0"/>
      <w:marTop w:val="0"/>
      <w:marBottom w:val="0"/>
      <w:divBdr>
        <w:top w:val="none" w:sz="0" w:space="0" w:color="auto"/>
        <w:left w:val="none" w:sz="0" w:space="0" w:color="auto"/>
        <w:bottom w:val="none" w:sz="0" w:space="0" w:color="auto"/>
        <w:right w:val="none" w:sz="0" w:space="0" w:color="auto"/>
      </w:divBdr>
    </w:div>
    <w:div w:id="321741320">
      <w:bodyDiv w:val="1"/>
      <w:marLeft w:val="0"/>
      <w:marRight w:val="0"/>
      <w:marTop w:val="0"/>
      <w:marBottom w:val="0"/>
      <w:divBdr>
        <w:top w:val="none" w:sz="0" w:space="0" w:color="auto"/>
        <w:left w:val="none" w:sz="0" w:space="0" w:color="auto"/>
        <w:bottom w:val="none" w:sz="0" w:space="0" w:color="auto"/>
        <w:right w:val="none" w:sz="0" w:space="0" w:color="auto"/>
      </w:divBdr>
    </w:div>
    <w:div w:id="321782216">
      <w:bodyDiv w:val="1"/>
      <w:marLeft w:val="0"/>
      <w:marRight w:val="0"/>
      <w:marTop w:val="0"/>
      <w:marBottom w:val="0"/>
      <w:divBdr>
        <w:top w:val="none" w:sz="0" w:space="0" w:color="auto"/>
        <w:left w:val="none" w:sz="0" w:space="0" w:color="auto"/>
        <w:bottom w:val="none" w:sz="0" w:space="0" w:color="auto"/>
        <w:right w:val="none" w:sz="0" w:space="0" w:color="auto"/>
      </w:divBdr>
    </w:div>
    <w:div w:id="321811999">
      <w:bodyDiv w:val="1"/>
      <w:marLeft w:val="0"/>
      <w:marRight w:val="0"/>
      <w:marTop w:val="0"/>
      <w:marBottom w:val="0"/>
      <w:divBdr>
        <w:top w:val="none" w:sz="0" w:space="0" w:color="auto"/>
        <w:left w:val="none" w:sz="0" w:space="0" w:color="auto"/>
        <w:bottom w:val="none" w:sz="0" w:space="0" w:color="auto"/>
        <w:right w:val="none" w:sz="0" w:space="0" w:color="auto"/>
      </w:divBdr>
    </w:div>
    <w:div w:id="321929452">
      <w:bodyDiv w:val="1"/>
      <w:marLeft w:val="0"/>
      <w:marRight w:val="0"/>
      <w:marTop w:val="0"/>
      <w:marBottom w:val="0"/>
      <w:divBdr>
        <w:top w:val="none" w:sz="0" w:space="0" w:color="auto"/>
        <w:left w:val="none" w:sz="0" w:space="0" w:color="auto"/>
        <w:bottom w:val="none" w:sz="0" w:space="0" w:color="auto"/>
        <w:right w:val="none" w:sz="0" w:space="0" w:color="auto"/>
      </w:divBdr>
    </w:div>
    <w:div w:id="322315449">
      <w:bodyDiv w:val="1"/>
      <w:marLeft w:val="0"/>
      <w:marRight w:val="0"/>
      <w:marTop w:val="0"/>
      <w:marBottom w:val="0"/>
      <w:divBdr>
        <w:top w:val="none" w:sz="0" w:space="0" w:color="auto"/>
        <w:left w:val="none" w:sz="0" w:space="0" w:color="auto"/>
        <w:bottom w:val="none" w:sz="0" w:space="0" w:color="auto"/>
        <w:right w:val="none" w:sz="0" w:space="0" w:color="auto"/>
      </w:divBdr>
    </w:div>
    <w:div w:id="322315514">
      <w:bodyDiv w:val="1"/>
      <w:marLeft w:val="0"/>
      <w:marRight w:val="0"/>
      <w:marTop w:val="0"/>
      <w:marBottom w:val="0"/>
      <w:divBdr>
        <w:top w:val="none" w:sz="0" w:space="0" w:color="auto"/>
        <w:left w:val="none" w:sz="0" w:space="0" w:color="auto"/>
        <w:bottom w:val="none" w:sz="0" w:space="0" w:color="auto"/>
        <w:right w:val="none" w:sz="0" w:space="0" w:color="auto"/>
      </w:divBdr>
    </w:div>
    <w:div w:id="322441653">
      <w:bodyDiv w:val="1"/>
      <w:marLeft w:val="0"/>
      <w:marRight w:val="0"/>
      <w:marTop w:val="0"/>
      <w:marBottom w:val="0"/>
      <w:divBdr>
        <w:top w:val="none" w:sz="0" w:space="0" w:color="auto"/>
        <w:left w:val="none" w:sz="0" w:space="0" w:color="auto"/>
        <w:bottom w:val="none" w:sz="0" w:space="0" w:color="auto"/>
        <w:right w:val="none" w:sz="0" w:space="0" w:color="auto"/>
      </w:divBdr>
    </w:div>
    <w:div w:id="322590109">
      <w:bodyDiv w:val="1"/>
      <w:marLeft w:val="0"/>
      <w:marRight w:val="0"/>
      <w:marTop w:val="0"/>
      <w:marBottom w:val="0"/>
      <w:divBdr>
        <w:top w:val="none" w:sz="0" w:space="0" w:color="auto"/>
        <w:left w:val="none" w:sz="0" w:space="0" w:color="auto"/>
        <w:bottom w:val="none" w:sz="0" w:space="0" w:color="auto"/>
        <w:right w:val="none" w:sz="0" w:space="0" w:color="auto"/>
      </w:divBdr>
    </w:div>
    <w:div w:id="322665103">
      <w:bodyDiv w:val="1"/>
      <w:marLeft w:val="0"/>
      <w:marRight w:val="0"/>
      <w:marTop w:val="0"/>
      <w:marBottom w:val="0"/>
      <w:divBdr>
        <w:top w:val="none" w:sz="0" w:space="0" w:color="auto"/>
        <w:left w:val="none" w:sz="0" w:space="0" w:color="auto"/>
        <w:bottom w:val="none" w:sz="0" w:space="0" w:color="auto"/>
        <w:right w:val="none" w:sz="0" w:space="0" w:color="auto"/>
      </w:divBdr>
    </w:div>
    <w:div w:id="322705086">
      <w:bodyDiv w:val="1"/>
      <w:marLeft w:val="0"/>
      <w:marRight w:val="0"/>
      <w:marTop w:val="0"/>
      <w:marBottom w:val="0"/>
      <w:divBdr>
        <w:top w:val="none" w:sz="0" w:space="0" w:color="auto"/>
        <w:left w:val="none" w:sz="0" w:space="0" w:color="auto"/>
        <w:bottom w:val="none" w:sz="0" w:space="0" w:color="auto"/>
        <w:right w:val="none" w:sz="0" w:space="0" w:color="auto"/>
      </w:divBdr>
    </w:div>
    <w:div w:id="322784827">
      <w:bodyDiv w:val="1"/>
      <w:marLeft w:val="0"/>
      <w:marRight w:val="0"/>
      <w:marTop w:val="0"/>
      <w:marBottom w:val="0"/>
      <w:divBdr>
        <w:top w:val="none" w:sz="0" w:space="0" w:color="auto"/>
        <w:left w:val="none" w:sz="0" w:space="0" w:color="auto"/>
        <w:bottom w:val="none" w:sz="0" w:space="0" w:color="auto"/>
        <w:right w:val="none" w:sz="0" w:space="0" w:color="auto"/>
      </w:divBdr>
    </w:div>
    <w:div w:id="322855126">
      <w:bodyDiv w:val="1"/>
      <w:marLeft w:val="0"/>
      <w:marRight w:val="0"/>
      <w:marTop w:val="0"/>
      <w:marBottom w:val="0"/>
      <w:divBdr>
        <w:top w:val="none" w:sz="0" w:space="0" w:color="auto"/>
        <w:left w:val="none" w:sz="0" w:space="0" w:color="auto"/>
        <w:bottom w:val="none" w:sz="0" w:space="0" w:color="auto"/>
        <w:right w:val="none" w:sz="0" w:space="0" w:color="auto"/>
      </w:divBdr>
    </w:div>
    <w:div w:id="322978382">
      <w:bodyDiv w:val="1"/>
      <w:marLeft w:val="0"/>
      <w:marRight w:val="0"/>
      <w:marTop w:val="0"/>
      <w:marBottom w:val="0"/>
      <w:divBdr>
        <w:top w:val="none" w:sz="0" w:space="0" w:color="auto"/>
        <w:left w:val="none" w:sz="0" w:space="0" w:color="auto"/>
        <w:bottom w:val="none" w:sz="0" w:space="0" w:color="auto"/>
        <w:right w:val="none" w:sz="0" w:space="0" w:color="auto"/>
      </w:divBdr>
    </w:div>
    <w:div w:id="323053477">
      <w:bodyDiv w:val="1"/>
      <w:marLeft w:val="0"/>
      <w:marRight w:val="0"/>
      <w:marTop w:val="0"/>
      <w:marBottom w:val="0"/>
      <w:divBdr>
        <w:top w:val="none" w:sz="0" w:space="0" w:color="auto"/>
        <w:left w:val="none" w:sz="0" w:space="0" w:color="auto"/>
        <w:bottom w:val="none" w:sz="0" w:space="0" w:color="auto"/>
        <w:right w:val="none" w:sz="0" w:space="0" w:color="auto"/>
      </w:divBdr>
    </w:div>
    <w:div w:id="323242984">
      <w:bodyDiv w:val="1"/>
      <w:marLeft w:val="0"/>
      <w:marRight w:val="0"/>
      <w:marTop w:val="0"/>
      <w:marBottom w:val="0"/>
      <w:divBdr>
        <w:top w:val="none" w:sz="0" w:space="0" w:color="auto"/>
        <w:left w:val="none" w:sz="0" w:space="0" w:color="auto"/>
        <w:bottom w:val="none" w:sz="0" w:space="0" w:color="auto"/>
        <w:right w:val="none" w:sz="0" w:space="0" w:color="auto"/>
      </w:divBdr>
    </w:div>
    <w:div w:id="323508763">
      <w:bodyDiv w:val="1"/>
      <w:marLeft w:val="0"/>
      <w:marRight w:val="0"/>
      <w:marTop w:val="0"/>
      <w:marBottom w:val="0"/>
      <w:divBdr>
        <w:top w:val="none" w:sz="0" w:space="0" w:color="auto"/>
        <w:left w:val="none" w:sz="0" w:space="0" w:color="auto"/>
        <w:bottom w:val="none" w:sz="0" w:space="0" w:color="auto"/>
        <w:right w:val="none" w:sz="0" w:space="0" w:color="auto"/>
      </w:divBdr>
    </w:div>
    <w:div w:id="323557512">
      <w:bodyDiv w:val="1"/>
      <w:marLeft w:val="0"/>
      <w:marRight w:val="0"/>
      <w:marTop w:val="0"/>
      <w:marBottom w:val="0"/>
      <w:divBdr>
        <w:top w:val="none" w:sz="0" w:space="0" w:color="auto"/>
        <w:left w:val="none" w:sz="0" w:space="0" w:color="auto"/>
        <w:bottom w:val="none" w:sz="0" w:space="0" w:color="auto"/>
        <w:right w:val="none" w:sz="0" w:space="0" w:color="auto"/>
      </w:divBdr>
    </w:div>
    <w:div w:id="323775523">
      <w:bodyDiv w:val="1"/>
      <w:marLeft w:val="0"/>
      <w:marRight w:val="0"/>
      <w:marTop w:val="0"/>
      <w:marBottom w:val="0"/>
      <w:divBdr>
        <w:top w:val="none" w:sz="0" w:space="0" w:color="auto"/>
        <w:left w:val="none" w:sz="0" w:space="0" w:color="auto"/>
        <w:bottom w:val="none" w:sz="0" w:space="0" w:color="auto"/>
        <w:right w:val="none" w:sz="0" w:space="0" w:color="auto"/>
      </w:divBdr>
    </w:div>
    <w:div w:id="323820681">
      <w:bodyDiv w:val="1"/>
      <w:marLeft w:val="0"/>
      <w:marRight w:val="0"/>
      <w:marTop w:val="0"/>
      <w:marBottom w:val="0"/>
      <w:divBdr>
        <w:top w:val="none" w:sz="0" w:space="0" w:color="auto"/>
        <w:left w:val="none" w:sz="0" w:space="0" w:color="auto"/>
        <w:bottom w:val="none" w:sz="0" w:space="0" w:color="auto"/>
        <w:right w:val="none" w:sz="0" w:space="0" w:color="auto"/>
      </w:divBdr>
    </w:div>
    <w:div w:id="323826367">
      <w:bodyDiv w:val="1"/>
      <w:marLeft w:val="0"/>
      <w:marRight w:val="0"/>
      <w:marTop w:val="0"/>
      <w:marBottom w:val="0"/>
      <w:divBdr>
        <w:top w:val="none" w:sz="0" w:space="0" w:color="auto"/>
        <w:left w:val="none" w:sz="0" w:space="0" w:color="auto"/>
        <w:bottom w:val="none" w:sz="0" w:space="0" w:color="auto"/>
        <w:right w:val="none" w:sz="0" w:space="0" w:color="auto"/>
      </w:divBdr>
    </w:div>
    <w:div w:id="323893692">
      <w:bodyDiv w:val="1"/>
      <w:marLeft w:val="0"/>
      <w:marRight w:val="0"/>
      <w:marTop w:val="0"/>
      <w:marBottom w:val="0"/>
      <w:divBdr>
        <w:top w:val="none" w:sz="0" w:space="0" w:color="auto"/>
        <w:left w:val="none" w:sz="0" w:space="0" w:color="auto"/>
        <w:bottom w:val="none" w:sz="0" w:space="0" w:color="auto"/>
        <w:right w:val="none" w:sz="0" w:space="0" w:color="auto"/>
      </w:divBdr>
    </w:div>
    <w:div w:id="323897009">
      <w:bodyDiv w:val="1"/>
      <w:marLeft w:val="0"/>
      <w:marRight w:val="0"/>
      <w:marTop w:val="0"/>
      <w:marBottom w:val="0"/>
      <w:divBdr>
        <w:top w:val="none" w:sz="0" w:space="0" w:color="auto"/>
        <w:left w:val="none" w:sz="0" w:space="0" w:color="auto"/>
        <w:bottom w:val="none" w:sz="0" w:space="0" w:color="auto"/>
        <w:right w:val="none" w:sz="0" w:space="0" w:color="auto"/>
      </w:divBdr>
    </w:div>
    <w:div w:id="324020408">
      <w:bodyDiv w:val="1"/>
      <w:marLeft w:val="0"/>
      <w:marRight w:val="0"/>
      <w:marTop w:val="0"/>
      <w:marBottom w:val="0"/>
      <w:divBdr>
        <w:top w:val="none" w:sz="0" w:space="0" w:color="auto"/>
        <w:left w:val="none" w:sz="0" w:space="0" w:color="auto"/>
        <w:bottom w:val="none" w:sz="0" w:space="0" w:color="auto"/>
        <w:right w:val="none" w:sz="0" w:space="0" w:color="auto"/>
      </w:divBdr>
    </w:div>
    <w:div w:id="324091288">
      <w:bodyDiv w:val="1"/>
      <w:marLeft w:val="0"/>
      <w:marRight w:val="0"/>
      <w:marTop w:val="0"/>
      <w:marBottom w:val="0"/>
      <w:divBdr>
        <w:top w:val="none" w:sz="0" w:space="0" w:color="auto"/>
        <w:left w:val="none" w:sz="0" w:space="0" w:color="auto"/>
        <w:bottom w:val="none" w:sz="0" w:space="0" w:color="auto"/>
        <w:right w:val="none" w:sz="0" w:space="0" w:color="auto"/>
      </w:divBdr>
    </w:div>
    <w:div w:id="324237577">
      <w:bodyDiv w:val="1"/>
      <w:marLeft w:val="0"/>
      <w:marRight w:val="0"/>
      <w:marTop w:val="0"/>
      <w:marBottom w:val="0"/>
      <w:divBdr>
        <w:top w:val="none" w:sz="0" w:space="0" w:color="auto"/>
        <w:left w:val="none" w:sz="0" w:space="0" w:color="auto"/>
        <w:bottom w:val="none" w:sz="0" w:space="0" w:color="auto"/>
        <w:right w:val="none" w:sz="0" w:space="0" w:color="auto"/>
      </w:divBdr>
    </w:div>
    <w:div w:id="324289432">
      <w:bodyDiv w:val="1"/>
      <w:marLeft w:val="0"/>
      <w:marRight w:val="0"/>
      <w:marTop w:val="0"/>
      <w:marBottom w:val="0"/>
      <w:divBdr>
        <w:top w:val="none" w:sz="0" w:space="0" w:color="auto"/>
        <w:left w:val="none" w:sz="0" w:space="0" w:color="auto"/>
        <w:bottom w:val="none" w:sz="0" w:space="0" w:color="auto"/>
        <w:right w:val="none" w:sz="0" w:space="0" w:color="auto"/>
      </w:divBdr>
    </w:div>
    <w:div w:id="324433304">
      <w:bodyDiv w:val="1"/>
      <w:marLeft w:val="0"/>
      <w:marRight w:val="0"/>
      <w:marTop w:val="0"/>
      <w:marBottom w:val="0"/>
      <w:divBdr>
        <w:top w:val="none" w:sz="0" w:space="0" w:color="auto"/>
        <w:left w:val="none" w:sz="0" w:space="0" w:color="auto"/>
        <w:bottom w:val="none" w:sz="0" w:space="0" w:color="auto"/>
        <w:right w:val="none" w:sz="0" w:space="0" w:color="auto"/>
      </w:divBdr>
    </w:div>
    <w:div w:id="324631986">
      <w:bodyDiv w:val="1"/>
      <w:marLeft w:val="0"/>
      <w:marRight w:val="0"/>
      <w:marTop w:val="0"/>
      <w:marBottom w:val="0"/>
      <w:divBdr>
        <w:top w:val="none" w:sz="0" w:space="0" w:color="auto"/>
        <w:left w:val="none" w:sz="0" w:space="0" w:color="auto"/>
        <w:bottom w:val="none" w:sz="0" w:space="0" w:color="auto"/>
        <w:right w:val="none" w:sz="0" w:space="0" w:color="auto"/>
      </w:divBdr>
    </w:div>
    <w:div w:id="324670788">
      <w:bodyDiv w:val="1"/>
      <w:marLeft w:val="0"/>
      <w:marRight w:val="0"/>
      <w:marTop w:val="0"/>
      <w:marBottom w:val="0"/>
      <w:divBdr>
        <w:top w:val="none" w:sz="0" w:space="0" w:color="auto"/>
        <w:left w:val="none" w:sz="0" w:space="0" w:color="auto"/>
        <w:bottom w:val="none" w:sz="0" w:space="0" w:color="auto"/>
        <w:right w:val="none" w:sz="0" w:space="0" w:color="auto"/>
      </w:divBdr>
    </w:div>
    <w:div w:id="324750866">
      <w:bodyDiv w:val="1"/>
      <w:marLeft w:val="0"/>
      <w:marRight w:val="0"/>
      <w:marTop w:val="0"/>
      <w:marBottom w:val="0"/>
      <w:divBdr>
        <w:top w:val="none" w:sz="0" w:space="0" w:color="auto"/>
        <w:left w:val="none" w:sz="0" w:space="0" w:color="auto"/>
        <w:bottom w:val="none" w:sz="0" w:space="0" w:color="auto"/>
        <w:right w:val="none" w:sz="0" w:space="0" w:color="auto"/>
      </w:divBdr>
    </w:div>
    <w:div w:id="324864539">
      <w:bodyDiv w:val="1"/>
      <w:marLeft w:val="0"/>
      <w:marRight w:val="0"/>
      <w:marTop w:val="0"/>
      <w:marBottom w:val="0"/>
      <w:divBdr>
        <w:top w:val="none" w:sz="0" w:space="0" w:color="auto"/>
        <w:left w:val="none" w:sz="0" w:space="0" w:color="auto"/>
        <w:bottom w:val="none" w:sz="0" w:space="0" w:color="auto"/>
        <w:right w:val="none" w:sz="0" w:space="0" w:color="auto"/>
      </w:divBdr>
    </w:div>
    <w:div w:id="324943570">
      <w:bodyDiv w:val="1"/>
      <w:marLeft w:val="0"/>
      <w:marRight w:val="0"/>
      <w:marTop w:val="0"/>
      <w:marBottom w:val="0"/>
      <w:divBdr>
        <w:top w:val="none" w:sz="0" w:space="0" w:color="auto"/>
        <w:left w:val="none" w:sz="0" w:space="0" w:color="auto"/>
        <w:bottom w:val="none" w:sz="0" w:space="0" w:color="auto"/>
        <w:right w:val="none" w:sz="0" w:space="0" w:color="auto"/>
      </w:divBdr>
    </w:div>
    <w:div w:id="325013257">
      <w:bodyDiv w:val="1"/>
      <w:marLeft w:val="0"/>
      <w:marRight w:val="0"/>
      <w:marTop w:val="0"/>
      <w:marBottom w:val="0"/>
      <w:divBdr>
        <w:top w:val="none" w:sz="0" w:space="0" w:color="auto"/>
        <w:left w:val="none" w:sz="0" w:space="0" w:color="auto"/>
        <w:bottom w:val="none" w:sz="0" w:space="0" w:color="auto"/>
        <w:right w:val="none" w:sz="0" w:space="0" w:color="auto"/>
      </w:divBdr>
    </w:div>
    <w:div w:id="325019834">
      <w:bodyDiv w:val="1"/>
      <w:marLeft w:val="0"/>
      <w:marRight w:val="0"/>
      <w:marTop w:val="0"/>
      <w:marBottom w:val="0"/>
      <w:divBdr>
        <w:top w:val="none" w:sz="0" w:space="0" w:color="auto"/>
        <w:left w:val="none" w:sz="0" w:space="0" w:color="auto"/>
        <w:bottom w:val="none" w:sz="0" w:space="0" w:color="auto"/>
        <w:right w:val="none" w:sz="0" w:space="0" w:color="auto"/>
      </w:divBdr>
    </w:div>
    <w:div w:id="325134547">
      <w:bodyDiv w:val="1"/>
      <w:marLeft w:val="0"/>
      <w:marRight w:val="0"/>
      <w:marTop w:val="0"/>
      <w:marBottom w:val="0"/>
      <w:divBdr>
        <w:top w:val="none" w:sz="0" w:space="0" w:color="auto"/>
        <w:left w:val="none" w:sz="0" w:space="0" w:color="auto"/>
        <w:bottom w:val="none" w:sz="0" w:space="0" w:color="auto"/>
        <w:right w:val="none" w:sz="0" w:space="0" w:color="auto"/>
      </w:divBdr>
    </w:div>
    <w:div w:id="325212014">
      <w:bodyDiv w:val="1"/>
      <w:marLeft w:val="0"/>
      <w:marRight w:val="0"/>
      <w:marTop w:val="0"/>
      <w:marBottom w:val="0"/>
      <w:divBdr>
        <w:top w:val="none" w:sz="0" w:space="0" w:color="auto"/>
        <w:left w:val="none" w:sz="0" w:space="0" w:color="auto"/>
        <w:bottom w:val="none" w:sz="0" w:space="0" w:color="auto"/>
        <w:right w:val="none" w:sz="0" w:space="0" w:color="auto"/>
      </w:divBdr>
    </w:div>
    <w:div w:id="325213078">
      <w:bodyDiv w:val="1"/>
      <w:marLeft w:val="0"/>
      <w:marRight w:val="0"/>
      <w:marTop w:val="0"/>
      <w:marBottom w:val="0"/>
      <w:divBdr>
        <w:top w:val="none" w:sz="0" w:space="0" w:color="auto"/>
        <w:left w:val="none" w:sz="0" w:space="0" w:color="auto"/>
        <w:bottom w:val="none" w:sz="0" w:space="0" w:color="auto"/>
        <w:right w:val="none" w:sz="0" w:space="0" w:color="auto"/>
      </w:divBdr>
    </w:div>
    <w:div w:id="325281432">
      <w:bodyDiv w:val="1"/>
      <w:marLeft w:val="0"/>
      <w:marRight w:val="0"/>
      <w:marTop w:val="0"/>
      <w:marBottom w:val="0"/>
      <w:divBdr>
        <w:top w:val="none" w:sz="0" w:space="0" w:color="auto"/>
        <w:left w:val="none" w:sz="0" w:space="0" w:color="auto"/>
        <w:bottom w:val="none" w:sz="0" w:space="0" w:color="auto"/>
        <w:right w:val="none" w:sz="0" w:space="0" w:color="auto"/>
      </w:divBdr>
    </w:div>
    <w:div w:id="325323371">
      <w:bodyDiv w:val="1"/>
      <w:marLeft w:val="0"/>
      <w:marRight w:val="0"/>
      <w:marTop w:val="0"/>
      <w:marBottom w:val="0"/>
      <w:divBdr>
        <w:top w:val="none" w:sz="0" w:space="0" w:color="auto"/>
        <w:left w:val="none" w:sz="0" w:space="0" w:color="auto"/>
        <w:bottom w:val="none" w:sz="0" w:space="0" w:color="auto"/>
        <w:right w:val="none" w:sz="0" w:space="0" w:color="auto"/>
      </w:divBdr>
    </w:div>
    <w:div w:id="325404376">
      <w:bodyDiv w:val="1"/>
      <w:marLeft w:val="0"/>
      <w:marRight w:val="0"/>
      <w:marTop w:val="0"/>
      <w:marBottom w:val="0"/>
      <w:divBdr>
        <w:top w:val="none" w:sz="0" w:space="0" w:color="auto"/>
        <w:left w:val="none" w:sz="0" w:space="0" w:color="auto"/>
        <w:bottom w:val="none" w:sz="0" w:space="0" w:color="auto"/>
        <w:right w:val="none" w:sz="0" w:space="0" w:color="auto"/>
      </w:divBdr>
    </w:div>
    <w:div w:id="325473845">
      <w:bodyDiv w:val="1"/>
      <w:marLeft w:val="0"/>
      <w:marRight w:val="0"/>
      <w:marTop w:val="0"/>
      <w:marBottom w:val="0"/>
      <w:divBdr>
        <w:top w:val="none" w:sz="0" w:space="0" w:color="auto"/>
        <w:left w:val="none" w:sz="0" w:space="0" w:color="auto"/>
        <w:bottom w:val="none" w:sz="0" w:space="0" w:color="auto"/>
        <w:right w:val="none" w:sz="0" w:space="0" w:color="auto"/>
      </w:divBdr>
    </w:div>
    <w:div w:id="325478318">
      <w:bodyDiv w:val="1"/>
      <w:marLeft w:val="0"/>
      <w:marRight w:val="0"/>
      <w:marTop w:val="0"/>
      <w:marBottom w:val="0"/>
      <w:divBdr>
        <w:top w:val="none" w:sz="0" w:space="0" w:color="auto"/>
        <w:left w:val="none" w:sz="0" w:space="0" w:color="auto"/>
        <w:bottom w:val="none" w:sz="0" w:space="0" w:color="auto"/>
        <w:right w:val="none" w:sz="0" w:space="0" w:color="auto"/>
      </w:divBdr>
    </w:div>
    <w:div w:id="325481130">
      <w:bodyDiv w:val="1"/>
      <w:marLeft w:val="0"/>
      <w:marRight w:val="0"/>
      <w:marTop w:val="0"/>
      <w:marBottom w:val="0"/>
      <w:divBdr>
        <w:top w:val="none" w:sz="0" w:space="0" w:color="auto"/>
        <w:left w:val="none" w:sz="0" w:space="0" w:color="auto"/>
        <w:bottom w:val="none" w:sz="0" w:space="0" w:color="auto"/>
        <w:right w:val="none" w:sz="0" w:space="0" w:color="auto"/>
      </w:divBdr>
    </w:div>
    <w:div w:id="325523062">
      <w:bodyDiv w:val="1"/>
      <w:marLeft w:val="0"/>
      <w:marRight w:val="0"/>
      <w:marTop w:val="0"/>
      <w:marBottom w:val="0"/>
      <w:divBdr>
        <w:top w:val="none" w:sz="0" w:space="0" w:color="auto"/>
        <w:left w:val="none" w:sz="0" w:space="0" w:color="auto"/>
        <w:bottom w:val="none" w:sz="0" w:space="0" w:color="auto"/>
        <w:right w:val="none" w:sz="0" w:space="0" w:color="auto"/>
      </w:divBdr>
    </w:div>
    <w:div w:id="325591036">
      <w:bodyDiv w:val="1"/>
      <w:marLeft w:val="0"/>
      <w:marRight w:val="0"/>
      <w:marTop w:val="0"/>
      <w:marBottom w:val="0"/>
      <w:divBdr>
        <w:top w:val="none" w:sz="0" w:space="0" w:color="auto"/>
        <w:left w:val="none" w:sz="0" w:space="0" w:color="auto"/>
        <w:bottom w:val="none" w:sz="0" w:space="0" w:color="auto"/>
        <w:right w:val="none" w:sz="0" w:space="0" w:color="auto"/>
      </w:divBdr>
    </w:div>
    <w:div w:id="325665859">
      <w:bodyDiv w:val="1"/>
      <w:marLeft w:val="0"/>
      <w:marRight w:val="0"/>
      <w:marTop w:val="0"/>
      <w:marBottom w:val="0"/>
      <w:divBdr>
        <w:top w:val="none" w:sz="0" w:space="0" w:color="auto"/>
        <w:left w:val="none" w:sz="0" w:space="0" w:color="auto"/>
        <w:bottom w:val="none" w:sz="0" w:space="0" w:color="auto"/>
        <w:right w:val="none" w:sz="0" w:space="0" w:color="auto"/>
      </w:divBdr>
    </w:div>
    <w:div w:id="325666580">
      <w:bodyDiv w:val="1"/>
      <w:marLeft w:val="0"/>
      <w:marRight w:val="0"/>
      <w:marTop w:val="0"/>
      <w:marBottom w:val="0"/>
      <w:divBdr>
        <w:top w:val="none" w:sz="0" w:space="0" w:color="auto"/>
        <w:left w:val="none" w:sz="0" w:space="0" w:color="auto"/>
        <w:bottom w:val="none" w:sz="0" w:space="0" w:color="auto"/>
        <w:right w:val="none" w:sz="0" w:space="0" w:color="auto"/>
      </w:divBdr>
    </w:div>
    <w:div w:id="325668624">
      <w:bodyDiv w:val="1"/>
      <w:marLeft w:val="0"/>
      <w:marRight w:val="0"/>
      <w:marTop w:val="0"/>
      <w:marBottom w:val="0"/>
      <w:divBdr>
        <w:top w:val="none" w:sz="0" w:space="0" w:color="auto"/>
        <w:left w:val="none" w:sz="0" w:space="0" w:color="auto"/>
        <w:bottom w:val="none" w:sz="0" w:space="0" w:color="auto"/>
        <w:right w:val="none" w:sz="0" w:space="0" w:color="auto"/>
      </w:divBdr>
    </w:div>
    <w:div w:id="325790560">
      <w:bodyDiv w:val="1"/>
      <w:marLeft w:val="0"/>
      <w:marRight w:val="0"/>
      <w:marTop w:val="0"/>
      <w:marBottom w:val="0"/>
      <w:divBdr>
        <w:top w:val="none" w:sz="0" w:space="0" w:color="auto"/>
        <w:left w:val="none" w:sz="0" w:space="0" w:color="auto"/>
        <w:bottom w:val="none" w:sz="0" w:space="0" w:color="auto"/>
        <w:right w:val="none" w:sz="0" w:space="0" w:color="auto"/>
      </w:divBdr>
    </w:div>
    <w:div w:id="325793253">
      <w:bodyDiv w:val="1"/>
      <w:marLeft w:val="0"/>
      <w:marRight w:val="0"/>
      <w:marTop w:val="0"/>
      <w:marBottom w:val="0"/>
      <w:divBdr>
        <w:top w:val="none" w:sz="0" w:space="0" w:color="auto"/>
        <w:left w:val="none" w:sz="0" w:space="0" w:color="auto"/>
        <w:bottom w:val="none" w:sz="0" w:space="0" w:color="auto"/>
        <w:right w:val="none" w:sz="0" w:space="0" w:color="auto"/>
      </w:divBdr>
    </w:div>
    <w:div w:id="325938038">
      <w:bodyDiv w:val="1"/>
      <w:marLeft w:val="0"/>
      <w:marRight w:val="0"/>
      <w:marTop w:val="0"/>
      <w:marBottom w:val="0"/>
      <w:divBdr>
        <w:top w:val="none" w:sz="0" w:space="0" w:color="auto"/>
        <w:left w:val="none" w:sz="0" w:space="0" w:color="auto"/>
        <w:bottom w:val="none" w:sz="0" w:space="0" w:color="auto"/>
        <w:right w:val="none" w:sz="0" w:space="0" w:color="auto"/>
      </w:divBdr>
    </w:div>
    <w:div w:id="325984178">
      <w:bodyDiv w:val="1"/>
      <w:marLeft w:val="0"/>
      <w:marRight w:val="0"/>
      <w:marTop w:val="0"/>
      <w:marBottom w:val="0"/>
      <w:divBdr>
        <w:top w:val="none" w:sz="0" w:space="0" w:color="auto"/>
        <w:left w:val="none" w:sz="0" w:space="0" w:color="auto"/>
        <w:bottom w:val="none" w:sz="0" w:space="0" w:color="auto"/>
        <w:right w:val="none" w:sz="0" w:space="0" w:color="auto"/>
      </w:divBdr>
    </w:div>
    <w:div w:id="325985888">
      <w:bodyDiv w:val="1"/>
      <w:marLeft w:val="0"/>
      <w:marRight w:val="0"/>
      <w:marTop w:val="0"/>
      <w:marBottom w:val="0"/>
      <w:divBdr>
        <w:top w:val="none" w:sz="0" w:space="0" w:color="auto"/>
        <w:left w:val="none" w:sz="0" w:space="0" w:color="auto"/>
        <w:bottom w:val="none" w:sz="0" w:space="0" w:color="auto"/>
        <w:right w:val="none" w:sz="0" w:space="0" w:color="auto"/>
      </w:divBdr>
    </w:div>
    <w:div w:id="326061714">
      <w:bodyDiv w:val="1"/>
      <w:marLeft w:val="0"/>
      <w:marRight w:val="0"/>
      <w:marTop w:val="0"/>
      <w:marBottom w:val="0"/>
      <w:divBdr>
        <w:top w:val="none" w:sz="0" w:space="0" w:color="auto"/>
        <w:left w:val="none" w:sz="0" w:space="0" w:color="auto"/>
        <w:bottom w:val="none" w:sz="0" w:space="0" w:color="auto"/>
        <w:right w:val="none" w:sz="0" w:space="0" w:color="auto"/>
      </w:divBdr>
    </w:div>
    <w:div w:id="326135899">
      <w:bodyDiv w:val="1"/>
      <w:marLeft w:val="0"/>
      <w:marRight w:val="0"/>
      <w:marTop w:val="0"/>
      <w:marBottom w:val="0"/>
      <w:divBdr>
        <w:top w:val="none" w:sz="0" w:space="0" w:color="auto"/>
        <w:left w:val="none" w:sz="0" w:space="0" w:color="auto"/>
        <w:bottom w:val="none" w:sz="0" w:space="0" w:color="auto"/>
        <w:right w:val="none" w:sz="0" w:space="0" w:color="auto"/>
      </w:divBdr>
    </w:div>
    <w:div w:id="326176967">
      <w:bodyDiv w:val="1"/>
      <w:marLeft w:val="0"/>
      <w:marRight w:val="0"/>
      <w:marTop w:val="0"/>
      <w:marBottom w:val="0"/>
      <w:divBdr>
        <w:top w:val="none" w:sz="0" w:space="0" w:color="auto"/>
        <w:left w:val="none" w:sz="0" w:space="0" w:color="auto"/>
        <w:bottom w:val="none" w:sz="0" w:space="0" w:color="auto"/>
        <w:right w:val="none" w:sz="0" w:space="0" w:color="auto"/>
      </w:divBdr>
    </w:div>
    <w:div w:id="326253081">
      <w:bodyDiv w:val="1"/>
      <w:marLeft w:val="0"/>
      <w:marRight w:val="0"/>
      <w:marTop w:val="0"/>
      <w:marBottom w:val="0"/>
      <w:divBdr>
        <w:top w:val="none" w:sz="0" w:space="0" w:color="auto"/>
        <w:left w:val="none" w:sz="0" w:space="0" w:color="auto"/>
        <w:bottom w:val="none" w:sz="0" w:space="0" w:color="auto"/>
        <w:right w:val="none" w:sz="0" w:space="0" w:color="auto"/>
      </w:divBdr>
    </w:div>
    <w:div w:id="326372848">
      <w:bodyDiv w:val="1"/>
      <w:marLeft w:val="0"/>
      <w:marRight w:val="0"/>
      <w:marTop w:val="0"/>
      <w:marBottom w:val="0"/>
      <w:divBdr>
        <w:top w:val="none" w:sz="0" w:space="0" w:color="auto"/>
        <w:left w:val="none" w:sz="0" w:space="0" w:color="auto"/>
        <w:bottom w:val="none" w:sz="0" w:space="0" w:color="auto"/>
        <w:right w:val="none" w:sz="0" w:space="0" w:color="auto"/>
      </w:divBdr>
    </w:div>
    <w:div w:id="326400907">
      <w:bodyDiv w:val="1"/>
      <w:marLeft w:val="0"/>
      <w:marRight w:val="0"/>
      <w:marTop w:val="0"/>
      <w:marBottom w:val="0"/>
      <w:divBdr>
        <w:top w:val="none" w:sz="0" w:space="0" w:color="auto"/>
        <w:left w:val="none" w:sz="0" w:space="0" w:color="auto"/>
        <w:bottom w:val="none" w:sz="0" w:space="0" w:color="auto"/>
        <w:right w:val="none" w:sz="0" w:space="0" w:color="auto"/>
      </w:divBdr>
    </w:div>
    <w:div w:id="326401111">
      <w:bodyDiv w:val="1"/>
      <w:marLeft w:val="0"/>
      <w:marRight w:val="0"/>
      <w:marTop w:val="0"/>
      <w:marBottom w:val="0"/>
      <w:divBdr>
        <w:top w:val="none" w:sz="0" w:space="0" w:color="auto"/>
        <w:left w:val="none" w:sz="0" w:space="0" w:color="auto"/>
        <w:bottom w:val="none" w:sz="0" w:space="0" w:color="auto"/>
        <w:right w:val="none" w:sz="0" w:space="0" w:color="auto"/>
      </w:divBdr>
    </w:div>
    <w:div w:id="326401432">
      <w:bodyDiv w:val="1"/>
      <w:marLeft w:val="0"/>
      <w:marRight w:val="0"/>
      <w:marTop w:val="0"/>
      <w:marBottom w:val="0"/>
      <w:divBdr>
        <w:top w:val="none" w:sz="0" w:space="0" w:color="auto"/>
        <w:left w:val="none" w:sz="0" w:space="0" w:color="auto"/>
        <w:bottom w:val="none" w:sz="0" w:space="0" w:color="auto"/>
        <w:right w:val="none" w:sz="0" w:space="0" w:color="auto"/>
      </w:divBdr>
    </w:div>
    <w:div w:id="326596085">
      <w:bodyDiv w:val="1"/>
      <w:marLeft w:val="0"/>
      <w:marRight w:val="0"/>
      <w:marTop w:val="0"/>
      <w:marBottom w:val="0"/>
      <w:divBdr>
        <w:top w:val="none" w:sz="0" w:space="0" w:color="auto"/>
        <w:left w:val="none" w:sz="0" w:space="0" w:color="auto"/>
        <w:bottom w:val="none" w:sz="0" w:space="0" w:color="auto"/>
        <w:right w:val="none" w:sz="0" w:space="0" w:color="auto"/>
      </w:divBdr>
    </w:div>
    <w:div w:id="326633547">
      <w:bodyDiv w:val="1"/>
      <w:marLeft w:val="0"/>
      <w:marRight w:val="0"/>
      <w:marTop w:val="0"/>
      <w:marBottom w:val="0"/>
      <w:divBdr>
        <w:top w:val="none" w:sz="0" w:space="0" w:color="auto"/>
        <w:left w:val="none" w:sz="0" w:space="0" w:color="auto"/>
        <w:bottom w:val="none" w:sz="0" w:space="0" w:color="auto"/>
        <w:right w:val="none" w:sz="0" w:space="0" w:color="auto"/>
      </w:divBdr>
    </w:div>
    <w:div w:id="326638402">
      <w:bodyDiv w:val="1"/>
      <w:marLeft w:val="0"/>
      <w:marRight w:val="0"/>
      <w:marTop w:val="0"/>
      <w:marBottom w:val="0"/>
      <w:divBdr>
        <w:top w:val="none" w:sz="0" w:space="0" w:color="auto"/>
        <w:left w:val="none" w:sz="0" w:space="0" w:color="auto"/>
        <w:bottom w:val="none" w:sz="0" w:space="0" w:color="auto"/>
        <w:right w:val="none" w:sz="0" w:space="0" w:color="auto"/>
      </w:divBdr>
    </w:div>
    <w:div w:id="326638689">
      <w:bodyDiv w:val="1"/>
      <w:marLeft w:val="0"/>
      <w:marRight w:val="0"/>
      <w:marTop w:val="0"/>
      <w:marBottom w:val="0"/>
      <w:divBdr>
        <w:top w:val="none" w:sz="0" w:space="0" w:color="auto"/>
        <w:left w:val="none" w:sz="0" w:space="0" w:color="auto"/>
        <w:bottom w:val="none" w:sz="0" w:space="0" w:color="auto"/>
        <w:right w:val="none" w:sz="0" w:space="0" w:color="auto"/>
      </w:divBdr>
    </w:div>
    <w:div w:id="326639389">
      <w:bodyDiv w:val="1"/>
      <w:marLeft w:val="0"/>
      <w:marRight w:val="0"/>
      <w:marTop w:val="0"/>
      <w:marBottom w:val="0"/>
      <w:divBdr>
        <w:top w:val="none" w:sz="0" w:space="0" w:color="auto"/>
        <w:left w:val="none" w:sz="0" w:space="0" w:color="auto"/>
        <w:bottom w:val="none" w:sz="0" w:space="0" w:color="auto"/>
        <w:right w:val="none" w:sz="0" w:space="0" w:color="auto"/>
      </w:divBdr>
    </w:div>
    <w:div w:id="326708094">
      <w:bodyDiv w:val="1"/>
      <w:marLeft w:val="0"/>
      <w:marRight w:val="0"/>
      <w:marTop w:val="0"/>
      <w:marBottom w:val="0"/>
      <w:divBdr>
        <w:top w:val="none" w:sz="0" w:space="0" w:color="auto"/>
        <w:left w:val="none" w:sz="0" w:space="0" w:color="auto"/>
        <w:bottom w:val="none" w:sz="0" w:space="0" w:color="auto"/>
        <w:right w:val="none" w:sz="0" w:space="0" w:color="auto"/>
      </w:divBdr>
    </w:div>
    <w:div w:id="326711132">
      <w:bodyDiv w:val="1"/>
      <w:marLeft w:val="0"/>
      <w:marRight w:val="0"/>
      <w:marTop w:val="0"/>
      <w:marBottom w:val="0"/>
      <w:divBdr>
        <w:top w:val="none" w:sz="0" w:space="0" w:color="auto"/>
        <w:left w:val="none" w:sz="0" w:space="0" w:color="auto"/>
        <w:bottom w:val="none" w:sz="0" w:space="0" w:color="auto"/>
        <w:right w:val="none" w:sz="0" w:space="0" w:color="auto"/>
      </w:divBdr>
    </w:div>
    <w:div w:id="326711266">
      <w:bodyDiv w:val="1"/>
      <w:marLeft w:val="0"/>
      <w:marRight w:val="0"/>
      <w:marTop w:val="0"/>
      <w:marBottom w:val="0"/>
      <w:divBdr>
        <w:top w:val="none" w:sz="0" w:space="0" w:color="auto"/>
        <w:left w:val="none" w:sz="0" w:space="0" w:color="auto"/>
        <w:bottom w:val="none" w:sz="0" w:space="0" w:color="auto"/>
        <w:right w:val="none" w:sz="0" w:space="0" w:color="auto"/>
      </w:divBdr>
    </w:div>
    <w:div w:id="326787190">
      <w:bodyDiv w:val="1"/>
      <w:marLeft w:val="0"/>
      <w:marRight w:val="0"/>
      <w:marTop w:val="0"/>
      <w:marBottom w:val="0"/>
      <w:divBdr>
        <w:top w:val="none" w:sz="0" w:space="0" w:color="auto"/>
        <w:left w:val="none" w:sz="0" w:space="0" w:color="auto"/>
        <w:bottom w:val="none" w:sz="0" w:space="0" w:color="auto"/>
        <w:right w:val="none" w:sz="0" w:space="0" w:color="auto"/>
      </w:divBdr>
    </w:div>
    <w:div w:id="326859403">
      <w:bodyDiv w:val="1"/>
      <w:marLeft w:val="0"/>
      <w:marRight w:val="0"/>
      <w:marTop w:val="0"/>
      <w:marBottom w:val="0"/>
      <w:divBdr>
        <w:top w:val="none" w:sz="0" w:space="0" w:color="auto"/>
        <w:left w:val="none" w:sz="0" w:space="0" w:color="auto"/>
        <w:bottom w:val="none" w:sz="0" w:space="0" w:color="auto"/>
        <w:right w:val="none" w:sz="0" w:space="0" w:color="auto"/>
      </w:divBdr>
    </w:div>
    <w:div w:id="326904548">
      <w:bodyDiv w:val="1"/>
      <w:marLeft w:val="0"/>
      <w:marRight w:val="0"/>
      <w:marTop w:val="0"/>
      <w:marBottom w:val="0"/>
      <w:divBdr>
        <w:top w:val="none" w:sz="0" w:space="0" w:color="auto"/>
        <w:left w:val="none" w:sz="0" w:space="0" w:color="auto"/>
        <w:bottom w:val="none" w:sz="0" w:space="0" w:color="auto"/>
        <w:right w:val="none" w:sz="0" w:space="0" w:color="auto"/>
      </w:divBdr>
    </w:div>
    <w:div w:id="326976554">
      <w:bodyDiv w:val="1"/>
      <w:marLeft w:val="0"/>
      <w:marRight w:val="0"/>
      <w:marTop w:val="0"/>
      <w:marBottom w:val="0"/>
      <w:divBdr>
        <w:top w:val="none" w:sz="0" w:space="0" w:color="auto"/>
        <w:left w:val="none" w:sz="0" w:space="0" w:color="auto"/>
        <w:bottom w:val="none" w:sz="0" w:space="0" w:color="auto"/>
        <w:right w:val="none" w:sz="0" w:space="0" w:color="auto"/>
      </w:divBdr>
    </w:div>
    <w:div w:id="326981731">
      <w:bodyDiv w:val="1"/>
      <w:marLeft w:val="0"/>
      <w:marRight w:val="0"/>
      <w:marTop w:val="0"/>
      <w:marBottom w:val="0"/>
      <w:divBdr>
        <w:top w:val="none" w:sz="0" w:space="0" w:color="auto"/>
        <w:left w:val="none" w:sz="0" w:space="0" w:color="auto"/>
        <w:bottom w:val="none" w:sz="0" w:space="0" w:color="auto"/>
        <w:right w:val="none" w:sz="0" w:space="0" w:color="auto"/>
      </w:divBdr>
    </w:div>
    <w:div w:id="326983245">
      <w:bodyDiv w:val="1"/>
      <w:marLeft w:val="0"/>
      <w:marRight w:val="0"/>
      <w:marTop w:val="0"/>
      <w:marBottom w:val="0"/>
      <w:divBdr>
        <w:top w:val="none" w:sz="0" w:space="0" w:color="auto"/>
        <w:left w:val="none" w:sz="0" w:space="0" w:color="auto"/>
        <w:bottom w:val="none" w:sz="0" w:space="0" w:color="auto"/>
        <w:right w:val="none" w:sz="0" w:space="0" w:color="auto"/>
      </w:divBdr>
    </w:div>
    <w:div w:id="327095254">
      <w:bodyDiv w:val="1"/>
      <w:marLeft w:val="0"/>
      <w:marRight w:val="0"/>
      <w:marTop w:val="0"/>
      <w:marBottom w:val="0"/>
      <w:divBdr>
        <w:top w:val="none" w:sz="0" w:space="0" w:color="auto"/>
        <w:left w:val="none" w:sz="0" w:space="0" w:color="auto"/>
        <w:bottom w:val="none" w:sz="0" w:space="0" w:color="auto"/>
        <w:right w:val="none" w:sz="0" w:space="0" w:color="auto"/>
      </w:divBdr>
    </w:div>
    <w:div w:id="327102428">
      <w:bodyDiv w:val="1"/>
      <w:marLeft w:val="0"/>
      <w:marRight w:val="0"/>
      <w:marTop w:val="0"/>
      <w:marBottom w:val="0"/>
      <w:divBdr>
        <w:top w:val="none" w:sz="0" w:space="0" w:color="auto"/>
        <w:left w:val="none" w:sz="0" w:space="0" w:color="auto"/>
        <w:bottom w:val="none" w:sz="0" w:space="0" w:color="auto"/>
        <w:right w:val="none" w:sz="0" w:space="0" w:color="auto"/>
      </w:divBdr>
    </w:div>
    <w:div w:id="327294720">
      <w:bodyDiv w:val="1"/>
      <w:marLeft w:val="0"/>
      <w:marRight w:val="0"/>
      <w:marTop w:val="0"/>
      <w:marBottom w:val="0"/>
      <w:divBdr>
        <w:top w:val="none" w:sz="0" w:space="0" w:color="auto"/>
        <w:left w:val="none" w:sz="0" w:space="0" w:color="auto"/>
        <w:bottom w:val="none" w:sz="0" w:space="0" w:color="auto"/>
        <w:right w:val="none" w:sz="0" w:space="0" w:color="auto"/>
      </w:divBdr>
    </w:div>
    <w:div w:id="327484919">
      <w:bodyDiv w:val="1"/>
      <w:marLeft w:val="0"/>
      <w:marRight w:val="0"/>
      <w:marTop w:val="0"/>
      <w:marBottom w:val="0"/>
      <w:divBdr>
        <w:top w:val="none" w:sz="0" w:space="0" w:color="auto"/>
        <w:left w:val="none" w:sz="0" w:space="0" w:color="auto"/>
        <w:bottom w:val="none" w:sz="0" w:space="0" w:color="auto"/>
        <w:right w:val="none" w:sz="0" w:space="0" w:color="auto"/>
      </w:divBdr>
    </w:div>
    <w:div w:id="327752047">
      <w:bodyDiv w:val="1"/>
      <w:marLeft w:val="0"/>
      <w:marRight w:val="0"/>
      <w:marTop w:val="0"/>
      <w:marBottom w:val="0"/>
      <w:divBdr>
        <w:top w:val="none" w:sz="0" w:space="0" w:color="auto"/>
        <w:left w:val="none" w:sz="0" w:space="0" w:color="auto"/>
        <w:bottom w:val="none" w:sz="0" w:space="0" w:color="auto"/>
        <w:right w:val="none" w:sz="0" w:space="0" w:color="auto"/>
      </w:divBdr>
    </w:div>
    <w:div w:id="327757916">
      <w:bodyDiv w:val="1"/>
      <w:marLeft w:val="0"/>
      <w:marRight w:val="0"/>
      <w:marTop w:val="0"/>
      <w:marBottom w:val="0"/>
      <w:divBdr>
        <w:top w:val="none" w:sz="0" w:space="0" w:color="auto"/>
        <w:left w:val="none" w:sz="0" w:space="0" w:color="auto"/>
        <w:bottom w:val="none" w:sz="0" w:space="0" w:color="auto"/>
        <w:right w:val="none" w:sz="0" w:space="0" w:color="auto"/>
      </w:divBdr>
    </w:div>
    <w:div w:id="327825978">
      <w:bodyDiv w:val="1"/>
      <w:marLeft w:val="0"/>
      <w:marRight w:val="0"/>
      <w:marTop w:val="0"/>
      <w:marBottom w:val="0"/>
      <w:divBdr>
        <w:top w:val="none" w:sz="0" w:space="0" w:color="auto"/>
        <w:left w:val="none" w:sz="0" w:space="0" w:color="auto"/>
        <w:bottom w:val="none" w:sz="0" w:space="0" w:color="auto"/>
        <w:right w:val="none" w:sz="0" w:space="0" w:color="auto"/>
      </w:divBdr>
    </w:div>
    <w:div w:id="327834621">
      <w:bodyDiv w:val="1"/>
      <w:marLeft w:val="0"/>
      <w:marRight w:val="0"/>
      <w:marTop w:val="0"/>
      <w:marBottom w:val="0"/>
      <w:divBdr>
        <w:top w:val="none" w:sz="0" w:space="0" w:color="auto"/>
        <w:left w:val="none" w:sz="0" w:space="0" w:color="auto"/>
        <w:bottom w:val="none" w:sz="0" w:space="0" w:color="auto"/>
        <w:right w:val="none" w:sz="0" w:space="0" w:color="auto"/>
      </w:divBdr>
    </w:div>
    <w:div w:id="327942860">
      <w:bodyDiv w:val="1"/>
      <w:marLeft w:val="0"/>
      <w:marRight w:val="0"/>
      <w:marTop w:val="0"/>
      <w:marBottom w:val="0"/>
      <w:divBdr>
        <w:top w:val="none" w:sz="0" w:space="0" w:color="auto"/>
        <w:left w:val="none" w:sz="0" w:space="0" w:color="auto"/>
        <w:bottom w:val="none" w:sz="0" w:space="0" w:color="auto"/>
        <w:right w:val="none" w:sz="0" w:space="0" w:color="auto"/>
      </w:divBdr>
    </w:div>
    <w:div w:id="327946459">
      <w:bodyDiv w:val="1"/>
      <w:marLeft w:val="0"/>
      <w:marRight w:val="0"/>
      <w:marTop w:val="0"/>
      <w:marBottom w:val="0"/>
      <w:divBdr>
        <w:top w:val="none" w:sz="0" w:space="0" w:color="auto"/>
        <w:left w:val="none" w:sz="0" w:space="0" w:color="auto"/>
        <w:bottom w:val="none" w:sz="0" w:space="0" w:color="auto"/>
        <w:right w:val="none" w:sz="0" w:space="0" w:color="auto"/>
      </w:divBdr>
    </w:div>
    <w:div w:id="328018620">
      <w:bodyDiv w:val="1"/>
      <w:marLeft w:val="0"/>
      <w:marRight w:val="0"/>
      <w:marTop w:val="0"/>
      <w:marBottom w:val="0"/>
      <w:divBdr>
        <w:top w:val="none" w:sz="0" w:space="0" w:color="auto"/>
        <w:left w:val="none" w:sz="0" w:space="0" w:color="auto"/>
        <w:bottom w:val="none" w:sz="0" w:space="0" w:color="auto"/>
        <w:right w:val="none" w:sz="0" w:space="0" w:color="auto"/>
      </w:divBdr>
    </w:div>
    <w:div w:id="328019964">
      <w:bodyDiv w:val="1"/>
      <w:marLeft w:val="0"/>
      <w:marRight w:val="0"/>
      <w:marTop w:val="0"/>
      <w:marBottom w:val="0"/>
      <w:divBdr>
        <w:top w:val="none" w:sz="0" w:space="0" w:color="auto"/>
        <w:left w:val="none" w:sz="0" w:space="0" w:color="auto"/>
        <w:bottom w:val="none" w:sz="0" w:space="0" w:color="auto"/>
        <w:right w:val="none" w:sz="0" w:space="0" w:color="auto"/>
      </w:divBdr>
    </w:div>
    <w:div w:id="328022942">
      <w:bodyDiv w:val="1"/>
      <w:marLeft w:val="0"/>
      <w:marRight w:val="0"/>
      <w:marTop w:val="0"/>
      <w:marBottom w:val="0"/>
      <w:divBdr>
        <w:top w:val="none" w:sz="0" w:space="0" w:color="auto"/>
        <w:left w:val="none" w:sz="0" w:space="0" w:color="auto"/>
        <w:bottom w:val="none" w:sz="0" w:space="0" w:color="auto"/>
        <w:right w:val="none" w:sz="0" w:space="0" w:color="auto"/>
      </w:divBdr>
    </w:div>
    <w:div w:id="328026890">
      <w:bodyDiv w:val="1"/>
      <w:marLeft w:val="0"/>
      <w:marRight w:val="0"/>
      <w:marTop w:val="0"/>
      <w:marBottom w:val="0"/>
      <w:divBdr>
        <w:top w:val="none" w:sz="0" w:space="0" w:color="auto"/>
        <w:left w:val="none" w:sz="0" w:space="0" w:color="auto"/>
        <w:bottom w:val="none" w:sz="0" w:space="0" w:color="auto"/>
        <w:right w:val="none" w:sz="0" w:space="0" w:color="auto"/>
      </w:divBdr>
    </w:div>
    <w:div w:id="328143718">
      <w:bodyDiv w:val="1"/>
      <w:marLeft w:val="0"/>
      <w:marRight w:val="0"/>
      <w:marTop w:val="0"/>
      <w:marBottom w:val="0"/>
      <w:divBdr>
        <w:top w:val="none" w:sz="0" w:space="0" w:color="auto"/>
        <w:left w:val="none" w:sz="0" w:space="0" w:color="auto"/>
        <w:bottom w:val="none" w:sz="0" w:space="0" w:color="auto"/>
        <w:right w:val="none" w:sz="0" w:space="0" w:color="auto"/>
      </w:divBdr>
    </w:div>
    <w:div w:id="328287972">
      <w:bodyDiv w:val="1"/>
      <w:marLeft w:val="0"/>
      <w:marRight w:val="0"/>
      <w:marTop w:val="0"/>
      <w:marBottom w:val="0"/>
      <w:divBdr>
        <w:top w:val="none" w:sz="0" w:space="0" w:color="auto"/>
        <w:left w:val="none" w:sz="0" w:space="0" w:color="auto"/>
        <w:bottom w:val="none" w:sz="0" w:space="0" w:color="auto"/>
        <w:right w:val="none" w:sz="0" w:space="0" w:color="auto"/>
      </w:divBdr>
    </w:div>
    <w:div w:id="328367264">
      <w:bodyDiv w:val="1"/>
      <w:marLeft w:val="0"/>
      <w:marRight w:val="0"/>
      <w:marTop w:val="0"/>
      <w:marBottom w:val="0"/>
      <w:divBdr>
        <w:top w:val="none" w:sz="0" w:space="0" w:color="auto"/>
        <w:left w:val="none" w:sz="0" w:space="0" w:color="auto"/>
        <w:bottom w:val="none" w:sz="0" w:space="0" w:color="auto"/>
        <w:right w:val="none" w:sz="0" w:space="0" w:color="auto"/>
      </w:divBdr>
    </w:div>
    <w:div w:id="328406555">
      <w:bodyDiv w:val="1"/>
      <w:marLeft w:val="0"/>
      <w:marRight w:val="0"/>
      <w:marTop w:val="0"/>
      <w:marBottom w:val="0"/>
      <w:divBdr>
        <w:top w:val="none" w:sz="0" w:space="0" w:color="auto"/>
        <w:left w:val="none" w:sz="0" w:space="0" w:color="auto"/>
        <w:bottom w:val="none" w:sz="0" w:space="0" w:color="auto"/>
        <w:right w:val="none" w:sz="0" w:space="0" w:color="auto"/>
      </w:divBdr>
    </w:div>
    <w:div w:id="328408817">
      <w:bodyDiv w:val="1"/>
      <w:marLeft w:val="0"/>
      <w:marRight w:val="0"/>
      <w:marTop w:val="0"/>
      <w:marBottom w:val="0"/>
      <w:divBdr>
        <w:top w:val="none" w:sz="0" w:space="0" w:color="auto"/>
        <w:left w:val="none" w:sz="0" w:space="0" w:color="auto"/>
        <w:bottom w:val="none" w:sz="0" w:space="0" w:color="auto"/>
        <w:right w:val="none" w:sz="0" w:space="0" w:color="auto"/>
      </w:divBdr>
    </w:div>
    <w:div w:id="328412844">
      <w:bodyDiv w:val="1"/>
      <w:marLeft w:val="0"/>
      <w:marRight w:val="0"/>
      <w:marTop w:val="0"/>
      <w:marBottom w:val="0"/>
      <w:divBdr>
        <w:top w:val="none" w:sz="0" w:space="0" w:color="auto"/>
        <w:left w:val="none" w:sz="0" w:space="0" w:color="auto"/>
        <w:bottom w:val="none" w:sz="0" w:space="0" w:color="auto"/>
        <w:right w:val="none" w:sz="0" w:space="0" w:color="auto"/>
      </w:divBdr>
    </w:div>
    <w:div w:id="328675561">
      <w:bodyDiv w:val="1"/>
      <w:marLeft w:val="0"/>
      <w:marRight w:val="0"/>
      <w:marTop w:val="0"/>
      <w:marBottom w:val="0"/>
      <w:divBdr>
        <w:top w:val="none" w:sz="0" w:space="0" w:color="auto"/>
        <w:left w:val="none" w:sz="0" w:space="0" w:color="auto"/>
        <w:bottom w:val="none" w:sz="0" w:space="0" w:color="auto"/>
        <w:right w:val="none" w:sz="0" w:space="0" w:color="auto"/>
      </w:divBdr>
    </w:div>
    <w:div w:id="328795429">
      <w:bodyDiv w:val="1"/>
      <w:marLeft w:val="0"/>
      <w:marRight w:val="0"/>
      <w:marTop w:val="0"/>
      <w:marBottom w:val="0"/>
      <w:divBdr>
        <w:top w:val="none" w:sz="0" w:space="0" w:color="auto"/>
        <w:left w:val="none" w:sz="0" w:space="0" w:color="auto"/>
        <w:bottom w:val="none" w:sz="0" w:space="0" w:color="auto"/>
        <w:right w:val="none" w:sz="0" w:space="0" w:color="auto"/>
      </w:divBdr>
    </w:div>
    <w:div w:id="328797222">
      <w:bodyDiv w:val="1"/>
      <w:marLeft w:val="0"/>
      <w:marRight w:val="0"/>
      <w:marTop w:val="0"/>
      <w:marBottom w:val="0"/>
      <w:divBdr>
        <w:top w:val="none" w:sz="0" w:space="0" w:color="auto"/>
        <w:left w:val="none" w:sz="0" w:space="0" w:color="auto"/>
        <w:bottom w:val="none" w:sz="0" w:space="0" w:color="auto"/>
        <w:right w:val="none" w:sz="0" w:space="0" w:color="auto"/>
      </w:divBdr>
    </w:div>
    <w:div w:id="328797635">
      <w:bodyDiv w:val="1"/>
      <w:marLeft w:val="0"/>
      <w:marRight w:val="0"/>
      <w:marTop w:val="0"/>
      <w:marBottom w:val="0"/>
      <w:divBdr>
        <w:top w:val="none" w:sz="0" w:space="0" w:color="auto"/>
        <w:left w:val="none" w:sz="0" w:space="0" w:color="auto"/>
        <w:bottom w:val="none" w:sz="0" w:space="0" w:color="auto"/>
        <w:right w:val="none" w:sz="0" w:space="0" w:color="auto"/>
      </w:divBdr>
    </w:div>
    <w:div w:id="328798507">
      <w:bodyDiv w:val="1"/>
      <w:marLeft w:val="0"/>
      <w:marRight w:val="0"/>
      <w:marTop w:val="0"/>
      <w:marBottom w:val="0"/>
      <w:divBdr>
        <w:top w:val="none" w:sz="0" w:space="0" w:color="auto"/>
        <w:left w:val="none" w:sz="0" w:space="0" w:color="auto"/>
        <w:bottom w:val="none" w:sz="0" w:space="0" w:color="auto"/>
        <w:right w:val="none" w:sz="0" w:space="0" w:color="auto"/>
      </w:divBdr>
    </w:div>
    <w:div w:id="328825360">
      <w:bodyDiv w:val="1"/>
      <w:marLeft w:val="0"/>
      <w:marRight w:val="0"/>
      <w:marTop w:val="0"/>
      <w:marBottom w:val="0"/>
      <w:divBdr>
        <w:top w:val="none" w:sz="0" w:space="0" w:color="auto"/>
        <w:left w:val="none" w:sz="0" w:space="0" w:color="auto"/>
        <w:bottom w:val="none" w:sz="0" w:space="0" w:color="auto"/>
        <w:right w:val="none" w:sz="0" w:space="0" w:color="auto"/>
      </w:divBdr>
    </w:div>
    <w:div w:id="328870812">
      <w:bodyDiv w:val="1"/>
      <w:marLeft w:val="0"/>
      <w:marRight w:val="0"/>
      <w:marTop w:val="0"/>
      <w:marBottom w:val="0"/>
      <w:divBdr>
        <w:top w:val="none" w:sz="0" w:space="0" w:color="auto"/>
        <w:left w:val="none" w:sz="0" w:space="0" w:color="auto"/>
        <w:bottom w:val="none" w:sz="0" w:space="0" w:color="auto"/>
        <w:right w:val="none" w:sz="0" w:space="0" w:color="auto"/>
      </w:divBdr>
    </w:div>
    <w:div w:id="328875186">
      <w:bodyDiv w:val="1"/>
      <w:marLeft w:val="0"/>
      <w:marRight w:val="0"/>
      <w:marTop w:val="0"/>
      <w:marBottom w:val="0"/>
      <w:divBdr>
        <w:top w:val="none" w:sz="0" w:space="0" w:color="auto"/>
        <w:left w:val="none" w:sz="0" w:space="0" w:color="auto"/>
        <w:bottom w:val="none" w:sz="0" w:space="0" w:color="auto"/>
        <w:right w:val="none" w:sz="0" w:space="0" w:color="auto"/>
      </w:divBdr>
    </w:div>
    <w:div w:id="328947233">
      <w:bodyDiv w:val="1"/>
      <w:marLeft w:val="0"/>
      <w:marRight w:val="0"/>
      <w:marTop w:val="0"/>
      <w:marBottom w:val="0"/>
      <w:divBdr>
        <w:top w:val="none" w:sz="0" w:space="0" w:color="auto"/>
        <w:left w:val="none" w:sz="0" w:space="0" w:color="auto"/>
        <w:bottom w:val="none" w:sz="0" w:space="0" w:color="auto"/>
        <w:right w:val="none" w:sz="0" w:space="0" w:color="auto"/>
      </w:divBdr>
    </w:div>
    <w:div w:id="329062908">
      <w:bodyDiv w:val="1"/>
      <w:marLeft w:val="0"/>
      <w:marRight w:val="0"/>
      <w:marTop w:val="0"/>
      <w:marBottom w:val="0"/>
      <w:divBdr>
        <w:top w:val="none" w:sz="0" w:space="0" w:color="auto"/>
        <w:left w:val="none" w:sz="0" w:space="0" w:color="auto"/>
        <w:bottom w:val="none" w:sz="0" w:space="0" w:color="auto"/>
        <w:right w:val="none" w:sz="0" w:space="0" w:color="auto"/>
      </w:divBdr>
    </w:div>
    <w:div w:id="329067950">
      <w:bodyDiv w:val="1"/>
      <w:marLeft w:val="0"/>
      <w:marRight w:val="0"/>
      <w:marTop w:val="0"/>
      <w:marBottom w:val="0"/>
      <w:divBdr>
        <w:top w:val="none" w:sz="0" w:space="0" w:color="auto"/>
        <w:left w:val="none" w:sz="0" w:space="0" w:color="auto"/>
        <w:bottom w:val="none" w:sz="0" w:space="0" w:color="auto"/>
        <w:right w:val="none" w:sz="0" w:space="0" w:color="auto"/>
      </w:divBdr>
    </w:div>
    <w:div w:id="329211923">
      <w:bodyDiv w:val="1"/>
      <w:marLeft w:val="0"/>
      <w:marRight w:val="0"/>
      <w:marTop w:val="0"/>
      <w:marBottom w:val="0"/>
      <w:divBdr>
        <w:top w:val="none" w:sz="0" w:space="0" w:color="auto"/>
        <w:left w:val="none" w:sz="0" w:space="0" w:color="auto"/>
        <w:bottom w:val="none" w:sz="0" w:space="0" w:color="auto"/>
        <w:right w:val="none" w:sz="0" w:space="0" w:color="auto"/>
      </w:divBdr>
    </w:div>
    <w:div w:id="329219705">
      <w:bodyDiv w:val="1"/>
      <w:marLeft w:val="0"/>
      <w:marRight w:val="0"/>
      <w:marTop w:val="0"/>
      <w:marBottom w:val="0"/>
      <w:divBdr>
        <w:top w:val="none" w:sz="0" w:space="0" w:color="auto"/>
        <w:left w:val="none" w:sz="0" w:space="0" w:color="auto"/>
        <w:bottom w:val="none" w:sz="0" w:space="0" w:color="auto"/>
        <w:right w:val="none" w:sz="0" w:space="0" w:color="auto"/>
      </w:divBdr>
    </w:div>
    <w:div w:id="329410107">
      <w:bodyDiv w:val="1"/>
      <w:marLeft w:val="0"/>
      <w:marRight w:val="0"/>
      <w:marTop w:val="0"/>
      <w:marBottom w:val="0"/>
      <w:divBdr>
        <w:top w:val="none" w:sz="0" w:space="0" w:color="auto"/>
        <w:left w:val="none" w:sz="0" w:space="0" w:color="auto"/>
        <w:bottom w:val="none" w:sz="0" w:space="0" w:color="auto"/>
        <w:right w:val="none" w:sz="0" w:space="0" w:color="auto"/>
      </w:divBdr>
    </w:div>
    <w:div w:id="329410109">
      <w:bodyDiv w:val="1"/>
      <w:marLeft w:val="0"/>
      <w:marRight w:val="0"/>
      <w:marTop w:val="0"/>
      <w:marBottom w:val="0"/>
      <w:divBdr>
        <w:top w:val="none" w:sz="0" w:space="0" w:color="auto"/>
        <w:left w:val="none" w:sz="0" w:space="0" w:color="auto"/>
        <w:bottom w:val="none" w:sz="0" w:space="0" w:color="auto"/>
        <w:right w:val="none" w:sz="0" w:space="0" w:color="auto"/>
      </w:divBdr>
    </w:div>
    <w:div w:id="329452940">
      <w:bodyDiv w:val="1"/>
      <w:marLeft w:val="0"/>
      <w:marRight w:val="0"/>
      <w:marTop w:val="0"/>
      <w:marBottom w:val="0"/>
      <w:divBdr>
        <w:top w:val="none" w:sz="0" w:space="0" w:color="auto"/>
        <w:left w:val="none" w:sz="0" w:space="0" w:color="auto"/>
        <w:bottom w:val="none" w:sz="0" w:space="0" w:color="auto"/>
        <w:right w:val="none" w:sz="0" w:space="0" w:color="auto"/>
      </w:divBdr>
    </w:div>
    <w:div w:id="329480535">
      <w:bodyDiv w:val="1"/>
      <w:marLeft w:val="0"/>
      <w:marRight w:val="0"/>
      <w:marTop w:val="0"/>
      <w:marBottom w:val="0"/>
      <w:divBdr>
        <w:top w:val="none" w:sz="0" w:space="0" w:color="auto"/>
        <w:left w:val="none" w:sz="0" w:space="0" w:color="auto"/>
        <w:bottom w:val="none" w:sz="0" w:space="0" w:color="auto"/>
        <w:right w:val="none" w:sz="0" w:space="0" w:color="auto"/>
      </w:divBdr>
    </w:div>
    <w:div w:id="329481425">
      <w:bodyDiv w:val="1"/>
      <w:marLeft w:val="0"/>
      <w:marRight w:val="0"/>
      <w:marTop w:val="0"/>
      <w:marBottom w:val="0"/>
      <w:divBdr>
        <w:top w:val="none" w:sz="0" w:space="0" w:color="auto"/>
        <w:left w:val="none" w:sz="0" w:space="0" w:color="auto"/>
        <w:bottom w:val="none" w:sz="0" w:space="0" w:color="auto"/>
        <w:right w:val="none" w:sz="0" w:space="0" w:color="auto"/>
      </w:divBdr>
    </w:div>
    <w:div w:id="329597582">
      <w:bodyDiv w:val="1"/>
      <w:marLeft w:val="0"/>
      <w:marRight w:val="0"/>
      <w:marTop w:val="0"/>
      <w:marBottom w:val="0"/>
      <w:divBdr>
        <w:top w:val="none" w:sz="0" w:space="0" w:color="auto"/>
        <w:left w:val="none" w:sz="0" w:space="0" w:color="auto"/>
        <w:bottom w:val="none" w:sz="0" w:space="0" w:color="auto"/>
        <w:right w:val="none" w:sz="0" w:space="0" w:color="auto"/>
      </w:divBdr>
    </w:div>
    <w:div w:id="329648350">
      <w:bodyDiv w:val="1"/>
      <w:marLeft w:val="0"/>
      <w:marRight w:val="0"/>
      <w:marTop w:val="0"/>
      <w:marBottom w:val="0"/>
      <w:divBdr>
        <w:top w:val="none" w:sz="0" w:space="0" w:color="auto"/>
        <w:left w:val="none" w:sz="0" w:space="0" w:color="auto"/>
        <w:bottom w:val="none" w:sz="0" w:space="0" w:color="auto"/>
        <w:right w:val="none" w:sz="0" w:space="0" w:color="auto"/>
      </w:divBdr>
    </w:div>
    <w:div w:id="329673462">
      <w:bodyDiv w:val="1"/>
      <w:marLeft w:val="0"/>
      <w:marRight w:val="0"/>
      <w:marTop w:val="0"/>
      <w:marBottom w:val="0"/>
      <w:divBdr>
        <w:top w:val="none" w:sz="0" w:space="0" w:color="auto"/>
        <w:left w:val="none" w:sz="0" w:space="0" w:color="auto"/>
        <w:bottom w:val="none" w:sz="0" w:space="0" w:color="auto"/>
        <w:right w:val="none" w:sz="0" w:space="0" w:color="auto"/>
      </w:divBdr>
    </w:div>
    <w:div w:id="329677895">
      <w:bodyDiv w:val="1"/>
      <w:marLeft w:val="0"/>
      <w:marRight w:val="0"/>
      <w:marTop w:val="0"/>
      <w:marBottom w:val="0"/>
      <w:divBdr>
        <w:top w:val="none" w:sz="0" w:space="0" w:color="auto"/>
        <w:left w:val="none" w:sz="0" w:space="0" w:color="auto"/>
        <w:bottom w:val="none" w:sz="0" w:space="0" w:color="auto"/>
        <w:right w:val="none" w:sz="0" w:space="0" w:color="auto"/>
      </w:divBdr>
    </w:div>
    <w:div w:id="329724961">
      <w:bodyDiv w:val="1"/>
      <w:marLeft w:val="0"/>
      <w:marRight w:val="0"/>
      <w:marTop w:val="0"/>
      <w:marBottom w:val="0"/>
      <w:divBdr>
        <w:top w:val="none" w:sz="0" w:space="0" w:color="auto"/>
        <w:left w:val="none" w:sz="0" w:space="0" w:color="auto"/>
        <w:bottom w:val="none" w:sz="0" w:space="0" w:color="auto"/>
        <w:right w:val="none" w:sz="0" w:space="0" w:color="auto"/>
      </w:divBdr>
    </w:div>
    <w:div w:id="329794566">
      <w:bodyDiv w:val="1"/>
      <w:marLeft w:val="0"/>
      <w:marRight w:val="0"/>
      <w:marTop w:val="0"/>
      <w:marBottom w:val="0"/>
      <w:divBdr>
        <w:top w:val="none" w:sz="0" w:space="0" w:color="auto"/>
        <w:left w:val="none" w:sz="0" w:space="0" w:color="auto"/>
        <w:bottom w:val="none" w:sz="0" w:space="0" w:color="auto"/>
        <w:right w:val="none" w:sz="0" w:space="0" w:color="auto"/>
      </w:divBdr>
    </w:div>
    <w:div w:id="329866845">
      <w:bodyDiv w:val="1"/>
      <w:marLeft w:val="0"/>
      <w:marRight w:val="0"/>
      <w:marTop w:val="0"/>
      <w:marBottom w:val="0"/>
      <w:divBdr>
        <w:top w:val="none" w:sz="0" w:space="0" w:color="auto"/>
        <w:left w:val="none" w:sz="0" w:space="0" w:color="auto"/>
        <w:bottom w:val="none" w:sz="0" w:space="0" w:color="auto"/>
        <w:right w:val="none" w:sz="0" w:space="0" w:color="auto"/>
      </w:divBdr>
    </w:div>
    <w:div w:id="329915357">
      <w:bodyDiv w:val="1"/>
      <w:marLeft w:val="0"/>
      <w:marRight w:val="0"/>
      <w:marTop w:val="0"/>
      <w:marBottom w:val="0"/>
      <w:divBdr>
        <w:top w:val="none" w:sz="0" w:space="0" w:color="auto"/>
        <w:left w:val="none" w:sz="0" w:space="0" w:color="auto"/>
        <w:bottom w:val="none" w:sz="0" w:space="0" w:color="auto"/>
        <w:right w:val="none" w:sz="0" w:space="0" w:color="auto"/>
      </w:divBdr>
    </w:div>
    <w:div w:id="330109385">
      <w:bodyDiv w:val="1"/>
      <w:marLeft w:val="0"/>
      <w:marRight w:val="0"/>
      <w:marTop w:val="0"/>
      <w:marBottom w:val="0"/>
      <w:divBdr>
        <w:top w:val="none" w:sz="0" w:space="0" w:color="auto"/>
        <w:left w:val="none" w:sz="0" w:space="0" w:color="auto"/>
        <w:bottom w:val="none" w:sz="0" w:space="0" w:color="auto"/>
        <w:right w:val="none" w:sz="0" w:space="0" w:color="auto"/>
      </w:divBdr>
    </w:div>
    <w:div w:id="330110649">
      <w:bodyDiv w:val="1"/>
      <w:marLeft w:val="0"/>
      <w:marRight w:val="0"/>
      <w:marTop w:val="0"/>
      <w:marBottom w:val="0"/>
      <w:divBdr>
        <w:top w:val="none" w:sz="0" w:space="0" w:color="auto"/>
        <w:left w:val="none" w:sz="0" w:space="0" w:color="auto"/>
        <w:bottom w:val="none" w:sz="0" w:space="0" w:color="auto"/>
        <w:right w:val="none" w:sz="0" w:space="0" w:color="auto"/>
      </w:divBdr>
    </w:div>
    <w:div w:id="330177796">
      <w:bodyDiv w:val="1"/>
      <w:marLeft w:val="0"/>
      <w:marRight w:val="0"/>
      <w:marTop w:val="0"/>
      <w:marBottom w:val="0"/>
      <w:divBdr>
        <w:top w:val="none" w:sz="0" w:space="0" w:color="auto"/>
        <w:left w:val="none" w:sz="0" w:space="0" w:color="auto"/>
        <w:bottom w:val="none" w:sz="0" w:space="0" w:color="auto"/>
        <w:right w:val="none" w:sz="0" w:space="0" w:color="auto"/>
      </w:divBdr>
    </w:div>
    <w:div w:id="330185249">
      <w:bodyDiv w:val="1"/>
      <w:marLeft w:val="0"/>
      <w:marRight w:val="0"/>
      <w:marTop w:val="0"/>
      <w:marBottom w:val="0"/>
      <w:divBdr>
        <w:top w:val="none" w:sz="0" w:space="0" w:color="auto"/>
        <w:left w:val="none" w:sz="0" w:space="0" w:color="auto"/>
        <w:bottom w:val="none" w:sz="0" w:space="0" w:color="auto"/>
        <w:right w:val="none" w:sz="0" w:space="0" w:color="auto"/>
      </w:divBdr>
    </w:div>
    <w:div w:id="330379536">
      <w:bodyDiv w:val="1"/>
      <w:marLeft w:val="0"/>
      <w:marRight w:val="0"/>
      <w:marTop w:val="0"/>
      <w:marBottom w:val="0"/>
      <w:divBdr>
        <w:top w:val="none" w:sz="0" w:space="0" w:color="auto"/>
        <w:left w:val="none" w:sz="0" w:space="0" w:color="auto"/>
        <w:bottom w:val="none" w:sz="0" w:space="0" w:color="auto"/>
        <w:right w:val="none" w:sz="0" w:space="0" w:color="auto"/>
      </w:divBdr>
    </w:div>
    <w:div w:id="330452964">
      <w:bodyDiv w:val="1"/>
      <w:marLeft w:val="0"/>
      <w:marRight w:val="0"/>
      <w:marTop w:val="0"/>
      <w:marBottom w:val="0"/>
      <w:divBdr>
        <w:top w:val="none" w:sz="0" w:space="0" w:color="auto"/>
        <w:left w:val="none" w:sz="0" w:space="0" w:color="auto"/>
        <w:bottom w:val="none" w:sz="0" w:space="0" w:color="auto"/>
        <w:right w:val="none" w:sz="0" w:space="0" w:color="auto"/>
      </w:divBdr>
    </w:div>
    <w:div w:id="330523789">
      <w:bodyDiv w:val="1"/>
      <w:marLeft w:val="0"/>
      <w:marRight w:val="0"/>
      <w:marTop w:val="0"/>
      <w:marBottom w:val="0"/>
      <w:divBdr>
        <w:top w:val="none" w:sz="0" w:space="0" w:color="auto"/>
        <w:left w:val="none" w:sz="0" w:space="0" w:color="auto"/>
        <w:bottom w:val="none" w:sz="0" w:space="0" w:color="auto"/>
        <w:right w:val="none" w:sz="0" w:space="0" w:color="auto"/>
      </w:divBdr>
    </w:div>
    <w:div w:id="330640670">
      <w:bodyDiv w:val="1"/>
      <w:marLeft w:val="0"/>
      <w:marRight w:val="0"/>
      <w:marTop w:val="0"/>
      <w:marBottom w:val="0"/>
      <w:divBdr>
        <w:top w:val="none" w:sz="0" w:space="0" w:color="auto"/>
        <w:left w:val="none" w:sz="0" w:space="0" w:color="auto"/>
        <w:bottom w:val="none" w:sz="0" w:space="0" w:color="auto"/>
        <w:right w:val="none" w:sz="0" w:space="0" w:color="auto"/>
      </w:divBdr>
    </w:div>
    <w:div w:id="330643154">
      <w:bodyDiv w:val="1"/>
      <w:marLeft w:val="0"/>
      <w:marRight w:val="0"/>
      <w:marTop w:val="0"/>
      <w:marBottom w:val="0"/>
      <w:divBdr>
        <w:top w:val="none" w:sz="0" w:space="0" w:color="auto"/>
        <w:left w:val="none" w:sz="0" w:space="0" w:color="auto"/>
        <w:bottom w:val="none" w:sz="0" w:space="0" w:color="auto"/>
        <w:right w:val="none" w:sz="0" w:space="0" w:color="auto"/>
      </w:divBdr>
    </w:div>
    <w:div w:id="330647335">
      <w:bodyDiv w:val="1"/>
      <w:marLeft w:val="0"/>
      <w:marRight w:val="0"/>
      <w:marTop w:val="0"/>
      <w:marBottom w:val="0"/>
      <w:divBdr>
        <w:top w:val="none" w:sz="0" w:space="0" w:color="auto"/>
        <w:left w:val="none" w:sz="0" w:space="0" w:color="auto"/>
        <w:bottom w:val="none" w:sz="0" w:space="0" w:color="auto"/>
        <w:right w:val="none" w:sz="0" w:space="0" w:color="auto"/>
      </w:divBdr>
    </w:div>
    <w:div w:id="330721996">
      <w:bodyDiv w:val="1"/>
      <w:marLeft w:val="0"/>
      <w:marRight w:val="0"/>
      <w:marTop w:val="0"/>
      <w:marBottom w:val="0"/>
      <w:divBdr>
        <w:top w:val="none" w:sz="0" w:space="0" w:color="auto"/>
        <w:left w:val="none" w:sz="0" w:space="0" w:color="auto"/>
        <w:bottom w:val="none" w:sz="0" w:space="0" w:color="auto"/>
        <w:right w:val="none" w:sz="0" w:space="0" w:color="auto"/>
      </w:divBdr>
    </w:div>
    <w:div w:id="330910105">
      <w:bodyDiv w:val="1"/>
      <w:marLeft w:val="0"/>
      <w:marRight w:val="0"/>
      <w:marTop w:val="0"/>
      <w:marBottom w:val="0"/>
      <w:divBdr>
        <w:top w:val="none" w:sz="0" w:space="0" w:color="auto"/>
        <w:left w:val="none" w:sz="0" w:space="0" w:color="auto"/>
        <w:bottom w:val="none" w:sz="0" w:space="0" w:color="auto"/>
        <w:right w:val="none" w:sz="0" w:space="0" w:color="auto"/>
      </w:divBdr>
    </w:div>
    <w:div w:id="330988980">
      <w:bodyDiv w:val="1"/>
      <w:marLeft w:val="0"/>
      <w:marRight w:val="0"/>
      <w:marTop w:val="0"/>
      <w:marBottom w:val="0"/>
      <w:divBdr>
        <w:top w:val="none" w:sz="0" w:space="0" w:color="auto"/>
        <w:left w:val="none" w:sz="0" w:space="0" w:color="auto"/>
        <w:bottom w:val="none" w:sz="0" w:space="0" w:color="auto"/>
        <w:right w:val="none" w:sz="0" w:space="0" w:color="auto"/>
      </w:divBdr>
    </w:div>
    <w:div w:id="331033703">
      <w:bodyDiv w:val="1"/>
      <w:marLeft w:val="0"/>
      <w:marRight w:val="0"/>
      <w:marTop w:val="0"/>
      <w:marBottom w:val="0"/>
      <w:divBdr>
        <w:top w:val="none" w:sz="0" w:space="0" w:color="auto"/>
        <w:left w:val="none" w:sz="0" w:space="0" w:color="auto"/>
        <w:bottom w:val="none" w:sz="0" w:space="0" w:color="auto"/>
        <w:right w:val="none" w:sz="0" w:space="0" w:color="auto"/>
      </w:divBdr>
    </w:div>
    <w:div w:id="331107066">
      <w:bodyDiv w:val="1"/>
      <w:marLeft w:val="0"/>
      <w:marRight w:val="0"/>
      <w:marTop w:val="0"/>
      <w:marBottom w:val="0"/>
      <w:divBdr>
        <w:top w:val="none" w:sz="0" w:space="0" w:color="auto"/>
        <w:left w:val="none" w:sz="0" w:space="0" w:color="auto"/>
        <w:bottom w:val="none" w:sz="0" w:space="0" w:color="auto"/>
        <w:right w:val="none" w:sz="0" w:space="0" w:color="auto"/>
      </w:divBdr>
    </w:div>
    <w:div w:id="331179175">
      <w:bodyDiv w:val="1"/>
      <w:marLeft w:val="0"/>
      <w:marRight w:val="0"/>
      <w:marTop w:val="0"/>
      <w:marBottom w:val="0"/>
      <w:divBdr>
        <w:top w:val="none" w:sz="0" w:space="0" w:color="auto"/>
        <w:left w:val="none" w:sz="0" w:space="0" w:color="auto"/>
        <w:bottom w:val="none" w:sz="0" w:space="0" w:color="auto"/>
        <w:right w:val="none" w:sz="0" w:space="0" w:color="auto"/>
      </w:divBdr>
    </w:div>
    <w:div w:id="331222298">
      <w:bodyDiv w:val="1"/>
      <w:marLeft w:val="0"/>
      <w:marRight w:val="0"/>
      <w:marTop w:val="0"/>
      <w:marBottom w:val="0"/>
      <w:divBdr>
        <w:top w:val="none" w:sz="0" w:space="0" w:color="auto"/>
        <w:left w:val="none" w:sz="0" w:space="0" w:color="auto"/>
        <w:bottom w:val="none" w:sz="0" w:space="0" w:color="auto"/>
        <w:right w:val="none" w:sz="0" w:space="0" w:color="auto"/>
      </w:divBdr>
    </w:div>
    <w:div w:id="331296096">
      <w:bodyDiv w:val="1"/>
      <w:marLeft w:val="0"/>
      <w:marRight w:val="0"/>
      <w:marTop w:val="0"/>
      <w:marBottom w:val="0"/>
      <w:divBdr>
        <w:top w:val="none" w:sz="0" w:space="0" w:color="auto"/>
        <w:left w:val="none" w:sz="0" w:space="0" w:color="auto"/>
        <w:bottom w:val="none" w:sz="0" w:space="0" w:color="auto"/>
        <w:right w:val="none" w:sz="0" w:space="0" w:color="auto"/>
      </w:divBdr>
    </w:div>
    <w:div w:id="331370111">
      <w:bodyDiv w:val="1"/>
      <w:marLeft w:val="0"/>
      <w:marRight w:val="0"/>
      <w:marTop w:val="0"/>
      <w:marBottom w:val="0"/>
      <w:divBdr>
        <w:top w:val="none" w:sz="0" w:space="0" w:color="auto"/>
        <w:left w:val="none" w:sz="0" w:space="0" w:color="auto"/>
        <w:bottom w:val="none" w:sz="0" w:space="0" w:color="auto"/>
        <w:right w:val="none" w:sz="0" w:space="0" w:color="auto"/>
      </w:divBdr>
    </w:div>
    <w:div w:id="331571294">
      <w:bodyDiv w:val="1"/>
      <w:marLeft w:val="0"/>
      <w:marRight w:val="0"/>
      <w:marTop w:val="0"/>
      <w:marBottom w:val="0"/>
      <w:divBdr>
        <w:top w:val="none" w:sz="0" w:space="0" w:color="auto"/>
        <w:left w:val="none" w:sz="0" w:space="0" w:color="auto"/>
        <w:bottom w:val="none" w:sz="0" w:space="0" w:color="auto"/>
        <w:right w:val="none" w:sz="0" w:space="0" w:color="auto"/>
      </w:divBdr>
    </w:div>
    <w:div w:id="331643108">
      <w:bodyDiv w:val="1"/>
      <w:marLeft w:val="0"/>
      <w:marRight w:val="0"/>
      <w:marTop w:val="0"/>
      <w:marBottom w:val="0"/>
      <w:divBdr>
        <w:top w:val="none" w:sz="0" w:space="0" w:color="auto"/>
        <w:left w:val="none" w:sz="0" w:space="0" w:color="auto"/>
        <w:bottom w:val="none" w:sz="0" w:space="0" w:color="auto"/>
        <w:right w:val="none" w:sz="0" w:space="0" w:color="auto"/>
      </w:divBdr>
    </w:div>
    <w:div w:id="331683386">
      <w:bodyDiv w:val="1"/>
      <w:marLeft w:val="0"/>
      <w:marRight w:val="0"/>
      <w:marTop w:val="0"/>
      <w:marBottom w:val="0"/>
      <w:divBdr>
        <w:top w:val="none" w:sz="0" w:space="0" w:color="auto"/>
        <w:left w:val="none" w:sz="0" w:space="0" w:color="auto"/>
        <w:bottom w:val="none" w:sz="0" w:space="0" w:color="auto"/>
        <w:right w:val="none" w:sz="0" w:space="0" w:color="auto"/>
      </w:divBdr>
    </w:div>
    <w:div w:id="331684181">
      <w:bodyDiv w:val="1"/>
      <w:marLeft w:val="0"/>
      <w:marRight w:val="0"/>
      <w:marTop w:val="0"/>
      <w:marBottom w:val="0"/>
      <w:divBdr>
        <w:top w:val="none" w:sz="0" w:space="0" w:color="auto"/>
        <w:left w:val="none" w:sz="0" w:space="0" w:color="auto"/>
        <w:bottom w:val="none" w:sz="0" w:space="0" w:color="auto"/>
        <w:right w:val="none" w:sz="0" w:space="0" w:color="auto"/>
      </w:divBdr>
    </w:div>
    <w:div w:id="331758849">
      <w:bodyDiv w:val="1"/>
      <w:marLeft w:val="0"/>
      <w:marRight w:val="0"/>
      <w:marTop w:val="0"/>
      <w:marBottom w:val="0"/>
      <w:divBdr>
        <w:top w:val="none" w:sz="0" w:space="0" w:color="auto"/>
        <w:left w:val="none" w:sz="0" w:space="0" w:color="auto"/>
        <w:bottom w:val="none" w:sz="0" w:space="0" w:color="auto"/>
        <w:right w:val="none" w:sz="0" w:space="0" w:color="auto"/>
      </w:divBdr>
    </w:div>
    <w:div w:id="331834935">
      <w:bodyDiv w:val="1"/>
      <w:marLeft w:val="0"/>
      <w:marRight w:val="0"/>
      <w:marTop w:val="0"/>
      <w:marBottom w:val="0"/>
      <w:divBdr>
        <w:top w:val="none" w:sz="0" w:space="0" w:color="auto"/>
        <w:left w:val="none" w:sz="0" w:space="0" w:color="auto"/>
        <w:bottom w:val="none" w:sz="0" w:space="0" w:color="auto"/>
        <w:right w:val="none" w:sz="0" w:space="0" w:color="auto"/>
      </w:divBdr>
    </w:div>
    <w:div w:id="331874899">
      <w:bodyDiv w:val="1"/>
      <w:marLeft w:val="0"/>
      <w:marRight w:val="0"/>
      <w:marTop w:val="0"/>
      <w:marBottom w:val="0"/>
      <w:divBdr>
        <w:top w:val="none" w:sz="0" w:space="0" w:color="auto"/>
        <w:left w:val="none" w:sz="0" w:space="0" w:color="auto"/>
        <w:bottom w:val="none" w:sz="0" w:space="0" w:color="auto"/>
        <w:right w:val="none" w:sz="0" w:space="0" w:color="auto"/>
      </w:divBdr>
    </w:div>
    <w:div w:id="332030234">
      <w:bodyDiv w:val="1"/>
      <w:marLeft w:val="0"/>
      <w:marRight w:val="0"/>
      <w:marTop w:val="0"/>
      <w:marBottom w:val="0"/>
      <w:divBdr>
        <w:top w:val="none" w:sz="0" w:space="0" w:color="auto"/>
        <w:left w:val="none" w:sz="0" w:space="0" w:color="auto"/>
        <w:bottom w:val="none" w:sz="0" w:space="0" w:color="auto"/>
        <w:right w:val="none" w:sz="0" w:space="0" w:color="auto"/>
      </w:divBdr>
    </w:div>
    <w:div w:id="332034183">
      <w:bodyDiv w:val="1"/>
      <w:marLeft w:val="0"/>
      <w:marRight w:val="0"/>
      <w:marTop w:val="0"/>
      <w:marBottom w:val="0"/>
      <w:divBdr>
        <w:top w:val="none" w:sz="0" w:space="0" w:color="auto"/>
        <w:left w:val="none" w:sz="0" w:space="0" w:color="auto"/>
        <w:bottom w:val="none" w:sz="0" w:space="0" w:color="auto"/>
        <w:right w:val="none" w:sz="0" w:space="0" w:color="auto"/>
      </w:divBdr>
    </w:div>
    <w:div w:id="332534792">
      <w:bodyDiv w:val="1"/>
      <w:marLeft w:val="0"/>
      <w:marRight w:val="0"/>
      <w:marTop w:val="0"/>
      <w:marBottom w:val="0"/>
      <w:divBdr>
        <w:top w:val="none" w:sz="0" w:space="0" w:color="auto"/>
        <w:left w:val="none" w:sz="0" w:space="0" w:color="auto"/>
        <w:bottom w:val="none" w:sz="0" w:space="0" w:color="auto"/>
        <w:right w:val="none" w:sz="0" w:space="0" w:color="auto"/>
      </w:divBdr>
    </w:div>
    <w:div w:id="332537563">
      <w:bodyDiv w:val="1"/>
      <w:marLeft w:val="0"/>
      <w:marRight w:val="0"/>
      <w:marTop w:val="0"/>
      <w:marBottom w:val="0"/>
      <w:divBdr>
        <w:top w:val="none" w:sz="0" w:space="0" w:color="auto"/>
        <w:left w:val="none" w:sz="0" w:space="0" w:color="auto"/>
        <w:bottom w:val="none" w:sz="0" w:space="0" w:color="auto"/>
        <w:right w:val="none" w:sz="0" w:space="0" w:color="auto"/>
      </w:divBdr>
    </w:div>
    <w:div w:id="332683870">
      <w:bodyDiv w:val="1"/>
      <w:marLeft w:val="0"/>
      <w:marRight w:val="0"/>
      <w:marTop w:val="0"/>
      <w:marBottom w:val="0"/>
      <w:divBdr>
        <w:top w:val="none" w:sz="0" w:space="0" w:color="auto"/>
        <w:left w:val="none" w:sz="0" w:space="0" w:color="auto"/>
        <w:bottom w:val="none" w:sz="0" w:space="0" w:color="auto"/>
        <w:right w:val="none" w:sz="0" w:space="0" w:color="auto"/>
      </w:divBdr>
    </w:div>
    <w:div w:id="332686923">
      <w:bodyDiv w:val="1"/>
      <w:marLeft w:val="0"/>
      <w:marRight w:val="0"/>
      <w:marTop w:val="0"/>
      <w:marBottom w:val="0"/>
      <w:divBdr>
        <w:top w:val="none" w:sz="0" w:space="0" w:color="auto"/>
        <w:left w:val="none" w:sz="0" w:space="0" w:color="auto"/>
        <w:bottom w:val="none" w:sz="0" w:space="0" w:color="auto"/>
        <w:right w:val="none" w:sz="0" w:space="0" w:color="auto"/>
      </w:divBdr>
    </w:div>
    <w:div w:id="332690082">
      <w:bodyDiv w:val="1"/>
      <w:marLeft w:val="0"/>
      <w:marRight w:val="0"/>
      <w:marTop w:val="0"/>
      <w:marBottom w:val="0"/>
      <w:divBdr>
        <w:top w:val="none" w:sz="0" w:space="0" w:color="auto"/>
        <w:left w:val="none" w:sz="0" w:space="0" w:color="auto"/>
        <w:bottom w:val="none" w:sz="0" w:space="0" w:color="auto"/>
        <w:right w:val="none" w:sz="0" w:space="0" w:color="auto"/>
      </w:divBdr>
    </w:div>
    <w:div w:id="332690175">
      <w:bodyDiv w:val="1"/>
      <w:marLeft w:val="0"/>
      <w:marRight w:val="0"/>
      <w:marTop w:val="0"/>
      <w:marBottom w:val="0"/>
      <w:divBdr>
        <w:top w:val="none" w:sz="0" w:space="0" w:color="auto"/>
        <w:left w:val="none" w:sz="0" w:space="0" w:color="auto"/>
        <w:bottom w:val="none" w:sz="0" w:space="0" w:color="auto"/>
        <w:right w:val="none" w:sz="0" w:space="0" w:color="auto"/>
      </w:divBdr>
    </w:div>
    <w:div w:id="332727888">
      <w:bodyDiv w:val="1"/>
      <w:marLeft w:val="0"/>
      <w:marRight w:val="0"/>
      <w:marTop w:val="0"/>
      <w:marBottom w:val="0"/>
      <w:divBdr>
        <w:top w:val="none" w:sz="0" w:space="0" w:color="auto"/>
        <w:left w:val="none" w:sz="0" w:space="0" w:color="auto"/>
        <w:bottom w:val="none" w:sz="0" w:space="0" w:color="auto"/>
        <w:right w:val="none" w:sz="0" w:space="0" w:color="auto"/>
      </w:divBdr>
    </w:div>
    <w:div w:id="332799747">
      <w:bodyDiv w:val="1"/>
      <w:marLeft w:val="0"/>
      <w:marRight w:val="0"/>
      <w:marTop w:val="0"/>
      <w:marBottom w:val="0"/>
      <w:divBdr>
        <w:top w:val="none" w:sz="0" w:space="0" w:color="auto"/>
        <w:left w:val="none" w:sz="0" w:space="0" w:color="auto"/>
        <w:bottom w:val="none" w:sz="0" w:space="0" w:color="auto"/>
        <w:right w:val="none" w:sz="0" w:space="0" w:color="auto"/>
      </w:divBdr>
    </w:div>
    <w:div w:id="332876745">
      <w:bodyDiv w:val="1"/>
      <w:marLeft w:val="0"/>
      <w:marRight w:val="0"/>
      <w:marTop w:val="0"/>
      <w:marBottom w:val="0"/>
      <w:divBdr>
        <w:top w:val="none" w:sz="0" w:space="0" w:color="auto"/>
        <w:left w:val="none" w:sz="0" w:space="0" w:color="auto"/>
        <w:bottom w:val="none" w:sz="0" w:space="0" w:color="auto"/>
        <w:right w:val="none" w:sz="0" w:space="0" w:color="auto"/>
      </w:divBdr>
    </w:div>
    <w:div w:id="332881175">
      <w:bodyDiv w:val="1"/>
      <w:marLeft w:val="0"/>
      <w:marRight w:val="0"/>
      <w:marTop w:val="0"/>
      <w:marBottom w:val="0"/>
      <w:divBdr>
        <w:top w:val="none" w:sz="0" w:space="0" w:color="auto"/>
        <w:left w:val="none" w:sz="0" w:space="0" w:color="auto"/>
        <w:bottom w:val="none" w:sz="0" w:space="0" w:color="auto"/>
        <w:right w:val="none" w:sz="0" w:space="0" w:color="auto"/>
      </w:divBdr>
    </w:div>
    <w:div w:id="332953896">
      <w:bodyDiv w:val="1"/>
      <w:marLeft w:val="0"/>
      <w:marRight w:val="0"/>
      <w:marTop w:val="0"/>
      <w:marBottom w:val="0"/>
      <w:divBdr>
        <w:top w:val="none" w:sz="0" w:space="0" w:color="auto"/>
        <w:left w:val="none" w:sz="0" w:space="0" w:color="auto"/>
        <w:bottom w:val="none" w:sz="0" w:space="0" w:color="auto"/>
        <w:right w:val="none" w:sz="0" w:space="0" w:color="auto"/>
      </w:divBdr>
    </w:div>
    <w:div w:id="332997471">
      <w:bodyDiv w:val="1"/>
      <w:marLeft w:val="0"/>
      <w:marRight w:val="0"/>
      <w:marTop w:val="0"/>
      <w:marBottom w:val="0"/>
      <w:divBdr>
        <w:top w:val="none" w:sz="0" w:space="0" w:color="auto"/>
        <w:left w:val="none" w:sz="0" w:space="0" w:color="auto"/>
        <w:bottom w:val="none" w:sz="0" w:space="0" w:color="auto"/>
        <w:right w:val="none" w:sz="0" w:space="0" w:color="auto"/>
      </w:divBdr>
    </w:div>
    <w:div w:id="333075058">
      <w:bodyDiv w:val="1"/>
      <w:marLeft w:val="0"/>
      <w:marRight w:val="0"/>
      <w:marTop w:val="0"/>
      <w:marBottom w:val="0"/>
      <w:divBdr>
        <w:top w:val="none" w:sz="0" w:space="0" w:color="auto"/>
        <w:left w:val="none" w:sz="0" w:space="0" w:color="auto"/>
        <w:bottom w:val="none" w:sz="0" w:space="0" w:color="auto"/>
        <w:right w:val="none" w:sz="0" w:space="0" w:color="auto"/>
      </w:divBdr>
    </w:div>
    <w:div w:id="333075764">
      <w:bodyDiv w:val="1"/>
      <w:marLeft w:val="0"/>
      <w:marRight w:val="0"/>
      <w:marTop w:val="0"/>
      <w:marBottom w:val="0"/>
      <w:divBdr>
        <w:top w:val="none" w:sz="0" w:space="0" w:color="auto"/>
        <w:left w:val="none" w:sz="0" w:space="0" w:color="auto"/>
        <w:bottom w:val="none" w:sz="0" w:space="0" w:color="auto"/>
        <w:right w:val="none" w:sz="0" w:space="0" w:color="auto"/>
      </w:divBdr>
    </w:div>
    <w:div w:id="333144458">
      <w:bodyDiv w:val="1"/>
      <w:marLeft w:val="0"/>
      <w:marRight w:val="0"/>
      <w:marTop w:val="0"/>
      <w:marBottom w:val="0"/>
      <w:divBdr>
        <w:top w:val="none" w:sz="0" w:space="0" w:color="auto"/>
        <w:left w:val="none" w:sz="0" w:space="0" w:color="auto"/>
        <w:bottom w:val="none" w:sz="0" w:space="0" w:color="auto"/>
        <w:right w:val="none" w:sz="0" w:space="0" w:color="auto"/>
      </w:divBdr>
    </w:div>
    <w:div w:id="333145208">
      <w:bodyDiv w:val="1"/>
      <w:marLeft w:val="0"/>
      <w:marRight w:val="0"/>
      <w:marTop w:val="0"/>
      <w:marBottom w:val="0"/>
      <w:divBdr>
        <w:top w:val="none" w:sz="0" w:space="0" w:color="auto"/>
        <w:left w:val="none" w:sz="0" w:space="0" w:color="auto"/>
        <w:bottom w:val="none" w:sz="0" w:space="0" w:color="auto"/>
        <w:right w:val="none" w:sz="0" w:space="0" w:color="auto"/>
      </w:divBdr>
    </w:div>
    <w:div w:id="333265771">
      <w:bodyDiv w:val="1"/>
      <w:marLeft w:val="0"/>
      <w:marRight w:val="0"/>
      <w:marTop w:val="0"/>
      <w:marBottom w:val="0"/>
      <w:divBdr>
        <w:top w:val="none" w:sz="0" w:space="0" w:color="auto"/>
        <w:left w:val="none" w:sz="0" w:space="0" w:color="auto"/>
        <w:bottom w:val="none" w:sz="0" w:space="0" w:color="auto"/>
        <w:right w:val="none" w:sz="0" w:space="0" w:color="auto"/>
      </w:divBdr>
    </w:div>
    <w:div w:id="333342037">
      <w:bodyDiv w:val="1"/>
      <w:marLeft w:val="0"/>
      <w:marRight w:val="0"/>
      <w:marTop w:val="0"/>
      <w:marBottom w:val="0"/>
      <w:divBdr>
        <w:top w:val="none" w:sz="0" w:space="0" w:color="auto"/>
        <w:left w:val="none" w:sz="0" w:space="0" w:color="auto"/>
        <w:bottom w:val="none" w:sz="0" w:space="0" w:color="auto"/>
        <w:right w:val="none" w:sz="0" w:space="0" w:color="auto"/>
      </w:divBdr>
    </w:div>
    <w:div w:id="333343408">
      <w:bodyDiv w:val="1"/>
      <w:marLeft w:val="0"/>
      <w:marRight w:val="0"/>
      <w:marTop w:val="0"/>
      <w:marBottom w:val="0"/>
      <w:divBdr>
        <w:top w:val="none" w:sz="0" w:space="0" w:color="auto"/>
        <w:left w:val="none" w:sz="0" w:space="0" w:color="auto"/>
        <w:bottom w:val="none" w:sz="0" w:space="0" w:color="auto"/>
        <w:right w:val="none" w:sz="0" w:space="0" w:color="auto"/>
      </w:divBdr>
    </w:div>
    <w:div w:id="333344650">
      <w:bodyDiv w:val="1"/>
      <w:marLeft w:val="0"/>
      <w:marRight w:val="0"/>
      <w:marTop w:val="0"/>
      <w:marBottom w:val="0"/>
      <w:divBdr>
        <w:top w:val="none" w:sz="0" w:space="0" w:color="auto"/>
        <w:left w:val="none" w:sz="0" w:space="0" w:color="auto"/>
        <w:bottom w:val="none" w:sz="0" w:space="0" w:color="auto"/>
        <w:right w:val="none" w:sz="0" w:space="0" w:color="auto"/>
      </w:divBdr>
    </w:div>
    <w:div w:id="333727473">
      <w:bodyDiv w:val="1"/>
      <w:marLeft w:val="0"/>
      <w:marRight w:val="0"/>
      <w:marTop w:val="0"/>
      <w:marBottom w:val="0"/>
      <w:divBdr>
        <w:top w:val="none" w:sz="0" w:space="0" w:color="auto"/>
        <w:left w:val="none" w:sz="0" w:space="0" w:color="auto"/>
        <w:bottom w:val="none" w:sz="0" w:space="0" w:color="auto"/>
        <w:right w:val="none" w:sz="0" w:space="0" w:color="auto"/>
      </w:divBdr>
    </w:div>
    <w:div w:id="333845028">
      <w:bodyDiv w:val="1"/>
      <w:marLeft w:val="0"/>
      <w:marRight w:val="0"/>
      <w:marTop w:val="0"/>
      <w:marBottom w:val="0"/>
      <w:divBdr>
        <w:top w:val="none" w:sz="0" w:space="0" w:color="auto"/>
        <w:left w:val="none" w:sz="0" w:space="0" w:color="auto"/>
        <w:bottom w:val="none" w:sz="0" w:space="0" w:color="auto"/>
        <w:right w:val="none" w:sz="0" w:space="0" w:color="auto"/>
      </w:divBdr>
    </w:div>
    <w:div w:id="333917930">
      <w:bodyDiv w:val="1"/>
      <w:marLeft w:val="0"/>
      <w:marRight w:val="0"/>
      <w:marTop w:val="0"/>
      <w:marBottom w:val="0"/>
      <w:divBdr>
        <w:top w:val="none" w:sz="0" w:space="0" w:color="auto"/>
        <w:left w:val="none" w:sz="0" w:space="0" w:color="auto"/>
        <w:bottom w:val="none" w:sz="0" w:space="0" w:color="auto"/>
        <w:right w:val="none" w:sz="0" w:space="0" w:color="auto"/>
      </w:divBdr>
    </w:div>
    <w:div w:id="333997666">
      <w:bodyDiv w:val="1"/>
      <w:marLeft w:val="0"/>
      <w:marRight w:val="0"/>
      <w:marTop w:val="0"/>
      <w:marBottom w:val="0"/>
      <w:divBdr>
        <w:top w:val="none" w:sz="0" w:space="0" w:color="auto"/>
        <w:left w:val="none" w:sz="0" w:space="0" w:color="auto"/>
        <w:bottom w:val="none" w:sz="0" w:space="0" w:color="auto"/>
        <w:right w:val="none" w:sz="0" w:space="0" w:color="auto"/>
      </w:divBdr>
    </w:div>
    <w:div w:id="333998086">
      <w:bodyDiv w:val="1"/>
      <w:marLeft w:val="0"/>
      <w:marRight w:val="0"/>
      <w:marTop w:val="0"/>
      <w:marBottom w:val="0"/>
      <w:divBdr>
        <w:top w:val="none" w:sz="0" w:space="0" w:color="auto"/>
        <w:left w:val="none" w:sz="0" w:space="0" w:color="auto"/>
        <w:bottom w:val="none" w:sz="0" w:space="0" w:color="auto"/>
        <w:right w:val="none" w:sz="0" w:space="0" w:color="auto"/>
      </w:divBdr>
    </w:div>
    <w:div w:id="334038179">
      <w:bodyDiv w:val="1"/>
      <w:marLeft w:val="0"/>
      <w:marRight w:val="0"/>
      <w:marTop w:val="0"/>
      <w:marBottom w:val="0"/>
      <w:divBdr>
        <w:top w:val="none" w:sz="0" w:space="0" w:color="auto"/>
        <w:left w:val="none" w:sz="0" w:space="0" w:color="auto"/>
        <w:bottom w:val="none" w:sz="0" w:space="0" w:color="auto"/>
        <w:right w:val="none" w:sz="0" w:space="0" w:color="auto"/>
      </w:divBdr>
    </w:div>
    <w:div w:id="334069508">
      <w:bodyDiv w:val="1"/>
      <w:marLeft w:val="0"/>
      <w:marRight w:val="0"/>
      <w:marTop w:val="0"/>
      <w:marBottom w:val="0"/>
      <w:divBdr>
        <w:top w:val="none" w:sz="0" w:space="0" w:color="auto"/>
        <w:left w:val="none" w:sz="0" w:space="0" w:color="auto"/>
        <w:bottom w:val="none" w:sz="0" w:space="0" w:color="auto"/>
        <w:right w:val="none" w:sz="0" w:space="0" w:color="auto"/>
      </w:divBdr>
    </w:div>
    <w:div w:id="334109631">
      <w:bodyDiv w:val="1"/>
      <w:marLeft w:val="0"/>
      <w:marRight w:val="0"/>
      <w:marTop w:val="0"/>
      <w:marBottom w:val="0"/>
      <w:divBdr>
        <w:top w:val="none" w:sz="0" w:space="0" w:color="auto"/>
        <w:left w:val="none" w:sz="0" w:space="0" w:color="auto"/>
        <w:bottom w:val="none" w:sz="0" w:space="0" w:color="auto"/>
        <w:right w:val="none" w:sz="0" w:space="0" w:color="auto"/>
      </w:divBdr>
    </w:div>
    <w:div w:id="334116906">
      <w:bodyDiv w:val="1"/>
      <w:marLeft w:val="0"/>
      <w:marRight w:val="0"/>
      <w:marTop w:val="0"/>
      <w:marBottom w:val="0"/>
      <w:divBdr>
        <w:top w:val="none" w:sz="0" w:space="0" w:color="auto"/>
        <w:left w:val="none" w:sz="0" w:space="0" w:color="auto"/>
        <w:bottom w:val="none" w:sz="0" w:space="0" w:color="auto"/>
        <w:right w:val="none" w:sz="0" w:space="0" w:color="auto"/>
      </w:divBdr>
    </w:div>
    <w:div w:id="334264013">
      <w:bodyDiv w:val="1"/>
      <w:marLeft w:val="0"/>
      <w:marRight w:val="0"/>
      <w:marTop w:val="0"/>
      <w:marBottom w:val="0"/>
      <w:divBdr>
        <w:top w:val="none" w:sz="0" w:space="0" w:color="auto"/>
        <w:left w:val="none" w:sz="0" w:space="0" w:color="auto"/>
        <w:bottom w:val="none" w:sz="0" w:space="0" w:color="auto"/>
        <w:right w:val="none" w:sz="0" w:space="0" w:color="auto"/>
      </w:divBdr>
    </w:div>
    <w:div w:id="334264019">
      <w:bodyDiv w:val="1"/>
      <w:marLeft w:val="0"/>
      <w:marRight w:val="0"/>
      <w:marTop w:val="0"/>
      <w:marBottom w:val="0"/>
      <w:divBdr>
        <w:top w:val="none" w:sz="0" w:space="0" w:color="auto"/>
        <w:left w:val="none" w:sz="0" w:space="0" w:color="auto"/>
        <w:bottom w:val="none" w:sz="0" w:space="0" w:color="auto"/>
        <w:right w:val="none" w:sz="0" w:space="0" w:color="auto"/>
      </w:divBdr>
    </w:div>
    <w:div w:id="334304493">
      <w:bodyDiv w:val="1"/>
      <w:marLeft w:val="0"/>
      <w:marRight w:val="0"/>
      <w:marTop w:val="0"/>
      <w:marBottom w:val="0"/>
      <w:divBdr>
        <w:top w:val="none" w:sz="0" w:space="0" w:color="auto"/>
        <w:left w:val="none" w:sz="0" w:space="0" w:color="auto"/>
        <w:bottom w:val="none" w:sz="0" w:space="0" w:color="auto"/>
        <w:right w:val="none" w:sz="0" w:space="0" w:color="auto"/>
      </w:divBdr>
    </w:div>
    <w:div w:id="334381162">
      <w:bodyDiv w:val="1"/>
      <w:marLeft w:val="0"/>
      <w:marRight w:val="0"/>
      <w:marTop w:val="0"/>
      <w:marBottom w:val="0"/>
      <w:divBdr>
        <w:top w:val="none" w:sz="0" w:space="0" w:color="auto"/>
        <w:left w:val="none" w:sz="0" w:space="0" w:color="auto"/>
        <w:bottom w:val="none" w:sz="0" w:space="0" w:color="auto"/>
        <w:right w:val="none" w:sz="0" w:space="0" w:color="auto"/>
      </w:divBdr>
    </w:div>
    <w:div w:id="334697198">
      <w:bodyDiv w:val="1"/>
      <w:marLeft w:val="0"/>
      <w:marRight w:val="0"/>
      <w:marTop w:val="0"/>
      <w:marBottom w:val="0"/>
      <w:divBdr>
        <w:top w:val="none" w:sz="0" w:space="0" w:color="auto"/>
        <w:left w:val="none" w:sz="0" w:space="0" w:color="auto"/>
        <w:bottom w:val="none" w:sz="0" w:space="0" w:color="auto"/>
        <w:right w:val="none" w:sz="0" w:space="0" w:color="auto"/>
      </w:divBdr>
    </w:div>
    <w:div w:id="334724442">
      <w:bodyDiv w:val="1"/>
      <w:marLeft w:val="0"/>
      <w:marRight w:val="0"/>
      <w:marTop w:val="0"/>
      <w:marBottom w:val="0"/>
      <w:divBdr>
        <w:top w:val="none" w:sz="0" w:space="0" w:color="auto"/>
        <w:left w:val="none" w:sz="0" w:space="0" w:color="auto"/>
        <w:bottom w:val="none" w:sz="0" w:space="0" w:color="auto"/>
        <w:right w:val="none" w:sz="0" w:space="0" w:color="auto"/>
      </w:divBdr>
    </w:div>
    <w:div w:id="334841445">
      <w:bodyDiv w:val="1"/>
      <w:marLeft w:val="0"/>
      <w:marRight w:val="0"/>
      <w:marTop w:val="0"/>
      <w:marBottom w:val="0"/>
      <w:divBdr>
        <w:top w:val="none" w:sz="0" w:space="0" w:color="auto"/>
        <w:left w:val="none" w:sz="0" w:space="0" w:color="auto"/>
        <w:bottom w:val="none" w:sz="0" w:space="0" w:color="auto"/>
        <w:right w:val="none" w:sz="0" w:space="0" w:color="auto"/>
      </w:divBdr>
    </w:div>
    <w:div w:id="334841957">
      <w:bodyDiv w:val="1"/>
      <w:marLeft w:val="0"/>
      <w:marRight w:val="0"/>
      <w:marTop w:val="0"/>
      <w:marBottom w:val="0"/>
      <w:divBdr>
        <w:top w:val="none" w:sz="0" w:space="0" w:color="auto"/>
        <w:left w:val="none" w:sz="0" w:space="0" w:color="auto"/>
        <w:bottom w:val="none" w:sz="0" w:space="0" w:color="auto"/>
        <w:right w:val="none" w:sz="0" w:space="0" w:color="auto"/>
      </w:divBdr>
    </w:div>
    <w:div w:id="334918387">
      <w:bodyDiv w:val="1"/>
      <w:marLeft w:val="0"/>
      <w:marRight w:val="0"/>
      <w:marTop w:val="0"/>
      <w:marBottom w:val="0"/>
      <w:divBdr>
        <w:top w:val="none" w:sz="0" w:space="0" w:color="auto"/>
        <w:left w:val="none" w:sz="0" w:space="0" w:color="auto"/>
        <w:bottom w:val="none" w:sz="0" w:space="0" w:color="auto"/>
        <w:right w:val="none" w:sz="0" w:space="0" w:color="auto"/>
      </w:divBdr>
    </w:div>
    <w:div w:id="334958162">
      <w:bodyDiv w:val="1"/>
      <w:marLeft w:val="0"/>
      <w:marRight w:val="0"/>
      <w:marTop w:val="0"/>
      <w:marBottom w:val="0"/>
      <w:divBdr>
        <w:top w:val="none" w:sz="0" w:space="0" w:color="auto"/>
        <w:left w:val="none" w:sz="0" w:space="0" w:color="auto"/>
        <w:bottom w:val="none" w:sz="0" w:space="0" w:color="auto"/>
        <w:right w:val="none" w:sz="0" w:space="0" w:color="auto"/>
      </w:divBdr>
    </w:div>
    <w:div w:id="334960312">
      <w:bodyDiv w:val="1"/>
      <w:marLeft w:val="0"/>
      <w:marRight w:val="0"/>
      <w:marTop w:val="0"/>
      <w:marBottom w:val="0"/>
      <w:divBdr>
        <w:top w:val="none" w:sz="0" w:space="0" w:color="auto"/>
        <w:left w:val="none" w:sz="0" w:space="0" w:color="auto"/>
        <w:bottom w:val="none" w:sz="0" w:space="0" w:color="auto"/>
        <w:right w:val="none" w:sz="0" w:space="0" w:color="auto"/>
      </w:divBdr>
    </w:div>
    <w:div w:id="334964257">
      <w:bodyDiv w:val="1"/>
      <w:marLeft w:val="0"/>
      <w:marRight w:val="0"/>
      <w:marTop w:val="0"/>
      <w:marBottom w:val="0"/>
      <w:divBdr>
        <w:top w:val="none" w:sz="0" w:space="0" w:color="auto"/>
        <w:left w:val="none" w:sz="0" w:space="0" w:color="auto"/>
        <w:bottom w:val="none" w:sz="0" w:space="0" w:color="auto"/>
        <w:right w:val="none" w:sz="0" w:space="0" w:color="auto"/>
      </w:divBdr>
    </w:div>
    <w:div w:id="335117025">
      <w:bodyDiv w:val="1"/>
      <w:marLeft w:val="0"/>
      <w:marRight w:val="0"/>
      <w:marTop w:val="0"/>
      <w:marBottom w:val="0"/>
      <w:divBdr>
        <w:top w:val="none" w:sz="0" w:space="0" w:color="auto"/>
        <w:left w:val="none" w:sz="0" w:space="0" w:color="auto"/>
        <w:bottom w:val="none" w:sz="0" w:space="0" w:color="auto"/>
        <w:right w:val="none" w:sz="0" w:space="0" w:color="auto"/>
      </w:divBdr>
    </w:div>
    <w:div w:id="335156615">
      <w:bodyDiv w:val="1"/>
      <w:marLeft w:val="0"/>
      <w:marRight w:val="0"/>
      <w:marTop w:val="0"/>
      <w:marBottom w:val="0"/>
      <w:divBdr>
        <w:top w:val="none" w:sz="0" w:space="0" w:color="auto"/>
        <w:left w:val="none" w:sz="0" w:space="0" w:color="auto"/>
        <w:bottom w:val="none" w:sz="0" w:space="0" w:color="auto"/>
        <w:right w:val="none" w:sz="0" w:space="0" w:color="auto"/>
      </w:divBdr>
    </w:div>
    <w:div w:id="335230485">
      <w:bodyDiv w:val="1"/>
      <w:marLeft w:val="0"/>
      <w:marRight w:val="0"/>
      <w:marTop w:val="0"/>
      <w:marBottom w:val="0"/>
      <w:divBdr>
        <w:top w:val="none" w:sz="0" w:space="0" w:color="auto"/>
        <w:left w:val="none" w:sz="0" w:space="0" w:color="auto"/>
        <w:bottom w:val="none" w:sz="0" w:space="0" w:color="auto"/>
        <w:right w:val="none" w:sz="0" w:space="0" w:color="auto"/>
      </w:divBdr>
    </w:div>
    <w:div w:id="335306274">
      <w:bodyDiv w:val="1"/>
      <w:marLeft w:val="0"/>
      <w:marRight w:val="0"/>
      <w:marTop w:val="0"/>
      <w:marBottom w:val="0"/>
      <w:divBdr>
        <w:top w:val="none" w:sz="0" w:space="0" w:color="auto"/>
        <w:left w:val="none" w:sz="0" w:space="0" w:color="auto"/>
        <w:bottom w:val="none" w:sz="0" w:space="0" w:color="auto"/>
        <w:right w:val="none" w:sz="0" w:space="0" w:color="auto"/>
      </w:divBdr>
    </w:div>
    <w:div w:id="335377597">
      <w:bodyDiv w:val="1"/>
      <w:marLeft w:val="0"/>
      <w:marRight w:val="0"/>
      <w:marTop w:val="0"/>
      <w:marBottom w:val="0"/>
      <w:divBdr>
        <w:top w:val="none" w:sz="0" w:space="0" w:color="auto"/>
        <w:left w:val="none" w:sz="0" w:space="0" w:color="auto"/>
        <w:bottom w:val="none" w:sz="0" w:space="0" w:color="auto"/>
        <w:right w:val="none" w:sz="0" w:space="0" w:color="auto"/>
      </w:divBdr>
    </w:div>
    <w:div w:id="335378991">
      <w:bodyDiv w:val="1"/>
      <w:marLeft w:val="0"/>
      <w:marRight w:val="0"/>
      <w:marTop w:val="0"/>
      <w:marBottom w:val="0"/>
      <w:divBdr>
        <w:top w:val="none" w:sz="0" w:space="0" w:color="auto"/>
        <w:left w:val="none" w:sz="0" w:space="0" w:color="auto"/>
        <w:bottom w:val="none" w:sz="0" w:space="0" w:color="auto"/>
        <w:right w:val="none" w:sz="0" w:space="0" w:color="auto"/>
      </w:divBdr>
    </w:div>
    <w:div w:id="335497420">
      <w:bodyDiv w:val="1"/>
      <w:marLeft w:val="0"/>
      <w:marRight w:val="0"/>
      <w:marTop w:val="0"/>
      <w:marBottom w:val="0"/>
      <w:divBdr>
        <w:top w:val="none" w:sz="0" w:space="0" w:color="auto"/>
        <w:left w:val="none" w:sz="0" w:space="0" w:color="auto"/>
        <w:bottom w:val="none" w:sz="0" w:space="0" w:color="auto"/>
        <w:right w:val="none" w:sz="0" w:space="0" w:color="auto"/>
      </w:divBdr>
    </w:div>
    <w:div w:id="335544333">
      <w:bodyDiv w:val="1"/>
      <w:marLeft w:val="0"/>
      <w:marRight w:val="0"/>
      <w:marTop w:val="0"/>
      <w:marBottom w:val="0"/>
      <w:divBdr>
        <w:top w:val="none" w:sz="0" w:space="0" w:color="auto"/>
        <w:left w:val="none" w:sz="0" w:space="0" w:color="auto"/>
        <w:bottom w:val="none" w:sz="0" w:space="0" w:color="auto"/>
        <w:right w:val="none" w:sz="0" w:space="0" w:color="auto"/>
      </w:divBdr>
    </w:div>
    <w:div w:id="335613442">
      <w:bodyDiv w:val="1"/>
      <w:marLeft w:val="0"/>
      <w:marRight w:val="0"/>
      <w:marTop w:val="0"/>
      <w:marBottom w:val="0"/>
      <w:divBdr>
        <w:top w:val="none" w:sz="0" w:space="0" w:color="auto"/>
        <w:left w:val="none" w:sz="0" w:space="0" w:color="auto"/>
        <w:bottom w:val="none" w:sz="0" w:space="0" w:color="auto"/>
        <w:right w:val="none" w:sz="0" w:space="0" w:color="auto"/>
      </w:divBdr>
    </w:div>
    <w:div w:id="335765429">
      <w:bodyDiv w:val="1"/>
      <w:marLeft w:val="0"/>
      <w:marRight w:val="0"/>
      <w:marTop w:val="0"/>
      <w:marBottom w:val="0"/>
      <w:divBdr>
        <w:top w:val="none" w:sz="0" w:space="0" w:color="auto"/>
        <w:left w:val="none" w:sz="0" w:space="0" w:color="auto"/>
        <w:bottom w:val="none" w:sz="0" w:space="0" w:color="auto"/>
        <w:right w:val="none" w:sz="0" w:space="0" w:color="auto"/>
      </w:divBdr>
    </w:div>
    <w:div w:id="335773072">
      <w:bodyDiv w:val="1"/>
      <w:marLeft w:val="0"/>
      <w:marRight w:val="0"/>
      <w:marTop w:val="0"/>
      <w:marBottom w:val="0"/>
      <w:divBdr>
        <w:top w:val="none" w:sz="0" w:space="0" w:color="auto"/>
        <w:left w:val="none" w:sz="0" w:space="0" w:color="auto"/>
        <w:bottom w:val="none" w:sz="0" w:space="0" w:color="auto"/>
        <w:right w:val="none" w:sz="0" w:space="0" w:color="auto"/>
      </w:divBdr>
    </w:div>
    <w:div w:id="335806685">
      <w:bodyDiv w:val="1"/>
      <w:marLeft w:val="0"/>
      <w:marRight w:val="0"/>
      <w:marTop w:val="0"/>
      <w:marBottom w:val="0"/>
      <w:divBdr>
        <w:top w:val="none" w:sz="0" w:space="0" w:color="auto"/>
        <w:left w:val="none" w:sz="0" w:space="0" w:color="auto"/>
        <w:bottom w:val="none" w:sz="0" w:space="0" w:color="auto"/>
        <w:right w:val="none" w:sz="0" w:space="0" w:color="auto"/>
      </w:divBdr>
    </w:div>
    <w:div w:id="335881930">
      <w:bodyDiv w:val="1"/>
      <w:marLeft w:val="0"/>
      <w:marRight w:val="0"/>
      <w:marTop w:val="0"/>
      <w:marBottom w:val="0"/>
      <w:divBdr>
        <w:top w:val="none" w:sz="0" w:space="0" w:color="auto"/>
        <w:left w:val="none" w:sz="0" w:space="0" w:color="auto"/>
        <w:bottom w:val="none" w:sz="0" w:space="0" w:color="auto"/>
        <w:right w:val="none" w:sz="0" w:space="0" w:color="auto"/>
      </w:divBdr>
    </w:div>
    <w:div w:id="335891082">
      <w:bodyDiv w:val="1"/>
      <w:marLeft w:val="0"/>
      <w:marRight w:val="0"/>
      <w:marTop w:val="0"/>
      <w:marBottom w:val="0"/>
      <w:divBdr>
        <w:top w:val="none" w:sz="0" w:space="0" w:color="auto"/>
        <w:left w:val="none" w:sz="0" w:space="0" w:color="auto"/>
        <w:bottom w:val="none" w:sz="0" w:space="0" w:color="auto"/>
        <w:right w:val="none" w:sz="0" w:space="0" w:color="auto"/>
      </w:divBdr>
    </w:div>
    <w:div w:id="336033835">
      <w:bodyDiv w:val="1"/>
      <w:marLeft w:val="0"/>
      <w:marRight w:val="0"/>
      <w:marTop w:val="0"/>
      <w:marBottom w:val="0"/>
      <w:divBdr>
        <w:top w:val="none" w:sz="0" w:space="0" w:color="auto"/>
        <w:left w:val="none" w:sz="0" w:space="0" w:color="auto"/>
        <w:bottom w:val="none" w:sz="0" w:space="0" w:color="auto"/>
        <w:right w:val="none" w:sz="0" w:space="0" w:color="auto"/>
      </w:divBdr>
    </w:div>
    <w:div w:id="336034805">
      <w:bodyDiv w:val="1"/>
      <w:marLeft w:val="0"/>
      <w:marRight w:val="0"/>
      <w:marTop w:val="0"/>
      <w:marBottom w:val="0"/>
      <w:divBdr>
        <w:top w:val="none" w:sz="0" w:space="0" w:color="auto"/>
        <w:left w:val="none" w:sz="0" w:space="0" w:color="auto"/>
        <w:bottom w:val="none" w:sz="0" w:space="0" w:color="auto"/>
        <w:right w:val="none" w:sz="0" w:space="0" w:color="auto"/>
      </w:divBdr>
    </w:div>
    <w:div w:id="336084295">
      <w:bodyDiv w:val="1"/>
      <w:marLeft w:val="0"/>
      <w:marRight w:val="0"/>
      <w:marTop w:val="0"/>
      <w:marBottom w:val="0"/>
      <w:divBdr>
        <w:top w:val="none" w:sz="0" w:space="0" w:color="auto"/>
        <w:left w:val="none" w:sz="0" w:space="0" w:color="auto"/>
        <w:bottom w:val="none" w:sz="0" w:space="0" w:color="auto"/>
        <w:right w:val="none" w:sz="0" w:space="0" w:color="auto"/>
      </w:divBdr>
    </w:div>
    <w:div w:id="336268066">
      <w:bodyDiv w:val="1"/>
      <w:marLeft w:val="0"/>
      <w:marRight w:val="0"/>
      <w:marTop w:val="0"/>
      <w:marBottom w:val="0"/>
      <w:divBdr>
        <w:top w:val="none" w:sz="0" w:space="0" w:color="auto"/>
        <w:left w:val="none" w:sz="0" w:space="0" w:color="auto"/>
        <w:bottom w:val="none" w:sz="0" w:space="0" w:color="auto"/>
        <w:right w:val="none" w:sz="0" w:space="0" w:color="auto"/>
      </w:divBdr>
    </w:div>
    <w:div w:id="336345954">
      <w:bodyDiv w:val="1"/>
      <w:marLeft w:val="0"/>
      <w:marRight w:val="0"/>
      <w:marTop w:val="0"/>
      <w:marBottom w:val="0"/>
      <w:divBdr>
        <w:top w:val="none" w:sz="0" w:space="0" w:color="auto"/>
        <w:left w:val="none" w:sz="0" w:space="0" w:color="auto"/>
        <w:bottom w:val="none" w:sz="0" w:space="0" w:color="auto"/>
        <w:right w:val="none" w:sz="0" w:space="0" w:color="auto"/>
      </w:divBdr>
    </w:div>
    <w:div w:id="336691074">
      <w:bodyDiv w:val="1"/>
      <w:marLeft w:val="0"/>
      <w:marRight w:val="0"/>
      <w:marTop w:val="0"/>
      <w:marBottom w:val="0"/>
      <w:divBdr>
        <w:top w:val="none" w:sz="0" w:space="0" w:color="auto"/>
        <w:left w:val="none" w:sz="0" w:space="0" w:color="auto"/>
        <w:bottom w:val="none" w:sz="0" w:space="0" w:color="auto"/>
        <w:right w:val="none" w:sz="0" w:space="0" w:color="auto"/>
      </w:divBdr>
    </w:div>
    <w:div w:id="336736460">
      <w:bodyDiv w:val="1"/>
      <w:marLeft w:val="0"/>
      <w:marRight w:val="0"/>
      <w:marTop w:val="0"/>
      <w:marBottom w:val="0"/>
      <w:divBdr>
        <w:top w:val="none" w:sz="0" w:space="0" w:color="auto"/>
        <w:left w:val="none" w:sz="0" w:space="0" w:color="auto"/>
        <w:bottom w:val="none" w:sz="0" w:space="0" w:color="auto"/>
        <w:right w:val="none" w:sz="0" w:space="0" w:color="auto"/>
      </w:divBdr>
    </w:div>
    <w:div w:id="336881039">
      <w:bodyDiv w:val="1"/>
      <w:marLeft w:val="0"/>
      <w:marRight w:val="0"/>
      <w:marTop w:val="0"/>
      <w:marBottom w:val="0"/>
      <w:divBdr>
        <w:top w:val="none" w:sz="0" w:space="0" w:color="auto"/>
        <w:left w:val="none" w:sz="0" w:space="0" w:color="auto"/>
        <w:bottom w:val="none" w:sz="0" w:space="0" w:color="auto"/>
        <w:right w:val="none" w:sz="0" w:space="0" w:color="auto"/>
      </w:divBdr>
    </w:div>
    <w:div w:id="336883666">
      <w:bodyDiv w:val="1"/>
      <w:marLeft w:val="0"/>
      <w:marRight w:val="0"/>
      <w:marTop w:val="0"/>
      <w:marBottom w:val="0"/>
      <w:divBdr>
        <w:top w:val="none" w:sz="0" w:space="0" w:color="auto"/>
        <w:left w:val="none" w:sz="0" w:space="0" w:color="auto"/>
        <w:bottom w:val="none" w:sz="0" w:space="0" w:color="auto"/>
        <w:right w:val="none" w:sz="0" w:space="0" w:color="auto"/>
      </w:divBdr>
    </w:div>
    <w:div w:id="336886345">
      <w:bodyDiv w:val="1"/>
      <w:marLeft w:val="0"/>
      <w:marRight w:val="0"/>
      <w:marTop w:val="0"/>
      <w:marBottom w:val="0"/>
      <w:divBdr>
        <w:top w:val="none" w:sz="0" w:space="0" w:color="auto"/>
        <w:left w:val="none" w:sz="0" w:space="0" w:color="auto"/>
        <w:bottom w:val="none" w:sz="0" w:space="0" w:color="auto"/>
        <w:right w:val="none" w:sz="0" w:space="0" w:color="auto"/>
      </w:divBdr>
    </w:div>
    <w:div w:id="336926441">
      <w:bodyDiv w:val="1"/>
      <w:marLeft w:val="0"/>
      <w:marRight w:val="0"/>
      <w:marTop w:val="0"/>
      <w:marBottom w:val="0"/>
      <w:divBdr>
        <w:top w:val="none" w:sz="0" w:space="0" w:color="auto"/>
        <w:left w:val="none" w:sz="0" w:space="0" w:color="auto"/>
        <w:bottom w:val="none" w:sz="0" w:space="0" w:color="auto"/>
        <w:right w:val="none" w:sz="0" w:space="0" w:color="auto"/>
      </w:divBdr>
    </w:div>
    <w:div w:id="336928516">
      <w:bodyDiv w:val="1"/>
      <w:marLeft w:val="0"/>
      <w:marRight w:val="0"/>
      <w:marTop w:val="0"/>
      <w:marBottom w:val="0"/>
      <w:divBdr>
        <w:top w:val="none" w:sz="0" w:space="0" w:color="auto"/>
        <w:left w:val="none" w:sz="0" w:space="0" w:color="auto"/>
        <w:bottom w:val="none" w:sz="0" w:space="0" w:color="auto"/>
        <w:right w:val="none" w:sz="0" w:space="0" w:color="auto"/>
      </w:divBdr>
    </w:div>
    <w:div w:id="337078559">
      <w:bodyDiv w:val="1"/>
      <w:marLeft w:val="0"/>
      <w:marRight w:val="0"/>
      <w:marTop w:val="0"/>
      <w:marBottom w:val="0"/>
      <w:divBdr>
        <w:top w:val="none" w:sz="0" w:space="0" w:color="auto"/>
        <w:left w:val="none" w:sz="0" w:space="0" w:color="auto"/>
        <w:bottom w:val="none" w:sz="0" w:space="0" w:color="auto"/>
        <w:right w:val="none" w:sz="0" w:space="0" w:color="auto"/>
      </w:divBdr>
    </w:div>
    <w:div w:id="337081150">
      <w:bodyDiv w:val="1"/>
      <w:marLeft w:val="0"/>
      <w:marRight w:val="0"/>
      <w:marTop w:val="0"/>
      <w:marBottom w:val="0"/>
      <w:divBdr>
        <w:top w:val="none" w:sz="0" w:space="0" w:color="auto"/>
        <w:left w:val="none" w:sz="0" w:space="0" w:color="auto"/>
        <w:bottom w:val="none" w:sz="0" w:space="0" w:color="auto"/>
        <w:right w:val="none" w:sz="0" w:space="0" w:color="auto"/>
      </w:divBdr>
    </w:div>
    <w:div w:id="337195840">
      <w:bodyDiv w:val="1"/>
      <w:marLeft w:val="0"/>
      <w:marRight w:val="0"/>
      <w:marTop w:val="0"/>
      <w:marBottom w:val="0"/>
      <w:divBdr>
        <w:top w:val="none" w:sz="0" w:space="0" w:color="auto"/>
        <w:left w:val="none" w:sz="0" w:space="0" w:color="auto"/>
        <w:bottom w:val="none" w:sz="0" w:space="0" w:color="auto"/>
        <w:right w:val="none" w:sz="0" w:space="0" w:color="auto"/>
      </w:divBdr>
    </w:div>
    <w:div w:id="337271874">
      <w:bodyDiv w:val="1"/>
      <w:marLeft w:val="0"/>
      <w:marRight w:val="0"/>
      <w:marTop w:val="0"/>
      <w:marBottom w:val="0"/>
      <w:divBdr>
        <w:top w:val="none" w:sz="0" w:space="0" w:color="auto"/>
        <w:left w:val="none" w:sz="0" w:space="0" w:color="auto"/>
        <w:bottom w:val="none" w:sz="0" w:space="0" w:color="auto"/>
        <w:right w:val="none" w:sz="0" w:space="0" w:color="auto"/>
      </w:divBdr>
    </w:div>
    <w:div w:id="337273529">
      <w:bodyDiv w:val="1"/>
      <w:marLeft w:val="0"/>
      <w:marRight w:val="0"/>
      <w:marTop w:val="0"/>
      <w:marBottom w:val="0"/>
      <w:divBdr>
        <w:top w:val="none" w:sz="0" w:space="0" w:color="auto"/>
        <w:left w:val="none" w:sz="0" w:space="0" w:color="auto"/>
        <w:bottom w:val="none" w:sz="0" w:space="0" w:color="auto"/>
        <w:right w:val="none" w:sz="0" w:space="0" w:color="auto"/>
      </w:divBdr>
    </w:div>
    <w:div w:id="337276536">
      <w:bodyDiv w:val="1"/>
      <w:marLeft w:val="0"/>
      <w:marRight w:val="0"/>
      <w:marTop w:val="0"/>
      <w:marBottom w:val="0"/>
      <w:divBdr>
        <w:top w:val="none" w:sz="0" w:space="0" w:color="auto"/>
        <w:left w:val="none" w:sz="0" w:space="0" w:color="auto"/>
        <w:bottom w:val="none" w:sz="0" w:space="0" w:color="auto"/>
        <w:right w:val="none" w:sz="0" w:space="0" w:color="auto"/>
      </w:divBdr>
    </w:div>
    <w:div w:id="337390061">
      <w:bodyDiv w:val="1"/>
      <w:marLeft w:val="0"/>
      <w:marRight w:val="0"/>
      <w:marTop w:val="0"/>
      <w:marBottom w:val="0"/>
      <w:divBdr>
        <w:top w:val="none" w:sz="0" w:space="0" w:color="auto"/>
        <w:left w:val="none" w:sz="0" w:space="0" w:color="auto"/>
        <w:bottom w:val="none" w:sz="0" w:space="0" w:color="auto"/>
        <w:right w:val="none" w:sz="0" w:space="0" w:color="auto"/>
      </w:divBdr>
    </w:div>
    <w:div w:id="337581057">
      <w:bodyDiv w:val="1"/>
      <w:marLeft w:val="0"/>
      <w:marRight w:val="0"/>
      <w:marTop w:val="0"/>
      <w:marBottom w:val="0"/>
      <w:divBdr>
        <w:top w:val="none" w:sz="0" w:space="0" w:color="auto"/>
        <w:left w:val="none" w:sz="0" w:space="0" w:color="auto"/>
        <w:bottom w:val="none" w:sz="0" w:space="0" w:color="auto"/>
        <w:right w:val="none" w:sz="0" w:space="0" w:color="auto"/>
      </w:divBdr>
    </w:div>
    <w:div w:id="337588168">
      <w:bodyDiv w:val="1"/>
      <w:marLeft w:val="0"/>
      <w:marRight w:val="0"/>
      <w:marTop w:val="0"/>
      <w:marBottom w:val="0"/>
      <w:divBdr>
        <w:top w:val="none" w:sz="0" w:space="0" w:color="auto"/>
        <w:left w:val="none" w:sz="0" w:space="0" w:color="auto"/>
        <w:bottom w:val="none" w:sz="0" w:space="0" w:color="auto"/>
        <w:right w:val="none" w:sz="0" w:space="0" w:color="auto"/>
      </w:divBdr>
    </w:div>
    <w:div w:id="337654084">
      <w:bodyDiv w:val="1"/>
      <w:marLeft w:val="0"/>
      <w:marRight w:val="0"/>
      <w:marTop w:val="0"/>
      <w:marBottom w:val="0"/>
      <w:divBdr>
        <w:top w:val="none" w:sz="0" w:space="0" w:color="auto"/>
        <w:left w:val="none" w:sz="0" w:space="0" w:color="auto"/>
        <w:bottom w:val="none" w:sz="0" w:space="0" w:color="auto"/>
        <w:right w:val="none" w:sz="0" w:space="0" w:color="auto"/>
      </w:divBdr>
    </w:div>
    <w:div w:id="337656866">
      <w:bodyDiv w:val="1"/>
      <w:marLeft w:val="0"/>
      <w:marRight w:val="0"/>
      <w:marTop w:val="0"/>
      <w:marBottom w:val="0"/>
      <w:divBdr>
        <w:top w:val="none" w:sz="0" w:space="0" w:color="auto"/>
        <w:left w:val="none" w:sz="0" w:space="0" w:color="auto"/>
        <w:bottom w:val="none" w:sz="0" w:space="0" w:color="auto"/>
        <w:right w:val="none" w:sz="0" w:space="0" w:color="auto"/>
      </w:divBdr>
    </w:div>
    <w:div w:id="337657567">
      <w:bodyDiv w:val="1"/>
      <w:marLeft w:val="0"/>
      <w:marRight w:val="0"/>
      <w:marTop w:val="0"/>
      <w:marBottom w:val="0"/>
      <w:divBdr>
        <w:top w:val="none" w:sz="0" w:space="0" w:color="auto"/>
        <w:left w:val="none" w:sz="0" w:space="0" w:color="auto"/>
        <w:bottom w:val="none" w:sz="0" w:space="0" w:color="auto"/>
        <w:right w:val="none" w:sz="0" w:space="0" w:color="auto"/>
      </w:divBdr>
    </w:div>
    <w:div w:id="337735990">
      <w:bodyDiv w:val="1"/>
      <w:marLeft w:val="0"/>
      <w:marRight w:val="0"/>
      <w:marTop w:val="0"/>
      <w:marBottom w:val="0"/>
      <w:divBdr>
        <w:top w:val="none" w:sz="0" w:space="0" w:color="auto"/>
        <w:left w:val="none" w:sz="0" w:space="0" w:color="auto"/>
        <w:bottom w:val="none" w:sz="0" w:space="0" w:color="auto"/>
        <w:right w:val="none" w:sz="0" w:space="0" w:color="auto"/>
      </w:divBdr>
    </w:div>
    <w:div w:id="337772670">
      <w:bodyDiv w:val="1"/>
      <w:marLeft w:val="0"/>
      <w:marRight w:val="0"/>
      <w:marTop w:val="0"/>
      <w:marBottom w:val="0"/>
      <w:divBdr>
        <w:top w:val="none" w:sz="0" w:space="0" w:color="auto"/>
        <w:left w:val="none" w:sz="0" w:space="0" w:color="auto"/>
        <w:bottom w:val="none" w:sz="0" w:space="0" w:color="auto"/>
        <w:right w:val="none" w:sz="0" w:space="0" w:color="auto"/>
      </w:divBdr>
    </w:div>
    <w:div w:id="337779389">
      <w:bodyDiv w:val="1"/>
      <w:marLeft w:val="0"/>
      <w:marRight w:val="0"/>
      <w:marTop w:val="0"/>
      <w:marBottom w:val="0"/>
      <w:divBdr>
        <w:top w:val="none" w:sz="0" w:space="0" w:color="auto"/>
        <w:left w:val="none" w:sz="0" w:space="0" w:color="auto"/>
        <w:bottom w:val="none" w:sz="0" w:space="0" w:color="auto"/>
        <w:right w:val="none" w:sz="0" w:space="0" w:color="auto"/>
      </w:divBdr>
    </w:div>
    <w:div w:id="337854115">
      <w:bodyDiv w:val="1"/>
      <w:marLeft w:val="0"/>
      <w:marRight w:val="0"/>
      <w:marTop w:val="0"/>
      <w:marBottom w:val="0"/>
      <w:divBdr>
        <w:top w:val="none" w:sz="0" w:space="0" w:color="auto"/>
        <w:left w:val="none" w:sz="0" w:space="0" w:color="auto"/>
        <w:bottom w:val="none" w:sz="0" w:space="0" w:color="auto"/>
        <w:right w:val="none" w:sz="0" w:space="0" w:color="auto"/>
      </w:divBdr>
    </w:div>
    <w:div w:id="337854285">
      <w:bodyDiv w:val="1"/>
      <w:marLeft w:val="0"/>
      <w:marRight w:val="0"/>
      <w:marTop w:val="0"/>
      <w:marBottom w:val="0"/>
      <w:divBdr>
        <w:top w:val="none" w:sz="0" w:space="0" w:color="auto"/>
        <w:left w:val="none" w:sz="0" w:space="0" w:color="auto"/>
        <w:bottom w:val="none" w:sz="0" w:space="0" w:color="auto"/>
        <w:right w:val="none" w:sz="0" w:space="0" w:color="auto"/>
      </w:divBdr>
    </w:div>
    <w:div w:id="337924965">
      <w:bodyDiv w:val="1"/>
      <w:marLeft w:val="0"/>
      <w:marRight w:val="0"/>
      <w:marTop w:val="0"/>
      <w:marBottom w:val="0"/>
      <w:divBdr>
        <w:top w:val="none" w:sz="0" w:space="0" w:color="auto"/>
        <w:left w:val="none" w:sz="0" w:space="0" w:color="auto"/>
        <w:bottom w:val="none" w:sz="0" w:space="0" w:color="auto"/>
        <w:right w:val="none" w:sz="0" w:space="0" w:color="auto"/>
      </w:divBdr>
    </w:div>
    <w:div w:id="337932061">
      <w:bodyDiv w:val="1"/>
      <w:marLeft w:val="0"/>
      <w:marRight w:val="0"/>
      <w:marTop w:val="0"/>
      <w:marBottom w:val="0"/>
      <w:divBdr>
        <w:top w:val="none" w:sz="0" w:space="0" w:color="auto"/>
        <w:left w:val="none" w:sz="0" w:space="0" w:color="auto"/>
        <w:bottom w:val="none" w:sz="0" w:space="0" w:color="auto"/>
        <w:right w:val="none" w:sz="0" w:space="0" w:color="auto"/>
      </w:divBdr>
    </w:div>
    <w:div w:id="338120337">
      <w:bodyDiv w:val="1"/>
      <w:marLeft w:val="0"/>
      <w:marRight w:val="0"/>
      <w:marTop w:val="0"/>
      <w:marBottom w:val="0"/>
      <w:divBdr>
        <w:top w:val="none" w:sz="0" w:space="0" w:color="auto"/>
        <w:left w:val="none" w:sz="0" w:space="0" w:color="auto"/>
        <w:bottom w:val="none" w:sz="0" w:space="0" w:color="auto"/>
        <w:right w:val="none" w:sz="0" w:space="0" w:color="auto"/>
      </w:divBdr>
    </w:div>
    <w:div w:id="338125570">
      <w:bodyDiv w:val="1"/>
      <w:marLeft w:val="0"/>
      <w:marRight w:val="0"/>
      <w:marTop w:val="0"/>
      <w:marBottom w:val="0"/>
      <w:divBdr>
        <w:top w:val="none" w:sz="0" w:space="0" w:color="auto"/>
        <w:left w:val="none" w:sz="0" w:space="0" w:color="auto"/>
        <w:bottom w:val="none" w:sz="0" w:space="0" w:color="auto"/>
        <w:right w:val="none" w:sz="0" w:space="0" w:color="auto"/>
      </w:divBdr>
    </w:div>
    <w:div w:id="338389350">
      <w:bodyDiv w:val="1"/>
      <w:marLeft w:val="0"/>
      <w:marRight w:val="0"/>
      <w:marTop w:val="0"/>
      <w:marBottom w:val="0"/>
      <w:divBdr>
        <w:top w:val="none" w:sz="0" w:space="0" w:color="auto"/>
        <w:left w:val="none" w:sz="0" w:space="0" w:color="auto"/>
        <w:bottom w:val="none" w:sz="0" w:space="0" w:color="auto"/>
        <w:right w:val="none" w:sz="0" w:space="0" w:color="auto"/>
      </w:divBdr>
    </w:div>
    <w:div w:id="338428356">
      <w:bodyDiv w:val="1"/>
      <w:marLeft w:val="0"/>
      <w:marRight w:val="0"/>
      <w:marTop w:val="0"/>
      <w:marBottom w:val="0"/>
      <w:divBdr>
        <w:top w:val="none" w:sz="0" w:space="0" w:color="auto"/>
        <w:left w:val="none" w:sz="0" w:space="0" w:color="auto"/>
        <w:bottom w:val="none" w:sz="0" w:space="0" w:color="auto"/>
        <w:right w:val="none" w:sz="0" w:space="0" w:color="auto"/>
      </w:divBdr>
    </w:div>
    <w:div w:id="338654075">
      <w:bodyDiv w:val="1"/>
      <w:marLeft w:val="0"/>
      <w:marRight w:val="0"/>
      <w:marTop w:val="0"/>
      <w:marBottom w:val="0"/>
      <w:divBdr>
        <w:top w:val="none" w:sz="0" w:space="0" w:color="auto"/>
        <w:left w:val="none" w:sz="0" w:space="0" w:color="auto"/>
        <w:bottom w:val="none" w:sz="0" w:space="0" w:color="auto"/>
        <w:right w:val="none" w:sz="0" w:space="0" w:color="auto"/>
      </w:divBdr>
    </w:div>
    <w:div w:id="338655985">
      <w:bodyDiv w:val="1"/>
      <w:marLeft w:val="0"/>
      <w:marRight w:val="0"/>
      <w:marTop w:val="0"/>
      <w:marBottom w:val="0"/>
      <w:divBdr>
        <w:top w:val="none" w:sz="0" w:space="0" w:color="auto"/>
        <w:left w:val="none" w:sz="0" w:space="0" w:color="auto"/>
        <w:bottom w:val="none" w:sz="0" w:space="0" w:color="auto"/>
        <w:right w:val="none" w:sz="0" w:space="0" w:color="auto"/>
      </w:divBdr>
    </w:div>
    <w:div w:id="338897523">
      <w:bodyDiv w:val="1"/>
      <w:marLeft w:val="0"/>
      <w:marRight w:val="0"/>
      <w:marTop w:val="0"/>
      <w:marBottom w:val="0"/>
      <w:divBdr>
        <w:top w:val="none" w:sz="0" w:space="0" w:color="auto"/>
        <w:left w:val="none" w:sz="0" w:space="0" w:color="auto"/>
        <w:bottom w:val="none" w:sz="0" w:space="0" w:color="auto"/>
        <w:right w:val="none" w:sz="0" w:space="0" w:color="auto"/>
      </w:divBdr>
    </w:div>
    <w:div w:id="339042294">
      <w:bodyDiv w:val="1"/>
      <w:marLeft w:val="0"/>
      <w:marRight w:val="0"/>
      <w:marTop w:val="0"/>
      <w:marBottom w:val="0"/>
      <w:divBdr>
        <w:top w:val="none" w:sz="0" w:space="0" w:color="auto"/>
        <w:left w:val="none" w:sz="0" w:space="0" w:color="auto"/>
        <w:bottom w:val="none" w:sz="0" w:space="0" w:color="auto"/>
        <w:right w:val="none" w:sz="0" w:space="0" w:color="auto"/>
      </w:divBdr>
    </w:div>
    <w:div w:id="339161884">
      <w:bodyDiv w:val="1"/>
      <w:marLeft w:val="0"/>
      <w:marRight w:val="0"/>
      <w:marTop w:val="0"/>
      <w:marBottom w:val="0"/>
      <w:divBdr>
        <w:top w:val="none" w:sz="0" w:space="0" w:color="auto"/>
        <w:left w:val="none" w:sz="0" w:space="0" w:color="auto"/>
        <w:bottom w:val="none" w:sz="0" w:space="0" w:color="auto"/>
        <w:right w:val="none" w:sz="0" w:space="0" w:color="auto"/>
      </w:divBdr>
    </w:div>
    <w:div w:id="339162665">
      <w:bodyDiv w:val="1"/>
      <w:marLeft w:val="0"/>
      <w:marRight w:val="0"/>
      <w:marTop w:val="0"/>
      <w:marBottom w:val="0"/>
      <w:divBdr>
        <w:top w:val="none" w:sz="0" w:space="0" w:color="auto"/>
        <w:left w:val="none" w:sz="0" w:space="0" w:color="auto"/>
        <w:bottom w:val="none" w:sz="0" w:space="0" w:color="auto"/>
        <w:right w:val="none" w:sz="0" w:space="0" w:color="auto"/>
      </w:divBdr>
    </w:div>
    <w:div w:id="339241968">
      <w:bodyDiv w:val="1"/>
      <w:marLeft w:val="0"/>
      <w:marRight w:val="0"/>
      <w:marTop w:val="0"/>
      <w:marBottom w:val="0"/>
      <w:divBdr>
        <w:top w:val="none" w:sz="0" w:space="0" w:color="auto"/>
        <w:left w:val="none" w:sz="0" w:space="0" w:color="auto"/>
        <w:bottom w:val="none" w:sz="0" w:space="0" w:color="auto"/>
        <w:right w:val="none" w:sz="0" w:space="0" w:color="auto"/>
      </w:divBdr>
    </w:div>
    <w:div w:id="339508020">
      <w:bodyDiv w:val="1"/>
      <w:marLeft w:val="0"/>
      <w:marRight w:val="0"/>
      <w:marTop w:val="0"/>
      <w:marBottom w:val="0"/>
      <w:divBdr>
        <w:top w:val="none" w:sz="0" w:space="0" w:color="auto"/>
        <w:left w:val="none" w:sz="0" w:space="0" w:color="auto"/>
        <w:bottom w:val="none" w:sz="0" w:space="0" w:color="auto"/>
        <w:right w:val="none" w:sz="0" w:space="0" w:color="auto"/>
      </w:divBdr>
    </w:div>
    <w:div w:id="339547920">
      <w:bodyDiv w:val="1"/>
      <w:marLeft w:val="0"/>
      <w:marRight w:val="0"/>
      <w:marTop w:val="0"/>
      <w:marBottom w:val="0"/>
      <w:divBdr>
        <w:top w:val="none" w:sz="0" w:space="0" w:color="auto"/>
        <w:left w:val="none" w:sz="0" w:space="0" w:color="auto"/>
        <w:bottom w:val="none" w:sz="0" w:space="0" w:color="auto"/>
        <w:right w:val="none" w:sz="0" w:space="0" w:color="auto"/>
      </w:divBdr>
    </w:div>
    <w:div w:id="339628160">
      <w:bodyDiv w:val="1"/>
      <w:marLeft w:val="0"/>
      <w:marRight w:val="0"/>
      <w:marTop w:val="0"/>
      <w:marBottom w:val="0"/>
      <w:divBdr>
        <w:top w:val="none" w:sz="0" w:space="0" w:color="auto"/>
        <w:left w:val="none" w:sz="0" w:space="0" w:color="auto"/>
        <w:bottom w:val="none" w:sz="0" w:space="0" w:color="auto"/>
        <w:right w:val="none" w:sz="0" w:space="0" w:color="auto"/>
      </w:divBdr>
    </w:div>
    <w:div w:id="339696666">
      <w:bodyDiv w:val="1"/>
      <w:marLeft w:val="0"/>
      <w:marRight w:val="0"/>
      <w:marTop w:val="0"/>
      <w:marBottom w:val="0"/>
      <w:divBdr>
        <w:top w:val="none" w:sz="0" w:space="0" w:color="auto"/>
        <w:left w:val="none" w:sz="0" w:space="0" w:color="auto"/>
        <w:bottom w:val="none" w:sz="0" w:space="0" w:color="auto"/>
        <w:right w:val="none" w:sz="0" w:space="0" w:color="auto"/>
      </w:divBdr>
    </w:div>
    <w:div w:id="339820253">
      <w:bodyDiv w:val="1"/>
      <w:marLeft w:val="0"/>
      <w:marRight w:val="0"/>
      <w:marTop w:val="0"/>
      <w:marBottom w:val="0"/>
      <w:divBdr>
        <w:top w:val="none" w:sz="0" w:space="0" w:color="auto"/>
        <w:left w:val="none" w:sz="0" w:space="0" w:color="auto"/>
        <w:bottom w:val="none" w:sz="0" w:space="0" w:color="auto"/>
        <w:right w:val="none" w:sz="0" w:space="0" w:color="auto"/>
      </w:divBdr>
    </w:div>
    <w:div w:id="339894276">
      <w:bodyDiv w:val="1"/>
      <w:marLeft w:val="0"/>
      <w:marRight w:val="0"/>
      <w:marTop w:val="0"/>
      <w:marBottom w:val="0"/>
      <w:divBdr>
        <w:top w:val="none" w:sz="0" w:space="0" w:color="auto"/>
        <w:left w:val="none" w:sz="0" w:space="0" w:color="auto"/>
        <w:bottom w:val="none" w:sz="0" w:space="0" w:color="auto"/>
        <w:right w:val="none" w:sz="0" w:space="0" w:color="auto"/>
      </w:divBdr>
    </w:div>
    <w:div w:id="339897468">
      <w:bodyDiv w:val="1"/>
      <w:marLeft w:val="0"/>
      <w:marRight w:val="0"/>
      <w:marTop w:val="0"/>
      <w:marBottom w:val="0"/>
      <w:divBdr>
        <w:top w:val="none" w:sz="0" w:space="0" w:color="auto"/>
        <w:left w:val="none" w:sz="0" w:space="0" w:color="auto"/>
        <w:bottom w:val="none" w:sz="0" w:space="0" w:color="auto"/>
        <w:right w:val="none" w:sz="0" w:space="0" w:color="auto"/>
      </w:divBdr>
    </w:div>
    <w:div w:id="339935987">
      <w:bodyDiv w:val="1"/>
      <w:marLeft w:val="0"/>
      <w:marRight w:val="0"/>
      <w:marTop w:val="0"/>
      <w:marBottom w:val="0"/>
      <w:divBdr>
        <w:top w:val="none" w:sz="0" w:space="0" w:color="auto"/>
        <w:left w:val="none" w:sz="0" w:space="0" w:color="auto"/>
        <w:bottom w:val="none" w:sz="0" w:space="0" w:color="auto"/>
        <w:right w:val="none" w:sz="0" w:space="0" w:color="auto"/>
      </w:divBdr>
    </w:div>
    <w:div w:id="339964389">
      <w:bodyDiv w:val="1"/>
      <w:marLeft w:val="0"/>
      <w:marRight w:val="0"/>
      <w:marTop w:val="0"/>
      <w:marBottom w:val="0"/>
      <w:divBdr>
        <w:top w:val="none" w:sz="0" w:space="0" w:color="auto"/>
        <w:left w:val="none" w:sz="0" w:space="0" w:color="auto"/>
        <w:bottom w:val="none" w:sz="0" w:space="0" w:color="auto"/>
        <w:right w:val="none" w:sz="0" w:space="0" w:color="auto"/>
      </w:divBdr>
    </w:div>
    <w:div w:id="340008525">
      <w:bodyDiv w:val="1"/>
      <w:marLeft w:val="0"/>
      <w:marRight w:val="0"/>
      <w:marTop w:val="0"/>
      <w:marBottom w:val="0"/>
      <w:divBdr>
        <w:top w:val="none" w:sz="0" w:space="0" w:color="auto"/>
        <w:left w:val="none" w:sz="0" w:space="0" w:color="auto"/>
        <w:bottom w:val="none" w:sz="0" w:space="0" w:color="auto"/>
        <w:right w:val="none" w:sz="0" w:space="0" w:color="auto"/>
      </w:divBdr>
    </w:div>
    <w:div w:id="340013713">
      <w:bodyDiv w:val="1"/>
      <w:marLeft w:val="0"/>
      <w:marRight w:val="0"/>
      <w:marTop w:val="0"/>
      <w:marBottom w:val="0"/>
      <w:divBdr>
        <w:top w:val="none" w:sz="0" w:space="0" w:color="auto"/>
        <w:left w:val="none" w:sz="0" w:space="0" w:color="auto"/>
        <w:bottom w:val="none" w:sz="0" w:space="0" w:color="auto"/>
        <w:right w:val="none" w:sz="0" w:space="0" w:color="auto"/>
      </w:divBdr>
    </w:div>
    <w:div w:id="340014511">
      <w:bodyDiv w:val="1"/>
      <w:marLeft w:val="0"/>
      <w:marRight w:val="0"/>
      <w:marTop w:val="0"/>
      <w:marBottom w:val="0"/>
      <w:divBdr>
        <w:top w:val="none" w:sz="0" w:space="0" w:color="auto"/>
        <w:left w:val="none" w:sz="0" w:space="0" w:color="auto"/>
        <w:bottom w:val="none" w:sz="0" w:space="0" w:color="auto"/>
        <w:right w:val="none" w:sz="0" w:space="0" w:color="auto"/>
      </w:divBdr>
    </w:div>
    <w:div w:id="340133534">
      <w:bodyDiv w:val="1"/>
      <w:marLeft w:val="0"/>
      <w:marRight w:val="0"/>
      <w:marTop w:val="0"/>
      <w:marBottom w:val="0"/>
      <w:divBdr>
        <w:top w:val="none" w:sz="0" w:space="0" w:color="auto"/>
        <w:left w:val="none" w:sz="0" w:space="0" w:color="auto"/>
        <w:bottom w:val="none" w:sz="0" w:space="0" w:color="auto"/>
        <w:right w:val="none" w:sz="0" w:space="0" w:color="auto"/>
      </w:divBdr>
    </w:div>
    <w:div w:id="340276427">
      <w:bodyDiv w:val="1"/>
      <w:marLeft w:val="0"/>
      <w:marRight w:val="0"/>
      <w:marTop w:val="0"/>
      <w:marBottom w:val="0"/>
      <w:divBdr>
        <w:top w:val="none" w:sz="0" w:space="0" w:color="auto"/>
        <w:left w:val="none" w:sz="0" w:space="0" w:color="auto"/>
        <w:bottom w:val="none" w:sz="0" w:space="0" w:color="auto"/>
        <w:right w:val="none" w:sz="0" w:space="0" w:color="auto"/>
      </w:divBdr>
    </w:div>
    <w:div w:id="340356049">
      <w:bodyDiv w:val="1"/>
      <w:marLeft w:val="0"/>
      <w:marRight w:val="0"/>
      <w:marTop w:val="0"/>
      <w:marBottom w:val="0"/>
      <w:divBdr>
        <w:top w:val="none" w:sz="0" w:space="0" w:color="auto"/>
        <w:left w:val="none" w:sz="0" w:space="0" w:color="auto"/>
        <w:bottom w:val="none" w:sz="0" w:space="0" w:color="auto"/>
        <w:right w:val="none" w:sz="0" w:space="0" w:color="auto"/>
      </w:divBdr>
    </w:div>
    <w:div w:id="340358495">
      <w:bodyDiv w:val="1"/>
      <w:marLeft w:val="0"/>
      <w:marRight w:val="0"/>
      <w:marTop w:val="0"/>
      <w:marBottom w:val="0"/>
      <w:divBdr>
        <w:top w:val="none" w:sz="0" w:space="0" w:color="auto"/>
        <w:left w:val="none" w:sz="0" w:space="0" w:color="auto"/>
        <w:bottom w:val="none" w:sz="0" w:space="0" w:color="auto"/>
        <w:right w:val="none" w:sz="0" w:space="0" w:color="auto"/>
      </w:divBdr>
    </w:div>
    <w:div w:id="340398146">
      <w:bodyDiv w:val="1"/>
      <w:marLeft w:val="0"/>
      <w:marRight w:val="0"/>
      <w:marTop w:val="0"/>
      <w:marBottom w:val="0"/>
      <w:divBdr>
        <w:top w:val="none" w:sz="0" w:space="0" w:color="auto"/>
        <w:left w:val="none" w:sz="0" w:space="0" w:color="auto"/>
        <w:bottom w:val="none" w:sz="0" w:space="0" w:color="auto"/>
        <w:right w:val="none" w:sz="0" w:space="0" w:color="auto"/>
      </w:divBdr>
    </w:div>
    <w:div w:id="340426644">
      <w:bodyDiv w:val="1"/>
      <w:marLeft w:val="0"/>
      <w:marRight w:val="0"/>
      <w:marTop w:val="0"/>
      <w:marBottom w:val="0"/>
      <w:divBdr>
        <w:top w:val="none" w:sz="0" w:space="0" w:color="auto"/>
        <w:left w:val="none" w:sz="0" w:space="0" w:color="auto"/>
        <w:bottom w:val="none" w:sz="0" w:space="0" w:color="auto"/>
        <w:right w:val="none" w:sz="0" w:space="0" w:color="auto"/>
      </w:divBdr>
    </w:div>
    <w:div w:id="340546061">
      <w:bodyDiv w:val="1"/>
      <w:marLeft w:val="0"/>
      <w:marRight w:val="0"/>
      <w:marTop w:val="0"/>
      <w:marBottom w:val="0"/>
      <w:divBdr>
        <w:top w:val="none" w:sz="0" w:space="0" w:color="auto"/>
        <w:left w:val="none" w:sz="0" w:space="0" w:color="auto"/>
        <w:bottom w:val="none" w:sz="0" w:space="0" w:color="auto"/>
        <w:right w:val="none" w:sz="0" w:space="0" w:color="auto"/>
      </w:divBdr>
    </w:div>
    <w:div w:id="340546315">
      <w:bodyDiv w:val="1"/>
      <w:marLeft w:val="0"/>
      <w:marRight w:val="0"/>
      <w:marTop w:val="0"/>
      <w:marBottom w:val="0"/>
      <w:divBdr>
        <w:top w:val="none" w:sz="0" w:space="0" w:color="auto"/>
        <w:left w:val="none" w:sz="0" w:space="0" w:color="auto"/>
        <w:bottom w:val="none" w:sz="0" w:space="0" w:color="auto"/>
        <w:right w:val="none" w:sz="0" w:space="0" w:color="auto"/>
      </w:divBdr>
    </w:div>
    <w:div w:id="340548115">
      <w:bodyDiv w:val="1"/>
      <w:marLeft w:val="0"/>
      <w:marRight w:val="0"/>
      <w:marTop w:val="0"/>
      <w:marBottom w:val="0"/>
      <w:divBdr>
        <w:top w:val="none" w:sz="0" w:space="0" w:color="auto"/>
        <w:left w:val="none" w:sz="0" w:space="0" w:color="auto"/>
        <w:bottom w:val="none" w:sz="0" w:space="0" w:color="auto"/>
        <w:right w:val="none" w:sz="0" w:space="0" w:color="auto"/>
      </w:divBdr>
    </w:div>
    <w:div w:id="340621561">
      <w:bodyDiv w:val="1"/>
      <w:marLeft w:val="0"/>
      <w:marRight w:val="0"/>
      <w:marTop w:val="0"/>
      <w:marBottom w:val="0"/>
      <w:divBdr>
        <w:top w:val="none" w:sz="0" w:space="0" w:color="auto"/>
        <w:left w:val="none" w:sz="0" w:space="0" w:color="auto"/>
        <w:bottom w:val="none" w:sz="0" w:space="0" w:color="auto"/>
        <w:right w:val="none" w:sz="0" w:space="0" w:color="auto"/>
      </w:divBdr>
    </w:div>
    <w:div w:id="341008149">
      <w:bodyDiv w:val="1"/>
      <w:marLeft w:val="0"/>
      <w:marRight w:val="0"/>
      <w:marTop w:val="0"/>
      <w:marBottom w:val="0"/>
      <w:divBdr>
        <w:top w:val="none" w:sz="0" w:space="0" w:color="auto"/>
        <w:left w:val="none" w:sz="0" w:space="0" w:color="auto"/>
        <w:bottom w:val="none" w:sz="0" w:space="0" w:color="auto"/>
        <w:right w:val="none" w:sz="0" w:space="0" w:color="auto"/>
      </w:divBdr>
    </w:div>
    <w:div w:id="341015026">
      <w:bodyDiv w:val="1"/>
      <w:marLeft w:val="0"/>
      <w:marRight w:val="0"/>
      <w:marTop w:val="0"/>
      <w:marBottom w:val="0"/>
      <w:divBdr>
        <w:top w:val="none" w:sz="0" w:space="0" w:color="auto"/>
        <w:left w:val="none" w:sz="0" w:space="0" w:color="auto"/>
        <w:bottom w:val="none" w:sz="0" w:space="0" w:color="auto"/>
        <w:right w:val="none" w:sz="0" w:space="0" w:color="auto"/>
      </w:divBdr>
    </w:div>
    <w:div w:id="341126473">
      <w:bodyDiv w:val="1"/>
      <w:marLeft w:val="0"/>
      <w:marRight w:val="0"/>
      <w:marTop w:val="0"/>
      <w:marBottom w:val="0"/>
      <w:divBdr>
        <w:top w:val="none" w:sz="0" w:space="0" w:color="auto"/>
        <w:left w:val="none" w:sz="0" w:space="0" w:color="auto"/>
        <w:bottom w:val="none" w:sz="0" w:space="0" w:color="auto"/>
        <w:right w:val="none" w:sz="0" w:space="0" w:color="auto"/>
      </w:divBdr>
    </w:div>
    <w:div w:id="341201887">
      <w:bodyDiv w:val="1"/>
      <w:marLeft w:val="0"/>
      <w:marRight w:val="0"/>
      <w:marTop w:val="0"/>
      <w:marBottom w:val="0"/>
      <w:divBdr>
        <w:top w:val="none" w:sz="0" w:space="0" w:color="auto"/>
        <w:left w:val="none" w:sz="0" w:space="0" w:color="auto"/>
        <w:bottom w:val="none" w:sz="0" w:space="0" w:color="auto"/>
        <w:right w:val="none" w:sz="0" w:space="0" w:color="auto"/>
      </w:divBdr>
    </w:div>
    <w:div w:id="341202902">
      <w:bodyDiv w:val="1"/>
      <w:marLeft w:val="0"/>
      <w:marRight w:val="0"/>
      <w:marTop w:val="0"/>
      <w:marBottom w:val="0"/>
      <w:divBdr>
        <w:top w:val="none" w:sz="0" w:space="0" w:color="auto"/>
        <w:left w:val="none" w:sz="0" w:space="0" w:color="auto"/>
        <w:bottom w:val="none" w:sz="0" w:space="0" w:color="auto"/>
        <w:right w:val="none" w:sz="0" w:space="0" w:color="auto"/>
      </w:divBdr>
    </w:div>
    <w:div w:id="341246568">
      <w:bodyDiv w:val="1"/>
      <w:marLeft w:val="0"/>
      <w:marRight w:val="0"/>
      <w:marTop w:val="0"/>
      <w:marBottom w:val="0"/>
      <w:divBdr>
        <w:top w:val="none" w:sz="0" w:space="0" w:color="auto"/>
        <w:left w:val="none" w:sz="0" w:space="0" w:color="auto"/>
        <w:bottom w:val="none" w:sz="0" w:space="0" w:color="auto"/>
        <w:right w:val="none" w:sz="0" w:space="0" w:color="auto"/>
      </w:divBdr>
    </w:div>
    <w:div w:id="341322256">
      <w:bodyDiv w:val="1"/>
      <w:marLeft w:val="0"/>
      <w:marRight w:val="0"/>
      <w:marTop w:val="0"/>
      <w:marBottom w:val="0"/>
      <w:divBdr>
        <w:top w:val="none" w:sz="0" w:space="0" w:color="auto"/>
        <w:left w:val="none" w:sz="0" w:space="0" w:color="auto"/>
        <w:bottom w:val="none" w:sz="0" w:space="0" w:color="auto"/>
        <w:right w:val="none" w:sz="0" w:space="0" w:color="auto"/>
      </w:divBdr>
    </w:div>
    <w:div w:id="341396689">
      <w:bodyDiv w:val="1"/>
      <w:marLeft w:val="0"/>
      <w:marRight w:val="0"/>
      <w:marTop w:val="0"/>
      <w:marBottom w:val="0"/>
      <w:divBdr>
        <w:top w:val="none" w:sz="0" w:space="0" w:color="auto"/>
        <w:left w:val="none" w:sz="0" w:space="0" w:color="auto"/>
        <w:bottom w:val="none" w:sz="0" w:space="0" w:color="auto"/>
        <w:right w:val="none" w:sz="0" w:space="0" w:color="auto"/>
      </w:divBdr>
    </w:div>
    <w:div w:id="341510305">
      <w:bodyDiv w:val="1"/>
      <w:marLeft w:val="0"/>
      <w:marRight w:val="0"/>
      <w:marTop w:val="0"/>
      <w:marBottom w:val="0"/>
      <w:divBdr>
        <w:top w:val="none" w:sz="0" w:space="0" w:color="auto"/>
        <w:left w:val="none" w:sz="0" w:space="0" w:color="auto"/>
        <w:bottom w:val="none" w:sz="0" w:space="0" w:color="auto"/>
        <w:right w:val="none" w:sz="0" w:space="0" w:color="auto"/>
      </w:divBdr>
    </w:div>
    <w:div w:id="341516521">
      <w:bodyDiv w:val="1"/>
      <w:marLeft w:val="0"/>
      <w:marRight w:val="0"/>
      <w:marTop w:val="0"/>
      <w:marBottom w:val="0"/>
      <w:divBdr>
        <w:top w:val="none" w:sz="0" w:space="0" w:color="auto"/>
        <w:left w:val="none" w:sz="0" w:space="0" w:color="auto"/>
        <w:bottom w:val="none" w:sz="0" w:space="0" w:color="auto"/>
        <w:right w:val="none" w:sz="0" w:space="0" w:color="auto"/>
      </w:divBdr>
    </w:div>
    <w:div w:id="341518024">
      <w:bodyDiv w:val="1"/>
      <w:marLeft w:val="0"/>
      <w:marRight w:val="0"/>
      <w:marTop w:val="0"/>
      <w:marBottom w:val="0"/>
      <w:divBdr>
        <w:top w:val="none" w:sz="0" w:space="0" w:color="auto"/>
        <w:left w:val="none" w:sz="0" w:space="0" w:color="auto"/>
        <w:bottom w:val="none" w:sz="0" w:space="0" w:color="auto"/>
        <w:right w:val="none" w:sz="0" w:space="0" w:color="auto"/>
      </w:divBdr>
    </w:div>
    <w:div w:id="341518917">
      <w:bodyDiv w:val="1"/>
      <w:marLeft w:val="0"/>
      <w:marRight w:val="0"/>
      <w:marTop w:val="0"/>
      <w:marBottom w:val="0"/>
      <w:divBdr>
        <w:top w:val="none" w:sz="0" w:space="0" w:color="auto"/>
        <w:left w:val="none" w:sz="0" w:space="0" w:color="auto"/>
        <w:bottom w:val="none" w:sz="0" w:space="0" w:color="auto"/>
        <w:right w:val="none" w:sz="0" w:space="0" w:color="auto"/>
      </w:divBdr>
    </w:div>
    <w:div w:id="341594683">
      <w:bodyDiv w:val="1"/>
      <w:marLeft w:val="0"/>
      <w:marRight w:val="0"/>
      <w:marTop w:val="0"/>
      <w:marBottom w:val="0"/>
      <w:divBdr>
        <w:top w:val="none" w:sz="0" w:space="0" w:color="auto"/>
        <w:left w:val="none" w:sz="0" w:space="0" w:color="auto"/>
        <w:bottom w:val="none" w:sz="0" w:space="0" w:color="auto"/>
        <w:right w:val="none" w:sz="0" w:space="0" w:color="auto"/>
      </w:divBdr>
    </w:div>
    <w:div w:id="341663828">
      <w:bodyDiv w:val="1"/>
      <w:marLeft w:val="0"/>
      <w:marRight w:val="0"/>
      <w:marTop w:val="0"/>
      <w:marBottom w:val="0"/>
      <w:divBdr>
        <w:top w:val="none" w:sz="0" w:space="0" w:color="auto"/>
        <w:left w:val="none" w:sz="0" w:space="0" w:color="auto"/>
        <w:bottom w:val="none" w:sz="0" w:space="0" w:color="auto"/>
        <w:right w:val="none" w:sz="0" w:space="0" w:color="auto"/>
      </w:divBdr>
    </w:div>
    <w:div w:id="341707337">
      <w:bodyDiv w:val="1"/>
      <w:marLeft w:val="0"/>
      <w:marRight w:val="0"/>
      <w:marTop w:val="0"/>
      <w:marBottom w:val="0"/>
      <w:divBdr>
        <w:top w:val="none" w:sz="0" w:space="0" w:color="auto"/>
        <w:left w:val="none" w:sz="0" w:space="0" w:color="auto"/>
        <w:bottom w:val="none" w:sz="0" w:space="0" w:color="auto"/>
        <w:right w:val="none" w:sz="0" w:space="0" w:color="auto"/>
      </w:divBdr>
    </w:div>
    <w:div w:id="341709599">
      <w:bodyDiv w:val="1"/>
      <w:marLeft w:val="0"/>
      <w:marRight w:val="0"/>
      <w:marTop w:val="0"/>
      <w:marBottom w:val="0"/>
      <w:divBdr>
        <w:top w:val="none" w:sz="0" w:space="0" w:color="auto"/>
        <w:left w:val="none" w:sz="0" w:space="0" w:color="auto"/>
        <w:bottom w:val="none" w:sz="0" w:space="0" w:color="auto"/>
        <w:right w:val="none" w:sz="0" w:space="0" w:color="auto"/>
      </w:divBdr>
    </w:div>
    <w:div w:id="341855517">
      <w:bodyDiv w:val="1"/>
      <w:marLeft w:val="0"/>
      <w:marRight w:val="0"/>
      <w:marTop w:val="0"/>
      <w:marBottom w:val="0"/>
      <w:divBdr>
        <w:top w:val="none" w:sz="0" w:space="0" w:color="auto"/>
        <w:left w:val="none" w:sz="0" w:space="0" w:color="auto"/>
        <w:bottom w:val="none" w:sz="0" w:space="0" w:color="auto"/>
        <w:right w:val="none" w:sz="0" w:space="0" w:color="auto"/>
      </w:divBdr>
    </w:div>
    <w:div w:id="341933428">
      <w:bodyDiv w:val="1"/>
      <w:marLeft w:val="0"/>
      <w:marRight w:val="0"/>
      <w:marTop w:val="0"/>
      <w:marBottom w:val="0"/>
      <w:divBdr>
        <w:top w:val="none" w:sz="0" w:space="0" w:color="auto"/>
        <w:left w:val="none" w:sz="0" w:space="0" w:color="auto"/>
        <w:bottom w:val="none" w:sz="0" w:space="0" w:color="auto"/>
        <w:right w:val="none" w:sz="0" w:space="0" w:color="auto"/>
      </w:divBdr>
    </w:div>
    <w:div w:id="341973090">
      <w:bodyDiv w:val="1"/>
      <w:marLeft w:val="0"/>
      <w:marRight w:val="0"/>
      <w:marTop w:val="0"/>
      <w:marBottom w:val="0"/>
      <w:divBdr>
        <w:top w:val="none" w:sz="0" w:space="0" w:color="auto"/>
        <w:left w:val="none" w:sz="0" w:space="0" w:color="auto"/>
        <w:bottom w:val="none" w:sz="0" w:space="0" w:color="auto"/>
        <w:right w:val="none" w:sz="0" w:space="0" w:color="auto"/>
      </w:divBdr>
    </w:div>
    <w:div w:id="342126004">
      <w:bodyDiv w:val="1"/>
      <w:marLeft w:val="0"/>
      <w:marRight w:val="0"/>
      <w:marTop w:val="0"/>
      <w:marBottom w:val="0"/>
      <w:divBdr>
        <w:top w:val="none" w:sz="0" w:space="0" w:color="auto"/>
        <w:left w:val="none" w:sz="0" w:space="0" w:color="auto"/>
        <w:bottom w:val="none" w:sz="0" w:space="0" w:color="auto"/>
        <w:right w:val="none" w:sz="0" w:space="0" w:color="auto"/>
      </w:divBdr>
    </w:div>
    <w:div w:id="342128221">
      <w:bodyDiv w:val="1"/>
      <w:marLeft w:val="0"/>
      <w:marRight w:val="0"/>
      <w:marTop w:val="0"/>
      <w:marBottom w:val="0"/>
      <w:divBdr>
        <w:top w:val="none" w:sz="0" w:space="0" w:color="auto"/>
        <w:left w:val="none" w:sz="0" w:space="0" w:color="auto"/>
        <w:bottom w:val="none" w:sz="0" w:space="0" w:color="auto"/>
        <w:right w:val="none" w:sz="0" w:space="0" w:color="auto"/>
      </w:divBdr>
    </w:div>
    <w:div w:id="342324986">
      <w:bodyDiv w:val="1"/>
      <w:marLeft w:val="0"/>
      <w:marRight w:val="0"/>
      <w:marTop w:val="0"/>
      <w:marBottom w:val="0"/>
      <w:divBdr>
        <w:top w:val="none" w:sz="0" w:space="0" w:color="auto"/>
        <w:left w:val="none" w:sz="0" w:space="0" w:color="auto"/>
        <w:bottom w:val="none" w:sz="0" w:space="0" w:color="auto"/>
        <w:right w:val="none" w:sz="0" w:space="0" w:color="auto"/>
      </w:divBdr>
    </w:div>
    <w:div w:id="342511702">
      <w:bodyDiv w:val="1"/>
      <w:marLeft w:val="0"/>
      <w:marRight w:val="0"/>
      <w:marTop w:val="0"/>
      <w:marBottom w:val="0"/>
      <w:divBdr>
        <w:top w:val="none" w:sz="0" w:space="0" w:color="auto"/>
        <w:left w:val="none" w:sz="0" w:space="0" w:color="auto"/>
        <w:bottom w:val="none" w:sz="0" w:space="0" w:color="auto"/>
        <w:right w:val="none" w:sz="0" w:space="0" w:color="auto"/>
      </w:divBdr>
    </w:div>
    <w:div w:id="342513481">
      <w:bodyDiv w:val="1"/>
      <w:marLeft w:val="0"/>
      <w:marRight w:val="0"/>
      <w:marTop w:val="0"/>
      <w:marBottom w:val="0"/>
      <w:divBdr>
        <w:top w:val="none" w:sz="0" w:space="0" w:color="auto"/>
        <w:left w:val="none" w:sz="0" w:space="0" w:color="auto"/>
        <w:bottom w:val="none" w:sz="0" w:space="0" w:color="auto"/>
        <w:right w:val="none" w:sz="0" w:space="0" w:color="auto"/>
      </w:divBdr>
    </w:div>
    <w:div w:id="342712117">
      <w:bodyDiv w:val="1"/>
      <w:marLeft w:val="0"/>
      <w:marRight w:val="0"/>
      <w:marTop w:val="0"/>
      <w:marBottom w:val="0"/>
      <w:divBdr>
        <w:top w:val="none" w:sz="0" w:space="0" w:color="auto"/>
        <w:left w:val="none" w:sz="0" w:space="0" w:color="auto"/>
        <w:bottom w:val="none" w:sz="0" w:space="0" w:color="auto"/>
        <w:right w:val="none" w:sz="0" w:space="0" w:color="auto"/>
      </w:divBdr>
    </w:div>
    <w:div w:id="342896626">
      <w:bodyDiv w:val="1"/>
      <w:marLeft w:val="0"/>
      <w:marRight w:val="0"/>
      <w:marTop w:val="0"/>
      <w:marBottom w:val="0"/>
      <w:divBdr>
        <w:top w:val="none" w:sz="0" w:space="0" w:color="auto"/>
        <w:left w:val="none" w:sz="0" w:space="0" w:color="auto"/>
        <w:bottom w:val="none" w:sz="0" w:space="0" w:color="auto"/>
        <w:right w:val="none" w:sz="0" w:space="0" w:color="auto"/>
      </w:divBdr>
    </w:div>
    <w:div w:id="342901140">
      <w:bodyDiv w:val="1"/>
      <w:marLeft w:val="0"/>
      <w:marRight w:val="0"/>
      <w:marTop w:val="0"/>
      <w:marBottom w:val="0"/>
      <w:divBdr>
        <w:top w:val="none" w:sz="0" w:space="0" w:color="auto"/>
        <w:left w:val="none" w:sz="0" w:space="0" w:color="auto"/>
        <w:bottom w:val="none" w:sz="0" w:space="0" w:color="auto"/>
        <w:right w:val="none" w:sz="0" w:space="0" w:color="auto"/>
      </w:divBdr>
    </w:div>
    <w:div w:id="342901238">
      <w:bodyDiv w:val="1"/>
      <w:marLeft w:val="0"/>
      <w:marRight w:val="0"/>
      <w:marTop w:val="0"/>
      <w:marBottom w:val="0"/>
      <w:divBdr>
        <w:top w:val="none" w:sz="0" w:space="0" w:color="auto"/>
        <w:left w:val="none" w:sz="0" w:space="0" w:color="auto"/>
        <w:bottom w:val="none" w:sz="0" w:space="0" w:color="auto"/>
        <w:right w:val="none" w:sz="0" w:space="0" w:color="auto"/>
      </w:divBdr>
    </w:div>
    <w:div w:id="342977404">
      <w:bodyDiv w:val="1"/>
      <w:marLeft w:val="0"/>
      <w:marRight w:val="0"/>
      <w:marTop w:val="0"/>
      <w:marBottom w:val="0"/>
      <w:divBdr>
        <w:top w:val="none" w:sz="0" w:space="0" w:color="auto"/>
        <w:left w:val="none" w:sz="0" w:space="0" w:color="auto"/>
        <w:bottom w:val="none" w:sz="0" w:space="0" w:color="auto"/>
        <w:right w:val="none" w:sz="0" w:space="0" w:color="auto"/>
      </w:divBdr>
    </w:div>
    <w:div w:id="343016983">
      <w:bodyDiv w:val="1"/>
      <w:marLeft w:val="0"/>
      <w:marRight w:val="0"/>
      <w:marTop w:val="0"/>
      <w:marBottom w:val="0"/>
      <w:divBdr>
        <w:top w:val="none" w:sz="0" w:space="0" w:color="auto"/>
        <w:left w:val="none" w:sz="0" w:space="0" w:color="auto"/>
        <w:bottom w:val="none" w:sz="0" w:space="0" w:color="auto"/>
        <w:right w:val="none" w:sz="0" w:space="0" w:color="auto"/>
      </w:divBdr>
    </w:div>
    <w:div w:id="343091104">
      <w:bodyDiv w:val="1"/>
      <w:marLeft w:val="0"/>
      <w:marRight w:val="0"/>
      <w:marTop w:val="0"/>
      <w:marBottom w:val="0"/>
      <w:divBdr>
        <w:top w:val="none" w:sz="0" w:space="0" w:color="auto"/>
        <w:left w:val="none" w:sz="0" w:space="0" w:color="auto"/>
        <w:bottom w:val="none" w:sz="0" w:space="0" w:color="auto"/>
        <w:right w:val="none" w:sz="0" w:space="0" w:color="auto"/>
      </w:divBdr>
    </w:div>
    <w:div w:id="343480562">
      <w:bodyDiv w:val="1"/>
      <w:marLeft w:val="0"/>
      <w:marRight w:val="0"/>
      <w:marTop w:val="0"/>
      <w:marBottom w:val="0"/>
      <w:divBdr>
        <w:top w:val="none" w:sz="0" w:space="0" w:color="auto"/>
        <w:left w:val="none" w:sz="0" w:space="0" w:color="auto"/>
        <w:bottom w:val="none" w:sz="0" w:space="0" w:color="auto"/>
        <w:right w:val="none" w:sz="0" w:space="0" w:color="auto"/>
      </w:divBdr>
    </w:div>
    <w:div w:id="343485658">
      <w:bodyDiv w:val="1"/>
      <w:marLeft w:val="0"/>
      <w:marRight w:val="0"/>
      <w:marTop w:val="0"/>
      <w:marBottom w:val="0"/>
      <w:divBdr>
        <w:top w:val="none" w:sz="0" w:space="0" w:color="auto"/>
        <w:left w:val="none" w:sz="0" w:space="0" w:color="auto"/>
        <w:bottom w:val="none" w:sz="0" w:space="0" w:color="auto"/>
        <w:right w:val="none" w:sz="0" w:space="0" w:color="auto"/>
      </w:divBdr>
    </w:div>
    <w:div w:id="343554595">
      <w:bodyDiv w:val="1"/>
      <w:marLeft w:val="0"/>
      <w:marRight w:val="0"/>
      <w:marTop w:val="0"/>
      <w:marBottom w:val="0"/>
      <w:divBdr>
        <w:top w:val="none" w:sz="0" w:space="0" w:color="auto"/>
        <w:left w:val="none" w:sz="0" w:space="0" w:color="auto"/>
        <w:bottom w:val="none" w:sz="0" w:space="0" w:color="auto"/>
        <w:right w:val="none" w:sz="0" w:space="0" w:color="auto"/>
      </w:divBdr>
    </w:div>
    <w:div w:id="343634919">
      <w:bodyDiv w:val="1"/>
      <w:marLeft w:val="0"/>
      <w:marRight w:val="0"/>
      <w:marTop w:val="0"/>
      <w:marBottom w:val="0"/>
      <w:divBdr>
        <w:top w:val="none" w:sz="0" w:space="0" w:color="auto"/>
        <w:left w:val="none" w:sz="0" w:space="0" w:color="auto"/>
        <w:bottom w:val="none" w:sz="0" w:space="0" w:color="auto"/>
        <w:right w:val="none" w:sz="0" w:space="0" w:color="auto"/>
      </w:divBdr>
    </w:div>
    <w:div w:id="343671586">
      <w:bodyDiv w:val="1"/>
      <w:marLeft w:val="0"/>
      <w:marRight w:val="0"/>
      <w:marTop w:val="0"/>
      <w:marBottom w:val="0"/>
      <w:divBdr>
        <w:top w:val="none" w:sz="0" w:space="0" w:color="auto"/>
        <w:left w:val="none" w:sz="0" w:space="0" w:color="auto"/>
        <w:bottom w:val="none" w:sz="0" w:space="0" w:color="auto"/>
        <w:right w:val="none" w:sz="0" w:space="0" w:color="auto"/>
      </w:divBdr>
    </w:div>
    <w:div w:id="343702097">
      <w:bodyDiv w:val="1"/>
      <w:marLeft w:val="0"/>
      <w:marRight w:val="0"/>
      <w:marTop w:val="0"/>
      <w:marBottom w:val="0"/>
      <w:divBdr>
        <w:top w:val="none" w:sz="0" w:space="0" w:color="auto"/>
        <w:left w:val="none" w:sz="0" w:space="0" w:color="auto"/>
        <w:bottom w:val="none" w:sz="0" w:space="0" w:color="auto"/>
        <w:right w:val="none" w:sz="0" w:space="0" w:color="auto"/>
      </w:divBdr>
    </w:div>
    <w:div w:id="343745559">
      <w:bodyDiv w:val="1"/>
      <w:marLeft w:val="0"/>
      <w:marRight w:val="0"/>
      <w:marTop w:val="0"/>
      <w:marBottom w:val="0"/>
      <w:divBdr>
        <w:top w:val="none" w:sz="0" w:space="0" w:color="auto"/>
        <w:left w:val="none" w:sz="0" w:space="0" w:color="auto"/>
        <w:bottom w:val="none" w:sz="0" w:space="0" w:color="auto"/>
        <w:right w:val="none" w:sz="0" w:space="0" w:color="auto"/>
      </w:divBdr>
    </w:div>
    <w:div w:id="343871796">
      <w:bodyDiv w:val="1"/>
      <w:marLeft w:val="0"/>
      <w:marRight w:val="0"/>
      <w:marTop w:val="0"/>
      <w:marBottom w:val="0"/>
      <w:divBdr>
        <w:top w:val="none" w:sz="0" w:space="0" w:color="auto"/>
        <w:left w:val="none" w:sz="0" w:space="0" w:color="auto"/>
        <w:bottom w:val="none" w:sz="0" w:space="0" w:color="auto"/>
        <w:right w:val="none" w:sz="0" w:space="0" w:color="auto"/>
      </w:divBdr>
    </w:div>
    <w:div w:id="343940535">
      <w:bodyDiv w:val="1"/>
      <w:marLeft w:val="0"/>
      <w:marRight w:val="0"/>
      <w:marTop w:val="0"/>
      <w:marBottom w:val="0"/>
      <w:divBdr>
        <w:top w:val="none" w:sz="0" w:space="0" w:color="auto"/>
        <w:left w:val="none" w:sz="0" w:space="0" w:color="auto"/>
        <w:bottom w:val="none" w:sz="0" w:space="0" w:color="auto"/>
        <w:right w:val="none" w:sz="0" w:space="0" w:color="auto"/>
      </w:divBdr>
    </w:div>
    <w:div w:id="344092253">
      <w:bodyDiv w:val="1"/>
      <w:marLeft w:val="0"/>
      <w:marRight w:val="0"/>
      <w:marTop w:val="0"/>
      <w:marBottom w:val="0"/>
      <w:divBdr>
        <w:top w:val="none" w:sz="0" w:space="0" w:color="auto"/>
        <w:left w:val="none" w:sz="0" w:space="0" w:color="auto"/>
        <w:bottom w:val="none" w:sz="0" w:space="0" w:color="auto"/>
        <w:right w:val="none" w:sz="0" w:space="0" w:color="auto"/>
      </w:divBdr>
    </w:div>
    <w:div w:id="344136773">
      <w:bodyDiv w:val="1"/>
      <w:marLeft w:val="0"/>
      <w:marRight w:val="0"/>
      <w:marTop w:val="0"/>
      <w:marBottom w:val="0"/>
      <w:divBdr>
        <w:top w:val="none" w:sz="0" w:space="0" w:color="auto"/>
        <w:left w:val="none" w:sz="0" w:space="0" w:color="auto"/>
        <w:bottom w:val="none" w:sz="0" w:space="0" w:color="auto"/>
        <w:right w:val="none" w:sz="0" w:space="0" w:color="auto"/>
      </w:divBdr>
    </w:div>
    <w:div w:id="344140354">
      <w:bodyDiv w:val="1"/>
      <w:marLeft w:val="0"/>
      <w:marRight w:val="0"/>
      <w:marTop w:val="0"/>
      <w:marBottom w:val="0"/>
      <w:divBdr>
        <w:top w:val="none" w:sz="0" w:space="0" w:color="auto"/>
        <w:left w:val="none" w:sz="0" w:space="0" w:color="auto"/>
        <w:bottom w:val="none" w:sz="0" w:space="0" w:color="auto"/>
        <w:right w:val="none" w:sz="0" w:space="0" w:color="auto"/>
      </w:divBdr>
    </w:div>
    <w:div w:id="344210617">
      <w:bodyDiv w:val="1"/>
      <w:marLeft w:val="0"/>
      <w:marRight w:val="0"/>
      <w:marTop w:val="0"/>
      <w:marBottom w:val="0"/>
      <w:divBdr>
        <w:top w:val="none" w:sz="0" w:space="0" w:color="auto"/>
        <w:left w:val="none" w:sz="0" w:space="0" w:color="auto"/>
        <w:bottom w:val="none" w:sz="0" w:space="0" w:color="auto"/>
        <w:right w:val="none" w:sz="0" w:space="0" w:color="auto"/>
      </w:divBdr>
    </w:div>
    <w:div w:id="344210711">
      <w:bodyDiv w:val="1"/>
      <w:marLeft w:val="0"/>
      <w:marRight w:val="0"/>
      <w:marTop w:val="0"/>
      <w:marBottom w:val="0"/>
      <w:divBdr>
        <w:top w:val="none" w:sz="0" w:space="0" w:color="auto"/>
        <w:left w:val="none" w:sz="0" w:space="0" w:color="auto"/>
        <w:bottom w:val="none" w:sz="0" w:space="0" w:color="auto"/>
        <w:right w:val="none" w:sz="0" w:space="0" w:color="auto"/>
      </w:divBdr>
    </w:div>
    <w:div w:id="344213354">
      <w:bodyDiv w:val="1"/>
      <w:marLeft w:val="0"/>
      <w:marRight w:val="0"/>
      <w:marTop w:val="0"/>
      <w:marBottom w:val="0"/>
      <w:divBdr>
        <w:top w:val="none" w:sz="0" w:space="0" w:color="auto"/>
        <w:left w:val="none" w:sz="0" w:space="0" w:color="auto"/>
        <w:bottom w:val="none" w:sz="0" w:space="0" w:color="auto"/>
        <w:right w:val="none" w:sz="0" w:space="0" w:color="auto"/>
      </w:divBdr>
    </w:div>
    <w:div w:id="344333143">
      <w:bodyDiv w:val="1"/>
      <w:marLeft w:val="0"/>
      <w:marRight w:val="0"/>
      <w:marTop w:val="0"/>
      <w:marBottom w:val="0"/>
      <w:divBdr>
        <w:top w:val="none" w:sz="0" w:space="0" w:color="auto"/>
        <w:left w:val="none" w:sz="0" w:space="0" w:color="auto"/>
        <w:bottom w:val="none" w:sz="0" w:space="0" w:color="auto"/>
        <w:right w:val="none" w:sz="0" w:space="0" w:color="auto"/>
      </w:divBdr>
    </w:div>
    <w:div w:id="344358791">
      <w:bodyDiv w:val="1"/>
      <w:marLeft w:val="0"/>
      <w:marRight w:val="0"/>
      <w:marTop w:val="0"/>
      <w:marBottom w:val="0"/>
      <w:divBdr>
        <w:top w:val="none" w:sz="0" w:space="0" w:color="auto"/>
        <w:left w:val="none" w:sz="0" w:space="0" w:color="auto"/>
        <w:bottom w:val="none" w:sz="0" w:space="0" w:color="auto"/>
        <w:right w:val="none" w:sz="0" w:space="0" w:color="auto"/>
      </w:divBdr>
    </w:div>
    <w:div w:id="344401372">
      <w:bodyDiv w:val="1"/>
      <w:marLeft w:val="0"/>
      <w:marRight w:val="0"/>
      <w:marTop w:val="0"/>
      <w:marBottom w:val="0"/>
      <w:divBdr>
        <w:top w:val="none" w:sz="0" w:space="0" w:color="auto"/>
        <w:left w:val="none" w:sz="0" w:space="0" w:color="auto"/>
        <w:bottom w:val="none" w:sz="0" w:space="0" w:color="auto"/>
        <w:right w:val="none" w:sz="0" w:space="0" w:color="auto"/>
      </w:divBdr>
    </w:div>
    <w:div w:id="344402782">
      <w:bodyDiv w:val="1"/>
      <w:marLeft w:val="0"/>
      <w:marRight w:val="0"/>
      <w:marTop w:val="0"/>
      <w:marBottom w:val="0"/>
      <w:divBdr>
        <w:top w:val="none" w:sz="0" w:space="0" w:color="auto"/>
        <w:left w:val="none" w:sz="0" w:space="0" w:color="auto"/>
        <w:bottom w:val="none" w:sz="0" w:space="0" w:color="auto"/>
        <w:right w:val="none" w:sz="0" w:space="0" w:color="auto"/>
      </w:divBdr>
    </w:div>
    <w:div w:id="344600940">
      <w:bodyDiv w:val="1"/>
      <w:marLeft w:val="0"/>
      <w:marRight w:val="0"/>
      <w:marTop w:val="0"/>
      <w:marBottom w:val="0"/>
      <w:divBdr>
        <w:top w:val="none" w:sz="0" w:space="0" w:color="auto"/>
        <w:left w:val="none" w:sz="0" w:space="0" w:color="auto"/>
        <w:bottom w:val="none" w:sz="0" w:space="0" w:color="auto"/>
        <w:right w:val="none" w:sz="0" w:space="0" w:color="auto"/>
      </w:divBdr>
    </w:div>
    <w:div w:id="344790061">
      <w:bodyDiv w:val="1"/>
      <w:marLeft w:val="0"/>
      <w:marRight w:val="0"/>
      <w:marTop w:val="0"/>
      <w:marBottom w:val="0"/>
      <w:divBdr>
        <w:top w:val="none" w:sz="0" w:space="0" w:color="auto"/>
        <w:left w:val="none" w:sz="0" w:space="0" w:color="auto"/>
        <w:bottom w:val="none" w:sz="0" w:space="0" w:color="auto"/>
        <w:right w:val="none" w:sz="0" w:space="0" w:color="auto"/>
      </w:divBdr>
    </w:div>
    <w:div w:id="344939475">
      <w:bodyDiv w:val="1"/>
      <w:marLeft w:val="0"/>
      <w:marRight w:val="0"/>
      <w:marTop w:val="0"/>
      <w:marBottom w:val="0"/>
      <w:divBdr>
        <w:top w:val="none" w:sz="0" w:space="0" w:color="auto"/>
        <w:left w:val="none" w:sz="0" w:space="0" w:color="auto"/>
        <w:bottom w:val="none" w:sz="0" w:space="0" w:color="auto"/>
        <w:right w:val="none" w:sz="0" w:space="0" w:color="auto"/>
      </w:divBdr>
    </w:div>
    <w:div w:id="344941321">
      <w:bodyDiv w:val="1"/>
      <w:marLeft w:val="0"/>
      <w:marRight w:val="0"/>
      <w:marTop w:val="0"/>
      <w:marBottom w:val="0"/>
      <w:divBdr>
        <w:top w:val="none" w:sz="0" w:space="0" w:color="auto"/>
        <w:left w:val="none" w:sz="0" w:space="0" w:color="auto"/>
        <w:bottom w:val="none" w:sz="0" w:space="0" w:color="auto"/>
        <w:right w:val="none" w:sz="0" w:space="0" w:color="auto"/>
      </w:divBdr>
    </w:div>
    <w:div w:id="344982162">
      <w:bodyDiv w:val="1"/>
      <w:marLeft w:val="0"/>
      <w:marRight w:val="0"/>
      <w:marTop w:val="0"/>
      <w:marBottom w:val="0"/>
      <w:divBdr>
        <w:top w:val="none" w:sz="0" w:space="0" w:color="auto"/>
        <w:left w:val="none" w:sz="0" w:space="0" w:color="auto"/>
        <w:bottom w:val="none" w:sz="0" w:space="0" w:color="auto"/>
        <w:right w:val="none" w:sz="0" w:space="0" w:color="auto"/>
      </w:divBdr>
    </w:div>
    <w:div w:id="344986538">
      <w:bodyDiv w:val="1"/>
      <w:marLeft w:val="0"/>
      <w:marRight w:val="0"/>
      <w:marTop w:val="0"/>
      <w:marBottom w:val="0"/>
      <w:divBdr>
        <w:top w:val="none" w:sz="0" w:space="0" w:color="auto"/>
        <w:left w:val="none" w:sz="0" w:space="0" w:color="auto"/>
        <w:bottom w:val="none" w:sz="0" w:space="0" w:color="auto"/>
        <w:right w:val="none" w:sz="0" w:space="0" w:color="auto"/>
      </w:divBdr>
    </w:div>
    <w:div w:id="345055401">
      <w:bodyDiv w:val="1"/>
      <w:marLeft w:val="0"/>
      <w:marRight w:val="0"/>
      <w:marTop w:val="0"/>
      <w:marBottom w:val="0"/>
      <w:divBdr>
        <w:top w:val="none" w:sz="0" w:space="0" w:color="auto"/>
        <w:left w:val="none" w:sz="0" w:space="0" w:color="auto"/>
        <w:bottom w:val="none" w:sz="0" w:space="0" w:color="auto"/>
        <w:right w:val="none" w:sz="0" w:space="0" w:color="auto"/>
      </w:divBdr>
    </w:div>
    <w:div w:id="345064435">
      <w:bodyDiv w:val="1"/>
      <w:marLeft w:val="0"/>
      <w:marRight w:val="0"/>
      <w:marTop w:val="0"/>
      <w:marBottom w:val="0"/>
      <w:divBdr>
        <w:top w:val="none" w:sz="0" w:space="0" w:color="auto"/>
        <w:left w:val="none" w:sz="0" w:space="0" w:color="auto"/>
        <w:bottom w:val="none" w:sz="0" w:space="0" w:color="auto"/>
        <w:right w:val="none" w:sz="0" w:space="0" w:color="auto"/>
      </w:divBdr>
    </w:div>
    <w:div w:id="345135897">
      <w:bodyDiv w:val="1"/>
      <w:marLeft w:val="0"/>
      <w:marRight w:val="0"/>
      <w:marTop w:val="0"/>
      <w:marBottom w:val="0"/>
      <w:divBdr>
        <w:top w:val="none" w:sz="0" w:space="0" w:color="auto"/>
        <w:left w:val="none" w:sz="0" w:space="0" w:color="auto"/>
        <w:bottom w:val="none" w:sz="0" w:space="0" w:color="auto"/>
        <w:right w:val="none" w:sz="0" w:space="0" w:color="auto"/>
      </w:divBdr>
    </w:div>
    <w:div w:id="345375625">
      <w:bodyDiv w:val="1"/>
      <w:marLeft w:val="0"/>
      <w:marRight w:val="0"/>
      <w:marTop w:val="0"/>
      <w:marBottom w:val="0"/>
      <w:divBdr>
        <w:top w:val="none" w:sz="0" w:space="0" w:color="auto"/>
        <w:left w:val="none" w:sz="0" w:space="0" w:color="auto"/>
        <w:bottom w:val="none" w:sz="0" w:space="0" w:color="auto"/>
        <w:right w:val="none" w:sz="0" w:space="0" w:color="auto"/>
      </w:divBdr>
    </w:div>
    <w:div w:id="345375722">
      <w:bodyDiv w:val="1"/>
      <w:marLeft w:val="0"/>
      <w:marRight w:val="0"/>
      <w:marTop w:val="0"/>
      <w:marBottom w:val="0"/>
      <w:divBdr>
        <w:top w:val="none" w:sz="0" w:space="0" w:color="auto"/>
        <w:left w:val="none" w:sz="0" w:space="0" w:color="auto"/>
        <w:bottom w:val="none" w:sz="0" w:space="0" w:color="auto"/>
        <w:right w:val="none" w:sz="0" w:space="0" w:color="auto"/>
      </w:divBdr>
    </w:div>
    <w:div w:id="345375772">
      <w:bodyDiv w:val="1"/>
      <w:marLeft w:val="0"/>
      <w:marRight w:val="0"/>
      <w:marTop w:val="0"/>
      <w:marBottom w:val="0"/>
      <w:divBdr>
        <w:top w:val="none" w:sz="0" w:space="0" w:color="auto"/>
        <w:left w:val="none" w:sz="0" w:space="0" w:color="auto"/>
        <w:bottom w:val="none" w:sz="0" w:space="0" w:color="auto"/>
        <w:right w:val="none" w:sz="0" w:space="0" w:color="auto"/>
      </w:divBdr>
    </w:div>
    <w:div w:id="345376188">
      <w:bodyDiv w:val="1"/>
      <w:marLeft w:val="0"/>
      <w:marRight w:val="0"/>
      <w:marTop w:val="0"/>
      <w:marBottom w:val="0"/>
      <w:divBdr>
        <w:top w:val="none" w:sz="0" w:space="0" w:color="auto"/>
        <w:left w:val="none" w:sz="0" w:space="0" w:color="auto"/>
        <w:bottom w:val="none" w:sz="0" w:space="0" w:color="auto"/>
        <w:right w:val="none" w:sz="0" w:space="0" w:color="auto"/>
      </w:divBdr>
    </w:div>
    <w:div w:id="345442814">
      <w:bodyDiv w:val="1"/>
      <w:marLeft w:val="0"/>
      <w:marRight w:val="0"/>
      <w:marTop w:val="0"/>
      <w:marBottom w:val="0"/>
      <w:divBdr>
        <w:top w:val="none" w:sz="0" w:space="0" w:color="auto"/>
        <w:left w:val="none" w:sz="0" w:space="0" w:color="auto"/>
        <w:bottom w:val="none" w:sz="0" w:space="0" w:color="auto"/>
        <w:right w:val="none" w:sz="0" w:space="0" w:color="auto"/>
      </w:divBdr>
    </w:div>
    <w:div w:id="345518560">
      <w:bodyDiv w:val="1"/>
      <w:marLeft w:val="0"/>
      <w:marRight w:val="0"/>
      <w:marTop w:val="0"/>
      <w:marBottom w:val="0"/>
      <w:divBdr>
        <w:top w:val="none" w:sz="0" w:space="0" w:color="auto"/>
        <w:left w:val="none" w:sz="0" w:space="0" w:color="auto"/>
        <w:bottom w:val="none" w:sz="0" w:space="0" w:color="auto"/>
        <w:right w:val="none" w:sz="0" w:space="0" w:color="auto"/>
      </w:divBdr>
    </w:div>
    <w:div w:id="345521773">
      <w:bodyDiv w:val="1"/>
      <w:marLeft w:val="0"/>
      <w:marRight w:val="0"/>
      <w:marTop w:val="0"/>
      <w:marBottom w:val="0"/>
      <w:divBdr>
        <w:top w:val="none" w:sz="0" w:space="0" w:color="auto"/>
        <w:left w:val="none" w:sz="0" w:space="0" w:color="auto"/>
        <w:bottom w:val="none" w:sz="0" w:space="0" w:color="auto"/>
        <w:right w:val="none" w:sz="0" w:space="0" w:color="auto"/>
      </w:divBdr>
    </w:div>
    <w:div w:id="345522618">
      <w:bodyDiv w:val="1"/>
      <w:marLeft w:val="0"/>
      <w:marRight w:val="0"/>
      <w:marTop w:val="0"/>
      <w:marBottom w:val="0"/>
      <w:divBdr>
        <w:top w:val="none" w:sz="0" w:space="0" w:color="auto"/>
        <w:left w:val="none" w:sz="0" w:space="0" w:color="auto"/>
        <w:bottom w:val="none" w:sz="0" w:space="0" w:color="auto"/>
        <w:right w:val="none" w:sz="0" w:space="0" w:color="auto"/>
      </w:divBdr>
    </w:div>
    <w:div w:id="345593983">
      <w:bodyDiv w:val="1"/>
      <w:marLeft w:val="0"/>
      <w:marRight w:val="0"/>
      <w:marTop w:val="0"/>
      <w:marBottom w:val="0"/>
      <w:divBdr>
        <w:top w:val="none" w:sz="0" w:space="0" w:color="auto"/>
        <w:left w:val="none" w:sz="0" w:space="0" w:color="auto"/>
        <w:bottom w:val="none" w:sz="0" w:space="0" w:color="auto"/>
        <w:right w:val="none" w:sz="0" w:space="0" w:color="auto"/>
      </w:divBdr>
    </w:div>
    <w:div w:id="345711125">
      <w:bodyDiv w:val="1"/>
      <w:marLeft w:val="0"/>
      <w:marRight w:val="0"/>
      <w:marTop w:val="0"/>
      <w:marBottom w:val="0"/>
      <w:divBdr>
        <w:top w:val="none" w:sz="0" w:space="0" w:color="auto"/>
        <w:left w:val="none" w:sz="0" w:space="0" w:color="auto"/>
        <w:bottom w:val="none" w:sz="0" w:space="0" w:color="auto"/>
        <w:right w:val="none" w:sz="0" w:space="0" w:color="auto"/>
      </w:divBdr>
    </w:div>
    <w:div w:id="345712817">
      <w:bodyDiv w:val="1"/>
      <w:marLeft w:val="0"/>
      <w:marRight w:val="0"/>
      <w:marTop w:val="0"/>
      <w:marBottom w:val="0"/>
      <w:divBdr>
        <w:top w:val="none" w:sz="0" w:space="0" w:color="auto"/>
        <w:left w:val="none" w:sz="0" w:space="0" w:color="auto"/>
        <w:bottom w:val="none" w:sz="0" w:space="0" w:color="auto"/>
        <w:right w:val="none" w:sz="0" w:space="0" w:color="auto"/>
      </w:divBdr>
    </w:div>
    <w:div w:id="345715314">
      <w:bodyDiv w:val="1"/>
      <w:marLeft w:val="0"/>
      <w:marRight w:val="0"/>
      <w:marTop w:val="0"/>
      <w:marBottom w:val="0"/>
      <w:divBdr>
        <w:top w:val="none" w:sz="0" w:space="0" w:color="auto"/>
        <w:left w:val="none" w:sz="0" w:space="0" w:color="auto"/>
        <w:bottom w:val="none" w:sz="0" w:space="0" w:color="auto"/>
        <w:right w:val="none" w:sz="0" w:space="0" w:color="auto"/>
      </w:divBdr>
    </w:div>
    <w:div w:id="345788376">
      <w:bodyDiv w:val="1"/>
      <w:marLeft w:val="0"/>
      <w:marRight w:val="0"/>
      <w:marTop w:val="0"/>
      <w:marBottom w:val="0"/>
      <w:divBdr>
        <w:top w:val="none" w:sz="0" w:space="0" w:color="auto"/>
        <w:left w:val="none" w:sz="0" w:space="0" w:color="auto"/>
        <w:bottom w:val="none" w:sz="0" w:space="0" w:color="auto"/>
        <w:right w:val="none" w:sz="0" w:space="0" w:color="auto"/>
      </w:divBdr>
    </w:div>
    <w:div w:id="345979913">
      <w:bodyDiv w:val="1"/>
      <w:marLeft w:val="0"/>
      <w:marRight w:val="0"/>
      <w:marTop w:val="0"/>
      <w:marBottom w:val="0"/>
      <w:divBdr>
        <w:top w:val="none" w:sz="0" w:space="0" w:color="auto"/>
        <w:left w:val="none" w:sz="0" w:space="0" w:color="auto"/>
        <w:bottom w:val="none" w:sz="0" w:space="0" w:color="auto"/>
        <w:right w:val="none" w:sz="0" w:space="0" w:color="auto"/>
      </w:divBdr>
    </w:div>
    <w:div w:id="345983366">
      <w:bodyDiv w:val="1"/>
      <w:marLeft w:val="0"/>
      <w:marRight w:val="0"/>
      <w:marTop w:val="0"/>
      <w:marBottom w:val="0"/>
      <w:divBdr>
        <w:top w:val="none" w:sz="0" w:space="0" w:color="auto"/>
        <w:left w:val="none" w:sz="0" w:space="0" w:color="auto"/>
        <w:bottom w:val="none" w:sz="0" w:space="0" w:color="auto"/>
        <w:right w:val="none" w:sz="0" w:space="0" w:color="auto"/>
      </w:divBdr>
    </w:div>
    <w:div w:id="345984875">
      <w:bodyDiv w:val="1"/>
      <w:marLeft w:val="0"/>
      <w:marRight w:val="0"/>
      <w:marTop w:val="0"/>
      <w:marBottom w:val="0"/>
      <w:divBdr>
        <w:top w:val="none" w:sz="0" w:space="0" w:color="auto"/>
        <w:left w:val="none" w:sz="0" w:space="0" w:color="auto"/>
        <w:bottom w:val="none" w:sz="0" w:space="0" w:color="auto"/>
        <w:right w:val="none" w:sz="0" w:space="0" w:color="auto"/>
      </w:divBdr>
    </w:div>
    <w:div w:id="345987663">
      <w:bodyDiv w:val="1"/>
      <w:marLeft w:val="0"/>
      <w:marRight w:val="0"/>
      <w:marTop w:val="0"/>
      <w:marBottom w:val="0"/>
      <w:divBdr>
        <w:top w:val="none" w:sz="0" w:space="0" w:color="auto"/>
        <w:left w:val="none" w:sz="0" w:space="0" w:color="auto"/>
        <w:bottom w:val="none" w:sz="0" w:space="0" w:color="auto"/>
        <w:right w:val="none" w:sz="0" w:space="0" w:color="auto"/>
      </w:divBdr>
    </w:div>
    <w:div w:id="346057258">
      <w:bodyDiv w:val="1"/>
      <w:marLeft w:val="0"/>
      <w:marRight w:val="0"/>
      <w:marTop w:val="0"/>
      <w:marBottom w:val="0"/>
      <w:divBdr>
        <w:top w:val="none" w:sz="0" w:space="0" w:color="auto"/>
        <w:left w:val="none" w:sz="0" w:space="0" w:color="auto"/>
        <w:bottom w:val="none" w:sz="0" w:space="0" w:color="auto"/>
        <w:right w:val="none" w:sz="0" w:space="0" w:color="auto"/>
      </w:divBdr>
    </w:div>
    <w:div w:id="346182200">
      <w:bodyDiv w:val="1"/>
      <w:marLeft w:val="0"/>
      <w:marRight w:val="0"/>
      <w:marTop w:val="0"/>
      <w:marBottom w:val="0"/>
      <w:divBdr>
        <w:top w:val="none" w:sz="0" w:space="0" w:color="auto"/>
        <w:left w:val="none" w:sz="0" w:space="0" w:color="auto"/>
        <w:bottom w:val="none" w:sz="0" w:space="0" w:color="auto"/>
        <w:right w:val="none" w:sz="0" w:space="0" w:color="auto"/>
      </w:divBdr>
    </w:div>
    <w:div w:id="346324691">
      <w:bodyDiv w:val="1"/>
      <w:marLeft w:val="0"/>
      <w:marRight w:val="0"/>
      <w:marTop w:val="0"/>
      <w:marBottom w:val="0"/>
      <w:divBdr>
        <w:top w:val="none" w:sz="0" w:space="0" w:color="auto"/>
        <w:left w:val="none" w:sz="0" w:space="0" w:color="auto"/>
        <w:bottom w:val="none" w:sz="0" w:space="0" w:color="auto"/>
        <w:right w:val="none" w:sz="0" w:space="0" w:color="auto"/>
      </w:divBdr>
    </w:div>
    <w:div w:id="346443834">
      <w:bodyDiv w:val="1"/>
      <w:marLeft w:val="0"/>
      <w:marRight w:val="0"/>
      <w:marTop w:val="0"/>
      <w:marBottom w:val="0"/>
      <w:divBdr>
        <w:top w:val="none" w:sz="0" w:space="0" w:color="auto"/>
        <w:left w:val="none" w:sz="0" w:space="0" w:color="auto"/>
        <w:bottom w:val="none" w:sz="0" w:space="0" w:color="auto"/>
        <w:right w:val="none" w:sz="0" w:space="0" w:color="auto"/>
      </w:divBdr>
    </w:div>
    <w:div w:id="346444815">
      <w:bodyDiv w:val="1"/>
      <w:marLeft w:val="0"/>
      <w:marRight w:val="0"/>
      <w:marTop w:val="0"/>
      <w:marBottom w:val="0"/>
      <w:divBdr>
        <w:top w:val="none" w:sz="0" w:space="0" w:color="auto"/>
        <w:left w:val="none" w:sz="0" w:space="0" w:color="auto"/>
        <w:bottom w:val="none" w:sz="0" w:space="0" w:color="auto"/>
        <w:right w:val="none" w:sz="0" w:space="0" w:color="auto"/>
      </w:divBdr>
    </w:div>
    <w:div w:id="346444981">
      <w:bodyDiv w:val="1"/>
      <w:marLeft w:val="0"/>
      <w:marRight w:val="0"/>
      <w:marTop w:val="0"/>
      <w:marBottom w:val="0"/>
      <w:divBdr>
        <w:top w:val="none" w:sz="0" w:space="0" w:color="auto"/>
        <w:left w:val="none" w:sz="0" w:space="0" w:color="auto"/>
        <w:bottom w:val="none" w:sz="0" w:space="0" w:color="auto"/>
        <w:right w:val="none" w:sz="0" w:space="0" w:color="auto"/>
      </w:divBdr>
    </w:div>
    <w:div w:id="346492470">
      <w:bodyDiv w:val="1"/>
      <w:marLeft w:val="0"/>
      <w:marRight w:val="0"/>
      <w:marTop w:val="0"/>
      <w:marBottom w:val="0"/>
      <w:divBdr>
        <w:top w:val="none" w:sz="0" w:space="0" w:color="auto"/>
        <w:left w:val="none" w:sz="0" w:space="0" w:color="auto"/>
        <w:bottom w:val="none" w:sz="0" w:space="0" w:color="auto"/>
        <w:right w:val="none" w:sz="0" w:space="0" w:color="auto"/>
      </w:divBdr>
    </w:div>
    <w:div w:id="346519585">
      <w:bodyDiv w:val="1"/>
      <w:marLeft w:val="0"/>
      <w:marRight w:val="0"/>
      <w:marTop w:val="0"/>
      <w:marBottom w:val="0"/>
      <w:divBdr>
        <w:top w:val="none" w:sz="0" w:space="0" w:color="auto"/>
        <w:left w:val="none" w:sz="0" w:space="0" w:color="auto"/>
        <w:bottom w:val="none" w:sz="0" w:space="0" w:color="auto"/>
        <w:right w:val="none" w:sz="0" w:space="0" w:color="auto"/>
      </w:divBdr>
    </w:div>
    <w:div w:id="346714838">
      <w:bodyDiv w:val="1"/>
      <w:marLeft w:val="0"/>
      <w:marRight w:val="0"/>
      <w:marTop w:val="0"/>
      <w:marBottom w:val="0"/>
      <w:divBdr>
        <w:top w:val="none" w:sz="0" w:space="0" w:color="auto"/>
        <w:left w:val="none" w:sz="0" w:space="0" w:color="auto"/>
        <w:bottom w:val="none" w:sz="0" w:space="0" w:color="auto"/>
        <w:right w:val="none" w:sz="0" w:space="0" w:color="auto"/>
      </w:divBdr>
    </w:div>
    <w:div w:id="346834196">
      <w:bodyDiv w:val="1"/>
      <w:marLeft w:val="0"/>
      <w:marRight w:val="0"/>
      <w:marTop w:val="0"/>
      <w:marBottom w:val="0"/>
      <w:divBdr>
        <w:top w:val="none" w:sz="0" w:space="0" w:color="auto"/>
        <w:left w:val="none" w:sz="0" w:space="0" w:color="auto"/>
        <w:bottom w:val="none" w:sz="0" w:space="0" w:color="auto"/>
        <w:right w:val="none" w:sz="0" w:space="0" w:color="auto"/>
      </w:divBdr>
    </w:div>
    <w:div w:id="346835202">
      <w:bodyDiv w:val="1"/>
      <w:marLeft w:val="0"/>
      <w:marRight w:val="0"/>
      <w:marTop w:val="0"/>
      <w:marBottom w:val="0"/>
      <w:divBdr>
        <w:top w:val="none" w:sz="0" w:space="0" w:color="auto"/>
        <w:left w:val="none" w:sz="0" w:space="0" w:color="auto"/>
        <w:bottom w:val="none" w:sz="0" w:space="0" w:color="auto"/>
        <w:right w:val="none" w:sz="0" w:space="0" w:color="auto"/>
      </w:divBdr>
    </w:div>
    <w:div w:id="346835248">
      <w:bodyDiv w:val="1"/>
      <w:marLeft w:val="0"/>
      <w:marRight w:val="0"/>
      <w:marTop w:val="0"/>
      <w:marBottom w:val="0"/>
      <w:divBdr>
        <w:top w:val="none" w:sz="0" w:space="0" w:color="auto"/>
        <w:left w:val="none" w:sz="0" w:space="0" w:color="auto"/>
        <w:bottom w:val="none" w:sz="0" w:space="0" w:color="auto"/>
        <w:right w:val="none" w:sz="0" w:space="0" w:color="auto"/>
      </w:divBdr>
    </w:div>
    <w:div w:id="346904334">
      <w:bodyDiv w:val="1"/>
      <w:marLeft w:val="0"/>
      <w:marRight w:val="0"/>
      <w:marTop w:val="0"/>
      <w:marBottom w:val="0"/>
      <w:divBdr>
        <w:top w:val="none" w:sz="0" w:space="0" w:color="auto"/>
        <w:left w:val="none" w:sz="0" w:space="0" w:color="auto"/>
        <w:bottom w:val="none" w:sz="0" w:space="0" w:color="auto"/>
        <w:right w:val="none" w:sz="0" w:space="0" w:color="auto"/>
      </w:divBdr>
    </w:div>
    <w:div w:id="346909089">
      <w:bodyDiv w:val="1"/>
      <w:marLeft w:val="0"/>
      <w:marRight w:val="0"/>
      <w:marTop w:val="0"/>
      <w:marBottom w:val="0"/>
      <w:divBdr>
        <w:top w:val="none" w:sz="0" w:space="0" w:color="auto"/>
        <w:left w:val="none" w:sz="0" w:space="0" w:color="auto"/>
        <w:bottom w:val="none" w:sz="0" w:space="0" w:color="auto"/>
        <w:right w:val="none" w:sz="0" w:space="0" w:color="auto"/>
      </w:divBdr>
    </w:div>
    <w:div w:id="347028329">
      <w:bodyDiv w:val="1"/>
      <w:marLeft w:val="0"/>
      <w:marRight w:val="0"/>
      <w:marTop w:val="0"/>
      <w:marBottom w:val="0"/>
      <w:divBdr>
        <w:top w:val="none" w:sz="0" w:space="0" w:color="auto"/>
        <w:left w:val="none" w:sz="0" w:space="0" w:color="auto"/>
        <w:bottom w:val="none" w:sz="0" w:space="0" w:color="auto"/>
        <w:right w:val="none" w:sz="0" w:space="0" w:color="auto"/>
      </w:divBdr>
    </w:div>
    <w:div w:id="347101504">
      <w:bodyDiv w:val="1"/>
      <w:marLeft w:val="0"/>
      <w:marRight w:val="0"/>
      <w:marTop w:val="0"/>
      <w:marBottom w:val="0"/>
      <w:divBdr>
        <w:top w:val="none" w:sz="0" w:space="0" w:color="auto"/>
        <w:left w:val="none" w:sz="0" w:space="0" w:color="auto"/>
        <w:bottom w:val="none" w:sz="0" w:space="0" w:color="auto"/>
        <w:right w:val="none" w:sz="0" w:space="0" w:color="auto"/>
      </w:divBdr>
    </w:div>
    <w:div w:id="347221572">
      <w:bodyDiv w:val="1"/>
      <w:marLeft w:val="0"/>
      <w:marRight w:val="0"/>
      <w:marTop w:val="0"/>
      <w:marBottom w:val="0"/>
      <w:divBdr>
        <w:top w:val="none" w:sz="0" w:space="0" w:color="auto"/>
        <w:left w:val="none" w:sz="0" w:space="0" w:color="auto"/>
        <w:bottom w:val="none" w:sz="0" w:space="0" w:color="auto"/>
        <w:right w:val="none" w:sz="0" w:space="0" w:color="auto"/>
      </w:divBdr>
    </w:div>
    <w:div w:id="347222370">
      <w:bodyDiv w:val="1"/>
      <w:marLeft w:val="0"/>
      <w:marRight w:val="0"/>
      <w:marTop w:val="0"/>
      <w:marBottom w:val="0"/>
      <w:divBdr>
        <w:top w:val="none" w:sz="0" w:space="0" w:color="auto"/>
        <w:left w:val="none" w:sz="0" w:space="0" w:color="auto"/>
        <w:bottom w:val="none" w:sz="0" w:space="0" w:color="auto"/>
        <w:right w:val="none" w:sz="0" w:space="0" w:color="auto"/>
      </w:divBdr>
    </w:div>
    <w:div w:id="347295842">
      <w:bodyDiv w:val="1"/>
      <w:marLeft w:val="0"/>
      <w:marRight w:val="0"/>
      <w:marTop w:val="0"/>
      <w:marBottom w:val="0"/>
      <w:divBdr>
        <w:top w:val="none" w:sz="0" w:space="0" w:color="auto"/>
        <w:left w:val="none" w:sz="0" w:space="0" w:color="auto"/>
        <w:bottom w:val="none" w:sz="0" w:space="0" w:color="auto"/>
        <w:right w:val="none" w:sz="0" w:space="0" w:color="auto"/>
      </w:divBdr>
    </w:div>
    <w:div w:id="347372146">
      <w:bodyDiv w:val="1"/>
      <w:marLeft w:val="0"/>
      <w:marRight w:val="0"/>
      <w:marTop w:val="0"/>
      <w:marBottom w:val="0"/>
      <w:divBdr>
        <w:top w:val="none" w:sz="0" w:space="0" w:color="auto"/>
        <w:left w:val="none" w:sz="0" w:space="0" w:color="auto"/>
        <w:bottom w:val="none" w:sz="0" w:space="0" w:color="auto"/>
        <w:right w:val="none" w:sz="0" w:space="0" w:color="auto"/>
      </w:divBdr>
    </w:div>
    <w:div w:id="347483279">
      <w:bodyDiv w:val="1"/>
      <w:marLeft w:val="0"/>
      <w:marRight w:val="0"/>
      <w:marTop w:val="0"/>
      <w:marBottom w:val="0"/>
      <w:divBdr>
        <w:top w:val="none" w:sz="0" w:space="0" w:color="auto"/>
        <w:left w:val="none" w:sz="0" w:space="0" w:color="auto"/>
        <w:bottom w:val="none" w:sz="0" w:space="0" w:color="auto"/>
        <w:right w:val="none" w:sz="0" w:space="0" w:color="auto"/>
      </w:divBdr>
    </w:div>
    <w:div w:id="347486449">
      <w:bodyDiv w:val="1"/>
      <w:marLeft w:val="0"/>
      <w:marRight w:val="0"/>
      <w:marTop w:val="0"/>
      <w:marBottom w:val="0"/>
      <w:divBdr>
        <w:top w:val="none" w:sz="0" w:space="0" w:color="auto"/>
        <w:left w:val="none" w:sz="0" w:space="0" w:color="auto"/>
        <w:bottom w:val="none" w:sz="0" w:space="0" w:color="auto"/>
        <w:right w:val="none" w:sz="0" w:space="0" w:color="auto"/>
      </w:divBdr>
    </w:div>
    <w:div w:id="347604293">
      <w:bodyDiv w:val="1"/>
      <w:marLeft w:val="0"/>
      <w:marRight w:val="0"/>
      <w:marTop w:val="0"/>
      <w:marBottom w:val="0"/>
      <w:divBdr>
        <w:top w:val="none" w:sz="0" w:space="0" w:color="auto"/>
        <w:left w:val="none" w:sz="0" w:space="0" w:color="auto"/>
        <w:bottom w:val="none" w:sz="0" w:space="0" w:color="auto"/>
        <w:right w:val="none" w:sz="0" w:space="0" w:color="auto"/>
      </w:divBdr>
    </w:div>
    <w:div w:id="347634329">
      <w:bodyDiv w:val="1"/>
      <w:marLeft w:val="0"/>
      <w:marRight w:val="0"/>
      <w:marTop w:val="0"/>
      <w:marBottom w:val="0"/>
      <w:divBdr>
        <w:top w:val="none" w:sz="0" w:space="0" w:color="auto"/>
        <w:left w:val="none" w:sz="0" w:space="0" w:color="auto"/>
        <w:bottom w:val="none" w:sz="0" w:space="0" w:color="auto"/>
        <w:right w:val="none" w:sz="0" w:space="0" w:color="auto"/>
      </w:divBdr>
    </w:div>
    <w:div w:id="347683496">
      <w:bodyDiv w:val="1"/>
      <w:marLeft w:val="0"/>
      <w:marRight w:val="0"/>
      <w:marTop w:val="0"/>
      <w:marBottom w:val="0"/>
      <w:divBdr>
        <w:top w:val="none" w:sz="0" w:space="0" w:color="auto"/>
        <w:left w:val="none" w:sz="0" w:space="0" w:color="auto"/>
        <w:bottom w:val="none" w:sz="0" w:space="0" w:color="auto"/>
        <w:right w:val="none" w:sz="0" w:space="0" w:color="auto"/>
      </w:divBdr>
    </w:div>
    <w:div w:id="347684170">
      <w:bodyDiv w:val="1"/>
      <w:marLeft w:val="0"/>
      <w:marRight w:val="0"/>
      <w:marTop w:val="0"/>
      <w:marBottom w:val="0"/>
      <w:divBdr>
        <w:top w:val="none" w:sz="0" w:space="0" w:color="auto"/>
        <w:left w:val="none" w:sz="0" w:space="0" w:color="auto"/>
        <w:bottom w:val="none" w:sz="0" w:space="0" w:color="auto"/>
        <w:right w:val="none" w:sz="0" w:space="0" w:color="auto"/>
      </w:divBdr>
    </w:div>
    <w:div w:id="347754468">
      <w:bodyDiv w:val="1"/>
      <w:marLeft w:val="0"/>
      <w:marRight w:val="0"/>
      <w:marTop w:val="0"/>
      <w:marBottom w:val="0"/>
      <w:divBdr>
        <w:top w:val="none" w:sz="0" w:space="0" w:color="auto"/>
        <w:left w:val="none" w:sz="0" w:space="0" w:color="auto"/>
        <w:bottom w:val="none" w:sz="0" w:space="0" w:color="auto"/>
        <w:right w:val="none" w:sz="0" w:space="0" w:color="auto"/>
      </w:divBdr>
    </w:div>
    <w:div w:id="347827535">
      <w:bodyDiv w:val="1"/>
      <w:marLeft w:val="0"/>
      <w:marRight w:val="0"/>
      <w:marTop w:val="0"/>
      <w:marBottom w:val="0"/>
      <w:divBdr>
        <w:top w:val="none" w:sz="0" w:space="0" w:color="auto"/>
        <w:left w:val="none" w:sz="0" w:space="0" w:color="auto"/>
        <w:bottom w:val="none" w:sz="0" w:space="0" w:color="auto"/>
        <w:right w:val="none" w:sz="0" w:space="0" w:color="auto"/>
      </w:divBdr>
    </w:div>
    <w:div w:id="347874000">
      <w:bodyDiv w:val="1"/>
      <w:marLeft w:val="0"/>
      <w:marRight w:val="0"/>
      <w:marTop w:val="0"/>
      <w:marBottom w:val="0"/>
      <w:divBdr>
        <w:top w:val="none" w:sz="0" w:space="0" w:color="auto"/>
        <w:left w:val="none" w:sz="0" w:space="0" w:color="auto"/>
        <w:bottom w:val="none" w:sz="0" w:space="0" w:color="auto"/>
        <w:right w:val="none" w:sz="0" w:space="0" w:color="auto"/>
      </w:divBdr>
    </w:div>
    <w:div w:id="347878560">
      <w:bodyDiv w:val="1"/>
      <w:marLeft w:val="0"/>
      <w:marRight w:val="0"/>
      <w:marTop w:val="0"/>
      <w:marBottom w:val="0"/>
      <w:divBdr>
        <w:top w:val="none" w:sz="0" w:space="0" w:color="auto"/>
        <w:left w:val="none" w:sz="0" w:space="0" w:color="auto"/>
        <w:bottom w:val="none" w:sz="0" w:space="0" w:color="auto"/>
        <w:right w:val="none" w:sz="0" w:space="0" w:color="auto"/>
      </w:divBdr>
    </w:div>
    <w:div w:id="348072050">
      <w:bodyDiv w:val="1"/>
      <w:marLeft w:val="0"/>
      <w:marRight w:val="0"/>
      <w:marTop w:val="0"/>
      <w:marBottom w:val="0"/>
      <w:divBdr>
        <w:top w:val="none" w:sz="0" w:space="0" w:color="auto"/>
        <w:left w:val="none" w:sz="0" w:space="0" w:color="auto"/>
        <w:bottom w:val="none" w:sz="0" w:space="0" w:color="auto"/>
        <w:right w:val="none" w:sz="0" w:space="0" w:color="auto"/>
      </w:divBdr>
    </w:div>
    <w:div w:id="348217651">
      <w:bodyDiv w:val="1"/>
      <w:marLeft w:val="0"/>
      <w:marRight w:val="0"/>
      <w:marTop w:val="0"/>
      <w:marBottom w:val="0"/>
      <w:divBdr>
        <w:top w:val="none" w:sz="0" w:space="0" w:color="auto"/>
        <w:left w:val="none" w:sz="0" w:space="0" w:color="auto"/>
        <w:bottom w:val="none" w:sz="0" w:space="0" w:color="auto"/>
        <w:right w:val="none" w:sz="0" w:space="0" w:color="auto"/>
      </w:divBdr>
    </w:div>
    <w:div w:id="348217692">
      <w:bodyDiv w:val="1"/>
      <w:marLeft w:val="0"/>
      <w:marRight w:val="0"/>
      <w:marTop w:val="0"/>
      <w:marBottom w:val="0"/>
      <w:divBdr>
        <w:top w:val="none" w:sz="0" w:space="0" w:color="auto"/>
        <w:left w:val="none" w:sz="0" w:space="0" w:color="auto"/>
        <w:bottom w:val="none" w:sz="0" w:space="0" w:color="auto"/>
        <w:right w:val="none" w:sz="0" w:space="0" w:color="auto"/>
      </w:divBdr>
    </w:div>
    <w:div w:id="348414836">
      <w:bodyDiv w:val="1"/>
      <w:marLeft w:val="0"/>
      <w:marRight w:val="0"/>
      <w:marTop w:val="0"/>
      <w:marBottom w:val="0"/>
      <w:divBdr>
        <w:top w:val="none" w:sz="0" w:space="0" w:color="auto"/>
        <w:left w:val="none" w:sz="0" w:space="0" w:color="auto"/>
        <w:bottom w:val="none" w:sz="0" w:space="0" w:color="auto"/>
        <w:right w:val="none" w:sz="0" w:space="0" w:color="auto"/>
      </w:divBdr>
    </w:div>
    <w:div w:id="348526371">
      <w:bodyDiv w:val="1"/>
      <w:marLeft w:val="0"/>
      <w:marRight w:val="0"/>
      <w:marTop w:val="0"/>
      <w:marBottom w:val="0"/>
      <w:divBdr>
        <w:top w:val="none" w:sz="0" w:space="0" w:color="auto"/>
        <w:left w:val="none" w:sz="0" w:space="0" w:color="auto"/>
        <w:bottom w:val="none" w:sz="0" w:space="0" w:color="auto"/>
        <w:right w:val="none" w:sz="0" w:space="0" w:color="auto"/>
      </w:divBdr>
    </w:div>
    <w:div w:id="348602479">
      <w:bodyDiv w:val="1"/>
      <w:marLeft w:val="0"/>
      <w:marRight w:val="0"/>
      <w:marTop w:val="0"/>
      <w:marBottom w:val="0"/>
      <w:divBdr>
        <w:top w:val="none" w:sz="0" w:space="0" w:color="auto"/>
        <w:left w:val="none" w:sz="0" w:space="0" w:color="auto"/>
        <w:bottom w:val="none" w:sz="0" w:space="0" w:color="auto"/>
        <w:right w:val="none" w:sz="0" w:space="0" w:color="auto"/>
      </w:divBdr>
    </w:div>
    <w:div w:id="348607690">
      <w:bodyDiv w:val="1"/>
      <w:marLeft w:val="0"/>
      <w:marRight w:val="0"/>
      <w:marTop w:val="0"/>
      <w:marBottom w:val="0"/>
      <w:divBdr>
        <w:top w:val="none" w:sz="0" w:space="0" w:color="auto"/>
        <w:left w:val="none" w:sz="0" w:space="0" w:color="auto"/>
        <w:bottom w:val="none" w:sz="0" w:space="0" w:color="auto"/>
        <w:right w:val="none" w:sz="0" w:space="0" w:color="auto"/>
      </w:divBdr>
    </w:div>
    <w:div w:id="348721543">
      <w:bodyDiv w:val="1"/>
      <w:marLeft w:val="0"/>
      <w:marRight w:val="0"/>
      <w:marTop w:val="0"/>
      <w:marBottom w:val="0"/>
      <w:divBdr>
        <w:top w:val="none" w:sz="0" w:space="0" w:color="auto"/>
        <w:left w:val="none" w:sz="0" w:space="0" w:color="auto"/>
        <w:bottom w:val="none" w:sz="0" w:space="0" w:color="auto"/>
        <w:right w:val="none" w:sz="0" w:space="0" w:color="auto"/>
      </w:divBdr>
    </w:div>
    <w:div w:id="348725508">
      <w:bodyDiv w:val="1"/>
      <w:marLeft w:val="0"/>
      <w:marRight w:val="0"/>
      <w:marTop w:val="0"/>
      <w:marBottom w:val="0"/>
      <w:divBdr>
        <w:top w:val="none" w:sz="0" w:space="0" w:color="auto"/>
        <w:left w:val="none" w:sz="0" w:space="0" w:color="auto"/>
        <w:bottom w:val="none" w:sz="0" w:space="0" w:color="auto"/>
        <w:right w:val="none" w:sz="0" w:space="0" w:color="auto"/>
      </w:divBdr>
    </w:div>
    <w:div w:id="348798666">
      <w:bodyDiv w:val="1"/>
      <w:marLeft w:val="0"/>
      <w:marRight w:val="0"/>
      <w:marTop w:val="0"/>
      <w:marBottom w:val="0"/>
      <w:divBdr>
        <w:top w:val="none" w:sz="0" w:space="0" w:color="auto"/>
        <w:left w:val="none" w:sz="0" w:space="0" w:color="auto"/>
        <w:bottom w:val="none" w:sz="0" w:space="0" w:color="auto"/>
        <w:right w:val="none" w:sz="0" w:space="0" w:color="auto"/>
      </w:divBdr>
    </w:div>
    <w:div w:id="348800301">
      <w:bodyDiv w:val="1"/>
      <w:marLeft w:val="0"/>
      <w:marRight w:val="0"/>
      <w:marTop w:val="0"/>
      <w:marBottom w:val="0"/>
      <w:divBdr>
        <w:top w:val="none" w:sz="0" w:space="0" w:color="auto"/>
        <w:left w:val="none" w:sz="0" w:space="0" w:color="auto"/>
        <w:bottom w:val="none" w:sz="0" w:space="0" w:color="auto"/>
        <w:right w:val="none" w:sz="0" w:space="0" w:color="auto"/>
      </w:divBdr>
    </w:div>
    <w:div w:id="348876355">
      <w:bodyDiv w:val="1"/>
      <w:marLeft w:val="0"/>
      <w:marRight w:val="0"/>
      <w:marTop w:val="0"/>
      <w:marBottom w:val="0"/>
      <w:divBdr>
        <w:top w:val="none" w:sz="0" w:space="0" w:color="auto"/>
        <w:left w:val="none" w:sz="0" w:space="0" w:color="auto"/>
        <w:bottom w:val="none" w:sz="0" w:space="0" w:color="auto"/>
        <w:right w:val="none" w:sz="0" w:space="0" w:color="auto"/>
      </w:divBdr>
    </w:div>
    <w:div w:id="348919525">
      <w:bodyDiv w:val="1"/>
      <w:marLeft w:val="0"/>
      <w:marRight w:val="0"/>
      <w:marTop w:val="0"/>
      <w:marBottom w:val="0"/>
      <w:divBdr>
        <w:top w:val="none" w:sz="0" w:space="0" w:color="auto"/>
        <w:left w:val="none" w:sz="0" w:space="0" w:color="auto"/>
        <w:bottom w:val="none" w:sz="0" w:space="0" w:color="auto"/>
        <w:right w:val="none" w:sz="0" w:space="0" w:color="auto"/>
      </w:divBdr>
    </w:div>
    <w:div w:id="349063281">
      <w:bodyDiv w:val="1"/>
      <w:marLeft w:val="0"/>
      <w:marRight w:val="0"/>
      <w:marTop w:val="0"/>
      <w:marBottom w:val="0"/>
      <w:divBdr>
        <w:top w:val="none" w:sz="0" w:space="0" w:color="auto"/>
        <w:left w:val="none" w:sz="0" w:space="0" w:color="auto"/>
        <w:bottom w:val="none" w:sz="0" w:space="0" w:color="auto"/>
        <w:right w:val="none" w:sz="0" w:space="0" w:color="auto"/>
      </w:divBdr>
    </w:div>
    <w:div w:id="349063440">
      <w:bodyDiv w:val="1"/>
      <w:marLeft w:val="0"/>
      <w:marRight w:val="0"/>
      <w:marTop w:val="0"/>
      <w:marBottom w:val="0"/>
      <w:divBdr>
        <w:top w:val="none" w:sz="0" w:space="0" w:color="auto"/>
        <w:left w:val="none" w:sz="0" w:space="0" w:color="auto"/>
        <w:bottom w:val="none" w:sz="0" w:space="0" w:color="auto"/>
        <w:right w:val="none" w:sz="0" w:space="0" w:color="auto"/>
      </w:divBdr>
    </w:div>
    <w:div w:id="349065460">
      <w:bodyDiv w:val="1"/>
      <w:marLeft w:val="0"/>
      <w:marRight w:val="0"/>
      <w:marTop w:val="0"/>
      <w:marBottom w:val="0"/>
      <w:divBdr>
        <w:top w:val="none" w:sz="0" w:space="0" w:color="auto"/>
        <w:left w:val="none" w:sz="0" w:space="0" w:color="auto"/>
        <w:bottom w:val="none" w:sz="0" w:space="0" w:color="auto"/>
        <w:right w:val="none" w:sz="0" w:space="0" w:color="auto"/>
      </w:divBdr>
    </w:div>
    <w:div w:id="349068047">
      <w:bodyDiv w:val="1"/>
      <w:marLeft w:val="0"/>
      <w:marRight w:val="0"/>
      <w:marTop w:val="0"/>
      <w:marBottom w:val="0"/>
      <w:divBdr>
        <w:top w:val="none" w:sz="0" w:space="0" w:color="auto"/>
        <w:left w:val="none" w:sz="0" w:space="0" w:color="auto"/>
        <w:bottom w:val="none" w:sz="0" w:space="0" w:color="auto"/>
        <w:right w:val="none" w:sz="0" w:space="0" w:color="auto"/>
      </w:divBdr>
    </w:div>
    <w:div w:id="349183224">
      <w:bodyDiv w:val="1"/>
      <w:marLeft w:val="0"/>
      <w:marRight w:val="0"/>
      <w:marTop w:val="0"/>
      <w:marBottom w:val="0"/>
      <w:divBdr>
        <w:top w:val="none" w:sz="0" w:space="0" w:color="auto"/>
        <w:left w:val="none" w:sz="0" w:space="0" w:color="auto"/>
        <w:bottom w:val="none" w:sz="0" w:space="0" w:color="auto"/>
        <w:right w:val="none" w:sz="0" w:space="0" w:color="auto"/>
      </w:divBdr>
    </w:div>
    <w:div w:id="349260898">
      <w:bodyDiv w:val="1"/>
      <w:marLeft w:val="0"/>
      <w:marRight w:val="0"/>
      <w:marTop w:val="0"/>
      <w:marBottom w:val="0"/>
      <w:divBdr>
        <w:top w:val="none" w:sz="0" w:space="0" w:color="auto"/>
        <w:left w:val="none" w:sz="0" w:space="0" w:color="auto"/>
        <w:bottom w:val="none" w:sz="0" w:space="0" w:color="auto"/>
        <w:right w:val="none" w:sz="0" w:space="0" w:color="auto"/>
      </w:divBdr>
    </w:div>
    <w:div w:id="349333200">
      <w:bodyDiv w:val="1"/>
      <w:marLeft w:val="0"/>
      <w:marRight w:val="0"/>
      <w:marTop w:val="0"/>
      <w:marBottom w:val="0"/>
      <w:divBdr>
        <w:top w:val="none" w:sz="0" w:space="0" w:color="auto"/>
        <w:left w:val="none" w:sz="0" w:space="0" w:color="auto"/>
        <w:bottom w:val="none" w:sz="0" w:space="0" w:color="auto"/>
        <w:right w:val="none" w:sz="0" w:space="0" w:color="auto"/>
      </w:divBdr>
    </w:div>
    <w:div w:id="349336252">
      <w:bodyDiv w:val="1"/>
      <w:marLeft w:val="0"/>
      <w:marRight w:val="0"/>
      <w:marTop w:val="0"/>
      <w:marBottom w:val="0"/>
      <w:divBdr>
        <w:top w:val="none" w:sz="0" w:space="0" w:color="auto"/>
        <w:left w:val="none" w:sz="0" w:space="0" w:color="auto"/>
        <w:bottom w:val="none" w:sz="0" w:space="0" w:color="auto"/>
        <w:right w:val="none" w:sz="0" w:space="0" w:color="auto"/>
      </w:divBdr>
    </w:div>
    <w:div w:id="349571222">
      <w:bodyDiv w:val="1"/>
      <w:marLeft w:val="0"/>
      <w:marRight w:val="0"/>
      <w:marTop w:val="0"/>
      <w:marBottom w:val="0"/>
      <w:divBdr>
        <w:top w:val="none" w:sz="0" w:space="0" w:color="auto"/>
        <w:left w:val="none" w:sz="0" w:space="0" w:color="auto"/>
        <w:bottom w:val="none" w:sz="0" w:space="0" w:color="auto"/>
        <w:right w:val="none" w:sz="0" w:space="0" w:color="auto"/>
      </w:divBdr>
    </w:div>
    <w:div w:id="349643779">
      <w:bodyDiv w:val="1"/>
      <w:marLeft w:val="0"/>
      <w:marRight w:val="0"/>
      <w:marTop w:val="0"/>
      <w:marBottom w:val="0"/>
      <w:divBdr>
        <w:top w:val="none" w:sz="0" w:space="0" w:color="auto"/>
        <w:left w:val="none" w:sz="0" w:space="0" w:color="auto"/>
        <w:bottom w:val="none" w:sz="0" w:space="0" w:color="auto"/>
        <w:right w:val="none" w:sz="0" w:space="0" w:color="auto"/>
      </w:divBdr>
    </w:div>
    <w:div w:id="349646624">
      <w:bodyDiv w:val="1"/>
      <w:marLeft w:val="0"/>
      <w:marRight w:val="0"/>
      <w:marTop w:val="0"/>
      <w:marBottom w:val="0"/>
      <w:divBdr>
        <w:top w:val="none" w:sz="0" w:space="0" w:color="auto"/>
        <w:left w:val="none" w:sz="0" w:space="0" w:color="auto"/>
        <w:bottom w:val="none" w:sz="0" w:space="0" w:color="auto"/>
        <w:right w:val="none" w:sz="0" w:space="0" w:color="auto"/>
      </w:divBdr>
    </w:div>
    <w:div w:id="349650356">
      <w:bodyDiv w:val="1"/>
      <w:marLeft w:val="0"/>
      <w:marRight w:val="0"/>
      <w:marTop w:val="0"/>
      <w:marBottom w:val="0"/>
      <w:divBdr>
        <w:top w:val="none" w:sz="0" w:space="0" w:color="auto"/>
        <w:left w:val="none" w:sz="0" w:space="0" w:color="auto"/>
        <w:bottom w:val="none" w:sz="0" w:space="0" w:color="auto"/>
        <w:right w:val="none" w:sz="0" w:space="0" w:color="auto"/>
      </w:divBdr>
    </w:div>
    <w:div w:id="349718336">
      <w:bodyDiv w:val="1"/>
      <w:marLeft w:val="0"/>
      <w:marRight w:val="0"/>
      <w:marTop w:val="0"/>
      <w:marBottom w:val="0"/>
      <w:divBdr>
        <w:top w:val="none" w:sz="0" w:space="0" w:color="auto"/>
        <w:left w:val="none" w:sz="0" w:space="0" w:color="auto"/>
        <w:bottom w:val="none" w:sz="0" w:space="0" w:color="auto"/>
        <w:right w:val="none" w:sz="0" w:space="0" w:color="auto"/>
      </w:divBdr>
    </w:div>
    <w:div w:id="349769355">
      <w:bodyDiv w:val="1"/>
      <w:marLeft w:val="0"/>
      <w:marRight w:val="0"/>
      <w:marTop w:val="0"/>
      <w:marBottom w:val="0"/>
      <w:divBdr>
        <w:top w:val="none" w:sz="0" w:space="0" w:color="auto"/>
        <w:left w:val="none" w:sz="0" w:space="0" w:color="auto"/>
        <w:bottom w:val="none" w:sz="0" w:space="0" w:color="auto"/>
        <w:right w:val="none" w:sz="0" w:space="0" w:color="auto"/>
      </w:divBdr>
    </w:div>
    <w:div w:id="349835481">
      <w:bodyDiv w:val="1"/>
      <w:marLeft w:val="0"/>
      <w:marRight w:val="0"/>
      <w:marTop w:val="0"/>
      <w:marBottom w:val="0"/>
      <w:divBdr>
        <w:top w:val="none" w:sz="0" w:space="0" w:color="auto"/>
        <w:left w:val="none" w:sz="0" w:space="0" w:color="auto"/>
        <w:bottom w:val="none" w:sz="0" w:space="0" w:color="auto"/>
        <w:right w:val="none" w:sz="0" w:space="0" w:color="auto"/>
      </w:divBdr>
    </w:div>
    <w:div w:id="349910895">
      <w:bodyDiv w:val="1"/>
      <w:marLeft w:val="0"/>
      <w:marRight w:val="0"/>
      <w:marTop w:val="0"/>
      <w:marBottom w:val="0"/>
      <w:divBdr>
        <w:top w:val="none" w:sz="0" w:space="0" w:color="auto"/>
        <w:left w:val="none" w:sz="0" w:space="0" w:color="auto"/>
        <w:bottom w:val="none" w:sz="0" w:space="0" w:color="auto"/>
        <w:right w:val="none" w:sz="0" w:space="0" w:color="auto"/>
      </w:divBdr>
    </w:div>
    <w:div w:id="349916545">
      <w:bodyDiv w:val="1"/>
      <w:marLeft w:val="0"/>
      <w:marRight w:val="0"/>
      <w:marTop w:val="0"/>
      <w:marBottom w:val="0"/>
      <w:divBdr>
        <w:top w:val="none" w:sz="0" w:space="0" w:color="auto"/>
        <w:left w:val="none" w:sz="0" w:space="0" w:color="auto"/>
        <w:bottom w:val="none" w:sz="0" w:space="0" w:color="auto"/>
        <w:right w:val="none" w:sz="0" w:space="0" w:color="auto"/>
      </w:divBdr>
    </w:div>
    <w:div w:id="349991970">
      <w:bodyDiv w:val="1"/>
      <w:marLeft w:val="0"/>
      <w:marRight w:val="0"/>
      <w:marTop w:val="0"/>
      <w:marBottom w:val="0"/>
      <w:divBdr>
        <w:top w:val="none" w:sz="0" w:space="0" w:color="auto"/>
        <w:left w:val="none" w:sz="0" w:space="0" w:color="auto"/>
        <w:bottom w:val="none" w:sz="0" w:space="0" w:color="auto"/>
        <w:right w:val="none" w:sz="0" w:space="0" w:color="auto"/>
      </w:divBdr>
    </w:div>
    <w:div w:id="350106269">
      <w:bodyDiv w:val="1"/>
      <w:marLeft w:val="0"/>
      <w:marRight w:val="0"/>
      <w:marTop w:val="0"/>
      <w:marBottom w:val="0"/>
      <w:divBdr>
        <w:top w:val="none" w:sz="0" w:space="0" w:color="auto"/>
        <w:left w:val="none" w:sz="0" w:space="0" w:color="auto"/>
        <w:bottom w:val="none" w:sz="0" w:space="0" w:color="auto"/>
        <w:right w:val="none" w:sz="0" w:space="0" w:color="auto"/>
      </w:divBdr>
    </w:div>
    <w:div w:id="350182544">
      <w:bodyDiv w:val="1"/>
      <w:marLeft w:val="0"/>
      <w:marRight w:val="0"/>
      <w:marTop w:val="0"/>
      <w:marBottom w:val="0"/>
      <w:divBdr>
        <w:top w:val="none" w:sz="0" w:space="0" w:color="auto"/>
        <w:left w:val="none" w:sz="0" w:space="0" w:color="auto"/>
        <w:bottom w:val="none" w:sz="0" w:space="0" w:color="auto"/>
        <w:right w:val="none" w:sz="0" w:space="0" w:color="auto"/>
      </w:divBdr>
    </w:div>
    <w:div w:id="350186098">
      <w:bodyDiv w:val="1"/>
      <w:marLeft w:val="0"/>
      <w:marRight w:val="0"/>
      <w:marTop w:val="0"/>
      <w:marBottom w:val="0"/>
      <w:divBdr>
        <w:top w:val="none" w:sz="0" w:space="0" w:color="auto"/>
        <w:left w:val="none" w:sz="0" w:space="0" w:color="auto"/>
        <w:bottom w:val="none" w:sz="0" w:space="0" w:color="auto"/>
        <w:right w:val="none" w:sz="0" w:space="0" w:color="auto"/>
      </w:divBdr>
    </w:div>
    <w:div w:id="350299134">
      <w:bodyDiv w:val="1"/>
      <w:marLeft w:val="0"/>
      <w:marRight w:val="0"/>
      <w:marTop w:val="0"/>
      <w:marBottom w:val="0"/>
      <w:divBdr>
        <w:top w:val="none" w:sz="0" w:space="0" w:color="auto"/>
        <w:left w:val="none" w:sz="0" w:space="0" w:color="auto"/>
        <w:bottom w:val="none" w:sz="0" w:space="0" w:color="auto"/>
        <w:right w:val="none" w:sz="0" w:space="0" w:color="auto"/>
      </w:divBdr>
    </w:div>
    <w:div w:id="350303454">
      <w:bodyDiv w:val="1"/>
      <w:marLeft w:val="0"/>
      <w:marRight w:val="0"/>
      <w:marTop w:val="0"/>
      <w:marBottom w:val="0"/>
      <w:divBdr>
        <w:top w:val="none" w:sz="0" w:space="0" w:color="auto"/>
        <w:left w:val="none" w:sz="0" w:space="0" w:color="auto"/>
        <w:bottom w:val="none" w:sz="0" w:space="0" w:color="auto"/>
        <w:right w:val="none" w:sz="0" w:space="0" w:color="auto"/>
      </w:divBdr>
    </w:div>
    <w:div w:id="350449108">
      <w:bodyDiv w:val="1"/>
      <w:marLeft w:val="0"/>
      <w:marRight w:val="0"/>
      <w:marTop w:val="0"/>
      <w:marBottom w:val="0"/>
      <w:divBdr>
        <w:top w:val="none" w:sz="0" w:space="0" w:color="auto"/>
        <w:left w:val="none" w:sz="0" w:space="0" w:color="auto"/>
        <w:bottom w:val="none" w:sz="0" w:space="0" w:color="auto"/>
        <w:right w:val="none" w:sz="0" w:space="0" w:color="auto"/>
      </w:divBdr>
    </w:div>
    <w:div w:id="350450998">
      <w:bodyDiv w:val="1"/>
      <w:marLeft w:val="0"/>
      <w:marRight w:val="0"/>
      <w:marTop w:val="0"/>
      <w:marBottom w:val="0"/>
      <w:divBdr>
        <w:top w:val="none" w:sz="0" w:space="0" w:color="auto"/>
        <w:left w:val="none" w:sz="0" w:space="0" w:color="auto"/>
        <w:bottom w:val="none" w:sz="0" w:space="0" w:color="auto"/>
        <w:right w:val="none" w:sz="0" w:space="0" w:color="auto"/>
      </w:divBdr>
    </w:div>
    <w:div w:id="350490730">
      <w:bodyDiv w:val="1"/>
      <w:marLeft w:val="0"/>
      <w:marRight w:val="0"/>
      <w:marTop w:val="0"/>
      <w:marBottom w:val="0"/>
      <w:divBdr>
        <w:top w:val="none" w:sz="0" w:space="0" w:color="auto"/>
        <w:left w:val="none" w:sz="0" w:space="0" w:color="auto"/>
        <w:bottom w:val="none" w:sz="0" w:space="0" w:color="auto"/>
        <w:right w:val="none" w:sz="0" w:space="0" w:color="auto"/>
      </w:divBdr>
    </w:div>
    <w:div w:id="350491294">
      <w:bodyDiv w:val="1"/>
      <w:marLeft w:val="0"/>
      <w:marRight w:val="0"/>
      <w:marTop w:val="0"/>
      <w:marBottom w:val="0"/>
      <w:divBdr>
        <w:top w:val="none" w:sz="0" w:space="0" w:color="auto"/>
        <w:left w:val="none" w:sz="0" w:space="0" w:color="auto"/>
        <w:bottom w:val="none" w:sz="0" w:space="0" w:color="auto"/>
        <w:right w:val="none" w:sz="0" w:space="0" w:color="auto"/>
      </w:divBdr>
    </w:div>
    <w:div w:id="350568953">
      <w:bodyDiv w:val="1"/>
      <w:marLeft w:val="0"/>
      <w:marRight w:val="0"/>
      <w:marTop w:val="0"/>
      <w:marBottom w:val="0"/>
      <w:divBdr>
        <w:top w:val="none" w:sz="0" w:space="0" w:color="auto"/>
        <w:left w:val="none" w:sz="0" w:space="0" w:color="auto"/>
        <w:bottom w:val="none" w:sz="0" w:space="0" w:color="auto"/>
        <w:right w:val="none" w:sz="0" w:space="0" w:color="auto"/>
      </w:divBdr>
    </w:div>
    <w:div w:id="350572597">
      <w:bodyDiv w:val="1"/>
      <w:marLeft w:val="0"/>
      <w:marRight w:val="0"/>
      <w:marTop w:val="0"/>
      <w:marBottom w:val="0"/>
      <w:divBdr>
        <w:top w:val="none" w:sz="0" w:space="0" w:color="auto"/>
        <w:left w:val="none" w:sz="0" w:space="0" w:color="auto"/>
        <w:bottom w:val="none" w:sz="0" w:space="0" w:color="auto"/>
        <w:right w:val="none" w:sz="0" w:space="0" w:color="auto"/>
      </w:divBdr>
    </w:div>
    <w:div w:id="350575154">
      <w:bodyDiv w:val="1"/>
      <w:marLeft w:val="0"/>
      <w:marRight w:val="0"/>
      <w:marTop w:val="0"/>
      <w:marBottom w:val="0"/>
      <w:divBdr>
        <w:top w:val="none" w:sz="0" w:space="0" w:color="auto"/>
        <w:left w:val="none" w:sz="0" w:space="0" w:color="auto"/>
        <w:bottom w:val="none" w:sz="0" w:space="0" w:color="auto"/>
        <w:right w:val="none" w:sz="0" w:space="0" w:color="auto"/>
      </w:divBdr>
    </w:div>
    <w:div w:id="350575462">
      <w:bodyDiv w:val="1"/>
      <w:marLeft w:val="0"/>
      <w:marRight w:val="0"/>
      <w:marTop w:val="0"/>
      <w:marBottom w:val="0"/>
      <w:divBdr>
        <w:top w:val="none" w:sz="0" w:space="0" w:color="auto"/>
        <w:left w:val="none" w:sz="0" w:space="0" w:color="auto"/>
        <w:bottom w:val="none" w:sz="0" w:space="0" w:color="auto"/>
        <w:right w:val="none" w:sz="0" w:space="0" w:color="auto"/>
      </w:divBdr>
    </w:div>
    <w:div w:id="350645979">
      <w:bodyDiv w:val="1"/>
      <w:marLeft w:val="0"/>
      <w:marRight w:val="0"/>
      <w:marTop w:val="0"/>
      <w:marBottom w:val="0"/>
      <w:divBdr>
        <w:top w:val="none" w:sz="0" w:space="0" w:color="auto"/>
        <w:left w:val="none" w:sz="0" w:space="0" w:color="auto"/>
        <w:bottom w:val="none" w:sz="0" w:space="0" w:color="auto"/>
        <w:right w:val="none" w:sz="0" w:space="0" w:color="auto"/>
      </w:divBdr>
    </w:div>
    <w:div w:id="350646678">
      <w:bodyDiv w:val="1"/>
      <w:marLeft w:val="0"/>
      <w:marRight w:val="0"/>
      <w:marTop w:val="0"/>
      <w:marBottom w:val="0"/>
      <w:divBdr>
        <w:top w:val="none" w:sz="0" w:space="0" w:color="auto"/>
        <w:left w:val="none" w:sz="0" w:space="0" w:color="auto"/>
        <w:bottom w:val="none" w:sz="0" w:space="0" w:color="auto"/>
        <w:right w:val="none" w:sz="0" w:space="0" w:color="auto"/>
      </w:divBdr>
    </w:div>
    <w:div w:id="350686300">
      <w:bodyDiv w:val="1"/>
      <w:marLeft w:val="0"/>
      <w:marRight w:val="0"/>
      <w:marTop w:val="0"/>
      <w:marBottom w:val="0"/>
      <w:divBdr>
        <w:top w:val="none" w:sz="0" w:space="0" w:color="auto"/>
        <w:left w:val="none" w:sz="0" w:space="0" w:color="auto"/>
        <w:bottom w:val="none" w:sz="0" w:space="0" w:color="auto"/>
        <w:right w:val="none" w:sz="0" w:space="0" w:color="auto"/>
      </w:divBdr>
    </w:div>
    <w:div w:id="350691771">
      <w:bodyDiv w:val="1"/>
      <w:marLeft w:val="0"/>
      <w:marRight w:val="0"/>
      <w:marTop w:val="0"/>
      <w:marBottom w:val="0"/>
      <w:divBdr>
        <w:top w:val="none" w:sz="0" w:space="0" w:color="auto"/>
        <w:left w:val="none" w:sz="0" w:space="0" w:color="auto"/>
        <w:bottom w:val="none" w:sz="0" w:space="0" w:color="auto"/>
        <w:right w:val="none" w:sz="0" w:space="0" w:color="auto"/>
      </w:divBdr>
    </w:div>
    <w:div w:id="350761433">
      <w:bodyDiv w:val="1"/>
      <w:marLeft w:val="0"/>
      <w:marRight w:val="0"/>
      <w:marTop w:val="0"/>
      <w:marBottom w:val="0"/>
      <w:divBdr>
        <w:top w:val="none" w:sz="0" w:space="0" w:color="auto"/>
        <w:left w:val="none" w:sz="0" w:space="0" w:color="auto"/>
        <w:bottom w:val="none" w:sz="0" w:space="0" w:color="auto"/>
        <w:right w:val="none" w:sz="0" w:space="0" w:color="auto"/>
      </w:divBdr>
    </w:div>
    <w:div w:id="350762449">
      <w:bodyDiv w:val="1"/>
      <w:marLeft w:val="0"/>
      <w:marRight w:val="0"/>
      <w:marTop w:val="0"/>
      <w:marBottom w:val="0"/>
      <w:divBdr>
        <w:top w:val="none" w:sz="0" w:space="0" w:color="auto"/>
        <w:left w:val="none" w:sz="0" w:space="0" w:color="auto"/>
        <w:bottom w:val="none" w:sz="0" w:space="0" w:color="auto"/>
        <w:right w:val="none" w:sz="0" w:space="0" w:color="auto"/>
      </w:divBdr>
    </w:div>
    <w:div w:id="350887007">
      <w:bodyDiv w:val="1"/>
      <w:marLeft w:val="0"/>
      <w:marRight w:val="0"/>
      <w:marTop w:val="0"/>
      <w:marBottom w:val="0"/>
      <w:divBdr>
        <w:top w:val="none" w:sz="0" w:space="0" w:color="auto"/>
        <w:left w:val="none" w:sz="0" w:space="0" w:color="auto"/>
        <w:bottom w:val="none" w:sz="0" w:space="0" w:color="auto"/>
        <w:right w:val="none" w:sz="0" w:space="0" w:color="auto"/>
      </w:divBdr>
    </w:div>
    <w:div w:id="351029802">
      <w:bodyDiv w:val="1"/>
      <w:marLeft w:val="0"/>
      <w:marRight w:val="0"/>
      <w:marTop w:val="0"/>
      <w:marBottom w:val="0"/>
      <w:divBdr>
        <w:top w:val="none" w:sz="0" w:space="0" w:color="auto"/>
        <w:left w:val="none" w:sz="0" w:space="0" w:color="auto"/>
        <w:bottom w:val="none" w:sz="0" w:space="0" w:color="auto"/>
        <w:right w:val="none" w:sz="0" w:space="0" w:color="auto"/>
      </w:divBdr>
    </w:div>
    <w:div w:id="351037074">
      <w:bodyDiv w:val="1"/>
      <w:marLeft w:val="0"/>
      <w:marRight w:val="0"/>
      <w:marTop w:val="0"/>
      <w:marBottom w:val="0"/>
      <w:divBdr>
        <w:top w:val="none" w:sz="0" w:space="0" w:color="auto"/>
        <w:left w:val="none" w:sz="0" w:space="0" w:color="auto"/>
        <w:bottom w:val="none" w:sz="0" w:space="0" w:color="auto"/>
        <w:right w:val="none" w:sz="0" w:space="0" w:color="auto"/>
      </w:divBdr>
    </w:div>
    <w:div w:id="351079699">
      <w:bodyDiv w:val="1"/>
      <w:marLeft w:val="0"/>
      <w:marRight w:val="0"/>
      <w:marTop w:val="0"/>
      <w:marBottom w:val="0"/>
      <w:divBdr>
        <w:top w:val="none" w:sz="0" w:space="0" w:color="auto"/>
        <w:left w:val="none" w:sz="0" w:space="0" w:color="auto"/>
        <w:bottom w:val="none" w:sz="0" w:space="0" w:color="auto"/>
        <w:right w:val="none" w:sz="0" w:space="0" w:color="auto"/>
      </w:divBdr>
    </w:div>
    <w:div w:id="351105834">
      <w:bodyDiv w:val="1"/>
      <w:marLeft w:val="0"/>
      <w:marRight w:val="0"/>
      <w:marTop w:val="0"/>
      <w:marBottom w:val="0"/>
      <w:divBdr>
        <w:top w:val="none" w:sz="0" w:space="0" w:color="auto"/>
        <w:left w:val="none" w:sz="0" w:space="0" w:color="auto"/>
        <w:bottom w:val="none" w:sz="0" w:space="0" w:color="auto"/>
        <w:right w:val="none" w:sz="0" w:space="0" w:color="auto"/>
      </w:divBdr>
    </w:div>
    <w:div w:id="351229308">
      <w:bodyDiv w:val="1"/>
      <w:marLeft w:val="0"/>
      <w:marRight w:val="0"/>
      <w:marTop w:val="0"/>
      <w:marBottom w:val="0"/>
      <w:divBdr>
        <w:top w:val="none" w:sz="0" w:space="0" w:color="auto"/>
        <w:left w:val="none" w:sz="0" w:space="0" w:color="auto"/>
        <w:bottom w:val="none" w:sz="0" w:space="0" w:color="auto"/>
        <w:right w:val="none" w:sz="0" w:space="0" w:color="auto"/>
      </w:divBdr>
    </w:div>
    <w:div w:id="351344022">
      <w:bodyDiv w:val="1"/>
      <w:marLeft w:val="0"/>
      <w:marRight w:val="0"/>
      <w:marTop w:val="0"/>
      <w:marBottom w:val="0"/>
      <w:divBdr>
        <w:top w:val="none" w:sz="0" w:space="0" w:color="auto"/>
        <w:left w:val="none" w:sz="0" w:space="0" w:color="auto"/>
        <w:bottom w:val="none" w:sz="0" w:space="0" w:color="auto"/>
        <w:right w:val="none" w:sz="0" w:space="0" w:color="auto"/>
      </w:divBdr>
    </w:div>
    <w:div w:id="351344259">
      <w:bodyDiv w:val="1"/>
      <w:marLeft w:val="0"/>
      <w:marRight w:val="0"/>
      <w:marTop w:val="0"/>
      <w:marBottom w:val="0"/>
      <w:divBdr>
        <w:top w:val="none" w:sz="0" w:space="0" w:color="auto"/>
        <w:left w:val="none" w:sz="0" w:space="0" w:color="auto"/>
        <w:bottom w:val="none" w:sz="0" w:space="0" w:color="auto"/>
        <w:right w:val="none" w:sz="0" w:space="0" w:color="auto"/>
      </w:divBdr>
    </w:div>
    <w:div w:id="351419620">
      <w:bodyDiv w:val="1"/>
      <w:marLeft w:val="0"/>
      <w:marRight w:val="0"/>
      <w:marTop w:val="0"/>
      <w:marBottom w:val="0"/>
      <w:divBdr>
        <w:top w:val="none" w:sz="0" w:space="0" w:color="auto"/>
        <w:left w:val="none" w:sz="0" w:space="0" w:color="auto"/>
        <w:bottom w:val="none" w:sz="0" w:space="0" w:color="auto"/>
        <w:right w:val="none" w:sz="0" w:space="0" w:color="auto"/>
      </w:divBdr>
    </w:div>
    <w:div w:id="351491611">
      <w:bodyDiv w:val="1"/>
      <w:marLeft w:val="0"/>
      <w:marRight w:val="0"/>
      <w:marTop w:val="0"/>
      <w:marBottom w:val="0"/>
      <w:divBdr>
        <w:top w:val="none" w:sz="0" w:space="0" w:color="auto"/>
        <w:left w:val="none" w:sz="0" w:space="0" w:color="auto"/>
        <w:bottom w:val="none" w:sz="0" w:space="0" w:color="auto"/>
        <w:right w:val="none" w:sz="0" w:space="0" w:color="auto"/>
      </w:divBdr>
    </w:div>
    <w:div w:id="351536195">
      <w:bodyDiv w:val="1"/>
      <w:marLeft w:val="0"/>
      <w:marRight w:val="0"/>
      <w:marTop w:val="0"/>
      <w:marBottom w:val="0"/>
      <w:divBdr>
        <w:top w:val="none" w:sz="0" w:space="0" w:color="auto"/>
        <w:left w:val="none" w:sz="0" w:space="0" w:color="auto"/>
        <w:bottom w:val="none" w:sz="0" w:space="0" w:color="auto"/>
        <w:right w:val="none" w:sz="0" w:space="0" w:color="auto"/>
      </w:divBdr>
    </w:div>
    <w:div w:id="351542127">
      <w:bodyDiv w:val="1"/>
      <w:marLeft w:val="0"/>
      <w:marRight w:val="0"/>
      <w:marTop w:val="0"/>
      <w:marBottom w:val="0"/>
      <w:divBdr>
        <w:top w:val="none" w:sz="0" w:space="0" w:color="auto"/>
        <w:left w:val="none" w:sz="0" w:space="0" w:color="auto"/>
        <w:bottom w:val="none" w:sz="0" w:space="0" w:color="auto"/>
        <w:right w:val="none" w:sz="0" w:space="0" w:color="auto"/>
      </w:divBdr>
    </w:div>
    <w:div w:id="351687563">
      <w:bodyDiv w:val="1"/>
      <w:marLeft w:val="0"/>
      <w:marRight w:val="0"/>
      <w:marTop w:val="0"/>
      <w:marBottom w:val="0"/>
      <w:divBdr>
        <w:top w:val="none" w:sz="0" w:space="0" w:color="auto"/>
        <w:left w:val="none" w:sz="0" w:space="0" w:color="auto"/>
        <w:bottom w:val="none" w:sz="0" w:space="0" w:color="auto"/>
        <w:right w:val="none" w:sz="0" w:space="0" w:color="auto"/>
      </w:divBdr>
    </w:div>
    <w:div w:id="351688137">
      <w:bodyDiv w:val="1"/>
      <w:marLeft w:val="0"/>
      <w:marRight w:val="0"/>
      <w:marTop w:val="0"/>
      <w:marBottom w:val="0"/>
      <w:divBdr>
        <w:top w:val="none" w:sz="0" w:space="0" w:color="auto"/>
        <w:left w:val="none" w:sz="0" w:space="0" w:color="auto"/>
        <w:bottom w:val="none" w:sz="0" w:space="0" w:color="auto"/>
        <w:right w:val="none" w:sz="0" w:space="0" w:color="auto"/>
      </w:divBdr>
    </w:div>
    <w:div w:id="351735490">
      <w:bodyDiv w:val="1"/>
      <w:marLeft w:val="0"/>
      <w:marRight w:val="0"/>
      <w:marTop w:val="0"/>
      <w:marBottom w:val="0"/>
      <w:divBdr>
        <w:top w:val="none" w:sz="0" w:space="0" w:color="auto"/>
        <w:left w:val="none" w:sz="0" w:space="0" w:color="auto"/>
        <w:bottom w:val="none" w:sz="0" w:space="0" w:color="auto"/>
        <w:right w:val="none" w:sz="0" w:space="0" w:color="auto"/>
      </w:divBdr>
    </w:div>
    <w:div w:id="351762223">
      <w:bodyDiv w:val="1"/>
      <w:marLeft w:val="0"/>
      <w:marRight w:val="0"/>
      <w:marTop w:val="0"/>
      <w:marBottom w:val="0"/>
      <w:divBdr>
        <w:top w:val="none" w:sz="0" w:space="0" w:color="auto"/>
        <w:left w:val="none" w:sz="0" w:space="0" w:color="auto"/>
        <w:bottom w:val="none" w:sz="0" w:space="0" w:color="auto"/>
        <w:right w:val="none" w:sz="0" w:space="0" w:color="auto"/>
      </w:divBdr>
    </w:div>
    <w:div w:id="351804377">
      <w:bodyDiv w:val="1"/>
      <w:marLeft w:val="0"/>
      <w:marRight w:val="0"/>
      <w:marTop w:val="0"/>
      <w:marBottom w:val="0"/>
      <w:divBdr>
        <w:top w:val="none" w:sz="0" w:space="0" w:color="auto"/>
        <w:left w:val="none" w:sz="0" w:space="0" w:color="auto"/>
        <w:bottom w:val="none" w:sz="0" w:space="0" w:color="auto"/>
        <w:right w:val="none" w:sz="0" w:space="0" w:color="auto"/>
      </w:divBdr>
    </w:div>
    <w:div w:id="351806920">
      <w:bodyDiv w:val="1"/>
      <w:marLeft w:val="0"/>
      <w:marRight w:val="0"/>
      <w:marTop w:val="0"/>
      <w:marBottom w:val="0"/>
      <w:divBdr>
        <w:top w:val="none" w:sz="0" w:space="0" w:color="auto"/>
        <w:left w:val="none" w:sz="0" w:space="0" w:color="auto"/>
        <w:bottom w:val="none" w:sz="0" w:space="0" w:color="auto"/>
        <w:right w:val="none" w:sz="0" w:space="0" w:color="auto"/>
      </w:divBdr>
    </w:div>
    <w:div w:id="351808582">
      <w:bodyDiv w:val="1"/>
      <w:marLeft w:val="0"/>
      <w:marRight w:val="0"/>
      <w:marTop w:val="0"/>
      <w:marBottom w:val="0"/>
      <w:divBdr>
        <w:top w:val="none" w:sz="0" w:space="0" w:color="auto"/>
        <w:left w:val="none" w:sz="0" w:space="0" w:color="auto"/>
        <w:bottom w:val="none" w:sz="0" w:space="0" w:color="auto"/>
        <w:right w:val="none" w:sz="0" w:space="0" w:color="auto"/>
      </w:divBdr>
    </w:div>
    <w:div w:id="352264996">
      <w:bodyDiv w:val="1"/>
      <w:marLeft w:val="0"/>
      <w:marRight w:val="0"/>
      <w:marTop w:val="0"/>
      <w:marBottom w:val="0"/>
      <w:divBdr>
        <w:top w:val="none" w:sz="0" w:space="0" w:color="auto"/>
        <w:left w:val="none" w:sz="0" w:space="0" w:color="auto"/>
        <w:bottom w:val="none" w:sz="0" w:space="0" w:color="auto"/>
        <w:right w:val="none" w:sz="0" w:space="0" w:color="auto"/>
      </w:divBdr>
    </w:div>
    <w:div w:id="352268255">
      <w:bodyDiv w:val="1"/>
      <w:marLeft w:val="0"/>
      <w:marRight w:val="0"/>
      <w:marTop w:val="0"/>
      <w:marBottom w:val="0"/>
      <w:divBdr>
        <w:top w:val="none" w:sz="0" w:space="0" w:color="auto"/>
        <w:left w:val="none" w:sz="0" w:space="0" w:color="auto"/>
        <w:bottom w:val="none" w:sz="0" w:space="0" w:color="auto"/>
        <w:right w:val="none" w:sz="0" w:space="0" w:color="auto"/>
      </w:divBdr>
    </w:div>
    <w:div w:id="352342284">
      <w:bodyDiv w:val="1"/>
      <w:marLeft w:val="0"/>
      <w:marRight w:val="0"/>
      <w:marTop w:val="0"/>
      <w:marBottom w:val="0"/>
      <w:divBdr>
        <w:top w:val="none" w:sz="0" w:space="0" w:color="auto"/>
        <w:left w:val="none" w:sz="0" w:space="0" w:color="auto"/>
        <w:bottom w:val="none" w:sz="0" w:space="0" w:color="auto"/>
        <w:right w:val="none" w:sz="0" w:space="0" w:color="auto"/>
      </w:divBdr>
    </w:div>
    <w:div w:id="352348278">
      <w:bodyDiv w:val="1"/>
      <w:marLeft w:val="0"/>
      <w:marRight w:val="0"/>
      <w:marTop w:val="0"/>
      <w:marBottom w:val="0"/>
      <w:divBdr>
        <w:top w:val="none" w:sz="0" w:space="0" w:color="auto"/>
        <w:left w:val="none" w:sz="0" w:space="0" w:color="auto"/>
        <w:bottom w:val="none" w:sz="0" w:space="0" w:color="auto"/>
        <w:right w:val="none" w:sz="0" w:space="0" w:color="auto"/>
      </w:divBdr>
    </w:div>
    <w:div w:id="352460061">
      <w:bodyDiv w:val="1"/>
      <w:marLeft w:val="0"/>
      <w:marRight w:val="0"/>
      <w:marTop w:val="0"/>
      <w:marBottom w:val="0"/>
      <w:divBdr>
        <w:top w:val="none" w:sz="0" w:space="0" w:color="auto"/>
        <w:left w:val="none" w:sz="0" w:space="0" w:color="auto"/>
        <w:bottom w:val="none" w:sz="0" w:space="0" w:color="auto"/>
        <w:right w:val="none" w:sz="0" w:space="0" w:color="auto"/>
      </w:divBdr>
    </w:div>
    <w:div w:id="352460880">
      <w:bodyDiv w:val="1"/>
      <w:marLeft w:val="0"/>
      <w:marRight w:val="0"/>
      <w:marTop w:val="0"/>
      <w:marBottom w:val="0"/>
      <w:divBdr>
        <w:top w:val="none" w:sz="0" w:space="0" w:color="auto"/>
        <w:left w:val="none" w:sz="0" w:space="0" w:color="auto"/>
        <w:bottom w:val="none" w:sz="0" w:space="0" w:color="auto"/>
        <w:right w:val="none" w:sz="0" w:space="0" w:color="auto"/>
      </w:divBdr>
    </w:div>
    <w:div w:id="352611116">
      <w:bodyDiv w:val="1"/>
      <w:marLeft w:val="0"/>
      <w:marRight w:val="0"/>
      <w:marTop w:val="0"/>
      <w:marBottom w:val="0"/>
      <w:divBdr>
        <w:top w:val="none" w:sz="0" w:space="0" w:color="auto"/>
        <w:left w:val="none" w:sz="0" w:space="0" w:color="auto"/>
        <w:bottom w:val="none" w:sz="0" w:space="0" w:color="auto"/>
        <w:right w:val="none" w:sz="0" w:space="0" w:color="auto"/>
      </w:divBdr>
    </w:div>
    <w:div w:id="352655761">
      <w:bodyDiv w:val="1"/>
      <w:marLeft w:val="0"/>
      <w:marRight w:val="0"/>
      <w:marTop w:val="0"/>
      <w:marBottom w:val="0"/>
      <w:divBdr>
        <w:top w:val="none" w:sz="0" w:space="0" w:color="auto"/>
        <w:left w:val="none" w:sz="0" w:space="0" w:color="auto"/>
        <w:bottom w:val="none" w:sz="0" w:space="0" w:color="auto"/>
        <w:right w:val="none" w:sz="0" w:space="0" w:color="auto"/>
      </w:divBdr>
    </w:div>
    <w:div w:id="352731353">
      <w:bodyDiv w:val="1"/>
      <w:marLeft w:val="0"/>
      <w:marRight w:val="0"/>
      <w:marTop w:val="0"/>
      <w:marBottom w:val="0"/>
      <w:divBdr>
        <w:top w:val="none" w:sz="0" w:space="0" w:color="auto"/>
        <w:left w:val="none" w:sz="0" w:space="0" w:color="auto"/>
        <w:bottom w:val="none" w:sz="0" w:space="0" w:color="auto"/>
        <w:right w:val="none" w:sz="0" w:space="0" w:color="auto"/>
      </w:divBdr>
    </w:div>
    <w:div w:id="352846170">
      <w:bodyDiv w:val="1"/>
      <w:marLeft w:val="0"/>
      <w:marRight w:val="0"/>
      <w:marTop w:val="0"/>
      <w:marBottom w:val="0"/>
      <w:divBdr>
        <w:top w:val="none" w:sz="0" w:space="0" w:color="auto"/>
        <w:left w:val="none" w:sz="0" w:space="0" w:color="auto"/>
        <w:bottom w:val="none" w:sz="0" w:space="0" w:color="auto"/>
        <w:right w:val="none" w:sz="0" w:space="0" w:color="auto"/>
      </w:divBdr>
    </w:div>
    <w:div w:id="352847057">
      <w:bodyDiv w:val="1"/>
      <w:marLeft w:val="0"/>
      <w:marRight w:val="0"/>
      <w:marTop w:val="0"/>
      <w:marBottom w:val="0"/>
      <w:divBdr>
        <w:top w:val="none" w:sz="0" w:space="0" w:color="auto"/>
        <w:left w:val="none" w:sz="0" w:space="0" w:color="auto"/>
        <w:bottom w:val="none" w:sz="0" w:space="0" w:color="auto"/>
        <w:right w:val="none" w:sz="0" w:space="0" w:color="auto"/>
      </w:divBdr>
    </w:div>
    <w:div w:id="352998599">
      <w:bodyDiv w:val="1"/>
      <w:marLeft w:val="0"/>
      <w:marRight w:val="0"/>
      <w:marTop w:val="0"/>
      <w:marBottom w:val="0"/>
      <w:divBdr>
        <w:top w:val="none" w:sz="0" w:space="0" w:color="auto"/>
        <w:left w:val="none" w:sz="0" w:space="0" w:color="auto"/>
        <w:bottom w:val="none" w:sz="0" w:space="0" w:color="auto"/>
        <w:right w:val="none" w:sz="0" w:space="0" w:color="auto"/>
      </w:divBdr>
    </w:div>
    <w:div w:id="352998701">
      <w:bodyDiv w:val="1"/>
      <w:marLeft w:val="0"/>
      <w:marRight w:val="0"/>
      <w:marTop w:val="0"/>
      <w:marBottom w:val="0"/>
      <w:divBdr>
        <w:top w:val="none" w:sz="0" w:space="0" w:color="auto"/>
        <w:left w:val="none" w:sz="0" w:space="0" w:color="auto"/>
        <w:bottom w:val="none" w:sz="0" w:space="0" w:color="auto"/>
        <w:right w:val="none" w:sz="0" w:space="0" w:color="auto"/>
      </w:divBdr>
    </w:div>
    <w:div w:id="353000640">
      <w:bodyDiv w:val="1"/>
      <w:marLeft w:val="0"/>
      <w:marRight w:val="0"/>
      <w:marTop w:val="0"/>
      <w:marBottom w:val="0"/>
      <w:divBdr>
        <w:top w:val="none" w:sz="0" w:space="0" w:color="auto"/>
        <w:left w:val="none" w:sz="0" w:space="0" w:color="auto"/>
        <w:bottom w:val="none" w:sz="0" w:space="0" w:color="auto"/>
        <w:right w:val="none" w:sz="0" w:space="0" w:color="auto"/>
      </w:divBdr>
    </w:div>
    <w:div w:id="353072648">
      <w:bodyDiv w:val="1"/>
      <w:marLeft w:val="0"/>
      <w:marRight w:val="0"/>
      <w:marTop w:val="0"/>
      <w:marBottom w:val="0"/>
      <w:divBdr>
        <w:top w:val="none" w:sz="0" w:space="0" w:color="auto"/>
        <w:left w:val="none" w:sz="0" w:space="0" w:color="auto"/>
        <w:bottom w:val="none" w:sz="0" w:space="0" w:color="auto"/>
        <w:right w:val="none" w:sz="0" w:space="0" w:color="auto"/>
      </w:divBdr>
    </w:div>
    <w:div w:id="353073794">
      <w:bodyDiv w:val="1"/>
      <w:marLeft w:val="0"/>
      <w:marRight w:val="0"/>
      <w:marTop w:val="0"/>
      <w:marBottom w:val="0"/>
      <w:divBdr>
        <w:top w:val="none" w:sz="0" w:space="0" w:color="auto"/>
        <w:left w:val="none" w:sz="0" w:space="0" w:color="auto"/>
        <w:bottom w:val="none" w:sz="0" w:space="0" w:color="auto"/>
        <w:right w:val="none" w:sz="0" w:space="0" w:color="auto"/>
      </w:divBdr>
    </w:div>
    <w:div w:id="353112904">
      <w:bodyDiv w:val="1"/>
      <w:marLeft w:val="0"/>
      <w:marRight w:val="0"/>
      <w:marTop w:val="0"/>
      <w:marBottom w:val="0"/>
      <w:divBdr>
        <w:top w:val="none" w:sz="0" w:space="0" w:color="auto"/>
        <w:left w:val="none" w:sz="0" w:space="0" w:color="auto"/>
        <w:bottom w:val="none" w:sz="0" w:space="0" w:color="auto"/>
        <w:right w:val="none" w:sz="0" w:space="0" w:color="auto"/>
      </w:divBdr>
    </w:div>
    <w:div w:id="353114325">
      <w:bodyDiv w:val="1"/>
      <w:marLeft w:val="0"/>
      <w:marRight w:val="0"/>
      <w:marTop w:val="0"/>
      <w:marBottom w:val="0"/>
      <w:divBdr>
        <w:top w:val="none" w:sz="0" w:space="0" w:color="auto"/>
        <w:left w:val="none" w:sz="0" w:space="0" w:color="auto"/>
        <w:bottom w:val="none" w:sz="0" w:space="0" w:color="auto"/>
        <w:right w:val="none" w:sz="0" w:space="0" w:color="auto"/>
      </w:divBdr>
    </w:div>
    <w:div w:id="353310026">
      <w:bodyDiv w:val="1"/>
      <w:marLeft w:val="0"/>
      <w:marRight w:val="0"/>
      <w:marTop w:val="0"/>
      <w:marBottom w:val="0"/>
      <w:divBdr>
        <w:top w:val="none" w:sz="0" w:space="0" w:color="auto"/>
        <w:left w:val="none" w:sz="0" w:space="0" w:color="auto"/>
        <w:bottom w:val="none" w:sz="0" w:space="0" w:color="auto"/>
        <w:right w:val="none" w:sz="0" w:space="0" w:color="auto"/>
      </w:divBdr>
    </w:div>
    <w:div w:id="353463481">
      <w:bodyDiv w:val="1"/>
      <w:marLeft w:val="0"/>
      <w:marRight w:val="0"/>
      <w:marTop w:val="0"/>
      <w:marBottom w:val="0"/>
      <w:divBdr>
        <w:top w:val="none" w:sz="0" w:space="0" w:color="auto"/>
        <w:left w:val="none" w:sz="0" w:space="0" w:color="auto"/>
        <w:bottom w:val="none" w:sz="0" w:space="0" w:color="auto"/>
        <w:right w:val="none" w:sz="0" w:space="0" w:color="auto"/>
      </w:divBdr>
    </w:div>
    <w:div w:id="353532263">
      <w:bodyDiv w:val="1"/>
      <w:marLeft w:val="0"/>
      <w:marRight w:val="0"/>
      <w:marTop w:val="0"/>
      <w:marBottom w:val="0"/>
      <w:divBdr>
        <w:top w:val="none" w:sz="0" w:space="0" w:color="auto"/>
        <w:left w:val="none" w:sz="0" w:space="0" w:color="auto"/>
        <w:bottom w:val="none" w:sz="0" w:space="0" w:color="auto"/>
        <w:right w:val="none" w:sz="0" w:space="0" w:color="auto"/>
      </w:divBdr>
    </w:div>
    <w:div w:id="353532851">
      <w:bodyDiv w:val="1"/>
      <w:marLeft w:val="0"/>
      <w:marRight w:val="0"/>
      <w:marTop w:val="0"/>
      <w:marBottom w:val="0"/>
      <w:divBdr>
        <w:top w:val="none" w:sz="0" w:space="0" w:color="auto"/>
        <w:left w:val="none" w:sz="0" w:space="0" w:color="auto"/>
        <w:bottom w:val="none" w:sz="0" w:space="0" w:color="auto"/>
        <w:right w:val="none" w:sz="0" w:space="0" w:color="auto"/>
      </w:divBdr>
    </w:div>
    <w:div w:id="353577602">
      <w:bodyDiv w:val="1"/>
      <w:marLeft w:val="0"/>
      <w:marRight w:val="0"/>
      <w:marTop w:val="0"/>
      <w:marBottom w:val="0"/>
      <w:divBdr>
        <w:top w:val="none" w:sz="0" w:space="0" w:color="auto"/>
        <w:left w:val="none" w:sz="0" w:space="0" w:color="auto"/>
        <w:bottom w:val="none" w:sz="0" w:space="0" w:color="auto"/>
        <w:right w:val="none" w:sz="0" w:space="0" w:color="auto"/>
      </w:divBdr>
    </w:div>
    <w:div w:id="353769548">
      <w:bodyDiv w:val="1"/>
      <w:marLeft w:val="0"/>
      <w:marRight w:val="0"/>
      <w:marTop w:val="0"/>
      <w:marBottom w:val="0"/>
      <w:divBdr>
        <w:top w:val="none" w:sz="0" w:space="0" w:color="auto"/>
        <w:left w:val="none" w:sz="0" w:space="0" w:color="auto"/>
        <w:bottom w:val="none" w:sz="0" w:space="0" w:color="auto"/>
        <w:right w:val="none" w:sz="0" w:space="0" w:color="auto"/>
      </w:divBdr>
    </w:div>
    <w:div w:id="353894607">
      <w:bodyDiv w:val="1"/>
      <w:marLeft w:val="0"/>
      <w:marRight w:val="0"/>
      <w:marTop w:val="0"/>
      <w:marBottom w:val="0"/>
      <w:divBdr>
        <w:top w:val="none" w:sz="0" w:space="0" w:color="auto"/>
        <w:left w:val="none" w:sz="0" w:space="0" w:color="auto"/>
        <w:bottom w:val="none" w:sz="0" w:space="0" w:color="auto"/>
        <w:right w:val="none" w:sz="0" w:space="0" w:color="auto"/>
      </w:divBdr>
    </w:div>
    <w:div w:id="353960886">
      <w:bodyDiv w:val="1"/>
      <w:marLeft w:val="0"/>
      <w:marRight w:val="0"/>
      <w:marTop w:val="0"/>
      <w:marBottom w:val="0"/>
      <w:divBdr>
        <w:top w:val="none" w:sz="0" w:space="0" w:color="auto"/>
        <w:left w:val="none" w:sz="0" w:space="0" w:color="auto"/>
        <w:bottom w:val="none" w:sz="0" w:space="0" w:color="auto"/>
        <w:right w:val="none" w:sz="0" w:space="0" w:color="auto"/>
      </w:divBdr>
    </w:div>
    <w:div w:id="353967253">
      <w:bodyDiv w:val="1"/>
      <w:marLeft w:val="0"/>
      <w:marRight w:val="0"/>
      <w:marTop w:val="0"/>
      <w:marBottom w:val="0"/>
      <w:divBdr>
        <w:top w:val="none" w:sz="0" w:space="0" w:color="auto"/>
        <w:left w:val="none" w:sz="0" w:space="0" w:color="auto"/>
        <w:bottom w:val="none" w:sz="0" w:space="0" w:color="auto"/>
        <w:right w:val="none" w:sz="0" w:space="0" w:color="auto"/>
      </w:divBdr>
    </w:div>
    <w:div w:id="354114458">
      <w:bodyDiv w:val="1"/>
      <w:marLeft w:val="0"/>
      <w:marRight w:val="0"/>
      <w:marTop w:val="0"/>
      <w:marBottom w:val="0"/>
      <w:divBdr>
        <w:top w:val="none" w:sz="0" w:space="0" w:color="auto"/>
        <w:left w:val="none" w:sz="0" w:space="0" w:color="auto"/>
        <w:bottom w:val="none" w:sz="0" w:space="0" w:color="auto"/>
        <w:right w:val="none" w:sz="0" w:space="0" w:color="auto"/>
      </w:divBdr>
    </w:div>
    <w:div w:id="354159968">
      <w:bodyDiv w:val="1"/>
      <w:marLeft w:val="0"/>
      <w:marRight w:val="0"/>
      <w:marTop w:val="0"/>
      <w:marBottom w:val="0"/>
      <w:divBdr>
        <w:top w:val="none" w:sz="0" w:space="0" w:color="auto"/>
        <w:left w:val="none" w:sz="0" w:space="0" w:color="auto"/>
        <w:bottom w:val="none" w:sz="0" w:space="0" w:color="auto"/>
        <w:right w:val="none" w:sz="0" w:space="0" w:color="auto"/>
      </w:divBdr>
    </w:div>
    <w:div w:id="354187850">
      <w:bodyDiv w:val="1"/>
      <w:marLeft w:val="0"/>
      <w:marRight w:val="0"/>
      <w:marTop w:val="0"/>
      <w:marBottom w:val="0"/>
      <w:divBdr>
        <w:top w:val="none" w:sz="0" w:space="0" w:color="auto"/>
        <w:left w:val="none" w:sz="0" w:space="0" w:color="auto"/>
        <w:bottom w:val="none" w:sz="0" w:space="0" w:color="auto"/>
        <w:right w:val="none" w:sz="0" w:space="0" w:color="auto"/>
      </w:divBdr>
    </w:div>
    <w:div w:id="354304851">
      <w:bodyDiv w:val="1"/>
      <w:marLeft w:val="0"/>
      <w:marRight w:val="0"/>
      <w:marTop w:val="0"/>
      <w:marBottom w:val="0"/>
      <w:divBdr>
        <w:top w:val="none" w:sz="0" w:space="0" w:color="auto"/>
        <w:left w:val="none" w:sz="0" w:space="0" w:color="auto"/>
        <w:bottom w:val="none" w:sz="0" w:space="0" w:color="auto"/>
        <w:right w:val="none" w:sz="0" w:space="0" w:color="auto"/>
      </w:divBdr>
    </w:div>
    <w:div w:id="354309060">
      <w:bodyDiv w:val="1"/>
      <w:marLeft w:val="0"/>
      <w:marRight w:val="0"/>
      <w:marTop w:val="0"/>
      <w:marBottom w:val="0"/>
      <w:divBdr>
        <w:top w:val="none" w:sz="0" w:space="0" w:color="auto"/>
        <w:left w:val="none" w:sz="0" w:space="0" w:color="auto"/>
        <w:bottom w:val="none" w:sz="0" w:space="0" w:color="auto"/>
        <w:right w:val="none" w:sz="0" w:space="0" w:color="auto"/>
      </w:divBdr>
    </w:div>
    <w:div w:id="354380653">
      <w:bodyDiv w:val="1"/>
      <w:marLeft w:val="0"/>
      <w:marRight w:val="0"/>
      <w:marTop w:val="0"/>
      <w:marBottom w:val="0"/>
      <w:divBdr>
        <w:top w:val="none" w:sz="0" w:space="0" w:color="auto"/>
        <w:left w:val="none" w:sz="0" w:space="0" w:color="auto"/>
        <w:bottom w:val="none" w:sz="0" w:space="0" w:color="auto"/>
        <w:right w:val="none" w:sz="0" w:space="0" w:color="auto"/>
      </w:divBdr>
    </w:div>
    <w:div w:id="354382092">
      <w:bodyDiv w:val="1"/>
      <w:marLeft w:val="0"/>
      <w:marRight w:val="0"/>
      <w:marTop w:val="0"/>
      <w:marBottom w:val="0"/>
      <w:divBdr>
        <w:top w:val="none" w:sz="0" w:space="0" w:color="auto"/>
        <w:left w:val="none" w:sz="0" w:space="0" w:color="auto"/>
        <w:bottom w:val="none" w:sz="0" w:space="0" w:color="auto"/>
        <w:right w:val="none" w:sz="0" w:space="0" w:color="auto"/>
      </w:divBdr>
    </w:div>
    <w:div w:id="354623486">
      <w:bodyDiv w:val="1"/>
      <w:marLeft w:val="0"/>
      <w:marRight w:val="0"/>
      <w:marTop w:val="0"/>
      <w:marBottom w:val="0"/>
      <w:divBdr>
        <w:top w:val="none" w:sz="0" w:space="0" w:color="auto"/>
        <w:left w:val="none" w:sz="0" w:space="0" w:color="auto"/>
        <w:bottom w:val="none" w:sz="0" w:space="0" w:color="auto"/>
        <w:right w:val="none" w:sz="0" w:space="0" w:color="auto"/>
      </w:divBdr>
    </w:div>
    <w:div w:id="354693269">
      <w:bodyDiv w:val="1"/>
      <w:marLeft w:val="0"/>
      <w:marRight w:val="0"/>
      <w:marTop w:val="0"/>
      <w:marBottom w:val="0"/>
      <w:divBdr>
        <w:top w:val="none" w:sz="0" w:space="0" w:color="auto"/>
        <w:left w:val="none" w:sz="0" w:space="0" w:color="auto"/>
        <w:bottom w:val="none" w:sz="0" w:space="0" w:color="auto"/>
        <w:right w:val="none" w:sz="0" w:space="0" w:color="auto"/>
      </w:divBdr>
    </w:div>
    <w:div w:id="354775059">
      <w:bodyDiv w:val="1"/>
      <w:marLeft w:val="0"/>
      <w:marRight w:val="0"/>
      <w:marTop w:val="0"/>
      <w:marBottom w:val="0"/>
      <w:divBdr>
        <w:top w:val="none" w:sz="0" w:space="0" w:color="auto"/>
        <w:left w:val="none" w:sz="0" w:space="0" w:color="auto"/>
        <w:bottom w:val="none" w:sz="0" w:space="0" w:color="auto"/>
        <w:right w:val="none" w:sz="0" w:space="0" w:color="auto"/>
      </w:divBdr>
    </w:div>
    <w:div w:id="354812714">
      <w:bodyDiv w:val="1"/>
      <w:marLeft w:val="0"/>
      <w:marRight w:val="0"/>
      <w:marTop w:val="0"/>
      <w:marBottom w:val="0"/>
      <w:divBdr>
        <w:top w:val="none" w:sz="0" w:space="0" w:color="auto"/>
        <w:left w:val="none" w:sz="0" w:space="0" w:color="auto"/>
        <w:bottom w:val="none" w:sz="0" w:space="0" w:color="auto"/>
        <w:right w:val="none" w:sz="0" w:space="0" w:color="auto"/>
      </w:divBdr>
    </w:div>
    <w:div w:id="354816695">
      <w:bodyDiv w:val="1"/>
      <w:marLeft w:val="0"/>
      <w:marRight w:val="0"/>
      <w:marTop w:val="0"/>
      <w:marBottom w:val="0"/>
      <w:divBdr>
        <w:top w:val="none" w:sz="0" w:space="0" w:color="auto"/>
        <w:left w:val="none" w:sz="0" w:space="0" w:color="auto"/>
        <w:bottom w:val="none" w:sz="0" w:space="0" w:color="auto"/>
        <w:right w:val="none" w:sz="0" w:space="0" w:color="auto"/>
      </w:divBdr>
    </w:div>
    <w:div w:id="354816765">
      <w:bodyDiv w:val="1"/>
      <w:marLeft w:val="0"/>
      <w:marRight w:val="0"/>
      <w:marTop w:val="0"/>
      <w:marBottom w:val="0"/>
      <w:divBdr>
        <w:top w:val="none" w:sz="0" w:space="0" w:color="auto"/>
        <w:left w:val="none" w:sz="0" w:space="0" w:color="auto"/>
        <w:bottom w:val="none" w:sz="0" w:space="0" w:color="auto"/>
        <w:right w:val="none" w:sz="0" w:space="0" w:color="auto"/>
      </w:divBdr>
    </w:div>
    <w:div w:id="354963710">
      <w:bodyDiv w:val="1"/>
      <w:marLeft w:val="0"/>
      <w:marRight w:val="0"/>
      <w:marTop w:val="0"/>
      <w:marBottom w:val="0"/>
      <w:divBdr>
        <w:top w:val="none" w:sz="0" w:space="0" w:color="auto"/>
        <w:left w:val="none" w:sz="0" w:space="0" w:color="auto"/>
        <w:bottom w:val="none" w:sz="0" w:space="0" w:color="auto"/>
        <w:right w:val="none" w:sz="0" w:space="0" w:color="auto"/>
      </w:divBdr>
    </w:div>
    <w:div w:id="355038570">
      <w:bodyDiv w:val="1"/>
      <w:marLeft w:val="0"/>
      <w:marRight w:val="0"/>
      <w:marTop w:val="0"/>
      <w:marBottom w:val="0"/>
      <w:divBdr>
        <w:top w:val="none" w:sz="0" w:space="0" w:color="auto"/>
        <w:left w:val="none" w:sz="0" w:space="0" w:color="auto"/>
        <w:bottom w:val="none" w:sz="0" w:space="0" w:color="auto"/>
        <w:right w:val="none" w:sz="0" w:space="0" w:color="auto"/>
      </w:divBdr>
    </w:div>
    <w:div w:id="355040806">
      <w:bodyDiv w:val="1"/>
      <w:marLeft w:val="0"/>
      <w:marRight w:val="0"/>
      <w:marTop w:val="0"/>
      <w:marBottom w:val="0"/>
      <w:divBdr>
        <w:top w:val="none" w:sz="0" w:space="0" w:color="auto"/>
        <w:left w:val="none" w:sz="0" w:space="0" w:color="auto"/>
        <w:bottom w:val="none" w:sz="0" w:space="0" w:color="auto"/>
        <w:right w:val="none" w:sz="0" w:space="0" w:color="auto"/>
      </w:divBdr>
    </w:div>
    <w:div w:id="355157283">
      <w:bodyDiv w:val="1"/>
      <w:marLeft w:val="0"/>
      <w:marRight w:val="0"/>
      <w:marTop w:val="0"/>
      <w:marBottom w:val="0"/>
      <w:divBdr>
        <w:top w:val="none" w:sz="0" w:space="0" w:color="auto"/>
        <w:left w:val="none" w:sz="0" w:space="0" w:color="auto"/>
        <w:bottom w:val="none" w:sz="0" w:space="0" w:color="auto"/>
        <w:right w:val="none" w:sz="0" w:space="0" w:color="auto"/>
      </w:divBdr>
    </w:div>
    <w:div w:id="355157407">
      <w:bodyDiv w:val="1"/>
      <w:marLeft w:val="0"/>
      <w:marRight w:val="0"/>
      <w:marTop w:val="0"/>
      <w:marBottom w:val="0"/>
      <w:divBdr>
        <w:top w:val="none" w:sz="0" w:space="0" w:color="auto"/>
        <w:left w:val="none" w:sz="0" w:space="0" w:color="auto"/>
        <w:bottom w:val="none" w:sz="0" w:space="0" w:color="auto"/>
        <w:right w:val="none" w:sz="0" w:space="0" w:color="auto"/>
      </w:divBdr>
    </w:div>
    <w:div w:id="355159205">
      <w:bodyDiv w:val="1"/>
      <w:marLeft w:val="0"/>
      <w:marRight w:val="0"/>
      <w:marTop w:val="0"/>
      <w:marBottom w:val="0"/>
      <w:divBdr>
        <w:top w:val="none" w:sz="0" w:space="0" w:color="auto"/>
        <w:left w:val="none" w:sz="0" w:space="0" w:color="auto"/>
        <w:bottom w:val="none" w:sz="0" w:space="0" w:color="auto"/>
        <w:right w:val="none" w:sz="0" w:space="0" w:color="auto"/>
      </w:divBdr>
    </w:div>
    <w:div w:id="355279014">
      <w:bodyDiv w:val="1"/>
      <w:marLeft w:val="0"/>
      <w:marRight w:val="0"/>
      <w:marTop w:val="0"/>
      <w:marBottom w:val="0"/>
      <w:divBdr>
        <w:top w:val="none" w:sz="0" w:space="0" w:color="auto"/>
        <w:left w:val="none" w:sz="0" w:space="0" w:color="auto"/>
        <w:bottom w:val="none" w:sz="0" w:space="0" w:color="auto"/>
        <w:right w:val="none" w:sz="0" w:space="0" w:color="auto"/>
      </w:divBdr>
    </w:div>
    <w:div w:id="355428874">
      <w:bodyDiv w:val="1"/>
      <w:marLeft w:val="0"/>
      <w:marRight w:val="0"/>
      <w:marTop w:val="0"/>
      <w:marBottom w:val="0"/>
      <w:divBdr>
        <w:top w:val="none" w:sz="0" w:space="0" w:color="auto"/>
        <w:left w:val="none" w:sz="0" w:space="0" w:color="auto"/>
        <w:bottom w:val="none" w:sz="0" w:space="0" w:color="auto"/>
        <w:right w:val="none" w:sz="0" w:space="0" w:color="auto"/>
      </w:divBdr>
    </w:div>
    <w:div w:id="355429422">
      <w:bodyDiv w:val="1"/>
      <w:marLeft w:val="0"/>
      <w:marRight w:val="0"/>
      <w:marTop w:val="0"/>
      <w:marBottom w:val="0"/>
      <w:divBdr>
        <w:top w:val="none" w:sz="0" w:space="0" w:color="auto"/>
        <w:left w:val="none" w:sz="0" w:space="0" w:color="auto"/>
        <w:bottom w:val="none" w:sz="0" w:space="0" w:color="auto"/>
        <w:right w:val="none" w:sz="0" w:space="0" w:color="auto"/>
      </w:divBdr>
    </w:div>
    <w:div w:id="355497961">
      <w:bodyDiv w:val="1"/>
      <w:marLeft w:val="0"/>
      <w:marRight w:val="0"/>
      <w:marTop w:val="0"/>
      <w:marBottom w:val="0"/>
      <w:divBdr>
        <w:top w:val="none" w:sz="0" w:space="0" w:color="auto"/>
        <w:left w:val="none" w:sz="0" w:space="0" w:color="auto"/>
        <w:bottom w:val="none" w:sz="0" w:space="0" w:color="auto"/>
        <w:right w:val="none" w:sz="0" w:space="0" w:color="auto"/>
      </w:divBdr>
    </w:div>
    <w:div w:id="355541252">
      <w:bodyDiv w:val="1"/>
      <w:marLeft w:val="0"/>
      <w:marRight w:val="0"/>
      <w:marTop w:val="0"/>
      <w:marBottom w:val="0"/>
      <w:divBdr>
        <w:top w:val="none" w:sz="0" w:space="0" w:color="auto"/>
        <w:left w:val="none" w:sz="0" w:space="0" w:color="auto"/>
        <w:bottom w:val="none" w:sz="0" w:space="0" w:color="auto"/>
        <w:right w:val="none" w:sz="0" w:space="0" w:color="auto"/>
      </w:divBdr>
    </w:div>
    <w:div w:id="355693214">
      <w:bodyDiv w:val="1"/>
      <w:marLeft w:val="0"/>
      <w:marRight w:val="0"/>
      <w:marTop w:val="0"/>
      <w:marBottom w:val="0"/>
      <w:divBdr>
        <w:top w:val="none" w:sz="0" w:space="0" w:color="auto"/>
        <w:left w:val="none" w:sz="0" w:space="0" w:color="auto"/>
        <w:bottom w:val="none" w:sz="0" w:space="0" w:color="auto"/>
        <w:right w:val="none" w:sz="0" w:space="0" w:color="auto"/>
      </w:divBdr>
    </w:div>
    <w:div w:id="355739345">
      <w:bodyDiv w:val="1"/>
      <w:marLeft w:val="0"/>
      <w:marRight w:val="0"/>
      <w:marTop w:val="0"/>
      <w:marBottom w:val="0"/>
      <w:divBdr>
        <w:top w:val="none" w:sz="0" w:space="0" w:color="auto"/>
        <w:left w:val="none" w:sz="0" w:space="0" w:color="auto"/>
        <w:bottom w:val="none" w:sz="0" w:space="0" w:color="auto"/>
        <w:right w:val="none" w:sz="0" w:space="0" w:color="auto"/>
      </w:divBdr>
    </w:div>
    <w:div w:id="355808677">
      <w:bodyDiv w:val="1"/>
      <w:marLeft w:val="0"/>
      <w:marRight w:val="0"/>
      <w:marTop w:val="0"/>
      <w:marBottom w:val="0"/>
      <w:divBdr>
        <w:top w:val="none" w:sz="0" w:space="0" w:color="auto"/>
        <w:left w:val="none" w:sz="0" w:space="0" w:color="auto"/>
        <w:bottom w:val="none" w:sz="0" w:space="0" w:color="auto"/>
        <w:right w:val="none" w:sz="0" w:space="0" w:color="auto"/>
      </w:divBdr>
    </w:div>
    <w:div w:id="355813570">
      <w:bodyDiv w:val="1"/>
      <w:marLeft w:val="0"/>
      <w:marRight w:val="0"/>
      <w:marTop w:val="0"/>
      <w:marBottom w:val="0"/>
      <w:divBdr>
        <w:top w:val="none" w:sz="0" w:space="0" w:color="auto"/>
        <w:left w:val="none" w:sz="0" w:space="0" w:color="auto"/>
        <w:bottom w:val="none" w:sz="0" w:space="0" w:color="auto"/>
        <w:right w:val="none" w:sz="0" w:space="0" w:color="auto"/>
      </w:divBdr>
    </w:div>
    <w:div w:id="355817584">
      <w:bodyDiv w:val="1"/>
      <w:marLeft w:val="0"/>
      <w:marRight w:val="0"/>
      <w:marTop w:val="0"/>
      <w:marBottom w:val="0"/>
      <w:divBdr>
        <w:top w:val="none" w:sz="0" w:space="0" w:color="auto"/>
        <w:left w:val="none" w:sz="0" w:space="0" w:color="auto"/>
        <w:bottom w:val="none" w:sz="0" w:space="0" w:color="auto"/>
        <w:right w:val="none" w:sz="0" w:space="0" w:color="auto"/>
      </w:divBdr>
    </w:div>
    <w:div w:id="356077754">
      <w:bodyDiv w:val="1"/>
      <w:marLeft w:val="0"/>
      <w:marRight w:val="0"/>
      <w:marTop w:val="0"/>
      <w:marBottom w:val="0"/>
      <w:divBdr>
        <w:top w:val="none" w:sz="0" w:space="0" w:color="auto"/>
        <w:left w:val="none" w:sz="0" w:space="0" w:color="auto"/>
        <w:bottom w:val="none" w:sz="0" w:space="0" w:color="auto"/>
        <w:right w:val="none" w:sz="0" w:space="0" w:color="auto"/>
      </w:divBdr>
    </w:div>
    <w:div w:id="356154585">
      <w:bodyDiv w:val="1"/>
      <w:marLeft w:val="0"/>
      <w:marRight w:val="0"/>
      <w:marTop w:val="0"/>
      <w:marBottom w:val="0"/>
      <w:divBdr>
        <w:top w:val="none" w:sz="0" w:space="0" w:color="auto"/>
        <w:left w:val="none" w:sz="0" w:space="0" w:color="auto"/>
        <w:bottom w:val="none" w:sz="0" w:space="0" w:color="auto"/>
        <w:right w:val="none" w:sz="0" w:space="0" w:color="auto"/>
      </w:divBdr>
    </w:div>
    <w:div w:id="356203526">
      <w:bodyDiv w:val="1"/>
      <w:marLeft w:val="0"/>
      <w:marRight w:val="0"/>
      <w:marTop w:val="0"/>
      <w:marBottom w:val="0"/>
      <w:divBdr>
        <w:top w:val="none" w:sz="0" w:space="0" w:color="auto"/>
        <w:left w:val="none" w:sz="0" w:space="0" w:color="auto"/>
        <w:bottom w:val="none" w:sz="0" w:space="0" w:color="auto"/>
        <w:right w:val="none" w:sz="0" w:space="0" w:color="auto"/>
      </w:divBdr>
    </w:div>
    <w:div w:id="356203877">
      <w:bodyDiv w:val="1"/>
      <w:marLeft w:val="0"/>
      <w:marRight w:val="0"/>
      <w:marTop w:val="0"/>
      <w:marBottom w:val="0"/>
      <w:divBdr>
        <w:top w:val="none" w:sz="0" w:space="0" w:color="auto"/>
        <w:left w:val="none" w:sz="0" w:space="0" w:color="auto"/>
        <w:bottom w:val="none" w:sz="0" w:space="0" w:color="auto"/>
        <w:right w:val="none" w:sz="0" w:space="0" w:color="auto"/>
      </w:divBdr>
    </w:div>
    <w:div w:id="356277481">
      <w:bodyDiv w:val="1"/>
      <w:marLeft w:val="0"/>
      <w:marRight w:val="0"/>
      <w:marTop w:val="0"/>
      <w:marBottom w:val="0"/>
      <w:divBdr>
        <w:top w:val="none" w:sz="0" w:space="0" w:color="auto"/>
        <w:left w:val="none" w:sz="0" w:space="0" w:color="auto"/>
        <w:bottom w:val="none" w:sz="0" w:space="0" w:color="auto"/>
        <w:right w:val="none" w:sz="0" w:space="0" w:color="auto"/>
      </w:divBdr>
    </w:div>
    <w:div w:id="356348227">
      <w:bodyDiv w:val="1"/>
      <w:marLeft w:val="0"/>
      <w:marRight w:val="0"/>
      <w:marTop w:val="0"/>
      <w:marBottom w:val="0"/>
      <w:divBdr>
        <w:top w:val="none" w:sz="0" w:space="0" w:color="auto"/>
        <w:left w:val="none" w:sz="0" w:space="0" w:color="auto"/>
        <w:bottom w:val="none" w:sz="0" w:space="0" w:color="auto"/>
        <w:right w:val="none" w:sz="0" w:space="0" w:color="auto"/>
      </w:divBdr>
    </w:div>
    <w:div w:id="356351576">
      <w:bodyDiv w:val="1"/>
      <w:marLeft w:val="0"/>
      <w:marRight w:val="0"/>
      <w:marTop w:val="0"/>
      <w:marBottom w:val="0"/>
      <w:divBdr>
        <w:top w:val="none" w:sz="0" w:space="0" w:color="auto"/>
        <w:left w:val="none" w:sz="0" w:space="0" w:color="auto"/>
        <w:bottom w:val="none" w:sz="0" w:space="0" w:color="auto"/>
        <w:right w:val="none" w:sz="0" w:space="0" w:color="auto"/>
      </w:divBdr>
    </w:div>
    <w:div w:id="356545782">
      <w:bodyDiv w:val="1"/>
      <w:marLeft w:val="0"/>
      <w:marRight w:val="0"/>
      <w:marTop w:val="0"/>
      <w:marBottom w:val="0"/>
      <w:divBdr>
        <w:top w:val="none" w:sz="0" w:space="0" w:color="auto"/>
        <w:left w:val="none" w:sz="0" w:space="0" w:color="auto"/>
        <w:bottom w:val="none" w:sz="0" w:space="0" w:color="auto"/>
        <w:right w:val="none" w:sz="0" w:space="0" w:color="auto"/>
      </w:divBdr>
    </w:div>
    <w:div w:id="356737240">
      <w:bodyDiv w:val="1"/>
      <w:marLeft w:val="0"/>
      <w:marRight w:val="0"/>
      <w:marTop w:val="0"/>
      <w:marBottom w:val="0"/>
      <w:divBdr>
        <w:top w:val="none" w:sz="0" w:space="0" w:color="auto"/>
        <w:left w:val="none" w:sz="0" w:space="0" w:color="auto"/>
        <w:bottom w:val="none" w:sz="0" w:space="0" w:color="auto"/>
        <w:right w:val="none" w:sz="0" w:space="0" w:color="auto"/>
      </w:divBdr>
    </w:div>
    <w:div w:id="356809014">
      <w:bodyDiv w:val="1"/>
      <w:marLeft w:val="0"/>
      <w:marRight w:val="0"/>
      <w:marTop w:val="0"/>
      <w:marBottom w:val="0"/>
      <w:divBdr>
        <w:top w:val="none" w:sz="0" w:space="0" w:color="auto"/>
        <w:left w:val="none" w:sz="0" w:space="0" w:color="auto"/>
        <w:bottom w:val="none" w:sz="0" w:space="0" w:color="auto"/>
        <w:right w:val="none" w:sz="0" w:space="0" w:color="auto"/>
      </w:divBdr>
    </w:div>
    <w:div w:id="356934148">
      <w:bodyDiv w:val="1"/>
      <w:marLeft w:val="0"/>
      <w:marRight w:val="0"/>
      <w:marTop w:val="0"/>
      <w:marBottom w:val="0"/>
      <w:divBdr>
        <w:top w:val="none" w:sz="0" w:space="0" w:color="auto"/>
        <w:left w:val="none" w:sz="0" w:space="0" w:color="auto"/>
        <w:bottom w:val="none" w:sz="0" w:space="0" w:color="auto"/>
        <w:right w:val="none" w:sz="0" w:space="0" w:color="auto"/>
      </w:divBdr>
    </w:div>
    <w:div w:id="357045166">
      <w:bodyDiv w:val="1"/>
      <w:marLeft w:val="0"/>
      <w:marRight w:val="0"/>
      <w:marTop w:val="0"/>
      <w:marBottom w:val="0"/>
      <w:divBdr>
        <w:top w:val="none" w:sz="0" w:space="0" w:color="auto"/>
        <w:left w:val="none" w:sz="0" w:space="0" w:color="auto"/>
        <w:bottom w:val="none" w:sz="0" w:space="0" w:color="auto"/>
        <w:right w:val="none" w:sz="0" w:space="0" w:color="auto"/>
      </w:divBdr>
    </w:div>
    <w:div w:id="357196357">
      <w:bodyDiv w:val="1"/>
      <w:marLeft w:val="0"/>
      <w:marRight w:val="0"/>
      <w:marTop w:val="0"/>
      <w:marBottom w:val="0"/>
      <w:divBdr>
        <w:top w:val="none" w:sz="0" w:space="0" w:color="auto"/>
        <w:left w:val="none" w:sz="0" w:space="0" w:color="auto"/>
        <w:bottom w:val="none" w:sz="0" w:space="0" w:color="auto"/>
        <w:right w:val="none" w:sz="0" w:space="0" w:color="auto"/>
      </w:divBdr>
    </w:div>
    <w:div w:id="357241828">
      <w:bodyDiv w:val="1"/>
      <w:marLeft w:val="0"/>
      <w:marRight w:val="0"/>
      <w:marTop w:val="0"/>
      <w:marBottom w:val="0"/>
      <w:divBdr>
        <w:top w:val="none" w:sz="0" w:space="0" w:color="auto"/>
        <w:left w:val="none" w:sz="0" w:space="0" w:color="auto"/>
        <w:bottom w:val="none" w:sz="0" w:space="0" w:color="auto"/>
        <w:right w:val="none" w:sz="0" w:space="0" w:color="auto"/>
      </w:divBdr>
    </w:div>
    <w:div w:id="357246071">
      <w:bodyDiv w:val="1"/>
      <w:marLeft w:val="0"/>
      <w:marRight w:val="0"/>
      <w:marTop w:val="0"/>
      <w:marBottom w:val="0"/>
      <w:divBdr>
        <w:top w:val="none" w:sz="0" w:space="0" w:color="auto"/>
        <w:left w:val="none" w:sz="0" w:space="0" w:color="auto"/>
        <w:bottom w:val="none" w:sz="0" w:space="0" w:color="auto"/>
        <w:right w:val="none" w:sz="0" w:space="0" w:color="auto"/>
      </w:divBdr>
    </w:div>
    <w:div w:id="357312165">
      <w:bodyDiv w:val="1"/>
      <w:marLeft w:val="0"/>
      <w:marRight w:val="0"/>
      <w:marTop w:val="0"/>
      <w:marBottom w:val="0"/>
      <w:divBdr>
        <w:top w:val="none" w:sz="0" w:space="0" w:color="auto"/>
        <w:left w:val="none" w:sz="0" w:space="0" w:color="auto"/>
        <w:bottom w:val="none" w:sz="0" w:space="0" w:color="auto"/>
        <w:right w:val="none" w:sz="0" w:space="0" w:color="auto"/>
      </w:divBdr>
    </w:div>
    <w:div w:id="357390391">
      <w:bodyDiv w:val="1"/>
      <w:marLeft w:val="0"/>
      <w:marRight w:val="0"/>
      <w:marTop w:val="0"/>
      <w:marBottom w:val="0"/>
      <w:divBdr>
        <w:top w:val="none" w:sz="0" w:space="0" w:color="auto"/>
        <w:left w:val="none" w:sz="0" w:space="0" w:color="auto"/>
        <w:bottom w:val="none" w:sz="0" w:space="0" w:color="auto"/>
        <w:right w:val="none" w:sz="0" w:space="0" w:color="auto"/>
      </w:divBdr>
    </w:div>
    <w:div w:id="357510853">
      <w:bodyDiv w:val="1"/>
      <w:marLeft w:val="0"/>
      <w:marRight w:val="0"/>
      <w:marTop w:val="0"/>
      <w:marBottom w:val="0"/>
      <w:divBdr>
        <w:top w:val="none" w:sz="0" w:space="0" w:color="auto"/>
        <w:left w:val="none" w:sz="0" w:space="0" w:color="auto"/>
        <w:bottom w:val="none" w:sz="0" w:space="0" w:color="auto"/>
        <w:right w:val="none" w:sz="0" w:space="0" w:color="auto"/>
      </w:divBdr>
    </w:div>
    <w:div w:id="357513437">
      <w:bodyDiv w:val="1"/>
      <w:marLeft w:val="0"/>
      <w:marRight w:val="0"/>
      <w:marTop w:val="0"/>
      <w:marBottom w:val="0"/>
      <w:divBdr>
        <w:top w:val="none" w:sz="0" w:space="0" w:color="auto"/>
        <w:left w:val="none" w:sz="0" w:space="0" w:color="auto"/>
        <w:bottom w:val="none" w:sz="0" w:space="0" w:color="auto"/>
        <w:right w:val="none" w:sz="0" w:space="0" w:color="auto"/>
      </w:divBdr>
    </w:div>
    <w:div w:id="357703592">
      <w:bodyDiv w:val="1"/>
      <w:marLeft w:val="0"/>
      <w:marRight w:val="0"/>
      <w:marTop w:val="0"/>
      <w:marBottom w:val="0"/>
      <w:divBdr>
        <w:top w:val="none" w:sz="0" w:space="0" w:color="auto"/>
        <w:left w:val="none" w:sz="0" w:space="0" w:color="auto"/>
        <w:bottom w:val="none" w:sz="0" w:space="0" w:color="auto"/>
        <w:right w:val="none" w:sz="0" w:space="0" w:color="auto"/>
      </w:divBdr>
    </w:div>
    <w:div w:id="357779057">
      <w:bodyDiv w:val="1"/>
      <w:marLeft w:val="0"/>
      <w:marRight w:val="0"/>
      <w:marTop w:val="0"/>
      <w:marBottom w:val="0"/>
      <w:divBdr>
        <w:top w:val="none" w:sz="0" w:space="0" w:color="auto"/>
        <w:left w:val="none" w:sz="0" w:space="0" w:color="auto"/>
        <w:bottom w:val="none" w:sz="0" w:space="0" w:color="auto"/>
        <w:right w:val="none" w:sz="0" w:space="0" w:color="auto"/>
      </w:divBdr>
    </w:div>
    <w:div w:id="357782023">
      <w:bodyDiv w:val="1"/>
      <w:marLeft w:val="0"/>
      <w:marRight w:val="0"/>
      <w:marTop w:val="0"/>
      <w:marBottom w:val="0"/>
      <w:divBdr>
        <w:top w:val="none" w:sz="0" w:space="0" w:color="auto"/>
        <w:left w:val="none" w:sz="0" w:space="0" w:color="auto"/>
        <w:bottom w:val="none" w:sz="0" w:space="0" w:color="auto"/>
        <w:right w:val="none" w:sz="0" w:space="0" w:color="auto"/>
      </w:divBdr>
    </w:div>
    <w:div w:id="357783516">
      <w:bodyDiv w:val="1"/>
      <w:marLeft w:val="0"/>
      <w:marRight w:val="0"/>
      <w:marTop w:val="0"/>
      <w:marBottom w:val="0"/>
      <w:divBdr>
        <w:top w:val="none" w:sz="0" w:space="0" w:color="auto"/>
        <w:left w:val="none" w:sz="0" w:space="0" w:color="auto"/>
        <w:bottom w:val="none" w:sz="0" w:space="0" w:color="auto"/>
        <w:right w:val="none" w:sz="0" w:space="0" w:color="auto"/>
      </w:divBdr>
    </w:div>
    <w:div w:id="357892300">
      <w:bodyDiv w:val="1"/>
      <w:marLeft w:val="0"/>
      <w:marRight w:val="0"/>
      <w:marTop w:val="0"/>
      <w:marBottom w:val="0"/>
      <w:divBdr>
        <w:top w:val="none" w:sz="0" w:space="0" w:color="auto"/>
        <w:left w:val="none" w:sz="0" w:space="0" w:color="auto"/>
        <w:bottom w:val="none" w:sz="0" w:space="0" w:color="auto"/>
        <w:right w:val="none" w:sz="0" w:space="0" w:color="auto"/>
      </w:divBdr>
    </w:div>
    <w:div w:id="357968800">
      <w:bodyDiv w:val="1"/>
      <w:marLeft w:val="0"/>
      <w:marRight w:val="0"/>
      <w:marTop w:val="0"/>
      <w:marBottom w:val="0"/>
      <w:divBdr>
        <w:top w:val="none" w:sz="0" w:space="0" w:color="auto"/>
        <w:left w:val="none" w:sz="0" w:space="0" w:color="auto"/>
        <w:bottom w:val="none" w:sz="0" w:space="0" w:color="auto"/>
        <w:right w:val="none" w:sz="0" w:space="0" w:color="auto"/>
      </w:divBdr>
    </w:div>
    <w:div w:id="357973173">
      <w:bodyDiv w:val="1"/>
      <w:marLeft w:val="0"/>
      <w:marRight w:val="0"/>
      <w:marTop w:val="0"/>
      <w:marBottom w:val="0"/>
      <w:divBdr>
        <w:top w:val="none" w:sz="0" w:space="0" w:color="auto"/>
        <w:left w:val="none" w:sz="0" w:space="0" w:color="auto"/>
        <w:bottom w:val="none" w:sz="0" w:space="0" w:color="auto"/>
        <w:right w:val="none" w:sz="0" w:space="0" w:color="auto"/>
      </w:divBdr>
    </w:div>
    <w:div w:id="358118573">
      <w:bodyDiv w:val="1"/>
      <w:marLeft w:val="0"/>
      <w:marRight w:val="0"/>
      <w:marTop w:val="0"/>
      <w:marBottom w:val="0"/>
      <w:divBdr>
        <w:top w:val="none" w:sz="0" w:space="0" w:color="auto"/>
        <w:left w:val="none" w:sz="0" w:space="0" w:color="auto"/>
        <w:bottom w:val="none" w:sz="0" w:space="0" w:color="auto"/>
        <w:right w:val="none" w:sz="0" w:space="0" w:color="auto"/>
      </w:divBdr>
    </w:div>
    <w:div w:id="358236625">
      <w:bodyDiv w:val="1"/>
      <w:marLeft w:val="0"/>
      <w:marRight w:val="0"/>
      <w:marTop w:val="0"/>
      <w:marBottom w:val="0"/>
      <w:divBdr>
        <w:top w:val="none" w:sz="0" w:space="0" w:color="auto"/>
        <w:left w:val="none" w:sz="0" w:space="0" w:color="auto"/>
        <w:bottom w:val="none" w:sz="0" w:space="0" w:color="auto"/>
        <w:right w:val="none" w:sz="0" w:space="0" w:color="auto"/>
      </w:divBdr>
    </w:div>
    <w:div w:id="358240454">
      <w:bodyDiv w:val="1"/>
      <w:marLeft w:val="0"/>
      <w:marRight w:val="0"/>
      <w:marTop w:val="0"/>
      <w:marBottom w:val="0"/>
      <w:divBdr>
        <w:top w:val="none" w:sz="0" w:space="0" w:color="auto"/>
        <w:left w:val="none" w:sz="0" w:space="0" w:color="auto"/>
        <w:bottom w:val="none" w:sz="0" w:space="0" w:color="auto"/>
        <w:right w:val="none" w:sz="0" w:space="0" w:color="auto"/>
      </w:divBdr>
    </w:div>
    <w:div w:id="358285808">
      <w:bodyDiv w:val="1"/>
      <w:marLeft w:val="0"/>
      <w:marRight w:val="0"/>
      <w:marTop w:val="0"/>
      <w:marBottom w:val="0"/>
      <w:divBdr>
        <w:top w:val="none" w:sz="0" w:space="0" w:color="auto"/>
        <w:left w:val="none" w:sz="0" w:space="0" w:color="auto"/>
        <w:bottom w:val="none" w:sz="0" w:space="0" w:color="auto"/>
        <w:right w:val="none" w:sz="0" w:space="0" w:color="auto"/>
      </w:divBdr>
    </w:div>
    <w:div w:id="358314730">
      <w:bodyDiv w:val="1"/>
      <w:marLeft w:val="0"/>
      <w:marRight w:val="0"/>
      <w:marTop w:val="0"/>
      <w:marBottom w:val="0"/>
      <w:divBdr>
        <w:top w:val="none" w:sz="0" w:space="0" w:color="auto"/>
        <w:left w:val="none" w:sz="0" w:space="0" w:color="auto"/>
        <w:bottom w:val="none" w:sz="0" w:space="0" w:color="auto"/>
        <w:right w:val="none" w:sz="0" w:space="0" w:color="auto"/>
      </w:divBdr>
    </w:div>
    <w:div w:id="358359516">
      <w:bodyDiv w:val="1"/>
      <w:marLeft w:val="0"/>
      <w:marRight w:val="0"/>
      <w:marTop w:val="0"/>
      <w:marBottom w:val="0"/>
      <w:divBdr>
        <w:top w:val="none" w:sz="0" w:space="0" w:color="auto"/>
        <w:left w:val="none" w:sz="0" w:space="0" w:color="auto"/>
        <w:bottom w:val="none" w:sz="0" w:space="0" w:color="auto"/>
        <w:right w:val="none" w:sz="0" w:space="0" w:color="auto"/>
      </w:divBdr>
    </w:div>
    <w:div w:id="358360311">
      <w:bodyDiv w:val="1"/>
      <w:marLeft w:val="0"/>
      <w:marRight w:val="0"/>
      <w:marTop w:val="0"/>
      <w:marBottom w:val="0"/>
      <w:divBdr>
        <w:top w:val="none" w:sz="0" w:space="0" w:color="auto"/>
        <w:left w:val="none" w:sz="0" w:space="0" w:color="auto"/>
        <w:bottom w:val="none" w:sz="0" w:space="0" w:color="auto"/>
        <w:right w:val="none" w:sz="0" w:space="0" w:color="auto"/>
      </w:divBdr>
    </w:div>
    <w:div w:id="358549083">
      <w:bodyDiv w:val="1"/>
      <w:marLeft w:val="0"/>
      <w:marRight w:val="0"/>
      <w:marTop w:val="0"/>
      <w:marBottom w:val="0"/>
      <w:divBdr>
        <w:top w:val="none" w:sz="0" w:space="0" w:color="auto"/>
        <w:left w:val="none" w:sz="0" w:space="0" w:color="auto"/>
        <w:bottom w:val="none" w:sz="0" w:space="0" w:color="auto"/>
        <w:right w:val="none" w:sz="0" w:space="0" w:color="auto"/>
      </w:divBdr>
    </w:div>
    <w:div w:id="358622739">
      <w:bodyDiv w:val="1"/>
      <w:marLeft w:val="0"/>
      <w:marRight w:val="0"/>
      <w:marTop w:val="0"/>
      <w:marBottom w:val="0"/>
      <w:divBdr>
        <w:top w:val="none" w:sz="0" w:space="0" w:color="auto"/>
        <w:left w:val="none" w:sz="0" w:space="0" w:color="auto"/>
        <w:bottom w:val="none" w:sz="0" w:space="0" w:color="auto"/>
        <w:right w:val="none" w:sz="0" w:space="0" w:color="auto"/>
      </w:divBdr>
    </w:div>
    <w:div w:id="358700665">
      <w:bodyDiv w:val="1"/>
      <w:marLeft w:val="0"/>
      <w:marRight w:val="0"/>
      <w:marTop w:val="0"/>
      <w:marBottom w:val="0"/>
      <w:divBdr>
        <w:top w:val="none" w:sz="0" w:space="0" w:color="auto"/>
        <w:left w:val="none" w:sz="0" w:space="0" w:color="auto"/>
        <w:bottom w:val="none" w:sz="0" w:space="0" w:color="auto"/>
        <w:right w:val="none" w:sz="0" w:space="0" w:color="auto"/>
      </w:divBdr>
      <w:divsChild>
        <w:div w:id="9071672">
          <w:marLeft w:val="0"/>
          <w:marRight w:val="0"/>
          <w:marTop w:val="0"/>
          <w:marBottom w:val="0"/>
          <w:divBdr>
            <w:top w:val="none" w:sz="0" w:space="0" w:color="auto"/>
            <w:left w:val="none" w:sz="0" w:space="0" w:color="auto"/>
            <w:bottom w:val="none" w:sz="0" w:space="0" w:color="auto"/>
            <w:right w:val="none" w:sz="0" w:space="0" w:color="auto"/>
          </w:divBdr>
        </w:div>
        <w:div w:id="21396631">
          <w:marLeft w:val="0"/>
          <w:marRight w:val="0"/>
          <w:marTop w:val="0"/>
          <w:marBottom w:val="0"/>
          <w:divBdr>
            <w:top w:val="none" w:sz="0" w:space="0" w:color="auto"/>
            <w:left w:val="none" w:sz="0" w:space="0" w:color="auto"/>
            <w:bottom w:val="none" w:sz="0" w:space="0" w:color="auto"/>
            <w:right w:val="none" w:sz="0" w:space="0" w:color="auto"/>
          </w:divBdr>
        </w:div>
        <w:div w:id="21562799">
          <w:marLeft w:val="0"/>
          <w:marRight w:val="0"/>
          <w:marTop w:val="0"/>
          <w:marBottom w:val="0"/>
          <w:divBdr>
            <w:top w:val="none" w:sz="0" w:space="0" w:color="auto"/>
            <w:left w:val="none" w:sz="0" w:space="0" w:color="auto"/>
            <w:bottom w:val="none" w:sz="0" w:space="0" w:color="auto"/>
            <w:right w:val="none" w:sz="0" w:space="0" w:color="auto"/>
          </w:divBdr>
        </w:div>
        <w:div w:id="28341199">
          <w:marLeft w:val="0"/>
          <w:marRight w:val="0"/>
          <w:marTop w:val="0"/>
          <w:marBottom w:val="0"/>
          <w:divBdr>
            <w:top w:val="none" w:sz="0" w:space="0" w:color="auto"/>
            <w:left w:val="none" w:sz="0" w:space="0" w:color="auto"/>
            <w:bottom w:val="none" w:sz="0" w:space="0" w:color="auto"/>
            <w:right w:val="none" w:sz="0" w:space="0" w:color="auto"/>
          </w:divBdr>
        </w:div>
        <w:div w:id="32002301">
          <w:marLeft w:val="0"/>
          <w:marRight w:val="0"/>
          <w:marTop w:val="0"/>
          <w:marBottom w:val="0"/>
          <w:divBdr>
            <w:top w:val="none" w:sz="0" w:space="0" w:color="auto"/>
            <w:left w:val="none" w:sz="0" w:space="0" w:color="auto"/>
            <w:bottom w:val="none" w:sz="0" w:space="0" w:color="auto"/>
            <w:right w:val="none" w:sz="0" w:space="0" w:color="auto"/>
          </w:divBdr>
        </w:div>
        <w:div w:id="42994883">
          <w:marLeft w:val="0"/>
          <w:marRight w:val="0"/>
          <w:marTop w:val="0"/>
          <w:marBottom w:val="0"/>
          <w:divBdr>
            <w:top w:val="none" w:sz="0" w:space="0" w:color="auto"/>
            <w:left w:val="none" w:sz="0" w:space="0" w:color="auto"/>
            <w:bottom w:val="none" w:sz="0" w:space="0" w:color="auto"/>
            <w:right w:val="none" w:sz="0" w:space="0" w:color="auto"/>
          </w:divBdr>
        </w:div>
        <w:div w:id="44182441">
          <w:marLeft w:val="0"/>
          <w:marRight w:val="0"/>
          <w:marTop w:val="0"/>
          <w:marBottom w:val="0"/>
          <w:divBdr>
            <w:top w:val="none" w:sz="0" w:space="0" w:color="auto"/>
            <w:left w:val="none" w:sz="0" w:space="0" w:color="auto"/>
            <w:bottom w:val="none" w:sz="0" w:space="0" w:color="auto"/>
            <w:right w:val="none" w:sz="0" w:space="0" w:color="auto"/>
          </w:divBdr>
        </w:div>
        <w:div w:id="54667847">
          <w:marLeft w:val="0"/>
          <w:marRight w:val="0"/>
          <w:marTop w:val="0"/>
          <w:marBottom w:val="0"/>
          <w:divBdr>
            <w:top w:val="none" w:sz="0" w:space="0" w:color="auto"/>
            <w:left w:val="none" w:sz="0" w:space="0" w:color="auto"/>
            <w:bottom w:val="none" w:sz="0" w:space="0" w:color="auto"/>
            <w:right w:val="none" w:sz="0" w:space="0" w:color="auto"/>
          </w:divBdr>
        </w:div>
        <w:div w:id="79841210">
          <w:marLeft w:val="0"/>
          <w:marRight w:val="0"/>
          <w:marTop w:val="0"/>
          <w:marBottom w:val="0"/>
          <w:divBdr>
            <w:top w:val="none" w:sz="0" w:space="0" w:color="auto"/>
            <w:left w:val="none" w:sz="0" w:space="0" w:color="auto"/>
            <w:bottom w:val="none" w:sz="0" w:space="0" w:color="auto"/>
            <w:right w:val="none" w:sz="0" w:space="0" w:color="auto"/>
          </w:divBdr>
        </w:div>
        <w:div w:id="97602170">
          <w:marLeft w:val="0"/>
          <w:marRight w:val="0"/>
          <w:marTop w:val="0"/>
          <w:marBottom w:val="0"/>
          <w:divBdr>
            <w:top w:val="none" w:sz="0" w:space="0" w:color="auto"/>
            <w:left w:val="none" w:sz="0" w:space="0" w:color="auto"/>
            <w:bottom w:val="none" w:sz="0" w:space="0" w:color="auto"/>
            <w:right w:val="none" w:sz="0" w:space="0" w:color="auto"/>
          </w:divBdr>
        </w:div>
        <w:div w:id="100880593">
          <w:marLeft w:val="0"/>
          <w:marRight w:val="0"/>
          <w:marTop w:val="0"/>
          <w:marBottom w:val="0"/>
          <w:divBdr>
            <w:top w:val="none" w:sz="0" w:space="0" w:color="auto"/>
            <w:left w:val="none" w:sz="0" w:space="0" w:color="auto"/>
            <w:bottom w:val="none" w:sz="0" w:space="0" w:color="auto"/>
            <w:right w:val="none" w:sz="0" w:space="0" w:color="auto"/>
          </w:divBdr>
        </w:div>
        <w:div w:id="104084262">
          <w:marLeft w:val="0"/>
          <w:marRight w:val="0"/>
          <w:marTop w:val="0"/>
          <w:marBottom w:val="0"/>
          <w:divBdr>
            <w:top w:val="none" w:sz="0" w:space="0" w:color="auto"/>
            <w:left w:val="none" w:sz="0" w:space="0" w:color="auto"/>
            <w:bottom w:val="none" w:sz="0" w:space="0" w:color="auto"/>
            <w:right w:val="none" w:sz="0" w:space="0" w:color="auto"/>
          </w:divBdr>
        </w:div>
        <w:div w:id="109933367">
          <w:marLeft w:val="0"/>
          <w:marRight w:val="0"/>
          <w:marTop w:val="0"/>
          <w:marBottom w:val="0"/>
          <w:divBdr>
            <w:top w:val="none" w:sz="0" w:space="0" w:color="auto"/>
            <w:left w:val="none" w:sz="0" w:space="0" w:color="auto"/>
            <w:bottom w:val="none" w:sz="0" w:space="0" w:color="auto"/>
            <w:right w:val="none" w:sz="0" w:space="0" w:color="auto"/>
          </w:divBdr>
        </w:div>
        <w:div w:id="117843906">
          <w:marLeft w:val="0"/>
          <w:marRight w:val="0"/>
          <w:marTop w:val="0"/>
          <w:marBottom w:val="0"/>
          <w:divBdr>
            <w:top w:val="none" w:sz="0" w:space="0" w:color="auto"/>
            <w:left w:val="none" w:sz="0" w:space="0" w:color="auto"/>
            <w:bottom w:val="none" w:sz="0" w:space="0" w:color="auto"/>
            <w:right w:val="none" w:sz="0" w:space="0" w:color="auto"/>
          </w:divBdr>
        </w:div>
        <w:div w:id="123696339">
          <w:marLeft w:val="0"/>
          <w:marRight w:val="0"/>
          <w:marTop w:val="0"/>
          <w:marBottom w:val="0"/>
          <w:divBdr>
            <w:top w:val="none" w:sz="0" w:space="0" w:color="auto"/>
            <w:left w:val="none" w:sz="0" w:space="0" w:color="auto"/>
            <w:bottom w:val="none" w:sz="0" w:space="0" w:color="auto"/>
            <w:right w:val="none" w:sz="0" w:space="0" w:color="auto"/>
          </w:divBdr>
        </w:div>
        <w:div w:id="128474171">
          <w:marLeft w:val="0"/>
          <w:marRight w:val="0"/>
          <w:marTop w:val="0"/>
          <w:marBottom w:val="0"/>
          <w:divBdr>
            <w:top w:val="none" w:sz="0" w:space="0" w:color="auto"/>
            <w:left w:val="none" w:sz="0" w:space="0" w:color="auto"/>
            <w:bottom w:val="none" w:sz="0" w:space="0" w:color="auto"/>
            <w:right w:val="none" w:sz="0" w:space="0" w:color="auto"/>
          </w:divBdr>
        </w:div>
        <w:div w:id="132218188">
          <w:marLeft w:val="0"/>
          <w:marRight w:val="0"/>
          <w:marTop w:val="0"/>
          <w:marBottom w:val="0"/>
          <w:divBdr>
            <w:top w:val="none" w:sz="0" w:space="0" w:color="auto"/>
            <w:left w:val="none" w:sz="0" w:space="0" w:color="auto"/>
            <w:bottom w:val="none" w:sz="0" w:space="0" w:color="auto"/>
            <w:right w:val="none" w:sz="0" w:space="0" w:color="auto"/>
          </w:divBdr>
        </w:div>
        <w:div w:id="147677170">
          <w:marLeft w:val="0"/>
          <w:marRight w:val="0"/>
          <w:marTop w:val="0"/>
          <w:marBottom w:val="0"/>
          <w:divBdr>
            <w:top w:val="none" w:sz="0" w:space="0" w:color="auto"/>
            <w:left w:val="none" w:sz="0" w:space="0" w:color="auto"/>
            <w:bottom w:val="none" w:sz="0" w:space="0" w:color="auto"/>
            <w:right w:val="none" w:sz="0" w:space="0" w:color="auto"/>
          </w:divBdr>
        </w:div>
        <w:div w:id="160857920">
          <w:marLeft w:val="0"/>
          <w:marRight w:val="0"/>
          <w:marTop w:val="0"/>
          <w:marBottom w:val="0"/>
          <w:divBdr>
            <w:top w:val="none" w:sz="0" w:space="0" w:color="auto"/>
            <w:left w:val="none" w:sz="0" w:space="0" w:color="auto"/>
            <w:bottom w:val="none" w:sz="0" w:space="0" w:color="auto"/>
            <w:right w:val="none" w:sz="0" w:space="0" w:color="auto"/>
          </w:divBdr>
        </w:div>
        <w:div w:id="183904991">
          <w:marLeft w:val="0"/>
          <w:marRight w:val="0"/>
          <w:marTop w:val="0"/>
          <w:marBottom w:val="0"/>
          <w:divBdr>
            <w:top w:val="none" w:sz="0" w:space="0" w:color="auto"/>
            <w:left w:val="none" w:sz="0" w:space="0" w:color="auto"/>
            <w:bottom w:val="none" w:sz="0" w:space="0" w:color="auto"/>
            <w:right w:val="none" w:sz="0" w:space="0" w:color="auto"/>
          </w:divBdr>
        </w:div>
        <w:div w:id="194587343">
          <w:marLeft w:val="0"/>
          <w:marRight w:val="0"/>
          <w:marTop w:val="0"/>
          <w:marBottom w:val="0"/>
          <w:divBdr>
            <w:top w:val="none" w:sz="0" w:space="0" w:color="auto"/>
            <w:left w:val="none" w:sz="0" w:space="0" w:color="auto"/>
            <w:bottom w:val="none" w:sz="0" w:space="0" w:color="auto"/>
            <w:right w:val="none" w:sz="0" w:space="0" w:color="auto"/>
          </w:divBdr>
        </w:div>
        <w:div w:id="209344930">
          <w:marLeft w:val="0"/>
          <w:marRight w:val="0"/>
          <w:marTop w:val="0"/>
          <w:marBottom w:val="0"/>
          <w:divBdr>
            <w:top w:val="none" w:sz="0" w:space="0" w:color="auto"/>
            <w:left w:val="none" w:sz="0" w:space="0" w:color="auto"/>
            <w:bottom w:val="none" w:sz="0" w:space="0" w:color="auto"/>
            <w:right w:val="none" w:sz="0" w:space="0" w:color="auto"/>
          </w:divBdr>
        </w:div>
        <w:div w:id="218632814">
          <w:marLeft w:val="0"/>
          <w:marRight w:val="0"/>
          <w:marTop w:val="0"/>
          <w:marBottom w:val="0"/>
          <w:divBdr>
            <w:top w:val="none" w:sz="0" w:space="0" w:color="auto"/>
            <w:left w:val="none" w:sz="0" w:space="0" w:color="auto"/>
            <w:bottom w:val="none" w:sz="0" w:space="0" w:color="auto"/>
            <w:right w:val="none" w:sz="0" w:space="0" w:color="auto"/>
          </w:divBdr>
        </w:div>
        <w:div w:id="234635560">
          <w:marLeft w:val="0"/>
          <w:marRight w:val="0"/>
          <w:marTop w:val="0"/>
          <w:marBottom w:val="0"/>
          <w:divBdr>
            <w:top w:val="none" w:sz="0" w:space="0" w:color="auto"/>
            <w:left w:val="none" w:sz="0" w:space="0" w:color="auto"/>
            <w:bottom w:val="none" w:sz="0" w:space="0" w:color="auto"/>
            <w:right w:val="none" w:sz="0" w:space="0" w:color="auto"/>
          </w:divBdr>
        </w:div>
        <w:div w:id="237399962">
          <w:marLeft w:val="0"/>
          <w:marRight w:val="0"/>
          <w:marTop w:val="0"/>
          <w:marBottom w:val="0"/>
          <w:divBdr>
            <w:top w:val="none" w:sz="0" w:space="0" w:color="auto"/>
            <w:left w:val="none" w:sz="0" w:space="0" w:color="auto"/>
            <w:bottom w:val="none" w:sz="0" w:space="0" w:color="auto"/>
            <w:right w:val="none" w:sz="0" w:space="0" w:color="auto"/>
          </w:divBdr>
        </w:div>
        <w:div w:id="243149057">
          <w:marLeft w:val="0"/>
          <w:marRight w:val="0"/>
          <w:marTop w:val="0"/>
          <w:marBottom w:val="0"/>
          <w:divBdr>
            <w:top w:val="none" w:sz="0" w:space="0" w:color="auto"/>
            <w:left w:val="none" w:sz="0" w:space="0" w:color="auto"/>
            <w:bottom w:val="none" w:sz="0" w:space="0" w:color="auto"/>
            <w:right w:val="none" w:sz="0" w:space="0" w:color="auto"/>
          </w:divBdr>
        </w:div>
        <w:div w:id="267004108">
          <w:marLeft w:val="0"/>
          <w:marRight w:val="0"/>
          <w:marTop w:val="0"/>
          <w:marBottom w:val="0"/>
          <w:divBdr>
            <w:top w:val="none" w:sz="0" w:space="0" w:color="auto"/>
            <w:left w:val="none" w:sz="0" w:space="0" w:color="auto"/>
            <w:bottom w:val="none" w:sz="0" w:space="0" w:color="auto"/>
            <w:right w:val="none" w:sz="0" w:space="0" w:color="auto"/>
          </w:divBdr>
        </w:div>
        <w:div w:id="272135744">
          <w:marLeft w:val="0"/>
          <w:marRight w:val="0"/>
          <w:marTop w:val="0"/>
          <w:marBottom w:val="0"/>
          <w:divBdr>
            <w:top w:val="none" w:sz="0" w:space="0" w:color="auto"/>
            <w:left w:val="none" w:sz="0" w:space="0" w:color="auto"/>
            <w:bottom w:val="none" w:sz="0" w:space="0" w:color="auto"/>
            <w:right w:val="none" w:sz="0" w:space="0" w:color="auto"/>
          </w:divBdr>
        </w:div>
        <w:div w:id="287860530">
          <w:marLeft w:val="0"/>
          <w:marRight w:val="0"/>
          <w:marTop w:val="0"/>
          <w:marBottom w:val="0"/>
          <w:divBdr>
            <w:top w:val="none" w:sz="0" w:space="0" w:color="auto"/>
            <w:left w:val="none" w:sz="0" w:space="0" w:color="auto"/>
            <w:bottom w:val="none" w:sz="0" w:space="0" w:color="auto"/>
            <w:right w:val="none" w:sz="0" w:space="0" w:color="auto"/>
          </w:divBdr>
        </w:div>
        <w:div w:id="339158111">
          <w:marLeft w:val="0"/>
          <w:marRight w:val="0"/>
          <w:marTop w:val="0"/>
          <w:marBottom w:val="0"/>
          <w:divBdr>
            <w:top w:val="none" w:sz="0" w:space="0" w:color="auto"/>
            <w:left w:val="none" w:sz="0" w:space="0" w:color="auto"/>
            <w:bottom w:val="none" w:sz="0" w:space="0" w:color="auto"/>
            <w:right w:val="none" w:sz="0" w:space="0" w:color="auto"/>
          </w:divBdr>
        </w:div>
        <w:div w:id="347951479">
          <w:marLeft w:val="0"/>
          <w:marRight w:val="0"/>
          <w:marTop w:val="0"/>
          <w:marBottom w:val="0"/>
          <w:divBdr>
            <w:top w:val="none" w:sz="0" w:space="0" w:color="auto"/>
            <w:left w:val="none" w:sz="0" w:space="0" w:color="auto"/>
            <w:bottom w:val="none" w:sz="0" w:space="0" w:color="auto"/>
            <w:right w:val="none" w:sz="0" w:space="0" w:color="auto"/>
          </w:divBdr>
        </w:div>
        <w:div w:id="359279461">
          <w:marLeft w:val="0"/>
          <w:marRight w:val="0"/>
          <w:marTop w:val="0"/>
          <w:marBottom w:val="0"/>
          <w:divBdr>
            <w:top w:val="none" w:sz="0" w:space="0" w:color="auto"/>
            <w:left w:val="none" w:sz="0" w:space="0" w:color="auto"/>
            <w:bottom w:val="none" w:sz="0" w:space="0" w:color="auto"/>
            <w:right w:val="none" w:sz="0" w:space="0" w:color="auto"/>
          </w:divBdr>
        </w:div>
        <w:div w:id="359867150">
          <w:marLeft w:val="0"/>
          <w:marRight w:val="0"/>
          <w:marTop w:val="0"/>
          <w:marBottom w:val="0"/>
          <w:divBdr>
            <w:top w:val="none" w:sz="0" w:space="0" w:color="auto"/>
            <w:left w:val="none" w:sz="0" w:space="0" w:color="auto"/>
            <w:bottom w:val="none" w:sz="0" w:space="0" w:color="auto"/>
            <w:right w:val="none" w:sz="0" w:space="0" w:color="auto"/>
          </w:divBdr>
        </w:div>
        <w:div w:id="375814745">
          <w:marLeft w:val="0"/>
          <w:marRight w:val="0"/>
          <w:marTop w:val="0"/>
          <w:marBottom w:val="0"/>
          <w:divBdr>
            <w:top w:val="none" w:sz="0" w:space="0" w:color="auto"/>
            <w:left w:val="none" w:sz="0" w:space="0" w:color="auto"/>
            <w:bottom w:val="none" w:sz="0" w:space="0" w:color="auto"/>
            <w:right w:val="none" w:sz="0" w:space="0" w:color="auto"/>
          </w:divBdr>
        </w:div>
        <w:div w:id="389426917">
          <w:marLeft w:val="0"/>
          <w:marRight w:val="0"/>
          <w:marTop w:val="0"/>
          <w:marBottom w:val="0"/>
          <w:divBdr>
            <w:top w:val="none" w:sz="0" w:space="0" w:color="auto"/>
            <w:left w:val="none" w:sz="0" w:space="0" w:color="auto"/>
            <w:bottom w:val="none" w:sz="0" w:space="0" w:color="auto"/>
            <w:right w:val="none" w:sz="0" w:space="0" w:color="auto"/>
          </w:divBdr>
        </w:div>
        <w:div w:id="394396183">
          <w:marLeft w:val="0"/>
          <w:marRight w:val="0"/>
          <w:marTop w:val="0"/>
          <w:marBottom w:val="0"/>
          <w:divBdr>
            <w:top w:val="none" w:sz="0" w:space="0" w:color="auto"/>
            <w:left w:val="none" w:sz="0" w:space="0" w:color="auto"/>
            <w:bottom w:val="none" w:sz="0" w:space="0" w:color="auto"/>
            <w:right w:val="none" w:sz="0" w:space="0" w:color="auto"/>
          </w:divBdr>
        </w:div>
        <w:div w:id="406532564">
          <w:marLeft w:val="0"/>
          <w:marRight w:val="0"/>
          <w:marTop w:val="0"/>
          <w:marBottom w:val="0"/>
          <w:divBdr>
            <w:top w:val="none" w:sz="0" w:space="0" w:color="auto"/>
            <w:left w:val="none" w:sz="0" w:space="0" w:color="auto"/>
            <w:bottom w:val="none" w:sz="0" w:space="0" w:color="auto"/>
            <w:right w:val="none" w:sz="0" w:space="0" w:color="auto"/>
          </w:divBdr>
        </w:div>
        <w:div w:id="416752244">
          <w:marLeft w:val="0"/>
          <w:marRight w:val="0"/>
          <w:marTop w:val="0"/>
          <w:marBottom w:val="0"/>
          <w:divBdr>
            <w:top w:val="none" w:sz="0" w:space="0" w:color="auto"/>
            <w:left w:val="none" w:sz="0" w:space="0" w:color="auto"/>
            <w:bottom w:val="none" w:sz="0" w:space="0" w:color="auto"/>
            <w:right w:val="none" w:sz="0" w:space="0" w:color="auto"/>
          </w:divBdr>
        </w:div>
        <w:div w:id="429080701">
          <w:marLeft w:val="0"/>
          <w:marRight w:val="0"/>
          <w:marTop w:val="0"/>
          <w:marBottom w:val="0"/>
          <w:divBdr>
            <w:top w:val="none" w:sz="0" w:space="0" w:color="auto"/>
            <w:left w:val="none" w:sz="0" w:space="0" w:color="auto"/>
            <w:bottom w:val="none" w:sz="0" w:space="0" w:color="auto"/>
            <w:right w:val="none" w:sz="0" w:space="0" w:color="auto"/>
          </w:divBdr>
        </w:div>
        <w:div w:id="431514492">
          <w:marLeft w:val="0"/>
          <w:marRight w:val="0"/>
          <w:marTop w:val="0"/>
          <w:marBottom w:val="0"/>
          <w:divBdr>
            <w:top w:val="none" w:sz="0" w:space="0" w:color="auto"/>
            <w:left w:val="none" w:sz="0" w:space="0" w:color="auto"/>
            <w:bottom w:val="none" w:sz="0" w:space="0" w:color="auto"/>
            <w:right w:val="none" w:sz="0" w:space="0" w:color="auto"/>
          </w:divBdr>
        </w:div>
        <w:div w:id="440687954">
          <w:marLeft w:val="0"/>
          <w:marRight w:val="0"/>
          <w:marTop w:val="0"/>
          <w:marBottom w:val="0"/>
          <w:divBdr>
            <w:top w:val="none" w:sz="0" w:space="0" w:color="auto"/>
            <w:left w:val="none" w:sz="0" w:space="0" w:color="auto"/>
            <w:bottom w:val="none" w:sz="0" w:space="0" w:color="auto"/>
            <w:right w:val="none" w:sz="0" w:space="0" w:color="auto"/>
          </w:divBdr>
        </w:div>
        <w:div w:id="448822586">
          <w:marLeft w:val="0"/>
          <w:marRight w:val="0"/>
          <w:marTop w:val="0"/>
          <w:marBottom w:val="0"/>
          <w:divBdr>
            <w:top w:val="none" w:sz="0" w:space="0" w:color="auto"/>
            <w:left w:val="none" w:sz="0" w:space="0" w:color="auto"/>
            <w:bottom w:val="none" w:sz="0" w:space="0" w:color="auto"/>
            <w:right w:val="none" w:sz="0" w:space="0" w:color="auto"/>
          </w:divBdr>
        </w:div>
        <w:div w:id="450516726">
          <w:marLeft w:val="0"/>
          <w:marRight w:val="0"/>
          <w:marTop w:val="0"/>
          <w:marBottom w:val="0"/>
          <w:divBdr>
            <w:top w:val="none" w:sz="0" w:space="0" w:color="auto"/>
            <w:left w:val="none" w:sz="0" w:space="0" w:color="auto"/>
            <w:bottom w:val="none" w:sz="0" w:space="0" w:color="auto"/>
            <w:right w:val="none" w:sz="0" w:space="0" w:color="auto"/>
          </w:divBdr>
        </w:div>
        <w:div w:id="451048880">
          <w:marLeft w:val="0"/>
          <w:marRight w:val="0"/>
          <w:marTop w:val="0"/>
          <w:marBottom w:val="0"/>
          <w:divBdr>
            <w:top w:val="none" w:sz="0" w:space="0" w:color="auto"/>
            <w:left w:val="none" w:sz="0" w:space="0" w:color="auto"/>
            <w:bottom w:val="none" w:sz="0" w:space="0" w:color="auto"/>
            <w:right w:val="none" w:sz="0" w:space="0" w:color="auto"/>
          </w:divBdr>
        </w:div>
        <w:div w:id="455221708">
          <w:marLeft w:val="0"/>
          <w:marRight w:val="0"/>
          <w:marTop w:val="0"/>
          <w:marBottom w:val="0"/>
          <w:divBdr>
            <w:top w:val="none" w:sz="0" w:space="0" w:color="auto"/>
            <w:left w:val="none" w:sz="0" w:space="0" w:color="auto"/>
            <w:bottom w:val="none" w:sz="0" w:space="0" w:color="auto"/>
            <w:right w:val="none" w:sz="0" w:space="0" w:color="auto"/>
          </w:divBdr>
        </w:div>
        <w:div w:id="472677073">
          <w:marLeft w:val="0"/>
          <w:marRight w:val="0"/>
          <w:marTop w:val="0"/>
          <w:marBottom w:val="0"/>
          <w:divBdr>
            <w:top w:val="none" w:sz="0" w:space="0" w:color="auto"/>
            <w:left w:val="none" w:sz="0" w:space="0" w:color="auto"/>
            <w:bottom w:val="none" w:sz="0" w:space="0" w:color="auto"/>
            <w:right w:val="none" w:sz="0" w:space="0" w:color="auto"/>
          </w:divBdr>
        </w:div>
        <w:div w:id="500051640">
          <w:marLeft w:val="0"/>
          <w:marRight w:val="0"/>
          <w:marTop w:val="0"/>
          <w:marBottom w:val="0"/>
          <w:divBdr>
            <w:top w:val="none" w:sz="0" w:space="0" w:color="auto"/>
            <w:left w:val="none" w:sz="0" w:space="0" w:color="auto"/>
            <w:bottom w:val="none" w:sz="0" w:space="0" w:color="auto"/>
            <w:right w:val="none" w:sz="0" w:space="0" w:color="auto"/>
          </w:divBdr>
        </w:div>
        <w:div w:id="503664077">
          <w:marLeft w:val="0"/>
          <w:marRight w:val="0"/>
          <w:marTop w:val="0"/>
          <w:marBottom w:val="0"/>
          <w:divBdr>
            <w:top w:val="none" w:sz="0" w:space="0" w:color="auto"/>
            <w:left w:val="none" w:sz="0" w:space="0" w:color="auto"/>
            <w:bottom w:val="none" w:sz="0" w:space="0" w:color="auto"/>
            <w:right w:val="none" w:sz="0" w:space="0" w:color="auto"/>
          </w:divBdr>
        </w:div>
        <w:div w:id="510335300">
          <w:marLeft w:val="0"/>
          <w:marRight w:val="0"/>
          <w:marTop w:val="0"/>
          <w:marBottom w:val="0"/>
          <w:divBdr>
            <w:top w:val="none" w:sz="0" w:space="0" w:color="auto"/>
            <w:left w:val="none" w:sz="0" w:space="0" w:color="auto"/>
            <w:bottom w:val="none" w:sz="0" w:space="0" w:color="auto"/>
            <w:right w:val="none" w:sz="0" w:space="0" w:color="auto"/>
          </w:divBdr>
        </w:div>
        <w:div w:id="550504916">
          <w:marLeft w:val="0"/>
          <w:marRight w:val="0"/>
          <w:marTop w:val="0"/>
          <w:marBottom w:val="0"/>
          <w:divBdr>
            <w:top w:val="none" w:sz="0" w:space="0" w:color="auto"/>
            <w:left w:val="none" w:sz="0" w:space="0" w:color="auto"/>
            <w:bottom w:val="none" w:sz="0" w:space="0" w:color="auto"/>
            <w:right w:val="none" w:sz="0" w:space="0" w:color="auto"/>
          </w:divBdr>
        </w:div>
        <w:div w:id="551043468">
          <w:marLeft w:val="0"/>
          <w:marRight w:val="0"/>
          <w:marTop w:val="0"/>
          <w:marBottom w:val="0"/>
          <w:divBdr>
            <w:top w:val="none" w:sz="0" w:space="0" w:color="auto"/>
            <w:left w:val="none" w:sz="0" w:space="0" w:color="auto"/>
            <w:bottom w:val="none" w:sz="0" w:space="0" w:color="auto"/>
            <w:right w:val="none" w:sz="0" w:space="0" w:color="auto"/>
          </w:divBdr>
        </w:div>
        <w:div w:id="563568589">
          <w:marLeft w:val="0"/>
          <w:marRight w:val="0"/>
          <w:marTop w:val="0"/>
          <w:marBottom w:val="0"/>
          <w:divBdr>
            <w:top w:val="none" w:sz="0" w:space="0" w:color="auto"/>
            <w:left w:val="none" w:sz="0" w:space="0" w:color="auto"/>
            <w:bottom w:val="none" w:sz="0" w:space="0" w:color="auto"/>
            <w:right w:val="none" w:sz="0" w:space="0" w:color="auto"/>
          </w:divBdr>
        </w:div>
        <w:div w:id="576404702">
          <w:marLeft w:val="0"/>
          <w:marRight w:val="0"/>
          <w:marTop w:val="0"/>
          <w:marBottom w:val="0"/>
          <w:divBdr>
            <w:top w:val="none" w:sz="0" w:space="0" w:color="auto"/>
            <w:left w:val="none" w:sz="0" w:space="0" w:color="auto"/>
            <w:bottom w:val="none" w:sz="0" w:space="0" w:color="auto"/>
            <w:right w:val="none" w:sz="0" w:space="0" w:color="auto"/>
          </w:divBdr>
        </w:div>
        <w:div w:id="580138805">
          <w:marLeft w:val="0"/>
          <w:marRight w:val="0"/>
          <w:marTop w:val="0"/>
          <w:marBottom w:val="0"/>
          <w:divBdr>
            <w:top w:val="none" w:sz="0" w:space="0" w:color="auto"/>
            <w:left w:val="none" w:sz="0" w:space="0" w:color="auto"/>
            <w:bottom w:val="none" w:sz="0" w:space="0" w:color="auto"/>
            <w:right w:val="none" w:sz="0" w:space="0" w:color="auto"/>
          </w:divBdr>
        </w:div>
        <w:div w:id="598761845">
          <w:marLeft w:val="0"/>
          <w:marRight w:val="0"/>
          <w:marTop w:val="0"/>
          <w:marBottom w:val="0"/>
          <w:divBdr>
            <w:top w:val="none" w:sz="0" w:space="0" w:color="auto"/>
            <w:left w:val="none" w:sz="0" w:space="0" w:color="auto"/>
            <w:bottom w:val="none" w:sz="0" w:space="0" w:color="auto"/>
            <w:right w:val="none" w:sz="0" w:space="0" w:color="auto"/>
          </w:divBdr>
        </w:div>
        <w:div w:id="612328447">
          <w:marLeft w:val="0"/>
          <w:marRight w:val="0"/>
          <w:marTop w:val="0"/>
          <w:marBottom w:val="0"/>
          <w:divBdr>
            <w:top w:val="none" w:sz="0" w:space="0" w:color="auto"/>
            <w:left w:val="none" w:sz="0" w:space="0" w:color="auto"/>
            <w:bottom w:val="none" w:sz="0" w:space="0" w:color="auto"/>
            <w:right w:val="none" w:sz="0" w:space="0" w:color="auto"/>
          </w:divBdr>
        </w:div>
        <w:div w:id="613100252">
          <w:marLeft w:val="0"/>
          <w:marRight w:val="0"/>
          <w:marTop w:val="0"/>
          <w:marBottom w:val="0"/>
          <w:divBdr>
            <w:top w:val="none" w:sz="0" w:space="0" w:color="auto"/>
            <w:left w:val="none" w:sz="0" w:space="0" w:color="auto"/>
            <w:bottom w:val="none" w:sz="0" w:space="0" w:color="auto"/>
            <w:right w:val="none" w:sz="0" w:space="0" w:color="auto"/>
          </w:divBdr>
        </w:div>
        <w:div w:id="616067246">
          <w:marLeft w:val="0"/>
          <w:marRight w:val="0"/>
          <w:marTop w:val="0"/>
          <w:marBottom w:val="0"/>
          <w:divBdr>
            <w:top w:val="none" w:sz="0" w:space="0" w:color="auto"/>
            <w:left w:val="none" w:sz="0" w:space="0" w:color="auto"/>
            <w:bottom w:val="none" w:sz="0" w:space="0" w:color="auto"/>
            <w:right w:val="none" w:sz="0" w:space="0" w:color="auto"/>
          </w:divBdr>
        </w:div>
        <w:div w:id="620888269">
          <w:marLeft w:val="0"/>
          <w:marRight w:val="0"/>
          <w:marTop w:val="0"/>
          <w:marBottom w:val="0"/>
          <w:divBdr>
            <w:top w:val="none" w:sz="0" w:space="0" w:color="auto"/>
            <w:left w:val="none" w:sz="0" w:space="0" w:color="auto"/>
            <w:bottom w:val="none" w:sz="0" w:space="0" w:color="auto"/>
            <w:right w:val="none" w:sz="0" w:space="0" w:color="auto"/>
          </w:divBdr>
        </w:div>
        <w:div w:id="648051777">
          <w:marLeft w:val="0"/>
          <w:marRight w:val="0"/>
          <w:marTop w:val="0"/>
          <w:marBottom w:val="0"/>
          <w:divBdr>
            <w:top w:val="none" w:sz="0" w:space="0" w:color="auto"/>
            <w:left w:val="none" w:sz="0" w:space="0" w:color="auto"/>
            <w:bottom w:val="none" w:sz="0" w:space="0" w:color="auto"/>
            <w:right w:val="none" w:sz="0" w:space="0" w:color="auto"/>
          </w:divBdr>
        </w:div>
        <w:div w:id="669329677">
          <w:marLeft w:val="0"/>
          <w:marRight w:val="0"/>
          <w:marTop w:val="0"/>
          <w:marBottom w:val="0"/>
          <w:divBdr>
            <w:top w:val="none" w:sz="0" w:space="0" w:color="auto"/>
            <w:left w:val="none" w:sz="0" w:space="0" w:color="auto"/>
            <w:bottom w:val="none" w:sz="0" w:space="0" w:color="auto"/>
            <w:right w:val="none" w:sz="0" w:space="0" w:color="auto"/>
          </w:divBdr>
        </w:div>
        <w:div w:id="712538064">
          <w:marLeft w:val="0"/>
          <w:marRight w:val="0"/>
          <w:marTop w:val="0"/>
          <w:marBottom w:val="0"/>
          <w:divBdr>
            <w:top w:val="none" w:sz="0" w:space="0" w:color="auto"/>
            <w:left w:val="none" w:sz="0" w:space="0" w:color="auto"/>
            <w:bottom w:val="none" w:sz="0" w:space="0" w:color="auto"/>
            <w:right w:val="none" w:sz="0" w:space="0" w:color="auto"/>
          </w:divBdr>
        </w:div>
        <w:div w:id="712923056">
          <w:marLeft w:val="0"/>
          <w:marRight w:val="0"/>
          <w:marTop w:val="0"/>
          <w:marBottom w:val="0"/>
          <w:divBdr>
            <w:top w:val="none" w:sz="0" w:space="0" w:color="auto"/>
            <w:left w:val="none" w:sz="0" w:space="0" w:color="auto"/>
            <w:bottom w:val="none" w:sz="0" w:space="0" w:color="auto"/>
            <w:right w:val="none" w:sz="0" w:space="0" w:color="auto"/>
          </w:divBdr>
        </w:div>
        <w:div w:id="713700783">
          <w:marLeft w:val="0"/>
          <w:marRight w:val="0"/>
          <w:marTop w:val="0"/>
          <w:marBottom w:val="0"/>
          <w:divBdr>
            <w:top w:val="none" w:sz="0" w:space="0" w:color="auto"/>
            <w:left w:val="none" w:sz="0" w:space="0" w:color="auto"/>
            <w:bottom w:val="none" w:sz="0" w:space="0" w:color="auto"/>
            <w:right w:val="none" w:sz="0" w:space="0" w:color="auto"/>
          </w:divBdr>
        </w:div>
        <w:div w:id="725685133">
          <w:marLeft w:val="0"/>
          <w:marRight w:val="0"/>
          <w:marTop w:val="0"/>
          <w:marBottom w:val="0"/>
          <w:divBdr>
            <w:top w:val="none" w:sz="0" w:space="0" w:color="auto"/>
            <w:left w:val="none" w:sz="0" w:space="0" w:color="auto"/>
            <w:bottom w:val="none" w:sz="0" w:space="0" w:color="auto"/>
            <w:right w:val="none" w:sz="0" w:space="0" w:color="auto"/>
          </w:divBdr>
        </w:div>
        <w:div w:id="733357380">
          <w:marLeft w:val="0"/>
          <w:marRight w:val="0"/>
          <w:marTop w:val="0"/>
          <w:marBottom w:val="0"/>
          <w:divBdr>
            <w:top w:val="none" w:sz="0" w:space="0" w:color="auto"/>
            <w:left w:val="none" w:sz="0" w:space="0" w:color="auto"/>
            <w:bottom w:val="none" w:sz="0" w:space="0" w:color="auto"/>
            <w:right w:val="none" w:sz="0" w:space="0" w:color="auto"/>
          </w:divBdr>
        </w:div>
        <w:div w:id="744062105">
          <w:marLeft w:val="0"/>
          <w:marRight w:val="0"/>
          <w:marTop w:val="0"/>
          <w:marBottom w:val="0"/>
          <w:divBdr>
            <w:top w:val="none" w:sz="0" w:space="0" w:color="auto"/>
            <w:left w:val="none" w:sz="0" w:space="0" w:color="auto"/>
            <w:bottom w:val="none" w:sz="0" w:space="0" w:color="auto"/>
            <w:right w:val="none" w:sz="0" w:space="0" w:color="auto"/>
          </w:divBdr>
        </w:div>
        <w:div w:id="757598541">
          <w:marLeft w:val="0"/>
          <w:marRight w:val="0"/>
          <w:marTop w:val="0"/>
          <w:marBottom w:val="0"/>
          <w:divBdr>
            <w:top w:val="none" w:sz="0" w:space="0" w:color="auto"/>
            <w:left w:val="none" w:sz="0" w:space="0" w:color="auto"/>
            <w:bottom w:val="none" w:sz="0" w:space="0" w:color="auto"/>
            <w:right w:val="none" w:sz="0" w:space="0" w:color="auto"/>
          </w:divBdr>
        </w:div>
        <w:div w:id="770786423">
          <w:marLeft w:val="0"/>
          <w:marRight w:val="0"/>
          <w:marTop w:val="0"/>
          <w:marBottom w:val="0"/>
          <w:divBdr>
            <w:top w:val="none" w:sz="0" w:space="0" w:color="auto"/>
            <w:left w:val="none" w:sz="0" w:space="0" w:color="auto"/>
            <w:bottom w:val="none" w:sz="0" w:space="0" w:color="auto"/>
            <w:right w:val="none" w:sz="0" w:space="0" w:color="auto"/>
          </w:divBdr>
        </w:div>
        <w:div w:id="780804019">
          <w:marLeft w:val="0"/>
          <w:marRight w:val="0"/>
          <w:marTop w:val="0"/>
          <w:marBottom w:val="0"/>
          <w:divBdr>
            <w:top w:val="none" w:sz="0" w:space="0" w:color="auto"/>
            <w:left w:val="none" w:sz="0" w:space="0" w:color="auto"/>
            <w:bottom w:val="none" w:sz="0" w:space="0" w:color="auto"/>
            <w:right w:val="none" w:sz="0" w:space="0" w:color="auto"/>
          </w:divBdr>
        </w:div>
        <w:div w:id="793059280">
          <w:marLeft w:val="0"/>
          <w:marRight w:val="0"/>
          <w:marTop w:val="0"/>
          <w:marBottom w:val="0"/>
          <w:divBdr>
            <w:top w:val="none" w:sz="0" w:space="0" w:color="auto"/>
            <w:left w:val="none" w:sz="0" w:space="0" w:color="auto"/>
            <w:bottom w:val="none" w:sz="0" w:space="0" w:color="auto"/>
            <w:right w:val="none" w:sz="0" w:space="0" w:color="auto"/>
          </w:divBdr>
        </w:div>
        <w:div w:id="796339386">
          <w:marLeft w:val="0"/>
          <w:marRight w:val="0"/>
          <w:marTop w:val="0"/>
          <w:marBottom w:val="0"/>
          <w:divBdr>
            <w:top w:val="none" w:sz="0" w:space="0" w:color="auto"/>
            <w:left w:val="none" w:sz="0" w:space="0" w:color="auto"/>
            <w:bottom w:val="none" w:sz="0" w:space="0" w:color="auto"/>
            <w:right w:val="none" w:sz="0" w:space="0" w:color="auto"/>
          </w:divBdr>
        </w:div>
        <w:div w:id="800540252">
          <w:marLeft w:val="0"/>
          <w:marRight w:val="0"/>
          <w:marTop w:val="0"/>
          <w:marBottom w:val="0"/>
          <w:divBdr>
            <w:top w:val="none" w:sz="0" w:space="0" w:color="auto"/>
            <w:left w:val="none" w:sz="0" w:space="0" w:color="auto"/>
            <w:bottom w:val="none" w:sz="0" w:space="0" w:color="auto"/>
            <w:right w:val="none" w:sz="0" w:space="0" w:color="auto"/>
          </w:divBdr>
        </w:div>
        <w:div w:id="817186953">
          <w:marLeft w:val="0"/>
          <w:marRight w:val="0"/>
          <w:marTop w:val="0"/>
          <w:marBottom w:val="0"/>
          <w:divBdr>
            <w:top w:val="none" w:sz="0" w:space="0" w:color="auto"/>
            <w:left w:val="none" w:sz="0" w:space="0" w:color="auto"/>
            <w:bottom w:val="none" w:sz="0" w:space="0" w:color="auto"/>
            <w:right w:val="none" w:sz="0" w:space="0" w:color="auto"/>
          </w:divBdr>
        </w:div>
        <w:div w:id="837774138">
          <w:marLeft w:val="0"/>
          <w:marRight w:val="0"/>
          <w:marTop w:val="0"/>
          <w:marBottom w:val="0"/>
          <w:divBdr>
            <w:top w:val="none" w:sz="0" w:space="0" w:color="auto"/>
            <w:left w:val="none" w:sz="0" w:space="0" w:color="auto"/>
            <w:bottom w:val="none" w:sz="0" w:space="0" w:color="auto"/>
            <w:right w:val="none" w:sz="0" w:space="0" w:color="auto"/>
          </w:divBdr>
        </w:div>
        <w:div w:id="850026894">
          <w:marLeft w:val="0"/>
          <w:marRight w:val="0"/>
          <w:marTop w:val="0"/>
          <w:marBottom w:val="0"/>
          <w:divBdr>
            <w:top w:val="none" w:sz="0" w:space="0" w:color="auto"/>
            <w:left w:val="none" w:sz="0" w:space="0" w:color="auto"/>
            <w:bottom w:val="none" w:sz="0" w:space="0" w:color="auto"/>
            <w:right w:val="none" w:sz="0" w:space="0" w:color="auto"/>
          </w:divBdr>
        </w:div>
        <w:div w:id="884021022">
          <w:marLeft w:val="0"/>
          <w:marRight w:val="0"/>
          <w:marTop w:val="0"/>
          <w:marBottom w:val="0"/>
          <w:divBdr>
            <w:top w:val="none" w:sz="0" w:space="0" w:color="auto"/>
            <w:left w:val="none" w:sz="0" w:space="0" w:color="auto"/>
            <w:bottom w:val="none" w:sz="0" w:space="0" w:color="auto"/>
            <w:right w:val="none" w:sz="0" w:space="0" w:color="auto"/>
          </w:divBdr>
        </w:div>
        <w:div w:id="901796481">
          <w:marLeft w:val="0"/>
          <w:marRight w:val="0"/>
          <w:marTop w:val="0"/>
          <w:marBottom w:val="0"/>
          <w:divBdr>
            <w:top w:val="none" w:sz="0" w:space="0" w:color="auto"/>
            <w:left w:val="none" w:sz="0" w:space="0" w:color="auto"/>
            <w:bottom w:val="none" w:sz="0" w:space="0" w:color="auto"/>
            <w:right w:val="none" w:sz="0" w:space="0" w:color="auto"/>
          </w:divBdr>
        </w:div>
        <w:div w:id="922031580">
          <w:marLeft w:val="0"/>
          <w:marRight w:val="0"/>
          <w:marTop w:val="0"/>
          <w:marBottom w:val="0"/>
          <w:divBdr>
            <w:top w:val="none" w:sz="0" w:space="0" w:color="auto"/>
            <w:left w:val="none" w:sz="0" w:space="0" w:color="auto"/>
            <w:bottom w:val="none" w:sz="0" w:space="0" w:color="auto"/>
            <w:right w:val="none" w:sz="0" w:space="0" w:color="auto"/>
          </w:divBdr>
        </w:div>
        <w:div w:id="966667382">
          <w:marLeft w:val="0"/>
          <w:marRight w:val="0"/>
          <w:marTop w:val="0"/>
          <w:marBottom w:val="0"/>
          <w:divBdr>
            <w:top w:val="none" w:sz="0" w:space="0" w:color="auto"/>
            <w:left w:val="none" w:sz="0" w:space="0" w:color="auto"/>
            <w:bottom w:val="none" w:sz="0" w:space="0" w:color="auto"/>
            <w:right w:val="none" w:sz="0" w:space="0" w:color="auto"/>
          </w:divBdr>
        </w:div>
        <w:div w:id="970134371">
          <w:marLeft w:val="0"/>
          <w:marRight w:val="0"/>
          <w:marTop w:val="0"/>
          <w:marBottom w:val="0"/>
          <w:divBdr>
            <w:top w:val="none" w:sz="0" w:space="0" w:color="auto"/>
            <w:left w:val="none" w:sz="0" w:space="0" w:color="auto"/>
            <w:bottom w:val="none" w:sz="0" w:space="0" w:color="auto"/>
            <w:right w:val="none" w:sz="0" w:space="0" w:color="auto"/>
          </w:divBdr>
        </w:div>
        <w:div w:id="973213360">
          <w:marLeft w:val="0"/>
          <w:marRight w:val="0"/>
          <w:marTop w:val="0"/>
          <w:marBottom w:val="0"/>
          <w:divBdr>
            <w:top w:val="none" w:sz="0" w:space="0" w:color="auto"/>
            <w:left w:val="none" w:sz="0" w:space="0" w:color="auto"/>
            <w:bottom w:val="none" w:sz="0" w:space="0" w:color="auto"/>
            <w:right w:val="none" w:sz="0" w:space="0" w:color="auto"/>
          </w:divBdr>
        </w:div>
        <w:div w:id="978265077">
          <w:marLeft w:val="0"/>
          <w:marRight w:val="0"/>
          <w:marTop w:val="0"/>
          <w:marBottom w:val="0"/>
          <w:divBdr>
            <w:top w:val="none" w:sz="0" w:space="0" w:color="auto"/>
            <w:left w:val="none" w:sz="0" w:space="0" w:color="auto"/>
            <w:bottom w:val="none" w:sz="0" w:space="0" w:color="auto"/>
            <w:right w:val="none" w:sz="0" w:space="0" w:color="auto"/>
          </w:divBdr>
        </w:div>
        <w:div w:id="979576848">
          <w:marLeft w:val="0"/>
          <w:marRight w:val="0"/>
          <w:marTop w:val="0"/>
          <w:marBottom w:val="0"/>
          <w:divBdr>
            <w:top w:val="none" w:sz="0" w:space="0" w:color="auto"/>
            <w:left w:val="none" w:sz="0" w:space="0" w:color="auto"/>
            <w:bottom w:val="none" w:sz="0" w:space="0" w:color="auto"/>
            <w:right w:val="none" w:sz="0" w:space="0" w:color="auto"/>
          </w:divBdr>
        </w:div>
        <w:div w:id="1016465061">
          <w:marLeft w:val="0"/>
          <w:marRight w:val="0"/>
          <w:marTop w:val="0"/>
          <w:marBottom w:val="0"/>
          <w:divBdr>
            <w:top w:val="none" w:sz="0" w:space="0" w:color="auto"/>
            <w:left w:val="none" w:sz="0" w:space="0" w:color="auto"/>
            <w:bottom w:val="none" w:sz="0" w:space="0" w:color="auto"/>
            <w:right w:val="none" w:sz="0" w:space="0" w:color="auto"/>
          </w:divBdr>
        </w:div>
        <w:div w:id="1017341631">
          <w:marLeft w:val="0"/>
          <w:marRight w:val="0"/>
          <w:marTop w:val="0"/>
          <w:marBottom w:val="0"/>
          <w:divBdr>
            <w:top w:val="none" w:sz="0" w:space="0" w:color="auto"/>
            <w:left w:val="none" w:sz="0" w:space="0" w:color="auto"/>
            <w:bottom w:val="none" w:sz="0" w:space="0" w:color="auto"/>
            <w:right w:val="none" w:sz="0" w:space="0" w:color="auto"/>
          </w:divBdr>
        </w:div>
        <w:div w:id="1037968510">
          <w:marLeft w:val="0"/>
          <w:marRight w:val="0"/>
          <w:marTop w:val="0"/>
          <w:marBottom w:val="0"/>
          <w:divBdr>
            <w:top w:val="none" w:sz="0" w:space="0" w:color="auto"/>
            <w:left w:val="none" w:sz="0" w:space="0" w:color="auto"/>
            <w:bottom w:val="none" w:sz="0" w:space="0" w:color="auto"/>
            <w:right w:val="none" w:sz="0" w:space="0" w:color="auto"/>
          </w:divBdr>
        </w:div>
        <w:div w:id="1038239873">
          <w:marLeft w:val="0"/>
          <w:marRight w:val="0"/>
          <w:marTop w:val="0"/>
          <w:marBottom w:val="0"/>
          <w:divBdr>
            <w:top w:val="none" w:sz="0" w:space="0" w:color="auto"/>
            <w:left w:val="none" w:sz="0" w:space="0" w:color="auto"/>
            <w:bottom w:val="none" w:sz="0" w:space="0" w:color="auto"/>
            <w:right w:val="none" w:sz="0" w:space="0" w:color="auto"/>
          </w:divBdr>
        </w:div>
        <w:div w:id="1041709467">
          <w:marLeft w:val="0"/>
          <w:marRight w:val="0"/>
          <w:marTop w:val="0"/>
          <w:marBottom w:val="0"/>
          <w:divBdr>
            <w:top w:val="none" w:sz="0" w:space="0" w:color="auto"/>
            <w:left w:val="none" w:sz="0" w:space="0" w:color="auto"/>
            <w:bottom w:val="none" w:sz="0" w:space="0" w:color="auto"/>
            <w:right w:val="none" w:sz="0" w:space="0" w:color="auto"/>
          </w:divBdr>
        </w:div>
        <w:div w:id="1042553451">
          <w:marLeft w:val="0"/>
          <w:marRight w:val="0"/>
          <w:marTop w:val="0"/>
          <w:marBottom w:val="0"/>
          <w:divBdr>
            <w:top w:val="none" w:sz="0" w:space="0" w:color="auto"/>
            <w:left w:val="none" w:sz="0" w:space="0" w:color="auto"/>
            <w:bottom w:val="none" w:sz="0" w:space="0" w:color="auto"/>
            <w:right w:val="none" w:sz="0" w:space="0" w:color="auto"/>
          </w:divBdr>
        </w:div>
        <w:div w:id="1053112771">
          <w:marLeft w:val="0"/>
          <w:marRight w:val="0"/>
          <w:marTop w:val="0"/>
          <w:marBottom w:val="0"/>
          <w:divBdr>
            <w:top w:val="none" w:sz="0" w:space="0" w:color="auto"/>
            <w:left w:val="none" w:sz="0" w:space="0" w:color="auto"/>
            <w:bottom w:val="none" w:sz="0" w:space="0" w:color="auto"/>
            <w:right w:val="none" w:sz="0" w:space="0" w:color="auto"/>
          </w:divBdr>
        </w:div>
        <w:div w:id="1054936301">
          <w:marLeft w:val="0"/>
          <w:marRight w:val="0"/>
          <w:marTop w:val="0"/>
          <w:marBottom w:val="0"/>
          <w:divBdr>
            <w:top w:val="none" w:sz="0" w:space="0" w:color="auto"/>
            <w:left w:val="none" w:sz="0" w:space="0" w:color="auto"/>
            <w:bottom w:val="none" w:sz="0" w:space="0" w:color="auto"/>
            <w:right w:val="none" w:sz="0" w:space="0" w:color="auto"/>
          </w:divBdr>
        </w:div>
        <w:div w:id="1058478915">
          <w:marLeft w:val="0"/>
          <w:marRight w:val="0"/>
          <w:marTop w:val="0"/>
          <w:marBottom w:val="0"/>
          <w:divBdr>
            <w:top w:val="none" w:sz="0" w:space="0" w:color="auto"/>
            <w:left w:val="none" w:sz="0" w:space="0" w:color="auto"/>
            <w:bottom w:val="none" w:sz="0" w:space="0" w:color="auto"/>
            <w:right w:val="none" w:sz="0" w:space="0" w:color="auto"/>
          </w:divBdr>
        </w:div>
        <w:div w:id="1071973130">
          <w:marLeft w:val="0"/>
          <w:marRight w:val="0"/>
          <w:marTop w:val="0"/>
          <w:marBottom w:val="0"/>
          <w:divBdr>
            <w:top w:val="none" w:sz="0" w:space="0" w:color="auto"/>
            <w:left w:val="none" w:sz="0" w:space="0" w:color="auto"/>
            <w:bottom w:val="none" w:sz="0" w:space="0" w:color="auto"/>
            <w:right w:val="none" w:sz="0" w:space="0" w:color="auto"/>
          </w:divBdr>
        </w:div>
        <w:div w:id="1089959190">
          <w:marLeft w:val="0"/>
          <w:marRight w:val="0"/>
          <w:marTop w:val="0"/>
          <w:marBottom w:val="0"/>
          <w:divBdr>
            <w:top w:val="none" w:sz="0" w:space="0" w:color="auto"/>
            <w:left w:val="none" w:sz="0" w:space="0" w:color="auto"/>
            <w:bottom w:val="none" w:sz="0" w:space="0" w:color="auto"/>
            <w:right w:val="none" w:sz="0" w:space="0" w:color="auto"/>
          </w:divBdr>
        </w:div>
        <w:div w:id="1101954962">
          <w:marLeft w:val="0"/>
          <w:marRight w:val="0"/>
          <w:marTop w:val="0"/>
          <w:marBottom w:val="0"/>
          <w:divBdr>
            <w:top w:val="none" w:sz="0" w:space="0" w:color="auto"/>
            <w:left w:val="none" w:sz="0" w:space="0" w:color="auto"/>
            <w:bottom w:val="none" w:sz="0" w:space="0" w:color="auto"/>
            <w:right w:val="none" w:sz="0" w:space="0" w:color="auto"/>
          </w:divBdr>
        </w:div>
        <w:div w:id="1102335061">
          <w:marLeft w:val="0"/>
          <w:marRight w:val="0"/>
          <w:marTop w:val="0"/>
          <w:marBottom w:val="0"/>
          <w:divBdr>
            <w:top w:val="none" w:sz="0" w:space="0" w:color="auto"/>
            <w:left w:val="none" w:sz="0" w:space="0" w:color="auto"/>
            <w:bottom w:val="none" w:sz="0" w:space="0" w:color="auto"/>
            <w:right w:val="none" w:sz="0" w:space="0" w:color="auto"/>
          </w:divBdr>
        </w:div>
        <w:div w:id="1102988774">
          <w:marLeft w:val="0"/>
          <w:marRight w:val="0"/>
          <w:marTop w:val="0"/>
          <w:marBottom w:val="0"/>
          <w:divBdr>
            <w:top w:val="none" w:sz="0" w:space="0" w:color="auto"/>
            <w:left w:val="none" w:sz="0" w:space="0" w:color="auto"/>
            <w:bottom w:val="none" w:sz="0" w:space="0" w:color="auto"/>
            <w:right w:val="none" w:sz="0" w:space="0" w:color="auto"/>
          </w:divBdr>
        </w:div>
        <w:div w:id="1103191402">
          <w:marLeft w:val="0"/>
          <w:marRight w:val="0"/>
          <w:marTop w:val="0"/>
          <w:marBottom w:val="0"/>
          <w:divBdr>
            <w:top w:val="none" w:sz="0" w:space="0" w:color="auto"/>
            <w:left w:val="none" w:sz="0" w:space="0" w:color="auto"/>
            <w:bottom w:val="none" w:sz="0" w:space="0" w:color="auto"/>
            <w:right w:val="none" w:sz="0" w:space="0" w:color="auto"/>
          </w:divBdr>
        </w:div>
        <w:div w:id="1106802404">
          <w:marLeft w:val="0"/>
          <w:marRight w:val="0"/>
          <w:marTop w:val="0"/>
          <w:marBottom w:val="0"/>
          <w:divBdr>
            <w:top w:val="none" w:sz="0" w:space="0" w:color="auto"/>
            <w:left w:val="none" w:sz="0" w:space="0" w:color="auto"/>
            <w:bottom w:val="none" w:sz="0" w:space="0" w:color="auto"/>
            <w:right w:val="none" w:sz="0" w:space="0" w:color="auto"/>
          </w:divBdr>
        </w:div>
        <w:div w:id="1132601235">
          <w:marLeft w:val="0"/>
          <w:marRight w:val="0"/>
          <w:marTop w:val="0"/>
          <w:marBottom w:val="0"/>
          <w:divBdr>
            <w:top w:val="none" w:sz="0" w:space="0" w:color="auto"/>
            <w:left w:val="none" w:sz="0" w:space="0" w:color="auto"/>
            <w:bottom w:val="none" w:sz="0" w:space="0" w:color="auto"/>
            <w:right w:val="none" w:sz="0" w:space="0" w:color="auto"/>
          </w:divBdr>
        </w:div>
        <w:div w:id="1136990891">
          <w:marLeft w:val="0"/>
          <w:marRight w:val="0"/>
          <w:marTop w:val="0"/>
          <w:marBottom w:val="0"/>
          <w:divBdr>
            <w:top w:val="none" w:sz="0" w:space="0" w:color="auto"/>
            <w:left w:val="none" w:sz="0" w:space="0" w:color="auto"/>
            <w:bottom w:val="none" w:sz="0" w:space="0" w:color="auto"/>
            <w:right w:val="none" w:sz="0" w:space="0" w:color="auto"/>
          </w:divBdr>
        </w:div>
        <w:div w:id="1142423642">
          <w:marLeft w:val="0"/>
          <w:marRight w:val="0"/>
          <w:marTop w:val="0"/>
          <w:marBottom w:val="0"/>
          <w:divBdr>
            <w:top w:val="none" w:sz="0" w:space="0" w:color="auto"/>
            <w:left w:val="none" w:sz="0" w:space="0" w:color="auto"/>
            <w:bottom w:val="none" w:sz="0" w:space="0" w:color="auto"/>
            <w:right w:val="none" w:sz="0" w:space="0" w:color="auto"/>
          </w:divBdr>
        </w:div>
        <w:div w:id="1143545904">
          <w:marLeft w:val="0"/>
          <w:marRight w:val="0"/>
          <w:marTop w:val="0"/>
          <w:marBottom w:val="0"/>
          <w:divBdr>
            <w:top w:val="none" w:sz="0" w:space="0" w:color="auto"/>
            <w:left w:val="none" w:sz="0" w:space="0" w:color="auto"/>
            <w:bottom w:val="none" w:sz="0" w:space="0" w:color="auto"/>
            <w:right w:val="none" w:sz="0" w:space="0" w:color="auto"/>
          </w:divBdr>
        </w:div>
        <w:div w:id="1219126077">
          <w:marLeft w:val="0"/>
          <w:marRight w:val="0"/>
          <w:marTop w:val="0"/>
          <w:marBottom w:val="0"/>
          <w:divBdr>
            <w:top w:val="none" w:sz="0" w:space="0" w:color="auto"/>
            <w:left w:val="none" w:sz="0" w:space="0" w:color="auto"/>
            <w:bottom w:val="none" w:sz="0" w:space="0" w:color="auto"/>
            <w:right w:val="none" w:sz="0" w:space="0" w:color="auto"/>
          </w:divBdr>
        </w:div>
        <w:div w:id="1235505051">
          <w:marLeft w:val="0"/>
          <w:marRight w:val="0"/>
          <w:marTop w:val="0"/>
          <w:marBottom w:val="0"/>
          <w:divBdr>
            <w:top w:val="none" w:sz="0" w:space="0" w:color="auto"/>
            <w:left w:val="none" w:sz="0" w:space="0" w:color="auto"/>
            <w:bottom w:val="none" w:sz="0" w:space="0" w:color="auto"/>
            <w:right w:val="none" w:sz="0" w:space="0" w:color="auto"/>
          </w:divBdr>
        </w:div>
        <w:div w:id="1244414930">
          <w:marLeft w:val="0"/>
          <w:marRight w:val="0"/>
          <w:marTop w:val="0"/>
          <w:marBottom w:val="0"/>
          <w:divBdr>
            <w:top w:val="none" w:sz="0" w:space="0" w:color="auto"/>
            <w:left w:val="none" w:sz="0" w:space="0" w:color="auto"/>
            <w:bottom w:val="none" w:sz="0" w:space="0" w:color="auto"/>
            <w:right w:val="none" w:sz="0" w:space="0" w:color="auto"/>
          </w:divBdr>
        </w:div>
        <w:div w:id="1246573327">
          <w:marLeft w:val="0"/>
          <w:marRight w:val="0"/>
          <w:marTop w:val="0"/>
          <w:marBottom w:val="0"/>
          <w:divBdr>
            <w:top w:val="none" w:sz="0" w:space="0" w:color="auto"/>
            <w:left w:val="none" w:sz="0" w:space="0" w:color="auto"/>
            <w:bottom w:val="none" w:sz="0" w:space="0" w:color="auto"/>
            <w:right w:val="none" w:sz="0" w:space="0" w:color="auto"/>
          </w:divBdr>
        </w:div>
        <w:div w:id="1251501907">
          <w:marLeft w:val="0"/>
          <w:marRight w:val="0"/>
          <w:marTop w:val="0"/>
          <w:marBottom w:val="0"/>
          <w:divBdr>
            <w:top w:val="none" w:sz="0" w:space="0" w:color="auto"/>
            <w:left w:val="none" w:sz="0" w:space="0" w:color="auto"/>
            <w:bottom w:val="none" w:sz="0" w:space="0" w:color="auto"/>
            <w:right w:val="none" w:sz="0" w:space="0" w:color="auto"/>
          </w:divBdr>
        </w:div>
        <w:div w:id="1254824616">
          <w:marLeft w:val="0"/>
          <w:marRight w:val="0"/>
          <w:marTop w:val="0"/>
          <w:marBottom w:val="0"/>
          <w:divBdr>
            <w:top w:val="none" w:sz="0" w:space="0" w:color="auto"/>
            <w:left w:val="none" w:sz="0" w:space="0" w:color="auto"/>
            <w:bottom w:val="none" w:sz="0" w:space="0" w:color="auto"/>
            <w:right w:val="none" w:sz="0" w:space="0" w:color="auto"/>
          </w:divBdr>
        </w:div>
        <w:div w:id="1277175509">
          <w:marLeft w:val="0"/>
          <w:marRight w:val="0"/>
          <w:marTop w:val="0"/>
          <w:marBottom w:val="0"/>
          <w:divBdr>
            <w:top w:val="none" w:sz="0" w:space="0" w:color="auto"/>
            <w:left w:val="none" w:sz="0" w:space="0" w:color="auto"/>
            <w:bottom w:val="none" w:sz="0" w:space="0" w:color="auto"/>
            <w:right w:val="none" w:sz="0" w:space="0" w:color="auto"/>
          </w:divBdr>
        </w:div>
        <w:div w:id="1285232351">
          <w:marLeft w:val="0"/>
          <w:marRight w:val="0"/>
          <w:marTop w:val="0"/>
          <w:marBottom w:val="0"/>
          <w:divBdr>
            <w:top w:val="none" w:sz="0" w:space="0" w:color="auto"/>
            <w:left w:val="none" w:sz="0" w:space="0" w:color="auto"/>
            <w:bottom w:val="none" w:sz="0" w:space="0" w:color="auto"/>
            <w:right w:val="none" w:sz="0" w:space="0" w:color="auto"/>
          </w:divBdr>
        </w:div>
        <w:div w:id="1303076674">
          <w:marLeft w:val="0"/>
          <w:marRight w:val="0"/>
          <w:marTop w:val="0"/>
          <w:marBottom w:val="0"/>
          <w:divBdr>
            <w:top w:val="none" w:sz="0" w:space="0" w:color="auto"/>
            <w:left w:val="none" w:sz="0" w:space="0" w:color="auto"/>
            <w:bottom w:val="none" w:sz="0" w:space="0" w:color="auto"/>
            <w:right w:val="none" w:sz="0" w:space="0" w:color="auto"/>
          </w:divBdr>
        </w:div>
        <w:div w:id="1305936610">
          <w:marLeft w:val="0"/>
          <w:marRight w:val="0"/>
          <w:marTop w:val="0"/>
          <w:marBottom w:val="0"/>
          <w:divBdr>
            <w:top w:val="none" w:sz="0" w:space="0" w:color="auto"/>
            <w:left w:val="none" w:sz="0" w:space="0" w:color="auto"/>
            <w:bottom w:val="none" w:sz="0" w:space="0" w:color="auto"/>
            <w:right w:val="none" w:sz="0" w:space="0" w:color="auto"/>
          </w:divBdr>
        </w:div>
        <w:div w:id="1316686427">
          <w:marLeft w:val="0"/>
          <w:marRight w:val="0"/>
          <w:marTop w:val="0"/>
          <w:marBottom w:val="0"/>
          <w:divBdr>
            <w:top w:val="none" w:sz="0" w:space="0" w:color="auto"/>
            <w:left w:val="none" w:sz="0" w:space="0" w:color="auto"/>
            <w:bottom w:val="none" w:sz="0" w:space="0" w:color="auto"/>
            <w:right w:val="none" w:sz="0" w:space="0" w:color="auto"/>
          </w:divBdr>
        </w:div>
        <w:div w:id="1317875247">
          <w:marLeft w:val="0"/>
          <w:marRight w:val="0"/>
          <w:marTop w:val="0"/>
          <w:marBottom w:val="0"/>
          <w:divBdr>
            <w:top w:val="none" w:sz="0" w:space="0" w:color="auto"/>
            <w:left w:val="none" w:sz="0" w:space="0" w:color="auto"/>
            <w:bottom w:val="none" w:sz="0" w:space="0" w:color="auto"/>
            <w:right w:val="none" w:sz="0" w:space="0" w:color="auto"/>
          </w:divBdr>
        </w:div>
        <w:div w:id="1325281083">
          <w:marLeft w:val="0"/>
          <w:marRight w:val="0"/>
          <w:marTop w:val="0"/>
          <w:marBottom w:val="0"/>
          <w:divBdr>
            <w:top w:val="none" w:sz="0" w:space="0" w:color="auto"/>
            <w:left w:val="none" w:sz="0" w:space="0" w:color="auto"/>
            <w:bottom w:val="none" w:sz="0" w:space="0" w:color="auto"/>
            <w:right w:val="none" w:sz="0" w:space="0" w:color="auto"/>
          </w:divBdr>
        </w:div>
        <w:div w:id="1353074418">
          <w:marLeft w:val="0"/>
          <w:marRight w:val="0"/>
          <w:marTop w:val="0"/>
          <w:marBottom w:val="0"/>
          <w:divBdr>
            <w:top w:val="none" w:sz="0" w:space="0" w:color="auto"/>
            <w:left w:val="none" w:sz="0" w:space="0" w:color="auto"/>
            <w:bottom w:val="none" w:sz="0" w:space="0" w:color="auto"/>
            <w:right w:val="none" w:sz="0" w:space="0" w:color="auto"/>
          </w:divBdr>
        </w:div>
        <w:div w:id="1359163230">
          <w:marLeft w:val="0"/>
          <w:marRight w:val="0"/>
          <w:marTop w:val="0"/>
          <w:marBottom w:val="0"/>
          <w:divBdr>
            <w:top w:val="none" w:sz="0" w:space="0" w:color="auto"/>
            <w:left w:val="none" w:sz="0" w:space="0" w:color="auto"/>
            <w:bottom w:val="none" w:sz="0" w:space="0" w:color="auto"/>
            <w:right w:val="none" w:sz="0" w:space="0" w:color="auto"/>
          </w:divBdr>
        </w:div>
        <w:div w:id="1368221105">
          <w:marLeft w:val="0"/>
          <w:marRight w:val="0"/>
          <w:marTop w:val="0"/>
          <w:marBottom w:val="0"/>
          <w:divBdr>
            <w:top w:val="none" w:sz="0" w:space="0" w:color="auto"/>
            <w:left w:val="none" w:sz="0" w:space="0" w:color="auto"/>
            <w:bottom w:val="none" w:sz="0" w:space="0" w:color="auto"/>
            <w:right w:val="none" w:sz="0" w:space="0" w:color="auto"/>
          </w:divBdr>
        </w:div>
        <w:div w:id="1393039468">
          <w:marLeft w:val="0"/>
          <w:marRight w:val="0"/>
          <w:marTop w:val="0"/>
          <w:marBottom w:val="0"/>
          <w:divBdr>
            <w:top w:val="none" w:sz="0" w:space="0" w:color="auto"/>
            <w:left w:val="none" w:sz="0" w:space="0" w:color="auto"/>
            <w:bottom w:val="none" w:sz="0" w:space="0" w:color="auto"/>
            <w:right w:val="none" w:sz="0" w:space="0" w:color="auto"/>
          </w:divBdr>
        </w:div>
        <w:div w:id="1395545198">
          <w:marLeft w:val="0"/>
          <w:marRight w:val="0"/>
          <w:marTop w:val="0"/>
          <w:marBottom w:val="0"/>
          <w:divBdr>
            <w:top w:val="none" w:sz="0" w:space="0" w:color="auto"/>
            <w:left w:val="none" w:sz="0" w:space="0" w:color="auto"/>
            <w:bottom w:val="none" w:sz="0" w:space="0" w:color="auto"/>
            <w:right w:val="none" w:sz="0" w:space="0" w:color="auto"/>
          </w:divBdr>
        </w:div>
        <w:div w:id="1457407666">
          <w:marLeft w:val="0"/>
          <w:marRight w:val="0"/>
          <w:marTop w:val="0"/>
          <w:marBottom w:val="0"/>
          <w:divBdr>
            <w:top w:val="none" w:sz="0" w:space="0" w:color="auto"/>
            <w:left w:val="none" w:sz="0" w:space="0" w:color="auto"/>
            <w:bottom w:val="none" w:sz="0" w:space="0" w:color="auto"/>
            <w:right w:val="none" w:sz="0" w:space="0" w:color="auto"/>
          </w:divBdr>
        </w:div>
        <w:div w:id="1465392240">
          <w:marLeft w:val="0"/>
          <w:marRight w:val="0"/>
          <w:marTop w:val="0"/>
          <w:marBottom w:val="0"/>
          <w:divBdr>
            <w:top w:val="none" w:sz="0" w:space="0" w:color="auto"/>
            <w:left w:val="none" w:sz="0" w:space="0" w:color="auto"/>
            <w:bottom w:val="none" w:sz="0" w:space="0" w:color="auto"/>
            <w:right w:val="none" w:sz="0" w:space="0" w:color="auto"/>
          </w:divBdr>
        </w:div>
        <w:div w:id="1466239270">
          <w:marLeft w:val="0"/>
          <w:marRight w:val="0"/>
          <w:marTop w:val="0"/>
          <w:marBottom w:val="0"/>
          <w:divBdr>
            <w:top w:val="none" w:sz="0" w:space="0" w:color="auto"/>
            <w:left w:val="none" w:sz="0" w:space="0" w:color="auto"/>
            <w:bottom w:val="none" w:sz="0" w:space="0" w:color="auto"/>
            <w:right w:val="none" w:sz="0" w:space="0" w:color="auto"/>
          </w:divBdr>
        </w:div>
        <w:div w:id="1470250093">
          <w:marLeft w:val="0"/>
          <w:marRight w:val="0"/>
          <w:marTop w:val="0"/>
          <w:marBottom w:val="0"/>
          <w:divBdr>
            <w:top w:val="none" w:sz="0" w:space="0" w:color="auto"/>
            <w:left w:val="none" w:sz="0" w:space="0" w:color="auto"/>
            <w:bottom w:val="none" w:sz="0" w:space="0" w:color="auto"/>
            <w:right w:val="none" w:sz="0" w:space="0" w:color="auto"/>
          </w:divBdr>
        </w:div>
        <w:div w:id="1478380828">
          <w:marLeft w:val="0"/>
          <w:marRight w:val="0"/>
          <w:marTop w:val="0"/>
          <w:marBottom w:val="0"/>
          <w:divBdr>
            <w:top w:val="none" w:sz="0" w:space="0" w:color="auto"/>
            <w:left w:val="none" w:sz="0" w:space="0" w:color="auto"/>
            <w:bottom w:val="none" w:sz="0" w:space="0" w:color="auto"/>
            <w:right w:val="none" w:sz="0" w:space="0" w:color="auto"/>
          </w:divBdr>
        </w:div>
        <w:div w:id="1495100320">
          <w:marLeft w:val="0"/>
          <w:marRight w:val="0"/>
          <w:marTop w:val="0"/>
          <w:marBottom w:val="0"/>
          <w:divBdr>
            <w:top w:val="none" w:sz="0" w:space="0" w:color="auto"/>
            <w:left w:val="none" w:sz="0" w:space="0" w:color="auto"/>
            <w:bottom w:val="none" w:sz="0" w:space="0" w:color="auto"/>
            <w:right w:val="none" w:sz="0" w:space="0" w:color="auto"/>
          </w:divBdr>
        </w:div>
        <w:div w:id="1510369562">
          <w:marLeft w:val="0"/>
          <w:marRight w:val="0"/>
          <w:marTop w:val="0"/>
          <w:marBottom w:val="0"/>
          <w:divBdr>
            <w:top w:val="none" w:sz="0" w:space="0" w:color="auto"/>
            <w:left w:val="none" w:sz="0" w:space="0" w:color="auto"/>
            <w:bottom w:val="none" w:sz="0" w:space="0" w:color="auto"/>
            <w:right w:val="none" w:sz="0" w:space="0" w:color="auto"/>
          </w:divBdr>
        </w:div>
        <w:div w:id="1533885092">
          <w:marLeft w:val="0"/>
          <w:marRight w:val="0"/>
          <w:marTop w:val="0"/>
          <w:marBottom w:val="0"/>
          <w:divBdr>
            <w:top w:val="none" w:sz="0" w:space="0" w:color="auto"/>
            <w:left w:val="none" w:sz="0" w:space="0" w:color="auto"/>
            <w:bottom w:val="none" w:sz="0" w:space="0" w:color="auto"/>
            <w:right w:val="none" w:sz="0" w:space="0" w:color="auto"/>
          </w:divBdr>
        </w:div>
        <w:div w:id="1535457988">
          <w:marLeft w:val="0"/>
          <w:marRight w:val="0"/>
          <w:marTop w:val="0"/>
          <w:marBottom w:val="0"/>
          <w:divBdr>
            <w:top w:val="none" w:sz="0" w:space="0" w:color="auto"/>
            <w:left w:val="none" w:sz="0" w:space="0" w:color="auto"/>
            <w:bottom w:val="none" w:sz="0" w:space="0" w:color="auto"/>
            <w:right w:val="none" w:sz="0" w:space="0" w:color="auto"/>
          </w:divBdr>
        </w:div>
        <w:div w:id="1575817884">
          <w:marLeft w:val="0"/>
          <w:marRight w:val="0"/>
          <w:marTop w:val="0"/>
          <w:marBottom w:val="0"/>
          <w:divBdr>
            <w:top w:val="none" w:sz="0" w:space="0" w:color="auto"/>
            <w:left w:val="none" w:sz="0" w:space="0" w:color="auto"/>
            <w:bottom w:val="none" w:sz="0" w:space="0" w:color="auto"/>
            <w:right w:val="none" w:sz="0" w:space="0" w:color="auto"/>
          </w:divBdr>
        </w:div>
        <w:div w:id="1577546136">
          <w:marLeft w:val="0"/>
          <w:marRight w:val="0"/>
          <w:marTop w:val="0"/>
          <w:marBottom w:val="0"/>
          <w:divBdr>
            <w:top w:val="none" w:sz="0" w:space="0" w:color="auto"/>
            <w:left w:val="none" w:sz="0" w:space="0" w:color="auto"/>
            <w:bottom w:val="none" w:sz="0" w:space="0" w:color="auto"/>
            <w:right w:val="none" w:sz="0" w:space="0" w:color="auto"/>
          </w:divBdr>
        </w:div>
        <w:div w:id="1584677882">
          <w:marLeft w:val="0"/>
          <w:marRight w:val="0"/>
          <w:marTop w:val="0"/>
          <w:marBottom w:val="0"/>
          <w:divBdr>
            <w:top w:val="none" w:sz="0" w:space="0" w:color="auto"/>
            <w:left w:val="none" w:sz="0" w:space="0" w:color="auto"/>
            <w:bottom w:val="none" w:sz="0" w:space="0" w:color="auto"/>
            <w:right w:val="none" w:sz="0" w:space="0" w:color="auto"/>
          </w:divBdr>
        </w:div>
        <w:div w:id="1586377820">
          <w:marLeft w:val="0"/>
          <w:marRight w:val="0"/>
          <w:marTop w:val="0"/>
          <w:marBottom w:val="0"/>
          <w:divBdr>
            <w:top w:val="none" w:sz="0" w:space="0" w:color="auto"/>
            <w:left w:val="none" w:sz="0" w:space="0" w:color="auto"/>
            <w:bottom w:val="none" w:sz="0" w:space="0" w:color="auto"/>
            <w:right w:val="none" w:sz="0" w:space="0" w:color="auto"/>
          </w:divBdr>
        </w:div>
        <w:div w:id="1629775380">
          <w:marLeft w:val="0"/>
          <w:marRight w:val="0"/>
          <w:marTop w:val="0"/>
          <w:marBottom w:val="0"/>
          <w:divBdr>
            <w:top w:val="none" w:sz="0" w:space="0" w:color="auto"/>
            <w:left w:val="none" w:sz="0" w:space="0" w:color="auto"/>
            <w:bottom w:val="none" w:sz="0" w:space="0" w:color="auto"/>
            <w:right w:val="none" w:sz="0" w:space="0" w:color="auto"/>
          </w:divBdr>
        </w:div>
        <w:div w:id="1633712035">
          <w:marLeft w:val="0"/>
          <w:marRight w:val="0"/>
          <w:marTop w:val="0"/>
          <w:marBottom w:val="0"/>
          <w:divBdr>
            <w:top w:val="none" w:sz="0" w:space="0" w:color="auto"/>
            <w:left w:val="none" w:sz="0" w:space="0" w:color="auto"/>
            <w:bottom w:val="none" w:sz="0" w:space="0" w:color="auto"/>
            <w:right w:val="none" w:sz="0" w:space="0" w:color="auto"/>
          </w:divBdr>
        </w:div>
        <w:div w:id="1667437939">
          <w:marLeft w:val="0"/>
          <w:marRight w:val="0"/>
          <w:marTop w:val="0"/>
          <w:marBottom w:val="0"/>
          <w:divBdr>
            <w:top w:val="none" w:sz="0" w:space="0" w:color="auto"/>
            <w:left w:val="none" w:sz="0" w:space="0" w:color="auto"/>
            <w:bottom w:val="none" w:sz="0" w:space="0" w:color="auto"/>
            <w:right w:val="none" w:sz="0" w:space="0" w:color="auto"/>
          </w:divBdr>
        </w:div>
        <w:div w:id="1733456910">
          <w:marLeft w:val="0"/>
          <w:marRight w:val="0"/>
          <w:marTop w:val="0"/>
          <w:marBottom w:val="0"/>
          <w:divBdr>
            <w:top w:val="none" w:sz="0" w:space="0" w:color="auto"/>
            <w:left w:val="none" w:sz="0" w:space="0" w:color="auto"/>
            <w:bottom w:val="none" w:sz="0" w:space="0" w:color="auto"/>
            <w:right w:val="none" w:sz="0" w:space="0" w:color="auto"/>
          </w:divBdr>
        </w:div>
        <w:div w:id="1749959925">
          <w:marLeft w:val="0"/>
          <w:marRight w:val="0"/>
          <w:marTop w:val="0"/>
          <w:marBottom w:val="0"/>
          <w:divBdr>
            <w:top w:val="none" w:sz="0" w:space="0" w:color="auto"/>
            <w:left w:val="none" w:sz="0" w:space="0" w:color="auto"/>
            <w:bottom w:val="none" w:sz="0" w:space="0" w:color="auto"/>
            <w:right w:val="none" w:sz="0" w:space="0" w:color="auto"/>
          </w:divBdr>
        </w:div>
        <w:div w:id="1770003399">
          <w:marLeft w:val="0"/>
          <w:marRight w:val="0"/>
          <w:marTop w:val="0"/>
          <w:marBottom w:val="0"/>
          <w:divBdr>
            <w:top w:val="none" w:sz="0" w:space="0" w:color="auto"/>
            <w:left w:val="none" w:sz="0" w:space="0" w:color="auto"/>
            <w:bottom w:val="none" w:sz="0" w:space="0" w:color="auto"/>
            <w:right w:val="none" w:sz="0" w:space="0" w:color="auto"/>
          </w:divBdr>
        </w:div>
        <w:div w:id="1774856603">
          <w:marLeft w:val="0"/>
          <w:marRight w:val="0"/>
          <w:marTop w:val="0"/>
          <w:marBottom w:val="0"/>
          <w:divBdr>
            <w:top w:val="none" w:sz="0" w:space="0" w:color="auto"/>
            <w:left w:val="none" w:sz="0" w:space="0" w:color="auto"/>
            <w:bottom w:val="none" w:sz="0" w:space="0" w:color="auto"/>
            <w:right w:val="none" w:sz="0" w:space="0" w:color="auto"/>
          </w:divBdr>
        </w:div>
        <w:div w:id="1787698055">
          <w:marLeft w:val="0"/>
          <w:marRight w:val="0"/>
          <w:marTop w:val="0"/>
          <w:marBottom w:val="0"/>
          <w:divBdr>
            <w:top w:val="none" w:sz="0" w:space="0" w:color="auto"/>
            <w:left w:val="none" w:sz="0" w:space="0" w:color="auto"/>
            <w:bottom w:val="none" w:sz="0" w:space="0" w:color="auto"/>
            <w:right w:val="none" w:sz="0" w:space="0" w:color="auto"/>
          </w:divBdr>
        </w:div>
        <w:div w:id="1791703938">
          <w:marLeft w:val="0"/>
          <w:marRight w:val="0"/>
          <w:marTop w:val="0"/>
          <w:marBottom w:val="0"/>
          <w:divBdr>
            <w:top w:val="none" w:sz="0" w:space="0" w:color="auto"/>
            <w:left w:val="none" w:sz="0" w:space="0" w:color="auto"/>
            <w:bottom w:val="none" w:sz="0" w:space="0" w:color="auto"/>
            <w:right w:val="none" w:sz="0" w:space="0" w:color="auto"/>
          </w:divBdr>
        </w:div>
        <w:div w:id="1816874440">
          <w:marLeft w:val="0"/>
          <w:marRight w:val="0"/>
          <w:marTop w:val="0"/>
          <w:marBottom w:val="0"/>
          <w:divBdr>
            <w:top w:val="none" w:sz="0" w:space="0" w:color="auto"/>
            <w:left w:val="none" w:sz="0" w:space="0" w:color="auto"/>
            <w:bottom w:val="none" w:sz="0" w:space="0" w:color="auto"/>
            <w:right w:val="none" w:sz="0" w:space="0" w:color="auto"/>
          </w:divBdr>
        </w:div>
        <w:div w:id="1828205646">
          <w:marLeft w:val="0"/>
          <w:marRight w:val="0"/>
          <w:marTop w:val="0"/>
          <w:marBottom w:val="0"/>
          <w:divBdr>
            <w:top w:val="none" w:sz="0" w:space="0" w:color="auto"/>
            <w:left w:val="none" w:sz="0" w:space="0" w:color="auto"/>
            <w:bottom w:val="none" w:sz="0" w:space="0" w:color="auto"/>
            <w:right w:val="none" w:sz="0" w:space="0" w:color="auto"/>
          </w:divBdr>
        </w:div>
        <w:div w:id="1829980147">
          <w:marLeft w:val="0"/>
          <w:marRight w:val="0"/>
          <w:marTop w:val="0"/>
          <w:marBottom w:val="0"/>
          <w:divBdr>
            <w:top w:val="none" w:sz="0" w:space="0" w:color="auto"/>
            <w:left w:val="none" w:sz="0" w:space="0" w:color="auto"/>
            <w:bottom w:val="none" w:sz="0" w:space="0" w:color="auto"/>
            <w:right w:val="none" w:sz="0" w:space="0" w:color="auto"/>
          </w:divBdr>
        </w:div>
        <w:div w:id="1874925563">
          <w:marLeft w:val="0"/>
          <w:marRight w:val="0"/>
          <w:marTop w:val="0"/>
          <w:marBottom w:val="0"/>
          <w:divBdr>
            <w:top w:val="none" w:sz="0" w:space="0" w:color="auto"/>
            <w:left w:val="none" w:sz="0" w:space="0" w:color="auto"/>
            <w:bottom w:val="none" w:sz="0" w:space="0" w:color="auto"/>
            <w:right w:val="none" w:sz="0" w:space="0" w:color="auto"/>
          </w:divBdr>
        </w:div>
        <w:div w:id="1878546772">
          <w:marLeft w:val="0"/>
          <w:marRight w:val="0"/>
          <w:marTop w:val="0"/>
          <w:marBottom w:val="0"/>
          <w:divBdr>
            <w:top w:val="none" w:sz="0" w:space="0" w:color="auto"/>
            <w:left w:val="none" w:sz="0" w:space="0" w:color="auto"/>
            <w:bottom w:val="none" w:sz="0" w:space="0" w:color="auto"/>
            <w:right w:val="none" w:sz="0" w:space="0" w:color="auto"/>
          </w:divBdr>
        </w:div>
        <w:div w:id="1881546846">
          <w:marLeft w:val="0"/>
          <w:marRight w:val="0"/>
          <w:marTop w:val="0"/>
          <w:marBottom w:val="0"/>
          <w:divBdr>
            <w:top w:val="none" w:sz="0" w:space="0" w:color="auto"/>
            <w:left w:val="none" w:sz="0" w:space="0" w:color="auto"/>
            <w:bottom w:val="none" w:sz="0" w:space="0" w:color="auto"/>
            <w:right w:val="none" w:sz="0" w:space="0" w:color="auto"/>
          </w:divBdr>
        </w:div>
        <w:div w:id="1901330732">
          <w:marLeft w:val="0"/>
          <w:marRight w:val="0"/>
          <w:marTop w:val="0"/>
          <w:marBottom w:val="0"/>
          <w:divBdr>
            <w:top w:val="none" w:sz="0" w:space="0" w:color="auto"/>
            <w:left w:val="none" w:sz="0" w:space="0" w:color="auto"/>
            <w:bottom w:val="none" w:sz="0" w:space="0" w:color="auto"/>
            <w:right w:val="none" w:sz="0" w:space="0" w:color="auto"/>
          </w:divBdr>
        </w:div>
        <w:div w:id="1903786684">
          <w:marLeft w:val="0"/>
          <w:marRight w:val="0"/>
          <w:marTop w:val="0"/>
          <w:marBottom w:val="0"/>
          <w:divBdr>
            <w:top w:val="none" w:sz="0" w:space="0" w:color="auto"/>
            <w:left w:val="none" w:sz="0" w:space="0" w:color="auto"/>
            <w:bottom w:val="none" w:sz="0" w:space="0" w:color="auto"/>
            <w:right w:val="none" w:sz="0" w:space="0" w:color="auto"/>
          </w:divBdr>
        </w:div>
        <w:div w:id="1906211368">
          <w:marLeft w:val="0"/>
          <w:marRight w:val="0"/>
          <w:marTop w:val="0"/>
          <w:marBottom w:val="0"/>
          <w:divBdr>
            <w:top w:val="none" w:sz="0" w:space="0" w:color="auto"/>
            <w:left w:val="none" w:sz="0" w:space="0" w:color="auto"/>
            <w:bottom w:val="none" w:sz="0" w:space="0" w:color="auto"/>
            <w:right w:val="none" w:sz="0" w:space="0" w:color="auto"/>
          </w:divBdr>
        </w:div>
        <w:div w:id="1945460596">
          <w:marLeft w:val="0"/>
          <w:marRight w:val="0"/>
          <w:marTop w:val="0"/>
          <w:marBottom w:val="0"/>
          <w:divBdr>
            <w:top w:val="none" w:sz="0" w:space="0" w:color="auto"/>
            <w:left w:val="none" w:sz="0" w:space="0" w:color="auto"/>
            <w:bottom w:val="none" w:sz="0" w:space="0" w:color="auto"/>
            <w:right w:val="none" w:sz="0" w:space="0" w:color="auto"/>
          </w:divBdr>
        </w:div>
        <w:div w:id="1991667687">
          <w:marLeft w:val="0"/>
          <w:marRight w:val="0"/>
          <w:marTop w:val="0"/>
          <w:marBottom w:val="0"/>
          <w:divBdr>
            <w:top w:val="none" w:sz="0" w:space="0" w:color="auto"/>
            <w:left w:val="none" w:sz="0" w:space="0" w:color="auto"/>
            <w:bottom w:val="none" w:sz="0" w:space="0" w:color="auto"/>
            <w:right w:val="none" w:sz="0" w:space="0" w:color="auto"/>
          </w:divBdr>
        </w:div>
        <w:div w:id="1993099827">
          <w:marLeft w:val="0"/>
          <w:marRight w:val="0"/>
          <w:marTop w:val="0"/>
          <w:marBottom w:val="0"/>
          <w:divBdr>
            <w:top w:val="none" w:sz="0" w:space="0" w:color="auto"/>
            <w:left w:val="none" w:sz="0" w:space="0" w:color="auto"/>
            <w:bottom w:val="none" w:sz="0" w:space="0" w:color="auto"/>
            <w:right w:val="none" w:sz="0" w:space="0" w:color="auto"/>
          </w:divBdr>
        </w:div>
        <w:div w:id="2004041719">
          <w:marLeft w:val="0"/>
          <w:marRight w:val="0"/>
          <w:marTop w:val="0"/>
          <w:marBottom w:val="0"/>
          <w:divBdr>
            <w:top w:val="none" w:sz="0" w:space="0" w:color="auto"/>
            <w:left w:val="none" w:sz="0" w:space="0" w:color="auto"/>
            <w:bottom w:val="none" w:sz="0" w:space="0" w:color="auto"/>
            <w:right w:val="none" w:sz="0" w:space="0" w:color="auto"/>
          </w:divBdr>
        </w:div>
        <w:div w:id="2013216645">
          <w:marLeft w:val="0"/>
          <w:marRight w:val="0"/>
          <w:marTop w:val="0"/>
          <w:marBottom w:val="0"/>
          <w:divBdr>
            <w:top w:val="none" w:sz="0" w:space="0" w:color="auto"/>
            <w:left w:val="none" w:sz="0" w:space="0" w:color="auto"/>
            <w:bottom w:val="none" w:sz="0" w:space="0" w:color="auto"/>
            <w:right w:val="none" w:sz="0" w:space="0" w:color="auto"/>
          </w:divBdr>
        </w:div>
        <w:div w:id="2014916150">
          <w:marLeft w:val="0"/>
          <w:marRight w:val="0"/>
          <w:marTop w:val="0"/>
          <w:marBottom w:val="0"/>
          <w:divBdr>
            <w:top w:val="none" w:sz="0" w:space="0" w:color="auto"/>
            <w:left w:val="none" w:sz="0" w:space="0" w:color="auto"/>
            <w:bottom w:val="none" w:sz="0" w:space="0" w:color="auto"/>
            <w:right w:val="none" w:sz="0" w:space="0" w:color="auto"/>
          </w:divBdr>
        </w:div>
      </w:divsChild>
    </w:div>
    <w:div w:id="358702262">
      <w:bodyDiv w:val="1"/>
      <w:marLeft w:val="0"/>
      <w:marRight w:val="0"/>
      <w:marTop w:val="0"/>
      <w:marBottom w:val="0"/>
      <w:divBdr>
        <w:top w:val="none" w:sz="0" w:space="0" w:color="auto"/>
        <w:left w:val="none" w:sz="0" w:space="0" w:color="auto"/>
        <w:bottom w:val="none" w:sz="0" w:space="0" w:color="auto"/>
        <w:right w:val="none" w:sz="0" w:space="0" w:color="auto"/>
      </w:divBdr>
    </w:div>
    <w:div w:id="358749722">
      <w:bodyDiv w:val="1"/>
      <w:marLeft w:val="0"/>
      <w:marRight w:val="0"/>
      <w:marTop w:val="0"/>
      <w:marBottom w:val="0"/>
      <w:divBdr>
        <w:top w:val="none" w:sz="0" w:space="0" w:color="auto"/>
        <w:left w:val="none" w:sz="0" w:space="0" w:color="auto"/>
        <w:bottom w:val="none" w:sz="0" w:space="0" w:color="auto"/>
        <w:right w:val="none" w:sz="0" w:space="0" w:color="auto"/>
      </w:divBdr>
    </w:div>
    <w:div w:id="358821610">
      <w:bodyDiv w:val="1"/>
      <w:marLeft w:val="0"/>
      <w:marRight w:val="0"/>
      <w:marTop w:val="0"/>
      <w:marBottom w:val="0"/>
      <w:divBdr>
        <w:top w:val="none" w:sz="0" w:space="0" w:color="auto"/>
        <w:left w:val="none" w:sz="0" w:space="0" w:color="auto"/>
        <w:bottom w:val="none" w:sz="0" w:space="0" w:color="auto"/>
        <w:right w:val="none" w:sz="0" w:space="0" w:color="auto"/>
      </w:divBdr>
    </w:div>
    <w:div w:id="358968055">
      <w:bodyDiv w:val="1"/>
      <w:marLeft w:val="0"/>
      <w:marRight w:val="0"/>
      <w:marTop w:val="0"/>
      <w:marBottom w:val="0"/>
      <w:divBdr>
        <w:top w:val="none" w:sz="0" w:space="0" w:color="auto"/>
        <w:left w:val="none" w:sz="0" w:space="0" w:color="auto"/>
        <w:bottom w:val="none" w:sz="0" w:space="0" w:color="auto"/>
        <w:right w:val="none" w:sz="0" w:space="0" w:color="auto"/>
      </w:divBdr>
    </w:div>
    <w:div w:id="359162190">
      <w:bodyDiv w:val="1"/>
      <w:marLeft w:val="0"/>
      <w:marRight w:val="0"/>
      <w:marTop w:val="0"/>
      <w:marBottom w:val="0"/>
      <w:divBdr>
        <w:top w:val="none" w:sz="0" w:space="0" w:color="auto"/>
        <w:left w:val="none" w:sz="0" w:space="0" w:color="auto"/>
        <w:bottom w:val="none" w:sz="0" w:space="0" w:color="auto"/>
        <w:right w:val="none" w:sz="0" w:space="0" w:color="auto"/>
      </w:divBdr>
    </w:div>
    <w:div w:id="359208726">
      <w:bodyDiv w:val="1"/>
      <w:marLeft w:val="0"/>
      <w:marRight w:val="0"/>
      <w:marTop w:val="0"/>
      <w:marBottom w:val="0"/>
      <w:divBdr>
        <w:top w:val="none" w:sz="0" w:space="0" w:color="auto"/>
        <w:left w:val="none" w:sz="0" w:space="0" w:color="auto"/>
        <w:bottom w:val="none" w:sz="0" w:space="0" w:color="auto"/>
        <w:right w:val="none" w:sz="0" w:space="0" w:color="auto"/>
      </w:divBdr>
    </w:div>
    <w:div w:id="359278476">
      <w:bodyDiv w:val="1"/>
      <w:marLeft w:val="0"/>
      <w:marRight w:val="0"/>
      <w:marTop w:val="0"/>
      <w:marBottom w:val="0"/>
      <w:divBdr>
        <w:top w:val="none" w:sz="0" w:space="0" w:color="auto"/>
        <w:left w:val="none" w:sz="0" w:space="0" w:color="auto"/>
        <w:bottom w:val="none" w:sz="0" w:space="0" w:color="auto"/>
        <w:right w:val="none" w:sz="0" w:space="0" w:color="auto"/>
      </w:divBdr>
    </w:div>
    <w:div w:id="359283454">
      <w:bodyDiv w:val="1"/>
      <w:marLeft w:val="0"/>
      <w:marRight w:val="0"/>
      <w:marTop w:val="0"/>
      <w:marBottom w:val="0"/>
      <w:divBdr>
        <w:top w:val="none" w:sz="0" w:space="0" w:color="auto"/>
        <w:left w:val="none" w:sz="0" w:space="0" w:color="auto"/>
        <w:bottom w:val="none" w:sz="0" w:space="0" w:color="auto"/>
        <w:right w:val="none" w:sz="0" w:space="0" w:color="auto"/>
      </w:divBdr>
    </w:div>
    <w:div w:id="359361266">
      <w:bodyDiv w:val="1"/>
      <w:marLeft w:val="0"/>
      <w:marRight w:val="0"/>
      <w:marTop w:val="0"/>
      <w:marBottom w:val="0"/>
      <w:divBdr>
        <w:top w:val="none" w:sz="0" w:space="0" w:color="auto"/>
        <w:left w:val="none" w:sz="0" w:space="0" w:color="auto"/>
        <w:bottom w:val="none" w:sz="0" w:space="0" w:color="auto"/>
        <w:right w:val="none" w:sz="0" w:space="0" w:color="auto"/>
      </w:divBdr>
    </w:div>
    <w:div w:id="359361933">
      <w:bodyDiv w:val="1"/>
      <w:marLeft w:val="0"/>
      <w:marRight w:val="0"/>
      <w:marTop w:val="0"/>
      <w:marBottom w:val="0"/>
      <w:divBdr>
        <w:top w:val="none" w:sz="0" w:space="0" w:color="auto"/>
        <w:left w:val="none" w:sz="0" w:space="0" w:color="auto"/>
        <w:bottom w:val="none" w:sz="0" w:space="0" w:color="auto"/>
        <w:right w:val="none" w:sz="0" w:space="0" w:color="auto"/>
      </w:divBdr>
    </w:div>
    <w:div w:id="359596772">
      <w:bodyDiv w:val="1"/>
      <w:marLeft w:val="0"/>
      <w:marRight w:val="0"/>
      <w:marTop w:val="0"/>
      <w:marBottom w:val="0"/>
      <w:divBdr>
        <w:top w:val="none" w:sz="0" w:space="0" w:color="auto"/>
        <w:left w:val="none" w:sz="0" w:space="0" w:color="auto"/>
        <w:bottom w:val="none" w:sz="0" w:space="0" w:color="auto"/>
        <w:right w:val="none" w:sz="0" w:space="0" w:color="auto"/>
      </w:divBdr>
    </w:div>
    <w:div w:id="359598172">
      <w:bodyDiv w:val="1"/>
      <w:marLeft w:val="0"/>
      <w:marRight w:val="0"/>
      <w:marTop w:val="0"/>
      <w:marBottom w:val="0"/>
      <w:divBdr>
        <w:top w:val="none" w:sz="0" w:space="0" w:color="auto"/>
        <w:left w:val="none" w:sz="0" w:space="0" w:color="auto"/>
        <w:bottom w:val="none" w:sz="0" w:space="0" w:color="auto"/>
        <w:right w:val="none" w:sz="0" w:space="0" w:color="auto"/>
      </w:divBdr>
    </w:div>
    <w:div w:id="359625733">
      <w:bodyDiv w:val="1"/>
      <w:marLeft w:val="0"/>
      <w:marRight w:val="0"/>
      <w:marTop w:val="0"/>
      <w:marBottom w:val="0"/>
      <w:divBdr>
        <w:top w:val="none" w:sz="0" w:space="0" w:color="auto"/>
        <w:left w:val="none" w:sz="0" w:space="0" w:color="auto"/>
        <w:bottom w:val="none" w:sz="0" w:space="0" w:color="auto"/>
        <w:right w:val="none" w:sz="0" w:space="0" w:color="auto"/>
      </w:divBdr>
    </w:div>
    <w:div w:id="359627399">
      <w:bodyDiv w:val="1"/>
      <w:marLeft w:val="0"/>
      <w:marRight w:val="0"/>
      <w:marTop w:val="0"/>
      <w:marBottom w:val="0"/>
      <w:divBdr>
        <w:top w:val="none" w:sz="0" w:space="0" w:color="auto"/>
        <w:left w:val="none" w:sz="0" w:space="0" w:color="auto"/>
        <w:bottom w:val="none" w:sz="0" w:space="0" w:color="auto"/>
        <w:right w:val="none" w:sz="0" w:space="0" w:color="auto"/>
      </w:divBdr>
    </w:div>
    <w:div w:id="359740146">
      <w:bodyDiv w:val="1"/>
      <w:marLeft w:val="0"/>
      <w:marRight w:val="0"/>
      <w:marTop w:val="0"/>
      <w:marBottom w:val="0"/>
      <w:divBdr>
        <w:top w:val="none" w:sz="0" w:space="0" w:color="auto"/>
        <w:left w:val="none" w:sz="0" w:space="0" w:color="auto"/>
        <w:bottom w:val="none" w:sz="0" w:space="0" w:color="auto"/>
        <w:right w:val="none" w:sz="0" w:space="0" w:color="auto"/>
      </w:divBdr>
    </w:div>
    <w:div w:id="359745143">
      <w:bodyDiv w:val="1"/>
      <w:marLeft w:val="0"/>
      <w:marRight w:val="0"/>
      <w:marTop w:val="0"/>
      <w:marBottom w:val="0"/>
      <w:divBdr>
        <w:top w:val="none" w:sz="0" w:space="0" w:color="auto"/>
        <w:left w:val="none" w:sz="0" w:space="0" w:color="auto"/>
        <w:bottom w:val="none" w:sz="0" w:space="0" w:color="auto"/>
        <w:right w:val="none" w:sz="0" w:space="0" w:color="auto"/>
      </w:divBdr>
    </w:div>
    <w:div w:id="359816019">
      <w:bodyDiv w:val="1"/>
      <w:marLeft w:val="0"/>
      <w:marRight w:val="0"/>
      <w:marTop w:val="0"/>
      <w:marBottom w:val="0"/>
      <w:divBdr>
        <w:top w:val="none" w:sz="0" w:space="0" w:color="auto"/>
        <w:left w:val="none" w:sz="0" w:space="0" w:color="auto"/>
        <w:bottom w:val="none" w:sz="0" w:space="0" w:color="auto"/>
        <w:right w:val="none" w:sz="0" w:space="0" w:color="auto"/>
      </w:divBdr>
    </w:div>
    <w:div w:id="360013938">
      <w:bodyDiv w:val="1"/>
      <w:marLeft w:val="0"/>
      <w:marRight w:val="0"/>
      <w:marTop w:val="0"/>
      <w:marBottom w:val="0"/>
      <w:divBdr>
        <w:top w:val="none" w:sz="0" w:space="0" w:color="auto"/>
        <w:left w:val="none" w:sz="0" w:space="0" w:color="auto"/>
        <w:bottom w:val="none" w:sz="0" w:space="0" w:color="auto"/>
        <w:right w:val="none" w:sz="0" w:space="0" w:color="auto"/>
      </w:divBdr>
    </w:div>
    <w:div w:id="360015645">
      <w:bodyDiv w:val="1"/>
      <w:marLeft w:val="0"/>
      <w:marRight w:val="0"/>
      <w:marTop w:val="0"/>
      <w:marBottom w:val="0"/>
      <w:divBdr>
        <w:top w:val="none" w:sz="0" w:space="0" w:color="auto"/>
        <w:left w:val="none" w:sz="0" w:space="0" w:color="auto"/>
        <w:bottom w:val="none" w:sz="0" w:space="0" w:color="auto"/>
        <w:right w:val="none" w:sz="0" w:space="0" w:color="auto"/>
      </w:divBdr>
    </w:div>
    <w:div w:id="360281991">
      <w:bodyDiv w:val="1"/>
      <w:marLeft w:val="0"/>
      <w:marRight w:val="0"/>
      <w:marTop w:val="0"/>
      <w:marBottom w:val="0"/>
      <w:divBdr>
        <w:top w:val="none" w:sz="0" w:space="0" w:color="auto"/>
        <w:left w:val="none" w:sz="0" w:space="0" w:color="auto"/>
        <w:bottom w:val="none" w:sz="0" w:space="0" w:color="auto"/>
        <w:right w:val="none" w:sz="0" w:space="0" w:color="auto"/>
      </w:divBdr>
    </w:div>
    <w:div w:id="360473310">
      <w:bodyDiv w:val="1"/>
      <w:marLeft w:val="0"/>
      <w:marRight w:val="0"/>
      <w:marTop w:val="0"/>
      <w:marBottom w:val="0"/>
      <w:divBdr>
        <w:top w:val="none" w:sz="0" w:space="0" w:color="auto"/>
        <w:left w:val="none" w:sz="0" w:space="0" w:color="auto"/>
        <w:bottom w:val="none" w:sz="0" w:space="0" w:color="auto"/>
        <w:right w:val="none" w:sz="0" w:space="0" w:color="auto"/>
      </w:divBdr>
    </w:div>
    <w:div w:id="360479803">
      <w:bodyDiv w:val="1"/>
      <w:marLeft w:val="0"/>
      <w:marRight w:val="0"/>
      <w:marTop w:val="0"/>
      <w:marBottom w:val="0"/>
      <w:divBdr>
        <w:top w:val="none" w:sz="0" w:space="0" w:color="auto"/>
        <w:left w:val="none" w:sz="0" w:space="0" w:color="auto"/>
        <w:bottom w:val="none" w:sz="0" w:space="0" w:color="auto"/>
        <w:right w:val="none" w:sz="0" w:space="0" w:color="auto"/>
      </w:divBdr>
    </w:div>
    <w:div w:id="360517290">
      <w:bodyDiv w:val="1"/>
      <w:marLeft w:val="0"/>
      <w:marRight w:val="0"/>
      <w:marTop w:val="0"/>
      <w:marBottom w:val="0"/>
      <w:divBdr>
        <w:top w:val="none" w:sz="0" w:space="0" w:color="auto"/>
        <w:left w:val="none" w:sz="0" w:space="0" w:color="auto"/>
        <w:bottom w:val="none" w:sz="0" w:space="0" w:color="auto"/>
        <w:right w:val="none" w:sz="0" w:space="0" w:color="auto"/>
      </w:divBdr>
    </w:div>
    <w:div w:id="360518168">
      <w:bodyDiv w:val="1"/>
      <w:marLeft w:val="0"/>
      <w:marRight w:val="0"/>
      <w:marTop w:val="0"/>
      <w:marBottom w:val="0"/>
      <w:divBdr>
        <w:top w:val="none" w:sz="0" w:space="0" w:color="auto"/>
        <w:left w:val="none" w:sz="0" w:space="0" w:color="auto"/>
        <w:bottom w:val="none" w:sz="0" w:space="0" w:color="auto"/>
        <w:right w:val="none" w:sz="0" w:space="0" w:color="auto"/>
      </w:divBdr>
    </w:div>
    <w:div w:id="360596608">
      <w:bodyDiv w:val="1"/>
      <w:marLeft w:val="0"/>
      <w:marRight w:val="0"/>
      <w:marTop w:val="0"/>
      <w:marBottom w:val="0"/>
      <w:divBdr>
        <w:top w:val="none" w:sz="0" w:space="0" w:color="auto"/>
        <w:left w:val="none" w:sz="0" w:space="0" w:color="auto"/>
        <w:bottom w:val="none" w:sz="0" w:space="0" w:color="auto"/>
        <w:right w:val="none" w:sz="0" w:space="0" w:color="auto"/>
      </w:divBdr>
    </w:div>
    <w:div w:id="360671743">
      <w:bodyDiv w:val="1"/>
      <w:marLeft w:val="0"/>
      <w:marRight w:val="0"/>
      <w:marTop w:val="0"/>
      <w:marBottom w:val="0"/>
      <w:divBdr>
        <w:top w:val="none" w:sz="0" w:space="0" w:color="auto"/>
        <w:left w:val="none" w:sz="0" w:space="0" w:color="auto"/>
        <w:bottom w:val="none" w:sz="0" w:space="0" w:color="auto"/>
        <w:right w:val="none" w:sz="0" w:space="0" w:color="auto"/>
      </w:divBdr>
    </w:div>
    <w:div w:id="360785189">
      <w:bodyDiv w:val="1"/>
      <w:marLeft w:val="0"/>
      <w:marRight w:val="0"/>
      <w:marTop w:val="0"/>
      <w:marBottom w:val="0"/>
      <w:divBdr>
        <w:top w:val="none" w:sz="0" w:space="0" w:color="auto"/>
        <w:left w:val="none" w:sz="0" w:space="0" w:color="auto"/>
        <w:bottom w:val="none" w:sz="0" w:space="0" w:color="auto"/>
        <w:right w:val="none" w:sz="0" w:space="0" w:color="auto"/>
      </w:divBdr>
    </w:div>
    <w:div w:id="360909303">
      <w:bodyDiv w:val="1"/>
      <w:marLeft w:val="0"/>
      <w:marRight w:val="0"/>
      <w:marTop w:val="0"/>
      <w:marBottom w:val="0"/>
      <w:divBdr>
        <w:top w:val="none" w:sz="0" w:space="0" w:color="auto"/>
        <w:left w:val="none" w:sz="0" w:space="0" w:color="auto"/>
        <w:bottom w:val="none" w:sz="0" w:space="0" w:color="auto"/>
        <w:right w:val="none" w:sz="0" w:space="0" w:color="auto"/>
      </w:divBdr>
    </w:div>
    <w:div w:id="360932657">
      <w:bodyDiv w:val="1"/>
      <w:marLeft w:val="0"/>
      <w:marRight w:val="0"/>
      <w:marTop w:val="0"/>
      <w:marBottom w:val="0"/>
      <w:divBdr>
        <w:top w:val="none" w:sz="0" w:space="0" w:color="auto"/>
        <w:left w:val="none" w:sz="0" w:space="0" w:color="auto"/>
        <w:bottom w:val="none" w:sz="0" w:space="0" w:color="auto"/>
        <w:right w:val="none" w:sz="0" w:space="0" w:color="auto"/>
      </w:divBdr>
    </w:div>
    <w:div w:id="360935010">
      <w:bodyDiv w:val="1"/>
      <w:marLeft w:val="0"/>
      <w:marRight w:val="0"/>
      <w:marTop w:val="0"/>
      <w:marBottom w:val="0"/>
      <w:divBdr>
        <w:top w:val="none" w:sz="0" w:space="0" w:color="auto"/>
        <w:left w:val="none" w:sz="0" w:space="0" w:color="auto"/>
        <w:bottom w:val="none" w:sz="0" w:space="0" w:color="auto"/>
        <w:right w:val="none" w:sz="0" w:space="0" w:color="auto"/>
      </w:divBdr>
    </w:div>
    <w:div w:id="360979921">
      <w:bodyDiv w:val="1"/>
      <w:marLeft w:val="0"/>
      <w:marRight w:val="0"/>
      <w:marTop w:val="0"/>
      <w:marBottom w:val="0"/>
      <w:divBdr>
        <w:top w:val="none" w:sz="0" w:space="0" w:color="auto"/>
        <w:left w:val="none" w:sz="0" w:space="0" w:color="auto"/>
        <w:bottom w:val="none" w:sz="0" w:space="0" w:color="auto"/>
        <w:right w:val="none" w:sz="0" w:space="0" w:color="auto"/>
      </w:divBdr>
    </w:div>
    <w:div w:id="360984350">
      <w:bodyDiv w:val="1"/>
      <w:marLeft w:val="0"/>
      <w:marRight w:val="0"/>
      <w:marTop w:val="0"/>
      <w:marBottom w:val="0"/>
      <w:divBdr>
        <w:top w:val="none" w:sz="0" w:space="0" w:color="auto"/>
        <w:left w:val="none" w:sz="0" w:space="0" w:color="auto"/>
        <w:bottom w:val="none" w:sz="0" w:space="0" w:color="auto"/>
        <w:right w:val="none" w:sz="0" w:space="0" w:color="auto"/>
      </w:divBdr>
    </w:div>
    <w:div w:id="361053890">
      <w:bodyDiv w:val="1"/>
      <w:marLeft w:val="0"/>
      <w:marRight w:val="0"/>
      <w:marTop w:val="0"/>
      <w:marBottom w:val="0"/>
      <w:divBdr>
        <w:top w:val="none" w:sz="0" w:space="0" w:color="auto"/>
        <w:left w:val="none" w:sz="0" w:space="0" w:color="auto"/>
        <w:bottom w:val="none" w:sz="0" w:space="0" w:color="auto"/>
        <w:right w:val="none" w:sz="0" w:space="0" w:color="auto"/>
      </w:divBdr>
    </w:div>
    <w:div w:id="361128278">
      <w:bodyDiv w:val="1"/>
      <w:marLeft w:val="0"/>
      <w:marRight w:val="0"/>
      <w:marTop w:val="0"/>
      <w:marBottom w:val="0"/>
      <w:divBdr>
        <w:top w:val="none" w:sz="0" w:space="0" w:color="auto"/>
        <w:left w:val="none" w:sz="0" w:space="0" w:color="auto"/>
        <w:bottom w:val="none" w:sz="0" w:space="0" w:color="auto"/>
        <w:right w:val="none" w:sz="0" w:space="0" w:color="auto"/>
      </w:divBdr>
    </w:div>
    <w:div w:id="361244477">
      <w:bodyDiv w:val="1"/>
      <w:marLeft w:val="0"/>
      <w:marRight w:val="0"/>
      <w:marTop w:val="0"/>
      <w:marBottom w:val="0"/>
      <w:divBdr>
        <w:top w:val="none" w:sz="0" w:space="0" w:color="auto"/>
        <w:left w:val="none" w:sz="0" w:space="0" w:color="auto"/>
        <w:bottom w:val="none" w:sz="0" w:space="0" w:color="auto"/>
        <w:right w:val="none" w:sz="0" w:space="0" w:color="auto"/>
      </w:divBdr>
    </w:div>
    <w:div w:id="361246103">
      <w:bodyDiv w:val="1"/>
      <w:marLeft w:val="0"/>
      <w:marRight w:val="0"/>
      <w:marTop w:val="0"/>
      <w:marBottom w:val="0"/>
      <w:divBdr>
        <w:top w:val="none" w:sz="0" w:space="0" w:color="auto"/>
        <w:left w:val="none" w:sz="0" w:space="0" w:color="auto"/>
        <w:bottom w:val="none" w:sz="0" w:space="0" w:color="auto"/>
        <w:right w:val="none" w:sz="0" w:space="0" w:color="auto"/>
      </w:divBdr>
    </w:div>
    <w:div w:id="361251007">
      <w:bodyDiv w:val="1"/>
      <w:marLeft w:val="0"/>
      <w:marRight w:val="0"/>
      <w:marTop w:val="0"/>
      <w:marBottom w:val="0"/>
      <w:divBdr>
        <w:top w:val="none" w:sz="0" w:space="0" w:color="auto"/>
        <w:left w:val="none" w:sz="0" w:space="0" w:color="auto"/>
        <w:bottom w:val="none" w:sz="0" w:space="0" w:color="auto"/>
        <w:right w:val="none" w:sz="0" w:space="0" w:color="auto"/>
      </w:divBdr>
    </w:div>
    <w:div w:id="361252559">
      <w:bodyDiv w:val="1"/>
      <w:marLeft w:val="0"/>
      <w:marRight w:val="0"/>
      <w:marTop w:val="0"/>
      <w:marBottom w:val="0"/>
      <w:divBdr>
        <w:top w:val="none" w:sz="0" w:space="0" w:color="auto"/>
        <w:left w:val="none" w:sz="0" w:space="0" w:color="auto"/>
        <w:bottom w:val="none" w:sz="0" w:space="0" w:color="auto"/>
        <w:right w:val="none" w:sz="0" w:space="0" w:color="auto"/>
      </w:divBdr>
    </w:div>
    <w:div w:id="361327516">
      <w:bodyDiv w:val="1"/>
      <w:marLeft w:val="0"/>
      <w:marRight w:val="0"/>
      <w:marTop w:val="0"/>
      <w:marBottom w:val="0"/>
      <w:divBdr>
        <w:top w:val="none" w:sz="0" w:space="0" w:color="auto"/>
        <w:left w:val="none" w:sz="0" w:space="0" w:color="auto"/>
        <w:bottom w:val="none" w:sz="0" w:space="0" w:color="auto"/>
        <w:right w:val="none" w:sz="0" w:space="0" w:color="auto"/>
      </w:divBdr>
    </w:div>
    <w:div w:id="361328486">
      <w:bodyDiv w:val="1"/>
      <w:marLeft w:val="0"/>
      <w:marRight w:val="0"/>
      <w:marTop w:val="0"/>
      <w:marBottom w:val="0"/>
      <w:divBdr>
        <w:top w:val="none" w:sz="0" w:space="0" w:color="auto"/>
        <w:left w:val="none" w:sz="0" w:space="0" w:color="auto"/>
        <w:bottom w:val="none" w:sz="0" w:space="0" w:color="auto"/>
        <w:right w:val="none" w:sz="0" w:space="0" w:color="auto"/>
      </w:divBdr>
    </w:div>
    <w:div w:id="361519303">
      <w:bodyDiv w:val="1"/>
      <w:marLeft w:val="0"/>
      <w:marRight w:val="0"/>
      <w:marTop w:val="0"/>
      <w:marBottom w:val="0"/>
      <w:divBdr>
        <w:top w:val="none" w:sz="0" w:space="0" w:color="auto"/>
        <w:left w:val="none" w:sz="0" w:space="0" w:color="auto"/>
        <w:bottom w:val="none" w:sz="0" w:space="0" w:color="auto"/>
        <w:right w:val="none" w:sz="0" w:space="0" w:color="auto"/>
      </w:divBdr>
    </w:div>
    <w:div w:id="361639770">
      <w:bodyDiv w:val="1"/>
      <w:marLeft w:val="0"/>
      <w:marRight w:val="0"/>
      <w:marTop w:val="0"/>
      <w:marBottom w:val="0"/>
      <w:divBdr>
        <w:top w:val="none" w:sz="0" w:space="0" w:color="auto"/>
        <w:left w:val="none" w:sz="0" w:space="0" w:color="auto"/>
        <w:bottom w:val="none" w:sz="0" w:space="0" w:color="auto"/>
        <w:right w:val="none" w:sz="0" w:space="0" w:color="auto"/>
      </w:divBdr>
    </w:div>
    <w:div w:id="361707725">
      <w:bodyDiv w:val="1"/>
      <w:marLeft w:val="0"/>
      <w:marRight w:val="0"/>
      <w:marTop w:val="0"/>
      <w:marBottom w:val="0"/>
      <w:divBdr>
        <w:top w:val="none" w:sz="0" w:space="0" w:color="auto"/>
        <w:left w:val="none" w:sz="0" w:space="0" w:color="auto"/>
        <w:bottom w:val="none" w:sz="0" w:space="0" w:color="auto"/>
        <w:right w:val="none" w:sz="0" w:space="0" w:color="auto"/>
      </w:divBdr>
    </w:div>
    <w:div w:id="361711981">
      <w:bodyDiv w:val="1"/>
      <w:marLeft w:val="0"/>
      <w:marRight w:val="0"/>
      <w:marTop w:val="0"/>
      <w:marBottom w:val="0"/>
      <w:divBdr>
        <w:top w:val="none" w:sz="0" w:space="0" w:color="auto"/>
        <w:left w:val="none" w:sz="0" w:space="0" w:color="auto"/>
        <w:bottom w:val="none" w:sz="0" w:space="0" w:color="auto"/>
        <w:right w:val="none" w:sz="0" w:space="0" w:color="auto"/>
      </w:divBdr>
    </w:div>
    <w:div w:id="361784044">
      <w:bodyDiv w:val="1"/>
      <w:marLeft w:val="0"/>
      <w:marRight w:val="0"/>
      <w:marTop w:val="0"/>
      <w:marBottom w:val="0"/>
      <w:divBdr>
        <w:top w:val="none" w:sz="0" w:space="0" w:color="auto"/>
        <w:left w:val="none" w:sz="0" w:space="0" w:color="auto"/>
        <w:bottom w:val="none" w:sz="0" w:space="0" w:color="auto"/>
        <w:right w:val="none" w:sz="0" w:space="0" w:color="auto"/>
      </w:divBdr>
    </w:div>
    <w:div w:id="361904978">
      <w:bodyDiv w:val="1"/>
      <w:marLeft w:val="0"/>
      <w:marRight w:val="0"/>
      <w:marTop w:val="0"/>
      <w:marBottom w:val="0"/>
      <w:divBdr>
        <w:top w:val="none" w:sz="0" w:space="0" w:color="auto"/>
        <w:left w:val="none" w:sz="0" w:space="0" w:color="auto"/>
        <w:bottom w:val="none" w:sz="0" w:space="0" w:color="auto"/>
        <w:right w:val="none" w:sz="0" w:space="0" w:color="auto"/>
      </w:divBdr>
    </w:div>
    <w:div w:id="361980729">
      <w:bodyDiv w:val="1"/>
      <w:marLeft w:val="0"/>
      <w:marRight w:val="0"/>
      <w:marTop w:val="0"/>
      <w:marBottom w:val="0"/>
      <w:divBdr>
        <w:top w:val="none" w:sz="0" w:space="0" w:color="auto"/>
        <w:left w:val="none" w:sz="0" w:space="0" w:color="auto"/>
        <w:bottom w:val="none" w:sz="0" w:space="0" w:color="auto"/>
        <w:right w:val="none" w:sz="0" w:space="0" w:color="auto"/>
      </w:divBdr>
    </w:div>
    <w:div w:id="362097240">
      <w:bodyDiv w:val="1"/>
      <w:marLeft w:val="0"/>
      <w:marRight w:val="0"/>
      <w:marTop w:val="0"/>
      <w:marBottom w:val="0"/>
      <w:divBdr>
        <w:top w:val="none" w:sz="0" w:space="0" w:color="auto"/>
        <w:left w:val="none" w:sz="0" w:space="0" w:color="auto"/>
        <w:bottom w:val="none" w:sz="0" w:space="0" w:color="auto"/>
        <w:right w:val="none" w:sz="0" w:space="0" w:color="auto"/>
      </w:divBdr>
    </w:div>
    <w:div w:id="362169104">
      <w:bodyDiv w:val="1"/>
      <w:marLeft w:val="0"/>
      <w:marRight w:val="0"/>
      <w:marTop w:val="0"/>
      <w:marBottom w:val="0"/>
      <w:divBdr>
        <w:top w:val="none" w:sz="0" w:space="0" w:color="auto"/>
        <w:left w:val="none" w:sz="0" w:space="0" w:color="auto"/>
        <w:bottom w:val="none" w:sz="0" w:space="0" w:color="auto"/>
        <w:right w:val="none" w:sz="0" w:space="0" w:color="auto"/>
      </w:divBdr>
    </w:div>
    <w:div w:id="362171522">
      <w:bodyDiv w:val="1"/>
      <w:marLeft w:val="0"/>
      <w:marRight w:val="0"/>
      <w:marTop w:val="0"/>
      <w:marBottom w:val="0"/>
      <w:divBdr>
        <w:top w:val="none" w:sz="0" w:space="0" w:color="auto"/>
        <w:left w:val="none" w:sz="0" w:space="0" w:color="auto"/>
        <w:bottom w:val="none" w:sz="0" w:space="0" w:color="auto"/>
        <w:right w:val="none" w:sz="0" w:space="0" w:color="auto"/>
      </w:divBdr>
    </w:div>
    <w:div w:id="362293660">
      <w:bodyDiv w:val="1"/>
      <w:marLeft w:val="0"/>
      <w:marRight w:val="0"/>
      <w:marTop w:val="0"/>
      <w:marBottom w:val="0"/>
      <w:divBdr>
        <w:top w:val="none" w:sz="0" w:space="0" w:color="auto"/>
        <w:left w:val="none" w:sz="0" w:space="0" w:color="auto"/>
        <w:bottom w:val="none" w:sz="0" w:space="0" w:color="auto"/>
        <w:right w:val="none" w:sz="0" w:space="0" w:color="auto"/>
      </w:divBdr>
    </w:div>
    <w:div w:id="362444020">
      <w:bodyDiv w:val="1"/>
      <w:marLeft w:val="0"/>
      <w:marRight w:val="0"/>
      <w:marTop w:val="0"/>
      <w:marBottom w:val="0"/>
      <w:divBdr>
        <w:top w:val="none" w:sz="0" w:space="0" w:color="auto"/>
        <w:left w:val="none" w:sz="0" w:space="0" w:color="auto"/>
        <w:bottom w:val="none" w:sz="0" w:space="0" w:color="auto"/>
        <w:right w:val="none" w:sz="0" w:space="0" w:color="auto"/>
      </w:divBdr>
    </w:div>
    <w:div w:id="362486419">
      <w:bodyDiv w:val="1"/>
      <w:marLeft w:val="0"/>
      <w:marRight w:val="0"/>
      <w:marTop w:val="0"/>
      <w:marBottom w:val="0"/>
      <w:divBdr>
        <w:top w:val="none" w:sz="0" w:space="0" w:color="auto"/>
        <w:left w:val="none" w:sz="0" w:space="0" w:color="auto"/>
        <w:bottom w:val="none" w:sz="0" w:space="0" w:color="auto"/>
        <w:right w:val="none" w:sz="0" w:space="0" w:color="auto"/>
      </w:divBdr>
    </w:div>
    <w:div w:id="362638085">
      <w:bodyDiv w:val="1"/>
      <w:marLeft w:val="0"/>
      <w:marRight w:val="0"/>
      <w:marTop w:val="0"/>
      <w:marBottom w:val="0"/>
      <w:divBdr>
        <w:top w:val="none" w:sz="0" w:space="0" w:color="auto"/>
        <w:left w:val="none" w:sz="0" w:space="0" w:color="auto"/>
        <w:bottom w:val="none" w:sz="0" w:space="0" w:color="auto"/>
        <w:right w:val="none" w:sz="0" w:space="0" w:color="auto"/>
      </w:divBdr>
    </w:div>
    <w:div w:id="362747912">
      <w:bodyDiv w:val="1"/>
      <w:marLeft w:val="0"/>
      <w:marRight w:val="0"/>
      <w:marTop w:val="0"/>
      <w:marBottom w:val="0"/>
      <w:divBdr>
        <w:top w:val="none" w:sz="0" w:space="0" w:color="auto"/>
        <w:left w:val="none" w:sz="0" w:space="0" w:color="auto"/>
        <w:bottom w:val="none" w:sz="0" w:space="0" w:color="auto"/>
        <w:right w:val="none" w:sz="0" w:space="0" w:color="auto"/>
      </w:divBdr>
    </w:div>
    <w:div w:id="362748056">
      <w:bodyDiv w:val="1"/>
      <w:marLeft w:val="0"/>
      <w:marRight w:val="0"/>
      <w:marTop w:val="0"/>
      <w:marBottom w:val="0"/>
      <w:divBdr>
        <w:top w:val="none" w:sz="0" w:space="0" w:color="auto"/>
        <w:left w:val="none" w:sz="0" w:space="0" w:color="auto"/>
        <w:bottom w:val="none" w:sz="0" w:space="0" w:color="auto"/>
        <w:right w:val="none" w:sz="0" w:space="0" w:color="auto"/>
      </w:divBdr>
    </w:div>
    <w:div w:id="362947453">
      <w:bodyDiv w:val="1"/>
      <w:marLeft w:val="0"/>
      <w:marRight w:val="0"/>
      <w:marTop w:val="0"/>
      <w:marBottom w:val="0"/>
      <w:divBdr>
        <w:top w:val="none" w:sz="0" w:space="0" w:color="auto"/>
        <w:left w:val="none" w:sz="0" w:space="0" w:color="auto"/>
        <w:bottom w:val="none" w:sz="0" w:space="0" w:color="auto"/>
        <w:right w:val="none" w:sz="0" w:space="0" w:color="auto"/>
      </w:divBdr>
    </w:div>
    <w:div w:id="363022287">
      <w:bodyDiv w:val="1"/>
      <w:marLeft w:val="0"/>
      <w:marRight w:val="0"/>
      <w:marTop w:val="0"/>
      <w:marBottom w:val="0"/>
      <w:divBdr>
        <w:top w:val="none" w:sz="0" w:space="0" w:color="auto"/>
        <w:left w:val="none" w:sz="0" w:space="0" w:color="auto"/>
        <w:bottom w:val="none" w:sz="0" w:space="0" w:color="auto"/>
        <w:right w:val="none" w:sz="0" w:space="0" w:color="auto"/>
      </w:divBdr>
    </w:div>
    <w:div w:id="363142771">
      <w:bodyDiv w:val="1"/>
      <w:marLeft w:val="0"/>
      <w:marRight w:val="0"/>
      <w:marTop w:val="0"/>
      <w:marBottom w:val="0"/>
      <w:divBdr>
        <w:top w:val="none" w:sz="0" w:space="0" w:color="auto"/>
        <w:left w:val="none" w:sz="0" w:space="0" w:color="auto"/>
        <w:bottom w:val="none" w:sz="0" w:space="0" w:color="auto"/>
        <w:right w:val="none" w:sz="0" w:space="0" w:color="auto"/>
      </w:divBdr>
    </w:div>
    <w:div w:id="363211724">
      <w:bodyDiv w:val="1"/>
      <w:marLeft w:val="0"/>
      <w:marRight w:val="0"/>
      <w:marTop w:val="0"/>
      <w:marBottom w:val="0"/>
      <w:divBdr>
        <w:top w:val="none" w:sz="0" w:space="0" w:color="auto"/>
        <w:left w:val="none" w:sz="0" w:space="0" w:color="auto"/>
        <w:bottom w:val="none" w:sz="0" w:space="0" w:color="auto"/>
        <w:right w:val="none" w:sz="0" w:space="0" w:color="auto"/>
      </w:divBdr>
    </w:div>
    <w:div w:id="363363321">
      <w:bodyDiv w:val="1"/>
      <w:marLeft w:val="0"/>
      <w:marRight w:val="0"/>
      <w:marTop w:val="0"/>
      <w:marBottom w:val="0"/>
      <w:divBdr>
        <w:top w:val="none" w:sz="0" w:space="0" w:color="auto"/>
        <w:left w:val="none" w:sz="0" w:space="0" w:color="auto"/>
        <w:bottom w:val="none" w:sz="0" w:space="0" w:color="auto"/>
        <w:right w:val="none" w:sz="0" w:space="0" w:color="auto"/>
      </w:divBdr>
    </w:div>
    <w:div w:id="363529679">
      <w:bodyDiv w:val="1"/>
      <w:marLeft w:val="0"/>
      <w:marRight w:val="0"/>
      <w:marTop w:val="0"/>
      <w:marBottom w:val="0"/>
      <w:divBdr>
        <w:top w:val="none" w:sz="0" w:space="0" w:color="auto"/>
        <w:left w:val="none" w:sz="0" w:space="0" w:color="auto"/>
        <w:bottom w:val="none" w:sz="0" w:space="0" w:color="auto"/>
        <w:right w:val="none" w:sz="0" w:space="0" w:color="auto"/>
      </w:divBdr>
    </w:div>
    <w:div w:id="363556000">
      <w:bodyDiv w:val="1"/>
      <w:marLeft w:val="0"/>
      <w:marRight w:val="0"/>
      <w:marTop w:val="0"/>
      <w:marBottom w:val="0"/>
      <w:divBdr>
        <w:top w:val="none" w:sz="0" w:space="0" w:color="auto"/>
        <w:left w:val="none" w:sz="0" w:space="0" w:color="auto"/>
        <w:bottom w:val="none" w:sz="0" w:space="0" w:color="auto"/>
        <w:right w:val="none" w:sz="0" w:space="0" w:color="auto"/>
      </w:divBdr>
    </w:div>
    <w:div w:id="363556649">
      <w:bodyDiv w:val="1"/>
      <w:marLeft w:val="0"/>
      <w:marRight w:val="0"/>
      <w:marTop w:val="0"/>
      <w:marBottom w:val="0"/>
      <w:divBdr>
        <w:top w:val="none" w:sz="0" w:space="0" w:color="auto"/>
        <w:left w:val="none" w:sz="0" w:space="0" w:color="auto"/>
        <w:bottom w:val="none" w:sz="0" w:space="0" w:color="auto"/>
        <w:right w:val="none" w:sz="0" w:space="0" w:color="auto"/>
      </w:divBdr>
    </w:div>
    <w:div w:id="363599755">
      <w:bodyDiv w:val="1"/>
      <w:marLeft w:val="0"/>
      <w:marRight w:val="0"/>
      <w:marTop w:val="0"/>
      <w:marBottom w:val="0"/>
      <w:divBdr>
        <w:top w:val="none" w:sz="0" w:space="0" w:color="auto"/>
        <w:left w:val="none" w:sz="0" w:space="0" w:color="auto"/>
        <w:bottom w:val="none" w:sz="0" w:space="0" w:color="auto"/>
        <w:right w:val="none" w:sz="0" w:space="0" w:color="auto"/>
      </w:divBdr>
    </w:div>
    <w:div w:id="363865969">
      <w:bodyDiv w:val="1"/>
      <w:marLeft w:val="0"/>
      <w:marRight w:val="0"/>
      <w:marTop w:val="0"/>
      <w:marBottom w:val="0"/>
      <w:divBdr>
        <w:top w:val="none" w:sz="0" w:space="0" w:color="auto"/>
        <w:left w:val="none" w:sz="0" w:space="0" w:color="auto"/>
        <w:bottom w:val="none" w:sz="0" w:space="0" w:color="auto"/>
        <w:right w:val="none" w:sz="0" w:space="0" w:color="auto"/>
      </w:divBdr>
    </w:div>
    <w:div w:id="363948739">
      <w:bodyDiv w:val="1"/>
      <w:marLeft w:val="0"/>
      <w:marRight w:val="0"/>
      <w:marTop w:val="0"/>
      <w:marBottom w:val="0"/>
      <w:divBdr>
        <w:top w:val="none" w:sz="0" w:space="0" w:color="auto"/>
        <w:left w:val="none" w:sz="0" w:space="0" w:color="auto"/>
        <w:bottom w:val="none" w:sz="0" w:space="0" w:color="auto"/>
        <w:right w:val="none" w:sz="0" w:space="0" w:color="auto"/>
      </w:divBdr>
    </w:div>
    <w:div w:id="364058207">
      <w:bodyDiv w:val="1"/>
      <w:marLeft w:val="0"/>
      <w:marRight w:val="0"/>
      <w:marTop w:val="0"/>
      <w:marBottom w:val="0"/>
      <w:divBdr>
        <w:top w:val="none" w:sz="0" w:space="0" w:color="auto"/>
        <w:left w:val="none" w:sz="0" w:space="0" w:color="auto"/>
        <w:bottom w:val="none" w:sz="0" w:space="0" w:color="auto"/>
        <w:right w:val="none" w:sz="0" w:space="0" w:color="auto"/>
      </w:divBdr>
    </w:div>
    <w:div w:id="364142122">
      <w:bodyDiv w:val="1"/>
      <w:marLeft w:val="0"/>
      <w:marRight w:val="0"/>
      <w:marTop w:val="0"/>
      <w:marBottom w:val="0"/>
      <w:divBdr>
        <w:top w:val="none" w:sz="0" w:space="0" w:color="auto"/>
        <w:left w:val="none" w:sz="0" w:space="0" w:color="auto"/>
        <w:bottom w:val="none" w:sz="0" w:space="0" w:color="auto"/>
        <w:right w:val="none" w:sz="0" w:space="0" w:color="auto"/>
      </w:divBdr>
    </w:div>
    <w:div w:id="364184416">
      <w:bodyDiv w:val="1"/>
      <w:marLeft w:val="0"/>
      <w:marRight w:val="0"/>
      <w:marTop w:val="0"/>
      <w:marBottom w:val="0"/>
      <w:divBdr>
        <w:top w:val="none" w:sz="0" w:space="0" w:color="auto"/>
        <w:left w:val="none" w:sz="0" w:space="0" w:color="auto"/>
        <w:bottom w:val="none" w:sz="0" w:space="0" w:color="auto"/>
        <w:right w:val="none" w:sz="0" w:space="0" w:color="auto"/>
      </w:divBdr>
    </w:div>
    <w:div w:id="364185681">
      <w:bodyDiv w:val="1"/>
      <w:marLeft w:val="0"/>
      <w:marRight w:val="0"/>
      <w:marTop w:val="0"/>
      <w:marBottom w:val="0"/>
      <w:divBdr>
        <w:top w:val="none" w:sz="0" w:space="0" w:color="auto"/>
        <w:left w:val="none" w:sz="0" w:space="0" w:color="auto"/>
        <w:bottom w:val="none" w:sz="0" w:space="0" w:color="auto"/>
        <w:right w:val="none" w:sz="0" w:space="0" w:color="auto"/>
      </w:divBdr>
    </w:div>
    <w:div w:id="364210588">
      <w:bodyDiv w:val="1"/>
      <w:marLeft w:val="0"/>
      <w:marRight w:val="0"/>
      <w:marTop w:val="0"/>
      <w:marBottom w:val="0"/>
      <w:divBdr>
        <w:top w:val="none" w:sz="0" w:space="0" w:color="auto"/>
        <w:left w:val="none" w:sz="0" w:space="0" w:color="auto"/>
        <w:bottom w:val="none" w:sz="0" w:space="0" w:color="auto"/>
        <w:right w:val="none" w:sz="0" w:space="0" w:color="auto"/>
      </w:divBdr>
    </w:div>
    <w:div w:id="364255018">
      <w:bodyDiv w:val="1"/>
      <w:marLeft w:val="0"/>
      <w:marRight w:val="0"/>
      <w:marTop w:val="0"/>
      <w:marBottom w:val="0"/>
      <w:divBdr>
        <w:top w:val="none" w:sz="0" w:space="0" w:color="auto"/>
        <w:left w:val="none" w:sz="0" w:space="0" w:color="auto"/>
        <w:bottom w:val="none" w:sz="0" w:space="0" w:color="auto"/>
        <w:right w:val="none" w:sz="0" w:space="0" w:color="auto"/>
      </w:divBdr>
    </w:div>
    <w:div w:id="364404531">
      <w:bodyDiv w:val="1"/>
      <w:marLeft w:val="0"/>
      <w:marRight w:val="0"/>
      <w:marTop w:val="0"/>
      <w:marBottom w:val="0"/>
      <w:divBdr>
        <w:top w:val="none" w:sz="0" w:space="0" w:color="auto"/>
        <w:left w:val="none" w:sz="0" w:space="0" w:color="auto"/>
        <w:bottom w:val="none" w:sz="0" w:space="0" w:color="auto"/>
        <w:right w:val="none" w:sz="0" w:space="0" w:color="auto"/>
      </w:divBdr>
    </w:div>
    <w:div w:id="364449588">
      <w:bodyDiv w:val="1"/>
      <w:marLeft w:val="0"/>
      <w:marRight w:val="0"/>
      <w:marTop w:val="0"/>
      <w:marBottom w:val="0"/>
      <w:divBdr>
        <w:top w:val="none" w:sz="0" w:space="0" w:color="auto"/>
        <w:left w:val="none" w:sz="0" w:space="0" w:color="auto"/>
        <w:bottom w:val="none" w:sz="0" w:space="0" w:color="auto"/>
        <w:right w:val="none" w:sz="0" w:space="0" w:color="auto"/>
      </w:divBdr>
    </w:div>
    <w:div w:id="364595493">
      <w:bodyDiv w:val="1"/>
      <w:marLeft w:val="0"/>
      <w:marRight w:val="0"/>
      <w:marTop w:val="0"/>
      <w:marBottom w:val="0"/>
      <w:divBdr>
        <w:top w:val="none" w:sz="0" w:space="0" w:color="auto"/>
        <w:left w:val="none" w:sz="0" w:space="0" w:color="auto"/>
        <w:bottom w:val="none" w:sz="0" w:space="0" w:color="auto"/>
        <w:right w:val="none" w:sz="0" w:space="0" w:color="auto"/>
      </w:divBdr>
    </w:div>
    <w:div w:id="364597858">
      <w:bodyDiv w:val="1"/>
      <w:marLeft w:val="0"/>
      <w:marRight w:val="0"/>
      <w:marTop w:val="0"/>
      <w:marBottom w:val="0"/>
      <w:divBdr>
        <w:top w:val="none" w:sz="0" w:space="0" w:color="auto"/>
        <w:left w:val="none" w:sz="0" w:space="0" w:color="auto"/>
        <w:bottom w:val="none" w:sz="0" w:space="0" w:color="auto"/>
        <w:right w:val="none" w:sz="0" w:space="0" w:color="auto"/>
      </w:divBdr>
    </w:div>
    <w:div w:id="364670890">
      <w:bodyDiv w:val="1"/>
      <w:marLeft w:val="0"/>
      <w:marRight w:val="0"/>
      <w:marTop w:val="0"/>
      <w:marBottom w:val="0"/>
      <w:divBdr>
        <w:top w:val="none" w:sz="0" w:space="0" w:color="auto"/>
        <w:left w:val="none" w:sz="0" w:space="0" w:color="auto"/>
        <w:bottom w:val="none" w:sz="0" w:space="0" w:color="auto"/>
        <w:right w:val="none" w:sz="0" w:space="0" w:color="auto"/>
      </w:divBdr>
    </w:div>
    <w:div w:id="364717451">
      <w:bodyDiv w:val="1"/>
      <w:marLeft w:val="0"/>
      <w:marRight w:val="0"/>
      <w:marTop w:val="0"/>
      <w:marBottom w:val="0"/>
      <w:divBdr>
        <w:top w:val="none" w:sz="0" w:space="0" w:color="auto"/>
        <w:left w:val="none" w:sz="0" w:space="0" w:color="auto"/>
        <w:bottom w:val="none" w:sz="0" w:space="0" w:color="auto"/>
        <w:right w:val="none" w:sz="0" w:space="0" w:color="auto"/>
      </w:divBdr>
    </w:div>
    <w:div w:id="364790436">
      <w:bodyDiv w:val="1"/>
      <w:marLeft w:val="0"/>
      <w:marRight w:val="0"/>
      <w:marTop w:val="0"/>
      <w:marBottom w:val="0"/>
      <w:divBdr>
        <w:top w:val="none" w:sz="0" w:space="0" w:color="auto"/>
        <w:left w:val="none" w:sz="0" w:space="0" w:color="auto"/>
        <w:bottom w:val="none" w:sz="0" w:space="0" w:color="auto"/>
        <w:right w:val="none" w:sz="0" w:space="0" w:color="auto"/>
      </w:divBdr>
    </w:div>
    <w:div w:id="364793077">
      <w:bodyDiv w:val="1"/>
      <w:marLeft w:val="0"/>
      <w:marRight w:val="0"/>
      <w:marTop w:val="0"/>
      <w:marBottom w:val="0"/>
      <w:divBdr>
        <w:top w:val="none" w:sz="0" w:space="0" w:color="auto"/>
        <w:left w:val="none" w:sz="0" w:space="0" w:color="auto"/>
        <w:bottom w:val="none" w:sz="0" w:space="0" w:color="auto"/>
        <w:right w:val="none" w:sz="0" w:space="0" w:color="auto"/>
      </w:divBdr>
    </w:div>
    <w:div w:id="364865941">
      <w:bodyDiv w:val="1"/>
      <w:marLeft w:val="0"/>
      <w:marRight w:val="0"/>
      <w:marTop w:val="0"/>
      <w:marBottom w:val="0"/>
      <w:divBdr>
        <w:top w:val="none" w:sz="0" w:space="0" w:color="auto"/>
        <w:left w:val="none" w:sz="0" w:space="0" w:color="auto"/>
        <w:bottom w:val="none" w:sz="0" w:space="0" w:color="auto"/>
        <w:right w:val="none" w:sz="0" w:space="0" w:color="auto"/>
      </w:divBdr>
    </w:div>
    <w:div w:id="364868106">
      <w:bodyDiv w:val="1"/>
      <w:marLeft w:val="0"/>
      <w:marRight w:val="0"/>
      <w:marTop w:val="0"/>
      <w:marBottom w:val="0"/>
      <w:divBdr>
        <w:top w:val="none" w:sz="0" w:space="0" w:color="auto"/>
        <w:left w:val="none" w:sz="0" w:space="0" w:color="auto"/>
        <w:bottom w:val="none" w:sz="0" w:space="0" w:color="auto"/>
        <w:right w:val="none" w:sz="0" w:space="0" w:color="auto"/>
      </w:divBdr>
    </w:div>
    <w:div w:id="364868263">
      <w:bodyDiv w:val="1"/>
      <w:marLeft w:val="0"/>
      <w:marRight w:val="0"/>
      <w:marTop w:val="0"/>
      <w:marBottom w:val="0"/>
      <w:divBdr>
        <w:top w:val="none" w:sz="0" w:space="0" w:color="auto"/>
        <w:left w:val="none" w:sz="0" w:space="0" w:color="auto"/>
        <w:bottom w:val="none" w:sz="0" w:space="0" w:color="auto"/>
        <w:right w:val="none" w:sz="0" w:space="0" w:color="auto"/>
      </w:divBdr>
    </w:div>
    <w:div w:id="364868640">
      <w:bodyDiv w:val="1"/>
      <w:marLeft w:val="0"/>
      <w:marRight w:val="0"/>
      <w:marTop w:val="0"/>
      <w:marBottom w:val="0"/>
      <w:divBdr>
        <w:top w:val="none" w:sz="0" w:space="0" w:color="auto"/>
        <w:left w:val="none" w:sz="0" w:space="0" w:color="auto"/>
        <w:bottom w:val="none" w:sz="0" w:space="0" w:color="auto"/>
        <w:right w:val="none" w:sz="0" w:space="0" w:color="auto"/>
      </w:divBdr>
    </w:div>
    <w:div w:id="364912881">
      <w:bodyDiv w:val="1"/>
      <w:marLeft w:val="0"/>
      <w:marRight w:val="0"/>
      <w:marTop w:val="0"/>
      <w:marBottom w:val="0"/>
      <w:divBdr>
        <w:top w:val="none" w:sz="0" w:space="0" w:color="auto"/>
        <w:left w:val="none" w:sz="0" w:space="0" w:color="auto"/>
        <w:bottom w:val="none" w:sz="0" w:space="0" w:color="auto"/>
        <w:right w:val="none" w:sz="0" w:space="0" w:color="auto"/>
      </w:divBdr>
    </w:div>
    <w:div w:id="365064170">
      <w:bodyDiv w:val="1"/>
      <w:marLeft w:val="0"/>
      <w:marRight w:val="0"/>
      <w:marTop w:val="0"/>
      <w:marBottom w:val="0"/>
      <w:divBdr>
        <w:top w:val="none" w:sz="0" w:space="0" w:color="auto"/>
        <w:left w:val="none" w:sz="0" w:space="0" w:color="auto"/>
        <w:bottom w:val="none" w:sz="0" w:space="0" w:color="auto"/>
        <w:right w:val="none" w:sz="0" w:space="0" w:color="auto"/>
      </w:divBdr>
    </w:div>
    <w:div w:id="365066247">
      <w:bodyDiv w:val="1"/>
      <w:marLeft w:val="0"/>
      <w:marRight w:val="0"/>
      <w:marTop w:val="0"/>
      <w:marBottom w:val="0"/>
      <w:divBdr>
        <w:top w:val="none" w:sz="0" w:space="0" w:color="auto"/>
        <w:left w:val="none" w:sz="0" w:space="0" w:color="auto"/>
        <w:bottom w:val="none" w:sz="0" w:space="0" w:color="auto"/>
        <w:right w:val="none" w:sz="0" w:space="0" w:color="auto"/>
      </w:divBdr>
    </w:div>
    <w:div w:id="365255520">
      <w:bodyDiv w:val="1"/>
      <w:marLeft w:val="0"/>
      <w:marRight w:val="0"/>
      <w:marTop w:val="0"/>
      <w:marBottom w:val="0"/>
      <w:divBdr>
        <w:top w:val="none" w:sz="0" w:space="0" w:color="auto"/>
        <w:left w:val="none" w:sz="0" w:space="0" w:color="auto"/>
        <w:bottom w:val="none" w:sz="0" w:space="0" w:color="auto"/>
        <w:right w:val="none" w:sz="0" w:space="0" w:color="auto"/>
      </w:divBdr>
    </w:div>
    <w:div w:id="365369061">
      <w:bodyDiv w:val="1"/>
      <w:marLeft w:val="0"/>
      <w:marRight w:val="0"/>
      <w:marTop w:val="0"/>
      <w:marBottom w:val="0"/>
      <w:divBdr>
        <w:top w:val="none" w:sz="0" w:space="0" w:color="auto"/>
        <w:left w:val="none" w:sz="0" w:space="0" w:color="auto"/>
        <w:bottom w:val="none" w:sz="0" w:space="0" w:color="auto"/>
        <w:right w:val="none" w:sz="0" w:space="0" w:color="auto"/>
      </w:divBdr>
    </w:div>
    <w:div w:id="365376363">
      <w:bodyDiv w:val="1"/>
      <w:marLeft w:val="0"/>
      <w:marRight w:val="0"/>
      <w:marTop w:val="0"/>
      <w:marBottom w:val="0"/>
      <w:divBdr>
        <w:top w:val="none" w:sz="0" w:space="0" w:color="auto"/>
        <w:left w:val="none" w:sz="0" w:space="0" w:color="auto"/>
        <w:bottom w:val="none" w:sz="0" w:space="0" w:color="auto"/>
        <w:right w:val="none" w:sz="0" w:space="0" w:color="auto"/>
      </w:divBdr>
    </w:div>
    <w:div w:id="365444947">
      <w:bodyDiv w:val="1"/>
      <w:marLeft w:val="0"/>
      <w:marRight w:val="0"/>
      <w:marTop w:val="0"/>
      <w:marBottom w:val="0"/>
      <w:divBdr>
        <w:top w:val="none" w:sz="0" w:space="0" w:color="auto"/>
        <w:left w:val="none" w:sz="0" w:space="0" w:color="auto"/>
        <w:bottom w:val="none" w:sz="0" w:space="0" w:color="auto"/>
        <w:right w:val="none" w:sz="0" w:space="0" w:color="auto"/>
      </w:divBdr>
    </w:div>
    <w:div w:id="365494763">
      <w:bodyDiv w:val="1"/>
      <w:marLeft w:val="0"/>
      <w:marRight w:val="0"/>
      <w:marTop w:val="0"/>
      <w:marBottom w:val="0"/>
      <w:divBdr>
        <w:top w:val="none" w:sz="0" w:space="0" w:color="auto"/>
        <w:left w:val="none" w:sz="0" w:space="0" w:color="auto"/>
        <w:bottom w:val="none" w:sz="0" w:space="0" w:color="auto"/>
        <w:right w:val="none" w:sz="0" w:space="0" w:color="auto"/>
      </w:divBdr>
    </w:div>
    <w:div w:id="365495014">
      <w:bodyDiv w:val="1"/>
      <w:marLeft w:val="0"/>
      <w:marRight w:val="0"/>
      <w:marTop w:val="0"/>
      <w:marBottom w:val="0"/>
      <w:divBdr>
        <w:top w:val="none" w:sz="0" w:space="0" w:color="auto"/>
        <w:left w:val="none" w:sz="0" w:space="0" w:color="auto"/>
        <w:bottom w:val="none" w:sz="0" w:space="0" w:color="auto"/>
        <w:right w:val="none" w:sz="0" w:space="0" w:color="auto"/>
      </w:divBdr>
    </w:div>
    <w:div w:id="365523904">
      <w:bodyDiv w:val="1"/>
      <w:marLeft w:val="0"/>
      <w:marRight w:val="0"/>
      <w:marTop w:val="0"/>
      <w:marBottom w:val="0"/>
      <w:divBdr>
        <w:top w:val="none" w:sz="0" w:space="0" w:color="auto"/>
        <w:left w:val="none" w:sz="0" w:space="0" w:color="auto"/>
        <w:bottom w:val="none" w:sz="0" w:space="0" w:color="auto"/>
        <w:right w:val="none" w:sz="0" w:space="0" w:color="auto"/>
      </w:divBdr>
    </w:div>
    <w:div w:id="365525729">
      <w:bodyDiv w:val="1"/>
      <w:marLeft w:val="0"/>
      <w:marRight w:val="0"/>
      <w:marTop w:val="0"/>
      <w:marBottom w:val="0"/>
      <w:divBdr>
        <w:top w:val="none" w:sz="0" w:space="0" w:color="auto"/>
        <w:left w:val="none" w:sz="0" w:space="0" w:color="auto"/>
        <w:bottom w:val="none" w:sz="0" w:space="0" w:color="auto"/>
        <w:right w:val="none" w:sz="0" w:space="0" w:color="auto"/>
      </w:divBdr>
    </w:div>
    <w:div w:id="365562929">
      <w:bodyDiv w:val="1"/>
      <w:marLeft w:val="0"/>
      <w:marRight w:val="0"/>
      <w:marTop w:val="0"/>
      <w:marBottom w:val="0"/>
      <w:divBdr>
        <w:top w:val="none" w:sz="0" w:space="0" w:color="auto"/>
        <w:left w:val="none" w:sz="0" w:space="0" w:color="auto"/>
        <w:bottom w:val="none" w:sz="0" w:space="0" w:color="auto"/>
        <w:right w:val="none" w:sz="0" w:space="0" w:color="auto"/>
      </w:divBdr>
    </w:div>
    <w:div w:id="365567482">
      <w:bodyDiv w:val="1"/>
      <w:marLeft w:val="0"/>
      <w:marRight w:val="0"/>
      <w:marTop w:val="0"/>
      <w:marBottom w:val="0"/>
      <w:divBdr>
        <w:top w:val="none" w:sz="0" w:space="0" w:color="auto"/>
        <w:left w:val="none" w:sz="0" w:space="0" w:color="auto"/>
        <w:bottom w:val="none" w:sz="0" w:space="0" w:color="auto"/>
        <w:right w:val="none" w:sz="0" w:space="0" w:color="auto"/>
      </w:divBdr>
    </w:div>
    <w:div w:id="365715462">
      <w:bodyDiv w:val="1"/>
      <w:marLeft w:val="0"/>
      <w:marRight w:val="0"/>
      <w:marTop w:val="0"/>
      <w:marBottom w:val="0"/>
      <w:divBdr>
        <w:top w:val="none" w:sz="0" w:space="0" w:color="auto"/>
        <w:left w:val="none" w:sz="0" w:space="0" w:color="auto"/>
        <w:bottom w:val="none" w:sz="0" w:space="0" w:color="auto"/>
        <w:right w:val="none" w:sz="0" w:space="0" w:color="auto"/>
      </w:divBdr>
    </w:div>
    <w:div w:id="365836447">
      <w:bodyDiv w:val="1"/>
      <w:marLeft w:val="0"/>
      <w:marRight w:val="0"/>
      <w:marTop w:val="0"/>
      <w:marBottom w:val="0"/>
      <w:divBdr>
        <w:top w:val="none" w:sz="0" w:space="0" w:color="auto"/>
        <w:left w:val="none" w:sz="0" w:space="0" w:color="auto"/>
        <w:bottom w:val="none" w:sz="0" w:space="0" w:color="auto"/>
        <w:right w:val="none" w:sz="0" w:space="0" w:color="auto"/>
      </w:divBdr>
    </w:div>
    <w:div w:id="365905947">
      <w:bodyDiv w:val="1"/>
      <w:marLeft w:val="0"/>
      <w:marRight w:val="0"/>
      <w:marTop w:val="0"/>
      <w:marBottom w:val="0"/>
      <w:divBdr>
        <w:top w:val="none" w:sz="0" w:space="0" w:color="auto"/>
        <w:left w:val="none" w:sz="0" w:space="0" w:color="auto"/>
        <w:bottom w:val="none" w:sz="0" w:space="0" w:color="auto"/>
        <w:right w:val="none" w:sz="0" w:space="0" w:color="auto"/>
      </w:divBdr>
    </w:div>
    <w:div w:id="365906132">
      <w:bodyDiv w:val="1"/>
      <w:marLeft w:val="0"/>
      <w:marRight w:val="0"/>
      <w:marTop w:val="0"/>
      <w:marBottom w:val="0"/>
      <w:divBdr>
        <w:top w:val="none" w:sz="0" w:space="0" w:color="auto"/>
        <w:left w:val="none" w:sz="0" w:space="0" w:color="auto"/>
        <w:bottom w:val="none" w:sz="0" w:space="0" w:color="auto"/>
        <w:right w:val="none" w:sz="0" w:space="0" w:color="auto"/>
      </w:divBdr>
    </w:div>
    <w:div w:id="365907751">
      <w:bodyDiv w:val="1"/>
      <w:marLeft w:val="0"/>
      <w:marRight w:val="0"/>
      <w:marTop w:val="0"/>
      <w:marBottom w:val="0"/>
      <w:divBdr>
        <w:top w:val="none" w:sz="0" w:space="0" w:color="auto"/>
        <w:left w:val="none" w:sz="0" w:space="0" w:color="auto"/>
        <w:bottom w:val="none" w:sz="0" w:space="0" w:color="auto"/>
        <w:right w:val="none" w:sz="0" w:space="0" w:color="auto"/>
      </w:divBdr>
    </w:div>
    <w:div w:id="366033021">
      <w:bodyDiv w:val="1"/>
      <w:marLeft w:val="0"/>
      <w:marRight w:val="0"/>
      <w:marTop w:val="0"/>
      <w:marBottom w:val="0"/>
      <w:divBdr>
        <w:top w:val="none" w:sz="0" w:space="0" w:color="auto"/>
        <w:left w:val="none" w:sz="0" w:space="0" w:color="auto"/>
        <w:bottom w:val="none" w:sz="0" w:space="0" w:color="auto"/>
        <w:right w:val="none" w:sz="0" w:space="0" w:color="auto"/>
      </w:divBdr>
    </w:div>
    <w:div w:id="366107065">
      <w:bodyDiv w:val="1"/>
      <w:marLeft w:val="0"/>
      <w:marRight w:val="0"/>
      <w:marTop w:val="0"/>
      <w:marBottom w:val="0"/>
      <w:divBdr>
        <w:top w:val="none" w:sz="0" w:space="0" w:color="auto"/>
        <w:left w:val="none" w:sz="0" w:space="0" w:color="auto"/>
        <w:bottom w:val="none" w:sz="0" w:space="0" w:color="auto"/>
        <w:right w:val="none" w:sz="0" w:space="0" w:color="auto"/>
      </w:divBdr>
    </w:div>
    <w:div w:id="366178414">
      <w:bodyDiv w:val="1"/>
      <w:marLeft w:val="0"/>
      <w:marRight w:val="0"/>
      <w:marTop w:val="0"/>
      <w:marBottom w:val="0"/>
      <w:divBdr>
        <w:top w:val="none" w:sz="0" w:space="0" w:color="auto"/>
        <w:left w:val="none" w:sz="0" w:space="0" w:color="auto"/>
        <w:bottom w:val="none" w:sz="0" w:space="0" w:color="auto"/>
        <w:right w:val="none" w:sz="0" w:space="0" w:color="auto"/>
      </w:divBdr>
    </w:div>
    <w:div w:id="366178947">
      <w:bodyDiv w:val="1"/>
      <w:marLeft w:val="0"/>
      <w:marRight w:val="0"/>
      <w:marTop w:val="0"/>
      <w:marBottom w:val="0"/>
      <w:divBdr>
        <w:top w:val="none" w:sz="0" w:space="0" w:color="auto"/>
        <w:left w:val="none" w:sz="0" w:space="0" w:color="auto"/>
        <w:bottom w:val="none" w:sz="0" w:space="0" w:color="auto"/>
        <w:right w:val="none" w:sz="0" w:space="0" w:color="auto"/>
      </w:divBdr>
    </w:div>
    <w:div w:id="366222315">
      <w:bodyDiv w:val="1"/>
      <w:marLeft w:val="0"/>
      <w:marRight w:val="0"/>
      <w:marTop w:val="0"/>
      <w:marBottom w:val="0"/>
      <w:divBdr>
        <w:top w:val="none" w:sz="0" w:space="0" w:color="auto"/>
        <w:left w:val="none" w:sz="0" w:space="0" w:color="auto"/>
        <w:bottom w:val="none" w:sz="0" w:space="0" w:color="auto"/>
        <w:right w:val="none" w:sz="0" w:space="0" w:color="auto"/>
      </w:divBdr>
    </w:div>
    <w:div w:id="366293471">
      <w:bodyDiv w:val="1"/>
      <w:marLeft w:val="0"/>
      <w:marRight w:val="0"/>
      <w:marTop w:val="0"/>
      <w:marBottom w:val="0"/>
      <w:divBdr>
        <w:top w:val="none" w:sz="0" w:space="0" w:color="auto"/>
        <w:left w:val="none" w:sz="0" w:space="0" w:color="auto"/>
        <w:bottom w:val="none" w:sz="0" w:space="0" w:color="auto"/>
        <w:right w:val="none" w:sz="0" w:space="0" w:color="auto"/>
      </w:divBdr>
    </w:div>
    <w:div w:id="366375858">
      <w:bodyDiv w:val="1"/>
      <w:marLeft w:val="0"/>
      <w:marRight w:val="0"/>
      <w:marTop w:val="0"/>
      <w:marBottom w:val="0"/>
      <w:divBdr>
        <w:top w:val="none" w:sz="0" w:space="0" w:color="auto"/>
        <w:left w:val="none" w:sz="0" w:space="0" w:color="auto"/>
        <w:bottom w:val="none" w:sz="0" w:space="0" w:color="auto"/>
        <w:right w:val="none" w:sz="0" w:space="0" w:color="auto"/>
      </w:divBdr>
    </w:div>
    <w:div w:id="366419170">
      <w:bodyDiv w:val="1"/>
      <w:marLeft w:val="0"/>
      <w:marRight w:val="0"/>
      <w:marTop w:val="0"/>
      <w:marBottom w:val="0"/>
      <w:divBdr>
        <w:top w:val="none" w:sz="0" w:space="0" w:color="auto"/>
        <w:left w:val="none" w:sz="0" w:space="0" w:color="auto"/>
        <w:bottom w:val="none" w:sz="0" w:space="0" w:color="auto"/>
        <w:right w:val="none" w:sz="0" w:space="0" w:color="auto"/>
      </w:divBdr>
    </w:div>
    <w:div w:id="366495550">
      <w:bodyDiv w:val="1"/>
      <w:marLeft w:val="0"/>
      <w:marRight w:val="0"/>
      <w:marTop w:val="0"/>
      <w:marBottom w:val="0"/>
      <w:divBdr>
        <w:top w:val="none" w:sz="0" w:space="0" w:color="auto"/>
        <w:left w:val="none" w:sz="0" w:space="0" w:color="auto"/>
        <w:bottom w:val="none" w:sz="0" w:space="0" w:color="auto"/>
        <w:right w:val="none" w:sz="0" w:space="0" w:color="auto"/>
      </w:divBdr>
    </w:div>
    <w:div w:id="366639439">
      <w:bodyDiv w:val="1"/>
      <w:marLeft w:val="0"/>
      <w:marRight w:val="0"/>
      <w:marTop w:val="0"/>
      <w:marBottom w:val="0"/>
      <w:divBdr>
        <w:top w:val="none" w:sz="0" w:space="0" w:color="auto"/>
        <w:left w:val="none" w:sz="0" w:space="0" w:color="auto"/>
        <w:bottom w:val="none" w:sz="0" w:space="0" w:color="auto"/>
        <w:right w:val="none" w:sz="0" w:space="0" w:color="auto"/>
      </w:divBdr>
    </w:div>
    <w:div w:id="366759038">
      <w:bodyDiv w:val="1"/>
      <w:marLeft w:val="0"/>
      <w:marRight w:val="0"/>
      <w:marTop w:val="0"/>
      <w:marBottom w:val="0"/>
      <w:divBdr>
        <w:top w:val="none" w:sz="0" w:space="0" w:color="auto"/>
        <w:left w:val="none" w:sz="0" w:space="0" w:color="auto"/>
        <w:bottom w:val="none" w:sz="0" w:space="0" w:color="auto"/>
        <w:right w:val="none" w:sz="0" w:space="0" w:color="auto"/>
      </w:divBdr>
    </w:div>
    <w:div w:id="366876914">
      <w:bodyDiv w:val="1"/>
      <w:marLeft w:val="0"/>
      <w:marRight w:val="0"/>
      <w:marTop w:val="0"/>
      <w:marBottom w:val="0"/>
      <w:divBdr>
        <w:top w:val="none" w:sz="0" w:space="0" w:color="auto"/>
        <w:left w:val="none" w:sz="0" w:space="0" w:color="auto"/>
        <w:bottom w:val="none" w:sz="0" w:space="0" w:color="auto"/>
        <w:right w:val="none" w:sz="0" w:space="0" w:color="auto"/>
      </w:divBdr>
    </w:div>
    <w:div w:id="366950564">
      <w:bodyDiv w:val="1"/>
      <w:marLeft w:val="0"/>
      <w:marRight w:val="0"/>
      <w:marTop w:val="0"/>
      <w:marBottom w:val="0"/>
      <w:divBdr>
        <w:top w:val="none" w:sz="0" w:space="0" w:color="auto"/>
        <w:left w:val="none" w:sz="0" w:space="0" w:color="auto"/>
        <w:bottom w:val="none" w:sz="0" w:space="0" w:color="auto"/>
        <w:right w:val="none" w:sz="0" w:space="0" w:color="auto"/>
      </w:divBdr>
    </w:div>
    <w:div w:id="367294065">
      <w:bodyDiv w:val="1"/>
      <w:marLeft w:val="0"/>
      <w:marRight w:val="0"/>
      <w:marTop w:val="0"/>
      <w:marBottom w:val="0"/>
      <w:divBdr>
        <w:top w:val="none" w:sz="0" w:space="0" w:color="auto"/>
        <w:left w:val="none" w:sz="0" w:space="0" w:color="auto"/>
        <w:bottom w:val="none" w:sz="0" w:space="0" w:color="auto"/>
        <w:right w:val="none" w:sz="0" w:space="0" w:color="auto"/>
      </w:divBdr>
    </w:div>
    <w:div w:id="367605926">
      <w:bodyDiv w:val="1"/>
      <w:marLeft w:val="0"/>
      <w:marRight w:val="0"/>
      <w:marTop w:val="0"/>
      <w:marBottom w:val="0"/>
      <w:divBdr>
        <w:top w:val="none" w:sz="0" w:space="0" w:color="auto"/>
        <w:left w:val="none" w:sz="0" w:space="0" w:color="auto"/>
        <w:bottom w:val="none" w:sz="0" w:space="0" w:color="auto"/>
        <w:right w:val="none" w:sz="0" w:space="0" w:color="auto"/>
      </w:divBdr>
    </w:div>
    <w:div w:id="367606250">
      <w:bodyDiv w:val="1"/>
      <w:marLeft w:val="0"/>
      <w:marRight w:val="0"/>
      <w:marTop w:val="0"/>
      <w:marBottom w:val="0"/>
      <w:divBdr>
        <w:top w:val="none" w:sz="0" w:space="0" w:color="auto"/>
        <w:left w:val="none" w:sz="0" w:space="0" w:color="auto"/>
        <w:bottom w:val="none" w:sz="0" w:space="0" w:color="auto"/>
        <w:right w:val="none" w:sz="0" w:space="0" w:color="auto"/>
      </w:divBdr>
    </w:div>
    <w:div w:id="367678655">
      <w:bodyDiv w:val="1"/>
      <w:marLeft w:val="0"/>
      <w:marRight w:val="0"/>
      <w:marTop w:val="0"/>
      <w:marBottom w:val="0"/>
      <w:divBdr>
        <w:top w:val="none" w:sz="0" w:space="0" w:color="auto"/>
        <w:left w:val="none" w:sz="0" w:space="0" w:color="auto"/>
        <w:bottom w:val="none" w:sz="0" w:space="0" w:color="auto"/>
        <w:right w:val="none" w:sz="0" w:space="0" w:color="auto"/>
      </w:divBdr>
    </w:div>
    <w:div w:id="367679210">
      <w:bodyDiv w:val="1"/>
      <w:marLeft w:val="0"/>
      <w:marRight w:val="0"/>
      <w:marTop w:val="0"/>
      <w:marBottom w:val="0"/>
      <w:divBdr>
        <w:top w:val="none" w:sz="0" w:space="0" w:color="auto"/>
        <w:left w:val="none" w:sz="0" w:space="0" w:color="auto"/>
        <w:bottom w:val="none" w:sz="0" w:space="0" w:color="auto"/>
        <w:right w:val="none" w:sz="0" w:space="0" w:color="auto"/>
      </w:divBdr>
    </w:div>
    <w:div w:id="367681865">
      <w:bodyDiv w:val="1"/>
      <w:marLeft w:val="0"/>
      <w:marRight w:val="0"/>
      <w:marTop w:val="0"/>
      <w:marBottom w:val="0"/>
      <w:divBdr>
        <w:top w:val="none" w:sz="0" w:space="0" w:color="auto"/>
        <w:left w:val="none" w:sz="0" w:space="0" w:color="auto"/>
        <w:bottom w:val="none" w:sz="0" w:space="0" w:color="auto"/>
        <w:right w:val="none" w:sz="0" w:space="0" w:color="auto"/>
      </w:divBdr>
    </w:div>
    <w:div w:id="367722982">
      <w:bodyDiv w:val="1"/>
      <w:marLeft w:val="0"/>
      <w:marRight w:val="0"/>
      <w:marTop w:val="0"/>
      <w:marBottom w:val="0"/>
      <w:divBdr>
        <w:top w:val="none" w:sz="0" w:space="0" w:color="auto"/>
        <w:left w:val="none" w:sz="0" w:space="0" w:color="auto"/>
        <w:bottom w:val="none" w:sz="0" w:space="0" w:color="auto"/>
        <w:right w:val="none" w:sz="0" w:space="0" w:color="auto"/>
      </w:divBdr>
    </w:div>
    <w:div w:id="367803008">
      <w:bodyDiv w:val="1"/>
      <w:marLeft w:val="0"/>
      <w:marRight w:val="0"/>
      <w:marTop w:val="0"/>
      <w:marBottom w:val="0"/>
      <w:divBdr>
        <w:top w:val="none" w:sz="0" w:space="0" w:color="auto"/>
        <w:left w:val="none" w:sz="0" w:space="0" w:color="auto"/>
        <w:bottom w:val="none" w:sz="0" w:space="0" w:color="auto"/>
        <w:right w:val="none" w:sz="0" w:space="0" w:color="auto"/>
      </w:divBdr>
    </w:div>
    <w:div w:id="367874181">
      <w:bodyDiv w:val="1"/>
      <w:marLeft w:val="0"/>
      <w:marRight w:val="0"/>
      <w:marTop w:val="0"/>
      <w:marBottom w:val="0"/>
      <w:divBdr>
        <w:top w:val="none" w:sz="0" w:space="0" w:color="auto"/>
        <w:left w:val="none" w:sz="0" w:space="0" w:color="auto"/>
        <w:bottom w:val="none" w:sz="0" w:space="0" w:color="auto"/>
        <w:right w:val="none" w:sz="0" w:space="0" w:color="auto"/>
      </w:divBdr>
    </w:div>
    <w:div w:id="367876058">
      <w:bodyDiv w:val="1"/>
      <w:marLeft w:val="0"/>
      <w:marRight w:val="0"/>
      <w:marTop w:val="0"/>
      <w:marBottom w:val="0"/>
      <w:divBdr>
        <w:top w:val="none" w:sz="0" w:space="0" w:color="auto"/>
        <w:left w:val="none" w:sz="0" w:space="0" w:color="auto"/>
        <w:bottom w:val="none" w:sz="0" w:space="0" w:color="auto"/>
        <w:right w:val="none" w:sz="0" w:space="0" w:color="auto"/>
      </w:divBdr>
    </w:div>
    <w:div w:id="367951545">
      <w:bodyDiv w:val="1"/>
      <w:marLeft w:val="0"/>
      <w:marRight w:val="0"/>
      <w:marTop w:val="0"/>
      <w:marBottom w:val="0"/>
      <w:divBdr>
        <w:top w:val="none" w:sz="0" w:space="0" w:color="auto"/>
        <w:left w:val="none" w:sz="0" w:space="0" w:color="auto"/>
        <w:bottom w:val="none" w:sz="0" w:space="0" w:color="auto"/>
        <w:right w:val="none" w:sz="0" w:space="0" w:color="auto"/>
      </w:divBdr>
    </w:div>
    <w:div w:id="367990035">
      <w:bodyDiv w:val="1"/>
      <w:marLeft w:val="0"/>
      <w:marRight w:val="0"/>
      <w:marTop w:val="0"/>
      <w:marBottom w:val="0"/>
      <w:divBdr>
        <w:top w:val="none" w:sz="0" w:space="0" w:color="auto"/>
        <w:left w:val="none" w:sz="0" w:space="0" w:color="auto"/>
        <w:bottom w:val="none" w:sz="0" w:space="0" w:color="auto"/>
        <w:right w:val="none" w:sz="0" w:space="0" w:color="auto"/>
      </w:divBdr>
    </w:div>
    <w:div w:id="367994786">
      <w:bodyDiv w:val="1"/>
      <w:marLeft w:val="0"/>
      <w:marRight w:val="0"/>
      <w:marTop w:val="0"/>
      <w:marBottom w:val="0"/>
      <w:divBdr>
        <w:top w:val="none" w:sz="0" w:space="0" w:color="auto"/>
        <w:left w:val="none" w:sz="0" w:space="0" w:color="auto"/>
        <w:bottom w:val="none" w:sz="0" w:space="0" w:color="auto"/>
        <w:right w:val="none" w:sz="0" w:space="0" w:color="auto"/>
      </w:divBdr>
    </w:div>
    <w:div w:id="368065291">
      <w:bodyDiv w:val="1"/>
      <w:marLeft w:val="0"/>
      <w:marRight w:val="0"/>
      <w:marTop w:val="0"/>
      <w:marBottom w:val="0"/>
      <w:divBdr>
        <w:top w:val="none" w:sz="0" w:space="0" w:color="auto"/>
        <w:left w:val="none" w:sz="0" w:space="0" w:color="auto"/>
        <w:bottom w:val="none" w:sz="0" w:space="0" w:color="auto"/>
        <w:right w:val="none" w:sz="0" w:space="0" w:color="auto"/>
      </w:divBdr>
    </w:div>
    <w:div w:id="368071147">
      <w:bodyDiv w:val="1"/>
      <w:marLeft w:val="0"/>
      <w:marRight w:val="0"/>
      <w:marTop w:val="0"/>
      <w:marBottom w:val="0"/>
      <w:divBdr>
        <w:top w:val="none" w:sz="0" w:space="0" w:color="auto"/>
        <w:left w:val="none" w:sz="0" w:space="0" w:color="auto"/>
        <w:bottom w:val="none" w:sz="0" w:space="0" w:color="auto"/>
        <w:right w:val="none" w:sz="0" w:space="0" w:color="auto"/>
      </w:divBdr>
    </w:div>
    <w:div w:id="368074120">
      <w:bodyDiv w:val="1"/>
      <w:marLeft w:val="0"/>
      <w:marRight w:val="0"/>
      <w:marTop w:val="0"/>
      <w:marBottom w:val="0"/>
      <w:divBdr>
        <w:top w:val="none" w:sz="0" w:space="0" w:color="auto"/>
        <w:left w:val="none" w:sz="0" w:space="0" w:color="auto"/>
        <w:bottom w:val="none" w:sz="0" w:space="0" w:color="auto"/>
        <w:right w:val="none" w:sz="0" w:space="0" w:color="auto"/>
      </w:divBdr>
    </w:div>
    <w:div w:id="368184871">
      <w:bodyDiv w:val="1"/>
      <w:marLeft w:val="0"/>
      <w:marRight w:val="0"/>
      <w:marTop w:val="0"/>
      <w:marBottom w:val="0"/>
      <w:divBdr>
        <w:top w:val="none" w:sz="0" w:space="0" w:color="auto"/>
        <w:left w:val="none" w:sz="0" w:space="0" w:color="auto"/>
        <w:bottom w:val="none" w:sz="0" w:space="0" w:color="auto"/>
        <w:right w:val="none" w:sz="0" w:space="0" w:color="auto"/>
      </w:divBdr>
    </w:div>
    <w:div w:id="368187503">
      <w:bodyDiv w:val="1"/>
      <w:marLeft w:val="0"/>
      <w:marRight w:val="0"/>
      <w:marTop w:val="0"/>
      <w:marBottom w:val="0"/>
      <w:divBdr>
        <w:top w:val="none" w:sz="0" w:space="0" w:color="auto"/>
        <w:left w:val="none" w:sz="0" w:space="0" w:color="auto"/>
        <w:bottom w:val="none" w:sz="0" w:space="0" w:color="auto"/>
        <w:right w:val="none" w:sz="0" w:space="0" w:color="auto"/>
      </w:divBdr>
    </w:div>
    <w:div w:id="368259360">
      <w:bodyDiv w:val="1"/>
      <w:marLeft w:val="0"/>
      <w:marRight w:val="0"/>
      <w:marTop w:val="0"/>
      <w:marBottom w:val="0"/>
      <w:divBdr>
        <w:top w:val="none" w:sz="0" w:space="0" w:color="auto"/>
        <w:left w:val="none" w:sz="0" w:space="0" w:color="auto"/>
        <w:bottom w:val="none" w:sz="0" w:space="0" w:color="auto"/>
        <w:right w:val="none" w:sz="0" w:space="0" w:color="auto"/>
      </w:divBdr>
    </w:div>
    <w:div w:id="368453845">
      <w:bodyDiv w:val="1"/>
      <w:marLeft w:val="0"/>
      <w:marRight w:val="0"/>
      <w:marTop w:val="0"/>
      <w:marBottom w:val="0"/>
      <w:divBdr>
        <w:top w:val="none" w:sz="0" w:space="0" w:color="auto"/>
        <w:left w:val="none" w:sz="0" w:space="0" w:color="auto"/>
        <w:bottom w:val="none" w:sz="0" w:space="0" w:color="auto"/>
        <w:right w:val="none" w:sz="0" w:space="0" w:color="auto"/>
      </w:divBdr>
    </w:div>
    <w:div w:id="368458264">
      <w:bodyDiv w:val="1"/>
      <w:marLeft w:val="0"/>
      <w:marRight w:val="0"/>
      <w:marTop w:val="0"/>
      <w:marBottom w:val="0"/>
      <w:divBdr>
        <w:top w:val="none" w:sz="0" w:space="0" w:color="auto"/>
        <w:left w:val="none" w:sz="0" w:space="0" w:color="auto"/>
        <w:bottom w:val="none" w:sz="0" w:space="0" w:color="auto"/>
        <w:right w:val="none" w:sz="0" w:space="0" w:color="auto"/>
      </w:divBdr>
    </w:div>
    <w:div w:id="368533098">
      <w:bodyDiv w:val="1"/>
      <w:marLeft w:val="0"/>
      <w:marRight w:val="0"/>
      <w:marTop w:val="0"/>
      <w:marBottom w:val="0"/>
      <w:divBdr>
        <w:top w:val="none" w:sz="0" w:space="0" w:color="auto"/>
        <w:left w:val="none" w:sz="0" w:space="0" w:color="auto"/>
        <w:bottom w:val="none" w:sz="0" w:space="0" w:color="auto"/>
        <w:right w:val="none" w:sz="0" w:space="0" w:color="auto"/>
      </w:divBdr>
    </w:div>
    <w:div w:id="368603207">
      <w:bodyDiv w:val="1"/>
      <w:marLeft w:val="0"/>
      <w:marRight w:val="0"/>
      <w:marTop w:val="0"/>
      <w:marBottom w:val="0"/>
      <w:divBdr>
        <w:top w:val="none" w:sz="0" w:space="0" w:color="auto"/>
        <w:left w:val="none" w:sz="0" w:space="0" w:color="auto"/>
        <w:bottom w:val="none" w:sz="0" w:space="0" w:color="auto"/>
        <w:right w:val="none" w:sz="0" w:space="0" w:color="auto"/>
      </w:divBdr>
    </w:div>
    <w:div w:id="368645259">
      <w:bodyDiv w:val="1"/>
      <w:marLeft w:val="0"/>
      <w:marRight w:val="0"/>
      <w:marTop w:val="0"/>
      <w:marBottom w:val="0"/>
      <w:divBdr>
        <w:top w:val="none" w:sz="0" w:space="0" w:color="auto"/>
        <w:left w:val="none" w:sz="0" w:space="0" w:color="auto"/>
        <w:bottom w:val="none" w:sz="0" w:space="0" w:color="auto"/>
        <w:right w:val="none" w:sz="0" w:space="0" w:color="auto"/>
      </w:divBdr>
    </w:div>
    <w:div w:id="368647356">
      <w:bodyDiv w:val="1"/>
      <w:marLeft w:val="0"/>
      <w:marRight w:val="0"/>
      <w:marTop w:val="0"/>
      <w:marBottom w:val="0"/>
      <w:divBdr>
        <w:top w:val="none" w:sz="0" w:space="0" w:color="auto"/>
        <w:left w:val="none" w:sz="0" w:space="0" w:color="auto"/>
        <w:bottom w:val="none" w:sz="0" w:space="0" w:color="auto"/>
        <w:right w:val="none" w:sz="0" w:space="0" w:color="auto"/>
      </w:divBdr>
    </w:div>
    <w:div w:id="368647445">
      <w:bodyDiv w:val="1"/>
      <w:marLeft w:val="0"/>
      <w:marRight w:val="0"/>
      <w:marTop w:val="0"/>
      <w:marBottom w:val="0"/>
      <w:divBdr>
        <w:top w:val="none" w:sz="0" w:space="0" w:color="auto"/>
        <w:left w:val="none" w:sz="0" w:space="0" w:color="auto"/>
        <w:bottom w:val="none" w:sz="0" w:space="0" w:color="auto"/>
        <w:right w:val="none" w:sz="0" w:space="0" w:color="auto"/>
      </w:divBdr>
    </w:div>
    <w:div w:id="368772650">
      <w:bodyDiv w:val="1"/>
      <w:marLeft w:val="0"/>
      <w:marRight w:val="0"/>
      <w:marTop w:val="0"/>
      <w:marBottom w:val="0"/>
      <w:divBdr>
        <w:top w:val="none" w:sz="0" w:space="0" w:color="auto"/>
        <w:left w:val="none" w:sz="0" w:space="0" w:color="auto"/>
        <w:bottom w:val="none" w:sz="0" w:space="0" w:color="auto"/>
        <w:right w:val="none" w:sz="0" w:space="0" w:color="auto"/>
      </w:divBdr>
    </w:div>
    <w:div w:id="368797993">
      <w:bodyDiv w:val="1"/>
      <w:marLeft w:val="0"/>
      <w:marRight w:val="0"/>
      <w:marTop w:val="0"/>
      <w:marBottom w:val="0"/>
      <w:divBdr>
        <w:top w:val="none" w:sz="0" w:space="0" w:color="auto"/>
        <w:left w:val="none" w:sz="0" w:space="0" w:color="auto"/>
        <w:bottom w:val="none" w:sz="0" w:space="0" w:color="auto"/>
        <w:right w:val="none" w:sz="0" w:space="0" w:color="auto"/>
      </w:divBdr>
    </w:div>
    <w:div w:id="368802322">
      <w:bodyDiv w:val="1"/>
      <w:marLeft w:val="0"/>
      <w:marRight w:val="0"/>
      <w:marTop w:val="0"/>
      <w:marBottom w:val="0"/>
      <w:divBdr>
        <w:top w:val="none" w:sz="0" w:space="0" w:color="auto"/>
        <w:left w:val="none" w:sz="0" w:space="0" w:color="auto"/>
        <w:bottom w:val="none" w:sz="0" w:space="0" w:color="auto"/>
        <w:right w:val="none" w:sz="0" w:space="0" w:color="auto"/>
      </w:divBdr>
    </w:div>
    <w:div w:id="368844146">
      <w:bodyDiv w:val="1"/>
      <w:marLeft w:val="0"/>
      <w:marRight w:val="0"/>
      <w:marTop w:val="0"/>
      <w:marBottom w:val="0"/>
      <w:divBdr>
        <w:top w:val="none" w:sz="0" w:space="0" w:color="auto"/>
        <w:left w:val="none" w:sz="0" w:space="0" w:color="auto"/>
        <w:bottom w:val="none" w:sz="0" w:space="0" w:color="auto"/>
        <w:right w:val="none" w:sz="0" w:space="0" w:color="auto"/>
      </w:divBdr>
    </w:div>
    <w:div w:id="368919197">
      <w:bodyDiv w:val="1"/>
      <w:marLeft w:val="0"/>
      <w:marRight w:val="0"/>
      <w:marTop w:val="0"/>
      <w:marBottom w:val="0"/>
      <w:divBdr>
        <w:top w:val="none" w:sz="0" w:space="0" w:color="auto"/>
        <w:left w:val="none" w:sz="0" w:space="0" w:color="auto"/>
        <w:bottom w:val="none" w:sz="0" w:space="0" w:color="auto"/>
        <w:right w:val="none" w:sz="0" w:space="0" w:color="auto"/>
      </w:divBdr>
    </w:div>
    <w:div w:id="368923049">
      <w:bodyDiv w:val="1"/>
      <w:marLeft w:val="0"/>
      <w:marRight w:val="0"/>
      <w:marTop w:val="0"/>
      <w:marBottom w:val="0"/>
      <w:divBdr>
        <w:top w:val="none" w:sz="0" w:space="0" w:color="auto"/>
        <w:left w:val="none" w:sz="0" w:space="0" w:color="auto"/>
        <w:bottom w:val="none" w:sz="0" w:space="0" w:color="auto"/>
        <w:right w:val="none" w:sz="0" w:space="0" w:color="auto"/>
      </w:divBdr>
    </w:div>
    <w:div w:id="369185266">
      <w:bodyDiv w:val="1"/>
      <w:marLeft w:val="0"/>
      <w:marRight w:val="0"/>
      <w:marTop w:val="0"/>
      <w:marBottom w:val="0"/>
      <w:divBdr>
        <w:top w:val="none" w:sz="0" w:space="0" w:color="auto"/>
        <w:left w:val="none" w:sz="0" w:space="0" w:color="auto"/>
        <w:bottom w:val="none" w:sz="0" w:space="0" w:color="auto"/>
        <w:right w:val="none" w:sz="0" w:space="0" w:color="auto"/>
      </w:divBdr>
    </w:div>
    <w:div w:id="369307193">
      <w:bodyDiv w:val="1"/>
      <w:marLeft w:val="0"/>
      <w:marRight w:val="0"/>
      <w:marTop w:val="0"/>
      <w:marBottom w:val="0"/>
      <w:divBdr>
        <w:top w:val="none" w:sz="0" w:space="0" w:color="auto"/>
        <w:left w:val="none" w:sz="0" w:space="0" w:color="auto"/>
        <w:bottom w:val="none" w:sz="0" w:space="0" w:color="auto"/>
        <w:right w:val="none" w:sz="0" w:space="0" w:color="auto"/>
      </w:divBdr>
    </w:div>
    <w:div w:id="369307521">
      <w:bodyDiv w:val="1"/>
      <w:marLeft w:val="0"/>
      <w:marRight w:val="0"/>
      <w:marTop w:val="0"/>
      <w:marBottom w:val="0"/>
      <w:divBdr>
        <w:top w:val="none" w:sz="0" w:space="0" w:color="auto"/>
        <w:left w:val="none" w:sz="0" w:space="0" w:color="auto"/>
        <w:bottom w:val="none" w:sz="0" w:space="0" w:color="auto"/>
        <w:right w:val="none" w:sz="0" w:space="0" w:color="auto"/>
      </w:divBdr>
    </w:div>
    <w:div w:id="369381721">
      <w:bodyDiv w:val="1"/>
      <w:marLeft w:val="0"/>
      <w:marRight w:val="0"/>
      <w:marTop w:val="0"/>
      <w:marBottom w:val="0"/>
      <w:divBdr>
        <w:top w:val="none" w:sz="0" w:space="0" w:color="auto"/>
        <w:left w:val="none" w:sz="0" w:space="0" w:color="auto"/>
        <w:bottom w:val="none" w:sz="0" w:space="0" w:color="auto"/>
        <w:right w:val="none" w:sz="0" w:space="0" w:color="auto"/>
      </w:divBdr>
    </w:div>
    <w:div w:id="369384696">
      <w:bodyDiv w:val="1"/>
      <w:marLeft w:val="0"/>
      <w:marRight w:val="0"/>
      <w:marTop w:val="0"/>
      <w:marBottom w:val="0"/>
      <w:divBdr>
        <w:top w:val="none" w:sz="0" w:space="0" w:color="auto"/>
        <w:left w:val="none" w:sz="0" w:space="0" w:color="auto"/>
        <w:bottom w:val="none" w:sz="0" w:space="0" w:color="auto"/>
        <w:right w:val="none" w:sz="0" w:space="0" w:color="auto"/>
      </w:divBdr>
    </w:div>
    <w:div w:id="369570906">
      <w:bodyDiv w:val="1"/>
      <w:marLeft w:val="0"/>
      <w:marRight w:val="0"/>
      <w:marTop w:val="0"/>
      <w:marBottom w:val="0"/>
      <w:divBdr>
        <w:top w:val="none" w:sz="0" w:space="0" w:color="auto"/>
        <w:left w:val="none" w:sz="0" w:space="0" w:color="auto"/>
        <w:bottom w:val="none" w:sz="0" w:space="0" w:color="auto"/>
        <w:right w:val="none" w:sz="0" w:space="0" w:color="auto"/>
      </w:divBdr>
    </w:div>
    <w:div w:id="369577594">
      <w:bodyDiv w:val="1"/>
      <w:marLeft w:val="0"/>
      <w:marRight w:val="0"/>
      <w:marTop w:val="0"/>
      <w:marBottom w:val="0"/>
      <w:divBdr>
        <w:top w:val="none" w:sz="0" w:space="0" w:color="auto"/>
        <w:left w:val="none" w:sz="0" w:space="0" w:color="auto"/>
        <w:bottom w:val="none" w:sz="0" w:space="0" w:color="auto"/>
        <w:right w:val="none" w:sz="0" w:space="0" w:color="auto"/>
      </w:divBdr>
    </w:div>
    <w:div w:id="369770727">
      <w:bodyDiv w:val="1"/>
      <w:marLeft w:val="0"/>
      <w:marRight w:val="0"/>
      <w:marTop w:val="0"/>
      <w:marBottom w:val="0"/>
      <w:divBdr>
        <w:top w:val="none" w:sz="0" w:space="0" w:color="auto"/>
        <w:left w:val="none" w:sz="0" w:space="0" w:color="auto"/>
        <w:bottom w:val="none" w:sz="0" w:space="0" w:color="auto"/>
        <w:right w:val="none" w:sz="0" w:space="0" w:color="auto"/>
      </w:divBdr>
    </w:div>
    <w:div w:id="369838576">
      <w:bodyDiv w:val="1"/>
      <w:marLeft w:val="0"/>
      <w:marRight w:val="0"/>
      <w:marTop w:val="0"/>
      <w:marBottom w:val="0"/>
      <w:divBdr>
        <w:top w:val="none" w:sz="0" w:space="0" w:color="auto"/>
        <w:left w:val="none" w:sz="0" w:space="0" w:color="auto"/>
        <w:bottom w:val="none" w:sz="0" w:space="0" w:color="auto"/>
        <w:right w:val="none" w:sz="0" w:space="0" w:color="auto"/>
      </w:divBdr>
    </w:div>
    <w:div w:id="369914148">
      <w:bodyDiv w:val="1"/>
      <w:marLeft w:val="0"/>
      <w:marRight w:val="0"/>
      <w:marTop w:val="0"/>
      <w:marBottom w:val="0"/>
      <w:divBdr>
        <w:top w:val="none" w:sz="0" w:space="0" w:color="auto"/>
        <w:left w:val="none" w:sz="0" w:space="0" w:color="auto"/>
        <w:bottom w:val="none" w:sz="0" w:space="0" w:color="auto"/>
        <w:right w:val="none" w:sz="0" w:space="0" w:color="auto"/>
      </w:divBdr>
    </w:div>
    <w:div w:id="369917727">
      <w:bodyDiv w:val="1"/>
      <w:marLeft w:val="0"/>
      <w:marRight w:val="0"/>
      <w:marTop w:val="0"/>
      <w:marBottom w:val="0"/>
      <w:divBdr>
        <w:top w:val="none" w:sz="0" w:space="0" w:color="auto"/>
        <w:left w:val="none" w:sz="0" w:space="0" w:color="auto"/>
        <w:bottom w:val="none" w:sz="0" w:space="0" w:color="auto"/>
        <w:right w:val="none" w:sz="0" w:space="0" w:color="auto"/>
      </w:divBdr>
    </w:div>
    <w:div w:id="369960274">
      <w:bodyDiv w:val="1"/>
      <w:marLeft w:val="0"/>
      <w:marRight w:val="0"/>
      <w:marTop w:val="0"/>
      <w:marBottom w:val="0"/>
      <w:divBdr>
        <w:top w:val="none" w:sz="0" w:space="0" w:color="auto"/>
        <w:left w:val="none" w:sz="0" w:space="0" w:color="auto"/>
        <w:bottom w:val="none" w:sz="0" w:space="0" w:color="auto"/>
        <w:right w:val="none" w:sz="0" w:space="0" w:color="auto"/>
      </w:divBdr>
    </w:div>
    <w:div w:id="370301453">
      <w:bodyDiv w:val="1"/>
      <w:marLeft w:val="0"/>
      <w:marRight w:val="0"/>
      <w:marTop w:val="0"/>
      <w:marBottom w:val="0"/>
      <w:divBdr>
        <w:top w:val="none" w:sz="0" w:space="0" w:color="auto"/>
        <w:left w:val="none" w:sz="0" w:space="0" w:color="auto"/>
        <w:bottom w:val="none" w:sz="0" w:space="0" w:color="auto"/>
        <w:right w:val="none" w:sz="0" w:space="0" w:color="auto"/>
      </w:divBdr>
    </w:div>
    <w:div w:id="370349140">
      <w:bodyDiv w:val="1"/>
      <w:marLeft w:val="0"/>
      <w:marRight w:val="0"/>
      <w:marTop w:val="0"/>
      <w:marBottom w:val="0"/>
      <w:divBdr>
        <w:top w:val="none" w:sz="0" w:space="0" w:color="auto"/>
        <w:left w:val="none" w:sz="0" w:space="0" w:color="auto"/>
        <w:bottom w:val="none" w:sz="0" w:space="0" w:color="auto"/>
        <w:right w:val="none" w:sz="0" w:space="0" w:color="auto"/>
      </w:divBdr>
    </w:div>
    <w:div w:id="370375863">
      <w:bodyDiv w:val="1"/>
      <w:marLeft w:val="0"/>
      <w:marRight w:val="0"/>
      <w:marTop w:val="0"/>
      <w:marBottom w:val="0"/>
      <w:divBdr>
        <w:top w:val="none" w:sz="0" w:space="0" w:color="auto"/>
        <w:left w:val="none" w:sz="0" w:space="0" w:color="auto"/>
        <w:bottom w:val="none" w:sz="0" w:space="0" w:color="auto"/>
        <w:right w:val="none" w:sz="0" w:space="0" w:color="auto"/>
      </w:divBdr>
    </w:div>
    <w:div w:id="370419676">
      <w:bodyDiv w:val="1"/>
      <w:marLeft w:val="0"/>
      <w:marRight w:val="0"/>
      <w:marTop w:val="0"/>
      <w:marBottom w:val="0"/>
      <w:divBdr>
        <w:top w:val="none" w:sz="0" w:space="0" w:color="auto"/>
        <w:left w:val="none" w:sz="0" w:space="0" w:color="auto"/>
        <w:bottom w:val="none" w:sz="0" w:space="0" w:color="auto"/>
        <w:right w:val="none" w:sz="0" w:space="0" w:color="auto"/>
      </w:divBdr>
    </w:div>
    <w:div w:id="370423446">
      <w:bodyDiv w:val="1"/>
      <w:marLeft w:val="0"/>
      <w:marRight w:val="0"/>
      <w:marTop w:val="0"/>
      <w:marBottom w:val="0"/>
      <w:divBdr>
        <w:top w:val="none" w:sz="0" w:space="0" w:color="auto"/>
        <w:left w:val="none" w:sz="0" w:space="0" w:color="auto"/>
        <w:bottom w:val="none" w:sz="0" w:space="0" w:color="auto"/>
        <w:right w:val="none" w:sz="0" w:space="0" w:color="auto"/>
      </w:divBdr>
    </w:div>
    <w:div w:id="370497343">
      <w:bodyDiv w:val="1"/>
      <w:marLeft w:val="0"/>
      <w:marRight w:val="0"/>
      <w:marTop w:val="0"/>
      <w:marBottom w:val="0"/>
      <w:divBdr>
        <w:top w:val="none" w:sz="0" w:space="0" w:color="auto"/>
        <w:left w:val="none" w:sz="0" w:space="0" w:color="auto"/>
        <w:bottom w:val="none" w:sz="0" w:space="0" w:color="auto"/>
        <w:right w:val="none" w:sz="0" w:space="0" w:color="auto"/>
      </w:divBdr>
    </w:div>
    <w:div w:id="370544070">
      <w:bodyDiv w:val="1"/>
      <w:marLeft w:val="0"/>
      <w:marRight w:val="0"/>
      <w:marTop w:val="0"/>
      <w:marBottom w:val="0"/>
      <w:divBdr>
        <w:top w:val="none" w:sz="0" w:space="0" w:color="auto"/>
        <w:left w:val="none" w:sz="0" w:space="0" w:color="auto"/>
        <w:bottom w:val="none" w:sz="0" w:space="0" w:color="auto"/>
        <w:right w:val="none" w:sz="0" w:space="0" w:color="auto"/>
      </w:divBdr>
    </w:div>
    <w:div w:id="370544162">
      <w:bodyDiv w:val="1"/>
      <w:marLeft w:val="0"/>
      <w:marRight w:val="0"/>
      <w:marTop w:val="0"/>
      <w:marBottom w:val="0"/>
      <w:divBdr>
        <w:top w:val="none" w:sz="0" w:space="0" w:color="auto"/>
        <w:left w:val="none" w:sz="0" w:space="0" w:color="auto"/>
        <w:bottom w:val="none" w:sz="0" w:space="0" w:color="auto"/>
        <w:right w:val="none" w:sz="0" w:space="0" w:color="auto"/>
      </w:divBdr>
    </w:div>
    <w:div w:id="370692721">
      <w:bodyDiv w:val="1"/>
      <w:marLeft w:val="0"/>
      <w:marRight w:val="0"/>
      <w:marTop w:val="0"/>
      <w:marBottom w:val="0"/>
      <w:divBdr>
        <w:top w:val="none" w:sz="0" w:space="0" w:color="auto"/>
        <w:left w:val="none" w:sz="0" w:space="0" w:color="auto"/>
        <w:bottom w:val="none" w:sz="0" w:space="0" w:color="auto"/>
        <w:right w:val="none" w:sz="0" w:space="0" w:color="auto"/>
      </w:divBdr>
    </w:div>
    <w:div w:id="370695066">
      <w:bodyDiv w:val="1"/>
      <w:marLeft w:val="0"/>
      <w:marRight w:val="0"/>
      <w:marTop w:val="0"/>
      <w:marBottom w:val="0"/>
      <w:divBdr>
        <w:top w:val="none" w:sz="0" w:space="0" w:color="auto"/>
        <w:left w:val="none" w:sz="0" w:space="0" w:color="auto"/>
        <w:bottom w:val="none" w:sz="0" w:space="0" w:color="auto"/>
        <w:right w:val="none" w:sz="0" w:space="0" w:color="auto"/>
      </w:divBdr>
    </w:div>
    <w:div w:id="370879430">
      <w:bodyDiv w:val="1"/>
      <w:marLeft w:val="0"/>
      <w:marRight w:val="0"/>
      <w:marTop w:val="0"/>
      <w:marBottom w:val="0"/>
      <w:divBdr>
        <w:top w:val="none" w:sz="0" w:space="0" w:color="auto"/>
        <w:left w:val="none" w:sz="0" w:space="0" w:color="auto"/>
        <w:bottom w:val="none" w:sz="0" w:space="0" w:color="auto"/>
        <w:right w:val="none" w:sz="0" w:space="0" w:color="auto"/>
      </w:divBdr>
    </w:div>
    <w:div w:id="370883165">
      <w:bodyDiv w:val="1"/>
      <w:marLeft w:val="0"/>
      <w:marRight w:val="0"/>
      <w:marTop w:val="0"/>
      <w:marBottom w:val="0"/>
      <w:divBdr>
        <w:top w:val="none" w:sz="0" w:space="0" w:color="auto"/>
        <w:left w:val="none" w:sz="0" w:space="0" w:color="auto"/>
        <w:bottom w:val="none" w:sz="0" w:space="0" w:color="auto"/>
        <w:right w:val="none" w:sz="0" w:space="0" w:color="auto"/>
      </w:divBdr>
    </w:div>
    <w:div w:id="371031970">
      <w:bodyDiv w:val="1"/>
      <w:marLeft w:val="0"/>
      <w:marRight w:val="0"/>
      <w:marTop w:val="0"/>
      <w:marBottom w:val="0"/>
      <w:divBdr>
        <w:top w:val="none" w:sz="0" w:space="0" w:color="auto"/>
        <w:left w:val="none" w:sz="0" w:space="0" w:color="auto"/>
        <w:bottom w:val="none" w:sz="0" w:space="0" w:color="auto"/>
        <w:right w:val="none" w:sz="0" w:space="0" w:color="auto"/>
      </w:divBdr>
    </w:div>
    <w:div w:id="371155056">
      <w:bodyDiv w:val="1"/>
      <w:marLeft w:val="0"/>
      <w:marRight w:val="0"/>
      <w:marTop w:val="0"/>
      <w:marBottom w:val="0"/>
      <w:divBdr>
        <w:top w:val="none" w:sz="0" w:space="0" w:color="auto"/>
        <w:left w:val="none" w:sz="0" w:space="0" w:color="auto"/>
        <w:bottom w:val="none" w:sz="0" w:space="0" w:color="auto"/>
        <w:right w:val="none" w:sz="0" w:space="0" w:color="auto"/>
      </w:divBdr>
    </w:div>
    <w:div w:id="371196929">
      <w:bodyDiv w:val="1"/>
      <w:marLeft w:val="0"/>
      <w:marRight w:val="0"/>
      <w:marTop w:val="0"/>
      <w:marBottom w:val="0"/>
      <w:divBdr>
        <w:top w:val="none" w:sz="0" w:space="0" w:color="auto"/>
        <w:left w:val="none" w:sz="0" w:space="0" w:color="auto"/>
        <w:bottom w:val="none" w:sz="0" w:space="0" w:color="auto"/>
        <w:right w:val="none" w:sz="0" w:space="0" w:color="auto"/>
      </w:divBdr>
    </w:div>
    <w:div w:id="371199494">
      <w:bodyDiv w:val="1"/>
      <w:marLeft w:val="0"/>
      <w:marRight w:val="0"/>
      <w:marTop w:val="0"/>
      <w:marBottom w:val="0"/>
      <w:divBdr>
        <w:top w:val="none" w:sz="0" w:space="0" w:color="auto"/>
        <w:left w:val="none" w:sz="0" w:space="0" w:color="auto"/>
        <w:bottom w:val="none" w:sz="0" w:space="0" w:color="auto"/>
        <w:right w:val="none" w:sz="0" w:space="0" w:color="auto"/>
      </w:divBdr>
    </w:div>
    <w:div w:id="371225918">
      <w:bodyDiv w:val="1"/>
      <w:marLeft w:val="0"/>
      <w:marRight w:val="0"/>
      <w:marTop w:val="0"/>
      <w:marBottom w:val="0"/>
      <w:divBdr>
        <w:top w:val="none" w:sz="0" w:space="0" w:color="auto"/>
        <w:left w:val="none" w:sz="0" w:space="0" w:color="auto"/>
        <w:bottom w:val="none" w:sz="0" w:space="0" w:color="auto"/>
        <w:right w:val="none" w:sz="0" w:space="0" w:color="auto"/>
      </w:divBdr>
    </w:div>
    <w:div w:id="371227326">
      <w:bodyDiv w:val="1"/>
      <w:marLeft w:val="0"/>
      <w:marRight w:val="0"/>
      <w:marTop w:val="0"/>
      <w:marBottom w:val="0"/>
      <w:divBdr>
        <w:top w:val="none" w:sz="0" w:space="0" w:color="auto"/>
        <w:left w:val="none" w:sz="0" w:space="0" w:color="auto"/>
        <w:bottom w:val="none" w:sz="0" w:space="0" w:color="auto"/>
        <w:right w:val="none" w:sz="0" w:space="0" w:color="auto"/>
      </w:divBdr>
    </w:div>
    <w:div w:id="371266065">
      <w:bodyDiv w:val="1"/>
      <w:marLeft w:val="0"/>
      <w:marRight w:val="0"/>
      <w:marTop w:val="0"/>
      <w:marBottom w:val="0"/>
      <w:divBdr>
        <w:top w:val="none" w:sz="0" w:space="0" w:color="auto"/>
        <w:left w:val="none" w:sz="0" w:space="0" w:color="auto"/>
        <w:bottom w:val="none" w:sz="0" w:space="0" w:color="auto"/>
        <w:right w:val="none" w:sz="0" w:space="0" w:color="auto"/>
      </w:divBdr>
    </w:div>
    <w:div w:id="371346063">
      <w:bodyDiv w:val="1"/>
      <w:marLeft w:val="0"/>
      <w:marRight w:val="0"/>
      <w:marTop w:val="0"/>
      <w:marBottom w:val="0"/>
      <w:divBdr>
        <w:top w:val="none" w:sz="0" w:space="0" w:color="auto"/>
        <w:left w:val="none" w:sz="0" w:space="0" w:color="auto"/>
        <w:bottom w:val="none" w:sz="0" w:space="0" w:color="auto"/>
        <w:right w:val="none" w:sz="0" w:space="0" w:color="auto"/>
      </w:divBdr>
    </w:div>
    <w:div w:id="371423543">
      <w:bodyDiv w:val="1"/>
      <w:marLeft w:val="0"/>
      <w:marRight w:val="0"/>
      <w:marTop w:val="0"/>
      <w:marBottom w:val="0"/>
      <w:divBdr>
        <w:top w:val="none" w:sz="0" w:space="0" w:color="auto"/>
        <w:left w:val="none" w:sz="0" w:space="0" w:color="auto"/>
        <w:bottom w:val="none" w:sz="0" w:space="0" w:color="auto"/>
        <w:right w:val="none" w:sz="0" w:space="0" w:color="auto"/>
      </w:divBdr>
    </w:div>
    <w:div w:id="371463697">
      <w:bodyDiv w:val="1"/>
      <w:marLeft w:val="0"/>
      <w:marRight w:val="0"/>
      <w:marTop w:val="0"/>
      <w:marBottom w:val="0"/>
      <w:divBdr>
        <w:top w:val="none" w:sz="0" w:space="0" w:color="auto"/>
        <w:left w:val="none" w:sz="0" w:space="0" w:color="auto"/>
        <w:bottom w:val="none" w:sz="0" w:space="0" w:color="auto"/>
        <w:right w:val="none" w:sz="0" w:space="0" w:color="auto"/>
      </w:divBdr>
    </w:div>
    <w:div w:id="371539759">
      <w:bodyDiv w:val="1"/>
      <w:marLeft w:val="0"/>
      <w:marRight w:val="0"/>
      <w:marTop w:val="0"/>
      <w:marBottom w:val="0"/>
      <w:divBdr>
        <w:top w:val="none" w:sz="0" w:space="0" w:color="auto"/>
        <w:left w:val="none" w:sz="0" w:space="0" w:color="auto"/>
        <w:bottom w:val="none" w:sz="0" w:space="0" w:color="auto"/>
        <w:right w:val="none" w:sz="0" w:space="0" w:color="auto"/>
      </w:divBdr>
    </w:div>
    <w:div w:id="371655258">
      <w:bodyDiv w:val="1"/>
      <w:marLeft w:val="0"/>
      <w:marRight w:val="0"/>
      <w:marTop w:val="0"/>
      <w:marBottom w:val="0"/>
      <w:divBdr>
        <w:top w:val="none" w:sz="0" w:space="0" w:color="auto"/>
        <w:left w:val="none" w:sz="0" w:space="0" w:color="auto"/>
        <w:bottom w:val="none" w:sz="0" w:space="0" w:color="auto"/>
        <w:right w:val="none" w:sz="0" w:space="0" w:color="auto"/>
      </w:divBdr>
    </w:div>
    <w:div w:id="371731946">
      <w:bodyDiv w:val="1"/>
      <w:marLeft w:val="0"/>
      <w:marRight w:val="0"/>
      <w:marTop w:val="0"/>
      <w:marBottom w:val="0"/>
      <w:divBdr>
        <w:top w:val="none" w:sz="0" w:space="0" w:color="auto"/>
        <w:left w:val="none" w:sz="0" w:space="0" w:color="auto"/>
        <w:bottom w:val="none" w:sz="0" w:space="0" w:color="auto"/>
        <w:right w:val="none" w:sz="0" w:space="0" w:color="auto"/>
      </w:divBdr>
    </w:div>
    <w:div w:id="371926138">
      <w:bodyDiv w:val="1"/>
      <w:marLeft w:val="0"/>
      <w:marRight w:val="0"/>
      <w:marTop w:val="0"/>
      <w:marBottom w:val="0"/>
      <w:divBdr>
        <w:top w:val="none" w:sz="0" w:space="0" w:color="auto"/>
        <w:left w:val="none" w:sz="0" w:space="0" w:color="auto"/>
        <w:bottom w:val="none" w:sz="0" w:space="0" w:color="auto"/>
        <w:right w:val="none" w:sz="0" w:space="0" w:color="auto"/>
      </w:divBdr>
    </w:div>
    <w:div w:id="371930977">
      <w:bodyDiv w:val="1"/>
      <w:marLeft w:val="0"/>
      <w:marRight w:val="0"/>
      <w:marTop w:val="0"/>
      <w:marBottom w:val="0"/>
      <w:divBdr>
        <w:top w:val="none" w:sz="0" w:space="0" w:color="auto"/>
        <w:left w:val="none" w:sz="0" w:space="0" w:color="auto"/>
        <w:bottom w:val="none" w:sz="0" w:space="0" w:color="auto"/>
        <w:right w:val="none" w:sz="0" w:space="0" w:color="auto"/>
      </w:divBdr>
    </w:div>
    <w:div w:id="372310156">
      <w:bodyDiv w:val="1"/>
      <w:marLeft w:val="0"/>
      <w:marRight w:val="0"/>
      <w:marTop w:val="0"/>
      <w:marBottom w:val="0"/>
      <w:divBdr>
        <w:top w:val="none" w:sz="0" w:space="0" w:color="auto"/>
        <w:left w:val="none" w:sz="0" w:space="0" w:color="auto"/>
        <w:bottom w:val="none" w:sz="0" w:space="0" w:color="auto"/>
        <w:right w:val="none" w:sz="0" w:space="0" w:color="auto"/>
      </w:divBdr>
    </w:div>
    <w:div w:id="372314000">
      <w:bodyDiv w:val="1"/>
      <w:marLeft w:val="0"/>
      <w:marRight w:val="0"/>
      <w:marTop w:val="0"/>
      <w:marBottom w:val="0"/>
      <w:divBdr>
        <w:top w:val="none" w:sz="0" w:space="0" w:color="auto"/>
        <w:left w:val="none" w:sz="0" w:space="0" w:color="auto"/>
        <w:bottom w:val="none" w:sz="0" w:space="0" w:color="auto"/>
        <w:right w:val="none" w:sz="0" w:space="0" w:color="auto"/>
      </w:divBdr>
    </w:div>
    <w:div w:id="372536012">
      <w:bodyDiv w:val="1"/>
      <w:marLeft w:val="0"/>
      <w:marRight w:val="0"/>
      <w:marTop w:val="0"/>
      <w:marBottom w:val="0"/>
      <w:divBdr>
        <w:top w:val="none" w:sz="0" w:space="0" w:color="auto"/>
        <w:left w:val="none" w:sz="0" w:space="0" w:color="auto"/>
        <w:bottom w:val="none" w:sz="0" w:space="0" w:color="auto"/>
        <w:right w:val="none" w:sz="0" w:space="0" w:color="auto"/>
      </w:divBdr>
    </w:div>
    <w:div w:id="372538095">
      <w:bodyDiv w:val="1"/>
      <w:marLeft w:val="0"/>
      <w:marRight w:val="0"/>
      <w:marTop w:val="0"/>
      <w:marBottom w:val="0"/>
      <w:divBdr>
        <w:top w:val="none" w:sz="0" w:space="0" w:color="auto"/>
        <w:left w:val="none" w:sz="0" w:space="0" w:color="auto"/>
        <w:bottom w:val="none" w:sz="0" w:space="0" w:color="auto"/>
        <w:right w:val="none" w:sz="0" w:space="0" w:color="auto"/>
      </w:divBdr>
    </w:div>
    <w:div w:id="372582108">
      <w:bodyDiv w:val="1"/>
      <w:marLeft w:val="0"/>
      <w:marRight w:val="0"/>
      <w:marTop w:val="0"/>
      <w:marBottom w:val="0"/>
      <w:divBdr>
        <w:top w:val="none" w:sz="0" w:space="0" w:color="auto"/>
        <w:left w:val="none" w:sz="0" w:space="0" w:color="auto"/>
        <w:bottom w:val="none" w:sz="0" w:space="0" w:color="auto"/>
        <w:right w:val="none" w:sz="0" w:space="0" w:color="auto"/>
      </w:divBdr>
    </w:div>
    <w:div w:id="372656786">
      <w:bodyDiv w:val="1"/>
      <w:marLeft w:val="0"/>
      <w:marRight w:val="0"/>
      <w:marTop w:val="0"/>
      <w:marBottom w:val="0"/>
      <w:divBdr>
        <w:top w:val="none" w:sz="0" w:space="0" w:color="auto"/>
        <w:left w:val="none" w:sz="0" w:space="0" w:color="auto"/>
        <w:bottom w:val="none" w:sz="0" w:space="0" w:color="auto"/>
        <w:right w:val="none" w:sz="0" w:space="0" w:color="auto"/>
      </w:divBdr>
    </w:div>
    <w:div w:id="372734803">
      <w:bodyDiv w:val="1"/>
      <w:marLeft w:val="0"/>
      <w:marRight w:val="0"/>
      <w:marTop w:val="0"/>
      <w:marBottom w:val="0"/>
      <w:divBdr>
        <w:top w:val="none" w:sz="0" w:space="0" w:color="auto"/>
        <w:left w:val="none" w:sz="0" w:space="0" w:color="auto"/>
        <w:bottom w:val="none" w:sz="0" w:space="0" w:color="auto"/>
        <w:right w:val="none" w:sz="0" w:space="0" w:color="auto"/>
      </w:divBdr>
    </w:div>
    <w:div w:id="373425369">
      <w:bodyDiv w:val="1"/>
      <w:marLeft w:val="0"/>
      <w:marRight w:val="0"/>
      <w:marTop w:val="0"/>
      <w:marBottom w:val="0"/>
      <w:divBdr>
        <w:top w:val="none" w:sz="0" w:space="0" w:color="auto"/>
        <w:left w:val="none" w:sz="0" w:space="0" w:color="auto"/>
        <w:bottom w:val="none" w:sz="0" w:space="0" w:color="auto"/>
        <w:right w:val="none" w:sz="0" w:space="0" w:color="auto"/>
      </w:divBdr>
    </w:div>
    <w:div w:id="373507547">
      <w:bodyDiv w:val="1"/>
      <w:marLeft w:val="0"/>
      <w:marRight w:val="0"/>
      <w:marTop w:val="0"/>
      <w:marBottom w:val="0"/>
      <w:divBdr>
        <w:top w:val="none" w:sz="0" w:space="0" w:color="auto"/>
        <w:left w:val="none" w:sz="0" w:space="0" w:color="auto"/>
        <w:bottom w:val="none" w:sz="0" w:space="0" w:color="auto"/>
        <w:right w:val="none" w:sz="0" w:space="0" w:color="auto"/>
      </w:divBdr>
    </w:div>
    <w:div w:id="373578187">
      <w:bodyDiv w:val="1"/>
      <w:marLeft w:val="0"/>
      <w:marRight w:val="0"/>
      <w:marTop w:val="0"/>
      <w:marBottom w:val="0"/>
      <w:divBdr>
        <w:top w:val="none" w:sz="0" w:space="0" w:color="auto"/>
        <w:left w:val="none" w:sz="0" w:space="0" w:color="auto"/>
        <w:bottom w:val="none" w:sz="0" w:space="0" w:color="auto"/>
        <w:right w:val="none" w:sz="0" w:space="0" w:color="auto"/>
      </w:divBdr>
    </w:div>
    <w:div w:id="373582661">
      <w:bodyDiv w:val="1"/>
      <w:marLeft w:val="0"/>
      <w:marRight w:val="0"/>
      <w:marTop w:val="0"/>
      <w:marBottom w:val="0"/>
      <w:divBdr>
        <w:top w:val="none" w:sz="0" w:space="0" w:color="auto"/>
        <w:left w:val="none" w:sz="0" w:space="0" w:color="auto"/>
        <w:bottom w:val="none" w:sz="0" w:space="0" w:color="auto"/>
        <w:right w:val="none" w:sz="0" w:space="0" w:color="auto"/>
      </w:divBdr>
    </w:div>
    <w:div w:id="373695572">
      <w:bodyDiv w:val="1"/>
      <w:marLeft w:val="0"/>
      <w:marRight w:val="0"/>
      <w:marTop w:val="0"/>
      <w:marBottom w:val="0"/>
      <w:divBdr>
        <w:top w:val="none" w:sz="0" w:space="0" w:color="auto"/>
        <w:left w:val="none" w:sz="0" w:space="0" w:color="auto"/>
        <w:bottom w:val="none" w:sz="0" w:space="0" w:color="auto"/>
        <w:right w:val="none" w:sz="0" w:space="0" w:color="auto"/>
      </w:divBdr>
    </w:div>
    <w:div w:id="373769587">
      <w:bodyDiv w:val="1"/>
      <w:marLeft w:val="0"/>
      <w:marRight w:val="0"/>
      <w:marTop w:val="0"/>
      <w:marBottom w:val="0"/>
      <w:divBdr>
        <w:top w:val="none" w:sz="0" w:space="0" w:color="auto"/>
        <w:left w:val="none" w:sz="0" w:space="0" w:color="auto"/>
        <w:bottom w:val="none" w:sz="0" w:space="0" w:color="auto"/>
        <w:right w:val="none" w:sz="0" w:space="0" w:color="auto"/>
      </w:divBdr>
    </w:div>
    <w:div w:id="373776770">
      <w:bodyDiv w:val="1"/>
      <w:marLeft w:val="0"/>
      <w:marRight w:val="0"/>
      <w:marTop w:val="0"/>
      <w:marBottom w:val="0"/>
      <w:divBdr>
        <w:top w:val="none" w:sz="0" w:space="0" w:color="auto"/>
        <w:left w:val="none" w:sz="0" w:space="0" w:color="auto"/>
        <w:bottom w:val="none" w:sz="0" w:space="0" w:color="auto"/>
        <w:right w:val="none" w:sz="0" w:space="0" w:color="auto"/>
      </w:divBdr>
    </w:div>
    <w:div w:id="373847441">
      <w:bodyDiv w:val="1"/>
      <w:marLeft w:val="0"/>
      <w:marRight w:val="0"/>
      <w:marTop w:val="0"/>
      <w:marBottom w:val="0"/>
      <w:divBdr>
        <w:top w:val="none" w:sz="0" w:space="0" w:color="auto"/>
        <w:left w:val="none" w:sz="0" w:space="0" w:color="auto"/>
        <w:bottom w:val="none" w:sz="0" w:space="0" w:color="auto"/>
        <w:right w:val="none" w:sz="0" w:space="0" w:color="auto"/>
      </w:divBdr>
    </w:div>
    <w:div w:id="373891928">
      <w:bodyDiv w:val="1"/>
      <w:marLeft w:val="0"/>
      <w:marRight w:val="0"/>
      <w:marTop w:val="0"/>
      <w:marBottom w:val="0"/>
      <w:divBdr>
        <w:top w:val="none" w:sz="0" w:space="0" w:color="auto"/>
        <w:left w:val="none" w:sz="0" w:space="0" w:color="auto"/>
        <w:bottom w:val="none" w:sz="0" w:space="0" w:color="auto"/>
        <w:right w:val="none" w:sz="0" w:space="0" w:color="auto"/>
      </w:divBdr>
    </w:div>
    <w:div w:id="373896470">
      <w:bodyDiv w:val="1"/>
      <w:marLeft w:val="0"/>
      <w:marRight w:val="0"/>
      <w:marTop w:val="0"/>
      <w:marBottom w:val="0"/>
      <w:divBdr>
        <w:top w:val="none" w:sz="0" w:space="0" w:color="auto"/>
        <w:left w:val="none" w:sz="0" w:space="0" w:color="auto"/>
        <w:bottom w:val="none" w:sz="0" w:space="0" w:color="auto"/>
        <w:right w:val="none" w:sz="0" w:space="0" w:color="auto"/>
      </w:divBdr>
    </w:div>
    <w:div w:id="373969544">
      <w:bodyDiv w:val="1"/>
      <w:marLeft w:val="0"/>
      <w:marRight w:val="0"/>
      <w:marTop w:val="0"/>
      <w:marBottom w:val="0"/>
      <w:divBdr>
        <w:top w:val="none" w:sz="0" w:space="0" w:color="auto"/>
        <w:left w:val="none" w:sz="0" w:space="0" w:color="auto"/>
        <w:bottom w:val="none" w:sz="0" w:space="0" w:color="auto"/>
        <w:right w:val="none" w:sz="0" w:space="0" w:color="auto"/>
      </w:divBdr>
    </w:div>
    <w:div w:id="374041184">
      <w:bodyDiv w:val="1"/>
      <w:marLeft w:val="0"/>
      <w:marRight w:val="0"/>
      <w:marTop w:val="0"/>
      <w:marBottom w:val="0"/>
      <w:divBdr>
        <w:top w:val="none" w:sz="0" w:space="0" w:color="auto"/>
        <w:left w:val="none" w:sz="0" w:space="0" w:color="auto"/>
        <w:bottom w:val="none" w:sz="0" w:space="0" w:color="auto"/>
        <w:right w:val="none" w:sz="0" w:space="0" w:color="auto"/>
      </w:divBdr>
    </w:div>
    <w:div w:id="374043908">
      <w:bodyDiv w:val="1"/>
      <w:marLeft w:val="0"/>
      <w:marRight w:val="0"/>
      <w:marTop w:val="0"/>
      <w:marBottom w:val="0"/>
      <w:divBdr>
        <w:top w:val="none" w:sz="0" w:space="0" w:color="auto"/>
        <w:left w:val="none" w:sz="0" w:space="0" w:color="auto"/>
        <w:bottom w:val="none" w:sz="0" w:space="0" w:color="auto"/>
        <w:right w:val="none" w:sz="0" w:space="0" w:color="auto"/>
      </w:divBdr>
    </w:div>
    <w:div w:id="374081744">
      <w:bodyDiv w:val="1"/>
      <w:marLeft w:val="0"/>
      <w:marRight w:val="0"/>
      <w:marTop w:val="0"/>
      <w:marBottom w:val="0"/>
      <w:divBdr>
        <w:top w:val="none" w:sz="0" w:space="0" w:color="auto"/>
        <w:left w:val="none" w:sz="0" w:space="0" w:color="auto"/>
        <w:bottom w:val="none" w:sz="0" w:space="0" w:color="auto"/>
        <w:right w:val="none" w:sz="0" w:space="0" w:color="auto"/>
      </w:divBdr>
    </w:div>
    <w:div w:id="374083046">
      <w:bodyDiv w:val="1"/>
      <w:marLeft w:val="0"/>
      <w:marRight w:val="0"/>
      <w:marTop w:val="0"/>
      <w:marBottom w:val="0"/>
      <w:divBdr>
        <w:top w:val="none" w:sz="0" w:space="0" w:color="auto"/>
        <w:left w:val="none" w:sz="0" w:space="0" w:color="auto"/>
        <w:bottom w:val="none" w:sz="0" w:space="0" w:color="auto"/>
        <w:right w:val="none" w:sz="0" w:space="0" w:color="auto"/>
      </w:divBdr>
    </w:div>
    <w:div w:id="374085441">
      <w:bodyDiv w:val="1"/>
      <w:marLeft w:val="0"/>
      <w:marRight w:val="0"/>
      <w:marTop w:val="0"/>
      <w:marBottom w:val="0"/>
      <w:divBdr>
        <w:top w:val="none" w:sz="0" w:space="0" w:color="auto"/>
        <w:left w:val="none" w:sz="0" w:space="0" w:color="auto"/>
        <w:bottom w:val="none" w:sz="0" w:space="0" w:color="auto"/>
        <w:right w:val="none" w:sz="0" w:space="0" w:color="auto"/>
      </w:divBdr>
    </w:div>
    <w:div w:id="374085604">
      <w:bodyDiv w:val="1"/>
      <w:marLeft w:val="0"/>
      <w:marRight w:val="0"/>
      <w:marTop w:val="0"/>
      <w:marBottom w:val="0"/>
      <w:divBdr>
        <w:top w:val="none" w:sz="0" w:space="0" w:color="auto"/>
        <w:left w:val="none" w:sz="0" w:space="0" w:color="auto"/>
        <w:bottom w:val="none" w:sz="0" w:space="0" w:color="auto"/>
        <w:right w:val="none" w:sz="0" w:space="0" w:color="auto"/>
      </w:divBdr>
    </w:div>
    <w:div w:id="374279481">
      <w:bodyDiv w:val="1"/>
      <w:marLeft w:val="0"/>
      <w:marRight w:val="0"/>
      <w:marTop w:val="0"/>
      <w:marBottom w:val="0"/>
      <w:divBdr>
        <w:top w:val="none" w:sz="0" w:space="0" w:color="auto"/>
        <w:left w:val="none" w:sz="0" w:space="0" w:color="auto"/>
        <w:bottom w:val="none" w:sz="0" w:space="0" w:color="auto"/>
        <w:right w:val="none" w:sz="0" w:space="0" w:color="auto"/>
      </w:divBdr>
    </w:div>
    <w:div w:id="374430102">
      <w:bodyDiv w:val="1"/>
      <w:marLeft w:val="0"/>
      <w:marRight w:val="0"/>
      <w:marTop w:val="0"/>
      <w:marBottom w:val="0"/>
      <w:divBdr>
        <w:top w:val="none" w:sz="0" w:space="0" w:color="auto"/>
        <w:left w:val="none" w:sz="0" w:space="0" w:color="auto"/>
        <w:bottom w:val="none" w:sz="0" w:space="0" w:color="auto"/>
        <w:right w:val="none" w:sz="0" w:space="0" w:color="auto"/>
      </w:divBdr>
    </w:div>
    <w:div w:id="374432908">
      <w:bodyDiv w:val="1"/>
      <w:marLeft w:val="0"/>
      <w:marRight w:val="0"/>
      <w:marTop w:val="0"/>
      <w:marBottom w:val="0"/>
      <w:divBdr>
        <w:top w:val="none" w:sz="0" w:space="0" w:color="auto"/>
        <w:left w:val="none" w:sz="0" w:space="0" w:color="auto"/>
        <w:bottom w:val="none" w:sz="0" w:space="0" w:color="auto"/>
        <w:right w:val="none" w:sz="0" w:space="0" w:color="auto"/>
      </w:divBdr>
    </w:div>
    <w:div w:id="374474630">
      <w:bodyDiv w:val="1"/>
      <w:marLeft w:val="0"/>
      <w:marRight w:val="0"/>
      <w:marTop w:val="0"/>
      <w:marBottom w:val="0"/>
      <w:divBdr>
        <w:top w:val="none" w:sz="0" w:space="0" w:color="auto"/>
        <w:left w:val="none" w:sz="0" w:space="0" w:color="auto"/>
        <w:bottom w:val="none" w:sz="0" w:space="0" w:color="auto"/>
        <w:right w:val="none" w:sz="0" w:space="0" w:color="auto"/>
      </w:divBdr>
    </w:div>
    <w:div w:id="374547286">
      <w:bodyDiv w:val="1"/>
      <w:marLeft w:val="0"/>
      <w:marRight w:val="0"/>
      <w:marTop w:val="0"/>
      <w:marBottom w:val="0"/>
      <w:divBdr>
        <w:top w:val="none" w:sz="0" w:space="0" w:color="auto"/>
        <w:left w:val="none" w:sz="0" w:space="0" w:color="auto"/>
        <w:bottom w:val="none" w:sz="0" w:space="0" w:color="auto"/>
        <w:right w:val="none" w:sz="0" w:space="0" w:color="auto"/>
      </w:divBdr>
    </w:div>
    <w:div w:id="374548320">
      <w:bodyDiv w:val="1"/>
      <w:marLeft w:val="0"/>
      <w:marRight w:val="0"/>
      <w:marTop w:val="0"/>
      <w:marBottom w:val="0"/>
      <w:divBdr>
        <w:top w:val="none" w:sz="0" w:space="0" w:color="auto"/>
        <w:left w:val="none" w:sz="0" w:space="0" w:color="auto"/>
        <w:bottom w:val="none" w:sz="0" w:space="0" w:color="auto"/>
        <w:right w:val="none" w:sz="0" w:space="0" w:color="auto"/>
      </w:divBdr>
    </w:div>
    <w:div w:id="374623473">
      <w:bodyDiv w:val="1"/>
      <w:marLeft w:val="0"/>
      <w:marRight w:val="0"/>
      <w:marTop w:val="0"/>
      <w:marBottom w:val="0"/>
      <w:divBdr>
        <w:top w:val="none" w:sz="0" w:space="0" w:color="auto"/>
        <w:left w:val="none" w:sz="0" w:space="0" w:color="auto"/>
        <w:bottom w:val="none" w:sz="0" w:space="0" w:color="auto"/>
        <w:right w:val="none" w:sz="0" w:space="0" w:color="auto"/>
      </w:divBdr>
    </w:div>
    <w:div w:id="374695231">
      <w:bodyDiv w:val="1"/>
      <w:marLeft w:val="0"/>
      <w:marRight w:val="0"/>
      <w:marTop w:val="0"/>
      <w:marBottom w:val="0"/>
      <w:divBdr>
        <w:top w:val="none" w:sz="0" w:space="0" w:color="auto"/>
        <w:left w:val="none" w:sz="0" w:space="0" w:color="auto"/>
        <w:bottom w:val="none" w:sz="0" w:space="0" w:color="auto"/>
        <w:right w:val="none" w:sz="0" w:space="0" w:color="auto"/>
      </w:divBdr>
    </w:div>
    <w:div w:id="374696748">
      <w:bodyDiv w:val="1"/>
      <w:marLeft w:val="0"/>
      <w:marRight w:val="0"/>
      <w:marTop w:val="0"/>
      <w:marBottom w:val="0"/>
      <w:divBdr>
        <w:top w:val="none" w:sz="0" w:space="0" w:color="auto"/>
        <w:left w:val="none" w:sz="0" w:space="0" w:color="auto"/>
        <w:bottom w:val="none" w:sz="0" w:space="0" w:color="auto"/>
        <w:right w:val="none" w:sz="0" w:space="0" w:color="auto"/>
      </w:divBdr>
    </w:div>
    <w:div w:id="374933355">
      <w:bodyDiv w:val="1"/>
      <w:marLeft w:val="0"/>
      <w:marRight w:val="0"/>
      <w:marTop w:val="0"/>
      <w:marBottom w:val="0"/>
      <w:divBdr>
        <w:top w:val="none" w:sz="0" w:space="0" w:color="auto"/>
        <w:left w:val="none" w:sz="0" w:space="0" w:color="auto"/>
        <w:bottom w:val="none" w:sz="0" w:space="0" w:color="auto"/>
        <w:right w:val="none" w:sz="0" w:space="0" w:color="auto"/>
      </w:divBdr>
    </w:div>
    <w:div w:id="374936195">
      <w:bodyDiv w:val="1"/>
      <w:marLeft w:val="0"/>
      <w:marRight w:val="0"/>
      <w:marTop w:val="0"/>
      <w:marBottom w:val="0"/>
      <w:divBdr>
        <w:top w:val="none" w:sz="0" w:space="0" w:color="auto"/>
        <w:left w:val="none" w:sz="0" w:space="0" w:color="auto"/>
        <w:bottom w:val="none" w:sz="0" w:space="0" w:color="auto"/>
        <w:right w:val="none" w:sz="0" w:space="0" w:color="auto"/>
      </w:divBdr>
    </w:div>
    <w:div w:id="375011558">
      <w:bodyDiv w:val="1"/>
      <w:marLeft w:val="0"/>
      <w:marRight w:val="0"/>
      <w:marTop w:val="0"/>
      <w:marBottom w:val="0"/>
      <w:divBdr>
        <w:top w:val="none" w:sz="0" w:space="0" w:color="auto"/>
        <w:left w:val="none" w:sz="0" w:space="0" w:color="auto"/>
        <w:bottom w:val="none" w:sz="0" w:space="0" w:color="auto"/>
        <w:right w:val="none" w:sz="0" w:space="0" w:color="auto"/>
      </w:divBdr>
    </w:div>
    <w:div w:id="375088698">
      <w:bodyDiv w:val="1"/>
      <w:marLeft w:val="0"/>
      <w:marRight w:val="0"/>
      <w:marTop w:val="0"/>
      <w:marBottom w:val="0"/>
      <w:divBdr>
        <w:top w:val="none" w:sz="0" w:space="0" w:color="auto"/>
        <w:left w:val="none" w:sz="0" w:space="0" w:color="auto"/>
        <w:bottom w:val="none" w:sz="0" w:space="0" w:color="auto"/>
        <w:right w:val="none" w:sz="0" w:space="0" w:color="auto"/>
      </w:divBdr>
    </w:div>
    <w:div w:id="375159168">
      <w:bodyDiv w:val="1"/>
      <w:marLeft w:val="0"/>
      <w:marRight w:val="0"/>
      <w:marTop w:val="0"/>
      <w:marBottom w:val="0"/>
      <w:divBdr>
        <w:top w:val="none" w:sz="0" w:space="0" w:color="auto"/>
        <w:left w:val="none" w:sz="0" w:space="0" w:color="auto"/>
        <w:bottom w:val="none" w:sz="0" w:space="0" w:color="auto"/>
        <w:right w:val="none" w:sz="0" w:space="0" w:color="auto"/>
      </w:divBdr>
    </w:div>
    <w:div w:id="375391447">
      <w:bodyDiv w:val="1"/>
      <w:marLeft w:val="0"/>
      <w:marRight w:val="0"/>
      <w:marTop w:val="0"/>
      <w:marBottom w:val="0"/>
      <w:divBdr>
        <w:top w:val="none" w:sz="0" w:space="0" w:color="auto"/>
        <w:left w:val="none" w:sz="0" w:space="0" w:color="auto"/>
        <w:bottom w:val="none" w:sz="0" w:space="0" w:color="auto"/>
        <w:right w:val="none" w:sz="0" w:space="0" w:color="auto"/>
      </w:divBdr>
    </w:div>
    <w:div w:id="375392413">
      <w:bodyDiv w:val="1"/>
      <w:marLeft w:val="0"/>
      <w:marRight w:val="0"/>
      <w:marTop w:val="0"/>
      <w:marBottom w:val="0"/>
      <w:divBdr>
        <w:top w:val="none" w:sz="0" w:space="0" w:color="auto"/>
        <w:left w:val="none" w:sz="0" w:space="0" w:color="auto"/>
        <w:bottom w:val="none" w:sz="0" w:space="0" w:color="auto"/>
        <w:right w:val="none" w:sz="0" w:space="0" w:color="auto"/>
      </w:divBdr>
    </w:div>
    <w:div w:id="375400447">
      <w:bodyDiv w:val="1"/>
      <w:marLeft w:val="0"/>
      <w:marRight w:val="0"/>
      <w:marTop w:val="0"/>
      <w:marBottom w:val="0"/>
      <w:divBdr>
        <w:top w:val="none" w:sz="0" w:space="0" w:color="auto"/>
        <w:left w:val="none" w:sz="0" w:space="0" w:color="auto"/>
        <w:bottom w:val="none" w:sz="0" w:space="0" w:color="auto"/>
        <w:right w:val="none" w:sz="0" w:space="0" w:color="auto"/>
      </w:divBdr>
    </w:div>
    <w:div w:id="375590365">
      <w:bodyDiv w:val="1"/>
      <w:marLeft w:val="0"/>
      <w:marRight w:val="0"/>
      <w:marTop w:val="0"/>
      <w:marBottom w:val="0"/>
      <w:divBdr>
        <w:top w:val="none" w:sz="0" w:space="0" w:color="auto"/>
        <w:left w:val="none" w:sz="0" w:space="0" w:color="auto"/>
        <w:bottom w:val="none" w:sz="0" w:space="0" w:color="auto"/>
        <w:right w:val="none" w:sz="0" w:space="0" w:color="auto"/>
      </w:divBdr>
    </w:div>
    <w:div w:id="375592313">
      <w:bodyDiv w:val="1"/>
      <w:marLeft w:val="0"/>
      <w:marRight w:val="0"/>
      <w:marTop w:val="0"/>
      <w:marBottom w:val="0"/>
      <w:divBdr>
        <w:top w:val="none" w:sz="0" w:space="0" w:color="auto"/>
        <w:left w:val="none" w:sz="0" w:space="0" w:color="auto"/>
        <w:bottom w:val="none" w:sz="0" w:space="0" w:color="auto"/>
        <w:right w:val="none" w:sz="0" w:space="0" w:color="auto"/>
      </w:divBdr>
    </w:div>
    <w:div w:id="375619567">
      <w:bodyDiv w:val="1"/>
      <w:marLeft w:val="0"/>
      <w:marRight w:val="0"/>
      <w:marTop w:val="0"/>
      <w:marBottom w:val="0"/>
      <w:divBdr>
        <w:top w:val="none" w:sz="0" w:space="0" w:color="auto"/>
        <w:left w:val="none" w:sz="0" w:space="0" w:color="auto"/>
        <w:bottom w:val="none" w:sz="0" w:space="0" w:color="auto"/>
        <w:right w:val="none" w:sz="0" w:space="0" w:color="auto"/>
      </w:divBdr>
    </w:div>
    <w:div w:id="375664674">
      <w:bodyDiv w:val="1"/>
      <w:marLeft w:val="0"/>
      <w:marRight w:val="0"/>
      <w:marTop w:val="0"/>
      <w:marBottom w:val="0"/>
      <w:divBdr>
        <w:top w:val="none" w:sz="0" w:space="0" w:color="auto"/>
        <w:left w:val="none" w:sz="0" w:space="0" w:color="auto"/>
        <w:bottom w:val="none" w:sz="0" w:space="0" w:color="auto"/>
        <w:right w:val="none" w:sz="0" w:space="0" w:color="auto"/>
      </w:divBdr>
    </w:div>
    <w:div w:id="375739334">
      <w:bodyDiv w:val="1"/>
      <w:marLeft w:val="0"/>
      <w:marRight w:val="0"/>
      <w:marTop w:val="0"/>
      <w:marBottom w:val="0"/>
      <w:divBdr>
        <w:top w:val="none" w:sz="0" w:space="0" w:color="auto"/>
        <w:left w:val="none" w:sz="0" w:space="0" w:color="auto"/>
        <w:bottom w:val="none" w:sz="0" w:space="0" w:color="auto"/>
        <w:right w:val="none" w:sz="0" w:space="0" w:color="auto"/>
      </w:divBdr>
    </w:div>
    <w:div w:id="375855960">
      <w:bodyDiv w:val="1"/>
      <w:marLeft w:val="0"/>
      <w:marRight w:val="0"/>
      <w:marTop w:val="0"/>
      <w:marBottom w:val="0"/>
      <w:divBdr>
        <w:top w:val="none" w:sz="0" w:space="0" w:color="auto"/>
        <w:left w:val="none" w:sz="0" w:space="0" w:color="auto"/>
        <w:bottom w:val="none" w:sz="0" w:space="0" w:color="auto"/>
        <w:right w:val="none" w:sz="0" w:space="0" w:color="auto"/>
      </w:divBdr>
    </w:div>
    <w:div w:id="376004167">
      <w:bodyDiv w:val="1"/>
      <w:marLeft w:val="0"/>
      <w:marRight w:val="0"/>
      <w:marTop w:val="0"/>
      <w:marBottom w:val="0"/>
      <w:divBdr>
        <w:top w:val="none" w:sz="0" w:space="0" w:color="auto"/>
        <w:left w:val="none" w:sz="0" w:space="0" w:color="auto"/>
        <w:bottom w:val="none" w:sz="0" w:space="0" w:color="auto"/>
        <w:right w:val="none" w:sz="0" w:space="0" w:color="auto"/>
      </w:divBdr>
    </w:div>
    <w:div w:id="376053305">
      <w:bodyDiv w:val="1"/>
      <w:marLeft w:val="0"/>
      <w:marRight w:val="0"/>
      <w:marTop w:val="0"/>
      <w:marBottom w:val="0"/>
      <w:divBdr>
        <w:top w:val="none" w:sz="0" w:space="0" w:color="auto"/>
        <w:left w:val="none" w:sz="0" w:space="0" w:color="auto"/>
        <w:bottom w:val="none" w:sz="0" w:space="0" w:color="auto"/>
        <w:right w:val="none" w:sz="0" w:space="0" w:color="auto"/>
      </w:divBdr>
    </w:div>
    <w:div w:id="376201846">
      <w:bodyDiv w:val="1"/>
      <w:marLeft w:val="0"/>
      <w:marRight w:val="0"/>
      <w:marTop w:val="0"/>
      <w:marBottom w:val="0"/>
      <w:divBdr>
        <w:top w:val="none" w:sz="0" w:space="0" w:color="auto"/>
        <w:left w:val="none" w:sz="0" w:space="0" w:color="auto"/>
        <w:bottom w:val="none" w:sz="0" w:space="0" w:color="auto"/>
        <w:right w:val="none" w:sz="0" w:space="0" w:color="auto"/>
      </w:divBdr>
    </w:div>
    <w:div w:id="376204589">
      <w:bodyDiv w:val="1"/>
      <w:marLeft w:val="0"/>
      <w:marRight w:val="0"/>
      <w:marTop w:val="0"/>
      <w:marBottom w:val="0"/>
      <w:divBdr>
        <w:top w:val="none" w:sz="0" w:space="0" w:color="auto"/>
        <w:left w:val="none" w:sz="0" w:space="0" w:color="auto"/>
        <w:bottom w:val="none" w:sz="0" w:space="0" w:color="auto"/>
        <w:right w:val="none" w:sz="0" w:space="0" w:color="auto"/>
      </w:divBdr>
    </w:div>
    <w:div w:id="376317298">
      <w:bodyDiv w:val="1"/>
      <w:marLeft w:val="0"/>
      <w:marRight w:val="0"/>
      <w:marTop w:val="0"/>
      <w:marBottom w:val="0"/>
      <w:divBdr>
        <w:top w:val="none" w:sz="0" w:space="0" w:color="auto"/>
        <w:left w:val="none" w:sz="0" w:space="0" w:color="auto"/>
        <w:bottom w:val="none" w:sz="0" w:space="0" w:color="auto"/>
        <w:right w:val="none" w:sz="0" w:space="0" w:color="auto"/>
      </w:divBdr>
    </w:div>
    <w:div w:id="376321770">
      <w:bodyDiv w:val="1"/>
      <w:marLeft w:val="0"/>
      <w:marRight w:val="0"/>
      <w:marTop w:val="0"/>
      <w:marBottom w:val="0"/>
      <w:divBdr>
        <w:top w:val="none" w:sz="0" w:space="0" w:color="auto"/>
        <w:left w:val="none" w:sz="0" w:space="0" w:color="auto"/>
        <w:bottom w:val="none" w:sz="0" w:space="0" w:color="auto"/>
        <w:right w:val="none" w:sz="0" w:space="0" w:color="auto"/>
      </w:divBdr>
    </w:div>
    <w:div w:id="376322887">
      <w:bodyDiv w:val="1"/>
      <w:marLeft w:val="0"/>
      <w:marRight w:val="0"/>
      <w:marTop w:val="0"/>
      <w:marBottom w:val="0"/>
      <w:divBdr>
        <w:top w:val="none" w:sz="0" w:space="0" w:color="auto"/>
        <w:left w:val="none" w:sz="0" w:space="0" w:color="auto"/>
        <w:bottom w:val="none" w:sz="0" w:space="0" w:color="auto"/>
        <w:right w:val="none" w:sz="0" w:space="0" w:color="auto"/>
      </w:divBdr>
    </w:div>
    <w:div w:id="376324131">
      <w:bodyDiv w:val="1"/>
      <w:marLeft w:val="0"/>
      <w:marRight w:val="0"/>
      <w:marTop w:val="0"/>
      <w:marBottom w:val="0"/>
      <w:divBdr>
        <w:top w:val="none" w:sz="0" w:space="0" w:color="auto"/>
        <w:left w:val="none" w:sz="0" w:space="0" w:color="auto"/>
        <w:bottom w:val="none" w:sz="0" w:space="0" w:color="auto"/>
        <w:right w:val="none" w:sz="0" w:space="0" w:color="auto"/>
      </w:divBdr>
    </w:div>
    <w:div w:id="376396263">
      <w:bodyDiv w:val="1"/>
      <w:marLeft w:val="0"/>
      <w:marRight w:val="0"/>
      <w:marTop w:val="0"/>
      <w:marBottom w:val="0"/>
      <w:divBdr>
        <w:top w:val="none" w:sz="0" w:space="0" w:color="auto"/>
        <w:left w:val="none" w:sz="0" w:space="0" w:color="auto"/>
        <w:bottom w:val="none" w:sz="0" w:space="0" w:color="auto"/>
        <w:right w:val="none" w:sz="0" w:space="0" w:color="auto"/>
      </w:divBdr>
    </w:div>
    <w:div w:id="376441411">
      <w:bodyDiv w:val="1"/>
      <w:marLeft w:val="0"/>
      <w:marRight w:val="0"/>
      <w:marTop w:val="0"/>
      <w:marBottom w:val="0"/>
      <w:divBdr>
        <w:top w:val="none" w:sz="0" w:space="0" w:color="auto"/>
        <w:left w:val="none" w:sz="0" w:space="0" w:color="auto"/>
        <w:bottom w:val="none" w:sz="0" w:space="0" w:color="auto"/>
        <w:right w:val="none" w:sz="0" w:space="0" w:color="auto"/>
      </w:divBdr>
    </w:div>
    <w:div w:id="376584371">
      <w:bodyDiv w:val="1"/>
      <w:marLeft w:val="0"/>
      <w:marRight w:val="0"/>
      <w:marTop w:val="0"/>
      <w:marBottom w:val="0"/>
      <w:divBdr>
        <w:top w:val="none" w:sz="0" w:space="0" w:color="auto"/>
        <w:left w:val="none" w:sz="0" w:space="0" w:color="auto"/>
        <w:bottom w:val="none" w:sz="0" w:space="0" w:color="auto"/>
        <w:right w:val="none" w:sz="0" w:space="0" w:color="auto"/>
      </w:divBdr>
    </w:div>
    <w:div w:id="376706158">
      <w:bodyDiv w:val="1"/>
      <w:marLeft w:val="0"/>
      <w:marRight w:val="0"/>
      <w:marTop w:val="0"/>
      <w:marBottom w:val="0"/>
      <w:divBdr>
        <w:top w:val="none" w:sz="0" w:space="0" w:color="auto"/>
        <w:left w:val="none" w:sz="0" w:space="0" w:color="auto"/>
        <w:bottom w:val="none" w:sz="0" w:space="0" w:color="auto"/>
        <w:right w:val="none" w:sz="0" w:space="0" w:color="auto"/>
      </w:divBdr>
    </w:div>
    <w:div w:id="376854137">
      <w:bodyDiv w:val="1"/>
      <w:marLeft w:val="0"/>
      <w:marRight w:val="0"/>
      <w:marTop w:val="0"/>
      <w:marBottom w:val="0"/>
      <w:divBdr>
        <w:top w:val="none" w:sz="0" w:space="0" w:color="auto"/>
        <w:left w:val="none" w:sz="0" w:space="0" w:color="auto"/>
        <w:bottom w:val="none" w:sz="0" w:space="0" w:color="auto"/>
        <w:right w:val="none" w:sz="0" w:space="0" w:color="auto"/>
      </w:divBdr>
    </w:div>
    <w:div w:id="376929611">
      <w:bodyDiv w:val="1"/>
      <w:marLeft w:val="0"/>
      <w:marRight w:val="0"/>
      <w:marTop w:val="0"/>
      <w:marBottom w:val="0"/>
      <w:divBdr>
        <w:top w:val="none" w:sz="0" w:space="0" w:color="auto"/>
        <w:left w:val="none" w:sz="0" w:space="0" w:color="auto"/>
        <w:bottom w:val="none" w:sz="0" w:space="0" w:color="auto"/>
        <w:right w:val="none" w:sz="0" w:space="0" w:color="auto"/>
      </w:divBdr>
    </w:div>
    <w:div w:id="377048746">
      <w:bodyDiv w:val="1"/>
      <w:marLeft w:val="0"/>
      <w:marRight w:val="0"/>
      <w:marTop w:val="0"/>
      <w:marBottom w:val="0"/>
      <w:divBdr>
        <w:top w:val="none" w:sz="0" w:space="0" w:color="auto"/>
        <w:left w:val="none" w:sz="0" w:space="0" w:color="auto"/>
        <w:bottom w:val="none" w:sz="0" w:space="0" w:color="auto"/>
        <w:right w:val="none" w:sz="0" w:space="0" w:color="auto"/>
      </w:divBdr>
    </w:div>
    <w:div w:id="377094472">
      <w:bodyDiv w:val="1"/>
      <w:marLeft w:val="0"/>
      <w:marRight w:val="0"/>
      <w:marTop w:val="0"/>
      <w:marBottom w:val="0"/>
      <w:divBdr>
        <w:top w:val="none" w:sz="0" w:space="0" w:color="auto"/>
        <w:left w:val="none" w:sz="0" w:space="0" w:color="auto"/>
        <w:bottom w:val="none" w:sz="0" w:space="0" w:color="auto"/>
        <w:right w:val="none" w:sz="0" w:space="0" w:color="auto"/>
      </w:divBdr>
    </w:div>
    <w:div w:id="377097182">
      <w:bodyDiv w:val="1"/>
      <w:marLeft w:val="0"/>
      <w:marRight w:val="0"/>
      <w:marTop w:val="0"/>
      <w:marBottom w:val="0"/>
      <w:divBdr>
        <w:top w:val="none" w:sz="0" w:space="0" w:color="auto"/>
        <w:left w:val="none" w:sz="0" w:space="0" w:color="auto"/>
        <w:bottom w:val="none" w:sz="0" w:space="0" w:color="auto"/>
        <w:right w:val="none" w:sz="0" w:space="0" w:color="auto"/>
      </w:divBdr>
    </w:div>
    <w:div w:id="377123778">
      <w:bodyDiv w:val="1"/>
      <w:marLeft w:val="0"/>
      <w:marRight w:val="0"/>
      <w:marTop w:val="0"/>
      <w:marBottom w:val="0"/>
      <w:divBdr>
        <w:top w:val="none" w:sz="0" w:space="0" w:color="auto"/>
        <w:left w:val="none" w:sz="0" w:space="0" w:color="auto"/>
        <w:bottom w:val="none" w:sz="0" w:space="0" w:color="auto"/>
        <w:right w:val="none" w:sz="0" w:space="0" w:color="auto"/>
      </w:divBdr>
    </w:div>
    <w:div w:id="377166162">
      <w:bodyDiv w:val="1"/>
      <w:marLeft w:val="0"/>
      <w:marRight w:val="0"/>
      <w:marTop w:val="0"/>
      <w:marBottom w:val="0"/>
      <w:divBdr>
        <w:top w:val="none" w:sz="0" w:space="0" w:color="auto"/>
        <w:left w:val="none" w:sz="0" w:space="0" w:color="auto"/>
        <w:bottom w:val="none" w:sz="0" w:space="0" w:color="auto"/>
        <w:right w:val="none" w:sz="0" w:space="0" w:color="auto"/>
      </w:divBdr>
    </w:div>
    <w:div w:id="377168805">
      <w:bodyDiv w:val="1"/>
      <w:marLeft w:val="0"/>
      <w:marRight w:val="0"/>
      <w:marTop w:val="0"/>
      <w:marBottom w:val="0"/>
      <w:divBdr>
        <w:top w:val="none" w:sz="0" w:space="0" w:color="auto"/>
        <w:left w:val="none" w:sz="0" w:space="0" w:color="auto"/>
        <w:bottom w:val="none" w:sz="0" w:space="0" w:color="auto"/>
        <w:right w:val="none" w:sz="0" w:space="0" w:color="auto"/>
      </w:divBdr>
    </w:div>
    <w:div w:id="377242185">
      <w:bodyDiv w:val="1"/>
      <w:marLeft w:val="0"/>
      <w:marRight w:val="0"/>
      <w:marTop w:val="0"/>
      <w:marBottom w:val="0"/>
      <w:divBdr>
        <w:top w:val="none" w:sz="0" w:space="0" w:color="auto"/>
        <w:left w:val="none" w:sz="0" w:space="0" w:color="auto"/>
        <w:bottom w:val="none" w:sz="0" w:space="0" w:color="auto"/>
        <w:right w:val="none" w:sz="0" w:space="0" w:color="auto"/>
      </w:divBdr>
    </w:div>
    <w:div w:id="377247835">
      <w:bodyDiv w:val="1"/>
      <w:marLeft w:val="0"/>
      <w:marRight w:val="0"/>
      <w:marTop w:val="0"/>
      <w:marBottom w:val="0"/>
      <w:divBdr>
        <w:top w:val="none" w:sz="0" w:space="0" w:color="auto"/>
        <w:left w:val="none" w:sz="0" w:space="0" w:color="auto"/>
        <w:bottom w:val="none" w:sz="0" w:space="0" w:color="auto"/>
        <w:right w:val="none" w:sz="0" w:space="0" w:color="auto"/>
      </w:divBdr>
    </w:div>
    <w:div w:id="377319764">
      <w:bodyDiv w:val="1"/>
      <w:marLeft w:val="0"/>
      <w:marRight w:val="0"/>
      <w:marTop w:val="0"/>
      <w:marBottom w:val="0"/>
      <w:divBdr>
        <w:top w:val="none" w:sz="0" w:space="0" w:color="auto"/>
        <w:left w:val="none" w:sz="0" w:space="0" w:color="auto"/>
        <w:bottom w:val="none" w:sz="0" w:space="0" w:color="auto"/>
        <w:right w:val="none" w:sz="0" w:space="0" w:color="auto"/>
      </w:divBdr>
    </w:div>
    <w:div w:id="377508377">
      <w:bodyDiv w:val="1"/>
      <w:marLeft w:val="0"/>
      <w:marRight w:val="0"/>
      <w:marTop w:val="0"/>
      <w:marBottom w:val="0"/>
      <w:divBdr>
        <w:top w:val="none" w:sz="0" w:space="0" w:color="auto"/>
        <w:left w:val="none" w:sz="0" w:space="0" w:color="auto"/>
        <w:bottom w:val="none" w:sz="0" w:space="0" w:color="auto"/>
        <w:right w:val="none" w:sz="0" w:space="0" w:color="auto"/>
      </w:divBdr>
    </w:div>
    <w:div w:id="377509364">
      <w:bodyDiv w:val="1"/>
      <w:marLeft w:val="0"/>
      <w:marRight w:val="0"/>
      <w:marTop w:val="0"/>
      <w:marBottom w:val="0"/>
      <w:divBdr>
        <w:top w:val="none" w:sz="0" w:space="0" w:color="auto"/>
        <w:left w:val="none" w:sz="0" w:space="0" w:color="auto"/>
        <w:bottom w:val="none" w:sz="0" w:space="0" w:color="auto"/>
        <w:right w:val="none" w:sz="0" w:space="0" w:color="auto"/>
      </w:divBdr>
    </w:div>
    <w:div w:id="377513306">
      <w:bodyDiv w:val="1"/>
      <w:marLeft w:val="0"/>
      <w:marRight w:val="0"/>
      <w:marTop w:val="0"/>
      <w:marBottom w:val="0"/>
      <w:divBdr>
        <w:top w:val="none" w:sz="0" w:space="0" w:color="auto"/>
        <w:left w:val="none" w:sz="0" w:space="0" w:color="auto"/>
        <w:bottom w:val="none" w:sz="0" w:space="0" w:color="auto"/>
        <w:right w:val="none" w:sz="0" w:space="0" w:color="auto"/>
      </w:divBdr>
    </w:div>
    <w:div w:id="377516571">
      <w:bodyDiv w:val="1"/>
      <w:marLeft w:val="0"/>
      <w:marRight w:val="0"/>
      <w:marTop w:val="0"/>
      <w:marBottom w:val="0"/>
      <w:divBdr>
        <w:top w:val="none" w:sz="0" w:space="0" w:color="auto"/>
        <w:left w:val="none" w:sz="0" w:space="0" w:color="auto"/>
        <w:bottom w:val="none" w:sz="0" w:space="0" w:color="auto"/>
        <w:right w:val="none" w:sz="0" w:space="0" w:color="auto"/>
      </w:divBdr>
    </w:div>
    <w:div w:id="377584943">
      <w:bodyDiv w:val="1"/>
      <w:marLeft w:val="0"/>
      <w:marRight w:val="0"/>
      <w:marTop w:val="0"/>
      <w:marBottom w:val="0"/>
      <w:divBdr>
        <w:top w:val="none" w:sz="0" w:space="0" w:color="auto"/>
        <w:left w:val="none" w:sz="0" w:space="0" w:color="auto"/>
        <w:bottom w:val="none" w:sz="0" w:space="0" w:color="auto"/>
        <w:right w:val="none" w:sz="0" w:space="0" w:color="auto"/>
      </w:divBdr>
    </w:div>
    <w:div w:id="377627706">
      <w:bodyDiv w:val="1"/>
      <w:marLeft w:val="0"/>
      <w:marRight w:val="0"/>
      <w:marTop w:val="0"/>
      <w:marBottom w:val="0"/>
      <w:divBdr>
        <w:top w:val="none" w:sz="0" w:space="0" w:color="auto"/>
        <w:left w:val="none" w:sz="0" w:space="0" w:color="auto"/>
        <w:bottom w:val="none" w:sz="0" w:space="0" w:color="auto"/>
        <w:right w:val="none" w:sz="0" w:space="0" w:color="auto"/>
      </w:divBdr>
    </w:div>
    <w:div w:id="377627817">
      <w:bodyDiv w:val="1"/>
      <w:marLeft w:val="0"/>
      <w:marRight w:val="0"/>
      <w:marTop w:val="0"/>
      <w:marBottom w:val="0"/>
      <w:divBdr>
        <w:top w:val="none" w:sz="0" w:space="0" w:color="auto"/>
        <w:left w:val="none" w:sz="0" w:space="0" w:color="auto"/>
        <w:bottom w:val="none" w:sz="0" w:space="0" w:color="auto"/>
        <w:right w:val="none" w:sz="0" w:space="0" w:color="auto"/>
      </w:divBdr>
    </w:div>
    <w:div w:id="377630203">
      <w:bodyDiv w:val="1"/>
      <w:marLeft w:val="0"/>
      <w:marRight w:val="0"/>
      <w:marTop w:val="0"/>
      <w:marBottom w:val="0"/>
      <w:divBdr>
        <w:top w:val="none" w:sz="0" w:space="0" w:color="auto"/>
        <w:left w:val="none" w:sz="0" w:space="0" w:color="auto"/>
        <w:bottom w:val="none" w:sz="0" w:space="0" w:color="auto"/>
        <w:right w:val="none" w:sz="0" w:space="0" w:color="auto"/>
      </w:divBdr>
    </w:div>
    <w:div w:id="377700786">
      <w:bodyDiv w:val="1"/>
      <w:marLeft w:val="0"/>
      <w:marRight w:val="0"/>
      <w:marTop w:val="0"/>
      <w:marBottom w:val="0"/>
      <w:divBdr>
        <w:top w:val="none" w:sz="0" w:space="0" w:color="auto"/>
        <w:left w:val="none" w:sz="0" w:space="0" w:color="auto"/>
        <w:bottom w:val="none" w:sz="0" w:space="0" w:color="auto"/>
        <w:right w:val="none" w:sz="0" w:space="0" w:color="auto"/>
      </w:divBdr>
    </w:div>
    <w:div w:id="377780932">
      <w:bodyDiv w:val="1"/>
      <w:marLeft w:val="0"/>
      <w:marRight w:val="0"/>
      <w:marTop w:val="0"/>
      <w:marBottom w:val="0"/>
      <w:divBdr>
        <w:top w:val="none" w:sz="0" w:space="0" w:color="auto"/>
        <w:left w:val="none" w:sz="0" w:space="0" w:color="auto"/>
        <w:bottom w:val="none" w:sz="0" w:space="0" w:color="auto"/>
        <w:right w:val="none" w:sz="0" w:space="0" w:color="auto"/>
      </w:divBdr>
    </w:div>
    <w:div w:id="377821270">
      <w:bodyDiv w:val="1"/>
      <w:marLeft w:val="0"/>
      <w:marRight w:val="0"/>
      <w:marTop w:val="0"/>
      <w:marBottom w:val="0"/>
      <w:divBdr>
        <w:top w:val="none" w:sz="0" w:space="0" w:color="auto"/>
        <w:left w:val="none" w:sz="0" w:space="0" w:color="auto"/>
        <w:bottom w:val="none" w:sz="0" w:space="0" w:color="auto"/>
        <w:right w:val="none" w:sz="0" w:space="0" w:color="auto"/>
      </w:divBdr>
    </w:div>
    <w:div w:id="377823403">
      <w:bodyDiv w:val="1"/>
      <w:marLeft w:val="0"/>
      <w:marRight w:val="0"/>
      <w:marTop w:val="0"/>
      <w:marBottom w:val="0"/>
      <w:divBdr>
        <w:top w:val="none" w:sz="0" w:space="0" w:color="auto"/>
        <w:left w:val="none" w:sz="0" w:space="0" w:color="auto"/>
        <w:bottom w:val="none" w:sz="0" w:space="0" w:color="auto"/>
        <w:right w:val="none" w:sz="0" w:space="0" w:color="auto"/>
      </w:divBdr>
    </w:div>
    <w:div w:id="377902598">
      <w:bodyDiv w:val="1"/>
      <w:marLeft w:val="0"/>
      <w:marRight w:val="0"/>
      <w:marTop w:val="0"/>
      <w:marBottom w:val="0"/>
      <w:divBdr>
        <w:top w:val="none" w:sz="0" w:space="0" w:color="auto"/>
        <w:left w:val="none" w:sz="0" w:space="0" w:color="auto"/>
        <w:bottom w:val="none" w:sz="0" w:space="0" w:color="auto"/>
        <w:right w:val="none" w:sz="0" w:space="0" w:color="auto"/>
      </w:divBdr>
    </w:div>
    <w:div w:id="378013568">
      <w:bodyDiv w:val="1"/>
      <w:marLeft w:val="0"/>
      <w:marRight w:val="0"/>
      <w:marTop w:val="0"/>
      <w:marBottom w:val="0"/>
      <w:divBdr>
        <w:top w:val="none" w:sz="0" w:space="0" w:color="auto"/>
        <w:left w:val="none" w:sz="0" w:space="0" w:color="auto"/>
        <w:bottom w:val="none" w:sz="0" w:space="0" w:color="auto"/>
        <w:right w:val="none" w:sz="0" w:space="0" w:color="auto"/>
      </w:divBdr>
    </w:div>
    <w:div w:id="378020511">
      <w:bodyDiv w:val="1"/>
      <w:marLeft w:val="0"/>
      <w:marRight w:val="0"/>
      <w:marTop w:val="0"/>
      <w:marBottom w:val="0"/>
      <w:divBdr>
        <w:top w:val="none" w:sz="0" w:space="0" w:color="auto"/>
        <w:left w:val="none" w:sz="0" w:space="0" w:color="auto"/>
        <w:bottom w:val="none" w:sz="0" w:space="0" w:color="auto"/>
        <w:right w:val="none" w:sz="0" w:space="0" w:color="auto"/>
      </w:divBdr>
    </w:div>
    <w:div w:id="378167175">
      <w:bodyDiv w:val="1"/>
      <w:marLeft w:val="0"/>
      <w:marRight w:val="0"/>
      <w:marTop w:val="0"/>
      <w:marBottom w:val="0"/>
      <w:divBdr>
        <w:top w:val="none" w:sz="0" w:space="0" w:color="auto"/>
        <w:left w:val="none" w:sz="0" w:space="0" w:color="auto"/>
        <w:bottom w:val="none" w:sz="0" w:space="0" w:color="auto"/>
        <w:right w:val="none" w:sz="0" w:space="0" w:color="auto"/>
      </w:divBdr>
    </w:div>
    <w:div w:id="378170774">
      <w:bodyDiv w:val="1"/>
      <w:marLeft w:val="0"/>
      <w:marRight w:val="0"/>
      <w:marTop w:val="0"/>
      <w:marBottom w:val="0"/>
      <w:divBdr>
        <w:top w:val="none" w:sz="0" w:space="0" w:color="auto"/>
        <w:left w:val="none" w:sz="0" w:space="0" w:color="auto"/>
        <w:bottom w:val="none" w:sz="0" w:space="0" w:color="auto"/>
        <w:right w:val="none" w:sz="0" w:space="0" w:color="auto"/>
      </w:divBdr>
    </w:div>
    <w:div w:id="378172057">
      <w:bodyDiv w:val="1"/>
      <w:marLeft w:val="0"/>
      <w:marRight w:val="0"/>
      <w:marTop w:val="0"/>
      <w:marBottom w:val="0"/>
      <w:divBdr>
        <w:top w:val="none" w:sz="0" w:space="0" w:color="auto"/>
        <w:left w:val="none" w:sz="0" w:space="0" w:color="auto"/>
        <w:bottom w:val="none" w:sz="0" w:space="0" w:color="auto"/>
        <w:right w:val="none" w:sz="0" w:space="0" w:color="auto"/>
      </w:divBdr>
    </w:div>
    <w:div w:id="378213443">
      <w:bodyDiv w:val="1"/>
      <w:marLeft w:val="0"/>
      <w:marRight w:val="0"/>
      <w:marTop w:val="0"/>
      <w:marBottom w:val="0"/>
      <w:divBdr>
        <w:top w:val="none" w:sz="0" w:space="0" w:color="auto"/>
        <w:left w:val="none" w:sz="0" w:space="0" w:color="auto"/>
        <w:bottom w:val="none" w:sz="0" w:space="0" w:color="auto"/>
        <w:right w:val="none" w:sz="0" w:space="0" w:color="auto"/>
      </w:divBdr>
    </w:div>
    <w:div w:id="378282183">
      <w:bodyDiv w:val="1"/>
      <w:marLeft w:val="0"/>
      <w:marRight w:val="0"/>
      <w:marTop w:val="0"/>
      <w:marBottom w:val="0"/>
      <w:divBdr>
        <w:top w:val="none" w:sz="0" w:space="0" w:color="auto"/>
        <w:left w:val="none" w:sz="0" w:space="0" w:color="auto"/>
        <w:bottom w:val="none" w:sz="0" w:space="0" w:color="auto"/>
        <w:right w:val="none" w:sz="0" w:space="0" w:color="auto"/>
      </w:divBdr>
    </w:div>
    <w:div w:id="378364543">
      <w:bodyDiv w:val="1"/>
      <w:marLeft w:val="0"/>
      <w:marRight w:val="0"/>
      <w:marTop w:val="0"/>
      <w:marBottom w:val="0"/>
      <w:divBdr>
        <w:top w:val="none" w:sz="0" w:space="0" w:color="auto"/>
        <w:left w:val="none" w:sz="0" w:space="0" w:color="auto"/>
        <w:bottom w:val="none" w:sz="0" w:space="0" w:color="auto"/>
        <w:right w:val="none" w:sz="0" w:space="0" w:color="auto"/>
      </w:divBdr>
    </w:div>
    <w:div w:id="378407949">
      <w:bodyDiv w:val="1"/>
      <w:marLeft w:val="0"/>
      <w:marRight w:val="0"/>
      <w:marTop w:val="0"/>
      <w:marBottom w:val="0"/>
      <w:divBdr>
        <w:top w:val="none" w:sz="0" w:space="0" w:color="auto"/>
        <w:left w:val="none" w:sz="0" w:space="0" w:color="auto"/>
        <w:bottom w:val="none" w:sz="0" w:space="0" w:color="auto"/>
        <w:right w:val="none" w:sz="0" w:space="0" w:color="auto"/>
      </w:divBdr>
    </w:div>
    <w:div w:id="378482134">
      <w:bodyDiv w:val="1"/>
      <w:marLeft w:val="0"/>
      <w:marRight w:val="0"/>
      <w:marTop w:val="0"/>
      <w:marBottom w:val="0"/>
      <w:divBdr>
        <w:top w:val="none" w:sz="0" w:space="0" w:color="auto"/>
        <w:left w:val="none" w:sz="0" w:space="0" w:color="auto"/>
        <w:bottom w:val="none" w:sz="0" w:space="0" w:color="auto"/>
        <w:right w:val="none" w:sz="0" w:space="0" w:color="auto"/>
      </w:divBdr>
    </w:div>
    <w:div w:id="378556305">
      <w:bodyDiv w:val="1"/>
      <w:marLeft w:val="0"/>
      <w:marRight w:val="0"/>
      <w:marTop w:val="0"/>
      <w:marBottom w:val="0"/>
      <w:divBdr>
        <w:top w:val="none" w:sz="0" w:space="0" w:color="auto"/>
        <w:left w:val="none" w:sz="0" w:space="0" w:color="auto"/>
        <w:bottom w:val="none" w:sz="0" w:space="0" w:color="auto"/>
        <w:right w:val="none" w:sz="0" w:space="0" w:color="auto"/>
      </w:divBdr>
    </w:div>
    <w:div w:id="378632041">
      <w:bodyDiv w:val="1"/>
      <w:marLeft w:val="0"/>
      <w:marRight w:val="0"/>
      <w:marTop w:val="0"/>
      <w:marBottom w:val="0"/>
      <w:divBdr>
        <w:top w:val="none" w:sz="0" w:space="0" w:color="auto"/>
        <w:left w:val="none" w:sz="0" w:space="0" w:color="auto"/>
        <w:bottom w:val="none" w:sz="0" w:space="0" w:color="auto"/>
        <w:right w:val="none" w:sz="0" w:space="0" w:color="auto"/>
      </w:divBdr>
    </w:div>
    <w:div w:id="378821097">
      <w:bodyDiv w:val="1"/>
      <w:marLeft w:val="0"/>
      <w:marRight w:val="0"/>
      <w:marTop w:val="0"/>
      <w:marBottom w:val="0"/>
      <w:divBdr>
        <w:top w:val="none" w:sz="0" w:space="0" w:color="auto"/>
        <w:left w:val="none" w:sz="0" w:space="0" w:color="auto"/>
        <w:bottom w:val="none" w:sz="0" w:space="0" w:color="auto"/>
        <w:right w:val="none" w:sz="0" w:space="0" w:color="auto"/>
      </w:divBdr>
    </w:div>
    <w:div w:id="378866945">
      <w:bodyDiv w:val="1"/>
      <w:marLeft w:val="0"/>
      <w:marRight w:val="0"/>
      <w:marTop w:val="0"/>
      <w:marBottom w:val="0"/>
      <w:divBdr>
        <w:top w:val="none" w:sz="0" w:space="0" w:color="auto"/>
        <w:left w:val="none" w:sz="0" w:space="0" w:color="auto"/>
        <w:bottom w:val="none" w:sz="0" w:space="0" w:color="auto"/>
        <w:right w:val="none" w:sz="0" w:space="0" w:color="auto"/>
      </w:divBdr>
    </w:div>
    <w:div w:id="378895884">
      <w:bodyDiv w:val="1"/>
      <w:marLeft w:val="0"/>
      <w:marRight w:val="0"/>
      <w:marTop w:val="0"/>
      <w:marBottom w:val="0"/>
      <w:divBdr>
        <w:top w:val="none" w:sz="0" w:space="0" w:color="auto"/>
        <w:left w:val="none" w:sz="0" w:space="0" w:color="auto"/>
        <w:bottom w:val="none" w:sz="0" w:space="0" w:color="auto"/>
        <w:right w:val="none" w:sz="0" w:space="0" w:color="auto"/>
      </w:divBdr>
    </w:div>
    <w:div w:id="379210576">
      <w:bodyDiv w:val="1"/>
      <w:marLeft w:val="0"/>
      <w:marRight w:val="0"/>
      <w:marTop w:val="0"/>
      <w:marBottom w:val="0"/>
      <w:divBdr>
        <w:top w:val="none" w:sz="0" w:space="0" w:color="auto"/>
        <w:left w:val="none" w:sz="0" w:space="0" w:color="auto"/>
        <w:bottom w:val="none" w:sz="0" w:space="0" w:color="auto"/>
        <w:right w:val="none" w:sz="0" w:space="0" w:color="auto"/>
      </w:divBdr>
    </w:div>
    <w:div w:id="379323779">
      <w:bodyDiv w:val="1"/>
      <w:marLeft w:val="0"/>
      <w:marRight w:val="0"/>
      <w:marTop w:val="0"/>
      <w:marBottom w:val="0"/>
      <w:divBdr>
        <w:top w:val="none" w:sz="0" w:space="0" w:color="auto"/>
        <w:left w:val="none" w:sz="0" w:space="0" w:color="auto"/>
        <w:bottom w:val="none" w:sz="0" w:space="0" w:color="auto"/>
        <w:right w:val="none" w:sz="0" w:space="0" w:color="auto"/>
      </w:divBdr>
    </w:div>
    <w:div w:id="379327949">
      <w:bodyDiv w:val="1"/>
      <w:marLeft w:val="0"/>
      <w:marRight w:val="0"/>
      <w:marTop w:val="0"/>
      <w:marBottom w:val="0"/>
      <w:divBdr>
        <w:top w:val="none" w:sz="0" w:space="0" w:color="auto"/>
        <w:left w:val="none" w:sz="0" w:space="0" w:color="auto"/>
        <w:bottom w:val="none" w:sz="0" w:space="0" w:color="auto"/>
        <w:right w:val="none" w:sz="0" w:space="0" w:color="auto"/>
      </w:divBdr>
    </w:div>
    <w:div w:id="379328348">
      <w:bodyDiv w:val="1"/>
      <w:marLeft w:val="0"/>
      <w:marRight w:val="0"/>
      <w:marTop w:val="0"/>
      <w:marBottom w:val="0"/>
      <w:divBdr>
        <w:top w:val="none" w:sz="0" w:space="0" w:color="auto"/>
        <w:left w:val="none" w:sz="0" w:space="0" w:color="auto"/>
        <w:bottom w:val="none" w:sz="0" w:space="0" w:color="auto"/>
        <w:right w:val="none" w:sz="0" w:space="0" w:color="auto"/>
      </w:divBdr>
    </w:div>
    <w:div w:id="379329666">
      <w:bodyDiv w:val="1"/>
      <w:marLeft w:val="0"/>
      <w:marRight w:val="0"/>
      <w:marTop w:val="0"/>
      <w:marBottom w:val="0"/>
      <w:divBdr>
        <w:top w:val="none" w:sz="0" w:space="0" w:color="auto"/>
        <w:left w:val="none" w:sz="0" w:space="0" w:color="auto"/>
        <w:bottom w:val="none" w:sz="0" w:space="0" w:color="auto"/>
        <w:right w:val="none" w:sz="0" w:space="0" w:color="auto"/>
      </w:divBdr>
    </w:div>
    <w:div w:id="379520329">
      <w:bodyDiv w:val="1"/>
      <w:marLeft w:val="0"/>
      <w:marRight w:val="0"/>
      <w:marTop w:val="0"/>
      <w:marBottom w:val="0"/>
      <w:divBdr>
        <w:top w:val="none" w:sz="0" w:space="0" w:color="auto"/>
        <w:left w:val="none" w:sz="0" w:space="0" w:color="auto"/>
        <w:bottom w:val="none" w:sz="0" w:space="0" w:color="auto"/>
        <w:right w:val="none" w:sz="0" w:space="0" w:color="auto"/>
      </w:divBdr>
    </w:div>
    <w:div w:id="379592114">
      <w:bodyDiv w:val="1"/>
      <w:marLeft w:val="0"/>
      <w:marRight w:val="0"/>
      <w:marTop w:val="0"/>
      <w:marBottom w:val="0"/>
      <w:divBdr>
        <w:top w:val="none" w:sz="0" w:space="0" w:color="auto"/>
        <w:left w:val="none" w:sz="0" w:space="0" w:color="auto"/>
        <w:bottom w:val="none" w:sz="0" w:space="0" w:color="auto"/>
        <w:right w:val="none" w:sz="0" w:space="0" w:color="auto"/>
      </w:divBdr>
    </w:div>
    <w:div w:id="379595891">
      <w:bodyDiv w:val="1"/>
      <w:marLeft w:val="0"/>
      <w:marRight w:val="0"/>
      <w:marTop w:val="0"/>
      <w:marBottom w:val="0"/>
      <w:divBdr>
        <w:top w:val="none" w:sz="0" w:space="0" w:color="auto"/>
        <w:left w:val="none" w:sz="0" w:space="0" w:color="auto"/>
        <w:bottom w:val="none" w:sz="0" w:space="0" w:color="auto"/>
        <w:right w:val="none" w:sz="0" w:space="0" w:color="auto"/>
      </w:divBdr>
    </w:div>
    <w:div w:id="379597076">
      <w:bodyDiv w:val="1"/>
      <w:marLeft w:val="0"/>
      <w:marRight w:val="0"/>
      <w:marTop w:val="0"/>
      <w:marBottom w:val="0"/>
      <w:divBdr>
        <w:top w:val="none" w:sz="0" w:space="0" w:color="auto"/>
        <w:left w:val="none" w:sz="0" w:space="0" w:color="auto"/>
        <w:bottom w:val="none" w:sz="0" w:space="0" w:color="auto"/>
        <w:right w:val="none" w:sz="0" w:space="0" w:color="auto"/>
      </w:divBdr>
    </w:div>
    <w:div w:id="379598451">
      <w:bodyDiv w:val="1"/>
      <w:marLeft w:val="0"/>
      <w:marRight w:val="0"/>
      <w:marTop w:val="0"/>
      <w:marBottom w:val="0"/>
      <w:divBdr>
        <w:top w:val="none" w:sz="0" w:space="0" w:color="auto"/>
        <w:left w:val="none" w:sz="0" w:space="0" w:color="auto"/>
        <w:bottom w:val="none" w:sz="0" w:space="0" w:color="auto"/>
        <w:right w:val="none" w:sz="0" w:space="0" w:color="auto"/>
      </w:divBdr>
    </w:div>
    <w:div w:id="379792694">
      <w:bodyDiv w:val="1"/>
      <w:marLeft w:val="0"/>
      <w:marRight w:val="0"/>
      <w:marTop w:val="0"/>
      <w:marBottom w:val="0"/>
      <w:divBdr>
        <w:top w:val="none" w:sz="0" w:space="0" w:color="auto"/>
        <w:left w:val="none" w:sz="0" w:space="0" w:color="auto"/>
        <w:bottom w:val="none" w:sz="0" w:space="0" w:color="auto"/>
        <w:right w:val="none" w:sz="0" w:space="0" w:color="auto"/>
      </w:divBdr>
    </w:div>
    <w:div w:id="379865104">
      <w:bodyDiv w:val="1"/>
      <w:marLeft w:val="0"/>
      <w:marRight w:val="0"/>
      <w:marTop w:val="0"/>
      <w:marBottom w:val="0"/>
      <w:divBdr>
        <w:top w:val="none" w:sz="0" w:space="0" w:color="auto"/>
        <w:left w:val="none" w:sz="0" w:space="0" w:color="auto"/>
        <w:bottom w:val="none" w:sz="0" w:space="0" w:color="auto"/>
        <w:right w:val="none" w:sz="0" w:space="0" w:color="auto"/>
      </w:divBdr>
    </w:div>
    <w:div w:id="379986208">
      <w:bodyDiv w:val="1"/>
      <w:marLeft w:val="0"/>
      <w:marRight w:val="0"/>
      <w:marTop w:val="0"/>
      <w:marBottom w:val="0"/>
      <w:divBdr>
        <w:top w:val="none" w:sz="0" w:space="0" w:color="auto"/>
        <w:left w:val="none" w:sz="0" w:space="0" w:color="auto"/>
        <w:bottom w:val="none" w:sz="0" w:space="0" w:color="auto"/>
        <w:right w:val="none" w:sz="0" w:space="0" w:color="auto"/>
      </w:divBdr>
    </w:div>
    <w:div w:id="380057916">
      <w:bodyDiv w:val="1"/>
      <w:marLeft w:val="0"/>
      <w:marRight w:val="0"/>
      <w:marTop w:val="0"/>
      <w:marBottom w:val="0"/>
      <w:divBdr>
        <w:top w:val="none" w:sz="0" w:space="0" w:color="auto"/>
        <w:left w:val="none" w:sz="0" w:space="0" w:color="auto"/>
        <w:bottom w:val="none" w:sz="0" w:space="0" w:color="auto"/>
        <w:right w:val="none" w:sz="0" w:space="0" w:color="auto"/>
      </w:divBdr>
    </w:div>
    <w:div w:id="380059352">
      <w:bodyDiv w:val="1"/>
      <w:marLeft w:val="0"/>
      <w:marRight w:val="0"/>
      <w:marTop w:val="0"/>
      <w:marBottom w:val="0"/>
      <w:divBdr>
        <w:top w:val="none" w:sz="0" w:space="0" w:color="auto"/>
        <w:left w:val="none" w:sz="0" w:space="0" w:color="auto"/>
        <w:bottom w:val="none" w:sz="0" w:space="0" w:color="auto"/>
        <w:right w:val="none" w:sz="0" w:space="0" w:color="auto"/>
      </w:divBdr>
    </w:div>
    <w:div w:id="380137015">
      <w:bodyDiv w:val="1"/>
      <w:marLeft w:val="0"/>
      <w:marRight w:val="0"/>
      <w:marTop w:val="0"/>
      <w:marBottom w:val="0"/>
      <w:divBdr>
        <w:top w:val="none" w:sz="0" w:space="0" w:color="auto"/>
        <w:left w:val="none" w:sz="0" w:space="0" w:color="auto"/>
        <w:bottom w:val="none" w:sz="0" w:space="0" w:color="auto"/>
        <w:right w:val="none" w:sz="0" w:space="0" w:color="auto"/>
      </w:divBdr>
    </w:div>
    <w:div w:id="380137870">
      <w:bodyDiv w:val="1"/>
      <w:marLeft w:val="0"/>
      <w:marRight w:val="0"/>
      <w:marTop w:val="0"/>
      <w:marBottom w:val="0"/>
      <w:divBdr>
        <w:top w:val="none" w:sz="0" w:space="0" w:color="auto"/>
        <w:left w:val="none" w:sz="0" w:space="0" w:color="auto"/>
        <w:bottom w:val="none" w:sz="0" w:space="0" w:color="auto"/>
        <w:right w:val="none" w:sz="0" w:space="0" w:color="auto"/>
      </w:divBdr>
    </w:div>
    <w:div w:id="380250980">
      <w:bodyDiv w:val="1"/>
      <w:marLeft w:val="0"/>
      <w:marRight w:val="0"/>
      <w:marTop w:val="0"/>
      <w:marBottom w:val="0"/>
      <w:divBdr>
        <w:top w:val="none" w:sz="0" w:space="0" w:color="auto"/>
        <w:left w:val="none" w:sz="0" w:space="0" w:color="auto"/>
        <w:bottom w:val="none" w:sz="0" w:space="0" w:color="auto"/>
        <w:right w:val="none" w:sz="0" w:space="0" w:color="auto"/>
      </w:divBdr>
    </w:div>
    <w:div w:id="380403657">
      <w:bodyDiv w:val="1"/>
      <w:marLeft w:val="0"/>
      <w:marRight w:val="0"/>
      <w:marTop w:val="0"/>
      <w:marBottom w:val="0"/>
      <w:divBdr>
        <w:top w:val="none" w:sz="0" w:space="0" w:color="auto"/>
        <w:left w:val="none" w:sz="0" w:space="0" w:color="auto"/>
        <w:bottom w:val="none" w:sz="0" w:space="0" w:color="auto"/>
        <w:right w:val="none" w:sz="0" w:space="0" w:color="auto"/>
      </w:divBdr>
    </w:div>
    <w:div w:id="380442440">
      <w:bodyDiv w:val="1"/>
      <w:marLeft w:val="0"/>
      <w:marRight w:val="0"/>
      <w:marTop w:val="0"/>
      <w:marBottom w:val="0"/>
      <w:divBdr>
        <w:top w:val="none" w:sz="0" w:space="0" w:color="auto"/>
        <w:left w:val="none" w:sz="0" w:space="0" w:color="auto"/>
        <w:bottom w:val="none" w:sz="0" w:space="0" w:color="auto"/>
        <w:right w:val="none" w:sz="0" w:space="0" w:color="auto"/>
      </w:divBdr>
    </w:div>
    <w:div w:id="380448423">
      <w:bodyDiv w:val="1"/>
      <w:marLeft w:val="0"/>
      <w:marRight w:val="0"/>
      <w:marTop w:val="0"/>
      <w:marBottom w:val="0"/>
      <w:divBdr>
        <w:top w:val="none" w:sz="0" w:space="0" w:color="auto"/>
        <w:left w:val="none" w:sz="0" w:space="0" w:color="auto"/>
        <w:bottom w:val="none" w:sz="0" w:space="0" w:color="auto"/>
        <w:right w:val="none" w:sz="0" w:space="0" w:color="auto"/>
      </w:divBdr>
    </w:div>
    <w:div w:id="380448910">
      <w:bodyDiv w:val="1"/>
      <w:marLeft w:val="0"/>
      <w:marRight w:val="0"/>
      <w:marTop w:val="0"/>
      <w:marBottom w:val="0"/>
      <w:divBdr>
        <w:top w:val="none" w:sz="0" w:space="0" w:color="auto"/>
        <w:left w:val="none" w:sz="0" w:space="0" w:color="auto"/>
        <w:bottom w:val="none" w:sz="0" w:space="0" w:color="auto"/>
        <w:right w:val="none" w:sz="0" w:space="0" w:color="auto"/>
      </w:divBdr>
    </w:div>
    <w:div w:id="380523541">
      <w:bodyDiv w:val="1"/>
      <w:marLeft w:val="0"/>
      <w:marRight w:val="0"/>
      <w:marTop w:val="0"/>
      <w:marBottom w:val="0"/>
      <w:divBdr>
        <w:top w:val="none" w:sz="0" w:space="0" w:color="auto"/>
        <w:left w:val="none" w:sz="0" w:space="0" w:color="auto"/>
        <w:bottom w:val="none" w:sz="0" w:space="0" w:color="auto"/>
        <w:right w:val="none" w:sz="0" w:space="0" w:color="auto"/>
      </w:divBdr>
    </w:div>
    <w:div w:id="380597161">
      <w:bodyDiv w:val="1"/>
      <w:marLeft w:val="0"/>
      <w:marRight w:val="0"/>
      <w:marTop w:val="0"/>
      <w:marBottom w:val="0"/>
      <w:divBdr>
        <w:top w:val="none" w:sz="0" w:space="0" w:color="auto"/>
        <w:left w:val="none" w:sz="0" w:space="0" w:color="auto"/>
        <w:bottom w:val="none" w:sz="0" w:space="0" w:color="auto"/>
        <w:right w:val="none" w:sz="0" w:space="0" w:color="auto"/>
      </w:divBdr>
    </w:div>
    <w:div w:id="380636632">
      <w:bodyDiv w:val="1"/>
      <w:marLeft w:val="0"/>
      <w:marRight w:val="0"/>
      <w:marTop w:val="0"/>
      <w:marBottom w:val="0"/>
      <w:divBdr>
        <w:top w:val="none" w:sz="0" w:space="0" w:color="auto"/>
        <w:left w:val="none" w:sz="0" w:space="0" w:color="auto"/>
        <w:bottom w:val="none" w:sz="0" w:space="0" w:color="auto"/>
        <w:right w:val="none" w:sz="0" w:space="0" w:color="auto"/>
      </w:divBdr>
    </w:div>
    <w:div w:id="380786587">
      <w:bodyDiv w:val="1"/>
      <w:marLeft w:val="0"/>
      <w:marRight w:val="0"/>
      <w:marTop w:val="0"/>
      <w:marBottom w:val="0"/>
      <w:divBdr>
        <w:top w:val="none" w:sz="0" w:space="0" w:color="auto"/>
        <w:left w:val="none" w:sz="0" w:space="0" w:color="auto"/>
        <w:bottom w:val="none" w:sz="0" w:space="0" w:color="auto"/>
        <w:right w:val="none" w:sz="0" w:space="0" w:color="auto"/>
      </w:divBdr>
    </w:div>
    <w:div w:id="380832656">
      <w:bodyDiv w:val="1"/>
      <w:marLeft w:val="0"/>
      <w:marRight w:val="0"/>
      <w:marTop w:val="0"/>
      <w:marBottom w:val="0"/>
      <w:divBdr>
        <w:top w:val="none" w:sz="0" w:space="0" w:color="auto"/>
        <w:left w:val="none" w:sz="0" w:space="0" w:color="auto"/>
        <w:bottom w:val="none" w:sz="0" w:space="0" w:color="auto"/>
        <w:right w:val="none" w:sz="0" w:space="0" w:color="auto"/>
      </w:divBdr>
    </w:div>
    <w:div w:id="380907710">
      <w:bodyDiv w:val="1"/>
      <w:marLeft w:val="0"/>
      <w:marRight w:val="0"/>
      <w:marTop w:val="0"/>
      <w:marBottom w:val="0"/>
      <w:divBdr>
        <w:top w:val="none" w:sz="0" w:space="0" w:color="auto"/>
        <w:left w:val="none" w:sz="0" w:space="0" w:color="auto"/>
        <w:bottom w:val="none" w:sz="0" w:space="0" w:color="auto"/>
        <w:right w:val="none" w:sz="0" w:space="0" w:color="auto"/>
      </w:divBdr>
    </w:div>
    <w:div w:id="380986690">
      <w:bodyDiv w:val="1"/>
      <w:marLeft w:val="0"/>
      <w:marRight w:val="0"/>
      <w:marTop w:val="0"/>
      <w:marBottom w:val="0"/>
      <w:divBdr>
        <w:top w:val="none" w:sz="0" w:space="0" w:color="auto"/>
        <w:left w:val="none" w:sz="0" w:space="0" w:color="auto"/>
        <w:bottom w:val="none" w:sz="0" w:space="0" w:color="auto"/>
        <w:right w:val="none" w:sz="0" w:space="0" w:color="auto"/>
      </w:divBdr>
    </w:div>
    <w:div w:id="381058709">
      <w:bodyDiv w:val="1"/>
      <w:marLeft w:val="0"/>
      <w:marRight w:val="0"/>
      <w:marTop w:val="0"/>
      <w:marBottom w:val="0"/>
      <w:divBdr>
        <w:top w:val="none" w:sz="0" w:space="0" w:color="auto"/>
        <w:left w:val="none" w:sz="0" w:space="0" w:color="auto"/>
        <w:bottom w:val="none" w:sz="0" w:space="0" w:color="auto"/>
        <w:right w:val="none" w:sz="0" w:space="0" w:color="auto"/>
      </w:divBdr>
    </w:div>
    <w:div w:id="381098321">
      <w:bodyDiv w:val="1"/>
      <w:marLeft w:val="0"/>
      <w:marRight w:val="0"/>
      <w:marTop w:val="0"/>
      <w:marBottom w:val="0"/>
      <w:divBdr>
        <w:top w:val="none" w:sz="0" w:space="0" w:color="auto"/>
        <w:left w:val="none" w:sz="0" w:space="0" w:color="auto"/>
        <w:bottom w:val="none" w:sz="0" w:space="0" w:color="auto"/>
        <w:right w:val="none" w:sz="0" w:space="0" w:color="auto"/>
      </w:divBdr>
    </w:div>
    <w:div w:id="381100020">
      <w:bodyDiv w:val="1"/>
      <w:marLeft w:val="0"/>
      <w:marRight w:val="0"/>
      <w:marTop w:val="0"/>
      <w:marBottom w:val="0"/>
      <w:divBdr>
        <w:top w:val="none" w:sz="0" w:space="0" w:color="auto"/>
        <w:left w:val="none" w:sz="0" w:space="0" w:color="auto"/>
        <w:bottom w:val="none" w:sz="0" w:space="0" w:color="auto"/>
        <w:right w:val="none" w:sz="0" w:space="0" w:color="auto"/>
      </w:divBdr>
    </w:div>
    <w:div w:id="381171103">
      <w:bodyDiv w:val="1"/>
      <w:marLeft w:val="0"/>
      <w:marRight w:val="0"/>
      <w:marTop w:val="0"/>
      <w:marBottom w:val="0"/>
      <w:divBdr>
        <w:top w:val="none" w:sz="0" w:space="0" w:color="auto"/>
        <w:left w:val="none" w:sz="0" w:space="0" w:color="auto"/>
        <w:bottom w:val="none" w:sz="0" w:space="0" w:color="auto"/>
        <w:right w:val="none" w:sz="0" w:space="0" w:color="auto"/>
      </w:divBdr>
    </w:div>
    <w:div w:id="381247544">
      <w:bodyDiv w:val="1"/>
      <w:marLeft w:val="0"/>
      <w:marRight w:val="0"/>
      <w:marTop w:val="0"/>
      <w:marBottom w:val="0"/>
      <w:divBdr>
        <w:top w:val="none" w:sz="0" w:space="0" w:color="auto"/>
        <w:left w:val="none" w:sz="0" w:space="0" w:color="auto"/>
        <w:bottom w:val="none" w:sz="0" w:space="0" w:color="auto"/>
        <w:right w:val="none" w:sz="0" w:space="0" w:color="auto"/>
      </w:divBdr>
    </w:div>
    <w:div w:id="381251831">
      <w:bodyDiv w:val="1"/>
      <w:marLeft w:val="0"/>
      <w:marRight w:val="0"/>
      <w:marTop w:val="0"/>
      <w:marBottom w:val="0"/>
      <w:divBdr>
        <w:top w:val="none" w:sz="0" w:space="0" w:color="auto"/>
        <w:left w:val="none" w:sz="0" w:space="0" w:color="auto"/>
        <w:bottom w:val="none" w:sz="0" w:space="0" w:color="auto"/>
        <w:right w:val="none" w:sz="0" w:space="0" w:color="auto"/>
      </w:divBdr>
    </w:div>
    <w:div w:id="381292552">
      <w:bodyDiv w:val="1"/>
      <w:marLeft w:val="0"/>
      <w:marRight w:val="0"/>
      <w:marTop w:val="0"/>
      <w:marBottom w:val="0"/>
      <w:divBdr>
        <w:top w:val="none" w:sz="0" w:space="0" w:color="auto"/>
        <w:left w:val="none" w:sz="0" w:space="0" w:color="auto"/>
        <w:bottom w:val="none" w:sz="0" w:space="0" w:color="auto"/>
        <w:right w:val="none" w:sz="0" w:space="0" w:color="auto"/>
      </w:divBdr>
    </w:div>
    <w:div w:id="381448515">
      <w:bodyDiv w:val="1"/>
      <w:marLeft w:val="0"/>
      <w:marRight w:val="0"/>
      <w:marTop w:val="0"/>
      <w:marBottom w:val="0"/>
      <w:divBdr>
        <w:top w:val="none" w:sz="0" w:space="0" w:color="auto"/>
        <w:left w:val="none" w:sz="0" w:space="0" w:color="auto"/>
        <w:bottom w:val="none" w:sz="0" w:space="0" w:color="auto"/>
        <w:right w:val="none" w:sz="0" w:space="0" w:color="auto"/>
      </w:divBdr>
    </w:div>
    <w:div w:id="381490026">
      <w:bodyDiv w:val="1"/>
      <w:marLeft w:val="0"/>
      <w:marRight w:val="0"/>
      <w:marTop w:val="0"/>
      <w:marBottom w:val="0"/>
      <w:divBdr>
        <w:top w:val="none" w:sz="0" w:space="0" w:color="auto"/>
        <w:left w:val="none" w:sz="0" w:space="0" w:color="auto"/>
        <w:bottom w:val="none" w:sz="0" w:space="0" w:color="auto"/>
        <w:right w:val="none" w:sz="0" w:space="0" w:color="auto"/>
      </w:divBdr>
    </w:div>
    <w:div w:id="381490481">
      <w:bodyDiv w:val="1"/>
      <w:marLeft w:val="0"/>
      <w:marRight w:val="0"/>
      <w:marTop w:val="0"/>
      <w:marBottom w:val="0"/>
      <w:divBdr>
        <w:top w:val="none" w:sz="0" w:space="0" w:color="auto"/>
        <w:left w:val="none" w:sz="0" w:space="0" w:color="auto"/>
        <w:bottom w:val="none" w:sz="0" w:space="0" w:color="auto"/>
        <w:right w:val="none" w:sz="0" w:space="0" w:color="auto"/>
      </w:divBdr>
    </w:div>
    <w:div w:id="381711680">
      <w:bodyDiv w:val="1"/>
      <w:marLeft w:val="0"/>
      <w:marRight w:val="0"/>
      <w:marTop w:val="0"/>
      <w:marBottom w:val="0"/>
      <w:divBdr>
        <w:top w:val="none" w:sz="0" w:space="0" w:color="auto"/>
        <w:left w:val="none" w:sz="0" w:space="0" w:color="auto"/>
        <w:bottom w:val="none" w:sz="0" w:space="0" w:color="auto"/>
        <w:right w:val="none" w:sz="0" w:space="0" w:color="auto"/>
      </w:divBdr>
    </w:div>
    <w:div w:id="381827397">
      <w:bodyDiv w:val="1"/>
      <w:marLeft w:val="0"/>
      <w:marRight w:val="0"/>
      <w:marTop w:val="0"/>
      <w:marBottom w:val="0"/>
      <w:divBdr>
        <w:top w:val="none" w:sz="0" w:space="0" w:color="auto"/>
        <w:left w:val="none" w:sz="0" w:space="0" w:color="auto"/>
        <w:bottom w:val="none" w:sz="0" w:space="0" w:color="auto"/>
        <w:right w:val="none" w:sz="0" w:space="0" w:color="auto"/>
      </w:divBdr>
    </w:div>
    <w:div w:id="381830364">
      <w:bodyDiv w:val="1"/>
      <w:marLeft w:val="0"/>
      <w:marRight w:val="0"/>
      <w:marTop w:val="0"/>
      <w:marBottom w:val="0"/>
      <w:divBdr>
        <w:top w:val="none" w:sz="0" w:space="0" w:color="auto"/>
        <w:left w:val="none" w:sz="0" w:space="0" w:color="auto"/>
        <w:bottom w:val="none" w:sz="0" w:space="0" w:color="auto"/>
        <w:right w:val="none" w:sz="0" w:space="0" w:color="auto"/>
      </w:divBdr>
    </w:div>
    <w:div w:id="381834121">
      <w:bodyDiv w:val="1"/>
      <w:marLeft w:val="0"/>
      <w:marRight w:val="0"/>
      <w:marTop w:val="0"/>
      <w:marBottom w:val="0"/>
      <w:divBdr>
        <w:top w:val="none" w:sz="0" w:space="0" w:color="auto"/>
        <w:left w:val="none" w:sz="0" w:space="0" w:color="auto"/>
        <w:bottom w:val="none" w:sz="0" w:space="0" w:color="auto"/>
        <w:right w:val="none" w:sz="0" w:space="0" w:color="auto"/>
      </w:divBdr>
    </w:div>
    <w:div w:id="381905237">
      <w:bodyDiv w:val="1"/>
      <w:marLeft w:val="0"/>
      <w:marRight w:val="0"/>
      <w:marTop w:val="0"/>
      <w:marBottom w:val="0"/>
      <w:divBdr>
        <w:top w:val="none" w:sz="0" w:space="0" w:color="auto"/>
        <w:left w:val="none" w:sz="0" w:space="0" w:color="auto"/>
        <w:bottom w:val="none" w:sz="0" w:space="0" w:color="auto"/>
        <w:right w:val="none" w:sz="0" w:space="0" w:color="auto"/>
      </w:divBdr>
    </w:div>
    <w:div w:id="381950874">
      <w:bodyDiv w:val="1"/>
      <w:marLeft w:val="0"/>
      <w:marRight w:val="0"/>
      <w:marTop w:val="0"/>
      <w:marBottom w:val="0"/>
      <w:divBdr>
        <w:top w:val="none" w:sz="0" w:space="0" w:color="auto"/>
        <w:left w:val="none" w:sz="0" w:space="0" w:color="auto"/>
        <w:bottom w:val="none" w:sz="0" w:space="0" w:color="auto"/>
        <w:right w:val="none" w:sz="0" w:space="0" w:color="auto"/>
      </w:divBdr>
    </w:div>
    <w:div w:id="382097347">
      <w:bodyDiv w:val="1"/>
      <w:marLeft w:val="0"/>
      <w:marRight w:val="0"/>
      <w:marTop w:val="0"/>
      <w:marBottom w:val="0"/>
      <w:divBdr>
        <w:top w:val="none" w:sz="0" w:space="0" w:color="auto"/>
        <w:left w:val="none" w:sz="0" w:space="0" w:color="auto"/>
        <w:bottom w:val="none" w:sz="0" w:space="0" w:color="auto"/>
        <w:right w:val="none" w:sz="0" w:space="0" w:color="auto"/>
      </w:divBdr>
    </w:div>
    <w:div w:id="382097469">
      <w:bodyDiv w:val="1"/>
      <w:marLeft w:val="0"/>
      <w:marRight w:val="0"/>
      <w:marTop w:val="0"/>
      <w:marBottom w:val="0"/>
      <w:divBdr>
        <w:top w:val="none" w:sz="0" w:space="0" w:color="auto"/>
        <w:left w:val="none" w:sz="0" w:space="0" w:color="auto"/>
        <w:bottom w:val="none" w:sz="0" w:space="0" w:color="auto"/>
        <w:right w:val="none" w:sz="0" w:space="0" w:color="auto"/>
      </w:divBdr>
    </w:div>
    <w:div w:id="382101501">
      <w:bodyDiv w:val="1"/>
      <w:marLeft w:val="0"/>
      <w:marRight w:val="0"/>
      <w:marTop w:val="0"/>
      <w:marBottom w:val="0"/>
      <w:divBdr>
        <w:top w:val="none" w:sz="0" w:space="0" w:color="auto"/>
        <w:left w:val="none" w:sz="0" w:space="0" w:color="auto"/>
        <w:bottom w:val="none" w:sz="0" w:space="0" w:color="auto"/>
        <w:right w:val="none" w:sz="0" w:space="0" w:color="auto"/>
      </w:divBdr>
    </w:div>
    <w:div w:id="382216024">
      <w:bodyDiv w:val="1"/>
      <w:marLeft w:val="0"/>
      <w:marRight w:val="0"/>
      <w:marTop w:val="0"/>
      <w:marBottom w:val="0"/>
      <w:divBdr>
        <w:top w:val="none" w:sz="0" w:space="0" w:color="auto"/>
        <w:left w:val="none" w:sz="0" w:space="0" w:color="auto"/>
        <w:bottom w:val="none" w:sz="0" w:space="0" w:color="auto"/>
        <w:right w:val="none" w:sz="0" w:space="0" w:color="auto"/>
      </w:divBdr>
    </w:div>
    <w:div w:id="382368663">
      <w:bodyDiv w:val="1"/>
      <w:marLeft w:val="0"/>
      <w:marRight w:val="0"/>
      <w:marTop w:val="0"/>
      <w:marBottom w:val="0"/>
      <w:divBdr>
        <w:top w:val="none" w:sz="0" w:space="0" w:color="auto"/>
        <w:left w:val="none" w:sz="0" w:space="0" w:color="auto"/>
        <w:bottom w:val="none" w:sz="0" w:space="0" w:color="auto"/>
        <w:right w:val="none" w:sz="0" w:space="0" w:color="auto"/>
      </w:divBdr>
    </w:div>
    <w:div w:id="382483251">
      <w:bodyDiv w:val="1"/>
      <w:marLeft w:val="0"/>
      <w:marRight w:val="0"/>
      <w:marTop w:val="0"/>
      <w:marBottom w:val="0"/>
      <w:divBdr>
        <w:top w:val="none" w:sz="0" w:space="0" w:color="auto"/>
        <w:left w:val="none" w:sz="0" w:space="0" w:color="auto"/>
        <w:bottom w:val="none" w:sz="0" w:space="0" w:color="auto"/>
        <w:right w:val="none" w:sz="0" w:space="0" w:color="auto"/>
      </w:divBdr>
    </w:div>
    <w:div w:id="382560469">
      <w:bodyDiv w:val="1"/>
      <w:marLeft w:val="0"/>
      <w:marRight w:val="0"/>
      <w:marTop w:val="0"/>
      <w:marBottom w:val="0"/>
      <w:divBdr>
        <w:top w:val="none" w:sz="0" w:space="0" w:color="auto"/>
        <w:left w:val="none" w:sz="0" w:space="0" w:color="auto"/>
        <w:bottom w:val="none" w:sz="0" w:space="0" w:color="auto"/>
        <w:right w:val="none" w:sz="0" w:space="0" w:color="auto"/>
      </w:divBdr>
    </w:div>
    <w:div w:id="382564584">
      <w:bodyDiv w:val="1"/>
      <w:marLeft w:val="0"/>
      <w:marRight w:val="0"/>
      <w:marTop w:val="0"/>
      <w:marBottom w:val="0"/>
      <w:divBdr>
        <w:top w:val="none" w:sz="0" w:space="0" w:color="auto"/>
        <w:left w:val="none" w:sz="0" w:space="0" w:color="auto"/>
        <w:bottom w:val="none" w:sz="0" w:space="0" w:color="auto"/>
        <w:right w:val="none" w:sz="0" w:space="0" w:color="auto"/>
      </w:divBdr>
    </w:div>
    <w:div w:id="382600158">
      <w:bodyDiv w:val="1"/>
      <w:marLeft w:val="0"/>
      <w:marRight w:val="0"/>
      <w:marTop w:val="0"/>
      <w:marBottom w:val="0"/>
      <w:divBdr>
        <w:top w:val="none" w:sz="0" w:space="0" w:color="auto"/>
        <w:left w:val="none" w:sz="0" w:space="0" w:color="auto"/>
        <w:bottom w:val="none" w:sz="0" w:space="0" w:color="auto"/>
        <w:right w:val="none" w:sz="0" w:space="0" w:color="auto"/>
      </w:divBdr>
    </w:div>
    <w:div w:id="382603877">
      <w:bodyDiv w:val="1"/>
      <w:marLeft w:val="0"/>
      <w:marRight w:val="0"/>
      <w:marTop w:val="0"/>
      <w:marBottom w:val="0"/>
      <w:divBdr>
        <w:top w:val="none" w:sz="0" w:space="0" w:color="auto"/>
        <w:left w:val="none" w:sz="0" w:space="0" w:color="auto"/>
        <w:bottom w:val="none" w:sz="0" w:space="0" w:color="auto"/>
        <w:right w:val="none" w:sz="0" w:space="0" w:color="auto"/>
      </w:divBdr>
    </w:div>
    <w:div w:id="382674683">
      <w:bodyDiv w:val="1"/>
      <w:marLeft w:val="0"/>
      <w:marRight w:val="0"/>
      <w:marTop w:val="0"/>
      <w:marBottom w:val="0"/>
      <w:divBdr>
        <w:top w:val="none" w:sz="0" w:space="0" w:color="auto"/>
        <w:left w:val="none" w:sz="0" w:space="0" w:color="auto"/>
        <w:bottom w:val="none" w:sz="0" w:space="0" w:color="auto"/>
        <w:right w:val="none" w:sz="0" w:space="0" w:color="auto"/>
      </w:divBdr>
    </w:div>
    <w:div w:id="382675165">
      <w:bodyDiv w:val="1"/>
      <w:marLeft w:val="0"/>
      <w:marRight w:val="0"/>
      <w:marTop w:val="0"/>
      <w:marBottom w:val="0"/>
      <w:divBdr>
        <w:top w:val="none" w:sz="0" w:space="0" w:color="auto"/>
        <w:left w:val="none" w:sz="0" w:space="0" w:color="auto"/>
        <w:bottom w:val="none" w:sz="0" w:space="0" w:color="auto"/>
        <w:right w:val="none" w:sz="0" w:space="0" w:color="auto"/>
      </w:divBdr>
    </w:div>
    <w:div w:id="382753232">
      <w:bodyDiv w:val="1"/>
      <w:marLeft w:val="0"/>
      <w:marRight w:val="0"/>
      <w:marTop w:val="0"/>
      <w:marBottom w:val="0"/>
      <w:divBdr>
        <w:top w:val="none" w:sz="0" w:space="0" w:color="auto"/>
        <w:left w:val="none" w:sz="0" w:space="0" w:color="auto"/>
        <w:bottom w:val="none" w:sz="0" w:space="0" w:color="auto"/>
        <w:right w:val="none" w:sz="0" w:space="0" w:color="auto"/>
      </w:divBdr>
    </w:div>
    <w:div w:id="382756870">
      <w:bodyDiv w:val="1"/>
      <w:marLeft w:val="0"/>
      <w:marRight w:val="0"/>
      <w:marTop w:val="0"/>
      <w:marBottom w:val="0"/>
      <w:divBdr>
        <w:top w:val="none" w:sz="0" w:space="0" w:color="auto"/>
        <w:left w:val="none" w:sz="0" w:space="0" w:color="auto"/>
        <w:bottom w:val="none" w:sz="0" w:space="0" w:color="auto"/>
        <w:right w:val="none" w:sz="0" w:space="0" w:color="auto"/>
      </w:divBdr>
    </w:div>
    <w:div w:id="382799939">
      <w:bodyDiv w:val="1"/>
      <w:marLeft w:val="0"/>
      <w:marRight w:val="0"/>
      <w:marTop w:val="0"/>
      <w:marBottom w:val="0"/>
      <w:divBdr>
        <w:top w:val="none" w:sz="0" w:space="0" w:color="auto"/>
        <w:left w:val="none" w:sz="0" w:space="0" w:color="auto"/>
        <w:bottom w:val="none" w:sz="0" w:space="0" w:color="auto"/>
        <w:right w:val="none" w:sz="0" w:space="0" w:color="auto"/>
      </w:divBdr>
    </w:div>
    <w:div w:id="382800412">
      <w:bodyDiv w:val="1"/>
      <w:marLeft w:val="0"/>
      <w:marRight w:val="0"/>
      <w:marTop w:val="0"/>
      <w:marBottom w:val="0"/>
      <w:divBdr>
        <w:top w:val="none" w:sz="0" w:space="0" w:color="auto"/>
        <w:left w:val="none" w:sz="0" w:space="0" w:color="auto"/>
        <w:bottom w:val="none" w:sz="0" w:space="0" w:color="auto"/>
        <w:right w:val="none" w:sz="0" w:space="0" w:color="auto"/>
      </w:divBdr>
    </w:div>
    <w:div w:id="382827034">
      <w:bodyDiv w:val="1"/>
      <w:marLeft w:val="0"/>
      <w:marRight w:val="0"/>
      <w:marTop w:val="0"/>
      <w:marBottom w:val="0"/>
      <w:divBdr>
        <w:top w:val="none" w:sz="0" w:space="0" w:color="auto"/>
        <w:left w:val="none" w:sz="0" w:space="0" w:color="auto"/>
        <w:bottom w:val="none" w:sz="0" w:space="0" w:color="auto"/>
        <w:right w:val="none" w:sz="0" w:space="0" w:color="auto"/>
      </w:divBdr>
    </w:div>
    <w:div w:id="382827356">
      <w:bodyDiv w:val="1"/>
      <w:marLeft w:val="0"/>
      <w:marRight w:val="0"/>
      <w:marTop w:val="0"/>
      <w:marBottom w:val="0"/>
      <w:divBdr>
        <w:top w:val="none" w:sz="0" w:space="0" w:color="auto"/>
        <w:left w:val="none" w:sz="0" w:space="0" w:color="auto"/>
        <w:bottom w:val="none" w:sz="0" w:space="0" w:color="auto"/>
        <w:right w:val="none" w:sz="0" w:space="0" w:color="auto"/>
      </w:divBdr>
    </w:div>
    <w:div w:id="382944264">
      <w:bodyDiv w:val="1"/>
      <w:marLeft w:val="0"/>
      <w:marRight w:val="0"/>
      <w:marTop w:val="0"/>
      <w:marBottom w:val="0"/>
      <w:divBdr>
        <w:top w:val="none" w:sz="0" w:space="0" w:color="auto"/>
        <w:left w:val="none" w:sz="0" w:space="0" w:color="auto"/>
        <w:bottom w:val="none" w:sz="0" w:space="0" w:color="auto"/>
        <w:right w:val="none" w:sz="0" w:space="0" w:color="auto"/>
      </w:divBdr>
    </w:div>
    <w:div w:id="383023949">
      <w:bodyDiv w:val="1"/>
      <w:marLeft w:val="0"/>
      <w:marRight w:val="0"/>
      <w:marTop w:val="0"/>
      <w:marBottom w:val="0"/>
      <w:divBdr>
        <w:top w:val="none" w:sz="0" w:space="0" w:color="auto"/>
        <w:left w:val="none" w:sz="0" w:space="0" w:color="auto"/>
        <w:bottom w:val="none" w:sz="0" w:space="0" w:color="auto"/>
        <w:right w:val="none" w:sz="0" w:space="0" w:color="auto"/>
      </w:divBdr>
    </w:div>
    <w:div w:id="383024982">
      <w:bodyDiv w:val="1"/>
      <w:marLeft w:val="0"/>
      <w:marRight w:val="0"/>
      <w:marTop w:val="0"/>
      <w:marBottom w:val="0"/>
      <w:divBdr>
        <w:top w:val="none" w:sz="0" w:space="0" w:color="auto"/>
        <w:left w:val="none" w:sz="0" w:space="0" w:color="auto"/>
        <w:bottom w:val="none" w:sz="0" w:space="0" w:color="auto"/>
        <w:right w:val="none" w:sz="0" w:space="0" w:color="auto"/>
      </w:divBdr>
    </w:div>
    <w:div w:id="383139185">
      <w:bodyDiv w:val="1"/>
      <w:marLeft w:val="0"/>
      <w:marRight w:val="0"/>
      <w:marTop w:val="0"/>
      <w:marBottom w:val="0"/>
      <w:divBdr>
        <w:top w:val="none" w:sz="0" w:space="0" w:color="auto"/>
        <w:left w:val="none" w:sz="0" w:space="0" w:color="auto"/>
        <w:bottom w:val="none" w:sz="0" w:space="0" w:color="auto"/>
        <w:right w:val="none" w:sz="0" w:space="0" w:color="auto"/>
      </w:divBdr>
    </w:div>
    <w:div w:id="383212844">
      <w:bodyDiv w:val="1"/>
      <w:marLeft w:val="0"/>
      <w:marRight w:val="0"/>
      <w:marTop w:val="0"/>
      <w:marBottom w:val="0"/>
      <w:divBdr>
        <w:top w:val="none" w:sz="0" w:space="0" w:color="auto"/>
        <w:left w:val="none" w:sz="0" w:space="0" w:color="auto"/>
        <w:bottom w:val="none" w:sz="0" w:space="0" w:color="auto"/>
        <w:right w:val="none" w:sz="0" w:space="0" w:color="auto"/>
      </w:divBdr>
    </w:div>
    <w:div w:id="383216777">
      <w:bodyDiv w:val="1"/>
      <w:marLeft w:val="0"/>
      <w:marRight w:val="0"/>
      <w:marTop w:val="0"/>
      <w:marBottom w:val="0"/>
      <w:divBdr>
        <w:top w:val="none" w:sz="0" w:space="0" w:color="auto"/>
        <w:left w:val="none" w:sz="0" w:space="0" w:color="auto"/>
        <w:bottom w:val="none" w:sz="0" w:space="0" w:color="auto"/>
        <w:right w:val="none" w:sz="0" w:space="0" w:color="auto"/>
      </w:divBdr>
    </w:div>
    <w:div w:id="383330855">
      <w:bodyDiv w:val="1"/>
      <w:marLeft w:val="0"/>
      <w:marRight w:val="0"/>
      <w:marTop w:val="0"/>
      <w:marBottom w:val="0"/>
      <w:divBdr>
        <w:top w:val="none" w:sz="0" w:space="0" w:color="auto"/>
        <w:left w:val="none" w:sz="0" w:space="0" w:color="auto"/>
        <w:bottom w:val="none" w:sz="0" w:space="0" w:color="auto"/>
        <w:right w:val="none" w:sz="0" w:space="0" w:color="auto"/>
      </w:divBdr>
    </w:div>
    <w:div w:id="383339280">
      <w:bodyDiv w:val="1"/>
      <w:marLeft w:val="0"/>
      <w:marRight w:val="0"/>
      <w:marTop w:val="0"/>
      <w:marBottom w:val="0"/>
      <w:divBdr>
        <w:top w:val="none" w:sz="0" w:space="0" w:color="auto"/>
        <w:left w:val="none" w:sz="0" w:space="0" w:color="auto"/>
        <w:bottom w:val="none" w:sz="0" w:space="0" w:color="auto"/>
        <w:right w:val="none" w:sz="0" w:space="0" w:color="auto"/>
      </w:divBdr>
    </w:div>
    <w:div w:id="383605307">
      <w:bodyDiv w:val="1"/>
      <w:marLeft w:val="0"/>
      <w:marRight w:val="0"/>
      <w:marTop w:val="0"/>
      <w:marBottom w:val="0"/>
      <w:divBdr>
        <w:top w:val="none" w:sz="0" w:space="0" w:color="auto"/>
        <w:left w:val="none" w:sz="0" w:space="0" w:color="auto"/>
        <w:bottom w:val="none" w:sz="0" w:space="0" w:color="auto"/>
        <w:right w:val="none" w:sz="0" w:space="0" w:color="auto"/>
      </w:divBdr>
    </w:div>
    <w:div w:id="383716818">
      <w:bodyDiv w:val="1"/>
      <w:marLeft w:val="0"/>
      <w:marRight w:val="0"/>
      <w:marTop w:val="0"/>
      <w:marBottom w:val="0"/>
      <w:divBdr>
        <w:top w:val="none" w:sz="0" w:space="0" w:color="auto"/>
        <w:left w:val="none" w:sz="0" w:space="0" w:color="auto"/>
        <w:bottom w:val="none" w:sz="0" w:space="0" w:color="auto"/>
        <w:right w:val="none" w:sz="0" w:space="0" w:color="auto"/>
      </w:divBdr>
    </w:div>
    <w:div w:id="383993745">
      <w:bodyDiv w:val="1"/>
      <w:marLeft w:val="0"/>
      <w:marRight w:val="0"/>
      <w:marTop w:val="0"/>
      <w:marBottom w:val="0"/>
      <w:divBdr>
        <w:top w:val="none" w:sz="0" w:space="0" w:color="auto"/>
        <w:left w:val="none" w:sz="0" w:space="0" w:color="auto"/>
        <w:bottom w:val="none" w:sz="0" w:space="0" w:color="auto"/>
        <w:right w:val="none" w:sz="0" w:space="0" w:color="auto"/>
      </w:divBdr>
    </w:div>
    <w:div w:id="384136374">
      <w:bodyDiv w:val="1"/>
      <w:marLeft w:val="0"/>
      <w:marRight w:val="0"/>
      <w:marTop w:val="0"/>
      <w:marBottom w:val="0"/>
      <w:divBdr>
        <w:top w:val="none" w:sz="0" w:space="0" w:color="auto"/>
        <w:left w:val="none" w:sz="0" w:space="0" w:color="auto"/>
        <w:bottom w:val="none" w:sz="0" w:space="0" w:color="auto"/>
        <w:right w:val="none" w:sz="0" w:space="0" w:color="auto"/>
      </w:divBdr>
    </w:div>
    <w:div w:id="384180294">
      <w:bodyDiv w:val="1"/>
      <w:marLeft w:val="0"/>
      <w:marRight w:val="0"/>
      <w:marTop w:val="0"/>
      <w:marBottom w:val="0"/>
      <w:divBdr>
        <w:top w:val="none" w:sz="0" w:space="0" w:color="auto"/>
        <w:left w:val="none" w:sz="0" w:space="0" w:color="auto"/>
        <w:bottom w:val="none" w:sz="0" w:space="0" w:color="auto"/>
        <w:right w:val="none" w:sz="0" w:space="0" w:color="auto"/>
      </w:divBdr>
    </w:div>
    <w:div w:id="384183279">
      <w:bodyDiv w:val="1"/>
      <w:marLeft w:val="0"/>
      <w:marRight w:val="0"/>
      <w:marTop w:val="0"/>
      <w:marBottom w:val="0"/>
      <w:divBdr>
        <w:top w:val="none" w:sz="0" w:space="0" w:color="auto"/>
        <w:left w:val="none" w:sz="0" w:space="0" w:color="auto"/>
        <w:bottom w:val="none" w:sz="0" w:space="0" w:color="auto"/>
        <w:right w:val="none" w:sz="0" w:space="0" w:color="auto"/>
      </w:divBdr>
    </w:div>
    <w:div w:id="384451150">
      <w:bodyDiv w:val="1"/>
      <w:marLeft w:val="0"/>
      <w:marRight w:val="0"/>
      <w:marTop w:val="0"/>
      <w:marBottom w:val="0"/>
      <w:divBdr>
        <w:top w:val="none" w:sz="0" w:space="0" w:color="auto"/>
        <w:left w:val="none" w:sz="0" w:space="0" w:color="auto"/>
        <w:bottom w:val="none" w:sz="0" w:space="0" w:color="auto"/>
        <w:right w:val="none" w:sz="0" w:space="0" w:color="auto"/>
      </w:divBdr>
    </w:div>
    <w:div w:id="384529577">
      <w:bodyDiv w:val="1"/>
      <w:marLeft w:val="0"/>
      <w:marRight w:val="0"/>
      <w:marTop w:val="0"/>
      <w:marBottom w:val="0"/>
      <w:divBdr>
        <w:top w:val="none" w:sz="0" w:space="0" w:color="auto"/>
        <w:left w:val="none" w:sz="0" w:space="0" w:color="auto"/>
        <w:bottom w:val="none" w:sz="0" w:space="0" w:color="auto"/>
        <w:right w:val="none" w:sz="0" w:space="0" w:color="auto"/>
      </w:divBdr>
    </w:div>
    <w:div w:id="384567320">
      <w:bodyDiv w:val="1"/>
      <w:marLeft w:val="0"/>
      <w:marRight w:val="0"/>
      <w:marTop w:val="0"/>
      <w:marBottom w:val="0"/>
      <w:divBdr>
        <w:top w:val="none" w:sz="0" w:space="0" w:color="auto"/>
        <w:left w:val="none" w:sz="0" w:space="0" w:color="auto"/>
        <w:bottom w:val="none" w:sz="0" w:space="0" w:color="auto"/>
        <w:right w:val="none" w:sz="0" w:space="0" w:color="auto"/>
      </w:divBdr>
    </w:div>
    <w:div w:id="384837869">
      <w:bodyDiv w:val="1"/>
      <w:marLeft w:val="0"/>
      <w:marRight w:val="0"/>
      <w:marTop w:val="0"/>
      <w:marBottom w:val="0"/>
      <w:divBdr>
        <w:top w:val="none" w:sz="0" w:space="0" w:color="auto"/>
        <w:left w:val="none" w:sz="0" w:space="0" w:color="auto"/>
        <w:bottom w:val="none" w:sz="0" w:space="0" w:color="auto"/>
        <w:right w:val="none" w:sz="0" w:space="0" w:color="auto"/>
      </w:divBdr>
    </w:div>
    <w:div w:id="384917842">
      <w:bodyDiv w:val="1"/>
      <w:marLeft w:val="0"/>
      <w:marRight w:val="0"/>
      <w:marTop w:val="0"/>
      <w:marBottom w:val="0"/>
      <w:divBdr>
        <w:top w:val="none" w:sz="0" w:space="0" w:color="auto"/>
        <w:left w:val="none" w:sz="0" w:space="0" w:color="auto"/>
        <w:bottom w:val="none" w:sz="0" w:space="0" w:color="auto"/>
        <w:right w:val="none" w:sz="0" w:space="0" w:color="auto"/>
      </w:divBdr>
    </w:div>
    <w:div w:id="384984660">
      <w:bodyDiv w:val="1"/>
      <w:marLeft w:val="0"/>
      <w:marRight w:val="0"/>
      <w:marTop w:val="0"/>
      <w:marBottom w:val="0"/>
      <w:divBdr>
        <w:top w:val="none" w:sz="0" w:space="0" w:color="auto"/>
        <w:left w:val="none" w:sz="0" w:space="0" w:color="auto"/>
        <w:bottom w:val="none" w:sz="0" w:space="0" w:color="auto"/>
        <w:right w:val="none" w:sz="0" w:space="0" w:color="auto"/>
      </w:divBdr>
    </w:div>
    <w:div w:id="384985472">
      <w:bodyDiv w:val="1"/>
      <w:marLeft w:val="0"/>
      <w:marRight w:val="0"/>
      <w:marTop w:val="0"/>
      <w:marBottom w:val="0"/>
      <w:divBdr>
        <w:top w:val="none" w:sz="0" w:space="0" w:color="auto"/>
        <w:left w:val="none" w:sz="0" w:space="0" w:color="auto"/>
        <w:bottom w:val="none" w:sz="0" w:space="0" w:color="auto"/>
        <w:right w:val="none" w:sz="0" w:space="0" w:color="auto"/>
      </w:divBdr>
    </w:div>
    <w:div w:id="384985897">
      <w:bodyDiv w:val="1"/>
      <w:marLeft w:val="0"/>
      <w:marRight w:val="0"/>
      <w:marTop w:val="0"/>
      <w:marBottom w:val="0"/>
      <w:divBdr>
        <w:top w:val="none" w:sz="0" w:space="0" w:color="auto"/>
        <w:left w:val="none" w:sz="0" w:space="0" w:color="auto"/>
        <w:bottom w:val="none" w:sz="0" w:space="0" w:color="auto"/>
        <w:right w:val="none" w:sz="0" w:space="0" w:color="auto"/>
      </w:divBdr>
    </w:div>
    <w:div w:id="384989165">
      <w:bodyDiv w:val="1"/>
      <w:marLeft w:val="0"/>
      <w:marRight w:val="0"/>
      <w:marTop w:val="0"/>
      <w:marBottom w:val="0"/>
      <w:divBdr>
        <w:top w:val="none" w:sz="0" w:space="0" w:color="auto"/>
        <w:left w:val="none" w:sz="0" w:space="0" w:color="auto"/>
        <w:bottom w:val="none" w:sz="0" w:space="0" w:color="auto"/>
        <w:right w:val="none" w:sz="0" w:space="0" w:color="auto"/>
      </w:divBdr>
    </w:div>
    <w:div w:id="385035855">
      <w:bodyDiv w:val="1"/>
      <w:marLeft w:val="0"/>
      <w:marRight w:val="0"/>
      <w:marTop w:val="0"/>
      <w:marBottom w:val="0"/>
      <w:divBdr>
        <w:top w:val="none" w:sz="0" w:space="0" w:color="auto"/>
        <w:left w:val="none" w:sz="0" w:space="0" w:color="auto"/>
        <w:bottom w:val="none" w:sz="0" w:space="0" w:color="auto"/>
        <w:right w:val="none" w:sz="0" w:space="0" w:color="auto"/>
      </w:divBdr>
    </w:div>
    <w:div w:id="385103965">
      <w:bodyDiv w:val="1"/>
      <w:marLeft w:val="0"/>
      <w:marRight w:val="0"/>
      <w:marTop w:val="0"/>
      <w:marBottom w:val="0"/>
      <w:divBdr>
        <w:top w:val="none" w:sz="0" w:space="0" w:color="auto"/>
        <w:left w:val="none" w:sz="0" w:space="0" w:color="auto"/>
        <w:bottom w:val="none" w:sz="0" w:space="0" w:color="auto"/>
        <w:right w:val="none" w:sz="0" w:space="0" w:color="auto"/>
      </w:divBdr>
    </w:div>
    <w:div w:id="385299802">
      <w:bodyDiv w:val="1"/>
      <w:marLeft w:val="0"/>
      <w:marRight w:val="0"/>
      <w:marTop w:val="0"/>
      <w:marBottom w:val="0"/>
      <w:divBdr>
        <w:top w:val="none" w:sz="0" w:space="0" w:color="auto"/>
        <w:left w:val="none" w:sz="0" w:space="0" w:color="auto"/>
        <w:bottom w:val="none" w:sz="0" w:space="0" w:color="auto"/>
        <w:right w:val="none" w:sz="0" w:space="0" w:color="auto"/>
      </w:divBdr>
    </w:div>
    <w:div w:id="385302168">
      <w:bodyDiv w:val="1"/>
      <w:marLeft w:val="0"/>
      <w:marRight w:val="0"/>
      <w:marTop w:val="0"/>
      <w:marBottom w:val="0"/>
      <w:divBdr>
        <w:top w:val="none" w:sz="0" w:space="0" w:color="auto"/>
        <w:left w:val="none" w:sz="0" w:space="0" w:color="auto"/>
        <w:bottom w:val="none" w:sz="0" w:space="0" w:color="auto"/>
        <w:right w:val="none" w:sz="0" w:space="0" w:color="auto"/>
      </w:divBdr>
    </w:div>
    <w:div w:id="385372276">
      <w:bodyDiv w:val="1"/>
      <w:marLeft w:val="0"/>
      <w:marRight w:val="0"/>
      <w:marTop w:val="0"/>
      <w:marBottom w:val="0"/>
      <w:divBdr>
        <w:top w:val="none" w:sz="0" w:space="0" w:color="auto"/>
        <w:left w:val="none" w:sz="0" w:space="0" w:color="auto"/>
        <w:bottom w:val="none" w:sz="0" w:space="0" w:color="auto"/>
        <w:right w:val="none" w:sz="0" w:space="0" w:color="auto"/>
      </w:divBdr>
    </w:div>
    <w:div w:id="385566678">
      <w:bodyDiv w:val="1"/>
      <w:marLeft w:val="0"/>
      <w:marRight w:val="0"/>
      <w:marTop w:val="0"/>
      <w:marBottom w:val="0"/>
      <w:divBdr>
        <w:top w:val="none" w:sz="0" w:space="0" w:color="auto"/>
        <w:left w:val="none" w:sz="0" w:space="0" w:color="auto"/>
        <w:bottom w:val="none" w:sz="0" w:space="0" w:color="auto"/>
        <w:right w:val="none" w:sz="0" w:space="0" w:color="auto"/>
      </w:divBdr>
    </w:div>
    <w:div w:id="385569156">
      <w:bodyDiv w:val="1"/>
      <w:marLeft w:val="0"/>
      <w:marRight w:val="0"/>
      <w:marTop w:val="0"/>
      <w:marBottom w:val="0"/>
      <w:divBdr>
        <w:top w:val="none" w:sz="0" w:space="0" w:color="auto"/>
        <w:left w:val="none" w:sz="0" w:space="0" w:color="auto"/>
        <w:bottom w:val="none" w:sz="0" w:space="0" w:color="auto"/>
        <w:right w:val="none" w:sz="0" w:space="0" w:color="auto"/>
      </w:divBdr>
    </w:div>
    <w:div w:id="385640208">
      <w:bodyDiv w:val="1"/>
      <w:marLeft w:val="0"/>
      <w:marRight w:val="0"/>
      <w:marTop w:val="0"/>
      <w:marBottom w:val="0"/>
      <w:divBdr>
        <w:top w:val="none" w:sz="0" w:space="0" w:color="auto"/>
        <w:left w:val="none" w:sz="0" w:space="0" w:color="auto"/>
        <w:bottom w:val="none" w:sz="0" w:space="0" w:color="auto"/>
        <w:right w:val="none" w:sz="0" w:space="0" w:color="auto"/>
      </w:divBdr>
    </w:div>
    <w:div w:id="385958371">
      <w:bodyDiv w:val="1"/>
      <w:marLeft w:val="0"/>
      <w:marRight w:val="0"/>
      <w:marTop w:val="0"/>
      <w:marBottom w:val="0"/>
      <w:divBdr>
        <w:top w:val="none" w:sz="0" w:space="0" w:color="auto"/>
        <w:left w:val="none" w:sz="0" w:space="0" w:color="auto"/>
        <w:bottom w:val="none" w:sz="0" w:space="0" w:color="auto"/>
        <w:right w:val="none" w:sz="0" w:space="0" w:color="auto"/>
      </w:divBdr>
    </w:div>
    <w:div w:id="386104270">
      <w:bodyDiv w:val="1"/>
      <w:marLeft w:val="0"/>
      <w:marRight w:val="0"/>
      <w:marTop w:val="0"/>
      <w:marBottom w:val="0"/>
      <w:divBdr>
        <w:top w:val="none" w:sz="0" w:space="0" w:color="auto"/>
        <w:left w:val="none" w:sz="0" w:space="0" w:color="auto"/>
        <w:bottom w:val="none" w:sz="0" w:space="0" w:color="auto"/>
        <w:right w:val="none" w:sz="0" w:space="0" w:color="auto"/>
      </w:divBdr>
    </w:div>
    <w:div w:id="386152974">
      <w:bodyDiv w:val="1"/>
      <w:marLeft w:val="0"/>
      <w:marRight w:val="0"/>
      <w:marTop w:val="0"/>
      <w:marBottom w:val="0"/>
      <w:divBdr>
        <w:top w:val="none" w:sz="0" w:space="0" w:color="auto"/>
        <w:left w:val="none" w:sz="0" w:space="0" w:color="auto"/>
        <w:bottom w:val="none" w:sz="0" w:space="0" w:color="auto"/>
        <w:right w:val="none" w:sz="0" w:space="0" w:color="auto"/>
      </w:divBdr>
    </w:div>
    <w:div w:id="386296081">
      <w:bodyDiv w:val="1"/>
      <w:marLeft w:val="0"/>
      <w:marRight w:val="0"/>
      <w:marTop w:val="0"/>
      <w:marBottom w:val="0"/>
      <w:divBdr>
        <w:top w:val="none" w:sz="0" w:space="0" w:color="auto"/>
        <w:left w:val="none" w:sz="0" w:space="0" w:color="auto"/>
        <w:bottom w:val="none" w:sz="0" w:space="0" w:color="auto"/>
        <w:right w:val="none" w:sz="0" w:space="0" w:color="auto"/>
      </w:divBdr>
    </w:div>
    <w:div w:id="386339632">
      <w:bodyDiv w:val="1"/>
      <w:marLeft w:val="0"/>
      <w:marRight w:val="0"/>
      <w:marTop w:val="0"/>
      <w:marBottom w:val="0"/>
      <w:divBdr>
        <w:top w:val="none" w:sz="0" w:space="0" w:color="auto"/>
        <w:left w:val="none" w:sz="0" w:space="0" w:color="auto"/>
        <w:bottom w:val="none" w:sz="0" w:space="0" w:color="auto"/>
        <w:right w:val="none" w:sz="0" w:space="0" w:color="auto"/>
      </w:divBdr>
    </w:div>
    <w:div w:id="386414718">
      <w:bodyDiv w:val="1"/>
      <w:marLeft w:val="0"/>
      <w:marRight w:val="0"/>
      <w:marTop w:val="0"/>
      <w:marBottom w:val="0"/>
      <w:divBdr>
        <w:top w:val="none" w:sz="0" w:space="0" w:color="auto"/>
        <w:left w:val="none" w:sz="0" w:space="0" w:color="auto"/>
        <w:bottom w:val="none" w:sz="0" w:space="0" w:color="auto"/>
        <w:right w:val="none" w:sz="0" w:space="0" w:color="auto"/>
      </w:divBdr>
    </w:div>
    <w:div w:id="386421787">
      <w:bodyDiv w:val="1"/>
      <w:marLeft w:val="0"/>
      <w:marRight w:val="0"/>
      <w:marTop w:val="0"/>
      <w:marBottom w:val="0"/>
      <w:divBdr>
        <w:top w:val="none" w:sz="0" w:space="0" w:color="auto"/>
        <w:left w:val="none" w:sz="0" w:space="0" w:color="auto"/>
        <w:bottom w:val="none" w:sz="0" w:space="0" w:color="auto"/>
        <w:right w:val="none" w:sz="0" w:space="0" w:color="auto"/>
      </w:divBdr>
    </w:div>
    <w:div w:id="386489862">
      <w:bodyDiv w:val="1"/>
      <w:marLeft w:val="0"/>
      <w:marRight w:val="0"/>
      <w:marTop w:val="0"/>
      <w:marBottom w:val="0"/>
      <w:divBdr>
        <w:top w:val="none" w:sz="0" w:space="0" w:color="auto"/>
        <w:left w:val="none" w:sz="0" w:space="0" w:color="auto"/>
        <w:bottom w:val="none" w:sz="0" w:space="0" w:color="auto"/>
        <w:right w:val="none" w:sz="0" w:space="0" w:color="auto"/>
      </w:divBdr>
    </w:div>
    <w:div w:id="386492340">
      <w:bodyDiv w:val="1"/>
      <w:marLeft w:val="0"/>
      <w:marRight w:val="0"/>
      <w:marTop w:val="0"/>
      <w:marBottom w:val="0"/>
      <w:divBdr>
        <w:top w:val="none" w:sz="0" w:space="0" w:color="auto"/>
        <w:left w:val="none" w:sz="0" w:space="0" w:color="auto"/>
        <w:bottom w:val="none" w:sz="0" w:space="0" w:color="auto"/>
        <w:right w:val="none" w:sz="0" w:space="0" w:color="auto"/>
      </w:divBdr>
    </w:div>
    <w:div w:id="386493514">
      <w:bodyDiv w:val="1"/>
      <w:marLeft w:val="0"/>
      <w:marRight w:val="0"/>
      <w:marTop w:val="0"/>
      <w:marBottom w:val="0"/>
      <w:divBdr>
        <w:top w:val="none" w:sz="0" w:space="0" w:color="auto"/>
        <w:left w:val="none" w:sz="0" w:space="0" w:color="auto"/>
        <w:bottom w:val="none" w:sz="0" w:space="0" w:color="auto"/>
        <w:right w:val="none" w:sz="0" w:space="0" w:color="auto"/>
      </w:divBdr>
    </w:div>
    <w:div w:id="386535046">
      <w:bodyDiv w:val="1"/>
      <w:marLeft w:val="0"/>
      <w:marRight w:val="0"/>
      <w:marTop w:val="0"/>
      <w:marBottom w:val="0"/>
      <w:divBdr>
        <w:top w:val="none" w:sz="0" w:space="0" w:color="auto"/>
        <w:left w:val="none" w:sz="0" w:space="0" w:color="auto"/>
        <w:bottom w:val="none" w:sz="0" w:space="0" w:color="auto"/>
        <w:right w:val="none" w:sz="0" w:space="0" w:color="auto"/>
      </w:divBdr>
    </w:div>
    <w:div w:id="386537436">
      <w:bodyDiv w:val="1"/>
      <w:marLeft w:val="0"/>
      <w:marRight w:val="0"/>
      <w:marTop w:val="0"/>
      <w:marBottom w:val="0"/>
      <w:divBdr>
        <w:top w:val="none" w:sz="0" w:space="0" w:color="auto"/>
        <w:left w:val="none" w:sz="0" w:space="0" w:color="auto"/>
        <w:bottom w:val="none" w:sz="0" w:space="0" w:color="auto"/>
        <w:right w:val="none" w:sz="0" w:space="0" w:color="auto"/>
      </w:divBdr>
    </w:div>
    <w:div w:id="386611516">
      <w:bodyDiv w:val="1"/>
      <w:marLeft w:val="0"/>
      <w:marRight w:val="0"/>
      <w:marTop w:val="0"/>
      <w:marBottom w:val="0"/>
      <w:divBdr>
        <w:top w:val="none" w:sz="0" w:space="0" w:color="auto"/>
        <w:left w:val="none" w:sz="0" w:space="0" w:color="auto"/>
        <w:bottom w:val="none" w:sz="0" w:space="0" w:color="auto"/>
        <w:right w:val="none" w:sz="0" w:space="0" w:color="auto"/>
      </w:divBdr>
    </w:div>
    <w:div w:id="386803546">
      <w:bodyDiv w:val="1"/>
      <w:marLeft w:val="0"/>
      <w:marRight w:val="0"/>
      <w:marTop w:val="0"/>
      <w:marBottom w:val="0"/>
      <w:divBdr>
        <w:top w:val="none" w:sz="0" w:space="0" w:color="auto"/>
        <w:left w:val="none" w:sz="0" w:space="0" w:color="auto"/>
        <w:bottom w:val="none" w:sz="0" w:space="0" w:color="auto"/>
        <w:right w:val="none" w:sz="0" w:space="0" w:color="auto"/>
      </w:divBdr>
    </w:div>
    <w:div w:id="386925263">
      <w:bodyDiv w:val="1"/>
      <w:marLeft w:val="0"/>
      <w:marRight w:val="0"/>
      <w:marTop w:val="0"/>
      <w:marBottom w:val="0"/>
      <w:divBdr>
        <w:top w:val="none" w:sz="0" w:space="0" w:color="auto"/>
        <w:left w:val="none" w:sz="0" w:space="0" w:color="auto"/>
        <w:bottom w:val="none" w:sz="0" w:space="0" w:color="auto"/>
        <w:right w:val="none" w:sz="0" w:space="0" w:color="auto"/>
      </w:divBdr>
    </w:div>
    <w:div w:id="387075571">
      <w:bodyDiv w:val="1"/>
      <w:marLeft w:val="0"/>
      <w:marRight w:val="0"/>
      <w:marTop w:val="0"/>
      <w:marBottom w:val="0"/>
      <w:divBdr>
        <w:top w:val="none" w:sz="0" w:space="0" w:color="auto"/>
        <w:left w:val="none" w:sz="0" w:space="0" w:color="auto"/>
        <w:bottom w:val="none" w:sz="0" w:space="0" w:color="auto"/>
        <w:right w:val="none" w:sz="0" w:space="0" w:color="auto"/>
      </w:divBdr>
    </w:div>
    <w:div w:id="387145228">
      <w:bodyDiv w:val="1"/>
      <w:marLeft w:val="0"/>
      <w:marRight w:val="0"/>
      <w:marTop w:val="0"/>
      <w:marBottom w:val="0"/>
      <w:divBdr>
        <w:top w:val="none" w:sz="0" w:space="0" w:color="auto"/>
        <w:left w:val="none" w:sz="0" w:space="0" w:color="auto"/>
        <w:bottom w:val="none" w:sz="0" w:space="0" w:color="auto"/>
        <w:right w:val="none" w:sz="0" w:space="0" w:color="auto"/>
      </w:divBdr>
    </w:div>
    <w:div w:id="387267704">
      <w:bodyDiv w:val="1"/>
      <w:marLeft w:val="0"/>
      <w:marRight w:val="0"/>
      <w:marTop w:val="0"/>
      <w:marBottom w:val="0"/>
      <w:divBdr>
        <w:top w:val="none" w:sz="0" w:space="0" w:color="auto"/>
        <w:left w:val="none" w:sz="0" w:space="0" w:color="auto"/>
        <w:bottom w:val="none" w:sz="0" w:space="0" w:color="auto"/>
        <w:right w:val="none" w:sz="0" w:space="0" w:color="auto"/>
      </w:divBdr>
    </w:div>
    <w:div w:id="387384435">
      <w:bodyDiv w:val="1"/>
      <w:marLeft w:val="0"/>
      <w:marRight w:val="0"/>
      <w:marTop w:val="0"/>
      <w:marBottom w:val="0"/>
      <w:divBdr>
        <w:top w:val="none" w:sz="0" w:space="0" w:color="auto"/>
        <w:left w:val="none" w:sz="0" w:space="0" w:color="auto"/>
        <w:bottom w:val="none" w:sz="0" w:space="0" w:color="auto"/>
        <w:right w:val="none" w:sz="0" w:space="0" w:color="auto"/>
      </w:divBdr>
    </w:div>
    <w:div w:id="387387672">
      <w:bodyDiv w:val="1"/>
      <w:marLeft w:val="0"/>
      <w:marRight w:val="0"/>
      <w:marTop w:val="0"/>
      <w:marBottom w:val="0"/>
      <w:divBdr>
        <w:top w:val="none" w:sz="0" w:space="0" w:color="auto"/>
        <w:left w:val="none" w:sz="0" w:space="0" w:color="auto"/>
        <w:bottom w:val="none" w:sz="0" w:space="0" w:color="auto"/>
        <w:right w:val="none" w:sz="0" w:space="0" w:color="auto"/>
      </w:divBdr>
    </w:div>
    <w:div w:id="387414669">
      <w:bodyDiv w:val="1"/>
      <w:marLeft w:val="0"/>
      <w:marRight w:val="0"/>
      <w:marTop w:val="0"/>
      <w:marBottom w:val="0"/>
      <w:divBdr>
        <w:top w:val="none" w:sz="0" w:space="0" w:color="auto"/>
        <w:left w:val="none" w:sz="0" w:space="0" w:color="auto"/>
        <w:bottom w:val="none" w:sz="0" w:space="0" w:color="auto"/>
        <w:right w:val="none" w:sz="0" w:space="0" w:color="auto"/>
      </w:divBdr>
    </w:div>
    <w:div w:id="387455092">
      <w:bodyDiv w:val="1"/>
      <w:marLeft w:val="0"/>
      <w:marRight w:val="0"/>
      <w:marTop w:val="0"/>
      <w:marBottom w:val="0"/>
      <w:divBdr>
        <w:top w:val="none" w:sz="0" w:space="0" w:color="auto"/>
        <w:left w:val="none" w:sz="0" w:space="0" w:color="auto"/>
        <w:bottom w:val="none" w:sz="0" w:space="0" w:color="auto"/>
        <w:right w:val="none" w:sz="0" w:space="0" w:color="auto"/>
      </w:divBdr>
    </w:div>
    <w:div w:id="387462622">
      <w:bodyDiv w:val="1"/>
      <w:marLeft w:val="0"/>
      <w:marRight w:val="0"/>
      <w:marTop w:val="0"/>
      <w:marBottom w:val="0"/>
      <w:divBdr>
        <w:top w:val="none" w:sz="0" w:space="0" w:color="auto"/>
        <w:left w:val="none" w:sz="0" w:space="0" w:color="auto"/>
        <w:bottom w:val="none" w:sz="0" w:space="0" w:color="auto"/>
        <w:right w:val="none" w:sz="0" w:space="0" w:color="auto"/>
      </w:divBdr>
    </w:div>
    <w:div w:id="387580587">
      <w:bodyDiv w:val="1"/>
      <w:marLeft w:val="0"/>
      <w:marRight w:val="0"/>
      <w:marTop w:val="0"/>
      <w:marBottom w:val="0"/>
      <w:divBdr>
        <w:top w:val="none" w:sz="0" w:space="0" w:color="auto"/>
        <w:left w:val="none" w:sz="0" w:space="0" w:color="auto"/>
        <w:bottom w:val="none" w:sz="0" w:space="0" w:color="auto"/>
        <w:right w:val="none" w:sz="0" w:space="0" w:color="auto"/>
      </w:divBdr>
    </w:div>
    <w:div w:id="387654527">
      <w:bodyDiv w:val="1"/>
      <w:marLeft w:val="0"/>
      <w:marRight w:val="0"/>
      <w:marTop w:val="0"/>
      <w:marBottom w:val="0"/>
      <w:divBdr>
        <w:top w:val="none" w:sz="0" w:space="0" w:color="auto"/>
        <w:left w:val="none" w:sz="0" w:space="0" w:color="auto"/>
        <w:bottom w:val="none" w:sz="0" w:space="0" w:color="auto"/>
        <w:right w:val="none" w:sz="0" w:space="0" w:color="auto"/>
      </w:divBdr>
    </w:div>
    <w:div w:id="387799465">
      <w:bodyDiv w:val="1"/>
      <w:marLeft w:val="0"/>
      <w:marRight w:val="0"/>
      <w:marTop w:val="0"/>
      <w:marBottom w:val="0"/>
      <w:divBdr>
        <w:top w:val="none" w:sz="0" w:space="0" w:color="auto"/>
        <w:left w:val="none" w:sz="0" w:space="0" w:color="auto"/>
        <w:bottom w:val="none" w:sz="0" w:space="0" w:color="auto"/>
        <w:right w:val="none" w:sz="0" w:space="0" w:color="auto"/>
      </w:divBdr>
    </w:div>
    <w:div w:id="387801397">
      <w:bodyDiv w:val="1"/>
      <w:marLeft w:val="0"/>
      <w:marRight w:val="0"/>
      <w:marTop w:val="0"/>
      <w:marBottom w:val="0"/>
      <w:divBdr>
        <w:top w:val="none" w:sz="0" w:space="0" w:color="auto"/>
        <w:left w:val="none" w:sz="0" w:space="0" w:color="auto"/>
        <w:bottom w:val="none" w:sz="0" w:space="0" w:color="auto"/>
        <w:right w:val="none" w:sz="0" w:space="0" w:color="auto"/>
      </w:divBdr>
    </w:div>
    <w:div w:id="387922340">
      <w:bodyDiv w:val="1"/>
      <w:marLeft w:val="0"/>
      <w:marRight w:val="0"/>
      <w:marTop w:val="0"/>
      <w:marBottom w:val="0"/>
      <w:divBdr>
        <w:top w:val="none" w:sz="0" w:space="0" w:color="auto"/>
        <w:left w:val="none" w:sz="0" w:space="0" w:color="auto"/>
        <w:bottom w:val="none" w:sz="0" w:space="0" w:color="auto"/>
        <w:right w:val="none" w:sz="0" w:space="0" w:color="auto"/>
      </w:divBdr>
    </w:div>
    <w:div w:id="388067984">
      <w:bodyDiv w:val="1"/>
      <w:marLeft w:val="0"/>
      <w:marRight w:val="0"/>
      <w:marTop w:val="0"/>
      <w:marBottom w:val="0"/>
      <w:divBdr>
        <w:top w:val="none" w:sz="0" w:space="0" w:color="auto"/>
        <w:left w:val="none" w:sz="0" w:space="0" w:color="auto"/>
        <w:bottom w:val="none" w:sz="0" w:space="0" w:color="auto"/>
        <w:right w:val="none" w:sz="0" w:space="0" w:color="auto"/>
      </w:divBdr>
    </w:div>
    <w:div w:id="388070760">
      <w:bodyDiv w:val="1"/>
      <w:marLeft w:val="0"/>
      <w:marRight w:val="0"/>
      <w:marTop w:val="0"/>
      <w:marBottom w:val="0"/>
      <w:divBdr>
        <w:top w:val="none" w:sz="0" w:space="0" w:color="auto"/>
        <w:left w:val="none" w:sz="0" w:space="0" w:color="auto"/>
        <w:bottom w:val="none" w:sz="0" w:space="0" w:color="auto"/>
        <w:right w:val="none" w:sz="0" w:space="0" w:color="auto"/>
      </w:divBdr>
    </w:div>
    <w:div w:id="388112948">
      <w:bodyDiv w:val="1"/>
      <w:marLeft w:val="0"/>
      <w:marRight w:val="0"/>
      <w:marTop w:val="0"/>
      <w:marBottom w:val="0"/>
      <w:divBdr>
        <w:top w:val="none" w:sz="0" w:space="0" w:color="auto"/>
        <w:left w:val="none" w:sz="0" w:space="0" w:color="auto"/>
        <w:bottom w:val="none" w:sz="0" w:space="0" w:color="auto"/>
        <w:right w:val="none" w:sz="0" w:space="0" w:color="auto"/>
      </w:divBdr>
    </w:div>
    <w:div w:id="388237026">
      <w:bodyDiv w:val="1"/>
      <w:marLeft w:val="0"/>
      <w:marRight w:val="0"/>
      <w:marTop w:val="0"/>
      <w:marBottom w:val="0"/>
      <w:divBdr>
        <w:top w:val="none" w:sz="0" w:space="0" w:color="auto"/>
        <w:left w:val="none" w:sz="0" w:space="0" w:color="auto"/>
        <w:bottom w:val="none" w:sz="0" w:space="0" w:color="auto"/>
        <w:right w:val="none" w:sz="0" w:space="0" w:color="auto"/>
      </w:divBdr>
    </w:div>
    <w:div w:id="388305068">
      <w:bodyDiv w:val="1"/>
      <w:marLeft w:val="0"/>
      <w:marRight w:val="0"/>
      <w:marTop w:val="0"/>
      <w:marBottom w:val="0"/>
      <w:divBdr>
        <w:top w:val="none" w:sz="0" w:space="0" w:color="auto"/>
        <w:left w:val="none" w:sz="0" w:space="0" w:color="auto"/>
        <w:bottom w:val="none" w:sz="0" w:space="0" w:color="auto"/>
        <w:right w:val="none" w:sz="0" w:space="0" w:color="auto"/>
      </w:divBdr>
    </w:div>
    <w:div w:id="388308942">
      <w:bodyDiv w:val="1"/>
      <w:marLeft w:val="0"/>
      <w:marRight w:val="0"/>
      <w:marTop w:val="0"/>
      <w:marBottom w:val="0"/>
      <w:divBdr>
        <w:top w:val="none" w:sz="0" w:space="0" w:color="auto"/>
        <w:left w:val="none" w:sz="0" w:space="0" w:color="auto"/>
        <w:bottom w:val="none" w:sz="0" w:space="0" w:color="auto"/>
        <w:right w:val="none" w:sz="0" w:space="0" w:color="auto"/>
      </w:divBdr>
    </w:div>
    <w:div w:id="388454207">
      <w:bodyDiv w:val="1"/>
      <w:marLeft w:val="0"/>
      <w:marRight w:val="0"/>
      <w:marTop w:val="0"/>
      <w:marBottom w:val="0"/>
      <w:divBdr>
        <w:top w:val="none" w:sz="0" w:space="0" w:color="auto"/>
        <w:left w:val="none" w:sz="0" w:space="0" w:color="auto"/>
        <w:bottom w:val="none" w:sz="0" w:space="0" w:color="auto"/>
        <w:right w:val="none" w:sz="0" w:space="0" w:color="auto"/>
      </w:divBdr>
    </w:div>
    <w:div w:id="388457983">
      <w:bodyDiv w:val="1"/>
      <w:marLeft w:val="0"/>
      <w:marRight w:val="0"/>
      <w:marTop w:val="0"/>
      <w:marBottom w:val="0"/>
      <w:divBdr>
        <w:top w:val="none" w:sz="0" w:space="0" w:color="auto"/>
        <w:left w:val="none" w:sz="0" w:space="0" w:color="auto"/>
        <w:bottom w:val="none" w:sz="0" w:space="0" w:color="auto"/>
        <w:right w:val="none" w:sz="0" w:space="0" w:color="auto"/>
      </w:divBdr>
    </w:div>
    <w:div w:id="388575583">
      <w:bodyDiv w:val="1"/>
      <w:marLeft w:val="0"/>
      <w:marRight w:val="0"/>
      <w:marTop w:val="0"/>
      <w:marBottom w:val="0"/>
      <w:divBdr>
        <w:top w:val="none" w:sz="0" w:space="0" w:color="auto"/>
        <w:left w:val="none" w:sz="0" w:space="0" w:color="auto"/>
        <w:bottom w:val="none" w:sz="0" w:space="0" w:color="auto"/>
        <w:right w:val="none" w:sz="0" w:space="0" w:color="auto"/>
      </w:divBdr>
    </w:div>
    <w:div w:id="388648329">
      <w:bodyDiv w:val="1"/>
      <w:marLeft w:val="0"/>
      <w:marRight w:val="0"/>
      <w:marTop w:val="0"/>
      <w:marBottom w:val="0"/>
      <w:divBdr>
        <w:top w:val="none" w:sz="0" w:space="0" w:color="auto"/>
        <w:left w:val="none" w:sz="0" w:space="0" w:color="auto"/>
        <w:bottom w:val="none" w:sz="0" w:space="0" w:color="auto"/>
        <w:right w:val="none" w:sz="0" w:space="0" w:color="auto"/>
      </w:divBdr>
    </w:div>
    <w:div w:id="388774000">
      <w:bodyDiv w:val="1"/>
      <w:marLeft w:val="0"/>
      <w:marRight w:val="0"/>
      <w:marTop w:val="0"/>
      <w:marBottom w:val="0"/>
      <w:divBdr>
        <w:top w:val="none" w:sz="0" w:space="0" w:color="auto"/>
        <w:left w:val="none" w:sz="0" w:space="0" w:color="auto"/>
        <w:bottom w:val="none" w:sz="0" w:space="0" w:color="auto"/>
        <w:right w:val="none" w:sz="0" w:space="0" w:color="auto"/>
      </w:divBdr>
    </w:div>
    <w:div w:id="388841329">
      <w:bodyDiv w:val="1"/>
      <w:marLeft w:val="0"/>
      <w:marRight w:val="0"/>
      <w:marTop w:val="0"/>
      <w:marBottom w:val="0"/>
      <w:divBdr>
        <w:top w:val="none" w:sz="0" w:space="0" w:color="auto"/>
        <w:left w:val="none" w:sz="0" w:space="0" w:color="auto"/>
        <w:bottom w:val="none" w:sz="0" w:space="0" w:color="auto"/>
        <w:right w:val="none" w:sz="0" w:space="0" w:color="auto"/>
      </w:divBdr>
    </w:div>
    <w:div w:id="388849500">
      <w:bodyDiv w:val="1"/>
      <w:marLeft w:val="0"/>
      <w:marRight w:val="0"/>
      <w:marTop w:val="0"/>
      <w:marBottom w:val="0"/>
      <w:divBdr>
        <w:top w:val="none" w:sz="0" w:space="0" w:color="auto"/>
        <w:left w:val="none" w:sz="0" w:space="0" w:color="auto"/>
        <w:bottom w:val="none" w:sz="0" w:space="0" w:color="auto"/>
        <w:right w:val="none" w:sz="0" w:space="0" w:color="auto"/>
      </w:divBdr>
    </w:div>
    <w:div w:id="388849891">
      <w:bodyDiv w:val="1"/>
      <w:marLeft w:val="0"/>
      <w:marRight w:val="0"/>
      <w:marTop w:val="0"/>
      <w:marBottom w:val="0"/>
      <w:divBdr>
        <w:top w:val="none" w:sz="0" w:space="0" w:color="auto"/>
        <w:left w:val="none" w:sz="0" w:space="0" w:color="auto"/>
        <w:bottom w:val="none" w:sz="0" w:space="0" w:color="auto"/>
        <w:right w:val="none" w:sz="0" w:space="0" w:color="auto"/>
      </w:divBdr>
    </w:div>
    <w:div w:id="388960254">
      <w:bodyDiv w:val="1"/>
      <w:marLeft w:val="0"/>
      <w:marRight w:val="0"/>
      <w:marTop w:val="0"/>
      <w:marBottom w:val="0"/>
      <w:divBdr>
        <w:top w:val="none" w:sz="0" w:space="0" w:color="auto"/>
        <w:left w:val="none" w:sz="0" w:space="0" w:color="auto"/>
        <w:bottom w:val="none" w:sz="0" w:space="0" w:color="auto"/>
        <w:right w:val="none" w:sz="0" w:space="0" w:color="auto"/>
      </w:divBdr>
    </w:div>
    <w:div w:id="389042715">
      <w:bodyDiv w:val="1"/>
      <w:marLeft w:val="0"/>
      <w:marRight w:val="0"/>
      <w:marTop w:val="0"/>
      <w:marBottom w:val="0"/>
      <w:divBdr>
        <w:top w:val="none" w:sz="0" w:space="0" w:color="auto"/>
        <w:left w:val="none" w:sz="0" w:space="0" w:color="auto"/>
        <w:bottom w:val="none" w:sz="0" w:space="0" w:color="auto"/>
        <w:right w:val="none" w:sz="0" w:space="0" w:color="auto"/>
      </w:divBdr>
    </w:div>
    <w:div w:id="389112206">
      <w:bodyDiv w:val="1"/>
      <w:marLeft w:val="0"/>
      <w:marRight w:val="0"/>
      <w:marTop w:val="0"/>
      <w:marBottom w:val="0"/>
      <w:divBdr>
        <w:top w:val="none" w:sz="0" w:space="0" w:color="auto"/>
        <w:left w:val="none" w:sz="0" w:space="0" w:color="auto"/>
        <w:bottom w:val="none" w:sz="0" w:space="0" w:color="auto"/>
        <w:right w:val="none" w:sz="0" w:space="0" w:color="auto"/>
      </w:divBdr>
    </w:div>
    <w:div w:id="389116089">
      <w:bodyDiv w:val="1"/>
      <w:marLeft w:val="0"/>
      <w:marRight w:val="0"/>
      <w:marTop w:val="0"/>
      <w:marBottom w:val="0"/>
      <w:divBdr>
        <w:top w:val="none" w:sz="0" w:space="0" w:color="auto"/>
        <w:left w:val="none" w:sz="0" w:space="0" w:color="auto"/>
        <w:bottom w:val="none" w:sz="0" w:space="0" w:color="auto"/>
        <w:right w:val="none" w:sz="0" w:space="0" w:color="auto"/>
      </w:divBdr>
    </w:div>
    <w:div w:id="389155361">
      <w:bodyDiv w:val="1"/>
      <w:marLeft w:val="0"/>
      <w:marRight w:val="0"/>
      <w:marTop w:val="0"/>
      <w:marBottom w:val="0"/>
      <w:divBdr>
        <w:top w:val="none" w:sz="0" w:space="0" w:color="auto"/>
        <w:left w:val="none" w:sz="0" w:space="0" w:color="auto"/>
        <w:bottom w:val="none" w:sz="0" w:space="0" w:color="auto"/>
        <w:right w:val="none" w:sz="0" w:space="0" w:color="auto"/>
      </w:divBdr>
    </w:div>
    <w:div w:id="389227742">
      <w:bodyDiv w:val="1"/>
      <w:marLeft w:val="0"/>
      <w:marRight w:val="0"/>
      <w:marTop w:val="0"/>
      <w:marBottom w:val="0"/>
      <w:divBdr>
        <w:top w:val="none" w:sz="0" w:space="0" w:color="auto"/>
        <w:left w:val="none" w:sz="0" w:space="0" w:color="auto"/>
        <w:bottom w:val="none" w:sz="0" w:space="0" w:color="auto"/>
        <w:right w:val="none" w:sz="0" w:space="0" w:color="auto"/>
      </w:divBdr>
    </w:div>
    <w:div w:id="389304783">
      <w:bodyDiv w:val="1"/>
      <w:marLeft w:val="0"/>
      <w:marRight w:val="0"/>
      <w:marTop w:val="0"/>
      <w:marBottom w:val="0"/>
      <w:divBdr>
        <w:top w:val="none" w:sz="0" w:space="0" w:color="auto"/>
        <w:left w:val="none" w:sz="0" w:space="0" w:color="auto"/>
        <w:bottom w:val="none" w:sz="0" w:space="0" w:color="auto"/>
        <w:right w:val="none" w:sz="0" w:space="0" w:color="auto"/>
      </w:divBdr>
    </w:div>
    <w:div w:id="389309730">
      <w:bodyDiv w:val="1"/>
      <w:marLeft w:val="0"/>
      <w:marRight w:val="0"/>
      <w:marTop w:val="0"/>
      <w:marBottom w:val="0"/>
      <w:divBdr>
        <w:top w:val="none" w:sz="0" w:space="0" w:color="auto"/>
        <w:left w:val="none" w:sz="0" w:space="0" w:color="auto"/>
        <w:bottom w:val="none" w:sz="0" w:space="0" w:color="auto"/>
        <w:right w:val="none" w:sz="0" w:space="0" w:color="auto"/>
      </w:divBdr>
    </w:div>
    <w:div w:id="389350448">
      <w:bodyDiv w:val="1"/>
      <w:marLeft w:val="0"/>
      <w:marRight w:val="0"/>
      <w:marTop w:val="0"/>
      <w:marBottom w:val="0"/>
      <w:divBdr>
        <w:top w:val="none" w:sz="0" w:space="0" w:color="auto"/>
        <w:left w:val="none" w:sz="0" w:space="0" w:color="auto"/>
        <w:bottom w:val="none" w:sz="0" w:space="0" w:color="auto"/>
        <w:right w:val="none" w:sz="0" w:space="0" w:color="auto"/>
      </w:divBdr>
    </w:div>
    <w:div w:id="389575396">
      <w:bodyDiv w:val="1"/>
      <w:marLeft w:val="0"/>
      <w:marRight w:val="0"/>
      <w:marTop w:val="0"/>
      <w:marBottom w:val="0"/>
      <w:divBdr>
        <w:top w:val="none" w:sz="0" w:space="0" w:color="auto"/>
        <w:left w:val="none" w:sz="0" w:space="0" w:color="auto"/>
        <w:bottom w:val="none" w:sz="0" w:space="0" w:color="auto"/>
        <w:right w:val="none" w:sz="0" w:space="0" w:color="auto"/>
      </w:divBdr>
    </w:div>
    <w:div w:id="389575786">
      <w:bodyDiv w:val="1"/>
      <w:marLeft w:val="0"/>
      <w:marRight w:val="0"/>
      <w:marTop w:val="0"/>
      <w:marBottom w:val="0"/>
      <w:divBdr>
        <w:top w:val="none" w:sz="0" w:space="0" w:color="auto"/>
        <w:left w:val="none" w:sz="0" w:space="0" w:color="auto"/>
        <w:bottom w:val="none" w:sz="0" w:space="0" w:color="auto"/>
        <w:right w:val="none" w:sz="0" w:space="0" w:color="auto"/>
      </w:divBdr>
    </w:div>
    <w:div w:id="389697664">
      <w:bodyDiv w:val="1"/>
      <w:marLeft w:val="0"/>
      <w:marRight w:val="0"/>
      <w:marTop w:val="0"/>
      <w:marBottom w:val="0"/>
      <w:divBdr>
        <w:top w:val="none" w:sz="0" w:space="0" w:color="auto"/>
        <w:left w:val="none" w:sz="0" w:space="0" w:color="auto"/>
        <w:bottom w:val="none" w:sz="0" w:space="0" w:color="auto"/>
        <w:right w:val="none" w:sz="0" w:space="0" w:color="auto"/>
      </w:divBdr>
    </w:div>
    <w:div w:id="389764238">
      <w:bodyDiv w:val="1"/>
      <w:marLeft w:val="0"/>
      <w:marRight w:val="0"/>
      <w:marTop w:val="0"/>
      <w:marBottom w:val="0"/>
      <w:divBdr>
        <w:top w:val="none" w:sz="0" w:space="0" w:color="auto"/>
        <w:left w:val="none" w:sz="0" w:space="0" w:color="auto"/>
        <w:bottom w:val="none" w:sz="0" w:space="0" w:color="auto"/>
        <w:right w:val="none" w:sz="0" w:space="0" w:color="auto"/>
      </w:divBdr>
    </w:div>
    <w:div w:id="389812570">
      <w:bodyDiv w:val="1"/>
      <w:marLeft w:val="0"/>
      <w:marRight w:val="0"/>
      <w:marTop w:val="0"/>
      <w:marBottom w:val="0"/>
      <w:divBdr>
        <w:top w:val="none" w:sz="0" w:space="0" w:color="auto"/>
        <w:left w:val="none" w:sz="0" w:space="0" w:color="auto"/>
        <w:bottom w:val="none" w:sz="0" w:space="0" w:color="auto"/>
        <w:right w:val="none" w:sz="0" w:space="0" w:color="auto"/>
      </w:divBdr>
    </w:div>
    <w:div w:id="390082599">
      <w:bodyDiv w:val="1"/>
      <w:marLeft w:val="0"/>
      <w:marRight w:val="0"/>
      <w:marTop w:val="0"/>
      <w:marBottom w:val="0"/>
      <w:divBdr>
        <w:top w:val="none" w:sz="0" w:space="0" w:color="auto"/>
        <w:left w:val="none" w:sz="0" w:space="0" w:color="auto"/>
        <w:bottom w:val="none" w:sz="0" w:space="0" w:color="auto"/>
        <w:right w:val="none" w:sz="0" w:space="0" w:color="auto"/>
      </w:divBdr>
    </w:div>
    <w:div w:id="390155236">
      <w:bodyDiv w:val="1"/>
      <w:marLeft w:val="0"/>
      <w:marRight w:val="0"/>
      <w:marTop w:val="0"/>
      <w:marBottom w:val="0"/>
      <w:divBdr>
        <w:top w:val="none" w:sz="0" w:space="0" w:color="auto"/>
        <w:left w:val="none" w:sz="0" w:space="0" w:color="auto"/>
        <w:bottom w:val="none" w:sz="0" w:space="0" w:color="auto"/>
        <w:right w:val="none" w:sz="0" w:space="0" w:color="auto"/>
      </w:divBdr>
    </w:div>
    <w:div w:id="390156491">
      <w:bodyDiv w:val="1"/>
      <w:marLeft w:val="0"/>
      <w:marRight w:val="0"/>
      <w:marTop w:val="0"/>
      <w:marBottom w:val="0"/>
      <w:divBdr>
        <w:top w:val="none" w:sz="0" w:space="0" w:color="auto"/>
        <w:left w:val="none" w:sz="0" w:space="0" w:color="auto"/>
        <w:bottom w:val="none" w:sz="0" w:space="0" w:color="auto"/>
        <w:right w:val="none" w:sz="0" w:space="0" w:color="auto"/>
      </w:divBdr>
    </w:div>
    <w:div w:id="390277635">
      <w:bodyDiv w:val="1"/>
      <w:marLeft w:val="0"/>
      <w:marRight w:val="0"/>
      <w:marTop w:val="0"/>
      <w:marBottom w:val="0"/>
      <w:divBdr>
        <w:top w:val="none" w:sz="0" w:space="0" w:color="auto"/>
        <w:left w:val="none" w:sz="0" w:space="0" w:color="auto"/>
        <w:bottom w:val="none" w:sz="0" w:space="0" w:color="auto"/>
        <w:right w:val="none" w:sz="0" w:space="0" w:color="auto"/>
      </w:divBdr>
    </w:div>
    <w:div w:id="390278318">
      <w:bodyDiv w:val="1"/>
      <w:marLeft w:val="0"/>
      <w:marRight w:val="0"/>
      <w:marTop w:val="0"/>
      <w:marBottom w:val="0"/>
      <w:divBdr>
        <w:top w:val="none" w:sz="0" w:space="0" w:color="auto"/>
        <w:left w:val="none" w:sz="0" w:space="0" w:color="auto"/>
        <w:bottom w:val="none" w:sz="0" w:space="0" w:color="auto"/>
        <w:right w:val="none" w:sz="0" w:space="0" w:color="auto"/>
      </w:divBdr>
    </w:div>
    <w:div w:id="390278330">
      <w:bodyDiv w:val="1"/>
      <w:marLeft w:val="0"/>
      <w:marRight w:val="0"/>
      <w:marTop w:val="0"/>
      <w:marBottom w:val="0"/>
      <w:divBdr>
        <w:top w:val="none" w:sz="0" w:space="0" w:color="auto"/>
        <w:left w:val="none" w:sz="0" w:space="0" w:color="auto"/>
        <w:bottom w:val="none" w:sz="0" w:space="0" w:color="auto"/>
        <w:right w:val="none" w:sz="0" w:space="0" w:color="auto"/>
      </w:divBdr>
    </w:div>
    <w:div w:id="390428261">
      <w:bodyDiv w:val="1"/>
      <w:marLeft w:val="0"/>
      <w:marRight w:val="0"/>
      <w:marTop w:val="0"/>
      <w:marBottom w:val="0"/>
      <w:divBdr>
        <w:top w:val="none" w:sz="0" w:space="0" w:color="auto"/>
        <w:left w:val="none" w:sz="0" w:space="0" w:color="auto"/>
        <w:bottom w:val="none" w:sz="0" w:space="0" w:color="auto"/>
        <w:right w:val="none" w:sz="0" w:space="0" w:color="auto"/>
      </w:divBdr>
    </w:div>
    <w:div w:id="390466717">
      <w:bodyDiv w:val="1"/>
      <w:marLeft w:val="0"/>
      <w:marRight w:val="0"/>
      <w:marTop w:val="0"/>
      <w:marBottom w:val="0"/>
      <w:divBdr>
        <w:top w:val="none" w:sz="0" w:space="0" w:color="auto"/>
        <w:left w:val="none" w:sz="0" w:space="0" w:color="auto"/>
        <w:bottom w:val="none" w:sz="0" w:space="0" w:color="auto"/>
        <w:right w:val="none" w:sz="0" w:space="0" w:color="auto"/>
      </w:divBdr>
    </w:div>
    <w:div w:id="390661061">
      <w:bodyDiv w:val="1"/>
      <w:marLeft w:val="0"/>
      <w:marRight w:val="0"/>
      <w:marTop w:val="0"/>
      <w:marBottom w:val="0"/>
      <w:divBdr>
        <w:top w:val="none" w:sz="0" w:space="0" w:color="auto"/>
        <w:left w:val="none" w:sz="0" w:space="0" w:color="auto"/>
        <w:bottom w:val="none" w:sz="0" w:space="0" w:color="auto"/>
        <w:right w:val="none" w:sz="0" w:space="0" w:color="auto"/>
      </w:divBdr>
    </w:div>
    <w:div w:id="390731153">
      <w:bodyDiv w:val="1"/>
      <w:marLeft w:val="0"/>
      <w:marRight w:val="0"/>
      <w:marTop w:val="0"/>
      <w:marBottom w:val="0"/>
      <w:divBdr>
        <w:top w:val="none" w:sz="0" w:space="0" w:color="auto"/>
        <w:left w:val="none" w:sz="0" w:space="0" w:color="auto"/>
        <w:bottom w:val="none" w:sz="0" w:space="0" w:color="auto"/>
        <w:right w:val="none" w:sz="0" w:space="0" w:color="auto"/>
      </w:divBdr>
    </w:div>
    <w:div w:id="390733649">
      <w:bodyDiv w:val="1"/>
      <w:marLeft w:val="0"/>
      <w:marRight w:val="0"/>
      <w:marTop w:val="0"/>
      <w:marBottom w:val="0"/>
      <w:divBdr>
        <w:top w:val="none" w:sz="0" w:space="0" w:color="auto"/>
        <w:left w:val="none" w:sz="0" w:space="0" w:color="auto"/>
        <w:bottom w:val="none" w:sz="0" w:space="0" w:color="auto"/>
        <w:right w:val="none" w:sz="0" w:space="0" w:color="auto"/>
      </w:divBdr>
    </w:div>
    <w:div w:id="390739947">
      <w:bodyDiv w:val="1"/>
      <w:marLeft w:val="0"/>
      <w:marRight w:val="0"/>
      <w:marTop w:val="0"/>
      <w:marBottom w:val="0"/>
      <w:divBdr>
        <w:top w:val="none" w:sz="0" w:space="0" w:color="auto"/>
        <w:left w:val="none" w:sz="0" w:space="0" w:color="auto"/>
        <w:bottom w:val="none" w:sz="0" w:space="0" w:color="auto"/>
        <w:right w:val="none" w:sz="0" w:space="0" w:color="auto"/>
      </w:divBdr>
    </w:div>
    <w:div w:id="390808888">
      <w:bodyDiv w:val="1"/>
      <w:marLeft w:val="0"/>
      <w:marRight w:val="0"/>
      <w:marTop w:val="0"/>
      <w:marBottom w:val="0"/>
      <w:divBdr>
        <w:top w:val="none" w:sz="0" w:space="0" w:color="auto"/>
        <w:left w:val="none" w:sz="0" w:space="0" w:color="auto"/>
        <w:bottom w:val="none" w:sz="0" w:space="0" w:color="auto"/>
        <w:right w:val="none" w:sz="0" w:space="0" w:color="auto"/>
      </w:divBdr>
    </w:div>
    <w:div w:id="390887953">
      <w:bodyDiv w:val="1"/>
      <w:marLeft w:val="0"/>
      <w:marRight w:val="0"/>
      <w:marTop w:val="0"/>
      <w:marBottom w:val="0"/>
      <w:divBdr>
        <w:top w:val="none" w:sz="0" w:space="0" w:color="auto"/>
        <w:left w:val="none" w:sz="0" w:space="0" w:color="auto"/>
        <w:bottom w:val="none" w:sz="0" w:space="0" w:color="auto"/>
        <w:right w:val="none" w:sz="0" w:space="0" w:color="auto"/>
      </w:divBdr>
    </w:div>
    <w:div w:id="390925178">
      <w:bodyDiv w:val="1"/>
      <w:marLeft w:val="0"/>
      <w:marRight w:val="0"/>
      <w:marTop w:val="0"/>
      <w:marBottom w:val="0"/>
      <w:divBdr>
        <w:top w:val="none" w:sz="0" w:space="0" w:color="auto"/>
        <w:left w:val="none" w:sz="0" w:space="0" w:color="auto"/>
        <w:bottom w:val="none" w:sz="0" w:space="0" w:color="auto"/>
        <w:right w:val="none" w:sz="0" w:space="0" w:color="auto"/>
      </w:divBdr>
    </w:div>
    <w:div w:id="390930285">
      <w:bodyDiv w:val="1"/>
      <w:marLeft w:val="0"/>
      <w:marRight w:val="0"/>
      <w:marTop w:val="0"/>
      <w:marBottom w:val="0"/>
      <w:divBdr>
        <w:top w:val="none" w:sz="0" w:space="0" w:color="auto"/>
        <w:left w:val="none" w:sz="0" w:space="0" w:color="auto"/>
        <w:bottom w:val="none" w:sz="0" w:space="0" w:color="auto"/>
        <w:right w:val="none" w:sz="0" w:space="0" w:color="auto"/>
      </w:divBdr>
    </w:div>
    <w:div w:id="391077369">
      <w:bodyDiv w:val="1"/>
      <w:marLeft w:val="0"/>
      <w:marRight w:val="0"/>
      <w:marTop w:val="0"/>
      <w:marBottom w:val="0"/>
      <w:divBdr>
        <w:top w:val="none" w:sz="0" w:space="0" w:color="auto"/>
        <w:left w:val="none" w:sz="0" w:space="0" w:color="auto"/>
        <w:bottom w:val="none" w:sz="0" w:space="0" w:color="auto"/>
        <w:right w:val="none" w:sz="0" w:space="0" w:color="auto"/>
      </w:divBdr>
    </w:div>
    <w:div w:id="391195642">
      <w:bodyDiv w:val="1"/>
      <w:marLeft w:val="0"/>
      <w:marRight w:val="0"/>
      <w:marTop w:val="0"/>
      <w:marBottom w:val="0"/>
      <w:divBdr>
        <w:top w:val="none" w:sz="0" w:space="0" w:color="auto"/>
        <w:left w:val="none" w:sz="0" w:space="0" w:color="auto"/>
        <w:bottom w:val="none" w:sz="0" w:space="0" w:color="auto"/>
        <w:right w:val="none" w:sz="0" w:space="0" w:color="auto"/>
      </w:divBdr>
    </w:div>
    <w:div w:id="391200403">
      <w:bodyDiv w:val="1"/>
      <w:marLeft w:val="0"/>
      <w:marRight w:val="0"/>
      <w:marTop w:val="0"/>
      <w:marBottom w:val="0"/>
      <w:divBdr>
        <w:top w:val="none" w:sz="0" w:space="0" w:color="auto"/>
        <w:left w:val="none" w:sz="0" w:space="0" w:color="auto"/>
        <w:bottom w:val="none" w:sz="0" w:space="0" w:color="auto"/>
        <w:right w:val="none" w:sz="0" w:space="0" w:color="auto"/>
      </w:divBdr>
    </w:div>
    <w:div w:id="391268674">
      <w:bodyDiv w:val="1"/>
      <w:marLeft w:val="0"/>
      <w:marRight w:val="0"/>
      <w:marTop w:val="0"/>
      <w:marBottom w:val="0"/>
      <w:divBdr>
        <w:top w:val="none" w:sz="0" w:space="0" w:color="auto"/>
        <w:left w:val="none" w:sz="0" w:space="0" w:color="auto"/>
        <w:bottom w:val="none" w:sz="0" w:space="0" w:color="auto"/>
        <w:right w:val="none" w:sz="0" w:space="0" w:color="auto"/>
      </w:divBdr>
    </w:div>
    <w:div w:id="391276272">
      <w:bodyDiv w:val="1"/>
      <w:marLeft w:val="0"/>
      <w:marRight w:val="0"/>
      <w:marTop w:val="0"/>
      <w:marBottom w:val="0"/>
      <w:divBdr>
        <w:top w:val="none" w:sz="0" w:space="0" w:color="auto"/>
        <w:left w:val="none" w:sz="0" w:space="0" w:color="auto"/>
        <w:bottom w:val="none" w:sz="0" w:space="0" w:color="auto"/>
        <w:right w:val="none" w:sz="0" w:space="0" w:color="auto"/>
      </w:divBdr>
    </w:div>
    <w:div w:id="391318324">
      <w:bodyDiv w:val="1"/>
      <w:marLeft w:val="0"/>
      <w:marRight w:val="0"/>
      <w:marTop w:val="0"/>
      <w:marBottom w:val="0"/>
      <w:divBdr>
        <w:top w:val="none" w:sz="0" w:space="0" w:color="auto"/>
        <w:left w:val="none" w:sz="0" w:space="0" w:color="auto"/>
        <w:bottom w:val="none" w:sz="0" w:space="0" w:color="auto"/>
        <w:right w:val="none" w:sz="0" w:space="0" w:color="auto"/>
      </w:divBdr>
    </w:div>
    <w:div w:id="391395309">
      <w:bodyDiv w:val="1"/>
      <w:marLeft w:val="0"/>
      <w:marRight w:val="0"/>
      <w:marTop w:val="0"/>
      <w:marBottom w:val="0"/>
      <w:divBdr>
        <w:top w:val="none" w:sz="0" w:space="0" w:color="auto"/>
        <w:left w:val="none" w:sz="0" w:space="0" w:color="auto"/>
        <w:bottom w:val="none" w:sz="0" w:space="0" w:color="auto"/>
        <w:right w:val="none" w:sz="0" w:space="0" w:color="auto"/>
      </w:divBdr>
    </w:div>
    <w:div w:id="391468839">
      <w:bodyDiv w:val="1"/>
      <w:marLeft w:val="0"/>
      <w:marRight w:val="0"/>
      <w:marTop w:val="0"/>
      <w:marBottom w:val="0"/>
      <w:divBdr>
        <w:top w:val="none" w:sz="0" w:space="0" w:color="auto"/>
        <w:left w:val="none" w:sz="0" w:space="0" w:color="auto"/>
        <w:bottom w:val="none" w:sz="0" w:space="0" w:color="auto"/>
        <w:right w:val="none" w:sz="0" w:space="0" w:color="auto"/>
      </w:divBdr>
    </w:div>
    <w:div w:id="391469423">
      <w:bodyDiv w:val="1"/>
      <w:marLeft w:val="0"/>
      <w:marRight w:val="0"/>
      <w:marTop w:val="0"/>
      <w:marBottom w:val="0"/>
      <w:divBdr>
        <w:top w:val="none" w:sz="0" w:space="0" w:color="auto"/>
        <w:left w:val="none" w:sz="0" w:space="0" w:color="auto"/>
        <w:bottom w:val="none" w:sz="0" w:space="0" w:color="auto"/>
        <w:right w:val="none" w:sz="0" w:space="0" w:color="auto"/>
      </w:divBdr>
    </w:div>
    <w:div w:id="391470518">
      <w:bodyDiv w:val="1"/>
      <w:marLeft w:val="0"/>
      <w:marRight w:val="0"/>
      <w:marTop w:val="0"/>
      <w:marBottom w:val="0"/>
      <w:divBdr>
        <w:top w:val="none" w:sz="0" w:space="0" w:color="auto"/>
        <w:left w:val="none" w:sz="0" w:space="0" w:color="auto"/>
        <w:bottom w:val="none" w:sz="0" w:space="0" w:color="auto"/>
        <w:right w:val="none" w:sz="0" w:space="0" w:color="auto"/>
      </w:divBdr>
    </w:div>
    <w:div w:id="391539268">
      <w:bodyDiv w:val="1"/>
      <w:marLeft w:val="0"/>
      <w:marRight w:val="0"/>
      <w:marTop w:val="0"/>
      <w:marBottom w:val="0"/>
      <w:divBdr>
        <w:top w:val="none" w:sz="0" w:space="0" w:color="auto"/>
        <w:left w:val="none" w:sz="0" w:space="0" w:color="auto"/>
        <w:bottom w:val="none" w:sz="0" w:space="0" w:color="auto"/>
        <w:right w:val="none" w:sz="0" w:space="0" w:color="auto"/>
      </w:divBdr>
    </w:div>
    <w:div w:id="391539675">
      <w:bodyDiv w:val="1"/>
      <w:marLeft w:val="0"/>
      <w:marRight w:val="0"/>
      <w:marTop w:val="0"/>
      <w:marBottom w:val="0"/>
      <w:divBdr>
        <w:top w:val="none" w:sz="0" w:space="0" w:color="auto"/>
        <w:left w:val="none" w:sz="0" w:space="0" w:color="auto"/>
        <w:bottom w:val="none" w:sz="0" w:space="0" w:color="auto"/>
        <w:right w:val="none" w:sz="0" w:space="0" w:color="auto"/>
      </w:divBdr>
    </w:div>
    <w:div w:id="391540320">
      <w:bodyDiv w:val="1"/>
      <w:marLeft w:val="0"/>
      <w:marRight w:val="0"/>
      <w:marTop w:val="0"/>
      <w:marBottom w:val="0"/>
      <w:divBdr>
        <w:top w:val="none" w:sz="0" w:space="0" w:color="auto"/>
        <w:left w:val="none" w:sz="0" w:space="0" w:color="auto"/>
        <w:bottom w:val="none" w:sz="0" w:space="0" w:color="auto"/>
        <w:right w:val="none" w:sz="0" w:space="0" w:color="auto"/>
      </w:divBdr>
    </w:div>
    <w:div w:id="391738722">
      <w:bodyDiv w:val="1"/>
      <w:marLeft w:val="0"/>
      <w:marRight w:val="0"/>
      <w:marTop w:val="0"/>
      <w:marBottom w:val="0"/>
      <w:divBdr>
        <w:top w:val="none" w:sz="0" w:space="0" w:color="auto"/>
        <w:left w:val="none" w:sz="0" w:space="0" w:color="auto"/>
        <w:bottom w:val="none" w:sz="0" w:space="0" w:color="auto"/>
        <w:right w:val="none" w:sz="0" w:space="0" w:color="auto"/>
      </w:divBdr>
    </w:div>
    <w:div w:id="391780768">
      <w:bodyDiv w:val="1"/>
      <w:marLeft w:val="0"/>
      <w:marRight w:val="0"/>
      <w:marTop w:val="0"/>
      <w:marBottom w:val="0"/>
      <w:divBdr>
        <w:top w:val="none" w:sz="0" w:space="0" w:color="auto"/>
        <w:left w:val="none" w:sz="0" w:space="0" w:color="auto"/>
        <w:bottom w:val="none" w:sz="0" w:space="0" w:color="auto"/>
        <w:right w:val="none" w:sz="0" w:space="0" w:color="auto"/>
      </w:divBdr>
    </w:div>
    <w:div w:id="391925924">
      <w:bodyDiv w:val="1"/>
      <w:marLeft w:val="0"/>
      <w:marRight w:val="0"/>
      <w:marTop w:val="0"/>
      <w:marBottom w:val="0"/>
      <w:divBdr>
        <w:top w:val="none" w:sz="0" w:space="0" w:color="auto"/>
        <w:left w:val="none" w:sz="0" w:space="0" w:color="auto"/>
        <w:bottom w:val="none" w:sz="0" w:space="0" w:color="auto"/>
        <w:right w:val="none" w:sz="0" w:space="0" w:color="auto"/>
      </w:divBdr>
    </w:div>
    <w:div w:id="392192253">
      <w:bodyDiv w:val="1"/>
      <w:marLeft w:val="0"/>
      <w:marRight w:val="0"/>
      <w:marTop w:val="0"/>
      <w:marBottom w:val="0"/>
      <w:divBdr>
        <w:top w:val="none" w:sz="0" w:space="0" w:color="auto"/>
        <w:left w:val="none" w:sz="0" w:space="0" w:color="auto"/>
        <w:bottom w:val="none" w:sz="0" w:space="0" w:color="auto"/>
        <w:right w:val="none" w:sz="0" w:space="0" w:color="auto"/>
      </w:divBdr>
    </w:div>
    <w:div w:id="392313093">
      <w:bodyDiv w:val="1"/>
      <w:marLeft w:val="0"/>
      <w:marRight w:val="0"/>
      <w:marTop w:val="0"/>
      <w:marBottom w:val="0"/>
      <w:divBdr>
        <w:top w:val="none" w:sz="0" w:space="0" w:color="auto"/>
        <w:left w:val="none" w:sz="0" w:space="0" w:color="auto"/>
        <w:bottom w:val="none" w:sz="0" w:space="0" w:color="auto"/>
        <w:right w:val="none" w:sz="0" w:space="0" w:color="auto"/>
      </w:divBdr>
    </w:div>
    <w:div w:id="392315744">
      <w:bodyDiv w:val="1"/>
      <w:marLeft w:val="0"/>
      <w:marRight w:val="0"/>
      <w:marTop w:val="0"/>
      <w:marBottom w:val="0"/>
      <w:divBdr>
        <w:top w:val="none" w:sz="0" w:space="0" w:color="auto"/>
        <w:left w:val="none" w:sz="0" w:space="0" w:color="auto"/>
        <w:bottom w:val="none" w:sz="0" w:space="0" w:color="auto"/>
        <w:right w:val="none" w:sz="0" w:space="0" w:color="auto"/>
      </w:divBdr>
    </w:div>
    <w:div w:id="392390177">
      <w:bodyDiv w:val="1"/>
      <w:marLeft w:val="0"/>
      <w:marRight w:val="0"/>
      <w:marTop w:val="0"/>
      <w:marBottom w:val="0"/>
      <w:divBdr>
        <w:top w:val="none" w:sz="0" w:space="0" w:color="auto"/>
        <w:left w:val="none" w:sz="0" w:space="0" w:color="auto"/>
        <w:bottom w:val="none" w:sz="0" w:space="0" w:color="auto"/>
        <w:right w:val="none" w:sz="0" w:space="0" w:color="auto"/>
      </w:divBdr>
    </w:div>
    <w:div w:id="392433866">
      <w:bodyDiv w:val="1"/>
      <w:marLeft w:val="0"/>
      <w:marRight w:val="0"/>
      <w:marTop w:val="0"/>
      <w:marBottom w:val="0"/>
      <w:divBdr>
        <w:top w:val="none" w:sz="0" w:space="0" w:color="auto"/>
        <w:left w:val="none" w:sz="0" w:space="0" w:color="auto"/>
        <w:bottom w:val="none" w:sz="0" w:space="0" w:color="auto"/>
        <w:right w:val="none" w:sz="0" w:space="0" w:color="auto"/>
      </w:divBdr>
    </w:div>
    <w:div w:id="392509302">
      <w:bodyDiv w:val="1"/>
      <w:marLeft w:val="0"/>
      <w:marRight w:val="0"/>
      <w:marTop w:val="0"/>
      <w:marBottom w:val="0"/>
      <w:divBdr>
        <w:top w:val="none" w:sz="0" w:space="0" w:color="auto"/>
        <w:left w:val="none" w:sz="0" w:space="0" w:color="auto"/>
        <w:bottom w:val="none" w:sz="0" w:space="0" w:color="auto"/>
        <w:right w:val="none" w:sz="0" w:space="0" w:color="auto"/>
      </w:divBdr>
    </w:div>
    <w:div w:id="392581020">
      <w:bodyDiv w:val="1"/>
      <w:marLeft w:val="0"/>
      <w:marRight w:val="0"/>
      <w:marTop w:val="0"/>
      <w:marBottom w:val="0"/>
      <w:divBdr>
        <w:top w:val="none" w:sz="0" w:space="0" w:color="auto"/>
        <w:left w:val="none" w:sz="0" w:space="0" w:color="auto"/>
        <w:bottom w:val="none" w:sz="0" w:space="0" w:color="auto"/>
        <w:right w:val="none" w:sz="0" w:space="0" w:color="auto"/>
      </w:divBdr>
    </w:div>
    <w:div w:id="392581705">
      <w:bodyDiv w:val="1"/>
      <w:marLeft w:val="0"/>
      <w:marRight w:val="0"/>
      <w:marTop w:val="0"/>
      <w:marBottom w:val="0"/>
      <w:divBdr>
        <w:top w:val="none" w:sz="0" w:space="0" w:color="auto"/>
        <w:left w:val="none" w:sz="0" w:space="0" w:color="auto"/>
        <w:bottom w:val="none" w:sz="0" w:space="0" w:color="auto"/>
        <w:right w:val="none" w:sz="0" w:space="0" w:color="auto"/>
      </w:divBdr>
    </w:div>
    <w:div w:id="392582644">
      <w:bodyDiv w:val="1"/>
      <w:marLeft w:val="0"/>
      <w:marRight w:val="0"/>
      <w:marTop w:val="0"/>
      <w:marBottom w:val="0"/>
      <w:divBdr>
        <w:top w:val="none" w:sz="0" w:space="0" w:color="auto"/>
        <w:left w:val="none" w:sz="0" w:space="0" w:color="auto"/>
        <w:bottom w:val="none" w:sz="0" w:space="0" w:color="auto"/>
        <w:right w:val="none" w:sz="0" w:space="0" w:color="auto"/>
      </w:divBdr>
    </w:div>
    <w:div w:id="392583932">
      <w:bodyDiv w:val="1"/>
      <w:marLeft w:val="0"/>
      <w:marRight w:val="0"/>
      <w:marTop w:val="0"/>
      <w:marBottom w:val="0"/>
      <w:divBdr>
        <w:top w:val="none" w:sz="0" w:space="0" w:color="auto"/>
        <w:left w:val="none" w:sz="0" w:space="0" w:color="auto"/>
        <w:bottom w:val="none" w:sz="0" w:space="0" w:color="auto"/>
        <w:right w:val="none" w:sz="0" w:space="0" w:color="auto"/>
      </w:divBdr>
    </w:div>
    <w:div w:id="392701670">
      <w:bodyDiv w:val="1"/>
      <w:marLeft w:val="0"/>
      <w:marRight w:val="0"/>
      <w:marTop w:val="0"/>
      <w:marBottom w:val="0"/>
      <w:divBdr>
        <w:top w:val="none" w:sz="0" w:space="0" w:color="auto"/>
        <w:left w:val="none" w:sz="0" w:space="0" w:color="auto"/>
        <w:bottom w:val="none" w:sz="0" w:space="0" w:color="auto"/>
        <w:right w:val="none" w:sz="0" w:space="0" w:color="auto"/>
      </w:divBdr>
    </w:div>
    <w:div w:id="392895462">
      <w:bodyDiv w:val="1"/>
      <w:marLeft w:val="0"/>
      <w:marRight w:val="0"/>
      <w:marTop w:val="0"/>
      <w:marBottom w:val="0"/>
      <w:divBdr>
        <w:top w:val="none" w:sz="0" w:space="0" w:color="auto"/>
        <w:left w:val="none" w:sz="0" w:space="0" w:color="auto"/>
        <w:bottom w:val="none" w:sz="0" w:space="0" w:color="auto"/>
        <w:right w:val="none" w:sz="0" w:space="0" w:color="auto"/>
      </w:divBdr>
    </w:div>
    <w:div w:id="392973484">
      <w:bodyDiv w:val="1"/>
      <w:marLeft w:val="0"/>
      <w:marRight w:val="0"/>
      <w:marTop w:val="0"/>
      <w:marBottom w:val="0"/>
      <w:divBdr>
        <w:top w:val="none" w:sz="0" w:space="0" w:color="auto"/>
        <w:left w:val="none" w:sz="0" w:space="0" w:color="auto"/>
        <w:bottom w:val="none" w:sz="0" w:space="0" w:color="auto"/>
        <w:right w:val="none" w:sz="0" w:space="0" w:color="auto"/>
      </w:divBdr>
    </w:div>
    <w:div w:id="393090867">
      <w:bodyDiv w:val="1"/>
      <w:marLeft w:val="0"/>
      <w:marRight w:val="0"/>
      <w:marTop w:val="0"/>
      <w:marBottom w:val="0"/>
      <w:divBdr>
        <w:top w:val="none" w:sz="0" w:space="0" w:color="auto"/>
        <w:left w:val="none" w:sz="0" w:space="0" w:color="auto"/>
        <w:bottom w:val="none" w:sz="0" w:space="0" w:color="auto"/>
        <w:right w:val="none" w:sz="0" w:space="0" w:color="auto"/>
      </w:divBdr>
    </w:div>
    <w:div w:id="393234596">
      <w:bodyDiv w:val="1"/>
      <w:marLeft w:val="0"/>
      <w:marRight w:val="0"/>
      <w:marTop w:val="0"/>
      <w:marBottom w:val="0"/>
      <w:divBdr>
        <w:top w:val="none" w:sz="0" w:space="0" w:color="auto"/>
        <w:left w:val="none" w:sz="0" w:space="0" w:color="auto"/>
        <w:bottom w:val="none" w:sz="0" w:space="0" w:color="auto"/>
        <w:right w:val="none" w:sz="0" w:space="0" w:color="auto"/>
      </w:divBdr>
    </w:div>
    <w:div w:id="393238379">
      <w:bodyDiv w:val="1"/>
      <w:marLeft w:val="0"/>
      <w:marRight w:val="0"/>
      <w:marTop w:val="0"/>
      <w:marBottom w:val="0"/>
      <w:divBdr>
        <w:top w:val="none" w:sz="0" w:space="0" w:color="auto"/>
        <w:left w:val="none" w:sz="0" w:space="0" w:color="auto"/>
        <w:bottom w:val="none" w:sz="0" w:space="0" w:color="auto"/>
        <w:right w:val="none" w:sz="0" w:space="0" w:color="auto"/>
      </w:divBdr>
    </w:div>
    <w:div w:id="393357773">
      <w:bodyDiv w:val="1"/>
      <w:marLeft w:val="0"/>
      <w:marRight w:val="0"/>
      <w:marTop w:val="0"/>
      <w:marBottom w:val="0"/>
      <w:divBdr>
        <w:top w:val="none" w:sz="0" w:space="0" w:color="auto"/>
        <w:left w:val="none" w:sz="0" w:space="0" w:color="auto"/>
        <w:bottom w:val="none" w:sz="0" w:space="0" w:color="auto"/>
        <w:right w:val="none" w:sz="0" w:space="0" w:color="auto"/>
      </w:divBdr>
    </w:div>
    <w:div w:id="393360681">
      <w:bodyDiv w:val="1"/>
      <w:marLeft w:val="0"/>
      <w:marRight w:val="0"/>
      <w:marTop w:val="0"/>
      <w:marBottom w:val="0"/>
      <w:divBdr>
        <w:top w:val="none" w:sz="0" w:space="0" w:color="auto"/>
        <w:left w:val="none" w:sz="0" w:space="0" w:color="auto"/>
        <w:bottom w:val="none" w:sz="0" w:space="0" w:color="auto"/>
        <w:right w:val="none" w:sz="0" w:space="0" w:color="auto"/>
      </w:divBdr>
    </w:div>
    <w:div w:id="393431568">
      <w:bodyDiv w:val="1"/>
      <w:marLeft w:val="0"/>
      <w:marRight w:val="0"/>
      <w:marTop w:val="0"/>
      <w:marBottom w:val="0"/>
      <w:divBdr>
        <w:top w:val="none" w:sz="0" w:space="0" w:color="auto"/>
        <w:left w:val="none" w:sz="0" w:space="0" w:color="auto"/>
        <w:bottom w:val="none" w:sz="0" w:space="0" w:color="auto"/>
        <w:right w:val="none" w:sz="0" w:space="0" w:color="auto"/>
      </w:divBdr>
    </w:div>
    <w:div w:id="393550662">
      <w:bodyDiv w:val="1"/>
      <w:marLeft w:val="0"/>
      <w:marRight w:val="0"/>
      <w:marTop w:val="0"/>
      <w:marBottom w:val="0"/>
      <w:divBdr>
        <w:top w:val="none" w:sz="0" w:space="0" w:color="auto"/>
        <w:left w:val="none" w:sz="0" w:space="0" w:color="auto"/>
        <w:bottom w:val="none" w:sz="0" w:space="0" w:color="auto"/>
        <w:right w:val="none" w:sz="0" w:space="0" w:color="auto"/>
      </w:divBdr>
    </w:div>
    <w:div w:id="393625640">
      <w:bodyDiv w:val="1"/>
      <w:marLeft w:val="0"/>
      <w:marRight w:val="0"/>
      <w:marTop w:val="0"/>
      <w:marBottom w:val="0"/>
      <w:divBdr>
        <w:top w:val="none" w:sz="0" w:space="0" w:color="auto"/>
        <w:left w:val="none" w:sz="0" w:space="0" w:color="auto"/>
        <w:bottom w:val="none" w:sz="0" w:space="0" w:color="auto"/>
        <w:right w:val="none" w:sz="0" w:space="0" w:color="auto"/>
      </w:divBdr>
    </w:div>
    <w:div w:id="393704410">
      <w:bodyDiv w:val="1"/>
      <w:marLeft w:val="0"/>
      <w:marRight w:val="0"/>
      <w:marTop w:val="0"/>
      <w:marBottom w:val="0"/>
      <w:divBdr>
        <w:top w:val="none" w:sz="0" w:space="0" w:color="auto"/>
        <w:left w:val="none" w:sz="0" w:space="0" w:color="auto"/>
        <w:bottom w:val="none" w:sz="0" w:space="0" w:color="auto"/>
        <w:right w:val="none" w:sz="0" w:space="0" w:color="auto"/>
      </w:divBdr>
    </w:div>
    <w:div w:id="393745644">
      <w:bodyDiv w:val="1"/>
      <w:marLeft w:val="0"/>
      <w:marRight w:val="0"/>
      <w:marTop w:val="0"/>
      <w:marBottom w:val="0"/>
      <w:divBdr>
        <w:top w:val="none" w:sz="0" w:space="0" w:color="auto"/>
        <w:left w:val="none" w:sz="0" w:space="0" w:color="auto"/>
        <w:bottom w:val="none" w:sz="0" w:space="0" w:color="auto"/>
        <w:right w:val="none" w:sz="0" w:space="0" w:color="auto"/>
      </w:divBdr>
    </w:div>
    <w:div w:id="393817773">
      <w:bodyDiv w:val="1"/>
      <w:marLeft w:val="0"/>
      <w:marRight w:val="0"/>
      <w:marTop w:val="0"/>
      <w:marBottom w:val="0"/>
      <w:divBdr>
        <w:top w:val="none" w:sz="0" w:space="0" w:color="auto"/>
        <w:left w:val="none" w:sz="0" w:space="0" w:color="auto"/>
        <w:bottom w:val="none" w:sz="0" w:space="0" w:color="auto"/>
        <w:right w:val="none" w:sz="0" w:space="0" w:color="auto"/>
      </w:divBdr>
    </w:div>
    <w:div w:id="393819178">
      <w:bodyDiv w:val="1"/>
      <w:marLeft w:val="0"/>
      <w:marRight w:val="0"/>
      <w:marTop w:val="0"/>
      <w:marBottom w:val="0"/>
      <w:divBdr>
        <w:top w:val="none" w:sz="0" w:space="0" w:color="auto"/>
        <w:left w:val="none" w:sz="0" w:space="0" w:color="auto"/>
        <w:bottom w:val="none" w:sz="0" w:space="0" w:color="auto"/>
        <w:right w:val="none" w:sz="0" w:space="0" w:color="auto"/>
      </w:divBdr>
    </w:div>
    <w:div w:id="393821583">
      <w:bodyDiv w:val="1"/>
      <w:marLeft w:val="0"/>
      <w:marRight w:val="0"/>
      <w:marTop w:val="0"/>
      <w:marBottom w:val="0"/>
      <w:divBdr>
        <w:top w:val="none" w:sz="0" w:space="0" w:color="auto"/>
        <w:left w:val="none" w:sz="0" w:space="0" w:color="auto"/>
        <w:bottom w:val="none" w:sz="0" w:space="0" w:color="auto"/>
        <w:right w:val="none" w:sz="0" w:space="0" w:color="auto"/>
      </w:divBdr>
    </w:div>
    <w:div w:id="393823496">
      <w:bodyDiv w:val="1"/>
      <w:marLeft w:val="0"/>
      <w:marRight w:val="0"/>
      <w:marTop w:val="0"/>
      <w:marBottom w:val="0"/>
      <w:divBdr>
        <w:top w:val="none" w:sz="0" w:space="0" w:color="auto"/>
        <w:left w:val="none" w:sz="0" w:space="0" w:color="auto"/>
        <w:bottom w:val="none" w:sz="0" w:space="0" w:color="auto"/>
        <w:right w:val="none" w:sz="0" w:space="0" w:color="auto"/>
      </w:divBdr>
    </w:div>
    <w:div w:id="393969495">
      <w:bodyDiv w:val="1"/>
      <w:marLeft w:val="0"/>
      <w:marRight w:val="0"/>
      <w:marTop w:val="0"/>
      <w:marBottom w:val="0"/>
      <w:divBdr>
        <w:top w:val="none" w:sz="0" w:space="0" w:color="auto"/>
        <w:left w:val="none" w:sz="0" w:space="0" w:color="auto"/>
        <w:bottom w:val="none" w:sz="0" w:space="0" w:color="auto"/>
        <w:right w:val="none" w:sz="0" w:space="0" w:color="auto"/>
      </w:divBdr>
    </w:div>
    <w:div w:id="394015053">
      <w:bodyDiv w:val="1"/>
      <w:marLeft w:val="0"/>
      <w:marRight w:val="0"/>
      <w:marTop w:val="0"/>
      <w:marBottom w:val="0"/>
      <w:divBdr>
        <w:top w:val="none" w:sz="0" w:space="0" w:color="auto"/>
        <w:left w:val="none" w:sz="0" w:space="0" w:color="auto"/>
        <w:bottom w:val="none" w:sz="0" w:space="0" w:color="auto"/>
        <w:right w:val="none" w:sz="0" w:space="0" w:color="auto"/>
      </w:divBdr>
    </w:div>
    <w:div w:id="394089963">
      <w:bodyDiv w:val="1"/>
      <w:marLeft w:val="0"/>
      <w:marRight w:val="0"/>
      <w:marTop w:val="0"/>
      <w:marBottom w:val="0"/>
      <w:divBdr>
        <w:top w:val="none" w:sz="0" w:space="0" w:color="auto"/>
        <w:left w:val="none" w:sz="0" w:space="0" w:color="auto"/>
        <w:bottom w:val="none" w:sz="0" w:space="0" w:color="auto"/>
        <w:right w:val="none" w:sz="0" w:space="0" w:color="auto"/>
      </w:divBdr>
    </w:div>
    <w:div w:id="394210053">
      <w:bodyDiv w:val="1"/>
      <w:marLeft w:val="0"/>
      <w:marRight w:val="0"/>
      <w:marTop w:val="0"/>
      <w:marBottom w:val="0"/>
      <w:divBdr>
        <w:top w:val="none" w:sz="0" w:space="0" w:color="auto"/>
        <w:left w:val="none" w:sz="0" w:space="0" w:color="auto"/>
        <w:bottom w:val="none" w:sz="0" w:space="0" w:color="auto"/>
        <w:right w:val="none" w:sz="0" w:space="0" w:color="auto"/>
      </w:divBdr>
    </w:div>
    <w:div w:id="394277918">
      <w:bodyDiv w:val="1"/>
      <w:marLeft w:val="0"/>
      <w:marRight w:val="0"/>
      <w:marTop w:val="0"/>
      <w:marBottom w:val="0"/>
      <w:divBdr>
        <w:top w:val="none" w:sz="0" w:space="0" w:color="auto"/>
        <w:left w:val="none" w:sz="0" w:space="0" w:color="auto"/>
        <w:bottom w:val="none" w:sz="0" w:space="0" w:color="auto"/>
        <w:right w:val="none" w:sz="0" w:space="0" w:color="auto"/>
      </w:divBdr>
    </w:div>
    <w:div w:id="394278441">
      <w:bodyDiv w:val="1"/>
      <w:marLeft w:val="0"/>
      <w:marRight w:val="0"/>
      <w:marTop w:val="0"/>
      <w:marBottom w:val="0"/>
      <w:divBdr>
        <w:top w:val="none" w:sz="0" w:space="0" w:color="auto"/>
        <w:left w:val="none" w:sz="0" w:space="0" w:color="auto"/>
        <w:bottom w:val="none" w:sz="0" w:space="0" w:color="auto"/>
        <w:right w:val="none" w:sz="0" w:space="0" w:color="auto"/>
      </w:divBdr>
    </w:div>
    <w:div w:id="394355192">
      <w:bodyDiv w:val="1"/>
      <w:marLeft w:val="0"/>
      <w:marRight w:val="0"/>
      <w:marTop w:val="0"/>
      <w:marBottom w:val="0"/>
      <w:divBdr>
        <w:top w:val="none" w:sz="0" w:space="0" w:color="auto"/>
        <w:left w:val="none" w:sz="0" w:space="0" w:color="auto"/>
        <w:bottom w:val="none" w:sz="0" w:space="0" w:color="auto"/>
        <w:right w:val="none" w:sz="0" w:space="0" w:color="auto"/>
      </w:divBdr>
    </w:div>
    <w:div w:id="394357175">
      <w:bodyDiv w:val="1"/>
      <w:marLeft w:val="0"/>
      <w:marRight w:val="0"/>
      <w:marTop w:val="0"/>
      <w:marBottom w:val="0"/>
      <w:divBdr>
        <w:top w:val="none" w:sz="0" w:space="0" w:color="auto"/>
        <w:left w:val="none" w:sz="0" w:space="0" w:color="auto"/>
        <w:bottom w:val="none" w:sz="0" w:space="0" w:color="auto"/>
        <w:right w:val="none" w:sz="0" w:space="0" w:color="auto"/>
      </w:divBdr>
    </w:div>
    <w:div w:id="394396023">
      <w:bodyDiv w:val="1"/>
      <w:marLeft w:val="0"/>
      <w:marRight w:val="0"/>
      <w:marTop w:val="0"/>
      <w:marBottom w:val="0"/>
      <w:divBdr>
        <w:top w:val="none" w:sz="0" w:space="0" w:color="auto"/>
        <w:left w:val="none" w:sz="0" w:space="0" w:color="auto"/>
        <w:bottom w:val="none" w:sz="0" w:space="0" w:color="auto"/>
        <w:right w:val="none" w:sz="0" w:space="0" w:color="auto"/>
      </w:divBdr>
    </w:div>
    <w:div w:id="394396923">
      <w:bodyDiv w:val="1"/>
      <w:marLeft w:val="0"/>
      <w:marRight w:val="0"/>
      <w:marTop w:val="0"/>
      <w:marBottom w:val="0"/>
      <w:divBdr>
        <w:top w:val="none" w:sz="0" w:space="0" w:color="auto"/>
        <w:left w:val="none" w:sz="0" w:space="0" w:color="auto"/>
        <w:bottom w:val="none" w:sz="0" w:space="0" w:color="auto"/>
        <w:right w:val="none" w:sz="0" w:space="0" w:color="auto"/>
      </w:divBdr>
    </w:div>
    <w:div w:id="394469123">
      <w:bodyDiv w:val="1"/>
      <w:marLeft w:val="0"/>
      <w:marRight w:val="0"/>
      <w:marTop w:val="0"/>
      <w:marBottom w:val="0"/>
      <w:divBdr>
        <w:top w:val="none" w:sz="0" w:space="0" w:color="auto"/>
        <w:left w:val="none" w:sz="0" w:space="0" w:color="auto"/>
        <w:bottom w:val="none" w:sz="0" w:space="0" w:color="auto"/>
        <w:right w:val="none" w:sz="0" w:space="0" w:color="auto"/>
      </w:divBdr>
    </w:div>
    <w:div w:id="394474945">
      <w:bodyDiv w:val="1"/>
      <w:marLeft w:val="0"/>
      <w:marRight w:val="0"/>
      <w:marTop w:val="0"/>
      <w:marBottom w:val="0"/>
      <w:divBdr>
        <w:top w:val="none" w:sz="0" w:space="0" w:color="auto"/>
        <w:left w:val="none" w:sz="0" w:space="0" w:color="auto"/>
        <w:bottom w:val="none" w:sz="0" w:space="0" w:color="auto"/>
        <w:right w:val="none" w:sz="0" w:space="0" w:color="auto"/>
      </w:divBdr>
    </w:div>
    <w:div w:id="394665536">
      <w:bodyDiv w:val="1"/>
      <w:marLeft w:val="0"/>
      <w:marRight w:val="0"/>
      <w:marTop w:val="0"/>
      <w:marBottom w:val="0"/>
      <w:divBdr>
        <w:top w:val="none" w:sz="0" w:space="0" w:color="auto"/>
        <w:left w:val="none" w:sz="0" w:space="0" w:color="auto"/>
        <w:bottom w:val="none" w:sz="0" w:space="0" w:color="auto"/>
        <w:right w:val="none" w:sz="0" w:space="0" w:color="auto"/>
      </w:divBdr>
    </w:div>
    <w:div w:id="394671904">
      <w:bodyDiv w:val="1"/>
      <w:marLeft w:val="0"/>
      <w:marRight w:val="0"/>
      <w:marTop w:val="0"/>
      <w:marBottom w:val="0"/>
      <w:divBdr>
        <w:top w:val="none" w:sz="0" w:space="0" w:color="auto"/>
        <w:left w:val="none" w:sz="0" w:space="0" w:color="auto"/>
        <w:bottom w:val="none" w:sz="0" w:space="0" w:color="auto"/>
        <w:right w:val="none" w:sz="0" w:space="0" w:color="auto"/>
      </w:divBdr>
    </w:div>
    <w:div w:id="394856998">
      <w:bodyDiv w:val="1"/>
      <w:marLeft w:val="0"/>
      <w:marRight w:val="0"/>
      <w:marTop w:val="0"/>
      <w:marBottom w:val="0"/>
      <w:divBdr>
        <w:top w:val="none" w:sz="0" w:space="0" w:color="auto"/>
        <w:left w:val="none" w:sz="0" w:space="0" w:color="auto"/>
        <w:bottom w:val="none" w:sz="0" w:space="0" w:color="auto"/>
        <w:right w:val="none" w:sz="0" w:space="0" w:color="auto"/>
      </w:divBdr>
    </w:div>
    <w:div w:id="395083071">
      <w:bodyDiv w:val="1"/>
      <w:marLeft w:val="0"/>
      <w:marRight w:val="0"/>
      <w:marTop w:val="0"/>
      <w:marBottom w:val="0"/>
      <w:divBdr>
        <w:top w:val="none" w:sz="0" w:space="0" w:color="auto"/>
        <w:left w:val="none" w:sz="0" w:space="0" w:color="auto"/>
        <w:bottom w:val="none" w:sz="0" w:space="0" w:color="auto"/>
        <w:right w:val="none" w:sz="0" w:space="0" w:color="auto"/>
      </w:divBdr>
    </w:div>
    <w:div w:id="395127966">
      <w:bodyDiv w:val="1"/>
      <w:marLeft w:val="0"/>
      <w:marRight w:val="0"/>
      <w:marTop w:val="0"/>
      <w:marBottom w:val="0"/>
      <w:divBdr>
        <w:top w:val="none" w:sz="0" w:space="0" w:color="auto"/>
        <w:left w:val="none" w:sz="0" w:space="0" w:color="auto"/>
        <w:bottom w:val="none" w:sz="0" w:space="0" w:color="auto"/>
        <w:right w:val="none" w:sz="0" w:space="0" w:color="auto"/>
      </w:divBdr>
    </w:div>
    <w:div w:id="395203354">
      <w:bodyDiv w:val="1"/>
      <w:marLeft w:val="0"/>
      <w:marRight w:val="0"/>
      <w:marTop w:val="0"/>
      <w:marBottom w:val="0"/>
      <w:divBdr>
        <w:top w:val="none" w:sz="0" w:space="0" w:color="auto"/>
        <w:left w:val="none" w:sz="0" w:space="0" w:color="auto"/>
        <w:bottom w:val="none" w:sz="0" w:space="0" w:color="auto"/>
        <w:right w:val="none" w:sz="0" w:space="0" w:color="auto"/>
      </w:divBdr>
    </w:div>
    <w:div w:id="395278943">
      <w:bodyDiv w:val="1"/>
      <w:marLeft w:val="0"/>
      <w:marRight w:val="0"/>
      <w:marTop w:val="0"/>
      <w:marBottom w:val="0"/>
      <w:divBdr>
        <w:top w:val="none" w:sz="0" w:space="0" w:color="auto"/>
        <w:left w:val="none" w:sz="0" w:space="0" w:color="auto"/>
        <w:bottom w:val="none" w:sz="0" w:space="0" w:color="auto"/>
        <w:right w:val="none" w:sz="0" w:space="0" w:color="auto"/>
      </w:divBdr>
    </w:div>
    <w:div w:id="395279693">
      <w:bodyDiv w:val="1"/>
      <w:marLeft w:val="0"/>
      <w:marRight w:val="0"/>
      <w:marTop w:val="0"/>
      <w:marBottom w:val="0"/>
      <w:divBdr>
        <w:top w:val="none" w:sz="0" w:space="0" w:color="auto"/>
        <w:left w:val="none" w:sz="0" w:space="0" w:color="auto"/>
        <w:bottom w:val="none" w:sz="0" w:space="0" w:color="auto"/>
        <w:right w:val="none" w:sz="0" w:space="0" w:color="auto"/>
      </w:divBdr>
    </w:div>
    <w:div w:id="395394104">
      <w:bodyDiv w:val="1"/>
      <w:marLeft w:val="0"/>
      <w:marRight w:val="0"/>
      <w:marTop w:val="0"/>
      <w:marBottom w:val="0"/>
      <w:divBdr>
        <w:top w:val="none" w:sz="0" w:space="0" w:color="auto"/>
        <w:left w:val="none" w:sz="0" w:space="0" w:color="auto"/>
        <w:bottom w:val="none" w:sz="0" w:space="0" w:color="auto"/>
        <w:right w:val="none" w:sz="0" w:space="0" w:color="auto"/>
      </w:divBdr>
    </w:div>
    <w:div w:id="395468415">
      <w:bodyDiv w:val="1"/>
      <w:marLeft w:val="0"/>
      <w:marRight w:val="0"/>
      <w:marTop w:val="0"/>
      <w:marBottom w:val="0"/>
      <w:divBdr>
        <w:top w:val="none" w:sz="0" w:space="0" w:color="auto"/>
        <w:left w:val="none" w:sz="0" w:space="0" w:color="auto"/>
        <w:bottom w:val="none" w:sz="0" w:space="0" w:color="auto"/>
        <w:right w:val="none" w:sz="0" w:space="0" w:color="auto"/>
      </w:divBdr>
    </w:div>
    <w:div w:id="395475333">
      <w:bodyDiv w:val="1"/>
      <w:marLeft w:val="0"/>
      <w:marRight w:val="0"/>
      <w:marTop w:val="0"/>
      <w:marBottom w:val="0"/>
      <w:divBdr>
        <w:top w:val="none" w:sz="0" w:space="0" w:color="auto"/>
        <w:left w:val="none" w:sz="0" w:space="0" w:color="auto"/>
        <w:bottom w:val="none" w:sz="0" w:space="0" w:color="auto"/>
        <w:right w:val="none" w:sz="0" w:space="0" w:color="auto"/>
      </w:divBdr>
    </w:div>
    <w:div w:id="395517072">
      <w:bodyDiv w:val="1"/>
      <w:marLeft w:val="0"/>
      <w:marRight w:val="0"/>
      <w:marTop w:val="0"/>
      <w:marBottom w:val="0"/>
      <w:divBdr>
        <w:top w:val="none" w:sz="0" w:space="0" w:color="auto"/>
        <w:left w:val="none" w:sz="0" w:space="0" w:color="auto"/>
        <w:bottom w:val="none" w:sz="0" w:space="0" w:color="auto"/>
        <w:right w:val="none" w:sz="0" w:space="0" w:color="auto"/>
      </w:divBdr>
    </w:div>
    <w:div w:id="395520313">
      <w:bodyDiv w:val="1"/>
      <w:marLeft w:val="0"/>
      <w:marRight w:val="0"/>
      <w:marTop w:val="0"/>
      <w:marBottom w:val="0"/>
      <w:divBdr>
        <w:top w:val="none" w:sz="0" w:space="0" w:color="auto"/>
        <w:left w:val="none" w:sz="0" w:space="0" w:color="auto"/>
        <w:bottom w:val="none" w:sz="0" w:space="0" w:color="auto"/>
        <w:right w:val="none" w:sz="0" w:space="0" w:color="auto"/>
      </w:divBdr>
    </w:div>
    <w:div w:id="395662309">
      <w:bodyDiv w:val="1"/>
      <w:marLeft w:val="0"/>
      <w:marRight w:val="0"/>
      <w:marTop w:val="0"/>
      <w:marBottom w:val="0"/>
      <w:divBdr>
        <w:top w:val="none" w:sz="0" w:space="0" w:color="auto"/>
        <w:left w:val="none" w:sz="0" w:space="0" w:color="auto"/>
        <w:bottom w:val="none" w:sz="0" w:space="0" w:color="auto"/>
        <w:right w:val="none" w:sz="0" w:space="0" w:color="auto"/>
      </w:divBdr>
    </w:div>
    <w:div w:id="395663991">
      <w:bodyDiv w:val="1"/>
      <w:marLeft w:val="0"/>
      <w:marRight w:val="0"/>
      <w:marTop w:val="0"/>
      <w:marBottom w:val="0"/>
      <w:divBdr>
        <w:top w:val="none" w:sz="0" w:space="0" w:color="auto"/>
        <w:left w:val="none" w:sz="0" w:space="0" w:color="auto"/>
        <w:bottom w:val="none" w:sz="0" w:space="0" w:color="auto"/>
        <w:right w:val="none" w:sz="0" w:space="0" w:color="auto"/>
      </w:divBdr>
    </w:div>
    <w:div w:id="395664263">
      <w:bodyDiv w:val="1"/>
      <w:marLeft w:val="0"/>
      <w:marRight w:val="0"/>
      <w:marTop w:val="0"/>
      <w:marBottom w:val="0"/>
      <w:divBdr>
        <w:top w:val="none" w:sz="0" w:space="0" w:color="auto"/>
        <w:left w:val="none" w:sz="0" w:space="0" w:color="auto"/>
        <w:bottom w:val="none" w:sz="0" w:space="0" w:color="auto"/>
        <w:right w:val="none" w:sz="0" w:space="0" w:color="auto"/>
      </w:divBdr>
    </w:div>
    <w:div w:id="395664311">
      <w:bodyDiv w:val="1"/>
      <w:marLeft w:val="0"/>
      <w:marRight w:val="0"/>
      <w:marTop w:val="0"/>
      <w:marBottom w:val="0"/>
      <w:divBdr>
        <w:top w:val="none" w:sz="0" w:space="0" w:color="auto"/>
        <w:left w:val="none" w:sz="0" w:space="0" w:color="auto"/>
        <w:bottom w:val="none" w:sz="0" w:space="0" w:color="auto"/>
        <w:right w:val="none" w:sz="0" w:space="0" w:color="auto"/>
      </w:divBdr>
    </w:div>
    <w:div w:id="395712136">
      <w:bodyDiv w:val="1"/>
      <w:marLeft w:val="0"/>
      <w:marRight w:val="0"/>
      <w:marTop w:val="0"/>
      <w:marBottom w:val="0"/>
      <w:divBdr>
        <w:top w:val="none" w:sz="0" w:space="0" w:color="auto"/>
        <w:left w:val="none" w:sz="0" w:space="0" w:color="auto"/>
        <w:bottom w:val="none" w:sz="0" w:space="0" w:color="auto"/>
        <w:right w:val="none" w:sz="0" w:space="0" w:color="auto"/>
      </w:divBdr>
    </w:div>
    <w:div w:id="395712161">
      <w:bodyDiv w:val="1"/>
      <w:marLeft w:val="0"/>
      <w:marRight w:val="0"/>
      <w:marTop w:val="0"/>
      <w:marBottom w:val="0"/>
      <w:divBdr>
        <w:top w:val="none" w:sz="0" w:space="0" w:color="auto"/>
        <w:left w:val="none" w:sz="0" w:space="0" w:color="auto"/>
        <w:bottom w:val="none" w:sz="0" w:space="0" w:color="auto"/>
        <w:right w:val="none" w:sz="0" w:space="0" w:color="auto"/>
      </w:divBdr>
    </w:div>
    <w:div w:id="395782634">
      <w:bodyDiv w:val="1"/>
      <w:marLeft w:val="0"/>
      <w:marRight w:val="0"/>
      <w:marTop w:val="0"/>
      <w:marBottom w:val="0"/>
      <w:divBdr>
        <w:top w:val="none" w:sz="0" w:space="0" w:color="auto"/>
        <w:left w:val="none" w:sz="0" w:space="0" w:color="auto"/>
        <w:bottom w:val="none" w:sz="0" w:space="0" w:color="auto"/>
        <w:right w:val="none" w:sz="0" w:space="0" w:color="auto"/>
      </w:divBdr>
    </w:div>
    <w:div w:id="395931770">
      <w:bodyDiv w:val="1"/>
      <w:marLeft w:val="0"/>
      <w:marRight w:val="0"/>
      <w:marTop w:val="0"/>
      <w:marBottom w:val="0"/>
      <w:divBdr>
        <w:top w:val="none" w:sz="0" w:space="0" w:color="auto"/>
        <w:left w:val="none" w:sz="0" w:space="0" w:color="auto"/>
        <w:bottom w:val="none" w:sz="0" w:space="0" w:color="auto"/>
        <w:right w:val="none" w:sz="0" w:space="0" w:color="auto"/>
      </w:divBdr>
    </w:div>
    <w:div w:id="395976312">
      <w:bodyDiv w:val="1"/>
      <w:marLeft w:val="0"/>
      <w:marRight w:val="0"/>
      <w:marTop w:val="0"/>
      <w:marBottom w:val="0"/>
      <w:divBdr>
        <w:top w:val="none" w:sz="0" w:space="0" w:color="auto"/>
        <w:left w:val="none" w:sz="0" w:space="0" w:color="auto"/>
        <w:bottom w:val="none" w:sz="0" w:space="0" w:color="auto"/>
        <w:right w:val="none" w:sz="0" w:space="0" w:color="auto"/>
      </w:divBdr>
    </w:div>
    <w:div w:id="396051756">
      <w:bodyDiv w:val="1"/>
      <w:marLeft w:val="0"/>
      <w:marRight w:val="0"/>
      <w:marTop w:val="0"/>
      <w:marBottom w:val="0"/>
      <w:divBdr>
        <w:top w:val="none" w:sz="0" w:space="0" w:color="auto"/>
        <w:left w:val="none" w:sz="0" w:space="0" w:color="auto"/>
        <w:bottom w:val="none" w:sz="0" w:space="0" w:color="auto"/>
        <w:right w:val="none" w:sz="0" w:space="0" w:color="auto"/>
      </w:divBdr>
    </w:div>
    <w:div w:id="396055677">
      <w:bodyDiv w:val="1"/>
      <w:marLeft w:val="0"/>
      <w:marRight w:val="0"/>
      <w:marTop w:val="0"/>
      <w:marBottom w:val="0"/>
      <w:divBdr>
        <w:top w:val="none" w:sz="0" w:space="0" w:color="auto"/>
        <w:left w:val="none" w:sz="0" w:space="0" w:color="auto"/>
        <w:bottom w:val="none" w:sz="0" w:space="0" w:color="auto"/>
        <w:right w:val="none" w:sz="0" w:space="0" w:color="auto"/>
      </w:divBdr>
    </w:div>
    <w:div w:id="396166865">
      <w:bodyDiv w:val="1"/>
      <w:marLeft w:val="0"/>
      <w:marRight w:val="0"/>
      <w:marTop w:val="0"/>
      <w:marBottom w:val="0"/>
      <w:divBdr>
        <w:top w:val="none" w:sz="0" w:space="0" w:color="auto"/>
        <w:left w:val="none" w:sz="0" w:space="0" w:color="auto"/>
        <w:bottom w:val="none" w:sz="0" w:space="0" w:color="auto"/>
        <w:right w:val="none" w:sz="0" w:space="0" w:color="auto"/>
      </w:divBdr>
    </w:div>
    <w:div w:id="396244838">
      <w:bodyDiv w:val="1"/>
      <w:marLeft w:val="0"/>
      <w:marRight w:val="0"/>
      <w:marTop w:val="0"/>
      <w:marBottom w:val="0"/>
      <w:divBdr>
        <w:top w:val="none" w:sz="0" w:space="0" w:color="auto"/>
        <w:left w:val="none" w:sz="0" w:space="0" w:color="auto"/>
        <w:bottom w:val="none" w:sz="0" w:space="0" w:color="auto"/>
        <w:right w:val="none" w:sz="0" w:space="0" w:color="auto"/>
      </w:divBdr>
    </w:div>
    <w:div w:id="396251068">
      <w:bodyDiv w:val="1"/>
      <w:marLeft w:val="0"/>
      <w:marRight w:val="0"/>
      <w:marTop w:val="0"/>
      <w:marBottom w:val="0"/>
      <w:divBdr>
        <w:top w:val="none" w:sz="0" w:space="0" w:color="auto"/>
        <w:left w:val="none" w:sz="0" w:space="0" w:color="auto"/>
        <w:bottom w:val="none" w:sz="0" w:space="0" w:color="auto"/>
        <w:right w:val="none" w:sz="0" w:space="0" w:color="auto"/>
      </w:divBdr>
    </w:div>
    <w:div w:id="396321613">
      <w:bodyDiv w:val="1"/>
      <w:marLeft w:val="0"/>
      <w:marRight w:val="0"/>
      <w:marTop w:val="0"/>
      <w:marBottom w:val="0"/>
      <w:divBdr>
        <w:top w:val="none" w:sz="0" w:space="0" w:color="auto"/>
        <w:left w:val="none" w:sz="0" w:space="0" w:color="auto"/>
        <w:bottom w:val="none" w:sz="0" w:space="0" w:color="auto"/>
        <w:right w:val="none" w:sz="0" w:space="0" w:color="auto"/>
      </w:divBdr>
    </w:div>
    <w:div w:id="396325091">
      <w:bodyDiv w:val="1"/>
      <w:marLeft w:val="0"/>
      <w:marRight w:val="0"/>
      <w:marTop w:val="0"/>
      <w:marBottom w:val="0"/>
      <w:divBdr>
        <w:top w:val="none" w:sz="0" w:space="0" w:color="auto"/>
        <w:left w:val="none" w:sz="0" w:space="0" w:color="auto"/>
        <w:bottom w:val="none" w:sz="0" w:space="0" w:color="auto"/>
        <w:right w:val="none" w:sz="0" w:space="0" w:color="auto"/>
      </w:divBdr>
    </w:div>
    <w:div w:id="396363947">
      <w:bodyDiv w:val="1"/>
      <w:marLeft w:val="0"/>
      <w:marRight w:val="0"/>
      <w:marTop w:val="0"/>
      <w:marBottom w:val="0"/>
      <w:divBdr>
        <w:top w:val="none" w:sz="0" w:space="0" w:color="auto"/>
        <w:left w:val="none" w:sz="0" w:space="0" w:color="auto"/>
        <w:bottom w:val="none" w:sz="0" w:space="0" w:color="auto"/>
        <w:right w:val="none" w:sz="0" w:space="0" w:color="auto"/>
      </w:divBdr>
    </w:div>
    <w:div w:id="396442646">
      <w:bodyDiv w:val="1"/>
      <w:marLeft w:val="0"/>
      <w:marRight w:val="0"/>
      <w:marTop w:val="0"/>
      <w:marBottom w:val="0"/>
      <w:divBdr>
        <w:top w:val="none" w:sz="0" w:space="0" w:color="auto"/>
        <w:left w:val="none" w:sz="0" w:space="0" w:color="auto"/>
        <w:bottom w:val="none" w:sz="0" w:space="0" w:color="auto"/>
        <w:right w:val="none" w:sz="0" w:space="0" w:color="auto"/>
      </w:divBdr>
    </w:div>
    <w:div w:id="396516251">
      <w:bodyDiv w:val="1"/>
      <w:marLeft w:val="0"/>
      <w:marRight w:val="0"/>
      <w:marTop w:val="0"/>
      <w:marBottom w:val="0"/>
      <w:divBdr>
        <w:top w:val="none" w:sz="0" w:space="0" w:color="auto"/>
        <w:left w:val="none" w:sz="0" w:space="0" w:color="auto"/>
        <w:bottom w:val="none" w:sz="0" w:space="0" w:color="auto"/>
        <w:right w:val="none" w:sz="0" w:space="0" w:color="auto"/>
      </w:divBdr>
    </w:div>
    <w:div w:id="396560466">
      <w:bodyDiv w:val="1"/>
      <w:marLeft w:val="0"/>
      <w:marRight w:val="0"/>
      <w:marTop w:val="0"/>
      <w:marBottom w:val="0"/>
      <w:divBdr>
        <w:top w:val="none" w:sz="0" w:space="0" w:color="auto"/>
        <w:left w:val="none" w:sz="0" w:space="0" w:color="auto"/>
        <w:bottom w:val="none" w:sz="0" w:space="0" w:color="auto"/>
        <w:right w:val="none" w:sz="0" w:space="0" w:color="auto"/>
      </w:divBdr>
    </w:div>
    <w:div w:id="396631278">
      <w:bodyDiv w:val="1"/>
      <w:marLeft w:val="0"/>
      <w:marRight w:val="0"/>
      <w:marTop w:val="0"/>
      <w:marBottom w:val="0"/>
      <w:divBdr>
        <w:top w:val="none" w:sz="0" w:space="0" w:color="auto"/>
        <w:left w:val="none" w:sz="0" w:space="0" w:color="auto"/>
        <w:bottom w:val="none" w:sz="0" w:space="0" w:color="auto"/>
        <w:right w:val="none" w:sz="0" w:space="0" w:color="auto"/>
      </w:divBdr>
    </w:div>
    <w:div w:id="396634495">
      <w:bodyDiv w:val="1"/>
      <w:marLeft w:val="0"/>
      <w:marRight w:val="0"/>
      <w:marTop w:val="0"/>
      <w:marBottom w:val="0"/>
      <w:divBdr>
        <w:top w:val="none" w:sz="0" w:space="0" w:color="auto"/>
        <w:left w:val="none" w:sz="0" w:space="0" w:color="auto"/>
        <w:bottom w:val="none" w:sz="0" w:space="0" w:color="auto"/>
        <w:right w:val="none" w:sz="0" w:space="0" w:color="auto"/>
      </w:divBdr>
    </w:div>
    <w:div w:id="396707618">
      <w:bodyDiv w:val="1"/>
      <w:marLeft w:val="0"/>
      <w:marRight w:val="0"/>
      <w:marTop w:val="0"/>
      <w:marBottom w:val="0"/>
      <w:divBdr>
        <w:top w:val="none" w:sz="0" w:space="0" w:color="auto"/>
        <w:left w:val="none" w:sz="0" w:space="0" w:color="auto"/>
        <w:bottom w:val="none" w:sz="0" w:space="0" w:color="auto"/>
        <w:right w:val="none" w:sz="0" w:space="0" w:color="auto"/>
      </w:divBdr>
    </w:div>
    <w:div w:id="396711858">
      <w:bodyDiv w:val="1"/>
      <w:marLeft w:val="0"/>
      <w:marRight w:val="0"/>
      <w:marTop w:val="0"/>
      <w:marBottom w:val="0"/>
      <w:divBdr>
        <w:top w:val="none" w:sz="0" w:space="0" w:color="auto"/>
        <w:left w:val="none" w:sz="0" w:space="0" w:color="auto"/>
        <w:bottom w:val="none" w:sz="0" w:space="0" w:color="auto"/>
        <w:right w:val="none" w:sz="0" w:space="0" w:color="auto"/>
      </w:divBdr>
    </w:div>
    <w:div w:id="396779865">
      <w:bodyDiv w:val="1"/>
      <w:marLeft w:val="0"/>
      <w:marRight w:val="0"/>
      <w:marTop w:val="0"/>
      <w:marBottom w:val="0"/>
      <w:divBdr>
        <w:top w:val="none" w:sz="0" w:space="0" w:color="auto"/>
        <w:left w:val="none" w:sz="0" w:space="0" w:color="auto"/>
        <w:bottom w:val="none" w:sz="0" w:space="0" w:color="auto"/>
        <w:right w:val="none" w:sz="0" w:space="0" w:color="auto"/>
      </w:divBdr>
    </w:div>
    <w:div w:id="396781304">
      <w:bodyDiv w:val="1"/>
      <w:marLeft w:val="0"/>
      <w:marRight w:val="0"/>
      <w:marTop w:val="0"/>
      <w:marBottom w:val="0"/>
      <w:divBdr>
        <w:top w:val="none" w:sz="0" w:space="0" w:color="auto"/>
        <w:left w:val="none" w:sz="0" w:space="0" w:color="auto"/>
        <w:bottom w:val="none" w:sz="0" w:space="0" w:color="auto"/>
        <w:right w:val="none" w:sz="0" w:space="0" w:color="auto"/>
      </w:divBdr>
    </w:div>
    <w:div w:id="396787123">
      <w:bodyDiv w:val="1"/>
      <w:marLeft w:val="0"/>
      <w:marRight w:val="0"/>
      <w:marTop w:val="0"/>
      <w:marBottom w:val="0"/>
      <w:divBdr>
        <w:top w:val="none" w:sz="0" w:space="0" w:color="auto"/>
        <w:left w:val="none" w:sz="0" w:space="0" w:color="auto"/>
        <w:bottom w:val="none" w:sz="0" w:space="0" w:color="auto"/>
        <w:right w:val="none" w:sz="0" w:space="0" w:color="auto"/>
      </w:divBdr>
    </w:div>
    <w:div w:id="396900749">
      <w:bodyDiv w:val="1"/>
      <w:marLeft w:val="0"/>
      <w:marRight w:val="0"/>
      <w:marTop w:val="0"/>
      <w:marBottom w:val="0"/>
      <w:divBdr>
        <w:top w:val="none" w:sz="0" w:space="0" w:color="auto"/>
        <w:left w:val="none" w:sz="0" w:space="0" w:color="auto"/>
        <w:bottom w:val="none" w:sz="0" w:space="0" w:color="auto"/>
        <w:right w:val="none" w:sz="0" w:space="0" w:color="auto"/>
      </w:divBdr>
    </w:div>
    <w:div w:id="397019420">
      <w:bodyDiv w:val="1"/>
      <w:marLeft w:val="0"/>
      <w:marRight w:val="0"/>
      <w:marTop w:val="0"/>
      <w:marBottom w:val="0"/>
      <w:divBdr>
        <w:top w:val="none" w:sz="0" w:space="0" w:color="auto"/>
        <w:left w:val="none" w:sz="0" w:space="0" w:color="auto"/>
        <w:bottom w:val="none" w:sz="0" w:space="0" w:color="auto"/>
        <w:right w:val="none" w:sz="0" w:space="0" w:color="auto"/>
      </w:divBdr>
    </w:div>
    <w:div w:id="397091520">
      <w:bodyDiv w:val="1"/>
      <w:marLeft w:val="0"/>
      <w:marRight w:val="0"/>
      <w:marTop w:val="0"/>
      <w:marBottom w:val="0"/>
      <w:divBdr>
        <w:top w:val="none" w:sz="0" w:space="0" w:color="auto"/>
        <w:left w:val="none" w:sz="0" w:space="0" w:color="auto"/>
        <w:bottom w:val="none" w:sz="0" w:space="0" w:color="auto"/>
        <w:right w:val="none" w:sz="0" w:space="0" w:color="auto"/>
      </w:divBdr>
    </w:div>
    <w:div w:id="397097323">
      <w:bodyDiv w:val="1"/>
      <w:marLeft w:val="0"/>
      <w:marRight w:val="0"/>
      <w:marTop w:val="0"/>
      <w:marBottom w:val="0"/>
      <w:divBdr>
        <w:top w:val="none" w:sz="0" w:space="0" w:color="auto"/>
        <w:left w:val="none" w:sz="0" w:space="0" w:color="auto"/>
        <w:bottom w:val="none" w:sz="0" w:space="0" w:color="auto"/>
        <w:right w:val="none" w:sz="0" w:space="0" w:color="auto"/>
      </w:divBdr>
    </w:div>
    <w:div w:id="397174596">
      <w:bodyDiv w:val="1"/>
      <w:marLeft w:val="0"/>
      <w:marRight w:val="0"/>
      <w:marTop w:val="0"/>
      <w:marBottom w:val="0"/>
      <w:divBdr>
        <w:top w:val="none" w:sz="0" w:space="0" w:color="auto"/>
        <w:left w:val="none" w:sz="0" w:space="0" w:color="auto"/>
        <w:bottom w:val="none" w:sz="0" w:space="0" w:color="auto"/>
        <w:right w:val="none" w:sz="0" w:space="0" w:color="auto"/>
      </w:divBdr>
    </w:div>
    <w:div w:id="397217556">
      <w:bodyDiv w:val="1"/>
      <w:marLeft w:val="0"/>
      <w:marRight w:val="0"/>
      <w:marTop w:val="0"/>
      <w:marBottom w:val="0"/>
      <w:divBdr>
        <w:top w:val="none" w:sz="0" w:space="0" w:color="auto"/>
        <w:left w:val="none" w:sz="0" w:space="0" w:color="auto"/>
        <w:bottom w:val="none" w:sz="0" w:space="0" w:color="auto"/>
        <w:right w:val="none" w:sz="0" w:space="0" w:color="auto"/>
      </w:divBdr>
    </w:div>
    <w:div w:id="397290141">
      <w:bodyDiv w:val="1"/>
      <w:marLeft w:val="0"/>
      <w:marRight w:val="0"/>
      <w:marTop w:val="0"/>
      <w:marBottom w:val="0"/>
      <w:divBdr>
        <w:top w:val="none" w:sz="0" w:space="0" w:color="auto"/>
        <w:left w:val="none" w:sz="0" w:space="0" w:color="auto"/>
        <w:bottom w:val="none" w:sz="0" w:space="0" w:color="auto"/>
        <w:right w:val="none" w:sz="0" w:space="0" w:color="auto"/>
      </w:divBdr>
    </w:div>
    <w:div w:id="397290346">
      <w:bodyDiv w:val="1"/>
      <w:marLeft w:val="0"/>
      <w:marRight w:val="0"/>
      <w:marTop w:val="0"/>
      <w:marBottom w:val="0"/>
      <w:divBdr>
        <w:top w:val="none" w:sz="0" w:space="0" w:color="auto"/>
        <w:left w:val="none" w:sz="0" w:space="0" w:color="auto"/>
        <w:bottom w:val="none" w:sz="0" w:space="0" w:color="auto"/>
        <w:right w:val="none" w:sz="0" w:space="0" w:color="auto"/>
      </w:divBdr>
    </w:div>
    <w:div w:id="397364167">
      <w:bodyDiv w:val="1"/>
      <w:marLeft w:val="0"/>
      <w:marRight w:val="0"/>
      <w:marTop w:val="0"/>
      <w:marBottom w:val="0"/>
      <w:divBdr>
        <w:top w:val="none" w:sz="0" w:space="0" w:color="auto"/>
        <w:left w:val="none" w:sz="0" w:space="0" w:color="auto"/>
        <w:bottom w:val="none" w:sz="0" w:space="0" w:color="auto"/>
        <w:right w:val="none" w:sz="0" w:space="0" w:color="auto"/>
      </w:divBdr>
    </w:div>
    <w:div w:id="397365664">
      <w:bodyDiv w:val="1"/>
      <w:marLeft w:val="0"/>
      <w:marRight w:val="0"/>
      <w:marTop w:val="0"/>
      <w:marBottom w:val="0"/>
      <w:divBdr>
        <w:top w:val="none" w:sz="0" w:space="0" w:color="auto"/>
        <w:left w:val="none" w:sz="0" w:space="0" w:color="auto"/>
        <w:bottom w:val="none" w:sz="0" w:space="0" w:color="auto"/>
        <w:right w:val="none" w:sz="0" w:space="0" w:color="auto"/>
      </w:divBdr>
    </w:div>
    <w:div w:id="397410731">
      <w:bodyDiv w:val="1"/>
      <w:marLeft w:val="0"/>
      <w:marRight w:val="0"/>
      <w:marTop w:val="0"/>
      <w:marBottom w:val="0"/>
      <w:divBdr>
        <w:top w:val="none" w:sz="0" w:space="0" w:color="auto"/>
        <w:left w:val="none" w:sz="0" w:space="0" w:color="auto"/>
        <w:bottom w:val="none" w:sz="0" w:space="0" w:color="auto"/>
        <w:right w:val="none" w:sz="0" w:space="0" w:color="auto"/>
      </w:divBdr>
    </w:div>
    <w:div w:id="397435486">
      <w:bodyDiv w:val="1"/>
      <w:marLeft w:val="0"/>
      <w:marRight w:val="0"/>
      <w:marTop w:val="0"/>
      <w:marBottom w:val="0"/>
      <w:divBdr>
        <w:top w:val="none" w:sz="0" w:space="0" w:color="auto"/>
        <w:left w:val="none" w:sz="0" w:space="0" w:color="auto"/>
        <w:bottom w:val="none" w:sz="0" w:space="0" w:color="auto"/>
        <w:right w:val="none" w:sz="0" w:space="0" w:color="auto"/>
      </w:divBdr>
    </w:div>
    <w:div w:id="397477190">
      <w:bodyDiv w:val="1"/>
      <w:marLeft w:val="0"/>
      <w:marRight w:val="0"/>
      <w:marTop w:val="0"/>
      <w:marBottom w:val="0"/>
      <w:divBdr>
        <w:top w:val="none" w:sz="0" w:space="0" w:color="auto"/>
        <w:left w:val="none" w:sz="0" w:space="0" w:color="auto"/>
        <w:bottom w:val="none" w:sz="0" w:space="0" w:color="auto"/>
        <w:right w:val="none" w:sz="0" w:space="0" w:color="auto"/>
      </w:divBdr>
    </w:div>
    <w:div w:id="397481149">
      <w:bodyDiv w:val="1"/>
      <w:marLeft w:val="0"/>
      <w:marRight w:val="0"/>
      <w:marTop w:val="0"/>
      <w:marBottom w:val="0"/>
      <w:divBdr>
        <w:top w:val="none" w:sz="0" w:space="0" w:color="auto"/>
        <w:left w:val="none" w:sz="0" w:space="0" w:color="auto"/>
        <w:bottom w:val="none" w:sz="0" w:space="0" w:color="auto"/>
        <w:right w:val="none" w:sz="0" w:space="0" w:color="auto"/>
      </w:divBdr>
    </w:div>
    <w:div w:id="397628529">
      <w:bodyDiv w:val="1"/>
      <w:marLeft w:val="0"/>
      <w:marRight w:val="0"/>
      <w:marTop w:val="0"/>
      <w:marBottom w:val="0"/>
      <w:divBdr>
        <w:top w:val="none" w:sz="0" w:space="0" w:color="auto"/>
        <w:left w:val="none" w:sz="0" w:space="0" w:color="auto"/>
        <w:bottom w:val="none" w:sz="0" w:space="0" w:color="auto"/>
        <w:right w:val="none" w:sz="0" w:space="0" w:color="auto"/>
      </w:divBdr>
    </w:div>
    <w:div w:id="397829044">
      <w:bodyDiv w:val="1"/>
      <w:marLeft w:val="0"/>
      <w:marRight w:val="0"/>
      <w:marTop w:val="0"/>
      <w:marBottom w:val="0"/>
      <w:divBdr>
        <w:top w:val="none" w:sz="0" w:space="0" w:color="auto"/>
        <w:left w:val="none" w:sz="0" w:space="0" w:color="auto"/>
        <w:bottom w:val="none" w:sz="0" w:space="0" w:color="auto"/>
        <w:right w:val="none" w:sz="0" w:space="0" w:color="auto"/>
      </w:divBdr>
    </w:div>
    <w:div w:id="397939656">
      <w:bodyDiv w:val="1"/>
      <w:marLeft w:val="0"/>
      <w:marRight w:val="0"/>
      <w:marTop w:val="0"/>
      <w:marBottom w:val="0"/>
      <w:divBdr>
        <w:top w:val="none" w:sz="0" w:space="0" w:color="auto"/>
        <w:left w:val="none" w:sz="0" w:space="0" w:color="auto"/>
        <w:bottom w:val="none" w:sz="0" w:space="0" w:color="auto"/>
        <w:right w:val="none" w:sz="0" w:space="0" w:color="auto"/>
      </w:divBdr>
    </w:div>
    <w:div w:id="397945120">
      <w:bodyDiv w:val="1"/>
      <w:marLeft w:val="0"/>
      <w:marRight w:val="0"/>
      <w:marTop w:val="0"/>
      <w:marBottom w:val="0"/>
      <w:divBdr>
        <w:top w:val="none" w:sz="0" w:space="0" w:color="auto"/>
        <w:left w:val="none" w:sz="0" w:space="0" w:color="auto"/>
        <w:bottom w:val="none" w:sz="0" w:space="0" w:color="auto"/>
        <w:right w:val="none" w:sz="0" w:space="0" w:color="auto"/>
      </w:divBdr>
    </w:div>
    <w:div w:id="397945425">
      <w:bodyDiv w:val="1"/>
      <w:marLeft w:val="0"/>
      <w:marRight w:val="0"/>
      <w:marTop w:val="0"/>
      <w:marBottom w:val="0"/>
      <w:divBdr>
        <w:top w:val="none" w:sz="0" w:space="0" w:color="auto"/>
        <w:left w:val="none" w:sz="0" w:space="0" w:color="auto"/>
        <w:bottom w:val="none" w:sz="0" w:space="0" w:color="auto"/>
        <w:right w:val="none" w:sz="0" w:space="0" w:color="auto"/>
      </w:divBdr>
    </w:div>
    <w:div w:id="398095311">
      <w:bodyDiv w:val="1"/>
      <w:marLeft w:val="0"/>
      <w:marRight w:val="0"/>
      <w:marTop w:val="0"/>
      <w:marBottom w:val="0"/>
      <w:divBdr>
        <w:top w:val="none" w:sz="0" w:space="0" w:color="auto"/>
        <w:left w:val="none" w:sz="0" w:space="0" w:color="auto"/>
        <w:bottom w:val="none" w:sz="0" w:space="0" w:color="auto"/>
        <w:right w:val="none" w:sz="0" w:space="0" w:color="auto"/>
      </w:divBdr>
    </w:div>
    <w:div w:id="398214251">
      <w:bodyDiv w:val="1"/>
      <w:marLeft w:val="0"/>
      <w:marRight w:val="0"/>
      <w:marTop w:val="0"/>
      <w:marBottom w:val="0"/>
      <w:divBdr>
        <w:top w:val="none" w:sz="0" w:space="0" w:color="auto"/>
        <w:left w:val="none" w:sz="0" w:space="0" w:color="auto"/>
        <w:bottom w:val="none" w:sz="0" w:space="0" w:color="auto"/>
        <w:right w:val="none" w:sz="0" w:space="0" w:color="auto"/>
      </w:divBdr>
    </w:div>
    <w:div w:id="398285914">
      <w:bodyDiv w:val="1"/>
      <w:marLeft w:val="0"/>
      <w:marRight w:val="0"/>
      <w:marTop w:val="0"/>
      <w:marBottom w:val="0"/>
      <w:divBdr>
        <w:top w:val="none" w:sz="0" w:space="0" w:color="auto"/>
        <w:left w:val="none" w:sz="0" w:space="0" w:color="auto"/>
        <w:bottom w:val="none" w:sz="0" w:space="0" w:color="auto"/>
        <w:right w:val="none" w:sz="0" w:space="0" w:color="auto"/>
      </w:divBdr>
    </w:div>
    <w:div w:id="398291993">
      <w:bodyDiv w:val="1"/>
      <w:marLeft w:val="0"/>
      <w:marRight w:val="0"/>
      <w:marTop w:val="0"/>
      <w:marBottom w:val="0"/>
      <w:divBdr>
        <w:top w:val="none" w:sz="0" w:space="0" w:color="auto"/>
        <w:left w:val="none" w:sz="0" w:space="0" w:color="auto"/>
        <w:bottom w:val="none" w:sz="0" w:space="0" w:color="auto"/>
        <w:right w:val="none" w:sz="0" w:space="0" w:color="auto"/>
      </w:divBdr>
    </w:div>
    <w:div w:id="398402345">
      <w:bodyDiv w:val="1"/>
      <w:marLeft w:val="0"/>
      <w:marRight w:val="0"/>
      <w:marTop w:val="0"/>
      <w:marBottom w:val="0"/>
      <w:divBdr>
        <w:top w:val="none" w:sz="0" w:space="0" w:color="auto"/>
        <w:left w:val="none" w:sz="0" w:space="0" w:color="auto"/>
        <w:bottom w:val="none" w:sz="0" w:space="0" w:color="auto"/>
        <w:right w:val="none" w:sz="0" w:space="0" w:color="auto"/>
      </w:divBdr>
    </w:div>
    <w:div w:id="398479631">
      <w:bodyDiv w:val="1"/>
      <w:marLeft w:val="0"/>
      <w:marRight w:val="0"/>
      <w:marTop w:val="0"/>
      <w:marBottom w:val="0"/>
      <w:divBdr>
        <w:top w:val="none" w:sz="0" w:space="0" w:color="auto"/>
        <w:left w:val="none" w:sz="0" w:space="0" w:color="auto"/>
        <w:bottom w:val="none" w:sz="0" w:space="0" w:color="auto"/>
        <w:right w:val="none" w:sz="0" w:space="0" w:color="auto"/>
      </w:divBdr>
    </w:div>
    <w:div w:id="398483877">
      <w:bodyDiv w:val="1"/>
      <w:marLeft w:val="0"/>
      <w:marRight w:val="0"/>
      <w:marTop w:val="0"/>
      <w:marBottom w:val="0"/>
      <w:divBdr>
        <w:top w:val="none" w:sz="0" w:space="0" w:color="auto"/>
        <w:left w:val="none" w:sz="0" w:space="0" w:color="auto"/>
        <w:bottom w:val="none" w:sz="0" w:space="0" w:color="auto"/>
        <w:right w:val="none" w:sz="0" w:space="0" w:color="auto"/>
      </w:divBdr>
    </w:div>
    <w:div w:id="398485555">
      <w:bodyDiv w:val="1"/>
      <w:marLeft w:val="0"/>
      <w:marRight w:val="0"/>
      <w:marTop w:val="0"/>
      <w:marBottom w:val="0"/>
      <w:divBdr>
        <w:top w:val="none" w:sz="0" w:space="0" w:color="auto"/>
        <w:left w:val="none" w:sz="0" w:space="0" w:color="auto"/>
        <w:bottom w:val="none" w:sz="0" w:space="0" w:color="auto"/>
        <w:right w:val="none" w:sz="0" w:space="0" w:color="auto"/>
      </w:divBdr>
    </w:div>
    <w:div w:id="398601453">
      <w:bodyDiv w:val="1"/>
      <w:marLeft w:val="0"/>
      <w:marRight w:val="0"/>
      <w:marTop w:val="0"/>
      <w:marBottom w:val="0"/>
      <w:divBdr>
        <w:top w:val="none" w:sz="0" w:space="0" w:color="auto"/>
        <w:left w:val="none" w:sz="0" w:space="0" w:color="auto"/>
        <w:bottom w:val="none" w:sz="0" w:space="0" w:color="auto"/>
        <w:right w:val="none" w:sz="0" w:space="0" w:color="auto"/>
      </w:divBdr>
    </w:div>
    <w:div w:id="398671821">
      <w:bodyDiv w:val="1"/>
      <w:marLeft w:val="0"/>
      <w:marRight w:val="0"/>
      <w:marTop w:val="0"/>
      <w:marBottom w:val="0"/>
      <w:divBdr>
        <w:top w:val="none" w:sz="0" w:space="0" w:color="auto"/>
        <w:left w:val="none" w:sz="0" w:space="0" w:color="auto"/>
        <w:bottom w:val="none" w:sz="0" w:space="0" w:color="auto"/>
        <w:right w:val="none" w:sz="0" w:space="0" w:color="auto"/>
      </w:divBdr>
    </w:div>
    <w:div w:id="398749161">
      <w:bodyDiv w:val="1"/>
      <w:marLeft w:val="0"/>
      <w:marRight w:val="0"/>
      <w:marTop w:val="0"/>
      <w:marBottom w:val="0"/>
      <w:divBdr>
        <w:top w:val="none" w:sz="0" w:space="0" w:color="auto"/>
        <w:left w:val="none" w:sz="0" w:space="0" w:color="auto"/>
        <w:bottom w:val="none" w:sz="0" w:space="0" w:color="auto"/>
        <w:right w:val="none" w:sz="0" w:space="0" w:color="auto"/>
      </w:divBdr>
    </w:div>
    <w:div w:id="398792683">
      <w:bodyDiv w:val="1"/>
      <w:marLeft w:val="0"/>
      <w:marRight w:val="0"/>
      <w:marTop w:val="0"/>
      <w:marBottom w:val="0"/>
      <w:divBdr>
        <w:top w:val="none" w:sz="0" w:space="0" w:color="auto"/>
        <w:left w:val="none" w:sz="0" w:space="0" w:color="auto"/>
        <w:bottom w:val="none" w:sz="0" w:space="0" w:color="auto"/>
        <w:right w:val="none" w:sz="0" w:space="0" w:color="auto"/>
      </w:divBdr>
    </w:div>
    <w:div w:id="398794645">
      <w:bodyDiv w:val="1"/>
      <w:marLeft w:val="0"/>
      <w:marRight w:val="0"/>
      <w:marTop w:val="0"/>
      <w:marBottom w:val="0"/>
      <w:divBdr>
        <w:top w:val="none" w:sz="0" w:space="0" w:color="auto"/>
        <w:left w:val="none" w:sz="0" w:space="0" w:color="auto"/>
        <w:bottom w:val="none" w:sz="0" w:space="0" w:color="auto"/>
        <w:right w:val="none" w:sz="0" w:space="0" w:color="auto"/>
      </w:divBdr>
    </w:div>
    <w:div w:id="398796869">
      <w:bodyDiv w:val="1"/>
      <w:marLeft w:val="0"/>
      <w:marRight w:val="0"/>
      <w:marTop w:val="0"/>
      <w:marBottom w:val="0"/>
      <w:divBdr>
        <w:top w:val="none" w:sz="0" w:space="0" w:color="auto"/>
        <w:left w:val="none" w:sz="0" w:space="0" w:color="auto"/>
        <w:bottom w:val="none" w:sz="0" w:space="0" w:color="auto"/>
        <w:right w:val="none" w:sz="0" w:space="0" w:color="auto"/>
      </w:divBdr>
    </w:div>
    <w:div w:id="398945434">
      <w:bodyDiv w:val="1"/>
      <w:marLeft w:val="0"/>
      <w:marRight w:val="0"/>
      <w:marTop w:val="0"/>
      <w:marBottom w:val="0"/>
      <w:divBdr>
        <w:top w:val="none" w:sz="0" w:space="0" w:color="auto"/>
        <w:left w:val="none" w:sz="0" w:space="0" w:color="auto"/>
        <w:bottom w:val="none" w:sz="0" w:space="0" w:color="auto"/>
        <w:right w:val="none" w:sz="0" w:space="0" w:color="auto"/>
      </w:divBdr>
    </w:div>
    <w:div w:id="399134599">
      <w:bodyDiv w:val="1"/>
      <w:marLeft w:val="0"/>
      <w:marRight w:val="0"/>
      <w:marTop w:val="0"/>
      <w:marBottom w:val="0"/>
      <w:divBdr>
        <w:top w:val="none" w:sz="0" w:space="0" w:color="auto"/>
        <w:left w:val="none" w:sz="0" w:space="0" w:color="auto"/>
        <w:bottom w:val="none" w:sz="0" w:space="0" w:color="auto"/>
        <w:right w:val="none" w:sz="0" w:space="0" w:color="auto"/>
      </w:divBdr>
    </w:div>
    <w:div w:id="399136885">
      <w:bodyDiv w:val="1"/>
      <w:marLeft w:val="0"/>
      <w:marRight w:val="0"/>
      <w:marTop w:val="0"/>
      <w:marBottom w:val="0"/>
      <w:divBdr>
        <w:top w:val="none" w:sz="0" w:space="0" w:color="auto"/>
        <w:left w:val="none" w:sz="0" w:space="0" w:color="auto"/>
        <w:bottom w:val="none" w:sz="0" w:space="0" w:color="auto"/>
        <w:right w:val="none" w:sz="0" w:space="0" w:color="auto"/>
      </w:divBdr>
    </w:div>
    <w:div w:id="399139516">
      <w:bodyDiv w:val="1"/>
      <w:marLeft w:val="0"/>
      <w:marRight w:val="0"/>
      <w:marTop w:val="0"/>
      <w:marBottom w:val="0"/>
      <w:divBdr>
        <w:top w:val="none" w:sz="0" w:space="0" w:color="auto"/>
        <w:left w:val="none" w:sz="0" w:space="0" w:color="auto"/>
        <w:bottom w:val="none" w:sz="0" w:space="0" w:color="auto"/>
        <w:right w:val="none" w:sz="0" w:space="0" w:color="auto"/>
      </w:divBdr>
    </w:div>
    <w:div w:id="399250896">
      <w:bodyDiv w:val="1"/>
      <w:marLeft w:val="0"/>
      <w:marRight w:val="0"/>
      <w:marTop w:val="0"/>
      <w:marBottom w:val="0"/>
      <w:divBdr>
        <w:top w:val="none" w:sz="0" w:space="0" w:color="auto"/>
        <w:left w:val="none" w:sz="0" w:space="0" w:color="auto"/>
        <w:bottom w:val="none" w:sz="0" w:space="0" w:color="auto"/>
        <w:right w:val="none" w:sz="0" w:space="0" w:color="auto"/>
      </w:divBdr>
    </w:div>
    <w:div w:id="399252003">
      <w:bodyDiv w:val="1"/>
      <w:marLeft w:val="0"/>
      <w:marRight w:val="0"/>
      <w:marTop w:val="0"/>
      <w:marBottom w:val="0"/>
      <w:divBdr>
        <w:top w:val="none" w:sz="0" w:space="0" w:color="auto"/>
        <w:left w:val="none" w:sz="0" w:space="0" w:color="auto"/>
        <w:bottom w:val="none" w:sz="0" w:space="0" w:color="auto"/>
        <w:right w:val="none" w:sz="0" w:space="0" w:color="auto"/>
      </w:divBdr>
    </w:div>
    <w:div w:id="399252726">
      <w:bodyDiv w:val="1"/>
      <w:marLeft w:val="0"/>
      <w:marRight w:val="0"/>
      <w:marTop w:val="0"/>
      <w:marBottom w:val="0"/>
      <w:divBdr>
        <w:top w:val="none" w:sz="0" w:space="0" w:color="auto"/>
        <w:left w:val="none" w:sz="0" w:space="0" w:color="auto"/>
        <w:bottom w:val="none" w:sz="0" w:space="0" w:color="auto"/>
        <w:right w:val="none" w:sz="0" w:space="0" w:color="auto"/>
      </w:divBdr>
    </w:div>
    <w:div w:id="399252828">
      <w:bodyDiv w:val="1"/>
      <w:marLeft w:val="0"/>
      <w:marRight w:val="0"/>
      <w:marTop w:val="0"/>
      <w:marBottom w:val="0"/>
      <w:divBdr>
        <w:top w:val="none" w:sz="0" w:space="0" w:color="auto"/>
        <w:left w:val="none" w:sz="0" w:space="0" w:color="auto"/>
        <w:bottom w:val="none" w:sz="0" w:space="0" w:color="auto"/>
        <w:right w:val="none" w:sz="0" w:space="0" w:color="auto"/>
      </w:divBdr>
    </w:div>
    <w:div w:id="399329733">
      <w:bodyDiv w:val="1"/>
      <w:marLeft w:val="0"/>
      <w:marRight w:val="0"/>
      <w:marTop w:val="0"/>
      <w:marBottom w:val="0"/>
      <w:divBdr>
        <w:top w:val="none" w:sz="0" w:space="0" w:color="auto"/>
        <w:left w:val="none" w:sz="0" w:space="0" w:color="auto"/>
        <w:bottom w:val="none" w:sz="0" w:space="0" w:color="auto"/>
        <w:right w:val="none" w:sz="0" w:space="0" w:color="auto"/>
      </w:divBdr>
    </w:div>
    <w:div w:id="399401293">
      <w:bodyDiv w:val="1"/>
      <w:marLeft w:val="0"/>
      <w:marRight w:val="0"/>
      <w:marTop w:val="0"/>
      <w:marBottom w:val="0"/>
      <w:divBdr>
        <w:top w:val="none" w:sz="0" w:space="0" w:color="auto"/>
        <w:left w:val="none" w:sz="0" w:space="0" w:color="auto"/>
        <w:bottom w:val="none" w:sz="0" w:space="0" w:color="auto"/>
        <w:right w:val="none" w:sz="0" w:space="0" w:color="auto"/>
      </w:divBdr>
    </w:div>
    <w:div w:id="399446363">
      <w:bodyDiv w:val="1"/>
      <w:marLeft w:val="0"/>
      <w:marRight w:val="0"/>
      <w:marTop w:val="0"/>
      <w:marBottom w:val="0"/>
      <w:divBdr>
        <w:top w:val="none" w:sz="0" w:space="0" w:color="auto"/>
        <w:left w:val="none" w:sz="0" w:space="0" w:color="auto"/>
        <w:bottom w:val="none" w:sz="0" w:space="0" w:color="auto"/>
        <w:right w:val="none" w:sz="0" w:space="0" w:color="auto"/>
      </w:divBdr>
    </w:div>
    <w:div w:id="399602366">
      <w:bodyDiv w:val="1"/>
      <w:marLeft w:val="0"/>
      <w:marRight w:val="0"/>
      <w:marTop w:val="0"/>
      <w:marBottom w:val="0"/>
      <w:divBdr>
        <w:top w:val="none" w:sz="0" w:space="0" w:color="auto"/>
        <w:left w:val="none" w:sz="0" w:space="0" w:color="auto"/>
        <w:bottom w:val="none" w:sz="0" w:space="0" w:color="auto"/>
        <w:right w:val="none" w:sz="0" w:space="0" w:color="auto"/>
      </w:divBdr>
    </w:div>
    <w:div w:id="399718785">
      <w:bodyDiv w:val="1"/>
      <w:marLeft w:val="0"/>
      <w:marRight w:val="0"/>
      <w:marTop w:val="0"/>
      <w:marBottom w:val="0"/>
      <w:divBdr>
        <w:top w:val="none" w:sz="0" w:space="0" w:color="auto"/>
        <w:left w:val="none" w:sz="0" w:space="0" w:color="auto"/>
        <w:bottom w:val="none" w:sz="0" w:space="0" w:color="auto"/>
        <w:right w:val="none" w:sz="0" w:space="0" w:color="auto"/>
      </w:divBdr>
    </w:div>
    <w:div w:id="399793142">
      <w:bodyDiv w:val="1"/>
      <w:marLeft w:val="0"/>
      <w:marRight w:val="0"/>
      <w:marTop w:val="0"/>
      <w:marBottom w:val="0"/>
      <w:divBdr>
        <w:top w:val="none" w:sz="0" w:space="0" w:color="auto"/>
        <w:left w:val="none" w:sz="0" w:space="0" w:color="auto"/>
        <w:bottom w:val="none" w:sz="0" w:space="0" w:color="auto"/>
        <w:right w:val="none" w:sz="0" w:space="0" w:color="auto"/>
      </w:divBdr>
    </w:div>
    <w:div w:id="399836049">
      <w:bodyDiv w:val="1"/>
      <w:marLeft w:val="0"/>
      <w:marRight w:val="0"/>
      <w:marTop w:val="0"/>
      <w:marBottom w:val="0"/>
      <w:divBdr>
        <w:top w:val="none" w:sz="0" w:space="0" w:color="auto"/>
        <w:left w:val="none" w:sz="0" w:space="0" w:color="auto"/>
        <w:bottom w:val="none" w:sz="0" w:space="0" w:color="auto"/>
        <w:right w:val="none" w:sz="0" w:space="0" w:color="auto"/>
      </w:divBdr>
    </w:div>
    <w:div w:id="399836823">
      <w:bodyDiv w:val="1"/>
      <w:marLeft w:val="0"/>
      <w:marRight w:val="0"/>
      <w:marTop w:val="0"/>
      <w:marBottom w:val="0"/>
      <w:divBdr>
        <w:top w:val="none" w:sz="0" w:space="0" w:color="auto"/>
        <w:left w:val="none" w:sz="0" w:space="0" w:color="auto"/>
        <w:bottom w:val="none" w:sz="0" w:space="0" w:color="auto"/>
        <w:right w:val="none" w:sz="0" w:space="0" w:color="auto"/>
      </w:divBdr>
    </w:div>
    <w:div w:id="399907658">
      <w:bodyDiv w:val="1"/>
      <w:marLeft w:val="0"/>
      <w:marRight w:val="0"/>
      <w:marTop w:val="0"/>
      <w:marBottom w:val="0"/>
      <w:divBdr>
        <w:top w:val="none" w:sz="0" w:space="0" w:color="auto"/>
        <w:left w:val="none" w:sz="0" w:space="0" w:color="auto"/>
        <w:bottom w:val="none" w:sz="0" w:space="0" w:color="auto"/>
        <w:right w:val="none" w:sz="0" w:space="0" w:color="auto"/>
      </w:divBdr>
    </w:div>
    <w:div w:id="399913639">
      <w:bodyDiv w:val="1"/>
      <w:marLeft w:val="0"/>
      <w:marRight w:val="0"/>
      <w:marTop w:val="0"/>
      <w:marBottom w:val="0"/>
      <w:divBdr>
        <w:top w:val="none" w:sz="0" w:space="0" w:color="auto"/>
        <w:left w:val="none" w:sz="0" w:space="0" w:color="auto"/>
        <w:bottom w:val="none" w:sz="0" w:space="0" w:color="auto"/>
        <w:right w:val="none" w:sz="0" w:space="0" w:color="auto"/>
      </w:divBdr>
    </w:div>
    <w:div w:id="399987534">
      <w:bodyDiv w:val="1"/>
      <w:marLeft w:val="0"/>
      <w:marRight w:val="0"/>
      <w:marTop w:val="0"/>
      <w:marBottom w:val="0"/>
      <w:divBdr>
        <w:top w:val="none" w:sz="0" w:space="0" w:color="auto"/>
        <w:left w:val="none" w:sz="0" w:space="0" w:color="auto"/>
        <w:bottom w:val="none" w:sz="0" w:space="0" w:color="auto"/>
        <w:right w:val="none" w:sz="0" w:space="0" w:color="auto"/>
      </w:divBdr>
    </w:div>
    <w:div w:id="400059455">
      <w:bodyDiv w:val="1"/>
      <w:marLeft w:val="0"/>
      <w:marRight w:val="0"/>
      <w:marTop w:val="0"/>
      <w:marBottom w:val="0"/>
      <w:divBdr>
        <w:top w:val="none" w:sz="0" w:space="0" w:color="auto"/>
        <w:left w:val="none" w:sz="0" w:space="0" w:color="auto"/>
        <w:bottom w:val="none" w:sz="0" w:space="0" w:color="auto"/>
        <w:right w:val="none" w:sz="0" w:space="0" w:color="auto"/>
      </w:divBdr>
    </w:div>
    <w:div w:id="400182365">
      <w:bodyDiv w:val="1"/>
      <w:marLeft w:val="0"/>
      <w:marRight w:val="0"/>
      <w:marTop w:val="0"/>
      <w:marBottom w:val="0"/>
      <w:divBdr>
        <w:top w:val="none" w:sz="0" w:space="0" w:color="auto"/>
        <w:left w:val="none" w:sz="0" w:space="0" w:color="auto"/>
        <w:bottom w:val="none" w:sz="0" w:space="0" w:color="auto"/>
        <w:right w:val="none" w:sz="0" w:space="0" w:color="auto"/>
      </w:divBdr>
    </w:div>
    <w:div w:id="400182830">
      <w:bodyDiv w:val="1"/>
      <w:marLeft w:val="0"/>
      <w:marRight w:val="0"/>
      <w:marTop w:val="0"/>
      <w:marBottom w:val="0"/>
      <w:divBdr>
        <w:top w:val="none" w:sz="0" w:space="0" w:color="auto"/>
        <w:left w:val="none" w:sz="0" w:space="0" w:color="auto"/>
        <w:bottom w:val="none" w:sz="0" w:space="0" w:color="auto"/>
        <w:right w:val="none" w:sz="0" w:space="0" w:color="auto"/>
      </w:divBdr>
    </w:div>
    <w:div w:id="400324929">
      <w:bodyDiv w:val="1"/>
      <w:marLeft w:val="0"/>
      <w:marRight w:val="0"/>
      <w:marTop w:val="0"/>
      <w:marBottom w:val="0"/>
      <w:divBdr>
        <w:top w:val="none" w:sz="0" w:space="0" w:color="auto"/>
        <w:left w:val="none" w:sz="0" w:space="0" w:color="auto"/>
        <w:bottom w:val="none" w:sz="0" w:space="0" w:color="auto"/>
        <w:right w:val="none" w:sz="0" w:space="0" w:color="auto"/>
      </w:divBdr>
    </w:div>
    <w:div w:id="400368389">
      <w:bodyDiv w:val="1"/>
      <w:marLeft w:val="0"/>
      <w:marRight w:val="0"/>
      <w:marTop w:val="0"/>
      <w:marBottom w:val="0"/>
      <w:divBdr>
        <w:top w:val="none" w:sz="0" w:space="0" w:color="auto"/>
        <w:left w:val="none" w:sz="0" w:space="0" w:color="auto"/>
        <w:bottom w:val="none" w:sz="0" w:space="0" w:color="auto"/>
        <w:right w:val="none" w:sz="0" w:space="0" w:color="auto"/>
      </w:divBdr>
    </w:div>
    <w:div w:id="400443612">
      <w:bodyDiv w:val="1"/>
      <w:marLeft w:val="0"/>
      <w:marRight w:val="0"/>
      <w:marTop w:val="0"/>
      <w:marBottom w:val="0"/>
      <w:divBdr>
        <w:top w:val="none" w:sz="0" w:space="0" w:color="auto"/>
        <w:left w:val="none" w:sz="0" w:space="0" w:color="auto"/>
        <w:bottom w:val="none" w:sz="0" w:space="0" w:color="auto"/>
        <w:right w:val="none" w:sz="0" w:space="0" w:color="auto"/>
      </w:divBdr>
    </w:div>
    <w:div w:id="400446536">
      <w:bodyDiv w:val="1"/>
      <w:marLeft w:val="0"/>
      <w:marRight w:val="0"/>
      <w:marTop w:val="0"/>
      <w:marBottom w:val="0"/>
      <w:divBdr>
        <w:top w:val="none" w:sz="0" w:space="0" w:color="auto"/>
        <w:left w:val="none" w:sz="0" w:space="0" w:color="auto"/>
        <w:bottom w:val="none" w:sz="0" w:space="0" w:color="auto"/>
        <w:right w:val="none" w:sz="0" w:space="0" w:color="auto"/>
      </w:divBdr>
    </w:div>
    <w:div w:id="400449563">
      <w:bodyDiv w:val="1"/>
      <w:marLeft w:val="0"/>
      <w:marRight w:val="0"/>
      <w:marTop w:val="0"/>
      <w:marBottom w:val="0"/>
      <w:divBdr>
        <w:top w:val="none" w:sz="0" w:space="0" w:color="auto"/>
        <w:left w:val="none" w:sz="0" w:space="0" w:color="auto"/>
        <w:bottom w:val="none" w:sz="0" w:space="0" w:color="auto"/>
        <w:right w:val="none" w:sz="0" w:space="0" w:color="auto"/>
      </w:divBdr>
    </w:div>
    <w:div w:id="400491606">
      <w:bodyDiv w:val="1"/>
      <w:marLeft w:val="0"/>
      <w:marRight w:val="0"/>
      <w:marTop w:val="0"/>
      <w:marBottom w:val="0"/>
      <w:divBdr>
        <w:top w:val="none" w:sz="0" w:space="0" w:color="auto"/>
        <w:left w:val="none" w:sz="0" w:space="0" w:color="auto"/>
        <w:bottom w:val="none" w:sz="0" w:space="0" w:color="auto"/>
        <w:right w:val="none" w:sz="0" w:space="0" w:color="auto"/>
      </w:divBdr>
    </w:div>
    <w:div w:id="400520874">
      <w:bodyDiv w:val="1"/>
      <w:marLeft w:val="0"/>
      <w:marRight w:val="0"/>
      <w:marTop w:val="0"/>
      <w:marBottom w:val="0"/>
      <w:divBdr>
        <w:top w:val="none" w:sz="0" w:space="0" w:color="auto"/>
        <w:left w:val="none" w:sz="0" w:space="0" w:color="auto"/>
        <w:bottom w:val="none" w:sz="0" w:space="0" w:color="auto"/>
        <w:right w:val="none" w:sz="0" w:space="0" w:color="auto"/>
      </w:divBdr>
    </w:div>
    <w:div w:id="400640121">
      <w:bodyDiv w:val="1"/>
      <w:marLeft w:val="0"/>
      <w:marRight w:val="0"/>
      <w:marTop w:val="0"/>
      <w:marBottom w:val="0"/>
      <w:divBdr>
        <w:top w:val="none" w:sz="0" w:space="0" w:color="auto"/>
        <w:left w:val="none" w:sz="0" w:space="0" w:color="auto"/>
        <w:bottom w:val="none" w:sz="0" w:space="0" w:color="auto"/>
        <w:right w:val="none" w:sz="0" w:space="0" w:color="auto"/>
      </w:divBdr>
    </w:div>
    <w:div w:id="400710804">
      <w:bodyDiv w:val="1"/>
      <w:marLeft w:val="0"/>
      <w:marRight w:val="0"/>
      <w:marTop w:val="0"/>
      <w:marBottom w:val="0"/>
      <w:divBdr>
        <w:top w:val="none" w:sz="0" w:space="0" w:color="auto"/>
        <w:left w:val="none" w:sz="0" w:space="0" w:color="auto"/>
        <w:bottom w:val="none" w:sz="0" w:space="0" w:color="auto"/>
        <w:right w:val="none" w:sz="0" w:space="0" w:color="auto"/>
      </w:divBdr>
    </w:div>
    <w:div w:id="400714099">
      <w:bodyDiv w:val="1"/>
      <w:marLeft w:val="0"/>
      <w:marRight w:val="0"/>
      <w:marTop w:val="0"/>
      <w:marBottom w:val="0"/>
      <w:divBdr>
        <w:top w:val="none" w:sz="0" w:space="0" w:color="auto"/>
        <w:left w:val="none" w:sz="0" w:space="0" w:color="auto"/>
        <w:bottom w:val="none" w:sz="0" w:space="0" w:color="auto"/>
        <w:right w:val="none" w:sz="0" w:space="0" w:color="auto"/>
      </w:divBdr>
    </w:div>
    <w:div w:id="400837032">
      <w:bodyDiv w:val="1"/>
      <w:marLeft w:val="0"/>
      <w:marRight w:val="0"/>
      <w:marTop w:val="0"/>
      <w:marBottom w:val="0"/>
      <w:divBdr>
        <w:top w:val="none" w:sz="0" w:space="0" w:color="auto"/>
        <w:left w:val="none" w:sz="0" w:space="0" w:color="auto"/>
        <w:bottom w:val="none" w:sz="0" w:space="0" w:color="auto"/>
        <w:right w:val="none" w:sz="0" w:space="0" w:color="auto"/>
      </w:divBdr>
    </w:div>
    <w:div w:id="400910335">
      <w:bodyDiv w:val="1"/>
      <w:marLeft w:val="0"/>
      <w:marRight w:val="0"/>
      <w:marTop w:val="0"/>
      <w:marBottom w:val="0"/>
      <w:divBdr>
        <w:top w:val="none" w:sz="0" w:space="0" w:color="auto"/>
        <w:left w:val="none" w:sz="0" w:space="0" w:color="auto"/>
        <w:bottom w:val="none" w:sz="0" w:space="0" w:color="auto"/>
        <w:right w:val="none" w:sz="0" w:space="0" w:color="auto"/>
      </w:divBdr>
    </w:div>
    <w:div w:id="401027542">
      <w:bodyDiv w:val="1"/>
      <w:marLeft w:val="0"/>
      <w:marRight w:val="0"/>
      <w:marTop w:val="0"/>
      <w:marBottom w:val="0"/>
      <w:divBdr>
        <w:top w:val="none" w:sz="0" w:space="0" w:color="auto"/>
        <w:left w:val="none" w:sz="0" w:space="0" w:color="auto"/>
        <w:bottom w:val="none" w:sz="0" w:space="0" w:color="auto"/>
        <w:right w:val="none" w:sz="0" w:space="0" w:color="auto"/>
      </w:divBdr>
    </w:div>
    <w:div w:id="401029729">
      <w:bodyDiv w:val="1"/>
      <w:marLeft w:val="0"/>
      <w:marRight w:val="0"/>
      <w:marTop w:val="0"/>
      <w:marBottom w:val="0"/>
      <w:divBdr>
        <w:top w:val="none" w:sz="0" w:space="0" w:color="auto"/>
        <w:left w:val="none" w:sz="0" w:space="0" w:color="auto"/>
        <w:bottom w:val="none" w:sz="0" w:space="0" w:color="auto"/>
        <w:right w:val="none" w:sz="0" w:space="0" w:color="auto"/>
      </w:divBdr>
    </w:div>
    <w:div w:id="401293748">
      <w:bodyDiv w:val="1"/>
      <w:marLeft w:val="0"/>
      <w:marRight w:val="0"/>
      <w:marTop w:val="0"/>
      <w:marBottom w:val="0"/>
      <w:divBdr>
        <w:top w:val="none" w:sz="0" w:space="0" w:color="auto"/>
        <w:left w:val="none" w:sz="0" w:space="0" w:color="auto"/>
        <w:bottom w:val="none" w:sz="0" w:space="0" w:color="auto"/>
        <w:right w:val="none" w:sz="0" w:space="0" w:color="auto"/>
      </w:divBdr>
    </w:div>
    <w:div w:id="401608658">
      <w:bodyDiv w:val="1"/>
      <w:marLeft w:val="0"/>
      <w:marRight w:val="0"/>
      <w:marTop w:val="0"/>
      <w:marBottom w:val="0"/>
      <w:divBdr>
        <w:top w:val="none" w:sz="0" w:space="0" w:color="auto"/>
        <w:left w:val="none" w:sz="0" w:space="0" w:color="auto"/>
        <w:bottom w:val="none" w:sz="0" w:space="0" w:color="auto"/>
        <w:right w:val="none" w:sz="0" w:space="0" w:color="auto"/>
      </w:divBdr>
    </w:div>
    <w:div w:id="401636913">
      <w:bodyDiv w:val="1"/>
      <w:marLeft w:val="0"/>
      <w:marRight w:val="0"/>
      <w:marTop w:val="0"/>
      <w:marBottom w:val="0"/>
      <w:divBdr>
        <w:top w:val="none" w:sz="0" w:space="0" w:color="auto"/>
        <w:left w:val="none" w:sz="0" w:space="0" w:color="auto"/>
        <w:bottom w:val="none" w:sz="0" w:space="0" w:color="auto"/>
        <w:right w:val="none" w:sz="0" w:space="0" w:color="auto"/>
      </w:divBdr>
    </w:div>
    <w:div w:id="401683008">
      <w:bodyDiv w:val="1"/>
      <w:marLeft w:val="0"/>
      <w:marRight w:val="0"/>
      <w:marTop w:val="0"/>
      <w:marBottom w:val="0"/>
      <w:divBdr>
        <w:top w:val="none" w:sz="0" w:space="0" w:color="auto"/>
        <w:left w:val="none" w:sz="0" w:space="0" w:color="auto"/>
        <w:bottom w:val="none" w:sz="0" w:space="0" w:color="auto"/>
        <w:right w:val="none" w:sz="0" w:space="0" w:color="auto"/>
      </w:divBdr>
    </w:div>
    <w:div w:id="401802416">
      <w:bodyDiv w:val="1"/>
      <w:marLeft w:val="0"/>
      <w:marRight w:val="0"/>
      <w:marTop w:val="0"/>
      <w:marBottom w:val="0"/>
      <w:divBdr>
        <w:top w:val="none" w:sz="0" w:space="0" w:color="auto"/>
        <w:left w:val="none" w:sz="0" w:space="0" w:color="auto"/>
        <w:bottom w:val="none" w:sz="0" w:space="0" w:color="auto"/>
        <w:right w:val="none" w:sz="0" w:space="0" w:color="auto"/>
      </w:divBdr>
    </w:div>
    <w:div w:id="401874188">
      <w:bodyDiv w:val="1"/>
      <w:marLeft w:val="0"/>
      <w:marRight w:val="0"/>
      <w:marTop w:val="0"/>
      <w:marBottom w:val="0"/>
      <w:divBdr>
        <w:top w:val="none" w:sz="0" w:space="0" w:color="auto"/>
        <w:left w:val="none" w:sz="0" w:space="0" w:color="auto"/>
        <w:bottom w:val="none" w:sz="0" w:space="0" w:color="auto"/>
        <w:right w:val="none" w:sz="0" w:space="0" w:color="auto"/>
      </w:divBdr>
    </w:div>
    <w:div w:id="401951325">
      <w:bodyDiv w:val="1"/>
      <w:marLeft w:val="0"/>
      <w:marRight w:val="0"/>
      <w:marTop w:val="0"/>
      <w:marBottom w:val="0"/>
      <w:divBdr>
        <w:top w:val="none" w:sz="0" w:space="0" w:color="auto"/>
        <w:left w:val="none" w:sz="0" w:space="0" w:color="auto"/>
        <w:bottom w:val="none" w:sz="0" w:space="0" w:color="auto"/>
        <w:right w:val="none" w:sz="0" w:space="0" w:color="auto"/>
      </w:divBdr>
    </w:div>
    <w:div w:id="401952302">
      <w:bodyDiv w:val="1"/>
      <w:marLeft w:val="0"/>
      <w:marRight w:val="0"/>
      <w:marTop w:val="0"/>
      <w:marBottom w:val="0"/>
      <w:divBdr>
        <w:top w:val="none" w:sz="0" w:space="0" w:color="auto"/>
        <w:left w:val="none" w:sz="0" w:space="0" w:color="auto"/>
        <w:bottom w:val="none" w:sz="0" w:space="0" w:color="auto"/>
        <w:right w:val="none" w:sz="0" w:space="0" w:color="auto"/>
      </w:divBdr>
    </w:div>
    <w:div w:id="402021830">
      <w:bodyDiv w:val="1"/>
      <w:marLeft w:val="0"/>
      <w:marRight w:val="0"/>
      <w:marTop w:val="0"/>
      <w:marBottom w:val="0"/>
      <w:divBdr>
        <w:top w:val="none" w:sz="0" w:space="0" w:color="auto"/>
        <w:left w:val="none" w:sz="0" w:space="0" w:color="auto"/>
        <w:bottom w:val="none" w:sz="0" w:space="0" w:color="auto"/>
        <w:right w:val="none" w:sz="0" w:space="0" w:color="auto"/>
      </w:divBdr>
    </w:div>
    <w:div w:id="402022090">
      <w:bodyDiv w:val="1"/>
      <w:marLeft w:val="0"/>
      <w:marRight w:val="0"/>
      <w:marTop w:val="0"/>
      <w:marBottom w:val="0"/>
      <w:divBdr>
        <w:top w:val="none" w:sz="0" w:space="0" w:color="auto"/>
        <w:left w:val="none" w:sz="0" w:space="0" w:color="auto"/>
        <w:bottom w:val="none" w:sz="0" w:space="0" w:color="auto"/>
        <w:right w:val="none" w:sz="0" w:space="0" w:color="auto"/>
      </w:divBdr>
    </w:div>
    <w:div w:id="402023576">
      <w:bodyDiv w:val="1"/>
      <w:marLeft w:val="0"/>
      <w:marRight w:val="0"/>
      <w:marTop w:val="0"/>
      <w:marBottom w:val="0"/>
      <w:divBdr>
        <w:top w:val="none" w:sz="0" w:space="0" w:color="auto"/>
        <w:left w:val="none" w:sz="0" w:space="0" w:color="auto"/>
        <w:bottom w:val="none" w:sz="0" w:space="0" w:color="auto"/>
        <w:right w:val="none" w:sz="0" w:space="0" w:color="auto"/>
      </w:divBdr>
    </w:div>
    <w:div w:id="402023987">
      <w:bodyDiv w:val="1"/>
      <w:marLeft w:val="0"/>
      <w:marRight w:val="0"/>
      <w:marTop w:val="0"/>
      <w:marBottom w:val="0"/>
      <w:divBdr>
        <w:top w:val="none" w:sz="0" w:space="0" w:color="auto"/>
        <w:left w:val="none" w:sz="0" w:space="0" w:color="auto"/>
        <w:bottom w:val="none" w:sz="0" w:space="0" w:color="auto"/>
        <w:right w:val="none" w:sz="0" w:space="0" w:color="auto"/>
      </w:divBdr>
    </w:div>
    <w:div w:id="402141398">
      <w:bodyDiv w:val="1"/>
      <w:marLeft w:val="0"/>
      <w:marRight w:val="0"/>
      <w:marTop w:val="0"/>
      <w:marBottom w:val="0"/>
      <w:divBdr>
        <w:top w:val="none" w:sz="0" w:space="0" w:color="auto"/>
        <w:left w:val="none" w:sz="0" w:space="0" w:color="auto"/>
        <w:bottom w:val="none" w:sz="0" w:space="0" w:color="auto"/>
        <w:right w:val="none" w:sz="0" w:space="0" w:color="auto"/>
      </w:divBdr>
    </w:div>
    <w:div w:id="402146432">
      <w:bodyDiv w:val="1"/>
      <w:marLeft w:val="0"/>
      <w:marRight w:val="0"/>
      <w:marTop w:val="0"/>
      <w:marBottom w:val="0"/>
      <w:divBdr>
        <w:top w:val="none" w:sz="0" w:space="0" w:color="auto"/>
        <w:left w:val="none" w:sz="0" w:space="0" w:color="auto"/>
        <w:bottom w:val="none" w:sz="0" w:space="0" w:color="auto"/>
        <w:right w:val="none" w:sz="0" w:space="0" w:color="auto"/>
      </w:divBdr>
    </w:div>
    <w:div w:id="402218923">
      <w:bodyDiv w:val="1"/>
      <w:marLeft w:val="0"/>
      <w:marRight w:val="0"/>
      <w:marTop w:val="0"/>
      <w:marBottom w:val="0"/>
      <w:divBdr>
        <w:top w:val="none" w:sz="0" w:space="0" w:color="auto"/>
        <w:left w:val="none" w:sz="0" w:space="0" w:color="auto"/>
        <w:bottom w:val="none" w:sz="0" w:space="0" w:color="auto"/>
        <w:right w:val="none" w:sz="0" w:space="0" w:color="auto"/>
      </w:divBdr>
    </w:div>
    <w:div w:id="402334578">
      <w:bodyDiv w:val="1"/>
      <w:marLeft w:val="0"/>
      <w:marRight w:val="0"/>
      <w:marTop w:val="0"/>
      <w:marBottom w:val="0"/>
      <w:divBdr>
        <w:top w:val="none" w:sz="0" w:space="0" w:color="auto"/>
        <w:left w:val="none" w:sz="0" w:space="0" w:color="auto"/>
        <w:bottom w:val="none" w:sz="0" w:space="0" w:color="auto"/>
        <w:right w:val="none" w:sz="0" w:space="0" w:color="auto"/>
      </w:divBdr>
    </w:div>
    <w:div w:id="402340730">
      <w:bodyDiv w:val="1"/>
      <w:marLeft w:val="0"/>
      <w:marRight w:val="0"/>
      <w:marTop w:val="0"/>
      <w:marBottom w:val="0"/>
      <w:divBdr>
        <w:top w:val="none" w:sz="0" w:space="0" w:color="auto"/>
        <w:left w:val="none" w:sz="0" w:space="0" w:color="auto"/>
        <w:bottom w:val="none" w:sz="0" w:space="0" w:color="auto"/>
        <w:right w:val="none" w:sz="0" w:space="0" w:color="auto"/>
      </w:divBdr>
    </w:div>
    <w:div w:id="402531255">
      <w:bodyDiv w:val="1"/>
      <w:marLeft w:val="0"/>
      <w:marRight w:val="0"/>
      <w:marTop w:val="0"/>
      <w:marBottom w:val="0"/>
      <w:divBdr>
        <w:top w:val="none" w:sz="0" w:space="0" w:color="auto"/>
        <w:left w:val="none" w:sz="0" w:space="0" w:color="auto"/>
        <w:bottom w:val="none" w:sz="0" w:space="0" w:color="auto"/>
        <w:right w:val="none" w:sz="0" w:space="0" w:color="auto"/>
      </w:divBdr>
    </w:div>
    <w:div w:id="402532632">
      <w:bodyDiv w:val="1"/>
      <w:marLeft w:val="0"/>
      <w:marRight w:val="0"/>
      <w:marTop w:val="0"/>
      <w:marBottom w:val="0"/>
      <w:divBdr>
        <w:top w:val="none" w:sz="0" w:space="0" w:color="auto"/>
        <w:left w:val="none" w:sz="0" w:space="0" w:color="auto"/>
        <w:bottom w:val="none" w:sz="0" w:space="0" w:color="auto"/>
        <w:right w:val="none" w:sz="0" w:space="0" w:color="auto"/>
      </w:divBdr>
    </w:div>
    <w:div w:id="402534882">
      <w:bodyDiv w:val="1"/>
      <w:marLeft w:val="0"/>
      <w:marRight w:val="0"/>
      <w:marTop w:val="0"/>
      <w:marBottom w:val="0"/>
      <w:divBdr>
        <w:top w:val="none" w:sz="0" w:space="0" w:color="auto"/>
        <w:left w:val="none" w:sz="0" w:space="0" w:color="auto"/>
        <w:bottom w:val="none" w:sz="0" w:space="0" w:color="auto"/>
        <w:right w:val="none" w:sz="0" w:space="0" w:color="auto"/>
      </w:divBdr>
    </w:div>
    <w:div w:id="402603236">
      <w:bodyDiv w:val="1"/>
      <w:marLeft w:val="0"/>
      <w:marRight w:val="0"/>
      <w:marTop w:val="0"/>
      <w:marBottom w:val="0"/>
      <w:divBdr>
        <w:top w:val="none" w:sz="0" w:space="0" w:color="auto"/>
        <w:left w:val="none" w:sz="0" w:space="0" w:color="auto"/>
        <w:bottom w:val="none" w:sz="0" w:space="0" w:color="auto"/>
        <w:right w:val="none" w:sz="0" w:space="0" w:color="auto"/>
      </w:divBdr>
    </w:div>
    <w:div w:id="402676404">
      <w:bodyDiv w:val="1"/>
      <w:marLeft w:val="0"/>
      <w:marRight w:val="0"/>
      <w:marTop w:val="0"/>
      <w:marBottom w:val="0"/>
      <w:divBdr>
        <w:top w:val="none" w:sz="0" w:space="0" w:color="auto"/>
        <w:left w:val="none" w:sz="0" w:space="0" w:color="auto"/>
        <w:bottom w:val="none" w:sz="0" w:space="0" w:color="auto"/>
        <w:right w:val="none" w:sz="0" w:space="0" w:color="auto"/>
      </w:divBdr>
    </w:div>
    <w:div w:id="402795813">
      <w:bodyDiv w:val="1"/>
      <w:marLeft w:val="0"/>
      <w:marRight w:val="0"/>
      <w:marTop w:val="0"/>
      <w:marBottom w:val="0"/>
      <w:divBdr>
        <w:top w:val="none" w:sz="0" w:space="0" w:color="auto"/>
        <w:left w:val="none" w:sz="0" w:space="0" w:color="auto"/>
        <w:bottom w:val="none" w:sz="0" w:space="0" w:color="auto"/>
        <w:right w:val="none" w:sz="0" w:space="0" w:color="auto"/>
      </w:divBdr>
    </w:div>
    <w:div w:id="402874819">
      <w:bodyDiv w:val="1"/>
      <w:marLeft w:val="0"/>
      <w:marRight w:val="0"/>
      <w:marTop w:val="0"/>
      <w:marBottom w:val="0"/>
      <w:divBdr>
        <w:top w:val="none" w:sz="0" w:space="0" w:color="auto"/>
        <w:left w:val="none" w:sz="0" w:space="0" w:color="auto"/>
        <w:bottom w:val="none" w:sz="0" w:space="0" w:color="auto"/>
        <w:right w:val="none" w:sz="0" w:space="0" w:color="auto"/>
      </w:divBdr>
    </w:div>
    <w:div w:id="402878852">
      <w:bodyDiv w:val="1"/>
      <w:marLeft w:val="0"/>
      <w:marRight w:val="0"/>
      <w:marTop w:val="0"/>
      <w:marBottom w:val="0"/>
      <w:divBdr>
        <w:top w:val="none" w:sz="0" w:space="0" w:color="auto"/>
        <w:left w:val="none" w:sz="0" w:space="0" w:color="auto"/>
        <w:bottom w:val="none" w:sz="0" w:space="0" w:color="auto"/>
        <w:right w:val="none" w:sz="0" w:space="0" w:color="auto"/>
      </w:divBdr>
    </w:div>
    <w:div w:id="402947894">
      <w:bodyDiv w:val="1"/>
      <w:marLeft w:val="0"/>
      <w:marRight w:val="0"/>
      <w:marTop w:val="0"/>
      <w:marBottom w:val="0"/>
      <w:divBdr>
        <w:top w:val="none" w:sz="0" w:space="0" w:color="auto"/>
        <w:left w:val="none" w:sz="0" w:space="0" w:color="auto"/>
        <w:bottom w:val="none" w:sz="0" w:space="0" w:color="auto"/>
        <w:right w:val="none" w:sz="0" w:space="0" w:color="auto"/>
      </w:divBdr>
    </w:div>
    <w:div w:id="403114706">
      <w:bodyDiv w:val="1"/>
      <w:marLeft w:val="0"/>
      <w:marRight w:val="0"/>
      <w:marTop w:val="0"/>
      <w:marBottom w:val="0"/>
      <w:divBdr>
        <w:top w:val="none" w:sz="0" w:space="0" w:color="auto"/>
        <w:left w:val="none" w:sz="0" w:space="0" w:color="auto"/>
        <w:bottom w:val="none" w:sz="0" w:space="0" w:color="auto"/>
        <w:right w:val="none" w:sz="0" w:space="0" w:color="auto"/>
      </w:divBdr>
    </w:div>
    <w:div w:id="403182502">
      <w:bodyDiv w:val="1"/>
      <w:marLeft w:val="0"/>
      <w:marRight w:val="0"/>
      <w:marTop w:val="0"/>
      <w:marBottom w:val="0"/>
      <w:divBdr>
        <w:top w:val="none" w:sz="0" w:space="0" w:color="auto"/>
        <w:left w:val="none" w:sz="0" w:space="0" w:color="auto"/>
        <w:bottom w:val="none" w:sz="0" w:space="0" w:color="auto"/>
        <w:right w:val="none" w:sz="0" w:space="0" w:color="auto"/>
      </w:divBdr>
    </w:div>
    <w:div w:id="403187920">
      <w:bodyDiv w:val="1"/>
      <w:marLeft w:val="0"/>
      <w:marRight w:val="0"/>
      <w:marTop w:val="0"/>
      <w:marBottom w:val="0"/>
      <w:divBdr>
        <w:top w:val="none" w:sz="0" w:space="0" w:color="auto"/>
        <w:left w:val="none" w:sz="0" w:space="0" w:color="auto"/>
        <w:bottom w:val="none" w:sz="0" w:space="0" w:color="auto"/>
        <w:right w:val="none" w:sz="0" w:space="0" w:color="auto"/>
      </w:divBdr>
    </w:div>
    <w:div w:id="403257311">
      <w:bodyDiv w:val="1"/>
      <w:marLeft w:val="0"/>
      <w:marRight w:val="0"/>
      <w:marTop w:val="0"/>
      <w:marBottom w:val="0"/>
      <w:divBdr>
        <w:top w:val="none" w:sz="0" w:space="0" w:color="auto"/>
        <w:left w:val="none" w:sz="0" w:space="0" w:color="auto"/>
        <w:bottom w:val="none" w:sz="0" w:space="0" w:color="auto"/>
        <w:right w:val="none" w:sz="0" w:space="0" w:color="auto"/>
      </w:divBdr>
    </w:div>
    <w:div w:id="403333042">
      <w:bodyDiv w:val="1"/>
      <w:marLeft w:val="0"/>
      <w:marRight w:val="0"/>
      <w:marTop w:val="0"/>
      <w:marBottom w:val="0"/>
      <w:divBdr>
        <w:top w:val="none" w:sz="0" w:space="0" w:color="auto"/>
        <w:left w:val="none" w:sz="0" w:space="0" w:color="auto"/>
        <w:bottom w:val="none" w:sz="0" w:space="0" w:color="auto"/>
        <w:right w:val="none" w:sz="0" w:space="0" w:color="auto"/>
      </w:divBdr>
    </w:div>
    <w:div w:id="403337453">
      <w:bodyDiv w:val="1"/>
      <w:marLeft w:val="0"/>
      <w:marRight w:val="0"/>
      <w:marTop w:val="0"/>
      <w:marBottom w:val="0"/>
      <w:divBdr>
        <w:top w:val="none" w:sz="0" w:space="0" w:color="auto"/>
        <w:left w:val="none" w:sz="0" w:space="0" w:color="auto"/>
        <w:bottom w:val="none" w:sz="0" w:space="0" w:color="auto"/>
        <w:right w:val="none" w:sz="0" w:space="0" w:color="auto"/>
      </w:divBdr>
    </w:div>
    <w:div w:id="403338739">
      <w:bodyDiv w:val="1"/>
      <w:marLeft w:val="0"/>
      <w:marRight w:val="0"/>
      <w:marTop w:val="0"/>
      <w:marBottom w:val="0"/>
      <w:divBdr>
        <w:top w:val="none" w:sz="0" w:space="0" w:color="auto"/>
        <w:left w:val="none" w:sz="0" w:space="0" w:color="auto"/>
        <w:bottom w:val="none" w:sz="0" w:space="0" w:color="auto"/>
        <w:right w:val="none" w:sz="0" w:space="0" w:color="auto"/>
      </w:divBdr>
    </w:div>
    <w:div w:id="403454468">
      <w:bodyDiv w:val="1"/>
      <w:marLeft w:val="0"/>
      <w:marRight w:val="0"/>
      <w:marTop w:val="0"/>
      <w:marBottom w:val="0"/>
      <w:divBdr>
        <w:top w:val="none" w:sz="0" w:space="0" w:color="auto"/>
        <w:left w:val="none" w:sz="0" w:space="0" w:color="auto"/>
        <w:bottom w:val="none" w:sz="0" w:space="0" w:color="auto"/>
        <w:right w:val="none" w:sz="0" w:space="0" w:color="auto"/>
      </w:divBdr>
    </w:div>
    <w:div w:id="403458762">
      <w:bodyDiv w:val="1"/>
      <w:marLeft w:val="0"/>
      <w:marRight w:val="0"/>
      <w:marTop w:val="0"/>
      <w:marBottom w:val="0"/>
      <w:divBdr>
        <w:top w:val="none" w:sz="0" w:space="0" w:color="auto"/>
        <w:left w:val="none" w:sz="0" w:space="0" w:color="auto"/>
        <w:bottom w:val="none" w:sz="0" w:space="0" w:color="auto"/>
        <w:right w:val="none" w:sz="0" w:space="0" w:color="auto"/>
      </w:divBdr>
    </w:div>
    <w:div w:id="403602912">
      <w:bodyDiv w:val="1"/>
      <w:marLeft w:val="0"/>
      <w:marRight w:val="0"/>
      <w:marTop w:val="0"/>
      <w:marBottom w:val="0"/>
      <w:divBdr>
        <w:top w:val="none" w:sz="0" w:space="0" w:color="auto"/>
        <w:left w:val="none" w:sz="0" w:space="0" w:color="auto"/>
        <w:bottom w:val="none" w:sz="0" w:space="0" w:color="auto"/>
        <w:right w:val="none" w:sz="0" w:space="0" w:color="auto"/>
      </w:divBdr>
    </w:div>
    <w:div w:id="403793945">
      <w:bodyDiv w:val="1"/>
      <w:marLeft w:val="0"/>
      <w:marRight w:val="0"/>
      <w:marTop w:val="0"/>
      <w:marBottom w:val="0"/>
      <w:divBdr>
        <w:top w:val="none" w:sz="0" w:space="0" w:color="auto"/>
        <w:left w:val="none" w:sz="0" w:space="0" w:color="auto"/>
        <w:bottom w:val="none" w:sz="0" w:space="0" w:color="auto"/>
        <w:right w:val="none" w:sz="0" w:space="0" w:color="auto"/>
      </w:divBdr>
    </w:div>
    <w:div w:id="403798303">
      <w:bodyDiv w:val="1"/>
      <w:marLeft w:val="0"/>
      <w:marRight w:val="0"/>
      <w:marTop w:val="0"/>
      <w:marBottom w:val="0"/>
      <w:divBdr>
        <w:top w:val="none" w:sz="0" w:space="0" w:color="auto"/>
        <w:left w:val="none" w:sz="0" w:space="0" w:color="auto"/>
        <w:bottom w:val="none" w:sz="0" w:space="0" w:color="auto"/>
        <w:right w:val="none" w:sz="0" w:space="0" w:color="auto"/>
      </w:divBdr>
    </w:div>
    <w:div w:id="403839573">
      <w:bodyDiv w:val="1"/>
      <w:marLeft w:val="0"/>
      <w:marRight w:val="0"/>
      <w:marTop w:val="0"/>
      <w:marBottom w:val="0"/>
      <w:divBdr>
        <w:top w:val="none" w:sz="0" w:space="0" w:color="auto"/>
        <w:left w:val="none" w:sz="0" w:space="0" w:color="auto"/>
        <w:bottom w:val="none" w:sz="0" w:space="0" w:color="auto"/>
        <w:right w:val="none" w:sz="0" w:space="0" w:color="auto"/>
      </w:divBdr>
    </w:div>
    <w:div w:id="403993549">
      <w:bodyDiv w:val="1"/>
      <w:marLeft w:val="0"/>
      <w:marRight w:val="0"/>
      <w:marTop w:val="0"/>
      <w:marBottom w:val="0"/>
      <w:divBdr>
        <w:top w:val="none" w:sz="0" w:space="0" w:color="auto"/>
        <w:left w:val="none" w:sz="0" w:space="0" w:color="auto"/>
        <w:bottom w:val="none" w:sz="0" w:space="0" w:color="auto"/>
        <w:right w:val="none" w:sz="0" w:space="0" w:color="auto"/>
      </w:divBdr>
    </w:div>
    <w:div w:id="404109836">
      <w:bodyDiv w:val="1"/>
      <w:marLeft w:val="0"/>
      <w:marRight w:val="0"/>
      <w:marTop w:val="0"/>
      <w:marBottom w:val="0"/>
      <w:divBdr>
        <w:top w:val="none" w:sz="0" w:space="0" w:color="auto"/>
        <w:left w:val="none" w:sz="0" w:space="0" w:color="auto"/>
        <w:bottom w:val="none" w:sz="0" w:space="0" w:color="auto"/>
        <w:right w:val="none" w:sz="0" w:space="0" w:color="auto"/>
      </w:divBdr>
    </w:div>
    <w:div w:id="404109897">
      <w:bodyDiv w:val="1"/>
      <w:marLeft w:val="0"/>
      <w:marRight w:val="0"/>
      <w:marTop w:val="0"/>
      <w:marBottom w:val="0"/>
      <w:divBdr>
        <w:top w:val="none" w:sz="0" w:space="0" w:color="auto"/>
        <w:left w:val="none" w:sz="0" w:space="0" w:color="auto"/>
        <w:bottom w:val="none" w:sz="0" w:space="0" w:color="auto"/>
        <w:right w:val="none" w:sz="0" w:space="0" w:color="auto"/>
      </w:divBdr>
    </w:div>
    <w:div w:id="404111775">
      <w:bodyDiv w:val="1"/>
      <w:marLeft w:val="0"/>
      <w:marRight w:val="0"/>
      <w:marTop w:val="0"/>
      <w:marBottom w:val="0"/>
      <w:divBdr>
        <w:top w:val="none" w:sz="0" w:space="0" w:color="auto"/>
        <w:left w:val="none" w:sz="0" w:space="0" w:color="auto"/>
        <w:bottom w:val="none" w:sz="0" w:space="0" w:color="auto"/>
        <w:right w:val="none" w:sz="0" w:space="0" w:color="auto"/>
      </w:divBdr>
    </w:div>
    <w:div w:id="404114091">
      <w:bodyDiv w:val="1"/>
      <w:marLeft w:val="0"/>
      <w:marRight w:val="0"/>
      <w:marTop w:val="0"/>
      <w:marBottom w:val="0"/>
      <w:divBdr>
        <w:top w:val="none" w:sz="0" w:space="0" w:color="auto"/>
        <w:left w:val="none" w:sz="0" w:space="0" w:color="auto"/>
        <w:bottom w:val="none" w:sz="0" w:space="0" w:color="auto"/>
        <w:right w:val="none" w:sz="0" w:space="0" w:color="auto"/>
      </w:divBdr>
    </w:div>
    <w:div w:id="404188659">
      <w:bodyDiv w:val="1"/>
      <w:marLeft w:val="0"/>
      <w:marRight w:val="0"/>
      <w:marTop w:val="0"/>
      <w:marBottom w:val="0"/>
      <w:divBdr>
        <w:top w:val="none" w:sz="0" w:space="0" w:color="auto"/>
        <w:left w:val="none" w:sz="0" w:space="0" w:color="auto"/>
        <w:bottom w:val="none" w:sz="0" w:space="0" w:color="auto"/>
        <w:right w:val="none" w:sz="0" w:space="0" w:color="auto"/>
      </w:divBdr>
    </w:div>
    <w:div w:id="404230166">
      <w:bodyDiv w:val="1"/>
      <w:marLeft w:val="0"/>
      <w:marRight w:val="0"/>
      <w:marTop w:val="0"/>
      <w:marBottom w:val="0"/>
      <w:divBdr>
        <w:top w:val="none" w:sz="0" w:space="0" w:color="auto"/>
        <w:left w:val="none" w:sz="0" w:space="0" w:color="auto"/>
        <w:bottom w:val="none" w:sz="0" w:space="0" w:color="auto"/>
        <w:right w:val="none" w:sz="0" w:space="0" w:color="auto"/>
      </w:divBdr>
    </w:div>
    <w:div w:id="404300974">
      <w:bodyDiv w:val="1"/>
      <w:marLeft w:val="0"/>
      <w:marRight w:val="0"/>
      <w:marTop w:val="0"/>
      <w:marBottom w:val="0"/>
      <w:divBdr>
        <w:top w:val="none" w:sz="0" w:space="0" w:color="auto"/>
        <w:left w:val="none" w:sz="0" w:space="0" w:color="auto"/>
        <w:bottom w:val="none" w:sz="0" w:space="0" w:color="auto"/>
        <w:right w:val="none" w:sz="0" w:space="0" w:color="auto"/>
      </w:divBdr>
    </w:div>
    <w:div w:id="404425065">
      <w:bodyDiv w:val="1"/>
      <w:marLeft w:val="0"/>
      <w:marRight w:val="0"/>
      <w:marTop w:val="0"/>
      <w:marBottom w:val="0"/>
      <w:divBdr>
        <w:top w:val="none" w:sz="0" w:space="0" w:color="auto"/>
        <w:left w:val="none" w:sz="0" w:space="0" w:color="auto"/>
        <w:bottom w:val="none" w:sz="0" w:space="0" w:color="auto"/>
        <w:right w:val="none" w:sz="0" w:space="0" w:color="auto"/>
      </w:divBdr>
    </w:div>
    <w:div w:id="404449833">
      <w:bodyDiv w:val="1"/>
      <w:marLeft w:val="0"/>
      <w:marRight w:val="0"/>
      <w:marTop w:val="0"/>
      <w:marBottom w:val="0"/>
      <w:divBdr>
        <w:top w:val="none" w:sz="0" w:space="0" w:color="auto"/>
        <w:left w:val="none" w:sz="0" w:space="0" w:color="auto"/>
        <w:bottom w:val="none" w:sz="0" w:space="0" w:color="auto"/>
        <w:right w:val="none" w:sz="0" w:space="0" w:color="auto"/>
      </w:divBdr>
    </w:div>
    <w:div w:id="404451158">
      <w:bodyDiv w:val="1"/>
      <w:marLeft w:val="0"/>
      <w:marRight w:val="0"/>
      <w:marTop w:val="0"/>
      <w:marBottom w:val="0"/>
      <w:divBdr>
        <w:top w:val="none" w:sz="0" w:space="0" w:color="auto"/>
        <w:left w:val="none" w:sz="0" w:space="0" w:color="auto"/>
        <w:bottom w:val="none" w:sz="0" w:space="0" w:color="auto"/>
        <w:right w:val="none" w:sz="0" w:space="0" w:color="auto"/>
      </w:divBdr>
    </w:div>
    <w:div w:id="404491450">
      <w:bodyDiv w:val="1"/>
      <w:marLeft w:val="0"/>
      <w:marRight w:val="0"/>
      <w:marTop w:val="0"/>
      <w:marBottom w:val="0"/>
      <w:divBdr>
        <w:top w:val="none" w:sz="0" w:space="0" w:color="auto"/>
        <w:left w:val="none" w:sz="0" w:space="0" w:color="auto"/>
        <w:bottom w:val="none" w:sz="0" w:space="0" w:color="auto"/>
        <w:right w:val="none" w:sz="0" w:space="0" w:color="auto"/>
      </w:divBdr>
    </w:div>
    <w:div w:id="404493216">
      <w:bodyDiv w:val="1"/>
      <w:marLeft w:val="0"/>
      <w:marRight w:val="0"/>
      <w:marTop w:val="0"/>
      <w:marBottom w:val="0"/>
      <w:divBdr>
        <w:top w:val="none" w:sz="0" w:space="0" w:color="auto"/>
        <w:left w:val="none" w:sz="0" w:space="0" w:color="auto"/>
        <w:bottom w:val="none" w:sz="0" w:space="0" w:color="auto"/>
        <w:right w:val="none" w:sz="0" w:space="0" w:color="auto"/>
      </w:divBdr>
    </w:div>
    <w:div w:id="404497875">
      <w:bodyDiv w:val="1"/>
      <w:marLeft w:val="0"/>
      <w:marRight w:val="0"/>
      <w:marTop w:val="0"/>
      <w:marBottom w:val="0"/>
      <w:divBdr>
        <w:top w:val="none" w:sz="0" w:space="0" w:color="auto"/>
        <w:left w:val="none" w:sz="0" w:space="0" w:color="auto"/>
        <w:bottom w:val="none" w:sz="0" w:space="0" w:color="auto"/>
        <w:right w:val="none" w:sz="0" w:space="0" w:color="auto"/>
      </w:divBdr>
    </w:div>
    <w:div w:id="404571593">
      <w:bodyDiv w:val="1"/>
      <w:marLeft w:val="0"/>
      <w:marRight w:val="0"/>
      <w:marTop w:val="0"/>
      <w:marBottom w:val="0"/>
      <w:divBdr>
        <w:top w:val="none" w:sz="0" w:space="0" w:color="auto"/>
        <w:left w:val="none" w:sz="0" w:space="0" w:color="auto"/>
        <w:bottom w:val="none" w:sz="0" w:space="0" w:color="auto"/>
        <w:right w:val="none" w:sz="0" w:space="0" w:color="auto"/>
      </w:divBdr>
    </w:div>
    <w:div w:id="404575927">
      <w:bodyDiv w:val="1"/>
      <w:marLeft w:val="0"/>
      <w:marRight w:val="0"/>
      <w:marTop w:val="0"/>
      <w:marBottom w:val="0"/>
      <w:divBdr>
        <w:top w:val="none" w:sz="0" w:space="0" w:color="auto"/>
        <w:left w:val="none" w:sz="0" w:space="0" w:color="auto"/>
        <w:bottom w:val="none" w:sz="0" w:space="0" w:color="auto"/>
        <w:right w:val="none" w:sz="0" w:space="0" w:color="auto"/>
      </w:divBdr>
    </w:div>
    <w:div w:id="404646082">
      <w:bodyDiv w:val="1"/>
      <w:marLeft w:val="0"/>
      <w:marRight w:val="0"/>
      <w:marTop w:val="0"/>
      <w:marBottom w:val="0"/>
      <w:divBdr>
        <w:top w:val="none" w:sz="0" w:space="0" w:color="auto"/>
        <w:left w:val="none" w:sz="0" w:space="0" w:color="auto"/>
        <w:bottom w:val="none" w:sz="0" w:space="0" w:color="auto"/>
        <w:right w:val="none" w:sz="0" w:space="0" w:color="auto"/>
      </w:divBdr>
    </w:div>
    <w:div w:id="404689573">
      <w:bodyDiv w:val="1"/>
      <w:marLeft w:val="0"/>
      <w:marRight w:val="0"/>
      <w:marTop w:val="0"/>
      <w:marBottom w:val="0"/>
      <w:divBdr>
        <w:top w:val="none" w:sz="0" w:space="0" w:color="auto"/>
        <w:left w:val="none" w:sz="0" w:space="0" w:color="auto"/>
        <w:bottom w:val="none" w:sz="0" w:space="0" w:color="auto"/>
        <w:right w:val="none" w:sz="0" w:space="0" w:color="auto"/>
      </w:divBdr>
    </w:div>
    <w:div w:id="404844983">
      <w:bodyDiv w:val="1"/>
      <w:marLeft w:val="0"/>
      <w:marRight w:val="0"/>
      <w:marTop w:val="0"/>
      <w:marBottom w:val="0"/>
      <w:divBdr>
        <w:top w:val="none" w:sz="0" w:space="0" w:color="auto"/>
        <w:left w:val="none" w:sz="0" w:space="0" w:color="auto"/>
        <w:bottom w:val="none" w:sz="0" w:space="0" w:color="auto"/>
        <w:right w:val="none" w:sz="0" w:space="0" w:color="auto"/>
      </w:divBdr>
    </w:div>
    <w:div w:id="404886530">
      <w:bodyDiv w:val="1"/>
      <w:marLeft w:val="0"/>
      <w:marRight w:val="0"/>
      <w:marTop w:val="0"/>
      <w:marBottom w:val="0"/>
      <w:divBdr>
        <w:top w:val="none" w:sz="0" w:space="0" w:color="auto"/>
        <w:left w:val="none" w:sz="0" w:space="0" w:color="auto"/>
        <w:bottom w:val="none" w:sz="0" w:space="0" w:color="auto"/>
        <w:right w:val="none" w:sz="0" w:space="0" w:color="auto"/>
      </w:divBdr>
    </w:div>
    <w:div w:id="404910979">
      <w:bodyDiv w:val="1"/>
      <w:marLeft w:val="0"/>
      <w:marRight w:val="0"/>
      <w:marTop w:val="0"/>
      <w:marBottom w:val="0"/>
      <w:divBdr>
        <w:top w:val="none" w:sz="0" w:space="0" w:color="auto"/>
        <w:left w:val="none" w:sz="0" w:space="0" w:color="auto"/>
        <w:bottom w:val="none" w:sz="0" w:space="0" w:color="auto"/>
        <w:right w:val="none" w:sz="0" w:space="0" w:color="auto"/>
      </w:divBdr>
    </w:div>
    <w:div w:id="404911863">
      <w:bodyDiv w:val="1"/>
      <w:marLeft w:val="0"/>
      <w:marRight w:val="0"/>
      <w:marTop w:val="0"/>
      <w:marBottom w:val="0"/>
      <w:divBdr>
        <w:top w:val="none" w:sz="0" w:space="0" w:color="auto"/>
        <w:left w:val="none" w:sz="0" w:space="0" w:color="auto"/>
        <w:bottom w:val="none" w:sz="0" w:space="0" w:color="auto"/>
        <w:right w:val="none" w:sz="0" w:space="0" w:color="auto"/>
      </w:divBdr>
    </w:div>
    <w:div w:id="404961116">
      <w:bodyDiv w:val="1"/>
      <w:marLeft w:val="0"/>
      <w:marRight w:val="0"/>
      <w:marTop w:val="0"/>
      <w:marBottom w:val="0"/>
      <w:divBdr>
        <w:top w:val="none" w:sz="0" w:space="0" w:color="auto"/>
        <w:left w:val="none" w:sz="0" w:space="0" w:color="auto"/>
        <w:bottom w:val="none" w:sz="0" w:space="0" w:color="auto"/>
        <w:right w:val="none" w:sz="0" w:space="0" w:color="auto"/>
      </w:divBdr>
    </w:div>
    <w:div w:id="405029218">
      <w:bodyDiv w:val="1"/>
      <w:marLeft w:val="0"/>
      <w:marRight w:val="0"/>
      <w:marTop w:val="0"/>
      <w:marBottom w:val="0"/>
      <w:divBdr>
        <w:top w:val="none" w:sz="0" w:space="0" w:color="auto"/>
        <w:left w:val="none" w:sz="0" w:space="0" w:color="auto"/>
        <w:bottom w:val="none" w:sz="0" w:space="0" w:color="auto"/>
        <w:right w:val="none" w:sz="0" w:space="0" w:color="auto"/>
      </w:divBdr>
    </w:div>
    <w:div w:id="405029726">
      <w:bodyDiv w:val="1"/>
      <w:marLeft w:val="0"/>
      <w:marRight w:val="0"/>
      <w:marTop w:val="0"/>
      <w:marBottom w:val="0"/>
      <w:divBdr>
        <w:top w:val="none" w:sz="0" w:space="0" w:color="auto"/>
        <w:left w:val="none" w:sz="0" w:space="0" w:color="auto"/>
        <w:bottom w:val="none" w:sz="0" w:space="0" w:color="auto"/>
        <w:right w:val="none" w:sz="0" w:space="0" w:color="auto"/>
      </w:divBdr>
    </w:div>
    <w:div w:id="405036958">
      <w:bodyDiv w:val="1"/>
      <w:marLeft w:val="0"/>
      <w:marRight w:val="0"/>
      <w:marTop w:val="0"/>
      <w:marBottom w:val="0"/>
      <w:divBdr>
        <w:top w:val="none" w:sz="0" w:space="0" w:color="auto"/>
        <w:left w:val="none" w:sz="0" w:space="0" w:color="auto"/>
        <w:bottom w:val="none" w:sz="0" w:space="0" w:color="auto"/>
        <w:right w:val="none" w:sz="0" w:space="0" w:color="auto"/>
      </w:divBdr>
    </w:div>
    <w:div w:id="405038002">
      <w:bodyDiv w:val="1"/>
      <w:marLeft w:val="0"/>
      <w:marRight w:val="0"/>
      <w:marTop w:val="0"/>
      <w:marBottom w:val="0"/>
      <w:divBdr>
        <w:top w:val="none" w:sz="0" w:space="0" w:color="auto"/>
        <w:left w:val="none" w:sz="0" w:space="0" w:color="auto"/>
        <w:bottom w:val="none" w:sz="0" w:space="0" w:color="auto"/>
        <w:right w:val="none" w:sz="0" w:space="0" w:color="auto"/>
      </w:divBdr>
    </w:div>
    <w:div w:id="405106700">
      <w:bodyDiv w:val="1"/>
      <w:marLeft w:val="0"/>
      <w:marRight w:val="0"/>
      <w:marTop w:val="0"/>
      <w:marBottom w:val="0"/>
      <w:divBdr>
        <w:top w:val="none" w:sz="0" w:space="0" w:color="auto"/>
        <w:left w:val="none" w:sz="0" w:space="0" w:color="auto"/>
        <w:bottom w:val="none" w:sz="0" w:space="0" w:color="auto"/>
        <w:right w:val="none" w:sz="0" w:space="0" w:color="auto"/>
      </w:divBdr>
    </w:div>
    <w:div w:id="405156037">
      <w:bodyDiv w:val="1"/>
      <w:marLeft w:val="0"/>
      <w:marRight w:val="0"/>
      <w:marTop w:val="0"/>
      <w:marBottom w:val="0"/>
      <w:divBdr>
        <w:top w:val="none" w:sz="0" w:space="0" w:color="auto"/>
        <w:left w:val="none" w:sz="0" w:space="0" w:color="auto"/>
        <w:bottom w:val="none" w:sz="0" w:space="0" w:color="auto"/>
        <w:right w:val="none" w:sz="0" w:space="0" w:color="auto"/>
      </w:divBdr>
    </w:div>
    <w:div w:id="405223347">
      <w:bodyDiv w:val="1"/>
      <w:marLeft w:val="0"/>
      <w:marRight w:val="0"/>
      <w:marTop w:val="0"/>
      <w:marBottom w:val="0"/>
      <w:divBdr>
        <w:top w:val="none" w:sz="0" w:space="0" w:color="auto"/>
        <w:left w:val="none" w:sz="0" w:space="0" w:color="auto"/>
        <w:bottom w:val="none" w:sz="0" w:space="0" w:color="auto"/>
        <w:right w:val="none" w:sz="0" w:space="0" w:color="auto"/>
      </w:divBdr>
    </w:div>
    <w:div w:id="405224851">
      <w:bodyDiv w:val="1"/>
      <w:marLeft w:val="0"/>
      <w:marRight w:val="0"/>
      <w:marTop w:val="0"/>
      <w:marBottom w:val="0"/>
      <w:divBdr>
        <w:top w:val="none" w:sz="0" w:space="0" w:color="auto"/>
        <w:left w:val="none" w:sz="0" w:space="0" w:color="auto"/>
        <w:bottom w:val="none" w:sz="0" w:space="0" w:color="auto"/>
        <w:right w:val="none" w:sz="0" w:space="0" w:color="auto"/>
      </w:divBdr>
    </w:div>
    <w:div w:id="405299154">
      <w:bodyDiv w:val="1"/>
      <w:marLeft w:val="0"/>
      <w:marRight w:val="0"/>
      <w:marTop w:val="0"/>
      <w:marBottom w:val="0"/>
      <w:divBdr>
        <w:top w:val="none" w:sz="0" w:space="0" w:color="auto"/>
        <w:left w:val="none" w:sz="0" w:space="0" w:color="auto"/>
        <w:bottom w:val="none" w:sz="0" w:space="0" w:color="auto"/>
        <w:right w:val="none" w:sz="0" w:space="0" w:color="auto"/>
      </w:divBdr>
    </w:div>
    <w:div w:id="405299477">
      <w:bodyDiv w:val="1"/>
      <w:marLeft w:val="0"/>
      <w:marRight w:val="0"/>
      <w:marTop w:val="0"/>
      <w:marBottom w:val="0"/>
      <w:divBdr>
        <w:top w:val="none" w:sz="0" w:space="0" w:color="auto"/>
        <w:left w:val="none" w:sz="0" w:space="0" w:color="auto"/>
        <w:bottom w:val="none" w:sz="0" w:space="0" w:color="auto"/>
        <w:right w:val="none" w:sz="0" w:space="0" w:color="auto"/>
      </w:divBdr>
    </w:div>
    <w:div w:id="405346537">
      <w:bodyDiv w:val="1"/>
      <w:marLeft w:val="0"/>
      <w:marRight w:val="0"/>
      <w:marTop w:val="0"/>
      <w:marBottom w:val="0"/>
      <w:divBdr>
        <w:top w:val="none" w:sz="0" w:space="0" w:color="auto"/>
        <w:left w:val="none" w:sz="0" w:space="0" w:color="auto"/>
        <w:bottom w:val="none" w:sz="0" w:space="0" w:color="auto"/>
        <w:right w:val="none" w:sz="0" w:space="0" w:color="auto"/>
      </w:divBdr>
    </w:div>
    <w:div w:id="405347719">
      <w:bodyDiv w:val="1"/>
      <w:marLeft w:val="0"/>
      <w:marRight w:val="0"/>
      <w:marTop w:val="0"/>
      <w:marBottom w:val="0"/>
      <w:divBdr>
        <w:top w:val="none" w:sz="0" w:space="0" w:color="auto"/>
        <w:left w:val="none" w:sz="0" w:space="0" w:color="auto"/>
        <w:bottom w:val="none" w:sz="0" w:space="0" w:color="auto"/>
        <w:right w:val="none" w:sz="0" w:space="0" w:color="auto"/>
      </w:divBdr>
    </w:div>
    <w:div w:id="405421134">
      <w:bodyDiv w:val="1"/>
      <w:marLeft w:val="0"/>
      <w:marRight w:val="0"/>
      <w:marTop w:val="0"/>
      <w:marBottom w:val="0"/>
      <w:divBdr>
        <w:top w:val="none" w:sz="0" w:space="0" w:color="auto"/>
        <w:left w:val="none" w:sz="0" w:space="0" w:color="auto"/>
        <w:bottom w:val="none" w:sz="0" w:space="0" w:color="auto"/>
        <w:right w:val="none" w:sz="0" w:space="0" w:color="auto"/>
      </w:divBdr>
    </w:div>
    <w:div w:id="405422041">
      <w:bodyDiv w:val="1"/>
      <w:marLeft w:val="0"/>
      <w:marRight w:val="0"/>
      <w:marTop w:val="0"/>
      <w:marBottom w:val="0"/>
      <w:divBdr>
        <w:top w:val="none" w:sz="0" w:space="0" w:color="auto"/>
        <w:left w:val="none" w:sz="0" w:space="0" w:color="auto"/>
        <w:bottom w:val="none" w:sz="0" w:space="0" w:color="auto"/>
        <w:right w:val="none" w:sz="0" w:space="0" w:color="auto"/>
      </w:divBdr>
    </w:div>
    <w:div w:id="405498173">
      <w:bodyDiv w:val="1"/>
      <w:marLeft w:val="0"/>
      <w:marRight w:val="0"/>
      <w:marTop w:val="0"/>
      <w:marBottom w:val="0"/>
      <w:divBdr>
        <w:top w:val="none" w:sz="0" w:space="0" w:color="auto"/>
        <w:left w:val="none" w:sz="0" w:space="0" w:color="auto"/>
        <w:bottom w:val="none" w:sz="0" w:space="0" w:color="auto"/>
        <w:right w:val="none" w:sz="0" w:space="0" w:color="auto"/>
      </w:divBdr>
    </w:div>
    <w:div w:id="405499007">
      <w:bodyDiv w:val="1"/>
      <w:marLeft w:val="0"/>
      <w:marRight w:val="0"/>
      <w:marTop w:val="0"/>
      <w:marBottom w:val="0"/>
      <w:divBdr>
        <w:top w:val="none" w:sz="0" w:space="0" w:color="auto"/>
        <w:left w:val="none" w:sz="0" w:space="0" w:color="auto"/>
        <w:bottom w:val="none" w:sz="0" w:space="0" w:color="auto"/>
        <w:right w:val="none" w:sz="0" w:space="0" w:color="auto"/>
      </w:divBdr>
    </w:div>
    <w:div w:id="405537002">
      <w:bodyDiv w:val="1"/>
      <w:marLeft w:val="0"/>
      <w:marRight w:val="0"/>
      <w:marTop w:val="0"/>
      <w:marBottom w:val="0"/>
      <w:divBdr>
        <w:top w:val="none" w:sz="0" w:space="0" w:color="auto"/>
        <w:left w:val="none" w:sz="0" w:space="0" w:color="auto"/>
        <w:bottom w:val="none" w:sz="0" w:space="0" w:color="auto"/>
        <w:right w:val="none" w:sz="0" w:space="0" w:color="auto"/>
      </w:divBdr>
    </w:div>
    <w:div w:id="405537811">
      <w:bodyDiv w:val="1"/>
      <w:marLeft w:val="0"/>
      <w:marRight w:val="0"/>
      <w:marTop w:val="0"/>
      <w:marBottom w:val="0"/>
      <w:divBdr>
        <w:top w:val="none" w:sz="0" w:space="0" w:color="auto"/>
        <w:left w:val="none" w:sz="0" w:space="0" w:color="auto"/>
        <w:bottom w:val="none" w:sz="0" w:space="0" w:color="auto"/>
        <w:right w:val="none" w:sz="0" w:space="0" w:color="auto"/>
      </w:divBdr>
    </w:div>
    <w:div w:id="405618058">
      <w:bodyDiv w:val="1"/>
      <w:marLeft w:val="0"/>
      <w:marRight w:val="0"/>
      <w:marTop w:val="0"/>
      <w:marBottom w:val="0"/>
      <w:divBdr>
        <w:top w:val="none" w:sz="0" w:space="0" w:color="auto"/>
        <w:left w:val="none" w:sz="0" w:space="0" w:color="auto"/>
        <w:bottom w:val="none" w:sz="0" w:space="0" w:color="auto"/>
        <w:right w:val="none" w:sz="0" w:space="0" w:color="auto"/>
      </w:divBdr>
    </w:div>
    <w:div w:id="405954698">
      <w:bodyDiv w:val="1"/>
      <w:marLeft w:val="0"/>
      <w:marRight w:val="0"/>
      <w:marTop w:val="0"/>
      <w:marBottom w:val="0"/>
      <w:divBdr>
        <w:top w:val="none" w:sz="0" w:space="0" w:color="auto"/>
        <w:left w:val="none" w:sz="0" w:space="0" w:color="auto"/>
        <w:bottom w:val="none" w:sz="0" w:space="0" w:color="auto"/>
        <w:right w:val="none" w:sz="0" w:space="0" w:color="auto"/>
      </w:divBdr>
    </w:div>
    <w:div w:id="406070867">
      <w:bodyDiv w:val="1"/>
      <w:marLeft w:val="0"/>
      <w:marRight w:val="0"/>
      <w:marTop w:val="0"/>
      <w:marBottom w:val="0"/>
      <w:divBdr>
        <w:top w:val="none" w:sz="0" w:space="0" w:color="auto"/>
        <w:left w:val="none" w:sz="0" w:space="0" w:color="auto"/>
        <w:bottom w:val="none" w:sz="0" w:space="0" w:color="auto"/>
        <w:right w:val="none" w:sz="0" w:space="0" w:color="auto"/>
      </w:divBdr>
    </w:div>
    <w:div w:id="406079234">
      <w:bodyDiv w:val="1"/>
      <w:marLeft w:val="0"/>
      <w:marRight w:val="0"/>
      <w:marTop w:val="0"/>
      <w:marBottom w:val="0"/>
      <w:divBdr>
        <w:top w:val="none" w:sz="0" w:space="0" w:color="auto"/>
        <w:left w:val="none" w:sz="0" w:space="0" w:color="auto"/>
        <w:bottom w:val="none" w:sz="0" w:space="0" w:color="auto"/>
        <w:right w:val="none" w:sz="0" w:space="0" w:color="auto"/>
      </w:divBdr>
    </w:div>
    <w:div w:id="406147540">
      <w:bodyDiv w:val="1"/>
      <w:marLeft w:val="0"/>
      <w:marRight w:val="0"/>
      <w:marTop w:val="0"/>
      <w:marBottom w:val="0"/>
      <w:divBdr>
        <w:top w:val="none" w:sz="0" w:space="0" w:color="auto"/>
        <w:left w:val="none" w:sz="0" w:space="0" w:color="auto"/>
        <w:bottom w:val="none" w:sz="0" w:space="0" w:color="auto"/>
        <w:right w:val="none" w:sz="0" w:space="0" w:color="auto"/>
      </w:divBdr>
    </w:div>
    <w:div w:id="406150694">
      <w:bodyDiv w:val="1"/>
      <w:marLeft w:val="0"/>
      <w:marRight w:val="0"/>
      <w:marTop w:val="0"/>
      <w:marBottom w:val="0"/>
      <w:divBdr>
        <w:top w:val="none" w:sz="0" w:space="0" w:color="auto"/>
        <w:left w:val="none" w:sz="0" w:space="0" w:color="auto"/>
        <w:bottom w:val="none" w:sz="0" w:space="0" w:color="auto"/>
        <w:right w:val="none" w:sz="0" w:space="0" w:color="auto"/>
      </w:divBdr>
    </w:div>
    <w:div w:id="406193878">
      <w:bodyDiv w:val="1"/>
      <w:marLeft w:val="0"/>
      <w:marRight w:val="0"/>
      <w:marTop w:val="0"/>
      <w:marBottom w:val="0"/>
      <w:divBdr>
        <w:top w:val="none" w:sz="0" w:space="0" w:color="auto"/>
        <w:left w:val="none" w:sz="0" w:space="0" w:color="auto"/>
        <w:bottom w:val="none" w:sz="0" w:space="0" w:color="auto"/>
        <w:right w:val="none" w:sz="0" w:space="0" w:color="auto"/>
      </w:divBdr>
    </w:div>
    <w:div w:id="406223120">
      <w:bodyDiv w:val="1"/>
      <w:marLeft w:val="0"/>
      <w:marRight w:val="0"/>
      <w:marTop w:val="0"/>
      <w:marBottom w:val="0"/>
      <w:divBdr>
        <w:top w:val="none" w:sz="0" w:space="0" w:color="auto"/>
        <w:left w:val="none" w:sz="0" w:space="0" w:color="auto"/>
        <w:bottom w:val="none" w:sz="0" w:space="0" w:color="auto"/>
        <w:right w:val="none" w:sz="0" w:space="0" w:color="auto"/>
      </w:divBdr>
    </w:div>
    <w:div w:id="406263989">
      <w:bodyDiv w:val="1"/>
      <w:marLeft w:val="0"/>
      <w:marRight w:val="0"/>
      <w:marTop w:val="0"/>
      <w:marBottom w:val="0"/>
      <w:divBdr>
        <w:top w:val="none" w:sz="0" w:space="0" w:color="auto"/>
        <w:left w:val="none" w:sz="0" w:space="0" w:color="auto"/>
        <w:bottom w:val="none" w:sz="0" w:space="0" w:color="auto"/>
        <w:right w:val="none" w:sz="0" w:space="0" w:color="auto"/>
      </w:divBdr>
    </w:div>
    <w:div w:id="406346244">
      <w:bodyDiv w:val="1"/>
      <w:marLeft w:val="0"/>
      <w:marRight w:val="0"/>
      <w:marTop w:val="0"/>
      <w:marBottom w:val="0"/>
      <w:divBdr>
        <w:top w:val="none" w:sz="0" w:space="0" w:color="auto"/>
        <w:left w:val="none" w:sz="0" w:space="0" w:color="auto"/>
        <w:bottom w:val="none" w:sz="0" w:space="0" w:color="auto"/>
        <w:right w:val="none" w:sz="0" w:space="0" w:color="auto"/>
      </w:divBdr>
    </w:div>
    <w:div w:id="406420437">
      <w:bodyDiv w:val="1"/>
      <w:marLeft w:val="0"/>
      <w:marRight w:val="0"/>
      <w:marTop w:val="0"/>
      <w:marBottom w:val="0"/>
      <w:divBdr>
        <w:top w:val="none" w:sz="0" w:space="0" w:color="auto"/>
        <w:left w:val="none" w:sz="0" w:space="0" w:color="auto"/>
        <w:bottom w:val="none" w:sz="0" w:space="0" w:color="auto"/>
        <w:right w:val="none" w:sz="0" w:space="0" w:color="auto"/>
      </w:divBdr>
    </w:div>
    <w:div w:id="406457273">
      <w:bodyDiv w:val="1"/>
      <w:marLeft w:val="0"/>
      <w:marRight w:val="0"/>
      <w:marTop w:val="0"/>
      <w:marBottom w:val="0"/>
      <w:divBdr>
        <w:top w:val="none" w:sz="0" w:space="0" w:color="auto"/>
        <w:left w:val="none" w:sz="0" w:space="0" w:color="auto"/>
        <w:bottom w:val="none" w:sz="0" w:space="0" w:color="auto"/>
        <w:right w:val="none" w:sz="0" w:space="0" w:color="auto"/>
      </w:divBdr>
    </w:div>
    <w:div w:id="406462815">
      <w:bodyDiv w:val="1"/>
      <w:marLeft w:val="0"/>
      <w:marRight w:val="0"/>
      <w:marTop w:val="0"/>
      <w:marBottom w:val="0"/>
      <w:divBdr>
        <w:top w:val="none" w:sz="0" w:space="0" w:color="auto"/>
        <w:left w:val="none" w:sz="0" w:space="0" w:color="auto"/>
        <w:bottom w:val="none" w:sz="0" w:space="0" w:color="auto"/>
        <w:right w:val="none" w:sz="0" w:space="0" w:color="auto"/>
      </w:divBdr>
    </w:div>
    <w:div w:id="406539286">
      <w:bodyDiv w:val="1"/>
      <w:marLeft w:val="0"/>
      <w:marRight w:val="0"/>
      <w:marTop w:val="0"/>
      <w:marBottom w:val="0"/>
      <w:divBdr>
        <w:top w:val="none" w:sz="0" w:space="0" w:color="auto"/>
        <w:left w:val="none" w:sz="0" w:space="0" w:color="auto"/>
        <w:bottom w:val="none" w:sz="0" w:space="0" w:color="auto"/>
        <w:right w:val="none" w:sz="0" w:space="0" w:color="auto"/>
      </w:divBdr>
    </w:div>
    <w:div w:id="406539359">
      <w:bodyDiv w:val="1"/>
      <w:marLeft w:val="0"/>
      <w:marRight w:val="0"/>
      <w:marTop w:val="0"/>
      <w:marBottom w:val="0"/>
      <w:divBdr>
        <w:top w:val="none" w:sz="0" w:space="0" w:color="auto"/>
        <w:left w:val="none" w:sz="0" w:space="0" w:color="auto"/>
        <w:bottom w:val="none" w:sz="0" w:space="0" w:color="auto"/>
        <w:right w:val="none" w:sz="0" w:space="0" w:color="auto"/>
      </w:divBdr>
    </w:div>
    <w:div w:id="406655912">
      <w:bodyDiv w:val="1"/>
      <w:marLeft w:val="0"/>
      <w:marRight w:val="0"/>
      <w:marTop w:val="0"/>
      <w:marBottom w:val="0"/>
      <w:divBdr>
        <w:top w:val="none" w:sz="0" w:space="0" w:color="auto"/>
        <w:left w:val="none" w:sz="0" w:space="0" w:color="auto"/>
        <w:bottom w:val="none" w:sz="0" w:space="0" w:color="auto"/>
        <w:right w:val="none" w:sz="0" w:space="0" w:color="auto"/>
      </w:divBdr>
    </w:div>
    <w:div w:id="406921644">
      <w:bodyDiv w:val="1"/>
      <w:marLeft w:val="0"/>
      <w:marRight w:val="0"/>
      <w:marTop w:val="0"/>
      <w:marBottom w:val="0"/>
      <w:divBdr>
        <w:top w:val="none" w:sz="0" w:space="0" w:color="auto"/>
        <w:left w:val="none" w:sz="0" w:space="0" w:color="auto"/>
        <w:bottom w:val="none" w:sz="0" w:space="0" w:color="auto"/>
        <w:right w:val="none" w:sz="0" w:space="0" w:color="auto"/>
      </w:divBdr>
    </w:div>
    <w:div w:id="406927381">
      <w:bodyDiv w:val="1"/>
      <w:marLeft w:val="0"/>
      <w:marRight w:val="0"/>
      <w:marTop w:val="0"/>
      <w:marBottom w:val="0"/>
      <w:divBdr>
        <w:top w:val="none" w:sz="0" w:space="0" w:color="auto"/>
        <w:left w:val="none" w:sz="0" w:space="0" w:color="auto"/>
        <w:bottom w:val="none" w:sz="0" w:space="0" w:color="auto"/>
        <w:right w:val="none" w:sz="0" w:space="0" w:color="auto"/>
      </w:divBdr>
    </w:div>
    <w:div w:id="407070459">
      <w:bodyDiv w:val="1"/>
      <w:marLeft w:val="0"/>
      <w:marRight w:val="0"/>
      <w:marTop w:val="0"/>
      <w:marBottom w:val="0"/>
      <w:divBdr>
        <w:top w:val="none" w:sz="0" w:space="0" w:color="auto"/>
        <w:left w:val="none" w:sz="0" w:space="0" w:color="auto"/>
        <w:bottom w:val="none" w:sz="0" w:space="0" w:color="auto"/>
        <w:right w:val="none" w:sz="0" w:space="0" w:color="auto"/>
      </w:divBdr>
    </w:div>
    <w:div w:id="407113640">
      <w:bodyDiv w:val="1"/>
      <w:marLeft w:val="0"/>
      <w:marRight w:val="0"/>
      <w:marTop w:val="0"/>
      <w:marBottom w:val="0"/>
      <w:divBdr>
        <w:top w:val="none" w:sz="0" w:space="0" w:color="auto"/>
        <w:left w:val="none" w:sz="0" w:space="0" w:color="auto"/>
        <w:bottom w:val="none" w:sz="0" w:space="0" w:color="auto"/>
        <w:right w:val="none" w:sz="0" w:space="0" w:color="auto"/>
      </w:divBdr>
    </w:div>
    <w:div w:id="407118630">
      <w:bodyDiv w:val="1"/>
      <w:marLeft w:val="0"/>
      <w:marRight w:val="0"/>
      <w:marTop w:val="0"/>
      <w:marBottom w:val="0"/>
      <w:divBdr>
        <w:top w:val="none" w:sz="0" w:space="0" w:color="auto"/>
        <w:left w:val="none" w:sz="0" w:space="0" w:color="auto"/>
        <w:bottom w:val="none" w:sz="0" w:space="0" w:color="auto"/>
        <w:right w:val="none" w:sz="0" w:space="0" w:color="auto"/>
      </w:divBdr>
    </w:div>
    <w:div w:id="407189213">
      <w:bodyDiv w:val="1"/>
      <w:marLeft w:val="0"/>
      <w:marRight w:val="0"/>
      <w:marTop w:val="0"/>
      <w:marBottom w:val="0"/>
      <w:divBdr>
        <w:top w:val="none" w:sz="0" w:space="0" w:color="auto"/>
        <w:left w:val="none" w:sz="0" w:space="0" w:color="auto"/>
        <w:bottom w:val="none" w:sz="0" w:space="0" w:color="auto"/>
        <w:right w:val="none" w:sz="0" w:space="0" w:color="auto"/>
      </w:divBdr>
    </w:div>
    <w:div w:id="407191213">
      <w:bodyDiv w:val="1"/>
      <w:marLeft w:val="0"/>
      <w:marRight w:val="0"/>
      <w:marTop w:val="0"/>
      <w:marBottom w:val="0"/>
      <w:divBdr>
        <w:top w:val="none" w:sz="0" w:space="0" w:color="auto"/>
        <w:left w:val="none" w:sz="0" w:space="0" w:color="auto"/>
        <w:bottom w:val="none" w:sz="0" w:space="0" w:color="auto"/>
        <w:right w:val="none" w:sz="0" w:space="0" w:color="auto"/>
      </w:divBdr>
    </w:div>
    <w:div w:id="407194525">
      <w:bodyDiv w:val="1"/>
      <w:marLeft w:val="0"/>
      <w:marRight w:val="0"/>
      <w:marTop w:val="0"/>
      <w:marBottom w:val="0"/>
      <w:divBdr>
        <w:top w:val="none" w:sz="0" w:space="0" w:color="auto"/>
        <w:left w:val="none" w:sz="0" w:space="0" w:color="auto"/>
        <w:bottom w:val="none" w:sz="0" w:space="0" w:color="auto"/>
        <w:right w:val="none" w:sz="0" w:space="0" w:color="auto"/>
      </w:divBdr>
    </w:div>
    <w:div w:id="407389706">
      <w:bodyDiv w:val="1"/>
      <w:marLeft w:val="0"/>
      <w:marRight w:val="0"/>
      <w:marTop w:val="0"/>
      <w:marBottom w:val="0"/>
      <w:divBdr>
        <w:top w:val="none" w:sz="0" w:space="0" w:color="auto"/>
        <w:left w:val="none" w:sz="0" w:space="0" w:color="auto"/>
        <w:bottom w:val="none" w:sz="0" w:space="0" w:color="auto"/>
        <w:right w:val="none" w:sz="0" w:space="0" w:color="auto"/>
      </w:divBdr>
    </w:div>
    <w:div w:id="407458747">
      <w:bodyDiv w:val="1"/>
      <w:marLeft w:val="0"/>
      <w:marRight w:val="0"/>
      <w:marTop w:val="0"/>
      <w:marBottom w:val="0"/>
      <w:divBdr>
        <w:top w:val="none" w:sz="0" w:space="0" w:color="auto"/>
        <w:left w:val="none" w:sz="0" w:space="0" w:color="auto"/>
        <w:bottom w:val="none" w:sz="0" w:space="0" w:color="auto"/>
        <w:right w:val="none" w:sz="0" w:space="0" w:color="auto"/>
      </w:divBdr>
    </w:div>
    <w:div w:id="407459025">
      <w:bodyDiv w:val="1"/>
      <w:marLeft w:val="0"/>
      <w:marRight w:val="0"/>
      <w:marTop w:val="0"/>
      <w:marBottom w:val="0"/>
      <w:divBdr>
        <w:top w:val="none" w:sz="0" w:space="0" w:color="auto"/>
        <w:left w:val="none" w:sz="0" w:space="0" w:color="auto"/>
        <w:bottom w:val="none" w:sz="0" w:space="0" w:color="auto"/>
        <w:right w:val="none" w:sz="0" w:space="0" w:color="auto"/>
      </w:divBdr>
    </w:div>
    <w:div w:id="407508162">
      <w:bodyDiv w:val="1"/>
      <w:marLeft w:val="0"/>
      <w:marRight w:val="0"/>
      <w:marTop w:val="0"/>
      <w:marBottom w:val="0"/>
      <w:divBdr>
        <w:top w:val="none" w:sz="0" w:space="0" w:color="auto"/>
        <w:left w:val="none" w:sz="0" w:space="0" w:color="auto"/>
        <w:bottom w:val="none" w:sz="0" w:space="0" w:color="auto"/>
        <w:right w:val="none" w:sz="0" w:space="0" w:color="auto"/>
      </w:divBdr>
    </w:div>
    <w:div w:id="407532090">
      <w:bodyDiv w:val="1"/>
      <w:marLeft w:val="0"/>
      <w:marRight w:val="0"/>
      <w:marTop w:val="0"/>
      <w:marBottom w:val="0"/>
      <w:divBdr>
        <w:top w:val="none" w:sz="0" w:space="0" w:color="auto"/>
        <w:left w:val="none" w:sz="0" w:space="0" w:color="auto"/>
        <w:bottom w:val="none" w:sz="0" w:space="0" w:color="auto"/>
        <w:right w:val="none" w:sz="0" w:space="0" w:color="auto"/>
      </w:divBdr>
    </w:div>
    <w:div w:id="407574972">
      <w:bodyDiv w:val="1"/>
      <w:marLeft w:val="0"/>
      <w:marRight w:val="0"/>
      <w:marTop w:val="0"/>
      <w:marBottom w:val="0"/>
      <w:divBdr>
        <w:top w:val="none" w:sz="0" w:space="0" w:color="auto"/>
        <w:left w:val="none" w:sz="0" w:space="0" w:color="auto"/>
        <w:bottom w:val="none" w:sz="0" w:space="0" w:color="auto"/>
        <w:right w:val="none" w:sz="0" w:space="0" w:color="auto"/>
      </w:divBdr>
    </w:div>
    <w:div w:id="407583318">
      <w:bodyDiv w:val="1"/>
      <w:marLeft w:val="0"/>
      <w:marRight w:val="0"/>
      <w:marTop w:val="0"/>
      <w:marBottom w:val="0"/>
      <w:divBdr>
        <w:top w:val="none" w:sz="0" w:space="0" w:color="auto"/>
        <w:left w:val="none" w:sz="0" w:space="0" w:color="auto"/>
        <w:bottom w:val="none" w:sz="0" w:space="0" w:color="auto"/>
        <w:right w:val="none" w:sz="0" w:space="0" w:color="auto"/>
      </w:divBdr>
    </w:div>
    <w:div w:id="407731068">
      <w:bodyDiv w:val="1"/>
      <w:marLeft w:val="0"/>
      <w:marRight w:val="0"/>
      <w:marTop w:val="0"/>
      <w:marBottom w:val="0"/>
      <w:divBdr>
        <w:top w:val="none" w:sz="0" w:space="0" w:color="auto"/>
        <w:left w:val="none" w:sz="0" w:space="0" w:color="auto"/>
        <w:bottom w:val="none" w:sz="0" w:space="0" w:color="auto"/>
        <w:right w:val="none" w:sz="0" w:space="0" w:color="auto"/>
      </w:divBdr>
    </w:div>
    <w:div w:id="407732096">
      <w:bodyDiv w:val="1"/>
      <w:marLeft w:val="0"/>
      <w:marRight w:val="0"/>
      <w:marTop w:val="0"/>
      <w:marBottom w:val="0"/>
      <w:divBdr>
        <w:top w:val="none" w:sz="0" w:space="0" w:color="auto"/>
        <w:left w:val="none" w:sz="0" w:space="0" w:color="auto"/>
        <w:bottom w:val="none" w:sz="0" w:space="0" w:color="auto"/>
        <w:right w:val="none" w:sz="0" w:space="0" w:color="auto"/>
      </w:divBdr>
    </w:div>
    <w:div w:id="408117181">
      <w:bodyDiv w:val="1"/>
      <w:marLeft w:val="0"/>
      <w:marRight w:val="0"/>
      <w:marTop w:val="0"/>
      <w:marBottom w:val="0"/>
      <w:divBdr>
        <w:top w:val="none" w:sz="0" w:space="0" w:color="auto"/>
        <w:left w:val="none" w:sz="0" w:space="0" w:color="auto"/>
        <w:bottom w:val="none" w:sz="0" w:space="0" w:color="auto"/>
        <w:right w:val="none" w:sz="0" w:space="0" w:color="auto"/>
      </w:divBdr>
    </w:div>
    <w:div w:id="408119518">
      <w:bodyDiv w:val="1"/>
      <w:marLeft w:val="0"/>
      <w:marRight w:val="0"/>
      <w:marTop w:val="0"/>
      <w:marBottom w:val="0"/>
      <w:divBdr>
        <w:top w:val="none" w:sz="0" w:space="0" w:color="auto"/>
        <w:left w:val="none" w:sz="0" w:space="0" w:color="auto"/>
        <w:bottom w:val="none" w:sz="0" w:space="0" w:color="auto"/>
        <w:right w:val="none" w:sz="0" w:space="0" w:color="auto"/>
      </w:divBdr>
    </w:div>
    <w:div w:id="408159689">
      <w:bodyDiv w:val="1"/>
      <w:marLeft w:val="0"/>
      <w:marRight w:val="0"/>
      <w:marTop w:val="0"/>
      <w:marBottom w:val="0"/>
      <w:divBdr>
        <w:top w:val="none" w:sz="0" w:space="0" w:color="auto"/>
        <w:left w:val="none" w:sz="0" w:space="0" w:color="auto"/>
        <w:bottom w:val="none" w:sz="0" w:space="0" w:color="auto"/>
        <w:right w:val="none" w:sz="0" w:space="0" w:color="auto"/>
      </w:divBdr>
    </w:div>
    <w:div w:id="408230122">
      <w:bodyDiv w:val="1"/>
      <w:marLeft w:val="0"/>
      <w:marRight w:val="0"/>
      <w:marTop w:val="0"/>
      <w:marBottom w:val="0"/>
      <w:divBdr>
        <w:top w:val="none" w:sz="0" w:space="0" w:color="auto"/>
        <w:left w:val="none" w:sz="0" w:space="0" w:color="auto"/>
        <w:bottom w:val="none" w:sz="0" w:space="0" w:color="auto"/>
        <w:right w:val="none" w:sz="0" w:space="0" w:color="auto"/>
      </w:divBdr>
    </w:div>
    <w:div w:id="408305996">
      <w:bodyDiv w:val="1"/>
      <w:marLeft w:val="0"/>
      <w:marRight w:val="0"/>
      <w:marTop w:val="0"/>
      <w:marBottom w:val="0"/>
      <w:divBdr>
        <w:top w:val="none" w:sz="0" w:space="0" w:color="auto"/>
        <w:left w:val="none" w:sz="0" w:space="0" w:color="auto"/>
        <w:bottom w:val="none" w:sz="0" w:space="0" w:color="auto"/>
        <w:right w:val="none" w:sz="0" w:space="0" w:color="auto"/>
      </w:divBdr>
    </w:div>
    <w:div w:id="408307663">
      <w:bodyDiv w:val="1"/>
      <w:marLeft w:val="0"/>
      <w:marRight w:val="0"/>
      <w:marTop w:val="0"/>
      <w:marBottom w:val="0"/>
      <w:divBdr>
        <w:top w:val="none" w:sz="0" w:space="0" w:color="auto"/>
        <w:left w:val="none" w:sz="0" w:space="0" w:color="auto"/>
        <w:bottom w:val="none" w:sz="0" w:space="0" w:color="auto"/>
        <w:right w:val="none" w:sz="0" w:space="0" w:color="auto"/>
      </w:divBdr>
    </w:div>
    <w:div w:id="408309958">
      <w:bodyDiv w:val="1"/>
      <w:marLeft w:val="0"/>
      <w:marRight w:val="0"/>
      <w:marTop w:val="0"/>
      <w:marBottom w:val="0"/>
      <w:divBdr>
        <w:top w:val="none" w:sz="0" w:space="0" w:color="auto"/>
        <w:left w:val="none" w:sz="0" w:space="0" w:color="auto"/>
        <w:bottom w:val="none" w:sz="0" w:space="0" w:color="auto"/>
        <w:right w:val="none" w:sz="0" w:space="0" w:color="auto"/>
      </w:divBdr>
    </w:div>
    <w:div w:id="408387331">
      <w:bodyDiv w:val="1"/>
      <w:marLeft w:val="0"/>
      <w:marRight w:val="0"/>
      <w:marTop w:val="0"/>
      <w:marBottom w:val="0"/>
      <w:divBdr>
        <w:top w:val="none" w:sz="0" w:space="0" w:color="auto"/>
        <w:left w:val="none" w:sz="0" w:space="0" w:color="auto"/>
        <w:bottom w:val="none" w:sz="0" w:space="0" w:color="auto"/>
        <w:right w:val="none" w:sz="0" w:space="0" w:color="auto"/>
      </w:divBdr>
    </w:div>
    <w:div w:id="408431683">
      <w:bodyDiv w:val="1"/>
      <w:marLeft w:val="0"/>
      <w:marRight w:val="0"/>
      <w:marTop w:val="0"/>
      <w:marBottom w:val="0"/>
      <w:divBdr>
        <w:top w:val="none" w:sz="0" w:space="0" w:color="auto"/>
        <w:left w:val="none" w:sz="0" w:space="0" w:color="auto"/>
        <w:bottom w:val="none" w:sz="0" w:space="0" w:color="auto"/>
        <w:right w:val="none" w:sz="0" w:space="0" w:color="auto"/>
      </w:divBdr>
    </w:div>
    <w:div w:id="408500524">
      <w:bodyDiv w:val="1"/>
      <w:marLeft w:val="0"/>
      <w:marRight w:val="0"/>
      <w:marTop w:val="0"/>
      <w:marBottom w:val="0"/>
      <w:divBdr>
        <w:top w:val="none" w:sz="0" w:space="0" w:color="auto"/>
        <w:left w:val="none" w:sz="0" w:space="0" w:color="auto"/>
        <w:bottom w:val="none" w:sz="0" w:space="0" w:color="auto"/>
        <w:right w:val="none" w:sz="0" w:space="0" w:color="auto"/>
      </w:divBdr>
    </w:div>
    <w:div w:id="408501011">
      <w:bodyDiv w:val="1"/>
      <w:marLeft w:val="0"/>
      <w:marRight w:val="0"/>
      <w:marTop w:val="0"/>
      <w:marBottom w:val="0"/>
      <w:divBdr>
        <w:top w:val="none" w:sz="0" w:space="0" w:color="auto"/>
        <w:left w:val="none" w:sz="0" w:space="0" w:color="auto"/>
        <w:bottom w:val="none" w:sz="0" w:space="0" w:color="auto"/>
        <w:right w:val="none" w:sz="0" w:space="0" w:color="auto"/>
      </w:divBdr>
    </w:div>
    <w:div w:id="408583036">
      <w:bodyDiv w:val="1"/>
      <w:marLeft w:val="0"/>
      <w:marRight w:val="0"/>
      <w:marTop w:val="0"/>
      <w:marBottom w:val="0"/>
      <w:divBdr>
        <w:top w:val="none" w:sz="0" w:space="0" w:color="auto"/>
        <w:left w:val="none" w:sz="0" w:space="0" w:color="auto"/>
        <w:bottom w:val="none" w:sz="0" w:space="0" w:color="auto"/>
        <w:right w:val="none" w:sz="0" w:space="0" w:color="auto"/>
      </w:divBdr>
    </w:div>
    <w:div w:id="408623042">
      <w:bodyDiv w:val="1"/>
      <w:marLeft w:val="0"/>
      <w:marRight w:val="0"/>
      <w:marTop w:val="0"/>
      <w:marBottom w:val="0"/>
      <w:divBdr>
        <w:top w:val="none" w:sz="0" w:space="0" w:color="auto"/>
        <w:left w:val="none" w:sz="0" w:space="0" w:color="auto"/>
        <w:bottom w:val="none" w:sz="0" w:space="0" w:color="auto"/>
        <w:right w:val="none" w:sz="0" w:space="0" w:color="auto"/>
      </w:divBdr>
    </w:div>
    <w:div w:id="408773695">
      <w:bodyDiv w:val="1"/>
      <w:marLeft w:val="0"/>
      <w:marRight w:val="0"/>
      <w:marTop w:val="0"/>
      <w:marBottom w:val="0"/>
      <w:divBdr>
        <w:top w:val="none" w:sz="0" w:space="0" w:color="auto"/>
        <w:left w:val="none" w:sz="0" w:space="0" w:color="auto"/>
        <w:bottom w:val="none" w:sz="0" w:space="0" w:color="auto"/>
        <w:right w:val="none" w:sz="0" w:space="0" w:color="auto"/>
      </w:divBdr>
    </w:div>
    <w:div w:id="408775579">
      <w:bodyDiv w:val="1"/>
      <w:marLeft w:val="0"/>
      <w:marRight w:val="0"/>
      <w:marTop w:val="0"/>
      <w:marBottom w:val="0"/>
      <w:divBdr>
        <w:top w:val="none" w:sz="0" w:space="0" w:color="auto"/>
        <w:left w:val="none" w:sz="0" w:space="0" w:color="auto"/>
        <w:bottom w:val="none" w:sz="0" w:space="0" w:color="auto"/>
        <w:right w:val="none" w:sz="0" w:space="0" w:color="auto"/>
      </w:divBdr>
    </w:div>
    <w:div w:id="408886400">
      <w:bodyDiv w:val="1"/>
      <w:marLeft w:val="0"/>
      <w:marRight w:val="0"/>
      <w:marTop w:val="0"/>
      <w:marBottom w:val="0"/>
      <w:divBdr>
        <w:top w:val="none" w:sz="0" w:space="0" w:color="auto"/>
        <w:left w:val="none" w:sz="0" w:space="0" w:color="auto"/>
        <w:bottom w:val="none" w:sz="0" w:space="0" w:color="auto"/>
        <w:right w:val="none" w:sz="0" w:space="0" w:color="auto"/>
      </w:divBdr>
    </w:div>
    <w:div w:id="408890793">
      <w:bodyDiv w:val="1"/>
      <w:marLeft w:val="0"/>
      <w:marRight w:val="0"/>
      <w:marTop w:val="0"/>
      <w:marBottom w:val="0"/>
      <w:divBdr>
        <w:top w:val="none" w:sz="0" w:space="0" w:color="auto"/>
        <w:left w:val="none" w:sz="0" w:space="0" w:color="auto"/>
        <w:bottom w:val="none" w:sz="0" w:space="0" w:color="auto"/>
        <w:right w:val="none" w:sz="0" w:space="0" w:color="auto"/>
      </w:divBdr>
    </w:div>
    <w:div w:id="408961444">
      <w:bodyDiv w:val="1"/>
      <w:marLeft w:val="0"/>
      <w:marRight w:val="0"/>
      <w:marTop w:val="0"/>
      <w:marBottom w:val="0"/>
      <w:divBdr>
        <w:top w:val="none" w:sz="0" w:space="0" w:color="auto"/>
        <w:left w:val="none" w:sz="0" w:space="0" w:color="auto"/>
        <w:bottom w:val="none" w:sz="0" w:space="0" w:color="auto"/>
        <w:right w:val="none" w:sz="0" w:space="0" w:color="auto"/>
      </w:divBdr>
    </w:div>
    <w:div w:id="409231744">
      <w:bodyDiv w:val="1"/>
      <w:marLeft w:val="0"/>
      <w:marRight w:val="0"/>
      <w:marTop w:val="0"/>
      <w:marBottom w:val="0"/>
      <w:divBdr>
        <w:top w:val="none" w:sz="0" w:space="0" w:color="auto"/>
        <w:left w:val="none" w:sz="0" w:space="0" w:color="auto"/>
        <w:bottom w:val="none" w:sz="0" w:space="0" w:color="auto"/>
        <w:right w:val="none" w:sz="0" w:space="0" w:color="auto"/>
      </w:divBdr>
    </w:div>
    <w:div w:id="409235963">
      <w:bodyDiv w:val="1"/>
      <w:marLeft w:val="0"/>
      <w:marRight w:val="0"/>
      <w:marTop w:val="0"/>
      <w:marBottom w:val="0"/>
      <w:divBdr>
        <w:top w:val="none" w:sz="0" w:space="0" w:color="auto"/>
        <w:left w:val="none" w:sz="0" w:space="0" w:color="auto"/>
        <w:bottom w:val="none" w:sz="0" w:space="0" w:color="auto"/>
        <w:right w:val="none" w:sz="0" w:space="0" w:color="auto"/>
      </w:divBdr>
    </w:div>
    <w:div w:id="409272942">
      <w:bodyDiv w:val="1"/>
      <w:marLeft w:val="0"/>
      <w:marRight w:val="0"/>
      <w:marTop w:val="0"/>
      <w:marBottom w:val="0"/>
      <w:divBdr>
        <w:top w:val="none" w:sz="0" w:space="0" w:color="auto"/>
        <w:left w:val="none" w:sz="0" w:space="0" w:color="auto"/>
        <w:bottom w:val="none" w:sz="0" w:space="0" w:color="auto"/>
        <w:right w:val="none" w:sz="0" w:space="0" w:color="auto"/>
      </w:divBdr>
    </w:div>
    <w:div w:id="409275984">
      <w:bodyDiv w:val="1"/>
      <w:marLeft w:val="0"/>
      <w:marRight w:val="0"/>
      <w:marTop w:val="0"/>
      <w:marBottom w:val="0"/>
      <w:divBdr>
        <w:top w:val="none" w:sz="0" w:space="0" w:color="auto"/>
        <w:left w:val="none" w:sz="0" w:space="0" w:color="auto"/>
        <w:bottom w:val="none" w:sz="0" w:space="0" w:color="auto"/>
        <w:right w:val="none" w:sz="0" w:space="0" w:color="auto"/>
      </w:divBdr>
    </w:div>
    <w:div w:id="409352788">
      <w:bodyDiv w:val="1"/>
      <w:marLeft w:val="0"/>
      <w:marRight w:val="0"/>
      <w:marTop w:val="0"/>
      <w:marBottom w:val="0"/>
      <w:divBdr>
        <w:top w:val="none" w:sz="0" w:space="0" w:color="auto"/>
        <w:left w:val="none" w:sz="0" w:space="0" w:color="auto"/>
        <w:bottom w:val="none" w:sz="0" w:space="0" w:color="auto"/>
        <w:right w:val="none" w:sz="0" w:space="0" w:color="auto"/>
      </w:divBdr>
    </w:div>
    <w:div w:id="409352873">
      <w:bodyDiv w:val="1"/>
      <w:marLeft w:val="0"/>
      <w:marRight w:val="0"/>
      <w:marTop w:val="0"/>
      <w:marBottom w:val="0"/>
      <w:divBdr>
        <w:top w:val="none" w:sz="0" w:space="0" w:color="auto"/>
        <w:left w:val="none" w:sz="0" w:space="0" w:color="auto"/>
        <w:bottom w:val="none" w:sz="0" w:space="0" w:color="auto"/>
        <w:right w:val="none" w:sz="0" w:space="0" w:color="auto"/>
      </w:divBdr>
    </w:div>
    <w:div w:id="409472067">
      <w:bodyDiv w:val="1"/>
      <w:marLeft w:val="0"/>
      <w:marRight w:val="0"/>
      <w:marTop w:val="0"/>
      <w:marBottom w:val="0"/>
      <w:divBdr>
        <w:top w:val="none" w:sz="0" w:space="0" w:color="auto"/>
        <w:left w:val="none" w:sz="0" w:space="0" w:color="auto"/>
        <w:bottom w:val="none" w:sz="0" w:space="0" w:color="auto"/>
        <w:right w:val="none" w:sz="0" w:space="0" w:color="auto"/>
      </w:divBdr>
    </w:div>
    <w:div w:id="409472978">
      <w:bodyDiv w:val="1"/>
      <w:marLeft w:val="0"/>
      <w:marRight w:val="0"/>
      <w:marTop w:val="0"/>
      <w:marBottom w:val="0"/>
      <w:divBdr>
        <w:top w:val="none" w:sz="0" w:space="0" w:color="auto"/>
        <w:left w:val="none" w:sz="0" w:space="0" w:color="auto"/>
        <w:bottom w:val="none" w:sz="0" w:space="0" w:color="auto"/>
        <w:right w:val="none" w:sz="0" w:space="0" w:color="auto"/>
      </w:divBdr>
    </w:div>
    <w:div w:id="409616485">
      <w:bodyDiv w:val="1"/>
      <w:marLeft w:val="0"/>
      <w:marRight w:val="0"/>
      <w:marTop w:val="0"/>
      <w:marBottom w:val="0"/>
      <w:divBdr>
        <w:top w:val="none" w:sz="0" w:space="0" w:color="auto"/>
        <w:left w:val="none" w:sz="0" w:space="0" w:color="auto"/>
        <w:bottom w:val="none" w:sz="0" w:space="0" w:color="auto"/>
        <w:right w:val="none" w:sz="0" w:space="0" w:color="auto"/>
      </w:divBdr>
    </w:div>
    <w:div w:id="409623090">
      <w:bodyDiv w:val="1"/>
      <w:marLeft w:val="0"/>
      <w:marRight w:val="0"/>
      <w:marTop w:val="0"/>
      <w:marBottom w:val="0"/>
      <w:divBdr>
        <w:top w:val="none" w:sz="0" w:space="0" w:color="auto"/>
        <w:left w:val="none" w:sz="0" w:space="0" w:color="auto"/>
        <w:bottom w:val="none" w:sz="0" w:space="0" w:color="auto"/>
        <w:right w:val="none" w:sz="0" w:space="0" w:color="auto"/>
      </w:divBdr>
    </w:div>
    <w:div w:id="409741491">
      <w:bodyDiv w:val="1"/>
      <w:marLeft w:val="0"/>
      <w:marRight w:val="0"/>
      <w:marTop w:val="0"/>
      <w:marBottom w:val="0"/>
      <w:divBdr>
        <w:top w:val="none" w:sz="0" w:space="0" w:color="auto"/>
        <w:left w:val="none" w:sz="0" w:space="0" w:color="auto"/>
        <w:bottom w:val="none" w:sz="0" w:space="0" w:color="auto"/>
        <w:right w:val="none" w:sz="0" w:space="0" w:color="auto"/>
      </w:divBdr>
    </w:div>
    <w:div w:id="409888884">
      <w:bodyDiv w:val="1"/>
      <w:marLeft w:val="0"/>
      <w:marRight w:val="0"/>
      <w:marTop w:val="0"/>
      <w:marBottom w:val="0"/>
      <w:divBdr>
        <w:top w:val="none" w:sz="0" w:space="0" w:color="auto"/>
        <w:left w:val="none" w:sz="0" w:space="0" w:color="auto"/>
        <w:bottom w:val="none" w:sz="0" w:space="0" w:color="auto"/>
        <w:right w:val="none" w:sz="0" w:space="0" w:color="auto"/>
      </w:divBdr>
    </w:div>
    <w:div w:id="410008820">
      <w:bodyDiv w:val="1"/>
      <w:marLeft w:val="0"/>
      <w:marRight w:val="0"/>
      <w:marTop w:val="0"/>
      <w:marBottom w:val="0"/>
      <w:divBdr>
        <w:top w:val="none" w:sz="0" w:space="0" w:color="auto"/>
        <w:left w:val="none" w:sz="0" w:space="0" w:color="auto"/>
        <w:bottom w:val="none" w:sz="0" w:space="0" w:color="auto"/>
        <w:right w:val="none" w:sz="0" w:space="0" w:color="auto"/>
      </w:divBdr>
    </w:div>
    <w:div w:id="410129551">
      <w:bodyDiv w:val="1"/>
      <w:marLeft w:val="0"/>
      <w:marRight w:val="0"/>
      <w:marTop w:val="0"/>
      <w:marBottom w:val="0"/>
      <w:divBdr>
        <w:top w:val="none" w:sz="0" w:space="0" w:color="auto"/>
        <w:left w:val="none" w:sz="0" w:space="0" w:color="auto"/>
        <w:bottom w:val="none" w:sz="0" w:space="0" w:color="auto"/>
        <w:right w:val="none" w:sz="0" w:space="0" w:color="auto"/>
      </w:divBdr>
    </w:div>
    <w:div w:id="410272786">
      <w:bodyDiv w:val="1"/>
      <w:marLeft w:val="0"/>
      <w:marRight w:val="0"/>
      <w:marTop w:val="0"/>
      <w:marBottom w:val="0"/>
      <w:divBdr>
        <w:top w:val="none" w:sz="0" w:space="0" w:color="auto"/>
        <w:left w:val="none" w:sz="0" w:space="0" w:color="auto"/>
        <w:bottom w:val="none" w:sz="0" w:space="0" w:color="auto"/>
        <w:right w:val="none" w:sz="0" w:space="0" w:color="auto"/>
      </w:divBdr>
    </w:div>
    <w:div w:id="410472551">
      <w:bodyDiv w:val="1"/>
      <w:marLeft w:val="0"/>
      <w:marRight w:val="0"/>
      <w:marTop w:val="0"/>
      <w:marBottom w:val="0"/>
      <w:divBdr>
        <w:top w:val="none" w:sz="0" w:space="0" w:color="auto"/>
        <w:left w:val="none" w:sz="0" w:space="0" w:color="auto"/>
        <w:bottom w:val="none" w:sz="0" w:space="0" w:color="auto"/>
        <w:right w:val="none" w:sz="0" w:space="0" w:color="auto"/>
      </w:divBdr>
    </w:div>
    <w:div w:id="410734898">
      <w:bodyDiv w:val="1"/>
      <w:marLeft w:val="0"/>
      <w:marRight w:val="0"/>
      <w:marTop w:val="0"/>
      <w:marBottom w:val="0"/>
      <w:divBdr>
        <w:top w:val="none" w:sz="0" w:space="0" w:color="auto"/>
        <w:left w:val="none" w:sz="0" w:space="0" w:color="auto"/>
        <w:bottom w:val="none" w:sz="0" w:space="0" w:color="auto"/>
        <w:right w:val="none" w:sz="0" w:space="0" w:color="auto"/>
      </w:divBdr>
    </w:div>
    <w:div w:id="410854599">
      <w:bodyDiv w:val="1"/>
      <w:marLeft w:val="0"/>
      <w:marRight w:val="0"/>
      <w:marTop w:val="0"/>
      <w:marBottom w:val="0"/>
      <w:divBdr>
        <w:top w:val="none" w:sz="0" w:space="0" w:color="auto"/>
        <w:left w:val="none" w:sz="0" w:space="0" w:color="auto"/>
        <w:bottom w:val="none" w:sz="0" w:space="0" w:color="auto"/>
        <w:right w:val="none" w:sz="0" w:space="0" w:color="auto"/>
      </w:divBdr>
    </w:div>
    <w:div w:id="410855881">
      <w:bodyDiv w:val="1"/>
      <w:marLeft w:val="0"/>
      <w:marRight w:val="0"/>
      <w:marTop w:val="0"/>
      <w:marBottom w:val="0"/>
      <w:divBdr>
        <w:top w:val="none" w:sz="0" w:space="0" w:color="auto"/>
        <w:left w:val="none" w:sz="0" w:space="0" w:color="auto"/>
        <w:bottom w:val="none" w:sz="0" w:space="0" w:color="auto"/>
        <w:right w:val="none" w:sz="0" w:space="0" w:color="auto"/>
      </w:divBdr>
    </w:div>
    <w:div w:id="410860198">
      <w:bodyDiv w:val="1"/>
      <w:marLeft w:val="0"/>
      <w:marRight w:val="0"/>
      <w:marTop w:val="0"/>
      <w:marBottom w:val="0"/>
      <w:divBdr>
        <w:top w:val="none" w:sz="0" w:space="0" w:color="auto"/>
        <w:left w:val="none" w:sz="0" w:space="0" w:color="auto"/>
        <w:bottom w:val="none" w:sz="0" w:space="0" w:color="auto"/>
        <w:right w:val="none" w:sz="0" w:space="0" w:color="auto"/>
      </w:divBdr>
    </w:div>
    <w:div w:id="411002566">
      <w:bodyDiv w:val="1"/>
      <w:marLeft w:val="0"/>
      <w:marRight w:val="0"/>
      <w:marTop w:val="0"/>
      <w:marBottom w:val="0"/>
      <w:divBdr>
        <w:top w:val="none" w:sz="0" w:space="0" w:color="auto"/>
        <w:left w:val="none" w:sz="0" w:space="0" w:color="auto"/>
        <w:bottom w:val="none" w:sz="0" w:space="0" w:color="auto"/>
        <w:right w:val="none" w:sz="0" w:space="0" w:color="auto"/>
      </w:divBdr>
    </w:div>
    <w:div w:id="411003369">
      <w:bodyDiv w:val="1"/>
      <w:marLeft w:val="0"/>
      <w:marRight w:val="0"/>
      <w:marTop w:val="0"/>
      <w:marBottom w:val="0"/>
      <w:divBdr>
        <w:top w:val="none" w:sz="0" w:space="0" w:color="auto"/>
        <w:left w:val="none" w:sz="0" w:space="0" w:color="auto"/>
        <w:bottom w:val="none" w:sz="0" w:space="0" w:color="auto"/>
        <w:right w:val="none" w:sz="0" w:space="0" w:color="auto"/>
      </w:divBdr>
    </w:div>
    <w:div w:id="411008443">
      <w:bodyDiv w:val="1"/>
      <w:marLeft w:val="0"/>
      <w:marRight w:val="0"/>
      <w:marTop w:val="0"/>
      <w:marBottom w:val="0"/>
      <w:divBdr>
        <w:top w:val="none" w:sz="0" w:space="0" w:color="auto"/>
        <w:left w:val="none" w:sz="0" w:space="0" w:color="auto"/>
        <w:bottom w:val="none" w:sz="0" w:space="0" w:color="auto"/>
        <w:right w:val="none" w:sz="0" w:space="0" w:color="auto"/>
      </w:divBdr>
    </w:div>
    <w:div w:id="411049268">
      <w:bodyDiv w:val="1"/>
      <w:marLeft w:val="0"/>
      <w:marRight w:val="0"/>
      <w:marTop w:val="0"/>
      <w:marBottom w:val="0"/>
      <w:divBdr>
        <w:top w:val="none" w:sz="0" w:space="0" w:color="auto"/>
        <w:left w:val="none" w:sz="0" w:space="0" w:color="auto"/>
        <w:bottom w:val="none" w:sz="0" w:space="0" w:color="auto"/>
        <w:right w:val="none" w:sz="0" w:space="0" w:color="auto"/>
      </w:divBdr>
    </w:div>
    <w:div w:id="411050776">
      <w:bodyDiv w:val="1"/>
      <w:marLeft w:val="0"/>
      <w:marRight w:val="0"/>
      <w:marTop w:val="0"/>
      <w:marBottom w:val="0"/>
      <w:divBdr>
        <w:top w:val="none" w:sz="0" w:space="0" w:color="auto"/>
        <w:left w:val="none" w:sz="0" w:space="0" w:color="auto"/>
        <w:bottom w:val="none" w:sz="0" w:space="0" w:color="auto"/>
        <w:right w:val="none" w:sz="0" w:space="0" w:color="auto"/>
      </w:divBdr>
    </w:div>
    <w:div w:id="411051520">
      <w:bodyDiv w:val="1"/>
      <w:marLeft w:val="0"/>
      <w:marRight w:val="0"/>
      <w:marTop w:val="0"/>
      <w:marBottom w:val="0"/>
      <w:divBdr>
        <w:top w:val="none" w:sz="0" w:space="0" w:color="auto"/>
        <w:left w:val="none" w:sz="0" w:space="0" w:color="auto"/>
        <w:bottom w:val="none" w:sz="0" w:space="0" w:color="auto"/>
        <w:right w:val="none" w:sz="0" w:space="0" w:color="auto"/>
      </w:divBdr>
    </w:div>
    <w:div w:id="411052687">
      <w:bodyDiv w:val="1"/>
      <w:marLeft w:val="0"/>
      <w:marRight w:val="0"/>
      <w:marTop w:val="0"/>
      <w:marBottom w:val="0"/>
      <w:divBdr>
        <w:top w:val="none" w:sz="0" w:space="0" w:color="auto"/>
        <w:left w:val="none" w:sz="0" w:space="0" w:color="auto"/>
        <w:bottom w:val="none" w:sz="0" w:space="0" w:color="auto"/>
        <w:right w:val="none" w:sz="0" w:space="0" w:color="auto"/>
      </w:divBdr>
    </w:div>
    <w:div w:id="411123530">
      <w:bodyDiv w:val="1"/>
      <w:marLeft w:val="0"/>
      <w:marRight w:val="0"/>
      <w:marTop w:val="0"/>
      <w:marBottom w:val="0"/>
      <w:divBdr>
        <w:top w:val="none" w:sz="0" w:space="0" w:color="auto"/>
        <w:left w:val="none" w:sz="0" w:space="0" w:color="auto"/>
        <w:bottom w:val="none" w:sz="0" w:space="0" w:color="auto"/>
        <w:right w:val="none" w:sz="0" w:space="0" w:color="auto"/>
      </w:divBdr>
    </w:div>
    <w:div w:id="411127039">
      <w:bodyDiv w:val="1"/>
      <w:marLeft w:val="0"/>
      <w:marRight w:val="0"/>
      <w:marTop w:val="0"/>
      <w:marBottom w:val="0"/>
      <w:divBdr>
        <w:top w:val="none" w:sz="0" w:space="0" w:color="auto"/>
        <w:left w:val="none" w:sz="0" w:space="0" w:color="auto"/>
        <w:bottom w:val="none" w:sz="0" w:space="0" w:color="auto"/>
        <w:right w:val="none" w:sz="0" w:space="0" w:color="auto"/>
      </w:divBdr>
    </w:div>
    <w:div w:id="411129230">
      <w:bodyDiv w:val="1"/>
      <w:marLeft w:val="0"/>
      <w:marRight w:val="0"/>
      <w:marTop w:val="0"/>
      <w:marBottom w:val="0"/>
      <w:divBdr>
        <w:top w:val="none" w:sz="0" w:space="0" w:color="auto"/>
        <w:left w:val="none" w:sz="0" w:space="0" w:color="auto"/>
        <w:bottom w:val="none" w:sz="0" w:space="0" w:color="auto"/>
        <w:right w:val="none" w:sz="0" w:space="0" w:color="auto"/>
      </w:divBdr>
    </w:div>
    <w:div w:id="411395713">
      <w:bodyDiv w:val="1"/>
      <w:marLeft w:val="0"/>
      <w:marRight w:val="0"/>
      <w:marTop w:val="0"/>
      <w:marBottom w:val="0"/>
      <w:divBdr>
        <w:top w:val="none" w:sz="0" w:space="0" w:color="auto"/>
        <w:left w:val="none" w:sz="0" w:space="0" w:color="auto"/>
        <w:bottom w:val="none" w:sz="0" w:space="0" w:color="auto"/>
        <w:right w:val="none" w:sz="0" w:space="0" w:color="auto"/>
      </w:divBdr>
    </w:div>
    <w:div w:id="411509484">
      <w:bodyDiv w:val="1"/>
      <w:marLeft w:val="0"/>
      <w:marRight w:val="0"/>
      <w:marTop w:val="0"/>
      <w:marBottom w:val="0"/>
      <w:divBdr>
        <w:top w:val="none" w:sz="0" w:space="0" w:color="auto"/>
        <w:left w:val="none" w:sz="0" w:space="0" w:color="auto"/>
        <w:bottom w:val="none" w:sz="0" w:space="0" w:color="auto"/>
        <w:right w:val="none" w:sz="0" w:space="0" w:color="auto"/>
      </w:divBdr>
    </w:div>
    <w:div w:id="411512044">
      <w:bodyDiv w:val="1"/>
      <w:marLeft w:val="0"/>
      <w:marRight w:val="0"/>
      <w:marTop w:val="0"/>
      <w:marBottom w:val="0"/>
      <w:divBdr>
        <w:top w:val="none" w:sz="0" w:space="0" w:color="auto"/>
        <w:left w:val="none" w:sz="0" w:space="0" w:color="auto"/>
        <w:bottom w:val="none" w:sz="0" w:space="0" w:color="auto"/>
        <w:right w:val="none" w:sz="0" w:space="0" w:color="auto"/>
      </w:divBdr>
    </w:div>
    <w:div w:id="411514708">
      <w:bodyDiv w:val="1"/>
      <w:marLeft w:val="0"/>
      <w:marRight w:val="0"/>
      <w:marTop w:val="0"/>
      <w:marBottom w:val="0"/>
      <w:divBdr>
        <w:top w:val="none" w:sz="0" w:space="0" w:color="auto"/>
        <w:left w:val="none" w:sz="0" w:space="0" w:color="auto"/>
        <w:bottom w:val="none" w:sz="0" w:space="0" w:color="auto"/>
        <w:right w:val="none" w:sz="0" w:space="0" w:color="auto"/>
      </w:divBdr>
    </w:div>
    <w:div w:id="411632123">
      <w:bodyDiv w:val="1"/>
      <w:marLeft w:val="0"/>
      <w:marRight w:val="0"/>
      <w:marTop w:val="0"/>
      <w:marBottom w:val="0"/>
      <w:divBdr>
        <w:top w:val="none" w:sz="0" w:space="0" w:color="auto"/>
        <w:left w:val="none" w:sz="0" w:space="0" w:color="auto"/>
        <w:bottom w:val="none" w:sz="0" w:space="0" w:color="auto"/>
        <w:right w:val="none" w:sz="0" w:space="0" w:color="auto"/>
      </w:divBdr>
    </w:div>
    <w:div w:id="411656769">
      <w:bodyDiv w:val="1"/>
      <w:marLeft w:val="0"/>
      <w:marRight w:val="0"/>
      <w:marTop w:val="0"/>
      <w:marBottom w:val="0"/>
      <w:divBdr>
        <w:top w:val="none" w:sz="0" w:space="0" w:color="auto"/>
        <w:left w:val="none" w:sz="0" w:space="0" w:color="auto"/>
        <w:bottom w:val="none" w:sz="0" w:space="0" w:color="auto"/>
        <w:right w:val="none" w:sz="0" w:space="0" w:color="auto"/>
      </w:divBdr>
    </w:div>
    <w:div w:id="411855791">
      <w:bodyDiv w:val="1"/>
      <w:marLeft w:val="0"/>
      <w:marRight w:val="0"/>
      <w:marTop w:val="0"/>
      <w:marBottom w:val="0"/>
      <w:divBdr>
        <w:top w:val="none" w:sz="0" w:space="0" w:color="auto"/>
        <w:left w:val="none" w:sz="0" w:space="0" w:color="auto"/>
        <w:bottom w:val="none" w:sz="0" w:space="0" w:color="auto"/>
        <w:right w:val="none" w:sz="0" w:space="0" w:color="auto"/>
      </w:divBdr>
    </w:div>
    <w:div w:id="411895955">
      <w:bodyDiv w:val="1"/>
      <w:marLeft w:val="0"/>
      <w:marRight w:val="0"/>
      <w:marTop w:val="0"/>
      <w:marBottom w:val="0"/>
      <w:divBdr>
        <w:top w:val="none" w:sz="0" w:space="0" w:color="auto"/>
        <w:left w:val="none" w:sz="0" w:space="0" w:color="auto"/>
        <w:bottom w:val="none" w:sz="0" w:space="0" w:color="auto"/>
        <w:right w:val="none" w:sz="0" w:space="0" w:color="auto"/>
      </w:divBdr>
    </w:div>
    <w:div w:id="412092121">
      <w:bodyDiv w:val="1"/>
      <w:marLeft w:val="0"/>
      <w:marRight w:val="0"/>
      <w:marTop w:val="0"/>
      <w:marBottom w:val="0"/>
      <w:divBdr>
        <w:top w:val="none" w:sz="0" w:space="0" w:color="auto"/>
        <w:left w:val="none" w:sz="0" w:space="0" w:color="auto"/>
        <w:bottom w:val="none" w:sz="0" w:space="0" w:color="auto"/>
        <w:right w:val="none" w:sz="0" w:space="0" w:color="auto"/>
      </w:divBdr>
    </w:div>
    <w:div w:id="412121854">
      <w:bodyDiv w:val="1"/>
      <w:marLeft w:val="0"/>
      <w:marRight w:val="0"/>
      <w:marTop w:val="0"/>
      <w:marBottom w:val="0"/>
      <w:divBdr>
        <w:top w:val="none" w:sz="0" w:space="0" w:color="auto"/>
        <w:left w:val="none" w:sz="0" w:space="0" w:color="auto"/>
        <w:bottom w:val="none" w:sz="0" w:space="0" w:color="auto"/>
        <w:right w:val="none" w:sz="0" w:space="0" w:color="auto"/>
      </w:divBdr>
    </w:div>
    <w:div w:id="412287467">
      <w:bodyDiv w:val="1"/>
      <w:marLeft w:val="0"/>
      <w:marRight w:val="0"/>
      <w:marTop w:val="0"/>
      <w:marBottom w:val="0"/>
      <w:divBdr>
        <w:top w:val="none" w:sz="0" w:space="0" w:color="auto"/>
        <w:left w:val="none" w:sz="0" w:space="0" w:color="auto"/>
        <w:bottom w:val="none" w:sz="0" w:space="0" w:color="auto"/>
        <w:right w:val="none" w:sz="0" w:space="0" w:color="auto"/>
      </w:divBdr>
    </w:div>
    <w:div w:id="412288314">
      <w:bodyDiv w:val="1"/>
      <w:marLeft w:val="0"/>
      <w:marRight w:val="0"/>
      <w:marTop w:val="0"/>
      <w:marBottom w:val="0"/>
      <w:divBdr>
        <w:top w:val="none" w:sz="0" w:space="0" w:color="auto"/>
        <w:left w:val="none" w:sz="0" w:space="0" w:color="auto"/>
        <w:bottom w:val="none" w:sz="0" w:space="0" w:color="auto"/>
        <w:right w:val="none" w:sz="0" w:space="0" w:color="auto"/>
      </w:divBdr>
    </w:div>
    <w:div w:id="412362326">
      <w:bodyDiv w:val="1"/>
      <w:marLeft w:val="0"/>
      <w:marRight w:val="0"/>
      <w:marTop w:val="0"/>
      <w:marBottom w:val="0"/>
      <w:divBdr>
        <w:top w:val="none" w:sz="0" w:space="0" w:color="auto"/>
        <w:left w:val="none" w:sz="0" w:space="0" w:color="auto"/>
        <w:bottom w:val="none" w:sz="0" w:space="0" w:color="auto"/>
        <w:right w:val="none" w:sz="0" w:space="0" w:color="auto"/>
      </w:divBdr>
    </w:div>
    <w:div w:id="412433605">
      <w:bodyDiv w:val="1"/>
      <w:marLeft w:val="0"/>
      <w:marRight w:val="0"/>
      <w:marTop w:val="0"/>
      <w:marBottom w:val="0"/>
      <w:divBdr>
        <w:top w:val="none" w:sz="0" w:space="0" w:color="auto"/>
        <w:left w:val="none" w:sz="0" w:space="0" w:color="auto"/>
        <w:bottom w:val="none" w:sz="0" w:space="0" w:color="auto"/>
        <w:right w:val="none" w:sz="0" w:space="0" w:color="auto"/>
      </w:divBdr>
    </w:div>
    <w:div w:id="412506133">
      <w:bodyDiv w:val="1"/>
      <w:marLeft w:val="0"/>
      <w:marRight w:val="0"/>
      <w:marTop w:val="0"/>
      <w:marBottom w:val="0"/>
      <w:divBdr>
        <w:top w:val="none" w:sz="0" w:space="0" w:color="auto"/>
        <w:left w:val="none" w:sz="0" w:space="0" w:color="auto"/>
        <w:bottom w:val="none" w:sz="0" w:space="0" w:color="auto"/>
        <w:right w:val="none" w:sz="0" w:space="0" w:color="auto"/>
      </w:divBdr>
    </w:div>
    <w:div w:id="412514715">
      <w:bodyDiv w:val="1"/>
      <w:marLeft w:val="0"/>
      <w:marRight w:val="0"/>
      <w:marTop w:val="0"/>
      <w:marBottom w:val="0"/>
      <w:divBdr>
        <w:top w:val="none" w:sz="0" w:space="0" w:color="auto"/>
        <w:left w:val="none" w:sz="0" w:space="0" w:color="auto"/>
        <w:bottom w:val="none" w:sz="0" w:space="0" w:color="auto"/>
        <w:right w:val="none" w:sz="0" w:space="0" w:color="auto"/>
      </w:divBdr>
    </w:div>
    <w:div w:id="412554533">
      <w:bodyDiv w:val="1"/>
      <w:marLeft w:val="0"/>
      <w:marRight w:val="0"/>
      <w:marTop w:val="0"/>
      <w:marBottom w:val="0"/>
      <w:divBdr>
        <w:top w:val="none" w:sz="0" w:space="0" w:color="auto"/>
        <w:left w:val="none" w:sz="0" w:space="0" w:color="auto"/>
        <w:bottom w:val="none" w:sz="0" w:space="0" w:color="auto"/>
        <w:right w:val="none" w:sz="0" w:space="0" w:color="auto"/>
      </w:divBdr>
    </w:div>
    <w:div w:id="412749231">
      <w:bodyDiv w:val="1"/>
      <w:marLeft w:val="0"/>
      <w:marRight w:val="0"/>
      <w:marTop w:val="0"/>
      <w:marBottom w:val="0"/>
      <w:divBdr>
        <w:top w:val="none" w:sz="0" w:space="0" w:color="auto"/>
        <w:left w:val="none" w:sz="0" w:space="0" w:color="auto"/>
        <w:bottom w:val="none" w:sz="0" w:space="0" w:color="auto"/>
        <w:right w:val="none" w:sz="0" w:space="0" w:color="auto"/>
      </w:divBdr>
    </w:div>
    <w:div w:id="412969290">
      <w:bodyDiv w:val="1"/>
      <w:marLeft w:val="0"/>
      <w:marRight w:val="0"/>
      <w:marTop w:val="0"/>
      <w:marBottom w:val="0"/>
      <w:divBdr>
        <w:top w:val="none" w:sz="0" w:space="0" w:color="auto"/>
        <w:left w:val="none" w:sz="0" w:space="0" w:color="auto"/>
        <w:bottom w:val="none" w:sz="0" w:space="0" w:color="auto"/>
        <w:right w:val="none" w:sz="0" w:space="0" w:color="auto"/>
      </w:divBdr>
    </w:div>
    <w:div w:id="413017593">
      <w:bodyDiv w:val="1"/>
      <w:marLeft w:val="0"/>
      <w:marRight w:val="0"/>
      <w:marTop w:val="0"/>
      <w:marBottom w:val="0"/>
      <w:divBdr>
        <w:top w:val="none" w:sz="0" w:space="0" w:color="auto"/>
        <w:left w:val="none" w:sz="0" w:space="0" w:color="auto"/>
        <w:bottom w:val="none" w:sz="0" w:space="0" w:color="auto"/>
        <w:right w:val="none" w:sz="0" w:space="0" w:color="auto"/>
      </w:divBdr>
    </w:div>
    <w:div w:id="413166526">
      <w:bodyDiv w:val="1"/>
      <w:marLeft w:val="0"/>
      <w:marRight w:val="0"/>
      <w:marTop w:val="0"/>
      <w:marBottom w:val="0"/>
      <w:divBdr>
        <w:top w:val="none" w:sz="0" w:space="0" w:color="auto"/>
        <w:left w:val="none" w:sz="0" w:space="0" w:color="auto"/>
        <w:bottom w:val="none" w:sz="0" w:space="0" w:color="auto"/>
        <w:right w:val="none" w:sz="0" w:space="0" w:color="auto"/>
      </w:divBdr>
    </w:div>
    <w:div w:id="413206494">
      <w:bodyDiv w:val="1"/>
      <w:marLeft w:val="0"/>
      <w:marRight w:val="0"/>
      <w:marTop w:val="0"/>
      <w:marBottom w:val="0"/>
      <w:divBdr>
        <w:top w:val="none" w:sz="0" w:space="0" w:color="auto"/>
        <w:left w:val="none" w:sz="0" w:space="0" w:color="auto"/>
        <w:bottom w:val="none" w:sz="0" w:space="0" w:color="auto"/>
        <w:right w:val="none" w:sz="0" w:space="0" w:color="auto"/>
      </w:divBdr>
    </w:div>
    <w:div w:id="413279050">
      <w:bodyDiv w:val="1"/>
      <w:marLeft w:val="0"/>
      <w:marRight w:val="0"/>
      <w:marTop w:val="0"/>
      <w:marBottom w:val="0"/>
      <w:divBdr>
        <w:top w:val="none" w:sz="0" w:space="0" w:color="auto"/>
        <w:left w:val="none" w:sz="0" w:space="0" w:color="auto"/>
        <w:bottom w:val="none" w:sz="0" w:space="0" w:color="auto"/>
        <w:right w:val="none" w:sz="0" w:space="0" w:color="auto"/>
      </w:divBdr>
    </w:div>
    <w:div w:id="413403641">
      <w:bodyDiv w:val="1"/>
      <w:marLeft w:val="0"/>
      <w:marRight w:val="0"/>
      <w:marTop w:val="0"/>
      <w:marBottom w:val="0"/>
      <w:divBdr>
        <w:top w:val="none" w:sz="0" w:space="0" w:color="auto"/>
        <w:left w:val="none" w:sz="0" w:space="0" w:color="auto"/>
        <w:bottom w:val="none" w:sz="0" w:space="0" w:color="auto"/>
        <w:right w:val="none" w:sz="0" w:space="0" w:color="auto"/>
      </w:divBdr>
    </w:div>
    <w:div w:id="413432291">
      <w:bodyDiv w:val="1"/>
      <w:marLeft w:val="0"/>
      <w:marRight w:val="0"/>
      <w:marTop w:val="0"/>
      <w:marBottom w:val="0"/>
      <w:divBdr>
        <w:top w:val="none" w:sz="0" w:space="0" w:color="auto"/>
        <w:left w:val="none" w:sz="0" w:space="0" w:color="auto"/>
        <w:bottom w:val="none" w:sz="0" w:space="0" w:color="auto"/>
        <w:right w:val="none" w:sz="0" w:space="0" w:color="auto"/>
      </w:divBdr>
    </w:div>
    <w:div w:id="413473800">
      <w:bodyDiv w:val="1"/>
      <w:marLeft w:val="0"/>
      <w:marRight w:val="0"/>
      <w:marTop w:val="0"/>
      <w:marBottom w:val="0"/>
      <w:divBdr>
        <w:top w:val="none" w:sz="0" w:space="0" w:color="auto"/>
        <w:left w:val="none" w:sz="0" w:space="0" w:color="auto"/>
        <w:bottom w:val="none" w:sz="0" w:space="0" w:color="auto"/>
        <w:right w:val="none" w:sz="0" w:space="0" w:color="auto"/>
      </w:divBdr>
    </w:div>
    <w:div w:id="413553963">
      <w:bodyDiv w:val="1"/>
      <w:marLeft w:val="0"/>
      <w:marRight w:val="0"/>
      <w:marTop w:val="0"/>
      <w:marBottom w:val="0"/>
      <w:divBdr>
        <w:top w:val="none" w:sz="0" w:space="0" w:color="auto"/>
        <w:left w:val="none" w:sz="0" w:space="0" w:color="auto"/>
        <w:bottom w:val="none" w:sz="0" w:space="0" w:color="auto"/>
        <w:right w:val="none" w:sz="0" w:space="0" w:color="auto"/>
      </w:divBdr>
    </w:div>
    <w:div w:id="413553995">
      <w:bodyDiv w:val="1"/>
      <w:marLeft w:val="0"/>
      <w:marRight w:val="0"/>
      <w:marTop w:val="0"/>
      <w:marBottom w:val="0"/>
      <w:divBdr>
        <w:top w:val="none" w:sz="0" w:space="0" w:color="auto"/>
        <w:left w:val="none" w:sz="0" w:space="0" w:color="auto"/>
        <w:bottom w:val="none" w:sz="0" w:space="0" w:color="auto"/>
        <w:right w:val="none" w:sz="0" w:space="0" w:color="auto"/>
      </w:divBdr>
    </w:div>
    <w:div w:id="413598080">
      <w:bodyDiv w:val="1"/>
      <w:marLeft w:val="0"/>
      <w:marRight w:val="0"/>
      <w:marTop w:val="0"/>
      <w:marBottom w:val="0"/>
      <w:divBdr>
        <w:top w:val="none" w:sz="0" w:space="0" w:color="auto"/>
        <w:left w:val="none" w:sz="0" w:space="0" w:color="auto"/>
        <w:bottom w:val="none" w:sz="0" w:space="0" w:color="auto"/>
        <w:right w:val="none" w:sz="0" w:space="0" w:color="auto"/>
      </w:divBdr>
    </w:div>
    <w:div w:id="413628745">
      <w:bodyDiv w:val="1"/>
      <w:marLeft w:val="0"/>
      <w:marRight w:val="0"/>
      <w:marTop w:val="0"/>
      <w:marBottom w:val="0"/>
      <w:divBdr>
        <w:top w:val="none" w:sz="0" w:space="0" w:color="auto"/>
        <w:left w:val="none" w:sz="0" w:space="0" w:color="auto"/>
        <w:bottom w:val="none" w:sz="0" w:space="0" w:color="auto"/>
        <w:right w:val="none" w:sz="0" w:space="0" w:color="auto"/>
      </w:divBdr>
    </w:div>
    <w:div w:id="413629962">
      <w:bodyDiv w:val="1"/>
      <w:marLeft w:val="0"/>
      <w:marRight w:val="0"/>
      <w:marTop w:val="0"/>
      <w:marBottom w:val="0"/>
      <w:divBdr>
        <w:top w:val="none" w:sz="0" w:space="0" w:color="auto"/>
        <w:left w:val="none" w:sz="0" w:space="0" w:color="auto"/>
        <w:bottom w:val="none" w:sz="0" w:space="0" w:color="auto"/>
        <w:right w:val="none" w:sz="0" w:space="0" w:color="auto"/>
      </w:divBdr>
    </w:div>
    <w:div w:id="413671488">
      <w:bodyDiv w:val="1"/>
      <w:marLeft w:val="0"/>
      <w:marRight w:val="0"/>
      <w:marTop w:val="0"/>
      <w:marBottom w:val="0"/>
      <w:divBdr>
        <w:top w:val="none" w:sz="0" w:space="0" w:color="auto"/>
        <w:left w:val="none" w:sz="0" w:space="0" w:color="auto"/>
        <w:bottom w:val="none" w:sz="0" w:space="0" w:color="auto"/>
        <w:right w:val="none" w:sz="0" w:space="0" w:color="auto"/>
      </w:divBdr>
    </w:div>
    <w:div w:id="413749116">
      <w:bodyDiv w:val="1"/>
      <w:marLeft w:val="0"/>
      <w:marRight w:val="0"/>
      <w:marTop w:val="0"/>
      <w:marBottom w:val="0"/>
      <w:divBdr>
        <w:top w:val="none" w:sz="0" w:space="0" w:color="auto"/>
        <w:left w:val="none" w:sz="0" w:space="0" w:color="auto"/>
        <w:bottom w:val="none" w:sz="0" w:space="0" w:color="auto"/>
        <w:right w:val="none" w:sz="0" w:space="0" w:color="auto"/>
      </w:divBdr>
    </w:div>
    <w:div w:id="413818343">
      <w:bodyDiv w:val="1"/>
      <w:marLeft w:val="0"/>
      <w:marRight w:val="0"/>
      <w:marTop w:val="0"/>
      <w:marBottom w:val="0"/>
      <w:divBdr>
        <w:top w:val="none" w:sz="0" w:space="0" w:color="auto"/>
        <w:left w:val="none" w:sz="0" w:space="0" w:color="auto"/>
        <w:bottom w:val="none" w:sz="0" w:space="0" w:color="auto"/>
        <w:right w:val="none" w:sz="0" w:space="0" w:color="auto"/>
      </w:divBdr>
    </w:div>
    <w:div w:id="413818490">
      <w:bodyDiv w:val="1"/>
      <w:marLeft w:val="0"/>
      <w:marRight w:val="0"/>
      <w:marTop w:val="0"/>
      <w:marBottom w:val="0"/>
      <w:divBdr>
        <w:top w:val="none" w:sz="0" w:space="0" w:color="auto"/>
        <w:left w:val="none" w:sz="0" w:space="0" w:color="auto"/>
        <w:bottom w:val="none" w:sz="0" w:space="0" w:color="auto"/>
        <w:right w:val="none" w:sz="0" w:space="0" w:color="auto"/>
      </w:divBdr>
    </w:div>
    <w:div w:id="413820341">
      <w:bodyDiv w:val="1"/>
      <w:marLeft w:val="0"/>
      <w:marRight w:val="0"/>
      <w:marTop w:val="0"/>
      <w:marBottom w:val="0"/>
      <w:divBdr>
        <w:top w:val="none" w:sz="0" w:space="0" w:color="auto"/>
        <w:left w:val="none" w:sz="0" w:space="0" w:color="auto"/>
        <w:bottom w:val="none" w:sz="0" w:space="0" w:color="auto"/>
        <w:right w:val="none" w:sz="0" w:space="0" w:color="auto"/>
      </w:divBdr>
    </w:div>
    <w:div w:id="413861652">
      <w:bodyDiv w:val="1"/>
      <w:marLeft w:val="0"/>
      <w:marRight w:val="0"/>
      <w:marTop w:val="0"/>
      <w:marBottom w:val="0"/>
      <w:divBdr>
        <w:top w:val="none" w:sz="0" w:space="0" w:color="auto"/>
        <w:left w:val="none" w:sz="0" w:space="0" w:color="auto"/>
        <w:bottom w:val="none" w:sz="0" w:space="0" w:color="auto"/>
        <w:right w:val="none" w:sz="0" w:space="0" w:color="auto"/>
      </w:divBdr>
    </w:div>
    <w:div w:id="413934674">
      <w:bodyDiv w:val="1"/>
      <w:marLeft w:val="0"/>
      <w:marRight w:val="0"/>
      <w:marTop w:val="0"/>
      <w:marBottom w:val="0"/>
      <w:divBdr>
        <w:top w:val="none" w:sz="0" w:space="0" w:color="auto"/>
        <w:left w:val="none" w:sz="0" w:space="0" w:color="auto"/>
        <w:bottom w:val="none" w:sz="0" w:space="0" w:color="auto"/>
        <w:right w:val="none" w:sz="0" w:space="0" w:color="auto"/>
      </w:divBdr>
    </w:div>
    <w:div w:id="413938291">
      <w:bodyDiv w:val="1"/>
      <w:marLeft w:val="0"/>
      <w:marRight w:val="0"/>
      <w:marTop w:val="0"/>
      <w:marBottom w:val="0"/>
      <w:divBdr>
        <w:top w:val="none" w:sz="0" w:space="0" w:color="auto"/>
        <w:left w:val="none" w:sz="0" w:space="0" w:color="auto"/>
        <w:bottom w:val="none" w:sz="0" w:space="0" w:color="auto"/>
        <w:right w:val="none" w:sz="0" w:space="0" w:color="auto"/>
      </w:divBdr>
    </w:div>
    <w:div w:id="413942858">
      <w:bodyDiv w:val="1"/>
      <w:marLeft w:val="0"/>
      <w:marRight w:val="0"/>
      <w:marTop w:val="0"/>
      <w:marBottom w:val="0"/>
      <w:divBdr>
        <w:top w:val="none" w:sz="0" w:space="0" w:color="auto"/>
        <w:left w:val="none" w:sz="0" w:space="0" w:color="auto"/>
        <w:bottom w:val="none" w:sz="0" w:space="0" w:color="auto"/>
        <w:right w:val="none" w:sz="0" w:space="0" w:color="auto"/>
      </w:divBdr>
    </w:div>
    <w:div w:id="414017526">
      <w:bodyDiv w:val="1"/>
      <w:marLeft w:val="0"/>
      <w:marRight w:val="0"/>
      <w:marTop w:val="0"/>
      <w:marBottom w:val="0"/>
      <w:divBdr>
        <w:top w:val="none" w:sz="0" w:space="0" w:color="auto"/>
        <w:left w:val="none" w:sz="0" w:space="0" w:color="auto"/>
        <w:bottom w:val="none" w:sz="0" w:space="0" w:color="auto"/>
        <w:right w:val="none" w:sz="0" w:space="0" w:color="auto"/>
      </w:divBdr>
    </w:div>
    <w:div w:id="414057554">
      <w:bodyDiv w:val="1"/>
      <w:marLeft w:val="0"/>
      <w:marRight w:val="0"/>
      <w:marTop w:val="0"/>
      <w:marBottom w:val="0"/>
      <w:divBdr>
        <w:top w:val="none" w:sz="0" w:space="0" w:color="auto"/>
        <w:left w:val="none" w:sz="0" w:space="0" w:color="auto"/>
        <w:bottom w:val="none" w:sz="0" w:space="0" w:color="auto"/>
        <w:right w:val="none" w:sz="0" w:space="0" w:color="auto"/>
      </w:divBdr>
    </w:div>
    <w:div w:id="414134856">
      <w:bodyDiv w:val="1"/>
      <w:marLeft w:val="0"/>
      <w:marRight w:val="0"/>
      <w:marTop w:val="0"/>
      <w:marBottom w:val="0"/>
      <w:divBdr>
        <w:top w:val="none" w:sz="0" w:space="0" w:color="auto"/>
        <w:left w:val="none" w:sz="0" w:space="0" w:color="auto"/>
        <w:bottom w:val="none" w:sz="0" w:space="0" w:color="auto"/>
        <w:right w:val="none" w:sz="0" w:space="0" w:color="auto"/>
      </w:divBdr>
    </w:div>
    <w:div w:id="414209573">
      <w:bodyDiv w:val="1"/>
      <w:marLeft w:val="0"/>
      <w:marRight w:val="0"/>
      <w:marTop w:val="0"/>
      <w:marBottom w:val="0"/>
      <w:divBdr>
        <w:top w:val="none" w:sz="0" w:space="0" w:color="auto"/>
        <w:left w:val="none" w:sz="0" w:space="0" w:color="auto"/>
        <w:bottom w:val="none" w:sz="0" w:space="0" w:color="auto"/>
        <w:right w:val="none" w:sz="0" w:space="0" w:color="auto"/>
      </w:divBdr>
    </w:div>
    <w:div w:id="414285545">
      <w:bodyDiv w:val="1"/>
      <w:marLeft w:val="0"/>
      <w:marRight w:val="0"/>
      <w:marTop w:val="0"/>
      <w:marBottom w:val="0"/>
      <w:divBdr>
        <w:top w:val="none" w:sz="0" w:space="0" w:color="auto"/>
        <w:left w:val="none" w:sz="0" w:space="0" w:color="auto"/>
        <w:bottom w:val="none" w:sz="0" w:space="0" w:color="auto"/>
        <w:right w:val="none" w:sz="0" w:space="0" w:color="auto"/>
      </w:divBdr>
    </w:div>
    <w:div w:id="414322158">
      <w:bodyDiv w:val="1"/>
      <w:marLeft w:val="0"/>
      <w:marRight w:val="0"/>
      <w:marTop w:val="0"/>
      <w:marBottom w:val="0"/>
      <w:divBdr>
        <w:top w:val="none" w:sz="0" w:space="0" w:color="auto"/>
        <w:left w:val="none" w:sz="0" w:space="0" w:color="auto"/>
        <w:bottom w:val="none" w:sz="0" w:space="0" w:color="auto"/>
        <w:right w:val="none" w:sz="0" w:space="0" w:color="auto"/>
      </w:divBdr>
    </w:div>
    <w:div w:id="414323454">
      <w:bodyDiv w:val="1"/>
      <w:marLeft w:val="0"/>
      <w:marRight w:val="0"/>
      <w:marTop w:val="0"/>
      <w:marBottom w:val="0"/>
      <w:divBdr>
        <w:top w:val="none" w:sz="0" w:space="0" w:color="auto"/>
        <w:left w:val="none" w:sz="0" w:space="0" w:color="auto"/>
        <w:bottom w:val="none" w:sz="0" w:space="0" w:color="auto"/>
        <w:right w:val="none" w:sz="0" w:space="0" w:color="auto"/>
      </w:divBdr>
    </w:div>
    <w:div w:id="414472079">
      <w:bodyDiv w:val="1"/>
      <w:marLeft w:val="0"/>
      <w:marRight w:val="0"/>
      <w:marTop w:val="0"/>
      <w:marBottom w:val="0"/>
      <w:divBdr>
        <w:top w:val="none" w:sz="0" w:space="0" w:color="auto"/>
        <w:left w:val="none" w:sz="0" w:space="0" w:color="auto"/>
        <w:bottom w:val="none" w:sz="0" w:space="0" w:color="auto"/>
        <w:right w:val="none" w:sz="0" w:space="0" w:color="auto"/>
      </w:divBdr>
    </w:div>
    <w:div w:id="414518037">
      <w:bodyDiv w:val="1"/>
      <w:marLeft w:val="0"/>
      <w:marRight w:val="0"/>
      <w:marTop w:val="0"/>
      <w:marBottom w:val="0"/>
      <w:divBdr>
        <w:top w:val="none" w:sz="0" w:space="0" w:color="auto"/>
        <w:left w:val="none" w:sz="0" w:space="0" w:color="auto"/>
        <w:bottom w:val="none" w:sz="0" w:space="0" w:color="auto"/>
        <w:right w:val="none" w:sz="0" w:space="0" w:color="auto"/>
      </w:divBdr>
    </w:div>
    <w:div w:id="414593760">
      <w:bodyDiv w:val="1"/>
      <w:marLeft w:val="0"/>
      <w:marRight w:val="0"/>
      <w:marTop w:val="0"/>
      <w:marBottom w:val="0"/>
      <w:divBdr>
        <w:top w:val="none" w:sz="0" w:space="0" w:color="auto"/>
        <w:left w:val="none" w:sz="0" w:space="0" w:color="auto"/>
        <w:bottom w:val="none" w:sz="0" w:space="0" w:color="auto"/>
        <w:right w:val="none" w:sz="0" w:space="0" w:color="auto"/>
      </w:divBdr>
    </w:div>
    <w:div w:id="414671706">
      <w:bodyDiv w:val="1"/>
      <w:marLeft w:val="0"/>
      <w:marRight w:val="0"/>
      <w:marTop w:val="0"/>
      <w:marBottom w:val="0"/>
      <w:divBdr>
        <w:top w:val="none" w:sz="0" w:space="0" w:color="auto"/>
        <w:left w:val="none" w:sz="0" w:space="0" w:color="auto"/>
        <w:bottom w:val="none" w:sz="0" w:space="0" w:color="auto"/>
        <w:right w:val="none" w:sz="0" w:space="0" w:color="auto"/>
      </w:divBdr>
    </w:div>
    <w:div w:id="414743472">
      <w:bodyDiv w:val="1"/>
      <w:marLeft w:val="0"/>
      <w:marRight w:val="0"/>
      <w:marTop w:val="0"/>
      <w:marBottom w:val="0"/>
      <w:divBdr>
        <w:top w:val="none" w:sz="0" w:space="0" w:color="auto"/>
        <w:left w:val="none" w:sz="0" w:space="0" w:color="auto"/>
        <w:bottom w:val="none" w:sz="0" w:space="0" w:color="auto"/>
        <w:right w:val="none" w:sz="0" w:space="0" w:color="auto"/>
      </w:divBdr>
    </w:div>
    <w:div w:id="414790276">
      <w:bodyDiv w:val="1"/>
      <w:marLeft w:val="0"/>
      <w:marRight w:val="0"/>
      <w:marTop w:val="0"/>
      <w:marBottom w:val="0"/>
      <w:divBdr>
        <w:top w:val="none" w:sz="0" w:space="0" w:color="auto"/>
        <w:left w:val="none" w:sz="0" w:space="0" w:color="auto"/>
        <w:bottom w:val="none" w:sz="0" w:space="0" w:color="auto"/>
        <w:right w:val="none" w:sz="0" w:space="0" w:color="auto"/>
      </w:divBdr>
    </w:div>
    <w:div w:id="414862552">
      <w:bodyDiv w:val="1"/>
      <w:marLeft w:val="0"/>
      <w:marRight w:val="0"/>
      <w:marTop w:val="0"/>
      <w:marBottom w:val="0"/>
      <w:divBdr>
        <w:top w:val="none" w:sz="0" w:space="0" w:color="auto"/>
        <w:left w:val="none" w:sz="0" w:space="0" w:color="auto"/>
        <w:bottom w:val="none" w:sz="0" w:space="0" w:color="auto"/>
        <w:right w:val="none" w:sz="0" w:space="0" w:color="auto"/>
      </w:divBdr>
    </w:div>
    <w:div w:id="414981489">
      <w:bodyDiv w:val="1"/>
      <w:marLeft w:val="0"/>
      <w:marRight w:val="0"/>
      <w:marTop w:val="0"/>
      <w:marBottom w:val="0"/>
      <w:divBdr>
        <w:top w:val="none" w:sz="0" w:space="0" w:color="auto"/>
        <w:left w:val="none" w:sz="0" w:space="0" w:color="auto"/>
        <w:bottom w:val="none" w:sz="0" w:space="0" w:color="auto"/>
        <w:right w:val="none" w:sz="0" w:space="0" w:color="auto"/>
      </w:divBdr>
    </w:div>
    <w:div w:id="415052934">
      <w:bodyDiv w:val="1"/>
      <w:marLeft w:val="0"/>
      <w:marRight w:val="0"/>
      <w:marTop w:val="0"/>
      <w:marBottom w:val="0"/>
      <w:divBdr>
        <w:top w:val="none" w:sz="0" w:space="0" w:color="auto"/>
        <w:left w:val="none" w:sz="0" w:space="0" w:color="auto"/>
        <w:bottom w:val="none" w:sz="0" w:space="0" w:color="auto"/>
        <w:right w:val="none" w:sz="0" w:space="0" w:color="auto"/>
      </w:divBdr>
    </w:div>
    <w:div w:id="415201791">
      <w:bodyDiv w:val="1"/>
      <w:marLeft w:val="0"/>
      <w:marRight w:val="0"/>
      <w:marTop w:val="0"/>
      <w:marBottom w:val="0"/>
      <w:divBdr>
        <w:top w:val="none" w:sz="0" w:space="0" w:color="auto"/>
        <w:left w:val="none" w:sz="0" w:space="0" w:color="auto"/>
        <w:bottom w:val="none" w:sz="0" w:space="0" w:color="auto"/>
        <w:right w:val="none" w:sz="0" w:space="0" w:color="auto"/>
      </w:divBdr>
    </w:div>
    <w:div w:id="415324546">
      <w:bodyDiv w:val="1"/>
      <w:marLeft w:val="0"/>
      <w:marRight w:val="0"/>
      <w:marTop w:val="0"/>
      <w:marBottom w:val="0"/>
      <w:divBdr>
        <w:top w:val="none" w:sz="0" w:space="0" w:color="auto"/>
        <w:left w:val="none" w:sz="0" w:space="0" w:color="auto"/>
        <w:bottom w:val="none" w:sz="0" w:space="0" w:color="auto"/>
        <w:right w:val="none" w:sz="0" w:space="0" w:color="auto"/>
      </w:divBdr>
    </w:div>
    <w:div w:id="415368220">
      <w:bodyDiv w:val="1"/>
      <w:marLeft w:val="0"/>
      <w:marRight w:val="0"/>
      <w:marTop w:val="0"/>
      <w:marBottom w:val="0"/>
      <w:divBdr>
        <w:top w:val="none" w:sz="0" w:space="0" w:color="auto"/>
        <w:left w:val="none" w:sz="0" w:space="0" w:color="auto"/>
        <w:bottom w:val="none" w:sz="0" w:space="0" w:color="auto"/>
        <w:right w:val="none" w:sz="0" w:space="0" w:color="auto"/>
      </w:divBdr>
    </w:div>
    <w:div w:id="415442444">
      <w:bodyDiv w:val="1"/>
      <w:marLeft w:val="0"/>
      <w:marRight w:val="0"/>
      <w:marTop w:val="0"/>
      <w:marBottom w:val="0"/>
      <w:divBdr>
        <w:top w:val="none" w:sz="0" w:space="0" w:color="auto"/>
        <w:left w:val="none" w:sz="0" w:space="0" w:color="auto"/>
        <w:bottom w:val="none" w:sz="0" w:space="0" w:color="auto"/>
        <w:right w:val="none" w:sz="0" w:space="0" w:color="auto"/>
      </w:divBdr>
    </w:div>
    <w:div w:id="415446713">
      <w:bodyDiv w:val="1"/>
      <w:marLeft w:val="0"/>
      <w:marRight w:val="0"/>
      <w:marTop w:val="0"/>
      <w:marBottom w:val="0"/>
      <w:divBdr>
        <w:top w:val="none" w:sz="0" w:space="0" w:color="auto"/>
        <w:left w:val="none" w:sz="0" w:space="0" w:color="auto"/>
        <w:bottom w:val="none" w:sz="0" w:space="0" w:color="auto"/>
        <w:right w:val="none" w:sz="0" w:space="0" w:color="auto"/>
      </w:divBdr>
    </w:div>
    <w:div w:id="415447163">
      <w:bodyDiv w:val="1"/>
      <w:marLeft w:val="0"/>
      <w:marRight w:val="0"/>
      <w:marTop w:val="0"/>
      <w:marBottom w:val="0"/>
      <w:divBdr>
        <w:top w:val="none" w:sz="0" w:space="0" w:color="auto"/>
        <w:left w:val="none" w:sz="0" w:space="0" w:color="auto"/>
        <w:bottom w:val="none" w:sz="0" w:space="0" w:color="auto"/>
        <w:right w:val="none" w:sz="0" w:space="0" w:color="auto"/>
      </w:divBdr>
    </w:div>
    <w:div w:id="415595958">
      <w:bodyDiv w:val="1"/>
      <w:marLeft w:val="0"/>
      <w:marRight w:val="0"/>
      <w:marTop w:val="0"/>
      <w:marBottom w:val="0"/>
      <w:divBdr>
        <w:top w:val="none" w:sz="0" w:space="0" w:color="auto"/>
        <w:left w:val="none" w:sz="0" w:space="0" w:color="auto"/>
        <w:bottom w:val="none" w:sz="0" w:space="0" w:color="auto"/>
        <w:right w:val="none" w:sz="0" w:space="0" w:color="auto"/>
      </w:divBdr>
    </w:div>
    <w:div w:id="415633173">
      <w:bodyDiv w:val="1"/>
      <w:marLeft w:val="0"/>
      <w:marRight w:val="0"/>
      <w:marTop w:val="0"/>
      <w:marBottom w:val="0"/>
      <w:divBdr>
        <w:top w:val="none" w:sz="0" w:space="0" w:color="auto"/>
        <w:left w:val="none" w:sz="0" w:space="0" w:color="auto"/>
        <w:bottom w:val="none" w:sz="0" w:space="0" w:color="auto"/>
        <w:right w:val="none" w:sz="0" w:space="0" w:color="auto"/>
      </w:divBdr>
    </w:div>
    <w:div w:id="415828069">
      <w:bodyDiv w:val="1"/>
      <w:marLeft w:val="0"/>
      <w:marRight w:val="0"/>
      <w:marTop w:val="0"/>
      <w:marBottom w:val="0"/>
      <w:divBdr>
        <w:top w:val="none" w:sz="0" w:space="0" w:color="auto"/>
        <w:left w:val="none" w:sz="0" w:space="0" w:color="auto"/>
        <w:bottom w:val="none" w:sz="0" w:space="0" w:color="auto"/>
        <w:right w:val="none" w:sz="0" w:space="0" w:color="auto"/>
      </w:divBdr>
    </w:div>
    <w:div w:id="416171993">
      <w:bodyDiv w:val="1"/>
      <w:marLeft w:val="0"/>
      <w:marRight w:val="0"/>
      <w:marTop w:val="0"/>
      <w:marBottom w:val="0"/>
      <w:divBdr>
        <w:top w:val="none" w:sz="0" w:space="0" w:color="auto"/>
        <w:left w:val="none" w:sz="0" w:space="0" w:color="auto"/>
        <w:bottom w:val="none" w:sz="0" w:space="0" w:color="auto"/>
        <w:right w:val="none" w:sz="0" w:space="0" w:color="auto"/>
      </w:divBdr>
    </w:div>
    <w:div w:id="416244974">
      <w:bodyDiv w:val="1"/>
      <w:marLeft w:val="0"/>
      <w:marRight w:val="0"/>
      <w:marTop w:val="0"/>
      <w:marBottom w:val="0"/>
      <w:divBdr>
        <w:top w:val="none" w:sz="0" w:space="0" w:color="auto"/>
        <w:left w:val="none" w:sz="0" w:space="0" w:color="auto"/>
        <w:bottom w:val="none" w:sz="0" w:space="0" w:color="auto"/>
        <w:right w:val="none" w:sz="0" w:space="0" w:color="auto"/>
      </w:divBdr>
    </w:div>
    <w:div w:id="416293896">
      <w:bodyDiv w:val="1"/>
      <w:marLeft w:val="0"/>
      <w:marRight w:val="0"/>
      <w:marTop w:val="0"/>
      <w:marBottom w:val="0"/>
      <w:divBdr>
        <w:top w:val="none" w:sz="0" w:space="0" w:color="auto"/>
        <w:left w:val="none" w:sz="0" w:space="0" w:color="auto"/>
        <w:bottom w:val="none" w:sz="0" w:space="0" w:color="auto"/>
        <w:right w:val="none" w:sz="0" w:space="0" w:color="auto"/>
      </w:divBdr>
    </w:div>
    <w:div w:id="416370751">
      <w:bodyDiv w:val="1"/>
      <w:marLeft w:val="0"/>
      <w:marRight w:val="0"/>
      <w:marTop w:val="0"/>
      <w:marBottom w:val="0"/>
      <w:divBdr>
        <w:top w:val="none" w:sz="0" w:space="0" w:color="auto"/>
        <w:left w:val="none" w:sz="0" w:space="0" w:color="auto"/>
        <w:bottom w:val="none" w:sz="0" w:space="0" w:color="auto"/>
        <w:right w:val="none" w:sz="0" w:space="0" w:color="auto"/>
      </w:divBdr>
    </w:div>
    <w:div w:id="416443261">
      <w:bodyDiv w:val="1"/>
      <w:marLeft w:val="0"/>
      <w:marRight w:val="0"/>
      <w:marTop w:val="0"/>
      <w:marBottom w:val="0"/>
      <w:divBdr>
        <w:top w:val="none" w:sz="0" w:space="0" w:color="auto"/>
        <w:left w:val="none" w:sz="0" w:space="0" w:color="auto"/>
        <w:bottom w:val="none" w:sz="0" w:space="0" w:color="auto"/>
        <w:right w:val="none" w:sz="0" w:space="0" w:color="auto"/>
      </w:divBdr>
    </w:div>
    <w:div w:id="416445822">
      <w:bodyDiv w:val="1"/>
      <w:marLeft w:val="0"/>
      <w:marRight w:val="0"/>
      <w:marTop w:val="0"/>
      <w:marBottom w:val="0"/>
      <w:divBdr>
        <w:top w:val="none" w:sz="0" w:space="0" w:color="auto"/>
        <w:left w:val="none" w:sz="0" w:space="0" w:color="auto"/>
        <w:bottom w:val="none" w:sz="0" w:space="0" w:color="auto"/>
        <w:right w:val="none" w:sz="0" w:space="0" w:color="auto"/>
      </w:divBdr>
    </w:div>
    <w:div w:id="416487957">
      <w:bodyDiv w:val="1"/>
      <w:marLeft w:val="0"/>
      <w:marRight w:val="0"/>
      <w:marTop w:val="0"/>
      <w:marBottom w:val="0"/>
      <w:divBdr>
        <w:top w:val="none" w:sz="0" w:space="0" w:color="auto"/>
        <w:left w:val="none" w:sz="0" w:space="0" w:color="auto"/>
        <w:bottom w:val="none" w:sz="0" w:space="0" w:color="auto"/>
        <w:right w:val="none" w:sz="0" w:space="0" w:color="auto"/>
      </w:divBdr>
    </w:div>
    <w:div w:id="416748674">
      <w:bodyDiv w:val="1"/>
      <w:marLeft w:val="0"/>
      <w:marRight w:val="0"/>
      <w:marTop w:val="0"/>
      <w:marBottom w:val="0"/>
      <w:divBdr>
        <w:top w:val="none" w:sz="0" w:space="0" w:color="auto"/>
        <w:left w:val="none" w:sz="0" w:space="0" w:color="auto"/>
        <w:bottom w:val="none" w:sz="0" w:space="0" w:color="auto"/>
        <w:right w:val="none" w:sz="0" w:space="0" w:color="auto"/>
      </w:divBdr>
    </w:div>
    <w:div w:id="416901045">
      <w:bodyDiv w:val="1"/>
      <w:marLeft w:val="0"/>
      <w:marRight w:val="0"/>
      <w:marTop w:val="0"/>
      <w:marBottom w:val="0"/>
      <w:divBdr>
        <w:top w:val="none" w:sz="0" w:space="0" w:color="auto"/>
        <w:left w:val="none" w:sz="0" w:space="0" w:color="auto"/>
        <w:bottom w:val="none" w:sz="0" w:space="0" w:color="auto"/>
        <w:right w:val="none" w:sz="0" w:space="0" w:color="auto"/>
      </w:divBdr>
    </w:div>
    <w:div w:id="417093218">
      <w:bodyDiv w:val="1"/>
      <w:marLeft w:val="0"/>
      <w:marRight w:val="0"/>
      <w:marTop w:val="0"/>
      <w:marBottom w:val="0"/>
      <w:divBdr>
        <w:top w:val="none" w:sz="0" w:space="0" w:color="auto"/>
        <w:left w:val="none" w:sz="0" w:space="0" w:color="auto"/>
        <w:bottom w:val="none" w:sz="0" w:space="0" w:color="auto"/>
        <w:right w:val="none" w:sz="0" w:space="0" w:color="auto"/>
      </w:divBdr>
    </w:div>
    <w:div w:id="417094037">
      <w:bodyDiv w:val="1"/>
      <w:marLeft w:val="0"/>
      <w:marRight w:val="0"/>
      <w:marTop w:val="0"/>
      <w:marBottom w:val="0"/>
      <w:divBdr>
        <w:top w:val="none" w:sz="0" w:space="0" w:color="auto"/>
        <w:left w:val="none" w:sz="0" w:space="0" w:color="auto"/>
        <w:bottom w:val="none" w:sz="0" w:space="0" w:color="auto"/>
        <w:right w:val="none" w:sz="0" w:space="0" w:color="auto"/>
      </w:divBdr>
    </w:div>
    <w:div w:id="417097215">
      <w:bodyDiv w:val="1"/>
      <w:marLeft w:val="0"/>
      <w:marRight w:val="0"/>
      <w:marTop w:val="0"/>
      <w:marBottom w:val="0"/>
      <w:divBdr>
        <w:top w:val="none" w:sz="0" w:space="0" w:color="auto"/>
        <w:left w:val="none" w:sz="0" w:space="0" w:color="auto"/>
        <w:bottom w:val="none" w:sz="0" w:space="0" w:color="auto"/>
        <w:right w:val="none" w:sz="0" w:space="0" w:color="auto"/>
      </w:divBdr>
    </w:div>
    <w:div w:id="417098818">
      <w:bodyDiv w:val="1"/>
      <w:marLeft w:val="0"/>
      <w:marRight w:val="0"/>
      <w:marTop w:val="0"/>
      <w:marBottom w:val="0"/>
      <w:divBdr>
        <w:top w:val="none" w:sz="0" w:space="0" w:color="auto"/>
        <w:left w:val="none" w:sz="0" w:space="0" w:color="auto"/>
        <w:bottom w:val="none" w:sz="0" w:space="0" w:color="auto"/>
        <w:right w:val="none" w:sz="0" w:space="0" w:color="auto"/>
      </w:divBdr>
    </w:div>
    <w:div w:id="417143814">
      <w:bodyDiv w:val="1"/>
      <w:marLeft w:val="0"/>
      <w:marRight w:val="0"/>
      <w:marTop w:val="0"/>
      <w:marBottom w:val="0"/>
      <w:divBdr>
        <w:top w:val="none" w:sz="0" w:space="0" w:color="auto"/>
        <w:left w:val="none" w:sz="0" w:space="0" w:color="auto"/>
        <w:bottom w:val="none" w:sz="0" w:space="0" w:color="auto"/>
        <w:right w:val="none" w:sz="0" w:space="0" w:color="auto"/>
      </w:divBdr>
    </w:div>
    <w:div w:id="417217336">
      <w:bodyDiv w:val="1"/>
      <w:marLeft w:val="0"/>
      <w:marRight w:val="0"/>
      <w:marTop w:val="0"/>
      <w:marBottom w:val="0"/>
      <w:divBdr>
        <w:top w:val="none" w:sz="0" w:space="0" w:color="auto"/>
        <w:left w:val="none" w:sz="0" w:space="0" w:color="auto"/>
        <w:bottom w:val="none" w:sz="0" w:space="0" w:color="auto"/>
        <w:right w:val="none" w:sz="0" w:space="0" w:color="auto"/>
      </w:divBdr>
    </w:div>
    <w:div w:id="417217509">
      <w:bodyDiv w:val="1"/>
      <w:marLeft w:val="0"/>
      <w:marRight w:val="0"/>
      <w:marTop w:val="0"/>
      <w:marBottom w:val="0"/>
      <w:divBdr>
        <w:top w:val="none" w:sz="0" w:space="0" w:color="auto"/>
        <w:left w:val="none" w:sz="0" w:space="0" w:color="auto"/>
        <w:bottom w:val="none" w:sz="0" w:space="0" w:color="auto"/>
        <w:right w:val="none" w:sz="0" w:space="0" w:color="auto"/>
      </w:divBdr>
    </w:div>
    <w:div w:id="417404502">
      <w:bodyDiv w:val="1"/>
      <w:marLeft w:val="0"/>
      <w:marRight w:val="0"/>
      <w:marTop w:val="0"/>
      <w:marBottom w:val="0"/>
      <w:divBdr>
        <w:top w:val="none" w:sz="0" w:space="0" w:color="auto"/>
        <w:left w:val="none" w:sz="0" w:space="0" w:color="auto"/>
        <w:bottom w:val="none" w:sz="0" w:space="0" w:color="auto"/>
        <w:right w:val="none" w:sz="0" w:space="0" w:color="auto"/>
      </w:divBdr>
    </w:div>
    <w:div w:id="417480580">
      <w:bodyDiv w:val="1"/>
      <w:marLeft w:val="0"/>
      <w:marRight w:val="0"/>
      <w:marTop w:val="0"/>
      <w:marBottom w:val="0"/>
      <w:divBdr>
        <w:top w:val="none" w:sz="0" w:space="0" w:color="auto"/>
        <w:left w:val="none" w:sz="0" w:space="0" w:color="auto"/>
        <w:bottom w:val="none" w:sz="0" w:space="0" w:color="auto"/>
        <w:right w:val="none" w:sz="0" w:space="0" w:color="auto"/>
      </w:divBdr>
    </w:div>
    <w:div w:id="417481017">
      <w:bodyDiv w:val="1"/>
      <w:marLeft w:val="0"/>
      <w:marRight w:val="0"/>
      <w:marTop w:val="0"/>
      <w:marBottom w:val="0"/>
      <w:divBdr>
        <w:top w:val="none" w:sz="0" w:space="0" w:color="auto"/>
        <w:left w:val="none" w:sz="0" w:space="0" w:color="auto"/>
        <w:bottom w:val="none" w:sz="0" w:space="0" w:color="auto"/>
        <w:right w:val="none" w:sz="0" w:space="0" w:color="auto"/>
      </w:divBdr>
    </w:div>
    <w:div w:id="417602194">
      <w:bodyDiv w:val="1"/>
      <w:marLeft w:val="0"/>
      <w:marRight w:val="0"/>
      <w:marTop w:val="0"/>
      <w:marBottom w:val="0"/>
      <w:divBdr>
        <w:top w:val="none" w:sz="0" w:space="0" w:color="auto"/>
        <w:left w:val="none" w:sz="0" w:space="0" w:color="auto"/>
        <w:bottom w:val="none" w:sz="0" w:space="0" w:color="auto"/>
        <w:right w:val="none" w:sz="0" w:space="0" w:color="auto"/>
      </w:divBdr>
    </w:div>
    <w:div w:id="417604190">
      <w:bodyDiv w:val="1"/>
      <w:marLeft w:val="0"/>
      <w:marRight w:val="0"/>
      <w:marTop w:val="0"/>
      <w:marBottom w:val="0"/>
      <w:divBdr>
        <w:top w:val="none" w:sz="0" w:space="0" w:color="auto"/>
        <w:left w:val="none" w:sz="0" w:space="0" w:color="auto"/>
        <w:bottom w:val="none" w:sz="0" w:space="0" w:color="auto"/>
        <w:right w:val="none" w:sz="0" w:space="0" w:color="auto"/>
      </w:divBdr>
    </w:div>
    <w:div w:id="417672200">
      <w:bodyDiv w:val="1"/>
      <w:marLeft w:val="0"/>
      <w:marRight w:val="0"/>
      <w:marTop w:val="0"/>
      <w:marBottom w:val="0"/>
      <w:divBdr>
        <w:top w:val="none" w:sz="0" w:space="0" w:color="auto"/>
        <w:left w:val="none" w:sz="0" w:space="0" w:color="auto"/>
        <w:bottom w:val="none" w:sz="0" w:space="0" w:color="auto"/>
        <w:right w:val="none" w:sz="0" w:space="0" w:color="auto"/>
      </w:divBdr>
    </w:div>
    <w:div w:id="417672516">
      <w:bodyDiv w:val="1"/>
      <w:marLeft w:val="0"/>
      <w:marRight w:val="0"/>
      <w:marTop w:val="0"/>
      <w:marBottom w:val="0"/>
      <w:divBdr>
        <w:top w:val="none" w:sz="0" w:space="0" w:color="auto"/>
        <w:left w:val="none" w:sz="0" w:space="0" w:color="auto"/>
        <w:bottom w:val="none" w:sz="0" w:space="0" w:color="auto"/>
        <w:right w:val="none" w:sz="0" w:space="0" w:color="auto"/>
      </w:divBdr>
    </w:div>
    <w:div w:id="417676544">
      <w:bodyDiv w:val="1"/>
      <w:marLeft w:val="0"/>
      <w:marRight w:val="0"/>
      <w:marTop w:val="0"/>
      <w:marBottom w:val="0"/>
      <w:divBdr>
        <w:top w:val="none" w:sz="0" w:space="0" w:color="auto"/>
        <w:left w:val="none" w:sz="0" w:space="0" w:color="auto"/>
        <w:bottom w:val="none" w:sz="0" w:space="0" w:color="auto"/>
        <w:right w:val="none" w:sz="0" w:space="0" w:color="auto"/>
      </w:divBdr>
    </w:div>
    <w:div w:id="417680554">
      <w:bodyDiv w:val="1"/>
      <w:marLeft w:val="0"/>
      <w:marRight w:val="0"/>
      <w:marTop w:val="0"/>
      <w:marBottom w:val="0"/>
      <w:divBdr>
        <w:top w:val="none" w:sz="0" w:space="0" w:color="auto"/>
        <w:left w:val="none" w:sz="0" w:space="0" w:color="auto"/>
        <w:bottom w:val="none" w:sz="0" w:space="0" w:color="auto"/>
        <w:right w:val="none" w:sz="0" w:space="0" w:color="auto"/>
      </w:divBdr>
    </w:div>
    <w:div w:id="417755923">
      <w:bodyDiv w:val="1"/>
      <w:marLeft w:val="0"/>
      <w:marRight w:val="0"/>
      <w:marTop w:val="0"/>
      <w:marBottom w:val="0"/>
      <w:divBdr>
        <w:top w:val="none" w:sz="0" w:space="0" w:color="auto"/>
        <w:left w:val="none" w:sz="0" w:space="0" w:color="auto"/>
        <w:bottom w:val="none" w:sz="0" w:space="0" w:color="auto"/>
        <w:right w:val="none" w:sz="0" w:space="0" w:color="auto"/>
      </w:divBdr>
    </w:div>
    <w:div w:id="417868814">
      <w:bodyDiv w:val="1"/>
      <w:marLeft w:val="0"/>
      <w:marRight w:val="0"/>
      <w:marTop w:val="0"/>
      <w:marBottom w:val="0"/>
      <w:divBdr>
        <w:top w:val="none" w:sz="0" w:space="0" w:color="auto"/>
        <w:left w:val="none" w:sz="0" w:space="0" w:color="auto"/>
        <w:bottom w:val="none" w:sz="0" w:space="0" w:color="auto"/>
        <w:right w:val="none" w:sz="0" w:space="0" w:color="auto"/>
      </w:divBdr>
    </w:div>
    <w:div w:id="417871181">
      <w:bodyDiv w:val="1"/>
      <w:marLeft w:val="0"/>
      <w:marRight w:val="0"/>
      <w:marTop w:val="0"/>
      <w:marBottom w:val="0"/>
      <w:divBdr>
        <w:top w:val="none" w:sz="0" w:space="0" w:color="auto"/>
        <w:left w:val="none" w:sz="0" w:space="0" w:color="auto"/>
        <w:bottom w:val="none" w:sz="0" w:space="0" w:color="auto"/>
        <w:right w:val="none" w:sz="0" w:space="0" w:color="auto"/>
      </w:divBdr>
    </w:div>
    <w:div w:id="417871426">
      <w:bodyDiv w:val="1"/>
      <w:marLeft w:val="0"/>
      <w:marRight w:val="0"/>
      <w:marTop w:val="0"/>
      <w:marBottom w:val="0"/>
      <w:divBdr>
        <w:top w:val="none" w:sz="0" w:space="0" w:color="auto"/>
        <w:left w:val="none" w:sz="0" w:space="0" w:color="auto"/>
        <w:bottom w:val="none" w:sz="0" w:space="0" w:color="auto"/>
        <w:right w:val="none" w:sz="0" w:space="0" w:color="auto"/>
      </w:divBdr>
    </w:div>
    <w:div w:id="417944161">
      <w:bodyDiv w:val="1"/>
      <w:marLeft w:val="0"/>
      <w:marRight w:val="0"/>
      <w:marTop w:val="0"/>
      <w:marBottom w:val="0"/>
      <w:divBdr>
        <w:top w:val="none" w:sz="0" w:space="0" w:color="auto"/>
        <w:left w:val="none" w:sz="0" w:space="0" w:color="auto"/>
        <w:bottom w:val="none" w:sz="0" w:space="0" w:color="auto"/>
        <w:right w:val="none" w:sz="0" w:space="0" w:color="auto"/>
      </w:divBdr>
    </w:div>
    <w:div w:id="417947086">
      <w:bodyDiv w:val="1"/>
      <w:marLeft w:val="0"/>
      <w:marRight w:val="0"/>
      <w:marTop w:val="0"/>
      <w:marBottom w:val="0"/>
      <w:divBdr>
        <w:top w:val="none" w:sz="0" w:space="0" w:color="auto"/>
        <w:left w:val="none" w:sz="0" w:space="0" w:color="auto"/>
        <w:bottom w:val="none" w:sz="0" w:space="0" w:color="auto"/>
        <w:right w:val="none" w:sz="0" w:space="0" w:color="auto"/>
      </w:divBdr>
    </w:div>
    <w:div w:id="418065614">
      <w:bodyDiv w:val="1"/>
      <w:marLeft w:val="0"/>
      <w:marRight w:val="0"/>
      <w:marTop w:val="0"/>
      <w:marBottom w:val="0"/>
      <w:divBdr>
        <w:top w:val="none" w:sz="0" w:space="0" w:color="auto"/>
        <w:left w:val="none" w:sz="0" w:space="0" w:color="auto"/>
        <w:bottom w:val="none" w:sz="0" w:space="0" w:color="auto"/>
        <w:right w:val="none" w:sz="0" w:space="0" w:color="auto"/>
      </w:divBdr>
    </w:div>
    <w:div w:id="418138982">
      <w:bodyDiv w:val="1"/>
      <w:marLeft w:val="0"/>
      <w:marRight w:val="0"/>
      <w:marTop w:val="0"/>
      <w:marBottom w:val="0"/>
      <w:divBdr>
        <w:top w:val="none" w:sz="0" w:space="0" w:color="auto"/>
        <w:left w:val="none" w:sz="0" w:space="0" w:color="auto"/>
        <w:bottom w:val="none" w:sz="0" w:space="0" w:color="auto"/>
        <w:right w:val="none" w:sz="0" w:space="0" w:color="auto"/>
      </w:divBdr>
    </w:div>
    <w:div w:id="418140610">
      <w:bodyDiv w:val="1"/>
      <w:marLeft w:val="0"/>
      <w:marRight w:val="0"/>
      <w:marTop w:val="0"/>
      <w:marBottom w:val="0"/>
      <w:divBdr>
        <w:top w:val="none" w:sz="0" w:space="0" w:color="auto"/>
        <w:left w:val="none" w:sz="0" w:space="0" w:color="auto"/>
        <w:bottom w:val="none" w:sz="0" w:space="0" w:color="auto"/>
        <w:right w:val="none" w:sz="0" w:space="0" w:color="auto"/>
      </w:divBdr>
    </w:div>
    <w:div w:id="418185633">
      <w:bodyDiv w:val="1"/>
      <w:marLeft w:val="0"/>
      <w:marRight w:val="0"/>
      <w:marTop w:val="0"/>
      <w:marBottom w:val="0"/>
      <w:divBdr>
        <w:top w:val="none" w:sz="0" w:space="0" w:color="auto"/>
        <w:left w:val="none" w:sz="0" w:space="0" w:color="auto"/>
        <w:bottom w:val="none" w:sz="0" w:space="0" w:color="auto"/>
        <w:right w:val="none" w:sz="0" w:space="0" w:color="auto"/>
      </w:divBdr>
    </w:div>
    <w:div w:id="418212717">
      <w:bodyDiv w:val="1"/>
      <w:marLeft w:val="0"/>
      <w:marRight w:val="0"/>
      <w:marTop w:val="0"/>
      <w:marBottom w:val="0"/>
      <w:divBdr>
        <w:top w:val="none" w:sz="0" w:space="0" w:color="auto"/>
        <w:left w:val="none" w:sz="0" w:space="0" w:color="auto"/>
        <w:bottom w:val="none" w:sz="0" w:space="0" w:color="auto"/>
        <w:right w:val="none" w:sz="0" w:space="0" w:color="auto"/>
      </w:divBdr>
    </w:div>
    <w:div w:id="418215613">
      <w:bodyDiv w:val="1"/>
      <w:marLeft w:val="0"/>
      <w:marRight w:val="0"/>
      <w:marTop w:val="0"/>
      <w:marBottom w:val="0"/>
      <w:divBdr>
        <w:top w:val="none" w:sz="0" w:space="0" w:color="auto"/>
        <w:left w:val="none" w:sz="0" w:space="0" w:color="auto"/>
        <w:bottom w:val="none" w:sz="0" w:space="0" w:color="auto"/>
        <w:right w:val="none" w:sz="0" w:space="0" w:color="auto"/>
      </w:divBdr>
    </w:div>
    <w:div w:id="418252977">
      <w:bodyDiv w:val="1"/>
      <w:marLeft w:val="0"/>
      <w:marRight w:val="0"/>
      <w:marTop w:val="0"/>
      <w:marBottom w:val="0"/>
      <w:divBdr>
        <w:top w:val="none" w:sz="0" w:space="0" w:color="auto"/>
        <w:left w:val="none" w:sz="0" w:space="0" w:color="auto"/>
        <w:bottom w:val="none" w:sz="0" w:space="0" w:color="auto"/>
        <w:right w:val="none" w:sz="0" w:space="0" w:color="auto"/>
      </w:divBdr>
    </w:div>
    <w:div w:id="418253137">
      <w:bodyDiv w:val="1"/>
      <w:marLeft w:val="0"/>
      <w:marRight w:val="0"/>
      <w:marTop w:val="0"/>
      <w:marBottom w:val="0"/>
      <w:divBdr>
        <w:top w:val="none" w:sz="0" w:space="0" w:color="auto"/>
        <w:left w:val="none" w:sz="0" w:space="0" w:color="auto"/>
        <w:bottom w:val="none" w:sz="0" w:space="0" w:color="auto"/>
        <w:right w:val="none" w:sz="0" w:space="0" w:color="auto"/>
      </w:divBdr>
    </w:div>
    <w:div w:id="418406479">
      <w:bodyDiv w:val="1"/>
      <w:marLeft w:val="0"/>
      <w:marRight w:val="0"/>
      <w:marTop w:val="0"/>
      <w:marBottom w:val="0"/>
      <w:divBdr>
        <w:top w:val="none" w:sz="0" w:space="0" w:color="auto"/>
        <w:left w:val="none" w:sz="0" w:space="0" w:color="auto"/>
        <w:bottom w:val="none" w:sz="0" w:space="0" w:color="auto"/>
        <w:right w:val="none" w:sz="0" w:space="0" w:color="auto"/>
      </w:divBdr>
    </w:div>
    <w:div w:id="418407964">
      <w:bodyDiv w:val="1"/>
      <w:marLeft w:val="0"/>
      <w:marRight w:val="0"/>
      <w:marTop w:val="0"/>
      <w:marBottom w:val="0"/>
      <w:divBdr>
        <w:top w:val="none" w:sz="0" w:space="0" w:color="auto"/>
        <w:left w:val="none" w:sz="0" w:space="0" w:color="auto"/>
        <w:bottom w:val="none" w:sz="0" w:space="0" w:color="auto"/>
        <w:right w:val="none" w:sz="0" w:space="0" w:color="auto"/>
      </w:divBdr>
    </w:div>
    <w:div w:id="418478174">
      <w:bodyDiv w:val="1"/>
      <w:marLeft w:val="0"/>
      <w:marRight w:val="0"/>
      <w:marTop w:val="0"/>
      <w:marBottom w:val="0"/>
      <w:divBdr>
        <w:top w:val="none" w:sz="0" w:space="0" w:color="auto"/>
        <w:left w:val="none" w:sz="0" w:space="0" w:color="auto"/>
        <w:bottom w:val="none" w:sz="0" w:space="0" w:color="auto"/>
        <w:right w:val="none" w:sz="0" w:space="0" w:color="auto"/>
      </w:divBdr>
    </w:div>
    <w:div w:id="418524928">
      <w:bodyDiv w:val="1"/>
      <w:marLeft w:val="0"/>
      <w:marRight w:val="0"/>
      <w:marTop w:val="0"/>
      <w:marBottom w:val="0"/>
      <w:divBdr>
        <w:top w:val="none" w:sz="0" w:space="0" w:color="auto"/>
        <w:left w:val="none" w:sz="0" w:space="0" w:color="auto"/>
        <w:bottom w:val="none" w:sz="0" w:space="0" w:color="auto"/>
        <w:right w:val="none" w:sz="0" w:space="0" w:color="auto"/>
      </w:divBdr>
    </w:div>
    <w:div w:id="418529660">
      <w:bodyDiv w:val="1"/>
      <w:marLeft w:val="0"/>
      <w:marRight w:val="0"/>
      <w:marTop w:val="0"/>
      <w:marBottom w:val="0"/>
      <w:divBdr>
        <w:top w:val="none" w:sz="0" w:space="0" w:color="auto"/>
        <w:left w:val="none" w:sz="0" w:space="0" w:color="auto"/>
        <w:bottom w:val="none" w:sz="0" w:space="0" w:color="auto"/>
        <w:right w:val="none" w:sz="0" w:space="0" w:color="auto"/>
      </w:divBdr>
    </w:div>
    <w:div w:id="418596854">
      <w:bodyDiv w:val="1"/>
      <w:marLeft w:val="0"/>
      <w:marRight w:val="0"/>
      <w:marTop w:val="0"/>
      <w:marBottom w:val="0"/>
      <w:divBdr>
        <w:top w:val="none" w:sz="0" w:space="0" w:color="auto"/>
        <w:left w:val="none" w:sz="0" w:space="0" w:color="auto"/>
        <w:bottom w:val="none" w:sz="0" w:space="0" w:color="auto"/>
        <w:right w:val="none" w:sz="0" w:space="0" w:color="auto"/>
      </w:divBdr>
    </w:div>
    <w:div w:id="418789782">
      <w:bodyDiv w:val="1"/>
      <w:marLeft w:val="0"/>
      <w:marRight w:val="0"/>
      <w:marTop w:val="0"/>
      <w:marBottom w:val="0"/>
      <w:divBdr>
        <w:top w:val="none" w:sz="0" w:space="0" w:color="auto"/>
        <w:left w:val="none" w:sz="0" w:space="0" w:color="auto"/>
        <w:bottom w:val="none" w:sz="0" w:space="0" w:color="auto"/>
        <w:right w:val="none" w:sz="0" w:space="0" w:color="auto"/>
      </w:divBdr>
    </w:div>
    <w:div w:id="418870777">
      <w:bodyDiv w:val="1"/>
      <w:marLeft w:val="0"/>
      <w:marRight w:val="0"/>
      <w:marTop w:val="0"/>
      <w:marBottom w:val="0"/>
      <w:divBdr>
        <w:top w:val="none" w:sz="0" w:space="0" w:color="auto"/>
        <w:left w:val="none" w:sz="0" w:space="0" w:color="auto"/>
        <w:bottom w:val="none" w:sz="0" w:space="0" w:color="auto"/>
        <w:right w:val="none" w:sz="0" w:space="0" w:color="auto"/>
      </w:divBdr>
    </w:div>
    <w:div w:id="419061009">
      <w:bodyDiv w:val="1"/>
      <w:marLeft w:val="0"/>
      <w:marRight w:val="0"/>
      <w:marTop w:val="0"/>
      <w:marBottom w:val="0"/>
      <w:divBdr>
        <w:top w:val="none" w:sz="0" w:space="0" w:color="auto"/>
        <w:left w:val="none" w:sz="0" w:space="0" w:color="auto"/>
        <w:bottom w:val="none" w:sz="0" w:space="0" w:color="auto"/>
        <w:right w:val="none" w:sz="0" w:space="0" w:color="auto"/>
      </w:divBdr>
    </w:div>
    <w:div w:id="419065115">
      <w:bodyDiv w:val="1"/>
      <w:marLeft w:val="0"/>
      <w:marRight w:val="0"/>
      <w:marTop w:val="0"/>
      <w:marBottom w:val="0"/>
      <w:divBdr>
        <w:top w:val="none" w:sz="0" w:space="0" w:color="auto"/>
        <w:left w:val="none" w:sz="0" w:space="0" w:color="auto"/>
        <w:bottom w:val="none" w:sz="0" w:space="0" w:color="auto"/>
        <w:right w:val="none" w:sz="0" w:space="0" w:color="auto"/>
      </w:divBdr>
    </w:div>
    <w:div w:id="419133561">
      <w:bodyDiv w:val="1"/>
      <w:marLeft w:val="0"/>
      <w:marRight w:val="0"/>
      <w:marTop w:val="0"/>
      <w:marBottom w:val="0"/>
      <w:divBdr>
        <w:top w:val="none" w:sz="0" w:space="0" w:color="auto"/>
        <w:left w:val="none" w:sz="0" w:space="0" w:color="auto"/>
        <w:bottom w:val="none" w:sz="0" w:space="0" w:color="auto"/>
        <w:right w:val="none" w:sz="0" w:space="0" w:color="auto"/>
      </w:divBdr>
    </w:div>
    <w:div w:id="419176738">
      <w:bodyDiv w:val="1"/>
      <w:marLeft w:val="0"/>
      <w:marRight w:val="0"/>
      <w:marTop w:val="0"/>
      <w:marBottom w:val="0"/>
      <w:divBdr>
        <w:top w:val="none" w:sz="0" w:space="0" w:color="auto"/>
        <w:left w:val="none" w:sz="0" w:space="0" w:color="auto"/>
        <w:bottom w:val="none" w:sz="0" w:space="0" w:color="auto"/>
        <w:right w:val="none" w:sz="0" w:space="0" w:color="auto"/>
      </w:divBdr>
    </w:div>
    <w:div w:id="419179979">
      <w:bodyDiv w:val="1"/>
      <w:marLeft w:val="0"/>
      <w:marRight w:val="0"/>
      <w:marTop w:val="0"/>
      <w:marBottom w:val="0"/>
      <w:divBdr>
        <w:top w:val="none" w:sz="0" w:space="0" w:color="auto"/>
        <w:left w:val="none" w:sz="0" w:space="0" w:color="auto"/>
        <w:bottom w:val="none" w:sz="0" w:space="0" w:color="auto"/>
        <w:right w:val="none" w:sz="0" w:space="0" w:color="auto"/>
      </w:divBdr>
    </w:div>
    <w:div w:id="419301985">
      <w:bodyDiv w:val="1"/>
      <w:marLeft w:val="0"/>
      <w:marRight w:val="0"/>
      <w:marTop w:val="0"/>
      <w:marBottom w:val="0"/>
      <w:divBdr>
        <w:top w:val="none" w:sz="0" w:space="0" w:color="auto"/>
        <w:left w:val="none" w:sz="0" w:space="0" w:color="auto"/>
        <w:bottom w:val="none" w:sz="0" w:space="0" w:color="auto"/>
        <w:right w:val="none" w:sz="0" w:space="0" w:color="auto"/>
      </w:divBdr>
    </w:div>
    <w:div w:id="419327661">
      <w:bodyDiv w:val="1"/>
      <w:marLeft w:val="0"/>
      <w:marRight w:val="0"/>
      <w:marTop w:val="0"/>
      <w:marBottom w:val="0"/>
      <w:divBdr>
        <w:top w:val="none" w:sz="0" w:space="0" w:color="auto"/>
        <w:left w:val="none" w:sz="0" w:space="0" w:color="auto"/>
        <w:bottom w:val="none" w:sz="0" w:space="0" w:color="auto"/>
        <w:right w:val="none" w:sz="0" w:space="0" w:color="auto"/>
      </w:divBdr>
    </w:div>
    <w:div w:id="419330326">
      <w:bodyDiv w:val="1"/>
      <w:marLeft w:val="0"/>
      <w:marRight w:val="0"/>
      <w:marTop w:val="0"/>
      <w:marBottom w:val="0"/>
      <w:divBdr>
        <w:top w:val="none" w:sz="0" w:space="0" w:color="auto"/>
        <w:left w:val="none" w:sz="0" w:space="0" w:color="auto"/>
        <w:bottom w:val="none" w:sz="0" w:space="0" w:color="auto"/>
        <w:right w:val="none" w:sz="0" w:space="0" w:color="auto"/>
      </w:divBdr>
    </w:div>
    <w:div w:id="419454438">
      <w:bodyDiv w:val="1"/>
      <w:marLeft w:val="0"/>
      <w:marRight w:val="0"/>
      <w:marTop w:val="0"/>
      <w:marBottom w:val="0"/>
      <w:divBdr>
        <w:top w:val="none" w:sz="0" w:space="0" w:color="auto"/>
        <w:left w:val="none" w:sz="0" w:space="0" w:color="auto"/>
        <w:bottom w:val="none" w:sz="0" w:space="0" w:color="auto"/>
        <w:right w:val="none" w:sz="0" w:space="0" w:color="auto"/>
      </w:divBdr>
    </w:div>
    <w:div w:id="419569886">
      <w:bodyDiv w:val="1"/>
      <w:marLeft w:val="0"/>
      <w:marRight w:val="0"/>
      <w:marTop w:val="0"/>
      <w:marBottom w:val="0"/>
      <w:divBdr>
        <w:top w:val="none" w:sz="0" w:space="0" w:color="auto"/>
        <w:left w:val="none" w:sz="0" w:space="0" w:color="auto"/>
        <w:bottom w:val="none" w:sz="0" w:space="0" w:color="auto"/>
        <w:right w:val="none" w:sz="0" w:space="0" w:color="auto"/>
      </w:divBdr>
    </w:div>
    <w:div w:id="419715574">
      <w:bodyDiv w:val="1"/>
      <w:marLeft w:val="0"/>
      <w:marRight w:val="0"/>
      <w:marTop w:val="0"/>
      <w:marBottom w:val="0"/>
      <w:divBdr>
        <w:top w:val="none" w:sz="0" w:space="0" w:color="auto"/>
        <w:left w:val="none" w:sz="0" w:space="0" w:color="auto"/>
        <w:bottom w:val="none" w:sz="0" w:space="0" w:color="auto"/>
        <w:right w:val="none" w:sz="0" w:space="0" w:color="auto"/>
      </w:divBdr>
    </w:div>
    <w:div w:id="419717348">
      <w:bodyDiv w:val="1"/>
      <w:marLeft w:val="0"/>
      <w:marRight w:val="0"/>
      <w:marTop w:val="0"/>
      <w:marBottom w:val="0"/>
      <w:divBdr>
        <w:top w:val="none" w:sz="0" w:space="0" w:color="auto"/>
        <w:left w:val="none" w:sz="0" w:space="0" w:color="auto"/>
        <w:bottom w:val="none" w:sz="0" w:space="0" w:color="auto"/>
        <w:right w:val="none" w:sz="0" w:space="0" w:color="auto"/>
      </w:divBdr>
    </w:div>
    <w:div w:id="419722783">
      <w:bodyDiv w:val="1"/>
      <w:marLeft w:val="0"/>
      <w:marRight w:val="0"/>
      <w:marTop w:val="0"/>
      <w:marBottom w:val="0"/>
      <w:divBdr>
        <w:top w:val="none" w:sz="0" w:space="0" w:color="auto"/>
        <w:left w:val="none" w:sz="0" w:space="0" w:color="auto"/>
        <w:bottom w:val="none" w:sz="0" w:space="0" w:color="auto"/>
        <w:right w:val="none" w:sz="0" w:space="0" w:color="auto"/>
      </w:divBdr>
    </w:div>
    <w:div w:id="419762281">
      <w:bodyDiv w:val="1"/>
      <w:marLeft w:val="0"/>
      <w:marRight w:val="0"/>
      <w:marTop w:val="0"/>
      <w:marBottom w:val="0"/>
      <w:divBdr>
        <w:top w:val="none" w:sz="0" w:space="0" w:color="auto"/>
        <w:left w:val="none" w:sz="0" w:space="0" w:color="auto"/>
        <w:bottom w:val="none" w:sz="0" w:space="0" w:color="auto"/>
        <w:right w:val="none" w:sz="0" w:space="0" w:color="auto"/>
      </w:divBdr>
    </w:div>
    <w:div w:id="419790684">
      <w:bodyDiv w:val="1"/>
      <w:marLeft w:val="0"/>
      <w:marRight w:val="0"/>
      <w:marTop w:val="0"/>
      <w:marBottom w:val="0"/>
      <w:divBdr>
        <w:top w:val="none" w:sz="0" w:space="0" w:color="auto"/>
        <w:left w:val="none" w:sz="0" w:space="0" w:color="auto"/>
        <w:bottom w:val="none" w:sz="0" w:space="0" w:color="auto"/>
        <w:right w:val="none" w:sz="0" w:space="0" w:color="auto"/>
      </w:divBdr>
    </w:div>
    <w:div w:id="419836794">
      <w:bodyDiv w:val="1"/>
      <w:marLeft w:val="0"/>
      <w:marRight w:val="0"/>
      <w:marTop w:val="0"/>
      <w:marBottom w:val="0"/>
      <w:divBdr>
        <w:top w:val="none" w:sz="0" w:space="0" w:color="auto"/>
        <w:left w:val="none" w:sz="0" w:space="0" w:color="auto"/>
        <w:bottom w:val="none" w:sz="0" w:space="0" w:color="auto"/>
        <w:right w:val="none" w:sz="0" w:space="0" w:color="auto"/>
      </w:divBdr>
    </w:div>
    <w:div w:id="419838142">
      <w:bodyDiv w:val="1"/>
      <w:marLeft w:val="0"/>
      <w:marRight w:val="0"/>
      <w:marTop w:val="0"/>
      <w:marBottom w:val="0"/>
      <w:divBdr>
        <w:top w:val="none" w:sz="0" w:space="0" w:color="auto"/>
        <w:left w:val="none" w:sz="0" w:space="0" w:color="auto"/>
        <w:bottom w:val="none" w:sz="0" w:space="0" w:color="auto"/>
        <w:right w:val="none" w:sz="0" w:space="0" w:color="auto"/>
      </w:divBdr>
    </w:div>
    <w:div w:id="419839582">
      <w:bodyDiv w:val="1"/>
      <w:marLeft w:val="0"/>
      <w:marRight w:val="0"/>
      <w:marTop w:val="0"/>
      <w:marBottom w:val="0"/>
      <w:divBdr>
        <w:top w:val="none" w:sz="0" w:space="0" w:color="auto"/>
        <w:left w:val="none" w:sz="0" w:space="0" w:color="auto"/>
        <w:bottom w:val="none" w:sz="0" w:space="0" w:color="auto"/>
        <w:right w:val="none" w:sz="0" w:space="0" w:color="auto"/>
      </w:divBdr>
    </w:div>
    <w:div w:id="419839852">
      <w:bodyDiv w:val="1"/>
      <w:marLeft w:val="0"/>
      <w:marRight w:val="0"/>
      <w:marTop w:val="0"/>
      <w:marBottom w:val="0"/>
      <w:divBdr>
        <w:top w:val="none" w:sz="0" w:space="0" w:color="auto"/>
        <w:left w:val="none" w:sz="0" w:space="0" w:color="auto"/>
        <w:bottom w:val="none" w:sz="0" w:space="0" w:color="auto"/>
        <w:right w:val="none" w:sz="0" w:space="0" w:color="auto"/>
      </w:divBdr>
    </w:div>
    <w:div w:id="419909406">
      <w:bodyDiv w:val="1"/>
      <w:marLeft w:val="0"/>
      <w:marRight w:val="0"/>
      <w:marTop w:val="0"/>
      <w:marBottom w:val="0"/>
      <w:divBdr>
        <w:top w:val="none" w:sz="0" w:space="0" w:color="auto"/>
        <w:left w:val="none" w:sz="0" w:space="0" w:color="auto"/>
        <w:bottom w:val="none" w:sz="0" w:space="0" w:color="auto"/>
        <w:right w:val="none" w:sz="0" w:space="0" w:color="auto"/>
      </w:divBdr>
    </w:div>
    <w:div w:id="419958950">
      <w:bodyDiv w:val="1"/>
      <w:marLeft w:val="0"/>
      <w:marRight w:val="0"/>
      <w:marTop w:val="0"/>
      <w:marBottom w:val="0"/>
      <w:divBdr>
        <w:top w:val="none" w:sz="0" w:space="0" w:color="auto"/>
        <w:left w:val="none" w:sz="0" w:space="0" w:color="auto"/>
        <w:bottom w:val="none" w:sz="0" w:space="0" w:color="auto"/>
        <w:right w:val="none" w:sz="0" w:space="0" w:color="auto"/>
      </w:divBdr>
    </w:div>
    <w:div w:id="420027917">
      <w:bodyDiv w:val="1"/>
      <w:marLeft w:val="0"/>
      <w:marRight w:val="0"/>
      <w:marTop w:val="0"/>
      <w:marBottom w:val="0"/>
      <w:divBdr>
        <w:top w:val="none" w:sz="0" w:space="0" w:color="auto"/>
        <w:left w:val="none" w:sz="0" w:space="0" w:color="auto"/>
        <w:bottom w:val="none" w:sz="0" w:space="0" w:color="auto"/>
        <w:right w:val="none" w:sz="0" w:space="0" w:color="auto"/>
      </w:divBdr>
    </w:div>
    <w:div w:id="420028281">
      <w:bodyDiv w:val="1"/>
      <w:marLeft w:val="0"/>
      <w:marRight w:val="0"/>
      <w:marTop w:val="0"/>
      <w:marBottom w:val="0"/>
      <w:divBdr>
        <w:top w:val="none" w:sz="0" w:space="0" w:color="auto"/>
        <w:left w:val="none" w:sz="0" w:space="0" w:color="auto"/>
        <w:bottom w:val="none" w:sz="0" w:space="0" w:color="auto"/>
        <w:right w:val="none" w:sz="0" w:space="0" w:color="auto"/>
      </w:divBdr>
    </w:div>
    <w:div w:id="420033777">
      <w:bodyDiv w:val="1"/>
      <w:marLeft w:val="0"/>
      <w:marRight w:val="0"/>
      <w:marTop w:val="0"/>
      <w:marBottom w:val="0"/>
      <w:divBdr>
        <w:top w:val="none" w:sz="0" w:space="0" w:color="auto"/>
        <w:left w:val="none" w:sz="0" w:space="0" w:color="auto"/>
        <w:bottom w:val="none" w:sz="0" w:space="0" w:color="auto"/>
        <w:right w:val="none" w:sz="0" w:space="0" w:color="auto"/>
      </w:divBdr>
    </w:div>
    <w:div w:id="420176495">
      <w:bodyDiv w:val="1"/>
      <w:marLeft w:val="0"/>
      <w:marRight w:val="0"/>
      <w:marTop w:val="0"/>
      <w:marBottom w:val="0"/>
      <w:divBdr>
        <w:top w:val="none" w:sz="0" w:space="0" w:color="auto"/>
        <w:left w:val="none" w:sz="0" w:space="0" w:color="auto"/>
        <w:bottom w:val="none" w:sz="0" w:space="0" w:color="auto"/>
        <w:right w:val="none" w:sz="0" w:space="0" w:color="auto"/>
      </w:divBdr>
    </w:div>
    <w:div w:id="420219017">
      <w:bodyDiv w:val="1"/>
      <w:marLeft w:val="0"/>
      <w:marRight w:val="0"/>
      <w:marTop w:val="0"/>
      <w:marBottom w:val="0"/>
      <w:divBdr>
        <w:top w:val="none" w:sz="0" w:space="0" w:color="auto"/>
        <w:left w:val="none" w:sz="0" w:space="0" w:color="auto"/>
        <w:bottom w:val="none" w:sz="0" w:space="0" w:color="auto"/>
        <w:right w:val="none" w:sz="0" w:space="0" w:color="auto"/>
      </w:divBdr>
    </w:div>
    <w:div w:id="420301634">
      <w:bodyDiv w:val="1"/>
      <w:marLeft w:val="0"/>
      <w:marRight w:val="0"/>
      <w:marTop w:val="0"/>
      <w:marBottom w:val="0"/>
      <w:divBdr>
        <w:top w:val="none" w:sz="0" w:space="0" w:color="auto"/>
        <w:left w:val="none" w:sz="0" w:space="0" w:color="auto"/>
        <w:bottom w:val="none" w:sz="0" w:space="0" w:color="auto"/>
        <w:right w:val="none" w:sz="0" w:space="0" w:color="auto"/>
      </w:divBdr>
    </w:div>
    <w:div w:id="420371344">
      <w:bodyDiv w:val="1"/>
      <w:marLeft w:val="0"/>
      <w:marRight w:val="0"/>
      <w:marTop w:val="0"/>
      <w:marBottom w:val="0"/>
      <w:divBdr>
        <w:top w:val="none" w:sz="0" w:space="0" w:color="auto"/>
        <w:left w:val="none" w:sz="0" w:space="0" w:color="auto"/>
        <w:bottom w:val="none" w:sz="0" w:space="0" w:color="auto"/>
        <w:right w:val="none" w:sz="0" w:space="0" w:color="auto"/>
      </w:divBdr>
    </w:div>
    <w:div w:id="420371619">
      <w:bodyDiv w:val="1"/>
      <w:marLeft w:val="0"/>
      <w:marRight w:val="0"/>
      <w:marTop w:val="0"/>
      <w:marBottom w:val="0"/>
      <w:divBdr>
        <w:top w:val="none" w:sz="0" w:space="0" w:color="auto"/>
        <w:left w:val="none" w:sz="0" w:space="0" w:color="auto"/>
        <w:bottom w:val="none" w:sz="0" w:space="0" w:color="auto"/>
        <w:right w:val="none" w:sz="0" w:space="0" w:color="auto"/>
      </w:divBdr>
    </w:div>
    <w:div w:id="420486707">
      <w:bodyDiv w:val="1"/>
      <w:marLeft w:val="0"/>
      <w:marRight w:val="0"/>
      <w:marTop w:val="0"/>
      <w:marBottom w:val="0"/>
      <w:divBdr>
        <w:top w:val="none" w:sz="0" w:space="0" w:color="auto"/>
        <w:left w:val="none" w:sz="0" w:space="0" w:color="auto"/>
        <w:bottom w:val="none" w:sz="0" w:space="0" w:color="auto"/>
        <w:right w:val="none" w:sz="0" w:space="0" w:color="auto"/>
      </w:divBdr>
    </w:div>
    <w:div w:id="420569038">
      <w:bodyDiv w:val="1"/>
      <w:marLeft w:val="0"/>
      <w:marRight w:val="0"/>
      <w:marTop w:val="0"/>
      <w:marBottom w:val="0"/>
      <w:divBdr>
        <w:top w:val="none" w:sz="0" w:space="0" w:color="auto"/>
        <w:left w:val="none" w:sz="0" w:space="0" w:color="auto"/>
        <w:bottom w:val="none" w:sz="0" w:space="0" w:color="auto"/>
        <w:right w:val="none" w:sz="0" w:space="0" w:color="auto"/>
      </w:divBdr>
    </w:div>
    <w:div w:id="420756047">
      <w:bodyDiv w:val="1"/>
      <w:marLeft w:val="0"/>
      <w:marRight w:val="0"/>
      <w:marTop w:val="0"/>
      <w:marBottom w:val="0"/>
      <w:divBdr>
        <w:top w:val="none" w:sz="0" w:space="0" w:color="auto"/>
        <w:left w:val="none" w:sz="0" w:space="0" w:color="auto"/>
        <w:bottom w:val="none" w:sz="0" w:space="0" w:color="auto"/>
        <w:right w:val="none" w:sz="0" w:space="0" w:color="auto"/>
      </w:divBdr>
    </w:div>
    <w:div w:id="420759901">
      <w:bodyDiv w:val="1"/>
      <w:marLeft w:val="0"/>
      <w:marRight w:val="0"/>
      <w:marTop w:val="0"/>
      <w:marBottom w:val="0"/>
      <w:divBdr>
        <w:top w:val="none" w:sz="0" w:space="0" w:color="auto"/>
        <w:left w:val="none" w:sz="0" w:space="0" w:color="auto"/>
        <w:bottom w:val="none" w:sz="0" w:space="0" w:color="auto"/>
        <w:right w:val="none" w:sz="0" w:space="0" w:color="auto"/>
      </w:divBdr>
    </w:div>
    <w:div w:id="420879628">
      <w:bodyDiv w:val="1"/>
      <w:marLeft w:val="0"/>
      <w:marRight w:val="0"/>
      <w:marTop w:val="0"/>
      <w:marBottom w:val="0"/>
      <w:divBdr>
        <w:top w:val="none" w:sz="0" w:space="0" w:color="auto"/>
        <w:left w:val="none" w:sz="0" w:space="0" w:color="auto"/>
        <w:bottom w:val="none" w:sz="0" w:space="0" w:color="auto"/>
        <w:right w:val="none" w:sz="0" w:space="0" w:color="auto"/>
      </w:divBdr>
    </w:div>
    <w:div w:id="420881715">
      <w:bodyDiv w:val="1"/>
      <w:marLeft w:val="0"/>
      <w:marRight w:val="0"/>
      <w:marTop w:val="0"/>
      <w:marBottom w:val="0"/>
      <w:divBdr>
        <w:top w:val="none" w:sz="0" w:space="0" w:color="auto"/>
        <w:left w:val="none" w:sz="0" w:space="0" w:color="auto"/>
        <w:bottom w:val="none" w:sz="0" w:space="0" w:color="auto"/>
        <w:right w:val="none" w:sz="0" w:space="0" w:color="auto"/>
      </w:divBdr>
    </w:div>
    <w:div w:id="420948769">
      <w:bodyDiv w:val="1"/>
      <w:marLeft w:val="0"/>
      <w:marRight w:val="0"/>
      <w:marTop w:val="0"/>
      <w:marBottom w:val="0"/>
      <w:divBdr>
        <w:top w:val="none" w:sz="0" w:space="0" w:color="auto"/>
        <w:left w:val="none" w:sz="0" w:space="0" w:color="auto"/>
        <w:bottom w:val="none" w:sz="0" w:space="0" w:color="auto"/>
        <w:right w:val="none" w:sz="0" w:space="0" w:color="auto"/>
      </w:divBdr>
    </w:div>
    <w:div w:id="421025661">
      <w:bodyDiv w:val="1"/>
      <w:marLeft w:val="0"/>
      <w:marRight w:val="0"/>
      <w:marTop w:val="0"/>
      <w:marBottom w:val="0"/>
      <w:divBdr>
        <w:top w:val="none" w:sz="0" w:space="0" w:color="auto"/>
        <w:left w:val="none" w:sz="0" w:space="0" w:color="auto"/>
        <w:bottom w:val="none" w:sz="0" w:space="0" w:color="auto"/>
        <w:right w:val="none" w:sz="0" w:space="0" w:color="auto"/>
      </w:divBdr>
    </w:div>
    <w:div w:id="421026615">
      <w:bodyDiv w:val="1"/>
      <w:marLeft w:val="0"/>
      <w:marRight w:val="0"/>
      <w:marTop w:val="0"/>
      <w:marBottom w:val="0"/>
      <w:divBdr>
        <w:top w:val="none" w:sz="0" w:space="0" w:color="auto"/>
        <w:left w:val="none" w:sz="0" w:space="0" w:color="auto"/>
        <w:bottom w:val="none" w:sz="0" w:space="0" w:color="auto"/>
        <w:right w:val="none" w:sz="0" w:space="0" w:color="auto"/>
      </w:divBdr>
    </w:div>
    <w:div w:id="421266994">
      <w:bodyDiv w:val="1"/>
      <w:marLeft w:val="0"/>
      <w:marRight w:val="0"/>
      <w:marTop w:val="0"/>
      <w:marBottom w:val="0"/>
      <w:divBdr>
        <w:top w:val="none" w:sz="0" w:space="0" w:color="auto"/>
        <w:left w:val="none" w:sz="0" w:space="0" w:color="auto"/>
        <w:bottom w:val="none" w:sz="0" w:space="0" w:color="auto"/>
        <w:right w:val="none" w:sz="0" w:space="0" w:color="auto"/>
      </w:divBdr>
    </w:div>
    <w:div w:id="421267844">
      <w:bodyDiv w:val="1"/>
      <w:marLeft w:val="0"/>
      <w:marRight w:val="0"/>
      <w:marTop w:val="0"/>
      <w:marBottom w:val="0"/>
      <w:divBdr>
        <w:top w:val="none" w:sz="0" w:space="0" w:color="auto"/>
        <w:left w:val="none" w:sz="0" w:space="0" w:color="auto"/>
        <w:bottom w:val="none" w:sz="0" w:space="0" w:color="auto"/>
        <w:right w:val="none" w:sz="0" w:space="0" w:color="auto"/>
      </w:divBdr>
    </w:div>
    <w:div w:id="421341886">
      <w:bodyDiv w:val="1"/>
      <w:marLeft w:val="0"/>
      <w:marRight w:val="0"/>
      <w:marTop w:val="0"/>
      <w:marBottom w:val="0"/>
      <w:divBdr>
        <w:top w:val="none" w:sz="0" w:space="0" w:color="auto"/>
        <w:left w:val="none" w:sz="0" w:space="0" w:color="auto"/>
        <w:bottom w:val="none" w:sz="0" w:space="0" w:color="auto"/>
        <w:right w:val="none" w:sz="0" w:space="0" w:color="auto"/>
      </w:divBdr>
    </w:div>
    <w:div w:id="421344726">
      <w:bodyDiv w:val="1"/>
      <w:marLeft w:val="0"/>
      <w:marRight w:val="0"/>
      <w:marTop w:val="0"/>
      <w:marBottom w:val="0"/>
      <w:divBdr>
        <w:top w:val="none" w:sz="0" w:space="0" w:color="auto"/>
        <w:left w:val="none" w:sz="0" w:space="0" w:color="auto"/>
        <w:bottom w:val="none" w:sz="0" w:space="0" w:color="auto"/>
        <w:right w:val="none" w:sz="0" w:space="0" w:color="auto"/>
      </w:divBdr>
    </w:div>
    <w:div w:id="421529665">
      <w:bodyDiv w:val="1"/>
      <w:marLeft w:val="0"/>
      <w:marRight w:val="0"/>
      <w:marTop w:val="0"/>
      <w:marBottom w:val="0"/>
      <w:divBdr>
        <w:top w:val="none" w:sz="0" w:space="0" w:color="auto"/>
        <w:left w:val="none" w:sz="0" w:space="0" w:color="auto"/>
        <w:bottom w:val="none" w:sz="0" w:space="0" w:color="auto"/>
        <w:right w:val="none" w:sz="0" w:space="0" w:color="auto"/>
      </w:divBdr>
    </w:div>
    <w:div w:id="421534531">
      <w:bodyDiv w:val="1"/>
      <w:marLeft w:val="0"/>
      <w:marRight w:val="0"/>
      <w:marTop w:val="0"/>
      <w:marBottom w:val="0"/>
      <w:divBdr>
        <w:top w:val="none" w:sz="0" w:space="0" w:color="auto"/>
        <w:left w:val="none" w:sz="0" w:space="0" w:color="auto"/>
        <w:bottom w:val="none" w:sz="0" w:space="0" w:color="auto"/>
        <w:right w:val="none" w:sz="0" w:space="0" w:color="auto"/>
      </w:divBdr>
    </w:div>
    <w:div w:id="421612865">
      <w:bodyDiv w:val="1"/>
      <w:marLeft w:val="0"/>
      <w:marRight w:val="0"/>
      <w:marTop w:val="0"/>
      <w:marBottom w:val="0"/>
      <w:divBdr>
        <w:top w:val="none" w:sz="0" w:space="0" w:color="auto"/>
        <w:left w:val="none" w:sz="0" w:space="0" w:color="auto"/>
        <w:bottom w:val="none" w:sz="0" w:space="0" w:color="auto"/>
        <w:right w:val="none" w:sz="0" w:space="0" w:color="auto"/>
      </w:divBdr>
    </w:div>
    <w:div w:id="421613311">
      <w:bodyDiv w:val="1"/>
      <w:marLeft w:val="0"/>
      <w:marRight w:val="0"/>
      <w:marTop w:val="0"/>
      <w:marBottom w:val="0"/>
      <w:divBdr>
        <w:top w:val="none" w:sz="0" w:space="0" w:color="auto"/>
        <w:left w:val="none" w:sz="0" w:space="0" w:color="auto"/>
        <w:bottom w:val="none" w:sz="0" w:space="0" w:color="auto"/>
        <w:right w:val="none" w:sz="0" w:space="0" w:color="auto"/>
      </w:divBdr>
    </w:div>
    <w:div w:id="421878727">
      <w:bodyDiv w:val="1"/>
      <w:marLeft w:val="0"/>
      <w:marRight w:val="0"/>
      <w:marTop w:val="0"/>
      <w:marBottom w:val="0"/>
      <w:divBdr>
        <w:top w:val="none" w:sz="0" w:space="0" w:color="auto"/>
        <w:left w:val="none" w:sz="0" w:space="0" w:color="auto"/>
        <w:bottom w:val="none" w:sz="0" w:space="0" w:color="auto"/>
        <w:right w:val="none" w:sz="0" w:space="0" w:color="auto"/>
      </w:divBdr>
    </w:div>
    <w:div w:id="421921534">
      <w:bodyDiv w:val="1"/>
      <w:marLeft w:val="0"/>
      <w:marRight w:val="0"/>
      <w:marTop w:val="0"/>
      <w:marBottom w:val="0"/>
      <w:divBdr>
        <w:top w:val="none" w:sz="0" w:space="0" w:color="auto"/>
        <w:left w:val="none" w:sz="0" w:space="0" w:color="auto"/>
        <w:bottom w:val="none" w:sz="0" w:space="0" w:color="auto"/>
        <w:right w:val="none" w:sz="0" w:space="0" w:color="auto"/>
      </w:divBdr>
    </w:div>
    <w:div w:id="422192883">
      <w:bodyDiv w:val="1"/>
      <w:marLeft w:val="0"/>
      <w:marRight w:val="0"/>
      <w:marTop w:val="0"/>
      <w:marBottom w:val="0"/>
      <w:divBdr>
        <w:top w:val="none" w:sz="0" w:space="0" w:color="auto"/>
        <w:left w:val="none" w:sz="0" w:space="0" w:color="auto"/>
        <w:bottom w:val="none" w:sz="0" w:space="0" w:color="auto"/>
        <w:right w:val="none" w:sz="0" w:space="0" w:color="auto"/>
      </w:divBdr>
    </w:div>
    <w:div w:id="422262356">
      <w:bodyDiv w:val="1"/>
      <w:marLeft w:val="0"/>
      <w:marRight w:val="0"/>
      <w:marTop w:val="0"/>
      <w:marBottom w:val="0"/>
      <w:divBdr>
        <w:top w:val="none" w:sz="0" w:space="0" w:color="auto"/>
        <w:left w:val="none" w:sz="0" w:space="0" w:color="auto"/>
        <w:bottom w:val="none" w:sz="0" w:space="0" w:color="auto"/>
        <w:right w:val="none" w:sz="0" w:space="0" w:color="auto"/>
      </w:divBdr>
    </w:div>
    <w:div w:id="422384873">
      <w:bodyDiv w:val="1"/>
      <w:marLeft w:val="0"/>
      <w:marRight w:val="0"/>
      <w:marTop w:val="0"/>
      <w:marBottom w:val="0"/>
      <w:divBdr>
        <w:top w:val="none" w:sz="0" w:space="0" w:color="auto"/>
        <w:left w:val="none" w:sz="0" w:space="0" w:color="auto"/>
        <w:bottom w:val="none" w:sz="0" w:space="0" w:color="auto"/>
        <w:right w:val="none" w:sz="0" w:space="0" w:color="auto"/>
      </w:divBdr>
    </w:div>
    <w:div w:id="422384924">
      <w:bodyDiv w:val="1"/>
      <w:marLeft w:val="0"/>
      <w:marRight w:val="0"/>
      <w:marTop w:val="0"/>
      <w:marBottom w:val="0"/>
      <w:divBdr>
        <w:top w:val="none" w:sz="0" w:space="0" w:color="auto"/>
        <w:left w:val="none" w:sz="0" w:space="0" w:color="auto"/>
        <w:bottom w:val="none" w:sz="0" w:space="0" w:color="auto"/>
        <w:right w:val="none" w:sz="0" w:space="0" w:color="auto"/>
      </w:divBdr>
    </w:div>
    <w:div w:id="422456948">
      <w:bodyDiv w:val="1"/>
      <w:marLeft w:val="0"/>
      <w:marRight w:val="0"/>
      <w:marTop w:val="0"/>
      <w:marBottom w:val="0"/>
      <w:divBdr>
        <w:top w:val="none" w:sz="0" w:space="0" w:color="auto"/>
        <w:left w:val="none" w:sz="0" w:space="0" w:color="auto"/>
        <w:bottom w:val="none" w:sz="0" w:space="0" w:color="auto"/>
        <w:right w:val="none" w:sz="0" w:space="0" w:color="auto"/>
      </w:divBdr>
    </w:div>
    <w:div w:id="422535221">
      <w:bodyDiv w:val="1"/>
      <w:marLeft w:val="0"/>
      <w:marRight w:val="0"/>
      <w:marTop w:val="0"/>
      <w:marBottom w:val="0"/>
      <w:divBdr>
        <w:top w:val="none" w:sz="0" w:space="0" w:color="auto"/>
        <w:left w:val="none" w:sz="0" w:space="0" w:color="auto"/>
        <w:bottom w:val="none" w:sz="0" w:space="0" w:color="auto"/>
        <w:right w:val="none" w:sz="0" w:space="0" w:color="auto"/>
      </w:divBdr>
    </w:div>
    <w:div w:id="422537219">
      <w:bodyDiv w:val="1"/>
      <w:marLeft w:val="0"/>
      <w:marRight w:val="0"/>
      <w:marTop w:val="0"/>
      <w:marBottom w:val="0"/>
      <w:divBdr>
        <w:top w:val="none" w:sz="0" w:space="0" w:color="auto"/>
        <w:left w:val="none" w:sz="0" w:space="0" w:color="auto"/>
        <w:bottom w:val="none" w:sz="0" w:space="0" w:color="auto"/>
        <w:right w:val="none" w:sz="0" w:space="0" w:color="auto"/>
      </w:divBdr>
    </w:div>
    <w:div w:id="422654049">
      <w:bodyDiv w:val="1"/>
      <w:marLeft w:val="0"/>
      <w:marRight w:val="0"/>
      <w:marTop w:val="0"/>
      <w:marBottom w:val="0"/>
      <w:divBdr>
        <w:top w:val="none" w:sz="0" w:space="0" w:color="auto"/>
        <w:left w:val="none" w:sz="0" w:space="0" w:color="auto"/>
        <w:bottom w:val="none" w:sz="0" w:space="0" w:color="auto"/>
        <w:right w:val="none" w:sz="0" w:space="0" w:color="auto"/>
      </w:divBdr>
    </w:div>
    <w:div w:id="422724227">
      <w:bodyDiv w:val="1"/>
      <w:marLeft w:val="0"/>
      <w:marRight w:val="0"/>
      <w:marTop w:val="0"/>
      <w:marBottom w:val="0"/>
      <w:divBdr>
        <w:top w:val="none" w:sz="0" w:space="0" w:color="auto"/>
        <w:left w:val="none" w:sz="0" w:space="0" w:color="auto"/>
        <w:bottom w:val="none" w:sz="0" w:space="0" w:color="auto"/>
        <w:right w:val="none" w:sz="0" w:space="0" w:color="auto"/>
      </w:divBdr>
    </w:div>
    <w:div w:id="422805295">
      <w:bodyDiv w:val="1"/>
      <w:marLeft w:val="0"/>
      <w:marRight w:val="0"/>
      <w:marTop w:val="0"/>
      <w:marBottom w:val="0"/>
      <w:divBdr>
        <w:top w:val="none" w:sz="0" w:space="0" w:color="auto"/>
        <w:left w:val="none" w:sz="0" w:space="0" w:color="auto"/>
        <w:bottom w:val="none" w:sz="0" w:space="0" w:color="auto"/>
        <w:right w:val="none" w:sz="0" w:space="0" w:color="auto"/>
      </w:divBdr>
    </w:div>
    <w:div w:id="422845335">
      <w:bodyDiv w:val="1"/>
      <w:marLeft w:val="0"/>
      <w:marRight w:val="0"/>
      <w:marTop w:val="0"/>
      <w:marBottom w:val="0"/>
      <w:divBdr>
        <w:top w:val="none" w:sz="0" w:space="0" w:color="auto"/>
        <w:left w:val="none" w:sz="0" w:space="0" w:color="auto"/>
        <w:bottom w:val="none" w:sz="0" w:space="0" w:color="auto"/>
        <w:right w:val="none" w:sz="0" w:space="0" w:color="auto"/>
      </w:divBdr>
    </w:div>
    <w:div w:id="422920702">
      <w:bodyDiv w:val="1"/>
      <w:marLeft w:val="0"/>
      <w:marRight w:val="0"/>
      <w:marTop w:val="0"/>
      <w:marBottom w:val="0"/>
      <w:divBdr>
        <w:top w:val="none" w:sz="0" w:space="0" w:color="auto"/>
        <w:left w:val="none" w:sz="0" w:space="0" w:color="auto"/>
        <w:bottom w:val="none" w:sz="0" w:space="0" w:color="auto"/>
        <w:right w:val="none" w:sz="0" w:space="0" w:color="auto"/>
      </w:divBdr>
    </w:div>
    <w:div w:id="422989895">
      <w:bodyDiv w:val="1"/>
      <w:marLeft w:val="0"/>
      <w:marRight w:val="0"/>
      <w:marTop w:val="0"/>
      <w:marBottom w:val="0"/>
      <w:divBdr>
        <w:top w:val="none" w:sz="0" w:space="0" w:color="auto"/>
        <w:left w:val="none" w:sz="0" w:space="0" w:color="auto"/>
        <w:bottom w:val="none" w:sz="0" w:space="0" w:color="auto"/>
        <w:right w:val="none" w:sz="0" w:space="0" w:color="auto"/>
      </w:divBdr>
    </w:div>
    <w:div w:id="423039657">
      <w:bodyDiv w:val="1"/>
      <w:marLeft w:val="0"/>
      <w:marRight w:val="0"/>
      <w:marTop w:val="0"/>
      <w:marBottom w:val="0"/>
      <w:divBdr>
        <w:top w:val="none" w:sz="0" w:space="0" w:color="auto"/>
        <w:left w:val="none" w:sz="0" w:space="0" w:color="auto"/>
        <w:bottom w:val="none" w:sz="0" w:space="0" w:color="auto"/>
        <w:right w:val="none" w:sz="0" w:space="0" w:color="auto"/>
      </w:divBdr>
    </w:div>
    <w:div w:id="423116708">
      <w:bodyDiv w:val="1"/>
      <w:marLeft w:val="0"/>
      <w:marRight w:val="0"/>
      <w:marTop w:val="0"/>
      <w:marBottom w:val="0"/>
      <w:divBdr>
        <w:top w:val="none" w:sz="0" w:space="0" w:color="auto"/>
        <w:left w:val="none" w:sz="0" w:space="0" w:color="auto"/>
        <w:bottom w:val="none" w:sz="0" w:space="0" w:color="auto"/>
        <w:right w:val="none" w:sz="0" w:space="0" w:color="auto"/>
      </w:divBdr>
    </w:div>
    <w:div w:id="423183815">
      <w:bodyDiv w:val="1"/>
      <w:marLeft w:val="0"/>
      <w:marRight w:val="0"/>
      <w:marTop w:val="0"/>
      <w:marBottom w:val="0"/>
      <w:divBdr>
        <w:top w:val="none" w:sz="0" w:space="0" w:color="auto"/>
        <w:left w:val="none" w:sz="0" w:space="0" w:color="auto"/>
        <w:bottom w:val="none" w:sz="0" w:space="0" w:color="auto"/>
        <w:right w:val="none" w:sz="0" w:space="0" w:color="auto"/>
      </w:divBdr>
    </w:div>
    <w:div w:id="423191273">
      <w:bodyDiv w:val="1"/>
      <w:marLeft w:val="0"/>
      <w:marRight w:val="0"/>
      <w:marTop w:val="0"/>
      <w:marBottom w:val="0"/>
      <w:divBdr>
        <w:top w:val="none" w:sz="0" w:space="0" w:color="auto"/>
        <w:left w:val="none" w:sz="0" w:space="0" w:color="auto"/>
        <w:bottom w:val="none" w:sz="0" w:space="0" w:color="auto"/>
        <w:right w:val="none" w:sz="0" w:space="0" w:color="auto"/>
      </w:divBdr>
    </w:div>
    <w:div w:id="423259447">
      <w:bodyDiv w:val="1"/>
      <w:marLeft w:val="0"/>
      <w:marRight w:val="0"/>
      <w:marTop w:val="0"/>
      <w:marBottom w:val="0"/>
      <w:divBdr>
        <w:top w:val="none" w:sz="0" w:space="0" w:color="auto"/>
        <w:left w:val="none" w:sz="0" w:space="0" w:color="auto"/>
        <w:bottom w:val="none" w:sz="0" w:space="0" w:color="auto"/>
        <w:right w:val="none" w:sz="0" w:space="0" w:color="auto"/>
      </w:divBdr>
    </w:div>
    <w:div w:id="423305062">
      <w:bodyDiv w:val="1"/>
      <w:marLeft w:val="0"/>
      <w:marRight w:val="0"/>
      <w:marTop w:val="0"/>
      <w:marBottom w:val="0"/>
      <w:divBdr>
        <w:top w:val="none" w:sz="0" w:space="0" w:color="auto"/>
        <w:left w:val="none" w:sz="0" w:space="0" w:color="auto"/>
        <w:bottom w:val="none" w:sz="0" w:space="0" w:color="auto"/>
        <w:right w:val="none" w:sz="0" w:space="0" w:color="auto"/>
      </w:divBdr>
    </w:div>
    <w:div w:id="423305958">
      <w:bodyDiv w:val="1"/>
      <w:marLeft w:val="0"/>
      <w:marRight w:val="0"/>
      <w:marTop w:val="0"/>
      <w:marBottom w:val="0"/>
      <w:divBdr>
        <w:top w:val="none" w:sz="0" w:space="0" w:color="auto"/>
        <w:left w:val="none" w:sz="0" w:space="0" w:color="auto"/>
        <w:bottom w:val="none" w:sz="0" w:space="0" w:color="auto"/>
        <w:right w:val="none" w:sz="0" w:space="0" w:color="auto"/>
      </w:divBdr>
    </w:div>
    <w:div w:id="423458408">
      <w:bodyDiv w:val="1"/>
      <w:marLeft w:val="0"/>
      <w:marRight w:val="0"/>
      <w:marTop w:val="0"/>
      <w:marBottom w:val="0"/>
      <w:divBdr>
        <w:top w:val="none" w:sz="0" w:space="0" w:color="auto"/>
        <w:left w:val="none" w:sz="0" w:space="0" w:color="auto"/>
        <w:bottom w:val="none" w:sz="0" w:space="0" w:color="auto"/>
        <w:right w:val="none" w:sz="0" w:space="0" w:color="auto"/>
      </w:divBdr>
    </w:div>
    <w:div w:id="423498775">
      <w:bodyDiv w:val="1"/>
      <w:marLeft w:val="0"/>
      <w:marRight w:val="0"/>
      <w:marTop w:val="0"/>
      <w:marBottom w:val="0"/>
      <w:divBdr>
        <w:top w:val="none" w:sz="0" w:space="0" w:color="auto"/>
        <w:left w:val="none" w:sz="0" w:space="0" w:color="auto"/>
        <w:bottom w:val="none" w:sz="0" w:space="0" w:color="auto"/>
        <w:right w:val="none" w:sz="0" w:space="0" w:color="auto"/>
      </w:divBdr>
    </w:div>
    <w:div w:id="423577725">
      <w:bodyDiv w:val="1"/>
      <w:marLeft w:val="0"/>
      <w:marRight w:val="0"/>
      <w:marTop w:val="0"/>
      <w:marBottom w:val="0"/>
      <w:divBdr>
        <w:top w:val="none" w:sz="0" w:space="0" w:color="auto"/>
        <w:left w:val="none" w:sz="0" w:space="0" w:color="auto"/>
        <w:bottom w:val="none" w:sz="0" w:space="0" w:color="auto"/>
        <w:right w:val="none" w:sz="0" w:space="0" w:color="auto"/>
      </w:divBdr>
    </w:div>
    <w:div w:id="423578430">
      <w:bodyDiv w:val="1"/>
      <w:marLeft w:val="0"/>
      <w:marRight w:val="0"/>
      <w:marTop w:val="0"/>
      <w:marBottom w:val="0"/>
      <w:divBdr>
        <w:top w:val="none" w:sz="0" w:space="0" w:color="auto"/>
        <w:left w:val="none" w:sz="0" w:space="0" w:color="auto"/>
        <w:bottom w:val="none" w:sz="0" w:space="0" w:color="auto"/>
        <w:right w:val="none" w:sz="0" w:space="0" w:color="auto"/>
      </w:divBdr>
    </w:div>
    <w:div w:id="423695725">
      <w:bodyDiv w:val="1"/>
      <w:marLeft w:val="0"/>
      <w:marRight w:val="0"/>
      <w:marTop w:val="0"/>
      <w:marBottom w:val="0"/>
      <w:divBdr>
        <w:top w:val="none" w:sz="0" w:space="0" w:color="auto"/>
        <w:left w:val="none" w:sz="0" w:space="0" w:color="auto"/>
        <w:bottom w:val="none" w:sz="0" w:space="0" w:color="auto"/>
        <w:right w:val="none" w:sz="0" w:space="0" w:color="auto"/>
      </w:divBdr>
    </w:div>
    <w:div w:id="423890223">
      <w:bodyDiv w:val="1"/>
      <w:marLeft w:val="0"/>
      <w:marRight w:val="0"/>
      <w:marTop w:val="0"/>
      <w:marBottom w:val="0"/>
      <w:divBdr>
        <w:top w:val="none" w:sz="0" w:space="0" w:color="auto"/>
        <w:left w:val="none" w:sz="0" w:space="0" w:color="auto"/>
        <w:bottom w:val="none" w:sz="0" w:space="0" w:color="auto"/>
        <w:right w:val="none" w:sz="0" w:space="0" w:color="auto"/>
      </w:divBdr>
    </w:div>
    <w:div w:id="423956700">
      <w:bodyDiv w:val="1"/>
      <w:marLeft w:val="0"/>
      <w:marRight w:val="0"/>
      <w:marTop w:val="0"/>
      <w:marBottom w:val="0"/>
      <w:divBdr>
        <w:top w:val="none" w:sz="0" w:space="0" w:color="auto"/>
        <w:left w:val="none" w:sz="0" w:space="0" w:color="auto"/>
        <w:bottom w:val="none" w:sz="0" w:space="0" w:color="auto"/>
        <w:right w:val="none" w:sz="0" w:space="0" w:color="auto"/>
      </w:divBdr>
    </w:div>
    <w:div w:id="423965126">
      <w:bodyDiv w:val="1"/>
      <w:marLeft w:val="0"/>
      <w:marRight w:val="0"/>
      <w:marTop w:val="0"/>
      <w:marBottom w:val="0"/>
      <w:divBdr>
        <w:top w:val="none" w:sz="0" w:space="0" w:color="auto"/>
        <w:left w:val="none" w:sz="0" w:space="0" w:color="auto"/>
        <w:bottom w:val="none" w:sz="0" w:space="0" w:color="auto"/>
        <w:right w:val="none" w:sz="0" w:space="0" w:color="auto"/>
      </w:divBdr>
    </w:div>
    <w:div w:id="424302345">
      <w:bodyDiv w:val="1"/>
      <w:marLeft w:val="0"/>
      <w:marRight w:val="0"/>
      <w:marTop w:val="0"/>
      <w:marBottom w:val="0"/>
      <w:divBdr>
        <w:top w:val="none" w:sz="0" w:space="0" w:color="auto"/>
        <w:left w:val="none" w:sz="0" w:space="0" w:color="auto"/>
        <w:bottom w:val="none" w:sz="0" w:space="0" w:color="auto"/>
        <w:right w:val="none" w:sz="0" w:space="0" w:color="auto"/>
      </w:divBdr>
    </w:div>
    <w:div w:id="424306965">
      <w:bodyDiv w:val="1"/>
      <w:marLeft w:val="0"/>
      <w:marRight w:val="0"/>
      <w:marTop w:val="0"/>
      <w:marBottom w:val="0"/>
      <w:divBdr>
        <w:top w:val="none" w:sz="0" w:space="0" w:color="auto"/>
        <w:left w:val="none" w:sz="0" w:space="0" w:color="auto"/>
        <w:bottom w:val="none" w:sz="0" w:space="0" w:color="auto"/>
        <w:right w:val="none" w:sz="0" w:space="0" w:color="auto"/>
      </w:divBdr>
    </w:div>
    <w:div w:id="424307432">
      <w:bodyDiv w:val="1"/>
      <w:marLeft w:val="0"/>
      <w:marRight w:val="0"/>
      <w:marTop w:val="0"/>
      <w:marBottom w:val="0"/>
      <w:divBdr>
        <w:top w:val="none" w:sz="0" w:space="0" w:color="auto"/>
        <w:left w:val="none" w:sz="0" w:space="0" w:color="auto"/>
        <w:bottom w:val="none" w:sz="0" w:space="0" w:color="auto"/>
        <w:right w:val="none" w:sz="0" w:space="0" w:color="auto"/>
      </w:divBdr>
    </w:div>
    <w:div w:id="424347687">
      <w:bodyDiv w:val="1"/>
      <w:marLeft w:val="0"/>
      <w:marRight w:val="0"/>
      <w:marTop w:val="0"/>
      <w:marBottom w:val="0"/>
      <w:divBdr>
        <w:top w:val="none" w:sz="0" w:space="0" w:color="auto"/>
        <w:left w:val="none" w:sz="0" w:space="0" w:color="auto"/>
        <w:bottom w:val="none" w:sz="0" w:space="0" w:color="auto"/>
        <w:right w:val="none" w:sz="0" w:space="0" w:color="auto"/>
      </w:divBdr>
    </w:div>
    <w:div w:id="424425250">
      <w:bodyDiv w:val="1"/>
      <w:marLeft w:val="0"/>
      <w:marRight w:val="0"/>
      <w:marTop w:val="0"/>
      <w:marBottom w:val="0"/>
      <w:divBdr>
        <w:top w:val="none" w:sz="0" w:space="0" w:color="auto"/>
        <w:left w:val="none" w:sz="0" w:space="0" w:color="auto"/>
        <w:bottom w:val="none" w:sz="0" w:space="0" w:color="auto"/>
        <w:right w:val="none" w:sz="0" w:space="0" w:color="auto"/>
      </w:divBdr>
    </w:div>
    <w:div w:id="424425470">
      <w:bodyDiv w:val="1"/>
      <w:marLeft w:val="0"/>
      <w:marRight w:val="0"/>
      <w:marTop w:val="0"/>
      <w:marBottom w:val="0"/>
      <w:divBdr>
        <w:top w:val="none" w:sz="0" w:space="0" w:color="auto"/>
        <w:left w:val="none" w:sz="0" w:space="0" w:color="auto"/>
        <w:bottom w:val="none" w:sz="0" w:space="0" w:color="auto"/>
        <w:right w:val="none" w:sz="0" w:space="0" w:color="auto"/>
      </w:divBdr>
    </w:div>
    <w:div w:id="424426971">
      <w:bodyDiv w:val="1"/>
      <w:marLeft w:val="0"/>
      <w:marRight w:val="0"/>
      <w:marTop w:val="0"/>
      <w:marBottom w:val="0"/>
      <w:divBdr>
        <w:top w:val="none" w:sz="0" w:space="0" w:color="auto"/>
        <w:left w:val="none" w:sz="0" w:space="0" w:color="auto"/>
        <w:bottom w:val="none" w:sz="0" w:space="0" w:color="auto"/>
        <w:right w:val="none" w:sz="0" w:space="0" w:color="auto"/>
      </w:divBdr>
    </w:div>
    <w:div w:id="424543146">
      <w:bodyDiv w:val="1"/>
      <w:marLeft w:val="0"/>
      <w:marRight w:val="0"/>
      <w:marTop w:val="0"/>
      <w:marBottom w:val="0"/>
      <w:divBdr>
        <w:top w:val="none" w:sz="0" w:space="0" w:color="auto"/>
        <w:left w:val="none" w:sz="0" w:space="0" w:color="auto"/>
        <w:bottom w:val="none" w:sz="0" w:space="0" w:color="auto"/>
        <w:right w:val="none" w:sz="0" w:space="0" w:color="auto"/>
      </w:divBdr>
    </w:div>
    <w:div w:id="424570244">
      <w:bodyDiv w:val="1"/>
      <w:marLeft w:val="0"/>
      <w:marRight w:val="0"/>
      <w:marTop w:val="0"/>
      <w:marBottom w:val="0"/>
      <w:divBdr>
        <w:top w:val="none" w:sz="0" w:space="0" w:color="auto"/>
        <w:left w:val="none" w:sz="0" w:space="0" w:color="auto"/>
        <w:bottom w:val="none" w:sz="0" w:space="0" w:color="auto"/>
        <w:right w:val="none" w:sz="0" w:space="0" w:color="auto"/>
      </w:divBdr>
    </w:div>
    <w:div w:id="424573420">
      <w:bodyDiv w:val="1"/>
      <w:marLeft w:val="0"/>
      <w:marRight w:val="0"/>
      <w:marTop w:val="0"/>
      <w:marBottom w:val="0"/>
      <w:divBdr>
        <w:top w:val="none" w:sz="0" w:space="0" w:color="auto"/>
        <w:left w:val="none" w:sz="0" w:space="0" w:color="auto"/>
        <w:bottom w:val="none" w:sz="0" w:space="0" w:color="auto"/>
        <w:right w:val="none" w:sz="0" w:space="0" w:color="auto"/>
      </w:divBdr>
    </w:div>
    <w:div w:id="424688533">
      <w:bodyDiv w:val="1"/>
      <w:marLeft w:val="0"/>
      <w:marRight w:val="0"/>
      <w:marTop w:val="0"/>
      <w:marBottom w:val="0"/>
      <w:divBdr>
        <w:top w:val="none" w:sz="0" w:space="0" w:color="auto"/>
        <w:left w:val="none" w:sz="0" w:space="0" w:color="auto"/>
        <w:bottom w:val="none" w:sz="0" w:space="0" w:color="auto"/>
        <w:right w:val="none" w:sz="0" w:space="0" w:color="auto"/>
      </w:divBdr>
    </w:div>
    <w:div w:id="424689296">
      <w:bodyDiv w:val="1"/>
      <w:marLeft w:val="0"/>
      <w:marRight w:val="0"/>
      <w:marTop w:val="0"/>
      <w:marBottom w:val="0"/>
      <w:divBdr>
        <w:top w:val="none" w:sz="0" w:space="0" w:color="auto"/>
        <w:left w:val="none" w:sz="0" w:space="0" w:color="auto"/>
        <w:bottom w:val="none" w:sz="0" w:space="0" w:color="auto"/>
        <w:right w:val="none" w:sz="0" w:space="0" w:color="auto"/>
      </w:divBdr>
    </w:div>
    <w:div w:id="424689867">
      <w:bodyDiv w:val="1"/>
      <w:marLeft w:val="0"/>
      <w:marRight w:val="0"/>
      <w:marTop w:val="0"/>
      <w:marBottom w:val="0"/>
      <w:divBdr>
        <w:top w:val="none" w:sz="0" w:space="0" w:color="auto"/>
        <w:left w:val="none" w:sz="0" w:space="0" w:color="auto"/>
        <w:bottom w:val="none" w:sz="0" w:space="0" w:color="auto"/>
        <w:right w:val="none" w:sz="0" w:space="0" w:color="auto"/>
      </w:divBdr>
    </w:div>
    <w:div w:id="424693237">
      <w:bodyDiv w:val="1"/>
      <w:marLeft w:val="0"/>
      <w:marRight w:val="0"/>
      <w:marTop w:val="0"/>
      <w:marBottom w:val="0"/>
      <w:divBdr>
        <w:top w:val="none" w:sz="0" w:space="0" w:color="auto"/>
        <w:left w:val="none" w:sz="0" w:space="0" w:color="auto"/>
        <w:bottom w:val="none" w:sz="0" w:space="0" w:color="auto"/>
        <w:right w:val="none" w:sz="0" w:space="0" w:color="auto"/>
      </w:divBdr>
    </w:div>
    <w:div w:id="424770330">
      <w:bodyDiv w:val="1"/>
      <w:marLeft w:val="0"/>
      <w:marRight w:val="0"/>
      <w:marTop w:val="0"/>
      <w:marBottom w:val="0"/>
      <w:divBdr>
        <w:top w:val="none" w:sz="0" w:space="0" w:color="auto"/>
        <w:left w:val="none" w:sz="0" w:space="0" w:color="auto"/>
        <w:bottom w:val="none" w:sz="0" w:space="0" w:color="auto"/>
        <w:right w:val="none" w:sz="0" w:space="0" w:color="auto"/>
      </w:divBdr>
    </w:div>
    <w:div w:id="425001302">
      <w:bodyDiv w:val="1"/>
      <w:marLeft w:val="0"/>
      <w:marRight w:val="0"/>
      <w:marTop w:val="0"/>
      <w:marBottom w:val="0"/>
      <w:divBdr>
        <w:top w:val="none" w:sz="0" w:space="0" w:color="auto"/>
        <w:left w:val="none" w:sz="0" w:space="0" w:color="auto"/>
        <w:bottom w:val="none" w:sz="0" w:space="0" w:color="auto"/>
        <w:right w:val="none" w:sz="0" w:space="0" w:color="auto"/>
      </w:divBdr>
    </w:div>
    <w:div w:id="425003331">
      <w:bodyDiv w:val="1"/>
      <w:marLeft w:val="0"/>
      <w:marRight w:val="0"/>
      <w:marTop w:val="0"/>
      <w:marBottom w:val="0"/>
      <w:divBdr>
        <w:top w:val="none" w:sz="0" w:space="0" w:color="auto"/>
        <w:left w:val="none" w:sz="0" w:space="0" w:color="auto"/>
        <w:bottom w:val="none" w:sz="0" w:space="0" w:color="auto"/>
        <w:right w:val="none" w:sz="0" w:space="0" w:color="auto"/>
      </w:divBdr>
    </w:div>
    <w:div w:id="425003624">
      <w:bodyDiv w:val="1"/>
      <w:marLeft w:val="0"/>
      <w:marRight w:val="0"/>
      <w:marTop w:val="0"/>
      <w:marBottom w:val="0"/>
      <w:divBdr>
        <w:top w:val="none" w:sz="0" w:space="0" w:color="auto"/>
        <w:left w:val="none" w:sz="0" w:space="0" w:color="auto"/>
        <w:bottom w:val="none" w:sz="0" w:space="0" w:color="auto"/>
        <w:right w:val="none" w:sz="0" w:space="0" w:color="auto"/>
      </w:divBdr>
    </w:div>
    <w:div w:id="425152730">
      <w:bodyDiv w:val="1"/>
      <w:marLeft w:val="0"/>
      <w:marRight w:val="0"/>
      <w:marTop w:val="0"/>
      <w:marBottom w:val="0"/>
      <w:divBdr>
        <w:top w:val="none" w:sz="0" w:space="0" w:color="auto"/>
        <w:left w:val="none" w:sz="0" w:space="0" w:color="auto"/>
        <w:bottom w:val="none" w:sz="0" w:space="0" w:color="auto"/>
        <w:right w:val="none" w:sz="0" w:space="0" w:color="auto"/>
      </w:divBdr>
    </w:div>
    <w:div w:id="425200551">
      <w:bodyDiv w:val="1"/>
      <w:marLeft w:val="0"/>
      <w:marRight w:val="0"/>
      <w:marTop w:val="0"/>
      <w:marBottom w:val="0"/>
      <w:divBdr>
        <w:top w:val="none" w:sz="0" w:space="0" w:color="auto"/>
        <w:left w:val="none" w:sz="0" w:space="0" w:color="auto"/>
        <w:bottom w:val="none" w:sz="0" w:space="0" w:color="auto"/>
        <w:right w:val="none" w:sz="0" w:space="0" w:color="auto"/>
      </w:divBdr>
    </w:div>
    <w:div w:id="425228610">
      <w:bodyDiv w:val="1"/>
      <w:marLeft w:val="0"/>
      <w:marRight w:val="0"/>
      <w:marTop w:val="0"/>
      <w:marBottom w:val="0"/>
      <w:divBdr>
        <w:top w:val="none" w:sz="0" w:space="0" w:color="auto"/>
        <w:left w:val="none" w:sz="0" w:space="0" w:color="auto"/>
        <w:bottom w:val="none" w:sz="0" w:space="0" w:color="auto"/>
        <w:right w:val="none" w:sz="0" w:space="0" w:color="auto"/>
      </w:divBdr>
    </w:div>
    <w:div w:id="425267588">
      <w:bodyDiv w:val="1"/>
      <w:marLeft w:val="0"/>
      <w:marRight w:val="0"/>
      <w:marTop w:val="0"/>
      <w:marBottom w:val="0"/>
      <w:divBdr>
        <w:top w:val="none" w:sz="0" w:space="0" w:color="auto"/>
        <w:left w:val="none" w:sz="0" w:space="0" w:color="auto"/>
        <w:bottom w:val="none" w:sz="0" w:space="0" w:color="auto"/>
        <w:right w:val="none" w:sz="0" w:space="0" w:color="auto"/>
      </w:divBdr>
    </w:div>
    <w:div w:id="425274706">
      <w:bodyDiv w:val="1"/>
      <w:marLeft w:val="0"/>
      <w:marRight w:val="0"/>
      <w:marTop w:val="0"/>
      <w:marBottom w:val="0"/>
      <w:divBdr>
        <w:top w:val="none" w:sz="0" w:space="0" w:color="auto"/>
        <w:left w:val="none" w:sz="0" w:space="0" w:color="auto"/>
        <w:bottom w:val="none" w:sz="0" w:space="0" w:color="auto"/>
        <w:right w:val="none" w:sz="0" w:space="0" w:color="auto"/>
      </w:divBdr>
    </w:div>
    <w:div w:id="425349575">
      <w:bodyDiv w:val="1"/>
      <w:marLeft w:val="0"/>
      <w:marRight w:val="0"/>
      <w:marTop w:val="0"/>
      <w:marBottom w:val="0"/>
      <w:divBdr>
        <w:top w:val="none" w:sz="0" w:space="0" w:color="auto"/>
        <w:left w:val="none" w:sz="0" w:space="0" w:color="auto"/>
        <w:bottom w:val="none" w:sz="0" w:space="0" w:color="auto"/>
        <w:right w:val="none" w:sz="0" w:space="0" w:color="auto"/>
      </w:divBdr>
    </w:div>
    <w:div w:id="425464955">
      <w:bodyDiv w:val="1"/>
      <w:marLeft w:val="0"/>
      <w:marRight w:val="0"/>
      <w:marTop w:val="0"/>
      <w:marBottom w:val="0"/>
      <w:divBdr>
        <w:top w:val="none" w:sz="0" w:space="0" w:color="auto"/>
        <w:left w:val="none" w:sz="0" w:space="0" w:color="auto"/>
        <w:bottom w:val="none" w:sz="0" w:space="0" w:color="auto"/>
        <w:right w:val="none" w:sz="0" w:space="0" w:color="auto"/>
      </w:divBdr>
    </w:div>
    <w:div w:id="425465121">
      <w:bodyDiv w:val="1"/>
      <w:marLeft w:val="0"/>
      <w:marRight w:val="0"/>
      <w:marTop w:val="0"/>
      <w:marBottom w:val="0"/>
      <w:divBdr>
        <w:top w:val="none" w:sz="0" w:space="0" w:color="auto"/>
        <w:left w:val="none" w:sz="0" w:space="0" w:color="auto"/>
        <w:bottom w:val="none" w:sz="0" w:space="0" w:color="auto"/>
        <w:right w:val="none" w:sz="0" w:space="0" w:color="auto"/>
      </w:divBdr>
    </w:div>
    <w:div w:id="425735929">
      <w:bodyDiv w:val="1"/>
      <w:marLeft w:val="0"/>
      <w:marRight w:val="0"/>
      <w:marTop w:val="0"/>
      <w:marBottom w:val="0"/>
      <w:divBdr>
        <w:top w:val="none" w:sz="0" w:space="0" w:color="auto"/>
        <w:left w:val="none" w:sz="0" w:space="0" w:color="auto"/>
        <w:bottom w:val="none" w:sz="0" w:space="0" w:color="auto"/>
        <w:right w:val="none" w:sz="0" w:space="0" w:color="auto"/>
      </w:divBdr>
    </w:div>
    <w:div w:id="425808402">
      <w:bodyDiv w:val="1"/>
      <w:marLeft w:val="0"/>
      <w:marRight w:val="0"/>
      <w:marTop w:val="0"/>
      <w:marBottom w:val="0"/>
      <w:divBdr>
        <w:top w:val="none" w:sz="0" w:space="0" w:color="auto"/>
        <w:left w:val="none" w:sz="0" w:space="0" w:color="auto"/>
        <w:bottom w:val="none" w:sz="0" w:space="0" w:color="auto"/>
        <w:right w:val="none" w:sz="0" w:space="0" w:color="auto"/>
      </w:divBdr>
    </w:div>
    <w:div w:id="425809102">
      <w:bodyDiv w:val="1"/>
      <w:marLeft w:val="0"/>
      <w:marRight w:val="0"/>
      <w:marTop w:val="0"/>
      <w:marBottom w:val="0"/>
      <w:divBdr>
        <w:top w:val="none" w:sz="0" w:space="0" w:color="auto"/>
        <w:left w:val="none" w:sz="0" w:space="0" w:color="auto"/>
        <w:bottom w:val="none" w:sz="0" w:space="0" w:color="auto"/>
        <w:right w:val="none" w:sz="0" w:space="0" w:color="auto"/>
      </w:divBdr>
    </w:div>
    <w:div w:id="425881980">
      <w:bodyDiv w:val="1"/>
      <w:marLeft w:val="0"/>
      <w:marRight w:val="0"/>
      <w:marTop w:val="0"/>
      <w:marBottom w:val="0"/>
      <w:divBdr>
        <w:top w:val="none" w:sz="0" w:space="0" w:color="auto"/>
        <w:left w:val="none" w:sz="0" w:space="0" w:color="auto"/>
        <w:bottom w:val="none" w:sz="0" w:space="0" w:color="auto"/>
        <w:right w:val="none" w:sz="0" w:space="0" w:color="auto"/>
      </w:divBdr>
    </w:div>
    <w:div w:id="425924916">
      <w:bodyDiv w:val="1"/>
      <w:marLeft w:val="0"/>
      <w:marRight w:val="0"/>
      <w:marTop w:val="0"/>
      <w:marBottom w:val="0"/>
      <w:divBdr>
        <w:top w:val="none" w:sz="0" w:space="0" w:color="auto"/>
        <w:left w:val="none" w:sz="0" w:space="0" w:color="auto"/>
        <w:bottom w:val="none" w:sz="0" w:space="0" w:color="auto"/>
        <w:right w:val="none" w:sz="0" w:space="0" w:color="auto"/>
      </w:divBdr>
    </w:div>
    <w:div w:id="425928194">
      <w:bodyDiv w:val="1"/>
      <w:marLeft w:val="0"/>
      <w:marRight w:val="0"/>
      <w:marTop w:val="0"/>
      <w:marBottom w:val="0"/>
      <w:divBdr>
        <w:top w:val="none" w:sz="0" w:space="0" w:color="auto"/>
        <w:left w:val="none" w:sz="0" w:space="0" w:color="auto"/>
        <w:bottom w:val="none" w:sz="0" w:space="0" w:color="auto"/>
        <w:right w:val="none" w:sz="0" w:space="0" w:color="auto"/>
      </w:divBdr>
    </w:div>
    <w:div w:id="425999013">
      <w:bodyDiv w:val="1"/>
      <w:marLeft w:val="0"/>
      <w:marRight w:val="0"/>
      <w:marTop w:val="0"/>
      <w:marBottom w:val="0"/>
      <w:divBdr>
        <w:top w:val="none" w:sz="0" w:space="0" w:color="auto"/>
        <w:left w:val="none" w:sz="0" w:space="0" w:color="auto"/>
        <w:bottom w:val="none" w:sz="0" w:space="0" w:color="auto"/>
        <w:right w:val="none" w:sz="0" w:space="0" w:color="auto"/>
      </w:divBdr>
    </w:div>
    <w:div w:id="426004753">
      <w:bodyDiv w:val="1"/>
      <w:marLeft w:val="0"/>
      <w:marRight w:val="0"/>
      <w:marTop w:val="0"/>
      <w:marBottom w:val="0"/>
      <w:divBdr>
        <w:top w:val="none" w:sz="0" w:space="0" w:color="auto"/>
        <w:left w:val="none" w:sz="0" w:space="0" w:color="auto"/>
        <w:bottom w:val="none" w:sz="0" w:space="0" w:color="auto"/>
        <w:right w:val="none" w:sz="0" w:space="0" w:color="auto"/>
      </w:divBdr>
    </w:div>
    <w:div w:id="426115635">
      <w:bodyDiv w:val="1"/>
      <w:marLeft w:val="0"/>
      <w:marRight w:val="0"/>
      <w:marTop w:val="0"/>
      <w:marBottom w:val="0"/>
      <w:divBdr>
        <w:top w:val="none" w:sz="0" w:space="0" w:color="auto"/>
        <w:left w:val="none" w:sz="0" w:space="0" w:color="auto"/>
        <w:bottom w:val="none" w:sz="0" w:space="0" w:color="auto"/>
        <w:right w:val="none" w:sz="0" w:space="0" w:color="auto"/>
      </w:divBdr>
    </w:div>
    <w:div w:id="426123670">
      <w:bodyDiv w:val="1"/>
      <w:marLeft w:val="0"/>
      <w:marRight w:val="0"/>
      <w:marTop w:val="0"/>
      <w:marBottom w:val="0"/>
      <w:divBdr>
        <w:top w:val="none" w:sz="0" w:space="0" w:color="auto"/>
        <w:left w:val="none" w:sz="0" w:space="0" w:color="auto"/>
        <w:bottom w:val="none" w:sz="0" w:space="0" w:color="auto"/>
        <w:right w:val="none" w:sz="0" w:space="0" w:color="auto"/>
      </w:divBdr>
    </w:div>
    <w:div w:id="426271538">
      <w:bodyDiv w:val="1"/>
      <w:marLeft w:val="0"/>
      <w:marRight w:val="0"/>
      <w:marTop w:val="0"/>
      <w:marBottom w:val="0"/>
      <w:divBdr>
        <w:top w:val="none" w:sz="0" w:space="0" w:color="auto"/>
        <w:left w:val="none" w:sz="0" w:space="0" w:color="auto"/>
        <w:bottom w:val="none" w:sz="0" w:space="0" w:color="auto"/>
        <w:right w:val="none" w:sz="0" w:space="0" w:color="auto"/>
      </w:divBdr>
    </w:div>
    <w:div w:id="426314792">
      <w:bodyDiv w:val="1"/>
      <w:marLeft w:val="0"/>
      <w:marRight w:val="0"/>
      <w:marTop w:val="0"/>
      <w:marBottom w:val="0"/>
      <w:divBdr>
        <w:top w:val="none" w:sz="0" w:space="0" w:color="auto"/>
        <w:left w:val="none" w:sz="0" w:space="0" w:color="auto"/>
        <w:bottom w:val="none" w:sz="0" w:space="0" w:color="auto"/>
        <w:right w:val="none" w:sz="0" w:space="0" w:color="auto"/>
      </w:divBdr>
    </w:div>
    <w:div w:id="426316420">
      <w:bodyDiv w:val="1"/>
      <w:marLeft w:val="0"/>
      <w:marRight w:val="0"/>
      <w:marTop w:val="0"/>
      <w:marBottom w:val="0"/>
      <w:divBdr>
        <w:top w:val="none" w:sz="0" w:space="0" w:color="auto"/>
        <w:left w:val="none" w:sz="0" w:space="0" w:color="auto"/>
        <w:bottom w:val="none" w:sz="0" w:space="0" w:color="auto"/>
        <w:right w:val="none" w:sz="0" w:space="0" w:color="auto"/>
      </w:divBdr>
    </w:div>
    <w:div w:id="426386160">
      <w:bodyDiv w:val="1"/>
      <w:marLeft w:val="0"/>
      <w:marRight w:val="0"/>
      <w:marTop w:val="0"/>
      <w:marBottom w:val="0"/>
      <w:divBdr>
        <w:top w:val="none" w:sz="0" w:space="0" w:color="auto"/>
        <w:left w:val="none" w:sz="0" w:space="0" w:color="auto"/>
        <w:bottom w:val="none" w:sz="0" w:space="0" w:color="auto"/>
        <w:right w:val="none" w:sz="0" w:space="0" w:color="auto"/>
      </w:divBdr>
    </w:div>
    <w:div w:id="426391335">
      <w:bodyDiv w:val="1"/>
      <w:marLeft w:val="0"/>
      <w:marRight w:val="0"/>
      <w:marTop w:val="0"/>
      <w:marBottom w:val="0"/>
      <w:divBdr>
        <w:top w:val="none" w:sz="0" w:space="0" w:color="auto"/>
        <w:left w:val="none" w:sz="0" w:space="0" w:color="auto"/>
        <w:bottom w:val="none" w:sz="0" w:space="0" w:color="auto"/>
        <w:right w:val="none" w:sz="0" w:space="0" w:color="auto"/>
      </w:divBdr>
    </w:div>
    <w:div w:id="426392963">
      <w:bodyDiv w:val="1"/>
      <w:marLeft w:val="0"/>
      <w:marRight w:val="0"/>
      <w:marTop w:val="0"/>
      <w:marBottom w:val="0"/>
      <w:divBdr>
        <w:top w:val="none" w:sz="0" w:space="0" w:color="auto"/>
        <w:left w:val="none" w:sz="0" w:space="0" w:color="auto"/>
        <w:bottom w:val="none" w:sz="0" w:space="0" w:color="auto"/>
        <w:right w:val="none" w:sz="0" w:space="0" w:color="auto"/>
      </w:divBdr>
    </w:div>
    <w:div w:id="426510145">
      <w:bodyDiv w:val="1"/>
      <w:marLeft w:val="0"/>
      <w:marRight w:val="0"/>
      <w:marTop w:val="0"/>
      <w:marBottom w:val="0"/>
      <w:divBdr>
        <w:top w:val="none" w:sz="0" w:space="0" w:color="auto"/>
        <w:left w:val="none" w:sz="0" w:space="0" w:color="auto"/>
        <w:bottom w:val="none" w:sz="0" w:space="0" w:color="auto"/>
        <w:right w:val="none" w:sz="0" w:space="0" w:color="auto"/>
      </w:divBdr>
    </w:div>
    <w:div w:id="426511591">
      <w:bodyDiv w:val="1"/>
      <w:marLeft w:val="0"/>
      <w:marRight w:val="0"/>
      <w:marTop w:val="0"/>
      <w:marBottom w:val="0"/>
      <w:divBdr>
        <w:top w:val="none" w:sz="0" w:space="0" w:color="auto"/>
        <w:left w:val="none" w:sz="0" w:space="0" w:color="auto"/>
        <w:bottom w:val="none" w:sz="0" w:space="0" w:color="auto"/>
        <w:right w:val="none" w:sz="0" w:space="0" w:color="auto"/>
      </w:divBdr>
    </w:div>
    <w:div w:id="426581999">
      <w:bodyDiv w:val="1"/>
      <w:marLeft w:val="0"/>
      <w:marRight w:val="0"/>
      <w:marTop w:val="0"/>
      <w:marBottom w:val="0"/>
      <w:divBdr>
        <w:top w:val="none" w:sz="0" w:space="0" w:color="auto"/>
        <w:left w:val="none" w:sz="0" w:space="0" w:color="auto"/>
        <w:bottom w:val="none" w:sz="0" w:space="0" w:color="auto"/>
        <w:right w:val="none" w:sz="0" w:space="0" w:color="auto"/>
      </w:divBdr>
    </w:div>
    <w:div w:id="426662274">
      <w:bodyDiv w:val="1"/>
      <w:marLeft w:val="0"/>
      <w:marRight w:val="0"/>
      <w:marTop w:val="0"/>
      <w:marBottom w:val="0"/>
      <w:divBdr>
        <w:top w:val="none" w:sz="0" w:space="0" w:color="auto"/>
        <w:left w:val="none" w:sz="0" w:space="0" w:color="auto"/>
        <w:bottom w:val="none" w:sz="0" w:space="0" w:color="auto"/>
        <w:right w:val="none" w:sz="0" w:space="0" w:color="auto"/>
      </w:divBdr>
    </w:div>
    <w:div w:id="426770646">
      <w:bodyDiv w:val="1"/>
      <w:marLeft w:val="0"/>
      <w:marRight w:val="0"/>
      <w:marTop w:val="0"/>
      <w:marBottom w:val="0"/>
      <w:divBdr>
        <w:top w:val="none" w:sz="0" w:space="0" w:color="auto"/>
        <w:left w:val="none" w:sz="0" w:space="0" w:color="auto"/>
        <w:bottom w:val="none" w:sz="0" w:space="0" w:color="auto"/>
        <w:right w:val="none" w:sz="0" w:space="0" w:color="auto"/>
      </w:divBdr>
    </w:div>
    <w:div w:id="426771283">
      <w:bodyDiv w:val="1"/>
      <w:marLeft w:val="0"/>
      <w:marRight w:val="0"/>
      <w:marTop w:val="0"/>
      <w:marBottom w:val="0"/>
      <w:divBdr>
        <w:top w:val="none" w:sz="0" w:space="0" w:color="auto"/>
        <w:left w:val="none" w:sz="0" w:space="0" w:color="auto"/>
        <w:bottom w:val="none" w:sz="0" w:space="0" w:color="auto"/>
        <w:right w:val="none" w:sz="0" w:space="0" w:color="auto"/>
      </w:divBdr>
    </w:div>
    <w:div w:id="426773720">
      <w:bodyDiv w:val="1"/>
      <w:marLeft w:val="0"/>
      <w:marRight w:val="0"/>
      <w:marTop w:val="0"/>
      <w:marBottom w:val="0"/>
      <w:divBdr>
        <w:top w:val="none" w:sz="0" w:space="0" w:color="auto"/>
        <w:left w:val="none" w:sz="0" w:space="0" w:color="auto"/>
        <w:bottom w:val="none" w:sz="0" w:space="0" w:color="auto"/>
        <w:right w:val="none" w:sz="0" w:space="0" w:color="auto"/>
      </w:divBdr>
    </w:div>
    <w:div w:id="426848204">
      <w:bodyDiv w:val="1"/>
      <w:marLeft w:val="0"/>
      <w:marRight w:val="0"/>
      <w:marTop w:val="0"/>
      <w:marBottom w:val="0"/>
      <w:divBdr>
        <w:top w:val="none" w:sz="0" w:space="0" w:color="auto"/>
        <w:left w:val="none" w:sz="0" w:space="0" w:color="auto"/>
        <w:bottom w:val="none" w:sz="0" w:space="0" w:color="auto"/>
        <w:right w:val="none" w:sz="0" w:space="0" w:color="auto"/>
      </w:divBdr>
    </w:div>
    <w:div w:id="426855124">
      <w:bodyDiv w:val="1"/>
      <w:marLeft w:val="0"/>
      <w:marRight w:val="0"/>
      <w:marTop w:val="0"/>
      <w:marBottom w:val="0"/>
      <w:divBdr>
        <w:top w:val="none" w:sz="0" w:space="0" w:color="auto"/>
        <w:left w:val="none" w:sz="0" w:space="0" w:color="auto"/>
        <w:bottom w:val="none" w:sz="0" w:space="0" w:color="auto"/>
        <w:right w:val="none" w:sz="0" w:space="0" w:color="auto"/>
      </w:divBdr>
    </w:div>
    <w:div w:id="426925885">
      <w:bodyDiv w:val="1"/>
      <w:marLeft w:val="0"/>
      <w:marRight w:val="0"/>
      <w:marTop w:val="0"/>
      <w:marBottom w:val="0"/>
      <w:divBdr>
        <w:top w:val="none" w:sz="0" w:space="0" w:color="auto"/>
        <w:left w:val="none" w:sz="0" w:space="0" w:color="auto"/>
        <w:bottom w:val="none" w:sz="0" w:space="0" w:color="auto"/>
        <w:right w:val="none" w:sz="0" w:space="0" w:color="auto"/>
      </w:divBdr>
    </w:div>
    <w:div w:id="427119944">
      <w:bodyDiv w:val="1"/>
      <w:marLeft w:val="0"/>
      <w:marRight w:val="0"/>
      <w:marTop w:val="0"/>
      <w:marBottom w:val="0"/>
      <w:divBdr>
        <w:top w:val="none" w:sz="0" w:space="0" w:color="auto"/>
        <w:left w:val="none" w:sz="0" w:space="0" w:color="auto"/>
        <w:bottom w:val="none" w:sz="0" w:space="0" w:color="auto"/>
        <w:right w:val="none" w:sz="0" w:space="0" w:color="auto"/>
      </w:divBdr>
    </w:div>
    <w:div w:id="427164284">
      <w:bodyDiv w:val="1"/>
      <w:marLeft w:val="0"/>
      <w:marRight w:val="0"/>
      <w:marTop w:val="0"/>
      <w:marBottom w:val="0"/>
      <w:divBdr>
        <w:top w:val="none" w:sz="0" w:space="0" w:color="auto"/>
        <w:left w:val="none" w:sz="0" w:space="0" w:color="auto"/>
        <w:bottom w:val="none" w:sz="0" w:space="0" w:color="auto"/>
        <w:right w:val="none" w:sz="0" w:space="0" w:color="auto"/>
      </w:divBdr>
    </w:div>
    <w:div w:id="427194589">
      <w:bodyDiv w:val="1"/>
      <w:marLeft w:val="0"/>
      <w:marRight w:val="0"/>
      <w:marTop w:val="0"/>
      <w:marBottom w:val="0"/>
      <w:divBdr>
        <w:top w:val="none" w:sz="0" w:space="0" w:color="auto"/>
        <w:left w:val="none" w:sz="0" w:space="0" w:color="auto"/>
        <w:bottom w:val="none" w:sz="0" w:space="0" w:color="auto"/>
        <w:right w:val="none" w:sz="0" w:space="0" w:color="auto"/>
      </w:divBdr>
    </w:div>
    <w:div w:id="427238254">
      <w:bodyDiv w:val="1"/>
      <w:marLeft w:val="0"/>
      <w:marRight w:val="0"/>
      <w:marTop w:val="0"/>
      <w:marBottom w:val="0"/>
      <w:divBdr>
        <w:top w:val="none" w:sz="0" w:space="0" w:color="auto"/>
        <w:left w:val="none" w:sz="0" w:space="0" w:color="auto"/>
        <w:bottom w:val="none" w:sz="0" w:space="0" w:color="auto"/>
        <w:right w:val="none" w:sz="0" w:space="0" w:color="auto"/>
      </w:divBdr>
    </w:div>
    <w:div w:id="427238624">
      <w:bodyDiv w:val="1"/>
      <w:marLeft w:val="0"/>
      <w:marRight w:val="0"/>
      <w:marTop w:val="0"/>
      <w:marBottom w:val="0"/>
      <w:divBdr>
        <w:top w:val="none" w:sz="0" w:space="0" w:color="auto"/>
        <w:left w:val="none" w:sz="0" w:space="0" w:color="auto"/>
        <w:bottom w:val="none" w:sz="0" w:space="0" w:color="auto"/>
        <w:right w:val="none" w:sz="0" w:space="0" w:color="auto"/>
      </w:divBdr>
    </w:div>
    <w:div w:id="427314100">
      <w:bodyDiv w:val="1"/>
      <w:marLeft w:val="0"/>
      <w:marRight w:val="0"/>
      <w:marTop w:val="0"/>
      <w:marBottom w:val="0"/>
      <w:divBdr>
        <w:top w:val="none" w:sz="0" w:space="0" w:color="auto"/>
        <w:left w:val="none" w:sz="0" w:space="0" w:color="auto"/>
        <w:bottom w:val="none" w:sz="0" w:space="0" w:color="auto"/>
        <w:right w:val="none" w:sz="0" w:space="0" w:color="auto"/>
      </w:divBdr>
    </w:div>
    <w:div w:id="427578760">
      <w:bodyDiv w:val="1"/>
      <w:marLeft w:val="0"/>
      <w:marRight w:val="0"/>
      <w:marTop w:val="0"/>
      <w:marBottom w:val="0"/>
      <w:divBdr>
        <w:top w:val="none" w:sz="0" w:space="0" w:color="auto"/>
        <w:left w:val="none" w:sz="0" w:space="0" w:color="auto"/>
        <w:bottom w:val="none" w:sz="0" w:space="0" w:color="auto"/>
        <w:right w:val="none" w:sz="0" w:space="0" w:color="auto"/>
      </w:divBdr>
    </w:div>
    <w:div w:id="427702180">
      <w:bodyDiv w:val="1"/>
      <w:marLeft w:val="0"/>
      <w:marRight w:val="0"/>
      <w:marTop w:val="0"/>
      <w:marBottom w:val="0"/>
      <w:divBdr>
        <w:top w:val="none" w:sz="0" w:space="0" w:color="auto"/>
        <w:left w:val="none" w:sz="0" w:space="0" w:color="auto"/>
        <w:bottom w:val="none" w:sz="0" w:space="0" w:color="auto"/>
        <w:right w:val="none" w:sz="0" w:space="0" w:color="auto"/>
      </w:divBdr>
    </w:div>
    <w:div w:id="427845646">
      <w:bodyDiv w:val="1"/>
      <w:marLeft w:val="0"/>
      <w:marRight w:val="0"/>
      <w:marTop w:val="0"/>
      <w:marBottom w:val="0"/>
      <w:divBdr>
        <w:top w:val="none" w:sz="0" w:space="0" w:color="auto"/>
        <w:left w:val="none" w:sz="0" w:space="0" w:color="auto"/>
        <w:bottom w:val="none" w:sz="0" w:space="0" w:color="auto"/>
        <w:right w:val="none" w:sz="0" w:space="0" w:color="auto"/>
      </w:divBdr>
    </w:div>
    <w:div w:id="427963196">
      <w:bodyDiv w:val="1"/>
      <w:marLeft w:val="0"/>
      <w:marRight w:val="0"/>
      <w:marTop w:val="0"/>
      <w:marBottom w:val="0"/>
      <w:divBdr>
        <w:top w:val="none" w:sz="0" w:space="0" w:color="auto"/>
        <w:left w:val="none" w:sz="0" w:space="0" w:color="auto"/>
        <w:bottom w:val="none" w:sz="0" w:space="0" w:color="auto"/>
        <w:right w:val="none" w:sz="0" w:space="0" w:color="auto"/>
      </w:divBdr>
    </w:div>
    <w:div w:id="427964918">
      <w:bodyDiv w:val="1"/>
      <w:marLeft w:val="0"/>
      <w:marRight w:val="0"/>
      <w:marTop w:val="0"/>
      <w:marBottom w:val="0"/>
      <w:divBdr>
        <w:top w:val="none" w:sz="0" w:space="0" w:color="auto"/>
        <w:left w:val="none" w:sz="0" w:space="0" w:color="auto"/>
        <w:bottom w:val="none" w:sz="0" w:space="0" w:color="auto"/>
        <w:right w:val="none" w:sz="0" w:space="0" w:color="auto"/>
      </w:divBdr>
    </w:div>
    <w:div w:id="427966750">
      <w:bodyDiv w:val="1"/>
      <w:marLeft w:val="0"/>
      <w:marRight w:val="0"/>
      <w:marTop w:val="0"/>
      <w:marBottom w:val="0"/>
      <w:divBdr>
        <w:top w:val="none" w:sz="0" w:space="0" w:color="auto"/>
        <w:left w:val="none" w:sz="0" w:space="0" w:color="auto"/>
        <w:bottom w:val="none" w:sz="0" w:space="0" w:color="auto"/>
        <w:right w:val="none" w:sz="0" w:space="0" w:color="auto"/>
      </w:divBdr>
    </w:div>
    <w:div w:id="427968324">
      <w:bodyDiv w:val="1"/>
      <w:marLeft w:val="0"/>
      <w:marRight w:val="0"/>
      <w:marTop w:val="0"/>
      <w:marBottom w:val="0"/>
      <w:divBdr>
        <w:top w:val="none" w:sz="0" w:space="0" w:color="auto"/>
        <w:left w:val="none" w:sz="0" w:space="0" w:color="auto"/>
        <w:bottom w:val="none" w:sz="0" w:space="0" w:color="auto"/>
        <w:right w:val="none" w:sz="0" w:space="0" w:color="auto"/>
      </w:divBdr>
    </w:div>
    <w:div w:id="427969566">
      <w:bodyDiv w:val="1"/>
      <w:marLeft w:val="0"/>
      <w:marRight w:val="0"/>
      <w:marTop w:val="0"/>
      <w:marBottom w:val="0"/>
      <w:divBdr>
        <w:top w:val="none" w:sz="0" w:space="0" w:color="auto"/>
        <w:left w:val="none" w:sz="0" w:space="0" w:color="auto"/>
        <w:bottom w:val="none" w:sz="0" w:space="0" w:color="auto"/>
        <w:right w:val="none" w:sz="0" w:space="0" w:color="auto"/>
      </w:divBdr>
    </w:div>
    <w:div w:id="427971956">
      <w:bodyDiv w:val="1"/>
      <w:marLeft w:val="0"/>
      <w:marRight w:val="0"/>
      <w:marTop w:val="0"/>
      <w:marBottom w:val="0"/>
      <w:divBdr>
        <w:top w:val="none" w:sz="0" w:space="0" w:color="auto"/>
        <w:left w:val="none" w:sz="0" w:space="0" w:color="auto"/>
        <w:bottom w:val="none" w:sz="0" w:space="0" w:color="auto"/>
        <w:right w:val="none" w:sz="0" w:space="0" w:color="auto"/>
      </w:divBdr>
    </w:div>
    <w:div w:id="428231826">
      <w:bodyDiv w:val="1"/>
      <w:marLeft w:val="0"/>
      <w:marRight w:val="0"/>
      <w:marTop w:val="0"/>
      <w:marBottom w:val="0"/>
      <w:divBdr>
        <w:top w:val="none" w:sz="0" w:space="0" w:color="auto"/>
        <w:left w:val="none" w:sz="0" w:space="0" w:color="auto"/>
        <w:bottom w:val="none" w:sz="0" w:space="0" w:color="auto"/>
        <w:right w:val="none" w:sz="0" w:space="0" w:color="auto"/>
      </w:divBdr>
    </w:div>
    <w:div w:id="428239012">
      <w:bodyDiv w:val="1"/>
      <w:marLeft w:val="0"/>
      <w:marRight w:val="0"/>
      <w:marTop w:val="0"/>
      <w:marBottom w:val="0"/>
      <w:divBdr>
        <w:top w:val="none" w:sz="0" w:space="0" w:color="auto"/>
        <w:left w:val="none" w:sz="0" w:space="0" w:color="auto"/>
        <w:bottom w:val="none" w:sz="0" w:space="0" w:color="auto"/>
        <w:right w:val="none" w:sz="0" w:space="0" w:color="auto"/>
      </w:divBdr>
    </w:div>
    <w:div w:id="428308411">
      <w:bodyDiv w:val="1"/>
      <w:marLeft w:val="0"/>
      <w:marRight w:val="0"/>
      <w:marTop w:val="0"/>
      <w:marBottom w:val="0"/>
      <w:divBdr>
        <w:top w:val="none" w:sz="0" w:space="0" w:color="auto"/>
        <w:left w:val="none" w:sz="0" w:space="0" w:color="auto"/>
        <w:bottom w:val="none" w:sz="0" w:space="0" w:color="auto"/>
        <w:right w:val="none" w:sz="0" w:space="0" w:color="auto"/>
      </w:divBdr>
    </w:div>
    <w:div w:id="428356352">
      <w:bodyDiv w:val="1"/>
      <w:marLeft w:val="0"/>
      <w:marRight w:val="0"/>
      <w:marTop w:val="0"/>
      <w:marBottom w:val="0"/>
      <w:divBdr>
        <w:top w:val="none" w:sz="0" w:space="0" w:color="auto"/>
        <w:left w:val="none" w:sz="0" w:space="0" w:color="auto"/>
        <w:bottom w:val="none" w:sz="0" w:space="0" w:color="auto"/>
        <w:right w:val="none" w:sz="0" w:space="0" w:color="auto"/>
      </w:divBdr>
    </w:div>
    <w:div w:id="428505220">
      <w:bodyDiv w:val="1"/>
      <w:marLeft w:val="0"/>
      <w:marRight w:val="0"/>
      <w:marTop w:val="0"/>
      <w:marBottom w:val="0"/>
      <w:divBdr>
        <w:top w:val="none" w:sz="0" w:space="0" w:color="auto"/>
        <w:left w:val="none" w:sz="0" w:space="0" w:color="auto"/>
        <w:bottom w:val="none" w:sz="0" w:space="0" w:color="auto"/>
        <w:right w:val="none" w:sz="0" w:space="0" w:color="auto"/>
      </w:divBdr>
    </w:div>
    <w:div w:id="428545038">
      <w:bodyDiv w:val="1"/>
      <w:marLeft w:val="0"/>
      <w:marRight w:val="0"/>
      <w:marTop w:val="0"/>
      <w:marBottom w:val="0"/>
      <w:divBdr>
        <w:top w:val="none" w:sz="0" w:space="0" w:color="auto"/>
        <w:left w:val="none" w:sz="0" w:space="0" w:color="auto"/>
        <w:bottom w:val="none" w:sz="0" w:space="0" w:color="auto"/>
        <w:right w:val="none" w:sz="0" w:space="0" w:color="auto"/>
      </w:divBdr>
    </w:div>
    <w:div w:id="428620436">
      <w:bodyDiv w:val="1"/>
      <w:marLeft w:val="0"/>
      <w:marRight w:val="0"/>
      <w:marTop w:val="0"/>
      <w:marBottom w:val="0"/>
      <w:divBdr>
        <w:top w:val="none" w:sz="0" w:space="0" w:color="auto"/>
        <w:left w:val="none" w:sz="0" w:space="0" w:color="auto"/>
        <w:bottom w:val="none" w:sz="0" w:space="0" w:color="auto"/>
        <w:right w:val="none" w:sz="0" w:space="0" w:color="auto"/>
      </w:divBdr>
    </w:div>
    <w:div w:id="428620683">
      <w:bodyDiv w:val="1"/>
      <w:marLeft w:val="0"/>
      <w:marRight w:val="0"/>
      <w:marTop w:val="0"/>
      <w:marBottom w:val="0"/>
      <w:divBdr>
        <w:top w:val="none" w:sz="0" w:space="0" w:color="auto"/>
        <w:left w:val="none" w:sz="0" w:space="0" w:color="auto"/>
        <w:bottom w:val="none" w:sz="0" w:space="0" w:color="auto"/>
        <w:right w:val="none" w:sz="0" w:space="0" w:color="auto"/>
      </w:divBdr>
    </w:div>
    <w:div w:id="428622199">
      <w:bodyDiv w:val="1"/>
      <w:marLeft w:val="0"/>
      <w:marRight w:val="0"/>
      <w:marTop w:val="0"/>
      <w:marBottom w:val="0"/>
      <w:divBdr>
        <w:top w:val="none" w:sz="0" w:space="0" w:color="auto"/>
        <w:left w:val="none" w:sz="0" w:space="0" w:color="auto"/>
        <w:bottom w:val="none" w:sz="0" w:space="0" w:color="auto"/>
        <w:right w:val="none" w:sz="0" w:space="0" w:color="auto"/>
      </w:divBdr>
    </w:div>
    <w:div w:id="428626511">
      <w:bodyDiv w:val="1"/>
      <w:marLeft w:val="0"/>
      <w:marRight w:val="0"/>
      <w:marTop w:val="0"/>
      <w:marBottom w:val="0"/>
      <w:divBdr>
        <w:top w:val="none" w:sz="0" w:space="0" w:color="auto"/>
        <w:left w:val="none" w:sz="0" w:space="0" w:color="auto"/>
        <w:bottom w:val="none" w:sz="0" w:space="0" w:color="auto"/>
        <w:right w:val="none" w:sz="0" w:space="0" w:color="auto"/>
      </w:divBdr>
    </w:div>
    <w:div w:id="428934424">
      <w:bodyDiv w:val="1"/>
      <w:marLeft w:val="0"/>
      <w:marRight w:val="0"/>
      <w:marTop w:val="0"/>
      <w:marBottom w:val="0"/>
      <w:divBdr>
        <w:top w:val="none" w:sz="0" w:space="0" w:color="auto"/>
        <w:left w:val="none" w:sz="0" w:space="0" w:color="auto"/>
        <w:bottom w:val="none" w:sz="0" w:space="0" w:color="auto"/>
        <w:right w:val="none" w:sz="0" w:space="0" w:color="auto"/>
      </w:divBdr>
    </w:div>
    <w:div w:id="428936940">
      <w:bodyDiv w:val="1"/>
      <w:marLeft w:val="0"/>
      <w:marRight w:val="0"/>
      <w:marTop w:val="0"/>
      <w:marBottom w:val="0"/>
      <w:divBdr>
        <w:top w:val="none" w:sz="0" w:space="0" w:color="auto"/>
        <w:left w:val="none" w:sz="0" w:space="0" w:color="auto"/>
        <w:bottom w:val="none" w:sz="0" w:space="0" w:color="auto"/>
        <w:right w:val="none" w:sz="0" w:space="0" w:color="auto"/>
      </w:divBdr>
    </w:div>
    <w:div w:id="428963779">
      <w:bodyDiv w:val="1"/>
      <w:marLeft w:val="0"/>
      <w:marRight w:val="0"/>
      <w:marTop w:val="0"/>
      <w:marBottom w:val="0"/>
      <w:divBdr>
        <w:top w:val="none" w:sz="0" w:space="0" w:color="auto"/>
        <w:left w:val="none" w:sz="0" w:space="0" w:color="auto"/>
        <w:bottom w:val="none" w:sz="0" w:space="0" w:color="auto"/>
        <w:right w:val="none" w:sz="0" w:space="0" w:color="auto"/>
      </w:divBdr>
    </w:div>
    <w:div w:id="429088094">
      <w:bodyDiv w:val="1"/>
      <w:marLeft w:val="0"/>
      <w:marRight w:val="0"/>
      <w:marTop w:val="0"/>
      <w:marBottom w:val="0"/>
      <w:divBdr>
        <w:top w:val="none" w:sz="0" w:space="0" w:color="auto"/>
        <w:left w:val="none" w:sz="0" w:space="0" w:color="auto"/>
        <w:bottom w:val="none" w:sz="0" w:space="0" w:color="auto"/>
        <w:right w:val="none" w:sz="0" w:space="0" w:color="auto"/>
      </w:divBdr>
    </w:div>
    <w:div w:id="429129902">
      <w:bodyDiv w:val="1"/>
      <w:marLeft w:val="0"/>
      <w:marRight w:val="0"/>
      <w:marTop w:val="0"/>
      <w:marBottom w:val="0"/>
      <w:divBdr>
        <w:top w:val="none" w:sz="0" w:space="0" w:color="auto"/>
        <w:left w:val="none" w:sz="0" w:space="0" w:color="auto"/>
        <w:bottom w:val="none" w:sz="0" w:space="0" w:color="auto"/>
        <w:right w:val="none" w:sz="0" w:space="0" w:color="auto"/>
      </w:divBdr>
    </w:div>
    <w:div w:id="429156489">
      <w:bodyDiv w:val="1"/>
      <w:marLeft w:val="0"/>
      <w:marRight w:val="0"/>
      <w:marTop w:val="0"/>
      <w:marBottom w:val="0"/>
      <w:divBdr>
        <w:top w:val="none" w:sz="0" w:space="0" w:color="auto"/>
        <w:left w:val="none" w:sz="0" w:space="0" w:color="auto"/>
        <w:bottom w:val="none" w:sz="0" w:space="0" w:color="auto"/>
        <w:right w:val="none" w:sz="0" w:space="0" w:color="auto"/>
      </w:divBdr>
    </w:div>
    <w:div w:id="429280458">
      <w:bodyDiv w:val="1"/>
      <w:marLeft w:val="0"/>
      <w:marRight w:val="0"/>
      <w:marTop w:val="0"/>
      <w:marBottom w:val="0"/>
      <w:divBdr>
        <w:top w:val="none" w:sz="0" w:space="0" w:color="auto"/>
        <w:left w:val="none" w:sz="0" w:space="0" w:color="auto"/>
        <w:bottom w:val="none" w:sz="0" w:space="0" w:color="auto"/>
        <w:right w:val="none" w:sz="0" w:space="0" w:color="auto"/>
      </w:divBdr>
    </w:div>
    <w:div w:id="429282247">
      <w:bodyDiv w:val="1"/>
      <w:marLeft w:val="0"/>
      <w:marRight w:val="0"/>
      <w:marTop w:val="0"/>
      <w:marBottom w:val="0"/>
      <w:divBdr>
        <w:top w:val="none" w:sz="0" w:space="0" w:color="auto"/>
        <w:left w:val="none" w:sz="0" w:space="0" w:color="auto"/>
        <w:bottom w:val="none" w:sz="0" w:space="0" w:color="auto"/>
        <w:right w:val="none" w:sz="0" w:space="0" w:color="auto"/>
      </w:divBdr>
    </w:div>
    <w:div w:id="429350133">
      <w:bodyDiv w:val="1"/>
      <w:marLeft w:val="0"/>
      <w:marRight w:val="0"/>
      <w:marTop w:val="0"/>
      <w:marBottom w:val="0"/>
      <w:divBdr>
        <w:top w:val="none" w:sz="0" w:space="0" w:color="auto"/>
        <w:left w:val="none" w:sz="0" w:space="0" w:color="auto"/>
        <w:bottom w:val="none" w:sz="0" w:space="0" w:color="auto"/>
        <w:right w:val="none" w:sz="0" w:space="0" w:color="auto"/>
      </w:divBdr>
    </w:div>
    <w:div w:id="429353801">
      <w:bodyDiv w:val="1"/>
      <w:marLeft w:val="0"/>
      <w:marRight w:val="0"/>
      <w:marTop w:val="0"/>
      <w:marBottom w:val="0"/>
      <w:divBdr>
        <w:top w:val="none" w:sz="0" w:space="0" w:color="auto"/>
        <w:left w:val="none" w:sz="0" w:space="0" w:color="auto"/>
        <w:bottom w:val="none" w:sz="0" w:space="0" w:color="auto"/>
        <w:right w:val="none" w:sz="0" w:space="0" w:color="auto"/>
      </w:divBdr>
    </w:div>
    <w:div w:id="429355469">
      <w:bodyDiv w:val="1"/>
      <w:marLeft w:val="0"/>
      <w:marRight w:val="0"/>
      <w:marTop w:val="0"/>
      <w:marBottom w:val="0"/>
      <w:divBdr>
        <w:top w:val="none" w:sz="0" w:space="0" w:color="auto"/>
        <w:left w:val="none" w:sz="0" w:space="0" w:color="auto"/>
        <w:bottom w:val="none" w:sz="0" w:space="0" w:color="auto"/>
        <w:right w:val="none" w:sz="0" w:space="0" w:color="auto"/>
      </w:divBdr>
    </w:div>
    <w:div w:id="429396736">
      <w:bodyDiv w:val="1"/>
      <w:marLeft w:val="0"/>
      <w:marRight w:val="0"/>
      <w:marTop w:val="0"/>
      <w:marBottom w:val="0"/>
      <w:divBdr>
        <w:top w:val="none" w:sz="0" w:space="0" w:color="auto"/>
        <w:left w:val="none" w:sz="0" w:space="0" w:color="auto"/>
        <w:bottom w:val="none" w:sz="0" w:space="0" w:color="auto"/>
        <w:right w:val="none" w:sz="0" w:space="0" w:color="auto"/>
      </w:divBdr>
    </w:div>
    <w:div w:id="429542670">
      <w:bodyDiv w:val="1"/>
      <w:marLeft w:val="0"/>
      <w:marRight w:val="0"/>
      <w:marTop w:val="0"/>
      <w:marBottom w:val="0"/>
      <w:divBdr>
        <w:top w:val="none" w:sz="0" w:space="0" w:color="auto"/>
        <w:left w:val="none" w:sz="0" w:space="0" w:color="auto"/>
        <w:bottom w:val="none" w:sz="0" w:space="0" w:color="auto"/>
        <w:right w:val="none" w:sz="0" w:space="0" w:color="auto"/>
      </w:divBdr>
    </w:div>
    <w:div w:id="429548901">
      <w:bodyDiv w:val="1"/>
      <w:marLeft w:val="0"/>
      <w:marRight w:val="0"/>
      <w:marTop w:val="0"/>
      <w:marBottom w:val="0"/>
      <w:divBdr>
        <w:top w:val="none" w:sz="0" w:space="0" w:color="auto"/>
        <w:left w:val="none" w:sz="0" w:space="0" w:color="auto"/>
        <w:bottom w:val="none" w:sz="0" w:space="0" w:color="auto"/>
        <w:right w:val="none" w:sz="0" w:space="0" w:color="auto"/>
      </w:divBdr>
    </w:div>
    <w:div w:id="429856229">
      <w:bodyDiv w:val="1"/>
      <w:marLeft w:val="0"/>
      <w:marRight w:val="0"/>
      <w:marTop w:val="0"/>
      <w:marBottom w:val="0"/>
      <w:divBdr>
        <w:top w:val="none" w:sz="0" w:space="0" w:color="auto"/>
        <w:left w:val="none" w:sz="0" w:space="0" w:color="auto"/>
        <w:bottom w:val="none" w:sz="0" w:space="0" w:color="auto"/>
        <w:right w:val="none" w:sz="0" w:space="0" w:color="auto"/>
      </w:divBdr>
    </w:div>
    <w:div w:id="430004464">
      <w:bodyDiv w:val="1"/>
      <w:marLeft w:val="0"/>
      <w:marRight w:val="0"/>
      <w:marTop w:val="0"/>
      <w:marBottom w:val="0"/>
      <w:divBdr>
        <w:top w:val="none" w:sz="0" w:space="0" w:color="auto"/>
        <w:left w:val="none" w:sz="0" w:space="0" w:color="auto"/>
        <w:bottom w:val="none" w:sz="0" w:space="0" w:color="auto"/>
        <w:right w:val="none" w:sz="0" w:space="0" w:color="auto"/>
      </w:divBdr>
    </w:div>
    <w:div w:id="430011321">
      <w:bodyDiv w:val="1"/>
      <w:marLeft w:val="0"/>
      <w:marRight w:val="0"/>
      <w:marTop w:val="0"/>
      <w:marBottom w:val="0"/>
      <w:divBdr>
        <w:top w:val="none" w:sz="0" w:space="0" w:color="auto"/>
        <w:left w:val="none" w:sz="0" w:space="0" w:color="auto"/>
        <w:bottom w:val="none" w:sz="0" w:space="0" w:color="auto"/>
        <w:right w:val="none" w:sz="0" w:space="0" w:color="auto"/>
      </w:divBdr>
    </w:div>
    <w:div w:id="430054035">
      <w:bodyDiv w:val="1"/>
      <w:marLeft w:val="0"/>
      <w:marRight w:val="0"/>
      <w:marTop w:val="0"/>
      <w:marBottom w:val="0"/>
      <w:divBdr>
        <w:top w:val="none" w:sz="0" w:space="0" w:color="auto"/>
        <w:left w:val="none" w:sz="0" w:space="0" w:color="auto"/>
        <w:bottom w:val="none" w:sz="0" w:space="0" w:color="auto"/>
        <w:right w:val="none" w:sz="0" w:space="0" w:color="auto"/>
      </w:divBdr>
    </w:div>
    <w:div w:id="430130916">
      <w:bodyDiv w:val="1"/>
      <w:marLeft w:val="0"/>
      <w:marRight w:val="0"/>
      <w:marTop w:val="0"/>
      <w:marBottom w:val="0"/>
      <w:divBdr>
        <w:top w:val="none" w:sz="0" w:space="0" w:color="auto"/>
        <w:left w:val="none" w:sz="0" w:space="0" w:color="auto"/>
        <w:bottom w:val="none" w:sz="0" w:space="0" w:color="auto"/>
        <w:right w:val="none" w:sz="0" w:space="0" w:color="auto"/>
      </w:divBdr>
    </w:div>
    <w:div w:id="430200273">
      <w:bodyDiv w:val="1"/>
      <w:marLeft w:val="0"/>
      <w:marRight w:val="0"/>
      <w:marTop w:val="0"/>
      <w:marBottom w:val="0"/>
      <w:divBdr>
        <w:top w:val="none" w:sz="0" w:space="0" w:color="auto"/>
        <w:left w:val="none" w:sz="0" w:space="0" w:color="auto"/>
        <w:bottom w:val="none" w:sz="0" w:space="0" w:color="auto"/>
        <w:right w:val="none" w:sz="0" w:space="0" w:color="auto"/>
      </w:divBdr>
    </w:div>
    <w:div w:id="430202355">
      <w:bodyDiv w:val="1"/>
      <w:marLeft w:val="0"/>
      <w:marRight w:val="0"/>
      <w:marTop w:val="0"/>
      <w:marBottom w:val="0"/>
      <w:divBdr>
        <w:top w:val="none" w:sz="0" w:space="0" w:color="auto"/>
        <w:left w:val="none" w:sz="0" w:space="0" w:color="auto"/>
        <w:bottom w:val="none" w:sz="0" w:space="0" w:color="auto"/>
        <w:right w:val="none" w:sz="0" w:space="0" w:color="auto"/>
      </w:divBdr>
    </w:div>
    <w:div w:id="430202756">
      <w:bodyDiv w:val="1"/>
      <w:marLeft w:val="0"/>
      <w:marRight w:val="0"/>
      <w:marTop w:val="0"/>
      <w:marBottom w:val="0"/>
      <w:divBdr>
        <w:top w:val="none" w:sz="0" w:space="0" w:color="auto"/>
        <w:left w:val="none" w:sz="0" w:space="0" w:color="auto"/>
        <w:bottom w:val="none" w:sz="0" w:space="0" w:color="auto"/>
        <w:right w:val="none" w:sz="0" w:space="0" w:color="auto"/>
      </w:divBdr>
    </w:div>
    <w:div w:id="430249981">
      <w:bodyDiv w:val="1"/>
      <w:marLeft w:val="0"/>
      <w:marRight w:val="0"/>
      <w:marTop w:val="0"/>
      <w:marBottom w:val="0"/>
      <w:divBdr>
        <w:top w:val="none" w:sz="0" w:space="0" w:color="auto"/>
        <w:left w:val="none" w:sz="0" w:space="0" w:color="auto"/>
        <w:bottom w:val="none" w:sz="0" w:space="0" w:color="auto"/>
        <w:right w:val="none" w:sz="0" w:space="0" w:color="auto"/>
      </w:divBdr>
    </w:div>
    <w:div w:id="430322035">
      <w:bodyDiv w:val="1"/>
      <w:marLeft w:val="0"/>
      <w:marRight w:val="0"/>
      <w:marTop w:val="0"/>
      <w:marBottom w:val="0"/>
      <w:divBdr>
        <w:top w:val="none" w:sz="0" w:space="0" w:color="auto"/>
        <w:left w:val="none" w:sz="0" w:space="0" w:color="auto"/>
        <w:bottom w:val="none" w:sz="0" w:space="0" w:color="auto"/>
        <w:right w:val="none" w:sz="0" w:space="0" w:color="auto"/>
      </w:divBdr>
    </w:div>
    <w:div w:id="430395924">
      <w:bodyDiv w:val="1"/>
      <w:marLeft w:val="0"/>
      <w:marRight w:val="0"/>
      <w:marTop w:val="0"/>
      <w:marBottom w:val="0"/>
      <w:divBdr>
        <w:top w:val="none" w:sz="0" w:space="0" w:color="auto"/>
        <w:left w:val="none" w:sz="0" w:space="0" w:color="auto"/>
        <w:bottom w:val="none" w:sz="0" w:space="0" w:color="auto"/>
        <w:right w:val="none" w:sz="0" w:space="0" w:color="auto"/>
      </w:divBdr>
    </w:div>
    <w:div w:id="430396721">
      <w:bodyDiv w:val="1"/>
      <w:marLeft w:val="0"/>
      <w:marRight w:val="0"/>
      <w:marTop w:val="0"/>
      <w:marBottom w:val="0"/>
      <w:divBdr>
        <w:top w:val="none" w:sz="0" w:space="0" w:color="auto"/>
        <w:left w:val="none" w:sz="0" w:space="0" w:color="auto"/>
        <w:bottom w:val="none" w:sz="0" w:space="0" w:color="auto"/>
        <w:right w:val="none" w:sz="0" w:space="0" w:color="auto"/>
      </w:divBdr>
    </w:div>
    <w:div w:id="430514474">
      <w:bodyDiv w:val="1"/>
      <w:marLeft w:val="0"/>
      <w:marRight w:val="0"/>
      <w:marTop w:val="0"/>
      <w:marBottom w:val="0"/>
      <w:divBdr>
        <w:top w:val="none" w:sz="0" w:space="0" w:color="auto"/>
        <w:left w:val="none" w:sz="0" w:space="0" w:color="auto"/>
        <w:bottom w:val="none" w:sz="0" w:space="0" w:color="auto"/>
        <w:right w:val="none" w:sz="0" w:space="0" w:color="auto"/>
      </w:divBdr>
    </w:div>
    <w:div w:id="430593468">
      <w:bodyDiv w:val="1"/>
      <w:marLeft w:val="0"/>
      <w:marRight w:val="0"/>
      <w:marTop w:val="0"/>
      <w:marBottom w:val="0"/>
      <w:divBdr>
        <w:top w:val="none" w:sz="0" w:space="0" w:color="auto"/>
        <w:left w:val="none" w:sz="0" w:space="0" w:color="auto"/>
        <w:bottom w:val="none" w:sz="0" w:space="0" w:color="auto"/>
        <w:right w:val="none" w:sz="0" w:space="0" w:color="auto"/>
      </w:divBdr>
    </w:div>
    <w:div w:id="430705204">
      <w:bodyDiv w:val="1"/>
      <w:marLeft w:val="0"/>
      <w:marRight w:val="0"/>
      <w:marTop w:val="0"/>
      <w:marBottom w:val="0"/>
      <w:divBdr>
        <w:top w:val="none" w:sz="0" w:space="0" w:color="auto"/>
        <w:left w:val="none" w:sz="0" w:space="0" w:color="auto"/>
        <w:bottom w:val="none" w:sz="0" w:space="0" w:color="auto"/>
        <w:right w:val="none" w:sz="0" w:space="0" w:color="auto"/>
      </w:divBdr>
    </w:div>
    <w:div w:id="430708169">
      <w:bodyDiv w:val="1"/>
      <w:marLeft w:val="0"/>
      <w:marRight w:val="0"/>
      <w:marTop w:val="0"/>
      <w:marBottom w:val="0"/>
      <w:divBdr>
        <w:top w:val="none" w:sz="0" w:space="0" w:color="auto"/>
        <w:left w:val="none" w:sz="0" w:space="0" w:color="auto"/>
        <w:bottom w:val="none" w:sz="0" w:space="0" w:color="auto"/>
        <w:right w:val="none" w:sz="0" w:space="0" w:color="auto"/>
      </w:divBdr>
    </w:div>
    <w:div w:id="430781194">
      <w:bodyDiv w:val="1"/>
      <w:marLeft w:val="0"/>
      <w:marRight w:val="0"/>
      <w:marTop w:val="0"/>
      <w:marBottom w:val="0"/>
      <w:divBdr>
        <w:top w:val="none" w:sz="0" w:space="0" w:color="auto"/>
        <w:left w:val="none" w:sz="0" w:space="0" w:color="auto"/>
        <w:bottom w:val="none" w:sz="0" w:space="0" w:color="auto"/>
        <w:right w:val="none" w:sz="0" w:space="0" w:color="auto"/>
      </w:divBdr>
    </w:div>
    <w:div w:id="430862513">
      <w:bodyDiv w:val="1"/>
      <w:marLeft w:val="0"/>
      <w:marRight w:val="0"/>
      <w:marTop w:val="0"/>
      <w:marBottom w:val="0"/>
      <w:divBdr>
        <w:top w:val="none" w:sz="0" w:space="0" w:color="auto"/>
        <w:left w:val="none" w:sz="0" w:space="0" w:color="auto"/>
        <w:bottom w:val="none" w:sz="0" w:space="0" w:color="auto"/>
        <w:right w:val="none" w:sz="0" w:space="0" w:color="auto"/>
      </w:divBdr>
    </w:div>
    <w:div w:id="431051055">
      <w:bodyDiv w:val="1"/>
      <w:marLeft w:val="0"/>
      <w:marRight w:val="0"/>
      <w:marTop w:val="0"/>
      <w:marBottom w:val="0"/>
      <w:divBdr>
        <w:top w:val="none" w:sz="0" w:space="0" w:color="auto"/>
        <w:left w:val="none" w:sz="0" w:space="0" w:color="auto"/>
        <w:bottom w:val="none" w:sz="0" w:space="0" w:color="auto"/>
        <w:right w:val="none" w:sz="0" w:space="0" w:color="auto"/>
      </w:divBdr>
    </w:div>
    <w:div w:id="431097717">
      <w:bodyDiv w:val="1"/>
      <w:marLeft w:val="0"/>
      <w:marRight w:val="0"/>
      <w:marTop w:val="0"/>
      <w:marBottom w:val="0"/>
      <w:divBdr>
        <w:top w:val="none" w:sz="0" w:space="0" w:color="auto"/>
        <w:left w:val="none" w:sz="0" w:space="0" w:color="auto"/>
        <w:bottom w:val="none" w:sz="0" w:space="0" w:color="auto"/>
        <w:right w:val="none" w:sz="0" w:space="0" w:color="auto"/>
      </w:divBdr>
    </w:div>
    <w:div w:id="431324164">
      <w:bodyDiv w:val="1"/>
      <w:marLeft w:val="0"/>
      <w:marRight w:val="0"/>
      <w:marTop w:val="0"/>
      <w:marBottom w:val="0"/>
      <w:divBdr>
        <w:top w:val="none" w:sz="0" w:space="0" w:color="auto"/>
        <w:left w:val="none" w:sz="0" w:space="0" w:color="auto"/>
        <w:bottom w:val="none" w:sz="0" w:space="0" w:color="auto"/>
        <w:right w:val="none" w:sz="0" w:space="0" w:color="auto"/>
      </w:divBdr>
    </w:div>
    <w:div w:id="431362123">
      <w:bodyDiv w:val="1"/>
      <w:marLeft w:val="0"/>
      <w:marRight w:val="0"/>
      <w:marTop w:val="0"/>
      <w:marBottom w:val="0"/>
      <w:divBdr>
        <w:top w:val="none" w:sz="0" w:space="0" w:color="auto"/>
        <w:left w:val="none" w:sz="0" w:space="0" w:color="auto"/>
        <w:bottom w:val="none" w:sz="0" w:space="0" w:color="auto"/>
        <w:right w:val="none" w:sz="0" w:space="0" w:color="auto"/>
      </w:divBdr>
    </w:div>
    <w:div w:id="431437278">
      <w:bodyDiv w:val="1"/>
      <w:marLeft w:val="0"/>
      <w:marRight w:val="0"/>
      <w:marTop w:val="0"/>
      <w:marBottom w:val="0"/>
      <w:divBdr>
        <w:top w:val="none" w:sz="0" w:space="0" w:color="auto"/>
        <w:left w:val="none" w:sz="0" w:space="0" w:color="auto"/>
        <w:bottom w:val="none" w:sz="0" w:space="0" w:color="auto"/>
        <w:right w:val="none" w:sz="0" w:space="0" w:color="auto"/>
      </w:divBdr>
    </w:div>
    <w:div w:id="431510525">
      <w:bodyDiv w:val="1"/>
      <w:marLeft w:val="0"/>
      <w:marRight w:val="0"/>
      <w:marTop w:val="0"/>
      <w:marBottom w:val="0"/>
      <w:divBdr>
        <w:top w:val="none" w:sz="0" w:space="0" w:color="auto"/>
        <w:left w:val="none" w:sz="0" w:space="0" w:color="auto"/>
        <w:bottom w:val="none" w:sz="0" w:space="0" w:color="auto"/>
        <w:right w:val="none" w:sz="0" w:space="0" w:color="auto"/>
      </w:divBdr>
    </w:div>
    <w:div w:id="431631320">
      <w:bodyDiv w:val="1"/>
      <w:marLeft w:val="0"/>
      <w:marRight w:val="0"/>
      <w:marTop w:val="0"/>
      <w:marBottom w:val="0"/>
      <w:divBdr>
        <w:top w:val="none" w:sz="0" w:space="0" w:color="auto"/>
        <w:left w:val="none" w:sz="0" w:space="0" w:color="auto"/>
        <w:bottom w:val="none" w:sz="0" w:space="0" w:color="auto"/>
        <w:right w:val="none" w:sz="0" w:space="0" w:color="auto"/>
      </w:divBdr>
    </w:div>
    <w:div w:id="431631361">
      <w:bodyDiv w:val="1"/>
      <w:marLeft w:val="0"/>
      <w:marRight w:val="0"/>
      <w:marTop w:val="0"/>
      <w:marBottom w:val="0"/>
      <w:divBdr>
        <w:top w:val="none" w:sz="0" w:space="0" w:color="auto"/>
        <w:left w:val="none" w:sz="0" w:space="0" w:color="auto"/>
        <w:bottom w:val="none" w:sz="0" w:space="0" w:color="auto"/>
        <w:right w:val="none" w:sz="0" w:space="0" w:color="auto"/>
      </w:divBdr>
    </w:div>
    <w:div w:id="431633083">
      <w:bodyDiv w:val="1"/>
      <w:marLeft w:val="0"/>
      <w:marRight w:val="0"/>
      <w:marTop w:val="0"/>
      <w:marBottom w:val="0"/>
      <w:divBdr>
        <w:top w:val="none" w:sz="0" w:space="0" w:color="auto"/>
        <w:left w:val="none" w:sz="0" w:space="0" w:color="auto"/>
        <w:bottom w:val="none" w:sz="0" w:space="0" w:color="auto"/>
        <w:right w:val="none" w:sz="0" w:space="0" w:color="auto"/>
      </w:divBdr>
    </w:div>
    <w:div w:id="431823656">
      <w:bodyDiv w:val="1"/>
      <w:marLeft w:val="0"/>
      <w:marRight w:val="0"/>
      <w:marTop w:val="0"/>
      <w:marBottom w:val="0"/>
      <w:divBdr>
        <w:top w:val="none" w:sz="0" w:space="0" w:color="auto"/>
        <w:left w:val="none" w:sz="0" w:space="0" w:color="auto"/>
        <w:bottom w:val="none" w:sz="0" w:space="0" w:color="auto"/>
        <w:right w:val="none" w:sz="0" w:space="0" w:color="auto"/>
      </w:divBdr>
    </w:div>
    <w:div w:id="431827911">
      <w:bodyDiv w:val="1"/>
      <w:marLeft w:val="0"/>
      <w:marRight w:val="0"/>
      <w:marTop w:val="0"/>
      <w:marBottom w:val="0"/>
      <w:divBdr>
        <w:top w:val="none" w:sz="0" w:space="0" w:color="auto"/>
        <w:left w:val="none" w:sz="0" w:space="0" w:color="auto"/>
        <w:bottom w:val="none" w:sz="0" w:space="0" w:color="auto"/>
        <w:right w:val="none" w:sz="0" w:space="0" w:color="auto"/>
      </w:divBdr>
    </w:div>
    <w:div w:id="431898684">
      <w:bodyDiv w:val="1"/>
      <w:marLeft w:val="0"/>
      <w:marRight w:val="0"/>
      <w:marTop w:val="0"/>
      <w:marBottom w:val="0"/>
      <w:divBdr>
        <w:top w:val="none" w:sz="0" w:space="0" w:color="auto"/>
        <w:left w:val="none" w:sz="0" w:space="0" w:color="auto"/>
        <w:bottom w:val="none" w:sz="0" w:space="0" w:color="auto"/>
        <w:right w:val="none" w:sz="0" w:space="0" w:color="auto"/>
      </w:divBdr>
    </w:div>
    <w:div w:id="431978151">
      <w:bodyDiv w:val="1"/>
      <w:marLeft w:val="0"/>
      <w:marRight w:val="0"/>
      <w:marTop w:val="0"/>
      <w:marBottom w:val="0"/>
      <w:divBdr>
        <w:top w:val="none" w:sz="0" w:space="0" w:color="auto"/>
        <w:left w:val="none" w:sz="0" w:space="0" w:color="auto"/>
        <w:bottom w:val="none" w:sz="0" w:space="0" w:color="auto"/>
        <w:right w:val="none" w:sz="0" w:space="0" w:color="auto"/>
      </w:divBdr>
    </w:div>
    <w:div w:id="432015055">
      <w:bodyDiv w:val="1"/>
      <w:marLeft w:val="0"/>
      <w:marRight w:val="0"/>
      <w:marTop w:val="0"/>
      <w:marBottom w:val="0"/>
      <w:divBdr>
        <w:top w:val="none" w:sz="0" w:space="0" w:color="auto"/>
        <w:left w:val="none" w:sz="0" w:space="0" w:color="auto"/>
        <w:bottom w:val="none" w:sz="0" w:space="0" w:color="auto"/>
        <w:right w:val="none" w:sz="0" w:space="0" w:color="auto"/>
      </w:divBdr>
    </w:div>
    <w:div w:id="432088247">
      <w:bodyDiv w:val="1"/>
      <w:marLeft w:val="0"/>
      <w:marRight w:val="0"/>
      <w:marTop w:val="0"/>
      <w:marBottom w:val="0"/>
      <w:divBdr>
        <w:top w:val="none" w:sz="0" w:space="0" w:color="auto"/>
        <w:left w:val="none" w:sz="0" w:space="0" w:color="auto"/>
        <w:bottom w:val="none" w:sz="0" w:space="0" w:color="auto"/>
        <w:right w:val="none" w:sz="0" w:space="0" w:color="auto"/>
      </w:divBdr>
    </w:div>
    <w:div w:id="432091460">
      <w:bodyDiv w:val="1"/>
      <w:marLeft w:val="0"/>
      <w:marRight w:val="0"/>
      <w:marTop w:val="0"/>
      <w:marBottom w:val="0"/>
      <w:divBdr>
        <w:top w:val="none" w:sz="0" w:space="0" w:color="auto"/>
        <w:left w:val="none" w:sz="0" w:space="0" w:color="auto"/>
        <w:bottom w:val="none" w:sz="0" w:space="0" w:color="auto"/>
        <w:right w:val="none" w:sz="0" w:space="0" w:color="auto"/>
      </w:divBdr>
    </w:div>
    <w:div w:id="432092396">
      <w:bodyDiv w:val="1"/>
      <w:marLeft w:val="0"/>
      <w:marRight w:val="0"/>
      <w:marTop w:val="0"/>
      <w:marBottom w:val="0"/>
      <w:divBdr>
        <w:top w:val="none" w:sz="0" w:space="0" w:color="auto"/>
        <w:left w:val="none" w:sz="0" w:space="0" w:color="auto"/>
        <w:bottom w:val="none" w:sz="0" w:space="0" w:color="auto"/>
        <w:right w:val="none" w:sz="0" w:space="0" w:color="auto"/>
      </w:divBdr>
    </w:div>
    <w:div w:id="432359009">
      <w:bodyDiv w:val="1"/>
      <w:marLeft w:val="0"/>
      <w:marRight w:val="0"/>
      <w:marTop w:val="0"/>
      <w:marBottom w:val="0"/>
      <w:divBdr>
        <w:top w:val="none" w:sz="0" w:space="0" w:color="auto"/>
        <w:left w:val="none" w:sz="0" w:space="0" w:color="auto"/>
        <w:bottom w:val="none" w:sz="0" w:space="0" w:color="auto"/>
        <w:right w:val="none" w:sz="0" w:space="0" w:color="auto"/>
      </w:divBdr>
    </w:div>
    <w:div w:id="432361372">
      <w:bodyDiv w:val="1"/>
      <w:marLeft w:val="0"/>
      <w:marRight w:val="0"/>
      <w:marTop w:val="0"/>
      <w:marBottom w:val="0"/>
      <w:divBdr>
        <w:top w:val="none" w:sz="0" w:space="0" w:color="auto"/>
        <w:left w:val="none" w:sz="0" w:space="0" w:color="auto"/>
        <w:bottom w:val="none" w:sz="0" w:space="0" w:color="auto"/>
        <w:right w:val="none" w:sz="0" w:space="0" w:color="auto"/>
      </w:divBdr>
    </w:div>
    <w:div w:id="432475878">
      <w:bodyDiv w:val="1"/>
      <w:marLeft w:val="0"/>
      <w:marRight w:val="0"/>
      <w:marTop w:val="0"/>
      <w:marBottom w:val="0"/>
      <w:divBdr>
        <w:top w:val="none" w:sz="0" w:space="0" w:color="auto"/>
        <w:left w:val="none" w:sz="0" w:space="0" w:color="auto"/>
        <w:bottom w:val="none" w:sz="0" w:space="0" w:color="auto"/>
        <w:right w:val="none" w:sz="0" w:space="0" w:color="auto"/>
      </w:divBdr>
    </w:div>
    <w:div w:id="432479534">
      <w:bodyDiv w:val="1"/>
      <w:marLeft w:val="0"/>
      <w:marRight w:val="0"/>
      <w:marTop w:val="0"/>
      <w:marBottom w:val="0"/>
      <w:divBdr>
        <w:top w:val="none" w:sz="0" w:space="0" w:color="auto"/>
        <w:left w:val="none" w:sz="0" w:space="0" w:color="auto"/>
        <w:bottom w:val="none" w:sz="0" w:space="0" w:color="auto"/>
        <w:right w:val="none" w:sz="0" w:space="0" w:color="auto"/>
      </w:divBdr>
    </w:div>
    <w:div w:id="432634509">
      <w:bodyDiv w:val="1"/>
      <w:marLeft w:val="0"/>
      <w:marRight w:val="0"/>
      <w:marTop w:val="0"/>
      <w:marBottom w:val="0"/>
      <w:divBdr>
        <w:top w:val="none" w:sz="0" w:space="0" w:color="auto"/>
        <w:left w:val="none" w:sz="0" w:space="0" w:color="auto"/>
        <w:bottom w:val="none" w:sz="0" w:space="0" w:color="auto"/>
        <w:right w:val="none" w:sz="0" w:space="0" w:color="auto"/>
      </w:divBdr>
    </w:div>
    <w:div w:id="432673033">
      <w:bodyDiv w:val="1"/>
      <w:marLeft w:val="0"/>
      <w:marRight w:val="0"/>
      <w:marTop w:val="0"/>
      <w:marBottom w:val="0"/>
      <w:divBdr>
        <w:top w:val="none" w:sz="0" w:space="0" w:color="auto"/>
        <w:left w:val="none" w:sz="0" w:space="0" w:color="auto"/>
        <w:bottom w:val="none" w:sz="0" w:space="0" w:color="auto"/>
        <w:right w:val="none" w:sz="0" w:space="0" w:color="auto"/>
      </w:divBdr>
    </w:div>
    <w:div w:id="432746632">
      <w:bodyDiv w:val="1"/>
      <w:marLeft w:val="0"/>
      <w:marRight w:val="0"/>
      <w:marTop w:val="0"/>
      <w:marBottom w:val="0"/>
      <w:divBdr>
        <w:top w:val="none" w:sz="0" w:space="0" w:color="auto"/>
        <w:left w:val="none" w:sz="0" w:space="0" w:color="auto"/>
        <w:bottom w:val="none" w:sz="0" w:space="0" w:color="auto"/>
        <w:right w:val="none" w:sz="0" w:space="0" w:color="auto"/>
      </w:divBdr>
    </w:div>
    <w:div w:id="432821088">
      <w:bodyDiv w:val="1"/>
      <w:marLeft w:val="0"/>
      <w:marRight w:val="0"/>
      <w:marTop w:val="0"/>
      <w:marBottom w:val="0"/>
      <w:divBdr>
        <w:top w:val="none" w:sz="0" w:space="0" w:color="auto"/>
        <w:left w:val="none" w:sz="0" w:space="0" w:color="auto"/>
        <w:bottom w:val="none" w:sz="0" w:space="0" w:color="auto"/>
        <w:right w:val="none" w:sz="0" w:space="0" w:color="auto"/>
      </w:divBdr>
    </w:div>
    <w:div w:id="432867535">
      <w:bodyDiv w:val="1"/>
      <w:marLeft w:val="0"/>
      <w:marRight w:val="0"/>
      <w:marTop w:val="0"/>
      <w:marBottom w:val="0"/>
      <w:divBdr>
        <w:top w:val="none" w:sz="0" w:space="0" w:color="auto"/>
        <w:left w:val="none" w:sz="0" w:space="0" w:color="auto"/>
        <w:bottom w:val="none" w:sz="0" w:space="0" w:color="auto"/>
        <w:right w:val="none" w:sz="0" w:space="0" w:color="auto"/>
      </w:divBdr>
    </w:div>
    <w:div w:id="432941033">
      <w:bodyDiv w:val="1"/>
      <w:marLeft w:val="0"/>
      <w:marRight w:val="0"/>
      <w:marTop w:val="0"/>
      <w:marBottom w:val="0"/>
      <w:divBdr>
        <w:top w:val="none" w:sz="0" w:space="0" w:color="auto"/>
        <w:left w:val="none" w:sz="0" w:space="0" w:color="auto"/>
        <w:bottom w:val="none" w:sz="0" w:space="0" w:color="auto"/>
        <w:right w:val="none" w:sz="0" w:space="0" w:color="auto"/>
      </w:divBdr>
    </w:div>
    <w:div w:id="433016360">
      <w:bodyDiv w:val="1"/>
      <w:marLeft w:val="0"/>
      <w:marRight w:val="0"/>
      <w:marTop w:val="0"/>
      <w:marBottom w:val="0"/>
      <w:divBdr>
        <w:top w:val="none" w:sz="0" w:space="0" w:color="auto"/>
        <w:left w:val="none" w:sz="0" w:space="0" w:color="auto"/>
        <w:bottom w:val="none" w:sz="0" w:space="0" w:color="auto"/>
        <w:right w:val="none" w:sz="0" w:space="0" w:color="auto"/>
      </w:divBdr>
    </w:div>
    <w:div w:id="433087692">
      <w:bodyDiv w:val="1"/>
      <w:marLeft w:val="0"/>
      <w:marRight w:val="0"/>
      <w:marTop w:val="0"/>
      <w:marBottom w:val="0"/>
      <w:divBdr>
        <w:top w:val="none" w:sz="0" w:space="0" w:color="auto"/>
        <w:left w:val="none" w:sz="0" w:space="0" w:color="auto"/>
        <w:bottom w:val="none" w:sz="0" w:space="0" w:color="auto"/>
        <w:right w:val="none" w:sz="0" w:space="0" w:color="auto"/>
      </w:divBdr>
    </w:div>
    <w:div w:id="433087916">
      <w:bodyDiv w:val="1"/>
      <w:marLeft w:val="0"/>
      <w:marRight w:val="0"/>
      <w:marTop w:val="0"/>
      <w:marBottom w:val="0"/>
      <w:divBdr>
        <w:top w:val="none" w:sz="0" w:space="0" w:color="auto"/>
        <w:left w:val="none" w:sz="0" w:space="0" w:color="auto"/>
        <w:bottom w:val="none" w:sz="0" w:space="0" w:color="auto"/>
        <w:right w:val="none" w:sz="0" w:space="0" w:color="auto"/>
      </w:divBdr>
    </w:div>
    <w:div w:id="433090590">
      <w:bodyDiv w:val="1"/>
      <w:marLeft w:val="0"/>
      <w:marRight w:val="0"/>
      <w:marTop w:val="0"/>
      <w:marBottom w:val="0"/>
      <w:divBdr>
        <w:top w:val="none" w:sz="0" w:space="0" w:color="auto"/>
        <w:left w:val="none" w:sz="0" w:space="0" w:color="auto"/>
        <w:bottom w:val="none" w:sz="0" w:space="0" w:color="auto"/>
        <w:right w:val="none" w:sz="0" w:space="0" w:color="auto"/>
      </w:divBdr>
    </w:div>
    <w:div w:id="433131075">
      <w:bodyDiv w:val="1"/>
      <w:marLeft w:val="0"/>
      <w:marRight w:val="0"/>
      <w:marTop w:val="0"/>
      <w:marBottom w:val="0"/>
      <w:divBdr>
        <w:top w:val="none" w:sz="0" w:space="0" w:color="auto"/>
        <w:left w:val="none" w:sz="0" w:space="0" w:color="auto"/>
        <w:bottom w:val="none" w:sz="0" w:space="0" w:color="auto"/>
        <w:right w:val="none" w:sz="0" w:space="0" w:color="auto"/>
      </w:divBdr>
    </w:div>
    <w:div w:id="433132791">
      <w:bodyDiv w:val="1"/>
      <w:marLeft w:val="0"/>
      <w:marRight w:val="0"/>
      <w:marTop w:val="0"/>
      <w:marBottom w:val="0"/>
      <w:divBdr>
        <w:top w:val="none" w:sz="0" w:space="0" w:color="auto"/>
        <w:left w:val="none" w:sz="0" w:space="0" w:color="auto"/>
        <w:bottom w:val="none" w:sz="0" w:space="0" w:color="auto"/>
        <w:right w:val="none" w:sz="0" w:space="0" w:color="auto"/>
      </w:divBdr>
    </w:div>
    <w:div w:id="433133866">
      <w:bodyDiv w:val="1"/>
      <w:marLeft w:val="0"/>
      <w:marRight w:val="0"/>
      <w:marTop w:val="0"/>
      <w:marBottom w:val="0"/>
      <w:divBdr>
        <w:top w:val="none" w:sz="0" w:space="0" w:color="auto"/>
        <w:left w:val="none" w:sz="0" w:space="0" w:color="auto"/>
        <w:bottom w:val="none" w:sz="0" w:space="0" w:color="auto"/>
        <w:right w:val="none" w:sz="0" w:space="0" w:color="auto"/>
      </w:divBdr>
    </w:div>
    <w:div w:id="433212553">
      <w:bodyDiv w:val="1"/>
      <w:marLeft w:val="0"/>
      <w:marRight w:val="0"/>
      <w:marTop w:val="0"/>
      <w:marBottom w:val="0"/>
      <w:divBdr>
        <w:top w:val="none" w:sz="0" w:space="0" w:color="auto"/>
        <w:left w:val="none" w:sz="0" w:space="0" w:color="auto"/>
        <w:bottom w:val="none" w:sz="0" w:space="0" w:color="auto"/>
        <w:right w:val="none" w:sz="0" w:space="0" w:color="auto"/>
      </w:divBdr>
    </w:div>
    <w:div w:id="433212866">
      <w:bodyDiv w:val="1"/>
      <w:marLeft w:val="0"/>
      <w:marRight w:val="0"/>
      <w:marTop w:val="0"/>
      <w:marBottom w:val="0"/>
      <w:divBdr>
        <w:top w:val="none" w:sz="0" w:space="0" w:color="auto"/>
        <w:left w:val="none" w:sz="0" w:space="0" w:color="auto"/>
        <w:bottom w:val="none" w:sz="0" w:space="0" w:color="auto"/>
        <w:right w:val="none" w:sz="0" w:space="0" w:color="auto"/>
      </w:divBdr>
    </w:div>
    <w:div w:id="433214405">
      <w:bodyDiv w:val="1"/>
      <w:marLeft w:val="0"/>
      <w:marRight w:val="0"/>
      <w:marTop w:val="0"/>
      <w:marBottom w:val="0"/>
      <w:divBdr>
        <w:top w:val="none" w:sz="0" w:space="0" w:color="auto"/>
        <w:left w:val="none" w:sz="0" w:space="0" w:color="auto"/>
        <w:bottom w:val="none" w:sz="0" w:space="0" w:color="auto"/>
        <w:right w:val="none" w:sz="0" w:space="0" w:color="auto"/>
      </w:divBdr>
    </w:div>
    <w:div w:id="433285906">
      <w:bodyDiv w:val="1"/>
      <w:marLeft w:val="0"/>
      <w:marRight w:val="0"/>
      <w:marTop w:val="0"/>
      <w:marBottom w:val="0"/>
      <w:divBdr>
        <w:top w:val="none" w:sz="0" w:space="0" w:color="auto"/>
        <w:left w:val="none" w:sz="0" w:space="0" w:color="auto"/>
        <w:bottom w:val="none" w:sz="0" w:space="0" w:color="auto"/>
        <w:right w:val="none" w:sz="0" w:space="0" w:color="auto"/>
      </w:divBdr>
    </w:div>
    <w:div w:id="433401283">
      <w:bodyDiv w:val="1"/>
      <w:marLeft w:val="0"/>
      <w:marRight w:val="0"/>
      <w:marTop w:val="0"/>
      <w:marBottom w:val="0"/>
      <w:divBdr>
        <w:top w:val="none" w:sz="0" w:space="0" w:color="auto"/>
        <w:left w:val="none" w:sz="0" w:space="0" w:color="auto"/>
        <w:bottom w:val="none" w:sz="0" w:space="0" w:color="auto"/>
        <w:right w:val="none" w:sz="0" w:space="0" w:color="auto"/>
      </w:divBdr>
    </w:div>
    <w:div w:id="433550421">
      <w:bodyDiv w:val="1"/>
      <w:marLeft w:val="0"/>
      <w:marRight w:val="0"/>
      <w:marTop w:val="0"/>
      <w:marBottom w:val="0"/>
      <w:divBdr>
        <w:top w:val="none" w:sz="0" w:space="0" w:color="auto"/>
        <w:left w:val="none" w:sz="0" w:space="0" w:color="auto"/>
        <w:bottom w:val="none" w:sz="0" w:space="0" w:color="auto"/>
        <w:right w:val="none" w:sz="0" w:space="0" w:color="auto"/>
      </w:divBdr>
    </w:div>
    <w:div w:id="433864882">
      <w:bodyDiv w:val="1"/>
      <w:marLeft w:val="0"/>
      <w:marRight w:val="0"/>
      <w:marTop w:val="0"/>
      <w:marBottom w:val="0"/>
      <w:divBdr>
        <w:top w:val="none" w:sz="0" w:space="0" w:color="auto"/>
        <w:left w:val="none" w:sz="0" w:space="0" w:color="auto"/>
        <w:bottom w:val="none" w:sz="0" w:space="0" w:color="auto"/>
        <w:right w:val="none" w:sz="0" w:space="0" w:color="auto"/>
      </w:divBdr>
    </w:div>
    <w:div w:id="433868172">
      <w:bodyDiv w:val="1"/>
      <w:marLeft w:val="0"/>
      <w:marRight w:val="0"/>
      <w:marTop w:val="0"/>
      <w:marBottom w:val="0"/>
      <w:divBdr>
        <w:top w:val="none" w:sz="0" w:space="0" w:color="auto"/>
        <w:left w:val="none" w:sz="0" w:space="0" w:color="auto"/>
        <w:bottom w:val="none" w:sz="0" w:space="0" w:color="auto"/>
        <w:right w:val="none" w:sz="0" w:space="0" w:color="auto"/>
      </w:divBdr>
    </w:div>
    <w:div w:id="434054934">
      <w:bodyDiv w:val="1"/>
      <w:marLeft w:val="0"/>
      <w:marRight w:val="0"/>
      <w:marTop w:val="0"/>
      <w:marBottom w:val="0"/>
      <w:divBdr>
        <w:top w:val="none" w:sz="0" w:space="0" w:color="auto"/>
        <w:left w:val="none" w:sz="0" w:space="0" w:color="auto"/>
        <w:bottom w:val="none" w:sz="0" w:space="0" w:color="auto"/>
        <w:right w:val="none" w:sz="0" w:space="0" w:color="auto"/>
      </w:divBdr>
    </w:div>
    <w:div w:id="434136299">
      <w:bodyDiv w:val="1"/>
      <w:marLeft w:val="0"/>
      <w:marRight w:val="0"/>
      <w:marTop w:val="0"/>
      <w:marBottom w:val="0"/>
      <w:divBdr>
        <w:top w:val="none" w:sz="0" w:space="0" w:color="auto"/>
        <w:left w:val="none" w:sz="0" w:space="0" w:color="auto"/>
        <w:bottom w:val="none" w:sz="0" w:space="0" w:color="auto"/>
        <w:right w:val="none" w:sz="0" w:space="0" w:color="auto"/>
      </w:divBdr>
    </w:div>
    <w:div w:id="434324406">
      <w:bodyDiv w:val="1"/>
      <w:marLeft w:val="0"/>
      <w:marRight w:val="0"/>
      <w:marTop w:val="0"/>
      <w:marBottom w:val="0"/>
      <w:divBdr>
        <w:top w:val="none" w:sz="0" w:space="0" w:color="auto"/>
        <w:left w:val="none" w:sz="0" w:space="0" w:color="auto"/>
        <w:bottom w:val="none" w:sz="0" w:space="0" w:color="auto"/>
        <w:right w:val="none" w:sz="0" w:space="0" w:color="auto"/>
      </w:divBdr>
    </w:div>
    <w:div w:id="434400168">
      <w:bodyDiv w:val="1"/>
      <w:marLeft w:val="0"/>
      <w:marRight w:val="0"/>
      <w:marTop w:val="0"/>
      <w:marBottom w:val="0"/>
      <w:divBdr>
        <w:top w:val="none" w:sz="0" w:space="0" w:color="auto"/>
        <w:left w:val="none" w:sz="0" w:space="0" w:color="auto"/>
        <w:bottom w:val="none" w:sz="0" w:space="0" w:color="auto"/>
        <w:right w:val="none" w:sz="0" w:space="0" w:color="auto"/>
      </w:divBdr>
    </w:div>
    <w:div w:id="434523474">
      <w:bodyDiv w:val="1"/>
      <w:marLeft w:val="0"/>
      <w:marRight w:val="0"/>
      <w:marTop w:val="0"/>
      <w:marBottom w:val="0"/>
      <w:divBdr>
        <w:top w:val="none" w:sz="0" w:space="0" w:color="auto"/>
        <w:left w:val="none" w:sz="0" w:space="0" w:color="auto"/>
        <w:bottom w:val="none" w:sz="0" w:space="0" w:color="auto"/>
        <w:right w:val="none" w:sz="0" w:space="0" w:color="auto"/>
      </w:divBdr>
    </w:div>
    <w:div w:id="434591288">
      <w:bodyDiv w:val="1"/>
      <w:marLeft w:val="0"/>
      <w:marRight w:val="0"/>
      <w:marTop w:val="0"/>
      <w:marBottom w:val="0"/>
      <w:divBdr>
        <w:top w:val="none" w:sz="0" w:space="0" w:color="auto"/>
        <w:left w:val="none" w:sz="0" w:space="0" w:color="auto"/>
        <w:bottom w:val="none" w:sz="0" w:space="0" w:color="auto"/>
        <w:right w:val="none" w:sz="0" w:space="0" w:color="auto"/>
      </w:divBdr>
    </w:div>
    <w:div w:id="434592339">
      <w:bodyDiv w:val="1"/>
      <w:marLeft w:val="0"/>
      <w:marRight w:val="0"/>
      <w:marTop w:val="0"/>
      <w:marBottom w:val="0"/>
      <w:divBdr>
        <w:top w:val="none" w:sz="0" w:space="0" w:color="auto"/>
        <w:left w:val="none" w:sz="0" w:space="0" w:color="auto"/>
        <w:bottom w:val="none" w:sz="0" w:space="0" w:color="auto"/>
        <w:right w:val="none" w:sz="0" w:space="0" w:color="auto"/>
      </w:divBdr>
    </w:div>
    <w:div w:id="434599957">
      <w:bodyDiv w:val="1"/>
      <w:marLeft w:val="0"/>
      <w:marRight w:val="0"/>
      <w:marTop w:val="0"/>
      <w:marBottom w:val="0"/>
      <w:divBdr>
        <w:top w:val="none" w:sz="0" w:space="0" w:color="auto"/>
        <w:left w:val="none" w:sz="0" w:space="0" w:color="auto"/>
        <w:bottom w:val="none" w:sz="0" w:space="0" w:color="auto"/>
        <w:right w:val="none" w:sz="0" w:space="0" w:color="auto"/>
      </w:divBdr>
    </w:div>
    <w:div w:id="434600287">
      <w:bodyDiv w:val="1"/>
      <w:marLeft w:val="0"/>
      <w:marRight w:val="0"/>
      <w:marTop w:val="0"/>
      <w:marBottom w:val="0"/>
      <w:divBdr>
        <w:top w:val="none" w:sz="0" w:space="0" w:color="auto"/>
        <w:left w:val="none" w:sz="0" w:space="0" w:color="auto"/>
        <w:bottom w:val="none" w:sz="0" w:space="0" w:color="auto"/>
        <w:right w:val="none" w:sz="0" w:space="0" w:color="auto"/>
      </w:divBdr>
    </w:div>
    <w:div w:id="434637115">
      <w:bodyDiv w:val="1"/>
      <w:marLeft w:val="0"/>
      <w:marRight w:val="0"/>
      <w:marTop w:val="0"/>
      <w:marBottom w:val="0"/>
      <w:divBdr>
        <w:top w:val="none" w:sz="0" w:space="0" w:color="auto"/>
        <w:left w:val="none" w:sz="0" w:space="0" w:color="auto"/>
        <w:bottom w:val="none" w:sz="0" w:space="0" w:color="auto"/>
        <w:right w:val="none" w:sz="0" w:space="0" w:color="auto"/>
      </w:divBdr>
    </w:div>
    <w:div w:id="434836412">
      <w:bodyDiv w:val="1"/>
      <w:marLeft w:val="0"/>
      <w:marRight w:val="0"/>
      <w:marTop w:val="0"/>
      <w:marBottom w:val="0"/>
      <w:divBdr>
        <w:top w:val="none" w:sz="0" w:space="0" w:color="auto"/>
        <w:left w:val="none" w:sz="0" w:space="0" w:color="auto"/>
        <w:bottom w:val="none" w:sz="0" w:space="0" w:color="auto"/>
        <w:right w:val="none" w:sz="0" w:space="0" w:color="auto"/>
      </w:divBdr>
    </w:div>
    <w:div w:id="434861486">
      <w:bodyDiv w:val="1"/>
      <w:marLeft w:val="0"/>
      <w:marRight w:val="0"/>
      <w:marTop w:val="0"/>
      <w:marBottom w:val="0"/>
      <w:divBdr>
        <w:top w:val="none" w:sz="0" w:space="0" w:color="auto"/>
        <w:left w:val="none" w:sz="0" w:space="0" w:color="auto"/>
        <w:bottom w:val="none" w:sz="0" w:space="0" w:color="auto"/>
        <w:right w:val="none" w:sz="0" w:space="0" w:color="auto"/>
      </w:divBdr>
    </w:div>
    <w:div w:id="434983576">
      <w:bodyDiv w:val="1"/>
      <w:marLeft w:val="0"/>
      <w:marRight w:val="0"/>
      <w:marTop w:val="0"/>
      <w:marBottom w:val="0"/>
      <w:divBdr>
        <w:top w:val="none" w:sz="0" w:space="0" w:color="auto"/>
        <w:left w:val="none" w:sz="0" w:space="0" w:color="auto"/>
        <w:bottom w:val="none" w:sz="0" w:space="0" w:color="auto"/>
        <w:right w:val="none" w:sz="0" w:space="0" w:color="auto"/>
      </w:divBdr>
    </w:div>
    <w:div w:id="435058982">
      <w:bodyDiv w:val="1"/>
      <w:marLeft w:val="0"/>
      <w:marRight w:val="0"/>
      <w:marTop w:val="0"/>
      <w:marBottom w:val="0"/>
      <w:divBdr>
        <w:top w:val="none" w:sz="0" w:space="0" w:color="auto"/>
        <w:left w:val="none" w:sz="0" w:space="0" w:color="auto"/>
        <w:bottom w:val="none" w:sz="0" w:space="0" w:color="auto"/>
        <w:right w:val="none" w:sz="0" w:space="0" w:color="auto"/>
      </w:divBdr>
    </w:div>
    <w:div w:id="435059806">
      <w:bodyDiv w:val="1"/>
      <w:marLeft w:val="0"/>
      <w:marRight w:val="0"/>
      <w:marTop w:val="0"/>
      <w:marBottom w:val="0"/>
      <w:divBdr>
        <w:top w:val="none" w:sz="0" w:space="0" w:color="auto"/>
        <w:left w:val="none" w:sz="0" w:space="0" w:color="auto"/>
        <w:bottom w:val="none" w:sz="0" w:space="0" w:color="auto"/>
        <w:right w:val="none" w:sz="0" w:space="0" w:color="auto"/>
      </w:divBdr>
    </w:div>
    <w:div w:id="435104744">
      <w:bodyDiv w:val="1"/>
      <w:marLeft w:val="0"/>
      <w:marRight w:val="0"/>
      <w:marTop w:val="0"/>
      <w:marBottom w:val="0"/>
      <w:divBdr>
        <w:top w:val="none" w:sz="0" w:space="0" w:color="auto"/>
        <w:left w:val="none" w:sz="0" w:space="0" w:color="auto"/>
        <w:bottom w:val="none" w:sz="0" w:space="0" w:color="auto"/>
        <w:right w:val="none" w:sz="0" w:space="0" w:color="auto"/>
      </w:divBdr>
    </w:div>
    <w:div w:id="435255023">
      <w:bodyDiv w:val="1"/>
      <w:marLeft w:val="0"/>
      <w:marRight w:val="0"/>
      <w:marTop w:val="0"/>
      <w:marBottom w:val="0"/>
      <w:divBdr>
        <w:top w:val="none" w:sz="0" w:space="0" w:color="auto"/>
        <w:left w:val="none" w:sz="0" w:space="0" w:color="auto"/>
        <w:bottom w:val="none" w:sz="0" w:space="0" w:color="auto"/>
        <w:right w:val="none" w:sz="0" w:space="0" w:color="auto"/>
      </w:divBdr>
    </w:div>
    <w:div w:id="435256135">
      <w:bodyDiv w:val="1"/>
      <w:marLeft w:val="0"/>
      <w:marRight w:val="0"/>
      <w:marTop w:val="0"/>
      <w:marBottom w:val="0"/>
      <w:divBdr>
        <w:top w:val="none" w:sz="0" w:space="0" w:color="auto"/>
        <w:left w:val="none" w:sz="0" w:space="0" w:color="auto"/>
        <w:bottom w:val="none" w:sz="0" w:space="0" w:color="auto"/>
        <w:right w:val="none" w:sz="0" w:space="0" w:color="auto"/>
      </w:divBdr>
    </w:div>
    <w:div w:id="435290179">
      <w:bodyDiv w:val="1"/>
      <w:marLeft w:val="0"/>
      <w:marRight w:val="0"/>
      <w:marTop w:val="0"/>
      <w:marBottom w:val="0"/>
      <w:divBdr>
        <w:top w:val="none" w:sz="0" w:space="0" w:color="auto"/>
        <w:left w:val="none" w:sz="0" w:space="0" w:color="auto"/>
        <w:bottom w:val="none" w:sz="0" w:space="0" w:color="auto"/>
        <w:right w:val="none" w:sz="0" w:space="0" w:color="auto"/>
      </w:divBdr>
    </w:div>
    <w:div w:id="435294117">
      <w:bodyDiv w:val="1"/>
      <w:marLeft w:val="0"/>
      <w:marRight w:val="0"/>
      <w:marTop w:val="0"/>
      <w:marBottom w:val="0"/>
      <w:divBdr>
        <w:top w:val="none" w:sz="0" w:space="0" w:color="auto"/>
        <w:left w:val="none" w:sz="0" w:space="0" w:color="auto"/>
        <w:bottom w:val="none" w:sz="0" w:space="0" w:color="auto"/>
        <w:right w:val="none" w:sz="0" w:space="0" w:color="auto"/>
      </w:divBdr>
    </w:div>
    <w:div w:id="435298114">
      <w:bodyDiv w:val="1"/>
      <w:marLeft w:val="0"/>
      <w:marRight w:val="0"/>
      <w:marTop w:val="0"/>
      <w:marBottom w:val="0"/>
      <w:divBdr>
        <w:top w:val="none" w:sz="0" w:space="0" w:color="auto"/>
        <w:left w:val="none" w:sz="0" w:space="0" w:color="auto"/>
        <w:bottom w:val="none" w:sz="0" w:space="0" w:color="auto"/>
        <w:right w:val="none" w:sz="0" w:space="0" w:color="auto"/>
      </w:divBdr>
    </w:div>
    <w:div w:id="435322445">
      <w:bodyDiv w:val="1"/>
      <w:marLeft w:val="0"/>
      <w:marRight w:val="0"/>
      <w:marTop w:val="0"/>
      <w:marBottom w:val="0"/>
      <w:divBdr>
        <w:top w:val="none" w:sz="0" w:space="0" w:color="auto"/>
        <w:left w:val="none" w:sz="0" w:space="0" w:color="auto"/>
        <w:bottom w:val="none" w:sz="0" w:space="0" w:color="auto"/>
        <w:right w:val="none" w:sz="0" w:space="0" w:color="auto"/>
      </w:divBdr>
    </w:div>
    <w:div w:id="435364652">
      <w:bodyDiv w:val="1"/>
      <w:marLeft w:val="0"/>
      <w:marRight w:val="0"/>
      <w:marTop w:val="0"/>
      <w:marBottom w:val="0"/>
      <w:divBdr>
        <w:top w:val="none" w:sz="0" w:space="0" w:color="auto"/>
        <w:left w:val="none" w:sz="0" w:space="0" w:color="auto"/>
        <w:bottom w:val="none" w:sz="0" w:space="0" w:color="auto"/>
        <w:right w:val="none" w:sz="0" w:space="0" w:color="auto"/>
      </w:divBdr>
    </w:div>
    <w:div w:id="435441205">
      <w:bodyDiv w:val="1"/>
      <w:marLeft w:val="0"/>
      <w:marRight w:val="0"/>
      <w:marTop w:val="0"/>
      <w:marBottom w:val="0"/>
      <w:divBdr>
        <w:top w:val="none" w:sz="0" w:space="0" w:color="auto"/>
        <w:left w:val="none" w:sz="0" w:space="0" w:color="auto"/>
        <w:bottom w:val="none" w:sz="0" w:space="0" w:color="auto"/>
        <w:right w:val="none" w:sz="0" w:space="0" w:color="auto"/>
      </w:divBdr>
    </w:div>
    <w:div w:id="435489976">
      <w:bodyDiv w:val="1"/>
      <w:marLeft w:val="0"/>
      <w:marRight w:val="0"/>
      <w:marTop w:val="0"/>
      <w:marBottom w:val="0"/>
      <w:divBdr>
        <w:top w:val="none" w:sz="0" w:space="0" w:color="auto"/>
        <w:left w:val="none" w:sz="0" w:space="0" w:color="auto"/>
        <w:bottom w:val="none" w:sz="0" w:space="0" w:color="auto"/>
        <w:right w:val="none" w:sz="0" w:space="0" w:color="auto"/>
      </w:divBdr>
    </w:div>
    <w:div w:id="435560100">
      <w:bodyDiv w:val="1"/>
      <w:marLeft w:val="0"/>
      <w:marRight w:val="0"/>
      <w:marTop w:val="0"/>
      <w:marBottom w:val="0"/>
      <w:divBdr>
        <w:top w:val="none" w:sz="0" w:space="0" w:color="auto"/>
        <w:left w:val="none" w:sz="0" w:space="0" w:color="auto"/>
        <w:bottom w:val="none" w:sz="0" w:space="0" w:color="auto"/>
        <w:right w:val="none" w:sz="0" w:space="0" w:color="auto"/>
      </w:divBdr>
    </w:div>
    <w:div w:id="435830467">
      <w:bodyDiv w:val="1"/>
      <w:marLeft w:val="0"/>
      <w:marRight w:val="0"/>
      <w:marTop w:val="0"/>
      <w:marBottom w:val="0"/>
      <w:divBdr>
        <w:top w:val="none" w:sz="0" w:space="0" w:color="auto"/>
        <w:left w:val="none" w:sz="0" w:space="0" w:color="auto"/>
        <w:bottom w:val="none" w:sz="0" w:space="0" w:color="auto"/>
        <w:right w:val="none" w:sz="0" w:space="0" w:color="auto"/>
      </w:divBdr>
    </w:div>
    <w:div w:id="435835360">
      <w:bodyDiv w:val="1"/>
      <w:marLeft w:val="0"/>
      <w:marRight w:val="0"/>
      <w:marTop w:val="0"/>
      <w:marBottom w:val="0"/>
      <w:divBdr>
        <w:top w:val="none" w:sz="0" w:space="0" w:color="auto"/>
        <w:left w:val="none" w:sz="0" w:space="0" w:color="auto"/>
        <w:bottom w:val="none" w:sz="0" w:space="0" w:color="auto"/>
        <w:right w:val="none" w:sz="0" w:space="0" w:color="auto"/>
      </w:divBdr>
    </w:div>
    <w:div w:id="435907419">
      <w:bodyDiv w:val="1"/>
      <w:marLeft w:val="0"/>
      <w:marRight w:val="0"/>
      <w:marTop w:val="0"/>
      <w:marBottom w:val="0"/>
      <w:divBdr>
        <w:top w:val="none" w:sz="0" w:space="0" w:color="auto"/>
        <w:left w:val="none" w:sz="0" w:space="0" w:color="auto"/>
        <w:bottom w:val="none" w:sz="0" w:space="0" w:color="auto"/>
        <w:right w:val="none" w:sz="0" w:space="0" w:color="auto"/>
      </w:divBdr>
    </w:div>
    <w:div w:id="435977187">
      <w:bodyDiv w:val="1"/>
      <w:marLeft w:val="0"/>
      <w:marRight w:val="0"/>
      <w:marTop w:val="0"/>
      <w:marBottom w:val="0"/>
      <w:divBdr>
        <w:top w:val="none" w:sz="0" w:space="0" w:color="auto"/>
        <w:left w:val="none" w:sz="0" w:space="0" w:color="auto"/>
        <w:bottom w:val="none" w:sz="0" w:space="0" w:color="auto"/>
        <w:right w:val="none" w:sz="0" w:space="0" w:color="auto"/>
      </w:divBdr>
    </w:div>
    <w:div w:id="436173048">
      <w:bodyDiv w:val="1"/>
      <w:marLeft w:val="0"/>
      <w:marRight w:val="0"/>
      <w:marTop w:val="0"/>
      <w:marBottom w:val="0"/>
      <w:divBdr>
        <w:top w:val="none" w:sz="0" w:space="0" w:color="auto"/>
        <w:left w:val="none" w:sz="0" w:space="0" w:color="auto"/>
        <w:bottom w:val="none" w:sz="0" w:space="0" w:color="auto"/>
        <w:right w:val="none" w:sz="0" w:space="0" w:color="auto"/>
      </w:divBdr>
    </w:div>
    <w:div w:id="436216854">
      <w:bodyDiv w:val="1"/>
      <w:marLeft w:val="0"/>
      <w:marRight w:val="0"/>
      <w:marTop w:val="0"/>
      <w:marBottom w:val="0"/>
      <w:divBdr>
        <w:top w:val="none" w:sz="0" w:space="0" w:color="auto"/>
        <w:left w:val="none" w:sz="0" w:space="0" w:color="auto"/>
        <w:bottom w:val="none" w:sz="0" w:space="0" w:color="auto"/>
        <w:right w:val="none" w:sz="0" w:space="0" w:color="auto"/>
      </w:divBdr>
    </w:div>
    <w:div w:id="436218212">
      <w:bodyDiv w:val="1"/>
      <w:marLeft w:val="0"/>
      <w:marRight w:val="0"/>
      <w:marTop w:val="0"/>
      <w:marBottom w:val="0"/>
      <w:divBdr>
        <w:top w:val="none" w:sz="0" w:space="0" w:color="auto"/>
        <w:left w:val="none" w:sz="0" w:space="0" w:color="auto"/>
        <w:bottom w:val="none" w:sz="0" w:space="0" w:color="auto"/>
        <w:right w:val="none" w:sz="0" w:space="0" w:color="auto"/>
      </w:divBdr>
    </w:div>
    <w:div w:id="436366620">
      <w:bodyDiv w:val="1"/>
      <w:marLeft w:val="0"/>
      <w:marRight w:val="0"/>
      <w:marTop w:val="0"/>
      <w:marBottom w:val="0"/>
      <w:divBdr>
        <w:top w:val="none" w:sz="0" w:space="0" w:color="auto"/>
        <w:left w:val="none" w:sz="0" w:space="0" w:color="auto"/>
        <w:bottom w:val="none" w:sz="0" w:space="0" w:color="auto"/>
        <w:right w:val="none" w:sz="0" w:space="0" w:color="auto"/>
      </w:divBdr>
    </w:div>
    <w:div w:id="436409183">
      <w:bodyDiv w:val="1"/>
      <w:marLeft w:val="0"/>
      <w:marRight w:val="0"/>
      <w:marTop w:val="0"/>
      <w:marBottom w:val="0"/>
      <w:divBdr>
        <w:top w:val="none" w:sz="0" w:space="0" w:color="auto"/>
        <w:left w:val="none" w:sz="0" w:space="0" w:color="auto"/>
        <w:bottom w:val="none" w:sz="0" w:space="0" w:color="auto"/>
        <w:right w:val="none" w:sz="0" w:space="0" w:color="auto"/>
      </w:divBdr>
    </w:div>
    <w:div w:id="436481942">
      <w:bodyDiv w:val="1"/>
      <w:marLeft w:val="0"/>
      <w:marRight w:val="0"/>
      <w:marTop w:val="0"/>
      <w:marBottom w:val="0"/>
      <w:divBdr>
        <w:top w:val="none" w:sz="0" w:space="0" w:color="auto"/>
        <w:left w:val="none" w:sz="0" w:space="0" w:color="auto"/>
        <w:bottom w:val="none" w:sz="0" w:space="0" w:color="auto"/>
        <w:right w:val="none" w:sz="0" w:space="0" w:color="auto"/>
      </w:divBdr>
    </w:div>
    <w:div w:id="436566075">
      <w:bodyDiv w:val="1"/>
      <w:marLeft w:val="0"/>
      <w:marRight w:val="0"/>
      <w:marTop w:val="0"/>
      <w:marBottom w:val="0"/>
      <w:divBdr>
        <w:top w:val="none" w:sz="0" w:space="0" w:color="auto"/>
        <w:left w:val="none" w:sz="0" w:space="0" w:color="auto"/>
        <w:bottom w:val="none" w:sz="0" w:space="0" w:color="auto"/>
        <w:right w:val="none" w:sz="0" w:space="0" w:color="auto"/>
      </w:divBdr>
    </w:div>
    <w:div w:id="436676379">
      <w:bodyDiv w:val="1"/>
      <w:marLeft w:val="0"/>
      <w:marRight w:val="0"/>
      <w:marTop w:val="0"/>
      <w:marBottom w:val="0"/>
      <w:divBdr>
        <w:top w:val="none" w:sz="0" w:space="0" w:color="auto"/>
        <w:left w:val="none" w:sz="0" w:space="0" w:color="auto"/>
        <w:bottom w:val="none" w:sz="0" w:space="0" w:color="auto"/>
        <w:right w:val="none" w:sz="0" w:space="0" w:color="auto"/>
      </w:divBdr>
    </w:div>
    <w:div w:id="436677310">
      <w:bodyDiv w:val="1"/>
      <w:marLeft w:val="0"/>
      <w:marRight w:val="0"/>
      <w:marTop w:val="0"/>
      <w:marBottom w:val="0"/>
      <w:divBdr>
        <w:top w:val="none" w:sz="0" w:space="0" w:color="auto"/>
        <w:left w:val="none" w:sz="0" w:space="0" w:color="auto"/>
        <w:bottom w:val="none" w:sz="0" w:space="0" w:color="auto"/>
        <w:right w:val="none" w:sz="0" w:space="0" w:color="auto"/>
      </w:divBdr>
    </w:div>
    <w:div w:id="436754616">
      <w:bodyDiv w:val="1"/>
      <w:marLeft w:val="0"/>
      <w:marRight w:val="0"/>
      <w:marTop w:val="0"/>
      <w:marBottom w:val="0"/>
      <w:divBdr>
        <w:top w:val="none" w:sz="0" w:space="0" w:color="auto"/>
        <w:left w:val="none" w:sz="0" w:space="0" w:color="auto"/>
        <w:bottom w:val="none" w:sz="0" w:space="0" w:color="auto"/>
        <w:right w:val="none" w:sz="0" w:space="0" w:color="auto"/>
      </w:divBdr>
    </w:div>
    <w:div w:id="436758532">
      <w:bodyDiv w:val="1"/>
      <w:marLeft w:val="0"/>
      <w:marRight w:val="0"/>
      <w:marTop w:val="0"/>
      <w:marBottom w:val="0"/>
      <w:divBdr>
        <w:top w:val="none" w:sz="0" w:space="0" w:color="auto"/>
        <w:left w:val="none" w:sz="0" w:space="0" w:color="auto"/>
        <w:bottom w:val="none" w:sz="0" w:space="0" w:color="auto"/>
        <w:right w:val="none" w:sz="0" w:space="0" w:color="auto"/>
      </w:divBdr>
    </w:div>
    <w:div w:id="436798003">
      <w:bodyDiv w:val="1"/>
      <w:marLeft w:val="0"/>
      <w:marRight w:val="0"/>
      <w:marTop w:val="0"/>
      <w:marBottom w:val="0"/>
      <w:divBdr>
        <w:top w:val="none" w:sz="0" w:space="0" w:color="auto"/>
        <w:left w:val="none" w:sz="0" w:space="0" w:color="auto"/>
        <w:bottom w:val="none" w:sz="0" w:space="0" w:color="auto"/>
        <w:right w:val="none" w:sz="0" w:space="0" w:color="auto"/>
      </w:divBdr>
    </w:div>
    <w:div w:id="436876694">
      <w:bodyDiv w:val="1"/>
      <w:marLeft w:val="0"/>
      <w:marRight w:val="0"/>
      <w:marTop w:val="0"/>
      <w:marBottom w:val="0"/>
      <w:divBdr>
        <w:top w:val="none" w:sz="0" w:space="0" w:color="auto"/>
        <w:left w:val="none" w:sz="0" w:space="0" w:color="auto"/>
        <w:bottom w:val="none" w:sz="0" w:space="0" w:color="auto"/>
        <w:right w:val="none" w:sz="0" w:space="0" w:color="auto"/>
      </w:divBdr>
    </w:div>
    <w:div w:id="437141370">
      <w:bodyDiv w:val="1"/>
      <w:marLeft w:val="0"/>
      <w:marRight w:val="0"/>
      <w:marTop w:val="0"/>
      <w:marBottom w:val="0"/>
      <w:divBdr>
        <w:top w:val="none" w:sz="0" w:space="0" w:color="auto"/>
        <w:left w:val="none" w:sz="0" w:space="0" w:color="auto"/>
        <w:bottom w:val="none" w:sz="0" w:space="0" w:color="auto"/>
        <w:right w:val="none" w:sz="0" w:space="0" w:color="auto"/>
      </w:divBdr>
    </w:div>
    <w:div w:id="437262962">
      <w:bodyDiv w:val="1"/>
      <w:marLeft w:val="0"/>
      <w:marRight w:val="0"/>
      <w:marTop w:val="0"/>
      <w:marBottom w:val="0"/>
      <w:divBdr>
        <w:top w:val="none" w:sz="0" w:space="0" w:color="auto"/>
        <w:left w:val="none" w:sz="0" w:space="0" w:color="auto"/>
        <w:bottom w:val="none" w:sz="0" w:space="0" w:color="auto"/>
        <w:right w:val="none" w:sz="0" w:space="0" w:color="auto"/>
      </w:divBdr>
    </w:div>
    <w:div w:id="437331901">
      <w:bodyDiv w:val="1"/>
      <w:marLeft w:val="0"/>
      <w:marRight w:val="0"/>
      <w:marTop w:val="0"/>
      <w:marBottom w:val="0"/>
      <w:divBdr>
        <w:top w:val="none" w:sz="0" w:space="0" w:color="auto"/>
        <w:left w:val="none" w:sz="0" w:space="0" w:color="auto"/>
        <w:bottom w:val="none" w:sz="0" w:space="0" w:color="auto"/>
        <w:right w:val="none" w:sz="0" w:space="0" w:color="auto"/>
      </w:divBdr>
    </w:div>
    <w:div w:id="437338251">
      <w:bodyDiv w:val="1"/>
      <w:marLeft w:val="0"/>
      <w:marRight w:val="0"/>
      <w:marTop w:val="0"/>
      <w:marBottom w:val="0"/>
      <w:divBdr>
        <w:top w:val="none" w:sz="0" w:space="0" w:color="auto"/>
        <w:left w:val="none" w:sz="0" w:space="0" w:color="auto"/>
        <w:bottom w:val="none" w:sz="0" w:space="0" w:color="auto"/>
        <w:right w:val="none" w:sz="0" w:space="0" w:color="auto"/>
      </w:divBdr>
    </w:div>
    <w:div w:id="437339657">
      <w:bodyDiv w:val="1"/>
      <w:marLeft w:val="0"/>
      <w:marRight w:val="0"/>
      <w:marTop w:val="0"/>
      <w:marBottom w:val="0"/>
      <w:divBdr>
        <w:top w:val="none" w:sz="0" w:space="0" w:color="auto"/>
        <w:left w:val="none" w:sz="0" w:space="0" w:color="auto"/>
        <w:bottom w:val="none" w:sz="0" w:space="0" w:color="auto"/>
        <w:right w:val="none" w:sz="0" w:space="0" w:color="auto"/>
      </w:divBdr>
    </w:div>
    <w:div w:id="437526497">
      <w:bodyDiv w:val="1"/>
      <w:marLeft w:val="0"/>
      <w:marRight w:val="0"/>
      <w:marTop w:val="0"/>
      <w:marBottom w:val="0"/>
      <w:divBdr>
        <w:top w:val="none" w:sz="0" w:space="0" w:color="auto"/>
        <w:left w:val="none" w:sz="0" w:space="0" w:color="auto"/>
        <w:bottom w:val="none" w:sz="0" w:space="0" w:color="auto"/>
        <w:right w:val="none" w:sz="0" w:space="0" w:color="auto"/>
      </w:divBdr>
    </w:div>
    <w:div w:id="437528555">
      <w:bodyDiv w:val="1"/>
      <w:marLeft w:val="0"/>
      <w:marRight w:val="0"/>
      <w:marTop w:val="0"/>
      <w:marBottom w:val="0"/>
      <w:divBdr>
        <w:top w:val="none" w:sz="0" w:space="0" w:color="auto"/>
        <w:left w:val="none" w:sz="0" w:space="0" w:color="auto"/>
        <w:bottom w:val="none" w:sz="0" w:space="0" w:color="auto"/>
        <w:right w:val="none" w:sz="0" w:space="0" w:color="auto"/>
      </w:divBdr>
    </w:div>
    <w:div w:id="437529612">
      <w:bodyDiv w:val="1"/>
      <w:marLeft w:val="0"/>
      <w:marRight w:val="0"/>
      <w:marTop w:val="0"/>
      <w:marBottom w:val="0"/>
      <w:divBdr>
        <w:top w:val="none" w:sz="0" w:space="0" w:color="auto"/>
        <w:left w:val="none" w:sz="0" w:space="0" w:color="auto"/>
        <w:bottom w:val="none" w:sz="0" w:space="0" w:color="auto"/>
        <w:right w:val="none" w:sz="0" w:space="0" w:color="auto"/>
      </w:divBdr>
    </w:div>
    <w:div w:id="437602018">
      <w:bodyDiv w:val="1"/>
      <w:marLeft w:val="0"/>
      <w:marRight w:val="0"/>
      <w:marTop w:val="0"/>
      <w:marBottom w:val="0"/>
      <w:divBdr>
        <w:top w:val="none" w:sz="0" w:space="0" w:color="auto"/>
        <w:left w:val="none" w:sz="0" w:space="0" w:color="auto"/>
        <w:bottom w:val="none" w:sz="0" w:space="0" w:color="auto"/>
        <w:right w:val="none" w:sz="0" w:space="0" w:color="auto"/>
      </w:divBdr>
    </w:div>
    <w:div w:id="437606629">
      <w:bodyDiv w:val="1"/>
      <w:marLeft w:val="0"/>
      <w:marRight w:val="0"/>
      <w:marTop w:val="0"/>
      <w:marBottom w:val="0"/>
      <w:divBdr>
        <w:top w:val="none" w:sz="0" w:space="0" w:color="auto"/>
        <w:left w:val="none" w:sz="0" w:space="0" w:color="auto"/>
        <w:bottom w:val="none" w:sz="0" w:space="0" w:color="auto"/>
        <w:right w:val="none" w:sz="0" w:space="0" w:color="auto"/>
      </w:divBdr>
    </w:div>
    <w:div w:id="437676054">
      <w:bodyDiv w:val="1"/>
      <w:marLeft w:val="0"/>
      <w:marRight w:val="0"/>
      <w:marTop w:val="0"/>
      <w:marBottom w:val="0"/>
      <w:divBdr>
        <w:top w:val="none" w:sz="0" w:space="0" w:color="auto"/>
        <w:left w:val="none" w:sz="0" w:space="0" w:color="auto"/>
        <w:bottom w:val="none" w:sz="0" w:space="0" w:color="auto"/>
        <w:right w:val="none" w:sz="0" w:space="0" w:color="auto"/>
      </w:divBdr>
    </w:div>
    <w:div w:id="437717244">
      <w:bodyDiv w:val="1"/>
      <w:marLeft w:val="0"/>
      <w:marRight w:val="0"/>
      <w:marTop w:val="0"/>
      <w:marBottom w:val="0"/>
      <w:divBdr>
        <w:top w:val="none" w:sz="0" w:space="0" w:color="auto"/>
        <w:left w:val="none" w:sz="0" w:space="0" w:color="auto"/>
        <w:bottom w:val="none" w:sz="0" w:space="0" w:color="auto"/>
        <w:right w:val="none" w:sz="0" w:space="0" w:color="auto"/>
      </w:divBdr>
    </w:div>
    <w:div w:id="437717789">
      <w:bodyDiv w:val="1"/>
      <w:marLeft w:val="0"/>
      <w:marRight w:val="0"/>
      <w:marTop w:val="0"/>
      <w:marBottom w:val="0"/>
      <w:divBdr>
        <w:top w:val="none" w:sz="0" w:space="0" w:color="auto"/>
        <w:left w:val="none" w:sz="0" w:space="0" w:color="auto"/>
        <w:bottom w:val="none" w:sz="0" w:space="0" w:color="auto"/>
        <w:right w:val="none" w:sz="0" w:space="0" w:color="auto"/>
      </w:divBdr>
    </w:div>
    <w:div w:id="437793317">
      <w:bodyDiv w:val="1"/>
      <w:marLeft w:val="0"/>
      <w:marRight w:val="0"/>
      <w:marTop w:val="0"/>
      <w:marBottom w:val="0"/>
      <w:divBdr>
        <w:top w:val="none" w:sz="0" w:space="0" w:color="auto"/>
        <w:left w:val="none" w:sz="0" w:space="0" w:color="auto"/>
        <w:bottom w:val="none" w:sz="0" w:space="0" w:color="auto"/>
        <w:right w:val="none" w:sz="0" w:space="0" w:color="auto"/>
      </w:divBdr>
    </w:div>
    <w:div w:id="437799939">
      <w:bodyDiv w:val="1"/>
      <w:marLeft w:val="0"/>
      <w:marRight w:val="0"/>
      <w:marTop w:val="0"/>
      <w:marBottom w:val="0"/>
      <w:divBdr>
        <w:top w:val="none" w:sz="0" w:space="0" w:color="auto"/>
        <w:left w:val="none" w:sz="0" w:space="0" w:color="auto"/>
        <w:bottom w:val="none" w:sz="0" w:space="0" w:color="auto"/>
        <w:right w:val="none" w:sz="0" w:space="0" w:color="auto"/>
      </w:divBdr>
    </w:div>
    <w:div w:id="437868465">
      <w:bodyDiv w:val="1"/>
      <w:marLeft w:val="0"/>
      <w:marRight w:val="0"/>
      <w:marTop w:val="0"/>
      <w:marBottom w:val="0"/>
      <w:divBdr>
        <w:top w:val="none" w:sz="0" w:space="0" w:color="auto"/>
        <w:left w:val="none" w:sz="0" w:space="0" w:color="auto"/>
        <w:bottom w:val="none" w:sz="0" w:space="0" w:color="auto"/>
        <w:right w:val="none" w:sz="0" w:space="0" w:color="auto"/>
      </w:divBdr>
    </w:div>
    <w:div w:id="437874603">
      <w:bodyDiv w:val="1"/>
      <w:marLeft w:val="0"/>
      <w:marRight w:val="0"/>
      <w:marTop w:val="0"/>
      <w:marBottom w:val="0"/>
      <w:divBdr>
        <w:top w:val="none" w:sz="0" w:space="0" w:color="auto"/>
        <w:left w:val="none" w:sz="0" w:space="0" w:color="auto"/>
        <w:bottom w:val="none" w:sz="0" w:space="0" w:color="auto"/>
        <w:right w:val="none" w:sz="0" w:space="0" w:color="auto"/>
      </w:divBdr>
    </w:div>
    <w:div w:id="438255593">
      <w:bodyDiv w:val="1"/>
      <w:marLeft w:val="0"/>
      <w:marRight w:val="0"/>
      <w:marTop w:val="0"/>
      <w:marBottom w:val="0"/>
      <w:divBdr>
        <w:top w:val="none" w:sz="0" w:space="0" w:color="auto"/>
        <w:left w:val="none" w:sz="0" w:space="0" w:color="auto"/>
        <w:bottom w:val="none" w:sz="0" w:space="0" w:color="auto"/>
        <w:right w:val="none" w:sz="0" w:space="0" w:color="auto"/>
      </w:divBdr>
    </w:div>
    <w:div w:id="438263867">
      <w:bodyDiv w:val="1"/>
      <w:marLeft w:val="0"/>
      <w:marRight w:val="0"/>
      <w:marTop w:val="0"/>
      <w:marBottom w:val="0"/>
      <w:divBdr>
        <w:top w:val="none" w:sz="0" w:space="0" w:color="auto"/>
        <w:left w:val="none" w:sz="0" w:space="0" w:color="auto"/>
        <w:bottom w:val="none" w:sz="0" w:space="0" w:color="auto"/>
        <w:right w:val="none" w:sz="0" w:space="0" w:color="auto"/>
      </w:divBdr>
    </w:div>
    <w:div w:id="438453231">
      <w:bodyDiv w:val="1"/>
      <w:marLeft w:val="0"/>
      <w:marRight w:val="0"/>
      <w:marTop w:val="0"/>
      <w:marBottom w:val="0"/>
      <w:divBdr>
        <w:top w:val="none" w:sz="0" w:space="0" w:color="auto"/>
        <w:left w:val="none" w:sz="0" w:space="0" w:color="auto"/>
        <w:bottom w:val="none" w:sz="0" w:space="0" w:color="auto"/>
        <w:right w:val="none" w:sz="0" w:space="0" w:color="auto"/>
      </w:divBdr>
    </w:div>
    <w:div w:id="438643510">
      <w:bodyDiv w:val="1"/>
      <w:marLeft w:val="0"/>
      <w:marRight w:val="0"/>
      <w:marTop w:val="0"/>
      <w:marBottom w:val="0"/>
      <w:divBdr>
        <w:top w:val="none" w:sz="0" w:space="0" w:color="auto"/>
        <w:left w:val="none" w:sz="0" w:space="0" w:color="auto"/>
        <w:bottom w:val="none" w:sz="0" w:space="0" w:color="auto"/>
        <w:right w:val="none" w:sz="0" w:space="0" w:color="auto"/>
      </w:divBdr>
    </w:div>
    <w:div w:id="438724276">
      <w:bodyDiv w:val="1"/>
      <w:marLeft w:val="0"/>
      <w:marRight w:val="0"/>
      <w:marTop w:val="0"/>
      <w:marBottom w:val="0"/>
      <w:divBdr>
        <w:top w:val="none" w:sz="0" w:space="0" w:color="auto"/>
        <w:left w:val="none" w:sz="0" w:space="0" w:color="auto"/>
        <w:bottom w:val="none" w:sz="0" w:space="0" w:color="auto"/>
        <w:right w:val="none" w:sz="0" w:space="0" w:color="auto"/>
      </w:divBdr>
    </w:div>
    <w:div w:id="438910319">
      <w:bodyDiv w:val="1"/>
      <w:marLeft w:val="0"/>
      <w:marRight w:val="0"/>
      <w:marTop w:val="0"/>
      <w:marBottom w:val="0"/>
      <w:divBdr>
        <w:top w:val="none" w:sz="0" w:space="0" w:color="auto"/>
        <w:left w:val="none" w:sz="0" w:space="0" w:color="auto"/>
        <w:bottom w:val="none" w:sz="0" w:space="0" w:color="auto"/>
        <w:right w:val="none" w:sz="0" w:space="0" w:color="auto"/>
      </w:divBdr>
    </w:div>
    <w:div w:id="438918186">
      <w:bodyDiv w:val="1"/>
      <w:marLeft w:val="0"/>
      <w:marRight w:val="0"/>
      <w:marTop w:val="0"/>
      <w:marBottom w:val="0"/>
      <w:divBdr>
        <w:top w:val="none" w:sz="0" w:space="0" w:color="auto"/>
        <w:left w:val="none" w:sz="0" w:space="0" w:color="auto"/>
        <w:bottom w:val="none" w:sz="0" w:space="0" w:color="auto"/>
        <w:right w:val="none" w:sz="0" w:space="0" w:color="auto"/>
      </w:divBdr>
    </w:div>
    <w:div w:id="438961687">
      <w:bodyDiv w:val="1"/>
      <w:marLeft w:val="0"/>
      <w:marRight w:val="0"/>
      <w:marTop w:val="0"/>
      <w:marBottom w:val="0"/>
      <w:divBdr>
        <w:top w:val="none" w:sz="0" w:space="0" w:color="auto"/>
        <w:left w:val="none" w:sz="0" w:space="0" w:color="auto"/>
        <w:bottom w:val="none" w:sz="0" w:space="0" w:color="auto"/>
        <w:right w:val="none" w:sz="0" w:space="0" w:color="auto"/>
      </w:divBdr>
    </w:div>
    <w:div w:id="438984869">
      <w:bodyDiv w:val="1"/>
      <w:marLeft w:val="0"/>
      <w:marRight w:val="0"/>
      <w:marTop w:val="0"/>
      <w:marBottom w:val="0"/>
      <w:divBdr>
        <w:top w:val="none" w:sz="0" w:space="0" w:color="auto"/>
        <w:left w:val="none" w:sz="0" w:space="0" w:color="auto"/>
        <w:bottom w:val="none" w:sz="0" w:space="0" w:color="auto"/>
        <w:right w:val="none" w:sz="0" w:space="0" w:color="auto"/>
      </w:divBdr>
    </w:div>
    <w:div w:id="438986915">
      <w:bodyDiv w:val="1"/>
      <w:marLeft w:val="0"/>
      <w:marRight w:val="0"/>
      <w:marTop w:val="0"/>
      <w:marBottom w:val="0"/>
      <w:divBdr>
        <w:top w:val="none" w:sz="0" w:space="0" w:color="auto"/>
        <w:left w:val="none" w:sz="0" w:space="0" w:color="auto"/>
        <w:bottom w:val="none" w:sz="0" w:space="0" w:color="auto"/>
        <w:right w:val="none" w:sz="0" w:space="0" w:color="auto"/>
      </w:divBdr>
    </w:div>
    <w:div w:id="438990727">
      <w:bodyDiv w:val="1"/>
      <w:marLeft w:val="0"/>
      <w:marRight w:val="0"/>
      <w:marTop w:val="0"/>
      <w:marBottom w:val="0"/>
      <w:divBdr>
        <w:top w:val="none" w:sz="0" w:space="0" w:color="auto"/>
        <w:left w:val="none" w:sz="0" w:space="0" w:color="auto"/>
        <w:bottom w:val="none" w:sz="0" w:space="0" w:color="auto"/>
        <w:right w:val="none" w:sz="0" w:space="0" w:color="auto"/>
      </w:divBdr>
    </w:div>
    <w:div w:id="439105594">
      <w:bodyDiv w:val="1"/>
      <w:marLeft w:val="0"/>
      <w:marRight w:val="0"/>
      <w:marTop w:val="0"/>
      <w:marBottom w:val="0"/>
      <w:divBdr>
        <w:top w:val="none" w:sz="0" w:space="0" w:color="auto"/>
        <w:left w:val="none" w:sz="0" w:space="0" w:color="auto"/>
        <w:bottom w:val="none" w:sz="0" w:space="0" w:color="auto"/>
        <w:right w:val="none" w:sz="0" w:space="0" w:color="auto"/>
      </w:divBdr>
    </w:div>
    <w:div w:id="439182539">
      <w:bodyDiv w:val="1"/>
      <w:marLeft w:val="0"/>
      <w:marRight w:val="0"/>
      <w:marTop w:val="0"/>
      <w:marBottom w:val="0"/>
      <w:divBdr>
        <w:top w:val="none" w:sz="0" w:space="0" w:color="auto"/>
        <w:left w:val="none" w:sz="0" w:space="0" w:color="auto"/>
        <w:bottom w:val="none" w:sz="0" w:space="0" w:color="auto"/>
        <w:right w:val="none" w:sz="0" w:space="0" w:color="auto"/>
      </w:divBdr>
    </w:div>
    <w:div w:id="439374191">
      <w:bodyDiv w:val="1"/>
      <w:marLeft w:val="0"/>
      <w:marRight w:val="0"/>
      <w:marTop w:val="0"/>
      <w:marBottom w:val="0"/>
      <w:divBdr>
        <w:top w:val="none" w:sz="0" w:space="0" w:color="auto"/>
        <w:left w:val="none" w:sz="0" w:space="0" w:color="auto"/>
        <w:bottom w:val="none" w:sz="0" w:space="0" w:color="auto"/>
        <w:right w:val="none" w:sz="0" w:space="0" w:color="auto"/>
      </w:divBdr>
    </w:div>
    <w:div w:id="439378785">
      <w:bodyDiv w:val="1"/>
      <w:marLeft w:val="0"/>
      <w:marRight w:val="0"/>
      <w:marTop w:val="0"/>
      <w:marBottom w:val="0"/>
      <w:divBdr>
        <w:top w:val="none" w:sz="0" w:space="0" w:color="auto"/>
        <w:left w:val="none" w:sz="0" w:space="0" w:color="auto"/>
        <w:bottom w:val="none" w:sz="0" w:space="0" w:color="auto"/>
        <w:right w:val="none" w:sz="0" w:space="0" w:color="auto"/>
      </w:divBdr>
    </w:div>
    <w:div w:id="439423662">
      <w:bodyDiv w:val="1"/>
      <w:marLeft w:val="0"/>
      <w:marRight w:val="0"/>
      <w:marTop w:val="0"/>
      <w:marBottom w:val="0"/>
      <w:divBdr>
        <w:top w:val="none" w:sz="0" w:space="0" w:color="auto"/>
        <w:left w:val="none" w:sz="0" w:space="0" w:color="auto"/>
        <w:bottom w:val="none" w:sz="0" w:space="0" w:color="auto"/>
        <w:right w:val="none" w:sz="0" w:space="0" w:color="auto"/>
      </w:divBdr>
    </w:div>
    <w:div w:id="439495269">
      <w:bodyDiv w:val="1"/>
      <w:marLeft w:val="0"/>
      <w:marRight w:val="0"/>
      <w:marTop w:val="0"/>
      <w:marBottom w:val="0"/>
      <w:divBdr>
        <w:top w:val="none" w:sz="0" w:space="0" w:color="auto"/>
        <w:left w:val="none" w:sz="0" w:space="0" w:color="auto"/>
        <w:bottom w:val="none" w:sz="0" w:space="0" w:color="auto"/>
        <w:right w:val="none" w:sz="0" w:space="0" w:color="auto"/>
      </w:divBdr>
    </w:div>
    <w:div w:id="439497045">
      <w:bodyDiv w:val="1"/>
      <w:marLeft w:val="0"/>
      <w:marRight w:val="0"/>
      <w:marTop w:val="0"/>
      <w:marBottom w:val="0"/>
      <w:divBdr>
        <w:top w:val="none" w:sz="0" w:space="0" w:color="auto"/>
        <w:left w:val="none" w:sz="0" w:space="0" w:color="auto"/>
        <w:bottom w:val="none" w:sz="0" w:space="0" w:color="auto"/>
        <w:right w:val="none" w:sz="0" w:space="0" w:color="auto"/>
      </w:divBdr>
    </w:div>
    <w:div w:id="439564912">
      <w:bodyDiv w:val="1"/>
      <w:marLeft w:val="0"/>
      <w:marRight w:val="0"/>
      <w:marTop w:val="0"/>
      <w:marBottom w:val="0"/>
      <w:divBdr>
        <w:top w:val="none" w:sz="0" w:space="0" w:color="auto"/>
        <w:left w:val="none" w:sz="0" w:space="0" w:color="auto"/>
        <w:bottom w:val="none" w:sz="0" w:space="0" w:color="auto"/>
        <w:right w:val="none" w:sz="0" w:space="0" w:color="auto"/>
      </w:divBdr>
    </w:div>
    <w:div w:id="439642884">
      <w:bodyDiv w:val="1"/>
      <w:marLeft w:val="0"/>
      <w:marRight w:val="0"/>
      <w:marTop w:val="0"/>
      <w:marBottom w:val="0"/>
      <w:divBdr>
        <w:top w:val="none" w:sz="0" w:space="0" w:color="auto"/>
        <w:left w:val="none" w:sz="0" w:space="0" w:color="auto"/>
        <w:bottom w:val="none" w:sz="0" w:space="0" w:color="auto"/>
        <w:right w:val="none" w:sz="0" w:space="0" w:color="auto"/>
      </w:divBdr>
    </w:div>
    <w:div w:id="439647665">
      <w:bodyDiv w:val="1"/>
      <w:marLeft w:val="0"/>
      <w:marRight w:val="0"/>
      <w:marTop w:val="0"/>
      <w:marBottom w:val="0"/>
      <w:divBdr>
        <w:top w:val="none" w:sz="0" w:space="0" w:color="auto"/>
        <w:left w:val="none" w:sz="0" w:space="0" w:color="auto"/>
        <w:bottom w:val="none" w:sz="0" w:space="0" w:color="auto"/>
        <w:right w:val="none" w:sz="0" w:space="0" w:color="auto"/>
      </w:divBdr>
    </w:div>
    <w:div w:id="439686072">
      <w:bodyDiv w:val="1"/>
      <w:marLeft w:val="0"/>
      <w:marRight w:val="0"/>
      <w:marTop w:val="0"/>
      <w:marBottom w:val="0"/>
      <w:divBdr>
        <w:top w:val="none" w:sz="0" w:space="0" w:color="auto"/>
        <w:left w:val="none" w:sz="0" w:space="0" w:color="auto"/>
        <w:bottom w:val="none" w:sz="0" w:space="0" w:color="auto"/>
        <w:right w:val="none" w:sz="0" w:space="0" w:color="auto"/>
      </w:divBdr>
    </w:div>
    <w:div w:id="439762458">
      <w:bodyDiv w:val="1"/>
      <w:marLeft w:val="0"/>
      <w:marRight w:val="0"/>
      <w:marTop w:val="0"/>
      <w:marBottom w:val="0"/>
      <w:divBdr>
        <w:top w:val="none" w:sz="0" w:space="0" w:color="auto"/>
        <w:left w:val="none" w:sz="0" w:space="0" w:color="auto"/>
        <w:bottom w:val="none" w:sz="0" w:space="0" w:color="auto"/>
        <w:right w:val="none" w:sz="0" w:space="0" w:color="auto"/>
      </w:divBdr>
    </w:div>
    <w:div w:id="439842966">
      <w:bodyDiv w:val="1"/>
      <w:marLeft w:val="0"/>
      <w:marRight w:val="0"/>
      <w:marTop w:val="0"/>
      <w:marBottom w:val="0"/>
      <w:divBdr>
        <w:top w:val="none" w:sz="0" w:space="0" w:color="auto"/>
        <w:left w:val="none" w:sz="0" w:space="0" w:color="auto"/>
        <w:bottom w:val="none" w:sz="0" w:space="0" w:color="auto"/>
        <w:right w:val="none" w:sz="0" w:space="0" w:color="auto"/>
      </w:divBdr>
    </w:div>
    <w:div w:id="439880402">
      <w:bodyDiv w:val="1"/>
      <w:marLeft w:val="0"/>
      <w:marRight w:val="0"/>
      <w:marTop w:val="0"/>
      <w:marBottom w:val="0"/>
      <w:divBdr>
        <w:top w:val="none" w:sz="0" w:space="0" w:color="auto"/>
        <w:left w:val="none" w:sz="0" w:space="0" w:color="auto"/>
        <w:bottom w:val="none" w:sz="0" w:space="0" w:color="auto"/>
        <w:right w:val="none" w:sz="0" w:space="0" w:color="auto"/>
      </w:divBdr>
    </w:div>
    <w:div w:id="439959047">
      <w:bodyDiv w:val="1"/>
      <w:marLeft w:val="0"/>
      <w:marRight w:val="0"/>
      <w:marTop w:val="0"/>
      <w:marBottom w:val="0"/>
      <w:divBdr>
        <w:top w:val="none" w:sz="0" w:space="0" w:color="auto"/>
        <w:left w:val="none" w:sz="0" w:space="0" w:color="auto"/>
        <w:bottom w:val="none" w:sz="0" w:space="0" w:color="auto"/>
        <w:right w:val="none" w:sz="0" w:space="0" w:color="auto"/>
      </w:divBdr>
    </w:div>
    <w:div w:id="439960671">
      <w:bodyDiv w:val="1"/>
      <w:marLeft w:val="0"/>
      <w:marRight w:val="0"/>
      <w:marTop w:val="0"/>
      <w:marBottom w:val="0"/>
      <w:divBdr>
        <w:top w:val="none" w:sz="0" w:space="0" w:color="auto"/>
        <w:left w:val="none" w:sz="0" w:space="0" w:color="auto"/>
        <w:bottom w:val="none" w:sz="0" w:space="0" w:color="auto"/>
        <w:right w:val="none" w:sz="0" w:space="0" w:color="auto"/>
      </w:divBdr>
    </w:div>
    <w:div w:id="440032249">
      <w:bodyDiv w:val="1"/>
      <w:marLeft w:val="0"/>
      <w:marRight w:val="0"/>
      <w:marTop w:val="0"/>
      <w:marBottom w:val="0"/>
      <w:divBdr>
        <w:top w:val="none" w:sz="0" w:space="0" w:color="auto"/>
        <w:left w:val="none" w:sz="0" w:space="0" w:color="auto"/>
        <w:bottom w:val="none" w:sz="0" w:space="0" w:color="auto"/>
        <w:right w:val="none" w:sz="0" w:space="0" w:color="auto"/>
      </w:divBdr>
    </w:div>
    <w:div w:id="440034513">
      <w:bodyDiv w:val="1"/>
      <w:marLeft w:val="0"/>
      <w:marRight w:val="0"/>
      <w:marTop w:val="0"/>
      <w:marBottom w:val="0"/>
      <w:divBdr>
        <w:top w:val="none" w:sz="0" w:space="0" w:color="auto"/>
        <w:left w:val="none" w:sz="0" w:space="0" w:color="auto"/>
        <w:bottom w:val="none" w:sz="0" w:space="0" w:color="auto"/>
        <w:right w:val="none" w:sz="0" w:space="0" w:color="auto"/>
      </w:divBdr>
    </w:div>
    <w:div w:id="440149751">
      <w:bodyDiv w:val="1"/>
      <w:marLeft w:val="0"/>
      <w:marRight w:val="0"/>
      <w:marTop w:val="0"/>
      <w:marBottom w:val="0"/>
      <w:divBdr>
        <w:top w:val="none" w:sz="0" w:space="0" w:color="auto"/>
        <w:left w:val="none" w:sz="0" w:space="0" w:color="auto"/>
        <w:bottom w:val="none" w:sz="0" w:space="0" w:color="auto"/>
        <w:right w:val="none" w:sz="0" w:space="0" w:color="auto"/>
      </w:divBdr>
    </w:div>
    <w:div w:id="440150468">
      <w:bodyDiv w:val="1"/>
      <w:marLeft w:val="0"/>
      <w:marRight w:val="0"/>
      <w:marTop w:val="0"/>
      <w:marBottom w:val="0"/>
      <w:divBdr>
        <w:top w:val="none" w:sz="0" w:space="0" w:color="auto"/>
        <w:left w:val="none" w:sz="0" w:space="0" w:color="auto"/>
        <w:bottom w:val="none" w:sz="0" w:space="0" w:color="auto"/>
        <w:right w:val="none" w:sz="0" w:space="0" w:color="auto"/>
      </w:divBdr>
    </w:div>
    <w:div w:id="440271547">
      <w:bodyDiv w:val="1"/>
      <w:marLeft w:val="0"/>
      <w:marRight w:val="0"/>
      <w:marTop w:val="0"/>
      <w:marBottom w:val="0"/>
      <w:divBdr>
        <w:top w:val="none" w:sz="0" w:space="0" w:color="auto"/>
        <w:left w:val="none" w:sz="0" w:space="0" w:color="auto"/>
        <w:bottom w:val="none" w:sz="0" w:space="0" w:color="auto"/>
        <w:right w:val="none" w:sz="0" w:space="0" w:color="auto"/>
      </w:divBdr>
    </w:div>
    <w:div w:id="440534710">
      <w:bodyDiv w:val="1"/>
      <w:marLeft w:val="0"/>
      <w:marRight w:val="0"/>
      <w:marTop w:val="0"/>
      <w:marBottom w:val="0"/>
      <w:divBdr>
        <w:top w:val="none" w:sz="0" w:space="0" w:color="auto"/>
        <w:left w:val="none" w:sz="0" w:space="0" w:color="auto"/>
        <w:bottom w:val="none" w:sz="0" w:space="0" w:color="auto"/>
        <w:right w:val="none" w:sz="0" w:space="0" w:color="auto"/>
      </w:divBdr>
    </w:div>
    <w:div w:id="440607895">
      <w:bodyDiv w:val="1"/>
      <w:marLeft w:val="0"/>
      <w:marRight w:val="0"/>
      <w:marTop w:val="0"/>
      <w:marBottom w:val="0"/>
      <w:divBdr>
        <w:top w:val="none" w:sz="0" w:space="0" w:color="auto"/>
        <w:left w:val="none" w:sz="0" w:space="0" w:color="auto"/>
        <w:bottom w:val="none" w:sz="0" w:space="0" w:color="auto"/>
        <w:right w:val="none" w:sz="0" w:space="0" w:color="auto"/>
      </w:divBdr>
    </w:div>
    <w:div w:id="440683156">
      <w:bodyDiv w:val="1"/>
      <w:marLeft w:val="0"/>
      <w:marRight w:val="0"/>
      <w:marTop w:val="0"/>
      <w:marBottom w:val="0"/>
      <w:divBdr>
        <w:top w:val="none" w:sz="0" w:space="0" w:color="auto"/>
        <w:left w:val="none" w:sz="0" w:space="0" w:color="auto"/>
        <w:bottom w:val="none" w:sz="0" w:space="0" w:color="auto"/>
        <w:right w:val="none" w:sz="0" w:space="0" w:color="auto"/>
      </w:divBdr>
    </w:div>
    <w:div w:id="440733930">
      <w:bodyDiv w:val="1"/>
      <w:marLeft w:val="0"/>
      <w:marRight w:val="0"/>
      <w:marTop w:val="0"/>
      <w:marBottom w:val="0"/>
      <w:divBdr>
        <w:top w:val="none" w:sz="0" w:space="0" w:color="auto"/>
        <w:left w:val="none" w:sz="0" w:space="0" w:color="auto"/>
        <w:bottom w:val="none" w:sz="0" w:space="0" w:color="auto"/>
        <w:right w:val="none" w:sz="0" w:space="0" w:color="auto"/>
      </w:divBdr>
    </w:div>
    <w:div w:id="440801126">
      <w:bodyDiv w:val="1"/>
      <w:marLeft w:val="0"/>
      <w:marRight w:val="0"/>
      <w:marTop w:val="0"/>
      <w:marBottom w:val="0"/>
      <w:divBdr>
        <w:top w:val="none" w:sz="0" w:space="0" w:color="auto"/>
        <w:left w:val="none" w:sz="0" w:space="0" w:color="auto"/>
        <w:bottom w:val="none" w:sz="0" w:space="0" w:color="auto"/>
        <w:right w:val="none" w:sz="0" w:space="0" w:color="auto"/>
      </w:divBdr>
    </w:div>
    <w:div w:id="440875815">
      <w:bodyDiv w:val="1"/>
      <w:marLeft w:val="0"/>
      <w:marRight w:val="0"/>
      <w:marTop w:val="0"/>
      <w:marBottom w:val="0"/>
      <w:divBdr>
        <w:top w:val="none" w:sz="0" w:space="0" w:color="auto"/>
        <w:left w:val="none" w:sz="0" w:space="0" w:color="auto"/>
        <w:bottom w:val="none" w:sz="0" w:space="0" w:color="auto"/>
        <w:right w:val="none" w:sz="0" w:space="0" w:color="auto"/>
      </w:divBdr>
    </w:div>
    <w:div w:id="440956159">
      <w:bodyDiv w:val="1"/>
      <w:marLeft w:val="0"/>
      <w:marRight w:val="0"/>
      <w:marTop w:val="0"/>
      <w:marBottom w:val="0"/>
      <w:divBdr>
        <w:top w:val="none" w:sz="0" w:space="0" w:color="auto"/>
        <w:left w:val="none" w:sz="0" w:space="0" w:color="auto"/>
        <w:bottom w:val="none" w:sz="0" w:space="0" w:color="auto"/>
        <w:right w:val="none" w:sz="0" w:space="0" w:color="auto"/>
      </w:divBdr>
    </w:div>
    <w:div w:id="440994258">
      <w:bodyDiv w:val="1"/>
      <w:marLeft w:val="0"/>
      <w:marRight w:val="0"/>
      <w:marTop w:val="0"/>
      <w:marBottom w:val="0"/>
      <w:divBdr>
        <w:top w:val="none" w:sz="0" w:space="0" w:color="auto"/>
        <w:left w:val="none" w:sz="0" w:space="0" w:color="auto"/>
        <w:bottom w:val="none" w:sz="0" w:space="0" w:color="auto"/>
        <w:right w:val="none" w:sz="0" w:space="0" w:color="auto"/>
      </w:divBdr>
    </w:div>
    <w:div w:id="441000679">
      <w:bodyDiv w:val="1"/>
      <w:marLeft w:val="0"/>
      <w:marRight w:val="0"/>
      <w:marTop w:val="0"/>
      <w:marBottom w:val="0"/>
      <w:divBdr>
        <w:top w:val="none" w:sz="0" w:space="0" w:color="auto"/>
        <w:left w:val="none" w:sz="0" w:space="0" w:color="auto"/>
        <w:bottom w:val="none" w:sz="0" w:space="0" w:color="auto"/>
        <w:right w:val="none" w:sz="0" w:space="0" w:color="auto"/>
      </w:divBdr>
    </w:div>
    <w:div w:id="441338688">
      <w:bodyDiv w:val="1"/>
      <w:marLeft w:val="0"/>
      <w:marRight w:val="0"/>
      <w:marTop w:val="0"/>
      <w:marBottom w:val="0"/>
      <w:divBdr>
        <w:top w:val="none" w:sz="0" w:space="0" w:color="auto"/>
        <w:left w:val="none" w:sz="0" w:space="0" w:color="auto"/>
        <w:bottom w:val="none" w:sz="0" w:space="0" w:color="auto"/>
        <w:right w:val="none" w:sz="0" w:space="0" w:color="auto"/>
      </w:divBdr>
    </w:div>
    <w:div w:id="441346580">
      <w:bodyDiv w:val="1"/>
      <w:marLeft w:val="0"/>
      <w:marRight w:val="0"/>
      <w:marTop w:val="0"/>
      <w:marBottom w:val="0"/>
      <w:divBdr>
        <w:top w:val="none" w:sz="0" w:space="0" w:color="auto"/>
        <w:left w:val="none" w:sz="0" w:space="0" w:color="auto"/>
        <w:bottom w:val="none" w:sz="0" w:space="0" w:color="auto"/>
        <w:right w:val="none" w:sz="0" w:space="0" w:color="auto"/>
      </w:divBdr>
    </w:div>
    <w:div w:id="441533913">
      <w:bodyDiv w:val="1"/>
      <w:marLeft w:val="0"/>
      <w:marRight w:val="0"/>
      <w:marTop w:val="0"/>
      <w:marBottom w:val="0"/>
      <w:divBdr>
        <w:top w:val="none" w:sz="0" w:space="0" w:color="auto"/>
        <w:left w:val="none" w:sz="0" w:space="0" w:color="auto"/>
        <w:bottom w:val="none" w:sz="0" w:space="0" w:color="auto"/>
        <w:right w:val="none" w:sz="0" w:space="0" w:color="auto"/>
      </w:divBdr>
    </w:div>
    <w:div w:id="441535632">
      <w:bodyDiv w:val="1"/>
      <w:marLeft w:val="0"/>
      <w:marRight w:val="0"/>
      <w:marTop w:val="0"/>
      <w:marBottom w:val="0"/>
      <w:divBdr>
        <w:top w:val="none" w:sz="0" w:space="0" w:color="auto"/>
        <w:left w:val="none" w:sz="0" w:space="0" w:color="auto"/>
        <w:bottom w:val="none" w:sz="0" w:space="0" w:color="auto"/>
        <w:right w:val="none" w:sz="0" w:space="0" w:color="auto"/>
      </w:divBdr>
    </w:div>
    <w:div w:id="441538849">
      <w:bodyDiv w:val="1"/>
      <w:marLeft w:val="0"/>
      <w:marRight w:val="0"/>
      <w:marTop w:val="0"/>
      <w:marBottom w:val="0"/>
      <w:divBdr>
        <w:top w:val="none" w:sz="0" w:space="0" w:color="auto"/>
        <w:left w:val="none" w:sz="0" w:space="0" w:color="auto"/>
        <w:bottom w:val="none" w:sz="0" w:space="0" w:color="auto"/>
        <w:right w:val="none" w:sz="0" w:space="0" w:color="auto"/>
      </w:divBdr>
    </w:div>
    <w:div w:id="441607015">
      <w:bodyDiv w:val="1"/>
      <w:marLeft w:val="0"/>
      <w:marRight w:val="0"/>
      <w:marTop w:val="0"/>
      <w:marBottom w:val="0"/>
      <w:divBdr>
        <w:top w:val="none" w:sz="0" w:space="0" w:color="auto"/>
        <w:left w:val="none" w:sz="0" w:space="0" w:color="auto"/>
        <w:bottom w:val="none" w:sz="0" w:space="0" w:color="auto"/>
        <w:right w:val="none" w:sz="0" w:space="0" w:color="auto"/>
      </w:divBdr>
    </w:div>
    <w:div w:id="441612298">
      <w:bodyDiv w:val="1"/>
      <w:marLeft w:val="0"/>
      <w:marRight w:val="0"/>
      <w:marTop w:val="0"/>
      <w:marBottom w:val="0"/>
      <w:divBdr>
        <w:top w:val="none" w:sz="0" w:space="0" w:color="auto"/>
        <w:left w:val="none" w:sz="0" w:space="0" w:color="auto"/>
        <w:bottom w:val="none" w:sz="0" w:space="0" w:color="auto"/>
        <w:right w:val="none" w:sz="0" w:space="0" w:color="auto"/>
      </w:divBdr>
    </w:div>
    <w:div w:id="441729949">
      <w:bodyDiv w:val="1"/>
      <w:marLeft w:val="0"/>
      <w:marRight w:val="0"/>
      <w:marTop w:val="0"/>
      <w:marBottom w:val="0"/>
      <w:divBdr>
        <w:top w:val="none" w:sz="0" w:space="0" w:color="auto"/>
        <w:left w:val="none" w:sz="0" w:space="0" w:color="auto"/>
        <w:bottom w:val="none" w:sz="0" w:space="0" w:color="auto"/>
        <w:right w:val="none" w:sz="0" w:space="0" w:color="auto"/>
      </w:divBdr>
    </w:div>
    <w:div w:id="441806224">
      <w:bodyDiv w:val="1"/>
      <w:marLeft w:val="0"/>
      <w:marRight w:val="0"/>
      <w:marTop w:val="0"/>
      <w:marBottom w:val="0"/>
      <w:divBdr>
        <w:top w:val="none" w:sz="0" w:space="0" w:color="auto"/>
        <w:left w:val="none" w:sz="0" w:space="0" w:color="auto"/>
        <w:bottom w:val="none" w:sz="0" w:space="0" w:color="auto"/>
        <w:right w:val="none" w:sz="0" w:space="0" w:color="auto"/>
      </w:divBdr>
    </w:div>
    <w:div w:id="442113345">
      <w:bodyDiv w:val="1"/>
      <w:marLeft w:val="0"/>
      <w:marRight w:val="0"/>
      <w:marTop w:val="0"/>
      <w:marBottom w:val="0"/>
      <w:divBdr>
        <w:top w:val="none" w:sz="0" w:space="0" w:color="auto"/>
        <w:left w:val="none" w:sz="0" w:space="0" w:color="auto"/>
        <w:bottom w:val="none" w:sz="0" w:space="0" w:color="auto"/>
        <w:right w:val="none" w:sz="0" w:space="0" w:color="auto"/>
      </w:divBdr>
    </w:div>
    <w:div w:id="442116418">
      <w:bodyDiv w:val="1"/>
      <w:marLeft w:val="0"/>
      <w:marRight w:val="0"/>
      <w:marTop w:val="0"/>
      <w:marBottom w:val="0"/>
      <w:divBdr>
        <w:top w:val="none" w:sz="0" w:space="0" w:color="auto"/>
        <w:left w:val="none" w:sz="0" w:space="0" w:color="auto"/>
        <w:bottom w:val="none" w:sz="0" w:space="0" w:color="auto"/>
        <w:right w:val="none" w:sz="0" w:space="0" w:color="auto"/>
      </w:divBdr>
    </w:div>
    <w:div w:id="442118490">
      <w:bodyDiv w:val="1"/>
      <w:marLeft w:val="0"/>
      <w:marRight w:val="0"/>
      <w:marTop w:val="0"/>
      <w:marBottom w:val="0"/>
      <w:divBdr>
        <w:top w:val="none" w:sz="0" w:space="0" w:color="auto"/>
        <w:left w:val="none" w:sz="0" w:space="0" w:color="auto"/>
        <w:bottom w:val="none" w:sz="0" w:space="0" w:color="auto"/>
        <w:right w:val="none" w:sz="0" w:space="0" w:color="auto"/>
      </w:divBdr>
    </w:div>
    <w:div w:id="442194417">
      <w:bodyDiv w:val="1"/>
      <w:marLeft w:val="0"/>
      <w:marRight w:val="0"/>
      <w:marTop w:val="0"/>
      <w:marBottom w:val="0"/>
      <w:divBdr>
        <w:top w:val="none" w:sz="0" w:space="0" w:color="auto"/>
        <w:left w:val="none" w:sz="0" w:space="0" w:color="auto"/>
        <w:bottom w:val="none" w:sz="0" w:space="0" w:color="auto"/>
        <w:right w:val="none" w:sz="0" w:space="0" w:color="auto"/>
      </w:divBdr>
    </w:div>
    <w:div w:id="442266056">
      <w:bodyDiv w:val="1"/>
      <w:marLeft w:val="0"/>
      <w:marRight w:val="0"/>
      <w:marTop w:val="0"/>
      <w:marBottom w:val="0"/>
      <w:divBdr>
        <w:top w:val="none" w:sz="0" w:space="0" w:color="auto"/>
        <w:left w:val="none" w:sz="0" w:space="0" w:color="auto"/>
        <w:bottom w:val="none" w:sz="0" w:space="0" w:color="auto"/>
        <w:right w:val="none" w:sz="0" w:space="0" w:color="auto"/>
      </w:divBdr>
    </w:div>
    <w:div w:id="442383431">
      <w:bodyDiv w:val="1"/>
      <w:marLeft w:val="0"/>
      <w:marRight w:val="0"/>
      <w:marTop w:val="0"/>
      <w:marBottom w:val="0"/>
      <w:divBdr>
        <w:top w:val="none" w:sz="0" w:space="0" w:color="auto"/>
        <w:left w:val="none" w:sz="0" w:space="0" w:color="auto"/>
        <w:bottom w:val="none" w:sz="0" w:space="0" w:color="auto"/>
        <w:right w:val="none" w:sz="0" w:space="0" w:color="auto"/>
      </w:divBdr>
    </w:div>
    <w:div w:id="442456550">
      <w:bodyDiv w:val="1"/>
      <w:marLeft w:val="0"/>
      <w:marRight w:val="0"/>
      <w:marTop w:val="0"/>
      <w:marBottom w:val="0"/>
      <w:divBdr>
        <w:top w:val="none" w:sz="0" w:space="0" w:color="auto"/>
        <w:left w:val="none" w:sz="0" w:space="0" w:color="auto"/>
        <w:bottom w:val="none" w:sz="0" w:space="0" w:color="auto"/>
        <w:right w:val="none" w:sz="0" w:space="0" w:color="auto"/>
      </w:divBdr>
    </w:div>
    <w:div w:id="442505844">
      <w:bodyDiv w:val="1"/>
      <w:marLeft w:val="0"/>
      <w:marRight w:val="0"/>
      <w:marTop w:val="0"/>
      <w:marBottom w:val="0"/>
      <w:divBdr>
        <w:top w:val="none" w:sz="0" w:space="0" w:color="auto"/>
        <w:left w:val="none" w:sz="0" w:space="0" w:color="auto"/>
        <w:bottom w:val="none" w:sz="0" w:space="0" w:color="auto"/>
        <w:right w:val="none" w:sz="0" w:space="0" w:color="auto"/>
      </w:divBdr>
    </w:div>
    <w:div w:id="442506055">
      <w:bodyDiv w:val="1"/>
      <w:marLeft w:val="0"/>
      <w:marRight w:val="0"/>
      <w:marTop w:val="0"/>
      <w:marBottom w:val="0"/>
      <w:divBdr>
        <w:top w:val="none" w:sz="0" w:space="0" w:color="auto"/>
        <w:left w:val="none" w:sz="0" w:space="0" w:color="auto"/>
        <w:bottom w:val="none" w:sz="0" w:space="0" w:color="auto"/>
        <w:right w:val="none" w:sz="0" w:space="0" w:color="auto"/>
      </w:divBdr>
    </w:div>
    <w:div w:id="442573201">
      <w:bodyDiv w:val="1"/>
      <w:marLeft w:val="0"/>
      <w:marRight w:val="0"/>
      <w:marTop w:val="0"/>
      <w:marBottom w:val="0"/>
      <w:divBdr>
        <w:top w:val="none" w:sz="0" w:space="0" w:color="auto"/>
        <w:left w:val="none" w:sz="0" w:space="0" w:color="auto"/>
        <w:bottom w:val="none" w:sz="0" w:space="0" w:color="auto"/>
        <w:right w:val="none" w:sz="0" w:space="0" w:color="auto"/>
      </w:divBdr>
    </w:div>
    <w:div w:id="442574802">
      <w:bodyDiv w:val="1"/>
      <w:marLeft w:val="0"/>
      <w:marRight w:val="0"/>
      <w:marTop w:val="0"/>
      <w:marBottom w:val="0"/>
      <w:divBdr>
        <w:top w:val="none" w:sz="0" w:space="0" w:color="auto"/>
        <w:left w:val="none" w:sz="0" w:space="0" w:color="auto"/>
        <w:bottom w:val="none" w:sz="0" w:space="0" w:color="auto"/>
        <w:right w:val="none" w:sz="0" w:space="0" w:color="auto"/>
      </w:divBdr>
    </w:div>
    <w:div w:id="442581927">
      <w:bodyDiv w:val="1"/>
      <w:marLeft w:val="0"/>
      <w:marRight w:val="0"/>
      <w:marTop w:val="0"/>
      <w:marBottom w:val="0"/>
      <w:divBdr>
        <w:top w:val="none" w:sz="0" w:space="0" w:color="auto"/>
        <w:left w:val="none" w:sz="0" w:space="0" w:color="auto"/>
        <w:bottom w:val="none" w:sz="0" w:space="0" w:color="auto"/>
        <w:right w:val="none" w:sz="0" w:space="0" w:color="auto"/>
      </w:divBdr>
    </w:div>
    <w:div w:id="442651251">
      <w:bodyDiv w:val="1"/>
      <w:marLeft w:val="0"/>
      <w:marRight w:val="0"/>
      <w:marTop w:val="0"/>
      <w:marBottom w:val="0"/>
      <w:divBdr>
        <w:top w:val="none" w:sz="0" w:space="0" w:color="auto"/>
        <w:left w:val="none" w:sz="0" w:space="0" w:color="auto"/>
        <w:bottom w:val="none" w:sz="0" w:space="0" w:color="auto"/>
        <w:right w:val="none" w:sz="0" w:space="0" w:color="auto"/>
      </w:divBdr>
    </w:div>
    <w:div w:id="442651490">
      <w:bodyDiv w:val="1"/>
      <w:marLeft w:val="0"/>
      <w:marRight w:val="0"/>
      <w:marTop w:val="0"/>
      <w:marBottom w:val="0"/>
      <w:divBdr>
        <w:top w:val="none" w:sz="0" w:space="0" w:color="auto"/>
        <w:left w:val="none" w:sz="0" w:space="0" w:color="auto"/>
        <w:bottom w:val="none" w:sz="0" w:space="0" w:color="auto"/>
        <w:right w:val="none" w:sz="0" w:space="0" w:color="auto"/>
      </w:divBdr>
    </w:div>
    <w:div w:id="442656150">
      <w:bodyDiv w:val="1"/>
      <w:marLeft w:val="0"/>
      <w:marRight w:val="0"/>
      <w:marTop w:val="0"/>
      <w:marBottom w:val="0"/>
      <w:divBdr>
        <w:top w:val="none" w:sz="0" w:space="0" w:color="auto"/>
        <w:left w:val="none" w:sz="0" w:space="0" w:color="auto"/>
        <w:bottom w:val="none" w:sz="0" w:space="0" w:color="auto"/>
        <w:right w:val="none" w:sz="0" w:space="0" w:color="auto"/>
      </w:divBdr>
    </w:div>
    <w:div w:id="442772489">
      <w:bodyDiv w:val="1"/>
      <w:marLeft w:val="0"/>
      <w:marRight w:val="0"/>
      <w:marTop w:val="0"/>
      <w:marBottom w:val="0"/>
      <w:divBdr>
        <w:top w:val="none" w:sz="0" w:space="0" w:color="auto"/>
        <w:left w:val="none" w:sz="0" w:space="0" w:color="auto"/>
        <w:bottom w:val="none" w:sz="0" w:space="0" w:color="auto"/>
        <w:right w:val="none" w:sz="0" w:space="0" w:color="auto"/>
      </w:divBdr>
    </w:div>
    <w:div w:id="442774134">
      <w:bodyDiv w:val="1"/>
      <w:marLeft w:val="0"/>
      <w:marRight w:val="0"/>
      <w:marTop w:val="0"/>
      <w:marBottom w:val="0"/>
      <w:divBdr>
        <w:top w:val="none" w:sz="0" w:space="0" w:color="auto"/>
        <w:left w:val="none" w:sz="0" w:space="0" w:color="auto"/>
        <w:bottom w:val="none" w:sz="0" w:space="0" w:color="auto"/>
        <w:right w:val="none" w:sz="0" w:space="0" w:color="auto"/>
      </w:divBdr>
    </w:div>
    <w:div w:id="442892441">
      <w:bodyDiv w:val="1"/>
      <w:marLeft w:val="0"/>
      <w:marRight w:val="0"/>
      <w:marTop w:val="0"/>
      <w:marBottom w:val="0"/>
      <w:divBdr>
        <w:top w:val="none" w:sz="0" w:space="0" w:color="auto"/>
        <w:left w:val="none" w:sz="0" w:space="0" w:color="auto"/>
        <w:bottom w:val="none" w:sz="0" w:space="0" w:color="auto"/>
        <w:right w:val="none" w:sz="0" w:space="0" w:color="auto"/>
      </w:divBdr>
    </w:div>
    <w:div w:id="442920716">
      <w:bodyDiv w:val="1"/>
      <w:marLeft w:val="0"/>
      <w:marRight w:val="0"/>
      <w:marTop w:val="0"/>
      <w:marBottom w:val="0"/>
      <w:divBdr>
        <w:top w:val="none" w:sz="0" w:space="0" w:color="auto"/>
        <w:left w:val="none" w:sz="0" w:space="0" w:color="auto"/>
        <w:bottom w:val="none" w:sz="0" w:space="0" w:color="auto"/>
        <w:right w:val="none" w:sz="0" w:space="0" w:color="auto"/>
      </w:divBdr>
    </w:div>
    <w:div w:id="442924254">
      <w:bodyDiv w:val="1"/>
      <w:marLeft w:val="0"/>
      <w:marRight w:val="0"/>
      <w:marTop w:val="0"/>
      <w:marBottom w:val="0"/>
      <w:divBdr>
        <w:top w:val="none" w:sz="0" w:space="0" w:color="auto"/>
        <w:left w:val="none" w:sz="0" w:space="0" w:color="auto"/>
        <w:bottom w:val="none" w:sz="0" w:space="0" w:color="auto"/>
        <w:right w:val="none" w:sz="0" w:space="0" w:color="auto"/>
      </w:divBdr>
    </w:div>
    <w:div w:id="442963852">
      <w:bodyDiv w:val="1"/>
      <w:marLeft w:val="0"/>
      <w:marRight w:val="0"/>
      <w:marTop w:val="0"/>
      <w:marBottom w:val="0"/>
      <w:divBdr>
        <w:top w:val="none" w:sz="0" w:space="0" w:color="auto"/>
        <w:left w:val="none" w:sz="0" w:space="0" w:color="auto"/>
        <w:bottom w:val="none" w:sz="0" w:space="0" w:color="auto"/>
        <w:right w:val="none" w:sz="0" w:space="0" w:color="auto"/>
      </w:divBdr>
    </w:div>
    <w:div w:id="443035456">
      <w:bodyDiv w:val="1"/>
      <w:marLeft w:val="0"/>
      <w:marRight w:val="0"/>
      <w:marTop w:val="0"/>
      <w:marBottom w:val="0"/>
      <w:divBdr>
        <w:top w:val="none" w:sz="0" w:space="0" w:color="auto"/>
        <w:left w:val="none" w:sz="0" w:space="0" w:color="auto"/>
        <w:bottom w:val="none" w:sz="0" w:space="0" w:color="auto"/>
        <w:right w:val="none" w:sz="0" w:space="0" w:color="auto"/>
      </w:divBdr>
    </w:div>
    <w:div w:id="443037116">
      <w:bodyDiv w:val="1"/>
      <w:marLeft w:val="0"/>
      <w:marRight w:val="0"/>
      <w:marTop w:val="0"/>
      <w:marBottom w:val="0"/>
      <w:divBdr>
        <w:top w:val="none" w:sz="0" w:space="0" w:color="auto"/>
        <w:left w:val="none" w:sz="0" w:space="0" w:color="auto"/>
        <w:bottom w:val="none" w:sz="0" w:space="0" w:color="auto"/>
        <w:right w:val="none" w:sz="0" w:space="0" w:color="auto"/>
      </w:divBdr>
    </w:div>
    <w:div w:id="443037712">
      <w:bodyDiv w:val="1"/>
      <w:marLeft w:val="0"/>
      <w:marRight w:val="0"/>
      <w:marTop w:val="0"/>
      <w:marBottom w:val="0"/>
      <w:divBdr>
        <w:top w:val="none" w:sz="0" w:space="0" w:color="auto"/>
        <w:left w:val="none" w:sz="0" w:space="0" w:color="auto"/>
        <w:bottom w:val="none" w:sz="0" w:space="0" w:color="auto"/>
        <w:right w:val="none" w:sz="0" w:space="0" w:color="auto"/>
      </w:divBdr>
    </w:div>
    <w:div w:id="443040361">
      <w:bodyDiv w:val="1"/>
      <w:marLeft w:val="0"/>
      <w:marRight w:val="0"/>
      <w:marTop w:val="0"/>
      <w:marBottom w:val="0"/>
      <w:divBdr>
        <w:top w:val="none" w:sz="0" w:space="0" w:color="auto"/>
        <w:left w:val="none" w:sz="0" w:space="0" w:color="auto"/>
        <w:bottom w:val="none" w:sz="0" w:space="0" w:color="auto"/>
        <w:right w:val="none" w:sz="0" w:space="0" w:color="auto"/>
      </w:divBdr>
    </w:div>
    <w:div w:id="443043541">
      <w:bodyDiv w:val="1"/>
      <w:marLeft w:val="0"/>
      <w:marRight w:val="0"/>
      <w:marTop w:val="0"/>
      <w:marBottom w:val="0"/>
      <w:divBdr>
        <w:top w:val="none" w:sz="0" w:space="0" w:color="auto"/>
        <w:left w:val="none" w:sz="0" w:space="0" w:color="auto"/>
        <w:bottom w:val="none" w:sz="0" w:space="0" w:color="auto"/>
        <w:right w:val="none" w:sz="0" w:space="0" w:color="auto"/>
      </w:divBdr>
    </w:div>
    <w:div w:id="443119403">
      <w:bodyDiv w:val="1"/>
      <w:marLeft w:val="0"/>
      <w:marRight w:val="0"/>
      <w:marTop w:val="0"/>
      <w:marBottom w:val="0"/>
      <w:divBdr>
        <w:top w:val="none" w:sz="0" w:space="0" w:color="auto"/>
        <w:left w:val="none" w:sz="0" w:space="0" w:color="auto"/>
        <w:bottom w:val="none" w:sz="0" w:space="0" w:color="auto"/>
        <w:right w:val="none" w:sz="0" w:space="0" w:color="auto"/>
      </w:divBdr>
    </w:div>
    <w:div w:id="443232398">
      <w:bodyDiv w:val="1"/>
      <w:marLeft w:val="0"/>
      <w:marRight w:val="0"/>
      <w:marTop w:val="0"/>
      <w:marBottom w:val="0"/>
      <w:divBdr>
        <w:top w:val="none" w:sz="0" w:space="0" w:color="auto"/>
        <w:left w:val="none" w:sz="0" w:space="0" w:color="auto"/>
        <w:bottom w:val="none" w:sz="0" w:space="0" w:color="auto"/>
        <w:right w:val="none" w:sz="0" w:space="0" w:color="auto"/>
      </w:divBdr>
    </w:div>
    <w:div w:id="443381169">
      <w:bodyDiv w:val="1"/>
      <w:marLeft w:val="0"/>
      <w:marRight w:val="0"/>
      <w:marTop w:val="0"/>
      <w:marBottom w:val="0"/>
      <w:divBdr>
        <w:top w:val="none" w:sz="0" w:space="0" w:color="auto"/>
        <w:left w:val="none" w:sz="0" w:space="0" w:color="auto"/>
        <w:bottom w:val="none" w:sz="0" w:space="0" w:color="auto"/>
        <w:right w:val="none" w:sz="0" w:space="0" w:color="auto"/>
      </w:divBdr>
    </w:div>
    <w:div w:id="443381216">
      <w:bodyDiv w:val="1"/>
      <w:marLeft w:val="0"/>
      <w:marRight w:val="0"/>
      <w:marTop w:val="0"/>
      <w:marBottom w:val="0"/>
      <w:divBdr>
        <w:top w:val="none" w:sz="0" w:space="0" w:color="auto"/>
        <w:left w:val="none" w:sz="0" w:space="0" w:color="auto"/>
        <w:bottom w:val="none" w:sz="0" w:space="0" w:color="auto"/>
        <w:right w:val="none" w:sz="0" w:space="0" w:color="auto"/>
      </w:divBdr>
    </w:div>
    <w:div w:id="443496715">
      <w:bodyDiv w:val="1"/>
      <w:marLeft w:val="0"/>
      <w:marRight w:val="0"/>
      <w:marTop w:val="0"/>
      <w:marBottom w:val="0"/>
      <w:divBdr>
        <w:top w:val="none" w:sz="0" w:space="0" w:color="auto"/>
        <w:left w:val="none" w:sz="0" w:space="0" w:color="auto"/>
        <w:bottom w:val="none" w:sz="0" w:space="0" w:color="auto"/>
        <w:right w:val="none" w:sz="0" w:space="0" w:color="auto"/>
      </w:divBdr>
    </w:div>
    <w:div w:id="443498539">
      <w:bodyDiv w:val="1"/>
      <w:marLeft w:val="0"/>
      <w:marRight w:val="0"/>
      <w:marTop w:val="0"/>
      <w:marBottom w:val="0"/>
      <w:divBdr>
        <w:top w:val="none" w:sz="0" w:space="0" w:color="auto"/>
        <w:left w:val="none" w:sz="0" w:space="0" w:color="auto"/>
        <w:bottom w:val="none" w:sz="0" w:space="0" w:color="auto"/>
        <w:right w:val="none" w:sz="0" w:space="0" w:color="auto"/>
      </w:divBdr>
    </w:div>
    <w:div w:id="443505927">
      <w:bodyDiv w:val="1"/>
      <w:marLeft w:val="0"/>
      <w:marRight w:val="0"/>
      <w:marTop w:val="0"/>
      <w:marBottom w:val="0"/>
      <w:divBdr>
        <w:top w:val="none" w:sz="0" w:space="0" w:color="auto"/>
        <w:left w:val="none" w:sz="0" w:space="0" w:color="auto"/>
        <w:bottom w:val="none" w:sz="0" w:space="0" w:color="auto"/>
        <w:right w:val="none" w:sz="0" w:space="0" w:color="auto"/>
      </w:divBdr>
    </w:div>
    <w:div w:id="443616020">
      <w:bodyDiv w:val="1"/>
      <w:marLeft w:val="0"/>
      <w:marRight w:val="0"/>
      <w:marTop w:val="0"/>
      <w:marBottom w:val="0"/>
      <w:divBdr>
        <w:top w:val="none" w:sz="0" w:space="0" w:color="auto"/>
        <w:left w:val="none" w:sz="0" w:space="0" w:color="auto"/>
        <w:bottom w:val="none" w:sz="0" w:space="0" w:color="auto"/>
        <w:right w:val="none" w:sz="0" w:space="0" w:color="auto"/>
      </w:divBdr>
    </w:div>
    <w:div w:id="443619149">
      <w:bodyDiv w:val="1"/>
      <w:marLeft w:val="0"/>
      <w:marRight w:val="0"/>
      <w:marTop w:val="0"/>
      <w:marBottom w:val="0"/>
      <w:divBdr>
        <w:top w:val="none" w:sz="0" w:space="0" w:color="auto"/>
        <w:left w:val="none" w:sz="0" w:space="0" w:color="auto"/>
        <w:bottom w:val="none" w:sz="0" w:space="0" w:color="auto"/>
        <w:right w:val="none" w:sz="0" w:space="0" w:color="auto"/>
      </w:divBdr>
    </w:div>
    <w:div w:id="443620490">
      <w:bodyDiv w:val="1"/>
      <w:marLeft w:val="0"/>
      <w:marRight w:val="0"/>
      <w:marTop w:val="0"/>
      <w:marBottom w:val="0"/>
      <w:divBdr>
        <w:top w:val="none" w:sz="0" w:space="0" w:color="auto"/>
        <w:left w:val="none" w:sz="0" w:space="0" w:color="auto"/>
        <w:bottom w:val="none" w:sz="0" w:space="0" w:color="auto"/>
        <w:right w:val="none" w:sz="0" w:space="0" w:color="auto"/>
      </w:divBdr>
    </w:div>
    <w:div w:id="443623856">
      <w:bodyDiv w:val="1"/>
      <w:marLeft w:val="0"/>
      <w:marRight w:val="0"/>
      <w:marTop w:val="0"/>
      <w:marBottom w:val="0"/>
      <w:divBdr>
        <w:top w:val="none" w:sz="0" w:space="0" w:color="auto"/>
        <w:left w:val="none" w:sz="0" w:space="0" w:color="auto"/>
        <w:bottom w:val="none" w:sz="0" w:space="0" w:color="auto"/>
        <w:right w:val="none" w:sz="0" w:space="0" w:color="auto"/>
      </w:divBdr>
    </w:div>
    <w:div w:id="443695885">
      <w:bodyDiv w:val="1"/>
      <w:marLeft w:val="0"/>
      <w:marRight w:val="0"/>
      <w:marTop w:val="0"/>
      <w:marBottom w:val="0"/>
      <w:divBdr>
        <w:top w:val="none" w:sz="0" w:space="0" w:color="auto"/>
        <w:left w:val="none" w:sz="0" w:space="0" w:color="auto"/>
        <w:bottom w:val="none" w:sz="0" w:space="0" w:color="auto"/>
        <w:right w:val="none" w:sz="0" w:space="0" w:color="auto"/>
      </w:divBdr>
    </w:div>
    <w:div w:id="443698459">
      <w:bodyDiv w:val="1"/>
      <w:marLeft w:val="0"/>
      <w:marRight w:val="0"/>
      <w:marTop w:val="0"/>
      <w:marBottom w:val="0"/>
      <w:divBdr>
        <w:top w:val="none" w:sz="0" w:space="0" w:color="auto"/>
        <w:left w:val="none" w:sz="0" w:space="0" w:color="auto"/>
        <w:bottom w:val="none" w:sz="0" w:space="0" w:color="auto"/>
        <w:right w:val="none" w:sz="0" w:space="0" w:color="auto"/>
      </w:divBdr>
    </w:div>
    <w:div w:id="443698552">
      <w:bodyDiv w:val="1"/>
      <w:marLeft w:val="0"/>
      <w:marRight w:val="0"/>
      <w:marTop w:val="0"/>
      <w:marBottom w:val="0"/>
      <w:divBdr>
        <w:top w:val="none" w:sz="0" w:space="0" w:color="auto"/>
        <w:left w:val="none" w:sz="0" w:space="0" w:color="auto"/>
        <w:bottom w:val="none" w:sz="0" w:space="0" w:color="auto"/>
        <w:right w:val="none" w:sz="0" w:space="0" w:color="auto"/>
      </w:divBdr>
    </w:div>
    <w:div w:id="443765867">
      <w:bodyDiv w:val="1"/>
      <w:marLeft w:val="0"/>
      <w:marRight w:val="0"/>
      <w:marTop w:val="0"/>
      <w:marBottom w:val="0"/>
      <w:divBdr>
        <w:top w:val="none" w:sz="0" w:space="0" w:color="auto"/>
        <w:left w:val="none" w:sz="0" w:space="0" w:color="auto"/>
        <w:bottom w:val="none" w:sz="0" w:space="0" w:color="auto"/>
        <w:right w:val="none" w:sz="0" w:space="0" w:color="auto"/>
      </w:divBdr>
    </w:div>
    <w:div w:id="443891824">
      <w:bodyDiv w:val="1"/>
      <w:marLeft w:val="0"/>
      <w:marRight w:val="0"/>
      <w:marTop w:val="0"/>
      <w:marBottom w:val="0"/>
      <w:divBdr>
        <w:top w:val="none" w:sz="0" w:space="0" w:color="auto"/>
        <w:left w:val="none" w:sz="0" w:space="0" w:color="auto"/>
        <w:bottom w:val="none" w:sz="0" w:space="0" w:color="auto"/>
        <w:right w:val="none" w:sz="0" w:space="0" w:color="auto"/>
      </w:divBdr>
    </w:div>
    <w:div w:id="444038703">
      <w:bodyDiv w:val="1"/>
      <w:marLeft w:val="0"/>
      <w:marRight w:val="0"/>
      <w:marTop w:val="0"/>
      <w:marBottom w:val="0"/>
      <w:divBdr>
        <w:top w:val="none" w:sz="0" w:space="0" w:color="auto"/>
        <w:left w:val="none" w:sz="0" w:space="0" w:color="auto"/>
        <w:bottom w:val="none" w:sz="0" w:space="0" w:color="auto"/>
        <w:right w:val="none" w:sz="0" w:space="0" w:color="auto"/>
      </w:divBdr>
    </w:div>
    <w:div w:id="444080295">
      <w:bodyDiv w:val="1"/>
      <w:marLeft w:val="0"/>
      <w:marRight w:val="0"/>
      <w:marTop w:val="0"/>
      <w:marBottom w:val="0"/>
      <w:divBdr>
        <w:top w:val="none" w:sz="0" w:space="0" w:color="auto"/>
        <w:left w:val="none" w:sz="0" w:space="0" w:color="auto"/>
        <w:bottom w:val="none" w:sz="0" w:space="0" w:color="auto"/>
        <w:right w:val="none" w:sz="0" w:space="0" w:color="auto"/>
      </w:divBdr>
    </w:div>
    <w:div w:id="444083691">
      <w:bodyDiv w:val="1"/>
      <w:marLeft w:val="0"/>
      <w:marRight w:val="0"/>
      <w:marTop w:val="0"/>
      <w:marBottom w:val="0"/>
      <w:divBdr>
        <w:top w:val="none" w:sz="0" w:space="0" w:color="auto"/>
        <w:left w:val="none" w:sz="0" w:space="0" w:color="auto"/>
        <w:bottom w:val="none" w:sz="0" w:space="0" w:color="auto"/>
        <w:right w:val="none" w:sz="0" w:space="0" w:color="auto"/>
      </w:divBdr>
    </w:div>
    <w:div w:id="444155618">
      <w:bodyDiv w:val="1"/>
      <w:marLeft w:val="0"/>
      <w:marRight w:val="0"/>
      <w:marTop w:val="0"/>
      <w:marBottom w:val="0"/>
      <w:divBdr>
        <w:top w:val="none" w:sz="0" w:space="0" w:color="auto"/>
        <w:left w:val="none" w:sz="0" w:space="0" w:color="auto"/>
        <w:bottom w:val="none" w:sz="0" w:space="0" w:color="auto"/>
        <w:right w:val="none" w:sz="0" w:space="0" w:color="auto"/>
      </w:divBdr>
    </w:div>
    <w:div w:id="444232734">
      <w:bodyDiv w:val="1"/>
      <w:marLeft w:val="0"/>
      <w:marRight w:val="0"/>
      <w:marTop w:val="0"/>
      <w:marBottom w:val="0"/>
      <w:divBdr>
        <w:top w:val="none" w:sz="0" w:space="0" w:color="auto"/>
        <w:left w:val="none" w:sz="0" w:space="0" w:color="auto"/>
        <w:bottom w:val="none" w:sz="0" w:space="0" w:color="auto"/>
        <w:right w:val="none" w:sz="0" w:space="0" w:color="auto"/>
      </w:divBdr>
    </w:div>
    <w:div w:id="444350733">
      <w:bodyDiv w:val="1"/>
      <w:marLeft w:val="0"/>
      <w:marRight w:val="0"/>
      <w:marTop w:val="0"/>
      <w:marBottom w:val="0"/>
      <w:divBdr>
        <w:top w:val="none" w:sz="0" w:space="0" w:color="auto"/>
        <w:left w:val="none" w:sz="0" w:space="0" w:color="auto"/>
        <w:bottom w:val="none" w:sz="0" w:space="0" w:color="auto"/>
        <w:right w:val="none" w:sz="0" w:space="0" w:color="auto"/>
      </w:divBdr>
    </w:div>
    <w:div w:id="444425950">
      <w:bodyDiv w:val="1"/>
      <w:marLeft w:val="0"/>
      <w:marRight w:val="0"/>
      <w:marTop w:val="0"/>
      <w:marBottom w:val="0"/>
      <w:divBdr>
        <w:top w:val="none" w:sz="0" w:space="0" w:color="auto"/>
        <w:left w:val="none" w:sz="0" w:space="0" w:color="auto"/>
        <w:bottom w:val="none" w:sz="0" w:space="0" w:color="auto"/>
        <w:right w:val="none" w:sz="0" w:space="0" w:color="auto"/>
      </w:divBdr>
    </w:div>
    <w:div w:id="444497077">
      <w:bodyDiv w:val="1"/>
      <w:marLeft w:val="0"/>
      <w:marRight w:val="0"/>
      <w:marTop w:val="0"/>
      <w:marBottom w:val="0"/>
      <w:divBdr>
        <w:top w:val="none" w:sz="0" w:space="0" w:color="auto"/>
        <w:left w:val="none" w:sz="0" w:space="0" w:color="auto"/>
        <w:bottom w:val="none" w:sz="0" w:space="0" w:color="auto"/>
        <w:right w:val="none" w:sz="0" w:space="0" w:color="auto"/>
      </w:divBdr>
    </w:div>
    <w:div w:id="444546710">
      <w:bodyDiv w:val="1"/>
      <w:marLeft w:val="0"/>
      <w:marRight w:val="0"/>
      <w:marTop w:val="0"/>
      <w:marBottom w:val="0"/>
      <w:divBdr>
        <w:top w:val="none" w:sz="0" w:space="0" w:color="auto"/>
        <w:left w:val="none" w:sz="0" w:space="0" w:color="auto"/>
        <w:bottom w:val="none" w:sz="0" w:space="0" w:color="auto"/>
        <w:right w:val="none" w:sz="0" w:space="0" w:color="auto"/>
      </w:divBdr>
    </w:div>
    <w:div w:id="444621225">
      <w:bodyDiv w:val="1"/>
      <w:marLeft w:val="0"/>
      <w:marRight w:val="0"/>
      <w:marTop w:val="0"/>
      <w:marBottom w:val="0"/>
      <w:divBdr>
        <w:top w:val="none" w:sz="0" w:space="0" w:color="auto"/>
        <w:left w:val="none" w:sz="0" w:space="0" w:color="auto"/>
        <w:bottom w:val="none" w:sz="0" w:space="0" w:color="auto"/>
        <w:right w:val="none" w:sz="0" w:space="0" w:color="auto"/>
      </w:divBdr>
    </w:div>
    <w:div w:id="444623132">
      <w:bodyDiv w:val="1"/>
      <w:marLeft w:val="0"/>
      <w:marRight w:val="0"/>
      <w:marTop w:val="0"/>
      <w:marBottom w:val="0"/>
      <w:divBdr>
        <w:top w:val="none" w:sz="0" w:space="0" w:color="auto"/>
        <w:left w:val="none" w:sz="0" w:space="0" w:color="auto"/>
        <w:bottom w:val="none" w:sz="0" w:space="0" w:color="auto"/>
        <w:right w:val="none" w:sz="0" w:space="0" w:color="auto"/>
      </w:divBdr>
    </w:div>
    <w:div w:id="444734470">
      <w:bodyDiv w:val="1"/>
      <w:marLeft w:val="0"/>
      <w:marRight w:val="0"/>
      <w:marTop w:val="0"/>
      <w:marBottom w:val="0"/>
      <w:divBdr>
        <w:top w:val="none" w:sz="0" w:space="0" w:color="auto"/>
        <w:left w:val="none" w:sz="0" w:space="0" w:color="auto"/>
        <w:bottom w:val="none" w:sz="0" w:space="0" w:color="auto"/>
        <w:right w:val="none" w:sz="0" w:space="0" w:color="auto"/>
      </w:divBdr>
    </w:div>
    <w:div w:id="444739342">
      <w:bodyDiv w:val="1"/>
      <w:marLeft w:val="0"/>
      <w:marRight w:val="0"/>
      <w:marTop w:val="0"/>
      <w:marBottom w:val="0"/>
      <w:divBdr>
        <w:top w:val="none" w:sz="0" w:space="0" w:color="auto"/>
        <w:left w:val="none" w:sz="0" w:space="0" w:color="auto"/>
        <w:bottom w:val="none" w:sz="0" w:space="0" w:color="auto"/>
        <w:right w:val="none" w:sz="0" w:space="0" w:color="auto"/>
      </w:divBdr>
    </w:div>
    <w:div w:id="444816443">
      <w:bodyDiv w:val="1"/>
      <w:marLeft w:val="0"/>
      <w:marRight w:val="0"/>
      <w:marTop w:val="0"/>
      <w:marBottom w:val="0"/>
      <w:divBdr>
        <w:top w:val="none" w:sz="0" w:space="0" w:color="auto"/>
        <w:left w:val="none" w:sz="0" w:space="0" w:color="auto"/>
        <w:bottom w:val="none" w:sz="0" w:space="0" w:color="auto"/>
        <w:right w:val="none" w:sz="0" w:space="0" w:color="auto"/>
      </w:divBdr>
    </w:div>
    <w:div w:id="444884411">
      <w:bodyDiv w:val="1"/>
      <w:marLeft w:val="0"/>
      <w:marRight w:val="0"/>
      <w:marTop w:val="0"/>
      <w:marBottom w:val="0"/>
      <w:divBdr>
        <w:top w:val="none" w:sz="0" w:space="0" w:color="auto"/>
        <w:left w:val="none" w:sz="0" w:space="0" w:color="auto"/>
        <w:bottom w:val="none" w:sz="0" w:space="0" w:color="auto"/>
        <w:right w:val="none" w:sz="0" w:space="0" w:color="auto"/>
      </w:divBdr>
    </w:div>
    <w:div w:id="444889093">
      <w:bodyDiv w:val="1"/>
      <w:marLeft w:val="0"/>
      <w:marRight w:val="0"/>
      <w:marTop w:val="0"/>
      <w:marBottom w:val="0"/>
      <w:divBdr>
        <w:top w:val="none" w:sz="0" w:space="0" w:color="auto"/>
        <w:left w:val="none" w:sz="0" w:space="0" w:color="auto"/>
        <w:bottom w:val="none" w:sz="0" w:space="0" w:color="auto"/>
        <w:right w:val="none" w:sz="0" w:space="0" w:color="auto"/>
      </w:divBdr>
    </w:div>
    <w:div w:id="444926318">
      <w:bodyDiv w:val="1"/>
      <w:marLeft w:val="0"/>
      <w:marRight w:val="0"/>
      <w:marTop w:val="0"/>
      <w:marBottom w:val="0"/>
      <w:divBdr>
        <w:top w:val="none" w:sz="0" w:space="0" w:color="auto"/>
        <w:left w:val="none" w:sz="0" w:space="0" w:color="auto"/>
        <w:bottom w:val="none" w:sz="0" w:space="0" w:color="auto"/>
        <w:right w:val="none" w:sz="0" w:space="0" w:color="auto"/>
      </w:divBdr>
    </w:div>
    <w:div w:id="445000307">
      <w:bodyDiv w:val="1"/>
      <w:marLeft w:val="0"/>
      <w:marRight w:val="0"/>
      <w:marTop w:val="0"/>
      <w:marBottom w:val="0"/>
      <w:divBdr>
        <w:top w:val="none" w:sz="0" w:space="0" w:color="auto"/>
        <w:left w:val="none" w:sz="0" w:space="0" w:color="auto"/>
        <w:bottom w:val="none" w:sz="0" w:space="0" w:color="auto"/>
        <w:right w:val="none" w:sz="0" w:space="0" w:color="auto"/>
      </w:divBdr>
    </w:div>
    <w:div w:id="445005789">
      <w:bodyDiv w:val="1"/>
      <w:marLeft w:val="0"/>
      <w:marRight w:val="0"/>
      <w:marTop w:val="0"/>
      <w:marBottom w:val="0"/>
      <w:divBdr>
        <w:top w:val="none" w:sz="0" w:space="0" w:color="auto"/>
        <w:left w:val="none" w:sz="0" w:space="0" w:color="auto"/>
        <w:bottom w:val="none" w:sz="0" w:space="0" w:color="auto"/>
        <w:right w:val="none" w:sz="0" w:space="0" w:color="auto"/>
      </w:divBdr>
    </w:div>
    <w:div w:id="445121636">
      <w:bodyDiv w:val="1"/>
      <w:marLeft w:val="0"/>
      <w:marRight w:val="0"/>
      <w:marTop w:val="0"/>
      <w:marBottom w:val="0"/>
      <w:divBdr>
        <w:top w:val="none" w:sz="0" w:space="0" w:color="auto"/>
        <w:left w:val="none" w:sz="0" w:space="0" w:color="auto"/>
        <w:bottom w:val="none" w:sz="0" w:space="0" w:color="auto"/>
        <w:right w:val="none" w:sz="0" w:space="0" w:color="auto"/>
      </w:divBdr>
    </w:div>
    <w:div w:id="445127704">
      <w:bodyDiv w:val="1"/>
      <w:marLeft w:val="0"/>
      <w:marRight w:val="0"/>
      <w:marTop w:val="0"/>
      <w:marBottom w:val="0"/>
      <w:divBdr>
        <w:top w:val="none" w:sz="0" w:space="0" w:color="auto"/>
        <w:left w:val="none" w:sz="0" w:space="0" w:color="auto"/>
        <w:bottom w:val="none" w:sz="0" w:space="0" w:color="auto"/>
        <w:right w:val="none" w:sz="0" w:space="0" w:color="auto"/>
      </w:divBdr>
    </w:div>
    <w:div w:id="445202805">
      <w:bodyDiv w:val="1"/>
      <w:marLeft w:val="0"/>
      <w:marRight w:val="0"/>
      <w:marTop w:val="0"/>
      <w:marBottom w:val="0"/>
      <w:divBdr>
        <w:top w:val="none" w:sz="0" w:space="0" w:color="auto"/>
        <w:left w:val="none" w:sz="0" w:space="0" w:color="auto"/>
        <w:bottom w:val="none" w:sz="0" w:space="0" w:color="auto"/>
        <w:right w:val="none" w:sz="0" w:space="0" w:color="auto"/>
      </w:divBdr>
    </w:div>
    <w:div w:id="445273801">
      <w:bodyDiv w:val="1"/>
      <w:marLeft w:val="0"/>
      <w:marRight w:val="0"/>
      <w:marTop w:val="0"/>
      <w:marBottom w:val="0"/>
      <w:divBdr>
        <w:top w:val="none" w:sz="0" w:space="0" w:color="auto"/>
        <w:left w:val="none" w:sz="0" w:space="0" w:color="auto"/>
        <w:bottom w:val="none" w:sz="0" w:space="0" w:color="auto"/>
        <w:right w:val="none" w:sz="0" w:space="0" w:color="auto"/>
      </w:divBdr>
    </w:div>
    <w:div w:id="445276747">
      <w:bodyDiv w:val="1"/>
      <w:marLeft w:val="0"/>
      <w:marRight w:val="0"/>
      <w:marTop w:val="0"/>
      <w:marBottom w:val="0"/>
      <w:divBdr>
        <w:top w:val="none" w:sz="0" w:space="0" w:color="auto"/>
        <w:left w:val="none" w:sz="0" w:space="0" w:color="auto"/>
        <w:bottom w:val="none" w:sz="0" w:space="0" w:color="auto"/>
        <w:right w:val="none" w:sz="0" w:space="0" w:color="auto"/>
      </w:divBdr>
    </w:div>
    <w:div w:id="445388465">
      <w:bodyDiv w:val="1"/>
      <w:marLeft w:val="0"/>
      <w:marRight w:val="0"/>
      <w:marTop w:val="0"/>
      <w:marBottom w:val="0"/>
      <w:divBdr>
        <w:top w:val="none" w:sz="0" w:space="0" w:color="auto"/>
        <w:left w:val="none" w:sz="0" w:space="0" w:color="auto"/>
        <w:bottom w:val="none" w:sz="0" w:space="0" w:color="auto"/>
        <w:right w:val="none" w:sz="0" w:space="0" w:color="auto"/>
      </w:divBdr>
    </w:div>
    <w:div w:id="445389936">
      <w:bodyDiv w:val="1"/>
      <w:marLeft w:val="0"/>
      <w:marRight w:val="0"/>
      <w:marTop w:val="0"/>
      <w:marBottom w:val="0"/>
      <w:divBdr>
        <w:top w:val="none" w:sz="0" w:space="0" w:color="auto"/>
        <w:left w:val="none" w:sz="0" w:space="0" w:color="auto"/>
        <w:bottom w:val="none" w:sz="0" w:space="0" w:color="auto"/>
        <w:right w:val="none" w:sz="0" w:space="0" w:color="auto"/>
      </w:divBdr>
    </w:div>
    <w:div w:id="445392833">
      <w:bodyDiv w:val="1"/>
      <w:marLeft w:val="0"/>
      <w:marRight w:val="0"/>
      <w:marTop w:val="0"/>
      <w:marBottom w:val="0"/>
      <w:divBdr>
        <w:top w:val="none" w:sz="0" w:space="0" w:color="auto"/>
        <w:left w:val="none" w:sz="0" w:space="0" w:color="auto"/>
        <w:bottom w:val="none" w:sz="0" w:space="0" w:color="auto"/>
        <w:right w:val="none" w:sz="0" w:space="0" w:color="auto"/>
      </w:divBdr>
    </w:div>
    <w:div w:id="445462417">
      <w:bodyDiv w:val="1"/>
      <w:marLeft w:val="0"/>
      <w:marRight w:val="0"/>
      <w:marTop w:val="0"/>
      <w:marBottom w:val="0"/>
      <w:divBdr>
        <w:top w:val="none" w:sz="0" w:space="0" w:color="auto"/>
        <w:left w:val="none" w:sz="0" w:space="0" w:color="auto"/>
        <w:bottom w:val="none" w:sz="0" w:space="0" w:color="auto"/>
        <w:right w:val="none" w:sz="0" w:space="0" w:color="auto"/>
      </w:divBdr>
    </w:div>
    <w:div w:id="445468783">
      <w:bodyDiv w:val="1"/>
      <w:marLeft w:val="0"/>
      <w:marRight w:val="0"/>
      <w:marTop w:val="0"/>
      <w:marBottom w:val="0"/>
      <w:divBdr>
        <w:top w:val="none" w:sz="0" w:space="0" w:color="auto"/>
        <w:left w:val="none" w:sz="0" w:space="0" w:color="auto"/>
        <w:bottom w:val="none" w:sz="0" w:space="0" w:color="auto"/>
        <w:right w:val="none" w:sz="0" w:space="0" w:color="auto"/>
      </w:divBdr>
    </w:div>
    <w:div w:id="445542883">
      <w:bodyDiv w:val="1"/>
      <w:marLeft w:val="0"/>
      <w:marRight w:val="0"/>
      <w:marTop w:val="0"/>
      <w:marBottom w:val="0"/>
      <w:divBdr>
        <w:top w:val="none" w:sz="0" w:space="0" w:color="auto"/>
        <w:left w:val="none" w:sz="0" w:space="0" w:color="auto"/>
        <w:bottom w:val="none" w:sz="0" w:space="0" w:color="auto"/>
        <w:right w:val="none" w:sz="0" w:space="0" w:color="auto"/>
      </w:divBdr>
    </w:div>
    <w:div w:id="445546033">
      <w:bodyDiv w:val="1"/>
      <w:marLeft w:val="0"/>
      <w:marRight w:val="0"/>
      <w:marTop w:val="0"/>
      <w:marBottom w:val="0"/>
      <w:divBdr>
        <w:top w:val="none" w:sz="0" w:space="0" w:color="auto"/>
        <w:left w:val="none" w:sz="0" w:space="0" w:color="auto"/>
        <w:bottom w:val="none" w:sz="0" w:space="0" w:color="auto"/>
        <w:right w:val="none" w:sz="0" w:space="0" w:color="auto"/>
      </w:divBdr>
    </w:div>
    <w:div w:id="445779851">
      <w:bodyDiv w:val="1"/>
      <w:marLeft w:val="0"/>
      <w:marRight w:val="0"/>
      <w:marTop w:val="0"/>
      <w:marBottom w:val="0"/>
      <w:divBdr>
        <w:top w:val="none" w:sz="0" w:space="0" w:color="auto"/>
        <w:left w:val="none" w:sz="0" w:space="0" w:color="auto"/>
        <w:bottom w:val="none" w:sz="0" w:space="0" w:color="auto"/>
        <w:right w:val="none" w:sz="0" w:space="0" w:color="auto"/>
      </w:divBdr>
    </w:div>
    <w:div w:id="445858396">
      <w:bodyDiv w:val="1"/>
      <w:marLeft w:val="0"/>
      <w:marRight w:val="0"/>
      <w:marTop w:val="0"/>
      <w:marBottom w:val="0"/>
      <w:divBdr>
        <w:top w:val="none" w:sz="0" w:space="0" w:color="auto"/>
        <w:left w:val="none" w:sz="0" w:space="0" w:color="auto"/>
        <w:bottom w:val="none" w:sz="0" w:space="0" w:color="auto"/>
        <w:right w:val="none" w:sz="0" w:space="0" w:color="auto"/>
      </w:divBdr>
    </w:div>
    <w:div w:id="445924895">
      <w:bodyDiv w:val="1"/>
      <w:marLeft w:val="0"/>
      <w:marRight w:val="0"/>
      <w:marTop w:val="0"/>
      <w:marBottom w:val="0"/>
      <w:divBdr>
        <w:top w:val="none" w:sz="0" w:space="0" w:color="auto"/>
        <w:left w:val="none" w:sz="0" w:space="0" w:color="auto"/>
        <w:bottom w:val="none" w:sz="0" w:space="0" w:color="auto"/>
        <w:right w:val="none" w:sz="0" w:space="0" w:color="auto"/>
      </w:divBdr>
    </w:div>
    <w:div w:id="445927722">
      <w:bodyDiv w:val="1"/>
      <w:marLeft w:val="0"/>
      <w:marRight w:val="0"/>
      <w:marTop w:val="0"/>
      <w:marBottom w:val="0"/>
      <w:divBdr>
        <w:top w:val="none" w:sz="0" w:space="0" w:color="auto"/>
        <w:left w:val="none" w:sz="0" w:space="0" w:color="auto"/>
        <w:bottom w:val="none" w:sz="0" w:space="0" w:color="auto"/>
        <w:right w:val="none" w:sz="0" w:space="0" w:color="auto"/>
      </w:divBdr>
    </w:div>
    <w:div w:id="446118486">
      <w:bodyDiv w:val="1"/>
      <w:marLeft w:val="0"/>
      <w:marRight w:val="0"/>
      <w:marTop w:val="0"/>
      <w:marBottom w:val="0"/>
      <w:divBdr>
        <w:top w:val="none" w:sz="0" w:space="0" w:color="auto"/>
        <w:left w:val="none" w:sz="0" w:space="0" w:color="auto"/>
        <w:bottom w:val="none" w:sz="0" w:space="0" w:color="auto"/>
        <w:right w:val="none" w:sz="0" w:space="0" w:color="auto"/>
      </w:divBdr>
    </w:div>
    <w:div w:id="446120533">
      <w:bodyDiv w:val="1"/>
      <w:marLeft w:val="0"/>
      <w:marRight w:val="0"/>
      <w:marTop w:val="0"/>
      <w:marBottom w:val="0"/>
      <w:divBdr>
        <w:top w:val="none" w:sz="0" w:space="0" w:color="auto"/>
        <w:left w:val="none" w:sz="0" w:space="0" w:color="auto"/>
        <w:bottom w:val="none" w:sz="0" w:space="0" w:color="auto"/>
        <w:right w:val="none" w:sz="0" w:space="0" w:color="auto"/>
      </w:divBdr>
    </w:div>
    <w:div w:id="446121044">
      <w:bodyDiv w:val="1"/>
      <w:marLeft w:val="0"/>
      <w:marRight w:val="0"/>
      <w:marTop w:val="0"/>
      <w:marBottom w:val="0"/>
      <w:divBdr>
        <w:top w:val="none" w:sz="0" w:space="0" w:color="auto"/>
        <w:left w:val="none" w:sz="0" w:space="0" w:color="auto"/>
        <w:bottom w:val="none" w:sz="0" w:space="0" w:color="auto"/>
        <w:right w:val="none" w:sz="0" w:space="0" w:color="auto"/>
      </w:divBdr>
    </w:div>
    <w:div w:id="446199354">
      <w:bodyDiv w:val="1"/>
      <w:marLeft w:val="0"/>
      <w:marRight w:val="0"/>
      <w:marTop w:val="0"/>
      <w:marBottom w:val="0"/>
      <w:divBdr>
        <w:top w:val="none" w:sz="0" w:space="0" w:color="auto"/>
        <w:left w:val="none" w:sz="0" w:space="0" w:color="auto"/>
        <w:bottom w:val="none" w:sz="0" w:space="0" w:color="auto"/>
        <w:right w:val="none" w:sz="0" w:space="0" w:color="auto"/>
      </w:divBdr>
    </w:div>
    <w:div w:id="446317998">
      <w:bodyDiv w:val="1"/>
      <w:marLeft w:val="0"/>
      <w:marRight w:val="0"/>
      <w:marTop w:val="0"/>
      <w:marBottom w:val="0"/>
      <w:divBdr>
        <w:top w:val="none" w:sz="0" w:space="0" w:color="auto"/>
        <w:left w:val="none" w:sz="0" w:space="0" w:color="auto"/>
        <w:bottom w:val="none" w:sz="0" w:space="0" w:color="auto"/>
        <w:right w:val="none" w:sz="0" w:space="0" w:color="auto"/>
      </w:divBdr>
    </w:div>
    <w:div w:id="446436552">
      <w:bodyDiv w:val="1"/>
      <w:marLeft w:val="0"/>
      <w:marRight w:val="0"/>
      <w:marTop w:val="0"/>
      <w:marBottom w:val="0"/>
      <w:divBdr>
        <w:top w:val="none" w:sz="0" w:space="0" w:color="auto"/>
        <w:left w:val="none" w:sz="0" w:space="0" w:color="auto"/>
        <w:bottom w:val="none" w:sz="0" w:space="0" w:color="auto"/>
        <w:right w:val="none" w:sz="0" w:space="0" w:color="auto"/>
      </w:divBdr>
    </w:div>
    <w:div w:id="446437497">
      <w:bodyDiv w:val="1"/>
      <w:marLeft w:val="0"/>
      <w:marRight w:val="0"/>
      <w:marTop w:val="0"/>
      <w:marBottom w:val="0"/>
      <w:divBdr>
        <w:top w:val="none" w:sz="0" w:space="0" w:color="auto"/>
        <w:left w:val="none" w:sz="0" w:space="0" w:color="auto"/>
        <w:bottom w:val="none" w:sz="0" w:space="0" w:color="auto"/>
        <w:right w:val="none" w:sz="0" w:space="0" w:color="auto"/>
      </w:divBdr>
    </w:div>
    <w:div w:id="446656556">
      <w:bodyDiv w:val="1"/>
      <w:marLeft w:val="0"/>
      <w:marRight w:val="0"/>
      <w:marTop w:val="0"/>
      <w:marBottom w:val="0"/>
      <w:divBdr>
        <w:top w:val="none" w:sz="0" w:space="0" w:color="auto"/>
        <w:left w:val="none" w:sz="0" w:space="0" w:color="auto"/>
        <w:bottom w:val="none" w:sz="0" w:space="0" w:color="auto"/>
        <w:right w:val="none" w:sz="0" w:space="0" w:color="auto"/>
      </w:divBdr>
    </w:div>
    <w:div w:id="446701387">
      <w:bodyDiv w:val="1"/>
      <w:marLeft w:val="0"/>
      <w:marRight w:val="0"/>
      <w:marTop w:val="0"/>
      <w:marBottom w:val="0"/>
      <w:divBdr>
        <w:top w:val="none" w:sz="0" w:space="0" w:color="auto"/>
        <w:left w:val="none" w:sz="0" w:space="0" w:color="auto"/>
        <w:bottom w:val="none" w:sz="0" w:space="0" w:color="auto"/>
        <w:right w:val="none" w:sz="0" w:space="0" w:color="auto"/>
      </w:divBdr>
    </w:div>
    <w:div w:id="446777384">
      <w:bodyDiv w:val="1"/>
      <w:marLeft w:val="0"/>
      <w:marRight w:val="0"/>
      <w:marTop w:val="0"/>
      <w:marBottom w:val="0"/>
      <w:divBdr>
        <w:top w:val="none" w:sz="0" w:space="0" w:color="auto"/>
        <w:left w:val="none" w:sz="0" w:space="0" w:color="auto"/>
        <w:bottom w:val="none" w:sz="0" w:space="0" w:color="auto"/>
        <w:right w:val="none" w:sz="0" w:space="0" w:color="auto"/>
      </w:divBdr>
    </w:div>
    <w:div w:id="446894310">
      <w:bodyDiv w:val="1"/>
      <w:marLeft w:val="0"/>
      <w:marRight w:val="0"/>
      <w:marTop w:val="0"/>
      <w:marBottom w:val="0"/>
      <w:divBdr>
        <w:top w:val="none" w:sz="0" w:space="0" w:color="auto"/>
        <w:left w:val="none" w:sz="0" w:space="0" w:color="auto"/>
        <w:bottom w:val="none" w:sz="0" w:space="0" w:color="auto"/>
        <w:right w:val="none" w:sz="0" w:space="0" w:color="auto"/>
      </w:divBdr>
    </w:div>
    <w:div w:id="446898425">
      <w:bodyDiv w:val="1"/>
      <w:marLeft w:val="0"/>
      <w:marRight w:val="0"/>
      <w:marTop w:val="0"/>
      <w:marBottom w:val="0"/>
      <w:divBdr>
        <w:top w:val="none" w:sz="0" w:space="0" w:color="auto"/>
        <w:left w:val="none" w:sz="0" w:space="0" w:color="auto"/>
        <w:bottom w:val="none" w:sz="0" w:space="0" w:color="auto"/>
        <w:right w:val="none" w:sz="0" w:space="0" w:color="auto"/>
      </w:divBdr>
    </w:div>
    <w:div w:id="446900285">
      <w:bodyDiv w:val="1"/>
      <w:marLeft w:val="0"/>
      <w:marRight w:val="0"/>
      <w:marTop w:val="0"/>
      <w:marBottom w:val="0"/>
      <w:divBdr>
        <w:top w:val="none" w:sz="0" w:space="0" w:color="auto"/>
        <w:left w:val="none" w:sz="0" w:space="0" w:color="auto"/>
        <w:bottom w:val="none" w:sz="0" w:space="0" w:color="auto"/>
        <w:right w:val="none" w:sz="0" w:space="0" w:color="auto"/>
      </w:divBdr>
    </w:div>
    <w:div w:id="446971224">
      <w:bodyDiv w:val="1"/>
      <w:marLeft w:val="0"/>
      <w:marRight w:val="0"/>
      <w:marTop w:val="0"/>
      <w:marBottom w:val="0"/>
      <w:divBdr>
        <w:top w:val="none" w:sz="0" w:space="0" w:color="auto"/>
        <w:left w:val="none" w:sz="0" w:space="0" w:color="auto"/>
        <w:bottom w:val="none" w:sz="0" w:space="0" w:color="auto"/>
        <w:right w:val="none" w:sz="0" w:space="0" w:color="auto"/>
      </w:divBdr>
    </w:div>
    <w:div w:id="446971685">
      <w:bodyDiv w:val="1"/>
      <w:marLeft w:val="0"/>
      <w:marRight w:val="0"/>
      <w:marTop w:val="0"/>
      <w:marBottom w:val="0"/>
      <w:divBdr>
        <w:top w:val="none" w:sz="0" w:space="0" w:color="auto"/>
        <w:left w:val="none" w:sz="0" w:space="0" w:color="auto"/>
        <w:bottom w:val="none" w:sz="0" w:space="0" w:color="auto"/>
        <w:right w:val="none" w:sz="0" w:space="0" w:color="auto"/>
      </w:divBdr>
    </w:div>
    <w:div w:id="447042382">
      <w:bodyDiv w:val="1"/>
      <w:marLeft w:val="0"/>
      <w:marRight w:val="0"/>
      <w:marTop w:val="0"/>
      <w:marBottom w:val="0"/>
      <w:divBdr>
        <w:top w:val="none" w:sz="0" w:space="0" w:color="auto"/>
        <w:left w:val="none" w:sz="0" w:space="0" w:color="auto"/>
        <w:bottom w:val="none" w:sz="0" w:space="0" w:color="auto"/>
        <w:right w:val="none" w:sz="0" w:space="0" w:color="auto"/>
      </w:divBdr>
    </w:div>
    <w:div w:id="447163538">
      <w:bodyDiv w:val="1"/>
      <w:marLeft w:val="0"/>
      <w:marRight w:val="0"/>
      <w:marTop w:val="0"/>
      <w:marBottom w:val="0"/>
      <w:divBdr>
        <w:top w:val="none" w:sz="0" w:space="0" w:color="auto"/>
        <w:left w:val="none" w:sz="0" w:space="0" w:color="auto"/>
        <w:bottom w:val="none" w:sz="0" w:space="0" w:color="auto"/>
        <w:right w:val="none" w:sz="0" w:space="0" w:color="auto"/>
      </w:divBdr>
    </w:div>
    <w:div w:id="447234631">
      <w:bodyDiv w:val="1"/>
      <w:marLeft w:val="0"/>
      <w:marRight w:val="0"/>
      <w:marTop w:val="0"/>
      <w:marBottom w:val="0"/>
      <w:divBdr>
        <w:top w:val="none" w:sz="0" w:space="0" w:color="auto"/>
        <w:left w:val="none" w:sz="0" w:space="0" w:color="auto"/>
        <w:bottom w:val="none" w:sz="0" w:space="0" w:color="auto"/>
        <w:right w:val="none" w:sz="0" w:space="0" w:color="auto"/>
      </w:divBdr>
    </w:div>
    <w:div w:id="447240023">
      <w:bodyDiv w:val="1"/>
      <w:marLeft w:val="0"/>
      <w:marRight w:val="0"/>
      <w:marTop w:val="0"/>
      <w:marBottom w:val="0"/>
      <w:divBdr>
        <w:top w:val="none" w:sz="0" w:space="0" w:color="auto"/>
        <w:left w:val="none" w:sz="0" w:space="0" w:color="auto"/>
        <w:bottom w:val="none" w:sz="0" w:space="0" w:color="auto"/>
        <w:right w:val="none" w:sz="0" w:space="0" w:color="auto"/>
      </w:divBdr>
    </w:div>
    <w:div w:id="447360251">
      <w:bodyDiv w:val="1"/>
      <w:marLeft w:val="0"/>
      <w:marRight w:val="0"/>
      <w:marTop w:val="0"/>
      <w:marBottom w:val="0"/>
      <w:divBdr>
        <w:top w:val="none" w:sz="0" w:space="0" w:color="auto"/>
        <w:left w:val="none" w:sz="0" w:space="0" w:color="auto"/>
        <w:bottom w:val="none" w:sz="0" w:space="0" w:color="auto"/>
        <w:right w:val="none" w:sz="0" w:space="0" w:color="auto"/>
      </w:divBdr>
    </w:div>
    <w:div w:id="447435807">
      <w:bodyDiv w:val="1"/>
      <w:marLeft w:val="0"/>
      <w:marRight w:val="0"/>
      <w:marTop w:val="0"/>
      <w:marBottom w:val="0"/>
      <w:divBdr>
        <w:top w:val="none" w:sz="0" w:space="0" w:color="auto"/>
        <w:left w:val="none" w:sz="0" w:space="0" w:color="auto"/>
        <w:bottom w:val="none" w:sz="0" w:space="0" w:color="auto"/>
        <w:right w:val="none" w:sz="0" w:space="0" w:color="auto"/>
      </w:divBdr>
    </w:div>
    <w:div w:id="447624947">
      <w:bodyDiv w:val="1"/>
      <w:marLeft w:val="0"/>
      <w:marRight w:val="0"/>
      <w:marTop w:val="0"/>
      <w:marBottom w:val="0"/>
      <w:divBdr>
        <w:top w:val="none" w:sz="0" w:space="0" w:color="auto"/>
        <w:left w:val="none" w:sz="0" w:space="0" w:color="auto"/>
        <w:bottom w:val="none" w:sz="0" w:space="0" w:color="auto"/>
        <w:right w:val="none" w:sz="0" w:space="0" w:color="auto"/>
      </w:divBdr>
    </w:div>
    <w:div w:id="447625879">
      <w:bodyDiv w:val="1"/>
      <w:marLeft w:val="0"/>
      <w:marRight w:val="0"/>
      <w:marTop w:val="0"/>
      <w:marBottom w:val="0"/>
      <w:divBdr>
        <w:top w:val="none" w:sz="0" w:space="0" w:color="auto"/>
        <w:left w:val="none" w:sz="0" w:space="0" w:color="auto"/>
        <w:bottom w:val="none" w:sz="0" w:space="0" w:color="auto"/>
        <w:right w:val="none" w:sz="0" w:space="0" w:color="auto"/>
      </w:divBdr>
    </w:div>
    <w:div w:id="447742055">
      <w:bodyDiv w:val="1"/>
      <w:marLeft w:val="0"/>
      <w:marRight w:val="0"/>
      <w:marTop w:val="0"/>
      <w:marBottom w:val="0"/>
      <w:divBdr>
        <w:top w:val="none" w:sz="0" w:space="0" w:color="auto"/>
        <w:left w:val="none" w:sz="0" w:space="0" w:color="auto"/>
        <w:bottom w:val="none" w:sz="0" w:space="0" w:color="auto"/>
        <w:right w:val="none" w:sz="0" w:space="0" w:color="auto"/>
      </w:divBdr>
    </w:div>
    <w:div w:id="447745935">
      <w:bodyDiv w:val="1"/>
      <w:marLeft w:val="0"/>
      <w:marRight w:val="0"/>
      <w:marTop w:val="0"/>
      <w:marBottom w:val="0"/>
      <w:divBdr>
        <w:top w:val="none" w:sz="0" w:space="0" w:color="auto"/>
        <w:left w:val="none" w:sz="0" w:space="0" w:color="auto"/>
        <w:bottom w:val="none" w:sz="0" w:space="0" w:color="auto"/>
        <w:right w:val="none" w:sz="0" w:space="0" w:color="auto"/>
      </w:divBdr>
    </w:div>
    <w:div w:id="447815998">
      <w:bodyDiv w:val="1"/>
      <w:marLeft w:val="0"/>
      <w:marRight w:val="0"/>
      <w:marTop w:val="0"/>
      <w:marBottom w:val="0"/>
      <w:divBdr>
        <w:top w:val="none" w:sz="0" w:space="0" w:color="auto"/>
        <w:left w:val="none" w:sz="0" w:space="0" w:color="auto"/>
        <w:bottom w:val="none" w:sz="0" w:space="0" w:color="auto"/>
        <w:right w:val="none" w:sz="0" w:space="0" w:color="auto"/>
      </w:divBdr>
    </w:div>
    <w:div w:id="447966144">
      <w:bodyDiv w:val="1"/>
      <w:marLeft w:val="0"/>
      <w:marRight w:val="0"/>
      <w:marTop w:val="0"/>
      <w:marBottom w:val="0"/>
      <w:divBdr>
        <w:top w:val="none" w:sz="0" w:space="0" w:color="auto"/>
        <w:left w:val="none" w:sz="0" w:space="0" w:color="auto"/>
        <w:bottom w:val="none" w:sz="0" w:space="0" w:color="auto"/>
        <w:right w:val="none" w:sz="0" w:space="0" w:color="auto"/>
      </w:divBdr>
    </w:div>
    <w:div w:id="448092660">
      <w:bodyDiv w:val="1"/>
      <w:marLeft w:val="0"/>
      <w:marRight w:val="0"/>
      <w:marTop w:val="0"/>
      <w:marBottom w:val="0"/>
      <w:divBdr>
        <w:top w:val="none" w:sz="0" w:space="0" w:color="auto"/>
        <w:left w:val="none" w:sz="0" w:space="0" w:color="auto"/>
        <w:bottom w:val="none" w:sz="0" w:space="0" w:color="auto"/>
        <w:right w:val="none" w:sz="0" w:space="0" w:color="auto"/>
      </w:divBdr>
    </w:div>
    <w:div w:id="448158855">
      <w:bodyDiv w:val="1"/>
      <w:marLeft w:val="0"/>
      <w:marRight w:val="0"/>
      <w:marTop w:val="0"/>
      <w:marBottom w:val="0"/>
      <w:divBdr>
        <w:top w:val="none" w:sz="0" w:space="0" w:color="auto"/>
        <w:left w:val="none" w:sz="0" w:space="0" w:color="auto"/>
        <w:bottom w:val="none" w:sz="0" w:space="0" w:color="auto"/>
        <w:right w:val="none" w:sz="0" w:space="0" w:color="auto"/>
      </w:divBdr>
    </w:div>
    <w:div w:id="448206773">
      <w:bodyDiv w:val="1"/>
      <w:marLeft w:val="0"/>
      <w:marRight w:val="0"/>
      <w:marTop w:val="0"/>
      <w:marBottom w:val="0"/>
      <w:divBdr>
        <w:top w:val="none" w:sz="0" w:space="0" w:color="auto"/>
        <w:left w:val="none" w:sz="0" w:space="0" w:color="auto"/>
        <w:bottom w:val="none" w:sz="0" w:space="0" w:color="auto"/>
        <w:right w:val="none" w:sz="0" w:space="0" w:color="auto"/>
      </w:divBdr>
    </w:div>
    <w:div w:id="448207092">
      <w:bodyDiv w:val="1"/>
      <w:marLeft w:val="0"/>
      <w:marRight w:val="0"/>
      <w:marTop w:val="0"/>
      <w:marBottom w:val="0"/>
      <w:divBdr>
        <w:top w:val="none" w:sz="0" w:space="0" w:color="auto"/>
        <w:left w:val="none" w:sz="0" w:space="0" w:color="auto"/>
        <w:bottom w:val="none" w:sz="0" w:space="0" w:color="auto"/>
        <w:right w:val="none" w:sz="0" w:space="0" w:color="auto"/>
      </w:divBdr>
    </w:div>
    <w:div w:id="448208714">
      <w:bodyDiv w:val="1"/>
      <w:marLeft w:val="0"/>
      <w:marRight w:val="0"/>
      <w:marTop w:val="0"/>
      <w:marBottom w:val="0"/>
      <w:divBdr>
        <w:top w:val="none" w:sz="0" w:space="0" w:color="auto"/>
        <w:left w:val="none" w:sz="0" w:space="0" w:color="auto"/>
        <w:bottom w:val="none" w:sz="0" w:space="0" w:color="auto"/>
        <w:right w:val="none" w:sz="0" w:space="0" w:color="auto"/>
      </w:divBdr>
    </w:div>
    <w:div w:id="448276558">
      <w:bodyDiv w:val="1"/>
      <w:marLeft w:val="0"/>
      <w:marRight w:val="0"/>
      <w:marTop w:val="0"/>
      <w:marBottom w:val="0"/>
      <w:divBdr>
        <w:top w:val="none" w:sz="0" w:space="0" w:color="auto"/>
        <w:left w:val="none" w:sz="0" w:space="0" w:color="auto"/>
        <w:bottom w:val="none" w:sz="0" w:space="0" w:color="auto"/>
        <w:right w:val="none" w:sz="0" w:space="0" w:color="auto"/>
      </w:divBdr>
    </w:div>
    <w:div w:id="448279707">
      <w:bodyDiv w:val="1"/>
      <w:marLeft w:val="0"/>
      <w:marRight w:val="0"/>
      <w:marTop w:val="0"/>
      <w:marBottom w:val="0"/>
      <w:divBdr>
        <w:top w:val="none" w:sz="0" w:space="0" w:color="auto"/>
        <w:left w:val="none" w:sz="0" w:space="0" w:color="auto"/>
        <w:bottom w:val="none" w:sz="0" w:space="0" w:color="auto"/>
        <w:right w:val="none" w:sz="0" w:space="0" w:color="auto"/>
      </w:divBdr>
    </w:div>
    <w:div w:id="448353323">
      <w:bodyDiv w:val="1"/>
      <w:marLeft w:val="0"/>
      <w:marRight w:val="0"/>
      <w:marTop w:val="0"/>
      <w:marBottom w:val="0"/>
      <w:divBdr>
        <w:top w:val="none" w:sz="0" w:space="0" w:color="auto"/>
        <w:left w:val="none" w:sz="0" w:space="0" w:color="auto"/>
        <w:bottom w:val="none" w:sz="0" w:space="0" w:color="auto"/>
        <w:right w:val="none" w:sz="0" w:space="0" w:color="auto"/>
      </w:divBdr>
    </w:div>
    <w:div w:id="448353708">
      <w:bodyDiv w:val="1"/>
      <w:marLeft w:val="0"/>
      <w:marRight w:val="0"/>
      <w:marTop w:val="0"/>
      <w:marBottom w:val="0"/>
      <w:divBdr>
        <w:top w:val="none" w:sz="0" w:space="0" w:color="auto"/>
        <w:left w:val="none" w:sz="0" w:space="0" w:color="auto"/>
        <w:bottom w:val="none" w:sz="0" w:space="0" w:color="auto"/>
        <w:right w:val="none" w:sz="0" w:space="0" w:color="auto"/>
      </w:divBdr>
    </w:div>
    <w:div w:id="448428627">
      <w:bodyDiv w:val="1"/>
      <w:marLeft w:val="0"/>
      <w:marRight w:val="0"/>
      <w:marTop w:val="0"/>
      <w:marBottom w:val="0"/>
      <w:divBdr>
        <w:top w:val="none" w:sz="0" w:space="0" w:color="auto"/>
        <w:left w:val="none" w:sz="0" w:space="0" w:color="auto"/>
        <w:bottom w:val="none" w:sz="0" w:space="0" w:color="auto"/>
        <w:right w:val="none" w:sz="0" w:space="0" w:color="auto"/>
      </w:divBdr>
    </w:div>
    <w:div w:id="448546154">
      <w:bodyDiv w:val="1"/>
      <w:marLeft w:val="0"/>
      <w:marRight w:val="0"/>
      <w:marTop w:val="0"/>
      <w:marBottom w:val="0"/>
      <w:divBdr>
        <w:top w:val="none" w:sz="0" w:space="0" w:color="auto"/>
        <w:left w:val="none" w:sz="0" w:space="0" w:color="auto"/>
        <w:bottom w:val="none" w:sz="0" w:space="0" w:color="auto"/>
        <w:right w:val="none" w:sz="0" w:space="0" w:color="auto"/>
      </w:divBdr>
    </w:div>
    <w:div w:id="448667619">
      <w:bodyDiv w:val="1"/>
      <w:marLeft w:val="0"/>
      <w:marRight w:val="0"/>
      <w:marTop w:val="0"/>
      <w:marBottom w:val="0"/>
      <w:divBdr>
        <w:top w:val="none" w:sz="0" w:space="0" w:color="auto"/>
        <w:left w:val="none" w:sz="0" w:space="0" w:color="auto"/>
        <w:bottom w:val="none" w:sz="0" w:space="0" w:color="auto"/>
        <w:right w:val="none" w:sz="0" w:space="0" w:color="auto"/>
      </w:divBdr>
    </w:div>
    <w:div w:id="448747929">
      <w:bodyDiv w:val="1"/>
      <w:marLeft w:val="0"/>
      <w:marRight w:val="0"/>
      <w:marTop w:val="0"/>
      <w:marBottom w:val="0"/>
      <w:divBdr>
        <w:top w:val="none" w:sz="0" w:space="0" w:color="auto"/>
        <w:left w:val="none" w:sz="0" w:space="0" w:color="auto"/>
        <w:bottom w:val="none" w:sz="0" w:space="0" w:color="auto"/>
        <w:right w:val="none" w:sz="0" w:space="0" w:color="auto"/>
      </w:divBdr>
    </w:div>
    <w:div w:id="448934970">
      <w:bodyDiv w:val="1"/>
      <w:marLeft w:val="0"/>
      <w:marRight w:val="0"/>
      <w:marTop w:val="0"/>
      <w:marBottom w:val="0"/>
      <w:divBdr>
        <w:top w:val="none" w:sz="0" w:space="0" w:color="auto"/>
        <w:left w:val="none" w:sz="0" w:space="0" w:color="auto"/>
        <w:bottom w:val="none" w:sz="0" w:space="0" w:color="auto"/>
        <w:right w:val="none" w:sz="0" w:space="0" w:color="auto"/>
      </w:divBdr>
    </w:div>
    <w:div w:id="449009983">
      <w:bodyDiv w:val="1"/>
      <w:marLeft w:val="0"/>
      <w:marRight w:val="0"/>
      <w:marTop w:val="0"/>
      <w:marBottom w:val="0"/>
      <w:divBdr>
        <w:top w:val="none" w:sz="0" w:space="0" w:color="auto"/>
        <w:left w:val="none" w:sz="0" w:space="0" w:color="auto"/>
        <w:bottom w:val="none" w:sz="0" w:space="0" w:color="auto"/>
        <w:right w:val="none" w:sz="0" w:space="0" w:color="auto"/>
      </w:divBdr>
    </w:div>
    <w:div w:id="449054522">
      <w:bodyDiv w:val="1"/>
      <w:marLeft w:val="0"/>
      <w:marRight w:val="0"/>
      <w:marTop w:val="0"/>
      <w:marBottom w:val="0"/>
      <w:divBdr>
        <w:top w:val="none" w:sz="0" w:space="0" w:color="auto"/>
        <w:left w:val="none" w:sz="0" w:space="0" w:color="auto"/>
        <w:bottom w:val="none" w:sz="0" w:space="0" w:color="auto"/>
        <w:right w:val="none" w:sz="0" w:space="0" w:color="auto"/>
      </w:divBdr>
    </w:div>
    <w:div w:id="449125238">
      <w:bodyDiv w:val="1"/>
      <w:marLeft w:val="0"/>
      <w:marRight w:val="0"/>
      <w:marTop w:val="0"/>
      <w:marBottom w:val="0"/>
      <w:divBdr>
        <w:top w:val="none" w:sz="0" w:space="0" w:color="auto"/>
        <w:left w:val="none" w:sz="0" w:space="0" w:color="auto"/>
        <w:bottom w:val="none" w:sz="0" w:space="0" w:color="auto"/>
        <w:right w:val="none" w:sz="0" w:space="0" w:color="auto"/>
      </w:divBdr>
    </w:div>
    <w:div w:id="449130653">
      <w:bodyDiv w:val="1"/>
      <w:marLeft w:val="0"/>
      <w:marRight w:val="0"/>
      <w:marTop w:val="0"/>
      <w:marBottom w:val="0"/>
      <w:divBdr>
        <w:top w:val="none" w:sz="0" w:space="0" w:color="auto"/>
        <w:left w:val="none" w:sz="0" w:space="0" w:color="auto"/>
        <w:bottom w:val="none" w:sz="0" w:space="0" w:color="auto"/>
        <w:right w:val="none" w:sz="0" w:space="0" w:color="auto"/>
      </w:divBdr>
    </w:div>
    <w:div w:id="449130911">
      <w:bodyDiv w:val="1"/>
      <w:marLeft w:val="0"/>
      <w:marRight w:val="0"/>
      <w:marTop w:val="0"/>
      <w:marBottom w:val="0"/>
      <w:divBdr>
        <w:top w:val="none" w:sz="0" w:space="0" w:color="auto"/>
        <w:left w:val="none" w:sz="0" w:space="0" w:color="auto"/>
        <w:bottom w:val="none" w:sz="0" w:space="0" w:color="auto"/>
        <w:right w:val="none" w:sz="0" w:space="0" w:color="auto"/>
      </w:divBdr>
    </w:div>
    <w:div w:id="449208963">
      <w:bodyDiv w:val="1"/>
      <w:marLeft w:val="0"/>
      <w:marRight w:val="0"/>
      <w:marTop w:val="0"/>
      <w:marBottom w:val="0"/>
      <w:divBdr>
        <w:top w:val="none" w:sz="0" w:space="0" w:color="auto"/>
        <w:left w:val="none" w:sz="0" w:space="0" w:color="auto"/>
        <w:bottom w:val="none" w:sz="0" w:space="0" w:color="auto"/>
        <w:right w:val="none" w:sz="0" w:space="0" w:color="auto"/>
      </w:divBdr>
    </w:div>
    <w:div w:id="449277246">
      <w:bodyDiv w:val="1"/>
      <w:marLeft w:val="0"/>
      <w:marRight w:val="0"/>
      <w:marTop w:val="0"/>
      <w:marBottom w:val="0"/>
      <w:divBdr>
        <w:top w:val="none" w:sz="0" w:space="0" w:color="auto"/>
        <w:left w:val="none" w:sz="0" w:space="0" w:color="auto"/>
        <w:bottom w:val="none" w:sz="0" w:space="0" w:color="auto"/>
        <w:right w:val="none" w:sz="0" w:space="0" w:color="auto"/>
      </w:divBdr>
    </w:div>
    <w:div w:id="449470944">
      <w:bodyDiv w:val="1"/>
      <w:marLeft w:val="0"/>
      <w:marRight w:val="0"/>
      <w:marTop w:val="0"/>
      <w:marBottom w:val="0"/>
      <w:divBdr>
        <w:top w:val="none" w:sz="0" w:space="0" w:color="auto"/>
        <w:left w:val="none" w:sz="0" w:space="0" w:color="auto"/>
        <w:bottom w:val="none" w:sz="0" w:space="0" w:color="auto"/>
        <w:right w:val="none" w:sz="0" w:space="0" w:color="auto"/>
      </w:divBdr>
    </w:div>
    <w:div w:id="449474248">
      <w:bodyDiv w:val="1"/>
      <w:marLeft w:val="0"/>
      <w:marRight w:val="0"/>
      <w:marTop w:val="0"/>
      <w:marBottom w:val="0"/>
      <w:divBdr>
        <w:top w:val="none" w:sz="0" w:space="0" w:color="auto"/>
        <w:left w:val="none" w:sz="0" w:space="0" w:color="auto"/>
        <w:bottom w:val="none" w:sz="0" w:space="0" w:color="auto"/>
        <w:right w:val="none" w:sz="0" w:space="0" w:color="auto"/>
      </w:divBdr>
    </w:div>
    <w:div w:id="449477857">
      <w:bodyDiv w:val="1"/>
      <w:marLeft w:val="0"/>
      <w:marRight w:val="0"/>
      <w:marTop w:val="0"/>
      <w:marBottom w:val="0"/>
      <w:divBdr>
        <w:top w:val="none" w:sz="0" w:space="0" w:color="auto"/>
        <w:left w:val="none" w:sz="0" w:space="0" w:color="auto"/>
        <w:bottom w:val="none" w:sz="0" w:space="0" w:color="auto"/>
        <w:right w:val="none" w:sz="0" w:space="0" w:color="auto"/>
      </w:divBdr>
    </w:div>
    <w:div w:id="449478429">
      <w:bodyDiv w:val="1"/>
      <w:marLeft w:val="0"/>
      <w:marRight w:val="0"/>
      <w:marTop w:val="0"/>
      <w:marBottom w:val="0"/>
      <w:divBdr>
        <w:top w:val="none" w:sz="0" w:space="0" w:color="auto"/>
        <w:left w:val="none" w:sz="0" w:space="0" w:color="auto"/>
        <w:bottom w:val="none" w:sz="0" w:space="0" w:color="auto"/>
        <w:right w:val="none" w:sz="0" w:space="0" w:color="auto"/>
      </w:divBdr>
    </w:div>
    <w:div w:id="449520560">
      <w:bodyDiv w:val="1"/>
      <w:marLeft w:val="0"/>
      <w:marRight w:val="0"/>
      <w:marTop w:val="0"/>
      <w:marBottom w:val="0"/>
      <w:divBdr>
        <w:top w:val="none" w:sz="0" w:space="0" w:color="auto"/>
        <w:left w:val="none" w:sz="0" w:space="0" w:color="auto"/>
        <w:bottom w:val="none" w:sz="0" w:space="0" w:color="auto"/>
        <w:right w:val="none" w:sz="0" w:space="0" w:color="auto"/>
      </w:divBdr>
    </w:div>
    <w:div w:id="449596072">
      <w:bodyDiv w:val="1"/>
      <w:marLeft w:val="0"/>
      <w:marRight w:val="0"/>
      <w:marTop w:val="0"/>
      <w:marBottom w:val="0"/>
      <w:divBdr>
        <w:top w:val="none" w:sz="0" w:space="0" w:color="auto"/>
        <w:left w:val="none" w:sz="0" w:space="0" w:color="auto"/>
        <w:bottom w:val="none" w:sz="0" w:space="0" w:color="auto"/>
        <w:right w:val="none" w:sz="0" w:space="0" w:color="auto"/>
      </w:divBdr>
    </w:div>
    <w:div w:id="449738242">
      <w:bodyDiv w:val="1"/>
      <w:marLeft w:val="0"/>
      <w:marRight w:val="0"/>
      <w:marTop w:val="0"/>
      <w:marBottom w:val="0"/>
      <w:divBdr>
        <w:top w:val="none" w:sz="0" w:space="0" w:color="auto"/>
        <w:left w:val="none" w:sz="0" w:space="0" w:color="auto"/>
        <w:bottom w:val="none" w:sz="0" w:space="0" w:color="auto"/>
        <w:right w:val="none" w:sz="0" w:space="0" w:color="auto"/>
      </w:divBdr>
    </w:div>
    <w:div w:id="449905927">
      <w:bodyDiv w:val="1"/>
      <w:marLeft w:val="0"/>
      <w:marRight w:val="0"/>
      <w:marTop w:val="0"/>
      <w:marBottom w:val="0"/>
      <w:divBdr>
        <w:top w:val="none" w:sz="0" w:space="0" w:color="auto"/>
        <w:left w:val="none" w:sz="0" w:space="0" w:color="auto"/>
        <w:bottom w:val="none" w:sz="0" w:space="0" w:color="auto"/>
        <w:right w:val="none" w:sz="0" w:space="0" w:color="auto"/>
      </w:divBdr>
    </w:div>
    <w:div w:id="449934119">
      <w:bodyDiv w:val="1"/>
      <w:marLeft w:val="0"/>
      <w:marRight w:val="0"/>
      <w:marTop w:val="0"/>
      <w:marBottom w:val="0"/>
      <w:divBdr>
        <w:top w:val="none" w:sz="0" w:space="0" w:color="auto"/>
        <w:left w:val="none" w:sz="0" w:space="0" w:color="auto"/>
        <w:bottom w:val="none" w:sz="0" w:space="0" w:color="auto"/>
        <w:right w:val="none" w:sz="0" w:space="0" w:color="auto"/>
      </w:divBdr>
    </w:div>
    <w:div w:id="449937076">
      <w:bodyDiv w:val="1"/>
      <w:marLeft w:val="0"/>
      <w:marRight w:val="0"/>
      <w:marTop w:val="0"/>
      <w:marBottom w:val="0"/>
      <w:divBdr>
        <w:top w:val="none" w:sz="0" w:space="0" w:color="auto"/>
        <w:left w:val="none" w:sz="0" w:space="0" w:color="auto"/>
        <w:bottom w:val="none" w:sz="0" w:space="0" w:color="auto"/>
        <w:right w:val="none" w:sz="0" w:space="0" w:color="auto"/>
      </w:divBdr>
    </w:div>
    <w:div w:id="449937402">
      <w:bodyDiv w:val="1"/>
      <w:marLeft w:val="0"/>
      <w:marRight w:val="0"/>
      <w:marTop w:val="0"/>
      <w:marBottom w:val="0"/>
      <w:divBdr>
        <w:top w:val="none" w:sz="0" w:space="0" w:color="auto"/>
        <w:left w:val="none" w:sz="0" w:space="0" w:color="auto"/>
        <w:bottom w:val="none" w:sz="0" w:space="0" w:color="auto"/>
        <w:right w:val="none" w:sz="0" w:space="0" w:color="auto"/>
      </w:divBdr>
    </w:div>
    <w:div w:id="449980683">
      <w:bodyDiv w:val="1"/>
      <w:marLeft w:val="0"/>
      <w:marRight w:val="0"/>
      <w:marTop w:val="0"/>
      <w:marBottom w:val="0"/>
      <w:divBdr>
        <w:top w:val="none" w:sz="0" w:space="0" w:color="auto"/>
        <w:left w:val="none" w:sz="0" w:space="0" w:color="auto"/>
        <w:bottom w:val="none" w:sz="0" w:space="0" w:color="auto"/>
        <w:right w:val="none" w:sz="0" w:space="0" w:color="auto"/>
      </w:divBdr>
    </w:div>
    <w:div w:id="450125586">
      <w:bodyDiv w:val="1"/>
      <w:marLeft w:val="0"/>
      <w:marRight w:val="0"/>
      <w:marTop w:val="0"/>
      <w:marBottom w:val="0"/>
      <w:divBdr>
        <w:top w:val="none" w:sz="0" w:space="0" w:color="auto"/>
        <w:left w:val="none" w:sz="0" w:space="0" w:color="auto"/>
        <w:bottom w:val="none" w:sz="0" w:space="0" w:color="auto"/>
        <w:right w:val="none" w:sz="0" w:space="0" w:color="auto"/>
      </w:divBdr>
    </w:div>
    <w:div w:id="450127752">
      <w:bodyDiv w:val="1"/>
      <w:marLeft w:val="0"/>
      <w:marRight w:val="0"/>
      <w:marTop w:val="0"/>
      <w:marBottom w:val="0"/>
      <w:divBdr>
        <w:top w:val="none" w:sz="0" w:space="0" w:color="auto"/>
        <w:left w:val="none" w:sz="0" w:space="0" w:color="auto"/>
        <w:bottom w:val="none" w:sz="0" w:space="0" w:color="auto"/>
        <w:right w:val="none" w:sz="0" w:space="0" w:color="auto"/>
      </w:divBdr>
    </w:div>
    <w:div w:id="450173347">
      <w:bodyDiv w:val="1"/>
      <w:marLeft w:val="0"/>
      <w:marRight w:val="0"/>
      <w:marTop w:val="0"/>
      <w:marBottom w:val="0"/>
      <w:divBdr>
        <w:top w:val="none" w:sz="0" w:space="0" w:color="auto"/>
        <w:left w:val="none" w:sz="0" w:space="0" w:color="auto"/>
        <w:bottom w:val="none" w:sz="0" w:space="0" w:color="auto"/>
        <w:right w:val="none" w:sz="0" w:space="0" w:color="auto"/>
      </w:divBdr>
    </w:div>
    <w:div w:id="450250530">
      <w:bodyDiv w:val="1"/>
      <w:marLeft w:val="0"/>
      <w:marRight w:val="0"/>
      <w:marTop w:val="0"/>
      <w:marBottom w:val="0"/>
      <w:divBdr>
        <w:top w:val="none" w:sz="0" w:space="0" w:color="auto"/>
        <w:left w:val="none" w:sz="0" w:space="0" w:color="auto"/>
        <w:bottom w:val="none" w:sz="0" w:space="0" w:color="auto"/>
        <w:right w:val="none" w:sz="0" w:space="0" w:color="auto"/>
      </w:divBdr>
    </w:div>
    <w:div w:id="450327123">
      <w:bodyDiv w:val="1"/>
      <w:marLeft w:val="0"/>
      <w:marRight w:val="0"/>
      <w:marTop w:val="0"/>
      <w:marBottom w:val="0"/>
      <w:divBdr>
        <w:top w:val="none" w:sz="0" w:space="0" w:color="auto"/>
        <w:left w:val="none" w:sz="0" w:space="0" w:color="auto"/>
        <w:bottom w:val="none" w:sz="0" w:space="0" w:color="auto"/>
        <w:right w:val="none" w:sz="0" w:space="0" w:color="auto"/>
      </w:divBdr>
    </w:div>
    <w:div w:id="450365304">
      <w:bodyDiv w:val="1"/>
      <w:marLeft w:val="0"/>
      <w:marRight w:val="0"/>
      <w:marTop w:val="0"/>
      <w:marBottom w:val="0"/>
      <w:divBdr>
        <w:top w:val="none" w:sz="0" w:space="0" w:color="auto"/>
        <w:left w:val="none" w:sz="0" w:space="0" w:color="auto"/>
        <w:bottom w:val="none" w:sz="0" w:space="0" w:color="auto"/>
        <w:right w:val="none" w:sz="0" w:space="0" w:color="auto"/>
      </w:divBdr>
    </w:div>
    <w:div w:id="450443014">
      <w:bodyDiv w:val="1"/>
      <w:marLeft w:val="0"/>
      <w:marRight w:val="0"/>
      <w:marTop w:val="0"/>
      <w:marBottom w:val="0"/>
      <w:divBdr>
        <w:top w:val="none" w:sz="0" w:space="0" w:color="auto"/>
        <w:left w:val="none" w:sz="0" w:space="0" w:color="auto"/>
        <w:bottom w:val="none" w:sz="0" w:space="0" w:color="auto"/>
        <w:right w:val="none" w:sz="0" w:space="0" w:color="auto"/>
      </w:divBdr>
    </w:div>
    <w:div w:id="450632390">
      <w:bodyDiv w:val="1"/>
      <w:marLeft w:val="0"/>
      <w:marRight w:val="0"/>
      <w:marTop w:val="0"/>
      <w:marBottom w:val="0"/>
      <w:divBdr>
        <w:top w:val="none" w:sz="0" w:space="0" w:color="auto"/>
        <w:left w:val="none" w:sz="0" w:space="0" w:color="auto"/>
        <w:bottom w:val="none" w:sz="0" w:space="0" w:color="auto"/>
        <w:right w:val="none" w:sz="0" w:space="0" w:color="auto"/>
      </w:divBdr>
    </w:div>
    <w:div w:id="450635830">
      <w:bodyDiv w:val="1"/>
      <w:marLeft w:val="0"/>
      <w:marRight w:val="0"/>
      <w:marTop w:val="0"/>
      <w:marBottom w:val="0"/>
      <w:divBdr>
        <w:top w:val="none" w:sz="0" w:space="0" w:color="auto"/>
        <w:left w:val="none" w:sz="0" w:space="0" w:color="auto"/>
        <w:bottom w:val="none" w:sz="0" w:space="0" w:color="auto"/>
        <w:right w:val="none" w:sz="0" w:space="0" w:color="auto"/>
      </w:divBdr>
    </w:div>
    <w:div w:id="450782571">
      <w:bodyDiv w:val="1"/>
      <w:marLeft w:val="0"/>
      <w:marRight w:val="0"/>
      <w:marTop w:val="0"/>
      <w:marBottom w:val="0"/>
      <w:divBdr>
        <w:top w:val="none" w:sz="0" w:space="0" w:color="auto"/>
        <w:left w:val="none" w:sz="0" w:space="0" w:color="auto"/>
        <w:bottom w:val="none" w:sz="0" w:space="0" w:color="auto"/>
        <w:right w:val="none" w:sz="0" w:space="0" w:color="auto"/>
      </w:divBdr>
    </w:div>
    <w:div w:id="450827038">
      <w:bodyDiv w:val="1"/>
      <w:marLeft w:val="0"/>
      <w:marRight w:val="0"/>
      <w:marTop w:val="0"/>
      <w:marBottom w:val="0"/>
      <w:divBdr>
        <w:top w:val="none" w:sz="0" w:space="0" w:color="auto"/>
        <w:left w:val="none" w:sz="0" w:space="0" w:color="auto"/>
        <w:bottom w:val="none" w:sz="0" w:space="0" w:color="auto"/>
        <w:right w:val="none" w:sz="0" w:space="0" w:color="auto"/>
      </w:divBdr>
    </w:div>
    <w:div w:id="450906491">
      <w:bodyDiv w:val="1"/>
      <w:marLeft w:val="0"/>
      <w:marRight w:val="0"/>
      <w:marTop w:val="0"/>
      <w:marBottom w:val="0"/>
      <w:divBdr>
        <w:top w:val="none" w:sz="0" w:space="0" w:color="auto"/>
        <w:left w:val="none" w:sz="0" w:space="0" w:color="auto"/>
        <w:bottom w:val="none" w:sz="0" w:space="0" w:color="auto"/>
        <w:right w:val="none" w:sz="0" w:space="0" w:color="auto"/>
      </w:divBdr>
    </w:div>
    <w:div w:id="451166350">
      <w:bodyDiv w:val="1"/>
      <w:marLeft w:val="0"/>
      <w:marRight w:val="0"/>
      <w:marTop w:val="0"/>
      <w:marBottom w:val="0"/>
      <w:divBdr>
        <w:top w:val="none" w:sz="0" w:space="0" w:color="auto"/>
        <w:left w:val="none" w:sz="0" w:space="0" w:color="auto"/>
        <w:bottom w:val="none" w:sz="0" w:space="0" w:color="auto"/>
        <w:right w:val="none" w:sz="0" w:space="0" w:color="auto"/>
      </w:divBdr>
    </w:div>
    <w:div w:id="451245758">
      <w:bodyDiv w:val="1"/>
      <w:marLeft w:val="0"/>
      <w:marRight w:val="0"/>
      <w:marTop w:val="0"/>
      <w:marBottom w:val="0"/>
      <w:divBdr>
        <w:top w:val="none" w:sz="0" w:space="0" w:color="auto"/>
        <w:left w:val="none" w:sz="0" w:space="0" w:color="auto"/>
        <w:bottom w:val="none" w:sz="0" w:space="0" w:color="auto"/>
        <w:right w:val="none" w:sz="0" w:space="0" w:color="auto"/>
      </w:divBdr>
    </w:div>
    <w:div w:id="451292113">
      <w:bodyDiv w:val="1"/>
      <w:marLeft w:val="0"/>
      <w:marRight w:val="0"/>
      <w:marTop w:val="0"/>
      <w:marBottom w:val="0"/>
      <w:divBdr>
        <w:top w:val="none" w:sz="0" w:space="0" w:color="auto"/>
        <w:left w:val="none" w:sz="0" w:space="0" w:color="auto"/>
        <w:bottom w:val="none" w:sz="0" w:space="0" w:color="auto"/>
        <w:right w:val="none" w:sz="0" w:space="0" w:color="auto"/>
      </w:divBdr>
    </w:div>
    <w:div w:id="451365895">
      <w:bodyDiv w:val="1"/>
      <w:marLeft w:val="0"/>
      <w:marRight w:val="0"/>
      <w:marTop w:val="0"/>
      <w:marBottom w:val="0"/>
      <w:divBdr>
        <w:top w:val="none" w:sz="0" w:space="0" w:color="auto"/>
        <w:left w:val="none" w:sz="0" w:space="0" w:color="auto"/>
        <w:bottom w:val="none" w:sz="0" w:space="0" w:color="auto"/>
        <w:right w:val="none" w:sz="0" w:space="0" w:color="auto"/>
      </w:divBdr>
    </w:div>
    <w:div w:id="451479923">
      <w:bodyDiv w:val="1"/>
      <w:marLeft w:val="0"/>
      <w:marRight w:val="0"/>
      <w:marTop w:val="0"/>
      <w:marBottom w:val="0"/>
      <w:divBdr>
        <w:top w:val="none" w:sz="0" w:space="0" w:color="auto"/>
        <w:left w:val="none" w:sz="0" w:space="0" w:color="auto"/>
        <w:bottom w:val="none" w:sz="0" w:space="0" w:color="auto"/>
        <w:right w:val="none" w:sz="0" w:space="0" w:color="auto"/>
      </w:divBdr>
    </w:div>
    <w:div w:id="451483715">
      <w:bodyDiv w:val="1"/>
      <w:marLeft w:val="0"/>
      <w:marRight w:val="0"/>
      <w:marTop w:val="0"/>
      <w:marBottom w:val="0"/>
      <w:divBdr>
        <w:top w:val="none" w:sz="0" w:space="0" w:color="auto"/>
        <w:left w:val="none" w:sz="0" w:space="0" w:color="auto"/>
        <w:bottom w:val="none" w:sz="0" w:space="0" w:color="auto"/>
        <w:right w:val="none" w:sz="0" w:space="0" w:color="auto"/>
      </w:divBdr>
    </w:div>
    <w:div w:id="451675101">
      <w:bodyDiv w:val="1"/>
      <w:marLeft w:val="0"/>
      <w:marRight w:val="0"/>
      <w:marTop w:val="0"/>
      <w:marBottom w:val="0"/>
      <w:divBdr>
        <w:top w:val="none" w:sz="0" w:space="0" w:color="auto"/>
        <w:left w:val="none" w:sz="0" w:space="0" w:color="auto"/>
        <w:bottom w:val="none" w:sz="0" w:space="0" w:color="auto"/>
        <w:right w:val="none" w:sz="0" w:space="0" w:color="auto"/>
      </w:divBdr>
    </w:div>
    <w:div w:id="451750960">
      <w:bodyDiv w:val="1"/>
      <w:marLeft w:val="0"/>
      <w:marRight w:val="0"/>
      <w:marTop w:val="0"/>
      <w:marBottom w:val="0"/>
      <w:divBdr>
        <w:top w:val="none" w:sz="0" w:space="0" w:color="auto"/>
        <w:left w:val="none" w:sz="0" w:space="0" w:color="auto"/>
        <w:bottom w:val="none" w:sz="0" w:space="0" w:color="auto"/>
        <w:right w:val="none" w:sz="0" w:space="0" w:color="auto"/>
      </w:divBdr>
    </w:div>
    <w:div w:id="451943735">
      <w:bodyDiv w:val="1"/>
      <w:marLeft w:val="0"/>
      <w:marRight w:val="0"/>
      <w:marTop w:val="0"/>
      <w:marBottom w:val="0"/>
      <w:divBdr>
        <w:top w:val="none" w:sz="0" w:space="0" w:color="auto"/>
        <w:left w:val="none" w:sz="0" w:space="0" w:color="auto"/>
        <w:bottom w:val="none" w:sz="0" w:space="0" w:color="auto"/>
        <w:right w:val="none" w:sz="0" w:space="0" w:color="auto"/>
      </w:divBdr>
    </w:div>
    <w:div w:id="452021870">
      <w:bodyDiv w:val="1"/>
      <w:marLeft w:val="0"/>
      <w:marRight w:val="0"/>
      <w:marTop w:val="0"/>
      <w:marBottom w:val="0"/>
      <w:divBdr>
        <w:top w:val="none" w:sz="0" w:space="0" w:color="auto"/>
        <w:left w:val="none" w:sz="0" w:space="0" w:color="auto"/>
        <w:bottom w:val="none" w:sz="0" w:space="0" w:color="auto"/>
        <w:right w:val="none" w:sz="0" w:space="0" w:color="auto"/>
      </w:divBdr>
    </w:div>
    <w:div w:id="452022392">
      <w:bodyDiv w:val="1"/>
      <w:marLeft w:val="0"/>
      <w:marRight w:val="0"/>
      <w:marTop w:val="0"/>
      <w:marBottom w:val="0"/>
      <w:divBdr>
        <w:top w:val="none" w:sz="0" w:space="0" w:color="auto"/>
        <w:left w:val="none" w:sz="0" w:space="0" w:color="auto"/>
        <w:bottom w:val="none" w:sz="0" w:space="0" w:color="auto"/>
        <w:right w:val="none" w:sz="0" w:space="0" w:color="auto"/>
      </w:divBdr>
    </w:div>
    <w:div w:id="452136675">
      <w:bodyDiv w:val="1"/>
      <w:marLeft w:val="0"/>
      <w:marRight w:val="0"/>
      <w:marTop w:val="0"/>
      <w:marBottom w:val="0"/>
      <w:divBdr>
        <w:top w:val="none" w:sz="0" w:space="0" w:color="auto"/>
        <w:left w:val="none" w:sz="0" w:space="0" w:color="auto"/>
        <w:bottom w:val="none" w:sz="0" w:space="0" w:color="auto"/>
        <w:right w:val="none" w:sz="0" w:space="0" w:color="auto"/>
      </w:divBdr>
    </w:div>
    <w:div w:id="452141572">
      <w:bodyDiv w:val="1"/>
      <w:marLeft w:val="0"/>
      <w:marRight w:val="0"/>
      <w:marTop w:val="0"/>
      <w:marBottom w:val="0"/>
      <w:divBdr>
        <w:top w:val="none" w:sz="0" w:space="0" w:color="auto"/>
        <w:left w:val="none" w:sz="0" w:space="0" w:color="auto"/>
        <w:bottom w:val="none" w:sz="0" w:space="0" w:color="auto"/>
        <w:right w:val="none" w:sz="0" w:space="0" w:color="auto"/>
      </w:divBdr>
    </w:div>
    <w:div w:id="452213095">
      <w:bodyDiv w:val="1"/>
      <w:marLeft w:val="0"/>
      <w:marRight w:val="0"/>
      <w:marTop w:val="0"/>
      <w:marBottom w:val="0"/>
      <w:divBdr>
        <w:top w:val="none" w:sz="0" w:space="0" w:color="auto"/>
        <w:left w:val="none" w:sz="0" w:space="0" w:color="auto"/>
        <w:bottom w:val="none" w:sz="0" w:space="0" w:color="auto"/>
        <w:right w:val="none" w:sz="0" w:space="0" w:color="auto"/>
      </w:divBdr>
    </w:div>
    <w:div w:id="452290495">
      <w:bodyDiv w:val="1"/>
      <w:marLeft w:val="0"/>
      <w:marRight w:val="0"/>
      <w:marTop w:val="0"/>
      <w:marBottom w:val="0"/>
      <w:divBdr>
        <w:top w:val="none" w:sz="0" w:space="0" w:color="auto"/>
        <w:left w:val="none" w:sz="0" w:space="0" w:color="auto"/>
        <w:bottom w:val="none" w:sz="0" w:space="0" w:color="auto"/>
        <w:right w:val="none" w:sz="0" w:space="0" w:color="auto"/>
      </w:divBdr>
    </w:div>
    <w:div w:id="452290551">
      <w:bodyDiv w:val="1"/>
      <w:marLeft w:val="0"/>
      <w:marRight w:val="0"/>
      <w:marTop w:val="0"/>
      <w:marBottom w:val="0"/>
      <w:divBdr>
        <w:top w:val="none" w:sz="0" w:space="0" w:color="auto"/>
        <w:left w:val="none" w:sz="0" w:space="0" w:color="auto"/>
        <w:bottom w:val="none" w:sz="0" w:space="0" w:color="auto"/>
        <w:right w:val="none" w:sz="0" w:space="0" w:color="auto"/>
      </w:divBdr>
    </w:div>
    <w:div w:id="452408166">
      <w:bodyDiv w:val="1"/>
      <w:marLeft w:val="0"/>
      <w:marRight w:val="0"/>
      <w:marTop w:val="0"/>
      <w:marBottom w:val="0"/>
      <w:divBdr>
        <w:top w:val="none" w:sz="0" w:space="0" w:color="auto"/>
        <w:left w:val="none" w:sz="0" w:space="0" w:color="auto"/>
        <w:bottom w:val="none" w:sz="0" w:space="0" w:color="auto"/>
        <w:right w:val="none" w:sz="0" w:space="0" w:color="auto"/>
      </w:divBdr>
    </w:div>
    <w:div w:id="452675463">
      <w:bodyDiv w:val="1"/>
      <w:marLeft w:val="0"/>
      <w:marRight w:val="0"/>
      <w:marTop w:val="0"/>
      <w:marBottom w:val="0"/>
      <w:divBdr>
        <w:top w:val="none" w:sz="0" w:space="0" w:color="auto"/>
        <w:left w:val="none" w:sz="0" w:space="0" w:color="auto"/>
        <w:bottom w:val="none" w:sz="0" w:space="0" w:color="auto"/>
        <w:right w:val="none" w:sz="0" w:space="0" w:color="auto"/>
      </w:divBdr>
    </w:div>
    <w:div w:id="452944748">
      <w:bodyDiv w:val="1"/>
      <w:marLeft w:val="0"/>
      <w:marRight w:val="0"/>
      <w:marTop w:val="0"/>
      <w:marBottom w:val="0"/>
      <w:divBdr>
        <w:top w:val="none" w:sz="0" w:space="0" w:color="auto"/>
        <w:left w:val="none" w:sz="0" w:space="0" w:color="auto"/>
        <w:bottom w:val="none" w:sz="0" w:space="0" w:color="auto"/>
        <w:right w:val="none" w:sz="0" w:space="0" w:color="auto"/>
      </w:divBdr>
    </w:div>
    <w:div w:id="452946833">
      <w:bodyDiv w:val="1"/>
      <w:marLeft w:val="0"/>
      <w:marRight w:val="0"/>
      <w:marTop w:val="0"/>
      <w:marBottom w:val="0"/>
      <w:divBdr>
        <w:top w:val="none" w:sz="0" w:space="0" w:color="auto"/>
        <w:left w:val="none" w:sz="0" w:space="0" w:color="auto"/>
        <w:bottom w:val="none" w:sz="0" w:space="0" w:color="auto"/>
        <w:right w:val="none" w:sz="0" w:space="0" w:color="auto"/>
      </w:divBdr>
    </w:div>
    <w:div w:id="452989913">
      <w:bodyDiv w:val="1"/>
      <w:marLeft w:val="0"/>
      <w:marRight w:val="0"/>
      <w:marTop w:val="0"/>
      <w:marBottom w:val="0"/>
      <w:divBdr>
        <w:top w:val="none" w:sz="0" w:space="0" w:color="auto"/>
        <w:left w:val="none" w:sz="0" w:space="0" w:color="auto"/>
        <w:bottom w:val="none" w:sz="0" w:space="0" w:color="auto"/>
        <w:right w:val="none" w:sz="0" w:space="0" w:color="auto"/>
      </w:divBdr>
    </w:div>
    <w:div w:id="453061765">
      <w:bodyDiv w:val="1"/>
      <w:marLeft w:val="0"/>
      <w:marRight w:val="0"/>
      <w:marTop w:val="0"/>
      <w:marBottom w:val="0"/>
      <w:divBdr>
        <w:top w:val="none" w:sz="0" w:space="0" w:color="auto"/>
        <w:left w:val="none" w:sz="0" w:space="0" w:color="auto"/>
        <w:bottom w:val="none" w:sz="0" w:space="0" w:color="auto"/>
        <w:right w:val="none" w:sz="0" w:space="0" w:color="auto"/>
      </w:divBdr>
    </w:div>
    <w:div w:id="453064948">
      <w:bodyDiv w:val="1"/>
      <w:marLeft w:val="0"/>
      <w:marRight w:val="0"/>
      <w:marTop w:val="0"/>
      <w:marBottom w:val="0"/>
      <w:divBdr>
        <w:top w:val="none" w:sz="0" w:space="0" w:color="auto"/>
        <w:left w:val="none" w:sz="0" w:space="0" w:color="auto"/>
        <w:bottom w:val="none" w:sz="0" w:space="0" w:color="auto"/>
        <w:right w:val="none" w:sz="0" w:space="0" w:color="auto"/>
      </w:divBdr>
    </w:div>
    <w:div w:id="453137162">
      <w:bodyDiv w:val="1"/>
      <w:marLeft w:val="0"/>
      <w:marRight w:val="0"/>
      <w:marTop w:val="0"/>
      <w:marBottom w:val="0"/>
      <w:divBdr>
        <w:top w:val="none" w:sz="0" w:space="0" w:color="auto"/>
        <w:left w:val="none" w:sz="0" w:space="0" w:color="auto"/>
        <w:bottom w:val="none" w:sz="0" w:space="0" w:color="auto"/>
        <w:right w:val="none" w:sz="0" w:space="0" w:color="auto"/>
      </w:divBdr>
    </w:div>
    <w:div w:id="453209084">
      <w:bodyDiv w:val="1"/>
      <w:marLeft w:val="0"/>
      <w:marRight w:val="0"/>
      <w:marTop w:val="0"/>
      <w:marBottom w:val="0"/>
      <w:divBdr>
        <w:top w:val="none" w:sz="0" w:space="0" w:color="auto"/>
        <w:left w:val="none" w:sz="0" w:space="0" w:color="auto"/>
        <w:bottom w:val="none" w:sz="0" w:space="0" w:color="auto"/>
        <w:right w:val="none" w:sz="0" w:space="0" w:color="auto"/>
      </w:divBdr>
    </w:div>
    <w:div w:id="453210970">
      <w:bodyDiv w:val="1"/>
      <w:marLeft w:val="0"/>
      <w:marRight w:val="0"/>
      <w:marTop w:val="0"/>
      <w:marBottom w:val="0"/>
      <w:divBdr>
        <w:top w:val="none" w:sz="0" w:space="0" w:color="auto"/>
        <w:left w:val="none" w:sz="0" w:space="0" w:color="auto"/>
        <w:bottom w:val="none" w:sz="0" w:space="0" w:color="auto"/>
        <w:right w:val="none" w:sz="0" w:space="0" w:color="auto"/>
      </w:divBdr>
    </w:div>
    <w:div w:id="453251172">
      <w:bodyDiv w:val="1"/>
      <w:marLeft w:val="0"/>
      <w:marRight w:val="0"/>
      <w:marTop w:val="0"/>
      <w:marBottom w:val="0"/>
      <w:divBdr>
        <w:top w:val="none" w:sz="0" w:space="0" w:color="auto"/>
        <w:left w:val="none" w:sz="0" w:space="0" w:color="auto"/>
        <w:bottom w:val="none" w:sz="0" w:space="0" w:color="auto"/>
        <w:right w:val="none" w:sz="0" w:space="0" w:color="auto"/>
      </w:divBdr>
    </w:div>
    <w:div w:id="453252484">
      <w:bodyDiv w:val="1"/>
      <w:marLeft w:val="0"/>
      <w:marRight w:val="0"/>
      <w:marTop w:val="0"/>
      <w:marBottom w:val="0"/>
      <w:divBdr>
        <w:top w:val="none" w:sz="0" w:space="0" w:color="auto"/>
        <w:left w:val="none" w:sz="0" w:space="0" w:color="auto"/>
        <w:bottom w:val="none" w:sz="0" w:space="0" w:color="auto"/>
        <w:right w:val="none" w:sz="0" w:space="0" w:color="auto"/>
      </w:divBdr>
    </w:div>
    <w:div w:id="453256964">
      <w:bodyDiv w:val="1"/>
      <w:marLeft w:val="0"/>
      <w:marRight w:val="0"/>
      <w:marTop w:val="0"/>
      <w:marBottom w:val="0"/>
      <w:divBdr>
        <w:top w:val="none" w:sz="0" w:space="0" w:color="auto"/>
        <w:left w:val="none" w:sz="0" w:space="0" w:color="auto"/>
        <w:bottom w:val="none" w:sz="0" w:space="0" w:color="auto"/>
        <w:right w:val="none" w:sz="0" w:space="0" w:color="auto"/>
      </w:divBdr>
    </w:div>
    <w:div w:id="453333518">
      <w:bodyDiv w:val="1"/>
      <w:marLeft w:val="0"/>
      <w:marRight w:val="0"/>
      <w:marTop w:val="0"/>
      <w:marBottom w:val="0"/>
      <w:divBdr>
        <w:top w:val="none" w:sz="0" w:space="0" w:color="auto"/>
        <w:left w:val="none" w:sz="0" w:space="0" w:color="auto"/>
        <w:bottom w:val="none" w:sz="0" w:space="0" w:color="auto"/>
        <w:right w:val="none" w:sz="0" w:space="0" w:color="auto"/>
      </w:divBdr>
    </w:div>
    <w:div w:id="453406232">
      <w:bodyDiv w:val="1"/>
      <w:marLeft w:val="0"/>
      <w:marRight w:val="0"/>
      <w:marTop w:val="0"/>
      <w:marBottom w:val="0"/>
      <w:divBdr>
        <w:top w:val="none" w:sz="0" w:space="0" w:color="auto"/>
        <w:left w:val="none" w:sz="0" w:space="0" w:color="auto"/>
        <w:bottom w:val="none" w:sz="0" w:space="0" w:color="auto"/>
        <w:right w:val="none" w:sz="0" w:space="0" w:color="auto"/>
      </w:divBdr>
    </w:div>
    <w:div w:id="453446078">
      <w:bodyDiv w:val="1"/>
      <w:marLeft w:val="0"/>
      <w:marRight w:val="0"/>
      <w:marTop w:val="0"/>
      <w:marBottom w:val="0"/>
      <w:divBdr>
        <w:top w:val="none" w:sz="0" w:space="0" w:color="auto"/>
        <w:left w:val="none" w:sz="0" w:space="0" w:color="auto"/>
        <w:bottom w:val="none" w:sz="0" w:space="0" w:color="auto"/>
        <w:right w:val="none" w:sz="0" w:space="0" w:color="auto"/>
      </w:divBdr>
    </w:div>
    <w:div w:id="453448067">
      <w:bodyDiv w:val="1"/>
      <w:marLeft w:val="0"/>
      <w:marRight w:val="0"/>
      <w:marTop w:val="0"/>
      <w:marBottom w:val="0"/>
      <w:divBdr>
        <w:top w:val="none" w:sz="0" w:space="0" w:color="auto"/>
        <w:left w:val="none" w:sz="0" w:space="0" w:color="auto"/>
        <w:bottom w:val="none" w:sz="0" w:space="0" w:color="auto"/>
        <w:right w:val="none" w:sz="0" w:space="0" w:color="auto"/>
      </w:divBdr>
    </w:div>
    <w:div w:id="453603667">
      <w:bodyDiv w:val="1"/>
      <w:marLeft w:val="0"/>
      <w:marRight w:val="0"/>
      <w:marTop w:val="0"/>
      <w:marBottom w:val="0"/>
      <w:divBdr>
        <w:top w:val="none" w:sz="0" w:space="0" w:color="auto"/>
        <w:left w:val="none" w:sz="0" w:space="0" w:color="auto"/>
        <w:bottom w:val="none" w:sz="0" w:space="0" w:color="auto"/>
        <w:right w:val="none" w:sz="0" w:space="0" w:color="auto"/>
      </w:divBdr>
    </w:div>
    <w:div w:id="453715942">
      <w:bodyDiv w:val="1"/>
      <w:marLeft w:val="0"/>
      <w:marRight w:val="0"/>
      <w:marTop w:val="0"/>
      <w:marBottom w:val="0"/>
      <w:divBdr>
        <w:top w:val="none" w:sz="0" w:space="0" w:color="auto"/>
        <w:left w:val="none" w:sz="0" w:space="0" w:color="auto"/>
        <w:bottom w:val="none" w:sz="0" w:space="0" w:color="auto"/>
        <w:right w:val="none" w:sz="0" w:space="0" w:color="auto"/>
      </w:divBdr>
    </w:div>
    <w:div w:id="453794597">
      <w:bodyDiv w:val="1"/>
      <w:marLeft w:val="0"/>
      <w:marRight w:val="0"/>
      <w:marTop w:val="0"/>
      <w:marBottom w:val="0"/>
      <w:divBdr>
        <w:top w:val="none" w:sz="0" w:space="0" w:color="auto"/>
        <w:left w:val="none" w:sz="0" w:space="0" w:color="auto"/>
        <w:bottom w:val="none" w:sz="0" w:space="0" w:color="auto"/>
        <w:right w:val="none" w:sz="0" w:space="0" w:color="auto"/>
      </w:divBdr>
    </w:div>
    <w:div w:id="453867952">
      <w:bodyDiv w:val="1"/>
      <w:marLeft w:val="0"/>
      <w:marRight w:val="0"/>
      <w:marTop w:val="0"/>
      <w:marBottom w:val="0"/>
      <w:divBdr>
        <w:top w:val="none" w:sz="0" w:space="0" w:color="auto"/>
        <w:left w:val="none" w:sz="0" w:space="0" w:color="auto"/>
        <w:bottom w:val="none" w:sz="0" w:space="0" w:color="auto"/>
        <w:right w:val="none" w:sz="0" w:space="0" w:color="auto"/>
      </w:divBdr>
    </w:div>
    <w:div w:id="453910907">
      <w:bodyDiv w:val="1"/>
      <w:marLeft w:val="0"/>
      <w:marRight w:val="0"/>
      <w:marTop w:val="0"/>
      <w:marBottom w:val="0"/>
      <w:divBdr>
        <w:top w:val="none" w:sz="0" w:space="0" w:color="auto"/>
        <w:left w:val="none" w:sz="0" w:space="0" w:color="auto"/>
        <w:bottom w:val="none" w:sz="0" w:space="0" w:color="auto"/>
        <w:right w:val="none" w:sz="0" w:space="0" w:color="auto"/>
      </w:divBdr>
    </w:div>
    <w:div w:id="453911826">
      <w:bodyDiv w:val="1"/>
      <w:marLeft w:val="0"/>
      <w:marRight w:val="0"/>
      <w:marTop w:val="0"/>
      <w:marBottom w:val="0"/>
      <w:divBdr>
        <w:top w:val="none" w:sz="0" w:space="0" w:color="auto"/>
        <w:left w:val="none" w:sz="0" w:space="0" w:color="auto"/>
        <w:bottom w:val="none" w:sz="0" w:space="0" w:color="auto"/>
        <w:right w:val="none" w:sz="0" w:space="0" w:color="auto"/>
      </w:divBdr>
    </w:div>
    <w:div w:id="454104114">
      <w:bodyDiv w:val="1"/>
      <w:marLeft w:val="0"/>
      <w:marRight w:val="0"/>
      <w:marTop w:val="0"/>
      <w:marBottom w:val="0"/>
      <w:divBdr>
        <w:top w:val="none" w:sz="0" w:space="0" w:color="auto"/>
        <w:left w:val="none" w:sz="0" w:space="0" w:color="auto"/>
        <w:bottom w:val="none" w:sz="0" w:space="0" w:color="auto"/>
        <w:right w:val="none" w:sz="0" w:space="0" w:color="auto"/>
      </w:divBdr>
    </w:div>
    <w:div w:id="454105341">
      <w:bodyDiv w:val="1"/>
      <w:marLeft w:val="0"/>
      <w:marRight w:val="0"/>
      <w:marTop w:val="0"/>
      <w:marBottom w:val="0"/>
      <w:divBdr>
        <w:top w:val="none" w:sz="0" w:space="0" w:color="auto"/>
        <w:left w:val="none" w:sz="0" w:space="0" w:color="auto"/>
        <w:bottom w:val="none" w:sz="0" w:space="0" w:color="auto"/>
        <w:right w:val="none" w:sz="0" w:space="0" w:color="auto"/>
      </w:divBdr>
    </w:div>
    <w:div w:id="454250899">
      <w:bodyDiv w:val="1"/>
      <w:marLeft w:val="0"/>
      <w:marRight w:val="0"/>
      <w:marTop w:val="0"/>
      <w:marBottom w:val="0"/>
      <w:divBdr>
        <w:top w:val="none" w:sz="0" w:space="0" w:color="auto"/>
        <w:left w:val="none" w:sz="0" w:space="0" w:color="auto"/>
        <w:bottom w:val="none" w:sz="0" w:space="0" w:color="auto"/>
        <w:right w:val="none" w:sz="0" w:space="0" w:color="auto"/>
      </w:divBdr>
    </w:div>
    <w:div w:id="454296707">
      <w:bodyDiv w:val="1"/>
      <w:marLeft w:val="0"/>
      <w:marRight w:val="0"/>
      <w:marTop w:val="0"/>
      <w:marBottom w:val="0"/>
      <w:divBdr>
        <w:top w:val="none" w:sz="0" w:space="0" w:color="auto"/>
        <w:left w:val="none" w:sz="0" w:space="0" w:color="auto"/>
        <w:bottom w:val="none" w:sz="0" w:space="0" w:color="auto"/>
        <w:right w:val="none" w:sz="0" w:space="0" w:color="auto"/>
      </w:divBdr>
    </w:div>
    <w:div w:id="454296979">
      <w:bodyDiv w:val="1"/>
      <w:marLeft w:val="0"/>
      <w:marRight w:val="0"/>
      <w:marTop w:val="0"/>
      <w:marBottom w:val="0"/>
      <w:divBdr>
        <w:top w:val="none" w:sz="0" w:space="0" w:color="auto"/>
        <w:left w:val="none" w:sz="0" w:space="0" w:color="auto"/>
        <w:bottom w:val="none" w:sz="0" w:space="0" w:color="auto"/>
        <w:right w:val="none" w:sz="0" w:space="0" w:color="auto"/>
      </w:divBdr>
    </w:div>
    <w:div w:id="454299004">
      <w:bodyDiv w:val="1"/>
      <w:marLeft w:val="0"/>
      <w:marRight w:val="0"/>
      <w:marTop w:val="0"/>
      <w:marBottom w:val="0"/>
      <w:divBdr>
        <w:top w:val="none" w:sz="0" w:space="0" w:color="auto"/>
        <w:left w:val="none" w:sz="0" w:space="0" w:color="auto"/>
        <w:bottom w:val="none" w:sz="0" w:space="0" w:color="auto"/>
        <w:right w:val="none" w:sz="0" w:space="0" w:color="auto"/>
      </w:divBdr>
    </w:div>
    <w:div w:id="454369403">
      <w:bodyDiv w:val="1"/>
      <w:marLeft w:val="0"/>
      <w:marRight w:val="0"/>
      <w:marTop w:val="0"/>
      <w:marBottom w:val="0"/>
      <w:divBdr>
        <w:top w:val="none" w:sz="0" w:space="0" w:color="auto"/>
        <w:left w:val="none" w:sz="0" w:space="0" w:color="auto"/>
        <w:bottom w:val="none" w:sz="0" w:space="0" w:color="auto"/>
        <w:right w:val="none" w:sz="0" w:space="0" w:color="auto"/>
      </w:divBdr>
    </w:div>
    <w:div w:id="454371985">
      <w:bodyDiv w:val="1"/>
      <w:marLeft w:val="0"/>
      <w:marRight w:val="0"/>
      <w:marTop w:val="0"/>
      <w:marBottom w:val="0"/>
      <w:divBdr>
        <w:top w:val="none" w:sz="0" w:space="0" w:color="auto"/>
        <w:left w:val="none" w:sz="0" w:space="0" w:color="auto"/>
        <w:bottom w:val="none" w:sz="0" w:space="0" w:color="auto"/>
        <w:right w:val="none" w:sz="0" w:space="0" w:color="auto"/>
      </w:divBdr>
    </w:div>
    <w:div w:id="454446632">
      <w:bodyDiv w:val="1"/>
      <w:marLeft w:val="0"/>
      <w:marRight w:val="0"/>
      <w:marTop w:val="0"/>
      <w:marBottom w:val="0"/>
      <w:divBdr>
        <w:top w:val="none" w:sz="0" w:space="0" w:color="auto"/>
        <w:left w:val="none" w:sz="0" w:space="0" w:color="auto"/>
        <w:bottom w:val="none" w:sz="0" w:space="0" w:color="auto"/>
        <w:right w:val="none" w:sz="0" w:space="0" w:color="auto"/>
      </w:divBdr>
    </w:div>
    <w:div w:id="454449686">
      <w:bodyDiv w:val="1"/>
      <w:marLeft w:val="0"/>
      <w:marRight w:val="0"/>
      <w:marTop w:val="0"/>
      <w:marBottom w:val="0"/>
      <w:divBdr>
        <w:top w:val="none" w:sz="0" w:space="0" w:color="auto"/>
        <w:left w:val="none" w:sz="0" w:space="0" w:color="auto"/>
        <w:bottom w:val="none" w:sz="0" w:space="0" w:color="auto"/>
        <w:right w:val="none" w:sz="0" w:space="0" w:color="auto"/>
      </w:divBdr>
    </w:div>
    <w:div w:id="454450502">
      <w:bodyDiv w:val="1"/>
      <w:marLeft w:val="0"/>
      <w:marRight w:val="0"/>
      <w:marTop w:val="0"/>
      <w:marBottom w:val="0"/>
      <w:divBdr>
        <w:top w:val="none" w:sz="0" w:space="0" w:color="auto"/>
        <w:left w:val="none" w:sz="0" w:space="0" w:color="auto"/>
        <w:bottom w:val="none" w:sz="0" w:space="0" w:color="auto"/>
        <w:right w:val="none" w:sz="0" w:space="0" w:color="auto"/>
      </w:divBdr>
    </w:div>
    <w:div w:id="454714794">
      <w:bodyDiv w:val="1"/>
      <w:marLeft w:val="0"/>
      <w:marRight w:val="0"/>
      <w:marTop w:val="0"/>
      <w:marBottom w:val="0"/>
      <w:divBdr>
        <w:top w:val="none" w:sz="0" w:space="0" w:color="auto"/>
        <w:left w:val="none" w:sz="0" w:space="0" w:color="auto"/>
        <w:bottom w:val="none" w:sz="0" w:space="0" w:color="auto"/>
        <w:right w:val="none" w:sz="0" w:space="0" w:color="auto"/>
      </w:divBdr>
    </w:div>
    <w:div w:id="454719038">
      <w:bodyDiv w:val="1"/>
      <w:marLeft w:val="0"/>
      <w:marRight w:val="0"/>
      <w:marTop w:val="0"/>
      <w:marBottom w:val="0"/>
      <w:divBdr>
        <w:top w:val="none" w:sz="0" w:space="0" w:color="auto"/>
        <w:left w:val="none" w:sz="0" w:space="0" w:color="auto"/>
        <w:bottom w:val="none" w:sz="0" w:space="0" w:color="auto"/>
        <w:right w:val="none" w:sz="0" w:space="0" w:color="auto"/>
      </w:divBdr>
    </w:div>
    <w:div w:id="454829996">
      <w:bodyDiv w:val="1"/>
      <w:marLeft w:val="0"/>
      <w:marRight w:val="0"/>
      <w:marTop w:val="0"/>
      <w:marBottom w:val="0"/>
      <w:divBdr>
        <w:top w:val="none" w:sz="0" w:space="0" w:color="auto"/>
        <w:left w:val="none" w:sz="0" w:space="0" w:color="auto"/>
        <w:bottom w:val="none" w:sz="0" w:space="0" w:color="auto"/>
        <w:right w:val="none" w:sz="0" w:space="0" w:color="auto"/>
      </w:divBdr>
    </w:div>
    <w:div w:id="454980331">
      <w:bodyDiv w:val="1"/>
      <w:marLeft w:val="0"/>
      <w:marRight w:val="0"/>
      <w:marTop w:val="0"/>
      <w:marBottom w:val="0"/>
      <w:divBdr>
        <w:top w:val="none" w:sz="0" w:space="0" w:color="auto"/>
        <w:left w:val="none" w:sz="0" w:space="0" w:color="auto"/>
        <w:bottom w:val="none" w:sz="0" w:space="0" w:color="auto"/>
        <w:right w:val="none" w:sz="0" w:space="0" w:color="auto"/>
      </w:divBdr>
    </w:div>
    <w:div w:id="455027857">
      <w:bodyDiv w:val="1"/>
      <w:marLeft w:val="0"/>
      <w:marRight w:val="0"/>
      <w:marTop w:val="0"/>
      <w:marBottom w:val="0"/>
      <w:divBdr>
        <w:top w:val="none" w:sz="0" w:space="0" w:color="auto"/>
        <w:left w:val="none" w:sz="0" w:space="0" w:color="auto"/>
        <w:bottom w:val="none" w:sz="0" w:space="0" w:color="auto"/>
        <w:right w:val="none" w:sz="0" w:space="0" w:color="auto"/>
      </w:divBdr>
    </w:div>
    <w:div w:id="455105624">
      <w:bodyDiv w:val="1"/>
      <w:marLeft w:val="0"/>
      <w:marRight w:val="0"/>
      <w:marTop w:val="0"/>
      <w:marBottom w:val="0"/>
      <w:divBdr>
        <w:top w:val="none" w:sz="0" w:space="0" w:color="auto"/>
        <w:left w:val="none" w:sz="0" w:space="0" w:color="auto"/>
        <w:bottom w:val="none" w:sz="0" w:space="0" w:color="auto"/>
        <w:right w:val="none" w:sz="0" w:space="0" w:color="auto"/>
      </w:divBdr>
    </w:div>
    <w:div w:id="455217707">
      <w:bodyDiv w:val="1"/>
      <w:marLeft w:val="0"/>
      <w:marRight w:val="0"/>
      <w:marTop w:val="0"/>
      <w:marBottom w:val="0"/>
      <w:divBdr>
        <w:top w:val="none" w:sz="0" w:space="0" w:color="auto"/>
        <w:left w:val="none" w:sz="0" w:space="0" w:color="auto"/>
        <w:bottom w:val="none" w:sz="0" w:space="0" w:color="auto"/>
        <w:right w:val="none" w:sz="0" w:space="0" w:color="auto"/>
      </w:divBdr>
    </w:div>
    <w:div w:id="455222539">
      <w:bodyDiv w:val="1"/>
      <w:marLeft w:val="0"/>
      <w:marRight w:val="0"/>
      <w:marTop w:val="0"/>
      <w:marBottom w:val="0"/>
      <w:divBdr>
        <w:top w:val="none" w:sz="0" w:space="0" w:color="auto"/>
        <w:left w:val="none" w:sz="0" w:space="0" w:color="auto"/>
        <w:bottom w:val="none" w:sz="0" w:space="0" w:color="auto"/>
        <w:right w:val="none" w:sz="0" w:space="0" w:color="auto"/>
      </w:divBdr>
    </w:div>
    <w:div w:id="455368602">
      <w:bodyDiv w:val="1"/>
      <w:marLeft w:val="0"/>
      <w:marRight w:val="0"/>
      <w:marTop w:val="0"/>
      <w:marBottom w:val="0"/>
      <w:divBdr>
        <w:top w:val="none" w:sz="0" w:space="0" w:color="auto"/>
        <w:left w:val="none" w:sz="0" w:space="0" w:color="auto"/>
        <w:bottom w:val="none" w:sz="0" w:space="0" w:color="auto"/>
        <w:right w:val="none" w:sz="0" w:space="0" w:color="auto"/>
      </w:divBdr>
    </w:div>
    <w:div w:id="455370956">
      <w:bodyDiv w:val="1"/>
      <w:marLeft w:val="0"/>
      <w:marRight w:val="0"/>
      <w:marTop w:val="0"/>
      <w:marBottom w:val="0"/>
      <w:divBdr>
        <w:top w:val="none" w:sz="0" w:space="0" w:color="auto"/>
        <w:left w:val="none" w:sz="0" w:space="0" w:color="auto"/>
        <w:bottom w:val="none" w:sz="0" w:space="0" w:color="auto"/>
        <w:right w:val="none" w:sz="0" w:space="0" w:color="auto"/>
      </w:divBdr>
    </w:div>
    <w:div w:id="455636177">
      <w:bodyDiv w:val="1"/>
      <w:marLeft w:val="0"/>
      <w:marRight w:val="0"/>
      <w:marTop w:val="0"/>
      <w:marBottom w:val="0"/>
      <w:divBdr>
        <w:top w:val="none" w:sz="0" w:space="0" w:color="auto"/>
        <w:left w:val="none" w:sz="0" w:space="0" w:color="auto"/>
        <w:bottom w:val="none" w:sz="0" w:space="0" w:color="auto"/>
        <w:right w:val="none" w:sz="0" w:space="0" w:color="auto"/>
      </w:divBdr>
    </w:div>
    <w:div w:id="455833375">
      <w:bodyDiv w:val="1"/>
      <w:marLeft w:val="0"/>
      <w:marRight w:val="0"/>
      <w:marTop w:val="0"/>
      <w:marBottom w:val="0"/>
      <w:divBdr>
        <w:top w:val="none" w:sz="0" w:space="0" w:color="auto"/>
        <w:left w:val="none" w:sz="0" w:space="0" w:color="auto"/>
        <w:bottom w:val="none" w:sz="0" w:space="0" w:color="auto"/>
        <w:right w:val="none" w:sz="0" w:space="0" w:color="auto"/>
      </w:divBdr>
    </w:div>
    <w:div w:id="455948569">
      <w:bodyDiv w:val="1"/>
      <w:marLeft w:val="0"/>
      <w:marRight w:val="0"/>
      <w:marTop w:val="0"/>
      <w:marBottom w:val="0"/>
      <w:divBdr>
        <w:top w:val="none" w:sz="0" w:space="0" w:color="auto"/>
        <w:left w:val="none" w:sz="0" w:space="0" w:color="auto"/>
        <w:bottom w:val="none" w:sz="0" w:space="0" w:color="auto"/>
        <w:right w:val="none" w:sz="0" w:space="0" w:color="auto"/>
      </w:divBdr>
    </w:div>
    <w:div w:id="455948771">
      <w:bodyDiv w:val="1"/>
      <w:marLeft w:val="0"/>
      <w:marRight w:val="0"/>
      <w:marTop w:val="0"/>
      <w:marBottom w:val="0"/>
      <w:divBdr>
        <w:top w:val="none" w:sz="0" w:space="0" w:color="auto"/>
        <w:left w:val="none" w:sz="0" w:space="0" w:color="auto"/>
        <w:bottom w:val="none" w:sz="0" w:space="0" w:color="auto"/>
        <w:right w:val="none" w:sz="0" w:space="0" w:color="auto"/>
      </w:divBdr>
    </w:div>
    <w:div w:id="456028813">
      <w:bodyDiv w:val="1"/>
      <w:marLeft w:val="0"/>
      <w:marRight w:val="0"/>
      <w:marTop w:val="0"/>
      <w:marBottom w:val="0"/>
      <w:divBdr>
        <w:top w:val="none" w:sz="0" w:space="0" w:color="auto"/>
        <w:left w:val="none" w:sz="0" w:space="0" w:color="auto"/>
        <w:bottom w:val="none" w:sz="0" w:space="0" w:color="auto"/>
        <w:right w:val="none" w:sz="0" w:space="0" w:color="auto"/>
      </w:divBdr>
    </w:div>
    <w:div w:id="456141751">
      <w:bodyDiv w:val="1"/>
      <w:marLeft w:val="0"/>
      <w:marRight w:val="0"/>
      <w:marTop w:val="0"/>
      <w:marBottom w:val="0"/>
      <w:divBdr>
        <w:top w:val="none" w:sz="0" w:space="0" w:color="auto"/>
        <w:left w:val="none" w:sz="0" w:space="0" w:color="auto"/>
        <w:bottom w:val="none" w:sz="0" w:space="0" w:color="auto"/>
        <w:right w:val="none" w:sz="0" w:space="0" w:color="auto"/>
      </w:divBdr>
    </w:div>
    <w:div w:id="456222118">
      <w:bodyDiv w:val="1"/>
      <w:marLeft w:val="0"/>
      <w:marRight w:val="0"/>
      <w:marTop w:val="0"/>
      <w:marBottom w:val="0"/>
      <w:divBdr>
        <w:top w:val="none" w:sz="0" w:space="0" w:color="auto"/>
        <w:left w:val="none" w:sz="0" w:space="0" w:color="auto"/>
        <w:bottom w:val="none" w:sz="0" w:space="0" w:color="auto"/>
        <w:right w:val="none" w:sz="0" w:space="0" w:color="auto"/>
      </w:divBdr>
    </w:div>
    <w:div w:id="456263790">
      <w:bodyDiv w:val="1"/>
      <w:marLeft w:val="0"/>
      <w:marRight w:val="0"/>
      <w:marTop w:val="0"/>
      <w:marBottom w:val="0"/>
      <w:divBdr>
        <w:top w:val="none" w:sz="0" w:space="0" w:color="auto"/>
        <w:left w:val="none" w:sz="0" w:space="0" w:color="auto"/>
        <w:bottom w:val="none" w:sz="0" w:space="0" w:color="auto"/>
        <w:right w:val="none" w:sz="0" w:space="0" w:color="auto"/>
      </w:divBdr>
    </w:div>
    <w:div w:id="456336206">
      <w:bodyDiv w:val="1"/>
      <w:marLeft w:val="0"/>
      <w:marRight w:val="0"/>
      <w:marTop w:val="0"/>
      <w:marBottom w:val="0"/>
      <w:divBdr>
        <w:top w:val="none" w:sz="0" w:space="0" w:color="auto"/>
        <w:left w:val="none" w:sz="0" w:space="0" w:color="auto"/>
        <w:bottom w:val="none" w:sz="0" w:space="0" w:color="auto"/>
        <w:right w:val="none" w:sz="0" w:space="0" w:color="auto"/>
      </w:divBdr>
    </w:div>
    <w:div w:id="456341088">
      <w:bodyDiv w:val="1"/>
      <w:marLeft w:val="0"/>
      <w:marRight w:val="0"/>
      <w:marTop w:val="0"/>
      <w:marBottom w:val="0"/>
      <w:divBdr>
        <w:top w:val="none" w:sz="0" w:space="0" w:color="auto"/>
        <w:left w:val="none" w:sz="0" w:space="0" w:color="auto"/>
        <w:bottom w:val="none" w:sz="0" w:space="0" w:color="auto"/>
        <w:right w:val="none" w:sz="0" w:space="0" w:color="auto"/>
      </w:divBdr>
    </w:div>
    <w:div w:id="456487371">
      <w:bodyDiv w:val="1"/>
      <w:marLeft w:val="0"/>
      <w:marRight w:val="0"/>
      <w:marTop w:val="0"/>
      <w:marBottom w:val="0"/>
      <w:divBdr>
        <w:top w:val="none" w:sz="0" w:space="0" w:color="auto"/>
        <w:left w:val="none" w:sz="0" w:space="0" w:color="auto"/>
        <w:bottom w:val="none" w:sz="0" w:space="0" w:color="auto"/>
        <w:right w:val="none" w:sz="0" w:space="0" w:color="auto"/>
      </w:divBdr>
    </w:div>
    <w:div w:id="456605160">
      <w:bodyDiv w:val="1"/>
      <w:marLeft w:val="0"/>
      <w:marRight w:val="0"/>
      <w:marTop w:val="0"/>
      <w:marBottom w:val="0"/>
      <w:divBdr>
        <w:top w:val="none" w:sz="0" w:space="0" w:color="auto"/>
        <w:left w:val="none" w:sz="0" w:space="0" w:color="auto"/>
        <w:bottom w:val="none" w:sz="0" w:space="0" w:color="auto"/>
        <w:right w:val="none" w:sz="0" w:space="0" w:color="auto"/>
      </w:divBdr>
    </w:div>
    <w:div w:id="456607806">
      <w:bodyDiv w:val="1"/>
      <w:marLeft w:val="0"/>
      <w:marRight w:val="0"/>
      <w:marTop w:val="0"/>
      <w:marBottom w:val="0"/>
      <w:divBdr>
        <w:top w:val="none" w:sz="0" w:space="0" w:color="auto"/>
        <w:left w:val="none" w:sz="0" w:space="0" w:color="auto"/>
        <w:bottom w:val="none" w:sz="0" w:space="0" w:color="auto"/>
        <w:right w:val="none" w:sz="0" w:space="0" w:color="auto"/>
      </w:divBdr>
    </w:div>
    <w:div w:id="456795108">
      <w:bodyDiv w:val="1"/>
      <w:marLeft w:val="0"/>
      <w:marRight w:val="0"/>
      <w:marTop w:val="0"/>
      <w:marBottom w:val="0"/>
      <w:divBdr>
        <w:top w:val="none" w:sz="0" w:space="0" w:color="auto"/>
        <w:left w:val="none" w:sz="0" w:space="0" w:color="auto"/>
        <w:bottom w:val="none" w:sz="0" w:space="0" w:color="auto"/>
        <w:right w:val="none" w:sz="0" w:space="0" w:color="auto"/>
      </w:divBdr>
    </w:div>
    <w:div w:id="456920217">
      <w:bodyDiv w:val="1"/>
      <w:marLeft w:val="0"/>
      <w:marRight w:val="0"/>
      <w:marTop w:val="0"/>
      <w:marBottom w:val="0"/>
      <w:divBdr>
        <w:top w:val="none" w:sz="0" w:space="0" w:color="auto"/>
        <w:left w:val="none" w:sz="0" w:space="0" w:color="auto"/>
        <w:bottom w:val="none" w:sz="0" w:space="0" w:color="auto"/>
        <w:right w:val="none" w:sz="0" w:space="0" w:color="auto"/>
      </w:divBdr>
    </w:div>
    <w:div w:id="456921690">
      <w:bodyDiv w:val="1"/>
      <w:marLeft w:val="0"/>
      <w:marRight w:val="0"/>
      <w:marTop w:val="0"/>
      <w:marBottom w:val="0"/>
      <w:divBdr>
        <w:top w:val="none" w:sz="0" w:space="0" w:color="auto"/>
        <w:left w:val="none" w:sz="0" w:space="0" w:color="auto"/>
        <w:bottom w:val="none" w:sz="0" w:space="0" w:color="auto"/>
        <w:right w:val="none" w:sz="0" w:space="0" w:color="auto"/>
      </w:divBdr>
    </w:div>
    <w:div w:id="456947563">
      <w:bodyDiv w:val="1"/>
      <w:marLeft w:val="0"/>
      <w:marRight w:val="0"/>
      <w:marTop w:val="0"/>
      <w:marBottom w:val="0"/>
      <w:divBdr>
        <w:top w:val="none" w:sz="0" w:space="0" w:color="auto"/>
        <w:left w:val="none" w:sz="0" w:space="0" w:color="auto"/>
        <w:bottom w:val="none" w:sz="0" w:space="0" w:color="auto"/>
        <w:right w:val="none" w:sz="0" w:space="0" w:color="auto"/>
      </w:divBdr>
    </w:div>
    <w:div w:id="456988701">
      <w:bodyDiv w:val="1"/>
      <w:marLeft w:val="0"/>
      <w:marRight w:val="0"/>
      <w:marTop w:val="0"/>
      <w:marBottom w:val="0"/>
      <w:divBdr>
        <w:top w:val="none" w:sz="0" w:space="0" w:color="auto"/>
        <w:left w:val="none" w:sz="0" w:space="0" w:color="auto"/>
        <w:bottom w:val="none" w:sz="0" w:space="0" w:color="auto"/>
        <w:right w:val="none" w:sz="0" w:space="0" w:color="auto"/>
      </w:divBdr>
    </w:div>
    <w:div w:id="457334888">
      <w:bodyDiv w:val="1"/>
      <w:marLeft w:val="0"/>
      <w:marRight w:val="0"/>
      <w:marTop w:val="0"/>
      <w:marBottom w:val="0"/>
      <w:divBdr>
        <w:top w:val="none" w:sz="0" w:space="0" w:color="auto"/>
        <w:left w:val="none" w:sz="0" w:space="0" w:color="auto"/>
        <w:bottom w:val="none" w:sz="0" w:space="0" w:color="auto"/>
        <w:right w:val="none" w:sz="0" w:space="0" w:color="auto"/>
      </w:divBdr>
    </w:div>
    <w:div w:id="457339659">
      <w:bodyDiv w:val="1"/>
      <w:marLeft w:val="0"/>
      <w:marRight w:val="0"/>
      <w:marTop w:val="0"/>
      <w:marBottom w:val="0"/>
      <w:divBdr>
        <w:top w:val="none" w:sz="0" w:space="0" w:color="auto"/>
        <w:left w:val="none" w:sz="0" w:space="0" w:color="auto"/>
        <w:bottom w:val="none" w:sz="0" w:space="0" w:color="auto"/>
        <w:right w:val="none" w:sz="0" w:space="0" w:color="auto"/>
      </w:divBdr>
    </w:div>
    <w:div w:id="457458090">
      <w:bodyDiv w:val="1"/>
      <w:marLeft w:val="0"/>
      <w:marRight w:val="0"/>
      <w:marTop w:val="0"/>
      <w:marBottom w:val="0"/>
      <w:divBdr>
        <w:top w:val="none" w:sz="0" w:space="0" w:color="auto"/>
        <w:left w:val="none" w:sz="0" w:space="0" w:color="auto"/>
        <w:bottom w:val="none" w:sz="0" w:space="0" w:color="auto"/>
        <w:right w:val="none" w:sz="0" w:space="0" w:color="auto"/>
      </w:divBdr>
    </w:div>
    <w:div w:id="457526753">
      <w:bodyDiv w:val="1"/>
      <w:marLeft w:val="0"/>
      <w:marRight w:val="0"/>
      <w:marTop w:val="0"/>
      <w:marBottom w:val="0"/>
      <w:divBdr>
        <w:top w:val="none" w:sz="0" w:space="0" w:color="auto"/>
        <w:left w:val="none" w:sz="0" w:space="0" w:color="auto"/>
        <w:bottom w:val="none" w:sz="0" w:space="0" w:color="auto"/>
        <w:right w:val="none" w:sz="0" w:space="0" w:color="auto"/>
      </w:divBdr>
    </w:div>
    <w:div w:id="457530054">
      <w:bodyDiv w:val="1"/>
      <w:marLeft w:val="0"/>
      <w:marRight w:val="0"/>
      <w:marTop w:val="0"/>
      <w:marBottom w:val="0"/>
      <w:divBdr>
        <w:top w:val="none" w:sz="0" w:space="0" w:color="auto"/>
        <w:left w:val="none" w:sz="0" w:space="0" w:color="auto"/>
        <w:bottom w:val="none" w:sz="0" w:space="0" w:color="auto"/>
        <w:right w:val="none" w:sz="0" w:space="0" w:color="auto"/>
      </w:divBdr>
    </w:div>
    <w:div w:id="457648717">
      <w:bodyDiv w:val="1"/>
      <w:marLeft w:val="0"/>
      <w:marRight w:val="0"/>
      <w:marTop w:val="0"/>
      <w:marBottom w:val="0"/>
      <w:divBdr>
        <w:top w:val="none" w:sz="0" w:space="0" w:color="auto"/>
        <w:left w:val="none" w:sz="0" w:space="0" w:color="auto"/>
        <w:bottom w:val="none" w:sz="0" w:space="0" w:color="auto"/>
        <w:right w:val="none" w:sz="0" w:space="0" w:color="auto"/>
      </w:divBdr>
    </w:div>
    <w:div w:id="457721115">
      <w:bodyDiv w:val="1"/>
      <w:marLeft w:val="0"/>
      <w:marRight w:val="0"/>
      <w:marTop w:val="0"/>
      <w:marBottom w:val="0"/>
      <w:divBdr>
        <w:top w:val="none" w:sz="0" w:space="0" w:color="auto"/>
        <w:left w:val="none" w:sz="0" w:space="0" w:color="auto"/>
        <w:bottom w:val="none" w:sz="0" w:space="0" w:color="auto"/>
        <w:right w:val="none" w:sz="0" w:space="0" w:color="auto"/>
      </w:divBdr>
    </w:div>
    <w:div w:id="457721169">
      <w:bodyDiv w:val="1"/>
      <w:marLeft w:val="0"/>
      <w:marRight w:val="0"/>
      <w:marTop w:val="0"/>
      <w:marBottom w:val="0"/>
      <w:divBdr>
        <w:top w:val="none" w:sz="0" w:space="0" w:color="auto"/>
        <w:left w:val="none" w:sz="0" w:space="0" w:color="auto"/>
        <w:bottom w:val="none" w:sz="0" w:space="0" w:color="auto"/>
        <w:right w:val="none" w:sz="0" w:space="0" w:color="auto"/>
      </w:divBdr>
    </w:div>
    <w:div w:id="457801312">
      <w:bodyDiv w:val="1"/>
      <w:marLeft w:val="0"/>
      <w:marRight w:val="0"/>
      <w:marTop w:val="0"/>
      <w:marBottom w:val="0"/>
      <w:divBdr>
        <w:top w:val="none" w:sz="0" w:space="0" w:color="auto"/>
        <w:left w:val="none" w:sz="0" w:space="0" w:color="auto"/>
        <w:bottom w:val="none" w:sz="0" w:space="0" w:color="auto"/>
        <w:right w:val="none" w:sz="0" w:space="0" w:color="auto"/>
      </w:divBdr>
    </w:div>
    <w:div w:id="457838807">
      <w:bodyDiv w:val="1"/>
      <w:marLeft w:val="0"/>
      <w:marRight w:val="0"/>
      <w:marTop w:val="0"/>
      <w:marBottom w:val="0"/>
      <w:divBdr>
        <w:top w:val="none" w:sz="0" w:space="0" w:color="auto"/>
        <w:left w:val="none" w:sz="0" w:space="0" w:color="auto"/>
        <w:bottom w:val="none" w:sz="0" w:space="0" w:color="auto"/>
        <w:right w:val="none" w:sz="0" w:space="0" w:color="auto"/>
      </w:divBdr>
    </w:div>
    <w:div w:id="458063079">
      <w:bodyDiv w:val="1"/>
      <w:marLeft w:val="0"/>
      <w:marRight w:val="0"/>
      <w:marTop w:val="0"/>
      <w:marBottom w:val="0"/>
      <w:divBdr>
        <w:top w:val="none" w:sz="0" w:space="0" w:color="auto"/>
        <w:left w:val="none" w:sz="0" w:space="0" w:color="auto"/>
        <w:bottom w:val="none" w:sz="0" w:space="0" w:color="auto"/>
        <w:right w:val="none" w:sz="0" w:space="0" w:color="auto"/>
      </w:divBdr>
    </w:div>
    <w:div w:id="458231089">
      <w:bodyDiv w:val="1"/>
      <w:marLeft w:val="0"/>
      <w:marRight w:val="0"/>
      <w:marTop w:val="0"/>
      <w:marBottom w:val="0"/>
      <w:divBdr>
        <w:top w:val="none" w:sz="0" w:space="0" w:color="auto"/>
        <w:left w:val="none" w:sz="0" w:space="0" w:color="auto"/>
        <w:bottom w:val="none" w:sz="0" w:space="0" w:color="auto"/>
        <w:right w:val="none" w:sz="0" w:space="0" w:color="auto"/>
      </w:divBdr>
    </w:div>
    <w:div w:id="458300441">
      <w:bodyDiv w:val="1"/>
      <w:marLeft w:val="0"/>
      <w:marRight w:val="0"/>
      <w:marTop w:val="0"/>
      <w:marBottom w:val="0"/>
      <w:divBdr>
        <w:top w:val="none" w:sz="0" w:space="0" w:color="auto"/>
        <w:left w:val="none" w:sz="0" w:space="0" w:color="auto"/>
        <w:bottom w:val="none" w:sz="0" w:space="0" w:color="auto"/>
        <w:right w:val="none" w:sz="0" w:space="0" w:color="auto"/>
      </w:divBdr>
    </w:div>
    <w:div w:id="458377554">
      <w:bodyDiv w:val="1"/>
      <w:marLeft w:val="0"/>
      <w:marRight w:val="0"/>
      <w:marTop w:val="0"/>
      <w:marBottom w:val="0"/>
      <w:divBdr>
        <w:top w:val="none" w:sz="0" w:space="0" w:color="auto"/>
        <w:left w:val="none" w:sz="0" w:space="0" w:color="auto"/>
        <w:bottom w:val="none" w:sz="0" w:space="0" w:color="auto"/>
        <w:right w:val="none" w:sz="0" w:space="0" w:color="auto"/>
      </w:divBdr>
    </w:div>
    <w:div w:id="458378019">
      <w:bodyDiv w:val="1"/>
      <w:marLeft w:val="0"/>
      <w:marRight w:val="0"/>
      <w:marTop w:val="0"/>
      <w:marBottom w:val="0"/>
      <w:divBdr>
        <w:top w:val="none" w:sz="0" w:space="0" w:color="auto"/>
        <w:left w:val="none" w:sz="0" w:space="0" w:color="auto"/>
        <w:bottom w:val="none" w:sz="0" w:space="0" w:color="auto"/>
        <w:right w:val="none" w:sz="0" w:space="0" w:color="auto"/>
      </w:divBdr>
    </w:div>
    <w:div w:id="458496710">
      <w:bodyDiv w:val="1"/>
      <w:marLeft w:val="0"/>
      <w:marRight w:val="0"/>
      <w:marTop w:val="0"/>
      <w:marBottom w:val="0"/>
      <w:divBdr>
        <w:top w:val="none" w:sz="0" w:space="0" w:color="auto"/>
        <w:left w:val="none" w:sz="0" w:space="0" w:color="auto"/>
        <w:bottom w:val="none" w:sz="0" w:space="0" w:color="auto"/>
        <w:right w:val="none" w:sz="0" w:space="0" w:color="auto"/>
      </w:divBdr>
    </w:div>
    <w:div w:id="458496779">
      <w:bodyDiv w:val="1"/>
      <w:marLeft w:val="0"/>
      <w:marRight w:val="0"/>
      <w:marTop w:val="0"/>
      <w:marBottom w:val="0"/>
      <w:divBdr>
        <w:top w:val="none" w:sz="0" w:space="0" w:color="auto"/>
        <w:left w:val="none" w:sz="0" w:space="0" w:color="auto"/>
        <w:bottom w:val="none" w:sz="0" w:space="0" w:color="auto"/>
        <w:right w:val="none" w:sz="0" w:space="0" w:color="auto"/>
      </w:divBdr>
    </w:div>
    <w:div w:id="458568337">
      <w:bodyDiv w:val="1"/>
      <w:marLeft w:val="0"/>
      <w:marRight w:val="0"/>
      <w:marTop w:val="0"/>
      <w:marBottom w:val="0"/>
      <w:divBdr>
        <w:top w:val="none" w:sz="0" w:space="0" w:color="auto"/>
        <w:left w:val="none" w:sz="0" w:space="0" w:color="auto"/>
        <w:bottom w:val="none" w:sz="0" w:space="0" w:color="auto"/>
        <w:right w:val="none" w:sz="0" w:space="0" w:color="auto"/>
      </w:divBdr>
    </w:div>
    <w:div w:id="458649883">
      <w:bodyDiv w:val="1"/>
      <w:marLeft w:val="0"/>
      <w:marRight w:val="0"/>
      <w:marTop w:val="0"/>
      <w:marBottom w:val="0"/>
      <w:divBdr>
        <w:top w:val="none" w:sz="0" w:space="0" w:color="auto"/>
        <w:left w:val="none" w:sz="0" w:space="0" w:color="auto"/>
        <w:bottom w:val="none" w:sz="0" w:space="0" w:color="auto"/>
        <w:right w:val="none" w:sz="0" w:space="0" w:color="auto"/>
      </w:divBdr>
    </w:div>
    <w:div w:id="458652330">
      <w:bodyDiv w:val="1"/>
      <w:marLeft w:val="0"/>
      <w:marRight w:val="0"/>
      <w:marTop w:val="0"/>
      <w:marBottom w:val="0"/>
      <w:divBdr>
        <w:top w:val="none" w:sz="0" w:space="0" w:color="auto"/>
        <w:left w:val="none" w:sz="0" w:space="0" w:color="auto"/>
        <w:bottom w:val="none" w:sz="0" w:space="0" w:color="auto"/>
        <w:right w:val="none" w:sz="0" w:space="0" w:color="auto"/>
      </w:divBdr>
    </w:div>
    <w:div w:id="458836280">
      <w:bodyDiv w:val="1"/>
      <w:marLeft w:val="0"/>
      <w:marRight w:val="0"/>
      <w:marTop w:val="0"/>
      <w:marBottom w:val="0"/>
      <w:divBdr>
        <w:top w:val="none" w:sz="0" w:space="0" w:color="auto"/>
        <w:left w:val="none" w:sz="0" w:space="0" w:color="auto"/>
        <w:bottom w:val="none" w:sz="0" w:space="0" w:color="auto"/>
        <w:right w:val="none" w:sz="0" w:space="0" w:color="auto"/>
      </w:divBdr>
    </w:div>
    <w:div w:id="458838319">
      <w:bodyDiv w:val="1"/>
      <w:marLeft w:val="0"/>
      <w:marRight w:val="0"/>
      <w:marTop w:val="0"/>
      <w:marBottom w:val="0"/>
      <w:divBdr>
        <w:top w:val="none" w:sz="0" w:space="0" w:color="auto"/>
        <w:left w:val="none" w:sz="0" w:space="0" w:color="auto"/>
        <w:bottom w:val="none" w:sz="0" w:space="0" w:color="auto"/>
        <w:right w:val="none" w:sz="0" w:space="0" w:color="auto"/>
      </w:divBdr>
    </w:div>
    <w:div w:id="458842568">
      <w:bodyDiv w:val="1"/>
      <w:marLeft w:val="0"/>
      <w:marRight w:val="0"/>
      <w:marTop w:val="0"/>
      <w:marBottom w:val="0"/>
      <w:divBdr>
        <w:top w:val="none" w:sz="0" w:space="0" w:color="auto"/>
        <w:left w:val="none" w:sz="0" w:space="0" w:color="auto"/>
        <w:bottom w:val="none" w:sz="0" w:space="0" w:color="auto"/>
        <w:right w:val="none" w:sz="0" w:space="0" w:color="auto"/>
      </w:divBdr>
    </w:div>
    <w:div w:id="458915558">
      <w:bodyDiv w:val="1"/>
      <w:marLeft w:val="0"/>
      <w:marRight w:val="0"/>
      <w:marTop w:val="0"/>
      <w:marBottom w:val="0"/>
      <w:divBdr>
        <w:top w:val="none" w:sz="0" w:space="0" w:color="auto"/>
        <w:left w:val="none" w:sz="0" w:space="0" w:color="auto"/>
        <w:bottom w:val="none" w:sz="0" w:space="0" w:color="auto"/>
        <w:right w:val="none" w:sz="0" w:space="0" w:color="auto"/>
      </w:divBdr>
    </w:div>
    <w:div w:id="458956630">
      <w:bodyDiv w:val="1"/>
      <w:marLeft w:val="0"/>
      <w:marRight w:val="0"/>
      <w:marTop w:val="0"/>
      <w:marBottom w:val="0"/>
      <w:divBdr>
        <w:top w:val="none" w:sz="0" w:space="0" w:color="auto"/>
        <w:left w:val="none" w:sz="0" w:space="0" w:color="auto"/>
        <w:bottom w:val="none" w:sz="0" w:space="0" w:color="auto"/>
        <w:right w:val="none" w:sz="0" w:space="0" w:color="auto"/>
      </w:divBdr>
    </w:div>
    <w:div w:id="458958959">
      <w:bodyDiv w:val="1"/>
      <w:marLeft w:val="0"/>
      <w:marRight w:val="0"/>
      <w:marTop w:val="0"/>
      <w:marBottom w:val="0"/>
      <w:divBdr>
        <w:top w:val="none" w:sz="0" w:space="0" w:color="auto"/>
        <w:left w:val="none" w:sz="0" w:space="0" w:color="auto"/>
        <w:bottom w:val="none" w:sz="0" w:space="0" w:color="auto"/>
        <w:right w:val="none" w:sz="0" w:space="0" w:color="auto"/>
      </w:divBdr>
    </w:div>
    <w:div w:id="458961385">
      <w:bodyDiv w:val="1"/>
      <w:marLeft w:val="0"/>
      <w:marRight w:val="0"/>
      <w:marTop w:val="0"/>
      <w:marBottom w:val="0"/>
      <w:divBdr>
        <w:top w:val="none" w:sz="0" w:space="0" w:color="auto"/>
        <w:left w:val="none" w:sz="0" w:space="0" w:color="auto"/>
        <w:bottom w:val="none" w:sz="0" w:space="0" w:color="auto"/>
        <w:right w:val="none" w:sz="0" w:space="0" w:color="auto"/>
      </w:divBdr>
    </w:div>
    <w:div w:id="459037684">
      <w:bodyDiv w:val="1"/>
      <w:marLeft w:val="0"/>
      <w:marRight w:val="0"/>
      <w:marTop w:val="0"/>
      <w:marBottom w:val="0"/>
      <w:divBdr>
        <w:top w:val="none" w:sz="0" w:space="0" w:color="auto"/>
        <w:left w:val="none" w:sz="0" w:space="0" w:color="auto"/>
        <w:bottom w:val="none" w:sz="0" w:space="0" w:color="auto"/>
        <w:right w:val="none" w:sz="0" w:space="0" w:color="auto"/>
      </w:divBdr>
    </w:div>
    <w:div w:id="459107512">
      <w:bodyDiv w:val="1"/>
      <w:marLeft w:val="0"/>
      <w:marRight w:val="0"/>
      <w:marTop w:val="0"/>
      <w:marBottom w:val="0"/>
      <w:divBdr>
        <w:top w:val="none" w:sz="0" w:space="0" w:color="auto"/>
        <w:left w:val="none" w:sz="0" w:space="0" w:color="auto"/>
        <w:bottom w:val="none" w:sz="0" w:space="0" w:color="auto"/>
        <w:right w:val="none" w:sz="0" w:space="0" w:color="auto"/>
      </w:divBdr>
    </w:div>
    <w:div w:id="459147744">
      <w:bodyDiv w:val="1"/>
      <w:marLeft w:val="0"/>
      <w:marRight w:val="0"/>
      <w:marTop w:val="0"/>
      <w:marBottom w:val="0"/>
      <w:divBdr>
        <w:top w:val="none" w:sz="0" w:space="0" w:color="auto"/>
        <w:left w:val="none" w:sz="0" w:space="0" w:color="auto"/>
        <w:bottom w:val="none" w:sz="0" w:space="0" w:color="auto"/>
        <w:right w:val="none" w:sz="0" w:space="0" w:color="auto"/>
      </w:divBdr>
    </w:div>
    <w:div w:id="459148805">
      <w:bodyDiv w:val="1"/>
      <w:marLeft w:val="0"/>
      <w:marRight w:val="0"/>
      <w:marTop w:val="0"/>
      <w:marBottom w:val="0"/>
      <w:divBdr>
        <w:top w:val="none" w:sz="0" w:space="0" w:color="auto"/>
        <w:left w:val="none" w:sz="0" w:space="0" w:color="auto"/>
        <w:bottom w:val="none" w:sz="0" w:space="0" w:color="auto"/>
        <w:right w:val="none" w:sz="0" w:space="0" w:color="auto"/>
      </w:divBdr>
    </w:div>
    <w:div w:id="459149106">
      <w:bodyDiv w:val="1"/>
      <w:marLeft w:val="0"/>
      <w:marRight w:val="0"/>
      <w:marTop w:val="0"/>
      <w:marBottom w:val="0"/>
      <w:divBdr>
        <w:top w:val="none" w:sz="0" w:space="0" w:color="auto"/>
        <w:left w:val="none" w:sz="0" w:space="0" w:color="auto"/>
        <w:bottom w:val="none" w:sz="0" w:space="0" w:color="auto"/>
        <w:right w:val="none" w:sz="0" w:space="0" w:color="auto"/>
      </w:divBdr>
    </w:div>
    <w:div w:id="459153045">
      <w:bodyDiv w:val="1"/>
      <w:marLeft w:val="0"/>
      <w:marRight w:val="0"/>
      <w:marTop w:val="0"/>
      <w:marBottom w:val="0"/>
      <w:divBdr>
        <w:top w:val="none" w:sz="0" w:space="0" w:color="auto"/>
        <w:left w:val="none" w:sz="0" w:space="0" w:color="auto"/>
        <w:bottom w:val="none" w:sz="0" w:space="0" w:color="auto"/>
        <w:right w:val="none" w:sz="0" w:space="0" w:color="auto"/>
      </w:divBdr>
    </w:div>
    <w:div w:id="459228904">
      <w:bodyDiv w:val="1"/>
      <w:marLeft w:val="0"/>
      <w:marRight w:val="0"/>
      <w:marTop w:val="0"/>
      <w:marBottom w:val="0"/>
      <w:divBdr>
        <w:top w:val="none" w:sz="0" w:space="0" w:color="auto"/>
        <w:left w:val="none" w:sz="0" w:space="0" w:color="auto"/>
        <w:bottom w:val="none" w:sz="0" w:space="0" w:color="auto"/>
        <w:right w:val="none" w:sz="0" w:space="0" w:color="auto"/>
      </w:divBdr>
    </w:div>
    <w:div w:id="459343712">
      <w:bodyDiv w:val="1"/>
      <w:marLeft w:val="0"/>
      <w:marRight w:val="0"/>
      <w:marTop w:val="0"/>
      <w:marBottom w:val="0"/>
      <w:divBdr>
        <w:top w:val="none" w:sz="0" w:space="0" w:color="auto"/>
        <w:left w:val="none" w:sz="0" w:space="0" w:color="auto"/>
        <w:bottom w:val="none" w:sz="0" w:space="0" w:color="auto"/>
        <w:right w:val="none" w:sz="0" w:space="0" w:color="auto"/>
      </w:divBdr>
    </w:div>
    <w:div w:id="459343893">
      <w:bodyDiv w:val="1"/>
      <w:marLeft w:val="0"/>
      <w:marRight w:val="0"/>
      <w:marTop w:val="0"/>
      <w:marBottom w:val="0"/>
      <w:divBdr>
        <w:top w:val="none" w:sz="0" w:space="0" w:color="auto"/>
        <w:left w:val="none" w:sz="0" w:space="0" w:color="auto"/>
        <w:bottom w:val="none" w:sz="0" w:space="0" w:color="auto"/>
        <w:right w:val="none" w:sz="0" w:space="0" w:color="auto"/>
      </w:divBdr>
    </w:div>
    <w:div w:id="459424766">
      <w:bodyDiv w:val="1"/>
      <w:marLeft w:val="0"/>
      <w:marRight w:val="0"/>
      <w:marTop w:val="0"/>
      <w:marBottom w:val="0"/>
      <w:divBdr>
        <w:top w:val="none" w:sz="0" w:space="0" w:color="auto"/>
        <w:left w:val="none" w:sz="0" w:space="0" w:color="auto"/>
        <w:bottom w:val="none" w:sz="0" w:space="0" w:color="auto"/>
        <w:right w:val="none" w:sz="0" w:space="0" w:color="auto"/>
      </w:divBdr>
    </w:div>
    <w:div w:id="459424925">
      <w:bodyDiv w:val="1"/>
      <w:marLeft w:val="0"/>
      <w:marRight w:val="0"/>
      <w:marTop w:val="0"/>
      <w:marBottom w:val="0"/>
      <w:divBdr>
        <w:top w:val="none" w:sz="0" w:space="0" w:color="auto"/>
        <w:left w:val="none" w:sz="0" w:space="0" w:color="auto"/>
        <w:bottom w:val="none" w:sz="0" w:space="0" w:color="auto"/>
        <w:right w:val="none" w:sz="0" w:space="0" w:color="auto"/>
      </w:divBdr>
    </w:div>
    <w:div w:id="459495522">
      <w:bodyDiv w:val="1"/>
      <w:marLeft w:val="0"/>
      <w:marRight w:val="0"/>
      <w:marTop w:val="0"/>
      <w:marBottom w:val="0"/>
      <w:divBdr>
        <w:top w:val="none" w:sz="0" w:space="0" w:color="auto"/>
        <w:left w:val="none" w:sz="0" w:space="0" w:color="auto"/>
        <w:bottom w:val="none" w:sz="0" w:space="0" w:color="auto"/>
        <w:right w:val="none" w:sz="0" w:space="0" w:color="auto"/>
      </w:divBdr>
    </w:div>
    <w:div w:id="459499156">
      <w:bodyDiv w:val="1"/>
      <w:marLeft w:val="0"/>
      <w:marRight w:val="0"/>
      <w:marTop w:val="0"/>
      <w:marBottom w:val="0"/>
      <w:divBdr>
        <w:top w:val="none" w:sz="0" w:space="0" w:color="auto"/>
        <w:left w:val="none" w:sz="0" w:space="0" w:color="auto"/>
        <w:bottom w:val="none" w:sz="0" w:space="0" w:color="auto"/>
        <w:right w:val="none" w:sz="0" w:space="0" w:color="auto"/>
      </w:divBdr>
    </w:div>
    <w:div w:id="459539829">
      <w:bodyDiv w:val="1"/>
      <w:marLeft w:val="0"/>
      <w:marRight w:val="0"/>
      <w:marTop w:val="0"/>
      <w:marBottom w:val="0"/>
      <w:divBdr>
        <w:top w:val="none" w:sz="0" w:space="0" w:color="auto"/>
        <w:left w:val="none" w:sz="0" w:space="0" w:color="auto"/>
        <w:bottom w:val="none" w:sz="0" w:space="0" w:color="auto"/>
        <w:right w:val="none" w:sz="0" w:space="0" w:color="auto"/>
      </w:divBdr>
    </w:div>
    <w:div w:id="459806636">
      <w:bodyDiv w:val="1"/>
      <w:marLeft w:val="0"/>
      <w:marRight w:val="0"/>
      <w:marTop w:val="0"/>
      <w:marBottom w:val="0"/>
      <w:divBdr>
        <w:top w:val="none" w:sz="0" w:space="0" w:color="auto"/>
        <w:left w:val="none" w:sz="0" w:space="0" w:color="auto"/>
        <w:bottom w:val="none" w:sz="0" w:space="0" w:color="auto"/>
        <w:right w:val="none" w:sz="0" w:space="0" w:color="auto"/>
      </w:divBdr>
    </w:div>
    <w:div w:id="459809777">
      <w:bodyDiv w:val="1"/>
      <w:marLeft w:val="0"/>
      <w:marRight w:val="0"/>
      <w:marTop w:val="0"/>
      <w:marBottom w:val="0"/>
      <w:divBdr>
        <w:top w:val="none" w:sz="0" w:space="0" w:color="auto"/>
        <w:left w:val="none" w:sz="0" w:space="0" w:color="auto"/>
        <w:bottom w:val="none" w:sz="0" w:space="0" w:color="auto"/>
        <w:right w:val="none" w:sz="0" w:space="0" w:color="auto"/>
      </w:divBdr>
    </w:div>
    <w:div w:id="459883364">
      <w:bodyDiv w:val="1"/>
      <w:marLeft w:val="0"/>
      <w:marRight w:val="0"/>
      <w:marTop w:val="0"/>
      <w:marBottom w:val="0"/>
      <w:divBdr>
        <w:top w:val="none" w:sz="0" w:space="0" w:color="auto"/>
        <w:left w:val="none" w:sz="0" w:space="0" w:color="auto"/>
        <w:bottom w:val="none" w:sz="0" w:space="0" w:color="auto"/>
        <w:right w:val="none" w:sz="0" w:space="0" w:color="auto"/>
      </w:divBdr>
    </w:div>
    <w:div w:id="459961065">
      <w:bodyDiv w:val="1"/>
      <w:marLeft w:val="0"/>
      <w:marRight w:val="0"/>
      <w:marTop w:val="0"/>
      <w:marBottom w:val="0"/>
      <w:divBdr>
        <w:top w:val="none" w:sz="0" w:space="0" w:color="auto"/>
        <w:left w:val="none" w:sz="0" w:space="0" w:color="auto"/>
        <w:bottom w:val="none" w:sz="0" w:space="0" w:color="auto"/>
        <w:right w:val="none" w:sz="0" w:space="0" w:color="auto"/>
      </w:divBdr>
    </w:div>
    <w:div w:id="460002098">
      <w:bodyDiv w:val="1"/>
      <w:marLeft w:val="0"/>
      <w:marRight w:val="0"/>
      <w:marTop w:val="0"/>
      <w:marBottom w:val="0"/>
      <w:divBdr>
        <w:top w:val="none" w:sz="0" w:space="0" w:color="auto"/>
        <w:left w:val="none" w:sz="0" w:space="0" w:color="auto"/>
        <w:bottom w:val="none" w:sz="0" w:space="0" w:color="auto"/>
        <w:right w:val="none" w:sz="0" w:space="0" w:color="auto"/>
      </w:divBdr>
    </w:div>
    <w:div w:id="460004436">
      <w:bodyDiv w:val="1"/>
      <w:marLeft w:val="0"/>
      <w:marRight w:val="0"/>
      <w:marTop w:val="0"/>
      <w:marBottom w:val="0"/>
      <w:divBdr>
        <w:top w:val="none" w:sz="0" w:space="0" w:color="auto"/>
        <w:left w:val="none" w:sz="0" w:space="0" w:color="auto"/>
        <w:bottom w:val="none" w:sz="0" w:space="0" w:color="auto"/>
        <w:right w:val="none" w:sz="0" w:space="0" w:color="auto"/>
      </w:divBdr>
    </w:div>
    <w:div w:id="460147273">
      <w:bodyDiv w:val="1"/>
      <w:marLeft w:val="0"/>
      <w:marRight w:val="0"/>
      <w:marTop w:val="0"/>
      <w:marBottom w:val="0"/>
      <w:divBdr>
        <w:top w:val="none" w:sz="0" w:space="0" w:color="auto"/>
        <w:left w:val="none" w:sz="0" w:space="0" w:color="auto"/>
        <w:bottom w:val="none" w:sz="0" w:space="0" w:color="auto"/>
        <w:right w:val="none" w:sz="0" w:space="0" w:color="auto"/>
      </w:divBdr>
    </w:div>
    <w:div w:id="460155907">
      <w:bodyDiv w:val="1"/>
      <w:marLeft w:val="0"/>
      <w:marRight w:val="0"/>
      <w:marTop w:val="0"/>
      <w:marBottom w:val="0"/>
      <w:divBdr>
        <w:top w:val="none" w:sz="0" w:space="0" w:color="auto"/>
        <w:left w:val="none" w:sz="0" w:space="0" w:color="auto"/>
        <w:bottom w:val="none" w:sz="0" w:space="0" w:color="auto"/>
        <w:right w:val="none" w:sz="0" w:space="0" w:color="auto"/>
      </w:divBdr>
    </w:div>
    <w:div w:id="460196968">
      <w:bodyDiv w:val="1"/>
      <w:marLeft w:val="0"/>
      <w:marRight w:val="0"/>
      <w:marTop w:val="0"/>
      <w:marBottom w:val="0"/>
      <w:divBdr>
        <w:top w:val="none" w:sz="0" w:space="0" w:color="auto"/>
        <w:left w:val="none" w:sz="0" w:space="0" w:color="auto"/>
        <w:bottom w:val="none" w:sz="0" w:space="0" w:color="auto"/>
        <w:right w:val="none" w:sz="0" w:space="0" w:color="auto"/>
      </w:divBdr>
    </w:div>
    <w:div w:id="460224804">
      <w:bodyDiv w:val="1"/>
      <w:marLeft w:val="0"/>
      <w:marRight w:val="0"/>
      <w:marTop w:val="0"/>
      <w:marBottom w:val="0"/>
      <w:divBdr>
        <w:top w:val="none" w:sz="0" w:space="0" w:color="auto"/>
        <w:left w:val="none" w:sz="0" w:space="0" w:color="auto"/>
        <w:bottom w:val="none" w:sz="0" w:space="0" w:color="auto"/>
        <w:right w:val="none" w:sz="0" w:space="0" w:color="auto"/>
      </w:divBdr>
    </w:div>
    <w:div w:id="460390854">
      <w:bodyDiv w:val="1"/>
      <w:marLeft w:val="0"/>
      <w:marRight w:val="0"/>
      <w:marTop w:val="0"/>
      <w:marBottom w:val="0"/>
      <w:divBdr>
        <w:top w:val="none" w:sz="0" w:space="0" w:color="auto"/>
        <w:left w:val="none" w:sz="0" w:space="0" w:color="auto"/>
        <w:bottom w:val="none" w:sz="0" w:space="0" w:color="auto"/>
        <w:right w:val="none" w:sz="0" w:space="0" w:color="auto"/>
      </w:divBdr>
    </w:div>
    <w:div w:id="460421349">
      <w:bodyDiv w:val="1"/>
      <w:marLeft w:val="0"/>
      <w:marRight w:val="0"/>
      <w:marTop w:val="0"/>
      <w:marBottom w:val="0"/>
      <w:divBdr>
        <w:top w:val="none" w:sz="0" w:space="0" w:color="auto"/>
        <w:left w:val="none" w:sz="0" w:space="0" w:color="auto"/>
        <w:bottom w:val="none" w:sz="0" w:space="0" w:color="auto"/>
        <w:right w:val="none" w:sz="0" w:space="0" w:color="auto"/>
      </w:divBdr>
    </w:div>
    <w:div w:id="460421387">
      <w:bodyDiv w:val="1"/>
      <w:marLeft w:val="0"/>
      <w:marRight w:val="0"/>
      <w:marTop w:val="0"/>
      <w:marBottom w:val="0"/>
      <w:divBdr>
        <w:top w:val="none" w:sz="0" w:space="0" w:color="auto"/>
        <w:left w:val="none" w:sz="0" w:space="0" w:color="auto"/>
        <w:bottom w:val="none" w:sz="0" w:space="0" w:color="auto"/>
        <w:right w:val="none" w:sz="0" w:space="0" w:color="auto"/>
      </w:divBdr>
    </w:div>
    <w:div w:id="460457959">
      <w:bodyDiv w:val="1"/>
      <w:marLeft w:val="0"/>
      <w:marRight w:val="0"/>
      <w:marTop w:val="0"/>
      <w:marBottom w:val="0"/>
      <w:divBdr>
        <w:top w:val="none" w:sz="0" w:space="0" w:color="auto"/>
        <w:left w:val="none" w:sz="0" w:space="0" w:color="auto"/>
        <w:bottom w:val="none" w:sz="0" w:space="0" w:color="auto"/>
        <w:right w:val="none" w:sz="0" w:space="0" w:color="auto"/>
      </w:divBdr>
    </w:div>
    <w:div w:id="460462301">
      <w:bodyDiv w:val="1"/>
      <w:marLeft w:val="0"/>
      <w:marRight w:val="0"/>
      <w:marTop w:val="0"/>
      <w:marBottom w:val="0"/>
      <w:divBdr>
        <w:top w:val="none" w:sz="0" w:space="0" w:color="auto"/>
        <w:left w:val="none" w:sz="0" w:space="0" w:color="auto"/>
        <w:bottom w:val="none" w:sz="0" w:space="0" w:color="auto"/>
        <w:right w:val="none" w:sz="0" w:space="0" w:color="auto"/>
      </w:divBdr>
    </w:div>
    <w:div w:id="460466538">
      <w:bodyDiv w:val="1"/>
      <w:marLeft w:val="0"/>
      <w:marRight w:val="0"/>
      <w:marTop w:val="0"/>
      <w:marBottom w:val="0"/>
      <w:divBdr>
        <w:top w:val="none" w:sz="0" w:space="0" w:color="auto"/>
        <w:left w:val="none" w:sz="0" w:space="0" w:color="auto"/>
        <w:bottom w:val="none" w:sz="0" w:space="0" w:color="auto"/>
        <w:right w:val="none" w:sz="0" w:space="0" w:color="auto"/>
      </w:divBdr>
    </w:div>
    <w:div w:id="460534096">
      <w:bodyDiv w:val="1"/>
      <w:marLeft w:val="0"/>
      <w:marRight w:val="0"/>
      <w:marTop w:val="0"/>
      <w:marBottom w:val="0"/>
      <w:divBdr>
        <w:top w:val="none" w:sz="0" w:space="0" w:color="auto"/>
        <w:left w:val="none" w:sz="0" w:space="0" w:color="auto"/>
        <w:bottom w:val="none" w:sz="0" w:space="0" w:color="auto"/>
        <w:right w:val="none" w:sz="0" w:space="0" w:color="auto"/>
      </w:divBdr>
    </w:div>
    <w:div w:id="460539339">
      <w:bodyDiv w:val="1"/>
      <w:marLeft w:val="0"/>
      <w:marRight w:val="0"/>
      <w:marTop w:val="0"/>
      <w:marBottom w:val="0"/>
      <w:divBdr>
        <w:top w:val="none" w:sz="0" w:space="0" w:color="auto"/>
        <w:left w:val="none" w:sz="0" w:space="0" w:color="auto"/>
        <w:bottom w:val="none" w:sz="0" w:space="0" w:color="auto"/>
        <w:right w:val="none" w:sz="0" w:space="0" w:color="auto"/>
      </w:divBdr>
    </w:div>
    <w:div w:id="460658857">
      <w:bodyDiv w:val="1"/>
      <w:marLeft w:val="0"/>
      <w:marRight w:val="0"/>
      <w:marTop w:val="0"/>
      <w:marBottom w:val="0"/>
      <w:divBdr>
        <w:top w:val="none" w:sz="0" w:space="0" w:color="auto"/>
        <w:left w:val="none" w:sz="0" w:space="0" w:color="auto"/>
        <w:bottom w:val="none" w:sz="0" w:space="0" w:color="auto"/>
        <w:right w:val="none" w:sz="0" w:space="0" w:color="auto"/>
      </w:divBdr>
    </w:div>
    <w:div w:id="460733666">
      <w:bodyDiv w:val="1"/>
      <w:marLeft w:val="0"/>
      <w:marRight w:val="0"/>
      <w:marTop w:val="0"/>
      <w:marBottom w:val="0"/>
      <w:divBdr>
        <w:top w:val="none" w:sz="0" w:space="0" w:color="auto"/>
        <w:left w:val="none" w:sz="0" w:space="0" w:color="auto"/>
        <w:bottom w:val="none" w:sz="0" w:space="0" w:color="auto"/>
        <w:right w:val="none" w:sz="0" w:space="0" w:color="auto"/>
      </w:divBdr>
    </w:div>
    <w:div w:id="460849842">
      <w:bodyDiv w:val="1"/>
      <w:marLeft w:val="0"/>
      <w:marRight w:val="0"/>
      <w:marTop w:val="0"/>
      <w:marBottom w:val="0"/>
      <w:divBdr>
        <w:top w:val="none" w:sz="0" w:space="0" w:color="auto"/>
        <w:left w:val="none" w:sz="0" w:space="0" w:color="auto"/>
        <w:bottom w:val="none" w:sz="0" w:space="0" w:color="auto"/>
        <w:right w:val="none" w:sz="0" w:space="0" w:color="auto"/>
      </w:divBdr>
    </w:div>
    <w:div w:id="460923361">
      <w:bodyDiv w:val="1"/>
      <w:marLeft w:val="0"/>
      <w:marRight w:val="0"/>
      <w:marTop w:val="0"/>
      <w:marBottom w:val="0"/>
      <w:divBdr>
        <w:top w:val="none" w:sz="0" w:space="0" w:color="auto"/>
        <w:left w:val="none" w:sz="0" w:space="0" w:color="auto"/>
        <w:bottom w:val="none" w:sz="0" w:space="0" w:color="auto"/>
        <w:right w:val="none" w:sz="0" w:space="0" w:color="auto"/>
      </w:divBdr>
    </w:div>
    <w:div w:id="461075703">
      <w:bodyDiv w:val="1"/>
      <w:marLeft w:val="0"/>
      <w:marRight w:val="0"/>
      <w:marTop w:val="0"/>
      <w:marBottom w:val="0"/>
      <w:divBdr>
        <w:top w:val="none" w:sz="0" w:space="0" w:color="auto"/>
        <w:left w:val="none" w:sz="0" w:space="0" w:color="auto"/>
        <w:bottom w:val="none" w:sz="0" w:space="0" w:color="auto"/>
        <w:right w:val="none" w:sz="0" w:space="0" w:color="auto"/>
      </w:divBdr>
    </w:div>
    <w:div w:id="461076220">
      <w:bodyDiv w:val="1"/>
      <w:marLeft w:val="0"/>
      <w:marRight w:val="0"/>
      <w:marTop w:val="0"/>
      <w:marBottom w:val="0"/>
      <w:divBdr>
        <w:top w:val="none" w:sz="0" w:space="0" w:color="auto"/>
        <w:left w:val="none" w:sz="0" w:space="0" w:color="auto"/>
        <w:bottom w:val="none" w:sz="0" w:space="0" w:color="auto"/>
        <w:right w:val="none" w:sz="0" w:space="0" w:color="auto"/>
      </w:divBdr>
    </w:div>
    <w:div w:id="461115949">
      <w:bodyDiv w:val="1"/>
      <w:marLeft w:val="0"/>
      <w:marRight w:val="0"/>
      <w:marTop w:val="0"/>
      <w:marBottom w:val="0"/>
      <w:divBdr>
        <w:top w:val="none" w:sz="0" w:space="0" w:color="auto"/>
        <w:left w:val="none" w:sz="0" w:space="0" w:color="auto"/>
        <w:bottom w:val="none" w:sz="0" w:space="0" w:color="auto"/>
        <w:right w:val="none" w:sz="0" w:space="0" w:color="auto"/>
      </w:divBdr>
    </w:div>
    <w:div w:id="461190817">
      <w:bodyDiv w:val="1"/>
      <w:marLeft w:val="0"/>
      <w:marRight w:val="0"/>
      <w:marTop w:val="0"/>
      <w:marBottom w:val="0"/>
      <w:divBdr>
        <w:top w:val="none" w:sz="0" w:space="0" w:color="auto"/>
        <w:left w:val="none" w:sz="0" w:space="0" w:color="auto"/>
        <w:bottom w:val="none" w:sz="0" w:space="0" w:color="auto"/>
        <w:right w:val="none" w:sz="0" w:space="0" w:color="auto"/>
      </w:divBdr>
    </w:div>
    <w:div w:id="461309695">
      <w:bodyDiv w:val="1"/>
      <w:marLeft w:val="0"/>
      <w:marRight w:val="0"/>
      <w:marTop w:val="0"/>
      <w:marBottom w:val="0"/>
      <w:divBdr>
        <w:top w:val="none" w:sz="0" w:space="0" w:color="auto"/>
        <w:left w:val="none" w:sz="0" w:space="0" w:color="auto"/>
        <w:bottom w:val="none" w:sz="0" w:space="0" w:color="auto"/>
        <w:right w:val="none" w:sz="0" w:space="0" w:color="auto"/>
      </w:divBdr>
    </w:div>
    <w:div w:id="461386234">
      <w:bodyDiv w:val="1"/>
      <w:marLeft w:val="0"/>
      <w:marRight w:val="0"/>
      <w:marTop w:val="0"/>
      <w:marBottom w:val="0"/>
      <w:divBdr>
        <w:top w:val="none" w:sz="0" w:space="0" w:color="auto"/>
        <w:left w:val="none" w:sz="0" w:space="0" w:color="auto"/>
        <w:bottom w:val="none" w:sz="0" w:space="0" w:color="auto"/>
        <w:right w:val="none" w:sz="0" w:space="0" w:color="auto"/>
      </w:divBdr>
    </w:div>
    <w:div w:id="461466089">
      <w:bodyDiv w:val="1"/>
      <w:marLeft w:val="0"/>
      <w:marRight w:val="0"/>
      <w:marTop w:val="0"/>
      <w:marBottom w:val="0"/>
      <w:divBdr>
        <w:top w:val="none" w:sz="0" w:space="0" w:color="auto"/>
        <w:left w:val="none" w:sz="0" w:space="0" w:color="auto"/>
        <w:bottom w:val="none" w:sz="0" w:space="0" w:color="auto"/>
        <w:right w:val="none" w:sz="0" w:space="0" w:color="auto"/>
      </w:divBdr>
    </w:div>
    <w:div w:id="461533646">
      <w:bodyDiv w:val="1"/>
      <w:marLeft w:val="0"/>
      <w:marRight w:val="0"/>
      <w:marTop w:val="0"/>
      <w:marBottom w:val="0"/>
      <w:divBdr>
        <w:top w:val="none" w:sz="0" w:space="0" w:color="auto"/>
        <w:left w:val="none" w:sz="0" w:space="0" w:color="auto"/>
        <w:bottom w:val="none" w:sz="0" w:space="0" w:color="auto"/>
        <w:right w:val="none" w:sz="0" w:space="0" w:color="auto"/>
      </w:divBdr>
    </w:div>
    <w:div w:id="461581384">
      <w:bodyDiv w:val="1"/>
      <w:marLeft w:val="0"/>
      <w:marRight w:val="0"/>
      <w:marTop w:val="0"/>
      <w:marBottom w:val="0"/>
      <w:divBdr>
        <w:top w:val="none" w:sz="0" w:space="0" w:color="auto"/>
        <w:left w:val="none" w:sz="0" w:space="0" w:color="auto"/>
        <w:bottom w:val="none" w:sz="0" w:space="0" w:color="auto"/>
        <w:right w:val="none" w:sz="0" w:space="0" w:color="auto"/>
      </w:divBdr>
    </w:div>
    <w:div w:id="461659330">
      <w:bodyDiv w:val="1"/>
      <w:marLeft w:val="0"/>
      <w:marRight w:val="0"/>
      <w:marTop w:val="0"/>
      <w:marBottom w:val="0"/>
      <w:divBdr>
        <w:top w:val="none" w:sz="0" w:space="0" w:color="auto"/>
        <w:left w:val="none" w:sz="0" w:space="0" w:color="auto"/>
        <w:bottom w:val="none" w:sz="0" w:space="0" w:color="auto"/>
        <w:right w:val="none" w:sz="0" w:space="0" w:color="auto"/>
      </w:divBdr>
    </w:div>
    <w:div w:id="461778123">
      <w:bodyDiv w:val="1"/>
      <w:marLeft w:val="0"/>
      <w:marRight w:val="0"/>
      <w:marTop w:val="0"/>
      <w:marBottom w:val="0"/>
      <w:divBdr>
        <w:top w:val="none" w:sz="0" w:space="0" w:color="auto"/>
        <w:left w:val="none" w:sz="0" w:space="0" w:color="auto"/>
        <w:bottom w:val="none" w:sz="0" w:space="0" w:color="auto"/>
        <w:right w:val="none" w:sz="0" w:space="0" w:color="auto"/>
      </w:divBdr>
    </w:div>
    <w:div w:id="461849108">
      <w:bodyDiv w:val="1"/>
      <w:marLeft w:val="0"/>
      <w:marRight w:val="0"/>
      <w:marTop w:val="0"/>
      <w:marBottom w:val="0"/>
      <w:divBdr>
        <w:top w:val="none" w:sz="0" w:space="0" w:color="auto"/>
        <w:left w:val="none" w:sz="0" w:space="0" w:color="auto"/>
        <w:bottom w:val="none" w:sz="0" w:space="0" w:color="auto"/>
        <w:right w:val="none" w:sz="0" w:space="0" w:color="auto"/>
      </w:divBdr>
    </w:div>
    <w:div w:id="461849829">
      <w:bodyDiv w:val="1"/>
      <w:marLeft w:val="0"/>
      <w:marRight w:val="0"/>
      <w:marTop w:val="0"/>
      <w:marBottom w:val="0"/>
      <w:divBdr>
        <w:top w:val="none" w:sz="0" w:space="0" w:color="auto"/>
        <w:left w:val="none" w:sz="0" w:space="0" w:color="auto"/>
        <w:bottom w:val="none" w:sz="0" w:space="0" w:color="auto"/>
        <w:right w:val="none" w:sz="0" w:space="0" w:color="auto"/>
      </w:divBdr>
    </w:div>
    <w:div w:id="461851366">
      <w:bodyDiv w:val="1"/>
      <w:marLeft w:val="0"/>
      <w:marRight w:val="0"/>
      <w:marTop w:val="0"/>
      <w:marBottom w:val="0"/>
      <w:divBdr>
        <w:top w:val="none" w:sz="0" w:space="0" w:color="auto"/>
        <w:left w:val="none" w:sz="0" w:space="0" w:color="auto"/>
        <w:bottom w:val="none" w:sz="0" w:space="0" w:color="auto"/>
        <w:right w:val="none" w:sz="0" w:space="0" w:color="auto"/>
      </w:divBdr>
    </w:div>
    <w:div w:id="461851827">
      <w:bodyDiv w:val="1"/>
      <w:marLeft w:val="0"/>
      <w:marRight w:val="0"/>
      <w:marTop w:val="0"/>
      <w:marBottom w:val="0"/>
      <w:divBdr>
        <w:top w:val="none" w:sz="0" w:space="0" w:color="auto"/>
        <w:left w:val="none" w:sz="0" w:space="0" w:color="auto"/>
        <w:bottom w:val="none" w:sz="0" w:space="0" w:color="auto"/>
        <w:right w:val="none" w:sz="0" w:space="0" w:color="auto"/>
      </w:divBdr>
    </w:div>
    <w:div w:id="461853054">
      <w:bodyDiv w:val="1"/>
      <w:marLeft w:val="0"/>
      <w:marRight w:val="0"/>
      <w:marTop w:val="0"/>
      <w:marBottom w:val="0"/>
      <w:divBdr>
        <w:top w:val="none" w:sz="0" w:space="0" w:color="auto"/>
        <w:left w:val="none" w:sz="0" w:space="0" w:color="auto"/>
        <w:bottom w:val="none" w:sz="0" w:space="0" w:color="auto"/>
        <w:right w:val="none" w:sz="0" w:space="0" w:color="auto"/>
      </w:divBdr>
    </w:div>
    <w:div w:id="461925883">
      <w:bodyDiv w:val="1"/>
      <w:marLeft w:val="0"/>
      <w:marRight w:val="0"/>
      <w:marTop w:val="0"/>
      <w:marBottom w:val="0"/>
      <w:divBdr>
        <w:top w:val="none" w:sz="0" w:space="0" w:color="auto"/>
        <w:left w:val="none" w:sz="0" w:space="0" w:color="auto"/>
        <w:bottom w:val="none" w:sz="0" w:space="0" w:color="auto"/>
        <w:right w:val="none" w:sz="0" w:space="0" w:color="auto"/>
      </w:divBdr>
    </w:div>
    <w:div w:id="462037337">
      <w:bodyDiv w:val="1"/>
      <w:marLeft w:val="0"/>
      <w:marRight w:val="0"/>
      <w:marTop w:val="0"/>
      <w:marBottom w:val="0"/>
      <w:divBdr>
        <w:top w:val="none" w:sz="0" w:space="0" w:color="auto"/>
        <w:left w:val="none" w:sz="0" w:space="0" w:color="auto"/>
        <w:bottom w:val="none" w:sz="0" w:space="0" w:color="auto"/>
        <w:right w:val="none" w:sz="0" w:space="0" w:color="auto"/>
      </w:divBdr>
    </w:div>
    <w:div w:id="462162891">
      <w:bodyDiv w:val="1"/>
      <w:marLeft w:val="0"/>
      <w:marRight w:val="0"/>
      <w:marTop w:val="0"/>
      <w:marBottom w:val="0"/>
      <w:divBdr>
        <w:top w:val="none" w:sz="0" w:space="0" w:color="auto"/>
        <w:left w:val="none" w:sz="0" w:space="0" w:color="auto"/>
        <w:bottom w:val="none" w:sz="0" w:space="0" w:color="auto"/>
        <w:right w:val="none" w:sz="0" w:space="0" w:color="auto"/>
      </w:divBdr>
    </w:div>
    <w:div w:id="462191168">
      <w:bodyDiv w:val="1"/>
      <w:marLeft w:val="0"/>
      <w:marRight w:val="0"/>
      <w:marTop w:val="0"/>
      <w:marBottom w:val="0"/>
      <w:divBdr>
        <w:top w:val="none" w:sz="0" w:space="0" w:color="auto"/>
        <w:left w:val="none" w:sz="0" w:space="0" w:color="auto"/>
        <w:bottom w:val="none" w:sz="0" w:space="0" w:color="auto"/>
        <w:right w:val="none" w:sz="0" w:space="0" w:color="auto"/>
      </w:divBdr>
    </w:div>
    <w:div w:id="462191238">
      <w:bodyDiv w:val="1"/>
      <w:marLeft w:val="0"/>
      <w:marRight w:val="0"/>
      <w:marTop w:val="0"/>
      <w:marBottom w:val="0"/>
      <w:divBdr>
        <w:top w:val="none" w:sz="0" w:space="0" w:color="auto"/>
        <w:left w:val="none" w:sz="0" w:space="0" w:color="auto"/>
        <w:bottom w:val="none" w:sz="0" w:space="0" w:color="auto"/>
        <w:right w:val="none" w:sz="0" w:space="0" w:color="auto"/>
      </w:divBdr>
    </w:div>
    <w:div w:id="462233644">
      <w:bodyDiv w:val="1"/>
      <w:marLeft w:val="0"/>
      <w:marRight w:val="0"/>
      <w:marTop w:val="0"/>
      <w:marBottom w:val="0"/>
      <w:divBdr>
        <w:top w:val="none" w:sz="0" w:space="0" w:color="auto"/>
        <w:left w:val="none" w:sz="0" w:space="0" w:color="auto"/>
        <w:bottom w:val="none" w:sz="0" w:space="0" w:color="auto"/>
        <w:right w:val="none" w:sz="0" w:space="0" w:color="auto"/>
      </w:divBdr>
    </w:div>
    <w:div w:id="462237123">
      <w:bodyDiv w:val="1"/>
      <w:marLeft w:val="0"/>
      <w:marRight w:val="0"/>
      <w:marTop w:val="0"/>
      <w:marBottom w:val="0"/>
      <w:divBdr>
        <w:top w:val="none" w:sz="0" w:space="0" w:color="auto"/>
        <w:left w:val="none" w:sz="0" w:space="0" w:color="auto"/>
        <w:bottom w:val="none" w:sz="0" w:space="0" w:color="auto"/>
        <w:right w:val="none" w:sz="0" w:space="0" w:color="auto"/>
      </w:divBdr>
    </w:div>
    <w:div w:id="462237771">
      <w:bodyDiv w:val="1"/>
      <w:marLeft w:val="0"/>
      <w:marRight w:val="0"/>
      <w:marTop w:val="0"/>
      <w:marBottom w:val="0"/>
      <w:divBdr>
        <w:top w:val="none" w:sz="0" w:space="0" w:color="auto"/>
        <w:left w:val="none" w:sz="0" w:space="0" w:color="auto"/>
        <w:bottom w:val="none" w:sz="0" w:space="0" w:color="auto"/>
        <w:right w:val="none" w:sz="0" w:space="0" w:color="auto"/>
      </w:divBdr>
    </w:div>
    <w:div w:id="462306883">
      <w:bodyDiv w:val="1"/>
      <w:marLeft w:val="0"/>
      <w:marRight w:val="0"/>
      <w:marTop w:val="0"/>
      <w:marBottom w:val="0"/>
      <w:divBdr>
        <w:top w:val="none" w:sz="0" w:space="0" w:color="auto"/>
        <w:left w:val="none" w:sz="0" w:space="0" w:color="auto"/>
        <w:bottom w:val="none" w:sz="0" w:space="0" w:color="auto"/>
        <w:right w:val="none" w:sz="0" w:space="0" w:color="auto"/>
      </w:divBdr>
    </w:div>
    <w:div w:id="462356545">
      <w:bodyDiv w:val="1"/>
      <w:marLeft w:val="0"/>
      <w:marRight w:val="0"/>
      <w:marTop w:val="0"/>
      <w:marBottom w:val="0"/>
      <w:divBdr>
        <w:top w:val="none" w:sz="0" w:space="0" w:color="auto"/>
        <w:left w:val="none" w:sz="0" w:space="0" w:color="auto"/>
        <w:bottom w:val="none" w:sz="0" w:space="0" w:color="auto"/>
        <w:right w:val="none" w:sz="0" w:space="0" w:color="auto"/>
      </w:divBdr>
    </w:div>
    <w:div w:id="462381145">
      <w:bodyDiv w:val="1"/>
      <w:marLeft w:val="0"/>
      <w:marRight w:val="0"/>
      <w:marTop w:val="0"/>
      <w:marBottom w:val="0"/>
      <w:divBdr>
        <w:top w:val="none" w:sz="0" w:space="0" w:color="auto"/>
        <w:left w:val="none" w:sz="0" w:space="0" w:color="auto"/>
        <w:bottom w:val="none" w:sz="0" w:space="0" w:color="auto"/>
        <w:right w:val="none" w:sz="0" w:space="0" w:color="auto"/>
      </w:divBdr>
    </w:div>
    <w:div w:id="462430167">
      <w:bodyDiv w:val="1"/>
      <w:marLeft w:val="0"/>
      <w:marRight w:val="0"/>
      <w:marTop w:val="0"/>
      <w:marBottom w:val="0"/>
      <w:divBdr>
        <w:top w:val="none" w:sz="0" w:space="0" w:color="auto"/>
        <w:left w:val="none" w:sz="0" w:space="0" w:color="auto"/>
        <w:bottom w:val="none" w:sz="0" w:space="0" w:color="auto"/>
        <w:right w:val="none" w:sz="0" w:space="0" w:color="auto"/>
      </w:divBdr>
    </w:div>
    <w:div w:id="462506457">
      <w:bodyDiv w:val="1"/>
      <w:marLeft w:val="0"/>
      <w:marRight w:val="0"/>
      <w:marTop w:val="0"/>
      <w:marBottom w:val="0"/>
      <w:divBdr>
        <w:top w:val="none" w:sz="0" w:space="0" w:color="auto"/>
        <w:left w:val="none" w:sz="0" w:space="0" w:color="auto"/>
        <w:bottom w:val="none" w:sz="0" w:space="0" w:color="auto"/>
        <w:right w:val="none" w:sz="0" w:space="0" w:color="auto"/>
      </w:divBdr>
    </w:div>
    <w:div w:id="462625187">
      <w:bodyDiv w:val="1"/>
      <w:marLeft w:val="0"/>
      <w:marRight w:val="0"/>
      <w:marTop w:val="0"/>
      <w:marBottom w:val="0"/>
      <w:divBdr>
        <w:top w:val="none" w:sz="0" w:space="0" w:color="auto"/>
        <w:left w:val="none" w:sz="0" w:space="0" w:color="auto"/>
        <w:bottom w:val="none" w:sz="0" w:space="0" w:color="auto"/>
        <w:right w:val="none" w:sz="0" w:space="0" w:color="auto"/>
      </w:divBdr>
    </w:div>
    <w:div w:id="462701825">
      <w:bodyDiv w:val="1"/>
      <w:marLeft w:val="0"/>
      <w:marRight w:val="0"/>
      <w:marTop w:val="0"/>
      <w:marBottom w:val="0"/>
      <w:divBdr>
        <w:top w:val="none" w:sz="0" w:space="0" w:color="auto"/>
        <w:left w:val="none" w:sz="0" w:space="0" w:color="auto"/>
        <w:bottom w:val="none" w:sz="0" w:space="0" w:color="auto"/>
        <w:right w:val="none" w:sz="0" w:space="0" w:color="auto"/>
      </w:divBdr>
    </w:div>
    <w:div w:id="462889176">
      <w:bodyDiv w:val="1"/>
      <w:marLeft w:val="0"/>
      <w:marRight w:val="0"/>
      <w:marTop w:val="0"/>
      <w:marBottom w:val="0"/>
      <w:divBdr>
        <w:top w:val="none" w:sz="0" w:space="0" w:color="auto"/>
        <w:left w:val="none" w:sz="0" w:space="0" w:color="auto"/>
        <w:bottom w:val="none" w:sz="0" w:space="0" w:color="auto"/>
        <w:right w:val="none" w:sz="0" w:space="0" w:color="auto"/>
      </w:divBdr>
    </w:div>
    <w:div w:id="463037478">
      <w:bodyDiv w:val="1"/>
      <w:marLeft w:val="0"/>
      <w:marRight w:val="0"/>
      <w:marTop w:val="0"/>
      <w:marBottom w:val="0"/>
      <w:divBdr>
        <w:top w:val="none" w:sz="0" w:space="0" w:color="auto"/>
        <w:left w:val="none" w:sz="0" w:space="0" w:color="auto"/>
        <w:bottom w:val="none" w:sz="0" w:space="0" w:color="auto"/>
        <w:right w:val="none" w:sz="0" w:space="0" w:color="auto"/>
      </w:divBdr>
    </w:div>
    <w:div w:id="463042803">
      <w:bodyDiv w:val="1"/>
      <w:marLeft w:val="0"/>
      <w:marRight w:val="0"/>
      <w:marTop w:val="0"/>
      <w:marBottom w:val="0"/>
      <w:divBdr>
        <w:top w:val="none" w:sz="0" w:space="0" w:color="auto"/>
        <w:left w:val="none" w:sz="0" w:space="0" w:color="auto"/>
        <w:bottom w:val="none" w:sz="0" w:space="0" w:color="auto"/>
        <w:right w:val="none" w:sz="0" w:space="0" w:color="auto"/>
      </w:divBdr>
    </w:div>
    <w:div w:id="463158668">
      <w:bodyDiv w:val="1"/>
      <w:marLeft w:val="0"/>
      <w:marRight w:val="0"/>
      <w:marTop w:val="0"/>
      <w:marBottom w:val="0"/>
      <w:divBdr>
        <w:top w:val="none" w:sz="0" w:space="0" w:color="auto"/>
        <w:left w:val="none" w:sz="0" w:space="0" w:color="auto"/>
        <w:bottom w:val="none" w:sz="0" w:space="0" w:color="auto"/>
        <w:right w:val="none" w:sz="0" w:space="0" w:color="auto"/>
      </w:divBdr>
    </w:div>
    <w:div w:id="463163911">
      <w:bodyDiv w:val="1"/>
      <w:marLeft w:val="0"/>
      <w:marRight w:val="0"/>
      <w:marTop w:val="0"/>
      <w:marBottom w:val="0"/>
      <w:divBdr>
        <w:top w:val="none" w:sz="0" w:space="0" w:color="auto"/>
        <w:left w:val="none" w:sz="0" w:space="0" w:color="auto"/>
        <w:bottom w:val="none" w:sz="0" w:space="0" w:color="auto"/>
        <w:right w:val="none" w:sz="0" w:space="0" w:color="auto"/>
      </w:divBdr>
    </w:div>
    <w:div w:id="463235390">
      <w:bodyDiv w:val="1"/>
      <w:marLeft w:val="0"/>
      <w:marRight w:val="0"/>
      <w:marTop w:val="0"/>
      <w:marBottom w:val="0"/>
      <w:divBdr>
        <w:top w:val="none" w:sz="0" w:space="0" w:color="auto"/>
        <w:left w:val="none" w:sz="0" w:space="0" w:color="auto"/>
        <w:bottom w:val="none" w:sz="0" w:space="0" w:color="auto"/>
        <w:right w:val="none" w:sz="0" w:space="0" w:color="auto"/>
      </w:divBdr>
    </w:div>
    <w:div w:id="463237381">
      <w:bodyDiv w:val="1"/>
      <w:marLeft w:val="0"/>
      <w:marRight w:val="0"/>
      <w:marTop w:val="0"/>
      <w:marBottom w:val="0"/>
      <w:divBdr>
        <w:top w:val="none" w:sz="0" w:space="0" w:color="auto"/>
        <w:left w:val="none" w:sz="0" w:space="0" w:color="auto"/>
        <w:bottom w:val="none" w:sz="0" w:space="0" w:color="auto"/>
        <w:right w:val="none" w:sz="0" w:space="0" w:color="auto"/>
      </w:divBdr>
    </w:div>
    <w:div w:id="463276684">
      <w:bodyDiv w:val="1"/>
      <w:marLeft w:val="0"/>
      <w:marRight w:val="0"/>
      <w:marTop w:val="0"/>
      <w:marBottom w:val="0"/>
      <w:divBdr>
        <w:top w:val="none" w:sz="0" w:space="0" w:color="auto"/>
        <w:left w:val="none" w:sz="0" w:space="0" w:color="auto"/>
        <w:bottom w:val="none" w:sz="0" w:space="0" w:color="auto"/>
        <w:right w:val="none" w:sz="0" w:space="0" w:color="auto"/>
      </w:divBdr>
    </w:div>
    <w:div w:id="463351695">
      <w:bodyDiv w:val="1"/>
      <w:marLeft w:val="0"/>
      <w:marRight w:val="0"/>
      <w:marTop w:val="0"/>
      <w:marBottom w:val="0"/>
      <w:divBdr>
        <w:top w:val="none" w:sz="0" w:space="0" w:color="auto"/>
        <w:left w:val="none" w:sz="0" w:space="0" w:color="auto"/>
        <w:bottom w:val="none" w:sz="0" w:space="0" w:color="auto"/>
        <w:right w:val="none" w:sz="0" w:space="0" w:color="auto"/>
      </w:divBdr>
    </w:div>
    <w:div w:id="463501156">
      <w:bodyDiv w:val="1"/>
      <w:marLeft w:val="0"/>
      <w:marRight w:val="0"/>
      <w:marTop w:val="0"/>
      <w:marBottom w:val="0"/>
      <w:divBdr>
        <w:top w:val="none" w:sz="0" w:space="0" w:color="auto"/>
        <w:left w:val="none" w:sz="0" w:space="0" w:color="auto"/>
        <w:bottom w:val="none" w:sz="0" w:space="0" w:color="auto"/>
        <w:right w:val="none" w:sz="0" w:space="0" w:color="auto"/>
      </w:divBdr>
    </w:div>
    <w:div w:id="463548016">
      <w:bodyDiv w:val="1"/>
      <w:marLeft w:val="0"/>
      <w:marRight w:val="0"/>
      <w:marTop w:val="0"/>
      <w:marBottom w:val="0"/>
      <w:divBdr>
        <w:top w:val="none" w:sz="0" w:space="0" w:color="auto"/>
        <w:left w:val="none" w:sz="0" w:space="0" w:color="auto"/>
        <w:bottom w:val="none" w:sz="0" w:space="0" w:color="auto"/>
        <w:right w:val="none" w:sz="0" w:space="0" w:color="auto"/>
      </w:divBdr>
    </w:div>
    <w:div w:id="463616947">
      <w:bodyDiv w:val="1"/>
      <w:marLeft w:val="0"/>
      <w:marRight w:val="0"/>
      <w:marTop w:val="0"/>
      <w:marBottom w:val="0"/>
      <w:divBdr>
        <w:top w:val="none" w:sz="0" w:space="0" w:color="auto"/>
        <w:left w:val="none" w:sz="0" w:space="0" w:color="auto"/>
        <w:bottom w:val="none" w:sz="0" w:space="0" w:color="auto"/>
        <w:right w:val="none" w:sz="0" w:space="0" w:color="auto"/>
      </w:divBdr>
    </w:div>
    <w:div w:id="463618230">
      <w:bodyDiv w:val="1"/>
      <w:marLeft w:val="0"/>
      <w:marRight w:val="0"/>
      <w:marTop w:val="0"/>
      <w:marBottom w:val="0"/>
      <w:divBdr>
        <w:top w:val="none" w:sz="0" w:space="0" w:color="auto"/>
        <w:left w:val="none" w:sz="0" w:space="0" w:color="auto"/>
        <w:bottom w:val="none" w:sz="0" w:space="0" w:color="auto"/>
        <w:right w:val="none" w:sz="0" w:space="0" w:color="auto"/>
      </w:divBdr>
    </w:div>
    <w:div w:id="463694295">
      <w:bodyDiv w:val="1"/>
      <w:marLeft w:val="0"/>
      <w:marRight w:val="0"/>
      <w:marTop w:val="0"/>
      <w:marBottom w:val="0"/>
      <w:divBdr>
        <w:top w:val="none" w:sz="0" w:space="0" w:color="auto"/>
        <w:left w:val="none" w:sz="0" w:space="0" w:color="auto"/>
        <w:bottom w:val="none" w:sz="0" w:space="0" w:color="auto"/>
        <w:right w:val="none" w:sz="0" w:space="0" w:color="auto"/>
      </w:divBdr>
    </w:div>
    <w:div w:id="463811631">
      <w:bodyDiv w:val="1"/>
      <w:marLeft w:val="0"/>
      <w:marRight w:val="0"/>
      <w:marTop w:val="0"/>
      <w:marBottom w:val="0"/>
      <w:divBdr>
        <w:top w:val="none" w:sz="0" w:space="0" w:color="auto"/>
        <w:left w:val="none" w:sz="0" w:space="0" w:color="auto"/>
        <w:bottom w:val="none" w:sz="0" w:space="0" w:color="auto"/>
        <w:right w:val="none" w:sz="0" w:space="0" w:color="auto"/>
      </w:divBdr>
    </w:div>
    <w:div w:id="463813010">
      <w:bodyDiv w:val="1"/>
      <w:marLeft w:val="0"/>
      <w:marRight w:val="0"/>
      <w:marTop w:val="0"/>
      <w:marBottom w:val="0"/>
      <w:divBdr>
        <w:top w:val="none" w:sz="0" w:space="0" w:color="auto"/>
        <w:left w:val="none" w:sz="0" w:space="0" w:color="auto"/>
        <w:bottom w:val="none" w:sz="0" w:space="0" w:color="auto"/>
        <w:right w:val="none" w:sz="0" w:space="0" w:color="auto"/>
      </w:divBdr>
    </w:div>
    <w:div w:id="463894655">
      <w:bodyDiv w:val="1"/>
      <w:marLeft w:val="0"/>
      <w:marRight w:val="0"/>
      <w:marTop w:val="0"/>
      <w:marBottom w:val="0"/>
      <w:divBdr>
        <w:top w:val="none" w:sz="0" w:space="0" w:color="auto"/>
        <w:left w:val="none" w:sz="0" w:space="0" w:color="auto"/>
        <w:bottom w:val="none" w:sz="0" w:space="0" w:color="auto"/>
        <w:right w:val="none" w:sz="0" w:space="0" w:color="auto"/>
      </w:divBdr>
    </w:div>
    <w:div w:id="464005364">
      <w:bodyDiv w:val="1"/>
      <w:marLeft w:val="0"/>
      <w:marRight w:val="0"/>
      <w:marTop w:val="0"/>
      <w:marBottom w:val="0"/>
      <w:divBdr>
        <w:top w:val="none" w:sz="0" w:space="0" w:color="auto"/>
        <w:left w:val="none" w:sz="0" w:space="0" w:color="auto"/>
        <w:bottom w:val="none" w:sz="0" w:space="0" w:color="auto"/>
        <w:right w:val="none" w:sz="0" w:space="0" w:color="auto"/>
      </w:divBdr>
    </w:div>
    <w:div w:id="464008247">
      <w:bodyDiv w:val="1"/>
      <w:marLeft w:val="0"/>
      <w:marRight w:val="0"/>
      <w:marTop w:val="0"/>
      <w:marBottom w:val="0"/>
      <w:divBdr>
        <w:top w:val="none" w:sz="0" w:space="0" w:color="auto"/>
        <w:left w:val="none" w:sz="0" w:space="0" w:color="auto"/>
        <w:bottom w:val="none" w:sz="0" w:space="0" w:color="auto"/>
        <w:right w:val="none" w:sz="0" w:space="0" w:color="auto"/>
      </w:divBdr>
    </w:div>
    <w:div w:id="464011560">
      <w:bodyDiv w:val="1"/>
      <w:marLeft w:val="0"/>
      <w:marRight w:val="0"/>
      <w:marTop w:val="0"/>
      <w:marBottom w:val="0"/>
      <w:divBdr>
        <w:top w:val="none" w:sz="0" w:space="0" w:color="auto"/>
        <w:left w:val="none" w:sz="0" w:space="0" w:color="auto"/>
        <w:bottom w:val="none" w:sz="0" w:space="0" w:color="auto"/>
        <w:right w:val="none" w:sz="0" w:space="0" w:color="auto"/>
      </w:divBdr>
    </w:div>
    <w:div w:id="464127200">
      <w:bodyDiv w:val="1"/>
      <w:marLeft w:val="0"/>
      <w:marRight w:val="0"/>
      <w:marTop w:val="0"/>
      <w:marBottom w:val="0"/>
      <w:divBdr>
        <w:top w:val="none" w:sz="0" w:space="0" w:color="auto"/>
        <w:left w:val="none" w:sz="0" w:space="0" w:color="auto"/>
        <w:bottom w:val="none" w:sz="0" w:space="0" w:color="auto"/>
        <w:right w:val="none" w:sz="0" w:space="0" w:color="auto"/>
      </w:divBdr>
    </w:div>
    <w:div w:id="464273988">
      <w:bodyDiv w:val="1"/>
      <w:marLeft w:val="0"/>
      <w:marRight w:val="0"/>
      <w:marTop w:val="0"/>
      <w:marBottom w:val="0"/>
      <w:divBdr>
        <w:top w:val="none" w:sz="0" w:space="0" w:color="auto"/>
        <w:left w:val="none" w:sz="0" w:space="0" w:color="auto"/>
        <w:bottom w:val="none" w:sz="0" w:space="0" w:color="auto"/>
        <w:right w:val="none" w:sz="0" w:space="0" w:color="auto"/>
      </w:divBdr>
    </w:div>
    <w:div w:id="464274017">
      <w:bodyDiv w:val="1"/>
      <w:marLeft w:val="0"/>
      <w:marRight w:val="0"/>
      <w:marTop w:val="0"/>
      <w:marBottom w:val="0"/>
      <w:divBdr>
        <w:top w:val="none" w:sz="0" w:space="0" w:color="auto"/>
        <w:left w:val="none" w:sz="0" w:space="0" w:color="auto"/>
        <w:bottom w:val="none" w:sz="0" w:space="0" w:color="auto"/>
        <w:right w:val="none" w:sz="0" w:space="0" w:color="auto"/>
      </w:divBdr>
    </w:div>
    <w:div w:id="464279575">
      <w:bodyDiv w:val="1"/>
      <w:marLeft w:val="0"/>
      <w:marRight w:val="0"/>
      <w:marTop w:val="0"/>
      <w:marBottom w:val="0"/>
      <w:divBdr>
        <w:top w:val="none" w:sz="0" w:space="0" w:color="auto"/>
        <w:left w:val="none" w:sz="0" w:space="0" w:color="auto"/>
        <w:bottom w:val="none" w:sz="0" w:space="0" w:color="auto"/>
        <w:right w:val="none" w:sz="0" w:space="0" w:color="auto"/>
      </w:divBdr>
    </w:div>
    <w:div w:id="464351596">
      <w:bodyDiv w:val="1"/>
      <w:marLeft w:val="0"/>
      <w:marRight w:val="0"/>
      <w:marTop w:val="0"/>
      <w:marBottom w:val="0"/>
      <w:divBdr>
        <w:top w:val="none" w:sz="0" w:space="0" w:color="auto"/>
        <w:left w:val="none" w:sz="0" w:space="0" w:color="auto"/>
        <w:bottom w:val="none" w:sz="0" w:space="0" w:color="auto"/>
        <w:right w:val="none" w:sz="0" w:space="0" w:color="auto"/>
      </w:divBdr>
    </w:div>
    <w:div w:id="464354506">
      <w:bodyDiv w:val="1"/>
      <w:marLeft w:val="0"/>
      <w:marRight w:val="0"/>
      <w:marTop w:val="0"/>
      <w:marBottom w:val="0"/>
      <w:divBdr>
        <w:top w:val="none" w:sz="0" w:space="0" w:color="auto"/>
        <w:left w:val="none" w:sz="0" w:space="0" w:color="auto"/>
        <w:bottom w:val="none" w:sz="0" w:space="0" w:color="auto"/>
        <w:right w:val="none" w:sz="0" w:space="0" w:color="auto"/>
      </w:divBdr>
    </w:div>
    <w:div w:id="464471903">
      <w:bodyDiv w:val="1"/>
      <w:marLeft w:val="0"/>
      <w:marRight w:val="0"/>
      <w:marTop w:val="0"/>
      <w:marBottom w:val="0"/>
      <w:divBdr>
        <w:top w:val="none" w:sz="0" w:space="0" w:color="auto"/>
        <w:left w:val="none" w:sz="0" w:space="0" w:color="auto"/>
        <w:bottom w:val="none" w:sz="0" w:space="0" w:color="auto"/>
        <w:right w:val="none" w:sz="0" w:space="0" w:color="auto"/>
      </w:divBdr>
    </w:div>
    <w:div w:id="464472659">
      <w:bodyDiv w:val="1"/>
      <w:marLeft w:val="0"/>
      <w:marRight w:val="0"/>
      <w:marTop w:val="0"/>
      <w:marBottom w:val="0"/>
      <w:divBdr>
        <w:top w:val="none" w:sz="0" w:space="0" w:color="auto"/>
        <w:left w:val="none" w:sz="0" w:space="0" w:color="auto"/>
        <w:bottom w:val="none" w:sz="0" w:space="0" w:color="auto"/>
        <w:right w:val="none" w:sz="0" w:space="0" w:color="auto"/>
      </w:divBdr>
    </w:div>
    <w:div w:id="464542208">
      <w:bodyDiv w:val="1"/>
      <w:marLeft w:val="0"/>
      <w:marRight w:val="0"/>
      <w:marTop w:val="0"/>
      <w:marBottom w:val="0"/>
      <w:divBdr>
        <w:top w:val="none" w:sz="0" w:space="0" w:color="auto"/>
        <w:left w:val="none" w:sz="0" w:space="0" w:color="auto"/>
        <w:bottom w:val="none" w:sz="0" w:space="0" w:color="auto"/>
        <w:right w:val="none" w:sz="0" w:space="0" w:color="auto"/>
      </w:divBdr>
    </w:div>
    <w:div w:id="464588620">
      <w:bodyDiv w:val="1"/>
      <w:marLeft w:val="0"/>
      <w:marRight w:val="0"/>
      <w:marTop w:val="0"/>
      <w:marBottom w:val="0"/>
      <w:divBdr>
        <w:top w:val="none" w:sz="0" w:space="0" w:color="auto"/>
        <w:left w:val="none" w:sz="0" w:space="0" w:color="auto"/>
        <w:bottom w:val="none" w:sz="0" w:space="0" w:color="auto"/>
        <w:right w:val="none" w:sz="0" w:space="0" w:color="auto"/>
      </w:divBdr>
    </w:div>
    <w:div w:id="464588993">
      <w:bodyDiv w:val="1"/>
      <w:marLeft w:val="0"/>
      <w:marRight w:val="0"/>
      <w:marTop w:val="0"/>
      <w:marBottom w:val="0"/>
      <w:divBdr>
        <w:top w:val="none" w:sz="0" w:space="0" w:color="auto"/>
        <w:left w:val="none" w:sz="0" w:space="0" w:color="auto"/>
        <w:bottom w:val="none" w:sz="0" w:space="0" w:color="auto"/>
        <w:right w:val="none" w:sz="0" w:space="0" w:color="auto"/>
      </w:divBdr>
    </w:div>
    <w:div w:id="464666010">
      <w:bodyDiv w:val="1"/>
      <w:marLeft w:val="0"/>
      <w:marRight w:val="0"/>
      <w:marTop w:val="0"/>
      <w:marBottom w:val="0"/>
      <w:divBdr>
        <w:top w:val="none" w:sz="0" w:space="0" w:color="auto"/>
        <w:left w:val="none" w:sz="0" w:space="0" w:color="auto"/>
        <w:bottom w:val="none" w:sz="0" w:space="0" w:color="auto"/>
        <w:right w:val="none" w:sz="0" w:space="0" w:color="auto"/>
      </w:divBdr>
    </w:div>
    <w:div w:id="464737901">
      <w:bodyDiv w:val="1"/>
      <w:marLeft w:val="0"/>
      <w:marRight w:val="0"/>
      <w:marTop w:val="0"/>
      <w:marBottom w:val="0"/>
      <w:divBdr>
        <w:top w:val="none" w:sz="0" w:space="0" w:color="auto"/>
        <w:left w:val="none" w:sz="0" w:space="0" w:color="auto"/>
        <w:bottom w:val="none" w:sz="0" w:space="0" w:color="auto"/>
        <w:right w:val="none" w:sz="0" w:space="0" w:color="auto"/>
      </w:divBdr>
    </w:div>
    <w:div w:id="464810780">
      <w:bodyDiv w:val="1"/>
      <w:marLeft w:val="0"/>
      <w:marRight w:val="0"/>
      <w:marTop w:val="0"/>
      <w:marBottom w:val="0"/>
      <w:divBdr>
        <w:top w:val="none" w:sz="0" w:space="0" w:color="auto"/>
        <w:left w:val="none" w:sz="0" w:space="0" w:color="auto"/>
        <w:bottom w:val="none" w:sz="0" w:space="0" w:color="auto"/>
        <w:right w:val="none" w:sz="0" w:space="0" w:color="auto"/>
      </w:divBdr>
    </w:div>
    <w:div w:id="464854855">
      <w:bodyDiv w:val="1"/>
      <w:marLeft w:val="0"/>
      <w:marRight w:val="0"/>
      <w:marTop w:val="0"/>
      <w:marBottom w:val="0"/>
      <w:divBdr>
        <w:top w:val="none" w:sz="0" w:space="0" w:color="auto"/>
        <w:left w:val="none" w:sz="0" w:space="0" w:color="auto"/>
        <w:bottom w:val="none" w:sz="0" w:space="0" w:color="auto"/>
        <w:right w:val="none" w:sz="0" w:space="0" w:color="auto"/>
      </w:divBdr>
    </w:div>
    <w:div w:id="464860009">
      <w:bodyDiv w:val="1"/>
      <w:marLeft w:val="0"/>
      <w:marRight w:val="0"/>
      <w:marTop w:val="0"/>
      <w:marBottom w:val="0"/>
      <w:divBdr>
        <w:top w:val="none" w:sz="0" w:space="0" w:color="auto"/>
        <w:left w:val="none" w:sz="0" w:space="0" w:color="auto"/>
        <w:bottom w:val="none" w:sz="0" w:space="0" w:color="auto"/>
        <w:right w:val="none" w:sz="0" w:space="0" w:color="auto"/>
      </w:divBdr>
    </w:div>
    <w:div w:id="465045169">
      <w:bodyDiv w:val="1"/>
      <w:marLeft w:val="0"/>
      <w:marRight w:val="0"/>
      <w:marTop w:val="0"/>
      <w:marBottom w:val="0"/>
      <w:divBdr>
        <w:top w:val="none" w:sz="0" w:space="0" w:color="auto"/>
        <w:left w:val="none" w:sz="0" w:space="0" w:color="auto"/>
        <w:bottom w:val="none" w:sz="0" w:space="0" w:color="auto"/>
        <w:right w:val="none" w:sz="0" w:space="0" w:color="auto"/>
      </w:divBdr>
    </w:div>
    <w:div w:id="465047239">
      <w:bodyDiv w:val="1"/>
      <w:marLeft w:val="0"/>
      <w:marRight w:val="0"/>
      <w:marTop w:val="0"/>
      <w:marBottom w:val="0"/>
      <w:divBdr>
        <w:top w:val="none" w:sz="0" w:space="0" w:color="auto"/>
        <w:left w:val="none" w:sz="0" w:space="0" w:color="auto"/>
        <w:bottom w:val="none" w:sz="0" w:space="0" w:color="auto"/>
        <w:right w:val="none" w:sz="0" w:space="0" w:color="auto"/>
      </w:divBdr>
    </w:div>
    <w:div w:id="465052327">
      <w:bodyDiv w:val="1"/>
      <w:marLeft w:val="0"/>
      <w:marRight w:val="0"/>
      <w:marTop w:val="0"/>
      <w:marBottom w:val="0"/>
      <w:divBdr>
        <w:top w:val="none" w:sz="0" w:space="0" w:color="auto"/>
        <w:left w:val="none" w:sz="0" w:space="0" w:color="auto"/>
        <w:bottom w:val="none" w:sz="0" w:space="0" w:color="auto"/>
        <w:right w:val="none" w:sz="0" w:space="0" w:color="auto"/>
      </w:divBdr>
    </w:div>
    <w:div w:id="465201805">
      <w:bodyDiv w:val="1"/>
      <w:marLeft w:val="0"/>
      <w:marRight w:val="0"/>
      <w:marTop w:val="0"/>
      <w:marBottom w:val="0"/>
      <w:divBdr>
        <w:top w:val="none" w:sz="0" w:space="0" w:color="auto"/>
        <w:left w:val="none" w:sz="0" w:space="0" w:color="auto"/>
        <w:bottom w:val="none" w:sz="0" w:space="0" w:color="auto"/>
        <w:right w:val="none" w:sz="0" w:space="0" w:color="auto"/>
      </w:divBdr>
    </w:div>
    <w:div w:id="465241653">
      <w:bodyDiv w:val="1"/>
      <w:marLeft w:val="0"/>
      <w:marRight w:val="0"/>
      <w:marTop w:val="0"/>
      <w:marBottom w:val="0"/>
      <w:divBdr>
        <w:top w:val="none" w:sz="0" w:space="0" w:color="auto"/>
        <w:left w:val="none" w:sz="0" w:space="0" w:color="auto"/>
        <w:bottom w:val="none" w:sz="0" w:space="0" w:color="auto"/>
        <w:right w:val="none" w:sz="0" w:space="0" w:color="auto"/>
      </w:divBdr>
    </w:div>
    <w:div w:id="465244058">
      <w:bodyDiv w:val="1"/>
      <w:marLeft w:val="0"/>
      <w:marRight w:val="0"/>
      <w:marTop w:val="0"/>
      <w:marBottom w:val="0"/>
      <w:divBdr>
        <w:top w:val="none" w:sz="0" w:space="0" w:color="auto"/>
        <w:left w:val="none" w:sz="0" w:space="0" w:color="auto"/>
        <w:bottom w:val="none" w:sz="0" w:space="0" w:color="auto"/>
        <w:right w:val="none" w:sz="0" w:space="0" w:color="auto"/>
      </w:divBdr>
    </w:div>
    <w:div w:id="465245409">
      <w:bodyDiv w:val="1"/>
      <w:marLeft w:val="0"/>
      <w:marRight w:val="0"/>
      <w:marTop w:val="0"/>
      <w:marBottom w:val="0"/>
      <w:divBdr>
        <w:top w:val="none" w:sz="0" w:space="0" w:color="auto"/>
        <w:left w:val="none" w:sz="0" w:space="0" w:color="auto"/>
        <w:bottom w:val="none" w:sz="0" w:space="0" w:color="auto"/>
        <w:right w:val="none" w:sz="0" w:space="0" w:color="auto"/>
      </w:divBdr>
    </w:div>
    <w:div w:id="465439991">
      <w:bodyDiv w:val="1"/>
      <w:marLeft w:val="0"/>
      <w:marRight w:val="0"/>
      <w:marTop w:val="0"/>
      <w:marBottom w:val="0"/>
      <w:divBdr>
        <w:top w:val="none" w:sz="0" w:space="0" w:color="auto"/>
        <w:left w:val="none" w:sz="0" w:space="0" w:color="auto"/>
        <w:bottom w:val="none" w:sz="0" w:space="0" w:color="auto"/>
        <w:right w:val="none" w:sz="0" w:space="0" w:color="auto"/>
      </w:divBdr>
    </w:div>
    <w:div w:id="465633292">
      <w:bodyDiv w:val="1"/>
      <w:marLeft w:val="0"/>
      <w:marRight w:val="0"/>
      <w:marTop w:val="0"/>
      <w:marBottom w:val="0"/>
      <w:divBdr>
        <w:top w:val="none" w:sz="0" w:space="0" w:color="auto"/>
        <w:left w:val="none" w:sz="0" w:space="0" w:color="auto"/>
        <w:bottom w:val="none" w:sz="0" w:space="0" w:color="auto"/>
        <w:right w:val="none" w:sz="0" w:space="0" w:color="auto"/>
      </w:divBdr>
    </w:div>
    <w:div w:id="465705677">
      <w:bodyDiv w:val="1"/>
      <w:marLeft w:val="0"/>
      <w:marRight w:val="0"/>
      <w:marTop w:val="0"/>
      <w:marBottom w:val="0"/>
      <w:divBdr>
        <w:top w:val="none" w:sz="0" w:space="0" w:color="auto"/>
        <w:left w:val="none" w:sz="0" w:space="0" w:color="auto"/>
        <w:bottom w:val="none" w:sz="0" w:space="0" w:color="auto"/>
        <w:right w:val="none" w:sz="0" w:space="0" w:color="auto"/>
      </w:divBdr>
    </w:div>
    <w:div w:id="465852969">
      <w:bodyDiv w:val="1"/>
      <w:marLeft w:val="0"/>
      <w:marRight w:val="0"/>
      <w:marTop w:val="0"/>
      <w:marBottom w:val="0"/>
      <w:divBdr>
        <w:top w:val="none" w:sz="0" w:space="0" w:color="auto"/>
        <w:left w:val="none" w:sz="0" w:space="0" w:color="auto"/>
        <w:bottom w:val="none" w:sz="0" w:space="0" w:color="auto"/>
        <w:right w:val="none" w:sz="0" w:space="0" w:color="auto"/>
      </w:divBdr>
    </w:div>
    <w:div w:id="465898844">
      <w:bodyDiv w:val="1"/>
      <w:marLeft w:val="0"/>
      <w:marRight w:val="0"/>
      <w:marTop w:val="0"/>
      <w:marBottom w:val="0"/>
      <w:divBdr>
        <w:top w:val="none" w:sz="0" w:space="0" w:color="auto"/>
        <w:left w:val="none" w:sz="0" w:space="0" w:color="auto"/>
        <w:bottom w:val="none" w:sz="0" w:space="0" w:color="auto"/>
        <w:right w:val="none" w:sz="0" w:space="0" w:color="auto"/>
      </w:divBdr>
    </w:div>
    <w:div w:id="466046512">
      <w:bodyDiv w:val="1"/>
      <w:marLeft w:val="0"/>
      <w:marRight w:val="0"/>
      <w:marTop w:val="0"/>
      <w:marBottom w:val="0"/>
      <w:divBdr>
        <w:top w:val="none" w:sz="0" w:space="0" w:color="auto"/>
        <w:left w:val="none" w:sz="0" w:space="0" w:color="auto"/>
        <w:bottom w:val="none" w:sz="0" w:space="0" w:color="auto"/>
        <w:right w:val="none" w:sz="0" w:space="0" w:color="auto"/>
      </w:divBdr>
    </w:div>
    <w:div w:id="466122936">
      <w:bodyDiv w:val="1"/>
      <w:marLeft w:val="0"/>
      <w:marRight w:val="0"/>
      <w:marTop w:val="0"/>
      <w:marBottom w:val="0"/>
      <w:divBdr>
        <w:top w:val="none" w:sz="0" w:space="0" w:color="auto"/>
        <w:left w:val="none" w:sz="0" w:space="0" w:color="auto"/>
        <w:bottom w:val="none" w:sz="0" w:space="0" w:color="auto"/>
        <w:right w:val="none" w:sz="0" w:space="0" w:color="auto"/>
      </w:divBdr>
    </w:div>
    <w:div w:id="466431091">
      <w:bodyDiv w:val="1"/>
      <w:marLeft w:val="0"/>
      <w:marRight w:val="0"/>
      <w:marTop w:val="0"/>
      <w:marBottom w:val="0"/>
      <w:divBdr>
        <w:top w:val="none" w:sz="0" w:space="0" w:color="auto"/>
        <w:left w:val="none" w:sz="0" w:space="0" w:color="auto"/>
        <w:bottom w:val="none" w:sz="0" w:space="0" w:color="auto"/>
        <w:right w:val="none" w:sz="0" w:space="0" w:color="auto"/>
      </w:divBdr>
    </w:div>
    <w:div w:id="466440500">
      <w:bodyDiv w:val="1"/>
      <w:marLeft w:val="0"/>
      <w:marRight w:val="0"/>
      <w:marTop w:val="0"/>
      <w:marBottom w:val="0"/>
      <w:divBdr>
        <w:top w:val="none" w:sz="0" w:space="0" w:color="auto"/>
        <w:left w:val="none" w:sz="0" w:space="0" w:color="auto"/>
        <w:bottom w:val="none" w:sz="0" w:space="0" w:color="auto"/>
        <w:right w:val="none" w:sz="0" w:space="0" w:color="auto"/>
      </w:divBdr>
    </w:div>
    <w:div w:id="466510025">
      <w:bodyDiv w:val="1"/>
      <w:marLeft w:val="0"/>
      <w:marRight w:val="0"/>
      <w:marTop w:val="0"/>
      <w:marBottom w:val="0"/>
      <w:divBdr>
        <w:top w:val="none" w:sz="0" w:space="0" w:color="auto"/>
        <w:left w:val="none" w:sz="0" w:space="0" w:color="auto"/>
        <w:bottom w:val="none" w:sz="0" w:space="0" w:color="auto"/>
        <w:right w:val="none" w:sz="0" w:space="0" w:color="auto"/>
      </w:divBdr>
    </w:div>
    <w:div w:id="466551577">
      <w:bodyDiv w:val="1"/>
      <w:marLeft w:val="0"/>
      <w:marRight w:val="0"/>
      <w:marTop w:val="0"/>
      <w:marBottom w:val="0"/>
      <w:divBdr>
        <w:top w:val="none" w:sz="0" w:space="0" w:color="auto"/>
        <w:left w:val="none" w:sz="0" w:space="0" w:color="auto"/>
        <w:bottom w:val="none" w:sz="0" w:space="0" w:color="auto"/>
        <w:right w:val="none" w:sz="0" w:space="0" w:color="auto"/>
      </w:divBdr>
    </w:div>
    <w:div w:id="466552882">
      <w:bodyDiv w:val="1"/>
      <w:marLeft w:val="0"/>
      <w:marRight w:val="0"/>
      <w:marTop w:val="0"/>
      <w:marBottom w:val="0"/>
      <w:divBdr>
        <w:top w:val="none" w:sz="0" w:space="0" w:color="auto"/>
        <w:left w:val="none" w:sz="0" w:space="0" w:color="auto"/>
        <w:bottom w:val="none" w:sz="0" w:space="0" w:color="auto"/>
        <w:right w:val="none" w:sz="0" w:space="0" w:color="auto"/>
      </w:divBdr>
    </w:div>
    <w:div w:id="466581887">
      <w:bodyDiv w:val="1"/>
      <w:marLeft w:val="0"/>
      <w:marRight w:val="0"/>
      <w:marTop w:val="0"/>
      <w:marBottom w:val="0"/>
      <w:divBdr>
        <w:top w:val="none" w:sz="0" w:space="0" w:color="auto"/>
        <w:left w:val="none" w:sz="0" w:space="0" w:color="auto"/>
        <w:bottom w:val="none" w:sz="0" w:space="0" w:color="auto"/>
        <w:right w:val="none" w:sz="0" w:space="0" w:color="auto"/>
      </w:divBdr>
    </w:div>
    <w:div w:id="466625849">
      <w:bodyDiv w:val="1"/>
      <w:marLeft w:val="0"/>
      <w:marRight w:val="0"/>
      <w:marTop w:val="0"/>
      <w:marBottom w:val="0"/>
      <w:divBdr>
        <w:top w:val="none" w:sz="0" w:space="0" w:color="auto"/>
        <w:left w:val="none" w:sz="0" w:space="0" w:color="auto"/>
        <w:bottom w:val="none" w:sz="0" w:space="0" w:color="auto"/>
        <w:right w:val="none" w:sz="0" w:space="0" w:color="auto"/>
      </w:divBdr>
    </w:div>
    <w:div w:id="466626633">
      <w:bodyDiv w:val="1"/>
      <w:marLeft w:val="0"/>
      <w:marRight w:val="0"/>
      <w:marTop w:val="0"/>
      <w:marBottom w:val="0"/>
      <w:divBdr>
        <w:top w:val="none" w:sz="0" w:space="0" w:color="auto"/>
        <w:left w:val="none" w:sz="0" w:space="0" w:color="auto"/>
        <w:bottom w:val="none" w:sz="0" w:space="0" w:color="auto"/>
        <w:right w:val="none" w:sz="0" w:space="0" w:color="auto"/>
      </w:divBdr>
    </w:div>
    <w:div w:id="466628387">
      <w:bodyDiv w:val="1"/>
      <w:marLeft w:val="0"/>
      <w:marRight w:val="0"/>
      <w:marTop w:val="0"/>
      <w:marBottom w:val="0"/>
      <w:divBdr>
        <w:top w:val="none" w:sz="0" w:space="0" w:color="auto"/>
        <w:left w:val="none" w:sz="0" w:space="0" w:color="auto"/>
        <w:bottom w:val="none" w:sz="0" w:space="0" w:color="auto"/>
        <w:right w:val="none" w:sz="0" w:space="0" w:color="auto"/>
      </w:divBdr>
    </w:div>
    <w:div w:id="466629690">
      <w:bodyDiv w:val="1"/>
      <w:marLeft w:val="0"/>
      <w:marRight w:val="0"/>
      <w:marTop w:val="0"/>
      <w:marBottom w:val="0"/>
      <w:divBdr>
        <w:top w:val="none" w:sz="0" w:space="0" w:color="auto"/>
        <w:left w:val="none" w:sz="0" w:space="0" w:color="auto"/>
        <w:bottom w:val="none" w:sz="0" w:space="0" w:color="auto"/>
        <w:right w:val="none" w:sz="0" w:space="0" w:color="auto"/>
      </w:divBdr>
    </w:div>
    <w:div w:id="466700022">
      <w:bodyDiv w:val="1"/>
      <w:marLeft w:val="0"/>
      <w:marRight w:val="0"/>
      <w:marTop w:val="0"/>
      <w:marBottom w:val="0"/>
      <w:divBdr>
        <w:top w:val="none" w:sz="0" w:space="0" w:color="auto"/>
        <w:left w:val="none" w:sz="0" w:space="0" w:color="auto"/>
        <w:bottom w:val="none" w:sz="0" w:space="0" w:color="auto"/>
        <w:right w:val="none" w:sz="0" w:space="0" w:color="auto"/>
      </w:divBdr>
    </w:div>
    <w:div w:id="466704845">
      <w:bodyDiv w:val="1"/>
      <w:marLeft w:val="0"/>
      <w:marRight w:val="0"/>
      <w:marTop w:val="0"/>
      <w:marBottom w:val="0"/>
      <w:divBdr>
        <w:top w:val="none" w:sz="0" w:space="0" w:color="auto"/>
        <w:left w:val="none" w:sz="0" w:space="0" w:color="auto"/>
        <w:bottom w:val="none" w:sz="0" w:space="0" w:color="auto"/>
        <w:right w:val="none" w:sz="0" w:space="0" w:color="auto"/>
      </w:divBdr>
    </w:div>
    <w:div w:id="466706894">
      <w:bodyDiv w:val="1"/>
      <w:marLeft w:val="0"/>
      <w:marRight w:val="0"/>
      <w:marTop w:val="0"/>
      <w:marBottom w:val="0"/>
      <w:divBdr>
        <w:top w:val="none" w:sz="0" w:space="0" w:color="auto"/>
        <w:left w:val="none" w:sz="0" w:space="0" w:color="auto"/>
        <w:bottom w:val="none" w:sz="0" w:space="0" w:color="auto"/>
        <w:right w:val="none" w:sz="0" w:space="0" w:color="auto"/>
      </w:divBdr>
    </w:div>
    <w:div w:id="466749715">
      <w:bodyDiv w:val="1"/>
      <w:marLeft w:val="0"/>
      <w:marRight w:val="0"/>
      <w:marTop w:val="0"/>
      <w:marBottom w:val="0"/>
      <w:divBdr>
        <w:top w:val="none" w:sz="0" w:space="0" w:color="auto"/>
        <w:left w:val="none" w:sz="0" w:space="0" w:color="auto"/>
        <w:bottom w:val="none" w:sz="0" w:space="0" w:color="auto"/>
        <w:right w:val="none" w:sz="0" w:space="0" w:color="auto"/>
      </w:divBdr>
    </w:div>
    <w:div w:id="466826859">
      <w:bodyDiv w:val="1"/>
      <w:marLeft w:val="0"/>
      <w:marRight w:val="0"/>
      <w:marTop w:val="0"/>
      <w:marBottom w:val="0"/>
      <w:divBdr>
        <w:top w:val="none" w:sz="0" w:space="0" w:color="auto"/>
        <w:left w:val="none" w:sz="0" w:space="0" w:color="auto"/>
        <w:bottom w:val="none" w:sz="0" w:space="0" w:color="auto"/>
        <w:right w:val="none" w:sz="0" w:space="0" w:color="auto"/>
      </w:divBdr>
    </w:div>
    <w:div w:id="466893810">
      <w:bodyDiv w:val="1"/>
      <w:marLeft w:val="0"/>
      <w:marRight w:val="0"/>
      <w:marTop w:val="0"/>
      <w:marBottom w:val="0"/>
      <w:divBdr>
        <w:top w:val="none" w:sz="0" w:space="0" w:color="auto"/>
        <w:left w:val="none" w:sz="0" w:space="0" w:color="auto"/>
        <w:bottom w:val="none" w:sz="0" w:space="0" w:color="auto"/>
        <w:right w:val="none" w:sz="0" w:space="0" w:color="auto"/>
      </w:divBdr>
    </w:div>
    <w:div w:id="466968051">
      <w:bodyDiv w:val="1"/>
      <w:marLeft w:val="0"/>
      <w:marRight w:val="0"/>
      <w:marTop w:val="0"/>
      <w:marBottom w:val="0"/>
      <w:divBdr>
        <w:top w:val="none" w:sz="0" w:space="0" w:color="auto"/>
        <w:left w:val="none" w:sz="0" w:space="0" w:color="auto"/>
        <w:bottom w:val="none" w:sz="0" w:space="0" w:color="auto"/>
        <w:right w:val="none" w:sz="0" w:space="0" w:color="auto"/>
      </w:divBdr>
    </w:div>
    <w:div w:id="466971006">
      <w:bodyDiv w:val="1"/>
      <w:marLeft w:val="0"/>
      <w:marRight w:val="0"/>
      <w:marTop w:val="0"/>
      <w:marBottom w:val="0"/>
      <w:divBdr>
        <w:top w:val="none" w:sz="0" w:space="0" w:color="auto"/>
        <w:left w:val="none" w:sz="0" w:space="0" w:color="auto"/>
        <w:bottom w:val="none" w:sz="0" w:space="0" w:color="auto"/>
        <w:right w:val="none" w:sz="0" w:space="0" w:color="auto"/>
      </w:divBdr>
    </w:div>
    <w:div w:id="466972872">
      <w:bodyDiv w:val="1"/>
      <w:marLeft w:val="0"/>
      <w:marRight w:val="0"/>
      <w:marTop w:val="0"/>
      <w:marBottom w:val="0"/>
      <w:divBdr>
        <w:top w:val="none" w:sz="0" w:space="0" w:color="auto"/>
        <w:left w:val="none" w:sz="0" w:space="0" w:color="auto"/>
        <w:bottom w:val="none" w:sz="0" w:space="0" w:color="auto"/>
        <w:right w:val="none" w:sz="0" w:space="0" w:color="auto"/>
      </w:divBdr>
    </w:div>
    <w:div w:id="466974892">
      <w:bodyDiv w:val="1"/>
      <w:marLeft w:val="0"/>
      <w:marRight w:val="0"/>
      <w:marTop w:val="0"/>
      <w:marBottom w:val="0"/>
      <w:divBdr>
        <w:top w:val="none" w:sz="0" w:space="0" w:color="auto"/>
        <w:left w:val="none" w:sz="0" w:space="0" w:color="auto"/>
        <w:bottom w:val="none" w:sz="0" w:space="0" w:color="auto"/>
        <w:right w:val="none" w:sz="0" w:space="0" w:color="auto"/>
      </w:divBdr>
    </w:div>
    <w:div w:id="467012199">
      <w:bodyDiv w:val="1"/>
      <w:marLeft w:val="0"/>
      <w:marRight w:val="0"/>
      <w:marTop w:val="0"/>
      <w:marBottom w:val="0"/>
      <w:divBdr>
        <w:top w:val="none" w:sz="0" w:space="0" w:color="auto"/>
        <w:left w:val="none" w:sz="0" w:space="0" w:color="auto"/>
        <w:bottom w:val="none" w:sz="0" w:space="0" w:color="auto"/>
        <w:right w:val="none" w:sz="0" w:space="0" w:color="auto"/>
      </w:divBdr>
    </w:div>
    <w:div w:id="467013599">
      <w:bodyDiv w:val="1"/>
      <w:marLeft w:val="0"/>
      <w:marRight w:val="0"/>
      <w:marTop w:val="0"/>
      <w:marBottom w:val="0"/>
      <w:divBdr>
        <w:top w:val="none" w:sz="0" w:space="0" w:color="auto"/>
        <w:left w:val="none" w:sz="0" w:space="0" w:color="auto"/>
        <w:bottom w:val="none" w:sz="0" w:space="0" w:color="auto"/>
        <w:right w:val="none" w:sz="0" w:space="0" w:color="auto"/>
      </w:divBdr>
    </w:div>
    <w:div w:id="467088725">
      <w:bodyDiv w:val="1"/>
      <w:marLeft w:val="0"/>
      <w:marRight w:val="0"/>
      <w:marTop w:val="0"/>
      <w:marBottom w:val="0"/>
      <w:divBdr>
        <w:top w:val="none" w:sz="0" w:space="0" w:color="auto"/>
        <w:left w:val="none" w:sz="0" w:space="0" w:color="auto"/>
        <w:bottom w:val="none" w:sz="0" w:space="0" w:color="auto"/>
        <w:right w:val="none" w:sz="0" w:space="0" w:color="auto"/>
      </w:divBdr>
    </w:div>
    <w:div w:id="467163517">
      <w:bodyDiv w:val="1"/>
      <w:marLeft w:val="0"/>
      <w:marRight w:val="0"/>
      <w:marTop w:val="0"/>
      <w:marBottom w:val="0"/>
      <w:divBdr>
        <w:top w:val="none" w:sz="0" w:space="0" w:color="auto"/>
        <w:left w:val="none" w:sz="0" w:space="0" w:color="auto"/>
        <w:bottom w:val="none" w:sz="0" w:space="0" w:color="auto"/>
        <w:right w:val="none" w:sz="0" w:space="0" w:color="auto"/>
      </w:divBdr>
    </w:div>
    <w:div w:id="467210752">
      <w:bodyDiv w:val="1"/>
      <w:marLeft w:val="0"/>
      <w:marRight w:val="0"/>
      <w:marTop w:val="0"/>
      <w:marBottom w:val="0"/>
      <w:divBdr>
        <w:top w:val="none" w:sz="0" w:space="0" w:color="auto"/>
        <w:left w:val="none" w:sz="0" w:space="0" w:color="auto"/>
        <w:bottom w:val="none" w:sz="0" w:space="0" w:color="auto"/>
        <w:right w:val="none" w:sz="0" w:space="0" w:color="auto"/>
      </w:divBdr>
    </w:div>
    <w:div w:id="467237394">
      <w:bodyDiv w:val="1"/>
      <w:marLeft w:val="0"/>
      <w:marRight w:val="0"/>
      <w:marTop w:val="0"/>
      <w:marBottom w:val="0"/>
      <w:divBdr>
        <w:top w:val="none" w:sz="0" w:space="0" w:color="auto"/>
        <w:left w:val="none" w:sz="0" w:space="0" w:color="auto"/>
        <w:bottom w:val="none" w:sz="0" w:space="0" w:color="auto"/>
        <w:right w:val="none" w:sz="0" w:space="0" w:color="auto"/>
      </w:divBdr>
    </w:div>
    <w:div w:id="467279630">
      <w:bodyDiv w:val="1"/>
      <w:marLeft w:val="0"/>
      <w:marRight w:val="0"/>
      <w:marTop w:val="0"/>
      <w:marBottom w:val="0"/>
      <w:divBdr>
        <w:top w:val="none" w:sz="0" w:space="0" w:color="auto"/>
        <w:left w:val="none" w:sz="0" w:space="0" w:color="auto"/>
        <w:bottom w:val="none" w:sz="0" w:space="0" w:color="auto"/>
        <w:right w:val="none" w:sz="0" w:space="0" w:color="auto"/>
      </w:divBdr>
    </w:div>
    <w:div w:id="467360263">
      <w:bodyDiv w:val="1"/>
      <w:marLeft w:val="0"/>
      <w:marRight w:val="0"/>
      <w:marTop w:val="0"/>
      <w:marBottom w:val="0"/>
      <w:divBdr>
        <w:top w:val="none" w:sz="0" w:space="0" w:color="auto"/>
        <w:left w:val="none" w:sz="0" w:space="0" w:color="auto"/>
        <w:bottom w:val="none" w:sz="0" w:space="0" w:color="auto"/>
        <w:right w:val="none" w:sz="0" w:space="0" w:color="auto"/>
      </w:divBdr>
    </w:div>
    <w:div w:id="467363307">
      <w:bodyDiv w:val="1"/>
      <w:marLeft w:val="0"/>
      <w:marRight w:val="0"/>
      <w:marTop w:val="0"/>
      <w:marBottom w:val="0"/>
      <w:divBdr>
        <w:top w:val="none" w:sz="0" w:space="0" w:color="auto"/>
        <w:left w:val="none" w:sz="0" w:space="0" w:color="auto"/>
        <w:bottom w:val="none" w:sz="0" w:space="0" w:color="auto"/>
        <w:right w:val="none" w:sz="0" w:space="0" w:color="auto"/>
      </w:divBdr>
    </w:div>
    <w:div w:id="467430235">
      <w:bodyDiv w:val="1"/>
      <w:marLeft w:val="0"/>
      <w:marRight w:val="0"/>
      <w:marTop w:val="0"/>
      <w:marBottom w:val="0"/>
      <w:divBdr>
        <w:top w:val="none" w:sz="0" w:space="0" w:color="auto"/>
        <w:left w:val="none" w:sz="0" w:space="0" w:color="auto"/>
        <w:bottom w:val="none" w:sz="0" w:space="0" w:color="auto"/>
        <w:right w:val="none" w:sz="0" w:space="0" w:color="auto"/>
      </w:divBdr>
    </w:div>
    <w:div w:id="467627412">
      <w:bodyDiv w:val="1"/>
      <w:marLeft w:val="0"/>
      <w:marRight w:val="0"/>
      <w:marTop w:val="0"/>
      <w:marBottom w:val="0"/>
      <w:divBdr>
        <w:top w:val="none" w:sz="0" w:space="0" w:color="auto"/>
        <w:left w:val="none" w:sz="0" w:space="0" w:color="auto"/>
        <w:bottom w:val="none" w:sz="0" w:space="0" w:color="auto"/>
        <w:right w:val="none" w:sz="0" w:space="0" w:color="auto"/>
      </w:divBdr>
    </w:div>
    <w:div w:id="467667723">
      <w:bodyDiv w:val="1"/>
      <w:marLeft w:val="0"/>
      <w:marRight w:val="0"/>
      <w:marTop w:val="0"/>
      <w:marBottom w:val="0"/>
      <w:divBdr>
        <w:top w:val="none" w:sz="0" w:space="0" w:color="auto"/>
        <w:left w:val="none" w:sz="0" w:space="0" w:color="auto"/>
        <w:bottom w:val="none" w:sz="0" w:space="0" w:color="auto"/>
        <w:right w:val="none" w:sz="0" w:space="0" w:color="auto"/>
      </w:divBdr>
    </w:div>
    <w:div w:id="467673724">
      <w:bodyDiv w:val="1"/>
      <w:marLeft w:val="0"/>
      <w:marRight w:val="0"/>
      <w:marTop w:val="0"/>
      <w:marBottom w:val="0"/>
      <w:divBdr>
        <w:top w:val="none" w:sz="0" w:space="0" w:color="auto"/>
        <w:left w:val="none" w:sz="0" w:space="0" w:color="auto"/>
        <w:bottom w:val="none" w:sz="0" w:space="0" w:color="auto"/>
        <w:right w:val="none" w:sz="0" w:space="0" w:color="auto"/>
      </w:divBdr>
    </w:div>
    <w:div w:id="467742316">
      <w:bodyDiv w:val="1"/>
      <w:marLeft w:val="0"/>
      <w:marRight w:val="0"/>
      <w:marTop w:val="0"/>
      <w:marBottom w:val="0"/>
      <w:divBdr>
        <w:top w:val="none" w:sz="0" w:space="0" w:color="auto"/>
        <w:left w:val="none" w:sz="0" w:space="0" w:color="auto"/>
        <w:bottom w:val="none" w:sz="0" w:space="0" w:color="auto"/>
        <w:right w:val="none" w:sz="0" w:space="0" w:color="auto"/>
      </w:divBdr>
    </w:div>
    <w:div w:id="467825913">
      <w:bodyDiv w:val="1"/>
      <w:marLeft w:val="0"/>
      <w:marRight w:val="0"/>
      <w:marTop w:val="0"/>
      <w:marBottom w:val="0"/>
      <w:divBdr>
        <w:top w:val="none" w:sz="0" w:space="0" w:color="auto"/>
        <w:left w:val="none" w:sz="0" w:space="0" w:color="auto"/>
        <w:bottom w:val="none" w:sz="0" w:space="0" w:color="auto"/>
        <w:right w:val="none" w:sz="0" w:space="0" w:color="auto"/>
      </w:divBdr>
    </w:div>
    <w:div w:id="467865891">
      <w:bodyDiv w:val="1"/>
      <w:marLeft w:val="0"/>
      <w:marRight w:val="0"/>
      <w:marTop w:val="0"/>
      <w:marBottom w:val="0"/>
      <w:divBdr>
        <w:top w:val="none" w:sz="0" w:space="0" w:color="auto"/>
        <w:left w:val="none" w:sz="0" w:space="0" w:color="auto"/>
        <w:bottom w:val="none" w:sz="0" w:space="0" w:color="auto"/>
        <w:right w:val="none" w:sz="0" w:space="0" w:color="auto"/>
      </w:divBdr>
    </w:div>
    <w:div w:id="467892233">
      <w:bodyDiv w:val="1"/>
      <w:marLeft w:val="0"/>
      <w:marRight w:val="0"/>
      <w:marTop w:val="0"/>
      <w:marBottom w:val="0"/>
      <w:divBdr>
        <w:top w:val="none" w:sz="0" w:space="0" w:color="auto"/>
        <w:left w:val="none" w:sz="0" w:space="0" w:color="auto"/>
        <w:bottom w:val="none" w:sz="0" w:space="0" w:color="auto"/>
        <w:right w:val="none" w:sz="0" w:space="0" w:color="auto"/>
      </w:divBdr>
    </w:div>
    <w:div w:id="468014176">
      <w:bodyDiv w:val="1"/>
      <w:marLeft w:val="0"/>
      <w:marRight w:val="0"/>
      <w:marTop w:val="0"/>
      <w:marBottom w:val="0"/>
      <w:divBdr>
        <w:top w:val="none" w:sz="0" w:space="0" w:color="auto"/>
        <w:left w:val="none" w:sz="0" w:space="0" w:color="auto"/>
        <w:bottom w:val="none" w:sz="0" w:space="0" w:color="auto"/>
        <w:right w:val="none" w:sz="0" w:space="0" w:color="auto"/>
      </w:divBdr>
    </w:div>
    <w:div w:id="468061539">
      <w:bodyDiv w:val="1"/>
      <w:marLeft w:val="0"/>
      <w:marRight w:val="0"/>
      <w:marTop w:val="0"/>
      <w:marBottom w:val="0"/>
      <w:divBdr>
        <w:top w:val="none" w:sz="0" w:space="0" w:color="auto"/>
        <w:left w:val="none" w:sz="0" w:space="0" w:color="auto"/>
        <w:bottom w:val="none" w:sz="0" w:space="0" w:color="auto"/>
        <w:right w:val="none" w:sz="0" w:space="0" w:color="auto"/>
      </w:divBdr>
    </w:div>
    <w:div w:id="468132869">
      <w:bodyDiv w:val="1"/>
      <w:marLeft w:val="0"/>
      <w:marRight w:val="0"/>
      <w:marTop w:val="0"/>
      <w:marBottom w:val="0"/>
      <w:divBdr>
        <w:top w:val="none" w:sz="0" w:space="0" w:color="auto"/>
        <w:left w:val="none" w:sz="0" w:space="0" w:color="auto"/>
        <w:bottom w:val="none" w:sz="0" w:space="0" w:color="auto"/>
        <w:right w:val="none" w:sz="0" w:space="0" w:color="auto"/>
      </w:divBdr>
    </w:div>
    <w:div w:id="468285816">
      <w:bodyDiv w:val="1"/>
      <w:marLeft w:val="0"/>
      <w:marRight w:val="0"/>
      <w:marTop w:val="0"/>
      <w:marBottom w:val="0"/>
      <w:divBdr>
        <w:top w:val="none" w:sz="0" w:space="0" w:color="auto"/>
        <w:left w:val="none" w:sz="0" w:space="0" w:color="auto"/>
        <w:bottom w:val="none" w:sz="0" w:space="0" w:color="auto"/>
        <w:right w:val="none" w:sz="0" w:space="0" w:color="auto"/>
      </w:divBdr>
    </w:div>
    <w:div w:id="468404532">
      <w:bodyDiv w:val="1"/>
      <w:marLeft w:val="0"/>
      <w:marRight w:val="0"/>
      <w:marTop w:val="0"/>
      <w:marBottom w:val="0"/>
      <w:divBdr>
        <w:top w:val="none" w:sz="0" w:space="0" w:color="auto"/>
        <w:left w:val="none" w:sz="0" w:space="0" w:color="auto"/>
        <w:bottom w:val="none" w:sz="0" w:space="0" w:color="auto"/>
        <w:right w:val="none" w:sz="0" w:space="0" w:color="auto"/>
      </w:divBdr>
    </w:div>
    <w:div w:id="468519084">
      <w:bodyDiv w:val="1"/>
      <w:marLeft w:val="0"/>
      <w:marRight w:val="0"/>
      <w:marTop w:val="0"/>
      <w:marBottom w:val="0"/>
      <w:divBdr>
        <w:top w:val="none" w:sz="0" w:space="0" w:color="auto"/>
        <w:left w:val="none" w:sz="0" w:space="0" w:color="auto"/>
        <w:bottom w:val="none" w:sz="0" w:space="0" w:color="auto"/>
        <w:right w:val="none" w:sz="0" w:space="0" w:color="auto"/>
      </w:divBdr>
    </w:div>
    <w:div w:id="468666639">
      <w:bodyDiv w:val="1"/>
      <w:marLeft w:val="0"/>
      <w:marRight w:val="0"/>
      <w:marTop w:val="0"/>
      <w:marBottom w:val="0"/>
      <w:divBdr>
        <w:top w:val="none" w:sz="0" w:space="0" w:color="auto"/>
        <w:left w:val="none" w:sz="0" w:space="0" w:color="auto"/>
        <w:bottom w:val="none" w:sz="0" w:space="0" w:color="auto"/>
        <w:right w:val="none" w:sz="0" w:space="0" w:color="auto"/>
      </w:divBdr>
    </w:div>
    <w:div w:id="468673035">
      <w:bodyDiv w:val="1"/>
      <w:marLeft w:val="0"/>
      <w:marRight w:val="0"/>
      <w:marTop w:val="0"/>
      <w:marBottom w:val="0"/>
      <w:divBdr>
        <w:top w:val="none" w:sz="0" w:space="0" w:color="auto"/>
        <w:left w:val="none" w:sz="0" w:space="0" w:color="auto"/>
        <w:bottom w:val="none" w:sz="0" w:space="0" w:color="auto"/>
        <w:right w:val="none" w:sz="0" w:space="0" w:color="auto"/>
      </w:divBdr>
    </w:div>
    <w:div w:id="468673494">
      <w:bodyDiv w:val="1"/>
      <w:marLeft w:val="0"/>
      <w:marRight w:val="0"/>
      <w:marTop w:val="0"/>
      <w:marBottom w:val="0"/>
      <w:divBdr>
        <w:top w:val="none" w:sz="0" w:space="0" w:color="auto"/>
        <w:left w:val="none" w:sz="0" w:space="0" w:color="auto"/>
        <w:bottom w:val="none" w:sz="0" w:space="0" w:color="auto"/>
        <w:right w:val="none" w:sz="0" w:space="0" w:color="auto"/>
      </w:divBdr>
    </w:div>
    <w:div w:id="468740678">
      <w:bodyDiv w:val="1"/>
      <w:marLeft w:val="0"/>
      <w:marRight w:val="0"/>
      <w:marTop w:val="0"/>
      <w:marBottom w:val="0"/>
      <w:divBdr>
        <w:top w:val="none" w:sz="0" w:space="0" w:color="auto"/>
        <w:left w:val="none" w:sz="0" w:space="0" w:color="auto"/>
        <w:bottom w:val="none" w:sz="0" w:space="0" w:color="auto"/>
        <w:right w:val="none" w:sz="0" w:space="0" w:color="auto"/>
      </w:divBdr>
    </w:div>
    <w:div w:id="468745110">
      <w:bodyDiv w:val="1"/>
      <w:marLeft w:val="0"/>
      <w:marRight w:val="0"/>
      <w:marTop w:val="0"/>
      <w:marBottom w:val="0"/>
      <w:divBdr>
        <w:top w:val="none" w:sz="0" w:space="0" w:color="auto"/>
        <w:left w:val="none" w:sz="0" w:space="0" w:color="auto"/>
        <w:bottom w:val="none" w:sz="0" w:space="0" w:color="auto"/>
        <w:right w:val="none" w:sz="0" w:space="0" w:color="auto"/>
      </w:divBdr>
    </w:div>
    <w:div w:id="468786516">
      <w:bodyDiv w:val="1"/>
      <w:marLeft w:val="0"/>
      <w:marRight w:val="0"/>
      <w:marTop w:val="0"/>
      <w:marBottom w:val="0"/>
      <w:divBdr>
        <w:top w:val="none" w:sz="0" w:space="0" w:color="auto"/>
        <w:left w:val="none" w:sz="0" w:space="0" w:color="auto"/>
        <w:bottom w:val="none" w:sz="0" w:space="0" w:color="auto"/>
        <w:right w:val="none" w:sz="0" w:space="0" w:color="auto"/>
      </w:divBdr>
    </w:div>
    <w:div w:id="468791381">
      <w:bodyDiv w:val="1"/>
      <w:marLeft w:val="0"/>
      <w:marRight w:val="0"/>
      <w:marTop w:val="0"/>
      <w:marBottom w:val="0"/>
      <w:divBdr>
        <w:top w:val="none" w:sz="0" w:space="0" w:color="auto"/>
        <w:left w:val="none" w:sz="0" w:space="0" w:color="auto"/>
        <w:bottom w:val="none" w:sz="0" w:space="0" w:color="auto"/>
        <w:right w:val="none" w:sz="0" w:space="0" w:color="auto"/>
      </w:divBdr>
    </w:div>
    <w:div w:id="468861547">
      <w:bodyDiv w:val="1"/>
      <w:marLeft w:val="0"/>
      <w:marRight w:val="0"/>
      <w:marTop w:val="0"/>
      <w:marBottom w:val="0"/>
      <w:divBdr>
        <w:top w:val="none" w:sz="0" w:space="0" w:color="auto"/>
        <w:left w:val="none" w:sz="0" w:space="0" w:color="auto"/>
        <w:bottom w:val="none" w:sz="0" w:space="0" w:color="auto"/>
        <w:right w:val="none" w:sz="0" w:space="0" w:color="auto"/>
      </w:divBdr>
    </w:div>
    <w:div w:id="468977481">
      <w:bodyDiv w:val="1"/>
      <w:marLeft w:val="0"/>
      <w:marRight w:val="0"/>
      <w:marTop w:val="0"/>
      <w:marBottom w:val="0"/>
      <w:divBdr>
        <w:top w:val="none" w:sz="0" w:space="0" w:color="auto"/>
        <w:left w:val="none" w:sz="0" w:space="0" w:color="auto"/>
        <w:bottom w:val="none" w:sz="0" w:space="0" w:color="auto"/>
        <w:right w:val="none" w:sz="0" w:space="0" w:color="auto"/>
      </w:divBdr>
    </w:div>
    <w:div w:id="469052584">
      <w:bodyDiv w:val="1"/>
      <w:marLeft w:val="0"/>
      <w:marRight w:val="0"/>
      <w:marTop w:val="0"/>
      <w:marBottom w:val="0"/>
      <w:divBdr>
        <w:top w:val="none" w:sz="0" w:space="0" w:color="auto"/>
        <w:left w:val="none" w:sz="0" w:space="0" w:color="auto"/>
        <w:bottom w:val="none" w:sz="0" w:space="0" w:color="auto"/>
        <w:right w:val="none" w:sz="0" w:space="0" w:color="auto"/>
      </w:divBdr>
    </w:div>
    <w:div w:id="469060463">
      <w:bodyDiv w:val="1"/>
      <w:marLeft w:val="0"/>
      <w:marRight w:val="0"/>
      <w:marTop w:val="0"/>
      <w:marBottom w:val="0"/>
      <w:divBdr>
        <w:top w:val="none" w:sz="0" w:space="0" w:color="auto"/>
        <w:left w:val="none" w:sz="0" w:space="0" w:color="auto"/>
        <w:bottom w:val="none" w:sz="0" w:space="0" w:color="auto"/>
        <w:right w:val="none" w:sz="0" w:space="0" w:color="auto"/>
      </w:divBdr>
    </w:div>
    <w:div w:id="469129206">
      <w:bodyDiv w:val="1"/>
      <w:marLeft w:val="0"/>
      <w:marRight w:val="0"/>
      <w:marTop w:val="0"/>
      <w:marBottom w:val="0"/>
      <w:divBdr>
        <w:top w:val="none" w:sz="0" w:space="0" w:color="auto"/>
        <w:left w:val="none" w:sz="0" w:space="0" w:color="auto"/>
        <w:bottom w:val="none" w:sz="0" w:space="0" w:color="auto"/>
        <w:right w:val="none" w:sz="0" w:space="0" w:color="auto"/>
      </w:divBdr>
    </w:div>
    <w:div w:id="469176640">
      <w:bodyDiv w:val="1"/>
      <w:marLeft w:val="0"/>
      <w:marRight w:val="0"/>
      <w:marTop w:val="0"/>
      <w:marBottom w:val="0"/>
      <w:divBdr>
        <w:top w:val="none" w:sz="0" w:space="0" w:color="auto"/>
        <w:left w:val="none" w:sz="0" w:space="0" w:color="auto"/>
        <w:bottom w:val="none" w:sz="0" w:space="0" w:color="auto"/>
        <w:right w:val="none" w:sz="0" w:space="0" w:color="auto"/>
      </w:divBdr>
    </w:div>
    <w:div w:id="469177748">
      <w:bodyDiv w:val="1"/>
      <w:marLeft w:val="0"/>
      <w:marRight w:val="0"/>
      <w:marTop w:val="0"/>
      <w:marBottom w:val="0"/>
      <w:divBdr>
        <w:top w:val="none" w:sz="0" w:space="0" w:color="auto"/>
        <w:left w:val="none" w:sz="0" w:space="0" w:color="auto"/>
        <w:bottom w:val="none" w:sz="0" w:space="0" w:color="auto"/>
        <w:right w:val="none" w:sz="0" w:space="0" w:color="auto"/>
      </w:divBdr>
    </w:div>
    <w:div w:id="469245866">
      <w:bodyDiv w:val="1"/>
      <w:marLeft w:val="0"/>
      <w:marRight w:val="0"/>
      <w:marTop w:val="0"/>
      <w:marBottom w:val="0"/>
      <w:divBdr>
        <w:top w:val="none" w:sz="0" w:space="0" w:color="auto"/>
        <w:left w:val="none" w:sz="0" w:space="0" w:color="auto"/>
        <w:bottom w:val="none" w:sz="0" w:space="0" w:color="auto"/>
        <w:right w:val="none" w:sz="0" w:space="0" w:color="auto"/>
      </w:divBdr>
    </w:div>
    <w:div w:id="469252632">
      <w:bodyDiv w:val="1"/>
      <w:marLeft w:val="0"/>
      <w:marRight w:val="0"/>
      <w:marTop w:val="0"/>
      <w:marBottom w:val="0"/>
      <w:divBdr>
        <w:top w:val="none" w:sz="0" w:space="0" w:color="auto"/>
        <w:left w:val="none" w:sz="0" w:space="0" w:color="auto"/>
        <w:bottom w:val="none" w:sz="0" w:space="0" w:color="auto"/>
        <w:right w:val="none" w:sz="0" w:space="0" w:color="auto"/>
      </w:divBdr>
    </w:div>
    <w:div w:id="469371666">
      <w:bodyDiv w:val="1"/>
      <w:marLeft w:val="0"/>
      <w:marRight w:val="0"/>
      <w:marTop w:val="0"/>
      <w:marBottom w:val="0"/>
      <w:divBdr>
        <w:top w:val="none" w:sz="0" w:space="0" w:color="auto"/>
        <w:left w:val="none" w:sz="0" w:space="0" w:color="auto"/>
        <w:bottom w:val="none" w:sz="0" w:space="0" w:color="auto"/>
        <w:right w:val="none" w:sz="0" w:space="0" w:color="auto"/>
      </w:divBdr>
    </w:div>
    <w:div w:id="469442927">
      <w:bodyDiv w:val="1"/>
      <w:marLeft w:val="0"/>
      <w:marRight w:val="0"/>
      <w:marTop w:val="0"/>
      <w:marBottom w:val="0"/>
      <w:divBdr>
        <w:top w:val="none" w:sz="0" w:space="0" w:color="auto"/>
        <w:left w:val="none" w:sz="0" w:space="0" w:color="auto"/>
        <w:bottom w:val="none" w:sz="0" w:space="0" w:color="auto"/>
        <w:right w:val="none" w:sz="0" w:space="0" w:color="auto"/>
      </w:divBdr>
    </w:div>
    <w:div w:id="469521594">
      <w:bodyDiv w:val="1"/>
      <w:marLeft w:val="0"/>
      <w:marRight w:val="0"/>
      <w:marTop w:val="0"/>
      <w:marBottom w:val="0"/>
      <w:divBdr>
        <w:top w:val="none" w:sz="0" w:space="0" w:color="auto"/>
        <w:left w:val="none" w:sz="0" w:space="0" w:color="auto"/>
        <w:bottom w:val="none" w:sz="0" w:space="0" w:color="auto"/>
        <w:right w:val="none" w:sz="0" w:space="0" w:color="auto"/>
      </w:divBdr>
    </w:div>
    <w:div w:id="469590156">
      <w:bodyDiv w:val="1"/>
      <w:marLeft w:val="0"/>
      <w:marRight w:val="0"/>
      <w:marTop w:val="0"/>
      <w:marBottom w:val="0"/>
      <w:divBdr>
        <w:top w:val="none" w:sz="0" w:space="0" w:color="auto"/>
        <w:left w:val="none" w:sz="0" w:space="0" w:color="auto"/>
        <w:bottom w:val="none" w:sz="0" w:space="0" w:color="auto"/>
        <w:right w:val="none" w:sz="0" w:space="0" w:color="auto"/>
      </w:divBdr>
    </w:div>
    <w:div w:id="469597216">
      <w:bodyDiv w:val="1"/>
      <w:marLeft w:val="0"/>
      <w:marRight w:val="0"/>
      <w:marTop w:val="0"/>
      <w:marBottom w:val="0"/>
      <w:divBdr>
        <w:top w:val="none" w:sz="0" w:space="0" w:color="auto"/>
        <w:left w:val="none" w:sz="0" w:space="0" w:color="auto"/>
        <w:bottom w:val="none" w:sz="0" w:space="0" w:color="auto"/>
        <w:right w:val="none" w:sz="0" w:space="0" w:color="auto"/>
      </w:divBdr>
    </w:div>
    <w:div w:id="469635090">
      <w:bodyDiv w:val="1"/>
      <w:marLeft w:val="0"/>
      <w:marRight w:val="0"/>
      <w:marTop w:val="0"/>
      <w:marBottom w:val="0"/>
      <w:divBdr>
        <w:top w:val="none" w:sz="0" w:space="0" w:color="auto"/>
        <w:left w:val="none" w:sz="0" w:space="0" w:color="auto"/>
        <w:bottom w:val="none" w:sz="0" w:space="0" w:color="auto"/>
        <w:right w:val="none" w:sz="0" w:space="0" w:color="auto"/>
      </w:divBdr>
    </w:div>
    <w:div w:id="469707576">
      <w:bodyDiv w:val="1"/>
      <w:marLeft w:val="0"/>
      <w:marRight w:val="0"/>
      <w:marTop w:val="0"/>
      <w:marBottom w:val="0"/>
      <w:divBdr>
        <w:top w:val="none" w:sz="0" w:space="0" w:color="auto"/>
        <w:left w:val="none" w:sz="0" w:space="0" w:color="auto"/>
        <w:bottom w:val="none" w:sz="0" w:space="0" w:color="auto"/>
        <w:right w:val="none" w:sz="0" w:space="0" w:color="auto"/>
      </w:divBdr>
    </w:div>
    <w:div w:id="469714731">
      <w:bodyDiv w:val="1"/>
      <w:marLeft w:val="0"/>
      <w:marRight w:val="0"/>
      <w:marTop w:val="0"/>
      <w:marBottom w:val="0"/>
      <w:divBdr>
        <w:top w:val="none" w:sz="0" w:space="0" w:color="auto"/>
        <w:left w:val="none" w:sz="0" w:space="0" w:color="auto"/>
        <w:bottom w:val="none" w:sz="0" w:space="0" w:color="auto"/>
        <w:right w:val="none" w:sz="0" w:space="0" w:color="auto"/>
      </w:divBdr>
    </w:div>
    <w:div w:id="469782863">
      <w:bodyDiv w:val="1"/>
      <w:marLeft w:val="0"/>
      <w:marRight w:val="0"/>
      <w:marTop w:val="0"/>
      <w:marBottom w:val="0"/>
      <w:divBdr>
        <w:top w:val="none" w:sz="0" w:space="0" w:color="auto"/>
        <w:left w:val="none" w:sz="0" w:space="0" w:color="auto"/>
        <w:bottom w:val="none" w:sz="0" w:space="0" w:color="auto"/>
        <w:right w:val="none" w:sz="0" w:space="0" w:color="auto"/>
      </w:divBdr>
    </w:div>
    <w:div w:id="469787208">
      <w:bodyDiv w:val="1"/>
      <w:marLeft w:val="0"/>
      <w:marRight w:val="0"/>
      <w:marTop w:val="0"/>
      <w:marBottom w:val="0"/>
      <w:divBdr>
        <w:top w:val="none" w:sz="0" w:space="0" w:color="auto"/>
        <w:left w:val="none" w:sz="0" w:space="0" w:color="auto"/>
        <w:bottom w:val="none" w:sz="0" w:space="0" w:color="auto"/>
        <w:right w:val="none" w:sz="0" w:space="0" w:color="auto"/>
      </w:divBdr>
    </w:div>
    <w:div w:id="469902221">
      <w:bodyDiv w:val="1"/>
      <w:marLeft w:val="0"/>
      <w:marRight w:val="0"/>
      <w:marTop w:val="0"/>
      <w:marBottom w:val="0"/>
      <w:divBdr>
        <w:top w:val="none" w:sz="0" w:space="0" w:color="auto"/>
        <w:left w:val="none" w:sz="0" w:space="0" w:color="auto"/>
        <w:bottom w:val="none" w:sz="0" w:space="0" w:color="auto"/>
        <w:right w:val="none" w:sz="0" w:space="0" w:color="auto"/>
      </w:divBdr>
    </w:div>
    <w:div w:id="469903209">
      <w:bodyDiv w:val="1"/>
      <w:marLeft w:val="0"/>
      <w:marRight w:val="0"/>
      <w:marTop w:val="0"/>
      <w:marBottom w:val="0"/>
      <w:divBdr>
        <w:top w:val="none" w:sz="0" w:space="0" w:color="auto"/>
        <w:left w:val="none" w:sz="0" w:space="0" w:color="auto"/>
        <w:bottom w:val="none" w:sz="0" w:space="0" w:color="auto"/>
        <w:right w:val="none" w:sz="0" w:space="0" w:color="auto"/>
      </w:divBdr>
    </w:div>
    <w:div w:id="469904257">
      <w:bodyDiv w:val="1"/>
      <w:marLeft w:val="0"/>
      <w:marRight w:val="0"/>
      <w:marTop w:val="0"/>
      <w:marBottom w:val="0"/>
      <w:divBdr>
        <w:top w:val="none" w:sz="0" w:space="0" w:color="auto"/>
        <w:left w:val="none" w:sz="0" w:space="0" w:color="auto"/>
        <w:bottom w:val="none" w:sz="0" w:space="0" w:color="auto"/>
        <w:right w:val="none" w:sz="0" w:space="0" w:color="auto"/>
      </w:divBdr>
      <w:divsChild>
        <w:div w:id="18940069">
          <w:marLeft w:val="0"/>
          <w:marRight w:val="0"/>
          <w:marTop w:val="0"/>
          <w:marBottom w:val="0"/>
          <w:divBdr>
            <w:top w:val="none" w:sz="0" w:space="0" w:color="auto"/>
            <w:left w:val="none" w:sz="0" w:space="0" w:color="auto"/>
            <w:bottom w:val="none" w:sz="0" w:space="0" w:color="auto"/>
            <w:right w:val="none" w:sz="0" w:space="0" w:color="auto"/>
          </w:divBdr>
        </w:div>
        <w:div w:id="29189510">
          <w:marLeft w:val="0"/>
          <w:marRight w:val="0"/>
          <w:marTop w:val="0"/>
          <w:marBottom w:val="0"/>
          <w:divBdr>
            <w:top w:val="none" w:sz="0" w:space="0" w:color="auto"/>
            <w:left w:val="none" w:sz="0" w:space="0" w:color="auto"/>
            <w:bottom w:val="none" w:sz="0" w:space="0" w:color="auto"/>
            <w:right w:val="none" w:sz="0" w:space="0" w:color="auto"/>
          </w:divBdr>
        </w:div>
        <w:div w:id="29501994">
          <w:marLeft w:val="0"/>
          <w:marRight w:val="0"/>
          <w:marTop w:val="0"/>
          <w:marBottom w:val="0"/>
          <w:divBdr>
            <w:top w:val="none" w:sz="0" w:space="0" w:color="auto"/>
            <w:left w:val="none" w:sz="0" w:space="0" w:color="auto"/>
            <w:bottom w:val="none" w:sz="0" w:space="0" w:color="auto"/>
            <w:right w:val="none" w:sz="0" w:space="0" w:color="auto"/>
          </w:divBdr>
        </w:div>
        <w:div w:id="51467436">
          <w:marLeft w:val="0"/>
          <w:marRight w:val="0"/>
          <w:marTop w:val="0"/>
          <w:marBottom w:val="0"/>
          <w:divBdr>
            <w:top w:val="none" w:sz="0" w:space="0" w:color="auto"/>
            <w:left w:val="none" w:sz="0" w:space="0" w:color="auto"/>
            <w:bottom w:val="none" w:sz="0" w:space="0" w:color="auto"/>
            <w:right w:val="none" w:sz="0" w:space="0" w:color="auto"/>
          </w:divBdr>
        </w:div>
        <w:div w:id="60372920">
          <w:marLeft w:val="0"/>
          <w:marRight w:val="0"/>
          <w:marTop w:val="0"/>
          <w:marBottom w:val="0"/>
          <w:divBdr>
            <w:top w:val="none" w:sz="0" w:space="0" w:color="auto"/>
            <w:left w:val="none" w:sz="0" w:space="0" w:color="auto"/>
            <w:bottom w:val="none" w:sz="0" w:space="0" w:color="auto"/>
            <w:right w:val="none" w:sz="0" w:space="0" w:color="auto"/>
          </w:divBdr>
        </w:div>
        <w:div w:id="73557024">
          <w:marLeft w:val="0"/>
          <w:marRight w:val="0"/>
          <w:marTop w:val="0"/>
          <w:marBottom w:val="0"/>
          <w:divBdr>
            <w:top w:val="none" w:sz="0" w:space="0" w:color="auto"/>
            <w:left w:val="none" w:sz="0" w:space="0" w:color="auto"/>
            <w:bottom w:val="none" w:sz="0" w:space="0" w:color="auto"/>
            <w:right w:val="none" w:sz="0" w:space="0" w:color="auto"/>
          </w:divBdr>
        </w:div>
        <w:div w:id="74405137">
          <w:marLeft w:val="0"/>
          <w:marRight w:val="0"/>
          <w:marTop w:val="0"/>
          <w:marBottom w:val="0"/>
          <w:divBdr>
            <w:top w:val="none" w:sz="0" w:space="0" w:color="auto"/>
            <w:left w:val="none" w:sz="0" w:space="0" w:color="auto"/>
            <w:bottom w:val="none" w:sz="0" w:space="0" w:color="auto"/>
            <w:right w:val="none" w:sz="0" w:space="0" w:color="auto"/>
          </w:divBdr>
        </w:div>
        <w:div w:id="83888788">
          <w:marLeft w:val="0"/>
          <w:marRight w:val="0"/>
          <w:marTop w:val="0"/>
          <w:marBottom w:val="0"/>
          <w:divBdr>
            <w:top w:val="none" w:sz="0" w:space="0" w:color="auto"/>
            <w:left w:val="none" w:sz="0" w:space="0" w:color="auto"/>
            <w:bottom w:val="none" w:sz="0" w:space="0" w:color="auto"/>
            <w:right w:val="none" w:sz="0" w:space="0" w:color="auto"/>
          </w:divBdr>
        </w:div>
        <w:div w:id="88544980">
          <w:marLeft w:val="0"/>
          <w:marRight w:val="0"/>
          <w:marTop w:val="0"/>
          <w:marBottom w:val="0"/>
          <w:divBdr>
            <w:top w:val="none" w:sz="0" w:space="0" w:color="auto"/>
            <w:left w:val="none" w:sz="0" w:space="0" w:color="auto"/>
            <w:bottom w:val="none" w:sz="0" w:space="0" w:color="auto"/>
            <w:right w:val="none" w:sz="0" w:space="0" w:color="auto"/>
          </w:divBdr>
        </w:div>
        <w:div w:id="109977057">
          <w:marLeft w:val="0"/>
          <w:marRight w:val="0"/>
          <w:marTop w:val="0"/>
          <w:marBottom w:val="0"/>
          <w:divBdr>
            <w:top w:val="none" w:sz="0" w:space="0" w:color="auto"/>
            <w:left w:val="none" w:sz="0" w:space="0" w:color="auto"/>
            <w:bottom w:val="none" w:sz="0" w:space="0" w:color="auto"/>
            <w:right w:val="none" w:sz="0" w:space="0" w:color="auto"/>
          </w:divBdr>
        </w:div>
        <w:div w:id="114174740">
          <w:marLeft w:val="0"/>
          <w:marRight w:val="0"/>
          <w:marTop w:val="0"/>
          <w:marBottom w:val="0"/>
          <w:divBdr>
            <w:top w:val="none" w:sz="0" w:space="0" w:color="auto"/>
            <w:left w:val="none" w:sz="0" w:space="0" w:color="auto"/>
            <w:bottom w:val="none" w:sz="0" w:space="0" w:color="auto"/>
            <w:right w:val="none" w:sz="0" w:space="0" w:color="auto"/>
          </w:divBdr>
        </w:div>
        <w:div w:id="115024214">
          <w:marLeft w:val="0"/>
          <w:marRight w:val="0"/>
          <w:marTop w:val="0"/>
          <w:marBottom w:val="0"/>
          <w:divBdr>
            <w:top w:val="none" w:sz="0" w:space="0" w:color="auto"/>
            <w:left w:val="none" w:sz="0" w:space="0" w:color="auto"/>
            <w:bottom w:val="none" w:sz="0" w:space="0" w:color="auto"/>
            <w:right w:val="none" w:sz="0" w:space="0" w:color="auto"/>
          </w:divBdr>
        </w:div>
        <w:div w:id="136071163">
          <w:marLeft w:val="0"/>
          <w:marRight w:val="0"/>
          <w:marTop w:val="0"/>
          <w:marBottom w:val="0"/>
          <w:divBdr>
            <w:top w:val="none" w:sz="0" w:space="0" w:color="auto"/>
            <w:left w:val="none" w:sz="0" w:space="0" w:color="auto"/>
            <w:bottom w:val="none" w:sz="0" w:space="0" w:color="auto"/>
            <w:right w:val="none" w:sz="0" w:space="0" w:color="auto"/>
          </w:divBdr>
        </w:div>
        <w:div w:id="136607171">
          <w:marLeft w:val="0"/>
          <w:marRight w:val="0"/>
          <w:marTop w:val="0"/>
          <w:marBottom w:val="0"/>
          <w:divBdr>
            <w:top w:val="none" w:sz="0" w:space="0" w:color="auto"/>
            <w:left w:val="none" w:sz="0" w:space="0" w:color="auto"/>
            <w:bottom w:val="none" w:sz="0" w:space="0" w:color="auto"/>
            <w:right w:val="none" w:sz="0" w:space="0" w:color="auto"/>
          </w:divBdr>
        </w:div>
        <w:div w:id="157617984">
          <w:marLeft w:val="0"/>
          <w:marRight w:val="0"/>
          <w:marTop w:val="0"/>
          <w:marBottom w:val="0"/>
          <w:divBdr>
            <w:top w:val="none" w:sz="0" w:space="0" w:color="auto"/>
            <w:left w:val="none" w:sz="0" w:space="0" w:color="auto"/>
            <w:bottom w:val="none" w:sz="0" w:space="0" w:color="auto"/>
            <w:right w:val="none" w:sz="0" w:space="0" w:color="auto"/>
          </w:divBdr>
        </w:div>
        <w:div w:id="173301063">
          <w:marLeft w:val="0"/>
          <w:marRight w:val="0"/>
          <w:marTop w:val="0"/>
          <w:marBottom w:val="0"/>
          <w:divBdr>
            <w:top w:val="none" w:sz="0" w:space="0" w:color="auto"/>
            <w:left w:val="none" w:sz="0" w:space="0" w:color="auto"/>
            <w:bottom w:val="none" w:sz="0" w:space="0" w:color="auto"/>
            <w:right w:val="none" w:sz="0" w:space="0" w:color="auto"/>
          </w:divBdr>
        </w:div>
        <w:div w:id="192420741">
          <w:marLeft w:val="0"/>
          <w:marRight w:val="0"/>
          <w:marTop w:val="0"/>
          <w:marBottom w:val="0"/>
          <w:divBdr>
            <w:top w:val="none" w:sz="0" w:space="0" w:color="auto"/>
            <w:left w:val="none" w:sz="0" w:space="0" w:color="auto"/>
            <w:bottom w:val="none" w:sz="0" w:space="0" w:color="auto"/>
            <w:right w:val="none" w:sz="0" w:space="0" w:color="auto"/>
          </w:divBdr>
        </w:div>
        <w:div w:id="210962424">
          <w:marLeft w:val="0"/>
          <w:marRight w:val="0"/>
          <w:marTop w:val="0"/>
          <w:marBottom w:val="0"/>
          <w:divBdr>
            <w:top w:val="none" w:sz="0" w:space="0" w:color="auto"/>
            <w:left w:val="none" w:sz="0" w:space="0" w:color="auto"/>
            <w:bottom w:val="none" w:sz="0" w:space="0" w:color="auto"/>
            <w:right w:val="none" w:sz="0" w:space="0" w:color="auto"/>
          </w:divBdr>
        </w:div>
        <w:div w:id="210967495">
          <w:marLeft w:val="0"/>
          <w:marRight w:val="0"/>
          <w:marTop w:val="0"/>
          <w:marBottom w:val="0"/>
          <w:divBdr>
            <w:top w:val="none" w:sz="0" w:space="0" w:color="auto"/>
            <w:left w:val="none" w:sz="0" w:space="0" w:color="auto"/>
            <w:bottom w:val="none" w:sz="0" w:space="0" w:color="auto"/>
            <w:right w:val="none" w:sz="0" w:space="0" w:color="auto"/>
          </w:divBdr>
        </w:div>
        <w:div w:id="211578213">
          <w:marLeft w:val="0"/>
          <w:marRight w:val="0"/>
          <w:marTop w:val="0"/>
          <w:marBottom w:val="0"/>
          <w:divBdr>
            <w:top w:val="none" w:sz="0" w:space="0" w:color="auto"/>
            <w:left w:val="none" w:sz="0" w:space="0" w:color="auto"/>
            <w:bottom w:val="none" w:sz="0" w:space="0" w:color="auto"/>
            <w:right w:val="none" w:sz="0" w:space="0" w:color="auto"/>
          </w:divBdr>
        </w:div>
        <w:div w:id="243535842">
          <w:marLeft w:val="0"/>
          <w:marRight w:val="0"/>
          <w:marTop w:val="0"/>
          <w:marBottom w:val="0"/>
          <w:divBdr>
            <w:top w:val="none" w:sz="0" w:space="0" w:color="auto"/>
            <w:left w:val="none" w:sz="0" w:space="0" w:color="auto"/>
            <w:bottom w:val="none" w:sz="0" w:space="0" w:color="auto"/>
            <w:right w:val="none" w:sz="0" w:space="0" w:color="auto"/>
          </w:divBdr>
        </w:div>
        <w:div w:id="268439895">
          <w:marLeft w:val="0"/>
          <w:marRight w:val="0"/>
          <w:marTop w:val="0"/>
          <w:marBottom w:val="0"/>
          <w:divBdr>
            <w:top w:val="none" w:sz="0" w:space="0" w:color="auto"/>
            <w:left w:val="none" w:sz="0" w:space="0" w:color="auto"/>
            <w:bottom w:val="none" w:sz="0" w:space="0" w:color="auto"/>
            <w:right w:val="none" w:sz="0" w:space="0" w:color="auto"/>
          </w:divBdr>
        </w:div>
        <w:div w:id="278341018">
          <w:marLeft w:val="0"/>
          <w:marRight w:val="0"/>
          <w:marTop w:val="0"/>
          <w:marBottom w:val="0"/>
          <w:divBdr>
            <w:top w:val="none" w:sz="0" w:space="0" w:color="auto"/>
            <w:left w:val="none" w:sz="0" w:space="0" w:color="auto"/>
            <w:bottom w:val="none" w:sz="0" w:space="0" w:color="auto"/>
            <w:right w:val="none" w:sz="0" w:space="0" w:color="auto"/>
          </w:divBdr>
        </w:div>
        <w:div w:id="297730586">
          <w:marLeft w:val="0"/>
          <w:marRight w:val="0"/>
          <w:marTop w:val="0"/>
          <w:marBottom w:val="0"/>
          <w:divBdr>
            <w:top w:val="none" w:sz="0" w:space="0" w:color="auto"/>
            <w:left w:val="none" w:sz="0" w:space="0" w:color="auto"/>
            <w:bottom w:val="none" w:sz="0" w:space="0" w:color="auto"/>
            <w:right w:val="none" w:sz="0" w:space="0" w:color="auto"/>
          </w:divBdr>
        </w:div>
        <w:div w:id="309602533">
          <w:marLeft w:val="0"/>
          <w:marRight w:val="0"/>
          <w:marTop w:val="0"/>
          <w:marBottom w:val="0"/>
          <w:divBdr>
            <w:top w:val="none" w:sz="0" w:space="0" w:color="auto"/>
            <w:left w:val="none" w:sz="0" w:space="0" w:color="auto"/>
            <w:bottom w:val="none" w:sz="0" w:space="0" w:color="auto"/>
            <w:right w:val="none" w:sz="0" w:space="0" w:color="auto"/>
          </w:divBdr>
        </w:div>
        <w:div w:id="325986434">
          <w:marLeft w:val="0"/>
          <w:marRight w:val="0"/>
          <w:marTop w:val="0"/>
          <w:marBottom w:val="0"/>
          <w:divBdr>
            <w:top w:val="none" w:sz="0" w:space="0" w:color="auto"/>
            <w:left w:val="none" w:sz="0" w:space="0" w:color="auto"/>
            <w:bottom w:val="none" w:sz="0" w:space="0" w:color="auto"/>
            <w:right w:val="none" w:sz="0" w:space="0" w:color="auto"/>
          </w:divBdr>
        </w:div>
        <w:div w:id="345864543">
          <w:marLeft w:val="0"/>
          <w:marRight w:val="0"/>
          <w:marTop w:val="0"/>
          <w:marBottom w:val="0"/>
          <w:divBdr>
            <w:top w:val="none" w:sz="0" w:space="0" w:color="auto"/>
            <w:left w:val="none" w:sz="0" w:space="0" w:color="auto"/>
            <w:bottom w:val="none" w:sz="0" w:space="0" w:color="auto"/>
            <w:right w:val="none" w:sz="0" w:space="0" w:color="auto"/>
          </w:divBdr>
        </w:div>
        <w:div w:id="349570942">
          <w:marLeft w:val="0"/>
          <w:marRight w:val="0"/>
          <w:marTop w:val="0"/>
          <w:marBottom w:val="0"/>
          <w:divBdr>
            <w:top w:val="none" w:sz="0" w:space="0" w:color="auto"/>
            <w:left w:val="none" w:sz="0" w:space="0" w:color="auto"/>
            <w:bottom w:val="none" w:sz="0" w:space="0" w:color="auto"/>
            <w:right w:val="none" w:sz="0" w:space="0" w:color="auto"/>
          </w:divBdr>
        </w:div>
        <w:div w:id="400375778">
          <w:marLeft w:val="0"/>
          <w:marRight w:val="0"/>
          <w:marTop w:val="0"/>
          <w:marBottom w:val="0"/>
          <w:divBdr>
            <w:top w:val="none" w:sz="0" w:space="0" w:color="auto"/>
            <w:left w:val="none" w:sz="0" w:space="0" w:color="auto"/>
            <w:bottom w:val="none" w:sz="0" w:space="0" w:color="auto"/>
            <w:right w:val="none" w:sz="0" w:space="0" w:color="auto"/>
          </w:divBdr>
        </w:div>
        <w:div w:id="405029316">
          <w:marLeft w:val="0"/>
          <w:marRight w:val="0"/>
          <w:marTop w:val="0"/>
          <w:marBottom w:val="0"/>
          <w:divBdr>
            <w:top w:val="none" w:sz="0" w:space="0" w:color="auto"/>
            <w:left w:val="none" w:sz="0" w:space="0" w:color="auto"/>
            <w:bottom w:val="none" w:sz="0" w:space="0" w:color="auto"/>
            <w:right w:val="none" w:sz="0" w:space="0" w:color="auto"/>
          </w:divBdr>
        </w:div>
        <w:div w:id="405803844">
          <w:marLeft w:val="0"/>
          <w:marRight w:val="0"/>
          <w:marTop w:val="0"/>
          <w:marBottom w:val="0"/>
          <w:divBdr>
            <w:top w:val="none" w:sz="0" w:space="0" w:color="auto"/>
            <w:left w:val="none" w:sz="0" w:space="0" w:color="auto"/>
            <w:bottom w:val="none" w:sz="0" w:space="0" w:color="auto"/>
            <w:right w:val="none" w:sz="0" w:space="0" w:color="auto"/>
          </w:divBdr>
        </w:div>
        <w:div w:id="409735527">
          <w:marLeft w:val="0"/>
          <w:marRight w:val="0"/>
          <w:marTop w:val="0"/>
          <w:marBottom w:val="0"/>
          <w:divBdr>
            <w:top w:val="none" w:sz="0" w:space="0" w:color="auto"/>
            <w:left w:val="none" w:sz="0" w:space="0" w:color="auto"/>
            <w:bottom w:val="none" w:sz="0" w:space="0" w:color="auto"/>
            <w:right w:val="none" w:sz="0" w:space="0" w:color="auto"/>
          </w:divBdr>
        </w:div>
        <w:div w:id="416023573">
          <w:marLeft w:val="0"/>
          <w:marRight w:val="0"/>
          <w:marTop w:val="0"/>
          <w:marBottom w:val="0"/>
          <w:divBdr>
            <w:top w:val="none" w:sz="0" w:space="0" w:color="auto"/>
            <w:left w:val="none" w:sz="0" w:space="0" w:color="auto"/>
            <w:bottom w:val="none" w:sz="0" w:space="0" w:color="auto"/>
            <w:right w:val="none" w:sz="0" w:space="0" w:color="auto"/>
          </w:divBdr>
        </w:div>
        <w:div w:id="416219550">
          <w:marLeft w:val="0"/>
          <w:marRight w:val="0"/>
          <w:marTop w:val="0"/>
          <w:marBottom w:val="0"/>
          <w:divBdr>
            <w:top w:val="none" w:sz="0" w:space="0" w:color="auto"/>
            <w:left w:val="none" w:sz="0" w:space="0" w:color="auto"/>
            <w:bottom w:val="none" w:sz="0" w:space="0" w:color="auto"/>
            <w:right w:val="none" w:sz="0" w:space="0" w:color="auto"/>
          </w:divBdr>
        </w:div>
        <w:div w:id="449130733">
          <w:marLeft w:val="0"/>
          <w:marRight w:val="0"/>
          <w:marTop w:val="0"/>
          <w:marBottom w:val="0"/>
          <w:divBdr>
            <w:top w:val="none" w:sz="0" w:space="0" w:color="auto"/>
            <w:left w:val="none" w:sz="0" w:space="0" w:color="auto"/>
            <w:bottom w:val="none" w:sz="0" w:space="0" w:color="auto"/>
            <w:right w:val="none" w:sz="0" w:space="0" w:color="auto"/>
          </w:divBdr>
        </w:div>
        <w:div w:id="457065730">
          <w:marLeft w:val="0"/>
          <w:marRight w:val="0"/>
          <w:marTop w:val="0"/>
          <w:marBottom w:val="0"/>
          <w:divBdr>
            <w:top w:val="none" w:sz="0" w:space="0" w:color="auto"/>
            <w:left w:val="none" w:sz="0" w:space="0" w:color="auto"/>
            <w:bottom w:val="none" w:sz="0" w:space="0" w:color="auto"/>
            <w:right w:val="none" w:sz="0" w:space="0" w:color="auto"/>
          </w:divBdr>
        </w:div>
        <w:div w:id="460658773">
          <w:marLeft w:val="0"/>
          <w:marRight w:val="0"/>
          <w:marTop w:val="0"/>
          <w:marBottom w:val="0"/>
          <w:divBdr>
            <w:top w:val="none" w:sz="0" w:space="0" w:color="auto"/>
            <w:left w:val="none" w:sz="0" w:space="0" w:color="auto"/>
            <w:bottom w:val="none" w:sz="0" w:space="0" w:color="auto"/>
            <w:right w:val="none" w:sz="0" w:space="0" w:color="auto"/>
          </w:divBdr>
        </w:div>
        <w:div w:id="475150879">
          <w:marLeft w:val="0"/>
          <w:marRight w:val="0"/>
          <w:marTop w:val="0"/>
          <w:marBottom w:val="0"/>
          <w:divBdr>
            <w:top w:val="none" w:sz="0" w:space="0" w:color="auto"/>
            <w:left w:val="none" w:sz="0" w:space="0" w:color="auto"/>
            <w:bottom w:val="none" w:sz="0" w:space="0" w:color="auto"/>
            <w:right w:val="none" w:sz="0" w:space="0" w:color="auto"/>
          </w:divBdr>
        </w:div>
        <w:div w:id="480273509">
          <w:marLeft w:val="0"/>
          <w:marRight w:val="0"/>
          <w:marTop w:val="0"/>
          <w:marBottom w:val="0"/>
          <w:divBdr>
            <w:top w:val="none" w:sz="0" w:space="0" w:color="auto"/>
            <w:left w:val="none" w:sz="0" w:space="0" w:color="auto"/>
            <w:bottom w:val="none" w:sz="0" w:space="0" w:color="auto"/>
            <w:right w:val="none" w:sz="0" w:space="0" w:color="auto"/>
          </w:divBdr>
        </w:div>
        <w:div w:id="509562914">
          <w:marLeft w:val="0"/>
          <w:marRight w:val="0"/>
          <w:marTop w:val="0"/>
          <w:marBottom w:val="0"/>
          <w:divBdr>
            <w:top w:val="none" w:sz="0" w:space="0" w:color="auto"/>
            <w:left w:val="none" w:sz="0" w:space="0" w:color="auto"/>
            <w:bottom w:val="none" w:sz="0" w:space="0" w:color="auto"/>
            <w:right w:val="none" w:sz="0" w:space="0" w:color="auto"/>
          </w:divBdr>
        </w:div>
        <w:div w:id="511065671">
          <w:marLeft w:val="0"/>
          <w:marRight w:val="0"/>
          <w:marTop w:val="0"/>
          <w:marBottom w:val="0"/>
          <w:divBdr>
            <w:top w:val="none" w:sz="0" w:space="0" w:color="auto"/>
            <w:left w:val="none" w:sz="0" w:space="0" w:color="auto"/>
            <w:bottom w:val="none" w:sz="0" w:space="0" w:color="auto"/>
            <w:right w:val="none" w:sz="0" w:space="0" w:color="auto"/>
          </w:divBdr>
        </w:div>
        <w:div w:id="511141435">
          <w:marLeft w:val="0"/>
          <w:marRight w:val="0"/>
          <w:marTop w:val="0"/>
          <w:marBottom w:val="0"/>
          <w:divBdr>
            <w:top w:val="none" w:sz="0" w:space="0" w:color="auto"/>
            <w:left w:val="none" w:sz="0" w:space="0" w:color="auto"/>
            <w:bottom w:val="none" w:sz="0" w:space="0" w:color="auto"/>
            <w:right w:val="none" w:sz="0" w:space="0" w:color="auto"/>
          </w:divBdr>
        </w:div>
        <w:div w:id="548078418">
          <w:marLeft w:val="0"/>
          <w:marRight w:val="0"/>
          <w:marTop w:val="0"/>
          <w:marBottom w:val="0"/>
          <w:divBdr>
            <w:top w:val="none" w:sz="0" w:space="0" w:color="auto"/>
            <w:left w:val="none" w:sz="0" w:space="0" w:color="auto"/>
            <w:bottom w:val="none" w:sz="0" w:space="0" w:color="auto"/>
            <w:right w:val="none" w:sz="0" w:space="0" w:color="auto"/>
          </w:divBdr>
        </w:div>
        <w:div w:id="558710390">
          <w:marLeft w:val="0"/>
          <w:marRight w:val="0"/>
          <w:marTop w:val="0"/>
          <w:marBottom w:val="0"/>
          <w:divBdr>
            <w:top w:val="none" w:sz="0" w:space="0" w:color="auto"/>
            <w:left w:val="none" w:sz="0" w:space="0" w:color="auto"/>
            <w:bottom w:val="none" w:sz="0" w:space="0" w:color="auto"/>
            <w:right w:val="none" w:sz="0" w:space="0" w:color="auto"/>
          </w:divBdr>
        </w:div>
        <w:div w:id="564684838">
          <w:marLeft w:val="0"/>
          <w:marRight w:val="0"/>
          <w:marTop w:val="0"/>
          <w:marBottom w:val="0"/>
          <w:divBdr>
            <w:top w:val="none" w:sz="0" w:space="0" w:color="auto"/>
            <w:left w:val="none" w:sz="0" w:space="0" w:color="auto"/>
            <w:bottom w:val="none" w:sz="0" w:space="0" w:color="auto"/>
            <w:right w:val="none" w:sz="0" w:space="0" w:color="auto"/>
          </w:divBdr>
        </w:div>
        <w:div w:id="565191543">
          <w:marLeft w:val="0"/>
          <w:marRight w:val="0"/>
          <w:marTop w:val="0"/>
          <w:marBottom w:val="0"/>
          <w:divBdr>
            <w:top w:val="none" w:sz="0" w:space="0" w:color="auto"/>
            <w:left w:val="none" w:sz="0" w:space="0" w:color="auto"/>
            <w:bottom w:val="none" w:sz="0" w:space="0" w:color="auto"/>
            <w:right w:val="none" w:sz="0" w:space="0" w:color="auto"/>
          </w:divBdr>
        </w:div>
        <w:div w:id="569312625">
          <w:marLeft w:val="0"/>
          <w:marRight w:val="0"/>
          <w:marTop w:val="0"/>
          <w:marBottom w:val="0"/>
          <w:divBdr>
            <w:top w:val="none" w:sz="0" w:space="0" w:color="auto"/>
            <w:left w:val="none" w:sz="0" w:space="0" w:color="auto"/>
            <w:bottom w:val="none" w:sz="0" w:space="0" w:color="auto"/>
            <w:right w:val="none" w:sz="0" w:space="0" w:color="auto"/>
          </w:divBdr>
        </w:div>
        <w:div w:id="583610921">
          <w:marLeft w:val="0"/>
          <w:marRight w:val="0"/>
          <w:marTop w:val="0"/>
          <w:marBottom w:val="0"/>
          <w:divBdr>
            <w:top w:val="none" w:sz="0" w:space="0" w:color="auto"/>
            <w:left w:val="none" w:sz="0" w:space="0" w:color="auto"/>
            <w:bottom w:val="none" w:sz="0" w:space="0" w:color="auto"/>
            <w:right w:val="none" w:sz="0" w:space="0" w:color="auto"/>
          </w:divBdr>
        </w:div>
        <w:div w:id="588120617">
          <w:marLeft w:val="0"/>
          <w:marRight w:val="0"/>
          <w:marTop w:val="0"/>
          <w:marBottom w:val="0"/>
          <w:divBdr>
            <w:top w:val="none" w:sz="0" w:space="0" w:color="auto"/>
            <w:left w:val="none" w:sz="0" w:space="0" w:color="auto"/>
            <w:bottom w:val="none" w:sz="0" w:space="0" w:color="auto"/>
            <w:right w:val="none" w:sz="0" w:space="0" w:color="auto"/>
          </w:divBdr>
        </w:div>
        <w:div w:id="590895748">
          <w:marLeft w:val="0"/>
          <w:marRight w:val="0"/>
          <w:marTop w:val="0"/>
          <w:marBottom w:val="0"/>
          <w:divBdr>
            <w:top w:val="none" w:sz="0" w:space="0" w:color="auto"/>
            <w:left w:val="none" w:sz="0" w:space="0" w:color="auto"/>
            <w:bottom w:val="none" w:sz="0" w:space="0" w:color="auto"/>
            <w:right w:val="none" w:sz="0" w:space="0" w:color="auto"/>
          </w:divBdr>
        </w:div>
        <w:div w:id="591089987">
          <w:marLeft w:val="0"/>
          <w:marRight w:val="0"/>
          <w:marTop w:val="0"/>
          <w:marBottom w:val="0"/>
          <w:divBdr>
            <w:top w:val="none" w:sz="0" w:space="0" w:color="auto"/>
            <w:left w:val="none" w:sz="0" w:space="0" w:color="auto"/>
            <w:bottom w:val="none" w:sz="0" w:space="0" w:color="auto"/>
            <w:right w:val="none" w:sz="0" w:space="0" w:color="auto"/>
          </w:divBdr>
        </w:div>
        <w:div w:id="593247586">
          <w:marLeft w:val="0"/>
          <w:marRight w:val="0"/>
          <w:marTop w:val="0"/>
          <w:marBottom w:val="0"/>
          <w:divBdr>
            <w:top w:val="none" w:sz="0" w:space="0" w:color="auto"/>
            <w:left w:val="none" w:sz="0" w:space="0" w:color="auto"/>
            <w:bottom w:val="none" w:sz="0" w:space="0" w:color="auto"/>
            <w:right w:val="none" w:sz="0" w:space="0" w:color="auto"/>
          </w:divBdr>
        </w:div>
        <w:div w:id="603079661">
          <w:marLeft w:val="0"/>
          <w:marRight w:val="0"/>
          <w:marTop w:val="0"/>
          <w:marBottom w:val="0"/>
          <w:divBdr>
            <w:top w:val="none" w:sz="0" w:space="0" w:color="auto"/>
            <w:left w:val="none" w:sz="0" w:space="0" w:color="auto"/>
            <w:bottom w:val="none" w:sz="0" w:space="0" w:color="auto"/>
            <w:right w:val="none" w:sz="0" w:space="0" w:color="auto"/>
          </w:divBdr>
        </w:div>
        <w:div w:id="605623898">
          <w:marLeft w:val="0"/>
          <w:marRight w:val="0"/>
          <w:marTop w:val="0"/>
          <w:marBottom w:val="0"/>
          <w:divBdr>
            <w:top w:val="none" w:sz="0" w:space="0" w:color="auto"/>
            <w:left w:val="none" w:sz="0" w:space="0" w:color="auto"/>
            <w:bottom w:val="none" w:sz="0" w:space="0" w:color="auto"/>
            <w:right w:val="none" w:sz="0" w:space="0" w:color="auto"/>
          </w:divBdr>
        </w:div>
        <w:div w:id="611521307">
          <w:marLeft w:val="0"/>
          <w:marRight w:val="0"/>
          <w:marTop w:val="0"/>
          <w:marBottom w:val="0"/>
          <w:divBdr>
            <w:top w:val="none" w:sz="0" w:space="0" w:color="auto"/>
            <w:left w:val="none" w:sz="0" w:space="0" w:color="auto"/>
            <w:bottom w:val="none" w:sz="0" w:space="0" w:color="auto"/>
            <w:right w:val="none" w:sz="0" w:space="0" w:color="auto"/>
          </w:divBdr>
        </w:div>
        <w:div w:id="628366241">
          <w:marLeft w:val="0"/>
          <w:marRight w:val="0"/>
          <w:marTop w:val="0"/>
          <w:marBottom w:val="0"/>
          <w:divBdr>
            <w:top w:val="none" w:sz="0" w:space="0" w:color="auto"/>
            <w:left w:val="none" w:sz="0" w:space="0" w:color="auto"/>
            <w:bottom w:val="none" w:sz="0" w:space="0" w:color="auto"/>
            <w:right w:val="none" w:sz="0" w:space="0" w:color="auto"/>
          </w:divBdr>
        </w:div>
        <w:div w:id="633101903">
          <w:marLeft w:val="0"/>
          <w:marRight w:val="0"/>
          <w:marTop w:val="0"/>
          <w:marBottom w:val="0"/>
          <w:divBdr>
            <w:top w:val="none" w:sz="0" w:space="0" w:color="auto"/>
            <w:left w:val="none" w:sz="0" w:space="0" w:color="auto"/>
            <w:bottom w:val="none" w:sz="0" w:space="0" w:color="auto"/>
            <w:right w:val="none" w:sz="0" w:space="0" w:color="auto"/>
          </w:divBdr>
        </w:div>
        <w:div w:id="636953507">
          <w:marLeft w:val="0"/>
          <w:marRight w:val="0"/>
          <w:marTop w:val="0"/>
          <w:marBottom w:val="0"/>
          <w:divBdr>
            <w:top w:val="none" w:sz="0" w:space="0" w:color="auto"/>
            <w:left w:val="none" w:sz="0" w:space="0" w:color="auto"/>
            <w:bottom w:val="none" w:sz="0" w:space="0" w:color="auto"/>
            <w:right w:val="none" w:sz="0" w:space="0" w:color="auto"/>
          </w:divBdr>
        </w:div>
        <w:div w:id="637338393">
          <w:marLeft w:val="0"/>
          <w:marRight w:val="0"/>
          <w:marTop w:val="0"/>
          <w:marBottom w:val="0"/>
          <w:divBdr>
            <w:top w:val="none" w:sz="0" w:space="0" w:color="auto"/>
            <w:left w:val="none" w:sz="0" w:space="0" w:color="auto"/>
            <w:bottom w:val="none" w:sz="0" w:space="0" w:color="auto"/>
            <w:right w:val="none" w:sz="0" w:space="0" w:color="auto"/>
          </w:divBdr>
        </w:div>
        <w:div w:id="648242245">
          <w:marLeft w:val="0"/>
          <w:marRight w:val="0"/>
          <w:marTop w:val="0"/>
          <w:marBottom w:val="0"/>
          <w:divBdr>
            <w:top w:val="none" w:sz="0" w:space="0" w:color="auto"/>
            <w:left w:val="none" w:sz="0" w:space="0" w:color="auto"/>
            <w:bottom w:val="none" w:sz="0" w:space="0" w:color="auto"/>
            <w:right w:val="none" w:sz="0" w:space="0" w:color="auto"/>
          </w:divBdr>
        </w:div>
        <w:div w:id="667562938">
          <w:marLeft w:val="0"/>
          <w:marRight w:val="0"/>
          <w:marTop w:val="0"/>
          <w:marBottom w:val="0"/>
          <w:divBdr>
            <w:top w:val="none" w:sz="0" w:space="0" w:color="auto"/>
            <w:left w:val="none" w:sz="0" w:space="0" w:color="auto"/>
            <w:bottom w:val="none" w:sz="0" w:space="0" w:color="auto"/>
            <w:right w:val="none" w:sz="0" w:space="0" w:color="auto"/>
          </w:divBdr>
        </w:div>
        <w:div w:id="678234495">
          <w:marLeft w:val="0"/>
          <w:marRight w:val="0"/>
          <w:marTop w:val="0"/>
          <w:marBottom w:val="0"/>
          <w:divBdr>
            <w:top w:val="none" w:sz="0" w:space="0" w:color="auto"/>
            <w:left w:val="none" w:sz="0" w:space="0" w:color="auto"/>
            <w:bottom w:val="none" w:sz="0" w:space="0" w:color="auto"/>
            <w:right w:val="none" w:sz="0" w:space="0" w:color="auto"/>
          </w:divBdr>
        </w:div>
        <w:div w:id="681975331">
          <w:marLeft w:val="0"/>
          <w:marRight w:val="0"/>
          <w:marTop w:val="0"/>
          <w:marBottom w:val="0"/>
          <w:divBdr>
            <w:top w:val="none" w:sz="0" w:space="0" w:color="auto"/>
            <w:left w:val="none" w:sz="0" w:space="0" w:color="auto"/>
            <w:bottom w:val="none" w:sz="0" w:space="0" w:color="auto"/>
            <w:right w:val="none" w:sz="0" w:space="0" w:color="auto"/>
          </w:divBdr>
        </w:div>
        <w:div w:id="691809220">
          <w:marLeft w:val="0"/>
          <w:marRight w:val="0"/>
          <w:marTop w:val="0"/>
          <w:marBottom w:val="0"/>
          <w:divBdr>
            <w:top w:val="none" w:sz="0" w:space="0" w:color="auto"/>
            <w:left w:val="none" w:sz="0" w:space="0" w:color="auto"/>
            <w:bottom w:val="none" w:sz="0" w:space="0" w:color="auto"/>
            <w:right w:val="none" w:sz="0" w:space="0" w:color="auto"/>
          </w:divBdr>
        </w:div>
        <w:div w:id="717969016">
          <w:marLeft w:val="0"/>
          <w:marRight w:val="0"/>
          <w:marTop w:val="0"/>
          <w:marBottom w:val="0"/>
          <w:divBdr>
            <w:top w:val="none" w:sz="0" w:space="0" w:color="auto"/>
            <w:left w:val="none" w:sz="0" w:space="0" w:color="auto"/>
            <w:bottom w:val="none" w:sz="0" w:space="0" w:color="auto"/>
            <w:right w:val="none" w:sz="0" w:space="0" w:color="auto"/>
          </w:divBdr>
        </w:div>
        <w:div w:id="730814686">
          <w:marLeft w:val="0"/>
          <w:marRight w:val="0"/>
          <w:marTop w:val="0"/>
          <w:marBottom w:val="0"/>
          <w:divBdr>
            <w:top w:val="none" w:sz="0" w:space="0" w:color="auto"/>
            <w:left w:val="none" w:sz="0" w:space="0" w:color="auto"/>
            <w:bottom w:val="none" w:sz="0" w:space="0" w:color="auto"/>
            <w:right w:val="none" w:sz="0" w:space="0" w:color="auto"/>
          </w:divBdr>
        </w:div>
        <w:div w:id="731461542">
          <w:marLeft w:val="0"/>
          <w:marRight w:val="0"/>
          <w:marTop w:val="0"/>
          <w:marBottom w:val="0"/>
          <w:divBdr>
            <w:top w:val="none" w:sz="0" w:space="0" w:color="auto"/>
            <w:left w:val="none" w:sz="0" w:space="0" w:color="auto"/>
            <w:bottom w:val="none" w:sz="0" w:space="0" w:color="auto"/>
            <w:right w:val="none" w:sz="0" w:space="0" w:color="auto"/>
          </w:divBdr>
        </w:div>
        <w:div w:id="738140668">
          <w:marLeft w:val="0"/>
          <w:marRight w:val="0"/>
          <w:marTop w:val="0"/>
          <w:marBottom w:val="0"/>
          <w:divBdr>
            <w:top w:val="none" w:sz="0" w:space="0" w:color="auto"/>
            <w:left w:val="none" w:sz="0" w:space="0" w:color="auto"/>
            <w:bottom w:val="none" w:sz="0" w:space="0" w:color="auto"/>
            <w:right w:val="none" w:sz="0" w:space="0" w:color="auto"/>
          </w:divBdr>
        </w:div>
        <w:div w:id="750735711">
          <w:marLeft w:val="0"/>
          <w:marRight w:val="0"/>
          <w:marTop w:val="0"/>
          <w:marBottom w:val="0"/>
          <w:divBdr>
            <w:top w:val="none" w:sz="0" w:space="0" w:color="auto"/>
            <w:left w:val="none" w:sz="0" w:space="0" w:color="auto"/>
            <w:bottom w:val="none" w:sz="0" w:space="0" w:color="auto"/>
            <w:right w:val="none" w:sz="0" w:space="0" w:color="auto"/>
          </w:divBdr>
        </w:div>
        <w:div w:id="766929958">
          <w:marLeft w:val="0"/>
          <w:marRight w:val="0"/>
          <w:marTop w:val="0"/>
          <w:marBottom w:val="0"/>
          <w:divBdr>
            <w:top w:val="none" w:sz="0" w:space="0" w:color="auto"/>
            <w:left w:val="none" w:sz="0" w:space="0" w:color="auto"/>
            <w:bottom w:val="none" w:sz="0" w:space="0" w:color="auto"/>
            <w:right w:val="none" w:sz="0" w:space="0" w:color="auto"/>
          </w:divBdr>
        </w:div>
        <w:div w:id="805204641">
          <w:marLeft w:val="0"/>
          <w:marRight w:val="0"/>
          <w:marTop w:val="0"/>
          <w:marBottom w:val="0"/>
          <w:divBdr>
            <w:top w:val="none" w:sz="0" w:space="0" w:color="auto"/>
            <w:left w:val="none" w:sz="0" w:space="0" w:color="auto"/>
            <w:bottom w:val="none" w:sz="0" w:space="0" w:color="auto"/>
            <w:right w:val="none" w:sz="0" w:space="0" w:color="auto"/>
          </w:divBdr>
        </w:div>
        <w:div w:id="811825650">
          <w:marLeft w:val="0"/>
          <w:marRight w:val="0"/>
          <w:marTop w:val="0"/>
          <w:marBottom w:val="0"/>
          <w:divBdr>
            <w:top w:val="none" w:sz="0" w:space="0" w:color="auto"/>
            <w:left w:val="none" w:sz="0" w:space="0" w:color="auto"/>
            <w:bottom w:val="none" w:sz="0" w:space="0" w:color="auto"/>
            <w:right w:val="none" w:sz="0" w:space="0" w:color="auto"/>
          </w:divBdr>
        </w:div>
        <w:div w:id="839387955">
          <w:marLeft w:val="0"/>
          <w:marRight w:val="0"/>
          <w:marTop w:val="0"/>
          <w:marBottom w:val="0"/>
          <w:divBdr>
            <w:top w:val="none" w:sz="0" w:space="0" w:color="auto"/>
            <w:left w:val="none" w:sz="0" w:space="0" w:color="auto"/>
            <w:bottom w:val="none" w:sz="0" w:space="0" w:color="auto"/>
            <w:right w:val="none" w:sz="0" w:space="0" w:color="auto"/>
          </w:divBdr>
        </w:div>
        <w:div w:id="881556253">
          <w:marLeft w:val="0"/>
          <w:marRight w:val="0"/>
          <w:marTop w:val="0"/>
          <w:marBottom w:val="0"/>
          <w:divBdr>
            <w:top w:val="none" w:sz="0" w:space="0" w:color="auto"/>
            <w:left w:val="none" w:sz="0" w:space="0" w:color="auto"/>
            <w:bottom w:val="none" w:sz="0" w:space="0" w:color="auto"/>
            <w:right w:val="none" w:sz="0" w:space="0" w:color="auto"/>
          </w:divBdr>
        </w:div>
        <w:div w:id="895898460">
          <w:marLeft w:val="0"/>
          <w:marRight w:val="0"/>
          <w:marTop w:val="0"/>
          <w:marBottom w:val="0"/>
          <w:divBdr>
            <w:top w:val="none" w:sz="0" w:space="0" w:color="auto"/>
            <w:left w:val="none" w:sz="0" w:space="0" w:color="auto"/>
            <w:bottom w:val="none" w:sz="0" w:space="0" w:color="auto"/>
            <w:right w:val="none" w:sz="0" w:space="0" w:color="auto"/>
          </w:divBdr>
        </w:div>
        <w:div w:id="902641958">
          <w:marLeft w:val="0"/>
          <w:marRight w:val="0"/>
          <w:marTop w:val="0"/>
          <w:marBottom w:val="0"/>
          <w:divBdr>
            <w:top w:val="none" w:sz="0" w:space="0" w:color="auto"/>
            <w:left w:val="none" w:sz="0" w:space="0" w:color="auto"/>
            <w:bottom w:val="none" w:sz="0" w:space="0" w:color="auto"/>
            <w:right w:val="none" w:sz="0" w:space="0" w:color="auto"/>
          </w:divBdr>
        </w:div>
        <w:div w:id="938096921">
          <w:marLeft w:val="0"/>
          <w:marRight w:val="0"/>
          <w:marTop w:val="0"/>
          <w:marBottom w:val="0"/>
          <w:divBdr>
            <w:top w:val="none" w:sz="0" w:space="0" w:color="auto"/>
            <w:left w:val="none" w:sz="0" w:space="0" w:color="auto"/>
            <w:bottom w:val="none" w:sz="0" w:space="0" w:color="auto"/>
            <w:right w:val="none" w:sz="0" w:space="0" w:color="auto"/>
          </w:divBdr>
        </w:div>
        <w:div w:id="943029442">
          <w:marLeft w:val="0"/>
          <w:marRight w:val="0"/>
          <w:marTop w:val="0"/>
          <w:marBottom w:val="0"/>
          <w:divBdr>
            <w:top w:val="none" w:sz="0" w:space="0" w:color="auto"/>
            <w:left w:val="none" w:sz="0" w:space="0" w:color="auto"/>
            <w:bottom w:val="none" w:sz="0" w:space="0" w:color="auto"/>
            <w:right w:val="none" w:sz="0" w:space="0" w:color="auto"/>
          </w:divBdr>
        </w:div>
        <w:div w:id="953903003">
          <w:marLeft w:val="0"/>
          <w:marRight w:val="0"/>
          <w:marTop w:val="0"/>
          <w:marBottom w:val="0"/>
          <w:divBdr>
            <w:top w:val="none" w:sz="0" w:space="0" w:color="auto"/>
            <w:left w:val="none" w:sz="0" w:space="0" w:color="auto"/>
            <w:bottom w:val="none" w:sz="0" w:space="0" w:color="auto"/>
            <w:right w:val="none" w:sz="0" w:space="0" w:color="auto"/>
          </w:divBdr>
        </w:div>
        <w:div w:id="954024094">
          <w:marLeft w:val="0"/>
          <w:marRight w:val="0"/>
          <w:marTop w:val="0"/>
          <w:marBottom w:val="0"/>
          <w:divBdr>
            <w:top w:val="none" w:sz="0" w:space="0" w:color="auto"/>
            <w:left w:val="none" w:sz="0" w:space="0" w:color="auto"/>
            <w:bottom w:val="none" w:sz="0" w:space="0" w:color="auto"/>
            <w:right w:val="none" w:sz="0" w:space="0" w:color="auto"/>
          </w:divBdr>
        </w:div>
        <w:div w:id="975186481">
          <w:marLeft w:val="0"/>
          <w:marRight w:val="0"/>
          <w:marTop w:val="0"/>
          <w:marBottom w:val="0"/>
          <w:divBdr>
            <w:top w:val="none" w:sz="0" w:space="0" w:color="auto"/>
            <w:left w:val="none" w:sz="0" w:space="0" w:color="auto"/>
            <w:bottom w:val="none" w:sz="0" w:space="0" w:color="auto"/>
            <w:right w:val="none" w:sz="0" w:space="0" w:color="auto"/>
          </w:divBdr>
        </w:div>
        <w:div w:id="1007681757">
          <w:marLeft w:val="0"/>
          <w:marRight w:val="0"/>
          <w:marTop w:val="0"/>
          <w:marBottom w:val="0"/>
          <w:divBdr>
            <w:top w:val="none" w:sz="0" w:space="0" w:color="auto"/>
            <w:left w:val="none" w:sz="0" w:space="0" w:color="auto"/>
            <w:bottom w:val="none" w:sz="0" w:space="0" w:color="auto"/>
            <w:right w:val="none" w:sz="0" w:space="0" w:color="auto"/>
          </w:divBdr>
        </w:div>
        <w:div w:id="1011104358">
          <w:marLeft w:val="0"/>
          <w:marRight w:val="0"/>
          <w:marTop w:val="0"/>
          <w:marBottom w:val="0"/>
          <w:divBdr>
            <w:top w:val="none" w:sz="0" w:space="0" w:color="auto"/>
            <w:left w:val="none" w:sz="0" w:space="0" w:color="auto"/>
            <w:bottom w:val="none" w:sz="0" w:space="0" w:color="auto"/>
            <w:right w:val="none" w:sz="0" w:space="0" w:color="auto"/>
          </w:divBdr>
        </w:div>
        <w:div w:id="1013267478">
          <w:marLeft w:val="0"/>
          <w:marRight w:val="0"/>
          <w:marTop w:val="0"/>
          <w:marBottom w:val="0"/>
          <w:divBdr>
            <w:top w:val="none" w:sz="0" w:space="0" w:color="auto"/>
            <w:left w:val="none" w:sz="0" w:space="0" w:color="auto"/>
            <w:bottom w:val="none" w:sz="0" w:space="0" w:color="auto"/>
            <w:right w:val="none" w:sz="0" w:space="0" w:color="auto"/>
          </w:divBdr>
        </w:div>
        <w:div w:id="1039358116">
          <w:marLeft w:val="0"/>
          <w:marRight w:val="0"/>
          <w:marTop w:val="0"/>
          <w:marBottom w:val="0"/>
          <w:divBdr>
            <w:top w:val="none" w:sz="0" w:space="0" w:color="auto"/>
            <w:left w:val="none" w:sz="0" w:space="0" w:color="auto"/>
            <w:bottom w:val="none" w:sz="0" w:space="0" w:color="auto"/>
            <w:right w:val="none" w:sz="0" w:space="0" w:color="auto"/>
          </w:divBdr>
        </w:div>
        <w:div w:id="1070465975">
          <w:marLeft w:val="0"/>
          <w:marRight w:val="0"/>
          <w:marTop w:val="0"/>
          <w:marBottom w:val="0"/>
          <w:divBdr>
            <w:top w:val="none" w:sz="0" w:space="0" w:color="auto"/>
            <w:left w:val="none" w:sz="0" w:space="0" w:color="auto"/>
            <w:bottom w:val="none" w:sz="0" w:space="0" w:color="auto"/>
            <w:right w:val="none" w:sz="0" w:space="0" w:color="auto"/>
          </w:divBdr>
        </w:div>
        <w:div w:id="1092897293">
          <w:marLeft w:val="0"/>
          <w:marRight w:val="0"/>
          <w:marTop w:val="0"/>
          <w:marBottom w:val="0"/>
          <w:divBdr>
            <w:top w:val="none" w:sz="0" w:space="0" w:color="auto"/>
            <w:left w:val="none" w:sz="0" w:space="0" w:color="auto"/>
            <w:bottom w:val="none" w:sz="0" w:space="0" w:color="auto"/>
            <w:right w:val="none" w:sz="0" w:space="0" w:color="auto"/>
          </w:divBdr>
        </w:div>
        <w:div w:id="1130785703">
          <w:marLeft w:val="0"/>
          <w:marRight w:val="0"/>
          <w:marTop w:val="0"/>
          <w:marBottom w:val="0"/>
          <w:divBdr>
            <w:top w:val="none" w:sz="0" w:space="0" w:color="auto"/>
            <w:left w:val="none" w:sz="0" w:space="0" w:color="auto"/>
            <w:bottom w:val="none" w:sz="0" w:space="0" w:color="auto"/>
            <w:right w:val="none" w:sz="0" w:space="0" w:color="auto"/>
          </w:divBdr>
        </w:div>
        <w:div w:id="1151290164">
          <w:marLeft w:val="0"/>
          <w:marRight w:val="0"/>
          <w:marTop w:val="0"/>
          <w:marBottom w:val="0"/>
          <w:divBdr>
            <w:top w:val="none" w:sz="0" w:space="0" w:color="auto"/>
            <w:left w:val="none" w:sz="0" w:space="0" w:color="auto"/>
            <w:bottom w:val="none" w:sz="0" w:space="0" w:color="auto"/>
            <w:right w:val="none" w:sz="0" w:space="0" w:color="auto"/>
          </w:divBdr>
        </w:div>
        <w:div w:id="1156144314">
          <w:marLeft w:val="0"/>
          <w:marRight w:val="0"/>
          <w:marTop w:val="0"/>
          <w:marBottom w:val="0"/>
          <w:divBdr>
            <w:top w:val="none" w:sz="0" w:space="0" w:color="auto"/>
            <w:left w:val="none" w:sz="0" w:space="0" w:color="auto"/>
            <w:bottom w:val="none" w:sz="0" w:space="0" w:color="auto"/>
            <w:right w:val="none" w:sz="0" w:space="0" w:color="auto"/>
          </w:divBdr>
        </w:div>
        <w:div w:id="1156846532">
          <w:marLeft w:val="0"/>
          <w:marRight w:val="0"/>
          <w:marTop w:val="0"/>
          <w:marBottom w:val="0"/>
          <w:divBdr>
            <w:top w:val="none" w:sz="0" w:space="0" w:color="auto"/>
            <w:left w:val="none" w:sz="0" w:space="0" w:color="auto"/>
            <w:bottom w:val="none" w:sz="0" w:space="0" w:color="auto"/>
            <w:right w:val="none" w:sz="0" w:space="0" w:color="auto"/>
          </w:divBdr>
        </w:div>
        <w:div w:id="1190333357">
          <w:marLeft w:val="0"/>
          <w:marRight w:val="0"/>
          <w:marTop w:val="0"/>
          <w:marBottom w:val="0"/>
          <w:divBdr>
            <w:top w:val="none" w:sz="0" w:space="0" w:color="auto"/>
            <w:left w:val="none" w:sz="0" w:space="0" w:color="auto"/>
            <w:bottom w:val="none" w:sz="0" w:space="0" w:color="auto"/>
            <w:right w:val="none" w:sz="0" w:space="0" w:color="auto"/>
          </w:divBdr>
        </w:div>
        <w:div w:id="1222864990">
          <w:marLeft w:val="0"/>
          <w:marRight w:val="0"/>
          <w:marTop w:val="0"/>
          <w:marBottom w:val="0"/>
          <w:divBdr>
            <w:top w:val="none" w:sz="0" w:space="0" w:color="auto"/>
            <w:left w:val="none" w:sz="0" w:space="0" w:color="auto"/>
            <w:bottom w:val="none" w:sz="0" w:space="0" w:color="auto"/>
            <w:right w:val="none" w:sz="0" w:space="0" w:color="auto"/>
          </w:divBdr>
        </w:div>
        <w:div w:id="1224292088">
          <w:marLeft w:val="0"/>
          <w:marRight w:val="0"/>
          <w:marTop w:val="0"/>
          <w:marBottom w:val="0"/>
          <w:divBdr>
            <w:top w:val="none" w:sz="0" w:space="0" w:color="auto"/>
            <w:left w:val="none" w:sz="0" w:space="0" w:color="auto"/>
            <w:bottom w:val="none" w:sz="0" w:space="0" w:color="auto"/>
            <w:right w:val="none" w:sz="0" w:space="0" w:color="auto"/>
          </w:divBdr>
        </w:div>
        <w:div w:id="1225145628">
          <w:marLeft w:val="0"/>
          <w:marRight w:val="0"/>
          <w:marTop w:val="0"/>
          <w:marBottom w:val="0"/>
          <w:divBdr>
            <w:top w:val="none" w:sz="0" w:space="0" w:color="auto"/>
            <w:left w:val="none" w:sz="0" w:space="0" w:color="auto"/>
            <w:bottom w:val="none" w:sz="0" w:space="0" w:color="auto"/>
            <w:right w:val="none" w:sz="0" w:space="0" w:color="auto"/>
          </w:divBdr>
        </w:div>
        <w:div w:id="1246233146">
          <w:marLeft w:val="0"/>
          <w:marRight w:val="0"/>
          <w:marTop w:val="0"/>
          <w:marBottom w:val="0"/>
          <w:divBdr>
            <w:top w:val="none" w:sz="0" w:space="0" w:color="auto"/>
            <w:left w:val="none" w:sz="0" w:space="0" w:color="auto"/>
            <w:bottom w:val="none" w:sz="0" w:space="0" w:color="auto"/>
            <w:right w:val="none" w:sz="0" w:space="0" w:color="auto"/>
          </w:divBdr>
        </w:div>
        <w:div w:id="1260868842">
          <w:marLeft w:val="0"/>
          <w:marRight w:val="0"/>
          <w:marTop w:val="0"/>
          <w:marBottom w:val="0"/>
          <w:divBdr>
            <w:top w:val="none" w:sz="0" w:space="0" w:color="auto"/>
            <w:left w:val="none" w:sz="0" w:space="0" w:color="auto"/>
            <w:bottom w:val="none" w:sz="0" w:space="0" w:color="auto"/>
            <w:right w:val="none" w:sz="0" w:space="0" w:color="auto"/>
          </w:divBdr>
        </w:div>
        <w:div w:id="1268655438">
          <w:marLeft w:val="0"/>
          <w:marRight w:val="0"/>
          <w:marTop w:val="0"/>
          <w:marBottom w:val="0"/>
          <w:divBdr>
            <w:top w:val="none" w:sz="0" w:space="0" w:color="auto"/>
            <w:left w:val="none" w:sz="0" w:space="0" w:color="auto"/>
            <w:bottom w:val="none" w:sz="0" w:space="0" w:color="auto"/>
            <w:right w:val="none" w:sz="0" w:space="0" w:color="auto"/>
          </w:divBdr>
        </w:div>
        <w:div w:id="1268738404">
          <w:marLeft w:val="0"/>
          <w:marRight w:val="0"/>
          <w:marTop w:val="0"/>
          <w:marBottom w:val="0"/>
          <w:divBdr>
            <w:top w:val="none" w:sz="0" w:space="0" w:color="auto"/>
            <w:left w:val="none" w:sz="0" w:space="0" w:color="auto"/>
            <w:bottom w:val="none" w:sz="0" w:space="0" w:color="auto"/>
            <w:right w:val="none" w:sz="0" w:space="0" w:color="auto"/>
          </w:divBdr>
        </w:div>
        <w:div w:id="1298996493">
          <w:marLeft w:val="0"/>
          <w:marRight w:val="0"/>
          <w:marTop w:val="0"/>
          <w:marBottom w:val="0"/>
          <w:divBdr>
            <w:top w:val="none" w:sz="0" w:space="0" w:color="auto"/>
            <w:left w:val="none" w:sz="0" w:space="0" w:color="auto"/>
            <w:bottom w:val="none" w:sz="0" w:space="0" w:color="auto"/>
            <w:right w:val="none" w:sz="0" w:space="0" w:color="auto"/>
          </w:divBdr>
        </w:div>
        <w:div w:id="1310014461">
          <w:marLeft w:val="0"/>
          <w:marRight w:val="0"/>
          <w:marTop w:val="0"/>
          <w:marBottom w:val="0"/>
          <w:divBdr>
            <w:top w:val="none" w:sz="0" w:space="0" w:color="auto"/>
            <w:left w:val="none" w:sz="0" w:space="0" w:color="auto"/>
            <w:bottom w:val="none" w:sz="0" w:space="0" w:color="auto"/>
            <w:right w:val="none" w:sz="0" w:space="0" w:color="auto"/>
          </w:divBdr>
        </w:div>
        <w:div w:id="1313221701">
          <w:marLeft w:val="0"/>
          <w:marRight w:val="0"/>
          <w:marTop w:val="0"/>
          <w:marBottom w:val="0"/>
          <w:divBdr>
            <w:top w:val="none" w:sz="0" w:space="0" w:color="auto"/>
            <w:left w:val="none" w:sz="0" w:space="0" w:color="auto"/>
            <w:bottom w:val="none" w:sz="0" w:space="0" w:color="auto"/>
            <w:right w:val="none" w:sz="0" w:space="0" w:color="auto"/>
          </w:divBdr>
        </w:div>
        <w:div w:id="1361931868">
          <w:marLeft w:val="0"/>
          <w:marRight w:val="0"/>
          <w:marTop w:val="0"/>
          <w:marBottom w:val="0"/>
          <w:divBdr>
            <w:top w:val="none" w:sz="0" w:space="0" w:color="auto"/>
            <w:left w:val="none" w:sz="0" w:space="0" w:color="auto"/>
            <w:bottom w:val="none" w:sz="0" w:space="0" w:color="auto"/>
            <w:right w:val="none" w:sz="0" w:space="0" w:color="auto"/>
          </w:divBdr>
        </w:div>
        <w:div w:id="1366178757">
          <w:marLeft w:val="0"/>
          <w:marRight w:val="0"/>
          <w:marTop w:val="0"/>
          <w:marBottom w:val="0"/>
          <w:divBdr>
            <w:top w:val="none" w:sz="0" w:space="0" w:color="auto"/>
            <w:left w:val="none" w:sz="0" w:space="0" w:color="auto"/>
            <w:bottom w:val="none" w:sz="0" w:space="0" w:color="auto"/>
            <w:right w:val="none" w:sz="0" w:space="0" w:color="auto"/>
          </w:divBdr>
        </w:div>
        <w:div w:id="1371690090">
          <w:marLeft w:val="0"/>
          <w:marRight w:val="0"/>
          <w:marTop w:val="0"/>
          <w:marBottom w:val="0"/>
          <w:divBdr>
            <w:top w:val="none" w:sz="0" w:space="0" w:color="auto"/>
            <w:left w:val="none" w:sz="0" w:space="0" w:color="auto"/>
            <w:bottom w:val="none" w:sz="0" w:space="0" w:color="auto"/>
            <w:right w:val="none" w:sz="0" w:space="0" w:color="auto"/>
          </w:divBdr>
        </w:div>
        <w:div w:id="1372655468">
          <w:marLeft w:val="0"/>
          <w:marRight w:val="0"/>
          <w:marTop w:val="0"/>
          <w:marBottom w:val="0"/>
          <w:divBdr>
            <w:top w:val="none" w:sz="0" w:space="0" w:color="auto"/>
            <w:left w:val="none" w:sz="0" w:space="0" w:color="auto"/>
            <w:bottom w:val="none" w:sz="0" w:space="0" w:color="auto"/>
            <w:right w:val="none" w:sz="0" w:space="0" w:color="auto"/>
          </w:divBdr>
        </w:div>
        <w:div w:id="1378312167">
          <w:marLeft w:val="0"/>
          <w:marRight w:val="0"/>
          <w:marTop w:val="0"/>
          <w:marBottom w:val="0"/>
          <w:divBdr>
            <w:top w:val="none" w:sz="0" w:space="0" w:color="auto"/>
            <w:left w:val="none" w:sz="0" w:space="0" w:color="auto"/>
            <w:bottom w:val="none" w:sz="0" w:space="0" w:color="auto"/>
            <w:right w:val="none" w:sz="0" w:space="0" w:color="auto"/>
          </w:divBdr>
        </w:div>
        <w:div w:id="1390424938">
          <w:marLeft w:val="0"/>
          <w:marRight w:val="0"/>
          <w:marTop w:val="0"/>
          <w:marBottom w:val="0"/>
          <w:divBdr>
            <w:top w:val="none" w:sz="0" w:space="0" w:color="auto"/>
            <w:left w:val="none" w:sz="0" w:space="0" w:color="auto"/>
            <w:bottom w:val="none" w:sz="0" w:space="0" w:color="auto"/>
            <w:right w:val="none" w:sz="0" w:space="0" w:color="auto"/>
          </w:divBdr>
        </w:div>
        <w:div w:id="1395202503">
          <w:marLeft w:val="0"/>
          <w:marRight w:val="0"/>
          <w:marTop w:val="0"/>
          <w:marBottom w:val="0"/>
          <w:divBdr>
            <w:top w:val="none" w:sz="0" w:space="0" w:color="auto"/>
            <w:left w:val="none" w:sz="0" w:space="0" w:color="auto"/>
            <w:bottom w:val="none" w:sz="0" w:space="0" w:color="auto"/>
            <w:right w:val="none" w:sz="0" w:space="0" w:color="auto"/>
          </w:divBdr>
        </w:div>
        <w:div w:id="1395933177">
          <w:marLeft w:val="0"/>
          <w:marRight w:val="0"/>
          <w:marTop w:val="0"/>
          <w:marBottom w:val="0"/>
          <w:divBdr>
            <w:top w:val="none" w:sz="0" w:space="0" w:color="auto"/>
            <w:left w:val="none" w:sz="0" w:space="0" w:color="auto"/>
            <w:bottom w:val="none" w:sz="0" w:space="0" w:color="auto"/>
            <w:right w:val="none" w:sz="0" w:space="0" w:color="auto"/>
          </w:divBdr>
        </w:div>
        <w:div w:id="1418088514">
          <w:marLeft w:val="0"/>
          <w:marRight w:val="0"/>
          <w:marTop w:val="0"/>
          <w:marBottom w:val="0"/>
          <w:divBdr>
            <w:top w:val="none" w:sz="0" w:space="0" w:color="auto"/>
            <w:left w:val="none" w:sz="0" w:space="0" w:color="auto"/>
            <w:bottom w:val="none" w:sz="0" w:space="0" w:color="auto"/>
            <w:right w:val="none" w:sz="0" w:space="0" w:color="auto"/>
          </w:divBdr>
        </w:div>
        <w:div w:id="1421757893">
          <w:marLeft w:val="0"/>
          <w:marRight w:val="0"/>
          <w:marTop w:val="0"/>
          <w:marBottom w:val="0"/>
          <w:divBdr>
            <w:top w:val="none" w:sz="0" w:space="0" w:color="auto"/>
            <w:left w:val="none" w:sz="0" w:space="0" w:color="auto"/>
            <w:bottom w:val="none" w:sz="0" w:space="0" w:color="auto"/>
            <w:right w:val="none" w:sz="0" w:space="0" w:color="auto"/>
          </w:divBdr>
        </w:div>
        <w:div w:id="1424106346">
          <w:marLeft w:val="0"/>
          <w:marRight w:val="0"/>
          <w:marTop w:val="0"/>
          <w:marBottom w:val="0"/>
          <w:divBdr>
            <w:top w:val="none" w:sz="0" w:space="0" w:color="auto"/>
            <w:left w:val="none" w:sz="0" w:space="0" w:color="auto"/>
            <w:bottom w:val="none" w:sz="0" w:space="0" w:color="auto"/>
            <w:right w:val="none" w:sz="0" w:space="0" w:color="auto"/>
          </w:divBdr>
        </w:div>
        <w:div w:id="1431773064">
          <w:marLeft w:val="0"/>
          <w:marRight w:val="0"/>
          <w:marTop w:val="0"/>
          <w:marBottom w:val="0"/>
          <w:divBdr>
            <w:top w:val="none" w:sz="0" w:space="0" w:color="auto"/>
            <w:left w:val="none" w:sz="0" w:space="0" w:color="auto"/>
            <w:bottom w:val="none" w:sz="0" w:space="0" w:color="auto"/>
            <w:right w:val="none" w:sz="0" w:space="0" w:color="auto"/>
          </w:divBdr>
        </w:div>
        <w:div w:id="1440032258">
          <w:marLeft w:val="0"/>
          <w:marRight w:val="0"/>
          <w:marTop w:val="0"/>
          <w:marBottom w:val="0"/>
          <w:divBdr>
            <w:top w:val="none" w:sz="0" w:space="0" w:color="auto"/>
            <w:left w:val="none" w:sz="0" w:space="0" w:color="auto"/>
            <w:bottom w:val="none" w:sz="0" w:space="0" w:color="auto"/>
            <w:right w:val="none" w:sz="0" w:space="0" w:color="auto"/>
          </w:divBdr>
        </w:div>
        <w:div w:id="1443183198">
          <w:marLeft w:val="0"/>
          <w:marRight w:val="0"/>
          <w:marTop w:val="0"/>
          <w:marBottom w:val="0"/>
          <w:divBdr>
            <w:top w:val="none" w:sz="0" w:space="0" w:color="auto"/>
            <w:left w:val="none" w:sz="0" w:space="0" w:color="auto"/>
            <w:bottom w:val="none" w:sz="0" w:space="0" w:color="auto"/>
            <w:right w:val="none" w:sz="0" w:space="0" w:color="auto"/>
          </w:divBdr>
        </w:div>
        <w:div w:id="1467702138">
          <w:marLeft w:val="0"/>
          <w:marRight w:val="0"/>
          <w:marTop w:val="0"/>
          <w:marBottom w:val="0"/>
          <w:divBdr>
            <w:top w:val="none" w:sz="0" w:space="0" w:color="auto"/>
            <w:left w:val="none" w:sz="0" w:space="0" w:color="auto"/>
            <w:bottom w:val="none" w:sz="0" w:space="0" w:color="auto"/>
            <w:right w:val="none" w:sz="0" w:space="0" w:color="auto"/>
          </w:divBdr>
        </w:div>
        <w:div w:id="1472018117">
          <w:marLeft w:val="0"/>
          <w:marRight w:val="0"/>
          <w:marTop w:val="0"/>
          <w:marBottom w:val="0"/>
          <w:divBdr>
            <w:top w:val="none" w:sz="0" w:space="0" w:color="auto"/>
            <w:left w:val="none" w:sz="0" w:space="0" w:color="auto"/>
            <w:bottom w:val="none" w:sz="0" w:space="0" w:color="auto"/>
            <w:right w:val="none" w:sz="0" w:space="0" w:color="auto"/>
          </w:divBdr>
        </w:div>
        <w:div w:id="1478691026">
          <w:marLeft w:val="0"/>
          <w:marRight w:val="0"/>
          <w:marTop w:val="0"/>
          <w:marBottom w:val="0"/>
          <w:divBdr>
            <w:top w:val="none" w:sz="0" w:space="0" w:color="auto"/>
            <w:left w:val="none" w:sz="0" w:space="0" w:color="auto"/>
            <w:bottom w:val="none" w:sz="0" w:space="0" w:color="auto"/>
            <w:right w:val="none" w:sz="0" w:space="0" w:color="auto"/>
          </w:divBdr>
        </w:div>
        <w:div w:id="1479760417">
          <w:marLeft w:val="0"/>
          <w:marRight w:val="0"/>
          <w:marTop w:val="0"/>
          <w:marBottom w:val="0"/>
          <w:divBdr>
            <w:top w:val="none" w:sz="0" w:space="0" w:color="auto"/>
            <w:left w:val="none" w:sz="0" w:space="0" w:color="auto"/>
            <w:bottom w:val="none" w:sz="0" w:space="0" w:color="auto"/>
            <w:right w:val="none" w:sz="0" w:space="0" w:color="auto"/>
          </w:divBdr>
        </w:div>
        <w:div w:id="1499999009">
          <w:marLeft w:val="0"/>
          <w:marRight w:val="0"/>
          <w:marTop w:val="0"/>
          <w:marBottom w:val="0"/>
          <w:divBdr>
            <w:top w:val="none" w:sz="0" w:space="0" w:color="auto"/>
            <w:left w:val="none" w:sz="0" w:space="0" w:color="auto"/>
            <w:bottom w:val="none" w:sz="0" w:space="0" w:color="auto"/>
            <w:right w:val="none" w:sz="0" w:space="0" w:color="auto"/>
          </w:divBdr>
        </w:div>
        <w:div w:id="1529827917">
          <w:marLeft w:val="0"/>
          <w:marRight w:val="0"/>
          <w:marTop w:val="0"/>
          <w:marBottom w:val="0"/>
          <w:divBdr>
            <w:top w:val="none" w:sz="0" w:space="0" w:color="auto"/>
            <w:left w:val="none" w:sz="0" w:space="0" w:color="auto"/>
            <w:bottom w:val="none" w:sz="0" w:space="0" w:color="auto"/>
            <w:right w:val="none" w:sz="0" w:space="0" w:color="auto"/>
          </w:divBdr>
        </w:div>
        <w:div w:id="1571766262">
          <w:marLeft w:val="0"/>
          <w:marRight w:val="0"/>
          <w:marTop w:val="0"/>
          <w:marBottom w:val="0"/>
          <w:divBdr>
            <w:top w:val="none" w:sz="0" w:space="0" w:color="auto"/>
            <w:left w:val="none" w:sz="0" w:space="0" w:color="auto"/>
            <w:bottom w:val="none" w:sz="0" w:space="0" w:color="auto"/>
            <w:right w:val="none" w:sz="0" w:space="0" w:color="auto"/>
          </w:divBdr>
        </w:div>
        <w:div w:id="1572079191">
          <w:marLeft w:val="0"/>
          <w:marRight w:val="0"/>
          <w:marTop w:val="0"/>
          <w:marBottom w:val="0"/>
          <w:divBdr>
            <w:top w:val="none" w:sz="0" w:space="0" w:color="auto"/>
            <w:left w:val="none" w:sz="0" w:space="0" w:color="auto"/>
            <w:bottom w:val="none" w:sz="0" w:space="0" w:color="auto"/>
            <w:right w:val="none" w:sz="0" w:space="0" w:color="auto"/>
          </w:divBdr>
        </w:div>
        <w:div w:id="1580405275">
          <w:marLeft w:val="0"/>
          <w:marRight w:val="0"/>
          <w:marTop w:val="0"/>
          <w:marBottom w:val="0"/>
          <w:divBdr>
            <w:top w:val="none" w:sz="0" w:space="0" w:color="auto"/>
            <w:left w:val="none" w:sz="0" w:space="0" w:color="auto"/>
            <w:bottom w:val="none" w:sz="0" w:space="0" w:color="auto"/>
            <w:right w:val="none" w:sz="0" w:space="0" w:color="auto"/>
          </w:divBdr>
        </w:div>
        <w:div w:id="1620918634">
          <w:marLeft w:val="0"/>
          <w:marRight w:val="0"/>
          <w:marTop w:val="0"/>
          <w:marBottom w:val="0"/>
          <w:divBdr>
            <w:top w:val="none" w:sz="0" w:space="0" w:color="auto"/>
            <w:left w:val="none" w:sz="0" w:space="0" w:color="auto"/>
            <w:bottom w:val="none" w:sz="0" w:space="0" w:color="auto"/>
            <w:right w:val="none" w:sz="0" w:space="0" w:color="auto"/>
          </w:divBdr>
        </w:div>
        <w:div w:id="1623993160">
          <w:marLeft w:val="0"/>
          <w:marRight w:val="0"/>
          <w:marTop w:val="0"/>
          <w:marBottom w:val="0"/>
          <w:divBdr>
            <w:top w:val="none" w:sz="0" w:space="0" w:color="auto"/>
            <w:left w:val="none" w:sz="0" w:space="0" w:color="auto"/>
            <w:bottom w:val="none" w:sz="0" w:space="0" w:color="auto"/>
            <w:right w:val="none" w:sz="0" w:space="0" w:color="auto"/>
          </w:divBdr>
        </w:div>
        <w:div w:id="1630091725">
          <w:marLeft w:val="0"/>
          <w:marRight w:val="0"/>
          <w:marTop w:val="0"/>
          <w:marBottom w:val="0"/>
          <w:divBdr>
            <w:top w:val="none" w:sz="0" w:space="0" w:color="auto"/>
            <w:left w:val="none" w:sz="0" w:space="0" w:color="auto"/>
            <w:bottom w:val="none" w:sz="0" w:space="0" w:color="auto"/>
            <w:right w:val="none" w:sz="0" w:space="0" w:color="auto"/>
          </w:divBdr>
        </w:div>
        <w:div w:id="1649440113">
          <w:marLeft w:val="0"/>
          <w:marRight w:val="0"/>
          <w:marTop w:val="0"/>
          <w:marBottom w:val="0"/>
          <w:divBdr>
            <w:top w:val="none" w:sz="0" w:space="0" w:color="auto"/>
            <w:left w:val="none" w:sz="0" w:space="0" w:color="auto"/>
            <w:bottom w:val="none" w:sz="0" w:space="0" w:color="auto"/>
            <w:right w:val="none" w:sz="0" w:space="0" w:color="auto"/>
          </w:divBdr>
        </w:div>
        <w:div w:id="1659118432">
          <w:marLeft w:val="0"/>
          <w:marRight w:val="0"/>
          <w:marTop w:val="0"/>
          <w:marBottom w:val="0"/>
          <w:divBdr>
            <w:top w:val="none" w:sz="0" w:space="0" w:color="auto"/>
            <w:left w:val="none" w:sz="0" w:space="0" w:color="auto"/>
            <w:bottom w:val="none" w:sz="0" w:space="0" w:color="auto"/>
            <w:right w:val="none" w:sz="0" w:space="0" w:color="auto"/>
          </w:divBdr>
        </w:div>
        <w:div w:id="1665429144">
          <w:marLeft w:val="0"/>
          <w:marRight w:val="0"/>
          <w:marTop w:val="0"/>
          <w:marBottom w:val="0"/>
          <w:divBdr>
            <w:top w:val="none" w:sz="0" w:space="0" w:color="auto"/>
            <w:left w:val="none" w:sz="0" w:space="0" w:color="auto"/>
            <w:bottom w:val="none" w:sz="0" w:space="0" w:color="auto"/>
            <w:right w:val="none" w:sz="0" w:space="0" w:color="auto"/>
          </w:divBdr>
        </w:div>
        <w:div w:id="1708874746">
          <w:marLeft w:val="0"/>
          <w:marRight w:val="0"/>
          <w:marTop w:val="0"/>
          <w:marBottom w:val="0"/>
          <w:divBdr>
            <w:top w:val="none" w:sz="0" w:space="0" w:color="auto"/>
            <w:left w:val="none" w:sz="0" w:space="0" w:color="auto"/>
            <w:bottom w:val="none" w:sz="0" w:space="0" w:color="auto"/>
            <w:right w:val="none" w:sz="0" w:space="0" w:color="auto"/>
          </w:divBdr>
        </w:div>
        <w:div w:id="1727141051">
          <w:marLeft w:val="0"/>
          <w:marRight w:val="0"/>
          <w:marTop w:val="0"/>
          <w:marBottom w:val="0"/>
          <w:divBdr>
            <w:top w:val="none" w:sz="0" w:space="0" w:color="auto"/>
            <w:left w:val="none" w:sz="0" w:space="0" w:color="auto"/>
            <w:bottom w:val="none" w:sz="0" w:space="0" w:color="auto"/>
            <w:right w:val="none" w:sz="0" w:space="0" w:color="auto"/>
          </w:divBdr>
        </w:div>
        <w:div w:id="1749811435">
          <w:marLeft w:val="0"/>
          <w:marRight w:val="0"/>
          <w:marTop w:val="0"/>
          <w:marBottom w:val="0"/>
          <w:divBdr>
            <w:top w:val="none" w:sz="0" w:space="0" w:color="auto"/>
            <w:left w:val="none" w:sz="0" w:space="0" w:color="auto"/>
            <w:bottom w:val="none" w:sz="0" w:space="0" w:color="auto"/>
            <w:right w:val="none" w:sz="0" w:space="0" w:color="auto"/>
          </w:divBdr>
        </w:div>
        <w:div w:id="1749842028">
          <w:marLeft w:val="0"/>
          <w:marRight w:val="0"/>
          <w:marTop w:val="0"/>
          <w:marBottom w:val="0"/>
          <w:divBdr>
            <w:top w:val="none" w:sz="0" w:space="0" w:color="auto"/>
            <w:left w:val="none" w:sz="0" w:space="0" w:color="auto"/>
            <w:bottom w:val="none" w:sz="0" w:space="0" w:color="auto"/>
            <w:right w:val="none" w:sz="0" w:space="0" w:color="auto"/>
          </w:divBdr>
        </w:div>
        <w:div w:id="1756171039">
          <w:marLeft w:val="0"/>
          <w:marRight w:val="0"/>
          <w:marTop w:val="0"/>
          <w:marBottom w:val="0"/>
          <w:divBdr>
            <w:top w:val="none" w:sz="0" w:space="0" w:color="auto"/>
            <w:left w:val="none" w:sz="0" w:space="0" w:color="auto"/>
            <w:bottom w:val="none" w:sz="0" w:space="0" w:color="auto"/>
            <w:right w:val="none" w:sz="0" w:space="0" w:color="auto"/>
          </w:divBdr>
        </w:div>
        <w:div w:id="1757047184">
          <w:marLeft w:val="0"/>
          <w:marRight w:val="0"/>
          <w:marTop w:val="0"/>
          <w:marBottom w:val="0"/>
          <w:divBdr>
            <w:top w:val="none" w:sz="0" w:space="0" w:color="auto"/>
            <w:left w:val="none" w:sz="0" w:space="0" w:color="auto"/>
            <w:bottom w:val="none" w:sz="0" w:space="0" w:color="auto"/>
            <w:right w:val="none" w:sz="0" w:space="0" w:color="auto"/>
          </w:divBdr>
        </w:div>
        <w:div w:id="1771923492">
          <w:marLeft w:val="0"/>
          <w:marRight w:val="0"/>
          <w:marTop w:val="0"/>
          <w:marBottom w:val="0"/>
          <w:divBdr>
            <w:top w:val="none" w:sz="0" w:space="0" w:color="auto"/>
            <w:left w:val="none" w:sz="0" w:space="0" w:color="auto"/>
            <w:bottom w:val="none" w:sz="0" w:space="0" w:color="auto"/>
            <w:right w:val="none" w:sz="0" w:space="0" w:color="auto"/>
          </w:divBdr>
        </w:div>
        <w:div w:id="1809321026">
          <w:marLeft w:val="0"/>
          <w:marRight w:val="0"/>
          <w:marTop w:val="0"/>
          <w:marBottom w:val="0"/>
          <w:divBdr>
            <w:top w:val="none" w:sz="0" w:space="0" w:color="auto"/>
            <w:left w:val="none" w:sz="0" w:space="0" w:color="auto"/>
            <w:bottom w:val="none" w:sz="0" w:space="0" w:color="auto"/>
            <w:right w:val="none" w:sz="0" w:space="0" w:color="auto"/>
          </w:divBdr>
        </w:div>
        <w:div w:id="1820610045">
          <w:marLeft w:val="0"/>
          <w:marRight w:val="0"/>
          <w:marTop w:val="0"/>
          <w:marBottom w:val="0"/>
          <w:divBdr>
            <w:top w:val="none" w:sz="0" w:space="0" w:color="auto"/>
            <w:left w:val="none" w:sz="0" w:space="0" w:color="auto"/>
            <w:bottom w:val="none" w:sz="0" w:space="0" w:color="auto"/>
            <w:right w:val="none" w:sz="0" w:space="0" w:color="auto"/>
          </w:divBdr>
        </w:div>
        <w:div w:id="1821116658">
          <w:marLeft w:val="0"/>
          <w:marRight w:val="0"/>
          <w:marTop w:val="0"/>
          <w:marBottom w:val="0"/>
          <w:divBdr>
            <w:top w:val="none" w:sz="0" w:space="0" w:color="auto"/>
            <w:left w:val="none" w:sz="0" w:space="0" w:color="auto"/>
            <w:bottom w:val="none" w:sz="0" w:space="0" w:color="auto"/>
            <w:right w:val="none" w:sz="0" w:space="0" w:color="auto"/>
          </w:divBdr>
        </w:div>
        <w:div w:id="1824277033">
          <w:marLeft w:val="0"/>
          <w:marRight w:val="0"/>
          <w:marTop w:val="0"/>
          <w:marBottom w:val="0"/>
          <w:divBdr>
            <w:top w:val="none" w:sz="0" w:space="0" w:color="auto"/>
            <w:left w:val="none" w:sz="0" w:space="0" w:color="auto"/>
            <w:bottom w:val="none" w:sz="0" w:space="0" w:color="auto"/>
            <w:right w:val="none" w:sz="0" w:space="0" w:color="auto"/>
          </w:divBdr>
        </w:div>
        <w:div w:id="1835948405">
          <w:marLeft w:val="0"/>
          <w:marRight w:val="0"/>
          <w:marTop w:val="0"/>
          <w:marBottom w:val="0"/>
          <w:divBdr>
            <w:top w:val="none" w:sz="0" w:space="0" w:color="auto"/>
            <w:left w:val="none" w:sz="0" w:space="0" w:color="auto"/>
            <w:bottom w:val="none" w:sz="0" w:space="0" w:color="auto"/>
            <w:right w:val="none" w:sz="0" w:space="0" w:color="auto"/>
          </w:divBdr>
        </w:div>
        <w:div w:id="1840849591">
          <w:marLeft w:val="0"/>
          <w:marRight w:val="0"/>
          <w:marTop w:val="0"/>
          <w:marBottom w:val="0"/>
          <w:divBdr>
            <w:top w:val="none" w:sz="0" w:space="0" w:color="auto"/>
            <w:left w:val="none" w:sz="0" w:space="0" w:color="auto"/>
            <w:bottom w:val="none" w:sz="0" w:space="0" w:color="auto"/>
            <w:right w:val="none" w:sz="0" w:space="0" w:color="auto"/>
          </w:divBdr>
        </w:div>
        <w:div w:id="1842767945">
          <w:marLeft w:val="0"/>
          <w:marRight w:val="0"/>
          <w:marTop w:val="0"/>
          <w:marBottom w:val="0"/>
          <w:divBdr>
            <w:top w:val="none" w:sz="0" w:space="0" w:color="auto"/>
            <w:left w:val="none" w:sz="0" w:space="0" w:color="auto"/>
            <w:bottom w:val="none" w:sz="0" w:space="0" w:color="auto"/>
            <w:right w:val="none" w:sz="0" w:space="0" w:color="auto"/>
          </w:divBdr>
        </w:div>
        <w:div w:id="1858152260">
          <w:marLeft w:val="0"/>
          <w:marRight w:val="0"/>
          <w:marTop w:val="0"/>
          <w:marBottom w:val="0"/>
          <w:divBdr>
            <w:top w:val="none" w:sz="0" w:space="0" w:color="auto"/>
            <w:left w:val="none" w:sz="0" w:space="0" w:color="auto"/>
            <w:bottom w:val="none" w:sz="0" w:space="0" w:color="auto"/>
            <w:right w:val="none" w:sz="0" w:space="0" w:color="auto"/>
          </w:divBdr>
        </w:div>
        <w:div w:id="1867785757">
          <w:marLeft w:val="0"/>
          <w:marRight w:val="0"/>
          <w:marTop w:val="0"/>
          <w:marBottom w:val="0"/>
          <w:divBdr>
            <w:top w:val="none" w:sz="0" w:space="0" w:color="auto"/>
            <w:left w:val="none" w:sz="0" w:space="0" w:color="auto"/>
            <w:bottom w:val="none" w:sz="0" w:space="0" w:color="auto"/>
            <w:right w:val="none" w:sz="0" w:space="0" w:color="auto"/>
          </w:divBdr>
        </w:div>
        <w:div w:id="1868177909">
          <w:marLeft w:val="0"/>
          <w:marRight w:val="0"/>
          <w:marTop w:val="0"/>
          <w:marBottom w:val="0"/>
          <w:divBdr>
            <w:top w:val="none" w:sz="0" w:space="0" w:color="auto"/>
            <w:left w:val="none" w:sz="0" w:space="0" w:color="auto"/>
            <w:bottom w:val="none" w:sz="0" w:space="0" w:color="auto"/>
            <w:right w:val="none" w:sz="0" w:space="0" w:color="auto"/>
          </w:divBdr>
        </w:div>
        <w:div w:id="1877308340">
          <w:marLeft w:val="0"/>
          <w:marRight w:val="0"/>
          <w:marTop w:val="0"/>
          <w:marBottom w:val="0"/>
          <w:divBdr>
            <w:top w:val="none" w:sz="0" w:space="0" w:color="auto"/>
            <w:left w:val="none" w:sz="0" w:space="0" w:color="auto"/>
            <w:bottom w:val="none" w:sz="0" w:space="0" w:color="auto"/>
            <w:right w:val="none" w:sz="0" w:space="0" w:color="auto"/>
          </w:divBdr>
        </w:div>
        <w:div w:id="1893611445">
          <w:marLeft w:val="0"/>
          <w:marRight w:val="0"/>
          <w:marTop w:val="0"/>
          <w:marBottom w:val="0"/>
          <w:divBdr>
            <w:top w:val="none" w:sz="0" w:space="0" w:color="auto"/>
            <w:left w:val="none" w:sz="0" w:space="0" w:color="auto"/>
            <w:bottom w:val="none" w:sz="0" w:space="0" w:color="auto"/>
            <w:right w:val="none" w:sz="0" w:space="0" w:color="auto"/>
          </w:divBdr>
        </w:div>
        <w:div w:id="1900745438">
          <w:marLeft w:val="0"/>
          <w:marRight w:val="0"/>
          <w:marTop w:val="0"/>
          <w:marBottom w:val="0"/>
          <w:divBdr>
            <w:top w:val="none" w:sz="0" w:space="0" w:color="auto"/>
            <w:left w:val="none" w:sz="0" w:space="0" w:color="auto"/>
            <w:bottom w:val="none" w:sz="0" w:space="0" w:color="auto"/>
            <w:right w:val="none" w:sz="0" w:space="0" w:color="auto"/>
          </w:divBdr>
        </w:div>
        <w:div w:id="1911111992">
          <w:marLeft w:val="0"/>
          <w:marRight w:val="0"/>
          <w:marTop w:val="0"/>
          <w:marBottom w:val="0"/>
          <w:divBdr>
            <w:top w:val="none" w:sz="0" w:space="0" w:color="auto"/>
            <w:left w:val="none" w:sz="0" w:space="0" w:color="auto"/>
            <w:bottom w:val="none" w:sz="0" w:space="0" w:color="auto"/>
            <w:right w:val="none" w:sz="0" w:space="0" w:color="auto"/>
          </w:divBdr>
        </w:div>
        <w:div w:id="1914967023">
          <w:marLeft w:val="0"/>
          <w:marRight w:val="0"/>
          <w:marTop w:val="0"/>
          <w:marBottom w:val="0"/>
          <w:divBdr>
            <w:top w:val="none" w:sz="0" w:space="0" w:color="auto"/>
            <w:left w:val="none" w:sz="0" w:space="0" w:color="auto"/>
            <w:bottom w:val="none" w:sz="0" w:space="0" w:color="auto"/>
            <w:right w:val="none" w:sz="0" w:space="0" w:color="auto"/>
          </w:divBdr>
        </w:div>
        <w:div w:id="1916011171">
          <w:marLeft w:val="0"/>
          <w:marRight w:val="0"/>
          <w:marTop w:val="0"/>
          <w:marBottom w:val="0"/>
          <w:divBdr>
            <w:top w:val="none" w:sz="0" w:space="0" w:color="auto"/>
            <w:left w:val="none" w:sz="0" w:space="0" w:color="auto"/>
            <w:bottom w:val="none" w:sz="0" w:space="0" w:color="auto"/>
            <w:right w:val="none" w:sz="0" w:space="0" w:color="auto"/>
          </w:divBdr>
        </w:div>
        <w:div w:id="1918703887">
          <w:marLeft w:val="0"/>
          <w:marRight w:val="0"/>
          <w:marTop w:val="0"/>
          <w:marBottom w:val="0"/>
          <w:divBdr>
            <w:top w:val="none" w:sz="0" w:space="0" w:color="auto"/>
            <w:left w:val="none" w:sz="0" w:space="0" w:color="auto"/>
            <w:bottom w:val="none" w:sz="0" w:space="0" w:color="auto"/>
            <w:right w:val="none" w:sz="0" w:space="0" w:color="auto"/>
          </w:divBdr>
        </w:div>
        <w:div w:id="1927305166">
          <w:marLeft w:val="0"/>
          <w:marRight w:val="0"/>
          <w:marTop w:val="0"/>
          <w:marBottom w:val="0"/>
          <w:divBdr>
            <w:top w:val="none" w:sz="0" w:space="0" w:color="auto"/>
            <w:left w:val="none" w:sz="0" w:space="0" w:color="auto"/>
            <w:bottom w:val="none" w:sz="0" w:space="0" w:color="auto"/>
            <w:right w:val="none" w:sz="0" w:space="0" w:color="auto"/>
          </w:divBdr>
        </w:div>
        <w:div w:id="1931111262">
          <w:marLeft w:val="0"/>
          <w:marRight w:val="0"/>
          <w:marTop w:val="0"/>
          <w:marBottom w:val="0"/>
          <w:divBdr>
            <w:top w:val="none" w:sz="0" w:space="0" w:color="auto"/>
            <w:left w:val="none" w:sz="0" w:space="0" w:color="auto"/>
            <w:bottom w:val="none" w:sz="0" w:space="0" w:color="auto"/>
            <w:right w:val="none" w:sz="0" w:space="0" w:color="auto"/>
          </w:divBdr>
        </w:div>
        <w:div w:id="1935283494">
          <w:marLeft w:val="0"/>
          <w:marRight w:val="0"/>
          <w:marTop w:val="0"/>
          <w:marBottom w:val="0"/>
          <w:divBdr>
            <w:top w:val="none" w:sz="0" w:space="0" w:color="auto"/>
            <w:left w:val="none" w:sz="0" w:space="0" w:color="auto"/>
            <w:bottom w:val="none" w:sz="0" w:space="0" w:color="auto"/>
            <w:right w:val="none" w:sz="0" w:space="0" w:color="auto"/>
          </w:divBdr>
        </w:div>
        <w:div w:id="1985350329">
          <w:marLeft w:val="0"/>
          <w:marRight w:val="0"/>
          <w:marTop w:val="0"/>
          <w:marBottom w:val="0"/>
          <w:divBdr>
            <w:top w:val="none" w:sz="0" w:space="0" w:color="auto"/>
            <w:left w:val="none" w:sz="0" w:space="0" w:color="auto"/>
            <w:bottom w:val="none" w:sz="0" w:space="0" w:color="auto"/>
            <w:right w:val="none" w:sz="0" w:space="0" w:color="auto"/>
          </w:divBdr>
        </w:div>
        <w:div w:id="1993677750">
          <w:marLeft w:val="0"/>
          <w:marRight w:val="0"/>
          <w:marTop w:val="0"/>
          <w:marBottom w:val="0"/>
          <w:divBdr>
            <w:top w:val="none" w:sz="0" w:space="0" w:color="auto"/>
            <w:left w:val="none" w:sz="0" w:space="0" w:color="auto"/>
            <w:bottom w:val="none" w:sz="0" w:space="0" w:color="auto"/>
            <w:right w:val="none" w:sz="0" w:space="0" w:color="auto"/>
          </w:divBdr>
        </w:div>
        <w:div w:id="2002193032">
          <w:marLeft w:val="0"/>
          <w:marRight w:val="0"/>
          <w:marTop w:val="0"/>
          <w:marBottom w:val="0"/>
          <w:divBdr>
            <w:top w:val="none" w:sz="0" w:space="0" w:color="auto"/>
            <w:left w:val="none" w:sz="0" w:space="0" w:color="auto"/>
            <w:bottom w:val="none" w:sz="0" w:space="0" w:color="auto"/>
            <w:right w:val="none" w:sz="0" w:space="0" w:color="auto"/>
          </w:divBdr>
        </w:div>
        <w:div w:id="2017994497">
          <w:marLeft w:val="0"/>
          <w:marRight w:val="0"/>
          <w:marTop w:val="0"/>
          <w:marBottom w:val="0"/>
          <w:divBdr>
            <w:top w:val="none" w:sz="0" w:space="0" w:color="auto"/>
            <w:left w:val="none" w:sz="0" w:space="0" w:color="auto"/>
            <w:bottom w:val="none" w:sz="0" w:space="0" w:color="auto"/>
            <w:right w:val="none" w:sz="0" w:space="0" w:color="auto"/>
          </w:divBdr>
        </w:div>
      </w:divsChild>
    </w:div>
    <w:div w:id="469977514">
      <w:bodyDiv w:val="1"/>
      <w:marLeft w:val="0"/>
      <w:marRight w:val="0"/>
      <w:marTop w:val="0"/>
      <w:marBottom w:val="0"/>
      <w:divBdr>
        <w:top w:val="none" w:sz="0" w:space="0" w:color="auto"/>
        <w:left w:val="none" w:sz="0" w:space="0" w:color="auto"/>
        <w:bottom w:val="none" w:sz="0" w:space="0" w:color="auto"/>
        <w:right w:val="none" w:sz="0" w:space="0" w:color="auto"/>
      </w:divBdr>
    </w:div>
    <w:div w:id="469984209">
      <w:bodyDiv w:val="1"/>
      <w:marLeft w:val="0"/>
      <w:marRight w:val="0"/>
      <w:marTop w:val="0"/>
      <w:marBottom w:val="0"/>
      <w:divBdr>
        <w:top w:val="none" w:sz="0" w:space="0" w:color="auto"/>
        <w:left w:val="none" w:sz="0" w:space="0" w:color="auto"/>
        <w:bottom w:val="none" w:sz="0" w:space="0" w:color="auto"/>
        <w:right w:val="none" w:sz="0" w:space="0" w:color="auto"/>
      </w:divBdr>
    </w:div>
    <w:div w:id="470025482">
      <w:bodyDiv w:val="1"/>
      <w:marLeft w:val="0"/>
      <w:marRight w:val="0"/>
      <w:marTop w:val="0"/>
      <w:marBottom w:val="0"/>
      <w:divBdr>
        <w:top w:val="none" w:sz="0" w:space="0" w:color="auto"/>
        <w:left w:val="none" w:sz="0" w:space="0" w:color="auto"/>
        <w:bottom w:val="none" w:sz="0" w:space="0" w:color="auto"/>
        <w:right w:val="none" w:sz="0" w:space="0" w:color="auto"/>
      </w:divBdr>
    </w:div>
    <w:div w:id="470101707">
      <w:bodyDiv w:val="1"/>
      <w:marLeft w:val="0"/>
      <w:marRight w:val="0"/>
      <w:marTop w:val="0"/>
      <w:marBottom w:val="0"/>
      <w:divBdr>
        <w:top w:val="none" w:sz="0" w:space="0" w:color="auto"/>
        <w:left w:val="none" w:sz="0" w:space="0" w:color="auto"/>
        <w:bottom w:val="none" w:sz="0" w:space="0" w:color="auto"/>
        <w:right w:val="none" w:sz="0" w:space="0" w:color="auto"/>
      </w:divBdr>
    </w:div>
    <w:div w:id="470251045">
      <w:bodyDiv w:val="1"/>
      <w:marLeft w:val="0"/>
      <w:marRight w:val="0"/>
      <w:marTop w:val="0"/>
      <w:marBottom w:val="0"/>
      <w:divBdr>
        <w:top w:val="none" w:sz="0" w:space="0" w:color="auto"/>
        <w:left w:val="none" w:sz="0" w:space="0" w:color="auto"/>
        <w:bottom w:val="none" w:sz="0" w:space="0" w:color="auto"/>
        <w:right w:val="none" w:sz="0" w:space="0" w:color="auto"/>
      </w:divBdr>
    </w:div>
    <w:div w:id="470286941">
      <w:bodyDiv w:val="1"/>
      <w:marLeft w:val="0"/>
      <w:marRight w:val="0"/>
      <w:marTop w:val="0"/>
      <w:marBottom w:val="0"/>
      <w:divBdr>
        <w:top w:val="none" w:sz="0" w:space="0" w:color="auto"/>
        <w:left w:val="none" w:sz="0" w:space="0" w:color="auto"/>
        <w:bottom w:val="none" w:sz="0" w:space="0" w:color="auto"/>
        <w:right w:val="none" w:sz="0" w:space="0" w:color="auto"/>
      </w:divBdr>
    </w:div>
    <w:div w:id="470288913">
      <w:bodyDiv w:val="1"/>
      <w:marLeft w:val="0"/>
      <w:marRight w:val="0"/>
      <w:marTop w:val="0"/>
      <w:marBottom w:val="0"/>
      <w:divBdr>
        <w:top w:val="none" w:sz="0" w:space="0" w:color="auto"/>
        <w:left w:val="none" w:sz="0" w:space="0" w:color="auto"/>
        <w:bottom w:val="none" w:sz="0" w:space="0" w:color="auto"/>
        <w:right w:val="none" w:sz="0" w:space="0" w:color="auto"/>
      </w:divBdr>
    </w:div>
    <w:div w:id="470291015">
      <w:bodyDiv w:val="1"/>
      <w:marLeft w:val="0"/>
      <w:marRight w:val="0"/>
      <w:marTop w:val="0"/>
      <w:marBottom w:val="0"/>
      <w:divBdr>
        <w:top w:val="none" w:sz="0" w:space="0" w:color="auto"/>
        <w:left w:val="none" w:sz="0" w:space="0" w:color="auto"/>
        <w:bottom w:val="none" w:sz="0" w:space="0" w:color="auto"/>
        <w:right w:val="none" w:sz="0" w:space="0" w:color="auto"/>
      </w:divBdr>
    </w:div>
    <w:div w:id="470294152">
      <w:bodyDiv w:val="1"/>
      <w:marLeft w:val="0"/>
      <w:marRight w:val="0"/>
      <w:marTop w:val="0"/>
      <w:marBottom w:val="0"/>
      <w:divBdr>
        <w:top w:val="none" w:sz="0" w:space="0" w:color="auto"/>
        <w:left w:val="none" w:sz="0" w:space="0" w:color="auto"/>
        <w:bottom w:val="none" w:sz="0" w:space="0" w:color="auto"/>
        <w:right w:val="none" w:sz="0" w:space="0" w:color="auto"/>
      </w:divBdr>
    </w:div>
    <w:div w:id="470296133">
      <w:bodyDiv w:val="1"/>
      <w:marLeft w:val="0"/>
      <w:marRight w:val="0"/>
      <w:marTop w:val="0"/>
      <w:marBottom w:val="0"/>
      <w:divBdr>
        <w:top w:val="none" w:sz="0" w:space="0" w:color="auto"/>
        <w:left w:val="none" w:sz="0" w:space="0" w:color="auto"/>
        <w:bottom w:val="none" w:sz="0" w:space="0" w:color="auto"/>
        <w:right w:val="none" w:sz="0" w:space="0" w:color="auto"/>
      </w:divBdr>
    </w:div>
    <w:div w:id="470679834">
      <w:bodyDiv w:val="1"/>
      <w:marLeft w:val="0"/>
      <w:marRight w:val="0"/>
      <w:marTop w:val="0"/>
      <w:marBottom w:val="0"/>
      <w:divBdr>
        <w:top w:val="none" w:sz="0" w:space="0" w:color="auto"/>
        <w:left w:val="none" w:sz="0" w:space="0" w:color="auto"/>
        <w:bottom w:val="none" w:sz="0" w:space="0" w:color="auto"/>
        <w:right w:val="none" w:sz="0" w:space="0" w:color="auto"/>
      </w:divBdr>
    </w:div>
    <w:div w:id="470706436">
      <w:bodyDiv w:val="1"/>
      <w:marLeft w:val="0"/>
      <w:marRight w:val="0"/>
      <w:marTop w:val="0"/>
      <w:marBottom w:val="0"/>
      <w:divBdr>
        <w:top w:val="none" w:sz="0" w:space="0" w:color="auto"/>
        <w:left w:val="none" w:sz="0" w:space="0" w:color="auto"/>
        <w:bottom w:val="none" w:sz="0" w:space="0" w:color="auto"/>
        <w:right w:val="none" w:sz="0" w:space="0" w:color="auto"/>
      </w:divBdr>
    </w:div>
    <w:div w:id="470707808">
      <w:bodyDiv w:val="1"/>
      <w:marLeft w:val="0"/>
      <w:marRight w:val="0"/>
      <w:marTop w:val="0"/>
      <w:marBottom w:val="0"/>
      <w:divBdr>
        <w:top w:val="none" w:sz="0" w:space="0" w:color="auto"/>
        <w:left w:val="none" w:sz="0" w:space="0" w:color="auto"/>
        <w:bottom w:val="none" w:sz="0" w:space="0" w:color="auto"/>
        <w:right w:val="none" w:sz="0" w:space="0" w:color="auto"/>
      </w:divBdr>
    </w:div>
    <w:div w:id="470711678">
      <w:bodyDiv w:val="1"/>
      <w:marLeft w:val="0"/>
      <w:marRight w:val="0"/>
      <w:marTop w:val="0"/>
      <w:marBottom w:val="0"/>
      <w:divBdr>
        <w:top w:val="none" w:sz="0" w:space="0" w:color="auto"/>
        <w:left w:val="none" w:sz="0" w:space="0" w:color="auto"/>
        <w:bottom w:val="none" w:sz="0" w:space="0" w:color="auto"/>
        <w:right w:val="none" w:sz="0" w:space="0" w:color="auto"/>
      </w:divBdr>
    </w:div>
    <w:div w:id="470876303">
      <w:bodyDiv w:val="1"/>
      <w:marLeft w:val="0"/>
      <w:marRight w:val="0"/>
      <w:marTop w:val="0"/>
      <w:marBottom w:val="0"/>
      <w:divBdr>
        <w:top w:val="none" w:sz="0" w:space="0" w:color="auto"/>
        <w:left w:val="none" w:sz="0" w:space="0" w:color="auto"/>
        <w:bottom w:val="none" w:sz="0" w:space="0" w:color="auto"/>
        <w:right w:val="none" w:sz="0" w:space="0" w:color="auto"/>
      </w:divBdr>
    </w:div>
    <w:div w:id="470948887">
      <w:bodyDiv w:val="1"/>
      <w:marLeft w:val="0"/>
      <w:marRight w:val="0"/>
      <w:marTop w:val="0"/>
      <w:marBottom w:val="0"/>
      <w:divBdr>
        <w:top w:val="none" w:sz="0" w:space="0" w:color="auto"/>
        <w:left w:val="none" w:sz="0" w:space="0" w:color="auto"/>
        <w:bottom w:val="none" w:sz="0" w:space="0" w:color="auto"/>
        <w:right w:val="none" w:sz="0" w:space="0" w:color="auto"/>
      </w:divBdr>
    </w:div>
    <w:div w:id="471027242">
      <w:bodyDiv w:val="1"/>
      <w:marLeft w:val="0"/>
      <w:marRight w:val="0"/>
      <w:marTop w:val="0"/>
      <w:marBottom w:val="0"/>
      <w:divBdr>
        <w:top w:val="none" w:sz="0" w:space="0" w:color="auto"/>
        <w:left w:val="none" w:sz="0" w:space="0" w:color="auto"/>
        <w:bottom w:val="none" w:sz="0" w:space="0" w:color="auto"/>
        <w:right w:val="none" w:sz="0" w:space="0" w:color="auto"/>
      </w:divBdr>
    </w:div>
    <w:div w:id="471098410">
      <w:bodyDiv w:val="1"/>
      <w:marLeft w:val="0"/>
      <w:marRight w:val="0"/>
      <w:marTop w:val="0"/>
      <w:marBottom w:val="0"/>
      <w:divBdr>
        <w:top w:val="none" w:sz="0" w:space="0" w:color="auto"/>
        <w:left w:val="none" w:sz="0" w:space="0" w:color="auto"/>
        <w:bottom w:val="none" w:sz="0" w:space="0" w:color="auto"/>
        <w:right w:val="none" w:sz="0" w:space="0" w:color="auto"/>
      </w:divBdr>
    </w:div>
    <w:div w:id="471101537">
      <w:bodyDiv w:val="1"/>
      <w:marLeft w:val="0"/>
      <w:marRight w:val="0"/>
      <w:marTop w:val="0"/>
      <w:marBottom w:val="0"/>
      <w:divBdr>
        <w:top w:val="none" w:sz="0" w:space="0" w:color="auto"/>
        <w:left w:val="none" w:sz="0" w:space="0" w:color="auto"/>
        <w:bottom w:val="none" w:sz="0" w:space="0" w:color="auto"/>
        <w:right w:val="none" w:sz="0" w:space="0" w:color="auto"/>
      </w:divBdr>
    </w:div>
    <w:div w:id="471219455">
      <w:bodyDiv w:val="1"/>
      <w:marLeft w:val="0"/>
      <w:marRight w:val="0"/>
      <w:marTop w:val="0"/>
      <w:marBottom w:val="0"/>
      <w:divBdr>
        <w:top w:val="none" w:sz="0" w:space="0" w:color="auto"/>
        <w:left w:val="none" w:sz="0" w:space="0" w:color="auto"/>
        <w:bottom w:val="none" w:sz="0" w:space="0" w:color="auto"/>
        <w:right w:val="none" w:sz="0" w:space="0" w:color="auto"/>
      </w:divBdr>
    </w:div>
    <w:div w:id="471292840">
      <w:bodyDiv w:val="1"/>
      <w:marLeft w:val="0"/>
      <w:marRight w:val="0"/>
      <w:marTop w:val="0"/>
      <w:marBottom w:val="0"/>
      <w:divBdr>
        <w:top w:val="none" w:sz="0" w:space="0" w:color="auto"/>
        <w:left w:val="none" w:sz="0" w:space="0" w:color="auto"/>
        <w:bottom w:val="none" w:sz="0" w:space="0" w:color="auto"/>
        <w:right w:val="none" w:sz="0" w:space="0" w:color="auto"/>
      </w:divBdr>
    </w:div>
    <w:div w:id="471481379">
      <w:bodyDiv w:val="1"/>
      <w:marLeft w:val="0"/>
      <w:marRight w:val="0"/>
      <w:marTop w:val="0"/>
      <w:marBottom w:val="0"/>
      <w:divBdr>
        <w:top w:val="none" w:sz="0" w:space="0" w:color="auto"/>
        <w:left w:val="none" w:sz="0" w:space="0" w:color="auto"/>
        <w:bottom w:val="none" w:sz="0" w:space="0" w:color="auto"/>
        <w:right w:val="none" w:sz="0" w:space="0" w:color="auto"/>
      </w:divBdr>
    </w:div>
    <w:div w:id="471484398">
      <w:bodyDiv w:val="1"/>
      <w:marLeft w:val="0"/>
      <w:marRight w:val="0"/>
      <w:marTop w:val="0"/>
      <w:marBottom w:val="0"/>
      <w:divBdr>
        <w:top w:val="none" w:sz="0" w:space="0" w:color="auto"/>
        <w:left w:val="none" w:sz="0" w:space="0" w:color="auto"/>
        <w:bottom w:val="none" w:sz="0" w:space="0" w:color="auto"/>
        <w:right w:val="none" w:sz="0" w:space="0" w:color="auto"/>
      </w:divBdr>
    </w:div>
    <w:div w:id="471557184">
      <w:bodyDiv w:val="1"/>
      <w:marLeft w:val="0"/>
      <w:marRight w:val="0"/>
      <w:marTop w:val="0"/>
      <w:marBottom w:val="0"/>
      <w:divBdr>
        <w:top w:val="none" w:sz="0" w:space="0" w:color="auto"/>
        <w:left w:val="none" w:sz="0" w:space="0" w:color="auto"/>
        <w:bottom w:val="none" w:sz="0" w:space="0" w:color="auto"/>
        <w:right w:val="none" w:sz="0" w:space="0" w:color="auto"/>
      </w:divBdr>
    </w:div>
    <w:div w:id="471558443">
      <w:bodyDiv w:val="1"/>
      <w:marLeft w:val="0"/>
      <w:marRight w:val="0"/>
      <w:marTop w:val="0"/>
      <w:marBottom w:val="0"/>
      <w:divBdr>
        <w:top w:val="none" w:sz="0" w:space="0" w:color="auto"/>
        <w:left w:val="none" w:sz="0" w:space="0" w:color="auto"/>
        <w:bottom w:val="none" w:sz="0" w:space="0" w:color="auto"/>
        <w:right w:val="none" w:sz="0" w:space="0" w:color="auto"/>
      </w:divBdr>
    </w:div>
    <w:div w:id="471560969">
      <w:bodyDiv w:val="1"/>
      <w:marLeft w:val="0"/>
      <w:marRight w:val="0"/>
      <w:marTop w:val="0"/>
      <w:marBottom w:val="0"/>
      <w:divBdr>
        <w:top w:val="none" w:sz="0" w:space="0" w:color="auto"/>
        <w:left w:val="none" w:sz="0" w:space="0" w:color="auto"/>
        <w:bottom w:val="none" w:sz="0" w:space="0" w:color="auto"/>
        <w:right w:val="none" w:sz="0" w:space="0" w:color="auto"/>
      </w:divBdr>
    </w:div>
    <w:div w:id="471598589">
      <w:bodyDiv w:val="1"/>
      <w:marLeft w:val="0"/>
      <w:marRight w:val="0"/>
      <w:marTop w:val="0"/>
      <w:marBottom w:val="0"/>
      <w:divBdr>
        <w:top w:val="none" w:sz="0" w:space="0" w:color="auto"/>
        <w:left w:val="none" w:sz="0" w:space="0" w:color="auto"/>
        <w:bottom w:val="none" w:sz="0" w:space="0" w:color="auto"/>
        <w:right w:val="none" w:sz="0" w:space="0" w:color="auto"/>
      </w:divBdr>
    </w:div>
    <w:div w:id="471598716">
      <w:bodyDiv w:val="1"/>
      <w:marLeft w:val="0"/>
      <w:marRight w:val="0"/>
      <w:marTop w:val="0"/>
      <w:marBottom w:val="0"/>
      <w:divBdr>
        <w:top w:val="none" w:sz="0" w:space="0" w:color="auto"/>
        <w:left w:val="none" w:sz="0" w:space="0" w:color="auto"/>
        <w:bottom w:val="none" w:sz="0" w:space="0" w:color="auto"/>
        <w:right w:val="none" w:sz="0" w:space="0" w:color="auto"/>
      </w:divBdr>
    </w:div>
    <w:div w:id="471795528">
      <w:bodyDiv w:val="1"/>
      <w:marLeft w:val="0"/>
      <w:marRight w:val="0"/>
      <w:marTop w:val="0"/>
      <w:marBottom w:val="0"/>
      <w:divBdr>
        <w:top w:val="none" w:sz="0" w:space="0" w:color="auto"/>
        <w:left w:val="none" w:sz="0" w:space="0" w:color="auto"/>
        <w:bottom w:val="none" w:sz="0" w:space="0" w:color="auto"/>
        <w:right w:val="none" w:sz="0" w:space="0" w:color="auto"/>
      </w:divBdr>
    </w:div>
    <w:div w:id="471823952">
      <w:bodyDiv w:val="1"/>
      <w:marLeft w:val="0"/>
      <w:marRight w:val="0"/>
      <w:marTop w:val="0"/>
      <w:marBottom w:val="0"/>
      <w:divBdr>
        <w:top w:val="none" w:sz="0" w:space="0" w:color="auto"/>
        <w:left w:val="none" w:sz="0" w:space="0" w:color="auto"/>
        <w:bottom w:val="none" w:sz="0" w:space="0" w:color="auto"/>
        <w:right w:val="none" w:sz="0" w:space="0" w:color="auto"/>
      </w:divBdr>
    </w:div>
    <w:div w:id="471826242">
      <w:bodyDiv w:val="1"/>
      <w:marLeft w:val="0"/>
      <w:marRight w:val="0"/>
      <w:marTop w:val="0"/>
      <w:marBottom w:val="0"/>
      <w:divBdr>
        <w:top w:val="none" w:sz="0" w:space="0" w:color="auto"/>
        <w:left w:val="none" w:sz="0" w:space="0" w:color="auto"/>
        <w:bottom w:val="none" w:sz="0" w:space="0" w:color="auto"/>
        <w:right w:val="none" w:sz="0" w:space="0" w:color="auto"/>
      </w:divBdr>
    </w:div>
    <w:div w:id="471944279">
      <w:bodyDiv w:val="1"/>
      <w:marLeft w:val="0"/>
      <w:marRight w:val="0"/>
      <w:marTop w:val="0"/>
      <w:marBottom w:val="0"/>
      <w:divBdr>
        <w:top w:val="none" w:sz="0" w:space="0" w:color="auto"/>
        <w:left w:val="none" w:sz="0" w:space="0" w:color="auto"/>
        <w:bottom w:val="none" w:sz="0" w:space="0" w:color="auto"/>
        <w:right w:val="none" w:sz="0" w:space="0" w:color="auto"/>
      </w:divBdr>
    </w:div>
    <w:div w:id="471945258">
      <w:bodyDiv w:val="1"/>
      <w:marLeft w:val="0"/>
      <w:marRight w:val="0"/>
      <w:marTop w:val="0"/>
      <w:marBottom w:val="0"/>
      <w:divBdr>
        <w:top w:val="none" w:sz="0" w:space="0" w:color="auto"/>
        <w:left w:val="none" w:sz="0" w:space="0" w:color="auto"/>
        <w:bottom w:val="none" w:sz="0" w:space="0" w:color="auto"/>
        <w:right w:val="none" w:sz="0" w:space="0" w:color="auto"/>
      </w:divBdr>
    </w:div>
    <w:div w:id="471991451">
      <w:bodyDiv w:val="1"/>
      <w:marLeft w:val="0"/>
      <w:marRight w:val="0"/>
      <w:marTop w:val="0"/>
      <w:marBottom w:val="0"/>
      <w:divBdr>
        <w:top w:val="none" w:sz="0" w:space="0" w:color="auto"/>
        <w:left w:val="none" w:sz="0" w:space="0" w:color="auto"/>
        <w:bottom w:val="none" w:sz="0" w:space="0" w:color="auto"/>
        <w:right w:val="none" w:sz="0" w:space="0" w:color="auto"/>
      </w:divBdr>
    </w:div>
    <w:div w:id="472061491">
      <w:bodyDiv w:val="1"/>
      <w:marLeft w:val="0"/>
      <w:marRight w:val="0"/>
      <w:marTop w:val="0"/>
      <w:marBottom w:val="0"/>
      <w:divBdr>
        <w:top w:val="none" w:sz="0" w:space="0" w:color="auto"/>
        <w:left w:val="none" w:sz="0" w:space="0" w:color="auto"/>
        <w:bottom w:val="none" w:sz="0" w:space="0" w:color="auto"/>
        <w:right w:val="none" w:sz="0" w:space="0" w:color="auto"/>
      </w:divBdr>
    </w:div>
    <w:div w:id="472062767">
      <w:bodyDiv w:val="1"/>
      <w:marLeft w:val="0"/>
      <w:marRight w:val="0"/>
      <w:marTop w:val="0"/>
      <w:marBottom w:val="0"/>
      <w:divBdr>
        <w:top w:val="none" w:sz="0" w:space="0" w:color="auto"/>
        <w:left w:val="none" w:sz="0" w:space="0" w:color="auto"/>
        <w:bottom w:val="none" w:sz="0" w:space="0" w:color="auto"/>
        <w:right w:val="none" w:sz="0" w:space="0" w:color="auto"/>
      </w:divBdr>
    </w:div>
    <w:div w:id="472062906">
      <w:bodyDiv w:val="1"/>
      <w:marLeft w:val="0"/>
      <w:marRight w:val="0"/>
      <w:marTop w:val="0"/>
      <w:marBottom w:val="0"/>
      <w:divBdr>
        <w:top w:val="none" w:sz="0" w:space="0" w:color="auto"/>
        <w:left w:val="none" w:sz="0" w:space="0" w:color="auto"/>
        <w:bottom w:val="none" w:sz="0" w:space="0" w:color="auto"/>
        <w:right w:val="none" w:sz="0" w:space="0" w:color="auto"/>
      </w:divBdr>
    </w:div>
    <w:div w:id="472136749">
      <w:bodyDiv w:val="1"/>
      <w:marLeft w:val="0"/>
      <w:marRight w:val="0"/>
      <w:marTop w:val="0"/>
      <w:marBottom w:val="0"/>
      <w:divBdr>
        <w:top w:val="none" w:sz="0" w:space="0" w:color="auto"/>
        <w:left w:val="none" w:sz="0" w:space="0" w:color="auto"/>
        <w:bottom w:val="none" w:sz="0" w:space="0" w:color="auto"/>
        <w:right w:val="none" w:sz="0" w:space="0" w:color="auto"/>
      </w:divBdr>
    </w:div>
    <w:div w:id="472144114">
      <w:bodyDiv w:val="1"/>
      <w:marLeft w:val="0"/>
      <w:marRight w:val="0"/>
      <w:marTop w:val="0"/>
      <w:marBottom w:val="0"/>
      <w:divBdr>
        <w:top w:val="none" w:sz="0" w:space="0" w:color="auto"/>
        <w:left w:val="none" w:sz="0" w:space="0" w:color="auto"/>
        <w:bottom w:val="none" w:sz="0" w:space="0" w:color="auto"/>
        <w:right w:val="none" w:sz="0" w:space="0" w:color="auto"/>
      </w:divBdr>
    </w:div>
    <w:div w:id="472211150">
      <w:bodyDiv w:val="1"/>
      <w:marLeft w:val="0"/>
      <w:marRight w:val="0"/>
      <w:marTop w:val="0"/>
      <w:marBottom w:val="0"/>
      <w:divBdr>
        <w:top w:val="none" w:sz="0" w:space="0" w:color="auto"/>
        <w:left w:val="none" w:sz="0" w:space="0" w:color="auto"/>
        <w:bottom w:val="none" w:sz="0" w:space="0" w:color="auto"/>
        <w:right w:val="none" w:sz="0" w:space="0" w:color="auto"/>
      </w:divBdr>
    </w:div>
    <w:div w:id="472214898">
      <w:bodyDiv w:val="1"/>
      <w:marLeft w:val="0"/>
      <w:marRight w:val="0"/>
      <w:marTop w:val="0"/>
      <w:marBottom w:val="0"/>
      <w:divBdr>
        <w:top w:val="none" w:sz="0" w:space="0" w:color="auto"/>
        <w:left w:val="none" w:sz="0" w:space="0" w:color="auto"/>
        <w:bottom w:val="none" w:sz="0" w:space="0" w:color="auto"/>
        <w:right w:val="none" w:sz="0" w:space="0" w:color="auto"/>
      </w:divBdr>
    </w:div>
    <w:div w:id="472328443">
      <w:bodyDiv w:val="1"/>
      <w:marLeft w:val="0"/>
      <w:marRight w:val="0"/>
      <w:marTop w:val="0"/>
      <w:marBottom w:val="0"/>
      <w:divBdr>
        <w:top w:val="none" w:sz="0" w:space="0" w:color="auto"/>
        <w:left w:val="none" w:sz="0" w:space="0" w:color="auto"/>
        <w:bottom w:val="none" w:sz="0" w:space="0" w:color="auto"/>
        <w:right w:val="none" w:sz="0" w:space="0" w:color="auto"/>
      </w:divBdr>
    </w:div>
    <w:div w:id="472328732">
      <w:bodyDiv w:val="1"/>
      <w:marLeft w:val="0"/>
      <w:marRight w:val="0"/>
      <w:marTop w:val="0"/>
      <w:marBottom w:val="0"/>
      <w:divBdr>
        <w:top w:val="none" w:sz="0" w:space="0" w:color="auto"/>
        <w:left w:val="none" w:sz="0" w:space="0" w:color="auto"/>
        <w:bottom w:val="none" w:sz="0" w:space="0" w:color="auto"/>
        <w:right w:val="none" w:sz="0" w:space="0" w:color="auto"/>
      </w:divBdr>
    </w:div>
    <w:div w:id="472333034">
      <w:bodyDiv w:val="1"/>
      <w:marLeft w:val="0"/>
      <w:marRight w:val="0"/>
      <w:marTop w:val="0"/>
      <w:marBottom w:val="0"/>
      <w:divBdr>
        <w:top w:val="none" w:sz="0" w:space="0" w:color="auto"/>
        <w:left w:val="none" w:sz="0" w:space="0" w:color="auto"/>
        <w:bottom w:val="none" w:sz="0" w:space="0" w:color="auto"/>
        <w:right w:val="none" w:sz="0" w:space="0" w:color="auto"/>
      </w:divBdr>
    </w:div>
    <w:div w:id="472335403">
      <w:bodyDiv w:val="1"/>
      <w:marLeft w:val="0"/>
      <w:marRight w:val="0"/>
      <w:marTop w:val="0"/>
      <w:marBottom w:val="0"/>
      <w:divBdr>
        <w:top w:val="none" w:sz="0" w:space="0" w:color="auto"/>
        <w:left w:val="none" w:sz="0" w:space="0" w:color="auto"/>
        <w:bottom w:val="none" w:sz="0" w:space="0" w:color="auto"/>
        <w:right w:val="none" w:sz="0" w:space="0" w:color="auto"/>
      </w:divBdr>
    </w:div>
    <w:div w:id="472335499">
      <w:bodyDiv w:val="1"/>
      <w:marLeft w:val="0"/>
      <w:marRight w:val="0"/>
      <w:marTop w:val="0"/>
      <w:marBottom w:val="0"/>
      <w:divBdr>
        <w:top w:val="none" w:sz="0" w:space="0" w:color="auto"/>
        <w:left w:val="none" w:sz="0" w:space="0" w:color="auto"/>
        <w:bottom w:val="none" w:sz="0" w:space="0" w:color="auto"/>
        <w:right w:val="none" w:sz="0" w:space="0" w:color="auto"/>
      </w:divBdr>
    </w:div>
    <w:div w:id="472404475">
      <w:bodyDiv w:val="1"/>
      <w:marLeft w:val="0"/>
      <w:marRight w:val="0"/>
      <w:marTop w:val="0"/>
      <w:marBottom w:val="0"/>
      <w:divBdr>
        <w:top w:val="none" w:sz="0" w:space="0" w:color="auto"/>
        <w:left w:val="none" w:sz="0" w:space="0" w:color="auto"/>
        <w:bottom w:val="none" w:sz="0" w:space="0" w:color="auto"/>
        <w:right w:val="none" w:sz="0" w:space="0" w:color="auto"/>
      </w:divBdr>
    </w:div>
    <w:div w:id="472404731">
      <w:bodyDiv w:val="1"/>
      <w:marLeft w:val="0"/>
      <w:marRight w:val="0"/>
      <w:marTop w:val="0"/>
      <w:marBottom w:val="0"/>
      <w:divBdr>
        <w:top w:val="none" w:sz="0" w:space="0" w:color="auto"/>
        <w:left w:val="none" w:sz="0" w:space="0" w:color="auto"/>
        <w:bottom w:val="none" w:sz="0" w:space="0" w:color="auto"/>
        <w:right w:val="none" w:sz="0" w:space="0" w:color="auto"/>
      </w:divBdr>
    </w:div>
    <w:div w:id="472523311">
      <w:bodyDiv w:val="1"/>
      <w:marLeft w:val="0"/>
      <w:marRight w:val="0"/>
      <w:marTop w:val="0"/>
      <w:marBottom w:val="0"/>
      <w:divBdr>
        <w:top w:val="none" w:sz="0" w:space="0" w:color="auto"/>
        <w:left w:val="none" w:sz="0" w:space="0" w:color="auto"/>
        <w:bottom w:val="none" w:sz="0" w:space="0" w:color="auto"/>
        <w:right w:val="none" w:sz="0" w:space="0" w:color="auto"/>
      </w:divBdr>
    </w:div>
    <w:div w:id="472531017">
      <w:bodyDiv w:val="1"/>
      <w:marLeft w:val="0"/>
      <w:marRight w:val="0"/>
      <w:marTop w:val="0"/>
      <w:marBottom w:val="0"/>
      <w:divBdr>
        <w:top w:val="none" w:sz="0" w:space="0" w:color="auto"/>
        <w:left w:val="none" w:sz="0" w:space="0" w:color="auto"/>
        <w:bottom w:val="none" w:sz="0" w:space="0" w:color="auto"/>
        <w:right w:val="none" w:sz="0" w:space="0" w:color="auto"/>
      </w:divBdr>
    </w:div>
    <w:div w:id="472601232">
      <w:bodyDiv w:val="1"/>
      <w:marLeft w:val="0"/>
      <w:marRight w:val="0"/>
      <w:marTop w:val="0"/>
      <w:marBottom w:val="0"/>
      <w:divBdr>
        <w:top w:val="none" w:sz="0" w:space="0" w:color="auto"/>
        <w:left w:val="none" w:sz="0" w:space="0" w:color="auto"/>
        <w:bottom w:val="none" w:sz="0" w:space="0" w:color="auto"/>
        <w:right w:val="none" w:sz="0" w:space="0" w:color="auto"/>
      </w:divBdr>
    </w:div>
    <w:div w:id="472719025">
      <w:bodyDiv w:val="1"/>
      <w:marLeft w:val="0"/>
      <w:marRight w:val="0"/>
      <w:marTop w:val="0"/>
      <w:marBottom w:val="0"/>
      <w:divBdr>
        <w:top w:val="none" w:sz="0" w:space="0" w:color="auto"/>
        <w:left w:val="none" w:sz="0" w:space="0" w:color="auto"/>
        <w:bottom w:val="none" w:sz="0" w:space="0" w:color="auto"/>
        <w:right w:val="none" w:sz="0" w:space="0" w:color="auto"/>
      </w:divBdr>
    </w:div>
    <w:div w:id="472724174">
      <w:bodyDiv w:val="1"/>
      <w:marLeft w:val="0"/>
      <w:marRight w:val="0"/>
      <w:marTop w:val="0"/>
      <w:marBottom w:val="0"/>
      <w:divBdr>
        <w:top w:val="none" w:sz="0" w:space="0" w:color="auto"/>
        <w:left w:val="none" w:sz="0" w:space="0" w:color="auto"/>
        <w:bottom w:val="none" w:sz="0" w:space="0" w:color="auto"/>
        <w:right w:val="none" w:sz="0" w:space="0" w:color="auto"/>
      </w:divBdr>
    </w:div>
    <w:div w:id="472866494">
      <w:bodyDiv w:val="1"/>
      <w:marLeft w:val="0"/>
      <w:marRight w:val="0"/>
      <w:marTop w:val="0"/>
      <w:marBottom w:val="0"/>
      <w:divBdr>
        <w:top w:val="none" w:sz="0" w:space="0" w:color="auto"/>
        <w:left w:val="none" w:sz="0" w:space="0" w:color="auto"/>
        <w:bottom w:val="none" w:sz="0" w:space="0" w:color="auto"/>
        <w:right w:val="none" w:sz="0" w:space="0" w:color="auto"/>
      </w:divBdr>
    </w:div>
    <w:div w:id="472874383">
      <w:bodyDiv w:val="1"/>
      <w:marLeft w:val="0"/>
      <w:marRight w:val="0"/>
      <w:marTop w:val="0"/>
      <w:marBottom w:val="0"/>
      <w:divBdr>
        <w:top w:val="none" w:sz="0" w:space="0" w:color="auto"/>
        <w:left w:val="none" w:sz="0" w:space="0" w:color="auto"/>
        <w:bottom w:val="none" w:sz="0" w:space="0" w:color="auto"/>
        <w:right w:val="none" w:sz="0" w:space="0" w:color="auto"/>
      </w:divBdr>
    </w:div>
    <w:div w:id="472912951">
      <w:bodyDiv w:val="1"/>
      <w:marLeft w:val="0"/>
      <w:marRight w:val="0"/>
      <w:marTop w:val="0"/>
      <w:marBottom w:val="0"/>
      <w:divBdr>
        <w:top w:val="none" w:sz="0" w:space="0" w:color="auto"/>
        <w:left w:val="none" w:sz="0" w:space="0" w:color="auto"/>
        <w:bottom w:val="none" w:sz="0" w:space="0" w:color="auto"/>
        <w:right w:val="none" w:sz="0" w:space="0" w:color="auto"/>
      </w:divBdr>
    </w:div>
    <w:div w:id="472914605">
      <w:bodyDiv w:val="1"/>
      <w:marLeft w:val="0"/>
      <w:marRight w:val="0"/>
      <w:marTop w:val="0"/>
      <w:marBottom w:val="0"/>
      <w:divBdr>
        <w:top w:val="none" w:sz="0" w:space="0" w:color="auto"/>
        <w:left w:val="none" w:sz="0" w:space="0" w:color="auto"/>
        <w:bottom w:val="none" w:sz="0" w:space="0" w:color="auto"/>
        <w:right w:val="none" w:sz="0" w:space="0" w:color="auto"/>
      </w:divBdr>
    </w:div>
    <w:div w:id="472914873">
      <w:bodyDiv w:val="1"/>
      <w:marLeft w:val="0"/>
      <w:marRight w:val="0"/>
      <w:marTop w:val="0"/>
      <w:marBottom w:val="0"/>
      <w:divBdr>
        <w:top w:val="none" w:sz="0" w:space="0" w:color="auto"/>
        <w:left w:val="none" w:sz="0" w:space="0" w:color="auto"/>
        <w:bottom w:val="none" w:sz="0" w:space="0" w:color="auto"/>
        <w:right w:val="none" w:sz="0" w:space="0" w:color="auto"/>
      </w:divBdr>
    </w:div>
    <w:div w:id="473061029">
      <w:bodyDiv w:val="1"/>
      <w:marLeft w:val="0"/>
      <w:marRight w:val="0"/>
      <w:marTop w:val="0"/>
      <w:marBottom w:val="0"/>
      <w:divBdr>
        <w:top w:val="none" w:sz="0" w:space="0" w:color="auto"/>
        <w:left w:val="none" w:sz="0" w:space="0" w:color="auto"/>
        <w:bottom w:val="none" w:sz="0" w:space="0" w:color="auto"/>
        <w:right w:val="none" w:sz="0" w:space="0" w:color="auto"/>
      </w:divBdr>
    </w:div>
    <w:div w:id="473063915">
      <w:bodyDiv w:val="1"/>
      <w:marLeft w:val="0"/>
      <w:marRight w:val="0"/>
      <w:marTop w:val="0"/>
      <w:marBottom w:val="0"/>
      <w:divBdr>
        <w:top w:val="none" w:sz="0" w:space="0" w:color="auto"/>
        <w:left w:val="none" w:sz="0" w:space="0" w:color="auto"/>
        <w:bottom w:val="none" w:sz="0" w:space="0" w:color="auto"/>
        <w:right w:val="none" w:sz="0" w:space="0" w:color="auto"/>
      </w:divBdr>
    </w:div>
    <w:div w:id="473178227">
      <w:bodyDiv w:val="1"/>
      <w:marLeft w:val="0"/>
      <w:marRight w:val="0"/>
      <w:marTop w:val="0"/>
      <w:marBottom w:val="0"/>
      <w:divBdr>
        <w:top w:val="none" w:sz="0" w:space="0" w:color="auto"/>
        <w:left w:val="none" w:sz="0" w:space="0" w:color="auto"/>
        <w:bottom w:val="none" w:sz="0" w:space="0" w:color="auto"/>
        <w:right w:val="none" w:sz="0" w:space="0" w:color="auto"/>
      </w:divBdr>
    </w:div>
    <w:div w:id="473255100">
      <w:bodyDiv w:val="1"/>
      <w:marLeft w:val="0"/>
      <w:marRight w:val="0"/>
      <w:marTop w:val="0"/>
      <w:marBottom w:val="0"/>
      <w:divBdr>
        <w:top w:val="none" w:sz="0" w:space="0" w:color="auto"/>
        <w:left w:val="none" w:sz="0" w:space="0" w:color="auto"/>
        <w:bottom w:val="none" w:sz="0" w:space="0" w:color="auto"/>
        <w:right w:val="none" w:sz="0" w:space="0" w:color="auto"/>
      </w:divBdr>
    </w:div>
    <w:div w:id="473331183">
      <w:bodyDiv w:val="1"/>
      <w:marLeft w:val="0"/>
      <w:marRight w:val="0"/>
      <w:marTop w:val="0"/>
      <w:marBottom w:val="0"/>
      <w:divBdr>
        <w:top w:val="none" w:sz="0" w:space="0" w:color="auto"/>
        <w:left w:val="none" w:sz="0" w:space="0" w:color="auto"/>
        <w:bottom w:val="none" w:sz="0" w:space="0" w:color="auto"/>
        <w:right w:val="none" w:sz="0" w:space="0" w:color="auto"/>
      </w:divBdr>
    </w:div>
    <w:div w:id="473446681">
      <w:bodyDiv w:val="1"/>
      <w:marLeft w:val="0"/>
      <w:marRight w:val="0"/>
      <w:marTop w:val="0"/>
      <w:marBottom w:val="0"/>
      <w:divBdr>
        <w:top w:val="none" w:sz="0" w:space="0" w:color="auto"/>
        <w:left w:val="none" w:sz="0" w:space="0" w:color="auto"/>
        <w:bottom w:val="none" w:sz="0" w:space="0" w:color="auto"/>
        <w:right w:val="none" w:sz="0" w:space="0" w:color="auto"/>
      </w:divBdr>
    </w:div>
    <w:div w:id="473715868">
      <w:bodyDiv w:val="1"/>
      <w:marLeft w:val="0"/>
      <w:marRight w:val="0"/>
      <w:marTop w:val="0"/>
      <w:marBottom w:val="0"/>
      <w:divBdr>
        <w:top w:val="none" w:sz="0" w:space="0" w:color="auto"/>
        <w:left w:val="none" w:sz="0" w:space="0" w:color="auto"/>
        <w:bottom w:val="none" w:sz="0" w:space="0" w:color="auto"/>
        <w:right w:val="none" w:sz="0" w:space="0" w:color="auto"/>
      </w:divBdr>
    </w:div>
    <w:div w:id="473717803">
      <w:bodyDiv w:val="1"/>
      <w:marLeft w:val="0"/>
      <w:marRight w:val="0"/>
      <w:marTop w:val="0"/>
      <w:marBottom w:val="0"/>
      <w:divBdr>
        <w:top w:val="none" w:sz="0" w:space="0" w:color="auto"/>
        <w:left w:val="none" w:sz="0" w:space="0" w:color="auto"/>
        <w:bottom w:val="none" w:sz="0" w:space="0" w:color="auto"/>
        <w:right w:val="none" w:sz="0" w:space="0" w:color="auto"/>
      </w:divBdr>
    </w:div>
    <w:div w:id="473721218">
      <w:bodyDiv w:val="1"/>
      <w:marLeft w:val="0"/>
      <w:marRight w:val="0"/>
      <w:marTop w:val="0"/>
      <w:marBottom w:val="0"/>
      <w:divBdr>
        <w:top w:val="none" w:sz="0" w:space="0" w:color="auto"/>
        <w:left w:val="none" w:sz="0" w:space="0" w:color="auto"/>
        <w:bottom w:val="none" w:sz="0" w:space="0" w:color="auto"/>
        <w:right w:val="none" w:sz="0" w:space="0" w:color="auto"/>
      </w:divBdr>
    </w:div>
    <w:div w:id="473765282">
      <w:bodyDiv w:val="1"/>
      <w:marLeft w:val="0"/>
      <w:marRight w:val="0"/>
      <w:marTop w:val="0"/>
      <w:marBottom w:val="0"/>
      <w:divBdr>
        <w:top w:val="none" w:sz="0" w:space="0" w:color="auto"/>
        <w:left w:val="none" w:sz="0" w:space="0" w:color="auto"/>
        <w:bottom w:val="none" w:sz="0" w:space="0" w:color="auto"/>
        <w:right w:val="none" w:sz="0" w:space="0" w:color="auto"/>
      </w:divBdr>
    </w:div>
    <w:div w:id="473911082">
      <w:bodyDiv w:val="1"/>
      <w:marLeft w:val="0"/>
      <w:marRight w:val="0"/>
      <w:marTop w:val="0"/>
      <w:marBottom w:val="0"/>
      <w:divBdr>
        <w:top w:val="none" w:sz="0" w:space="0" w:color="auto"/>
        <w:left w:val="none" w:sz="0" w:space="0" w:color="auto"/>
        <w:bottom w:val="none" w:sz="0" w:space="0" w:color="auto"/>
        <w:right w:val="none" w:sz="0" w:space="0" w:color="auto"/>
      </w:divBdr>
    </w:div>
    <w:div w:id="473912609">
      <w:bodyDiv w:val="1"/>
      <w:marLeft w:val="0"/>
      <w:marRight w:val="0"/>
      <w:marTop w:val="0"/>
      <w:marBottom w:val="0"/>
      <w:divBdr>
        <w:top w:val="none" w:sz="0" w:space="0" w:color="auto"/>
        <w:left w:val="none" w:sz="0" w:space="0" w:color="auto"/>
        <w:bottom w:val="none" w:sz="0" w:space="0" w:color="auto"/>
        <w:right w:val="none" w:sz="0" w:space="0" w:color="auto"/>
      </w:divBdr>
    </w:div>
    <w:div w:id="473912903">
      <w:bodyDiv w:val="1"/>
      <w:marLeft w:val="0"/>
      <w:marRight w:val="0"/>
      <w:marTop w:val="0"/>
      <w:marBottom w:val="0"/>
      <w:divBdr>
        <w:top w:val="none" w:sz="0" w:space="0" w:color="auto"/>
        <w:left w:val="none" w:sz="0" w:space="0" w:color="auto"/>
        <w:bottom w:val="none" w:sz="0" w:space="0" w:color="auto"/>
        <w:right w:val="none" w:sz="0" w:space="0" w:color="auto"/>
      </w:divBdr>
    </w:div>
    <w:div w:id="473985778">
      <w:bodyDiv w:val="1"/>
      <w:marLeft w:val="0"/>
      <w:marRight w:val="0"/>
      <w:marTop w:val="0"/>
      <w:marBottom w:val="0"/>
      <w:divBdr>
        <w:top w:val="none" w:sz="0" w:space="0" w:color="auto"/>
        <w:left w:val="none" w:sz="0" w:space="0" w:color="auto"/>
        <w:bottom w:val="none" w:sz="0" w:space="0" w:color="auto"/>
        <w:right w:val="none" w:sz="0" w:space="0" w:color="auto"/>
      </w:divBdr>
    </w:div>
    <w:div w:id="473986948">
      <w:bodyDiv w:val="1"/>
      <w:marLeft w:val="0"/>
      <w:marRight w:val="0"/>
      <w:marTop w:val="0"/>
      <w:marBottom w:val="0"/>
      <w:divBdr>
        <w:top w:val="none" w:sz="0" w:space="0" w:color="auto"/>
        <w:left w:val="none" w:sz="0" w:space="0" w:color="auto"/>
        <w:bottom w:val="none" w:sz="0" w:space="0" w:color="auto"/>
        <w:right w:val="none" w:sz="0" w:space="0" w:color="auto"/>
      </w:divBdr>
    </w:div>
    <w:div w:id="474027553">
      <w:bodyDiv w:val="1"/>
      <w:marLeft w:val="0"/>
      <w:marRight w:val="0"/>
      <w:marTop w:val="0"/>
      <w:marBottom w:val="0"/>
      <w:divBdr>
        <w:top w:val="none" w:sz="0" w:space="0" w:color="auto"/>
        <w:left w:val="none" w:sz="0" w:space="0" w:color="auto"/>
        <w:bottom w:val="none" w:sz="0" w:space="0" w:color="auto"/>
        <w:right w:val="none" w:sz="0" w:space="0" w:color="auto"/>
      </w:divBdr>
    </w:div>
    <w:div w:id="474030924">
      <w:bodyDiv w:val="1"/>
      <w:marLeft w:val="0"/>
      <w:marRight w:val="0"/>
      <w:marTop w:val="0"/>
      <w:marBottom w:val="0"/>
      <w:divBdr>
        <w:top w:val="none" w:sz="0" w:space="0" w:color="auto"/>
        <w:left w:val="none" w:sz="0" w:space="0" w:color="auto"/>
        <w:bottom w:val="none" w:sz="0" w:space="0" w:color="auto"/>
        <w:right w:val="none" w:sz="0" w:space="0" w:color="auto"/>
      </w:divBdr>
    </w:div>
    <w:div w:id="474218877">
      <w:bodyDiv w:val="1"/>
      <w:marLeft w:val="0"/>
      <w:marRight w:val="0"/>
      <w:marTop w:val="0"/>
      <w:marBottom w:val="0"/>
      <w:divBdr>
        <w:top w:val="none" w:sz="0" w:space="0" w:color="auto"/>
        <w:left w:val="none" w:sz="0" w:space="0" w:color="auto"/>
        <w:bottom w:val="none" w:sz="0" w:space="0" w:color="auto"/>
        <w:right w:val="none" w:sz="0" w:space="0" w:color="auto"/>
      </w:divBdr>
    </w:div>
    <w:div w:id="474224044">
      <w:bodyDiv w:val="1"/>
      <w:marLeft w:val="0"/>
      <w:marRight w:val="0"/>
      <w:marTop w:val="0"/>
      <w:marBottom w:val="0"/>
      <w:divBdr>
        <w:top w:val="none" w:sz="0" w:space="0" w:color="auto"/>
        <w:left w:val="none" w:sz="0" w:space="0" w:color="auto"/>
        <w:bottom w:val="none" w:sz="0" w:space="0" w:color="auto"/>
        <w:right w:val="none" w:sz="0" w:space="0" w:color="auto"/>
      </w:divBdr>
    </w:div>
    <w:div w:id="474415563">
      <w:bodyDiv w:val="1"/>
      <w:marLeft w:val="0"/>
      <w:marRight w:val="0"/>
      <w:marTop w:val="0"/>
      <w:marBottom w:val="0"/>
      <w:divBdr>
        <w:top w:val="none" w:sz="0" w:space="0" w:color="auto"/>
        <w:left w:val="none" w:sz="0" w:space="0" w:color="auto"/>
        <w:bottom w:val="none" w:sz="0" w:space="0" w:color="auto"/>
        <w:right w:val="none" w:sz="0" w:space="0" w:color="auto"/>
      </w:divBdr>
    </w:div>
    <w:div w:id="474416560">
      <w:bodyDiv w:val="1"/>
      <w:marLeft w:val="0"/>
      <w:marRight w:val="0"/>
      <w:marTop w:val="0"/>
      <w:marBottom w:val="0"/>
      <w:divBdr>
        <w:top w:val="none" w:sz="0" w:space="0" w:color="auto"/>
        <w:left w:val="none" w:sz="0" w:space="0" w:color="auto"/>
        <w:bottom w:val="none" w:sz="0" w:space="0" w:color="auto"/>
        <w:right w:val="none" w:sz="0" w:space="0" w:color="auto"/>
      </w:divBdr>
    </w:div>
    <w:div w:id="474494282">
      <w:bodyDiv w:val="1"/>
      <w:marLeft w:val="0"/>
      <w:marRight w:val="0"/>
      <w:marTop w:val="0"/>
      <w:marBottom w:val="0"/>
      <w:divBdr>
        <w:top w:val="none" w:sz="0" w:space="0" w:color="auto"/>
        <w:left w:val="none" w:sz="0" w:space="0" w:color="auto"/>
        <w:bottom w:val="none" w:sz="0" w:space="0" w:color="auto"/>
        <w:right w:val="none" w:sz="0" w:space="0" w:color="auto"/>
      </w:divBdr>
    </w:div>
    <w:div w:id="474613269">
      <w:bodyDiv w:val="1"/>
      <w:marLeft w:val="0"/>
      <w:marRight w:val="0"/>
      <w:marTop w:val="0"/>
      <w:marBottom w:val="0"/>
      <w:divBdr>
        <w:top w:val="none" w:sz="0" w:space="0" w:color="auto"/>
        <w:left w:val="none" w:sz="0" w:space="0" w:color="auto"/>
        <w:bottom w:val="none" w:sz="0" w:space="0" w:color="auto"/>
        <w:right w:val="none" w:sz="0" w:space="0" w:color="auto"/>
      </w:divBdr>
    </w:div>
    <w:div w:id="474686940">
      <w:bodyDiv w:val="1"/>
      <w:marLeft w:val="0"/>
      <w:marRight w:val="0"/>
      <w:marTop w:val="0"/>
      <w:marBottom w:val="0"/>
      <w:divBdr>
        <w:top w:val="none" w:sz="0" w:space="0" w:color="auto"/>
        <w:left w:val="none" w:sz="0" w:space="0" w:color="auto"/>
        <w:bottom w:val="none" w:sz="0" w:space="0" w:color="auto"/>
        <w:right w:val="none" w:sz="0" w:space="0" w:color="auto"/>
      </w:divBdr>
    </w:div>
    <w:div w:id="474760972">
      <w:bodyDiv w:val="1"/>
      <w:marLeft w:val="0"/>
      <w:marRight w:val="0"/>
      <w:marTop w:val="0"/>
      <w:marBottom w:val="0"/>
      <w:divBdr>
        <w:top w:val="none" w:sz="0" w:space="0" w:color="auto"/>
        <w:left w:val="none" w:sz="0" w:space="0" w:color="auto"/>
        <w:bottom w:val="none" w:sz="0" w:space="0" w:color="auto"/>
        <w:right w:val="none" w:sz="0" w:space="0" w:color="auto"/>
      </w:divBdr>
    </w:div>
    <w:div w:id="474761381">
      <w:bodyDiv w:val="1"/>
      <w:marLeft w:val="0"/>
      <w:marRight w:val="0"/>
      <w:marTop w:val="0"/>
      <w:marBottom w:val="0"/>
      <w:divBdr>
        <w:top w:val="none" w:sz="0" w:space="0" w:color="auto"/>
        <w:left w:val="none" w:sz="0" w:space="0" w:color="auto"/>
        <w:bottom w:val="none" w:sz="0" w:space="0" w:color="auto"/>
        <w:right w:val="none" w:sz="0" w:space="0" w:color="auto"/>
      </w:divBdr>
    </w:div>
    <w:div w:id="474762779">
      <w:bodyDiv w:val="1"/>
      <w:marLeft w:val="0"/>
      <w:marRight w:val="0"/>
      <w:marTop w:val="0"/>
      <w:marBottom w:val="0"/>
      <w:divBdr>
        <w:top w:val="none" w:sz="0" w:space="0" w:color="auto"/>
        <w:left w:val="none" w:sz="0" w:space="0" w:color="auto"/>
        <w:bottom w:val="none" w:sz="0" w:space="0" w:color="auto"/>
        <w:right w:val="none" w:sz="0" w:space="0" w:color="auto"/>
      </w:divBdr>
    </w:div>
    <w:div w:id="474875887">
      <w:bodyDiv w:val="1"/>
      <w:marLeft w:val="0"/>
      <w:marRight w:val="0"/>
      <w:marTop w:val="0"/>
      <w:marBottom w:val="0"/>
      <w:divBdr>
        <w:top w:val="none" w:sz="0" w:space="0" w:color="auto"/>
        <w:left w:val="none" w:sz="0" w:space="0" w:color="auto"/>
        <w:bottom w:val="none" w:sz="0" w:space="0" w:color="auto"/>
        <w:right w:val="none" w:sz="0" w:space="0" w:color="auto"/>
      </w:divBdr>
    </w:div>
    <w:div w:id="474883624">
      <w:bodyDiv w:val="1"/>
      <w:marLeft w:val="0"/>
      <w:marRight w:val="0"/>
      <w:marTop w:val="0"/>
      <w:marBottom w:val="0"/>
      <w:divBdr>
        <w:top w:val="none" w:sz="0" w:space="0" w:color="auto"/>
        <w:left w:val="none" w:sz="0" w:space="0" w:color="auto"/>
        <w:bottom w:val="none" w:sz="0" w:space="0" w:color="auto"/>
        <w:right w:val="none" w:sz="0" w:space="0" w:color="auto"/>
      </w:divBdr>
    </w:div>
    <w:div w:id="474950030">
      <w:bodyDiv w:val="1"/>
      <w:marLeft w:val="0"/>
      <w:marRight w:val="0"/>
      <w:marTop w:val="0"/>
      <w:marBottom w:val="0"/>
      <w:divBdr>
        <w:top w:val="none" w:sz="0" w:space="0" w:color="auto"/>
        <w:left w:val="none" w:sz="0" w:space="0" w:color="auto"/>
        <w:bottom w:val="none" w:sz="0" w:space="0" w:color="auto"/>
        <w:right w:val="none" w:sz="0" w:space="0" w:color="auto"/>
      </w:divBdr>
    </w:div>
    <w:div w:id="474957863">
      <w:bodyDiv w:val="1"/>
      <w:marLeft w:val="0"/>
      <w:marRight w:val="0"/>
      <w:marTop w:val="0"/>
      <w:marBottom w:val="0"/>
      <w:divBdr>
        <w:top w:val="none" w:sz="0" w:space="0" w:color="auto"/>
        <w:left w:val="none" w:sz="0" w:space="0" w:color="auto"/>
        <w:bottom w:val="none" w:sz="0" w:space="0" w:color="auto"/>
        <w:right w:val="none" w:sz="0" w:space="0" w:color="auto"/>
      </w:divBdr>
    </w:div>
    <w:div w:id="475072590">
      <w:bodyDiv w:val="1"/>
      <w:marLeft w:val="0"/>
      <w:marRight w:val="0"/>
      <w:marTop w:val="0"/>
      <w:marBottom w:val="0"/>
      <w:divBdr>
        <w:top w:val="none" w:sz="0" w:space="0" w:color="auto"/>
        <w:left w:val="none" w:sz="0" w:space="0" w:color="auto"/>
        <w:bottom w:val="none" w:sz="0" w:space="0" w:color="auto"/>
        <w:right w:val="none" w:sz="0" w:space="0" w:color="auto"/>
      </w:divBdr>
    </w:div>
    <w:div w:id="475101715">
      <w:bodyDiv w:val="1"/>
      <w:marLeft w:val="0"/>
      <w:marRight w:val="0"/>
      <w:marTop w:val="0"/>
      <w:marBottom w:val="0"/>
      <w:divBdr>
        <w:top w:val="none" w:sz="0" w:space="0" w:color="auto"/>
        <w:left w:val="none" w:sz="0" w:space="0" w:color="auto"/>
        <w:bottom w:val="none" w:sz="0" w:space="0" w:color="auto"/>
        <w:right w:val="none" w:sz="0" w:space="0" w:color="auto"/>
      </w:divBdr>
    </w:div>
    <w:div w:id="475218468">
      <w:bodyDiv w:val="1"/>
      <w:marLeft w:val="0"/>
      <w:marRight w:val="0"/>
      <w:marTop w:val="0"/>
      <w:marBottom w:val="0"/>
      <w:divBdr>
        <w:top w:val="none" w:sz="0" w:space="0" w:color="auto"/>
        <w:left w:val="none" w:sz="0" w:space="0" w:color="auto"/>
        <w:bottom w:val="none" w:sz="0" w:space="0" w:color="auto"/>
        <w:right w:val="none" w:sz="0" w:space="0" w:color="auto"/>
      </w:divBdr>
    </w:div>
    <w:div w:id="475221041">
      <w:bodyDiv w:val="1"/>
      <w:marLeft w:val="0"/>
      <w:marRight w:val="0"/>
      <w:marTop w:val="0"/>
      <w:marBottom w:val="0"/>
      <w:divBdr>
        <w:top w:val="none" w:sz="0" w:space="0" w:color="auto"/>
        <w:left w:val="none" w:sz="0" w:space="0" w:color="auto"/>
        <w:bottom w:val="none" w:sz="0" w:space="0" w:color="auto"/>
        <w:right w:val="none" w:sz="0" w:space="0" w:color="auto"/>
      </w:divBdr>
    </w:div>
    <w:div w:id="475294470">
      <w:bodyDiv w:val="1"/>
      <w:marLeft w:val="0"/>
      <w:marRight w:val="0"/>
      <w:marTop w:val="0"/>
      <w:marBottom w:val="0"/>
      <w:divBdr>
        <w:top w:val="none" w:sz="0" w:space="0" w:color="auto"/>
        <w:left w:val="none" w:sz="0" w:space="0" w:color="auto"/>
        <w:bottom w:val="none" w:sz="0" w:space="0" w:color="auto"/>
        <w:right w:val="none" w:sz="0" w:space="0" w:color="auto"/>
      </w:divBdr>
    </w:div>
    <w:div w:id="475342894">
      <w:bodyDiv w:val="1"/>
      <w:marLeft w:val="0"/>
      <w:marRight w:val="0"/>
      <w:marTop w:val="0"/>
      <w:marBottom w:val="0"/>
      <w:divBdr>
        <w:top w:val="none" w:sz="0" w:space="0" w:color="auto"/>
        <w:left w:val="none" w:sz="0" w:space="0" w:color="auto"/>
        <w:bottom w:val="none" w:sz="0" w:space="0" w:color="auto"/>
        <w:right w:val="none" w:sz="0" w:space="0" w:color="auto"/>
      </w:divBdr>
    </w:div>
    <w:div w:id="475493603">
      <w:bodyDiv w:val="1"/>
      <w:marLeft w:val="0"/>
      <w:marRight w:val="0"/>
      <w:marTop w:val="0"/>
      <w:marBottom w:val="0"/>
      <w:divBdr>
        <w:top w:val="none" w:sz="0" w:space="0" w:color="auto"/>
        <w:left w:val="none" w:sz="0" w:space="0" w:color="auto"/>
        <w:bottom w:val="none" w:sz="0" w:space="0" w:color="auto"/>
        <w:right w:val="none" w:sz="0" w:space="0" w:color="auto"/>
      </w:divBdr>
    </w:div>
    <w:div w:id="475493788">
      <w:bodyDiv w:val="1"/>
      <w:marLeft w:val="0"/>
      <w:marRight w:val="0"/>
      <w:marTop w:val="0"/>
      <w:marBottom w:val="0"/>
      <w:divBdr>
        <w:top w:val="none" w:sz="0" w:space="0" w:color="auto"/>
        <w:left w:val="none" w:sz="0" w:space="0" w:color="auto"/>
        <w:bottom w:val="none" w:sz="0" w:space="0" w:color="auto"/>
        <w:right w:val="none" w:sz="0" w:space="0" w:color="auto"/>
      </w:divBdr>
    </w:div>
    <w:div w:id="475495444">
      <w:bodyDiv w:val="1"/>
      <w:marLeft w:val="0"/>
      <w:marRight w:val="0"/>
      <w:marTop w:val="0"/>
      <w:marBottom w:val="0"/>
      <w:divBdr>
        <w:top w:val="none" w:sz="0" w:space="0" w:color="auto"/>
        <w:left w:val="none" w:sz="0" w:space="0" w:color="auto"/>
        <w:bottom w:val="none" w:sz="0" w:space="0" w:color="auto"/>
        <w:right w:val="none" w:sz="0" w:space="0" w:color="auto"/>
      </w:divBdr>
    </w:div>
    <w:div w:id="475882181">
      <w:bodyDiv w:val="1"/>
      <w:marLeft w:val="0"/>
      <w:marRight w:val="0"/>
      <w:marTop w:val="0"/>
      <w:marBottom w:val="0"/>
      <w:divBdr>
        <w:top w:val="none" w:sz="0" w:space="0" w:color="auto"/>
        <w:left w:val="none" w:sz="0" w:space="0" w:color="auto"/>
        <w:bottom w:val="none" w:sz="0" w:space="0" w:color="auto"/>
        <w:right w:val="none" w:sz="0" w:space="0" w:color="auto"/>
      </w:divBdr>
    </w:div>
    <w:div w:id="476067708">
      <w:bodyDiv w:val="1"/>
      <w:marLeft w:val="0"/>
      <w:marRight w:val="0"/>
      <w:marTop w:val="0"/>
      <w:marBottom w:val="0"/>
      <w:divBdr>
        <w:top w:val="none" w:sz="0" w:space="0" w:color="auto"/>
        <w:left w:val="none" w:sz="0" w:space="0" w:color="auto"/>
        <w:bottom w:val="none" w:sz="0" w:space="0" w:color="auto"/>
        <w:right w:val="none" w:sz="0" w:space="0" w:color="auto"/>
      </w:divBdr>
    </w:div>
    <w:div w:id="476146070">
      <w:bodyDiv w:val="1"/>
      <w:marLeft w:val="0"/>
      <w:marRight w:val="0"/>
      <w:marTop w:val="0"/>
      <w:marBottom w:val="0"/>
      <w:divBdr>
        <w:top w:val="none" w:sz="0" w:space="0" w:color="auto"/>
        <w:left w:val="none" w:sz="0" w:space="0" w:color="auto"/>
        <w:bottom w:val="none" w:sz="0" w:space="0" w:color="auto"/>
        <w:right w:val="none" w:sz="0" w:space="0" w:color="auto"/>
      </w:divBdr>
    </w:div>
    <w:div w:id="476189639">
      <w:bodyDiv w:val="1"/>
      <w:marLeft w:val="0"/>
      <w:marRight w:val="0"/>
      <w:marTop w:val="0"/>
      <w:marBottom w:val="0"/>
      <w:divBdr>
        <w:top w:val="none" w:sz="0" w:space="0" w:color="auto"/>
        <w:left w:val="none" w:sz="0" w:space="0" w:color="auto"/>
        <w:bottom w:val="none" w:sz="0" w:space="0" w:color="auto"/>
        <w:right w:val="none" w:sz="0" w:space="0" w:color="auto"/>
      </w:divBdr>
    </w:div>
    <w:div w:id="476193493">
      <w:bodyDiv w:val="1"/>
      <w:marLeft w:val="0"/>
      <w:marRight w:val="0"/>
      <w:marTop w:val="0"/>
      <w:marBottom w:val="0"/>
      <w:divBdr>
        <w:top w:val="none" w:sz="0" w:space="0" w:color="auto"/>
        <w:left w:val="none" w:sz="0" w:space="0" w:color="auto"/>
        <w:bottom w:val="none" w:sz="0" w:space="0" w:color="auto"/>
        <w:right w:val="none" w:sz="0" w:space="0" w:color="auto"/>
      </w:divBdr>
    </w:div>
    <w:div w:id="476260019">
      <w:bodyDiv w:val="1"/>
      <w:marLeft w:val="0"/>
      <w:marRight w:val="0"/>
      <w:marTop w:val="0"/>
      <w:marBottom w:val="0"/>
      <w:divBdr>
        <w:top w:val="none" w:sz="0" w:space="0" w:color="auto"/>
        <w:left w:val="none" w:sz="0" w:space="0" w:color="auto"/>
        <w:bottom w:val="none" w:sz="0" w:space="0" w:color="auto"/>
        <w:right w:val="none" w:sz="0" w:space="0" w:color="auto"/>
      </w:divBdr>
    </w:div>
    <w:div w:id="476336772">
      <w:bodyDiv w:val="1"/>
      <w:marLeft w:val="0"/>
      <w:marRight w:val="0"/>
      <w:marTop w:val="0"/>
      <w:marBottom w:val="0"/>
      <w:divBdr>
        <w:top w:val="none" w:sz="0" w:space="0" w:color="auto"/>
        <w:left w:val="none" w:sz="0" w:space="0" w:color="auto"/>
        <w:bottom w:val="none" w:sz="0" w:space="0" w:color="auto"/>
        <w:right w:val="none" w:sz="0" w:space="0" w:color="auto"/>
      </w:divBdr>
    </w:div>
    <w:div w:id="476338863">
      <w:bodyDiv w:val="1"/>
      <w:marLeft w:val="0"/>
      <w:marRight w:val="0"/>
      <w:marTop w:val="0"/>
      <w:marBottom w:val="0"/>
      <w:divBdr>
        <w:top w:val="none" w:sz="0" w:space="0" w:color="auto"/>
        <w:left w:val="none" w:sz="0" w:space="0" w:color="auto"/>
        <w:bottom w:val="none" w:sz="0" w:space="0" w:color="auto"/>
        <w:right w:val="none" w:sz="0" w:space="0" w:color="auto"/>
      </w:divBdr>
    </w:div>
    <w:div w:id="476342994">
      <w:bodyDiv w:val="1"/>
      <w:marLeft w:val="0"/>
      <w:marRight w:val="0"/>
      <w:marTop w:val="0"/>
      <w:marBottom w:val="0"/>
      <w:divBdr>
        <w:top w:val="none" w:sz="0" w:space="0" w:color="auto"/>
        <w:left w:val="none" w:sz="0" w:space="0" w:color="auto"/>
        <w:bottom w:val="none" w:sz="0" w:space="0" w:color="auto"/>
        <w:right w:val="none" w:sz="0" w:space="0" w:color="auto"/>
      </w:divBdr>
    </w:div>
    <w:div w:id="476535114">
      <w:bodyDiv w:val="1"/>
      <w:marLeft w:val="0"/>
      <w:marRight w:val="0"/>
      <w:marTop w:val="0"/>
      <w:marBottom w:val="0"/>
      <w:divBdr>
        <w:top w:val="none" w:sz="0" w:space="0" w:color="auto"/>
        <w:left w:val="none" w:sz="0" w:space="0" w:color="auto"/>
        <w:bottom w:val="none" w:sz="0" w:space="0" w:color="auto"/>
        <w:right w:val="none" w:sz="0" w:space="0" w:color="auto"/>
      </w:divBdr>
    </w:div>
    <w:div w:id="476604224">
      <w:bodyDiv w:val="1"/>
      <w:marLeft w:val="0"/>
      <w:marRight w:val="0"/>
      <w:marTop w:val="0"/>
      <w:marBottom w:val="0"/>
      <w:divBdr>
        <w:top w:val="none" w:sz="0" w:space="0" w:color="auto"/>
        <w:left w:val="none" w:sz="0" w:space="0" w:color="auto"/>
        <w:bottom w:val="none" w:sz="0" w:space="0" w:color="auto"/>
        <w:right w:val="none" w:sz="0" w:space="0" w:color="auto"/>
      </w:divBdr>
    </w:div>
    <w:div w:id="476609158">
      <w:bodyDiv w:val="1"/>
      <w:marLeft w:val="0"/>
      <w:marRight w:val="0"/>
      <w:marTop w:val="0"/>
      <w:marBottom w:val="0"/>
      <w:divBdr>
        <w:top w:val="none" w:sz="0" w:space="0" w:color="auto"/>
        <w:left w:val="none" w:sz="0" w:space="0" w:color="auto"/>
        <w:bottom w:val="none" w:sz="0" w:space="0" w:color="auto"/>
        <w:right w:val="none" w:sz="0" w:space="0" w:color="auto"/>
      </w:divBdr>
    </w:div>
    <w:div w:id="476655651">
      <w:bodyDiv w:val="1"/>
      <w:marLeft w:val="0"/>
      <w:marRight w:val="0"/>
      <w:marTop w:val="0"/>
      <w:marBottom w:val="0"/>
      <w:divBdr>
        <w:top w:val="none" w:sz="0" w:space="0" w:color="auto"/>
        <w:left w:val="none" w:sz="0" w:space="0" w:color="auto"/>
        <w:bottom w:val="none" w:sz="0" w:space="0" w:color="auto"/>
        <w:right w:val="none" w:sz="0" w:space="0" w:color="auto"/>
      </w:divBdr>
    </w:div>
    <w:div w:id="476731289">
      <w:bodyDiv w:val="1"/>
      <w:marLeft w:val="0"/>
      <w:marRight w:val="0"/>
      <w:marTop w:val="0"/>
      <w:marBottom w:val="0"/>
      <w:divBdr>
        <w:top w:val="none" w:sz="0" w:space="0" w:color="auto"/>
        <w:left w:val="none" w:sz="0" w:space="0" w:color="auto"/>
        <w:bottom w:val="none" w:sz="0" w:space="0" w:color="auto"/>
        <w:right w:val="none" w:sz="0" w:space="0" w:color="auto"/>
      </w:divBdr>
    </w:div>
    <w:div w:id="476799919">
      <w:bodyDiv w:val="1"/>
      <w:marLeft w:val="0"/>
      <w:marRight w:val="0"/>
      <w:marTop w:val="0"/>
      <w:marBottom w:val="0"/>
      <w:divBdr>
        <w:top w:val="none" w:sz="0" w:space="0" w:color="auto"/>
        <w:left w:val="none" w:sz="0" w:space="0" w:color="auto"/>
        <w:bottom w:val="none" w:sz="0" w:space="0" w:color="auto"/>
        <w:right w:val="none" w:sz="0" w:space="0" w:color="auto"/>
      </w:divBdr>
    </w:div>
    <w:div w:id="476805602">
      <w:bodyDiv w:val="1"/>
      <w:marLeft w:val="0"/>
      <w:marRight w:val="0"/>
      <w:marTop w:val="0"/>
      <w:marBottom w:val="0"/>
      <w:divBdr>
        <w:top w:val="none" w:sz="0" w:space="0" w:color="auto"/>
        <w:left w:val="none" w:sz="0" w:space="0" w:color="auto"/>
        <w:bottom w:val="none" w:sz="0" w:space="0" w:color="auto"/>
        <w:right w:val="none" w:sz="0" w:space="0" w:color="auto"/>
      </w:divBdr>
    </w:div>
    <w:div w:id="476806466">
      <w:bodyDiv w:val="1"/>
      <w:marLeft w:val="0"/>
      <w:marRight w:val="0"/>
      <w:marTop w:val="0"/>
      <w:marBottom w:val="0"/>
      <w:divBdr>
        <w:top w:val="none" w:sz="0" w:space="0" w:color="auto"/>
        <w:left w:val="none" w:sz="0" w:space="0" w:color="auto"/>
        <w:bottom w:val="none" w:sz="0" w:space="0" w:color="auto"/>
        <w:right w:val="none" w:sz="0" w:space="0" w:color="auto"/>
      </w:divBdr>
    </w:div>
    <w:div w:id="476919228">
      <w:bodyDiv w:val="1"/>
      <w:marLeft w:val="0"/>
      <w:marRight w:val="0"/>
      <w:marTop w:val="0"/>
      <w:marBottom w:val="0"/>
      <w:divBdr>
        <w:top w:val="none" w:sz="0" w:space="0" w:color="auto"/>
        <w:left w:val="none" w:sz="0" w:space="0" w:color="auto"/>
        <w:bottom w:val="none" w:sz="0" w:space="0" w:color="auto"/>
        <w:right w:val="none" w:sz="0" w:space="0" w:color="auto"/>
      </w:divBdr>
    </w:div>
    <w:div w:id="476923270">
      <w:bodyDiv w:val="1"/>
      <w:marLeft w:val="0"/>
      <w:marRight w:val="0"/>
      <w:marTop w:val="0"/>
      <w:marBottom w:val="0"/>
      <w:divBdr>
        <w:top w:val="none" w:sz="0" w:space="0" w:color="auto"/>
        <w:left w:val="none" w:sz="0" w:space="0" w:color="auto"/>
        <w:bottom w:val="none" w:sz="0" w:space="0" w:color="auto"/>
        <w:right w:val="none" w:sz="0" w:space="0" w:color="auto"/>
      </w:divBdr>
    </w:div>
    <w:div w:id="477233559">
      <w:bodyDiv w:val="1"/>
      <w:marLeft w:val="0"/>
      <w:marRight w:val="0"/>
      <w:marTop w:val="0"/>
      <w:marBottom w:val="0"/>
      <w:divBdr>
        <w:top w:val="none" w:sz="0" w:space="0" w:color="auto"/>
        <w:left w:val="none" w:sz="0" w:space="0" w:color="auto"/>
        <w:bottom w:val="none" w:sz="0" w:space="0" w:color="auto"/>
        <w:right w:val="none" w:sz="0" w:space="0" w:color="auto"/>
      </w:divBdr>
    </w:div>
    <w:div w:id="477260224">
      <w:bodyDiv w:val="1"/>
      <w:marLeft w:val="0"/>
      <w:marRight w:val="0"/>
      <w:marTop w:val="0"/>
      <w:marBottom w:val="0"/>
      <w:divBdr>
        <w:top w:val="none" w:sz="0" w:space="0" w:color="auto"/>
        <w:left w:val="none" w:sz="0" w:space="0" w:color="auto"/>
        <w:bottom w:val="none" w:sz="0" w:space="0" w:color="auto"/>
        <w:right w:val="none" w:sz="0" w:space="0" w:color="auto"/>
      </w:divBdr>
    </w:div>
    <w:div w:id="477263362">
      <w:bodyDiv w:val="1"/>
      <w:marLeft w:val="0"/>
      <w:marRight w:val="0"/>
      <w:marTop w:val="0"/>
      <w:marBottom w:val="0"/>
      <w:divBdr>
        <w:top w:val="none" w:sz="0" w:space="0" w:color="auto"/>
        <w:left w:val="none" w:sz="0" w:space="0" w:color="auto"/>
        <w:bottom w:val="none" w:sz="0" w:space="0" w:color="auto"/>
        <w:right w:val="none" w:sz="0" w:space="0" w:color="auto"/>
      </w:divBdr>
    </w:div>
    <w:div w:id="477377364">
      <w:bodyDiv w:val="1"/>
      <w:marLeft w:val="0"/>
      <w:marRight w:val="0"/>
      <w:marTop w:val="0"/>
      <w:marBottom w:val="0"/>
      <w:divBdr>
        <w:top w:val="none" w:sz="0" w:space="0" w:color="auto"/>
        <w:left w:val="none" w:sz="0" w:space="0" w:color="auto"/>
        <w:bottom w:val="none" w:sz="0" w:space="0" w:color="auto"/>
        <w:right w:val="none" w:sz="0" w:space="0" w:color="auto"/>
      </w:divBdr>
    </w:div>
    <w:div w:id="477384506">
      <w:bodyDiv w:val="1"/>
      <w:marLeft w:val="0"/>
      <w:marRight w:val="0"/>
      <w:marTop w:val="0"/>
      <w:marBottom w:val="0"/>
      <w:divBdr>
        <w:top w:val="none" w:sz="0" w:space="0" w:color="auto"/>
        <w:left w:val="none" w:sz="0" w:space="0" w:color="auto"/>
        <w:bottom w:val="none" w:sz="0" w:space="0" w:color="auto"/>
        <w:right w:val="none" w:sz="0" w:space="0" w:color="auto"/>
      </w:divBdr>
    </w:div>
    <w:div w:id="477454005">
      <w:bodyDiv w:val="1"/>
      <w:marLeft w:val="0"/>
      <w:marRight w:val="0"/>
      <w:marTop w:val="0"/>
      <w:marBottom w:val="0"/>
      <w:divBdr>
        <w:top w:val="none" w:sz="0" w:space="0" w:color="auto"/>
        <w:left w:val="none" w:sz="0" w:space="0" w:color="auto"/>
        <w:bottom w:val="none" w:sz="0" w:space="0" w:color="auto"/>
        <w:right w:val="none" w:sz="0" w:space="0" w:color="auto"/>
      </w:divBdr>
    </w:div>
    <w:div w:id="477459468">
      <w:bodyDiv w:val="1"/>
      <w:marLeft w:val="0"/>
      <w:marRight w:val="0"/>
      <w:marTop w:val="0"/>
      <w:marBottom w:val="0"/>
      <w:divBdr>
        <w:top w:val="none" w:sz="0" w:space="0" w:color="auto"/>
        <w:left w:val="none" w:sz="0" w:space="0" w:color="auto"/>
        <w:bottom w:val="none" w:sz="0" w:space="0" w:color="auto"/>
        <w:right w:val="none" w:sz="0" w:space="0" w:color="auto"/>
      </w:divBdr>
    </w:div>
    <w:div w:id="477575198">
      <w:bodyDiv w:val="1"/>
      <w:marLeft w:val="0"/>
      <w:marRight w:val="0"/>
      <w:marTop w:val="0"/>
      <w:marBottom w:val="0"/>
      <w:divBdr>
        <w:top w:val="none" w:sz="0" w:space="0" w:color="auto"/>
        <w:left w:val="none" w:sz="0" w:space="0" w:color="auto"/>
        <w:bottom w:val="none" w:sz="0" w:space="0" w:color="auto"/>
        <w:right w:val="none" w:sz="0" w:space="0" w:color="auto"/>
      </w:divBdr>
    </w:div>
    <w:div w:id="477646739">
      <w:bodyDiv w:val="1"/>
      <w:marLeft w:val="0"/>
      <w:marRight w:val="0"/>
      <w:marTop w:val="0"/>
      <w:marBottom w:val="0"/>
      <w:divBdr>
        <w:top w:val="none" w:sz="0" w:space="0" w:color="auto"/>
        <w:left w:val="none" w:sz="0" w:space="0" w:color="auto"/>
        <w:bottom w:val="none" w:sz="0" w:space="0" w:color="auto"/>
        <w:right w:val="none" w:sz="0" w:space="0" w:color="auto"/>
      </w:divBdr>
    </w:div>
    <w:div w:id="477652579">
      <w:bodyDiv w:val="1"/>
      <w:marLeft w:val="0"/>
      <w:marRight w:val="0"/>
      <w:marTop w:val="0"/>
      <w:marBottom w:val="0"/>
      <w:divBdr>
        <w:top w:val="none" w:sz="0" w:space="0" w:color="auto"/>
        <w:left w:val="none" w:sz="0" w:space="0" w:color="auto"/>
        <w:bottom w:val="none" w:sz="0" w:space="0" w:color="auto"/>
        <w:right w:val="none" w:sz="0" w:space="0" w:color="auto"/>
      </w:divBdr>
    </w:div>
    <w:div w:id="477654594">
      <w:bodyDiv w:val="1"/>
      <w:marLeft w:val="0"/>
      <w:marRight w:val="0"/>
      <w:marTop w:val="0"/>
      <w:marBottom w:val="0"/>
      <w:divBdr>
        <w:top w:val="none" w:sz="0" w:space="0" w:color="auto"/>
        <w:left w:val="none" w:sz="0" w:space="0" w:color="auto"/>
        <w:bottom w:val="none" w:sz="0" w:space="0" w:color="auto"/>
        <w:right w:val="none" w:sz="0" w:space="0" w:color="auto"/>
      </w:divBdr>
    </w:div>
    <w:div w:id="477693537">
      <w:bodyDiv w:val="1"/>
      <w:marLeft w:val="0"/>
      <w:marRight w:val="0"/>
      <w:marTop w:val="0"/>
      <w:marBottom w:val="0"/>
      <w:divBdr>
        <w:top w:val="none" w:sz="0" w:space="0" w:color="auto"/>
        <w:left w:val="none" w:sz="0" w:space="0" w:color="auto"/>
        <w:bottom w:val="none" w:sz="0" w:space="0" w:color="auto"/>
        <w:right w:val="none" w:sz="0" w:space="0" w:color="auto"/>
      </w:divBdr>
    </w:div>
    <w:div w:id="477695103">
      <w:bodyDiv w:val="1"/>
      <w:marLeft w:val="0"/>
      <w:marRight w:val="0"/>
      <w:marTop w:val="0"/>
      <w:marBottom w:val="0"/>
      <w:divBdr>
        <w:top w:val="none" w:sz="0" w:space="0" w:color="auto"/>
        <w:left w:val="none" w:sz="0" w:space="0" w:color="auto"/>
        <w:bottom w:val="none" w:sz="0" w:space="0" w:color="auto"/>
        <w:right w:val="none" w:sz="0" w:space="0" w:color="auto"/>
      </w:divBdr>
    </w:div>
    <w:div w:id="477695167">
      <w:bodyDiv w:val="1"/>
      <w:marLeft w:val="0"/>
      <w:marRight w:val="0"/>
      <w:marTop w:val="0"/>
      <w:marBottom w:val="0"/>
      <w:divBdr>
        <w:top w:val="none" w:sz="0" w:space="0" w:color="auto"/>
        <w:left w:val="none" w:sz="0" w:space="0" w:color="auto"/>
        <w:bottom w:val="none" w:sz="0" w:space="0" w:color="auto"/>
        <w:right w:val="none" w:sz="0" w:space="0" w:color="auto"/>
      </w:divBdr>
    </w:div>
    <w:div w:id="477697654">
      <w:bodyDiv w:val="1"/>
      <w:marLeft w:val="0"/>
      <w:marRight w:val="0"/>
      <w:marTop w:val="0"/>
      <w:marBottom w:val="0"/>
      <w:divBdr>
        <w:top w:val="none" w:sz="0" w:space="0" w:color="auto"/>
        <w:left w:val="none" w:sz="0" w:space="0" w:color="auto"/>
        <w:bottom w:val="none" w:sz="0" w:space="0" w:color="auto"/>
        <w:right w:val="none" w:sz="0" w:space="0" w:color="auto"/>
      </w:divBdr>
    </w:div>
    <w:div w:id="478150910">
      <w:bodyDiv w:val="1"/>
      <w:marLeft w:val="0"/>
      <w:marRight w:val="0"/>
      <w:marTop w:val="0"/>
      <w:marBottom w:val="0"/>
      <w:divBdr>
        <w:top w:val="none" w:sz="0" w:space="0" w:color="auto"/>
        <w:left w:val="none" w:sz="0" w:space="0" w:color="auto"/>
        <w:bottom w:val="none" w:sz="0" w:space="0" w:color="auto"/>
        <w:right w:val="none" w:sz="0" w:space="0" w:color="auto"/>
      </w:divBdr>
    </w:div>
    <w:div w:id="478154220">
      <w:bodyDiv w:val="1"/>
      <w:marLeft w:val="0"/>
      <w:marRight w:val="0"/>
      <w:marTop w:val="0"/>
      <w:marBottom w:val="0"/>
      <w:divBdr>
        <w:top w:val="none" w:sz="0" w:space="0" w:color="auto"/>
        <w:left w:val="none" w:sz="0" w:space="0" w:color="auto"/>
        <w:bottom w:val="none" w:sz="0" w:space="0" w:color="auto"/>
        <w:right w:val="none" w:sz="0" w:space="0" w:color="auto"/>
      </w:divBdr>
    </w:div>
    <w:div w:id="478226712">
      <w:bodyDiv w:val="1"/>
      <w:marLeft w:val="0"/>
      <w:marRight w:val="0"/>
      <w:marTop w:val="0"/>
      <w:marBottom w:val="0"/>
      <w:divBdr>
        <w:top w:val="none" w:sz="0" w:space="0" w:color="auto"/>
        <w:left w:val="none" w:sz="0" w:space="0" w:color="auto"/>
        <w:bottom w:val="none" w:sz="0" w:space="0" w:color="auto"/>
        <w:right w:val="none" w:sz="0" w:space="0" w:color="auto"/>
      </w:divBdr>
    </w:div>
    <w:div w:id="478229756">
      <w:bodyDiv w:val="1"/>
      <w:marLeft w:val="0"/>
      <w:marRight w:val="0"/>
      <w:marTop w:val="0"/>
      <w:marBottom w:val="0"/>
      <w:divBdr>
        <w:top w:val="none" w:sz="0" w:space="0" w:color="auto"/>
        <w:left w:val="none" w:sz="0" w:space="0" w:color="auto"/>
        <w:bottom w:val="none" w:sz="0" w:space="0" w:color="auto"/>
        <w:right w:val="none" w:sz="0" w:space="0" w:color="auto"/>
      </w:divBdr>
    </w:div>
    <w:div w:id="478232214">
      <w:bodyDiv w:val="1"/>
      <w:marLeft w:val="0"/>
      <w:marRight w:val="0"/>
      <w:marTop w:val="0"/>
      <w:marBottom w:val="0"/>
      <w:divBdr>
        <w:top w:val="none" w:sz="0" w:space="0" w:color="auto"/>
        <w:left w:val="none" w:sz="0" w:space="0" w:color="auto"/>
        <w:bottom w:val="none" w:sz="0" w:space="0" w:color="auto"/>
        <w:right w:val="none" w:sz="0" w:space="0" w:color="auto"/>
      </w:divBdr>
    </w:div>
    <w:div w:id="478350689">
      <w:bodyDiv w:val="1"/>
      <w:marLeft w:val="0"/>
      <w:marRight w:val="0"/>
      <w:marTop w:val="0"/>
      <w:marBottom w:val="0"/>
      <w:divBdr>
        <w:top w:val="none" w:sz="0" w:space="0" w:color="auto"/>
        <w:left w:val="none" w:sz="0" w:space="0" w:color="auto"/>
        <w:bottom w:val="none" w:sz="0" w:space="0" w:color="auto"/>
        <w:right w:val="none" w:sz="0" w:space="0" w:color="auto"/>
      </w:divBdr>
    </w:div>
    <w:div w:id="478494323">
      <w:bodyDiv w:val="1"/>
      <w:marLeft w:val="0"/>
      <w:marRight w:val="0"/>
      <w:marTop w:val="0"/>
      <w:marBottom w:val="0"/>
      <w:divBdr>
        <w:top w:val="none" w:sz="0" w:space="0" w:color="auto"/>
        <w:left w:val="none" w:sz="0" w:space="0" w:color="auto"/>
        <w:bottom w:val="none" w:sz="0" w:space="0" w:color="auto"/>
        <w:right w:val="none" w:sz="0" w:space="0" w:color="auto"/>
      </w:divBdr>
    </w:div>
    <w:div w:id="478495324">
      <w:bodyDiv w:val="1"/>
      <w:marLeft w:val="0"/>
      <w:marRight w:val="0"/>
      <w:marTop w:val="0"/>
      <w:marBottom w:val="0"/>
      <w:divBdr>
        <w:top w:val="none" w:sz="0" w:space="0" w:color="auto"/>
        <w:left w:val="none" w:sz="0" w:space="0" w:color="auto"/>
        <w:bottom w:val="none" w:sz="0" w:space="0" w:color="auto"/>
        <w:right w:val="none" w:sz="0" w:space="0" w:color="auto"/>
      </w:divBdr>
    </w:div>
    <w:div w:id="478500050">
      <w:bodyDiv w:val="1"/>
      <w:marLeft w:val="0"/>
      <w:marRight w:val="0"/>
      <w:marTop w:val="0"/>
      <w:marBottom w:val="0"/>
      <w:divBdr>
        <w:top w:val="none" w:sz="0" w:space="0" w:color="auto"/>
        <w:left w:val="none" w:sz="0" w:space="0" w:color="auto"/>
        <w:bottom w:val="none" w:sz="0" w:space="0" w:color="auto"/>
        <w:right w:val="none" w:sz="0" w:space="0" w:color="auto"/>
      </w:divBdr>
    </w:div>
    <w:div w:id="478544078">
      <w:bodyDiv w:val="1"/>
      <w:marLeft w:val="0"/>
      <w:marRight w:val="0"/>
      <w:marTop w:val="0"/>
      <w:marBottom w:val="0"/>
      <w:divBdr>
        <w:top w:val="none" w:sz="0" w:space="0" w:color="auto"/>
        <w:left w:val="none" w:sz="0" w:space="0" w:color="auto"/>
        <w:bottom w:val="none" w:sz="0" w:space="0" w:color="auto"/>
        <w:right w:val="none" w:sz="0" w:space="0" w:color="auto"/>
      </w:divBdr>
    </w:div>
    <w:div w:id="478569828">
      <w:bodyDiv w:val="1"/>
      <w:marLeft w:val="0"/>
      <w:marRight w:val="0"/>
      <w:marTop w:val="0"/>
      <w:marBottom w:val="0"/>
      <w:divBdr>
        <w:top w:val="none" w:sz="0" w:space="0" w:color="auto"/>
        <w:left w:val="none" w:sz="0" w:space="0" w:color="auto"/>
        <w:bottom w:val="none" w:sz="0" w:space="0" w:color="auto"/>
        <w:right w:val="none" w:sz="0" w:space="0" w:color="auto"/>
      </w:divBdr>
    </w:div>
    <w:div w:id="478574886">
      <w:bodyDiv w:val="1"/>
      <w:marLeft w:val="0"/>
      <w:marRight w:val="0"/>
      <w:marTop w:val="0"/>
      <w:marBottom w:val="0"/>
      <w:divBdr>
        <w:top w:val="none" w:sz="0" w:space="0" w:color="auto"/>
        <w:left w:val="none" w:sz="0" w:space="0" w:color="auto"/>
        <w:bottom w:val="none" w:sz="0" w:space="0" w:color="auto"/>
        <w:right w:val="none" w:sz="0" w:space="0" w:color="auto"/>
      </w:divBdr>
    </w:div>
    <w:div w:id="478687764">
      <w:bodyDiv w:val="1"/>
      <w:marLeft w:val="0"/>
      <w:marRight w:val="0"/>
      <w:marTop w:val="0"/>
      <w:marBottom w:val="0"/>
      <w:divBdr>
        <w:top w:val="none" w:sz="0" w:space="0" w:color="auto"/>
        <w:left w:val="none" w:sz="0" w:space="0" w:color="auto"/>
        <w:bottom w:val="none" w:sz="0" w:space="0" w:color="auto"/>
        <w:right w:val="none" w:sz="0" w:space="0" w:color="auto"/>
      </w:divBdr>
    </w:div>
    <w:div w:id="478763041">
      <w:bodyDiv w:val="1"/>
      <w:marLeft w:val="0"/>
      <w:marRight w:val="0"/>
      <w:marTop w:val="0"/>
      <w:marBottom w:val="0"/>
      <w:divBdr>
        <w:top w:val="none" w:sz="0" w:space="0" w:color="auto"/>
        <w:left w:val="none" w:sz="0" w:space="0" w:color="auto"/>
        <w:bottom w:val="none" w:sz="0" w:space="0" w:color="auto"/>
        <w:right w:val="none" w:sz="0" w:space="0" w:color="auto"/>
      </w:divBdr>
    </w:div>
    <w:div w:id="478886609">
      <w:bodyDiv w:val="1"/>
      <w:marLeft w:val="0"/>
      <w:marRight w:val="0"/>
      <w:marTop w:val="0"/>
      <w:marBottom w:val="0"/>
      <w:divBdr>
        <w:top w:val="none" w:sz="0" w:space="0" w:color="auto"/>
        <w:left w:val="none" w:sz="0" w:space="0" w:color="auto"/>
        <w:bottom w:val="none" w:sz="0" w:space="0" w:color="auto"/>
        <w:right w:val="none" w:sz="0" w:space="0" w:color="auto"/>
      </w:divBdr>
    </w:div>
    <w:div w:id="478956263">
      <w:bodyDiv w:val="1"/>
      <w:marLeft w:val="0"/>
      <w:marRight w:val="0"/>
      <w:marTop w:val="0"/>
      <w:marBottom w:val="0"/>
      <w:divBdr>
        <w:top w:val="none" w:sz="0" w:space="0" w:color="auto"/>
        <w:left w:val="none" w:sz="0" w:space="0" w:color="auto"/>
        <w:bottom w:val="none" w:sz="0" w:space="0" w:color="auto"/>
        <w:right w:val="none" w:sz="0" w:space="0" w:color="auto"/>
      </w:divBdr>
    </w:div>
    <w:div w:id="479004955">
      <w:bodyDiv w:val="1"/>
      <w:marLeft w:val="0"/>
      <w:marRight w:val="0"/>
      <w:marTop w:val="0"/>
      <w:marBottom w:val="0"/>
      <w:divBdr>
        <w:top w:val="none" w:sz="0" w:space="0" w:color="auto"/>
        <w:left w:val="none" w:sz="0" w:space="0" w:color="auto"/>
        <w:bottom w:val="none" w:sz="0" w:space="0" w:color="auto"/>
        <w:right w:val="none" w:sz="0" w:space="0" w:color="auto"/>
      </w:divBdr>
    </w:div>
    <w:div w:id="479080675">
      <w:bodyDiv w:val="1"/>
      <w:marLeft w:val="0"/>
      <w:marRight w:val="0"/>
      <w:marTop w:val="0"/>
      <w:marBottom w:val="0"/>
      <w:divBdr>
        <w:top w:val="none" w:sz="0" w:space="0" w:color="auto"/>
        <w:left w:val="none" w:sz="0" w:space="0" w:color="auto"/>
        <w:bottom w:val="none" w:sz="0" w:space="0" w:color="auto"/>
        <w:right w:val="none" w:sz="0" w:space="0" w:color="auto"/>
      </w:divBdr>
    </w:div>
    <w:div w:id="479082381">
      <w:bodyDiv w:val="1"/>
      <w:marLeft w:val="0"/>
      <w:marRight w:val="0"/>
      <w:marTop w:val="0"/>
      <w:marBottom w:val="0"/>
      <w:divBdr>
        <w:top w:val="none" w:sz="0" w:space="0" w:color="auto"/>
        <w:left w:val="none" w:sz="0" w:space="0" w:color="auto"/>
        <w:bottom w:val="none" w:sz="0" w:space="0" w:color="auto"/>
        <w:right w:val="none" w:sz="0" w:space="0" w:color="auto"/>
      </w:divBdr>
    </w:div>
    <w:div w:id="479225365">
      <w:bodyDiv w:val="1"/>
      <w:marLeft w:val="0"/>
      <w:marRight w:val="0"/>
      <w:marTop w:val="0"/>
      <w:marBottom w:val="0"/>
      <w:divBdr>
        <w:top w:val="none" w:sz="0" w:space="0" w:color="auto"/>
        <w:left w:val="none" w:sz="0" w:space="0" w:color="auto"/>
        <w:bottom w:val="none" w:sz="0" w:space="0" w:color="auto"/>
        <w:right w:val="none" w:sz="0" w:space="0" w:color="auto"/>
      </w:divBdr>
    </w:div>
    <w:div w:id="479228260">
      <w:bodyDiv w:val="1"/>
      <w:marLeft w:val="0"/>
      <w:marRight w:val="0"/>
      <w:marTop w:val="0"/>
      <w:marBottom w:val="0"/>
      <w:divBdr>
        <w:top w:val="none" w:sz="0" w:space="0" w:color="auto"/>
        <w:left w:val="none" w:sz="0" w:space="0" w:color="auto"/>
        <w:bottom w:val="none" w:sz="0" w:space="0" w:color="auto"/>
        <w:right w:val="none" w:sz="0" w:space="0" w:color="auto"/>
      </w:divBdr>
    </w:div>
    <w:div w:id="479347940">
      <w:bodyDiv w:val="1"/>
      <w:marLeft w:val="0"/>
      <w:marRight w:val="0"/>
      <w:marTop w:val="0"/>
      <w:marBottom w:val="0"/>
      <w:divBdr>
        <w:top w:val="none" w:sz="0" w:space="0" w:color="auto"/>
        <w:left w:val="none" w:sz="0" w:space="0" w:color="auto"/>
        <w:bottom w:val="none" w:sz="0" w:space="0" w:color="auto"/>
        <w:right w:val="none" w:sz="0" w:space="0" w:color="auto"/>
      </w:divBdr>
    </w:div>
    <w:div w:id="479468475">
      <w:bodyDiv w:val="1"/>
      <w:marLeft w:val="0"/>
      <w:marRight w:val="0"/>
      <w:marTop w:val="0"/>
      <w:marBottom w:val="0"/>
      <w:divBdr>
        <w:top w:val="none" w:sz="0" w:space="0" w:color="auto"/>
        <w:left w:val="none" w:sz="0" w:space="0" w:color="auto"/>
        <w:bottom w:val="none" w:sz="0" w:space="0" w:color="auto"/>
        <w:right w:val="none" w:sz="0" w:space="0" w:color="auto"/>
      </w:divBdr>
    </w:div>
    <w:div w:id="479470191">
      <w:bodyDiv w:val="1"/>
      <w:marLeft w:val="0"/>
      <w:marRight w:val="0"/>
      <w:marTop w:val="0"/>
      <w:marBottom w:val="0"/>
      <w:divBdr>
        <w:top w:val="none" w:sz="0" w:space="0" w:color="auto"/>
        <w:left w:val="none" w:sz="0" w:space="0" w:color="auto"/>
        <w:bottom w:val="none" w:sz="0" w:space="0" w:color="auto"/>
        <w:right w:val="none" w:sz="0" w:space="0" w:color="auto"/>
      </w:divBdr>
    </w:div>
    <w:div w:id="479543770">
      <w:bodyDiv w:val="1"/>
      <w:marLeft w:val="0"/>
      <w:marRight w:val="0"/>
      <w:marTop w:val="0"/>
      <w:marBottom w:val="0"/>
      <w:divBdr>
        <w:top w:val="none" w:sz="0" w:space="0" w:color="auto"/>
        <w:left w:val="none" w:sz="0" w:space="0" w:color="auto"/>
        <w:bottom w:val="none" w:sz="0" w:space="0" w:color="auto"/>
        <w:right w:val="none" w:sz="0" w:space="0" w:color="auto"/>
      </w:divBdr>
    </w:div>
    <w:div w:id="479661669">
      <w:bodyDiv w:val="1"/>
      <w:marLeft w:val="0"/>
      <w:marRight w:val="0"/>
      <w:marTop w:val="0"/>
      <w:marBottom w:val="0"/>
      <w:divBdr>
        <w:top w:val="none" w:sz="0" w:space="0" w:color="auto"/>
        <w:left w:val="none" w:sz="0" w:space="0" w:color="auto"/>
        <w:bottom w:val="none" w:sz="0" w:space="0" w:color="auto"/>
        <w:right w:val="none" w:sz="0" w:space="0" w:color="auto"/>
      </w:divBdr>
    </w:div>
    <w:div w:id="479689805">
      <w:bodyDiv w:val="1"/>
      <w:marLeft w:val="0"/>
      <w:marRight w:val="0"/>
      <w:marTop w:val="0"/>
      <w:marBottom w:val="0"/>
      <w:divBdr>
        <w:top w:val="none" w:sz="0" w:space="0" w:color="auto"/>
        <w:left w:val="none" w:sz="0" w:space="0" w:color="auto"/>
        <w:bottom w:val="none" w:sz="0" w:space="0" w:color="auto"/>
        <w:right w:val="none" w:sz="0" w:space="0" w:color="auto"/>
      </w:divBdr>
    </w:div>
    <w:div w:id="479730980">
      <w:bodyDiv w:val="1"/>
      <w:marLeft w:val="0"/>
      <w:marRight w:val="0"/>
      <w:marTop w:val="0"/>
      <w:marBottom w:val="0"/>
      <w:divBdr>
        <w:top w:val="none" w:sz="0" w:space="0" w:color="auto"/>
        <w:left w:val="none" w:sz="0" w:space="0" w:color="auto"/>
        <w:bottom w:val="none" w:sz="0" w:space="0" w:color="auto"/>
        <w:right w:val="none" w:sz="0" w:space="0" w:color="auto"/>
      </w:divBdr>
    </w:div>
    <w:div w:id="479880645">
      <w:bodyDiv w:val="1"/>
      <w:marLeft w:val="0"/>
      <w:marRight w:val="0"/>
      <w:marTop w:val="0"/>
      <w:marBottom w:val="0"/>
      <w:divBdr>
        <w:top w:val="none" w:sz="0" w:space="0" w:color="auto"/>
        <w:left w:val="none" w:sz="0" w:space="0" w:color="auto"/>
        <w:bottom w:val="none" w:sz="0" w:space="0" w:color="auto"/>
        <w:right w:val="none" w:sz="0" w:space="0" w:color="auto"/>
      </w:divBdr>
    </w:div>
    <w:div w:id="479929731">
      <w:bodyDiv w:val="1"/>
      <w:marLeft w:val="0"/>
      <w:marRight w:val="0"/>
      <w:marTop w:val="0"/>
      <w:marBottom w:val="0"/>
      <w:divBdr>
        <w:top w:val="none" w:sz="0" w:space="0" w:color="auto"/>
        <w:left w:val="none" w:sz="0" w:space="0" w:color="auto"/>
        <w:bottom w:val="none" w:sz="0" w:space="0" w:color="auto"/>
        <w:right w:val="none" w:sz="0" w:space="0" w:color="auto"/>
      </w:divBdr>
    </w:div>
    <w:div w:id="479998448">
      <w:bodyDiv w:val="1"/>
      <w:marLeft w:val="0"/>
      <w:marRight w:val="0"/>
      <w:marTop w:val="0"/>
      <w:marBottom w:val="0"/>
      <w:divBdr>
        <w:top w:val="none" w:sz="0" w:space="0" w:color="auto"/>
        <w:left w:val="none" w:sz="0" w:space="0" w:color="auto"/>
        <w:bottom w:val="none" w:sz="0" w:space="0" w:color="auto"/>
        <w:right w:val="none" w:sz="0" w:space="0" w:color="auto"/>
      </w:divBdr>
    </w:div>
    <w:div w:id="479999190">
      <w:bodyDiv w:val="1"/>
      <w:marLeft w:val="0"/>
      <w:marRight w:val="0"/>
      <w:marTop w:val="0"/>
      <w:marBottom w:val="0"/>
      <w:divBdr>
        <w:top w:val="none" w:sz="0" w:space="0" w:color="auto"/>
        <w:left w:val="none" w:sz="0" w:space="0" w:color="auto"/>
        <w:bottom w:val="none" w:sz="0" w:space="0" w:color="auto"/>
        <w:right w:val="none" w:sz="0" w:space="0" w:color="auto"/>
      </w:divBdr>
    </w:div>
    <w:div w:id="480001803">
      <w:bodyDiv w:val="1"/>
      <w:marLeft w:val="0"/>
      <w:marRight w:val="0"/>
      <w:marTop w:val="0"/>
      <w:marBottom w:val="0"/>
      <w:divBdr>
        <w:top w:val="none" w:sz="0" w:space="0" w:color="auto"/>
        <w:left w:val="none" w:sz="0" w:space="0" w:color="auto"/>
        <w:bottom w:val="none" w:sz="0" w:space="0" w:color="auto"/>
        <w:right w:val="none" w:sz="0" w:space="0" w:color="auto"/>
      </w:divBdr>
    </w:div>
    <w:div w:id="480082603">
      <w:bodyDiv w:val="1"/>
      <w:marLeft w:val="0"/>
      <w:marRight w:val="0"/>
      <w:marTop w:val="0"/>
      <w:marBottom w:val="0"/>
      <w:divBdr>
        <w:top w:val="none" w:sz="0" w:space="0" w:color="auto"/>
        <w:left w:val="none" w:sz="0" w:space="0" w:color="auto"/>
        <w:bottom w:val="none" w:sz="0" w:space="0" w:color="auto"/>
        <w:right w:val="none" w:sz="0" w:space="0" w:color="auto"/>
      </w:divBdr>
    </w:div>
    <w:div w:id="480148800">
      <w:bodyDiv w:val="1"/>
      <w:marLeft w:val="0"/>
      <w:marRight w:val="0"/>
      <w:marTop w:val="0"/>
      <w:marBottom w:val="0"/>
      <w:divBdr>
        <w:top w:val="none" w:sz="0" w:space="0" w:color="auto"/>
        <w:left w:val="none" w:sz="0" w:space="0" w:color="auto"/>
        <w:bottom w:val="none" w:sz="0" w:space="0" w:color="auto"/>
        <w:right w:val="none" w:sz="0" w:space="0" w:color="auto"/>
      </w:divBdr>
    </w:div>
    <w:div w:id="480267992">
      <w:bodyDiv w:val="1"/>
      <w:marLeft w:val="0"/>
      <w:marRight w:val="0"/>
      <w:marTop w:val="0"/>
      <w:marBottom w:val="0"/>
      <w:divBdr>
        <w:top w:val="none" w:sz="0" w:space="0" w:color="auto"/>
        <w:left w:val="none" w:sz="0" w:space="0" w:color="auto"/>
        <w:bottom w:val="none" w:sz="0" w:space="0" w:color="auto"/>
        <w:right w:val="none" w:sz="0" w:space="0" w:color="auto"/>
      </w:divBdr>
    </w:div>
    <w:div w:id="480272951">
      <w:bodyDiv w:val="1"/>
      <w:marLeft w:val="0"/>
      <w:marRight w:val="0"/>
      <w:marTop w:val="0"/>
      <w:marBottom w:val="0"/>
      <w:divBdr>
        <w:top w:val="none" w:sz="0" w:space="0" w:color="auto"/>
        <w:left w:val="none" w:sz="0" w:space="0" w:color="auto"/>
        <w:bottom w:val="none" w:sz="0" w:space="0" w:color="auto"/>
        <w:right w:val="none" w:sz="0" w:space="0" w:color="auto"/>
      </w:divBdr>
    </w:div>
    <w:div w:id="480275579">
      <w:bodyDiv w:val="1"/>
      <w:marLeft w:val="0"/>
      <w:marRight w:val="0"/>
      <w:marTop w:val="0"/>
      <w:marBottom w:val="0"/>
      <w:divBdr>
        <w:top w:val="none" w:sz="0" w:space="0" w:color="auto"/>
        <w:left w:val="none" w:sz="0" w:space="0" w:color="auto"/>
        <w:bottom w:val="none" w:sz="0" w:space="0" w:color="auto"/>
        <w:right w:val="none" w:sz="0" w:space="0" w:color="auto"/>
      </w:divBdr>
    </w:div>
    <w:div w:id="480343848">
      <w:bodyDiv w:val="1"/>
      <w:marLeft w:val="0"/>
      <w:marRight w:val="0"/>
      <w:marTop w:val="0"/>
      <w:marBottom w:val="0"/>
      <w:divBdr>
        <w:top w:val="none" w:sz="0" w:space="0" w:color="auto"/>
        <w:left w:val="none" w:sz="0" w:space="0" w:color="auto"/>
        <w:bottom w:val="none" w:sz="0" w:space="0" w:color="auto"/>
        <w:right w:val="none" w:sz="0" w:space="0" w:color="auto"/>
      </w:divBdr>
    </w:div>
    <w:div w:id="480460701">
      <w:bodyDiv w:val="1"/>
      <w:marLeft w:val="0"/>
      <w:marRight w:val="0"/>
      <w:marTop w:val="0"/>
      <w:marBottom w:val="0"/>
      <w:divBdr>
        <w:top w:val="none" w:sz="0" w:space="0" w:color="auto"/>
        <w:left w:val="none" w:sz="0" w:space="0" w:color="auto"/>
        <w:bottom w:val="none" w:sz="0" w:space="0" w:color="auto"/>
        <w:right w:val="none" w:sz="0" w:space="0" w:color="auto"/>
      </w:divBdr>
    </w:div>
    <w:div w:id="480469392">
      <w:bodyDiv w:val="1"/>
      <w:marLeft w:val="0"/>
      <w:marRight w:val="0"/>
      <w:marTop w:val="0"/>
      <w:marBottom w:val="0"/>
      <w:divBdr>
        <w:top w:val="none" w:sz="0" w:space="0" w:color="auto"/>
        <w:left w:val="none" w:sz="0" w:space="0" w:color="auto"/>
        <w:bottom w:val="none" w:sz="0" w:space="0" w:color="auto"/>
        <w:right w:val="none" w:sz="0" w:space="0" w:color="auto"/>
      </w:divBdr>
    </w:div>
    <w:div w:id="480537832">
      <w:bodyDiv w:val="1"/>
      <w:marLeft w:val="0"/>
      <w:marRight w:val="0"/>
      <w:marTop w:val="0"/>
      <w:marBottom w:val="0"/>
      <w:divBdr>
        <w:top w:val="none" w:sz="0" w:space="0" w:color="auto"/>
        <w:left w:val="none" w:sz="0" w:space="0" w:color="auto"/>
        <w:bottom w:val="none" w:sz="0" w:space="0" w:color="auto"/>
        <w:right w:val="none" w:sz="0" w:space="0" w:color="auto"/>
      </w:divBdr>
    </w:div>
    <w:div w:id="480542682">
      <w:bodyDiv w:val="1"/>
      <w:marLeft w:val="0"/>
      <w:marRight w:val="0"/>
      <w:marTop w:val="0"/>
      <w:marBottom w:val="0"/>
      <w:divBdr>
        <w:top w:val="none" w:sz="0" w:space="0" w:color="auto"/>
        <w:left w:val="none" w:sz="0" w:space="0" w:color="auto"/>
        <w:bottom w:val="none" w:sz="0" w:space="0" w:color="auto"/>
        <w:right w:val="none" w:sz="0" w:space="0" w:color="auto"/>
      </w:divBdr>
    </w:div>
    <w:div w:id="480586332">
      <w:bodyDiv w:val="1"/>
      <w:marLeft w:val="0"/>
      <w:marRight w:val="0"/>
      <w:marTop w:val="0"/>
      <w:marBottom w:val="0"/>
      <w:divBdr>
        <w:top w:val="none" w:sz="0" w:space="0" w:color="auto"/>
        <w:left w:val="none" w:sz="0" w:space="0" w:color="auto"/>
        <w:bottom w:val="none" w:sz="0" w:space="0" w:color="auto"/>
        <w:right w:val="none" w:sz="0" w:space="0" w:color="auto"/>
      </w:divBdr>
    </w:div>
    <w:div w:id="480660604">
      <w:bodyDiv w:val="1"/>
      <w:marLeft w:val="0"/>
      <w:marRight w:val="0"/>
      <w:marTop w:val="0"/>
      <w:marBottom w:val="0"/>
      <w:divBdr>
        <w:top w:val="none" w:sz="0" w:space="0" w:color="auto"/>
        <w:left w:val="none" w:sz="0" w:space="0" w:color="auto"/>
        <w:bottom w:val="none" w:sz="0" w:space="0" w:color="auto"/>
        <w:right w:val="none" w:sz="0" w:space="0" w:color="auto"/>
      </w:divBdr>
    </w:div>
    <w:div w:id="480729137">
      <w:bodyDiv w:val="1"/>
      <w:marLeft w:val="0"/>
      <w:marRight w:val="0"/>
      <w:marTop w:val="0"/>
      <w:marBottom w:val="0"/>
      <w:divBdr>
        <w:top w:val="none" w:sz="0" w:space="0" w:color="auto"/>
        <w:left w:val="none" w:sz="0" w:space="0" w:color="auto"/>
        <w:bottom w:val="none" w:sz="0" w:space="0" w:color="auto"/>
        <w:right w:val="none" w:sz="0" w:space="0" w:color="auto"/>
      </w:divBdr>
    </w:div>
    <w:div w:id="480774294">
      <w:bodyDiv w:val="1"/>
      <w:marLeft w:val="0"/>
      <w:marRight w:val="0"/>
      <w:marTop w:val="0"/>
      <w:marBottom w:val="0"/>
      <w:divBdr>
        <w:top w:val="none" w:sz="0" w:space="0" w:color="auto"/>
        <w:left w:val="none" w:sz="0" w:space="0" w:color="auto"/>
        <w:bottom w:val="none" w:sz="0" w:space="0" w:color="auto"/>
        <w:right w:val="none" w:sz="0" w:space="0" w:color="auto"/>
      </w:divBdr>
    </w:div>
    <w:div w:id="480777579">
      <w:bodyDiv w:val="1"/>
      <w:marLeft w:val="0"/>
      <w:marRight w:val="0"/>
      <w:marTop w:val="0"/>
      <w:marBottom w:val="0"/>
      <w:divBdr>
        <w:top w:val="none" w:sz="0" w:space="0" w:color="auto"/>
        <w:left w:val="none" w:sz="0" w:space="0" w:color="auto"/>
        <w:bottom w:val="none" w:sz="0" w:space="0" w:color="auto"/>
        <w:right w:val="none" w:sz="0" w:space="0" w:color="auto"/>
      </w:divBdr>
    </w:div>
    <w:div w:id="480854024">
      <w:bodyDiv w:val="1"/>
      <w:marLeft w:val="0"/>
      <w:marRight w:val="0"/>
      <w:marTop w:val="0"/>
      <w:marBottom w:val="0"/>
      <w:divBdr>
        <w:top w:val="none" w:sz="0" w:space="0" w:color="auto"/>
        <w:left w:val="none" w:sz="0" w:space="0" w:color="auto"/>
        <w:bottom w:val="none" w:sz="0" w:space="0" w:color="auto"/>
        <w:right w:val="none" w:sz="0" w:space="0" w:color="auto"/>
      </w:divBdr>
    </w:div>
    <w:div w:id="480922295">
      <w:bodyDiv w:val="1"/>
      <w:marLeft w:val="0"/>
      <w:marRight w:val="0"/>
      <w:marTop w:val="0"/>
      <w:marBottom w:val="0"/>
      <w:divBdr>
        <w:top w:val="none" w:sz="0" w:space="0" w:color="auto"/>
        <w:left w:val="none" w:sz="0" w:space="0" w:color="auto"/>
        <w:bottom w:val="none" w:sz="0" w:space="0" w:color="auto"/>
        <w:right w:val="none" w:sz="0" w:space="0" w:color="auto"/>
      </w:divBdr>
    </w:div>
    <w:div w:id="480924672">
      <w:bodyDiv w:val="1"/>
      <w:marLeft w:val="0"/>
      <w:marRight w:val="0"/>
      <w:marTop w:val="0"/>
      <w:marBottom w:val="0"/>
      <w:divBdr>
        <w:top w:val="none" w:sz="0" w:space="0" w:color="auto"/>
        <w:left w:val="none" w:sz="0" w:space="0" w:color="auto"/>
        <w:bottom w:val="none" w:sz="0" w:space="0" w:color="auto"/>
        <w:right w:val="none" w:sz="0" w:space="0" w:color="auto"/>
      </w:divBdr>
    </w:div>
    <w:div w:id="480924761">
      <w:bodyDiv w:val="1"/>
      <w:marLeft w:val="0"/>
      <w:marRight w:val="0"/>
      <w:marTop w:val="0"/>
      <w:marBottom w:val="0"/>
      <w:divBdr>
        <w:top w:val="none" w:sz="0" w:space="0" w:color="auto"/>
        <w:left w:val="none" w:sz="0" w:space="0" w:color="auto"/>
        <w:bottom w:val="none" w:sz="0" w:space="0" w:color="auto"/>
        <w:right w:val="none" w:sz="0" w:space="0" w:color="auto"/>
      </w:divBdr>
    </w:div>
    <w:div w:id="480972225">
      <w:bodyDiv w:val="1"/>
      <w:marLeft w:val="0"/>
      <w:marRight w:val="0"/>
      <w:marTop w:val="0"/>
      <w:marBottom w:val="0"/>
      <w:divBdr>
        <w:top w:val="none" w:sz="0" w:space="0" w:color="auto"/>
        <w:left w:val="none" w:sz="0" w:space="0" w:color="auto"/>
        <w:bottom w:val="none" w:sz="0" w:space="0" w:color="auto"/>
        <w:right w:val="none" w:sz="0" w:space="0" w:color="auto"/>
      </w:divBdr>
    </w:div>
    <w:div w:id="480998878">
      <w:bodyDiv w:val="1"/>
      <w:marLeft w:val="0"/>
      <w:marRight w:val="0"/>
      <w:marTop w:val="0"/>
      <w:marBottom w:val="0"/>
      <w:divBdr>
        <w:top w:val="none" w:sz="0" w:space="0" w:color="auto"/>
        <w:left w:val="none" w:sz="0" w:space="0" w:color="auto"/>
        <w:bottom w:val="none" w:sz="0" w:space="0" w:color="auto"/>
        <w:right w:val="none" w:sz="0" w:space="0" w:color="auto"/>
      </w:divBdr>
    </w:div>
    <w:div w:id="481041947">
      <w:bodyDiv w:val="1"/>
      <w:marLeft w:val="0"/>
      <w:marRight w:val="0"/>
      <w:marTop w:val="0"/>
      <w:marBottom w:val="0"/>
      <w:divBdr>
        <w:top w:val="none" w:sz="0" w:space="0" w:color="auto"/>
        <w:left w:val="none" w:sz="0" w:space="0" w:color="auto"/>
        <w:bottom w:val="none" w:sz="0" w:space="0" w:color="auto"/>
        <w:right w:val="none" w:sz="0" w:space="0" w:color="auto"/>
      </w:divBdr>
    </w:div>
    <w:div w:id="481042162">
      <w:bodyDiv w:val="1"/>
      <w:marLeft w:val="0"/>
      <w:marRight w:val="0"/>
      <w:marTop w:val="0"/>
      <w:marBottom w:val="0"/>
      <w:divBdr>
        <w:top w:val="none" w:sz="0" w:space="0" w:color="auto"/>
        <w:left w:val="none" w:sz="0" w:space="0" w:color="auto"/>
        <w:bottom w:val="none" w:sz="0" w:space="0" w:color="auto"/>
        <w:right w:val="none" w:sz="0" w:space="0" w:color="auto"/>
      </w:divBdr>
    </w:div>
    <w:div w:id="481115420">
      <w:bodyDiv w:val="1"/>
      <w:marLeft w:val="0"/>
      <w:marRight w:val="0"/>
      <w:marTop w:val="0"/>
      <w:marBottom w:val="0"/>
      <w:divBdr>
        <w:top w:val="none" w:sz="0" w:space="0" w:color="auto"/>
        <w:left w:val="none" w:sz="0" w:space="0" w:color="auto"/>
        <w:bottom w:val="none" w:sz="0" w:space="0" w:color="auto"/>
        <w:right w:val="none" w:sz="0" w:space="0" w:color="auto"/>
      </w:divBdr>
    </w:div>
    <w:div w:id="481193096">
      <w:bodyDiv w:val="1"/>
      <w:marLeft w:val="0"/>
      <w:marRight w:val="0"/>
      <w:marTop w:val="0"/>
      <w:marBottom w:val="0"/>
      <w:divBdr>
        <w:top w:val="none" w:sz="0" w:space="0" w:color="auto"/>
        <w:left w:val="none" w:sz="0" w:space="0" w:color="auto"/>
        <w:bottom w:val="none" w:sz="0" w:space="0" w:color="auto"/>
        <w:right w:val="none" w:sz="0" w:space="0" w:color="auto"/>
      </w:divBdr>
    </w:div>
    <w:div w:id="481313322">
      <w:bodyDiv w:val="1"/>
      <w:marLeft w:val="0"/>
      <w:marRight w:val="0"/>
      <w:marTop w:val="0"/>
      <w:marBottom w:val="0"/>
      <w:divBdr>
        <w:top w:val="none" w:sz="0" w:space="0" w:color="auto"/>
        <w:left w:val="none" w:sz="0" w:space="0" w:color="auto"/>
        <w:bottom w:val="none" w:sz="0" w:space="0" w:color="auto"/>
        <w:right w:val="none" w:sz="0" w:space="0" w:color="auto"/>
      </w:divBdr>
    </w:div>
    <w:div w:id="481389986">
      <w:bodyDiv w:val="1"/>
      <w:marLeft w:val="0"/>
      <w:marRight w:val="0"/>
      <w:marTop w:val="0"/>
      <w:marBottom w:val="0"/>
      <w:divBdr>
        <w:top w:val="none" w:sz="0" w:space="0" w:color="auto"/>
        <w:left w:val="none" w:sz="0" w:space="0" w:color="auto"/>
        <w:bottom w:val="none" w:sz="0" w:space="0" w:color="auto"/>
        <w:right w:val="none" w:sz="0" w:space="0" w:color="auto"/>
      </w:divBdr>
    </w:div>
    <w:div w:id="481502670">
      <w:bodyDiv w:val="1"/>
      <w:marLeft w:val="0"/>
      <w:marRight w:val="0"/>
      <w:marTop w:val="0"/>
      <w:marBottom w:val="0"/>
      <w:divBdr>
        <w:top w:val="none" w:sz="0" w:space="0" w:color="auto"/>
        <w:left w:val="none" w:sz="0" w:space="0" w:color="auto"/>
        <w:bottom w:val="none" w:sz="0" w:space="0" w:color="auto"/>
        <w:right w:val="none" w:sz="0" w:space="0" w:color="auto"/>
      </w:divBdr>
    </w:div>
    <w:div w:id="481584303">
      <w:bodyDiv w:val="1"/>
      <w:marLeft w:val="0"/>
      <w:marRight w:val="0"/>
      <w:marTop w:val="0"/>
      <w:marBottom w:val="0"/>
      <w:divBdr>
        <w:top w:val="none" w:sz="0" w:space="0" w:color="auto"/>
        <w:left w:val="none" w:sz="0" w:space="0" w:color="auto"/>
        <w:bottom w:val="none" w:sz="0" w:space="0" w:color="auto"/>
        <w:right w:val="none" w:sz="0" w:space="0" w:color="auto"/>
      </w:divBdr>
    </w:div>
    <w:div w:id="481890733">
      <w:bodyDiv w:val="1"/>
      <w:marLeft w:val="0"/>
      <w:marRight w:val="0"/>
      <w:marTop w:val="0"/>
      <w:marBottom w:val="0"/>
      <w:divBdr>
        <w:top w:val="none" w:sz="0" w:space="0" w:color="auto"/>
        <w:left w:val="none" w:sz="0" w:space="0" w:color="auto"/>
        <w:bottom w:val="none" w:sz="0" w:space="0" w:color="auto"/>
        <w:right w:val="none" w:sz="0" w:space="0" w:color="auto"/>
      </w:divBdr>
    </w:div>
    <w:div w:id="481897878">
      <w:bodyDiv w:val="1"/>
      <w:marLeft w:val="0"/>
      <w:marRight w:val="0"/>
      <w:marTop w:val="0"/>
      <w:marBottom w:val="0"/>
      <w:divBdr>
        <w:top w:val="none" w:sz="0" w:space="0" w:color="auto"/>
        <w:left w:val="none" w:sz="0" w:space="0" w:color="auto"/>
        <w:bottom w:val="none" w:sz="0" w:space="0" w:color="auto"/>
        <w:right w:val="none" w:sz="0" w:space="0" w:color="auto"/>
      </w:divBdr>
    </w:div>
    <w:div w:id="481966289">
      <w:bodyDiv w:val="1"/>
      <w:marLeft w:val="0"/>
      <w:marRight w:val="0"/>
      <w:marTop w:val="0"/>
      <w:marBottom w:val="0"/>
      <w:divBdr>
        <w:top w:val="none" w:sz="0" w:space="0" w:color="auto"/>
        <w:left w:val="none" w:sz="0" w:space="0" w:color="auto"/>
        <w:bottom w:val="none" w:sz="0" w:space="0" w:color="auto"/>
        <w:right w:val="none" w:sz="0" w:space="0" w:color="auto"/>
      </w:divBdr>
    </w:div>
    <w:div w:id="482041915">
      <w:bodyDiv w:val="1"/>
      <w:marLeft w:val="0"/>
      <w:marRight w:val="0"/>
      <w:marTop w:val="0"/>
      <w:marBottom w:val="0"/>
      <w:divBdr>
        <w:top w:val="none" w:sz="0" w:space="0" w:color="auto"/>
        <w:left w:val="none" w:sz="0" w:space="0" w:color="auto"/>
        <w:bottom w:val="none" w:sz="0" w:space="0" w:color="auto"/>
        <w:right w:val="none" w:sz="0" w:space="0" w:color="auto"/>
      </w:divBdr>
    </w:div>
    <w:div w:id="482239943">
      <w:bodyDiv w:val="1"/>
      <w:marLeft w:val="0"/>
      <w:marRight w:val="0"/>
      <w:marTop w:val="0"/>
      <w:marBottom w:val="0"/>
      <w:divBdr>
        <w:top w:val="none" w:sz="0" w:space="0" w:color="auto"/>
        <w:left w:val="none" w:sz="0" w:space="0" w:color="auto"/>
        <w:bottom w:val="none" w:sz="0" w:space="0" w:color="auto"/>
        <w:right w:val="none" w:sz="0" w:space="0" w:color="auto"/>
      </w:divBdr>
    </w:div>
    <w:div w:id="482280362">
      <w:bodyDiv w:val="1"/>
      <w:marLeft w:val="0"/>
      <w:marRight w:val="0"/>
      <w:marTop w:val="0"/>
      <w:marBottom w:val="0"/>
      <w:divBdr>
        <w:top w:val="none" w:sz="0" w:space="0" w:color="auto"/>
        <w:left w:val="none" w:sz="0" w:space="0" w:color="auto"/>
        <w:bottom w:val="none" w:sz="0" w:space="0" w:color="auto"/>
        <w:right w:val="none" w:sz="0" w:space="0" w:color="auto"/>
      </w:divBdr>
    </w:div>
    <w:div w:id="482307998">
      <w:bodyDiv w:val="1"/>
      <w:marLeft w:val="0"/>
      <w:marRight w:val="0"/>
      <w:marTop w:val="0"/>
      <w:marBottom w:val="0"/>
      <w:divBdr>
        <w:top w:val="none" w:sz="0" w:space="0" w:color="auto"/>
        <w:left w:val="none" w:sz="0" w:space="0" w:color="auto"/>
        <w:bottom w:val="none" w:sz="0" w:space="0" w:color="auto"/>
        <w:right w:val="none" w:sz="0" w:space="0" w:color="auto"/>
      </w:divBdr>
    </w:div>
    <w:div w:id="482358210">
      <w:bodyDiv w:val="1"/>
      <w:marLeft w:val="0"/>
      <w:marRight w:val="0"/>
      <w:marTop w:val="0"/>
      <w:marBottom w:val="0"/>
      <w:divBdr>
        <w:top w:val="none" w:sz="0" w:space="0" w:color="auto"/>
        <w:left w:val="none" w:sz="0" w:space="0" w:color="auto"/>
        <w:bottom w:val="none" w:sz="0" w:space="0" w:color="auto"/>
        <w:right w:val="none" w:sz="0" w:space="0" w:color="auto"/>
      </w:divBdr>
    </w:div>
    <w:div w:id="482432106">
      <w:bodyDiv w:val="1"/>
      <w:marLeft w:val="0"/>
      <w:marRight w:val="0"/>
      <w:marTop w:val="0"/>
      <w:marBottom w:val="0"/>
      <w:divBdr>
        <w:top w:val="none" w:sz="0" w:space="0" w:color="auto"/>
        <w:left w:val="none" w:sz="0" w:space="0" w:color="auto"/>
        <w:bottom w:val="none" w:sz="0" w:space="0" w:color="auto"/>
        <w:right w:val="none" w:sz="0" w:space="0" w:color="auto"/>
      </w:divBdr>
    </w:div>
    <w:div w:id="482627180">
      <w:bodyDiv w:val="1"/>
      <w:marLeft w:val="0"/>
      <w:marRight w:val="0"/>
      <w:marTop w:val="0"/>
      <w:marBottom w:val="0"/>
      <w:divBdr>
        <w:top w:val="none" w:sz="0" w:space="0" w:color="auto"/>
        <w:left w:val="none" w:sz="0" w:space="0" w:color="auto"/>
        <w:bottom w:val="none" w:sz="0" w:space="0" w:color="auto"/>
        <w:right w:val="none" w:sz="0" w:space="0" w:color="auto"/>
      </w:divBdr>
    </w:div>
    <w:div w:id="482743726">
      <w:bodyDiv w:val="1"/>
      <w:marLeft w:val="0"/>
      <w:marRight w:val="0"/>
      <w:marTop w:val="0"/>
      <w:marBottom w:val="0"/>
      <w:divBdr>
        <w:top w:val="none" w:sz="0" w:space="0" w:color="auto"/>
        <w:left w:val="none" w:sz="0" w:space="0" w:color="auto"/>
        <w:bottom w:val="none" w:sz="0" w:space="0" w:color="auto"/>
        <w:right w:val="none" w:sz="0" w:space="0" w:color="auto"/>
      </w:divBdr>
    </w:div>
    <w:div w:id="482746320">
      <w:bodyDiv w:val="1"/>
      <w:marLeft w:val="0"/>
      <w:marRight w:val="0"/>
      <w:marTop w:val="0"/>
      <w:marBottom w:val="0"/>
      <w:divBdr>
        <w:top w:val="none" w:sz="0" w:space="0" w:color="auto"/>
        <w:left w:val="none" w:sz="0" w:space="0" w:color="auto"/>
        <w:bottom w:val="none" w:sz="0" w:space="0" w:color="auto"/>
        <w:right w:val="none" w:sz="0" w:space="0" w:color="auto"/>
      </w:divBdr>
    </w:div>
    <w:div w:id="482821304">
      <w:bodyDiv w:val="1"/>
      <w:marLeft w:val="0"/>
      <w:marRight w:val="0"/>
      <w:marTop w:val="0"/>
      <w:marBottom w:val="0"/>
      <w:divBdr>
        <w:top w:val="none" w:sz="0" w:space="0" w:color="auto"/>
        <w:left w:val="none" w:sz="0" w:space="0" w:color="auto"/>
        <w:bottom w:val="none" w:sz="0" w:space="0" w:color="auto"/>
        <w:right w:val="none" w:sz="0" w:space="0" w:color="auto"/>
      </w:divBdr>
    </w:div>
    <w:div w:id="482890959">
      <w:bodyDiv w:val="1"/>
      <w:marLeft w:val="0"/>
      <w:marRight w:val="0"/>
      <w:marTop w:val="0"/>
      <w:marBottom w:val="0"/>
      <w:divBdr>
        <w:top w:val="none" w:sz="0" w:space="0" w:color="auto"/>
        <w:left w:val="none" w:sz="0" w:space="0" w:color="auto"/>
        <w:bottom w:val="none" w:sz="0" w:space="0" w:color="auto"/>
        <w:right w:val="none" w:sz="0" w:space="0" w:color="auto"/>
      </w:divBdr>
    </w:div>
    <w:div w:id="482894169">
      <w:bodyDiv w:val="1"/>
      <w:marLeft w:val="0"/>
      <w:marRight w:val="0"/>
      <w:marTop w:val="0"/>
      <w:marBottom w:val="0"/>
      <w:divBdr>
        <w:top w:val="none" w:sz="0" w:space="0" w:color="auto"/>
        <w:left w:val="none" w:sz="0" w:space="0" w:color="auto"/>
        <w:bottom w:val="none" w:sz="0" w:space="0" w:color="auto"/>
        <w:right w:val="none" w:sz="0" w:space="0" w:color="auto"/>
      </w:divBdr>
    </w:div>
    <w:div w:id="483083354">
      <w:bodyDiv w:val="1"/>
      <w:marLeft w:val="0"/>
      <w:marRight w:val="0"/>
      <w:marTop w:val="0"/>
      <w:marBottom w:val="0"/>
      <w:divBdr>
        <w:top w:val="none" w:sz="0" w:space="0" w:color="auto"/>
        <w:left w:val="none" w:sz="0" w:space="0" w:color="auto"/>
        <w:bottom w:val="none" w:sz="0" w:space="0" w:color="auto"/>
        <w:right w:val="none" w:sz="0" w:space="0" w:color="auto"/>
      </w:divBdr>
    </w:div>
    <w:div w:id="483159050">
      <w:bodyDiv w:val="1"/>
      <w:marLeft w:val="0"/>
      <w:marRight w:val="0"/>
      <w:marTop w:val="0"/>
      <w:marBottom w:val="0"/>
      <w:divBdr>
        <w:top w:val="none" w:sz="0" w:space="0" w:color="auto"/>
        <w:left w:val="none" w:sz="0" w:space="0" w:color="auto"/>
        <w:bottom w:val="none" w:sz="0" w:space="0" w:color="auto"/>
        <w:right w:val="none" w:sz="0" w:space="0" w:color="auto"/>
      </w:divBdr>
    </w:div>
    <w:div w:id="483350891">
      <w:bodyDiv w:val="1"/>
      <w:marLeft w:val="0"/>
      <w:marRight w:val="0"/>
      <w:marTop w:val="0"/>
      <w:marBottom w:val="0"/>
      <w:divBdr>
        <w:top w:val="none" w:sz="0" w:space="0" w:color="auto"/>
        <w:left w:val="none" w:sz="0" w:space="0" w:color="auto"/>
        <w:bottom w:val="none" w:sz="0" w:space="0" w:color="auto"/>
        <w:right w:val="none" w:sz="0" w:space="0" w:color="auto"/>
      </w:divBdr>
    </w:div>
    <w:div w:id="483425164">
      <w:bodyDiv w:val="1"/>
      <w:marLeft w:val="0"/>
      <w:marRight w:val="0"/>
      <w:marTop w:val="0"/>
      <w:marBottom w:val="0"/>
      <w:divBdr>
        <w:top w:val="none" w:sz="0" w:space="0" w:color="auto"/>
        <w:left w:val="none" w:sz="0" w:space="0" w:color="auto"/>
        <w:bottom w:val="none" w:sz="0" w:space="0" w:color="auto"/>
        <w:right w:val="none" w:sz="0" w:space="0" w:color="auto"/>
      </w:divBdr>
    </w:div>
    <w:div w:id="483471933">
      <w:bodyDiv w:val="1"/>
      <w:marLeft w:val="0"/>
      <w:marRight w:val="0"/>
      <w:marTop w:val="0"/>
      <w:marBottom w:val="0"/>
      <w:divBdr>
        <w:top w:val="none" w:sz="0" w:space="0" w:color="auto"/>
        <w:left w:val="none" w:sz="0" w:space="0" w:color="auto"/>
        <w:bottom w:val="none" w:sz="0" w:space="0" w:color="auto"/>
        <w:right w:val="none" w:sz="0" w:space="0" w:color="auto"/>
      </w:divBdr>
    </w:div>
    <w:div w:id="483474446">
      <w:bodyDiv w:val="1"/>
      <w:marLeft w:val="0"/>
      <w:marRight w:val="0"/>
      <w:marTop w:val="0"/>
      <w:marBottom w:val="0"/>
      <w:divBdr>
        <w:top w:val="none" w:sz="0" w:space="0" w:color="auto"/>
        <w:left w:val="none" w:sz="0" w:space="0" w:color="auto"/>
        <w:bottom w:val="none" w:sz="0" w:space="0" w:color="auto"/>
        <w:right w:val="none" w:sz="0" w:space="0" w:color="auto"/>
      </w:divBdr>
    </w:div>
    <w:div w:id="483594805">
      <w:bodyDiv w:val="1"/>
      <w:marLeft w:val="0"/>
      <w:marRight w:val="0"/>
      <w:marTop w:val="0"/>
      <w:marBottom w:val="0"/>
      <w:divBdr>
        <w:top w:val="none" w:sz="0" w:space="0" w:color="auto"/>
        <w:left w:val="none" w:sz="0" w:space="0" w:color="auto"/>
        <w:bottom w:val="none" w:sz="0" w:space="0" w:color="auto"/>
        <w:right w:val="none" w:sz="0" w:space="0" w:color="auto"/>
      </w:divBdr>
    </w:div>
    <w:div w:id="483661744">
      <w:bodyDiv w:val="1"/>
      <w:marLeft w:val="0"/>
      <w:marRight w:val="0"/>
      <w:marTop w:val="0"/>
      <w:marBottom w:val="0"/>
      <w:divBdr>
        <w:top w:val="none" w:sz="0" w:space="0" w:color="auto"/>
        <w:left w:val="none" w:sz="0" w:space="0" w:color="auto"/>
        <w:bottom w:val="none" w:sz="0" w:space="0" w:color="auto"/>
        <w:right w:val="none" w:sz="0" w:space="0" w:color="auto"/>
      </w:divBdr>
    </w:div>
    <w:div w:id="483738052">
      <w:bodyDiv w:val="1"/>
      <w:marLeft w:val="0"/>
      <w:marRight w:val="0"/>
      <w:marTop w:val="0"/>
      <w:marBottom w:val="0"/>
      <w:divBdr>
        <w:top w:val="none" w:sz="0" w:space="0" w:color="auto"/>
        <w:left w:val="none" w:sz="0" w:space="0" w:color="auto"/>
        <w:bottom w:val="none" w:sz="0" w:space="0" w:color="auto"/>
        <w:right w:val="none" w:sz="0" w:space="0" w:color="auto"/>
      </w:divBdr>
    </w:div>
    <w:div w:id="483742194">
      <w:bodyDiv w:val="1"/>
      <w:marLeft w:val="0"/>
      <w:marRight w:val="0"/>
      <w:marTop w:val="0"/>
      <w:marBottom w:val="0"/>
      <w:divBdr>
        <w:top w:val="none" w:sz="0" w:space="0" w:color="auto"/>
        <w:left w:val="none" w:sz="0" w:space="0" w:color="auto"/>
        <w:bottom w:val="none" w:sz="0" w:space="0" w:color="auto"/>
        <w:right w:val="none" w:sz="0" w:space="0" w:color="auto"/>
      </w:divBdr>
    </w:div>
    <w:div w:id="483938617">
      <w:bodyDiv w:val="1"/>
      <w:marLeft w:val="0"/>
      <w:marRight w:val="0"/>
      <w:marTop w:val="0"/>
      <w:marBottom w:val="0"/>
      <w:divBdr>
        <w:top w:val="none" w:sz="0" w:space="0" w:color="auto"/>
        <w:left w:val="none" w:sz="0" w:space="0" w:color="auto"/>
        <w:bottom w:val="none" w:sz="0" w:space="0" w:color="auto"/>
        <w:right w:val="none" w:sz="0" w:space="0" w:color="auto"/>
      </w:divBdr>
    </w:div>
    <w:div w:id="483938711">
      <w:bodyDiv w:val="1"/>
      <w:marLeft w:val="0"/>
      <w:marRight w:val="0"/>
      <w:marTop w:val="0"/>
      <w:marBottom w:val="0"/>
      <w:divBdr>
        <w:top w:val="none" w:sz="0" w:space="0" w:color="auto"/>
        <w:left w:val="none" w:sz="0" w:space="0" w:color="auto"/>
        <w:bottom w:val="none" w:sz="0" w:space="0" w:color="auto"/>
        <w:right w:val="none" w:sz="0" w:space="0" w:color="auto"/>
      </w:divBdr>
    </w:div>
    <w:div w:id="484010953">
      <w:bodyDiv w:val="1"/>
      <w:marLeft w:val="0"/>
      <w:marRight w:val="0"/>
      <w:marTop w:val="0"/>
      <w:marBottom w:val="0"/>
      <w:divBdr>
        <w:top w:val="none" w:sz="0" w:space="0" w:color="auto"/>
        <w:left w:val="none" w:sz="0" w:space="0" w:color="auto"/>
        <w:bottom w:val="none" w:sz="0" w:space="0" w:color="auto"/>
        <w:right w:val="none" w:sz="0" w:space="0" w:color="auto"/>
      </w:divBdr>
    </w:div>
    <w:div w:id="484128235">
      <w:bodyDiv w:val="1"/>
      <w:marLeft w:val="0"/>
      <w:marRight w:val="0"/>
      <w:marTop w:val="0"/>
      <w:marBottom w:val="0"/>
      <w:divBdr>
        <w:top w:val="none" w:sz="0" w:space="0" w:color="auto"/>
        <w:left w:val="none" w:sz="0" w:space="0" w:color="auto"/>
        <w:bottom w:val="none" w:sz="0" w:space="0" w:color="auto"/>
        <w:right w:val="none" w:sz="0" w:space="0" w:color="auto"/>
      </w:divBdr>
    </w:div>
    <w:div w:id="484247535">
      <w:bodyDiv w:val="1"/>
      <w:marLeft w:val="0"/>
      <w:marRight w:val="0"/>
      <w:marTop w:val="0"/>
      <w:marBottom w:val="0"/>
      <w:divBdr>
        <w:top w:val="none" w:sz="0" w:space="0" w:color="auto"/>
        <w:left w:val="none" w:sz="0" w:space="0" w:color="auto"/>
        <w:bottom w:val="none" w:sz="0" w:space="0" w:color="auto"/>
        <w:right w:val="none" w:sz="0" w:space="0" w:color="auto"/>
      </w:divBdr>
    </w:div>
    <w:div w:id="484320723">
      <w:bodyDiv w:val="1"/>
      <w:marLeft w:val="0"/>
      <w:marRight w:val="0"/>
      <w:marTop w:val="0"/>
      <w:marBottom w:val="0"/>
      <w:divBdr>
        <w:top w:val="none" w:sz="0" w:space="0" w:color="auto"/>
        <w:left w:val="none" w:sz="0" w:space="0" w:color="auto"/>
        <w:bottom w:val="none" w:sz="0" w:space="0" w:color="auto"/>
        <w:right w:val="none" w:sz="0" w:space="0" w:color="auto"/>
      </w:divBdr>
    </w:div>
    <w:div w:id="484591501">
      <w:bodyDiv w:val="1"/>
      <w:marLeft w:val="0"/>
      <w:marRight w:val="0"/>
      <w:marTop w:val="0"/>
      <w:marBottom w:val="0"/>
      <w:divBdr>
        <w:top w:val="none" w:sz="0" w:space="0" w:color="auto"/>
        <w:left w:val="none" w:sz="0" w:space="0" w:color="auto"/>
        <w:bottom w:val="none" w:sz="0" w:space="0" w:color="auto"/>
        <w:right w:val="none" w:sz="0" w:space="0" w:color="auto"/>
      </w:divBdr>
    </w:div>
    <w:div w:id="484667524">
      <w:bodyDiv w:val="1"/>
      <w:marLeft w:val="0"/>
      <w:marRight w:val="0"/>
      <w:marTop w:val="0"/>
      <w:marBottom w:val="0"/>
      <w:divBdr>
        <w:top w:val="none" w:sz="0" w:space="0" w:color="auto"/>
        <w:left w:val="none" w:sz="0" w:space="0" w:color="auto"/>
        <w:bottom w:val="none" w:sz="0" w:space="0" w:color="auto"/>
        <w:right w:val="none" w:sz="0" w:space="0" w:color="auto"/>
      </w:divBdr>
    </w:div>
    <w:div w:id="484669172">
      <w:bodyDiv w:val="1"/>
      <w:marLeft w:val="0"/>
      <w:marRight w:val="0"/>
      <w:marTop w:val="0"/>
      <w:marBottom w:val="0"/>
      <w:divBdr>
        <w:top w:val="none" w:sz="0" w:space="0" w:color="auto"/>
        <w:left w:val="none" w:sz="0" w:space="0" w:color="auto"/>
        <w:bottom w:val="none" w:sz="0" w:space="0" w:color="auto"/>
        <w:right w:val="none" w:sz="0" w:space="0" w:color="auto"/>
      </w:divBdr>
    </w:div>
    <w:div w:id="484704817">
      <w:bodyDiv w:val="1"/>
      <w:marLeft w:val="0"/>
      <w:marRight w:val="0"/>
      <w:marTop w:val="0"/>
      <w:marBottom w:val="0"/>
      <w:divBdr>
        <w:top w:val="none" w:sz="0" w:space="0" w:color="auto"/>
        <w:left w:val="none" w:sz="0" w:space="0" w:color="auto"/>
        <w:bottom w:val="none" w:sz="0" w:space="0" w:color="auto"/>
        <w:right w:val="none" w:sz="0" w:space="0" w:color="auto"/>
      </w:divBdr>
    </w:div>
    <w:div w:id="484780750">
      <w:bodyDiv w:val="1"/>
      <w:marLeft w:val="0"/>
      <w:marRight w:val="0"/>
      <w:marTop w:val="0"/>
      <w:marBottom w:val="0"/>
      <w:divBdr>
        <w:top w:val="none" w:sz="0" w:space="0" w:color="auto"/>
        <w:left w:val="none" w:sz="0" w:space="0" w:color="auto"/>
        <w:bottom w:val="none" w:sz="0" w:space="0" w:color="auto"/>
        <w:right w:val="none" w:sz="0" w:space="0" w:color="auto"/>
      </w:divBdr>
    </w:div>
    <w:div w:id="484787050">
      <w:bodyDiv w:val="1"/>
      <w:marLeft w:val="0"/>
      <w:marRight w:val="0"/>
      <w:marTop w:val="0"/>
      <w:marBottom w:val="0"/>
      <w:divBdr>
        <w:top w:val="none" w:sz="0" w:space="0" w:color="auto"/>
        <w:left w:val="none" w:sz="0" w:space="0" w:color="auto"/>
        <w:bottom w:val="none" w:sz="0" w:space="0" w:color="auto"/>
        <w:right w:val="none" w:sz="0" w:space="0" w:color="auto"/>
      </w:divBdr>
    </w:div>
    <w:div w:id="484930150">
      <w:bodyDiv w:val="1"/>
      <w:marLeft w:val="0"/>
      <w:marRight w:val="0"/>
      <w:marTop w:val="0"/>
      <w:marBottom w:val="0"/>
      <w:divBdr>
        <w:top w:val="none" w:sz="0" w:space="0" w:color="auto"/>
        <w:left w:val="none" w:sz="0" w:space="0" w:color="auto"/>
        <w:bottom w:val="none" w:sz="0" w:space="0" w:color="auto"/>
        <w:right w:val="none" w:sz="0" w:space="0" w:color="auto"/>
      </w:divBdr>
    </w:div>
    <w:div w:id="484931699">
      <w:bodyDiv w:val="1"/>
      <w:marLeft w:val="0"/>
      <w:marRight w:val="0"/>
      <w:marTop w:val="0"/>
      <w:marBottom w:val="0"/>
      <w:divBdr>
        <w:top w:val="none" w:sz="0" w:space="0" w:color="auto"/>
        <w:left w:val="none" w:sz="0" w:space="0" w:color="auto"/>
        <w:bottom w:val="none" w:sz="0" w:space="0" w:color="auto"/>
        <w:right w:val="none" w:sz="0" w:space="0" w:color="auto"/>
      </w:divBdr>
    </w:div>
    <w:div w:id="484980345">
      <w:bodyDiv w:val="1"/>
      <w:marLeft w:val="0"/>
      <w:marRight w:val="0"/>
      <w:marTop w:val="0"/>
      <w:marBottom w:val="0"/>
      <w:divBdr>
        <w:top w:val="none" w:sz="0" w:space="0" w:color="auto"/>
        <w:left w:val="none" w:sz="0" w:space="0" w:color="auto"/>
        <w:bottom w:val="none" w:sz="0" w:space="0" w:color="auto"/>
        <w:right w:val="none" w:sz="0" w:space="0" w:color="auto"/>
      </w:divBdr>
    </w:div>
    <w:div w:id="484980801">
      <w:bodyDiv w:val="1"/>
      <w:marLeft w:val="0"/>
      <w:marRight w:val="0"/>
      <w:marTop w:val="0"/>
      <w:marBottom w:val="0"/>
      <w:divBdr>
        <w:top w:val="none" w:sz="0" w:space="0" w:color="auto"/>
        <w:left w:val="none" w:sz="0" w:space="0" w:color="auto"/>
        <w:bottom w:val="none" w:sz="0" w:space="0" w:color="auto"/>
        <w:right w:val="none" w:sz="0" w:space="0" w:color="auto"/>
      </w:divBdr>
    </w:div>
    <w:div w:id="485054770">
      <w:bodyDiv w:val="1"/>
      <w:marLeft w:val="0"/>
      <w:marRight w:val="0"/>
      <w:marTop w:val="0"/>
      <w:marBottom w:val="0"/>
      <w:divBdr>
        <w:top w:val="none" w:sz="0" w:space="0" w:color="auto"/>
        <w:left w:val="none" w:sz="0" w:space="0" w:color="auto"/>
        <w:bottom w:val="none" w:sz="0" w:space="0" w:color="auto"/>
        <w:right w:val="none" w:sz="0" w:space="0" w:color="auto"/>
      </w:divBdr>
    </w:div>
    <w:div w:id="485098079">
      <w:bodyDiv w:val="1"/>
      <w:marLeft w:val="0"/>
      <w:marRight w:val="0"/>
      <w:marTop w:val="0"/>
      <w:marBottom w:val="0"/>
      <w:divBdr>
        <w:top w:val="none" w:sz="0" w:space="0" w:color="auto"/>
        <w:left w:val="none" w:sz="0" w:space="0" w:color="auto"/>
        <w:bottom w:val="none" w:sz="0" w:space="0" w:color="auto"/>
        <w:right w:val="none" w:sz="0" w:space="0" w:color="auto"/>
      </w:divBdr>
    </w:div>
    <w:div w:id="485174239">
      <w:bodyDiv w:val="1"/>
      <w:marLeft w:val="0"/>
      <w:marRight w:val="0"/>
      <w:marTop w:val="0"/>
      <w:marBottom w:val="0"/>
      <w:divBdr>
        <w:top w:val="none" w:sz="0" w:space="0" w:color="auto"/>
        <w:left w:val="none" w:sz="0" w:space="0" w:color="auto"/>
        <w:bottom w:val="none" w:sz="0" w:space="0" w:color="auto"/>
        <w:right w:val="none" w:sz="0" w:space="0" w:color="auto"/>
      </w:divBdr>
    </w:div>
    <w:div w:id="485174320">
      <w:bodyDiv w:val="1"/>
      <w:marLeft w:val="0"/>
      <w:marRight w:val="0"/>
      <w:marTop w:val="0"/>
      <w:marBottom w:val="0"/>
      <w:divBdr>
        <w:top w:val="none" w:sz="0" w:space="0" w:color="auto"/>
        <w:left w:val="none" w:sz="0" w:space="0" w:color="auto"/>
        <w:bottom w:val="none" w:sz="0" w:space="0" w:color="auto"/>
        <w:right w:val="none" w:sz="0" w:space="0" w:color="auto"/>
      </w:divBdr>
    </w:div>
    <w:div w:id="485361722">
      <w:bodyDiv w:val="1"/>
      <w:marLeft w:val="0"/>
      <w:marRight w:val="0"/>
      <w:marTop w:val="0"/>
      <w:marBottom w:val="0"/>
      <w:divBdr>
        <w:top w:val="none" w:sz="0" w:space="0" w:color="auto"/>
        <w:left w:val="none" w:sz="0" w:space="0" w:color="auto"/>
        <w:bottom w:val="none" w:sz="0" w:space="0" w:color="auto"/>
        <w:right w:val="none" w:sz="0" w:space="0" w:color="auto"/>
      </w:divBdr>
    </w:div>
    <w:div w:id="485366562">
      <w:bodyDiv w:val="1"/>
      <w:marLeft w:val="0"/>
      <w:marRight w:val="0"/>
      <w:marTop w:val="0"/>
      <w:marBottom w:val="0"/>
      <w:divBdr>
        <w:top w:val="none" w:sz="0" w:space="0" w:color="auto"/>
        <w:left w:val="none" w:sz="0" w:space="0" w:color="auto"/>
        <w:bottom w:val="none" w:sz="0" w:space="0" w:color="auto"/>
        <w:right w:val="none" w:sz="0" w:space="0" w:color="auto"/>
      </w:divBdr>
    </w:div>
    <w:div w:id="485440367">
      <w:bodyDiv w:val="1"/>
      <w:marLeft w:val="0"/>
      <w:marRight w:val="0"/>
      <w:marTop w:val="0"/>
      <w:marBottom w:val="0"/>
      <w:divBdr>
        <w:top w:val="none" w:sz="0" w:space="0" w:color="auto"/>
        <w:left w:val="none" w:sz="0" w:space="0" w:color="auto"/>
        <w:bottom w:val="none" w:sz="0" w:space="0" w:color="auto"/>
        <w:right w:val="none" w:sz="0" w:space="0" w:color="auto"/>
      </w:divBdr>
    </w:div>
    <w:div w:id="485585539">
      <w:bodyDiv w:val="1"/>
      <w:marLeft w:val="0"/>
      <w:marRight w:val="0"/>
      <w:marTop w:val="0"/>
      <w:marBottom w:val="0"/>
      <w:divBdr>
        <w:top w:val="none" w:sz="0" w:space="0" w:color="auto"/>
        <w:left w:val="none" w:sz="0" w:space="0" w:color="auto"/>
        <w:bottom w:val="none" w:sz="0" w:space="0" w:color="auto"/>
        <w:right w:val="none" w:sz="0" w:space="0" w:color="auto"/>
      </w:divBdr>
    </w:div>
    <w:div w:id="485707168">
      <w:bodyDiv w:val="1"/>
      <w:marLeft w:val="0"/>
      <w:marRight w:val="0"/>
      <w:marTop w:val="0"/>
      <w:marBottom w:val="0"/>
      <w:divBdr>
        <w:top w:val="none" w:sz="0" w:space="0" w:color="auto"/>
        <w:left w:val="none" w:sz="0" w:space="0" w:color="auto"/>
        <w:bottom w:val="none" w:sz="0" w:space="0" w:color="auto"/>
        <w:right w:val="none" w:sz="0" w:space="0" w:color="auto"/>
      </w:divBdr>
    </w:div>
    <w:div w:id="485711210">
      <w:bodyDiv w:val="1"/>
      <w:marLeft w:val="0"/>
      <w:marRight w:val="0"/>
      <w:marTop w:val="0"/>
      <w:marBottom w:val="0"/>
      <w:divBdr>
        <w:top w:val="none" w:sz="0" w:space="0" w:color="auto"/>
        <w:left w:val="none" w:sz="0" w:space="0" w:color="auto"/>
        <w:bottom w:val="none" w:sz="0" w:space="0" w:color="auto"/>
        <w:right w:val="none" w:sz="0" w:space="0" w:color="auto"/>
      </w:divBdr>
    </w:div>
    <w:div w:id="485711838">
      <w:bodyDiv w:val="1"/>
      <w:marLeft w:val="0"/>
      <w:marRight w:val="0"/>
      <w:marTop w:val="0"/>
      <w:marBottom w:val="0"/>
      <w:divBdr>
        <w:top w:val="none" w:sz="0" w:space="0" w:color="auto"/>
        <w:left w:val="none" w:sz="0" w:space="0" w:color="auto"/>
        <w:bottom w:val="none" w:sz="0" w:space="0" w:color="auto"/>
        <w:right w:val="none" w:sz="0" w:space="0" w:color="auto"/>
      </w:divBdr>
    </w:div>
    <w:div w:id="485777731">
      <w:bodyDiv w:val="1"/>
      <w:marLeft w:val="0"/>
      <w:marRight w:val="0"/>
      <w:marTop w:val="0"/>
      <w:marBottom w:val="0"/>
      <w:divBdr>
        <w:top w:val="none" w:sz="0" w:space="0" w:color="auto"/>
        <w:left w:val="none" w:sz="0" w:space="0" w:color="auto"/>
        <w:bottom w:val="none" w:sz="0" w:space="0" w:color="auto"/>
        <w:right w:val="none" w:sz="0" w:space="0" w:color="auto"/>
      </w:divBdr>
    </w:div>
    <w:div w:id="485778405">
      <w:bodyDiv w:val="1"/>
      <w:marLeft w:val="0"/>
      <w:marRight w:val="0"/>
      <w:marTop w:val="0"/>
      <w:marBottom w:val="0"/>
      <w:divBdr>
        <w:top w:val="none" w:sz="0" w:space="0" w:color="auto"/>
        <w:left w:val="none" w:sz="0" w:space="0" w:color="auto"/>
        <w:bottom w:val="none" w:sz="0" w:space="0" w:color="auto"/>
        <w:right w:val="none" w:sz="0" w:space="0" w:color="auto"/>
      </w:divBdr>
    </w:div>
    <w:div w:id="485779217">
      <w:bodyDiv w:val="1"/>
      <w:marLeft w:val="0"/>
      <w:marRight w:val="0"/>
      <w:marTop w:val="0"/>
      <w:marBottom w:val="0"/>
      <w:divBdr>
        <w:top w:val="none" w:sz="0" w:space="0" w:color="auto"/>
        <w:left w:val="none" w:sz="0" w:space="0" w:color="auto"/>
        <w:bottom w:val="none" w:sz="0" w:space="0" w:color="auto"/>
        <w:right w:val="none" w:sz="0" w:space="0" w:color="auto"/>
      </w:divBdr>
    </w:div>
    <w:div w:id="485903260">
      <w:bodyDiv w:val="1"/>
      <w:marLeft w:val="0"/>
      <w:marRight w:val="0"/>
      <w:marTop w:val="0"/>
      <w:marBottom w:val="0"/>
      <w:divBdr>
        <w:top w:val="none" w:sz="0" w:space="0" w:color="auto"/>
        <w:left w:val="none" w:sz="0" w:space="0" w:color="auto"/>
        <w:bottom w:val="none" w:sz="0" w:space="0" w:color="auto"/>
        <w:right w:val="none" w:sz="0" w:space="0" w:color="auto"/>
      </w:divBdr>
    </w:div>
    <w:div w:id="486017728">
      <w:bodyDiv w:val="1"/>
      <w:marLeft w:val="0"/>
      <w:marRight w:val="0"/>
      <w:marTop w:val="0"/>
      <w:marBottom w:val="0"/>
      <w:divBdr>
        <w:top w:val="none" w:sz="0" w:space="0" w:color="auto"/>
        <w:left w:val="none" w:sz="0" w:space="0" w:color="auto"/>
        <w:bottom w:val="none" w:sz="0" w:space="0" w:color="auto"/>
        <w:right w:val="none" w:sz="0" w:space="0" w:color="auto"/>
      </w:divBdr>
    </w:div>
    <w:div w:id="486093327">
      <w:bodyDiv w:val="1"/>
      <w:marLeft w:val="0"/>
      <w:marRight w:val="0"/>
      <w:marTop w:val="0"/>
      <w:marBottom w:val="0"/>
      <w:divBdr>
        <w:top w:val="none" w:sz="0" w:space="0" w:color="auto"/>
        <w:left w:val="none" w:sz="0" w:space="0" w:color="auto"/>
        <w:bottom w:val="none" w:sz="0" w:space="0" w:color="auto"/>
        <w:right w:val="none" w:sz="0" w:space="0" w:color="auto"/>
      </w:divBdr>
    </w:div>
    <w:div w:id="486165610">
      <w:bodyDiv w:val="1"/>
      <w:marLeft w:val="0"/>
      <w:marRight w:val="0"/>
      <w:marTop w:val="0"/>
      <w:marBottom w:val="0"/>
      <w:divBdr>
        <w:top w:val="none" w:sz="0" w:space="0" w:color="auto"/>
        <w:left w:val="none" w:sz="0" w:space="0" w:color="auto"/>
        <w:bottom w:val="none" w:sz="0" w:space="0" w:color="auto"/>
        <w:right w:val="none" w:sz="0" w:space="0" w:color="auto"/>
      </w:divBdr>
    </w:div>
    <w:div w:id="486167217">
      <w:bodyDiv w:val="1"/>
      <w:marLeft w:val="0"/>
      <w:marRight w:val="0"/>
      <w:marTop w:val="0"/>
      <w:marBottom w:val="0"/>
      <w:divBdr>
        <w:top w:val="none" w:sz="0" w:space="0" w:color="auto"/>
        <w:left w:val="none" w:sz="0" w:space="0" w:color="auto"/>
        <w:bottom w:val="none" w:sz="0" w:space="0" w:color="auto"/>
        <w:right w:val="none" w:sz="0" w:space="0" w:color="auto"/>
      </w:divBdr>
    </w:div>
    <w:div w:id="486213791">
      <w:bodyDiv w:val="1"/>
      <w:marLeft w:val="0"/>
      <w:marRight w:val="0"/>
      <w:marTop w:val="0"/>
      <w:marBottom w:val="0"/>
      <w:divBdr>
        <w:top w:val="none" w:sz="0" w:space="0" w:color="auto"/>
        <w:left w:val="none" w:sz="0" w:space="0" w:color="auto"/>
        <w:bottom w:val="none" w:sz="0" w:space="0" w:color="auto"/>
        <w:right w:val="none" w:sz="0" w:space="0" w:color="auto"/>
      </w:divBdr>
    </w:div>
    <w:div w:id="486288463">
      <w:bodyDiv w:val="1"/>
      <w:marLeft w:val="0"/>
      <w:marRight w:val="0"/>
      <w:marTop w:val="0"/>
      <w:marBottom w:val="0"/>
      <w:divBdr>
        <w:top w:val="none" w:sz="0" w:space="0" w:color="auto"/>
        <w:left w:val="none" w:sz="0" w:space="0" w:color="auto"/>
        <w:bottom w:val="none" w:sz="0" w:space="0" w:color="auto"/>
        <w:right w:val="none" w:sz="0" w:space="0" w:color="auto"/>
      </w:divBdr>
    </w:div>
    <w:div w:id="486438162">
      <w:bodyDiv w:val="1"/>
      <w:marLeft w:val="0"/>
      <w:marRight w:val="0"/>
      <w:marTop w:val="0"/>
      <w:marBottom w:val="0"/>
      <w:divBdr>
        <w:top w:val="none" w:sz="0" w:space="0" w:color="auto"/>
        <w:left w:val="none" w:sz="0" w:space="0" w:color="auto"/>
        <w:bottom w:val="none" w:sz="0" w:space="0" w:color="auto"/>
        <w:right w:val="none" w:sz="0" w:space="0" w:color="auto"/>
      </w:divBdr>
    </w:div>
    <w:div w:id="486440455">
      <w:bodyDiv w:val="1"/>
      <w:marLeft w:val="0"/>
      <w:marRight w:val="0"/>
      <w:marTop w:val="0"/>
      <w:marBottom w:val="0"/>
      <w:divBdr>
        <w:top w:val="none" w:sz="0" w:space="0" w:color="auto"/>
        <w:left w:val="none" w:sz="0" w:space="0" w:color="auto"/>
        <w:bottom w:val="none" w:sz="0" w:space="0" w:color="auto"/>
        <w:right w:val="none" w:sz="0" w:space="0" w:color="auto"/>
      </w:divBdr>
    </w:div>
    <w:div w:id="486440525">
      <w:bodyDiv w:val="1"/>
      <w:marLeft w:val="0"/>
      <w:marRight w:val="0"/>
      <w:marTop w:val="0"/>
      <w:marBottom w:val="0"/>
      <w:divBdr>
        <w:top w:val="none" w:sz="0" w:space="0" w:color="auto"/>
        <w:left w:val="none" w:sz="0" w:space="0" w:color="auto"/>
        <w:bottom w:val="none" w:sz="0" w:space="0" w:color="auto"/>
        <w:right w:val="none" w:sz="0" w:space="0" w:color="auto"/>
      </w:divBdr>
    </w:div>
    <w:div w:id="486483078">
      <w:bodyDiv w:val="1"/>
      <w:marLeft w:val="0"/>
      <w:marRight w:val="0"/>
      <w:marTop w:val="0"/>
      <w:marBottom w:val="0"/>
      <w:divBdr>
        <w:top w:val="none" w:sz="0" w:space="0" w:color="auto"/>
        <w:left w:val="none" w:sz="0" w:space="0" w:color="auto"/>
        <w:bottom w:val="none" w:sz="0" w:space="0" w:color="auto"/>
        <w:right w:val="none" w:sz="0" w:space="0" w:color="auto"/>
      </w:divBdr>
    </w:div>
    <w:div w:id="486558878">
      <w:bodyDiv w:val="1"/>
      <w:marLeft w:val="0"/>
      <w:marRight w:val="0"/>
      <w:marTop w:val="0"/>
      <w:marBottom w:val="0"/>
      <w:divBdr>
        <w:top w:val="none" w:sz="0" w:space="0" w:color="auto"/>
        <w:left w:val="none" w:sz="0" w:space="0" w:color="auto"/>
        <w:bottom w:val="none" w:sz="0" w:space="0" w:color="auto"/>
        <w:right w:val="none" w:sz="0" w:space="0" w:color="auto"/>
      </w:divBdr>
    </w:div>
    <w:div w:id="486702918">
      <w:bodyDiv w:val="1"/>
      <w:marLeft w:val="0"/>
      <w:marRight w:val="0"/>
      <w:marTop w:val="0"/>
      <w:marBottom w:val="0"/>
      <w:divBdr>
        <w:top w:val="none" w:sz="0" w:space="0" w:color="auto"/>
        <w:left w:val="none" w:sz="0" w:space="0" w:color="auto"/>
        <w:bottom w:val="none" w:sz="0" w:space="0" w:color="auto"/>
        <w:right w:val="none" w:sz="0" w:space="0" w:color="auto"/>
      </w:divBdr>
    </w:div>
    <w:div w:id="486749532">
      <w:bodyDiv w:val="1"/>
      <w:marLeft w:val="0"/>
      <w:marRight w:val="0"/>
      <w:marTop w:val="0"/>
      <w:marBottom w:val="0"/>
      <w:divBdr>
        <w:top w:val="none" w:sz="0" w:space="0" w:color="auto"/>
        <w:left w:val="none" w:sz="0" w:space="0" w:color="auto"/>
        <w:bottom w:val="none" w:sz="0" w:space="0" w:color="auto"/>
        <w:right w:val="none" w:sz="0" w:space="0" w:color="auto"/>
      </w:divBdr>
    </w:div>
    <w:div w:id="486750088">
      <w:bodyDiv w:val="1"/>
      <w:marLeft w:val="0"/>
      <w:marRight w:val="0"/>
      <w:marTop w:val="0"/>
      <w:marBottom w:val="0"/>
      <w:divBdr>
        <w:top w:val="none" w:sz="0" w:space="0" w:color="auto"/>
        <w:left w:val="none" w:sz="0" w:space="0" w:color="auto"/>
        <w:bottom w:val="none" w:sz="0" w:space="0" w:color="auto"/>
        <w:right w:val="none" w:sz="0" w:space="0" w:color="auto"/>
      </w:divBdr>
    </w:div>
    <w:div w:id="486751057">
      <w:bodyDiv w:val="1"/>
      <w:marLeft w:val="0"/>
      <w:marRight w:val="0"/>
      <w:marTop w:val="0"/>
      <w:marBottom w:val="0"/>
      <w:divBdr>
        <w:top w:val="none" w:sz="0" w:space="0" w:color="auto"/>
        <w:left w:val="none" w:sz="0" w:space="0" w:color="auto"/>
        <w:bottom w:val="none" w:sz="0" w:space="0" w:color="auto"/>
        <w:right w:val="none" w:sz="0" w:space="0" w:color="auto"/>
      </w:divBdr>
    </w:div>
    <w:div w:id="486753419">
      <w:bodyDiv w:val="1"/>
      <w:marLeft w:val="0"/>
      <w:marRight w:val="0"/>
      <w:marTop w:val="0"/>
      <w:marBottom w:val="0"/>
      <w:divBdr>
        <w:top w:val="none" w:sz="0" w:space="0" w:color="auto"/>
        <w:left w:val="none" w:sz="0" w:space="0" w:color="auto"/>
        <w:bottom w:val="none" w:sz="0" w:space="0" w:color="auto"/>
        <w:right w:val="none" w:sz="0" w:space="0" w:color="auto"/>
      </w:divBdr>
    </w:div>
    <w:div w:id="486868718">
      <w:bodyDiv w:val="1"/>
      <w:marLeft w:val="0"/>
      <w:marRight w:val="0"/>
      <w:marTop w:val="0"/>
      <w:marBottom w:val="0"/>
      <w:divBdr>
        <w:top w:val="none" w:sz="0" w:space="0" w:color="auto"/>
        <w:left w:val="none" w:sz="0" w:space="0" w:color="auto"/>
        <w:bottom w:val="none" w:sz="0" w:space="0" w:color="auto"/>
        <w:right w:val="none" w:sz="0" w:space="0" w:color="auto"/>
      </w:divBdr>
    </w:div>
    <w:div w:id="487090527">
      <w:bodyDiv w:val="1"/>
      <w:marLeft w:val="0"/>
      <w:marRight w:val="0"/>
      <w:marTop w:val="0"/>
      <w:marBottom w:val="0"/>
      <w:divBdr>
        <w:top w:val="none" w:sz="0" w:space="0" w:color="auto"/>
        <w:left w:val="none" w:sz="0" w:space="0" w:color="auto"/>
        <w:bottom w:val="none" w:sz="0" w:space="0" w:color="auto"/>
        <w:right w:val="none" w:sz="0" w:space="0" w:color="auto"/>
      </w:divBdr>
    </w:div>
    <w:div w:id="487131575">
      <w:bodyDiv w:val="1"/>
      <w:marLeft w:val="0"/>
      <w:marRight w:val="0"/>
      <w:marTop w:val="0"/>
      <w:marBottom w:val="0"/>
      <w:divBdr>
        <w:top w:val="none" w:sz="0" w:space="0" w:color="auto"/>
        <w:left w:val="none" w:sz="0" w:space="0" w:color="auto"/>
        <w:bottom w:val="none" w:sz="0" w:space="0" w:color="auto"/>
        <w:right w:val="none" w:sz="0" w:space="0" w:color="auto"/>
      </w:divBdr>
    </w:div>
    <w:div w:id="487138616">
      <w:bodyDiv w:val="1"/>
      <w:marLeft w:val="0"/>
      <w:marRight w:val="0"/>
      <w:marTop w:val="0"/>
      <w:marBottom w:val="0"/>
      <w:divBdr>
        <w:top w:val="none" w:sz="0" w:space="0" w:color="auto"/>
        <w:left w:val="none" w:sz="0" w:space="0" w:color="auto"/>
        <w:bottom w:val="none" w:sz="0" w:space="0" w:color="auto"/>
        <w:right w:val="none" w:sz="0" w:space="0" w:color="auto"/>
      </w:divBdr>
    </w:div>
    <w:div w:id="487289909">
      <w:bodyDiv w:val="1"/>
      <w:marLeft w:val="0"/>
      <w:marRight w:val="0"/>
      <w:marTop w:val="0"/>
      <w:marBottom w:val="0"/>
      <w:divBdr>
        <w:top w:val="none" w:sz="0" w:space="0" w:color="auto"/>
        <w:left w:val="none" w:sz="0" w:space="0" w:color="auto"/>
        <w:bottom w:val="none" w:sz="0" w:space="0" w:color="auto"/>
        <w:right w:val="none" w:sz="0" w:space="0" w:color="auto"/>
      </w:divBdr>
    </w:div>
    <w:div w:id="487330157">
      <w:bodyDiv w:val="1"/>
      <w:marLeft w:val="0"/>
      <w:marRight w:val="0"/>
      <w:marTop w:val="0"/>
      <w:marBottom w:val="0"/>
      <w:divBdr>
        <w:top w:val="none" w:sz="0" w:space="0" w:color="auto"/>
        <w:left w:val="none" w:sz="0" w:space="0" w:color="auto"/>
        <w:bottom w:val="none" w:sz="0" w:space="0" w:color="auto"/>
        <w:right w:val="none" w:sz="0" w:space="0" w:color="auto"/>
      </w:divBdr>
    </w:div>
    <w:div w:id="487407170">
      <w:bodyDiv w:val="1"/>
      <w:marLeft w:val="0"/>
      <w:marRight w:val="0"/>
      <w:marTop w:val="0"/>
      <w:marBottom w:val="0"/>
      <w:divBdr>
        <w:top w:val="none" w:sz="0" w:space="0" w:color="auto"/>
        <w:left w:val="none" w:sz="0" w:space="0" w:color="auto"/>
        <w:bottom w:val="none" w:sz="0" w:space="0" w:color="auto"/>
        <w:right w:val="none" w:sz="0" w:space="0" w:color="auto"/>
      </w:divBdr>
    </w:div>
    <w:div w:id="487408780">
      <w:bodyDiv w:val="1"/>
      <w:marLeft w:val="0"/>
      <w:marRight w:val="0"/>
      <w:marTop w:val="0"/>
      <w:marBottom w:val="0"/>
      <w:divBdr>
        <w:top w:val="none" w:sz="0" w:space="0" w:color="auto"/>
        <w:left w:val="none" w:sz="0" w:space="0" w:color="auto"/>
        <w:bottom w:val="none" w:sz="0" w:space="0" w:color="auto"/>
        <w:right w:val="none" w:sz="0" w:space="0" w:color="auto"/>
      </w:divBdr>
    </w:div>
    <w:div w:id="487597549">
      <w:bodyDiv w:val="1"/>
      <w:marLeft w:val="0"/>
      <w:marRight w:val="0"/>
      <w:marTop w:val="0"/>
      <w:marBottom w:val="0"/>
      <w:divBdr>
        <w:top w:val="none" w:sz="0" w:space="0" w:color="auto"/>
        <w:left w:val="none" w:sz="0" w:space="0" w:color="auto"/>
        <w:bottom w:val="none" w:sz="0" w:space="0" w:color="auto"/>
        <w:right w:val="none" w:sz="0" w:space="0" w:color="auto"/>
      </w:divBdr>
    </w:div>
    <w:div w:id="487747306">
      <w:bodyDiv w:val="1"/>
      <w:marLeft w:val="0"/>
      <w:marRight w:val="0"/>
      <w:marTop w:val="0"/>
      <w:marBottom w:val="0"/>
      <w:divBdr>
        <w:top w:val="none" w:sz="0" w:space="0" w:color="auto"/>
        <w:left w:val="none" w:sz="0" w:space="0" w:color="auto"/>
        <w:bottom w:val="none" w:sz="0" w:space="0" w:color="auto"/>
        <w:right w:val="none" w:sz="0" w:space="0" w:color="auto"/>
      </w:divBdr>
    </w:div>
    <w:div w:id="487791526">
      <w:bodyDiv w:val="1"/>
      <w:marLeft w:val="0"/>
      <w:marRight w:val="0"/>
      <w:marTop w:val="0"/>
      <w:marBottom w:val="0"/>
      <w:divBdr>
        <w:top w:val="none" w:sz="0" w:space="0" w:color="auto"/>
        <w:left w:val="none" w:sz="0" w:space="0" w:color="auto"/>
        <w:bottom w:val="none" w:sz="0" w:space="0" w:color="auto"/>
        <w:right w:val="none" w:sz="0" w:space="0" w:color="auto"/>
      </w:divBdr>
    </w:div>
    <w:div w:id="487792701">
      <w:bodyDiv w:val="1"/>
      <w:marLeft w:val="0"/>
      <w:marRight w:val="0"/>
      <w:marTop w:val="0"/>
      <w:marBottom w:val="0"/>
      <w:divBdr>
        <w:top w:val="none" w:sz="0" w:space="0" w:color="auto"/>
        <w:left w:val="none" w:sz="0" w:space="0" w:color="auto"/>
        <w:bottom w:val="none" w:sz="0" w:space="0" w:color="auto"/>
        <w:right w:val="none" w:sz="0" w:space="0" w:color="auto"/>
      </w:divBdr>
    </w:div>
    <w:div w:id="487869729">
      <w:bodyDiv w:val="1"/>
      <w:marLeft w:val="0"/>
      <w:marRight w:val="0"/>
      <w:marTop w:val="0"/>
      <w:marBottom w:val="0"/>
      <w:divBdr>
        <w:top w:val="none" w:sz="0" w:space="0" w:color="auto"/>
        <w:left w:val="none" w:sz="0" w:space="0" w:color="auto"/>
        <w:bottom w:val="none" w:sz="0" w:space="0" w:color="auto"/>
        <w:right w:val="none" w:sz="0" w:space="0" w:color="auto"/>
      </w:divBdr>
    </w:div>
    <w:div w:id="487943198">
      <w:bodyDiv w:val="1"/>
      <w:marLeft w:val="0"/>
      <w:marRight w:val="0"/>
      <w:marTop w:val="0"/>
      <w:marBottom w:val="0"/>
      <w:divBdr>
        <w:top w:val="none" w:sz="0" w:space="0" w:color="auto"/>
        <w:left w:val="none" w:sz="0" w:space="0" w:color="auto"/>
        <w:bottom w:val="none" w:sz="0" w:space="0" w:color="auto"/>
        <w:right w:val="none" w:sz="0" w:space="0" w:color="auto"/>
      </w:divBdr>
    </w:div>
    <w:div w:id="487945769">
      <w:bodyDiv w:val="1"/>
      <w:marLeft w:val="0"/>
      <w:marRight w:val="0"/>
      <w:marTop w:val="0"/>
      <w:marBottom w:val="0"/>
      <w:divBdr>
        <w:top w:val="none" w:sz="0" w:space="0" w:color="auto"/>
        <w:left w:val="none" w:sz="0" w:space="0" w:color="auto"/>
        <w:bottom w:val="none" w:sz="0" w:space="0" w:color="auto"/>
        <w:right w:val="none" w:sz="0" w:space="0" w:color="auto"/>
      </w:divBdr>
    </w:div>
    <w:div w:id="488131897">
      <w:bodyDiv w:val="1"/>
      <w:marLeft w:val="0"/>
      <w:marRight w:val="0"/>
      <w:marTop w:val="0"/>
      <w:marBottom w:val="0"/>
      <w:divBdr>
        <w:top w:val="none" w:sz="0" w:space="0" w:color="auto"/>
        <w:left w:val="none" w:sz="0" w:space="0" w:color="auto"/>
        <w:bottom w:val="none" w:sz="0" w:space="0" w:color="auto"/>
        <w:right w:val="none" w:sz="0" w:space="0" w:color="auto"/>
      </w:divBdr>
    </w:div>
    <w:div w:id="488134065">
      <w:bodyDiv w:val="1"/>
      <w:marLeft w:val="0"/>
      <w:marRight w:val="0"/>
      <w:marTop w:val="0"/>
      <w:marBottom w:val="0"/>
      <w:divBdr>
        <w:top w:val="none" w:sz="0" w:space="0" w:color="auto"/>
        <w:left w:val="none" w:sz="0" w:space="0" w:color="auto"/>
        <w:bottom w:val="none" w:sz="0" w:space="0" w:color="auto"/>
        <w:right w:val="none" w:sz="0" w:space="0" w:color="auto"/>
      </w:divBdr>
    </w:div>
    <w:div w:id="488205283">
      <w:bodyDiv w:val="1"/>
      <w:marLeft w:val="0"/>
      <w:marRight w:val="0"/>
      <w:marTop w:val="0"/>
      <w:marBottom w:val="0"/>
      <w:divBdr>
        <w:top w:val="none" w:sz="0" w:space="0" w:color="auto"/>
        <w:left w:val="none" w:sz="0" w:space="0" w:color="auto"/>
        <w:bottom w:val="none" w:sz="0" w:space="0" w:color="auto"/>
        <w:right w:val="none" w:sz="0" w:space="0" w:color="auto"/>
      </w:divBdr>
    </w:div>
    <w:div w:id="488248496">
      <w:bodyDiv w:val="1"/>
      <w:marLeft w:val="0"/>
      <w:marRight w:val="0"/>
      <w:marTop w:val="0"/>
      <w:marBottom w:val="0"/>
      <w:divBdr>
        <w:top w:val="none" w:sz="0" w:space="0" w:color="auto"/>
        <w:left w:val="none" w:sz="0" w:space="0" w:color="auto"/>
        <w:bottom w:val="none" w:sz="0" w:space="0" w:color="auto"/>
        <w:right w:val="none" w:sz="0" w:space="0" w:color="auto"/>
      </w:divBdr>
    </w:div>
    <w:div w:id="488403250">
      <w:bodyDiv w:val="1"/>
      <w:marLeft w:val="0"/>
      <w:marRight w:val="0"/>
      <w:marTop w:val="0"/>
      <w:marBottom w:val="0"/>
      <w:divBdr>
        <w:top w:val="none" w:sz="0" w:space="0" w:color="auto"/>
        <w:left w:val="none" w:sz="0" w:space="0" w:color="auto"/>
        <w:bottom w:val="none" w:sz="0" w:space="0" w:color="auto"/>
        <w:right w:val="none" w:sz="0" w:space="0" w:color="auto"/>
      </w:divBdr>
    </w:div>
    <w:div w:id="488522424">
      <w:bodyDiv w:val="1"/>
      <w:marLeft w:val="0"/>
      <w:marRight w:val="0"/>
      <w:marTop w:val="0"/>
      <w:marBottom w:val="0"/>
      <w:divBdr>
        <w:top w:val="none" w:sz="0" w:space="0" w:color="auto"/>
        <w:left w:val="none" w:sz="0" w:space="0" w:color="auto"/>
        <w:bottom w:val="none" w:sz="0" w:space="0" w:color="auto"/>
        <w:right w:val="none" w:sz="0" w:space="0" w:color="auto"/>
      </w:divBdr>
    </w:div>
    <w:div w:id="488667594">
      <w:bodyDiv w:val="1"/>
      <w:marLeft w:val="0"/>
      <w:marRight w:val="0"/>
      <w:marTop w:val="0"/>
      <w:marBottom w:val="0"/>
      <w:divBdr>
        <w:top w:val="none" w:sz="0" w:space="0" w:color="auto"/>
        <w:left w:val="none" w:sz="0" w:space="0" w:color="auto"/>
        <w:bottom w:val="none" w:sz="0" w:space="0" w:color="auto"/>
        <w:right w:val="none" w:sz="0" w:space="0" w:color="auto"/>
      </w:divBdr>
    </w:div>
    <w:div w:id="488711823">
      <w:bodyDiv w:val="1"/>
      <w:marLeft w:val="0"/>
      <w:marRight w:val="0"/>
      <w:marTop w:val="0"/>
      <w:marBottom w:val="0"/>
      <w:divBdr>
        <w:top w:val="none" w:sz="0" w:space="0" w:color="auto"/>
        <w:left w:val="none" w:sz="0" w:space="0" w:color="auto"/>
        <w:bottom w:val="none" w:sz="0" w:space="0" w:color="auto"/>
        <w:right w:val="none" w:sz="0" w:space="0" w:color="auto"/>
      </w:divBdr>
    </w:div>
    <w:div w:id="488712960">
      <w:bodyDiv w:val="1"/>
      <w:marLeft w:val="0"/>
      <w:marRight w:val="0"/>
      <w:marTop w:val="0"/>
      <w:marBottom w:val="0"/>
      <w:divBdr>
        <w:top w:val="none" w:sz="0" w:space="0" w:color="auto"/>
        <w:left w:val="none" w:sz="0" w:space="0" w:color="auto"/>
        <w:bottom w:val="none" w:sz="0" w:space="0" w:color="auto"/>
        <w:right w:val="none" w:sz="0" w:space="0" w:color="auto"/>
      </w:divBdr>
    </w:div>
    <w:div w:id="488716914">
      <w:bodyDiv w:val="1"/>
      <w:marLeft w:val="0"/>
      <w:marRight w:val="0"/>
      <w:marTop w:val="0"/>
      <w:marBottom w:val="0"/>
      <w:divBdr>
        <w:top w:val="none" w:sz="0" w:space="0" w:color="auto"/>
        <w:left w:val="none" w:sz="0" w:space="0" w:color="auto"/>
        <w:bottom w:val="none" w:sz="0" w:space="0" w:color="auto"/>
        <w:right w:val="none" w:sz="0" w:space="0" w:color="auto"/>
      </w:divBdr>
    </w:div>
    <w:div w:id="488785697">
      <w:bodyDiv w:val="1"/>
      <w:marLeft w:val="0"/>
      <w:marRight w:val="0"/>
      <w:marTop w:val="0"/>
      <w:marBottom w:val="0"/>
      <w:divBdr>
        <w:top w:val="none" w:sz="0" w:space="0" w:color="auto"/>
        <w:left w:val="none" w:sz="0" w:space="0" w:color="auto"/>
        <w:bottom w:val="none" w:sz="0" w:space="0" w:color="auto"/>
        <w:right w:val="none" w:sz="0" w:space="0" w:color="auto"/>
      </w:divBdr>
    </w:div>
    <w:div w:id="488789024">
      <w:bodyDiv w:val="1"/>
      <w:marLeft w:val="0"/>
      <w:marRight w:val="0"/>
      <w:marTop w:val="0"/>
      <w:marBottom w:val="0"/>
      <w:divBdr>
        <w:top w:val="none" w:sz="0" w:space="0" w:color="auto"/>
        <w:left w:val="none" w:sz="0" w:space="0" w:color="auto"/>
        <w:bottom w:val="none" w:sz="0" w:space="0" w:color="auto"/>
        <w:right w:val="none" w:sz="0" w:space="0" w:color="auto"/>
      </w:divBdr>
    </w:div>
    <w:div w:id="488836369">
      <w:bodyDiv w:val="1"/>
      <w:marLeft w:val="0"/>
      <w:marRight w:val="0"/>
      <w:marTop w:val="0"/>
      <w:marBottom w:val="0"/>
      <w:divBdr>
        <w:top w:val="none" w:sz="0" w:space="0" w:color="auto"/>
        <w:left w:val="none" w:sz="0" w:space="0" w:color="auto"/>
        <w:bottom w:val="none" w:sz="0" w:space="0" w:color="auto"/>
        <w:right w:val="none" w:sz="0" w:space="0" w:color="auto"/>
      </w:divBdr>
    </w:div>
    <w:div w:id="488904208">
      <w:bodyDiv w:val="1"/>
      <w:marLeft w:val="0"/>
      <w:marRight w:val="0"/>
      <w:marTop w:val="0"/>
      <w:marBottom w:val="0"/>
      <w:divBdr>
        <w:top w:val="none" w:sz="0" w:space="0" w:color="auto"/>
        <w:left w:val="none" w:sz="0" w:space="0" w:color="auto"/>
        <w:bottom w:val="none" w:sz="0" w:space="0" w:color="auto"/>
        <w:right w:val="none" w:sz="0" w:space="0" w:color="auto"/>
      </w:divBdr>
    </w:div>
    <w:div w:id="488984226">
      <w:bodyDiv w:val="1"/>
      <w:marLeft w:val="0"/>
      <w:marRight w:val="0"/>
      <w:marTop w:val="0"/>
      <w:marBottom w:val="0"/>
      <w:divBdr>
        <w:top w:val="none" w:sz="0" w:space="0" w:color="auto"/>
        <w:left w:val="none" w:sz="0" w:space="0" w:color="auto"/>
        <w:bottom w:val="none" w:sz="0" w:space="0" w:color="auto"/>
        <w:right w:val="none" w:sz="0" w:space="0" w:color="auto"/>
      </w:divBdr>
    </w:div>
    <w:div w:id="489059974">
      <w:bodyDiv w:val="1"/>
      <w:marLeft w:val="0"/>
      <w:marRight w:val="0"/>
      <w:marTop w:val="0"/>
      <w:marBottom w:val="0"/>
      <w:divBdr>
        <w:top w:val="none" w:sz="0" w:space="0" w:color="auto"/>
        <w:left w:val="none" w:sz="0" w:space="0" w:color="auto"/>
        <w:bottom w:val="none" w:sz="0" w:space="0" w:color="auto"/>
        <w:right w:val="none" w:sz="0" w:space="0" w:color="auto"/>
      </w:divBdr>
    </w:div>
    <w:div w:id="489060818">
      <w:bodyDiv w:val="1"/>
      <w:marLeft w:val="0"/>
      <w:marRight w:val="0"/>
      <w:marTop w:val="0"/>
      <w:marBottom w:val="0"/>
      <w:divBdr>
        <w:top w:val="none" w:sz="0" w:space="0" w:color="auto"/>
        <w:left w:val="none" w:sz="0" w:space="0" w:color="auto"/>
        <w:bottom w:val="none" w:sz="0" w:space="0" w:color="auto"/>
        <w:right w:val="none" w:sz="0" w:space="0" w:color="auto"/>
      </w:divBdr>
    </w:div>
    <w:div w:id="489061505">
      <w:bodyDiv w:val="1"/>
      <w:marLeft w:val="0"/>
      <w:marRight w:val="0"/>
      <w:marTop w:val="0"/>
      <w:marBottom w:val="0"/>
      <w:divBdr>
        <w:top w:val="none" w:sz="0" w:space="0" w:color="auto"/>
        <w:left w:val="none" w:sz="0" w:space="0" w:color="auto"/>
        <w:bottom w:val="none" w:sz="0" w:space="0" w:color="auto"/>
        <w:right w:val="none" w:sz="0" w:space="0" w:color="auto"/>
      </w:divBdr>
    </w:div>
    <w:div w:id="489098349">
      <w:bodyDiv w:val="1"/>
      <w:marLeft w:val="0"/>
      <w:marRight w:val="0"/>
      <w:marTop w:val="0"/>
      <w:marBottom w:val="0"/>
      <w:divBdr>
        <w:top w:val="none" w:sz="0" w:space="0" w:color="auto"/>
        <w:left w:val="none" w:sz="0" w:space="0" w:color="auto"/>
        <w:bottom w:val="none" w:sz="0" w:space="0" w:color="auto"/>
        <w:right w:val="none" w:sz="0" w:space="0" w:color="auto"/>
      </w:divBdr>
    </w:div>
    <w:div w:id="489100890">
      <w:bodyDiv w:val="1"/>
      <w:marLeft w:val="0"/>
      <w:marRight w:val="0"/>
      <w:marTop w:val="0"/>
      <w:marBottom w:val="0"/>
      <w:divBdr>
        <w:top w:val="none" w:sz="0" w:space="0" w:color="auto"/>
        <w:left w:val="none" w:sz="0" w:space="0" w:color="auto"/>
        <w:bottom w:val="none" w:sz="0" w:space="0" w:color="auto"/>
        <w:right w:val="none" w:sz="0" w:space="0" w:color="auto"/>
      </w:divBdr>
    </w:div>
    <w:div w:id="489101916">
      <w:bodyDiv w:val="1"/>
      <w:marLeft w:val="0"/>
      <w:marRight w:val="0"/>
      <w:marTop w:val="0"/>
      <w:marBottom w:val="0"/>
      <w:divBdr>
        <w:top w:val="none" w:sz="0" w:space="0" w:color="auto"/>
        <w:left w:val="none" w:sz="0" w:space="0" w:color="auto"/>
        <w:bottom w:val="none" w:sz="0" w:space="0" w:color="auto"/>
        <w:right w:val="none" w:sz="0" w:space="0" w:color="auto"/>
      </w:divBdr>
    </w:div>
    <w:div w:id="489249629">
      <w:bodyDiv w:val="1"/>
      <w:marLeft w:val="0"/>
      <w:marRight w:val="0"/>
      <w:marTop w:val="0"/>
      <w:marBottom w:val="0"/>
      <w:divBdr>
        <w:top w:val="none" w:sz="0" w:space="0" w:color="auto"/>
        <w:left w:val="none" w:sz="0" w:space="0" w:color="auto"/>
        <w:bottom w:val="none" w:sz="0" w:space="0" w:color="auto"/>
        <w:right w:val="none" w:sz="0" w:space="0" w:color="auto"/>
      </w:divBdr>
    </w:div>
    <w:div w:id="489292533">
      <w:bodyDiv w:val="1"/>
      <w:marLeft w:val="0"/>
      <w:marRight w:val="0"/>
      <w:marTop w:val="0"/>
      <w:marBottom w:val="0"/>
      <w:divBdr>
        <w:top w:val="none" w:sz="0" w:space="0" w:color="auto"/>
        <w:left w:val="none" w:sz="0" w:space="0" w:color="auto"/>
        <w:bottom w:val="none" w:sz="0" w:space="0" w:color="auto"/>
        <w:right w:val="none" w:sz="0" w:space="0" w:color="auto"/>
      </w:divBdr>
    </w:div>
    <w:div w:id="489299272">
      <w:bodyDiv w:val="1"/>
      <w:marLeft w:val="0"/>
      <w:marRight w:val="0"/>
      <w:marTop w:val="0"/>
      <w:marBottom w:val="0"/>
      <w:divBdr>
        <w:top w:val="none" w:sz="0" w:space="0" w:color="auto"/>
        <w:left w:val="none" w:sz="0" w:space="0" w:color="auto"/>
        <w:bottom w:val="none" w:sz="0" w:space="0" w:color="auto"/>
        <w:right w:val="none" w:sz="0" w:space="0" w:color="auto"/>
      </w:divBdr>
    </w:div>
    <w:div w:id="489324001">
      <w:bodyDiv w:val="1"/>
      <w:marLeft w:val="0"/>
      <w:marRight w:val="0"/>
      <w:marTop w:val="0"/>
      <w:marBottom w:val="0"/>
      <w:divBdr>
        <w:top w:val="none" w:sz="0" w:space="0" w:color="auto"/>
        <w:left w:val="none" w:sz="0" w:space="0" w:color="auto"/>
        <w:bottom w:val="none" w:sz="0" w:space="0" w:color="auto"/>
        <w:right w:val="none" w:sz="0" w:space="0" w:color="auto"/>
      </w:divBdr>
    </w:div>
    <w:div w:id="489562734">
      <w:bodyDiv w:val="1"/>
      <w:marLeft w:val="0"/>
      <w:marRight w:val="0"/>
      <w:marTop w:val="0"/>
      <w:marBottom w:val="0"/>
      <w:divBdr>
        <w:top w:val="none" w:sz="0" w:space="0" w:color="auto"/>
        <w:left w:val="none" w:sz="0" w:space="0" w:color="auto"/>
        <w:bottom w:val="none" w:sz="0" w:space="0" w:color="auto"/>
        <w:right w:val="none" w:sz="0" w:space="0" w:color="auto"/>
      </w:divBdr>
    </w:div>
    <w:div w:id="489567871">
      <w:bodyDiv w:val="1"/>
      <w:marLeft w:val="0"/>
      <w:marRight w:val="0"/>
      <w:marTop w:val="0"/>
      <w:marBottom w:val="0"/>
      <w:divBdr>
        <w:top w:val="none" w:sz="0" w:space="0" w:color="auto"/>
        <w:left w:val="none" w:sz="0" w:space="0" w:color="auto"/>
        <w:bottom w:val="none" w:sz="0" w:space="0" w:color="auto"/>
        <w:right w:val="none" w:sz="0" w:space="0" w:color="auto"/>
      </w:divBdr>
    </w:div>
    <w:div w:id="489639261">
      <w:bodyDiv w:val="1"/>
      <w:marLeft w:val="0"/>
      <w:marRight w:val="0"/>
      <w:marTop w:val="0"/>
      <w:marBottom w:val="0"/>
      <w:divBdr>
        <w:top w:val="none" w:sz="0" w:space="0" w:color="auto"/>
        <w:left w:val="none" w:sz="0" w:space="0" w:color="auto"/>
        <w:bottom w:val="none" w:sz="0" w:space="0" w:color="auto"/>
        <w:right w:val="none" w:sz="0" w:space="0" w:color="auto"/>
      </w:divBdr>
    </w:div>
    <w:div w:id="489754373">
      <w:bodyDiv w:val="1"/>
      <w:marLeft w:val="0"/>
      <w:marRight w:val="0"/>
      <w:marTop w:val="0"/>
      <w:marBottom w:val="0"/>
      <w:divBdr>
        <w:top w:val="none" w:sz="0" w:space="0" w:color="auto"/>
        <w:left w:val="none" w:sz="0" w:space="0" w:color="auto"/>
        <w:bottom w:val="none" w:sz="0" w:space="0" w:color="auto"/>
        <w:right w:val="none" w:sz="0" w:space="0" w:color="auto"/>
      </w:divBdr>
    </w:div>
    <w:div w:id="489759988">
      <w:bodyDiv w:val="1"/>
      <w:marLeft w:val="0"/>
      <w:marRight w:val="0"/>
      <w:marTop w:val="0"/>
      <w:marBottom w:val="0"/>
      <w:divBdr>
        <w:top w:val="none" w:sz="0" w:space="0" w:color="auto"/>
        <w:left w:val="none" w:sz="0" w:space="0" w:color="auto"/>
        <w:bottom w:val="none" w:sz="0" w:space="0" w:color="auto"/>
        <w:right w:val="none" w:sz="0" w:space="0" w:color="auto"/>
      </w:divBdr>
    </w:div>
    <w:div w:id="489760486">
      <w:bodyDiv w:val="1"/>
      <w:marLeft w:val="0"/>
      <w:marRight w:val="0"/>
      <w:marTop w:val="0"/>
      <w:marBottom w:val="0"/>
      <w:divBdr>
        <w:top w:val="none" w:sz="0" w:space="0" w:color="auto"/>
        <w:left w:val="none" w:sz="0" w:space="0" w:color="auto"/>
        <w:bottom w:val="none" w:sz="0" w:space="0" w:color="auto"/>
        <w:right w:val="none" w:sz="0" w:space="0" w:color="auto"/>
      </w:divBdr>
    </w:div>
    <w:div w:id="489903038">
      <w:bodyDiv w:val="1"/>
      <w:marLeft w:val="0"/>
      <w:marRight w:val="0"/>
      <w:marTop w:val="0"/>
      <w:marBottom w:val="0"/>
      <w:divBdr>
        <w:top w:val="none" w:sz="0" w:space="0" w:color="auto"/>
        <w:left w:val="none" w:sz="0" w:space="0" w:color="auto"/>
        <w:bottom w:val="none" w:sz="0" w:space="0" w:color="auto"/>
        <w:right w:val="none" w:sz="0" w:space="0" w:color="auto"/>
      </w:divBdr>
    </w:div>
    <w:div w:id="489910923">
      <w:bodyDiv w:val="1"/>
      <w:marLeft w:val="0"/>
      <w:marRight w:val="0"/>
      <w:marTop w:val="0"/>
      <w:marBottom w:val="0"/>
      <w:divBdr>
        <w:top w:val="none" w:sz="0" w:space="0" w:color="auto"/>
        <w:left w:val="none" w:sz="0" w:space="0" w:color="auto"/>
        <w:bottom w:val="none" w:sz="0" w:space="0" w:color="auto"/>
        <w:right w:val="none" w:sz="0" w:space="0" w:color="auto"/>
      </w:divBdr>
    </w:div>
    <w:div w:id="489953856">
      <w:bodyDiv w:val="1"/>
      <w:marLeft w:val="0"/>
      <w:marRight w:val="0"/>
      <w:marTop w:val="0"/>
      <w:marBottom w:val="0"/>
      <w:divBdr>
        <w:top w:val="none" w:sz="0" w:space="0" w:color="auto"/>
        <w:left w:val="none" w:sz="0" w:space="0" w:color="auto"/>
        <w:bottom w:val="none" w:sz="0" w:space="0" w:color="auto"/>
        <w:right w:val="none" w:sz="0" w:space="0" w:color="auto"/>
      </w:divBdr>
    </w:div>
    <w:div w:id="490024152">
      <w:bodyDiv w:val="1"/>
      <w:marLeft w:val="0"/>
      <w:marRight w:val="0"/>
      <w:marTop w:val="0"/>
      <w:marBottom w:val="0"/>
      <w:divBdr>
        <w:top w:val="none" w:sz="0" w:space="0" w:color="auto"/>
        <w:left w:val="none" w:sz="0" w:space="0" w:color="auto"/>
        <w:bottom w:val="none" w:sz="0" w:space="0" w:color="auto"/>
        <w:right w:val="none" w:sz="0" w:space="0" w:color="auto"/>
      </w:divBdr>
    </w:div>
    <w:div w:id="490097779">
      <w:bodyDiv w:val="1"/>
      <w:marLeft w:val="0"/>
      <w:marRight w:val="0"/>
      <w:marTop w:val="0"/>
      <w:marBottom w:val="0"/>
      <w:divBdr>
        <w:top w:val="none" w:sz="0" w:space="0" w:color="auto"/>
        <w:left w:val="none" w:sz="0" w:space="0" w:color="auto"/>
        <w:bottom w:val="none" w:sz="0" w:space="0" w:color="auto"/>
        <w:right w:val="none" w:sz="0" w:space="0" w:color="auto"/>
      </w:divBdr>
    </w:div>
    <w:div w:id="490175148">
      <w:bodyDiv w:val="1"/>
      <w:marLeft w:val="0"/>
      <w:marRight w:val="0"/>
      <w:marTop w:val="0"/>
      <w:marBottom w:val="0"/>
      <w:divBdr>
        <w:top w:val="none" w:sz="0" w:space="0" w:color="auto"/>
        <w:left w:val="none" w:sz="0" w:space="0" w:color="auto"/>
        <w:bottom w:val="none" w:sz="0" w:space="0" w:color="auto"/>
        <w:right w:val="none" w:sz="0" w:space="0" w:color="auto"/>
      </w:divBdr>
    </w:div>
    <w:div w:id="490368077">
      <w:bodyDiv w:val="1"/>
      <w:marLeft w:val="0"/>
      <w:marRight w:val="0"/>
      <w:marTop w:val="0"/>
      <w:marBottom w:val="0"/>
      <w:divBdr>
        <w:top w:val="none" w:sz="0" w:space="0" w:color="auto"/>
        <w:left w:val="none" w:sz="0" w:space="0" w:color="auto"/>
        <w:bottom w:val="none" w:sz="0" w:space="0" w:color="auto"/>
        <w:right w:val="none" w:sz="0" w:space="0" w:color="auto"/>
      </w:divBdr>
    </w:div>
    <w:div w:id="490371396">
      <w:bodyDiv w:val="1"/>
      <w:marLeft w:val="0"/>
      <w:marRight w:val="0"/>
      <w:marTop w:val="0"/>
      <w:marBottom w:val="0"/>
      <w:divBdr>
        <w:top w:val="none" w:sz="0" w:space="0" w:color="auto"/>
        <w:left w:val="none" w:sz="0" w:space="0" w:color="auto"/>
        <w:bottom w:val="none" w:sz="0" w:space="0" w:color="auto"/>
        <w:right w:val="none" w:sz="0" w:space="0" w:color="auto"/>
      </w:divBdr>
    </w:div>
    <w:div w:id="490411795">
      <w:bodyDiv w:val="1"/>
      <w:marLeft w:val="0"/>
      <w:marRight w:val="0"/>
      <w:marTop w:val="0"/>
      <w:marBottom w:val="0"/>
      <w:divBdr>
        <w:top w:val="none" w:sz="0" w:space="0" w:color="auto"/>
        <w:left w:val="none" w:sz="0" w:space="0" w:color="auto"/>
        <w:bottom w:val="none" w:sz="0" w:space="0" w:color="auto"/>
        <w:right w:val="none" w:sz="0" w:space="0" w:color="auto"/>
      </w:divBdr>
    </w:div>
    <w:div w:id="490563692">
      <w:bodyDiv w:val="1"/>
      <w:marLeft w:val="0"/>
      <w:marRight w:val="0"/>
      <w:marTop w:val="0"/>
      <w:marBottom w:val="0"/>
      <w:divBdr>
        <w:top w:val="none" w:sz="0" w:space="0" w:color="auto"/>
        <w:left w:val="none" w:sz="0" w:space="0" w:color="auto"/>
        <w:bottom w:val="none" w:sz="0" w:space="0" w:color="auto"/>
        <w:right w:val="none" w:sz="0" w:space="0" w:color="auto"/>
      </w:divBdr>
    </w:div>
    <w:div w:id="490684536">
      <w:bodyDiv w:val="1"/>
      <w:marLeft w:val="0"/>
      <w:marRight w:val="0"/>
      <w:marTop w:val="0"/>
      <w:marBottom w:val="0"/>
      <w:divBdr>
        <w:top w:val="none" w:sz="0" w:space="0" w:color="auto"/>
        <w:left w:val="none" w:sz="0" w:space="0" w:color="auto"/>
        <w:bottom w:val="none" w:sz="0" w:space="0" w:color="auto"/>
        <w:right w:val="none" w:sz="0" w:space="0" w:color="auto"/>
      </w:divBdr>
    </w:div>
    <w:div w:id="490756328">
      <w:bodyDiv w:val="1"/>
      <w:marLeft w:val="0"/>
      <w:marRight w:val="0"/>
      <w:marTop w:val="0"/>
      <w:marBottom w:val="0"/>
      <w:divBdr>
        <w:top w:val="none" w:sz="0" w:space="0" w:color="auto"/>
        <w:left w:val="none" w:sz="0" w:space="0" w:color="auto"/>
        <w:bottom w:val="none" w:sz="0" w:space="0" w:color="auto"/>
        <w:right w:val="none" w:sz="0" w:space="0" w:color="auto"/>
      </w:divBdr>
    </w:div>
    <w:div w:id="490799134">
      <w:bodyDiv w:val="1"/>
      <w:marLeft w:val="0"/>
      <w:marRight w:val="0"/>
      <w:marTop w:val="0"/>
      <w:marBottom w:val="0"/>
      <w:divBdr>
        <w:top w:val="none" w:sz="0" w:space="0" w:color="auto"/>
        <w:left w:val="none" w:sz="0" w:space="0" w:color="auto"/>
        <w:bottom w:val="none" w:sz="0" w:space="0" w:color="auto"/>
        <w:right w:val="none" w:sz="0" w:space="0" w:color="auto"/>
      </w:divBdr>
    </w:div>
    <w:div w:id="490800044">
      <w:bodyDiv w:val="1"/>
      <w:marLeft w:val="0"/>
      <w:marRight w:val="0"/>
      <w:marTop w:val="0"/>
      <w:marBottom w:val="0"/>
      <w:divBdr>
        <w:top w:val="none" w:sz="0" w:space="0" w:color="auto"/>
        <w:left w:val="none" w:sz="0" w:space="0" w:color="auto"/>
        <w:bottom w:val="none" w:sz="0" w:space="0" w:color="auto"/>
        <w:right w:val="none" w:sz="0" w:space="0" w:color="auto"/>
      </w:divBdr>
    </w:div>
    <w:div w:id="490800109">
      <w:bodyDiv w:val="1"/>
      <w:marLeft w:val="0"/>
      <w:marRight w:val="0"/>
      <w:marTop w:val="0"/>
      <w:marBottom w:val="0"/>
      <w:divBdr>
        <w:top w:val="none" w:sz="0" w:space="0" w:color="auto"/>
        <w:left w:val="none" w:sz="0" w:space="0" w:color="auto"/>
        <w:bottom w:val="none" w:sz="0" w:space="0" w:color="auto"/>
        <w:right w:val="none" w:sz="0" w:space="0" w:color="auto"/>
      </w:divBdr>
    </w:div>
    <w:div w:id="490801829">
      <w:bodyDiv w:val="1"/>
      <w:marLeft w:val="0"/>
      <w:marRight w:val="0"/>
      <w:marTop w:val="0"/>
      <w:marBottom w:val="0"/>
      <w:divBdr>
        <w:top w:val="none" w:sz="0" w:space="0" w:color="auto"/>
        <w:left w:val="none" w:sz="0" w:space="0" w:color="auto"/>
        <w:bottom w:val="none" w:sz="0" w:space="0" w:color="auto"/>
        <w:right w:val="none" w:sz="0" w:space="0" w:color="auto"/>
      </w:divBdr>
    </w:div>
    <w:div w:id="490827503">
      <w:bodyDiv w:val="1"/>
      <w:marLeft w:val="0"/>
      <w:marRight w:val="0"/>
      <w:marTop w:val="0"/>
      <w:marBottom w:val="0"/>
      <w:divBdr>
        <w:top w:val="none" w:sz="0" w:space="0" w:color="auto"/>
        <w:left w:val="none" w:sz="0" w:space="0" w:color="auto"/>
        <w:bottom w:val="none" w:sz="0" w:space="0" w:color="auto"/>
        <w:right w:val="none" w:sz="0" w:space="0" w:color="auto"/>
      </w:divBdr>
    </w:div>
    <w:div w:id="490827990">
      <w:bodyDiv w:val="1"/>
      <w:marLeft w:val="0"/>
      <w:marRight w:val="0"/>
      <w:marTop w:val="0"/>
      <w:marBottom w:val="0"/>
      <w:divBdr>
        <w:top w:val="none" w:sz="0" w:space="0" w:color="auto"/>
        <w:left w:val="none" w:sz="0" w:space="0" w:color="auto"/>
        <w:bottom w:val="none" w:sz="0" w:space="0" w:color="auto"/>
        <w:right w:val="none" w:sz="0" w:space="0" w:color="auto"/>
      </w:divBdr>
    </w:div>
    <w:div w:id="491215712">
      <w:bodyDiv w:val="1"/>
      <w:marLeft w:val="0"/>
      <w:marRight w:val="0"/>
      <w:marTop w:val="0"/>
      <w:marBottom w:val="0"/>
      <w:divBdr>
        <w:top w:val="none" w:sz="0" w:space="0" w:color="auto"/>
        <w:left w:val="none" w:sz="0" w:space="0" w:color="auto"/>
        <w:bottom w:val="none" w:sz="0" w:space="0" w:color="auto"/>
        <w:right w:val="none" w:sz="0" w:space="0" w:color="auto"/>
      </w:divBdr>
    </w:div>
    <w:div w:id="491221488">
      <w:bodyDiv w:val="1"/>
      <w:marLeft w:val="0"/>
      <w:marRight w:val="0"/>
      <w:marTop w:val="0"/>
      <w:marBottom w:val="0"/>
      <w:divBdr>
        <w:top w:val="none" w:sz="0" w:space="0" w:color="auto"/>
        <w:left w:val="none" w:sz="0" w:space="0" w:color="auto"/>
        <w:bottom w:val="none" w:sz="0" w:space="0" w:color="auto"/>
        <w:right w:val="none" w:sz="0" w:space="0" w:color="auto"/>
      </w:divBdr>
    </w:div>
    <w:div w:id="491288741">
      <w:bodyDiv w:val="1"/>
      <w:marLeft w:val="0"/>
      <w:marRight w:val="0"/>
      <w:marTop w:val="0"/>
      <w:marBottom w:val="0"/>
      <w:divBdr>
        <w:top w:val="none" w:sz="0" w:space="0" w:color="auto"/>
        <w:left w:val="none" w:sz="0" w:space="0" w:color="auto"/>
        <w:bottom w:val="none" w:sz="0" w:space="0" w:color="auto"/>
        <w:right w:val="none" w:sz="0" w:space="0" w:color="auto"/>
      </w:divBdr>
    </w:div>
    <w:div w:id="491290213">
      <w:bodyDiv w:val="1"/>
      <w:marLeft w:val="0"/>
      <w:marRight w:val="0"/>
      <w:marTop w:val="0"/>
      <w:marBottom w:val="0"/>
      <w:divBdr>
        <w:top w:val="none" w:sz="0" w:space="0" w:color="auto"/>
        <w:left w:val="none" w:sz="0" w:space="0" w:color="auto"/>
        <w:bottom w:val="none" w:sz="0" w:space="0" w:color="auto"/>
        <w:right w:val="none" w:sz="0" w:space="0" w:color="auto"/>
      </w:divBdr>
    </w:div>
    <w:div w:id="491407144">
      <w:bodyDiv w:val="1"/>
      <w:marLeft w:val="0"/>
      <w:marRight w:val="0"/>
      <w:marTop w:val="0"/>
      <w:marBottom w:val="0"/>
      <w:divBdr>
        <w:top w:val="none" w:sz="0" w:space="0" w:color="auto"/>
        <w:left w:val="none" w:sz="0" w:space="0" w:color="auto"/>
        <w:bottom w:val="none" w:sz="0" w:space="0" w:color="auto"/>
        <w:right w:val="none" w:sz="0" w:space="0" w:color="auto"/>
      </w:divBdr>
    </w:div>
    <w:div w:id="491525053">
      <w:bodyDiv w:val="1"/>
      <w:marLeft w:val="0"/>
      <w:marRight w:val="0"/>
      <w:marTop w:val="0"/>
      <w:marBottom w:val="0"/>
      <w:divBdr>
        <w:top w:val="none" w:sz="0" w:space="0" w:color="auto"/>
        <w:left w:val="none" w:sz="0" w:space="0" w:color="auto"/>
        <w:bottom w:val="none" w:sz="0" w:space="0" w:color="auto"/>
        <w:right w:val="none" w:sz="0" w:space="0" w:color="auto"/>
      </w:divBdr>
    </w:div>
    <w:div w:id="491533550">
      <w:bodyDiv w:val="1"/>
      <w:marLeft w:val="0"/>
      <w:marRight w:val="0"/>
      <w:marTop w:val="0"/>
      <w:marBottom w:val="0"/>
      <w:divBdr>
        <w:top w:val="none" w:sz="0" w:space="0" w:color="auto"/>
        <w:left w:val="none" w:sz="0" w:space="0" w:color="auto"/>
        <w:bottom w:val="none" w:sz="0" w:space="0" w:color="auto"/>
        <w:right w:val="none" w:sz="0" w:space="0" w:color="auto"/>
      </w:divBdr>
    </w:div>
    <w:div w:id="491602062">
      <w:bodyDiv w:val="1"/>
      <w:marLeft w:val="0"/>
      <w:marRight w:val="0"/>
      <w:marTop w:val="0"/>
      <w:marBottom w:val="0"/>
      <w:divBdr>
        <w:top w:val="none" w:sz="0" w:space="0" w:color="auto"/>
        <w:left w:val="none" w:sz="0" w:space="0" w:color="auto"/>
        <w:bottom w:val="none" w:sz="0" w:space="0" w:color="auto"/>
        <w:right w:val="none" w:sz="0" w:space="0" w:color="auto"/>
      </w:divBdr>
    </w:div>
    <w:div w:id="491675926">
      <w:bodyDiv w:val="1"/>
      <w:marLeft w:val="0"/>
      <w:marRight w:val="0"/>
      <w:marTop w:val="0"/>
      <w:marBottom w:val="0"/>
      <w:divBdr>
        <w:top w:val="none" w:sz="0" w:space="0" w:color="auto"/>
        <w:left w:val="none" w:sz="0" w:space="0" w:color="auto"/>
        <w:bottom w:val="none" w:sz="0" w:space="0" w:color="auto"/>
        <w:right w:val="none" w:sz="0" w:space="0" w:color="auto"/>
      </w:divBdr>
    </w:div>
    <w:div w:id="491677821">
      <w:bodyDiv w:val="1"/>
      <w:marLeft w:val="0"/>
      <w:marRight w:val="0"/>
      <w:marTop w:val="0"/>
      <w:marBottom w:val="0"/>
      <w:divBdr>
        <w:top w:val="none" w:sz="0" w:space="0" w:color="auto"/>
        <w:left w:val="none" w:sz="0" w:space="0" w:color="auto"/>
        <w:bottom w:val="none" w:sz="0" w:space="0" w:color="auto"/>
        <w:right w:val="none" w:sz="0" w:space="0" w:color="auto"/>
      </w:divBdr>
    </w:div>
    <w:div w:id="491722437">
      <w:bodyDiv w:val="1"/>
      <w:marLeft w:val="0"/>
      <w:marRight w:val="0"/>
      <w:marTop w:val="0"/>
      <w:marBottom w:val="0"/>
      <w:divBdr>
        <w:top w:val="none" w:sz="0" w:space="0" w:color="auto"/>
        <w:left w:val="none" w:sz="0" w:space="0" w:color="auto"/>
        <w:bottom w:val="none" w:sz="0" w:space="0" w:color="auto"/>
        <w:right w:val="none" w:sz="0" w:space="0" w:color="auto"/>
      </w:divBdr>
    </w:div>
    <w:div w:id="491873994">
      <w:bodyDiv w:val="1"/>
      <w:marLeft w:val="0"/>
      <w:marRight w:val="0"/>
      <w:marTop w:val="0"/>
      <w:marBottom w:val="0"/>
      <w:divBdr>
        <w:top w:val="none" w:sz="0" w:space="0" w:color="auto"/>
        <w:left w:val="none" w:sz="0" w:space="0" w:color="auto"/>
        <w:bottom w:val="none" w:sz="0" w:space="0" w:color="auto"/>
        <w:right w:val="none" w:sz="0" w:space="0" w:color="auto"/>
      </w:divBdr>
    </w:div>
    <w:div w:id="491945897">
      <w:bodyDiv w:val="1"/>
      <w:marLeft w:val="0"/>
      <w:marRight w:val="0"/>
      <w:marTop w:val="0"/>
      <w:marBottom w:val="0"/>
      <w:divBdr>
        <w:top w:val="none" w:sz="0" w:space="0" w:color="auto"/>
        <w:left w:val="none" w:sz="0" w:space="0" w:color="auto"/>
        <w:bottom w:val="none" w:sz="0" w:space="0" w:color="auto"/>
        <w:right w:val="none" w:sz="0" w:space="0" w:color="auto"/>
      </w:divBdr>
    </w:div>
    <w:div w:id="492256661">
      <w:bodyDiv w:val="1"/>
      <w:marLeft w:val="0"/>
      <w:marRight w:val="0"/>
      <w:marTop w:val="0"/>
      <w:marBottom w:val="0"/>
      <w:divBdr>
        <w:top w:val="none" w:sz="0" w:space="0" w:color="auto"/>
        <w:left w:val="none" w:sz="0" w:space="0" w:color="auto"/>
        <w:bottom w:val="none" w:sz="0" w:space="0" w:color="auto"/>
        <w:right w:val="none" w:sz="0" w:space="0" w:color="auto"/>
      </w:divBdr>
    </w:div>
    <w:div w:id="492258186">
      <w:bodyDiv w:val="1"/>
      <w:marLeft w:val="0"/>
      <w:marRight w:val="0"/>
      <w:marTop w:val="0"/>
      <w:marBottom w:val="0"/>
      <w:divBdr>
        <w:top w:val="none" w:sz="0" w:space="0" w:color="auto"/>
        <w:left w:val="none" w:sz="0" w:space="0" w:color="auto"/>
        <w:bottom w:val="none" w:sz="0" w:space="0" w:color="auto"/>
        <w:right w:val="none" w:sz="0" w:space="0" w:color="auto"/>
      </w:divBdr>
    </w:div>
    <w:div w:id="492330339">
      <w:bodyDiv w:val="1"/>
      <w:marLeft w:val="0"/>
      <w:marRight w:val="0"/>
      <w:marTop w:val="0"/>
      <w:marBottom w:val="0"/>
      <w:divBdr>
        <w:top w:val="none" w:sz="0" w:space="0" w:color="auto"/>
        <w:left w:val="none" w:sz="0" w:space="0" w:color="auto"/>
        <w:bottom w:val="none" w:sz="0" w:space="0" w:color="auto"/>
        <w:right w:val="none" w:sz="0" w:space="0" w:color="auto"/>
      </w:divBdr>
    </w:div>
    <w:div w:id="492338653">
      <w:bodyDiv w:val="1"/>
      <w:marLeft w:val="0"/>
      <w:marRight w:val="0"/>
      <w:marTop w:val="0"/>
      <w:marBottom w:val="0"/>
      <w:divBdr>
        <w:top w:val="none" w:sz="0" w:space="0" w:color="auto"/>
        <w:left w:val="none" w:sz="0" w:space="0" w:color="auto"/>
        <w:bottom w:val="none" w:sz="0" w:space="0" w:color="auto"/>
        <w:right w:val="none" w:sz="0" w:space="0" w:color="auto"/>
      </w:divBdr>
    </w:div>
    <w:div w:id="492448913">
      <w:bodyDiv w:val="1"/>
      <w:marLeft w:val="0"/>
      <w:marRight w:val="0"/>
      <w:marTop w:val="0"/>
      <w:marBottom w:val="0"/>
      <w:divBdr>
        <w:top w:val="none" w:sz="0" w:space="0" w:color="auto"/>
        <w:left w:val="none" w:sz="0" w:space="0" w:color="auto"/>
        <w:bottom w:val="none" w:sz="0" w:space="0" w:color="auto"/>
        <w:right w:val="none" w:sz="0" w:space="0" w:color="auto"/>
      </w:divBdr>
    </w:div>
    <w:div w:id="492533199">
      <w:bodyDiv w:val="1"/>
      <w:marLeft w:val="0"/>
      <w:marRight w:val="0"/>
      <w:marTop w:val="0"/>
      <w:marBottom w:val="0"/>
      <w:divBdr>
        <w:top w:val="none" w:sz="0" w:space="0" w:color="auto"/>
        <w:left w:val="none" w:sz="0" w:space="0" w:color="auto"/>
        <w:bottom w:val="none" w:sz="0" w:space="0" w:color="auto"/>
        <w:right w:val="none" w:sz="0" w:space="0" w:color="auto"/>
      </w:divBdr>
    </w:div>
    <w:div w:id="492571214">
      <w:bodyDiv w:val="1"/>
      <w:marLeft w:val="0"/>
      <w:marRight w:val="0"/>
      <w:marTop w:val="0"/>
      <w:marBottom w:val="0"/>
      <w:divBdr>
        <w:top w:val="none" w:sz="0" w:space="0" w:color="auto"/>
        <w:left w:val="none" w:sz="0" w:space="0" w:color="auto"/>
        <w:bottom w:val="none" w:sz="0" w:space="0" w:color="auto"/>
        <w:right w:val="none" w:sz="0" w:space="0" w:color="auto"/>
      </w:divBdr>
    </w:div>
    <w:div w:id="492572608">
      <w:bodyDiv w:val="1"/>
      <w:marLeft w:val="0"/>
      <w:marRight w:val="0"/>
      <w:marTop w:val="0"/>
      <w:marBottom w:val="0"/>
      <w:divBdr>
        <w:top w:val="none" w:sz="0" w:space="0" w:color="auto"/>
        <w:left w:val="none" w:sz="0" w:space="0" w:color="auto"/>
        <w:bottom w:val="none" w:sz="0" w:space="0" w:color="auto"/>
        <w:right w:val="none" w:sz="0" w:space="0" w:color="auto"/>
      </w:divBdr>
    </w:div>
    <w:div w:id="492573998">
      <w:bodyDiv w:val="1"/>
      <w:marLeft w:val="0"/>
      <w:marRight w:val="0"/>
      <w:marTop w:val="0"/>
      <w:marBottom w:val="0"/>
      <w:divBdr>
        <w:top w:val="none" w:sz="0" w:space="0" w:color="auto"/>
        <w:left w:val="none" w:sz="0" w:space="0" w:color="auto"/>
        <w:bottom w:val="none" w:sz="0" w:space="0" w:color="auto"/>
        <w:right w:val="none" w:sz="0" w:space="0" w:color="auto"/>
      </w:divBdr>
    </w:div>
    <w:div w:id="492574777">
      <w:bodyDiv w:val="1"/>
      <w:marLeft w:val="0"/>
      <w:marRight w:val="0"/>
      <w:marTop w:val="0"/>
      <w:marBottom w:val="0"/>
      <w:divBdr>
        <w:top w:val="none" w:sz="0" w:space="0" w:color="auto"/>
        <w:left w:val="none" w:sz="0" w:space="0" w:color="auto"/>
        <w:bottom w:val="none" w:sz="0" w:space="0" w:color="auto"/>
        <w:right w:val="none" w:sz="0" w:space="0" w:color="auto"/>
      </w:divBdr>
    </w:div>
    <w:div w:id="492649534">
      <w:bodyDiv w:val="1"/>
      <w:marLeft w:val="0"/>
      <w:marRight w:val="0"/>
      <w:marTop w:val="0"/>
      <w:marBottom w:val="0"/>
      <w:divBdr>
        <w:top w:val="none" w:sz="0" w:space="0" w:color="auto"/>
        <w:left w:val="none" w:sz="0" w:space="0" w:color="auto"/>
        <w:bottom w:val="none" w:sz="0" w:space="0" w:color="auto"/>
        <w:right w:val="none" w:sz="0" w:space="0" w:color="auto"/>
      </w:divBdr>
    </w:div>
    <w:div w:id="492767824">
      <w:bodyDiv w:val="1"/>
      <w:marLeft w:val="0"/>
      <w:marRight w:val="0"/>
      <w:marTop w:val="0"/>
      <w:marBottom w:val="0"/>
      <w:divBdr>
        <w:top w:val="none" w:sz="0" w:space="0" w:color="auto"/>
        <w:left w:val="none" w:sz="0" w:space="0" w:color="auto"/>
        <w:bottom w:val="none" w:sz="0" w:space="0" w:color="auto"/>
        <w:right w:val="none" w:sz="0" w:space="0" w:color="auto"/>
      </w:divBdr>
    </w:div>
    <w:div w:id="492840621">
      <w:bodyDiv w:val="1"/>
      <w:marLeft w:val="0"/>
      <w:marRight w:val="0"/>
      <w:marTop w:val="0"/>
      <w:marBottom w:val="0"/>
      <w:divBdr>
        <w:top w:val="none" w:sz="0" w:space="0" w:color="auto"/>
        <w:left w:val="none" w:sz="0" w:space="0" w:color="auto"/>
        <w:bottom w:val="none" w:sz="0" w:space="0" w:color="auto"/>
        <w:right w:val="none" w:sz="0" w:space="0" w:color="auto"/>
      </w:divBdr>
    </w:div>
    <w:div w:id="492843568">
      <w:bodyDiv w:val="1"/>
      <w:marLeft w:val="0"/>
      <w:marRight w:val="0"/>
      <w:marTop w:val="0"/>
      <w:marBottom w:val="0"/>
      <w:divBdr>
        <w:top w:val="none" w:sz="0" w:space="0" w:color="auto"/>
        <w:left w:val="none" w:sz="0" w:space="0" w:color="auto"/>
        <w:bottom w:val="none" w:sz="0" w:space="0" w:color="auto"/>
        <w:right w:val="none" w:sz="0" w:space="0" w:color="auto"/>
      </w:divBdr>
    </w:div>
    <w:div w:id="492913240">
      <w:bodyDiv w:val="1"/>
      <w:marLeft w:val="0"/>
      <w:marRight w:val="0"/>
      <w:marTop w:val="0"/>
      <w:marBottom w:val="0"/>
      <w:divBdr>
        <w:top w:val="none" w:sz="0" w:space="0" w:color="auto"/>
        <w:left w:val="none" w:sz="0" w:space="0" w:color="auto"/>
        <w:bottom w:val="none" w:sz="0" w:space="0" w:color="auto"/>
        <w:right w:val="none" w:sz="0" w:space="0" w:color="auto"/>
      </w:divBdr>
    </w:div>
    <w:div w:id="492914027">
      <w:bodyDiv w:val="1"/>
      <w:marLeft w:val="0"/>
      <w:marRight w:val="0"/>
      <w:marTop w:val="0"/>
      <w:marBottom w:val="0"/>
      <w:divBdr>
        <w:top w:val="none" w:sz="0" w:space="0" w:color="auto"/>
        <w:left w:val="none" w:sz="0" w:space="0" w:color="auto"/>
        <w:bottom w:val="none" w:sz="0" w:space="0" w:color="auto"/>
        <w:right w:val="none" w:sz="0" w:space="0" w:color="auto"/>
      </w:divBdr>
    </w:div>
    <w:div w:id="492986723">
      <w:bodyDiv w:val="1"/>
      <w:marLeft w:val="0"/>
      <w:marRight w:val="0"/>
      <w:marTop w:val="0"/>
      <w:marBottom w:val="0"/>
      <w:divBdr>
        <w:top w:val="none" w:sz="0" w:space="0" w:color="auto"/>
        <w:left w:val="none" w:sz="0" w:space="0" w:color="auto"/>
        <w:bottom w:val="none" w:sz="0" w:space="0" w:color="auto"/>
        <w:right w:val="none" w:sz="0" w:space="0" w:color="auto"/>
      </w:divBdr>
    </w:div>
    <w:div w:id="492991725">
      <w:bodyDiv w:val="1"/>
      <w:marLeft w:val="0"/>
      <w:marRight w:val="0"/>
      <w:marTop w:val="0"/>
      <w:marBottom w:val="0"/>
      <w:divBdr>
        <w:top w:val="none" w:sz="0" w:space="0" w:color="auto"/>
        <w:left w:val="none" w:sz="0" w:space="0" w:color="auto"/>
        <w:bottom w:val="none" w:sz="0" w:space="0" w:color="auto"/>
        <w:right w:val="none" w:sz="0" w:space="0" w:color="auto"/>
      </w:divBdr>
    </w:div>
    <w:div w:id="492993030">
      <w:bodyDiv w:val="1"/>
      <w:marLeft w:val="0"/>
      <w:marRight w:val="0"/>
      <w:marTop w:val="0"/>
      <w:marBottom w:val="0"/>
      <w:divBdr>
        <w:top w:val="none" w:sz="0" w:space="0" w:color="auto"/>
        <w:left w:val="none" w:sz="0" w:space="0" w:color="auto"/>
        <w:bottom w:val="none" w:sz="0" w:space="0" w:color="auto"/>
        <w:right w:val="none" w:sz="0" w:space="0" w:color="auto"/>
      </w:divBdr>
    </w:div>
    <w:div w:id="493302305">
      <w:bodyDiv w:val="1"/>
      <w:marLeft w:val="0"/>
      <w:marRight w:val="0"/>
      <w:marTop w:val="0"/>
      <w:marBottom w:val="0"/>
      <w:divBdr>
        <w:top w:val="none" w:sz="0" w:space="0" w:color="auto"/>
        <w:left w:val="none" w:sz="0" w:space="0" w:color="auto"/>
        <w:bottom w:val="none" w:sz="0" w:space="0" w:color="auto"/>
        <w:right w:val="none" w:sz="0" w:space="0" w:color="auto"/>
      </w:divBdr>
    </w:div>
    <w:div w:id="493302737">
      <w:bodyDiv w:val="1"/>
      <w:marLeft w:val="0"/>
      <w:marRight w:val="0"/>
      <w:marTop w:val="0"/>
      <w:marBottom w:val="0"/>
      <w:divBdr>
        <w:top w:val="none" w:sz="0" w:space="0" w:color="auto"/>
        <w:left w:val="none" w:sz="0" w:space="0" w:color="auto"/>
        <w:bottom w:val="none" w:sz="0" w:space="0" w:color="auto"/>
        <w:right w:val="none" w:sz="0" w:space="0" w:color="auto"/>
      </w:divBdr>
    </w:div>
    <w:div w:id="493380926">
      <w:bodyDiv w:val="1"/>
      <w:marLeft w:val="0"/>
      <w:marRight w:val="0"/>
      <w:marTop w:val="0"/>
      <w:marBottom w:val="0"/>
      <w:divBdr>
        <w:top w:val="none" w:sz="0" w:space="0" w:color="auto"/>
        <w:left w:val="none" w:sz="0" w:space="0" w:color="auto"/>
        <w:bottom w:val="none" w:sz="0" w:space="0" w:color="auto"/>
        <w:right w:val="none" w:sz="0" w:space="0" w:color="auto"/>
      </w:divBdr>
    </w:div>
    <w:div w:id="493423980">
      <w:bodyDiv w:val="1"/>
      <w:marLeft w:val="0"/>
      <w:marRight w:val="0"/>
      <w:marTop w:val="0"/>
      <w:marBottom w:val="0"/>
      <w:divBdr>
        <w:top w:val="none" w:sz="0" w:space="0" w:color="auto"/>
        <w:left w:val="none" w:sz="0" w:space="0" w:color="auto"/>
        <w:bottom w:val="none" w:sz="0" w:space="0" w:color="auto"/>
        <w:right w:val="none" w:sz="0" w:space="0" w:color="auto"/>
      </w:divBdr>
    </w:div>
    <w:div w:id="493451454">
      <w:bodyDiv w:val="1"/>
      <w:marLeft w:val="0"/>
      <w:marRight w:val="0"/>
      <w:marTop w:val="0"/>
      <w:marBottom w:val="0"/>
      <w:divBdr>
        <w:top w:val="none" w:sz="0" w:space="0" w:color="auto"/>
        <w:left w:val="none" w:sz="0" w:space="0" w:color="auto"/>
        <w:bottom w:val="none" w:sz="0" w:space="0" w:color="auto"/>
        <w:right w:val="none" w:sz="0" w:space="0" w:color="auto"/>
      </w:divBdr>
    </w:div>
    <w:div w:id="493453194">
      <w:bodyDiv w:val="1"/>
      <w:marLeft w:val="0"/>
      <w:marRight w:val="0"/>
      <w:marTop w:val="0"/>
      <w:marBottom w:val="0"/>
      <w:divBdr>
        <w:top w:val="none" w:sz="0" w:space="0" w:color="auto"/>
        <w:left w:val="none" w:sz="0" w:space="0" w:color="auto"/>
        <w:bottom w:val="none" w:sz="0" w:space="0" w:color="auto"/>
        <w:right w:val="none" w:sz="0" w:space="0" w:color="auto"/>
      </w:divBdr>
    </w:div>
    <w:div w:id="493453265">
      <w:bodyDiv w:val="1"/>
      <w:marLeft w:val="0"/>
      <w:marRight w:val="0"/>
      <w:marTop w:val="0"/>
      <w:marBottom w:val="0"/>
      <w:divBdr>
        <w:top w:val="none" w:sz="0" w:space="0" w:color="auto"/>
        <w:left w:val="none" w:sz="0" w:space="0" w:color="auto"/>
        <w:bottom w:val="none" w:sz="0" w:space="0" w:color="auto"/>
        <w:right w:val="none" w:sz="0" w:space="0" w:color="auto"/>
      </w:divBdr>
    </w:div>
    <w:div w:id="493498923">
      <w:bodyDiv w:val="1"/>
      <w:marLeft w:val="0"/>
      <w:marRight w:val="0"/>
      <w:marTop w:val="0"/>
      <w:marBottom w:val="0"/>
      <w:divBdr>
        <w:top w:val="none" w:sz="0" w:space="0" w:color="auto"/>
        <w:left w:val="none" w:sz="0" w:space="0" w:color="auto"/>
        <w:bottom w:val="none" w:sz="0" w:space="0" w:color="auto"/>
        <w:right w:val="none" w:sz="0" w:space="0" w:color="auto"/>
      </w:divBdr>
    </w:div>
    <w:div w:id="493575126">
      <w:bodyDiv w:val="1"/>
      <w:marLeft w:val="0"/>
      <w:marRight w:val="0"/>
      <w:marTop w:val="0"/>
      <w:marBottom w:val="0"/>
      <w:divBdr>
        <w:top w:val="none" w:sz="0" w:space="0" w:color="auto"/>
        <w:left w:val="none" w:sz="0" w:space="0" w:color="auto"/>
        <w:bottom w:val="none" w:sz="0" w:space="0" w:color="auto"/>
        <w:right w:val="none" w:sz="0" w:space="0" w:color="auto"/>
      </w:divBdr>
    </w:div>
    <w:div w:id="493642534">
      <w:bodyDiv w:val="1"/>
      <w:marLeft w:val="0"/>
      <w:marRight w:val="0"/>
      <w:marTop w:val="0"/>
      <w:marBottom w:val="0"/>
      <w:divBdr>
        <w:top w:val="none" w:sz="0" w:space="0" w:color="auto"/>
        <w:left w:val="none" w:sz="0" w:space="0" w:color="auto"/>
        <w:bottom w:val="none" w:sz="0" w:space="0" w:color="auto"/>
        <w:right w:val="none" w:sz="0" w:space="0" w:color="auto"/>
      </w:divBdr>
    </w:div>
    <w:div w:id="493648596">
      <w:bodyDiv w:val="1"/>
      <w:marLeft w:val="0"/>
      <w:marRight w:val="0"/>
      <w:marTop w:val="0"/>
      <w:marBottom w:val="0"/>
      <w:divBdr>
        <w:top w:val="none" w:sz="0" w:space="0" w:color="auto"/>
        <w:left w:val="none" w:sz="0" w:space="0" w:color="auto"/>
        <w:bottom w:val="none" w:sz="0" w:space="0" w:color="auto"/>
        <w:right w:val="none" w:sz="0" w:space="0" w:color="auto"/>
      </w:divBdr>
    </w:div>
    <w:div w:id="493688306">
      <w:bodyDiv w:val="1"/>
      <w:marLeft w:val="0"/>
      <w:marRight w:val="0"/>
      <w:marTop w:val="0"/>
      <w:marBottom w:val="0"/>
      <w:divBdr>
        <w:top w:val="none" w:sz="0" w:space="0" w:color="auto"/>
        <w:left w:val="none" w:sz="0" w:space="0" w:color="auto"/>
        <w:bottom w:val="none" w:sz="0" w:space="0" w:color="auto"/>
        <w:right w:val="none" w:sz="0" w:space="0" w:color="auto"/>
      </w:divBdr>
    </w:div>
    <w:div w:id="493692578">
      <w:bodyDiv w:val="1"/>
      <w:marLeft w:val="0"/>
      <w:marRight w:val="0"/>
      <w:marTop w:val="0"/>
      <w:marBottom w:val="0"/>
      <w:divBdr>
        <w:top w:val="none" w:sz="0" w:space="0" w:color="auto"/>
        <w:left w:val="none" w:sz="0" w:space="0" w:color="auto"/>
        <w:bottom w:val="none" w:sz="0" w:space="0" w:color="auto"/>
        <w:right w:val="none" w:sz="0" w:space="0" w:color="auto"/>
      </w:divBdr>
    </w:div>
    <w:div w:id="493838006">
      <w:bodyDiv w:val="1"/>
      <w:marLeft w:val="0"/>
      <w:marRight w:val="0"/>
      <w:marTop w:val="0"/>
      <w:marBottom w:val="0"/>
      <w:divBdr>
        <w:top w:val="none" w:sz="0" w:space="0" w:color="auto"/>
        <w:left w:val="none" w:sz="0" w:space="0" w:color="auto"/>
        <w:bottom w:val="none" w:sz="0" w:space="0" w:color="auto"/>
        <w:right w:val="none" w:sz="0" w:space="0" w:color="auto"/>
      </w:divBdr>
    </w:div>
    <w:div w:id="493843237">
      <w:bodyDiv w:val="1"/>
      <w:marLeft w:val="0"/>
      <w:marRight w:val="0"/>
      <w:marTop w:val="0"/>
      <w:marBottom w:val="0"/>
      <w:divBdr>
        <w:top w:val="none" w:sz="0" w:space="0" w:color="auto"/>
        <w:left w:val="none" w:sz="0" w:space="0" w:color="auto"/>
        <w:bottom w:val="none" w:sz="0" w:space="0" w:color="auto"/>
        <w:right w:val="none" w:sz="0" w:space="0" w:color="auto"/>
      </w:divBdr>
    </w:div>
    <w:div w:id="493909431">
      <w:bodyDiv w:val="1"/>
      <w:marLeft w:val="0"/>
      <w:marRight w:val="0"/>
      <w:marTop w:val="0"/>
      <w:marBottom w:val="0"/>
      <w:divBdr>
        <w:top w:val="none" w:sz="0" w:space="0" w:color="auto"/>
        <w:left w:val="none" w:sz="0" w:space="0" w:color="auto"/>
        <w:bottom w:val="none" w:sz="0" w:space="0" w:color="auto"/>
        <w:right w:val="none" w:sz="0" w:space="0" w:color="auto"/>
      </w:divBdr>
    </w:div>
    <w:div w:id="493957822">
      <w:bodyDiv w:val="1"/>
      <w:marLeft w:val="0"/>
      <w:marRight w:val="0"/>
      <w:marTop w:val="0"/>
      <w:marBottom w:val="0"/>
      <w:divBdr>
        <w:top w:val="none" w:sz="0" w:space="0" w:color="auto"/>
        <w:left w:val="none" w:sz="0" w:space="0" w:color="auto"/>
        <w:bottom w:val="none" w:sz="0" w:space="0" w:color="auto"/>
        <w:right w:val="none" w:sz="0" w:space="0" w:color="auto"/>
      </w:divBdr>
    </w:div>
    <w:div w:id="493961445">
      <w:bodyDiv w:val="1"/>
      <w:marLeft w:val="0"/>
      <w:marRight w:val="0"/>
      <w:marTop w:val="0"/>
      <w:marBottom w:val="0"/>
      <w:divBdr>
        <w:top w:val="none" w:sz="0" w:space="0" w:color="auto"/>
        <w:left w:val="none" w:sz="0" w:space="0" w:color="auto"/>
        <w:bottom w:val="none" w:sz="0" w:space="0" w:color="auto"/>
        <w:right w:val="none" w:sz="0" w:space="0" w:color="auto"/>
      </w:divBdr>
    </w:div>
    <w:div w:id="494033256">
      <w:bodyDiv w:val="1"/>
      <w:marLeft w:val="0"/>
      <w:marRight w:val="0"/>
      <w:marTop w:val="0"/>
      <w:marBottom w:val="0"/>
      <w:divBdr>
        <w:top w:val="none" w:sz="0" w:space="0" w:color="auto"/>
        <w:left w:val="none" w:sz="0" w:space="0" w:color="auto"/>
        <w:bottom w:val="none" w:sz="0" w:space="0" w:color="auto"/>
        <w:right w:val="none" w:sz="0" w:space="0" w:color="auto"/>
      </w:divBdr>
    </w:div>
    <w:div w:id="494105245">
      <w:bodyDiv w:val="1"/>
      <w:marLeft w:val="0"/>
      <w:marRight w:val="0"/>
      <w:marTop w:val="0"/>
      <w:marBottom w:val="0"/>
      <w:divBdr>
        <w:top w:val="none" w:sz="0" w:space="0" w:color="auto"/>
        <w:left w:val="none" w:sz="0" w:space="0" w:color="auto"/>
        <w:bottom w:val="none" w:sz="0" w:space="0" w:color="auto"/>
        <w:right w:val="none" w:sz="0" w:space="0" w:color="auto"/>
      </w:divBdr>
    </w:div>
    <w:div w:id="494225468">
      <w:bodyDiv w:val="1"/>
      <w:marLeft w:val="0"/>
      <w:marRight w:val="0"/>
      <w:marTop w:val="0"/>
      <w:marBottom w:val="0"/>
      <w:divBdr>
        <w:top w:val="none" w:sz="0" w:space="0" w:color="auto"/>
        <w:left w:val="none" w:sz="0" w:space="0" w:color="auto"/>
        <w:bottom w:val="none" w:sz="0" w:space="0" w:color="auto"/>
        <w:right w:val="none" w:sz="0" w:space="0" w:color="auto"/>
      </w:divBdr>
    </w:div>
    <w:div w:id="494272920">
      <w:bodyDiv w:val="1"/>
      <w:marLeft w:val="0"/>
      <w:marRight w:val="0"/>
      <w:marTop w:val="0"/>
      <w:marBottom w:val="0"/>
      <w:divBdr>
        <w:top w:val="none" w:sz="0" w:space="0" w:color="auto"/>
        <w:left w:val="none" w:sz="0" w:space="0" w:color="auto"/>
        <w:bottom w:val="none" w:sz="0" w:space="0" w:color="auto"/>
        <w:right w:val="none" w:sz="0" w:space="0" w:color="auto"/>
      </w:divBdr>
    </w:div>
    <w:div w:id="494300792">
      <w:bodyDiv w:val="1"/>
      <w:marLeft w:val="0"/>
      <w:marRight w:val="0"/>
      <w:marTop w:val="0"/>
      <w:marBottom w:val="0"/>
      <w:divBdr>
        <w:top w:val="none" w:sz="0" w:space="0" w:color="auto"/>
        <w:left w:val="none" w:sz="0" w:space="0" w:color="auto"/>
        <w:bottom w:val="none" w:sz="0" w:space="0" w:color="auto"/>
        <w:right w:val="none" w:sz="0" w:space="0" w:color="auto"/>
      </w:divBdr>
    </w:div>
    <w:div w:id="494302892">
      <w:bodyDiv w:val="1"/>
      <w:marLeft w:val="0"/>
      <w:marRight w:val="0"/>
      <w:marTop w:val="0"/>
      <w:marBottom w:val="0"/>
      <w:divBdr>
        <w:top w:val="none" w:sz="0" w:space="0" w:color="auto"/>
        <w:left w:val="none" w:sz="0" w:space="0" w:color="auto"/>
        <w:bottom w:val="none" w:sz="0" w:space="0" w:color="auto"/>
        <w:right w:val="none" w:sz="0" w:space="0" w:color="auto"/>
      </w:divBdr>
    </w:div>
    <w:div w:id="494344351">
      <w:bodyDiv w:val="1"/>
      <w:marLeft w:val="0"/>
      <w:marRight w:val="0"/>
      <w:marTop w:val="0"/>
      <w:marBottom w:val="0"/>
      <w:divBdr>
        <w:top w:val="none" w:sz="0" w:space="0" w:color="auto"/>
        <w:left w:val="none" w:sz="0" w:space="0" w:color="auto"/>
        <w:bottom w:val="none" w:sz="0" w:space="0" w:color="auto"/>
        <w:right w:val="none" w:sz="0" w:space="0" w:color="auto"/>
      </w:divBdr>
    </w:div>
    <w:div w:id="494423453">
      <w:bodyDiv w:val="1"/>
      <w:marLeft w:val="0"/>
      <w:marRight w:val="0"/>
      <w:marTop w:val="0"/>
      <w:marBottom w:val="0"/>
      <w:divBdr>
        <w:top w:val="none" w:sz="0" w:space="0" w:color="auto"/>
        <w:left w:val="none" w:sz="0" w:space="0" w:color="auto"/>
        <w:bottom w:val="none" w:sz="0" w:space="0" w:color="auto"/>
        <w:right w:val="none" w:sz="0" w:space="0" w:color="auto"/>
      </w:divBdr>
    </w:div>
    <w:div w:id="494491346">
      <w:bodyDiv w:val="1"/>
      <w:marLeft w:val="0"/>
      <w:marRight w:val="0"/>
      <w:marTop w:val="0"/>
      <w:marBottom w:val="0"/>
      <w:divBdr>
        <w:top w:val="none" w:sz="0" w:space="0" w:color="auto"/>
        <w:left w:val="none" w:sz="0" w:space="0" w:color="auto"/>
        <w:bottom w:val="none" w:sz="0" w:space="0" w:color="auto"/>
        <w:right w:val="none" w:sz="0" w:space="0" w:color="auto"/>
      </w:divBdr>
    </w:div>
    <w:div w:id="494494300">
      <w:bodyDiv w:val="1"/>
      <w:marLeft w:val="0"/>
      <w:marRight w:val="0"/>
      <w:marTop w:val="0"/>
      <w:marBottom w:val="0"/>
      <w:divBdr>
        <w:top w:val="none" w:sz="0" w:space="0" w:color="auto"/>
        <w:left w:val="none" w:sz="0" w:space="0" w:color="auto"/>
        <w:bottom w:val="none" w:sz="0" w:space="0" w:color="auto"/>
        <w:right w:val="none" w:sz="0" w:space="0" w:color="auto"/>
      </w:divBdr>
    </w:div>
    <w:div w:id="494499028">
      <w:bodyDiv w:val="1"/>
      <w:marLeft w:val="0"/>
      <w:marRight w:val="0"/>
      <w:marTop w:val="0"/>
      <w:marBottom w:val="0"/>
      <w:divBdr>
        <w:top w:val="none" w:sz="0" w:space="0" w:color="auto"/>
        <w:left w:val="none" w:sz="0" w:space="0" w:color="auto"/>
        <w:bottom w:val="none" w:sz="0" w:space="0" w:color="auto"/>
        <w:right w:val="none" w:sz="0" w:space="0" w:color="auto"/>
      </w:divBdr>
    </w:div>
    <w:div w:id="494535953">
      <w:bodyDiv w:val="1"/>
      <w:marLeft w:val="0"/>
      <w:marRight w:val="0"/>
      <w:marTop w:val="0"/>
      <w:marBottom w:val="0"/>
      <w:divBdr>
        <w:top w:val="none" w:sz="0" w:space="0" w:color="auto"/>
        <w:left w:val="none" w:sz="0" w:space="0" w:color="auto"/>
        <w:bottom w:val="none" w:sz="0" w:space="0" w:color="auto"/>
        <w:right w:val="none" w:sz="0" w:space="0" w:color="auto"/>
      </w:divBdr>
    </w:div>
    <w:div w:id="494537827">
      <w:bodyDiv w:val="1"/>
      <w:marLeft w:val="0"/>
      <w:marRight w:val="0"/>
      <w:marTop w:val="0"/>
      <w:marBottom w:val="0"/>
      <w:divBdr>
        <w:top w:val="none" w:sz="0" w:space="0" w:color="auto"/>
        <w:left w:val="none" w:sz="0" w:space="0" w:color="auto"/>
        <w:bottom w:val="none" w:sz="0" w:space="0" w:color="auto"/>
        <w:right w:val="none" w:sz="0" w:space="0" w:color="auto"/>
      </w:divBdr>
    </w:div>
    <w:div w:id="494609639">
      <w:bodyDiv w:val="1"/>
      <w:marLeft w:val="0"/>
      <w:marRight w:val="0"/>
      <w:marTop w:val="0"/>
      <w:marBottom w:val="0"/>
      <w:divBdr>
        <w:top w:val="none" w:sz="0" w:space="0" w:color="auto"/>
        <w:left w:val="none" w:sz="0" w:space="0" w:color="auto"/>
        <w:bottom w:val="none" w:sz="0" w:space="0" w:color="auto"/>
        <w:right w:val="none" w:sz="0" w:space="0" w:color="auto"/>
      </w:divBdr>
    </w:div>
    <w:div w:id="494615376">
      <w:bodyDiv w:val="1"/>
      <w:marLeft w:val="0"/>
      <w:marRight w:val="0"/>
      <w:marTop w:val="0"/>
      <w:marBottom w:val="0"/>
      <w:divBdr>
        <w:top w:val="none" w:sz="0" w:space="0" w:color="auto"/>
        <w:left w:val="none" w:sz="0" w:space="0" w:color="auto"/>
        <w:bottom w:val="none" w:sz="0" w:space="0" w:color="auto"/>
        <w:right w:val="none" w:sz="0" w:space="0" w:color="auto"/>
      </w:divBdr>
    </w:div>
    <w:div w:id="494761219">
      <w:bodyDiv w:val="1"/>
      <w:marLeft w:val="0"/>
      <w:marRight w:val="0"/>
      <w:marTop w:val="0"/>
      <w:marBottom w:val="0"/>
      <w:divBdr>
        <w:top w:val="none" w:sz="0" w:space="0" w:color="auto"/>
        <w:left w:val="none" w:sz="0" w:space="0" w:color="auto"/>
        <w:bottom w:val="none" w:sz="0" w:space="0" w:color="auto"/>
        <w:right w:val="none" w:sz="0" w:space="0" w:color="auto"/>
      </w:divBdr>
    </w:div>
    <w:div w:id="494877722">
      <w:bodyDiv w:val="1"/>
      <w:marLeft w:val="0"/>
      <w:marRight w:val="0"/>
      <w:marTop w:val="0"/>
      <w:marBottom w:val="0"/>
      <w:divBdr>
        <w:top w:val="none" w:sz="0" w:space="0" w:color="auto"/>
        <w:left w:val="none" w:sz="0" w:space="0" w:color="auto"/>
        <w:bottom w:val="none" w:sz="0" w:space="0" w:color="auto"/>
        <w:right w:val="none" w:sz="0" w:space="0" w:color="auto"/>
      </w:divBdr>
    </w:div>
    <w:div w:id="494878162">
      <w:bodyDiv w:val="1"/>
      <w:marLeft w:val="0"/>
      <w:marRight w:val="0"/>
      <w:marTop w:val="0"/>
      <w:marBottom w:val="0"/>
      <w:divBdr>
        <w:top w:val="none" w:sz="0" w:space="0" w:color="auto"/>
        <w:left w:val="none" w:sz="0" w:space="0" w:color="auto"/>
        <w:bottom w:val="none" w:sz="0" w:space="0" w:color="auto"/>
        <w:right w:val="none" w:sz="0" w:space="0" w:color="auto"/>
      </w:divBdr>
    </w:div>
    <w:div w:id="494952309">
      <w:bodyDiv w:val="1"/>
      <w:marLeft w:val="0"/>
      <w:marRight w:val="0"/>
      <w:marTop w:val="0"/>
      <w:marBottom w:val="0"/>
      <w:divBdr>
        <w:top w:val="none" w:sz="0" w:space="0" w:color="auto"/>
        <w:left w:val="none" w:sz="0" w:space="0" w:color="auto"/>
        <w:bottom w:val="none" w:sz="0" w:space="0" w:color="auto"/>
        <w:right w:val="none" w:sz="0" w:space="0" w:color="auto"/>
      </w:divBdr>
    </w:div>
    <w:div w:id="494998357">
      <w:bodyDiv w:val="1"/>
      <w:marLeft w:val="0"/>
      <w:marRight w:val="0"/>
      <w:marTop w:val="0"/>
      <w:marBottom w:val="0"/>
      <w:divBdr>
        <w:top w:val="none" w:sz="0" w:space="0" w:color="auto"/>
        <w:left w:val="none" w:sz="0" w:space="0" w:color="auto"/>
        <w:bottom w:val="none" w:sz="0" w:space="0" w:color="auto"/>
        <w:right w:val="none" w:sz="0" w:space="0" w:color="auto"/>
      </w:divBdr>
    </w:div>
    <w:div w:id="495076582">
      <w:bodyDiv w:val="1"/>
      <w:marLeft w:val="0"/>
      <w:marRight w:val="0"/>
      <w:marTop w:val="0"/>
      <w:marBottom w:val="0"/>
      <w:divBdr>
        <w:top w:val="none" w:sz="0" w:space="0" w:color="auto"/>
        <w:left w:val="none" w:sz="0" w:space="0" w:color="auto"/>
        <w:bottom w:val="none" w:sz="0" w:space="0" w:color="auto"/>
        <w:right w:val="none" w:sz="0" w:space="0" w:color="auto"/>
      </w:divBdr>
    </w:div>
    <w:div w:id="495078023">
      <w:bodyDiv w:val="1"/>
      <w:marLeft w:val="0"/>
      <w:marRight w:val="0"/>
      <w:marTop w:val="0"/>
      <w:marBottom w:val="0"/>
      <w:divBdr>
        <w:top w:val="none" w:sz="0" w:space="0" w:color="auto"/>
        <w:left w:val="none" w:sz="0" w:space="0" w:color="auto"/>
        <w:bottom w:val="none" w:sz="0" w:space="0" w:color="auto"/>
        <w:right w:val="none" w:sz="0" w:space="0" w:color="auto"/>
      </w:divBdr>
    </w:div>
    <w:div w:id="495148274">
      <w:bodyDiv w:val="1"/>
      <w:marLeft w:val="0"/>
      <w:marRight w:val="0"/>
      <w:marTop w:val="0"/>
      <w:marBottom w:val="0"/>
      <w:divBdr>
        <w:top w:val="none" w:sz="0" w:space="0" w:color="auto"/>
        <w:left w:val="none" w:sz="0" w:space="0" w:color="auto"/>
        <w:bottom w:val="none" w:sz="0" w:space="0" w:color="auto"/>
        <w:right w:val="none" w:sz="0" w:space="0" w:color="auto"/>
      </w:divBdr>
    </w:div>
    <w:div w:id="495194239">
      <w:bodyDiv w:val="1"/>
      <w:marLeft w:val="0"/>
      <w:marRight w:val="0"/>
      <w:marTop w:val="0"/>
      <w:marBottom w:val="0"/>
      <w:divBdr>
        <w:top w:val="none" w:sz="0" w:space="0" w:color="auto"/>
        <w:left w:val="none" w:sz="0" w:space="0" w:color="auto"/>
        <w:bottom w:val="none" w:sz="0" w:space="0" w:color="auto"/>
        <w:right w:val="none" w:sz="0" w:space="0" w:color="auto"/>
      </w:divBdr>
    </w:div>
    <w:div w:id="495263076">
      <w:bodyDiv w:val="1"/>
      <w:marLeft w:val="0"/>
      <w:marRight w:val="0"/>
      <w:marTop w:val="0"/>
      <w:marBottom w:val="0"/>
      <w:divBdr>
        <w:top w:val="none" w:sz="0" w:space="0" w:color="auto"/>
        <w:left w:val="none" w:sz="0" w:space="0" w:color="auto"/>
        <w:bottom w:val="none" w:sz="0" w:space="0" w:color="auto"/>
        <w:right w:val="none" w:sz="0" w:space="0" w:color="auto"/>
      </w:divBdr>
    </w:div>
    <w:div w:id="495346239">
      <w:bodyDiv w:val="1"/>
      <w:marLeft w:val="0"/>
      <w:marRight w:val="0"/>
      <w:marTop w:val="0"/>
      <w:marBottom w:val="0"/>
      <w:divBdr>
        <w:top w:val="none" w:sz="0" w:space="0" w:color="auto"/>
        <w:left w:val="none" w:sz="0" w:space="0" w:color="auto"/>
        <w:bottom w:val="none" w:sz="0" w:space="0" w:color="auto"/>
        <w:right w:val="none" w:sz="0" w:space="0" w:color="auto"/>
      </w:divBdr>
    </w:div>
    <w:div w:id="495347365">
      <w:bodyDiv w:val="1"/>
      <w:marLeft w:val="0"/>
      <w:marRight w:val="0"/>
      <w:marTop w:val="0"/>
      <w:marBottom w:val="0"/>
      <w:divBdr>
        <w:top w:val="none" w:sz="0" w:space="0" w:color="auto"/>
        <w:left w:val="none" w:sz="0" w:space="0" w:color="auto"/>
        <w:bottom w:val="none" w:sz="0" w:space="0" w:color="auto"/>
        <w:right w:val="none" w:sz="0" w:space="0" w:color="auto"/>
      </w:divBdr>
    </w:div>
    <w:div w:id="495414494">
      <w:bodyDiv w:val="1"/>
      <w:marLeft w:val="0"/>
      <w:marRight w:val="0"/>
      <w:marTop w:val="0"/>
      <w:marBottom w:val="0"/>
      <w:divBdr>
        <w:top w:val="none" w:sz="0" w:space="0" w:color="auto"/>
        <w:left w:val="none" w:sz="0" w:space="0" w:color="auto"/>
        <w:bottom w:val="none" w:sz="0" w:space="0" w:color="auto"/>
        <w:right w:val="none" w:sz="0" w:space="0" w:color="auto"/>
      </w:divBdr>
    </w:div>
    <w:div w:id="495417164">
      <w:bodyDiv w:val="1"/>
      <w:marLeft w:val="0"/>
      <w:marRight w:val="0"/>
      <w:marTop w:val="0"/>
      <w:marBottom w:val="0"/>
      <w:divBdr>
        <w:top w:val="none" w:sz="0" w:space="0" w:color="auto"/>
        <w:left w:val="none" w:sz="0" w:space="0" w:color="auto"/>
        <w:bottom w:val="none" w:sz="0" w:space="0" w:color="auto"/>
        <w:right w:val="none" w:sz="0" w:space="0" w:color="auto"/>
      </w:divBdr>
    </w:div>
    <w:div w:id="495460475">
      <w:bodyDiv w:val="1"/>
      <w:marLeft w:val="0"/>
      <w:marRight w:val="0"/>
      <w:marTop w:val="0"/>
      <w:marBottom w:val="0"/>
      <w:divBdr>
        <w:top w:val="none" w:sz="0" w:space="0" w:color="auto"/>
        <w:left w:val="none" w:sz="0" w:space="0" w:color="auto"/>
        <w:bottom w:val="none" w:sz="0" w:space="0" w:color="auto"/>
        <w:right w:val="none" w:sz="0" w:space="0" w:color="auto"/>
      </w:divBdr>
    </w:div>
    <w:div w:id="495460544">
      <w:bodyDiv w:val="1"/>
      <w:marLeft w:val="0"/>
      <w:marRight w:val="0"/>
      <w:marTop w:val="0"/>
      <w:marBottom w:val="0"/>
      <w:divBdr>
        <w:top w:val="none" w:sz="0" w:space="0" w:color="auto"/>
        <w:left w:val="none" w:sz="0" w:space="0" w:color="auto"/>
        <w:bottom w:val="none" w:sz="0" w:space="0" w:color="auto"/>
        <w:right w:val="none" w:sz="0" w:space="0" w:color="auto"/>
      </w:divBdr>
    </w:div>
    <w:div w:id="495534443">
      <w:bodyDiv w:val="1"/>
      <w:marLeft w:val="0"/>
      <w:marRight w:val="0"/>
      <w:marTop w:val="0"/>
      <w:marBottom w:val="0"/>
      <w:divBdr>
        <w:top w:val="none" w:sz="0" w:space="0" w:color="auto"/>
        <w:left w:val="none" w:sz="0" w:space="0" w:color="auto"/>
        <w:bottom w:val="none" w:sz="0" w:space="0" w:color="auto"/>
        <w:right w:val="none" w:sz="0" w:space="0" w:color="auto"/>
      </w:divBdr>
    </w:div>
    <w:div w:id="495534848">
      <w:bodyDiv w:val="1"/>
      <w:marLeft w:val="0"/>
      <w:marRight w:val="0"/>
      <w:marTop w:val="0"/>
      <w:marBottom w:val="0"/>
      <w:divBdr>
        <w:top w:val="none" w:sz="0" w:space="0" w:color="auto"/>
        <w:left w:val="none" w:sz="0" w:space="0" w:color="auto"/>
        <w:bottom w:val="none" w:sz="0" w:space="0" w:color="auto"/>
        <w:right w:val="none" w:sz="0" w:space="0" w:color="auto"/>
      </w:divBdr>
    </w:div>
    <w:div w:id="495606625">
      <w:bodyDiv w:val="1"/>
      <w:marLeft w:val="0"/>
      <w:marRight w:val="0"/>
      <w:marTop w:val="0"/>
      <w:marBottom w:val="0"/>
      <w:divBdr>
        <w:top w:val="none" w:sz="0" w:space="0" w:color="auto"/>
        <w:left w:val="none" w:sz="0" w:space="0" w:color="auto"/>
        <w:bottom w:val="none" w:sz="0" w:space="0" w:color="auto"/>
        <w:right w:val="none" w:sz="0" w:space="0" w:color="auto"/>
      </w:divBdr>
    </w:div>
    <w:div w:id="495611540">
      <w:bodyDiv w:val="1"/>
      <w:marLeft w:val="0"/>
      <w:marRight w:val="0"/>
      <w:marTop w:val="0"/>
      <w:marBottom w:val="0"/>
      <w:divBdr>
        <w:top w:val="none" w:sz="0" w:space="0" w:color="auto"/>
        <w:left w:val="none" w:sz="0" w:space="0" w:color="auto"/>
        <w:bottom w:val="none" w:sz="0" w:space="0" w:color="auto"/>
        <w:right w:val="none" w:sz="0" w:space="0" w:color="auto"/>
      </w:divBdr>
    </w:div>
    <w:div w:id="495729022">
      <w:bodyDiv w:val="1"/>
      <w:marLeft w:val="0"/>
      <w:marRight w:val="0"/>
      <w:marTop w:val="0"/>
      <w:marBottom w:val="0"/>
      <w:divBdr>
        <w:top w:val="none" w:sz="0" w:space="0" w:color="auto"/>
        <w:left w:val="none" w:sz="0" w:space="0" w:color="auto"/>
        <w:bottom w:val="none" w:sz="0" w:space="0" w:color="auto"/>
        <w:right w:val="none" w:sz="0" w:space="0" w:color="auto"/>
      </w:divBdr>
    </w:div>
    <w:div w:id="495808093">
      <w:bodyDiv w:val="1"/>
      <w:marLeft w:val="0"/>
      <w:marRight w:val="0"/>
      <w:marTop w:val="0"/>
      <w:marBottom w:val="0"/>
      <w:divBdr>
        <w:top w:val="none" w:sz="0" w:space="0" w:color="auto"/>
        <w:left w:val="none" w:sz="0" w:space="0" w:color="auto"/>
        <w:bottom w:val="none" w:sz="0" w:space="0" w:color="auto"/>
        <w:right w:val="none" w:sz="0" w:space="0" w:color="auto"/>
      </w:divBdr>
    </w:div>
    <w:div w:id="495849671">
      <w:bodyDiv w:val="1"/>
      <w:marLeft w:val="0"/>
      <w:marRight w:val="0"/>
      <w:marTop w:val="0"/>
      <w:marBottom w:val="0"/>
      <w:divBdr>
        <w:top w:val="none" w:sz="0" w:space="0" w:color="auto"/>
        <w:left w:val="none" w:sz="0" w:space="0" w:color="auto"/>
        <w:bottom w:val="none" w:sz="0" w:space="0" w:color="auto"/>
        <w:right w:val="none" w:sz="0" w:space="0" w:color="auto"/>
      </w:divBdr>
    </w:div>
    <w:div w:id="495921359">
      <w:bodyDiv w:val="1"/>
      <w:marLeft w:val="0"/>
      <w:marRight w:val="0"/>
      <w:marTop w:val="0"/>
      <w:marBottom w:val="0"/>
      <w:divBdr>
        <w:top w:val="none" w:sz="0" w:space="0" w:color="auto"/>
        <w:left w:val="none" w:sz="0" w:space="0" w:color="auto"/>
        <w:bottom w:val="none" w:sz="0" w:space="0" w:color="auto"/>
        <w:right w:val="none" w:sz="0" w:space="0" w:color="auto"/>
      </w:divBdr>
    </w:div>
    <w:div w:id="495994418">
      <w:bodyDiv w:val="1"/>
      <w:marLeft w:val="0"/>
      <w:marRight w:val="0"/>
      <w:marTop w:val="0"/>
      <w:marBottom w:val="0"/>
      <w:divBdr>
        <w:top w:val="none" w:sz="0" w:space="0" w:color="auto"/>
        <w:left w:val="none" w:sz="0" w:space="0" w:color="auto"/>
        <w:bottom w:val="none" w:sz="0" w:space="0" w:color="auto"/>
        <w:right w:val="none" w:sz="0" w:space="0" w:color="auto"/>
      </w:divBdr>
    </w:div>
    <w:div w:id="495998385">
      <w:bodyDiv w:val="1"/>
      <w:marLeft w:val="0"/>
      <w:marRight w:val="0"/>
      <w:marTop w:val="0"/>
      <w:marBottom w:val="0"/>
      <w:divBdr>
        <w:top w:val="none" w:sz="0" w:space="0" w:color="auto"/>
        <w:left w:val="none" w:sz="0" w:space="0" w:color="auto"/>
        <w:bottom w:val="none" w:sz="0" w:space="0" w:color="auto"/>
        <w:right w:val="none" w:sz="0" w:space="0" w:color="auto"/>
      </w:divBdr>
    </w:div>
    <w:div w:id="496000689">
      <w:bodyDiv w:val="1"/>
      <w:marLeft w:val="0"/>
      <w:marRight w:val="0"/>
      <w:marTop w:val="0"/>
      <w:marBottom w:val="0"/>
      <w:divBdr>
        <w:top w:val="none" w:sz="0" w:space="0" w:color="auto"/>
        <w:left w:val="none" w:sz="0" w:space="0" w:color="auto"/>
        <w:bottom w:val="none" w:sz="0" w:space="0" w:color="auto"/>
        <w:right w:val="none" w:sz="0" w:space="0" w:color="auto"/>
      </w:divBdr>
    </w:div>
    <w:div w:id="496068874">
      <w:bodyDiv w:val="1"/>
      <w:marLeft w:val="0"/>
      <w:marRight w:val="0"/>
      <w:marTop w:val="0"/>
      <w:marBottom w:val="0"/>
      <w:divBdr>
        <w:top w:val="none" w:sz="0" w:space="0" w:color="auto"/>
        <w:left w:val="none" w:sz="0" w:space="0" w:color="auto"/>
        <w:bottom w:val="none" w:sz="0" w:space="0" w:color="auto"/>
        <w:right w:val="none" w:sz="0" w:space="0" w:color="auto"/>
      </w:divBdr>
    </w:div>
    <w:div w:id="496194435">
      <w:bodyDiv w:val="1"/>
      <w:marLeft w:val="0"/>
      <w:marRight w:val="0"/>
      <w:marTop w:val="0"/>
      <w:marBottom w:val="0"/>
      <w:divBdr>
        <w:top w:val="none" w:sz="0" w:space="0" w:color="auto"/>
        <w:left w:val="none" w:sz="0" w:space="0" w:color="auto"/>
        <w:bottom w:val="none" w:sz="0" w:space="0" w:color="auto"/>
        <w:right w:val="none" w:sz="0" w:space="0" w:color="auto"/>
      </w:divBdr>
    </w:div>
    <w:div w:id="496305929">
      <w:bodyDiv w:val="1"/>
      <w:marLeft w:val="0"/>
      <w:marRight w:val="0"/>
      <w:marTop w:val="0"/>
      <w:marBottom w:val="0"/>
      <w:divBdr>
        <w:top w:val="none" w:sz="0" w:space="0" w:color="auto"/>
        <w:left w:val="none" w:sz="0" w:space="0" w:color="auto"/>
        <w:bottom w:val="none" w:sz="0" w:space="0" w:color="auto"/>
        <w:right w:val="none" w:sz="0" w:space="0" w:color="auto"/>
      </w:divBdr>
    </w:div>
    <w:div w:id="496308877">
      <w:bodyDiv w:val="1"/>
      <w:marLeft w:val="0"/>
      <w:marRight w:val="0"/>
      <w:marTop w:val="0"/>
      <w:marBottom w:val="0"/>
      <w:divBdr>
        <w:top w:val="none" w:sz="0" w:space="0" w:color="auto"/>
        <w:left w:val="none" w:sz="0" w:space="0" w:color="auto"/>
        <w:bottom w:val="none" w:sz="0" w:space="0" w:color="auto"/>
        <w:right w:val="none" w:sz="0" w:space="0" w:color="auto"/>
      </w:divBdr>
    </w:div>
    <w:div w:id="496458933">
      <w:bodyDiv w:val="1"/>
      <w:marLeft w:val="0"/>
      <w:marRight w:val="0"/>
      <w:marTop w:val="0"/>
      <w:marBottom w:val="0"/>
      <w:divBdr>
        <w:top w:val="none" w:sz="0" w:space="0" w:color="auto"/>
        <w:left w:val="none" w:sz="0" w:space="0" w:color="auto"/>
        <w:bottom w:val="none" w:sz="0" w:space="0" w:color="auto"/>
        <w:right w:val="none" w:sz="0" w:space="0" w:color="auto"/>
      </w:divBdr>
    </w:div>
    <w:div w:id="496506217">
      <w:bodyDiv w:val="1"/>
      <w:marLeft w:val="0"/>
      <w:marRight w:val="0"/>
      <w:marTop w:val="0"/>
      <w:marBottom w:val="0"/>
      <w:divBdr>
        <w:top w:val="none" w:sz="0" w:space="0" w:color="auto"/>
        <w:left w:val="none" w:sz="0" w:space="0" w:color="auto"/>
        <w:bottom w:val="none" w:sz="0" w:space="0" w:color="auto"/>
        <w:right w:val="none" w:sz="0" w:space="0" w:color="auto"/>
      </w:divBdr>
    </w:div>
    <w:div w:id="496775417">
      <w:bodyDiv w:val="1"/>
      <w:marLeft w:val="0"/>
      <w:marRight w:val="0"/>
      <w:marTop w:val="0"/>
      <w:marBottom w:val="0"/>
      <w:divBdr>
        <w:top w:val="none" w:sz="0" w:space="0" w:color="auto"/>
        <w:left w:val="none" w:sz="0" w:space="0" w:color="auto"/>
        <w:bottom w:val="none" w:sz="0" w:space="0" w:color="auto"/>
        <w:right w:val="none" w:sz="0" w:space="0" w:color="auto"/>
      </w:divBdr>
    </w:div>
    <w:div w:id="496848192">
      <w:bodyDiv w:val="1"/>
      <w:marLeft w:val="0"/>
      <w:marRight w:val="0"/>
      <w:marTop w:val="0"/>
      <w:marBottom w:val="0"/>
      <w:divBdr>
        <w:top w:val="none" w:sz="0" w:space="0" w:color="auto"/>
        <w:left w:val="none" w:sz="0" w:space="0" w:color="auto"/>
        <w:bottom w:val="none" w:sz="0" w:space="0" w:color="auto"/>
        <w:right w:val="none" w:sz="0" w:space="0" w:color="auto"/>
      </w:divBdr>
    </w:div>
    <w:div w:id="496850486">
      <w:bodyDiv w:val="1"/>
      <w:marLeft w:val="0"/>
      <w:marRight w:val="0"/>
      <w:marTop w:val="0"/>
      <w:marBottom w:val="0"/>
      <w:divBdr>
        <w:top w:val="none" w:sz="0" w:space="0" w:color="auto"/>
        <w:left w:val="none" w:sz="0" w:space="0" w:color="auto"/>
        <w:bottom w:val="none" w:sz="0" w:space="0" w:color="auto"/>
        <w:right w:val="none" w:sz="0" w:space="0" w:color="auto"/>
      </w:divBdr>
    </w:div>
    <w:div w:id="496919083">
      <w:bodyDiv w:val="1"/>
      <w:marLeft w:val="0"/>
      <w:marRight w:val="0"/>
      <w:marTop w:val="0"/>
      <w:marBottom w:val="0"/>
      <w:divBdr>
        <w:top w:val="none" w:sz="0" w:space="0" w:color="auto"/>
        <w:left w:val="none" w:sz="0" w:space="0" w:color="auto"/>
        <w:bottom w:val="none" w:sz="0" w:space="0" w:color="auto"/>
        <w:right w:val="none" w:sz="0" w:space="0" w:color="auto"/>
      </w:divBdr>
    </w:div>
    <w:div w:id="497112171">
      <w:bodyDiv w:val="1"/>
      <w:marLeft w:val="0"/>
      <w:marRight w:val="0"/>
      <w:marTop w:val="0"/>
      <w:marBottom w:val="0"/>
      <w:divBdr>
        <w:top w:val="none" w:sz="0" w:space="0" w:color="auto"/>
        <w:left w:val="none" w:sz="0" w:space="0" w:color="auto"/>
        <w:bottom w:val="none" w:sz="0" w:space="0" w:color="auto"/>
        <w:right w:val="none" w:sz="0" w:space="0" w:color="auto"/>
      </w:divBdr>
    </w:div>
    <w:div w:id="497119438">
      <w:bodyDiv w:val="1"/>
      <w:marLeft w:val="0"/>
      <w:marRight w:val="0"/>
      <w:marTop w:val="0"/>
      <w:marBottom w:val="0"/>
      <w:divBdr>
        <w:top w:val="none" w:sz="0" w:space="0" w:color="auto"/>
        <w:left w:val="none" w:sz="0" w:space="0" w:color="auto"/>
        <w:bottom w:val="none" w:sz="0" w:space="0" w:color="auto"/>
        <w:right w:val="none" w:sz="0" w:space="0" w:color="auto"/>
      </w:divBdr>
    </w:div>
    <w:div w:id="497159840">
      <w:bodyDiv w:val="1"/>
      <w:marLeft w:val="0"/>
      <w:marRight w:val="0"/>
      <w:marTop w:val="0"/>
      <w:marBottom w:val="0"/>
      <w:divBdr>
        <w:top w:val="none" w:sz="0" w:space="0" w:color="auto"/>
        <w:left w:val="none" w:sz="0" w:space="0" w:color="auto"/>
        <w:bottom w:val="none" w:sz="0" w:space="0" w:color="auto"/>
        <w:right w:val="none" w:sz="0" w:space="0" w:color="auto"/>
      </w:divBdr>
    </w:div>
    <w:div w:id="497229890">
      <w:bodyDiv w:val="1"/>
      <w:marLeft w:val="0"/>
      <w:marRight w:val="0"/>
      <w:marTop w:val="0"/>
      <w:marBottom w:val="0"/>
      <w:divBdr>
        <w:top w:val="none" w:sz="0" w:space="0" w:color="auto"/>
        <w:left w:val="none" w:sz="0" w:space="0" w:color="auto"/>
        <w:bottom w:val="none" w:sz="0" w:space="0" w:color="auto"/>
        <w:right w:val="none" w:sz="0" w:space="0" w:color="auto"/>
      </w:divBdr>
    </w:div>
    <w:div w:id="497233456">
      <w:bodyDiv w:val="1"/>
      <w:marLeft w:val="0"/>
      <w:marRight w:val="0"/>
      <w:marTop w:val="0"/>
      <w:marBottom w:val="0"/>
      <w:divBdr>
        <w:top w:val="none" w:sz="0" w:space="0" w:color="auto"/>
        <w:left w:val="none" w:sz="0" w:space="0" w:color="auto"/>
        <w:bottom w:val="none" w:sz="0" w:space="0" w:color="auto"/>
        <w:right w:val="none" w:sz="0" w:space="0" w:color="auto"/>
      </w:divBdr>
    </w:div>
    <w:div w:id="497233888">
      <w:bodyDiv w:val="1"/>
      <w:marLeft w:val="0"/>
      <w:marRight w:val="0"/>
      <w:marTop w:val="0"/>
      <w:marBottom w:val="0"/>
      <w:divBdr>
        <w:top w:val="none" w:sz="0" w:space="0" w:color="auto"/>
        <w:left w:val="none" w:sz="0" w:space="0" w:color="auto"/>
        <w:bottom w:val="none" w:sz="0" w:space="0" w:color="auto"/>
        <w:right w:val="none" w:sz="0" w:space="0" w:color="auto"/>
      </w:divBdr>
    </w:div>
    <w:div w:id="497311766">
      <w:bodyDiv w:val="1"/>
      <w:marLeft w:val="0"/>
      <w:marRight w:val="0"/>
      <w:marTop w:val="0"/>
      <w:marBottom w:val="0"/>
      <w:divBdr>
        <w:top w:val="none" w:sz="0" w:space="0" w:color="auto"/>
        <w:left w:val="none" w:sz="0" w:space="0" w:color="auto"/>
        <w:bottom w:val="none" w:sz="0" w:space="0" w:color="auto"/>
        <w:right w:val="none" w:sz="0" w:space="0" w:color="auto"/>
      </w:divBdr>
    </w:div>
    <w:div w:id="497312470">
      <w:bodyDiv w:val="1"/>
      <w:marLeft w:val="0"/>
      <w:marRight w:val="0"/>
      <w:marTop w:val="0"/>
      <w:marBottom w:val="0"/>
      <w:divBdr>
        <w:top w:val="none" w:sz="0" w:space="0" w:color="auto"/>
        <w:left w:val="none" w:sz="0" w:space="0" w:color="auto"/>
        <w:bottom w:val="none" w:sz="0" w:space="0" w:color="auto"/>
        <w:right w:val="none" w:sz="0" w:space="0" w:color="auto"/>
      </w:divBdr>
    </w:div>
    <w:div w:id="497352731">
      <w:bodyDiv w:val="1"/>
      <w:marLeft w:val="0"/>
      <w:marRight w:val="0"/>
      <w:marTop w:val="0"/>
      <w:marBottom w:val="0"/>
      <w:divBdr>
        <w:top w:val="none" w:sz="0" w:space="0" w:color="auto"/>
        <w:left w:val="none" w:sz="0" w:space="0" w:color="auto"/>
        <w:bottom w:val="none" w:sz="0" w:space="0" w:color="auto"/>
        <w:right w:val="none" w:sz="0" w:space="0" w:color="auto"/>
      </w:divBdr>
    </w:div>
    <w:div w:id="497355869">
      <w:bodyDiv w:val="1"/>
      <w:marLeft w:val="0"/>
      <w:marRight w:val="0"/>
      <w:marTop w:val="0"/>
      <w:marBottom w:val="0"/>
      <w:divBdr>
        <w:top w:val="none" w:sz="0" w:space="0" w:color="auto"/>
        <w:left w:val="none" w:sz="0" w:space="0" w:color="auto"/>
        <w:bottom w:val="none" w:sz="0" w:space="0" w:color="auto"/>
        <w:right w:val="none" w:sz="0" w:space="0" w:color="auto"/>
      </w:divBdr>
    </w:div>
    <w:div w:id="497423775">
      <w:bodyDiv w:val="1"/>
      <w:marLeft w:val="0"/>
      <w:marRight w:val="0"/>
      <w:marTop w:val="0"/>
      <w:marBottom w:val="0"/>
      <w:divBdr>
        <w:top w:val="none" w:sz="0" w:space="0" w:color="auto"/>
        <w:left w:val="none" w:sz="0" w:space="0" w:color="auto"/>
        <w:bottom w:val="none" w:sz="0" w:space="0" w:color="auto"/>
        <w:right w:val="none" w:sz="0" w:space="0" w:color="auto"/>
      </w:divBdr>
    </w:div>
    <w:div w:id="497497498">
      <w:bodyDiv w:val="1"/>
      <w:marLeft w:val="0"/>
      <w:marRight w:val="0"/>
      <w:marTop w:val="0"/>
      <w:marBottom w:val="0"/>
      <w:divBdr>
        <w:top w:val="none" w:sz="0" w:space="0" w:color="auto"/>
        <w:left w:val="none" w:sz="0" w:space="0" w:color="auto"/>
        <w:bottom w:val="none" w:sz="0" w:space="0" w:color="auto"/>
        <w:right w:val="none" w:sz="0" w:space="0" w:color="auto"/>
      </w:divBdr>
    </w:div>
    <w:div w:id="497505710">
      <w:bodyDiv w:val="1"/>
      <w:marLeft w:val="0"/>
      <w:marRight w:val="0"/>
      <w:marTop w:val="0"/>
      <w:marBottom w:val="0"/>
      <w:divBdr>
        <w:top w:val="none" w:sz="0" w:space="0" w:color="auto"/>
        <w:left w:val="none" w:sz="0" w:space="0" w:color="auto"/>
        <w:bottom w:val="none" w:sz="0" w:space="0" w:color="auto"/>
        <w:right w:val="none" w:sz="0" w:space="0" w:color="auto"/>
      </w:divBdr>
    </w:div>
    <w:div w:id="497815470">
      <w:bodyDiv w:val="1"/>
      <w:marLeft w:val="0"/>
      <w:marRight w:val="0"/>
      <w:marTop w:val="0"/>
      <w:marBottom w:val="0"/>
      <w:divBdr>
        <w:top w:val="none" w:sz="0" w:space="0" w:color="auto"/>
        <w:left w:val="none" w:sz="0" w:space="0" w:color="auto"/>
        <w:bottom w:val="none" w:sz="0" w:space="0" w:color="auto"/>
        <w:right w:val="none" w:sz="0" w:space="0" w:color="auto"/>
      </w:divBdr>
    </w:div>
    <w:div w:id="497892188">
      <w:bodyDiv w:val="1"/>
      <w:marLeft w:val="0"/>
      <w:marRight w:val="0"/>
      <w:marTop w:val="0"/>
      <w:marBottom w:val="0"/>
      <w:divBdr>
        <w:top w:val="none" w:sz="0" w:space="0" w:color="auto"/>
        <w:left w:val="none" w:sz="0" w:space="0" w:color="auto"/>
        <w:bottom w:val="none" w:sz="0" w:space="0" w:color="auto"/>
        <w:right w:val="none" w:sz="0" w:space="0" w:color="auto"/>
      </w:divBdr>
    </w:div>
    <w:div w:id="498035265">
      <w:bodyDiv w:val="1"/>
      <w:marLeft w:val="0"/>
      <w:marRight w:val="0"/>
      <w:marTop w:val="0"/>
      <w:marBottom w:val="0"/>
      <w:divBdr>
        <w:top w:val="none" w:sz="0" w:space="0" w:color="auto"/>
        <w:left w:val="none" w:sz="0" w:space="0" w:color="auto"/>
        <w:bottom w:val="none" w:sz="0" w:space="0" w:color="auto"/>
        <w:right w:val="none" w:sz="0" w:space="0" w:color="auto"/>
      </w:divBdr>
    </w:div>
    <w:div w:id="498038389">
      <w:bodyDiv w:val="1"/>
      <w:marLeft w:val="0"/>
      <w:marRight w:val="0"/>
      <w:marTop w:val="0"/>
      <w:marBottom w:val="0"/>
      <w:divBdr>
        <w:top w:val="none" w:sz="0" w:space="0" w:color="auto"/>
        <w:left w:val="none" w:sz="0" w:space="0" w:color="auto"/>
        <w:bottom w:val="none" w:sz="0" w:space="0" w:color="auto"/>
        <w:right w:val="none" w:sz="0" w:space="0" w:color="auto"/>
      </w:divBdr>
    </w:div>
    <w:div w:id="498080362">
      <w:bodyDiv w:val="1"/>
      <w:marLeft w:val="0"/>
      <w:marRight w:val="0"/>
      <w:marTop w:val="0"/>
      <w:marBottom w:val="0"/>
      <w:divBdr>
        <w:top w:val="none" w:sz="0" w:space="0" w:color="auto"/>
        <w:left w:val="none" w:sz="0" w:space="0" w:color="auto"/>
        <w:bottom w:val="none" w:sz="0" w:space="0" w:color="auto"/>
        <w:right w:val="none" w:sz="0" w:space="0" w:color="auto"/>
      </w:divBdr>
    </w:div>
    <w:div w:id="498082457">
      <w:bodyDiv w:val="1"/>
      <w:marLeft w:val="0"/>
      <w:marRight w:val="0"/>
      <w:marTop w:val="0"/>
      <w:marBottom w:val="0"/>
      <w:divBdr>
        <w:top w:val="none" w:sz="0" w:space="0" w:color="auto"/>
        <w:left w:val="none" w:sz="0" w:space="0" w:color="auto"/>
        <w:bottom w:val="none" w:sz="0" w:space="0" w:color="auto"/>
        <w:right w:val="none" w:sz="0" w:space="0" w:color="auto"/>
      </w:divBdr>
    </w:div>
    <w:div w:id="498084651">
      <w:bodyDiv w:val="1"/>
      <w:marLeft w:val="0"/>
      <w:marRight w:val="0"/>
      <w:marTop w:val="0"/>
      <w:marBottom w:val="0"/>
      <w:divBdr>
        <w:top w:val="none" w:sz="0" w:space="0" w:color="auto"/>
        <w:left w:val="none" w:sz="0" w:space="0" w:color="auto"/>
        <w:bottom w:val="none" w:sz="0" w:space="0" w:color="auto"/>
        <w:right w:val="none" w:sz="0" w:space="0" w:color="auto"/>
      </w:divBdr>
    </w:div>
    <w:div w:id="498159901">
      <w:bodyDiv w:val="1"/>
      <w:marLeft w:val="0"/>
      <w:marRight w:val="0"/>
      <w:marTop w:val="0"/>
      <w:marBottom w:val="0"/>
      <w:divBdr>
        <w:top w:val="none" w:sz="0" w:space="0" w:color="auto"/>
        <w:left w:val="none" w:sz="0" w:space="0" w:color="auto"/>
        <w:bottom w:val="none" w:sz="0" w:space="0" w:color="auto"/>
        <w:right w:val="none" w:sz="0" w:space="0" w:color="auto"/>
      </w:divBdr>
    </w:div>
    <w:div w:id="498273552">
      <w:bodyDiv w:val="1"/>
      <w:marLeft w:val="0"/>
      <w:marRight w:val="0"/>
      <w:marTop w:val="0"/>
      <w:marBottom w:val="0"/>
      <w:divBdr>
        <w:top w:val="none" w:sz="0" w:space="0" w:color="auto"/>
        <w:left w:val="none" w:sz="0" w:space="0" w:color="auto"/>
        <w:bottom w:val="none" w:sz="0" w:space="0" w:color="auto"/>
        <w:right w:val="none" w:sz="0" w:space="0" w:color="auto"/>
      </w:divBdr>
    </w:div>
    <w:div w:id="498422827">
      <w:bodyDiv w:val="1"/>
      <w:marLeft w:val="0"/>
      <w:marRight w:val="0"/>
      <w:marTop w:val="0"/>
      <w:marBottom w:val="0"/>
      <w:divBdr>
        <w:top w:val="none" w:sz="0" w:space="0" w:color="auto"/>
        <w:left w:val="none" w:sz="0" w:space="0" w:color="auto"/>
        <w:bottom w:val="none" w:sz="0" w:space="0" w:color="auto"/>
        <w:right w:val="none" w:sz="0" w:space="0" w:color="auto"/>
      </w:divBdr>
    </w:div>
    <w:div w:id="498426982">
      <w:bodyDiv w:val="1"/>
      <w:marLeft w:val="0"/>
      <w:marRight w:val="0"/>
      <w:marTop w:val="0"/>
      <w:marBottom w:val="0"/>
      <w:divBdr>
        <w:top w:val="none" w:sz="0" w:space="0" w:color="auto"/>
        <w:left w:val="none" w:sz="0" w:space="0" w:color="auto"/>
        <w:bottom w:val="none" w:sz="0" w:space="0" w:color="auto"/>
        <w:right w:val="none" w:sz="0" w:space="0" w:color="auto"/>
      </w:divBdr>
    </w:div>
    <w:div w:id="498471236">
      <w:bodyDiv w:val="1"/>
      <w:marLeft w:val="0"/>
      <w:marRight w:val="0"/>
      <w:marTop w:val="0"/>
      <w:marBottom w:val="0"/>
      <w:divBdr>
        <w:top w:val="none" w:sz="0" w:space="0" w:color="auto"/>
        <w:left w:val="none" w:sz="0" w:space="0" w:color="auto"/>
        <w:bottom w:val="none" w:sz="0" w:space="0" w:color="auto"/>
        <w:right w:val="none" w:sz="0" w:space="0" w:color="auto"/>
      </w:divBdr>
    </w:div>
    <w:div w:id="498473160">
      <w:bodyDiv w:val="1"/>
      <w:marLeft w:val="0"/>
      <w:marRight w:val="0"/>
      <w:marTop w:val="0"/>
      <w:marBottom w:val="0"/>
      <w:divBdr>
        <w:top w:val="none" w:sz="0" w:space="0" w:color="auto"/>
        <w:left w:val="none" w:sz="0" w:space="0" w:color="auto"/>
        <w:bottom w:val="none" w:sz="0" w:space="0" w:color="auto"/>
        <w:right w:val="none" w:sz="0" w:space="0" w:color="auto"/>
      </w:divBdr>
    </w:div>
    <w:div w:id="498499360">
      <w:bodyDiv w:val="1"/>
      <w:marLeft w:val="0"/>
      <w:marRight w:val="0"/>
      <w:marTop w:val="0"/>
      <w:marBottom w:val="0"/>
      <w:divBdr>
        <w:top w:val="none" w:sz="0" w:space="0" w:color="auto"/>
        <w:left w:val="none" w:sz="0" w:space="0" w:color="auto"/>
        <w:bottom w:val="none" w:sz="0" w:space="0" w:color="auto"/>
        <w:right w:val="none" w:sz="0" w:space="0" w:color="auto"/>
      </w:divBdr>
    </w:div>
    <w:div w:id="498545882">
      <w:bodyDiv w:val="1"/>
      <w:marLeft w:val="0"/>
      <w:marRight w:val="0"/>
      <w:marTop w:val="0"/>
      <w:marBottom w:val="0"/>
      <w:divBdr>
        <w:top w:val="none" w:sz="0" w:space="0" w:color="auto"/>
        <w:left w:val="none" w:sz="0" w:space="0" w:color="auto"/>
        <w:bottom w:val="none" w:sz="0" w:space="0" w:color="auto"/>
        <w:right w:val="none" w:sz="0" w:space="0" w:color="auto"/>
      </w:divBdr>
    </w:div>
    <w:div w:id="498546924">
      <w:bodyDiv w:val="1"/>
      <w:marLeft w:val="0"/>
      <w:marRight w:val="0"/>
      <w:marTop w:val="0"/>
      <w:marBottom w:val="0"/>
      <w:divBdr>
        <w:top w:val="none" w:sz="0" w:space="0" w:color="auto"/>
        <w:left w:val="none" w:sz="0" w:space="0" w:color="auto"/>
        <w:bottom w:val="none" w:sz="0" w:space="0" w:color="auto"/>
        <w:right w:val="none" w:sz="0" w:space="0" w:color="auto"/>
      </w:divBdr>
    </w:div>
    <w:div w:id="498666055">
      <w:bodyDiv w:val="1"/>
      <w:marLeft w:val="0"/>
      <w:marRight w:val="0"/>
      <w:marTop w:val="0"/>
      <w:marBottom w:val="0"/>
      <w:divBdr>
        <w:top w:val="none" w:sz="0" w:space="0" w:color="auto"/>
        <w:left w:val="none" w:sz="0" w:space="0" w:color="auto"/>
        <w:bottom w:val="none" w:sz="0" w:space="0" w:color="auto"/>
        <w:right w:val="none" w:sz="0" w:space="0" w:color="auto"/>
      </w:divBdr>
    </w:div>
    <w:div w:id="498692899">
      <w:bodyDiv w:val="1"/>
      <w:marLeft w:val="0"/>
      <w:marRight w:val="0"/>
      <w:marTop w:val="0"/>
      <w:marBottom w:val="0"/>
      <w:divBdr>
        <w:top w:val="none" w:sz="0" w:space="0" w:color="auto"/>
        <w:left w:val="none" w:sz="0" w:space="0" w:color="auto"/>
        <w:bottom w:val="none" w:sz="0" w:space="0" w:color="auto"/>
        <w:right w:val="none" w:sz="0" w:space="0" w:color="auto"/>
      </w:divBdr>
    </w:div>
    <w:div w:id="498808524">
      <w:bodyDiv w:val="1"/>
      <w:marLeft w:val="0"/>
      <w:marRight w:val="0"/>
      <w:marTop w:val="0"/>
      <w:marBottom w:val="0"/>
      <w:divBdr>
        <w:top w:val="none" w:sz="0" w:space="0" w:color="auto"/>
        <w:left w:val="none" w:sz="0" w:space="0" w:color="auto"/>
        <w:bottom w:val="none" w:sz="0" w:space="0" w:color="auto"/>
        <w:right w:val="none" w:sz="0" w:space="0" w:color="auto"/>
      </w:divBdr>
    </w:div>
    <w:div w:id="498932337">
      <w:bodyDiv w:val="1"/>
      <w:marLeft w:val="0"/>
      <w:marRight w:val="0"/>
      <w:marTop w:val="0"/>
      <w:marBottom w:val="0"/>
      <w:divBdr>
        <w:top w:val="none" w:sz="0" w:space="0" w:color="auto"/>
        <w:left w:val="none" w:sz="0" w:space="0" w:color="auto"/>
        <w:bottom w:val="none" w:sz="0" w:space="0" w:color="auto"/>
        <w:right w:val="none" w:sz="0" w:space="0" w:color="auto"/>
      </w:divBdr>
    </w:div>
    <w:div w:id="499006375">
      <w:bodyDiv w:val="1"/>
      <w:marLeft w:val="0"/>
      <w:marRight w:val="0"/>
      <w:marTop w:val="0"/>
      <w:marBottom w:val="0"/>
      <w:divBdr>
        <w:top w:val="none" w:sz="0" w:space="0" w:color="auto"/>
        <w:left w:val="none" w:sz="0" w:space="0" w:color="auto"/>
        <w:bottom w:val="none" w:sz="0" w:space="0" w:color="auto"/>
        <w:right w:val="none" w:sz="0" w:space="0" w:color="auto"/>
      </w:divBdr>
    </w:div>
    <w:div w:id="499010080">
      <w:bodyDiv w:val="1"/>
      <w:marLeft w:val="0"/>
      <w:marRight w:val="0"/>
      <w:marTop w:val="0"/>
      <w:marBottom w:val="0"/>
      <w:divBdr>
        <w:top w:val="none" w:sz="0" w:space="0" w:color="auto"/>
        <w:left w:val="none" w:sz="0" w:space="0" w:color="auto"/>
        <w:bottom w:val="none" w:sz="0" w:space="0" w:color="auto"/>
        <w:right w:val="none" w:sz="0" w:space="0" w:color="auto"/>
      </w:divBdr>
    </w:div>
    <w:div w:id="499127940">
      <w:bodyDiv w:val="1"/>
      <w:marLeft w:val="0"/>
      <w:marRight w:val="0"/>
      <w:marTop w:val="0"/>
      <w:marBottom w:val="0"/>
      <w:divBdr>
        <w:top w:val="none" w:sz="0" w:space="0" w:color="auto"/>
        <w:left w:val="none" w:sz="0" w:space="0" w:color="auto"/>
        <w:bottom w:val="none" w:sz="0" w:space="0" w:color="auto"/>
        <w:right w:val="none" w:sz="0" w:space="0" w:color="auto"/>
      </w:divBdr>
    </w:div>
    <w:div w:id="499128158">
      <w:bodyDiv w:val="1"/>
      <w:marLeft w:val="0"/>
      <w:marRight w:val="0"/>
      <w:marTop w:val="0"/>
      <w:marBottom w:val="0"/>
      <w:divBdr>
        <w:top w:val="none" w:sz="0" w:space="0" w:color="auto"/>
        <w:left w:val="none" w:sz="0" w:space="0" w:color="auto"/>
        <w:bottom w:val="none" w:sz="0" w:space="0" w:color="auto"/>
        <w:right w:val="none" w:sz="0" w:space="0" w:color="auto"/>
      </w:divBdr>
    </w:div>
    <w:div w:id="499271192">
      <w:bodyDiv w:val="1"/>
      <w:marLeft w:val="0"/>
      <w:marRight w:val="0"/>
      <w:marTop w:val="0"/>
      <w:marBottom w:val="0"/>
      <w:divBdr>
        <w:top w:val="none" w:sz="0" w:space="0" w:color="auto"/>
        <w:left w:val="none" w:sz="0" w:space="0" w:color="auto"/>
        <w:bottom w:val="none" w:sz="0" w:space="0" w:color="auto"/>
        <w:right w:val="none" w:sz="0" w:space="0" w:color="auto"/>
      </w:divBdr>
    </w:div>
    <w:div w:id="499276737">
      <w:bodyDiv w:val="1"/>
      <w:marLeft w:val="0"/>
      <w:marRight w:val="0"/>
      <w:marTop w:val="0"/>
      <w:marBottom w:val="0"/>
      <w:divBdr>
        <w:top w:val="none" w:sz="0" w:space="0" w:color="auto"/>
        <w:left w:val="none" w:sz="0" w:space="0" w:color="auto"/>
        <w:bottom w:val="none" w:sz="0" w:space="0" w:color="auto"/>
        <w:right w:val="none" w:sz="0" w:space="0" w:color="auto"/>
      </w:divBdr>
    </w:div>
    <w:div w:id="499278587">
      <w:bodyDiv w:val="1"/>
      <w:marLeft w:val="0"/>
      <w:marRight w:val="0"/>
      <w:marTop w:val="0"/>
      <w:marBottom w:val="0"/>
      <w:divBdr>
        <w:top w:val="none" w:sz="0" w:space="0" w:color="auto"/>
        <w:left w:val="none" w:sz="0" w:space="0" w:color="auto"/>
        <w:bottom w:val="none" w:sz="0" w:space="0" w:color="auto"/>
        <w:right w:val="none" w:sz="0" w:space="0" w:color="auto"/>
      </w:divBdr>
    </w:div>
    <w:div w:id="499319833">
      <w:bodyDiv w:val="1"/>
      <w:marLeft w:val="0"/>
      <w:marRight w:val="0"/>
      <w:marTop w:val="0"/>
      <w:marBottom w:val="0"/>
      <w:divBdr>
        <w:top w:val="none" w:sz="0" w:space="0" w:color="auto"/>
        <w:left w:val="none" w:sz="0" w:space="0" w:color="auto"/>
        <w:bottom w:val="none" w:sz="0" w:space="0" w:color="auto"/>
        <w:right w:val="none" w:sz="0" w:space="0" w:color="auto"/>
      </w:divBdr>
    </w:div>
    <w:div w:id="499347778">
      <w:bodyDiv w:val="1"/>
      <w:marLeft w:val="0"/>
      <w:marRight w:val="0"/>
      <w:marTop w:val="0"/>
      <w:marBottom w:val="0"/>
      <w:divBdr>
        <w:top w:val="none" w:sz="0" w:space="0" w:color="auto"/>
        <w:left w:val="none" w:sz="0" w:space="0" w:color="auto"/>
        <w:bottom w:val="none" w:sz="0" w:space="0" w:color="auto"/>
        <w:right w:val="none" w:sz="0" w:space="0" w:color="auto"/>
      </w:divBdr>
    </w:div>
    <w:div w:id="499349016">
      <w:bodyDiv w:val="1"/>
      <w:marLeft w:val="0"/>
      <w:marRight w:val="0"/>
      <w:marTop w:val="0"/>
      <w:marBottom w:val="0"/>
      <w:divBdr>
        <w:top w:val="none" w:sz="0" w:space="0" w:color="auto"/>
        <w:left w:val="none" w:sz="0" w:space="0" w:color="auto"/>
        <w:bottom w:val="none" w:sz="0" w:space="0" w:color="auto"/>
        <w:right w:val="none" w:sz="0" w:space="0" w:color="auto"/>
      </w:divBdr>
    </w:div>
    <w:div w:id="499349087">
      <w:bodyDiv w:val="1"/>
      <w:marLeft w:val="0"/>
      <w:marRight w:val="0"/>
      <w:marTop w:val="0"/>
      <w:marBottom w:val="0"/>
      <w:divBdr>
        <w:top w:val="none" w:sz="0" w:space="0" w:color="auto"/>
        <w:left w:val="none" w:sz="0" w:space="0" w:color="auto"/>
        <w:bottom w:val="none" w:sz="0" w:space="0" w:color="auto"/>
        <w:right w:val="none" w:sz="0" w:space="0" w:color="auto"/>
      </w:divBdr>
    </w:div>
    <w:div w:id="499388530">
      <w:bodyDiv w:val="1"/>
      <w:marLeft w:val="0"/>
      <w:marRight w:val="0"/>
      <w:marTop w:val="0"/>
      <w:marBottom w:val="0"/>
      <w:divBdr>
        <w:top w:val="none" w:sz="0" w:space="0" w:color="auto"/>
        <w:left w:val="none" w:sz="0" w:space="0" w:color="auto"/>
        <w:bottom w:val="none" w:sz="0" w:space="0" w:color="auto"/>
        <w:right w:val="none" w:sz="0" w:space="0" w:color="auto"/>
      </w:divBdr>
    </w:div>
    <w:div w:id="499396047">
      <w:bodyDiv w:val="1"/>
      <w:marLeft w:val="0"/>
      <w:marRight w:val="0"/>
      <w:marTop w:val="0"/>
      <w:marBottom w:val="0"/>
      <w:divBdr>
        <w:top w:val="none" w:sz="0" w:space="0" w:color="auto"/>
        <w:left w:val="none" w:sz="0" w:space="0" w:color="auto"/>
        <w:bottom w:val="none" w:sz="0" w:space="0" w:color="auto"/>
        <w:right w:val="none" w:sz="0" w:space="0" w:color="auto"/>
      </w:divBdr>
    </w:div>
    <w:div w:id="499464382">
      <w:bodyDiv w:val="1"/>
      <w:marLeft w:val="0"/>
      <w:marRight w:val="0"/>
      <w:marTop w:val="0"/>
      <w:marBottom w:val="0"/>
      <w:divBdr>
        <w:top w:val="none" w:sz="0" w:space="0" w:color="auto"/>
        <w:left w:val="none" w:sz="0" w:space="0" w:color="auto"/>
        <w:bottom w:val="none" w:sz="0" w:space="0" w:color="auto"/>
        <w:right w:val="none" w:sz="0" w:space="0" w:color="auto"/>
      </w:divBdr>
    </w:div>
    <w:div w:id="499466303">
      <w:bodyDiv w:val="1"/>
      <w:marLeft w:val="0"/>
      <w:marRight w:val="0"/>
      <w:marTop w:val="0"/>
      <w:marBottom w:val="0"/>
      <w:divBdr>
        <w:top w:val="none" w:sz="0" w:space="0" w:color="auto"/>
        <w:left w:val="none" w:sz="0" w:space="0" w:color="auto"/>
        <w:bottom w:val="none" w:sz="0" w:space="0" w:color="auto"/>
        <w:right w:val="none" w:sz="0" w:space="0" w:color="auto"/>
      </w:divBdr>
    </w:div>
    <w:div w:id="499539566">
      <w:bodyDiv w:val="1"/>
      <w:marLeft w:val="0"/>
      <w:marRight w:val="0"/>
      <w:marTop w:val="0"/>
      <w:marBottom w:val="0"/>
      <w:divBdr>
        <w:top w:val="none" w:sz="0" w:space="0" w:color="auto"/>
        <w:left w:val="none" w:sz="0" w:space="0" w:color="auto"/>
        <w:bottom w:val="none" w:sz="0" w:space="0" w:color="auto"/>
        <w:right w:val="none" w:sz="0" w:space="0" w:color="auto"/>
      </w:divBdr>
    </w:div>
    <w:div w:id="499584931">
      <w:bodyDiv w:val="1"/>
      <w:marLeft w:val="0"/>
      <w:marRight w:val="0"/>
      <w:marTop w:val="0"/>
      <w:marBottom w:val="0"/>
      <w:divBdr>
        <w:top w:val="none" w:sz="0" w:space="0" w:color="auto"/>
        <w:left w:val="none" w:sz="0" w:space="0" w:color="auto"/>
        <w:bottom w:val="none" w:sz="0" w:space="0" w:color="auto"/>
        <w:right w:val="none" w:sz="0" w:space="0" w:color="auto"/>
      </w:divBdr>
    </w:div>
    <w:div w:id="499735573">
      <w:bodyDiv w:val="1"/>
      <w:marLeft w:val="0"/>
      <w:marRight w:val="0"/>
      <w:marTop w:val="0"/>
      <w:marBottom w:val="0"/>
      <w:divBdr>
        <w:top w:val="none" w:sz="0" w:space="0" w:color="auto"/>
        <w:left w:val="none" w:sz="0" w:space="0" w:color="auto"/>
        <w:bottom w:val="none" w:sz="0" w:space="0" w:color="auto"/>
        <w:right w:val="none" w:sz="0" w:space="0" w:color="auto"/>
      </w:divBdr>
    </w:div>
    <w:div w:id="499737580">
      <w:bodyDiv w:val="1"/>
      <w:marLeft w:val="0"/>
      <w:marRight w:val="0"/>
      <w:marTop w:val="0"/>
      <w:marBottom w:val="0"/>
      <w:divBdr>
        <w:top w:val="none" w:sz="0" w:space="0" w:color="auto"/>
        <w:left w:val="none" w:sz="0" w:space="0" w:color="auto"/>
        <w:bottom w:val="none" w:sz="0" w:space="0" w:color="auto"/>
        <w:right w:val="none" w:sz="0" w:space="0" w:color="auto"/>
      </w:divBdr>
    </w:div>
    <w:div w:id="500000855">
      <w:bodyDiv w:val="1"/>
      <w:marLeft w:val="0"/>
      <w:marRight w:val="0"/>
      <w:marTop w:val="0"/>
      <w:marBottom w:val="0"/>
      <w:divBdr>
        <w:top w:val="none" w:sz="0" w:space="0" w:color="auto"/>
        <w:left w:val="none" w:sz="0" w:space="0" w:color="auto"/>
        <w:bottom w:val="none" w:sz="0" w:space="0" w:color="auto"/>
        <w:right w:val="none" w:sz="0" w:space="0" w:color="auto"/>
      </w:divBdr>
    </w:div>
    <w:div w:id="500047756">
      <w:bodyDiv w:val="1"/>
      <w:marLeft w:val="0"/>
      <w:marRight w:val="0"/>
      <w:marTop w:val="0"/>
      <w:marBottom w:val="0"/>
      <w:divBdr>
        <w:top w:val="none" w:sz="0" w:space="0" w:color="auto"/>
        <w:left w:val="none" w:sz="0" w:space="0" w:color="auto"/>
        <w:bottom w:val="none" w:sz="0" w:space="0" w:color="auto"/>
        <w:right w:val="none" w:sz="0" w:space="0" w:color="auto"/>
      </w:divBdr>
    </w:div>
    <w:div w:id="500197907">
      <w:bodyDiv w:val="1"/>
      <w:marLeft w:val="0"/>
      <w:marRight w:val="0"/>
      <w:marTop w:val="0"/>
      <w:marBottom w:val="0"/>
      <w:divBdr>
        <w:top w:val="none" w:sz="0" w:space="0" w:color="auto"/>
        <w:left w:val="none" w:sz="0" w:space="0" w:color="auto"/>
        <w:bottom w:val="none" w:sz="0" w:space="0" w:color="auto"/>
        <w:right w:val="none" w:sz="0" w:space="0" w:color="auto"/>
      </w:divBdr>
    </w:div>
    <w:div w:id="500198808">
      <w:bodyDiv w:val="1"/>
      <w:marLeft w:val="0"/>
      <w:marRight w:val="0"/>
      <w:marTop w:val="0"/>
      <w:marBottom w:val="0"/>
      <w:divBdr>
        <w:top w:val="none" w:sz="0" w:space="0" w:color="auto"/>
        <w:left w:val="none" w:sz="0" w:space="0" w:color="auto"/>
        <w:bottom w:val="none" w:sz="0" w:space="0" w:color="auto"/>
        <w:right w:val="none" w:sz="0" w:space="0" w:color="auto"/>
      </w:divBdr>
    </w:div>
    <w:div w:id="500240926">
      <w:bodyDiv w:val="1"/>
      <w:marLeft w:val="0"/>
      <w:marRight w:val="0"/>
      <w:marTop w:val="0"/>
      <w:marBottom w:val="0"/>
      <w:divBdr>
        <w:top w:val="none" w:sz="0" w:space="0" w:color="auto"/>
        <w:left w:val="none" w:sz="0" w:space="0" w:color="auto"/>
        <w:bottom w:val="none" w:sz="0" w:space="0" w:color="auto"/>
        <w:right w:val="none" w:sz="0" w:space="0" w:color="auto"/>
      </w:divBdr>
    </w:div>
    <w:div w:id="500245045">
      <w:bodyDiv w:val="1"/>
      <w:marLeft w:val="0"/>
      <w:marRight w:val="0"/>
      <w:marTop w:val="0"/>
      <w:marBottom w:val="0"/>
      <w:divBdr>
        <w:top w:val="none" w:sz="0" w:space="0" w:color="auto"/>
        <w:left w:val="none" w:sz="0" w:space="0" w:color="auto"/>
        <w:bottom w:val="none" w:sz="0" w:space="0" w:color="auto"/>
        <w:right w:val="none" w:sz="0" w:space="0" w:color="auto"/>
      </w:divBdr>
    </w:div>
    <w:div w:id="500386926">
      <w:bodyDiv w:val="1"/>
      <w:marLeft w:val="0"/>
      <w:marRight w:val="0"/>
      <w:marTop w:val="0"/>
      <w:marBottom w:val="0"/>
      <w:divBdr>
        <w:top w:val="none" w:sz="0" w:space="0" w:color="auto"/>
        <w:left w:val="none" w:sz="0" w:space="0" w:color="auto"/>
        <w:bottom w:val="none" w:sz="0" w:space="0" w:color="auto"/>
        <w:right w:val="none" w:sz="0" w:space="0" w:color="auto"/>
      </w:divBdr>
    </w:div>
    <w:div w:id="500389204">
      <w:bodyDiv w:val="1"/>
      <w:marLeft w:val="0"/>
      <w:marRight w:val="0"/>
      <w:marTop w:val="0"/>
      <w:marBottom w:val="0"/>
      <w:divBdr>
        <w:top w:val="none" w:sz="0" w:space="0" w:color="auto"/>
        <w:left w:val="none" w:sz="0" w:space="0" w:color="auto"/>
        <w:bottom w:val="none" w:sz="0" w:space="0" w:color="auto"/>
        <w:right w:val="none" w:sz="0" w:space="0" w:color="auto"/>
      </w:divBdr>
    </w:div>
    <w:div w:id="500462901">
      <w:bodyDiv w:val="1"/>
      <w:marLeft w:val="0"/>
      <w:marRight w:val="0"/>
      <w:marTop w:val="0"/>
      <w:marBottom w:val="0"/>
      <w:divBdr>
        <w:top w:val="none" w:sz="0" w:space="0" w:color="auto"/>
        <w:left w:val="none" w:sz="0" w:space="0" w:color="auto"/>
        <w:bottom w:val="none" w:sz="0" w:space="0" w:color="auto"/>
        <w:right w:val="none" w:sz="0" w:space="0" w:color="auto"/>
      </w:divBdr>
    </w:div>
    <w:div w:id="500513976">
      <w:bodyDiv w:val="1"/>
      <w:marLeft w:val="0"/>
      <w:marRight w:val="0"/>
      <w:marTop w:val="0"/>
      <w:marBottom w:val="0"/>
      <w:divBdr>
        <w:top w:val="none" w:sz="0" w:space="0" w:color="auto"/>
        <w:left w:val="none" w:sz="0" w:space="0" w:color="auto"/>
        <w:bottom w:val="none" w:sz="0" w:space="0" w:color="auto"/>
        <w:right w:val="none" w:sz="0" w:space="0" w:color="auto"/>
      </w:divBdr>
    </w:div>
    <w:div w:id="500587251">
      <w:bodyDiv w:val="1"/>
      <w:marLeft w:val="0"/>
      <w:marRight w:val="0"/>
      <w:marTop w:val="0"/>
      <w:marBottom w:val="0"/>
      <w:divBdr>
        <w:top w:val="none" w:sz="0" w:space="0" w:color="auto"/>
        <w:left w:val="none" w:sz="0" w:space="0" w:color="auto"/>
        <w:bottom w:val="none" w:sz="0" w:space="0" w:color="auto"/>
        <w:right w:val="none" w:sz="0" w:space="0" w:color="auto"/>
      </w:divBdr>
    </w:div>
    <w:div w:id="500632306">
      <w:bodyDiv w:val="1"/>
      <w:marLeft w:val="0"/>
      <w:marRight w:val="0"/>
      <w:marTop w:val="0"/>
      <w:marBottom w:val="0"/>
      <w:divBdr>
        <w:top w:val="none" w:sz="0" w:space="0" w:color="auto"/>
        <w:left w:val="none" w:sz="0" w:space="0" w:color="auto"/>
        <w:bottom w:val="none" w:sz="0" w:space="0" w:color="auto"/>
        <w:right w:val="none" w:sz="0" w:space="0" w:color="auto"/>
      </w:divBdr>
    </w:div>
    <w:div w:id="500782642">
      <w:bodyDiv w:val="1"/>
      <w:marLeft w:val="0"/>
      <w:marRight w:val="0"/>
      <w:marTop w:val="0"/>
      <w:marBottom w:val="0"/>
      <w:divBdr>
        <w:top w:val="none" w:sz="0" w:space="0" w:color="auto"/>
        <w:left w:val="none" w:sz="0" w:space="0" w:color="auto"/>
        <w:bottom w:val="none" w:sz="0" w:space="0" w:color="auto"/>
        <w:right w:val="none" w:sz="0" w:space="0" w:color="auto"/>
      </w:divBdr>
    </w:div>
    <w:div w:id="500852582">
      <w:bodyDiv w:val="1"/>
      <w:marLeft w:val="0"/>
      <w:marRight w:val="0"/>
      <w:marTop w:val="0"/>
      <w:marBottom w:val="0"/>
      <w:divBdr>
        <w:top w:val="none" w:sz="0" w:space="0" w:color="auto"/>
        <w:left w:val="none" w:sz="0" w:space="0" w:color="auto"/>
        <w:bottom w:val="none" w:sz="0" w:space="0" w:color="auto"/>
        <w:right w:val="none" w:sz="0" w:space="0" w:color="auto"/>
      </w:divBdr>
    </w:div>
    <w:div w:id="500900737">
      <w:bodyDiv w:val="1"/>
      <w:marLeft w:val="0"/>
      <w:marRight w:val="0"/>
      <w:marTop w:val="0"/>
      <w:marBottom w:val="0"/>
      <w:divBdr>
        <w:top w:val="none" w:sz="0" w:space="0" w:color="auto"/>
        <w:left w:val="none" w:sz="0" w:space="0" w:color="auto"/>
        <w:bottom w:val="none" w:sz="0" w:space="0" w:color="auto"/>
        <w:right w:val="none" w:sz="0" w:space="0" w:color="auto"/>
      </w:divBdr>
    </w:div>
    <w:div w:id="500970846">
      <w:bodyDiv w:val="1"/>
      <w:marLeft w:val="0"/>
      <w:marRight w:val="0"/>
      <w:marTop w:val="0"/>
      <w:marBottom w:val="0"/>
      <w:divBdr>
        <w:top w:val="none" w:sz="0" w:space="0" w:color="auto"/>
        <w:left w:val="none" w:sz="0" w:space="0" w:color="auto"/>
        <w:bottom w:val="none" w:sz="0" w:space="0" w:color="auto"/>
        <w:right w:val="none" w:sz="0" w:space="0" w:color="auto"/>
      </w:divBdr>
    </w:div>
    <w:div w:id="501045779">
      <w:bodyDiv w:val="1"/>
      <w:marLeft w:val="0"/>
      <w:marRight w:val="0"/>
      <w:marTop w:val="0"/>
      <w:marBottom w:val="0"/>
      <w:divBdr>
        <w:top w:val="none" w:sz="0" w:space="0" w:color="auto"/>
        <w:left w:val="none" w:sz="0" w:space="0" w:color="auto"/>
        <w:bottom w:val="none" w:sz="0" w:space="0" w:color="auto"/>
        <w:right w:val="none" w:sz="0" w:space="0" w:color="auto"/>
      </w:divBdr>
    </w:div>
    <w:div w:id="501092186">
      <w:bodyDiv w:val="1"/>
      <w:marLeft w:val="0"/>
      <w:marRight w:val="0"/>
      <w:marTop w:val="0"/>
      <w:marBottom w:val="0"/>
      <w:divBdr>
        <w:top w:val="none" w:sz="0" w:space="0" w:color="auto"/>
        <w:left w:val="none" w:sz="0" w:space="0" w:color="auto"/>
        <w:bottom w:val="none" w:sz="0" w:space="0" w:color="auto"/>
        <w:right w:val="none" w:sz="0" w:space="0" w:color="auto"/>
      </w:divBdr>
    </w:div>
    <w:div w:id="501236999">
      <w:bodyDiv w:val="1"/>
      <w:marLeft w:val="0"/>
      <w:marRight w:val="0"/>
      <w:marTop w:val="0"/>
      <w:marBottom w:val="0"/>
      <w:divBdr>
        <w:top w:val="none" w:sz="0" w:space="0" w:color="auto"/>
        <w:left w:val="none" w:sz="0" w:space="0" w:color="auto"/>
        <w:bottom w:val="none" w:sz="0" w:space="0" w:color="auto"/>
        <w:right w:val="none" w:sz="0" w:space="0" w:color="auto"/>
      </w:divBdr>
    </w:div>
    <w:div w:id="501310658">
      <w:bodyDiv w:val="1"/>
      <w:marLeft w:val="0"/>
      <w:marRight w:val="0"/>
      <w:marTop w:val="0"/>
      <w:marBottom w:val="0"/>
      <w:divBdr>
        <w:top w:val="none" w:sz="0" w:space="0" w:color="auto"/>
        <w:left w:val="none" w:sz="0" w:space="0" w:color="auto"/>
        <w:bottom w:val="none" w:sz="0" w:space="0" w:color="auto"/>
        <w:right w:val="none" w:sz="0" w:space="0" w:color="auto"/>
      </w:divBdr>
    </w:div>
    <w:div w:id="501432153">
      <w:bodyDiv w:val="1"/>
      <w:marLeft w:val="0"/>
      <w:marRight w:val="0"/>
      <w:marTop w:val="0"/>
      <w:marBottom w:val="0"/>
      <w:divBdr>
        <w:top w:val="none" w:sz="0" w:space="0" w:color="auto"/>
        <w:left w:val="none" w:sz="0" w:space="0" w:color="auto"/>
        <w:bottom w:val="none" w:sz="0" w:space="0" w:color="auto"/>
        <w:right w:val="none" w:sz="0" w:space="0" w:color="auto"/>
      </w:divBdr>
    </w:div>
    <w:div w:id="501432212">
      <w:bodyDiv w:val="1"/>
      <w:marLeft w:val="0"/>
      <w:marRight w:val="0"/>
      <w:marTop w:val="0"/>
      <w:marBottom w:val="0"/>
      <w:divBdr>
        <w:top w:val="none" w:sz="0" w:space="0" w:color="auto"/>
        <w:left w:val="none" w:sz="0" w:space="0" w:color="auto"/>
        <w:bottom w:val="none" w:sz="0" w:space="0" w:color="auto"/>
        <w:right w:val="none" w:sz="0" w:space="0" w:color="auto"/>
      </w:divBdr>
    </w:div>
    <w:div w:id="501505556">
      <w:bodyDiv w:val="1"/>
      <w:marLeft w:val="0"/>
      <w:marRight w:val="0"/>
      <w:marTop w:val="0"/>
      <w:marBottom w:val="0"/>
      <w:divBdr>
        <w:top w:val="none" w:sz="0" w:space="0" w:color="auto"/>
        <w:left w:val="none" w:sz="0" w:space="0" w:color="auto"/>
        <w:bottom w:val="none" w:sz="0" w:space="0" w:color="auto"/>
        <w:right w:val="none" w:sz="0" w:space="0" w:color="auto"/>
      </w:divBdr>
    </w:div>
    <w:div w:id="501698145">
      <w:bodyDiv w:val="1"/>
      <w:marLeft w:val="0"/>
      <w:marRight w:val="0"/>
      <w:marTop w:val="0"/>
      <w:marBottom w:val="0"/>
      <w:divBdr>
        <w:top w:val="none" w:sz="0" w:space="0" w:color="auto"/>
        <w:left w:val="none" w:sz="0" w:space="0" w:color="auto"/>
        <w:bottom w:val="none" w:sz="0" w:space="0" w:color="auto"/>
        <w:right w:val="none" w:sz="0" w:space="0" w:color="auto"/>
      </w:divBdr>
    </w:div>
    <w:div w:id="501819130">
      <w:bodyDiv w:val="1"/>
      <w:marLeft w:val="0"/>
      <w:marRight w:val="0"/>
      <w:marTop w:val="0"/>
      <w:marBottom w:val="0"/>
      <w:divBdr>
        <w:top w:val="none" w:sz="0" w:space="0" w:color="auto"/>
        <w:left w:val="none" w:sz="0" w:space="0" w:color="auto"/>
        <w:bottom w:val="none" w:sz="0" w:space="0" w:color="auto"/>
        <w:right w:val="none" w:sz="0" w:space="0" w:color="auto"/>
      </w:divBdr>
    </w:div>
    <w:div w:id="501895712">
      <w:bodyDiv w:val="1"/>
      <w:marLeft w:val="0"/>
      <w:marRight w:val="0"/>
      <w:marTop w:val="0"/>
      <w:marBottom w:val="0"/>
      <w:divBdr>
        <w:top w:val="none" w:sz="0" w:space="0" w:color="auto"/>
        <w:left w:val="none" w:sz="0" w:space="0" w:color="auto"/>
        <w:bottom w:val="none" w:sz="0" w:space="0" w:color="auto"/>
        <w:right w:val="none" w:sz="0" w:space="0" w:color="auto"/>
      </w:divBdr>
    </w:div>
    <w:div w:id="501940881">
      <w:bodyDiv w:val="1"/>
      <w:marLeft w:val="0"/>
      <w:marRight w:val="0"/>
      <w:marTop w:val="0"/>
      <w:marBottom w:val="0"/>
      <w:divBdr>
        <w:top w:val="none" w:sz="0" w:space="0" w:color="auto"/>
        <w:left w:val="none" w:sz="0" w:space="0" w:color="auto"/>
        <w:bottom w:val="none" w:sz="0" w:space="0" w:color="auto"/>
        <w:right w:val="none" w:sz="0" w:space="0" w:color="auto"/>
      </w:divBdr>
    </w:div>
    <w:div w:id="502012014">
      <w:bodyDiv w:val="1"/>
      <w:marLeft w:val="0"/>
      <w:marRight w:val="0"/>
      <w:marTop w:val="0"/>
      <w:marBottom w:val="0"/>
      <w:divBdr>
        <w:top w:val="none" w:sz="0" w:space="0" w:color="auto"/>
        <w:left w:val="none" w:sz="0" w:space="0" w:color="auto"/>
        <w:bottom w:val="none" w:sz="0" w:space="0" w:color="auto"/>
        <w:right w:val="none" w:sz="0" w:space="0" w:color="auto"/>
      </w:divBdr>
    </w:div>
    <w:div w:id="502167152">
      <w:bodyDiv w:val="1"/>
      <w:marLeft w:val="0"/>
      <w:marRight w:val="0"/>
      <w:marTop w:val="0"/>
      <w:marBottom w:val="0"/>
      <w:divBdr>
        <w:top w:val="none" w:sz="0" w:space="0" w:color="auto"/>
        <w:left w:val="none" w:sz="0" w:space="0" w:color="auto"/>
        <w:bottom w:val="none" w:sz="0" w:space="0" w:color="auto"/>
        <w:right w:val="none" w:sz="0" w:space="0" w:color="auto"/>
      </w:divBdr>
    </w:div>
    <w:div w:id="502209457">
      <w:bodyDiv w:val="1"/>
      <w:marLeft w:val="0"/>
      <w:marRight w:val="0"/>
      <w:marTop w:val="0"/>
      <w:marBottom w:val="0"/>
      <w:divBdr>
        <w:top w:val="none" w:sz="0" w:space="0" w:color="auto"/>
        <w:left w:val="none" w:sz="0" w:space="0" w:color="auto"/>
        <w:bottom w:val="none" w:sz="0" w:space="0" w:color="auto"/>
        <w:right w:val="none" w:sz="0" w:space="0" w:color="auto"/>
      </w:divBdr>
    </w:div>
    <w:div w:id="502282671">
      <w:bodyDiv w:val="1"/>
      <w:marLeft w:val="0"/>
      <w:marRight w:val="0"/>
      <w:marTop w:val="0"/>
      <w:marBottom w:val="0"/>
      <w:divBdr>
        <w:top w:val="none" w:sz="0" w:space="0" w:color="auto"/>
        <w:left w:val="none" w:sz="0" w:space="0" w:color="auto"/>
        <w:bottom w:val="none" w:sz="0" w:space="0" w:color="auto"/>
        <w:right w:val="none" w:sz="0" w:space="0" w:color="auto"/>
      </w:divBdr>
    </w:div>
    <w:div w:id="502286261">
      <w:bodyDiv w:val="1"/>
      <w:marLeft w:val="0"/>
      <w:marRight w:val="0"/>
      <w:marTop w:val="0"/>
      <w:marBottom w:val="0"/>
      <w:divBdr>
        <w:top w:val="none" w:sz="0" w:space="0" w:color="auto"/>
        <w:left w:val="none" w:sz="0" w:space="0" w:color="auto"/>
        <w:bottom w:val="none" w:sz="0" w:space="0" w:color="auto"/>
        <w:right w:val="none" w:sz="0" w:space="0" w:color="auto"/>
      </w:divBdr>
    </w:div>
    <w:div w:id="502354011">
      <w:bodyDiv w:val="1"/>
      <w:marLeft w:val="0"/>
      <w:marRight w:val="0"/>
      <w:marTop w:val="0"/>
      <w:marBottom w:val="0"/>
      <w:divBdr>
        <w:top w:val="none" w:sz="0" w:space="0" w:color="auto"/>
        <w:left w:val="none" w:sz="0" w:space="0" w:color="auto"/>
        <w:bottom w:val="none" w:sz="0" w:space="0" w:color="auto"/>
        <w:right w:val="none" w:sz="0" w:space="0" w:color="auto"/>
      </w:divBdr>
    </w:div>
    <w:div w:id="502399757">
      <w:bodyDiv w:val="1"/>
      <w:marLeft w:val="0"/>
      <w:marRight w:val="0"/>
      <w:marTop w:val="0"/>
      <w:marBottom w:val="0"/>
      <w:divBdr>
        <w:top w:val="none" w:sz="0" w:space="0" w:color="auto"/>
        <w:left w:val="none" w:sz="0" w:space="0" w:color="auto"/>
        <w:bottom w:val="none" w:sz="0" w:space="0" w:color="auto"/>
        <w:right w:val="none" w:sz="0" w:space="0" w:color="auto"/>
      </w:divBdr>
    </w:div>
    <w:div w:id="502471938">
      <w:bodyDiv w:val="1"/>
      <w:marLeft w:val="0"/>
      <w:marRight w:val="0"/>
      <w:marTop w:val="0"/>
      <w:marBottom w:val="0"/>
      <w:divBdr>
        <w:top w:val="none" w:sz="0" w:space="0" w:color="auto"/>
        <w:left w:val="none" w:sz="0" w:space="0" w:color="auto"/>
        <w:bottom w:val="none" w:sz="0" w:space="0" w:color="auto"/>
        <w:right w:val="none" w:sz="0" w:space="0" w:color="auto"/>
      </w:divBdr>
    </w:div>
    <w:div w:id="502621836">
      <w:bodyDiv w:val="1"/>
      <w:marLeft w:val="0"/>
      <w:marRight w:val="0"/>
      <w:marTop w:val="0"/>
      <w:marBottom w:val="0"/>
      <w:divBdr>
        <w:top w:val="none" w:sz="0" w:space="0" w:color="auto"/>
        <w:left w:val="none" w:sz="0" w:space="0" w:color="auto"/>
        <w:bottom w:val="none" w:sz="0" w:space="0" w:color="auto"/>
        <w:right w:val="none" w:sz="0" w:space="0" w:color="auto"/>
      </w:divBdr>
    </w:div>
    <w:div w:id="502622627">
      <w:bodyDiv w:val="1"/>
      <w:marLeft w:val="0"/>
      <w:marRight w:val="0"/>
      <w:marTop w:val="0"/>
      <w:marBottom w:val="0"/>
      <w:divBdr>
        <w:top w:val="none" w:sz="0" w:space="0" w:color="auto"/>
        <w:left w:val="none" w:sz="0" w:space="0" w:color="auto"/>
        <w:bottom w:val="none" w:sz="0" w:space="0" w:color="auto"/>
        <w:right w:val="none" w:sz="0" w:space="0" w:color="auto"/>
      </w:divBdr>
    </w:div>
    <w:div w:id="502627777">
      <w:bodyDiv w:val="1"/>
      <w:marLeft w:val="0"/>
      <w:marRight w:val="0"/>
      <w:marTop w:val="0"/>
      <w:marBottom w:val="0"/>
      <w:divBdr>
        <w:top w:val="none" w:sz="0" w:space="0" w:color="auto"/>
        <w:left w:val="none" w:sz="0" w:space="0" w:color="auto"/>
        <w:bottom w:val="none" w:sz="0" w:space="0" w:color="auto"/>
        <w:right w:val="none" w:sz="0" w:space="0" w:color="auto"/>
      </w:divBdr>
    </w:div>
    <w:div w:id="502672809">
      <w:bodyDiv w:val="1"/>
      <w:marLeft w:val="0"/>
      <w:marRight w:val="0"/>
      <w:marTop w:val="0"/>
      <w:marBottom w:val="0"/>
      <w:divBdr>
        <w:top w:val="none" w:sz="0" w:space="0" w:color="auto"/>
        <w:left w:val="none" w:sz="0" w:space="0" w:color="auto"/>
        <w:bottom w:val="none" w:sz="0" w:space="0" w:color="auto"/>
        <w:right w:val="none" w:sz="0" w:space="0" w:color="auto"/>
      </w:divBdr>
    </w:div>
    <w:div w:id="502742745">
      <w:bodyDiv w:val="1"/>
      <w:marLeft w:val="0"/>
      <w:marRight w:val="0"/>
      <w:marTop w:val="0"/>
      <w:marBottom w:val="0"/>
      <w:divBdr>
        <w:top w:val="none" w:sz="0" w:space="0" w:color="auto"/>
        <w:left w:val="none" w:sz="0" w:space="0" w:color="auto"/>
        <w:bottom w:val="none" w:sz="0" w:space="0" w:color="auto"/>
        <w:right w:val="none" w:sz="0" w:space="0" w:color="auto"/>
      </w:divBdr>
    </w:div>
    <w:div w:id="502746152">
      <w:bodyDiv w:val="1"/>
      <w:marLeft w:val="0"/>
      <w:marRight w:val="0"/>
      <w:marTop w:val="0"/>
      <w:marBottom w:val="0"/>
      <w:divBdr>
        <w:top w:val="none" w:sz="0" w:space="0" w:color="auto"/>
        <w:left w:val="none" w:sz="0" w:space="0" w:color="auto"/>
        <w:bottom w:val="none" w:sz="0" w:space="0" w:color="auto"/>
        <w:right w:val="none" w:sz="0" w:space="0" w:color="auto"/>
      </w:divBdr>
    </w:div>
    <w:div w:id="502860315">
      <w:bodyDiv w:val="1"/>
      <w:marLeft w:val="0"/>
      <w:marRight w:val="0"/>
      <w:marTop w:val="0"/>
      <w:marBottom w:val="0"/>
      <w:divBdr>
        <w:top w:val="none" w:sz="0" w:space="0" w:color="auto"/>
        <w:left w:val="none" w:sz="0" w:space="0" w:color="auto"/>
        <w:bottom w:val="none" w:sz="0" w:space="0" w:color="auto"/>
        <w:right w:val="none" w:sz="0" w:space="0" w:color="auto"/>
      </w:divBdr>
    </w:div>
    <w:div w:id="502936737">
      <w:bodyDiv w:val="1"/>
      <w:marLeft w:val="0"/>
      <w:marRight w:val="0"/>
      <w:marTop w:val="0"/>
      <w:marBottom w:val="0"/>
      <w:divBdr>
        <w:top w:val="none" w:sz="0" w:space="0" w:color="auto"/>
        <w:left w:val="none" w:sz="0" w:space="0" w:color="auto"/>
        <w:bottom w:val="none" w:sz="0" w:space="0" w:color="auto"/>
        <w:right w:val="none" w:sz="0" w:space="0" w:color="auto"/>
      </w:divBdr>
    </w:div>
    <w:div w:id="503086155">
      <w:bodyDiv w:val="1"/>
      <w:marLeft w:val="0"/>
      <w:marRight w:val="0"/>
      <w:marTop w:val="0"/>
      <w:marBottom w:val="0"/>
      <w:divBdr>
        <w:top w:val="none" w:sz="0" w:space="0" w:color="auto"/>
        <w:left w:val="none" w:sz="0" w:space="0" w:color="auto"/>
        <w:bottom w:val="none" w:sz="0" w:space="0" w:color="auto"/>
        <w:right w:val="none" w:sz="0" w:space="0" w:color="auto"/>
      </w:divBdr>
    </w:div>
    <w:div w:id="503127816">
      <w:bodyDiv w:val="1"/>
      <w:marLeft w:val="0"/>
      <w:marRight w:val="0"/>
      <w:marTop w:val="0"/>
      <w:marBottom w:val="0"/>
      <w:divBdr>
        <w:top w:val="none" w:sz="0" w:space="0" w:color="auto"/>
        <w:left w:val="none" w:sz="0" w:space="0" w:color="auto"/>
        <w:bottom w:val="none" w:sz="0" w:space="0" w:color="auto"/>
        <w:right w:val="none" w:sz="0" w:space="0" w:color="auto"/>
      </w:divBdr>
    </w:div>
    <w:div w:id="503395649">
      <w:bodyDiv w:val="1"/>
      <w:marLeft w:val="0"/>
      <w:marRight w:val="0"/>
      <w:marTop w:val="0"/>
      <w:marBottom w:val="0"/>
      <w:divBdr>
        <w:top w:val="none" w:sz="0" w:space="0" w:color="auto"/>
        <w:left w:val="none" w:sz="0" w:space="0" w:color="auto"/>
        <w:bottom w:val="none" w:sz="0" w:space="0" w:color="auto"/>
        <w:right w:val="none" w:sz="0" w:space="0" w:color="auto"/>
      </w:divBdr>
    </w:div>
    <w:div w:id="503474881">
      <w:bodyDiv w:val="1"/>
      <w:marLeft w:val="0"/>
      <w:marRight w:val="0"/>
      <w:marTop w:val="0"/>
      <w:marBottom w:val="0"/>
      <w:divBdr>
        <w:top w:val="none" w:sz="0" w:space="0" w:color="auto"/>
        <w:left w:val="none" w:sz="0" w:space="0" w:color="auto"/>
        <w:bottom w:val="none" w:sz="0" w:space="0" w:color="auto"/>
        <w:right w:val="none" w:sz="0" w:space="0" w:color="auto"/>
      </w:divBdr>
    </w:div>
    <w:div w:id="503518257">
      <w:bodyDiv w:val="1"/>
      <w:marLeft w:val="0"/>
      <w:marRight w:val="0"/>
      <w:marTop w:val="0"/>
      <w:marBottom w:val="0"/>
      <w:divBdr>
        <w:top w:val="none" w:sz="0" w:space="0" w:color="auto"/>
        <w:left w:val="none" w:sz="0" w:space="0" w:color="auto"/>
        <w:bottom w:val="none" w:sz="0" w:space="0" w:color="auto"/>
        <w:right w:val="none" w:sz="0" w:space="0" w:color="auto"/>
      </w:divBdr>
    </w:div>
    <w:div w:id="503663834">
      <w:bodyDiv w:val="1"/>
      <w:marLeft w:val="0"/>
      <w:marRight w:val="0"/>
      <w:marTop w:val="0"/>
      <w:marBottom w:val="0"/>
      <w:divBdr>
        <w:top w:val="none" w:sz="0" w:space="0" w:color="auto"/>
        <w:left w:val="none" w:sz="0" w:space="0" w:color="auto"/>
        <w:bottom w:val="none" w:sz="0" w:space="0" w:color="auto"/>
        <w:right w:val="none" w:sz="0" w:space="0" w:color="auto"/>
      </w:divBdr>
    </w:div>
    <w:div w:id="503710681">
      <w:bodyDiv w:val="1"/>
      <w:marLeft w:val="0"/>
      <w:marRight w:val="0"/>
      <w:marTop w:val="0"/>
      <w:marBottom w:val="0"/>
      <w:divBdr>
        <w:top w:val="none" w:sz="0" w:space="0" w:color="auto"/>
        <w:left w:val="none" w:sz="0" w:space="0" w:color="auto"/>
        <w:bottom w:val="none" w:sz="0" w:space="0" w:color="auto"/>
        <w:right w:val="none" w:sz="0" w:space="0" w:color="auto"/>
      </w:divBdr>
    </w:div>
    <w:div w:id="503713934">
      <w:bodyDiv w:val="1"/>
      <w:marLeft w:val="0"/>
      <w:marRight w:val="0"/>
      <w:marTop w:val="0"/>
      <w:marBottom w:val="0"/>
      <w:divBdr>
        <w:top w:val="none" w:sz="0" w:space="0" w:color="auto"/>
        <w:left w:val="none" w:sz="0" w:space="0" w:color="auto"/>
        <w:bottom w:val="none" w:sz="0" w:space="0" w:color="auto"/>
        <w:right w:val="none" w:sz="0" w:space="0" w:color="auto"/>
      </w:divBdr>
    </w:div>
    <w:div w:id="503938791">
      <w:bodyDiv w:val="1"/>
      <w:marLeft w:val="0"/>
      <w:marRight w:val="0"/>
      <w:marTop w:val="0"/>
      <w:marBottom w:val="0"/>
      <w:divBdr>
        <w:top w:val="none" w:sz="0" w:space="0" w:color="auto"/>
        <w:left w:val="none" w:sz="0" w:space="0" w:color="auto"/>
        <w:bottom w:val="none" w:sz="0" w:space="0" w:color="auto"/>
        <w:right w:val="none" w:sz="0" w:space="0" w:color="auto"/>
      </w:divBdr>
    </w:div>
    <w:div w:id="503974435">
      <w:bodyDiv w:val="1"/>
      <w:marLeft w:val="0"/>
      <w:marRight w:val="0"/>
      <w:marTop w:val="0"/>
      <w:marBottom w:val="0"/>
      <w:divBdr>
        <w:top w:val="none" w:sz="0" w:space="0" w:color="auto"/>
        <w:left w:val="none" w:sz="0" w:space="0" w:color="auto"/>
        <w:bottom w:val="none" w:sz="0" w:space="0" w:color="auto"/>
        <w:right w:val="none" w:sz="0" w:space="0" w:color="auto"/>
      </w:divBdr>
    </w:div>
    <w:div w:id="503979665">
      <w:bodyDiv w:val="1"/>
      <w:marLeft w:val="0"/>
      <w:marRight w:val="0"/>
      <w:marTop w:val="0"/>
      <w:marBottom w:val="0"/>
      <w:divBdr>
        <w:top w:val="none" w:sz="0" w:space="0" w:color="auto"/>
        <w:left w:val="none" w:sz="0" w:space="0" w:color="auto"/>
        <w:bottom w:val="none" w:sz="0" w:space="0" w:color="auto"/>
        <w:right w:val="none" w:sz="0" w:space="0" w:color="auto"/>
      </w:divBdr>
    </w:div>
    <w:div w:id="503982927">
      <w:bodyDiv w:val="1"/>
      <w:marLeft w:val="0"/>
      <w:marRight w:val="0"/>
      <w:marTop w:val="0"/>
      <w:marBottom w:val="0"/>
      <w:divBdr>
        <w:top w:val="none" w:sz="0" w:space="0" w:color="auto"/>
        <w:left w:val="none" w:sz="0" w:space="0" w:color="auto"/>
        <w:bottom w:val="none" w:sz="0" w:space="0" w:color="auto"/>
        <w:right w:val="none" w:sz="0" w:space="0" w:color="auto"/>
      </w:divBdr>
    </w:div>
    <w:div w:id="504055371">
      <w:bodyDiv w:val="1"/>
      <w:marLeft w:val="0"/>
      <w:marRight w:val="0"/>
      <w:marTop w:val="0"/>
      <w:marBottom w:val="0"/>
      <w:divBdr>
        <w:top w:val="none" w:sz="0" w:space="0" w:color="auto"/>
        <w:left w:val="none" w:sz="0" w:space="0" w:color="auto"/>
        <w:bottom w:val="none" w:sz="0" w:space="0" w:color="auto"/>
        <w:right w:val="none" w:sz="0" w:space="0" w:color="auto"/>
      </w:divBdr>
    </w:div>
    <w:div w:id="504132207">
      <w:bodyDiv w:val="1"/>
      <w:marLeft w:val="0"/>
      <w:marRight w:val="0"/>
      <w:marTop w:val="0"/>
      <w:marBottom w:val="0"/>
      <w:divBdr>
        <w:top w:val="none" w:sz="0" w:space="0" w:color="auto"/>
        <w:left w:val="none" w:sz="0" w:space="0" w:color="auto"/>
        <w:bottom w:val="none" w:sz="0" w:space="0" w:color="auto"/>
        <w:right w:val="none" w:sz="0" w:space="0" w:color="auto"/>
      </w:divBdr>
    </w:div>
    <w:div w:id="504170731">
      <w:bodyDiv w:val="1"/>
      <w:marLeft w:val="0"/>
      <w:marRight w:val="0"/>
      <w:marTop w:val="0"/>
      <w:marBottom w:val="0"/>
      <w:divBdr>
        <w:top w:val="none" w:sz="0" w:space="0" w:color="auto"/>
        <w:left w:val="none" w:sz="0" w:space="0" w:color="auto"/>
        <w:bottom w:val="none" w:sz="0" w:space="0" w:color="auto"/>
        <w:right w:val="none" w:sz="0" w:space="0" w:color="auto"/>
      </w:divBdr>
    </w:div>
    <w:div w:id="504323956">
      <w:bodyDiv w:val="1"/>
      <w:marLeft w:val="0"/>
      <w:marRight w:val="0"/>
      <w:marTop w:val="0"/>
      <w:marBottom w:val="0"/>
      <w:divBdr>
        <w:top w:val="none" w:sz="0" w:space="0" w:color="auto"/>
        <w:left w:val="none" w:sz="0" w:space="0" w:color="auto"/>
        <w:bottom w:val="none" w:sz="0" w:space="0" w:color="auto"/>
        <w:right w:val="none" w:sz="0" w:space="0" w:color="auto"/>
      </w:divBdr>
    </w:div>
    <w:div w:id="504368334">
      <w:bodyDiv w:val="1"/>
      <w:marLeft w:val="0"/>
      <w:marRight w:val="0"/>
      <w:marTop w:val="0"/>
      <w:marBottom w:val="0"/>
      <w:divBdr>
        <w:top w:val="none" w:sz="0" w:space="0" w:color="auto"/>
        <w:left w:val="none" w:sz="0" w:space="0" w:color="auto"/>
        <w:bottom w:val="none" w:sz="0" w:space="0" w:color="auto"/>
        <w:right w:val="none" w:sz="0" w:space="0" w:color="auto"/>
      </w:divBdr>
    </w:div>
    <w:div w:id="504394076">
      <w:bodyDiv w:val="1"/>
      <w:marLeft w:val="0"/>
      <w:marRight w:val="0"/>
      <w:marTop w:val="0"/>
      <w:marBottom w:val="0"/>
      <w:divBdr>
        <w:top w:val="none" w:sz="0" w:space="0" w:color="auto"/>
        <w:left w:val="none" w:sz="0" w:space="0" w:color="auto"/>
        <w:bottom w:val="none" w:sz="0" w:space="0" w:color="auto"/>
        <w:right w:val="none" w:sz="0" w:space="0" w:color="auto"/>
      </w:divBdr>
    </w:div>
    <w:div w:id="504397303">
      <w:bodyDiv w:val="1"/>
      <w:marLeft w:val="0"/>
      <w:marRight w:val="0"/>
      <w:marTop w:val="0"/>
      <w:marBottom w:val="0"/>
      <w:divBdr>
        <w:top w:val="none" w:sz="0" w:space="0" w:color="auto"/>
        <w:left w:val="none" w:sz="0" w:space="0" w:color="auto"/>
        <w:bottom w:val="none" w:sz="0" w:space="0" w:color="auto"/>
        <w:right w:val="none" w:sz="0" w:space="0" w:color="auto"/>
      </w:divBdr>
    </w:div>
    <w:div w:id="504783605">
      <w:bodyDiv w:val="1"/>
      <w:marLeft w:val="0"/>
      <w:marRight w:val="0"/>
      <w:marTop w:val="0"/>
      <w:marBottom w:val="0"/>
      <w:divBdr>
        <w:top w:val="none" w:sz="0" w:space="0" w:color="auto"/>
        <w:left w:val="none" w:sz="0" w:space="0" w:color="auto"/>
        <w:bottom w:val="none" w:sz="0" w:space="0" w:color="auto"/>
        <w:right w:val="none" w:sz="0" w:space="0" w:color="auto"/>
      </w:divBdr>
    </w:div>
    <w:div w:id="504898955">
      <w:bodyDiv w:val="1"/>
      <w:marLeft w:val="0"/>
      <w:marRight w:val="0"/>
      <w:marTop w:val="0"/>
      <w:marBottom w:val="0"/>
      <w:divBdr>
        <w:top w:val="none" w:sz="0" w:space="0" w:color="auto"/>
        <w:left w:val="none" w:sz="0" w:space="0" w:color="auto"/>
        <w:bottom w:val="none" w:sz="0" w:space="0" w:color="auto"/>
        <w:right w:val="none" w:sz="0" w:space="0" w:color="auto"/>
      </w:divBdr>
    </w:div>
    <w:div w:id="504899374">
      <w:bodyDiv w:val="1"/>
      <w:marLeft w:val="0"/>
      <w:marRight w:val="0"/>
      <w:marTop w:val="0"/>
      <w:marBottom w:val="0"/>
      <w:divBdr>
        <w:top w:val="none" w:sz="0" w:space="0" w:color="auto"/>
        <w:left w:val="none" w:sz="0" w:space="0" w:color="auto"/>
        <w:bottom w:val="none" w:sz="0" w:space="0" w:color="auto"/>
        <w:right w:val="none" w:sz="0" w:space="0" w:color="auto"/>
      </w:divBdr>
    </w:div>
    <w:div w:id="504906563">
      <w:bodyDiv w:val="1"/>
      <w:marLeft w:val="0"/>
      <w:marRight w:val="0"/>
      <w:marTop w:val="0"/>
      <w:marBottom w:val="0"/>
      <w:divBdr>
        <w:top w:val="none" w:sz="0" w:space="0" w:color="auto"/>
        <w:left w:val="none" w:sz="0" w:space="0" w:color="auto"/>
        <w:bottom w:val="none" w:sz="0" w:space="0" w:color="auto"/>
        <w:right w:val="none" w:sz="0" w:space="0" w:color="auto"/>
      </w:divBdr>
    </w:div>
    <w:div w:id="504979291">
      <w:bodyDiv w:val="1"/>
      <w:marLeft w:val="0"/>
      <w:marRight w:val="0"/>
      <w:marTop w:val="0"/>
      <w:marBottom w:val="0"/>
      <w:divBdr>
        <w:top w:val="none" w:sz="0" w:space="0" w:color="auto"/>
        <w:left w:val="none" w:sz="0" w:space="0" w:color="auto"/>
        <w:bottom w:val="none" w:sz="0" w:space="0" w:color="auto"/>
        <w:right w:val="none" w:sz="0" w:space="0" w:color="auto"/>
      </w:divBdr>
    </w:div>
    <w:div w:id="505094846">
      <w:bodyDiv w:val="1"/>
      <w:marLeft w:val="0"/>
      <w:marRight w:val="0"/>
      <w:marTop w:val="0"/>
      <w:marBottom w:val="0"/>
      <w:divBdr>
        <w:top w:val="none" w:sz="0" w:space="0" w:color="auto"/>
        <w:left w:val="none" w:sz="0" w:space="0" w:color="auto"/>
        <w:bottom w:val="none" w:sz="0" w:space="0" w:color="auto"/>
        <w:right w:val="none" w:sz="0" w:space="0" w:color="auto"/>
      </w:divBdr>
    </w:div>
    <w:div w:id="505170267">
      <w:bodyDiv w:val="1"/>
      <w:marLeft w:val="0"/>
      <w:marRight w:val="0"/>
      <w:marTop w:val="0"/>
      <w:marBottom w:val="0"/>
      <w:divBdr>
        <w:top w:val="none" w:sz="0" w:space="0" w:color="auto"/>
        <w:left w:val="none" w:sz="0" w:space="0" w:color="auto"/>
        <w:bottom w:val="none" w:sz="0" w:space="0" w:color="auto"/>
        <w:right w:val="none" w:sz="0" w:space="0" w:color="auto"/>
      </w:divBdr>
    </w:div>
    <w:div w:id="505172785">
      <w:bodyDiv w:val="1"/>
      <w:marLeft w:val="0"/>
      <w:marRight w:val="0"/>
      <w:marTop w:val="0"/>
      <w:marBottom w:val="0"/>
      <w:divBdr>
        <w:top w:val="none" w:sz="0" w:space="0" w:color="auto"/>
        <w:left w:val="none" w:sz="0" w:space="0" w:color="auto"/>
        <w:bottom w:val="none" w:sz="0" w:space="0" w:color="auto"/>
        <w:right w:val="none" w:sz="0" w:space="0" w:color="auto"/>
      </w:divBdr>
    </w:div>
    <w:div w:id="505244342">
      <w:bodyDiv w:val="1"/>
      <w:marLeft w:val="0"/>
      <w:marRight w:val="0"/>
      <w:marTop w:val="0"/>
      <w:marBottom w:val="0"/>
      <w:divBdr>
        <w:top w:val="none" w:sz="0" w:space="0" w:color="auto"/>
        <w:left w:val="none" w:sz="0" w:space="0" w:color="auto"/>
        <w:bottom w:val="none" w:sz="0" w:space="0" w:color="auto"/>
        <w:right w:val="none" w:sz="0" w:space="0" w:color="auto"/>
      </w:divBdr>
    </w:div>
    <w:div w:id="505247006">
      <w:bodyDiv w:val="1"/>
      <w:marLeft w:val="0"/>
      <w:marRight w:val="0"/>
      <w:marTop w:val="0"/>
      <w:marBottom w:val="0"/>
      <w:divBdr>
        <w:top w:val="none" w:sz="0" w:space="0" w:color="auto"/>
        <w:left w:val="none" w:sz="0" w:space="0" w:color="auto"/>
        <w:bottom w:val="none" w:sz="0" w:space="0" w:color="auto"/>
        <w:right w:val="none" w:sz="0" w:space="0" w:color="auto"/>
      </w:divBdr>
    </w:div>
    <w:div w:id="505289858">
      <w:bodyDiv w:val="1"/>
      <w:marLeft w:val="0"/>
      <w:marRight w:val="0"/>
      <w:marTop w:val="0"/>
      <w:marBottom w:val="0"/>
      <w:divBdr>
        <w:top w:val="none" w:sz="0" w:space="0" w:color="auto"/>
        <w:left w:val="none" w:sz="0" w:space="0" w:color="auto"/>
        <w:bottom w:val="none" w:sz="0" w:space="0" w:color="auto"/>
        <w:right w:val="none" w:sz="0" w:space="0" w:color="auto"/>
      </w:divBdr>
    </w:div>
    <w:div w:id="505362406">
      <w:bodyDiv w:val="1"/>
      <w:marLeft w:val="0"/>
      <w:marRight w:val="0"/>
      <w:marTop w:val="0"/>
      <w:marBottom w:val="0"/>
      <w:divBdr>
        <w:top w:val="none" w:sz="0" w:space="0" w:color="auto"/>
        <w:left w:val="none" w:sz="0" w:space="0" w:color="auto"/>
        <w:bottom w:val="none" w:sz="0" w:space="0" w:color="auto"/>
        <w:right w:val="none" w:sz="0" w:space="0" w:color="auto"/>
      </w:divBdr>
    </w:div>
    <w:div w:id="505481552">
      <w:bodyDiv w:val="1"/>
      <w:marLeft w:val="0"/>
      <w:marRight w:val="0"/>
      <w:marTop w:val="0"/>
      <w:marBottom w:val="0"/>
      <w:divBdr>
        <w:top w:val="none" w:sz="0" w:space="0" w:color="auto"/>
        <w:left w:val="none" w:sz="0" w:space="0" w:color="auto"/>
        <w:bottom w:val="none" w:sz="0" w:space="0" w:color="auto"/>
        <w:right w:val="none" w:sz="0" w:space="0" w:color="auto"/>
      </w:divBdr>
    </w:div>
    <w:div w:id="505635114">
      <w:bodyDiv w:val="1"/>
      <w:marLeft w:val="0"/>
      <w:marRight w:val="0"/>
      <w:marTop w:val="0"/>
      <w:marBottom w:val="0"/>
      <w:divBdr>
        <w:top w:val="none" w:sz="0" w:space="0" w:color="auto"/>
        <w:left w:val="none" w:sz="0" w:space="0" w:color="auto"/>
        <w:bottom w:val="none" w:sz="0" w:space="0" w:color="auto"/>
        <w:right w:val="none" w:sz="0" w:space="0" w:color="auto"/>
      </w:divBdr>
    </w:div>
    <w:div w:id="505708484">
      <w:bodyDiv w:val="1"/>
      <w:marLeft w:val="0"/>
      <w:marRight w:val="0"/>
      <w:marTop w:val="0"/>
      <w:marBottom w:val="0"/>
      <w:divBdr>
        <w:top w:val="none" w:sz="0" w:space="0" w:color="auto"/>
        <w:left w:val="none" w:sz="0" w:space="0" w:color="auto"/>
        <w:bottom w:val="none" w:sz="0" w:space="0" w:color="auto"/>
        <w:right w:val="none" w:sz="0" w:space="0" w:color="auto"/>
      </w:divBdr>
    </w:div>
    <w:div w:id="505750578">
      <w:bodyDiv w:val="1"/>
      <w:marLeft w:val="0"/>
      <w:marRight w:val="0"/>
      <w:marTop w:val="0"/>
      <w:marBottom w:val="0"/>
      <w:divBdr>
        <w:top w:val="none" w:sz="0" w:space="0" w:color="auto"/>
        <w:left w:val="none" w:sz="0" w:space="0" w:color="auto"/>
        <w:bottom w:val="none" w:sz="0" w:space="0" w:color="auto"/>
        <w:right w:val="none" w:sz="0" w:space="0" w:color="auto"/>
      </w:divBdr>
    </w:div>
    <w:div w:id="505755255">
      <w:bodyDiv w:val="1"/>
      <w:marLeft w:val="0"/>
      <w:marRight w:val="0"/>
      <w:marTop w:val="0"/>
      <w:marBottom w:val="0"/>
      <w:divBdr>
        <w:top w:val="none" w:sz="0" w:space="0" w:color="auto"/>
        <w:left w:val="none" w:sz="0" w:space="0" w:color="auto"/>
        <w:bottom w:val="none" w:sz="0" w:space="0" w:color="auto"/>
        <w:right w:val="none" w:sz="0" w:space="0" w:color="auto"/>
      </w:divBdr>
    </w:div>
    <w:div w:id="505755910">
      <w:bodyDiv w:val="1"/>
      <w:marLeft w:val="0"/>
      <w:marRight w:val="0"/>
      <w:marTop w:val="0"/>
      <w:marBottom w:val="0"/>
      <w:divBdr>
        <w:top w:val="none" w:sz="0" w:space="0" w:color="auto"/>
        <w:left w:val="none" w:sz="0" w:space="0" w:color="auto"/>
        <w:bottom w:val="none" w:sz="0" w:space="0" w:color="auto"/>
        <w:right w:val="none" w:sz="0" w:space="0" w:color="auto"/>
      </w:divBdr>
    </w:div>
    <w:div w:id="505829918">
      <w:bodyDiv w:val="1"/>
      <w:marLeft w:val="0"/>
      <w:marRight w:val="0"/>
      <w:marTop w:val="0"/>
      <w:marBottom w:val="0"/>
      <w:divBdr>
        <w:top w:val="none" w:sz="0" w:space="0" w:color="auto"/>
        <w:left w:val="none" w:sz="0" w:space="0" w:color="auto"/>
        <w:bottom w:val="none" w:sz="0" w:space="0" w:color="auto"/>
        <w:right w:val="none" w:sz="0" w:space="0" w:color="auto"/>
      </w:divBdr>
    </w:div>
    <w:div w:id="505903125">
      <w:bodyDiv w:val="1"/>
      <w:marLeft w:val="0"/>
      <w:marRight w:val="0"/>
      <w:marTop w:val="0"/>
      <w:marBottom w:val="0"/>
      <w:divBdr>
        <w:top w:val="none" w:sz="0" w:space="0" w:color="auto"/>
        <w:left w:val="none" w:sz="0" w:space="0" w:color="auto"/>
        <w:bottom w:val="none" w:sz="0" w:space="0" w:color="auto"/>
        <w:right w:val="none" w:sz="0" w:space="0" w:color="auto"/>
      </w:divBdr>
    </w:div>
    <w:div w:id="505903951">
      <w:bodyDiv w:val="1"/>
      <w:marLeft w:val="0"/>
      <w:marRight w:val="0"/>
      <w:marTop w:val="0"/>
      <w:marBottom w:val="0"/>
      <w:divBdr>
        <w:top w:val="none" w:sz="0" w:space="0" w:color="auto"/>
        <w:left w:val="none" w:sz="0" w:space="0" w:color="auto"/>
        <w:bottom w:val="none" w:sz="0" w:space="0" w:color="auto"/>
        <w:right w:val="none" w:sz="0" w:space="0" w:color="auto"/>
      </w:divBdr>
    </w:div>
    <w:div w:id="506289657">
      <w:bodyDiv w:val="1"/>
      <w:marLeft w:val="0"/>
      <w:marRight w:val="0"/>
      <w:marTop w:val="0"/>
      <w:marBottom w:val="0"/>
      <w:divBdr>
        <w:top w:val="none" w:sz="0" w:space="0" w:color="auto"/>
        <w:left w:val="none" w:sz="0" w:space="0" w:color="auto"/>
        <w:bottom w:val="none" w:sz="0" w:space="0" w:color="auto"/>
        <w:right w:val="none" w:sz="0" w:space="0" w:color="auto"/>
      </w:divBdr>
    </w:div>
    <w:div w:id="506555527">
      <w:bodyDiv w:val="1"/>
      <w:marLeft w:val="0"/>
      <w:marRight w:val="0"/>
      <w:marTop w:val="0"/>
      <w:marBottom w:val="0"/>
      <w:divBdr>
        <w:top w:val="none" w:sz="0" w:space="0" w:color="auto"/>
        <w:left w:val="none" w:sz="0" w:space="0" w:color="auto"/>
        <w:bottom w:val="none" w:sz="0" w:space="0" w:color="auto"/>
        <w:right w:val="none" w:sz="0" w:space="0" w:color="auto"/>
      </w:divBdr>
    </w:div>
    <w:div w:id="506600476">
      <w:bodyDiv w:val="1"/>
      <w:marLeft w:val="0"/>
      <w:marRight w:val="0"/>
      <w:marTop w:val="0"/>
      <w:marBottom w:val="0"/>
      <w:divBdr>
        <w:top w:val="none" w:sz="0" w:space="0" w:color="auto"/>
        <w:left w:val="none" w:sz="0" w:space="0" w:color="auto"/>
        <w:bottom w:val="none" w:sz="0" w:space="0" w:color="auto"/>
        <w:right w:val="none" w:sz="0" w:space="0" w:color="auto"/>
      </w:divBdr>
    </w:div>
    <w:div w:id="506674556">
      <w:bodyDiv w:val="1"/>
      <w:marLeft w:val="0"/>
      <w:marRight w:val="0"/>
      <w:marTop w:val="0"/>
      <w:marBottom w:val="0"/>
      <w:divBdr>
        <w:top w:val="none" w:sz="0" w:space="0" w:color="auto"/>
        <w:left w:val="none" w:sz="0" w:space="0" w:color="auto"/>
        <w:bottom w:val="none" w:sz="0" w:space="0" w:color="auto"/>
        <w:right w:val="none" w:sz="0" w:space="0" w:color="auto"/>
      </w:divBdr>
    </w:div>
    <w:div w:id="506674783">
      <w:bodyDiv w:val="1"/>
      <w:marLeft w:val="0"/>
      <w:marRight w:val="0"/>
      <w:marTop w:val="0"/>
      <w:marBottom w:val="0"/>
      <w:divBdr>
        <w:top w:val="none" w:sz="0" w:space="0" w:color="auto"/>
        <w:left w:val="none" w:sz="0" w:space="0" w:color="auto"/>
        <w:bottom w:val="none" w:sz="0" w:space="0" w:color="auto"/>
        <w:right w:val="none" w:sz="0" w:space="0" w:color="auto"/>
      </w:divBdr>
    </w:div>
    <w:div w:id="506675244">
      <w:bodyDiv w:val="1"/>
      <w:marLeft w:val="0"/>
      <w:marRight w:val="0"/>
      <w:marTop w:val="0"/>
      <w:marBottom w:val="0"/>
      <w:divBdr>
        <w:top w:val="none" w:sz="0" w:space="0" w:color="auto"/>
        <w:left w:val="none" w:sz="0" w:space="0" w:color="auto"/>
        <w:bottom w:val="none" w:sz="0" w:space="0" w:color="auto"/>
        <w:right w:val="none" w:sz="0" w:space="0" w:color="auto"/>
      </w:divBdr>
    </w:div>
    <w:div w:id="506677159">
      <w:bodyDiv w:val="1"/>
      <w:marLeft w:val="0"/>
      <w:marRight w:val="0"/>
      <w:marTop w:val="0"/>
      <w:marBottom w:val="0"/>
      <w:divBdr>
        <w:top w:val="none" w:sz="0" w:space="0" w:color="auto"/>
        <w:left w:val="none" w:sz="0" w:space="0" w:color="auto"/>
        <w:bottom w:val="none" w:sz="0" w:space="0" w:color="auto"/>
        <w:right w:val="none" w:sz="0" w:space="0" w:color="auto"/>
      </w:divBdr>
    </w:div>
    <w:div w:id="506941223">
      <w:bodyDiv w:val="1"/>
      <w:marLeft w:val="0"/>
      <w:marRight w:val="0"/>
      <w:marTop w:val="0"/>
      <w:marBottom w:val="0"/>
      <w:divBdr>
        <w:top w:val="none" w:sz="0" w:space="0" w:color="auto"/>
        <w:left w:val="none" w:sz="0" w:space="0" w:color="auto"/>
        <w:bottom w:val="none" w:sz="0" w:space="0" w:color="auto"/>
        <w:right w:val="none" w:sz="0" w:space="0" w:color="auto"/>
      </w:divBdr>
    </w:div>
    <w:div w:id="506941689">
      <w:bodyDiv w:val="1"/>
      <w:marLeft w:val="0"/>
      <w:marRight w:val="0"/>
      <w:marTop w:val="0"/>
      <w:marBottom w:val="0"/>
      <w:divBdr>
        <w:top w:val="none" w:sz="0" w:space="0" w:color="auto"/>
        <w:left w:val="none" w:sz="0" w:space="0" w:color="auto"/>
        <w:bottom w:val="none" w:sz="0" w:space="0" w:color="auto"/>
        <w:right w:val="none" w:sz="0" w:space="0" w:color="auto"/>
      </w:divBdr>
    </w:div>
    <w:div w:id="506946735">
      <w:bodyDiv w:val="1"/>
      <w:marLeft w:val="0"/>
      <w:marRight w:val="0"/>
      <w:marTop w:val="0"/>
      <w:marBottom w:val="0"/>
      <w:divBdr>
        <w:top w:val="none" w:sz="0" w:space="0" w:color="auto"/>
        <w:left w:val="none" w:sz="0" w:space="0" w:color="auto"/>
        <w:bottom w:val="none" w:sz="0" w:space="0" w:color="auto"/>
        <w:right w:val="none" w:sz="0" w:space="0" w:color="auto"/>
      </w:divBdr>
    </w:div>
    <w:div w:id="507065488">
      <w:bodyDiv w:val="1"/>
      <w:marLeft w:val="0"/>
      <w:marRight w:val="0"/>
      <w:marTop w:val="0"/>
      <w:marBottom w:val="0"/>
      <w:divBdr>
        <w:top w:val="none" w:sz="0" w:space="0" w:color="auto"/>
        <w:left w:val="none" w:sz="0" w:space="0" w:color="auto"/>
        <w:bottom w:val="none" w:sz="0" w:space="0" w:color="auto"/>
        <w:right w:val="none" w:sz="0" w:space="0" w:color="auto"/>
      </w:divBdr>
    </w:div>
    <w:div w:id="507133528">
      <w:bodyDiv w:val="1"/>
      <w:marLeft w:val="0"/>
      <w:marRight w:val="0"/>
      <w:marTop w:val="0"/>
      <w:marBottom w:val="0"/>
      <w:divBdr>
        <w:top w:val="none" w:sz="0" w:space="0" w:color="auto"/>
        <w:left w:val="none" w:sz="0" w:space="0" w:color="auto"/>
        <w:bottom w:val="none" w:sz="0" w:space="0" w:color="auto"/>
        <w:right w:val="none" w:sz="0" w:space="0" w:color="auto"/>
      </w:divBdr>
    </w:div>
    <w:div w:id="507211666">
      <w:bodyDiv w:val="1"/>
      <w:marLeft w:val="0"/>
      <w:marRight w:val="0"/>
      <w:marTop w:val="0"/>
      <w:marBottom w:val="0"/>
      <w:divBdr>
        <w:top w:val="none" w:sz="0" w:space="0" w:color="auto"/>
        <w:left w:val="none" w:sz="0" w:space="0" w:color="auto"/>
        <w:bottom w:val="none" w:sz="0" w:space="0" w:color="auto"/>
        <w:right w:val="none" w:sz="0" w:space="0" w:color="auto"/>
      </w:divBdr>
    </w:div>
    <w:div w:id="507331459">
      <w:bodyDiv w:val="1"/>
      <w:marLeft w:val="0"/>
      <w:marRight w:val="0"/>
      <w:marTop w:val="0"/>
      <w:marBottom w:val="0"/>
      <w:divBdr>
        <w:top w:val="none" w:sz="0" w:space="0" w:color="auto"/>
        <w:left w:val="none" w:sz="0" w:space="0" w:color="auto"/>
        <w:bottom w:val="none" w:sz="0" w:space="0" w:color="auto"/>
        <w:right w:val="none" w:sz="0" w:space="0" w:color="auto"/>
      </w:divBdr>
    </w:div>
    <w:div w:id="507405934">
      <w:bodyDiv w:val="1"/>
      <w:marLeft w:val="0"/>
      <w:marRight w:val="0"/>
      <w:marTop w:val="0"/>
      <w:marBottom w:val="0"/>
      <w:divBdr>
        <w:top w:val="none" w:sz="0" w:space="0" w:color="auto"/>
        <w:left w:val="none" w:sz="0" w:space="0" w:color="auto"/>
        <w:bottom w:val="none" w:sz="0" w:space="0" w:color="auto"/>
        <w:right w:val="none" w:sz="0" w:space="0" w:color="auto"/>
      </w:divBdr>
    </w:div>
    <w:div w:id="507526750">
      <w:bodyDiv w:val="1"/>
      <w:marLeft w:val="0"/>
      <w:marRight w:val="0"/>
      <w:marTop w:val="0"/>
      <w:marBottom w:val="0"/>
      <w:divBdr>
        <w:top w:val="none" w:sz="0" w:space="0" w:color="auto"/>
        <w:left w:val="none" w:sz="0" w:space="0" w:color="auto"/>
        <w:bottom w:val="none" w:sz="0" w:space="0" w:color="auto"/>
        <w:right w:val="none" w:sz="0" w:space="0" w:color="auto"/>
      </w:divBdr>
    </w:div>
    <w:div w:id="507601620">
      <w:bodyDiv w:val="1"/>
      <w:marLeft w:val="0"/>
      <w:marRight w:val="0"/>
      <w:marTop w:val="0"/>
      <w:marBottom w:val="0"/>
      <w:divBdr>
        <w:top w:val="none" w:sz="0" w:space="0" w:color="auto"/>
        <w:left w:val="none" w:sz="0" w:space="0" w:color="auto"/>
        <w:bottom w:val="none" w:sz="0" w:space="0" w:color="auto"/>
        <w:right w:val="none" w:sz="0" w:space="0" w:color="auto"/>
      </w:divBdr>
    </w:div>
    <w:div w:id="507715068">
      <w:bodyDiv w:val="1"/>
      <w:marLeft w:val="0"/>
      <w:marRight w:val="0"/>
      <w:marTop w:val="0"/>
      <w:marBottom w:val="0"/>
      <w:divBdr>
        <w:top w:val="none" w:sz="0" w:space="0" w:color="auto"/>
        <w:left w:val="none" w:sz="0" w:space="0" w:color="auto"/>
        <w:bottom w:val="none" w:sz="0" w:space="0" w:color="auto"/>
        <w:right w:val="none" w:sz="0" w:space="0" w:color="auto"/>
      </w:divBdr>
    </w:div>
    <w:div w:id="507791620">
      <w:bodyDiv w:val="1"/>
      <w:marLeft w:val="0"/>
      <w:marRight w:val="0"/>
      <w:marTop w:val="0"/>
      <w:marBottom w:val="0"/>
      <w:divBdr>
        <w:top w:val="none" w:sz="0" w:space="0" w:color="auto"/>
        <w:left w:val="none" w:sz="0" w:space="0" w:color="auto"/>
        <w:bottom w:val="none" w:sz="0" w:space="0" w:color="auto"/>
        <w:right w:val="none" w:sz="0" w:space="0" w:color="auto"/>
      </w:divBdr>
    </w:div>
    <w:div w:id="507792881">
      <w:bodyDiv w:val="1"/>
      <w:marLeft w:val="0"/>
      <w:marRight w:val="0"/>
      <w:marTop w:val="0"/>
      <w:marBottom w:val="0"/>
      <w:divBdr>
        <w:top w:val="none" w:sz="0" w:space="0" w:color="auto"/>
        <w:left w:val="none" w:sz="0" w:space="0" w:color="auto"/>
        <w:bottom w:val="none" w:sz="0" w:space="0" w:color="auto"/>
        <w:right w:val="none" w:sz="0" w:space="0" w:color="auto"/>
      </w:divBdr>
    </w:div>
    <w:div w:id="507793594">
      <w:bodyDiv w:val="1"/>
      <w:marLeft w:val="0"/>
      <w:marRight w:val="0"/>
      <w:marTop w:val="0"/>
      <w:marBottom w:val="0"/>
      <w:divBdr>
        <w:top w:val="none" w:sz="0" w:space="0" w:color="auto"/>
        <w:left w:val="none" w:sz="0" w:space="0" w:color="auto"/>
        <w:bottom w:val="none" w:sz="0" w:space="0" w:color="auto"/>
        <w:right w:val="none" w:sz="0" w:space="0" w:color="auto"/>
      </w:divBdr>
    </w:div>
    <w:div w:id="507987498">
      <w:bodyDiv w:val="1"/>
      <w:marLeft w:val="0"/>
      <w:marRight w:val="0"/>
      <w:marTop w:val="0"/>
      <w:marBottom w:val="0"/>
      <w:divBdr>
        <w:top w:val="none" w:sz="0" w:space="0" w:color="auto"/>
        <w:left w:val="none" w:sz="0" w:space="0" w:color="auto"/>
        <w:bottom w:val="none" w:sz="0" w:space="0" w:color="auto"/>
        <w:right w:val="none" w:sz="0" w:space="0" w:color="auto"/>
      </w:divBdr>
    </w:div>
    <w:div w:id="508057606">
      <w:bodyDiv w:val="1"/>
      <w:marLeft w:val="0"/>
      <w:marRight w:val="0"/>
      <w:marTop w:val="0"/>
      <w:marBottom w:val="0"/>
      <w:divBdr>
        <w:top w:val="none" w:sz="0" w:space="0" w:color="auto"/>
        <w:left w:val="none" w:sz="0" w:space="0" w:color="auto"/>
        <w:bottom w:val="none" w:sz="0" w:space="0" w:color="auto"/>
        <w:right w:val="none" w:sz="0" w:space="0" w:color="auto"/>
      </w:divBdr>
    </w:div>
    <w:div w:id="508100876">
      <w:bodyDiv w:val="1"/>
      <w:marLeft w:val="0"/>
      <w:marRight w:val="0"/>
      <w:marTop w:val="0"/>
      <w:marBottom w:val="0"/>
      <w:divBdr>
        <w:top w:val="none" w:sz="0" w:space="0" w:color="auto"/>
        <w:left w:val="none" w:sz="0" w:space="0" w:color="auto"/>
        <w:bottom w:val="none" w:sz="0" w:space="0" w:color="auto"/>
        <w:right w:val="none" w:sz="0" w:space="0" w:color="auto"/>
      </w:divBdr>
    </w:div>
    <w:div w:id="508102691">
      <w:bodyDiv w:val="1"/>
      <w:marLeft w:val="0"/>
      <w:marRight w:val="0"/>
      <w:marTop w:val="0"/>
      <w:marBottom w:val="0"/>
      <w:divBdr>
        <w:top w:val="none" w:sz="0" w:space="0" w:color="auto"/>
        <w:left w:val="none" w:sz="0" w:space="0" w:color="auto"/>
        <w:bottom w:val="none" w:sz="0" w:space="0" w:color="auto"/>
        <w:right w:val="none" w:sz="0" w:space="0" w:color="auto"/>
      </w:divBdr>
    </w:div>
    <w:div w:id="508108469">
      <w:bodyDiv w:val="1"/>
      <w:marLeft w:val="0"/>
      <w:marRight w:val="0"/>
      <w:marTop w:val="0"/>
      <w:marBottom w:val="0"/>
      <w:divBdr>
        <w:top w:val="none" w:sz="0" w:space="0" w:color="auto"/>
        <w:left w:val="none" w:sz="0" w:space="0" w:color="auto"/>
        <w:bottom w:val="none" w:sz="0" w:space="0" w:color="auto"/>
        <w:right w:val="none" w:sz="0" w:space="0" w:color="auto"/>
      </w:divBdr>
    </w:div>
    <w:div w:id="508251874">
      <w:bodyDiv w:val="1"/>
      <w:marLeft w:val="0"/>
      <w:marRight w:val="0"/>
      <w:marTop w:val="0"/>
      <w:marBottom w:val="0"/>
      <w:divBdr>
        <w:top w:val="none" w:sz="0" w:space="0" w:color="auto"/>
        <w:left w:val="none" w:sz="0" w:space="0" w:color="auto"/>
        <w:bottom w:val="none" w:sz="0" w:space="0" w:color="auto"/>
        <w:right w:val="none" w:sz="0" w:space="0" w:color="auto"/>
      </w:divBdr>
    </w:div>
    <w:div w:id="508299979">
      <w:bodyDiv w:val="1"/>
      <w:marLeft w:val="0"/>
      <w:marRight w:val="0"/>
      <w:marTop w:val="0"/>
      <w:marBottom w:val="0"/>
      <w:divBdr>
        <w:top w:val="none" w:sz="0" w:space="0" w:color="auto"/>
        <w:left w:val="none" w:sz="0" w:space="0" w:color="auto"/>
        <w:bottom w:val="none" w:sz="0" w:space="0" w:color="auto"/>
        <w:right w:val="none" w:sz="0" w:space="0" w:color="auto"/>
      </w:divBdr>
    </w:div>
    <w:div w:id="508301783">
      <w:bodyDiv w:val="1"/>
      <w:marLeft w:val="0"/>
      <w:marRight w:val="0"/>
      <w:marTop w:val="0"/>
      <w:marBottom w:val="0"/>
      <w:divBdr>
        <w:top w:val="none" w:sz="0" w:space="0" w:color="auto"/>
        <w:left w:val="none" w:sz="0" w:space="0" w:color="auto"/>
        <w:bottom w:val="none" w:sz="0" w:space="0" w:color="auto"/>
        <w:right w:val="none" w:sz="0" w:space="0" w:color="auto"/>
      </w:divBdr>
    </w:div>
    <w:div w:id="508446508">
      <w:bodyDiv w:val="1"/>
      <w:marLeft w:val="0"/>
      <w:marRight w:val="0"/>
      <w:marTop w:val="0"/>
      <w:marBottom w:val="0"/>
      <w:divBdr>
        <w:top w:val="none" w:sz="0" w:space="0" w:color="auto"/>
        <w:left w:val="none" w:sz="0" w:space="0" w:color="auto"/>
        <w:bottom w:val="none" w:sz="0" w:space="0" w:color="auto"/>
        <w:right w:val="none" w:sz="0" w:space="0" w:color="auto"/>
      </w:divBdr>
    </w:div>
    <w:div w:id="508636729">
      <w:bodyDiv w:val="1"/>
      <w:marLeft w:val="0"/>
      <w:marRight w:val="0"/>
      <w:marTop w:val="0"/>
      <w:marBottom w:val="0"/>
      <w:divBdr>
        <w:top w:val="none" w:sz="0" w:space="0" w:color="auto"/>
        <w:left w:val="none" w:sz="0" w:space="0" w:color="auto"/>
        <w:bottom w:val="none" w:sz="0" w:space="0" w:color="auto"/>
        <w:right w:val="none" w:sz="0" w:space="0" w:color="auto"/>
      </w:divBdr>
    </w:div>
    <w:div w:id="508644281">
      <w:bodyDiv w:val="1"/>
      <w:marLeft w:val="0"/>
      <w:marRight w:val="0"/>
      <w:marTop w:val="0"/>
      <w:marBottom w:val="0"/>
      <w:divBdr>
        <w:top w:val="none" w:sz="0" w:space="0" w:color="auto"/>
        <w:left w:val="none" w:sz="0" w:space="0" w:color="auto"/>
        <w:bottom w:val="none" w:sz="0" w:space="0" w:color="auto"/>
        <w:right w:val="none" w:sz="0" w:space="0" w:color="auto"/>
      </w:divBdr>
    </w:div>
    <w:div w:id="508714012">
      <w:bodyDiv w:val="1"/>
      <w:marLeft w:val="0"/>
      <w:marRight w:val="0"/>
      <w:marTop w:val="0"/>
      <w:marBottom w:val="0"/>
      <w:divBdr>
        <w:top w:val="none" w:sz="0" w:space="0" w:color="auto"/>
        <w:left w:val="none" w:sz="0" w:space="0" w:color="auto"/>
        <w:bottom w:val="none" w:sz="0" w:space="0" w:color="auto"/>
        <w:right w:val="none" w:sz="0" w:space="0" w:color="auto"/>
      </w:divBdr>
    </w:div>
    <w:div w:id="508759933">
      <w:bodyDiv w:val="1"/>
      <w:marLeft w:val="0"/>
      <w:marRight w:val="0"/>
      <w:marTop w:val="0"/>
      <w:marBottom w:val="0"/>
      <w:divBdr>
        <w:top w:val="none" w:sz="0" w:space="0" w:color="auto"/>
        <w:left w:val="none" w:sz="0" w:space="0" w:color="auto"/>
        <w:bottom w:val="none" w:sz="0" w:space="0" w:color="auto"/>
        <w:right w:val="none" w:sz="0" w:space="0" w:color="auto"/>
      </w:divBdr>
    </w:div>
    <w:div w:id="508760690">
      <w:bodyDiv w:val="1"/>
      <w:marLeft w:val="0"/>
      <w:marRight w:val="0"/>
      <w:marTop w:val="0"/>
      <w:marBottom w:val="0"/>
      <w:divBdr>
        <w:top w:val="none" w:sz="0" w:space="0" w:color="auto"/>
        <w:left w:val="none" w:sz="0" w:space="0" w:color="auto"/>
        <w:bottom w:val="none" w:sz="0" w:space="0" w:color="auto"/>
        <w:right w:val="none" w:sz="0" w:space="0" w:color="auto"/>
      </w:divBdr>
    </w:div>
    <w:div w:id="508834875">
      <w:bodyDiv w:val="1"/>
      <w:marLeft w:val="0"/>
      <w:marRight w:val="0"/>
      <w:marTop w:val="0"/>
      <w:marBottom w:val="0"/>
      <w:divBdr>
        <w:top w:val="none" w:sz="0" w:space="0" w:color="auto"/>
        <w:left w:val="none" w:sz="0" w:space="0" w:color="auto"/>
        <w:bottom w:val="none" w:sz="0" w:space="0" w:color="auto"/>
        <w:right w:val="none" w:sz="0" w:space="0" w:color="auto"/>
      </w:divBdr>
    </w:div>
    <w:div w:id="509026790">
      <w:bodyDiv w:val="1"/>
      <w:marLeft w:val="0"/>
      <w:marRight w:val="0"/>
      <w:marTop w:val="0"/>
      <w:marBottom w:val="0"/>
      <w:divBdr>
        <w:top w:val="none" w:sz="0" w:space="0" w:color="auto"/>
        <w:left w:val="none" w:sz="0" w:space="0" w:color="auto"/>
        <w:bottom w:val="none" w:sz="0" w:space="0" w:color="auto"/>
        <w:right w:val="none" w:sz="0" w:space="0" w:color="auto"/>
      </w:divBdr>
    </w:div>
    <w:div w:id="509028020">
      <w:bodyDiv w:val="1"/>
      <w:marLeft w:val="0"/>
      <w:marRight w:val="0"/>
      <w:marTop w:val="0"/>
      <w:marBottom w:val="0"/>
      <w:divBdr>
        <w:top w:val="none" w:sz="0" w:space="0" w:color="auto"/>
        <w:left w:val="none" w:sz="0" w:space="0" w:color="auto"/>
        <w:bottom w:val="none" w:sz="0" w:space="0" w:color="auto"/>
        <w:right w:val="none" w:sz="0" w:space="0" w:color="auto"/>
      </w:divBdr>
    </w:div>
    <w:div w:id="509099807">
      <w:bodyDiv w:val="1"/>
      <w:marLeft w:val="0"/>
      <w:marRight w:val="0"/>
      <w:marTop w:val="0"/>
      <w:marBottom w:val="0"/>
      <w:divBdr>
        <w:top w:val="none" w:sz="0" w:space="0" w:color="auto"/>
        <w:left w:val="none" w:sz="0" w:space="0" w:color="auto"/>
        <w:bottom w:val="none" w:sz="0" w:space="0" w:color="auto"/>
        <w:right w:val="none" w:sz="0" w:space="0" w:color="auto"/>
      </w:divBdr>
    </w:div>
    <w:div w:id="509100493">
      <w:bodyDiv w:val="1"/>
      <w:marLeft w:val="0"/>
      <w:marRight w:val="0"/>
      <w:marTop w:val="0"/>
      <w:marBottom w:val="0"/>
      <w:divBdr>
        <w:top w:val="none" w:sz="0" w:space="0" w:color="auto"/>
        <w:left w:val="none" w:sz="0" w:space="0" w:color="auto"/>
        <w:bottom w:val="none" w:sz="0" w:space="0" w:color="auto"/>
        <w:right w:val="none" w:sz="0" w:space="0" w:color="auto"/>
      </w:divBdr>
    </w:div>
    <w:div w:id="509180914">
      <w:bodyDiv w:val="1"/>
      <w:marLeft w:val="0"/>
      <w:marRight w:val="0"/>
      <w:marTop w:val="0"/>
      <w:marBottom w:val="0"/>
      <w:divBdr>
        <w:top w:val="none" w:sz="0" w:space="0" w:color="auto"/>
        <w:left w:val="none" w:sz="0" w:space="0" w:color="auto"/>
        <w:bottom w:val="none" w:sz="0" w:space="0" w:color="auto"/>
        <w:right w:val="none" w:sz="0" w:space="0" w:color="auto"/>
      </w:divBdr>
    </w:div>
    <w:div w:id="509221078">
      <w:bodyDiv w:val="1"/>
      <w:marLeft w:val="0"/>
      <w:marRight w:val="0"/>
      <w:marTop w:val="0"/>
      <w:marBottom w:val="0"/>
      <w:divBdr>
        <w:top w:val="none" w:sz="0" w:space="0" w:color="auto"/>
        <w:left w:val="none" w:sz="0" w:space="0" w:color="auto"/>
        <w:bottom w:val="none" w:sz="0" w:space="0" w:color="auto"/>
        <w:right w:val="none" w:sz="0" w:space="0" w:color="auto"/>
      </w:divBdr>
    </w:div>
    <w:div w:id="509292150">
      <w:bodyDiv w:val="1"/>
      <w:marLeft w:val="0"/>
      <w:marRight w:val="0"/>
      <w:marTop w:val="0"/>
      <w:marBottom w:val="0"/>
      <w:divBdr>
        <w:top w:val="none" w:sz="0" w:space="0" w:color="auto"/>
        <w:left w:val="none" w:sz="0" w:space="0" w:color="auto"/>
        <w:bottom w:val="none" w:sz="0" w:space="0" w:color="auto"/>
        <w:right w:val="none" w:sz="0" w:space="0" w:color="auto"/>
      </w:divBdr>
    </w:div>
    <w:div w:id="509297585">
      <w:bodyDiv w:val="1"/>
      <w:marLeft w:val="0"/>
      <w:marRight w:val="0"/>
      <w:marTop w:val="0"/>
      <w:marBottom w:val="0"/>
      <w:divBdr>
        <w:top w:val="none" w:sz="0" w:space="0" w:color="auto"/>
        <w:left w:val="none" w:sz="0" w:space="0" w:color="auto"/>
        <w:bottom w:val="none" w:sz="0" w:space="0" w:color="auto"/>
        <w:right w:val="none" w:sz="0" w:space="0" w:color="auto"/>
      </w:divBdr>
    </w:div>
    <w:div w:id="509372198">
      <w:bodyDiv w:val="1"/>
      <w:marLeft w:val="0"/>
      <w:marRight w:val="0"/>
      <w:marTop w:val="0"/>
      <w:marBottom w:val="0"/>
      <w:divBdr>
        <w:top w:val="none" w:sz="0" w:space="0" w:color="auto"/>
        <w:left w:val="none" w:sz="0" w:space="0" w:color="auto"/>
        <w:bottom w:val="none" w:sz="0" w:space="0" w:color="auto"/>
        <w:right w:val="none" w:sz="0" w:space="0" w:color="auto"/>
      </w:divBdr>
    </w:div>
    <w:div w:id="509373023">
      <w:bodyDiv w:val="1"/>
      <w:marLeft w:val="0"/>
      <w:marRight w:val="0"/>
      <w:marTop w:val="0"/>
      <w:marBottom w:val="0"/>
      <w:divBdr>
        <w:top w:val="none" w:sz="0" w:space="0" w:color="auto"/>
        <w:left w:val="none" w:sz="0" w:space="0" w:color="auto"/>
        <w:bottom w:val="none" w:sz="0" w:space="0" w:color="auto"/>
        <w:right w:val="none" w:sz="0" w:space="0" w:color="auto"/>
      </w:divBdr>
    </w:div>
    <w:div w:id="509491032">
      <w:bodyDiv w:val="1"/>
      <w:marLeft w:val="0"/>
      <w:marRight w:val="0"/>
      <w:marTop w:val="0"/>
      <w:marBottom w:val="0"/>
      <w:divBdr>
        <w:top w:val="none" w:sz="0" w:space="0" w:color="auto"/>
        <w:left w:val="none" w:sz="0" w:space="0" w:color="auto"/>
        <w:bottom w:val="none" w:sz="0" w:space="0" w:color="auto"/>
        <w:right w:val="none" w:sz="0" w:space="0" w:color="auto"/>
      </w:divBdr>
    </w:div>
    <w:div w:id="509680634">
      <w:bodyDiv w:val="1"/>
      <w:marLeft w:val="0"/>
      <w:marRight w:val="0"/>
      <w:marTop w:val="0"/>
      <w:marBottom w:val="0"/>
      <w:divBdr>
        <w:top w:val="none" w:sz="0" w:space="0" w:color="auto"/>
        <w:left w:val="none" w:sz="0" w:space="0" w:color="auto"/>
        <w:bottom w:val="none" w:sz="0" w:space="0" w:color="auto"/>
        <w:right w:val="none" w:sz="0" w:space="0" w:color="auto"/>
      </w:divBdr>
    </w:div>
    <w:div w:id="509682204">
      <w:bodyDiv w:val="1"/>
      <w:marLeft w:val="0"/>
      <w:marRight w:val="0"/>
      <w:marTop w:val="0"/>
      <w:marBottom w:val="0"/>
      <w:divBdr>
        <w:top w:val="none" w:sz="0" w:space="0" w:color="auto"/>
        <w:left w:val="none" w:sz="0" w:space="0" w:color="auto"/>
        <w:bottom w:val="none" w:sz="0" w:space="0" w:color="auto"/>
        <w:right w:val="none" w:sz="0" w:space="0" w:color="auto"/>
      </w:divBdr>
    </w:div>
    <w:div w:id="509754078">
      <w:bodyDiv w:val="1"/>
      <w:marLeft w:val="0"/>
      <w:marRight w:val="0"/>
      <w:marTop w:val="0"/>
      <w:marBottom w:val="0"/>
      <w:divBdr>
        <w:top w:val="none" w:sz="0" w:space="0" w:color="auto"/>
        <w:left w:val="none" w:sz="0" w:space="0" w:color="auto"/>
        <w:bottom w:val="none" w:sz="0" w:space="0" w:color="auto"/>
        <w:right w:val="none" w:sz="0" w:space="0" w:color="auto"/>
      </w:divBdr>
    </w:div>
    <w:div w:id="509756599">
      <w:bodyDiv w:val="1"/>
      <w:marLeft w:val="0"/>
      <w:marRight w:val="0"/>
      <w:marTop w:val="0"/>
      <w:marBottom w:val="0"/>
      <w:divBdr>
        <w:top w:val="none" w:sz="0" w:space="0" w:color="auto"/>
        <w:left w:val="none" w:sz="0" w:space="0" w:color="auto"/>
        <w:bottom w:val="none" w:sz="0" w:space="0" w:color="auto"/>
        <w:right w:val="none" w:sz="0" w:space="0" w:color="auto"/>
      </w:divBdr>
    </w:div>
    <w:div w:id="509760278">
      <w:bodyDiv w:val="1"/>
      <w:marLeft w:val="0"/>
      <w:marRight w:val="0"/>
      <w:marTop w:val="0"/>
      <w:marBottom w:val="0"/>
      <w:divBdr>
        <w:top w:val="none" w:sz="0" w:space="0" w:color="auto"/>
        <w:left w:val="none" w:sz="0" w:space="0" w:color="auto"/>
        <w:bottom w:val="none" w:sz="0" w:space="0" w:color="auto"/>
        <w:right w:val="none" w:sz="0" w:space="0" w:color="auto"/>
      </w:divBdr>
    </w:div>
    <w:div w:id="509805326">
      <w:bodyDiv w:val="1"/>
      <w:marLeft w:val="0"/>
      <w:marRight w:val="0"/>
      <w:marTop w:val="0"/>
      <w:marBottom w:val="0"/>
      <w:divBdr>
        <w:top w:val="none" w:sz="0" w:space="0" w:color="auto"/>
        <w:left w:val="none" w:sz="0" w:space="0" w:color="auto"/>
        <w:bottom w:val="none" w:sz="0" w:space="0" w:color="auto"/>
        <w:right w:val="none" w:sz="0" w:space="0" w:color="auto"/>
      </w:divBdr>
    </w:div>
    <w:div w:id="509947385">
      <w:bodyDiv w:val="1"/>
      <w:marLeft w:val="0"/>
      <w:marRight w:val="0"/>
      <w:marTop w:val="0"/>
      <w:marBottom w:val="0"/>
      <w:divBdr>
        <w:top w:val="none" w:sz="0" w:space="0" w:color="auto"/>
        <w:left w:val="none" w:sz="0" w:space="0" w:color="auto"/>
        <w:bottom w:val="none" w:sz="0" w:space="0" w:color="auto"/>
        <w:right w:val="none" w:sz="0" w:space="0" w:color="auto"/>
      </w:divBdr>
    </w:div>
    <w:div w:id="509952865">
      <w:bodyDiv w:val="1"/>
      <w:marLeft w:val="0"/>
      <w:marRight w:val="0"/>
      <w:marTop w:val="0"/>
      <w:marBottom w:val="0"/>
      <w:divBdr>
        <w:top w:val="none" w:sz="0" w:space="0" w:color="auto"/>
        <w:left w:val="none" w:sz="0" w:space="0" w:color="auto"/>
        <w:bottom w:val="none" w:sz="0" w:space="0" w:color="auto"/>
        <w:right w:val="none" w:sz="0" w:space="0" w:color="auto"/>
      </w:divBdr>
    </w:div>
    <w:div w:id="509954729">
      <w:bodyDiv w:val="1"/>
      <w:marLeft w:val="0"/>
      <w:marRight w:val="0"/>
      <w:marTop w:val="0"/>
      <w:marBottom w:val="0"/>
      <w:divBdr>
        <w:top w:val="none" w:sz="0" w:space="0" w:color="auto"/>
        <w:left w:val="none" w:sz="0" w:space="0" w:color="auto"/>
        <w:bottom w:val="none" w:sz="0" w:space="0" w:color="auto"/>
        <w:right w:val="none" w:sz="0" w:space="0" w:color="auto"/>
      </w:divBdr>
    </w:div>
    <w:div w:id="510026480">
      <w:bodyDiv w:val="1"/>
      <w:marLeft w:val="0"/>
      <w:marRight w:val="0"/>
      <w:marTop w:val="0"/>
      <w:marBottom w:val="0"/>
      <w:divBdr>
        <w:top w:val="none" w:sz="0" w:space="0" w:color="auto"/>
        <w:left w:val="none" w:sz="0" w:space="0" w:color="auto"/>
        <w:bottom w:val="none" w:sz="0" w:space="0" w:color="auto"/>
        <w:right w:val="none" w:sz="0" w:space="0" w:color="auto"/>
      </w:divBdr>
    </w:div>
    <w:div w:id="510032123">
      <w:bodyDiv w:val="1"/>
      <w:marLeft w:val="0"/>
      <w:marRight w:val="0"/>
      <w:marTop w:val="0"/>
      <w:marBottom w:val="0"/>
      <w:divBdr>
        <w:top w:val="none" w:sz="0" w:space="0" w:color="auto"/>
        <w:left w:val="none" w:sz="0" w:space="0" w:color="auto"/>
        <w:bottom w:val="none" w:sz="0" w:space="0" w:color="auto"/>
        <w:right w:val="none" w:sz="0" w:space="0" w:color="auto"/>
      </w:divBdr>
    </w:div>
    <w:div w:id="510267507">
      <w:bodyDiv w:val="1"/>
      <w:marLeft w:val="0"/>
      <w:marRight w:val="0"/>
      <w:marTop w:val="0"/>
      <w:marBottom w:val="0"/>
      <w:divBdr>
        <w:top w:val="none" w:sz="0" w:space="0" w:color="auto"/>
        <w:left w:val="none" w:sz="0" w:space="0" w:color="auto"/>
        <w:bottom w:val="none" w:sz="0" w:space="0" w:color="auto"/>
        <w:right w:val="none" w:sz="0" w:space="0" w:color="auto"/>
      </w:divBdr>
    </w:div>
    <w:div w:id="510267667">
      <w:bodyDiv w:val="1"/>
      <w:marLeft w:val="0"/>
      <w:marRight w:val="0"/>
      <w:marTop w:val="0"/>
      <w:marBottom w:val="0"/>
      <w:divBdr>
        <w:top w:val="none" w:sz="0" w:space="0" w:color="auto"/>
        <w:left w:val="none" w:sz="0" w:space="0" w:color="auto"/>
        <w:bottom w:val="none" w:sz="0" w:space="0" w:color="auto"/>
        <w:right w:val="none" w:sz="0" w:space="0" w:color="auto"/>
      </w:divBdr>
    </w:div>
    <w:div w:id="510336746">
      <w:bodyDiv w:val="1"/>
      <w:marLeft w:val="0"/>
      <w:marRight w:val="0"/>
      <w:marTop w:val="0"/>
      <w:marBottom w:val="0"/>
      <w:divBdr>
        <w:top w:val="none" w:sz="0" w:space="0" w:color="auto"/>
        <w:left w:val="none" w:sz="0" w:space="0" w:color="auto"/>
        <w:bottom w:val="none" w:sz="0" w:space="0" w:color="auto"/>
        <w:right w:val="none" w:sz="0" w:space="0" w:color="auto"/>
      </w:divBdr>
    </w:div>
    <w:div w:id="510337141">
      <w:bodyDiv w:val="1"/>
      <w:marLeft w:val="0"/>
      <w:marRight w:val="0"/>
      <w:marTop w:val="0"/>
      <w:marBottom w:val="0"/>
      <w:divBdr>
        <w:top w:val="none" w:sz="0" w:space="0" w:color="auto"/>
        <w:left w:val="none" w:sz="0" w:space="0" w:color="auto"/>
        <w:bottom w:val="none" w:sz="0" w:space="0" w:color="auto"/>
        <w:right w:val="none" w:sz="0" w:space="0" w:color="auto"/>
      </w:divBdr>
    </w:div>
    <w:div w:id="510412688">
      <w:bodyDiv w:val="1"/>
      <w:marLeft w:val="0"/>
      <w:marRight w:val="0"/>
      <w:marTop w:val="0"/>
      <w:marBottom w:val="0"/>
      <w:divBdr>
        <w:top w:val="none" w:sz="0" w:space="0" w:color="auto"/>
        <w:left w:val="none" w:sz="0" w:space="0" w:color="auto"/>
        <w:bottom w:val="none" w:sz="0" w:space="0" w:color="auto"/>
        <w:right w:val="none" w:sz="0" w:space="0" w:color="auto"/>
      </w:divBdr>
    </w:div>
    <w:div w:id="510414557">
      <w:bodyDiv w:val="1"/>
      <w:marLeft w:val="0"/>
      <w:marRight w:val="0"/>
      <w:marTop w:val="0"/>
      <w:marBottom w:val="0"/>
      <w:divBdr>
        <w:top w:val="none" w:sz="0" w:space="0" w:color="auto"/>
        <w:left w:val="none" w:sz="0" w:space="0" w:color="auto"/>
        <w:bottom w:val="none" w:sz="0" w:space="0" w:color="auto"/>
        <w:right w:val="none" w:sz="0" w:space="0" w:color="auto"/>
      </w:divBdr>
    </w:div>
    <w:div w:id="510487494">
      <w:bodyDiv w:val="1"/>
      <w:marLeft w:val="0"/>
      <w:marRight w:val="0"/>
      <w:marTop w:val="0"/>
      <w:marBottom w:val="0"/>
      <w:divBdr>
        <w:top w:val="none" w:sz="0" w:space="0" w:color="auto"/>
        <w:left w:val="none" w:sz="0" w:space="0" w:color="auto"/>
        <w:bottom w:val="none" w:sz="0" w:space="0" w:color="auto"/>
        <w:right w:val="none" w:sz="0" w:space="0" w:color="auto"/>
      </w:divBdr>
    </w:div>
    <w:div w:id="510489140">
      <w:bodyDiv w:val="1"/>
      <w:marLeft w:val="0"/>
      <w:marRight w:val="0"/>
      <w:marTop w:val="0"/>
      <w:marBottom w:val="0"/>
      <w:divBdr>
        <w:top w:val="none" w:sz="0" w:space="0" w:color="auto"/>
        <w:left w:val="none" w:sz="0" w:space="0" w:color="auto"/>
        <w:bottom w:val="none" w:sz="0" w:space="0" w:color="auto"/>
        <w:right w:val="none" w:sz="0" w:space="0" w:color="auto"/>
      </w:divBdr>
    </w:div>
    <w:div w:id="510491202">
      <w:bodyDiv w:val="1"/>
      <w:marLeft w:val="0"/>
      <w:marRight w:val="0"/>
      <w:marTop w:val="0"/>
      <w:marBottom w:val="0"/>
      <w:divBdr>
        <w:top w:val="none" w:sz="0" w:space="0" w:color="auto"/>
        <w:left w:val="none" w:sz="0" w:space="0" w:color="auto"/>
        <w:bottom w:val="none" w:sz="0" w:space="0" w:color="auto"/>
        <w:right w:val="none" w:sz="0" w:space="0" w:color="auto"/>
      </w:divBdr>
    </w:div>
    <w:div w:id="510605617">
      <w:bodyDiv w:val="1"/>
      <w:marLeft w:val="0"/>
      <w:marRight w:val="0"/>
      <w:marTop w:val="0"/>
      <w:marBottom w:val="0"/>
      <w:divBdr>
        <w:top w:val="none" w:sz="0" w:space="0" w:color="auto"/>
        <w:left w:val="none" w:sz="0" w:space="0" w:color="auto"/>
        <w:bottom w:val="none" w:sz="0" w:space="0" w:color="auto"/>
        <w:right w:val="none" w:sz="0" w:space="0" w:color="auto"/>
      </w:divBdr>
    </w:div>
    <w:div w:id="510678718">
      <w:bodyDiv w:val="1"/>
      <w:marLeft w:val="0"/>
      <w:marRight w:val="0"/>
      <w:marTop w:val="0"/>
      <w:marBottom w:val="0"/>
      <w:divBdr>
        <w:top w:val="none" w:sz="0" w:space="0" w:color="auto"/>
        <w:left w:val="none" w:sz="0" w:space="0" w:color="auto"/>
        <w:bottom w:val="none" w:sz="0" w:space="0" w:color="auto"/>
        <w:right w:val="none" w:sz="0" w:space="0" w:color="auto"/>
      </w:divBdr>
    </w:div>
    <w:div w:id="510803167">
      <w:bodyDiv w:val="1"/>
      <w:marLeft w:val="0"/>
      <w:marRight w:val="0"/>
      <w:marTop w:val="0"/>
      <w:marBottom w:val="0"/>
      <w:divBdr>
        <w:top w:val="none" w:sz="0" w:space="0" w:color="auto"/>
        <w:left w:val="none" w:sz="0" w:space="0" w:color="auto"/>
        <w:bottom w:val="none" w:sz="0" w:space="0" w:color="auto"/>
        <w:right w:val="none" w:sz="0" w:space="0" w:color="auto"/>
      </w:divBdr>
    </w:div>
    <w:div w:id="510877431">
      <w:bodyDiv w:val="1"/>
      <w:marLeft w:val="0"/>
      <w:marRight w:val="0"/>
      <w:marTop w:val="0"/>
      <w:marBottom w:val="0"/>
      <w:divBdr>
        <w:top w:val="none" w:sz="0" w:space="0" w:color="auto"/>
        <w:left w:val="none" w:sz="0" w:space="0" w:color="auto"/>
        <w:bottom w:val="none" w:sz="0" w:space="0" w:color="auto"/>
        <w:right w:val="none" w:sz="0" w:space="0" w:color="auto"/>
      </w:divBdr>
    </w:div>
    <w:div w:id="510880190">
      <w:bodyDiv w:val="1"/>
      <w:marLeft w:val="0"/>
      <w:marRight w:val="0"/>
      <w:marTop w:val="0"/>
      <w:marBottom w:val="0"/>
      <w:divBdr>
        <w:top w:val="none" w:sz="0" w:space="0" w:color="auto"/>
        <w:left w:val="none" w:sz="0" w:space="0" w:color="auto"/>
        <w:bottom w:val="none" w:sz="0" w:space="0" w:color="auto"/>
        <w:right w:val="none" w:sz="0" w:space="0" w:color="auto"/>
      </w:divBdr>
    </w:div>
    <w:div w:id="510949092">
      <w:bodyDiv w:val="1"/>
      <w:marLeft w:val="0"/>
      <w:marRight w:val="0"/>
      <w:marTop w:val="0"/>
      <w:marBottom w:val="0"/>
      <w:divBdr>
        <w:top w:val="none" w:sz="0" w:space="0" w:color="auto"/>
        <w:left w:val="none" w:sz="0" w:space="0" w:color="auto"/>
        <w:bottom w:val="none" w:sz="0" w:space="0" w:color="auto"/>
        <w:right w:val="none" w:sz="0" w:space="0" w:color="auto"/>
      </w:divBdr>
    </w:div>
    <w:div w:id="511069800">
      <w:bodyDiv w:val="1"/>
      <w:marLeft w:val="0"/>
      <w:marRight w:val="0"/>
      <w:marTop w:val="0"/>
      <w:marBottom w:val="0"/>
      <w:divBdr>
        <w:top w:val="none" w:sz="0" w:space="0" w:color="auto"/>
        <w:left w:val="none" w:sz="0" w:space="0" w:color="auto"/>
        <w:bottom w:val="none" w:sz="0" w:space="0" w:color="auto"/>
        <w:right w:val="none" w:sz="0" w:space="0" w:color="auto"/>
      </w:divBdr>
    </w:div>
    <w:div w:id="511116710">
      <w:bodyDiv w:val="1"/>
      <w:marLeft w:val="0"/>
      <w:marRight w:val="0"/>
      <w:marTop w:val="0"/>
      <w:marBottom w:val="0"/>
      <w:divBdr>
        <w:top w:val="none" w:sz="0" w:space="0" w:color="auto"/>
        <w:left w:val="none" w:sz="0" w:space="0" w:color="auto"/>
        <w:bottom w:val="none" w:sz="0" w:space="0" w:color="auto"/>
        <w:right w:val="none" w:sz="0" w:space="0" w:color="auto"/>
      </w:divBdr>
    </w:div>
    <w:div w:id="511186787">
      <w:bodyDiv w:val="1"/>
      <w:marLeft w:val="0"/>
      <w:marRight w:val="0"/>
      <w:marTop w:val="0"/>
      <w:marBottom w:val="0"/>
      <w:divBdr>
        <w:top w:val="none" w:sz="0" w:space="0" w:color="auto"/>
        <w:left w:val="none" w:sz="0" w:space="0" w:color="auto"/>
        <w:bottom w:val="none" w:sz="0" w:space="0" w:color="auto"/>
        <w:right w:val="none" w:sz="0" w:space="0" w:color="auto"/>
      </w:divBdr>
    </w:div>
    <w:div w:id="511259570">
      <w:bodyDiv w:val="1"/>
      <w:marLeft w:val="0"/>
      <w:marRight w:val="0"/>
      <w:marTop w:val="0"/>
      <w:marBottom w:val="0"/>
      <w:divBdr>
        <w:top w:val="none" w:sz="0" w:space="0" w:color="auto"/>
        <w:left w:val="none" w:sz="0" w:space="0" w:color="auto"/>
        <w:bottom w:val="none" w:sz="0" w:space="0" w:color="auto"/>
        <w:right w:val="none" w:sz="0" w:space="0" w:color="auto"/>
      </w:divBdr>
    </w:div>
    <w:div w:id="511266541">
      <w:bodyDiv w:val="1"/>
      <w:marLeft w:val="0"/>
      <w:marRight w:val="0"/>
      <w:marTop w:val="0"/>
      <w:marBottom w:val="0"/>
      <w:divBdr>
        <w:top w:val="none" w:sz="0" w:space="0" w:color="auto"/>
        <w:left w:val="none" w:sz="0" w:space="0" w:color="auto"/>
        <w:bottom w:val="none" w:sz="0" w:space="0" w:color="auto"/>
        <w:right w:val="none" w:sz="0" w:space="0" w:color="auto"/>
      </w:divBdr>
    </w:div>
    <w:div w:id="511341235">
      <w:bodyDiv w:val="1"/>
      <w:marLeft w:val="0"/>
      <w:marRight w:val="0"/>
      <w:marTop w:val="0"/>
      <w:marBottom w:val="0"/>
      <w:divBdr>
        <w:top w:val="none" w:sz="0" w:space="0" w:color="auto"/>
        <w:left w:val="none" w:sz="0" w:space="0" w:color="auto"/>
        <w:bottom w:val="none" w:sz="0" w:space="0" w:color="auto"/>
        <w:right w:val="none" w:sz="0" w:space="0" w:color="auto"/>
      </w:divBdr>
    </w:div>
    <w:div w:id="511379826">
      <w:bodyDiv w:val="1"/>
      <w:marLeft w:val="0"/>
      <w:marRight w:val="0"/>
      <w:marTop w:val="0"/>
      <w:marBottom w:val="0"/>
      <w:divBdr>
        <w:top w:val="none" w:sz="0" w:space="0" w:color="auto"/>
        <w:left w:val="none" w:sz="0" w:space="0" w:color="auto"/>
        <w:bottom w:val="none" w:sz="0" w:space="0" w:color="auto"/>
        <w:right w:val="none" w:sz="0" w:space="0" w:color="auto"/>
      </w:divBdr>
    </w:div>
    <w:div w:id="511451822">
      <w:bodyDiv w:val="1"/>
      <w:marLeft w:val="0"/>
      <w:marRight w:val="0"/>
      <w:marTop w:val="0"/>
      <w:marBottom w:val="0"/>
      <w:divBdr>
        <w:top w:val="none" w:sz="0" w:space="0" w:color="auto"/>
        <w:left w:val="none" w:sz="0" w:space="0" w:color="auto"/>
        <w:bottom w:val="none" w:sz="0" w:space="0" w:color="auto"/>
        <w:right w:val="none" w:sz="0" w:space="0" w:color="auto"/>
      </w:divBdr>
    </w:div>
    <w:div w:id="511451853">
      <w:bodyDiv w:val="1"/>
      <w:marLeft w:val="0"/>
      <w:marRight w:val="0"/>
      <w:marTop w:val="0"/>
      <w:marBottom w:val="0"/>
      <w:divBdr>
        <w:top w:val="none" w:sz="0" w:space="0" w:color="auto"/>
        <w:left w:val="none" w:sz="0" w:space="0" w:color="auto"/>
        <w:bottom w:val="none" w:sz="0" w:space="0" w:color="auto"/>
        <w:right w:val="none" w:sz="0" w:space="0" w:color="auto"/>
      </w:divBdr>
    </w:div>
    <w:div w:id="511453057">
      <w:bodyDiv w:val="1"/>
      <w:marLeft w:val="0"/>
      <w:marRight w:val="0"/>
      <w:marTop w:val="0"/>
      <w:marBottom w:val="0"/>
      <w:divBdr>
        <w:top w:val="none" w:sz="0" w:space="0" w:color="auto"/>
        <w:left w:val="none" w:sz="0" w:space="0" w:color="auto"/>
        <w:bottom w:val="none" w:sz="0" w:space="0" w:color="auto"/>
        <w:right w:val="none" w:sz="0" w:space="0" w:color="auto"/>
      </w:divBdr>
    </w:div>
    <w:div w:id="511454209">
      <w:bodyDiv w:val="1"/>
      <w:marLeft w:val="0"/>
      <w:marRight w:val="0"/>
      <w:marTop w:val="0"/>
      <w:marBottom w:val="0"/>
      <w:divBdr>
        <w:top w:val="none" w:sz="0" w:space="0" w:color="auto"/>
        <w:left w:val="none" w:sz="0" w:space="0" w:color="auto"/>
        <w:bottom w:val="none" w:sz="0" w:space="0" w:color="auto"/>
        <w:right w:val="none" w:sz="0" w:space="0" w:color="auto"/>
      </w:divBdr>
    </w:div>
    <w:div w:id="511531994">
      <w:bodyDiv w:val="1"/>
      <w:marLeft w:val="0"/>
      <w:marRight w:val="0"/>
      <w:marTop w:val="0"/>
      <w:marBottom w:val="0"/>
      <w:divBdr>
        <w:top w:val="none" w:sz="0" w:space="0" w:color="auto"/>
        <w:left w:val="none" w:sz="0" w:space="0" w:color="auto"/>
        <w:bottom w:val="none" w:sz="0" w:space="0" w:color="auto"/>
        <w:right w:val="none" w:sz="0" w:space="0" w:color="auto"/>
      </w:divBdr>
    </w:div>
    <w:div w:id="511574704">
      <w:bodyDiv w:val="1"/>
      <w:marLeft w:val="0"/>
      <w:marRight w:val="0"/>
      <w:marTop w:val="0"/>
      <w:marBottom w:val="0"/>
      <w:divBdr>
        <w:top w:val="none" w:sz="0" w:space="0" w:color="auto"/>
        <w:left w:val="none" w:sz="0" w:space="0" w:color="auto"/>
        <w:bottom w:val="none" w:sz="0" w:space="0" w:color="auto"/>
        <w:right w:val="none" w:sz="0" w:space="0" w:color="auto"/>
      </w:divBdr>
    </w:div>
    <w:div w:id="511603381">
      <w:bodyDiv w:val="1"/>
      <w:marLeft w:val="0"/>
      <w:marRight w:val="0"/>
      <w:marTop w:val="0"/>
      <w:marBottom w:val="0"/>
      <w:divBdr>
        <w:top w:val="none" w:sz="0" w:space="0" w:color="auto"/>
        <w:left w:val="none" w:sz="0" w:space="0" w:color="auto"/>
        <w:bottom w:val="none" w:sz="0" w:space="0" w:color="auto"/>
        <w:right w:val="none" w:sz="0" w:space="0" w:color="auto"/>
      </w:divBdr>
    </w:div>
    <w:div w:id="511724969">
      <w:bodyDiv w:val="1"/>
      <w:marLeft w:val="0"/>
      <w:marRight w:val="0"/>
      <w:marTop w:val="0"/>
      <w:marBottom w:val="0"/>
      <w:divBdr>
        <w:top w:val="none" w:sz="0" w:space="0" w:color="auto"/>
        <w:left w:val="none" w:sz="0" w:space="0" w:color="auto"/>
        <w:bottom w:val="none" w:sz="0" w:space="0" w:color="auto"/>
        <w:right w:val="none" w:sz="0" w:space="0" w:color="auto"/>
      </w:divBdr>
    </w:div>
    <w:div w:id="511801944">
      <w:bodyDiv w:val="1"/>
      <w:marLeft w:val="0"/>
      <w:marRight w:val="0"/>
      <w:marTop w:val="0"/>
      <w:marBottom w:val="0"/>
      <w:divBdr>
        <w:top w:val="none" w:sz="0" w:space="0" w:color="auto"/>
        <w:left w:val="none" w:sz="0" w:space="0" w:color="auto"/>
        <w:bottom w:val="none" w:sz="0" w:space="0" w:color="auto"/>
        <w:right w:val="none" w:sz="0" w:space="0" w:color="auto"/>
      </w:divBdr>
    </w:div>
    <w:div w:id="511839155">
      <w:bodyDiv w:val="1"/>
      <w:marLeft w:val="0"/>
      <w:marRight w:val="0"/>
      <w:marTop w:val="0"/>
      <w:marBottom w:val="0"/>
      <w:divBdr>
        <w:top w:val="none" w:sz="0" w:space="0" w:color="auto"/>
        <w:left w:val="none" w:sz="0" w:space="0" w:color="auto"/>
        <w:bottom w:val="none" w:sz="0" w:space="0" w:color="auto"/>
        <w:right w:val="none" w:sz="0" w:space="0" w:color="auto"/>
      </w:divBdr>
    </w:div>
    <w:div w:id="511997489">
      <w:bodyDiv w:val="1"/>
      <w:marLeft w:val="0"/>
      <w:marRight w:val="0"/>
      <w:marTop w:val="0"/>
      <w:marBottom w:val="0"/>
      <w:divBdr>
        <w:top w:val="none" w:sz="0" w:space="0" w:color="auto"/>
        <w:left w:val="none" w:sz="0" w:space="0" w:color="auto"/>
        <w:bottom w:val="none" w:sz="0" w:space="0" w:color="auto"/>
        <w:right w:val="none" w:sz="0" w:space="0" w:color="auto"/>
      </w:divBdr>
    </w:div>
    <w:div w:id="512112536">
      <w:bodyDiv w:val="1"/>
      <w:marLeft w:val="0"/>
      <w:marRight w:val="0"/>
      <w:marTop w:val="0"/>
      <w:marBottom w:val="0"/>
      <w:divBdr>
        <w:top w:val="none" w:sz="0" w:space="0" w:color="auto"/>
        <w:left w:val="none" w:sz="0" w:space="0" w:color="auto"/>
        <w:bottom w:val="none" w:sz="0" w:space="0" w:color="auto"/>
        <w:right w:val="none" w:sz="0" w:space="0" w:color="auto"/>
      </w:divBdr>
    </w:div>
    <w:div w:id="512186220">
      <w:bodyDiv w:val="1"/>
      <w:marLeft w:val="0"/>
      <w:marRight w:val="0"/>
      <w:marTop w:val="0"/>
      <w:marBottom w:val="0"/>
      <w:divBdr>
        <w:top w:val="none" w:sz="0" w:space="0" w:color="auto"/>
        <w:left w:val="none" w:sz="0" w:space="0" w:color="auto"/>
        <w:bottom w:val="none" w:sz="0" w:space="0" w:color="auto"/>
        <w:right w:val="none" w:sz="0" w:space="0" w:color="auto"/>
      </w:divBdr>
    </w:div>
    <w:div w:id="512187968">
      <w:bodyDiv w:val="1"/>
      <w:marLeft w:val="0"/>
      <w:marRight w:val="0"/>
      <w:marTop w:val="0"/>
      <w:marBottom w:val="0"/>
      <w:divBdr>
        <w:top w:val="none" w:sz="0" w:space="0" w:color="auto"/>
        <w:left w:val="none" w:sz="0" w:space="0" w:color="auto"/>
        <w:bottom w:val="none" w:sz="0" w:space="0" w:color="auto"/>
        <w:right w:val="none" w:sz="0" w:space="0" w:color="auto"/>
      </w:divBdr>
    </w:div>
    <w:div w:id="512188219">
      <w:bodyDiv w:val="1"/>
      <w:marLeft w:val="0"/>
      <w:marRight w:val="0"/>
      <w:marTop w:val="0"/>
      <w:marBottom w:val="0"/>
      <w:divBdr>
        <w:top w:val="none" w:sz="0" w:space="0" w:color="auto"/>
        <w:left w:val="none" w:sz="0" w:space="0" w:color="auto"/>
        <w:bottom w:val="none" w:sz="0" w:space="0" w:color="auto"/>
        <w:right w:val="none" w:sz="0" w:space="0" w:color="auto"/>
      </w:divBdr>
    </w:div>
    <w:div w:id="512377441">
      <w:bodyDiv w:val="1"/>
      <w:marLeft w:val="0"/>
      <w:marRight w:val="0"/>
      <w:marTop w:val="0"/>
      <w:marBottom w:val="0"/>
      <w:divBdr>
        <w:top w:val="none" w:sz="0" w:space="0" w:color="auto"/>
        <w:left w:val="none" w:sz="0" w:space="0" w:color="auto"/>
        <w:bottom w:val="none" w:sz="0" w:space="0" w:color="auto"/>
        <w:right w:val="none" w:sz="0" w:space="0" w:color="auto"/>
      </w:divBdr>
    </w:div>
    <w:div w:id="512382711">
      <w:bodyDiv w:val="1"/>
      <w:marLeft w:val="0"/>
      <w:marRight w:val="0"/>
      <w:marTop w:val="0"/>
      <w:marBottom w:val="0"/>
      <w:divBdr>
        <w:top w:val="none" w:sz="0" w:space="0" w:color="auto"/>
        <w:left w:val="none" w:sz="0" w:space="0" w:color="auto"/>
        <w:bottom w:val="none" w:sz="0" w:space="0" w:color="auto"/>
        <w:right w:val="none" w:sz="0" w:space="0" w:color="auto"/>
      </w:divBdr>
    </w:div>
    <w:div w:id="512384309">
      <w:bodyDiv w:val="1"/>
      <w:marLeft w:val="0"/>
      <w:marRight w:val="0"/>
      <w:marTop w:val="0"/>
      <w:marBottom w:val="0"/>
      <w:divBdr>
        <w:top w:val="none" w:sz="0" w:space="0" w:color="auto"/>
        <w:left w:val="none" w:sz="0" w:space="0" w:color="auto"/>
        <w:bottom w:val="none" w:sz="0" w:space="0" w:color="auto"/>
        <w:right w:val="none" w:sz="0" w:space="0" w:color="auto"/>
      </w:divBdr>
    </w:div>
    <w:div w:id="512384625">
      <w:bodyDiv w:val="1"/>
      <w:marLeft w:val="0"/>
      <w:marRight w:val="0"/>
      <w:marTop w:val="0"/>
      <w:marBottom w:val="0"/>
      <w:divBdr>
        <w:top w:val="none" w:sz="0" w:space="0" w:color="auto"/>
        <w:left w:val="none" w:sz="0" w:space="0" w:color="auto"/>
        <w:bottom w:val="none" w:sz="0" w:space="0" w:color="auto"/>
        <w:right w:val="none" w:sz="0" w:space="0" w:color="auto"/>
      </w:divBdr>
    </w:div>
    <w:div w:id="512568433">
      <w:bodyDiv w:val="1"/>
      <w:marLeft w:val="0"/>
      <w:marRight w:val="0"/>
      <w:marTop w:val="0"/>
      <w:marBottom w:val="0"/>
      <w:divBdr>
        <w:top w:val="none" w:sz="0" w:space="0" w:color="auto"/>
        <w:left w:val="none" w:sz="0" w:space="0" w:color="auto"/>
        <w:bottom w:val="none" w:sz="0" w:space="0" w:color="auto"/>
        <w:right w:val="none" w:sz="0" w:space="0" w:color="auto"/>
      </w:divBdr>
    </w:div>
    <w:div w:id="512573665">
      <w:bodyDiv w:val="1"/>
      <w:marLeft w:val="0"/>
      <w:marRight w:val="0"/>
      <w:marTop w:val="0"/>
      <w:marBottom w:val="0"/>
      <w:divBdr>
        <w:top w:val="none" w:sz="0" w:space="0" w:color="auto"/>
        <w:left w:val="none" w:sz="0" w:space="0" w:color="auto"/>
        <w:bottom w:val="none" w:sz="0" w:space="0" w:color="auto"/>
        <w:right w:val="none" w:sz="0" w:space="0" w:color="auto"/>
      </w:divBdr>
    </w:div>
    <w:div w:id="512652087">
      <w:bodyDiv w:val="1"/>
      <w:marLeft w:val="0"/>
      <w:marRight w:val="0"/>
      <w:marTop w:val="0"/>
      <w:marBottom w:val="0"/>
      <w:divBdr>
        <w:top w:val="none" w:sz="0" w:space="0" w:color="auto"/>
        <w:left w:val="none" w:sz="0" w:space="0" w:color="auto"/>
        <w:bottom w:val="none" w:sz="0" w:space="0" w:color="auto"/>
        <w:right w:val="none" w:sz="0" w:space="0" w:color="auto"/>
      </w:divBdr>
    </w:div>
    <w:div w:id="512764907">
      <w:bodyDiv w:val="1"/>
      <w:marLeft w:val="0"/>
      <w:marRight w:val="0"/>
      <w:marTop w:val="0"/>
      <w:marBottom w:val="0"/>
      <w:divBdr>
        <w:top w:val="none" w:sz="0" w:space="0" w:color="auto"/>
        <w:left w:val="none" w:sz="0" w:space="0" w:color="auto"/>
        <w:bottom w:val="none" w:sz="0" w:space="0" w:color="auto"/>
        <w:right w:val="none" w:sz="0" w:space="0" w:color="auto"/>
      </w:divBdr>
    </w:div>
    <w:div w:id="512769940">
      <w:bodyDiv w:val="1"/>
      <w:marLeft w:val="0"/>
      <w:marRight w:val="0"/>
      <w:marTop w:val="0"/>
      <w:marBottom w:val="0"/>
      <w:divBdr>
        <w:top w:val="none" w:sz="0" w:space="0" w:color="auto"/>
        <w:left w:val="none" w:sz="0" w:space="0" w:color="auto"/>
        <w:bottom w:val="none" w:sz="0" w:space="0" w:color="auto"/>
        <w:right w:val="none" w:sz="0" w:space="0" w:color="auto"/>
      </w:divBdr>
    </w:div>
    <w:div w:id="512845113">
      <w:bodyDiv w:val="1"/>
      <w:marLeft w:val="0"/>
      <w:marRight w:val="0"/>
      <w:marTop w:val="0"/>
      <w:marBottom w:val="0"/>
      <w:divBdr>
        <w:top w:val="none" w:sz="0" w:space="0" w:color="auto"/>
        <w:left w:val="none" w:sz="0" w:space="0" w:color="auto"/>
        <w:bottom w:val="none" w:sz="0" w:space="0" w:color="auto"/>
        <w:right w:val="none" w:sz="0" w:space="0" w:color="auto"/>
      </w:divBdr>
    </w:div>
    <w:div w:id="512915820">
      <w:bodyDiv w:val="1"/>
      <w:marLeft w:val="0"/>
      <w:marRight w:val="0"/>
      <w:marTop w:val="0"/>
      <w:marBottom w:val="0"/>
      <w:divBdr>
        <w:top w:val="none" w:sz="0" w:space="0" w:color="auto"/>
        <w:left w:val="none" w:sz="0" w:space="0" w:color="auto"/>
        <w:bottom w:val="none" w:sz="0" w:space="0" w:color="auto"/>
        <w:right w:val="none" w:sz="0" w:space="0" w:color="auto"/>
      </w:divBdr>
    </w:div>
    <w:div w:id="512962418">
      <w:bodyDiv w:val="1"/>
      <w:marLeft w:val="0"/>
      <w:marRight w:val="0"/>
      <w:marTop w:val="0"/>
      <w:marBottom w:val="0"/>
      <w:divBdr>
        <w:top w:val="none" w:sz="0" w:space="0" w:color="auto"/>
        <w:left w:val="none" w:sz="0" w:space="0" w:color="auto"/>
        <w:bottom w:val="none" w:sz="0" w:space="0" w:color="auto"/>
        <w:right w:val="none" w:sz="0" w:space="0" w:color="auto"/>
      </w:divBdr>
    </w:div>
    <w:div w:id="512962817">
      <w:bodyDiv w:val="1"/>
      <w:marLeft w:val="0"/>
      <w:marRight w:val="0"/>
      <w:marTop w:val="0"/>
      <w:marBottom w:val="0"/>
      <w:divBdr>
        <w:top w:val="none" w:sz="0" w:space="0" w:color="auto"/>
        <w:left w:val="none" w:sz="0" w:space="0" w:color="auto"/>
        <w:bottom w:val="none" w:sz="0" w:space="0" w:color="auto"/>
        <w:right w:val="none" w:sz="0" w:space="0" w:color="auto"/>
      </w:divBdr>
    </w:div>
    <w:div w:id="513035000">
      <w:bodyDiv w:val="1"/>
      <w:marLeft w:val="0"/>
      <w:marRight w:val="0"/>
      <w:marTop w:val="0"/>
      <w:marBottom w:val="0"/>
      <w:divBdr>
        <w:top w:val="none" w:sz="0" w:space="0" w:color="auto"/>
        <w:left w:val="none" w:sz="0" w:space="0" w:color="auto"/>
        <w:bottom w:val="none" w:sz="0" w:space="0" w:color="auto"/>
        <w:right w:val="none" w:sz="0" w:space="0" w:color="auto"/>
      </w:divBdr>
    </w:div>
    <w:div w:id="513037405">
      <w:bodyDiv w:val="1"/>
      <w:marLeft w:val="0"/>
      <w:marRight w:val="0"/>
      <w:marTop w:val="0"/>
      <w:marBottom w:val="0"/>
      <w:divBdr>
        <w:top w:val="none" w:sz="0" w:space="0" w:color="auto"/>
        <w:left w:val="none" w:sz="0" w:space="0" w:color="auto"/>
        <w:bottom w:val="none" w:sz="0" w:space="0" w:color="auto"/>
        <w:right w:val="none" w:sz="0" w:space="0" w:color="auto"/>
      </w:divBdr>
    </w:div>
    <w:div w:id="513110399">
      <w:bodyDiv w:val="1"/>
      <w:marLeft w:val="0"/>
      <w:marRight w:val="0"/>
      <w:marTop w:val="0"/>
      <w:marBottom w:val="0"/>
      <w:divBdr>
        <w:top w:val="none" w:sz="0" w:space="0" w:color="auto"/>
        <w:left w:val="none" w:sz="0" w:space="0" w:color="auto"/>
        <w:bottom w:val="none" w:sz="0" w:space="0" w:color="auto"/>
        <w:right w:val="none" w:sz="0" w:space="0" w:color="auto"/>
      </w:divBdr>
    </w:div>
    <w:div w:id="513227578">
      <w:bodyDiv w:val="1"/>
      <w:marLeft w:val="0"/>
      <w:marRight w:val="0"/>
      <w:marTop w:val="0"/>
      <w:marBottom w:val="0"/>
      <w:divBdr>
        <w:top w:val="none" w:sz="0" w:space="0" w:color="auto"/>
        <w:left w:val="none" w:sz="0" w:space="0" w:color="auto"/>
        <w:bottom w:val="none" w:sz="0" w:space="0" w:color="auto"/>
        <w:right w:val="none" w:sz="0" w:space="0" w:color="auto"/>
      </w:divBdr>
    </w:div>
    <w:div w:id="513375118">
      <w:bodyDiv w:val="1"/>
      <w:marLeft w:val="0"/>
      <w:marRight w:val="0"/>
      <w:marTop w:val="0"/>
      <w:marBottom w:val="0"/>
      <w:divBdr>
        <w:top w:val="none" w:sz="0" w:space="0" w:color="auto"/>
        <w:left w:val="none" w:sz="0" w:space="0" w:color="auto"/>
        <w:bottom w:val="none" w:sz="0" w:space="0" w:color="auto"/>
        <w:right w:val="none" w:sz="0" w:space="0" w:color="auto"/>
      </w:divBdr>
    </w:div>
    <w:div w:id="513376011">
      <w:bodyDiv w:val="1"/>
      <w:marLeft w:val="0"/>
      <w:marRight w:val="0"/>
      <w:marTop w:val="0"/>
      <w:marBottom w:val="0"/>
      <w:divBdr>
        <w:top w:val="none" w:sz="0" w:space="0" w:color="auto"/>
        <w:left w:val="none" w:sz="0" w:space="0" w:color="auto"/>
        <w:bottom w:val="none" w:sz="0" w:space="0" w:color="auto"/>
        <w:right w:val="none" w:sz="0" w:space="0" w:color="auto"/>
      </w:divBdr>
    </w:div>
    <w:div w:id="513419909">
      <w:bodyDiv w:val="1"/>
      <w:marLeft w:val="0"/>
      <w:marRight w:val="0"/>
      <w:marTop w:val="0"/>
      <w:marBottom w:val="0"/>
      <w:divBdr>
        <w:top w:val="none" w:sz="0" w:space="0" w:color="auto"/>
        <w:left w:val="none" w:sz="0" w:space="0" w:color="auto"/>
        <w:bottom w:val="none" w:sz="0" w:space="0" w:color="auto"/>
        <w:right w:val="none" w:sz="0" w:space="0" w:color="auto"/>
      </w:divBdr>
    </w:div>
    <w:div w:id="513421910">
      <w:bodyDiv w:val="1"/>
      <w:marLeft w:val="0"/>
      <w:marRight w:val="0"/>
      <w:marTop w:val="0"/>
      <w:marBottom w:val="0"/>
      <w:divBdr>
        <w:top w:val="none" w:sz="0" w:space="0" w:color="auto"/>
        <w:left w:val="none" w:sz="0" w:space="0" w:color="auto"/>
        <w:bottom w:val="none" w:sz="0" w:space="0" w:color="auto"/>
        <w:right w:val="none" w:sz="0" w:space="0" w:color="auto"/>
      </w:divBdr>
    </w:div>
    <w:div w:id="513497198">
      <w:bodyDiv w:val="1"/>
      <w:marLeft w:val="0"/>
      <w:marRight w:val="0"/>
      <w:marTop w:val="0"/>
      <w:marBottom w:val="0"/>
      <w:divBdr>
        <w:top w:val="none" w:sz="0" w:space="0" w:color="auto"/>
        <w:left w:val="none" w:sz="0" w:space="0" w:color="auto"/>
        <w:bottom w:val="none" w:sz="0" w:space="0" w:color="auto"/>
        <w:right w:val="none" w:sz="0" w:space="0" w:color="auto"/>
      </w:divBdr>
    </w:div>
    <w:div w:id="513613868">
      <w:bodyDiv w:val="1"/>
      <w:marLeft w:val="0"/>
      <w:marRight w:val="0"/>
      <w:marTop w:val="0"/>
      <w:marBottom w:val="0"/>
      <w:divBdr>
        <w:top w:val="none" w:sz="0" w:space="0" w:color="auto"/>
        <w:left w:val="none" w:sz="0" w:space="0" w:color="auto"/>
        <w:bottom w:val="none" w:sz="0" w:space="0" w:color="auto"/>
        <w:right w:val="none" w:sz="0" w:space="0" w:color="auto"/>
      </w:divBdr>
    </w:div>
    <w:div w:id="513690031">
      <w:bodyDiv w:val="1"/>
      <w:marLeft w:val="0"/>
      <w:marRight w:val="0"/>
      <w:marTop w:val="0"/>
      <w:marBottom w:val="0"/>
      <w:divBdr>
        <w:top w:val="none" w:sz="0" w:space="0" w:color="auto"/>
        <w:left w:val="none" w:sz="0" w:space="0" w:color="auto"/>
        <w:bottom w:val="none" w:sz="0" w:space="0" w:color="auto"/>
        <w:right w:val="none" w:sz="0" w:space="0" w:color="auto"/>
      </w:divBdr>
    </w:div>
    <w:div w:id="513762710">
      <w:bodyDiv w:val="1"/>
      <w:marLeft w:val="0"/>
      <w:marRight w:val="0"/>
      <w:marTop w:val="0"/>
      <w:marBottom w:val="0"/>
      <w:divBdr>
        <w:top w:val="none" w:sz="0" w:space="0" w:color="auto"/>
        <w:left w:val="none" w:sz="0" w:space="0" w:color="auto"/>
        <w:bottom w:val="none" w:sz="0" w:space="0" w:color="auto"/>
        <w:right w:val="none" w:sz="0" w:space="0" w:color="auto"/>
      </w:divBdr>
    </w:div>
    <w:div w:id="513764854">
      <w:bodyDiv w:val="1"/>
      <w:marLeft w:val="0"/>
      <w:marRight w:val="0"/>
      <w:marTop w:val="0"/>
      <w:marBottom w:val="0"/>
      <w:divBdr>
        <w:top w:val="none" w:sz="0" w:space="0" w:color="auto"/>
        <w:left w:val="none" w:sz="0" w:space="0" w:color="auto"/>
        <w:bottom w:val="none" w:sz="0" w:space="0" w:color="auto"/>
        <w:right w:val="none" w:sz="0" w:space="0" w:color="auto"/>
      </w:divBdr>
    </w:div>
    <w:div w:id="513804633">
      <w:bodyDiv w:val="1"/>
      <w:marLeft w:val="0"/>
      <w:marRight w:val="0"/>
      <w:marTop w:val="0"/>
      <w:marBottom w:val="0"/>
      <w:divBdr>
        <w:top w:val="none" w:sz="0" w:space="0" w:color="auto"/>
        <w:left w:val="none" w:sz="0" w:space="0" w:color="auto"/>
        <w:bottom w:val="none" w:sz="0" w:space="0" w:color="auto"/>
        <w:right w:val="none" w:sz="0" w:space="0" w:color="auto"/>
      </w:divBdr>
    </w:div>
    <w:div w:id="513880965">
      <w:bodyDiv w:val="1"/>
      <w:marLeft w:val="0"/>
      <w:marRight w:val="0"/>
      <w:marTop w:val="0"/>
      <w:marBottom w:val="0"/>
      <w:divBdr>
        <w:top w:val="none" w:sz="0" w:space="0" w:color="auto"/>
        <w:left w:val="none" w:sz="0" w:space="0" w:color="auto"/>
        <w:bottom w:val="none" w:sz="0" w:space="0" w:color="auto"/>
        <w:right w:val="none" w:sz="0" w:space="0" w:color="auto"/>
      </w:divBdr>
    </w:div>
    <w:div w:id="513963173">
      <w:bodyDiv w:val="1"/>
      <w:marLeft w:val="0"/>
      <w:marRight w:val="0"/>
      <w:marTop w:val="0"/>
      <w:marBottom w:val="0"/>
      <w:divBdr>
        <w:top w:val="none" w:sz="0" w:space="0" w:color="auto"/>
        <w:left w:val="none" w:sz="0" w:space="0" w:color="auto"/>
        <w:bottom w:val="none" w:sz="0" w:space="0" w:color="auto"/>
        <w:right w:val="none" w:sz="0" w:space="0" w:color="auto"/>
      </w:divBdr>
    </w:div>
    <w:div w:id="514147404">
      <w:bodyDiv w:val="1"/>
      <w:marLeft w:val="0"/>
      <w:marRight w:val="0"/>
      <w:marTop w:val="0"/>
      <w:marBottom w:val="0"/>
      <w:divBdr>
        <w:top w:val="none" w:sz="0" w:space="0" w:color="auto"/>
        <w:left w:val="none" w:sz="0" w:space="0" w:color="auto"/>
        <w:bottom w:val="none" w:sz="0" w:space="0" w:color="auto"/>
        <w:right w:val="none" w:sz="0" w:space="0" w:color="auto"/>
      </w:divBdr>
    </w:div>
    <w:div w:id="514150940">
      <w:bodyDiv w:val="1"/>
      <w:marLeft w:val="0"/>
      <w:marRight w:val="0"/>
      <w:marTop w:val="0"/>
      <w:marBottom w:val="0"/>
      <w:divBdr>
        <w:top w:val="none" w:sz="0" w:space="0" w:color="auto"/>
        <w:left w:val="none" w:sz="0" w:space="0" w:color="auto"/>
        <w:bottom w:val="none" w:sz="0" w:space="0" w:color="auto"/>
        <w:right w:val="none" w:sz="0" w:space="0" w:color="auto"/>
      </w:divBdr>
    </w:div>
    <w:div w:id="514153219">
      <w:bodyDiv w:val="1"/>
      <w:marLeft w:val="0"/>
      <w:marRight w:val="0"/>
      <w:marTop w:val="0"/>
      <w:marBottom w:val="0"/>
      <w:divBdr>
        <w:top w:val="none" w:sz="0" w:space="0" w:color="auto"/>
        <w:left w:val="none" w:sz="0" w:space="0" w:color="auto"/>
        <w:bottom w:val="none" w:sz="0" w:space="0" w:color="auto"/>
        <w:right w:val="none" w:sz="0" w:space="0" w:color="auto"/>
      </w:divBdr>
    </w:div>
    <w:div w:id="514154139">
      <w:bodyDiv w:val="1"/>
      <w:marLeft w:val="0"/>
      <w:marRight w:val="0"/>
      <w:marTop w:val="0"/>
      <w:marBottom w:val="0"/>
      <w:divBdr>
        <w:top w:val="none" w:sz="0" w:space="0" w:color="auto"/>
        <w:left w:val="none" w:sz="0" w:space="0" w:color="auto"/>
        <w:bottom w:val="none" w:sz="0" w:space="0" w:color="auto"/>
        <w:right w:val="none" w:sz="0" w:space="0" w:color="auto"/>
      </w:divBdr>
    </w:div>
    <w:div w:id="514226870">
      <w:bodyDiv w:val="1"/>
      <w:marLeft w:val="0"/>
      <w:marRight w:val="0"/>
      <w:marTop w:val="0"/>
      <w:marBottom w:val="0"/>
      <w:divBdr>
        <w:top w:val="none" w:sz="0" w:space="0" w:color="auto"/>
        <w:left w:val="none" w:sz="0" w:space="0" w:color="auto"/>
        <w:bottom w:val="none" w:sz="0" w:space="0" w:color="auto"/>
        <w:right w:val="none" w:sz="0" w:space="0" w:color="auto"/>
      </w:divBdr>
    </w:div>
    <w:div w:id="514228000">
      <w:bodyDiv w:val="1"/>
      <w:marLeft w:val="0"/>
      <w:marRight w:val="0"/>
      <w:marTop w:val="0"/>
      <w:marBottom w:val="0"/>
      <w:divBdr>
        <w:top w:val="none" w:sz="0" w:space="0" w:color="auto"/>
        <w:left w:val="none" w:sz="0" w:space="0" w:color="auto"/>
        <w:bottom w:val="none" w:sz="0" w:space="0" w:color="auto"/>
        <w:right w:val="none" w:sz="0" w:space="0" w:color="auto"/>
      </w:divBdr>
    </w:div>
    <w:div w:id="514265800">
      <w:bodyDiv w:val="1"/>
      <w:marLeft w:val="0"/>
      <w:marRight w:val="0"/>
      <w:marTop w:val="0"/>
      <w:marBottom w:val="0"/>
      <w:divBdr>
        <w:top w:val="none" w:sz="0" w:space="0" w:color="auto"/>
        <w:left w:val="none" w:sz="0" w:space="0" w:color="auto"/>
        <w:bottom w:val="none" w:sz="0" w:space="0" w:color="auto"/>
        <w:right w:val="none" w:sz="0" w:space="0" w:color="auto"/>
      </w:divBdr>
    </w:div>
    <w:div w:id="514275002">
      <w:bodyDiv w:val="1"/>
      <w:marLeft w:val="0"/>
      <w:marRight w:val="0"/>
      <w:marTop w:val="0"/>
      <w:marBottom w:val="0"/>
      <w:divBdr>
        <w:top w:val="none" w:sz="0" w:space="0" w:color="auto"/>
        <w:left w:val="none" w:sz="0" w:space="0" w:color="auto"/>
        <w:bottom w:val="none" w:sz="0" w:space="0" w:color="auto"/>
        <w:right w:val="none" w:sz="0" w:space="0" w:color="auto"/>
      </w:divBdr>
    </w:div>
    <w:div w:id="514349828">
      <w:bodyDiv w:val="1"/>
      <w:marLeft w:val="0"/>
      <w:marRight w:val="0"/>
      <w:marTop w:val="0"/>
      <w:marBottom w:val="0"/>
      <w:divBdr>
        <w:top w:val="none" w:sz="0" w:space="0" w:color="auto"/>
        <w:left w:val="none" w:sz="0" w:space="0" w:color="auto"/>
        <w:bottom w:val="none" w:sz="0" w:space="0" w:color="auto"/>
        <w:right w:val="none" w:sz="0" w:space="0" w:color="auto"/>
      </w:divBdr>
    </w:div>
    <w:div w:id="514392527">
      <w:bodyDiv w:val="1"/>
      <w:marLeft w:val="0"/>
      <w:marRight w:val="0"/>
      <w:marTop w:val="0"/>
      <w:marBottom w:val="0"/>
      <w:divBdr>
        <w:top w:val="none" w:sz="0" w:space="0" w:color="auto"/>
        <w:left w:val="none" w:sz="0" w:space="0" w:color="auto"/>
        <w:bottom w:val="none" w:sz="0" w:space="0" w:color="auto"/>
        <w:right w:val="none" w:sz="0" w:space="0" w:color="auto"/>
      </w:divBdr>
    </w:div>
    <w:div w:id="514461518">
      <w:bodyDiv w:val="1"/>
      <w:marLeft w:val="0"/>
      <w:marRight w:val="0"/>
      <w:marTop w:val="0"/>
      <w:marBottom w:val="0"/>
      <w:divBdr>
        <w:top w:val="none" w:sz="0" w:space="0" w:color="auto"/>
        <w:left w:val="none" w:sz="0" w:space="0" w:color="auto"/>
        <w:bottom w:val="none" w:sz="0" w:space="0" w:color="auto"/>
        <w:right w:val="none" w:sz="0" w:space="0" w:color="auto"/>
      </w:divBdr>
    </w:div>
    <w:div w:id="514660457">
      <w:bodyDiv w:val="1"/>
      <w:marLeft w:val="0"/>
      <w:marRight w:val="0"/>
      <w:marTop w:val="0"/>
      <w:marBottom w:val="0"/>
      <w:divBdr>
        <w:top w:val="none" w:sz="0" w:space="0" w:color="auto"/>
        <w:left w:val="none" w:sz="0" w:space="0" w:color="auto"/>
        <w:bottom w:val="none" w:sz="0" w:space="0" w:color="auto"/>
        <w:right w:val="none" w:sz="0" w:space="0" w:color="auto"/>
      </w:divBdr>
    </w:div>
    <w:div w:id="514733869">
      <w:bodyDiv w:val="1"/>
      <w:marLeft w:val="0"/>
      <w:marRight w:val="0"/>
      <w:marTop w:val="0"/>
      <w:marBottom w:val="0"/>
      <w:divBdr>
        <w:top w:val="none" w:sz="0" w:space="0" w:color="auto"/>
        <w:left w:val="none" w:sz="0" w:space="0" w:color="auto"/>
        <w:bottom w:val="none" w:sz="0" w:space="0" w:color="auto"/>
        <w:right w:val="none" w:sz="0" w:space="0" w:color="auto"/>
      </w:divBdr>
    </w:div>
    <w:div w:id="514802968">
      <w:bodyDiv w:val="1"/>
      <w:marLeft w:val="0"/>
      <w:marRight w:val="0"/>
      <w:marTop w:val="0"/>
      <w:marBottom w:val="0"/>
      <w:divBdr>
        <w:top w:val="none" w:sz="0" w:space="0" w:color="auto"/>
        <w:left w:val="none" w:sz="0" w:space="0" w:color="auto"/>
        <w:bottom w:val="none" w:sz="0" w:space="0" w:color="auto"/>
        <w:right w:val="none" w:sz="0" w:space="0" w:color="auto"/>
      </w:divBdr>
    </w:div>
    <w:div w:id="514803859">
      <w:bodyDiv w:val="1"/>
      <w:marLeft w:val="0"/>
      <w:marRight w:val="0"/>
      <w:marTop w:val="0"/>
      <w:marBottom w:val="0"/>
      <w:divBdr>
        <w:top w:val="none" w:sz="0" w:space="0" w:color="auto"/>
        <w:left w:val="none" w:sz="0" w:space="0" w:color="auto"/>
        <w:bottom w:val="none" w:sz="0" w:space="0" w:color="auto"/>
        <w:right w:val="none" w:sz="0" w:space="0" w:color="auto"/>
      </w:divBdr>
    </w:div>
    <w:div w:id="514881571">
      <w:bodyDiv w:val="1"/>
      <w:marLeft w:val="0"/>
      <w:marRight w:val="0"/>
      <w:marTop w:val="0"/>
      <w:marBottom w:val="0"/>
      <w:divBdr>
        <w:top w:val="none" w:sz="0" w:space="0" w:color="auto"/>
        <w:left w:val="none" w:sz="0" w:space="0" w:color="auto"/>
        <w:bottom w:val="none" w:sz="0" w:space="0" w:color="auto"/>
        <w:right w:val="none" w:sz="0" w:space="0" w:color="auto"/>
      </w:divBdr>
    </w:div>
    <w:div w:id="514923105">
      <w:bodyDiv w:val="1"/>
      <w:marLeft w:val="0"/>
      <w:marRight w:val="0"/>
      <w:marTop w:val="0"/>
      <w:marBottom w:val="0"/>
      <w:divBdr>
        <w:top w:val="none" w:sz="0" w:space="0" w:color="auto"/>
        <w:left w:val="none" w:sz="0" w:space="0" w:color="auto"/>
        <w:bottom w:val="none" w:sz="0" w:space="0" w:color="auto"/>
        <w:right w:val="none" w:sz="0" w:space="0" w:color="auto"/>
      </w:divBdr>
    </w:div>
    <w:div w:id="515267159">
      <w:bodyDiv w:val="1"/>
      <w:marLeft w:val="0"/>
      <w:marRight w:val="0"/>
      <w:marTop w:val="0"/>
      <w:marBottom w:val="0"/>
      <w:divBdr>
        <w:top w:val="none" w:sz="0" w:space="0" w:color="auto"/>
        <w:left w:val="none" w:sz="0" w:space="0" w:color="auto"/>
        <w:bottom w:val="none" w:sz="0" w:space="0" w:color="auto"/>
        <w:right w:val="none" w:sz="0" w:space="0" w:color="auto"/>
      </w:divBdr>
    </w:div>
    <w:div w:id="515311283">
      <w:bodyDiv w:val="1"/>
      <w:marLeft w:val="0"/>
      <w:marRight w:val="0"/>
      <w:marTop w:val="0"/>
      <w:marBottom w:val="0"/>
      <w:divBdr>
        <w:top w:val="none" w:sz="0" w:space="0" w:color="auto"/>
        <w:left w:val="none" w:sz="0" w:space="0" w:color="auto"/>
        <w:bottom w:val="none" w:sz="0" w:space="0" w:color="auto"/>
        <w:right w:val="none" w:sz="0" w:space="0" w:color="auto"/>
      </w:divBdr>
    </w:div>
    <w:div w:id="515383721">
      <w:bodyDiv w:val="1"/>
      <w:marLeft w:val="0"/>
      <w:marRight w:val="0"/>
      <w:marTop w:val="0"/>
      <w:marBottom w:val="0"/>
      <w:divBdr>
        <w:top w:val="none" w:sz="0" w:space="0" w:color="auto"/>
        <w:left w:val="none" w:sz="0" w:space="0" w:color="auto"/>
        <w:bottom w:val="none" w:sz="0" w:space="0" w:color="auto"/>
        <w:right w:val="none" w:sz="0" w:space="0" w:color="auto"/>
      </w:divBdr>
    </w:div>
    <w:div w:id="515389304">
      <w:bodyDiv w:val="1"/>
      <w:marLeft w:val="0"/>
      <w:marRight w:val="0"/>
      <w:marTop w:val="0"/>
      <w:marBottom w:val="0"/>
      <w:divBdr>
        <w:top w:val="none" w:sz="0" w:space="0" w:color="auto"/>
        <w:left w:val="none" w:sz="0" w:space="0" w:color="auto"/>
        <w:bottom w:val="none" w:sz="0" w:space="0" w:color="auto"/>
        <w:right w:val="none" w:sz="0" w:space="0" w:color="auto"/>
      </w:divBdr>
    </w:div>
    <w:div w:id="515459175">
      <w:bodyDiv w:val="1"/>
      <w:marLeft w:val="0"/>
      <w:marRight w:val="0"/>
      <w:marTop w:val="0"/>
      <w:marBottom w:val="0"/>
      <w:divBdr>
        <w:top w:val="none" w:sz="0" w:space="0" w:color="auto"/>
        <w:left w:val="none" w:sz="0" w:space="0" w:color="auto"/>
        <w:bottom w:val="none" w:sz="0" w:space="0" w:color="auto"/>
        <w:right w:val="none" w:sz="0" w:space="0" w:color="auto"/>
      </w:divBdr>
    </w:div>
    <w:div w:id="515461327">
      <w:bodyDiv w:val="1"/>
      <w:marLeft w:val="0"/>
      <w:marRight w:val="0"/>
      <w:marTop w:val="0"/>
      <w:marBottom w:val="0"/>
      <w:divBdr>
        <w:top w:val="none" w:sz="0" w:space="0" w:color="auto"/>
        <w:left w:val="none" w:sz="0" w:space="0" w:color="auto"/>
        <w:bottom w:val="none" w:sz="0" w:space="0" w:color="auto"/>
        <w:right w:val="none" w:sz="0" w:space="0" w:color="auto"/>
      </w:divBdr>
    </w:div>
    <w:div w:id="515584642">
      <w:bodyDiv w:val="1"/>
      <w:marLeft w:val="0"/>
      <w:marRight w:val="0"/>
      <w:marTop w:val="0"/>
      <w:marBottom w:val="0"/>
      <w:divBdr>
        <w:top w:val="none" w:sz="0" w:space="0" w:color="auto"/>
        <w:left w:val="none" w:sz="0" w:space="0" w:color="auto"/>
        <w:bottom w:val="none" w:sz="0" w:space="0" w:color="auto"/>
        <w:right w:val="none" w:sz="0" w:space="0" w:color="auto"/>
      </w:divBdr>
    </w:div>
    <w:div w:id="515651375">
      <w:bodyDiv w:val="1"/>
      <w:marLeft w:val="0"/>
      <w:marRight w:val="0"/>
      <w:marTop w:val="0"/>
      <w:marBottom w:val="0"/>
      <w:divBdr>
        <w:top w:val="none" w:sz="0" w:space="0" w:color="auto"/>
        <w:left w:val="none" w:sz="0" w:space="0" w:color="auto"/>
        <w:bottom w:val="none" w:sz="0" w:space="0" w:color="auto"/>
        <w:right w:val="none" w:sz="0" w:space="0" w:color="auto"/>
      </w:divBdr>
    </w:div>
    <w:div w:id="515772540">
      <w:bodyDiv w:val="1"/>
      <w:marLeft w:val="0"/>
      <w:marRight w:val="0"/>
      <w:marTop w:val="0"/>
      <w:marBottom w:val="0"/>
      <w:divBdr>
        <w:top w:val="none" w:sz="0" w:space="0" w:color="auto"/>
        <w:left w:val="none" w:sz="0" w:space="0" w:color="auto"/>
        <w:bottom w:val="none" w:sz="0" w:space="0" w:color="auto"/>
        <w:right w:val="none" w:sz="0" w:space="0" w:color="auto"/>
      </w:divBdr>
    </w:div>
    <w:div w:id="515774398">
      <w:bodyDiv w:val="1"/>
      <w:marLeft w:val="0"/>
      <w:marRight w:val="0"/>
      <w:marTop w:val="0"/>
      <w:marBottom w:val="0"/>
      <w:divBdr>
        <w:top w:val="none" w:sz="0" w:space="0" w:color="auto"/>
        <w:left w:val="none" w:sz="0" w:space="0" w:color="auto"/>
        <w:bottom w:val="none" w:sz="0" w:space="0" w:color="auto"/>
        <w:right w:val="none" w:sz="0" w:space="0" w:color="auto"/>
      </w:divBdr>
    </w:div>
    <w:div w:id="515922378">
      <w:bodyDiv w:val="1"/>
      <w:marLeft w:val="0"/>
      <w:marRight w:val="0"/>
      <w:marTop w:val="0"/>
      <w:marBottom w:val="0"/>
      <w:divBdr>
        <w:top w:val="none" w:sz="0" w:space="0" w:color="auto"/>
        <w:left w:val="none" w:sz="0" w:space="0" w:color="auto"/>
        <w:bottom w:val="none" w:sz="0" w:space="0" w:color="auto"/>
        <w:right w:val="none" w:sz="0" w:space="0" w:color="auto"/>
      </w:divBdr>
    </w:div>
    <w:div w:id="515966877">
      <w:bodyDiv w:val="1"/>
      <w:marLeft w:val="0"/>
      <w:marRight w:val="0"/>
      <w:marTop w:val="0"/>
      <w:marBottom w:val="0"/>
      <w:divBdr>
        <w:top w:val="none" w:sz="0" w:space="0" w:color="auto"/>
        <w:left w:val="none" w:sz="0" w:space="0" w:color="auto"/>
        <w:bottom w:val="none" w:sz="0" w:space="0" w:color="auto"/>
        <w:right w:val="none" w:sz="0" w:space="0" w:color="auto"/>
      </w:divBdr>
    </w:div>
    <w:div w:id="515968148">
      <w:bodyDiv w:val="1"/>
      <w:marLeft w:val="0"/>
      <w:marRight w:val="0"/>
      <w:marTop w:val="0"/>
      <w:marBottom w:val="0"/>
      <w:divBdr>
        <w:top w:val="none" w:sz="0" w:space="0" w:color="auto"/>
        <w:left w:val="none" w:sz="0" w:space="0" w:color="auto"/>
        <w:bottom w:val="none" w:sz="0" w:space="0" w:color="auto"/>
        <w:right w:val="none" w:sz="0" w:space="0" w:color="auto"/>
      </w:divBdr>
    </w:div>
    <w:div w:id="516045273">
      <w:bodyDiv w:val="1"/>
      <w:marLeft w:val="0"/>
      <w:marRight w:val="0"/>
      <w:marTop w:val="0"/>
      <w:marBottom w:val="0"/>
      <w:divBdr>
        <w:top w:val="none" w:sz="0" w:space="0" w:color="auto"/>
        <w:left w:val="none" w:sz="0" w:space="0" w:color="auto"/>
        <w:bottom w:val="none" w:sz="0" w:space="0" w:color="auto"/>
        <w:right w:val="none" w:sz="0" w:space="0" w:color="auto"/>
      </w:divBdr>
    </w:div>
    <w:div w:id="516047213">
      <w:bodyDiv w:val="1"/>
      <w:marLeft w:val="0"/>
      <w:marRight w:val="0"/>
      <w:marTop w:val="0"/>
      <w:marBottom w:val="0"/>
      <w:divBdr>
        <w:top w:val="none" w:sz="0" w:space="0" w:color="auto"/>
        <w:left w:val="none" w:sz="0" w:space="0" w:color="auto"/>
        <w:bottom w:val="none" w:sz="0" w:space="0" w:color="auto"/>
        <w:right w:val="none" w:sz="0" w:space="0" w:color="auto"/>
      </w:divBdr>
    </w:div>
    <w:div w:id="516119346">
      <w:bodyDiv w:val="1"/>
      <w:marLeft w:val="0"/>
      <w:marRight w:val="0"/>
      <w:marTop w:val="0"/>
      <w:marBottom w:val="0"/>
      <w:divBdr>
        <w:top w:val="none" w:sz="0" w:space="0" w:color="auto"/>
        <w:left w:val="none" w:sz="0" w:space="0" w:color="auto"/>
        <w:bottom w:val="none" w:sz="0" w:space="0" w:color="auto"/>
        <w:right w:val="none" w:sz="0" w:space="0" w:color="auto"/>
      </w:divBdr>
    </w:div>
    <w:div w:id="516193062">
      <w:bodyDiv w:val="1"/>
      <w:marLeft w:val="0"/>
      <w:marRight w:val="0"/>
      <w:marTop w:val="0"/>
      <w:marBottom w:val="0"/>
      <w:divBdr>
        <w:top w:val="none" w:sz="0" w:space="0" w:color="auto"/>
        <w:left w:val="none" w:sz="0" w:space="0" w:color="auto"/>
        <w:bottom w:val="none" w:sz="0" w:space="0" w:color="auto"/>
        <w:right w:val="none" w:sz="0" w:space="0" w:color="auto"/>
      </w:divBdr>
    </w:div>
    <w:div w:id="516307531">
      <w:bodyDiv w:val="1"/>
      <w:marLeft w:val="0"/>
      <w:marRight w:val="0"/>
      <w:marTop w:val="0"/>
      <w:marBottom w:val="0"/>
      <w:divBdr>
        <w:top w:val="none" w:sz="0" w:space="0" w:color="auto"/>
        <w:left w:val="none" w:sz="0" w:space="0" w:color="auto"/>
        <w:bottom w:val="none" w:sz="0" w:space="0" w:color="auto"/>
        <w:right w:val="none" w:sz="0" w:space="0" w:color="auto"/>
      </w:divBdr>
    </w:div>
    <w:div w:id="516311519">
      <w:bodyDiv w:val="1"/>
      <w:marLeft w:val="0"/>
      <w:marRight w:val="0"/>
      <w:marTop w:val="0"/>
      <w:marBottom w:val="0"/>
      <w:divBdr>
        <w:top w:val="none" w:sz="0" w:space="0" w:color="auto"/>
        <w:left w:val="none" w:sz="0" w:space="0" w:color="auto"/>
        <w:bottom w:val="none" w:sz="0" w:space="0" w:color="auto"/>
        <w:right w:val="none" w:sz="0" w:space="0" w:color="auto"/>
      </w:divBdr>
    </w:div>
    <w:div w:id="516385340">
      <w:bodyDiv w:val="1"/>
      <w:marLeft w:val="0"/>
      <w:marRight w:val="0"/>
      <w:marTop w:val="0"/>
      <w:marBottom w:val="0"/>
      <w:divBdr>
        <w:top w:val="none" w:sz="0" w:space="0" w:color="auto"/>
        <w:left w:val="none" w:sz="0" w:space="0" w:color="auto"/>
        <w:bottom w:val="none" w:sz="0" w:space="0" w:color="auto"/>
        <w:right w:val="none" w:sz="0" w:space="0" w:color="auto"/>
      </w:divBdr>
    </w:div>
    <w:div w:id="516425475">
      <w:bodyDiv w:val="1"/>
      <w:marLeft w:val="0"/>
      <w:marRight w:val="0"/>
      <w:marTop w:val="0"/>
      <w:marBottom w:val="0"/>
      <w:divBdr>
        <w:top w:val="none" w:sz="0" w:space="0" w:color="auto"/>
        <w:left w:val="none" w:sz="0" w:space="0" w:color="auto"/>
        <w:bottom w:val="none" w:sz="0" w:space="0" w:color="auto"/>
        <w:right w:val="none" w:sz="0" w:space="0" w:color="auto"/>
      </w:divBdr>
    </w:div>
    <w:div w:id="516504163">
      <w:bodyDiv w:val="1"/>
      <w:marLeft w:val="0"/>
      <w:marRight w:val="0"/>
      <w:marTop w:val="0"/>
      <w:marBottom w:val="0"/>
      <w:divBdr>
        <w:top w:val="none" w:sz="0" w:space="0" w:color="auto"/>
        <w:left w:val="none" w:sz="0" w:space="0" w:color="auto"/>
        <w:bottom w:val="none" w:sz="0" w:space="0" w:color="auto"/>
        <w:right w:val="none" w:sz="0" w:space="0" w:color="auto"/>
      </w:divBdr>
    </w:div>
    <w:div w:id="516507127">
      <w:bodyDiv w:val="1"/>
      <w:marLeft w:val="0"/>
      <w:marRight w:val="0"/>
      <w:marTop w:val="0"/>
      <w:marBottom w:val="0"/>
      <w:divBdr>
        <w:top w:val="none" w:sz="0" w:space="0" w:color="auto"/>
        <w:left w:val="none" w:sz="0" w:space="0" w:color="auto"/>
        <w:bottom w:val="none" w:sz="0" w:space="0" w:color="auto"/>
        <w:right w:val="none" w:sz="0" w:space="0" w:color="auto"/>
      </w:divBdr>
    </w:div>
    <w:div w:id="516693448">
      <w:bodyDiv w:val="1"/>
      <w:marLeft w:val="0"/>
      <w:marRight w:val="0"/>
      <w:marTop w:val="0"/>
      <w:marBottom w:val="0"/>
      <w:divBdr>
        <w:top w:val="none" w:sz="0" w:space="0" w:color="auto"/>
        <w:left w:val="none" w:sz="0" w:space="0" w:color="auto"/>
        <w:bottom w:val="none" w:sz="0" w:space="0" w:color="auto"/>
        <w:right w:val="none" w:sz="0" w:space="0" w:color="auto"/>
      </w:divBdr>
    </w:div>
    <w:div w:id="516818638">
      <w:bodyDiv w:val="1"/>
      <w:marLeft w:val="0"/>
      <w:marRight w:val="0"/>
      <w:marTop w:val="0"/>
      <w:marBottom w:val="0"/>
      <w:divBdr>
        <w:top w:val="none" w:sz="0" w:space="0" w:color="auto"/>
        <w:left w:val="none" w:sz="0" w:space="0" w:color="auto"/>
        <w:bottom w:val="none" w:sz="0" w:space="0" w:color="auto"/>
        <w:right w:val="none" w:sz="0" w:space="0" w:color="auto"/>
      </w:divBdr>
    </w:div>
    <w:div w:id="516896198">
      <w:bodyDiv w:val="1"/>
      <w:marLeft w:val="0"/>
      <w:marRight w:val="0"/>
      <w:marTop w:val="0"/>
      <w:marBottom w:val="0"/>
      <w:divBdr>
        <w:top w:val="none" w:sz="0" w:space="0" w:color="auto"/>
        <w:left w:val="none" w:sz="0" w:space="0" w:color="auto"/>
        <w:bottom w:val="none" w:sz="0" w:space="0" w:color="auto"/>
        <w:right w:val="none" w:sz="0" w:space="0" w:color="auto"/>
      </w:divBdr>
    </w:div>
    <w:div w:id="517043033">
      <w:bodyDiv w:val="1"/>
      <w:marLeft w:val="0"/>
      <w:marRight w:val="0"/>
      <w:marTop w:val="0"/>
      <w:marBottom w:val="0"/>
      <w:divBdr>
        <w:top w:val="none" w:sz="0" w:space="0" w:color="auto"/>
        <w:left w:val="none" w:sz="0" w:space="0" w:color="auto"/>
        <w:bottom w:val="none" w:sz="0" w:space="0" w:color="auto"/>
        <w:right w:val="none" w:sz="0" w:space="0" w:color="auto"/>
      </w:divBdr>
    </w:div>
    <w:div w:id="517158506">
      <w:bodyDiv w:val="1"/>
      <w:marLeft w:val="0"/>
      <w:marRight w:val="0"/>
      <w:marTop w:val="0"/>
      <w:marBottom w:val="0"/>
      <w:divBdr>
        <w:top w:val="none" w:sz="0" w:space="0" w:color="auto"/>
        <w:left w:val="none" w:sz="0" w:space="0" w:color="auto"/>
        <w:bottom w:val="none" w:sz="0" w:space="0" w:color="auto"/>
        <w:right w:val="none" w:sz="0" w:space="0" w:color="auto"/>
      </w:divBdr>
    </w:div>
    <w:div w:id="517162190">
      <w:bodyDiv w:val="1"/>
      <w:marLeft w:val="0"/>
      <w:marRight w:val="0"/>
      <w:marTop w:val="0"/>
      <w:marBottom w:val="0"/>
      <w:divBdr>
        <w:top w:val="none" w:sz="0" w:space="0" w:color="auto"/>
        <w:left w:val="none" w:sz="0" w:space="0" w:color="auto"/>
        <w:bottom w:val="none" w:sz="0" w:space="0" w:color="auto"/>
        <w:right w:val="none" w:sz="0" w:space="0" w:color="auto"/>
      </w:divBdr>
    </w:div>
    <w:div w:id="517235780">
      <w:bodyDiv w:val="1"/>
      <w:marLeft w:val="0"/>
      <w:marRight w:val="0"/>
      <w:marTop w:val="0"/>
      <w:marBottom w:val="0"/>
      <w:divBdr>
        <w:top w:val="none" w:sz="0" w:space="0" w:color="auto"/>
        <w:left w:val="none" w:sz="0" w:space="0" w:color="auto"/>
        <w:bottom w:val="none" w:sz="0" w:space="0" w:color="auto"/>
        <w:right w:val="none" w:sz="0" w:space="0" w:color="auto"/>
      </w:divBdr>
    </w:div>
    <w:div w:id="517238336">
      <w:bodyDiv w:val="1"/>
      <w:marLeft w:val="0"/>
      <w:marRight w:val="0"/>
      <w:marTop w:val="0"/>
      <w:marBottom w:val="0"/>
      <w:divBdr>
        <w:top w:val="none" w:sz="0" w:space="0" w:color="auto"/>
        <w:left w:val="none" w:sz="0" w:space="0" w:color="auto"/>
        <w:bottom w:val="none" w:sz="0" w:space="0" w:color="auto"/>
        <w:right w:val="none" w:sz="0" w:space="0" w:color="auto"/>
      </w:divBdr>
    </w:div>
    <w:div w:id="517238817">
      <w:bodyDiv w:val="1"/>
      <w:marLeft w:val="0"/>
      <w:marRight w:val="0"/>
      <w:marTop w:val="0"/>
      <w:marBottom w:val="0"/>
      <w:divBdr>
        <w:top w:val="none" w:sz="0" w:space="0" w:color="auto"/>
        <w:left w:val="none" w:sz="0" w:space="0" w:color="auto"/>
        <w:bottom w:val="none" w:sz="0" w:space="0" w:color="auto"/>
        <w:right w:val="none" w:sz="0" w:space="0" w:color="auto"/>
      </w:divBdr>
    </w:div>
    <w:div w:id="517425346">
      <w:bodyDiv w:val="1"/>
      <w:marLeft w:val="0"/>
      <w:marRight w:val="0"/>
      <w:marTop w:val="0"/>
      <w:marBottom w:val="0"/>
      <w:divBdr>
        <w:top w:val="none" w:sz="0" w:space="0" w:color="auto"/>
        <w:left w:val="none" w:sz="0" w:space="0" w:color="auto"/>
        <w:bottom w:val="none" w:sz="0" w:space="0" w:color="auto"/>
        <w:right w:val="none" w:sz="0" w:space="0" w:color="auto"/>
      </w:divBdr>
    </w:div>
    <w:div w:id="517474299">
      <w:bodyDiv w:val="1"/>
      <w:marLeft w:val="0"/>
      <w:marRight w:val="0"/>
      <w:marTop w:val="0"/>
      <w:marBottom w:val="0"/>
      <w:divBdr>
        <w:top w:val="none" w:sz="0" w:space="0" w:color="auto"/>
        <w:left w:val="none" w:sz="0" w:space="0" w:color="auto"/>
        <w:bottom w:val="none" w:sz="0" w:space="0" w:color="auto"/>
        <w:right w:val="none" w:sz="0" w:space="0" w:color="auto"/>
      </w:divBdr>
    </w:div>
    <w:div w:id="517474867">
      <w:bodyDiv w:val="1"/>
      <w:marLeft w:val="0"/>
      <w:marRight w:val="0"/>
      <w:marTop w:val="0"/>
      <w:marBottom w:val="0"/>
      <w:divBdr>
        <w:top w:val="none" w:sz="0" w:space="0" w:color="auto"/>
        <w:left w:val="none" w:sz="0" w:space="0" w:color="auto"/>
        <w:bottom w:val="none" w:sz="0" w:space="0" w:color="auto"/>
        <w:right w:val="none" w:sz="0" w:space="0" w:color="auto"/>
      </w:divBdr>
    </w:div>
    <w:div w:id="517503329">
      <w:bodyDiv w:val="1"/>
      <w:marLeft w:val="0"/>
      <w:marRight w:val="0"/>
      <w:marTop w:val="0"/>
      <w:marBottom w:val="0"/>
      <w:divBdr>
        <w:top w:val="none" w:sz="0" w:space="0" w:color="auto"/>
        <w:left w:val="none" w:sz="0" w:space="0" w:color="auto"/>
        <w:bottom w:val="none" w:sz="0" w:space="0" w:color="auto"/>
        <w:right w:val="none" w:sz="0" w:space="0" w:color="auto"/>
      </w:divBdr>
    </w:div>
    <w:div w:id="517618523">
      <w:bodyDiv w:val="1"/>
      <w:marLeft w:val="0"/>
      <w:marRight w:val="0"/>
      <w:marTop w:val="0"/>
      <w:marBottom w:val="0"/>
      <w:divBdr>
        <w:top w:val="none" w:sz="0" w:space="0" w:color="auto"/>
        <w:left w:val="none" w:sz="0" w:space="0" w:color="auto"/>
        <w:bottom w:val="none" w:sz="0" w:space="0" w:color="auto"/>
        <w:right w:val="none" w:sz="0" w:space="0" w:color="auto"/>
      </w:divBdr>
    </w:div>
    <w:div w:id="517669145">
      <w:bodyDiv w:val="1"/>
      <w:marLeft w:val="0"/>
      <w:marRight w:val="0"/>
      <w:marTop w:val="0"/>
      <w:marBottom w:val="0"/>
      <w:divBdr>
        <w:top w:val="none" w:sz="0" w:space="0" w:color="auto"/>
        <w:left w:val="none" w:sz="0" w:space="0" w:color="auto"/>
        <w:bottom w:val="none" w:sz="0" w:space="0" w:color="auto"/>
        <w:right w:val="none" w:sz="0" w:space="0" w:color="auto"/>
      </w:divBdr>
    </w:div>
    <w:div w:id="517744115">
      <w:bodyDiv w:val="1"/>
      <w:marLeft w:val="0"/>
      <w:marRight w:val="0"/>
      <w:marTop w:val="0"/>
      <w:marBottom w:val="0"/>
      <w:divBdr>
        <w:top w:val="none" w:sz="0" w:space="0" w:color="auto"/>
        <w:left w:val="none" w:sz="0" w:space="0" w:color="auto"/>
        <w:bottom w:val="none" w:sz="0" w:space="0" w:color="auto"/>
        <w:right w:val="none" w:sz="0" w:space="0" w:color="auto"/>
      </w:divBdr>
    </w:div>
    <w:div w:id="517812539">
      <w:bodyDiv w:val="1"/>
      <w:marLeft w:val="0"/>
      <w:marRight w:val="0"/>
      <w:marTop w:val="0"/>
      <w:marBottom w:val="0"/>
      <w:divBdr>
        <w:top w:val="none" w:sz="0" w:space="0" w:color="auto"/>
        <w:left w:val="none" w:sz="0" w:space="0" w:color="auto"/>
        <w:bottom w:val="none" w:sz="0" w:space="0" w:color="auto"/>
        <w:right w:val="none" w:sz="0" w:space="0" w:color="auto"/>
      </w:divBdr>
    </w:div>
    <w:div w:id="517813705">
      <w:bodyDiv w:val="1"/>
      <w:marLeft w:val="0"/>
      <w:marRight w:val="0"/>
      <w:marTop w:val="0"/>
      <w:marBottom w:val="0"/>
      <w:divBdr>
        <w:top w:val="none" w:sz="0" w:space="0" w:color="auto"/>
        <w:left w:val="none" w:sz="0" w:space="0" w:color="auto"/>
        <w:bottom w:val="none" w:sz="0" w:space="0" w:color="auto"/>
        <w:right w:val="none" w:sz="0" w:space="0" w:color="auto"/>
      </w:divBdr>
    </w:div>
    <w:div w:id="517819270">
      <w:bodyDiv w:val="1"/>
      <w:marLeft w:val="0"/>
      <w:marRight w:val="0"/>
      <w:marTop w:val="0"/>
      <w:marBottom w:val="0"/>
      <w:divBdr>
        <w:top w:val="none" w:sz="0" w:space="0" w:color="auto"/>
        <w:left w:val="none" w:sz="0" w:space="0" w:color="auto"/>
        <w:bottom w:val="none" w:sz="0" w:space="0" w:color="auto"/>
        <w:right w:val="none" w:sz="0" w:space="0" w:color="auto"/>
      </w:divBdr>
    </w:div>
    <w:div w:id="517819469">
      <w:bodyDiv w:val="1"/>
      <w:marLeft w:val="0"/>
      <w:marRight w:val="0"/>
      <w:marTop w:val="0"/>
      <w:marBottom w:val="0"/>
      <w:divBdr>
        <w:top w:val="none" w:sz="0" w:space="0" w:color="auto"/>
        <w:left w:val="none" w:sz="0" w:space="0" w:color="auto"/>
        <w:bottom w:val="none" w:sz="0" w:space="0" w:color="auto"/>
        <w:right w:val="none" w:sz="0" w:space="0" w:color="auto"/>
      </w:divBdr>
    </w:div>
    <w:div w:id="517886177">
      <w:bodyDiv w:val="1"/>
      <w:marLeft w:val="0"/>
      <w:marRight w:val="0"/>
      <w:marTop w:val="0"/>
      <w:marBottom w:val="0"/>
      <w:divBdr>
        <w:top w:val="none" w:sz="0" w:space="0" w:color="auto"/>
        <w:left w:val="none" w:sz="0" w:space="0" w:color="auto"/>
        <w:bottom w:val="none" w:sz="0" w:space="0" w:color="auto"/>
        <w:right w:val="none" w:sz="0" w:space="0" w:color="auto"/>
      </w:divBdr>
    </w:div>
    <w:div w:id="517892821">
      <w:bodyDiv w:val="1"/>
      <w:marLeft w:val="0"/>
      <w:marRight w:val="0"/>
      <w:marTop w:val="0"/>
      <w:marBottom w:val="0"/>
      <w:divBdr>
        <w:top w:val="none" w:sz="0" w:space="0" w:color="auto"/>
        <w:left w:val="none" w:sz="0" w:space="0" w:color="auto"/>
        <w:bottom w:val="none" w:sz="0" w:space="0" w:color="auto"/>
        <w:right w:val="none" w:sz="0" w:space="0" w:color="auto"/>
      </w:divBdr>
    </w:div>
    <w:div w:id="517936121">
      <w:bodyDiv w:val="1"/>
      <w:marLeft w:val="0"/>
      <w:marRight w:val="0"/>
      <w:marTop w:val="0"/>
      <w:marBottom w:val="0"/>
      <w:divBdr>
        <w:top w:val="none" w:sz="0" w:space="0" w:color="auto"/>
        <w:left w:val="none" w:sz="0" w:space="0" w:color="auto"/>
        <w:bottom w:val="none" w:sz="0" w:space="0" w:color="auto"/>
        <w:right w:val="none" w:sz="0" w:space="0" w:color="auto"/>
      </w:divBdr>
    </w:div>
    <w:div w:id="518083048">
      <w:bodyDiv w:val="1"/>
      <w:marLeft w:val="0"/>
      <w:marRight w:val="0"/>
      <w:marTop w:val="0"/>
      <w:marBottom w:val="0"/>
      <w:divBdr>
        <w:top w:val="none" w:sz="0" w:space="0" w:color="auto"/>
        <w:left w:val="none" w:sz="0" w:space="0" w:color="auto"/>
        <w:bottom w:val="none" w:sz="0" w:space="0" w:color="auto"/>
        <w:right w:val="none" w:sz="0" w:space="0" w:color="auto"/>
      </w:divBdr>
    </w:div>
    <w:div w:id="518085150">
      <w:bodyDiv w:val="1"/>
      <w:marLeft w:val="0"/>
      <w:marRight w:val="0"/>
      <w:marTop w:val="0"/>
      <w:marBottom w:val="0"/>
      <w:divBdr>
        <w:top w:val="none" w:sz="0" w:space="0" w:color="auto"/>
        <w:left w:val="none" w:sz="0" w:space="0" w:color="auto"/>
        <w:bottom w:val="none" w:sz="0" w:space="0" w:color="auto"/>
        <w:right w:val="none" w:sz="0" w:space="0" w:color="auto"/>
      </w:divBdr>
    </w:div>
    <w:div w:id="518160042">
      <w:bodyDiv w:val="1"/>
      <w:marLeft w:val="0"/>
      <w:marRight w:val="0"/>
      <w:marTop w:val="0"/>
      <w:marBottom w:val="0"/>
      <w:divBdr>
        <w:top w:val="none" w:sz="0" w:space="0" w:color="auto"/>
        <w:left w:val="none" w:sz="0" w:space="0" w:color="auto"/>
        <w:bottom w:val="none" w:sz="0" w:space="0" w:color="auto"/>
        <w:right w:val="none" w:sz="0" w:space="0" w:color="auto"/>
      </w:divBdr>
    </w:div>
    <w:div w:id="518204217">
      <w:bodyDiv w:val="1"/>
      <w:marLeft w:val="0"/>
      <w:marRight w:val="0"/>
      <w:marTop w:val="0"/>
      <w:marBottom w:val="0"/>
      <w:divBdr>
        <w:top w:val="none" w:sz="0" w:space="0" w:color="auto"/>
        <w:left w:val="none" w:sz="0" w:space="0" w:color="auto"/>
        <w:bottom w:val="none" w:sz="0" w:space="0" w:color="auto"/>
        <w:right w:val="none" w:sz="0" w:space="0" w:color="auto"/>
      </w:divBdr>
    </w:div>
    <w:div w:id="518395055">
      <w:bodyDiv w:val="1"/>
      <w:marLeft w:val="0"/>
      <w:marRight w:val="0"/>
      <w:marTop w:val="0"/>
      <w:marBottom w:val="0"/>
      <w:divBdr>
        <w:top w:val="none" w:sz="0" w:space="0" w:color="auto"/>
        <w:left w:val="none" w:sz="0" w:space="0" w:color="auto"/>
        <w:bottom w:val="none" w:sz="0" w:space="0" w:color="auto"/>
        <w:right w:val="none" w:sz="0" w:space="0" w:color="auto"/>
      </w:divBdr>
    </w:div>
    <w:div w:id="518473428">
      <w:bodyDiv w:val="1"/>
      <w:marLeft w:val="0"/>
      <w:marRight w:val="0"/>
      <w:marTop w:val="0"/>
      <w:marBottom w:val="0"/>
      <w:divBdr>
        <w:top w:val="none" w:sz="0" w:space="0" w:color="auto"/>
        <w:left w:val="none" w:sz="0" w:space="0" w:color="auto"/>
        <w:bottom w:val="none" w:sz="0" w:space="0" w:color="auto"/>
        <w:right w:val="none" w:sz="0" w:space="0" w:color="auto"/>
      </w:divBdr>
    </w:div>
    <w:div w:id="518473772">
      <w:bodyDiv w:val="1"/>
      <w:marLeft w:val="0"/>
      <w:marRight w:val="0"/>
      <w:marTop w:val="0"/>
      <w:marBottom w:val="0"/>
      <w:divBdr>
        <w:top w:val="none" w:sz="0" w:space="0" w:color="auto"/>
        <w:left w:val="none" w:sz="0" w:space="0" w:color="auto"/>
        <w:bottom w:val="none" w:sz="0" w:space="0" w:color="auto"/>
        <w:right w:val="none" w:sz="0" w:space="0" w:color="auto"/>
      </w:divBdr>
    </w:div>
    <w:div w:id="518475364">
      <w:bodyDiv w:val="1"/>
      <w:marLeft w:val="0"/>
      <w:marRight w:val="0"/>
      <w:marTop w:val="0"/>
      <w:marBottom w:val="0"/>
      <w:divBdr>
        <w:top w:val="none" w:sz="0" w:space="0" w:color="auto"/>
        <w:left w:val="none" w:sz="0" w:space="0" w:color="auto"/>
        <w:bottom w:val="none" w:sz="0" w:space="0" w:color="auto"/>
        <w:right w:val="none" w:sz="0" w:space="0" w:color="auto"/>
      </w:divBdr>
    </w:div>
    <w:div w:id="518542836">
      <w:bodyDiv w:val="1"/>
      <w:marLeft w:val="0"/>
      <w:marRight w:val="0"/>
      <w:marTop w:val="0"/>
      <w:marBottom w:val="0"/>
      <w:divBdr>
        <w:top w:val="none" w:sz="0" w:space="0" w:color="auto"/>
        <w:left w:val="none" w:sz="0" w:space="0" w:color="auto"/>
        <w:bottom w:val="none" w:sz="0" w:space="0" w:color="auto"/>
        <w:right w:val="none" w:sz="0" w:space="0" w:color="auto"/>
      </w:divBdr>
    </w:div>
    <w:div w:id="518545899">
      <w:bodyDiv w:val="1"/>
      <w:marLeft w:val="0"/>
      <w:marRight w:val="0"/>
      <w:marTop w:val="0"/>
      <w:marBottom w:val="0"/>
      <w:divBdr>
        <w:top w:val="none" w:sz="0" w:space="0" w:color="auto"/>
        <w:left w:val="none" w:sz="0" w:space="0" w:color="auto"/>
        <w:bottom w:val="none" w:sz="0" w:space="0" w:color="auto"/>
        <w:right w:val="none" w:sz="0" w:space="0" w:color="auto"/>
      </w:divBdr>
    </w:div>
    <w:div w:id="518616944">
      <w:bodyDiv w:val="1"/>
      <w:marLeft w:val="0"/>
      <w:marRight w:val="0"/>
      <w:marTop w:val="0"/>
      <w:marBottom w:val="0"/>
      <w:divBdr>
        <w:top w:val="none" w:sz="0" w:space="0" w:color="auto"/>
        <w:left w:val="none" w:sz="0" w:space="0" w:color="auto"/>
        <w:bottom w:val="none" w:sz="0" w:space="0" w:color="auto"/>
        <w:right w:val="none" w:sz="0" w:space="0" w:color="auto"/>
      </w:divBdr>
    </w:div>
    <w:div w:id="518618529">
      <w:bodyDiv w:val="1"/>
      <w:marLeft w:val="0"/>
      <w:marRight w:val="0"/>
      <w:marTop w:val="0"/>
      <w:marBottom w:val="0"/>
      <w:divBdr>
        <w:top w:val="none" w:sz="0" w:space="0" w:color="auto"/>
        <w:left w:val="none" w:sz="0" w:space="0" w:color="auto"/>
        <w:bottom w:val="none" w:sz="0" w:space="0" w:color="auto"/>
        <w:right w:val="none" w:sz="0" w:space="0" w:color="auto"/>
      </w:divBdr>
    </w:div>
    <w:div w:id="518666840">
      <w:bodyDiv w:val="1"/>
      <w:marLeft w:val="0"/>
      <w:marRight w:val="0"/>
      <w:marTop w:val="0"/>
      <w:marBottom w:val="0"/>
      <w:divBdr>
        <w:top w:val="none" w:sz="0" w:space="0" w:color="auto"/>
        <w:left w:val="none" w:sz="0" w:space="0" w:color="auto"/>
        <w:bottom w:val="none" w:sz="0" w:space="0" w:color="auto"/>
        <w:right w:val="none" w:sz="0" w:space="0" w:color="auto"/>
      </w:divBdr>
    </w:div>
    <w:div w:id="518740607">
      <w:bodyDiv w:val="1"/>
      <w:marLeft w:val="0"/>
      <w:marRight w:val="0"/>
      <w:marTop w:val="0"/>
      <w:marBottom w:val="0"/>
      <w:divBdr>
        <w:top w:val="none" w:sz="0" w:space="0" w:color="auto"/>
        <w:left w:val="none" w:sz="0" w:space="0" w:color="auto"/>
        <w:bottom w:val="none" w:sz="0" w:space="0" w:color="auto"/>
        <w:right w:val="none" w:sz="0" w:space="0" w:color="auto"/>
      </w:divBdr>
    </w:div>
    <w:div w:id="518814042">
      <w:bodyDiv w:val="1"/>
      <w:marLeft w:val="0"/>
      <w:marRight w:val="0"/>
      <w:marTop w:val="0"/>
      <w:marBottom w:val="0"/>
      <w:divBdr>
        <w:top w:val="none" w:sz="0" w:space="0" w:color="auto"/>
        <w:left w:val="none" w:sz="0" w:space="0" w:color="auto"/>
        <w:bottom w:val="none" w:sz="0" w:space="0" w:color="auto"/>
        <w:right w:val="none" w:sz="0" w:space="0" w:color="auto"/>
      </w:divBdr>
    </w:div>
    <w:div w:id="519048270">
      <w:bodyDiv w:val="1"/>
      <w:marLeft w:val="0"/>
      <w:marRight w:val="0"/>
      <w:marTop w:val="0"/>
      <w:marBottom w:val="0"/>
      <w:divBdr>
        <w:top w:val="none" w:sz="0" w:space="0" w:color="auto"/>
        <w:left w:val="none" w:sz="0" w:space="0" w:color="auto"/>
        <w:bottom w:val="none" w:sz="0" w:space="0" w:color="auto"/>
        <w:right w:val="none" w:sz="0" w:space="0" w:color="auto"/>
      </w:divBdr>
    </w:div>
    <w:div w:id="519202219">
      <w:bodyDiv w:val="1"/>
      <w:marLeft w:val="0"/>
      <w:marRight w:val="0"/>
      <w:marTop w:val="0"/>
      <w:marBottom w:val="0"/>
      <w:divBdr>
        <w:top w:val="none" w:sz="0" w:space="0" w:color="auto"/>
        <w:left w:val="none" w:sz="0" w:space="0" w:color="auto"/>
        <w:bottom w:val="none" w:sz="0" w:space="0" w:color="auto"/>
        <w:right w:val="none" w:sz="0" w:space="0" w:color="auto"/>
      </w:divBdr>
    </w:div>
    <w:div w:id="519314374">
      <w:bodyDiv w:val="1"/>
      <w:marLeft w:val="0"/>
      <w:marRight w:val="0"/>
      <w:marTop w:val="0"/>
      <w:marBottom w:val="0"/>
      <w:divBdr>
        <w:top w:val="none" w:sz="0" w:space="0" w:color="auto"/>
        <w:left w:val="none" w:sz="0" w:space="0" w:color="auto"/>
        <w:bottom w:val="none" w:sz="0" w:space="0" w:color="auto"/>
        <w:right w:val="none" w:sz="0" w:space="0" w:color="auto"/>
      </w:divBdr>
    </w:div>
    <w:div w:id="519321520">
      <w:bodyDiv w:val="1"/>
      <w:marLeft w:val="0"/>
      <w:marRight w:val="0"/>
      <w:marTop w:val="0"/>
      <w:marBottom w:val="0"/>
      <w:divBdr>
        <w:top w:val="none" w:sz="0" w:space="0" w:color="auto"/>
        <w:left w:val="none" w:sz="0" w:space="0" w:color="auto"/>
        <w:bottom w:val="none" w:sz="0" w:space="0" w:color="auto"/>
        <w:right w:val="none" w:sz="0" w:space="0" w:color="auto"/>
      </w:divBdr>
    </w:div>
    <w:div w:id="519321538">
      <w:bodyDiv w:val="1"/>
      <w:marLeft w:val="0"/>
      <w:marRight w:val="0"/>
      <w:marTop w:val="0"/>
      <w:marBottom w:val="0"/>
      <w:divBdr>
        <w:top w:val="none" w:sz="0" w:space="0" w:color="auto"/>
        <w:left w:val="none" w:sz="0" w:space="0" w:color="auto"/>
        <w:bottom w:val="none" w:sz="0" w:space="0" w:color="auto"/>
        <w:right w:val="none" w:sz="0" w:space="0" w:color="auto"/>
      </w:divBdr>
    </w:div>
    <w:div w:id="519322853">
      <w:bodyDiv w:val="1"/>
      <w:marLeft w:val="0"/>
      <w:marRight w:val="0"/>
      <w:marTop w:val="0"/>
      <w:marBottom w:val="0"/>
      <w:divBdr>
        <w:top w:val="none" w:sz="0" w:space="0" w:color="auto"/>
        <w:left w:val="none" w:sz="0" w:space="0" w:color="auto"/>
        <w:bottom w:val="none" w:sz="0" w:space="0" w:color="auto"/>
        <w:right w:val="none" w:sz="0" w:space="0" w:color="auto"/>
      </w:divBdr>
    </w:div>
    <w:div w:id="519467209">
      <w:bodyDiv w:val="1"/>
      <w:marLeft w:val="0"/>
      <w:marRight w:val="0"/>
      <w:marTop w:val="0"/>
      <w:marBottom w:val="0"/>
      <w:divBdr>
        <w:top w:val="none" w:sz="0" w:space="0" w:color="auto"/>
        <w:left w:val="none" w:sz="0" w:space="0" w:color="auto"/>
        <w:bottom w:val="none" w:sz="0" w:space="0" w:color="auto"/>
        <w:right w:val="none" w:sz="0" w:space="0" w:color="auto"/>
      </w:divBdr>
    </w:div>
    <w:div w:id="519469561">
      <w:bodyDiv w:val="1"/>
      <w:marLeft w:val="0"/>
      <w:marRight w:val="0"/>
      <w:marTop w:val="0"/>
      <w:marBottom w:val="0"/>
      <w:divBdr>
        <w:top w:val="none" w:sz="0" w:space="0" w:color="auto"/>
        <w:left w:val="none" w:sz="0" w:space="0" w:color="auto"/>
        <w:bottom w:val="none" w:sz="0" w:space="0" w:color="auto"/>
        <w:right w:val="none" w:sz="0" w:space="0" w:color="auto"/>
      </w:divBdr>
    </w:div>
    <w:div w:id="519589439">
      <w:bodyDiv w:val="1"/>
      <w:marLeft w:val="0"/>
      <w:marRight w:val="0"/>
      <w:marTop w:val="0"/>
      <w:marBottom w:val="0"/>
      <w:divBdr>
        <w:top w:val="none" w:sz="0" w:space="0" w:color="auto"/>
        <w:left w:val="none" w:sz="0" w:space="0" w:color="auto"/>
        <w:bottom w:val="none" w:sz="0" w:space="0" w:color="auto"/>
        <w:right w:val="none" w:sz="0" w:space="0" w:color="auto"/>
      </w:divBdr>
    </w:div>
    <w:div w:id="519658831">
      <w:bodyDiv w:val="1"/>
      <w:marLeft w:val="0"/>
      <w:marRight w:val="0"/>
      <w:marTop w:val="0"/>
      <w:marBottom w:val="0"/>
      <w:divBdr>
        <w:top w:val="none" w:sz="0" w:space="0" w:color="auto"/>
        <w:left w:val="none" w:sz="0" w:space="0" w:color="auto"/>
        <w:bottom w:val="none" w:sz="0" w:space="0" w:color="auto"/>
        <w:right w:val="none" w:sz="0" w:space="0" w:color="auto"/>
      </w:divBdr>
    </w:div>
    <w:div w:id="519776941">
      <w:bodyDiv w:val="1"/>
      <w:marLeft w:val="0"/>
      <w:marRight w:val="0"/>
      <w:marTop w:val="0"/>
      <w:marBottom w:val="0"/>
      <w:divBdr>
        <w:top w:val="none" w:sz="0" w:space="0" w:color="auto"/>
        <w:left w:val="none" w:sz="0" w:space="0" w:color="auto"/>
        <w:bottom w:val="none" w:sz="0" w:space="0" w:color="auto"/>
        <w:right w:val="none" w:sz="0" w:space="0" w:color="auto"/>
      </w:divBdr>
    </w:div>
    <w:div w:id="519779178">
      <w:bodyDiv w:val="1"/>
      <w:marLeft w:val="0"/>
      <w:marRight w:val="0"/>
      <w:marTop w:val="0"/>
      <w:marBottom w:val="0"/>
      <w:divBdr>
        <w:top w:val="none" w:sz="0" w:space="0" w:color="auto"/>
        <w:left w:val="none" w:sz="0" w:space="0" w:color="auto"/>
        <w:bottom w:val="none" w:sz="0" w:space="0" w:color="auto"/>
        <w:right w:val="none" w:sz="0" w:space="0" w:color="auto"/>
      </w:divBdr>
    </w:div>
    <w:div w:id="519782246">
      <w:bodyDiv w:val="1"/>
      <w:marLeft w:val="0"/>
      <w:marRight w:val="0"/>
      <w:marTop w:val="0"/>
      <w:marBottom w:val="0"/>
      <w:divBdr>
        <w:top w:val="none" w:sz="0" w:space="0" w:color="auto"/>
        <w:left w:val="none" w:sz="0" w:space="0" w:color="auto"/>
        <w:bottom w:val="none" w:sz="0" w:space="0" w:color="auto"/>
        <w:right w:val="none" w:sz="0" w:space="0" w:color="auto"/>
      </w:divBdr>
    </w:div>
    <w:div w:id="519901795">
      <w:bodyDiv w:val="1"/>
      <w:marLeft w:val="0"/>
      <w:marRight w:val="0"/>
      <w:marTop w:val="0"/>
      <w:marBottom w:val="0"/>
      <w:divBdr>
        <w:top w:val="none" w:sz="0" w:space="0" w:color="auto"/>
        <w:left w:val="none" w:sz="0" w:space="0" w:color="auto"/>
        <w:bottom w:val="none" w:sz="0" w:space="0" w:color="auto"/>
        <w:right w:val="none" w:sz="0" w:space="0" w:color="auto"/>
      </w:divBdr>
    </w:div>
    <w:div w:id="520172523">
      <w:bodyDiv w:val="1"/>
      <w:marLeft w:val="0"/>
      <w:marRight w:val="0"/>
      <w:marTop w:val="0"/>
      <w:marBottom w:val="0"/>
      <w:divBdr>
        <w:top w:val="none" w:sz="0" w:space="0" w:color="auto"/>
        <w:left w:val="none" w:sz="0" w:space="0" w:color="auto"/>
        <w:bottom w:val="none" w:sz="0" w:space="0" w:color="auto"/>
        <w:right w:val="none" w:sz="0" w:space="0" w:color="auto"/>
      </w:divBdr>
    </w:div>
    <w:div w:id="520507326">
      <w:bodyDiv w:val="1"/>
      <w:marLeft w:val="0"/>
      <w:marRight w:val="0"/>
      <w:marTop w:val="0"/>
      <w:marBottom w:val="0"/>
      <w:divBdr>
        <w:top w:val="none" w:sz="0" w:space="0" w:color="auto"/>
        <w:left w:val="none" w:sz="0" w:space="0" w:color="auto"/>
        <w:bottom w:val="none" w:sz="0" w:space="0" w:color="auto"/>
        <w:right w:val="none" w:sz="0" w:space="0" w:color="auto"/>
      </w:divBdr>
    </w:div>
    <w:div w:id="520511510">
      <w:bodyDiv w:val="1"/>
      <w:marLeft w:val="0"/>
      <w:marRight w:val="0"/>
      <w:marTop w:val="0"/>
      <w:marBottom w:val="0"/>
      <w:divBdr>
        <w:top w:val="none" w:sz="0" w:space="0" w:color="auto"/>
        <w:left w:val="none" w:sz="0" w:space="0" w:color="auto"/>
        <w:bottom w:val="none" w:sz="0" w:space="0" w:color="auto"/>
        <w:right w:val="none" w:sz="0" w:space="0" w:color="auto"/>
      </w:divBdr>
    </w:div>
    <w:div w:id="520558466">
      <w:bodyDiv w:val="1"/>
      <w:marLeft w:val="0"/>
      <w:marRight w:val="0"/>
      <w:marTop w:val="0"/>
      <w:marBottom w:val="0"/>
      <w:divBdr>
        <w:top w:val="none" w:sz="0" w:space="0" w:color="auto"/>
        <w:left w:val="none" w:sz="0" w:space="0" w:color="auto"/>
        <w:bottom w:val="none" w:sz="0" w:space="0" w:color="auto"/>
        <w:right w:val="none" w:sz="0" w:space="0" w:color="auto"/>
      </w:divBdr>
    </w:div>
    <w:div w:id="520627868">
      <w:bodyDiv w:val="1"/>
      <w:marLeft w:val="0"/>
      <w:marRight w:val="0"/>
      <w:marTop w:val="0"/>
      <w:marBottom w:val="0"/>
      <w:divBdr>
        <w:top w:val="none" w:sz="0" w:space="0" w:color="auto"/>
        <w:left w:val="none" w:sz="0" w:space="0" w:color="auto"/>
        <w:bottom w:val="none" w:sz="0" w:space="0" w:color="auto"/>
        <w:right w:val="none" w:sz="0" w:space="0" w:color="auto"/>
      </w:divBdr>
    </w:div>
    <w:div w:id="520708802">
      <w:bodyDiv w:val="1"/>
      <w:marLeft w:val="0"/>
      <w:marRight w:val="0"/>
      <w:marTop w:val="0"/>
      <w:marBottom w:val="0"/>
      <w:divBdr>
        <w:top w:val="none" w:sz="0" w:space="0" w:color="auto"/>
        <w:left w:val="none" w:sz="0" w:space="0" w:color="auto"/>
        <w:bottom w:val="none" w:sz="0" w:space="0" w:color="auto"/>
        <w:right w:val="none" w:sz="0" w:space="0" w:color="auto"/>
      </w:divBdr>
    </w:div>
    <w:div w:id="520775428">
      <w:bodyDiv w:val="1"/>
      <w:marLeft w:val="0"/>
      <w:marRight w:val="0"/>
      <w:marTop w:val="0"/>
      <w:marBottom w:val="0"/>
      <w:divBdr>
        <w:top w:val="none" w:sz="0" w:space="0" w:color="auto"/>
        <w:left w:val="none" w:sz="0" w:space="0" w:color="auto"/>
        <w:bottom w:val="none" w:sz="0" w:space="0" w:color="auto"/>
        <w:right w:val="none" w:sz="0" w:space="0" w:color="auto"/>
      </w:divBdr>
    </w:div>
    <w:div w:id="520775435">
      <w:bodyDiv w:val="1"/>
      <w:marLeft w:val="0"/>
      <w:marRight w:val="0"/>
      <w:marTop w:val="0"/>
      <w:marBottom w:val="0"/>
      <w:divBdr>
        <w:top w:val="none" w:sz="0" w:space="0" w:color="auto"/>
        <w:left w:val="none" w:sz="0" w:space="0" w:color="auto"/>
        <w:bottom w:val="none" w:sz="0" w:space="0" w:color="auto"/>
        <w:right w:val="none" w:sz="0" w:space="0" w:color="auto"/>
      </w:divBdr>
    </w:div>
    <w:div w:id="520776228">
      <w:bodyDiv w:val="1"/>
      <w:marLeft w:val="0"/>
      <w:marRight w:val="0"/>
      <w:marTop w:val="0"/>
      <w:marBottom w:val="0"/>
      <w:divBdr>
        <w:top w:val="none" w:sz="0" w:space="0" w:color="auto"/>
        <w:left w:val="none" w:sz="0" w:space="0" w:color="auto"/>
        <w:bottom w:val="none" w:sz="0" w:space="0" w:color="auto"/>
        <w:right w:val="none" w:sz="0" w:space="0" w:color="auto"/>
      </w:divBdr>
    </w:div>
    <w:div w:id="520823655">
      <w:bodyDiv w:val="1"/>
      <w:marLeft w:val="0"/>
      <w:marRight w:val="0"/>
      <w:marTop w:val="0"/>
      <w:marBottom w:val="0"/>
      <w:divBdr>
        <w:top w:val="none" w:sz="0" w:space="0" w:color="auto"/>
        <w:left w:val="none" w:sz="0" w:space="0" w:color="auto"/>
        <w:bottom w:val="none" w:sz="0" w:space="0" w:color="auto"/>
        <w:right w:val="none" w:sz="0" w:space="0" w:color="auto"/>
      </w:divBdr>
    </w:div>
    <w:div w:id="520900285">
      <w:bodyDiv w:val="1"/>
      <w:marLeft w:val="0"/>
      <w:marRight w:val="0"/>
      <w:marTop w:val="0"/>
      <w:marBottom w:val="0"/>
      <w:divBdr>
        <w:top w:val="none" w:sz="0" w:space="0" w:color="auto"/>
        <w:left w:val="none" w:sz="0" w:space="0" w:color="auto"/>
        <w:bottom w:val="none" w:sz="0" w:space="0" w:color="auto"/>
        <w:right w:val="none" w:sz="0" w:space="0" w:color="auto"/>
      </w:divBdr>
    </w:div>
    <w:div w:id="520977862">
      <w:bodyDiv w:val="1"/>
      <w:marLeft w:val="0"/>
      <w:marRight w:val="0"/>
      <w:marTop w:val="0"/>
      <w:marBottom w:val="0"/>
      <w:divBdr>
        <w:top w:val="none" w:sz="0" w:space="0" w:color="auto"/>
        <w:left w:val="none" w:sz="0" w:space="0" w:color="auto"/>
        <w:bottom w:val="none" w:sz="0" w:space="0" w:color="auto"/>
        <w:right w:val="none" w:sz="0" w:space="0" w:color="auto"/>
      </w:divBdr>
    </w:div>
    <w:div w:id="521016634">
      <w:bodyDiv w:val="1"/>
      <w:marLeft w:val="0"/>
      <w:marRight w:val="0"/>
      <w:marTop w:val="0"/>
      <w:marBottom w:val="0"/>
      <w:divBdr>
        <w:top w:val="none" w:sz="0" w:space="0" w:color="auto"/>
        <w:left w:val="none" w:sz="0" w:space="0" w:color="auto"/>
        <w:bottom w:val="none" w:sz="0" w:space="0" w:color="auto"/>
        <w:right w:val="none" w:sz="0" w:space="0" w:color="auto"/>
      </w:divBdr>
    </w:div>
    <w:div w:id="521018788">
      <w:bodyDiv w:val="1"/>
      <w:marLeft w:val="0"/>
      <w:marRight w:val="0"/>
      <w:marTop w:val="0"/>
      <w:marBottom w:val="0"/>
      <w:divBdr>
        <w:top w:val="none" w:sz="0" w:space="0" w:color="auto"/>
        <w:left w:val="none" w:sz="0" w:space="0" w:color="auto"/>
        <w:bottom w:val="none" w:sz="0" w:space="0" w:color="auto"/>
        <w:right w:val="none" w:sz="0" w:space="0" w:color="auto"/>
      </w:divBdr>
    </w:div>
    <w:div w:id="521019323">
      <w:bodyDiv w:val="1"/>
      <w:marLeft w:val="0"/>
      <w:marRight w:val="0"/>
      <w:marTop w:val="0"/>
      <w:marBottom w:val="0"/>
      <w:divBdr>
        <w:top w:val="none" w:sz="0" w:space="0" w:color="auto"/>
        <w:left w:val="none" w:sz="0" w:space="0" w:color="auto"/>
        <w:bottom w:val="none" w:sz="0" w:space="0" w:color="auto"/>
        <w:right w:val="none" w:sz="0" w:space="0" w:color="auto"/>
      </w:divBdr>
    </w:div>
    <w:div w:id="521091180">
      <w:bodyDiv w:val="1"/>
      <w:marLeft w:val="0"/>
      <w:marRight w:val="0"/>
      <w:marTop w:val="0"/>
      <w:marBottom w:val="0"/>
      <w:divBdr>
        <w:top w:val="none" w:sz="0" w:space="0" w:color="auto"/>
        <w:left w:val="none" w:sz="0" w:space="0" w:color="auto"/>
        <w:bottom w:val="none" w:sz="0" w:space="0" w:color="auto"/>
        <w:right w:val="none" w:sz="0" w:space="0" w:color="auto"/>
      </w:divBdr>
    </w:div>
    <w:div w:id="521091860">
      <w:bodyDiv w:val="1"/>
      <w:marLeft w:val="0"/>
      <w:marRight w:val="0"/>
      <w:marTop w:val="0"/>
      <w:marBottom w:val="0"/>
      <w:divBdr>
        <w:top w:val="none" w:sz="0" w:space="0" w:color="auto"/>
        <w:left w:val="none" w:sz="0" w:space="0" w:color="auto"/>
        <w:bottom w:val="none" w:sz="0" w:space="0" w:color="auto"/>
        <w:right w:val="none" w:sz="0" w:space="0" w:color="auto"/>
      </w:divBdr>
    </w:div>
    <w:div w:id="521095826">
      <w:bodyDiv w:val="1"/>
      <w:marLeft w:val="0"/>
      <w:marRight w:val="0"/>
      <w:marTop w:val="0"/>
      <w:marBottom w:val="0"/>
      <w:divBdr>
        <w:top w:val="none" w:sz="0" w:space="0" w:color="auto"/>
        <w:left w:val="none" w:sz="0" w:space="0" w:color="auto"/>
        <w:bottom w:val="none" w:sz="0" w:space="0" w:color="auto"/>
        <w:right w:val="none" w:sz="0" w:space="0" w:color="auto"/>
      </w:divBdr>
    </w:div>
    <w:div w:id="521165973">
      <w:bodyDiv w:val="1"/>
      <w:marLeft w:val="0"/>
      <w:marRight w:val="0"/>
      <w:marTop w:val="0"/>
      <w:marBottom w:val="0"/>
      <w:divBdr>
        <w:top w:val="none" w:sz="0" w:space="0" w:color="auto"/>
        <w:left w:val="none" w:sz="0" w:space="0" w:color="auto"/>
        <w:bottom w:val="none" w:sz="0" w:space="0" w:color="auto"/>
        <w:right w:val="none" w:sz="0" w:space="0" w:color="auto"/>
      </w:divBdr>
    </w:div>
    <w:div w:id="521281039">
      <w:bodyDiv w:val="1"/>
      <w:marLeft w:val="0"/>
      <w:marRight w:val="0"/>
      <w:marTop w:val="0"/>
      <w:marBottom w:val="0"/>
      <w:divBdr>
        <w:top w:val="none" w:sz="0" w:space="0" w:color="auto"/>
        <w:left w:val="none" w:sz="0" w:space="0" w:color="auto"/>
        <w:bottom w:val="none" w:sz="0" w:space="0" w:color="auto"/>
        <w:right w:val="none" w:sz="0" w:space="0" w:color="auto"/>
      </w:divBdr>
    </w:div>
    <w:div w:id="521281885">
      <w:bodyDiv w:val="1"/>
      <w:marLeft w:val="0"/>
      <w:marRight w:val="0"/>
      <w:marTop w:val="0"/>
      <w:marBottom w:val="0"/>
      <w:divBdr>
        <w:top w:val="none" w:sz="0" w:space="0" w:color="auto"/>
        <w:left w:val="none" w:sz="0" w:space="0" w:color="auto"/>
        <w:bottom w:val="none" w:sz="0" w:space="0" w:color="auto"/>
        <w:right w:val="none" w:sz="0" w:space="0" w:color="auto"/>
      </w:divBdr>
    </w:div>
    <w:div w:id="521431378">
      <w:bodyDiv w:val="1"/>
      <w:marLeft w:val="0"/>
      <w:marRight w:val="0"/>
      <w:marTop w:val="0"/>
      <w:marBottom w:val="0"/>
      <w:divBdr>
        <w:top w:val="none" w:sz="0" w:space="0" w:color="auto"/>
        <w:left w:val="none" w:sz="0" w:space="0" w:color="auto"/>
        <w:bottom w:val="none" w:sz="0" w:space="0" w:color="auto"/>
        <w:right w:val="none" w:sz="0" w:space="0" w:color="auto"/>
      </w:divBdr>
    </w:div>
    <w:div w:id="521431736">
      <w:bodyDiv w:val="1"/>
      <w:marLeft w:val="0"/>
      <w:marRight w:val="0"/>
      <w:marTop w:val="0"/>
      <w:marBottom w:val="0"/>
      <w:divBdr>
        <w:top w:val="none" w:sz="0" w:space="0" w:color="auto"/>
        <w:left w:val="none" w:sz="0" w:space="0" w:color="auto"/>
        <w:bottom w:val="none" w:sz="0" w:space="0" w:color="auto"/>
        <w:right w:val="none" w:sz="0" w:space="0" w:color="auto"/>
      </w:divBdr>
    </w:div>
    <w:div w:id="521431744">
      <w:bodyDiv w:val="1"/>
      <w:marLeft w:val="0"/>
      <w:marRight w:val="0"/>
      <w:marTop w:val="0"/>
      <w:marBottom w:val="0"/>
      <w:divBdr>
        <w:top w:val="none" w:sz="0" w:space="0" w:color="auto"/>
        <w:left w:val="none" w:sz="0" w:space="0" w:color="auto"/>
        <w:bottom w:val="none" w:sz="0" w:space="0" w:color="auto"/>
        <w:right w:val="none" w:sz="0" w:space="0" w:color="auto"/>
      </w:divBdr>
    </w:div>
    <w:div w:id="521435526">
      <w:bodyDiv w:val="1"/>
      <w:marLeft w:val="0"/>
      <w:marRight w:val="0"/>
      <w:marTop w:val="0"/>
      <w:marBottom w:val="0"/>
      <w:divBdr>
        <w:top w:val="none" w:sz="0" w:space="0" w:color="auto"/>
        <w:left w:val="none" w:sz="0" w:space="0" w:color="auto"/>
        <w:bottom w:val="none" w:sz="0" w:space="0" w:color="auto"/>
        <w:right w:val="none" w:sz="0" w:space="0" w:color="auto"/>
      </w:divBdr>
    </w:div>
    <w:div w:id="521742033">
      <w:bodyDiv w:val="1"/>
      <w:marLeft w:val="0"/>
      <w:marRight w:val="0"/>
      <w:marTop w:val="0"/>
      <w:marBottom w:val="0"/>
      <w:divBdr>
        <w:top w:val="none" w:sz="0" w:space="0" w:color="auto"/>
        <w:left w:val="none" w:sz="0" w:space="0" w:color="auto"/>
        <w:bottom w:val="none" w:sz="0" w:space="0" w:color="auto"/>
        <w:right w:val="none" w:sz="0" w:space="0" w:color="auto"/>
      </w:divBdr>
    </w:div>
    <w:div w:id="521818014">
      <w:bodyDiv w:val="1"/>
      <w:marLeft w:val="0"/>
      <w:marRight w:val="0"/>
      <w:marTop w:val="0"/>
      <w:marBottom w:val="0"/>
      <w:divBdr>
        <w:top w:val="none" w:sz="0" w:space="0" w:color="auto"/>
        <w:left w:val="none" w:sz="0" w:space="0" w:color="auto"/>
        <w:bottom w:val="none" w:sz="0" w:space="0" w:color="auto"/>
        <w:right w:val="none" w:sz="0" w:space="0" w:color="auto"/>
      </w:divBdr>
    </w:div>
    <w:div w:id="521865518">
      <w:bodyDiv w:val="1"/>
      <w:marLeft w:val="0"/>
      <w:marRight w:val="0"/>
      <w:marTop w:val="0"/>
      <w:marBottom w:val="0"/>
      <w:divBdr>
        <w:top w:val="none" w:sz="0" w:space="0" w:color="auto"/>
        <w:left w:val="none" w:sz="0" w:space="0" w:color="auto"/>
        <w:bottom w:val="none" w:sz="0" w:space="0" w:color="auto"/>
        <w:right w:val="none" w:sz="0" w:space="0" w:color="auto"/>
      </w:divBdr>
    </w:div>
    <w:div w:id="521866661">
      <w:bodyDiv w:val="1"/>
      <w:marLeft w:val="0"/>
      <w:marRight w:val="0"/>
      <w:marTop w:val="0"/>
      <w:marBottom w:val="0"/>
      <w:divBdr>
        <w:top w:val="none" w:sz="0" w:space="0" w:color="auto"/>
        <w:left w:val="none" w:sz="0" w:space="0" w:color="auto"/>
        <w:bottom w:val="none" w:sz="0" w:space="0" w:color="auto"/>
        <w:right w:val="none" w:sz="0" w:space="0" w:color="auto"/>
      </w:divBdr>
    </w:div>
    <w:div w:id="521893535">
      <w:bodyDiv w:val="1"/>
      <w:marLeft w:val="0"/>
      <w:marRight w:val="0"/>
      <w:marTop w:val="0"/>
      <w:marBottom w:val="0"/>
      <w:divBdr>
        <w:top w:val="none" w:sz="0" w:space="0" w:color="auto"/>
        <w:left w:val="none" w:sz="0" w:space="0" w:color="auto"/>
        <w:bottom w:val="none" w:sz="0" w:space="0" w:color="auto"/>
        <w:right w:val="none" w:sz="0" w:space="0" w:color="auto"/>
      </w:divBdr>
    </w:div>
    <w:div w:id="521943132">
      <w:bodyDiv w:val="1"/>
      <w:marLeft w:val="0"/>
      <w:marRight w:val="0"/>
      <w:marTop w:val="0"/>
      <w:marBottom w:val="0"/>
      <w:divBdr>
        <w:top w:val="none" w:sz="0" w:space="0" w:color="auto"/>
        <w:left w:val="none" w:sz="0" w:space="0" w:color="auto"/>
        <w:bottom w:val="none" w:sz="0" w:space="0" w:color="auto"/>
        <w:right w:val="none" w:sz="0" w:space="0" w:color="auto"/>
      </w:divBdr>
    </w:div>
    <w:div w:id="522132955">
      <w:bodyDiv w:val="1"/>
      <w:marLeft w:val="0"/>
      <w:marRight w:val="0"/>
      <w:marTop w:val="0"/>
      <w:marBottom w:val="0"/>
      <w:divBdr>
        <w:top w:val="none" w:sz="0" w:space="0" w:color="auto"/>
        <w:left w:val="none" w:sz="0" w:space="0" w:color="auto"/>
        <w:bottom w:val="none" w:sz="0" w:space="0" w:color="auto"/>
        <w:right w:val="none" w:sz="0" w:space="0" w:color="auto"/>
      </w:divBdr>
    </w:div>
    <w:div w:id="522137926">
      <w:bodyDiv w:val="1"/>
      <w:marLeft w:val="0"/>
      <w:marRight w:val="0"/>
      <w:marTop w:val="0"/>
      <w:marBottom w:val="0"/>
      <w:divBdr>
        <w:top w:val="none" w:sz="0" w:space="0" w:color="auto"/>
        <w:left w:val="none" w:sz="0" w:space="0" w:color="auto"/>
        <w:bottom w:val="none" w:sz="0" w:space="0" w:color="auto"/>
        <w:right w:val="none" w:sz="0" w:space="0" w:color="auto"/>
      </w:divBdr>
    </w:div>
    <w:div w:id="522279331">
      <w:bodyDiv w:val="1"/>
      <w:marLeft w:val="0"/>
      <w:marRight w:val="0"/>
      <w:marTop w:val="0"/>
      <w:marBottom w:val="0"/>
      <w:divBdr>
        <w:top w:val="none" w:sz="0" w:space="0" w:color="auto"/>
        <w:left w:val="none" w:sz="0" w:space="0" w:color="auto"/>
        <w:bottom w:val="none" w:sz="0" w:space="0" w:color="auto"/>
        <w:right w:val="none" w:sz="0" w:space="0" w:color="auto"/>
      </w:divBdr>
    </w:div>
    <w:div w:id="522328788">
      <w:bodyDiv w:val="1"/>
      <w:marLeft w:val="0"/>
      <w:marRight w:val="0"/>
      <w:marTop w:val="0"/>
      <w:marBottom w:val="0"/>
      <w:divBdr>
        <w:top w:val="none" w:sz="0" w:space="0" w:color="auto"/>
        <w:left w:val="none" w:sz="0" w:space="0" w:color="auto"/>
        <w:bottom w:val="none" w:sz="0" w:space="0" w:color="auto"/>
        <w:right w:val="none" w:sz="0" w:space="0" w:color="auto"/>
      </w:divBdr>
    </w:div>
    <w:div w:id="522400800">
      <w:bodyDiv w:val="1"/>
      <w:marLeft w:val="0"/>
      <w:marRight w:val="0"/>
      <w:marTop w:val="0"/>
      <w:marBottom w:val="0"/>
      <w:divBdr>
        <w:top w:val="none" w:sz="0" w:space="0" w:color="auto"/>
        <w:left w:val="none" w:sz="0" w:space="0" w:color="auto"/>
        <w:bottom w:val="none" w:sz="0" w:space="0" w:color="auto"/>
        <w:right w:val="none" w:sz="0" w:space="0" w:color="auto"/>
      </w:divBdr>
    </w:div>
    <w:div w:id="522401427">
      <w:bodyDiv w:val="1"/>
      <w:marLeft w:val="0"/>
      <w:marRight w:val="0"/>
      <w:marTop w:val="0"/>
      <w:marBottom w:val="0"/>
      <w:divBdr>
        <w:top w:val="none" w:sz="0" w:space="0" w:color="auto"/>
        <w:left w:val="none" w:sz="0" w:space="0" w:color="auto"/>
        <w:bottom w:val="none" w:sz="0" w:space="0" w:color="auto"/>
        <w:right w:val="none" w:sz="0" w:space="0" w:color="auto"/>
      </w:divBdr>
    </w:div>
    <w:div w:id="522475731">
      <w:bodyDiv w:val="1"/>
      <w:marLeft w:val="0"/>
      <w:marRight w:val="0"/>
      <w:marTop w:val="0"/>
      <w:marBottom w:val="0"/>
      <w:divBdr>
        <w:top w:val="none" w:sz="0" w:space="0" w:color="auto"/>
        <w:left w:val="none" w:sz="0" w:space="0" w:color="auto"/>
        <w:bottom w:val="none" w:sz="0" w:space="0" w:color="auto"/>
        <w:right w:val="none" w:sz="0" w:space="0" w:color="auto"/>
      </w:divBdr>
    </w:div>
    <w:div w:id="522519623">
      <w:bodyDiv w:val="1"/>
      <w:marLeft w:val="0"/>
      <w:marRight w:val="0"/>
      <w:marTop w:val="0"/>
      <w:marBottom w:val="0"/>
      <w:divBdr>
        <w:top w:val="none" w:sz="0" w:space="0" w:color="auto"/>
        <w:left w:val="none" w:sz="0" w:space="0" w:color="auto"/>
        <w:bottom w:val="none" w:sz="0" w:space="0" w:color="auto"/>
        <w:right w:val="none" w:sz="0" w:space="0" w:color="auto"/>
      </w:divBdr>
    </w:div>
    <w:div w:id="522520429">
      <w:bodyDiv w:val="1"/>
      <w:marLeft w:val="0"/>
      <w:marRight w:val="0"/>
      <w:marTop w:val="0"/>
      <w:marBottom w:val="0"/>
      <w:divBdr>
        <w:top w:val="none" w:sz="0" w:space="0" w:color="auto"/>
        <w:left w:val="none" w:sz="0" w:space="0" w:color="auto"/>
        <w:bottom w:val="none" w:sz="0" w:space="0" w:color="auto"/>
        <w:right w:val="none" w:sz="0" w:space="0" w:color="auto"/>
      </w:divBdr>
    </w:div>
    <w:div w:id="522523986">
      <w:bodyDiv w:val="1"/>
      <w:marLeft w:val="0"/>
      <w:marRight w:val="0"/>
      <w:marTop w:val="0"/>
      <w:marBottom w:val="0"/>
      <w:divBdr>
        <w:top w:val="none" w:sz="0" w:space="0" w:color="auto"/>
        <w:left w:val="none" w:sz="0" w:space="0" w:color="auto"/>
        <w:bottom w:val="none" w:sz="0" w:space="0" w:color="auto"/>
        <w:right w:val="none" w:sz="0" w:space="0" w:color="auto"/>
      </w:divBdr>
    </w:div>
    <w:div w:id="522715570">
      <w:bodyDiv w:val="1"/>
      <w:marLeft w:val="0"/>
      <w:marRight w:val="0"/>
      <w:marTop w:val="0"/>
      <w:marBottom w:val="0"/>
      <w:divBdr>
        <w:top w:val="none" w:sz="0" w:space="0" w:color="auto"/>
        <w:left w:val="none" w:sz="0" w:space="0" w:color="auto"/>
        <w:bottom w:val="none" w:sz="0" w:space="0" w:color="auto"/>
        <w:right w:val="none" w:sz="0" w:space="0" w:color="auto"/>
      </w:divBdr>
    </w:div>
    <w:div w:id="522784160">
      <w:bodyDiv w:val="1"/>
      <w:marLeft w:val="0"/>
      <w:marRight w:val="0"/>
      <w:marTop w:val="0"/>
      <w:marBottom w:val="0"/>
      <w:divBdr>
        <w:top w:val="none" w:sz="0" w:space="0" w:color="auto"/>
        <w:left w:val="none" w:sz="0" w:space="0" w:color="auto"/>
        <w:bottom w:val="none" w:sz="0" w:space="0" w:color="auto"/>
        <w:right w:val="none" w:sz="0" w:space="0" w:color="auto"/>
      </w:divBdr>
    </w:div>
    <w:div w:id="522788906">
      <w:bodyDiv w:val="1"/>
      <w:marLeft w:val="0"/>
      <w:marRight w:val="0"/>
      <w:marTop w:val="0"/>
      <w:marBottom w:val="0"/>
      <w:divBdr>
        <w:top w:val="none" w:sz="0" w:space="0" w:color="auto"/>
        <w:left w:val="none" w:sz="0" w:space="0" w:color="auto"/>
        <w:bottom w:val="none" w:sz="0" w:space="0" w:color="auto"/>
        <w:right w:val="none" w:sz="0" w:space="0" w:color="auto"/>
      </w:divBdr>
    </w:div>
    <w:div w:id="522862365">
      <w:bodyDiv w:val="1"/>
      <w:marLeft w:val="0"/>
      <w:marRight w:val="0"/>
      <w:marTop w:val="0"/>
      <w:marBottom w:val="0"/>
      <w:divBdr>
        <w:top w:val="none" w:sz="0" w:space="0" w:color="auto"/>
        <w:left w:val="none" w:sz="0" w:space="0" w:color="auto"/>
        <w:bottom w:val="none" w:sz="0" w:space="0" w:color="auto"/>
        <w:right w:val="none" w:sz="0" w:space="0" w:color="auto"/>
      </w:divBdr>
    </w:div>
    <w:div w:id="522865265">
      <w:bodyDiv w:val="1"/>
      <w:marLeft w:val="0"/>
      <w:marRight w:val="0"/>
      <w:marTop w:val="0"/>
      <w:marBottom w:val="0"/>
      <w:divBdr>
        <w:top w:val="none" w:sz="0" w:space="0" w:color="auto"/>
        <w:left w:val="none" w:sz="0" w:space="0" w:color="auto"/>
        <w:bottom w:val="none" w:sz="0" w:space="0" w:color="auto"/>
        <w:right w:val="none" w:sz="0" w:space="0" w:color="auto"/>
      </w:divBdr>
    </w:div>
    <w:div w:id="522935102">
      <w:bodyDiv w:val="1"/>
      <w:marLeft w:val="0"/>
      <w:marRight w:val="0"/>
      <w:marTop w:val="0"/>
      <w:marBottom w:val="0"/>
      <w:divBdr>
        <w:top w:val="none" w:sz="0" w:space="0" w:color="auto"/>
        <w:left w:val="none" w:sz="0" w:space="0" w:color="auto"/>
        <w:bottom w:val="none" w:sz="0" w:space="0" w:color="auto"/>
        <w:right w:val="none" w:sz="0" w:space="0" w:color="auto"/>
      </w:divBdr>
    </w:div>
    <w:div w:id="522978558">
      <w:bodyDiv w:val="1"/>
      <w:marLeft w:val="0"/>
      <w:marRight w:val="0"/>
      <w:marTop w:val="0"/>
      <w:marBottom w:val="0"/>
      <w:divBdr>
        <w:top w:val="none" w:sz="0" w:space="0" w:color="auto"/>
        <w:left w:val="none" w:sz="0" w:space="0" w:color="auto"/>
        <w:bottom w:val="none" w:sz="0" w:space="0" w:color="auto"/>
        <w:right w:val="none" w:sz="0" w:space="0" w:color="auto"/>
      </w:divBdr>
    </w:div>
    <w:div w:id="522979608">
      <w:bodyDiv w:val="1"/>
      <w:marLeft w:val="0"/>
      <w:marRight w:val="0"/>
      <w:marTop w:val="0"/>
      <w:marBottom w:val="0"/>
      <w:divBdr>
        <w:top w:val="none" w:sz="0" w:space="0" w:color="auto"/>
        <w:left w:val="none" w:sz="0" w:space="0" w:color="auto"/>
        <w:bottom w:val="none" w:sz="0" w:space="0" w:color="auto"/>
        <w:right w:val="none" w:sz="0" w:space="0" w:color="auto"/>
      </w:divBdr>
    </w:div>
    <w:div w:id="523055191">
      <w:bodyDiv w:val="1"/>
      <w:marLeft w:val="0"/>
      <w:marRight w:val="0"/>
      <w:marTop w:val="0"/>
      <w:marBottom w:val="0"/>
      <w:divBdr>
        <w:top w:val="none" w:sz="0" w:space="0" w:color="auto"/>
        <w:left w:val="none" w:sz="0" w:space="0" w:color="auto"/>
        <w:bottom w:val="none" w:sz="0" w:space="0" w:color="auto"/>
        <w:right w:val="none" w:sz="0" w:space="0" w:color="auto"/>
      </w:divBdr>
    </w:div>
    <w:div w:id="523057038">
      <w:bodyDiv w:val="1"/>
      <w:marLeft w:val="0"/>
      <w:marRight w:val="0"/>
      <w:marTop w:val="0"/>
      <w:marBottom w:val="0"/>
      <w:divBdr>
        <w:top w:val="none" w:sz="0" w:space="0" w:color="auto"/>
        <w:left w:val="none" w:sz="0" w:space="0" w:color="auto"/>
        <w:bottom w:val="none" w:sz="0" w:space="0" w:color="auto"/>
        <w:right w:val="none" w:sz="0" w:space="0" w:color="auto"/>
      </w:divBdr>
    </w:div>
    <w:div w:id="523132909">
      <w:bodyDiv w:val="1"/>
      <w:marLeft w:val="0"/>
      <w:marRight w:val="0"/>
      <w:marTop w:val="0"/>
      <w:marBottom w:val="0"/>
      <w:divBdr>
        <w:top w:val="none" w:sz="0" w:space="0" w:color="auto"/>
        <w:left w:val="none" w:sz="0" w:space="0" w:color="auto"/>
        <w:bottom w:val="none" w:sz="0" w:space="0" w:color="auto"/>
        <w:right w:val="none" w:sz="0" w:space="0" w:color="auto"/>
      </w:divBdr>
    </w:div>
    <w:div w:id="523134801">
      <w:bodyDiv w:val="1"/>
      <w:marLeft w:val="0"/>
      <w:marRight w:val="0"/>
      <w:marTop w:val="0"/>
      <w:marBottom w:val="0"/>
      <w:divBdr>
        <w:top w:val="none" w:sz="0" w:space="0" w:color="auto"/>
        <w:left w:val="none" w:sz="0" w:space="0" w:color="auto"/>
        <w:bottom w:val="none" w:sz="0" w:space="0" w:color="auto"/>
        <w:right w:val="none" w:sz="0" w:space="0" w:color="auto"/>
      </w:divBdr>
    </w:div>
    <w:div w:id="523135107">
      <w:bodyDiv w:val="1"/>
      <w:marLeft w:val="0"/>
      <w:marRight w:val="0"/>
      <w:marTop w:val="0"/>
      <w:marBottom w:val="0"/>
      <w:divBdr>
        <w:top w:val="none" w:sz="0" w:space="0" w:color="auto"/>
        <w:left w:val="none" w:sz="0" w:space="0" w:color="auto"/>
        <w:bottom w:val="none" w:sz="0" w:space="0" w:color="auto"/>
        <w:right w:val="none" w:sz="0" w:space="0" w:color="auto"/>
      </w:divBdr>
    </w:div>
    <w:div w:id="523135447">
      <w:bodyDiv w:val="1"/>
      <w:marLeft w:val="0"/>
      <w:marRight w:val="0"/>
      <w:marTop w:val="0"/>
      <w:marBottom w:val="0"/>
      <w:divBdr>
        <w:top w:val="none" w:sz="0" w:space="0" w:color="auto"/>
        <w:left w:val="none" w:sz="0" w:space="0" w:color="auto"/>
        <w:bottom w:val="none" w:sz="0" w:space="0" w:color="auto"/>
        <w:right w:val="none" w:sz="0" w:space="0" w:color="auto"/>
      </w:divBdr>
    </w:div>
    <w:div w:id="523175913">
      <w:bodyDiv w:val="1"/>
      <w:marLeft w:val="0"/>
      <w:marRight w:val="0"/>
      <w:marTop w:val="0"/>
      <w:marBottom w:val="0"/>
      <w:divBdr>
        <w:top w:val="none" w:sz="0" w:space="0" w:color="auto"/>
        <w:left w:val="none" w:sz="0" w:space="0" w:color="auto"/>
        <w:bottom w:val="none" w:sz="0" w:space="0" w:color="auto"/>
        <w:right w:val="none" w:sz="0" w:space="0" w:color="auto"/>
      </w:divBdr>
    </w:div>
    <w:div w:id="523251357">
      <w:bodyDiv w:val="1"/>
      <w:marLeft w:val="0"/>
      <w:marRight w:val="0"/>
      <w:marTop w:val="0"/>
      <w:marBottom w:val="0"/>
      <w:divBdr>
        <w:top w:val="none" w:sz="0" w:space="0" w:color="auto"/>
        <w:left w:val="none" w:sz="0" w:space="0" w:color="auto"/>
        <w:bottom w:val="none" w:sz="0" w:space="0" w:color="auto"/>
        <w:right w:val="none" w:sz="0" w:space="0" w:color="auto"/>
      </w:divBdr>
    </w:div>
    <w:div w:id="523325706">
      <w:bodyDiv w:val="1"/>
      <w:marLeft w:val="0"/>
      <w:marRight w:val="0"/>
      <w:marTop w:val="0"/>
      <w:marBottom w:val="0"/>
      <w:divBdr>
        <w:top w:val="none" w:sz="0" w:space="0" w:color="auto"/>
        <w:left w:val="none" w:sz="0" w:space="0" w:color="auto"/>
        <w:bottom w:val="none" w:sz="0" w:space="0" w:color="auto"/>
        <w:right w:val="none" w:sz="0" w:space="0" w:color="auto"/>
      </w:divBdr>
    </w:div>
    <w:div w:id="523326620">
      <w:bodyDiv w:val="1"/>
      <w:marLeft w:val="0"/>
      <w:marRight w:val="0"/>
      <w:marTop w:val="0"/>
      <w:marBottom w:val="0"/>
      <w:divBdr>
        <w:top w:val="none" w:sz="0" w:space="0" w:color="auto"/>
        <w:left w:val="none" w:sz="0" w:space="0" w:color="auto"/>
        <w:bottom w:val="none" w:sz="0" w:space="0" w:color="auto"/>
        <w:right w:val="none" w:sz="0" w:space="0" w:color="auto"/>
      </w:divBdr>
    </w:div>
    <w:div w:id="523328011">
      <w:bodyDiv w:val="1"/>
      <w:marLeft w:val="0"/>
      <w:marRight w:val="0"/>
      <w:marTop w:val="0"/>
      <w:marBottom w:val="0"/>
      <w:divBdr>
        <w:top w:val="none" w:sz="0" w:space="0" w:color="auto"/>
        <w:left w:val="none" w:sz="0" w:space="0" w:color="auto"/>
        <w:bottom w:val="none" w:sz="0" w:space="0" w:color="auto"/>
        <w:right w:val="none" w:sz="0" w:space="0" w:color="auto"/>
      </w:divBdr>
    </w:div>
    <w:div w:id="523398978">
      <w:bodyDiv w:val="1"/>
      <w:marLeft w:val="0"/>
      <w:marRight w:val="0"/>
      <w:marTop w:val="0"/>
      <w:marBottom w:val="0"/>
      <w:divBdr>
        <w:top w:val="none" w:sz="0" w:space="0" w:color="auto"/>
        <w:left w:val="none" w:sz="0" w:space="0" w:color="auto"/>
        <w:bottom w:val="none" w:sz="0" w:space="0" w:color="auto"/>
        <w:right w:val="none" w:sz="0" w:space="0" w:color="auto"/>
      </w:divBdr>
    </w:div>
    <w:div w:id="523399225">
      <w:bodyDiv w:val="1"/>
      <w:marLeft w:val="0"/>
      <w:marRight w:val="0"/>
      <w:marTop w:val="0"/>
      <w:marBottom w:val="0"/>
      <w:divBdr>
        <w:top w:val="none" w:sz="0" w:space="0" w:color="auto"/>
        <w:left w:val="none" w:sz="0" w:space="0" w:color="auto"/>
        <w:bottom w:val="none" w:sz="0" w:space="0" w:color="auto"/>
        <w:right w:val="none" w:sz="0" w:space="0" w:color="auto"/>
      </w:divBdr>
    </w:div>
    <w:div w:id="523400168">
      <w:bodyDiv w:val="1"/>
      <w:marLeft w:val="0"/>
      <w:marRight w:val="0"/>
      <w:marTop w:val="0"/>
      <w:marBottom w:val="0"/>
      <w:divBdr>
        <w:top w:val="none" w:sz="0" w:space="0" w:color="auto"/>
        <w:left w:val="none" w:sz="0" w:space="0" w:color="auto"/>
        <w:bottom w:val="none" w:sz="0" w:space="0" w:color="auto"/>
        <w:right w:val="none" w:sz="0" w:space="0" w:color="auto"/>
      </w:divBdr>
    </w:div>
    <w:div w:id="523447939">
      <w:bodyDiv w:val="1"/>
      <w:marLeft w:val="0"/>
      <w:marRight w:val="0"/>
      <w:marTop w:val="0"/>
      <w:marBottom w:val="0"/>
      <w:divBdr>
        <w:top w:val="none" w:sz="0" w:space="0" w:color="auto"/>
        <w:left w:val="none" w:sz="0" w:space="0" w:color="auto"/>
        <w:bottom w:val="none" w:sz="0" w:space="0" w:color="auto"/>
        <w:right w:val="none" w:sz="0" w:space="0" w:color="auto"/>
      </w:divBdr>
    </w:div>
    <w:div w:id="523448351">
      <w:bodyDiv w:val="1"/>
      <w:marLeft w:val="0"/>
      <w:marRight w:val="0"/>
      <w:marTop w:val="0"/>
      <w:marBottom w:val="0"/>
      <w:divBdr>
        <w:top w:val="none" w:sz="0" w:space="0" w:color="auto"/>
        <w:left w:val="none" w:sz="0" w:space="0" w:color="auto"/>
        <w:bottom w:val="none" w:sz="0" w:space="0" w:color="auto"/>
        <w:right w:val="none" w:sz="0" w:space="0" w:color="auto"/>
      </w:divBdr>
    </w:div>
    <w:div w:id="523594176">
      <w:bodyDiv w:val="1"/>
      <w:marLeft w:val="0"/>
      <w:marRight w:val="0"/>
      <w:marTop w:val="0"/>
      <w:marBottom w:val="0"/>
      <w:divBdr>
        <w:top w:val="none" w:sz="0" w:space="0" w:color="auto"/>
        <w:left w:val="none" w:sz="0" w:space="0" w:color="auto"/>
        <w:bottom w:val="none" w:sz="0" w:space="0" w:color="auto"/>
        <w:right w:val="none" w:sz="0" w:space="0" w:color="auto"/>
      </w:divBdr>
    </w:div>
    <w:div w:id="523707921">
      <w:bodyDiv w:val="1"/>
      <w:marLeft w:val="0"/>
      <w:marRight w:val="0"/>
      <w:marTop w:val="0"/>
      <w:marBottom w:val="0"/>
      <w:divBdr>
        <w:top w:val="none" w:sz="0" w:space="0" w:color="auto"/>
        <w:left w:val="none" w:sz="0" w:space="0" w:color="auto"/>
        <w:bottom w:val="none" w:sz="0" w:space="0" w:color="auto"/>
        <w:right w:val="none" w:sz="0" w:space="0" w:color="auto"/>
      </w:divBdr>
    </w:div>
    <w:div w:id="523790517">
      <w:bodyDiv w:val="1"/>
      <w:marLeft w:val="0"/>
      <w:marRight w:val="0"/>
      <w:marTop w:val="0"/>
      <w:marBottom w:val="0"/>
      <w:divBdr>
        <w:top w:val="none" w:sz="0" w:space="0" w:color="auto"/>
        <w:left w:val="none" w:sz="0" w:space="0" w:color="auto"/>
        <w:bottom w:val="none" w:sz="0" w:space="0" w:color="auto"/>
        <w:right w:val="none" w:sz="0" w:space="0" w:color="auto"/>
      </w:divBdr>
    </w:div>
    <w:div w:id="523832702">
      <w:bodyDiv w:val="1"/>
      <w:marLeft w:val="0"/>
      <w:marRight w:val="0"/>
      <w:marTop w:val="0"/>
      <w:marBottom w:val="0"/>
      <w:divBdr>
        <w:top w:val="none" w:sz="0" w:space="0" w:color="auto"/>
        <w:left w:val="none" w:sz="0" w:space="0" w:color="auto"/>
        <w:bottom w:val="none" w:sz="0" w:space="0" w:color="auto"/>
        <w:right w:val="none" w:sz="0" w:space="0" w:color="auto"/>
      </w:divBdr>
    </w:div>
    <w:div w:id="523860414">
      <w:bodyDiv w:val="1"/>
      <w:marLeft w:val="0"/>
      <w:marRight w:val="0"/>
      <w:marTop w:val="0"/>
      <w:marBottom w:val="0"/>
      <w:divBdr>
        <w:top w:val="none" w:sz="0" w:space="0" w:color="auto"/>
        <w:left w:val="none" w:sz="0" w:space="0" w:color="auto"/>
        <w:bottom w:val="none" w:sz="0" w:space="0" w:color="auto"/>
        <w:right w:val="none" w:sz="0" w:space="0" w:color="auto"/>
      </w:divBdr>
    </w:div>
    <w:div w:id="523860848">
      <w:bodyDiv w:val="1"/>
      <w:marLeft w:val="0"/>
      <w:marRight w:val="0"/>
      <w:marTop w:val="0"/>
      <w:marBottom w:val="0"/>
      <w:divBdr>
        <w:top w:val="none" w:sz="0" w:space="0" w:color="auto"/>
        <w:left w:val="none" w:sz="0" w:space="0" w:color="auto"/>
        <w:bottom w:val="none" w:sz="0" w:space="0" w:color="auto"/>
        <w:right w:val="none" w:sz="0" w:space="0" w:color="auto"/>
      </w:divBdr>
    </w:div>
    <w:div w:id="523984316">
      <w:bodyDiv w:val="1"/>
      <w:marLeft w:val="0"/>
      <w:marRight w:val="0"/>
      <w:marTop w:val="0"/>
      <w:marBottom w:val="0"/>
      <w:divBdr>
        <w:top w:val="none" w:sz="0" w:space="0" w:color="auto"/>
        <w:left w:val="none" w:sz="0" w:space="0" w:color="auto"/>
        <w:bottom w:val="none" w:sz="0" w:space="0" w:color="auto"/>
        <w:right w:val="none" w:sz="0" w:space="0" w:color="auto"/>
      </w:divBdr>
    </w:div>
    <w:div w:id="524052894">
      <w:bodyDiv w:val="1"/>
      <w:marLeft w:val="0"/>
      <w:marRight w:val="0"/>
      <w:marTop w:val="0"/>
      <w:marBottom w:val="0"/>
      <w:divBdr>
        <w:top w:val="none" w:sz="0" w:space="0" w:color="auto"/>
        <w:left w:val="none" w:sz="0" w:space="0" w:color="auto"/>
        <w:bottom w:val="none" w:sz="0" w:space="0" w:color="auto"/>
        <w:right w:val="none" w:sz="0" w:space="0" w:color="auto"/>
      </w:divBdr>
    </w:div>
    <w:div w:id="524053893">
      <w:bodyDiv w:val="1"/>
      <w:marLeft w:val="0"/>
      <w:marRight w:val="0"/>
      <w:marTop w:val="0"/>
      <w:marBottom w:val="0"/>
      <w:divBdr>
        <w:top w:val="none" w:sz="0" w:space="0" w:color="auto"/>
        <w:left w:val="none" w:sz="0" w:space="0" w:color="auto"/>
        <w:bottom w:val="none" w:sz="0" w:space="0" w:color="auto"/>
        <w:right w:val="none" w:sz="0" w:space="0" w:color="auto"/>
      </w:divBdr>
    </w:div>
    <w:div w:id="524174844">
      <w:bodyDiv w:val="1"/>
      <w:marLeft w:val="0"/>
      <w:marRight w:val="0"/>
      <w:marTop w:val="0"/>
      <w:marBottom w:val="0"/>
      <w:divBdr>
        <w:top w:val="none" w:sz="0" w:space="0" w:color="auto"/>
        <w:left w:val="none" w:sz="0" w:space="0" w:color="auto"/>
        <w:bottom w:val="none" w:sz="0" w:space="0" w:color="auto"/>
        <w:right w:val="none" w:sz="0" w:space="0" w:color="auto"/>
      </w:divBdr>
    </w:div>
    <w:div w:id="524245811">
      <w:bodyDiv w:val="1"/>
      <w:marLeft w:val="0"/>
      <w:marRight w:val="0"/>
      <w:marTop w:val="0"/>
      <w:marBottom w:val="0"/>
      <w:divBdr>
        <w:top w:val="none" w:sz="0" w:space="0" w:color="auto"/>
        <w:left w:val="none" w:sz="0" w:space="0" w:color="auto"/>
        <w:bottom w:val="none" w:sz="0" w:space="0" w:color="auto"/>
        <w:right w:val="none" w:sz="0" w:space="0" w:color="auto"/>
      </w:divBdr>
    </w:div>
    <w:div w:id="524245860">
      <w:bodyDiv w:val="1"/>
      <w:marLeft w:val="0"/>
      <w:marRight w:val="0"/>
      <w:marTop w:val="0"/>
      <w:marBottom w:val="0"/>
      <w:divBdr>
        <w:top w:val="none" w:sz="0" w:space="0" w:color="auto"/>
        <w:left w:val="none" w:sz="0" w:space="0" w:color="auto"/>
        <w:bottom w:val="none" w:sz="0" w:space="0" w:color="auto"/>
        <w:right w:val="none" w:sz="0" w:space="0" w:color="auto"/>
      </w:divBdr>
    </w:div>
    <w:div w:id="524290545">
      <w:bodyDiv w:val="1"/>
      <w:marLeft w:val="0"/>
      <w:marRight w:val="0"/>
      <w:marTop w:val="0"/>
      <w:marBottom w:val="0"/>
      <w:divBdr>
        <w:top w:val="none" w:sz="0" w:space="0" w:color="auto"/>
        <w:left w:val="none" w:sz="0" w:space="0" w:color="auto"/>
        <w:bottom w:val="none" w:sz="0" w:space="0" w:color="auto"/>
        <w:right w:val="none" w:sz="0" w:space="0" w:color="auto"/>
      </w:divBdr>
    </w:div>
    <w:div w:id="524368960">
      <w:bodyDiv w:val="1"/>
      <w:marLeft w:val="0"/>
      <w:marRight w:val="0"/>
      <w:marTop w:val="0"/>
      <w:marBottom w:val="0"/>
      <w:divBdr>
        <w:top w:val="none" w:sz="0" w:space="0" w:color="auto"/>
        <w:left w:val="none" w:sz="0" w:space="0" w:color="auto"/>
        <w:bottom w:val="none" w:sz="0" w:space="0" w:color="auto"/>
        <w:right w:val="none" w:sz="0" w:space="0" w:color="auto"/>
      </w:divBdr>
    </w:div>
    <w:div w:id="524371082">
      <w:bodyDiv w:val="1"/>
      <w:marLeft w:val="0"/>
      <w:marRight w:val="0"/>
      <w:marTop w:val="0"/>
      <w:marBottom w:val="0"/>
      <w:divBdr>
        <w:top w:val="none" w:sz="0" w:space="0" w:color="auto"/>
        <w:left w:val="none" w:sz="0" w:space="0" w:color="auto"/>
        <w:bottom w:val="none" w:sz="0" w:space="0" w:color="auto"/>
        <w:right w:val="none" w:sz="0" w:space="0" w:color="auto"/>
      </w:divBdr>
    </w:div>
    <w:div w:id="524372623">
      <w:bodyDiv w:val="1"/>
      <w:marLeft w:val="0"/>
      <w:marRight w:val="0"/>
      <w:marTop w:val="0"/>
      <w:marBottom w:val="0"/>
      <w:divBdr>
        <w:top w:val="none" w:sz="0" w:space="0" w:color="auto"/>
        <w:left w:val="none" w:sz="0" w:space="0" w:color="auto"/>
        <w:bottom w:val="none" w:sz="0" w:space="0" w:color="auto"/>
        <w:right w:val="none" w:sz="0" w:space="0" w:color="auto"/>
      </w:divBdr>
    </w:div>
    <w:div w:id="524439132">
      <w:bodyDiv w:val="1"/>
      <w:marLeft w:val="0"/>
      <w:marRight w:val="0"/>
      <w:marTop w:val="0"/>
      <w:marBottom w:val="0"/>
      <w:divBdr>
        <w:top w:val="none" w:sz="0" w:space="0" w:color="auto"/>
        <w:left w:val="none" w:sz="0" w:space="0" w:color="auto"/>
        <w:bottom w:val="none" w:sz="0" w:space="0" w:color="auto"/>
        <w:right w:val="none" w:sz="0" w:space="0" w:color="auto"/>
      </w:divBdr>
    </w:div>
    <w:div w:id="524440426">
      <w:bodyDiv w:val="1"/>
      <w:marLeft w:val="0"/>
      <w:marRight w:val="0"/>
      <w:marTop w:val="0"/>
      <w:marBottom w:val="0"/>
      <w:divBdr>
        <w:top w:val="none" w:sz="0" w:space="0" w:color="auto"/>
        <w:left w:val="none" w:sz="0" w:space="0" w:color="auto"/>
        <w:bottom w:val="none" w:sz="0" w:space="0" w:color="auto"/>
        <w:right w:val="none" w:sz="0" w:space="0" w:color="auto"/>
      </w:divBdr>
    </w:div>
    <w:div w:id="524485023">
      <w:bodyDiv w:val="1"/>
      <w:marLeft w:val="0"/>
      <w:marRight w:val="0"/>
      <w:marTop w:val="0"/>
      <w:marBottom w:val="0"/>
      <w:divBdr>
        <w:top w:val="none" w:sz="0" w:space="0" w:color="auto"/>
        <w:left w:val="none" w:sz="0" w:space="0" w:color="auto"/>
        <w:bottom w:val="none" w:sz="0" w:space="0" w:color="auto"/>
        <w:right w:val="none" w:sz="0" w:space="0" w:color="auto"/>
      </w:divBdr>
    </w:div>
    <w:div w:id="524559403">
      <w:bodyDiv w:val="1"/>
      <w:marLeft w:val="0"/>
      <w:marRight w:val="0"/>
      <w:marTop w:val="0"/>
      <w:marBottom w:val="0"/>
      <w:divBdr>
        <w:top w:val="none" w:sz="0" w:space="0" w:color="auto"/>
        <w:left w:val="none" w:sz="0" w:space="0" w:color="auto"/>
        <w:bottom w:val="none" w:sz="0" w:space="0" w:color="auto"/>
        <w:right w:val="none" w:sz="0" w:space="0" w:color="auto"/>
      </w:divBdr>
    </w:div>
    <w:div w:id="524564900">
      <w:bodyDiv w:val="1"/>
      <w:marLeft w:val="0"/>
      <w:marRight w:val="0"/>
      <w:marTop w:val="0"/>
      <w:marBottom w:val="0"/>
      <w:divBdr>
        <w:top w:val="none" w:sz="0" w:space="0" w:color="auto"/>
        <w:left w:val="none" w:sz="0" w:space="0" w:color="auto"/>
        <w:bottom w:val="none" w:sz="0" w:space="0" w:color="auto"/>
        <w:right w:val="none" w:sz="0" w:space="0" w:color="auto"/>
      </w:divBdr>
    </w:div>
    <w:div w:id="524708525">
      <w:bodyDiv w:val="1"/>
      <w:marLeft w:val="0"/>
      <w:marRight w:val="0"/>
      <w:marTop w:val="0"/>
      <w:marBottom w:val="0"/>
      <w:divBdr>
        <w:top w:val="none" w:sz="0" w:space="0" w:color="auto"/>
        <w:left w:val="none" w:sz="0" w:space="0" w:color="auto"/>
        <w:bottom w:val="none" w:sz="0" w:space="0" w:color="auto"/>
        <w:right w:val="none" w:sz="0" w:space="0" w:color="auto"/>
      </w:divBdr>
    </w:div>
    <w:div w:id="524750026">
      <w:bodyDiv w:val="1"/>
      <w:marLeft w:val="0"/>
      <w:marRight w:val="0"/>
      <w:marTop w:val="0"/>
      <w:marBottom w:val="0"/>
      <w:divBdr>
        <w:top w:val="none" w:sz="0" w:space="0" w:color="auto"/>
        <w:left w:val="none" w:sz="0" w:space="0" w:color="auto"/>
        <w:bottom w:val="none" w:sz="0" w:space="0" w:color="auto"/>
        <w:right w:val="none" w:sz="0" w:space="0" w:color="auto"/>
      </w:divBdr>
    </w:div>
    <w:div w:id="524756996">
      <w:bodyDiv w:val="1"/>
      <w:marLeft w:val="0"/>
      <w:marRight w:val="0"/>
      <w:marTop w:val="0"/>
      <w:marBottom w:val="0"/>
      <w:divBdr>
        <w:top w:val="none" w:sz="0" w:space="0" w:color="auto"/>
        <w:left w:val="none" w:sz="0" w:space="0" w:color="auto"/>
        <w:bottom w:val="none" w:sz="0" w:space="0" w:color="auto"/>
        <w:right w:val="none" w:sz="0" w:space="0" w:color="auto"/>
      </w:divBdr>
    </w:div>
    <w:div w:id="524945517">
      <w:bodyDiv w:val="1"/>
      <w:marLeft w:val="0"/>
      <w:marRight w:val="0"/>
      <w:marTop w:val="0"/>
      <w:marBottom w:val="0"/>
      <w:divBdr>
        <w:top w:val="none" w:sz="0" w:space="0" w:color="auto"/>
        <w:left w:val="none" w:sz="0" w:space="0" w:color="auto"/>
        <w:bottom w:val="none" w:sz="0" w:space="0" w:color="auto"/>
        <w:right w:val="none" w:sz="0" w:space="0" w:color="auto"/>
      </w:divBdr>
    </w:div>
    <w:div w:id="525142909">
      <w:bodyDiv w:val="1"/>
      <w:marLeft w:val="0"/>
      <w:marRight w:val="0"/>
      <w:marTop w:val="0"/>
      <w:marBottom w:val="0"/>
      <w:divBdr>
        <w:top w:val="none" w:sz="0" w:space="0" w:color="auto"/>
        <w:left w:val="none" w:sz="0" w:space="0" w:color="auto"/>
        <w:bottom w:val="none" w:sz="0" w:space="0" w:color="auto"/>
        <w:right w:val="none" w:sz="0" w:space="0" w:color="auto"/>
      </w:divBdr>
    </w:div>
    <w:div w:id="525172701">
      <w:bodyDiv w:val="1"/>
      <w:marLeft w:val="0"/>
      <w:marRight w:val="0"/>
      <w:marTop w:val="0"/>
      <w:marBottom w:val="0"/>
      <w:divBdr>
        <w:top w:val="none" w:sz="0" w:space="0" w:color="auto"/>
        <w:left w:val="none" w:sz="0" w:space="0" w:color="auto"/>
        <w:bottom w:val="none" w:sz="0" w:space="0" w:color="auto"/>
        <w:right w:val="none" w:sz="0" w:space="0" w:color="auto"/>
      </w:divBdr>
    </w:div>
    <w:div w:id="525214435">
      <w:bodyDiv w:val="1"/>
      <w:marLeft w:val="0"/>
      <w:marRight w:val="0"/>
      <w:marTop w:val="0"/>
      <w:marBottom w:val="0"/>
      <w:divBdr>
        <w:top w:val="none" w:sz="0" w:space="0" w:color="auto"/>
        <w:left w:val="none" w:sz="0" w:space="0" w:color="auto"/>
        <w:bottom w:val="none" w:sz="0" w:space="0" w:color="auto"/>
        <w:right w:val="none" w:sz="0" w:space="0" w:color="auto"/>
      </w:divBdr>
    </w:div>
    <w:div w:id="525215952">
      <w:bodyDiv w:val="1"/>
      <w:marLeft w:val="0"/>
      <w:marRight w:val="0"/>
      <w:marTop w:val="0"/>
      <w:marBottom w:val="0"/>
      <w:divBdr>
        <w:top w:val="none" w:sz="0" w:space="0" w:color="auto"/>
        <w:left w:val="none" w:sz="0" w:space="0" w:color="auto"/>
        <w:bottom w:val="none" w:sz="0" w:space="0" w:color="auto"/>
        <w:right w:val="none" w:sz="0" w:space="0" w:color="auto"/>
      </w:divBdr>
    </w:div>
    <w:div w:id="525219181">
      <w:bodyDiv w:val="1"/>
      <w:marLeft w:val="0"/>
      <w:marRight w:val="0"/>
      <w:marTop w:val="0"/>
      <w:marBottom w:val="0"/>
      <w:divBdr>
        <w:top w:val="none" w:sz="0" w:space="0" w:color="auto"/>
        <w:left w:val="none" w:sz="0" w:space="0" w:color="auto"/>
        <w:bottom w:val="none" w:sz="0" w:space="0" w:color="auto"/>
        <w:right w:val="none" w:sz="0" w:space="0" w:color="auto"/>
      </w:divBdr>
    </w:div>
    <w:div w:id="525292368">
      <w:bodyDiv w:val="1"/>
      <w:marLeft w:val="0"/>
      <w:marRight w:val="0"/>
      <w:marTop w:val="0"/>
      <w:marBottom w:val="0"/>
      <w:divBdr>
        <w:top w:val="none" w:sz="0" w:space="0" w:color="auto"/>
        <w:left w:val="none" w:sz="0" w:space="0" w:color="auto"/>
        <w:bottom w:val="none" w:sz="0" w:space="0" w:color="auto"/>
        <w:right w:val="none" w:sz="0" w:space="0" w:color="auto"/>
      </w:divBdr>
    </w:div>
    <w:div w:id="525486178">
      <w:bodyDiv w:val="1"/>
      <w:marLeft w:val="0"/>
      <w:marRight w:val="0"/>
      <w:marTop w:val="0"/>
      <w:marBottom w:val="0"/>
      <w:divBdr>
        <w:top w:val="none" w:sz="0" w:space="0" w:color="auto"/>
        <w:left w:val="none" w:sz="0" w:space="0" w:color="auto"/>
        <w:bottom w:val="none" w:sz="0" w:space="0" w:color="auto"/>
        <w:right w:val="none" w:sz="0" w:space="0" w:color="auto"/>
      </w:divBdr>
    </w:div>
    <w:div w:id="525486592">
      <w:bodyDiv w:val="1"/>
      <w:marLeft w:val="0"/>
      <w:marRight w:val="0"/>
      <w:marTop w:val="0"/>
      <w:marBottom w:val="0"/>
      <w:divBdr>
        <w:top w:val="none" w:sz="0" w:space="0" w:color="auto"/>
        <w:left w:val="none" w:sz="0" w:space="0" w:color="auto"/>
        <w:bottom w:val="none" w:sz="0" w:space="0" w:color="auto"/>
        <w:right w:val="none" w:sz="0" w:space="0" w:color="auto"/>
      </w:divBdr>
    </w:div>
    <w:div w:id="525488292">
      <w:bodyDiv w:val="1"/>
      <w:marLeft w:val="0"/>
      <w:marRight w:val="0"/>
      <w:marTop w:val="0"/>
      <w:marBottom w:val="0"/>
      <w:divBdr>
        <w:top w:val="none" w:sz="0" w:space="0" w:color="auto"/>
        <w:left w:val="none" w:sz="0" w:space="0" w:color="auto"/>
        <w:bottom w:val="none" w:sz="0" w:space="0" w:color="auto"/>
        <w:right w:val="none" w:sz="0" w:space="0" w:color="auto"/>
      </w:divBdr>
    </w:div>
    <w:div w:id="525561171">
      <w:bodyDiv w:val="1"/>
      <w:marLeft w:val="0"/>
      <w:marRight w:val="0"/>
      <w:marTop w:val="0"/>
      <w:marBottom w:val="0"/>
      <w:divBdr>
        <w:top w:val="none" w:sz="0" w:space="0" w:color="auto"/>
        <w:left w:val="none" w:sz="0" w:space="0" w:color="auto"/>
        <w:bottom w:val="none" w:sz="0" w:space="0" w:color="auto"/>
        <w:right w:val="none" w:sz="0" w:space="0" w:color="auto"/>
      </w:divBdr>
    </w:div>
    <w:div w:id="525600976">
      <w:bodyDiv w:val="1"/>
      <w:marLeft w:val="0"/>
      <w:marRight w:val="0"/>
      <w:marTop w:val="0"/>
      <w:marBottom w:val="0"/>
      <w:divBdr>
        <w:top w:val="none" w:sz="0" w:space="0" w:color="auto"/>
        <w:left w:val="none" w:sz="0" w:space="0" w:color="auto"/>
        <w:bottom w:val="none" w:sz="0" w:space="0" w:color="auto"/>
        <w:right w:val="none" w:sz="0" w:space="0" w:color="auto"/>
      </w:divBdr>
    </w:div>
    <w:div w:id="525602065">
      <w:bodyDiv w:val="1"/>
      <w:marLeft w:val="0"/>
      <w:marRight w:val="0"/>
      <w:marTop w:val="0"/>
      <w:marBottom w:val="0"/>
      <w:divBdr>
        <w:top w:val="none" w:sz="0" w:space="0" w:color="auto"/>
        <w:left w:val="none" w:sz="0" w:space="0" w:color="auto"/>
        <w:bottom w:val="none" w:sz="0" w:space="0" w:color="auto"/>
        <w:right w:val="none" w:sz="0" w:space="0" w:color="auto"/>
      </w:divBdr>
    </w:div>
    <w:div w:id="525606600">
      <w:bodyDiv w:val="1"/>
      <w:marLeft w:val="0"/>
      <w:marRight w:val="0"/>
      <w:marTop w:val="0"/>
      <w:marBottom w:val="0"/>
      <w:divBdr>
        <w:top w:val="none" w:sz="0" w:space="0" w:color="auto"/>
        <w:left w:val="none" w:sz="0" w:space="0" w:color="auto"/>
        <w:bottom w:val="none" w:sz="0" w:space="0" w:color="auto"/>
        <w:right w:val="none" w:sz="0" w:space="0" w:color="auto"/>
      </w:divBdr>
    </w:div>
    <w:div w:id="525607384">
      <w:bodyDiv w:val="1"/>
      <w:marLeft w:val="0"/>
      <w:marRight w:val="0"/>
      <w:marTop w:val="0"/>
      <w:marBottom w:val="0"/>
      <w:divBdr>
        <w:top w:val="none" w:sz="0" w:space="0" w:color="auto"/>
        <w:left w:val="none" w:sz="0" w:space="0" w:color="auto"/>
        <w:bottom w:val="none" w:sz="0" w:space="0" w:color="auto"/>
        <w:right w:val="none" w:sz="0" w:space="0" w:color="auto"/>
      </w:divBdr>
    </w:div>
    <w:div w:id="525750346">
      <w:bodyDiv w:val="1"/>
      <w:marLeft w:val="0"/>
      <w:marRight w:val="0"/>
      <w:marTop w:val="0"/>
      <w:marBottom w:val="0"/>
      <w:divBdr>
        <w:top w:val="none" w:sz="0" w:space="0" w:color="auto"/>
        <w:left w:val="none" w:sz="0" w:space="0" w:color="auto"/>
        <w:bottom w:val="none" w:sz="0" w:space="0" w:color="auto"/>
        <w:right w:val="none" w:sz="0" w:space="0" w:color="auto"/>
      </w:divBdr>
    </w:div>
    <w:div w:id="525757609">
      <w:bodyDiv w:val="1"/>
      <w:marLeft w:val="0"/>
      <w:marRight w:val="0"/>
      <w:marTop w:val="0"/>
      <w:marBottom w:val="0"/>
      <w:divBdr>
        <w:top w:val="none" w:sz="0" w:space="0" w:color="auto"/>
        <w:left w:val="none" w:sz="0" w:space="0" w:color="auto"/>
        <w:bottom w:val="none" w:sz="0" w:space="0" w:color="auto"/>
        <w:right w:val="none" w:sz="0" w:space="0" w:color="auto"/>
      </w:divBdr>
    </w:div>
    <w:div w:id="525868257">
      <w:bodyDiv w:val="1"/>
      <w:marLeft w:val="0"/>
      <w:marRight w:val="0"/>
      <w:marTop w:val="0"/>
      <w:marBottom w:val="0"/>
      <w:divBdr>
        <w:top w:val="none" w:sz="0" w:space="0" w:color="auto"/>
        <w:left w:val="none" w:sz="0" w:space="0" w:color="auto"/>
        <w:bottom w:val="none" w:sz="0" w:space="0" w:color="auto"/>
        <w:right w:val="none" w:sz="0" w:space="0" w:color="auto"/>
      </w:divBdr>
    </w:div>
    <w:div w:id="525868613">
      <w:bodyDiv w:val="1"/>
      <w:marLeft w:val="0"/>
      <w:marRight w:val="0"/>
      <w:marTop w:val="0"/>
      <w:marBottom w:val="0"/>
      <w:divBdr>
        <w:top w:val="none" w:sz="0" w:space="0" w:color="auto"/>
        <w:left w:val="none" w:sz="0" w:space="0" w:color="auto"/>
        <w:bottom w:val="none" w:sz="0" w:space="0" w:color="auto"/>
        <w:right w:val="none" w:sz="0" w:space="0" w:color="auto"/>
      </w:divBdr>
    </w:div>
    <w:div w:id="525873054">
      <w:bodyDiv w:val="1"/>
      <w:marLeft w:val="0"/>
      <w:marRight w:val="0"/>
      <w:marTop w:val="0"/>
      <w:marBottom w:val="0"/>
      <w:divBdr>
        <w:top w:val="none" w:sz="0" w:space="0" w:color="auto"/>
        <w:left w:val="none" w:sz="0" w:space="0" w:color="auto"/>
        <w:bottom w:val="none" w:sz="0" w:space="0" w:color="auto"/>
        <w:right w:val="none" w:sz="0" w:space="0" w:color="auto"/>
      </w:divBdr>
    </w:div>
    <w:div w:id="526017660">
      <w:bodyDiv w:val="1"/>
      <w:marLeft w:val="0"/>
      <w:marRight w:val="0"/>
      <w:marTop w:val="0"/>
      <w:marBottom w:val="0"/>
      <w:divBdr>
        <w:top w:val="none" w:sz="0" w:space="0" w:color="auto"/>
        <w:left w:val="none" w:sz="0" w:space="0" w:color="auto"/>
        <w:bottom w:val="none" w:sz="0" w:space="0" w:color="auto"/>
        <w:right w:val="none" w:sz="0" w:space="0" w:color="auto"/>
      </w:divBdr>
    </w:div>
    <w:div w:id="526018441">
      <w:bodyDiv w:val="1"/>
      <w:marLeft w:val="0"/>
      <w:marRight w:val="0"/>
      <w:marTop w:val="0"/>
      <w:marBottom w:val="0"/>
      <w:divBdr>
        <w:top w:val="none" w:sz="0" w:space="0" w:color="auto"/>
        <w:left w:val="none" w:sz="0" w:space="0" w:color="auto"/>
        <w:bottom w:val="none" w:sz="0" w:space="0" w:color="auto"/>
        <w:right w:val="none" w:sz="0" w:space="0" w:color="auto"/>
      </w:divBdr>
    </w:div>
    <w:div w:id="526019568">
      <w:bodyDiv w:val="1"/>
      <w:marLeft w:val="0"/>
      <w:marRight w:val="0"/>
      <w:marTop w:val="0"/>
      <w:marBottom w:val="0"/>
      <w:divBdr>
        <w:top w:val="none" w:sz="0" w:space="0" w:color="auto"/>
        <w:left w:val="none" w:sz="0" w:space="0" w:color="auto"/>
        <w:bottom w:val="none" w:sz="0" w:space="0" w:color="auto"/>
        <w:right w:val="none" w:sz="0" w:space="0" w:color="auto"/>
      </w:divBdr>
    </w:div>
    <w:div w:id="526143045">
      <w:bodyDiv w:val="1"/>
      <w:marLeft w:val="0"/>
      <w:marRight w:val="0"/>
      <w:marTop w:val="0"/>
      <w:marBottom w:val="0"/>
      <w:divBdr>
        <w:top w:val="none" w:sz="0" w:space="0" w:color="auto"/>
        <w:left w:val="none" w:sz="0" w:space="0" w:color="auto"/>
        <w:bottom w:val="none" w:sz="0" w:space="0" w:color="auto"/>
        <w:right w:val="none" w:sz="0" w:space="0" w:color="auto"/>
      </w:divBdr>
    </w:div>
    <w:div w:id="526145295">
      <w:bodyDiv w:val="1"/>
      <w:marLeft w:val="0"/>
      <w:marRight w:val="0"/>
      <w:marTop w:val="0"/>
      <w:marBottom w:val="0"/>
      <w:divBdr>
        <w:top w:val="none" w:sz="0" w:space="0" w:color="auto"/>
        <w:left w:val="none" w:sz="0" w:space="0" w:color="auto"/>
        <w:bottom w:val="none" w:sz="0" w:space="0" w:color="auto"/>
        <w:right w:val="none" w:sz="0" w:space="0" w:color="auto"/>
      </w:divBdr>
    </w:div>
    <w:div w:id="526212886">
      <w:bodyDiv w:val="1"/>
      <w:marLeft w:val="0"/>
      <w:marRight w:val="0"/>
      <w:marTop w:val="0"/>
      <w:marBottom w:val="0"/>
      <w:divBdr>
        <w:top w:val="none" w:sz="0" w:space="0" w:color="auto"/>
        <w:left w:val="none" w:sz="0" w:space="0" w:color="auto"/>
        <w:bottom w:val="none" w:sz="0" w:space="0" w:color="auto"/>
        <w:right w:val="none" w:sz="0" w:space="0" w:color="auto"/>
      </w:divBdr>
    </w:div>
    <w:div w:id="526218180">
      <w:bodyDiv w:val="1"/>
      <w:marLeft w:val="0"/>
      <w:marRight w:val="0"/>
      <w:marTop w:val="0"/>
      <w:marBottom w:val="0"/>
      <w:divBdr>
        <w:top w:val="none" w:sz="0" w:space="0" w:color="auto"/>
        <w:left w:val="none" w:sz="0" w:space="0" w:color="auto"/>
        <w:bottom w:val="none" w:sz="0" w:space="0" w:color="auto"/>
        <w:right w:val="none" w:sz="0" w:space="0" w:color="auto"/>
      </w:divBdr>
    </w:div>
    <w:div w:id="526261945">
      <w:bodyDiv w:val="1"/>
      <w:marLeft w:val="0"/>
      <w:marRight w:val="0"/>
      <w:marTop w:val="0"/>
      <w:marBottom w:val="0"/>
      <w:divBdr>
        <w:top w:val="none" w:sz="0" w:space="0" w:color="auto"/>
        <w:left w:val="none" w:sz="0" w:space="0" w:color="auto"/>
        <w:bottom w:val="none" w:sz="0" w:space="0" w:color="auto"/>
        <w:right w:val="none" w:sz="0" w:space="0" w:color="auto"/>
      </w:divBdr>
    </w:div>
    <w:div w:id="526286777">
      <w:bodyDiv w:val="1"/>
      <w:marLeft w:val="0"/>
      <w:marRight w:val="0"/>
      <w:marTop w:val="0"/>
      <w:marBottom w:val="0"/>
      <w:divBdr>
        <w:top w:val="none" w:sz="0" w:space="0" w:color="auto"/>
        <w:left w:val="none" w:sz="0" w:space="0" w:color="auto"/>
        <w:bottom w:val="none" w:sz="0" w:space="0" w:color="auto"/>
        <w:right w:val="none" w:sz="0" w:space="0" w:color="auto"/>
      </w:divBdr>
    </w:div>
    <w:div w:id="526405313">
      <w:bodyDiv w:val="1"/>
      <w:marLeft w:val="0"/>
      <w:marRight w:val="0"/>
      <w:marTop w:val="0"/>
      <w:marBottom w:val="0"/>
      <w:divBdr>
        <w:top w:val="none" w:sz="0" w:space="0" w:color="auto"/>
        <w:left w:val="none" w:sz="0" w:space="0" w:color="auto"/>
        <w:bottom w:val="none" w:sz="0" w:space="0" w:color="auto"/>
        <w:right w:val="none" w:sz="0" w:space="0" w:color="auto"/>
      </w:divBdr>
    </w:div>
    <w:div w:id="526410100">
      <w:bodyDiv w:val="1"/>
      <w:marLeft w:val="0"/>
      <w:marRight w:val="0"/>
      <w:marTop w:val="0"/>
      <w:marBottom w:val="0"/>
      <w:divBdr>
        <w:top w:val="none" w:sz="0" w:space="0" w:color="auto"/>
        <w:left w:val="none" w:sz="0" w:space="0" w:color="auto"/>
        <w:bottom w:val="none" w:sz="0" w:space="0" w:color="auto"/>
        <w:right w:val="none" w:sz="0" w:space="0" w:color="auto"/>
      </w:divBdr>
    </w:div>
    <w:div w:id="526410807">
      <w:bodyDiv w:val="1"/>
      <w:marLeft w:val="0"/>
      <w:marRight w:val="0"/>
      <w:marTop w:val="0"/>
      <w:marBottom w:val="0"/>
      <w:divBdr>
        <w:top w:val="none" w:sz="0" w:space="0" w:color="auto"/>
        <w:left w:val="none" w:sz="0" w:space="0" w:color="auto"/>
        <w:bottom w:val="none" w:sz="0" w:space="0" w:color="auto"/>
        <w:right w:val="none" w:sz="0" w:space="0" w:color="auto"/>
      </w:divBdr>
    </w:div>
    <w:div w:id="526602891">
      <w:bodyDiv w:val="1"/>
      <w:marLeft w:val="0"/>
      <w:marRight w:val="0"/>
      <w:marTop w:val="0"/>
      <w:marBottom w:val="0"/>
      <w:divBdr>
        <w:top w:val="none" w:sz="0" w:space="0" w:color="auto"/>
        <w:left w:val="none" w:sz="0" w:space="0" w:color="auto"/>
        <w:bottom w:val="none" w:sz="0" w:space="0" w:color="auto"/>
        <w:right w:val="none" w:sz="0" w:space="0" w:color="auto"/>
      </w:divBdr>
    </w:div>
    <w:div w:id="526722192">
      <w:bodyDiv w:val="1"/>
      <w:marLeft w:val="0"/>
      <w:marRight w:val="0"/>
      <w:marTop w:val="0"/>
      <w:marBottom w:val="0"/>
      <w:divBdr>
        <w:top w:val="none" w:sz="0" w:space="0" w:color="auto"/>
        <w:left w:val="none" w:sz="0" w:space="0" w:color="auto"/>
        <w:bottom w:val="none" w:sz="0" w:space="0" w:color="auto"/>
        <w:right w:val="none" w:sz="0" w:space="0" w:color="auto"/>
      </w:divBdr>
    </w:div>
    <w:div w:id="526873996">
      <w:bodyDiv w:val="1"/>
      <w:marLeft w:val="0"/>
      <w:marRight w:val="0"/>
      <w:marTop w:val="0"/>
      <w:marBottom w:val="0"/>
      <w:divBdr>
        <w:top w:val="none" w:sz="0" w:space="0" w:color="auto"/>
        <w:left w:val="none" w:sz="0" w:space="0" w:color="auto"/>
        <w:bottom w:val="none" w:sz="0" w:space="0" w:color="auto"/>
        <w:right w:val="none" w:sz="0" w:space="0" w:color="auto"/>
      </w:divBdr>
    </w:div>
    <w:div w:id="526987058">
      <w:bodyDiv w:val="1"/>
      <w:marLeft w:val="0"/>
      <w:marRight w:val="0"/>
      <w:marTop w:val="0"/>
      <w:marBottom w:val="0"/>
      <w:divBdr>
        <w:top w:val="none" w:sz="0" w:space="0" w:color="auto"/>
        <w:left w:val="none" w:sz="0" w:space="0" w:color="auto"/>
        <w:bottom w:val="none" w:sz="0" w:space="0" w:color="auto"/>
        <w:right w:val="none" w:sz="0" w:space="0" w:color="auto"/>
      </w:divBdr>
    </w:div>
    <w:div w:id="527111845">
      <w:bodyDiv w:val="1"/>
      <w:marLeft w:val="0"/>
      <w:marRight w:val="0"/>
      <w:marTop w:val="0"/>
      <w:marBottom w:val="0"/>
      <w:divBdr>
        <w:top w:val="none" w:sz="0" w:space="0" w:color="auto"/>
        <w:left w:val="none" w:sz="0" w:space="0" w:color="auto"/>
        <w:bottom w:val="none" w:sz="0" w:space="0" w:color="auto"/>
        <w:right w:val="none" w:sz="0" w:space="0" w:color="auto"/>
      </w:divBdr>
    </w:div>
    <w:div w:id="527184085">
      <w:bodyDiv w:val="1"/>
      <w:marLeft w:val="0"/>
      <w:marRight w:val="0"/>
      <w:marTop w:val="0"/>
      <w:marBottom w:val="0"/>
      <w:divBdr>
        <w:top w:val="none" w:sz="0" w:space="0" w:color="auto"/>
        <w:left w:val="none" w:sz="0" w:space="0" w:color="auto"/>
        <w:bottom w:val="none" w:sz="0" w:space="0" w:color="auto"/>
        <w:right w:val="none" w:sz="0" w:space="0" w:color="auto"/>
      </w:divBdr>
    </w:div>
    <w:div w:id="527253317">
      <w:bodyDiv w:val="1"/>
      <w:marLeft w:val="0"/>
      <w:marRight w:val="0"/>
      <w:marTop w:val="0"/>
      <w:marBottom w:val="0"/>
      <w:divBdr>
        <w:top w:val="none" w:sz="0" w:space="0" w:color="auto"/>
        <w:left w:val="none" w:sz="0" w:space="0" w:color="auto"/>
        <w:bottom w:val="none" w:sz="0" w:space="0" w:color="auto"/>
        <w:right w:val="none" w:sz="0" w:space="0" w:color="auto"/>
      </w:divBdr>
    </w:div>
    <w:div w:id="527257780">
      <w:bodyDiv w:val="1"/>
      <w:marLeft w:val="0"/>
      <w:marRight w:val="0"/>
      <w:marTop w:val="0"/>
      <w:marBottom w:val="0"/>
      <w:divBdr>
        <w:top w:val="none" w:sz="0" w:space="0" w:color="auto"/>
        <w:left w:val="none" w:sz="0" w:space="0" w:color="auto"/>
        <w:bottom w:val="none" w:sz="0" w:space="0" w:color="auto"/>
        <w:right w:val="none" w:sz="0" w:space="0" w:color="auto"/>
      </w:divBdr>
    </w:div>
    <w:div w:id="527262388">
      <w:bodyDiv w:val="1"/>
      <w:marLeft w:val="0"/>
      <w:marRight w:val="0"/>
      <w:marTop w:val="0"/>
      <w:marBottom w:val="0"/>
      <w:divBdr>
        <w:top w:val="none" w:sz="0" w:space="0" w:color="auto"/>
        <w:left w:val="none" w:sz="0" w:space="0" w:color="auto"/>
        <w:bottom w:val="none" w:sz="0" w:space="0" w:color="auto"/>
        <w:right w:val="none" w:sz="0" w:space="0" w:color="auto"/>
      </w:divBdr>
    </w:div>
    <w:div w:id="527333807">
      <w:bodyDiv w:val="1"/>
      <w:marLeft w:val="0"/>
      <w:marRight w:val="0"/>
      <w:marTop w:val="0"/>
      <w:marBottom w:val="0"/>
      <w:divBdr>
        <w:top w:val="none" w:sz="0" w:space="0" w:color="auto"/>
        <w:left w:val="none" w:sz="0" w:space="0" w:color="auto"/>
        <w:bottom w:val="none" w:sz="0" w:space="0" w:color="auto"/>
        <w:right w:val="none" w:sz="0" w:space="0" w:color="auto"/>
      </w:divBdr>
    </w:div>
    <w:div w:id="527448287">
      <w:bodyDiv w:val="1"/>
      <w:marLeft w:val="0"/>
      <w:marRight w:val="0"/>
      <w:marTop w:val="0"/>
      <w:marBottom w:val="0"/>
      <w:divBdr>
        <w:top w:val="none" w:sz="0" w:space="0" w:color="auto"/>
        <w:left w:val="none" w:sz="0" w:space="0" w:color="auto"/>
        <w:bottom w:val="none" w:sz="0" w:space="0" w:color="auto"/>
        <w:right w:val="none" w:sz="0" w:space="0" w:color="auto"/>
      </w:divBdr>
    </w:div>
    <w:div w:id="527449102">
      <w:bodyDiv w:val="1"/>
      <w:marLeft w:val="0"/>
      <w:marRight w:val="0"/>
      <w:marTop w:val="0"/>
      <w:marBottom w:val="0"/>
      <w:divBdr>
        <w:top w:val="none" w:sz="0" w:space="0" w:color="auto"/>
        <w:left w:val="none" w:sz="0" w:space="0" w:color="auto"/>
        <w:bottom w:val="none" w:sz="0" w:space="0" w:color="auto"/>
        <w:right w:val="none" w:sz="0" w:space="0" w:color="auto"/>
      </w:divBdr>
    </w:div>
    <w:div w:id="527524392">
      <w:bodyDiv w:val="1"/>
      <w:marLeft w:val="0"/>
      <w:marRight w:val="0"/>
      <w:marTop w:val="0"/>
      <w:marBottom w:val="0"/>
      <w:divBdr>
        <w:top w:val="none" w:sz="0" w:space="0" w:color="auto"/>
        <w:left w:val="none" w:sz="0" w:space="0" w:color="auto"/>
        <w:bottom w:val="none" w:sz="0" w:space="0" w:color="auto"/>
        <w:right w:val="none" w:sz="0" w:space="0" w:color="auto"/>
      </w:divBdr>
    </w:div>
    <w:div w:id="527565193">
      <w:bodyDiv w:val="1"/>
      <w:marLeft w:val="0"/>
      <w:marRight w:val="0"/>
      <w:marTop w:val="0"/>
      <w:marBottom w:val="0"/>
      <w:divBdr>
        <w:top w:val="none" w:sz="0" w:space="0" w:color="auto"/>
        <w:left w:val="none" w:sz="0" w:space="0" w:color="auto"/>
        <w:bottom w:val="none" w:sz="0" w:space="0" w:color="auto"/>
        <w:right w:val="none" w:sz="0" w:space="0" w:color="auto"/>
      </w:divBdr>
    </w:div>
    <w:div w:id="527572618">
      <w:bodyDiv w:val="1"/>
      <w:marLeft w:val="0"/>
      <w:marRight w:val="0"/>
      <w:marTop w:val="0"/>
      <w:marBottom w:val="0"/>
      <w:divBdr>
        <w:top w:val="none" w:sz="0" w:space="0" w:color="auto"/>
        <w:left w:val="none" w:sz="0" w:space="0" w:color="auto"/>
        <w:bottom w:val="none" w:sz="0" w:space="0" w:color="auto"/>
        <w:right w:val="none" w:sz="0" w:space="0" w:color="auto"/>
      </w:divBdr>
    </w:div>
    <w:div w:id="527596848">
      <w:bodyDiv w:val="1"/>
      <w:marLeft w:val="0"/>
      <w:marRight w:val="0"/>
      <w:marTop w:val="0"/>
      <w:marBottom w:val="0"/>
      <w:divBdr>
        <w:top w:val="none" w:sz="0" w:space="0" w:color="auto"/>
        <w:left w:val="none" w:sz="0" w:space="0" w:color="auto"/>
        <w:bottom w:val="none" w:sz="0" w:space="0" w:color="auto"/>
        <w:right w:val="none" w:sz="0" w:space="0" w:color="auto"/>
      </w:divBdr>
    </w:div>
    <w:div w:id="527715438">
      <w:bodyDiv w:val="1"/>
      <w:marLeft w:val="0"/>
      <w:marRight w:val="0"/>
      <w:marTop w:val="0"/>
      <w:marBottom w:val="0"/>
      <w:divBdr>
        <w:top w:val="none" w:sz="0" w:space="0" w:color="auto"/>
        <w:left w:val="none" w:sz="0" w:space="0" w:color="auto"/>
        <w:bottom w:val="none" w:sz="0" w:space="0" w:color="auto"/>
        <w:right w:val="none" w:sz="0" w:space="0" w:color="auto"/>
      </w:divBdr>
    </w:div>
    <w:div w:id="527840559">
      <w:bodyDiv w:val="1"/>
      <w:marLeft w:val="0"/>
      <w:marRight w:val="0"/>
      <w:marTop w:val="0"/>
      <w:marBottom w:val="0"/>
      <w:divBdr>
        <w:top w:val="none" w:sz="0" w:space="0" w:color="auto"/>
        <w:left w:val="none" w:sz="0" w:space="0" w:color="auto"/>
        <w:bottom w:val="none" w:sz="0" w:space="0" w:color="auto"/>
        <w:right w:val="none" w:sz="0" w:space="0" w:color="auto"/>
      </w:divBdr>
    </w:div>
    <w:div w:id="527840888">
      <w:bodyDiv w:val="1"/>
      <w:marLeft w:val="0"/>
      <w:marRight w:val="0"/>
      <w:marTop w:val="0"/>
      <w:marBottom w:val="0"/>
      <w:divBdr>
        <w:top w:val="none" w:sz="0" w:space="0" w:color="auto"/>
        <w:left w:val="none" w:sz="0" w:space="0" w:color="auto"/>
        <w:bottom w:val="none" w:sz="0" w:space="0" w:color="auto"/>
        <w:right w:val="none" w:sz="0" w:space="0" w:color="auto"/>
      </w:divBdr>
    </w:div>
    <w:div w:id="527911956">
      <w:bodyDiv w:val="1"/>
      <w:marLeft w:val="0"/>
      <w:marRight w:val="0"/>
      <w:marTop w:val="0"/>
      <w:marBottom w:val="0"/>
      <w:divBdr>
        <w:top w:val="none" w:sz="0" w:space="0" w:color="auto"/>
        <w:left w:val="none" w:sz="0" w:space="0" w:color="auto"/>
        <w:bottom w:val="none" w:sz="0" w:space="0" w:color="auto"/>
        <w:right w:val="none" w:sz="0" w:space="0" w:color="auto"/>
      </w:divBdr>
    </w:div>
    <w:div w:id="528027117">
      <w:bodyDiv w:val="1"/>
      <w:marLeft w:val="0"/>
      <w:marRight w:val="0"/>
      <w:marTop w:val="0"/>
      <w:marBottom w:val="0"/>
      <w:divBdr>
        <w:top w:val="none" w:sz="0" w:space="0" w:color="auto"/>
        <w:left w:val="none" w:sz="0" w:space="0" w:color="auto"/>
        <w:bottom w:val="none" w:sz="0" w:space="0" w:color="auto"/>
        <w:right w:val="none" w:sz="0" w:space="0" w:color="auto"/>
      </w:divBdr>
    </w:div>
    <w:div w:id="528028262">
      <w:bodyDiv w:val="1"/>
      <w:marLeft w:val="0"/>
      <w:marRight w:val="0"/>
      <w:marTop w:val="0"/>
      <w:marBottom w:val="0"/>
      <w:divBdr>
        <w:top w:val="none" w:sz="0" w:space="0" w:color="auto"/>
        <w:left w:val="none" w:sz="0" w:space="0" w:color="auto"/>
        <w:bottom w:val="none" w:sz="0" w:space="0" w:color="auto"/>
        <w:right w:val="none" w:sz="0" w:space="0" w:color="auto"/>
      </w:divBdr>
    </w:div>
    <w:div w:id="528177404">
      <w:bodyDiv w:val="1"/>
      <w:marLeft w:val="0"/>
      <w:marRight w:val="0"/>
      <w:marTop w:val="0"/>
      <w:marBottom w:val="0"/>
      <w:divBdr>
        <w:top w:val="none" w:sz="0" w:space="0" w:color="auto"/>
        <w:left w:val="none" w:sz="0" w:space="0" w:color="auto"/>
        <w:bottom w:val="none" w:sz="0" w:space="0" w:color="auto"/>
        <w:right w:val="none" w:sz="0" w:space="0" w:color="auto"/>
      </w:divBdr>
    </w:div>
    <w:div w:id="528183092">
      <w:bodyDiv w:val="1"/>
      <w:marLeft w:val="0"/>
      <w:marRight w:val="0"/>
      <w:marTop w:val="0"/>
      <w:marBottom w:val="0"/>
      <w:divBdr>
        <w:top w:val="none" w:sz="0" w:space="0" w:color="auto"/>
        <w:left w:val="none" w:sz="0" w:space="0" w:color="auto"/>
        <w:bottom w:val="none" w:sz="0" w:space="0" w:color="auto"/>
        <w:right w:val="none" w:sz="0" w:space="0" w:color="auto"/>
      </w:divBdr>
    </w:div>
    <w:div w:id="528295582">
      <w:bodyDiv w:val="1"/>
      <w:marLeft w:val="0"/>
      <w:marRight w:val="0"/>
      <w:marTop w:val="0"/>
      <w:marBottom w:val="0"/>
      <w:divBdr>
        <w:top w:val="none" w:sz="0" w:space="0" w:color="auto"/>
        <w:left w:val="none" w:sz="0" w:space="0" w:color="auto"/>
        <w:bottom w:val="none" w:sz="0" w:space="0" w:color="auto"/>
        <w:right w:val="none" w:sz="0" w:space="0" w:color="auto"/>
      </w:divBdr>
    </w:div>
    <w:div w:id="528297565">
      <w:bodyDiv w:val="1"/>
      <w:marLeft w:val="0"/>
      <w:marRight w:val="0"/>
      <w:marTop w:val="0"/>
      <w:marBottom w:val="0"/>
      <w:divBdr>
        <w:top w:val="none" w:sz="0" w:space="0" w:color="auto"/>
        <w:left w:val="none" w:sz="0" w:space="0" w:color="auto"/>
        <w:bottom w:val="none" w:sz="0" w:space="0" w:color="auto"/>
        <w:right w:val="none" w:sz="0" w:space="0" w:color="auto"/>
      </w:divBdr>
    </w:div>
    <w:div w:id="528494765">
      <w:bodyDiv w:val="1"/>
      <w:marLeft w:val="0"/>
      <w:marRight w:val="0"/>
      <w:marTop w:val="0"/>
      <w:marBottom w:val="0"/>
      <w:divBdr>
        <w:top w:val="none" w:sz="0" w:space="0" w:color="auto"/>
        <w:left w:val="none" w:sz="0" w:space="0" w:color="auto"/>
        <w:bottom w:val="none" w:sz="0" w:space="0" w:color="auto"/>
        <w:right w:val="none" w:sz="0" w:space="0" w:color="auto"/>
      </w:divBdr>
    </w:div>
    <w:div w:id="528497392">
      <w:bodyDiv w:val="1"/>
      <w:marLeft w:val="0"/>
      <w:marRight w:val="0"/>
      <w:marTop w:val="0"/>
      <w:marBottom w:val="0"/>
      <w:divBdr>
        <w:top w:val="none" w:sz="0" w:space="0" w:color="auto"/>
        <w:left w:val="none" w:sz="0" w:space="0" w:color="auto"/>
        <w:bottom w:val="none" w:sz="0" w:space="0" w:color="auto"/>
        <w:right w:val="none" w:sz="0" w:space="0" w:color="auto"/>
      </w:divBdr>
    </w:div>
    <w:div w:id="528572398">
      <w:bodyDiv w:val="1"/>
      <w:marLeft w:val="0"/>
      <w:marRight w:val="0"/>
      <w:marTop w:val="0"/>
      <w:marBottom w:val="0"/>
      <w:divBdr>
        <w:top w:val="none" w:sz="0" w:space="0" w:color="auto"/>
        <w:left w:val="none" w:sz="0" w:space="0" w:color="auto"/>
        <w:bottom w:val="none" w:sz="0" w:space="0" w:color="auto"/>
        <w:right w:val="none" w:sz="0" w:space="0" w:color="auto"/>
      </w:divBdr>
    </w:div>
    <w:div w:id="528572616">
      <w:bodyDiv w:val="1"/>
      <w:marLeft w:val="0"/>
      <w:marRight w:val="0"/>
      <w:marTop w:val="0"/>
      <w:marBottom w:val="0"/>
      <w:divBdr>
        <w:top w:val="none" w:sz="0" w:space="0" w:color="auto"/>
        <w:left w:val="none" w:sz="0" w:space="0" w:color="auto"/>
        <w:bottom w:val="none" w:sz="0" w:space="0" w:color="auto"/>
        <w:right w:val="none" w:sz="0" w:space="0" w:color="auto"/>
      </w:divBdr>
    </w:div>
    <w:div w:id="528686858">
      <w:bodyDiv w:val="1"/>
      <w:marLeft w:val="0"/>
      <w:marRight w:val="0"/>
      <w:marTop w:val="0"/>
      <w:marBottom w:val="0"/>
      <w:divBdr>
        <w:top w:val="none" w:sz="0" w:space="0" w:color="auto"/>
        <w:left w:val="none" w:sz="0" w:space="0" w:color="auto"/>
        <w:bottom w:val="none" w:sz="0" w:space="0" w:color="auto"/>
        <w:right w:val="none" w:sz="0" w:space="0" w:color="auto"/>
      </w:divBdr>
    </w:div>
    <w:div w:id="528688008">
      <w:bodyDiv w:val="1"/>
      <w:marLeft w:val="0"/>
      <w:marRight w:val="0"/>
      <w:marTop w:val="0"/>
      <w:marBottom w:val="0"/>
      <w:divBdr>
        <w:top w:val="none" w:sz="0" w:space="0" w:color="auto"/>
        <w:left w:val="none" w:sz="0" w:space="0" w:color="auto"/>
        <w:bottom w:val="none" w:sz="0" w:space="0" w:color="auto"/>
        <w:right w:val="none" w:sz="0" w:space="0" w:color="auto"/>
      </w:divBdr>
    </w:div>
    <w:div w:id="528759607">
      <w:bodyDiv w:val="1"/>
      <w:marLeft w:val="0"/>
      <w:marRight w:val="0"/>
      <w:marTop w:val="0"/>
      <w:marBottom w:val="0"/>
      <w:divBdr>
        <w:top w:val="none" w:sz="0" w:space="0" w:color="auto"/>
        <w:left w:val="none" w:sz="0" w:space="0" w:color="auto"/>
        <w:bottom w:val="none" w:sz="0" w:space="0" w:color="auto"/>
        <w:right w:val="none" w:sz="0" w:space="0" w:color="auto"/>
      </w:divBdr>
    </w:div>
    <w:div w:id="528765266">
      <w:bodyDiv w:val="1"/>
      <w:marLeft w:val="0"/>
      <w:marRight w:val="0"/>
      <w:marTop w:val="0"/>
      <w:marBottom w:val="0"/>
      <w:divBdr>
        <w:top w:val="none" w:sz="0" w:space="0" w:color="auto"/>
        <w:left w:val="none" w:sz="0" w:space="0" w:color="auto"/>
        <w:bottom w:val="none" w:sz="0" w:space="0" w:color="auto"/>
        <w:right w:val="none" w:sz="0" w:space="0" w:color="auto"/>
      </w:divBdr>
    </w:div>
    <w:div w:id="528835823">
      <w:bodyDiv w:val="1"/>
      <w:marLeft w:val="0"/>
      <w:marRight w:val="0"/>
      <w:marTop w:val="0"/>
      <w:marBottom w:val="0"/>
      <w:divBdr>
        <w:top w:val="none" w:sz="0" w:space="0" w:color="auto"/>
        <w:left w:val="none" w:sz="0" w:space="0" w:color="auto"/>
        <w:bottom w:val="none" w:sz="0" w:space="0" w:color="auto"/>
        <w:right w:val="none" w:sz="0" w:space="0" w:color="auto"/>
      </w:divBdr>
    </w:div>
    <w:div w:id="528879626">
      <w:bodyDiv w:val="1"/>
      <w:marLeft w:val="0"/>
      <w:marRight w:val="0"/>
      <w:marTop w:val="0"/>
      <w:marBottom w:val="0"/>
      <w:divBdr>
        <w:top w:val="none" w:sz="0" w:space="0" w:color="auto"/>
        <w:left w:val="none" w:sz="0" w:space="0" w:color="auto"/>
        <w:bottom w:val="none" w:sz="0" w:space="0" w:color="auto"/>
        <w:right w:val="none" w:sz="0" w:space="0" w:color="auto"/>
      </w:divBdr>
    </w:div>
    <w:div w:id="528908053">
      <w:bodyDiv w:val="1"/>
      <w:marLeft w:val="0"/>
      <w:marRight w:val="0"/>
      <w:marTop w:val="0"/>
      <w:marBottom w:val="0"/>
      <w:divBdr>
        <w:top w:val="none" w:sz="0" w:space="0" w:color="auto"/>
        <w:left w:val="none" w:sz="0" w:space="0" w:color="auto"/>
        <w:bottom w:val="none" w:sz="0" w:space="0" w:color="auto"/>
        <w:right w:val="none" w:sz="0" w:space="0" w:color="auto"/>
      </w:divBdr>
    </w:div>
    <w:div w:id="528955372">
      <w:bodyDiv w:val="1"/>
      <w:marLeft w:val="0"/>
      <w:marRight w:val="0"/>
      <w:marTop w:val="0"/>
      <w:marBottom w:val="0"/>
      <w:divBdr>
        <w:top w:val="none" w:sz="0" w:space="0" w:color="auto"/>
        <w:left w:val="none" w:sz="0" w:space="0" w:color="auto"/>
        <w:bottom w:val="none" w:sz="0" w:space="0" w:color="auto"/>
        <w:right w:val="none" w:sz="0" w:space="0" w:color="auto"/>
      </w:divBdr>
    </w:div>
    <w:div w:id="528958755">
      <w:bodyDiv w:val="1"/>
      <w:marLeft w:val="0"/>
      <w:marRight w:val="0"/>
      <w:marTop w:val="0"/>
      <w:marBottom w:val="0"/>
      <w:divBdr>
        <w:top w:val="none" w:sz="0" w:space="0" w:color="auto"/>
        <w:left w:val="none" w:sz="0" w:space="0" w:color="auto"/>
        <w:bottom w:val="none" w:sz="0" w:space="0" w:color="auto"/>
        <w:right w:val="none" w:sz="0" w:space="0" w:color="auto"/>
      </w:divBdr>
    </w:div>
    <w:div w:id="529025377">
      <w:bodyDiv w:val="1"/>
      <w:marLeft w:val="0"/>
      <w:marRight w:val="0"/>
      <w:marTop w:val="0"/>
      <w:marBottom w:val="0"/>
      <w:divBdr>
        <w:top w:val="none" w:sz="0" w:space="0" w:color="auto"/>
        <w:left w:val="none" w:sz="0" w:space="0" w:color="auto"/>
        <w:bottom w:val="none" w:sz="0" w:space="0" w:color="auto"/>
        <w:right w:val="none" w:sz="0" w:space="0" w:color="auto"/>
      </w:divBdr>
    </w:div>
    <w:div w:id="529151905">
      <w:bodyDiv w:val="1"/>
      <w:marLeft w:val="0"/>
      <w:marRight w:val="0"/>
      <w:marTop w:val="0"/>
      <w:marBottom w:val="0"/>
      <w:divBdr>
        <w:top w:val="none" w:sz="0" w:space="0" w:color="auto"/>
        <w:left w:val="none" w:sz="0" w:space="0" w:color="auto"/>
        <w:bottom w:val="none" w:sz="0" w:space="0" w:color="auto"/>
        <w:right w:val="none" w:sz="0" w:space="0" w:color="auto"/>
      </w:divBdr>
    </w:div>
    <w:div w:id="529219329">
      <w:bodyDiv w:val="1"/>
      <w:marLeft w:val="0"/>
      <w:marRight w:val="0"/>
      <w:marTop w:val="0"/>
      <w:marBottom w:val="0"/>
      <w:divBdr>
        <w:top w:val="none" w:sz="0" w:space="0" w:color="auto"/>
        <w:left w:val="none" w:sz="0" w:space="0" w:color="auto"/>
        <w:bottom w:val="none" w:sz="0" w:space="0" w:color="auto"/>
        <w:right w:val="none" w:sz="0" w:space="0" w:color="auto"/>
      </w:divBdr>
    </w:div>
    <w:div w:id="529296890">
      <w:bodyDiv w:val="1"/>
      <w:marLeft w:val="0"/>
      <w:marRight w:val="0"/>
      <w:marTop w:val="0"/>
      <w:marBottom w:val="0"/>
      <w:divBdr>
        <w:top w:val="none" w:sz="0" w:space="0" w:color="auto"/>
        <w:left w:val="none" w:sz="0" w:space="0" w:color="auto"/>
        <w:bottom w:val="none" w:sz="0" w:space="0" w:color="auto"/>
        <w:right w:val="none" w:sz="0" w:space="0" w:color="auto"/>
      </w:divBdr>
    </w:div>
    <w:div w:id="529300885">
      <w:bodyDiv w:val="1"/>
      <w:marLeft w:val="0"/>
      <w:marRight w:val="0"/>
      <w:marTop w:val="0"/>
      <w:marBottom w:val="0"/>
      <w:divBdr>
        <w:top w:val="none" w:sz="0" w:space="0" w:color="auto"/>
        <w:left w:val="none" w:sz="0" w:space="0" w:color="auto"/>
        <w:bottom w:val="none" w:sz="0" w:space="0" w:color="auto"/>
        <w:right w:val="none" w:sz="0" w:space="0" w:color="auto"/>
      </w:divBdr>
    </w:div>
    <w:div w:id="529340192">
      <w:bodyDiv w:val="1"/>
      <w:marLeft w:val="0"/>
      <w:marRight w:val="0"/>
      <w:marTop w:val="0"/>
      <w:marBottom w:val="0"/>
      <w:divBdr>
        <w:top w:val="none" w:sz="0" w:space="0" w:color="auto"/>
        <w:left w:val="none" w:sz="0" w:space="0" w:color="auto"/>
        <w:bottom w:val="none" w:sz="0" w:space="0" w:color="auto"/>
        <w:right w:val="none" w:sz="0" w:space="0" w:color="auto"/>
      </w:divBdr>
    </w:div>
    <w:div w:id="529412714">
      <w:bodyDiv w:val="1"/>
      <w:marLeft w:val="0"/>
      <w:marRight w:val="0"/>
      <w:marTop w:val="0"/>
      <w:marBottom w:val="0"/>
      <w:divBdr>
        <w:top w:val="none" w:sz="0" w:space="0" w:color="auto"/>
        <w:left w:val="none" w:sz="0" w:space="0" w:color="auto"/>
        <w:bottom w:val="none" w:sz="0" w:space="0" w:color="auto"/>
        <w:right w:val="none" w:sz="0" w:space="0" w:color="auto"/>
      </w:divBdr>
    </w:div>
    <w:div w:id="529493340">
      <w:bodyDiv w:val="1"/>
      <w:marLeft w:val="0"/>
      <w:marRight w:val="0"/>
      <w:marTop w:val="0"/>
      <w:marBottom w:val="0"/>
      <w:divBdr>
        <w:top w:val="none" w:sz="0" w:space="0" w:color="auto"/>
        <w:left w:val="none" w:sz="0" w:space="0" w:color="auto"/>
        <w:bottom w:val="none" w:sz="0" w:space="0" w:color="auto"/>
        <w:right w:val="none" w:sz="0" w:space="0" w:color="auto"/>
      </w:divBdr>
    </w:div>
    <w:div w:id="529493570">
      <w:bodyDiv w:val="1"/>
      <w:marLeft w:val="0"/>
      <w:marRight w:val="0"/>
      <w:marTop w:val="0"/>
      <w:marBottom w:val="0"/>
      <w:divBdr>
        <w:top w:val="none" w:sz="0" w:space="0" w:color="auto"/>
        <w:left w:val="none" w:sz="0" w:space="0" w:color="auto"/>
        <w:bottom w:val="none" w:sz="0" w:space="0" w:color="auto"/>
        <w:right w:val="none" w:sz="0" w:space="0" w:color="auto"/>
      </w:divBdr>
    </w:div>
    <w:div w:id="529495907">
      <w:bodyDiv w:val="1"/>
      <w:marLeft w:val="0"/>
      <w:marRight w:val="0"/>
      <w:marTop w:val="0"/>
      <w:marBottom w:val="0"/>
      <w:divBdr>
        <w:top w:val="none" w:sz="0" w:space="0" w:color="auto"/>
        <w:left w:val="none" w:sz="0" w:space="0" w:color="auto"/>
        <w:bottom w:val="none" w:sz="0" w:space="0" w:color="auto"/>
        <w:right w:val="none" w:sz="0" w:space="0" w:color="auto"/>
      </w:divBdr>
    </w:div>
    <w:div w:id="529536902">
      <w:bodyDiv w:val="1"/>
      <w:marLeft w:val="0"/>
      <w:marRight w:val="0"/>
      <w:marTop w:val="0"/>
      <w:marBottom w:val="0"/>
      <w:divBdr>
        <w:top w:val="none" w:sz="0" w:space="0" w:color="auto"/>
        <w:left w:val="none" w:sz="0" w:space="0" w:color="auto"/>
        <w:bottom w:val="none" w:sz="0" w:space="0" w:color="auto"/>
        <w:right w:val="none" w:sz="0" w:space="0" w:color="auto"/>
      </w:divBdr>
    </w:div>
    <w:div w:id="529537317">
      <w:bodyDiv w:val="1"/>
      <w:marLeft w:val="0"/>
      <w:marRight w:val="0"/>
      <w:marTop w:val="0"/>
      <w:marBottom w:val="0"/>
      <w:divBdr>
        <w:top w:val="none" w:sz="0" w:space="0" w:color="auto"/>
        <w:left w:val="none" w:sz="0" w:space="0" w:color="auto"/>
        <w:bottom w:val="none" w:sz="0" w:space="0" w:color="auto"/>
        <w:right w:val="none" w:sz="0" w:space="0" w:color="auto"/>
      </w:divBdr>
    </w:div>
    <w:div w:id="529610291">
      <w:bodyDiv w:val="1"/>
      <w:marLeft w:val="0"/>
      <w:marRight w:val="0"/>
      <w:marTop w:val="0"/>
      <w:marBottom w:val="0"/>
      <w:divBdr>
        <w:top w:val="none" w:sz="0" w:space="0" w:color="auto"/>
        <w:left w:val="none" w:sz="0" w:space="0" w:color="auto"/>
        <w:bottom w:val="none" w:sz="0" w:space="0" w:color="auto"/>
        <w:right w:val="none" w:sz="0" w:space="0" w:color="auto"/>
      </w:divBdr>
    </w:div>
    <w:div w:id="529880366">
      <w:bodyDiv w:val="1"/>
      <w:marLeft w:val="0"/>
      <w:marRight w:val="0"/>
      <w:marTop w:val="0"/>
      <w:marBottom w:val="0"/>
      <w:divBdr>
        <w:top w:val="none" w:sz="0" w:space="0" w:color="auto"/>
        <w:left w:val="none" w:sz="0" w:space="0" w:color="auto"/>
        <w:bottom w:val="none" w:sz="0" w:space="0" w:color="auto"/>
        <w:right w:val="none" w:sz="0" w:space="0" w:color="auto"/>
      </w:divBdr>
    </w:div>
    <w:div w:id="529924857">
      <w:bodyDiv w:val="1"/>
      <w:marLeft w:val="0"/>
      <w:marRight w:val="0"/>
      <w:marTop w:val="0"/>
      <w:marBottom w:val="0"/>
      <w:divBdr>
        <w:top w:val="none" w:sz="0" w:space="0" w:color="auto"/>
        <w:left w:val="none" w:sz="0" w:space="0" w:color="auto"/>
        <w:bottom w:val="none" w:sz="0" w:space="0" w:color="auto"/>
        <w:right w:val="none" w:sz="0" w:space="0" w:color="auto"/>
      </w:divBdr>
    </w:div>
    <w:div w:id="529992328">
      <w:bodyDiv w:val="1"/>
      <w:marLeft w:val="0"/>
      <w:marRight w:val="0"/>
      <w:marTop w:val="0"/>
      <w:marBottom w:val="0"/>
      <w:divBdr>
        <w:top w:val="none" w:sz="0" w:space="0" w:color="auto"/>
        <w:left w:val="none" w:sz="0" w:space="0" w:color="auto"/>
        <w:bottom w:val="none" w:sz="0" w:space="0" w:color="auto"/>
        <w:right w:val="none" w:sz="0" w:space="0" w:color="auto"/>
      </w:divBdr>
    </w:div>
    <w:div w:id="530072382">
      <w:bodyDiv w:val="1"/>
      <w:marLeft w:val="0"/>
      <w:marRight w:val="0"/>
      <w:marTop w:val="0"/>
      <w:marBottom w:val="0"/>
      <w:divBdr>
        <w:top w:val="none" w:sz="0" w:space="0" w:color="auto"/>
        <w:left w:val="none" w:sz="0" w:space="0" w:color="auto"/>
        <w:bottom w:val="none" w:sz="0" w:space="0" w:color="auto"/>
        <w:right w:val="none" w:sz="0" w:space="0" w:color="auto"/>
      </w:divBdr>
    </w:div>
    <w:div w:id="530075358">
      <w:bodyDiv w:val="1"/>
      <w:marLeft w:val="0"/>
      <w:marRight w:val="0"/>
      <w:marTop w:val="0"/>
      <w:marBottom w:val="0"/>
      <w:divBdr>
        <w:top w:val="none" w:sz="0" w:space="0" w:color="auto"/>
        <w:left w:val="none" w:sz="0" w:space="0" w:color="auto"/>
        <w:bottom w:val="none" w:sz="0" w:space="0" w:color="auto"/>
        <w:right w:val="none" w:sz="0" w:space="0" w:color="auto"/>
      </w:divBdr>
    </w:div>
    <w:div w:id="530187753">
      <w:bodyDiv w:val="1"/>
      <w:marLeft w:val="0"/>
      <w:marRight w:val="0"/>
      <w:marTop w:val="0"/>
      <w:marBottom w:val="0"/>
      <w:divBdr>
        <w:top w:val="none" w:sz="0" w:space="0" w:color="auto"/>
        <w:left w:val="none" w:sz="0" w:space="0" w:color="auto"/>
        <w:bottom w:val="none" w:sz="0" w:space="0" w:color="auto"/>
        <w:right w:val="none" w:sz="0" w:space="0" w:color="auto"/>
      </w:divBdr>
    </w:div>
    <w:div w:id="530190838">
      <w:bodyDiv w:val="1"/>
      <w:marLeft w:val="0"/>
      <w:marRight w:val="0"/>
      <w:marTop w:val="0"/>
      <w:marBottom w:val="0"/>
      <w:divBdr>
        <w:top w:val="none" w:sz="0" w:space="0" w:color="auto"/>
        <w:left w:val="none" w:sz="0" w:space="0" w:color="auto"/>
        <w:bottom w:val="none" w:sz="0" w:space="0" w:color="auto"/>
        <w:right w:val="none" w:sz="0" w:space="0" w:color="auto"/>
      </w:divBdr>
    </w:div>
    <w:div w:id="530191744">
      <w:bodyDiv w:val="1"/>
      <w:marLeft w:val="0"/>
      <w:marRight w:val="0"/>
      <w:marTop w:val="0"/>
      <w:marBottom w:val="0"/>
      <w:divBdr>
        <w:top w:val="none" w:sz="0" w:space="0" w:color="auto"/>
        <w:left w:val="none" w:sz="0" w:space="0" w:color="auto"/>
        <w:bottom w:val="none" w:sz="0" w:space="0" w:color="auto"/>
        <w:right w:val="none" w:sz="0" w:space="0" w:color="auto"/>
      </w:divBdr>
    </w:div>
    <w:div w:id="530217872">
      <w:bodyDiv w:val="1"/>
      <w:marLeft w:val="0"/>
      <w:marRight w:val="0"/>
      <w:marTop w:val="0"/>
      <w:marBottom w:val="0"/>
      <w:divBdr>
        <w:top w:val="none" w:sz="0" w:space="0" w:color="auto"/>
        <w:left w:val="none" w:sz="0" w:space="0" w:color="auto"/>
        <w:bottom w:val="none" w:sz="0" w:space="0" w:color="auto"/>
        <w:right w:val="none" w:sz="0" w:space="0" w:color="auto"/>
      </w:divBdr>
    </w:div>
    <w:div w:id="530385152">
      <w:bodyDiv w:val="1"/>
      <w:marLeft w:val="0"/>
      <w:marRight w:val="0"/>
      <w:marTop w:val="0"/>
      <w:marBottom w:val="0"/>
      <w:divBdr>
        <w:top w:val="none" w:sz="0" w:space="0" w:color="auto"/>
        <w:left w:val="none" w:sz="0" w:space="0" w:color="auto"/>
        <w:bottom w:val="none" w:sz="0" w:space="0" w:color="auto"/>
        <w:right w:val="none" w:sz="0" w:space="0" w:color="auto"/>
      </w:divBdr>
    </w:div>
    <w:div w:id="530462608">
      <w:bodyDiv w:val="1"/>
      <w:marLeft w:val="0"/>
      <w:marRight w:val="0"/>
      <w:marTop w:val="0"/>
      <w:marBottom w:val="0"/>
      <w:divBdr>
        <w:top w:val="none" w:sz="0" w:space="0" w:color="auto"/>
        <w:left w:val="none" w:sz="0" w:space="0" w:color="auto"/>
        <w:bottom w:val="none" w:sz="0" w:space="0" w:color="auto"/>
        <w:right w:val="none" w:sz="0" w:space="0" w:color="auto"/>
      </w:divBdr>
    </w:div>
    <w:div w:id="530534190">
      <w:bodyDiv w:val="1"/>
      <w:marLeft w:val="0"/>
      <w:marRight w:val="0"/>
      <w:marTop w:val="0"/>
      <w:marBottom w:val="0"/>
      <w:divBdr>
        <w:top w:val="none" w:sz="0" w:space="0" w:color="auto"/>
        <w:left w:val="none" w:sz="0" w:space="0" w:color="auto"/>
        <w:bottom w:val="none" w:sz="0" w:space="0" w:color="auto"/>
        <w:right w:val="none" w:sz="0" w:space="0" w:color="auto"/>
      </w:divBdr>
    </w:div>
    <w:div w:id="530650188">
      <w:bodyDiv w:val="1"/>
      <w:marLeft w:val="0"/>
      <w:marRight w:val="0"/>
      <w:marTop w:val="0"/>
      <w:marBottom w:val="0"/>
      <w:divBdr>
        <w:top w:val="none" w:sz="0" w:space="0" w:color="auto"/>
        <w:left w:val="none" w:sz="0" w:space="0" w:color="auto"/>
        <w:bottom w:val="none" w:sz="0" w:space="0" w:color="auto"/>
        <w:right w:val="none" w:sz="0" w:space="0" w:color="auto"/>
      </w:divBdr>
    </w:div>
    <w:div w:id="530653086">
      <w:bodyDiv w:val="1"/>
      <w:marLeft w:val="0"/>
      <w:marRight w:val="0"/>
      <w:marTop w:val="0"/>
      <w:marBottom w:val="0"/>
      <w:divBdr>
        <w:top w:val="none" w:sz="0" w:space="0" w:color="auto"/>
        <w:left w:val="none" w:sz="0" w:space="0" w:color="auto"/>
        <w:bottom w:val="none" w:sz="0" w:space="0" w:color="auto"/>
        <w:right w:val="none" w:sz="0" w:space="0" w:color="auto"/>
      </w:divBdr>
    </w:div>
    <w:div w:id="530727765">
      <w:bodyDiv w:val="1"/>
      <w:marLeft w:val="0"/>
      <w:marRight w:val="0"/>
      <w:marTop w:val="0"/>
      <w:marBottom w:val="0"/>
      <w:divBdr>
        <w:top w:val="none" w:sz="0" w:space="0" w:color="auto"/>
        <w:left w:val="none" w:sz="0" w:space="0" w:color="auto"/>
        <w:bottom w:val="none" w:sz="0" w:space="0" w:color="auto"/>
        <w:right w:val="none" w:sz="0" w:space="0" w:color="auto"/>
      </w:divBdr>
    </w:div>
    <w:div w:id="530846744">
      <w:bodyDiv w:val="1"/>
      <w:marLeft w:val="0"/>
      <w:marRight w:val="0"/>
      <w:marTop w:val="0"/>
      <w:marBottom w:val="0"/>
      <w:divBdr>
        <w:top w:val="none" w:sz="0" w:space="0" w:color="auto"/>
        <w:left w:val="none" w:sz="0" w:space="0" w:color="auto"/>
        <w:bottom w:val="none" w:sz="0" w:space="0" w:color="auto"/>
        <w:right w:val="none" w:sz="0" w:space="0" w:color="auto"/>
      </w:divBdr>
    </w:div>
    <w:div w:id="530916468">
      <w:bodyDiv w:val="1"/>
      <w:marLeft w:val="0"/>
      <w:marRight w:val="0"/>
      <w:marTop w:val="0"/>
      <w:marBottom w:val="0"/>
      <w:divBdr>
        <w:top w:val="none" w:sz="0" w:space="0" w:color="auto"/>
        <w:left w:val="none" w:sz="0" w:space="0" w:color="auto"/>
        <w:bottom w:val="none" w:sz="0" w:space="0" w:color="auto"/>
        <w:right w:val="none" w:sz="0" w:space="0" w:color="auto"/>
      </w:divBdr>
    </w:div>
    <w:div w:id="530916897">
      <w:bodyDiv w:val="1"/>
      <w:marLeft w:val="0"/>
      <w:marRight w:val="0"/>
      <w:marTop w:val="0"/>
      <w:marBottom w:val="0"/>
      <w:divBdr>
        <w:top w:val="none" w:sz="0" w:space="0" w:color="auto"/>
        <w:left w:val="none" w:sz="0" w:space="0" w:color="auto"/>
        <w:bottom w:val="none" w:sz="0" w:space="0" w:color="auto"/>
        <w:right w:val="none" w:sz="0" w:space="0" w:color="auto"/>
      </w:divBdr>
    </w:div>
    <w:div w:id="530992919">
      <w:bodyDiv w:val="1"/>
      <w:marLeft w:val="0"/>
      <w:marRight w:val="0"/>
      <w:marTop w:val="0"/>
      <w:marBottom w:val="0"/>
      <w:divBdr>
        <w:top w:val="none" w:sz="0" w:space="0" w:color="auto"/>
        <w:left w:val="none" w:sz="0" w:space="0" w:color="auto"/>
        <w:bottom w:val="none" w:sz="0" w:space="0" w:color="auto"/>
        <w:right w:val="none" w:sz="0" w:space="0" w:color="auto"/>
      </w:divBdr>
    </w:div>
    <w:div w:id="531068858">
      <w:bodyDiv w:val="1"/>
      <w:marLeft w:val="0"/>
      <w:marRight w:val="0"/>
      <w:marTop w:val="0"/>
      <w:marBottom w:val="0"/>
      <w:divBdr>
        <w:top w:val="none" w:sz="0" w:space="0" w:color="auto"/>
        <w:left w:val="none" w:sz="0" w:space="0" w:color="auto"/>
        <w:bottom w:val="none" w:sz="0" w:space="0" w:color="auto"/>
        <w:right w:val="none" w:sz="0" w:space="0" w:color="auto"/>
      </w:divBdr>
    </w:div>
    <w:div w:id="531185163">
      <w:bodyDiv w:val="1"/>
      <w:marLeft w:val="0"/>
      <w:marRight w:val="0"/>
      <w:marTop w:val="0"/>
      <w:marBottom w:val="0"/>
      <w:divBdr>
        <w:top w:val="none" w:sz="0" w:space="0" w:color="auto"/>
        <w:left w:val="none" w:sz="0" w:space="0" w:color="auto"/>
        <w:bottom w:val="none" w:sz="0" w:space="0" w:color="auto"/>
        <w:right w:val="none" w:sz="0" w:space="0" w:color="auto"/>
      </w:divBdr>
    </w:div>
    <w:div w:id="531186415">
      <w:bodyDiv w:val="1"/>
      <w:marLeft w:val="0"/>
      <w:marRight w:val="0"/>
      <w:marTop w:val="0"/>
      <w:marBottom w:val="0"/>
      <w:divBdr>
        <w:top w:val="none" w:sz="0" w:space="0" w:color="auto"/>
        <w:left w:val="none" w:sz="0" w:space="0" w:color="auto"/>
        <w:bottom w:val="none" w:sz="0" w:space="0" w:color="auto"/>
        <w:right w:val="none" w:sz="0" w:space="0" w:color="auto"/>
      </w:divBdr>
    </w:div>
    <w:div w:id="531190862">
      <w:bodyDiv w:val="1"/>
      <w:marLeft w:val="0"/>
      <w:marRight w:val="0"/>
      <w:marTop w:val="0"/>
      <w:marBottom w:val="0"/>
      <w:divBdr>
        <w:top w:val="none" w:sz="0" w:space="0" w:color="auto"/>
        <w:left w:val="none" w:sz="0" w:space="0" w:color="auto"/>
        <w:bottom w:val="none" w:sz="0" w:space="0" w:color="auto"/>
        <w:right w:val="none" w:sz="0" w:space="0" w:color="auto"/>
      </w:divBdr>
    </w:div>
    <w:div w:id="531380209">
      <w:bodyDiv w:val="1"/>
      <w:marLeft w:val="0"/>
      <w:marRight w:val="0"/>
      <w:marTop w:val="0"/>
      <w:marBottom w:val="0"/>
      <w:divBdr>
        <w:top w:val="none" w:sz="0" w:space="0" w:color="auto"/>
        <w:left w:val="none" w:sz="0" w:space="0" w:color="auto"/>
        <w:bottom w:val="none" w:sz="0" w:space="0" w:color="auto"/>
        <w:right w:val="none" w:sz="0" w:space="0" w:color="auto"/>
      </w:divBdr>
    </w:div>
    <w:div w:id="531381654">
      <w:bodyDiv w:val="1"/>
      <w:marLeft w:val="0"/>
      <w:marRight w:val="0"/>
      <w:marTop w:val="0"/>
      <w:marBottom w:val="0"/>
      <w:divBdr>
        <w:top w:val="none" w:sz="0" w:space="0" w:color="auto"/>
        <w:left w:val="none" w:sz="0" w:space="0" w:color="auto"/>
        <w:bottom w:val="none" w:sz="0" w:space="0" w:color="auto"/>
        <w:right w:val="none" w:sz="0" w:space="0" w:color="auto"/>
      </w:divBdr>
    </w:div>
    <w:div w:id="531578315">
      <w:bodyDiv w:val="1"/>
      <w:marLeft w:val="0"/>
      <w:marRight w:val="0"/>
      <w:marTop w:val="0"/>
      <w:marBottom w:val="0"/>
      <w:divBdr>
        <w:top w:val="none" w:sz="0" w:space="0" w:color="auto"/>
        <w:left w:val="none" w:sz="0" w:space="0" w:color="auto"/>
        <w:bottom w:val="none" w:sz="0" w:space="0" w:color="auto"/>
        <w:right w:val="none" w:sz="0" w:space="0" w:color="auto"/>
      </w:divBdr>
    </w:div>
    <w:div w:id="531649049">
      <w:bodyDiv w:val="1"/>
      <w:marLeft w:val="0"/>
      <w:marRight w:val="0"/>
      <w:marTop w:val="0"/>
      <w:marBottom w:val="0"/>
      <w:divBdr>
        <w:top w:val="none" w:sz="0" w:space="0" w:color="auto"/>
        <w:left w:val="none" w:sz="0" w:space="0" w:color="auto"/>
        <w:bottom w:val="none" w:sz="0" w:space="0" w:color="auto"/>
        <w:right w:val="none" w:sz="0" w:space="0" w:color="auto"/>
      </w:divBdr>
    </w:div>
    <w:div w:id="531650086">
      <w:bodyDiv w:val="1"/>
      <w:marLeft w:val="0"/>
      <w:marRight w:val="0"/>
      <w:marTop w:val="0"/>
      <w:marBottom w:val="0"/>
      <w:divBdr>
        <w:top w:val="none" w:sz="0" w:space="0" w:color="auto"/>
        <w:left w:val="none" w:sz="0" w:space="0" w:color="auto"/>
        <w:bottom w:val="none" w:sz="0" w:space="0" w:color="auto"/>
        <w:right w:val="none" w:sz="0" w:space="0" w:color="auto"/>
      </w:divBdr>
    </w:div>
    <w:div w:id="531767460">
      <w:bodyDiv w:val="1"/>
      <w:marLeft w:val="0"/>
      <w:marRight w:val="0"/>
      <w:marTop w:val="0"/>
      <w:marBottom w:val="0"/>
      <w:divBdr>
        <w:top w:val="none" w:sz="0" w:space="0" w:color="auto"/>
        <w:left w:val="none" w:sz="0" w:space="0" w:color="auto"/>
        <w:bottom w:val="none" w:sz="0" w:space="0" w:color="auto"/>
        <w:right w:val="none" w:sz="0" w:space="0" w:color="auto"/>
      </w:divBdr>
    </w:div>
    <w:div w:id="531890305">
      <w:bodyDiv w:val="1"/>
      <w:marLeft w:val="0"/>
      <w:marRight w:val="0"/>
      <w:marTop w:val="0"/>
      <w:marBottom w:val="0"/>
      <w:divBdr>
        <w:top w:val="none" w:sz="0" w:space="0" w:color="auto"/>
        <w:left w:val="none" w:sz="0" w:space="0" w:color="auto"/>
        <w:bottom w:val="none" w:sz="0" w:space="0" w:color="auto"/>
        <w:right w:val="none" w:sz="0" w:space="0" w:color="auto"/>
      </w:divBdr>
    </w:div>
    <w:div w:id="531890705">
      <w:bodyDiv w:val="1"/>
      <w:marLeft w:val="0"/>
      <w:marRight w:val="0"/>
      <w:marTop w:val="0"/>
      <w:marBottom w:val="0"/>
      <w:divBdr>
        <w:top w:val="none" w:sz="0" w:space="0" w:color="auto"/>
        <w:left w:val="none" w:sz="0" w:space="0" w:color="auto"/>
        <w:bottom w:val="none" w:sz="0" w:space="0" w:color="auto"/>
        <w:right w:val="none" w:sz="0" w:space="0" w:color="auto"/>
      </w:divBdr>
    </w:div>
    <w:div w:id="531957903">
      <w:bodyDiv w:val="1"/>
      <w:marLeft w:val="0"/>
      <w:marRight w:val="0"/>
      <w:marTop w:val="0"/>
      <w:marBottom w:val="0"/>
      <w:divBdr>
        <w:top w:val="none" w:sz="0" w:space="0" w:color="auto"/>
        <w:left w:val="none" w:sz="0" w:space="0" w:color="auto"/>
        <w:bottom w:val="none" w:sz="0" w:space="0" w:color="auto"/>
        <w:right w:val="none" w:sz="0" w:space="0" w:color="auto"/>
      </w:divBdr>
    </w:div>
    <w:div w:id="531958643">
      <w:bodyDiv w:val="1"/>
      <w:marLeft w:val="0"/>
      <w:marRight w:val="0"/>
      <w:marTop w:val="0"/>
      <w:marBottom w:val="0"/>
      <w:divBdr>
        <w:top w:val="none" w:sz="0" w:space="0" w:color="auto"/>
        <w:left w:val="none" w:sz="0" w:space="0" w:color="auto"/>
        <w:bottom w:val="none" w:sz="0" w:space="0" w:color="auto"/>
        <w:right w:val="none" w:sz="0" w:space="0" w:color="auto"/>
      </w:divBdr>
    </w:div>
    <w:div w:id="532042250">
      <w:bodyDiv w:val="1"/>
      <w:marLeft w:val="0"/>
      <w:marRight w:val="0"/>
      <w:marTop w:val="0"/>
      <w:marBottom w:val="0"/>
      <w:divBdr>
        <w:top w:val="none" w:sz="0" w:space="0" w:color="auto"/>
        <w:left w:val="none" w:sz="0" w:space="0" w:color="auto"/>
        <w:bottom w:val="none" w:sz="0" w:space="0" w:color="auto"/>
        <w:right w:val="none" w:sz="0" w:space="0" w:color="auto"/>
      </w:divBdr>
    </w:div>
    <w:div w:id="532108342">
      <w:bodyDiv w:val="1"/>
      <w:marLeft w:val="0"/>
      <w:marRight w:val="0"/>
      <w:marTop w:val="0"/>
      <w:marBottom w:val="0"/>
      <w:divBdr>
        <w:top w:val="none" w:sz="0" w:space="0" w:color="auto"/>
        <w:left w:val="none" w:sz="0" w:space="0" w:color="auto"/>
        <w:bottom w:val="none" w:sz="0" w:space="0" w:color="auto"/>
        <w:right w:val="none" w:sz="0" w:space="0" w:color="auto"/>
      </w:divBdr>
    </w:div>
    <w:div w:id="532160363">
      <w:bodyDiv w:val="1"/>
      <w:marLeft w:val="0"/>
      <w:marRight w:val="0"/>
      <w:marTop w:val="0"/>
      <w:marBottom w:val="0"/>
      <w:divBdr>
        <w:top w:val="none" w:sz="0" w:space="0" w:color="auto"/>
        <w:left w:val="none" w:sz="0" w:space="0" w:color="auto"/>
        <w:bottom w:val="none" w:sz="0" w:space="0" w:color="auto"/>
        <w:right w:val="none" w:sz="0" w:space="0" w:color="auto"/>
      </w:divBdr>
    </w:div>
    <w:div w:id="532184608">
      <w:bodyDiv w:val="1"/>
      <w:marLeft w:val="0"/>
      <w:marRight w:val="0"/>
      <w:marTop w:val="0"/>
      <w:marBottom w:val="0"/>
      <w:divBdr>
        <w:top w:val="none" w:sz="0" w:space="0" w:color="auto"/>
        <w:left w:val="none" w:sz="0" w:space="0" w:color="auto"/>
        <w:bottom w:val="none" w:sz="0" w:space="0" w:color="auto"/>
        <w:right w:val="none" w:sz="0" w:space="0" w:color="auto"/>
      </w:divBdr>
    </w:div>
    <w:div w:id="532231667">
      <w:bodyDiv w:val="1"/>
      <w:marLeft w:val="0"/>
      <w:marRight w:val="0"/>
      <w:marTop w:val="0"/>
      <w:marBottom w:val="0"/>
      <w:divBdr>
        <w:top w:val="none" w:sz="0" w:space="0" w:color="auto"/>
        <w:left w:val="none" w:sz="0" w:space="0" w:color="auto"/>
        <w:bottom w:val="none" w:sz="0" w:space="0" w:color="auto"/>
        <w:right w:val="none" w:sz="0" w:space="0" w:color="auto"/>
      </w:divBdr>
    </w:div>
    <w:div w:id="532310230">
      <w:bodyDiv w:val="1"/>
      <w:marLeft w:val="0"/>
      <w:marRight w:val="0"/>
      <w:marTop w:val="0"/>
      <w:marBottom w:val="0"/>
      <w:divBdr>
        <w:top w:val="none" w:sz="0" w:space="0" w:color="auto"/>
        <w:left w:val="none" w:sz="0" w:space="0" w:color="auto"/>
        <w:bottom w:val="none" w:sz="0" w:space="0" w:color="auto"/>
        <w:right w:val="none" w:sz="0" w:space="0" w:color="auto"/>
      </w:divBdr>
    </w:div>
    <w:div w:id="532311392">
      <w:bodyDiv w:val="1"/>
      <w:marLeft w:val="0"/>
      <w:marRight w:val="0"/>
      <w:marTop w:val="0"/>
      <w:marBottom w:val="0"/>
      <w:divBdr>
        <w:top w:val="none" w:sz="0" w:space="0" w:color="auto"/>
        <w:left w:val="none" w:sz="0" w:space="0" w:color="auto"/>
        <w:bottom w:val="none" w:sz="0" w:space="0" w:color="auto"/>
        <w:right w:val="none" w:sz="0" w:space="0" w:color="auto"/>
      </w:divBdr>
    </w:div>
    <w:div w:id="532428166">
      <w:bodyDiv w:val="1"/>
      <w:marLeft w:val="0"/>
      <w:marRight w:val="0"/>
      <w:marTop w:val="0"/>
      <w:marBottom w:val="0"/>
      <w:divBdr>
        <w:top w:val="none" w:sz="0" w:space="0" w:color="auto"/>
        <w:left w:val="none" w:sz="0" w:space="0" w:color="auto"/>
        <w:bottom w:val="none" w:sz="0" w:space="0" w:color="auto"/>
        <w:right w:val="none" w:sz="0" w:space="0" w:color="auto"/>
      </w:divBdr>
    </w:div>
    <w:div w:id="532495823">
      <w:bodyDiv w:val="1"/>
      <w:marLeft w:val="0"/>
      <w:marRight w:val="0"/>
      <w:marTop w:val="0"/>
      <w:marBottom w:val="0"/>
      <w:divBdr>
        <w:top w:val="none" w:sz="0" w:space="0" w:color="auto"/>
        <w:left w:val="none" w:sz="0" w:space="0" w:color="auto"/>
        <w:bottom w:val="none" w:sz="0" w:space="0" w:color="auto"/>
        <w:right w:val="none" w:sz="0" w:space="0" w:color="auto"/>
      </w:divBdr>
    </w:div>
    <w:div w:id="532503019">
      <w:bodyDiv w:val="1"/>
      <w:marLeft w:val="0"/>
      <w:marRight w:val="0"/>
      <w:marTop w:val="0"/>
      <w:marBottom w:val="0"/>
      <w:divBdr>
        <w:top w:val="none" w:sz="0" w:space="0" w:color="auto"/>
        <w:left w:val="none" w:sz="0" w:space="0" w:color="auto"/>
        <w:bottom w:val="none" w:sz="0" w:space="0" w:color="auto"/>
        <w:right w:val="none" w:sz="0" w:space="0" w:color="auto"/>
      </w:divBdr>
    </w:div>
    <w:div w:id="532571557">
      <w:bodyDiv w:val="1"/>
      <w:marLeft w:val="0"/>
      <w:marRight w:val="0"/>
      <w:marTop w:val="0"/>
      <w:marBottom w:val="0"/>
      <w:divBdr>
        <w:top w:val="none" w:sz="0" w:space="0" w:color="auto"/>
        <w:left w:val="none" w:sz="0" w:space="0" w:color="auto"/>
        <w:bottom w:val="none" w:sz="0" w:space="0" w:color="auto"/>
        <w:right w:val="none" w:sz="0" w:space="0" w:color="auto"/>
      </w:divBdr>
    </w:div>
    <w:div w:id="532613556">
      <w:bodyDiv w:val="1"/>
      <w:marLeft w:val="0"/>
      <w:marRight w:val="0"/>
      <w:marTop w:val="0"/>
      <w:marBottom w:val="0"/>
      <w:divBdr>
        <w:top w:val="none" w:sz="0" w:space="0" w:color="auto"/>
        <w:left w:val="none" w:sz="0" w:space="0" w:color="auto"/>
        <w:bottom w:val="none" w:sz="0" w:space="0" w:color="auto"/>
        <w:right w:val="none" w:sz="0" w:space="0" w:color="auto"/>
      </w:divBdr>
    </w:div>
    <w:div w:id="532613564">
      <w:bodyDiv w:val="1"/>
      <w:marLeft w:val="0"/>
      <w:marRight w:val="0"/>
      <w:marTop w:val="0"/>
      <w:marBottom w:val="0"/>
      <w:divBdr>
        <w:top w:val="none" w:sz="0" w:space="0" w:color="auto"/>
        <w:left w:val="none" w:sz="0" w:space="0" w:color="auto"/>
        <w:bottom w:val="none" w:sz="0" w:space="0" w:color="auto"/>
        <w:right w:val="none" w:sz="0" w:space="0" w:color="auto"/>
      </w:divBdr>
    </w:div>
    <w:div w:id="532613923">
      <w:bodyDiv w:val="1"/>
      <w:marLeft w:val="0"/>
      <w:marRight w:val="0"/>
      <w:marTop w:val="0"/>
      <w:marBottom w:val="0"/>
      <w:divBdr>
        <w:top w:val="none" w:sz="0" w:space="0" w:color="auto"/>
        <w:left w:val="none" w:sz="0" w:space="0" w:color="auto"/>
        <w:bottom w:val="none" w:sz="0" w:space="0" w:color="auto"/>
        <w:right w:val="none" w:sz="0" w:space="0" w:color="auto"/>
      </w:divBdr>
    </w:div>
    <w:div w:id="532618939">
      <w:bodyDiv w:val="1"/>
      <w:marLeft w:val="0"/>
      <w:marRight w:val="0"/>
      <w:marTop w:val="0"/>
      <w:marBottom w:val="0"/>
      <w:divBdr>
        <w:top w:val="none" w:sz="0" w:space="0" w:color="auto"/>
        <w:left w:val="none" w:sz="0" w:space="0" w:color="auto"/>
        <w:bottom w:val="none" w:sz="0" w:space="0" w:color="auto"/>
        <w:right w:val="none" w:sz="0" w:space="0" w:color="auto"/>
      </w:divBdr>
    </w:div>
    <w:div w:id="532619243">
      <w:bodyDiv w:val="1"/>
      <w:marLeft w:val="0"/>
      <w:marRight w:val="0"/>
      <w:marTop w:val="0"/>
      <w:marBottom w:val="0"/>
      <w:divBdr>
        <w:top w:val="none" w:sz="0" w:space="0" w:color="auto"/>
        <w:left w:val="none" w:sz="0" w:space="0" w:color="auto"/>
        <w:bottom w:val="none" w:sz="0" w:space="0" w:color="auto"/>
        <w:right w:val="none" w:sz="0" w:space="0" w:color="auto"/>
      </w:divBdr>
    </w:div>
    <w:div w:id="532622256">
      <w:bodyDiv w:val="1"/>
      <w:marLeft w:val="0"/>
      <w:marRight w:val="0"/>
      <w:marTop w:val="0"/>
      <w:marBottom w:val="0"/>
      <w:divBdr>
        <w:top w:val="none" w:sz="0" w:space="0" w:color="auto"/>
        <w:left w:val="none" w:sz="0" w:space="0" w:color="auto"/>
        <w:bottom w:val="none" w:sz="0" w:space="0" w:color="auto"/>
        <w:right w:val="none" w:sz="0" w:space="0" w:color="auto"/>
      </w:divBdr>
    </w:div>
    <w:div w:id="532691225">
      <w:bodyDiv w:val="1"/>
      <w:marLeft w:val="0"/>
      <w:marRight w:val="0"/>
      <w:marTop w:val="0"/>
      <w:marBottom w:val="0"/>
      <w:divBdr>
        <w:top w:val="none" w:sz="0" w:space="0" w:color="auto"/>
        <w:left w:val="none" w:sz="0" w:space="0" w:color="auto"/>
        <w:bottom w:val="none" w:sz="0" w:space="0" w:color="auto"/>
        <w:right w:val="none" w:sz="0" w:space="0" w:color="auto"/>
      </w:divBdr>
    </w:div>
    <w:div w:id="532697059">
      <w:bodyDiv w:val="1"/>
      <w:marLeft w:val="0"/>
      <w:marRight w:val="0"/>
      <w:marTop w:val="0"/>
      <w:marBottom w:val="0"/>
      <w:divBdr>
        <w:top w:val="none" w:sz="0" w:space="0" w:color="auto"/>
        <w:left w:val="none" w:sz="0" w:space="0" w:color="auto"/>
        <w:bottom w:val="none" w:sz="0" w:space="0" w:color="auto"/>
        <w:right w:val="none" w:sz="0" w:space="0" w:color="auto"/>
      </w:divBdr>
    </w:div>
    <w:div w:id="532765339">
      <w:bodyDiv w:val="1"/>
      <w:marLeft w:val="0"/>
      <w:marRight w:val="0"/>
      <w:marTop w:val="0"/>
      <w:marBottom w:val="0"/>
      <w:divBdr>
        <w:top w:val="none" w:sz="0" w:space="0" w:color="auto"/>
        <w:left w:val="none" w:sz="0" w:space="0" w:color="auto"/>
        <w:bottom w:val="none" w:sz="0" w:space="0" w:color="auto"/>
        <w:right w:val="none" w:sz="0" w:space="0" w:color="auto"/>
      </w:divBdr>
    </w:div>
    <w:div w:id="532768854">
      <w:bodyDiv w:val="1"/>
      <w:marLeft w:val="0"/>
      <w:marRight w:val="0"/>
      <w:marTop w:val="0"/>
      <w:marBottom w:val="0"/>
      <w:divBdr>
        <w:top w:val="none" w:sz="0" w:space="0" w:color="auto"/>
        <w:left w:val="none" w:sz="0" w:space="0" w:color="auto"/>
        <w:bottom w:val="none" w:sz="0" w:space="0" w:color="auto"/>
        <w:right w:val="none" w:sz="0" w:space="0" w:color="auto"/>
      </w:divBdr>
    </w:div>
    <w:div w:id="532772303">
      <w:bodyDiv w:val="1"/>
      <w:marLeft w:val="0"/>
      <w:marRight w:val="0"/>
      <w:marTop w:val="0"/>
      <w:marBottom w:val="0"/>
      <w:divBdr>
        <w:top w:val="none" w:sz="0" w:space="0" w:color="auto"/>
        <w:left w:val="none" w:sz="0" w:space="0" w:color="auto"/>
        <w:bottom w:val="none" w:sz="0" w:space="0" w:color="auto"/>
        <w:right w:val="none" w:sz="0" w:space="0" w:color="auto"/>
      </w:divBdr>
    </w:div>
    <w:div w:id="532889553">
      <w:bodyDiv w:val="1"/>
      <w:marLeft w:val="0"/>
      <w:marRight w:val="0"/>
      <w:marTop w:val="0"/>
      <w:marBottom w:val="0"/>
      <w:divBdr>
        <w:top w:val="none" w:sz="0" w:space="0" w:color="auto"/>
        <w:left w:val="none" w:sz="0" w:space="0" w:color="auto"/>
        <w:bottom w:val="none" w:sz="0" w:space="0" w:color="auto"/>
        <w:right w:val="none" w:sz="0" w:space="0" w:color="auto"/>
      </w:divBdr>
    </w:div>
    <w:div w:id="532958215">
      <w:bodyDiv w:val="1"/>
      <w:marLeft w:val="0"/>
      <w:marRight w:val="0"/>
      <w:marTop w:val="0"/>
      <w:marBottom w:val="0"/>
      <w:divBdr>
        <w:top w:val="none" w:sz="0" w:space="0" w:color="auto"/>
        <w:left w:val="none" w:sz="0" w:space="0" w:color="auto"/>
        <w:bottom w:val="none" w:sz="0" w:space="0" w:color="auto"/>
        <w:right w:val="none" w:sz="0" w:space="0" w:color="auto"/>
      </w:divBdr>
    </w:div>
    <w:div w:id="533005148">
      <w:bodyDiv w:val="1"/>
      <w:marLeft w:val="0"/>
      <w:marRight w:val="0"/>
      <w:marTop w:val="0"/>
      <w:marBottom w:val="0"/>
      <w:divBdr>
        <w:top w:val="none" w:sz="0" w:space="0" w:color="auto"/>
        <w:left w:val="none" w:sz="0" w:space="0" w:color="auto"/>
        <w:bottom w:val="none" w:sz="0" w:space="0" w:color="auto"/>
        <w:right w:val="none" w:sz="0" w:space="0" w:color="auto"/>
      </w:divBdr>
    </w:div>
    <w:div w:id="533152558">
      <w:bodyDiv w:val="1"/>
      <w:marLeft w:val="0"/>
      <w:marRight w:val="0"/>
      <w:marTop w:val="0"/>
      <w:marBottom w:val="0"/>
      <w:divBdr>
        <w:top w:val="none" w:sz="0" w:space="0" w:color="auto"/>
        <w:left w:val="none" w:sz="0" w:space="0" w:color="auto"/>
        <w:bottom w:val="none" w:sz="0" w:space="0" w:color="auto"/>
        <w:right w:val="none" w:sz="0" w:space="0" w:color="auto"/>
      </w:divBdr>
    </w:div>
    <w:div w:id="533227082">
      <w:bodyDiv w:val="1"/>
      <w:marLeft w:val="0"/>
      <w:marRight w:val="0"/>
      <w:marTop w:val="0"/>
      <w:marBottom w:val="0"/>
      <w:divBdr>
        <w:top w:val="none" w:sz="0" w:space="0" w:color="auto"/>
        <w:left w:val="none" w:sz="0" w:space="0" w:color="auto"/>
        <w:bottom w:val="none" w:sz="0" w:space="0" w:color="auto"/>
        <w:right w:val="none" w:sz="0" w:space="0" w:color="auto"/>
      </w:divBdr>
    </w:div>
    <w:div w:id="533233103">
      <w:bodyDiv w:val="1"/>
      <w:marLeft w:val="0"/>
      <w:marRight w:val="0"/>
      <w:marTop w:val="0"/>
      <w:marBottom w:val="0"/>
      <w:divBdr>
        <w:top w:val="none" w:sz="0" w:space="0" w:color="auto"/>
        <w:left w:val="none" w:sz="0" w:space="0" w:color="auto"/>
        <w:bottom w:val="none" w:sz="0" w:space="0" w:color="auto"/>
        <w:right w:val="none" w:sz="0" w:space="0" w:color="auto"/>
      </w:divBdr>
    </w:div>
    <w:div w:id="533270139">
      <w:bodyDiv w:val="1"/>
      <w:marLeft w:val="0"/>
      <w:marRight w:val="0"/>
      <w:marTop w:val="0"/>
      <w:marBottom w:val="0"/>
      <w:divBdr>
        <w:top w:val="none" w:sz="0" w:space="0" w:color="auto"/>
        <w:left w:val="none" w:sz="0" w:space="0" w:color="auto"/>
        <w:bottom w:val="none" w:sz="0" w:space="0" w:color="auto"/>
        <w:right w:val="none" w:sz="0" w:space="0" w:color="auto"/>
      </w:divBdr>
    </w:div>
    <w:div w:id="533271089">
      <w:bodyDiv w:val="1"/>
      <w:marLeft w:val="0"/>
      <w:marRight w:val="0"/>
      <w:marTop w:val="0"/>
      <w:marBottom w:val="0"/>
      <w:divBdr>
        <w:top w:val="none" w:sz="0" w:space="0" w:color="auto"/>
        <w:left w:val="none" w:sz="0" w:space="0" w:color="auto"/>
        <w:bottom w:val="none" w:sz="0" w:space="0" w:color="auto"/>
        <w:right w:val="none" w:sz="0" w:space="0" w:color="auto"/>
      </w:divBdr>
    </w:div>
    <w:div w:id="533275765">
      <w:bodyDiv w:val="1"/>
      <w:marLeft w:val="0"/>
      <w:marRight w:val="0"/>
      <w:marTop w:val="0"/>
      <w:marBottom w:val="0"/>
      <w:divBdr>
        <w:top w:val="none" w:sz="0" w:space="0" w:color="auto"/>
        <w:left w:val="none" w:sz="0" w:space="0" w:color="auto"/>
        <w:bottom w:val="none" w:sz="0" w:space="0" w:color="auto"/>
        <w:right w:val="none" w:sz="0" w:space="0" w:color="auto"/>
      </w:divBdr>
    </w:div>
    <w:div w:id="533349880">
      <w:bodyDiv w:val="1"/>
      <w:marLeft w:val="0"/>
      <w:marRight w:val="0"/>
      <w:marTop w:val="0"/>
      <w:marBottom w:val="0"/>
      <w:divBdr>
        <w:top w:val="none" w:sz="0" w:space="0" w:color="auto"/>
        <w:left w:val="none" w:sz="0" w:space="0" w:color="auto"/>
        <w:bottom w:val="none" w:sz="0" w:space="0" w:color="auto"/>
        <w:right w:val="none" w:sz="0" w:space="0" w:color="auto"/>
      </w:divBdr>
    </w:div>
    <w:div w:id="533494947">
      <w:bodyDiv w:val="1"/>
      <w:marLeft w:val="0"/>
      <w:marRight w:val="0"/>
      <w:marTop w:val="0"/>
      <w:marBottom w:val="0"/>
      <w:divBdr>
        <w:top w:val="none" w:sz="0" w:space="0" w:color="auto"/>
        <w:left w:val="none" w:sz="0" w:space="0" w:color="auto"/>
        <w:bottom w:val="none" w:sz="0" w:space="0" w:color="auto"/>
        <w:right w:val="none" w:sz="0" w:space="0" w:color="auto"/>
      </w:divBdr>
    </w:div>
    <w:div w:id="533690966">
      <w:bodyDiv w:val="1"/>
      <w:marLeft w:val="0"/>
      <w:marRight w:val="0"/>
      <w:marTop w:val="0"/>
      <w:marBottom w:val="0"/>
      <w:divBdr>
        <w:top w:val="none" w:sz="0" w:space="0" w:color="auto"/>
        <w:left w:val="none" w:sz="0" w:space="0" w:color="auto"/>
        <w:bottom w:val="none" w:sz="0" w:space="0" w:color="auto"/>
        <w:right w:val="none" w:sz="0" w:space="0" w:color="auto"/>
      </w:divBdr>
    </w:div>
    <w:div w:id="533882243">
      <w:bodyDiv w:val="1"/>
      <w:marLeft w:val="0"/>
      <w:marRight w:val="0"/>
      <w:marTop w:val="0"/>
      <w:marBottom w:val="0"/>
      <w:divBdr>
        <w:top w:val="none" w:sz="0" w:space="0" w:color="auto"/>
        <w:left w:val="none" w:sz="0" w:space="0" w:color="auto"/>
        <w:bottom w:val="none" w:sz="0" w:space="0" w:color="auto"/>
        <w:right w:val="none" w:sz="0" w:space="0" w:color="auto"/>
      </w:divBdr>
    </w:div>
    <w:div w:id="533932313">
      <w:bodyDiv w:val="1"/>
      <w:marLeft w:val="0"/>
      <w:marRight w:val="0"/>
      <w:marTop w:val="0"/>
      <w:marBottom w:val="0"/>
      <w:divBdr>
        <w:top w:val="none" w:sz="0" w:space="0" w:color="auto"/>
        <w:left w:val="none" w:sz="0" w:space="0" w:color="auto"/>
        <w:bottom w:val="none" w:sz="0" w:space="0" w:color="auto"/>
        <w:right w:val="none" w:sz="0" w:space="0" w:color="auto"/>
      </w:divBdr>
    </w:div>
    <w:div w:id="534076453">
      <w:bodyDiv w:val="1"/>
      <w:marLeft w:val="0"/>
      <w:marRight w:val="0"/>
      <w:marTop w:val="0"/>
      <w:marBottom w:val="0"/>
      <w:divBdr>
        <w:top w:val="none" w:sz="0" w:space="0" w:color="auto"/>
        <w:left w:val="none" w:sz="0" w:space="0" w:color="auto"/>
        <w:bottom w:val="none" w:sz="0" w:space="0" w:color="auto"/>
        <w:right w:val="none" w:sz="0" w:space="0" w:color="auto"/>
      </w:divBdr>
    </w:div>
    <w:div w:id="534150178">
      <w:bodyDiv w:val="1"/>
      <w:marLeft w:val="0"/>
      <w:marRight w:val="0"/>
      <w:marTop w:val="0"/>
      <w:marBottom w:val="0"/>
      <w:divBdr>
        <w:top w:val="none" w:sz="0" w:space="0" w:color="auto"/>
        <w:left w:val="none" w:sz="0" w:space="0" w:color="auto"/>
        <w:bottom w:val="none" w:sz="0" w:space="0" w:color="auto"/>
        <w:right w:val="none" w:sz="0" w:space="0" w:color="auto"/>
      </w:divBdr>
    </w:div>
    <w:div w:id="534198948">
      <w:bodyDiv w:val="1"/>
      <w:marLeft w:val="0"/>
      <w:marRight w:val="0"/>
      <w:marTop w:val="0"/>
      <w:marBottom w:val="0"/>
      <w:divBdr>
        <w:top w:val="none" w:sz="0" w:space="0" w:color="auto"/>
        <w:left w:val="none" w:sz="0" w:space="0" w:color="auto"/>
        <w:bottom w:val="none" w:sz="0" w:space="0" w:color="auto"/>
        <w:right w:val="none" w:sz="0" w:space="0" w:color="auto"/>
      </w:divBdr>
    </w:div>
    <w:div w:id="534270930">
      <w:bodyDiv w:val="1"/>
      <w:marLeft w:val="0"/>
      <w:marRight w:val="0"/>
      <w:marTop w:val="0"/>
      <w:marBottom w:val="0"/>
      <w:divBdr>
        <w:top w:val="none" w:sz="0" w:space="0" w:color="auto"/>
        <w:left w:val="none" w:sz="0" w:space="0" w:color="auto"/>
        <w:bottom w:val="none" w:sz="0" w:space="0" w:color="auto"/>
        <w:right w:val="none" w:sz="0" w:space="0" w:color="auto"/>
      </w:divBdr>
    </w:div>
    <w:div w:id="534272922">
      <w:bodyDiv w:val="1"/>
      <w:marLeft w:val="0"/>
      <w:marRight w:val="0"/>
      <w:marTop w:val="0"/>
      <w:marBottom w:val="0"/>
      <w:divBdr>
        <w:top w:val="none" w:sz="0" w:space="0" w:color="auto"/>
        <w:left w:val="none" w:sz="0" w:space="0" w:color="auto"/>
        <w:bottom w:val="none" w:sz="0" w:space="0" w:color="auto"/>
        <w:right w:val="none" w:sz="0" w:space="0" w:color="auto"/>
      </w:divBdr>
    </w:div>
    <w:div w:id="534276340">
      <w:bodyDiv w:val="1"/>
      <w:marLeft w:val="0"/>
      <w:marRight w:val="0"/>
      <w:marTop w:val="0"/>
      <w:marBottom w:val="0"/>
      <w:divBdr>
        <w:top w:val="none" w:sz="0" w:space="0" w:color="auto"/>
        <w:left w:val="none" w:sz="0" w:space="0" w:color="auto"/>
        <w:bottom w:val="none" w:sz="0" w:space="0" w:color="auto"/>
        <w:right w:val="none" w:sz="0" w:space="0" w:color="auto"/>
      </w:divBdr>
    </w:div>
    <w:div w:id="534344677">
      <w:bodyDiv w:val="1"/>
      <w:marLeft w:val="0"/>
      <w:marRight w:val="0"/>
      <w:marTop w:val="0"/>
      <w:marBottom w:val="0"/>
      <w:divBdr>
        <w:top w:val="none" w:sz="0" w:space="0" w:color="auto"/>
        <w:left w:val="none" w:sz="0" w:space="0" w:color="auto"/>
        <w:bottom w:val="none" w:sz="0" w:space="0" w:color="auto"/>
        <w:right w:val="none" w:sz="0" w:space="0" w:color="auto"/>
      </w:divBdr>
    </w:div>
    <w:div w:id="534395018">
      <w:bodyDiv w:val="1"/>
      <w:marLeft w:val="0"/>
      <w:marRight w:val="0"/>
      <w:marTop w:val="0"/>
      <w:marBottom w:val="0"/>
      <w:divBdr>
        <w:top w:val="none" w:sz="0" w:space="0" w:color="auto"/>
        <w:left w:val="none" w:sz="0" w:space="0" w:color="auto"/>
        <w:bottom w:val="none" w:sz="0" w:space="0" w:color="auto"/>
        <w:right w:val="none" w:sz="0" w:space="0" w:color="auto"/>
      </w:divBdr>
    </w:div>
    <w:div w:id="534539048">
      <w:bodyDiv w:val="1"/>
      <w:marLeft w:val="0"/>
      <w:marRight w:val="0"/>
      <w:marTop w:val="0"/>
      <w:marBottom w:val="0"/>
      <w:divBdr>
        <w:top w:val="none" w:sz="0" w:space="0" w:color="auto"/>
        <w:left w:val="none" w:sz="0" w:space="0" w:color="auto"/>
        <w:bottom w:val="none" w:sz="0" w:space="0" w:color="auto"/>
        <w:right w:val="none" w:sz="0" w:space="0" w:color="auto"/>
      </w:divBdr>
    </w:div>
    <w:div w:id="534578918">
      <w:bodyDiv w:val="1"/>
      <w:marLeft w:val="0"/>
      <w:marRight w:val="0"/>
      <w:marTop w:val="0"/>
      <w:marBottom w:val="0"/>
      <w:divBdr>
        <w:top w:val="none" w:sz="0" w:space="0" w:color="auto"/>
        <w:left w:val="none" w:sz="0" w:space="0" w:color="auto"/>
        <w:bottom w:val="none" w:sz="0" w:space="0" w:color="auto"/>
        <w:right w:val="none" w:sz="0" w:space="0" w:color="auto"/>
      </w:divBdr>
    </w:div>
    <w:div w:id="534737122">
      <w:bodyDiv w:val="1"/>
      <w:marLeft w:val="0"/>
      <w:marRight w:val="0"/>
      <w:marTop w:val="0"/>
      <w:marBottom w:val="0"/>
      <w:divBdr>
        <w:top w:val="none" w:sz="0" w:space="0" w:color="auto"/>
        <w:left w:val="none" w:sz="0" w:space="0" w:color="auto"/>
        <w:bottom w:val="none" w:sz="0" w:space="0" w:color="auto"/>
        <w:right w:val="none" w:sz="0" w:space="0" w:color="auto"/>
      </w:divBdr>
    </w:div>
    <w:div w:id="534774668">
      <w:bodyDiv w:val="1"/>
      <w:marLeft w:val="0"/>
      <w:marRight w:val="0"/>
      <w:marTop w:val="0"/>
      <w:marBottom w:val="0"/>
      <w:divBdr>
        <w:top w:val="none" w:sz="0" w:space="0" w:color="auto"/>
        <w:left w:val="none" w:sz="0" w:space="0" w:color="auto"/>
        <w:bottom w:val="none" w:sz="0" w:space="0" w:color="auto"/>
        <w:right w:val="none" w:sz="0" w:space="0" w:color="auto"/>
      </w:divBdr>
    </w:div>
    <w:div w:id="534781279">
      <w:bodyDiv w:val="1"/>
      <w:marLeft w:val="0"/>
      <w:marRight w:val="0"/>
      <w:marTop w:val="0"/>
      <w:marBottom w:val="0"/>
      <w:divBdr>
        <w:top w:val="none" w:sz="0" w:space="0" w:color="auto"/>
        <w:left w:val="none" w:sz="0" w:space="0" w:color="auto"/>
        <w:bottom w:val="none" w:sz="0" w:space="0" w:color="auto"/>
        <w:right w:val="none" w:sz="0" w:space="0" w:color="auto"/>
      </w:divBdr>
    </w:div>
    <w:div w:id="534852257">
      <w:bodyDiv w:val="1"/>
      <w:marLeft w:val="0"/>
      <w:marRight w:val="0"/>
      <w:marTop w:val="0"/>
      <w:marBottom w:val="0"/>
      <w:divBdr>
        <w:top w:val="none" w:sz="0" w:space="0" w:color="auto"/>
        <w:left w:val="none" w:sz="0" w:space="0" w:color="auto"/>
        <w:bottom w:val="none" w:sz="0" w:space="0" w:color="auto"/>
        <w:right w:val="none" w:sz="0" w:space="0" w:color="auto"/>
      </w:divBdr>
    </w:div>
    <w:div w:id="534929312">
      <w:bodyDiv w:val="1"/>
      <w:marLeft w:val="0"/>
      <w:marRight w:val="0"/>
      <w:marTop w:val="0"/>
      <w:marBottom w:val="0"/>
      <w:divBdr>
        <w:top w:val="none" w:sz="0" w:space="0" w:color="auto"/>
        <w:left w:val="none" w:sz="0" w:space="0" w:color="auto"/>
        <w:bottom w:val="none" w:sz="0" w:space="0" w:color="auto"/>
        <w:right w:val="none" w:sz="0" w:space="0" w:color="auto"/>
      </w:divBdr>
    </w:div>
    <w:div w:id="534970939">
      <w:bodyDiv w:val="1"/>
      <w:marLeft w:val="0"/>
      <w:marRight w:val="0"/>
      <w:marTop w:val="0"/>
      <w:marBottom w:val="0"/>
      <w:divBdr>
        <w:top w:val="none" w:sz="0" w:space="0" w:color="auto"/>
        <w:left w:val="none" w:sz="0" w:space="0" w:color="auto"/>
        <w:bottom w:val="none" w:sz="0" w:space="0" w:color="auto"/>
        <w:right w:val="none" w:sz="0" w:space="0" w:color="auto"/>
      </w:divBdr>
    </w:div>
    <w:div w:id="534998663">
      <w:bodyDiv w:val="1"/>
      <w:marLeft w:val="0"/>
      <w:marRight w:val="0"/>
      <w:marTop w:val="0"/>
      <w:marBottom w:val="0"/>
      <w:divBdr>
        <w:top w:val="none" w:sz="0" w:space="0" w:color="auto"/>
        <w:left w:val="none" w:sz="0" w:space="0" w:color="auto"/>
        <w:bottom w:val="none" w:sz="0" w:space="0" w:color="auto"/>
        <w:right w:val="none" w:sz="0" w:space="0" w:color="auto"/>
      </w:divBdr>
    </w:div>
    <w:div w:id="535002689">
      <w:bodyDiv w:val="1"/>
      <w:marLeft w:val="0"/>
      <w:marRight w:val="0"/>
      <w:marTop w:val="0"/>
      <w:marBottom w:val="0"/>
      <w:divBdr>
        <w:top w:val="none" w:sz="0" w:space="0" w:color="auto"/>
        <w:left w:val="none" w:sz="0" w:space="0" w:color="auto"/>
        <w:bottom w:val="none" w:sz="0" w:space="0" w:color="auto"/>
        <w:right w:val="none" w:sz="0" w:space="0" w:color="auto"/>
      </w:divBdr>
    </w:div>
    <w:div w:id="535118748">
      <w:bodyDiv w:val="1"/>
      <w:marLeft w:val="0"/>
      <w:marRight w:val="0"/>
      <w:marTop w:val="0"/>
      <w:marBottom w:val="0"/>
      <w:divBdr>
        <w:top w:val="none" w:sz="0" w:space="0" w:color="auto"/>
        <w:left w:val="none" w:sz="0" w:space="0" w:color="auto"/>
        <w:bottom w:val="none" w:sz="0" w:space="0" w:color="auto"/>
        <w:right w:val="none" w:sz="0" w:space="0" w:color="auto"/>
      </w:divBdr>
    </w:div>
    <w:div w:id="535195020">
      <w:bodyDiv w:val="1"/>
      <w:marLeft w:val="0"/>
      <w:marRight w:val="0"/>
      <w:marTop w:val="0"/>
      <w:marBottom w:val="0"/>
      <w:divBdr>
        <w:top w:val="none" w:sz="0" w:space="0" w:color="auto"/>
        <w:left w:val="none" w:sz="0" w:space="0" w:color="auto"/>
        <w:bottom w:val="none" w:sz="0" w:space="0" w:color="auto"/>
        <w:right w:val="none" w:sz="0" w:space="0" w:color="auto"/>
      </w:divBdr>
    </w:div>
    <w:div w:id="535234334">
      <w:bodyDiv w:val="1"/>
      <w:marLeft w:val="0"/>
      <w:marRight w:val="0"/>
      <w:marTop w:val="0"/>
      <w:marBottom w:val="0"/>
      <w:divBdr>
        <w:top w:val="none" w:sz="0" w:space="0" w:color="auto"/>
        <w:left w:val="none" w:sz="0" w:space="0" w:color="auto"/>
        <w:bottom w:val="none" w:sz="0" w:space="0" w:color="auto"/>
        <w:right w:val="none" w:sz="0" w:space="0" w:color="auto"/>
      </w:divBdr>
    </w:div>
    <w:div w:id="535388121">
      <w:bodyDiv w:val="1"/>
      <w:marLeft w:val="0"/>
      <w:marRight w:val="0"/>
      <w:marTop w:val="0"/>
      <w:marBottom w:val="0"/>
      <w:divBdr>
        <w:top w:val="none" w:sz="0" w:space="0" w:color="auto"/>
        <w:left w:val="none" w:sz="0" w:space="0" w:color="auto"/>
        <w:bottom w:val="none" w:sz="0" w:space="0" w:color="auto"/>
        <w:right w:val="none" w:sz="0" w:space="0" w:color="auto"/>
      </w:divBdr>
    </w:div>
    <w:div w:id="535393658">
      <w:bodyDiv w:val="1"/>
      <w:marLeft w:val="0"/>
      <w:marRight w:val="0"/>
      <w:marTop w:val="0"/>
      <w:marBottom w:val="0"/>
      <w:divBdr>
        <w:top w:val="none" w:sz="0" w:space="0" w:color="auto"/>
        <w:left w:val="none" w:sz="0" w:space="0" w:color="auto"/>
        <w:bottom w:val="none" w:sz="0" w:space="0" w:color="auto"/>
        <w:right w:val="none" w:sz="0" w:space="0" w:color="auto"/>
      </w:divBdr>
    </w:div>
    <w:div w:id="535508935">
      <w:bodyDiv w:val="1"/>
      <w:marLeft w:val="0"/>
      <w:marRight w:val="0"/>
      <w:marTop w:val="0"/>
      <w:marBottom w:val="0"/>
      <w:divBdr>
        <w:top w:val="none" w:sz="0" w:space="0" w:color="auto"/>
        <w:left w:val="none" w:sz="0" w:space="0" w:color="auto"/>
        <w:bottom w:val="none" w:sz="0" w:space="0" w:color="auto"/>
        <w:right w:val="none" w:sz="0" w:space="0" w:color="auto"/>
      </w:divBdr>
    </w:div>
    <w:div w:id="535628710">
      <w:bodyDiv w:val="1"/>
      <w:marLeft w:val="0"/>
      <w:marRight w:val="0"/>
      <w:marTop w:val="0"/>
      <w:marBottom w:val="0"/>
      <w:divBdr>
        <w:top w:val="none" w:sz="0" w:space="0" w:color="auto"/>
        <w:left w:val="none" w:sz="0" w:space="0" w:color="auto"/>
        <w:bottom w:val="none" w:sz="0" w:space="0" w:color="auto"/>
        <w:right w:val="none" w:sz="0" w:space="0" w:color="auto"/>
      </w:divBdr>
    </w:div>
    <w:div w:id="535771579">
      <w:bodyDiv w:val="1"/>
      <w:marLeft w:val="0"/>
      <w:marRight w:val="0"/>
      <w:marTop w:val="0"/>
      <w:marBottom w:val="0"/>
      <w:divBdr>
        <w:top w:val="none" w:sz="0" w:space="0" w:color="auto"/>
        <w:left w:val="none" w:sz="0" w:space="0" w:color="auto"/>
        <w:bottom w:val="none" w:sz="0" w:space="0" w:color="auto"/>
        <w:right w:val="none" w:sz="0" w:space="0" w:color="auto"/>
      </w:divBdr>
    </w:div>
    <w:div w:id="535777253">
      <w:bodyDiv w:val="1"/>
      <w:marLeft w:val="0"/>
      <w:marRight w:val="0"/>
      <w:marTop w:val="0"/>
      <w:marBottom w:val="0"/>
      <w:divBdr>
        <w:top w:val="none" w:sz="0" w:space="0" w:color="auto"/>
        <w:left w:val="none" w:sz="0" w:space="0" w:color="auto"/>
        <w:bottom w:val="none" w:sz="0" w:space="0" w:color="auto"/>
        <w:right w:val="none" w:sz="0" w:space="0" w:color="auto"/>
      </w:divBdr>
    </w:div>
    <w:div w:id="535779543">
      <w:bodyDiv w:val="1"/>
      <w:marLeft w:val="0"/>
      <w:marRight w:val="0"/>
      <w:marTop w:val="0"/>
      <w:marBottom w:val="0"/>
      <w:divBdr>
        <w:top w:val="none" w:sz="0" w:space="0" w:color="auto"/>
        <w:left w:val="none" w:sz="0" w:space="0" w:color="auto"/>
        <w:bottom w:val="none" w:sz="0" w:space="0" w:color="auto"/>
        <w:right w:val="none" w:sz="0" w:space="0" w:color="auto"/>
      </w:divBdr>
    </w:div>
    <w:div w:id="535894958">
      <w:bodyDiv w:val="1"/>
      <w:marLeft w:val="0"/>
      <w:marRight w:val="0"/>
      <w:marTop w:val="0"/>
      <w:marBottom w:val="0"/>
      <w:divBdr>
        <w:top w:val="none" w:sz="0" w:space="0" w:color="auto"/>
        <w:left w:val="none" w:sz="0" w:space="0" w:color="auto"/>
        <w:bottom w:val="none" w:sz="0" w:space="0" w:color="auto"/>
        <w:right w:val="none" w:sz="0" w:space="0" w:color="auto"/>
      </w:divBdr>
    </w:div>
    <w:div w:id="535898290">
      <w:bodyDiv w:val="1"/>
      <w:marLeft w:val="0"/>
      <w:marRight w:val="0"/>
      <w:marTop w:val="0"/>
      <w:marBottom w:val="0"/>
      <w:divBdr>
        <w:top w:val="none" w:sz="0" w:space="0" w:color="auto"/>
        <w:left w:val="none" w:sz="0" w:space="0" w:color="auto"/>
        <w:bottom w:val="none" w:sz="0" w:space="0" w:color="auto"/>
        <w:right w:val="none" w:sz="0" w:space="0" w:color="auto"/>
      </w:divBdr>
    </w:div>
    <w:div w:id="535972247">
      <w:bodyDiv w:val="1"/>
      <w:marLeft w:val="0"/>
      <w:marRight w:val="0"/>
      <w:marTop w:val="0"/>
      <w:marBottom w:val="0"/>
      <w:divBdr>
        <w:top w:val="none" w:sz="0" w:space="0" w:color="auto"/>
        <w:left w:val="none" w:sz="0" w:space="0" w:color="auto"/>
        <w:bottom w:val="none" w:sz="0" w:space="0" w:color="auto"/>
        <w:right w:val="none" w:sz="0" w:space="0" w:color="auto"/>
      </w:divBdr>
    </w:div>
    <w:div w:id="535973278">
      <w:bodyDiv w:val="1"/>
      <w:marLeft w:val="0"/>
      <w:marRight w:val="0"/>
      <w:marTop w:val="0"/>
      <w:marBottom w:val="0"/>
      <w:divBdr>
        <w:top w:val="none" w:sz="0" w:space="0" w:color="auto"/>
        <w:left w:val="none" w:sz="0" w:space="0" w:color="auto"/>
        <w:bottom w:val="none" w:sz="0" w:space="0" w:color="auto"/>
        <w:right w:val="none" w:sz="0" w:space="0" w:color="auto"/>
      </w:divBdr>
    </w:div>
    <w:div w:id="536165892">
      <w:bodyDiv w:val="1"/>
      <w:marLeft w:val="0"/>
      <w:marRight w:val="0"/>
      <w:marTop w:val="0"/>
      <w:marBottom w:val="0"/>
      <w:divBdr>
        <w:top w:val="none" w:sz="0" w:space="0" w:color="auto"/>
        <w:left w:val="none" w:sz="0" w:space="0" w:color="auto"/>
        <w:bottom w:val="none" w:sz="0" w:space="0" w:color="auto"/>
        <w:right w:val="none" w:sz="0" w:space="0" w:color="auto"/>
      </w:divBdr>
    </w:div>
    <w:div w:id="536234862">
      <w:bodyDiv w:val="1"/>
      <w:marLeft w:val="0"/>
      <w:marRight w:val="0"/>
      <w:marTop w:val="0"/>
      <w:marBottom w:val="0"/>
      <w:divBdr>
        <w:top w:val="none" w:sz="0" w:space="0" w:color="auto"/>
        <w:left w:val="none" w:sz="0" w:space="0" w:color="auto"/>
        <w:bottom w:val="none" w:sz="0" w:space="0" w:color="auto"/>
        <w:right w:val="none" w:sz="0" w:space="0" w:color="auto"/>
      </w:divBdr>
    </w:div>
    <w:div w:id="536239248">
      <w:bodyDiv w:val="1"/>
      <w:marLeft w:val="0"/>
      <w:marRight w:val="0"/>
      <w:marTop w:val="0"/>
      <w:marBottom w:val="0"/>
      <w:divBdr>
        <w:top w:val="none" w:sz="0" w:space="0" w:color="auto"/>
        <w:left w:val="none" w:sz="0" w:space="0" w:color="auto"/>
        <w:bottom w:val="none" w:sz="0" w:space="0" w:color="auto"/>
        <w:right w:val="none" w:sz="0" w:space="0" w:color="auto"/>
      </w:divBdr>
    </w:div>
    <w:div w:id="536240397">
      <w:bodyDiv w:val="1"/>
      <w:marLeft w:val="0"/>
      <w:marRight w:val="0"/>
      <w:marTop w:val="0"/>
      <w:marBottom w:val="0"/>
      <w:divBdr>
        <w:top w:val="none" w:sz="0" w:space="0" w:color="auto"/>
        <w:left w:val="none" w:sz="0" w:space="0" w:color="auto"/>
        <w:bottom w:val="none" w:sz="0" w:space="0" w:color="auto"/>
        <w:right w:val="none" w:sz="0" w:space="0" w:color="auto"/>
      </w:divBdr>
    </w:div>
    <w:div w:id="536242801">
      <w:bodyDiv w:val="1"/>
      <w:marLeft w:val="0"/>
      <w:marRight w:val="0"/>
      <w:marTop w:val="0"/>
      <w:marBottom w:val="0"/>
      <w:divBdr>
        <w:top w:val="none" w:sz="0" w:space="0" w:color="auto"/>
        <w:left w:val="none" w:sz="0" w:space="0" w:color="auto"/>
        <w:bottom w:val="none" w:sz="0" w:space="0" w:color="auto"/>
        <w:right w:val="none" w:sz="0" w:space="0" w:color="auto"/>
      </w:divBdr>
    </w:div>
    <w:div w:id="536431841">
      <w:bodyDiv w:val="1"/>
      <w:marLeft w:val="0"/>
      <w:marRight w:val="0"/>
      <w:marTop w:val="0"/>
      <w:marBottom w:val="0"/>
      <w:divBdr>
        <w:top w:val="none" w:sz="0" w:space="0" w:color="auto"/>
        <w:left w:val="none" w:sz="0" w:space="0" w:color="auto"/>
        <w:bottom w:val="none" w:sz="0" w:space="0" w:color="auto"/>
        <w:right w:val="none" w:sz="0" w:space="0" w:color="auto"/>
      </w:divBdr>
    </w:div>
    <w:div w:id="536434046">
      <w:bodyDiv w:val="1"/>
      <w:marLeft w:val="0"/>
      <w:marRight w:val="0"/>
      <w:marTop w:val="0"/>
      <w:marBottom w:val="0"/>
      <w:divBdr>
        <w:top w:val="none" w:sz="0" w:space="0" w:color="auto"/>
        <w:left w:val="none" w:sz="0" w:space="0" w:color="auto"/>
        <w:bottom w:val="none" w:sz="0" w:space="0" w:color="auto"/>
        <w:right w:val="none" w:sz="0" w:space="0" w:color="auto"/>
      </w:divBdr>
    </w:div>
    <w:div w:id="536699837">
      <w:bodyDiv w:val="1"/>
      <w:marLeft w:val="0"/>
      <w:marRight w:val="0"/>
      <w:marTop w:val="0"/>
      <w:marBottom w:val="0"/>
      <w:divBdr>
        <w:top w:val="none" w:sz="0" w:space="0" w:color="auto"/>
        <w:left w:val="none" w:sz="0" w:space="0" w:color="auto"/>
        <w:bottom w:val="none" w:sz="0" w:space="0" w:color="auto"/>
        <w:right w:val="none" w:sz="0" w:space="0" w:color="auto"/>
      </w:divBdr>
    </w:div>
    <w:div w:id="536701473">
      <w:bodyDiv w:val="1"/>
      <w:marLeft w:val="0"/>
      <w:marRight w:val="0"/>
      <w:marTop w:val="0"/>
      <w:marBottom w:val="0"/>
      <w:divBdr>
        <w:top w:val="none" w:sz="0" w:space="0" w:color="auto"/>
        <w:left w:val="none" w:sz="0" w:space="0" w:color="auto"/>
        <w:bottom w:val="none" w:sz="0" w:space="0" w:color="auto"/>
        <w:right w:val="none" w:sz="0" w:space="0" w:color="auto"/>
      </w:divBdr>
    </w:div>
    <w:div w:id="536815544">
      <w:bodyDiv w:val="1"/>
      <w:marLeft w:val="0"/>
      <w:marRight w:val="0"/>
      <w:marTop w:val="0"/>
      <w:marBottom w:val="0"/>
      <w:divBdr>
        <w:top w:val="none" w:sz="0" w:space="0" w:color="auto"/>
        <w:left w:val="none" w:sz="0" w:space="0" w:color="auto"/>
        <w:bottom w:val="none" w:sz="0" w:space="0" w:color="auto"/>
        <w:right w:val="none" w:sz="0" w:space="0" w:color="auto"/>
      </w:divBdr>
    </w:div>
    <w:div w:id="536895164">
      <w:bodyDiv w:val="1"/>
      <w:marLeft w:val="0"/>
      <w:marRight w:val="0"/>
      <w:marTop w:val="0"/>
      <w:marBottom w:val="0"/>
      <w:divBdr>
        <w:top w:val="none" w:sz="0" w:space="0" w:color="auto"/>
        <w:left w:val="none" w:sz="0" w:space="0" w:color="auto"/>
        <w:bottom w:val="none" w:sz="0" w:space="0" w:color="auto"/>
        <w:right w:val="none" w:sz="0" w:space="0" w:color="auto"/>
      </w:divBdr>
    </w:div>
    <w:div w:id="536938446">
      <w:bodyDiv w:val="1"/>
      <w:marLeft w:val="0"/>
      <w:marRight w:val="0"/>
      <w:marTop w:val="0"/>
      <w:marBottom w:val="0"/>
      <w:divBdr>
        <w:top w:val="none" w:sz="0" w:space="0" w:color="auto"/>
        <w:left w:val="none" w:sz="0" w:space="0" w:color="auto"/>
        <w:bottom w:val="none" w:sz="0" w:space="0" w:color="auto"/>
        <w:right w:val="none" w:sz="0" w:space="0" w:color="auto"/>
      </w:divBdr>
    </w:div>
    <w:div w:id="537006975">
      <w:bodyDiv w:val="1"/>
      <w:marLeft w:val="0"/>
      <w:marRight w:val="0"/>
      <w:marTop w:val="0"/>
      <w:marBottom w:val="0"/>
      <w:divBdr>
        <w:top w:val="none" w:sz="0" w:space="0" w:color="auto"/>
        <w:left w:val="none" w:sz="0" w:space="0" w:color="auto"/>
        <w:bottom w:val="none" w:sz="0" w:space="0" w:color="auto"/>
        <w:right w:val="none" w:sz="0" w:space="0" w:color="auto"/>
      </w:divBdr>
    </w:div>
    <w:div w:id="537008938">
      <w:bodyDiv w:val="1"/>
      <w:marLeft w:val="0"/>
      <w:marRight w:val="0"/>
      <w:marTop w:val="0"/>
      <w:marBottom w:val="0"/>
      <w:divBdr>
        <w:top w:val="none" w:sz="0" w:space="0" w:color="auto"/>
        <w:left w:val="none" w:sz="0" w:space="0" w:color="auto"/>
        <w:bottom w:val="none" w:sz="0" w:space="0" w:color="auto"/>
        <w:right w:val="none" w:sz="0" w:space="0" w:color="auto"/>
      </w:divBdr>
    </w:div>
    <w:div w:id="537165181">
      <w:bodyDiv w:val="1"/>
      <w:marLeft w:val="0"/>
      <w:marRight w:val="0"/>
      <w:marTop w:val="0"/>
      <w:marBottom w:val="0"/>
      <w:divBdr>
        <w:top w:val="none" w:sz="0" w:space="0" w:color="auto"/>
        <w:left w:val="none" w:sz="0" w:space="0" w:color="auto"/>
        <w:bottom w:val="none" w:sz="0" w:space="0" w:color="auto"/>
        <w:right w:val="none" w:sz="0" w:space="0" w:color="auto"/>
      </w:divBdr>
    </w:div>
    <w:div w:id="537277354">
      <w:bodyDiv w:val="1"/>
      <w:marLeft w:val="0"/>
      <w:marRight w:val="0"/>
      <w:marTop w:val="0"/>
      <w:marBottom w:val="0"/>
      <w:divBdr>
        <w:top w:val="none" w:sz="0" w:space="0" w:color="auto"/>
        <w:left w:val="none" w:sz="0" w:space="0" w:color="auto"/>
        <w:bottom w:val="none" w:sz="0" w:space="0" w:color="auto"/>
        <w:right w:val="none" w:sz="0" w:space="0" w:color="auto"/>
      </w:divBdr>
    </w:div>
    <w:div w:id="537279710">
      <w:bodyDiv w:val="1"/>
      <w:marLeft w:val="0"/>
      <w:marRight w:val="0"/>
      <w:marTop w:val="0"/>
      <w:marBottom w:val="0"/>
      <w:divBdr>
        <w:top w:val="none" w:sz="0" w:space="0" w:color="auto"/>
        <w:left w:val="none" w:sz="0" w:space="0" w:color="auto"/>
        <w:bottom w:val="none" w:sz="0" w:space="0" w:color="auto"/>
        <w:right w:val="none" w:sz="0" w:space="0" w:color="auto"/>
      </w:divBdr>
    </w:div>
    <w:div w:id="537352638">
      <w:bodyDiv w:val="1"/>
      <w:marLeft w:val="0"/>
      <w:marRight w:val="0"/>
      <w:marTop w:val="0"/>
      <w:marBottom w:val="0"/>
      <w:divBdr>
        <w:top w:val="none" w:sz="0" w:space="0" w:color="auto"/>
        <w:left w:val="none" w:sz="0" w:space="0" w:color="auto"/>
        <w:bottom w:val="none" w:sz="0" w:space="0" w:color="auto"/>
        <w:right w:val="none" w:sz="0" w:space="0" w:color="auto"/>
      </w:divBdr>
    </w:div>
    <w:div w:id="537396816">
      <w:bodyDiv w:val="1"/>
      <w:marLeft w:val="0"/>
      <w:marRight w:val="0"/>
      <w:marTop w:val="0"/>
      <w:marBottom w:val="0"/>
      <w:divBdr>
        <w:top w:val="none" w:sz="0" w:space="0" w:color="auto"/>
        <w:left w:val="none" w:sz="0" w:space="0" w:color="auto"/>
        <w:bottom w:val="none" w:sz="0" w:space="0" w:color="auto"/>
        <w:right w:val="none" w:sz="0" w:space="0" w:color="auto"/>
      </w:divBdr>
    </w:div>
    <w:div w:id="537594737">
      <w:bodyDiv w:val="1"/>
      <w:marLeft w:val="0"/>
      <w:marRight w:val="0"/>
      <w:marTop w:val="0"/>
      <w:marBottom w:val="0"/>
      <w:divBdr>
        <w:top w:val="none" w:sz="0" w:space="0" w:color="auto"/>
        <w:left w:val="none" w:sz="0" w:space="0" w:color="auto"/>
        <w:bottom w:val="none" w:sz="0" w:space="0" w:color="auto"/>
        <w:right w:val="none" w:sz="0" w:space="0" w:color="auto"/>
      </w:divBdr>
    </w:div>
    <w:div w:id="537623573">
      <w:bodyDiv w:val="1"/>
      <w:marLeft w:val="0"/>
      <w:marRight w:val="0"/>
      <w:marTop w:val="0"/>
      <w:marBottom w:val="0"/>
      <w:divBdr>
        <w:top w:val="none" w:sz="0" w:space="0" w:color="auto"/>
        <w:left w:val="none" w:sz="0" w:space="0" w:color="auto"/>
        <w:bottom w:val="none" w:sz="0" w:space="0" w:color="auto"/>
        <w:right w:val="none" w:sz="0" w:space="0" w:color="auto"/>
      </w:divBdr>
    </w:div>
    <w:div w:id="537624155">
      <w:bodyDiv w:val="1"/>
      <w:marLeft w:val="0"/>
      <w:marRight w:val="0"/>
      <w:marTop w:val="0"/>
      <w:marBottom w:val="0"/>
      <w:divBdr>
        <w:top w:val="none" w:sz="0" w:space="0" w:color="auto"/>
        <w:left w:val="none" w:sz="0" w:space="0" w:color="auto"/>
        <w:bottom w:val="none" w:sz="0" w:space="0" w:color="auto"/>
        <w:right w:val="none" w:sz="0" w:space="0" w:color="auto"/>
      </w:divBdr>
    </w:div>
    <w:div w:id="537740640">
      <w:bodyDiv w:val="1"/>
      <w:marLeft w:val="0"/>
      <w:marRight w:val="0"/>
      <w:marTop w:val="0"/>
      <w:marBottom w:val="0"/>
      <w:divBdr>
        <w:top w:val="none" w:sz="0" w:space="0" w:color="auto"/>
        <w:left w:val="none" w:sz="0" w:space="0" w:color="auto"/>
        <w:bottom w:val="none" w:sz="0" w:space="0" w:color="auto"/>
        <w:right w:val="none" w:sz="0" w:space="0" w:color="auto"/>
      </w:divBdr>
    </w:div>
    <w:div w:id="537815892">
      <w:bodyDiv w:val="1"/>
      <w:marLeft w:val="0"/>
      <w:marRight w:val="0"/>
      <w:marTop w:val="0"/>
      <w:marBottom w:val="0"/>
      <w:divBdr>
        <w:top w:val="none" w:sz="0" w:space="0" w:color="auto"/>
        <w:left w:val="none" w:sz="0" w:space="0" w:color="auto"/>
        <w:bottom w:val="none" w:sz="0" w:space="0" w:color="auto"/>
        <w:right w:val="none" w:sz="0" w:space="0" w:color="auto"/>
      </w:divBdr>
    </w:div>
    <w:div w:id="537864446">
      <w:bodyDiv w:val="1"/>
      <w:marLeft w:val="0"/>
      <w:marRight w:val="0"/>
      <w:marTop w:val="0"/>
      <w:marBottom w:val="0"/>
      <w:divBdr>
        <w:top w:val="none" w:sz="0" w:space="0" w:color="auto"/>
        <w:left w:val="none" w:sz="0" w:space="0" w:color="auto"/>
        <w:bottom w:val="none" w:sz="0" w:space="0" w:color="auto"/>
        <w:right w:val="none" w:sz="0" w:space="0" w:color="auto"/>
      </w:divBdr>
    </w:div>
    <w:div w:id="538014411">
      <w:bodyDiv w:val="1"/>
      <w:marLeft w:val="0"/>
      <w:marRight w:val="0"/>
      <w:marTop w:val="0"/>
      <w:marBottom w:val="0"/>
      <w:divBdr>
        <w:top w:val="none" w:sz="0" w:space="0" w:color="auto"/>
        <w:left w:val="none" w:sz="0" w:space="0" w:color="auto"/>
        <w:bottom w:val="none" w:sz="0" w:space="0" w:color="auto"/>
        <w:right w:val="none" w:sz="0" w:space="0" w:color="auto"/>
      </w:divBdr>
    </w:div>
    <w:div w:id="538050937">
      <w:bodyDiv w:val="1"/>
      <w:marLeft w:val="0"/>
      <w:marRight w:val="0"/>
      <w:marTop w:val="0"/>
      <w:marBottom w:val="0"/>
      <w:divBdr>
        <w:top w:val="none" w:sz="0" w:space="0" w:color="auto"/>
        <w:left w:val="none" w:sz="0" w:space="0" w:color="auto"/>
        <w:bottom w:val="none" w:sz="0" w:space="0" w:color="auto"/>
        <w:right w:val="none" w:sz="0" w:space="0" w:color="auto"/>
      </w:divBdr>
    </w:div>
    <w:div w:id="538053673">
      <w:bodyDiv w:val="1"/>
      <w:marLeft w:val="0"/>
      <w:marRight w:val="0"/>
      <w:marTop w:val="0"/>
      <w:marBottom w:val="0"/>
      <w:divBdr>
        <w:top w:val="none" w:sz="0" w:space="0" w:color="auto"/>
        <w:left w:val="none" w:sz="0" w:space="0" w:color="auto"/>
        <w:bottom w:val="none" w:sz="0" w:space="0" w:color="auto"/>
        <w:right w:val="none" w:sz="0" w:space="0" w:color="auto"/>
      </w:divBdr>
    </w:div>
    <w:div w:id="538054464">
      <w:bodyDiv w:val="1"/>
      <w:marLeft w:val="0"/>
      <w:marRight w:val="0"/>
      <w:marTop w:val="0"/>
      <w:marBottom w:val="0"/>
      <w:divBdr>
        <w:top w:val="none" w:sz="0" w:space="0" w:color="auto"/>
        <w:left w:val="none" w:sz="0" w:space="0" w:color="auto"/>
        <w:bottom w:val="none" w:sz="0" w:space="0" w:color="auto"/>
        <w:right w:val="none" w:sz="0" w:space="0" w:color="auto"/>
      </w:divBdr>
    </w:div>
    <w:div w:id="538056656">
      <w:bodyDiv w:val="1"/>
      <w:marLeft w:val="0"/>
      <w:marRight w:val="0"/>
      <w:marTop w:val="0"/>
      <w:marBottom w:val="0"/>
      <w:divBdr>
        <w:top w:val="none" w:sz="0" w:space="0" w:color="auto"/>
        <w:left w:val="none" w:sz="0" w:space="0" w:color="auto"/>
        <w:bottom w:val="none" w:sz="0" w:space="0" w:color="auto"/>
        <w:right w:val="none" w:sz="0" w:space="0" w:color="auto"/>
      </w:divBdr>
    </w:div>
    <w:div w:id="538201512">
      <w:bodyDiv w:val="1"/>
      <w:marLeft w:val="0"/>
      <w:marRight w:val="0"/>
      <w:marTop w:val="0"/>
      <w:marBottom w:val="0"/>
      <w:divBdr>
        <w:top w:val="none" w:sz="0" w:space="0" w:color="auto"/>
        <w:left w:val="none" w:sz="0" w:space="0" w:color="auto"/>
        <w:bottom w:val="none" w:sz="0" w:space="0" w:color="auto"/>
        <w:right w:val="none" w:sz="0" w:space="0" w:color="auto"/>
      </w:divBdr>
    </w:div>
    <w:div w:id="538247432">
      <w:bodyDiv w:val="1"/>
      <w:marLeft w:val="0"/>
      <w:marRight w:val="0"/>
      <w:marTop w:val="0"/>
      <w:marBottom w:val="0"/>
      <w:divBdr>
        <w:top w:val="none" w:sz="0" w:space="0" w:color="auto"/>
        <w:left w:val="none" w:sz="0" w:space="0" w:color="auto"/>
        <w:bottom w:val="none" w:sz="0" w:space="0" w:color="auto"/>
        <w:right w:val="none" w:sz="0" w:space="0" w:color="auto"/>
      </w:divBdr>
    </w:div>
    <w:div w:id="538324152">
      <w:bodyDiv w:val="1"/>
      <w:marLeft w:val="0"/>
      <w:marRight w:val="0"/>
      <w:marTop w:val="0"/>
      <w:marBottom w:val="0"/>
      <w:divBdr>
        <w:top w:val="none" w:sz="0" w:space="0" w:color="auto"/>
        <w:left w:val="none" w:sz="0" w:space="0" w:color="auto"/>
        <w:bottom w:val="none" w:sz="0" w:space="0" w:color="auto"/>
        <w:right w:val="none" w:sz="0" w:space="0" w:color="auto"/>
      </w:divBdr>
    </w:div>
    <w:div w:id="538392896">
      <w:bodyDiv w:val="1"/>
      <w:marLeft w:val="0"/>
      <w:marRight w:val="0"/>
      <w:marTop w:val="0"/>
      <w:marBottom w:val="0"/>
      <w:divBdr>
        <w:top w:val="none" w:sz="0" w:space="0" w:color="auto"/>
        <w:left w:val="none" w:sz="0" w:space="0" w:color="auto"/>
        <w:bottom w:val="none" w:sz="0" w:space="0" w:color="auto"/>
        <w:right w:val="none" w:sz="0" w:space="0" w:color="auto"/>
      </w:divBdr>
    </w:div>
    <w:div w:id="538392905">
      <w:bodyDiv w:val="1"/>
      <w:marLeft w:val="0"/>
      <w:marRight w:val="0"/>
      <w:marTop w:val="0"/>
      <w:marBottom w:val="0"/>
      <w:divBdr>
        <w:top w:val="none" w:sz="0" w:space="0" w:color="auto"/>
        <w:left w:val="none" w:sz="0" w:space="0" w:color="auto"/>
        <w:bottom w:val="none" w:sz="0" w:space="0" w:color="auto"/>
        <w:right w:val="none" w:sz="0" w:space="0" w:color="auto"/>
      </w:divBdr>
    </w:div>
    <w:div w:id="538443957">
      <w:bodyDiv w:val="1"/>
      <w:marLeft w:val="0"/>
      <w:marRight w:val="0"/>
      <w:marTop w:val="0"/>
      <w:marBottom w:val="0"/>
      <w:divBdr>
        <w:top w:val="none" w:sz="0" w:space="0" w:color="auto"/>
        <w:left w:val="none" w:sz="0" w:space="0" w:color="auto"/>
        <w:bottom w:val="none" w:sz="0" w:space="0" w:color="auto"/>
        <w:right w:val="none" w:sz="0" w:space="0" w:color="auto"/>
      </w:divBdr>
    </w:div>
    <w:div w:id="538517770">
      <w:bodyDiv w:val="1"/>
      <w:marLeft w:val="0"/>
      <w:marRight w:val="0"/>
      <w:marTop w:val="0"/>
      <w:marBottom w:val="0"/>
      <w:divBdr>
        <w:top w:val="none" w:sz="0" w:space="0" w:color="auto"/>
        <w:left w:val="none" w:sz="0" w:space="0" w:color="auto"/>
        <w:bottom w:val="none" w:sz="0" w:space="0" w:color="auto"/>
        <w:right w:val="none" w:sz="0" w:space="0" w:color="auto"/>
      </w:divBdr>
    </w:div>
    <w:div w:id="538667574">
      <w:bodyDiv w:val="1"/>
      <w:marLeft w:val="0"/>
      <w:marRight w:val="0"/>
      <w:marTop w:val="0"/>
      <w:marBottom w:val="0"/>
      <w:divBdr>
        <w:top w:val="none" w:sz="0" w:space="0" w:color="auto"/>
        <w:left w:val="none" w:sz="0" w:space="0" w:color="auto"/>
        <w:bottom w:val="none" w:sz="0" w:space="0" w:color="auto"/>
        <w:right w:val="none" w:sz="0" w:space="0" w:color="auto"/>
      </w:divBdr>
    </w:div>
    <w:div w:id="538711273">
      <w:bodyDiv w:val="1"/>
      <w:marLeft w:val="0"/>
      <w:marRight w:val="0"/>
      <w:marTop w:val="0"/>
      <w:marBottom w:val="0"/>
      <w:divBdr>
        <w:top w:val="none" w:sz="0" w:space="0" w:color="auto"/>
        <w:left w:val="none" w:sz="0" w:space="0" w:color="auto"/>
        <w:bottom w:val="none" w:sz="0" w:space="0" w:color="auto"/>
        <w:right w:val="none" w:sz="0" w:space="0" w:color="auto"/>
      </w:divBdr>
    </w:div>
    <w:div w:id="538780539">
      <w:bodyDiv w:val="1"/>
      <w:marLeft w:val="0"/>
      <w:marRight w:val="0"/>
      <w:marTop w:val="0"/>
      <w:marBottom w:val="0"/>
      <w:divBdr>
        <w:top w:val="none" w:sz="0" w:space="0" w:color="auto"/>
        <w:left w:val="none" w:sz="0" w:space="0" w:color="auto"/>
        <w:bottom w:val="none" w:sz="0" w:space="0" w:color="auto"/>
        <w:right w:val="none" w:sz="0" w:space="0" w:color="auto"/>
      </w:divBdr>
    </w:div>
    <w:div w:id="538975072">
      <w:bodyDiv w:val="1"/>
      <w:marLeft w:val="0"/>
      <w:marRight w:val="0"/>
      <w:marTop w:val="0"/>
      <w:marBottom w:val="0"/>
      <w:divBdr>
        <w:top w:val="none" w:sz="0" w:space="0" w:color="auto"/>
        <w:left w:val="none" w:sz="0" w:space="0" w:color="auto"/>
        <w:bottom w:val="none" w:sz="0" w:space="0" w:color="auto"/>
        <w:right w:val="none" w:sz="0" w:space="0" w:color="auto"/>
      </w:divBdr>
    </w:div>
    <w:div w:id="538977763">
      <w:bodyDiv w:val="1"/>
      <w:marLeft w:val="0"/>
      <w:marRight w:val="0"/>
      <w:marTop w:val="0"/>
      <w:marBottom w:val="0"/>
      <w:divBdr>
        <w:top w:val="none" w:sz="0" w:space="0" w:color="auto"/>
        <w:left w:val="none" w:sz="0" w:space="0" w:color="auto"/>
        <w:bottom w:val="none" w:sz="0" w:space="0" w:color="auto"/>
        <w:right w:val="none" w:sz="0" w:space="0" w:color="auto"/>
      </w:divBdr>
    </w:div>
    <w:div w:id="539050517">
      <w:bodyDiv w:val="1"/>
      <w:marLeft w:val="0"/>
      <w:marRight w:val="0"/>
      <w:marTop w:val="0"/>
      <w:marBottom w:val="0"/>
      <w:divBdr>
        <w:top w:val="none" w:sz="0" w:space="0" w:color="auto"/>
        <w:left w:val="none" w:sz="0" w:space="0" w:color="auto"/>
        <w:bottom w:val="none" w:sz="0" w:space="0" w:color="auto"/>
        <w:right w:val="none" w:sz="0" w:space="0" w:color="auto"/>
      </w:divBdr>
    </w:div>
    <w:div w:id="539129313">
      <w:bodyDiv w:val="1"/>
      <w:marLeft w:val="0"/>
      <w:marRight w:val="0"/>
      <w:marTop w:val="0"/>
      <w:marBottom w:val="0"/>
      <w:divBdr>
        <w:top w:val="none" w:sz="0" w:space="0" w:color="auto"/>
        <w:left w:val="none" w:sz="0" w:space="0" w:color="auto"/>
        <w:bottom w:val="none" w:sz="0" w:space="0" w:color="auto"/>
        <w:right w:val="none" w:sz="0" w:space="0" w:color="auto"/>
      </w:divBdr>
    </w:div>
    <w:div w:id="539129493">
      <w:bodyDiv w:val="1"/>
      <w:marLeft w:val="0"/>
      <w:marRight w:val="0"/>
      <w:marTop w:val="0"/>
      <w:marBottom w:val="0"/>
      <w:divBdr>
        <w:top w:val="none" w:sz="0" w:space="0" w:color="auto"/>
        <w:left w:val="none" w:sz="0" w:space="0" w:color="auto"/>
        <w:bottom w:val="none" w:sz="0" w:space="0" w:color="auto"/>
        <w:right w:val="none" w:sz="0" w:space="0" w:color="auto"/>
      </w:divBdr>
    </w:div>
    <w:div w:id="539168325">
      <w:bodyDiv w:val="1"/>
      <w:marLeft w:val="0"/>
      <w:marRight w:val="0"/>
      <w:marTop w:val="0"/>
      <w:marBottom w:val="0"/>
      <w:divBdr>
        <w:top w:val="none" w:sz="0" w:space="0" w:color="auto"/>
        <w:left w:val="none" w:sz="0" w:space="0" w:color="auto"/>
        <w:bottom w:val="none" w:sz="0" w:space="0" w:color="auto"/>
        <w:right w:val="none" w:sz="0" w:space="0" w:color="auto"/>
      </w:divBdr>
    </w:div>
    <w:div w:id="539243712">
      <w:bodyDiv w:val="1"/>
      <w:marLeft w:val="0"/>
      <w:marRight w:val="0"/>
      <w:marTop w:val="0"/>
      <w:marBottom w:val="0"/>
      <w:divBdr>
        <w:top w:val="none" w:sz="0" w:space="0" w:color="auto"/>
        <w:left w:val="none" w:sz="0" w:space="0" w:color="auto"/>
        <w:bottom w:val="none" w:sz="0" w:space="0" w:color="auto"/>
        <w:right w:val="none" w:sz="0" w:space="0" w:color="auto"/>
      </w:divBdr>
    </w:div>
    <w:div w:id="539362052">
      <w:bodyDiv w:val="1"/>
      <w:marLeft w:val="0"/>
      <w:marRight w:val="0"/>
      <w:marTop w:val="0"/>
      <w:marBottom w:val="0"/>
      <w:divBdr>
        <w:top w:val="none" w:sz="0" w:space="0" w:color="auto"/>
        <w:left w:val="none" w:sz="0" w:space="0" w:color="auto"/>
        <w:bottom w:val="none" w:sz="0" w:space="0" w:color="auto"/>
        <w:right w:val="none" w:sz="0" w:space="0" w:color="auto"/>
      </w:divBdr>
    </w:div>
    <w:div w:id="539440001">
      <w:bodyDiv w:val="1"/>
      <w:marLeft w:val="0"/>
      <w:marRight w:val="0"/>
      <w:marTop w:val="0"/>
      <w:marBottom w:val="0"/>
      <w:divBdr>
        <w:top w:val="none" w:sz="0" w:space="0" w:color="auto"/>
        <w:left w:val="none" w:sz="0" w:space="0" w:color="auto"/>
        <w:bottom w:val="none" w:sz="0" w:space="0" w:color="auto"/>
        <w:right w:val="none" w:sz="0" w:space="0" w:color="auto"/>
      </w:divBdr>
    </w:div>
    <w:div w:id="539518266">
      <w:bodyDiv w:val="1"/>
      <w:marLeft w:val="0"/>
      <w:marRight w:val="0"/>
      <w:marTop w:val="0"/>
      <w:marBottom w:val="0"/>
      <w:divBdr>
        <w:top w:val="none" w:sz="0" w:space="0" w:color="auto"/>
        <w:left w:val="none" w:sz="0" w:space="0" w:color="auto"/>
        <w:bottom w:val="none" w:sz="0" w:space="0" w:color="auto"/>
        <w:right w:val="none" w:sz="0" w:space="0" w:color="auto"/>
      </w:divBdr>
    </w:div>
    <w:div w:id="539519161">
      <w:bodyDiv w:val="1"/>
      <w:marLeft w:val="0"/>
      <w:marRight w:val="0"/>
      <w:marTop w:val="0"/>
      <w:marBottom w:val="0"/>
      <w:divBdr>
        <w:top w:val="none" w:sz="0" w:space="0" w:color="auto"/>
        <w:left w:val="none" w:sz="0" w:space="0" w:color="auto"/>
        <w:bottom w:val="none" w:sz="0" w:space="0" w:color="auto"/>
        <w:right w:val="none" w:sz="0" w:space="0" w:color="auto"/>
      </w:divBdr>
    </w:div>
    <w:div w:id="539636872">
      <w:bodyDiv w:val="1"/>
      <w:marLeft w:val="0"/>
      <w:marRight w:val="0"/>
      <w:marTop w:val="0"/>
      <w:marBottom w:val="0"/>
      <w:divBdr>
        <w:top w:val="none" w:sz="0" w:space="0" w:color="auto"/>
        <w:left w:val="none" w:sz="0" w:space="0" w:color="auto"/>
        <w:bottom w:val="none" w:sz="0" w:space="0" w:color="auto"/>
        <w:right w:val="none" w:sz="0" w:space="0" w:color="auto"/>
      </w:divBdr>
    </w:div>
    <w:div w:id="539704231">
      <w:bodyDiv w:val="1"/>
      <w:marLeft w:val="0"/>
      <w:marRight w:val="0"/>
      <w:marTop w:val="0"/>
      <w:marBottom w:val="0"/>
      <w:divBdr>
        <w:top w:val="none" w:sz="0" w:space="0" w:color="auto"/>
        <w:left w:val="none" w:sz="0" w:space="0" w:color="auto"/>
        <w:bottom w:val="none" w:sz="0" w:space="0" w:color="auto"/>
        <w:right w:val="none" w:sz="0" w:space="0" w:color="auto"/>
      </w:divBdr>
    </w:div>
    <w:div w:id="539707397">
      <w:bodyDiv w:val="1"/>
      <w:marLeft w:val="0"/>
      <w:marRight w:val="0"/>
      <w:marTop w:val="0"/>
      <w:marBottom w:val="0"/>
      <w:divBdr>
        <w:top w:val="none" w:sz="0" w:space="0" w:color="auto"/>
        <w:left w:val="none" w:sz="0" w:space="0" w:color="auto"/>
        <w:bottom w:val="none" w:sz="0" w:space="0" w:color="auto"/>
        <w:right w:val="none" w:sz="0" w:space="0" w:color="auto"/>
      </w:divBdr>
    </w:div>
    <w:div w:id="539778575">
      <w:bodyDiv w:val="1"/>
      <w:marLeft w:val="0"/>
      <w:marRight w:val="0"/>
      <w:marTop w:val="0"/>
      <w:marBottom w:val="0"/>
      <w:divBdr>
        <w:top w:val="none" w:sz="0" w:space="0" w:color="auto"/>
        <w:left w:val="none" w:sz="0" w:space="0" w:color="auto"/>
        <w:bottom w:val="none" w:sz="0" w:space="0" w:color="auto"/>
        <w:right w:val="none" w:sz="0" w:space="0" w:color="auto"/>
      </w:divBdr>
    </w:div>
    <w:div w:id="539822487">
      <w:bodyDiv w:val="1"/>
      <w:marLeft w:val="0"/>
      <w:marRight w:val="0"/>
      <w:marTop w:val="0"/>
      <w:marBottom w:val="0"/>
      <w:divBdr>
        <w:top w:val="none" w:sz="0" w:space="0" w:color="auto"/>
        <w:left w:val="none" w:sz="0" w:space="0" w:color="auto"/>
        <w:bottom w:val="none" w:sz="0" w:space="0" w:color="auto"/>
        <w:right w:val="none" w:sz="0" w:space="0" w:color="auto"/>
      </w:divBdr>
    </w:div>
    <w:div w:id="539822595">
      <w:bodyDiv w:val="1"/>
      <w:marLeft w:val="0"/>
      <w:marRight w:val="0"/>
      <w:marTop w:val="0"/>
      <w:marBottom w:val="0"/>
      <w:divBdr>
        <w:top w:val="none" w:sz="0" w:space="0" w:color="auto"/>
        <w:left w:val="none" w:sz="0" w:space="0" w:color="auto"/>
        <w:bottom w:val="none" w:sz="0" w:space="0" w:color="auto"/>
        <w:right w:val="none" w:sz="0" w:space="0" w:color="auto"/>
      </w:divBdr>
    </w:div>
    <w:div w:id="539824995">
      <w:bodyDiv w:val="1"/>
      <w:marLeft w:val="0"/>
      <w:marRight w:val="0"/>
      <w:marTop w:val="0"/>
      <w:marBottom w:val="0"/>
      <w:divBdr>
        <w:top w:val="none" w:sz="0" w:space="0" w:color="auto"/>
        <w:left w:val="none" w:sz="0" w:space="0" w:color="auto"/>
        <w:bottom w:val="none" w:sz="0" w:space="0" w:color="auto"/>
        <w:right w:val="none" w:sz="0" w:space="0" w:color="auto"/>
      </w:divBdr>
    </w:div>
    <w:div w:id="539830207">
      <w:bodyDiv w:val="1"/>
      <w:marLeft w:val="0"/>
      <w:marRight w:val="0"/>
      <w:marTop w:val="0"/>
      <w:marBottom w:val="0"/>
      <w:divBdr>
        <w:top w:val="none" w:sz="0" w:space="0" w:color="auto"/>
        <w:left w:val="none" w:sz="0" w:space="0" w:color="auto"/>
        <w:bottom w:val="none" w:sz="0" w:space="0" w:color="auto"/>
        <w:right w:val="none" w:sz="0" w:space="0" w:color="auto"/>
      </w:divBdr>
    </w:div>
    <w:div w:id="540048762">
      <w:bodyDiv w:val="1"/>
      <w:marLeft w:val="0"/>
      <w:marRight w:val="0"/>
      <w:marTop w:val="0"/>
      <w:marBottom w:val="0"/>
      <w:divBdr>
        <w:top w:val="none" w:sz="0" w:space="0" w:color="auto"/>
        <w:left w:val="none" w:sz="0" w:space="0" w:color="auto"/>
        <w:bottom w:val="none" w:sz="0" w:space="0" w:color="auto"/>
        <w:right w:val="none" w:sz="0" w:space="0" w:color="auto"/>
      </w:divBdr>
    </w:div>
    <w:div w:id="540171133">
      <w:bodyDiv w:val="1"/>
      <w:marLeft w:val="0"/>
      <w:marRight w:val="0"/>
      <w:marTop w:val="0"/>
      <w:marBottom w:val="0"/>
      <w:divBdr>
        <w:top w:val="none" w:sz="0" w:space="0" w:color="auto"/>
        <w:left w:val="none" w:sz="0" w:space="0" w:color="auto"/>
        <w:bottom w:val="none" w:sz="0" w:space="0" w:color="auto"/>
        <w:right w:val="none" w:sz="0" w:space="0" w:color="auto"/>
      </w:divBdr>
    </w:div>
    <w:div w:id="540214472">
      <w:bodyDiv w:val="1"/>
      <w:marLeft w:val="0"/>
      <w:marRight w:val="0"/>
      <w:marTop w:val="0"/>
      <w:marBottom w:val="0"/>
      <w:divBdr>
        <w:top w:val="none" w:sz="0" w:space="0" w:color="auto"/>
        <w:left w:val="none" w:sz="0" w:space="0" w:color="auto"/>
        <w:bottom w:val="none" w:sz="0" w:space="0" w:color="auto"/>
        <w:right w:val="none" w:sz="0" w:space="0" w:color="auto"/>
      </w:divBdr>
    </w:div>
    <w:div w:id="540240803">
      <w:bodyDiv w:val="1"/>
      <w:marLeft w:val="0"/>
      <w:marRight w:val="0"/>
      <w:marTop w:val="0"/>
      <w:marBottom w:val="0"/>
      <w:divBdr>
        <w:top w:val="none" w:sz="0" w:space="0" w:color="auto"/>
        <w:left w:val="none" w:sz="0" w:space="0" w:color="auto"/>
        <w:bottom w:val="none" w:sz="0" w:space="0" w:color="auto"/>
        <w:right w:val="none" w:sz="0" w:space="0" w:color="auto"/>
      </w:divBdr>
    </w:div>
    <w:div w:id="540358993">
      <w:bodyDiv w:val="1"/>
      <w:marLeft w:val="0"/>
      <w:marRight w:val="0"/>
      <w:marTop w:val="0"/>
      <w:marBottom w:val="0"/>
      <w:divBdr>
        <w:top w:val="none" w:sz="0" w:space="0" w:color="auto"/>
        <w:left w:val="none" w:sz="0" w:space="0" w:color="auto"/>
        <w:bottom w:val="none" w:sz="0" w:space="0" w:color="auto"/>
        <w:right w:val="none" w:sz="0" w:space="0" w:color="auto"/>
      </w:divBdr>
    </w:div>
    <w:div w:id="540483780">
      <w:bodyDiv w:val="1"/>
      <w:marLeft w:val="0"/>
      <w:marRight w:val="0"/>
      <w:marTop w:val="0"/>
      <w:marBottom w:val="0"/>
      <w:divBdr>
        <w:top w:val="none" w:sz="0" w:space="0" w:color="auto"/>
        <w:left w:val="none" w:sz="0" w:space="0" w:color="auto"/>
        <w:bottom w:val="none" w:sz="0" w:space="0" w:color="auto"/>
        <w:right w:val="none" w:sz="0" w:space="0" w:color="auto"/>
      </w:divBdr>
    </w:div>
    <w:div w:id="540560347">
      <w:bodyDiv w:val="1"/>
      <w:marLeft w:val="0"/>
      <w:marRight w:val="0"/>
      <w:marTop w:val="0"/>
      <w:marBottom w:val="0"/>
      <w:divBdr>
        <w:top w:val="none" w:sz="0" w:space="0" w:color="auto"/>
        <w:left w:val="none" w:sz="0" w:space="0" w:color="auto"/>
        <w:bottom w:val="none" w:sz="0" w:space="0" w:color="auto"/>
        <w:right w:val="none" w:sz="0" w:space="0" w:color="auto"/>
      </w:divBdr>
    </w:div>
    <w:div w:id="540634645">
      <w:bodyDiv w:val="1"/>
      <w:marLeft w:val="0"/>
      <w:marRight w:val="0"/>
      <w:marTop w:val="0"/>
      <w:marBottom w:val="0"/>
      <w:divBdr>
        <w:top w:val="none" w:sz="0" w:space="0" w:color="auto"/>
        <w:left w:val="none" w:sz="0" w:space="0" w:color="auto"/>
        <w:bottom w:val="none" w:sz="0" w:space="0" w:color="auto"/>
        <w:right w:val="none" w:sz="0" w:space="0" w:color="auto"/>
      </w:divBdr>
    </w:div>
    <w:div w:id="540675731">
      <w:bodyDiv w:val="1"/>
      <w:marLeft w:val="0"/>
      <w:marRight w:val="0"/>
      <w:marTop w:val="0"/>
      <w:marBottom w:val="0"/>
      <w:divBdr>
        <w:top w:val="none" w:sz="0" w:space="0" w:color="auto"/>
        <w:left w:val="none" w:sz="0" w:space="0" w:color="auto"/>
        <w:bottom w:val="none" w:sz="0" w:space="0" w:color="auto"/>
        <w:right w:val="none" w:sz="0" w:space="0" w:color="auto"/>
      </w:divBdr>
    </w:div>
    <w:div w:id="540822991">
      <w:bodyDiv w:val="1"/>
      <w:marLeft w:val="0"/>
      <w:marRight w:val="0"/>
      <w:marTop w:val="0"/>
      <w:marBottom w:val="0"/>
      <w:divBdr>
        <w:top w:val="none" w:sz="0" w:space="0" w:color="auto"/>
        <w:left w:val="none" w:sz="0" w:space="0" w:color="auto"/>
        <w:bottom w:val="none" w:sz="0" w:space="0" w:color="auto"/>
        <w:right w:val="none" w:sz="0" w:space="0" w:color="auto"/>
      </w:divBdr>
    </w:div>
    <w:div w:id="540827728">
      <w:bodyDiv w:val="1"/>
      <w:marLeft w:val="0"/>
      <w:marRight w:val="0"/>
      <w:marTop w:val="0"/>
      <w:marBottom w:val="0"/>
      <w:divBdr>
        <w:top w:val="none" w:sz="0" w:space="0" w:color="auto"/>
        <w:left w:val="none" w:sz="0" w:space="0" w:color="auto"/>
        <w:bottom w:val="none" w:sz="0" w:space="0" w:color="auto"/>
        <w:right w:val="none" w:sz="0" w:space="0" w:color="auto"/>
      </w:divBdr>
    </w:div>
    <w:div w:id="541092323">
      <w:bodyDiv w:val="1"/>
      <w:marLeft w:val="0"/>
      <w:marRight w:val="0"/>
      <w:marTop w:val="0"/>
      <w:marBottom w:val="0"/>
      <w:divBdr>
        <w:top w:val="none" w:sz="0" w:space="0" w:color="auto"/>
        <w:left w:val="none" w:sz="0" w:space="0" w:color="auto"/>
        <w:bottom w:val="none" w:sz="0" w:space="0" w:color="auto"/>
        <w:right w:val="none" w:sz="0" w:space="0" w:color="auto"/>
      </w:divBdr>
    </w:div>
    <w:div w:id="541131552">
      <w:bodyDiv w:val="1"/>
      <w:marLeft w:val="0"/>
      <w:marRight w:val="0"/>
      <w:marTop w:val="0"/>
      <w:marBottom w:val="0"/>
      <w:divBdr>
        <w:top w:val="none" w:sz="0" w:space="0" w:color="auto"/>
        <w:left w:val="none" w:sz="0" w:space="0" w:color="auto"/>
        <w:bottom w:val="none" w:sz="0" w:space="0" w:color="auto"/>
        <w:right w:val="none" w:sz="0" w:space="0" w:color="auto"/>
      </w:divBdr>
    </w:div>
    <w:div w:id="541209978">
      <w:bodyDiv w:val="1"/>
      <w:marLeft w:val="0"/>
      <w:marRight w:val="0"/>
      <w:marTop w:val="0"/>
      <w:marBottom w:val="0"/>
      <w:divBdr>
        <w:top w:val="none" w:sz="0" w:space="0" w:color="auto"/>
        <w:left w:val="none" w:sz="0" w:space="0" w:color="auto"/>
        <w:bottom w:val="none" w:sz="0" w:space="0" w:color="auto"/>
        <w:right w:val="none" w:sz="0" w:space="0" w:color="auto"/>
      </w:divBdr>
    </w:div>
    <w:div w:id="541214816">
      <w:bodyDiv w:val="1"/>
      <w:marLeft w:val="0"/>
      <w:marRight w:val="0"/>
      <w:marTop w:val="0"/>
      <w:marBottom w:val="0"/>
      <w:divBdr>
        <w:top w:val="none" w:sz="0" w:space="0" w:color="auto"/>
        <w:left w:val="none" w:sz="0" w:space="0" w:color="auto"/>
        <w:bottom w:val="none" w:sz="0" w:space="0" w:color="auto"/>
        <w:right w:val="none" w:sz="0" w:space="0" w:color="auto"/>
      </w:divBdr>
    </w:div>
    <w:div w:id="541215900">
      <w:bodyDiv w:val="1"/>
      <w:marLeft w:val="0"/>
      <w:marRight w:val="0"/>
      <w:marTop w:val="0"/>
      <w:marBottom w:val="0"/>
      <w:divBdr>
        <w:top w:val="none" w:sz="0" w:space="0" w:color="auto"/>
        <w:left w:val="none" w:sz="0" w:space="0" w:color="auto"/>
        <w:bottom w:val="none" w:sz="0" w:space="0" w:color="auto"/>
        <w:right w:val="none" w:sz="0" w:space="0" w:color="auto"/>
      </w:divBdr>
    </w:div>
    <w:div w:id="541287108">
      <w:bodyDiv w:val="1"/>
      <w:marLeft w:val="0"/>
      <w:marRight w:val="0"/>
      <w:marTop w:val="0"/>
      <w:marBottom w:val="0"/>
      <w:divBdr>
        <w:top w:val="none" w:sz="0" w:space="0" w:color="auto"/>
        <w:left w:val="none" w:sz="0" w:space="0" w:color="auto"/>
        <w:bottom w:val="none" w:sz="0" w:space="0" w:color="auto"/>
        <w:right w:val="none" w:sz="0" w:space="0" w:color="auto"/>
      </w:divBdr>
    </w:div>
    <w:div w:id="541359794">
      <w:bodyDiv w:val="1"/>
      <w:marLeft w:val="0"/>
      <w:marRight w:val="0"/>
      <w:marTop w:val="0"/>
      <w:marBottom w:val="0"/>
      <w:divBdr>
        <w:top w:val="none" w:sz="0" w:space="0" w:color="auto"/>
        <w:left w:val="none" w:sz="0" w:space="0" w:color="auto"/>
        <w:bottom w:val="none" w:sz="0" w:space="0" w:color="auto"/>
        <w:right w:val="none" w:sz="0" w:space="0" w:color="auto"/>
      </w:divBdr>
    </w:div>
    <w:div w:id="541402131">
      <w:bodyDiv w:val="1"/>
      <w:marLeft w:val="0"/>
      <w:marRight w:val="0"/>
      <w:marTop w:val="0"/>
      <w:marBottom w:val="0"/>
      <w:divBdr>
        <w:top w:val="none" w:sz="0" w:space="0" w:color="auto"/>
        <w:left w:val="none" w:sz="0" w:space="0" w:color="auto"/>
        <w:bottom w:val="none" w:sz="0" w:space="0" w:color="auto"/>
        <w:right w:val="none" w:sz="0" w:space="0" w:color="auto"/>
      </w:divBdr>
    </w:div>
    <w:div w:id="541402743">
      <w:bodyDiv w:val="1"/>
      <w:marLeft w:val="0"/>
      <w:marRight w:val="0"/>
      <w:marTop w:val="0"/>
      <w:marBottom w:val="0"/>
      <w:divBdr>
        <w:top w:val="none" w:sz="0" w:space="0" w:color="auto"/>
        <w:left w:val="none" w:sz="0" w:space="0" w:color="auto"/>
        <w:bottom w:val="none" w:sz="0" w:space="0" w:color="auto"/>
        <w:right w:val="none" w:sz="0" w:space="0" w:color="auto"/>
      </w:divBdr>
    </w:div>
    <w:div w:id="541482702">
      <w:bodyDiv w:val="1"/>
      <w:marLeft w:val="0"/>
      <w:marRight w:val="0"/>
      <w:marTop w:val="0"/>
      <w:marBottom w:val="0"/>
      <w:divBdr>
        <w:top w:val="none" w:sz="0" w:space="0" w:color="auto"/>
        <w:left w:val="none" w:sz="0" w:space="0" w:color="auto"/>
        <w:bottom w:val="none" w:sz="0" w:space="0" w:color="auto"/>
        <w:right w:val="none" w:sz="0" w:space="0" w:color="auto"/>
      </w:divBdr>
    </w:div>
    <w:div w:id="541525309">
      <w:bodyDiv w:val="1"/>
      <w:marLeft w:val="0"/>
      <w:marRight w:val="0"/>
      <w:marTop w:val="0"/>
      <w:marBottom w:val="0"/>
      <w:divBdr>
        <w:top w:val="none" w:sz="0" w:space="0" w:color="auto"/>
        <w:left w:val="none" w:sz="0" w:space="0" w:color="auto"/>
        <w:bottom w:val="none" w:sz="0" w:space="0" w:color="auto"/>
        <w:right w:val="none" w:sz="0" w:space="0" w:color="auto"/>
      </w:divBdr>
    </w:div>
    <w:div w:id="541551013">
      <w:bodyDiv w:val="1"/>
      <w:marLeft w:val="0"/>
      <w:marRight w:val="0"/>
      <w:marTop w:val="0"/>
      <w:marBottom w:val="0"/>
      <w:divBdr>
        <w:top w:val="none" w:sz="0" w:space="0" w:color="auto"/>
        <w:left w:val="none" w:sz="0" w:space="0" w:color="auto"/>
        <w:bottom w:val="none" w:sz="0" w:space="0" w:color="auto"/>
        <w:right w:val="none" w:sz="0" w:space="0" w:color="auto"/>
      </w:divBdr>
    </w:div>
    <w:div w:id="541555106">
      <w:bodyDiv w:val="1"/>
      <w:marLeft w:val="0"/>
      <w:marRight w:val="0"/>
      <w:marTop w:val="0"/>
      <w:marBottom w:val="0"/>
      <w:divBdr>
        <w:top w:val="none" w:sz="0" w:space="0" w:color="auto"/>
        <w:left w:val="none" w:sz="0" w:space="0" w:color="auto"/>
        <w:bottom w:val="none" w:sz="0" w:space="0" w:color="auto"/>
        <w:right w:val="none" w:sz="0" w:space="0" w:color="auto"/>
      </w:divBdr>
    </w:div>
    <w:div w:id="541673789">
      <w:bodyDiv w:val="1"/>
      <w:marLeft w:val="0"/>
      <w:marRight w:val="0"/>
      <w:marTop w:val="0"/>
      <w:marBottom w:val="0"/>
      <w:divBdr>
        <w:top w:val="none" w:sz="0" w:space="0" w:color="auto"/>
        <w:left w:val="none" w:sz="0" w:space="0" w:color="auto"/>
        <w:bottom w:val="none" w:sz="0" w:space="0" w:color="auto"/>
        <w:right w:val="none" w:sz="0" w:space="0" w:color="auto"/>
      </w:divBdr>
    </w:div>
    <w:div w:id="541943155">
      <w:bodyDiv w:val="1"/>
      <w:marLeft w:val="0"/>
      <w:marRight w:val="0"/>
      <w:marTop w:val="0"/>
      <w:marBottom w:val="0"/>
      <w:divBdr>
        <w:top w:val="none" w:sz="0" w:space="0" w:color="auto"/>
        <w:left w:val="none" w:sz="0" w:space="0" w:color="auto"/>
        <w:bottom w:val="none" w:sz="0" w:space="0" w:color="auto"/>
        <w:right w:val="none" w:sz="0" w:space="0" w:color="auto"/>
      </w:divBdr>
    </w:div>
    <w:div w:id="542131024">
      <w:bodyDiv w:val="1"/>
      <w:marLeft w:val="0"/>
      <w:marRight w:val="0"/>
      <w:marTop w:val="0"/>
      <w:marBottom w:val="0"/>
      <w:divBdr>
        <w:top w:val="none" w:sz="0" w:space="0" w:color="auto"/>
        <w:left w:val="none" w:sz="0" w:space="0" w:color="auto"/>
        <w:bottom w:val="none" w:sz="0" w:space="0" w:color="auto"/>
        <w:right w:val="none" w:sz="0" w:space="0" w:color="auto"/>
      </w:divBdr>
    </w:div>
    <w:div w:id="542210596">
      <w:bodyDiv w:val="1"/>
      <w:marLeft w:val="0"/>
      <w:marRight w:val="0"/>
      <w:marTop w:val="0"/>
      <w:marBottom w:val="0"/>
      <w:divBdr>
        <w:top w:val="none" w:sz="0" w:space="0" w:color="auto"/>
        <w:left w:val="none" w:sz="0" w:space="0" w:color="auto"/>
        <w:bottom w:val="none" w:sz="0" w:space="0" w:color="auto"/>
        <w:right w:val="none" w:sz="0" w:space="0" w:color="auto"/>
      </w:divBdr>
    </w:div>
    <w:div w:id="542250201">
      <w:bodyDiv w:val="1"/>
      <w:marLeft w:val="0"/>
      <w:marRight w:val="0"/>
      <w:marTop w:val="0"/>
      <w:marBottom w:val="0"/>
      <w:divBdr>
        <w:top w:val="none" w:sz="0" w:space="0" w:color="auto"/>
        <w:left w:val="none" w:sz="0" w:space="0" w:color="auto"/>
        <w:bottom w:val="none" w:sz="0" w:space="0" w:color="auto"/>
        <w:right w:val="none" w:sz="0" w:space="0" w:color="auto"/>
      </w:divBdr>
    </w:div>
    <w:div w:id="542324562">
      <w:bodyDiv w:val="1"/>
      <w:marLeft w:val="0"/>
      <w:marRight w:val="0"/>
      <w:marTop w:val="0"/>
      <w:marBottom w:val="0"/>
      <w:divBdr>
        <w:top w:val="none" w:sz="0" w:space="0" w:color="auto"/>
        <w:left w:val="none" w:sz="0" w:space="0" w:color="auto"/>
        <w:bottom w:val="none" w:sz="0" w:space="0" w:color="auto"/>
        <w:right w:val="none" w:sz="0" w:space="0" w:color="auto"/>
      </w:divBdr>
    </w:div>
    <w:div w:id="542331999">
      <w:bodyDiv w:val="1"/>
      <w:marLeft w:val="0"/>
      <w:marRight w:val="0"/>
      <w:marTop w:val="0"/>
      <w:marBottom w:val="0"/>
      <w:divBdr>
        <w:top w:val="none" w:sz="0" w:space="0" w:color="auto"/>
        <w:left w:val="none" w:sz="0" w:space="0" w:color="auto"/>
        <w:bottom w:val="none" w:sz="0" w:space="0" w:color="auto"/>
        <w:right w:val="none" w:sz="0" w:space="0" w:color="auto"/>
      </w:divBdr>
    </w:div>
    <w:div w:id="542333303">
      <w:bodyDiv w:val="1"/>
      <w:marLeft w:val="0"/>
      <w:marRight w:val="0"/>
      <w:marTop w:val="0"/>
      <w:marBottom w:val="0"/>
      <w:divBdr>
        <w:top w:val="none" w:sz="0" w:space="0" w:color="auto"/>
        <w:left w:val="none" w:sz="0" w:space="0" w:color="auto"/>
        <w:bottom w:val="none" w:sz="0" w:space="0" w:color="auto"/>
        <w:right w:val="none" w:sz="0" w:space="0" w:color="auto"/>
      </w:divBdr>
    </w:div>
    <w:div w:id="542405618">
      <w:bodyDiv w:val="1"/>
      <w:marLeft w:val="0"/>
      <w:marRight w:val="0"/>
      <w:marTop w:val="0"/>
      <w:marBottom w:val="0"/>
      <w:divBdr>
        <w:top w:val="none" w:sz="0" w:space="0" w:color="auto"/>
        <w:left w:val="none" w:sz="0" w:space="0" w:color="auto"/>
        <w:bottom w:val="none" w:sz="0" w:space="0" w:color="auto"/>
        <w:right w:val="none" w:sz="0" w:space="0" w:color="auto"/>
      </w:divBdr>
    </w:div>
    <w:div w:id="542406803">
      <w:bodyDiv w:val="1"/>
      <w:marLeft w:val="0"/>
      <w:marRight w:val="0"/>
      <w:marTop w:val="0"/>
      <w:marBottom w:val="0"/>
      <w:divBdr>
        <w:top w:val="none" w:sz="0" w:space="0" w:color="auto"/>
        <w:left w:val="none" w:sz="0" w:space="0" w:color="auto"/>
        <w:bottom w:val="none" w:sz="0" w:space="0" w:color="auto"/>
        <w:right w:val="none" w:sz="0" w:space="0" w:color="auto"/>
      </w:divBdr>
    </w:div>
    <w:div w:id="542788400">
      <w:bodyDiv w:val="1"/>
      <w:marLeft w:val="0"/>
      <w:marRight w:val="0"/>
      <w:marTop w:val="0"/>
      <w:marBottom w:val="0"/>
      <w:divBdr>
        <w:top w:val="none" w:sz="0" w:space="0" w:color="auto"/>
        <w:left w:val="none" w:sz="0" w:space="0" w:color="auto"/>
        <w:bottom w:val="none" w:sz="0" w:space="0" w:color="auto"/>
        <w:right w:val="none" w:sz="0" w:space="0" w:color="auto"/>
      </w:divBdr>
    </w:div>
    <w:div w:id="542985715">
      <w:bodyDiv w:val="1"/>
      <w:marLeft w:val="0"/>
      <w:marRight w:val="0"/>
      <w:marTop w:val="0"/>
      <w:marBottom w:val="0"/>
      <w:divBdr>
        <w:top w:val="none" w:sz="0" w:space="0" w:color="auto"/>
        <w:left w:val="none" w:sz="0" w:space="0" w:color="auto"/>
        <w:bottom w:val="none" w:sz="0" w:space="0" w:color="auto"/>
        <w:right w:val="none" w:sz="0" w:space="0" w:color="auto"/>
      </w:divBdr>
    </w:div>
    <w:div w:id="542987764">
      <w:bodyDiv w:val="1"/>
      <w:marLeft w:val="0"/>
      <w:marRight w:val="0"/>
      <w:marTop w:val="0"/>
      <w:marBottom w:val="0"/>
      <w:divBdr>
        <w:top w:val="none" w:sz="0" w:space="0" w:color="auto"/>
        <w:left w:val="none" w:sz="0" w:space="0" w:color="auto"/>
        <w:bottom w:val="none" w:sz="0" w:space="0" w:color="auto"/>
        <w:right w:val="none" w:sz="0" w:space="0" w:color="auto"/>
      </w:divBdr>
    </w:div>
    <w:div w:id="542987991">
      <w:bodyDiv w:val="1"/>
      <w:marLeft w:val="0"/>
      <w:marRight w:val="0"/>
      <w:marTop w:val="0"/>
      <w:marBottom w:val="0"/>
      <w:divBdr>
        <w:top w:val="none" w:sz="0" w:space="0" w:color="auto"/>
        <w:left w:val="none" w:sz="0" w:space="0" w:color="auto"/>
        <w:bottom w:val="none" w:sz="0" w:space="0" w:color="auto"/>
        <w:right w:val="none" w:sz="0" w:space="0" w:color="auto"/>
      </w:divBdr>
    </w:div>
    <w:div w:id="542988561">
      <w:bodyDiv w:val="1"/>
      <w:marLeft w:val="0"/>
      <w:marRight w:val="0"/>
      <w:marTop w:val="0"/>
      <w:marBottom w:val="0"/>
      <w:divBdr>
        <w:top w:val="none" w:sz="0" w:space="0" w:color="auto"/>
        <w:left w:val="none" w:sz="0" w:space="0" w:color="auto"/>
        <w:bottom w:val="none" w:sz="0" w:space="0" w:color="auto"/>
        <w:right w:val="none" w:sz="0" w:space="0" w:color="auto"/>
      </w:divBdr>
    </w:div>
    <w:div w:id="543106064">
      <w:bodyDiv w:val="1"/>
      <w:marLeft w:val="0"/>
      <w:marRight w:val="0"/>
      <w:marTop w:val="0"/>
      <w:marBottom w:val="0"/>
      <w:divBdr>
        <w:top w:val="none" w:sz="0" w:space="0" w:color="auto"/>
        <w:left w:val="none" w:sz="0" w:space="0" w:color="auto"/>
        <w:bottom w:val="none" w:sz="0" w:space="0" w:color="auto"/>
        <w:right w:val="none" w:sz="0" w:space="0" w:color="auto"/>
      </w:divBdr>
    </w:div>
    <w:div w:id="543106508">
      <w:bodyDiv w:val="1"/>
      <w:marLeft w:val="0"/>
      <w:marRight w:val="0"/>
      <w:marTop w:val="0"/>
      <w:marBottom w:val="0"/>
      <w:divBdr>
        <w:top w:val="none" w:sz="0" w:space="0" w:color="auto"/>
        <w:left w:val="none" w:sz="0" w:space="0" w:color="auto"/>
        <w:bottom w:val="none" w:sz="0" w:space="0" w:color="auto"/>
        <w:right w:val="none" w:sz="0" w:space="0" w:color="auto"/>
      </w:divBdr>
    </w:div>
    <w:div w:id="543294857">
      <w:bodyDiv w:val="1"/>
      <w:marLeft w:val="0"/>
      <w:marRight w:val="0"/>
      <w:marTop w:val="0"/>
      <w:marBottom w:val="0"/>
      <w:divBdr>
        <w:top w:val="none" w:sz="0" w:space="0" w:color="auto"/>
        <w:left w:val="none" w:sz="0" w:space="0" w:color="auto"/>
        <w:bottom w:val="none" w:sz="0" w:space="0" w:color="auto"/>
        <w:right w:val="none" w:sz="0" w:space="0" w:color="auto"/>
      </w:divBdr>
    </w:div>
    <w:div w:id="543298145">
      <w:bodyDiv w:val="1"/>
      <w:marLeft w:val="0"/>
      <w:marRight w:val="0"/>
      <w:marTop w:val="0"/>
      <w:marBottom w:val="0"/>
      <w:divBdr>
        <w:top w:val="none" w:sz="0" w:space="0" w:color="auto"/>
        <w:left w:val="none" w:sz="0" w:space="0" w:color="auto"/>
        <w:bottom w:val="none" w:sz="0" w:space="0" w:color="auto"/>
        <w:right w:val="none" w:sz="0" w:space="0" w:color="auto"/>
      </w:divBdr>
    </w:div>
    <w:div w:id="543371318">
      <w:bodyDiv w:val="1"/>
      <w:marLeft w:val="0"/>
      <w:marRight w:val="0"/>
      <w:marTop w:val="0"/>
      <w:marBottom w:val="0"/>
      <w:divBdr>
        <w:top w:val="none" w:sz="0" w:space="0" w:color="auto"/>
        <w:left w:val="none" w:sz="0" w:space="0" w:color="auto"/>
        <w:bottom w:val="none" w:sz="0" w:space="0" w:color="auto"/>
        <w:right w:val="none" w:sz="0" w:space="0" w:color="auto"/>
      </w:divBdr>
    </w:div>
    <w:div w:id="543445533">
      <w:bodyDiv w:val="1"/>
      <w:marLeft w:val="0"/>
      <w:marRight w:val="0"/>
      <w:marTop w:val="0"/>
      <w:marBottom w:val="0"/>
      <w:divBdr>
        <w:top w:val="none" w:sz="0" w:space="0" w:color="auto"/>
        <w:left w:val="none" w:sz="0" w:space="0" w:color="auto"/>
        <w:bottom w:val="none" w:sz="0" w:space="0" w:color="auto"/>
        <w:right w:val="none" w:sz="0" w:space="0" w:color="auto"/>
      </w:divBdr>
    </w:div>
    <w:div w:id="543493357">
      <w:bodyDiv w:val="1"/>
      <w:marLeft w:val="0"/>
      <w:marRight w:val="0"/>
      <w:marTop w:val="0"/>
      <w:marBottom w:val="0"/>
      <w:divBdr>
        <w:top w:val="none" w:sz="0" w:space="0" w:color="auto"/>
        <w:left w:val="none" w:sz="0" w:space="0" w:color="auto"/>
        <w:bottom w:val="none" w:sz="0" w:space="0" w:color="auto"/>
        <w:right w:val="none" w:sz="0" w:space="0" w:color="auto"/>
      </w:divBdr>
    </w:div>
    <w:div w:id="543516647">
      <w:bodyDiv w:val="1"/>
      <w:marLeft w:val="0"/>
      <w:marRight w:val="0"/>
      <w:marTop w:val="0"/>
      <w:marBottom w:val="0"/>
      <w:divBdr>
        <w:top w:val="none" w:sz="0" w:space="0" w:color="auto"/>
        <w:left w:val="none" w:sz="0" w:space="0" w:color="auto"/>
        <w:bottom w:val="none" w:sz="0" w:space="0" w:color="auto"/>
        <w:right w:val="none" w:sz="0" w:space="0" w:color="auto"/>
      </w:divBdr>
    </w:div>
    <w:div w:id="543568623">
      <w:bodyDiv w:val="1"/>
      <w:marLeft w:val="0"/>
      <w:marRight w:val="0"/>
      <w:marTop w:val="0"/>
      <w:marBottom w:val="0"/>
      <w:divBdr>
        <w:top w:val="none" w:sz="0" w:space="0" w:color="auto"/>
        <w:left w:val="none" w:sz="0" w:space="0" w:color="auto"/>
        <w:bottom w:val="none" w:sz="0" w:space="0" w:color="auto"/>
        <w:right w:val="none" w:sz="0" w:space="0" w:color="auto"/>
      </w:divBdr>
    </w:div>
    <w:div w:id="543640328">
      <w:bodyDiv w:val="1"/>
      <w:marLeft w:val="0"/>
      <w:marRight w:val="0"/>
      <w:marTop w:val="0"/>
      <w:marBottom w:val="0"/>
      <w:divBdr>
        <w:top w:val="none" w:sz="0" w:space="0" w:color="auto"/>
        <w:left w:val="none" w:sz="0" w:space="0" w:color="auto"/>
        <w:bottom w:val="none" w:sz="0" w:space="0" w:color="auto"/>
        <w:right w:val="none" w:sz="0" w:space="0" w:color="auto"/>
      </w:divBdr>
    </w:div>
    <w:div w:id="543830704">
      <w:bodyDiv w:val="1"/>
      <w:marLeft w:val="0"/>
      <w:marRight w:val="0"/>
      <w:marTop w:val="0"/>
      <w:marBottom w:val="0"/>
      <w:divBdr>
        <w:top w:val="none" w:sz="0" w:space="0" w:color="auto"/>
        <w:left w:val="none" w:sz="0" w:space="0" w:color="auto"/>
        <w:bottom w:val="none" w:sz="0" w:space="0" w:color="auto"/>
        <w:right w:val="none" w:sz="0" w:space="0" w:color="auto"/>
      </w:divBdr>
    </w:div>
    <w:div w:id="543835277">
      <w:bodyDiv w:val="1"/>
      <w:marLeft w:val="0"/>
      <w:marRight w:val="0"/>
      <w:marTop w:val="0"/>
      <w:marBottom w:val="0"/>
      <w:divBdr>
        <w:top w:val="none" w:sz="0" w:space="0" w:color="auto"/>
        <w:left w:val="none" w:sz="0" w:space="0" w:color="auto"/>
        <w:bottom w:val="none" w:sz="0" w:space="0" w:color="auto"/>
        <w:right w:val="none" w:sz="0" w:space="0" w:color="auto"/>
      </w:divBdr>
    </w:div>
    <w:div w:id="543836187">
      <w:bodyDiv w:val="1"/>
      <w:marLeft w:val="0"/>
      <w:marRight w:val="0"/>
      <w:marTop w:val="0"/>
      <w:marBottom w:val="0"/>
      <w:divBdr>
        <w:top w:val="none" w:sz="0" w:space="0" w:color="auto"/>
        <w:left w:val="none" w:sz="0" w:space="0" w:color="auto"/>
        <w:bottom w:val="none" w:sz="0" w:space="0" w:color="auto"/>
        <w:right w:val="none" w:sz="0" w:space="0" w:color="auto"/>
      </w:divBdr>
    </w:div>
    <w:div w:id="543903698">
      <w:bodyDiv w:val="1"/>
      <w:marLeft w:val="0"/>
      <w:marRight w:val="0"/>
      <w:marTop w:val="0"/>
      <w:marBottom w:val="0"/>
      <w:divBdr>
        <w:top w:val="none" w:sz="0" w:space="0" w:color="auto"/>
        <w:left w:val="none" w:sz="0" w:space="0" w:color="auto"/>
        <w:bottom w:val="none" w:sz="0" w:space="0" w:color="auto"/>
        <w:right w:val="none" w:sz="0" w:space="0" w:color="auto"/>
      </w:divBdr>
    </w:div>
    <w:div w:id="543909137">
      <w:bodyDiv w:val="1"/>
      <w:marLeft w:val="0"/>
      <w:marRight w:val="0"/>
      <w:marTop w:val="0"/>
      <w:marBottom w:val="0"/>
      <w:divBdr>
        <w:top w:val="none" w:sz="0" w:space="0" w:color="auto"/>
        <w:left w:val="none" w:sz="0" w:space="0" w:color="auto"/>
        <w:bottom w:val="none" w:sz="0" w:space="0" w:color="auto"/>
        <w:right w:val="none" w:sz="0" w:space="0" w:color="auto"/>
      </w:divBdr>
    </w:div>
    <w:div w:id="543909991">
      <w:bodyDiv w:val="1"/>
      <w:marLeft w:val="0"/>
      <w:marRight w:val="0"/>
      <w:marTop w:val="0"/>
      <w:marBottom w:val="0"/>
      <w:divBdr>
        <w:top w:val="none" w:sz="0" w:space="0" w:color="auto"/>
        <w:left w:val="none" w:sz="0" w:space="0" w:color="auto"/>
        <w:bottom w:val="none" w:sz="0" w:space="0" w:color="auto"/>
        <w:right w:val="none" w:sz="0" w:space="0" w:color="auto"/>
      </w:divBdr>
    </w:div>
    <w:div w:id="543911118">
      <w:bodyDiv w:val="1"/>
      <w:marLeft w:val="0"/>
      <w:marRight w:val="0"/>
      <w:marTop w:val="0"/>
      <w:marBottom w:val="0"/>
      <w:divBdr>
        <w:top w:val="none" w:sz="0" w:space="0" w:color="auto"/>
        <w:left w:val="none" w:sz="0" w:space="0" w:color="auto"/>
        <w:bottom w:val="none" w:sz="0" w:space="0" w:color="auto"/>
        <w:right w:val="none" w:sz="0" w:space="0" w:color="auto"/>
      </w:divBdr>
    </w:div>
    <w:div w:id="544026607">
      <w:bodyDiv w:val="1"/>
      <w:marLeft w:val="0"/>
      <w:marRight w:val="0"/>
      <w:marTop w:val="0"/>
      <w:marBottom w:val="0"/>
      <w:divBdr>
        <w:top w:val="none" w:sz="0" w:space="0" w:color="auto"/>
        <w:left w:val="none" w:sz="0" w:space="0" w:color="auto"/>
        <w:bottom w:val="none" w:sz="0" w:space="0" w:color="auto"/>
        <w:right w:val="none" w:sz="0" w:space="0" w:color="auto"/>
      </w:divBdr>
    </w:div>
    <w:div w:id="544028509">
      <w:bodyDiv w:val="1"/>
      <w:marLeft w:val="0"/>
      <w:marRight w:val="0"/>
      <w:marTop w:val="0"/>
      <w:marBottom w:val="0"/>
      <w:divBdr>
        <w:top w:val="none" w:sz="0" w:space="0" w:color="auto"/>
        <w:left w:val="none" w:sz="0" w:space="0" w:color="auto"/>
        <w:bottom w:val="none" w:sz="0" w:space="0" w:color="auto"/>
        <w:right w:val="none" w:sz="0" w:space="0" w:color="auto"/>
      </w:divBdr>
    </w:div>
    <w:div w:id="544099370">
      <w:bodyDiv w:val="1"/>
      <w:marLeft w:val="0"/>
      <w:marRight w:val="0"/>
      <w:marTop w:val="0"/>
      <w:marBottom w:val="0"/>
      <w:divBdr>
        <w:top w:val="none" w:sz="0" w:space="0" w:color="auto"/>
        <w:left w:val="none" w:sz="0" w:space="0" w:color="auto"/>
        <w:bottom w:val="none" w:sz="0" w:space="0" w:color="auto"/>
        <w:right w:val="none" w:sz="0" w:space="0" w:color="auto"/>
      </w:divBdr>
    </w:div>
    <w:div w:id="544100632">
      <w:bodyDiv w:val="1"/>
      <w:marLeft w:val="0"/>
      <w:marRight w:val="0"/>
      <w:marTop w:val="0"/>
      <w:marBottom w:val="0"/>
      <w:divBdr>
        <w:top w:val="none" w:sz="0" w:space="0" w:color="auto"/>
        <w:left w:val="none" w:sz="0" w:space="0" w:color="auto"/>
        <w:bottom w:val="none" w:sz="0" w:space="0" w:color="auto"/>
        <w:right w:val="none" w:sz="0" w:space="0" w:color="auto"/>
      </w:divBdr>
    </w:div>
    <w:div w:id="544105925">
      <w:bodyDiv w:val="1"/>
      <w:marLeft w:val="0"/>
      <w:marRight w:val="0"/>
      <w:marTop w:val="0"/>
      <w:marBottom w:val="0"/>
      <w:divBdr>
        <w:top w:val="none" w:sz="0" w:space="0" w:color="auto"/>
        <w:left w:val="none" w:sz="0" w:space="0" w:color="auto"/>
        <w:bottom w:val="none" w:sz="0" w:space="0" w:color="auto"/>
        <w:right w:val="none" w:sz="0" w:space="0" w:color="auto"/>
      </w:divBdr>
    </w:div>
    <w:div w:id="544176891">
      <w:bodyDiv w:val="1"/>
      <w:marLeft w:val="0"/>
      <w:marRight w:val="0"/>
      <w:marTop w:val="0"/>
      <w:marBottom w:val="0"/>
      <w:divBdr>
        <w:top w:val="none" w:sz="0" w:space="0" w:color="auto"/>
        <w:left w:val="none" w:sz="0" w:space="0" w:color="auto"/>
        <w:bottom w:val="none" w:sz="0" w:space="0" w:color="auto"/>
        <w:right w:val="none" w:sz="0" w:space="0" w:color="auto"/>
      </w:divBdr>
    </w:div>
    <w:div w:id="544217790">
      <w:bodyDiv w:val="1"/>
      <w:marLeft w:val="0"/>
      <w:marRight w:val="0"/>
      <w:marTop w:val="0"/>
      <w:marBottom w:val="0"/>
      <w:divBdr>
        <w:top w:val="none" w:sz="0" w:space="0" w:color="auto"/>
        <w:left w:val="none" w:sz="0" w:space="0" w:color="auto"/>
        <w:bottom w:val="none" w:sz="0" w:space="0" w:color="auto"/>
        <w:right w:val="none" w:sz="0" w:space="0" w:color="auto"/>
      </w:divBdr>
    </w:div>
    <w:div w:id="544219032">
      <w:bodyDiv w:val="1"/>
      <w:marLeft w:val="0"/>
      <w:marRight w:val="0"/>
      <w:marTop w:val="0"/>
      <w:marBottom w:val="0"/>
      <w:divBdr>
        <w:top w:val="none" w:sz="0" w:space="0" w:color="auto"/>
        <w:left w:val="none" w:sz="0" w:space="0" w:color="auto"/>
        <w:bottom w:val="none" w:sz="0" w:space="0" w:color="auto"/>
        <w:right w:val="none" w:sz="0" w:space="0" w:color="auto"/>
      </w:divBdr>
    </w:div>
    <w:div w:id="544369284">
      <w:bodyDiv w:val="1"/>
      <w:marLeft w:val="0"/>
      <w:marRight w:val="0"/>
      <w:marTop w:val="0"/>
      <w:marBottom w:val="0"/>
      <w:divBdr>
        <w:top w:val="none" w:sz="0" w:space="0" w:color="auto"/>
        <w:left w:val="none" w:sz="0" w:space="0" w:color="auto"/>
        <w:bottom w:val="none" w:sz="0" w:space="0" w:color="auto"/>
        <w:right w:val="none" w:sz="0" w:space="0" w:color="auto"/>
      </w:divBdr>
    </w:div>
    <w:div w:id="544409913">
      <w:bodyDiv w:val="1"/>
      <w:marLeft w:val="0"/>
      <w:marRight w:val="0"/>
      <w:marTop w:val="0"/>
      <w:marBottom w:val="0"/>
      <w:divBdr>
        <w:top w:val="none" w:sz="0" w:space="0" w:color="auto"/>
        <w:left w:val="none" w:sz="0" w:space="0" w:color="auto"/>
        <w:bottom w:val="none" w:sz="0" w:space="0" w:color="auto"/>
        <w:right w:val="none" w:sz="0" w:space="0" w:color="auto"/>
      </w:divBdr>
    </w:div>
    <w:div w:id="544412723">
      <w:bodyDiv w:val="1"/>
      <w:marLeft w:val="0"/>
      <w:marRight w:val="0"/>
      <w:marTop w:val="0"/>
      <w:marBottom w:val="0"/>
      <w:divBdr>
        <w:top w:val="none" w:sz="0" w:space="0" w:color="auto"/>
        <w:left w:val="none" w:sz="0" w:space="0" w:color="auto"/>
        <w:bottom w:val="none" w:sz="0" w:space="0" w:color="auto"/>
        <w:right w:val="none" w:sz="0" w:space="0" w:color="auto"/>
      </w:divBdr>
    </w:div>
    <w:div w:id="544484141">
      <w:bodyDiv w:val="1"/>
      <w:marLeft w:val="0"/>
      <w:marRight w:val="0"/>
      <w:marTop w:val="0"/>
      <w:marBottom w:val="0"/>
      <w:divBdr>
        <w:top w:val="none" w:sz="0" w:space="0" w:color="auto"/>
        <w:left w:val="none" w:sz="0" w:space="0" w:color="auto"/>
        <w:bottom w:val="none" w:sz="0" w:space="0" w:color="auto"/>
        <w:right w:val="none" w:sz="0" w:space="0" w:color="auto"/>
      </w:divBdr>
    </w:div>
    <w:div w:id="544487034">
      <w:bodyDiv w:val="1"/>
      <w:marLeft w:val="0"/>
      <w:marRight w:val="0"/>
      <w:marTop w:val="0"/>
      <w:marBottom w:val="0"/>
      <w:divBdr>
        <w:top w:val="none" w:sz="0" w:space="0" w:color="auto"/>
        <w:left w:val="none" w:sz="0" w:space="0" w:color="auto"/>
        <w:bottom w:val="none" w:sz="0" w:space="0" w:color="auto"/>
        <w:right w:val="none" w:sz="0" w:space="0" w:color="auto"/>
      </w:divBdr>
    </w:div>
    <w:div w:id="544488203">
      <w:bodyDiv w:val="1"/>
      <w:marLeft w:val="0"/>
      <w:marRight w:val="0"/>
      <w:marTop w:val="0"/>
      <w:marBottom w:val="0"/>
      <w:divBdr>
        <w:top w:val="none" w:sz="0" w:space="0" w:color="auto"/>
        <w:left w:val="none" w:sz="0" w:space="0" w:color="auto"/>
        <w:bottom w:val="none" w:sz="0" w:space="0" w:color="auto"/>
        <w:right w:val="none" w:sz="0" w:space="0" w:color="auto"/>
      </w:divBdr>
    </w:div>
    <w:div w:id="544566018">
      <w:bodyDiv w:val="1"/>
      <w:marLeft w:val="0"/>
      <w:marRight w:val="0"/>
      <w:marTop w:val="0"/>
      <w:marBottom w:val="0"/>
      <w:divBdr>
        <w:top w:val="none" w:sz="0" w:space="0" w:color="auto"/>
        <w:left w:val="none" w:sz="0" w:space="0" w:color="auto"/>
        <w:bottom w:val="none" w:sz="0" w:space="0" w:color="auto"/>
        <w:right w:val="none" w:sz="0" w:space="0" w:color="auto"/>
      </w:divBdr>
    </w:div>
    <w:div w:id="544566442">
      <w:bodyDiv w:val="1"/>
      <w:marLeft w:val="0"/>
      <w:marRight w:val="0"/>
      <w:marTop w:val="0"/>
      <w:marBottom w:val="0"/>
      <w:divBdr>
        <w:top w:val="none" w:sz="0" w:space="0" w:color="auto"/>
        <w:left w:val="none" w:sz="0" w:space="0" w:color="auto"/>
        <w:bottom w:val="none" w:sz="0" w:space="0" w:color="auto"/>
        <w:right w:val="none" w:sz="0" w:space="0" w:color="auto"/>
      </w:divBdr>
    </w:div>
    <w:div w:id="544566957">
      <w:bodyDiv w:val="1"/>
      <w:marLeft w:val="0"/>
      <w:marRight w:val="0"/>
      <w:marTop w:val="0"/>
      <w:marBottom w:val="0"/>
      <w:divBdr>
        <w:top w:val="none" w:sz="0" w:space="0" w:color="auto"/>
        <w:left w:val="none" w:sz="0" w:space="0" w:color="auto"/>
        <w:bottom w:val="none" w:sz="0" w:space="0" w:color="auto"/>
        <w:right w:val="none" w:sz="0" w:space="0" w:color="auto"/>
      </w:divBdr>
    </w:div>
    <w:div w:id="544608718">
      <w:bodyDiv w:val="1"/>
      <w:marLeft w:val="0"/>
      <w:marRight w:val="0"/>
      <w:marTop w:val="0"/>
      <w:marBottom w:val="0"/>
      <w:divBdr>
        <w:top w:val="none" w:sz="0" w:space="0" w:color="auto"/>
        <w:left w:val="none" w:sz="0" w:space="0" w:color="auto"/>
        <w:bottom w:val="none" w:sz="0" w:space="0" w:color="auto"/>
        <w:right w:val="none" w:sz="0" w:space="0" w:color="auto"/>
      </w:divBdr>
    </w:div>
    <w:div w:id="544677666">
      <w:bodyDiv w:val="1"/>
      <w:marLeft w:val="0"/>
      <w:marRight w:val="0"/>
      <w:marTop w:val="0"/>
      <w:marBottom w:val="0"/>
      <w:divBdr>
        <w:top w:val="none" w:sz="0" w:space="0" w:color="auto"/>
        <w:left w:val="none" w:sz="0" w:space="0" w:color="auto"/>
        <w:bottom w:val="none" w:sz="0" w:space="0" w:color="auto"/>
        <w:right w:val="none" w:sz="0" w:space="0" w:color="auto"/>
      </w:divBdr>
    </w:div>
    <w:div w:id="544682860">
      <w:bodyDiv w:val="1"/>
      <w:marLeft w:val="0"/>
      <w:marRight w:val="0"/>
      <w:marTop w:val="0"/>
      <w:marBottom w:val="0"/>
      <w:divBdr>
        <w:top w:val="none" w:sz="0" w:space="0" w:color="auto"/>
        <w:left w:val="none" w:sz="0" w:space="0" w:color="auto"/>
        <w:bottom w:val="none" w:sz="0" w:space="0" w:color="auto"/>
        <w:right w:val="none" w:sz="0" w:space="0" w:color="auto"/>
      </w:divBdr>
    </w:div>
    <w:div w:id="544759256">
      <w:bodyDiv w:val="1"/>
      <w:marLeft w:val="0"/>
      <w:marRight w:val="0"/>
      <w:marTop w:val="0"/>
      <w:marBottom w:val="0"/>
      <w:divBdr>
        <w:top w:val="none" w:sz="0" w:space="0" w:color="auto"/>
        <w:left w:val="none" w:sz="0" w:space="0" w:color="auto"/>
        <w:bottom w:val="none" w:sz="0" w:space="0" w:color="auto"/>
        <w:right w:val="none" w:sz="0" w:space="0" w:color="auto"/>
      </w:divBdr>
    </w:div>
    <w:div w:id="544761014">
      <w:bodyDiv w:val="1"/>
      <w:marLeft w:val="0"/>
      <w:marRight w:val="0"/>
      <w:marTop w:val="0"/>
      <w:marBottom w:val="0"/>
      <w:divBdr>
        <w:top w:val="none" w:sz="0" w:space="0" w:color="auto"/>
        <w:left w:val="none" w:sz="0" w:space="0" w:color="auto"/>
        <w:bottom w:val="none" w:sz="0" w:space="0" w:color="auto"/>
        <w:right w:val="none" w:sz="0" w:space="0" w:color="auto"/>
      </w:divBdr>
    </w:div>
    <w:div w:id="544877673">
      <w:bodyDiv w:val="1"/>
      <w:marLeft w:val="0"/>
      <w:marRight w:val="0"/>
      <w:marTop w:val="0"/>
      <w:marBottom w:val="0"/>
      <w:divBdr>
        <w:top w:val="none" w:sz="0" w:space="0" w:color="auto"/>
        <w:left w:val="none" w:sz="0" w:space="0" w:color="auto"/>
        <w:bottom w:val="none" w:sz="0" w:space="0" w:color="auto"/>
        <w:right w:val="none" w:sz="0" w:space="0" w:color="auto"/>
      </w:divBdr>
    </w:div>
    <w:div w:id="545029835">
      <w:bodyDiv w:val="1"/>
      <w:marLeft w:val="0"/>
      <w:marRight w:val="0"/>
      <w:marTop w:val="0"/>
      <w:marBottom w:val="0"/>
      <w:divBdr>
        <w:top w:val="none" w:sz="0" w:space="0" w:color="auto"/>
        <w:left w:val="none" w:sz="0" w:space="0" w:color="auto"/>
        <w:bottom w:val="none" w:sz="0" w:space="0" w:color="auto"/>
        <w:right w:val="none" w:sz="0" w:space="0" w:color="auto"/>
      </w:divBdr>
    </w:div>
    <w:div w:id="545065851">
      <w:bodyDiv w:val="1"/>
      <w:marLeft w:val="0"/>
      <w:marRight w:val="0"/>
      <w:marTop w:val="0"/>
      <w:marBottom w:val="0"/>
      <w:divBdr>
        <w:top w:val="none" w:sz="0" w:space="0" w:color="auto"/>
        <w:left w:val="none" w:sz="0" w:space="0" w:color="auto"/>
        <w:bottom w:val="none" w:sz="0" w:space="0" w:color="auto"/>
        <w:right w:val="none" w:sz="0" w:space="0" w:color="auto"/>
      </w:divBdr>
    </w:div>
    <w:div w:id="545221972">
      <w:bodyDiv w:val="1"/>
      <w:marLeft w:val="0"/>
      <w:marRight w:val="0"/>
      <w:marTop w:val="0"/>
      <w:marBottom w:val="0"/>
      <w:divBdr>
        <w:top w:val="none" w:sz="0" w:space="0" w:color="auto"/>
        <w:left w:val="none" w:sz="0" w:space="0" w:color="auto"/>
        <w:bottom w:val="none" w:sz="0" w:space="0" w:color="auto"/>
        <w:right w:val="none" w:sz="0" w:space="0" w:color="auto"/>
      </w:divBdr>
    </w:div>
    <w:div w:id="545260045">
      <w:bodyDiv w:val="1"/>
      <w:marLeft w:val="0"/>
      <w:marRight w:val="0"/>
      <w:marTop w:val="0"/>
      <w:marBottom w:val="0"/>
      <w:divBdr>
        <w:top w:val="none" w:sz="0" w:space="0" w:color="auto"/>
        <w:left w:val="none" w:sz="0" w:space="0" w:color="auto"/>
        <w:bottom w:val="none" w:sz="0" w:space="0" w:color="auto"/>
        <w:right w:val="none" w:sz="0" w:space="0" w:color="auto"/>
      </w:divBdr>
    </w:div>
    <w:div w:id="545409695">
      <w:bodyDiv w:val="1"/>
      <w:marLeft w:val="0"/>
      <w:marRight w:val="0"/>
      <w:marTop w:val="0"/>
      <w:marBottom w:val="0"/>
      <w:divBdr>
        <w:top w:val="none" w:sz="0" w:space="0" w:color="auto"/>
        <w:left w:val="none" w:sz="0" w:space="0" w:color="auto"/>
        <w:bottom w:val="none" w:sz="0" w:space="0" w:color="auto"/>
        <w:right w:val="none" w:sz="0" w:space="0" w:color="auto"/>
      </w:divBdr>
    </w:div>
    <w:div w:id="545456925">
      <w:bodyDiv w:val="1"/>
      <w:marLeft w:val="0"/>
      <w:marRight w:val="0"/>
      <w:marTop w:val="0"/>
      <w:marBottom w:val="0"/>
      <w:divBdr>
        <w:top w:val="none" w:sz="0" w:space="0" w:color="auto"/>
        <w:left w:val="none" w:sz="0" w:space="0" w:color="auto"/>
        <w:bottom w:val="none" w:sz="0" w:space="0" w:color="auto"/>
        <w:right w:val="none" w:sz="0" w:space="0" w:color="auto"/>
      </w:divBdr>
    </w:div>
    <w:div w:id="545600905">
      <w:bodyDiv w:val="1"/>
      <w:marLeft w:val="0"/>
      <w:marRight w:val="0"/>
      <w:marTop w:val="0"/>
      <w:marBottom w:val="0"/>
      <w:divBdr>
        <w:top w:val="none" w:sz="0" w:space="0" w:color="auto"/>
        <w:left w:val="none" w:sz="0" w:space="0" w:color="auto"/>
        <w:bottom w:val="none" w:sz="0" w:space="0" w:color="auto"/>
        <w:right w:val="none" w:sz="0" w:space="0" w:color="auto"/>
      </w:divBdr>
    </w:div>
    <w:div w:id="545607406">
      <w:bodyDiv w:val="1"/>
      <w:marLeft w:val="0"/>
      <w:marRight w:val="0"/>
      <w:marTop w:val="0"/>
      <w:marBottom w:val="0"/>
      <w:divBdr>
        <w:top w:val="none" w:sz="0" w:space="0" w:color="auto"/>
        <w:left w:val="none" w:sz="0" w:space="0" w:color="auto"/>
        <w:bottom w:val="none" w:sz="0" w:space="0" w:color="auto"/>
        <w:right w:val="none" w:sz="0" w:space="0" w:color="auto"/>
      </w:divBdr>
    </w:div>
    <w:div w:id="545724158">
      <w:bodyDiv w:val="1"/>
      <w:marLeft w:val="0"/>
      <w:marRight w:val="0"/>
      <w:marTop w:val="0"/>
      <w:marBottom w:val="0"/>
      <w:divBdr>
        <w:top w:val="none" w:sz="0" w:space="0" w:color="auto"/>
        <w:left w:val="none" w:sz="0" w:space="0" w:color="auto"/>
        <w:bottom w:val="none" w:sz="0" w:space="0" w:color="auto"/>
        <w:right w:val="none" w:sz="0" w:space="0" w:color="auto"/>
      </w:divBdr>
    </w:div>
    <w:div w:id="545795060">
      <w:bodyDiv w:val="1"/>
      <w:marLeft w:val="0"/>
      <w:marRight w:val="0"/>
      <w:marTop w:val="0"/>
      <w:marBottom w:val="0"/>
      <w:divBdr>
        <w:top w:val="none" w:sz="0" w:space="0" w:color="auto"/>
        <w:left w:val="none" w:sz="0" w:space="0" w:color="auto"/>
        <w:bottom w:val="none" w:sz="0" w:space="0" w:color="auto"/>
        <w:right w:val="none" w:sz="0" w:space="0" w:color="auto"/>
      </w:divBdr>
    </w:div>
    <w:div w:id="545878021">
      <w:bodyDiv w:val="1"/>
      <w:marLeft w:val="0"/>
      <w:marRight w:val="0"/>
      <w:marTop w:val="0"/>
      <w:marBottom w:val="0"/>
      <w:divBdr>
        <w:top w:val="none" w:sz="0" w:space="0" w:color="auto"/>
        <w:left w:val="none" w:sz="0" w:space="0" w:color="auto"/>
        <w:bottom w:val="none" w:sz="0" w:space="0" w:color="auto"/>
        <w:right w:val="none" w:sz="0" w:space="0" w:color="auto"/>
      </w:divBdr>
    </w:div>
    <w:div w:id="545991246">
      <w:bodyDiv w:val="1"/>
      <w:marLeft w:val="0"/>
      <w:marRight w:val="0"/>
      <w:marTop w:val="0"/>
      <w:marBottom w:val="0"/>
      <w:divBdr>
        <w:top w:val="none" w:sz="0" w:space="0" w:color="auto"/>
        <w:left w:val="none" w:sz="0" w:space="0" w:color="auto"/>
        <w:bottom w:val="none" w:sz="0" w:space="0" w:color="auto"/>
        <w:right w:val="none" w:sz="0" w:space="0" w:color="auto"/>
      </w:divBdr>
    </w:div>
    <w:div w:id="546065107">
      <w:bodyDiv w:val="1"/>
      <w:marLeft w:val="0"/>
      <w:marRight w:val="0"/>
      <w:marTop w:val="0"/>
      <w:marBottom w:val="0"/>
      <w:divBdr>
        <w:top w:val="none" w:sz="0" w:space="0" w:color="auto"/>
        <w:left w:val="none" w:sz="0" w:space="0" w:color="auto"/>
        <w:bottom w:val="none" w:sz="0" w:space="0" w:color="auto"/>
        <w:right w:val="none" w:sz="0" w:space="0" w:color="auto"/>
      </w:divBdr>
    </w:div>
    <w:div w:id="546114443">
      <w:bodyDiv w:val="1"/>
      <w:marLeft w:val="0"/>
      <w:marRight w:val="0"/>
      <w:marTop w:val="0"/>
      <w:marBottom w:val="0"/>
      <w:divBdr>
        <w:top w:val="none" w:sz="0" w:space="0" w:color="auto"/>
        <w:left w:val="none" w:sz="0" w:space="0" w:color="auto"/>
        <w:bottom w:val="none" w:sz="0" w:space="0" w:color="auto"/>
        <w:right w:val="none" w:sz="0" w:space="0" w:color="auto"/>
      </w:divBdr>
    </w:div>
    <w:div w:id="546258352">
      <w:bodyDiv w:val="1"/>
      <w:marLeft w:val="0"/>
      <w:marRight w:val="0"/>
      <w:marTop w:val="0"/>
      <w:marBottom w:val="0"/>
      <w:divBdr>
        <w:top w:val="none" w:sz="0" w:space="0" w:color="auto"/>
        <w:left w:val="none" w:sz="0" w:space="0" w:color="auto"/>
        <w:bottom w:val="none" w:sz="0" w:space="0" w:color="auto"/>
        <w:right w:val="none" w:sz="0" w:space="0" w:color="auto"/>
      </w:divBdr>
    </w:div>
    <w:div w:id="546337020">
      <w:bodyDiv w:val="1"/>
      <w:marLeft w:val="0"/>
      <w:marRight w:val="0"/>
      <w:marTop w:val="0"/>
      <w:marBottom w:val="0"/>
      <w:divBdr>
        <w:top w:val="none" w:sz="0" w:space="0" w:color="auto"/>
        <w:left w:val="none" w:sz="0" w:space="0" w:color="auto"/>
        <w:bottom w:val="none" w:sz="0" w:space="0" w:color="auto"/>
        <w:right w:val="none" w:sz="0" w:space="0" w:color="auto"/>
      </w:divBdr>
    </w:div>
    <w:div w:id="546382682">
      <w:bodyDiv w:val="1"/>
      <w:marLeft w:val="0"/>
      <w:marRight w:val="0"/>
      <w:marTop w:val="0"/>
      <w:marBottom w:val="0"/>
      <w:divBdr>
        <w:top w:val="none" w:sz="0" w:space="0" w:color="auto"/>
        <w:left w:val="none" w:sz="0" w:space="0" w:color="auto"/>
        <w:bottom w:val="none" w:sz="0" w:space="0" w:color="auto"/>
        <w:right w:val="none" w:sz="0" w:space="0" w:color="auto"/>
      </w:divBdr>
    </w:div>
    <w:div w:id="546452056">
      <w:bodyDiv w:val="1"/>
      <w:marLeft w:val="0"/>
      <w:marRight w:val="0"/>
      <w:marTop w:val="0"/>
      <w:marBottom w:val="0"/>
      <w:divBdr>
        <w:top w:val="none" w:sz="0" w:space="0" w:color="auto"/>
        <w:left w:val="none" w:sz="0" w:space="0" w:color="auto"/>
        <w:bottom w:val="none" w:sz="0" w:space="0" w:color="auto"/>
        <w:right w:val="none" w:sz="0" w:space="0" w:color="auto"/>
      </w:divBdr>
    </w:div>
    <w:div w:id="546532886">
      <w:bodyDiv w:val="1"/>
      <w:marLeft w:val="0"/>
      <w:marRight w:val="0"/>
      <w:marTop w:val="0"/>
      <w:marBottom w:val="0"/>
      <w:divBdr>
        <w:top w:val="none" w:sz="0" w:space="0" w:color="auto"/>
        <w:left w:val="none" w:sz="0" w:space="0" w:color="auto"/>
        <w:bottom w:val="none" w:sz="0" w:space="0" w:color="auto"/>
        <w:right w:val="none" w:sz="0" w:space="0" w:color="auto"/>
      </w:divBdr>
    </w:div>
    <w:div w:id="546643575">
      <w:bodyDiv w:val="1"/>
      <w:marLeft w:val="0"/>
      <w:marRight w:val="0"/>
      <w:marTop w:val="0"/>
      <w:marBottom w:val="0"/>
      <w:divBdr>
        <w:top w:val="none" w:sz="0" w:space="0" w:color="auto"/>
        <w:left w:val="none" w:sz="0" w:space="0" w:color="auto"/>
        <w:bottom w:val="none" w:sz="0" w:space="0" w:color="auto"/>
        <w:right w:val="none" w:sz="0" w:space="0" w:color="auto"/>
      </w:divBdr>
    </w:div>
    <w:div w:id="546651892">
      <w:bodyDiv w:val="1"/>
      <w:marLeft w:val="0"/>
      <w:marRight w:val="0"/>
      <w:marTop w:val="0"/>
      <w:marBottom w:val="0"/>
      <w:divBdr>
        <w:top w:val="none" w:sz="0" w:space="0" w:color="auto"/>
        <w:left w:val="none" w:sz="0" w:space="0" w:color="auto"/>
        <w:bottom w:val="none" w:sz="0" w:space="0" w:color="auto"/>
        <w:right w:val="none" w:sz="0" w:space="0" w:color="auto"/>
      </w:divBdr>
    </w:div>
    <w:div w:id="546793411">
      <w:bodyDiv w:val="1"/>
      <w:marLeft w:val="0"/>
      <w:marRight w:val="0"/>
      <w:marTop w:val="0"/>
      <w:marBottom w:val="0"/>
      <w:divBdr>
        <w:top w:val="none" w:sz="0" w:space="0" w:color="auto"/>
        <w:left w:val="none" w:sz="0" w:space="0" w:color="auto"/>
        <w:bottom w:val="none" w:sz="0" w:space="0" w:color="auto"/>
        <w:right w:val="none" w:sz="0" w:space="0" w:color="auto"/>
      </w:divBdr>
    </w:div>
    <w:div w:id="546844997">
      <w:bodyDiv w:val="1"/>
      <w:marLeft w:val="0"/>
      <w:marRight w:val="0"/>
      <w:marTop w:val="0"/>
      <w:marBottom w:val="0"/>
      <w:divBdr>
        <w:top w:val="none" w:sz="0" w:space="0" w:color="auto"/>
        <w:left w:val="none" w:sz="0" w:space="0" w:color="auto"/>
        <w:bottom w:val="none" w:sz="0" w:space="0" w:color="auto"/>
        <w:right w:val="none" w:sz="0" w:space="0" w:color="auto"/>
      </w:divBdr>
    </w:div>
    <w:div w:id="547036002">
      <w:bodyDiv w:val="1"/>
      <w:marLeft w:val="0"/>
      <w:marRight w:val="0"/>
      <w:marTop w:val="0"/>
      <w:marBottom w:val="0"/>
      <w:divBdr>
        <w:top w:val="none" w:sz="0" w:space="0" w:color="auto"/>
        <w:left w:val="none" w:sz="0" w:space="0" w:color="auto"/>
        <w:bottom w:val="none" w:sz="0" w:space="0" w:color="auto"/>
        <w:right w:val="none" w:sz="0" w:space="0" w:color="auto"/>
      </w:divBdr>
    </w:div>
    <w:div w:id="547038245">
      <w:bodyDiv w:val="1"/>
      <w:marLeft w:val="0"/>
      <w:marRight w:val="0"/>
      <w:marTop w:val="0"/>
      <w:marBottom w:val="0"/>
      <w:divBdr>
        <w:top w:val="none" w:sz="0" w:space="0" w:color="auto"/>
        <w:left w:val="none" w:sz="0" w:space="0" w:color="auto"/>
        <w:bottom w:val="none" w:sz="0" w:space="0" w:color="auto"/>
        <w:right w:val="none" w:sz="0" w:space="0" w:color="auto"/>
      </w:divBdr>
    </w:div>
    <w:div w:id="547186011">
      <w:bodyDiv w:val="1"/>
      <w:marLeft w:val="0"/>
      <w:marRight w:val="0"/>
      <w:marTop w:val="0"/>
      <w:marBottom w:val="0"/>
      <w:divBdr>
        <w:top w:val="none" w:sz="0" w:space="0" w:color="auto"/>
        <w:left w:val="none" w:sz="0" w:space="0" w:color="auto"/>
        <w:bottom w:val="none" w:sz="0" w:space="0" w:color="auto"/>
        <w:right w:val="none" w:sz="0" w:space="0" w:color="auto"/>
      </w:divBdr>
    </w:div>
    <w:div w:id="547255566">
      <w:bodyDiv w:val="1"/>
      <w:marLeft w:val="0"/>
      <w:marRight w:val="0"/>
      <w:marTop w:val="0"/>
      <w:marBottom w:val="0"/>
      <w:divBdr>
        <w:top w:val="none" w:sz="0" w:space="0" w:color="auto"/>
        <w:left w:val="none" w:sz="0" w:space="0" w:color="auto"/>
        <w:bottom w:val="none" w:sz="0" w:space="0" w:color="auto"/>
        <w:right w:val="none" w:sz="0" w:space="0" w:color="auto"/>
      </w:divBdr>
    </w:div>
    <w:div w:id="547256289">
      <w:bodyDiv w:val="1"/>
      <w:marLeft w:val="0"/>
      <w:marRight w:val="0"/>
      <w:marTop w:val="0"/>
      <w:marBottom w:val="0"/>
      <w:divBdr>
        <w:top w:val="none" w:sz="0" w:space="0" w:color="auto"/>
        <w:left w:val="none" w:sz="0" w:space="0" w:color="auto"/>
        <w:bottom w:val="none" w:sz="0" w:space="0" w:color="auto"/>
        <w:right w:val="none" w:sz="0" w:space="0" w:color="auto"/>
      </w:divBdr>
    </w:div>
    <w:div w:id="547423166">
      <w:bodyDiv w:val="1"/>
      <w:marLeft w:val="0"/>
      <w:marRight w:val="0"/>
      <w:marTop w:val="0"/>
      <w:marBottom w:val="0"/>
      <w:divBdr>
        <w:top w:val="none" w:sz="0" w:space="0" w:color="auto"/>
        <w:left w:val="none" w:sz="0" w:space="0" w:color="auto"/>
        <w:bottom w:val="none" w:sz="0" w:space="0" w:color="auto"/>
        <w:right w:val="none" w:sz="0" w:space="0" w:color="auto"/>
      </w:divBdr>
    </w:div>
    <w:div w:id="547452898">
      <w:bodyDiv w:val="1"/>
      <w:marLeft w:val="0"/>
      <w:marRight w:val="0"/>
      <w:marTop w:val="0"/>
      <w:marBottom w:val="0"/>
      <w:divBdr>
        <w:top w:val="none" w:sz="0" w:space="0" w:color="auto"/>
        <w:left w:val="none" w:sz="0" w:space="0" w:color="auto"/>
        <w:bottom w:val="none" w:sz="0" w:space="0" w:color="auto"/>
        <w:right w:val="none" w:sz="0" w:space="0" w:color="auto"/>
      </w:divBdr>
    </w:div>
    <w:div w:id="547684714">
      <w:bodyDiv w:val="1"/>
      <w:marLeft w:val="0"/>
      <w:marRight w:val="0"/>
      <w:marTop w:val="0"/>
      <w:marBottom w:val="0"/>
      <w:divBdr>
        <w:top w:val="none" w:sz="0" w:space="0" w:color="auto"/>
        <w:left w:val="none" w:sz="0" w:space="0" w:color="auto"/>
        <w:bottom w:val="none" w:sz="0" w:space="0" w:color="auto"/>
        <w:right w:val="none" w:sz="0" w:space="0" w:color="auto"/>
      </w:divBdr>
    </w:div>
    <w:div w:id="547842746">
      <w:bodyDiv w:val="1"/>
      <w:marLeft w:val="0"/>
      <w:marRight w:val="0"/>
      <w:marTop w:val="0"/>
      <w:marBottom w:val="0"/>
      <w:divBdr>
        <w:top w:val="none" w:sz="0" w:space="0" w:color="auto"/>
        <w:left w:val="none" w:sz="0" w:space="0" w:color="auto"/>
        <w:bottom w:val="none" w:sz="0" w:space="0" w:color="auto"/>
        <w:right w:val="none" w:sz="0" w:space="0" w:color="auto"/>
      </w:divBdr>
    </w:div>
    <w:div w:id="547844371">
      <w:bodyDiv w:val="1"/>
      <w:marLeft w:val="0"/>
      <w:marRight w:val="0"/>
      <w:marTop w:val="0"/>
      <w:marBottom w:val="0"/>
      <w:divBdr>
        <w:top w:val="none" w:sz="0" w:space="0" w:color="auto"/>
        <w:left w:val="none" w:sz="0" w:space="0" w:color="auto"/>
        <w:bottom w:val="none" w:sz="0" w:space="0" w:color="auto"/>
        <w:right w:val="none" w:sz="0" w:space="0" w:color="auto"/>
      </w:divBdr>
    </w:div>
    <w:div w:id="547957332">
      <w:bodyDiv w:val="1"/>
      <w:marLeft w:val="0"/>
      <w:marRight w:val="0"/>
      <w:marTop w:val="0"/>
      <w:marBottom w:val="0"/>
      <w:divBdr>
        <w:top w:val="none" w:sz="0" w:space="0" w:color="auto"/>
        <w:left w:val="none" w:sz="0" w:space="0" w:color="auto"/>
        <w:bottom w:val="none" w:sz="0" w:space="0" w:color="auto"/>
        <w:right w:val="none" w:sz="0" w:space="0" w:color="auto"/>
      </w:divBdr>
    </w:div>
    <w:div w:id="548032407">
      <w:bodyDiv w:val="1"/>
      <w:marLeft w:val="0"/>
      <w:marRight w:val="0"/>
      <w:marTop w:val="0"/>
      <w:marBottom w:val="0"/>
      <w:divBdr>
        <w:top w:val="none" w:sz="0" w:space="0" w:color="auto"/>
        <w:left w:val="none" w:sz="0" w:space="0" w:color="auto"/>
        <w:bottom w:val="none" w:sz="0" w:space="0" w:color="auto"/>
        <w:right w:val="none" w:sz="0" w:space="0" w:color="auto"/>
      </w:divBdr>
    </w:div>
    <w:div w:id="548037081">
      <w:bodyDiv w:val="1"/>
      <w:marLeft w:val="0"/>
      <w:marRight w:val="0"/>
      <w:marTop w:val="0"/>
      <w:marBottom w:val="0"/>
      <w:divBdr>
        <w:top w:val="none" w:sz="0" w:space="0" w:color="auto"/>
        <w:left w:val="none" w:sz="0" w:space="0" w:color="auto"/>
        <w:bottom w:val="none" w:sz="0" w:space="0" w:color="auto"/>
        <w:right w:val="none" w:sz="0" w:space="0" w:color="auto"/>
      </w:divBdr>
    </w:div>
    <w:div w:id="548149291">
      <w:bodyDiv w:val="1"/>
      <w:marLeft w:val="0"/>
      <w:marRight w:val="0"/>
      <w:marTop w:val="0"/>
      <w:marBottom w:val="0"/>
      <w:divBdr>
        <w:top w:val="none" w:sz="0" w:space="0" w:color="auto"/>
        <w:left w:val="none" w:sz="0" w:space="0" w:color="auto"/>
        <w:bottom w:val="none" w:sz="0" w:space="0" w:color="auto"/>
        <w:right w:val="none" w:sz="0" w:space="0" w:color="auto"/>
      </w:divBdr>
    </w:div>
    <w:div w:id="548150506">
      <w:bodyDiv w:val="1"/>
      <w:marLeft w:val="0"/>
      <w:marRight w:val="0"/>
      <w:marTop w:val="0"/>
      <w:marBottom w:val="0"/>
      <w:divBdr>
        <w:top w:val="none" w:sz="0" w:space="0" w:color="auto"/>
        <w:left w:val="none" w:sz="0" w:space="0" w:color="auto"/>
        <w:bottom w:val="none" w:sz="0" w:space="0" w:color="auto"/>
        <w:right w:val="none" w:sz="0" w:space="0" w:color="auto"/>
      </w:divBdr>
    </w:div>
    <w:div w:id="548340304">
      <w:bodyDiv w:val="1"/>
      <w:marLeft w:val="0"/>
      <w:marRight w:val="0"/>
      <w:marTop w:val="0"/>
      <w:marBottom w:val="0"/>
      <w:divBdr>
        <w:top w:val="none" w:sz="0" w:space="0" w:color="auto"/>
        <w:left w:val="none" w:sz="0" w:space="0" w:color="auto"/>
        <w:bottom w:val="none" w:sz="0" w:space="0" w:color="auto"/>
        <w:right w:val="none" w:sz="0" w:space="0" w:color="auto"/>
      </w:divBdr>
    </w:div>
    <w:div w:id="548343566">
      <w:bodyDiv w:val="1"/>
      <w:marLeft w:val="0"/>
      <w:marRight w:val="0"/>
      <w:marTop w:val="0"/>
      <w:marBottom w:val="0"/>
      <w:divBdr>
        <w:top w:val="none" w:sz="0" w:space="0" w:color="auto"/>
        <w:left w:val="none" w:sz="0" w:space="0" w:color="auto"/>
        <w:bottom w:val="none" w:sz="0" w:space="0" w:color="auto"/>
        <w:right w:val="none" w:sz="0" w:space="0" w:color="auto"/>
      </w:divBdr>
    </w:div>
    <w:div w:id="548344524">
      <w:bodyDiv w:val="1"/>
      <w:marLeft w:val="0"/>
      <w:marRight w:val="0"/>
      <w:marTop w:val="0"/>
      <w:marBottom w:val="0"/>
      <w:divBdr>
        <w:top w:val="none" w:sz="0" w:space="0" w:color="auto"/>
        <w:left w:val="none" w:sz="0" w:space="0" w:color="auto"/>
        <w:bottom w:val="none" w:sz="0" w:space="0" w:color="auto"/>
        <w:right w:val="none" w:sz="0" w:space="0" w:color="auto"/>
      </w:divBdr>
    </w:div>
    <w:div w:id="548416353">
      <w:bodyDiv w:val="1"/>
      <w:marLeft w:val="0"/>
      <w:marRight w:val="0"/>
      <w:marTop w:val="0"/>
      <w:marBottom w:val="0"/>
      <w:divBdr>
        <w:top w:val="none" w:sz="0" w:space="0" w:color="auto"/>
        <w:left w:val="none" w:sz="0" w:space="0" w:color="auto"/>
        <w:bottom w:val="none" w:sz="0" w:space="0" w:color="auto"/>
        <w:right w:val="none" w:sz="0" w:space="0" w:color="auto"/>
      </w:divBdr>
    </w:div>
    <w:div w:id="548541276">
      <w:bodyDiv w:val="1"/>
      <w:marLeft w:val="0"/>
      <w:marRight w:val="0"/>
      <w:marTop w:val="0"/>
      <w:marBottom w:val="0"/>
      <w:divBdr>
        <w:top w:val="none" w:sz="0" w:space="0" w:color="auto"/>
        <w:left w:val="none" w:sz="0" w:space="0" w:color="auto"/>
        <w:bottom w:val="none" w:sz="0" w:space="0" w:color="auto"/>
        <w:right w:val="none" w:sz="0" w:space="0" w:color="auto"/>
      </w:divBdr>
    </w:div>
    <w:div w:id="548566181">
      <w:bodyDiv w:val="1"/>
      <w:marLeft w:val="0"/>
      <w:marRight w:val="0"/>
      <w:marTop w:val="0"/>
      <w:marBottom w:val="0"/>
      <w:divBdr>
        <w:top w:val="none" w:sz="0" w:space="0" w:color="auto"/>
        <w:left w:val="none" w:sz="0" w:space="0" w:color="auto"/>
        <w:bottom w:val="none" w:sz="0" w:space="0" w:color="auto"/>
        <w:right w:val="none" w:sz="0" w:space="0" w:color="auto"/>
      </w:divBdr>
    </w:div>
    <w:div w:id="548735494">
      <w:bodyDiv w:val="1"/>
      <w:marLeft w:val="0"/>
      <w:marRight w:val="0"/>
      <w:marTop w:val="0"/>
      <w:marBottom w:val="0"/>
      <w:divBdr>
        <w:top w:val="none" w:sz="0" w:space="0" w:color="auto"/>
        <w:left w:val="none" w:sz="0" w:space="0" w:color="auto"/>
        <w:bottom w:val="none" w:sz="0" w:space="0" w:color="auto"/>
        <w:right w:val="none" w:sz="0" w:space="0" w:color="auto"/>
      </w:divBdr>
    </w:div>
    <w:div w:id="548804929">
      <w:bodyDiv w:val="1"/>
      <w:marLeft w:val="0"/>
      <w:marRight w:val="0"/>
      <w:marTop w:val="0"/>
      <w:marBottom w:val="0"/>
      <w:divBdr>
        <w:top w:val="none" w:sz="0" w:space="0" w:color="auto"/>
        <w:left w:val="none" w:sz="0" w:space="0" w:color="auto"/>
        <w:bottom w:val="none" w:sz="0" w:space="0" w:color="auto"/>
        <w:right w:val="none" w:sz="0" w:space="0" w:color="auto"/>
      </w:divBdr>
    </w:div>
    <w:div w:id="548952763">
      <w:bodyDiv w:val="1"/>
      <w:marLeft w:val="0"/>
      <w:marRight w:val="0"/>
      <w:marTop w:val="0"/>
      <w:marBottom w:val="0"/>
      <w:divBdr>
        <w:top w:val="none" w:sz="0" w:space="0" w:color="auto"/>
        <w:left w:val="none" w:sz="0" w:space="0" w:color="auto"/>
        <w:bottom w:val="none" w:sz="0" w:space="0" w:color="auto"/>
        <w:right w:val="none" w:sz="0" w:space="0" w:color="auto"/>
      </w:divBdr>
    </w:div>
    <w:div w:id="548956508">
      <w:bodyDiv w:val="1"/>
      <w:marLeft w:val="0"/>
      <w:marRight w:val="0"/>
      <w:marTop w:val="0"/>
      <w:marBottom w:val="0"/>
      <w:divBdr>
        <w:top w:val="none" w:sz="0" w:space="0" w:color="auto"/>
        <w:left w:val="none" w:sz="0" w:space="0" w:color="auto"/>
        <w:bottom w:val="none" w:sz="0" w:space="0" w:color="auto"/>
        <w:right w:val="none" w:sz="0" w:space="0" w:color="auto"/>
      </w:divBdr>
    </w:div>
    <w:div w:id="549148331">
      <w:bodyDiv w:val="1"/>
      <w:marLeft w:val="0"/>
      <w:marRight w:val="0"/>
      <w:marTop w:val="0"/>
      <w:marBottom w:val="0"/>
      <w:divBdr>
        <w:top w:val="none" w:sz="0" w:space="0" w:color="auto"/>
        <w:left w:val="none" w:sz="0" w:space="0" w:color="auto"/>
        <w:bottom w:val="none" w:sz="0" w:space="0" w:color="auto"/>
        <w:right w:val="none" w:sz="0" w:space="0" w:color="auto"/>
      </w:divBdr>
    </w:div>
    <w:div w:id="549192771">
      <w:bodyDiv w:val="1"/>
      <w:marLeft w:val="0"/>
      <w:marRight w:val="0"/>
      <w:marTop w:val="0"/>
      <w:marBottom w:val="0"/>
      <w:divBdr>
        <w:top w:val="none" w:sz="0" w:space="0" w:color="auto"/>
        <w:left w:val="none" w:sz="0" w:space="0" w:color="auto"/>
        <w:bottom w:val="none" w:sz="0" w:space="0" w:color="auto"/>
        <w:right w:val="none" w:sz="0" w:space="0" w:color="auto"/>
      </w:divBdr>
    </w:div>
    <w:div w:id="549264675">
      <w:bodyDiv w:val="1"/>
      <w:marLeft w:val="0"/>
      <w:marRight w:val="0"/>
      <w:marTop w:val="0"/>
      <w:marBottom w:val="0"/>
      <w:divBdr>
        <w:top w:val="none" w:sz="0" w:space="0" w:color="auto"/>
        <w:left w:val="none" w:sz="0" w:space="0" w:color="auto"/>
        <w:bottom w:val="none" w:sz="0" w:space="0" w:color="auto"/>
        <w:right w:val="none" w:sz="0" w:space="0" w:color="auto"/>
      </w:divBdr>
    </w:div>
    <w:div w:id="549266018">
      <w:bodyDiv w:val="1"/>
      <w:marLeft w:val="0"/>
      <w:marRight w:val="0"/>
      <w:marTop w:val="0"/>
      <w:marBottom w:val="0"/>
      <w:divBdr>
        <w:top w:val="none" w:sz="0" w:space="0" w:color="auto"/>
        <w:left w:val="none" w:sz="0" w:space="0" w:color="auto"/>
        <w:bottom w:val="none" w:sz="0" w:space="0" w:color="auto"/>
        <w:right w:val="none" w:sz="0" w:space="0" w:color="auto"/>
      </w:divBdr>
    </w:div>
    <w:div w:id="549267683">
      <w:bodyDiv w:val="1"/>
      <w:marLeft w:val="0"/>
      <w:marRight w:val="0"/>
      <w:marTop w:val="0"/>
      <w:marBottom w:val="0"/>
      <w:divBdr>
        <w:top w:val="none" w:sz="0" w:space="0" w:color="auto"/>
        <w:left w:val="none" w:sz="0" w:space="0" w:color="auto"/>
        <w:bottom w:val="none" w:sz="0" w:space="0" w:color="auto"/>
        <w:right w:val="none" w:sz="0" w:space="0" w:color="auto"/>
      </w:divBdr>
    </w:div>
    <w:div w:id="549536642">
      <w:bodyDiv w:val="1"/>
      <w:marLeft w:val="0"/>
      <w:marRight w:val="0"/>
      <w:marTop w:val="0"/>
      <w:marBottom w:val="0"/>
      <w:divBdr>
        <w:top w:val="none" w:sz="0" w:space="0" w:color="auto"/>
        <w:left w:val="none" w:sz="0" w:space="0" w:color="auto"/>
        <w:bottom w:val="none" w:sz="0" w:space="0" w:color="auto"/>
        <w:right w:val="none" w:sz="0" w:space="0" w:color="auto"/>
      </w:divBdr>
    </w:div>
    <w:div w:id="549537834">
      <w:bodyDiv w:val="1"/>
      <w:marLeft w:val="0"/>
      <w:marRight w:val="0"/>
      <w:marTop w:val="0"/>
      <w:marBottom w:val="0"/>
      <w:divBdr>
        <w:top w:val="none" w:sz="0" w:space="0" w:color="auto"/>
        <w:left w:val="none" w:sz="0" w:space="0" w:color="auto"/>
        <w:bottom w:val="none" w:sz="0" w:space="0" w:color="auto"/>
        <w:right w:val="none" w:sz="0" w:space="0" w:color="auto"/>
      </w:divBdr>
    </w:div>
    <w:div w:id="549611008">
      <w:bodyDiv w:val="1"/>
      <w:marLeft w:val="0"/>
      <w:marRight w:val="0"/>
      <w:marTop w:val="0"/>
      <w:marBottom w:val="0"/>
      <w:divBdr>
        <w:top w:val="none" w:sz="0" w:space="0" w:color="auto"/>
        <w:left w:val="none" w:sz="0" w:space="0" w:color="auto"/>
        <w:bottom w:val="none" w:sz="0" w:space="0" w:color="auto"/>
        <w:right w:val="none" w:sz="0" w:space="0" w:color="auto"/>
      </w:divBdr>
    </w:div>
    <w:div w:id="549733281">
      <w:bodyDiv w:val="1"/>
      <w:marLeft w:val="0"/>
      <w:marRight w:val="0"/>
      <w:marTop w:val="0"/>
      <w:marBottom w:val="0"/>
      <w:divBdr>
        <w:top w:val="none" w:sz="0" w:space="0" w:color="auto"/>
        <w:left w:val="none" w:sz="0" w:space="0" w:color="auto"/>
        <w:bottom w:val="none" w:sz="0" w:space="0" w:color="auto"/>
        <w:right w:val="none" w:sz="0" w:space="0" w:color="auto"/>
      </w:divBdr>
    </w:div>
    <w:div w:id="549849000">
      <w:bodyDiv w:val="1"/>
      <w:marLeft w:val="0"/>
      <w:marRight w:val="0"/>
      <w:marTop w:val="0"/>
      <w:marBottom w:val="0"/>
      <w:divBdr>
        <w:top w:val="none" w:sz="0" w:space="0" w:color="auto"/>
        <w:left w:val="none" w:sz="0" w:space="0" w:color="auto"/>
        <w:bottom w:val="none" w:sz="0" w:space="0" w:color="auto"/>
        <w:right w:val="none" w:sz="0" w:space="0" w:color="auto"/>
      </w:divBdr>
    </w:div>
    <w:div w:id="549923102">
      <w:bodyDiv w:val="1"/>
      <w:marLeft w:val="0"/>
      <w:marRight w:val="0"/>
      <w:marTop w:val="0"/>
      <w:marBottom w:val="0"/>
      <w:divBdr>
        <w:top w:val="none" w:sz="0" w:space="0" w:color="auto"/>
        <w:left w:val="none" w:sz="0" w:space="0" w:color="auto"/>
        <w:bottom w:val="none" w:sz="0" w:space="0" w:color="auto"/>
        <w:right w:val="none" w:sz="0" w:space="0" w:color="auto"/>
      </w:divBdr>
    </w:div>
    <w:div w:id="549926511">
      <w:bodyDiv w:val="1"/>
      <w:marLeft w:val="0"/>
      <w:marRight w:val="0"/>
      <w:marTop w:val="0"/>
      <w:marBottom w:val="0"/>
      <w:divBdr>
        <w:top w:val="none" w:sz="0" w:space="0" w:color="auto"/>
        <w:left w:val="none" w:sz="0" w:space="0" w:color="auto"/>
        <w:bottom w:val="none" w:sz="0" w:space="0" w:color="auto"/>
        <w:right w:val="none" w:sz="0" w:space="0" w:color="auto"/>
      </w:divBdr>
    </w:div>
    <w:div w:id="549996496">
      <w:bodyDiv w:val="1"/>
      <w:marLeft w:val="0"/>
      <w:marRight w:val="0"/>
      <w:marTop w:val="0"/>
      <w:marBottom w:val="0"/>
      <w:divBdr>
        <w:top w:val="none" w:sz="0" w:space="0" w:color="auto"/>
        <w:left w:val="none" w:sz="0" w:space="0" w:color="auto"/>
        <w:bottom w:val="none" w:sz="0" w:space="0" w:color="auto"/>
        <w:right w:val="none" w:sz="0" w:space="0" w:color="auto"/>
      </w:divBdr>
    </w:div>
    <w:div w:id="550069672">
      <w:bodyDiv w:val="1"/>
      <w:marLeft w:val="0"/>
      <w:marRight w:val="0"/>
      <w:marTop w:val="0"/>
      <w:marBottom w:val="0"/>
      <w:divBdr>
        <w:top w:val="none" w:sz="0" w:space="0" w:color="auto"/>
        <w:left w:val="none" w:sz="0" w:space="0" w:color="auto"/>
        <w:bottom w:val="none" w:sz="0" w:space="0" w:color="auto"/>
        <w:right w:val="none" w:sz="0" w:space="0" w:color="auto"/>
      </w:divBdr>
    </w:div>
    <w:div w:id="550196383">
      <w:bodyDiv w:val="1"/>
      <w:marLeft w:val="0"/>
      <w:marRight w:val="0"/>
      <w:marTop w:val="0"/>
      <w:marBottom w:val="0"/>
      <w:divBdr>
        <w:top w:val="none" w:sz="0" w:space="0" w:color="auto"/>
        <w:left w:val="none" w:sz="0" w:space="0" w:color="auto"/>
        <w:bottom w:val="none" w:sz="0" w:space="0" w:color="auto"/>
        <w:right w:val="none" w:sz="0" w:space="0" w:color="auto"/>
      </w:divBdr>
    </w:div>
    <w:div w:id="550270217">
      <w:bodyDiv w:val="1"/>
      <w:marLeft w:val="0"/>
      <w:marRight w:val="0"/>
      <w:marTop w:val="0"/>
      <w:marBottom w:val="0"/>
      <w:divBdr>
        <w:top w:val="none" w:sz="0" w:space="0" w:color="auto"/>
        <w:left w:val="none" w:sz="0" w:space="0" w:color="auto"/>
        <w:bottom w:val="none" w:sz="0" w:space="0" w:color="auto"/>
        <w:right w:val="none" w:sz="0" w:space="0" w:color="auto"/>
      </w:divBdr>
    </w:div>
    <w:div w:id="550270819">
      <w:bodyDiv w:val="1"/>
      <w:marLeft w:val="0"/>
      <w:marRight w:val="0"/>
      <w:marTop w:val="0"/>
      <w:marBottom w:val="0"/>
      <w:divBdr>
        <w:top w:val="none" w:sz="0" w:space="0" w:color="auto"/>
        <w:left w:val="none" w:sz="0" w:space="0" w:color="auto"/>
        <w:bottom w:val="none" w:sz="0" w:space="0" w:color="auto"/>
        <w:right w:val="none" w:sz="0" w:space="0" w:color="auto"/>
      </w:divBdr>
    </w:div>
    <w:div w:id="550459396">
      <w:bodyDiv w:val="1"/>
      <w:marLeft w:val="0"/>
      <w:marRight w:val="0"/>
      <w:marTop w:val="0"/>
      <w:marBottom w:val="0"/>
      <w:divBdr>
        <w:top w:val="none" w:sz="0" w:space="0" w:color="auto"/>
        <w:left w:val="none" w:sz="0" w:space="0" w:color="auto"/>
        <w:bottom w:val="none" w:sz="0" w:space="0" w:color="auto"/>
        <w:right w:val="none" w:sz="0" w:space="0" w:color="auto"/>
      </w:divBdr>
    </w:div>
    <w:div w:id="550462523">
      <w:bodyDiv w:val="1"/>
      <w:marLeft w:val="0"/>
      <w:marRight w:val="0"/>
      <w:marTop w:val="0"/>
      <w:marBottom w:val="0"/>
      <w:divBdr>
        <w:top w:val="none" w:sz="0" w:space="0" w:color="auto"/>
        <w:left w:val="none" w:sz="0" w:space="0" w:color="auto"/>
        <w:bottom w:val="none" w:sz="0" w:space="0" w:color="auto"/>
        <w:right w:val="none" w:sz="0" w:space="0" w:color="auto"/>
      </w:divBdr>
    </w:div>
    <w:div w:id="550505962">
      <w:bodyDiv w:val="1"/>
      <w:marLeft w:val="0"/>
      <w:marRight w:val="0"/>
      <w:marTop w:val="0"/>
      <w:marBottom w:val="0"/>
      <w:divBdr>
        <w:top w:val="none" w:sz="0" w:space="0" w:color="auto"/>
        <w:left w:val="none" w:sz="0" w:space="0" w:color="auto"/>
        <w:bottom w:val="none" w:sz="0" w:space="0" w:color="auto"/>
        <w:right w:val="none" w:sz="0" w:space="0" w:color="auto"/>
      </w:divBdr>
    </w:div>
    <w:div w:id="550576640">
      <w:bodyDiv w:val="1"/>
      <w:marLeft w:val="0"/>
      <w:marRight w:val="0"/>
      <w:marTop w:val="0"/>
      <w:marBottom w:val="0"/>
      <w:divBdr>
        <w:top w:val="none" w:sz="0" w:space="0" w:color="auto"/>
        <w:left w:val="none" w:sz="0" w:space="0" w:color="auto"/>
        <w:bottom w:val="none" w:sz="0" w:space="0" w:color="auto"/>
        <w:right w:val="none" w:sz="0" w:space="0" w:color="auto"/>
      </w:divBdr>
    </w:div>
    <w:div w:id="550577503">
      <w:bodyDiv w:val="1"/>
      <w:marLeft w:val="0"/>
      <w:marRight w:val="0"/>
      <w:marTop w:val="0"/>
      <w:marBottom w:val="0"/>
      <w:divBdr>
        <w:top w:val="none" w:sz="0" w:space="0" w:color="auto"/>
        <w:left w:val="none" w:sz="0" w:space="0" w:color="auto"/>
        <w:bottom w:val="none" w:sz="0" w:space="0" w:color="auto"/>
        <w:right w:val="none" w:sz="0" w:space="0" w:color="auto"/>
      </w:divBdr>
    </w:div>
    <w:div w:id="550578490">
      <w:bodyDiv w:val="1"/>
      <w:marLeft w:val="0"/>
      <w:marRight w:val="0"/>
      <w:marTop w:val="0"/>
      <w:marBottom w:val="0"/>
      <w:divBdr>
        <w:top w:val="none" w:sz="0" w:space="0" w:color="auto"/>
        <w:left w:val="none" w:sz="0" w:space="0" w:color="auto"/>
        <w:bottom w:val="none" w:sz="0" w:space="0" w:color="auto"/>
        <w:right w:val="none" w:sz="0" w:space="0" w:color="auto"/>
      </w:divBdr>
    </w:div>
    <w:div w:id="550653136">
      <w:bodyDiv w:val="1"/>
      <w:marLeft w:val="0"/>
      <w:marRight w:val="0"/>
      <w:marTop w:val="0"/>
      <w:marBottom w:val="0"/>
      <w:divBdr>
        <w:top w:val="none" w:sz="0" w:space="0" w:color="auto"/>
        <w:left w:val="none" w:sz="0" w:space="0" w:color="auto"/>
        <w:bottom w:val="none" w:sz="0" w:space="0" w:color="auto"/>
        <w:right w:val="none" w:sz="0" w:space="0" w:color="auto"/>
      </w:divBdr>
    </w:div>
    <w:div w:id="550729592">
      <w:bodyDiv w:val="1"/>
      <w:marLeft w:val="0"/>
      <w:marRight w:val="0"/>
      <w:marTop w:val="0"/>
      <w:marBottom w:val="0"/>
      <w:divBdr>
        <w:top w:val="none" w:sz="0" w:space="0" w:color="auto"/>
        <w:left w:val="none" w:sz="0" w:space="0" w:color="auto"/>
        <w:bottom w:val="none" w:sz="0" w:space="0" w:color="auto"/>
        <w:right w:val="none" w:sz="0" w:space="0" w:color="auto"/>
      </w:divBdr>
    </w:div>
    <w:div w:id="550771497">
      <w:bodyDiv w:val="1"/>
      <w:marLeft w:val="0"/>
      <w:marRight w:val="0"/>
      <w:marTop w:val="0"/>
      <w:marBottom w:val="0"/>
      <w:divBdr>
        <w:top w:val="none" w:sz="0" w:space="0" w:color="auto"/>
        <w:left w:val="none" w:sz="0" w:space="0" w:color="auto"/>
        <w:bottom w:val="none" w:sz="0" w:space="0" w:color="auto"/>
        <w:right w:val="none" w:sz="0" w:space="0" w:color="auto"/>
      </w:divBdr>
    </w:div>
    <w:div w:id="551114760">
      <w:bodyDiv w:val="1"/>
      <w:marLeft w:val="0"/>
      <w:marRight w:val="0"/>
      <w:marTop w:val="0"/>
      <w:marBottom w:val="0"/>
      <w:divBdr>
        <w:top w:val="none" w:sz="0" w:space="0" w:color="auto"/>
        <w:left w:val="none" w:sz="0" w:space="0" w:color="auto"/>
        <w:bottom w:val="none" w:sz="0" w:space="0" w:color="auto"/>
        <w:right w:val="none" w:sz="0" w:space="0" w:color="auto"/>
      </w:divBdr>
    </w:div>
    <w:div w:id="551115304">
      <w:bodyDiv w:val="1"/>
      <w:marLeft w:val="0"/>
      <w:marRight w:val="0"/>
      <w:marTop w:val="0"/>
      <w:marBottom w:val="0"/>
      <w:divBdr>
        <w:top w:val="none" w:sz="0" w:space="0" w:color="auto"/>
        <w:left w:val="none" w:sz="0" w:space="0" w:color="auto"/>
        <w:bottom w:val="none" w:sz="0" w:space="0" w:color="auto"/>
        <w:right w:val="none" w:sz="0" w:space="0" w:color="auto"/>
      </w:divBdr>
    </w:div>
    <w:div w:id="551160436">
      <w:bodyDiv w:val="1"/>
      <w:marLeft w:val="0"/>
      <w:marRight w:val="0"/>
      <w:marTop w:val="0"/>
      <w:marBottom w:val="0"/>
      <w:divBdr>
        <w:top w:val="none" w:sz="0" w:space="0" w:color="auto"/>
        <w:left w:val="none" w:sz="0" w:space="0" w:color="auto"/>
        <w:bottom w:val="none" w:sz="0" w:space="0" w:color="auto"/>
        <w:right w:val="none" w:sz="0" w:space="0" w:color="auto"/>
      </w:divBdr>
    </w:div>
    <w:div w:id="551162388">
      <w:bodyDiv w:val="1"/>
      <w:marLeft w:val="0"/>
      <w:marRight w:val="0"/>
      <w:marTop w:val="0"/>
      <w:marBottom w:val="0"/>
      <w:divBdr>
        <w:top w:val="none" w:sz="0" w:space="0" w:color="auto"/>
        <w:left w:val="none" w:sz="0" w:space="0" w:color="auto"/>
        <w:bottom w:val="none" w:sz="0" w:space="0" w:color="auto"/>
        <w:right w:val="none" w:sz="0" w:space="0" w:color="auto"/>
      </w:divBdr>
    </w:div>
    <w:div w:id="551312769">
      <w:bodyDiv w:val="1"/>
      <w:marLeft w:val="0"/>
      <w:marRight w:val="0"/>
      <w:marTop w:val="0"/>
      <w:marBottom w:val="0"/>
      <w:divBdr>
        <w:top w:val="none" w:sz="0" w:space="0" w:color="auto"/>
        <w:left w:val="none" w:sz="0" w:space="0" w:color="auto"/>
        <w:bottom w:val="none" w:sz="0" w:space="0" w:color="auto"/>
        <w:right w:val="none" w:sz="0" w:space="0" w:color="auto"/>
      </w:divBdr>
    </w:div>
    <w:div w:id="551385876">
      <w:bodyDiv w:val="1"/>
      <w:marLeft w:val="0"/>
      <w:marRight w:val="0"/>
      <w:marTop w:val="0"/>
      <w:marBottom w:val="0"/>
      <w:divBdr>
        <w:top w:val="none" w:sz="0" w:space="0" w:color="auto"/>
        <w:left w:val="none" w:sz="0" w:space="0" w:color="auto"/>
        <w:bottom w:val="none" w:sz="0" w:space="0" w:color="auto"/>
        <w:right w:val="none" w:sz="0" w:space="0" w:color="auto"/>
      </w:divBdr>
    </w:div>
    <w:div w:id="551386562">
      <w:bodyDiv w:val="1"/>
      <w:marLeft w:val="0"/>
      <w:marRight w:val="0"/>
      <w:marTop w:val="0"/>
      <w:marBottom w:val="0"/>
      <w:divBdr>
        <w:top w:val="none" w:sz="0" w:space="0" w:color="auto"/>
        <w:left w:val="none" w:sz="0" w:space="0" w:color="auto"/>
        <w:bottom w:val="none" w:sz="0" w:space="0" w:color="auto"/>
        <w:right w:val="none" w:sz="0" w:space="0" w:color="auto"/>
      </w:divBdr>
    </w:div>
    <w:div w:id="551422826">
      <w:bodyDiv w:val="1"/>
      <w:marLeft w:val="0"/>
      <w:marRight w:val="0"/>
      <w:marTop w:val="0"/>
      <w:marBottom w:val="0"/>
      <w:divBdr>
        <w:top w:val="none" w:sz="0" w:space="0" w:color="auto"/>
        <w:left w:val="none" w:sz="0" w:space="0" w:color="auto"/>
        <w:bottom w:val="none" w:sz="0" w:space="0" w:color="auto"/>
        <w:right w:val="none" w:sz="0" w:space="0" w:color="auto"/>
      </w:divBdr>
    </w:div>
    <w:div w:id="551425923">
      <w:bodyDiv w:val="1"/>
      <w:marLeft w:val="0"/>
      <w:marRight w:val="0"/>
      <w:marTop w:val="0"/>
      <w:marBottom w:val="0"/>
      <w:divBdr>
        <w:top w:val="none" w:sz="0" w:space="0" w:color="auto"/>
        <w:left w:val="none" w:sz="0" w:space="0" w:color="auto"/>
        <w:bottom w:val="none" w:sz="0" w:space="0" w:color="auto"/>
        <w:right w:val="none" w:sz="0" w:space="0" w:color="auto"/>
      </w:divBdr>
    </w:div>
    <w:div w:id="551573299">
      <w:bodyDiv w:val="1"/>
      <w:marLeft w:val="0"/>
      <w:marRight w:val="0"/>
      <w:marTop w:val="0"/>
      <w:marBottom w:val="0"/>
      <w:divBdr>
        <w:top w:val="none" w:sz="0" w:space="0" w:color="auto"/>
        <w:left w:val="none" w:sz="0" w:space="0" w:color="auto"/>
        <w:bottom w:val="none" w:sz="0" w:space="0" w:color="auto"/>
        <w:right w:val="none" w:sz="0" w:space="0" w:color="auto"/>
      </w:divBdr>
    </w:div>
    <w:div w:id="551617315">
      <w:bodyDiv w:val="1"/>
      <w:marLeft w:val="0"/>
      <w:marRight w:val="0"/>
      <w:marTop w:val="0"/>
      <w:marBottom w:val="0"/>
      <w:divBdr>
        <w:top w:val="none" w:sz="0" w:space="0" w:color="auto"/>
        <w:left w:val="none" w:sz="0" w:space="0" w:color="auto"/>
        <w:bottom w:val="none" w:sz="0" w:space="0" w:color="auto"/>
        <w:right w:val="none" w:sz="0" w:space="0" w:color="auto"/>
      </w:divBdr>
    </w:div>
    <w:div w:id="551696573">
      <w:bodyDiv w:val="1"/>
      <w:marLeft w:val="0"/>
      <w:marRight w:val="0"/>
      <w:marTop w:val="0"/>
      <w:marBottom w:val="0"/>
      <w:divBdr>
        <w:top w:val="none" w:sz="0" w:space="0" w:color="auto"/>
        <w:left w:val="none" w:sz="0" w:space="0" w:color="auto"/>
        <w:bottom w:val="none" w:sz="0" w:space="0" w:color="auto"/>
        <w:right w:val="none" w:sz="0" w:space="0" w:color="auto"/>
      </w:divBdr>
    </w:div>
    <w:div w:id="551813169">
      <w:bodyDiv w:val="1"/>
      <w:marLeft w:val="0"/>
      <w:marRight w:val="0"/>
      <w:marTop w:val="0"/>
      <w:marBottom w:val="0"/>
      <w:divBdr>
        <w:top w:val="none" w:sz="0" w:space="0" w:color="auto"/>
        <w:left w:val="none" w:sz="0" w:space="0" w:color="auto"/>
        <w:bottom w:val="none" w:sz="0" w:space="0" w:color="auto"/>
        <w:right w:val="none" w:sz="0" w:space="0" w:color="auto"/>
      </w:divBdr>
    </w:div>
    <w:div w:id="551813907">
      <w:bodyDiv w:val="1"/>
      <w:marLeft w:val="0"/>
      <w:marRight w:val="0"/>
      <w:marTop w:val="0"/>
      <w:marBottom w:val="0"/>
      <w:divBdr>
        <w:top w:val="none" w:sz="0" w:space="0" w:color="auto"/>
        <w:left w:val="none" w:sz="0" w:space="0" w:color="auto"/>
        <w:bottom w:val="none" w:sz="0" w:space="0" w:color="auto"/>
        <w:right w:val="none" w:sz="0" w:space="0" w:color="auto"/>
      </w:divBdr>
    </w:div>
    <w:div w:id="551960954">
      <w:bodyDiv w:val="1"/>
      <w:marLeft w:val="0"/>
      <w:marRight w:val="0"/>
      <w:marTop w:val="0"/>
      <w:marBottom w:val="0"/>
      <w:divBdr>
        <w:top w:val="none" w:sz="0" w:space="0" w:color="auto"/>
        <w:left w:val="none" w:sz="0" w:space="0" w:color="auto"/>
        <w:bottom w:val="none" w:sz="0" w:space="0" w:color="auto"/>
        <w:right w:val="none" w:sz="0" w:space="0" w:color="auto"/>
      </w:divBdr>
    </w:div>
    <w:div w:id="551963853">
      <w:bodyDiv w:val="1"/>
      <w:marLeft w:val="0"/>
      <w:marRight w:val="0"/>
      <w:marTop w:val="0"/>
      <w:marBottom w:val="0"/>
      <w:divBdr>
        <w:top w:val="none" w:sz="0" w:space="0" w:color="auto"/>
        <w:left w:val="none" w:sz="0" w:space="0" w:color="auto"/>
        <w:bottom w:val="none" w:sz="0" w:space="0" w:color="auto"/>
        <w:right w:val="none" w:sz="0" w:space="0" w:color="auto"/>
      </w:divBdr>
    </w:div>
    <w:div w:id="551964668">
      <w:bodyDiv w:val="1"/>
      <w:marLeft w:val="0"/>
      <w:marRight w:val="0"/>
      <w:marTop w:val="0"/>
      <w:marBottom w:val="0"/>
      <w:divBdr>
        <w:top w:val="none" w:sz="0" w:space="0" w:color="auto"/>
        <w:left w:val="none" w:sz="0" w:space="0" w:color="auto"/>
        <w:bottom w:val="none" w:sz="0" w:space="0" w:color="auto"/>
        <w:right w:val="none" w:sz="0" w:space="0" w:color="auto"/>
      </w:divBdr>
    </w:div>
    <w:div w:id="551965503">
      <w:bodyDiv w:val="1"/>
      <w:marLeft w:val="0"/>
      <w:marRight w:val="0"/>
      <w:marTop w:val="0"/>
      <w:marBottom w:val="0"/>
      <w:divBdr>
        <w:top w:val="none" w:sz="0" w:space="0" w:color="auto"/>
        <w:left w:val="none" w:sz="0" w:space="0" w:color="auto"/>
        <w:bottom w:val="none" w:sz="0" w:space="0" w:color="auto"/>
        <w:right w:val="none" w:sz="0" w:space="0" w:color="auto"/>
      </w:divBdr>
    </w:div>
    <w:div w:id="552083023">
      <w:bodyDiv w:val="1"/>
      <w:marLeft w:val="0"/>
      <w:marRight w:val="0"/>
      <w:marTop w:val="0"/>
      <w:marBottom w:val="0"/>
      <w:divBdr>
        <w:top w:val="none" w:sz="0" w:space="0" w:color="auto"/>
        <w:left w:val="none" w:sz="0" w:space="0" w:color="auto"/>
        <w:bottom w:val="none" w:sz="0" w:space="0" w:color="auto"/>
        <w:right w:val="none" w:sz="0" w:space="0" w:color="auto"/>
      </w:divBdr>
    </w:div>
    <w:div w:id="552083862">
      <w:bodyDiv w:val="1"/>
      <w:marLeft w:val="0"/>
      <w:marRight w:val="0"/>
      <w:marTop w:val="0"/>
      <w:marBottom w:val="0"/>
      <w:divBdr>
        <w:top w:val="none" w:sz="0" w:space="0" w:color="auto"/>
        <w:left w:val="none" w:sz="0" w:space="0" w:color="auto"/>
        <w:bottom w:val="none" w:sz="0" w:space="0" w:color="auto"/>
        <w:right w:val="none" w:sz="0" w:space="0" w:color="auto"/>
      </w:divBdr>
    </w:div>
    <w:div w:id="552157579">
      <w:bodyDiv w:val="1"/>
      <w:marLeft w:val="0"/>
      <w:marRight w:val="0"/>
      <w:marTop w:val="0"/>
      <w:marBottom w:val="0"/>
      <w:divBdr>
        <w:top w:val="none" w:sz="0" w:space="0" w:color="auto"/>
        <w:left w:val="none" w:sz="0" w:space="0" w:color="auto"/>
        <w:bottom w:val="none" w:sz="0" w:space="0" w:color="auto"/>
        <w:right w:val="none" w:sz="0" w:space="0" w:color="auto"/>
      </w:divBdr>
    </w:div>
    <w:div w:id="552161470">
      <w:bodyDiv w:val="1"/>
      <w:marLeft w:val="0"/>
      <w:marRight w:val="0"/>
      <w:marTop w:val="0"/>
      <w:marBottom w:val="0"/>
      <w:divBdr>
        <w:top w:val="none" w:sz="0" w:space="0" w:color="auto"/>
        <w:left w:val="none" w:sz="0" w:space="0" w:color="auto"/>
        <w:bottom w:val="none" w:sz="0" w:space="0" w:color="auto"/>
        <w:right w:val="none" w:sz="0" w:space="0" w:color="auto"/>
      </w:divBdr>
    </w:div>
    <w:div w:id="552228662">
      <w:bodyDiv w:val="1"/>
      <w:marLeft w:val="0"/>
      <w:marRight w:val="0"/>
      <w:marTop w:val="0"/>
      <w:marBottom w:val="0"/>
      <w:divBdr>
        <w:top w:val="none" w:sz="0" w:space="0" w:color="auto"/>
        <w:left w:val="none" w:sz="0" w:space="0" w:color="auto"/>
        <w:bottom w:val="none" w:sz="0" w:space="0" w:color="auto"/>
        <w:right w:val="none" w:sz="0" w:space="0" w:color="auto"/>
      </w:divBdr>
    </w:div>
    <w:div w:id="552237094">
      <w:bodyDiv w:val="1"/>
      <w:marLeft w:val="0"/>
      <w:marRight w:val="0"/>
      <w:marTop w:val="0"/>
      <w:marBottom w:val="0"/>
      <w:divBdr>
        <w:top w:val="none" w:sz="0" w:space="0" w:color="auto"/>
        <w:left w:val="none" w:sz="0" w:space="0" w:color="auto"/>
        <w:bottom w:val="none" w:sz="0" w:space="0" w:color="auto"/>
        <w:right w:val="none" w:sz="0" w:space="0" w:color="auto"/>
      </w:divBdr>
    </w:div>
    <w:div w:id="552303828">
      <w:bodyDiv w:val="1"/>
      <w:marLeft w:val="0"/>
      <w:marRight w:val="0"/>
      <w:marTop w:val="0"/>
      <w:marBottom w:val="0"/>
      <w:divBdr>
        <w:top w:val="none" w:sz="0" w:space="0" w:color="auto"/>
        <w:left w:val="none" w:sz="0" w:space="0" w:color="auto"/>
        <w:bottom w:val="none" w:sz="0" w:space="0" w:color="auto"/>
        <w:right w:val="none" w:sz="0" w:space="0" w:color="auto"/>
      </w:divBdr>
    </w:div>
    <w:div w:id="552428366">
      <w:bodyDiv w:val="1"/>
      <w:marLeft w:val="0"/>
      <w:marRight w:val="0"/>
      <w:marTop w:val="0"/>
      <w:marBottom w:val="0"/>
      <w:divBdr>
        <w:top w:val="none" w:sz="0" w:space="0" w:color="auto"/>
        <w:left w:val="none" w:sz="0" w:space="0" w:color="auto"/>
        <w:bottom w:val="none" w:sz="0" w:space="0" w:color="auto"/>
        <w:right w:val="none" w:sz="0" w:space="0" w:color="auto"/>
      </w:divBdr>
    </w:div>
    <w:div w:id="552543556">
      <w:bodyDiv w:val="1"/>
      <w:marLeft w:val="0"/>
      <w:marRight w:val="0"/>
      <w:marTop w:val="0"/>
      <w:marBottom w:val="0"/>
      <w:divBdr>
        <w:top w:val="none" w:sz="0" w:space="0" w:color="auto"/>
        <w:left w:val="none" w:sz="0" w:space="0" w:color="auto"/>
        <w:bottom w:val="none" w:sz="0" w:space="0" w:color="auto"/>
        <w:right w:val="none" w:sz="0" w:space="0" w:color="auto"/>
      </w:divBdr>
    </w:div>
    <w:div w:id="552543718">
      <w:bodyDiv w:val="1"/>
      <w:marLeft w:val="0"/>
      <w:marRight w:val="0"/>
      <w:marTop w:val="0"/>
      <w:marBottom w:val="0"/>
      <w:divBdr>
        <w:top w:val="none" w:sz="0" w:space="0" w:color="auto"/>
        <w:left w:val="none" w:sz="0" w:space="0" w:color="auto"/>
        <w:bottom w:val="none" w:sz="0" w:space="0" w:color="auto"/>
        <w:right w:val="none" w:sz="0" w:space="0" w:color="auto"/>
      </w:divBdr>
    </w:div>
    <w:div w:id="552618832">
      <w:bodyDiv w:val="1"/>
      <w:marLeft w:val="0"/>
      <w:marRight w:val="0"/>
      <w:marTop w:val="0"/>
      <w:marBottom w:val="0"/>
      <w:divBdr>
        <w:top w:val="none" w:sz="0" w:space="0" w:color="auto"/>
        <w:left w:val="none" w:sz="0" w:space="0" w:color="auto"/>
        <w:bottom w:val="none" w:sz="0" w:space="0" w:color="auto"/>
        <w:right w:val="none" w:sz="0" w:space="0" w:color="auto"/>
      </w:divBdr>
    </w:div>
    <w:div w:id="552619547">
      <w:bodyDiv w:val="1"/>
      <w:marLeft w:val="0"/>
      <w:marRight w:val="0"/>
      <w:marTop w:val="0"/>
      <w:marBottom w:val="0"/>
      <w:divBdr>
        <w:top w:val="none" w:sz="0" w:space="0" w:color="auto"/>
        <w:left w:val="none" w:sz="0" w:space="0" w:color="auto"/>
        <w:bottom w:val="none" w:sz="0" w:space="0" w:color="auto"/>
        <w:right w:val="none" w:sz="0" w:space="0" w:color="auto"/>
      </w:divBdr>
    </w:div>
    <w:div w:id="552929667">
      <w:bodyDiv w:val="1"/>
      <w:marLeft w:val="0"/>
      <w:marRight w:val="0"/>
      <w:marTop w:val="0"/>
      <w:marBottom w:val="0"/>
      <w:divBdr>
        <w:top w:val="none" w:sz="0" w:space="0" w:color="auto"/>
        <w:left w:val="none" w:sz="0" w:space="0" w:color="auto"/>
        <w:bottom w:val="none" w:sz="0" w:space="0" w:color="auto"/>
        <w:right w:val="none" w:sz="0" w:space="0" w:color="auto"/>
      </w:divBdr>
    </w:div>
    <w:div w:id="553079802">
      <w:bodyDiv w:val="1"/>
      <w:marLeft w:val="0"/>
      <w:marRight w:val="0"/>
      <w:marTop w:val="0"/>
      <w:marBottom w:val="0"/>
      <w:divBdr>
        <w:top w:val="none" w:sz="0" w:space="0" w:color="auto"/>
        <w:left w:val="none" w:sz="0" w:space="0" w:color="auto"/>
        <w:bottom w:val="none" w:sz="0" w:space="0" w:color="auto"/>
        <w:right w:val="none" w:sz="0" w:space="0" w:color="auto"/>
      </w:divBdr>
    </w:div>
    <w:div w:id="553079827">
      <w:bodyDiv w:val="1"/>
      <w:marLeft w:val="0"/>
      <w:marRight w:val="0"/>
      <w:marTop w:val="0"/>
      <w:marBottom w:val="0"/>
      <w:divBdr>
        <w:top w:val="none" w:sz="0" w:space="0" w:color="auto"/>
        <w:left w:val="none" w:sz="0" w:space="0" w:color="auto"/>
        <w:bottom w:val="none" w:sz="0" w:space="0" w:color="auto"/>
        <w:right w:val="none" w:sz="0" w:space="0" w:color="auto"/>
      </w:divBdr>
    </w:div>
    <w:div w:id="553083900">
      <w:bodyDiv w:val="1"/>
      <w:marLeft w:val="0"/>
      <w:marRight w:val="0"/>
      <w:marTop w:val="0"/>
      <w:marBottom w:val="0"/>
      <w:divBdr>
        <w:top w:val="none" w:sz="0" w:space="0" w:color="auto"/>
        <w:left w:val="none" w:sz="0" w:space="0" w:color="auto"/>
        <w:bottom w:val="none" w:sz="0" w:space="0" w:color="auto"/>
        <w:right w:val="none" w:sz="0" w:space="0" w:color="auto"/>
      </w:divBdr>
    </w:div>
    <w:div w:id="553195841">
      <w:bodyDiv w:val="1"/>
      <w:marLeft w:val="0"/>
      <w:marRight w:val="0"/>
      <w:marTop w:val="0"/>
      <w:marBottom w:val="0"/>
      <w:divBdr>
        <w:top w:val="none" w:sz="0" w:space="0" w:color="auto"/>
        <w:left w:val="none" w:sz="0" w:space="0" w:color="auto"/>
        <w:bottom w:val="none" w:sz="0" w:space="0" w:color="auto"/>
        <w:right w:val="none" w:sz="0" w:space="0" w:color="auto"/>
      </w:divBdr>
    </w:div>
    <w:div w:id="553395274">
      <w:bodyDiv w:val="1"/>
      <w:marLeft w:val="0"/>
      <w:marRight w:val="0"/>
      <w:marTop w:val="0"/>
      <w:marBottom w:val="0"/>
      <w:divBdr>
        <w:top w:val="none" w:sz="0" w:space="0" w:color="auto"/>
        <w:left w:val="none" w:sz="0" w:space="0" w:color="auto"/>
        <w:bottom w:val="none" w:sz="0" w:space="0" w:color="auto"/>
        <w:right w:val="none" w:sz="0" w:space="0" w:color="auto"/>
      </w:divBdr>
    </w:div>
    <w:div w:id="553469567">
      <w:bodyDiv w:val="1"/>
      <w:marLeft w:val="0"/>
      <w:marRight w:val="0"/>
      <w:marTop w:val="0"/>
      <w:marBottom w:val="0"/>
      <w:divBdr>
        <w:top w:val="none" w:sz="0" w:space="0" w:color="auto"/>
        <w:left w:val="none" w:sz="0" w:space="0" w:color="auto"/>
        <w:bottom w:val="none" w:sz="0" w:space="0" w:color="auto"/>
        <w:right w:val="none" w:sz="0" w:space="0" w:color="auto"/>
      </w:divBdr>
    </w:div>
    <w:div w:id="553540866">
      <w:bodyDiv w:val="1"/>
      <w:marLeft w:val="0"/>
      <w:marRight w:val="0"/>
      <w:marTop w:val="0"/>
      <w:marBottom w:val="0"/>
      <w:divBdr>
        <w:top w:val="none" w:sz="0" w:space="0" w:color="auto"/>
        <w:left w:val="none" w:sz="0" w:space="0" w:color="auto"/>
        <w:bottom w:val="none" w:sz="0" w:space="0" w:color="auto"/>
        <w:right w:val="none" w:sz="0" w:space="0" w:color="auto"/>
      </w:divBdr>
    </w:div>
    <w:div w:id="553543820">
      <w:bodyDiv w:val="1"/>
      <w:marLeft w:val="0"/>
      <w:marRight w:val="0"/>
      <w:marTop w:val="0"/>
      <w:marBottom w:val="0"/>
      <w:divBdr>
        <w:top w:val="none" w:sz="0" w:space="0" w:color="auto"/>
        <w:left w:val="none" w:sz="0" w:space="0" w:color="auto"/>
        <w:bottom w:val="none" w:sz="0" w:space="0" w:color="auto"/>
        <w:right w:val="none" w:sz="0" w:space="0" w:color="auto"/>
      </w:divBdr>
    </w:div>
    <w:div w:id="553587297">
      <w:bodyDiv w:val="1"/>
      <w:marLeft w:val="0"/>
      <w:marRight w:val="0"/>
      <w:marTop w:val="0"/>
      <w:marBottom w:val="0"/>
      <w:divBdr>
        <w:top w:val="none" w:sz="0" w:space="0" w:color="auto"/>
        <w:left w:val="none" w:sz="0" w:space="0" w:color="auto"/>
        <w:bottom w:val="none" w:sz="0" w:space="0" w:color="auto"/>
        <w:right w:val="none" w:sz="0" w:space="0" w:color="auto"/>
      </w:divBdr>
    </w:div>
    <w:div w:id="553590849">
      <w:bodyDiv w:val="1"/>
      <w:marLeft w:val="0"/>
      <w:marRight w:val="0"/>
      <w:marTop w:val="0"/>
      <w:marBottom w:val="0"/>
      <w:divBdr>
        <w:top w:val="none" w:sz="0" w:space="0" w:color="auto"/>
        <w:left w:val="none" w:sz="0" w:space="0" w:color="auto"/>
        <w:bottom w:val="none" w:sz="0" w:space="0" w:color="auto"/>
        <w:right w:val="none" w:sz="0" w:space="0" w:color="auto"/>
      </w:divBdr>
    </w:div>
    <w:div w:id="553657722">
      <w:bodyDiv w:val="1"/>
      <w:marLeft w:val="0"/>
      <w:marRight w:val="0"/>
      <w:marTop w:val="0"/>
      <w:marBottom w:val="0"/>
      <w:divBdr>
        <w:top w:val="none" w:sz="0" w:space="0" w:color="auto"/>
        <w:left w:val="none" w:sz="0" w:space="0" w:color="auto"/>
        <w:bottom w:val="none" w:sz="0" w:space="0" w:color="auto"/>
        <w:right w:val="none" w:sz="0" w:space="0" w:color="auto"/>
      </w:divBdr>
    </w:div>
    <w:div w:id="553658134">
      <w:bodyDiv w:val="1"/>
      <w:marLeft w:val="0"/>
      <w:marRight w:val="0"/>
      <w:marTop w:val="0"/>
      <w:marBottom w:val="0"/>
      <w:divBdr>
        <w:top w:val="none" w:sz="0" w:space="0" w:color="auto"/>
        <w:left w:val="none" w:sz="0" w:space="0" w:color="auto"/>
        <w:bottom w:val="none" w:sz="0" w:space="0" w:color="auto"/>
        <w:right w:val="none" w:sz="0" w:space="0" w:color="auto"/>
      </w:divBdr>
    </w:div>
    <w:div w:id="553661788">
      <w:bodyDiv w:val="1"/>
      <w:marLeft w:val="0"/>
      <w:marRight w:val="0"/>
      <w:marTop w:val="0"/>
      <w:marBottom w:val="0"/>
      <w:divBdr>
        <w:top w:val="none" w:sz="0" w:space="0" w:color="auto"/>
        <w:left w:val="none" w:sz="0" w:space="0" w:color="auto"/>
        <w:bottom w:val="none" w:sz="0" w:space="0" w:color="auto"/>
        <w:right w:val="none" w:sz="0" w:space="0" w:color="auto"/>
      </w:divBdr>
    </w:div>
    <w:div w:id="553665969">
      <w:bodyDiv w:val="1"/>
      <w:marLeft w:val="0"/>
      <w:marRight w:val="0"/>
      <w:marTop w:val="0"/>
      <w:marBottom w:val="0"/>
      <w:divBdr>
        <w:top w:val="none" w:sz="0" w:space="0" w:color="auto"/>
        <w:left w:val="none" w:sz="0" w:space="0" w:color="auto"/>
        <w:bottom w:val="none" w:sz="0" w:space="0" w:color="auto"/>
        <w:right w:val="none" w:sz="0" w:space="0" w:color="auto"/>
      </w:divBdr>
    </w:div>
    <w:div w:id="553779912">
      <w:bodyDiv w:val="1"/>
      <w:marLeft w:val="0"/>
      <w:marRight w:val="0"/>
      <w:marTop w:val="0"/>
      <w:marBottom w:val="0"/>
      <w:divBdr>
        <w:top w:val="none" w:sz="0" w:space="0" w:color="auto"/>
        <w:left w:val="none" w:sz="0" w:space="0" w:color="auto"/>
        <w:bottom w:val="none" w:sz="0" w:space="0" w:color="auto"/>
        <w:right w:val="none" w:sz="0" w:space="0" w:color="auto"/>
      </w:divBdr>
    </w:div>
    <w:div w:id="553781307">
      <w:bodyDiv w:val="1"/>
      <w:marLeft w:val="0"/>
      <w:marRight w:val="0"/>
      <w:marTop w:val="0"/>
      <w:marBottom w:val="0"/>
      <w:divBdr>
        <w:top w:val="none" w:sz="0" w:space="0" w:color="auto"/>
        <w:left w:val="none" w:sz="0" w:space="0" w:color="auto"/>
        <w:bottom w:val="none" w:sz="0" w:space="0" w:color="auto"/>
        <w:right w:val="none" w:sz="0" w:space="0" w:color="auto"/>
      </w:divBdr>
    </w:div>
    <w:div w:id="553782388">
      <w:bodyDiv w:val="1"/>
      <w:marLeft w:val="0"/>
      <w:marRight w:val="0"/>
      <w:marTop w:val="0"/>
      <w:marBottom w:val="0"/>
      <w:divBdr>
        <w:top w:val="none" w:sz="0" w:space="0" w:color="auto"/>
        <w:left w:val="none" w:sz="0" w:space="0" w:color="auto"/>
        <w:bottom w:val="none" w:sz="0" w:space="0" w:color="auto"/>
        <w:right w:val="none" w:sz="0" w:space="0" w:color="auto"/>
      </w:divBdr>
    </w:div>
    <w:div w:id="553852337">
      <w:bodyDiv w:val="1"/>
      <w:marLeft w:val="0"/>
      <w:marRight w:val="0"/>
      <w:marTop w:val="0"/>
      <w:marBottom w:val="0"/>
      <w:divBdr>
        <w:top w:val="none" w:sz="0" w:space="0" w:color="auto"/>
        <w:left w:val="none" w:sz="0" w:space="0" w:color="auto"/>
        <w:bottom w:val="none" w:sz="0" w:space="0" w:color="auto"/>
        <w:right w:val="none" w:sz="0" w:space="0" w:color="auto"/>
      </w:divBdr>
    </w:div>
    <w:div w:id="553855519">
      <w:bodyDiv w:val="1"/>
      <w:marLeft w:val="0"/>
      <w:marRight w:val="0"/>
      <w:marTop w:val="0"/>
      <w:marBottom w:val="0"/>
      <w:divBdr>
        <w:top w:val="none" w:sz="0" w:space="0" w:color="auto"/>
        <w:left w:val="none" w:sz="0" w:space="0" w:color="auto"/>
        <w:bottom w:val="none" w:sz="0" w:space="0" w:color="auto"/>
        <w:right w:val="none" w:sz="0" w:space="0" w:color="auto"/>
      </w:divBdr>
    </w:div>
    <w:div w:id="553859912">
      <w:bodyDiv w:val="1"/>
      <w:marLeft w:val="0"/>
      <w:marRight w:val="0"/>
      <w:marTop w:val="0"/>
      <w:marBottom w:val="0"/>
      <w:divBdr>
        <w:top w:val="none" w:sz="0" w:space="0" w:color="auto"/>
        <w:left w:val="none" w:sz="0" w:space="0" w:color="auto"/>
        <w:bottom w:val="none" w:sz="0" w:space="0" w:color="auto"/>
        <w:right w:val="none" w:sz="0" w:space="0" w:color="auto"/>
      </w:divBdr>
    </w:div>
    <w:div w:id="553929767">
      <w:bodyDiv w:val="1"/>
      <w:marLeft w:val="0"/>
      <w:marRight w:val="0"/>
      <w:marTop w:val="0"/>
      <w:marBottom w:val="0"/>
      <w:divBdr>
        <w:top w:val="none" w:sz="0" w:space="0" w:color="auto"/>
        <w:left w:val="none" w:sz="0" w:space="0" w:color="auto"/>
        <w:bottom w:val="none" w:sz="0" w:space="0" w:color="auto"/>
        <w:right w:val="none" w:sz="0" w:space="0" w:color="auto"/>
      </w:divBdr>
    </w:div>
    <w:div w:id="554006252">
      <w:bodyDiv w:val="1"/>
      <w:marLeft w:val="0"/>
      <w:marRight w:val="0"/>
      <w:marTop w:val="0"/>
      <w:marBottom w:val="0"/>
      <w:divBdr>
        <w:top w:val="none" w:sz="0" w:space="0" w:color="auto"/>
        <w:left w:val="none" w:sz="0" w:space="0" w:color="auto"/>
        <w:bottom w:val="none" w:sz="0" w:space="0" w:color="auto"/>
        <w:right w:val="none" w:sz="0" w:space="0" w:color="auto"/>
      </w:divBdr>
    </w:div>
    <w:div w:id="554123356">
      <w:bodyDiv w:val="1"/>
      <w:marLeft w:val="0"/>
      <w:marRight w:val="0"/>
      <w:marTop w:val="0"/>
      <w:marBottom w:val="0"/>
      <w:divBdr>
        <w:top w:val="none" w:sz="0" w:space="0" w:color="auto"/>
        <w:left w:val="none" w:sz="0" w:space="0" w:color="auto"/>
        <w:bottom w:val="none" w:sz="0" w:space="0" w:color="auto"/>
        <w:right w:val="none" w:sz="0" w:space="0" w:color="auto"/>
      </w:divBdr>
    </w:div>
    <w:div w:id="554198114">
      <w:bodyDiv w:val="1"/>
      <w:marLeft w:val="0"/>
      <w:marRight w:val="0"/>
      <w:marTop w:val="0"/>
      <w:marBottom w:val="0"/>
      <w:divBdr>
        <w:top w:val="none" w:sz="0" w:space="0" w:color="auto"/>
        <w:left w:val="none" w:sz="0" w:space="0" w:color="auto"/>
        <w:bottom w:val="none" w:sz="0" w:space="0" w:color="auto"/>
        <w:right w:val="none" w:sz="0" w:space="0" w:color="auto"/>
      </w:divBdr>
    </w:div>
    <w:div w:id="554202226">
      <w:bodyDiv w:val="1"/>
      <w:marLeft w:val="0"/>
      <w:marRight w:val="0"/>
      <w:marTop w:val="0"/>
      <w:marBottom w:val="0"/>
      <w:divBdr>
        <w:top w:val="none" w:sz="0" w:space="0" w:color="auto"/>
        <w:left w:val="none" w:sz="0" w:space="0" w:color="auto"/>
        <w:bottom w:val="none" w:sz="0" w:space="0" w:color="auto"/>
        <w:right w:val="none" w:sz="0" w:space="0" w:color="auto"/>
      </w:divBdr>
    </w:div>
    <w:div w:id="554246262">
      <w:bodyDiv w:val="1"/>
      <w:marLeft w:val="0"/>
      <w:marRight w:val="0"/>
      <w:marTop w:val="0"/>
      <w:marBottom w:val="0"/>
      <w:divBdr>
        <w:top w:val="none" w:sz="0" w:space="0" w:color="auto"/>
        <w:left w:val="none" w:sz="0" w:space="0" w:color="auto"/>
        <w:bottom w:val="none" w:sz="0" w:space="0" w:color="auto"/>
        <w:right w:val="none" w:sz="0" w:space="0" w:color="auto"/>
      </w:divBdr>
    </w:div>
    <w:div w:id="554439094">
      <w:bodyDiv w:val="1"/>
      <w:marLeft w:val="0"/>
      <w:marRight w:val="0"/>
      <w:marTop w:val="0"/>
      <w:marBottom w:val="0"/>
      <w:divBdr>
        <w:top w:val="none" w:sz="0" w:space="0" w:color="auto"/>
        <w:left w:val="none" w:sz="0" w:space="0" w:color="auto"/>
        <w:bottom w:val="none" w:sz="0" w:space="0" w:color="auto"/>
        <w:right w:val="none" w:sz="0" w:space="0" w:color="auto"/>
      </w:divBdr>
    </w:div>
    <w:div w:id="554465543">
      <w:bodyDiv w:val="1"/>
      <w:marLeft w:val="0"/>
      <w:marRight w:val="0"/>
      <w:marTop w:val="0"/>
      <w:marBottom w:val="0"/>
      <w:divBdr>
        <w:top w:val="none" w:sz="0" w:space="0" w:color="auto"/>
        <w:left w:val="none" w:sz="0" w:space="0" w:color="auto"/>
        <w:bottom w:val="none" w:sz="0" w:space="0" w:color="auto"/>
        <w:right w:val="none" w:sz="0" w:space="0" w:color="auto"/>
      </w:divBdr>
    </w:div>
    <w:div w:id="554506869">
      <w:bodyDiv w:val="1"/>
      <w:marLeft w:val="0"/>
      <w:marRight w:val="0"/>
      <w:marTop w:val="0"/>
      <w:marBottom w:val="0"/>
      <w:divBdr>
        <w:top w:val="none" w:sz="0" w:space="0" w:color="auto"/>
        <w:left w:val="none" w:sz="0" w:space="0" w:color="auto"/>
        <w:bottom w:val="none" w:sz="0" w:space="0" w:color="auto"/>
        <w:right w:val="none" w:sz="0" w:space="0" w:color="auto"/>
      </w:divBdr>
    </w:div>
    <w:div w:id="554777200">
      <w:bodyDiv w:val="1"/>
      <w:marLeft w:val="0"/>
      <w:marRight w:val="0"/>
      <w:marTop w:val="0"/>
      <w:marBottom w:val="0"/>
      <w:divBdr>
        <w:top w:val="none" w:sz="0" w:space="0" w:color="auto"/>
        <w:left w:val="none" w:sz="0" w:space="0" w:color="auto"/>
        <w:bottom w:val="none" w:sz="0" w:space="0" w:color="auto"/>
        <w:right w:val="none" w:sz="0" w:space="0" w:color="auto"/>
      </w:divBdr>
    </w:div>
    <w:div w:id="554899178">
      <w:bodyDiv w:val="1"/>
      <w:marLeft w:val="0"/>
      <w:marRight w:val="0"/>
      <w:marTop w:val="0"/>
      <w:marBottom w:val="0"/>
      <w:divBdr>
        <w:top w:val="none" w:sz="0" w:space="0" w:color="auto"/>
        <w:left w:val="none" w:sz="0" w:space="0" w:color="auto"/>
        <w:bottom w:val="none" w:sz="0" w:space="0" w:color="auto"/>
        <w:right w:val="none" w:sz="0" w:space="0" w:color="auto"/>
      </w:divBdr>
    </w:div>
    <w:div w:id="554899700">
      <w:bodyDiv w:val="1"/>
      <w:marLeft w:val="0"/>
      <w:marRight w:val="0"/>
      <w:marTop w:val="0"/>
      <w:marBottom w:val="0"/>
      <w:divBdr>
        <w:top w:val="none" w:sz="0" w:space="0" w:color="auto"/>
        <w:left w:val="none" w:sz="0" w:space="0" w:color="auto"/>
        <w:bottom w:val="none" w:sz="0" w:space="0" w:color="auto"/>
        <w:right w:val="none" w:sz="0" w:space="0" w:color="auto"/>
      </w:divBdr>
    </w:div>
    <w:div w:id="554969222">
      <w:bodyDiv w:val="1"/>
      <w:marLeft w:val="0"/>
      <w:marRight w:val="0"/>
      <w:marTop w:val="0"/>
      <w:marBottom w:val="0"/>
      <w:divBdr>
        <w:top w:val="none" w:sz="0" w:space="0" w:color="auto"/>
        <w:left w:val="none" w:sz="0" w:space="0" w:color="auto"/>
        <w:bottom w:val="none" w:sz="0" w:space="0" w:color="auto"/>
        <w:right w:val="none" w:sz="0" w:space="0" w:color="auto"/>
      </w:divBdr>
    </w:div>
    <w:div w:id="555166465">
      <w:bodyDiv w:val="1"/>
      <w:marLeft w:val="0"/>
      <w:marRight w:val="0"/>
      <w:marTop w:val="0"/>
      <w:marBottom w:val="0"/>
      <w:divBdr>
        <w:top w:val="none" w:sz="0" w:space="0" w:color="auto"/>
        <w:left w:val="none" w:sz="0" w:space="0" w:color="auto"/>
        <w:bottom w:val="none" w:sz="0" w:space="0" w:color="auto"/>
        <w:right w:val="none" w:sz="0" w:space="0" w:color="auto"/>
      </w:divBdr>
    </w:div>
    <w:div w:id="555355542">
      <w:bodyDiv w:val="1"/>
      <w:marLeft w:val="0"/>
      <w:marRight w:val="0"/>
      <w:marTop w:val="0"/>
      <w:marBottom w:val="0"/>
      <w:divBdr>
        <w:top w:val="none" w:sz="0" w:space="0" w:color="auto"/>
        <w:left w:val="none" w:sz="0" w:space="0" w:color="auto"/>
        <w:bottom w:val="none" w:sz="0" w:space="0" w:color="auto"/>
        <w:right w:val="none" w:sz="0" w:space="0" w:color="auto"/>
      </w:divBdr>
    </w:div>
    <w:div w:id="555360976">
      <w:bodyDiv w:val="1"/>
      <w:marLeft w:val="0"/>
      <w:marRight w:val="0"/>
      <w:marTop w:val="0"/>
      <w:marBottom w:val="0"/>
      <w:divBdr>
        <w:top w:val="none" w:sz="0" w:space="0" w:color="auto"/>
        <w:left w:val="none" w:sz="0" w:space="0" w:color="auto"/>
        <w:bottom w:val="none" w:sz="0" w:space="0" w:color="auto"/>
        <w:right w:val="none" w:sz="0" w:space="0" w:color="auto"/>
      </w:divBdr>
    </w:div>
    <w:div w:id="555361073">
      <w:bodyDiv w:val="1"/>
      <w:marLeft w:val="0"/>
      <w:marRight w:val="0"/>
      <w:marTop w:val="0"/>
      <w:marBottom w:val="0"/>
      <w:divBdr>
        <w:top w:val="none" w:sz="0" w:space="0" w:color="auto"/>
        <w:left w:val="none" w:sz="0" w:space="0" w:color="auto"/>
        <w:bottom w:val="none" w:sz="0" w:space="0" w:color="auto"/>
        <w:right w:val="none" w:sz="0" w:space="0" w:color="auto"/>
      </w:divBdr>
    </w:div>
    <w:div w:id="555362734">
      <w:bodyDiv w:val="1"/>
      <w:marLeft w:val="0"/>
      <w:marRight w:val="0"/>
      <w:marTop w:val="0"/>
      <w:marBottom w:val="0"/>
      <w:divBdr>
        <w:top w:val="none" w:sz="0" w:space="0" w:color="auto"/>
        <w:left w:val="none" w:sz="0" w:space="0" w:color="auto"/>
        <w:bottom w:val="none" w:sz="0" w:space="0" w:color="auto"/>
        <w:right w:val="none" w:sz="0" w:space="0" w:color="auto"/>
      </w:divBdr>
    </w:div>
    <w:div w:id="555430327">
      <w:bodyDiv w:val="1"/>
      <w:marLeft w:val="0"/>
      <w:marRight w:val="0"/>
      <w:marTop w:val="0"/>
      <w:marBottom w:val="0"/>
      <w:divBdr>
        <w:top w:val="none" w:sz="0" w:space="0" w:color="auto"/>
        <w:left w:val="none" w:sz="0" w:space="0" w:color="auto"/>
        <w:bottom w:val="none" w:sz="0" w:space="0" w:color="auto"/>
        <w:right w:val="none" w:sz="0" w:space="0" w:color="auto"/>
      </w:divBdr>
    </w:div>
    <w:div w:id="555437370">
      <w:bodyDiv w:val="1"/>
      <w:marLeft w:val="0"/>
      <w:marRight w:val="0"/>
      <w:marTop w:val="0"/>
      <w:marBottom w:val="0"/>
      <w:divBdr>
        <w:top w:val="none" w:sz="0" w:space="0" w:color="auto"/>
        <w:left w:val="none" w:sz="0" w:space="0" w:color="auto"/>
        <w:bottom w:val="none" w:sz="0" w:space="0" w:color="auto"/>
        <w:right w:val="none" w:sz="0" w:space="0" w:color="auto"/>
      </w:divBdr>
    </w:div>
    <w:div w:id="555552837">
      <w:bodyDiv w:val="1"/>
      <w:marLeft w:val="0"/>
      <w:marRight w:val="0"/>
      <w:marTop w:val="0"/>
      <w:marBottom w:val="0"/>
      <w:divBdr>
        <w:top w:val="none" w:sz="0" w:space="0" w:color="auto"/>
        <w:left w:val="none" w:sz="0" w:space="0" w:color="auto"/>
        <w:bottom w:val="none" w:sz="0" w:space="0" w:color="auto"/>
        <w:right w:val="none" w:sz="0" w:space="0" w:color="auto"/>
      </w:divBdr>
    </w:div>
    <w:div w:id="555626122">
      <w:bodyDiv w:val="1"/>
      <w:marLeft w:val="0"/>
      <w:marRight w:val="0"/>
      <w:marTop w:val="0"/>
      <w:marBottom w:val="0"/>
      <w:divBdr>
        <w:top w:val="none" w:sz="0" w:space="0" w:color="auto"/>
        <w:left w:val="none" w:sz="0" w:space="0" w:color="auto"/>
        <w:bottom w:val="none" w:sz="0" w:space="0" w:color="auto"/>
        <w:right w:val="none" w:sz="0" w:space="0" w:color="auto"/>
      </w:divBdr>
    </w:div>
    <w:div w:id="555632231">
      <w:bodyDiv w:val="1"/>
      <w:marLeft w:val="0"/>
      <w:marRight w:val="0"/>
      <w:marTop w:val="0"/>
      <w:marBottom w:val="0"/>
      <w:divBdr>
        <w:top w:val="none" w:sz="0" w:space="0" w:color="auto"/>
        <w:left w:val="none" w:sz="0" w:space="0" w:color="auto"/>
        <w:bottom w:val="none" w:sz="0" w:space="0" w:color="auto"/>
        <w:right w:val="none" w:sz="0" w:space="0" w:color="auto"/>
      </w:divBdr>
    </w:div>
    <w:div w:id="555704317">
      <w:bodyDiv w:val="1"/>
      <w:marLeft w:val="0"/>
      <w:marRight w:val="0"/>
      <w:marTop w:val="0"/>
      <w:marBottom w:val="0"/>
      <w:divBdr>
        <w:top w:val="none" w:sz="0" w:space="0" w:color="auto"/>
        <w:left w:val="none" w:sz="0" w:space="0" w:color="auto"/>
        <w:bottom w:val="none" w:sz="0" w:space="0" w:color="auto"/>
        <w:right w:val="none" w:sz="0" w:space="0" w:color="auto"/>
      </w:divBdr>
    </w:div>
    <w:div w:id="555748956">
      <w:bodyDiv w:val="1"/>
      <w:marLeft w:val="0"/>
      <w:marRight w:val="0"/>
      <w:marTop w:val="0"/>
      <w:marBottom w:val="0"/>
      <w:divBdr>
        <w:top w:val="none" w:sz="0" w:space="0" w:color="auto"/>
        <w:left w:val="none" w:sz="0" w:space="0" w:color="auto"/>
        <w:bottom w:val="none" w:sz="0" w:space="0" w:color="auto"/>
        <w:right w:val="none" w:sz="0" w:space="0" w:color="auto"/>
      </w:divBdr>
    </w:div>
    <w:div w:id="555773872">
      <w:bodyDiv w:val="1"/>
      <w:marLeft w:val="0"/>
      <w:marRight w:val="0"/>
      <w:marTop w:val="0"/>
      <w:marBottom w:val="0"/>
      <w:divBdr>
        <w:top w:val="none" w:sz="0" w:space="0" w:color="auto"/>
        <w:left w:val="none" w:sz="0" w:space="0" w:color="auto"/>
        <w:bottom w:val="none" w:sz="0" w:space="0" w:color="auto"/>
        <w:right w:val="none" w:sz="0" w:space="0" w:color="auto"/>
      </w:divBdr>
    </w:div>
    <w:div w:id="555775227">
      <w:bodyDiv w:val="1"/>
      <w:marLeft w:val="0"/>
      <w:marRight w:val="0"/>
      <w:marTop w:val="0"/>
      <w:marBottom w:val="0"/>
      <w:divBdr>
        <w:top w:val="none" w:sz="0" w:space="0" w:color="auto"/>
        <w:left w:val="none" w:sz="0" w:space="0" w:color="auto"/>
        <w:bottom w:val="none" w:sz="0" w:space="0" w:color="auto"/>
        <w:right w:val="none" w:sz="0" w:space="0" w:color="auto"/>
      </w:divBdr>
    </w:div>
    <w:div w:id="555895973">
      <w:bodyDiv w:val="1"/>
      <w:marLeft w:val="0"/>
      <w:marRight w:val="0"/>
      <w:marTop w:val="0"/>
      <w:marBottom w:val="0"/>
      <w:divBdr>
        <w:top w:val="none" w:sz="0" w:space="0" w:color="auto"/>
        <w:left w:val="none" w:sz="0" w:space="0" w:color="auto"/>
        <w:bottom w:val="none" w:sz="0" w:space="0" w:color="auto"/>
        <w:right w:val="none" w:sz="0" w:space="0" w:color="auto"/>
      </w:divBdr>
    </w:div>
    <w:div w:id="556167295">
      <w:bodyDiv w:val="1"/>
      <w:marLeft w:val="0"/>
      <w:marRight w:val="0"/>
      <w:marTop w:val="0"/>
      <w:marBottom w:val="0"/>
      <w:divBdr>
        <w:top w:val="none" w:sz="0" w:space="0" w:color="auto"/>
        <w:left w:val="none" w:sz="0" w:space="0" w:color="auto"/>
        <w:bottom w:val="none" w:sz="0" w:space="0" w:color="auto"/>
        <w:right w:val="none" w:sz="0" w:space="0" w:color="auto"/>
      </w:divBdr>
    </w:div>
    <w:div w:id="556206996">
      <w:bodyDiv w:val="1"/>
      <w:marLeft w:val="0"/>
      <w:marRight w:val="0"/>
      <w:marTop w:val="0"/>
      <w:marBottom w:val="0"/>
      <w:divBdr>
        <w:top w:val="none" w:sz="0" w:space="0" w:color="auto"/>
        <w:left w:val="none" w:sz="0" w:space="0" w:color="auto"/>
        <w:bottom w:val="none" w:sz="0" w:space="0" w:color="auto"/>
        <w:right w:val="none" w:sz="0" w:space="0" w:color="auto"/>
      </w:divBdr>
    </w:div>
    <w:div w:id="556285993">
      <w:bodyDiv w:val="1"/>
      <w:marLeft w:val="0"/>
      <w:marRight w:val="0"/>
      <w:marTop w:val="0"/>
      <w:marBottom w:val="0"/>
      <w:divBdr>
        <w:top w:val="none" w:sz="0" w:space="0" w:color="auto"/>
        <w:left w:val="none" w:sz="0" w:space="0" w:color="auto"/>
        <w:bottom w:val="none" w:sz="0" w:space="0" w:color="auto"/>
        <w:right w:val="none" w:sz="0" w:space="0" w:color="auto"/>
      </w:divBdr>
    </w:div>
    <w:div w:id="556353842">
      <w:bodyDiv w:val="1"/>
      <w:marLeft w:val="0"/>
      <w:marRight w:val="0"/>
      <w:marTop w:val="0"/>
      <w:marBottom w:val="0"/>
      <w:divBdr>
        <w:top w:val="none" w:sz="0" w:space="0" w:color="auto"/>
        <w:left w:val="none" w:sz="0" w:space="0" w:color="auto"/>
        <w:bottom w:val="none" w:sz="0" w:space="0" w:color="auto"/>
        <w:right w:val="none" w:sz="0" w:space="0" w:color="auto"/>
      </w:divBdr>
    </w:div>
    <w:div w:id="556362421">
      <w:bodyDiv w:val="1"/>
      <w:marLeft w:val="0"/>
      <w:marRight w:val="0"/>
      <w:marTop w:val="0"/>
      <w:marBottom w:val="0"/>
      <w:divBdr>
        <w:top w:val="none" w:sz="0" w:space="0" w:color="auto"/>
        <w:left w:val="none" w:sz="0" w:space="0" w:color="auto"/>
        <w:bottom w:val="none" w:sz="0" w:space="0" w:color="auto"/>
        <w:right w:val="none" w:sz="0" w:space="0" w:color="auto"/>
      </w:divBdr>
    </w:div>
    <w:div w:id="556430494">
      <w:bodyDiv w:val="1"/>
      <w:marLeft w:val="0"/>
      <w:marRight w:val="0"/>
      <w:marTop w:val="0"/>
      <w:marBottom w:val="0"/>
      <w:divBdr>
        <w:top w:val="none" w:sz="0" w:space="0" w:color="auto"/>
        <w:left w:val="none" w:sz="0" w:space="0" w:color="auto"/>
        <w:bottom w:val="none" w:sz="0" w:space="0" w:color="auto"/>
        <w:right w:val="none" w:sz="0" w:space="0" w:color="auto"/>
      </w:divBdr>
    </w:div>
    <w:div w:id="556550261">
      <w:bodyDiv w:val="1"/>
      <w:marLeft w:val="0"/>
      <w:marRight w:val="0"/>
      <w:marTop w:val="0"/>
      <w:marBottom w:val="0"/>
      <w:divBdr>
        <w:top w:val="none" w:sz="0" w:space="0" w:color="auto"/>
        <w:left w:val="none" w:sz="0" w:space="0" w:color="auto"/>
        <w:bottom w:val="none" w:sz="0" w:space="0" w:color="auto"/>
        <w:right w:val="none" w:sz="0" w:space="0" w:color="auto"/>
      </w:divBdr>
    </w:div>
    <w:div w:id="556665369">
      <w:bodyDiv w:val="1"/>
      <w:marLeft w:val="0"/>
      <w:marRight w:val="0"/>
      <w:marTop w:val="0"/>
      <w:marBottom w:val="0"/>
      <w:divBdr>
        <w:top w:val="none" w:sz="0" w:space="0" w:color="auto"/>
        <w:left w:val="none" w:sz="0" w:space="0" w:color="auto"/>
        <w:bottom w:val="none" w:sz="0" w:space="0" w:color="auto"/>
        <w:right w:val="none" w:sz="0" w:space="0" w:color="auto"/>
      </w:divBdr>
    </w:div>
    <w:div w:id="556741607">
      <w:bodyDiv w:val="1"/>
      <w:marLeft w:val="0"/>
      <w:marRight w:val="0"/>
      <w:marTop w:val="0"/>
      <w:marBottom w:val="0"/>
      <w:divBdr>
        <w:top w:val="none" w:sz="0" w:space="0" w:color="auto"/>
        <w:left w:val="none" w:sz="0" w:space="0" w:color="auto"/>
        <w:bottom w:val="none" w:sz="0" w:space="0" w:color="auto"/>
        <w:right w:val="none" w:sz="0" w:space="0" w:color="auto"/>
      </w:divBdr>
    </w:div>
    <w:div w:id="556822560">
      <w:bodyDiv w:val="1"/>
      <w:marLeft w:val="0"/>
      <w:marRight w:val="0"/>
      <w:marTop w:val="0"/>
      <w:marBottom w:val="0"/>
      <w:divBdr>
        <w:top w:val="none" w:sz="0" w:space="0" w:color="auto"/>
        <w:left w:val="none" w:sz="0" w:space="0" w:color="auto"/>
        <w:bottom w:val="none" w:sz="0" w:space="0" w:color="auto"/>
        <w:right w:val="none" w:sz="0" w:space="0" w:color="auto"/>
      </w:divBdr>
    </w:div>
    <w:div w:id="556866840">
      <w:bodyDiv w:val="1"/>
      <w:marLeft w:val="0"/>
      <w:marRight w:val="0"/>
      <w:marTop w:val="0"/>
      <w:marBottom w:val="0"/>
      <w:divBdr>
        <w:top w:val="none" w:sz="0" w:space="0" w:color="auto"/>
        <w:left w:val="none" w:sz="0" w:space="0" w:color="auto"/>
        <w:bottom w:val="none" w:sz="0" w:space="0" w:color="auto"/>
        <w:right w:val="none" w:sz="0" w:space="0" w:color="auto"/>
      </w:divBdr>
    </w:div>
    <w:div w:id="556891452">
      <w:bodyDiv w:val="1"/>
      <w:marLeft w:val="0"/>
      <w:marRight w:val="0"/>
      <w:marTop w:val="0"/>
      <w:marBottom w:val="0"/>
      <w:divBdr>
        <w:top w:val="none" w:sz="0" w:space="0" w:color="auto"/>
        <w:left w:val="none" w:sz="0" w:space="0" w:color="auto"/>
        <w:bottom w:val="none" w:sz="0" w:space="0" w:color="auto"/>
        <w:right w:val="none" w:sz="0" w:space="0" w:color="auto"/>
      </w:divBdr>
    </w:div>
    <w:div w:id="556935795">
      <w:bodyDiv w:val="1"/>
      <w:marLeft w:val="0"/>
      <w:marRight w:val="0"/>
      <w:marTop w:val="0"/>
      <w:marBottom w:val="0"/>
      <w:divBdr>
        <w:top w:val="none" w:sz="0" w:space="0" w:color="auto"/>
        <w:left w:val="none" w:sz="0" w:space="0" w:color="auto"/>
        <w:bottom w:val="none" w:sz="0" w:space="0" w:color="auto"/>
        <w:right w:val="none" w:sz="0" w:space="0" w:color="auto"/>
      </w:divBdr>
    </w:div>
    <w:div w:id="556936933">
      <w:bodyDiv w:val="1"/>
      <w:marLeft w:val="0"/>
      <w:marRight w:val="0"/>
      <w:marTop w:val="0"/>
      <w:marBottom w:val="0"/>
      <w:divBdr>
        <w:top w:val="none" w:sz="0" w:space="0" w:color="auto"/>
        <w:left w:val="none" w:sz="0" w:space="0" w:color="auto"/>
        <w:bottom w:val="none" w:sz="0" w:space="0" w:color="auto"/>
        <w:right w:val="none" w:sz="0" w:space="0" w:color="auto"/>
      </w:divBdr>
    </w:div>
    <w:div w:id="556938885">
      <w:bodyDiv w:val="1"/>
      <w:marLeft w:val="0"/>
      <w:marRight w:val="0"/>
      <w:marTop w:val="0"/>
      <w:marBottom w:val="0"/>
      <w:divBdr>
        <w:top w:val="none" w:sz="0" w:space="0" w:color="auto"/>
        <w:left w:val="none" w:sz="0" w:space="0" w:color="auto"/>
        <w:bottom w:val="none" w:sz="0" w:space="0" w:color="auto"/>
        <w:right w:val="none" w:sz="0" w:space="0" w:color="auto"/>
      </w:divBdr>
    </w:div>
    <w:div w:id="556939214">
      <w:bodyDiv w:val="1"/>
      <w:marLeft w:val="0"/>
      <w:marRight w:val="0"/>
      <w:marTop w:val="0"/>
      <w:marBottom w:val="0"/>
      <w:divBdr>
        <w:top w:val="none" w:sz="0" w:space="0" w:color="auto"/>
        <w:left w:val="none" w:sz="0" w:space="0" w:color="auto"/>
        <w:bottom w:val="none" w:sz="0" w:space="0" w:color="auto"/>
        <w:right w:val="none" w:sz="0" w:space="0" w:color="auto"/>
      </w:divBdr>
    </w:div>
    <w:div w:id="557012337">
      <w:bodyDiv w:val="1"/>
      <w:marLeft w:val="0"/>
      <w:marRight w:val="0"/>
      <w:marTop w:val="0"/>
      <w:marBottom w:val="0"/>
      <w:divBdr>
        <w:top w:val="none" w:sz="0" w:space="0" w:color="auto"/>
        <w:left w:val="none" w:sz="0" w:space="0" w:color="auto"/>
        <w:bottom w:val="none" w:sz="0" w:space="0" w:color="auto"/>
        <w:right w:val="none" w:sz="0" w:space="0" w:color="auto"/>
      </w:divBdr>
    </w:div>
    <w:div w:id="557013001">
      <w:bodyDiv w:val="1"/>
      <w:marLeft w:val="0"/>
      <w:marRight w:val="0"/>
      <w:marTop w:val="0"/>
      <w:marBottom w:val="0"/>
      <w:divBdr>
        <w:top w:val="none" w:sz="0" w:space="0" w:color="auto"/>
        <w:left w:val="none" w:sz="0" w:space="0" w:color="auto"/>
        <w:bottom w:val="none" w:sz="0" w:space="0" w:color="auto"/>
        <w:right w:val="none" w:sz="0" w:space="0" w:color="auto"/>
      </w:divBdr>
    </w:div>
    <w:div w:id="557086041">
      <w:bodyDiv w:val="1"/>
      <w:marLeft w:val="0"/>
      <w:marRight w:val="0"/>
      <w:marTop w:val="0"/>
      <w:marBottom w:val="0"/>
      <w:divBdr>
        <w:top w:val="none" w:sz="0" w:space="0" w:color="auto"/>
        <w:left w:val="none" w:sz="0" w:space="0" w:color="auto"/>
        <w:bottom w:val="none" w:sz="0" w:space="0" w:color="auto"/>
        <w:right w:val="none" w:sz="0" w:space="0" w:color="auto"/>
      </w:divBdr>
    </w:div>
    <w:div w:id="557208156">
      <w:bodyDiv w:val="1"/>
      <w:marLeft w:val="0"/>
      <w:marRight w:val="0"/>
      <w:marTop w:val="0"/>
      <w:marBottom w:val="0"/>
      <w:divBdr>
        <w:top w:val="none" w:sz="0" w:space="0" w:color="auto"/>
        <w:left w:val="none" w:sz="0" w:space="0" w:color="auto"/>
        <w:bottom w:val="none" w:sz="0" w:space="0" w:color="auto"/>
        <w:right w:val="none" w:sz="0" w:space="0" w:color="auto"/>
      </w:divBdr>
    </w:div>
    <w:div w:id="557210450">
      <w:bodyDiv w:val="1"/>
      <w:marLeft w:val="0"/>
      <w:marRight w:val="0"/>
      <w:marTop w:val="0"/>
      <w:marBottom w:val="0"/>
      <w:divBdr>
        <w:top w:val="none" w:sz="0" w:space="0" w:color="auto"/>
        <w:left w:val="none" w:sz="0" w:space="0" w:color="auto"/>
        <w:bottom w:val="none" w:sz="0" w:space="0" w:color="auto"/>
        <w:right w:val="none" w:sz="0" w:space="0" w:color="auto"/>
      </w:divBdr>
    </w:div>
    <w:div w:id="557278480">
      <w:bodyDiv w:val="1"/>
      <w:marLeft w:val="0"/>
      <w:marRight w:val="0"/>
      <w:marTop w:val="0"/>
      <w:marBottom w:val="0"/>
      <w:divBdr>
        <w:top w:val="none" w:sz="0" w:space="0" w:color="auto"/>
        <w:left w:val="none" w:sz="0" w:space="0" w:color="auto"/>
        <w:bottom w:val="none" w:sz="0" w:space="0" w:color="auto"/>
        <w:right w:val="none" w:sz="0" w:space="0" w:color="auto"/>
      </w:divBdr>
    </w:div>
    <w:div w:id="557471626">
      <w:bodyDiv w:val="1"/>
      <w:marLeft w:val="0"/>
      <w:marRight w:val="0"/>
      <w:marTop w:val="0"/>
      <w:marBottom w:val="0"/>
      <w:divBdr>
        <w:top w:val="none" w:sz="0" w:space="0" w:color="auto"/>
        <w:left w:val="none" w:sz="0" w:space="0" w:color="auto"/>
        <w:bottom w:val="none" w:sz="0" w:space="0" w:color="auto"/>
        <w:right w:val="none" w:sz="0" w:space="0" w:color="auto"/>
      </w:divBdr>
    </w:div>
    <w:div w:id="557473670">
      <w:bodyDiv w:val="1"/>
      <w:marLeft w:val="0"/>
      <w:marRight w:val="0"/>
      <w:marTop w:val="0"/>
      <w:marBottom w:val="0"/>
      <w:divBdr>
        <w:top w:val="none" w:sz="0" w:space="0" w:color="auto"/>
        <w:left w:val="none" w:sz="0" w:space="0" w:color="auto"/>
        <w:bottom w:val="none" w:sz="0" w:space="0" w:color="auto"/>
        <w:right w:val="none" w:sz="0" w:space="0" w:color="auto"/>
      </w:divBdr>
    </w:div>
    <w:div w:id="557546695">
      <w:bodyDiv w:val="1"/>
      <w:marLeft w:val="0"/>
      <w:marRight w:val="0"/>
      <w:marTop w:val="0"/>
      <w:marBottom w:val="0"/>
      <w:divBdr>
        <w:top w:val="none" w:sz="0" w:space="0" w:color="auto"/>
        <w:left w:val="none" w:sz="0" w:space="0" w:color="auto"/>
        <w:bottom w:val="none" w:sz="0" w:space="0" w:color="auto"/>
        <w:right w:val="none" w:sz="0" w:space="0" w:color="auto"/>
      </w:divBdr>
    </w:div>
    <w:div w:id="557596566">
      <w:bodyDiv w:val="1"/>
      <w:marLeft w:val="0"/>
      <w:marRight w:val="0"/>
      <w:marTop w:val="0"/>
      <w:marBottom w:val="0"/>
      <w:divBdr>
        <w:top w:val="none" w:sz="0" w:space="0" w:color="auto"/>
        <w:left w:val="none" w:sz="0" w:space="0" w:color="auto"/>
        <w:bottom w:val="none" w:sz="0" w:space="0" w:color="auto"/>
        <w:right w:val="none" w:sz="0" w:space="0" w:color="auto"/>
      </w:divBdr>
    </w:div>
    <w:div w:id="557663980">
      <w:bodyDiv w:val="1"/>
      <w:marLeft w:val="0"/>
      <w:marRight w:val="0"/>
      <w:marTop w:val="0"/>
      <w:marBottom w:val="0"/>
      <w:divBdr>
        <w:top w:val="none" w:sz="0" w:space="0" w:color="auto"/>
        <w:left w:val="none" w:sz="0" w:space="0" w:color="auto"/>
        <w:bottom w:val="none" w:sz="0" w:space="0" w:color="auto"/>
        <w:right w:val="none" w:sz="0" w:space="0" w:color="auto"/>
      </w:divBdr>
    </w:div>
    <w:div w:id="557712082">
      <w:bodyDiv w:val="1"/>
      <w:marLeft w:val="0"/>
      <w:marRight w:val="0"/>
      <w:marTop w:val="0"/>
      <w:marBottom w:val="0"/>
      <w:divBdr>
        <w:top w:val="none" w:sz="0" w:space="0" w:color="auto"/>
        <w:left w:val="none" w:sz="0" w:space="0" w:color="auto"/>
        <w:bottom w:val="none" w:sz="0" w:space="0" w:color="auto"/>
        <w:right w:val="none" w:sz="0" w:space="0" w:color="auto"/>
      </w:divBdr>
    </w:div>
    <w:div w:id="557715710">
      <w:bodyDiv w:val="1"/>
      <w:marLeft w:val="0"/>
      <w:marRight w:val="0"/>
      <w:marTop w:val="0"/>
      <w:marBottom w:val="0"/>
      <w:divBdr>
        <w:top w:val="none" w:sz="0" w:space="0" w:color="auto"/>
        <w:left w:val="none" w:sz="0" w:space="0" w:color="auto"/>
        <w:bottom w:val="none" w:sz="0" w:space="0" w:color="auto"/>
        <w:right w:val="none" w:sz="0" w:space="0" w:color="auto"/>
      </w:divBdr>
    </w:div>
    <w:div w:id="557786528">
      <w:bodyDiv w:val="1"/>
      <w:marLeft w:val="0"/>
      <w:marRight w:val="0"/>
      <w:marTop w:val="0"/>
      <w:marBottom w:val="0"/>
      <w:divBdr>
        <w:top w:val="none" w:sz="0" w:space="0" w:color="auto"/>
        <w:left w:val="none" w:sz="0" w:space="0" w:color="auto"/>
        <w:bottom w:val="none" w:sz="0" w:space="0" w:color="auto"/>
        <w:right w:val="none" w:sz="0" w:space="0" w:color="auto"/>
      </w:divBdr>
    </w:div>
    <w:div w:id="557864409">
      <w:bodyDiv w:val="1"/>
      <w:marLeft w:val="0"/>
      <w:marRight w:val="0"/>
      <w:marTop w:val="0"/>
      <w:marBottom w:val="0"/>
      <w:divBdr>
        <w:top w:val="none" w:sz="0" w:space="0" w:color="auto"/>
        <w:left w:val="none" w:sz="0" w:space="0" w:color="auto"/>
        <w:bottom w:val="none" w:sz="0" w:space="0" w:color="auto"/>
        <w:right w:val="none" w:sz="0" w:space="0" w:color="auto"/>
      </w:divBdr>
    </w:div>
    <w:div w:id="557932586">
      <w:bodyDiv w:val="1"/>
      <w:marLeft w:val="0"/>
      <w:marRight w:val="0"/>
      <w:marTop w:val="0"/>
      <w:marBottom w:val="0"/>
      <w:divBdr>
        <w:top w:val="none" w:sz="0" w:space="0" w:color="auto"/>
        <w:left w:val="none" w:sz="0" w:space="0" w:color="auto"/>
        <w:bottom w:val="none" w:sz="0" w:space="0" w:color="auto"/>
        <w:right w:val="none" w:sz="0" w:space="0" w:color="auto"/>
      </w:divBdr>
    </w:div>
    <w:div w:id="557939091">
      <w:bodyDiv w:val="1"/>
      <w:marLeft w:val="0"/>
      <w:marRight w:val="0"/>
      <w:marTop w:val="0"/>
      <w:marBottom w:val="0"/>
      <w:divBdr>
        <w:top w:val="none" w:sz="0" w:space="0" w:color="auto"/>
        <w:left w:val="none" w:sz="0" w:space="0" w:color="auto"/>
        <w:bottom w:val="none" w:sz="0" w:space="0" w:color="auto"/>
        <w:right w:val="none" w:sz="0" w:space="0" w:color="auto"/>
      </w:divBdr>
    </w:div>
    <w:div w:id="557939765">
      <w:bodyDiv w:val="1"/>
      <w:marLeft w:val="0"/>
      <w:marRight w:val="0"/>
      <w:marTop w:val="0"/>
      <w:marBottom w:val="0"/>
      <w:divBdr>
        <w:top w:val="none" w:sz="0" w:space="0" w:color="auto"/>
        <w:left w:val="none" w:sz="0" w:space="0" w:color="auto"/>
        <w:bottom w:val="none" w:sz="0" w:space="0" w:color="auto"/>
        <w:right w:val="none" w:sz="0" w:space="0" w:color="auto"/>
      </w:divBdr>
    </w:div>
    <w:div w:id="557976564">
      <w:bodyDiv w:val="1"/>
      <w:marLeft w:val="0"/>
      <w:marRight w:val="0"/>
      <w:marTop w:val="0"/>
      <w:marBottom w:val="0"/>
      <w:divBdr>
        <w:top w:val="none" w:sz="0" w:space="0" w:color="auto"/>
        <w:left w:val="none" w:sz="0" w:space="0" w:color="auto"/>
        <w:bottom w:val="none" w:sz="0" w:space="0" w:color="auto"/>
        <w:right w:val="none" w:sz="0" w:space="0" w:color="auto"/>
      </w:divBdr>
    </w:div>
    <w:div w:id="557982406">
      <w:bodyDiv w:val="1"/>
      <w:marLeft w:val="0"/>
      <w:marRight w:val="0"/>
      <w:marTop w:val="0"/>
      <w:marBottom w:val="0"/>
      <w:divBdr>
        <w:top w:val="none" w:sz="0" w:space="0" w:color="auto"/>
        <w:left w:val="none" w:sz="0" w:space="0" w:color="auto"/>
        <w:bottom w:val="none" w:sz="0" w:space="0" w:color="auto"/>
        <w:right w:val="none" w:sz="0" w:space="0" w:color="auto"/>
      </w:divBdr>
    </w:div>
    <w:div w:id="558172126">
      <w:bodyDiv w:val="1"/>
      <w:marLeft w:val="0"/>
      <w:marRight w:val="0"/>
      <w:marTop w:val="0"/>
      <w:marBottom w:val="0"/>
      <w:divBdr>
        <w:top w:val="none" w:sz="0" w:space="0" w:color="auto"/>
        <w:left w:val="none" w:sz="0" w:space="0" w:color="auto"/>
        <w:bottom w:val="none" w:sz="0" w:space="0" w:color="auto"/>
        <w:right w:val="none" w:sz="0" w:space="0" w:color="auto"/>
      </w:divBdr>
    </w:div>
    <w:div w:id="558201766">
      <w:bodyDiv w:val="1"/>
      <w:marLeft w:val="0"/>
      <w:marRight w:val="0"/>
      <w:marTop w:val="0"/>
      <w:marBottom w:val="0"/>
      <w:divBdr>
        <w:top w:val="none" w:sz="0" w:space="0" w:color="auto"/>
        <w:left w:val="none" w:sz="0" w:space="0" w:color="auto"/>
        <w:bottom w:val="none" w:sz="0" w:space="0" w:color="auto"/>
        <w:right w:val="none" w:sz="0" w:space="0" w:color="auto"/>
      </w:divBdr>
    </w:div>
    <w:div w:id="558247040">
      <w:bodyDiv w:val="1"/>
      <w:marLeft w:val="0"/>
      <w:marRight w:val="0"/>
      <w:marTop w:val="0"/>
      <w:marBottom w:val="0"/>
      <w:divBdr>
        <w:top w:val="none" w:sz="0" w:space="0" w:color="auto"/>
        <w:left w:val="none" w:sz="0" w:space="0" w:color="auto"/>
        <w:bottom w:val="none" w:sz="0" w:space="0" w:color="auto"/>
        <w:right w:val="none" w:sz="0" w:space="0" w:color="auto"/>
      </w:divBdr>
    </w:div>
    <w:div w:id="558248472">
      <w:bodyDiv w:val="1"/>
      <w:marLeft w:val="0"/>
      <w:marRight w:val="0"/>
      <w:marTop w:val="0"/>
      <w:marBottom w:val="0"/>
      <w:divBdr>
        <w:top w:val="none" w:sz="0" w:space="0" w:color="auto"/>
        <w:left w:val="none" w:sz="0" w:space="0" w:color="auto"/>
        <w:bottom w:val="none" w:sz="0" w:space="0" w:color="auto"/>
        <w:right w:val="none" w:sz="0" w:space="0" w:color="auto"/>
      </w:divBdr>
    </w:div>
    <w:div w:id="558320463">
      <w:bodyDiv w:val="1"/>
      <w:marLeft w:val="0"/>
      <w:marRight w:val="0"/>
      <w:marTop w:val="0"/>
      <w:marBottom w:val="0"/>
      <w:divBdr>
        <w:top w:val="none" w:sz="0" w:space="0" w:color="auto"/>
        <w:left w:val="none" w:sz="0" w:space="0" w:color="auto"/>
        <w:bottom w:val="none" w:sz="0" w:space="0" w:color="auto"/>
        <w:right w:val="none" w:sz="0" w:space="0" w:color="auto"/>
      </w:divBdr>
    </w:div>
    <w:div w:id="558323265">
      <w:bodyDiv w:val="1"/>
      <w:marLeft w:val="0"/>
      <w:marRight w:val="0"/>
      <w:marTop w:val="0"/>
      <w:marBottom w:val="0"/>
      <w:divBdr>
        <w:top w:val="none" w:sz="0" w:space="0" w:color="auto"/>
        <w:left w:val="none" w:sz="0" w:space="0" w:color="auto"/>
        <w:bottom w:val="none" w:sz="0" w:space="0" w:color="auto"/>
        <w:right w:val="none" w:sz="0" w:space="0" w:color="auto"/>
      </w:divBdr>
    </w:div>
    <w:div w:id="558324352">
      <w:bodyDiv w:val="1"/>
      <w:marLeft w:val="0"/>
      <w:marRight w:val="0"/>
      <w:marTop w:val="0"/>
      <w:marBottom w:val="0"/>
      <w:divBdr>
        <w:top w:val="none" w:sz="0" w:space="0" w:color="auto"/>
        <w:left w:val="none" w:sz="0" w:space="0" w:color="auto"/>
        <w:bottom w:val="none" w:sz="0" w:space="0" w:color="auto"/>
        <w:right w:val="none" w:sz="0" w:space="0" w:color="auto"/>
      </w:divBdr>
    </w:div>
    <w:div w:id="558327154">
      <w:bodyDiv w:val="1"/>
      <w:marLeft w:val="0"/>
      <w:marRight w:val="0"/>
      <w:marTop w:val="0"/>
      <w:marBottom w:val="0"/>
      <w:divBdr>
        <w:top w:val="none" w:sz="0" w:space="0" w:color="auto"/>
        <w:left w:val="none" w:sz="0" w:space="0" w:color="auto"/>
        <w:bottom w:val="none" w:sz="0" w:space="0" w:color="auto"/>
        <w:right w:val="none" w:sz="0" w:space="0" w:color="auto"/>
      </w:divBdr>
    </w:div>
    <w:div w:id="558394524">
      <w:bodyDiv w:val="1"/>
      <w:marLeft w:val="0"/>
      <w:marRight w:val="0"/>
      <w:marTop w:val="0"/>
      <w:marBottom w:val="0"/>
      <w:divBdr>
        <w:top w:val="none" w:sz="0" w:space="0" w:color="auto"/>
        <w:left w:val="none" w:sz="0" w:space="0" w:color="auto"/>
        <w:bottom w:val="none" w:sz="0" w:space="0" w:color="auto"/>
        <w:right w:val="none" w:sz="0" w:space="0" w:color="auto"/>
      </w:divBdr>
    </w:div>
    <w:div w:id="558444195">
      <w:bodyDiv w:val="1"/>
      <w:marLeft w:val="0"/>
      <w:marRight w:val="0"/>
      <w:marTop w:val="0"/>
      <w:marBottom w:val="0"/>
      <w:divBdr>
        <w:top w:val="none" w:sz="0" w:space="0" w:color="auto"/>
        <w:left w:val="none" w:sz="0" w:space="0" w:color="auto"/>
        <w:bottom w:val="none" w:sz="0" w:space="0" w:color="auto"/>
        <w:right w:val="none" w:sz="0" w:space="0" w:color="auto"/>
      </w:divBdr>
    </w:div>
    <w:div w:id="558519229">
      <w:bodyDiv w:val="1"/>
      <w:marLeft w:val="0"/>
      <w:marRight w:val="0"/>
      <w:marTop w:val="0"/>
      <w:marBottom w:val="0"/>
      <w:divBdr>
        <w:top w:val="none" w:sz="0" w:space="0" w:color="auto"/>
        <w:left w:val="none" w:sz="0" w:space="0" w:color="auto"/>
        <w:bottom w:val="none" w:sz="0" w:space="0" w:color="auto"/>
        <w:right w:val="none" w:sz="0" w:space="0" w:color="auto"/>
      </w:divBdr>
    </w:div>
    <w:div w:id="558519835">
      <w:bodyDiv w:val="1"/>
      <w:marLeft w:val="0"/>
      <w:marRight w:val="0"/>
      <w:marTop w:val="0"/>
      <w:marBottom w:val="0"/>
      <w:divBdr>
        <w:top w:val="none" w:sz="0" w:space="0" w:color="auto"/>
        <w:left w:val="none" w:sz="0" w:space="0" w:color="auto"/>
        <w:bottom w:val="none" w:sz="0" w:space="0" w:color="auto"/>
        <w:right w:val="none" w:sz="0" w:space="0" w:color="auto"/>
      </w:divBdr>
    </w:div>
    <w:div w:id="558587890">
      <w:bodyDiv w:val="1"/>
      <w:marLeft w:val="0"/>
      <w:marRight w:val="0"/>
      <w:marTop w:val="0"/>
      <w:marBottom w:val="0"/>
      <w:divBdr>
        <w:top w:val="none" w:sz="0" w:space="0" w:color="auto"/>
        <w:left w:val="none" w:sz="0" w:space="0" w:color="auto"/>
        <w:bottom w:val="none" w:sz="0" w:space="0" w:color="auto"/>
        <w:right w:val="none" w:sz="0" w:space="0" w:color="auto"/>
      </w:divBdr>
    </w:div>
    <w:div w:id="558712403">
      <w:bodyDiv w:val="1"/>
      <w:marLeft w:val="0"/>
      <w:marRight w:val="0"/>
      <w:marTop w:val="0"/>
      <w:marBottom w:val="0"/>
      <w:divBdr>
        <w:top w:val="none" w:sz="0" w:space="0" w:color="auto"/>
        <w:left w:val="none" w:sz="0" w:space="0" w:color="auto"/>
        <w:bottom w:val="none" w:sz="0" w:space="0" w:color="auto"/>
        <w:right w:val="none" w:sz="0" w:space="0" w:color="auto"/>
      </w:divBdr>
    </w:div>
    <w:div w:id="558715061">
      <w:bodyDiv w:val="1"/>
      <w:marLeft w:val="0"/>
      <w:marRight w:val="0"/>
      <w:marTop w:val="0"/>
      <w:marBottom w:val="0"/>
      <w:divBdr>
        <w:top w:val="none" w:sz="0" w:space="0" w:color="auto"/>
        <w:left w:val="none" w:sz="0" w:space="0" w:color="auto"/>
        <w:bottom w:val="none" w:sz="0" w:space="0" w:color="auto"/>
        <w:right w:val="none" w:sz="0" w:space="0" w:color="auto"/>
      </w:divBdr>
    </w:div>
    <w:div w:id="558784003">
      <w:bodyDiv w:val="1"/>
      <w:marLeft w:val="0"/>
      <w:marRight w:val="0"/>
      <w:marTop w:val="0"/>
      <w:marBottom w:val="0"/>
      <w:divBdr>
        <w:top w:val="none" w:sz="0" w:space="0" w:color="auto"/>
        <w:left w:val="none" w:sz="0" w:space="0" w:color="auto"/>
        <w:bottom w:val="none" w:sz="0" w:space="0" w:color="auto"/>
        <w:right w:val="none" w:sz="0" w:space="0" w:color="auto"/>
      </w:divBdr>
    </w:div>
    <w:div w:id="558786188">
      <w:bodyDiv w:val="1"/>
      <w:marLeft w:val="0"/>
      <w:marRight w:val="0"/>
      <w:marTop w:val="0"/>
      <w:marBottom w:val="0"/>
      <w:divBdr>
        <w:top w:val="none" w:sz="0" w:space="0" w:color="auto"/>
        <w:left w:val="none" w:sz="0" w:space="0" w:color="auto"/>
        <w:bottom w:val="none" w:sz="0" w:space="0" w:color="auto"/>
        <w:right w:val="none" w:sz="0" w:space="0" w:color="auto"/>
      </w:divBdr>
    </w:div>
    <w:div w:id="558856624">
      <w:bodyDiv w:val="1"/>
      <w:marLeft w:val="0"/>
      <w:marRight w:val="0"/>
      <w:marTop w:val="0"/>
      <w:marBottom w:val="0"/>
      <w:divBdr>
        <w:top w:val="none" w:sz="0" w:space="0" w:color="auto"/>
        <w:left w:val="none" w:sz="0" w:space="0" w:color="auto"/>
        <w:bottom w:val="none" w:sz="0" w:space="0" w:color="auto"/>
        <w:right w:val="none" w:sz="0" w:space="0" w:color="auto"/>
      </w:divBdr>
    </w:div>
    <w:div w:id="558905060">
      <w:bodyDiv w:val="1"/>
      <w:marLeft w:val="0"/>
      <w:marRight w:val="0"/>
      <w:marTop w:val="0"/>
      <w:marBottom w:val="0"/>
      <w:divBdr>
        <w:top w:val="none" w:sz="0" w:space="0" w:color="auto"/>
        <w:left w:val="none" w:sz="0" w:space="0" w:color="auto"/>
        <w:bottom w:val="none" w:sz="0" w:space="0" w:color="auto"/>
        <w:right w:val="none" w:sz="0" w:space="0" w:color="auto"/>
      </w:divBdr>
    </w:div>
    <w:div w:id="558979042">
      <w:bodyDiv w:val="1"/>
      <w:marLeft w:val="0"/>
      <w:marRight w:val="0"/>
      <w:marTop w:val="0"/>
      <w:marBottom w:val="0"/>
      <w:divBdr>
        <w:top w:val="none" w:sz="0" w:space="0" w:color="auto"/>
        <w:left w:val="none" w:sz="0" w:space="0" w:color="auto"/>
        <w:bottom w:val="none" w:sz="0" w:space="0" w:color="auto"/>
        <w:right w:val="none" w:sz="0" w:space="0" w:color="auto"/>
      </w:divBdr>
    </w:div>
    <w:div w:id="559022734">
      <w:bodyDiv w:val="1"/>
      <w:marLeft w:val="0"/>
      <w:marRight w:val="0"/>
      <w:marTop w:val="0"/>
      <w:marBottom w:val="0"/>
      <w:divBdr>
        <w:top w:val="none" w:sz="0" w:space="0" w:color="auto"/>
        <w:left w:val="none" w:sz="0" w:space="0" w:color="auto"/>
        <w:bottom w:val="none" w:sz="0" w:space="0" w:color="auto"/>
        <w:right w:val="none" w:sz="0" w:space="0" w:color="auto"/>
      </w:divBdr>
    </w:div>
    <w:div w:id="559025539">
      <w:bodyDiv w:val="1"/>
      <w:marLeft w:val="0"/>
      <w:marRight w:val="0"/>
      <w:marTop w:val="0"/>
      <w:marBottom w:val="0"/>
      <w:divBdr>
        <w:top w:val="none" w:sz="0" w:space="0" w:color="auto"/>
        <w:left w:val="none" w:sz="0" w:space="0" w:color="auto"/>
        <w:bottom w:val="none" w:sz="0" w:space="0" w:color="auto"/>
        <w:right w:val="none" w:sz="0" w:space="0" w:color="auto"/>
      </w:divBdr>
    </w:div>
    <w:div w:id="559289800">
      <w:bodyDiv w:val="1"/>
      <w:marLeft w:val="0"/>
      <w:marRight w:val="0"/>
      <w:marTop w:val="0"/>
      <w:marBottom w:val="0"/>
      <w:divBdr>
        <w:top w:val="none" w:sz="0" w:space="0" w:color="auto"/>
        <w:left w:val="none" w:sz="0" w:space="0" w:color="auto"/>
        <w:bottom w:val="none" w:sz="0" w:space="0" w:color="auto"/>
        <w:right w:val="none" w:sz="0" w:space="0" w:color="auto"/>
      </w:divBdr>
    </w:div>
    <w:div w:id="559436360">
      <w:bodyDiv w:val="1"/>
      <w:marLeft w:val="0"/>
      <w:marRight w:val="0"/>
      <w:marTop w:val="0"/>
      <w:marBottom w:val="0"/>
      <w:divBdr>
        <w:top w:val="none" w:sz="0" w:space="0" w:color="auto"/>
        <w:left w:val="none" w:sz="0" w:space="0" w:color="auto"/>
        <w:bottom w:val="none" w:sz="0" w:space="0" w:color="auto"/>
        <w:right w:val="none" w:sz="0" w:space="0" w:color="auto"/>
      </w:divBdr>
    </w:div>
    <w:div w:id="559639339">
      <w:bodyDiv w:val="1"/>
      <w:marLeft w:val="0"/>
      <w:marRight w:val="0"/>
      <w:marTop w:val="0"/>
      <w:marBottom w:val="0"/>
      <w:divBdr>
        <w:top w:val="none" w:sz="0" w:space="0" w:color="auto"/>
        <w:left w:val="none" w:sz="0" w:space="0" w:color="auto"/>
        <w:bottom w:val="none" w:sz="0" w:space="0" w:color="auto"/>
        <w:right w:val="none" w:sz="0" w:space="0" w:color="auto"/>
      </w:divBdr>
    </w:div>
    <w:div w:id="559681554">
      <w:bodyDiv w:val="1"/>
      <w:marLeft w:val="0"/>
      <w:marRight w:val="0"/>
      <w:marTop w:val="0"/>
      <w:marBottom w:val="0"/>
      <w:divBdr>
        <w:top w:val="none" w:sz="0" w:space="0" w:color="auto"/>
        <w:left w:val="none" w:sz="0" w:space="0" w:color="auto"/>
        <w:bottom w:val="none" w:sz="0" w:space="0" w:color="auto"/>
        <w:right w:val="none" w:sz="0" w:space="0" w:color="auto"/>
      </w:divBdr>
    </w:div>
    <w:div w:id="559830633">
      <w:bodyDiv w:val="1"/>
      <w:marLeft w:val="0"/>
      <w:marRight w:val="0"/>
      <w:marTop w:val="0"/>
      <w:marBottom w:val="0"/>
      <w:divBdr>
        <w:top w:val="none" w:sz="0" w:space="0" w:color="auto"/>
        <w:left w:val="none" w:sz="0" w:space="0" w:color="auto"/>
        <w:bottom w:val="none" w:sz="0" w:space="0" w:color="auto"/>
        <w:right w:val="none" w:sz="0" w:space="0" w:color="auto"/>
      </w:divBdr>
    </w:div>
    <w:div w:id="559902948">
      <w:bodyDiv w:val="1"/>
      <w:marLeft w:val="0"/>
      <w:marRight w:val="0"/>
      <w:marTop w:val="0"/>
      <w:marBottom w:val="0"/>
      <w:divBdr>
        <w:top w:val="none" w:sz="0" w:space="0" w:color="auto"/>
        <w:left w:val="none" w:sz="0" w:space="0" w:color="auto"/>
        <w:bottom w:val="none" w:sz="0" w:space="0" w:color="auto"/>
        <w:right w:val="none" w:sz="0" w:space="0" w:color="auto"/>
      </w:divBdr>
    </w:div>
    <w:div w:id="559944060">
      <w:bodyDiv w:val="1"/>
      <w:marLeft w:val="0"/>
      <w:marRight w:val="0"/>
      <w:marTop w:val="0"/>
      <w:marBottom w:val="0"/>
      <w:divBdr>
        <w:top w:val="none" w:sz="0" w:space="0" w:color="auto"/>
        <w:left w:val="none" w:sz="0" w:space="0" w:color="auto"/>
        <w:bottom w:val="none" w:sz="0" w:space="0" w:color="auto"/>
        <w:right w:val="none" w:sz="0" w:space="0" w:color="auto"/>
      </w:divBdr>
    </w:div>
    <w:div w:id="559944938">
      <w:bodyDiv w:val="1"/>
      <w:marLeft w:val="0"/>
      <w:marRight w:val="0"/>
      <w:marTop w:val="0"/>
      <w:marBottom w:val="0"/>
      <w:divBdr>
        <w:top w:val="none" w:sz="0" w:space="0" w:color="auto"/>
        <w:left w:val="none" w:sz="0" w:space="0" w:color="auto"/>
        <w:bottom w:val="none" w:sz="0" w:space="0" w:color="auto"/>
        <w:right w:val="none" w:sz="0" w:space="0" w:color="auto"/>
      </w:divBdr>
    </w:div>
    <w:div w:id="560016413">
      <w:bodyDiv w:val="1"/>
      <w:marLeft w:val="0"/>
      <w:marRight w:val="0"/>
      <w:marTop w:val="0"/>
      <w:marBottom w:val="0"/>
      <w:divBdr>
        <w:top w:val="none" w:sz="0" w:space="0" w:color="auto"/>
        <w:left w:val="none" w:sz="0" w:space="0" w:color="auto"/>
        <w:bottom w:val="none" w:sz="0" w:space="0" w:color="auto"/>
        <w:right w:val="none" w:sz="0" w:space="0" w:color="auto"/>
      </w:divBdr>
    </w:div>
    <w:div w:id="560016707">
      <w:bodyDiv w:val="1"/>
      <w:marLeft w:val="0"/>
      <w:marRight w:val="0"/>
      <w:marTop w:val="0"/>
      <w:marBottom w:val="0"/>
      <w:divBdr>
        <w:top w:val="none" w:sz="0" w:space="0" w:color="auto"/>
        <w:left w:val="none" w:sz="0" w:space="0" w:color="auto"/>
        <w:bottom w:val="none" w:sz="0" w:space="0" w:color="auto"/>
        <w:right w:val="none" w:sz="0" w:space="0" w:color="auto"/>
      </w:divBdr>
    </w:div>
    <w:div w:id="560020066">
      <w:bodyDiv w:val="1"/>
      <w:marLeft w:val="0"/>
      <w:marRight w:val="0"/>
      <w:marTop w:val="0"/>
      <w:marBottom w:val="0"/>
      <w:divBdr>
        <w:top w:val="none" w:sz="0" w:space="0" w:color="auto"/>
        <w:left w:val="none" w:sz="0" w:space="0" w:color="auto"/>
        <w:bottom w:val="none" w:sz="0" w:space="0" w:color="auto"/>
        <w:right w:val="none" w:sz="0" w:space="0" w:color="auto"/>
      </w:divBdr>
    </w:div>
    <w:div w:id="560021136">
      <w:bodyDiv w:val="1"/>
      <w:marLeft w:val="0"/>
      <w:marRight w:val="0"/>
      <w:marTop w:val="0"/>
      <w:marBottom w:val="0"/>
      <w:divBdr>
        <w:top w:val="none" w:sz="0" w:space="0" w:color="auto"/>
        <w:left w:val="none" w:sz="0" w:space="0" w:color="auto"/>
        <w:bottom w:val="none" w:sz="0" w:space="0" w:color="auto"/>
        <w:right w:val="none" w:sz="0" w:space="0" w:color="auto"/>
      </w:divBdr>
    </w:div>
    <w:div w:id="560100698">
      <w:bodyDiv w:val="1"/>
      <w:marLeft w:val="0"/>
      <w:marRight w:val="0"/>
      <w:marTop w:val="0"/>
      <w:marBottom w:val="0"/>
      <w:divBdr>
        <w:top w:val="none" w:sz="0" w:space="0" w:color="auto"/>
        <w:left w:val="none" w:sz="0" w:space="0" w:color="auto"/>
        <w:bottom w:val="none" w:sz="0" w:space="0" w:color="auto"/>
        <w:right w:val="none" w:sz="0" w:space="0" w:color="auto"/>
      </w:divBdr>
    </w:div>
    <w:div w:id="560140961">
      <w:bodyDiv w:val="1"/>
      <w:marLeft w:val="0"/>
      <w:marRight w:val="0"/>
      <w:marTop w:val="0"/>
      <w:marBottom w:val="0"/>
      <w:divBdr>
        <w:top w:val="none" w:sz="0" w:space="0" w:color="auto"/>
        <w:left w:val="none" w:sz="0" w:space="0" w:color="auto"/>
        <w:bottom w:val="none" w:sz="0" w:space="0" w:color="auto"/>
        <w:right w:val="none" w:sz="0" w:space="0" w:color="auto"/>
      </w:divBdr>
    </w:div>
    <w:div w:id="560284944">
      <w:bodyDiv w:val="1"/>
      <w:marLeft w:val="0"/>
      <w:marRight w:val="0"/>
      <w:marTop w:val="0"/>
      <w:marBottom w:val="0"/>
      <w:divBdr>
        <w:top w:val="none" w:sz="0" w:space="0" w:color="auto"/>
        <w:left w:val="none" w:sz="0" w:space="0" w:color="auto"/>
        <w:bottom w:val="none" w:sz="0" w:space="0" w:color="auto"/>
        <w:right w:val="none" w:sz="0" w:space="0" w:color="auto"/>
      </w:divBdr>
    </w:div>
    <w:div w:id="560334682">
      <w:bodyDiv w:val="1"/>
      <w:marLeft w:val="0"/>
      <w:marRight w:val="0"/>
      <w:marTop w:val="0"/>
      <w:marBottom w:val="0"/>
      <w:divBdr>
        <w:top w:val="none" w:sz="0" w:space="0" w:color="auto"/>
        <w:left w:val="none" w:sz="0" w:space="0" w:color="auto"/>
        <w:bottom w:val="none" w:sz="0" w:space="0" w:color="auto"/>
        <w:right w:val="none" w:sz="0" w:space="0" w:color="auto"/>
      </w:divBdr>
    </w:div>
    <w:div w:id="560336198">
      <w:bodyDiv w:val="1"/>
      <w:marLeft w:val="0"/>
      <w:marRight w:val="0"/>
      <w:marTop w:val="0"/>
      <w:marBottom w:val="0"/>
      <w:divBdr>
        <w:top w:val="none" w:sz="0" w:space="0" w:color="auto"/>
        <w:left w:val="none" w:sz="0" w:space="0" w:color="auto"/>
        <w:bottom w:val="none" w:sz="0" w:space="0" w:color="auto"/>
        <w:right w:val="none" w:sz="0" w:space="0" w:color="auto"/>
      </w:divBdr>
    </w:div>
    <w:div w:id="560406159">
      <w:bodyDiv w:val="1"/>
      <w:marLeft w:val="0"/>
      <w:marRight w:val="0"/>
      <w:marTop w:val="0"/>
      <w:marBottom w:val="0"/>
      <w:divBdr>
        <w:top w:val="none" w:sz="0" w:space="0" w:color="auto"/>
        <w:left w:val="none" w:sz="0" w:space="0" w:color="auto"/>
        <w:bottom w:val="none" w:sz="0" w:space="0" w:color="auto"/>
        <w:right w:val="none" w:sz="0" w:space="0" w:color="auto"/>
      </w:divBdr>
    </w:div>
    <w:div w:id="560482280">
      <w:bodyDiv w:val="1"/>
      <w:marLeft w:val="0"/>
      <w:marRight w:val="0"/>
      <w:marTop w:val="0"/>
      <w:marBottom w:val="0"/>
      <w:divBdr>
        <w:top w:val="none" w:sz="0" w:space="0" w:color="auto"/>
        <w:left w:val="none" w:sz="0" w:space="0" w:color="auto"/>
        <w:bottom w:val="none" w:sz="0" w:space="0" w:color="auto"/>
        <w:right w:val="none" w:sz="0" w:space="0" w:color="auto"/>
      </w:divBdr>
    </w:div>
    <w:div w:id="560483636">
      <w:bodyDiv w:val="1"/>
      <w:marLeft w:val="0"/>
      <w:marRight w:val="0"/>
      <w:marTop w:val="0"/>
      <w:marBottom w:val="0"/>
      <w:divBdr>
        <w:top w:val="none" w:sz="0" w:space="0" w:color="auto"/>
        <w:left w:val="none" w:sz="0" w:space="0" w:color="auto"/>
        <w:bottom w:val="none" w:sz="0" w:space="0" w:color="auto"/>
        <w:right w:val="none" w:sz="0" w:space="0" w:color="auto"/>
      </w:divBdr>
    </w:div>
    <w:div w:id="560600205">
      <w:bodyDiv w:val="1"/>
      <w:marLeft w:val="0"/>
      <w:marRight w:val="0"/>
      <w:marTop w:val="0"/>
      <w:marBottom w:val="0"/>
      <w:divBdr>
        <w:top w:val="none" w:sz="0" w:space="0" w:color="auto"/>
        <w:left w:val="none" w:sz="0" w:space="0" w:color="auto"/>
        <w:bottom w:val="none" w:sz="0" w:space="0" w:color="auto"/>
        <w:right w:val="none" w:sz="0" w:space="0" w:color="auto"/>
      </w:divBdr>
    </w:div>
    <w:div w:id="560680265">
      <w:bodyDiv w:val="1"/>
      <w:marLeft w:val="0"/>
      <w:marRight w:val="0"/>
      <w:marTop w:val="0"/>
      <w:marBottom w:val="0"/>
      <w:divBdr>
        <w:top w:val="none" w:sz="0" w:space="0" w:color="auto"/>
        <w:left w:val="none" w:sz="0" w:space="0" w:color="auto"/>
        <w:bottom w:val="none" w:sz="0" w:space="0" w:color="auto"/>
        <w:right w:val="none" w:sz="0" w:space="0" w:color="auto"/>
      </w:divBdr>
    </w:div>
    <w:div w:id="560748281">
      <w:bodyDiv w:val="1"/>
      <w:marLeft w:val="0"/>
      <w:marRight w:val="0"/>
      <w:marTop w:val="0"/>
      <w:marBottom w:val="0"/>
      <w:divBdr>
        <w:top w:val="none" w:sz="0" w:space="0" w:color="auto"/>
        <w:left w:val="none" w:sz="0" w:space="0" w:color="auto"/>
        <w:bottom w:val="none" w:sz="0" w:space="0" w:color="auto"/>
        <w:right w:val="none" w:sz="0" w:space="0" w:color="auto"/>
      </w:divBdr>
    </w:div>
    <w:div w:id="560794681">
      <w:bodyDiv w:val="1"/>
      <w:marLeft w:val="0"/>
      <w:marRight w:val="0"/>
      <w:marTop w:val="0"/>
      <w:marBottom w:val="0"/>
      <w:divBdr>
        <w:top w:val="none" w:sz="0" w:space="0" w:color="auto"/>
        <w:left w:val="none" w:sz="0" w:space="0" w:color="auto"/>
        <w:bottom w:val="none" w:sz="0" w:space="0" w:color="auto"/>
        <w:right w:val="none" w:sz="0" w:space="0" w:color="auto"/>
      </w:divBdr>
    </w:div>
    <w:div w:id="560870058">
      <w:bodyDiv w:val="1"/>
      <w:marLeft w:val="0"/>
      <w:marRight w:val="0"/>
      <w:marTop w:val="0"/>
      <w:marBottom w:val="0"/>
      <w:divBdr>
        <w:top w:val="none" w:sz="0" w:space="0" w:color="auto"/>
        <w:left w:val="none" w:sz="0" w:space="0" w:color="auto"/>
        <w:bottom w:val="none" w:sz="0" w:space="0" w:color="auto"/>
        <w:right w:val="none" w:sz="0" w:space="0" w:color="auto"/>
      </w:divBdr>
    </w:div>
    <w:div w:id="560943505">
      <w:bodyDiv w:val="1"/>
      <w:marLeft w:val="0"/>
      <w:marRight w:val="0"/>
      <w:marTop w:val="0"/>
      <w:marBottom w:val="0"/>
      <w:divBdr>
        <w:top w:val="none" w:sz="0" w:space="0" w:color="auto"/>
        <w:left w:val="none" w:sz="0" w:space="0" w:color="auto"/>
        <w:bottom w:val="none" w:sz="0" w:space="0" w:color="auto"/>
        <w:right w:val="none" w:sz="0" w:space="0" w:color="auto"/>
      </w:divBdr>
    </w:div>
    <w:div w:id="560989470">
      <w:bodyDiv w:val="1"/>
      <w:marLeft w:val="0"/>
      <w:marRight w:val="0"/>
      <w:marTop w:val="0"/>
      <w:marBottom w:val="0"/>
      <w:divBdr>
        <w:top w:val="none" w:sz="0" w:space="0" w:color="auto"/>
        <w:left w:val="none" w:sz="0" w:space="0" w:color="auto"/>
        <w:bottom w:val="none" w:sz="0" w:space="0" w:color="auto"/>
        <w:right w:val="none" w:sz="0" w:space="0" w:color="auto"/>
      </w:divBdr>
    </w:div>
    <w:div w:id="560991527">
      <w:bodyDiv w:val="1"/>
      <w:marLeft w:val="0"/>
      <w:marRight w:val="0"/>
      <w:marTop w:val="0"/>
      <w:marBottom w:val="0"/>
      <w:divBdr>
        <w:top w:val="none" w:sz="0" w:space="0" w:color="auto"/>
        <w:left w:val="none" w:sz="0" w:space="0" w:color="auto"/>
        <w:bottom w:val="none" w:sz="0" w:space="0" w:color="auto"/>
        <w:right w:val="none" w:sz="0" w:space="0" w:color="auto"/>
      </w:divBdr>
    </w:div>
    <w:div w:id="561060125">
      <w:bodyDiv w:val="1"/>
      <w:marLeft w:val="0"/>
      <w:marRight w:val="0"/>
      <w:marTop w:val="0"/>
      <w:marBottom w:val="0"/>
      <w:divBdr>
        <w:top w:val="none" w:sz="0" w:space="0" w:color="auto"/>
        <w:left w:val="none" w:sz="0" w:space="0" w:color="auto"/>
        <w:bottom w:val="none" w:sz="0" w:space="0" w:color="auto"/>
        <w:right w:val="none" w:sz="0" w:space="0" w:color="auto"/>
      </w:divBdr>
    </w:div>
    <w:div w:id="561063075">
      <w:bodyDiv w:val="1"/>
      <w:marLeft w:val="0"/>
      <w:marRight w:val="0"/>
      <w:marTop w:val="0"/>
      <w:marBottom w:val="0"/>
      <w:divBdr>
        <w:top w:val="none" w:sz="0" w:space="0" w:color="auto"/>
        <w:left w:val="none" w:sz="0" w:space="0" w:color="auto"/>
        <w:bottom w:val="none" w:sz="0" w:space="0" w:color="auto"/>
        <w:right w:val="none" w:sz="0" w:space="0" w:color="auto"/>
      </w:divBdr>
    </w:div>
    <w:div w:id="561064335">
      <w:bodyDiv w:val="1"/>
      <w:marLeft w:val="0"/>
      <w:marRight w:val="0"/>
      <w:marTop w:val="0"/>
      <w:marBottom w:val="0"/>
      <w:divBdr>
        <w:top w:val="none" w:sz="0" w:space="0" w:color="auto"/>
        <w:left w:val="none" w:sz="0" w:space="0" w:color="auto"/>
        <w:bottom w:val="none" w:sz="0" w:space="0" w:color="auto"/>
        <w:right w:val="none" w:sz="0" w:space="0" w:color="auto"/>
      </w:divBdr>
    </w:div>
    <w:div w:id="561065836">
      <w:bodyDiv w:val="1"/>
      <w:marLeft w:val="0"/>
      <w:marRight w:val="0"/>
      <w:marTop w:val="0"/>
      <w:marBottom w:val="0"/>
      <w:divBdr>
        <w:top w:val="none" w:sz="0" w:space="0" w:color="auto"/>
        <w:left w:val="none" w:sz="0" w:space="0" w:color="auto"/>
        <w:bottom w:val="none" w:sz="0" w:space="0" w:color="auto"/>
        <w:right w:val="none" w:sz="0" w:space="0" w:color="auto"/>
      </w:divBdr>
    </w:div>
    <w:div w:id="561139978">
      <w:bodyDiv w:val="1"/>
      <w:marLeft w:val="0"/>
      <w:marRight w:val="0"/>
      <w:marTop w:val="0"/>
      <w:marBottom w:val="0"/>
      <w:divBdr>
        <w:top w:val="none" w:sz="0" w:space="0" w:color="auto"/>
        <w:left w:val="none" w:sz="0" w:space="0" w:color="auto"/>
        <w:bottom w:val="none" w:sz="0" w:space="0" w:color="auto"/>
        <w:right w:val="none" w:sz="0" w:space="0" w:color="auto"/>
      </w:divBdr>
    </w:div>
    <w:div w:id="561209776">
      <w:bodyDiv w:val="1"/>
      <w:marLeft w:val="0"/>
      <w:marRight w:val="0"/>
      <w:marTop w:val="0"/>
      <w:marBottom w:val="0"/>
      <w:divBdr>
        <w:top w:val="none" w:sz="0" w:space="0" w:color="auto"/>
        <w:left w:val="none" w:sz="0" w:space="0" w:color="auto"/>
        <w:bottom w:val="none" w:sz="0" w:space="0" w:color="auto"/>
        <w:right w:val="none" w:sz="0" w:space="0" w:color="auto"/>
      </w:divBdr>
    </w:div>
    <w:div w:id="561215187">
      <w:bodyDiv w:val="1"/>
      <w:marLeft w:val="0"/>
      <w:marRight w:val="0"/>
      <w:marTop w:val="0"/>
      <w:marBottom w:val="0"/>
      <w:divBdr>
        <w:top w:val="none" w:sz="0" w:space="0" w:color="auto"/>
        <w:left w:val="none" w:sz="0" w:space="0" w:color="auto"/>
        <w:bottom w:val="none" w:sz="0" w:space="0" w:color="auto"/>
        <w:right w:val="none" w:sz="0" w:space="0" w:color="auto"/>
      </w:divBdr>
    </w:div>
    <w:div w:id="561404051">
      <w:bodyDiv w:val="1"/>
      <w:marLeft w:val="0"/>
      <w:marRight w:val="0"/>
      <w:marTop w:val="0"/>
      <w:marBottom w:val="0"/>
      <w:divBdr>
        <w:top w:val="none" w:sz="0" w:space="0" w:color="auto"/>
        <w:left w:val="none" w:sz="0" w:space="0" w:color="auto"/>
        <w:bottom w:val="none" w:sz="0" w:space="0" w:color="auto"/>
        <w:right w:val="none" w:sz="0" w:space="0" w:color="auto"/>
      </w:divBdr>
    </w:div>
    <w:div w:id="561409885">
      <w:bodyDiv w:val="1"/>
      <w:marLeft w:val="0"/>
      <w:marRight w:val="0"/>
      <w:marTop w:val="0"/>
      <w:marBottom w:val="0"/>
      <w:divBdr>
        <w:top w:val="none" w:sz="0" w:space="0" w:color="auto"/>
        <w:left w:val="none" w:sz="0" w:space="0" w:color="auto"/>
        <w:bottom w:val="none" w:sz="0" w:space="0" w:color="auto"/>
        <w:right w:val="none" w:sz="0" w:space="0" w:color="auto"/>
      </w:divBdr>
    </w:div>
    <w:div w:id="561450723">
      <w:bodyDiv w:val="1"/>
      <w:marLeft w:val="0"/>
      <w:marRight w:val="0"/>
      <w:marTop w:val="0"/>
      <w:marBottom w:val="0"/>
      <w:divBdr>
        <w:top w:val="none" w:sz="0" w:space="0" w:color="auto"/>
        <w:left w:val="none" w:sz="0" w:space="0" w:color="auto"/>
        <w:bottom w:val="none" w:sz="0" w:space="0" w:color="auto"/>
        <w:right w:val="none" w:sz="0" w:space="0" w:color="auto"/>
      </w:divBdr>
    </w:div>
    <w:div w:id="561520425">
      <w:bodyDiv w:val="1"/>
      <w:marLeft w:val="0"/>
      <w:marRight w:val="0"/>
      <w:marTop w:val="0"/>
      <w:marBottom w:val="0"/>
      <w:divBdr>
        <w:top w:val="none" w:sz="0" w:space="0" w:color="auto"/>
        <w:left w:val="none" w:sz="0" w:space="0" w:color="auto"/>
        <w:bottom w:val="none" w:sz="0" w:space="0" w:color="auto"/>
        <w:right w:val="none" w:sz="0" w:space="0" w:color="auto"/>
      </w:divBdr>
    </w:div>
    <w:div w:id="561523220">
      <w:bodyDiv w:val="1"/>
      <w:marLeft w:val="0"/>
      <w:marRight w:val="0"/>
      <w:marTop w:val="0"/>
      <w:marBottom w:val="0"/>
      <w:divBdr>
        <w:top w:val="none" w:sz="0" w:space="0" w:color="auto"/>
        <w:left w:val="none" w:sz="0" w:space="0" w:color="auto"/>
        <w:bottom w:val="none" w:sz="0" w:space="0" w:color="auto"/>
        <w:right w:val="none" w:sz="0" w:space="0" w:color="auto"/>
      </w:divBdr>
    </w:div>
    <w:div w:id="561647104">
      <w:bodyDiv w:val="1"/>
      <w:marLeft w:val="0"/>
      <w:marRight w:val="0"/>
      <w:marTop w:val="0"/>
      <w:marBottom w:val="0"/>
      <w:divBdr>
        <w:top w:val="none" w:sz="0" w:space="0" w:color="auto"/>
        <w:left w:val="none" w:sz="0" w:space="0" w:color="auto"/>
        <w:bottom w:val="none" w:sz="0" w:space="0" w:color="auto"/>
        <w:right w:val="none" w:sz="0" w:space="0" w:color="auto"/>
      </w:divBdr>
    </w:div>
    <w:div w:id="561675888">
      <w:bodyDiv w:val="1"/>
      <w:marLeft w:val="0"/>
      <w:marRight w:val="0"/>
      <w:marTop w:val="0"/>
      <w:marBottom w:val="0"/>
      <w:divBdr>
        <w:top w:val="none" w:sz="0" w:space="0" w:color="auto"/>
        <w:left w:val="none" w:sz="0" w:space="0" w:color="auto"/>
        <w:bottom w:val="none" w:sz="0" w:space="0" w:color="auto"/>
        <w:right w:val="none" w:sz="0" w:space="0" w:color="auto"/>
      </w:divBdr>
    </w:div>
    <w:div w:id="561716342">
      <w:bodyDiv w:val="1"/>
      <w:marLeft w:val="0"/>
      <w:marRight w:val="0"/>
      <w:marTop w:val="0"/>
      <w:marBottom w:val="0"/>
      <w:divBdr>
        <w:top w:val="none" w:sz="0" w:space="0" w:color="auto"/>
        <w:left w:val="none" w:sz="0" w:space="0" w:color="auto"/>
        <w:bottom w:val="none" w:sz="0" w:space="0" w:color="auto"/>
        <w:right w:val="none" w:sz="0" w:space="0" w:color="auto"/>
      </w:divBdr>
    </w:div>
    <w:div w:id="561721720">
      <w:bodyDiv w:val="1"/>
      <w:marLeft w:val="0"/>
      <w:marRight w:val="0"/>
      <w:marTop w:val="0"/>
      <w:marBottom w:val="0"/>
      <w:divBdr>
        <w:top w:val="none" w:sz="0" w:space="0" w:color="auto"/>
        <w:left w:val="none" w:sz="0" w:space="0" w:color="auto"/>
        <w:bottom w:val="none" w:sz="0" w:space="0" w:color="auto"/>
        <w:right w:val="none" w:sz="0" w:space="0" w:color="auto"/>
      </w:divBdr>
    </w:div>
    <w:div w:id="561864678">
      <w:bodyDiv w:val="1"/>
      <w:marLeft w:val="0"/>
      <w:marRight w:val="0"/>
      <w:marTop w:val="0"/>
      <w:marBottom w:val="0"/>
      <w:divBdr>
        <w:top w:val="none" w:sz="0" w:space="0" w:color="auto"/>
        <w:left w:val="none" w:sz="0" w:space="0" w:color="auto"/>
        <w:bottom w:val="none" w:sz="0" w:space="0" w:color="auto"/>
        <w:right w:val="none" w:sz="0" w:space="0" w:color="auto"/>
      </w:divBdr>
    </w:div>
    <w:div w:id="561867787">
      <w:bodyDiv w:val="1"/>
      <w:marLeft w:val="0"/>
      <w:marRight w:val="0"/>
      <w:marTop w:val="0"/>
      <w:marBottom w:val="0"/>
      <w:divBdr>
        <w:top w:val="none" w:sz="0" w:space="0" w:color="auto"/>
        <w:left w:val="none" w:sz="0" w:space="0" w:color="auto"/>
        <w:bottom w:val="none" w:sz="0" w:space="0" w:color="auto"/>
        <w:right w:val="none" w:sz="0" w:space="0" w:color="auto"/>
      </w:divBdr>
    </w:div>
    <w:div w:id="561907834">
      <w:bodyDiv w:val="1"/>
      <w:marLeft w:val="0"/>
      <w:marRight w:val="0"/>
      <w:marTop w:val="0"/>
      <w:marBottom w:val="0"/>
      <w:divBdr>
        <w:top w:val="none" w:sz="0" w:space="0" w:color="auto"/>
        <w:left w:val="none" w:sz="0" w:space="0" w:color="auto"/>
        <w:bottom w:val="none" w:sz="0" w:space="0" w:color="auto"/>
        <w:right w:val="none" w:sz="0" w:space="0" w:color="auto"/>
      </w:divBdr>
    </w:div>
    <w:div w:id="561916464">
      <w:bodyDiv w:val="1"/>
      <w:marLeft w:val="0"/>
      <w:marRight w:val="0"/>
      <w:marTop w:val="0"/>
      <w:marBottom w:val="0"/>
      <w:divBdr>
        <w:top w:val="none" w:sz="0" w:space="0" w:color="auto"/>
        <w:left w:val="none" w:sz="0" w:space="0" w:color="auto"/>
        <w:bottom w:val="none" w:sz="0" w:space="0" w:color="auto"/>
        <w:right w:val="none" w:sz="0" w:space="0" w:color="auto"/>
      </w:divBdr>
    </w:div>
    <w:div w:id="562060237">
      <w:bodyDiv w:val="1"/>
      <w:marLeft w:val="0"/>
      <w:marRight w:val="0"/>
      <w:marTop w:val="0"/>
      <w:marBottom w:val="0"/>
      <w:divBdr>
        <w:top w:val="none" w:sz="0" w:space="0" w:color="auto"/>
        <w:left w:val="none" w:sz="0" w:space="0" w:color="auto"/>
        <w:bottom w:val="none" w:sz="0" w:space="0" w:color="auto"/>
        <w:right w:val="none" w:sz="0" w:space="0" w:color="auto"/>
      </w:divBdr>
    </w:div>
    <w:div w:id="562066663">
      <w:bodyDiv w:val="1"/>
      <w:marLeft w:val="0"/>
      <w:marRight w:val="0"/>
      <w:marTop w:val="0"/>
      <w:marBottom w:val="0"/>
      <w:divBdr>
        <w:top w:val="none" w:sz="0" w:space="0" w:color="auto"/>
        <w:left w:val="none" w:sz="0" w:space="0" w:color="auto"/>
        <w:bottom w:val="none" w:sz="0" w:space="0" w:color="auto"/>
        <w:right w:val="none" w:sz="0" w:space="0" w:color="auto"/>
      </w:divBdr>
    </w:div>
    <w:div w:id="562066955">
      <w:bodyDiv w:val="1"/>
      <w:marLeft w:val="0"/>
      <w:marRight w:val="0"/>
      <w:marTop w:val="0"/>
      <w:marBottom w:val="0"/>
      <w:divBdr>
        <w:top w:val="none" w:sz="0" w:space="0" w:color="auto"/>
        <w:left w:val="none" w:sz="0" w:space="0" w:color="auto"/>
        <w:bottom w:val="none" w:sz="0" w:space="0" w:color="auto"/>
        <w:right w:val="none" w:sz="0" w:space="0" w:color="auto"/>
      </w:divBdr>
    </w:div>
    <w:div w:id="562102680">
      <w:bodyDiv w:val="1"/>
      <w:marLeft w:val="0"/>
      <w:marRight w:val="0"/>
      <w:marTop w:val="0"/>
      <w:marBottom w:val="0"/>
      <w:divBdr>
        <w:top w:val="none" w:sz="0" w:space="0" w:color="auto"/>
        <w:left w:val="none" w:sz="0" w:space="0" w:color="auto"/>
        <w:bottom w:val="none" w:sz="0" w:space="0" w:color="auto"/>
        <w:right w:val="none" w:sz="0" w:space="0" w:color="auto"/>
      </w:divBdr>
    </w:div>
    <w:div w:id="562103630">
      <w:bodyDiv w:val="1"/>
      <w:marLeft w:val="0"/>
      <w:marRight w:val="0"/>
      <w:marTop w:val="0"/>
      <w:marBottom w:val="0"/>
      <w:divBdr>
        <w:top w:val="none" w:sz="0" w:space="0" w:color="auto"/>
        <w:left w:val="none" w:sz="0" w:space="0" w:color="auto"/>
        <w:bottom w:val="none" w:sz="0" w:space="0" w:color="auto"/>
        <w:right w:val="none" w:sz="0" w:space="0" w:color="auto"/>
      </w:divBdr>
    </w:div>
    <w:div w:id="562108795">
      <w:bodyDiv w:val="1"/>
      <w:marLeft w:val="0"/>
      <w:marRight w:val="0"/>
      <w:marTop w:val="0"/>
      <w:marBottom w:val="0"/>
      <w:divBdr>
        <w:top w:val="none" w:sz="0" w:space="0" w:color="auto"/>
        <w:left w:val="none" w:sz="0" w:space="0" w:color="auto"/>
        <w:bottom w:val="none" w:sz="0" w:space="0" w:color="auto"/>
        <w:right w:val="none" w:sz="0" w:space="0" w:color="auto"/>
      </w:divBdr>
    </w:div>
    <w:div w:id="562178956">
      <w:bodyDiv w:val="1"/>
      <w:marLeft w:val="0"/>
      <w:marRight w:val="0"/>
      <w:marTop w:val="0"/>
      <w:marBottom w:val="0"/>
      <w:divBdr>
        <w:top w:val="none" w:sz="0" w:space="0" w:color="auto"/>
        <w:left w:val="none" w:sz="0" w:space="0" w:color="auto"/>
        <w:bottom w:val="none" w:sz="0" w:space="0" w:color="auto"/>
        <w:right w:val="none" w:sz="0" w:space="0" w:color="auto"/>
      </w:divBdr>
    </w:div>
    <w:div w:id="562300594">
      <w:bodyDiv w:val="1"/>
      <w:marLeft w:val="0"/>
      <w:marRight w:val="0"/>
      <w:marTop w:val="0"/>
      <w:marBottom w:val="0"/>
      <w:divBdr>
        <w:top w:val="none" w:sz="0" w:space="0" w:color="auto"/>
        <w:left w:val="none" w:sz="0" w:space="0" w:color="auto"/>
        <w:bottom w:val="none" w:sz="0" w:space="0" w:color="auto"/>
        <w:right w:val="none" w:sz="0" w:space="0" w:color="auto"/>
      </w:divBdr>
    </w:div>
    <w:div w:id="562302175">
      <w:bodyDiv w:val="1"/>
      <w:marLeft w:val="0"/>
      <w:marRight w:val="0"/>
      <w:marTop w:val="0"/>
      <w:marBottom w:val="0"/>
      <w:divBdr>
        <w:top w:val="none" w:sz="0" w:space="0" w:color="auto"/>
        <w:left w:val="none" w:sz="0" w:space="0" w:color="auto"/>
        <w:bottom w:val="none" w:sz="0" w:space="0" w:color="auto"/>
        <w:right w:val="none" w:sz="0" w:space="0" w:color="auto"/>
      </w:divBdr>
    </w:div>
    <w:div w:id="562327053">
      <w:bodyDiv w:val="1"/>
      <w:marLeft w:val="0"/>
      <w:marRight w:val="0"/>
      <w:marTop w:val="0"/>
      <w:marBottom w:val="0"/>
      <w:divBdr>
        <w:top w:val="none" w:sz="0" w:space="0" w:color="auto"/>
        <w:left w:val="none" w:sz="0" w:space="0" w:color="auto"/>
        <w:bottom w:val="none" w:sz="0" w:space="0" w:color="auto"/>
        <w:right w:val="none" w:sz="0" w:space="0" w:color="auto"/>
      </w:divBdr>
    </w:div>
    <w:div w:id="562371574">
      <w:bodyDiv w:val="1"/>
      <w:marLeft w:val="0"/>
      <w:marRight w:val="0"/>
      <w:marTop w:val="0"/>
      <w:marBottom w:val="0"/>
      <w:divBdr>
        <w:top w:val="none" w:sz="0" w:space="0" w:color="auto"/>
        <w:left w:val="none" w:sz="0" w:space="0" w:color="auto"/>
        <w:bottom w:val="none" w:sz="0" w:space="0" w:color="auto"/>
        <w:right w:val="none" w:sz="0" w:space="0" w:color="auto"/>
      </w:divBdr>
    </w:div>
    <w:div w:id="562443979">
      <w:bodyDiv w:val="1"/>
      <w:marLeft w:val="0"/>
      <w:marRight w:val="0"/>
      <w:marTop w:val="0"/>
      <w:marBottom w:val="0"/>
      <w:divBdr>
        <w:top w:val="none" w:sz="0" w:space="0" w:color="auto"/>
        <w:left w:val="none" w:sz="0" w:space="0" w:color="auto"/>
        <w:bottom w:val="none" w:sz="0" w:space="0" w:color="auto"/>
        <w:right w:val="none" w:sz="0" w:space="0" w:color="auto"/>
      </w:divBdr>
    </w:div>
    <w:div w:id="562639821">
      <w:bodyDiv w:val="1"/>
      <w:marLeft w:val="0"/>
      <w:marRight w:val="0"/>
      <w:marTop w:val="0"/>
      <w:marBottom w:val="0"/>
      <w:divBdr>
        <w:top w:val="none" w:sz="0" w:space="0" w:color="auto"/>
        <w:left w:val="none" w:sz="0" w:space="0" w:color="auto"/>
        <w:bottom w:val="none" w:sz="0" w:space="0" w:color="auto"/>
        <w:right w:val="none" w:sz="0" w:space="0" w:color="auto"/>
      </w:divBdr>
    </w:div>
    <w:div w:id="562712637">
      <w:bodyDiv w:val="1"/>
      <w:marLeft w:val="0"/>
      <w:marRight w:val="0"/>
      <w:marTop w:val="0"/>
      <w:marBottom w:val="0"/>
      <w:divBdr>
        <w:top w:val="none" w:sz="0" w:space="0" w:color="auto"/>
        <w:left w:val="none" w:sz="0" w:space="0" w:color="auto"/>
        <w:bottom w:val="none" w:sz="0" w:space="0" w:color="auto"/>
        <w:right w:val="none" w:sz="0" w:space="0" w:color="auto"/>
      </w:divBdr>
    </w:div>
    <w:div w:id="562764822">
      <w:bodyDiv w:val="1"/>
      <w:marLeft w:val="0"/>
      <w:marRight w:val="0"/>
      <w:marTop w:val="0"/>
      <w:marBottom w:val="0"/>
      <w:divBdr>
        <w:top w:val="none" w:sz="0" w:space="0" w:color="auto"/>
        <w:left w:val="none" w:sz="0" w:space="0" w:color="auto"/>
        <w:bottom w:val="none" w:sz="0" w:space="0" w:color="auto"/>
        <w:right w:val="none" w:sz="0" w:space="0" w:color="auto"/>
      </w:divBdr>
    </w:div>
    <w:div w:id="562834206">
      <w:bodyDiv w:val="1"/>
      <w:marLeft w:val="0"/>
      <w:marRight w:val="0"/>
      <w:marTop w:val="0"/>
      <w:marBottom w:val="0"/>
      <w:divBdr>
        <w:top w:val="none" w:sz="0" w:space="0" w:color="auto"/>
        <w:left w:val="none" w:sz="0" w:space="0" w:color="auto"/>
        <w:bottom w:val="none" w:sz="0" w:space="0" w:color="auto"/>
        <w:right w:val="none" w:sz="0" w:space="0" w:color="auto"/>
      </w:divBdr>
    </w:div>
    <w:div w:id="562906689">
      <w:bodyDiv w:val="1"/>
      <w:marLeft w:val="0"/>
      <w:marRight w:val="0"/>
      <w:marTop w:val="0"/>
      <w:marBottom w:val="0"/>
      <w:divBdr>
        <w:top w:val="none" w:sz="0" w:space="0" w:color="auto"/>
        <w:left w:val="none" w:sz="0" w:space="0" w:color="auto"/>
        <w:bottom w:val="none" w:sz="0" w:space="0" w:color="auto"/>
        <w:right w:val="none" w:sz="0" w:space="0" w:color="auto"/>
      </w:divBdr>
    </w:div>
    <w:div w:id="563026999">
      <w:bodyDiv w:val="1"/>
      <w:marLeft w:val="0"/>
      <w:marRight w:val="0"/>
      <w:marTop w:val="0"/>
      <w:marBottom w:val="0"/>
      <w:divBdr>
        <w:top w:val="none" w:sz="0" w:space="0" w:color="auto"/>
        <w:left w:val="none" w:sz="0" w:space="0" w:color="auto"/>
        <w:bottom w:val="none" w:sz="0" w:space="0" w:color="auto"/>
        <w:right w:val="none" w:sz="0" w:space="0" w:color="auto"/>
      </w:divBdr>
    </w:div>
    <w:div w:id="563296260">
      <w:bodyDiv w:val="1"/>
      <w:marLeft w:val="0"/>
      <w:marRight w:val="0"/>
      <w:marTop w:val="0"/>
      <w:marBottom w:val="0"/>
      <w:divBdr>
        <w:top w:val="none" w:sz="0" w:space="0" w:color="auto"/>
        <w:left w:val="none" w:sz="0" w:space="0" w:color="auto"/>
        <w:bottom w:val="none" w:sz="0" w:space="0" w:color="auto"/>
        <w:right w:val="none" w:sz="0" w:space="0" w:color="auto"/>
      </w:divBdr>
    </w:div>
    <w:div w:id="563417346">
      <w:bodyDiv w:val="1"/>
      <w:marLeft w:val="0"/>
      <w:marRight w:val="0"/>
      <w:marTop w:val="0"/>
      <w:marBottom w:val="0"/>
      <w:divBdr>
        <w:top w:val="none" w:sz="0" w:space="0" w:color="auto"/>
        <w:left w:val="none" w:sz="0" w:space="0" w:color="auto"/>
        <w:bottom w:val="none" w:sz="0" w:space="0" w:color="auto"/>
        <w:right w:val="none" w:sz="0" w:space="0" w:color="auto"/>
      </w:divBdr>
    </w:div>
    <w:div w:id="563568339">
      <w:bodyDiv w:val="1"/>
      <w:marLeft w:val="0"/>
      <w:marRight w:val="0"/>
      <w:marTop w:val="0"/>
      <w:marBottom w:val="0"/>
      <w:divBdr>
        <w:top w:val="none" w:sz="0" w:space="0" w:color="auto"/>
        <w:left w:val="none" w:sz="0" w:space="0" w:color="auto"/>
        <w:bottom w:val="none" w:sz="0" w:space="0" w:color="auto"/>
        <w:right w:val="none" w:sz="0" w:space="0" w:color="auto"/>
      </w:divBdr>
    </w:div>
    <w:div w:id="563759487">
      <w:bodyDiv w:val="1"/>
      <w:marLeft w:val="0"/>
      <w:marRight w:val="0"/>
      <w:marTop w:val="0"/>
      <w:marBottom w:val="0"/>
      <w:divBdr>
        <w:top w:val="none" w:sz="0" w:space="0" w:color="auto"/>
        <w:left w:val="none" w:sz="0" w:space="0" w:color="auto"/>
        <w:bottom w:val="none" w:sz="0" w:space="0" w:color="auto"/>
        <w:right w:val="none" w:sz="0" w:space="0" w:color="auto"/>
      </w:divBdr>
    </w:div>
    <w:div w:id="563837049">
      <w:bodyDiv w:val="1"/>
      <w:marLeft w:val="0"/>
      <w:marRight w:val="0"/>
      <w:marTop w:val="0"/>
      <w:marBottom w:val="0"/>
      <w:divBdr>
        <w:top w:val="none" w:sz="0" w:space="0" w:color="auto"/>
        <w:left w:val="none" w:sz="0" w:space="0" w:color="auto"/>
        <w:bottom w:val="none" w:sz="0" w:space="0" w:color="auto"/>
        <w:right w:val="none" w:sz="0" w:space="0" w:color="auto"/>
      </w:divBdr>
    </w:div>
    <w:div w:id="564023677">
      <w:bodyDiv w:val="1"/>
      <w:marLeft w:val="0"/>
      <w:marRight w:val="0"/>
      <w:marTop w:val="0"/>
      <w:marBottom w:val="0"/>
      <w:divBdr>
        <w:top w:val="none" w:sz="0" w:space="0" w:color="auto"/>
        <w:left w:val="none" w:sz="0" w:space="0" w:color="auto"/>
        <w:bottom w:val="none" w:sz="0" w:space="0" w:color="auto"/>
        <w:right w:val="none" w:sz="0" w:space="0" w:color="auto"/>
      </w:divBdr>
    </w:div>
    <w:div w:id="564141674">
      <w:bodyDiv w:val="1"/>
      <w:marLeft w:val="0"/>
      <w:marRight w:val="0"/>
      <w:marTop w:val="0"/>
      <w:marBottom w:val="0"/>
      <w:divBdr>
        <w:top w:val="none" w:sz="0" w:space="0" w:color="auto"/>
        <w:left w:val="none" w:sz="0" w:space="0" w:color="auto"/>
        <w:bottom w:val="none" w:sz="0" w:space="0" w:color="auto"/>
        <w:right w:val="none" w:sz="0" w:space="0" w:color="auto"/>
      </w:divBdr>
    </w:div>
    <w:div w:id="564146437">
      <w:bodyDiv w:val="1"/>
      <w:marLeft w:val="0"/>
      <w:marRight w:val="0"/>
      <w:marTop w:val="0"/>
      <w:marBottom w:val="0"/>
      <w:divBdr>
        <w:top w:val="none" w:sz="0" w:space="0" w:color="auto"/>
        <w:left w:val="none" w:sz="0" w:space="0" w:color="auto"/>
        <w:bottom w:val="none" w:sz="0" w:space="0" w:color="auto"/>
        <w:right w:val="none" w:sz="0" w:space="0" w:color="auto"/>
      </w:divBdr>
    </w:div>
    <w:div w:id="564267229">
      <w:bodyDiv w:val="1"/>
      <w:marLeft w:val="0"/>
      <w:marRight w:val="0"/>
      <w:marTop w:val="0"/>
      <w:marBottom w:val="0"/>
      <w:divBdr>
        <w:top w:val="none" w:sz="0" w:space="0" w:color="auto"/>
        <w:left w:val="none" w:sz="0" w:space="0" w:color="auto"/>
        <w:bottom w:val="none" w:sz="0" w:space="0" w:color="auto"/>
        <w:right w:val="none" w:sz="0" w:space="0" w:color="auto"/>
      </w:divBdr>
    </w:div>
    <w:div w:id="564296276">
      <w:bodyDiv w:val="1"/>
      <w:marLeft w:val="0"/>
      <w:marRight w:val="0"/>
      <w:marTop w:val="0"/>
      <w:marBottom w:val="0"/>
      <w:divBdr>
        <w:top w:val="none" w:sz="0" w:space="0" w:color="auto"/>
        <w:left w:val="none" w:sz="0" w:space="0" w:color="auto"/>
        <w:bottom w:val="none" w:sz="0" w:space="0" w:color="auto"/>
        <w:right w:val="none" w:sz="0" w:space="0" w:color="auto"/>
      </w:divBdr>
    </w:div>
    <w:div w:id="564335045">
      <w:bodyDiv w:val="1"/>
      <w:marLeft w:val="0"/>
      <w:marRight w:val="0"/>
      <w:marTop w:val="0"/>
      <w:marBottom w:val="0"/>
      <w:divBdr>
        <w:top w:val="none" w:sz="0" w:space="0" w:color="auto"/>
        <w:left w:val="none" w:sz="0" w:space="0" w:color="auto"/>
        <w:bottom w:val="none" w:sz="0" w:space="0" w:color="auto"/>
        <w:right w:val="none" w:sz="0" w:space="0" w:color="auto"/>
      </w:divBdr>
    </w:div>
    <w:div w:id="564340300">
      <w:bodyDiv w:val="1"/>
      <w:marLeft w:val="0"/>
      <w:marRight w:val="0"/>
      <w:marTop w:val="0"/>
      <w:marBottom w:val="0"/>
      <w:divBdr>
        <w:top w:val="none" w:sz="0" w:space="0" w:color="auto"/>
        <w:left w:val="none" w:sz="0" w:space="0" w:color="auto"/>
        <w:bottom w:val="none" w:sz="0" w:space="0" w:color="auto"/>
        <w:right w:val="none" w:sz="0" w:space="0" w:color="auto"/>
      </w:divBdr>
    </w:div>
    <w:div w:id="564415397">
      <w:bodyDiv w:val="1"/>
      <w:marLeft w:val="0"/>
      <w:marRight w:val="0"/>
      <w:marTop w:val="0"/>
      <w:marBottom w:val="0"/>
      <w:divBdr>
        <w:top w:val="none" w:sz="0" w:space="0" w:color="auto"/>
        <w:left w:val="none" w:sz="0" w:space="0" w:color="auto"/>
        <w:bottom w:val="none" w:sz="0" w:space="0" w:color="auto"/>
        <w:right w:val="none" w:sz="0" w:space="0" w:color="auto"/>
      </w:divBdr>
    </w:div>
    <w:div w:id="564418276">
      <w:bodyDiv w:val="1"/>
      <w:marLeft w:val="0"/>
      <w:marRight w:val="0"/>
      <w:marTop w:val="0"/>
      <w:marBottom w:val="0"/>
      <w:divBdr>
        <w:top w:val="none" w:sz="0" w:space="0" w:color="auto"/>
        <w:left w:val="none" w:sz="0" w:space="0" w:color="auto"/>
        <w:bottom w:val="none" w:sz="0" w:space="0" w:color="auto"/>
        <w:right w:val="none" w:sz="0" w:space="0" w:color="auto"/>
      </w:divBdr>
    </w:div>
    <w:div w:id="564485857">
      <w:bodyDiv w:val="1"/>
      <w:marLeft w:val="0"/>
      <w:marRight w:val="0"/>
      <w:marTop w:val="0"/>
      <w:marBottom w:val="0"/>
      <w:divBdr>
        <w:top w:val="none" w:sz="0" w:space="0" w:color="auto"/>
        <w:left w:val="none" w:sz="0" w:space="0" w:color="auto"/>
        <w:bottom w:val="none" w:sz="0" w:space="0" w:color="auto"/>
        <w:right w:val="none" w:sz="0" w:space="0" w:color="auto"/>
      </w:divBdr>
    </w:div>
    <w:div w:id="564532243">
      <w:bodyDiv w:val="1"/>
      <w:marLeft w:val="0"/>
      <w:marRight w:val="0"/>
      <w:marTop w:val="0"/>
      <w:marBottom w:val="0"/>
      <w:divBdr>
        <w:top w:val="none" w:sz="0" w:space="0" w:color="auto"/>
        <w:left w:val="none" w:sz="0" w:space="0" w:color="auto"/>
        <w:bottom w:val="none" w:sz="0" w:space="0" w:color="auto"/>
        <w:right w:val="none" w:sz="0" w:space="0" w:color="auto"/>
      </w:divBdr>
    </w:div>
    <w:div w:id="564612531">
      <w:bodyDiv w:val="1"/>
      <w:marLeft w:val="0"/>
      <w:marRight w:val="0"/>
      <w:marTop w:val="0"/>
      <w:marBottom w:val="0"/>
      <w:divBdr>
        <w:top w:val="none" w:sz="0" w:space="0" w:color="auto"/>
        <w:left w:val="none" w:sz="0" w:space="0" w:color="auto"/>
        <w:bottom w:val="none" w:sz="0" w:space="0" w:color="auto"/>
        <w:right w:val="none" w:sz="0" w:space="0" w:color="auto"/>
      </w:divBdr>
    </w:div>
    <w:div w:id="564804390">
      <w:bodyDiv w:val="1"/>
      <w:marLeft w:val="0"/>
      <w:marRight w:val="0"/>
      <w:marTop w:val="0"/>
      <w:marBottom w:val="0"/>
      <w:divBdr>
        <w:top w:val="none" w:sz="0" w:space="0" w:color="auto"/>
        <w:left w:val="none" w:sz="0" w:space="0" w:color="auto"/>
        <w:bottom w:val="none" w:sz="0" w:space="0" w:color="auto"/>
        <w:right w:val="none" w:sz="0" w:space="0" w:color="auto"/>
      </w:divBdr>
    </w:div>
    <w:div w:id="564922887">
      <w:bodyDiv w:val="1"/>
      <w:marLeft w:val="0"/>
      <w:marRight w:val="0"/>
      <w:marTop w:val="0"/>
      <w:marBottom w:val="0"/>
      <w:divBdr>
        <w:top w:val="none" w:sz="0" w:space="0" w:color="auto"/>
        <w:left w:val="none" w:sz="0" w:space="0" w:color="auto"/>
        <w:bottom w:val="none" w:sz="0" w:space="0" w:color="auto"/>
        <w:right w:val="none" w:sz="0" w:space="0" w:color="auto"/>
      </w:divBdr>
    </w:div>
    <w:div w:id="564950418">
      <w:bodyDiv w:val="1"/>
      <w:marLeft w:val="0"/>
      <w:marRight w:val="0"/>
      <w:marTop w:val="0"/>
      <w:marBottom w:val="0"/>
      <w:divBdr>
        <w:top w:val="none" w:sz="0" w:space="0" w:color="auto"/>
        <w:left w:val="none" w:sz="0" w:space="0" w:color="auto"/>
        <w:bottom w:val="none" w:sz="0" w:space="0" w:color="auto"/>
        <w:right w:val="none" w:sz="0" w:space="0" w:color="auto"/>
      </w:divBdr>
    </w:div>
    <w:div w:id="564998123">
      <w:bodyDiv w:val="1"/>
      <w:marLeft w:val="0"/>
      <w:marRight w:val="0"/>
      <w:marTop w:val="0"/>
      <w:marBottom w:val="0"/>
      <w:divBdr>
        <w:top w:val="none" w:sz="0" w:space="0" w:color="auto"/>
        <w:left w:val="none" w:sz="0" w:space="0" w:color="auto"/>
        <w:bottom w:val="none" w:sz="0" w:space="0" w:color="auto"/>
        <w:right w:val="none" w:sz="0" w:space="0" w:color="auto"/>
      </w:divBdr>
    </w:div>
    <w:div w:id="565147822">
      <w:bodyDiv w:val="1"/>
      <w:marLeft w:val="0"/>
      <w:marRight w:val="0"/>
      <w:marTop w:val="0"/>
      <w:marBottom w:val="0"/>
      <w:divBdr>
        <w:top w:val="none" w:sz="0" w:space="0" w:color="auto"/>
        <w:left w:val="none" w:sz="0" w:space="0" w:color="auto"/>
        <w:bottom w:val="none" w:sz="0" w:space="0" w:color="auto"/>
        <w:right w:val="none" w:sz="0" w:space="0" w:color="auto"/>
      </w:divBdr>
    </w:div>
    <w:div w:id="565453777">
      <w:bodyDiv w:val="1"/>
      <w:marLeft w:val="0"/>
      <w:marRight w:val="0"/>
      <w:marTop w:val="0"/>
      <w:marBottom w:val="0"/>
      <w:divBdr>
        <w:top w:val="none" w:sz="0" w:space="0" w:color="auto"/>
        <w:left w:val="none" w:sz="0" w:space="0" w:color="auto"/>
        <w:bottom w:val="none" w:sz="0" w:space="0" w:color="auto"/>
        <w:right w:val="none" w:sz="0" w:space="0" w:color="auto"/>
      </w:divBdr>
    </w:div>
    <w:div w:id="565527428">
      <w:bodyDiv w:val="1"/>
      <w:marLeft w:val="0"/>
      <w:marRight w:val="0"/>
      <w:marTop w:val="0"/>
      <w:marBottom w:val="0"/>
      <w:divBdr>
        <w:top w:val="none" w:sz="0" w:space="0" w:color="auto"/>
        <w:left w:val="none" w:sz="0" w:space="0" w:color="auto"/>
        <w:bottom w:val="none" w:sz="0" w:space="0" w:color="auto"/>
        <w:right w:val="none" w:sz="0" w:space="0" w:color="auto"/>
      </w:divBdr>
    </w:div>
    <w:div w:id="565533954">
      <w:bodyDiv w:val="1"/>
      <w:marLeft w:val="0"/>
      <w:marRight w:val="0"/>
      <w:marTop w:val="0"/>
      <w:marBottom w:val="0"/>
      <w:divBdr>
        <w:top w:val="none" w:sz="0" w:space="0" w:color="auto"/>
        <w:left w:val="none" w:sz="0" w:space="0" w:color="auto"/>
        <w:bottom w:val="none" w:sz="0" w:space="0" w:color="auto"/>
        <w:right w:val="none" w:sz="0" w:space="0" w:color="auto"/>
      </w:divBdr>
    </w:div>
    <w:div w:id="565578649">
      <w:bodyDiv w:val="1"/>
      <w:marLeft w:val="0"/>
      <w:marRight w:val="0"/>
      <w:marTop w:val="0"/>
      <w:marBottom w:val="0"/>
      <w:divBdr>
        <w:top w:val="none" w:sz="0" w:space="0" w:color="auto"/>
        <w:left w:val="none" w:sz="0" w:space="0" w:color="auto"/>
        <w:bottom w:val="none" w:sz="0" w:space="0" w:color="auto"/>
        <w:right w:val="none" w:sz="0" w:space="0" w:color="auto"/>
      </w:divBdr>
    </w:div>
    <w:div w:id="565649942">
      <w:bodyDiv w:val="1"/>
      <w:marLeft w:val="0"/>
      <w:marRight w:val="0"/>
      <w:marTop w:val="0"/>
      <w:marBottom w:val="0"/>
      <w:divBdr>
        <w:top w:val="none" w:sz="0" w:space="0" w:color="auto"/>
        <w:left w:val="none" w:sz="0" w:space="0" w:color="auto"/>
        <w:bottom w:val="none" w:sz="0" w:space="0" w:color="auto"/>
        <w:right w:val="none" w:sz="0" w:space="0" w:color="auto"/>
      </w:divBdr>
    </w:div>
    <w:div w:id="565796743">
      <w:bodyDiv w:val="1"/>
      <w:marLeft w:val="0"/>
      <w:marRight w:val="0"/>
      <w:marTop w:val="0"/>
      <w:marBottom w:val="0"/>
      <w:divBdr>
        <w:top w:val="none" w:sz="0" w:space="0" w:color="auto"/>
        <w:left w:val="none" w:sz="0" w:space="0" w:color="auto"/>
        <w:bottom w:val="none" w:sz="0" w:space="0" w:color="auto"/>
        <w:right w:val="none" w:sz="0" w:space="0" w:color="auto"/>
      </w:divBdr>
    </w:div>
    <w:div w:id="565844309">
      <w:bodyDiv w:val="1"/>
      <w:marLeft w:val="0"/>
      <w:marRight w:val="0"/>
      <w:marTop w:val="0"/>
      <w:marBottom w:val="0"/>
      <w:divBdr>
        <w:top w:val="none" w:sz="0" w:space="0" w:color="auto"/>
        <w:left w:val="none" w:sz="0" w:space="0" w:color="auto"/>
        <w:bottom w:val="none" w:sz="0" w:space="0" w:color="auto"/>
        <w:right w:val="none" w:sz="0" w:space="0" w:color="auto"/>
      </w:divBdr>
    </w:div>
    <w:div w:id="565991492">
      <w:bodyDiv w:val="1"/>
      <w:marLeft w:val="0"/>
      <w:marRight w:val="0"/>
      <w:marTop w:val="0"/>
      <w:marBottom w:val="0"/>
      <w:divBdr>
        <w:top w:val="none" w:sz="0" w:space="0" w:color="auto"/>
        <w:left w:val="none" w:sz="0" w:space="0" w:color="auto"/>
        <w:bottom w:val="none" w:sz="0" w:space="0" w:color="auto"/>
        <w:right w:val="none" w:sz="0" w:space="0" w:color="auto"/>
      </w:divBdr>
    </w:div>
    <w:div w:id="565998420">
      <w:bodyDiv w:val="1"/>
      <w:marLeft w:val="0"/>
      <w:marRight w:val="0"/>
      <w:marTop w:val="0"/>
      <w:marBottom w:val="0"/>
      <w:divBdr>
        <w:top w:val="none" w:sz="0" w:space="0" w:color="auto"/>
        <w:left w:val="none" w:sz="0" w:space="0" w:color="auto"/>
        <w:bottom w:val="none" w:sz="0" w:space="0" w:color="auto"/>
        <w:right w:val="none" w:sz="0" w:space="0" w:color="auto"/>
      </w:divBdr>
    </w:div>
    <w:div w:id="566035727">
      <w:bodyDiv w:val="1"/>
      <w:marLeft w:val="0"/>
      <w:marRight w:val="0"/>
      <w:marTop w:val="0"/>
      <w:marBottom w:val="0"/>
      <w:divBdr>
        <w:top w:val="none" w:sz="0" w:space="0" w:color="auto"/>
        <w:left w:val="none" w:sz="0" w:space="0" w:color="auto"/>
        <w:bottom w:val="none" w:sz="0" w:space="0" w:color="auto"/>
        <w:right w:val="none" w:sz="0" w:space="0" w:color="auto"/>
      </w:divBdr>
    </w:div>
    <w:div w:id="566040467">
      <w:bodyDiv w:val="1"/>
      <w:marLeft w:val="0"/>
      <w:marRight w:val="0"/>
      <w:marTop w:val="0"/>
      <w:marBottom w:val="0"/>
      <w:divBdr>
        <w:top w:val="none" w:sz="0" w:space="0" w:color="auto"/>
        <w:left w:val="none" w:sz="0" w:space="0" w:color="auto"/>
        <w:bottom w:val="none" w:sz="0" w:space="0" w:color="auto"/>
        <w:right w:val="none" w:sz="0" w:space="0" w:color="auto"/>
      </w:divBdr>
    </w:div>
    <w:div w:id="566110132">
      <w:bodyDiv w:val="1"/>
      <w:marLeft w:val="0"/>
      <w:marRight w:val="0"/>
      <w:marTop w:val="0"/>
      <w:marBottom w:val="0"/>
      <w:divBdr>
        <w:top w:val="none" w:sz="0" w:space="0" w:color="auto"/>
        <w:left w:val="none" w:sz="0" w:space="0" w:color="auto"/>
        <w:bottom w:val="none" w:sz="0" w:space="0" w:color="auto"/>
        <w:right w:val="none" w:sz="0" w:space="0" w:color="auto"/>
      </w:divBdr>
    </w:div>
    <w:div w:id="566182430">
      <w:bodyDiv w:val="1"/>
      <w:marLeft w:val="0"/>
      <w:marRight w:val="0"/>
      <w:marTop w:val="0"/>
      <w:marBottom w:val="0"/>
      <w:divBdr>
        <w:top w:val="none" w:sz="0" w:space="0" w:color="auto"/>
        <w:left w:val="none" w:sz="0" w:space="0" w:color="auto"/>
        <w:bottom w:val="none" w:sz="0" w:space="0" w:color="auto"/>
        <w:right w:val="none" w:sz="0" w:space="0" w:color="auto"/>
      </w:divBdr>
    </w:div>
    <w:div w:id="566189802">
      <w:bodyDiv w:val="1"/>
      <w:marLeft w:val="0"/>
      <w:marRight w:val="0"/>
      <w:marTop w:val="0"/>
      <w:marBottom w:val="0"/>
      <w:divBdr>
        <w:top w:val="none" w:sz="0" w:space="0" w:color="auto"/>
        <w:left w:val="none" w:sz="0" w:space="0" w:color="auto"/>
        <w:bottom w:val="none" w:sz="0" w:space="0" w:color="auto"/>
        <w:right w:val="none" w:sz="0" w:space="0" w:color="auto"/>
      </w:divBdr>
    </w:div>
    <w:div w:id="566231831">
      <w:bodyDiv w:val="1"/>
      <w:marLeft w:val="0"/>
      <w:marRight w:val="0"/>
      <w:marTop w:val="0"/>
      <w:marBottom w:val="0"/>
      <w:divBdr>
        <w:top w:val="none" w:sz="0" w:space="0" w:color="auto"/>
        <w:left w:val="none" w:sz="0" w:space="0" w:color="auto"/>
        <w:bottom w:val="none" w:sz="0" w:space="0" w:color="auto"/>
        <w:right w:val="none" w:sz="0" w:space="0" w:color="auto"/>
      </w:divBdr>
    </w:div>
    <w:div w:id="566261228">
      <w:bodyDiv w:val="1"/>
      <w:marLeft w:val="0"/>
      <w:marRight w:val="0"/>
      <w:marTop w:val="0"/>
      <w:marBottom w:val="0"/>
      <w:divBdr>
        <w:top w:val="none" w:sz="0" w:space="0" w:color="auto"/>
        <w:left w:val="none" w:sz="0" w:space="0" w:color="auto"/>
        <w:bottom w:val="none" w:sz="0" w:space="0" w:color="auto"/>
        <w:right w:val="none" w:sz="0" w:space="0" w:color="auto"/>
      </w:divBdr>
    </w:div>
    <w:div w:id="566262495">
      <w:bodyDiv w:val="1"/>
      <w:marLeft w:val="0"/>
      <w:marRight w:val="0"/>
      <w:marTop w:val="0"/>
      <w:marBottom w:val="0"/>
      <w:divBdr>
        <w:top w:val="none" w:sz="0" w:space="0" w:color="auto"/>
        <w:left w:val="none" w:sz="0" w:space="0" w:color="auto"/>
        <w:bottom w:val="none" w:sz="0" w:space="0" w:color="auto"/>
        <w:right w:val="none" w:sz="0" w:space="0" w:color="auto"/>
      </w:divBdr>
    </w:div>
    <w:div w:id="566498071">
      <w:bodyDiv w:val="1"/>
      <w:marLeft w:val="0"/>
      <w:marRight w:val="0"/>
      <w:marTop w:val="0"/>
      <w:marBottom w:val="0"/>
      <w:divBdr>
        <w:top w:val="none" w:sz="0" w:space="0" w:color="auto"/>
        <w:left w:val="none" w:sz="0" w:space="0" w:color="auto"/>
        <w:bottom w:val="none" w:sz="0" w:space="0" w:color="auto"/>
        <w:right w:val="none" w:sz="0" w:space="0" w:color="auto"/>
      </w:divBdr>
    </w:div>
    <w:div w:id="566650419">
      <w:bodyDiv w:val="1"/>
      <w:marLeft w:val="0"/>
      <w:marRight w:val="0"/>
      <w:marTop w:val="0"/>
      <w:marBottom w:val="0"/>
      <w:divBdr>
        <w:top w:val="none" w:sz="0" w:space="0" w:color="auto"/>
        <w:left w:val="none" w:sz="0" w:space="0" w:color="auto"/>
        <w:bottom w:val="none" w:sz="0" w:space="0" w:color="auto"/>
        <w:right w:val="none" w:sz="0" w:space="0" w:color="auto"/>
      </w:divBdr>
    </w:div>
    <w:div w:id="566690076">
      <w:bodyDiv w:val="1"/>
      <w:marLeft w:val="0"/>
      <w:marRight w:val="0"/>
      <w:marTop w:val="0"/>
      <w:marBottom w:val="0"/>
      <w:divBdr>
        <w:top w:val="none" w:sz="0" w:space="0" w:color="auto"/>
        <w:left w:val="none" w:sz="0" w:space="0" w:color="auto"/>
        <w:bottom w:val="none" w:sz="0" w:space="0" w:color="auto"/>
        <w:right w:val="none" w:sz="0" w:space="0" w:color="auto"/>
      </w:divBdr>
    </w:div>
    <w:div w:id="566690722">
      <w:bodyDiv w:val="1"/>
      <w:marLeft w:val="0"/>
      <w:marRight w:val="0"/>
      <w:marTop w:val="0"/>
      <w:marBottom w:val="0"/>
      <w:divBdr>
        <w:top w:val="none" w:sz="0" w:space="0" w:color="auto"/>
        <w:left w:val="none" w:sz="0" w:space="0" w:color="auto"/>
        <w:bottom w:val="none" w:sz="0" w:space="0" w:color="auto"/>
        <w:right w:val="none" w:sz="0" w:space="0" w:color="auto"/>
      </w:divBdr>
    </w:div>
    <w:div w:id="566763111">
      <w:bodyDiv w:val="1"/>
      <w:marLeft w:val="0"/>
      <w:marRight w:val="0"/>
      <w:marTop w:val="0"/>
      <w:marBottom w:val="0"/>
      <w:divBdr>
        <w:top w:val="none" w:sz="0" w:space="0" w:color="auto"/>
        <w:left w:val="none" w:sz="0" w:space="0" w:color="auto"/>
        <w:bottom w:val="none" w:sz="0" w:space="0" w:color="auto"/>
        <w:right w:val="none" w:sz="0" w:space="0" w:color="auto"/>
      </w:divBdr>
    </w:div>
    <w:div w:id="566767218">
      <w:bodyDiv w:val="1"/>
      <w:marLeft w:val="0"/>
      <w:marRight w:val="0"/>
      <w:marTop w:val="0"/>
      <w:marBottom w:val="0"/>
      <w:divBdr>
        <w:top w:val="none" w:sz="0" w:space="0" w:color="auto"/>
        <w:left w:val="none" w:sz="0" w:space="0" w:color="auto"/>
        <w:bottom w:val="none" w:sz="0" w:space="0" w:color="auto"/>
        <w:right w:val="none" w:sz="0" w:space="0" w:color="auto"/>
      </w:divBdr>
    </w:div>
    <w:div w:id="566768367">
      <w:bodyDiv w:val="1"/>
      <w:marLeft w:val="0"/>
      <w:marRight w:val="0"/>
      <w:marTop w:val="0"/>
      <w:marBottom w:val="0"/>
      <w:divBdr>
        <w:top w:val="none" w:sz="0" w:space="0" w:color="auto"/>
        <w:left w:val="none" w:sz="0" w:space="0" w:color="auto"/>
        <w:bottom w:val="none" w:sz="0" w:space="0" w:color="auto"/>
        <w:right w:val="none" w:sz="0" w:space="0" w:color="auto"/>
      </w:divBdr>
    </w:div>
    <w:div w:id="567226517">
      <w:bodyDiv w:val="1"/>
      <w:marLeft w:val="0"/>
      <w:marRight w:val="0"/>
      <w:marTop w:val="0"/>
      <w:marBottom w:val="0"/>
      <w:divBdr>
        <w:top w:val="none" w:sz="0" w:space="0" w:color="auto"/>
        <w:left w:val="none" w:sz="0" w:space="0" w:color="auto"/>
        <w:bottom w:val="none" w:sz="0" w:space="0" w:color="auto"/>
        <w:right w:val="none" w:sz="0" w:space="0" w:color="auto"/>
      </w:divBdr>
    </w:div>
    <w:div w:id="567307829">
      <w:bodyDiv w:val="1"/>
      <w:marLeft w:val="0"/>
      <w:marRight w:val="0"/>
      <w:marTop w:val="0"/>
      <w:marBottom w:val="0"/>
      <w:divBdr>
        <w:top w:val="none" w:sz="0" w:space="0" w:color="auto"/>
        <w:left w:val="none" w:sz="0" w:space="0" w:color="auto"/>
        <w:bottom w:val="none" w:sz="0" w:space="0" w:color="auto"/>
        <w:right w:val="none" w:sz="0" w:space="0" w:color="auto"/>
      </w:divBdr>
    </w:div>
    <w:div w:id="567417993">
      <w:bodyDiv w:val="1"/>
      <w:marLeft w:val="0"/>
      <w:marRight w:val="0"/>
      <w:marTop w:val="0"/>
      <w:marBottom w:val="0"/>
      <w:divBdr>
        <w:top w:val="none" w:sz="0" w:space="0" w:color="auto"/>
        <w:left w:val="none" w:sz="0" w:space="0" w:color="auto"/>
        <w:bottom w:val="none" w:sz="0" w:space="0" w:color="auto"/>
        <w:right w:val="none" w:sz="0" w:space="0" w:color="auto"/>
      </w:divBdr>
    </w:div>
    <w:div w:id="567498626">
      <w:bodyDiv w:val="1"/>
      <w:marLeft w:val="0"/>
      <w:marRight w:val="0"/>
      <w:marTop w:val="0"/>
      <w:marBottom w:val="0"/>
      <w:divBdr>
        <w:top w:val="none" w:sz="0" w:space="0" w:color="auto"/>
        <w:left w:val="none" w:sz="0" w:space="0" w:color="auto"/>
        <w:bottom w:val="none" w:sz="0" w:space="0" w:color="auto"/>
        <w:right w:val="none" w:sz="0" w:space="0" w:color="auto"/>
      </w:divBdr>
    </w:div>
    <w:div w:id="567502480">
      <w:bodyDiv w:val="1"/>
      <w:marLeft w:val="0"/>
      <w:marRight w:val="0"/>
      <w:marTop w:val="0"/>
      <w:marBottom w:val="0"/>
      <w:divBdr>
        <w:top w:val="none" w:sz="0" w:space="0" w:color="auto"/>
        <w:left w:val="none" w:sz="0" w:space="0" w:color="auto"/>
        <w:bottom w:val="none" w:sz="0" w:space="0" w:color="auto"/>
        <w:right w:val="none" w:sz="0" w:space="0" w:color="auto"/>
      </w:divBdr>
    </w:div>
    <w:div w:id="567544693">
      <w:bodyDiv w:val="1"/>
      <w:marLeft w:val="0"/>
      <w:marRight w:val="0"/>
      <w:marTop w:val="0"/>
      <w:marBottom w:val="0"/>
      <w:divBdr>
        <w:top w:val="none" w:sz="0" w:space="0" w:color="auto"/>
        <w:left w:val="none" w:sz="0" w:space="0" w:color="auto"/>
        <w:bottom w:val="none" w:sz="0" w:space="0" w:color="auto"/>
        <w:right w:val="none" w:sz="0" w:space="0" w:color="auto"/>
      </w:divBdr>
    </w:div>
    <w:div w:id="567617458">
      <w:bodyDiv w:val="1"/>
      <w:marLeft w:val="0"/>
      <w:marRight w:val="0"/>
      <w:marTop w:val="0"/>
      <w:marBottom w:val="0"/>
      <w:divBdr>
        <w:top w:val="none" w:sz="0" w:space="0" w:color="auto"/>
        <w:left w:val="none" w:sz="0" w:space="0" w:color="auto"/>
        <w:bottom w:val="none" w:sz="0" w:space="0" w:color="auto"/>
        <w:right w:val="none" w:sz="0" w:space="0" w:color="auto"/>
      </w:divBdr>
    </w:div>
    <w:div w:id="567617586">
      <w:bodyDiv w:val="1"/>
      <w:marLeft w:val="0"/>
      <w:marRight w:val="0"/>
      <w:marTop w:val="0"/>
      <w:marBottom w:val="0"/>
      <w:divBdr>
        <w:top w:val="none" w:sz="0" w:space="0" w:color="auto"/>
        <w:left w:val="none" w:sz="0" w:space="0" w:color="auto"/>
        <w:bottom w:val="none" w:sz="0" w:space="0" w:color="auto"/>
        <w:right w:val="none" w:sz="0" w:space="0" w:color="auto"/>
      </w:divBdr>
    </w:div>
    <w:div w:id="567686710">
      <w:bodyDiv w:val="1"/>
      <w:marLeft w:val="0"/>
      <w:marRight w:val="0"/>
      <w:marTop w:val="0"/>
      <w:marBottom w:val="0"/>
      <w:divBdr>
        <w:top w:val="none" w:sz="0" w:space="0" w:color="auto"/>
        <w:left w:val="none" w:sz="0" w:space="0" w:color="auto"/>
        <w:bottom w:val="none" w:sz="0" w:space="0" w:color="auto"/>
        <w:right w:val="none" w:sz="0" w:space="0" w:color="auto"/>
      </w:divBdr>
    </w:div>
    <w:div w:id="567692848">
      <w:bodyDiv w:val="1"/>
      <w:marLeft w:val="0"/>
      <w:marRight w:val="0"/>
      <w:marTop w:val="0"/>
      <w:marBottom w:val="0"/>
      <w:divBdr>
        <w:top w:val="none" w:sz="0" w:space="0" w:color="auto"/>
        <w:left w:val="none" w:sz="0" w:space="0" w:color="auto"/>
        <w:bottom w:val="none" w:sz="0" w:space="0" w:color="auto"/>
        <w:right w:val="none" w:sz="0" w:space="0" w:color="auto"/>
      </w:divBdr>
    </w:div>
    <w:div w:id="567884631">
      <w:bodyDiv w:val="1"/>
      <w:marLeft w:val="0"/>
      <w:marRight w:val="0"/>
      <w:marTop w:val="0"/>
      <w:marBottom w:val="0"/>
      <w:divBdr>
        <w:top w:val="none" w:sz="0" w:space="0" w:color="auto"/>
        <w:left w:val="none" w:sz="0" w:space="0" w:color="auto"/>
        <w:bottom w:val="none" w:sz="0" w:space="0" w:color="auto"/>
        <w:right w:val="none" w:sz="0" w:space="0" w:color="auto"/>
      </w:divBdr>
    </w:div>
    <w:div w:id="568077410">
      <w:bodyDiv w:val="1"/>
      <w:marLeft w:val="0"/>
      <w:marRight w:val="0"/>
      <w:marTop w:val="0"/>
      <w:marBottom w:val="0"/>
      <w:divBdr>
        <w:top w:val="none" w:sz="0" w:space="0" w:color="auto"/>
        <w:left w:val="none" w:sz="0" w:space="0" w:color="auto"/>
        <w:bottom w:val="none" w:sz="0" w:space="0" w:color="auto"/>
        <w:right w:val="none" w:sz="0" w:space="0" w:color="auto"/>
      </w:divBdr>
    </w:div>
    <w:div w:id="568077634">
      <w:bodyDiv w:val="1"/>
      <w:marLeft w:val="0"/>
      <w:marRight w:val="0"/>
      <w:marTop w:val="0"/>
      <w:marBottom w:val="0"/>
      <w:divBdr>
        <w:top w:val="none" w:sz="0" w:space="0" w:color="auto"/>
        <w:left w:val="none" w:sz="0" w:space="0" w:color="auto"/>
        <w:bottom w:val="none" w:sz="0" w:space="0" w:color="auto"/>
        <w:right w:val="none" w:sz="0" w:space="0" w:color="auto"/>
      </w:divBdr>
    </w:div>
    <w:div w:id="568078575">
      <w:bodyDiv w:val="1"/>
      <w:marLeft w:val="0"/>
      <w:marRight w:val="0"/>
      <w:marTop w:val="0"/>
      <w:marBottom w:val="0"/>
      <w:divBdr>
        <w:top w:val="none" w:sz="0" w:space="0" w:color="auto"/>
        <w:left w:val="none" w:sz="0" w:space="0" w:color="auto"/>
        <w:bottom w:val="none" w:sz="0" w:space="0" w:color="auto"/>
        <w:right w:val="none" w:sz="0" w:space="0" w:color="auto"/>
      </w:divBdr>
    </w:div>
    <w:div w:id="568155145">
      <w:bodyDiv w:val="1"/>
      <w:marLeft w:val="0"/>
      <w:marRight w:val="0"/>
      <w:marTop w:val="0"/>
      <w:marBottom w:val="0"/>
      <w:divBdr>
        <w:top w:val="none" w:sz="0" w:space="0" w:color="auto"/>
        <w:left w:val="none" w:sz="0" w:space="0" w:color="auto"/>
        <w:bottom w:val="none" w:sz="0" w:space="0" w:color="auto"/>
        <w:right w:val="none" w:sz="0" w:space="0" w:color="auto"/>
      </w:divBdr>
    </w:div>
    <w:div w:id="568155493">
      <w:bodyDiv w:val="1"/>
      <w:marLeft w:val="0"/>
      <w:marRight w:val="0"/>
      <w:marTop w:val="0"/>
      <w:marBottom w:val="0"/>
      <w:divBdr>
        <w:top w:val="none" w:sz="0" w:space="0" w:color="auto"/>
        <w:left w:val="none" w:sz="0" w:space="0" w:color="auto"/>
        <w:bottom w:val="none" w:sz="0" w:space="0" w:color="auto"/>
        <w:right w:val="none" w:sz="0" w:space="0" w:color="auto"/>
      </w:divBdr>
    </w:div>
    <w:div w:id="568228483">
      <w:bodyDiv w:val="1"/>
      <w:marLeft w:val="0"/>
      <w:marRight w:val="0"/>
      <w:marTop w:val="0"/>
      <w:marBottom w:val="0"/>
      <w:divBdr>
        <w:top w:val="none" w:sz="0" w:space="0" w:color="auto"/>
        <w:left w:val="none" w:sz="0" w:space="0" w:color="auto"/>
        <w:bottom w:val="none" w:sz="0" w:space="0" w:color="auto"/>
        <w:right w:val="none" w:sz="0" w:space="0" w:color="auto"/>
      </w:divBdr>
    </w:div>
    <w:div w:id="568351045">
      <w:bodyDiv w:val="1"/>
      <w:marLeft w:val="0"/>
      <w:marRight w:val="0"/>
      <w:marTop w:val="0"/>
      <w:marBottom w:val="0"/>
      <w:divBdr>
        <w:top w:val="none" w:sz="0" w:space="0" w:color="auto"/>
        <w:left w:val="none" w:sz="0" w:space="0" w:color="auto"/>
        <w:bottom w:val="none" w:sz="0" w:space="0" w:color="auto"/>
        <w:right w:val="none" w:sz="0" w:space="0" w:color="auto"/>
      </w:divBdr>
    </w:div>
    <w:div w:id="568418799">
      <w:bodyDiv w:val="1"/>
      <w:marLeft w:val="0"/>
      <w:marRight w:val="0"/>
      <w:marTop w:val="0"/>
      <w:marBottom w:val="0"/>
      <w:divBdr>
        <w:top w:val="none" w:sz="0" w:space="0" w:color="auto"/>
        <w:left w:val="none" w:sz="0" w:space="0" w:color="auto"/>
        <w:bottom w:val="none" w:sz="0" w:space="0" w:color="auto"/>
        <w:right w:val="none" w:sz="0" w:space="0" w:color="auto"/>
      </w:divBdr>
    </w:div>
    <w:div w:id="568419842">
      <w:bodyDiv w:val="1"/>
      <w:marLeft w:val="0"/>
      <w:marRight w:val="0"/>
      <w:marTop w:val="0"/>
      <w:marBottom w:val="0"/>
      <w:divBdr>
        <w:top w:val="none" w:sz="0" w:space="0" w:color="auto"/>
        <w:left w:val="none" w:sz="0" w:space="0" w:color="auto"/>
        <w:bottom w:val="none" w:sz="0" w:space="0" w:color="auto"/>
        <w:right w:val="none" w:sz="0" w:space="0" w:color="auto"/>
      </w:divBdr>
    </w:div>
    <w:div w:id="568422454">
      <w:bodyDiv w:val="1"/>
      <w:marLeft w:val="0"/>
      <w:marRight w:val="0"/>
      <w:marTop w:val="0"/>
      <w:marBottom w:val="0"/>
      <w:divBdr>
        <w:top w:val="none" w:sz="0" w:space="0" w:color="auto"/>
        <w:left w:val="none" w:sz="0" w:space="0" w:color="auto"/>
        <w:bottom w:val="none" w:sz="0" w:space="0" w:color="auto"/>
        <w:right w:val="none" w:sz="0" w:space="0" w:color="auto"/>
      </w:divBdr>
    </w:div>
    <w:div w:id="568467947">
      <w:bodyDiv w:val="1"/>
      <w:marLeft w:val="0"/>
      <w:marRight w:val="0"/>
      <w:marTop w:val="0"/>
      <w:marBottom w:val="0"/>
      <w:divBdr>
        <w:top w:val="none" w:sz="0" w:space="0" w:color="auto"/>
        <w:left w:val="none" w:sz="0" w:space="0" w:color="auto"/>
        <w:bottom w:val="none" w:sz="0" w:space="0" w:color="auto"/>
        <w:right w:val="none" w:sz="0" w:space="0" w:color="auto"/>
      </w:divBdr>
    </w:div>
    <w:div w:id="568535828">
      <w:bodyDiv w:val="1"/>
      <w:marLeft w:val="0"/>
      <w:marRight w:val="0"/>
      <w:marTop w:val="0"/>
      <w:marBottom w:val="0"/>
      <w:divBdr>
        <w:top w:val="none" w:sz="0" w:space="0" w:color="auto"/>
        <w:left w:val="none" w:sz="0" w:space="0" w:color="auto"/>
        <w:bottom w:val="none" w:sz="0" w:space="0" w:color="auto"/>
        <w:right w:val="none" w:sz="0" w:space="0" w:color="auto"/>
      </w:divBdr>
    </w:div>
    <w:div w:id="568541306">
      <w:bodyDiv w:val="1"/>
      <w:marLeft w:val="0"/>
      <w:marRight w:val="0"/>
      <w:marTop w:val="0"/>
      <w:marBottom w:val="0"/>
      <w:divBdr>
        <w:top w:val="none" w:sz="0" w:space="0" w:color="auto"/>
        <w:left w:val="none" w:sz="0" w:space="0" w:color="auto"/>
        <w:bottom w:val="none" w:sz="0" w:space="0" w:color="auto"/>
        <w:right w:val="none" w:sz="0" w:space="0" w:color="auto"/>
      </w:divBdr>
    </w:div>
    <w:div w:id="568730323">
      <w:bodyDiv w:val="1"/>
      <w:marLeft w:val="0"/>
      <w:marRight w:val="0"/>
      <w:marTop w:val="0"/>
      <w:marBottom w:val="0"/>
      <w:divBdr>
        <w:top w:val="none" w:sz="0" w:space="0" w:color="auto"/>
        <w:left w:val="none" w:sz="0" w:space="0" w:color="auto"/>
        <w:bottom w:val="none" w:sz="0" w:space="0" w:color="auto"/>
        <w:right w:val="none" w:sz="0" w:space="0" w:color="auto"/>
      </w:divBdr>
    </w:div>
    <w:div w:id="568733501">
      <w:bodyDiv w:val="1"/>
      <w:marLeft w:val="0"/>
      <w:marRight w:val="0"/>
      <w:marTop w:val="0"/>
      <w:marBottom w:val="0"/>
      <w:divBdr>
        <w:top w:val="none" w:sz="0" w:space="0" w:color="auto"/>
        <w:left w:val="none" w:sz="0" w:space="0" w:color="auto"/>
        <w:bottom w:val="none" w:sz="0" w:space="0" w:color="auto"/>
        <w:right w:val="none" w:sz="0" w:space="0" w:color="auto"/>
      </w:divBdr>
    </w:div>
    <w:div w:id="568736742">
      <w:bodyDiv w:val="1"/>
      <w:marLeft w:val="0"/>
      <w:marRight w:val="0"/>
      <w:marTop w:val="0"/>
      <w:marBottom w:val="0"/>
      <w:divBdr>
        <w:top w:val="none" w:sz="0" w:space="0" w:color="auto"/>
        <w:left w:val="none" w:sz="0" w:space="0" w:color="auto"/>
        <w:bottom w:val="none" w:sz="0" w:space="0" w:color="auto"/>
        <w:right w:val="none" w:sz="0" w:space="0" w:color="auto"/>
      </w:divBdr>
    </w:div>
    <w:div w:id="568926243">
      <w:bodyDiv w:val="1"/>
      <w:marLeft w:val="0"/>
      <w:marRight w:val="0"/>
      <w:marTop w:val="0"/>
      <w:marBottom w:val="0"/>
      <w:divBdr>
        <w:top w:val="none" w:sz="0" w:space="0" w:color="auto"/>
        <w:left w:val="none" w:sz="0" w:space="0" w:color="auto"/>
        <w:bottom w:val="none" w:sz="0" w:space="0" w:color="auto"/>
        <w:right w:val="none" w:sz="0" w:space="0" w:color="auto"/>
      </w:divBdr>
    </w:div>
    <w:div w:id="569006252">
      <w:bodyDiv w:val="1"/>
      <w:marLeft w:val="0"/>
      <w:marRight w:val="0"/>
      <w:marTop w:val="0"/>
      <w:marBottom w:val="0"/>
      <w:divBdr>
        <w:top w:val="none" w:sz="0" w:space="0" w:color="auto"/>
        <w:left w:val="none" w:sz="0" w:space="0" w:color="auto"/>
        <w:bottom w:val="none" w:sz="0" w:space="0" w:color="auto"/>
        <w:right w:val="none" w:sz="0" w:space="0" w:color="auto"/>
      </w:divBdr>
    </w:div>
    <w:div w:id="569073930">
      <w:bodyDiv w:val="1"/>
      <w:marLeft w:val="0"/>
      <w:marRight w:val="0"/>
      <w:marTop w:val="0"/>
      <w:marBottom w:val="0"/>
      <w:divBdr>
        <w:top w:val="none" w:sz="0" w:space="0" w:color="auto"/>
        <w:left w:val="none" w:sz="0" w:space="0" w:color="auto"/>
        <w:bottom w:val="none" w:sz="0" w:space="0" w:color="auto"/>
        <w:right w:val="none" w:sz="0" w:space="0" w:color="auto"/>
      </w:divBdr>
    </w:div>
    <w:div w:id="569198852">
      <w:bodyDiv w:val="1"/>
      <w:marLeft w:val="0"/>
      <w:marRight w:val="0"/>
      <w:marTop w:val="0"/>
      <w:marBottom w:val="0"/>
      <w:divBdr>
        <w:top w:val="none" w:sz="0" w:space="0" w:color="auto"/>
        <w:left w:val="none" w:sz="0" w:space="0" w:color="auto"/>
        <w:bottom w:val="none" w:sz="0" w:space="0" w:color="auto"/>
        <w:right w:val="none" w:sz="0" w:space="0" w:color="auto"/>
      </w:divBdr>
    </w:div>
    <w:div w:id="569386551">
      <w:bodyDiv w:val="1"/>
      <w:marLeft w:val="0"/>
      <w:marRight w:val="0"/>
      <w:marTop w:val="0"/>
      <w:marBottom w:val="0"/>
      <w:divBdr>
        <w:top w:val="none" w:sz="0" w:space="0" w:color="auto"/>
        <w:left w:val="none" w:sz="0" w:space="0" w:color="auto"/>
        <w:bottom w:val="none" w:sz="0" w:space="0" w:color="auto"/>
        <w:right w:val="none" w:sz="0" w:space="0" w:color="auto"/>
      </w:divBdr>
    </w:div>
    <w:div w:id="569734753">
      <w:bodyDiv w:val="1"/>
      <w:marLeft w:val="0"/>
      <w:marRight w:val="0"/>
      <w:marTop w:val="0"/>
      <w:marBottom w:val="0"/>
      <w:divBdr>
        <w:top w:val="none" w:sz="0" w:space="0" w:color="auto"/>
        <w:left w:val="none" w:sz="0" w:space="0" w:color="auto"/>
        <w:bottom w:val="none" w:sz="0" w:space="0" w:color="auto"/>
        <w:right w:val="none" w:sz="0" w:space="0" w:color="auto"/>
      </w:divBdr>
    </w:div>
    <w:div w:id="569776703">
      <w:bodyDiv w:val="1"/>
      <w:marLeft w:val="0"/>
      <w:marRight w:val="0"/>
      <w:marTop w:val="0"/>
      <w:marBottom w:val="0"/>
      <w:divBdr>
        <w:top w:val="none" w:sz="0" w:space="0" w:color="auto"/>
        <w:left w:val="none" w:sz="0" w:space="0" w:color="auto"/>
        <w:bottom w:val="none" w:sz="0" w:space="0" w:color="auto"/>
        <w:right w:val="none" w:sz="0" w:space="0" w:color="auto"/>
      </w:divBdr>
    </w:div>
    <w:div w:id="569966887">
      <w:bodyDiv w:val="1"/>
      <w:marLeft w:val="0"/>
      <w:marRight w:val="0"/>
      <w:marTop w:val="0"/>
      <w:marBottom w:val="0"/>
      <w:divBdr>
        <w:top w:val="none" w:sz="0" w:space="0" w:color="auto"/>
        <w:left w:val="none" w:sz="0" w:space="0" w:color="auto"/>
        <w:bottom w:val="none" w:sz="0" w:space="0" w:color="auto"/>
        <w:right w:val="none" w:sz="0" w:space="0" w:color="auto"/>
      </w:divBdr>
    </w:div>
    <w:div w:id="570114295">
      <w:bodyDiv w:val="1"/>
      <w:marLeft w:val="0"/>
      <w:marRight w:val="0"/>
      <w:marTop w:val="0"/>
      <w:marBottom w:val="0"/>
      <w:divBdr>
        <w:top w:val="none" w:sz="0" w:space="0" w:color="auto"/>
        <w:left w:val="none" w:sz="0" w:space="0" w:color="auto"/>
        <w:bottom w:val="none" w:sz="0" w:space="0" w:color="auto"/>
        <w:right w:val="none" w:sz="0" w:space="0" w:color="auto"/>
      </w:divBdr>
    </w:div>
    <w:div w:id="570191229">
      <w:bodyDiv w:val="1"/>
      <w:marLeft w:val="0"/>
      <w:marRight w:val="0"/>
      <w:marTop w:val="0"/>
      <w:marBottom w:val="0"/>
      <w:divBdr>
        <w:top w:val="none" w:sz="0" w:space="0" w:color="auto"/>
        <w:left w:val="none" w:sz="0" w:space="0" w:color="auto"/>
        <w:bottom w:val="none" w:sz="0" w:space="0" w:color="auto"/>
        <w:right w:val="none" w:sz="0" w:space="0" w:color="auto"/>
      </w:divBdr>
    </w:div>
    <w:div w:id="570311000">
      <w:bodyDiv w:val="1"/>
      <w:marLeft w:val="0"/>
      <w:marRight w:val="0"/>
      <w:marTop w:val="0"/>
      <w:marBottom w:val="0"/>
      <w:divBdr>
        <w:top w:val="none" w:sz="0" w:space="0" w:color="auto"/>
        <w:left w:val="none" w:sz="0" w:space="0" w:color="auto"/>
        <w:bottom w:val="none" w:sz="0" w:space="0" w:color="auto"/>
        <w:right w:val="none" w:sz="0" w:space="0" w:color="auto"/>
      </w:divBdr>
    </w:div>
    <w:div w:id="570314397">
      <w:bodyDiv w:val="1"/>
      <w:marLeft w:val="0"/>
      <w:marRight w:val="0"/>
      <w:marTop w:val="0"/>
      <w:marBottom w:val="0"/>
      <w:divBdr>
        <w:top w:val="none" w:sz="0" w:space="0" w:color="auto"/>
        <w:left w:val="none" w:sz="0" w:space="0" w:color="auto"/>
        <w:bottom w:val="none" w:sz="0" w:space="0" w:color="auto"/>
        <w:right w:val="none" w:sz="0" w:space="0" w:color="auto"/>
      </w:divBdr>
    </w:div>
    <w:div w:id="570389940">
      <w:bodyDiv w:val="1"/>
      <w:marLeft w:val="0"/>
      <w:marRight w:val="0"/>
      <w:marTop w:val="0"/>
      <w:marBottom w:val="0"/>
      <w:divBdr>
        <w:top w:val="none" w:sz="0" w:space="0" w:color="auto"/>
        <w:left w:val="none" w:sz="0" w:space="0" w:color="auto"/>
        <w:bottom w:val="none" w:sz="0" w:space="0" w:color="auto"/>
        <w:right w:val="none" w:sz="0" w:space="0" w:color="auto"/>
      </w:divBdr>
    </w:div>
    <w:div w:id="570510162">
      <w:bodyDiv w:val="1"/>
      <w:marLeft w:val="0"/>
      <w:marRight w:val="0"/>
      <w:marTop w:val="0"/>
      <w:marBottom w:val="0"/>
      <w:divBdr>
        <w:top w:val="none" w:sz="0" w:space="0" w:color="auto"/>
        <w:left w:val="none" w:sz="0" w:space="0" w:color="auto"/>
        <w:bottom w:val="none" w:sz="0" w:space="0" w:color="auto"/>
        <w:right w:val="none" w:sz="0" w:space="0" w:color="auto"/>
      </w:divBdr>
    </w:div>
    <w:div w:id="570578324">
      <w:bodyDiv w:val="1"/>
      <w:marLeft w:val="0"/>
      <w:marRight w:val="0"/>
      <w:marTop w:val="0"/>
      <w:marBottom w:val="0"/>
      <w:divBdr>
        <w:top w:val="none" w:sz="0" w:space="0" w:color="auto"/>
        <w:left w:val="none" w:sz="0" w:space="0" w:color="auto"/>
        <w:bottom w:val="none" w:sz="0" w:space="0" w:color="auto"/>
        <w:right w:val="none" w:sz="0" w:space="0" w:color="auto"/>
      </w:divBdr>
    </w:div>
    <w:div w:id="570581178">
      <w:bodyDiv w:val="1"/>
      <w:marLeft w:val="0"/>
      <w:marRight w:val="0"/>
      <w:marTop w:val="0"/>
      <w:marBottom w:val="0"/>
      <w:divBdr>
        <w:top w:val="none" w:sz="0" w:space="0" w:color="auto"/>
        <w:left w:val="none" w:sz="0" w:space="0" w:color="auto"/>
        <w:bottom w:val="none" w:sz="0" w:space="0" w:color="auto"/>
        <w:right w:val="none" w:sz="0" w:space="0" w:color="auto"/>
      </w:divBdr>
    </w:div>
    <w:div w:id="570653899">
      <w:bodyDiv w:val="1"/>
      <w:marLeft w:val="0"/>
      <w:marRight w:val="0"/>
      <w:marTop w:val="0"/>
      <w:marBottom w:val="0"/>
      <w:divBdr>
        <w:top w:val="none" w:sz="0" w:space="0" w:color="auto"/>
        <w:left w:val="none" w:sz="0" w:space="0" w:color="auto"/>
        <w:bottom w:val="none" w:sz="0" w:space="0" w:color="auto"/>
        <w:right w:val="none" w:sz="0" w:space="0" w:color="auto"/>
      </w:divBdr>
    </w:div>
    <w:div w:id="570770282">
      <w:bodyDiv w:val="1"/>
      <w:marLeft w:val="0"/>
      <w:marRight w:val="0"/>
      <w:marTop w:val="0"/>
      <w:marBottom w:val="0"/>
      <w:divBdr>
        <w:top w:val="none" w:sz="0" w:space="0" w:color="auto"/>
        <w:left w:val="none" w:sz="0" w:space="0" w:color="auto"/>
        <w:bottom w:val="none" w:sz="0" w:space="0" w:color="auto"/>
        <w:right w:val="none" w:sz="0" w:space="0" w:color="auto"/>
      </w:divBdr>
    </w:div>
    <w:div w:id="570778831">
      <w:bodyDiv w:val="1"/>
      <w:marLeft w:val="0"/>
      <w:marRight w:val="0"/>
      <w:marTop w:val="0"/>
      <w:marBottom w:val="0"/>
      <w:divBdr>
        <w:top w:val="none" w:sz="0" w:space="0" w:color="auto"/>
        <w:left w:val="none" w:sz="0" w:space="0" w:color="auto"/>
        <w:bottom w:val="none" w:sz="0" w:space="0" w:color="auto"/>
        <w:right w:val="none" w:sz="0" w:space="0" w:color="auto"/>
      </w:divBdr>
    </w:div>
    <w:div w:id="571041871">
      <w:bodyDiv w:val="1"/>
      <w:marLeft w:val="0"/>
      <w:marRight w:val="0"/>
      <w:marTop w:val="0"/>
      <w:marBottom w:val="0"/>
      <w:divBdr>
        <w:top w:val="none" w:sz="0" w:space="0" w:color="auto"/>
        <w:left w:val="none" w:sz="0" w:space="0" w:color="auto"/>
        <w:bottom w:val="none" w:sz="0" w:space="0" w:color="auto"/>
        <w:right w:val="none" w:sz="0" w:space="0" w:color="auto"/>
      </w:divBdr>
    </w:div>
    <w:div w:id="571083650">
      <w:bodyDiv w:val="1"/>
      <w:marLeft w:val="0"/>
      <w:marRight w:val="0"/>
      <w:marTop w:val="0"/>
      <w:marBottom w:val="0"/>
      <w:divBdr>
        <w:top w:val="none" w:sz="0" w:space="0" w:color="auto"/>
        <w:left w:val="none" w:sz="0" w:space="0" w:color="auto"/>
        <w:bottom w:val="none" w:sz="0" w:space="0" w:color="auto"/>
        <w:right w:val="none" w:sz="0" w:space="0" w:color="auto"/>
      </w:divBdr>
    </w:div>
    <w:div w:id="571160443">
      <w:bodyDiv w:val="1"/>
      <w:marLeft w:val="0"/>
      <w:marRight w:val="0"/>
      <w:marTop w:val="0"/>
      <w:marBottom w:val="0"/>
      <w:divBdr>
        <w:top w:val="none" w:sz="0" w:space="0" w:color="auto"/>
        <w:left w:val="none" w:sz="0" w:space="0" w:color="auto"/>
        <w:bottom w:val="none" w:sz="0" w:space="0" w:color="auto"/>
        <w:right w:val="none" w:sz="0" w:space="0" w:color="auto"/>
      </w:divBdr>
    </w:div>
    <w:div w:id="571163987">
      <w:bodyDiv w:val="1"/>
      <w:marLeft w:val="0"/>
      <w:marRight w:val="0"/>
      <w:marTop w:val="0"/>
      <w:marBottom w:val="0"/>
      <w:divBdr>
        <w:top w:val="none" w:sz="0" w:space="0" w:color="auto"/>
        <w:left w:val="none" w:sz="0" w:space="0" w:color="auto"/>
        <w:bottom w:val="none" w:sz="0" w:space="0" w:color="auto"/>
        <w:right w:val="none" w:sz="0" w:space="0" w:color="auto"/>
      </w:divBdr>
    </w:div>
    <w:div w:id="571278891">
      <w:bodyDiv w:val="1"/>
      <w:marLeft w:val="0"/>
      <w:marRight w:val="0"/>
      <w:marTop w:val="0"/>
      <w:marBottom w:val="0"/>
      <w:divBdr>
        <w:top w:val="none" w:sz="0" w:space="0" w:color="auto"/>
        <w:left w:val="none" w:sz="0" w:space="0" w:color="auto"/>
        <w:bottom w:val="none" w:sz="0" w:space="0" w:color="auto"/>
        <w:right w:val="none" w:sz="0" w:space="0" w:color="auto"/>
      </w:divBdr>
    </w:div>
    <w:div w:id="571357441">
      <w:bodyDiv w:val="1"/>
      <w:marLeft w:val="0"/>
      <w:marRight w:val="0"/>
      <w:marTop w:val="0"/>
      <w:marBottom w:val="0"/>
      <w:divBdr>
        <w:top w:val="none" w:sz="0" w:space="0" w:color="auto"/>
        <w:left w:val="none" w:sz="0" w:space="0" w:color="auto"/>
        <w:bottom w:val="none" w:sz="0" w:space="0" w:color="auto"/>
        <w:right w:val="none" w:sz="0" w:space="0" w:color="auto"/>
      </w:divBdr>
    </w:div>
    <w:div w:id="571425430">
      <w:bodyDiv w:val="1"/>
      <w:marLeft w:val="0"/>
      <w:marRight w:val="0"/>
      <w:marTop w:val="0"/>
      <w:marBottom w:val="0"/>
      <w:divBdr>
        <w:top w:val="none" w:sz="0" w:space="0" w:color="auto"/>
        <w:left w:val="none" w:sz="0" w:space="0" w:color="auto"/>
        <w:bottom w:val="none" w:sz="0" w:space="0" w:color="auto"/>
        <w:right w:val="none" w:sz="0" w:space="0" w:color="auto"/>
      </w:divBdr>
    </w:div>
    <w:div w:id="571428319">
      <w:bodyDiv w:val="1"/>
      <w:marLeft w:val="0"/>
      <w:marRight w:val="0"/>
      <w:marTop w:val="0"/>
      <w:marBottom w:val="0"/>
      <w:divBdr>
        <w:top w:val="none" w:sz="0" w:space="0" w:color="auto"/>
        <w:left w:val="none" w:sz="0" w:space="0" w:color="auto"/>
        <w:bottom w:val="none" w:sz="0" w:space="0" w:color="auto"/>
        <w:right w:val="none" w:sz="0" w:space="0" w:color="auto"/>
      </w:divBdr>
    </w:div>
    <w:div w:id="571431663">
      <w:bodyDiv w:val="1"/>
      <w:marLeft w:val="0"/>
      <w:marRight w:val="0"/>
      <w:marTop w:val="0"/>
      <w:marBottom w:val="0"/>
      <w:divBdr>
        <w:top w:val="none" w:sz="0" w:space="0" w:color="auto"/>
        <w:left w:val="none" w:sz="0" w:space="0" w:color="auto"/>
        <w:bottom w:val="none" w:sz="0" w:space="0" w:color="auto"/>
        <w:right w:val="none" w:sz="0" w:space="0" w:color="auto"/>
      </w:divBdr>
    </w:div>
    <w:div w:id="571697470">
      <w:bodyDiv w:val="1"/>
      <w:marLeft w:val="0"/>
      <w:marRight w:val="0"/>
      <w:marTop w:val="0"/>
      <w:marBottom w:val="0"/>
      <w:divBdr>
        <w:top w:val="none" w:sz="0" w:space="0" w:color="auto"/>
        <w:left w:val="none" w:sz="0" w:space="0" w:color="auto"/>
        <w:bottom w:val="none" w:sz="0" w:space="0" w:color="auto"/>
        <w:right w:val="none" w:sz="0" w:space="0" w:color="auto"/>
      </w:divBdr>
    </w:div>
    <w:div w:id="571742158">
      <w:bodyDiv w:val="1"/>
      <w:marLeft w:val="0"/>
      <w:marRight w:val="0"/>
      <w:marTop w:val="0"/>
      <w:marBottom w:val="0"/>
      <w:divBdr>
        <w:top w:val="none" w:sz="0" w:space="0" w:color="auto"/>
        <w:left w:val="none" w:sz="0" w:space="0" w:color="auto"/>
        <w:bottom w:val="none" w:sz="0" w:space="0" w:color="auto"/>
        <w:right w:val="none" w:sz="0" w:space="0" w:color="auto"/>
      </w:divBdr>
    </w:div>
    <w:div w:id="571812929">
      <w:bodyDiv w:val="1"/>
      <w:marLeft w:val="0"/>
      <w:marRight w:val="0"/>
      <w:marTop w:val="0"/>
      <w:marBottom w:val="0"/>
      <w:divBdr>
        <w:top w:val="none" w:sz="0" w:space="0" w:color="auto"/>
        <w:left w:val="none" w:sz="0" w:space="0" w:color="auto"/>
        <w:bottom w:val="none" w:sz="0" w:space="0" w:color="auto"/>
        <w:right w:val="none" w:sz="0" w:space="0" w:color="auto"/>
      </w:divBdr>
    </w:div>
    <w:div w:id="571818815">
      <w:bodyDiv w:val="1"/>
      <w:marLeft w:val="0"/>
      <w:marRight w:val="0"/>
      <w:marTop w:val="0"/>
      <w:marBottom w:val="0"/>
      <w:divBdr>
        <w:top w:val="none" w:sz="0" w:space="0" w:color="auto"/>
        <w:left w:val="none" w:sz="0" w:space="0" w:color="auto"/>
        <w:bottom w:val="none" w:sz="0" w:space="0" w:color="auto"/>
        <w:right w:val="none" w:sz="0" w:space="0" w:color="auto"/>
      </w:divBdr>
    </w:div>
    <w:div w:id="571892536">
      <w:bodyDiv w:val="1"/>
      <w:marLeft w:val="0"/>
      <w:marRight w:val="0"/>
      <w:marTop w:val="0"/>
      <w:marBottom w:val="0"/>
      <w:divBdr>
        <w:top w:val="none" w:sz="0" w:space="0" w:color="auto"/>
        <w:left w:val="none" w:sz="0" w:space="0" w:color="auto"/>
        <w:bottom w:val="none" w:sz="0" w:space="0" w:color="auto"/>
        <w:right w:val="none" w:sz="0" w:space="0" w:color="auto"/>
      </w:divBdr>
    </w:div>
    <w:div w:id="572007377">
      <w:bodyDiv w:val="1"/>
      <w:marLeft w:val="0"/>
      <w:marRight w:val="0"/>
      <w:marTop w:val="0"/>
      <w:marBottom w:val="0"/>
      <w:divBdr>
        <w:top w:val="none" w:sz="0" w:space="0" w:color="auto"/>
        <w:left w:val="none" w:sz="0" w:space="0" w:color="auto"/>
        <w:bottom w:val="none" w:sz="0" w:space="0" w:color="auto"/>
        <w:right w:val="none" w:sz="0" w:space="0" w:color="auto"/>
      </w:divBdr>
    </w:div>
    <w:div w:id="572082888">
      <w:bodyDiv w:val="1"/>
      <w:marLeft w:val="0"/>
      <w:marRight w:val="0"/>
      <w:marTop w:val="0"/>
      <w:marBottom w:val="0"/>
      <w:divBdr>
        <w:top w:val="none" w:sz="0" w:space="0" w:color="auto"/>
        <w:left w:val="none" w:sz="0" w:space="0" w:color="auto"/>
        <w:bottom w:val="none" w:sz="0" w:space="0" w:color="auto"/>
        <w:right w:val="none" w:sz="0" w:space="0" w:color="auto"/>
      </w:divBdr>
    </w:div>
    <w:div w:id="572200431">
      <w:bodyDiv w:val="1"/>
      <w:marLeft w:val="0"/>
      <w:marRight w:val="0"/>
      <w:marTop w:val="0"/>
      <w:marBottom w:val="0"/>
      <w:divBdr>
        <w:top w:val="none" w:sz="0" w:space="0" w:color="auto"/>
        <w:left w:val="none" w:sz="0" w:space="0" w:color="auto"/>
        <w:bottom w:val="none" w:sz="0" w:space="0" w:color="auto"/>
        <w:right w:val="none" w:sz="0" w:space="0" w:color="auto"/>
      </w:divBdr>
    </w:div>
    <w:div w:id="572204717">
      <w:bodyDiv w:val="1"/>
      <w:marLeft w:val="0"/>
      <w:marRight w:val="0"/>
      <w:marTop w:val="0"/>
      <w:marBottom w:val="0"/>
      <w:divBdr>
        <w:top w:val="none" w:sz="0" w:space="0" w:color="auto"/>
        <w:left w:val="none" w:sz="0" w:space="0" w:color="auto"/>
        <w:bottom w:val="none" w:sz="0" w:space="0" w:color="auto"/>
        <w:right w:val="none" w:sz="0" w:space="0" w:color="auto"/>
      </w:divBdr>
    </w:div>
    <w:div w:id="572205005">
      <w:bodyDiv w:val="1"/>
      <w:marLeft w:val="0"/>
      <w:marRight w:val="0"/>
      <w:marTop w:val="0"/>
      <w:marBottom w:val="0"/>
      <w:divBdr>
        <w:top w:val="none" w:sz="0" w:space="0" w:color="auto"/>
        <w:left w:val="none" w:sz="0" w:space="0" w:color="auto"/>
        <w:bottom w:val="none" w:sz="0" w:space="0" w:color="auto"/>
        <w:right w:val="none" w:sz="0" w:space="0" w:color="auto"/>
      </w:divBdr>
    </w:div>
    <w:div w:id="572277470">
      <w:bodyDiv w:val="1"/>
      <w:marLeft w:val="0"/>
      <w:marRight w:val="0"/>
      <w:marTop w:val="0"/>
      <w:marBottom w:val="0"/>
      <w:divBdr>
        <w:top w:val="none" w:sz="0" w:space="0" w:color="auto"/>
        <w:left w:val="none" w:sz="0" w:space="0" w:color="auto"/>
        <w:bottom w:val="none" w:sz="0" w:space="0" w:color="auto"/>
        <w:right w:val="none" w:sz="0" w:space="0" w:color="auto"/>
      </w:divBdr>
    </w:div>
    <w:div w:id="572397536">
      <w:bodyDiv w:val="1"/>
      <w:marLeft w:val="0"/>
      <w:marRight w:val="0"/>
      <w:marTop w:val="0"/>
      <w:marBottom w:val="0"/>
      <w:divBdr>
        <w:top w:val="none" w:sz="0" w:space="0" w:color="auto"/>
        <w:left w:val="none" w:sz="0" w:space="0" w:color="auto"/>
        <w:bottom w:val="none" w:sz="0" w:space="0" w:color="auto"/>
        <w:right w:val="none" w:sz="0" w:space="0" w:color="auto"/>
      </w:divBdr>
      <w:divsChild>
        <w:div w:id="8679257">
          <w:marLeft w:val="0"/>
          <w:marRight w:val="0"/>
          <w:marTop w:val="0"/>
          <w:marBottom w:val="0"/>
          <w:divBdr>
            <w:top w:val="none" w:sz="0" w:space="0" w:color="auto"/>
            <w:left w:val="none" w:sz="0" w:space="0" w:color="auto"/>
            <w:bottom w:val="none" w:sz="0" w:space="0" w:color="auto"/>
            <w:right w:val="none" w:sz="0" w:space="0" w:color="auto"/>
          </w:divBdr>
        </w:div>
        <w:div w:id="23484335">
          <w:marLeft w:val="0"/>
          <w:marRight w:val="0"/>
          <w:marTop w:val="0"/>
          <w:marBottom w:val="0"/>
          <w:divBdr>
            <w:top w:val="none" w:sz="0" w:space="0" w:color="auto"/>
            <w:left w:val="none" w:sz="0" w:space="0" w:color="auto"/>
            <w:bottom w:val="none" w:sz="0" w:space="0" w:color="auto"/>
            <w:right w:val="none" w:sz="0" w:space="0" w:color="auto"/>
          </w:divBdr>
        </w:div>
        <w:div w:id="50929671">
          <w:marLeft w:val="0"/>
          <w:marRight w:val="0"/>
          <w:marTop w:val="0"/>
          <w:marBottom w:val="0"/>
          <w:divBdr>
            <w:top w:val="none" w:sz="0" w:space="0" w:color="auto"/>
            <w:left w:val="none" w:sz="0" w:space="0" w:color="auto"/>
            <w:bottom w:val="none" w:sz="0" w:space="0" w:color="auto"/>
            <w:right w:val="none" w:sz="0" w:space="0" w:color="auto"/>
          </w:divBdr>
        </w:div>
        <w:div w:id="60715793">
          <w:marLeft w:val="0"/>
          <w:marRight w:val="0"/>
          <w:marTop w:val="0"/>
          <w:marBottom w:val="0"/>
          <w:divBdr>
            <w:top w:val="none" w:sz="0" w:space="0" w:color="auto"/>
            <w:left w:val="none" w:sz="0" w:space="0" w:color="auto"/>
            <w:bottom w:val="none" w:sz="0" w:space="0" w:color="auto"/>
            <w:right w:val="none" w:sz="0" w:space="0" w:color="auto"/>
          </w:divBdr>
        </w:div>
        <w:div w:id="79179675">
          <w:marLeft w:val="0"/>
          <w:marRight w:val="0"/>
          <w:marTop w:val="0"/>
          <w:marBottom w:val="0"/>
          <w:divBdr>
            <w:top w:val="none" w:sz="0" w:space="0" w:color="auto"/>
            <w:left w:val="none" w:sz="0" w:space="0" w:color="auto"/>
            <w:bottom w:val="none" w:sz="0" w:space="0" w:color="auto"/>
            <w:right w:val="none" w:sz="0" w:space="0" w:color="auto"/>
          </w:divBdr>
        </w:div>
        <w:div w:id="82074926">
          <w:marLeft w:val="0"/>
          <w:marRight w:val="0"/>
          <w:marTop w:val="0"/>
          <w:marBottom w:val="0"/>
          <w:divBdr>
            <w:top w:val="none" w:sz="0" w:space="0" w:color="auto"/>
            <w:left w:val="none" w:sz="0" w:space="0" w:color="auto"/>
            <w:bottom w:val="none" w:sz="0" w:space="0" w:color="auto"/>
            <w:right w:val="none" w:sz="0" w:space="0" w:color="auto"/>
          </w:divBdr>
        </w:div>
        <w:div w:id="94786178">
          <w:marLeft w:val="0"/>
          <w:marRight w:val="0"/>
          <w:marTop w:val="0"/>
          <w:marBottom w:val="0"/>
          <w:divBdr>
            <w:top w:val="none" w:sz="0" w:space="0" w:color="auto"/>
            <w:left w:val="none" w:sz="0" w:space="0" w:color="auto"/>
            <w:bottom w:val="none" w:sz="0" w:space="0" w:color="auto"/>
            <w:right w:val="none" w:sz="0" w:space="0" w:color="auto"/>
          </w:divBdr>
        </w:div>
        <w:div w:id="103771589">
          <w:marLeft w:val="0"/>
          <w:marRight w:val="0"/>
          <w:marTop w:val="0"/>
          <w:marBottom w:val="0"/>
          <w:divBdr>
            <w:top w:val="none" w:sz="0" w:space="0" w:color="auto"/>
            <w:left w:val="none" w:sz="0" w:space="0" w:color="auto"/>
            <w:bottom w:val="none" w:sz="0" w:space="0" w:color="auto"/>
            <w:right w:val="none" w:sz="0" w:space="0" w:color="auto"/>
          </w:divBdr>
        </w:div>
        <w:div w:id="110519439">
          <w:marLeft w:val="0"/>
          <w:marRight w:val="0"/>
          <w:marTop w:val="0"/>
          <w:marBottom w:val="0"/>
          <w:divBdr>
            <w:top w:val="none" w:sz="0" w:space="0" w:color="auto"/>
            <w:left w:val="none" w:sz="0" w:space="0" w:color="auto"/>
            <w:bottom w:val="none" w:sz="0" w:space="0" w:color="auto"/>
            <w:right w:val="none" w:sz="0" w:space="0" w:color="auto"/>
          </w:divBdr>
        </w:div>
        <w:div w:id="116338833">
          <w:marLeft w:val="0"/>
          <w:marRight w:val="0"/>
          <w:marTop w:val="0"/>
          <w:marBottom w:val="0"/>
          <w:divBdr>
            <w:top w:val="none" w:sz="0" w:space="0" w:color="auto"/>
            <w:left w:val="none" w:sz="0" w:space="0" w:color="auto"/>
            <w:bottom w:val="none" w:sz="0" w:space="0" w:color="auto"/>
            <w:right w:val="none" w:sz="0" w:space="0" w:color="auto"/>
          </w:divBdr>
        </w:div>
        <w:div w:id="133181428">
          <w:marLeft w:val="0"/>
          <w:marRight w:val="0"/>
          <w:marTop w:val="0"/>
          <w:marBottom w:val="0"/>
          <w:divBdr>
            <w:top w:val="none" w:sz="0" w:space="0" w:color="auto"/>
            <w:left w:val="none" w:sz="0" w:space="0" w:color="auto"/>
            <w:bottom w:val="none" w:sz="0" w:space="0" w:color="auto"/>
            <w:right w:val="none" w:sz="0" w:space="0" w:color="auto"/>
          </w:divBdr>
        </w:div>
        <w:div w:id="133451519">
          <w:marLeft w:val="0"/>
          <w:marRight w:val="0"/>
          <w:marTop w:val="0"/>
          <w:marBottom w:val="0"/>
          <w:divBdr>
            <w:top w:val="none" w:sz="0" w:space="0" w:color="auto"/>
            <w:left w:val="none" w:sz="0" w:space="0" w:color="auto"/>
            <w:bottom w:val="none" w:sz="0" w:space="0" w:color="auto"/>
            <w:right w:val="none" w:sz="0" w:space="0" w:color="auto"/>
          </w:divBdr>
        </w:div>
        <w:div w:id="134177133">
          <w:marLeft w:val="0"/>
          <w:marRight w:val="0"/>
          <w:marTop w:val="0"/>
          <w:marBottom w:val="0"/>
          <w:divBdr>
            <w:top w:val="none" w:sz="0" w:space="0" w:color="auto"/>
            <w:left w:val="none" w:sz="0" w:space="0" w:color="auto"/>
            <w:bottom w:val="none" w:sz="0" w:space="0" w:color="auto"/>
            <w:right w:val="none" w:sz="0" w:space="0" w:color="auto"/>
          </w:divBdr>
        </w:div>
        <w:div w:id="154803603">
          <w:marLeft w:val="0"/>
          <w:marRight w:val="0"/>
          <w:marTop w:val="0"/>
          <w:marBottom w:val="0"/>
          <w:divBdr>
            <w:top w:val="none" w:sz="0" w:space="0" w:color="auto"/>
            <w:left w:val="none" w:sz="0" w:space="0" w:color="auto"/>
            <w:bottom w:val="none" w:sz="0" w:space="0" w:color="auto"/>
            <w:right w:val="none" w:sz="0" w:space="0" w:color="auto"/>
          </w:divBdr>
        </w:div>
        <w:div w:id="168494627">
          <w:marLeft w:val="0"/>
          <w:marRight w:val="0"/>
          <w:marTop w:val="0"/>
          <w:marBottom w:val="0"/>
          <w:divBdr>
            <w:top w:val="none" w:sz="0" w:space="0" w:color="auto"/>
            <w:left w:val="none" w:sz="0" w:space="0" w:color="auto"/>
            <w:bottom w:val="none" w:sz="0" w:space="0" w:color="auto"/>
            <w:right w:val="none" w:sz="0" w:space="0" w:color="auto"/>
          </w:divBdr>
        </w:div>
        <w:div w:id="184025972">
          <w:marLeft w:val="0"/>
          <w:marRight w:val="0"/>
          <w:marTop w:val="0"/>
          <w:marBottom w:val="0"/>
          <w:divBdr>
            <w:top w:val="none" w:sz="0" w:space="0" w:color="auto"/>
            <w:left w:val="none" w:sz="0" w:space="0" w:color="auto"/>
            <w:bottom w:val="none" w:sz="0" w:space="0" w:color="auto"/>
            <w:right w:val="none" w:sz="0" w:space="0" w:color="auto"/>
          </w:divBdr>
        </w:div>
        <w:div w:id="201480938">
          <w:marLeft w:val="0"/>
          <w:marRight w:val="0"/>
          <w:marTop w:val="0"/>
          <w:marBottom w:val="0"/>
          <w:divBdr>
            <w:top w:val="none" w:sz="0" w:space="0" w:color="auto"/>
            <w:left w:val="none" w:sz="0" w:space="0" w:color="auto"/>
            <w:bottom w:val="none" w:sz="0" w:space="0" w:color="auto"/>
            <w:right w:val="none" w:sz="0" w:space="0" w:color="auto"/>
          </w:divBdr>
        </w:div>
        <w:div w:id="210269794">
          <w:marLeft w:val="0"/>
          <w:marRight w:val="0"/>
          <w:marTop w:val="0"/>
          <w:marBottom w:val="0"/>
          <w:divBdr>
            <w:top w:val="none" w:sz="0" w:space="0" w:color="auto"/>
            <w:left w:val="none" w:sz="0" w:space="0" w:color="auto"/>
            <w:bottom w:val="none" w:sz="0" w:space="0" w:color="auto"/>
            <w:right w:val="none" w:sz="0" w:space="0" w:color="auto"/>
          </w:divBdr>
        </w:div>
        <w:div w:id="233400030">
          <w:marLeft w:val="0"/>
          <w:marRight w:val="0"/>
          <w:marTop w:val="0"/>
          <w:marBottom w:val="0"/>
          <w:divBdr>
            <w:top w:val="none" w:sz="0" w:space="0" w:color="auto"/>
            <w:left w:val="none" w:sz="0" w:space="0" w:color="auto"/>
            <w:bottom w:val="none" w:sz="0" w:space="0" w:color="auto"/>
            <w:right w:val="none" w:sz="0" w:space="0" w:color="auto"/>
          </w:divBdr>
        </w:div>
        <w:div w:id="240414296">
          <w:marLeft w:val="0"/>
          <w:marRight w:val="0"/>
          <w:marTop w:val="0"/>
          <w:marBottom w:val="0"/>
          <w:divBdr>
            <w:top w:val="none" w:sz="0" w:space="0" w:color="auto"/>
            <w:left w:val="none" w:sz="0" w:space="0" w:color="auto"/>
            <w:bottom w:val="none" w:sz="0" w:space="0" w:color="auto"/>
            <w:right w:val="none" w:sz="0" w:space="0" w:color="auto"/>
          </w:divBdr>
        </w:div>
        <w:div w:id="251283749">
          <w:marLeft w:val="0"/>
          <w:marRight w:val="0"/>
          <w:marTop w:val="0"/>
          <w:marBottom w:val="0"/>
          <w:divBdr>
            <w:top w:val="none" w:sz="0" w:space="0" w:color="auto"/>
            <w:left w:val="none" w:sz="0" w:space="0" w:color="auto"/>
            <w:bottom w:val="none" w:sz="0" w:space="0" w:color="auto"/>
            <w:right w:val="none" w:sz="0" w:space="0" w:color="auto"/>
          </w:divBdr>
        </w:div>
        <w:div w:id="304437157">
          <w:marLeft w:val="0"/>
          <w:marRight w:val="0"/>
          <w:marTop w:val="0"/>
          <w:marBottom w:val="0"/>
          <w:divBdr>
            <w:top w:val="none" w:sz="0" w:space="0" w:color="auto"/>
            <w:left w:val="none" w:sz="0" w:space="0" w:color="auto"/>
            <w:bottom w:val="none" w:sz="0" w:space="0" w:color="auto"/>
            <w:right w:val="none" w:sz="0" w:space="0" w:color="auto"/>
          </w:divBdr>
        </w:div>
        <w:div w:id="307710172">
          <w:marLeft w:val="0"/>
          <w:marRight w:val="0"/>
          <w:marTop w:val="0"/>
          <w:marBottom w:val="0"/>
          <w:divBdr>
            <w:top w:val="none" w:sz="0" w:space="0" w:color="auto"/>
            <w:left w:val="none" w:sz="0" w:space="0" w:color="auto"/>
            <w:bottom w:val="none" w:sz="0" w:space="0" w:color="auto"/>
            <w:right w:val="none" w:sz="0" w:space="0" w:color="auto"/>
          </w:divBdr>
        </w:div>
        <w:div w:id="310063766">
          <w:marLeft w:val="0"/>
          <w:marRight w:val="0"/>
          <w:marTop w:val="0"/>
          <w:marBottom w:val="0"/>
          <w:divBdr>
            <w:top w:val="none" w:sz="0" w:space="0" w:color="auto"/>
            <w:left w:val="none" w:sz="0" w:space="0" w:color="auto"/>
            <w:bottom w:val="none" w:sz="0" w:space="0" w:color="auto"/>
            <w:right w:val="none" w:sz="0" w:space="0" w:color="auto"/>
          </w:divBdr>
        </w:div>
        <w:div w:id="327052487">
          <w:marLeft w:val="0"/>
          <w:marRight w:val="0"/>
          <w:marTop w:val="0"/>
          <w:marBottom w:val="0"/>
          <w:divBdr>
            <w:top w:val="none" w:sz="0" w:space="0" w:color="auto"/>
            <w:left w:val="none" w:sz="0" w:space="0" w:color="auto"/>
            <w:bottom w:val="none" w:sz="0" w:space="0" w:color="auto"/>
            <w:right w:val="none" w:sz="0" w:space="0" w:color="auto"/>
          </w:divBdr>
        </w:div>
        <w:div w:id="336884205">
          <w:marLeft w:val="0"/>
          <w:marRight w:val="0"/>
          <w:marTop w:val="0"/>
          <w:marBottom w:val="0"/>
          <w:divBdr>
            <w:top w:val="none" w:sz="0" w:space="0" w:color="auto"/>
            <w:left w:val="none" w:sz="0" w:space="0" w:color="auto"/>
            <w:bottom w:val="none" w:sz="0" w:space="0" w:color="auto"/>
            <w:right w:val="none" w:sz="0" w:space="0" w:color="auto"/>
          </w:divBdr>
        </w:div>
        <w:div w:id="375200931">
          <w:marLeft w:val="0"/>
          <w:marRight w:val="0"/>
          <w:marTop w:val="0"/>
          <w:marBottom w:val="0"/>
          <w:divBdr>
            <w:top w:val="none" w:sz="0" w:space="0" w:color="auto"/>
            <w:left w:val="none" w:sz="0" w:space="0" w:color="auto"/>
            <w:bottom w:val="none" w:sz="0" w:space="0" w:color="auto"/>
            <w:right w:val="none" w:sz="0" w:space="0" w:color="auto"/>
          </w:divBdr>
        </w:div>
        <w:div w:id="376205843">
          <w:marLeft w:val="0"/>
          <w:marRight w:val="0"/>
          <w:marTop w:val="0"/>
          <w:marBottom w:val="0"/>
          <w:divBdr>
            <w:top w:val="none" w:sz="0" w:space="0" w:color="auto"/>
            <w:left w:val="none" w:sz="0" w:space="0" w:color="auto"/>
            <w:bottom w:val="none" w:sz="0" w:space="0" w:color="auto"/>
            <w:right w:val="none" w:sz="0" w:space="0" w:color="auto"/>
          </w:divBdr>
        </w:div>
        <w:div w:id="391003879">
          <w:marLeft w:val="0"/>
          <w:marRight w:val="0"/>
          <w:marTop w:val="0"/>
          <w:marBottom w:val="0"/>
          <w:divBdr>
            <w:top w:val="none" w:sz="0" w:space="0" w:color="auto"/>
            <w:left w:val="none" w:sz="0" w:space="0" w:color="auto"/>
            <w:bottom w:val="none" w:sz="0" w:space="0" w:color="auto"/>
            <w:right w:val="none" w:sz="0" w:space="0" w:color="auto"/>
          </w:divBdr>
        </w:div>
        <w:div w:id="400490630">
          <w:marLeft w:val="0"/>
          <w:marRight w:val="0"/>
          <w:marTop w:val="0"/>
          <w:marBottom w:val="0"/>
          <w:divBdr>
            <w:top w:val="none" w:sz="0" w:space="0" w:color="auto"/>
            <w:left w:val="none" w:sz="0" w:space="0" w:color="auto"/>
            <w:bottom w:val="none" w:sz="0" w:space="0" w:color="auto"/>
            <w:right w:val="none" w:sz="0" w:space="0" w:color="auto"/>
          </w:divBdr>
        </w:div>
        <w:div w:id="426272910">
          <w:marLeft w:val="0"/>
          <w:marRight w:val="0"/>
          <w:marTop w:val="0"/>
          <w:marBottom w:val="0"/>
          <w:divBdr>
            <w:top w:val="none" w:sz="0" w:space="0" w:color="auto"/>
            <w:left w:val="none" w:sz="0" w:space="0" w:color="auto"/>
            <w:bottom w:val="none" w:sz="0" w:space="0" w:color="auto"/>
            <w:right w:val="none" w:sz="0" w:space="0" w:color="auto"/>
          </w:divBdr>
        </w:div>
        <w:div w:id="462043052">
          <w:marLeft w:val="0"/>
          <w:marRight w:val="0"/>
          <w:marTop w:val="0"/>
          <w:marBottom w:val="0"/>
          <w:divBdr>
            <w:top w:val="none" w:sz="0" w:space="0" w:color="auto"/>
            <w:left w:val="none" w:sz="0" w:space="0" w:color="auto"/>
            <w:bottom w:val="none" w:sz="0" w:space="0" w:color="auto"/>
            <w:right w:val="none" w:sz="0" w:space="0" w:color="auto"/>
          </w:divBdr>
        </w:div>
        <w:div w:id="493303727">
          <w:marLeft w:val="0"/>
          <w:marRight w:val="0"/>
          <w:marTop w:val="0"/>
          <w:marBottom w:val="0"/>
          <w:divBdr>
            <w:top w:val="none" w:sz="0" w:space="0" w:color="auto"/>
            <w:left w:val="none" w:sz="0" w:space="0" w:color="auto"/>
            <w:bottom w:val="none" w:sz="0" w:space="0" w:color="auto"/>
            <w:right w:val="none" w:sz="0" w:space="0" w:color="auto"/>
          </w:divBdr>
        </w:div>
        <w:div w:id="493567431">
          <w:marLeft w:val="0"/>
          <w:marRight w:val="0"/>
          <w:marTop w:val="0"/>
          <w:marBottom w:val="0"/>
          <w:divBdr>
            <w:top w:val="none" w:sz="0" w:space="0" w:color="auto"/>
            <w:left w:val="none" w:sz="0" w:space="0" w:color="auto"/>
            <w:bottom w:val="none" w:sz="0" w:space="0" w:color="auto"/>
            <w:right w:val="none" w:sz="0" w:space="0" w:color="auto"/>
          </w:divBdr>
        </w:div>
        <w:div w:id="501550600">
          <w:marLeft w:val="0"/>
          <w:marRight w:val="0"/>
          <w:marTop w:val="0"/>
          <w:marBottom w:val="0"/>
          <w:divBdr>
            <w:top w:val="none" w:sz="0" w:space="0" w:color="auto"/>
            <w:left w:val="none" w:sz="0" w:space="0" w:color="auto"/>
            <w:bottom w:val="none" w:sz="0" w:space="0" w:color="auto"/>
            <w:right w:val="none" w:sz="0" w:space="0" w:color="auto"/>
          </w:divBdr>
        </w:div>
        <w:div w:id="514003747">
          <w:marLeft w:val="0"/>
          <w:marRight w:val="0"/>
          <w:marTop w:val="0"/>
          <w:marBottom w:val="0"/>
          <w:divBdr>
            <w:top w:val="none" w:sz="0" w:space="0" w:color="auto"/>
            <w:left w:val="none" w:sz="0" w:space="0" w:color="auto"/>
            <w:bottom w:val="none" w:sz="0" w:space="0" w:color="auto"/>
            <w:right w:val="none" w:sz="0" w:space="0" w:color="auto"/>
          </w:divBdr>
        </w:div>
        <w:div w:id="529759521">
          <w:marLeft w:val="0"/>
          <w:marRight w:val="0"/>
          <w:marTop w:val="0"/>
          <w:marBottom w:val="0"/>
          <w:divBdr>
            <w:top w:val="none" w:sz="0" w:space="0" w:color="auto"/>
            <w:left w:val="none" w:sz="0" w:space="0" w:color="auto"/>
            <w:bottom w:val="none" w:sz="0" w:space="0" w:color="auto"/>
            <w:right w:val="none" w:sz="0" w:space="0" w:color="auto"/>
          </w:divBdr>
        </w:div>
        <w:div w:id="578832413">
          <w:marLeft w:val="0"/>
          <w:marRight w:val="0"/>
          <w:marTop w:val="0"/>
          <w:marBottom w:val="0"/>
          <w:divBdr>
            <w:top w:val="none" w:sz="0" w:space="0" w:color="auto"/>
            <w:left w:val="none" w:sz="0" w:space="0" w:color="auto"/>
            <w:bottom w:val="none" w:sz="0" w:space="0" w:color="auto"/>
            <w:right w:val="none" w:sz="0" w:space="0" w:color="auto"/>
          </w:divBdr>
        </w:div>
        <w:div w:id="598952300">
          <w:marLeft w:val="0"/>
          <w:marRight w:val="0"/>
          <w:marTop w:val="0"/>
          <w:marBottom w:val="0"/>
          <w:divBdr>
            <w:top w:val="none" w:sz="0" w:space="0" w:color="auto"/>
            <w:left w:val="none" w:sz="0" w:space="0" w:color="auto"/>
            <w:bottom w:val="none" w:sz="0" w:space="0" w:color="auto"/>
            <w:right w:val="none" w:sz="0" w:space="0" w:color="auto"/>
          </w:divBdr>
        </w:div>
        <w:div w:id="599728470">
          <w:marLeft w:val="0"/>
          <w:marRight w:val="0"/>
          <w:marTop w:val="0"/>
          <w:marBottom w:val="0"/>
          <w:divBdr>
            <w:top w:val="none" w:sz="0" w:space="0" w:color="auto"/>
            <w:left w:val="none" w:sz="0" w:space="0" w:color="auto"/>
            <w:bottom w:val="none" w:sz="0" w:space="0" w:color="auto"/>
            <w:right w:val="none" w:sz="0" w:space="0" w:color="auto"/>
          </w:divBdr>
        </w:div>
        <w:div w:id="599795723">
          <w:marLeft w:val="0"/>
          <w:marRight w:val="0"/>
          <w:marTop w:val="0"/>
          <w:marBottom w:val="0"/>
          <w:divBdr>
            <w:top w:val="none" w:sz="0" w:space="0" w:color="auto"/>
            <w:left w:val="none" w:sz="0" w:space="0" w:color="auto"/>
            <w:bottom w:val="none" w:sz="0" w:space="0" w:color="auto"/>
            <w:right w:val="none" w:sz="0" w:space="0" w:color="auto"/>
          </w:divBdr>
        </w:div>
        <w:div w:id="602028989">
          <w:marLeft w:val="0"/>
          <w:marRight w:val="0"/>
          <w:marTop w:val="0"/>
          <w:marBottom w:val="0"/>
          <w:divBdr>
            <w:top w:val="none" w:sz="0" w:space="0" w:color="auto"/>
            <w:left w:val="none" w:sz="0" w:space="0" w:color="auto"/>
            <w:bottom w:val="none" w:sz="0" w:space="0" w:color="auto"/>
            <w:right w:val="none" w:sz="0" w:space="0" w:color="auto"/>
          </w:divBdr>
        </w:div>
        <w:div w:id="602303060">
          <w:marLeft w:val="0"/>
          <w:marRight w:val="0"/>
          <w:marTop w:val="0"/>
          <w:marBottom w:val="0"/>
          <w:divBdr>
            <w:top w:val="none" w:sz="0" w:space="0" w:color="auto"/>
            <w:left w:val="none" w:sz="0" w:space="0" w:color="auto"/>
            <w:bottom w:val="none" w:sz="0" w:space="0" w:color="auto"/>
            <w:right w:val="none" w:sz="0" w:space="0" w:color="auto"/>
          </w:divBdr>
        </w:div>
        <w:div w:id="606039710">
          <w:marLeft w:val="0"/>
          <w:marRight w:val="0"/>
          <w:marTop w:val="0"/>
          <w:marBottom w:val="0"/>
          <w:divBdr>
            <w:top w:val="none" w:sz="0" w:space="0" w:color="auto"/>
            <w:left w:val="none" w:sz="0" w:space="0" w:color="auto"/>
            <w:bottom w:val="none" w:sz="0" w:space="0" w:color="auto"/>
            <w:right w:val="none" w:sz="0" w:space="0" w:color="auto"/>
          </w:divBdr>
        </w:div>
        <w:div w:id="637804529">
          <w:marLeft w:val="0"/>
          <w:marRight w:val="0"/>
          <w:marTop w:val="0"/>
          <w:marBottom w:val="0"/>
          <w:divBdr>
            <w:top w:val="none" w:sz="0" w:space="0" w:color="auto"/>
            <w:left w:val="none" w:sz="0" w:space="0" w:color="auto"/>
            <w:bottom w:val="none" w:sz="0" w:space="0" w:color="auto"/>
            <w:right w:val="none" w:sz="0" w:space="0" w:color="auto"/>
          </w:divBdr>
        </w:div>
        <w:div w:id="655493950">
          <w:marLeft w:val="0"/>
          <w:marRight w:val="0"/>
          <w:marTop w:val="0"/>
          <w:marBottom w:val="0"/>
          <w:divBdr>
            <w:top w:val="none" w:sz="0" w:space="0" w:color="auto"/>
            <w:left w:val="none" w:sz="0" w:space="0" w:color="auto"/>
            <w:bottom w:val="none" w:sz="0" w:space="0" w:color="auto"/>
            <w:right w:val="none" w:sz="0" w:space="0" w:color="auto"/>
          </w:divBdr>
        </w:div>
        <w:div w:id="657736109">
          <w:marLeft w:val="0"/>
          <w:marRight w:val="0"/>
          <w:marTop w:val="0"/>
          <w:marBottom w:val="0"/>
          <w:divBdr>
            <w:top w:val="none" w:sz="0" w:space="0" w:color="auto"/>
            <w:left w:val="none" w:sz="0" w:space="0" w:color="auto"/>
            <w:bottom w:val="none" w:sz="0" w:space="0" w:color="auto"/>
            <w:right w:val="none" w:sz="0" w:space="0" w:color="auto"/>
          </w:divBdr>
        </w:div>
        <w:div w:id="658385886">
          <w:marLeft w:val="0"/>
          <w:marRight w:val="0"/>
          <w:marTop w:val="0"/>
          <w:marBottom w:val="0"/>
          <w:divBdr>
            <w:top w:val="none" w:sz="0" w:space="0" w:color="auto"/>
            <w:left w:val="none" w:sz="0" w:space="0" w:color="auto"/>
            <w:bottom w:val="none" w:sz="0" w:space="0" w:color="auto"/>
            <w:right w:val="none" w:sz="0" w:space="0" w:color="auto"/>
          </w:divBdr>
        </w:div>
        <w:div w:id="662199806">
          <w:marLeft w:val="0"/>
          <w:marRight w:val="0"/>
          <w:marTop w:val="0"/>
          <w:marBottom w:val="0"/>
          <w:divBdr>
            <w:top w:val="none" w:sz="0" w:space="0" w:color="auto"/>
            <w:left w:val="none" w:sz="0" w:space="0" w:color="auto"/>
            <w:bottom w:val="none" w:sz="0" w:space="0" w:color="auto"/>
            <w:right w:val="none" w:sz="0" w:space="0" w:color="auto"/>
          </w:divBdr>
        </w:div>
        <w:div w:id="663781247">
          <w:marLeft w:val="0"/>
          <w:marRight w:val="0"/>
          <w:marTop w:val="0"/>
          <w:marBottom w:val="0"/>
          <w:divBdr>
            <w:top w:val="none" w:sz="0" w:space="0" w:color="auto"/>
            <w:left w:val="none" w:sz="0" w:space="0" w:color="auto"/>
            <w:bottom w:val="none" w:sz="0" w:space="0" w:color="auto"/>
            <w:right w:val="none" w:sz="0" w:space="0" w:color="auto"/>
          </w:divBdr>
        </w:div>
        <w:div w:id="673923473">
          <w:marLeft w:val="0"/>
          <w:marRight w:val="0"/>
          <w:marTop w:val="0"/>
          <w:marBottom w:val="0"/>
          <w:divBdr>
            <w:top w:val="none" w:sz="0" w:space="0" w:color="auto"/>
            <w:left w:val="none" w:sz="0" w:space="0" w:color="auto"/>
            <w:bottom w:val="none" w:sz="0" w:space="0" w:color="auto"/>
            <w:right w:val="none" w:sz="0" w:space="0" w:color="auto"/>
          </w:divBdr>
        </w:div>
        <w:div w:id="679310976">
          <w:marLeft w:val="0"/>
          <w:marRight w:val="0"/>
          <w:marTop w:val="0"/>
          <w:marBottom w:val="0"/>
          <w:divBdr>
            <w:top w:val="none" w:sz="0" w:space="0" w:color="auto"/>
            <w:left w:val="none" w:sz="0" w:space="0" w:color="auto"/>
            <w:bottom w:val="none" w:sz="0" w:space="0" w:color="auto"/>
            <w:right w:val="none" w:sz="0" w:space="0" w:color="auto"/>
          </w:divBdr>
        </w:div>
        <w:div w:id="687604737">
          <w:marLeft w:val="0"/>
          <w:marRight w:val="0"/>
          <w:marTop w:val="0"/>
          <w:marBottom w:val="0"/>
          <w:divBdr>
            <w:top w:val="none" w:sz="0" w:space="0" w:color="auto"/>
            <w:left w:val="none" w:sz="0" w:space="0" w:color="auto"/>
            <w:bottom w:val="none" w:sz="0" w:space="0" w:color="auto"/>
            <w:right w:val="none" w:sz="0" w:space="0" w:color="auto"/>
          </w:divBdr>
        </w:div>
        <w:div w:id="695732828">
          <w:marLeft w:val="0"/>
          <w:marRight w:val="0"/>
          <w:marTop w:val="0"/>
          <w:marBottom w:val="0"/>
          <w:divBdr>
            <w:top w:val="none" w:sz="0" w:space="0" w:color="auto"/>
            <w:left w:val="none" w:sz="0" w:space="0" w:color="auto"/>
            <w:bottom w:val="none" w:sz="0" w:space="0" w:color="auto"/>
            <w:right w:val="none" w:sz="0" w:space="0" w:color="auto"/>
          </w:divBdr>
        </w:div>
        <w:div w:id="711806198">
          <w:marLeft w:val="0"/>
          <w:marRight w:val="0"/>
          <w:marTop w:val="0"/>
          <w:marBottom w:val="0"/>
          <w:divBdr>
            <w:top w:val="none" w:sz="0" w:space="0" w:color="auto"/>
            <w:left w:val="none" w:sz="0" w:space="0" w:color="auto"/>
            <w:bottom w:val="none" w:sz="0" w:space="0" w:color="auto"/>
            <w:right w:val="none" w:sz="0" w:space="0" w:color="auto"/>
          </w:divBdr>
        </w:div>
        <w:div w:id="726954396">
          <w:marLeft w:val="0"/>
          <w:marRight w:val="0"/>
          <w:marTop w:val="0"/>
          <w:marBottom w:val="0"/>
          <w:divBdr>
            <w:top w:val="none" w:sz="0" w:space="0" w:color="auto"/>
            <w:left w:val="none" w:sz="0" w:space="0" w:color="auto"/>
            <w:bottom w:val="none" w:sz="0" w:space="0" w:color="auto"/>
            <w:right w:val="none" w:sz="0" w:space="0" w:color="auto"/>
          </w:divBdr>
        </w:div>
        <w:div w:id="732777784">
          <w:marLeft w:val="0"/>
          <w:marRight w:val="0"/>
          <w:marTop w:val="0"/>
          <w:marBottom w:val="0"/>
          <w:divBdr>
            <w:top w:val="none" w:sz="0" w:space="0" w:color="auto"/>
            <w:left w:val="none" w:sz="0" w:space="0" w:color="auto"/>
            <w:bottom w:val="none" w:sz="0" w:space="0" w:color="auto"/>
            <w:right w:val="none" w:sz="0" w:space="0" w:color="auto"/>
          </w:divBdr>
        </w:div>
        <w:div w:id="762990591">
          <w:marLeft w:val="0"/>
          <w:marRight w:val="0"/>
          <w:marTop w:val="0"/>
          <w:marBottom w:val="0"/>
          <w:divBdr>
            <w:top w:val="none" w:sz="0" w:space="0" w:color="auto"/>
            <w:left w:val="none" w:sz="0" w:space="0" w:color="auto"/>
            <w:bottom w:val="none" w:sz="0" w:space="0" w:color="auto"/>
            <w:right w:val="none" w:sz="0" w:space="0" w:color="auto"/>
          </w:divBdr>
        </w:div>
        <w:div w:id="766661112">
          <w:marLeft w:val="0"/>
          <w:marRight w:val="0"/>
          <w:marTop w:val="0"/>
          <w:marBottom w:val="0"/>
          <w:divBdr>
            <w:top w:val="none" w:sz="0" w:space="0" w:color="auto"/>
            <w:left w:val="none" w:sz="0" w:space="0" w:color="auto"/>
            <w:bottom w:val="none" w:sz="0" w:space="0" w:color="auto"/>
            <w:right w:val="none" w:sz="0" w:space="0" w:color="auto"/>
          </w:divBdr>
        </w:div>
        <w:div w:id="793518395">
          <w:marLeft w:val="0"/>
          <w:marRight w:val="0"/>
          <w:marTop w:val="0"/>
          <w:marBottom w:val="0"/>
          <w:divBdr>
            <w:top w:val="none" w:sz="0" w:space="0" w:color="auto"/>
            <w:left w:val="none" w:sz="0" w:space="0" w:color="auto"/>
            <w:bottom w:val="none" w:sz="0" w:space="0" w:color="auto"/>
            <w:right w:val="none" w:sz="0" w:space="0" w:color="auto"/>
          </w:divBdr>
        </w:div>
        <w:div w:id="804275330">
          <w:marLeft w:val="0"/>
          <w:marRight w:val="0"/>
          <w:marTop w:val="0"/>
          <w:marBottom w:val="0"/>
          <w:divBdr>
            <w:top w:val="none" w:sz="0" w:space="0" w:color="auto"/>
            <w:left w:val="none" w:sz="0" w:space="0" w:color="auto"/>
            <w:bottom w:val="none" w:sz="0" w:space="0" w:color="auto"/>
            <w:right w:val="none" w:sz="0" w:space="0" w:color="auto"/>
          </w:divBdr>
        </w:div>
        <w:div w:id="806122936">
          <w:marLeft w:val="0"/>
          <w:marRight w:val="0"/>
          <w:marTop w:val="0"/>
          <w:marBottom w:val="0"/>
          <w:divBdr>
            <w:top w:val="none" w:sz="0" w:space="0" w:color="auto"/>
            <w:left w:val="none" w:sz="0" w:space="0" w:color="auto"/>
            <w:bottom w:val="none" w:sz="0" w:space="0" w:color="auto"/>
            <w:right w:val="none" w:sz="0" w:space="0" w:color="auto"/>
          </w:divBdr>
        </w:div>
        <w:div w:id="811367222">
          <w:marLeft w:val="0"/>
          <w:marRight w:val="0"/>
          <w:marTop w:val="0"/>
          <w:marBottom w:val="0"/>
          <w:divBdr>
            <w:top w:val="none" w:sz="0" w:space="0" w:color="auto"/>
            <w:left w:val="none" w:sz="0" w:space="0" w:color="auto"/>
            <w:bottom w:val="none" w:sz="0" w:space="0" w:color="auto"/>
            <w:right w:val="none" w:sz="0" w:space="0" w:color="auto"/>
          </w:divBdr>
        </w:div>
        <w:div w:id="814447712">
          <w:marLeft w:val="0"/>
          <w:marRight w:val="0"/>
          <w:marTop w:val="0"/>
          <w:marBottom w:val="0"/>
          <w:divBdr>
            <w:top w:val="none" w:sz="0" w:space="0" w:color="auto"/>
            <w:left w:val="none" w:sz="0" w:space="0" w:color="auto"/>
            <w:bottom w:val="none" w:sz="0" w:space="0" w:color="auto"/>
            <w:right w:val="none" w:sz="0" w:space="0" w:color="auto"/>
          </w:divBdr>
        </w:div>
        <w:div w:id="833685648">
          <w:marLeft w:val="0"/>
          <w:marRight w:val="0"/>
          <w:marTop w:val="0"/>
          <w:marBottom w:val="0"/>
          <w:divBdr>
            <w:top w:val="none" w:sz="0" w:space="0" w:color="auto"/>
            <w:left w:val="none" w:sz="0" w:space="0" w:color="auto"/>
            <w:bottom w:val="none" w:sz="0" w:space="0" w:color="auto"/>
            <w:right w:val="none" w:sz="0" w:space="0" w:color="auto"/>
          </w:divBdr>
        </w:div>
        <w:div w:id="848645767">
          <w:marLeft w:val="0"/>
          <w:marRight w:val="0"/>
          <w:marTop w:val="0"/>
          <w:marBottom w:val="0"/>
          <w:divBdr>
            <w:top w:val="none" w:sz="0" w:space="0" w:color="auto"/>
            <w:left w:val="none" w:sz="0" w:space="0" w:color="auto"/>
            <w:bottom w:val="none" w:sz="0" w:space="0" w:color="auto"/>
            <w:right w:val="none" w:sz="0" w:space="0" w:color="auto"/>
          </w:divBdr>
        </w:div>
        <w:div w:id="850607485">
          <w:marLeft w:val="0"/>
          <w:marRight w:val="0"/>
          <w:marTop w:val="0"/>
          <w:marBottom w:val="0"/>
          <w:divBdr>
            <w:top w:val="none" w:sz="0" w:space="0" w:color="auto"/>
            <w:left w:val="none" w:sz="0" w:space="0" w:color="auto"/>
            <w:bottom w:val="none" w:sz="0" w:space="0" w:color="auto"/>
            <w:right w:val="none" w:sz="0" w:space="0" w:color="auto"/>
          </w:divBdr>
        </w:div>
        <w:div w:id="870386864">
          <w:marLeft w:val="0"/>
          <w:marRight w:val="0"/>
          <w:marTop w:val="0"/>
          <w:marBottom w:val="0"/>
          <w:divBdr>
            <w:top w:val="none" w:sz="0" w:space="0" w:color="auto"/>
            <w:left w:val="none" w:sz="0" w:space="0" w:color="auto"/>
            <w:bottom w:val="none" w:sz="0" w:space="0" w:color="auto"/>
            <w:right w:val="none" w:sz="0" w:space="0" w:color="auto"/>
          </w:divBdr>
        </w:div>
        <w:div w:id="885409899">
          <w:marLeft w:val="0"/>
          <w:marRight w:val="0"/>
          <w:marTop w:val="0"/>
          <w:marBottom w:val="0"/>
          <w:divBdr>
            <w:top w:val="none" w:sz="0" w:space="0" w:color="auto"/>
            <w:left w:val="none" w:sz="0" w:space="0" w:color="auto"/>
            <w:bottom w:val="none" w:sz="0" w:space="0" w:color="auto"/>
            <w:right w:val="none" w:sz="0" w:space="0" w:color="auto"/>
          </w:divBdr>
        </w:div>
        <w:div w:id="906963904">
          <w:marLeft w:val="0"/>
          <w:marRight w:val="0"/>
          <w:marTop w:val="0"/>
          <w:marBottom w:val="0"/>
          <w:divBdr>
            <w:top w:val="none" w:sz="0" w:space="0" w:color="auto"/>
            <w:left w:val="none" w:sz="0" w:space="0" w:color="auto"/>
            <w:bottom w:val="none" w:sz="0" w:space="0" w:color="auto"/>
            <w:right w:val="none" w:sz="0" w:space="0" w:color="auto"/>
          </w:divBdr>
        </w:div>
        <w:div w:id="910966645">
          <w:marLeft w:val="0"/>
          <w:marRight w:val="0"/>
          <w:marTop w:val="0"/>
          <w:marBottom w:val="0"/>
          <w:divBdr>
            <w:top w:val="none" w:sz="0" w:space="0" w:color="auto"/>
            <w:left w:val="none" w:sz="0" w:space="0" w:color="auto"/>
            <w:bottom w:val="none" w:sz="0" w:space="0" w:color="auto"/>
            <w:right w:val="none" w:sz="0" w:space="0" w:color="auto"/>
          </w:divBdr>
        </w:div>
        <w:div w:id="915474342">
          <w:marLeft w:val="0"/>
          <w:marRight w:val="0"/>
          <w:marTop w:val="0"/>
          <w:marBottom w:val="0"/>
          <w:divBdr>
            <w:top w:val="none" w:sz="0" w:space="0" w:color="auto"/>
            <w:left w:val="none" w:sz="0" w:space="0" w:color="auto"/>
            <w:bottom w:val="none" w:sz="0" w:space="0" w:color="auto"/>
            <w:right w:val="none" w:sz="0" w:space="0" w:color="auto"/>
          </w:divBdr>
        </w:div>
        <w:div w:id="922377615">
          <w:marLeft w:val="0"/>
          <w:marRight w:val="0"/>
          <w:marTop w:val="0"/>
          <w:marBottom w:val="0"/>
          <w:divBdr>
            <w:top w:val="none" w:sz="0" w:space="0" w:color="auto"/>
            <w:left w:val="none" w:sz="0" w:space="0" w:color="auto"/>
            <w:bottom w:val="none" w:sz="0" w:space="0" w:color="auto"/>
            <w:right w:val="none" w:sz="0" w:space="0" w:color="auto"/>
          </w:divBdr>
        </w:div>
        <w:div w:id="926117798">
          <w:marLeft w:val="0"/>
          <w:marRight w:val="0"/>
          <w:marTop w:val="0"/>
          <w:marBottom w:val="0"/>
          <w:divBdr>
            <w:top w:val="none" w:sz="0" w:space="0" w:color="auto"/>
            <w:left w:val="none" w:sz="0" w:space="0" w:color="auto"/>
            <w:bottom w:val="none" w:sz="0" w:space="0" w:color="auto"/>
            <w:right w:val="none" w:sz="0" w:space="0" w:color="auto"/>
          </w:divBdr>
        </w:div>
        <w:div w:id="931351943">
          <w:marLeft w:val="0"/>
          <w:marRight w:val="0"/>
          <w:marTop w:val="0"/>
          <w:marBottom w:val="0"/>
          <w:divBdr>
            <w:top w:val="none" w:sz="0" w:space="0" w:color="auto"/>
            <w:left w:val="none" w:sz="0" w:space="0" w:color="auto"/>
            <w:bottom w:val="none" w:sz="0" w:space="0" w:color="auto"/>
            <w:right w:val="none" w:sz="0" w:space="0" w:color="auto"/>
          </w:divBdr>
        </w:div>
        <w:div w:id="979917546">
          <w:marLeft w:val="0"/>
          <w:marRight w:val="0"/>
          <w:marTop w:val="0"/>
          <w:marBottom w:val="0"/>
          <w:divBdr>
            <w:top w:val="none" w:sz="0" w:space="0" w:color="auto"/>
            <w:left w:val="none" w:sz="0" w:space="0" w:color="auto"/>
            <w:bottom w:val="none" w:sz="0" w:space="0" w:color="auto"/>
            <w:right w:val="none" w:sz="0" w:space="0" w:color="auto"/>
          </w:divBdr>
        </w:div>
        <w:div w:id="985283628">
          <w:marLeft w:val="0"/>
          <w:marRight w:val="0"/>
          <w:marTop w:val="0"/>
          <w:marBottom w:val="0"/>
          <w:divBdr>
            <w:top w:val="none" w:sz="0" w:space="0" w:color="auto"/>
            <w:left w:val="none" w:sz="0" w:space="0" w:color="auto"/>
            <w:bottom w:val="none" w:sz="0" w:space="0" w:color="auto"/>
            <w:right w:val="none" w:sz="0" w:space="0" w:color="auto"/>
          </w:divBdr>
        </w:div>
        <w:div w:id="1020401624">
          <w:marLeft w:val="0"/>
          <w:marRight w:val="0"/>
          <w:marTop w:val="0"/>
          <w:marBottom w:val="0"/>
          <w:divBdr>
            <w:top w:val="none" w:sz="0" w:space="0" w:color="auto"/>
            <w:left w:val="none" w:sz="0" w:space="0" w:color="auto"/>
            <w:bottom w:val="none" w:sz="0" w:space="0" w:color="auto"/>
            <w:right w:val="none" w:sz="0" w:space="0" w:color="auto"/>
          </w:divBdr>
        </w:div>
        <w:div w:id="1022048772">
          <w:marLeft w:val="0"/>
          <w:marRight w:val="0"/>
          <w:marTop w:val="0"/>
          <w:marBottom w:val="0"/>
          <w:divBdr>
            <w:top w:val="none" w:sz="0" w:space="0" w:color="auto"/>
            <w:left w:val="none" w:sz="0" w:space="0" w:color="auto"/>
            <w:bottom w:val="none" w:sz="0" w:space="0" w:color="auto"/>
            <w:right w:val="none" w:sz="0" w:space="0" w:color="auto"/>
          </w:divBdr>
        </w:div>
        <w:div w:id="1036151753">
          <w:marLeft w:val="0"/>
          <w:marRight w:val="0"/>
          <w:marTop w:val="0"/>
          <w:marBottom w:val="0"/>
          <w:divBdr>
            <w:top w:val="none" w:sz="0" w:space="0" w:color="auto"/>
            <w:left w:val="none" w:sz="0" w:space="0" w:color="auto"/>
            <w:bottom w:val="none" w:sz="0" w:space="0" w:color="auto"/>
            <w:right w:val="none" w:sz="0" w:space="0" w:color="auto"/>
          </w:divBdr>
        </w:div>
        <w:div w:id="1044335119">
          <w:marLeft w:val="0"/>
          <w:marRight w:val="0"/>
          <w:marTop w:val="0"/>
          <w:marBottom w:val="0"/>
          <w:divBdr>
            <w:top w:val="none" w:sz="0" w:space="0" w:color="auto"/>
            <w:left w:val="none" w:sz="0" w:space="0" w:color="auto"/>
            <w:bottom w:val="none" w:sz="0" w:space="0" w:color="auto"/>
            <w:right w:val="none" w:sz="0" w:space="0" w:color="auto"/>
          </w:divBdr>
        </w:div>
        <w:div w:id="1047490000">
          <w:marLeft w:val="0"/>
          <w:marRight w:val="0"/>
          <w:marTop w:val="0"/>
          <w:marBottom w:val="0"/>
          <w:divBdr>
            <w:top w:val="none" w:sz="0" w:space="0" w:color="auto"/>
            <w:left w:val="none" w:sz="0" w:space="0" w:color="auto"/>
            <w:bottom w:val="none" w:sz="0" w:space="0" w:color="auto"/>
            <w:right w:val="none" w:sz="0" w:space="0" w:color="auto"/>
          </w:divBdr>
        </w:div>
        <w:div w:id="1053580773">
          <w:marLeft w:val="0"/>
          <w:marRight w:val="0"/>
          <w:marTop w:val="0"/>
          <w:marBottom w:val="0"/>
          <w:divBdr>
            <w:top w:val="none" w:sz="0" w:space="0" w:color="auto"/>
            <w:left w:val="none" w:sz="0" w:space="0" w:color="auto"/>
            <w:bottom w:val="none" w:sz="0" w:space="0" w:color="auto"/>
            <w:right w:val="none" w:sz="0" w:space="0" w:color="auto"/>
          </w:divBdr>
        </w:div>
        <w:div w:id="1053694949">
          <w:marLeft w:val="0"/>
          <w:marRight w:val="0"/>
          <w:marTop w:val="0"/>
          <w:marBottom w:val="0"/>
          <w:divBdr>
            <w:top w:val="none" w:sz="0" w:space="0" w:color="auto"/>
            <w:left w:val="none" w:sz="0" w:space="0" w:color="auto"/>
            <w:bottom w:val="none" w:sz="0" w:space="0" w:color="auto"/>
            <w:right w:val="none" w:sz="0" w:space="0" w:color="auto"/>
          </w:divBdr>
        </w:div>
        <w:div w:id="1058631402">
          <w:marLeft w:val="0"/>
          <w:marRight w:val="0"/>
          <w:marTop w:val="0"/>
          <w:marBottom w:val="0"/>
          <w:divBdr>
            <w:top w:val="none" w:sz="0" w:space="0" w:color="auto"/>
            <w:left w:val="none" w:sz="0" w:space="0" w:color="auto"/>
            <w:bottom w:val="none" w:sz="0" w:space="0" w:color="auto"/>
            <w:right w:val="none" w:sz="0" w:space="0" w:color="auto"/>
          </w:divBdr>
        </w:div>
        <w:div w:id="1062413518">
          <w:marLeft w:val="0"/>
          <w:marRight w:val="0"/>
          <w:marTop w:val="0"/>
          <w:marBottom w:val="0"/>
          <w:divBdr>
            <w:top w:val="none" w:sz="0" w:space="0" w:color="auto"/>
            <w:left w:val="none" w:sz="0" w:space="0" w:color="auto"/>
            <w:bottom w:val="none" w:sz="0" w:space="0" w:color="auto"/>
            <w:right w:val="none" w:sz="0" w:space="0" w:color="auto"/>
          </w:divBdr>
        </w:div>
        <w:div w:id="1063717451">
          <w:marLeft w:val="0"/>
          <w:marRight w:val="0"/>
          <w:marTop w:val="0"/>
          <w:marBottom w:val="0"/>
          <w:divBdr>
            <w:top w:val="none" w:sz="0" w:space="0" w:color="auto"/>
            <w:left w:val="none" w:sz="0" w:space="0" w:color="auto"/>
            <w:bottom w:val="none" w:sz="0" w:space="0" w:color="auto"/>
            <w:right w:val="none" w:sz="0" w:space="0" w:color="auto"/>
          </w:divBdr>
        </w:div>
        <w:div w:id="1068042081">
          <w:marLeft w:val="0"/>
          <w:marRight w:val="0"/>
          <w:marTop w:val="0"/>
          <w:marBottom w:val="0"/>
          <w:divBdr>
            <w:top w:val="none" w:sz="0" w:space="0" w:color="auto"/>
            <w:left w:val="none" w:sz="0" w:space="0" w:color="auto"/>
            <w:bottom w:val="none" w:sz="0" w:space="0" w:color="auto"/>
            <w:right w:val="none" w:sz="0" w:space="0" w:color="auto"/>
          </w:divBdr>
        </w:div>
        <w:div w:id="1103497268">
          <w:marLeft w:val="0"/>
          <w:marRight w:val="0"/>
          <w:marTop w:val="0"/>
          <w:marBottom w:val="0"/>
          <w:divBdr>
            <w:top w:val="none" w:sz="0" w:space="0" w:color="auto"/>
            <w:left w:val="none" w:sz="0" w:space="0" w:color="auto"/>
            <w:bottom w:val="none" w:sz="0" w:space="0" w:color="auto"/>
            <w:right w:val="none" w:sz="0" w:space="0" w:color="auto"/>
          </w:divBdr>
        </w:div>
        <w:div w:id="1109659834">
          <w:marLeft w:val="0"/>
          <w:marRight w:val="0"/>
          <w:marTop w:val="0"/>
          <w:marBottom w:val="0"/>
          <w:divBdr>
            <w:top w:val="none" w:sz="0" w:space="0" w:color="auto"/>
            <w:left w:val="none" w:sz="0" w:space="0" w:color="auto"/>
            <w:bottom w:val="none" w:sz="0" w:space="0" w:color="auto"/>
            <w:right w:val="none" w:sz="0" w:space="0" w:color="auto"/>
          </w:divBdr>
        </w:div>
        <w:div w:id="1125659876">
          <w:marLeft w:val="0"/>
          <w:marRight w:val="0"/>
          <w:marTop w:val="0"/>
          <w:marBottom w:val="0"/>
          <w:divBdr>
            <w:top w:val="none" w:sz="0" w:space="0" w:color="auto"/>
            <w:left w:val="none" w:sz="0" w:space="0" w:color="auto"/>
            <w:bottom w:val="none" w:sz="0" w:space="0" w:color="auto"/>
            <w:right w:val="none" w:sz="0" w:space="0" w:color="auto"/>
          </w:divBdr>
        </w:div>
        <w:div w:id="1132555154">
          <w:marLeft w:val="0"/>
          <w:marRight w:val="0"/>
          <w:marTop w:val="0"/>
          <w:marBottom w:val="0"/>
          <w:divBdr>
            <w:top w:val="none" w:sz="0" w:space="0" w:color="auto"/>
            <w:left w:val="none" w:sz="0" w:space="0" w:color="auto"/>
            <w:bottom w:val="none" w:sz="0" w:space="0" w:color="auto"/>
            <w:right w:val="none" w:sz="0" w:space="0" w:color="auto"/>
          </w:divBdr>
        </w:div>
        <w:div w:id="1136801256">
          <w:marLeft w:val="0"/>
          <w:marRight w:val="0"/>
          <w:marTop w:val="0"/>
          <w:marBottom w:val="0"/>
          <w:divBdr>
            <w:top w:val="none" w:sz="0" w:space="0" w:color="auto"/>
            <w:left w:val="none" w:sz="0" w:space="0" w:color="auto"/>
            <w:bottom w:val="none" w:sz="0" w:space="0" w:color="auto"/>
            <w:right w:val="none" w:sz="0" w:space="0" w:color="auto"/>
          </w:divBdr>
        </w:div>
        <w:div w:id="1147011320">
          <w:marLeft w:val="0"/>
          <w:marRight w:val="0"/>
          <w:marTop w:val="0"/>
          <w:marBottom w:val="0"/>
          <w:divBdr>
            <w:top w:val="none" w:sz="0" w:space="0" w:color="auto"/>
            <w:left w:val="none" w:sz="0" w:space="0" w:color="auto"/>
            <w:bottom w:val="none" w:sz="0" w:space="0" w:color="auto"/>
            <w:right w:val="none" w:sz="0" w:space="0" w:color="auto"/>
          </w:divBdr>
        </w:div>
        <w:div w:id="1165972858">
          <w:marLeft w:val="0"/>
          <w:marRight w:val="0"/>
          <w:marTop w:val="0"/>
          <w:marBottom w:val="0"/>
          <w:divBdr>
            <w:top w:val="none" w:sz="0" w:space="0" w:color="auto"/>
            <w:left w:val="none" w:sz="0" w:space="0" w:color="auto"/>
            <w:bottom w:val="none" w:sz="0" w:space="0" w:color="auto"/>
            <w:right w:val="none" w:sz="0" w:space="0" w:color="auto"/>
          </w:divBdr>
        </w:div>
        <w:div w:id="1203401454">
          <w:marLeft w:val="0"/>
          <w:marRight w:val="0"/>
          <w:marTop w:val="0"/>
          <w:marBottom w:val="0"/>
          <w:divBdr>
            <w:top w:val="none" w:sz="0" w:space="0" w:color="auto"/>
            <w:left w:val="none" w:sz="0" w:space="0" w:color="auto"/>
            <w:bottom w:val="none" w:sz="0" w:space="0" w:color="auto"/>
            <w:right w:val="none" w:sz="0" w:space="0" w:color="auto"/>
          </w:divBdr>
        </w:div>
        <w:div w:id="1212814459">
          <w:marLeft w:val="0"/>
          <w:marRight w:val="0"/>
          <w:marTop w:val="0"/>
          <w:marBottom w:val="0"/>
          <w:divBdr>
            <w:top w:val="none" w:sz="0" w:space="0" w:color="auto"/>
            <w:left w:val="none" w:sz="0" w:space="0" w:color="auto"/>
            <w:bottom w:val="none" w:sz="0" w:space="0" w:color="auto"/>
            <w:right w:val="none" w:sz="0" w:space="0" w:color="auto"/>
          </w:divBdr>
        </w:div>
        <w:div w:id="1215120954">
          <w:marLeft w:val="0"/>
          <w:marRight w:val="0"/>
          <w:marTop w:val="0"/>
          <w:marBottom w:val="0"/>
          <w:divBdr>
            <w:top w:val="none" w:sz="0" w:space="0" w:color="auto"/>
            <w:left w:val="none" w:sz="0" w:space="0" w:color="auto"/>
            <w:bottom w:val="none" w:sz="0" w:space="0" w:color="auto"/>
            <w:right w:val="none" w:sz="0" w:space="0" w:color="auto"/>
          </w:divBdr>
        </w:div>
        <w:div w:id="1215193748">
          <w:marLeft w:val="0"/>
          <w:marRight w:val="0"/>
          <w:marTop w:val="0"/>
          <w:marBottom w:val="0"/>
          <w:divBdr>
            <w:top w:val="none" w:sz="0" w:space="0" w:color="auto"/>
            <w:left w:val="none" w:sz="0" w:space="0" w:color="auto"/>
            <w:bottom w:val="none" w:sz="0" w:space="0" w:color="auto"/>
            <w:right w:val="none" w:sz="0" w:space="0" w:color="auto"/>
          </w:divBdr>
        </w:div>
        <w:div w:id="1225406497">
          <w:marLeft w:val="0"/>
          <w:marRight w:val="0"/>
          <w:marTop w:val="0"/>
          <w:marBottom w:val="0"/>
          <w:divBdr>
            <w:top w:val="none" w:sz="0" w:space="0" w:color="auto"/>
            <w:left w:val="none" w:sz="0" w:space="0" w:color="auto"/>
            <w:bottom w:val="none" w:sz="0" w:space="0" w:color="auto"/>
            <w:right w:val="none" w:sz="0" w:space="0" w:color="auto"/>
          </w:divBdr>
        </w:div>
        <w:div w:id="1244947667">
          <w:marLeft w:val="0"/>
          <w:marRight w:val="0"/>
          <w:marTop w:val="0"/>
          <w:marBottom w:val="0"/>
          <w:divBdr>
            <w:top w:val="none" w:sz="0" w:space="0" w:color="auto"/>
            <w:left w:val="none" w:sz="0" w:space="0" w:color="auto"/>
            <w:bottom w:val="none" w:sz="0" w:space="0" w:color="auto"/>
            <w:right w:val="none" w:sz="0" w:space="0" w:color="auto"/>
          </w:divBdr>
        </w:div>
        <w:div w:id="1249389748">
          <w:marLeft w:val="0"/>
          <w:marRight w:val="0"/>
          <w:marTop w:val="0"/>
          <w:marBottom w:val="0"/>
          <w:divBdr>
            <w:top w:val="none" w:sz="0" w:space="0" w:color="auto"/>
            <w:left w:val="none" w:sz="0" w:space="0" w:color="auto"/>
            <w:bottom w:val="none" w:sz="0" w:space="0" w:color="auto"/>
            <w:right w:val="none" w:sz="0" w:space="0" w:color="auto"/>
          </w:divBdr>
        </w:div>
        <w:div w:id="1258640679">
          <w:marLeft w:val="0"/>
          <w:marRight w:val="0"/>
          <w:marTop w:val="0"/>
          <w:marBottom w:val="0"/>
          <w:divBdr>
            <w:top w:val="none" w:sz="0" w:space="0" w:color="auto"/>
            <w:left w:val="none" w:sz="0" w:space="0" w:color="auto"/>
            <w:bottom w:val="none" w:sz="0" w:space="0" w:color="auto"/>
            <w:right w:val="none" w:sz="0" w:space="0" w:color="auto"/>
          </w:divBdr>
        </w:div>
        <w:div w:id="1263493442">
          <w:marLeft w:val="0"/>
          <w:marRight w:val="0"/>
          <w:marTop w:val="0"/>
          <w:marBottom w:val="0"/>
          <w:divBdr>
            <w:top w:val="none" w:sz="0" w:space="0" w:color="auto"/>
            <w:left w:val="none" w:sz="0" w:space="0" w:color="auto"/>
            <w:bottom w:val="none" w:sz="0" w:space="0" w:color="auto"/>
            <w:right w:val="none" w:sz="0" w:space="0" w:color="auto"/>
          </w:divBdr>
        </w:div>
        <w:div w:id="1277100268">
          <w:marLeft w:val="0"/>
          <w:marRight w:val="0"/>
          <w:marTop w:val="0"/>
          <w:marBottom w:val="0"/>
          <w:divBdr>
            <w:top w:val="none" w:sz="0" w:space="0" w:color="auto"/>
            <w:left w:val="none" w:sz="0" w:space="0" w:color="auto"/>
            <w:bottom w:val="none" w:sz="0" w:space="0" w:color="auto"/>
            <w:right w:val="none" w:sz="0" w:space="0" w:color="auto"/>
          </w:divBdr>
        </w:div>
        <w:div w:id="1279139730">
          <w:marLeft w:val="0"/>
          <w:marRight w:val="0"/>
          <w:marTop w:val="0"/>
          <w:marBottom w:val="0"/>
          <w:divBdr>
            <w:top w:val="none" w:sz="0" w:space="0" w:color="auto"/>
            <w:left w:val="none" w:sz="0" w:space="0" w:color="auto"/>
            <w:bottom w:val="none" w:sz="0" w:space="0" w:color="auto"/>
            <w:right w:val="none" w:sz="0" w:space="0" w:color="auto"/>
          </w:divBdr>
        </w:div>
        <w:div w:id="1300845270">
          <w:marLeft w:val="0"/>
          <w:marRight w:val="0"/>
          <w:marTop w:val="0"/>
          <w:marBottom w:val="0"/>
          <w:divBdr>
            <w:top w:val="none" w:sz="0" w:space="0" w:color="auto"/>
            <w:left w:val="none" w:sz="0" w:space="0" w:color="auto"/>
            <w:bottom w:val="none" w:sz="0" w:space="0" w:color="auto"/>
            <w:right w:val="none" w:sz="0" w:space="0" w:color="auto"/>
          </w:divBdr>
        </w:div>
        <w:div w:id="1320423915">
          <w:marLeft w:val="0"/>
          <w:marRight w:val="0"/>
          <w:marTop w:val="0"/>
          <w:marBottom w:val="0"/>
          <w:divBdr>
            <w:top w:val="none" w:sz="0" w:space="0" w:color="auto"/>
            <w:left w:val="none" w:sz="0" w:space="0" w:color="auto"/>
            <w:bottom w:val="none" w:sz="0" w:space="0" w:color="auto"/>
            <w:right w:val="none" w:sz="0" w:space="0" w:color="auto"/>
          </w:divBdr>
        </w:div>
        <w:div w:id="1355302292">
          <w:marLeft w:val="0"/>
          <w:marRight w:val="0"/>
          <w:marTop w:val="0"/>
          <w:marBottom w:val="0"/>
          <w:divBdr>
            <w:top w:val="none" w:sz="0" w:space="0" w:color="auto"/>
            <w:left w:val="none" w:sz="0" w:space="0" w:color="auto"/>
            <w:bottom w:val="none" w:sz="0" w:space="0" w:color="auto"/>
            <w:right w:val="none" w:sz="0" w:space="0" w:color="auto"/>
          </w:divBdr>
        </w:div>
        <w:div w:id="1362896327">
          <w:marLeft w:val="0"/>
          <w:marRight w:val="0"/>
          <w:marTop w:val="0"/>
          <w:marBottom w:val="0"/>
          <w:divBdr>
            <w:top w:val="none" w:sz="0" w:space="0" w:color="auto"/>
            <w:left w:val="none" w:sz="0" w:space="0" w:color="auto"/>
            <w:bottom w:val="none" w:sz="0" w:space="0" w:color="auto"/>
            <w:right w:val="none" w:sz="0" w:space="0" w:color="auto"/>
          </w:divBdr>
        </w:div>
        <w:div w:id="1367559186">
          <w:marLeft w:val="0"/>
          <w:marRight w:val="0"/>
          <w:marTop w:val="0"/>
          <w:marBottom w:val="0"/>
          <w:divBdr>
            <w:top w:val="none" w:sz="0" w:space="0" w:color="auto"/>
            <w:left w:val="none" w:sz="0" w:space="0" w:color="auto"/>
            <w:bottom w:val="none" w:sz="0" w:space="0" w:color="auto"/>
            <w:right w:val="none" w:sz="0" w:space="0" w:color="auto"/>
          </w:divBdr>
        </w:div>
        <w:div w:id="1380014354">
          <w:marLeft w:val="0"/>
          <w:marRight w:val="0"/>
          <w:marTop w:val="0"/>
          <w:marBottom w:val="0"/>
          <w:divBdr>
            <w:top w:val="none" w:sz="0" w:space="0" w:color="auto"/>
            <w:left w:val="none" w:sz="0" w:space="0" w:color="auto"/>
            <w:bottom w:val="none" w:sz="0" w:space="0" w:color="auto"/>
            <w:right w:val="none" w:sz="0" w:space="0" w:color="auto"/>
          </w:divBdr>
        </w:div>
        <w:div w:id="1387528418">
          <w:marLeft w:val="0"/>
          <w:marRight w:val="0"/>
          <w:marTop w:val="0"/>
          <w:marBottom w:val="0"/>
          <w:divBdr>
            <w:top w:val="none" w:sz="0" w:space="0" w:color="auto"/>
            <w:left w:val="none" w:sz="0" w:space="0" w:color="auto"/>
            <w:bottom w:val="none" w:sz="0" w:space="0" w:color="auto"/>
            <w:right w:val="none" w:sz="0" w:space="0" w:color="auto"/>
          </w:divBdr>
        </w:div>
        <w:div w:id="1411268362">
          <w:marLeft w:val="0"/>
          <w:marRight w:val="0"/>
          <w:marTop w:val="0"/>
          <w:marBottom w:val="0"/>
          <w:divBdr>
            <w:top w:val="none" w:sz="0" w:space="0" w:color="auto"/>
            <w:left w:val="none" w:sz="0" w:space="0" w:color="auto"/>
            <w:bottom w:val="none" w:sz="0" w:space="0" w:color="auto"/>
            <w:right w:val="none" w:sz="0" w:space="0" w:color="auto"/>
          </w:divBdr>
        </w:div>
        <w:div w:id="1419864790">
          <w:marLeft w:val="0"/>
          <w:marRight w:val="0"/>
          <w:marTop w:val="0"/>
          <w:marBottom w:val="0"/>
          <w:divBdr>
            <w:top w:val="none" w:sz="0" w:space="0" w:color="auto"/>
            <w:left w:val="none" w:sz="0" w:space="0" w:color="auto"/>
            <w:bottom w:val="none" w:sz="0" w:space="0" w:color="auto"/>
            <w:right w:val="none" w:sz="0" w:space="0" w:color="auto"/>
          </w:divBdr>
        </w:div>
        <w:div w:id="1421295275">
          <w:marLeft w:val="0"/>
          <w:marRight w:val="0"/>
          <w:marTop w:val="0"/>
          <w:marBottom w:val="0"/>
          <w:divBdr>
            <w:top w:val="none" w:sz="0" w:space="0" w:color="auto"/>
            <w:left w:val="none" w:sz="0" w:space="0" w:color="auto"/>
            <w:bottom w:val="none" w:sz="0" w:space="0" w:color="auto"/>
            <w:right w:val="none" w:sz="0" w:space="0" w:color="auto"/>
          </w:divBdr>
        </w:div>
        <w:div w:id="1425759121">
          <w:marLeft w:val="0"/>
          <w:marRight w:val="0"/>
          <w:marTop w:val="0"/>
          <w:marBottom w:val="0"/>
          <w:divBdr>
            <w:top w:val="none" w:sz="0" w:space="0" w:color="auto"/>
            <w:left w:val="none" w:sz="0" w:space="0" w:color="auto"/>
            <w:bottom w:val="none" w:sz="0" w:space="0" w:color="auto"/>
            <w:right w:val="none" w:sz="0" w:space="0" w:color="auto"/>
          </w:divBdr>
        </w:div>
        <w:div w:id="1433015148">
          <w:marLeft w:val="0"/>
          <w:marRight w:val="0"/>
          <w:marTop w:val="0"/>
          <w:marBottom w:val="0"/>
          <w:divBdr>
            <w:top w:val="none" w:sz="0" w:space="0" w:color="auto"/>
            <w:left w:val="none" w:sz="0" w:space="0" w:color="auto"/>
            <w:bottom w:val="none" w:sz="0" w:space="0" w:color="auto"/>
            <w:right w:val="none" w:sz="0" w:space="0" w:color="auto"/>
          </w:divBdr>
        </w:div>
        <w:div w:id="1478911430">
          <w:marLeft w:val="0"/>
          <w:marRight w:val="0"/>
          <w:marTop w:val="0"/>
          <w:marBottom w:val="0"/>
          <w:divBdr>
            <w:top w:val="none" w:sz="0" w:space="0" w:color="auto"/>
            <w:left w:val="none" w:sz="0" w:space="0" w:color="auto"/>
            <w:bottom w:val="none" w:sz="0" w:space="0" w:color="auto"/>
            <w:right w:val="none" w:sz="0" w:space="0" w:color="auto"/>
          </w:divBdr>
        </w:div>
        <w:div w:id="1504003891">
          <w:marLeft w:val="0"/>
          <w:marRight w:val="0"/>
          <w:marTop w:val="0"/>
          <w:marBottom w:val="0"/>
          <w:divBdr>
            <w:top w:val="none" w:sz="0" w:space="0" w:color="auto"/>
            <w:left w:val="none" w:sz="0" w:space="0" w:color="auto"/>
            <w:bottom w:val="none" w:sz="0" w:space="0" w:color="auto"/>
            <w:right w:val="none" w:sz="0" w:space="0" w:color="auto"/>
          </w:divBdr>
        </w:div>
        <w:div w:id="1509100208">
          <w:marLeft w:val="0"/>
          <w:marRight w:val="0"/>
          <w:marTop w:val="0"/>
          <w:marBottom w:val="0"/>
          <w:divBdr>
            <w:top w:val="none" w:sz="0" w:space="0" w:color="auto"/>
            <w:left w:val="none" w:sz="0" w:space="0" w:color="auto"/>
            <w:bottom w:val="none" w:sz="0" w:space="0" w:color="auto"/>
            <w:right w:val="none" w:sz="0" w:space="0" w:color="auto"/>
          </w:divBdr>
        </w:div>
        <w:div w:id="1522821060">
          <w:marLeft w:val="0"/>
          <w:marRight w:val="0"/>
          <w:marTop w:val="0"/>
          <w:marBottom w:val="0"/>
          <w:divBdr>
            <w:top w:val="none" w:sz="0" w:space="0" w:color="auto"/>
            <w:left w:val="none" w:sz="0" w:space="0" w:color="auto"/>
            <w:bottom w:val="none" w:sz="0" w:space="0" w:color="auto"/>
            <w:right w:val="none" w:sz="0" w:space="0" w:color="auto"/>
          </w:divBdr>
        </w:div>
        <w:div w:id="1538658029">
          <w:marLeft w:val="0"/>
          <w:marRight w:val="0"/>
          <w:marTop w:val="0"/>
          <w:marBottom w:val="0"/>
          <w:divBdr>
            <w:top w:val="none" w:sz="0" w:space="0" w:color="auto"/>
            <w:left w:val="none" w:sz="0" w:space="0" w:color="auto"/>
            <w:bottom w:val="none" w:sz="0" w:space="0" w:color="auto"/>
            <w:right w:val="none" w:sz="0" w:space="0" w:color="auto"/>
          </w:divBdr>
        </w:div>
        <w:div w:id="1545678740">
          <w:marLeft w:val="0"/>
          <w:marRight w:val="0"/>
          <w:marTop w:val="0"/>
          <w:marBottom w:val="0"/>
          <w:divBdr>
            <w:top w:val="none" w:sz="0" w:space="0" w:color="auto"/>
            <w:left w:val="none" w:sz="0" w:space="0" w:color="auto"/>
            <w:bottom w:val="none" w:sz="0" w:space="0" w:color="auto"/>
            <w:right w:val="none" w:sz="0" w:space="0" w:color="auto"/>
          </w:divBdr>
        </w:div>
        <w:div w:id="1588464017">
          <w:marLeft w:val="0"/>
          <w:marRight w:val="0"/>
          <w:marTop w:val="0"/>
          <w:marBottom w:val="0"/>
          <w:divBdr>
            <w:top w:val="none" w:sz="0" w:space="0" w:color="auto"/>
            <w:left w:val="none" w:sz="0" w:space="0" w:color="auto"/>
            <w:bottom w:val="none" w:sz="0" w:space="0" w:color="auto"/>
            <w:right w:val="none" w:sz="0" w:space="0" w:color="auto"/>
          </w:divBdr>
        </w:div>
        <w:div w:id="1593271497">
          <w:marLeft w:val="0"/>
          <w:marRight w:val="0"/>
          <w:marTop w:val="0"/>
          <w:marBottom w:val="0"/>
          <w:divBdr>
            <w:top w:val="none" w:sz="0" w:space="0" w:color="auto"/>
            <w:left w:val="none" w:sz="0" w:space="0" w:color="auto"/>
            <w:bottom w:val="none" w:sz="0" w:space="0" w:color="auto"/>
            <w:right w:val="none" w:sz="0" w:space="0" w:color="auto"/>
          </w:divBdr>
        </w:div>
        <w:div w:id="1605650162">
          <w:marLeft w:val="0"/>
          <w:marRight w:val="0"/>
          <w:marTop w:val="0"/>
          <w:marBottom w:val="0"/>
          <w:divBdr>
            <w:top w:val="none" w:sz="0" w:space="0" w:color="auto"/>
            <w:left w:val="none" w:sz="0" w:space="0" w:color="auto"/>
            <w:bottom w:val="none" w:sz="0" w:space="0" w:color="auto"/>
            <w:right w:val="none" w:sz="0" w:space="0" w:color="auto"/>
          </w:divBdr>
        </w:div>
        <w:div w:id="1626426809">
          <w:marLeft w:val="0"/>
          <w:marRight w:val="0"/>
          <w:marTop w:val="0"/>
          <w:marBottom w:val="0"/>
          <w:divBdr>
            <w:top w:val="none" w:sz="0" w:space="0" w:color="auto"/>
            <w:left w:val="none" w:sz="0" w:space="0" w:color="auto"/>
            <w:bottom w:val="none" w:sz="0" w:space="0" w:color="auto"/>
            <w:right w:val="none" w:sz="0" w:space="0" w:color="auto"/>
          </w:divBdr>
        </w:div>
        <w:div w:id="1635138342">
          <w:marLeft w:val="0"/>
          <w:marRight w:val="0"/>
          <w:marTop w:val="0"/>
          <w:marBottom w:val="0"/>
          <w:divBdr>
            <w:top w:val="none" w:sz="0" w:space="0" w:color="auto"/>
            <w:left w:val="none" w:sz="0" w:space="0" w:color="auto"/>
            <w:bottom w:val="none" w:sz="0" w:space="0" w:color="auto"/>
            <w:right w:val="none" w:sz="0" w:space="0" w:color="auto"/>
          </w:divBdr>
        </w:div>
        <w:div w:id="1646934756">
          <w:marLeft w:val="0"/>
          <w:marRight w:val="0"/>
          <w:marTop w:val="0"/>
          <w:marBottom w:val="0"/>
          <w:divBdr>
            <w:top w:val="none" w:sz="0" w:space="0" w:color="auto"/>
            <w:left w:val="none" w:sz="0" w:space="0" w:color="auto"/>
            <w:bottom w:val="none" w:sz="0" w:space="0" w:color="auto"/>
            <w:right w:val="none" w:sz="0" w:space="0" w:color="auto"/>
          </w:divBdr>
        </w:div>
        <w:div w:id="1649942317">
          <w:marLeft w:val="0"/>
          <w:marRight w:val="0"/>
          <w:marTop w:val="0"/>
          <w:marBottom w:val="0"/>
          <w:divBdr>
            <w:top w:val="none" w:sz="0" w:space="0" w:color="auto"/>
            <w:left w:val="none" w:sz="0" w:space="0" w:color="auto"/>
            <w:bottom w:val="none" w:sz="0" w:space="0" w:color="auto"/>
            <w:right w:val="none" w:sz="0" w:space="0" w:color="auto"/>
          </w:divBdr>
        </w:div>
        <w:div w:id="1685324628">
          <w:marLeft w:val="0"/>
          <w:marRight w:val="0"/>
          <w:marTop w:val="0"/>
          <w:marBottom w:val="0"/>
          <w:divBdr>
            <w:top w:val="none" w:sz="0" w:space="0" w:color="auto"/>
            <w:left w:val="none" w:sz="0" w:space="0" w:color="auto"/>
            <w:bottom w:val="none" w:sz="0" w:space="0" w:color="auto"/>
            <w:right w:val="none" w:sz="0" w:space="0" w:color="auto"/>
          </w:divBdr>
        </w:div>
        <w:div w:id="1686206084">
          <w:marLeft w:val="0"/>
          <w:marRight w:val="0"/>
          <w:marTop w:val="0"/>
          <w:marBottom w:val="0"/>
          <w:divBdr>
            <w:top w:val="none" w:sz="0" w:space="0" w:color="auto"/>
            <w:left w:val="none" w:sz="0" w:space="0" w:color="auto"/>
            <w:bottom w:val="none" w:sz="0" w:space="0" w:color="auto"/>
            <w:right w:val="none" w:sz="0" w:space="0" w:color="auto"/>
          </w:divBdr>
        </w:div>
        <w:div w:id="1696925876">
          <w:marLeft w:val="0"/>
          <w:marRight w:val="0"/>
          <w:marTop w:val="0"/>
          <w:marBottom w:val="0"/>
          <w:divBdr>
            <w:top w:val="none" w:sz="0" w:space="0" w:color="auto"/>
            <w:left w:val="none" w:sz="0" w:space="0" w:color="auto"/>
            <w:bottom w:val="none" w:sz="0" w:space="0" w:color="auto"/>
            <w:right w:val="none" w:sz="0" w:space="0" w:color="auto"/>
          </w:divBdr>
        </w:div>
        <w:div w:id="1699355394">
          <w:marLeft w:val="0"/>
          <w:marRight w:val="0"/>
          <w:marTop w:val="0"/>
          <w:marBottom w:val="0"/>
          <w:divBdr>
            <w:top w:val="none" w:sz="0" w:space="0" w:color="auto"/>
            <w:left w:val="none" w:sz="0" w:space="0" w:color="auto"/>
            <w:bottom w:val="none" w:sz="0" w:space="0" w:color="auto"/>
            <w:right w:val="none" w:sz="0" w:space="0" w:color="auto"/>
          </w:divBdr>
        </w:div>
        <w:div w:id="1718431917">
          <w:marLeft w:val="0"/>
          <w:marRight w:val="0"/>
          <w:marTop w:val="0"/>
          <w:marBottom w:val="0"/>
          <w:divBdr>
            <w:top w:val="none" w:sz="0" w:space="0" w:color="auto"/>
            <w:left w:val="none" w:sz="0" w:space="0" w:color="auto"/>
            <w:bottom w:val="none" w:sz="0" w:space="0" w:color="auto"/>
            <w:right w:val="none" w:sz="0" w:space="0" w:color="auto"/>
          </w:divBdr>
        </w:div>
        <w:div w:id="1720471059">
          <w:marLeft w:val="0"/>
          <w:marRight w:val="0"/>
          <w:marTop w:val="0"/>
          <w:marBottom w:val="0"/>
          <w:divBdr>
            <w:top w:val="none" w:sz="0" w:space="0" w:color="auto"/>
            <w:left w:val="none" w:sz="0" w:space="0" w:color="auto"/>
            <w:bottom w:val="none" w:sz="0" w:space="0" w:color="auto"/>
            <w:right w:val="none" w:sz="0" w:space="0" w:color="auto"/>
          </w:divBdr>
        </w:div>
        <w:div w:id="1748067278">
          <w:marLeft w:val="0"/>
          <w:marRight w:val="0"/>
          <w:marTop w:val="0"/>
          <w:marBottom w:val="0"/>
          <w:divBdr>
            <w:top w:val="none" w:sz="0" w:space="0" w:color="auto"/>
            <w:left w:val="none" w:sz="0" w:space="0" w:color="auto"/>
            <w:bottom w:val="none" w:sz="0" w:space="0" w:color="auto"/>
            <w:right w:val="none" w:sz="0" w:space="0" w:color="auto"/>
          </w:divBdr>
        </w:div>
        <w:div w:id="1756128585">
          <w:marLeft w:val="0"/>
          <w:marRight w:val="0"/>
          <w:marTop w:val="0"/>
          <w:marBottom w:val="0"/>
          <w:divBdr>
            <w:top w:val="none" w:sz="0" w:space="0" w:color="auto"/>
            <w:left w:val="none" w:sz="0" w:space="0" w:color="auto"/>
            <w:bottom w:val="none" w:sz="0" w:space="0" w:color="auto"/>
            <w:right w:val="none" w:sz="0" w:space="0" w:color="auto"/>
          </w:divBdr>
        </w:div>
        <w:div w:id="1782452795">
          <w:marLeft w:val="0"/>
          <w:marRight w:val="0"/>
          <w:marTop w:val="0"/>
          <w:marBottom w:val="0"/>
          <w:divBdr>
            <w:top w:val="none" w:sz="0" w:space="0" w:color="auto"/>
            <w:left w:val="none" w:sz="0" w:space="0" w:color="auto"/>
            <w:bottom w:val="none" w:sz="0" w:space="0" w:color="auto"/>
            <w:right w:val="none" w:sz="0" w:space="0" w:color="auto"/>
          </w:divBdr>
        </w:div>
        <w:div w:id="1797799436">
          <w:marLeft w:val="0"/>
          <w:marRight w:val="0"/>
          <w:marTop w:val="0"/>
          <w:marBottom w:val="0"/>
          <w:divBdr>
            <w:top w:val="none" w:sz="0" w:space="0" w:color="auto"/>
            <w:left w:val="none" w:sz="0" w:space="0" w:color="auto"/>
            <w:bottom w:val="none" w:sz="0" w:space="0" w:color="auto"/>
            <w:right w:val="none" w:sz="0" w:space="0" w:color="auto"/>
          </w:divBdr>
        </w:div>
        <w:div w:id="1799952323">
          <w:marLeft w:val="0"/>
          <w:marRight w:val="0"/>
          <w:marTop w:val="0"/>
          <w:marBottom w:val="0"/>
          <w:divBdr>
            <w:top w:val="none" w:sz="0" w:space="0" w:color="auto"/>
            <w:left w:val="none" w:sz="0" w:space="0" w:color="auto"/>
            <w:bottom w:val="none" w:sz="0" w:space="0" w:color="auto"/>
            <w:right w:val="none" w:sz="0" w:space="0" w:color="auto"/>
          </w:divBdr>
        </w:div>
        <w:div w:id="1800801170">
          <w:marLeft w:val="0"/>
          <w:marRight w:val="0"/>
          <w:marTop w:val="0"/>
          <w:marBottom w:val="0"/>
          <w:divBdr>
            <w:top w:val="none" w:sz="0" w:space="0" w:color="auto"/>
            <w:left w:val="none" w:sz="0" w:space="0" w:color="auto"/>
            <w:bottom w:val="none" w:sz="0" w:space="0" w:color="auto"/>
            <w:right w:val="none" w:sz="0" w:space="0" w:color="auto"/>
          </w:divBdr>
        </w:div>
        <w:div w:id="1801418437">
          <w:marLeft w:val="0"/>
          <w:marRight w:val="0"/>
          <w:marTop w:val="0"/>
          <w:marBottom w:val="0"/>
          <w:divBdr>
            <w:top w:val="none" w:sz="0" w:space="0" w:color="auto"/>
            <w:left w:val="none" w:sz="0" w:space="0" w:color="auto"/>
            <w:bottom w:val="none" w:sz="0" w:space="0" w:color="auto"/>
            <w:right w:val="none" w:sz="0" w:space="0" w:color="auto"/>
          </w:divBdr>
        </w:div>
        <w:div w:id="1803770885">
          <w:marLeft w:val="0"/>
          <w:marRight w:val="0"/>
          <w:marTop w:val="0"/>
          <w:marBottom w:val="0"/>
          <w:divBdr>
            <w:top w:val="none" w:sz="0" w:space="0" w:color="auto"/>
            <w:left w:val="none" w:sz="0" w:space="0" w:color="auto"/>
            <w:bottom w:val="none" w:sz="0" w:space="0" w:color="auto"/>
            <w:right w:val="none" w:sz="0" w:space="0" w:color="auto"/>
          </w:divBdr>
        </w:div>
        <w:div w:id="1805535972">
          <w:marLeft w:val="0"/>
          <w:marRight w:val="0"/>
          <w:marTop w:val="0"/>
          <w:marBottom w:val="0"/>
          <w:divBdr>
            <w:top w:val="none" w:sz="0" w:space="0" w:color="auto"/>
            <w:left w:val="none" w:sz="0" w:space="0" w:color="auto"/>
            <w:bottom w:val="none" w:sz="0" w:space="0" w:color="auto"/>
            <w:right w:val="none" w:sz="0" w:space="0" w:color="auto"/>
          </w:divBdr>
        </w:div>
        <w:div w:id="1822621952">
          <w:marLeft w:val="0"/>
          <w:marRight w:val="0"/>
          <w:marTop w:val="0"/>
          <w:marBottom w:val="0"/>
          <w:divBdr>
            <w:top w:val="none" w:sz="0" w:space="0" w:color="auto"/>
            <w:left w:val="none" w:sz="0" w:space="0" w:color="auto"/>
            <w:bottom w:val="none" w:sz="0" w:space="0" w:color="auto"/>
            <w:right w:val="none" w:sz="0" w:space="0" w:color="auto"/>
          </w:divBdr>
        </w:div>
        <w:div w:id="1824472068">
          <w:marLeft w:val="0"/>
          <w:marRight w:val="0"/>
          <w:marTop w:val="0"/>
          <w:marBottom w:val="0"/>
          <w:divBdr>
            <w:top w:val="none" w:sz="0" w:space="0" w:color="auto"/>
            <w:left w:val="none" w:sz="0" w:space="0" w:color="auto"/>
            <w:bottom w:val="none" w:sz="0" w:space="0" w:color="auto"/>
            <w:right w:val="none" w:sz="0" w:space="0" w:color="auto"/>
          </w:divBdr>
        </w:div>
        <w:div w:id="1827891031">
          <w:marLeft w:val="0"/>
          <w:marRight w:val="0"/>
          <w:marTop w:val="0"/>
          <w:marBottom w:val="0"/>
          <w:divBdr>
            <w:top w:val="none" w:sz="0" w:space="0" w:color="auto"/>
            <w:left w:val="none" w:sz="0" w:space="0" w:color="auto"/>
            <w:bottom w:val="none" w:sz="0" w:space="0" w:color="auto"/>
            <w:right w:val="none" w:sz="0" w:space="0" w:color="auto"/>
          </w:divBdr>
        </w:div>
        <w:div w:id="1829903900">
          <w:marLeft w:val="0"/>
          <w:marRight w:val="0"/>
          <w:marTop w:val="0"/>
          <w:marBottom w:val="0"/>
          <w:divBdr>
            <w:top w:val="none" w:sz="0" w:space="0" w:color="auto"/>
            <w:left w:val="none" w:sz="0" w:space="0" w:color="auto"/>
            <w:bottom w:val="none" w:sz="0" w:space="0" w:color="auto"/>
            <w:right w:val="none" w:sz="0" w:space="0" w:color="auto"/>
          </w:divBdr>
        </w:div>
        <w:div w:id="1861619985">
          <w:marLeft w:val="0"/>
          <w:marRight w:val="0"/>
          <w:marTop w:val="0"/>
          <w:marBottom w:val="0"/>
          <w:divBdr>
            <w:top w:val="none" w:sz="0" w:space="0" w:color="auto"/>
            <w:left w:val="none" w:sz="0" w:space="0" w:color="auto"/>
            <w:bottom w:val="none" w:sz="0" w:space="0" w:color="auto"/>
            <w:right w:val="none" w:sz="0" w:space="0" w:color="auto"/>
          </w:divBdr>
        </w:div>
        <w:div w:id="1862744981">
          <w:marLeft w:val="0"/>
          <w:marRight w:val="0"/>
          <w:marTop w:val="0"/>
          <w:marBottom w:val="0"/>
          <w:divBdr>
            <w:top w:val="none" w:sz="0" w:space="0" w:color="auto"/>
            <w:left w:val="none" w:sz="0" w:space="0" w:color="auto"/>
            <w:bottom w:val="none" w:sz="0" w:space="0" w:color="auto"/>
            <w:right w:val="none" w:sz="0" w:space="0" w:color="auto"/>
          </w:divBdr>
        </w:div>
        <w:div w:id="1863938731">
          <w:marLeft w:val="0"/>
          <w:marRight w:val="0"/>
          <w:marTop w:val="0"/>
          <w:marBottom w:val="0"/>
          <w:divBdr>
            <w:top w:val="none" w:sz="0" w:space="0" w:color="auto"/>
            <w:left w:val="none" w:sz="0" w:space="0" w:color="auto"/>
            <w:bottom w:val="none" w:sz="0" w:space="0" w:color="auto"/>
            <w:right w:val="none" w:sz="0" w:space="0" w:color="auto"/>
          </w:divBdr>
        </w:div>
        <w:div w:id="1877690371">
          <w:marLeft w:val="0"/>
          <w:marRight w:val="0"/>
          <w:marTop w:val="0"/>
          <w:marBottom w:val="0"/>
          <w:divBdr>
            <w:top w:val="none" w:sz="0" w:space="0" w:color="auto"/>
            <w:left w:val="none" w:sz="0" w:space="0" w:color="auto"/>
            <w:bottom w:val="none" w:sz="0" w:space="0" w:color="auto"/>
            <w:right w:val="none" w:sz="0" w:space="0" w:color="auto"/>
          </w:divBdr>
        </w:div>
        <w:div w:id="1890918710">
          <w:marLeft w:val="0"/>
          <w:marRight w:val="0"/>
          <w:marTop w:val="0"/>
          <w:marBottom w:val="0"/>
          <w:divBdr>
            <w:top w:val="none" w:sz="0" w:space="0" w:color="auto"/>
            <w:left w:val="none" w:sz="0" w:space="0" w:color="auto"/>
            <w:bottom w:val="none" w:sz="0" w:space="0" w:color="auto"/>
            <w:right w:val="none" w:sz="0" w:space="0" w:color="auto"/>
          </w:divBdr>
        </w:div>
        <w:div w:id="1898592718">
          <w:marLeft w:val="0"/>
          <w:marRight w:val="0"/>
          <w:marTop w:val="0"/>
          <w:marBottom w:val="0"/>
          <w:divBdr>
            <w:top w:val="none" w:sz="0" w:space="0" w:color="auto"/>
            <w:left w:val="none" w:sz="0" w:space="0" w:color="auto"/>
            <w:bottom w:val="none" w:sz="0" w:space="0" w:color="auto"/>
            <w:right w:val="none" w:sz="0" w:space="0" w:color="auto"/>
          </w:divBdr>
        </w:div>
        <w:div w:id="1925145249">
          <w:marLeft w:val="0"/>
          <w:marRight w:val="0"/>
          <w:marTop w:val="0"/>
          <w:marBottom w:val="0"/>
          <w:divBdr>
            <w:top w:val="none" w:sz="0" w:space="0" w:color="auto"/>
            <w:left w:val="none" w:sz="0" w:space="0" w:color="auto"/>
            <w:bottom w:val="none" w:sz="0" w:space="0" w:color="auto"/>
            <w:right w:val="none" w:sz="0" w:space="0" w:color="auto"/>
          </w:divBdr>
        </w:div>
        <w:div w:id="1946688248">
          <w:marLeft w:val="0"/>
          <w:marRight w:val="0"/>
          <w:marTop w:val="0"/>
          <w:marBottom w:val="0"/>
          <w:divBdr>
            <w:top w:val="none" w:sz="0" w:space="0" w:color="auto"/>
            <w:left w:val="none" w:sz="0" w:space="0" w:color="auto"/>
            <w:bottom w:val="none" w:sz="0" w:space="0" w:color="auto"/>
            <w:right w:val="none" w:sz="0" w:space="0" w:color="auto"/>
          </w:divBdr>
        </w:div>
        <w:div w:id="1960455781">
          <w:marLeft w:val="0"/>
          <w:marRight w:val="0"/>
          <w:marTop w:val="0"/>
          <w:marBottom w:val="0"/>
          <w:divBdr>
            <w:top w:val="none" w:sz="0" w:space="0" w:color="auto"/>
            <w:left w:val="none" w:sz="0" w:space="0" w:color="auto"/>
            <w:bottom w:val="none" w:sz="0" w:space="0" w:color="auto"/>
            <w:right w:val="none" w:sz="0" w:space="0" w:color="auto"/>
          </w:divBdr>
        </w:div>
        <w:div w:id="1967084536">
          <w:marLeft w:val="0"/>
          <w:marRight w:val="0"/>
          <w:marTop w:val="0"/>
          <w:marBottom w:val="0"/>
          <w:divBdr>
            <w:top w:val="none" w:sz="0" w:space="0" w:color="auto"/>
            <w:left w:val="none" w:sz="0" w:space="0" w:color="auto"/>
            <w:bottom w:val="none" w:sz="0" w:space="0" w:color="auto"/>
            <w:right w:val="none" w:sz="0" w:space="0" w:color="auto"/>
          </w:divBdr>
        </w:div>
        <w:div w:id="1970817779">
          <w:marLeft w:val="0"/>
          <w:marRight w:val="0"/>
          <w:marTop w:val="0"/>
          <w:marBottom w:val="0"/>
          <w:divBdr>
            <w:top w:val="none" w:sz="0" w:space="0" w:color="auto"/>
            <w:left w:val="none" w:sz="0" w:space="0" w:color="auto"/>
            <w:bottom w:val="none" w:sz="0" w:space="0" w:color="auto"/>
            <w:right w:val="none" w:sz="0" w:space="0" w:color="auto"/>
          </w:divBdr>
        </w:div>
        <w:div w:id="1990552890">
          <w:marLeft w:val="0"/>
          <w:marRight w:val="0"/>
          <w:marTop w:val="0"/>
          <w:marBottom w:val="0"/>
          <w:divBdr>
            <w:top w:val="none" w:sz="0" w:space="0" w:color="auto"/>
            <w:left w:val="none" w:sz="0" w:space="0" w:color="auto"/>
            <w:bottom w:val="none" w:sz="0" w:space="0" w:color="auto"/>
            <w:right w:val="none" w:sz="0" w:space="0" w:color="auto"/>
          </w:divBdr>
        </w:div>
        <w:div w:id="2001346445">
          <w:marLeft w:val="0"/>
          <w:marRight w:val="0"/>
          <w:marTop w:val="0"/>
          <w:marBottom w:val="0"/>
          <w:divBdr>
            <w:top w:val="none" w:sz="0" w:space="0" w:color="auto"/>
            <w:left w:val="none" w:sz="0" w:space="0" w:color="auto"/>
            <w:bottom w:val="none" w:sz="0" w:space="0" w:color="auto"/>
            <w:right w:val="none" w:sz="0" w:space="0" w:color="auto"/>
          </w:divBdr>
        </w:div>
        <w:div w:id="2001883732">
          <w:marLeft w:val="0"/>
          <w:marRight w:val="0"/>
          <w:marTop w:val="0"/>
          <w:marBottom w:val="0"/>
          <w:divBdr>
            <w:top w:val="none" w:sz="0" w:space="0" w:color="auto"/>
            <w:left w:val="none" w:sz="0" w:space="0" w:color="auto"/>
            <w:bottom w:val="none" w:sz="0" w:space="0" w:color="auto"/>
            <w:right w:val="none" w:sz="0" w:space="0" w:color="auto"/>
          </w:divBdr>
        </w:div>
      </w:divsChild>
    </w:div>
    <w:div w:id="572468237">
      <w:bodyDiv w:val="1"/>
      <w:marLeft w:val="0"/>
      <w:marRight w:val="0"/>
      <w:marTop w:val="0"/>
      <w:marBottom w:val="0"/>
      <w:divBdr>
        <w:top w:val="none" w:sz="0" w:space="0" w:color="auto"/>
        <w:left w:val="none" w:sz="0" w:space="0" w:color="auto"/>
        <w:bottom w:val="none" w:sz="0" w:space="0" w:color="auto"/>
        <w:right w:val="none" w:sz="0" w:space="0" w:color="auto"/>
      </w:divBdr>
    </w:div>
    <w:div w:id="572474892">
      <w:bodyDiv w:val="1"/>
      <w:marLeft w:val="0"/>
      <w:marRight w:val="0"/>
      <w:marTop w:val="0"/>
      <w:marBottom w:val="0"/>
      <w:divBdr>
        <w:top w:val="none" w:sz="0" w:space="0" w:color="auto"/>
        <w:left w:val="none" w:sz="0" w:space="0" w:color="auto"/>
        <w:bottom w:val="none" w:sz="0" w:space="0" w:color="auto"/>
        <w:right w:val="none" w:sz="0" w:space="0" w:color="auto"/>
      </w:divBdr>
    </w:div>
    <w:div w:id="572592809">
      <w:bodyDiv w:val="1"/>
      <w:marLeft w:val="0"/>
      <w:marRight w:val="0"/>
      <w:marTop w:val="0"/>
      <w:marBottom w:val="0"/>
      <w:divBdr>
        <w:top w:val="none" w:sz="0" w:space="0" w:color="auto"/>
        <w:left w:val="none" w:sz="0" w:space="0" w:color="auto"/>
        <w:bottom w:val="none" w:sz="0" w:space="0" w:color="auto"/>
        <w:right w:val="none" w:sz="0" w:space="0" w:color="auto"/>
      </w:divBdr>
    </w:div>
    <w:div w:id="572620291">
      <w:bodyDiv w:val="1"/>
      <w:marLeft w:val="0"/>
      <w:marRight w:val="0"/>
      <w:marTop w:val="0"/>
      <w:marBottom w:val="0"/>
      <w:divBdr>
        <w:top w:val="none" w:sz="0" w:space="0" w:color="auto"/>
        <w:left w:val="none" w:sz="0" w:space="0" w:color="auto"/>
        <w:bottom w:val="none" w:sz="0" w:space="0" w:color="auto"/>
        <w:right w:val="none" w:sz="0" w:space="0" w:color="auto"/>
      </w:divBdr>
    </w:div>
    <w:div w:id="572659653">
      <w:bodyDiv w:val="1"/>
      <w:marLeft w:val="0"/>
      <w:marRight w:val="0"/>
      <w:marTop w:val="0"/>
      <w:marBottom w:val="0"/>
      <w:divBdr>
        <w:top w:val="none" w:sz="0" w:space="0" w:color="auto"/>
        <w:left w:val="none" w:sz="0" w:space="0" w:color="auto"/>
        <w:bottom w:val="none" w:sz="0" w:space="0" w:color="auto"/>
        <w:right w:val="none" w:sz="0" w:space="0" w:color="auto"/>
      </w:divBdr>
    </w:div>
    <w:div w:id="572741644">
      <w:bodyDiv w:val="1"/>
      <w:marLeft w:val="0"/>
      <w:marRight w:val="0"/>
      <w:marTop w:val="0"/>
      <w:marBottom w:val="0"/>
      <w:divBdr>
        <w:top w:val="none" w:sz="0" w:space="0" w:color="auto"/>
        <w:left w:val="none" w:sz="0" w:space="0" w:color="auto"/>
        <w:bottom w:val="none" w:sz="0" w:space="0" w:color="auto"/>
        <w:right w:val="none" w:sz="0" w:space="0" w:color="auto"/>
      </w:divBdr>
    </w:div>
    <w:div w:id="572860041">
      <w:bodyDiv w:val="1"/>
      <w:marLeft w:val="0"/>
      <w:marRight w:val="0"/>
      <w:marTop w:val="0"/>
      <w:marBottom w:val="0"/>
      <w:divBdr>
        <w:top w:val="none" w:sz="0" w:space="0" w:color="auto"/>
        <w:left w:val="none" w:sz="0" w:space="0" w:color="auto"/>
        <w:bottom w:val="none" w:sz="0" w:space="0" w:color="auto"/>
        <w:right w:val="none" w:sz="0" w:space="0" w:color="auto"/>
      </w:divBdr>
    </w:div>
    <w:div w:id="572860129">
      <w:bodyDiv w:val="1"/>
      <w:marLeft w:val="0"/>
      <w:marRight w:val="0"/>
      <w:marTop w:val="0"/>
      <w:marBottom w:val="0"/>
      <w:divBdr>
        <w:top w:val="none" w:sz="0" w:space="0" w:color="auto"/>
        <w:left w:val="none" w:sz="0" w:space="0" w:color="auto"/>
        <w:bottom w:val="none" w:sz="0" w:space="0" w:color="auto"/>
        <w:right w:val="none" w:sz="0" w:space="0" w:color="auto"/>
      </w:divBdr>
    </w:div>
    <w:div w:id="573048157">
      <w:bodyDiv w:val="1"/>
      <w:marLeft w:val="0"/>
      <w:marRight w:val="0"/>
      <w:marTop w:val="0"/>
      <w:marBottom w:val="0"/>
      <w:divBdr>
        <w:top w:val="none" w:sz="0" w:space="0" w:color="auto"/>
        <w:left w:val="none" w:sz="0" w:space="0" w:color="auto"/>
        <w:bottom w:val="none" w:sz="0" w:space="0" w:color="auto"/>
        <w:right w:val="none" w:sz="0" w:space="0" w:color="auto"/>
      </w:divBdr>
    </w:div>
    <w:div w:id="573048243">
      <w:bodyDiv w:val="1"/>
      <w:marLeft w:val="0"/>
      <w:marRight w:val="0"/>
      <w:marTop w:val="0"/>
      <w:marBottom w:val="0"/>
      <w:divBdr>
        <w:top w:val="none" w:sz="0" w:space="0" w:color="auto"/>
        <w:left w:val="none" w:sz="0" w:space="0" w:color="auto"/>
        <w:bottom w:val="none" w:sz="0" w:space="0" w:color="auto"/>
        <w:right w:val="none" w:sz="0" w:space="0" w:color="auto"/>
      </w:divBdr>
    </w:div>
    <w:div w:id="573050287">
      <w:bodyDiv w:val="1"/>
      <w:marLeft w:val="0"/>
      <w:marRight w:val="0"/>
      <w:marTop w:val="0"/>
      <w:marBottom w:val="0"/>
      <w:divBdr>
        <w:top w:val="none" w:sz="0" w:space="0" w:color="auto"/>
        <w:left w:val="none" w:sz="0" w:space="0" w:color="auto"/>
        <w:bottom w:val="none" w:sz="0" w:space="0" w:color="auto"/>
        <w:right w:val="none" w:sz="0" w:space="0" w:color="auto"/>
      </w:divBdr>
    </w:div>
    <w:div w:id="573053481">
      <w:bodyDiv w:val="1"/>
      <w:marLeft w:val="0"/>
      <w:marRight w:val="0"/>
      <w:marTop w:val="0"/>
      <w:marBottom w:val="0"/>
      <w:divBdr>
        <w:top w:val="none" w:sz="0" w:space="0" w:color="auto"/>
        <w:left w:val="none" w:sz="0" w:space="0" w:color="auto"/>
        <w:bottom w:val="none" w:sz="0" w:space="0" w:color="auto"/>
        <w:right w:val="none" w:sz="0" w:space="0" w:color="auto"/>
      </w:divBdr>
    </w:div>
    <w:div w:id="573122586">
      <w:bodyDiv w:val="1"/>
      <w:marLeft w:val="0"/>
      <w:marRight w:val="0"/>
      <w:marTop w:val="0"/>
      <w:marBottom w:val="0"/>
      <w:divBdr>
        <w:top w:val="none" w:sz="0" w:space="0" w:color="auto"/>
        <w:left w:val="none" w:sz="0" w:space="0" w:color="auto"/>
        <w:bottom w:val="none" w:sz="0" w:space="0" w:color="auto"/>
        <w:right w:val="none" w:sz="0" w:space="0" w:color="auto"/>
      </w:divBdr>
    </w:div>
    <w:div w:id="573206734">
      <w:bodyDiv w:val="1"/>
      <w:marLeft w:val="0"/>
      <w:marRight w:val="0"/>
      <w:marTop w:val="0"/>
      <w:marBottom w:val="0"/>
      <w:divBdr>
        <w:top w:val="none" w:sz="0" w:space="0" w:color="auto"/>
        <w:left w:val="none" w:sz="0" w:space="0" w:color="auto"/>
        <w:bottom w:val="none" w:sz="0" w:space="0" w:color="auto"/>
        <w:right w:val="none" w:sz="0" w:space="0" w:color="auto"/>
      </w:divBdr>
    </w:div>
    <w:div w:id="573246732">
      <w:bodyDiv w:val="1"/>
      <w:marLeft w:val="0"/>
      <w:marRight w:val="0"/>
      <w:marTop w:val="0"/>
      <w:marBottom w:val="0"/>
      <w:divBdr>
        <w:top w:val="none" w:sz="0" w:space="0" w:color="auto"/>
        <w:left w:val="none" w:sz="0" w:space="0" w:color="auto"/>
        <w:bottom w:val="none" w:sz="0" w:space="0" w:color="auto"/>
        <w:right w:val="none" w:sz="0" w:space="0" w:color="auto"/>
      </w:divBdr>
    </w:div>
    <w:div w:id="573393190">
      <w:bodyDiv w:val="1"/>
      <w:marLeft w:val="0"/>
      <w:marRight w:val="0"/>
      <w:marTop w:val="0"/>
      <w:marBottom w:val="0"/>
      <w:divBdr>
        <w:top w:val="none" w:sz="0" w:space="0" w:color="auto"/>
        <w:left w:val="none" w:sz="0" w:space="0" w:color="auto"/>
        <w:bottom w:val="none" w:sz="0" w:space="0" w:color="auto"/>
        <w:right w:val="none" w:sz="0" w:space="0" w:color="auto"/>
      </w:divBdr>
    </w:div>
    <w:div w:id="573398417">
      <w:bodyDiv w:val="1"/>
      <w:marLeft w:val="0"/>
      <w:marRight w:val="0"/>
      <w:marTop w:val="0"/>
      <w:marBottom w:val="0"/>
      <w:divBdr>
        <w:top w:val="none" w:sz="0" w:space="0" w:color="auto"/>
        <w:left w:val="none" w:sz="0" w:space="0" w:color="auto"/>
        <w:bottom w:val="none" w:sz="0" w:space="0" w:color="auto"/>
        <w:right w:val="none" w:sz="0" w:space="0" w:color="auto"/>
      </w:divBdr>
    </w:div>
    <w:div w:id="573510334">
      <w:bodyDiv w:val="1"/>
      <w:marLeft w:val="0"/>
      <w:marRight w:val="0"/>
      <w:marTop w:val="0"/>
      <w:marBottom w:val="0"/>
      <w:divBdr>
        <w:top w:val="none" w:sz="0" w:space="0" w:color="auto"/>
        <w:left w:val="none" w:sz="0" w:space="0" w:color="auto"/>
        <w:bottom w:val="none" w:sz="0" w:space="0" w:color="auto"/>
        <w:right w:val="none" w:sz="0" w:space="0" w:color="auto"/>
      </w:divBdr>
    </w:div>
    <w:div w:id="573512403">
      <w:bodyDiv w:val="1"/>
      <w:marLeft w:val="0"/>
      <w:marRight w:val="0"/>
      <w:marTop w:val="0"/>
      <w:marBottom w:val="0"/>
      <w:divBdr>
        <w:top w:val="none" w:sz="0" w:space="0" w:color="auto"/>
        <w:left w:val="none" w:sz="0" w:space="0" w:color="auto"/>
        <w:bottom w:val="none" w:sz="0" w:space="0" w:color="auto"/>
        <w:right w:val="none" w:sz="0" w:space="0" w:color="auto"/>
      </w:divBdr>
    </w:div>
    <w:div w:id="573780357">
      <w:bodyDiv w:val="1"/>
      <w:marLeft w:val="0"/>
      <w:marRight w:val="0"/>
      <w:marTop w:val="0"/>
      <w:marBottom w:val="0"/>
      <w:divBdr>
        <w:top w:val="none" w:sz="0" w:space="0" w:color="auto"/>
        <w:left w:val="none" w:sz="0" w:space="0" w:color="auto"/>
        <w:bottom w:val="none" w:sz="0" w:space="0" w:color="auto"/>
        <w:right w:val="none" w:sz="0" w:space="0" w:color="auto"/>
      </w:divBdr>
    </w:div>
    <w:div w:id="573854090">
      <w:bodyDiv w:val="1"/>
      <w:marLeft w:val="0"/>
      <w:marRight w:val="0"/>
      <w:marTop w:val="0"/>
      <w:marBottom w:val="0"/>
      <w:divBdr>
        <w:top w:val="none" w:sz="0" w:space="0" w:color="auto"/>
        <w:left w:val="none" w:sz="0" w:space="0" w:color="auto"/>
        <w:bottom w:val="none" w:sz="0" w:space="0" w:color="auto"/>
        <w:right w:val="none" w:sz="0" w:space="0" w:color="auto"/>
      </w:divBdr>
    </w:div>
    <w:div w:id="573902278">
      <w:bodyDiv w:val="1"/>
      <w:marLeft w:val="0"/>
      <w:marRight w:val="0"/>
      <w:marTop w:val="0"/>
      <w:marBottom w:val="0"/>
      <w:divBdr>
        <w:top w:val="none" w:sz="0" w:space="0" w:color="auto"/>
        <w:left w:val="none" w:sz="0" w:space="0" w:color="auto"/>
        <w:bottom w:val="none" w:sz="0" w:space="0" w:color="auto"/>
        <w:right w:val="none" w:sz="0" w:space="0" w:color="auto"/>
      </w:divBdr>
    </w:div>
    <w:div w:id="574054718">
      <w:bodyDiv w:val="1"/>
      <w:marLeft w:val="0"/>
      <w:marRight w:val="0"/>
      <w:marTop w:val="0"/>
      <w:marBottom w:val="0"/>
      <w:divBdr>
        <w:top w:val="none" w:sz="0" w:space="0" w:color="auto"/>
        <w:left w:val="none" w:sz="0" w:space="0" w:color="auto"/>
        <w:bottom w:val="none" w:sz="0" w:space="0" w:color="auto"/>
        <w:right w:val="none" w:sz="0" w:space="0" w:color="auto"/>
      </w:divBdr>
    </w:div>
    <w:div w:id="574511775">
      <w:bodyDiv w:val="1"/>
      <w:marLeft w:val="0"/>
      <w:marRight w:val="0"/>
      <w:marTop w:val="0"/>
      <w:marBottom w:val="0"/>
      <w:divBdr>
        <w:top w:val="none" w:sz="0" w:space="0" w:color="auto"/>
        <w:left w:val="none" w:sz="0" w:space="0" w:color="auto"/>
        <w:bottom w:val="none" w:sz="0" w:space="0" w:color="auto"/>
        <w:right w:val="none" w:sz="0" w:space="0" w:color="auto"/>
      </w:divBdr>
    </w:div>
    <w:div w:id="574586198">
      <w:bodyDiv w:val="1"/>
      <w:marLeft w:val="0"/>
      <w:marRight w:val="0"/>
      <w:marTop w:val="0"/>
      <w:marBottom w:val="0"/>
      <w:divBdr>
        <w:top w:val="none" w:sz="0" w:space="0" w:color="auto"/>
        <w:left w:val="none" w:sz="0" w:space="0" w:color="auto"/>
        <w:bottom w:val="none" w:sz="0" w:space="0" w:color="auto"/>
        <w:right w:val="none" w:sz="0" w:space="0" w:color="auto"/>
      </w:divBdr>
    </w:div>
    <w:div w:id="574629135">
      <w:bodyDiv w:val="1"/>
      <w:marLeft w:val="0"/>
      <w:marRight w:val="0"/>
      <w:marTop w:val="0"/>
      <w:marBottom w:val="0"/>
      <w:divBdr>
        <w:top w:val="none" w:sz="0" w:space="0" w:color="auto"/>
        <w:left w:val="none" w:sz="0" w:space="0" w:color="auto"/>
        <w:bottom w:val="none" w:sz="0" w:space="0" w:color="auto"/>
        <w:right w:val="none" w:sz="0" w:space="0" w:color="auto"/>
      </w:divBdr>
    </w:div>
    <w:div w:id="574635186">
      <w:bodyDiv w:val="1"/>
      <w:marLeft w:val="0"/>
      <w:marRight w:val="0"/>
      <w:marTop w:val="0"/>
      <w:marBottom w:val="0"/>
      <w:divBdr>
        <w:top w:val="none" w:sz="0" w:space="0" w:color="auto"/>
        <w:left w:val="none" w:sz="0" w:space="0" w:color="auto"/>
        <w:bottom w:val="none" w:sz="0" w:space="0" w:color="auto"/>
        <w:right w:val="none" w:sz="0" w:space="0" w:color="auto"/>
      </w:divBdr>
    </w:div>
    <w:div w:id="574708490">
      <w:bodyDiv w:val="1"/>
      <w:marLeft w:val="0"/>
      <w:marRight w:val="0"/>
      <w:marTop w:val="0"/>
      <w:marBottom w:val="0"/>
      <w:divBdr>
        <w:top w:val="none" w:sz="0" w:space="0" w:color="auto"/>
        <w:left w:val="none" w:sz="0" w:space="0" w:color="auto"/>
        <w:bottom w:val="none" w:sz="0" w:space="0" w:color="auto"/>
        <w:right w:val="none" w:sz="0" w:space="0" w:color="auto"/>
      </w:divBdr>
    </w:div>
    <w:div w:id="574777053">
      <w:bodyDiv w:val="1"/>
      <w:marLeft w:val="0"/>
      <w:marRight w:val="0"/>
      <w:marTop w:val="0"/>
      <w:marBottom w:val="0"/>
      <w:divBdr>
        <w:top w:val="none" w:sz="0" w:space="0" w:color="auto"/>
        <w:left w:val="none" w:sz="0" w:space="0" w:color="auto"/>
        <w:bottom w:val="none" w:sz="0" w:space="0" w:color="auto"/>
        <w:right w:val="none" w:sz="0" w:space="0" w:color="auto"/>
      </w:divBdr>
    </w:div>
    <w:div w:id="574828103">
      <w:bodyDiv w:val="1"/>
      <w:marLeft w:val="0"/>
      <w:marRight w:val="0"/>
      <w:marTop w:val="0"/>
      <w:marBottom w:val="0"/>
      <w:divBdr>
        <w:top w:val="none" w:sz="0" w:space="0" w:color="auto"/>
        <w:left w:val="none" w:sz="0" w:space="0" w:color="auto"/>
        <w:bottom w:val="none" w:sz="0" w:space="0" w:color="auto"/>
        <w:right w:val="none" w:sz="0" w:space="0" w:color="auto"/>
      </w:divBdr>
    </w:div>
    <w:div w:id="574895553">
      <w:bodyDiv w:val="1"/>
      <w:marLeft w:val="0"/>
      <w:marRight w:val="0"/>
      <w:marTop w:val="0"/>
      <w:marBottom w:val="0"/>
      <w:divBdr>
        <w:top w:val="none" w:sz="0" w:space="0" w:color="auto"/>
        <w:left w:val="none" w:sz="0" w:space="0" w:color="auto"/>
        <w:bottom w:val="none" w:sz="0" w:space="0" w:color="auto"/>
        <w:right w:val="none" w:sz="0" w:space="0" w:color="auto"/>
      </w:divBdr>
    </w:div>
    <w:div w:id="574900935">
      <w:bodyDiv w:val="1"/>
      <w:marLeft w:val="0"/>
      <w:marRight w:val="0"/>
      <w:marTop w:val="0"/>
      <w:marBottom w:val="0"/>
      <w:divBdr>
        <w:top w:val="none" w:sz="0" w:space="0" w:color="auto"/>
        <w:left w:val="none" w:sz="0" w:space="0" w:color="auto"/>
        <w:bottom w:val="none" w:sz="0" w:space="0" w:color="auto"/>
        <w:right w:val="none" w:sz="0" w:space="0" w:color="auto"/>
      </w:divBdr>
    </w:div>
    <w:div w:id="574969507">
      <w:bodyDiv w:val="1"/>
      <w:marLeft w:val="0"/>
      <w:marRight w:val="0"/>
      <w:marTop w:val="0"/>
      <w:marBottom w:val="0"/>
      <w:divBdr>
        <w:top w:val="none" w:sz="0" w:space="0" w:color="auto"/>
        <w:left w:val="none" w:sz="0" w:space="0" w:color="auto"/>
        <w:bottom w:val="none" w:sz="0" w:space="0" w:color="auto"/>
        <w:right w:val="none" w:sz="0" w:space="0" w:color="auto"/>
      </w:divBdr>
    </w:div>
    <w:div w:id="574976022">
      <w:bodyDiv w:val="1"/>
      <w:marLeft w:val="0"/>
      <w:marRight w:val="0"/>
      <w:marTop w:val="0"/>
      <w:marBottom w:val="0"/>
      <w:divBdr>
        <w:top w:val="none" w:sz="0" w:space="0" w:color="auto"/>
        <w:left w:val="none" w:sz="0" w:space="0" w:color="auto"/>
        <w:bottom w:val="none" w:sz="0" w:space="0" w:color="auto"/>
        <w:right w:val="none" w:sz="0" w:space="0" w:color="auto"/>
      </w:divBdr>
    </w:div>
    <w:div w:id="574976133">
      <w:bodyDiv w:val="1"/>
      <w:marLeft w:val="0"/>
      <w:marRight w:val="0"/>
      <w:marTop w:val="0"/>
      <w:marBottom w:val="0"/>
      <w:divBdr>
        <w:top w:val="none" w:sz="0" w:space="0" w:color="auto"/>
        <w:left w:val="none" w:sz="0" w:space="0" w:color="auto"/>
        <w:bottom w:val="none" w:sz="0" w:space="0" w:color="auto"/>
        <w:right w:val="none" w:sz="0" w:space="0" w:color="auto"/>
      </w:divBdr>
    </w:div>
    <w:div w:id="574977670">
      <w:bodyDiv w:val="1"/>
      <w:marLeft w:val="0"/>
      <w:marRight w:val="0"/>
      <w:marTop w:val="0"/>
      <w:marBottom w:val="0"/>
      <w:divBdr>
        <w:top w:val="none" w:sz="0" w:space="0" w:color="auto"/>
        <w:left w:val="none" w:sz="0" w:space="0" w:color="auto"/>
        <w:bottom w:val="none" w:sz="0" w:space="0" w:color="auto"/>
        <w:right w:val="none" w:sz="0" w:space="0" w:color="auto"/>
      </w:divBdr>
    </w:div>
    <w:div w:id="575021159">
      <w:bodyDiv w:val="1"/>
      <w:marLeft w:val="0"/>
      <w:marRight w:val="0"/>
      <w:marTop w:val="0"/>
      <w:marBottom w:val="0"/>
      <w:divBdr>
        <w:top w:val="none" w:sz="0" w:space="0" w:color="auto"/>
        <w:left w:val="none" w:sz="0" w:space="0" w:color="auto"/>
        <w:bottom w:val="none" w:sz="0" w:space="0" w:color="auto"/>
        <w:right w:val="none" w:sz="0" w:space="0" w:color="auto"/>
      </w:divBdr>
    </w:div>
    <w:div w:id="575211527">
      <w:bodyDiv w:val="1"/>
      <w:marLeft w:val="0"/>
      <w:marRight w:val="0"/>
      <w:marTop w:val="0"/>
      <w:marBottom w:val="0"/>
      <w:divBdr>
        <w:top w:val="none" w:sz="0" w:space="0" w:color="auto"/>
        <w:left w:val="none" w:sz="0" w:space="0" w:color="auto"/>
        <w:bottom w:val="none" w:sz="0" w:space="0" w:color="auto"/>
        <w:right w:val="none" w:sz="0" w:space="0" w:color="auto"/>
      </w:divBdr>
    </w:div>
    <w:div w:id="575364184">
      <w:bodyDiv w:val="1"/>
      <w:marLeft w:val="0"/>
      <w:marRight w:val="0"/>
      <w:marTop w:val="0"/>
      <w:marBottom w:val="0"/>
      <w:divBdr>
        <w:top w:val="none" w:sz="0" w:space="0" w:color="auto"/>
        <w:left w:val="none" w:sz="0" w:space="0" w:color="auto"/>
        <w:bottom w:val="none" w:sz="0" w:space="0" w:color="auto"/>
        <w:right w:val="none" w:sz="0" w:space="0" w:color="auto"/>
      </w:divBdr>
    </w:div>
    <w:div w:id="575432895">
      <w:bodyDiv w:val="1"/>
      <w:marLeft w:val="0"/>
      <w:marRight w:val="0"/>
      <w:marTop w:val="0"/>
      <w:marBottom w:val="0"/>
      <w:divBdr>
        <w:top w:val="none" w:sz="0" w:space="0" w:color="auto"/>
        <w:left w:val="none" w:sz="0" w:space="0" w:color="auto"/>
        <w:bottom w:val="none" w:sz="0" w:space="0" w:color="auto"/>
        <w:right w:val="none" w:sz="0" w:space="0" w:color="auto"/>
      </w:divBdr>
    </w:div>
    <w:div w:id="575433596">
      <w:bodyDiv w:val="1"/>
      <w:marLeft w:val="0"/>
      <w:marRight w:val="0"/>
      <w:marTop w:val="0"/>
      <w:marBottom w:val="0"/>
      <w:divBdr>
        <w:top w:val="none" w:sz="0" w:space="0" w:color="auto"/>
        <w:left w:val="none" w:sz="0" w:space="0" w:color="auto"/>
        <w:bottom w:val="none" w:sz="0" w:space="0" w:color="auto"/>
        <w:right w:val="none" w:sz="0" w:space="0" w:color="auto"/>
      </w:divBdr>
    </w:div>
    <w:div w:id="575434589">
      <w:bodyDiv w:val="1"/>
      <w:marLeft w:val="0"/>
      <w:marRight w:val="0"/>
      <w:marTop w:val="0"/>
      <w:marBottom w:val="0"/>
      <w:divBdr>
        <w:top w:val="none" w:sz="0" w:space="0" w:color="auto"/>
        <w:left w:val="none" w:sz="0" w:space="0" w:color="auto"/>
        <w:bottom w:val="none" w:sz="0" w:space="0" w:color="auto"/>
        <w:right w:val="none" w:sz="0" w:space="0" w:color="auto"/>
      </w:divBdr>
    </w:div>
    <w:div w:id="575475907">
      <w:bodyDiv w:val="1"/>
      <w:marLeft w:val="0"/>
      <w:marRight w:val="0"/>
      <w:marTop w:val="0"/>
      <w:marBottom w:val="0"/>
      <w:divBdr>
        <w:top w:val="none" w:sz="0" w:space="0" w:color="auto"/>
        <w:left w:val="none" w:sz="0" w:space="0" w:color="auto"/>
        <w:bottom w:val="none" w:sz="0" w:space="0" w:color="auto"/>
        <w:right w:val="none" w:sz="0" w:space="0" w:color="auto"/>
      </w:divBdr>
    </w:div>
    <w:div w:id="575555110">
      <w:bodyDiv w:val="1"/>
      <w:marLeft w:val="0"/>
      <w:marRight w:val="0"/>
      <w:marTop w:val="0"/>
      <w:marBottom w:val="0"/>
      <w:divBdr>
        <w:top w:val="none" w:sz="0" w:space="0" w:color="auto"/>
        <w:left w:val="none" w:sz="0" w:space="0" w:color="auto"/>
        <w:bottom w:val="none" w:sz="0" w:space="0" w:color="auto"/>
        <w:right w:val="none" w:sz="0" w:space="0" w:color="auto"/>
      </w:divBdr>
    </w:div>
    <w:div w:id="575556821">
      <w:bodyDiv w:val="1"/>
      <w:marLeft w:val="0"/>
      <w:marRight w:val="0"/>
      <w:marTop w:val="0"/>
      <w:marBottom w:val="0"/>
      <w:divBdr>
        <w:top w:val="none" w:sz="0" w:space="0" w:color="auto"/>
        <w:left w:val="none" w:sz="0" w:space="0" w:color="auto"/>
        <w:bottom w:val="none" w:sz="0" w:space="0" w:color="auto"/>
        <w:right w:val="none" w:sz="0" w:space="0" w:color="auto"/>
      </w:divBdr>
    </w:div>
    <w:div w:id="575557816">
      <w:bodyDiv w:val="1"/>
      <w:marLeft w:val="0"/>
      <w:marRight w:val="0"/>
      <w:marTop w:val="0"/>
      <w:marBottom w:val="0"/>
      <w:divBdr>
        <w:top w:val="none" w:sz="0" w:space="0" w:color="auto"/>
        <w:left w:val="none" w:sz="0" w:space="0" w:color="auto"/>
        <w:bottom w:val="none" w:sz="0" w:space="0" w:color="auto"/>
        <w:right w:val="none" w:sz="0" w:space="0" w:color="auto"/>
      </w:divBdr>
    </w:div>
    <w:div w:id="575634514">
      <w:bodyDiv w:val="1"/>
      <w:marLeft w:val="0"/>
      <w:marRight w:val="0"/>
      <w:marTop w:val="0"/>
      <w:marBottom w:val="0"/>
      <w:divBdr>
        <w:top w:val="none" w:sz="0" w:space="0" w:color="auto"/>
        <w:left w:val="none" w:sz="0" w:space="0" w:color="auto"/>
        <w:bottom w:val="none" w:sz="0" w:space="0" w:color="auto"/>
        <w:right w:val="none" w:sz="0" w:space="0" w:color="auto"/>
      </w:divBdr>
    </w:div>
    <w:div w:id="575749155">
      <w:bodyDiv w:val="1"/>
      <w:marLeft w:val="0"/>
      <w:marRight w:val="0"/>
      <w:marTop w:val="0"/>
      <w:marBottom w:val="0"/>
      <w:divBdr>
        <w:top w:val="none" w:sz="0" w:space="0" w:color="auto"/>
        <w:left w:val="none" w:sz="0" w:space="0" w:color="auto"/>
        <w:bottom w:val="none" w:sz="0" w:space="0" w:color="auto"/>
        <w:right w:val="none" w:sz="0" w:space="0" w:color="auto"/>
      </w:divBdr>
    </w:div>
    <w:div w:id="575820595">
      <w:bodyDiv w:val="1"/>
      <w:marLeft w:val="0"/>
      <w:marRight w:val="0"/>
      <w:marTop w:val="0"/>
      <w:marBottom w:val="0"/>
      <w:divBdr>
        <w:top w:val="none" w:sz="0" w:space="0" w:color="auto"/>
        <w:left w:val="none" w:sz="0" w:space="0" w:color="auto"/>
        <w:bottom w:val="none" w:sz="0" w:space="0" w:color="auto"/>
        <w:right w:val="none" w:sz="0" w:space="0" w:color="auto"/>
      </w:divBdr>
    </w:div>
    <w:div w:id="575821449">
      <w:bodyDiv w:val="1"/>
      <w:marLeft w:val="0"/>
      <w:marRight w:val="0"/>
      <w:marTop w:val="0"/>
      <w:marBottom w:val="0"/>
      <w:divBdr>
        <w:top w:val="none" w:sz="0" w:space="0" w:color="auto"/>
        <w:left w:val="none" w:sz="0" w:space="0" w:color="auto"/>
        <w:bottom w:val="none" w:sz="0" w:space="0" w:color="auto"/>
        <w:right w:val="none" w:sz="0" w:space="0" w:color="auto"/>
      </w:divBdr>
    </w:div>
    <w:div w:id="575936028">
      <w:bodyDiv w:val="1"/>
      <w:marLeft w:val="0"/>
      <w:marRight w:val="0"/>
      <w:marTop w:val="0"/>
      <w:marBottom w:val="0"/>
      <w:divBdr>
        <w:top w:val="none" w:sz="0" w:space="0" w:color="auto"/>
        <w:left w:val="none" w:sz="0" w:space="0" w:color="auto"/>
        <w:bottom w:val="none" w:sz="0" w:space="0" w:color="auto"/>
        <w:right w:val="none" w:sz="0" w:space="0" w:color="auto"/>
      </w:divBdr>
    </w:div>
    <w:div w:id="576017072">
      <w:bodyDiv w:val="1"/>
      <w:marLeft w:val="0"/>
      <w:marRight w:val="0"/>
      <w:marTop w:val="0"/>
      <w:marBottom w:val="0"/>
      <w:divBdr>
        <w:top w:val="none" w:sz="0" w:space="0" w:color="auto"/>
        <w:left w:val="none" w:sz="0" w:space="0" w:color="auto"/>
        <w:bottom w:val="none" w:sz="0" w:space="0" w:color="auto"/>
        <w:right w:val="none" w:sz="0" w:space="0" w:color="auto"/>
      </w:divBdr>
    </w:div>
    <w:div w:id="576017367">
      <w:bodyDiv w:val="1"/>
      <w:marLeft w:val="0"/>
      <w:marRight w:val="0"/>
      <w:marTop w:val="0"/>
      <w:marBottom w:val="0"/>
      <w:divBdr>
        <w:top w:val="none" w:sz="0" w:space="0" w:color="auto"/>
        <w:left w:val="none" w:sz="0" w:space="0" w:color="auto"/>
        <w:bottom w:val="none" w:sz="0" w:space="0" w:color="auto"/>
        <w:right w:val="none" w:sz="0" w:space="0" w:color="auto"/>
      </w:divBdr>
    </w:div>
    <w:div w:id="576063057">
      <w:bodyDiv w:val="1"/>
      <w:marLeft w:val="0"/>
      <w:marRight w:val="0"/>
      <w:marTop w:val="0"/>
      <w:marBottom w:val="0"/>
      <w:divBdr>
        <w:top w:val="none" w:sz="0" w:space="0" w:color="auto"/>
        <w:left w:val="none" w:sz="0" w:space="0" w:color="auto"/>
        <w:bottom w:val="none" w:sz="0" w:space="0" w:color="auto"/>
        <w:right w:val="none" w:sz="0" w:space="0" w:color="auto"/>
      </w:divBdr>
    </w:div>
    <w:div w:id="576129474">
      <w:bodyDiv w:val="1"/>
      <w:marLeft w:val="0"/>
      <w:marRight w:val="0"/>
      <w:marTop w:val="0"/>
      <w:marBottom w:val="0"/>
      <w:divBdr>
        <w:top w:val="none" w:sz="0" w:space="0" w:color="auto"/>
        <w:left w:val="none" w:sz="0" w:space="0" w:color="auto"/>
        <w:bottom w:val="none" w:sz="0" w:space="0" w:color="auto"/>
        <w:right w:val="none" w:sz="0" w:space="0" w:color="auto"/>
      </w:divBdr>
    </w:div>
    <w:div w:id="576134437">
      <w:bodyDiv w:val="1"/>
      <w:marLeft w:val="0"/>
      <w:marRight w:val="0"/>
      <w:marTop w:val="0"/>
      <w:marBottom w:val="0"/>
      <w:divBdr>
        <w:top w:val="none" w:sz="0" w:space="0" w:color="auto"/>
        <w:left w:val="none" w:sz="0" w:space="0" w:color="auto"/>
        <w:bottom w:val="none" w:sz="0" w:space="0" w:color="auto"/>
        <w:right w:val="none" w:sz="0" w:space="0" w:color="auto"/>
      </w:divBdr>
    </w:div>
    <w:div w:id="576326912">
      <w:bodyDiv w:val="1"/>
      <w:marLeft w:val="0"/>
      <w:marRight w:val="0"/>
      <w:marTop w:val="0"/>
      <w:marBottom w:val="0"/>
      <w:divBdr>
        <w:top w:val="none" w:sz="0" w:space="0" w:color="auto"/>
        <w:left w:val="none" w:sz="0" w:space="0" w:color="auto"/>
        <w:bottom w:val="none" w:sz="0" w:space="0" w:color="auto"/>
        <w:right w:val="none" w:sz="0" w:space="0" w:color="auto"/>
      </w:divBdr>
    </w:div>
    <w:div w:id="576398872">
      <w:bodyDiv w:val="1"/>
      <w:marLeft w:val="0"/>
      <w:marRight w:val="0"/>
      <w:marTop w:val="0"/>
      <w:marBottom w:val="0"/>
      <w:divBdr>
        <w:top w:val="none" w:sz="0" w:space="0" w:color="auto"/>
        <w:left w:val="none" w:sz="0" w:space="0" w:color="auto"/>
        <w:bottom w:val="none" w:sz="0" w:space="0" w:color="auto"/>
        <w:right w:val="none" w:sz="0" w:space="0" w:color="auto"/>
      </w:divBdr>
    </w:div>
    <w:div w:id="576403797">
      <w:bodyDiv w:val="1"/>
      <w:marLeft w:val="0"/>
      <w:marRight w:val="0"/>
      <w:marTop w:val="0"/>
      <w:marBottom w:val="0"/>
      <w:divBdr>
        <w:top w:val="none" w:sz="0" w:space="0" w:color="auto"/>
        <w:left w:val="none" w:sz="0" w:space="0" w:color="auto"/>
        <w:bottom w:val="none" w:sz="0" w:space="0" w:color="auto"/>
        <w:right w:val="none" w:sz="0" w:space="0" w:color="auto"/>
      </w:divBdr>
    </w:div>
    <w:div w:id="576596286">
      <w:bodyDiv w:val="1"/>
      <w:marLeft w:val="0"/>
      <w:marRight w:val="0"/>
      <w:marTop w:val="0"/>
      <w:marBottom w:val="0"/>
      <w:divBdr>
        <w:top w:val="none" w:sz="0" w:space="0" w:color="auto"/>
        <w:left w:val="none" w:sz="0" w:space="0" w:color="auto"/>
        <w:bottom w:val="none" w:sz="0" w:space="0" w:color="auto"/>
        <w:right w:val="none" w:sz="0" w:space="0" w:color="auto"/>
      </w:divBdr>
    </w:div>
    <w:div w:id="576747457">
      <w:bodyDiv w:val="1"/>
      <w:marLeft w:val="0"/>
      <w:marRight w:val="0"/>
      <w:marTop w:val="0"/>
      <w:marBottom w:val="0"/>
      <w:divBdr>
        <w:top w:val="none" w:sz="0" w:space="0" w:color="auto"/>
        <w:left w:val="none" w:sz="0" w:space="0" w:color="auto"/>
        <w:bottom w:val="none" w:sz="0" w:space="0" w:color="auto"/>
        <w:right w:val="none" w:sz="0" w:space="0" w:color="auto"/>
      </w:divBdr>
    </w:div>
    <w:div w:id="576749375">
      <w:bodyDiv w:val="1"/>
      <w:marLeft w:val="0"/>
      <w:marRight w:val="0"/>
      <w:marTop w:val="0"/>
      <w:marBottom w:val="0"/>
      <w:divBdr>
        <w:top w:val="none" w:sz="0" w:space="0" w:color="auto"/>
        <w:left w:val="none" w:sz="0" w:space="0" w:color="auto"/>
        <w:bottom w:val="none" w:sz="0" w:space="0" w:color="auto"/>
        <w:right w:val="none" w:sz="0" w:space="0" w:color="auto"/>
      </w:divBdr>
    </w:div>
    <w:div w:id="576786415">
      <w:bodyDiv w:val="1"/>
      <w:marLeft w:val="0"/>
      <w:marRight w:val="0"/>
      <w:marTop w:val="0"/>
      <w:marBottom w:val="0"/>
      <w:divBdr>
        <w:top w:val="none" w:sz="0" w:space="0" w:color="auto"/>
        <w:left w:val="none" w:sz="0" w:space="0" w:color="auto"/>
        <w:bottom w:val="none" w:sz="0" w:space="0" w:color="auto"/>
        <w:right w:val="none" w:sz="0" w:space="0" w:color="auto"/>
      </w:divBdr>
    </w:div>
    <w:div w:id="576939026">
      <w:bodyDiv w:val="1"/>
      <w:marLeft w:val="0"/>
      <w:marRight w:val="0"/>
      <w:marTop w:val="0"/>
      <w:marBottom w:val="0"/>
      <w:divBdr>
        <w:top w:val="none" w:sz="0" w:space="0" w:color="auto"/>
        <w:left w:val="none" w:sz="0" w:space="0" w:color="auto"/>
        <w:bottom w:val="none" w:sz="0" w:space="0" w:color="auto"/>
        <w:right w:val="none" w:sz="0" w:space="0" w:color="auto"/>
      </w:divBdr>
    </w:div>
    <w:div w:id="577059174">
      <w:bodyDiv w:val="1"/>
      <w:marLeft w:val="0"/>
      <w:marRight w:val="0"/>
      <w:marTop w:val="0"/>
      <w:marBottom w:val="0"/>
      <w:divBdr>
        <w:top w:val="none" w:sz="0" w:space="0" w:color="auto"/>
        <w:left w:val="none" w:sz="0" w:space="0" w:color="auto"/>
        <w:bottom w:val="none" w:sz="0" w:space="0" w:color="auto"/>
        <w:right w:val="none" w:sz="0" w:space="0" w:color="auto"/>
      </w:divBdr>
    </w:div>
    <w:div w:id="577180605">
      <w:bodyDiv w:val="1"/>
      <w:marLeft w:val="0"/>
      <w:marRight w:val="0"/>
      <w:marTop w:val="0"/>
      <w:marBottom w:val="0"/>
      <w:divBdr>
        <w:top w:val="none" w:sz="0" w:space="0" w:color="auto"/>
        <w:left w:val="none" w:sz="0" w:space="0" w:color="auto"/>
        <w:bottom w:val="none" w:sz="0" w:space="0" w:color="auto"/>
        <w:right w:val="none" w:sz="0" w:space="0" w:color="auto"/>
      </w:divBdr>
    </w:div>
    <w:div w:id="577203928">
      <w:bodyDiv w:val="1"/>
      <w:marLeft w:val="0"/>
      <w:marRight w:val="0"/>
      <w:marTop w:val="0"/>
      <w:marBottom w:val="0"/>
      <w:divBdr>
        <w:top w:val="none" w:sz="0" w:space="0" w:color="auto"/>
        <w:left w:val="none" w:sz="0" w:space="0" w:color="auto"/>
        <w:bottom w:val="none" w:sz="0" w:space="0" w:color="auto"/>
        <w:right w:val="none" w:sz="0" w:space="0" w:color="auto"/>
      </w:divBdr>
    </w:div>
    <w:div w:id="577256076">
      <w:bodyDiv w:val="1"/>
      <w:marLeft w:val="0"/>
      <w:marRight w:val="0"/>
      <w:marTop w:val="0"/>
      <w:marBottom w:val="0"/>
      <w:divBdr>
        <w:top w:val="none" w:sz="0" w:space="0" w:color="auto"/>
        <w:left w:val="none" w:sz="0" w:space="0" w:color="auto"/>
        <w:bottom w:val="none" w:sz="0" w:space="0" w:color="auto"/>
        <w:right w:val="none" w:sz="0" w:space="0" w:color="auto"/>
      </w:divBdr>
    </w:div>
    <w:div w:id="577326678">
      <w:bodyDiv w:val="1"/>
      <w:marLeft w:val="0"/>
      <w:marRight w:val="0"/>
      <w:marTop w:val="0"/>
      <w:marBottom w:val="0"/>
      <w:divBdr>
        <w:top w:val="none" w:sz="0" w:space="0" w:color="auto"/>
        <w:left w:val="none" w:sz="0" w:space="0" w:color="auto"/>
        <w:bottom w:val="none" w:sz="0" w:space="0" w:color="auto"/>
        <w:right w:val="none" w:sz="0" w:space="0" w:color="auto"/>
      </w:divBdr>
    </w:div>
    <w:div w:id="577397662">
      <w:bodyDiv w:val="1"/>
      <w:marLeft w:val="0"/>
      <w:marRight w:val="0"/>
      <w:marTop w:val="0"/>
      <w:marBottom w:val="0"/>
      <w:divBdr>
        <w:top w:val="none" w:sz="0" w:space="0" w:color="auto"/>
        <w:left w:val="none" w:sz="0" w:space="0" w:color="auto"/>
        <w:bottom w:val="none" w:sz="0" w:space="0" w:color="auto"/>
        <w:right w:val="none" w:sz="0" w:space="0" w:color="auto"/>
      </w:divBdr>
    </w:div>
    <w:div w:id="577441728">
      <w:bodyDiv w:val="1"/>
      <w:marLeft w:val="0"/>
      <w:marRight w:val="0"/>
      <w:marTop w:val="0"/>
      <w:marBottom w:val="0"/>
      <w:divBdr>
        <w:top w:val="none" w:sz="0" w:space="0" w:color="auto"/>
        <w:left w:val="none" w:sz="0" w:space="0" w:color="auto"/>
        <w:bottom w:val="none" w:sz="0" w:space="0" w:color="auto"/>
        <w:right w:val="none" w:sz="0" w:space="0" w:color="auto"/>
      </w:divBdr>
    </w:div>
    <w:div w:id="577518147">
      <w:bodyDiv w:val="1"/>
      <w:marLeft w:val="0"/>
      <w:marRight w:val="0"/>
      <w:marTop w:val="0"/>
      <w:marBottom w:val="0"/>
      <w:divBdr>
        <w:top w:val="none" w:sz="0" w:space="0" w:color="auto"/>
        <w:left w:val="none" w:sz="0" w:space="0" w:color="auto"/>
        <w:bottom w:val="none" w:sz="0" w:space="0" w:color="auto"/>
        <w:right w:val="none" w:sz="0" w:space="0" w:color="auto"/>
      </w:divBdr>
    </w:div>
    <w:div w:id="577595500">
      <w:bodyDiv w:val="1"/>
      <w:marLeft w:val="0"/>
      <w:marRight w:val="0"/>
      <w:marTop w:val="0"/>
      <w:marBottom w:val="0"/>
      <w:divBdr>
        <w:top w:val="none" w:sz="0" w:space="0" w:color="auto"/>
        <w:left w:val="none" w:sz="0" w:space="0" w:color="auto"/>
        <w:bottom w:val="none" w:sz="0" w:space="0" w:color="auto"/>
        <w:right w:val="none" w:sz="0" w:space="0" w:color="auto"/>
      </w:divBdr>
    </w:div>
    <w:div w:id="577599959">
      <w:bodyDiv w:val="1"/>
      <w:marLeft w:val="0"/>
      <w:marRight w:val="0"/>
      <w:marTop w:val="0"/>
      <w:marBottom w:val="0"/>
      <w:divBdr>
        <w:top w:val="none" w:sz="0" w:space="0" w:color="auto"/>
        <w:left w:val="none" w:sz="0" w:space="0" w:color="auto"/>
        <w:bottom w:val="none" w:sz="0" w:space="0" w:color="auto"/>
        <w:right w:val="none" w:sz="0" w:space="0" w:color="auto"/>
      </w:divBdr>
    </w:div>
    <w:div w:id="577709102">
      <w:bodyDiv w:val="1"/>
      <w:marLeft w:val="0"/>
      <w:marRight w:val="0"/>
      <w:marTop w:val="0"/>
      <w:marBottom w:val="0"/>
      <w:divBdr>
        <w:top w:val="none" w:sz="0" w:space="0" w:color="auto"/>
        <w:left w:val="none" w:sz="0" w:space="0" w:color="auto"/>
        <w:bottom w:val="none" w:sz="0" w:space="0" w:color="auto"/>
        <w:right w:val="none" w:sz="0" w:space="0" w:color="auto"/>
      </w:divBdr>
    </w:div>
    <w:div w:id="577784948">
      <w:bodyDiv w:val="1"/>
      <w:marLeft w:val="0"/>
      <w:marRight w:val="0"/>
      <w:marTop w:val="0"/>
      <w:marBottom w:val="0"/>
      <w:divBdr>
        <w:top w:val="none" w:sz="0" w:space="0" w:color="auto"/>
        <w:left w:val="none" w:sz="0" w:space="0" w:color="auto"/>
        <w:bottom w:val="none" w:sz="0" w:space="0" w:color="auto"/>
        <w:right w:val="none" w:sz="0" w:space="0" w:color="auto"/>
      </w:divBdr>
    </w:div>
    <w:div w:id="577789046">
      <w:bodyDiv w:val="1"/>
      <w:marLeft w:val="0"/>
      <w:marRight w:val="0"/>
      <w:marTop w:val="0"/>
      <w:marBottom w:val="0"/>
      <w:divBdr>
        <w:top w:val="none" w:sz="0" w:space="0" w:color="auto"/>
        <w:left w:val="none" w:sz="0" w:space="0" w:color="auto"/>
        <w:bottom w:val="none" w:sz="0" w:space="0" w:color="auto"/>
        <w:right w:val="none" w:sz="0" w:space="0" w:color="auto"/>
      </w:divBdr>
    </w:div>
    <w:div w:id="577911247">
      <w:bodyDiv w:val="1"/>
      <w:marLeft w:val="0"/>
      <w:marRight w:val="0"/>
      <w:marTop w:val="0"/>
      <w:marBottom w:val="0"/>
      <w:divBdr>
        <w:top w:val="none" w:sz="0" w:space="0" w:color="auto"/>
        <w:left w:val="none" w:sz="0" w:space="0" w:color="auto"/>
        <w:bottom w:val="none" w:sz="0" w:space="0" w:color="auto"/>
        <w:right w:val="none" w:sz="0" w:space="0" w:color="auto"/>
      </w:divBdr>
    </w:div>
    <w:div w:id="578057883">
      <w:bodyDiv w:val="1"/>
      <w:marLeft w:val="0"/>
      <w:marRight w:val="0"/>
      <w:marTop w:val="0"/>
      <w:marBottom w:val="0"/>
      <w:divBdr>
        <w:top w:val="none" w:sz="0" w:space="0" w:color="auto"/>
        <w:left w:val="none" w:sz="0" w:space="0" w:color="auto"/>
        <w:bottom w:val="none" w:sz="0" w:space="0" w:color="auto"/>
        <w:right w:val="none" w:sz="0" w:space="0" w:color="auto"/>
      </w:divBdr>
    </w:div>
    <w:div w:id="578098711">
      <w:bodyDiv w:val="1"/>
      <w:marLeft w:val="0"/>
      <w:marRight w:val="0"/>
      <w:marTop w:val="0"/>
      <w:marBottom w:val="0"/>
      <w:divBdr>
        <w:top w:val="none" w:sz="0" w:space="0" w:color="auto"/>
        <w:left w:val="none" w:sz="0" w:space="0" w:color="auto"/>
        <w:bottom w:val="none" w:sz="0" w:space="0" w:color="auto"/>
        <w:right w:val="none" w:sz="0" w:space="0" w:color="auto"/>
      </w:divBdr>
    </w:div>
    <w:div w:id="578103336">
      <w:bodyDiv w:val="1"/>
      <w:marLeft w:val="0"/>
      <w:marRight w:val="0"/>
      <w:marTop w:val="0"/>
      <w:marBottom w:val="0"/>
      <w:divBdr>
        <w:top w:val="none" w:sz="0" w:space="0" w:color="auto"/>
        <w:left w:val="none" w:sz="0" w:space="0" w:color="auto"/>
        <w:bottom w:val="none" w:sz="0" w:space="0" w:color="auto"/>
        <w:right w:val="none" w:sz="0" w:space="0" w:color="auto"/>
      </w:divBdr>
    </w:div>
    <w:div w:id="578177232">
      <w:bodyDiv w:val="1"/>
      <w:marLeft w:val="0"/>
      <w:marRight w:val="0"/>
      <w:marTop w:val="0"/>
      <w:marBottom w:val="0"/>
      <w:divBdr>
        <w:top w:val="none" w:sz="0" w:space="0" w:color="auto"/>
        <w:left w:val="none" w:sz="0" w:space="0" w:color="auto"/>
        <w:bottom w:val="none" w:sz="0" w:space="0" w:color="auto"/>
        <w:right w:val="none" w:sz="0" w:space="0" w:color="auto"/>
      </w:divBdr>
    </w:div>
    <w:div w:id="578445803">
      <w:bodyDiv w:val="1"/>
      <w:marLeft w:val="0"/>
      <w:marRight w:val="0"/>
      <w:marTop w:val="0"/>
      <w:marBottom w:val="0"/>
      <w:divBdr>
        <w:top w:val="none" w:sz="0" w:space="0" w:color="auto"/>
        <w:left w:val="none" w:sz="0" w:space="0" w:color="auto"/>
        <w:bottom w:val="none" w:sz="0" w:space="0" w:color="auto"/>
        <w:right w:val="none" w:sz="0" w:space="0" w:color="auto"/>
      </w:divBdr>
    </w:div>
    <w:div w:id="578636753">
      <w:bodyDiv w:val="1"/>
      <w:marLeft w:val="0"/>
      <w:marRight w:val="0"/>
      <w:marTop w:val="0"/>
      <w:marBottom w:val="0"/>
      <w:divBdr>
        <w:top w:val="none" w:sz="0" w:space="0" w:color="auto"/>
        <w:left w:val="none" w:sz="0" w:space="0" w:color="auto"/>
        <w:bottom w:val="none" w:sz="0" w:space="0" w:color="auto"/>
        <w:right w:val="none" w:sz="0" w:space="0" w:color="auto"/>
      </w:divBdr>
    </w:div>
    <w:div w:id="578641967">
      <w:bodyDiv w:val="1"/>
      <w:marLeft w:val="0"/>
      <w:marRight w:val="0"/>
      <w:marTop w:val="0"/>
      <w:marBottom w:val="0"/>
      <w:divBdr>
        <w:top w:val="none" w:sz="0" w:space="0" w:color="auto"/>
        <w:left w:val="none" w:sz="0" w:space="0" w:color="auto"/>
        <w:bottom w:val="none" w:sz="0" w:space="0" w:color="auto"/>
        <w:right w:val="none" w:sz="0" w:space="0" w:color="auto"/>
      </w:divBdr>
    </w:div>
    <w:div w:id="578712832">
      <w:bodyDiv w:val="1"/>
      <w:marLeft w:val="0"/>
      <w:marRight w:val="0"/>
      <w:marTop w:val="0"/>
      <w:marBottom w:val="0"/>
      <w:divBdr>
        <w:top w:val="none" w:sz="0" w:space="0" w:color="auto"/>
        <w:left w:val="none" w:sz="0" w:space="0" w:color="auto"/>
        <w:bottom w:val="none" w:sz="0" w:space="0" w:color="auto"/>
        <w:right w:val="none" w:sz="0" w:space="0" w:color="auto"/>
      </w:divBdr>
    </w:div>
    <w:div w:id="578829709">
      <w:bodyDiv w:val="1"/>
      <w:marLeft w:val="0"/>
      <w:marRight w:val="0"/>
      <w:marTop w:val="0"/>
      <w:marBottom w:val="0"/>
      <w:divBdr>
        <w:top w:val="none" w:sz="0" w:space="0" w:color="auto"/>
        <w:left w:val="none" w:sz="0" w:space="0" w:color="auto"/>
        <w:bottom w:val="none" w:sz="0" w:space="0" w:color="auto"/>
        <w:right w:val="none" w:sz="0" w:space="0" w:color="auto"/>
      </w:divBdr>
    </w:div>
    <w:div w:id="578830776">
      <w:bodyDiv w:val="1"/>
      <w:marLeft w:val="0"/>
      <w:marRight w:val="0"/>
      <w:marTop w:val="0"/>
      <w:marBottom w:val="0"/>
      <w:divBdr>
        <w:top w:val="none" w:sz="0" w:space="0" w:color="auto"/>
        <w:left w:val="none" w:sz="0" w:space="0" w:color="auto"/>
        <w:bottom w:val="none" w:sz="0" w:space="0" w:color="auto"/>
        <w:right w:val="none" w:sz="0" w:space="0" w:color="auto"/>
      </w:divBdr>
    </w:div>
    <w:div w:id="578833281">
      <w:bodyDiv w:val="1"/>
      <w:marLeft w:val="0"/>
      <w:marRight w:val="0"/>
      <w:marTop w:val="0"/>
      <w:marBottom w:val="0"/>
      <w:divBdr>
        <w:top w:val="none" w:sz="0" w:space="0" w:color="auto"/>
        <w:left w:val="none" w:sz="0" w:space="0" w:color="auto"/>
        <w:bottom w:val="none" w:sz="0" w:space="0" w:color="auto"/>
        <w:right w:val="none" w:sz="0" w:space="0" w:color="auto"/>
      </w:divBdr>
    </w:div>
    <w:div w:id="579025359">
      <w:bodyDiv w:val="1"/>
      <w:marLeft w:val="0"/>
      <w:marRight w:val="0"/>
      <w:marTop w:val="0"/>
      <w:marBottom w:val="0"/>
      <w:divBdr>
        <w:top w:val="none" w:sz="0" w:space="0" w:color="auto"/>
        <w:left w:val="none" w:sz="0" w:space="0" w:color="auto"/>
        <w:bottom w:val="none" w:sz="0" w:space="0" w:color="auto"/>
        <w:right w:val="none" w:sz="0" w:space="0" w:color="auto"/>
      </w:divBdr>
    </w:div>
    <w:div w:id="579025848">
      <w:bodyDiv w:val="1"/>
      <w:marLeft w:val="0"/>
      <w:marRight w:val="0"/>
      <w:marTop w:val="0"/>
      <w:marBottom w:val="0"/>
      <w:divBdr>
        <w:top w:val="none" w:sz="0" w:space="0" w:color="auto"/>
        <w:left w:val="none" w:sz="0" w:space="0" w:color="auto"/>
        <w:bottom w:val="none" w:sz="0" w:space="0" w:color="auto"/>
        <w:right w:val="none" w:sz="0" w:space="0" w:color="auto"/>
      </w:divBdr>
    </w:div>
    <w:div w:id="579097333">
      <w:bodyDiv w:val="1"/>
      <w:marLeft w:val="0"/>
      <w:marRight w:val="0"/>
      <w:marTop w:val="0"/>
      <w:marBottom w:val="0"/>
      <w:divBdr>
        <w:top w:val="none" w:sz="0" w:space="0" w:color="auto"/>
        <w:left w:val="none" w:sz="0" w:space="0" w:color="auto"/>
        <w:bottom w:val="none" w:sz="0" w:space="0" w:color="auto"/>
        <w:right w:val="none" w:sz="0" w:space="0" w:color="auto"/>
      </w:divBdr>
    </w:div>
    <w:div w:id="579103885">
      <w:bodyDiv w:val="1"/>
      <w:marLeft w:val="0"/>
      <w:marRight w:val="0"/>
      <w:marTop w:val="0"/>
      <w:marBottom w:val="0"/>
      <w:divBdr>
        <w:top w:val="none" w:sz="0" w:space="0" w:color="auto"/>
        <w:left w:val="none" w:sz="0" w:space="0" w:color="auto"/>
        <w:bottom w:val="none" w:sz="0" w:space="0" w:color="auto"/>
        <w:right w:val="none" w:sz="0" w:space="0" w:color="auto"/>
      </w:divBdr>
    </w:div>
    <w:div w:id="579363503">
      <w:bodyDiv w:val="1"/>
      <w:marLeft w:val="0"/>
      <w:marRight w:val="0"/>
      <w:marTop w:val="0"/>
      <w:marBottom w:val="0"/>
      <w:divBdr>
        <w:top w:val="none" w:sz="0" w:space="0" w:color="auto"/>
        <w:left w:val="none" w:sz="0" w:space="0" w:color="auto"/>
        <w:bottom w:val="none" w:sz="0" w:space="0" w:color="auto"/>
        <w:right w:val="none" w:sz="0" w:space="0" w:color="auto"/>
      </w:divBdr>
    </w:div>
    <w:div w:id="579604812">
      <w:bodyDiv w:val="1"/>
      <w:marLeft w:val="0"/>
      <w:marRight w:val="0"/>
      <w:marTop w:val="0"/>
      <w:marBottom w:val="0"/>
      <w:divBdr>
        <w:top w:val="none" w:sz="0" w:space="0" w:color="auto"/>
        <w:left w:val="none" w:sz="0" w:space="0" w:color="auto"/>
        <w:bottom w:val="none" w:sz="0" w:space="0" w:color="auto"/>
        <w:right w:val="none" w:sz="0" w:space="0" w:color="auto"/>
      </w:divBdr>
    </w:div>
    <w:div w:id="579675598">
      <w:bodyDiv w:val="1"/>
      <w:marLeft w:val="0"/>
      <w:marRight w:val="0"/>
      <w:marTop w:val="0"/>
      <w:marBottom w:val="0"/>
      <w:divBdr>
        <w:top w:val="none" w:sz="0" w:space="0" w:color="auto"/>
        <w:left w:val="none" w:sz="0" w:space="0" w:color="auto"/>
        <w:bottom w:val="none" w:sz="0" w:space="0" w:color="auto"/>
        <w:right w:val="none" w:sz="0" w:space="0" w:color="auto"/>
      </w:divBdr>
    </w:div>
    <w:div w:id="579676943">
      <w:bodyDiv w:val="1"/>
      <w:marLeft w:val="0"/>
      <w:marRight w:val="0"/>
      <w:marTop w:val="0"/>
      <w:marBottom w:val="0"/>
      <w:divBdr>
        <w:top w:val="none" w:sz="0" w:space="0" w:color="auto"/>
        <w:left w:val="none" w:sz="0" w:space="0" w:color="auto"/>
        <w:bottom w:val="none" w:sz="0" w:space="0" w:color="auto"/>
        <w:right w:val="none" w:sz="0" w:space="0" w:color="auto"/>
      </w:divBdr>
    </w:div>
    <w:div w:id="579682631">
      <w:bodyDiv w:val="1"/>
      <w:marLeft w:val="0"/>
      <w:marRight w:val="0"/>
      <w:marTop w:val="0"/>
      <w:marBottom w:val="0"/>
      <w:divBdr>
        <w:top w:val="none" w:sz="0" w:space="0" w:color="auto"/>
        <w:left w:val="none" w:sz="0" w:space="0" w:color="auto"/>
        <w:bottom w:val="none" w:sz="0" w:space="0" w:color="auto"/>
        <w:right w:val="none" w:sz="0" w:space="0" w:color="auto"/>
      </w:divBdr>
    </w:div>
    <w:div w:id="579751076">
      <w:bodyDiv w:val="1"/>
      <w:marLeft w:val="0"/>
      <w:marRight w:val="0"/>
      <w:marTop w:val="0"/>
      <w:marBottom w:val="0"/>
      <w:divBdr>
        <w:top w:val="none" w:sz="0" w:space="0" w:color="auto"/>
        <w:left w:val="none" w:sz="0" w:space="0" w:color="auto"/>
        <w:bottom w:val="none" w:sz="0" w:space="0" w:color="auto"/>
        <w:right w:val="none" w:sz="0" w:space="0" w:color="auto"/>
      </w:divBdr>
    </w:div>
    <w:div w:id="579756087">
      <w:bodyDiv w:val="1"/>
      <w:marLeft w:val="0"/>
      <w:marRight w:val="0"/>
      <w:marTop w:val="0"/>
      <w:marBottom w:val="0"/>
      <w:divBdr>
        <w:top w:val="none" w:sz="0" w:space="0" w:color="auto"/>
        <w:left w:val="none" w:sz="0" w:space="0" w:color="auto"/>
        <w:bottom w:val="none" w:sz="0" w:space="0" w:color="auto"/>
        <w:right w:val="none" w:sz="0" w:space="0" w:color="auto"/>
      </w:divBdr>
    </w:div>
    <w:div w:id="579757710">
      <w:bodyDiv w:val="1"/>
      <w:marLeft w:val="0"/>
      <w:marRight w:val="0"/>
      <w:marTop w:val="0"/>
      <w:marBottom w:val="0"/>
      <w:divBdr>
        <w:top w:val="none" w:sz="0" w:space="0" w:color="auto"/>
        <w:left w:val="none" w:sz="0" w:space="0" w:color="auto"/>
        <w:bottom w:val="none" w:sz="0" w:space="0" w:color="auto"/>
        <w:right w:val="none" w:sz="0" w:space="0" w:color="auto"/>
      </w:divBdr>
    </w:div>
    <w:div w:id="579829124">
      <w:bodyDiv w:val="1"/>
      <w:marLeft w:val="0"/>
      <w:marRight w:val="0"/>
      <w:marTop w:val="0"/>
      <w:marBottom w:val="0"/>
      <w:divBdr>
        <w:top w:val="none" w:sz="0" w:space="0" w:color="auto"/>
        <w:left w:val="none" w:sz="0" w:space="0" w:color="auto"/>
        <w:bottom w:val="none" w:sz="0" w:space="0" w:color="auto"/>
        <w:right w:val="none" w:sz="0" w:space="0" w:color="auto"/>
      </w:divBdr>
    </w:div>
    <w:div w:id="579877106">
      <w:bodyDiv w:val="1"/>
      <w:marLeft w:val="0"/>
      <w:marRight w:val="0"/>
      <w:marTop w:val="0"/>
      <w:marBottom w:val="0"/>
      <w:divBdr>
        <w:top w:val="none" w:sz="0" w:space="0" w:color="auto"/>
        <w:left w:val="none" w:sz="0" w:space="0" w:color="auto"/>
        <w:bottom w:val="none" w:sz="0" w:space="0" w:color="auto"/>
        <w:right w:val="none" w:sz="0" w:space="0" w:color="auto"/>
      </w:divBdr>
    </w:div>
    <w:div w:id="579995268">
      <w:bodyDiv w:val="1"/>
      <w:marLeft w:val="0"/>
      <w:marRight w:val="0"/>
      <w:marTop w:val="0"/>
      <w:marBottom w:val="0"/>
      <w:divBdr>
        <w:top w:val="none" w:sz="0" w:space="0" w:color="auto"/>
        <w:left w:val="none" w:sz="0" w:space="0" w:color="auto"/>
        <w:bottom w:val="none" w:sz="0" w:space="0" w:color="auto"/>
        <w:right w:val="none" w:sz="0" w:space="0" w:color="auto"/>
      </w:divBdr>
    </w:div>
    <w:div w:id="580026362">
      <w:bodyDiv w:val="1"/>
      <w:marLeft w:val="0"/>
      <w:marRight w:val="0"/>
      <w:marTop w:val="0"/>
      <w:marBottom w:val="0"/>
      <w:divBdr>
        <w:top w:val="none" w:sz="0" w:space="0" w:color="auto"/>
        <w:left w:val="none" w:sz="0" w:space="0" w:color="auto"/>
        <w:bottom w:val="none" w:sz="0" w:space="0" w:color="auto"/>
        <w:right w:val="none" w:sz="0" w:space="0" w:color="auto"/>
      </w:divBdr>
    </w:div>
    <w:div w:id="580062380">
      <w:bodyDiv w:val="1"/>
      <w:marLeft w:val="0"/>
      <w:marRight w:val="0"/>
      <w:marTop w:val="0"/>
      <w:marBottom w:val="0"/>
      <w:divBdr>
        <w:top w:val="none" w:sz="0" w:space="0" w:color="auto"/>
        <w:left w:val="none" w:sz="0" w:space="0" w:color="auto"/>
        <w:bottom w:val="none" w:sz="0" w:space="0" w:color="auto"/>
        <w:right w:val="none" w:sz="0" w:space="0" w:color="auto"/>
      </w:divBdr>
    </w:div>
    <w:div w:id="580064579">
      <w:bodyDiv w:val="1"/>
      <w:marLeft w:val="0"/>
      <w:marRight w:val="0"/>
      <w:marTop w:val="0"/>
      <w:marBottom w:val="0"/>
      <w:divBdr>
        <w:top w:val="none" w:sz="0" w:space="0" w:color="auto"/>
        <w:left w:val="none" w:sz="0" w:space="0" w:color="auto"/>
        <w:bottom w:val="none" w:sz="0" w:space="0" w:color="auto"/>
        <w:right w:val="none" w:sz="0" w:space="0" w:color="auto"/>
      </w:divBdr>
    </w:div>
    <w:div w:id="580065295">
      <w:bodyDiv w:val="1"/>
      <w:marLeft w:val="0"/>
      <w:marRight w:val="0"/>
      <w:marTop w:val="0"/>
      <w:marBottom w:val="0"/>
      <w:divBdr>
        <w:top w:val="none" w:sz="0" w:space="0" w:color="auto"/>
        <w:left w:val="none" w:sz="0" w:space="0" w:color="auto"/>
        <w:bottom w:val="none" w:sz="0" w:space="0" w:color="auto"/>
        <w:right w:val="none" w:sz="0" w:space="0" w:color="auto"/>
      </w:divBdr>
    </w:div>
    <w:div w:id="580067309">
      <w:bodyDiv w:val="1"/>
      <w:marLeft w:val="0"/>
      <w:marRight w:val="0"/>
      <w:marTop w:val="0"/>
      <w:marBottom w:val="0"/>
      <w:divBdr>
        <w:top w:val="none" w:sz="0" w:space="0" w:color="auto"/>
        <w:left w:val="none" w:sz="0" w:space="0" w:color="auto"/>
        <w:bottom w:val="none" w:sz="0" w:space="0" w:color="auto"/>
        <w:right w:val="none" w:sz="0" w:space="0" w:color="auto"/>
      </w:divBdr>
    </w:div>
    <w:div w:id="580069303">
      <w:bodyDiv w:val="1"/>
      <w:marLeft w:val="0"/>
      <w:marRight w:val="0"/>
      <w:marTop w:val="0"/>
      <w:marBottom w:val="0"/>
      <w:divBdr>
        <w:top w:val="none" w:sz="0" w:space="0" w:color="auto"/>
        <w:left w:val="none" w:sz="0" w:space="0" w:color="auto"/>
        <w:bottom w:val="none" w:sz="0" w:space="0" w:color="auto"/>
        <w:right w:val="none" w:sz="0" w:space="0" w:color="auto"/>
      </w:divBdr>
    </w:div>
    <w:div w:id="580142428">
      <w:bodyDiv w:val="1"/>
      <w:marLeft w:val="0"/>
      <w:marRight w:val="0"/>
      <w:marTop w:val="0"/>
      <w:marBottom w:val="0"/>
      <w:divBdr>
        <w:top w:val="none" w:sz="0" w:space="0" w:color="auto"/>
        <w:left w:val="none" w:sz="0" w:space="0" w:color="auto"/>
        <w:bottom w:val="none" w:sz="0" w:space="0" w:color="auto"/>
        <w:right w:val="none" w:sz="0" w:space="0" w:color="auto"/>
      </w:divBdr>
    </w:div>
    <w:div w:id="580144481">
      <w:bodyDiv w:val="1"/>
      <w:marLeft w:val="0"/>
      <w:marRight w:val="0"/>
      <w:marTop w:val="0"/>
      <w:marBottom w:val="0"/>
      <w:divBdr>
        <w:top w:val="none" w:sz="0" w:space="0" w:color="auto"/>
        <w:left w:val="none" w:sz="0" w:space="0" w:color="auto"/>
        <w:bottom w:val="none" w:sz="0" w:space="0" w:color="auto"/>
        <w:right w:val="none" w:sz="0" w:space="0" w:color="auto"/>
      </w:divBdr>
    </w:div>
    <w:div w:id="580214673">
      <w:bodyDiv w:val="1"/>
      <w:marLeft w:val="0"/>
      <w:marRight w:val="0"/>
      <w:marTop w:val="0"/>
      <w:marBottom w:val="0"/>
      <w:divBdr>
        <w:top w:val="none" w:sz="0" w:space="0" w:color="auto"/>
        <w:left w:val="none" w:sz="0" w:space="0" w:color="auto"/>
        <w:bottom w:val="none" w:sz="0" w:space="0" w:color="auto"/>
        <w:right w:val="none" w:sz="0" w:space="0" w:color="auto"/>
      </w:divBdr>
    </w:div>
    <w:div w:id="580331485">
      <w:bodyDiv w:val="1"/>
      <w:marLeft w:val="0"/>
      <w:marRight w:val="0"/>
      <w:marTop w:val="0"/>
      <w:marBottom w:val="0"/>
      <w:divBdr>
        <w:top w:val="none" w:sz="0" w:space="0" w:color="auto"/>
        <w:left w:val="none" w:sz="0" w:space="0" w:color="auto"/>
        <w:bottom w:val="none" w:sz="0" w:space="0" w:color="auto"/>
        <w:right w:val="none" w:sz="0" w:space="0" w:color="auto"/>
      </w:divBdr>
    </w:div>
    <w:div w:id="580337534">
      <w:bodyDiv w:val="1"/>
      <w:marLeft w:val="0"/>
      <w:marRight w:val="0"/>
      <w:marTop w:val="0"/>
      <w:marBottom w:val="0"/>
      <w:divBdr>
        <w:top w:val="none" w:sz="0" w:space="0" w:color="auto"/>
        <w:left w:val="none" w:sz="0" w:space="0" w:color="auto"/>
        <w:bottom w:val="none" w:sz="0" w:space="0" w:color="auto"/>
        <w:right w:val="none" w:sz="0" w:space="0" w:color="auto"/>
      </w:divBdr>
    </w:div>
    <w:div w:id="580526880">
      <w:bodyDiv w:val="1"/>
      <w:marLeft w:val="0"/>
      <w:marRight w:val="0"/>
      <w:marTop w:val="0"/>
      <w:marBottom w:val="0"/>
      <w:divBdr>
        <w:top w:val="none" w:sz="0" w:space="0" w:color="auto"/>
        <w:left w:val="none" w:sz="0" w:space="0" w:color="auto"/>
        <w:bottom w:val="none" w:sz="0" w:space="0" w:color="auto"/>
        <w:right w:val="none" w:sz="0" w:space="0" w:color="auto"/>
      </w:divBdr>
    </w:div>
    <w:div w:id="580792517">
      <w:bodyDiv w:val="1"/>
      <w:marLeft w:val="0"/>
      <w:marRight w:val="0"/>
      <w:marTop w:val="0"/>
      <w:marBottom w:val="0"/>
      <w:divBdr>
        <w:top w:val="none" w:sz="0" w:space="0" w:color="auto"/>
        <w:left w:val="none" w:sz="0" w:space="0" w:color="auto"/>
        <w:bottom w:val="none" w:sz="0" w:space="0" w:color="auto"/>
        <w:right w:val="none" w:sz="0" w:space="0" w:color="auto"/>
      </w:divBdr>
    </w:div>
    <w:div w:id="580794258">
      <w:bodyDiv w:val="1"/>
      <w:marLeft w:val="0"/>
      <w:marRight w:val="0"/>
      <w:marTop w:val="0"/>
      <w:marBottom w:val="0"/>
      <w:divBdr>
        <w:top w:val="none" w:sz="0" w:space="0" w:color="auto"/>
        <w:left w:val="none" w:sz="0" w:space="0" w:color="auto"/>
        <w:bottom w:val="none" w:sz="0" w:space="0" w:color="auto"/>
        <w:right w:val="none" w:sz="0" w:space="0" w:color="auto"/>
      </w:divBdr>
    </w:div>
    <w:div w:id="580800169">
      <w:bodyDiv w:val="1"/>
      <w:marLeft w:val="0"/>
      <w:marRight w:val="0"/>
      <w:marTop w:val="0"/>
      <w:marBottom w:val="0"/>
      <w:divBdr>
        <w:top w:val="none" w:sz="0" w:space="0" w:color="auto"/>
        <w:left w:val="none" w:sz="0" w:space="0" w:color="auto"/>
        <w:bottom w:val="none" w:sz="0" w:space="0" w:color="auto"/>
        <w:right w:val="none" w:sz="0" w:space="0" w:color="auto"/>
      </w:divBdr>
    </w:div>
    <w:div w:id="580867347">
      <w:bodyDiv w:val="1"/>
      <w:marLeft w:val="0"/>
      <w:marRight w:val="0"/>
      <w:marTop w:val="0"/>
      <w:marBottom w:val="0"/>
      <w:divBdr>
        <w:top w:val="none" w:sz="0" w:space="0" w:color="auto"/>
        <w:left w:val="none" w:sz="0" w:space="0" w:color="auto"/>
        <w:bottom w:val="none" w:sz="0" w:space="0" w:color="auto"/>
        <w:right w:val="none" w:sz="0" w:space="0" w:color="auto"/>
      </w:divBdr>
    </w:div>
    <w:div w:id="580915908">
      <w:bodyDiv w:val="1"/>
      <w:marLeft w:val="0"/>
      <w:marRight w:val="0"/>
      <w:marTop w:val="0"/>
      <w:marBottom w:val="0"/>
      <w:divBdr>
        <w:top w:val="none" w:sz="0" w:space="0" w:color="auto"/>
        <w:left w:val="none" w:sz="0" w:space="0" w:color="auto"/>
        <w:bottom w:val="none" w:sz="0" w:space="0" w:color="auto"/>
        <w:right w:val="none" w:sz="0" w:space="0" w:color="auto"/>
      </w:divBdr>
    </w:div>
    <w:div w:id="580990621">
      <w:bodyDiv w:val="1"/>
      <w:marLeft w:val="0"/>
      <w:marRight w:val="0"/>
      <w:marTop w:val="0"/>
      <w:marBottom w:val="0"/>
      <w:divBdr>
        <w:top w:val="none" w:sz="0" w:space="0" w:color="auto"/>
        <w:left w:val="none" w:sz="0" w:space="0" w:color="auto"/>
        <w:bottom w:val="none" w:sz="0" w:space="0" w:color="auto"/>
        <w:right w:val="none" w:sz="0" w:space="0" w:color="auto"/>
      </w:divBdr>
    </w:div>
    <w:div w:id="580991344">
      <w:bodyDiv w:val="1"/>
      <w:marLeft w:val="0"/>
      <w:marRight w:val="0"/>
      <w:marTop w:val="0"/>
      <w:marBottom w:val="0"/>
      <w:divBdr>
        <w:top w:val="none" w:sz="0" w:space="0" w:color="auto"/>
        <w:left w:val="none" w:sz="0" w:space="0" w:color="auto"/>
        <w:bottom w:val="none" w:sz="0" w:space="0" w:color="auto"/>
        <w:right w:val="none" w:sz="0" w:space="0" w:color="auto"/>
      </w:divBdr>
    </w:div>
    <w:div w:id="581111449">
      <w:bodyDiv w:val="1"/>
      <w:marLeft w:val="0"/>
      <w:marRight w:val="0"/>
      <w:marTop w:val="0"/>
      <w:marBottom w:val="0"/>
      <w:divBdr>
        <w:top w:val="none" w:sz="0" w:space="0" w:color="auto"/>
        <w:left w:val="none" w:sz="0" w:space="0" w:color="auto"/>
        <w:bottom w:val="none" w:sz="0" w:space="0" w:color="auto"/>
        <w:right w:val="none" w:sz="0" w:space="0" w:color="auto"/>
      </w:divBdr>
    </w:div>
    <w:div w:id="581137934">
      <w:bodyDiv w:val="1"/>
      <w:marLeft w:val="0"/>
      <w:marRight w:val="0"/>
      <w:marTop w:val="0"/>
      <w:marBottom w:val="0"/>
      <w:divBdr>
        <w:top w:val="none" w:sz="0" w:space="0" w:color="auto"/>
        <w:left w:val="none" w:sz="0" w:space="0" w:color="auto"/>
        <w:bottom w:val="none" w:sz="0" w:space="0" w:color="auto"/>
        <w:right w:val="none" w:sz="0" w:space="0" w:color="auto"/>
      </w:divBdr>
    </w:div>
    <w:div w:id="581183168">
      <w:bodyDiv w:val="1"/>
      <w:marLeft w:val="0"/>
      <w:marRight w:val="0"/>
      <w:marTop w:val="0"/>
      <w:marBottom w:val="0"/>
      <w:divBdr>
        <w:top w:val="none" w:sz="0" w:space="0" w:color="auto"/>
        <w:left w:val="none" w:sz="0" w:space="0" w:color="auto"/>
        <w:bottom w:val="none" w:sz="0" w:space="0" w:color="auto"/>
        <w:right w:val="none" w:sz="0" w:space="0" w:color="auto"/>
      </w:divBdr>
    </w:div>
    <w:div w:id="581254520">
      <w:bodyDiv w:val="1"/>
      <w:marLeft w:val="0"/>
      <w:marRight w:val="0"/>
      <w:marTop w:val="0"/>
      <w:marBottom w:val="0"/>
      <w:divBdr>
        <w:top w:val="none" w:sz="0" w:space="0" w:color="auto"/>
        <w:left w:val="none" w:sz="0" w:space="0" w:color="auto"/>
        <w:bottom w:val="none" w:sz="0" w:space="0" w:color="auto"/>
        <w:right w:val="none" w:sz="0" w:space="0" w:color="auto"/>
      </w:divBdr>
    </w:div>
    <w:div w:id="581261246">
      <w:bodyDiv w:val="1"/>
      <w:marLeft w:val="0"/>
      <w:marRight w:val="0"/>
      <w:marTop w:val="0"/>
      <w:marBottom w:val="0"/>
      <w:divBdr>
        <w:top w:val="none" w:sz="0" w:space="0" w:color="auto"/>
        <w:left w:val="none" w:sz="0" w:space="0" w:color="auto"/>
        <w:bottom w:val="none" w:sz="0" w:space="0" w:color="auto"/>
        <w:right w:val="none" w:sz="0" w:space="0" w:color="auto"/>
      </w:divBdr>
    </w:div>
    <w:div w:id="581531165">
      <w:bodyDiv w:val="1"/>
      <w:marLeft w:val="0"/>
      <w:marRight w:val="0"/>
      <w:marTop w:val="0"/>
      <w:marBottom w:val="0"/>
      <w:divBdr>
        <w:top w:val="none" w:sz="0" w:space="0" w:color="auto"/>
        <w:left w:val="none" w:sz="0" w:space="0" w:color="auto"/>
        <w:bottom w:val="none" w:sz="0" w:space="0" w:color="auto"/>
        <w:right w:val="none" w:sz="0" w:space="0" w:color="auto"/>
      </w:divBdr>
    </w:div>
    <w:div w:id="581568043">
      <w:bodyDiv w:val="1"/>
      <w:marLeft w:val="0"/>
      <w:marRight w:val="0"/>
      <w:marTop w:val="0"/>
      <w:marBottom w:val="0"/>
      <w:divBdr>
        <w:top w:val="none" w:sz="0" w:space="0" w:color="auto"/>
        <w:left w:val="none" w:sz="0" w:space="0" w:color="auto"/>
        <w:bottom w:val="none" w:sz="0" w:space="0" w:color="auto"/>
        <w:right w:val="none" w:sz="0" w:space="0" w:color="auto"/>
      </w:divBdr>
    </w:div>
    <w:div w:id="581598103">
      <w:bodyDiv w:val="1"/>
      <w:marLeft w:val="0"/>
      <w:marRight w:val="0"/>
      <w:marTop w:val="0"/>
      <w:marBottom w:val="0"/>
      <w:divBdr>
        <w:top w:val="none" w:sz="0" w:space="0" w:color="auto"/>
        <w:left w:val="none" w:sz="0" w:space="0" w:color="auto"/>
        <w:bottom w:val="none" w:sz="0" w:space="0" w:color="auto"/>
        <w:right w:val="none" w:sz="0" w:space="0" w:color="auto"/>
      </w:divBdr>
    </w:div>
    <w:div w:id="581644478">
      <w:bodyDiv w:val="1"/>
      <w:marLeft w:val="0"/>
      <w:marRight w:val="0"/>
      <w:marTop w:val="0"/>
      <w:marBottom w:val="0"/>
      <w:divBdr>
        <w:top w:val="none" w:sz="0" w:space="0" w:color="auto"/>
        <w:left w:val="none" w:sz="0" w:space="0" w:color="auto"/>
        <w:bottom w:val="none" w:sz="0" w:space="0" w:color="auto"/>
        <w:right w:val="none" w:sz="0" w:space="0" w:color="auto"/>
      </w:divBdr>
    </w:div>
    <w:div w:id="581646384">
      <w:bodyDiv w:val="1"/>
      <w:marLeft w:val="0"/>
      <w:marRight w:val="0"/>
      <w:marTop w:val="0"/>
      <w:marBottom w:val="0"/>
      <w:divBdr>
        <w:top w:val="none" w:sz="0" w:space="0" w:color="auto"/>
        <w:left w:val="none" w:sz="0" w:space="0" w:color="auto"/>
        <w:bottom w:val="none" w:sz="0" w:space="0" w:color="auto"/>
        <w:right w:val="none" w:sz="0" w:space="0" w:color="auto"/>
      </w:divBdr>
    </w:div>
    <w:div w:id="581720093">
      <w:bodyDiv w:val="1"/>
      <w:marLeft w:val="0"/>
      <w:marRight w:val="0"/>
      <w:marTop w:val="0"/>
      <w:marBottom w:val="0"/>
      <w:divBdr>
        <w:top w:val="none" w:sz="0" w:space="0" w:color="auto"/>
        <w:left w:val="none" w:sz="0" w:space="0" w:color="auto"/>
        <w:bottom w:val="none" w:sz="0" w:space="0" w:color="auto"/>
        <w:right w:val="none" w:sz="0" w:space="0" w:color="auto"/>
      </w:divBdr>
    </w:div>
    <w:div w:id="581842052">
      <w:bodyDiv w:val="1"/>
      <w:marLeft w:val="0"/>
      <w:marRight w:val="0"/>
      <w:marTop w:val="0"/>
      <w:marBottom w:val="0"/>
      <w:divBdr>
        <w:top w:val="none" w:sz="0" w:space="0" w:color="auto"/>
        <w:left w:val="none" w:sz="0" w:space="0" w:color="auto"/>
        <w:bottom w:val="none" w:sz="0" w:space="0" w:color="auto"/>
        <w:right w:val="none" w:sz="0" w:space="0" w:color="auto"/>
      </w:divBdr>
    </w:div>
    <w:div w:id="581911560">
      <w:bodyDiv w:val="1"/>
      <w:marLeft w:val="0"/>
      <w:marRight w:val="0"/>
      <w:marTop w:val="0"/>
      <w:marBottom w:val="0"/>
      <w:divBdr>
        <w:top w:val="none" w:sz="0" w:space="0" w:color="auto"/>
        <w:left w:val="none" w:sz="0" w:space="0" w:color="auto"/>
        <w:bottom w:val="none" w:sz="0" w:space="0" w:color="auto"/>
        <w:right w:val="none" w:sz="0" w:space="0" w:color="auto"/>
      </w:divBdr>
    </w:div>
    <w:div w:id="581913799">
      <w:bodyDiv w:val="1"/>
      <w:marLeft w:val="0"/>
      <w:marRight w:val="0"/>
      <w:marTop w:val="0"/>
      <w:marBottom w:val="0"/>
      <w:divBdr>
        <w:top w:val="none" w:sz="0" w:space="0" w:color="auto"/>
        <w:left w:val="none" w:sz="0" w:space="0" w:color="auto"/>
        <w:bottom w:val="none" w:sz="0" w:space="0" w:color="auto"/>
        <w:right w:val="none" w:sz="0" w:space="0" w:color="auto"/>
      </w:divBdr>
    </w:div>
    <w:div w:id="582027971">
      <w:bodyDiv w:val="1"/>
      <w:marLeft w:val="0"/>
      <w:marRight w:val="0"/>
      <w:marTop w:val="0"/>
      <w:marBottom w:val="0"/>
      <w:divBdr>
        <w:top w:val="none" w:sz="0" w:space="0" w:color="auto"/>
        <w:left w:val="none" w:sz="0" w:space="0" w:color="auto"/>
        <w:bottom w:val="none" w:sz="0" w:space="0" w:color="auto"/>
        <w:right w:val="none" w:sz="0" w:space="0" w:color="auto"/>
      </w:divBdr>
    </w:div>
    <w:div w:id="582107734">
      <w:bodyDiv w:val="1"/>
      <w:marLeft w:val="0"/>
      <w:marRight w:val="0"/>
      <w:marTop w:val="0"/>
      <w:marBottom w:val="0"/>
      <w:divBdr>
        <w:top w:val="none" w:sz="0" w:space="0" w:color="auto"/>
        <w:left w:val="none" w:sz="0" w:space="0" w:color="auto"/>
        <w:bottom w:val="none" w:sz="0" w:space="0" w:color="auto"/>
        <w:right w:val="none" w:sz="0" w:space="0" w:color="auto"/>
      </w:divBdr>
    </w:div>
    <w:div w:id="582223586">
      <w:bodyDiv w:val="1"/>
      <w:marLeft w:val="0"/>
      <w:marRight w:val="0"/>
      <w:marTop w:val="0"/>
      <w:marBottom w:val="0"/>
      <w:divBdr>
        <w:top w:val="none" w:sz="0" w:space="0" w:color="auto"/>
        <w:left w:val="none" w:sz="0" w:space="0" w:color="auto"/>
        <w:bottom w:val="none" w:sz="0" w:space="0" w:color="auto"/>
        <w:right w:val="none" w:sz="0" w:space="0" w:color="auto"/>
      </w:divBdr>
    </w:div>
    <w:div w:id="582224861">
      <w:bodyDiv w:val="1"/>
      <w:marLeft w:val="0"/>
      <w:marRight w:val="0"/>
      <w:marTop w:val="0"/>
      <w:marBottom w:val="0"/>
      <w:divBdr>
        <w:top w:val="none" w:sz="0" w:space="0" w:color="auto"/>
        <w:left w:val="none" w:sz="0" w:space="0" w:color="auto"/>
        <w:bottom w:val="none" w:sz="0" w:space="0" w:color="auto"/>
        <w:right w:val="none" w:sz="0" w:space="0" w:color="auto"/>
      </w:divBdr>
    </w:div>
    <w:div w:id="582228915">
      <w:bodyDiv w:val="1"/>
      <w:marLeft w:val="0"/>
      <w:marRight w:val="0"/>
      <w:marTop w:val="0"/>
      <w:marBottom w:val="0"/>
      <w:divBdr>
        <w:top w:val="none" w:sz="0" w:space="0" w:color="auto"/>
        <w:left w:val="none" w:sz="0" w:space="0" w:color="auto"/>
        <w:bottom w:val="none" w:sz="0" w:space="0" w:color="auto"/>
        <w:right w:val="none" w:sz="0" w:space="0" w:color="auto"/>
      </w:divBdr>
      <w:divsChild>
        <w:div w:id="12389277">
          <w:marLeft w:val="0"/>
          <w:marRight w:val="0"/>
          <w:marTop w:val="0"/>
          <w:marBottom w:val="0"/>
          <w:divBdr>
            <w:top w:val="none" w:sz="0" w:space="0" w:color="auto"/>
            <w:left w:val="none" w:sz="0" w:space="0" w:color="auto"/>
            <w:bottom w:val="none" w:sz="0" w:space="0" w:color="auto"/>
            <w:right w:val="none" w:sz="0" w:space="0" w:color="auto"/>
          </w:divBdr>
        </w:div>
        <w:div w:id="14893533">
          <w:marLeft w:val="0"/>
          <w:marRight w:val="0"/>
          <w:marTop w:val="0"/>
          <w:marBottom w:val="0"/>
          <w:divBdr>
            <w:top w:val="none" w:sz="0" w:space="0" w:color="auto"/>
            <w:left w:val="none" w:sz="0" w:space="0" w:color="auto"/>
            <w:bottom w:val="none" w:sz="0" w:space="0" w:color="auto"/>
            <w:right w:val="none" w:sz="0" w:space="0" w:color="auto"/>
          </w:divBdr>
        </w:div>
        <w:div w:id="35352133">
          <w:marLeft w:val="0"/>
          <w:marRight w:val="0"/>
          <w:marTop w:val="0"/>
          <w:marBottom w:val="0"/>
          <w:divBdr>
            <w:top w:val="none" w:sz="0" w:space="0" w:color="auto"/>
            <w:left w:val="none" w:sz="0" w:space="0" w:color="auto"/>
            <w:bottom w:val="none" w:sz="0" w:space="0" w:color="auto"/>
            <w:right w:val="none" w:sz="0" w:space="0" w:color="auto"/>
          </w:divBdr>
        </w:div>
        <w:div w:id="61177765">
          <w:marLeft w:val="0"/>
          <w:marRight w:val="0"/>
          <w:marTop w:val="0"/>
          <w:marBottom w:val="0"/>
          <w:divBdr>
            <w:top w:val="none" w:sz="0" w:space="0" w:color="auto"/>
            <w:left w:val="none" w:sz="0" w:space="0" w:color="auto"/>
            <w:bottom w:val="none" w:sz="0" w:space="0" w:color="auto"/>
            <w:right w:val="none" w:sz="0" w:space="0" w:color="auto"/>
          </w:divBdr>
        </w:div>
        <w:div w:id="76637845">
          <w:marLeft w:val="0"/>
          <w:marRight w:val="0"/>
          <w:marTop w:val="0"/>
          <w:marBottom w:val="0"/>
          <w:divBdr>
            <w:top w:val="none" w:sz="0" w:space="0" w:color="auto"/>
            <w:left w:val="none" w:sz="0" w:space="0" w:color="auto"/>
            <w:bottom w:val="none" w:sz="0" w:space="0" w:color="auto"/>
            <w:right w:val="none" w:sz="0" w:space="0" w:color="auto"/>
          </w:divBdr>
        </w:div>
        <w:div w:id="90056421">
          <w:marLeft w:val="0"/>
          <w:marRight w:val="0"/>
          <w:marTop w:val="0"/>
          <w:marBottom w:val="0"/>
          <w:divBdr>
            <w:top w:val="none" w:sz="0" w:space="0" w:color="auto"/>
            <w:left w:val="none" w:sz="0" w:space="0" w:color="auto"/>
            <w:bottom w:val="none" w:sz="0" w:space="0" w:color="auto"/>
            <w:right w:val="none" w:sz="0" w:space="0" w:color="auto"/>
          </w:divBdr>
        </w:div>
        <w:div w:id="107163855">
          <w:marLeft w:val="0"/>
          <w:marRight w:val="0"/>
          <w:marTop w:val="0"/>
          <w:marBottom w:val="0"/>
          <w:divBdr>
            <w:top w:val="none" w:sz="0" w:space="0" w:color="auto"/>
            <w:left w:val="none" w:sz="0" w:space="0" w:color="auto"/>
            <w:bottom w:val="none" w:sz="0" w:space="0" w:color="auto"/>
            <w:right w:val="none" w:sz="0" w:space="0" w:color="auto"/>
          </w:divBdr>
        </w:div>
        <w:div w:id="110707696">
          <w:marLeft w:val="0"/>
          <w:marRight w:val="0"/>
          <w:marTop w:val="0"/>
          <w:marBottom w:val="0"/>
          <w:divBdr>
            <w:top w:val="none" w:sz="0" w:space="0" w:color="auto"/>
            <w:left w:val="none" w:sz="0" w:space="0" w:color="auto"/>
            <w:bottom w:val="none" w:sz="0" w:space="0" w:color="auto"/>
            <w:right w:val="none" w:sz="0" w:space="0" w:color="auto"/>
          </w:divBdr>
        </w:div>
        <w:div w:id="131950088">
          <w:marLeft w:val="0"/>
          <w:marRight w:val="0"/>
          <w:marTop w:val="0"/>
          <w:marBottom w:val="0"/>
          <w:divBdr>
            <w:top w:val="none" w:sz="0" w:space="0" w:color="auto"/>
            <w:left w:val="none" w:sz="0" w:space="0" w:color="auto"/>
            <w:bottom w:val="none" w:sz="0" w:space="0" w:color="auto"/>
            <w:right w:val="none" w:sz="0" w:space="0" w:color="auto"/>
          </w:divBdr>
        </w:div>
        <w:div w:id="188178288">
          <w:marLeft w:val="0"/>
          <w:marRight w:val="0"/>
          <w:marTop w:val="0"/>
          <w:marBottom w:val="0"/>
          <w:divBdr>
            <w:top w:val="none" w:sz="0" w:space="0" w:color="auto"/>
            <w:left w:val="none" w:sz="0" w:space="0" w:color="auto"/>
            <w:bottom w:val="none" w:sz="0" w:space="0" w:color="auto"/>
            <w:right w:val="none" w:sz="0" w:space="0" w:color="auto"/>
          </w:divBdr>
        </w:div>
        <w:div w:id="201401918">
          <w:marLeft w:val="0"/>
          <w:marRight w:val="0"/>
          <w:marTop w:val="0"/>
          <w:marBottom w:val="0"/>
          <w:divBdr>
            <w:top w:val="none" w:sz="0" w:space="0" w:color="auto"/>
            <w:left w:val="none" w:sz="0" w:space="0" w:color="auto"/>
            <w:bottom w:val="none" w:sz="0" w:space="0" w:color="auto"/>
            <w:right w:val="none" w:sz="0" w:space="0" w:color="auto"/>
          </w:divBdr>
        </w:div>
        <w:div w:id="209076653">
          <w:marLeft w:val="0"/>
          <w:marRight w:val="0"/>
          <w:marTop w:val="0"/>
          <w:marBottom w:val="0"/>
          <w:divBdr>
            <w:top w:val="none" w:sz="0" w:space="0" w:color="auto"/>
            <w:left w:val="none" w:sz="0" w:space="0" w:color="auto"/>
            <w:bottom w:val="none" w:sz="0" w:space="0" w:color="auto"/>
            <w:right w:val="none" w:sz="0" w:space="0" w:color="auto"/>
          </w:divBdr>
        </w:div>
        <w:div w:id="209221410">
          <w:marLeft w:val="0"/>
          <w:marRight w:val="0"/>
          <w:marTop w:val="0"/>
          <w:marBottom w:val="0"/>
          <w:divBdr>
            <w:top w:val="none" w:sz="0" w:space="0" w:color="auto"/>
            <w:left w:val="none" w:sz="0" w:space="0" w:color="auto"/>
            <w:bottom w:val="none" w:sz="0" w:space="0" w:color="auto"/>
            <w:right w:val="none" w:sz="0" w:space="0" w:color="auto"/>
          </w:divBdr>
        </w:div>
        <w:div w:id="210190036">
          <w:marLeft w:val="0"/>
          <w:marRight w:val="0"/>
          <w:marTop w:val="0"/>
          <w:marBottom w:val="0"/>
          <w:divBdr>
            <w:top w:val="none" w:sz="0" w:space="0" w:color="auto"/>
            <w:left w:val="none" w:sz="0" w:space="0" w:color="auto"/>
            <w:bottom w:val="none" w:sz="0" w:space="0" w:color="auto"/>
            <w:right w:val="none" w:sz="0" w:space="0" w:color="auto"/>
          </w:divBdr>
        </w:div>
        <w:div w:id="213928351">
          <w:marLeft w:val="0"/>
          <w:marRight w:val="0"/>
          <w:marTop w:val="0"/>
          <w:marBottom w:val="0"/>
          <w:divBdr>
            <w:top w:val="none" w:sz="0" w:space="0" w:color="auto"/>
            <w:left w:val="none" w:sz="0" w:space="0" w:color="auto"/>
            <w:bottom w:val="none" w:sz="0" w:space="0" w:color="auto"/>
            <w:right w:val="none" w:sz="0" w:space="0" w:color="auto"/>
          </w:divBdr>
        </w:div>
        <w:div w:id="221450898">
          <w:marLeft w:val="0"/>
          <w:marRight w:val="0"/>
          <w:marTop w:val="0"/>
          <w:marBottom w:val="0"/>
          <w:divBdr>
            <w:top w:val="none" w:sz="0" w:space="0" w:color="auto"/>
            <w:left w:val="none" w:sz="0" w:space="0" w:color="auto"/>
            <w:bottom w:val="none" w:sz="0" w:space="0" w:color="auto"/>
            <w:right w:val="none" w:sz="0" w:space="0" w:color="auto"/>
          </w:divBdr>
        </w:div>
        <w:div w:id="295255618">
          <w:marLeft w:val="0"/>
          <w:marRight w:val="0"/>
          <w:marTop w:val="0"/>
          <w:marBottom w:val="0"/>
          <w:divBdr>
            <w:top w:val="none" w:sz="0" w:space="0" w:color="auto"/>
            <w:left w:val="none" w:sz="0" w:space="0" w:color="auto"/>
            <w:bottom w:val="none" w:sz="0" w:space="0" w:color="auto"/>
            <w:right w:val="none" w:sz="0" w:space="0" w:color="auto"/>
          </w:divBdr>
        </w:div>
        <w:div w:id="342785053">
          <w:marLeft w:val="0"/>
          <w:marRight w:val="0"/>
          <w:marTop w:val="0"/>
          <w:marBottom w:val="0"/>
          <w:divBdr>
            <w:top w:val="none" w:sz="0" w:space="0" w:color="auto"/>
            <w:left w:val="none" w:sz="0" w:space="0" w:color="auto"/>
            <w:bottom w:val="none" w:sz="0" w:space="0" w:color="auto"/>
            <w:right w:val="none" w:sz="0" w:space="0" w:color="auto"/>
          </w:divBdr>
        </w:div>
        <w:div w:id="355739744">
          <w:marLeft w:val="0"/>
          <w:marRight w:val="0"/>
          <w:marTop w:val="0"/>
          <w:marBottom w:val="0"/>
          <w:divBdr>
            <w:top w:val="none" w:sz="0" w:space="0" w:color="auto"/>
            <w:left w:val="none" w:sz="0" w:space="0" w:color="auto"/>
            <w:bottom w:val="none" w:sz="0" w:space="0" w:color="auto"/>
            <w:right w:val="none" w:sz="0" w:space="0" w:color="auto"/>
          </w:divBdr>
        </w:div>
        <w:div w:id="355926261">
          <w:marLeft w:val="0"/>
          <w:marRight w:val="0"/>
          <w:marTop w:val="0"/>
          <w:marBottom w:val="0"/>
          <w:divBdr>
            <w:top w:val="none" w:sz="0" w:space="0" w:color="auto"/>
            <w:left w:val="none" w:sz="0" w:space="0" w:color="auto"/>
            <w:bottom w:val="none" w:sz="0" w:space="0" w:color="auto"/>
            <w:right w:val="none" w:sz="0" w:space="0" w:color="auto"/>
          </w:divBdr>
        </w:div>
        <w:div w:id="357245043">
          <w:marLeft w:val="0"/>
          <w:marRight w:val="0"/>
          <w:marTop w:val="0"/>
          <w:marBottom w:val="0"/>
          <w:divBdr>
            <w:top w:val="none" w:sz="0" w:space="0" w:color="auto"/>
            <w:left w:val="none" w:sz="0" w:space="0" w:color="auto"/>
            <w:bottom w:val="none" w:sz="0" w:space="0" w:color="auto"/>
            <w:right w:val="none" w:sz="0" w:space="0" w:color="auto"/>
          </w:divBdr>
        </w:div>
        <w:div w:id="364215058">
          <w:marLeft w:val="0"/>
          <w:marRight w:val="0"/>
          <w:marTop w:val="0"/>
          <w:marBottom w:val="0"/>
          <w:divBdr>
            <w:top w:val="none" w:sz="0" w:space="0" w:color="auto"/>
            <w:left w:val="none" w:sz="0" w:space="0" w:color="auto"/>
            <w:bottom w:val="none" w:sz="0" w:space="0" w:color="auto"/>
            <w:right w:val="none" w:sz="0" w:space="0" w:color="auto"/>
          </w:divBdr>
        </w:div>
        <w:div w:id="372925936">
          <w:marLeft w:val="0"/>
          <w:marRight w:val="0"/>
          <w:marTop w:val="0"/>
          <w:marBottom w:val="0"/>
          <w:divBdr>
            <w:top w:val="none" w:sz="0" w:space="0" w:color="auto"/>
            <w:left w:val="none" w:sz="0" w:space="0" w:color="auto"/>
            <w:bottom w:val="none" w:sz="0" w:space="0" w:color="auto"/>
            <w:right w:val="none" w:sz="0" w:space="0" w:color="auto"/>
          </w:divBdr>
        </w:div>
        <w:div w:id="394939014">
          <w:marLeft w:val="0"/>
          <w:marRight w:val="0"/>
          <w:marTop w:val="0"/>
          <w:marBottom w:val="0"/>
          <w:divBdr>
            <w:top w:val="none" w:sz="0" w:space="0" w:color="auto"/>
            <w:left w:val="none" w:sz="0" w:space="0" w:color="auto"/>
            <w:bottom w:val="none" w:sz="0" w:space="0" w:color="auto"/>
            <w:right w:val="none" w:sz="0" w:space="0" w:color="auto"/>
          </w:divBdr>
        </w:div>
        <w:div w:id="422149940">
          <w:marLeft w:val="0"/>
          <w:marRight w:val="0"/>
          <w:marTop w:val="0"/>
          <w:marBottom w:val="0"/>
          <w:divBdr>
            <w:top w:val="none" w:sz="0" w:space="0" w:color="auto"/>
            <w:left w:val="none" w:sz="0" w:space="0" w:color="auto"/>
            <w:bottom w:val="none" w:sz="0" w:space="0" w:color="auto"/>
            <w:right w:val="none" w:sz="0" w:space="0" w:color="auto"/>
          </w:divBdr>
        </w:div>
        <w:div w:id="441145230">
          <w:marLeft w:val="0"/>
          <w:marRight w:val="0"/>
          <w:marTop w:val="0"/>
          <w:marBottom w:val="0"/>
          <w:divBdr>
            <w:top w:val="none" w:sz="0" w:space="0" w:color="auto"/>
            <w:left w:val="none" w:sz="0" w:space="0" w:color="auto"/>
            <w:bottom w:val="none" w:sz="0" w:space="0" w:color="auto"/>
            <w:right w:val="none" w:sz="0" w:space="0" w:color="auto"/>
          </w:divBdr>
        </w:div>
        <w:div w:id="442924979">
          <w:marLeft w:val="0"/>
          <w:marRight w:val="0"/>
          <w:marTop w:val="0"/>
          <w:marBottom w:val="0"/>
          <w:divBdr>
            <w:top w:val="none" w:sz="0" w:space="0" w:color="auto"/>
            <w:left w:val="none" w:sz="0" w:space="0" w:color="auto"/>
            <w:bottom w:val="none" w:sz="0" w:space="0" w:color="auto"/>
            <w:right w:val="none" w:sz="0" w:space="0" w:color="auto"/>
          </w:divBdr>
        </w:div>
        <w:div w:id="445736125">
          <w:marLeft w:val="0"/>
          <w:marRight w:val="0"/>
          <w:marTop w:val="0"/>
          <w:marBottom w:val="0"/>
          <w:divBdr>
            <w:top w:val="none" w:sz="0" w:space="0" w:color="auto"/>
            <w:left w:val="none" w:sz="0" w:space="0" w:color="auto"/>
            <w:bottom w:val="none" w:sz="0" w:space="0" w:color="auto"/>
            <w:right w:val="none" w:sz="0" w:space="0" w:color="auto"/>
          </w:divBdr>
        </w:div>
        <w:div w:id="478151506">
          <w:marLeft w:val="0"/>
          <w:marRight w:val="0"/>
          <w:marTop w:val="0"/>
          <w:marBottom w:val="0"/>
          <w:divBdr>
            <w:top w:val="none" w:sz="0" w:space="0" w:color="auto"/>
            <w:left w:val="none" w:sz="0" w:space="0" w:color="auto"/>
            <w:bottom w:val="none" w:sz="0" w:space="0" w:color="auto"/>
            <w:right w:val="none" w:sz="0" w:space="0" w:color="auto"/>
          </w:divBdr>
        </w:div>
        <w:div w:id="490368656">
          <w:marLeft w:val="0"/>
          <w:marRight w:val="0"/>
          <w:marTop w:val="0"/>
          <w:marBottom w:val="0"/>
          <w:divBdr>
            <w:top w:val="none" w:sz="0" w:space="0" w:color="auto"/>
            <w:left w:val="none" w:sz="0" w:space="0" w:color="auto"/>
            <w:bottom w:val="none" w:sz="0" w:space="0" w:color="auto"/>
            <w:right w:val="none" w:sz="0" w:space="0" w:color="auto"/>
          </w:divBdr>
        </w:div>
        <w:div w:id="503665632">
          <w:marLeft w:val="0"/>
          <w:marRight w:val="0"/>
          <w:marTop w:val="0"/>
          <w:marBottom w:val="0"/>
          <w:divBdr>
            <w:top w:val="none" w:sz="0" w:space="0" w:color="auto"/>
            <w:left w:val="none" w:sz="0" w:space="0" w:color="auto"/>
            <w:bottom w:val="none" w:sz="0" w:space="0" w:color="auto"/>
            <w:right w:val="none" w:sz="0" w:space="0" w:color="auto"/>
          </w:divBdr>
        </w:div>
        <w:div w:id="505249415">
          <w:marLeft w:val="0"/>
          <w:marRight w:val="0"/>
          <w:marTop w:val="0"/>
          <w:marBottom w:val="0"/>
          <w:divBdr>
            <w:top w:val="none" w:sz="0" w:space="0" w:color="auto"/>
            <w:left w:val="none" w:sz="0" w:space="0" w:color="auto"/>
            <w:bottom w:val="none" w:sz="0" w:space="0" w:color="auto"/>
            <w:right w:val="none" w:sz="0" w:space="0" w:color="auto"/>
          </w:divBdr>
        </w:div>
        <w:div w:id="517277281">
          <w:marLeft w:val="0"/>
          <w:marRight w:val="0"/>
          <w:marTop w:val="0"/>
          <w:marBottom w:val="0"/>
          <w:divBdr>
            <w:top w:val="none" w:sz="0" w:space="0" w:color="auto"/>
            <w:left w:val="none" w:sz="0" w:space="0" w:color="auto"/>
            <w:bottom w:val="none" w:sz="0" w:space="0" w:color="auto"/>
            <w:right w:val="none" w:sz="0" w:space="0" w:color="auto"/>
          </w:divBdr>
        </w:div>
        <w:div w:id="517620115">
          <w:marLeft w:val="0"/>
          <w:marRight w:val="0"/>
          <w:marTop w:val="0"/>
          <w:marBottom w:val="0"/>
          <w:divBdr>
            <w:top w:val="none" w:sz="0" w:space="0" w:color="auto"/>
            <w:left w:val="none" w:sz="0" w:space="0" w:color="auto"/>
            <w:bottom w:val="none" w:sz="0" w:space="0" w:color="auto"/>
            <w:right w:val="none" w:sz="0" w:space="0" w:color="auto"/>
          </w:divBdr>
        </w:div>
        <w:div w:id="524565877">
          <w:marLeft w:val="0"/>
          <w:marRight w:val="0"/>
          <w:marTop w:val="0"/>
          <w:marBottom w:val="0"/>
          <w:divBdr>
            <w:top w:val="none" w:sz="0" w:space="0" w:color="auto"/>
            <w:left w:val="none" w:sz="0" w:space="0" w:color="auto"/>
            <w:bottom w:val="none" w:sz="0" w:space="0" w:color="auto"/>
            <w:right w:val="none" w:sz="0" w:space="0" w:color="auto"/>
          </w:divBdr>
        </w:div>
        <w:div w:id="536966884">
          <w:marLeft w:val="0"/>
          <w:marRight w:val="0"/>
          <w:marTop w:val="0"/>
          <w:marBottom w:val="0"/>
          <w:divBdr>
            <w:top w:val="none" w:sz="0" w:space="0" w:color="auto"/>
            <w:left w:val="none" w:sz="0" w:space="0" w:color="auto"/>
            <w:bottom w:val="none" w:sz="0" w:space="0" w:color="auto"/>
            <w:right w:val="none" w:sz="0" w:space="0" w:color="auto"/>
          </w:divBdr>
        </w:div>
        <w:div w:id="547961256">
          <w:marLeft w:val="0"/>
          <w:marRight w:val="0"/>
          <w:marTop w:val="0"/>
          <w:marBottom w:val="0"/>
          <w:divBdr>
            <w:top w:val="none" w:sz="0" w:space="0" w:color="auto"/>
            <w:left w:val="none" w:sz="0" w:space="0" w:color="auto"/>
            <w:bottom w:val="none" w:sz="0" w:space="0" w:color="auto"/>
            <w:right w:val="none" w:sz="0" w:space="0" w:color="auto"/>
          </w:divBdr>
        </w:div>
        <w:div w:id="558638504">
          <w:marLeft w:val="0"/>
          <w:marRight w:val="0"/>
          <w:marTop w:val="0"/>
          <w:marBottom w:val="0"/>
          <w:divBdr>
            <w:top w:val="none" w:sz="0" w:space="0" w:color="auto"/>
            <w:left w:val="none" w:sz="0" w:space="0" w:color="auto"/>
            <w:bottom w:val="none" w:sz="0" w:space="0" w:color="auto"/>
            <w:right w:val="none" w:sz="0" w:space="0" w:color="auto"/>
          </w:divBdr>
        </w:div>
        <w:div w:id="560218391">
          <w:marLeft w:val="0"/>
          <w:marRight w:val="0"/>
          <w:marTop w:val="0"/>
          <w:marBottom w:val="0"/>
          <w:divBdr>
            <w:top w:val="none" w:sz="0" w:space="0" w:color="auto"/>
            <w:left w:val="none" w:sz="0" w:space="0" w:color="auto"/>
            <w:bottom w:val="none" w:sz="0" w:space="0" w:color="auto"/>
            <w:right w:val="none" w:sz="0" w:space="0" w:color="auto"/>
          </w:divBdr>
        </w:div>
        <w:div w:id="560605857">
          <w:marLeft w:val="0"/>
          <w:marRight w:val="0"/>
          <w:marTop w:val="0"/>
          <w:marBottom w:val="0"/>
          <w:divBdr>
            <w:top w:val="none" w:sz="0" w:space="0" w:color="auto"/>
            <w:left w:val="none" w:sz="0" w:space="0" w:color="auto"/>
            <w:bottom w:val="none" w:sz="0" w:space="0" w:color="auto"/>
            <w:right w:val="none" w:sz="0" w:space="0" w:color="auto"/>
          </w:divBdr>
        </w:div>
        <w:div w:id="565385062">
          <w:marLeft w:val="0"/>
          <w:marRight w:val="0"/>
          <w:marTop w:val="0"/>
          <w:marBottom w:val="0"/>
          <w:divBdr>
            <w:top w:val="none" w:sz="0" w:space="0" w:color="auto"/>
            <w:left w:val="none" w:sz="0" w:space="0" w:color="auto"/>
            <w:bottom w:val="none" w:sz="0" w:space="0" w:color="auto"/>
            <w:right w:val="none" w:sz="0" w:space="0" w:color="auto"/>
          </w:divBdr>
        </w:div>
        <w:div w:id="586772505">
          <w:marLeft w:val="0"/>
          <w:marRight w:val="0"/>
          <w:marTop w:val="0"/>
          <w:marBottom w:val="0"/>
          <w:divBdr>
            <w:top w:val="none" w:sz="0" w:space="0" w:color="auto"/>
            <w:left w:val="none" w:sz="0" w:space="0" w:color="auto"/>
            <w:bottom w:val="none" w:sz="0" w:space="0" w:color="auto"/>
            <w:right w:val="none" w:sz="0" w:space="0" w:color="auto"/>
          </w:divBdr>
        </w:div>
        <w:div w:id="594050237">
          <w:marLeft w:val="0"/>
          <w:marRight w:val="0"/>
          <w:marTop w:val="0"/>
          <w:marBottom w:val="0"/>
          <w:divBdr>
            <w:top w:val="none" w:sz="0" w:space="0" w:color="auto"/>
            <w:left w:val="none" w:sz="0" w:space="0" w:color="auto"/>
            <w:bottom w:val="none" w:sz="0" w:space="0" w:color="auto"/>
            <w:right w:val="none" w:sz="0" w:space="0" w:color="auto"/>
          </w:divBdr>
        </w:div>
        <w:div w:id="615480231">
          <w:marLeft w:val="0"/>
          <w:marRight w:val="0"/>
          <w:marTop w:val="0"/>
          <w:marBottom w:val="0"/>
          <w:divBdr>
            <w:top w:val="none" w:sz="0" w:space="0" w:color="auto"/>
            <w:left w:val="none" w:sz="0" w:space="0" w:color="auto"/>
            <w:bottom w:val="none" w:sz="0" w:space="0" w:color="auto"/>
            <w:right w:val="none" w:sz="0" w:space="0" w:color="auto"/>
          </w:divBdr>
        </w:div>
        <w:div w:id="619000218">
          <w:marLeft w:val="0"/>
          <w:marRight w:val="0"/>
          <w:marTop w:val="0"/>
          <w:marBottom w:val="0"/>
          <w:divBdr>
            <w:top w:val="none" w:sz="0" w:space="0" w:color="auto"/>
            <w:left w:val="none" w:sz="0" w:space="0" w:color="auto"/>
            <w:bottom w:val="none" w:sz="0" w:space="0" w:color="auto"/>
            <w:right w:val="none" w:sz="0" w:space="0" w:color="auto"/>
          </w:divBdr>
        </w:div>
        <w:div w:id="622687654">
          <w:marLeft w:val="0"/>
          <w:marRight w:val="0"/>
          <w:marTop w:val="0"/>
          <w:marBottom w:val="0"/>
          <w:divBdr>
            <w:top w:val="none" w:sz="0" w:space="0" w:color="auto"/>
            <w:left w:val="none" w:sz="0" w:space="0" w:color="auto"/>
            <w:bottom w:val="none" w:sz="0" w:space="0" w:color="auto"/>
            <w:right w:val="none" w:sz="0" w:space="0" w:color="auto"/>
          </w:divBdr>
        </w:div>
        <w:div w:id="636372736">
          <w:marLeft w:val="0"/>
          <w:marRight w:val="0"/>
          <w:marTop w:val="0"/>
          <w:marBottom w:val="0"/>
          <w:divBdr>
            <w:top w:val="none" w:sz="0" w:space="0" w:color="auto"/>
            <w:left w:val="none" w:sz="0" w:space="0" w:color="auto"/>
            <w:bottom w:val="none" w:sz="0" w:space="0" w:color="auto"/>
            <w:right w:val="none" w:sz="0" w:space="0" w:color="auto"/>
          </w:divBdr>
        </w:div>
        <w:div w:id="659162473">
          <w:marLeft w:val="0"/>
          <w:marRight w:val="0"/>
          <w:marTop w:val="0"/>
          <w:marBottom w:val="0"/>
          <w:divBdr>
            <w:top w:val="none" w:sz="0" w:space="0" w:color="auto"/>
            <w:left w:val="none" w:sz="0" w:space="0" w:color="auto"/>
            <w:bottom w:val="none" w:sz="0" w:space="0" w:color="auto"/>
            <w:right w:val="none" w:sz="0" w:space="0" w:color="auto"/>
          </w:divBdr>
        </w:div>
        <w:div w:id="679355910">
          <w:marLeft w:val="0"/>
          <w:marRight w:val="0"/>
          <w:marTop w:val="0"/>
          <w:marBottom w:val="0"/>
          <w:divBdr>
            <w:top w:val="none" w:sz="0" w:space="0" w:color="auto"/>
            <w:left w:val="none" w:sz="0" w:space="0" w:color="auto"/>
            <w:bottom w:val="none" w:sz="0" w:space="0" w:color="auto"/>
            <w:right w:val="none" w:sz="0" w:space="0" w:color="auto"/>
          </w:divBdr>
        </w:div>
        <w:div w:id="679888690">
          <w:marLeft w:val="0"/>
          <w:marRight w:val="0"/>
          <w:marTop w:val="0"/>
          <w:marBottom w:val="0"/>
          <w:divBdr>
            <w:top w:val="none" w:sz="0" w:space="0" w:color="auto"/>
            <w:left w:val="none" w:sz="0" w:space="0" w:color="auto"/>
            <w:bottom w:val="none" w:sz="0" w:space="0" w:color="auto"/>
            <w:right w:val="none" w:sz="0" w:space="0" w:color="auto"/>
          </w:divBdr>
        </w:div>
        <w:div w:id="684017533">
          <w:marLeft w:val="0"/>
          <w:marRight w:val="0"/>
          <w:marTop w:val="0"/>
          <w:marBottom w:val="0"/>
          <w:divBdr>
            <w:top w:val="none" w:sz="0" w:space="0" w:color="auto"/>
            <w:left w:val="none" w:sz="0" w:space="0" w:color="auto"/>
            <w:bottom w:val="none" w:sz="0" w:space="0" w:color="auto"/>
            <w:right w:val="none" w:sz="0" w:space="0" w:color="auto"/>
          </w:divBdr>
        </w:div>
        <w:div w:id="691876259">
          <w:marLeft w:val="0"/>
          <w:marRight w:val="0"/>
          <w:marTop w:val="0"/>
          <w:marBottom w:val="0"/>
          <w:divBdr>
            <w:top w:val="none" w:sz="0" w:space="0" w:color="auto"/>
            <w:left w:val="none" w:sz="0" w:space="0" w:color="auto"/>
            <w:bottom w:val="none" w:sz="0" w:space="0" w:color="auto"/>
            <w:right w:val="none" w:sz="0" w:space="0" w:color="auto"/>
          </w:divBdr>
        </w:div>
        <w:div w:id="698551677">
          <w:marLeft w:val="0"/>
          <w:marRight w:val="0"/>
          <w:marTop w:val="0"/>
          <w:marBottom w:val="0"/>
          <w:divBdr>
            <w:top w:val="none" w:sz="0" w:space="0" w:color="auto"/>
            <w:left w:val="none" w:sz="0" w:space="0" w:color="auto"/>
            <w:bottom w:val="none" w:sz="0" w:space="0" w:color="auto"/>
            <w:right w:val="none" w:sz="0" w:space="0" w:color="auto"/>
          </w:divBdr>
        </w:div>
        <w:div w:id="725186175">
          <w:marLeft w:val="0"/>
          <w:marRight w:val="0"/>
          <w:marTop w:val="0"/>
          <w:marBottom w:val="0"/>
          <w:divBdr>
            <w:top w:val="none" w:sz="0" w:space="0" w:color="auto"/>
            <w:left w:val="none" w:sz="0" w:space="0" w:color="auto"/>
            <w:bottom w:val="none" w:sz="0" w:space="0" w:color="auto"/>
            <w:right w:val="none" w:sz="0" w:space="0" w:color="auto"/>
          </w:divBdr>
        </w:div>
        <w:div w:id="744185118">
          <w:marLeft w:val="0"/>
          <w:marRight w:val="0"/>
          <w:marTop w:val="0"/>
          <w:marBottom w:val="0"/>
          <w:divBdr>
            <w:top w:val="none" w:sz="0" w:space="0" w:color="auto"/>
            <w:left w:val="none" w:sz="0" w:space="0" w:color="auto"/>
            <w:bottom w:val="none" w:sz="0" w:space="0" w:color="auto"/>
            <w:right w:val="none" w:sz="0" w:space="0" w:color="auto"/>
          </w:divBdr>
        </w:div>
        <w:div w:id="750275192">
          <w:marLeft w:val="0"/>
          <w:marRight w:val="0"/>
          <w:marTop w:val="0"/>
          <w:marBottom w:val="0"/>
          <w:divBdr>
            <w:top w:val="none" w:sz="0" w:space="0" w:color="auto"/>
            <w:left w:val="none" w:sz="0" w:space="0" w:color="auto"/>
            <w:bottom w:val="none" w:sz="0" w:space="0" w:color="auto"/>
            <w:right w:val="none" w:sz="0" w:space="0" w:color="auto"/>
          </w:divBdr>
        </w:div>
        <w:div w:id="768084907">
          <w:marLeft w:val="0"/>
          <w:marRight w:val="0"/>
          <w:marTop w:val="0"/>
          <w:marBottom w:val="0"/>
          <w:divBdr>
            <w:top w:val="none" w:sz="0" w:space="0" w:color="auto"/>
            <w:left w:val="none" w:sz="0" w:space="0" w:color="auto"/>
            <w:bottom w:val="none" w:sz="0" w:space="0" w:color="auto"/>
            <w:right w:val="none" w:sz="0" w:space="0" w:color="auto"/>
          </w:divBdr>
        </w:div>
        <w:div w:id="773668365">
          <w:marLeft w:val="0"/>
          <w:marRight w:val="0"/>
          <w:marTop w:val="0"/>
          <w:marBottom w:val="0"/>
          <w:divBdr>
            <w:top w:val="none" w:sz="0" w:space="0" w:color="auto"/>
            <w:left w:val="none" w:sz="0" w:space="0" w:color="auto"/>
            <w:bottom w:val="none" w:sz="0" w:space="0" w:color="auto"/>
            <w:right w:val="none" w:sz="0" w:space="0" w:color="auto"/>
          </w:divBdr>
        </w:div>
        <w:div w:id="778716273">
          <w:marLeft w:val="0"/>
          <w:marRight w:val="0"/>
          <w:marTop w:val="0"/>
          <w:marBottom w:val="0"/>
          <w:divBdr>
            <w:top w:val="none" w:sz="0" w:space="0" w:color="auto"/>
            <w:left w:val="none" w:sz="0" w:space="0" w:color="auto"/>
            <w:bottom w:val="none" w:sz="0" w:space="0" w:color="auto"/>
            <w:right w:val="none" w:sz="0" w:space="0" w:color="auto"/>
          </w:divBdr>
        </w:div>
        <w:div w:id="795759560">
          <w:marLeft w:val="0"/>
          <w:marRight w:val="0"/>
          <w:marTop w:val="0"/>
          <w:marBottom w:val="0"/>
          <w:divBdr>
            <w:top w:val="none" w:sz="0" w:space="0" w:color="auto"/>
            <w:left w:val="none" w:sz="0" w:space="0" w:color="auto"/>
            <w:bottom w:val="none" w:sz="0" w:space="0" w:color="auto"/>
            <w:right w:val="none" w:sz="0" w:space="0" w:color="auto"/>
          </w:divBdr>
        </w:div>
        <w:div w:id="819856376">
          <w:marLeft w:val="0"/>
          <w:marRight w:val="0"/>
          <w:marTop w:val="0"/>
          <w:marBottom w:val="0"/>
          <w:divBdr>
            <w:top w:val="none" w:sz="0" w:space="0" w:color="auto"/>
            <w:left w:val="none" w:sz="0" w:space="0" w:color="auto"/>
            <w:bottom w:val="none" w:sz="0" w:space="0" w:color="auto"/>
            <w:right w:val="none" w:sz="0" w:space="0" w:color="auto"/>
          </w:divBdr>
        </w:div>
        <w:div w:id="821625686">
          <w:marLeft w:val="0"/>
          <w:marRight w:val="0"/>
          <w:marTop w:val="0"/>
          <w:marBottom w:val="0"/>
          <w:divBdr>
            <w:top w:val="none" w:sz="0" w:space="0" w:color="auto"/>
            <w:left w:val="none" w:sz="0" w:space="0" w:color="auto"/>
            <w:bottom w:val="none" w:sz="0" w:space="0" w:color="auto"/>
            <w:right w:val="none" w:sz="0" w:space="0" w:color="auto"/>
          </w:divBdr>
        </w:div>
        <w:div w:id="827674044">
          <w:marLeft w:val="0"/>
          <w:marRight w:val="0"/>
          <w:marTop w:val="0"/>
          <w:marBottom w:val="0"/>
          <w:divBdr>
            <w:top w:val="none" w:sz="0" w:space="0" w:color="auto"/>
            <w:left w:val="none" w:sz="0" w:space="0" w:color="auto"/>
            <w:bottom w:val="none" w:sz="0" w:space="0" w:color="auto"/>
            <w:right w:val="none" w:sz="0" w:space="0" w:color="auto"/>
          </w:divBdr>
        </w:div>
        <w:div w:id="829176316">
          <w:marLeft w:val="0"/>
          <w:marRight w:val="0"/>
          <w:marTop w:val="0"/>
          <w:marBottom w:val="0"/>
          <w:divBdr>
            <w:top w:val="none" w:sz="0" w:space="0" w:color="auto"/>
            <w:left w:val="none" w:sz="0" w:space="0" w:color="auto"/>
            <w:bottom w:val="none" w:sz="0" w:space="0" w:color="auto"/>
            <w:right w:val="none" w:sz="0" w:space="0" w:color="auto"/>
          </w:divBdr>
        </w:div>
        <w:div w:id="831943662">
          <w:marLeft w:val="0"/>
          <w:marRight w:val="0"/>
          <w:marTop w:val="0"/>
          <w:marBottom w:val="0"/>
          <w:divBdr>
            <w:top w:val="none" w:sz="0" w:space="0" w:color="auto"/>
            <w:left w:val="none" w:sz="0" w:space="0" w:color="auto"/>
            <w:bottom w:val="none" w:sz="0" w:space="0" w:color="auto"/>
            <w:right w:val="none" w:sz="0" w:space="0" w:color="auto"/>
          </w:divBdr>
        </w:div>
        <w:div w:id="833186649">
          <w:marLeft w:val="0"/>
          <w:marRight w:val="0"/>
          <w:marTop w:val="0"/>
          <w:marBottom w:val="0"/>
          <w:divBdr>
            <w:top w:val="none" w:sz="0" w:space="0" w:color="auto"/>
            <w:left w:val="none" w:sz="0" w:space="0" w:color="auto"/>
            <w:bottom w:val="none" w:sz="0" w:space="0" w:color="auto"/>
            <w:right w:val="none" w:sz="0" w:space="0" w:color="auto"/>
          </w:divBdr>
        </w:div>
        <w:div w:id="835418055">
          <w:marLeft w:val="0"/>
          <w:marRight w:val="0"/>
          <w:marTop w:val="0"/>
          <w:marBottom w:val="0"/>
          <w:divBdr>
            <w:top w:val="none" w:sz="0" w:space="0" w:color="auto"/>
            <w:left w:val="none" w:sz="0" w:space="0" w:color="auto"/>
            <w:bottom w:val="none" w:sz="0" w:space="0" w:color="auto"/>
            <w:right w:val="none" w:sz="0" w:space="0" w:color="auto"/>
          </w:divBdr>
        </w:div>
        <w:div w:id="838275746">
          <w:marLeft w:val="0"/>
          <w:marRight w:val="0"/>
          <w:marTop w:val="0"/>
          <w:marBottom w:val="0"/>
          <w:divBdr>
            <w:top w:val="none" w:sz="0" w:space="0" w:color="auto"/>
            <w:left w:val="none" w:sz="0" w:space="0" w:color="auto"/>
            <w:bottom w:val="none" w:sz="0" w:space="0" w:color="auto"/>
            <w:right w:val="none" w:sz="0" w:space="0" w:color="auto"/>
          </w:divBdr>
        </w:div>
        <w:div w:id="849948958">
          <w:marLeft w:val="0"/>
          <w:marRight w:val="0"/>
          <w:marTop w:val="0"/>
          <w:marBottom w:val="0"/>
          <w:divBdr>
            <w:top w:val="none" w:sz="0" w:space="0" w:color="auto"/>
            <w:left w:val="none" w:sz="0" w:space="0" w:color="auto"/>
            <w:bottom w:val="none" w:sz="0" w:space="0" w:color="auto"/>
            <w:right w:val="none" w:sz="0" w:space="0" w:color="auto"/>
          </w:divBdr>
        </w:div>
        <w:div w:id="865098716">
          <w:marLeft w:val="0"/>
          <w:marRight w:val="0"/>
          <w:marTop w:val="0"/>
          <w:marBottom w:val="0"/>
          <w:divBdr>
            <w:top w:val="none" w:sz="0" w:space="0" w:color="auto"/>
            <w:left w:val="none" w:sz="0" w:space="0" w:color="auto"/>
            <w:bottom w:val="none" w:sz="0" w:space="0" w:color="auto"/>
            <w:right w:val="none" w:sz="0" w:space="0" w:color="auto"/>
          </w:divBdr>
        </w:div>
        <w:div w:id="866871556">
          <w:marLeft w:val="0"/>
          <w:marRight w:val="0"/>
          <w:marTop w:val="0"/>
          <w:marBottom w:val="0"/>
          <w:divBdr>
            <w:top w:val="none" w:sz="0" w:space="0" w:color="auto"/>
            <w:left w:val="none" w:sz="0" w:space="0" w:color="auto"/>
            <w:bottom w:val="none" w:sz="0" w:space="0" w:color="auto"/>
            <w:right w:val="none" w:sz="0" w:space="0" w:color="auto"/>
          </w:divBdr>
        </w:div>
        <w:div w:id="871769809">
          <w:marLeft w:val="0"/>
          <w:marRight w:val="0"/>
          <w:marTop w:val="0"/>
          <w:marBottom w:val="0"/>
          <w:divBdr>
            <w:top w:val="none" w:sz="0" w:space="0" w:color="auto"/>
            <w:left w:val="none" w:sz="0" w:space="0" w:color="auto"/>
            <w:bottom w:val="none" w:sz="0" w:space="0" w:color="auto"/>
            <w:right w:val="none" w:sz="0" w:space="0" w:color="auto"/>
          </w:divBdr>
        </w:div>
        <w:div w:id="879710235">
          <w:marLeft w:val="0"/>
          <w:marRight w:val="0"/>
          <w:marTop w:val="0"/>
          <w:marBottom w:val="0"/>
          <w:divBdr>
            <w:top w:val="none" w:sz="0" w:space="0" w:color="auto"/>
            <w:left w:val="none" w:sz="0" w:space="0" w:color="auto"/>
            <w:bottom w:val="none" w:sz="0" w:space="0" w:color="auto"/>
            <w:right w:val="none" w:sz="0" w:space="0" w:color="auto"/>
          </w:divBdr>
        </w:div>
        <w:div w:id="882407350">
          <w:marLeft w:val="0"/>
          <w:marRight w:val="0"/>
          <w:marTop w:val="0"/>
          <w:marBottom w:val="0"/>
          <w:divBdr>
            <w:top w:val="none" w:sz="0" w:space="0" w:color="auto"/>
            <w:left w:val="none" w:sz="0" w:space="0" w:color="auto"/>
            <w:bottom w:val="none" w:sz="0" w:space="0" w:color="auto"/>
            <w:right w:val="none" w:sz="0" w:space="0" w:color="auto"/>
          </w:divBdr>
        </w:div>
        <w:div w:id="890191810">
          <w:marLeft w:val="0"/>
          <w:marRight w:val="0"/>
          <w:marTop w:val="0"/>
          <w:marBottom w:val="0"/>
          <w:divBdr>
            <w:top w:val="none" w:sz="0" w:space="0" w:color="auto"/>
            <w:left w:val="none" w:sz="0" w:space="0" w:color="auto"/>
            <w:bottom w:val="none" w:sz="0" w:space="0" w:color="auto"/>
            <w:right w:val="none" w:sz="0" w:space="0" w:color="auto"/>
          </w:divBdr>
        </w:div>
        <w:div w:id="898173941">
          <w:marLeft w:val="0"/>
          <w:marRight w:val="0"/>
          <w:marTop w:val="0"/>
          <w:marBottom w:val="0"/>
          <w:divBdr>
            <w:top w:val="none" w:sz="0" w:space="0" w:color="auto"/>
            <w:left w:val="none" w:sz="0" w:space="0" w:color="auto"/>
            <w:bottom w:val="none" w:sz="0" w:space="0" w:color="auto"/>
            <w:right w:val="none" w:sz="0" w:space="0" w:color="auto"/>
          </w:divBdr>
        </w:div>
        <w:div w:id="904997969">
          <w:marLeft w:val="0"/>
          <w:marRight w:val="0"/>
          <w:marTop w:val="0"/>
          <w:marBottom w:val="0"/>
          <w:divBdr>
            <w:top w:val="none" w:sz="0" w:space="0" w:color="auto"/>
            <w:left w:val="none" w:sz="0" w:space="0" w:color="auto"/>
            <w:bottom w:val="none" w:sz="0" w:space="0" w:color="auto"/>
            <w:right w:val="none" w:sz="0" w:space="0" w:color="auto"/>
          </w:divBdr>
        </w:div>
        <w:div w:id="927932390">
          <w:marLeft w:val="0"/>
          <w:marRight w:val="0"/>
          <w:marTop w:val="0"/>
          <w:marBottom w:val="0"/>
          <w:divBdr>
            <w:top w:val="none" w:sz="0" w:space="0" w:color="auto"/>
            <w:left w:val="none" w:sz="0" w:space="0" w:color="auto"/>
            <w:bottom w:val="none" w:sz="0" w:space="0" w:color="auto"/>
            <w:right w:val="none" w:sz="0" w:space="0" w:color="auto"/>
          </w:divBdr>
        </w:div>
        <w:div w:id="930047698">
          <w:marLeft w:val="0"/>
          <w:marRight w:val="0"/>
          <w:marTop w:val="0"/>
          <w:marBottom w:val="0"/>
          <w:divBdr>
            <w:top w:val="none" w:sz="0" w:space="0" w:color="auto"/>
            <w:left w:val="none" w:sz="0" w:space="0" w:color="auto"/>
            <w:bottom w:val="none" w:sz="0" w:space="0" w:color="auto"/>
            <w:right w:val="none" w:sz="0" w:space="0" w:color="auto"/>
          </w:divBdr>
        </w:div>
        <w:div w:id="930433904">
          <w:marLeft w:val="0"/>
          <w:marRight w:val="0"/>
          <w:marTop w:val="0"/>
          <w:marBottom w:val="0"/>
          <w:divBdr>
            <w:top w:val="none" w:sz="0" w:space="0" w:color="auto"/>
            <w:left w:val="none" w:sz="0" w:space="0" w:color="auto"/>
            <w:bottom w:val="none" w:sz="0" w:space="0" w:color="auto"/>
            <w:right w:val="none" w:sz="0" w:space="0" w:color="auto"/>
          </w:divBdr>
        </w:div>
        <w:div w:id="936405701">
          <w:marLeft w:val="0"/>
          <w:marRight w:val="0"/>
          <w:marTop w:val="0"/>
          <w:marBottom w:val="0"/>
          <w:divBdr>
            <w:top w:val="none" w:sz="0" w:space="0" w:color="auto"/>
            <w:left w:val="none" w:sz="0" w:space="0" w:color="auto"/>
            <w:bottom w:val="none" w:sz="0" w:space="0" w:color="auto"/>
            <w:right w:val="none" w:sz="0" w:space="0" w:color="auto"/>
          </w:divBdr>
        </w:div>
        <w:div w:id="949313692">
          <w:marLeft w:val="0"/>
          <w:marRight w:val="0"/>
          <w:marTop w:val="0"/>
          <w:marBottom w:val="0"/>
          <w:divBdr>
            <w:top w:val="none" w:sz="0" w:space="0" w:color="auto"/>
            <w:left w:val="none" w:sz="0" w:space="0" w:color="auto"/>
            <w:bottom w:val="none" w:sz="0" w:space="0" w:color="auto"/>
            <w:right w:val="none" w:sz="0" w:space="0" w:color="auto"/>
          </w:divBdr>
        </w:div>
        <w:div w:id="977954437">
          <w:marLeft w:val="0"/>
          <w:marRight w:val="0"/>
          <w:marTop w:val="0"/>
          <w:marBottom w:val="0"/>
          <w:divBdr>
            <w:top w:val="none" w:sz="0" w:space="0" w:color="auto"/>
            <w:left w:val="none" w:sz="0" w:space="0" w:color="auto"/>
            <w:bottom w:val="none" w:sz="0" w:space="0" w:color="auto"/>
            <w:right w:val="none" w:sz="0" w:space="0" w:color="auto"/>
          </w:divBdr>
        </w:div>
        <w:div w:id="998389116">
          <w:marLeft w:val="0"/>
          <w:marRight w:val="0"/>
          <w:marTop w:val="0"/>
          <w:marBottom w:val="0"/>
          <w:divBdr>
            <w:top w:val="none" w:sz="0" w:space="0" w:color="auto"/>
            <w:left w:val="none" w:sz="0" w:space="0" w:color="auto"/>
            <w:bottom w:val="none" w:sz="0" w:space="0" w:color="auto"/>
            <w:right w:val="none" w:sz="0" w:space="0" w:color="auto"/>
          </w:divBdr>
        </w:div>
        <w:div w:id="1024595081">
          <w:marLeft w:val="0"/>
          <w:marRight w:val="0"/>
          <w:marTop w:val="0"/>
          <w:marBottom w:val="0"/>
          <w:divBdr>
            <w:top w:val="none" w:sz="0" w:space="0" w:color="auto"/>
            <w:left w:val="none" w:sz="0" w:space="0" w:color="auto"/>
            <w:bottom w:val="none" w:sz="0" w:space="0" w:color="auto"/>
            <w:right w:val="none" w:sz="0" w:space="0" w:color="auto"/>
          </w:divBdr>
        </w:div>
        <w:div w:id="1047221397">
          <w:marLeft w:val="0"/>
          <w:marRight w:val="0"/>
          <w:marTop w:val="0"/>
          <w:marBottom w:val="0"/>
          <w:divBdr>
            <w:top w:val="none" w:sz="0" w:space="0" w:color="auto"/>
            <w:left w:val="none" w:sz="0" w:space="0" w:color="auto"/>
            <w:bottom w:val="none" w:sz="0" w:space="0" w:color="auto"/>
            <w:right w:val="none" w:sz="0" w:space="0" w:color="auto"/>
          </w:divBdr>
        </w:div>
        <w:div w:id="1059477746">
          <w:marLeft w:val="0"/>
          <w:marRight w:val="0"/>
          <w:marTop w:val="0"/>
          <w:marBottom w:val="0"/>
          <w:divBdr>
            <w:top w:val="none" w:sz="0" w:space="0" w:color="auto"/>
            <w:left w:val="none" w:sz="0" w:space="0" w:color="auto"/>
            <w:bottom w:val="none" w:sz="0" w:space="0" w:color="auto"/>
            <w:right w:val="none" w:sz="0" w:space="0" w:color="auto"/>
          </w:divBdr>
        </w:div>
        <w:div w:id="1067723331">
          <w:marLeft w:val="0"/>
          <w:marRight w:val="0"/>
          <w:marTop w:val="0"/>
          <w:marBottom w:val="0"/>
          <w:divBdr>
            <w:top w:val="none" w:sz="0" w:space="0" w:color="auto"/>
            <w:left w:val="none" w:sz="0" w:space="0" w:color="auto"/>
            <w:bottom w:val="none" w:sz="0" w:space="0" w:color="auto"/>
            <w:right w:val="none" w:sz="0" w:space="0" w:color="auto"/>
          </w:divBdr>
        </w:div>
        <w:div w:id="1071851553">
          <w:marLeft w:val="0"/>
          <w:marRight w:val="0"/>
          <w:marTop w:val="0"/>
          <w:marBottom w:val="0"/>
          <w:divBdr>
            <w:top w:val="none" w:sz="0" w:space="0" w:color="auto"/>
            <w:left w:val="none" w:sz="0" w:space="0" w:color="auto"/>
            <w:bottom w:val="none" w:sz="0" w:space="0" w:color="auto"/>
            <w:right w:val="none" w:sz="0" w:space="0" w:color="auto"/>
          </w:divBdr>
        </w:div>
        <w:div w:id="1072897598">
          <w:marLeft w:val="0"/>
          <w:marRight w:val="0"/>
          <w:marTop w:val="0"/>
          <w:marBottom w:val="0"/>
          <w:divBdr>
            <w:top w:val="none" w:sz="0" w:space="0" w:color="auto"/>
            <w:left w:val="none" w:sz="0" w:space="0" w:color="auto"/>
            <w:bottom w:val="none" w:sz="0" w:space="0" w:color="auto"/>
            <w:right w:val="none" w:sz="0" w:space="0" w:color="auto"/>
          </w:divBdr>
        </w:div>
        <w:div w:id="1086263152">
          <w:marLeft w:val="0"/>
          <w:marRight w:val="0"/>
          <w:marTop w:val="0"/>
          <w:marBottom w:val="0"/>
          <w:divBdr>
            <w:top w:val="none" w:sz="0" w:space="0" w:color="auto"/>
            <w:left w:val="none" w:sz="0" w:space="0" w:color="auto"/>
            <w:bottom w:val="none" w:sz="0" w:space="0" w:color="auto"/>
            <w:right w:val="none" w:sz="0" w:space="0" w:color="auto"/>
          </w:divBdr>
        </w:div>
        <w:div w:id="1104837183">
          <w:marLeft w:val="0"/>
          <w:marRight w:val="0"/>
          <w:marTop w:val="0"/>
          <w:marBottom w:val="0"/>
          <w:divBdr>
            <w:top w:val="none" w:sz="0" w:space="0" w:color="auto"/>
            <w:left w:val="none" w:sz="0" w:space="0" w:color="auto"/>
            <w:bottom w:val="none" w:sz="0" w:space="0" w:color="auto"/>
            <w:right w:val="none" w:sz="0" w:space="0" w:color="auto"/>
          </w:divBdr>
        </w:div>
        <w:div w:id="1109155004">
          <w:marLeft w:val="0"/>
          <w:marRight w:val="0"/>
          <w:marTop w:val="0"/>
          <w:marBottom w:val="0"/>
          <w:divBdr>
            <w:top w:val="none" w:sz="0" w:space="0" w:color="auto"/>
            <w:left w:val="none" w:sz="0" w:space="0" w:color="auto"/>
            <w:bottom w:val="none" w:sz="0" w:space="0" w:color="auto"/>
            <w:right w:val="none" w:sz="0" w:space="0" w:color="auto"/>
          </w:divBdr>
        </w:div>
        <w:div w:id="1125351148">
          <w:marLeft w:val="0"/>
          <w:marRight w:val="0"/>
          <w:marTop w:val="0"/>
          <w:marBottom w:val="0"/>
          <w:divBdr>
            <w:top w:val="none" w:sz="0" w:space="0" w:color="auto"/>
            <w:left w:val="none" w:sz="0" w:space="0" w:color="auto"/>
            <w:bottom w:val="none" w:sz="0" w:space="0" w:color="auto"/>
            <w:right w:val="none" w:sz="0" w:space="0" w:color="auto"/>
          </w:divBdr>
        </w:div>
        <w:div w:id="1147357985">
          <w:marLeft w:val="0"/>
          <w:marRight w:val="0"/>
          <w:marTop w:val="0"/>
          <w:marBottom w:val="0"/>
          <w:divBdr>
            <w:top w:val="none" w:sz="0" w:space="0" w:color="auto"/>
            <w:left w:val="none" w:sz="0" w:space="0" w:color="auto"/>
            <w:bottom w:val="none" w:sz="0" w:space="0" w:color="auto"/>
            <w:right w:val="none" w:sz="0" w:space="0" w:color="auto"/>
          </w:divBdr>
        </w:div>
        <w:div w:id="1151754321">
          <w:marLeft w:val="0"/>
          <w:marRight w:val="0"/>
          <w:marTop w:val="0"/>
          <w:marBottom w:val="0"/>
          <w:divBdr>
            <w:top w:val="none" w:sz="0" w:space="0" w:color="auto"/>
            <w:left w:val="none" w:sz="0" w:space="0" w:color="auto"/>
            <w:bottom w:val="none" w:sz="0" w:space="0" w:color="auto"/>
            <w:right w:val="none" w:sz="0" w:space="0" w:color="auto"/>
          </w:divBdr>
        </w:div>
        <w:div w:id="1183784010">
          <w:marLeft w:val="0"/>
          <w:marRight w:val="0"/>
          <w:marTop w:val="0"/>
          <w:marBottom w:val="0"/>
          <w:divBdr>
            <w:top w:val="none" w:sz="0" w:space="0" w:color="auto"/>
            <w:left w:val="none" w:sz="0" w:space="0" w:color="auto"/>
            <w:bottom w:val="none" w:sz="0" w:space="0" w:color="auto"/>
            <w:right w:val="none" w:sz="0" w:space="0" w:color="auto"/>
          </w:divBdr>
        </w:div>
        <w:div w:id="1208832139">
          <w:marLeft w:val="0"/>
          <w:marRight w:val="0"/>
          <w:marTop w:val="0"/>
          <w:marBottom w:val="0"/>
          <w:divBdr>
            <w:top w:val="none" w:sz="0" w:space="0" w:color="auto"/>
            <w:left w:val="none" w:sz="0" w:space="0" w:color="auto"/>
            <w:bottom w:val="none" w:sz="0" w:space="0" w:color="auto"/>
            <w:right w:val="none" w:sz="0" w:space="0" w:color="auto"/>
          </w:divBdr>
        </w:div>
        <w:div w:id="1217668263">
          <w:marLeft w:val="0"/>
          <w:marRight w:val="0"/>
          <w:marTop w:val="0"/>
          <w:marBottom w:val="0"/>
          <w:divBdr>
            <w:top w:val="none" w:sz="0" w:space="0" w:color="auto"/>
            <w:left w:val="none" w:sz="0" w:space="0" w:color="auto"/>
            <w:bottom w:val="none" w:sz="0" w:space="0" w:color="auto"/>
            <w:right w:val="none" w:sz="0" w:space="0" w:color="auto"/>
          </w:divBdr>
        </w:div>
        <w:div w:id="1230767242">
          <w:marLeft w:val="0"/>
          <w:marRight w:val="0"/>
          <w:marTop w:val="0"/>
          <w:marBottom w:val="0"/>
          <w:divBdr>
            <w:top w:val="none" w:sz="0" w:space="0" w:color="auto"/>
            <w:left w:val="none" w:sz="0" w:space="0" w:color="auto"/>
            <w:bottom w:val="none" w:sz="0" w:space="0" w:color="auto"/>
            <w:right w:val="none" w:sz="0" w:space="0" w:color="auto"/>
          </w:divBdr>
        </w:div>
        <w:div w:id="1252082491">
          <w:marLeft w:val="0"/>
          <w:marRight w:val="0"/>
          <w:marTop w:val="0"/>
          <w:marBottom w:val="0"/>
          <w:divBdr>
            <w:top w:val="none" w:sz="0" w:space="0" w:color="auto"/>
            <w:left w:val="none" w:sz="0" w:space="0" w:color="auto"/>
            <w:bottom w:val="none" w:sz="0" w:space="0" w:color="auto"/>
            <w:right w:val="none" w:sz="0" w:space="0" w:color="auto"/>
          </w:divBdr>
        </w:div>
        <w:div w:id="1271662781">
          <w:marLeft w:val="0"/>
          <w:marRight w:val="0"/>
          <w:marTop w:val="0"/>
          <w:marBottom w:val="0"/>
          <w:divBdr>
            <w:top w:val="none" w:sz="0" w:space="0" w:color="auto"/>
            <w:left w:val="none" w:sz="0" w:space="0" w:color="auto"/>
            <w:bottom w:val="none" w:sz="0" w:space="0" w:color="auto"/>
            <w:right w:val="none" w:sz="0" w:space="0" w:color="auto"/>
          </w:divBdr>
        </w:div>
        <w:div w:id="1286152756">
          <w:marLeft w:val="0"/>
          <w:marRight w:val="0"/>
          <w:marTop w:val="0"/>
          <w:marBottom w:val="0"/>
          <w:divBdr>
            <w:top w:val="none" w:sz="0" w:space="0" w:color="auto"/>
            <w:left w:val="none" w:sz="0" w:space="0" w:color="auto"/>
            <w:bottom w:val="none" w:sz="0" w:space="0" w:color="auto"/>
            <w:right w:val="none" w:sz="0" w:space="0" w:color="auto"/>
          </w:divBdr>
        </w:div>
        <w:div w:id="1290628127">
          <w:marLeft w:val="0"/>
          <w:marRight w:val="0"/>
          <w:marTop w:val="0"/>
          <w:marBottom w:val="0"/>
          <w:divBdr>
            <w:top w:val="none" w:sz="0" w:space="0" w:color="auto"/>
            <w:left w:val="none" w:sz="0" w:space="0" w:color="auto"/>
            <w:bottom w:val="none" w:sz="0" w:space="0" w:color="auto"/>
            <w:right w:val="none" w:sz="0" w:space="0" w:color="auto"/>
          </w:divBdr>
        </w:div>
        <w:div w:id="1313438617">
          <w:marLeft w:val="0"/>
          <w:marRight w:val="0"/>
          <w:marTop w:val="0"/>
          <w:marBottom w:val="0"/>
          <w:divBdr>
            <w:top w:val="none" w:sz="0" w:space="0" w:color="auto"/>
            <w:left w:val="none" w:sz="0" w:space="0" w:color="auto"/>
            <w:bottom w:val="none" w:sz="0" w:space="0" w:color="auto"/>
            <w:right w:val="none" w:sz="0" w:space="0" w:color="auto"/>
          </w:divBdr>
        </w:div>
        <w:div w:id="1330788283">
          <w:marLeft w:val="0"/>
          <w:marRight w:val="0"/>
          <w:marTop w:val="0"/>
          <w:marBottom w:val="0"/>
          <w:divBdr>
            <w:top w:val="none" w:sz="0" w:space="0" w:color="auto"/>
            <w:left w:val="none" w:sz="0" w:space="0" w:color="auto"/>
            <w:bottom w:val="none" w:sz="0" w:space="0" w:color="auto"/>
            <w:right w:val="none" w:sz="0" w:space="0" w:color="auto"/>
          </w:divBdr>
        </w:div>
        <w:div w:id="1332218041">
          <w:marLeft w:val="0"/>
          <w:marRight w:val="0"/>
          <w:marTop w:val="0"/>
          <w:marBottom w:val="0"/>
          <w:divBdr>
            <w:top w:val="none" w:sz="0" w:space="0" w:color="auto"/>
            <w:left w:val="none" w:sz="0" w:space="0" w:color="auto"/>
            <w:bottom w:val="none" w:sz="0" w:space="0" w:color="auto"/>
            <w:right w:val="none" w:sz="0" w:space="0" w:color="auto"/>
          </w:divBdr>
        </w:div>
        <w:div w:id="1332636291">
          <w:marLeft w:val="0"/>
          <w:marRight w:val="0"/>
          <w:marTop w:val="0"/>
          <w:marBottom w:val="0"/>
          <w:divBdr>
            <w:top w:val="none" w:sz="0" w:space="0" w:color="auto"/>
            <w:left w:val="none" w:sz="0" w:space="0" w:color="auto"/>
            <w:bottom w:val="none" w:sz="0" w:space="0" w:color="auto"/>
            <w:right w:val="none" w:sz="0" w:space="0" w:color="auto"/>
          </w:divBdr>
        </w:div>
        <w:div w:id="1354529211">
          <w:marLeft w:val="0"/>
          <w:marRight w:val="0"/>
          <w:marTop w:val="0"/>
          <w:marBottom w:val="0"/>
          <w:divBdr>
            <w:top w:val="none" w:sz="0" w:space="0" w:color="auto"/>
            <w:left w:val="none" w:sz="0" w:space="0" w:color="auto"/>
            <w:bottom w:val="none" w:sz="0" w:space="0" w:color="auto"/>
            <w:right w:val="none" w:sz="0" w:space="0" w:color="auto"/>
          </w:divBdr>
        </w:div>
        <w:div w:id="1370177719">
          <w:marLeft w:val="0"/>
          <w:marRight w:val="0"/>
          <w:marTop w:val="0"/>
          <w:marBottom w:val="0"/>
          <w:divBdr>
            <w:top w:val="none" w:sz="0" w:space="0" w:color="auto"/>
            <w:left w:val="none" w:sz="0" w:space="0" w:color="auto"/>
            <w:bottom w:val="none" w:sz="0" w:space="0" w:color="auto"/>
            <w:right w:val="none" w:sz="0" w:space="0" w:color="auto"/>
          </w:divBdr>
        </w:div>
        <w:div w:id="1375035448">
          <w:marLeft w:val="0"/>
          <w:marRight w:val="0"/>
          <w:marTop w:val="0"/>
          <w:marBottom w:val="0"/>
          <w:divBdr>
            <w:top w:val="none" w:sz="0" w:space="0" w:color="auto"/>
            <w:left w:val="none" w:sz="0" w:space="0" w:color="auto"/>
            <w:bottom w:val="none" w:sz="0" w:space="0" w:color="auto"/>
            <w:right w:val="none" w:sz="0" w:space="0" w:color="auto"/>
          </w:divBdr>
        </w:div>
        <w:div w:id="1384796649">
          <w:marLeft w:val="0"/>
          <w:marRight w:val="0"/>
          <w:marTop w:val="0"/>
          <w:marBottom w:val="0"/>
          <w:divBdr>
            <w:top w:val="none" w:sz="0" w:space="0" w:color="auto"/>
            <w:left w:val="none" w:sz="0" w:space="0" w:color="auto"/>
            <w:bottom w:val="none" w:sz="0" w:space="0" w:color="auto"/>
            <w:right w:val="none" w:sz="0" w:space="0" w:color="auto"/>
          </w:divBdr>
        </w:div>
        <w:div w:id="1395928454">
          <w:marLeft w:val="0"/>
          <w:marRight w:val="0"/>
          <w:marTop w:val="0"/>
          <w:marBottom w:val="0"/>
          <w:divBdr>
            <w:top w:val="none" w:sz="0" w:space="0" w:color="auto"/>
            <w:left w:val="none" w:sz="0" w:space="0" w:color="auto"/>
            <w:bottom w:val="none" w:sz="0" w:space="0" w:color="auto"/>
            <w:right w:val="none" w:sz="0" w:space="0" w:color="auto"/>
          </w:divBdr>
        </w:div>
        <w:div w:id="1401438272">
          <w:marLeft w:val="0"/>
          <w:marRight w:val="0"/>
          <w:marTop w:val="0"/>
          <w:marBottom w:val="0"/>
          <w:divBdr>
            <w:top w:val="none" w:sz="0" w:space="0" w:color="auto"/>
            <w:left w:val="none" w:sz="0" w:space="0" w:color="auto"/>
            <w:bottom w:val="none" w:sz="0" w:space="0" w:color="auto"/>
            <w:right w:val="none" w:sz="0" w:space="0" w:color="auto"/>
          </w:divBdr>
        </w:div>
        <w:div w:id="1415661742">
          <w:marLeft w:val="0"/>
          <w:marRight w:val="0"/>
          <w:marTop w:val="0"/>
          <w:marBottom w:val="0"/>
          <w:divBdr>
            <w:top w:val="none" w:sz="0" w:space="0" w:color="auto"/>
            <w:left w:val="none" w:sz="0" w:space="0" w:color="auto"/>
            <w:bottom w:val="none" w:sz="0" w:space="0" w:color="auto"/>
            <w:right w:val="none" w:sz="0" w:space="0" w:color="auto"/>
          </w:divBdr>
        </w:div>
        <w:div w:id="1417482301">
          <w:marLeft w:val="0"/>
          <w:marRight w:val="0"/>
          <w:marTop w:val="0"/>
          <w:marBottom w:val="0"/>
          <w:divBdr>
            <w:top w:val="none" w:sz="0" w:space="0" w:color="auto"/>
            <w:left w:val="none" w:sz="0" w:space="0" w:color="auto"/>
            <w:bottom w:val="none" w:sz="0" w:space="0" w:color="auto"/>
            <w:right w:val="none" w:sz="0" w:space="0" w:color="auto"/>
          </w:divBdr>
        </w:div>
        <w:div w:id="1424450345">
          <w:marLeft w:val="0"/>
          <w:marRight w:val="0"/>
          <w:marTop w:val="0"/>
          <w:marBottom w:val="0"/>
          <w:divBdr>
            <w:top w:val="none" w:sz="0" w:space="0" w:color="auto"/>
            <w:left w:val="none" w:sz="0" w:space="0" w:color="auto"/>
            <w:bottom w:val="none" w:sz="0" w:space="0" w:color="auto"/>
            <w:right w:val="none" w:sz="0" w:space="0" w:color="auto"/>
          </w:divBdr>
        </w:div>
        <w:div w:id="1458379745">
          <w:marLeft w:val="0"/>
          <w:marRight w:val="0"/>
          <w:marTop w:val="0"/>
          <w:marBottom w:val="0"/>
          <w:divBdr>
            <w:top w:val="none" w:sz="0" w:space="0" w:color="auto"/>
            <w:left w:val="none" w:sz="0" w:space="0" w:color="auto"/>
            <w:bottom w:val="none" w:sz="0" w:space="0" w:color="auto"/>
            <w:right w:val="none" w:sz="0" w:space="0" w:color="auto"/>
          </w:divBdr>
        </w:div>
        <w:div w:id="1468815507">
          <w:marLeft w:val="0"/>
          <w:marRight w:val="0"/>
          <w:marTop w:val="0"/>
          <w:marBottom w:val="0"/>
          <w:divBdr>
            <w:top w:val="none" w:sz="0" w:space="0" w:color="auto"/>
            <w:left w:val="none" w:sz="0" w:space="0" w:color="auto"/>
            <w:bottom w:val="none" w:sz="0" w:space="0" w:color="auto"/>
            <w:right w:val="none" w:sz="0" w:space="0" w:color="auto"/>
          </w:divBdr>
        </w:div>
        <w:div w:id="1482694339">
          <w:marLeft w:val="0"/>
          <w:marRight w:val="0"/>
          <w:marTop w:val="0"/>
          <w:marBottom w:val="0"/>
          <w:divBdr>
            <w:top w:val="none" w:sz="0" w:space="0" w:color="auto"/>
            <w:left w:val="none" w:sz="0" w:space="0" w:color="auto"/>
            <w:bottom w:val="none" w:sz="0" w:space="0" w:color="auto"/>
            <w:right w:val="none" w:sz="0" w:space="0" w:color="auto"/>
          </w:divBdr>
        </w:div>
        <w:div w:id="1483623753">
          <w:marLeft w:val="0"/>
          <w:marRight w:val="0"/>
          <w:marTop w:val="0"/>
          <w:marBottom w:val="0"/>
          <w:divBdr>
            <w:top w:val="none" w:sz="0" w:space="0" w:color="auto"/>
            <w:left w:val="none" w:sz="0" w:space="0" w:color="auto"/>
            <w:bottom w:val="none" w:sz="0" w:space="0" w:color="auto"/>
            <w:right w:val="none" w:sz="0" w:space="0" w:color="auto"/>
          </w:divBdr>
        </w:div>
        <w:div w:id="1489132437">
          <w:marLeft w:val="0"/>
          <w:marRight w:val="0"/>
          <w:marTop w:val="0"/>
          <w:marBottom w:val="0"/>
          <w:divBdr>
            <w:top w:val="none" w:sz="0" w:space="0" w:color="auto"/>
            <w:left w:val="none" w:sz="0" w:space="0" w:color="auto"/>
            <w:bottom w:val="none" w:sz="0" w:space="0" w:color="auto"/>
            <w:right w:val="none" w:sz="0" w:space="0" w:color="auto"/>
          </w:divBdr>
        </w:div>
        <w:div w:id="1489132638">
          <w:marLeft w:val="0"/>
          <w:marRight w:val="0"/>
          <w:marTop w:val="0"/>
          <w:marBottom w:val="0"/>
          <w:divBdr>
            <w:top w:val="none" w:sz="0" w:space="0" w:color="auto"/>
            <w:left w:val="none" w:sz="0" w:space="0" w:color="auto"/>
            <w:bottom w:val="none" w:sz="0" w:space="0" w:color="auto"/>
            <w:right w:val="none" w:sz="0" w:space="0" w:color="auto"/>
          </w:divBdr>
        </w:div>
        <w:div w:id="1528637268">
          <w:marLeft w:val="0"/>
          <w:marRight w:val="0"/>
          <w:marTop w:val="0"/>
          <w:marBottom w:val="0"/>
          <w:divBdr>
            <w:top w:val="none" w:sz="0" w:space="0" w:color="auto"/>
            <w:left w:val="none" w:sz="0" w:space="0" w:color="auto"/>
            <w:bottom w:val="none" w:sz="0" w:space="0" w:color="auto"/>
            <w:right w:val="none" w:sz="0" w:space="0" w:color="auto"/>
          </w:divBdr>
        </w:div>
        <w:div w:id="1530874916">
          <w:marLeft w:val="0"/>
          <w:marRight w:val="0"/>
          <w:marTop w:val="0"/>
          <w:marBottom w:val="0"/>
          <w:divBdr>
            <w:top w:val="none" w:sz="0" w:space="0" w:color="auto"/>
            <w:left w:val="none" w:sz="0" w:space="0" w:color="auto"/>
            <w:bottom w:val="none" w:sz="0" w:space="0" w:color="auto"/>
            <w:right w:val="none" w:sz="0" w:space="0" w:color="auto"/>
          </w:divBdr>
        </w:div>
        <w:div w:id="1569076507">
          <w:marLeft w:val="0"/>
          <w:marRight w:val="0"/>
          <w:marTop w:val="0"/>
          <w:marBottom w:val="0"/>
          <w:divBdr>
            <w:top w:val="none" w:sz="0" w:space="0" w:color="auto"/>
            <w:left w:val="none" w:sz="0" w:space="0" w:color="auto"/>
            <w:bottom w:val="none" w:sz="0" w:space="0" w:color="auto"/>
            <w:right w:val="none" w:sz="0" w:space="0" w:color="auto"/>
          </w:divBdr>
        </w:div>
        <w:div w:id="1578327000">
          <w:marLeft w:val="0"/>
          <w:marRight w:val="0"/>
          <w:marTop w:val="0"/>
          <w:marBottom w:val="0"/>
          <w:divBdr>
            <w:top w:val="none" w:sz="0" w:space="0" w:color="auto"/>
            <w:left w:val="none" w:sz="0" w:space="0" w:color="auto"/>
            <w:bottom w:val="none" w:sz="0" w:space="0" w:color="auto"/>
            <w:right w:val="none" w:sz="0" w:space="0" w:color="auto"/>
          </w:divBdr>
        </w:div>
        <w:div w:id="1580099377">
          <w:marLeft w:val="0"/>
          <w:marRight w:val="0"/>
          <w:marTop w:val="0"/>
          <w:marBottom w:val="0"/>
          <w:divBdr>
            <w:top w:val="none" w:sz="0" w:space="0" w:color="auto"/>
            <w:left w:val="none" w:sz="0" w:space="0" w:color="auto"/>
            <w:bottom w:val="none" w:sz="0" w:space="0" w:color="auto"/>
            <w:right w:val="none" w:sz="0" w:space="0" w:color="auto"/>
          </w:divBdr>
        </w:div>
        <w:div w:id="1581792392">
          <w:marLeft w:val="0"/>
          <w:marRight w:val="0"/>
          <w:marTop w:val="0"/>
          <w:marBottom w:val="0"/>
          <w:divBdr>
            <w:top w:val="none" w:sz="0" w:space="0" w:color="auto"/>
            <w:left w:val="none" w:sz="0" w:space="0" w:color="auto"/>
            <w:bottom w:val="none" w:sz="0" w:space="0" w:color="auto"/>
            <w:right w:val="none" w:sz="0" w:space="0" w:color="auto"/>
          </w:divBdr>
        </w:div>
        <w:div w:id="1599874495">
          <w:marLeft w:val="0"/>
          <w:marRight w:val="0"/>
          <w:marTop w:val="0"/>
          <w:marBottom w:val="0"/>
          <w:divBdr>
            <w:top w:val="none" w:sz="0" w:space="0" w:color="auto"/>
            <w:left w:val="none" w:sz="0" w:space="0" w:color="auto"/>
            <w:bottom w:val="none" w:sz="0" w:space="0" w:color="auto"/>
            <w:right w:val="none" w:sz="0" w:space="0" w:color="auto"/>
          </w:divBdr>
        </w:div>
        <w:div w:id="1611816289">
          <w:marLeft w:val="0"/>
          <w:marRight w:val="0"/>
          <w:marTop w:val="0"/>
          <w:marBottom w:val="0"/>
          <w:divBdr>
            <w:top w:val="none" w:sz="0" w:space="0" w:color="auto"/>
            <w:left w:val="none" w:sz="0" w:space="0" w:color="auto"/>
            <w:bottom w:val="none" w:sz="0" w:space="0" w:color="auto"/>
            <w:right w:val="none" w:sz="0" w:space="0" w:color="auto"/>
          </w:divBdr>
        </w:div>
        <w:div w:id="1612317767">
          <w:marLeft w:val="0"/>
          <w:marRight w:val="0"/>
          <w:marTop w:val="0"/>
          <w:marBottom w:val="0"/>
          <w:divBdr>
            <w:top w:val="none" w:sz="0" w:space="0" w:color="auto"/>
            <w:left w:val="none" w:sz="0" w:space="0" w:color="auto"/>
            <w:bottom w:val="none" w:sz="0" w:space="0" w:color="auto"/>
            <w:right w:val="none" w:sz="0" w:space="0" w:color="auto"/>
          </w:divBdr>
        </w:div>
        <w:div w:id="1613395529">
          <w:marLeft w:val="0"/>
          <w:marRight w:val="0"/>
          <w:marTop w:val="0"/>
          <w:marBottom w:val="0"/>
          <w:divBdr>
            <w:top w:val="none" w:sz="0" w:space="0" w:color="auto"/>
            <w:left w:val="none" w:sz="0" w:space="0" w:color="auto"/>
            <w:bottom w:val="none" w:sz="0" w:space="0" w:color="auto"/>
            <w:right w:val="none" w:sz="0" w:space="0" w:color="auto"/>
          </w:divBdr>
        </w:div>
        <w:div w:id="1625504151">
          <w:marLeft w:val="0"/>
          <w:marRight w:val="0"/>
          <w:marTop w:val="0"/>
          <w:marBottom w:val="0"/>
          <w:divBdr>
            <w:top w:val="none" w:sz="0" w:space="0" w:color="auto"/>
            <w:left w:val="none" w:sz="0" w:space="0" w:color="auto"/>
            <w:bottom w:val="none" w:sz="0" w:space="0" w:color="auto"/>
            <w:right w:val="none" w:sz="0" w:space="0" w:color="auto"/>
          </w:divBdr>
        </w:div>
        <w:div w:id="1697077670">
          <w:marLeft w:val="0"/>
          <w:marRight w:val="0"/>
          <w:marTop w:val="0"/>
          <w:marBottom w:val="0"/>
          <w:divBdr>
            <w:top w:val="none" w:sz="0" w:space="0" w:color="auto"/>
            <w:left w:val="none" w:sz="0" w:space="0" w:color="auto"/>
            <w:bottom w:val="none" w:sz="0" w:space="0" w:color="auto"/>
            <w:right w:val="none" w:sz="0" w:space="0" w:color="auto"/>
          </w:divBdr>
        </w:div>
        <w:div w:id="1704209681">
          <w:marLeft w:val="0"/>
          <w:marRight w:val="0"/>
          <w:marTop w:val="0"/>
          <w:marBottom w:val="0"/>
          <w:divBdr>
            <w:top w:val="none" w:sz="0" w:space="0" w:color="auto"/>
            <w:left w:val="none" w:sz="0" w:space="0" w:color="auto"/>
            <w:bottom w:val="none" w:sz="0" w:space="0" w:color="auto"/>
            <w:right w:val="none" w:sz="0" w:space="0" w:color="auto"/>
          </w:divBdr>
        </w:div>
        <w:div w:id="1709841548">
          <w:marLeft w:val="0"/>
          <w:marRight w:val="0"/>
          <w:marTop w:val="0"/>
          <w:marBottom w:val="0"/>
          <w:divBdr>
            <w:top w:val="none" w:sz="0" w:space="0" w:color="auto"/>
            <w:left w:val="none" w:sz="0" w:space="0" w:color="auto"/>
            <w:bottom w:val="none" w:sz="0" w:space="0" w:color="auto"/>
            <w:right w:val="none" w:sz="0" w:space="0" w:color="auto"/>
          </w:divBdr>
        </w:div>
        <w:div w:id="1739013846">
          <w:marLeft w:val="0"/>
          <w:marRight w:val="0"/>
          <w:marTop w:val="0"/>
          <w:marBottom w:val="0"/>
          <w:divBdr>
            <w:top w:val="none" w:sz="0" w:space="0" w:color="auto"/>
            <w:left w:val="none" w:sz="0" w:space="0" w:color="auto"/>
            <w:bottom w:val="none" w:sz="0" w:space="0" w:color="auto"/>
            <w:right w:val="none" w:sz="0" w:space="0" w:color="auto"/>
          </w:divBdr>
        </w:div>
        <w:div w:id="1739861040">
          <w:marLeft w:val="0"/>
          <w:marRight w:val="0"/>
          <w:marTop w:val="0"/>
          <w:marBottom w:val="0"/>
          <w:divBdr>
            <w:top w:val="none" w:sz="0" w:space="0" w:color="auto"/>
            <w:left w:val="none" w:sz="0" w:space="0" w:color="auto"/>
            <w:bottom w:val="none" w:sz="0" w:space="0" w:color="auto"/>
            <w:right w:val="none" w:sz="0" w:space="0" w:color="auto"/>
          </w:divBdr>
        </w:div>
        <w:div w:id="1742605609">
          <w:marLeft w:val="0"/>
          <w:marRight w:val="0"/>
          <w:marTop w:val="0"/>
          <w:marBottom w:val="0"/>
          <w:divBdr>
            <w:top w:val="none" w:sz="0" w:space="0" w:color="auto"/>
            <w:left w:val="none" w:sz="0" w:space="0" w:color="auto"/>
            <w:bottom w:val="none" w:sz="0" w:space="0" w:color="auto"/>
            <w:right w:val="none" w:sz="0" w:space="0" w:color="auto"/>
          </w:divBdr>
        </w:div>
        <w:div w:id="1748260825">
          <w:marLeft w:val="0"/>
          <w:marRight w:val="0"/>
          <w:marTop w:val="0"/>
          <w:marBottom w:val="0"/>
          <w:divBdr>
            <w:top w:val="none" w:sz="0" w:space="0" w:color="auto"/>
            <w:left w:val="none" w:sz="0" w:space="0" w:color="auto"/>
            <w:bottom w:val="none" w:sz="0" w:space="0" w:color="auto"/>
            <w:right w:val="none" w:sz="0" w:space="0" w:color="auto"/>
          </w:divBdr>
        </w:div>
        <w:div w:id="1759715365">
          <w:marLeft w:val="0"/>
          <w:marRight w:val="0"/>
          <w:marTop w:val="0"/>
          <w:marBottom w:val="0"/>
          <w:divBdr>
            <w:top w:val="none" w:sz="0" w:space="0" w:color="auto"/>
            <w:left w:val="none" w:sz="0" w:space="0" w:color="auto"/>
            <w:bottom w:val="none" w:sz="0" w:space="0" w:color="auto"/>
            <w:right w:val="none" w:sz="0" w:space="0" w:color="auto"/>
          </w:divBdr>
        </w:div>
        <w:div w:id="1766916958">
          <w:marLeft w:val="0"/>
          <w:marRight w:val="0"/>
          <w:marTop w:val="0"/>
          <w:marBottom w:val="0"/>
          <w:divBdr>
            <w:top w:val="none" w:sz="0" w:space="0" w:color="auto"/>
            <w:left w:val="none" w:sz="0" w:space="0" w:color="auto"/>
            <w:bottom w:val="none" w:sz="0" w:space="0" w:color="auto"/>
            <w:right w:val="none" w:sz="0" w:space="0" w:color="auto"/>
          </w:divBdr>
        </w:div>
        <w:div w:id="1781484133">
          <w:marLeft w:val="0"/>
          <w:marRight w:val="0"/>
          <w:marTop w:val="0"/>
          <w:marBottom w:val="0"/>
          <w:divBdr>
            <w:top w:val="none" w:sz="0" w:space="0" w:color="auto"/>
            <w:left w:val="none" w:sz="0" w:space="0" w:color="auto"/>
            <w:bottom w:val="none" w:sz="0" w:space="0" w:color="auto"/>
            <w:right w:val="none" w:sz="0" w:space="0" w:color="auto"/>
          </w:divBdr>
        </w:div>
        <w:div w:id="1784764658">
          <w:marLeft w:val="0"/>
          <w:marRight w:val="0"/>
          <w:marTop w:val="0"/>
          <w:marBottom w:val="0"/>
          <w:divBdr>
            <w:top w:val="none" w:sz="0" w:space="0" w:color="auto"/>
            <w:left w:val="none" w:sz="0" w:space="0" w:color="auto"/>
            <w:bottom w:val="none" w:sz="0" w:space="0" w:color="auto"/>
            <w:right w:val="none" w:sz="0" w:space="0" w:color="auto"/>
          </w:divBdr>
        </w:div>
        <w:div w:id="1802533664">
          <w:marLeft w:val="0"/>
          <w:marRight w:val="0"/>
          <w:marTop w:val="0"/>
          <w:marBottom w:val="0"/>
          <w:divBdr>
            <w:top w:val="none" w:sz="0" w:space="0" w:color="auto"/>
            <w:left w:val="none" w:sz="0" w:space="0" w:color="auto"/>
            <w:bottom w:val="none" w:sz="0" w:space="0" w:color="auto"/>
            <w:right w:val="none" w:sz="0" w:space="0" w:color="auto"/>
          </w:divBdr>
        </w:div>
        <w:div w:id="1826163280">
          <w:marLeft w:val="0"/>
          <w:marRight w:val="0"/>
          <w:marTop w:val="0"/>
          <w:marBottom w:val="0"/>
          <w:divBdr>
            <w:top w:val="none" w:sz="0" w:space="0" w:color="auto"/>
            <w:left w:val="none" w:sz="0" w:space="0" w:color="auto"/>
            <w:bottom w:val="none" w:sz="0" w:space="0" w:color="auto"/>
            <w:right w:val="none" w:sz="0" w:space="0" w:color="auto"/>
          </w:divBdr>
        </w:div>
        <w:div w:id="1826702083">
          <w:marLeft w:val="0"/>
          <w:marRight w:val="0"/>
          <w:marTop w:val="0"/>
          <w:marBottom w:val="0"/>
          <w:divBdr>
            <w:top w:val="none" w:sz="0" w:space="0" w:color="auto"/>
            <w:left w:val="none" w:sz="0" w:space="0" w:color="auto"/>
            <w:bottom w:val="none" w:sz="0" w:space="0" w:color="auto"/>
            <w:right w:val="none" w:sz="0" w:space="0" w:color="auto"/>
          </w:divBdr>
        </w:div>
        <w:div w:id="1838884264">
          <w:marLeft w:val="0"/>
          <w:marRight w:val="0"/>
          <w:marTop w:val="0"/>
          <w:marBottom w:val="0"/>
          <w:divBdr>
            <w:top w:val="none" w:sz="0" w:space="0" w:color="auto"/>
            <w:left w:val="none" w:sz="0" w:space="0" w:color="auto"/>
            <w:bottom w:val="none" w:sz="0" w:space="0" w:color="auto"/>
            <w:right w:val="none" w:sz="0" w:space="0" w:color="auto"/>
          </w:divBdr>
        </w:div>
        <w:div w:id="1867938333">
          <w:marLeft w:val="0"/>
          <w:marRight w:val="0"/>
          <w:marTop w:val="0"/>
          <w:marBottom w:val="0"/>
          <w:divBdr>
            <w:top w:val="none" w:sz="0" w:space="0" w:color="auto"/>
            <w:left w:val="none" w:sz="0" w:space="0" w:color="auto"/>
            <w:bottom w:val="none" w:sz="0" w:space="0" w:color="auto"/>
            <w:right w:val="none" w:sz="0" w:space="0" w:color="auto"/>
          </w:divBdr>
        </w:div>
        <w:div w:id="1873882494">
          <w:marLeft w:val="0"/>
          <w:marRight w:val="0"/>
          <w:marTop w:val="0"/>
          <w:marBottom w:val="0"/>
          <w:divBdr>
            <w:top w:val="none" w:sz="0" w:space="0" w:color="auto"/>
            <w:left w:val="none" w:sz="0" w:space="0" w:color="auto"/>
            <w:bottom w:val="none" w:sz="0" w:space="0" w:color="auto"/>
            <w:right w:val="none" w:sz="0" w:space="0" w:color="auto"/>
          </w:divBdr>
        </w:div>
        <w:div w:id="1876192995">
          <w:marLeft w:val="0"/>
          <w:marRight w:val="0"/>
          <w:marTop w:val="0"/>
          <w:marBottom w:val="0"/>
          <w:divBdr>
            <w:top w:val="none" w:sz="0" w:space="0" w:color="auto"/>
            <w:left w:val="none" w:sz="0" w:space="0" w:color="auto"/>
            <w:bottom w:val="none" w:sz="0" w:space="0" w:color="auto"/>
            <w:right w:val="none" w:sz="0" w:space="0" w:color="auto"/>
          </w:divBdr>
        </w:div>
        <w:div w:id="1877615321">
          <w:marLeft w:val="0"/>
          <w:marRight w:val="0"/>
          <w:marTop w:val="0"/>
          <w:marBottom w:val="0"/>
          <w:divBdr>
            <w:top w:val="none" w:sz="0" w:space="0" w:color="auto"/>
            <w:left w:val="none" w:sz="0" w:space="0" w:color="auto"/>
            <w:bottom w:val="none" w:sz="0" w:space="0" w:color="auto"/>
            <w:right w:val="none" w:sz="0" w:space="0" w:color="auto"/>
          </w:divBdr>
        </w:div>
        <w:div w:id="1915160373">
          <w:marLeft w:val="0"/>
          <w:marRight w:val="0"/>
          <w:marTop w:val="0"/>
          <w:marBottom w:val="0"/>
          <w:divBdr>
            <w:top w:val="none" w:sz="0" w:space="0" w:color="auto"/>
            <w:left w:val="none" w:sz="0" w:space="0" w:color="auto"/>
            <w:bottom w:val="none" w:sz="0" w:space="0" w:color="auto"/>
            <w:right w:val="none" w:sz="0" w:space="0" w:color="auto"/>
          </w:divBdr>
        </w:div>
        <w:div w:id="1943368589">
          <w:marLeft w:val="0"/>
          <w:marRight w:val="0"/>
          <w:marTop w:val="0"/>
          <w:marBottom w:val="0"/>
          <w:divBdr>
            <w:top w:val="none" w:sz="0" w:space="0" w:color="auto"/>
            <w:left w:val="none" w:sz="0" w:space="0" w:color="auto"/>
            <w:bottom w:val="none" w:sz="0" w:space="0" w:color="auto"/>
            <w:right w:val="none" w:sz="0" w:space="0" w:color="auto"/>
          </w:divBdr>
        </w:div>
        <w:div w:id="1946620149">
          <w:marLeft w:val="0"/>
          <w:marRight w:val="0"/>
          <w:marTop w:val="0"/>
          <w:marBottom w:val="0"/>
          <w:divBdr>
            <w:top w:val="none" w:sz="0" w:space="0" w:color="auto"/>
            <w:left w:val="none" w:sz="0" w:space="0" w:color="auto"/>
            <w:bottom w:val="none" w:sz="0" w:space="0" w:color="auto"/>
            <w:right w:val="none" w:sz="0" w:space="0" w:color="auto"/>
          </w:divBdr>
        </w:div>
        <w:div w:id="1952933158">
          <w:marLeft w:val="0"/>
          <w:marRight w:val="0"/>
          <w:marTop w:val="0"/>
          <w:marBottom w:val="0"/>
          <w:divBdr>
            <w:top w:val="none" w:sz="0" w:space="0" w:color="auto"/>
            <w:left w:val="none" w:sz="0" w:space="0" w:color="auto"/>
            <w:bottom w:val="none" w:sz="0" w:space="0" w:color="auto"/>
            <w:right w:val="none" w:sz="0" w:space="0" w:color="auto"/>
          </w:divBdr>
        </w:div>
        <w:div w:id="1956867983">
          <w:marLeft w:val="0"/>
          <w:marRight w:val="0"/>
          <w:marTop w:val="0"/>
          <w:marBottom w:val="0"/>
          <w:divBdr>
            <w:top w:val="none" w:sz="0" w:space="0" w:color="auto"/>
            <w:left w:val="none" w:sz="0" w:space="0" w:color="auto"/>
            <w:bottom w:val="none" w:sz="0" w:space="0" w:color="auto"/>
            <w:right w:val="none" w:sz="0" w:space="0" w:color="auto"/>
          </w:divBdr>
        </w:div>
        <w:div w:id="1960909644">
          <w:marLeft w:val="0"/>
          <w:marRight w:val="0"/>
          <w:marTop w:val="0"/>
          <w:marBottom w:val="0"/>
          <w:divBdr>
            <w:top w:val="none" w:sz="0" w:space="0" w:color="auto"/>
            <w:left w:val="none" w:sz="0" w:space="0" w:color="auto"/>
            <w:bottom w:val="none" w:sz="0" w:space="0" w:color="auto"/>
            <w:right w:val="none" w:sz="0" w:space="0" w:color="auto"/>
          </w:divBdr>
        </w:div>
        <w:div w:id="1968271375">
          <w:marLeft w:val="0"/>
          <w:marRight w:val="0"/>
          <w:marTop w:val="0"/>
          <w:marBottom w:val="0"/>
          <w:divBdr>
            <w:top w:val="none" w:sz="0" w:space="0" w:color="auto"/>
            <w:left w:val="none" w:sz="0" w:space="0" w:color="auto"/>
            <w:bottom w:val="none" w:sz="0" w:space="0" w:color="auto"/>
            <w:right w:val="none" w:sz="0" w:space="0" w:color="auto"/>
          </w:divBdr>
        </w:div>
        <w:div w:id="1969123521">
          <w:marLeft w:val="0"/>
          <w:marRight w:val="0"/>
          <w:marTop w:val="0"/>
          <w:marBottom w:val="0"/>
          <w:divBdr>
            <w:top w:val="none" w:sz="0" w:space="0" w:color="auto"/>
            <w:left w:val="none" w:sz="0" w:space="0" w:color="auto"/>
            <w:bottom w:val="none" w:sz="0" w:space="0" w:color="auto"/>
            <w:right w:val="none" w:sz="0" w:space="0" w:color="auto"/>
          </w:divBdr>
        </w:div>
        <w:div w:id="1979214306">
          <w:marLeft w:val="0"/>
          <w:marRight w:val="0"/>
          <w:marTop w:val="0"/>
          <w:marBottom w:val="0"/>
          <w:divBdr>
            <w:top w:val="none" w:sz="0" w:space="0" w:color="auto"/>
            <w:left w:val="none" w:sz="0" w:space="0" w:color="auto"/>
            <w:bottom w:val="none" w:sz="0" w:space="0" w:color="auto"/>
            <w:right w:val="none" w:sz="0" w:space="0" w:color="auto"/>
          </w:divBdr>
        </w:div>
        <w:div w:id="2000302468">
          <w:marLeft w:val="0"/>
          <w:marRight w:val="0"/>
          <w:marTop w:val="0"/>
          <w:marBottom w:val="0"/>
          <w:divBdr>
            <w:top w:val="none" w:sz="0" w:space="0" w:color="auto"/>
            <w:left w:val="none" w:sz="0" w:space="0" w:color="auto"/>
            <w:bottom w:val="none" w:sz="0" w:space="0" w:color="auto"/>
            <w:right w:val="none" w:sz="0" w:space="0" w:color="auto"/>
          </w:divBdr>
        </w:div>
        <w:div w:id="2002848284">
          <w:marLeft w:val="0"/>
          <w:marRight w:val="0"/>
          <w:marTop w:val="0"/>
          <w:marBottom w:val="0"/>
          <w:divBdr>
            <w:top w:val="none" w:sz="0" w:space="0" w:color="auto"/>
            <w:left w:val="none" w:sz="0" w:space="0" w:color="auto"/>
            <w:bottom w:val="none" w:sz="0" w:space="0" w:color="auto"/>
            <w:right w:val="none" w:sz="0" w:space="0" w:color="auto"/>
          </w:divBdr>
        </w:div>
        <w:div w:id="2009625413">
          <w:marLeft w:val="0"/>
          <w:marRight w:val="0"/>
          <w:marTop w:val="0"/>
          <w:marBottom w:val="0"/>
          <w:divBdr>
            <w:top w:val="none" w:sz="0" w:space="0" w:color="auto"/>
            <w:left w:val="none" w:sz="0" w:space="0" w:color="auto"/>
            <w:bottom w:val="none" w:sz="0" w:space="0" w:color="auto"/>
            <w:right w:val="none" w:sz="0" w:space="0" w:color="auto"/>
          </w:divBdr>
        </w:div>
        <w:div w:id="2018537202">
          <w:marLeft w:val="0"/>
          <w:marRight w:val="0"/>
          <w:marTop w:val="0"/>
          <w:marBottom w:val="0"/>
          <w:divBdr>
            <w:top w:val="none" w:sz="0" w:space="0" w:color="auto"/>
            <w:left w:val="none" w:sz="0" w:space="0" w:color="auto"/>
            <w:bottom w:val="none" w:sz="0" w:space="0" w:color="auto"/>
            <w:right w:val="none" w:sz="0" w:space="0" w:color="auto"/>
          </w:divBdr>
        </w:div>
        <w:div w:id="2018845761">
          <w:marLeft w:val="0"/>
          <w:marRight w:val="0"/>
          <w:marTop w:val="0"/>
          <w:marBottom w:val="0"/>
          <w:divBdr>
            <w:top w:val="none" w:sz="0" w:space="0" w:color="auto"/>
            <w:left w:val="none" w:sz="0" w:space="0" w:color="auto"/>
            <w:bottom w:val="none" w:sz="0" w:space="0" w:color="auto"/>
            <w:right w:val="none" w:sz="0" w:space="0" w:color="auto"/>
          </w:divBdr>
        </w:div>
        <w:div w:id="2019623141">
          <w:marLeft w:val="0"/>
          <w:marRight w:val="0"/>
          <w:marTop w:val="0"/>
          <w:marBottom w:val="0"/>
          <w:divBdr>
            <w:top w:val="none" w:sz="0" w:space="0" w:color="auto"/>
            <w:left w:val="none" w:sz="0" w:space="0" w:color="auto"/>
            <w:bottom w:val="none" w:sz="0" w:space="0" w:color="auto"/>
            <w:right w:val="none" w:sz="0" w:space="0" w:color="auto"/>
          </w:divBdr>
        </w:div>
      </w:divsChild>
    </w:div>
    <w:div w:id="582494565">
      <w:bodyDiv w:val="1"/>
      <w:marLeft w:val="0"/>
      <w:marRight w:val="0"/>
      <w:marTop w:val="0"/>
      <w:marBottom w:val="0"/>
      <w:divBdr>
        <w:top w:val="none" w:sz="0" w:space="0" w:color="auto"/>
        <w:left w:val="none" w:sz="0" w:space="0" w:color="auto"/>
        <w:bottom w:val="none" w:sz="0" w:space="0" w:color="auto"/>
        <w:right w:val="none" w:sz="0" w:space="0" w:color="auto"/>
      </w:divBdr>
    </w:div>
    <w:div w:id="582569343">
      <w:bodyDiv w:val="1"/>
      <w:marLeft w:val="0"/>
      <w:marRight w:val="0"/>
      <w:marTop w:val="0"/>
      <w:marBottom w:val="0"/>
      <w:divBdr>
        <w:top w:val="none" w:sz="0" w:space="0" w:color="auto"/>
        <w:left w:val="none" w:sz="0" w:space="0" w:color="auto"/>
        <w:bottom w:val="none" w:sz="0" w:space="0" w:color="auto"/>
        <w:right w:val="none" w:sz="0" w:space="0" w:color="auto"/>
      </w:divBdr>
    </w:div>
    <w:div w:id="582643172">
      <w:bodyDiv w:val="1"/>
      <w:marLeft w:val="0"/>
      <w:marRight w:val="0"/>
      <w:marTop w:val="0"/>
      <w:marBottom w:val="0"/>
      <w:divBdr>
        <w:top w:val="none" w:sz="0" w:space="0" w:color="auto"/>
        <w:left w:val="none" w:sz="0" w:space="0" w:color="auto"/>
        <w:bottom w:val="none" w:sz="0" w:space="0" w:color="auto"/>
        <w:right w:val="none" w:sz="0" w:space="0" w:color="auto"/>
      </w:divBdr>
    </w:div>
    <w:div w:id="582835379">
      <w:bodyDiv w:val="1"/>
      <w:marLeft w:val="0"/>
      <w:marRight w:val="0"/>
      <w:marTop w:val="0"/>
      <w:marBottom w:val="0"/>
      <w:divBdr>
        <w:top w:val="none" w:sz="0" w:space="0" w:color="auto"/>
        <w:left w:val="none" w:sz="0" w:space="0" w:color="auto"/>
        <w:bottom w:val="none" w:sz="0" w:space="0" w:color="auto"/>
        <w:right w:val="none" w:sz="0" w:space="0" w:color="auto"/>
      </w:divBdr>
    </w:div>
    <w:div w:id="582841634">
      <w:bodyDiv w:val="1"/>
      <w:marLeft w:val="0"/>
      <w:marRight w:val="0"/>
      <w:marTop w:val="0"/>
      <w:marBottom w:val="0"/>
      <w:divBdr>
        <w:top w:val="none" w:sz="0" w:space="0" w:color="auto"/>
        <w:left w:val="none" w:sz="0" w:space="0" w:color="auto"/>
        <w:bottom w:val="none" w:sz="0" w:space="0" w:color="auto"/>
        <w:right w:val="none" w:sz="0" w:space="0" w:color="auto"/>
      </w:divBdr>
    </w:div>
    <w:div w:id="582877797">
      <w:bodyDiv w:val="1"/>
      <w:marLeft w:val="0"/>
      <w:marRight w:val="0"/>
      <w:marTop w:val="0"/>
      <w:marBottom w:val="0"/>
      <w:divBdr>
        <w:top w:val="none" w:sz="0" w:space="0" w:color="auto"/>
        <w:left w:val="none" w:sz="0" w:space="0" w:color="auto"/>
        <w:bottom w:val="none" w:sz="0" w:space="0" w:color="auto"/>
        <w:right w:val="none" w:sz="0" w:space="0" w:color="auto"/>
      </w:divBdr>
    </w:div>
    <w:div w:id="582957319">
      <w:bodyDiv w:val="1"/>
      <w:marLeft w:val="0"/>
      <w:marRight w:val="0"/>
      <w:marTop w:val="0"/>
      <w:marBottom w:val="0"/>
      <w:divBdr>
        <w:top w:val="none" w:sz="0" w:space="0" w:color="auto"/>
        <w:left w:val="none" w:sz="0" w:space="0" w:color="auto"/>
        <w:bottom w:val="none" w:sz="0" w:space="0" w:color="auto"/>
        <w:right w:val="none" w:sz="0" w:space="0" w:color="auto"/>
      </w:divBdr>
    </w:div>
    <w:div w:id="582959269">
      <w:bodyDiv w:val="1"/>
      <w:marLeft w:val="0"/>
      <w:marRight w:val="0"/>
      <w:marTop w:val="0"/>
      <w:marBottom w:val="0"/>
      <w:divBdr>
        <w:top w:val="none" w:sz="0" w:space="0" w:color="auto"/>
        <w:left w:val="none" w:sz="0" w:space="0" w:color="auto"/>
        <w:bottom w:val="none" w:sz="0" w:space="0" w:color="auto"/>
        <w:right w:val="none" w:sz="0" w:space="0" w:color="auto"/>
      </w:divBdr>
    </w:div>
    <w:div w:id="583032904">
      <w:bodyDiv w:val="1"/>
      <w:marLeft w:val="0"/>
      <w:marRight w:val="0"/>
      <w:marTop w:val="0"/>
      <w:marBottom w:val="0"/>
      <w:divBdr>
        <w:top w:val="none" w:sz="0" w:space="0" w:color="auto"/>
        <w:left w:val="none" w:sz="0" w:space="0" w:color="auto"/>
        <w:bottom w:val="none" w:sz="0" w:space="0" w:color="auto"/>
        <w:right w:val="none" w:sz="0" w:space="0" w:color="auto"/>
      </w:divBdr>
    </w:div>
    <w:div w:id="583077879">
      <w:bodyDiv w:val="1"/>
      <w:marLeft w:val="0"/>
      <w:marRight w:val="0"/>
      <w:marTop w:val="0"/>
      <w:marBottom w:val="0"/>
      <w:divBdr>
        <w:top w:val="none" w:sz="0" w:space="0" w:color="auto"/>
        <w:left w:val="none" w:sz="0" w:space="0" w:color="auto"/>
        <w:bottom w:val="none" w:sz="0" w:space="0" w:color="auto"/>
        <w:right w:val="none" w:sz="0" w:space="0" w:color="auto"/>
      </w:divBdr>
    </w:div>
    <w:div w:id="583298864">
      <w:bodyDiv w:val="1"/>
      <w:marLeft w:val="0"/>
      <w:marRight w:val="0"/>
      <w:marTop w:val="0"/>
      <w:marBottom w:val="0"/>
      <w:divBdr>
        <w:top w:val="none" w:sz="0" w:space="0" w:color="auto"/>
        <w:left w:val="none" w:sz="0" w:space="0" w:color="auto"/>
        <w:bottom w:val="none" w:sz="0" w:space="0" w:color="auto"/>
        <w:right w:val="none" w:sz="0" w:space="0" w:color="auto"/>
      </w:divBdr>
    </w:div>
    <w:div w:id="583337389">
      <w:bodyDiv w:val="1"/>
      <w:marLeft w:val="0"/>
      <w:marRight w:val="0"/>
      <w:marTop w:val="0"/>
      <w:marBottom w:val="0"/>
      <w:divBdr>
        <w:top w:val="none" w:sz="0" w:space="0" w:color="auto"/>
        <w:left w:val="none" w:sz="0" w:space="0" w:color="auto"/>
        <w:bottom w:val="none" w:sz="0" w:space="0" w:color="auto"/>
        <w:right w:val="none" w:sz="0" w:space="0" w:color="auto"/>
      </w:divBdr>
    </w:div>
    <w:div w:id="583347032">
      <w:bodyDiv w:val="1"/>
      <w:marLeft w:val="0"/>
      <w:marRight w:val="0"/>
      <w:marTop w:val="0"/>
      <w:marBottom w:val="0"/>
      <w:divBdr>
        <w:top w:val="none" w:sz="0" w:space="0" w:color="auto"/>
        <w:left w:val="none" w:sz="0" w:space="0" w:color="auto"/>
        <w:bottom w:val="none" w:sz="0" w:space="0" w:color="auto"/>
        <w:right w:val="none" w:sz="0" w:space="0" w:color="auto"/>
      </w:divBdr>
    </w:div>
    <w:div w:id="583415716">
      <w:bodyDiv w:val="1"/>
      <w:marLeft w:val="0"/>
      <w:marRight w:val="0"/>
      <w:marTop w:val="0"/>
      <w:marBottom w:val="0"/>
      <w:divBdr>
        <w:top w:val="none" w:sz="0" w:space="0" w:color="auto"/>
        <w:left w:val="none" w:sz="0" w:space="0" w:color="auto"/>
        <w:bottom w:val="none" w:sz="0" w:space="0" w:color="auto"/>
        <w:right w:val="none" w:sz="0" w:space="0" w:color="auto"/>
      </w:divBdr>
    </w:div>
    <w:div w:id="583415915">
      <w:bodyDiv w:val="1"/>
      <w:marLeft w:val="0"/>
      <w:marRight w:val="0"/>
      <w:marTop w:val="0"/>
      <w:marBottom w:val="0"/>
      <w:divBdr>
        <w:top w:val="none" w:sz="0" w:space="0" w:color="auto"/>
        <w:left w:val="none" w:sz="0" w:space="0" w:color="auto"/>
        <w:bottom w:val="none" w:sz="0" w:space="0" w:color="auto"/>
        <w:right w:val="none" w:sz="0" w:space="0" w:color="auto"/>
      </w:divBdr>
    </w:div>
    <w:div w:id="583805459">
      <w:bodyDiv w:val="1"/>
      <w:marLeft w:val="0"/>
      <w:marRight w:val="0"/>
      <w:marTop w:val="0"/>
      <w:marBottom w:val="0"/>
      <w:divBdr>
        <w:top w:val="none" w:sz="0" w:space="0" w:color="auto"/>
        <w:left w:val="none" w:sz="0" w:space="0" w:color="auto"/>
        <w:bottom w:val="none" w:sz="0" w:space="0" w:color="auto"/>
        <w:right w:val="none" w:sz="0" w:space="0" w:color="auto"/>
      </w:divBdr>
    </w:div>
    <w:div w:id="583877764">
      <w:bodyDiv w:val="1"/>
      <w:marLeft w:val="0"/>
      <w:marRight w:val="0"/>
      <w:marTop w:val="0"/>
      <w:marBottom w:val="0"/>
      <w:divBdr>
        <w:top w:val="none" w:sz="0" w:space="0" w:color="auto"/>
        <w:left w:val="none" w:sz="0" w:space="0" w:color="auto"/>
        <w:bottom w:val="none" w:sz="0" w:space="0" w:color="auto"/>
        <w:right w:val="none" w:sz="0" w:space="0" w:color="auto"/>
      </w:divBdr>
    </w:div>
    <w:div w:id="583956762">
      <w:bodyDiv w:val="1"/>
      <w:marLeft w:val="0"/>
      <w:marRight w:val="0"/>
      <w:marTop w:val="0"/>
      <w:marBottom w:val="0"/>
      <w:divBdr>
        <w:top w:val="none" w:sz="0" w:space="0" w:color="auto"/>
        <w:left w:val="none" w:sz="0" w:space="0" w:color="auto"/>
        <w:bottom w:val="none" w:sz="0" w:space="0" w:color="auto"/>
        <w:right w:val="none" w:sz="0" w:space="0" w:color="auto"/>
      </w:divBdr>
    </w:div>
    <w:div w:id="584077215">
      <w:bodyDiv w:val="1"/>
      <w:marLeft w:val="0"/>
      <w:marRight w:val="0"/>
      <w:marTop w:val="0"/>
      <w:marBottom w:val="0"/>
      <w:divBdr>
        <w:top w:val="none" w:sz="0" w:space="0" w:color="auto"/>
        <w:left w:val="none" w:sz="0" w:space="0" w:color="auto"/>
        <w:bottom w:val="none" w:sz="0" w:space="0" w:color="auto"/>
        <w:right w:val="none" w:sz="0" w:space="0" w:color="auto"/>
      </w:divBdr>
    </w:div>
    <w:div w:id="584077461">
      <w:bodyDiv w:val="1"/>
      <w:marLeft w:val="0"/>
      <w:marRight w:val="0"/>
      <w:marTop w:val="0"/>
      <w:marBottom w:val="0"/>
      <w:divBdr>
        <w:top w:val="none" w:sz="0" w:space="0" w:color="auto"/>
        <w:left w:val="none" w:sz="0" w:space="0" w:color="auto"/>
        <w:bottom w:val="none" w:sz="0" w:space="0" w:color="auto"/>
        <w:right w:val="none" w:sz="0" w:space="0" w:color="auto"/>
      </w:divBdr>
    </w:div>
    <w:div w:id="584147356">
      <w:bodyDiv w:val="1"/>
      <w:marLeft w:val="0"/>
      <w:marRight w:val="0"/>
      <w:marTop w:val="0"/>
      <w:marBottom w:val="0"/>
      <w:divBdr>
        <w:top w:val="none" w:sz="0" w:space="0" w:color="auto"/>
        <w:left w:val="none" w:sz="0" w:space="0" w:color="auto"/>
        <w:bottom w:val="none" w:sz="0" w:space="0" w:color="auto"/>
        <w:right w:val="none" w:sz="0" w:space="0" w:color="auto"/>
      </w:divBdr>
    </w:div>
    <w:div w:id="584151114">
      <w:bodyDiv w:val="1"/>
      <w:marLeft w:val="0"/>
      <w:marRight w:val="0"/>
      <w:marTop w:val="0"/>
      <w:marBottom w:val="0"/>
      <w:divBdr>
        <w:top w:val="none" w:sz="0" w:space="0" w:color="auto"/>
        <w:left w:val="none" w:sz="0" w:space="0" w:color="auto"/>
        <w:bottom w:val="none" w:sz="0" w:space="0" w:color="auto"/>
        <w:right w:val="none" w:sz="0" w:space="0" w:color="auto"/>
      </w:divBdr>
    </w:div>
    <w:div w:id="584264015">
      <w:bodyDiv w:val="1"/>
      <w:marLeft w:val="0"/>
      <w:marRight w:val="0"/>
      <w:marTop w:val="0"/>
      <w:marBottom w:val="0"/>
      <w:divBdr>
        <w:top w:val="none" w:sz="0" w:space="0" w:color="auto"/>
        <w:left w:val="none" w:sz="0" w:space="0" w:color="auto"/>
        <w:bottom w:val="none" w:sz="0" w:space="0" w:color="auto"/>
        <w:right w:val="none" w:sz="0" w:space="0" w:color="auto"/>
      </w:divBdr>
    </w:div>
    <w:div w:id="584457080">
      <w:bodyDiv w:val="1"/>
      <w:marLeft w:val="0"/>
      <w:marRight w:val="0"/>
      <w:marTop w:val="0"/>
      <w:marBottom w:val="0"/>
      <w:divBdr>
        <w:top w:val="none" w:sz="0" w:space="0" w:color="auto"/>
        <w:left w:val="none" w:sz="0" w:space="0" w:color="auto"/>
        <w:bottom w:val="none" w:sz="0" w:space="0" w:color="auto"/>
        <w:right w:val="none" w:sz="0" w:space="0" w:color="auto"/>
      </w:divBdr>
    </w:div>
    <w:div w:id="584535707">
      <w:bodyDiv w:val="1"/>
      <w:marLeft w:val="0"/>
      <w:marRight w:val="0"/>
      <w:marTop w:val="0"/>
      <w:marBottom w:val="0"/>
      <w:divBdr>
        <w:top w:val="none" w:sz="0" w:space="0" w:color="auto"/>
        <w:left w:val="none" w:sz="0" w:space="0" w:color="auto"/>
        <w:bottom w:val="none" w:sz="0" w:space="0" w:color="auto"/>
        <w:right w:val="none" w:sz="0" w:space="0" w:color="auto"/>
      </w:divBdr>
    </w:div>
    <w:div w:id="584536342">
      <w:bodyDiv w:val="1"/>
      <w:marLeft w:val="0"/>
      <w:marRight w:val="0"/>
      <w:marTop w:val="0"/>
      <w:marBottom w:val="0"/>
      <w:divBdr>
        <w:top w:val="none" w:sz="0" w:space="0" w:color="auto"/>
        <w:left w:val="none" w:sz="0" w:space="0" w:color="auto"/>
        <w:bottom w:val="none" w:sz="0" w:space="0" w:color="auto"/>
        <w:right w:val="none" w:sz="0" w:space="0" w:color="auto"/>
      </w:divBdr>
    </w:div>
    <w:div w:id="584537987">
      <w:bodyDiv w:val="1"/>
      <w:marLeft w:val="0"/>
      <w:marRight w:val="0"/>
      <w:marTop w:val="0"/>
      <w:marBottom w:val="0"/>
      <w:divBdr>
        <w:top w:val="none" w:sz="0" w:space="0" w:color="auto"/>
        <w:left w:val="none" w:sz="0" w:space="0" w:color="auto"/>
        <w:bottom w:val="none" w:sz="0" w:space="0" w:color="auto"/>
        <w:right w:val="none" w:sz="0" w:space="0" w:color="auto"/>
      </w:divBdr>
    </w:div>
    <w:div w:id="584581787">
      <w:bodyDiv w:val="1"/>
      <w:marLeft w:val="0"/>
      <w:marRight w:val="0"/>
      <w:marTop w:val="0"/>
      <w:marBottom w:val="0"/>
      <w:divBdr>
        <w:top w:val="none" w:sz="0" w:space="0" w:color="auto"/>
        <w:left w:val="none" w:sz="0" w:space="0" w:color="auto"/>
        <w:bottom w:val="none" w:sz="0" w:space="0" w:color="auto"/>
        <w:right w:val="none" w:sz="0" w:space="0" w:color="auto"/>
      </w:divBdr>
    </w:div>
    <w:div w:id="584724311">
      <w:bodyDiv w:val="1"/>
      <w:marLeft w:val="0"/>
      <w:marRight w:val="0"/>
      <w:marTop w:val="0"/>
      <w:marBottom w:val="0"/>
      <w:divBdr>
        <w:top w:val="none" w:sz="0" w:space="0" w:color="auto"/>
        <w:left w:val="none" w:sz="0" w:space="0" w:color="auto"/>
        <w:bottom w:val="none" w:sz="0" w:space="0" w:color="auto"/>
        <w:right w:val="none" w:sz="0" w:space="0" w:color="auto"/>
      </w:divBdr>
    </w:div>
    <w:div w:id="584724958">
      <w:bodyDiv w:val="1"/>
      <w:marLeft w:val="0"/>
      <w:marRight w:val="0"/>
      <w:marTop w:val="0"/>
      <w:marBottom w:val="0"/>
      <w:divBdr>
        <w:top w:val="none" w:sz="0" w:space="0" w:color="auto"/>
        <w:left w:val="none" w:sz="0" w:space="0" w:color="auto"/>
        <w:bottom w:val="none" w:sz="0" w:space="0" w:color="auto"/>
        <w:right w:val="none" w:sz="0" w:space="0" w:color="auto"/>
      </w:divBdr>
    </w:div>
    <w:div w:id="584798811">
      <w:bodyDiv w:val="1"/>
      <w:marLeft w:val="0"/>
      <w:marRight w:val="0"/>
      <w:marTop w:val="0"/>
      <w:marBottom w:val="0"/>
      <w:divBdr>
        <w:top w:val="none" w:sz="0" w:space="0" w:color="auto"/>
        <w:left w:val="none" w:sz="0" w:space="0" w:color="auto"/>
        <w:bottom w:val="none" w:sz="0" w:space="0" w:color="auto"/>
        <w:right w:val="none" w:sz="0" w:space="0" w:color="auto"/>
      </w:divBdr>
    </w:div>
    <w:div w:id="584805734">
      <w:bodyDiv w:val="1"/>
      <w:marLeft w:val="0"/>
      <w:marRight w:val="0"/>
      <w:marTop w:val="0"/>
      <w:marBottom w:val="0"/>
      <w:divBdr>
        <w:top w:val="none" w:sz="0" w:space="0" w:color="auto"/>
        <w:left w:val="none" w:sz="0" w:space="0" w:color="auto"/>
        <w:bottom w:val="none" w:sz="0" w:space="0" w:color="auto"/>
        <w:right w:val="none" w:sz="0" w:space="0" w:color="auto"/>
      </w:divBdr>
    </w:div>
    <w:div w:id="584847349">
      <w:bodyDiv w:val="1"/>
      <w:marLeft w:val="0"/>
      <w:marRight w:val="0"/>
      <w:marTop w:val="0"/>
      <w:marBottom w:val="0"/>
      <w:divBdr>
        <w:top w:val="none" w:sz="0" w:space="0" w:color="auto"/>
        <w:left w:val="none" w:sz="0" w:space="0" w:color="auto"/>
        <w:bottom w:val="none" w:sz="0" w:space="0" w:color="auto"/>
        <w:right w:val="none" w:sz="0" w:space="0" w:color="auto"/>
      </w:divBdr>
    </w:div>
    <w:div w:id="584918612">
      <w:bodyDiv w:val="1"/>
      <w:marLeft w:val="0"/>
      <w:marRight w:val="0"/>
      <w:marTop w:val="0"/>
      <w:marBottom w:val="0"/>
      <w:divBdr>
        <w:top w:val="none" w:sz="0" w:space="0" w:color="auto"/>
        <w:left w:val="none" w:sz="0" w:space="0" w:color="auto"/>
        <w:bottom w:val="none" w:sz="0" w:space="0" w:color="auto"/>
        <w:right w:val="none" w:sz="0" w:space="0" w:color="auto"/>
      </w:divBdr>
    </w:div>
    <w:div w:id="584999879">
      <w:bodyDiv w:val="1"/>
      <w:marLeft w:val="0"/>
      <w:marRight w:val="0"/>
      <w:marTop w:val="0"/>
      <w:marBottom w:val="0"/>
      <w:divBdr>
        <w:top w:val="none" w:sz="0" w:space="0" w:color="auto"/>
        <w:left w:val="none" w:sz="0" w:space="0" w:color="auto"/>
        <w:bottom w:val="none" w:sz="0" w:space="0" w:color="auto"/>
        <w:right w:val="none" w:sz="0" w:space="0" w:color="auto"/>
      </w:divBdr>
    </w:div>
    <w:div w:id="585185128">
      <w:bodyDiv w:val="1"/>
      <w:marLeft w:val="0"/>
      <w:marRight w:val="0"/>
      <w:marTop w:val="0"/>
      <w:marBottom w:val="0"/>
      <w:divBdr>
        <w:top w:val="none" w:sz="0" w:space="0" w:color="auto"/>
        <w:left w:val="none" w:sz="0" w:space="0" w:color="auto"/>
        <w:bottom w:val="none" w:sz="0" w:space="0" w:color="auto"/>
        <w:right w:val="none" w:sz="0" w:space="0" w:color="auto"/>
      </w:divBdr>
    </w:div>
    <w:div w:id="585193792">
      <w:bodyDiv w:val="1"/>
      <w:marLeft w:val="0"/>
      <w:marRight w:val="0"/>
      <w:marTop w:val="0"/>
      <w:marBottom w:val="0"/>
      <w:divBdr>
        <w:top w:val="none" w:sz="0" w:space="0" w:color="auto"/>
        <w:left w:val="none" w:sz="0" w:space="0" w:color="auto"/>
        <w:bottom w:val="none" w:sz="0" w:space="0" w:color="auto"/>
        <w:right w:val="none" w:sz="0" w:space="0" w:color="auto"/>
      </w:divBdr>
    </w:div>
    <w:div w:id="585236582">
      <w:bodyDiv w:val="1"/>
      <w:marLeft w:val="0"/>
      <w:marRight w:val="0"/>
      <w:marTop w:val="0"/>
      <w:marBottom w:val="0"/>
      <w:divBdr>
        <w:top w:val="none" w:sz="0" w:space="0" w:color="auto"/>
        <w:left w:val="none" w:sz="0" w:space="0" w:color="auto"/>
        <w:bottom w:val="none" w:sz="0" w:space="0" w:color="auto"/>
        <w:right w:val="none" w:sz="0" w:space="0" w:color="auto"/>
      </w:divBdr>
    </w:div>
    <w:div w:id="585266434">
      <w:bodyDiv w:val="1"/>
      <w:marLeft w:val="0"/>
      <w:marRight w:val="0"/>
      <w:marTop w:val="0"/>
      <w:marBottom w:val="0"/>
      <w:divBdr>
        <w:top w:val="none" w:sz="0" w:space="0" w:color="auto"/>
        <w:left w:val="none" w:sz="0" w:space="0" w:color="auto"/>
        <w:bottom w:val="none" w:sz="0" w:space="0" w:color="auto"/>
        <w:right w:val="none" w:sz="0" w:space="0" w:color="auto"/>
      </w:divBdr>
    </w:div>
    <w:div w:id="585309264">
      <w:bodyDiv w:val="1"/>
      <w:marLeft w:val="0"/>
      <w:marRight w:val="0"/>
      <w:marTop w:val="0"/>
      <w:marBottom w:val="0"/>
      <w:divBdr>
        <w:top w:val="none" w:sz="0" w:space="0" w:color="auto"/>
        <w:left w:val="none" w:sz="0" w:space="0" w:color="auto"/>
        <w:bottom w:val="none" w:sz="0" w:space="0" w:color="auto"/>
        <w:right w:val="none" w:sz="0" w:space="0" w:color="auto"/>
      </w:divBdr>
    </w:div>
    <w:div w:id="585386058">
      <w:bodyDiv w:val="1"/>
      <w:marLeft w:val="0"/>
      <w:marRight w:val="0"/>
      <w:marTop w:val="0"/>
      <w:marBottom w:val="0"/>
      <w:divBdr>
        <w:top w:val="none" w:sz="0" w:space="0" w:color="auto"/>
        <w:left w:val="none" w:sz="0" w:space="0" w:color="auto"/>
        <w:bottom w:val="none" w:sz="0" w:space="0" w:color="auto"/>
        <w:right w:val="none" w:sz="0" w:space="0" w:color="auto"/>
      </w:divBdr>
    </w:div>
    <w:div w:id="585579314">
      <w:bodyDiv w:val="1"/>
      <w:marLeft w:val="0"/>
      <w:marRight w:val="0"/>
      <w:marTop w:val="0"/>
      <w:marBottom w:val="0"/>
      <w:divBdr>
        <w:top w:val="none" w:sz="0" w:space="0" w:color="auto"/>
        <w:left w:val="none" w:sz="0" w:space="0" w:color="auto"/>
        <w:bottom w:val="none" w:sz="0" w:space="0" w:color="auto"/>
        <w:right w:val="none" w:sz="0" w:space="0" w:color="auto"/>
      </w:divBdr>
    </w:div>
    <w:div w:id="585699193">
      <w:bodyDiv w:val="1"/>
      <w:marLeft w:val="0"/>
      <w:marRight w:val="0"/>
      <w:marTop w:val="0"/>
      <w:marBottom w:val="0"/>
      <w:divBdr>
        <w:top w:val="none" w:sz="0" w:space="0" w:color="auto"/>
        <w:left w:val="none" w:sz="0" w:space="0" w:color="auto"/>
        <w:bottom w:val="none" w:sz="0" w:space="0" w:color="auto"/>
        <w:right w:val="none" w:sz="0" w:space="0" w:color="auto"/>
      </w:divBdr>
    </w:div>
    <w:div w:id="585773393">
      <w:bodyDiv w:val="1"/>
      <w:marLeft w:val="0"/>
      <w:marRight w:val="0"/>
      <w:marTop w:val="0"/>
      <w:marBottom w:val="0"/>
      <w:divBdr>
        <w:top w:val="none" w:sz="0" w:space="0" w:color="auto"/>
        <w:left w:val="none" w:sz="0" w:space="0" w:color="auto"/>
        <w:bottom w:val="none" w:sz="0" w:space="0" w:color="auto"/>
        <w:right w:val="none" w:sz="0" w:space="0" w:color="auto"/>
      </w:divBdr>
    </w:div>
    <w:div w:id="585844155">
      <w:bodyDiv w:val="1"/>
      <w:marLeft w:val="0"/>
      <w:marRight w:val="0"/>
      <w:marTop w:val="0"/>
      <w:marBottom w:val="0"/>
      <w:divBdr>
        <w:top w:val="none" w:sz="0" w:space="0" w:color="auto"/>
        <w:left w:val="none" w:sz="0" w:space="0" w:color="auto"/>
        <w:bottom w:val="none" w:sz="0" w:space="0" w:color="auto"/>
        <w:right w:val="none" w:sz="0" w:space="0" w:color="auto"/>
      </w:divBdr>
    </w:div>
    <w:div w:id="585920055">
      <w:bodyDiv w:val="1"/>
      <w:marLeft w:val="0"/>
      <w:marRight w:val="0"/>
      <w:marTop w:val="0"/>
      <w:marBottom w:val="0"/>
      <w:divBdr>
        <w:top w:val="none" w:sz="0" w:space="0" w:color="auto"/>
        <w:left w:val="none" w:sz="0" w:space="0" w:color="auto"/>
        <w:bottom w:val="none" w:sz="0" w:space="0" w:color="auto"/>
        <w:right w:val="none" w:sz="0" w:space="0" w:color="auto"/>
      </w:divBdr>
    </w:div>
    <w:div w:id="585964859">
      <w:bodyDiv w:val="1"/>
      <w:marLeft w:val="0"/>
      <w:marRight w:val="0"/>
      <w:marTop w:val="0"/>
      <w:marBottom w:val="0"/>
      <w:divBdr>
        <w:top w:val="none" w:sz="0" w:space="0" w:color="auto"/>
        <w:left w:val="none" w:sz="0" w:space="0" w:color="auto"/>
        <w:bottom w:val="none" w:sz="0" w:space="0" w:color="auto"/>
        <w:right w:val="none" w:sz="0" w:space="0" w:color="auto"/>
      </w:divBdr>
    </w:div>
    <w:div w:id="586115066">
      <w:bodyDiv w:val="1"/>
      <w:marLeft w:val="0"/>
      <w:marRight w:val="0"/>
      <w:marTop w:val="0"/>
      <w:marBottom w:val="0"/>
      <w:divBdr>
        <w:top w:val="none" w:sz="0" w:space="0" w:color="auto"/>
        <w:left w:val="none" w:sz="0" w:space="0" w:color="auto"/>
        <w:bottom w:val="none" w:sz="0" w:space="0" w:color="auto"/>
        <w:right w:val="none" w:sz="0" w:space="0" w:color="auto"/>
      </w:divBdr>
    </w:div>
    <w:div w:id="586156153">
      <w:bodyDiv w:val="1"/>
      <w:marLeft w:val="0"/>
      <w:marRight w:val="0"/>
      <w:marTop w:val="0"/>
      <w:marBottom w:val="0"/>
      <w:divBdr>
        <w:top w:val="none" w:sz="0" w:space="0" w:color="auto"/>
        <w:left w:val="none" w:sz="0" w:space="0" w:color="auto"/>
        <w:bottom w:val="none" w:sz="0" w:space="0" w:color="auto"/>
        <w:right w:val="none" w:sz="0" w:space="0" w:color="auto"/>
      </w:divBdr>
    </w:div>
    <w:div w:id="586230746">
      <w:bodyDiv w:val="1"/>
      <w:marLeft w:val="0"/>
      <w:marRight w:val="0"/>
      <w:marTop w:val="0"/>
      <w:marBottom w:val="0"/>
      <w:divBdr>
        <w:top w:val="none" w:sz="0" w:space="0" w:color="auto"/>
        <w:left w:val="none" w:sz="0" w:space="0" w:color="auto"/>
        <w:bottom w:val="none" w:sz="0" w:space="0" w:color="auto"/>
        <w:right w:val="none" w:sz="0" w:space="0" w:color="auto"/>
      </w:divBdr>
    </w:div>
    <w:div w:id="586232149">
      <w:bodyDiv w:val="1"/>
      <w:marLeft w:val="0"/>
      <w:marRight w:val="0"/>
      <w:marTop w:val="0"/>
      <w:marBottom w:val="0"/>
      <w:divBdr>
        <w:top w:val="none" w:sz="0" w:space="0" w:color="auto"/>
        <w:left w:val="none" w:sz="0" w:space="0" w:color="auto"/>
        <w:bottom w:val="none" w:sz="0" w:space="0" w:color="auto"/>
        <w:right w:val="none" w:sz="0" w:space="0" w:color="auto"/>
      </w:divBdr>
    </w:div>
    <w:div w:id="586233686">
      <w:bodyDiv w:val="1"/>
      <w:marLeft w:val="0"/>
      <w:marRight w:val="0"/>
      <w:marTop w:val="0"/>
      <w:marBottom w:val="0"/>
      <w:divBdr>
        <w:top w:val="none" w:sz="0" w:space="0" w:color="auto"/>
        <w:left w:val="none" w:sz="0" w:space="0" w:color="auto"/>
        <w:bottom w:val="none" w:sz="0" w:space="0" w:color="auto"/>
        <w:right w:val="none" w:sz="0" w:space="0" w:color="auto"/>
      </w:divBdr>
    </w:div>
    <w:div w:id="586303917">
      <w:bodyDiv w:val="1"/>
      <w:marLeft w:val="0"/>
      <w:marRight w:val="0"/>
      <w:marTop w:val="0"/>
      <w:marBottom w:val="0"/>
      <w:divBdr>
        <w:top w:val="none" w:sz="0" w:space="0" w:color="auto"/>
        <w:left w:val="none" w:sz="0" w:space="0" w:color="auto"/>
        <w:bottom w:val="none" w:sz="0" w:space="0" w:color="auto"/>
        <w:right w:val="none" w:sz="0" w:space="0" w:color="auto"/>
      </w:divBdr>
    </w:div>
    <w:div w:id="586305259">
      <w:bodyDiv w:val="1"/>
      <w:marLeft w:val="0"/>
      <w:marRight w:val="0"/>
      <w:marTop w:val="0"/>
      <w:marBottom w:val="0"/>
      <w:divBdr>
        <w:top w:val="none" w:sz="0" w:space="0" w:color="auto"/>
        <w:left w:val="none" w:sz="0" w:space="0" w:color="auto"/>
        <w:bottom w:val="none" w:sz="0" w:space="0" w:color="auto"/>
        <w:right w:val="none" w:sz="0" w:space="0" w:color="auto"/>
      </w:divBdr>
    </w:div>
    <w:div w:id="586378346">
      <w:bodyDiv w:val="1"/>
      <w:marLeft w:val="0"/>
      <w:marRight w:val="0"/>
      <w:marTop w:val="0"/>
      <w:marBottom w:val="0"/>
      <w:divBdr>
        <w:top w:val="none" w:sz="0" w:space="0" w:color="auto"/>
        <w:left w:val="none" w:sz="0" w:space="0" w:color="auto"/>
        <w:bottom w:val="none" w:sz="0" w:space="0" w:color="auto"/>
        <w:right w:val="none" w:sz="0" w:space="0" w:color="auto"/>
      </w:divBdr>
    </w:div>
    <w:div w:id="586420870">
      <w:bodyDiv w:val="1"/>
      <w:marLeft w:val="0"/>
      <w:marRight w:val="0"/>
      <w:marTop w:val="0"/>
      <w:marBottom w:val="0"/>
      <w:divBdr>
        <w:top w:val="none" w:sz="0" w:space="0" w:color="auto"/>
        <w:left w:val="none" w:sz="0" w:space="0" w:color="auto"/>
        <w:bottom w:val="none" w:sz="0" w:space="0" w:color="auto"/>
        <w:right w:val="none" w:sz="0" w:space="0" w:color="auto"/>
      </w:divBdr>
    </w:div>
    <w:div w:id="586423490">
      <w:bodyDiv w:val="1"/>
      <w:marLeft w:val="0"/>
      <w:marRight w:val="0"/>
      <w:marTop w:val="0"/>
      <w:marBottom w:val="0"/>
      <w:divBdr>
        <w:top w:val="none" w:sz="0" w:space="0" w:color="auto"/>
        <w:left w:val="none" w:sz="0" w:space="0" w:color="auto"/>
        <w:bottom w:val="none" w:sz="0" w:space="0" w:color="auto"/>
        <w:right w:val="none" w:sz="0" w:space="0" w:color="auto"/>
      </w:divBdr>
    </w:div>
    <w:div w:id="586425060">
      <w:bodyDiv w:val="1"/>
      <w:marLeft w:val="0"/>
      <w:marRight w:val="0"/>
      <w:marTop w:val="0"/>
      <w:marBottom w:val="0"/>
      <w:divBdr>
        <w:top w:val="none" w:sz="0" w:space="0" w:color="auto"/>
        <w:left w:val="none" w:sz="0" w:space="0" w:color="auto"/>
        <w:bottom w:val="none" w:sz="0" w:space="0" w:color="auto"/>
        <w:right w:val="none" w:sz="0" w:space="0" w:color="auto"/>
      </w:divBdr>
    </w:div>
    <w:div w:id="586426974">
      <w:bodyDiv w:val="1"/>
      <w:marLeft w:val="0"/>
      <w:marRight w:val="0"/>
      <w:marTop w:val="0"/>
      <w:marBottom w:val="0"/>
      <w:divBdr>
        <w:top w:val="none" w:sz="0" w:space="0" w:color="auto"/>
        <w:left w:val="none" w:sz="0" w:space="0" w:color="auto"/>
        <w:bottom w:val="none" w:sz="0" w:space="0" w:color="auto"/>
        <w:right w:val="none" w:sz="0" w:space="0" w:color="auto"/>
      </w:divBdr>
    </w:div>
    <w:div w:id="586500712">
      <w:bodyDiv w:val="1"/>
      <w:marLeft w:val="0"/>
      <w:marRight w:val="0"/>
      <w:marTop w:val="0"/>
      <w:marBottom w:val="0"/>
      <w:divBdr>
        <w:top w:val="none" w:sz="0" w:space="0" w:color="auto"/>
        <w:left w:val="none" w:sz="0" w:space="0" w:color="auto"/>
        <w:bottom w:val="none" w:sz="0" w:space="0" w:color="auto"/>
        <w:right w:val="none" w:sz="0" w:space="0" w:color="auto"/>
      </w:divBdr>
    </w:div>
    <w:div w:id="586574168">
      <w:bodyDiv w:val="1"/>
      <w:marLeft w:val="0"/>
      <w:marRight w:val="0"/>
      <w:marTop w:val="0"/>
      <w:marBottom w:val="0"/>
      <w:divBdr>
        <w:top w:val="none" w:sz="0" w:space="0" w:color="auto"/>
        <w:left w:val="none" w:sz="0" w:space="0" w:color="auto"/>
        <w:bottom w:val="none" w:sz="0" w:space="0" w:color="auto"/>
        <w:right w:val="none" w:sz="0" w:space="0" w:color="auto"/>
      </w:divBdr>
    </w:div>
    <w:div w:id="586812958">
      <w:bodyDiv w:val="1"/>
      <w:marLeft w:val="0"/>
      <w:marRight w:val="0"/>
      <w:marTop w:val="0"/>
      <w:marBottom w:val="0"/>
      <w:divBdr>
        <w:top w:val="none" w:sz="0" w:space="0" w:color="auto"/>
        <w:left w:val="none" w:sz="0" w:space="0" w:color="auto"/>
        <w:bottom w:val="none" w:sz="0" w:space="0" w:color="auto"/>
        <w:right w:val="none" w:sz="0" w:space="0" w:color="auto"/>
      </w:divBdr>
    </w:div>
    <w:div w:id="586884943">
      <w:bodyDiv w:val="1"/>
      <w:marLeft w:val="0"/>
      <w:marRight w:val="0"/>
      <w:marTop w:val="0"/>
      <w:marBottom w:val="0"/>
      <w:divBdr>
        <w:top w:val="none" w:sz="0" w:space="0" w:color="auto"/>
        <w:left w:val="none" w:sz="0" w:space="0" w:color="auto"/>
        <w:bottom w:val="none" w:sz="0" w:space="0" w:color="auto"/>
        <w:right w:val="none" w:sz="0" w:space="0" w:color="auto"/>
      </w:divBdr>
    </w:div>
    <w:div w:id="586960361">
      <w:bodyDiv w:val="1"/>
      <w:marLeft w:val="0"/>
      <w:marRight w:val="0"/>
      <w:marTop w:val="0"/>
      <w:marBottom w:val="0"/>
      <w:divBdr>
        <w:top w:val="none" w:sz="0" w:space="0" w:color="auto"/>
        <w:left w:val="none" w:sz="0" w:space="0" w:color="auto"/>
        <w:bottom w:val="none" w:sz="0" w:space="0" w:color="auto"/>
        <w:right w:val="none" w:sz="0" w:space="0" w:color="auto"/>
      </w:divBdr>
    </w:div>
    <w:div w:id="587035541">
      <w:bodyDiv w:val="1"/>
      <w:marLeft w:val="0"/>
      <w:marRight w:val="0"/>
      <w:marTop w:val="0"/>
      <w:marBottom w:val="0"/>
      <w:divBdr>
        <w:top w:val="none" w:sz="0" w:space="0" w:color="auto"/>
        <w:left w:val="none" w:sz="0" w:space="0" w:color="auto"/>
        <w:bottom w:val="none" w:sz="0" w:space="0" w:color="auto"/>
        <w:right w:val="none" w:sz="0" w:space="0" w:color="auto"/>
      </w:divBdr>
    </w:div>
    <w:div w:id="587154991">
      <w:bodyDiv w:val="1"/>
      <w:marLeft w:val="0"/>
      <w:marRight w:val="0"/>
      <w:marTop w:val="0"/>
      <w:marBottom w:val="0"/>
      <w:divBdr>
        <w:top w:val="none" w:sz="0" w:space="0" w:color="auto"/>
        <w:left w:val="none" w:sz="0" w:space="0" w:color="auto"/>
        <w:bottom w:val="none" w:sz="0" w:space="0" w:color="auto"/>
        <w:right w:val="none" w:sz="0" w:space="0" w:color="auto"/>
      </w:divBdr>
    </w:div>
    <w:div w:id="587159456">
      <w:bodyDiv w:val="1"/>
      <w:marLeft w:val="0"/>
      <w:marRight w:val="0"/>
      <w:marTop w:val="0"/>
      <w:marBottom w:val="0"/>
      <w:divBdr>
        <w:top w:val="none" w:sz="0" w:space="0" w:color="auto"/>
        <w:left w:val="none" w:sz="0" w:space="0" w:color="auto"/>
        <w:bottom w:val="none" w:sz="0" w:space="0" w:color="auto"/>
        <w:right w:val="none" w:sz="0" w:space="0" w:color="auto"/>
      </w:divBdr>
    </w:div>
    <w:div w:id="587159689">
      <w:bodyDiv w:val="1"/>
      <w:marLeft w:val="0"/>
      <w:marRight w:val="0"/>
      <w:marTop w:val="0"/>
      <w:marBottom w:val="0"/>
      <w:divBdr>
        <w:top w:val="none" w:sz="0" w:space="0" w:color="auto"/>
        <w:left w:val="none" w:sz="0" w:space="0" w:color="auto"/>
        <w:bottom w:val="none" w:sz="0" w:space="0" w:color="auto"/>
        <w:right w:val="none" w:sz="0" w:space="0" w:color="auto"/>
      </w:divBdr>
    </w:div>
    <w:div w:id="587235241">
      <w:bodyDiv w:val="1"/>
      <w:marLeft w:val="0"/>
      <w:marRight w:val="0"/>
      <w:marTop w:val="0"/>
      <w:marBottom w:val="0"/>
      <w:divBdr>
        <w:top w:val="none" w:sz="0" w:space="0" w:color="auto"/>
        <w:left w:val="none" w:sz="0" w:space="0" w:color="auto"/>
        <w:bottom w:val="none" w:sz="0" w:space="0" w:color="auto"/>
        <w:right w:val="none" w:sz="0" w:space="0" w:color="auto"/>
      </w:divBdr>
    </w:div>
    <w:div w:id="587345747">
      <w:bodyDiv w:val="1"/>
      <w:marLeft w:val="0"/>
      <w:marRight w:val="0"/>
      <w:marTop w:val="0"/>
      <w:marBottom w:val="0"/>
      <w:divBdr>
        <w:top w:val="none" w:sz="0" w:space="0" w:color="auto"/>
        <w:left w:val="none" w:sz="0" w:space="0" w:color="auto"/>
        <w:bottom w:val="none" w:sz="0" w:space="0" w:color="auto"/>
        <w:right w:val="none" w:sz="0" w:space="0" w:color="auto"/>
      </w:divBdr>
    </w:div>
    <w:div w:id="587351026">
      <w:bodyDiv w:val="1"/>
      <w:marLeft w:val="0"/>
      <w:marRight w:val="0"/>
      <w:marTop w:val="0"/>
      <w:marBottom w:val="0"/>
      <w:divBdr>
        <w:top w:val="none" w:sz="0" w:space="0" w:color="auto"/>
        <w:left w:val="none" w:sz="0" w:space="0" w:color="auto"/>
        <w:bottom w:val="none" w:sz="0" w:space="0" w:color="auto"/>
        <w:right w:val="none" w:sz="0" w:space="0" w:color="auto"/>
      </w:divBdr>
    </w:div>
    <w:div w:id="587423320">
      <w:bodyDiv w:val="1"/>
      <w:marLeft w:val="0"/>
      <w:marRight w:val="0"/>
      <w:marTop w:val="0"/>
      <w:marBottom w:val="0"/>
      <w:divBdr>
        <w:top w:val="none" w:sz="0" w:space="0" w:color="auto"/>
        <w:left w:val="none" w:sz="0" w:space="0" w:color="auto"/>
        <w:bottom w:val="none" w:sz="0" w:space="0" w:color="auto"/>
        <w:right w:val="none" w:sz="0" w:space="0" w:color="auto"/>
      </w:divBdr>
    </w:div>
    <w:div w:id="587541112">
      <w:bodyDiv w:val="1"/>
      <w:marLeft w:val="0"/>
      <w:marRight w:val="0"/>
      <w:marTop w:val="0"/>
      <w:marBottom w:val="0"/>
      <w:divBdr>
        <w:top w:val="none" w:sz="0" w:space="0" w:color="auto"/>
        <w:left w:val="none" w:sz="0" w:space="0" w:color="auto"/>
        <w:bottom w:val="none" w:sz="0" w:space="0" w:color="auto"/>
        <w:right w:val="none" w:sz="0" w:space="0" w:color="auto"/>
      </w:divBdr>
    </w:div>
    <w:div w:id="587544661">
      <w:bodyDiv w:val="1"/>
      <w:marLeft w:val="0"/>
      <w:marRight w:val="0"/>
      <w:marTop w:val="0"/>
      <w:marBottom w:val="0"/>
      <w:divBdr>
        <w:top w:val="none" w:sz="0" w:space="0" w:color="auto"/>
        <w:left w:val="none" w:sz="0" w:space="0" w:color="auto"/>
        <w:bottom w:val="none" w:sz="0" w:space="0" w:color="auto"/>
        <w:right w:val="none" w:sz="0" w:space="0" w:color="auto"/>
      </w:divBdr>
    </w:div>
    <w:div w:id="587619519">
      <w:bodyDiv w:val="1"/>
      <w:marLeft w:val="0"/>
      <w:marRight w:val="0"/>
      <w:marTop w:val="0"/>
      <w:marBottom w:val="0"/>
      <w:divBdr>
        <w:top w:val="none" w:sz="0" w:space="0" w:color="auto"/>
        <w:left w:val="none" w:sz="0" w:space="0" w:color="auto"/>
        <w:bottom w:val="none" w:sz="0" w:space="0" w:color="auto"/>
        <w:right w:val="none" w:sz="0" w:space="0" w:color="auto"/>
      </w:divBdr>
    </w:div>
    <w:div w:id="587620394">
      <w:bodyDiv w:val="1"/>
      <w:marLeft w:val="0"/>
      <w:marRight w:val="0"/>
      <w:marTop w:val="0"/>
      <w:marBottom w:val="0"/>
      <w:divBdr>
        <w:top w:val="none" w:sz="0" w:space="0" w:color="auto"/>
        <w:left w:val="none" w:sz="0" w:space="0" w:color="auto"/>
        <w:bottom w:val="none" w:sz="0" w:space="0" w:color="auto"/>
        <w:right w:val="none" w:sz="0" w:space="0" w:color="auto"/>
      </w:divBdr>
    </w:div>
    <w:div w:id="587734393">
      <w:bodyDiv w:val="1"/>
      <w:marLeft w:val="0"/>
      <w:marRight w:val="0"/>
      <w:marTop w:val="0"/>
      <w:marBottom w:val="0"/>
      <w:divBdr>
        <w:top w:val="none" w:sz="0" w:space="0" w:color="auto"/>
        <w:left w:val="none" w:sz="0" w:space="0" w:color="auto"/>
        <w:bottom w:val="none" w:sz="0" w:space="0" w:color="auto"/>
        <w:right w:val="none" w:sz="0" w:space="0" w:color="auto"/>
      </w:divBdr>
    </w:div>
    <w:div w:id="587736954">
      <w:bodyDiv w:val="1"/>
      <w:marLeft w:val="0"/>
      <w:marRight w:val="0"/>
      <w:marTop w:val="0"/>
      <w:marBottom w:val="0"/>
      <w:divBdr>
        <w:top w:val="none" w:sz="0" w:space="0" w:color="auto"/>
        <w:left w:val="none" w:sz="0" w:space="0" w:color="auto"/>
        <w:bottom w:val="none" w:sz="0" w:space="0" w:color="auto"/>
        <w:right w:val="none" w:sz="0" w:space="0" w:color="auto"/>
      </w:divBdr>
    </w:div>
    <w:div w:id="587927206">
      <w:bodyDiv w:val="1"/>
      <w:marLeft w:val="0"/>
      <w:marRight w:val="0"/>
      <w:marTop w:val="0"/>
      <w:marBottom w:val="0"/>
      <w:divBdr>
        <w:top w:val="none" w:sz="0" w:space="0" w:color="auto"/>
        <w:left w:val="none" w:sz="0" w:space="0" w:color="auto"/>
        <w:bottom w:val="none" w:sz="0" w:space="0" w:color="auto"/>
        <w:right w:val="none" w:sz="0" w:space="0" w:color="auto"/>
      </w:divBdr>
    </w:div>
    <w:div w:id="587928372">
      <w:bodyDiv w:val="1"/>
      <w:marLeft w:val="0"/>
      <w:marRight w:val="0"/>
      <w:marTop w:val="0"/>
      <w:marBottom w:val="0"/>
      <w:divBdr>
        <w:top w:val="none" w:sz="0" w:space="0" w:color="auto"/>
        <w:left w:val="none" w:sz="0" w:space="0" w:color="auto"/>
        <w:bottom w:val="none" w:sz="0" w:space="0" w:color="auto"/>
        <w:right w:val="none" w:sz="0" w:space="0" w:color="auto"/>
      </w:divBdr>
    </w:div>
    <w:div w:id="588001479">
      <w:bodyDiv w:val="1"/>
      <w:marLeft w:val="0"/>
      <w:marRight w:val="0"/>
      <w:marTop w:val="0"/>
      <w:marBottom w:val="0"/>
      <w:divBdr>
        <w:top w:val="none" w:sz="0" w:space="0" w:color="auto"/>
        <w:left w:val="none" w:sz="0" w:space="0" w:color="auto"/>
        <w:bottom w:val="none" w:sz="0" w:space="0" w:color="auto"/>
        <w:right w:val="none" w:sz="0" w:space="0" w:color="auto"/>
      </w:divBdr>
    </w:div>
    <w:div w:id="588008222">
      <w:bodyDiv w:val="1"/>
      <w:marLeft w:val="0"/>
      <w:marRight w:val="0"/>
      <w:marTop w:val="0"/>
      <w:marBottom w:val="0"/>
      <w:divBdr>
        <w:top w:val="none" w:sz="0" w:space="0" w:color="auto"/>
        <w:left w:val="none" w:sz="0" w:space="0" w:color="auto"/>
        <w:bottom w:val="none" w:sz="0" w:space="0" w:color="auto"/>
        <w:right w:val="none" w:sz="0" w:space="0" w:color="auto"/>
      </w:divBdr>
    </w:div>
    <w:div w:id="588077602">
      <w:bodyDiv w:val="1"/>
      <w:marLeft w:val="0"/>
      <w:marRight w:val="0"/>
      <w:marTop w:val="0"/>
      <w:marBottom w:val="0"/>
      <w:divBdr>
        <w:top w:val="none" w:sz="0" w:space="0" w:color="auto"/>
        <w:left w:val="none" w:sz="0" w:space="0" w:color="auto"/>
        <w:bottom w:val="none" w:sz="0" w:space="0" w:color="auto"/>
        <w:right w:val="none" w:sz="0" w:space="0" w:color="auto"/>
      </w:divBdr>
    </w:div>
    <w:div w:id="588272274">
      <w:bodyDiv w:val="1"/>
      <w:marLeft w:val="0"/>
      <w:marRight w:val="0"/>
      <w:marTop w:val="0"/>
      <w:marBottom w:val="0"/>
      <w:divBdr>
        <w:top w:val="none" w:sz="0" w:space="0" w:color="auto"/>
        <w:left w:val="none" w:sz="0" w:space="0" w:color="auto"/>
        <w:bottom w:val="none" w:sz="0" w:space="0" w:color="auto"/>
        <w:right w:val="none" w:sz="0" w:space="0" w:color="auto"/>
      </w:divBdr>
    </w:div>
    <w:div w:id="588277395">
      <w:bodyDiv w:val="1"/>
      <w:marLeft w:val="0"/>
      <w:marRight w:val="0"/>
      <w:marTop w:val="0"/>
      <w:marBottom w:val="0"/>
      <w:divBdr>
        <w:top w:val="none" w:sz="0" w:space="0" w:color="auto"/>
        <w:left w:val="none" w:sz="0" w:space="0" w:color="auto"/>
        <w:bottom w:val="none" w:sz="0" w:space="0" w:color="auto"/>
        <w:right w:val="none" w:sz="0" w:space="0" w:color="auto"/>
      </w:divBdr>
    </w:div>
    <w:div w:id="588317281">
      <w:bodyDiv w:val="1"/>
      <w:marLeft w:val="0"/>
      <w:marRight w:val="0"/>
      <w:marTop w:val="0"/>
      <w:marBottom w:val="0"/>
      <w:divBdr>
        <w:top w:val="none" w:sz="0" w:space="0" w:color="auto"/>
        <w:left w:val="none" w:sz="0" w:space="0" w:color="auto"/>
        <w:bottom w:val="none" w:sz="0" w:space="0" w:color="auto"/>
        <w:right w:val="none" w:sz="0" w:space="0" w:color="auto"/>
      </w:divBdr>
    </w:div>
    <w:div w:id="588348647">
      <w:bodyDiv w:val="1"/>
      <w:marLeft w:val="0"/>
      <w:marRight w:val="0"/>
      <w:marTop w:val="0"/>
      <w:marBottom w:val="0"/>
      <w:divBdr>
        <w:top w:val="none" w:sz="0" w:space="0" w:color="auto"/>
        <w:left w:val="none" w:sz="0" w:space="0" w:color="auto"/>
        <w:bottom w:val="none" w:sz="0" w:space="0" w:color="auto"/>
        <w:right w:val="none" w:sz="0" w:space="0" w:color="auto"/>
      </w:divBdr>
    </w:div>
    <w:div w:id="588387744">
      <w:bodyDiv w:val="1"/>
      <w:marLeft w:val="0"/>
      <w:marRight w:val="0"/>
      <w:marTop w:val="0"/>
      <w:marBottom w:val="0"/>
      <w:divBdr>
        <w:top w:val="none" w:sz="0" w:space="0" w:color="auto"/>
        <w:left w:val="none" w:sz="0" w:space="0" w:color="auto"/>
        <w:bottom w:val="none" w:sz="0" w:space="0" w:color="auto"/>
        <w:right w:val="none" w:sz="0" w:space="0" w:color="auto"/>
      </w:divBdr>
    </w:div>
    <w:div w:id="588538709">
      <w:bodyDiv w:val="1"/>
      <w:marLeft w:val="0"/>
      <w:marRight w:val="0"/>
      <w:marTop w:val="0"/>
      <w:marBottom w:val="0"/>
      <w:divBdr>
        <w:top w:val="none" w:sz="0" w:space="0" w:color="auto"/>
        <w:left w:val="none" w:sz="0" w:space="0" w:color="auto"/>
        <w:bottom w:val="none" w:sz="0" w:space="0" w:color="auto"/>
        <w:right w:val="none" w:sz="0" w:space="0" w:color="auto"/>
      </w:divBdr>
    </w:div>
    <w:div w:id="588661204">
      <w:bodyDiv w:val="1"/>
      <w:marLeft w:val="0"/>
      <w:marRight w:val="0"/>
      <w:marTop w:val="0"/>
      <w:marBottom w:val="0"/>
      <w:divBdr>
        <w:top w:val="none" w:sz="0" w:space="0" w:color="auto"/>
        <w:left w:val="none" w:sz="0" w:space="0" w:color="auto"/>
        <w:bottom w:val="none" w:sz="0" w:space="0" w:color="auto"/>
        <w:right w:val="none" w:sz="0" w:space="0" w:color="auto"/>
      </w:divBdr>
    </w:div>
    <w:div w:id="588661341">
      <w:bodyDiv w:val="1"/>
      <w:marLeft w:val="0"/>
      <w:marRight w:val="0"/>
      <w:marTop w:val="0"/>
      <w:marBottom w:val="0"/>
      <w:divBdr>
        <w:top w:val="none" w:sz="0" w:space="0" w:color="auto"/>
        <w:left w:val="none" w:sz="0" w:space="0" w:color="auto"/>
        <w:bottom w:val="none" w:sz="0" w:space="0" w:color="auto"/>
        <w:right w:val="none" w:sz="0" w:space="0" w:color="auto"/>
      </w:divBdr>
    </w:div>
    <w:div w:id="588664096">
      <w:bodyDiv w:val="1"/>
      <w:marLeft w:val="0"/>
      <w:marRight w:val="0"/>
      <w:marTop w:val="0"/>
      <w:marBottom w:val="0"/>
      <w:divBdr>
        <w:top w:val="none" w:sz="0" w:space="0" w:color="auto"/>
        <w:left w:val="none" w:sz="0" w:space="0" w:color="auto"/>
        <w:bottom w:val="none" w:sz="0" w:space="0" w:color="auto"/>
        <w:right w:val="none" w:sz="0" w:space="0" w:color="auto"/>
      </w:divBdr>
    </w:div>
    <w:div w:id="588731809">
      <w:bodyDiv w:val="1"/>
      <w:marLeft w:val="0"/>
      <w:marRight w:val="0"/>
      <w:marTop w:val="0"/>
      <w:marBottom w:val="0"/>
      <w:divBdr>
        <w:top w:val="none" w:sz="0" w:space="0" w:color="auto"/>
        <w:left w:val="none" w:sz="0" w:space="0" w:color="auto"/>
        <w:bottom w:val="none" w:sz="0" w:space="0" w:color="auto"/>
        <w:right w:val="none" w:sz="0" w:space="0" w:color="auto"/>
      </w:divBdr>
    </w:div>
    <w:div w:id="588777857">
      <w:bodyDiv w:val="1"/>
      <w:marLeft w:val="0"/>
      <w:marRight w:val="0"/>
      <w:marTop w:val="0"/>
      <w:marBottom w:val="0"/>
      <w:divBdr>
        <w:top w:val="none" w:sz="0" w:space="0" w:color="auto"/>
        <w:left w:val="none" w:sz="0" w:space="0" w:color="auto"/>
        <w:bottom w:val="none" w:sz="0" w:space="0" w:color="auto"/>
        <w:right w:val="none" w:sz="0" w:space="0" w:color="auto"/>
      </w:divBdr>
    </w:div>
    <w:div w:id="588779729">
      <w:bodyDiv w:val="1"/>
      <w:marLeft w:val="0"/>
      <w:marRight w:val="0"/>
      <w:marTop w:val="0"/>
      <w:marBottom w:val="0"/>
      <w:divBdr>
        <w:top w:val="none" w:sz="0" w:space="0" w:color="auto"/>
        <w:left w:val="none" w:sz="0" w:space="0" w:color="auto"/>
        <w:bottom w:val="none" w:sz="0" w:space="0" w:color="auto"/>
        <w:right w:val="none" w:sz="0" w:space="0" w:color="auto"/>
      </w:divBdr>
    </w:div>
    <w:div w:id="588782251">
      <w:bodyDiv w:val="1"/>
      <w:marLeft w:val="0"/>
      <w:marRight w:val="0"/>
      <w:marTop w:val="0"/>
      <w:marBottom w:val="0"/>
      <w:divBdr>
        <w:top w:val="none" w:sz="0" w:space="0" w:color="auto"/>
        <w:left w:val="none" w:sz="0" w:space="0" w:color="auto"/>
        <w:bottom w:val="none" w:sz="0" w:space="0" w:color="auto"/>
        <w:right w:val="none" w:sz="0" w:space="0" w:color="auto"/>
      </w:divBdr>
    </w:div>
    <w:div w:id="588806698">
      <w:bodyDiv w:val="1"/>
      <w:marLeft w:val="0"/>
      <w:marRight w:val="0"/>
      <w:marTop w:val="0"/>
      <w:marBottom w:val="0"/>
      <w:divBdr>
        <w:top w:val="none" w:sz="0" w:space="0" w:color="auto"/>
        <w:left w:val="none" w:sz="0" w:space="0" w:color="auto"/>
        <w:bottom w:val="none" w:sz="0" w:space="0" w:color="auto"/>
        <w:right w:val="none" w:sz="0" w:space="0" w:color="auto"/>
      </w:divBdr>
    </w:div>
    <w:div w:id="588853240">
      <w:bodyDiv w:val="1"/>
      <w:marLeft w:val="0"/>
      <w:marRight w:val="0"/>
      <w:marTop w:val="0"/>
      <w:marBottom w:val="0"/>
      <w:divBdr>
        <w:top w:val="none" w:sz="0" w:space="0" w:color="auto"/>
        <w:left w:val="none" w:sz="0" w:space="0" w:color="auto"/>
        <w:bottom w:val="none" w:sz="0" w:space="0" w:color="auto"/>
        <w:right w:val="none" w:sz="0" w:space="0" w:color="auto"/>
      </w:divBdr>
    </w:div>
    <w:div w:id="588853856">
      <w:bodyDiv w:val="1"/>
      <w:marLeft w:val="0"/>
      <w:marRight w:val="0"/>
      <w:marTop w:val="0"/>
      <w:marBottom w:val="0"/>
      <w:divBdr>
        <w:top w:val="none" w:sz="0" w:space="0" w:color="auto"/>
        <w:left w:val="none" w:sz="0" w:space="0" w:color="auto"/>
        <w:bottom w:val="none" w:sz="0" w:space="0" w:color="auto"/>
        <w:right w:val="none" w:sz="0" w:space="0" w:color="auto"/>
      </w:divBdr>
    </w:div>
    <w:div w:id="588932445">
      <w:bodyDiv w:val="1"/>
      <w:marLeft w:val="0"/>
      <w:marRight w:val="0"/>
      <w:marTop w:val="0"/>
      <w:marBottom w:val="0"/>
      <w:divBdr>
        <w:top w:val="none" w:sz="0" w:space="0" w:color="auto"/>
        <w:left w:val="none" w:sz="0" w:space="0" w:color="auto"/>
        <w:bottom w:val="none" w:sz="0" w:space="0" w:color="auto"/>
        <w:right w:val="none" w:sz="0" w:space="0" w:color="auto"/>
      </w:divBdr>
    </w:div>
    <w:div w:id="589125541">
      <w:bodyDiv w:val="1"/>
      <w:marLeft w:val="0"/>
      <w:marRight w:val="0"/>
      <w:marTop w:val="0"/>
      <w:marBottom w:val="0"/>
      <w:divBdr>
        <w:top w:val="none" w:sz="0" w:space="0" w:color="auto"/>
        <w:left w:val="none" w:sz="0" w:space="0" w:color="auto"/>
        <w:bottom w:val="none" w:sz="0" w:space="0" w:color="auto"/>
        <w:right w:val="none" w:sz="0" w:space="0" w:color="auto"/>
      </w:divBdr>
    </w:div>
    <w:div w:id="589200893">
      <w:bodyDiv w:val="1"/>
      <w:marLeft w:val="0"/>
      <w:marRight w:val="0"/>
      <w:marTop w:val="0"/>
      <w:marBottom w:val="0"/>
      <w:divBdr>
        <w:top w:val="none" w:sz="0" w:space="0" w:color="auto"/>
        <w:left w:val="none" w:sz="0" w:space="0" w:color="auto"/>
        <w:bottom w:val="none" w:sz="0" w:space="0" w:color="auto"/>
        <w:right w:val="none" w:sz="0" w:space="0" w:color="auto"/>
      </w:divBdr>
    </w:div>
    <w:div w:id="589237307">
      <w:bodyDiv w:val="1"/>
      <w:marLeft w:val="0"/>
      <w:marRight w:val="0"/>
      <w:marTop w:val="0"/>
      <w:marBottom w:val="0"/>
      <w:divBdr>
        <w:top w:val="none" w:sz="0" w:space="0" w:color="auto"/>
        <w:left w:val="none" w:sz="0" w:space="0" w:color="auto"/>
        <w:bottom w:val="none" w:sz="0" w:space="0" w:color="auto"/>
        <w:right w:val="none" w:sz="0" w:space="0" w:color="auto"/>
      </w:divBdr>
    </w:div>
    <w:div w:id="589509348">
      <w:bodyDiv w:val="1"/>
      <w:marLeft w:val="0"/>
      <w:marRight w:val="0"/>
      <w:marTop w:val="0"/>
      <w:marBottom w:val="0"/>
      <w:divBdr>
        <w:top w:val="none" w:sz="0" w:space="0" w:color="auto"/>
        <w:left w:val="none" w:sz="0" w:space="0" w:color="auto"/>
        <w:bottom w:val="none" w:sz="0" w:space="0" w:color="auto"/>
        <w:right w:val="none" w:sz="0" w:space="0" w:color="auto"/>
      </w:divBdr>
    </w:div>
    <w:div w:id="589509744">
      <w:bodyDiv w:val="1"/>
      <w:marLeft w:val="0"/>
      <w:marRight w:val="0"/>
      <w:marTop w:val="0"/>
      <w:marBottom w:val="0"/>
      <w:divBdr>
        <w:top w:val="none" w:sz="0" w:space="0" w:color="auto"/>
        <w:left w:val="none" w:sz="0" w:space="0" w:color="auto"/>
        <w:bottom w:val="none" w:sz="0" w:space="0" w:color="auto"/>
        <w:right w:val="none" w:sz="0" w:space="0" w:color="auto"/>
      </w:divBdr>
    </w:div>
    <w:div w:id="589510656">
      <w:bodyDiv w:val="1"/>
      <w:marLeft w:val="0"/>
      <w:marRight w:val="0"/>
      <w:marTop w:val="0"/>
      <w:marBottom w:val="0"/>
      <w:divBdr>
        <w:top w:val="none" w:sz="0" w:space="0" w:color="auto"/>
        <w:left w:val="none" w:sz="0" w:space="0" w:color="auto"/>
        <w:bottom w:val="none" w:sz="0" w:space="0" w:color="auto"/>
        <w:right w:val="none" w:sz="0" w:space="0" w:color="auto"/>
      </w:divBdr>
    </w:div>
    <w:div w:id="589700684">
      <w:bodyDiv w:val="1"/>
      <w:marLeft w:val="0"/>
      <w:marRight w:val="0"/>
      <w:marTop w:val="0"/>
      <w:marBottom w:val="0"/>
      <w:divBdr>
        <w:top w:val="none" w:sz="0" w:space="0" w:color="auto"/>
        <w:left w:val="none" w:sz="0" w:space="0" w:color="auto"/>
        <w:bottom w:val="none" w:sz="0" w:space="0" w:color="auto"/>
        <w:right w:val="none" w:sz="0" w:space="0" w:color="auto"/>
      </w:divBdr>
    </w:div>
    <w:div w:id="589702411">
      <w:bodyDiv w:val="1"/>
      <w:marLeft w:val="0"/>
      <w:marRight w:val="0"/>
      <w:marTop w:val="0"/>
      <w:marBottom w:val="0"/>
      <w:divBdr>
        <w:top w:val="none" w:sz="0" w:space="0" w:color="auto"/>
        <w:left w:val="none" w:sz="0" w:space="0" w:color="auto"/>
        <w:bottom w:val="none" w:sz="0" w:space="0" w:color="auto"/>
        <w:right w:val="none" w:sz="0" w:space="0" w:color="auto"/>
      </w:divBdr>
    </w:div>
    <w:div w:id="589773367">
      <w:bodyDiv w:val="1"/>
      <w:marLeft w:val="0"/>
      <w:marRight w:val="0"/>
      <w:marTop w:val="0"/>
      <w:marBottom w:val="0"/>
      <w:divBdr>
        <w:top w:val="none" w:sz="0" w:space="0" w:color="auto"/>
        <w:left w:val="none" w:sz="0" w:space="0" w:color="auto"/>
        <w:bottom w:val="none" w:sz="0" w:space="0" w:color="auto"/>
        <w:right w:val="none" w:sz="0" w:space="0" w:color="auto"/>
      </w:divBdr>
    </w:div>
    <w:div w:id="589778378">
      <w:bodyDiv w:val="1"/>
      <w:marLeft w:val="0"/>
      <w:marRight w:val="0"/>
      <w:marTop w:val="0"/>
      <w:marBottom w:val="0"/>
      <w:divBdr>
        <w:top w:val="none" w:sz="0" w:space="0" w:color="auto"/>
        <w:left w:val="none" w:sz="0" w:space="0" w:color="auto"/>
        <w:bottom w:val="none" w:sz="0" w:space="0" w:color="auto"/>
        <w:right w:val="none" w:sz="0" w:space="0" w:color="auto"/>
      </w:divBdr>
    </w:div>
    <w:div w:id="589781122">
      <w:bodyDiv w:val="1"/>
      <w:marLeft w:val="0"/>
      <w:marRight w:val="0"/>
      <w:marTop w:val="0"/>
      <w:marBottom w:val="0"/>
      <w:divBdr>
        <w:top w:val="none" w:sz="0" w:space="0" w:color="auto"/>
        <w:left w:val="none" w:sz="0" w:space="0" w:color="auto"/>
        <w:bottom w:val="none" w:sz="0" w:space="0" w:color="auto"/>
        <w:right w:val="none" w:sz="0" w:space="0" w:color="auto"/>
      </w:divBdr>
    </w:div>
    <w:div w:id="589891756">
      <w:bodyDiv w:val="1"/>
      <w:marLeft w:val="0"/>
      <w:marRight w:val="0"/>
      <w:marTop w:val="0"/>
      <w:marBottom w:val="0"/>
      <w:divBdr>
        <w:top w:val="none" w:sz="0" w:space="0" w:color="auto"/>
        <w:left w:val="none" w:sz="0" w:space="0" w:color="auto"/>
        <w:bottom w:val="none" w:sz="0" w:space="0" w:color="auto"/>
        <w:right w:val="none" w:sz="0" w:space="0" w:color="auto"/>
      </w:divBdr>
    </w:div>
    <w:div w:id="589895437">
      <w:bodyDiv w:val="1"/>
      <w:marLeft w:val="0"/>
      <w:marRight w:val="0"/>
      <w:marTop w:val="0"/>
      <w:marBottom w:val="0"/>
      <w:divBdr>
        <w:top w:val="none" w:sz="0" w:space="0" w:color="auto"/>
        <w:left w:val="none" w:sz="0" w:space="0" w:color="auto"/>
        <w:bottom w:val="none" w:sz="0" w:space="0" w:color="auto"/>
        <w:right w:val="none" w:sz="0" w:space="0" w:color="auto"/>
      </w:divBdr>
    </w:div>
    <w:div w:id="589898215">
      <w:bodyDiv w:val="1"/>
      <w:marLeft w:val="0"/>
      <w:marRight w:val="0"/>
      <w:marTop w:val="0"/>
      <w:marBottom w:val="0"/>
      <w:divBdr>
        <w:top w:val="none" w:sz="0" w:space="0" w:color="auto"/>
        <w:left w:val="none" w:sz="0" w:space="0" w:color="auto"/>
        <w:bottom w:val="none" w:sz="0" w:space="0" w:color="auto"/>
        <w:right w:val="none" w:sz="0" w:space="0" w:color="auto"/>
      </w:divBdr>
    </w:div>
    <w:div w:id="590046896">
      <w:bodyDiv w:val="1"/>
      <w:marLeft w:val="0"/>
      <w:marRight w:val="0"/>
      <w:marTop w:val="0"/>
      <w:marBottom w:val="0"/>
      <w:divBdr>
        <w:top w:val="none" w:sz="0" w:space="0" w:color="auto"/>
        <w:left w:val="none" w:sz="0" w:space="0" w:color="auto"/>
        <w:bottom w:val="none" w:sz="0" w:space="0" w:color="auto"/>
        <w:right w:val="none" w:sz="0" w:space="0" w:color="auto"/>
      </w:divBdr>
    </w:div>
    <w:div w:id="590087082">
      <w:bodyDiv w:val="1"/>
      <w:marLeft w:val="0"/>
      <w:marRight w:val="0"/>
      <w:marTop w:val="0"/>
      <w:marBottom w:val="0"/>
      <w:divBdr>
        <w:top w:val="none" w:sz="0" w:space="0" w:color="auto"/>
        <w:left w:val="none" w:sz="0" w:space="0" w:color="auto"/>
        <w:bottom w:val="none" w:sz="0" w:space="0" w:color="auto"/>
        <w:right w:val="none" w:sz="0" w:space="0" w:color="auto"/>
      </w:divBdr>
    </w:div>
    <w:div w:id="590236661">
      <w:bodyDiv w:val="1"/>
      <w:marLeft w:val="0"/>
      <w:marRight w:val="0"/>
      <w:marTop w:val="0"/>
      <w:marBottom w:val="0"/>
      <w:divBdr>
        <w:top w:val="none" w:sz="0" w:space="0" w:color="auto"/>
        <w:left w:val="none" w:sz="0" w:space="0" w:color="auto"/>
        <w:bottom w:val="none" w:sz="0" w:space="0" w:color="auto"/>
        <w:right w:val="none" w:sz="0" w:space="0" w:color="auto"/>
      </w:divBdr>
    </w:div>
    <w:div w:id="590284401">
      <w:bodyDiv w:val="1"/>
      <w:marLeft w:val="0"/>
      <w:marRight w:val="0"/>
      <w:marTop w:val="0"/>
      <w:marBottom w:val="0"/>
      <w:divBdr>
        <w:top w:val="none" w:sz="0" w:space="0" w:color="auto"/>
        <w:left w:val="none" w:sz="0" w:space="0" w:color="auto"/>
        <w:bottom w:val="none" w:sz="0" w:space="0" w:color="auto"/>
        <w:right w:val="none" w:sz="0" w:space="0" w:color="auto"/>
      </w:divBdr>
    </w:div>
    <w:div w:id="590311707">
      <w:bodyDiv w:val="1"/>
      <w:marLeft w:val="0"/>
      <w:marRight w:val="0"/>
      <w:marTop w:val="0"/>
      <w:marBottom w:val="0"/>
      <w:divBdr>
        <w:top w:val="none" w:sz="0" w:space="0" w:color="auto"/>
        <w:left w:val="none" w:sz="0" w:space="0" w:color="auto"/>
        <w:bottom w:val="none" w:sz="0" w:space="0" w:color="auto"/>
        <w:right w:val="none" w:sz="0" w:space="0" w:color="auto"/>
      </w:divBdr>
    </w:div>
    <w:div w:id="590356033">
      <w:bodyDiv w:val="1"/>
      <w:marLeft w:val="0"/>
      <w:marRight w:val="0"/>
      <w:marTop w:val="0"/>
      <w:marBottom w:val="0"/>
      <w:divBdr>
        <w:top w:val="none" w:sz="0" w:space="0" w:color="auto"/>
        <w:left w:val="none" w:sz="0" w:space="0" w:color="auto"/>
        <w:bottom w:val="none" w:sz="0" w:space="0" w:color="auto"/>
        <w:right w:val="none" w:sz="0" w:space="0" w:color="auto"/>
      </w:divBdr>
    </w:div>
    <w:div w:id="590358667">
      <w:bodyDiv w:val="1"/>
      <w:marLeft w:val="0"/>
      <w:marRight w:val="0"/>
      <w:marTop w:val="0"/>
      <w:marBottom w:val="0"/>
      <w:divBdr>
        <w:top w:val="none" w:sz="0" w:space="0" w:color="auto"/>
        <w:left w:val="none" w:sz="0" w:space="0" w:color="auto"/>
        <w:bottom w:val="none" w:sz="0" w:space="0" w:color="auto"/>
        <w:right w:val="none" w:sz="0" w:space="0" w:color="auto"/>
      </w:divBdr>
    </w:div>
    <w:div w:id="590433917">
      <w:bodyDiv w:val="1"/>
      <w:marLeft w:val="0"/>
      <w:marRight w:val="0"/>
      <w:marTop w:val="0"/>
      <w:marBottom w:val="0"/>
      <w:divBdr>
        <w:top w:val="none" w:sz="0" w:space="0" w:color="auto"/>
        <w:left w:val="none" w:sz="0" w:space="0" w:color="auto"/>
        <w:bottom w:val="none" w:sz="0" w:space="0" w:color="auto"/>
        <w:right w:val="none" w:sz="0" w:space="0" w:color="auto"/>
      </w:divBdr>
    </w:div>
    <w:div w:id="590434129">
      <w:bodyDiv w:val="1"/>
      <w:marLeft w:val="0"/>
      <w:marRight w:val="0"/>
      <w:marTop w:val="0"/>
      <w:marBottom w:val="0"/>
      <w:divBdr>
        <w:top w:val="none" w:sz="0" w:space="0" w:color="auto"/>
        <w:left w:val="none" w:sz="0" w:space="0" w:color="auto"/>
        <w:bottom w:val="none" w:sz="0" w:space="0" w:color="auto"/>
        <w:right w:val="none" w:sz="0" w:space="0" w:color="auto"/>
      </w:divBdr>
    </w:div>
    <w:div w:id="590620943">
      <w:bodyDiv w:val="1"/>
      <w:marLeft w:val="0"/>
      <w:marRight w:val="0"/>
      <w:marTop w:val="0"/>
      <w:marBottom w:val="0"/>
      <w:divBdr>
        <w:top w:val="none" w:sz="0" w:space="0" w:color="auto"/>
        <w:left w:val="none" w:sz="0" w:space="0" w:color="auto"/>
        <w:bottom w:val="none" w:sz="0" w:space="0" w:color="auto"/>
        <w:right w:val="none" w:sz="0" w:space="0" w:color="auto"/>
      </w:divBdr>
    </w:div>
    <w:div w:id="590970216">
      <w:bodyDiv w:val="1"/>
      <w:marLeft w:val="0"/>
      <w:marRight w:val="0"/>
      <w:marTop w:val="0"/>
      <w:marBottom w:val="0"/>
      <w:divBdr>
        <w:top w:val="none" w:sz="0" w:space="0" w:color="auto"/>
        <w:left w:val="none" w:sz="0" w:space="0" w:color="auto"/>
        <w:bottom w:val="none" w:sz="0" w:space="0" w:color="auto"/>
        <w:right w:val="none" w:sz="0" w:space="0" w:color="auto"/>
      </w:divBdr>
    </w:div>
    <w:div w:id="591012937">
      <w:bodyDiv w:val="1"/>
      <w:marLeft w:val="0"/>
      <w:marRight w:val="0"/>
      <w:marTop w:val="0"/>
      <w:marBottom w:val="0"/>
      <w:divBdr>
        <w:top w:val="none" w:sz="0" w:space="0" w:color="auto"/>
        <w:left w:val="none" w:sz="0" w:space="0" w:color="auto"/>
        <w:bottom w:val="none" w:sz="0" w:space="0" w:color="auto"/>
        <w:right w:val="none" w:sz="0" w:space="0" w:color="auto"/>
      </w:divBdr>
    </w:div>
    <w:div w:id="591164804">
      <w:bodyDiv w:val="1"/>
      <w:marLeft w:val="0"/>
      <w:marRight w:val="0"/>
      <w:marTop w:val="0"/>
      <w:marBottom w:val="0"/>
      <w:divBdr>
        <w:top w:val="none" w:sz="0" w:space="0" w:color="auto"/>
        <w:left w:val="none" w:sz="0" w:space="0" w:color="auto"/>
        <w:bottom w:val="none" w:sz="0" w:space="0" w:color="auto"/>
        <w:right w:val="none" w:sz="0" w:space="0" w:color="auto"/>
      </w:divBdr>
    </w:div>
    <w:div w:id="591203475">
      <w:bodyDiv w:val="1"/>
      <w:marLeft w:val="0"/>
      <w:marRight w:val="0"/>
      <w:marTop w:val="0"/>
      <w:marBottom w:val="0"/>
      <w:divBdr>
        <w:top w:val="none" w:sz="0" w:space="0" w:color="auto"/>
        <w:left w:val="none" w:sz="0" w:space="0" w:color="auto"/>
        <w:bottom w:val="none" w:sz="0" w:space="0" w:color="auto"/>
        <w:right w:val="none" w:sz="0" w:space="0" w:color="auto"/>
      </w:divBdr>
    </w:div>
    <w:div w:id="591282572">
      <w:bodyDiv w:val="1"/>
      <w:marLeft w:val="0"/>
      <w:marRight w:val="0"/>
      <w:marTop w:val="0"/>
      <w:marBottom w:val="0"/>
      <w:divBdr>
        <w:top w:val="none" w:sz="0" w:space="0" w:color="auto"/>
        <w:left w:val="none" w:sz="0" w:space="0" w:color="auto"/>
        <w:bottom w:val="none" w:sz="0" w:space="0" w:color="auto"/>
        <w:right w:val="none" w:sz="0" w:space="0" w:color="auto"/>
      </w:divBdr>
    </w:div>
    <w:div w:id="591283839">
      <w:bodyDiv w:val="1"/>
      <w:marLeft w:val="0"/>
      <w:marRight w:val="0"/>
      <w:marTop w:val="0"/>
      <w:marBottom w:val="0"/>
      <w:divBdr>
        <w:top w:val="none" w:sz="0" w:space="0" w:color="auto"/>
        <w:left w:val="none" w:sz="0" w:space="0" w:color="auto"/>
        <w:bottom w:val="none" w:sz="0" w:space="0" w:color="auto"/>
        <w:right w:val="none" w:sz="0" w:space="0" w:color="auto"/>
      </w:divBdr>
    </w:div>
    <w:div w:id="591398359">
      <w:bodyDiv w:val="1"/>
      <w:marLeft w:val="0"/>
      <w:marRight w:val="0"/>
      <w:marTop w:val="0"/>
      <w:marBottom w:val="0"/>
      <w:divBdr>
        <w:top w:val="none" w:sz="0" w:space="0" w:color="auto"/>
        <w:left w:val="none" w:sz="0" w:space="0" w:color="auto"/>
        <w:bottom w:val="none" w:sz="0" w:space="0" w:color="auto"/>
        <w:right w:val="none" w:sz="0" w:space="0" w:color="auto"/>
      </w:divBdr>
    </w:div>
    <w:div w:id="591476620">
      <w:bodyDiv w:val="1"/>
      <w:marLeft w:val="0"/>
      <w:marRight w:val="0"/>
      <w:marTop w:val="0"/>
      <w:marBottom w:val="0"/>
      <w:divBdr>
        <w:top w:val="none" w:sz="0" w:space="0" w:color="auto"/>
        <w:left w:val="none" w:sz="0" w:space="0" w:color="auto"/>
        <w:bottom w:val="none" w:sz="0" w:space="0" w:color="auto"/>
        <w:right w:val="none" w:sz="0" w:space="0" w:color="auto"/>
      </w:divBdr>
    </w:div>
    <w:div w:id="591595734">
      <w:bodyDiv w:val="1"/>
      <w:marLeft w:val="0"/>
      <w:marRight w:val="0"/>
      <w:marTop w:val="0"/>
      <w:marBottom w:val="0"/>
      <w:divBdr>
        <w:top w:val="none" w:sz="0" w:space="0" w:color="auto"/>
        <w:left w:val="none" w:sz="0" w:space="0" w:color="auto"/>
        <w:bottom w:val="none" w:sz="0" w:space="0" w:color="auto"/>
        <w:right w:val="none" w:sz="0" w:space="0" w:color="auto"/>
      </w:divBdr>
    </w:div>
    <w:div w:id="591625250">
      <w:bodyDiv w:val="1"/>
      <w:marLeft w:val="0"/>
      <w:marRight w:val="0"/>
      <w:marTop w:val="0"/>
      <w:marBottom w:val="0"/>
      <w:divBdr>
        <w:top w:val="none" w:sz="0" w:space="0" w:color="auto"/>
        <w:left w:val="none" w:sz="0" w:space="0" w:color="auto"/>
        <w:bottom w:val="none" w:sz="0" w:space="0" w:color="auto"/>
        <w:right w:val="none" w:sz="0" w:space="0" w:color="auto"/>
      </w:divBdr>
    </w:div>
    <w:div w:id="591857942">
      <w:bodyDiv w:val="1"/>
      <w:marLeft w:val="0"/>
      <w:marRight w:val="0"/>
      <w:marTop w:val="0"/>
      <w:marBottom w:val="0"/>
      <w:divBdr>
        <w:top w:val="none" w:sz="0" w:space="0" w:color="auto"/>
        <w:left w:val="none" w:sz="0" w:space="0" w:color="auto"/>
        <w:bottom w:val="none" w:sz="0" w:space="0" w:color="auto"/>
        <w:right w:val="none" w:sz="0" w:space="0" w:color="auto"/>
      </w:divBdr>
    </w:div>
    <w:div w:id="591861307">
      <w:bodyDiv w:val="1"/>
      <w:marLeft w:val="0"/>
      <w:marRight w:val="0"/>
      <w:marTop w:val="0"/>
      <w:marBottom w:val="0"/>
      <w:divBdr>
        <w:top w:val="none" w:sz="0" w:space="0" w:color="auto"/>
        <w:left w:val="none" w:sz="0" w:space="0" w:color="auto"/>
        <w:bottom w:val="none" w:sz="0" w:space="0" w:color="auto"/>
        <w:right w:val="none" w:sz="0" w:space="0" w:color="auto"/>
      </w:divBdr>
    </w:div>
    <w:div w:id="591935642">
      <w:bodyDiv w:val="1"/>
      <w:marLeft w:val="0"/>
      <w:marRight w:val="0"/>
      <w:marTop w:val="0"/>
      <w:marBottom w:val="0"/>
      <w:divBdr>
        <w:top w:val="none" w:sz="0" w:space="0" w:color="auto"/>
        <w:left w:val="none" w:sz="0" w:space="0" w:color="auto"/>
        <w:bottom w:val="none" w:sz="0" w:space="0" w:color="auto"/>
        <w:right w:val="none" w:sz="0" w:space="0" w:color="auto"/>
      </w:divBdr>
    </w:div>
    <w:div w:id="592057388">
      <w:bodyDiv w:val="1"/>
      <w:marLeft w:val="0"/>
      <w:marRight w:val="0"/>
      <w:marTop w:val="0"/>
      <w:marBottom w:val="0"/>
      <w:divBdr>
        <w:top w:val="none" w:sz="0" w:space="0" w:color="auto"/>
        <w:left w:val="none" w:sz="0" w:space="0" w:color="auto"/>
        <w:bottom w:val="none" w:sz="0" w:space="0" w:color="auto"/>
        <w:right w:val="none" w:sz="0" w:space="0" w:color="auto"/>
      </w:divBdr>
    </w:div>
    <w:div w:id="592083793">
      <w:bodyDiv w:val="1"/>
      <w:marLeft w:val="0"/>
      <w:marRight w:val="0"/>
      <w:marTop w:val="0"/>
      <w:marBottom w:val="0"/>
      <w:divBdr>
        <w:top w:val="none" w:sz="0" w:space="0" w:color="auto"/>
        <w:left w:val="none" w:sz="0" w:space="0" w:color="auto"/>
        <w:bottom w:val="none" w:sz="0" w:space="0" w:color="auto"/>
        <w:right w:val="none" w:sz="0" w:space="0" w:color="auto"/>
      </w:divBdr>
    </w:div>
    <w:div w:id="592326810">
      <w:bodyDiv w:val="1"/>
      <w:marLeft w:val="0"/>
      <w:marRight w:val="0"/>
      <w:marTop w:val="0"/>
      <w:marBottom w:val="0"/>
      <w:divBdr>
        <w:top w:val="none" w:sz="0" w:space="0" w:color="auto"/>
        <w:left w:val="none" w:sz="0" w:space="0" w:color="auto"/>
        <w:bottom w:val="none" w:sz="0" w:space="0" w:color="auto"/>
        <w:right w:val="none" w:sz="0" w:space="0" w:color="auto"/>
      </w:divBdr>
    </w:div>
    <w:div w:id="592398782">
      <w:bodyDiv w:val="1"/>
      <w:marLeft w:val="0"/>
      <w:marRight w:val="0"/>
      <w:marTop w:val="0"/>
      <w:marBottom w:val="0"/>
      <w:divBdr>
        <w:top w:val="none" w:sz="0" w:space="0" w:color="auto"/>
        <w:left w:val="none" w:sz="0" w:space="0" w:color="auto"/>
        <w:bottom w:val="none" w:sz="0" w:space="0" w:color="auto"/>
        <w:right w:val="none" w:sz="0" w:space="0" w:color="auto"/>
      </w:divBdr>
    </w:div>
    <w:div w:id="592513317">
      <w:bodyDiv w:val="1"/>
      <w:marLeft w:val="0"/>
      <w:marRight w:val="0"/>
      <w:marTop w:val="0"/>
      <w:marBottom w:val="0"/>
      <w:divBdr>
        <w:top w:val="none" w:sz="0" w:space="0" w:color="auto"/>
        <w:left w:val="none" w:sz="0" w:space="0" w:color="auto"/>
        <w:bottom w:val="none" w:sz="0" w:space="0" w:color="auto"/>
        <w:right w:val="none" w:sz="0" w:space="0" w:color="auto"/>
      </w:divBdr>
    </w:div>
    <w:div w:id="592515873">
      <w:bodyDiv w:val="1"/>
      <w:marLeft w:val="0"/>
      <w:marRight w:val="0"/>
      <w:marTop w:val="0"/>
      <w:marBottom w:val="0"/>
      <w:divBdr>
        <w:top w:val="none" w:sz="0" w:space="0" w:color="auto"/>
        <w:left w:val="none" w:sz="0" w:space="0" w:color="auto"/>
        <w:bottom w:val="none" w:sz="0" w:space="0" w:color="auto"/>
        <w:right w:val="none" w:sz="0" w:space="0" w:color="auto"/>
      </w:divBdr>
    </w:div>
    <w:div w:id="592519770">
      <w:bodyDiv w:val="1"/>
      <w:marLeft w:val="0"/>
      <w:marRight w:val="0"/>
      <w:marTop w:val="0"/>
      <w:marBottom w:val="0"/>
      <w:divBdr>
        <w:top w:val="none" w:sz="0" w:space="0" w:color="auto"/>
        <w:left w:val="none" w:sz="0" w:space="0" w:color="auto"/>
        <w:bottom w:val="none" w:sz="0" w:space="0" w:color="auto"/>
        <w:right w:val="none" w:sz="0" w:space="0" w:color="auto"/>
      </w:divBdr>
    </w:div>
    <w:div w:id="592662074">
      <w:bodyDiv w:val="1"/>
      <w:marLeft w:val="0"/>
      <w:marRight w:val="0"/>
      <w:marTop w:val="0"/>
      <w:marBottom w:val="0"/>
      <w:divBdr>
        <w:top w:val="none" w:sz="0" w:space="0" w:color="auto"/>
        <w:left w:val="none" w:sz="0" w:space="0" w:color="auto"/>
        <w:bottom w:val="none" w:sz="0" w:space="0" w:color="auto"/>
        <w:right w:val="none" w:sz="0" w:space="0" w:color="auto"/>
      </w:divBdr>
    </w:div>
    <w:div w:id="592788598">
      <w:bodyDiv w:val="1"/>
      <w:marLeft w:val="0"/>
      <w:marRight w:val="0"/>
      <w:marTop w:val="0"/>
      <w:marBottom w:val="0"/>
      <w:divBdr>
        <w:top w:val="none" w:sz="0" w:space="0" w:color="auto"/>
        <w:left w:val="none" w:sz="0" w:space="0" w:color="auto"/>
        <w:bottom w:val="none" w:sz="0" w:space="0" w:color="auto"/>
        <w:right w:val="none" w:sz="0" w:space="0" w:color="auto"/>
      </w:divBdr>
    </w:div>
    <w:div w:id="592856383">
      <w:bodyDiv w:val="1"/>
      <w:marLeft w:val="0"/>
      <w:marRight w:val="0"/>
      <w:marTop w:val="0"/>
      <w:marBottom w:val="0"/>
      <w:divBdr>
        <w:top w:val="none" w:sz="0" w:space="0" w:color="auto"/>
        <w:left w:val="none" w:sz="0" w:space="0" w:color="auto"/>
        <w:bottom w:val="none" w:sz="0" w:space="0" w:color="auto"/>
        <w:right w:val="none" w:sz="0" w:space="0" w:color="auto"/>
      </w:divBdr>
    </w:div>
    <w:div w:id="592931147">
      <w:bodyDiv w:val="1"/>
      <w:marLeft w:val="0"/>
      <w:marRight w:val="0"/>
      <w:marTop w:val="0"/>
      <w:marBottom w:val="0"/>
      <w:divBdr>
        <w:top w:val="none" w:sz="0" w:space="0" w:color="auto"/>
        <w:left w:val="none" w:sz="0" w:space="0" w:color="auto"/>
        <w:bottom w:val="none" w:sz="0" w:space="0" w:color="auto"/>
        <w:right w:val="none" w:sz="0" w:space="0" w:color="auto"/>
      </w:divBdr>
    </w:div>
    <w:div w:id="592974180">
      <w:bodyDiv w:val="1"/>
      <w:marLeft w:val="0"/>
      <w:marRight w:val="0"/>
      <w:marTop w:val="0"/>
      <w:marBottom w:val="0"/>
      <w:divBdr>
        <w:top w:val="none" w:sz="0" w:space="0" w:color="auto"/>
        <w:left w:val="none" w:sz="0" w:space="0" w:color="auto"/>
        <w:bottom w:val="none" w:sz="0" w:space="0" w:color="auto"/>
        <w:right w:val="none" w:sz="0" w:space="0" w:color="auto"/>
      </w:divBdr>
    </w:div>
    <w:div w:id="592977870">
      <w:bodyDiv w:val="1"/>
      <w:marLeft w:val="0"/>
      <w:marRight w:val="0"/>
      <w:marTop w:val="0"/>
      <w:marBottom w:val="0"/>
      <w:divBdr>
        <w:top w:val="none" w:sz="0" w:space="0" w:color="auto"/>
        <w:left w:val="none" w:sz="0" w:space="0" w:color="auto"/>
        <w:bottom w:val="none" w:sz="0" w:space="0" w:color="auto"/>
        <w:right w:val="none" w:sz="0" w:space="0" w:color="auto"/>
      </w:divBdr>
    </w:div>
    <w:div w:id="592980142">
      <w:bodyDiv w:val="1"/>
      <w:marLeft w:val="0"/>
      <w:marRight w:val="0"/>
      <w:marTop w:val="0"/>
      <w:marBottom w:val="0"/>
      <w:divBdr>
        <w:top w:val="none" w:sz="0" w:space="0" w:color="auto"/>
        <w:left w:val="none" w:sz="0" w:space="0" w:color="auto"/>
        <w:bottom w:val="none" w:sz="0" w:space="0" w:color="auto"/>
        <w:right w:val="none" w:sz="0" w:space="0" w:color="auto"/>
      </w:divBdr>
    </w:div>
    <w:div w:id="593174565">
      <w:bodyDiv w:val="1"/>
      <w:marLeft w:val="0"/>
      <w:marRight w:val="0"/>
      <w:marTop w:val="0"/>
      <w:marBottom w:val="0"/>
      <w:divBdr>
        <w:top w:val="none" w:sz="0" w:space="0" w:color="auto"/>
        <w:left w:val="none" w:sz="0" w:space="0" w:color="auto"/>
        <w:bottom w:val="none" w:sz="0" w:space="0" w:color="auto"/>
        <w:right w:val="none" w:sz="0" w:space="0" w:color="auto"/>
      </w:divBdr>
    </w:div>
    <w:div w:id="593244988">
      <w:bodyDiv w:val="1"/>
      <w:marLeft w:val="0"/>
      <w:marRight w:val="0"/>
      <w:marTop w:val="0"/>
      <w:marBottom w:val="0"/>
      <w:divBdr>
        <w:top w:val="none" w:sz="0" w:space="0" w:color="auto"/>
        <w:left w:val="none" w:sz="0" w:space="0" w:color="auto"/>
        <w:bottom w:val="none" w:sz="0" w:space="0" w:color="auto"/>
        <w:right w:val="none" w:sz="0" w:space="0" w:color="auto"/>
      </w:divBdr>
    </w:div>
    <w:div w:id="593246584">
      <w:bodyDiv w:val="1"/>
      <w:marLeft w:val="0"/>
      <w:marRight w:val="0"/>
      <w:marTop w:val="0"/>
      <w:marBottom w:val="0"/>
      <w:divBdr>
        <w:top w:val="none" w:sz="0" w:space="0" w:color="auto"/>
        <w:left w:val="none" w:sz="0" w:space="0" w:color="auto"/>
        <w:bottom w:val="none" w:sz="0" w:space="0" w:color="auto"/>
        <w:right w:val="none" w:sz="0" w:space="0" w:color="auto"/>
      </w:divBdr>
    </w:div>
    <w:div w:id="593247881">
      <w:bodyDiv w:val="1"/>
      <w:marLeft w:val="0"/>
      <w:marRight w:val="0"/>
      <w:marTop w:val="0"/>
      <w:marBottom w:val="0"/>
      <w:divBdr>
        <w:top w:val="none" w:sz="0" w:space="0" w:color="auto"/>
        <w:left w:val="none" w:sz="0" w:space="0" w:color="auto"/>
        <w:bottom w:val="none" w:sz="0" w:space="0" w:color="auto"/>
        <w:right w:val="none" w:sz="0" w:space="0" w:color="auto"/>
      </w:divBdr>
    </w:div>
    <w:div w:id="593319864">
      <w:bodyDiv w:val="1"/>
      <w:marLeft w:val="0"/>
      <w:marRight w:val="0"/>
      <w:marTop w:val="0"/>
      <w:marBottom w:val="0"/>
      <w:divBdr>
        <w:top w:val="none" w:sz="0" w:space="0" w:color="auto"/>
        <w:left w:val="none" w:sz="0" w:space="0" w:color="auto"/>
        <w:bottom w:val="none" w:sz="0" w:space="0" w:color="auto"/>
        <w:right w:val="none" w:sz="0" w:space="0" w:color="auto"/>
      </w:divBdr>
    </w:div>
    <w:div w:id="593321242">
      <w:bodyDiv w:val="1"/>
      <w:marLeft w:val="0"/>
      <w:marRight w:val="0"/>
      <w:marTop w:val="0"/>
      <w:marBottom w:val="0"/>
      <w:divBdr>
        <w:top w:val="none" w:sz="0" w:space="0" w:color="auto"/>
        <w:left w:val="none" w:sz="0" w:space="0" w:color="auto"/>
        <w:bottom w:val="none" w:sz="0" w:space="0" w:color="auto"/>
        <w:right w:val="none" w:sz="0" w:space="0" w:color="auto"/>
      </w:divBdr>
    </w:div>
    <w:div w:id="593326788">
      <w:bodyDiv w:val="1"/>
      <w:marLeft w:val="0"/>
      <w:marRight w:val="0"/>
      <w:marTop w:val="0"/>
      <w:marBottom w:val="0"/>
      <w:divBdr>
        <w:top w:val="none" w:sz="0" w:space="0" w:color="auto"/>
        <w:left w:val="none" w:sz="0" w:space="0" w:color="auto"/>
        <w:bottom w:val="none" w:sz="0" w:space="0" w:color="auto"/>
        <w:right w:val="none" w:sz="0" w:space="0" w:color="auto"/>
      </w:divBdr>
    </w:div>
    <w:div w:id="593366136">
      <w:bodyDiv w:val="1"/>
      <w:marLeft w:val="0"/>
      <w:marRight w:val="0"/>
      <w:marTop w:val="0"/>
      <w:marBottom w:val="0"/>
      <w:divBdr>
        <w:top w:val="none" w:sz="0" w:space="0" w:color="auto"/>
        <w:left w:val="none" w:sz="0" w:space="0" w:color="auto"/>
        <w:bottom w:val="none" w:sz="0" w:space="0" w:color="auto"/>
        <w:right w:val="none" w:sz="0" w:space="0" w:color="auto"/>
      </w:divBdr>
    </w:div>
    <w:div w:id="593392736">
      <w:bodyDiv w:val="1"/>
      <w:marLeft w:val="0"/>
      <w:marRight w:val="0"/>
      <w:marTop w:val="0"/>
      <w:marBottom w:val="0"/>
      <w:divBdr>
        <w:top w:val="none" w:sz="0" w:space="0" w:color="auto"/>
        <w:left w:val="none" w:sz="0" w:space="0" w:color="auto"/>
        <w:bottom w:val="none" w:sz="0" w:space="0" w:color="auto"/>
        <w:right w:val="none" w:sz="0" w:space="0" w:color="auto"/>
      </w:divBdr>
    </w:div>
    <w:div w:id="593435578">
      <w:bodyDiv w:val="1"/>
      <w:marLeft w:val="0"/>
      <w:marRight w:val="0"/>
      <w:marTop w:val="0"/>
      <w:marBottom w:val="0"/>
      <w:divBdr>
        <w:top w:val="none" w:sz="0" w:space="0" w:color="auto"/>
        <w:left w:val="none" w:sz="0" w:space="0" w:color="auto"/>
        <w:bottom w:val="none" w:sz="0" w:space="0" w:color="auto"/>
        <w:right w:val="none" w:sz="0" w:space="0" w:color="auto"/>
      </w:divBdr>
    </w:div>
    <w:div w:id="593441644">
      <w:bodyDiv w:val="1"/>
      <w:marLeft w:val="0"/>
      <w:marRight w:val="0"/>
      <w:marTop w:val="0"/>
      <w:marBottom w:val="0"/>
      <w:divBdr>
        <w:top w:val="none" w:sz="0" w:space="0" w:color="auto"/>
        <w:left w:val="none" w:sz="0" w:space="0" w:color="auto"/>
        <w:bottom w:val="none" w:sz="0" w:space="0" w:color="auto"/>
        <w:right w:val="none" w:sz="0" w:space="0" w:color="auto"/>
      </w:divBdr>
    </w:div>
    <w:div w:id="593443157">
      <w:bodyDiv w:val="1"/>
      <w:marLeft w:val="0"/>
      <w:marRight w:val="0"/>
      <w:marTop w:val="0"/>
      <w:marBottom w:val="0"/>
      <w:divBdr>
        <w:top w:val="none" w:sz="0" w:space="0" w:color="auto"/>
        <w:left w:val="none" w:sz="0" w:space="0" w:color="auto"/>
        <w:bottom w:val="none" w:sz="0" w:space="0" w:color="auto"/>
        <w:right w:val="none" w:sz="0" w:space="0" w:color="auto"/>
      </w:divBdr>
    </w:div>
    <w:div w:id="593630029">
      <w:bodyDiv w:val="1"/>
      <w:marLeft w:val="0"/>
      <w:marRight w:val="0"/>
      <w:marTop w:val="0"/>
      <w:marBottom w:val="0"/>
      <w:divBdr>
        <w:top w:val="none" w:sz="0" w:space="0" w:color="auto"/>
        <w:left w:val="none" w:sz="0" w:space="0" w:color="auto"/>
        <w:bottom w:val="none" w:sz="0" w:space="0" w:color="auto"/>
        <w:right w:val="none" w:sz="0" w:space="0" w:color="auto"/>
      </w:divBdr>
    </w:div>
    <w:div w:id="593632283">
      <w:bodyDiv w:val="1"/>
      <w:marLeft w:val="0"/>
      <w:marRight w:val="0"/>
      <w:marTop w:val="0"/>
      <w:marBottom w:val="0"/>
      <w:divBdr>
        <w:top w:val="none" w:sz="0" w:space="0" w:color="auto"/>
        <w:left w:val="none" w:sz="0" w:space="0" w:color="auto"/>
        <w:bottom w:val="none" w:sz="0" w:space="0" w:color="auto"/>
        <w:right w:val="none" w:sz="0" w:space="0" w:color="auto"/>
      </w:divBdr>
    </w:div>
    <w:div w:id="593713033">
      <w:bodyDiv w:val="1"/>
      <w:marLeft w:val="0"/>
      <w:marRight w:val="0"/>
      <w:marTop w:val="0"/>
      <w:marBottom w:val="0"/>
      <w:divBdr>
        <w:top w:val="none" w:sz="0" w:space="0" w:color="auto"/>
        <w:left w:val="none" w:sz="0" w:space="0" w:color="auto"/>
        <w:bottom w:val="none" w:sz="0" w:space="0" w:color="auto"/>
        <w:right w:val="none" w:sz="0" w:space="0" w:color="auto"/>
      </w:divBdr>
    </w:div>
    <w:div w:id="593822328">
      <w:bodyDiv w:val="1"/>
      <w:marLeft w:val="0"/>
      <w:marRight w:val="0"/>
      <w:marTop w:val="0"/>
      <w:marBottom w:val="0"/>
      <w:divBdr>
        <w:top w:val="none" w:sz="0" w:space="0" w:color="auto"/>
        <w:left w:val="none" w:sz="0" w:space="0" w:color="auto"/>
        <w:bottom w:val="none" w:sz="0" w:space="0" w:color="auto"/>
        <w:right w:val="none" w:sz="0" w:space="0" w:color="auto"/>
      </w:divBdr>
    </w:div>
    <w:div w:id="593975324">
      <w:bodyDiv w:val="1"/>
      <w:marLeft w:val="0"/>
      <w:marRight w:val="0"/>
      <w:marTop w:val="0"/>
      <w:marBottom w:val="0"/>
      <w:divBdr>
        <w:top w:val="none" w:sz="0" w:space="0" w:color="auto"/>
        <w:left w:val="none" w:sz="0" w:space="0" w:color="auto"/>
        <w:bottom w:val="none" w:sz="0" w:space="0" w:color="auto"/>
        <w:right w:val="none" w:sz="0" w:space="0" w:color="auto"/>
      </w:divBdr>
    </w:div>
    <w:div w:id="594021238">
      <w:bodyDiv w:val="1"/>
      <w:marLeft w:val="0"/>
      <w:marRight w:val="0"/>
      <w:marTop w:val="0"/>
      <w:marBottom w:val="0"/>
      <w:divBdr>
        <w:top w:val="none" w:sz="0" w:space="0" w:color="auto"/>
        <w:left w:val="none" w:sz="0" w:space="0" w:color="auto"/>
        <w:bottom w:val="none" w:sz="0" w:space="0" w:color="auto"/>
        <w:right w:val="none" w:sz="0" w:space="0" w:color="auto"/>
      </w:divBdr>
    </w:div>
    <w:div w:id="594050065">
      <w:bodyDiv w:val="1"/>
      <w:marLeft w:val="0"/>
      <w:marRight w:val="0"/>
      <w:marTop w:val="0"/>
      <w:marBottom w:val="0"/>
      <w:divBdr>
        <w:top w:val="none" w:sz="0" w:space="0" w:color="auto"/>
        <w:left w:val="none" w:sz="0" w:space="0" w:color="auto"/>
        <w:bottom w:val="none" w:sz="0" w:space="0" w:color="auto"/>
        <w:right w:val="none" w:sz="0" w:space="0" w:color="auto"/>
      </w:divBdr>
    </w:div>
    <w:div w:id="594166061">
      <w:bodyDiv w:val="1"/>
      <w:marLeft w:val="0"/>
      <w:marRight w:val="0"/>
      <w:marTop w:val="0"/>
      <w:marBottom w:val="0"/>
      <w:divBdr>
        <w:top w:val="none" w:sz="0" w:space="0" w:color="auto"/>
        <w:left w:val="none" w:sz="0" w:space="0" w:color="auto"/>
        <w:bottom w:val="none" w:sz="0" w:space="0" w:color="auto"/>
        <w:right w:val="none" w:sz="0" w:space="0" w:color="auto"/>
      </w:divBdr>
    </w:div>
    <w:div w:id="594168258">
      <w:bodyDiv w:val="1"/>
      <w:marLeft w:val="0"/>
      <w:marRight w:val="0"/>
      <w:marTop w:val="0"/>
      <w:marBottom w:val="0"/>
      <w:divBdr>
        <w:top w:val="none" w:sz="0" w:space="0" w:color="auto"/>
        <w:left w:val="none" w:sz="0" w:space="0" w:color="auto"/>
        <w:bottom w:val="none" w:sz="0" w:space="0" w:color="auto"/>
        <w:right w:val="none" w:sz="0" w:space="0" w:color="auto"/>
      </w:divBdr>
    </w:div>
    <w:div w:id="594173535">
      <w:bodyDiv w:val="1"/>
      <w:marLeft w:val="0"/>
      <w:marRight w:val="0"/>
      <w:marTop w:val="0"/>
      <w:marBottom w:val="0"/>
      <w:divBdr>
        <w:top w:val="none" w:sz="0" w:space="0" w:color="auto"/>
        <w:left w:val="none" w:sz="0" w:space="0" w:color="auto"/>
        <w:bottom w:val="none" w:sz="0" w:space="0" w:color="auto"/>
        <w:right w:val="none" w:sz="0" w:space="0" w:color="auto"/>
      </w:divBdr>
    </w:div>
    <w:div w:id="594245571">
      <w:bodyDiv w:val="1"/>
      <w:marLeft w:val="0"/>
      <w:marRight w:val="0"/>
      <w:marTop w:val="0"/>
      <w:marBottom w:val="0"/>
      <w:divBdr>
        <w:top w:val="none" w:sz="0" w:space="0" w:color="auto"/>
        <w:left w:val="none" w:sz="0" w:space="0" w:color="auto"/>
        <w:bottom w:val="none" w:sz="0" w:space="0" w:color="auto"/>
        <w:right w:val="none" w:sz="0" w:space="0" w:color="auto"/>
      </w:divBdr>
    </w:div>
    <w:div w:id="594288691">
      <w:bodyDiv w:val="1"/>
      <w:marLeft w:val="0"/>
      <w:marRight w:val="0"/>
      <w:marTop w:val="0"/>
      <w:marBottom w:val="0"/>
      <w:divBdr>
        <w:top w:val="none" w:sz="0" w:space="0" w:color="auto"/>
        <w:left w:val="none" w:sz="0" w:space="0" w:color="auto"/>
        <w:bottom w:val="none" w:sz="0" w:space="0" w:color="auto"/>
        <w:right w:val="none" w:sz="0" w:space="0" w:color="auto"/>
      </w:divBdr>
    </w:div>
    <w:div w:id="594289491">
      <w:bodyDiv w:val="1"/>
      <w:marLeft w:val="0"/>
      <w:marRight w:val="0"/>
      <w:marTop w:val="0"/>
      <w:marBottom w:val="0"/>
      <w:divBdr>
        <w:top w:val="none" w:sz="0" w:space="0" w:color="auto"/>
        <w:left w:val="none" w:sz="0" w:space="0" w:color="auto"/>
        <w:bottom w:val="none" w:sz="0" w:space="0" w:color="auto"/>
        <w:right w:val="none" w:sz="0" w:space="0" w:color="auto"/>
      </w:divBdr>
    </w:div>
    <w:div w:id="594358889">
      <w:bodyDiv w:val="1"/>
      <w:marLeft w:val="0"/>
      <w:marRight w:val="0"/>
      <w:marTop w:val="0"/>
      <w:marBottom w:val="0"/>
      <w:divBdr>
        <w:top w:val="none" w:sz="0" w:space="0" w:color="auto"/>
        <w:left w:val="none" w:sz="0" w:space="0" w:color="auto"/>
        <w:bottom w:val="none" w:sz="0" w:space="0" w:color="auto"/>
        <w:right w:val="none" w:sz="0" w:space="0" w:color="auto"/>
      </w:divBdr>
    </w:div>
    <w:div w:id="594486158">
      <w:bodyDiv w:val="1"/>
      <w:marLeft w:val="0"/>
      <w:marRight w:val="0"/>
      <w:marTop w:val="0"/>
      <w:marBottom w:val="0"/>
      <w:divBdr>
        <w:top w:val="none" w:sz="0" w:space="0" w:color="auto"/>
        <w:left w:val="none" w:sz="0" w:space="0" w:color="auto"/>
        <w:bottom w:val="none" w:sz="0" w:space="0" w:color="auto"/>
        <w:right w:val="none" w:sz="0" w:space="0" w:color="auto"/>
      </w:divBdr>
    </w:div>
    <w:div w:id="594553546">
      <w:bodyDiv w:val="1"/>
      <w:marLeft w:val="0"/>
      <w:marRight w:val="0"/>
      <w:marTop w:val="0"/>
      <w:marBottom w:val="0"/>
      <w:divBdr>
        <w:top w:val="none" w:sz="0" w:space="0" w:color="auto"/>
        <w:left w:val="none" w:sz="0" w:space="0" w:color="auto"/>
        <w:bottom w:val="none" w:sz="0" w:space="0" w:color="auto"/>
        <w:right w:val="none" w:sz="0" w:space="0" w:color="auto"/>
      </w:divBdr>
    </w:div>
    <w:div w:id="594553984">
      <w:bodyDiv w:val="1"/>
      <w:marLeft w:val="0"/>
      <w:marRight w:val="0"/>
      <w:marTop w:val="0"/>
      <w:marBottom w:val="0"/>
      <w:divBdr>
        <w:top w:val="none" w:sz="0" w:space="0" w:color="auto"/>
        <w:left w:val="none" w:sz="0" w:space="0" w:color="auto"/>
        <w:bottom w:val="none" w:sz="0" w:space="0" w:color="auto"/>
        <w:right w:val="none" w:sz="0" w:space="0" w:color="auto"/>
      </w:divBdr>
    </w:div>
    <w:div w:id="594554462">
      <w:bodyDiv w:val="1"/>
      <w:marLeft w:val="0"/>
      <w:marRight w:val="0"/>
      <w:marTop w:val="0"/>
      <w:marBottom w:val="0"/>
      <w:divBdr>
        <w:top w:val="none" w:sz="0" w:space="0" w:color="auto"/>
        <w:left w:val="none" w:sz="0" w:space="0" w:color="auto"/>
        <w:bottom w:val="none" w:sz="0" w:space="0" w:color="auto"/>
        <w:right w:val="none" w:sz="0" w:space="0" w:color="auto"/>
      </w:divBdr>
    </w:div>
    <w:div w:id="594628250">
      <w:bodyDiv w:val="1"/>
      <w:marLeft w:val="0"/>
      <w:marRight w:val="0"/>
      <w:marTop w:val="0"/>
      <w:marBottom w:val="0"/>
      <w:divBdr>
        <w:top w:val="none" w:sz="0" w:space="0" w:color="auto"/>
        <w:left w:val="none" w:sz="0" w:space="0" w:color="auto"/>
        <w:bottom w:val="none" w:sz="0" w:space="0" w:color="auto"/>
        <w:right w:val="none" w:sz="0" w:space="0" w:color="auto"/>
      </w:divBdr>
    </w:div>
    <w:div w:id="594632254">
      <w:bodyDiv w:val="1"/>
      <w:marLeft w:val="0"/>
      <w:marRight w:val="0"/>
      <w:marTop w:val="0"/>
      <w:marBottom w:val="0"/>
      <w:divBdr>
        <w:top w:val="none" w:sz="0" w:space="0" w:color="auto"/>
        <w:left w:val="none" w:sz="0" w:space="0" w:color="auto"/>
        <w:bottom w:val="none" w:sz="0" w:space="0" w:color="auto"/>
        <w:right w:val="none" w:sz="0" w:space="0" w:color="auto"/>
      </w:divBdr>
    </w:div>
    <w:div w:id="594633072">
      <w:bodyDiv w:val="1"/>
      <w:marLeft w:val="0"/>
      <w:marRight w:val="0"/>
      <w:marTop w:val="0"/>
      <w:marBottom w:val="0"/>
      <w:divBdr>
        <w:top w:val="none" w:sz="0" w:space="0" w:color="auto"/>
        <w:left w:val="none" w:sz="0" w:space="0" w:color="auto"/>
        <w:bottom w:val="none" w:sz="0" w:space="0" w:color="auto"/>
        <w:right w:val="none" w:sz="0" w:space="0" w:color="auto"/>
      </w:divBdr>
    </w:div>
    <w:div w:id="594635995">
      <w:bodyDiv w:val="1"/>
      <w:marLeft w:val="0"/>
      <w:marRight w:val="0"/>
      <w:marTop w:val="0"/>
      <w:marBottom w:val="0"/>
      <w:divBdr>
        <w:top w:val="none" w:sz="0" w:space="0" w:color="auto"/>
        <w:left w:val="none" w:sz="0" w:space="0" w:color="auto"/>
        <w:bottom w:val="none" w:sz="0" w:space="0" w:color="auto"/>
        <w:right w:val="none" w:sz="0" w:space="0" w:color="auto"/>
      </w:divBdr>
    </w:div>
    <w:div w:id="594675987">
      <w:bodyDiv w:val="1"/>
      <w:marLeft w:val="0"/>
      <w:marRight w:val="0"/>
      <w:marTop w:val="0"/>
      <w:marBottom w:val="0"/>
      <w:divBdr>
        <w:top w:val="none" w:sz="0" w:space="0" w:color="auto"/>
        <w:left w:val="none" w:sz="0" w:space="0" w:color="auto"/>
        <w:bottom w:val="none" w:sz="0" w:space="0" w:color="auto"/>
        <w:right w:val="none" w:sz="0" w:space="0" w:color="auto"/>
      </w:divBdr>
    </w:div>
    <w:div w:id="594751894">
      <w:bodyDiv w:val="1"/>
      <w:marLeft w:val="0"/>
      <w:marRight w:val="0"/>
      <w:marTop w:val="0"/>
      <w:marBottom w:val="0"/>
      <w:divBdr>
        <w:top w:val="none" w:sz="0" w:space="0" w:color="auto"/>
        <w:left w:val="none" w:sz="0" w:space="0" w:color="auto"/>
        <w:bottom w:val="none" w:sz="0" w:space="0" w:color="auto"/>
        <w:right w:val="none" w:sz="0" w:space="0" w:color="auto"/>
      </w:divBdr>
    </w:div>
    <w:div w:id="594829475">
      <w:bodyDiv w:val="1"/>
      <w:marLeft w:val="0"/>
      <w:marRight w:val="0"/>
      <w:marTop w:val="0"/>
      <w:marBottom w:val="0"/>
      <w:divBdr>
        <w:top w:val="none" w:sz="0" w:space="0" w:color="auto"/>
        <w:left w:val="none" w:sz="0" w:space="0" w:color="auto"/>
        <w:bottom w:val="none" w:sz="0" w:space="0" w:color="auto"/>
        <w:right w:val="none" w:sz="0" w:space="0" w:color="auto"/>
      </w:divBdr>
    </w:div>
    <w:div w:id="595014142">
      <w:bodyDiv w:val="1"/>
      <w:marLeft w:val="0"/>
      <w:marRight w:val="0"/>
      <w:marTop w:val="0"/>
      <w:marBottom w:val="0"/>
      <w:divBdr>
        <w:top w:val="none" w:sz="0" w:space="0" w:color="auto"/>
        <w:left w:val="none" w:sz="0" w:space="0" w:color="auto"/>
        <w:bottom w:val="none" w:sz="0" w:space="0" w:color="auto"/>
        <w:right w:val="none" w:sz="0" w:space="0" w:color="auto"/>
      </w:divBdr>
    </w:div>
    <w:div w:id="595014641">
      <w:bodyDiv w:val="1"/>
      <w:marLeft w:val="0"/>
      <w:marRight w:val="0"/>
      <w:marTop w:val="0"/>
      <w:marBottom w:val="0"/>
      <w:divBdr>
        <w:top w:val="none" w:sz="0" w:space="0" w:color="auto"/>
        <w:left w:val="none" w:sz="0" w:space="0" w:color="auto"/>
        <w:bottom w:val="none" w:sz="0" w:space="0" w:color="auto"/>
        <w:right w:val="none" w:sz="0" w:space="0" w:color="auto"/>
      </w:divBdr>
    </w:div>
    <w:div w:id="595095150">
      <w:bodyDiv w:val="1"/>
      <w:marLeft w:val="0"/>
      <w:marRight w:val="0"/>
      <w:marTop w:val="0"/>
      <w:marBottom w:val="0"/>
      <w:divBdr>
        <w:top w:val="none" w:sz="0" w:space="0" w:color="auto"/>
        <w:left w:val="none" w:sz="0" w:space="0" w:color="auto"/>
        <w:bottom w:val="none" w:sz="0" w:space="0" w:color="auto"/>
        <w:right w:val="none" w:sz="0" w:space="0" w:color="auto"/>
      </w:divBdr>
    </w:div>
    <w:div w:id="595211550">
      <w:bodyDiv w:val="1"/>
      <w:marLeft w:val="0"/>
      <w:marRight w:val="0"/>
      <w:marTop w:val="0"/>
      <w:marBottom w:val="0"/>
      <w:divBdr>
        <w:top w:val="none" w:sz="0" w:space="0" w:color="auto"/>
        <w:left w:val="none" w:sz="0" w:space="0" w:color="auto"/>
        <w:bottom w:val="none" w:sz="0" w:space="0" w:color="auto"/>
        <w:right w:val="none" w:sz="0" w:space="0" w:color="auto"/>
      </w:divBdr>
    </w:div>
    <w:div w:id="595284726">
      <w:bodyDiv w:val="1"/>
      <w:marLeft w:val="0"/>
      <w:marRight w:val="0"/>
      <w:marTop w:val="0"/>
      <w:marBottom w:val="0"/>
      <w:divBdr>
        <w:top w:val="none" w:sz="0" w:space="0" w:color="auto"/>
        <w:left w:val="none" w:sz="0" w:space="0" w:color="auto"/>
        <w:bottom w:val="none" w:sz="0" w:space="0" w:color="auto"/>
        <w:right w:val="none" w:sz="0" w:space="0" w:color="auto"/>
      </w:divBdr>
    </w:div>
    <w:div w:id="595286023">
      <w:bodyDiv w:val="1"/>
      <w:marLeft w:val="0"/>
      <w:marRight w:val="0"/>
      <w:marTop w:val="0"/>
      <w:marBottom w:val="0"/>
      <w:divBdr>
        <w:top w:val="none" w:sz="0" w:space="0" w:color="auto"/>
        <w:left w:val="none" w:sz="0" w:space="0" w:color="auto"/>
        <w:bottom w:val="none" w:sz="0" w:space="0" w:color="auto"/>
        <w:right w:val="none" w:sz="0" w:space="0" w:color="auto"/>
      </w:divBdr>
    </w:div>
    <w:div w:id="595329525">
      <w:bodyDiv w:val="1"/>
      <w:marLeft w:val="0"/>
      <w:marRight w:val="0"/>
      <w:marTop w:val="0"/>
      <w:marBottom w:val="0"/>
      <w:divBdr>
        <w:top w:val="none" w:sz="0" w:space="0" w:color="auto"/>
        <w:left w:val="none" w:sz="0" w:space="0" w:color="auto"/>
        <w:bottom w:val="none" w:sz="0" w:space="0" w:color="auto"/>
        <w:right w:val="none" w:sz="0" w:space="0" w:color="auto"/>
      </w:divBdr>
    </w:div>
    <w:div w:id="595332770">
      <w:bodyDiv w:val="1"/>
      <w:marLeft w:val="0"/>
      <w:marRight w:val="0"/>
      <w:marTop w:val="0"/>
      <w:marBottom w:val="0"/>
      <w:divBdr>
        <w:top w:val="none" w:sz="0" w:space="0" w:color="auto"/>
        <w:left w:val="none" w:sz="0" w:space="0" w:color="auto"/>
        <w:bottom w:val="none" w:sz="0" w:space="0" w:color="auto"/>
        <w:right w:val="none" w:sz="0" w:space="0" w:color="auto"/>
      </w:divBdr>
    </w:div>
    <w:div w:id="595333233">
      <w:bodyDiv w:val="1"/>
      <w:marLeft w:val="0"/>
      <w:marRight w:val="0"/>
      <w:marTop w:val="0"/>
      <w:marBottom w:val="0"/>
      <w:divBdr>
        <w:top w:val="none" w:sz="0" w:space="0" w:color="auto"/>
        <w:left w:val="none" w:sz="0" w:space="0" w:color="auto"/>
        <w:bottom w:val="none" w:sz="0" w:space="0" w:color="auto"/>
        <w:right w:val="none" w:sz="0" w:space="0" w:color="auto"/>
      </w:divBdr>
    </w:div>
    <w:div w:id="595554962">
      <w:bodyDiv w:val="1"/>
      <w:marLeft w:val="0"/>
      <w:marRight w:val="0"/>
      <w:marTop w:val="0"/>
      <w:marBottom w:val="0"/>
      <w:divBdr>
        <w:top w:val="none" w:sz="0" w:space="0" w:color="auto"/>
        <w:left w:val="none" w:sz="0" w:space="0" w:color="auto"/>
        <w:bottom w:val="none" w:sz="0" w:space="0" w:color="auto"/>
        <w:right w:val="none" w:sz="0" w:space="0" w:color="auto"/>
      </w:divBdr>
    </w:div>
    <w:div w:id="595601761">
      <w:bodyDiv w:val="1"/>
      <w:marLeft w:val="0"/>
      <w:marRight w:val="0"/>
      <w:marTop w:val="0"/>
      <w:marBottom w:val="0"/>
      <w:divBdr>
        <w:top w:val="none" w:sz="0" w:space="0" w:color="auto"/>
        <w:left w:val="none" w:sz="0" w:space="0" w:color="auto"/>
        <w:bottom w:val="none" w:sz="0" w:space="0" w:color="auto"/>
        <w:right w:val="none" w:sz="0" w:space="0" w:color="auto"/>
      </w:divBdr>
    </w:div>
    <w:div w:id="595671913">
      <w:bodyDiv w:val="1"/>
      <w:marLeft w:val="0"/>
      <w:marRight w:val="0"/>
      <w:marTop w:val="0"/>
      <w:marBottom w:val="0"/>
      <w:divBdr>
        <w:top w:val="none" w:sz="0" w:space="0" w:color="auto"/>
        <w:left w:val="none" w:sz="0" w:space="0" w:color="auto"/>
        <w:bottom w:val="none" w:sz="0" w:space="0" w:color="auto"/>
        <w:right w:val="none" w:sz="0" w:space="0" w:color="auto"/>
      </w:divBdr>
    </w:div>
    <w:div w:id="595869198">
      <w:bodyDiv w:val="1"/>
      <w:marLeft w:val="0"/>
      <w:marRight w:val="0"/>
      <w:marTop w:val="0"/>
      <w:marBottom w:val="0"/>
      <w:divBdr>
        <w:top w:val="none" w:sz="0" w:space="0" w:color="auto"/>
        <w:left w:val="none" w:sz="0" w:space="0" w:color="auto"/>
        <w:bottom w:val="none" w:sz="0" w:space="0" w:color="auto"/>
        <w:right w:val="none" w:sz="0" w:space="0" w:color="auto"/>
      </w:divBdr>
    </w:div>
    <w:div w:id="595941241">
      <w:bodyDiv w:val="1"/>
      <w:marLeft w:val="0"/>
      <w:marRight w:val="0"/>
      <w:marTop w:val="0"/>
      <w:marBottom w:val="0"/>
      <w:divBdr>
        <w:top w:val="none" w:sz="0" w:space="0" w:color="auto"/>
        <w:left w:val="none" w:sz="0" w:space="0" w:color="auto"/>
        <w:bottom w:val="none" w:sz="0" w:space="0" w:color="auto"/>
        <w:right w:val="none" w:sz="0" w:space="0" w:color="auto"/>
      </w:divBdr>
    </w:div>
    <w:div w:id="596060824">
      <w:bodyDiv w:val="1"/>
      <w:marLeft w:val="0"/>
      <w:marRight w:val="0"/>
      <w:marTop w:val="0"/>
      <w:marBottom w:val="0"/>
      <w:divBdr>
        <w:top w:val="none" w:sz="0" w:space="0" w:color="auto"/>
        <w:left w:val="none" w:sz="0" w:space="0" w:color="auto"/>
        <w:bottom w:val="none" w:sz="0" w:space="0" w:color="auto"/>
        <w:right w:val="none" w:sz="0" w:space="0" w:color="auto"/>
      </w:divBdr>
    </w:div>
    <w:div w:id="596131964">
      <w:bodyDiv w:val="1"/>
      <w:marLeft w:val="0"/>
      <w:marRight w:val="0"/>
      <w:marTop w:val="0"/>
      <w:marBottom w:val="0"/>
      <w:divBdr>
        <w:top w:val="none" w:sz="0" w:space="0" w:color="auto"/>
        <w:left w:val="none" w:sz="0" w:space="0" w:color="auto"/>
        <w:bottom w:val="none" w:sz="0" w:space="0" w:color="auto"/>
        <w:right w:val="none" w:sz="0" w:space="0" w:color="auto"/>
      </w:divBdr>
    </w:div>
    <w:div w:id="596182647">
      <w:bodyDiv w:val="1"/>
      <w:marLeft w:val="0"/>
      <w:marRight w:val="0"/>
      <w:marTop w:val="0"/>
      <w:marBottom w:val="0"/>
      <w:divBdr>
        <w:top w:val="none" w:sz="0" w:space="0" w:color="auto"/>
        <w:left w:val="none" w:sz="0" w:space="0" w:color="auto"/>
        <w:bottom w:val="none" w:sz="0" w:space="0" w:color="auto"/>
        <w:right w:val="none" w:sz="0" w:space="0" w:color="auto"/>
      </w:divBdr>
    </w:div>
    <w:div w:id="596213519">
      <w:bodyDiv w:val="1"/>
      <w:marLeft w:val="0"/>
      <w:marRight w:val="0"/>
      <w:marTop w:val="0"/>
      <w:marBottom w:val="0"/>
      <w:divBdr>
        <w:top w:val="none" w:sz="0" w:space="0" w:color="auto"/>
        <w:left w:val="none" w:sz="0" w:space="0" w:color="auto"/>
        <w:bottom w:val="none" w:sz="0" w:space="0" w:color="auto"/>
        <w:right w:val="none" w:sz="0" w:space="0" w:color="auto"/>
      </w:divBdr>
    </w:div>
    <w:div w:id="596250742">
      <w:bodyDiv w:val="1"/>
      <w:marLeft w:val="0"/>
      <w:marRight w:val="0"/>
      <w:marTop w:val="0"/>
      <w:marBottom w:val="0"/>
      <w:divBdr>
        <w:top w:val="none" w:sz="0" w:space="0" w:color="auto"/>
        <w:left w:val="none" w:sz="0" w:space="0" w:color="auto"/>
        <w:bottom w:val="none" w:sz="0" w:space="0" w:color="auto"/>
        <w:right w:val="none" w:sz="0" w:space="0" w:color="auto"/>
      </w:divBdr>
    </w:div>
    <w:div w:id="596333545">
      <w:bodyDiv w:val="1"/>
      <w:marLeft w:val="0"/>
      <w:marRight w:val="0"/>
      <w:marTop w:val="0"/>
      <w:marBottom w:val="0"/>
      <w:divBdr>
        <w:top w:val="none" w:sz="0" w:space="0" w:color="auto"/>
        <w:left w:val="none" w:sz="0" w:space="0" w:color="auto"/>
        <w:bottom w:val="none" w:sz="0" w:space="0" w:color="auto"/>
        <w:right w:val="none" w:sz="0" w:space="0" w:color="auto"/>
      </w:divBdr>
    </w:div>
    <w:div w:id="596404038">
      <w:bodyDiv w:val="1"/>
      <w:marLeft w:val="0"/>
      <w:marRight w:val="0"/>
      <w:marTop w:val="0"/>
      <w:marBottom w:val="0"/>
      <w:divBdr>
        <w:top w:val="none" w:sz="0" w:space="0" w:color="auto"/>
        <w:left w:val="none" w:sz="0" w:space="0" w:color="auto"/>
        <w:bottom w:val="none" w:sz="0" w:space="0" w:color="auto"/>
        <w:right w:val="none" w:sz="0" w:space="0" w:color="auto"/>
      </w:divBdr>
    </w:div>
    <w:div w:id="596445861">
      <w:bodyDiv w:val="1"/>
      <w:marLeft w:val="0"/>
      <w:marRight w:val="0"/>
      <w:marTop w:val="0"/>
      <w:marBottom w:val="0"/>
      <w:divBdr>
        <w:top w:val="none" w:sz="0" w:space="0" w:color="auto"/>
        <w:left w:val="none" w:sz="0" w:space="0" w:color="auto"/>
        <w:bottom w:val="none" w:sz="0" w:space="0" w:color="auto"/>
        <w:right w:val="none" w:sz="0" w:space="0" w:color="auto"/>
      </w:divBdr>
    </w:div>
    <w:div w:id="596448732">
      <w:bodyDiv w:val="1"/>
      <w:marLeft w:val="0"/>
      <w:marRight w:val="0"/>
      <w:marTop w:val="0"/>
      <w:marBottom w:val="0"/>
      <w:divBdr>
        <w:top w:val="none" w:sz="0" w:space="0" w:color="auto"/>
        <w:left w:val="none" w:sz="0" w:space="0" w:color="auto"/>
        <w:bottom w:val="none" w:sz="0" w:space="0" w:color="auto"/>
        <w:right w:val="none" w:sz="0" w:space="0" w:color="auto"/>
      </w:divBdr>
    </w:div>
    <w:div w:id="596524747">
      <w:bodyDiv w:val="1"/>
      <w:marLeft w:val="0"/>
      <w:marRight w:val="0"/>
      <w:marTop w:val="0"/>
      <w:marBottom w:val="0"/>
      <w:divBdr>
        <w:top w:val="none" w:sz="0" w:space="0" w:color="auto"/>
        <w:left w:val="none" w:sz="0" w:space="0" w:color="auto"/>
        <w:bottom w:val="none" w:sz="0" w:space="0" w:color="auto"/>
        <w:right w:val="none" w:sz="0" w:space="0" w:color="auto"/>
      </w:divBdr>
    </w:div>
    <w:div w:id="596596962">
      <w:bodyDiv w:val="1"/>
      <w:marLeft w:val="0"/>
      <w:marRight w:val="0"/>
      <w:marTop w:val="0"/>
      <w:marBottom w:val="0"/>
      <w:divBdr>
        <w:top w:val="none" w:sz="0" w:space="0" w:color="auto"/>
        <w:left w:val="none" w:sz="0" w:space="0" w:color="auto"/>
        <w:bottom w:val="none" w:sz="0" w:space="0" w:color="auto"/>
        <w:right w:val="none" w:sz="0" w:space="0" w:color="auto"/>
      </w:divBdr>
    </w:div>
    <w:div w:id="596789329">
      <w:bodyDiv w:val="1"/>
      <w:marLeft w:val="0"/>
      <w:marRight w:val="0"/>
      <w:marTop w:val="0"/>
      <w:marBottom w:val="0"/>
      <w:divBdr>
        <w:top w:val="none" w:sz="0" w:space="0" w:color="auto"/>
        <w:left w:val="none" w:sz="0" w:space="0" w:color="auto"/>
        <w:bottom w:val="none" w:sz="0" w:space="0" w:color="auto"/>
        <w:right w:val="none" w:sz="0" w:space="0" w:color="auto"/>
      </w:divBdr>
    </w:div>
    <w:div w:id="596793513">
      <w:bodyDiv w:val="1"/>
      <w:marLeft w:val="0"/>
      <w:marRight w:val="0"/>
      <w:marTop w:val="0"/>
      <w:marBottom w:val="0"/>
      <w:divBdr>
        <w:top w:val="none" w:sz="0" w:space="0" w:color="auto"/>
        <w:left w:val="none" w:sz="0" w:space="0" w:color="auto"/>
        <w:bottom w:val="none" w:sz="0" w:space="0" w:color="auto"/>
        <w:right w:val="none" w:sz="0" w:space="0" w:color="auto"/>
      </w:divBdr>
    </w:div>
    <w:div w:id="596985854">
      <w:bodyDiv w:val="1"/>
      <w:marLeft w:val="0"/>
      <w:marRight w:val="0"/>
      <w:marTop w:val="0"/>
      <w:marBottom w:val="0"/>
      <w:divBdr>
        <w:top w:val="none" w:sz="0" w:space="0" w:color="auto"/>
        <w:left w:val="none" w:sz="0" w:space="0" w:color="auto"/>
        <w:bottom w:val="none" w:sz="0" w:space="0" w:color="auto"/>
        <w:right w:val="none" w:sz="0" w:space="0" w:color="auto"/>
      </w:divBdr>
    </w:div>
    <w:div w:id="596987020">
      <w:bodyDiv w:val="1"/>
      <w:marLeft w:val="0"/>
      <w:marRight w:val="0"/>
      <w:marTop w:val="0"/>
      <w:marBottom w:val="0"/>
      <w:divBdr>
        <w:top w:val="none" w:sz="0" w:space="0" w:color="auto"/>
        <w:left w:val="none" w:sz="0" w:space="0" w:color="auto"/>
        <w:bottom w:val="none" w:sz="0" w:space="0" w:color="auto"/>
        <w:right w:val="none" w:sz="0" w:space="0" w:color="auto"/>
      </w:divBdr>
    </w:div>
    <w:div w:id="596988573">
      <w:bodyDiv w:val="1"/>
      <w:marLeft w:val="0"/>
      <w:marRight w:val="0"/>
      <w:marTop w:val="0"/>
      <w:marBottom w:val="0"/>
      <w:divBdr>
        <w:top w:val="none" w:sz="0" w:space="0" w:color="auto"/>
        <w:left w:val="none" w:sz="0" w:space="0" w:color="auto"/>
        <w:bottom w:val="none" w:sz="0" w:space="0" w:color="auto"/>
        <w:right w:val="none" w:sz="0" w:space="0" w:color="auto"/>
      </w:divBdr>
    </w:div>
    <w:div w:id="597103273">
      <w:bodyDiv w:val="1"/>
      <w:marLeft w:val="0"/>
      <w:marRight w:val="0"/>
      <w:marTop w:val="0"/>
      <w:marBottom w:val="0"/>
      <w:divBdr>
        <w:top w:val="none" w:sz="0" w:space="0" w:color="auto"/>
        <w:left w:val="none" w:sz="0" w:space="0" w:color="auto"/>
        <w:bottom w:val="none" w:sz="0" w:space="0" w:color="auto"/>
        <w:right w:val="none" w:sz="0" w:space="0" w:color="auto"/>
      </w:divBdr>
    </w:div>
    <w:div w:id="597173350">
      <w:bodyDiv w:val="1"/>
      <w:marLeft w:val="0"/>
      <w:marRight w:val="0"/>
      <w:marTop w:val="0"/>
      <w:marBottom w:val="0"/>
      <w:divBdr>
        <w:top w:val="none" w:sz="0" w:space="0" w:color="auto"/>
        <w:left w:val="none" w:sz="0" w:space="0" w:color="auto"/>
        <w:bottom w:val="none" w:sz="0" w:space="0" w:color="auto"/>
        <w:right w:val="none" w:sz="0" w:space="0" w:color="auto"/>
      </w:divBdr>
    </w:div>
    <w:div w:id="597256622">
      <w:bodyDiv w:val="1"/>
      <w:marLeft w:val="0"/>
      <w:marRight w:val="0"/>
      <w:marTop w:val="0"/>
      <w:marBottom w:val="0"/>
      <w:divBdr>
        <w:top w:val="none" w:sz="0" w:space="0" w:color="auto"/>
        <w:left w:val="none" w:sz="0" w:space="0" w:color="auto"/>
        <w:bottom w:val="none" w:sz="0" w:space="0" w:color="auto"/>
        <w:right w:val="none" w:sz="0" w:space="0" w:color="auto"/>
      </w:divBdr>
    </w:div>
    <w:div w:id="597295880">
      <w:bodyDiv w:val="1"/>
      <w:marLeft w:val="0"/>
      <w:marRight w:val="0"/>
      <w:marTop w:val="0"/>
      <w:marBottom w:val="0"/>
      <w:divBdr>
        <w:top w:val="none" w:sz="0" w:space="0" w:color="auto"/>
        <w:left w:val="none" w:sz="0" w:space="0" w:color="auto"/>
        <w:bottom w:val="none" w:sz="0" w:space="0" w:color="auto"/>
        <w:right w:val="none" w:sz="0" w:space="0" w:color="auto"/>
      </w:divBdr>
    </w:div>
    <w:div w:id="597300708">
      <w:bodyDiv w:val="1"/>
      <w:marLeft w:val="0"/>
      <w:marRight w:val="0"/>
      <w:marTop w:val="0"/>
      <w:marBottom w:val="0"/>
      <w:divBdr>
        <w:top w:val="none" w:sz="0" w:space="0" w:color="auto"/>
        <w:left w:val="none" w:sz="0" w:space="0" w:color="auto"/>
        <w:bottom w:val="none" w:sz="0" w:space="0" w:color="auto"/>
        <w:right w:val="none" w:sz="0" w:space="0" w:color="auto"/>
      </w:divBdr>
    </w:div>
    <w:div w:id="597520588">
      <w:bodyDiv w:val="1"/>
      <w:marLeft w:val="0"/>
      <w:marRight w:val="0"/>
      <w:marTop w:val="0"/>
      <w:marBottom w:val="0"/>
      <w:divBdr>
        <w:top w:val="none" w:sz="0" w:space="0" w:color="auto"/>
        <w:left w:val="none" w:sz="0" w:space="0" w:color="auto"/>
        <w:bottom w:val="none" w:sz="0" w:space="0" w:color="auto"/>
        <w:right w:val="none" w:sz="0" w:space="0" w:color="auto"/>
      </w:divBdr>
    </w:div>
    <w:div w:id="597523554">
      <w:bodyDiv w:val="1"/>
      <w:marLeft w:val="0"/>
      <w:marRight w:val="0"/>
      <w:marTop w:val="0"/>
      <w:marBottom w:val="0"/>
      <w:divBdr>
        <w:top w:val="none" w:sz="0" w:space="0" w:color="auto"/>
        <w:left w:val="none" w:sz="0" w:space="0" w:color="auto"/>
        <w:bottom w:val="none" w:sz="0" w:space="0" w:color="auto"/>
        <w:right w:val="none" w:sz="0" w:space="0" w:color="auto"/>
      </w:divBdr>
    </w:div>
    <w:div w:id="597714130">
      <w:bodyDiv w:val="1"/>
      <w:marLeft w:val="0"/>
      <w:marRight w:val="0"/>
      <w:marTop w:val="0"/>
      <w:marBottom w:val="0"/>
      <w:divBdr>
        <w:top w:val="none" w:sz="0" w:space="0" w:color="auto"/>
        <w:left w:val="none" w:sz="0" w:space="0" w:color="auto"/>
        <w:bottom w:val="none" w:sz="0" w:space="0" w:color="auto"/>
        <w:right w:val="none" w:sz="0" w:space="0" w:color="auto"/>
      </w:divBdr>
    </w:div>
    <w:div w:id="597904716">
      <w:bodyDiv w:val="1"/>
      <w:marLeft w:val="0"/>
      <w:marRight w:val="0"/>
      <w:marTop w:val="0"/>
      <w:marBottom w:val="0"/>
      <w:divBdr>
        <w:top w:val="none" w:sz="0" w:space="0" w:color="auto"/>
        <w:left w:val="none" w:sz="0" w:space="0" w:color="auto"/>
        <w:bottom w:val="none" w:sz="0" w:space="0" w:color="auto"/>
        <w:right w:val="none" w:sz="0" w:space="0" w:color="auto"/>
      </w:divBdr>
    </w:div>
    <w:div w:id="597906302">
      <w:bodyDiv w:val="1"/>
      <w:marLeft w:val="0"/>
      <w:marRight w:val="0"/>
      <w:marTop w:val="0"/>
      <w:marBottom w:val="0"/>
      <w:divBdr>
        <w:top w:val="none" w:sz="0" w:space="0" w:color="auto"/>
        <w:left w:val="none" w:sz="0" w:space="0" w:color="auto"/>
        <w:bottom w:val="none" w:sz="0" w:space="0" w:color="auto"/>
        <w:right w:val="none" w:sz="0" w:space="0" w:color="auto"/>
      </w:divBdr>
    </w:div>
    <w:div w:id="597951528">
      <w:bodyDiv w:val="1"/>
      <w:marLeft w:val="0"/>
      <w:marRight w:val="0"/>
      <w:marTop w:val="0"/>
      <w:marBottom w:val="0"/>
      <w:divBdr>
        <w:top w:val="none" w:sz="0" w:space="0" w:color="auto"/>
        <w:left w:val="none" w:sz="0" w:space="0" w:color="auto"/>
        <w:bottom w:val="none" w:sz="0" w:space="0" w:color="auto"/>
        <w:right w:val="none" w:sz="0" w:space="0" w:color="auto"/>
      </w:divBdr>
    </w:div>
    <w:div w:id="597954258">
      <w:bodyDiv w:val="1"/>
      <w:marLeft w:val="0"/>
      <w:marRight w:val="0"/>
      <w:marTop w:val="0"/>
      <w:marBottom w:val="0"/>
      <w:divBdr>
        <w:top w:val="none" w:sz="0" w:space="0" w:color="auto"/>
        <w:left w:val="none" w:sz="0" w:space="0" w:color="auto"/>
        <w:bottom w:val="none" w:sz="0" w:space="0" w:color="auto"/>
        <w:right w:val="none" w:sz="0" w:space="0" w:color="auto"/>
      </w:divBdr>
    </w:div>
    <w:div w:id="598099209">
      <w:bodyDiv w:val="1"/>
      <w:marLeft w:val="0"/>
      <w:marRight w:val="0"/>
      <w:marTop w:val="0"/>
      <w:marBottom w:val="0"/>
      <w:divBdr>
        <w:top w:val="none" w:sz="0" w:space="0" w:color="auto"/>
        <w:left w:val="none" w:sz="0" w:space="0" w:color="auto"/>
        <w:bottom w:val="none" w:sz="0" w:space="0" w:color="auto"/>
        <w:right w:val="none" w:sz="0" w:space="0" w:color="auto"/>
      </w:divBdr>
    </w:div>
    <w:div w:id="598224268">
      <w:bodyDiv w:val="1"/>
      <w:marLeft w:val="0"/>
      <w:marRight w:val="0"/>
      <w:marTop w:val="0"/>
      <w:marBottom w:val="0"/>
      <w:divBdr>
        <w:top w:val="none" w:sz="0" w:space="0" w:color="auto"/>
        <w:left w:val="none" w:sz="0" w:space="0" w:color="auto"/>
        <w:bottom w:val="none" w:sz="0" w:space="0" w:color="auto"/>
        <w:right w:val="none" w:sz="0" w:space="0" w:color="auto"/>
      </w:divBdr>
    </w:div>
    <w:div w:id="598290744">
      <w:bodyDiv w:val="1"/>
      <w:marLeft w:val="0"/>
      <w:marRight w:val="0"/>
      <w:marTop w:val="0"/>
      <w:marBottom w:val="0"/>
      <w:divBdr>
        <w:top w:val="none" w:sz="0" w:space="0" w:color="auto"/>
        <w:left w:val="none" w:sz="0" w:space="0" w:color="auto"/>
        <w:bottom w:val="none" w:sz="0" w:space="0" w:color="auto"/>
        <w:right w:val="none" w:sz="0" w:space="0" w:color="auto"/>
      </w:divBdr>
    </w:div>
    <w:div w:id="598296403">
      <w:bodyDiv w:val="1"/>
      <w:marLeft w:val="0"/>
      <w:marRight w:val="0"/>
      <w:marTop w:val="0"/>
      <w:marBottom w:val="0"/>
      <w:divBdr>
        <w:top w:val="none" w:sz="0" w:space="0" w:color="auto"/>
        <w:left w:val="none" w:sz="0" w:space="0" w:color="auto"/>
        <w:bottom w:val="none" w:sz="0" w:space="0" w:color="auto"/>
        <w:right w:val="none" w:sz="0" w:space="0" w:color="auto"/>
      </w:divBdr>
    </w:div>
    <w:div w:id="598371023">
      <w:bodyDiv w:val="1"/>
      <w:marLeft w:val="0"/>
      <w:marRight w:val="0"/>
      <w:marTop w:val="0"/>
      <w:marBottom w:val="0"/>
      <w:divBdr>
        <w:top w:val="none" w:sz="0" w:space="0" w:color="auto"/>
        <w:left w:val="none" w:sz="0" w:space="0" w:color="auto"/>
        <w:bottom w:val="none" w:sz="0" w:space="0" w:color="auto"/>
        <w:right w:val="none" w:sz="0" w:space="0" w:color="auto"/>
      </w:divBdr>
    </w:div>
    <w:div w:id="598412361">
      <w:bodyDiv w:val="1"/>
      <w:marLeft w:val="0"/>
      <w:marRight w:val="0"/>
      <w:marTop w:val="0"/>
      <w:marBottom w:val="0"/>
      <w:divBdr>
        <w:top w:val="none" w:sz="0" w:space="0" w:color="auto"/>
        <w:left w:val="none" w:sz="0" w:space="0" w:color="auto"/>
        <w:bottom w:val="none" w:sz="0" w:space="0" w:color="auto"/>
        <w:right w:val="none" w:sz="0" w:space="0" w:color="auto"/>
      </w:divBdr>
    </w:div>
    <w:div w:id="598413994">
      <w:bodyDiv w:val="1"/>
      <w:marLeft w:val="0"/>
      <w:marRight w:val="0"/>
      <w:marTop w:val="0"/>
      <w:marBottom w:val="0"/>
      <w:divBdr>
        <w:top w:val="none" w:sz="0" w:space="0" w:color="auto"/>
        <w:left w:val="none" w:sz="0" w:space="0" w:color="auto"/>
        <w:bottom w:val="none" w:sz="0" w:space="0" w:color="auto"/>
        <w:right w:val="none" w:sz="0" w:space="0" w:color="auto"/>
      </w:divBdr>
    </w:div>
    <w:div w:id="598416058">
      <w:bodyDiv w:val="1"/>
      <w:marLeft w:val="0"/>
      <w:marRight w:val="0"/>
      <w:marTop w:val="0"/>
      <w:marBottom w:val="0"/>
      <w:divBdr>
        <w:top w:val="none" w:sz="0" w:space="0" w:color="auto"/>
        <w:left w:val="none" w:sz="0" w:space="0" w:color="auto"/>
        <w:bottom w:val="none" w:sz="0" w:space="0" w:color="auto"/>
        <w:right w:val="none" w:sz="0" w:space="0" w:color="auto"/>
      </w:divBdr>
    </w:div>
    <w:div w:id="598441530">
      <w:bodyDiv w:val="1"/>
      <w:marLeft w:val="0"/>
      <w:marRight w:val="0"/>
      <w:marTop w:val="0"/>
      <w:marBottom w:val="0"/>
      <w:divBdr>
        <w:top w:val="none" w:sz="0" w:space="0" w:color="auto"/>
        <w:left w:val="none" w:sz="0" w:space="0" w:color="auto"/>
        <w:bottom w:val="none" w:sz="0" w:space="0" w:color="auto"/>
        <w:right w:val="none" w:sz="0" w:space="0" w:color="auto"/>
      </w:divBdr>
    </w:div>
    <w:div w:id="598561285">
      <w:bodyDiv w:val="1"/>
      <w:marLeft w:val="0"/>
      <w:marRight w:val="0"/>
      <w:marTop w:val="0"/>
      <w:marBottom w:val="0"/>
      <w:divBdr>
        <w:top w:val="none" w:sz="0" w:space="0" w:color="auto"/>
        <w:left w:val="none" w:sz="0" w:space="0" w:color="auto"/>
        <w:bottom w:val="none" w:sz="0" w:space="0" w:color="auto"/>
        <w:right w:val="none" w:sz="0" w:space="0" w:color="auto"/>
      </w:divBdr>
    </w:div>
    <w:div w:id="598564274">
      <w:bodyDiv w:val="1"/>
      <w:marLeft w:val="0"/>
      <w:marRight w:val="0"/>
      <w:marTop w:val="0"/>
      <w:marBottom w:val="0"/>
      <w:divBdr>
        <w:top w:val="none" w:sz="0" w:space="0" w:color="auto"/>
        <w:left w:val="none" w:sz="0" w:space="0" w:color="auto"/>
        <w:bottom w:val="none" w:sz="0" w:space="0" w:color="auto"/>
        <w:right w:val="none" w:sz="0" w:space="0" w:color="auto"/>
      </w:divBdr>
    </w:div>
    <w:div w:id="598637000">
      <w:bodyDiv w:val="1"/>
      <w:marLeft w:val="0"/>
      <w:marRight w:val="0"/>
      <w:marTop w:val="0"/>
      <w:marBottom w:val="0"/>
      <w:divBdr>
        <w:top w:val="none" w:sz="0" w:space="0" w:color="auto"/>
        <w:left w:val="none" w:sz="0" w:space="0" w:color="auto"/>
        <w:bottom w:val="none" w:sz="0" w:space="0" w:color="auto"/>
        <w:right w:val="none" w:sz="0" w:space="0" w:color="auto"/>
      </w:divBdr>
    </w:div>
    <w:div w:id="598679783">
      <w:bodyDiv w:val="1"/>
      <w:marLeft w:val="0"/>
      <w:marRight w:val="0"/>
      <w:marTop w:val="0"/>
      <w:marBottom w:val="0"/>
      <w:divBdr>
        <w:top w:val="none" w:sz="0" w:space="0" w:color="auto"/>
        <w:left w:val="none" w:sz="0" w:space="0" w:color="auto"/>
        <w:bottom w:val="none" w:sz="0" w:space="0" w:color="auto"/>
        <w:right w:val="none" w:sz="0" w:space="0" w:color="auto"/>
      </w:divBdr>
    </w:div>
    <w:div w:id="598681926">
      <w:bodyDiv w:val="1"/>
      <w:marLeft w:val="0"/>
      <w:marRight w:val="0"/>
      <w:marTop w:val="0"/>
      <w:marBottom w:val="0"/>
      <w:divBdr>
        <w:top w:val="none" w:sz="0" w:space="0" w:color="auto"/>
        <w:left w:val="none" w:sz="0" w:space="0" w:color="auto"/>
        <w:bottom w:val="none" w:sz="0" w:space="0" w:color="auto"/>
        <w:right w:val="none" w:sz="0" w:space="0" w:color="auto"/>
      </w:divBdr>
    </w:div>
    <w:div w:id="598686744">
      <w:bodyDiv w:val="1"/>
      <w:marLeft w:val="0"/>
      <w:marRight w:val="0"/>
      <w:marTop w:val="0"/>
      <w:marBottom w:val="0"/>
      <w:divBdr>
        <w:top w:val="none" w:sz="0" w:space="0" w:color="auto"/>
        <w:left w:val="none" w:sz="0" w:space="0" w:color="auto"/>
        <w:bottom w:val="none" w:sz="0" w:space="0" w:color="auto"/>
        <w:right w:val="none" w:sz="0" w:space="0" w:color="auto"/>
      </w:divBdr>
    </w:div>
    <w:div w:id="598754104">
      <w:bodyDiv w:val="1"/>
      <w:marLeft w:val="0"/>
      <w:marRight w:val="0"/>
      <w:marTop w:val="0"/>
      <w:marBottom w:val="0"/>
      <w:divBdr>
        <w:top w:val="none" w:sz="0" w:space="0" w:color="auto"/>
        <w:left w:val="none" w:sz="0" w:space="0" w:color="auto"/>
        <w:bottom w:val="none" w:sz="0" w:space="0" w:color="auto"/>
        <w:right w:val="none" w:sz="0" w:space="0" w:color="auto"/>
      </w:divBdr>
    </w:div>
    <w:div w:id="598756271">
      <w:bodyDiv w:val="1"/>
      <w:marLeft w:val="0"/>
      <w:marRight w:val="0"/>
      <w:marTop w:val="0"/>
      <w:marBottom w:val="0"/>
      <w:divBdr>
        <w:top w:val="none" w:sz="0" w:space="0" w:color="auto"/>
        <w:left w:val="none" w:sz="0" w:space="0" w:color="auto"/>
        <w:bottom w:val="none" w:sz="0" w:space="0" w:color="auto"/>
        <w:right w:val="none" w:sz="0" w:space="0" w:color="auto"/>
      </w:divBdr>
    </w:div>
    <w:div w:id="598875205">
      <w:bodyDiv w:val="1"/>
      <w:marLeft w:val="0"/>
      <w:marRight w:val="0"/>
      <w:marTop w:val="0"/>
      <w:marBottom w:val="0"/>
      <w:divBdr>
        <w:top w:val="none" w:sz="0" w:space="0" w:color="auto"/>
        <w:left w:val="none" w:sz="0" w:space="0" w:color="auto"/>
        <w:bottom w:val="none" w:sz="0" w:space="0" w:color="auto"/>
        <w:right w:val="none" w:sz="0" w:space="0" w:color="auto"/>
      </w:divBdr>
    </w:div>
    <w:div w:id="598876445">
      <w:bodyDiv w:val="1"/>
      <w:marLeft w:val="0"/>
      <w:marRight w:val="0"/>
      <w:marTop w:val="0"/>
      <w:marBottom w:val="0"/>
      <w:divBdr>
        <w:top w:val="none" w:sz="0" w:space="0" w:color="auto"/>
        <w:left w:val="none" w:sz="0" w:space="0" w:color="auto"/>
        <w:bottom w:val="none" w:sz="0" w:space="0" w:color="auto"/>
        <w:right w:val="none" w:sz="0" w:space="0" w:color="auto"/>
      </w:divBdr>
    </w:div>
    <w:div w:id="598948267">
      <w:bodyDiv w:val="1"/>
      <w:marLeft w:val="0"/>
      <w:marRight w:val="0"/>
      <w:marTop w:val="0"/>
      <w:marBottom w:val="0"/>
      <w:divBdr>
        <w:top w:val="none" w:sz="0" w:space="0" w:color="auto"/>
        <w:left w:val="none" w:sz="0" w:space="0" w:color="auto"/>
        <w:bottom w:val="none" w:sz="0" w:space="0" w:color="auto"/>
        <w:right w:val="none" w:sz="0" w:space="0" w:color="auto"/>
      </w:divBdr>
    </w:div>
    <w:div w:id="599064595">
      <w:bodyDiv w:val="1"/>
      <w:marLeft w:val="0"/>
      <w:marRight w:val="0"/>
      <w:marTop w:val="0"/>
      <w:marBottom w:val="0"/>
      <w:divBdr>
        <w:top w:val="none" w:sz="0" w:space="0" w:color="auto"/>
        <w:left w:val="none" w:sz="0" w:space="0" w:color="auto"/>
        <w:bottom w:val="none" w:sz="0" w:space="0" w:color="auto"/>
        <w:right w:val="none" w:sz="0" w:space="0" w:color="auto"/>
      </w:divBdr>
    </w:div>
    <w:div w:id="599070679">
      <w:bodyDiv w:val="1"/>
      <w:marLeft w:val="0"/>
      <w:marRight w:val="0"/>
      <w:marTop w:val="0"/>
      <w:marBottom w:val="0"/>
      <w:divBdr>
        <w:top w:val="none" w:sz="0" w:space="0" w:color="auto"/>
        <w:left w:val="none" w:sz="0" w:space="0" w:color="auto"/>
        <w:bottom w:val="none" w:sz="0" w:space="0" w:color="auto"/>
        <w:right w:val="none" w:sz="0" w:space="0" w:color="auto"/>
      </w:divBdr>
    </w:div>
    <w:div w:id="599290540">
      <w:bodyDiv w:val="1"/>
      <w:marLeft w:val="0"/>
      <w:marRight w:val="0"/>
      <w:marTop w:val="0"/>
      <w:marBottom w:val="0"/>
      <w:divBdr>
        <w:top w:val="none" w:sz="0" w:space="0" w:color="auto"/>
        <w:left w:val="none" w:sz="0" w:space="0" w:color="auto"/>
        <w:bottom w:val="none" w:sz="0" w:space="0" w:color="auto"/>
        <w:right w:val="none" w:sz="0" w:space="0" w:color="auto"/>
      </w:divBdr>
    </w:div>
    <w:div w:id="599336998">
      <w:bodyDiv w:val="1"/>
      <w:marLeft w:val="0"/>
      <w:marRight w:val="0"/>
      <w:marTop w:val="0"/>
      <w:marBottom w:val="0"/>
      <w:divBdr>
        <w:top w:val="none" w:sz="0" w:space="0" w:color="auto"/>
        <w:left w:val="none" w:sz="0" w:space="0" w:color="auto"/>
        <w:bottom w:val="none" w:sz="0" w:space="0" w:color="auto"/>
        <w:right w:val="none" w:sz="0" w:space="0" w:color="auto"/>
      </w:divBdr>
    </w:div>
    <w:div w:id="599338065">
      <w:bodyDiv w:val="1"/>
      <w:marLeft w:val="0"/>
      <w:marRight w:val="0"/>
      <w:marTop w:val="0"/>
      <w:marBottom w:val="0"/>
      <w:divBdr>
        <w:top w:val="none" w:sz="0" w:space="0" w:color="auto"/>
        <w:left w:val="none" w:sz="0" w:space="0" w:color="auto"/>
        <w:bottom w:val="none" w:sz="0" w:space="0" w:color="auto"/>
        <w:right w:val="none" w:sz="0" w:space="0" w:color="auto"/>
      </w:divBdr>
    </w:div>
    <w:div w:id="599340788">
      <w:bodyDiv w:val="1"/>
      <w:marLeft w:val="0"/>
      <w:marRight w:val="0"/>
      <w:marTop w:val="0"/>
      <w:marBottom w:val="0"/>
      <w:divBdr>
        <w:top w:val="none" w:sz="0" w:space="0" w:color="auto"/>
        <w:left w:val="none" w:sz="0" w:space="0" w:color="auto"/>
        <w:bottom w:val="none" w:sz="0" w:space="0" w:color="auto"/>
        <w:right w:val="none" w:sz="0" w:space="0" w:color="auto"/>
      </w:divBdr>
    </w:div>
    <w:div w:id="599340807">
      <w:bodyDiv w:val="1"/>
      <w:marLeft w:val="0"/>
      <w:marRight w:val="0"/>
      <w:marTop w:val="0"/>
      <w:marBottom w:val="0"/>
      <w:divBdr>
        <w:top w:val="none" w:sz="0" w:space="0" w:color="auto"/>
        <w:left w:val="none" w:sz="0" w:space="0" w:color="auto"/>
        <w:bottom w:val="none" w:sz="0" w:space="0" w:color="auto"/>
        <w:right w:val="none" w:sz="0" w:space="0" w:color="auto"/>
      </w:divBdr>
    </w:div>
    <w:div w:id="599408770">
      <w:bodyDiv w:val="1"/>
      <w:marLeft w:val="0"/>
      <w:marRight w:val="0"/>
      <w:marTop w:val="0"/>
      <w:marBottom w:val="0"/>
      <w:divBdr>
        <w:top w:val="none" w:sz="0" w:space="0" w:color="auto"/>
        <w:left w:val="none" w:sz="0" w:space="0" w:color="auto"/>
        <w:bottom w:val="none" w:sz="0" w:space="0" w:color="auto"/>
        <w:right w:val="none" w:sz="0" w:space="0" w:color="auto"/>
      </w:divBdr>
    </w:div>
    <w:div w:id="599415785">
      <w:bodyDiv w:val="1"/>
      <w:marLeft w:val="0"/>
      <w:marRight w:val="0"/>
      <w:marTop w:val="0"/>
      <w:marBottom w:val="0"/>
      <w:divBdr>
        <w:top w:val="none" w:sz="0" w:space="0" w:color="auto"/>
        <w:left w:val="none" w:sz="0" w:space="0" w:color="auto"/>
        <w:bottom w:val="none" w:sz="0" w:space="0" w:color="auto"/>
        <w:right w:val="none" w:sz="0" w:space="0" w:color="auto"/>
      </w:divBdr>
    </w:div>
    <w:div w:id="599417415">
      <w:bodyDiv w:val="1"/>
      <w:marLeft w:val="0"/>
      <w:marRight w:val="0"/>
      <w:marTop w:val="0"/>
      <w:marBottom w:val="0"/>
      <w:divBdr>
        <w:top w:val="none" w:sz="0" w:space="0" w:color="auto"/>
        <w:left w:val="none" w:sz="0" w:space="0" w:color="auto"/>
        <w:bottom w:val="none" w:sz="0" w:space="0" w:color="auto"/>
        <w:right w:val="none" w:sz="0" w:space="0" w:color="auto"/>
      </w:divBdr>
    </w:div>
    <w:div w:id="599488951">
      <w:bodyDiv w:val="1"/>
      <w:marLeft w:val="0"/>
      <w:marRight w:val="0"/>
      <w:marTop w:val="0"/>
      <w:marBottom w:val="0"/>
      <w:divBdr>
        <w:top w:val="none" w:sz="0" w:space="0" w:color="auto"/>
        <w:left w:val="none" w:sz="0" w:space="0" w:color="auto"/>
        <w:bottom w:val="none" w:sz="0" w:space="0" w:color="auto"/>
        <w:right w:val="none" w:sz="0" w:space="0" w:color="auto"/>
      </w:divBdr>
    </w:div>
    <w:div w:id="599489580">
      <w:bodyDiv w:val="1"/>
      <w:marLeft w:val="0"/>
      <w:marRight w:val="0"/>
      <w:marTop w:val="0"/>
      <w:marBottom w:val="0"/>
      <w:divBdr>
        <w:top w:val="none" w:sz="0" w:space="0" w:color="auto"/>
        <w:left w:val="none" w:sz="0" w:space="0" w:color="auto"/>
        <w:bottom w:val="none" w:sz="0" w:space="0" w:color="auto"/>
        <w:right w:val="none" w:sz="0" w:space="0" w:color="auto"/>
      </w:divBdr>
    </w:div>
    <w:div w:id="599679515">
      <w:bodyDiv w:val="1"/>
      <w:marLeft w:val="0"/>
      <w:marRight w:val="0"/>
      <w:marTop w:val="0"/>
      <w:marBottom w:val="0"/>
      <w:divBdr>
        <w:top w:val="none" w:sz="0" w:space="0" w:color="auto"/>
        <w:left w:val="none" w:sz="0" w:space="0" w:color="auto"/>
        <w:bottom w:val="none" w:sz="0" w:space="0" w:color="auto"/>
        <w:right w:val="none" w:sz="0" w:space="0" w:color="auto"/>
      </w:divBdr>
    </w:div>
    <w:div w:id="599679628">
      <w:bodyDiv w:val="1"/>
      <w:marLeft w:val="0"/>
      <w:marRight w:val="0"/>
      <w:marTop w:val="0"/>
      <w:marBottom w:val="0"/>
      <w:divBdr>
        <w:top w:val="none" w:sz="0" w:space="0" w:color="auto"/>
        <w:left w:val="none" w:sz="0" w:space="0" w:color="auto"/>
        <w:bottom w:val="none" w:sz="0" w:space="0" w:color="auto"/>
        <w:right w:val="none" w:sz="0" w:space="0" w:color="auto"/>
      </w:divBdr>
    </w:div>
    <w:div w:id="599681528">
      <w:bodyDiv w:val="1"/>
      <w:marLeft w:val="0"/>
      <w:marRight w:val="0"/>
      <w:marTop w:val="0"/>
      <w:marBottom w:val="0"/>
      <w:divBdr>
        <w:top w:val="none" w:sz="0" w:space="0" w:color="auto"/>
        <w:left w:val="none" w:sz="0" w:space="0" w:color="auto"/>
        <w:bottom w:val="none" w:sz="0" w:space="0" w:color="auto"/>
        <w:right w:val="none" w:sz="0" w:space="0" w:color="auto"/>
      </w:divBdr>
    </w:div>
    <w:div w:id="599681750">
      <w:bodyDiv w:val="1"/>
      <w:marLeft w:val="0"/>
      <w:marRight w:val="0"/>
      <w:marTop w:val="0"/>
      <w:marBottom w:val="0"/>
      <w:divBdr>
        <w:top w:val="none" w:sz="0" w:space="0" w:color="auto"/>
        <w:left w:val="none" w:sz="0" w:space="0" w:color="auto"/>
        <w:bottom w:val="none" w:sz="0" w:space="0" w:color="auto"/>
        <w:right w:val="none" w:sz="0" w:space="0" w:color="auto"/>
      </w:divBdr>
    </w:div>
    <w:div w:id="599684255">
      <w:bodyDiv w:val="1"/>
      <w:marLeft w:val="0"/>
      <w:marRight w:val="0"/>
      <w:marTop w:val="0"/>
      <w:marBottom w:val="0"/>
      <w:divBdr>
        <w:top w:val="none" w:sz="0" w:space="0" w:color="auto"/>
        <w:left w:val="none" w:sz="0" w:space="0" w:color="auto"/>
        <w:bottom w:val="none" w:sz="0" w:space="0" w:color="auto"/>
        <w:right w:val="none" w:sz="0" w:space="0" w:color="auto"/>
      </w:divBdr>
    </w:div>
    <w:div w:id="599727754">
      <w:bodyDiv w:val="1"/>
      <w:marLeft w:val="0"/>
      <w:marRight w:val="0"/>
      <w:marTop w:val="0"/>
      <w:marBottom w:val="0"/>
      <w:divBdr>
        <w:top w:val="none" w:sz="0" w:space="0" w:color="auto"/>
        <w:left w:val="none" w:sz="0" w:space="0" w:color="auto"/>
        <w:bottom w:val="none" w:sz="0" w:space="0" w:color="auto"/>
        <w:right w:val="none" w:sz="0" w:space="0" w:color="auto"/>
      </w:divBdr>
    </w:div>
    <w:div w:id="599752422">
      <w:bodyDiv w:val="1"/>
      <w:marLeft w:val="0"/>
      <w:marRight w:val="0"/>
      <w:marTop w:val="0"/>
      <w:marBottom w:val="0"/>
      <w:divBdr>
        <w:top w:val="none" w:sz="0" w:space="0" w:color="auto"/>
        <w:left w:val="none" w:sz="0" w:space="0" w:color="auto"/>
        <w:bottom w:val="none" w:sz="0" w:space="0" w:color="auto"/>
        <w:right w:val="none" w:sz="0" w:space="0" w:color="auto"/>
      </w:divBdr>
    </w:div>
    <w:div w:id="599875123">
      <w:bodyDiv w:val="1"/>
      <w:marLeft w:val="0"/>
      <w:marRight w:val="0"/>
      <w:marTop w:val="0"/>
      <w:marBottom w:val="0"/>
      <w:divBdr>
        <w:top w:val="none" w:sz="0" w:space="0" w:color="auto"/>
        <w:left w:val="none" w:sz="0" w:space="0" w:color="auto"/>
        <w:bottom w:val="none" w:sz="0" w:space="0" w:color="auto"/>
        <w:right w:val="none" w:sz="0" w:space="0" w:color="auto"/>
      </w:divBdr>
    </w:div>
    <w:div w:id="599918492">
      <w:bodyDiv w:val="1"/>
      <w:marLeft w:val="0"/>
      <w:marRight w:val="0"/>
      <w:marTop w:val="0"/>
      <w:marBottom w:val="0"/>
      <w:divBdr>
        <w:top w:val="none" w:sz="0" w:space="0" w:color="auto"/>
        <w:left w:val="none" w:sz="0" w:space="0" w:color="auto"/>
        <w:bottom w:val="none" w:sz="0" w:space="0" w:color="auto"/>
        <w:right w:val="none" w:sz="0" w:space="0" w:color="auto"/>
      </w:divBdr>
    </w:div>
    <w:div w:id="599988761">
      <w:bodyDiv w:val="1"/>
      <w:marLeft w:val="0"/>
      <w:marRight w:val="0"/>
      <w:marTop w:val="0"/>
      <w:marBottom w:val="0"/>
      <w:divBdr>
        <w:top w:val="none" w:sz="0" w:space="0" w:color="auto"/>
        <w:left w:val="none" w:sz="0" w:space="0" w:color="auto"/>
        <w:bottom w:val="none" w:sz="0" w:space="0" w:color="auto"/>
        <w:right w:val="none" w:sz="0" w:space="0" w:color="auto"/>
      </w:divBdr>
    </w:div>
    <w:div w:id="599995950">
      <w:bodyDiv w:val="1"/>
      <w:marLeft w:val="0"/>
      <w:marRight w:val="0"/>
      <w:marTop w:val="0"/>
      <w:marBottom w:val="0"/>
      <w:divBdr>
        <w:top w:val="none" w:sz="0" w:space="0" w:color="auto"/>
        <w:left w:val="none" w:sz="0" w:space="0" w:color="auto"/>
        <w:bottom w:val="none" w:sz="0" w:space="0" w:color="auto"/>
        <w:right w:val="none" w:sz="0" w:space="0" w:color="auto"/>
      </w:divBdr>
    </w:div>
    <w:div w:id="600069056">
      <w:bodyDiv w:val="1"/>
      <w:marLeft w:val="0"/>
      <w:marRight w:val="0"/>
      <w:marTop w:val="0"/>
      <w:marBottom w:val="0"/>
      <w:divBdr>
        <w:top w:val="none" w:sz="0" w:space="0" w:color="auto"/>
        <w:left w:val="none" w:sz="0" w:space="0" w:color="auto"/>
        <w:bottom w:val="none" w:sz="0" w:space="0" w:color="auto"/>
        <w:right w:val="none" w:sz="0" w:space="0" w:color="auto"/>
      </w:divBdr>
    </w:div>
    <w:div w:id="600257915">
      <w:bodyDiv w:val="1"/>
      <w:marLeft w:val="0"/>
      <w:marRight w:val="0"/>
      <w:marTop w:val="0"/>
      <w:marBottom w:val="0"/>
      <w:divBdr>
        <w:top w:val="none" w:sz="0" w:space="0" w:color="auto"/>
        <w:left w:val="none" w:sz="0" w:space="0" w:color="auto"/>
        <w:bottom w:val="none" w:sz="0" w:space="0" w:color="auto"/>
        <w:right w:val="none" w:sz="0" w:space="0" w:color="auto"/>
      </w:divBdr>
    </w:div>
    <w:div w:id="600376622">
      <w:bodyDiv w:val="1"/>
      <w:marLeft w:val="0"/>
      <w:marRight w:val="0"/>
      <w:marTop w:val="0"/>
      <w:marBottom w:val="0"/>
      <w:divBdr>
        <w:top w:val="none" w:sz="0" w:space="0" w:color="auto"/>
        <w:left w:val="none" w:sz="0" w:space="0" w:color="auto"/>
        <w:bottom w:val="none" w:sz="0" w:space="0" w:color="auto"/>
        <w:right w:val="none" w:sz="0" w:space="0" w:color="auto"/>
      </w:divBdr>
    </w:div>
    <w:div w:id="600377653">
      <w:bodyDiv w:val="1"/>
      <w:marLeft w:val="0"/>
      <w:marRight w:val="0"/>
      <w:marTop w:val="0"/>
      <w:marBottom w:val="0"/>
      <w:divBdr>
        <w:top w:val="none" w:sz="0" w:space="0" w:color="auto"/>
        <w:left w:val="none" w:sz="0" w:space="0" w:color="auto"/>
        <w:bottom w:val="none" w:sz="0" w:space="0" w:color="auto"/>
        <w:right w:val="none" w:sz="0" w:space="0" w:color="auto"/>
      </w:divBdr>
    </w:div>
    <w:div w:id="600378748">
      <w:bodyDiv w:val="1"/>
      <w:marLeft w:val="0"/>
      <w:marRight w:val="0"/>
      <w:marTop w:val="0"/>
      <w:marBottom w:val="0"/>
      <w:divBdr>
        <w:top w:val="none" w:sz="0" w:space="0" w:color="auto"/>
        <w:left w:val="none" w:sz="0" w:space="0" w:color="auto"/>
        <w:bottom w:val="none" w:sz="0" w:space="0" w:color="auto"/>
        <w:right w:val="none" w:sz="0" w:space="0" w:color="auto"/>
      </w:divBdr>
    </w:div>
    <w:div w:id="600452271">
      <w:bodyDiv w:val="1"/>
      <w:marLeft w:val="0"/>
      <w:marRight w:val="0"/>
      <w:marTop w:val="0"/>
      <w:marBottom w:val="0"/>
      <w:divBdr>
        <w:top w:val="none" w:sz="0" w:space="0" w:color="auto"/>
        <w:left w:val="none" w:sz="0" w:space="0" w:color="auto"/>
        <w:bottom w:val="none" w:sz="0" w:space="0" w:color="auto"/>
        <w:right w:val="none" w:sz="0" w:space="0" w:color="auto"/>
      </w:divBdr>
    </w:div>
    <w:div w:id="600644311">
      <w:bodyDiv w:val="1"/>
      <w:marLeft w:val="0"/>
      <w:marRight w:val="0"/>
      <w:marTop w:val="0"/>
      <w:marBottom w:val="0"/>
      <w:divBdr>
        <w:top w:val="none" w:sz="0" w:space="0" w:color="auto"/>
        <w:left w:val="none" w:sz="0" w:space="0" w:color="auto"/>
        <w:bottom w:val="none" w:sz="0" w:space="0" w:color="auto"/>
        <w:right w:val="none" w:sz="0" w:space="0" w:color="auto"/>
      </w:divBdr>
    </w:div>
    <w:div w:id="600915736">
      <w:bodyDiv w:val="1"/>
      <w:marLeft w:val="0"/>
      <w:marRight w:val="0"/>
      <w:marTop w:val="0"/>
      <w:marBottom w:val="0"/>
      <w:divBdr>
        <w:top w:val="none" w:sz="0" w:space="0" w:color="auto"/>
        <w:left w:val="none" w:sz="0" w:space="0" w:color="auto"/>
        <w:bottom w:val="none" w:sz="0" w:space="0" w:color="auto"/>
        <w:right w:val="none" w:sz="0" w:space="0" w:color="auto"/>
      </w:divBdr>
    </w:div>
    <w:div w:id="601033040">
      <w:bodyDiv w:val="1"/>
      <w:marLeft w:val="0"/>
      <w:marRight w:val="0"/>
      <w:marTop w:val="0"/>
      <w:marBottom w:val="0"/>
      <w:divBdr>
        <w:top w:val="none" w:sz="0" w:space="0" w:color="auto"/>
        <w:left w:val="none" w:sz="0" w:space="0" w:color="auto"/>
        <w:bottom w:val="none" w:sz="0" w:space="0" w:color="auto"/>
        <w:right w:val="none" w:sz="0" w:space="0" w:color="auto"/>
      </w:divBdr>
    </w:div>
    <w:div w:id="601062302">
      <w:bodyDiv w:val="1"/>
      <w:marLeft w:val="0"/>
      <w:marRight w:val="0"/>
      <w:marTop w:val="0"/>
      <w:marBottom w:val="0"/>
      <w:divBdr>
        <w:top w:val="none" w:sz="0" w:space="0" w:color="auto"/>
        <w:left w:val="none" w:sz="0" w:space="0" w:color="auto"/>
        <w:bottom w:val="none" w:sz="0" w:space="0" w:color="auto"/>
        <w:right w:val="none" w:sz="0" w:space="0" w:color="auto"/>
      </w:divBdr>
    </w:div>
    <w:div w:id="601106794">
      <w:bodyDiv w:val="1"/>
      <w:marLeft w:val="0"/>
      <w:marRight w:val="0"/>
      <w:marTop w:val="0"/>
      <w:marBottom w:val="0"/>
      <w:divBdr>
        <w:top w:val="none" w:sz="0" w:space="0" w:color="auto"/>
        <w:left w:val="none" w:sz="0" w:space="0" w:color="auto"/>
        <w:bottom w:val="none" w:sz="0" w:space="0" w:color="auto"/>
        <w:right w:val="none" w:sz="0" w:space="0" w:color="auto"/>
      </w:divBdr>
    </w:div>
    <w:div w:id="601188728">
      <w:bodyDiv w:val="1"/>
      <w:marLeft w:val="0"/>
      <w:marRight w:val="0"/>
      <w:marTop w:val="0"/>
      <w:marBottom w:val="0"/>
      <w:divBdr>
        <w:top w:val="none" w:sz="0" w:space="0" w:color="auto"/>
        <w:left w:val="none" w:sz="0" w:space="0" w:color="auto"/>
        <w:bottom w:val="none" w:sz="0" w:space="0" w:color="auto"/>
        <w:right w:val="none" w:sz="0" w:space="0" w:color="auto"/>
      </w:divBdr>
    </w:div>
    <w:div w:id="601188942">
      <w:bodyDiv w:val="1"/>
      <w:marLeft w:val="0"/>
      <w:marRight w:val="0"/>
      <w:marTop w:val="0"/>
      <w:marBottom w:val="0"/>
      <w:divBdr>
        <w:top w:val="none" w:sz="0" w:space="0" w:color="auto"/>
        <w:left w:val="none" w:sz="0" w:space="0" w:color="auto"/>
        <w:bottom w:val="none" w:sz="0" w:space="0" w:color="auto"/>
        <w:right w:val="none" w:sz="0" w:space="0" w:color="auto"/>
      </w:divBdr>
    </w:div>
    <w:div w:id="601229775">
      <w:bodyDiv w:val="1"/>
      <w:marLeft w:val="0"/>
      <w:marRight w:val="0"/>
      <w:marTop w:val="0"/>
      <w:marBottom w:val="0"/>
      <w:divBdr>
        <w:top w:val="none" w:sz="0" w:space="0" w:color="auto"/>
        <w:left w:val="none" w:sz="0" w:space="0" w:color="auto"/>
        <w:bottom w:val="none" w:sz="0" w:space="0" w:color="auto"/>
        <w:right w:val="none" w:sz="0" w:space="0" w:color="auto"/>
      </w:divBdr>
    </w:div>
    <w:div w:id="601231474">
      <w:bodyDiv w:val="1"/>
      <w:marLeft w:val="0"/>
      <w:marRight w:val="0"/>
      <w:marTop w:val="0"/>
      <w:marBottom w:val="0"/>
      <w:divBdr>
        <w:top w:val="none" w:sz="0" w:space="0" w:color="auto"/>
        <w:left w:val="none" w:sz="0" w:space="0" w:color="auto"/>
        <w:bottom w:val="none" w:sz="0" w:space="0" w:color="auto"/>
        <w:right w:val="none" w:sz="0" w:space="0" w:color="auto"/>
      </w:divBdr>
    </w:div>
    <w:div w:id="601259856">
      <w:bodyDiv w:val="1"/>
      <w:marLeft w:val="0"/>
      <w:marRight w:val="0"/>
      <w:marTop w:val="0"/>
      <w:marBottom w:val="0"/>
      <w:divBdr>
        <w:top w:val="none" w:sz="0" w:space="0" w:color="auto"/>
        <w:left w:val="none" w:sz="0" w:space="0" w:color="auto"/>
        <w:bottom w:val="none" w:sz="0" w:space="0" w:color="auto"/>
        <w:right w:val="none" w:sz="0" w:space="0" w:color="auto"/>
      </w:divBdr>
    </w:div>
    <w:div w:id="601496735">
      <w:bodyDiv w:val="1"/>
      <w:marLeft w:val="0"/>
      <w:marRight w:val="0"/>
      <w:marTop w:val="0"/>
      <w:marBottom w:val="0"/>
      <w:divBdr>
        <w:top w:val="none" w:sz="0" w:space="0" w:color="auto"/>
        <w:left w:val="none" w:sz="0" w:space="0" w:color="auto"/>
        <w:bottom w:val="none" w:sz="0" w:space="0" w:color="auto"/>
        <w:right w:val="none" w:sz="0" w:space="0" w:color="auto"/>
      </w:divBdr>
    </w:div>
    <w:div w:id="601498558">
      <w:bodyDiv w:val="1"/>
      <w:marLeft w:val="0"/>
      <w:marRight w:val="0"/>
      <w:marTop w:val="0"/>
      <w:marBottom w:val="0"/>
      <w:divBdr>
        <w:top w:val="none" w:sz="0" w:space="0" w:color="auto"/>
        <w:left w:val="none" w:sz="0" w:space="0" w:color="auto"/>
        <w:bottom w:val="none" w:sz="0" w:space="0" w:color="auto"/>
        <w:right w:val="none" w:sz="0" w:space="0" w:color="auto"/>
      </w:divBdr>
    </w:div>
    <w:div w:id="601499793">
      <w:bodyDiv w:val="1"/>
      <w:marLeft w:val="0"/>
      <w:marRight w:val="0"/>
      <w:marTop w:val="0"/>
      <w:marBottom w:val="0"/>
      <w:divBdr>
        <w:top w:val="none" w:sz="0" w:space="0" w:color="auto"/>
        <w:left w:val="none" w:sz="0" w:space="0" w:color="auto"/>
        <w:bottom w:val="none" w:sz="0" w:space="0" w:color="auto"/>
        <w:right w:val="none" w:sz="0" w:space="0" w:color="auto"/>
      </w:divBdr>
    </w:div>
    <w:div w:id="601567916">
      <w:bodyDiv w:val="1"/>
      <w:marLeft w:val="0"/>
      <w:marRight w:val="0"/>
      <w:marTop w:val="0"/>
      <w:marBottom w:val="0"/>
      <w:divBdr>
        <w:top w:val="none" w:sz="0" w:space="0" w:color="auto"/>
        <w:left w:val="none" w:sz="0" w:space="0" w:color="auto"/>
        <w:bottom w:val="none" w:sz="0" w:space="0" w:color="auto"/>
        <w:right w:val="none" w:sz="0" w:space="0" w:color="auto"/>
      </w:divBdr>
    </w:div>
    <w:div w:id="601690961">
      <w:bodyDiv w:val="1"/>
      <w:marLeft w:val="0"/>
      <w:marRight w:val="0"/>
      <w:marTop w:val="0"/>
      <w:marBottom w:val="0"/>
      <w:divBdr>
        <w:top w:val="none" w:sz="0" w:space="0" w:color="auto"/>
        <w:left w:val="none" w:sz="0" w:space="0" w:color="auto"/>
        <w:bottom w:val="none" w:sz="0" w:space="0" w:color="auto"/>
        <w:right w:val="none" w:sz="0" w:space="0" w:color="auto"/>
      </w:divBdr>
    </w:div>
    <w:div w:id="601691966">
      <w:bodyDiv w:val="1"/>
      <w:marLeft w:val="0"/>
      <w:marRight w:val="0"/>
      <w:marTop w:val="0"/>
      <w:marBottom w:val="0"/>
      <w:divBdr>
        <w:top w:val="none" w:sz="0" w:space="0" w:color="auto"/>
        <w:left w:val="none" w:sz="0" w:space="0" w:color="auto"/>
        <w:bottom w:val="none" w:sz="0" w:space="0" w:color="auto"/>
        <w:right w:val="none" w:sz="0" w:space="0" w:color="auto"/>
      </w:divBdr>
    </w:div>
    <w:div w:id="601763164">
      <w:bodyDiv w:val="1"/>
      <w:marLeft w:val="0"/>
      <w:marRight w:val="0"/>
      <w:marTop w:val="0"/>
      <w:marBottom w:val="0"/>
      <w:divBdr>
        <w:top w:val="none" w:sz="0" w:space="0" w:color="auto"/>
        <w:left w:val="none" w:sz="0" w:space="0" w:color="auto"/>
        <w:bottom w:val="none" w:sz="0" w:space="0" w:color="auto"/>
        <w:right w:val="none" w:sz="0" w:space="0" w:color="auto"/>
      </w:divBdr>
    </w:div>
    <w:div w:id="601766660">
      <w:bodyDiv w:val="1"/>
      <w:marLeft w:val="0"/>
      <w:marRight w:val="0"/>
      <w:marTop w:val="0"/>
      <w:marBottom w:val="0"/>
      <w:divBdr>
        <w:top w:val="none" w:sz="0" w:space="0" w:color="auto"/>
        <w:left w:val="none" w:sz="0" w:space="0" w:color="auto"/>
        <w:bottom w:val="none" w:sz="0" w:space="0" w:color="auto"/>
        <w:right w:val="none" w:sz="0" w:space="0" w:color="auto"/>
      </w:divBdr>
    </w:div>
    <w:div w:id="601841270">
      <w:bodyDiv w:val="1"/>
      <w:marLeft w:val="0"/>
      <w:marRight w:val="0"/>
      <w:marTop w:val="0"/>
      <w:marBottom w:val="0"/>
      <w:divBdr>
        <w:top w:val="none" w:sz="0" w:space="0" w:color="auto"/>
        <w:left w:val="none" w:sz="0" w:space="0" w:color="auto"/>
        <w:bottom w:val="none" w:sz="0" w:space="0" w:color="auto"/>
        <w:right w:val="none" w:sz="0" w:space="0" w:color="auto"/>
      </w:divBdr>
    </w:div>
    <w:div w:id="601845106">
      <w:bodyDiv w:val="1"/>
      <w:marLeft w:val="0"/>
      <w:marRight w:val="0"/>
      <w:marTop w:val="0"/>
      <w:marBottom w:val="0"/>
      <w:divBdr>
        <w:top w:val="none" w:sz="0" w:space="0" w:color="auto"/>
        <w:left w:val="none" w:sz="0" w:space="0" w:color="auto"/>
        <w:bottom w:val="none" w:sz="0" w:space="0" w:color="auto"/>
        <w:right w:val="none" w:sz="0" w:space="0" w:color="auto"/>
      </w:divBdr>
    </w:div>
    <w:div w:id="602229977">
      <w:bodyDiv w:val="1"/>
      <w:marLeft w:val="0"/>
      <w:marRight w:val="0"/>
      <w:marTop w:val="0"/>
      <w:marBottom w:val="0"/>
      <w:divBdr>
        <w:top w:val="none" w:sz="0" w:space="0" w:color="auto"/>
        <w:left w:val="none" w:sz="0" w:space="0" w:color="auto"/>
        <w:bottom w:val="none" w:sz="0" w:space="0" w:color="auto"/>
        <w:right w:val="none" w:sz="0" w:space="0" w:color="auto"/>
      </w:divBdr>
    </w:div>
    <w:div w:id="602301156">
      <w:bodyDiv w:val="1"/>
      <w:marLeft w:val="0"/>
      <w:marRight w:val="0"/>
      <w:marTop w:val="0"/>
      <w:marBottom w:val="0"/>
      <w:divBdr>
        <w:top w:val="none" w:sz="0" w:space="0" w:color="auto"/>
        <w:left w:val="none" w:sz="0" w:space="0" w:color="auto"/>
        <w:bottom w:val="none" w:sz="0" w:space="0" w:color="auto"/>
        <w:right w:val="none" w:sz="0" w:space="0" w:color="auto"/>
      </w:divBdr>
    </w:div>
    <w:div w:id="602347225">
      <w:bodyDiv w:val="1"/>
      <w:marLeft w:val="0"/>
      <w:marRight w:val="0"/>
      <w:marTop w:val="0"/>
      <w:marBottom w:val="0"/>
      <w:divBdr>
        <w:top w:val="none" w:sz="0" w:space="0" w:color="auto"/>
        <w:left w:val="none" w:sz="0" w:space="0" w:color="auto"/>
        <w:bottom w:val="none" w:sz="0" w:space="0" w:color="auto"/>
        <w:right w:val="none" w:sz="0" w:space="0" w:color="auto"/>
      </w:divBdr>
    </w:div>
    <w:div w:id="602419676">
      <w:bodyDiv w:val="1"/>
      <w:marLeft w:val="0"/>
      <w:marRight w:val="0"/>
      <w:marTop w:val="0"/>
      <w:marBottom w:val="0"/>
      <w:divBdr>
        <w:top w:val="none" w:sz="0" w:space="0" w:color="auto"/>
        <w:left w:val="none" w:sz="0" w:space="0" w:color="auto"/>
        <w:bottom w:val="none" w:sz="0" w:space="0" w:color="auto"/>
        <w:right w:val="none" w:sz="0" w:space="0" w:color="auto"/>
      </w:divBdr>
    </w:div>
    <w:div w:id="602420181">
      <w:bodyDiv w:val="1"/>
      <w:marLeft w:val="0"/>
      <w:marRight w:val="0"/>
      <w:marTop w:val="0"/>
      <w:marBottom w:val="0"/>
      <w:divBdr>
        <w:top w:val="none" w:sz="0" w:space="0" w:color="auto"/>
        <w:left w:val="none" w:sz="0" w:space="0" w:color="auto"/>
        <w:bottom w:val="none" w:sz="0" w:space="0" w:color="auto"/>
        <w:right w:val="none" w:sz="0" w:space="0" w:color="auto"/>
      </w:divBdr>
    </w:div>
    <w:div w:id="602422030">
      <w:bodyDiv w:val="1"/>
      <w:marLeft w:val="0"/>
      <w:marRight w:val="0"/>
      <w:marTop w:val="0"/>
      <w:marBottom w:val="0"/>
      <w:divBdr>
        <w:top w:val="none" w:sz="0" w:space="0" w:color="auto"/>
        <w:left w:val="none" w:sz="0" w:space="0" w:color="auto"/>
        <w:bottom w:val="none" w:sz="0" w:space="0" w:color="auto"/>
        <w:right w:val="none" w:sz="0" w:space="0" w:color="auto"/>
      </w:divBdr>
    </w:div>
    <w:div w:id="602542923">
      <w:bodyDiv w:val="1"/>
      <w:marLeft w:val="0"/>
      <w:marRight w:val="0"/>
      <w:marTop w:val="0"/>
      <w:marBottom w:val="0"/>
      <w:divBdr>
        <w:top w:val="none" w:sz="0" w:space="0" w:color="auto"/>
        <w:left w:val="none" w:sz="0" w:space="0" w:color="auto"/>
        <w:bottom w:val="none" w:sz="0" w:space="0" w:color="auto"/>
        <w:right w:val="none" w:sz="0" w:space="0" w:color="auto"/>
      </w:divBdr>
    </w:div>
    <w:div w:id="602566979">
      <w:bodyDiv w:val="1"/>
      <w:marLeft w:val="0"/>
      <w:marRight w:val="0"/>
      <w:marTop w:val="0"/>
      <w:marBottom w:val="0"/>
      <w:divBdr>
        <w:top w:val="none" w:sz="0" w:space="0" w:color="auto"/>
        <w:left w:val="none" w:sz="0" w:space="0" w:color="auto"/>
        <w:bottom w:val="none" w:sz="0" w:space="0" w:color="auto"/>
        <w:right w:val="none" w:sz="0" w:space="0" w:color="auto"/>
      </w:divBdr>
    </w:div>
    <w:div w:id="602567184">
      <w:bodyDiv w:val="1"/>
      <w:marLeft w:val="0"/>
      <w:marRight w:val="0"/>
      <w:marTop w:val="0"/>
      <w:marBottom w:val="0"/>
      <w:divBdr>
        <w:top w:val="none" w:sz="0" w:space="0" w:color="auto"/>
        <w:left w:val="none" w:sz="0" w:space="0" w:color="auto"/>
        <w:bottom w:val="none" w:sz="0" w:space="0" w:color="auto"/>
        <w:right w:val="none" w:sz="0" w:space="0" w:color="auto"/>
      </w:divBdr>
    </w:div>
    <w:div w:id="602610067">
      <w:bodyDiv w:val="1"/>
      <w:marLeft w:val="0"/>
      <w:marRight w:val="0"/>
      <w:marTop w:val="0"/>
      <w:marBottom w:val="0"/>
      <w:divBdr>
        <w:top w:val="none" w:sz="0" w:space="0" w:color="auto"/>
        <w:left w:val="none" w:sz="0" w:space="0" w:color="auto"/>
        <w:bottom w:val="none" w:sz="0" w:space="0" w:color="auto"/>
        <w:right w:val="none" w:sz="0" w:space="0" w:color="auto"/>
      </w:divBdr>
    </w:div>
    <w:div w:id="602610734">
      <w:bodyDiv w:val="1"/>
      <w:marLeft w:val="0"/>
      <w:marRight w:val="0"/>
      <w:marTop w:val="0"/>
      <w:marBottom w:val="0"/>
      <w:divBdr>
        <w:top w:val="none" w:sz="0" w:space="0" w:color="auto"/>
        <w:left w:val="none" w:sz="0" w:space="0" w:color="auto"/>
        <w:bottom w:val="none" w:sz="0" w:space="0" w:color="auto"/>
        <w:right w:val="none" w:sz="0" w:space="0" w:color="auto"/>
      </w:divBdr>
    </w:div>
    <w:div w:id="602616884">
      <w:bodyDiv w:val="1"/>
      <w:marLeft w:val="0"/>
      <w:marRight w:val="0"/>
      <w:marTop w:val="0"/>
      <w:marBottom w:val="0"/>
      <w:divBdr>
        <w:top w:val="none" w:sz="0" w:space="0" w:color="auto"/>
        <w:left w:val="none" w:sz="0" w:space="0" w:color="auto"/>
        <w:bottom w:val="none" w:sz="0" w:space="0" w:color="auto"/>
        <w:right w:val="none" w:sz="0" w:space="0" w:color="auto"/>
      </w:divBdr>
    </w:div>
    <w:div w:id="602684356">
      <w:bodyDiv w:val="1"/>
      <w:marLeft w:val="0"/>
      <w:marRight w:val="0"/>
      <w:marTop w:val="0"/>
      <w:marBottom w:val="0"/>
      <w:divBdr>
        <w:top w:val="none" w:sz="0" w:space="0" w:color="auto"/>
        <w:left w:val="none" w:sz="0" w:space="0" w:color="auto"/>
        <w:bottom w:val="none" w:sz="0" w:space="0" w:color="auto"/>
        <w:right w:val="none" w:sz="0" w:space="0" w:color="auto"/>
      </w:divBdr>
    </w:div>
    <w:div w:id="602685867">
      <w:bodyDiv w:val="1"/>
      <w:marLeft w:val="0"/>
      <w:marRight w:val="0"/>
      <w:marTop w:val="0"/>
      <w:marBottom w:val="0"/>
      <w:divBdr>
        <w:top w:val="none" w:sz="0" w:space="0" w:color="auto"/>
        <w:left w:val="none" w:sz="0" w:space="0" w:color="auto"/>
        <w:bottom w:val="none" w:sz="0" w:space="0" w:color="auto"/>
        <w:right w:val="none" w:sz="0" w:space="0" w:color="auto"/>
      </w:divBdr>
    </w:div>
    <w:div w:id="602735346">
      <w:bodyDiv w:val="1"/>
      <w:marLeft w:val="0"/>
      <w:marRight w:val="0"/>
      <w:marTop w:val="0"/>
      <w:marBottom w:val="0"/>
      <w:divBdr>
        <w:top w:val="none" w:sz="0" w:space="0" w:color="auto"/>
        <w:left w:val="none" w:sz="0" w:space="0" w:color="auto"/>
        <w:bottom w:val="none" w:sz="0" w:space="0" w:color="auto"/>
        <w:right w:val="none" w:sz="0" w:space="0" w:color="auto"/>
      </w:divBdr>
    </w:div>
    <w:div w:id="602767131">
      <w:bodyDiv w:val="1"/>
      <w:marLeft w:val="0"/>
      <w:marRight w:val="0"/>
      <w:marTop w:val="0"/>
      <w:marBottom w:val="0"/>
      <w:divBdr>
        <w:top w:val="none" w:sz="0" w:space="0" w:color="auto"/>
        <w:left w:val="none" w:sz="0" w:space="0" w:color="auto"/>
        <w:bottom w:val="none" w:sz="0" w:space="0" w:color="auto"/>
        <w:right w:val="none" w:sz="0" w:space="0" w:color="auto"/>
      </w:divBdr>
    </w:div>
    <w:div w:id="602878090">
      <w:bodyDiv w:val="1"/>
      <w:marLeft w:val="0"/>
      <w:marRight w:val="0"/>
      <w:marTop w:val="0"/>
      <w:marBottom w:val="0"/>
      <w:divBdr>
        <w:top w:val="none" w:sz="0" w:space="0" w:color="auto"/>
        <w:left w:val="none" w:sz="0" w:space="0" w:color="auto"/>
        <w:bottom w:val="none" w:sz="0" w:space="0" w:color="auto"/>
        <w:right w:val="none" w:sz="0" w:space="0" w:color="auto"/>
      </w:divBdr>
    </w:div>
    <w:div w:id="602880850">
      <w:bodyDiv w:val="1"/>
      <w:marLeft w:val="0"/>
      <w:marRight w:val="0"/>
      <w:marTop w:val="0"/>
      <w:marBottom w:val="0"/>
      <w:divBdr>
        <w:top w:val="none" w:sz="0" w:space="0" w:color="auto"/>
        <w:left w:val="none" w:sz="0" w:space="0" w:color="auto"/>
        <w:bottom w:val="none" w:sz="0" w:space="0" w:color="auto"/>
        <w:right w:val="none" w:sz="0" w:space="0" w:color="auto"/>
      </w:divBdr>
    </w:div>
    <w:div w:id="602953271">
      <w:bodyDiv w:val="1"/>
      <w:marLeft w:val="0"/>
      <w:marRight w:val="0"/>
      <w:marTop w:val="0"/>
      <w:marBottom w:val="0"/>
      <w:divBdr>
        <w:top w:val="none" w:sz="0" w:space="0" w:color="auto"/>
        <w:left w:val="none" w:sz="0" w:space="0" w:color="auto"/>
        <w:bottom w:val="none" w:sz="0" w:space="0" w:color="auto"/>
        <w:right w:val="none" w:sz="0" w:space="0" w:color="auto"/>
      </w:divBdr>
    </w:div>
    <w:div w:id="602953990">
      <w:bodyDiv w:val="1"/>
      <w:marLeft w:val="0"/>
      <w:marRight w:val="0"/>
      <w:marTop w:val="0"/>
      <w:marBottom w:val="0"/>
      <w:divBdr>
        <w:top w:val="none" w:sz="0" w:space="0" w:color="auto"/>
        <w:left w:val="none" w:sz="0" w:space="0" w:color="auto"/>
        <w:bottom w:val="none" w:sz="0" w:space="0" w:color="auto"/>
        <w:right w:val="none" w:sz="0" w:space="0" w:color="auto"/>
      </w:divBdr>
    </w:div>
    <w:div w:id="602958721">
      <w:bodyDiv w:val="1"/>
      <w:marLeft w:val="0"/>
      <w:marRight w:val="0"/>
      <w:marTop w:val="0"/>
      <w:marBottom w:val="0"/>
      <w:divBdr>
        <w:top w:val="none" w:sz="0" w:space="0" w:color="auto"/>
        <w:left w:val="none" w:sz="0" w:space="0" w:color="auto"/>
        <w:bottom w:val="none" w:sz="0" w:space="0" w:color="auto"/>
        <w:right w:val="none" w:sz="0" w:space="0" w:color="auto"/>
      </w:divBdr>
    </w:div>
    <w:div w:id="602959816">
      <w:bodyDiv w:val="1"/>
      <w:marLeft w:val="0"/>
      <w:marRight w:val="0"/>
      <w:marTop w:val="0"/>
      <w:marBottom w:val="0"/>
      <w:divBdr>
        <w:top w:val="none" w:sz="0" w:space="0" w:color="auto"/>
        <w:left w:val="none" w:sz="0" w:space="0" w:color="auto"/>
        <w:bottom w:val="none" w:sz="0" w:space="0" w:color="auto"/>
        <w:right w:val="none" w:sz="0" w:space="0" w:color="auto"/>
      </w:divBdr>
    </w:div>
    <w:div w:id="603028621">
      <w:bodyDiv w:val="1"/>
      <w:marLeft w:val="0"/>
      <w:marRight w:val="0"/>
      <w:marTop w:val="0"/>
      <w:marBottom w:val="0"/>
      <w:divBdr>
        <w:top w:val="none" w:sz="0" w:space="0" w:color="auto"/>
        <w:left w:val="none" w:sz="0" w:space="0" w:color="auto"/>
        <w:bottom w:val="none" w:sz="0" w:space="0" w:color="auto"/>
        <w:right w:val="none" w:sz="0" w:space="0" w:color="auto"/>
      </w:divBdr>
    </w:div>
    <w:div w:id="603070882">
      <w:bodyDiv w:val="1"/>
      <w:marLeft w:val="0"/>
      <w:marRight w:val="0"/>
      <w:marTop w:val="0"/>
      <w:marBottom w:val="0"/>
      <w:divBdr>
        <w:top w:val="none" w:sz="0" w:space="0" w:color="auto"/>
        <w:left w:val="none" w:sz="0" w:space="0" w:color="auto"/>
        <w:bottom w:val="none" w:sz="0" w:space="0" w:color="auto"/>
        <w:right w:val="none" w:sz="0" w:space="0" w:color="auto"/>
      </w:divBdr>
    </w:div>
    <w:div w:id="603075576">
      <w:bodyDiv w:val="1"/>
      <w:marLeft w:val="0"/>
      <w:marRight w:val="0"/>
      <w:marTop w:val="0"/>
      <w:marBottom w:val="0"/>
      <w:divBdr>
        <w:top w:val="none" w:sz="0" w:space="0" w:color="auto"/>
        <w:left w:val="none" w:sz="0" w:space="0" w:color="auto"/>
        <w:bottom w:val="none" w:sz="0" w:space="0" w:color="auto"/>
        <w:right w:val="none" w:sz="0" w:space="0" w:color="auto"/>
      </w:divBdr>
    </w:div>
    <w:div w:id="603077210">
      <w:bodyDiv w:val="1"/>
      <w:marLeft w:val="0"/>
      <w:marRight w:val="0"/>
      <w:marTop w:val="0"/>
      <w:marBottom w:val="0"/>
      <w:divBdr>
        <w:top w:val="none" w:sz="0" w:space="0" w:color="auto"/>
        <w:left w:val="none" w:sz="0" w:space="0" w:color="auto"/>
        <w:bottom w:val="none" w:sz="0" w:space="0" w:color="auto"/>
        <w:right w:val="none" w:sz="0" w:space="0" w:color="auto"/>
      </w:divBdr>
    </w:div>
    <w:div w:id="603154911">
      <w:bodyDiv w:val="1"/>
      <w:marLeft w:val="0"/>
      <w:marRight w:val="0"/>
      <w:marTop w:val="0"/>
      <w:marBottom w:val="0"/>
      <w:divBdr>
        <w:top w:val="none" w:sz="0" w:space="0" w:color="auto"/>
        <w:left w:val="none" w:sz="0" w:space="0" w:color="auto"/>
        <w:bottom w:val="none" w:sz="0" w:space="0" w:color="auto"/>
        <w:right w:val="none" w:sz="0" w:space="0" w:color="auto"/>
      </w:divBdr>
    </w:div>
    <w:div w:id="603195838">
      <w:bodyDiv w:val="1"/>
      <w:marLeft w:val="0"/>
      <w:marRight w:val="0"/>
      <w:marTop w:val="0"/>
      <w:marBottom w:val="0"/>
      <w:divBdr>
        <w:top w:val="none" w:sz="0" w:space="0" w:color="auto"/>
        <w:left w:val="none" w:sz="0" w:space="0" w:color="auto"/>
        <w:bottom w:val="none" w:sz="0" w:space="0" w:color="auto"/>
        <w:right w:val="none" w:sz="0" w:space="0" w:color="auto"/>
      </w:divBdr>
    </w:div>
    <w:div w:id="603342623">
      <w:bodyDiv w:val="1"/>
      <w:marLeft w:val="0"/>
      <w:marRight w:val="0"/>
      <w:marTop w:val="0"/>
      <w:marBottom w:val="0"/>
      <w:divBdr>
        <w:top w:val="none" w:sz="0" w:space="0" w:color="auto"/>
        <w:left w:val="none" w:sz="0" w:space="0" w:color="auto"/>
        <w:bottom w:val="none" w:sz="0" w:space="0" w:color="auto"/>
        <w:right w:val="none" w:sz="0" w:space="0" w:color="auto"/>
      </w:divBdr>
    </w:div>
    <w:div w:id="603348721">
      <w:bodyDiv w:val="1"/>
      <w:marLeft w:val="0"/>
      <w:marRight w:val="0"/>
      <w:marTop w:val="0"/>
      <w:marBottom w:val="0"/>
      <w:divBdr>
        <w:top w:val="none" w:sz="0" w:space="0" w:color="auto"/>
        <w:left w:val="none" w:sz="0" w:space="0" w:color="auto"/>
        <w:bottom w:val="none" w:sz="0" w:space="0" w:color="auto"/>
        <w:right w:val="none" w:sz="0" w:space="0" w:color="auto"/>
      </w:divBdr>
    </w:div>
    <w:div w:id="603391056">
      <w:bodyDiv w:val="1"/>
      <w:marLeft w:val="0"/>
      <w:marRight w:val="0"/>
      <w:marTop w:val="0"/>
      <w:marBottom w:val="0"/>
      <w:divBdr>
        <w:top w:val="none" w:sz="0" w:space="0" w:color="auto"/>
        <w:left w:val="none" w:sz="0" w:space="0" w:color="auto"/>
        <w:bottom w:val="none" w:sz="0" w:space="0" w:color="auto"/>
        <w:right w:val="none" w:sz="0" w:space="0" w:color="auto"/>
      </w:divBdr>
    </w:div>
    <w:div w:id="603420701">
      <w:bodyDiv w:val="1"/>
      <w:marLeft w:val="0"/>
      <w:marRight w:val="0"/>
      <w:marTop w:val="0"/>
      <w:marBottom w:val="0"/>
      <w:divBdr>
        <w:top w:val="none" w:sz="0" w:space="0" w:color="auto"/>
        <w:left w:val="none" w:sz="0" w:space="0" w:color="auto"/>
        <w:bottom w:val="none" w:sz="0" w:space="0" w:color="auto"/>
        <w:right w:val="none" w:sz="0" w:space="0" w:color="auto"/>
      </w:divBdr>
    </w:div>
    <w:div w:id="603465551">
      <w:bodyDiv w:val="1"/>
      <w:marLeft w:val="0"/>
      <w:marRight w:val="0"/>
      <w:marTop w:val="0"/>
      <w:marBottom w:val="0"/>
      <w:divBdr>
        <w:top w:val="none" w:sz="0" w:space="0" w:color="auto"/>
        <w:left w:val="none" w:sz="0" w:space="0" w:color="auto"/>
        <w:bottom w:val="none" w:sz="0" w:space="0" w:color="auto"/>
        <w:right w:val="none" w:sz="0" w:space="0" w:color="auto"/>
      </w:divBdr>
    </w:div>
    <w:div w:id="603536946">
      <w:bodyDiv w:val="1"/>
      <w:marLeft w:val="0"/>
      <w:marRight w:val="0"/>
      <w:marTop w:val="0"/>
      <w:marBottom w:val="0"/>
      <w:divBdr>
        <w:top w:val="none" w:sz="0" w:space="0" w:color="auto"/>
        <w:left w:val="none" w:sz="0" w:space="0" w:color="auto"/>
        <w:bottom w:val="none" w:sz="0" w:space="0" w:color="auto"/>
        <w:right w:val="none" w:sz="0" w:space="0" w:color="auto"/>
      </w:divBdr>
    </w:div>
    <w:div w:id="603538416">
      <w:bodyDiv w:val="1"/>
      <w:marLeft w:val="0"/>
      <w:marRight w:val="0"/>
      <w:marTop w:val="0"/>
      <w:marBottom w:val="0"/>
      <w:divBdr>
        <w:top w:val="none" w:sz="0" w:space="0" w:color="auto"/>
        <w:left w:val="none" w:sz="0" w:space="0" w:color="auto"/>
        <w:bottom w:val="none" w:sz="0" w:space="0" w:color="auto"/>
        <w:right w:val="none" w:sz="0" w:space="0" w:color="auto"/>
      </w:divBdr>
    </w:div>
    <w:div w:id="603541673">
      <w:bodyDiv w:val="1"/>
      <w:marLeft w:val="0"/>
      <w:marRight w:val="0"/>
      <w:marTop w:val="0"/>
      <w:marBottom w:val="0"/>
      <w:divBdr>
        <w:top w:val="none" w:sz="0" w:space="0" w:color="auto"/>
        <w:left w:val="none" w:sz="0" w:space="0" w:color="auto"/>
        <w:bottom w:val="none" w:sz="0" w:space="0" w:color="auto"/>
        <w:right w:val="none" w:sz="0" w:space="0" w:color="auto"/>
      </w:divBdr>
    </w:div>
    <w:div w:id="603609685">
      <w:bodyDiv w:val="1"/>
      <w:marLeft w:val="0"/>
      <w:marRight w:val="0"/>
      <w:marTop w:val="0"/>
      <w:marBottom w:val="0"/>
      <w:divBdr>
        <w:top w:val="none" w:sz="0" w:space="0" w:color="auto"/>
        <w:left w:val="none" w:sz="0" w:space="0" w:color="auto"/>
        <w:bottom w:val="none" w:sz="0" w:space="0" w:color="auto"/>
        <w:right w:val="none" w:sz="0" w:space="0" w:color="auto"/>
      </w:divBdr>
    </w:div>
    <w:div w:id="603805929">
      <w:bodyDiv w:val="1"/>
      <w:marLeft w:val="0"/>
      <w:marRight w:val="0"/>
      <w:marTop w:val="0"/>
      <w:marBottom w:val="0"/>
      <w:divBdr>
        <w:top w:val="none" w:sz="0" w:space="0" w:color="auto"/>
        <w:left w:val="none" w:sz="0" w:space="0" w:color="auto"/>
        <w:bottom w:val="none" w:sz="0" w:space="0" w:color="auto"/>
        <w:right w:val="none" w:sz="0" w:space="0" w:color="auto"/>
      </w:divBdr>
    </w:div>
    <w:div w:id="603879121">
      <w:bodyDiv w:val="1"/>
      <w:marLeft w:val="0"/>
      <w:marRight w:val="0"/>
      <w:marTop w:val="0"/>
      <w:marBottom w:val="0"/>
      <w:divBdr>
        <w:top w:val="none" w:sz="0" w:space="0" w:color="auto"/>
        <w:left w:val="none" w:sz="0" w:space="0" w:color="auto"/>
        <w:bottom w:val="none" w:sz="0" w:space="0" w:color="auto"/>
        <w:right w:val="none" w:sz="0" w:space="0" w:color="auto"/>
      </w:divBdr>
    </w:div>
    <w:div w:id="604000058">
      <w:bodyDiv w:val="1"/>
      <w:marLeft w:val="0"/>
      <w:marRight w:val="0"/>
      <w:marTop w:val="0"/>
      <w:marBottom w:val="0"/>
      <w:divBdr>
        <w:top w:val="none" w:sz="0" w:space="0" w:color="auto"/>
        <w:left w:val="none" w:sz="0" w:space="0" w:color="auto"/>
        <w:bottom w:val="none" w:sz="0" w:space="0" w:color="auto"/>
        <w:right w:val="none" w:sz="0" w:space="0" w:color="auto"/>
      </w:divBdr>
    </w:div>
    <w:div w:id="604113587">
      <w:bodyDiv w:val="1"/>
      <w:marLeft w:val="0"/>
      <w:marRight w:val="0"/>
      <w:marTop w:val="0"/>
      <w:marBottom w:val="0"/>
      <w:divBdr>
        <w:top w:val="none" w:sz="0" w:space="0" w:color="auto"/>
        <w:left w:val="none" w:sz="0" w:space="0" w:color="auto"/>
        <w:bottom w:val="none" w:sz="0" w:space="0" w:color="auto"/>
        <w:right w:val="none" w:sz="0" w:space="0" w:color="auto"/>
      </w:divBdr>
    </w:div>
    <w:div w:id="604193702">
      <w:bodyDiv w:val="1"/>
      <w:marLeft w:val="0"/>
      <w:marRight w:val="0"/>
      <w:marTop w:val="0"/>
      <w:marBottom w:val="0"/>
      <w:divBdr>
        <w:top w:val="none" w:sz="0" w:space="0" w:color="auto"/>
        <w:left w:val="none" w:sz="0" w:space="0" w:color="auto"/>
        <w:bottom w:val="none" w:sz="0" w:space="0" w:color="auto"/>
        <w:right w:val="none" w:sz="0" w:space="0" w:color="auto"/>
      </w:divBdr>
    </w:div>
    <w:div w:id="604312132">
      <w:bodyDiv w:val="1"/>
      <w:marLeft w:val="0"/>
      <w:marRight w:val="0"/>
      <w:marTop w:val="0"/>
      <w:marBottom w:val="0"/>
      <w:divBdr>
        <w:top w:val="none" w:sz="0" w:space="0" w:color="auto"/>
        <w:left w:val="none" w:sz="0" w:space="0" w:color="auto"/>
        <w:bottom w:val="none" w:sz="0" w:space="0" w:color="auto"/>
        <w:right w:val="none" w:sz="0" w:space="0" w:color="auto"/>
      </w:divBdr>
    </w:div>
    <w:div w:id="604313663">
      <w:bodyDiv w:val="1"/>
      <w:marLeft w:val="0"/>
      <w:marRight w:val="0"/>
      <w:marTop w:val="0"/>
      <w:marBottom w:val="0"/>
      <w:divBdr>
        <w:top w:val="none" w:sz="0" w:space="0" w:color="auto"/>
        <w:left w:val="none" w:sz="0" w:space="0" w:color="auto"/>
        <w:bottom w:val="none" w:sz="0" w:space="0" w:color="auto"/>
        <w:right w:val="none" w:sz="0" w:space="0" w:color="auto"/>
      </w:divBdr>
    </w:div>
    <w:div w:id="604385164">
      <w:bodyDiv w:val="1"/>
      <w:marLeft w:val="0"/>
      <w:marRight w:val="0"/>
      <w:marTop w:val="0"/>
      <w:marBottom w:val="0"/>
      <w:divBdr>
        <w:top w:val="none" w:sz="0" w:space="0" w:color="auto"/>
        <w:left w:val="none" w:sz="0" w:space="0" w:color="auto"/>
        <w:bottom w:val="none" w:sz="0" w:space="0" w:color="auto"/>
        <w:right w:val="none" w:sz="0" w:space="0" w:color="auto"/>
      </w:divBdr>
    </w:div>
    <w:div w:id="604461989">
      <w:bodyDiv w:val="1"/>
      <w:marLeft w:val="0"/>
      <w:marRight w:val="0"/>
      <w:marTop w:val="0"/>
      <w:marBottom w:val="0"/>
      <w:divBdr>
        <w:top w:val="none" w:sz="0" w:space="0" w:color="auto"/>
        <w:left w:val="none" w:sz="0" w:space="0" w:color="auto"/>
        <w:bottom w:val="none" w:sz="0" w:space="0" w:color="auto"/>
        <w:right w:val="none" w:sz="0" w:space="0" w:color="auto"/>
      </w:divBdr>
    </w:div>
    <w:div w:id="604465316">
      <w:bodyDiv w:val="1"/>
      <w:marLeft w:val="0"/>
      <w:marRight w:val="0"/>
      <w:marTop w:val="0"/>
      <w:marBottom w:val="0"/>
      <w:divBdr>
        <w:top w:val="none" w:sz="0" w:space="0" w:color="auto"/>
        <w:left w:val="none" w:sz="0" w:space="0" w:color="auto"/>
        <w:bottom w:val="none" w:sz="0" w:space="0" w:color="auto"/>
        <w:right w:val="none" w:sz="0" w:space="0" w:color="auto"/>
      </w:divBdr>
    </w:div>
    <w:div w:id="604507512">
      <w:bodyDiv w:val="1"/>
      <w:marLeft w:val="0"/>
      <w:marRight w:val="0"/>
      <w:marTop w:val="0"/>
      <w:marBottom w:val="0"/>
      <w:divBdr>
        <w:top w:val="none" w:sz="0" w:space="0" w:color="auto"/>
        <w:left w:val="none" w:sz="0" w:space="0" w:color="auto"/>
        <w:bottom w:val="none" w:sz="0" w:space="0" w:color="auto"/>
        <w:right w:val="none" w:sz="0" w:space="0" w:color="auto"/>
      </w:divBdr>
    </w:div>
    <w:div w:id="604508294">
      <w:bodyDiv w:val="1"/>
      <w:marLeft w:val="0"/>
      <w:marRight w:val="0"/>
      <w:marTop w:val="0"/>
      <w:marBottom w:val="0"/>
      <w:divBdr>
        <w:top w:val="none" w:sz="0" w:space="0" w:color="auto"/>
        <w:left w:val="none" w:sz="0" w:space="0" w:color="auto"/>
        <w:bottom w:val="none" w:sz="0" w:space="0" w:color="auto"/>
        <w:right w:val="none" w:sz="0" w:space="0" w:color="auto"/>
      </w:divBdr>
    </w:div>
    <w:div w:id="604727712">
      <w:bodyDiv w:val="1"/>
      <w:marLeft w:val="0"/>
      <w:marRight w:val="0"/>
      <w:marTop w:val="0"/>
      <w:marBottom w:val="0"/>
      <w:divBdr>
        <w:top w:val="none" w:sz="0" w:space="0" w:color="auto"/>
        <w:left w:val="none" w:sz="0" w:space="0" w:color="auto"/>
        <w:bottom w:val="none" w:sz="0" w:space="0" w:color="auto"/>
        <w:right w:val="none" w:sz="0" w:space="0" w:color="auto"/>
      </w:divBdr>
    </w:div>
    <w:div w:id="604771066">
      <w:bodyDiv w:val="1"/>
      <w:marLeft w:val="0"/>
      <w:marRight w:val="0"/>
      <w:marTop w:val="0"/>
      <w:marBottom w:val="0"/>
      <w:divBdr>
        <w:top w:val="none" w:sz="0" w:space="0" w:color="auto"/>
        <w:left w:val="none" w:sz="0" w:space="0" w:color="auto"/>
        <w:bottom w:val="none" w:sz="0" w:space="0" w:color="auto"/>
        <w:right w:val="none" w:sz="0" w:space="0" w:color="auto"/>
      </w:divBdr>
    </w:div>
    <w:div w:id="604845644">
      <w:bodyDiv w:val="1"/>
      <w:marLeft w:val="0"/>
      <w:marRight w:val="0"/>
      <w:marTop w:val="0"/>
      <w:marBottom w:val="0"/>
      <w:divBdr>
        <w:top w:val="none" w:sz="0" w:space="0" w:color="auto"/>
        <w:left w:val="none" w:sz="0" w:space="0" w:color="auto"/>
        <w:bottom w:val="none" w:sz="0" w:space="0" w:color="auto"/>
        <w:right w:val="none" w:sz="0" w:space="0" w:color="auto"/>
      </w:divBdr>
    </w:div>
    <w:div w:id="604851634">
      <w:bodyDiv w:val="1"/>
      <w:marLeft w:val="0"/>
      <w:marRight w:val="0"/>
      <w:marTop w:val="0"/>
      <w:marBottom w:val="0"/>
      <w:divBdr>
        <w:top w:val="none" w:sz="0" w:space="0" w:color="auto"/>
        <w:left w:val="none" w:sz="0" w:space="0" w:color="auto"/>
        <w:bottom w:val="none" w:sz="0" w:space="0" w:color="auto"/>
        <w:right w:val="none" w:sz="0" w:space="0" w:color="auto"/>
      </w:divBdr>
    </w:div>
    <w:div w:id="604918612">
      <w:bodyDiv w:val="1"/>
      <w:marLeft w:val="0"/>
      <w:marRight w:val="0"/>
      <w:marTop w:val="0"/>
      <w:marBottom w:val="0"/>
      <w:divBdr>
        <w:top w:val="none" w:sz="0" w:space="0" w:color="auto"/>
        <w:left w:val="none" w:sz="0" w:space="0" w:color="auto"/>
        <w:bottom w:val="none" w:sz="0" w:space="0" w:color="auto"/>
        <w:right w:val="none" w:sz="0" w:space="0" w:color="auto"/>
      </w:divBdr>
    </w:div>
    <w:div w:id="604920714">
      <w:bodyDiv w:val="1"/>
      <w:marLeft w:val="0"/>
      <w:marRight w:val="0"/>
      <w:marTop w:val="0"/>
      <w:marBottom w:val="0"/>
      <w:divBdr>
        <w:top w:val="none" w:sz="0" w:space="0" w:color="auto"/>
        <w:left w:val="none" w:sz="0" w:space="0" w:color="auto"/>
        <w:bottom w:val="none" w:sz="0" w:space="0" w:color="auto"/>
        <w:right w:val="none" w:sz="0" w:space="0" w:color="auto"/>
      </w:divBdr>
    </w:div>
    <w:div w:id="604923239">
      <w:bodyDiv w:val="1"/>
      <w:marLeft w:val="0"/>
      <w:marRight w:val="0"/>
      <w:marTop w:val="0"/>
      <w:marBottom w:val="0"/>
      <w:divBdr>
        <w:top w:val="none" w:sz="0" w:space="0" w:color="auto"/>
        <w:left w:val="none" w:sz="0" w:space="0" w:color="auto"/>
        <w:bottom w:val="none" w:sz="0" w:space="0" w:color="auto"/>
        <w:right w:val="none" w:sz="0" w:space="0" w:color="auto"/>
      </w:divBdr>
    </w:div>
    <w:div w:id="604924225">
      <w:bodyDiv w:val="1"/>
      <w:marLeft w:val="0"/>
      <w:marRight w:val="0"/>
      <w:marTop w:val="0"/>
      <w:marBottom w:val="0"/>
      <w:divBdr>
        <w:top w:val="none" w:sz="0" w:space="0" w:color="auto"/>
        <w:left w:val="none" w:sz="0" w:space="0" w:color="auto"/>
        <w:bottom w:val="none" w:sz="0" w:space="0" w:color="auto"/>
        <w:right w:val="none" w:sz="0" w:space="0" w:color="auto"/>
      </w:divBdr>
    </w:div>
    <w:div w:id="604967835">
      <w:bodyDiv w:val="1"/>
      <w:marLeft w:val="0"/>
      <w:marRight w:val="0"/>
      <w:marTop w:val="0"/>
      <w:marBottom w:val="0"/>
      <w:divBdr>
        <w:top w:val="none" w:sz="0" w:space="0" w:color="auto"/>
        <w:left w:val="none" w:sz="0" w:space="0" w:color="auto"/>
        <w:bottom w:val="none" w:sz="0" w:space="0" w:color="auto"/>
        <w:right w:val="none" w:sz="0" w:space="0" w:color="auto"/>
      </w:divBdr>
    </w:div>
    <w:div w:id="605038599">
      <w:bodyDiv w:val="1"/>
      <w:marLeft w:val="0"/>
      <w:marRight w:val="0"/>
      <w:marTop w:val="0"/>
      <w:marBottom w:val="0"/>
      <w:divBdr>
        <w:top w:val="none" w:sz="0" w:space="0" w:color="auto"/>
        <w:left w:val="none" w:sz="0" w:space="0" w:color="auto"/>
        <w:bottom w:val="none" w:sz="0" w:space="0" w:color="auto"/>
        <w:right w:val="none" w:sz="0" w:space="0" w:color="auto"/>
      </w:divBdr>
    </w:div>
    <w:div w:id="605045686">
      <w:bodyDiv w:val="1"/>
      <w:marLeft w:val="0"/>
      <w:marRight w:val="0"/>
      <w:marTop w:val="0"/>
      <w:marBottom w:val="0"/>
      <w:divBdr>
        <w:top w:val="none" w:sz="0" w:space="0" w:color="auto"/>
        <w:left w:val="none" w:sz="0" w:space="0" w:color="auto"/>
        <w:bottom w:val="none" w:sz="0" w:space="0" w:color="auto"/>
        <w:right w:val="none" w:sz="0" w:space="0" w:color="auto"/>
      </w:divBdr>
    </w:div>
    <w:div w:id="605189863">
      <w:bodyDiv w:val="1"/>
      <w:marLeft w:val="0"/>
      <w:marRight w:val="0"/>
      <w:marTop w:val="0"/>
      <w:marBottom w:val="0"/>
      <w:divBdr>
        <w:top w:val="none" w:sz="0" w:space="0" w:color="auto"/>
        <w:left w:val="none" w:sz="0" w:space="0" w:color="auto"/>
        <w:bottom w:val="none" w:sz="0" w:space="0" w:color="auto"/>
        <w:right w:val="none" w:sz="0" w:space="0" w:color="auto"/>
      </w:divBdr>
    </w:div>
    <w:div w:id="605236071">
      <w:bodyDiv w:val="1"/>
      <w:marLeft w:val="0"/>
      <w:marRight w:val="0"/>
      <w:marTop w:val="0"/>
      <w:marBottom w:val="0"/>
      <w:divBdr>
        <w:top w:val="none" w:sz="0" w:space="0" w:color="auto"/>
        <w:left w:val="none" w:sz="0" w:space="0" w:color="auto"/>
        <w:bottom w:val="none" w:sz="0" w:space="0" w:color="auto"/>
        <w:right w:val="none" w:sz="0" w:space="0" w:color="auto"/>
      </w:divBdr>
    </w:div>
    <w:div w:id="605236448">
      <w:bodyDiv w:val="1"/>
      <w:marLeft w:val="0"/>
      <w:marRight w:val="0"/>
      <w:marTop w:val="0"/>
      <w:marBottom w:val="0"/>
      <w:divBdr>
        <w:top w:val="none" w:sz="0" w:space="0" w:color="auto"/>
        <w:left w:val="none" w:sz="0" w:space="0" w:color="auto"/>
        <w:bottom w:val="none" w:sz="0" w:space="0" w:color="auto"/>
        <w:right w:val="none" w:sz="0" w:space="0" w:color="auto"/>
      </w:divBdr>
    </w:div>
    <w:div w:id="605382456">
      <w:bodyDiv w:val="1"/>
      <w:marLeft w:val="0"/>
      <w:marRight w:val="0"/>
      <w:marTop w:val="0"/>
      <w:marBottom w:val="0"/>
      <w:divBdr>
        <w:top w:val="none" w:sz="0" w:space="0" w:color="auto"/>
        <w:left w:val="none" w:sz="0" w:space="0" w:color="auto"/>
        <w:bottom w:val="none" w:sz="0" w:space="0" w:color="auto"/>
        <w:right w:val="none" w:sz="0" w:space="0" w:color="auto"/>
      </w:divBdr>
    </w:div>
    <w:div w:id="605387294">
      <w:bodyDiv w:val="1"/>
      <w:marLeft w:val="0"/>
      <w:marRight w:val="0"/>
      <w:marTop w:val="0"/>
      <w:marBottom w:val="0"/>
      <w:divBdr>
        <w:top w:val="none" w:sz="0" w:space="0" w:color="auto"/>
        <w:left w:val="none" w:sz="0" w:space="0" w:color="auto"/>
        <w:bottom w:val="none" w:sz="0" w:space="0" w:color="auto"/>
        <w:right w:val="none" w:sz="0" w:space="0" w:color="auto"/>
      </w:divBdr>
    </w:div>
    <w:div w:id="605430587">
      <w:bodyDiv w:val="1"/>
      <w:marLeft w:val="0"/>
      <w:marRight w:val="0"/>
      <w:marTop w:val="0"/>
      <w:marBottom w:val="0"/>
      <w:divBdr>
        <w:top w:val="none" w:sz="0" w:space="0" w:color="auto"/>
        <w:left w:val="none" w:sz="0" w:space="0" w:color="auto"/>
        <w:bottom w:val="none" w:sz="0" w:space="0" w:color="auto"/>
        <w:right w:val="none" w:sz="0" w:space="0" w:color="auto"/>
      </w:divBdr>
    </w:div>
    <w:div w:id="605574156">
      <w:bodyDiv w:val="1"/>
      <w:marLeft w:val="0"/>
      <w:marRight w:val="0"/>
      <w:marTop w:val="0"/>
      <w:marBottom w:val="0"/>
      <w:divBdr>
        <w:top w:val="none" w:sz="0" w:space="0" w:color="auto"/>
        <w:left w:val="none" w:sz="0" w:space="0" w:color="auto"/>
        <w:bottom w:val="none" w:sz="0" w:space="0" w:color="auto"/>
        <w:right w:val="none" w:sz="0" w:space="0" w:color="auto"/>
      </w:divBdr>
    </w:div>
    <w:div w:id="605580116">
      <w:bodyDiv w:val="1"/>
      <w:marLeft w:val="0"/>
      <w:marRight w:val="0"/>
      <w:marTop w:val="0"/>
      <w:marBottom w:val="0"/>
      <w:divBdr>
        <w:top w:val="none" w:sz="0" w:space="0" w:color="auto"/>
        <w:left w:val="none" w:sz="0" w:space="0" w:color="auto"/>
        <w:bottom w:val="none" w:sz="0" w:space="0" w:color="auto"/>
        <w:right w:val="none" w:sz="0" w:space="0" w:color="auto"/>
      </w:divBdr>
    </w:div>
    <w:div w:id="605581576">
      <w:bodyDiv w:val="1"/>
      <w:marLeft w:val="0"/>
      <w:marRight w:val="0"/>
      <w:marTop w:val="0"/>
      <w:marBottom w:val="0"/>
      <w:divBdr>
        <w:top w:val="none" w:sz="0" w:space="0" w:color="auto"/>
        <w:left w:val="none" w:sz="0" w:space="0" w:color="auto"/>
        <w:bottom w:val="none" w:sz="0" w:space="0" w:color="auto"/>
        <w:right w:val="none" w:sz="0" w:space="0" w:color="auto"/>
      </w:divBdr>
    </w:div>
    <w:div w:id="605622453">
      <w:bodyDiv w:val="1"/>
      <w:marLeft w:val="0"/>
      <w:marRight w:val="0"/>
      <w:marTop w:val="0"/>
      <w:marBottom w:val="0"/>
      <w:divBdr>
        <w:top w:val="none" w:sz="0" w:space="0" w:color="auto"/>
        <w:left w:val="none" w:sz="0" w:space="0" w:color="auto"/>
        <w:bottom w:val="none" w:sz="0" w:space="0" w:color="auto"/>
        <w:right w:val="none" w:sz="0" w:space="0" w:color="auto"/>
      </w:divBdr>
    </w:div>
    <w:div w:id="605819455">
      <w:bodyDiv w:val="1"/>
      <w:marLeft w:val="0"/>
      <w:marRight w:val="0"/>
      <w:marTop w:val="0"/>
      <w:marBottom w:val="0"/>
      <w:divBdr>
        <w:top w:val="none" w:sz="0" w:space="0" w:color="auto"/>
        <w:left w:val="none" w:sz="0" w:space="0" w:color="auto"/>
        <w:bottom w:val="none" w:sz="0" w:space="0" w:color="auto"/>
        <w:right w:val="none" w:sz="0" w:space="0" w:color="auto"/>
      </w:divBdr>
    </w:div>
    <w:div w:id="605894016">
      <w:bodyDiv w:val="1"/>
      <w:marLeft w:val="0"/>
      <w:marRight w:val="0"/>
      <w:marTop w:val="0"/>
      <w:marBottom w:val="0"/>
      <w:divBdr>
        <w:top w:val="none" w:sz="0" w:space="0" w:color="auto"/>
        <w:left w:val="none" w:sz="0" w:space="0" w:color="auto"/>
        <w:bottom w:val="none" w:sz="0" w:space="0" w:color="auto"/>
        <w:right w:val="none" w:sz="0" w:space="0" w:color="auto"/>
      </w:divBdr>
    </w:div>
    <w:div w:id="605968326">
      <w:bodyDiv w:val="1"/>
      <w:marLeft w:val="0"/>
      <w:marRight w:val="0"/>
      <w:marTop w:val="0"/>
      <w:marBottom w:val="0"/>
      <w:divBdr>
        <w:top w:val="none" w:sz="0" w:space="0" w:color="auto"/>
        <w:left w:val="none" w:sz="0" w:space="0" w:color="auto"/>
        <w:bottom w:val="none" w:sz="0" w:space="0" w:color="auto"/>
        <w:right w:val="none" w:sz="0" w:space="0" w:color="auto"/>
      </w:divBdr>
    </w:div>
    <w:div w:id="605968815">
      <w:bodyDiv w:val="1"/>
      <w:marLeft w:val="0"/>
      <w:marRight w:val="0"/>
      <w:marTop w:val="0"/>
      <w:marBottom w:val="0"/>
      <w:divBdr>
        <w:top w:val="none" w:sz="0" w:space="0" w:color="auto"/>
        <w:left w:val="none" w:sz="0" w:space="0" w:color="auto"/>
        <w:bottom w:val="none" w:sz="0" w:space="0" w:color="auto"/>
        <w:right w:val="none" w:sz="0" w:space="0" w:color="auto"/>
      </w:divBdr>
    </w:div>
    <w:div w:id="606043112">
      <w:bodyDiv w:val="1"/>
      <w:marLeft w:val="0"/>
      <w:marRight w:val="0"/>
      <w:marTop w:val="0"/>
      <w:marBottom w:val="0"/>
      <w:divBdr>
        <w:top w:val="none" w:sz="0" w:space="0" w:color="auto"/>
        <w:left w:val="none" w:sz="0" w:space="0" w:color="auto"/>
        <w:bottom w:val="none" w:sz="0" w:space="0" w:color="auto"/>
        <w:right w:val="none" w:sz="0" w:space="0" w:color="auto"/>
      </w:divBdr>
    </w:div>
    <w:div w:id="606084415">
      <w:bodyDiv w:val="1"/>
      <w:marLeft w:val="0"/>
      <w:marRight w:val="0"/>
      <w:marTop w:val="0"/>
      <w:marBottom w:val="0"/>
      <w:divBdr>
        <w:top w:val="none" w:sz="0" w:space="0" w:color="auto"/>
        <w:left w:val="none" w:sz="0" w:space="0" w:color="auto"/>
        <w:bottom w:val="none" w:sz="0" w:space="0" w:color="auto"/>
        <w:right w:val="none" w:sz="0" w:space="0" w:color="auto"/>
      </w:divBdr>
    </w:div>
    <w:div w:id="606547739">
      <w:bodyDiv w:val="1"/>
      <w:marLeft w:val="0"/>
      <w:marRight w:val="0"/>
      <w:marTop w:val="0"/>
      <w:marBottom w:val="0"/>
      <w:divBdr>
        <w:top w:val="none" w:sz="0" w:space="0" w:color="auto"/>
        <w:left w:val="none" w:sz="0" w:space="0" w:color="auto"/>
        <w:bottom w:val="none" w:sz="0" w:space="0" w:color="auto"/>
        <w:right w:val="none" w:sz="0" w:space="0" w:color="auto"/>
      </w:divBdr>
    </w:div>
    <w:div w:id="606691442">
      <w:bodyDiv w:val="1"/>
      <w:marLeft w:val="0"/>
      <w:marRight w:val="0"/>
      <w:marTop w:val="0"/>
      <w:marBottom w:val="0"/>
      <w:divBdr>
        <w:top w:val="none" w:sz="0" w:space="0" w:color="auto"/>
        <w:left w:val="none" w:sz="0" w:space="0" w:color="auto"/>
        <w:bottom w:val="none" w:sz="0" w:space="0" w:color="auto"/>
        <w:right w:val="none" w:sz="0" w:space="0" w:color="auto"/>
      </w:divBdr>
    </w:div>
    <w:div w:id="606694588">
      <w:bodyDiv w:val="1"/>
      <w:marLeft w:val="0"/>
      <w:marRight w:val="0"/>
      <w:marTop w:val="0"/>
      <w:marBottom w:val="0"/>
      <w:divBdr>
        <w:top w:val="none" w:sz="0" w:space="0" w:color="auto"/>
        <w:left w:val="none" w:sz="0" w:space="0" w:color="auto"/>
        <w:bottom w:val="none" w:sz="0" w:space="0" w:color="auto"/>
        <w:right w:val="none" w:sz="0" w:space="0" w:color="auto"/>
      </w:divBdr>
    </w:div>
    <w:div w:id="606741491">
      <w:bodyDiv w:val="1"/>
      <w:marLeft w:val="0"/>
      <w:marRight w:val="0"/>
      <w:marTop w:val="0"/>
      <w:marBottom w:val="0"/>
      <w:divBdr>
        <w:top w:val="none" w:sz="0" w:space="0" w:color="auto"/>
        <w:left w:val="none" w:sz="0" w:space="0" w:color="auto"/>
        <w:bottom w:val="none" w:sz="0" w:space="0" w:color="auto"/>
        <w:right w:val="none" w:sz="0" w:space="0" w:color="auto"/>
      </w:divBdr>
    </w:div>
    <w:div w:id="606960683">
      <w:bodyDiv w:val="1"/>
      <w:marLeft w:val="0"/>
      <w:marRight w:val="0"/>
      <w:marTop w:val="0"/>
      <w:marBottom w:val="0"/>
      <w:divBdr>
        <w:top w:val="none" w:sz="0" w:space="0" w:color="auto"/>
        <w:left w:val="none" w:sz="0" w:space="0" w:color="auto"/>
        <w:bottom w:val="none" w:sz="0" w:space="0" w:color="auto"/>
        <w:right w:val="none" w:sz="0" w:space="0" w:color="auto"/>
      </w:divBdr>
    </w:div>
    <w:div w:id="607006821">
      <w:bodyDiv w:val="1"/>
      <w:marLeft w:val="0"/>
      <w:marRight w:val="0"/>
      <w:marTop w:val="0"/>
      <w:marBottom w:val="0"/>
      <w:divBdr>
        <w:top w:val="none" w:sz="0" w:space="0" w:color="auto"/>
        <w:left w:val="none" w:sz="0" w:space="0" w:color="auto"/>
        <w:bottom w:val="none" w:sz="0" w:space="0" w:color="auto"/>
        <w:right w:val="none" w:sz="0" w:space="0" w:color="auto"/>
      </w:divBdr>
    </w:div>
    <w:div w:id="607006914">
      <w:bodyDiv w:val="1"/>
      <w:marLeft w:val="0"/>
      <w:marRight w:val="0"/>
      <w:marTop w:val="0"/>
      <w:marBottom w:val="0"/>
      <w:divBdr>
        <w:top w:val="none" w:sz="0" w:space="0" w:color="auto"/>
        <w:left w:val="none" w:sz="0" w:space="0" w:color="auto"/>
        <w:bottom w:val="none" w:sz="0" w:space="0" w:color="auto"/>
        <w:right w:val="none" w:sz="0" w:space="0" w:color="auto"/>
      </w:divBdr>
    </w:div>
    <w:div w:id="607008062">
      <w:bodyDiv w:val="1"/>
      <w:marLeft w:val="0"/>
      <w:marRight w:val="0"/>
      <w:marTop w:val="0"/>
      <w:marBottom w:val="0"/>
      <w:divBdr>
        <w:top w:val="none" w:sz="0" w:space="0" w:color="auto"/>
        <w:left w:val="none" w:sz="0" w:space="0" w:color="auto"/>
        <w:bottom w:val="none" w:sz="0" w:space="0" w:color="auto"/>
        <w:right w:val="none" w:sz="0" w:space="0" w:color="auto"/>
      </w:divBdr>
    </w:div>
    <w:div w:id="607198399">
      <w:bodyDiv w:val="1"/>
      <w:marLeft w:val="0"/>
      <w:marRight w:val="0"/>
      <w:marTop w:val="0"/>
      <w:marBottom w:val="0"/>
      <w:divBdr>
        <w:top w:val="none" w:sz="0" w:space="0" w:color="auto"/>
        <w:left w:val="none" w:sz="0" w:space="0" w:color="auto"/>
        <w:bottom w:val="none" w:sz="0" w:space="0" w:color="auto"/>
        <w:right w:val="none" w:sz="0" w:space="0" w:color="auto"/>
      </w:divBdr>
    </w:div>
    <w:div w:id="607352641">
      <w:bodyDiv w:val="1"/>
      <w:marLeft w:val="0"/>
      <w:marRight w:val="0"/>
      <w:marTop w:val="0"/>
      <w:marBottom w:val="0"/>
      <w:divBdr>
        <w:top w:val="none" w:sz="0" w:space="0" w:color="auto"/>
        <w:left w:val="none" w:sz="0" w:space="0" w:color="auto"/>
        <w:bottom w:val="none" w:sz="0" w:space="0" w:color="auto"/>
        <w:right w:val="none" w:sz="0" w:space="0" w:color="auto"/>
      </w:divBdr>
    </w:div>
    <w:div w:id="607398131">
      <w:bodyDiv w:val="1"/>
      <w:marLeft w:val="0"/>
      <w:marRight w:val="0"/>
      <w:marTop w:val="0"/>
      <w:marBottom w:val="0"/>
      <w:divBdr>
        <w:top w:val="none" w:sz="0" w:space="0" w:color="auto"/>
        <w:left w:val="none" w:sz="0" w:space="0" w:color="auto"/>
        <w:bottom w:val="none" w:sz="0" w:space="0" w:color="auto"/>
        <w:right w:val="none" w:sz="0" w:space="0" w:color="auto"/>
      </w:divBdr>
    </w:div>
    <w:div w:id="607547936">
      <w:bodyDiv w:val="1"/>
      <w:marLeft w:val="0"/>
      <w:marRight w:val="0"/>
      <w:marTop w:val="0"/>
      <w:marBottom w:val="0"/>
      <w:divBdr>
        <w:top w:val="none" w:sz="0" w:space="0" w:color="auto"/>
        <w:left w:val="none" w:sz="0" w:space="0" w:color="auto"/>
        <w:bottom w:val="none" w:sz="0" w:space="0" w:color="auto"/>
        <w:right w:val="none" w:sz="0" w:space="0" w:color="auto"/>
      </w:divBdr>
    </w:div>
    <w:div w:id="607734103">
      <w:bodyDiv w:val="1"/>
      <w:marLeft w:val="0"/>
      <w:marRight w:val="0"/>
      <w:marTop w:val="0"/>
      <w:marBottom w:val="0"/>
      <w:divBdr>
        <w:top w:val="none" w:sz="0" w:space="0" w:color="auto"/>
        <w:left w:val="none" w:sz="0" w:space="0" w:color="auto"/>
        <w:bottom w:val="none" w:sz="0" w:space="0" w:color="auto"/>
        <w:right w:val="none" w:sz="0" w:space="0" w:color="auto"/>
      </w:divBdr>
    </w:div>
    <w:div w:id="607808442">
      <w:bodyDiv w:val="1"/>
      <w:marLeft w:val="0"/>
      <w:marRight w:val="0"/>
      <w:marTop w:val="0"/>
      <w:marBottom w:val="0"/>
      <w:divBdr>
        <w:top w:val="none" w:sz="0" w:space="0" w:color="auto"/>
        <w:left w:val="none" w:sz="0" w:space="0" w:color="auto"/>
        <w:bottom w:val="none" w:sz="0" w:space="0" w:color="auto"/>
        <w:right w:val="none" w:sz="0" w:space="0" w:color="auto"/>
      </w:divBdr>
    </w:div>
    <w:div w:id="607811272">
      <w:bodyDiv w:val="1"/>
      <w:marLeft w:val="0"/>
      <w:marRight w:val="0"/>
      <w:marTop w:val="0"/>
      <w:marBottom w:val="0"/>
      <w:divBdr>
        <w:top w:val="none" w:sz="0" w:space="0" w:color="auto"/>
        <w:left w:val="none" w:sz="0" w:space="0" w:color="auto"/>
        <w:bottom w:val="none" w:sz="0" w:space="0" w:color="auto"/>
        <w:right w:val="none" w:sz="0" w:space="0" w:color="auto"/>
      </w:divBdr>
    </w:div>
    <w:div w:id="607812545">
      <w:bodyDiv w:val="1"/>
      <w:marLeft w:val="0"/>
      <w:marRight w:val="0"/>
      <w:marTop w:val="0"/>
      <w:marBottom w:val="0"/>
      <w:divBdr>
        <w:top w:val="none" w:sz="0" w:space="0" w:color="auto"/>
        <w:left w:val="none" w:sz="0" w:space="0" w:color="auto"/>
        <w:bottom w:val="none" w:sz="0" w:space="0" w:color="auto"/>
        <w:right w:val="none" w:sz="0" w:space="0" w:color="auto"/>
      </w:divBdr>
    </w:div>
    <w:div w:id="607932676">
      <w:bodyDiv w:val="1"/>
      <w:marLeft w:val="0"/>
      <w:marRight w:val="0"/>
      <w:marTop w:val="0"/>
      <w:marBottom w:val="0"/>
      <w:divBdr>
        <w:top w:val="none" w:sz="0" w:space="0" w:color="auto"/>
        <w:left w:val="none" w:sz="0" w:space="0" w:color="auto"/>
        <w:bottom w:val="none" w:sz="0" w:space="0" w:color="auto"/>
        <w:right w:val="none" w:sz="0" w:space="0" w:color="auto"/>
      </w:divBdr>
    </w:div>
    <w:div w:id="607977547">
      <w:bodyDiv w:val="1"/>
      <w:marLeft w:val="0"/>
      <w:marRight w:val="0"/>
      <w:marTop w:val="0"/>
      <w:marBottom w:val="0"/>
      <w:divBdr>
        <w:top w:val="none" w:sz="0" w:space="0" w:color="auto"/>
        <w:left w:val="none" w:sz="0" w:space="0" w:color="auto"/>
        <w:bottom w:val="none" w:sz="0" w:space="0" w:color="auto"/>
        <w:right w:val="none" w:sz="0" w:space="0" w:color="auto"/>
      </w:divBdr>
    </w:div>
    <w:div w:id="608006318">
      <w:bodyDiv w:val="1"/>
      <w:marLeft w:val="0"/>
      <w:marRight w:val="0"/>
      <w:marTop w:val="0"/>
      <w:marBottom w:val="0"/>
      <w:divBdr>
        <w:top w:val="none" w:sz="0" w:space="0" w:color="auto"/>
        <w:left w:val="none" w:sz="0" w:space="0" w:color="auto"/>
        <w:bottom w:val="none" w:sz="0" w:space="0" w:color="auto"/>
        <w:right w:val="none" w:sz="0" w:space="0" w:color="auto"/>
      </w:divBdr>
    </w:div>
    <w:div w:id="608048458">
      <w:bodyDiv w:val="1"/>
      <w:marLeft w:val="0"/>
      <w:marRight w:val="0"/>
      <w:marTop w:val="0"/>
      <w:marBottom w:val="0"/>
      <w:divBdr>
        <w:top w:val="none" w:sz="0" w:space="0" w:color="auto"/>
        <w:left w:val="none" w:sz="0" w:space="0" w:color="auto"/>
        <w:bottom w:val="none" w:sz="0" w:space="0" w:color="auto"/>
        <w:right w:val="none" w:sz="0" w:space="0" w:color="auto"/>
      </w:divBdr>
    </w:div>
    <w:div w:id="608052743">
      <w:bodyDiv w:val="1"/>
      <w:marLeft w:val="0"/>
      <w:marRight w:val="0"/>
      <w:marTop w:val="0"/>
      <w:marBottom w:val="0"/>
      <w:divBdr>
        <w:top w:val="none" w:sz="0" w:space="0" w:color="auto"/>
        <w:left w:val="none" w:sz="0" w:space="0" w:color="auto"/>
        <w:bottom w:val="none" w:sz="0" w:space="0" w:color="auto"/>
        <w:right w:val="none" w:sz="0" w:space="0" w:color="auto"/>
      </w:divBdr>
    </w:div>
    <w:div w:id="608196951">
      <w:bodyDiv w:val="1"/>
      <w:marLeft w:val="0"/>
      <w:marRight w:val="0"/>
      <w:marTop w:val="0"/>
      <w:marBottom w:val="0"/>
      <w:divBdr>
        <w:top w:val="none" w:sz="0" w:space="0" w:color="auto"/>
        <w:left w:val="none" w:sz="0" w:space="0" w:color="auto"/>
        <w:bottom w:val="none" w:sz="0" w:space="0" w:color="auto"/>
        <w:right w:val="none" w:sz="0" w:space="0" w:color="auto"/>
      </w:divBdr>
    </w:div>
    <w:div w:id="608316578">
      <w:bodyDiv w:val="1"/>
      <w:marLeft w:val="0"/>
      <w:marRight w:val="0"/>
      <w:marTop w:val="0"/>
      <w:marBottom w:val="0"/>
      <w:divBdr>
        <w:top w:val="none" w:sz="0" w:space="0" w:color="auto"/>
        <w:left w:val="none" w:sz="0" w:space="0" w:color="auto"/>
        <w:bottom w:val="none" w:sz="0" w:space="0" w:color="auto"/>
        <w:right w:val="none" w:sz="0" w:space="0" w:color="auto"/>
      </w:divBdr>
    </w:div>
    <w:div w:id="608394015">
      <w:bodyDiv w:val="1"/>
      <w:marLeft w:val="0"/>
      <w:marRight w:val="0"/>
      <w:marTop w:val="0"/>
      <w:marBottom w:val="0"/>
      <w:divBdr>
        <w:top w:val="none" w:sz="0" w:space="0" w:color="auto"/>
        <w:left w:val="none" w:sz="0" w:space="0" w:color="auto"/>
        <w:bottom w:val="none" w:sz="0" w:space="0" w:color="auto"/>
        <w:right w:val="none" w:sz="0" w:space="0" w:color="auto"/>
      </w:divBdr>
    </w:div>
    <w:div w:id="608590691">
      <w:bodyDiv w:val="1"/>
      <w:marLeft w:val="0"/>
      <w:marRight w:val="0"/>
      <w:marTop w:val="0"/>
      <w:marBottom w:val="0"/>
      <w:divBdr>
        <w:top w:val="none" w:sz="0" w:space="0" w:color="auto"/>
        <w:left w:val="none" w:sz="0" w:space="0" w:color="auto"/>
        <w:bottom w:val="none" w:sz="0" w:space="0" w:color="auto"/>
        <w:right w:val="none" w:sz="0" w:space="0" w:color="auto"/>
      </w:divBdr>
    </w:div>
    <w:div w:id="608657190">
      <w:bodyDiv w:val="1"/>
      <w:marLeft w:val="0"/>
      <w:marRight w:val="0"/>
      <w:marTop w:val="0"/>
      <w:marBottom w:val="0"/>
      <w:divBdr>
        <w:top w:val="none" w:sz="0" w:space="0" w:color="auto"/>
        <w:left w:val="none" w:sz="0" w:space="0" w:color="auto"/>
        <w:bottom w:val="none" w:sz="0" w:space="0" w:color="auto"/>
        <w:right w:val="none" w:sz="0" w:space="0" w:color="auto"/>
      </w:divBdr>
    </w:div>
    <w:div w:id="608972419">
      <w:bodyDiv w:val="1"/>
      <w:marLeft w:val="0"/>
      <w:marRight w:val="0"/>
      <w:marTop w:val="0"/>
      <w:marBottom w:val="0"/>
      <w:divBdr>
        <w:top w:val="none" w:sz="0" w:space="0" w:color="auto"/>
        <w:left w:val="none" w:sz="0" w:space="0" w:color="auto"/>
        <w:bottom w:val="none" w:sz="0" w:space="0" w:color="auto"/>
        <w:right w:val="none" w:sz="0" w:space="0" w:color="auto"/>
      </w:divBdr>
    </w:div>
    <w:div w:id="609049905">
      <w:bodyDiv w:val="1"/>
      <w:marLeft w:val="0"/>
      <w:marRight w:val="0"/>
      <w:marTop w:val="0"/>
      <w:marBottom w:val="0"/>
      <w:divBdr>
        <w:top w:val="none" w:sz="0" w:space="0" w:color="auto"/>
        <w:left w:val="none" w:sz="0" w:space="0" w:color="auto"/>
        <w:bottom w:val="none" w:sz="0" w:space="0" w:color="auto"/>
        <w:right w:val="none" w:sz="0" w:space="0" w:color="auto"/>
      </w:divBdr>
    </w:div>
    <w:div w:id="609171086">
      <w:bodyDiv w:val="1"/>
      <w:marLeft w:val="0"/>
      <w:marRight w:val="0"/>
      <w:marTop w:val="0"/>
      <w:marBottom w:val="0"/>
      <w:divBdr>
        <w:top w:val="none" w:sz="0" w:space="0" w:color="auto"/>
        <w:left w:val="none" w:sz="0" w:space="0" w:color="auto"/>
        <w:bottom w:val="none" w:sz="0" w:space="0" w:color="auto"/>
        <w:right w:val="none" w:sz="0" w:space="0" w:color="auto"/>
      </w:divBdr>
    </w:div>
    <w:div w:id="609314192">
      <w:bodyDiv w:val="1"/>
      <w:marLeft w:val="0"/>
      <w:marRight w:val="0"/>
      <w:marTop w:val="0"/>
      <w:marBottom w:val="0"/>
      <w:divBdr>
        <w:top w:val="none" w:sz="0" w:space="0" w:color="auto"/>
        <w:left w:val="none" w:sz="0" w:space="0" w:color="auto"/>
        <w:bottom w:val="none" w:sz="0" w:space="0" w:color="auto"/>
        <w:right w:val="none" w:sz="0" w:space="0" w:color="auto"/>
      </w:divBdr>
    </w:div>
    <w:div w:id="609314849">
      <w:bodyDiv w:val="1"/>
      <w:marLeft w:val="0"/>
      <w:marRight w:val="0"/>
      <w:marTop w:val="0"/>
      <w:marBottom w:val="0"/>
      <w:divBdr>
        <w:top w:val="none" w:sz="0" w:space="0" w:color="auto"/>
        <w:left w:val="none" w:sz="0" w:space="0" w:color="auto"/>
        <w:bottom w:val="none" w:sz="0" w:space="0" w:color="auto"/>
        <w:right w:val="none" w:sz="0" w:space="0" w:color="auto"/>
      </w:divBdr>
    </w:div>
    <w:div w:id="609435259">
      <w:bodyDiv w:val="1"/>
      <w:marLeft w:val="0"/>
      <w:marRight w:val="0"/>
      <w:marTop w:val="0"/>
      <w:marBottom w:val="0"/>
      <w:divBdr>
        <w:top w:val="none" w:sz="0" w:space="0" w:color="auto"/>
        <w:left w:val="none" w:sz="0" w:space="0" w:color="auto"/>
        <w:bottom w:val="none" w:sz="0" w:space="0" w:color="auto"/>
        <w:right w:val="none" w:sz="0" w:space="0" w:color="auto"/>
      </w:divBdr>
    </w:div>
    <w:div w:id="609436538">
      <w:bodyDiv w:val="1"/>
      <w:marLeft w:val="0"/>
      <w:marRight w:val="0"/>
      <w:marTop w:val="0"/>
      <w:marBottom w:val="0"/>
      <w:divBdr>
        <w:top w:val="none" w:sz="0" w:space="0" w:color="auto"/>
        <w:left w:val="none" w:sz="0" w:space="0" w:color="auto"/>
        <w:bottom w:val="none" w:sz="0" w:space="0" w:color="auto"/>
        <w:right w:val="none" w:sz="0" w:space="0" w:color="auto"/>
      </w:divBdr>
    </w:div>
    <w:div w:id="609553176">
      <w:bodyDiv w:val="1"/>
      <w:marLeft w:val="0"/>
      <w:marRight w:val="0"/>
      <w:marTop w:val="0"/>
      <w:marBottom w:val="0"/>
      <w:divBdr>
        <w:top w:val="none" w:sz="0" w:space="0" w:color="auto"/>
        <w:left w:val="none" w:sz="0" w:space="0" w:color="auto"/>
        <w:bottom w:val="none" w:sz="0" w:space="0" w:color="auto"/>
        <w:right w:val="none" w:sz="0" w:space="0" w:color="auto"/>
      </w:divBdr>
    </w:div>
    <w:div w:id="609582251">
      <w:bodyDiv w:val="1"/>
      <w:marLeft w:val="0"/>
      <w:marRight w:val="0"/>
      <w:marTop w:val="0"/>
      <w:marBottom w:val="0"/>
      <w:divBdr>
        <w:top w:val="none" w:sz="0" w:space="0" w:color="auto"/>
        <w:left w:val="none" w:sz="0" w:space="0" w:color="auto"/>
        <w:bottom w:val="none" w:sz="0" w:space="0" w:color="auto"/>
        <w:right w:val="none" w:sz="0" w:space="0" w:color="auto"/>
      </w:divBdr>
    </w:div>
    <w:div w:id="609633024">
      <w:bodyDiv w:val="1"/>
      <w:marLeft w:val="0"/>
      <w:marRight w:val="0"/>
      <w:marTop w:val="0"/>
      <w:marBottom w:val="0"/>
      <w:divBdr>
        <w:top w:val="none" w:sz="0" w:space="0" w:color="auto"/>
        <w:left w:val="none" w:sz="0" w:space="0" w:color="auto"/>
        <w:bottom w:val="none" w:sz="0" w:space="0" w:color="auto"/>
        <w:right w:val="none" w:sz="0" w:space="0" w:color="auto"/>
      </w:divBdr>
    </w:div>
    <w:div w:id="609750560">
      <w:bodyDiv w:val="1"/>
      <w:marLeft w:val="0"/>
      <w:marRight w:val="0"/>
      <w:marTop w:val="0"/>
      <w:marBottom w:val="0"/>
      <w:divBdr>
        <w:top w:val="none" w:sz="0" w:space="0" w:color="auto"/>
        <w:left w:val="none" w:sz="0" w:space="0" w:color="auto"/>
        <w:bottom w:val="none" w:sz="0" w:space="0" w:color="auto"/>
        <w:right w:val="none" w:sz="0" w:space="0" w:color="auto"/>
      </w:divBdr>
    </w:div>
    <w:div w:id="609777825">
      <w:bodyDiv w:val="1"/>
      <w:marLeft w:val="0"/>
      <w:marRight w:val="0"/>
      <w:marTop w:val="0"/>
      <w:marBottom w:val="0"/>
      <w:divBdr>
        <w:top w:val="none" w:sz="0" w:space="0" w:color="auto"/>
        <w:left w:val="none" w:sz="0" w:space="0" w:color="auto"/>
        <w:bottom w:val="none" w:sz="0" w:space="0" w:color="auto"/>
        <w:right w:val="none" w:sz="0" w:space="0" w:color="auto"/>
      </w:divBdr>
    </w:div>
    <w:div w:id="609822803">
      <w:bodyDiv w:val="1"/>
      <w:marLeft w:val="0"/>
      <w:marRight w:val="0"/>
      <w:marTop w:val="0"/>
      <w:marBottom w:val="0"/>
      <w:divBdr>
        <w:top w:val="none" w:sz="0" w:space="0" w:color="auto"/>
        <w:left w:val="none" w:sz="0" w:space="0" w:color="auto"/>
        <w:bottom w:val="none" w:sz="0" w:space="0" w:color="auto"/>
        <w:right w:val="none" w:sz="0" w:space="0" w:color="auto"/>
      </w:divBdr>
    </w:div>
    <w:div w:id="609899846">
      <w:bodyDiv w:val="1"/>
      <w:marLeft w:val="0"/>
      <w:marRight w:val="0"/>
      <w:marTop w:val="0"/>
      <w:marBottom w:val="0"/>
      <w:divBdr>
        <w:top w:val="none" w:sz="0" w:space="0" w:color="auto"/>
        <w:left w:val="none" w:sz="0" w:space="0" w:color="auto"/>
        <w:bottom w:val="none" w:sz="0" w:space="0" w:color="auto"/>
        <w:right w:val="none" w:sz="0" w:space="0" w:color="auto"/>
      </w:divBdr>
    </w:div>
    <w:div w:id="609944178">
      <w:bodyDiv w:val="1"/>
      <w:marLeft w:val="0"/>
      <w:marRight w:val="0"/>
      <w:marTop w:val="0"/>
      <w:marBottom w:val="0"/>
      <w:divBdr>
        <w:top w:val="none" w:sz="0" w:space="0" w:color="auto"/>
        <w:left w:val="none" w:sz="0" w:space="0" w:color="auto"/>
        <w:bottom w:val="none" w:sz="0" w:space="0" w:color="auto"/>
        <w:right w:val="none" w:sz="0" w:space="0" w:color="auto"/>
      </w:divBdr>
    </w:div>
    <w:div w:id="609973089">
      <w:bodyDiv w:val="1"/>
      <w:marLeft w:val="0"/>
      <w:marRight w:val="0"/>
      <w:marTop w:val="0"/>
      <w:marBottom w:val="0"/>
      <w:divBdr>
        <w:top w:val="none" w:sz="0" w:space="0" w:color="auto"/>
        <w:left w:val="none" w:sz="0" w:space="0" w:color="auto"/>
        <w:bottom w:val="none" w:sz="0" w:space="0" w:color="auto"/>
        <w:right w:val="none" w:sz="0" w:space="0" w:color="auto"/>
      </w:divBdr>
    </w:div>
    <w:div w:id="610014554">
      <w:bodyDiv w:val="1"/>
      <w:marLeft w:val="0"/>
      <w:marRight w:val="0"/>
      <w:marTop w:val="0"/>
      <w:marBottom w:val="0"/>
      <w:divBdr>
        <w:top w:val="none" w:sz="0" w:space="0" w:color="auto"/>
        <w:left w:val="none" w:sz="0" w:space="0" w:color="auto"/>
        <w:bottom w:val="none" w:sz="0" w:space="0" w:color="auto"/>
        <w:right w:val="none" w:sz="0" w:space="0" w:color="auto"/>
      </w:divBdr>
    </w:div>
    <w:div w:id="610169503">
      <w:bodyDiv w:val="1"/>
      <w:marLeft w:val="0"/>
      <w:marRight w:val="0"/>
      <w:marTop w:val="0"/>
      <w:marBottom w:val="0"/>
      <w:divBdr>
        <w:top w:val="none" w:sz="0" w:space="0" w:color="auto"/>
        <w:left w:val="none" w:sz="0" w:space="0" w:color="auto"/>
        <w:bottom w:val="none" w:sz="0" w:space="0" w:color="auto"/>
        <w:right w:val="none" w:sz="0" w:space="0" w:color="auto"/>
      </w:divBdr>
    </w:div>
    <w:div w:id="610208192">
      <w:bodyDiv w:val="1"/>
      <w:marLeft w:val="0"/>
      <w:marRight w:val="0"/>
      <w:marTop w:val="0"/>
      <w:marBottom w:val="0"/>
      <w:divBdr>
        <w:top w:val="none" w:sz="0" w:space="0" w:color="auto"/>
        <w:left w:val="none" w:sz="0" w:space="0" w:color="auto"/>
        <w:bottom w:val="none" w:sz="0" w:space="0" w:color="auto"/>
        <w:right w:val="none" w:sz="0" w:space="0" w:color="auto"/>
      </w:divBdr>
    </w:div>
    <w:div w:id="610212932">
      <w:bodyDiv w:val="1"/>
      <w:marLeft w:val="0"/>
      <w:marRight w:val="0"/>
      <w:marTop w:val="0"/>
      <w:marBottom w:val="0"/>
      <w:divBdr>
        <w:top w:val="none" w:sz="0" w:space="0" w:color="auto"/>
        <w:left w:val="none" w:sz="0" w:space="0" w:color="auto"/>
        <w:bottom w:val="none" w:sz="0" w:space="0" w:color="auto"/>
        <w:right w:val="none" w:sz="0" w:space="0" w:color="auto"/>
      </w:divBdr>
    </w:div>
    <w:div w:id="610284316">
      <w:bodyDiv w:val="1"/>
      <w:marLeft w:val="0"/>
      <w:marRight w:val="0"/>
      <w:marTop w:val="0"/>
      <w:marBottom w:val="0"/>
      <w:divBdr>
        <w:top w:val="none" w:sz="0" w:space="0" w:color="auto"/>
        <w:left w:val="none" w:sz="0" w:space="0" w:color="auto"/>
        <w:bottom w:val="none" w:sz="0" w:space="0" w:color="auto"/>
        <w:right w:val="none" w:sz="0" w:space="0" w:color="auto"/>
      </w:divBdr>
    </w:div>
    <w:div w:id="610287810">
      <w:bodyDiv w:val="1"/>
      <w:marLeft w:val="0"/>
      <w:marRight w:val="0"/>
      <w:marTop w:val="0"/>
      <w:marBottom w:val="0"/>
      <w:divBdr>
        <w:top w:val="none" w:sz="0" w:space="0" w:color="auto"/>
        <w:left w:val="none" w:sz="0" w:space="0" w:color="auto"/>
        <w:bottom w:val="none" w:sz="0" w:space="0" w:color="auto"/>
        <w:right w:val="none" w:sz="0" w:space="0" w:color="auto"/>
      </w:divBdr>
    </w:div>
    <w:div w:id="610430213">
      <w:bodyDiv w:val="1"/>
      <w:marLeft w:val="0"/>
      <w:marRight w:val="0"/>
      <w:marTop w:val="0"/>
      <w:marBottom w:val="0"/>
      <w:divBdr>
        <w:top w:val="none" w:sz="0" w:space="0" w:color="auto"/>
        <w:left w:val="none" w:sz="0" w:space="0" w:color="auto"/>
        <w:bottom w:val="none" w:sz="0" w:space="0" w:color="auto"/>
        <w:right w:val="none" w:sz="0" w:space="0" w:color="auto"/>
      </w:divBdr>
    </w:div>
    <w:div w:id="610625244">
      <w:bodyDiv w:val="1"/>
      <w:marLeft w:val="0"/>
      <w:marRight w:val="0"/>
      <w:marTop w:val="0"/>
      <w:marBottom w:val="0"/>
      <w:divBdr>
        <w:top w:val="none" w:sz="0" w:space="0" w:color="auto"/>
        <w:left w:val="none" w:sz="0" w:space="0" w:color="auto"/>
        <w:bottom w:val="none" w:sz="0" w:space="0" w:color="auto"/>
        <w:right w:val="none" w:sz="0" w:space="0" w:color="auto"/>
      </w:divBdr>
    </w:div>
    <w:div w:id="610744423">
      <w:bodyDiv w:val="1"/>
      <w:marLeft w:val="0"/>
      <w:marRight w:val="0"/>
      <w:marTop w:val="0"/>
      <w:marBottom w:val="0"/>
      <w:divBdr>
        <w:top w:val="none" w:sz="0" w:space="0" w:color="auto"/>
        <w:left w:val="none" w:sz="0" w:space="0" w:color="auto"/>
        <w:bottom w:val="none" w:sz="0" w:space="0" w:color="auto"/>
        <w:right w:val="none" w:sz="0" w:space="0" w:color="auto"/>
      </w:divBdr>
    </w:div>
    <w:div w:id="610818731">
      <w:bodyDiv w:val="1"/>
      <w:marLeft w:val="0"/>
      <w:marRight w:val="0"/>
      <w:marTop w:val="0"/>
      <w:marBottom w:val="0"/>
      <w:divBdr>
        <w:top w:val="none" w:sz="0" w:space="0" w:color="auto"/>
        <w:left w:val="none" w:sz="0" w:space="0" w:color="auto"/>
        <w:bottom w:val="none" w:sz="0" w:space="0" w:color="auto"/>
        <w:right w:val="none" w:sz="0" w:space="0" w:color="auto"/>
      </w:divBdr>
    </w:div>
    <w:div w:id="610861245">
      <w:bodyDiv w:val="1"/>
      <w:marLeft w:val="0"/>
      <w:marRight w:val="0"/>
      <w:marTop w:val="0"/>
      <w:marBottom w:val="0"/>
      <w:divBdr>
        <w:top w:val="none" w:sz="0" w:space="0" w:color="auto"/>
        <w:left w:val="none" w:sz="0" w:space="0" w:color="auto"/>
        <w:bottom w:val="none" w:sz="0" w:space="0" w:color="auto"/>
        <w:right w:val="none" w:sz="0" w:space="0" w:color="auto"/>
      </w:divBdr>
    </w:div>
    <w:div w:id="610865593">
      <w:bodyDiv w:val="1"/>
      <w:marLeft w:val="0"/>
      <w:marRight w:val="0"/>
      <w:marTop w:val="0"/>
      <w:marBottom w:val="0"/>
      <w:divBdr>
        <w:top w:val="none" w:sz="0" w:space="0" w:color="auto"/>
        <w:left w:val="none" w:sz="0" w:space="0" w:color="auto"/>
        <w:bottom w:val="none" w:sz="0" w:space="0" w:color="auto"/>
        <w:right w:val="none" w:sz="0" w:space="0" w:color="auto"/>
      </w:divBdr>
    </w:div>
    <w:div w:id="610891507">
      <w:bodyDiv w:val="1"/>
      <w:marLeft w:val="0"/>
      <w:marRight w:val="0"/>
      <w:marTop w:val="0"/>
      <w:marBottom w:val="0"/>
      <w:divBdr>
        <w:top w:val="none" w:sz="0" w:space="0" w:color="auto"/>
        <w:left w:val="none" w:sz="0" w:space="0" w:color="auto"/>
        <w:bottom w:val="none" w:sz="0" w:space="0" w:color="auto"/>
        <w:right w:val="none" w:sz="0" w:space="0" w:color="auto"/>
      </w:divBdr>
    </w:div>
    <w:div w:id="611089163">
      <w:bodyDiv w:val="1"/>
      <w:marLeft w:val="0"/>
      <w:marRight w:val="0"/>
      <w:marTop w:val="0"/>
      <w:marBottom w:val="0"/>
      <w:divBdr>
        <w:top w:val="none" w:sz="0" w:space="0" w:color="auto"/>
        <w:left w:val="none" w:sz="0" w:space="0" w:color="auto"/>
        <w:bottom w:val="none" w:sz="0" w:space="0" w:color="auto"/>
        <w:right w:val="none" w:sz="0" w:space="0" w:color="auto"/>
      </w:divBdr>
    </w:div>
    <w:div w:id="611322651">
      <w:bodyDiv w:val="1"/>
      <w:marLeft w:val="0"/>
      <w:marRight w:val="0"/>
      <w:marTop w:val="0"/>
      <w:marBottom w:val="0"/>
      <w:divBdr>
        <w:top w:val="none" w:sz="0" w:space="0" w:color="auto"/>
        <w:left w:val="none" w:sz="0" w:space="0" w:color="auto"/>
        <w:bottom w:val="none" w:sz="0" w:space="0" w:color="auto"/>
        <w:right w:val="none" w:sz="0" w:space="0" w:color="auto"/>
      </w:divBdr>
    </w:div>
    <w:div w:id="611323431">
      <w:bodyDiv w:val="1"/>
      <w:marLeft w:val="0"/>
      <w:marRight w:val="0"/>
      <w:marTop w:val="0"/>
      <w:marBottom w:val="0"/>
      <w:divBdr>
        <w:top w:val="none" w:sz="0" w:space="0" w:color="auto"/>
        <w:left w:val="none" w:sz="0" w:space="0" w:color="auto"/>
        <w:bottom w:val="none" w:sz="0" w:space="0" w:color="auto"/>
        <w:right w:val="none" w:sz="0" w:space="0" w:color="auto"/>
      </w:divBdr>
    </w:div>
    <w:div w:id="611403173">
      <w:bodyDiv w:val="1"/>
      <w:marLeft w:val="0"/>
      <w:marRight w:val="0"/>
      <w:marTop w:val="0"/>
      <w:marBottom w:val="0"/>
      <w:divBdr>
        <w:top w:val="none" w:sz="0" w:space="0" w:color="auto"/>
        <w:left w:val="none" w:sz="0" w:space="0" w:color="auto"/>
        <w:bottom w:val="none" w:sz="0" w:space="0" w:color="auto"/>
        <w:right w:val="none" w:sz="0" w:space="0" w:color="auto"/>
      </w:divBdr>
    </w:div>
    <w:div w:id="611472761">
      <w:bodyDiv w:val="1"/>
      <w:marLeft w:val="0"/>
      <w:marRight w:val="0"/>
      <w:marTop w:val="0"/>
      <w:marBottom w:val="0"/>
      <w:divBdr>
        <w:top w:val="none" w:sz="0" w:space="0" w:color="auto"/>
        <w:left w:val="none" w:sz="0" w:space="0" w:color="auto"/>
        <w:bottom w:val="none" w:sz="0" w:space="0" w:color="auto"/>
        <w:right w:val="none" w:sz="0" w:space="0" w:color="auto"/>
      </w:divBdr>
    </w:div>
    <w:div w:id="611593793">
      <w:bodyDiv w:val="1"/>
      <w:marLeft w:val="0"/>
      <w:marRight w:val="0"/>
      <w:marTop w:val="0"/>
      <w:marBottom w:val="0"/>
      <w:divBdr>
        <w:top w:val="none" w:sz="0" w:space="0" w:color="auto"/>
        <w:left w:val="none" w:sz="0" w:space="0" w:color="auto"/>
        <w:bottom w:val="none" w:sz="0" w:space="0" w:color="auto"/>
        <w:right w:val="none" w:sz="0" w:space="0" w:color="auto"/>
      </w:divBdr>
    </w:div>
    <w:div w:id="611595790">
      <w:bodyDiv w:val="1"/>
      <w:marLeft w:val="0"/>
      <w:marRight w:val="0"/>
      <w:marTop w:val="0"/>
      <w:marBottom w:val="0"/>
      <w:divBdr>
        <w:top w:val="none" w:sz="0" w:space="0" w:color="auto"/>
        <w:left w:val="none" w:sz="0" w:space="0" w:color="auto"/>
        <w:bottom w:val="none" w:sz="0" w:space="0" w:color="auto"/>
        <w:right w:val="none" w:sz="0" w:space="0" w:color="auto"/>
      </w:divBdr>
    </w:div>
    <w:div w:id="611713901">
      <w:bodyDiv w:val="1"/>
      <w:marLeft w:val="0"/>
      <w:marRight w:val="0"/>
      <w:marTop w:val="0"/>
      <w:marBottom w:val="0"/>
      <w:divBdr>
        <w:top w:val="none" w:sz="0" w:space="0" w:color="auto"/>
        <w:left w:val="none" w:sz="0" w:space="0" w:color="auto"/>
        <w:bottom w:val="none" w:sz="0" w:space="0" w:color="auto"/>
        <w:right w:val="none" w:sz="0" w:space="0" w:color="auto"/>
      </w:divBdr>
    </w:div>
    <w:div w:id="611741918">
      <w:bodyDiv w:val="1"/>
      <w:marLeft w:val="0"/>
      <w:marRight w:val="0"/>
      <w:marTop w:val="0"/>
      <w:marBottom w:val="0"/>
      <w:divBdr>
        <w:top w:val="none" w:sz="0" w:space="0" w:color="auto"/>
        <w:left w:val="none" w:sz="0" w:space="0" w:color="auto"/>
        <w:bottom w:val="none" w:sz="0" w:space="0" w:color="auto"/>
        <w:right w:val="none" w:sz="0" w:space="0" w:color="auto"/>
      </w:divBdr>
    </w:div>
    <w:div w:id="611787141">
      <w:bodyDiv w:val="1"/>
      <w:marLeft w:val="0"/>
      <w:marRight w:val="0"/>
      <w:marTop w:val="0"/>
      <w:marBottom w:val="0"/>
      <w:divBdr>
        <w:top w:val="none" w:sz="0" w:space="0" w:color="auto"/>
        <w:left w:val="none" w:sz="0" w:space="0" w:color="auto"/>
        <w:bottom w:val="none" w:sz="0" w:space="0" w:color="auto"/>
        <w:right w:val="none" w:sz="0" w:space="0" w:color="auto"/>
      </w:divBdr>
    </w:div>
    <w:div w:id="611858291">
      <w:bodyDiv w:val="1"/>
      <w:marLeft w:val="0"/>
      <w:marRight w:val="0"/>
      <w:marTop w:val="0"/>
      <w:marBottom w:val="0"/>
      <w:divBdr>
        <w:top w:val="none" w:sz="0" w:space="0" w:color="auto"/>
        <w:left w:val="none" w:sz="0" w:space="0" w:color="auto"/>
        <w:bottom w:val="none" w:sz="0" w:space="0" w:color="auto"/>
        <w:right w:val="none" w:sz="0" w:space="0" w:color="auto"/>
      </w:divBdr>
    </w:div>
    <w:div w:id="611909965">
      <w:bodyDiv w:val="1"/>
      <w:marLeft w:val="0"/>
      <w:marRight w:val="0"/>
      <w:marTop w:val="0"/>
      <w:marBottom w:val="0"/>
      <w:divBdr>
        <w:top w:val="none" w:sz="0" w:space="0" w:color="auto"/>
        <w:left w:val="none" w:sz="0" w:space="0" w:color="auto"/>
        <w:bottom w:val="none" w:sz="0" w:space="0" w:color="auto"/>
        <w:right w:val="none" w:sz="0" w:space="0" w:color="auto"/>
      </w:divBdr>
    </w:div>
    <w:div w:id="611937859">
      <w:bodyDiv w:val="1"/>
      <w:marLeft w:val="0"/>
      <w:marRight w:val="0"/>
      <w:marTop w:val="0"/>
      <w:marBottom w:val="0"/>
      <w:divBdr>
        <w:top w:val="none" w:sz="0" w:space="0" w:color="auto"/>
        <w:left w:val="none" w:sz="0" w:space="0" w:color="auto"/>
        <w:bottom w:val="none" w:sz="0" w:space="0" w:color="auto"/>
        <w:right w:val="none" w:sz="0" w:space="0" w:color="auto"/>
      </w:divBdr>
    </w:div>
    <w:div w:id="612246832">
      <w:bodyDiv w:val="1"/>
      <w:marLeft w:val="0"/>
      <w:marRight w:val="0"/>
      <w:marTop w:val="0"/>
      <w:marBottom w:val="0"/>
      <w:divBdr>
        <w:top w:val="none" w:sz="0" w:space="0" w:color="auto"/>
        <w:left w:val="none" w:sz="0" w:space="0" w:color="auto"/>
        <w:bottom w:val="none" w:sz="0" w:space="0" w:color="auto"/>
        <w:right w:val="none" w:sz="0" w:space="0" w:color="auto"/>
      </w:divBdr>
    </w:div>
    <w:div w:id="612250165">
      <w:bodyDiv w:val="1"/>
      <w:marLeft w:val="0"/>
      <w:marRight w:val="0"/>
      <w:marTop w:val="0"/>
      <w:marBottom w:val="0"/>
      <w:divBdr>
        <w:top w:val="none" w:sz="0" w:space="0" w:color="auto"/>
        <w:left w:val="none" w:sz="0" w:space="0" w:color="auto"/>
        <w:bottom w:val="none" w:sz="0" w:space="0" w:color="auto"/>
        <w:right w:val="none" w:sz="0" w:space="0" w:color="auto"/>
      </w:divBdr>
    </w:div>
    <w:div w:id="612320909">
      <w:bodyDiv w:val="1"/>
      <w:marLeft w:val="0"/>
      <w:marRight w:val="0"/>
      <w:marTop w:val="0"/>
      <w:marBottom w:val="0"/>
      <w:divBdr>
        <w:top w:val="none" w:sz="0" w:space="0" w:color="auto"/>
        <w:left w:val="none" w:sz="0" w:space="0" w:color="auto"/>
        <w:bottom w:val="none" w:sz="0" w:space="0" w:color="auto"/>
        <w:right w:val="none" w:sz="0" w:space="0" w:color="auto"/>
      </w:divBdr>
    </w:div>
    <w:div w:id="612325704">
      <w:bodyDiv w:val="1"/>
      <w:marLeft w:val="0"/>
      <w:marRight w:val="0"/>
      <w:marTop w:val="0"/>
      <w:marBottom w:val="0"/>
      <w:divBdr>
        <w:top w:val="none" w:sz="0" w:space="0" w:color="auto"/>
        <w:left w:val="none" w:sz="0" w:space="0" w:color="auto"/>
        <w:bottom w:val="none" w:sz="0" w:space="0" w:color="auto"/>
        <w:right w:val="none" w:sz="0" w:space="0" w:color="auto"/>
      </w:divBdr>
    </w:div>
    <w:div w:id="612329390">
      <w:bodyDiv w:val="1"/>
      <w:marLeft w:val="0"/>
      <w:marRight w:val="0"/>
      <w:marTop w:val="0"/>
      <w:marBottom w:val="0"/>
      <w:divBdr>
        <w:top w:val="none" w:sz="0" w:space="0" w:color="auto"/>
        <w:left w:val="none" w:sz="0" w:space="0" w:color="auto"/>
        <w:bottom w:val="none" w:sz="0" w:space="0" w:color="auto"/>
        <w:right w:val="none" w:sz="0" w:space="0" w:color="auto"/>
      </w:divBdr>
    </w:div>
    <w:div w:id="612329569">
      <w:bodyDiv w:val="1"/>
      <w:marLeft w:val="0"/>
      <w:marRight w:val="0"/>
      <w:marTop w:val="0"/>
      <w:marBottom w:val="0"/>
      <w:divBdr>
        <w:top w:val="none" w:sz="0" w:space="0" w:color="auto"/>
        <w:left w:val="none" w:sz="0" w:space="0" w:color="auto"/>
        <w:bottom w:val="none" w:sz="0" w:space="0" w:color="auto"/>
        <w:right w:val="none" w:sz="0" w:space="0" w:color="auto"/>
      </w:divBdr>
    </w:div>
    <w:div w:id="612397875">
      <w:bodyDiv w:val="1"/>
      <w:marLeft w:val="0"/>
      <w:marRight w:val="0"/>
      <w:marTop w:val="0"/>
      <w:marBottom w:val="0"/>
      <w:divBdr>
        <w:top w:val="none" w:sz="0" w:space="0" w:color="auto"/>
        <w:left w:val="none" w:sz="0" w:space="0" w:color="auto"/>
        <w:bottom w:val="none" w:sz="0" w:space="0" w:color="auto"/>
        <w:right w:val="none" w:sz="0" w:space="0" w:color="auto"/>
      </w:divBdr>
    </w:div>
    <w:div w:id="612522322">
      <w:bodyDiv w:val="1"/>
      <w:marLeft w:val="0"/>
      <w:marRight w:val="0"/>
      <w:marTop w:val="0"/>
      <w:marBottom w:val="0"/>
      <w:divBdr>
        <w:top w:val="none" w:sz="0" w:space="0" w:color="auto"/>
        <w:left w:val="none" w:sz="0" w:space="0" w:color="auto"/>
        <w:bottom w:val="none" w:sz="0" w:space="0" w:color="auto"/>
        <w:right w:val="none" w:sz="0" w:space="0" w:color="auto"/>
      </w:divBdr>
    </w:div>
    <w:div w:id="612589764">
      <w:bodyDiv w:val="1"/>
      <w:marLeft w:val="0"/>
      <w:marRight w:val="0"/>
      <w:marTop w:val="0"/>
      <w:marBottom w:val="0"/>
      <w:divBdr>
        <w:top w:val="none" w:sz="0" w:space="0" w:color="auto"/>
        <w:left w:val="none" w:sz="0" w:space="0" w:color="auto"/>
        <w:bottom w:val="none" w:sz="0" w:space="0" w:color="auto"/>
        <w:right w:val="none" w:sz="0" w:space="0" w:color="auto"/>
      </w:divBdr>
    </w:div>
    <w:div w:id="612596267">
      <w:bodyDiv w:val="1"/>
      <w:marLeft w:val="0"/>
      <w:marRight w:val="0"/>
      <w:marTop w:val="0"/>
      <w:marBottom w:val="0"/>
      <w:divBdr>
        <w:top w:val="none" w:sz="0" w:space="0" w:color="auto"/>
        <w:left w:val="none" w:sz="0" w:space="0" w:color="auto"/>
        <w:bottom w:val="none" w:sz="0" w:space="0" w:color="auto"/>
        <w:right w:val="none" w:sz="0" w:space="0" w:color="auto"/>
      </w:divBdr>
    </w:div>
    <w:div w:id="612907268">
      <w:bodyDiv w:val="1"/>
      <w:marLeft w:val="0"/>
      <w:marRight w:val="0"/>
      <w:marTop w:val="0"/>
      <w:marBottom w:val="0"/>
      <w:divBdr>
        <w:top w:val="none" w:sz="0" w:space="0" w:color="auto"/>
        <w:left w:val="none" w:sz="0" w:space="0" w:color="auto"/>
        <w:bottom w:val="none" w:sz="0" w:space="0" w:color="auto"/>
        <w:right w:val="none" w:sz="0" w:space="0" w:color="auto"/>
      </w:divBdr>
    </w:div>
    <w:div w:id="613052145">
      <w:bodyDiv w:val="1"/>
      <w:marLeft w:val="0"/>
      <w:marRight w:val="0"/>
      <w:marTop w:val="0"/>
      <w:marBottom w:val="0"/>
      <w:divBdr>
        <w:top w:val="none" w:sz="0" w:space="0" w:color="auto"/>
        <w:left w:val="none" w:sz="0" w:space="0" w:color="auto"/>
        <w:bottom w:val="none" w:sz="0" w:space="0" w:color="auto"/>
        <w:right w:val="none" w:sz="0" w:space="0" w:color="auto"/>
      </w:divBdr>
    </w:div>
    <w:div w:id="613172903">
      <w:bodyDiv w:val="1"/>
      <w:marLeft w:val="0"/>
      <w:marRight w:val="0"/>
      <w:marTop w:val="0"/>
      <w:marBottom w:val="0"/>
      <w:divBdr>
        <w:top w:val="none" w:sz="0" w:space="0" w:color="auto"/>
        <w:left w:val="none" w:sz="0" w:space="0" w:color="auto"/>
        <w:bottom w:val="none" w:sz="0" w:space="0" w:color="auto"/>
        <w:right w:val="none" w:sz="0" w:space="0" w:color="auto"/>
      </w:divBdr>
    </w:div>
    <w:div w:id="613251860">
      <w:bodyDiv w:val="1"/>
      <w:marLeft w:val="0"/>
      <w:marRight w:val="0"/>
      <w:marTop w:val="0"/>
      <w:marBottom w:val="0"/>
      <w:divBdr>
        <w:top w:val="none" w:sz="0" w:space="0" w:color="auto"/>
        <w:left w:val="none" w:sz="0" w:space="0" w:color="auto"/>
        <w:bottom w:val="none" w:sz="0" w:space="0" w:color="auto"/>
        <w:right w:val="none" w:sz="0" w:space="0" w:color="auto"/>
      </w:divBdr>
    </w:div>
    <w:div w:id="613288761">
      <w:bodyDiv w:val="1"/>
      <w:marLeft w:val="0"/>
      <w:marRight w:val="0"/>
      <w:marTop w:val="0"/>
      <w:marBottom w:val="0"/>
      <w:divBdr>
        <w:top w:val="none" w:sz="0" w:space="0" w:color="auto"/>
        <w:left w:val="none" w:sz="0" w:space="0" w:color="auto"/>
        <w:bottom w:val="none" w:sz="0" w:space="0" w:color="auto"/>
        <w:right w:val="none" w:sz="0" w:space="0" w:color="auto"/>
      </w:divBdr>
    </w:div>
    <w:div w:id="613366280">
      <w:bodyDiv w:val="1"/>
      <w:marLeft w:val="0"/>
      <w:marRight w:val="0"/>
      <w:marTop w:val="0"/>
      <w:marBottom w:val="0"/>
      <w:divBdr>
        <w:top w:val="none" w:sz="0" w:space="0" w:color="auto"/>
        <w:left w:val="none" w:sz="0" w:space="0" w:color="auto"/>
        <w:bottom w:val="none" w:sz="0" w:space="0" w:color="auto"/>
        <w:right w:val="none" w:sz="0" w:space="0" w:color="auto"/>
      </w:divBdr>
    </w:div>
    <w:div w:id="613366664">
      <w:bodyDiv w:val="1"/>
      <w:marLeft w:val="0"/>
      <w:marRight w:val="0"/>
      <w:marTop w:val="0"/>
      <w:marBottom w:val="0"/>
      <w:divBdr>
        <w:top w:val="none" w:sz="0" w:space="0" w:color="auto"/>
        <w:left w:val="none" w:sz="0" w:space="0" w:color="auto"/>
        <w:bottom w:val="none" w:sz="0" w:space="0" w:color="auto"/>
        <w:right w:val="none" w:sz="0" w:space="0" w:color="auto"/>
      </w:divBdr>
    </w:div>
    <w:div w:id="613367400">
      <w:bodyDiv w:val="1"/>
      <w:marLeft w:val="0"/>
      <w:marRight w:val="0"/>
      <w:marTop w:val="0"/>
      <w:marBottom w:val="0"/>
      <w:divBdr>
        <w:top w:val="none" w:sz="0" w:space="0" w:color="auto"/>
        <w:left w:val="none" w:sz="0" w:space="0" w:color="auto"/>
        <w:bottom w:val="none" w:sz="0" w:space="0" w:color="auto"/>
        <w:right w:val="none" w:sz="0" w:space="0" w:color="auto"/>
      </w:divBdr>
    </w:div>
    <w:div w:id="613488082">
      <w:bodyDiv w:val="1"/>
      <w:marLeft w:val="0"/>
      <w:marRight w:val="0"/>
      <w:marTop w:val="0"/>
      <w:marBottom w:val="0"/>
      <w:divBdr>
        <w:top w:val="none" w:sz="0" w:space="0" w:color="auto"/>
        <w:left w:val="none" w:sz="0" w:space="0" w:color="auto"/>
        <w:bottom w:val="none" w:sz="0" w:space="0" w:color="auto"/>
        <w:right w:val="none" w:sz="0" w:space="0" w:color="auto"/>
      </w:divBdr>
    </w:div>
    <w:div w:id="613557636">
      <w:bodyDiv w:val="1"/>
      <w:marLeft w:val="0"/>
      <w:marRight w:val="0"/>
      <w:marTop w:val="0"/>
      <w:marBottom w:val="0"/>
      <w:divBdr>
        <w:top w:val="none" w:sz="0" w:space="0" w:color="auto"/>
        <w:left w:val="none" w:sz="0" w:space="0" w:color="auto"/>
        <w:bottom w:val="none" w:sz="0" w:space="0" w:color="auto"/>
        <w:right w:val="none" w:sz="0" w:space="0" w:color="auto"/>
      </w:divBdr>
    </w:div>
    <w:div w:id="613558039">
      <w:bodyDiv w:val="1"/>
      <w:marLeft w:val="0"/>
      <w:marRight w:val="0"/>
      <w:marTop w:val="0"/>
      <w:marBottom w:val="0"/>
      <w:divBdr>
        <w:top w:val="none" w:sz="0" w:space="0" w:color="auto"/>
        <w:left w:val="none" w:sz="0" w:space="0" w:color="auto"/>
        <w:bottom w:val="none" w:sz="0" w:space="0" w:color="auto"/>
        <w:right w:val="none" w:sz="0" w:space="0" w:color="auto"/>
      </w:divBdr>
    </w:div>
    <w:div w:id="613635586">
      <w:bodyDiv w:val="1"/>
      <w:marLeft w:val="0"/>
      <w:marRight w:val="0"/>
      <w:marTop w:val="0"/>
      <w:marBottom w:val="0"/>
      <w:divBdr>
        <w:top w:val="none" w:sz="0" w:space="0" w:color="auto"/>
        <w:left w:val="none" w:sz="0" w:space="0" w:color="auto"/>
        <w:bottom w:val="none" w:sz="0" w:space="0" w:color="auto"/>
        <w:right w:val="none" w:sz="0" w:space="0" w:color="auto"/>
      </w:divBdr>
    </w:div>
    <w:div w:id="613709671">
      <w:bodyDiv w:val="1"/>
      <w:marLeft w:val="0"/>
      <w:marRight w:val="0"/>
      <w:marTop w:val="0"/>
      <w:marBottom w:val="0"/>
      <w:divBdr>
        <w:top w:val="none" w:sz="0" w:space="0" w:color="auto"/>
        <w:left w:val="none" w:sz="0" w:space="0" w:color="auto"/>
        <w:bottom w:val="none" w:sz="0" w:space="0" w:color="auto"/>
        <w:right w:val="none" w:sz="0" w:space="0" w:color="auto"/>
      </w:divBdr>
    </w:div>
    <w:div w:id="613749142">
      <w:bodyDiv w:val="1"/>
      <w:marLeft w:val="0"/>
      <w:marRight w:val="0"/>
      <w:marTop w:val="0"/>
      <w:marBottom w:val="0"/>
      <w:divBdr>
        <w:top w:val="none" w:sz="0" w:space="0" w:color="auto"/>
        <w:left w:val="none" w:sz="0" w:space="0" w:color="auto"/>
        <w:bottom w:val="none" w:sz="0" w:space="0" w:color="auto"/>
        <w:right w:val="none" w:sz="0" w:space="0" w:color="auto"/>
      </w:divBdr>
    </w:div>
    <w:div w:id="613752255">
      <w:bodyDiv w:val="1"/>
      <w:marLeft w:val="0"/>
      <w:marRight w:val="0"/>
      <w:marTop w:val="0"/>
      <w:marBottom w:val="0"/>
      <w:divBdr>
        <w:top w:val="none" w:sz="0" w:space="0" w:color="auto"/>
        <w:left w:val="none" w:sz="0" w:space="0" w:color="auto"/>
        <w:bottom w:val="none" w:sz="0" w:space="0" w:color="auto"/>
        <w:right w:val="none" w:sz="0" w:space="0" w:color="auto"/>
      </w:divBdr>
    </w:div>
    <w:div w:id="614017610">
      <w:bodyDiv w:val="1"/>
      <w:marLeft w:val="0"/>
      <w:marRight w:val="0"/>
      <w:marTop w:val="0"/>
      <w:marBottom w:val="0"/>
      <w:divBdr>
        <w:top w:val="none" w:sz="0" w:space="0" w:color="auto"/>
        <w:left w:val="none" w:sz="0" w:space="0" w:color="auto"/>
        <w:bottom w:val="none" w:sz="0" w:space="0" w:color="auto"/>
        <w:right w:val="none" w:sz="0" w:space="0" w:color="auto"/>
      </w:divBdr>
    </w:div>
    <w:div w:id="614023700">
      <w:bodyDiv w:val="1"/>
      <w:marLeft w:val="0"/>
      <w:marRight w:val="0"/>
      <w:marTop w:val="0"/>
      <w:marBottom w:val="0"/>
      <w:divBdr>
        <w:top w:val="none" w:sz="0" w:space="0" w:color="auto"/>
        <w:left w:val="none" w:sz="0" w:space="0" w:color="auto"/>
        <w:bottom w:val="none" w:sz="0" w:space="0" w:color="auto"/>
        <w:right w:val="none" w:sz="0" w:space="0" w:color="auto"/>
      </w:divBdr>
    </w:div>
    <w:div w:id="614097549">
      <w:bodyDiv w:val="1"/>
      <w:marLeft w:val="0"/>
      <w:marRight w:val="0"/>
      <w:marTop w:val="0"/>
      <w:marBottom w:val="0"/>
      <w:divBdr>
        <w:top w:val="none" w:sz="0" w:space="0" w:color="auto"/>
        <w:left w:val="none" w:sz="0" w:space="0" w:color="auto"/>
        <w:bottom w:val="none" w:sz="0" w:space="0" w:color="auto"/>
        <w:right w:val="none" w:sz="0" w:space="0" w:color="auto"/>
      </w:divBdr>
    </w:div>
    <w:div w:id="614098215">
      <w:bodyDiv w:val="1"/>
      <w:marLeft w:val="0"/>
      <w:marRight w:val="0"/>
      <w:marTop w:val="0"/>
      <w:marBottom w:val="0"/>
      <w:divBdr>
        <w:top w:val="none" w:sz="0" w:space="0" w:color="auto"/>
        <w:left w:val="none" w:sz="0" w:space="0" w:color="auto"/>
        <w:bottom w:val="none" w:sz="0" w:space="0" w:color="auto"/>
        <w:right w:val="none" w:sz="0" w:space="0" w:color="auto"/>
      </w:divBdr>
    </w:div>
    <w:div w:id="614098889">
      <w:bodyDiv w:val="1"/>
      <w:marLeft w:val="0"/>
      <w:marRight w:val="0"/>
      <w:marTop w:val="0"/>
      <w:marBottom w:val="0"/>
      <w:divBdr>
        <w:top w:val="none" w:sz="0" w:space="0" w:color="auto"/>
        <w:left w:val="none" w:sz="0" w:space="0" w:color="auto"/>
        <w:bottom w:val="none" w:sz="0" w:space="0" w:color="auto"/>
        <w:right w:val="none" w:sz="0" w:space="0" w:color="auto"/>
      </w:divBdr>
    </w:div>
    <w:div w:id="614138080">
      <w:bodyDiv w:val="1"/>
      <w:marLeft w:val="0"/>
      <w:marRight w:val="0"/>
      <w:marTop w:val="0"/>
      <w:marBottom w:val="0"/>
      <w:divBdr>
        <w:top w:val="none" w:sz="0" w:space="0" w:color="auto"/>
        <w:left w:val="none" w:sz="0" w:space="0" w:color="auto"/>
        <w:bottom w:val="none" w:sz="0" w:space="0" w:color="auto"/>
        <w:right w:val="none" w:sz="0" w:space="0" w:color="auto"/>
      </w:divBdr>
    </w:div>
    <w:div w:id="614139710">
      <w:bodyDiv w:val="1"/>
      <w:marLeft w:val="0"/>
      <w:marRight w:val="0"/>
      <w:marTop w:val="0"/>
      <w:marBottom w:val="0"/>
      <w:divBdr>
        <w:top w:val="none" w:sz="0" w:space="0" w:color="auto"/>
        <w:left w:val="none" w:sz="0" w:space="0" w:color="auto"/>
        <w:bottom w:val="none" w:sz="0" w:space="0" w:color="auto"/>
        <w:right w:val="none" w:sz="0" w:space="0" w:color="auto"/>
      </w:divBdr>
    </w:div>
    <w:div w:id="614287658">
      <w:bodyDiv w:val="1"/>
      <w:marLeft w:val="0"/>
      <w:marRight w:val="0"/>
      <w:marTop w:val="0"/>
      <w:marBottom w:val="0"/>
      <w:divBdr>
        <w:top w:val="none" w:sz="0" w:space="0" w:color="auto"/>
        <w:left w:val="none" w:sz="0" w:space="0" w:color="auto"/>
        <w:bottom w:val="none" w:sz="0" w:space="0" w:color="auto"/>
        <w:right w:val="none" w:sz="0" w:space="0" w:color="auto"/>
      </w:divBdr>
    </w:div>
    <w:div w:id="614405511">
      <w:bodyDiv w:val="1"/>
      <w:marLeft w:val="0"/>
      <w:marRight w:val="0"/>
      <w:marTop w:val="0"/>
      <w:marBottom w:val="0"/>
      <w:divBdr>
        <w:top w:val="none" w:sz="0" w:space="0" w:color="auto"/>
        <w:left w:val="none" w:sz="0" w:space="0" w:color="auto"/>
        <w:bottom w:val="none" w:sz="0" w:space="0" w:color="auto"/>
        <w:right w:val="none" w:sz="0" w:space="0" w:color="auto"/>
      </w:divBdr>
    </w:div>
    <w:div w:id="614407206">
      <w:bodyDiv w:val="1"/>
      <w:marLeft w:val="0"/>
      <w:marRight w:val="0"/>
      <w:marTop w:val="0"/>
      <w:marBottom w:val="0"/>
      <w:divBdr>
        <w:top w:val="none" w:sz="0" w:space="0" w:color="auto"/>
        <w:left w:val="none" w:sz="0" w:space="0" w:color="auto"/>
        <w:bottom w:val="none" w:sz="0" w:space="0" w:color="auto"/>
        <w:right w:val="none" w:sz="0" w:space="0" w:color="auto"/>
      </w:divBdr>
    </w:div>
    <w:div w:id="614410907">
      <w:bodyDiv w:val="1"/>
      <w:marLeft w:val="0"/>
      <w:marRight w:val="0"/>
      <w:marTop w:val="0"/>
      <w:marBottom w:val="0"/>
      <w:divBdr>
        <w:top w:val="none" w:sz="0" w:space="0" w:color="auto"/>
        <w:left w:val="none" w:sz="0" w:space="0" w:color="auto"/>
        <w:bottom w:val="none" w:sz="0" w:space="0" w:color="auto"/>
        <w:right w:val="none" w:sz="0" w:space="0" w:color="auto"/>
      </w:divBdr>
    </w:div>
    <w:div w:id="614531161">
      <w:bodyDiv w:val="1"/>
      <w:marLeft w:val="0"/>
      <w:marRight w:val="0"/>
      <w:marTop w:val="0"/>
      <w:marBottom w:val="0"/>
      <w:divBdr>
        <w:top w:val="none" w:sz="0" w:space="0" w:color="auto"/>
        <w:left w:val="none" w:sz="0" w:space="0" w:color="auto"/>
        <w:bottom w:val="none" w:sz="0" w:space="0" w:color="auto"/>
        <w:right w:val="none" w:sz="0" w:space="0" w:color="auto"/>
      </w:divBdr>
    </w:div>
    <w:div w:id="614554548">
      <w:bodyDiv w:val="1"/>
      <w:marLeft w:val="0"/>
      <w:marRight w:val="0"/>
      <w:marTop w:val="0"/>
      <w:marBottom w:val="0"/>
      <w:divBdr>
        <w:top w:val="none" w:sz="0" w:space="0" w:color="auto"/>
        <w:left w:val="none" w:sz="0" w:space="0" w:color="auto"/>
        <w:bottom w:val="none" w:sz="0" w:space="0" w:color="auto"/>
        <w:right w:val="none" w:sz="0" w:space="0" w:color="auto"/>
      </w:divBdr>
    </w:div>
    <w:div w:id="614556325">
      <w:bodyDiv w:val="1"/>
      <w:marLeft w:val="0"/>
      <w:marRight w:val="0"/>
      <w:marTop w:val="0"/>
      <w:marBottom w:val="0"/>
      <w:divBdr>
        <w:top w:val="none" w:sz="0" w:space="0" w:color="auto"/>
        <w:left w:val="none" w:sz="0" w:space="0" w:color="auto"/>
        <w:bottom w:val="none" w:sz="0" w:space="0" w:color="auto"/>
        <w:right w:val="none" w:sz="0" w:space="0" w:color="auto"/>
      </w:divBdr>
    </w:div>
    <w:div w:id="614678468">
      <w:bodyDiv w:val="1"/>
      <w:marLeft w:val="0"/>
      <w:marRight w:val="0"/>
      <w:marTop w:val="0"/>
      <w:marBottom w:val="0"/>
      <w:divBdr>
        <w:top w:val="none" w:sz="0" w:space="0" w:color="auto"/>
        <w:left w:val="none" w:sz="0" w:space="0" w:color="auto"/>
        <w:bottom w:val="none" w:sz="0" w:space="0" w:color="auto"/>
        <w:right w:val="none" w:sz="0" w:space="0" w:color="auto"/>
      </w:divBdr>
    </w:div>
    <w:div w:id="614681062">
      <w:bodyDiv w:val="1"/>
      <w:marLeft w:val="0"/>
      <w:marRight w:val="0"/>
      <w:marTop w:val="0"/>
      <w:marBottom w:val="0"/>
      <w:divBdr>
        <w:top w:val="none" w:sz="0" w:space="0" w:color="auto"/>
        <w:left w:val="none" w:sz="0" w:space="0" w:color="auto"/>
        <w:bottom w:val="none" w:sz="0" w:space="0" w:color="auto"/>
        <w:right w:val="none" w:sz="0" w:space="0" w:color="auto"/>
      </w:divBdr>
    </w:div>
    <w:div w:id="614751284">
      <w:bodyDiv w:val="1"/>
      <w:marLeft w:val="0"/>
      <w:marRight w:val="0"/>
      <w:marTop w:val="0"/>
      <w:marBottom w:val="0"/>
      <w:divBdr>
        <w:top w:val="none" w:sz="0" w:space="0" w:color="auto"/>
        <w:left w:val="none" w:sz="0" w:space="0" w:color="auto"/>
        <w:bottom w:val="none" w:sz="0" w:space="0" w:color="auto"/>
        <w:right w:val="none" w:sz="0" w:space="0" w:color="auto"/>
      </w:divBdr>
    </w:div>
    <w:div w:id="614870682">
      <w:bodyDiv w:val="1"/>
      <w:marLeft w:val="0"/>
      <w:marRight w:val="0"/>
      <w:marTop w:val="0"/>
      <w:marBottom w:val="0"/>
      <w:divBdr>
        <w:top w:val="none" w:sz="0" w:space="0" w:color="auto"/>
        <w:left w:val="none" w:sz="0" w:space="0" w:color="auto"/>
        <w:bottom w:val="none" w:sz="0" w:space="0" w:color="auto"/>
        <w:right w:val="none" w:sz="0" w:space="0" w:color="auto"/>
      </w:divBdr>
    </w:div>
    <w:div w:id="614941276">
      <w:bodyDiv w:val="1"/>
      <w:marLeft w:val="0"/>
      <w:marRight w:val="0"/>
      <w:marTop w:val="0"/>
      <w:marBottom w:val="0"/>
      <w:divBdr>
        <w:top w:val="none" w:sz="0" w:space="0" w:color="auto"/>
        <w:left w:val="none" w:sz="0" w:space="0" w:color="auto"/>
        <w:bottom w:val="none" w:sz="0" w:space="0" w:color="auto"/>
        <w:right w:val="none" w:sz="0" w:space="0" w:color="auto"/>
      </w:divBdr>
    </w:div>
    <w:div w:id="614947107">
      <w:bodyDiv w:val="1"/>
      <w:marLeft w:val="0"/>
      <w:marRight w:val="0"/>
      <w:marTop w:val="0"/>
      <w:marBottom w:val="0"/>
      <w:divBdr>
        <w:top w:val="none" w:sz="0" w:space="0" w:color="auto"/>
        <w:left w:val="none" w:sz="0" w:space="0" w:color="auto"/>
        <w:bottom w:val="none" w:sz="0" w:space="0" w:color="auto"/>
        <w:right w:val="none" w:sz="0" w:space="0" w:color="auto"/>
      </w:divBdr>
    </w:div>
    <w:div w:id="615137492">
      <w:bodyDiv w:val="1"/>
      <w:marLeft w:val="0"/>
      <w:marRight w:val="0"/>
      <w:marTop w:val="0"/>
      <w:marBottom w:val="0"/>
      <w:divBdr>
        <w:top w:val="none" w:sz="0" w:space="0" w:color="auto"/>
        <w:left w:val="none" w:sz="0" w:space="0" w:color="auto"/>
        <w:bottom w:val="none" w:sz="0" w:space="0" w:color="auto"/>
        <w:right w:val="none" w:sz="0" w:space="0" w:color="auto"/>
      </w:divBdr>
    </w:div>
    <w:div w:id="615140646">
      <w:bodyDiv w:val="1"/>
      <w:marLeft w:val="0"/>
      <w:marRight w:val="0"/>
      <w:marTop w:val="0"/>
      <w:marBottom w:val="0"/>
      <w:divBdr>
        <w:top w:val="none" w:sz="0" w:space="0" w:color="auto"/>
        <w:left w:val="none" w:sz="0" w:space="0" w:color="auto"/>
        <w:bottom w:val="none" w:sz="0" w:space="0" w:color="auto"/>
        <w:right w:val="none" w:sz="0" w:space="0" w:color="auto"/>
      </w:divBdr>
    </w:div>
    <w:div w:id="615332008">
      <w:bodyDiv w:val="1"/>
      <w:marLeft w:val="0"/>
      <w:marRight w:val="0"/>
      <w:marTop w:val="0"/>
      <w:marBottom w:val="0"/>
      <w:divBdr>
        <w:top w:val="none" w:sz="0" w:space="0" w:color="auto"/>
        <w:left w:val="none" w:sz="0" w:space="0" w:color="auto"/>
        <w:bottom w:val="none" w:sz="0" w:space="0" w:color="auto"/>
        <w:right w:val="none" w:sz="0" w:space="0" w:color="auto"/>
      </w:divBdr>
    </w:div>
    <w:div w:id="615406010">
      <w:bodyDiv w:val="1"/>
      <w:marLeft w:val="0"/>
      <w:marRight w:val="0"/>
      <w:marTop w:val="0"/>
      <w:marBottom w:val="0"/>
      <w:divBdr>
        <w:top w:val="none" w:sz="0" w:space="0" w:color="auto"/>
        <w:left w:val="none" w:sz="0" w:space="0" w:color="auto"/>
        <w:bottom w:val="none" w:sz="0" w:space="0" w:color="auto"/>
        <w:right w:val="none" w:sz="0" w:space="0" w:color="auto"/>
      </w:divBdr>
    </w:div>
    <w:div w:id="615406410">
      <w:bodyDiv w:val="1"/>
      <w:marLeft w:val="0"/>
      <w:marRight w:val="0"/>
      <w:marTop w:val="0"/>
      <w:marBottom w:val="0"/>
      <w:divBdr>
        <w:top w:val="none" w:sz="0" w:space="0" w:color="auto"/>
        <w:left w:val="none" w:sz="0" w:space="0" w:color="auto"/>
        <w:bottom w:val="none" w:sz="0" w:space="0" w:color="auto"/>
        <w:right w:val="none" w:sz="0" w:space="0" w:color="auto"/>
      </w:divBdr>
    </w:div>
    <w:div w:id="615452523">
      <w:bodyDiv w:val="1"/>
      <w:marLeft w:val="0"/>
      <w:marRight w:val="0"/>
      <w:marTop w:val="0"/>
      <w:marBottom w:val="0"/>
      <w:divBdr>
        <w:top w:val="none" w:sz="0" w:space="0" w:color="auto"/>
        <w:left w:val="none" w:sz="0" w:space="0" w:color="auto"/>
        <w:bottom w:val="none" w:sz="0" w:space="0" w:color="auto"/>
        <w:right w:val="none" w:sz="0" w:space="0" w:color="auto"/>
      </w:divBdr>
    </w:div>
    <w:div w:id="615453777">
      <w:bodyDiv w:val="1"/>
      <w:marLeft w:val="0"/>
      <w:marRight w:val="0"/>
      <w:marTop w:val="0"/>
      <w:marBottom w:val="0"/>
      <w:divBdr>
        <w:top w:val="none" w:sz="0" w:space="0" w:color="auto"/>
        <w:left w:val="none" w:sz="0" w:space="0" w:color="auto"/>
        <w:bottom w:val="none" w:sz="0" w:space="0" w:color="auto"/>
        <w:right w:val="none" w:sz="0" w:space="0" w:color="auto"/>
      </w:divBdr>
    </w:div>
    <w:div w:id="615480091">
      <w:bodyDiv w:val="1"/>
      <w:marLeft w:val="0"/>
      <w:marRight w:val="0"/>
      <w:marTop w:val="0"/>
      <w:marBottom w:val="0"/>
      <w:divBdr>
        <w:top w:val="none" w:sz="0" w:space="0" w:color="auto"/>
        <w:left w:val="none" w:sz="0" w:space="0" w:color="auto"/>
        <w:bottom w:val="none" w:sz="0" w:space="0" w:color="auto"/>
        <w:right w:val="none" w:sz="0" w:space="0" w:color="auto"/>
      </w:divBdr>
    </w:div>
    <w:div w:id="615676317">
      <w:bodyDiv w:val="1"/>
      <w:marLeft w:val="0"/>
      <w:marRight w:val="0"/>
      <w:marTop w:val="0"/>
      <w:marBottom w:val="0"/>
      <w:divBdr>
        <w:top w:val="none" w:sz="0" w:space="0" w:color="auto"/>
        <w:left w:val="none" w:sz="0" w:space="0" w:color="auto"/>
        <w:bottom w:val="none" w:sz="0" w:space="0" w:color="auto"/>
        <w:right w:val="none" w:sz="0" w:space="0" w:color="auto"/>
      </w:divBdr>
    </w:div>
    <w:div w:id="615676744">
      <w:bodyDiv w:val="1"/>
      <w:marLeft w:val="0"/>
      <w:marRight w:val="0"/>
      <w:marTop w:val="0"/>
      <w:marBottom w:val="0"/>
      <w:divBdr>
        <w:top w:val="none" w:sz="0" w:space="0" w:color="auto"/>
        <w:left w:val="none" w:sz="0" w:space="0" w:color="auto"/>
        <w:bottom w:val="none" w:sz="0" w:space="0" w:color="auto"/>
        <w:right w:val="none" w:sz="0" w:space="0" w:color="auto"/>
      </w:divBdr>
    </w:div>
    <w:div w:id="615715482">
      <w:bodyDiv w:val="1"/>
      <w:marLeft w:val="0"/>
      <w:marRight w:val="0"/>
      <w:marTop w:val="0"/>
      <w:marBottom w:val="0"/>
      <w:divBdr>
        <w:top w:val="none" w:sz="0" w:space="0" w:color="auto"/>
        <w:left w:val="none" w:sz="0" w:space="0" w:color="auto"/>
        <w:bottom w:val="none" w:sz="0" w:space="0" w:color="auto"/>
        <w:right w:val="none" w:sz="0" w:space="0" w:color="auto"/>
      </w:divBdr>
    </w:div>
    <w:div w:id="615797145">
      <w:bodyDiv w:val="1"/>
      <w:marLeft w:val="0"/>
      <w:marRight w:val="0"/>
      <w:marTop w:val="0"/>
      <w:marBottom w:val="0"/>
      <w:divBdr>
        <w:top w:val="none" w:sz="0" w:space="0" w:color="auto"/>
        <w:left w:val="none" w:sz="0" w:space="0" w:color="auto"/>
        <w:bottom w:val="none" w:sz="0" w:space="0" w:color="auto"/>
        <w:right w:val="none" w:sz="0" w:space="0" w:color="auto"/>
      </w:divBdr>
    </w:div>
    <w:div w:id="615872358">
      <w:bodyDiv w:val="1"/>
      <w:marLeft w:val="0"/>
      <w:marRight w:val="0"/>
      <w:marTop w:val="0"/>
      <w:marBottom w:val="0"/>
      <w:divBdr>
        <w:top w:val="none" w:sz="0" w:space="0" w:color="auto"/>
        <w:left w:val="none" w:sz="0" w:space="0" w:color="auto"/>
        <w:bottom w:val="none" w:sz="0" w:space="0" w:color="auto"/>
        <w:right w:val="none" w:sz="0" w:space="0" w:color="auto"/>
      </w:divBdr>
    </w:div>
    <w:div w:id="615873156">
      <w:bodyDiv w:val="1"/>
      <w:marLeft w:val="0"/>
      <w:marRight w:val="0"/>
      <w:marTop w:val="0"/>
      <w:marBottom w:val="0"/>
      <w:divBdr>
        <w:top w:val="none" w:sz="0" w:space="0" w:color="auto"/>
        <w:left w:val="none" w:sz="0" w:space="0" w:color="auto"/>
        <w:bottom w:val="none" w:sz="0" w:space="0" w:color="auto"/>
        <w:right w:val="none" w:sz="0" w:space="0" w:color="auto"/>
      </w:divBdr>
    </w:div>
    <w:div w:id="616066099">
      <w:bodyDiv w:val="1"/>
      <w:marLeft w:val="0"/>
      <w:marRight w:val="0"/>
      <w:marTop w:val="0"/>
      <w:marBottom w:val="0"/>
      <w:divBdr>
        <w:top w:val="none" w:sz="0" w:space="0" w:color="auto"/>
        <w:left w:val="none" w:sz="0" w:space="0" w:color="auto"/>
        <w:bottom w:val="none" w:sz="0" w:space="0" w:color="auto"/>
        <w:right w:val="none" w:sz="0" w:space="0" w:color="auto"/>
      </w:divBdr>
    </w:div>
    <w:div w:id="616178555">
      <w:bodyDiv w:val="1"/>
      <w:marLeft w:val="0"/>
      <w:marRight w:val="0"/>
      <w:marTop w:val="0"/>
      <w:marBottom w:val="0"/>
      <w:divBdr>
        <w:top w:val="none" w:sz="0" w:space="0" w:color="auto"/>
        <w:left w:val="none" w:sz="0" w:space="0" w:color="auto"/>
        <w:bottom w:val="none" w:sz="0" w:space="0" w:color="auto"/>
        <w:right w:val="none" w:sz="0" w:space="0" w:color="auto"/>
      </w:divBdr>
    </w:div>
    <w:div w:id="616252437">
      <w:bodyDiv w:val="1"/>
      <w:marLeft w:val="0"/>
      <w:marRight w:val="0"/>
      <w:marTop w:val="0"/>
      <w:marBottom w:val="0"/>
      <w:divBdr>
        <w:top w:val="none" w:sz="0" w:space="0" w:color="auto"/>
        <w:left w:val="none" w:sz="0" w:space="0" w:color="auto"/>
        <w:bottom w:val="none" w:sz="0" w:space="0" w:color="auto"/>
        <w:right w:val="none" w:sz="0" w:space="0" w:color="auto"/>
      </w:divBdr>
    </w:div>
    <w:div w:id="616253553">
      <w:bodyDiv w:val="1"/>
      <w:marLeft w:val="0"/>
      <w:marRight w:val="0"/>
      <w:marTop w:val="0"/>
      <w:marBottom w:val="0"/>
      <w:divBdr>
        <w:top w:val="none" w:sz="0" w:space="0" w:color="auto"/>
        <w:left w:val="none" w:sz="0" w:space="0" w:color="auto"/>
        <w:bottom w:val="none" w:sz="0" w:space="0" w:color="auto"/>
        <w:right w:val="none" w:sz="0" w:space="0" w:color="auto"/>
      </w:divBdr>
    </w:div>
    <w:div w:id="616256258">
      <w:bodyDiv w:val="1"/>
      <w:marLeft w:val="0"/>
      <w:marRight w:val="0"/>
      <w:marTop w:val="0"/>
      <w:marBottom w:val="0"/>
      <w:divBdr>
        <w:top w:val="none" w:sz="0" w:space="0" w:color="auto"/>
        <w:left w:val="none" w:sz="0" w:space="0" w:color="auto"/>
        <w:bottom w:val="none" w:sz="0" w:space="0" w:color="auto"/>
        <w:right w:val="none" w:sz="0" w:space="0" w:color="auto"/>
      </w:divBdr>
    </w:div>
    <w:div w:id="616369360">
      <w:bodyDiv w:val="1"/>
      <w:marLeft w:val="0"/>
      <w:marRight w:val="0"/>
      <w:marTop w:val="0"/>
      <w:marBottom w:val="0"/>
      <w:divBdr>
        <w:top w:val="none" w:sz="0" w:space="0" w:color="auto"/>
        <w:left w:val="none" w:sz="0" w:space="0" w:color="auto"/>
        <w:bottom w:val="none" w:sz="0" w:space="0" w:color="auto"/>
        <w:right w:val="none" w:sz="0" w:space="0" w:color="auto"/>
      </w:divBdr>
    </w:div>
    <w:div w:id="616375114">
      <w:bodyDiv w:val="1"/>
      <w:marLeft w:val="0"/>
      <w:marRight w:val="0"/>
      <w:marTop w:val="0"/>
      <w:marBottom w:val="0"/>
      <w:divBdr>
        <w:top w:val="none" w:sz="0" w:space="0" w:color="auto"/>
        <w:left w:val="none" w:sz="0" w:space="0" w:color="auto"/>
        <w:bottom w:val="none" w:sz="0" w:space="0" w:color="auto"/>
        <w:right w:val="none" w:sz="0" w:space="0" w:color="auto"/>
      </w:divBdr>
    </w:div>
    <w:div w:id="616448055">
      <w:bodyDiv w:val="1"/>
      <w:marLeft w:val="0"/>
      <w:marRight w:val="0"/>
      <w:marTop w:val="0"/>
      <w:marBottom w:val="0"/>
      <w:divBdr>
        <w:top w:val="none" w:sz="0" w:space="0" w:color="auto"/>
        <w:left w:val="none" w:sz="0" w:space="0" w:color="auto"/>
        <w:bottom w:val="none" w:sz="0" w:space="0" w:color="auto"/>
        <w:right w:val="none" w:sz="0" w:space="0" w:color="auto"/>
      </w:divBdr>
    </w:div>
    <w:div w:id="616566451">
      <w:bodyDiv w:val="1"/>
      <w:marLeft w:val="0"/>
      <w:marRight w:val="0"/>
      <w:marTop w:val="0"/>
      <w:marBottom w:val="0"/>
      <w:divBdr>
        <w:top w:val="none" w:sz="0" w:space="0" w:color="auto"/>
        <w:left w:val="none" w:sz="0" w:space="0" w:color="auto"/>
        <w:bottom w:val="none" w:sz="0" w:space="0" w:color="auto"/>
        <w:right w:val="none" w:sz="0" w:space="0" w:color="auto"/>
      </w:divBdr>
    </w:div>
    <w:div w:id="616834387">
      <w:bodyDiv w:val="1"/>
      <w:marLeft w:val="0"/>
      <w:marRight w:val="0"/>
      <w:marTop w:val="0"/>
      <w:marBottom w:val="0"/>
      <w:divBdr>
        <w:top w:val="none" w:sz="0" w:space="0" w:color="auto"/>
        <w:left w:val="none" w:sz="0" w:space="0" w:color="auto"/>
        <w:bottom w:val="none" w:sz="0" w:space="0" w:color="auto"/>
        <w:right w:val="none" w:sz="0" w:space="0" w:color="auto"/>
      </w:divBdr>
    </w:div>
    <w:div w:id="616913764">
      <w:bodyDiv w:val="1"/>
      <w:marLeft w:val="0"/>
      <w:marRight w:val="0"/>
      <w:marTop w:val="0"/>
      <w:marBottom w:val="0"/>
      <w:divBdr>
        <w:top w:val="none" w:sz="0" w:space="0" w:color="auto"/>
        <w:left w:val="none" w:sz="0" w:space="0" w:color="auto"/>
        <w:bottom w:val="none" w:sz="0" w:space="0" w:color="auto"/>
        <w:right w:val="none" w:sz="0" w:space="0" w:color="auto"/>
      </w:divBdr>
    </w:div>
    <w:div w:id="616913878">
      <w:bodyDiv w:val="1"/>
      <w:marLeft w:val="0"/>
      <w:marRight w:val="0"/>
      <w:marTop w:val="0"/>
      <w:marBottom w:val="0"/>
      <w:divBdr>
        <w:top w:val="none" w:sz="0" w:space="0" w:color="auto"/>
        <w:left w:val="none" w:sz="0" w:space="0" w:color="auto"/>
        <w:bottom w:val="none" w:sz="0" w:space="0" w:color="auto"/>
        <w:right w:val="none" w:sz="0" w:space="0" w:color="auto"/>
      </w:divBdr>
    </w:div>
    <w:div w:id="616958441">
      <w:bodyDiv w:val="1"/>
      <w:marLeft w:val="0"/>
      <w:marRight w:val="0"/>
      <w:marTop w:val="0"/>
      <w:marBottom w:val="0"/>
      <w:divBdr>
        <w:top w:val="none" w:sz="0" w:space="0" w:color="auto"/>
        <w:left w:val="none" w:sz="0" w:space="0" w:color="auto"/>
        <w:bottom w:val="none" w:sz="0" w:space="0" w:color="auto"/>
        <w:right w:val="none" w:sz="0" w:space="0" w:color="auto"/>
      </w:divBdr>
    </w:div>
    <w:div w:id="616983273">
      <w:bodyDiv w:val="1"/>
      <w:marLeft w:val="0"/>
      <w:marRight w:val="0"/>
      <w:marTop w:val="0"/>
      <w:marBottom w:val="0"/>
      <w:divBdr>
        <w:top w:val="none" w:sz="0" w:space="0" w:color="auto"/>
        <w:left w:val="none" w:sz="0" w:space="0" w:color="auto"/>
        <w:bottom w:val="none" w:sz="0" w:space="0" w:color="auto"/>
        <w:right w:val="none" w:sz="0" w:space="0" w:color="auto"/>
      </w:divBdr>
    </w:div>
    <w:div w:id="616987792">
      <w:bodyDiv w:val="1"/>
      <w:marLeft w:val="0"/>
      <w:marRight w:val="0"/>
      <w:marTop w:val="0"/>
      <w:marBottom w:val="0"/>
      <w:divBdr>
        <w:top w:val="none" w:sz="0" w:space="0" w:color="auto"/>
        <w:left w:val="none" w:sz="0" w:space="0" w:color="auto"/>
        <w:bottom w:val="none" w:sz="0" w:space="0" w:color="auto"/>
        <w:right w:val="none" w:sz="0" w:space="0" w:color="auto"/>
      </w:divBdr>
    </w:div>
    <w:div w:id="617029599">
      <w:bodyDiv w:val="1"/>
      <w:marLeft w:val="0"/>
      <w:marRight w:val="0"/>
      <w:marTop w:val="0"/>
      <w:marBottom w:val="0"/>
      <w:divBdr>
        <w:top w:val="none" w:sz="0" w:space="0" w:color="auto"/>
        <w:left w:val="none" w:sz="0" w:space="0" w:color="auto"/>
        <w:bottom w:val="none" w:sz="0" w:space="0" w:color="auto"/>
        <w:right w:val="none" w:sz="0" w:space="0" w:color="auto"/>
      </w:divBdr>
    </w:div>
    <w:div w:id="617029795">
      <w:bodyDiv w:val="1"/>
      <w:marLeft w:val="0"/>
      <w:marRight w:val="0"/>
      <w:marTop w:val="0"/>
      <w:marBottom w:val="0"/>
      <w:divBdr>
        <w:top w:val="none" w:sz="0" w:space="0" w:color="auto"/>
        <w:left w:val="none" w:sz="0" w:space="0" w:color="auto"/>
        <w:bottom w:val="none" w:sz="0" w:space="0" w:color="auto"/>
        <w:right w:val="none" w:sz="0" w:space="0" w:color="auto"/>
      </w:divBdr>
    </w:div>
    <w:div w:id="617033941">
      <w:bodyDiv w:val="1"/>
      <w:marLeft w:val="0"/>
      <w:marRight w:val="0"/>
      <w:marTop w:val="0"/>
      <w:marBottom w:val="0"/>
      <w:divBdr>
        <w:top w:val="none" w:sz="0" w:space="0" w:color="auto"/>
        <w:left w:val="none" w:sz="0" w:space="0" w:color="auto"/>
        <w:bottom w:val="none" w:sz="0" w:space="0" w:color="auto"/>
        <w:right w:val="none" w:sz="0" w:space="0" w:color="auto"/>
      </w:divBdr>
    </w:div>
    <w:div w:id="617179424">
      <w:bodyDiv w:val="1"/>
      <w:marLeft w:val="0"/>
      <w:marRight w:val="0"/>
      <w:marTop w:val="0"/>
      <w:marBottom w:val="0"/>
      <w:divBdr>
        <w:top w:val="none" w:sz="0" w:space="0" w:color="auto"/>
        <w:left w:val="none" w:sz="0" w:space="0" w:color="auto"/>
        <w:bottom w:val="none" w:sz="0" w:space="0" w:color="auto"/>
        <w:right w:val="none" w:sz="0" w:space="0" w:color="auto"/>
      </w:divBdr>
    </w:div>
    <w:div w:id="617220535">
      <w:bodyDiv w:val="1"/>
      <w:marLeft w:val="0"/>
      <w:marRight w:val="0"/>
      <w:marTop w:val="0"/>
      <w:marBottom w:val="0"/>
      <w:divBdr>
        <w:top w:val="none" w:sz="0" w:space="0" w:color="auto"/>
        <w:left w:val="none" w:sz="0" w:space="0" w:color="auto"/>
        <w:bottom w:val="none" w:sz="0" w:space="0" w:color="auto"/>
        <w:right w:val="none" w:sz="0" w:space="0" w:color="auto"/>
      </w:divBdr>
    </w:div>
    <w:div w:id="617298619">
      <w:bodyDiv w:val="1"/>
      <w:marLeft w:val="0"/>
      <w:marRight w:val="0"/>
      <w:marTop w:val="0"/>
      <w:marBottom w:val="0"/>
      <w:divBdr>
        <w:top w:val="none" w:sz="0" w:space="0" w:color="auto"/>
        <w:left w:val="none" w:sz="0" w:space="0" w:color="auto"/>
        <w:bottom w:val="none" w:sz="0" w:space="0" w:color="auto"/>
        <w:right w:val="none" w:sz="0" w:space="0" w:color="auto"/>
      </w:divBdr>
    </w:div>
    <w:div w:id="617369973">
      <w:bodyDiv w:val="1"/>
      <w:marLeft w:val="0"/>
      <w:marRight w:val="0"/>
      <w:marTop w:val="0"/>
      <w:marBottom w:val="0"/>
      <w:divBdr>
        <w:top w:val="none" w:sz="0" w:space="0" w:color="auto"/>
        <w:left w:val="none" w:sz="0" w:space="0" w:color="auto"/>
        <w:bottom w:val="none" w:sz="0" w:space="0" w:color="auto"/>
        <w:right w:val="none" w:sz="0" w:space="0" w:color="auto"/>
      </w:divBdr>
    </w:div>
    <w:div w:id="617487655">
      <w:bodyDiv w:val="1"/>
      <w:marLeft w:val="0"/>
      <w:marRight w:val="0"/>
      <w:marTop w:val="0"/>
      <w:marBottom w:val="0"/>
      <w:divBdr>
        <w:top w:val="none" w:sz="0" w:space="0" w:color="auto"/>
        <w:left w:val="none" w:sz="0" w:space="0" w:color="auto"/>
        <w:bottom w:val="none" w:sz="0" w:space="0" w:color="auto"/>
        <w:right w:val="none" w:sz="0" w:space="0" w:color="auto"/>
      </w:divBdr>
    </w:div>
    <w:div w:id="617568313">
      <w:bodyDiv w:val="1"/>
      <w:marLeft w:val="0"/>
      <w:marRight w:val="0"/>
      <w:marTop w:val="0"/>
      <w:marBottom w:val="0"/>
      <w:divBdr>
        <w:top w:val="none" w:sz="0" w:space="0" w:color="auto"/>
        <w:left w:val="none" w:sz="0" w:space="0" w:color="auto"/>
        <w:bottom w:val="none" w:sz="0" w:space="0" w:color="auto"/>
        <w:right w:val="none" w:sz="0" w:space="0" w:color="auto"/>
      </w:divBdr>
    </w:div>
    <w:div w:id="617639565">
      <w:bodyDiv w:val="1"/>
      <w:marLeft w:val="0"/>
      <w:marRight w:val="0"/>
      <w:marTop w:val="0"/>
      <w:marBottom w:val="0"/>
      <w:divBdr>
        <w:top w:val="none" w:sz="0" w:space="0" w:color="auto"/>
        <w:left w:val="none" w:sz="0" w:space="0" w:color="auto"/>
        <w:bottom w:val="none" w:sz="0" w:space="0" w:color="auto"/>
        <w:right w:val="none" w:sz="0" w:space="0" w:color="auto"/>
      </w:divBdr>
    </w:div>
    <w:div w:id="617684249">
      <w:bodyDiv w:val="1"/>
      <w:marLeft w:val="0"/>
      <w:marRight w:val="0"/>
      <w:marTop w:val="0"/>
      <w:marBottom w:val="0"/>
      <w:divBdr>
        <w:top w:val="none" w:sz="0" w:space="0" w:color="auto"/>
        <w:left w:val="none" w:sz="0" w:space="0" w:color="auto"/>
        <w:bottom w:val="none" w:sz="0" w:space="0" w:color="auto"/>
        <w:right w:val="none" w:sz="0" w:space="0" w:color="auto"/>
      </w:divBdr>
    </w:div>
    <w:div w:id="617834812">
      <w:bodyDiv w:val="1"/>
      <w:marLeft w:val="0"/>
      <w:marRight w:val="0"/>
      <w:marTop w:val="0"/>
      <w:marBottom w:val="0"/>
      <w:divBdr>
        <w:top w:val="none" w:sz="0" w:space="0" w:color="auto"/>
        <w:left w:val="none" w:sz="0" w:space="0" w:color="auto"/>
        <w:bottom w:val="none" w:sz="0" w:space="0" w:color="auto"/>
        <w:right w:val="none" w:sz="0" w:space="0" w:color="auto"/>
      </w:divBdr>
    </w:div>
    <w:div w:id="617836742">
      <w:bodyDiv w:val="1"/>
      <w:marLeft w:val="0"/>
      <w:marRight w:val="0"/>
      <w:marTop w:val="0"/>
      <w:marBottom w:val="0"/>
      <w:divBdr>
        <w:top w:val="none" w:sz="0" w:space="0" w:color="auto"/>
        <w:left w:val="none" w:sz="0" w:space="0" w:color="auto"/>
        <w:bottom w:val="none" w:sz="0" w:space="0" w:color="auto"/>
        <w:right w:val="none" w:sz="0" w:space="0" w:color="auto"/>
      </w:divBdr>
    </w:div>
    <w:div w:id="618072689">
      <w:bodyDiv w:val="1"/>
      <w:marLeft w:val="0"/>
      <w:marRight w:val="0"/>
      <w:marTop w:val="0"/>
      <w:marBottom w:val="0"/>
      <w:divBdr>
        <w:top w:val="none" w:sz="0" w:space="0" w:color="auto"/>
        <w:left w:val="none" w:sz="0" w:space="0" w:color="auto"/>
        <w:bottom w:val="none" w:sz="0" w:space="0" w:color="auto"/>
        <w:right w:val="none" w:sz="0" w:space="0" w:color="auto"/>
      </w:divBdr>
    </w:div>
    <w:div w:id="618148777">
      <w:bodyDiv w:val="1"/>
      <w:marLeft w:val="0"/>
      <w:marRight w:val="0"/>
      <w:marTop w:val="0"/>
      <w:marBottom w:val="0"/>
      <w:divBdr>
        <w:top w:val="none" w:sz="0" w:space="0" w:color="auto"/>
        <w:left w:val="none" w:sz="0" w:space="0" w:color="auto"/>
        <w:bottom w:val="none" w:sz="0" w:space="0" w:color="auto"/>
        <w:right w:val="none" w:sz="0" w:space="0" w:color="auto"/>
      </w:divBdr>
    </w:div>
    <w:div w:id="618221650">
      <w:bodyDiv w:val="1"/>
      <w:marLeft w:val="0"/>
      <w:marRight w:val="0"/>
      <w:marTop w:val="0"/>
      <w:marBottom w:val="0"/>
      <w:divBdr>
        <w:top w:val="none" w:sz="0" w:space="0" w:color="auto"/>
        <w:left w:val="none" w:sz="0" w:space="0" w:color="auto"/>
        <w:bottom w:val="none" w:sz="0" w:space="0" w:color="auto"/>
        <w:right w:val="none" w:sz="0" w:space="0" w:color="auto"/>
      </w:divBdr>
    </w:div>
    <w:div w:id="618337470">
      <w:bodyDiv w:val="1"/>
      <w:marLeft w:val="0"/>
      <w:marRight w:val="0"/>
      <w:marTop w:val="0"/>
      <w:marBottom w:val="0"/>
      <w:divBdr>
        <w:top w:val="none" w:sz="0" w:space="0" w:color="auto"/>
        <w:left w:val="none" w:sz="0" w:space="0" w:color="auto"/>
        <w:bottom w:val="none" w:sz="0" w:space="0" w:color="auto"/>
        <w:right w:val="none" w:sz="0" w:space="0" w:color="auto"/>
      </w:divBdr>
    </w:div>
    <w:div w:id="618338209">
      <w:bodyDiv w:val="1"/>
      <w:marLeft w:val="0"/>
      <w:marRight w:val="0"/>
      <w:marTop w:val="0"/>
      <w:marBottom w:val="0"/>
      <w:divBdr>
        <w:top w:val="none" w:sz="0" w:space="0" w:color="auto"/>
        <w:left w:val="none" w:sz="0" w:space="0" w:color="auto"/>
        <w:bottom w:val="none" w:sz="0" w:space="0" w:color="auto"/>
        <w:right w:val="none" w:sz="0" w:space="0" w:color="auto"/>
      </w:divBdr>
    </w:div>
    <w:div w:id="618417014">
      <w:bodyDiv w:val="1"/>
      <w:marLeft w:val="0"/>
      <w:marRight w:val="0"/>
      <w:marTop w:val="0"/>
      <w:marBottom w:val="0"/>
      <w:divBdr>
        <w:top w:val="none" w:sz="0" w:space="0" w:color="auto"/>
        <w:left w:val="none" w:sz="0" w:space="0" w:color="auto"/>
        <w:bottom w:val="none" w:sz="0" w:space="0" w:color="auto"/>
        <w:right w:val="none" w:sz="0" w:space="0" w:color="auto"/>
      </w:divBdr>
    </w:div>
    <w:div w:id="618529492">
      <w:bodyDiv w:val="1"/>
      <w:marLeft w:val="0"/>
      <w:marRight w:val="0"/>
      <w:marTop w:val="0"/>
      <w:marBottom w:val="0"/>
      <w:divBdr>
        <w:top w:val="none" w:sz="0" w:space="0" w:color="auto"/>
        <w:left w:val="none" w:sz="0" w:space="0" w:color="auto"/>
        <w:bottom w:val="none" w:sz="0" w:space="0" w:color="auto"/>
        <w:right w:val="none" w:sz="0" w:space="0" w:color="auto"/>
      </w:divBdr>
    </w:div>
    <w:div w:id="618607894">
      <w:bodyDiv w:val="1"/>
      <w:marLeft w:val="0"/>
      <w:marRight w:val="0"/>
      <w:marTop w:val="0"/>
      <w:marBottom w:val="0"/>
      <w:divBdr>
        <w:top w:val="none" w:sz="0" w:space="0" w:color="auto"/>
        <w:left w:val="none" w:sz="0" w:space="0" w:color="auto"/>
        <w:bottom w:val="none" w:sz="0" w:space="0" w:color="auto"/>
        <w:right w:val="none" w:sz="0" w:space="0" w:color="auto"/>
      </w:divBdr>
    </w:div>
    <w:div w:id="618681521">
      <w:bodyDiv w:val="1"/>
      <w:marLeft w:val="0"/>
      <w:marRight w:val="0"/>
      <w:marTop w:val="0"/>
      <w:marBottom w:val="0"/>
      <w:divBdr>
        <w:top w:val="none" w:sz="0" w:space="0" w:color="auto"/>
        <w:left w:val="none" w:sz="0" w:space="0" w:color="auto"/>
        <w:bottom w:val="none" w:sz="0" w:space="0" w:color="auto"/>
        <w:right w:val="none" w:sz="0" w:space="0" w:color="auto"/>
      </w:divBdr>
    </w:div>
    <w:div w:id="618799016">
      <w:bodyDiv w:val="1"/>
      <w:marLeft w:val="0"/>
      <w:marRight w:val="0"/>
      <w:marTop w:val="0"/>
      <w:marBottom w:val="0"/>
      <w:divBdr>
        <w:top w:val="none" w:sz="0" w:space="0" w:color="auto"/>
        <w:left w:val="none" w:sz="0" w:space="0" w:color="auto"/>
        <w:bottom w:val="none" w:sz="0" w:space="0" w:color="auto"/>
        <w:right w:val="none" w:sz="0" w:space="0" w:color="auto"/>
      </w:divBdr>
    </w:div>
    <w:div w:id="618805387">
      <w:bodyDiv w:val="1"/>
      <w:marLeft w:val="0"/>
      <w:marRight w:val="0"/>
      <w:marTop w:val="0"/>
      <w:marBottom w:val="0"/>
      <w:divBdr>
        <w:top w:val="none" w:sz="0" w:space="0" w:color="auto"/>
        <w:left w:val="none" w:sz="0" w:space="0" w:color="auto"/>
        <w:bottom w:val="none" w:sz="0" w:space="0" w:color="auto"/>
        <w:right w:val="none" w:sz="0" w:space="0" w:color="auto"/>
      </w:divBdr>
    </w:div>
    <w:div w:id="618874347">
      <w:bodyDiv w:val="1"/>
      <w:marLeft w:val="0"/>
      <w:marRight w:val="0"/>
      <w:marTop w:val="0"/>
      <w:marBottom w:val="0"/>
      <w:divBdr>
        <w:top w:val="none" w:sz="0" w:space="0" w:color="auto"/>
        <w:left w:val="none" w:sz="0" w:space="0" w:color="auto"/>
        <w:bottom w:val="none" w:sz="0" w:space="0" w:color="auto"/>
        <w:right w:val="none" w:sz="0" w:space="0" w:color="auto"/>
      </w:divBdr>
    </w:div>
    <w:div w:id="618877708">
      <w:bodyDiv w:val="1"/>
      <w:marLeft w:val="0"/>
      <w:marRight w:val="0"/>
      <w:marTop w:val="0"/>
      <w:marBottom w:val="0"/>
      <w:divBdr>
        <w:top w:val="none" w:sz="0" w:space="0" w:color="auto"/>
        <w:left w:val="none" w:sz="0" w:space="0" w:color="auto"/>
        <w:bottom w:val="none" w:sz="0" w:space="0" w:color="auto"/>
        <w:right w:val="none" w:sz="0" w:space="0" w:color="auto"/>
      </w:divBdr>
    </w:div>
    <w:div w:id="618992020">
      <w:bodyDiv w:val="1"/>
      <w:marLeft w:val="0"/>
      <w:marRight w:val="0"/>
      <w:marTop w:val="0"/>
      <w:marBottom w:val="0"/>
      <w:divBdr>
        <w:top w:val="none" w:sz="0" w:space="0" w:color="auto"/>
        <w:left w:val="none" w:sz="0" w:space="0" w:color="auto"/>
        <w:bottom w:val="none" w:sz="0" w:space="0" w:color="auto"/>
        <w:right w:val="none" w:sz="0" w:space="0" w:color="auto"/>
      </w:divBdr>
    </w:div>
    <w:div w:id="618999807">
      <w:bodyDiv w:val="1"/>
      <w:marLeft w:val="0"/>
      <w:marRight w:val="0"/>
      <w:marTop w:val="0"/>
      <w:marBottom w:val="0"/>
      <w:divBdr>
        <w:top w:val="none" w:sz="0" w:space="0" w:color="auto"/>
        <w:left w:val="none" w:sz="0" w:space="0" w:color="auto"/>
        <w:bottom w:val="none" w:sz="0" w:space="0" w:color="auto"/>
        <w:right w:val="none" w:sz="0" w:space="0" w:color="auto"/>
      </w:divBdr>
    </w:div>
    <w:div w:id="619066179">
      <w:bodyDiv w:val="1"/>
      <w:marLeft w:val="0"/>
      <w:marRight w:val="0"/>
      <w:marTop w:val="0"/>
      <w:marBottom w:val="0"/>
      <w:divBdr>
        <w:top w:val="none" w:sz="0" w:space="0" w:color="auto"/>
        <w:left w:val="none" w:sz="0" w:space="0" w:color="auto"/>
        <w:bottom w:val="none" w:sz="0" w:space="0" w:color="auto"/>
        <w:right w:val="none" w:sz="0" w:space="0" w:color="auto"/>
      </w:divBdr>
    </w:div>
    <w:div w:id="619265074">
      <w:bodyDiv w:val="1"/>
      <w:marLeft w:val="0"/>
      <w:marRight w:val="0"/>
      <w:marTop w:val="0"/>
      <w:marBottom w:val="0"/>
      <w:divBdr>
        <w:top w:val="none" w:sz="0" w:space="0" w:color="auto"/>
        <w:left w:val="none" w:sz="0" w:space="0" w:color="auto"/>
        <w:bottom w:val="none" w:sz="0" w:space="0" w:color="auto"/>
        <w:right w:val="none" w:sz="0" w:space="0" w:color="auto"/>
      </w:divBdr>
    </w:div>
    <w:div w:id="619334437">
      <w:bodyDiv w:val="1"/>
      <w:marLeft w:val="0"/>
      <w:marRight w:val="0"/>
      <w:marTop w:val="0"/>
      <w:marBottom w:val="0"/>
      <w:divBdr>
        <w:top w:val="none" w:sz="0" w:space="0" w:color="auto"/>
        <w:left w:val="none" w:sz="0" w:space="0" w:color="auto"/>
        <w:bottom w:val="none" w:sz="0" w:space="0" w:color="auto"/>
        <w:right w:val="none" w:sz="0" w:space="0" w:color="auto"/>
      </w:divBdr>
    </w:div>
    <w:div w:id="619343129">
      <w:bodyDiv w:val="1"/>
      <w:marLeft w:val="0"/>
      <w:marRight w:val="0"/>
      <w:marTop w:val="0"/>
      <w:marBottom w:val="0"/>
      <w:divBdr>
        <w:top w:val="none" w:sz="0" w:space="0" w:color="auto"/>
        <w:left w:val="none" w:sz="0" w:space="0" w:color="auto"/>
        <w:bottom w:val="none" w:sz="0" w:space="0" w:color="auto"/>
        <w:right w:val="none" w:sz="0" w:space="0" w:color="auto"/>
      </w:divBdr>
    </w:div>
    <w:div w:id="619381550">
      <w:bodyDiv w:val="1"/>
      <w:marLeft w:val="0"/>
      <w:marRight w:val="0"/>
      <w:marTop w:val="0"/>
      <w:marBottom w:val="0"/>
      <w:divBdr>
        <w:top w:val="none" w:sz="0" w:space="0" w:color="auto"/>
        <w:left w:val="none" w:sz="0" w:space="0" w:color="auto"/>
        <w:bottom w:val="none" w:sz="0" w:space="0" w:color="auto"/>
        <w:right w:val="none" w:sz="0" w:space="0" w:color="auto"/>
      </w:divBdr>
    </w:div>
    <w:div w:id="619412519">
      <w:bodyDiv w:val="1"/>
      <w:marLeft w:val="0"/>
      <w:marRight w:val="0"/>
      <w:marTop w:val="0"/>
      <w:marBottom w:val="0"/>
      <w:divBdr>
        <w:top w:val="none" w:sz="0" w:space="0" w:color="auto"/>
        <w:left w:val="none" w:sz="0" w:space="0" w:color="auto"/>
        <w:bottom w:val="none" w:sz="0" w:space="0" w:color="auto"/>
        <w:right w:val="none" w:sz="0" w:space="0" w:color="auto"/>
      </w:divBdr>
    </w:div>
    <w:div w:id="619459261">
      <w:bodyDiv w:val="1"/>
      <w:marLeft w:val="0"/>
      <w:marRight w:val="0"/>
      <w:marTop w:val="0"/>
      <w:marBottom w:val="0"/>
      <w:divBdr>
        <w:top w:val="none" w:sz="0" w:space="0" w:color="auto"/>
        <w:left w:val="none" w:sz="0" w:space="0" w:color="auto"/>
        <w:bottom w:val="none" w:sz="0" w:space="0" w:color="auto"/>
        <w:right w:val="none" w:sz="0" w:space="0" w:color="auto"/>
      </w:divBdr>
    </w:div>
    <w:div w:id="619646479">
      <w:bodyDiv w:val="1"/>
      <w:marLeft w:val="0"/>
      <w:marRight w:val="0"/>
      <w:marTop w:val="0"/>
      <w:marBottom w:val="0"/>
      <w:divBdr>
        <w:top w:val="none" w:sz="0" w:space="0" w:color="auto"/>
        <w:left w:val="none" w:sz="0" w:space="0" w:color="auto"/>
        <w:bottom w:val="none" w:sz="0" w:space="0" w:color="auto"/>
        <w:right w:val="none" w:sz="0" w:space="0" w:color="auto"/>
      </w:divBdr>
    </w:div>
    <w:div w:id="619725309">
      <w:bodyDiv w:val="1"/>
      <w:marLeft w:val="0"/>
      <w:marRight w:val="0"/>
      <w:marTop w:val="0"/>
      <w:marBottom w:val="0"/>
      <w:divBdr>
        <w:top w:val="none" w:sz="0" w:space="0" w:color="auto"/>
        <w:left w:val="none" w:sz="0" w:space="0" w:color="auto"/>
        <w:bottom w:val="none" w:sz="0" w:space="0" w:color="auto"/>
        <w:right w:val="none" w:sz="0" w:space="0" w:color="auto"/>
      </w:divBdr>
    </w:div>
    <w:div w:id="619841221">
      <w:bodyDiv w:val="1"/>
      <w:marLeft w:val="0"/>
      <w:marRight w:val="0"/>
      <w:marTop w:val="0"/>
      <w:marBottom w:val="0"/>
      <w:divBdr>
        <w:top w:val="none" w:sz="0" w:space="0" w:color="auto"/>
        <w:left w:val="none" w:sz="0" w:space="0" w:color="auto"/>
        <w:bottom w:val="none" w:sz="0" w:space="0" w:color="auto"/>
        <w:right w:val="none" w:sz="0" w:space="0" w:color="auto"/>
      </w:divBdr>
    </w:div>
    <w:div w:id="619996853">
      <w:bodyDiv w:val="1"/>
      <w:marLeft w:val="0"/>
      <w:marRight w:val="0"/>
      <w:marTop w:val="0"/>
      <w:marBottom w:val="0"/>
      <w:divBdr>
        <w:top w:val="none" w:sz="0" w:space="0" w:color="auto"/>
        <w:left w:val="none" w:sz="0" w:space="0" w:color="auto"/>
        <w:bottom w:val="none" w:sz="0" w:space="0" w:color="auto"/>
        <w:right w:val="none" w:sz="0" w:space="0" w:color="auto"/>
      </w:divBdr>
    </w:div>
    <w:div w:id="620036178">
      <w:bodyDiv w:val="1"/>
      <w:marLeft w:val="0"/>
      <w:marRight w:val="0"/>
      <w:marTop w:val="0"/>
      <w:marBottom w:val="0"/>
      <w:divBdr>
        <w:top w:val="none" w:sz="0" w:space="0" w:color="auto"/>
        <w:left w:val="none" w:sz="0" w:space="0" w:color="auto"/>
        <w:bottom w:val="none" w:sz="0" w:space="0" w:color="auto"/>
        <w:right w:val="none" w:sz="0" w:space="0" w:color="auto"/>
      </w:divBdr>
    </w:div>
    <w:div w:id="620037849">
      <w:bodyDiv w:val="1"/>
      <w:marLeft w:val="0"/>
      <w:marRight w:val="0"/>
      <w:marTop w:val="0"/>
      <w:marBottom w:val="0"/>
      <w:divBdr>
        <w:top w:val="none" w:sz="0" w:space="0" w:color="auto"/>
        <w:left w:val="none" w:sz="0" w:space="0" w:color="auto"/>
        <w:bottom w:val="none" w:sz="0" w:space="0" w:color="auto"/>
        <w:right w:val="none" w:sz="0" w:space="0" w:color="auto"/>
      </w:divBdr>
    </w:div>
    <w:div w:id="620041111">
      <w:bodyDiv w:val="1"/>
      <w:marLeft w:val="0"/>
      <w:marRight w:val="0"/>
      <w:marTop w:val="0"/>
      <w:marBottom w:val="0"/>
      <w:divBdr>
        <w:top w:val="none" w:sz="0" w:space="0" w:color="auto"/>
        <w:left w:val="none" w:sz="0" w:space="0" w:color="auto"/>
        <w:bottom w:val="none" w:sz="0" w:space="0" w:color="auto"/>
        <w:right w:val="none" w:sz="0" w:space="0" w:color="auto"/>
      </w:divBdr>
    </w:div>
    <w:div w:id="620112519">
      <w:bodyDiv w:val="1"/>
      <w:marLeft w:val="0"/>
      <w:marRight w:val="0"/>
      <w:marTop w:val="0"/>
      <w:marBottom w:val="0"/>
      <w:divBdr>
        <w:top w:val="none" w:sz="0" w:space="0" w:color="auto"/>
        <w:left w:val="none" w:sz="0" w:space="0" w:color="auto"/>
        <w:bottom w:val="none" w:sz="0" w:space="0" w:color="auto"/>
        <w:right w:val="none" w:sz="0" w:space="0" w:color="auto"/>
      </w:divBdr>
    </w:div>
    <w:div w:id="620189005">
      <w:bodyDiv w:val="1"/>
      <w:marLeft w:val="0"/>
      <w:marRight w:val="0"/>
      <w:marTop w:val="0"/>
      <w:marBottom w:val="0"/>
      <w:divBdr>
        <w:top w:val="none" w:sz="0" w:space="0" w:color="auto"/>
        <w:left w:val="none" w:sz="0" w:space="0" w:color="auto"/>
        <w:bottom w:val="none" w:sz="0" w:space="0" w:color="auto"/>
        <w:right w:val="none" w:sz="0" w:space="0" w:color="auto"/>
      </w:divBdr>
    </w:div>
    <w:div w:id="620381786">
      <w:bodyDiv w:val="1"/>
      <w:marLeft w:val="0"/>
      <w:marRight w:val="0"/>
      <w:marTop w:val="0"/>
      <w:marBottom w:val="0"/>
      <w:divBdr>
        <w:top w:val="none" w:sz="0" w:space="0" w:color="auto"/>
        <w:left w:val="none" w:sz="0" w:space="0" w:color="auto"/>
        <w:bottom w:val="none" w:sz="0" w:space="0" w:color="auto"/>
        <w:right w:val="none" w:sz="0" w:space="0" w:color="auto"/>
      </w:divBdr>
    </w:div>
    <w:div w:id="620569621">
      <w:bodyDiv w:val="1"/>
      <w:marLeft w:val="0"/>
      <w:marRight w:val="0"/>
      <w:marTop w:val="0"/>
      <w:marBottom w:val="0"/>
      <w:divBdr>
        <w:top w:val="none" w:sz="0" w:space="0" w:color="auto"/>
        <w:left w:val="none" w:sz="0" w:space="0" w:color="auto"/>
        <w:bottom w:val="none" w:sz="0" w:space="0" w:color="auto"/>
        <w:right w:val="none" w:sz="0" w:space="0" w:color="auto"/>
      </w:divBdr>
    </w:div>
    <w:div w:id="620575432">
      <w:bodyDiv w:val="1"/>
      <w:marLeft w:val="0"/>
      <w:marRight w:val="0"/>
      <w:marTop w:val="0"/>
      <w:marBottom w:val="0"/>
      <w:divBdr>
        <w:top w:val="none" w:sz="0" w:space="0" w:color="auto"/>
        <w:left w:val="none" w:sz="0" w:space="0" w:color="auto"/>
        <w:bottom w:val="none" w:sz="0" w:space="0" w:color="auto"/>
        <w:right w:val="none" w:sz="0" w:space="0" w:color="auto"/>
      </w:divBdr>
    </w:div>
    <w:div w:id="620645033">
      <w:bodyDiv w:val="1"/>
      <w:marLeft w:val="0"/>
      <w:marRight w:val="0"/>
      <w:marTop w:val="0"/>
      <w:marBottom w:val="0"/>
      <w:divBdr>
        <w:top w:val="none" w:sz="0" w:space="0" w:color="auto"/>
        <w:left w:val="none" w:sz="0" w:space="0" w:color="auto"/>
        <w:bottom w:val="none" w:sz="0" w:space="0" w:color="auto"/>
        <w:right w:val="none" w:sz="0" w:space="0" w:color="auto"/>
      </w:divBdr>
    </w:div>
    <w:div w:id="620651990">
      <w:bodyDiv w:val="1"/>
      <w:marLeft w:val="0"/>
      <w:marRight w:val="0"/>
      <w:marTop w:val="0"/>
      <w:marBottom w:val="0"/>
      <w:divBdr>
        <w:top w:val="none" w:sz="0" w:space="0" w:color="auto"/>
        <w:left w:val="none" w:sz="0" w:space="0" w:color="auto"/>
        <w:bottom w:val="none" w:sz="0" w:space="0" w:color="auto"/>
        <w:right w:val="none" w:sz="0" w:space="0" w:color="auto"/>
      </w:divBdr>
    </w:div>
    <w:div w:id="620653385">
      <w:bodyDiv w:val="1"/>
      <w:marLeft w:val="0"/>
      <w:marRight w:val="0"/>
      <w:marTop w:val="0"/>
      <w:marBottom w:val="0"/>
      <w:divBdr>
        <w:top w:val="none" w:sz="0" w:space="0" w:color="auto"/>
        <w:left w:val="none" w:sz="0" w:space="0" w:color="auto"/>
        <w:bottom w:val="none" w:sz="0" w:space="0" w:color="auto"/>
        <w:right w:val="none" w:sz="0" w:space="0" w:color="auto"/>
      </w:divBdr>
    </w:div>
    <w:div w:id="620767310">
      <w:bodyDiv w:val="1"/>
      <w:marLeft w:val="0"/>
      <w:marRight w:val="0"/>
      <w:marTop w:val="0"/>
      <w:marBottom w:val="0"/>
      <w:divBdr>
        <w:top w:val="none" w:sz="0" w:space="0" w:color="auto"/>
        <w:left w:val="none" w:sz="0" w:space="0" w:color="auto"/>
        <w:bottom w:val="none" w:sz="0" w:space="0" w:color="auto"/>
        <w:right w:val="none" w:sz="0" w:space="0" w:color="auto"/>
      </w:divBdr>
    </w:div>
    <w:div w:id="620915364">
      <w:bodyDiv w:val="1"/>
      <w:marLeft w:val="0"/>
      <w:marRight w:val="0"/>
      <w:marTop w:val="0"/>
      <w:marBottom w:val="0"/>
      <w:divBdr>
        <w:top w:val="none" w:sz="0" w:space="0" w:color="auto"/>
        <w:left w:val="none" w:sz="0" w:space="0" w:color="auto"/>
        <w:bottom w:val="none" w:sz="0" w:space="0" w:color="auto"/>
        <w:right w:val="none" w:sz="0" w:space="0" w:color="auto"/>
      </w:divBdr>
    </w:div>
    <w:div w:id="620960536">
      <w:bodyDiv w:val="1"/>
      <w:marLeft w:val="0"/>
      <w:marRight w:val="0"/>
      <w:marTop w:val="0"/>
      <w:marBottom w:val="0"/>
      <w:divBdr>
        <w:top w:val="none" w:sz="0" w:space="0" w:color="auto"/>
        <w:left w:val="none" w:sz="0" w:space="0" w:color="auto"/>
        <w:bottom w:val="none" w:sz="0" w:space="0" w:color="auto"/>
        <w:right w:val="none" w:sz="0" w:space="0" w:color="auto"/>
      </w:divBdr>
    </w:div>
    <w:div w:id="620963851">
      <w:bodyDiv w:val="1"/>
      <w:marLeft w:val="0"/>
      <w:marRight w:val="0"/>
      <w:marTop w:val="0"/>
      <w:marBottom w:val="0"/>
      <w:divBdr>
        <w:top w:val="none" w:sz="0" w:space="0" w:color="auto"/>
        <w:left w:val="none" w:sz="0" w:space="0" w:color="auto"/>
        <w:bottom w:val="none" w:sz="0" w:space="0" w:color="auto"/>
        <w:right w:val="none" w:sz="0" w:space="0" w:color="auto"/>
      </w:divBdr>
    </w:div>
    <w:div w:id="621036013">
      <w:bodyDiv w:val="1"/>
      <w:marLeft w:val="0"/>
      <w:marRight w:val="0"/>
      <w:marTop w:val="0"/>
      <w:marBottom w:val="0"/>
      <w:divBdr>
        <w:top w:val="none" w:sz="0" w:space="0" w:color="auto"/>
        <w:left w:val="none" w:sz="0" w:space="0" w:color="auto"/>
        <w:bottom w:val="none" w:sz="0" w:space="0" w:color="auto"/>
        <w:right w:val="none" w:sz="0" w:space="0" w:color="auto"/>
      </w:divBdr>
    </w:div>
    <w:div w:id="621151427">
      <w:bodyDiv w:val="1"/>
      <w:marLeft w:val="0"/>
      <w:marRight w:val="0"/>
      <w:marTop w:val="0"/>
      <w:marBottom w:val="0"/>
      <w:divBdr>
        <w:top w:val="none" w:sz="0" w:space="0" w:color="auto"/>
        <w:left w:val="none" w:sz="0" w:space="0" w:color="auto"/>
        <w:bottom w:val="none" w:sz="0" w:space="0" w:color="auto"/>
        <w:right w:val="none" w:sz="0" w:space="0" w:color="auto"/>
      </w:divBdr>
    </w:div>
    <w:div w:id="621156494">
      <w:bodyDiv w:val="1"/>
      <w:marLeft w:val="0"/>
      <w:marRight w:val="0"/>
      <w:marTop w:val="0"/>
      <w:marBottom w:val="0"/>
      <w:divBdr>
        <w:top w:val="none" w:sz="0" w:space="0" w:color="auto"/>
        <w:left w:val="none" w:sz="0" w:space="0" w:color="auto"/>
        <w:bottom w:val="none" w:sz="0" w:space="0" w:color="auto"/>
        <w:right w:val="none" w:sz="0" w:space="0" w:color="auto"/>
      </w:divBdr>
    </w:div>
    <w:div w:id="621156778">
      <w:bodyDiv w:val="1"/>
      <w:marLeft w:val="0"/>
      <w:marRight w:val="0"/>
      <w:marTop w:val="0"/>
      <w:marBottom w:val="0"/>
      <w:divBdr>
        <w:top w:val="none" w:sz="0" w:space="0" w:color="auto"/>
        <w:left w:val="none" w:sz="0" w:space="0" w:color="auto"/>
        <w:bottom w:val="none" w:sz="0" w:space="0" w:color="auto"/>
        <w:right w:val="none" w:sz="0" w:space="0" w:color="auto"/>
      </w:divBdr>
    </w:div>
    <w:div w:id="621158235">
      <w:bodyDiv w:val="1"/>
      <w:marLeft w:val="0"/>
      <w:marRight w:val="0"/>
      <w:marTop w:val="0"/>
      <w:marBottom w:val="0"/>
      <w:divBdr>
        <w:top w:val="none" w:sz="0" w:space="0" w:color="auto"/>
        <w:left w:val="none" w:sz="0" w:space="0" w:color="auto"/>
        <w:bottom w:val="none" w:sz="0" w:space="0" w:color="auto"/>
        <w:right w:val="none" w:sz="0" w:space="0" w:color="auto"/>
      </w:divBdr>
    </w:div>
    <w:div w:id="621232989">
      <w:bodyDiv w:val="1"/>
      <w:marLeft w:val="0"/>
      <w:marRight w:val="0"/>
      <w:marTop w:val="0"/>
      <w:marBottom w:val="0"/>
      <w:divBdr>
        <w:top w:val="none" w:sz="0" w:space="0" w:color="auto"/>
        <w:left w:val="none" w:sz="0" w:space="0" w:color="auto"/>
        <w:bottom w:val="none" w:sz="0" w:space="0" w:color="auto"/>
        <w:right w:val="none" w:sz="0" w:space="0" w:color="auto"/>
      </w:divBdr>
    </w:div>
    <w:div w:id="621305456">
      <w:bodyDiv w:val="1"/>
      <w:marLeft w:val="0"/>
      <w:marRight w:val="0"/>
      <w:marTop w:val="0"/>
      <w:marBottom w:val="0"/>
      <w:divBdr>
        <w:top w:val="none" w:sz="0" w:space="0" w:color="auto"/>
        <w:left w:val="none" w:sz="0" w:space="0" w:color="auto"/>
        <w:bottom w:val="none" w:sz="0" w:space="0" w:color="auto"/>
        <w:right w:val="none" w:sz="0" w:space="0" w:color="auto"/>
      </w:divBdr>
    </w:div>
    <w:div w:id="621308503">
      <w:bodyDiv w:val="1"/>
      <w:marLeft w:val="0"/>
      <w:marRight w:val="0"/>
      <w:marTop w:val="0"/>
      <w:marBottom w:val="0"/>
      <w:divBdr>
        <w:top w:val="none" w:sz="0" w:space="0" w:color="auto"/>
        <w:left w:val="none" w:sz="0" w:space="0" w:color="auto"/>
        <w:bottom w:val="none" w:sz="0" w:space="0" w:color="auto"/>
        <w:right w:val="none" w:sz="0" w:space="0" w:color="auto"/>
      </w:divBdr>
    </w:div>
    <w:div w:id="621349902">
      <w:bodyDiv w:val="1"/>
      <w:marLeft w:val="0"/>
      <w:marRight w:val="0"/>
      <w:marTop w:val="0"/>
      <w:marBottom w:val="0"/>
      <w:divBdr>
        <w:top w:val="none" w:sz="0" w:space="0" w:color="auto"/>
        <w:left w:val="none" w:sz="0" w:space="0" w:color="auto"/>
        <w:bottom w:val="none" w:sz="0" w:space="0" w:color="auto"/>
        <w:right w:val="none" w:sz="0" w:space="0" w:color="auto"/>
      </w:divBdr>
    </w:div>
    <w:div w:id="621574641">
      <w:bodyDiv w:val="1"/>
      <w:marLeft w:val="0"/>
      <w:marRight w:val="0"/>
      <w:marTop w:val="0"/>
      <w:marBottom w:val="0"/>
      <w:divBdr>
        <w:top w:val="none" w:sz="0" w:space="0" w:color="auto"/>
        <w:left w:val="none" w:sz="0" w:space="0" w:color="auto"/>
        <w:bottom w:val="none" w:sz="0" w:space="0" w:color="auto"/>
        <w:right w:val="none" w:sz="0" w:space="0" w:color="auto"/>
      </w:divBdr>
    </w:div>
    <w:div w:id="621612280">
      <w:bodyDiv w:val="1"/>
      <w:marLeft w:val="0"/>
      <w:marRight w:val="0"/>
      <w:marTop w:val="0"/>
      <w:marBottom w:val="0"/>
      <w:divBdr>
        <w:top w:val="none" w:sz="0" w:space="0" w:color="auto"/>
        <w:left w:val="none" w:sz="0" w:space="0" w:color="auto"/>
        <w:bottom w:val="none" w:sz="0" w:space="0" w:color="auto"/>
        <w:right w:val="none" w:sz="0" w:space="0" w:color="auto"/>
      </w:divBdr>
    </w:div>
    <w:div w:id="621767370">
      <w:bodyDiv w:val="1"/>
      <w:marLeft w:val="0"/>
      <w:marRight w:val="0"/>
      <w:marTop w:val="0"/>
      <w:marBottom w:val="0"/>
      <w:divBdr>
        <w:top w:val="none" w:sz="0" w:space="0" w:color="auto"/>
        <w:left w:val="none" w:sz="0" w:space="0" w:color="auto"/>
        <w:bottom w:val="none" w:sz="0" w:space="0" w:color="auto"/>
        <w:right w:val="none" w:sz="0" w:space="0" w:color="auto"/>
      </w:divBdr>
    </w:div>
    <w:div w:id="621806947">
      <w:bodyDiv w:val="1"/>
      <w:marLeft w:val="0"/>
      <w:marRight w:val="0"/>
      <w:marTop w:val="0"/>
      <w:marBottom w:val="0"/>
      <w:divBdr>
        <w:top w:val="none" w:sz="0" w:space="0" w:color="auto"/>
        <w:left w:val="none" w:sz="0" w:space="0" w:color="auto"/>
        <w:bottom w:val="none" w:sz="0" w:space="0" w:color="auto"/>
        <w:right w:val="none" w:sz="0" w:space="0" w:color="auto"/>
      </w:divBdr>
    </w:div>
    <w:div w:id="621807603">
      <w:bodyDiv w:val="1"/>
      <w:marLeft w:val="0"/>
      <w:marRight w:val="0"/>
      <w:marTop w:val="0"/>
      <w:marBottom w:val="0"/>
      <w:divBdr>
        <w:top w:val="none" w:sz="0" w:space="0" w:color="auto"/>
        <w:left w:val="none" w:sz="0" w:space="0" w:color="auto"/>
        <w:bottom w:val="none" w:sz="0" w:space="0" w:color="auto"/>
        <w:right w:val="none" w:sz="0" w:space="0" w:color="auto"/>
      </w:divBdr>
    </w:div>
    <w:div w:id="621962595">
      <w:bodyDiv w:val="1"/>
      <w:marLeft w:val="0"/>
      <w:marRight w:val="0"/>
      <w:marTop w:val="0"/>
      <w:marBottom w:val="0"/>
      <w:divBdr>
        <w:top w:val="none" w:sz="0" w:space="0" w:color="auto"/>
        <w:left w:val="none" w:sz="0" w:space="0" w:color="auto"/>
        <w:bottom w:val="none" w:sz="0" w:space="0" w:color="auto"/>
        <w:right w:val="none" w:sz="0" w:space="0" w:color="auto"/>
      </w:divBdr>
    </w:div>
    <w:div w:id="622004339">
      <w:bodyDiv w:val="1"/>
      <w:marLeft w:val="0"/>
      <w:marRight w:val="0"/>
      <w:marTop w:val="0"/>
      <w:marBottom w:val="0"/>
      <w:divBdr>
        <w:top w:val="none" w:sz="0" w:space="0" w:color="auto"/>
        <w:left w:val="none" w:sz="0" w:space="0" w:color="auto"/>
        <w:bottom w:val="none" w:sz="0" w:space="0" w:color="auto"/>
        <w:right w:val="none" w:sz="0" w:space="0" w:color="auto"/>
      </w:divBdr>
    </w:div>
    <w:div w:id="622034783">
      <w:bodyDiv w:val="1"/>
      <w:marLeft w:val="0"/>
      <w:marRight w:val="0"/>
      <w:marTop w:val="0"/>
      <w:marBottom w:val="0"/>
      <w:divBdr>
        <w:top w:val="none" w:sz="0" w:space="0" w:color="auto"/>
        <w:left w:val="none" w:sz="0" w:space="0" w:color="auto"/>
        <w:bottom w:val="none" w:sz="0" w:space="0" w:color="auto"/>
        <w:right w:val="none" w:sz="0" w:space="0" w:color="auto"/>
      </w:divBdr>
    </w:div>
    <w:div w:id="622154981">
      <w:bodyDiv w:val="1"/>
      <w:marLeft w:val="0"/>
      <w:marRight w:val="0"/>
      <w:marTop w:val="0"/>
      <w:marBottom w:val="0"/>
      <w:divBdr>
        <w:top w:val="none" w:sz="0" w:space="0" w:color="auto"/>
        <w:left w:val="none" w:sz="0" w:space="0" w:color="auto"/>
        <w:bottom w:val="none" w:sz="0" w:space="0" w:color="auto"/>
        <w:right w:val="none" w:sz="0" w:space="0" w:color="auto"/>
      </w:divBdr>
    </w:div>
    <w:div w:id="622157317">
      <w:bodyDiv w:val="1"/>
      <w:marLeft w:val="0"/>
      <w:marRight w:val="0"/>
      <w:marTop w:val="0"/>
      <w:marBottom w:val="0"/>
      <w:divBdr>
        <w:top w:val="none" w:sz="0" w:space="0" w:color="auto"/>
        <w:left w:val="none" w:sz="0" w:space="0" w:color="auto"/>
        <w:bottom w:val="none" w:sz="0" w:space="0" w:color="auto"/>
        <w:right w:val="none" w:sz="0" w:space="0" w:color="auto"/>
      </w:divBdr>
    </w:div>
    <w:div w:id="622158479">
      <w:bodyDiv w:val="1"/>
      <w:marLeft w:val="0"/>
      <w:marRight w:val="0"/>
      <w:marTop w:val="0"/>
      <w:marBottom w:val="0"/>
      <w:divBdr>
        <w:top w:val="none" w:sz="0" w:space="0" w:color="auto"/>
        <w:left w:val="none" w:sz="0" w:space="0" w:color="auto"/>
        <w:bottom w:val="none" w:sz="0" w:space="0" w:color="auto"/>
        <w:right w:val="none" w:sz="0" w:space="0" w:color="auto"/>
      </w:divBdr>
    </w:div>
    <w:div w:id="622270838">
      <w:bodyDiv w:val="1"/>
      <w:marLeft w:val="0"/>
      <w:marRight w:val="0"/>
      <w:marTop w:val="0"/>
      <w:marBottom w:val="0"/>
      <w:divBdr>
        <w:top w:val="none" w:sz="0" w:space="0" w:color="auto"/>
        <w:left w:val="none" w:sz="0" w:space="0" w:color="auto"/>
        <w:bottom w:val="none" w:sz="0" w:space="0" w:color="auto"/>
        <w:right w:val="none" w:sz="0" w:space="0" w:color="auto"/>
      </w:divBdr>
    </w:div>
    <w:div w:id="622423728">
      <w:bodyDiv w:val="1"/>
      <w:marLeft w:val="0"/>
      <w:marRight w:val="0"/>
      <w:marTop w:val="0"/>
      <w:marBottom w:val="0"/>
      <w:divBdr>
        <w:top w:val="none" w:sz="0" w:space="0" w:color="auto"/>
        <w:left w:val="none" w:sz="0" w:space="0" w:color="auto"/>
        <w:bottom w:val="none" w:sz="0" w:space="0" w:color="auto"/>
        <w:right w:val="none" w:sz="0" w:space="0" w:color="auto"/>
      </w:divBdr>
    </w:div>
    <w:div w:id="622424643">
      <w:bodyDiv w:val="1"/>
      <w:marLeft w:val="0"/>
      <w:marRight w:val="0"/>
      <w:marTop w:val="0"/>
      <w:marBottom w:val="0"/>
      <w:divBdr>
        <w:top w:val="none" w:sz="0" w:space="0" w:color="auto"/>
        <w:left w:val="none" w:sz="0" w:space="0" w:color="auto"/>
        <w:bottom w:val="none" w:sz="0" w:space="0" w:color="auto"/>
        <w:right w:val="none" w:sz="0" w:space="0" w:color="auto"/>
      </w:divBdr>
    </w:div>
    <w:div w:id="622461002">
      <w:bodyDiv w:val="1"/>
      <w:marLeft w:val="0"/>
      <w:marRight w:val="0"/>
      <w:marTop w:val="0"/>
      <w:marBottom w:val="0"/>
      <w:divBdr>
        <w:top w:val="none" w:sz="0" w:space="0" w:color="auto"/>
        <w:left w:val="none" w:sz="0" w:space="0" w:color="auto"/>
        <w:bottom w:val="none" w:sz="0" w:space="0" w:color="auto"/>
        <w:right w:val="none" w:sz="0" w:space="0" w:color="auto"/>
      </w:divBdr>
    </w:div>
    <w:div w:id="622544779">
      <w:bodyDiv w:val="1"/>
      <w:marLeft w:val="0"/>
      <w:marRight w:val="0"/>
      <w:marTop w:val="0"/>
      <w:marBottom w:val="0"/>
      <w:divBdr>
        <w:top w:val="none" w:sz="0" w:space="0" w:color="auto"/>
        <w:left w:val="none" w:sz="0" w:space="0" w:color="auto"/>
        <w:bottom w:val="none" w:sz="0" w:space="0" w:color="auto"/>
        <w:right w:val="none" w:sz="0" w:space="0" w:color="auto"/>
      </w:divBdr>
    </w:div>
    <w:div w:id="622686847">
      <w:bodyDiv w:val="1"/>
      <w:marLeft w:val="0"/>
      <w:marRight w:val="0"/>
      <w:marTop w:val="0"/>
      <w:marBottom w:val="0"/>
      <w:divBdr>
        <w:top w:val="none" w:sz="0" w:space="0" w:color="auto"/>
        <w:left w:val="none" w:sz="0" w:space="0" w:color="auto"/>
        <w:bottom w:val="none" w:sz="0" w:space="0" w:color="auto"/>
        <w:right w:val="none" w:sz="0" w:space="0" w:color="auto"/>
      </w:divBdr>
    </w:div>
    <w:div w:id="622732902">
      <w:bodyDiv w:val="1"/>
      <w:marLeft w:val="0"/>
      <w:marRight w:val="0"/>
      <w:marTop w:val="0"/>
      <w:marBottom w:val="0"/>
      <w:divBdr>
        <w:top w:val="none" w:sz="0" w:space="0" w:color="auto"/>
        <w:left w:val="none" w:sz="0" w:space="0" w:color="auto"/>
        <w:bottom w:val="none" w:sz="0" w:space="0" w:color="auto"/>
        <w:right w:val="none" w:sz="0" w:space="0" w:color="auto"/>
      </w:divBdr>
    </w:div>
    <w:div w:id="622735896">
      <w:bodyDiv w:val="1"/>
      <w:marLeft w:val="0"/>
      <w:marRight w:val="0"/>
      <w:marTop w:val="0"/>
      <w:marBottom w:val="0"/>
      <w:divBdr>
        <w:top w:val="none" w:sz="0" w:space="0" w:color="auto"/>
        <w:left w:val="none" w:sz="0" w:space="0" w:color="auto"/>
        <w:bottom w:val="none" w:sz="0" w:space="0" w:color="auto"/>
        <w:right w:val="none" w:sz="0" w:space="0" w:color="auto"/>
      </w:divBdr>
    </w:div>
    <w:div w:id="622807606">
      <w:bodyDiv w:val="1"/>
      <w:marLeft w:val="0"/>
      <w:marRight w:val="0"/>
      <w:marTop w:val="0"/>
      <w:marBottom w:val="0"/>
      <w:divBdr>
        <w:top w:val="none" w:sz="0" w:space="0" w:color="auto"/>
        <w:left w:val="none" w:sz="0" w:space="0" w:color="auto"/>
        <w:bottom w:val="none" w:sz="0" w:space="0" w:color="auto"/>
        <w:right w:val="none" w:sz="0" w:space="0" w:color="auto"/>
      </w:divBdr>
    </w:div>
    <w:div w:id="622855559">
      <w:bodyDiv w:val="1"/>
      <w:marLeft w:val="0"/>
      <w:marRight w:val="0"/>
      <w:marTop w:val="0"/>
      <w:marBottom w:val="0"/>
      <w:divBdr>
        <w:top w:val="none" w:sz="0" w:space="0" w:color="auto"/>
        <w:left w:val="none" w:sz="0" w:space="0" w:color="auto"/>
        <w:bottom w:val="none" w:sz="0" w:space="0" w:color="auto"/>
        <w:right w:val="none" w:sz="0" w:space="0" w:color="auto"/>
      </w:divBdr>
    </w:div>
    <w:div w:id="622924818">
      <w:bodyDiv w:val="1"/>
      <w:marLeft w:val="0"/>
      <w:marRight w:val="0"/>
      <w:marTop w:val="0"/>
      <w:marBottom w:val="0"/>
      <w:divBdr>
        <w:top w:val="none" w:sz="0" w:space="0" w:color="auto"/>
        <w:left w:val="none" w:sz="0" w:space="0" w:color="auto"/>
        <w:bottom w:val="none" w:sz="0" w:space="0" w:color="auto"/>
        <w:right w:val="none" w:sz="0" w:space="0" w:color="auto"/>
      </w:divBdr>
    </w:div>
    <w:div w:id="623004530">
      <w:bodyDiv w:val="1"/>
      <w:marLeft w:val="0"/>
      <w:marRight w:val="0"/>
      <w:marTop w:val="0"/>
      <w:marBottom w:val="0"/>
      <w:divBdr>
        <w:top w:val="none" w:sz="0" w:space="0" w:color="auto"/>
        <w:left w:val="none" w:sz="0" w:space="0" w:color="auto"/>
        <w:bottom w:val="none" w:sz="0" w:space="0" w:color="auto"/>
        <w:right w:val="none" w:sz="0" w:space="0" w:color="auto"/>
      </w:divBdr>
    </w:div>
    <w:div w:id="623078843">
      <w:bodyDiv w:val="1"/>
      <w:marLeft w:val="0"/>
      <w:marRight w:val="0"/>
      <w:marTop w:val="0"/>
      <w:marBottom w:val="0"/>
      <w:divBdr>
        <w:top w:val="none" w:sz="0" w:space="0" w:color="auto"/>
        <w:left w:val="none" w:sz="0" w:space="0" w:color="auto"/>
        <w:bottom w:val="none" w:sz="0" w:space="0" w:color="auto"/>
        <w:right w:val="none" w:sz="0" w:space="0" w:color="auto"/>
      </w:divBdr>
    </w:div>
    <w:div w:id="623119476">
      <w:bodyDiv w:val="1"/>
      <w:marLeft w:val="0"/>
      <w:marRight w:val="0"/>
      <w:marTop w:val="0"/>
      <w:marBottom w:val="0"/>
      <w:divBdr>
        <w:top w:val="none" w:sz="0" w:space="0" w:color="auto"/>
        <w:left w:val="none" w:sz="0" w:space="0" w:color="auto"/>
        <w:bottom w:val="none" w:sz="0" w:space="0" w:color="auto"/>
        <w:right w:val="none" w:sz="0" w:space="0" w:color="auto"/>
      </w:divBdr>
    </w:div>
    <w:div w:id="623271007">
      <w:bodyDiv w:val="1"/>
      <w:marLeft w:val="0"/>
      <w:marRight w:val="0"/>
      <w:marTop w:val="0"/>
      <w:marBottom w:val="0"/>
      <w:divBdr>
        <w:top w:val="none" w:sz="0" w:space="0" w:color="auto"/>
        <w:left w:val="none" w:sz="0" w:space="0" w:color="auto"/>
        <w:bottom w:val="none" w:sz="0" w:space="0" w:color="auto"/>
        <w:right w:val="none" w:sz="0" w:space="0" w:color="auto"/>
      </w:divBdr>
    </w:div>
    <w:div w:id="623344738">
      <w:bodyDiv w:val="1"/>
      <w:marLeft w:val="0"/>
      <w:marRight w:val="0"/>
      <w:marTop w:val="0"/>
      <w:marBottom w:val="0"/>
      <w:divBdr>
        <w:top w:val="none" w:sz="0" w:space="0" w:color="auto"/>
        <w:left w:val="none" w:sz="0" w:space="0" w:color="auto"/>
        <w:bottom w:val="none" w:sz="0" w:space="0" w:color="auto"/>
        <w:right w:val="none" w:sz="0" w:space="0" w:color="auto"/>
      </w:divBdr>
    </w:div>
    <w:div w:id="623460931">
      <w:bodyDiv w:val="1"/>
      <w:marLeft w:val="0"/>
      <w:marRight w:val="0"/>
      <w:marTop w:val="0"/>
      <w:marBottom w:val="0"/>
      <w:divBdr>
        <w:top w:val="none" w:sz="0" w:space="0" w:color="auto"/>
        <w:left w:val="none" w:sz="0" w:space="0" w:color="auto"/>
        <w:bottom w:val="none" w:sz="0" w:space="0" w:color="auto"/>
        <w:right w:val="none" w:sz="0" w:space="0" w:color="auto"/>
      </w:divBdr>
    </w:div>
    <w:div w:id="623729123">
      <w:bodyDiv w:val="1"/>
      <w:marLeft w:val="0"/>
      <w:marRight w:val="0"/>
      <w:marTop w:val="0"/>
      <w:marBottom w:val="0"/>
      <w:divBdr>
        <w:top w:val="none" w:sz="0" w:space="0" w:color="auto"/>
        <w:left w:val="none" w:sz="0" w:space="0" w:color="auto"/>
        <w:bottom w:val="none" w:sz="0" w:space="0" w:color="auto"/>
        <w:right w:val="none" w:sz="0" w:space="0" w:color="auto"/>
      </w:divBdr>
    </w:div>
    <w:div w:id="623735575">
      <w:bodyDiv w:val="1"/>
      <w:marLeft w:val="0"/>
      <w:marRight w:val="0"/>
      <w:marTop w:val="0"/>
      <w:marBottom w:val="0"/>
      <w:divBdr>
        <w:top w:val="none" w:sz="0" w:space="0" w:color="auto"/>
        <w:left w:val="none" w:sz="0" w:space="0" w:color="auto"/>
        <w:bottom w:val="none" w:sz="0" w:space="0" w:color="auto"/>
        <w:right w:val="none" w:sz="0" w:space="0" w:color="auto"/>
      </w:divBdr>
    </w:div>
    <w:div w:id="623775617">
      <w:bodyDiv w:val="1"/>
      <w:marLeft w:val="0"/>
      <w:marRight w:val="0"/>
      <w:marTop w:val="0"/>
      <w:marBottom w:val="0"/>
      <w:divBdr>
        <w:top w:val="none" w:sz="0" w:space="0" w:color="auto"/>
        <w:left w:val="none" w:sz="0" w:space="0" w:color="auto"/>
        <w:bottom w:val="none" w:sz="0" w:space="0" w:color="auto"/>
        <w:right w:val="none" w:sz="0" w:space="0" w:color="auto"/>
      </w:divBdr>
    </w:div>
    <w:div w:id="623848998">
      <w:bodyDiv w:val="1"/>
      <w:marLeft w:val="0"/>
      <w:marRight w:val="0"/>
      <w:marTop w:val="0"/>
      <w:marBottom w:val="0"/>
      <w:divBdr>
        <w:top w:val="none" w:sz="0" w:space="0" w:color="auto"/>
        <w:left w:val="none" w:sz="0" w:space="0" w:color="auto"/>
        <w:bottom w:val="none" w:sz="0" w:space="0" w:color="auto"/>
        <w:right w:val="none" w:sz="0" w:space="0" w:color="auto"/>
      </w:divBdr>
    </w:div>
    <w:div w:id="623921403">
      <w:bodyDiv w:val="1"/>
      <w:marLeft w:val="0"/>
      <w:marRight w:val="0"/>
      <w:marTop w:val="0"/>
      <w:marBottom w:val="0"/>
      <w:divBdr>
        <w:top w:val="none" w:sz="0" w:space="0" w:color="auto"/>
        <w:left w:val="none" w:sz="0" w:space="0" w:color="auto"/>
        <w:bottom w:val="none" w:sz="0" w:space="0" w:color="auto"/>
        <w:right w:val="none" w:sz="0" w:space="0" w:color="auto"/>
      </w:divBdr>
    </w:div>
    <w:div w:id="624039514">
      <w:bodyDiv w:val="1"/>
      <w:marLeft w:val="0"/>
      <w:marRight w:val="0"/>
      <w:marTop w:val="0"/>
      <w:marBottom w:val="0"/>
      <w:divBdr>
        <w:top w:val="none" w:sz="0" w:space="0" w:color="auto"/>
        <w:left w:val="none" w:sz="0" w:space="0" w:color="auto"/>
        <w:bottom w:val="none" w:sz="0" w:space="0" w:color="auto"/>
        <w:right w:val="none" w:sz="0" w:space="0" w:color="auto"/>
      </w:divBdr>
    </w:div>
    <w:div w:id="624307962">
      <w:bodyDiv w:val="1"/>
      <w:marLeft w:val="0"/>
      <w:marRight w:val="0"/>
      <w:marTop w:val="0"/>
      <w:marBottom w:val="0"/>
      <w:divBdr>
        <w:top w:val="none" w:sz="0" w:space="0" w:color="auto"/>
        <w:left w:val="none" w:sz="0" w:space="0" w:color="auto"/>
        <w:bottom w:val="none" w:sz="0" w:space="0" w:color="auto"/>
        <w:right w:val="none" w:sz="0" w:space="0" w:color="auto"/>
      </w:divBdr>
    </w:div>
    <w:div w:id="624389872">
      <w:bodyDiv w:val="1"/>
      <w:marLeft w:val="0"/>
      <w:marRight w:val="0"/>
      <w:marTop w:val="0"/>
      <w:marBottom w:val="0"/>
      <w:divBdr>
        <w:top w:val="none" w:sz="0" w:space="0" w:color="auto"/>
        <w:left w:val="none" w:sz="0" w:space="0" w:color="auto"/>
        <w:bottom w:val="none" w:sz="0" w:space="0" w:color="auto"/>
        <w:right w:val="none" w:sz="0" w:space="0" w:color="auto"/>
      </w:divBdr>
    </w:div>
    <w:div w:id="624391537">
      <w:bodyDiv w:val="1"/>
      <w:marLeft w:val="0"/>
      <w:marRight w:val="0"/>
      <w:marTop w:val="0"/>
      <w:marBottom w:val="0"/>
      <w:divBdr>
        <w:top w:val="none" w:sz="0" w:space="0" w:color="auto"/>
        <w:left w:val="none" w:sz="0" w:space="0" w:color="auto"/>
        <w:bottom w:val="none" w:sz="0" w:space="0" w:color="auto"/>
        <w:right w:val="none" w:sz="0" w:space="0" w:color="auto"/>
      </w:divBdr>
    </w:div>
    <w:div w:id="624391970">
      <w:bodyDiv w:val="1"/>
      <w:marLeft w:val="0"/>
      <w:marRight w:val="0"/>
      <w:marTop w:val="0"/>
      <w:marBottom w:val="0"/>
      <w:divBdr>
        <w:top w:val="none" w:sz="0" w:space="0" w:color="auto"/>
        <w:left w:val="none" w:sz="0" w:space="0" w:color="auto"/>
        <w:bottom w:val="none" w:sz="0" w:space="0" w:color="auto"/>
        <w:right w:val="none" w:sz="0" w:space="0" w:color="auto"/>
      </w:divBdr>
    </w:div>
    <w:div w:id="624458753">
      <w:bodyDiv w:val="1"/>
      <w:marLeft w:val="0"/>
      <w:marRight w:val="0"/>
      <w:marTop w:val="0"/>
      <w:marBottom w:val="0"/>
      <w:divBdr>
        <w:top w:val="none" w:sz="0" w:space="0" w:color="auto"/>
        <w:left w:val="none" w:sz="0" w:space="0" w:color="auto"/>
        <w:bottom w:val="none" w:sz="0" w:space="0" w:color="auto"/>
        <w:right w:val="none" w:sz="0" w:space="0" w:color="auto"/>
      </w:divBdr>
    </w:div>
    <w:div w:id="624511002">
      <w:bodyDiv w:val="1"/>
      <w:marLeft w:val="0"/>
      <w:marRight w:val="0"/>
      <w:marTop w:val="0"/>
      <w:marBottom w:val="0"/>
      <w:divBdr>
        <w:top w:val="none" w:sz="0" w:space="0" w:color="auto"/>
        <w:left w:val="none" w:sz="0" w:space="0" w:color="auto"/>
        <w:bottom w:val="none" w:sz="0" w:space="0" w:color="auto"/>
        <w:right w:val="none" w:sz="0" w:space="0" w:color="auto"/>
      </w:divBdr>
    </w:div>
    <w:div w:id="624580471">
      <w:bodyDiv w:val="1"/>
      <w:marLeft w:val="0"/>
      <w:marRight w:val="0"/>
      <w:marTop w:val="0"/>
      <w:marBottom w:val="0"/>
      <w:divBdr>
        <w:top w:val="none" w:sz="0" w:space="0" w:color="auto"/>
        <w:left w:val="none" w:sz="0" w:space="0" w:color="auto"/>
        <w:bottom w:val="none" w:sz="0" w:space="0" w:color="auto"/>
        <w:right w:val="none" w:sz="0" w:space="0" w:color="auto"/>
      </w:divBdr>
    </w:div>
    <w:div w:id="624580795">
      <w:bodyDiv w:val="1"/>
      <w:marLeft w:val="0"/>
      <w:marRight w:val="0"/>
      <w:marTop w:val="0"/>
      <w:marBottom w:val="0"/>
      <w:divBdr>
        <w:top w:val="none" w:sz="0" w:space="0" w:color="auto"/>
        <w:left w:val="none" w:sz="0" w:space="0" w:color="auto"/>
        <w:bottom w:val="none" w:sz="0" w:space="0" w:color="auto"/>
        <w:right w:val="none" w:sz="0" w:space="0" w:color="auto"/>
      </w:divBdr>
    </w:div>
    <w:div w:id="624584855">
      <w:bodyDiv w:val="1"/>
      <w:marLeft w:val="0"/>
      <w:marRight w:val="0"/>
      <w:marTop w:val="0"/>
      <w:marBottom w:val="0"/>
      <w:divBdr>
        <w:top w:val="none" w:sz="0" w:space="0" w:color="auto"/>
        <w:left w:val="none" w:sz="0" w:space="0" w:color="auto"/>
        <w:bottom w:val="none" w:sz="0" w:space="0" w:color="auto"/>
        <w:right w:val="none" w:sz="0" w:space="0" w:color="auto"/>
      </w:divBdr>
    </w:div>
    <w:div w:id="624652108">
      <w:bodyDiv w:val="1"/>
      <w:marLeft w:val="0"/>
      <w:marRight w:val="0"/>
      <w:marTop w:val="0"/>
      <w:marBottom w:val="0"/>
      <w:divBdr>
        <w:top w:val="none" w:sz="0" w:space="0" w:color="auto"/>
        <w:left w:val="none" w:sz="0" w:space="0" w:color="auto"/>
        <w:bottom w:val="none" w:sz="0" w:space="0" w:color="auto"/>
        <w:right w:val="none" w:sz="0" w:space="0" w:color="auto"/>
      </w:divBdr>
    </w:div>
    <w:div w:id="624653445">
      <w:bodyDiv w:val="1"/>
      <w:marLeft w:val="0"/>
      <w:marRight w:val="0"/>
      <w:marTop w:val="0"/>
      <w:marBottom w:val="0"/>
      <w:divBdr>
        <w:top w:val="none" w:sz="0" w:space="0" w:color="auto"/>
        <w:left w:val="none" w:sz="0" w:space="0" w:color="auto"/>
        <w:bottom w:val="none" w:sz="0" w:space="0" w:color="auto"/>
        <w:right w:val="none" w:sz="0" w:space="0" w:color="auto"/>
      </w:divBdr>
    </w:div>
    <w:div w:id="624697636">
      <w:bodyDiv w:val="1"/>
      <w:marLeft w:val="0"/>
      <w:marRight w:val="0"/>
      <w:marTop w:val="0"/>
      <w:marBottom w:val="0"/>
      <w:divBdr>
        <w:top w:val="none" w:sz="0" w:space="0" w:color="auto"/>
        <w:left w:val="none" w:sz="0" w:space="0" w:color="auto"/>
        <w:bottom w:val="none" w:sz="0" w:space="0" w:color="auto"/>
        <w:right w:val="none" w:sz="0" w:space="0" w:color="auto"/>
      </w:divBdr>
    </w:div>
    <w:div w:id="624770167">
      <w:bodyDiv w:val="1"/>
      <w:marLeft w:val="0"/>
      <w:marRight w:val="0"/>
      <w:marTop w:val="0"/>
      <w:marBottom w:val="0"/>
      <w:divBdr>
        <w:top w:val="none" w:sz="0" w:space="0" w:color="auto"/>
        <w:left w:val="none" w:sz="0" w:space="0" w:color="auto"/>
        <w:bottom w:val="none" w:sz="0" w:space="0" w:color="auto"/>
        <w:right w:val="none" w:sz="0" w:space="0" w:color="auto"/>
      </w:divBdr>
    </w:div>
    <w:div w:id="624849551">
      <w:bodyDiv w:val="1"/>
      <w:marLeft w:val="0"/>
      <w:marRight w:val="0"/>
      <w:marTop w:val="0"/>
      <w:marBottom w:val="0"/>
      <w:divBdr>
        <w:top w:val="none" w:sz="0" w:space="0" w:color="auto"/>
        <w:left w:val="none" w:sz="0" w:space="0" w:color="auto"/>
        <w:bottom w:val="none" w:sz="0" w:space="0" w:color="auto"/>
        <w:right w:val="none" w:sz="0" w:space="0" w:color="auto"/>
      </w:divBdr>
    </w:div>
    <w:div w:id="624971074">
      <w:bodyDiv w:val="1"/>
      <w:marLeft w:val="0"/>
      <w:marRight w:val="0"/>
      <w:marTop w:val="0"/>
      <w:marBottom w:val="0"/>
      <w:divBdr>
        <w:top w:val="none" w:sz="0" w:space="0" w:color="auto"/>
        <w:left w:val="none" w:sz="0" w:space="0" w:color="auto"/>
        <w:bottom w:val="none" w:sz="0" w:space="0" w:color="auto"/>
        <w:right w:val="none" w:sz="0" w:space="0" w:color="auto"/>
      </w:divBdr>
    </w:div>
    <w:div w:id="625043459">
      <w:bodyDiv w:val="1"/>
      <w:marLeft w:val="0"/>
      <w:marRight w:val="0"/>
      <w:marTop w:val="0"/>
      <w:marBottom w:val="0"/>
      <w:divBdr>
        <w:top w:val="none" w:sz="0" w:space="0" w:color="auto"/>
        <w:left w:val="none" w:sz="0" w:space="0" w:color="auto"/>
        <w:bottom w:val="none" w:sz="0" w:space="0" w:color="auto"/>
        <w:right w:val="none" w:sz="0" w:space="0" w:color="auto"/>
      </w:divBdr>
    </w:div>
    <w:div w:id="625236190">
      <w:bodyDiv w:val="1"/>
      <w:marLeft w:val="0"/>
      <w:marRight w:val="0"/>
      <w:marTop w:val="0"/>
      <w:marBottom w:val="0"/>
      <w:divBdr>
        <w:top w:val="none" w:sz="0" w:space="0" w:color="auto"/>
        <w:left w:val="none" w:sz="0" w:space="0" w:color="auto"/>
        <w:bottom w:val="none" w:sz="0" w:space="0" w:color="auto"/>
        <w:right w:val="none" w:sz="0" w:space="0" w:color="auto"/>
      </w:divBdr>
    </w:div>
    <w:div w:id="625429283">
      <w:bodyDiv w:val="1"/>
      <w:marLeft w:val="0"/>
      <w:marRight w:val="0"/>
      <w:marTop w:val="0"/>
      <w:marBottom w:val="0"/>
      <w:divBdr>
        <w:top w:val="none" w:sz="0" w:space="0" w:color="auto"/>
        <w:left w:val="none" w:sz="0" w:space="0" w:color="auto"/>
        <w:bottom w:val="none" w:sz="0" w:space="0" w:color="auto"/>
        <w:right w:val="none" w:sz="0" w:space="0" w:color="auto"/>
      </w:divBdr>
    </w:div>
    <w:div w:id="625506442">
      <w:bodyDiv w:val="1"/>
      <w:marLeft w:val="0"/>
      <w:marRight w:val="0"/>
      <w:marTop w:val="0"/>
      <w:marBottom w:val="0"/>
      <w:divBdr>
        <w:top w:val="none" w:sz="0" w:space="0" w:color="auto"/>
        <w:left w:val="none" w:sz="0" w:space="0" w:color="auto"/>
        <w:bottom w:val="none" w:sz="0" w:space="0" w:color="auto"/>
        <w:right w:val="none" w:sz="0" w:space="0" w:color="auto"/>
      </w:divBdr>
    </w:div>
    <w:div w:id="625551711">
      <w:bodyDiv w:val="1"/>
      <w:marLeft w:val="0"/>
      <w:marRight w:val="0"/>
      <w:marTop w:val="0"/>
      <w:marBottom w:val="0"/>
      <w:divBdr>
        <w:top w:val="none" w:sz="0" w:space="0" w:color="auto"/>
        <w:left w:val="none" w:sz="0" w:space="0" w:color="auto"/>
        <w:bottom w:val="none" w:sz="0" w:space="0" w:color="auto"/>
        <w:right w:val="none" w:sz="0" w:space="0" w:color="auto"/>
      </w:divBdr>
    </w:div>
    <w:div w:id="625619729">
      <w:bodyDiv w:val="1"/>
      <w:marLeft w:val="0"/>
      <w:marRight w:val="0"/>
      <w:marTop w:val="0"/>
      <w:marBottom w:val="0"/>
      <w:divBdr>
        <w:top w:val="none" w:sz="0" w:space="0" w:color="auto"/>
        <w:left w:val="none" w:sz="0" w:space="0" w:color="auto"/>
        <w:bottom w:val="none" w:sz="0" w:space="0" w:color="auto"/>
        <w:right w:val="none" w:sz="0" w:space="0" w:color="auto"/>
      </w:divBdr>
    </w:div>
    <w:div w:id="625740787">
      <w:bodyDiv w:val="1"/>
      <w:marLeft w:val="0"/>
      <w:marRight w:val="0"/>
      <w:marTop w:val="0"/>
      <w:marBottom w:val="0"/>
      <w:divBdr>
        <w:top w:val="none" w:sz="0" w:space="0" w:color="auto"/>
        <w:left w:val="none" w:sz="0" w:space="0" w:color="auto"/>
        <w:bottom w:val="none" w:sz="0" w:space="0" w:color="auto"/>
        <w:right w:val="none" w:sz="0" w:space="0" w:color="auto"/>
      </w:divBdr>
    </w:div>
    <w:div w:id="625813891">
      <w:bodyDiv w:val="1"/>
      <w:marLeft w:val="0"/>
      <w:marRight w:val="0"/>
      <w:marTop w:val="0"/>
      <w:marBottom w:val="0"/>
      <w:divBdr>
        <w:top w:val="none" w:sz="0" w:space="0" w:color="auto"/>
        <w:left w:val="none" w:sz="0" w:space="0" w:color="auto"/>
        <w:bottom w:val="none" w:sz="0" w:space="0" w:color="auto"/>
        <w:right w:val="none" w:sz="0" w:space="0" w:color="auto"/>
      </w:divBdr>
    </w:div>
    <w:div w:id="625892741">
      <w:bodyDiv w:val="1"/>
      <w:marLeft w:val="0"/>
      <w:marRight w:val="0"/>
      <w:marTop w:val="0"/>
      <w:marBottom w:val="0"/>
      <w:divBdr>
        <w:top w:val="none" w:sz="0" w:space="0" w:color="auto"/>
        <w:left w:val="none" w:sz="0" w:space="0" w:color="auto"/>
        <w:bottom w:val="none" w:sz="0" w:space="0" w:color="auto"/>
        <w:right w:val="none" w:sz="0" w:space="0" w:color="auto"/>
      </w:divBdr>
    </w:div>
    <w:div w:id="625893304">
      <w:bodyDiv w:val="1"/>
      <w:marLeft w:val="0"/>
      <w:marRight w:val="0"/>
      <w:marTop w:val="0"/>
      <w:marBottom w:val="0"/>
      <w:divBdr>
        <w:top w:val="none" w:sz="0" w:space="0" w:color="auto"/>
        <w:left w:val="none" w:sz="0" w:space="0" w:color="auto"/>
        <w:bottom w:val="none" w:sz="0" w:space="0" w:color="auto"/>
        <w:right w:val="none" w:sz="0" w:space="0" w:color="auto"/>
      </w:divBdr>
    </w:div>
    <w:div w:id="625936508">
      <w:bodyDiv w:val="1"/>
      <w:marLeft w:val="0"/>
      <w:marRight w:val="0"/>
      <w:marTop w:val="0"/>
      <w:marBottom w:val="0"/>
      <w:divBdr>
        <w:top w:val="none" w:sz="0" w:space="0" w:color="auto"/>
        <w:left w:val="none" w:sz="0" w:space="0" w:color="auto"/>
        <w:bottom w:val="none" w:sz="0" w:space="0" w:color="auto"/>
        <w:right w:val="none" w:sz="0" w:space="0" w:color="auto"/>
      </w:divBdr>
    </w:div>
    <w:div w:id="625964348">
      <w:bodyDiv w:val="1"/>
      <w:marLeft w:val="0"/>
      <w:marRight w:val="0"/>
      <w:marTop w:val="0"/>
      <w:marBottom w:val="0"/>
      <w:divBdr>
        <w:top w:val="none" w:sz="0" w:space="0" w:color="auto"/>
        <w:left w:val="none" w:sz="0" w:space="0" w:color="auto"/>
        <w:bottom w:val="none" w:sz="0" w:space="0" w:color="auto"/>
        <w:right w:val="none" w:sz="0" w:space="0" w:color="auto"/>
      </w:divBdr>
    </w:div>
    <w:div w:id="626006460">
      <w:bodyDiv w:val="1"/>
      <w:marLeft w:val="0"/>
      <w:marRight w:val="0"/>
      <w:marTop w:val="0"/>
      <w:marBottom w:val="0"/>
      <w:divBdr>
        <w:top w:val="none" w:sz="0" w:space="0" w:color="auto"/>
        <w:left w:val="none" w:sz="0" w:space="0" w:color="auto"/>
        <w:bottom w:val="none" w:sz="0" w:space="0" w:color="auto"/>
        <w:right w:val="none" w:sz="0" w:space="0" w:color="auto"/>
      </w:divBdr>
    </w:div>
    <w:div w:id="626159745">
      <w:bodyDiv w:val="1"/>
      <w:marLeft w:val="0"/>
      <w:marRight w:val="0"/>
      <w:marTop w:val="0"/>
      <w:marBottom w:val="0"/>
      <w:divBdr>
        <w:top w:val="none" w:sz="0" w:space="0" w:color="auto"/>
        <w:left w:val="none" w:sz="0" w:space="0" w:color="auto"/>
        <w:bottom w:val="none" w:sz="0" w:space="0" w:color="auto"/>
        <w:right w:val="none" w:sz="0" w:space="0" w:color="auto"/>
      </w:divBdr>
    </w:div>
    <w:div w:id="626274317">
      <w:bodyDiv w:val="1"/>
      <w:marLeft w:val="0"/>
      <w:marRight w:val="0"/>
      <w:marTop w:val="0"/>
      <w:marBottom w:val="0"/>
      <w:divBdr>
        <w:top w:val="none" w:sz="0" w:space="0" w:color="auto"/>
        <w:left w:val="none" w:sz="0" w:space="0" w:color="auto"/>
        <w:bottom w:val="none" w:sz="0" w:space="0" w:color="auto"/>
        <w:right w:val="none" w:sz="0" w:space="0" w:color="auto"/>
      </w:divBdr>
    </w:div>
    <w:div w:id="626282135">
      <w:bodyDiv w:val="1"/>
      <w:marLeft w:val="0"/>
      <w:marRight w:val="0"/>
      <w:marTop w:val="0"/>
      <w:marBottom w:val="0"/>
      <w:divBdr>
        <w:top w:val="none" w:sz="0" w:space="0" w:color="auto"/>
        <w:left w:val="none" w:sz="0" w:space="0" w:color="auto"/>
        <w:bottom w:val="none" w:sz="0" w:space="0" w:color="auto"/>
        <w:right w:val="none" w:sz="0" w:space="0" w:color="auto"/>
      </w:divBdr>
    </w:div>
    <w:div w:id="626396863">
      <w:bodyDiv w:val="1"/>
      <w:marLeft w:val="0"/>
      <w:marRight w:val="0"/>
      <w:marTop w:val="0"/>
      <w:marBottom w:val="0"/>
      <w:divBdr>
        <w:top w:val="none" w:sz="0" w:space="0" w:color="auto"/>
        <w:left w:val="none" w:sz="0" w:space="0" w:color="auto"/>
        <w:bottom w:val="none" w:sz="0" w:space="0" w:color="auto"/>
        <w:right w:val="none" w:sz="0" w:space="0" w:color="auto"/>
      </w:divBdr>
    </w:div>
    <w:div w:id="626620781">
      <w:bodyDiv w:val="1"/>
      <w:marLeft w:val="0"/>
      <w:marRight w:val="0"/>
      <w:marTop w:val="0"/>
      <w:marBottom w:val="0"/>
      <w:divBdr>
        <w:top w:val="none" w:sz="0" w:space="0" w:color="auto"/>
        <w:left w:val="none" w:sz="0" w:space="0" w:color="auto"/>
        <w:bottom w:val="none" w:sz="0" w:space="0" w:color="auto"/>
        <w:right w:val="none" w:sz="0" w:space="0" w:color="auto"/>
      </w:divBdr>
    </w:div>
    <w:div w:id="626661951">
      <w:bodyDiv w:val="1"/>
      <w:marLeft w:val="0"/>
      <w:marRight w:val="0"/>
      <w:marTop w:val="0"/>
      <w:marBottom w:val="0"/>
      <w:divBdr>
        <w:top w:val="none" w:sz="0" w:space="0" w:color="auto"/>
        <w:left w:val="none" w:sz="0" w:space="0" w:color="auto"/>
        <w:bottom w:val="none" w:sz="0" w:space="0" w:color="auto"/>
        <w:right w:val="none" w:sz="0" w:space="0" w:color="auto"/>
      </w:divBdr>
    </w:div>
    <w:div w:id="626667939">
      <w:bodyDiv w:val="1"/>
      <w:marLeft w:val="0"/>
      <w:marRight w:val="0"/>
      <w:marTop w:val="0"/>
      <w:marBottom w:val="0"/>
      <w:divBdr>
        <w:top w:val="none" w:sz="0" w:space="0" w:color="auto"/>
        <w:left w:val="none" w:sz="0" w:space="0" w:color="auto"/>
        <w:bottom w:val="none" w:sz="0" w:space="0" w:color="auto"/>
        <w:right w:val="none" w:sz="0" w:space="0" w:color="auto"/>
      </w:divBdr>
    </w:div>
    <w:div w:id="626741608">
      <w:bodyDiv w:val="1"/>
      <w:marLeft w:val="0"/>
      <w:marRight w:val="0"/>
      <w:marTop w:val="0"/>
      <w:marBottom w:val="0"/>
      <w:divBdr>
        <w:top w:val="none" w:sz="0" w:space="0" w:color="auto"/>
        <w:left w:val="none" w:sz="0" w:space="0" w:color="auto"/>
        <w:bottom w:val="none" w:sz="0" w:space="0" w:color="auto"/>
        <w:right w:val="none" w:sz="0" w:space="0" w:color="auto"/>
      </w:divBdr>
    </w:div>
    <w:div w:id="626860383">
      <w:bodyDiv w:val="1"/>
      <w:marLeft w:val="0"/>
      <w:marRight w:val="0"/>
      <w:marTop w:val="0"/>
      <w:marBottom w:val="0"/>
      <w:divBdr>
        <w:top w:val="none" w:sz="0" w:space="0" w:color="auto"/>
        <w:left w:val="none" w:sz="0" w:space="0" w:color="auto"/>
        <w:bottom w:val="none" w:sz="0" w:space="0" w:color="auto"/>
        <w:right w:val="none" w:sz="0" w:space="0" w:color="auto"/>
      </w:divBdr>
    </w:div>
    <w:div w:id="627005943">
      <w:bodyDiv w:val="1"/>
      <w:marLeft w:val="0"/>
      <w:marRight w:val="0"/>
      <w:marTop w:val="0"/>
      <w:marBottom w:val="0"/>
      <w:divBdr>
        <w:top w:val="none" w:sz="0" w:space="0" w:color="auto"/>
        <w:left w:val="none" w:sz="0" w:space="0" w:color="auto"/>
        <w:bottom w:val="none" w:sz="0" w:space="0" w:color="auto"/>
        <w:right w:val="none" w:sz="0" w:space="0" w:color="auto"/>
      </w:divBdr>
    </w:div>
    <w:div w:id="627131443">
      <w:bodyDiv w:val="1"/>
      <w:marLeft w:val="0"/>
      <w:marRight w:val="0"/>
      <w:marTop w:val="0"/>
      <w:marBottom w:val="0"/>
      <w:divBdr>
        <w:top w:val="none" w:sz="0" w:space="0" w:color="auto"/>
        <w:left w:val="none" w:sz="0" w:space="0" w:color="auto"/>
        <w:bottom w:val="none" w:sz="0" w:space="0" w:color="auto"/>
        <w:right w:val="none" w:sz="0" w:space="0" w:color="auto"/>
      </w:divBdr>
    </w:div>
    <w:div w:id="627273067">
      <w:bodyDiv w:val="1"/>
      <w:marLeft w:val="0"/>
      <w:marRight w:val="0"/>
      <w:marTop w:val="0"/>
      <w:marBottom w:val="0"/>
      <w:divBdr>
        <w:top w:val="none" w:sz="0" w:space="0" w:color="auto"/>
        <w:left w:val="none" w:sz="0" w:space="0" w:color="auto"/>
        <w:bottom w:val="none" w:sz="0" w:space="0" w:color="auto"/>
        <w:right w:val="none" w:sz="0" w:space="0" w:color="auto"/>
      </w:divBdr>
    </w:div>
    <w:div w:id="627391435">
      <w:bodyDiv w:val="1"/>
      <w:marLeft w:val="0"/>
      <w:marRight w:val="0"/>
      <w:marTop w:val="0"/>
      <w:marBottom w:val="0"/>
      <w:divBdr>
        <w:top w:val="none" w:sz="0" w:space="0" w:color="auto"/>
        <w:left w:val="none" w:sz="0" w:space="0" w:color="auto"/>
        <w:bottom w:val="none" w:sz="0" w:space="0" w:color="auto"/>
        <w:right w:val="none" w:sz="0" w:space="0" w:color="auto"/>
      </w:divBdr>
    </w:div>
    <w:div w:id="627443270">
      <w:bodyDiv w:val="1"/>
      <w:marLeft w:val="0"/>
      <w:marRight w:val="0"/>
      <w:marTop w:val="0"/>
      <w:marBottom w:val="0"/>
      <w:divBdr>
        <w:top w:val="none" w:sz="0" w:space="0" w:color="auto"/>
        <w:left w:val="none" w:sz="0" w:space="0" w:color="auto"/>
        <w:bottom w:val="none" w:sz="0" w:space="0" w:color="auto"/>
        <w:right w:val="none" w:sz="0" w:space="0" w:color="auto"/>
      </w:divBdr>
    </w:div>
    <w:div w:id="627471542">
      <w:bodyDiv w:val="1"/>
      <w:marLeft w:val="0"/>
      <w:marRight w:val="0"/>
      <w:marTop w:val="0"/>
      <w:marBottom w:val="0"/>
      <w:divBdr>
        <w:top w:val="none" w:sz="0" w:space="0" w:color="auto"/>
        <w:left w:val="none" w:sz="0" w:space="0" w:color="auto"/>
        <w:bottom w:val="none" w:sz="0" w:space="0" w:color="auto"/>
        <w:right w:val="none" w:sz="0" w:space="0" w:color="auto"/>
      </w:divBdr>
    </w:div>
    <w:div w:id="627473579">
      <w:bodyDiv w:val="1"/>
      <w:marLeft w:val="0"/>
      <w:marRight w:val="0"/>
      <w:marTop w:val="0"/>
      <w:marBottom w:val="0"/>
      <w:divBdr>
        <w:top w:val="none" w:sz="0" w:space="0" w:color="auto"/>
        <w:left w:val="none" w:sz="0" w:space="0" w:color="auto"/>
        <w:bottom w:val="none" w:sz="0" w:space="0" w:color="auto"/>
        <w:right w:val="none" w:sz="0" w:space="0" w:color="auto"/>
      </w:divBdr>
    </w:div>
    <w:div w:id="627660725">
      <w:bodyDiv w:val="1"/>
      <w:marLeft w:val="0"/>
      <w:marRight w:val="0"/>
      <w:marTop w:val="0"/>
      <w:marBottom w:val="0"/>
      <w:divBdr>
        <w:top w:val="none" w:sz="0" w:space="0" w:color="auto"/>
        <w:left w:val="none" w:sz="0" w:space="0" w:color="auto"/>
        <w:bottom w:val="none" w:sz="0" w:space="0" w:color="auto"/>
        <w:right w:val="none" w:sz="0" w:space="0" w:color="auto"/>
      </w:divBdr>
    </w:div>
    <w:div w:id="627780109">
      <w:bodyDiv w:val="1"/>
      <w:marLeft w:val="0"/>
      <w:marRight w:val="0"/>
      <w:marTop w:val="0"/>
      <w:marBottom w:val="0"/>
      <w:divBdr>
        <w:top w:val="none" w:sz="0" w:space="0" w:color="auto"/>
        <w:left w:val="none" w:sz="0" w:space="0" w:color="auto"/>
        <w:bottom w:val="none" w:sz="0" w:space="0" w:color="auto"/>
        <w:right w:val="none" w:sz="0" w:space="0" w:color="auto"/>
      </w:divBdr>
    </w:div>
    <w:div w:id="627785032">
      <w:bodyDiv w:val="1"/>
      <w:marLeft w:val="0"/>
      <w:marRight w:val="0"/>
      <w:marTop w:val="0"/>
      <w:marBottom w:val="0"/>
      <w:divBdr>
        <w:top w:val="none" w:sz="0" w:space="0" w:color="auto"/>
        <w:left w:val="none" w:sz="0" w:space="0" w:color="auto"/>
        <w:bottom w:val="none" w:sz="0" w:space="0" w:color="auto"/>
        <w:right w:val="none" w:sz="0" w:space="0" w:color="auto"/>
      </w:divBdr>
    </w:div>
    <w:div w:id="627853633">
      <w:bodyDiv w:val="1"/>
      <w:marLeft w:val="0"/>
      <w:marRight w:val="0"/>
      <w:marTop w:val="0"/>
      <w:marBottom w:val="0"/>
      <w:divBdr>
        <w:top w:val="none" w:sz="0" w:space="0" w:color="auto"/>
        <w:left w:val="none" w:sz="0" w:space="0" w:color="auto"/>
        <w:bottom w:val="none" w:sz="0" w:space="0" w:color="auto"/>
        <w:right w:val="none" w:sz="0" w:space="0" w:color="auto"/>
      </w:divBdr>
    </w:div>
    <w:div w:id="627929202">
      <w:bodyDiv w:val="1"/>
      <w:marLeft w:val="0"/>
      <w:marRight w:val="0"/>
      <w:marTop w:val="0"/>
      <w:marBottom w:val="0"/>
      <w:divBdr>
        <w:top w:val="none" w:sz="0" w:space="0" w:color="auto"/>
        <w:left w:val="none" w:sz="0" w:space="0" w:color="auto"/>
        <w:bottom w:val="none" w:sz="0" w:space="0" w:color="auto"/>
        <w:right w:val="none" w:sz="0" w:space="0" w:color="auto"/>
      </w:divBdr>
    </w:div>
    <w:div w:id="627975079">
      <w:bodyDiv w:val="1"/>
      <w:marLeft w:val="0"/>
      <w:marRight w:val="0"/>
      <w:marTop w:val="0"/>
      <w:marBottom w:val="0"/>
      <w:divBdr>
        <w:top w:val="none" w:sz="0" w:space="0" w:color="auto"/>
        <w:left w:val="none" w:sz="0" w:space="0" w:color="auto"/>
        <w:bottom w:val="none" w:sz="0" w:space="0" w:color="auto"/>
        <w:right w:val="none" w:sz="0" w:space="0" w:color="auto"/>
      </w:divBdr>
    </w:div>
    <w:div w:id="628242476">
      <w:bodyDiv w:val="1"/>
      <w:marLeft w:val="0"/>
      <w:marRight w:val="0"/>
      <w:marTop w:val="0"/>
      <w:marBottom w:val="0"/>
      <w:divBdr>
        <w:top w:val="none" w:sz="0" w:space="0" w:color="auto"/>
        <w:left w:val="none" w:sz="0" w:space="0" w:color="auto"/>
        <w:bottom w:val="none" w:sz="0" w:space="0" w:color="auto"/>
        <w:right w:val="none" w:sz="0" w:space="0" w:color="auto"/>
      </w:divBdr>
    </w:div>
    <w:div w:id="628360159">
      <w:bodyDiv w:val="1"/>
      <w:marLeft w:val="0"/>
      <w:marRight w:val="0"/>
      <w:marTop w:val="0"/>
      <w:marBottom w:val="0"/>
      <w:divBdr>
        <w:top w:val="none" w:sz="0" w:space="0" w:color="auto"/>
        <w:left w:val="none" w:sz="0" w:space="0" w:color="auto"/>
        <w:bottom w:val="none" w:sz="0" w:space="0" w:color="auto"/>
        <w:right w:val="none" w:sz="0" w:space="0" w:color="auto"/>
      </w:divBdr>
    </w:div>
    <w:div w:id="628365775">
      <w:bodyDiv w:val="1"/>
      <w:marLeft w:val="0"/>
      <w:marRight w:val="0"/>
      <w:marTop w:val="0"/>
      <w:marBottom w:val="0"/>
      <w:divBdr>
        <w:top w:val="none" w:sz="0" w:space="0" w:color="auto"/>
        <w:left w:val="none" w:sz="0" w:space="0" w:color="auto"/>
        <w:bottom w:val="none" w:sz="0" w:space="0" w:color="auto"/>
        <w:right w:val="none" w:sz="0" w:space="0" w:color="auto"/>
      </w:divBdr>
    </w:div>
    <w:div w:id="628366460">
      <w:bodyDiv w:val="1"/>
      <w:marLeft w:val="0"/>
      <w:marRight w:val="0"/>
      <w:marTop w:val="0"/>
      <w:marBottom w:val="0"/>
      <w:divBdr>
        <w:top w:val="none" w:sz="0" w:space="0" w:color="auto"/>
        <w:left w:val="none" w:sz="0" w:space="0" w:color="auto"/>
        <w:bottom w:val="none" w:sz="0" w:space="0" w:color="auto"/>
        <w:right w:val="none" w:sz="0" w:space="0" w:color="auto"/>
      </w:divBdr>
    </w:div>
    <w:div w:id="628435751">
      <w:bodyDiv w:val="1"/>
      <w:marLeft w:val="0"/>
      <w:marRight w:val="0"/>
      <w:marTop w:val="0"/>
      <w:marBottom w:val="0"/>
      <w:divBdr>
        <w:top w:val="none" w:sz="0" w:space="0" w:color="auto"/>
        <w:left w:val="none" w:sz="0" w:space="0" w:color="auto"/>
        <w:bottom w:val="none" w:sz="0" w:space="0" w:color="auto"/>
        <w:right w:val="none" w:sz="0" w:space="0" w:color="auto"/>
      </w:divBdr>
    </w:div>
    <w:div w:id="628440392">
      <w:bodyDiv w:val="1"/>
      <w:marLeft w:val="0"/>
      <w:marRight w:val="0"/>
      <w:marTop w:val="0"/>
      <w:marBottom w:val="0"/>
      <w:divBdr>
        <w:top w:val="none" w:sz="0" w:space="0" w:color="auto"/>
        <w:left w:val="none" w:sz="0" w:space="0" w:color="auto"/>
        <w:bottom w:val="none" w:sz="0" w:space="0" w:color="auto"/>
        <w:right w:val="none" w:sz="0" w:space="0" w:color="auto"/>
      </w:divBdr>
    </w:div>
    <w:div w:id="628442123">
      <w:bodyDiv w:val="1"/>
      <w:marLeft w:val="0"/>
      <w:marRight w:val="0"/>
      <w:marTop w:val="0"/>
      <w:marBottom w:val="0"/>
      <w:divBdr>
        <w:top w:val="none" w:sz="0" w:space="0" w:color="auto"/>
        <w:left w:val="none" w:sz="0" w:space="0" w:color="auto"/>
        <w:bottom w:val="none" w:sz="0" w:space="0" w:color="auto"/>
        <w:right w:val="none" w:sz="0" w:space="0" w:color="auto"/>
      </w:divBdr>
    </w:div>
    <w:div w:id="628588543">
      <w:bodyDiv w:val="1"/>
      <w:marLeft w:val="0"/>
      <w:marRight w:val="0"/>
      <w:marTop w:val="0"/>
      <w:marBottom w:val="0"/>
      <w:divBdr>
        <w:top w:val="none" w:sz="0" w:space="0" w:color="auto"/>
        <w:left w:val="none" w:sz="0" w:space="0" w:color="auto"/>
        <w:bottom w:val="none" w:sz="0" w:space="0" w:color="auto"/>
        <w:right w:val="none" w:sz="0" w:space="0" w:color="auto"/>
      </w:divBdr>
    </w:div>
    <w:div w:id="628632458">
      <w:bodyDiv w:val="1"/>
      <w:marLeft w:val="0"/>
      <w:marRight w:val="0"/>
      <w:marTop w:val="0"/>
      <w:marBottom w:val="0"/>
      <w:divBdr>
        <w:top w:val="none" w:sz="0" w:space="0" w:color="auto"/>
        <w:left w:val="none" w:sz="0" w:space="0" w:color="auto"/>
        <w:bottom w:val="none" w:sz="0" w:space="0" w:color="auto"/>
        <w:right w:val="none" w:sz="0" w:space="0" w:color="auto"/>
      </w:divBdr>
    </w:div>
    <w:div w:id="628706972">
      <w:bodyDiv w:val="1"/>
      <w:marLeft w:val="0"/>
      <w:marRight w:val="0"/>
      <w:marTop w:val="0"/>
      <w:marBottom w:val="0"/>
      <w:divBdr>
        <w:top w:val="none" w:sz="0" w:space="0" w:color="auto"/>
        <w:left w:val="none" w:sz="0" w:space="0" w:color="auto"/>
        <w:bottom w:val="none" w:sz="0" w:space="0" w:color="auto"/>
        <w:right w:val="none" w:sz="0" w:space="0" w:color="auto"/>
      </w:divBdr>
    </w:div>
    <w:div w:id="628822356">
      <w:bodyDiv w:val="1"/>
      <w:marLeft w:val="0"/>
      <w:marRight w:val="0"/>
      <w:marTop w:val="0"/>
      <w:marBottom w:val="0"/>
      <w:divBdr>
        <w:top w:val="none" w:sz="0" w:space="0" w:color="auto"/>
        <w:left w:val="none" w:sz="0" w:space="0" w:color="auto"/>
        <w:bottom w:val="none" w:sz="0" w:space="0" w:color="auto"/>
        <w:right w:val="none" w:sz="0" w:space="0" w:color="auto"/>
      </w:divBdr>
    </w:div>
    <w:div w:id="628896574">
      <w:bodyDiv w:val="1"/>
      <w:marLeft w:val="0"/>
      <w:marRight w:val="0"/>
      <w:marTop w:val="0"/>
      <w:marBottom w:val="0"/>
      <w:divBdr>
        <w:top w:val="none" w:sz="0" w:space="0" w:color="auto"/>
        <w:left w:val="none" w:sz="0" w:space="0" w:color="auto"/>
        <w:bottom w:val="none" w:sz="0" w:space="0" w:color="auto"/>
        <w:right w:val="none" w:sz="0" w:space="0" w:color="auto"/>
      </w:divBdr>
    </w:div>
    <w:div w:id="629097620">
      <w:bodyDiv w:val="1"/>
      <w:marLeft w:val="0"/>
      <w:marRight w:val="0"/>
      <w:marTop w:val="0"/>
      <w:marBottom w:val="0"/>
      <w:divBdr>
        <w:top w:val="none" w:sz="0" w:space="0" w:color="auto"/>
        <w:left w:val="none" w:sz="0" w:space="0" w:color="auto"/>
        <w:bottom w:val="none" w:sz="0" w:space="0" w:color="auto"/>
        <w:right w:val="none" w:sz="0" w:space="0" w:color="auto"/>
      </w:divBdr>
    </w:div>
    <w:div w:id="629240651">
      <w:bodyDiv w:val="1"/>
      <w:marLeft w:val="0"/>
      <w:marRight w:val="0"/>
      <w:marTop w:val="0"/>
      <w:marBottom w:val="0"/>
      <w:divBdr>
        <w:top w:val="none" w:sz="0" w:space="0" w:color="auto"/>
        <w:left w:val="none" w:sz="0" w:space="0" w:color="auto"/>
        <w:bottom w:val="none" w:sz="0" w:space="0" w:color="auto"/>
        <w:right w:val="none" w:sz="0" w:space="0" w:color="auto"/>
      </w:divBdr>
    </w:div>
    <w:div w:id="629282359">
      <w:bodyDiv w:val="1"/>
      <w:marLeft w:val="0"/>
      <w:marRight w:val="0"/>
      <w:marTop w:val="0"/>
      <w:marBottom w:val="0"/>
      <w:divBdr>
        <w:top w:val="none" w:sz="0" w:space="0" w:color="auto"/>
        <w:left w:val="none" w:sz="0" w:space="0" w:color="auto"/>
        <w:bottom w:val="none" w:sz="0" w:space="0" w:color="auto"/>
        <w:right w:val="none" w:sz="0" w:space="0" w:color="auto"/>
      </w:divBdr>
    </w:div>
    <w:div w:id="629285264">
      <w:bodyDiv w:val="1"/>
      <w:marLeft w:val="0"/>
      <w:marRight w:val="0"/>
      <w:marTop w:val="0"/>
      <w:marBottom w:val="0"/>
      <w:divBdr>
        <w:top w:val="none" w:sz="0" w:space="0" w:color="auto"/>
        <w:left w:val="none" w:sz="0" w:space="0" w:color="auto"/>
        <w:bottom w:val="none" w:sz="0" w:space="0" w:color="auto"/>
        <w:right w:val="none" w:sz="0" w:space="0" w:color="auto"/>
      </w:divBdr>
    </w:div>
    <w:div w:id="629360971">
      <w:bodyDiv w:val="1"/>
      <w:marLeft w:val="0"/>
      <w:marRight w:val="0"/>
      <w:marTop w:val="0"/>
      <w:marBottom w:val="0"/>
      <w:divBdr>
        <w:top w:val="none" w:sz="0" w:space="0" w:color="auto"/>
        <w:left w:val="none" w:sz="0" w:space="0" w:color="auto"/>
        <w:bottom w:val="none" w:sz="0" w:space="0" w:color="auto"/>
        <w:right w:val="none" w:sz="0" w:space="0" w:color="auto"/>
      </w:divBdr>
    </w:div>
    <w:div w:id="629365789">
      <w:bodyDiv w:val="1"/>
      <w:marLeft w:val="0"/>
      <w:marRight w:val="0"/>
      <w:marTop w:val="0"/>
      <w:marBottom w:val="0"/>
      <w:divBdr>
        <w:top w:val="none" w:sz="0" w:space="0" w:color="auto"/>
        <w:left w:val="none" w:sz="0" w:space="0" w:color="auto"/>
        <w:bottom w:val="none" w:sz="0" w:space="0" w:color="auto"/>
        <w:right w:val="none" w:sz="0" w:space="0" w:color="auto"/>
      </w:divBdr>
    </w:div>
    <w:div w:id="629435068">
      <w:bodyDiv w:val="1"/>
      <w:marLeft w:val="0"/>
      <w:marRight w:val="0"/>
      <w:marTop w:val="0"/>
      <w:marBottom w:val="0"/>
      <w:divBdr>
        <w:top w:val="none" w:sz="0" w:space="0" w:color="auto"/>
        <w:left w:val="none" w:sz="0" w:space="0" w:color="auto"/>
        <w:bottom w:val="none" w:sz="0" w:space="0" w:color="auto"/>
        <w:right w:val="none" w:sz="0" w:space="0" w:color="auto"/>
      </w:divBdr>
    </w:div>
    <w:div w:id="629481469">
      <w:bodyDiv w:val="1"/>
      <w:marLeft w:val="0"/>
      <w:marRight w:val="0"/>
      <w:marTop w:val="0"/>
      <w:marBottom w:val="0"/>
      <w:divBdr>
        <w:top w:val="none" w:sz="0" w:space="0" w:color="auto"/>
        <w:left w:val="none" w:sz="0" w:space="0" w:color="auto"/>
        <w:bottom w:val="none" w:sz="0" w:space="0" w:color="auto"/>
        <w:right w:val="none" w:sz="0" w:space="0" w:color="auto"/>
      </w:divBdr>
    </w:div>
    <w:div w:id="629673441">
      <w:bodyDiv w:val="1"/>
      <w:marLeft w:val="0"/>
      <w:marRight w:val="0"/>
      <w:marTop w:val="0"/>
      <w:marBottom w:val="0"/>
      <w:divBdr>
        <w:top w:val="none" w:sz="0" w:space="0" w:color="auto"/>
        <w:left w:val="none" w:sz="0" w:space="0" w:color="auto"/>
        <w:bottom w:val="none" w:sz="0" w:space="0" w:color="auto"/>
        <w:right w:val="none" w:sz="0" w:space="0" w:color="auto"/>
      </w:divBdr>
    </w:div>
    <w:div w:id="629744236">
      <w:bodyDiv w:val="1"/>
      <w:marLeft w:val="0"/>
      <w:marRight w:val="0"/>
      <w:marTop w:val="0"/>
      <w:marBottom w:val="0"/>
      <w:divBdr>
        <w:top w:val="none" w:sz="0" w:space="0" w:color="auto"/>
        <w:left w:val="none" w:sz="0" w:space="0" w:color="auto"/>
        <w:bottom w:val="none" w:sz="0" w:space="0" w:color="auto"/>
        <w:right w:val="none" w:sz="0" w:space="0" w:color="auto"/>
      </w:divBdr>
    </w:div>
    <w:div w:id="629744410">
      <w:bodyDiv w:val="1"/>
      <w:marLeft w:val="0"/>
      <w:marRight w:val="0"/>
      <w:marTop w:val="0"/>
      <w:marBottom w:val="0"/>
      <w:divBdr>
        <w:top w:val="none" w:sz="0" w:space="0" w:color="auto"/>
        <w:left w:val="none" w:sz="0" w:space="0" w:color="auto"/>
        <w:bottom w:val="none" w:sz="0" w:space="0" w:color="auto"/>
        <w:right w:val="none" w:sz="0" w:space="0" w:color="auto"/>
      </w:divBdr>
    </w:div>
    <w:div w:id="629745518">
      <w:bodyDiv w:val="1"/>
      <w:marLeft w:val="0"/>
      <w:marRight w:val="0"/>
      <w:marTop w:val="0"/>
      <w:marBottom w:val="0"/>
      <w:divBdr>
        <w:top w:val="none" w:sz="0" w:space="0" w:color="auto"/>
        <w:left w:val="none" w:sz="0" w:space="0" w:color="auto"/>
        <w:bottom w:val="none" w:sz="0" w:space="0" w:color="auto"/>
        <w:right w:val="none" w:sz="0" w:space="0" w:color="auto"/>
      </w:divBdr>
    </w:div>
    <w:div w:id="629827100">
      <w:bodyDiv w:val="1"/>
      <w:marLeft w:val="0"/>
      <w:marRight w:val="0"/>
      <w:marTop w:val="0"/>
      <w:marBottom w:val="0"/>
      <w:divBdr>
        <w:top w:val="none" w:sz="0" w:space="0" w:color="auto"/>
        <w:left w:val="none" w:sz="0" w:space="0" w:color="auto"/>
        <w:bottom w:val="none" w:sz="0" w:space="0" w:color="auto"/>
        <w:right w:val="none" w:sz="0" w:space="0" w:color="auto"/>
      </w:divBdr>
    </w:div>
    <w:div w:id="629867676">
      <w:bodyDiv w:val="1"/>
      <w:marLeft w:val="0"/>
      <w:marRight w:val="0"/>
      <w:marTop w:val="0"/>
      <w:marBottom w:val="0"/>
      <w:divBdr>
        <w:top w:val="none" w:sz="0" w:space="0" w:color="auto"/>
        <w:left w:val="none" w:sz="0" w:space="0" w:color="auto"/>
        <w:bottom w:val="none" w:sz="0" w:space="0" w:color="auto"/>
        <w:right w:val="none" w:sz="0" w:space="0" w:color="auto"/>
      </w:divBdr>
    </w:div>
    <w:div w:id="629944092">
      <w:bodyDiv w:val="1"/>
      <w:marLeft w:val="0"/>
      <w:marRight w:val="0"/>
      <w:marTop w:val="0"/>
      <w:marBottom w:val="0"/>
      <w:divBdr>
        <w:top w:val="none" w:sz="0" w:space="0" w:color="auto"/>
        <w:left w:val="none" w:sz="0" w:space="0" w:color="auto"/>
        <w:bottom w:val="none" w:sz="0" w:space="0" w:color="auto"/>
        <w:right w:val="none" w:sz="0" w:space="0" w:color="auto"/>
      </w:divBdr>
    </w:div>
    <w:div w:id="629944157">
      <w:bodyDiv w:val="1"/>
      <w:marLeft w:val="0"/>
      <w:marRight w:val="0"/>
      <w:marTop w:val="0"/>
      <w:marBottom w:val="0"/>
      <w:divBdr>
        <w:top w:val="none" w:sz="0" w:space="0" w:color="auto"/>
        <w:left w:val="none" w:sz="0" w:space="0" w:color="auto"/>
        <w:bottom w:val="none" w:sz="0" w:space="0" w:color="auto"/>
        <w:right w:val="none" w:sz="0" w:space="0" w:color="auto"/>
      </w:divBdr>
    </w:div>
    <w:div w:id="630091312">
      <w:bodyDiv w:val="1"/>
      <w:marLeft w:val="0"/>
      <w:marRight w:val="0"/>
      <w:marTop w:val="0"/>
      <w:marBottom w:val="0"/>
      <w:divBdr>
        <w:top w:val="none" w:sz="0" w:space="0" w:color="auto"/>
        <w:left w:val="none" w:sz="0" w:space="0" w:color="auto"/>
        <w:bottom w:val="none" w:sz="0" w:space="0" w:color="auto"/>
        <w:right w:val="none" w:sz="0" w:space="0" w:color="auto"/>
      </w:divBdr>
    </w:div>
    <w:div w:id="630206135">
      <w:bodyDiv w:val="1"/>
      <w:marLeft w:val="0"/>
      <w:marRight w:val="0"/>
      <w:marTop w:val="0"/>
      <w:marBottom w:val="0"/>
      <w:divBdr>
        <w:top w:val="none" w:sz="0" w:space="0" w:color="auto"/>
        <w:left w:val="none" w:sz="0" w:space="0" w:color="auto"/>
        <w:bottom w:val="none" w:sz="0" w:space="0" w:color="auto"/>
        <w:right w:val="none" w:sz="0" w:space="0" w:color="auto"/>
      </w:divBdr>
    </w:div>
    <w:div w:id="630283648">
      <w:bodyDiv w:val="1"/>
      <w:marLeft w:val="0"/>
      <w:marRight w:val="0"/>
      <w:marTop w:val="0"/>
      <w:marBottom w:val="0"/>
      <w:divBdr>
        <w:top w:val="none" w:sz="0" w:space="0" w:color="auto"/>
        <w:left w:val="none" w:sz="0" w:space="0" w:color="auto"/>
        <w:bottom w:val="none" w:sz="0" w:space="0" w:color="auto"/>
        <w:right w:val="none" w:sz="0" w:space="0" w:color="auto"/>
      </w:divBdr>
    </w:div>
    <w:div w:id="630328878">
      <w:bodyDiv w:val="1"/>
      <w:marLeft w:val="0"/>
      <w:marRight w:val="0"/>
      <w:marTop w:val="0"/>
      <w:marBottom w:val="0"/>
      <w:divBdr>
        <w:top w:val="none" w:sz="0" w:space="0" w:color="auto"/>
        <w:left w:val="none" w:sz="0" w:space="0" w:color="auto"/>
        <w:bottom w:val="none" w:sz="0" w:space="0" w:color="auto"/>
        <w:right w:val="none" w:sz="0" w:space="0" w:color="auto"/>
      </w:divBdr>
    </w:div>
    <w:div w:id="630524113">
      <w:bodyDiv w:val="1"/>
      <w:marLeft w:val="0"/>
      <w:marRight w:val="0"/>
      <w:marTop w:val="0"/>
      <w:marBottom w:val="0"/>
      <w:divBdr>
        <w:top w:val="none" w:sz="0" w:space="0" w:color="auto"/>
        <w:left w:val="none" w:sz="0" w:space="0" w:color="auto"/>
        <w:bottom w:val="none" w:sz="0" w:space="0" w:color="auto"/>
        <w:right w:val="none" w:sz="0" w:space="0" w:color="auto"/>
      </w:divBdr>
    </w:div>
    <w:div w:id="630593099">
      <w:bodyDiv w:val="1"/>
      <w:marLeft w:val="0"/>
      <w:marRight w:val="0"/>
      <w:marTop w:val="0"/>
      <w:marBottom w:val="0"/>
      <w:divBdr>
        <w:top w:val="none" w:sz="0" w:space="0" w:color="auto"/>
        <w:left w:val="none" w:sz="0" w:space="0" w:color="auto"/>
        <w:bottom w:val="none" w:sz="0" w:space="0" w:color="auto"/>
        <w:right w:val="none" w:sz="0" w:space="0" w:color="auto"/>
      </w:divBdr>
    </w:div>
    <w:div w:id="630595064">
      <w:bodyDiv w:val="1"/>
      <w:marLeft w:val="0"/>
      <w:marRight w:val="0"/>
      <w:marTop w:val="0"/>
      <w:marBottom w:val="0"/>
      <w:divBdr>
        <w:top w:val="none" w:sz="0" w:space="0" w:color="auto"/>
        <w:left w:val="none" w:sz="0" w:space="0" w:color="auto"/>
        <w:bottom w:val="none" w:sz="0" w:space="0" w:color="auto"/>
        <w:right w:val="none" w:sz="0" w:space="0" w:color="auto"/>
      </w:divBdr>
    </w:div>
    <w:div w:id="630596000">
      <w:bodyDiv w:val="1"/>
      <w:marLeft w:val="0"/>
      <w:marRight w:val="0"/>
      <w:marTop w:val="0"/>
      <w:marBottom w:val="0"/>
      <w:divBdr>
        <w:top w:val="none" w:sz="0" w:space="0" w:color="auto"/>
        <w:left w:val="none" w:sz="0" w:space="0" w:color="auto"/>
        <w:bottom w:val="none" w:sz="0" w:space="0" w:color="auto"/>
        <w:right w:val="none" w:sz="0" w:space="0" w:color="auto"/>
      </w:divBdr>
    </w:div>
    <w:div w:id="630600637">
      <w:bodyDiv w:val="1"/>
      <w:marLeft w:val="0"/>
      <w:marRight w:val="0"/>
      <w:marTop w:val="0"/>
      <w:marBottom w:val="0"/>
      <w:divBdr>
        <w:top w:val="none" w:sz="0" w:space="0" w:color="auto"/>
        <w:left w:val="none" w:sz="0" w:space="0" w:color="auto"/>
        <w:bottom w:val="none" w:sz="0" w:space="0" w:color="auto"/>
        <w:right w:val="none" w:sz="0" w:space="0" w:color="auto"/>
      </w:divBdr>
    </w:div>
    <w:div w:id="630745560">
      <w:bodyDiv w:val="1"/>
      <w:marLeft w:val="0"/>
      <w:marRight w:val="0"/>
      <w:marTop w:val="0"/>
      <w:marBottom w:val="0"/>
      <w:divBdr>
        <w:top w:val="none" w:sz="0" w:space="0" w:color="auto"/>
        <w:left w:val="none" w:sz="0" w:space="0" w:color="auto"/>
        <w:bottom w:val="none" w:sz="0" w:space="0" w:color="auto"/>
        <w:right w:val="none" w:sz="0" w:space="0" w:color="auto"/>
      </w:divBdr>
    </w:div>
    <w:div w:id="630790095">
      <w:bodyDiv w:val="1"/>
      <w:marLeft w:val="0"/>
      <w:marRight w:val="0"/>
      <w:marTop w:val="0"/>
      <w:marBottom w:val="0"/>
      <w:divBdr>
        <w:top w:val="none" w:sz="0" w:space="0" w:color="auto"/>
        <w:left w:val="none" w:sz="0" w:space="0" w:color="auto"/>
        <w:bottom w:val="none" w:sz="0" w:space="0" w:color="auto"/>
        <w:right w:val="none" w:sz="0" w:space="0" w:color="auto"/>
      </w:divBdr>
    </w:div>
    <w:div w:id="630869081">
      <w:bodyDiv w:val="1"/>
      <w:marLeft w:val="0"/>
      <w:marRight w:val="0"/>
      <w:marTop w:val="0"/>
      <w:marBottom w:val="0"/>
      <w:divBdr>
        <w:top w:val="none" w:sz="0" w:space="0" w:color="auto"/>
        <w:left w:val="none" w:sz="0" w:space="0" w:color="auto"/>
        <w:bottom w:val="none" w:sz="0" w:space="0" w:color="auto"/>
        <w:right w:val="none" w:sz="0" w:space="0" w:color="auto"/>
      </w:divBdr>
    </w:div>
    <w:div w:id="630944876">
      <w:bodyDiv w:val="1"/>
      <w:marLeft w:val="0"/>
      <w:marRight w:val="0"/>
      <w:marTop w:val="0"/>
      <w:marBottom w:val="0"/>
      <w:divBdr>
        <w:top w:val="none" w:sz="0" w:space="0" w:color="auto"/>
        <w:left w:val="none" w:sz="0" w:space="0" w:color="auto"/>
        <w:bottom w:val="none" w:sz="0" w:space="0" w:color="auto"/>
        <w:right w:val="none" w:sz="0" w:space="0" w:color="auto"/>
      </w:divBdr>
    </w:div>
    <w:div w:id="630945744">
      <w:bodyDiv w:val="1"/>
      <w:marLeft w:val="0"/>
      <w:marRight w:val="0"/>
      <w:marTop w:val="0"/>
      <w:marBottom w:val="0"/>
      <w:divBdr>
        <w:top w:val="none" w:sz="0" w:space="0" w:color="auto"/>
        <w:left w:val="none" w:sz="0" w:space="0" w:color="auto"/>
        <w:bottom w:val="none" w:sz="0" w:space="0" w:color="auto"/>
        <w:right w:val="none" w:sz="0" w:space="0" w:color="auto"/>
      </w:divBdr>
    </w:div>
    <w:div w:id="631177724">
      <w:bodyDiv w:val="1"/>
      <w:marLeft w:val="0"/>
      <w:marRight w:val="0"/>
      <w:marTop w:val="0"/>
      <w:marBottom w:val="0"/>
      <w:divBdr>
        <w:top w:val="none" w:sz="0" w:space="0" w:color="auto"/>
        <w:left w:val="none" w:sz="0" w:space="0" w:color="auto"/>
        <w:bottom w:val="none" w:sz="0" w:space="0" w:color="auto"/>
        <w:right w:val="none" w:sz="0" w:space="0" w:color="auto"/>
      </w:divBdr>
    </w:div>
    <w:div w:id="631204654">
      <w:bodyDiv w:val="1"/>
      <w:marLeft w:val="0"/>
      <w:marRight w:val="0"/>
      <w:marTop w:val="0"/>
      <w:marBottom w:val="0"/>
      <w:divBdr>
        <w:top w:val="none" w:sz="0" w:space="0" w:color="auto"/>
        <w:left w:val="none" w:sz="0" w:space="0" w:color="auto"/>
        <w:bottom w:val="none" w:sz="0" w:space="0" w:color="auto"/>
        <w:right w:val="none" w:sz="0" w:space="0" w:color="auto"/>
      </w:divBdr>
    </w:div>
    <w:div w:id="631207203">
      <w:bodyDiv w:val="1"/>
      <w:marLeft w:val="0"/>
      <w:marRight w:val="0"/>
      <w:marTop w:val="0"/>
      <w:marBottom w:val="0"/>
      <w:divBdr>
        <w:top w:val="none" w:sz="0" w:space="0" w:color="auto"/>
        <w:left w:val="none" w:sz="0" w:space="0" w:color="auto"/>
        <w:bottom w:val="none" w:sz="0" w:space="0" w:color="auto"/>
        <w:right w:val="none" w:sz="0" w:space="0" w:color="auto"/>
      </w:divBdr>
    </w:div>
    <w:div w:id="631399359">
      <w:bodyDiv w:val="1"/>
      <w:marLeft w:val="0"/>
      <w:marRight w:val="0"/>
      <w:marTop w:val="0"/>
      <w:marBottom w:val="0"/>
      <w:divBdr>
        <w:top w:val="none" w:sz="0" w:space="0" w:color="auto"/>
        <w:left w:val="none" w:sz="0" w:space="0" w:color="auto"/>
        <w:bottom w:val="none" w:sz="0" w:space="0" w:color="auto"/>
        <w:right w:val="none" w:sz="0" w:space="0" w:color="auto"/>
      </w:divBdr>
    </w:div>
    <w:div w:id="631443703">
      <w:bodyDiv w:val="1"/>
      <w:marLeft w:val="0"/>
      <w:marRight w:val="0"/>
      <w:marTop w:val="0"/>
      <w:marBottom w:val="0"/>
      <w:divBdr>
        <w:top w:val="none" w:sz="0" w:space="0" w:color="auto"/>
        <w:left w:val="none" w:sz="0" w:space="0" w:color="auto"/>
        <w:bottom w:val="none" w:sz="0" w:space="0" w:color="auto"/>
        <w:right w:val="none" w:sz="0" w:space="0" w:color="auto"/>
      </w:divBdr>
    </w:div>
    <w:div w:id="631446033">
      <w:bodyDiv w:val="1"/>
      <w:marLeft w:val="0"/>
      <w:marRight w:val="0"/>
      <w:marTop w:val="0"/>
      <w:marBottom w:val="0"/>
      <w:divBdr>
        <w:top w:val="none" w:sz="0" w:space="0" w:color="auto"/>
        <w:left w:val="none" w:sz="0" w:space="0" w:color="auto"/>
        <w:bottom w:val="none" w:sz="0" w:space="0" w:color="auto"/>
        <w:right w:val="none" w:sz="0" w:space="0" w:color="auto"/>
      </w:divBdr>
    </w:div>
    <w:div w:id="631448753">
      <w:bodyDiv w:val="1"/>
      <w:marLeft w:val="0"/>
      <w:marRight w:val="0"/>
      <w:marTop w:val="0"/>
      <w:marBottom w:val="0"/>
      <w:divBdr>
        <w:top w:val="none" w:sz="0" w:space="0" w:color="auto"/>
        <w:left w:val="none" w:sz="0" w:space="0" w:color="auto"/>
        <w:bottom w:val="none" w:sz="0" w:space="0" w:color="auto"/>
        <w:right w:val="none" w:sz="0" w:space="0" w:color="auto"/>
      </w:divBdr>
    </w:div>
    <w:div w:id="631521141">
      <w:bodyDiv w:val="1"/>
      <w:marLeft w:val="0"/>
      <w:marRight w:val="0"/>
      <w:marTop w:val="0"/>
      <w:marBottom w:val="0"/>
      <w:divBdr>
        <w:top w:val="none" w:sz="0" w:space="0" w:color="auto"/>
        <w:left w:val="none" w:sz="0" w:space="0" w:color="auto"/>
        <w:bottom w:val="none" w:sz="0" w:space="0" w:color="auto"/>
        <w:right w:val="none" w:sz="0" w:space="0" w:color="auto"/>
      </w:divBdr>
    </w:div>
    <w:div w:id="631523758">
      <w:bodyDiv w:val="1"/>
      <w:marLeft w:val="0"/>
      <w:marRight w:val="0"/>
      <w:marTop w:val="0"/>
      <w:marBottom w:val="0"/>
      <w:divBdr>
        <w:top w:val="none" w:sz="0" w:space="0" w:color="auto"/>
        <w:left w:val="none" w:sz="0" w:space="0" w:color="auto"/>
        <w:bottom w:val="none" w:sz="0" w:space="0" w:color="auto"/>
        <w:right w:val="none" w:sz="0" w:space="0" w:color="auto"/>
      </w:divBdr>
    </w:div>
    <w:div w:id="631525315">
      <w:bodyDiv w:val="1"/>
      <w:marLeft w:val="0"/>
      <w:marRight w:val="0"/>
      <w:marTop w:val="0"/>
      <w:marBottom w:val="0"/>
      <w:divBdr>
        <w:top w:val="none" w:sz="0" w:space="0" w:color="auto"/>
        <w:left w:val="none" w:sz="0" w:space="0" w:color="auto"/>
        <w:bottom w:val="none" w:sz="0" w:space="0" w:color="auto"/>
        <w:right w:val="none" w:sz="0" w:space="0" w:color="auto"/>
      </w:divBdr>
    </w:div>
    <w:div w:id="631712429">
      <w:bodyDiv w:val="1"/>
      <w:marLeft w:val="0"/>
      <w:marRight w:val="0"/>
      <w:marTop w:val="0"/>
      <w:marBottom w:val="0"/>
      <w:divBdr>
        <w:top w:val="none" w:sz="0" w:space="0" w:color="auto"/>
        <w:left w:val="none" w:sz="0" w:space="0" w:color="auto"/>
        <w:bottom w:val="none" w:sz="0" w:space="0" w:color="auto"/>
        <w:right w:val="none" w:sz="0" w:space="0" w:color="auto"/>
      </w:divBdr>
    </w:div>
    <w:div w:id="631715984">
      <w:bodyDiv w:val="1"/>
      <w:marLeft w:val="0"/>
      <w:marRight w:val="0"/>
      <w:marTop w:val="0"/>
      <w:marBottom w:val="0"/>
      <w:divBdr>
        <w:top w:val="none" w:sz="0" w:space="0" w:color="auto"/>
        <w:left w:val="none" w:sz="0" w:space="0" w:color="auto"/>
        <w:bottom w:val="none" w:sz="0" w:space="0" w:color="auto"/>
        <w:right w:val="none" w:sz="0" w:space="0" w:color="auto"/>
      </w:divBdr>
    </w:div>
    <w:div w:id="631833778">
      <w:bodyDiv w:val="1"/>
      <w:marLeft w:val="0"/>
      <w:marRight w:val="0"/>
      <w:marTop w:val="0"/>
      <w:marBottom w:val="0"/>
      <w:divBdr>
        <w:top w:val="none" w:sz="0" w:space="0" w:color="auto"/>
        <w:left w:val="none" w:sz="0" w:space="0" w:color="auto"/>
        <w:bottom w:val="none" w:sz="0" w:space="0" w:color="auto"/>
        <w:right w:val="none" w:sz="0" w:space="0" w:color="auto"/>
      </w:divBdr>
    </w:div>
    <w:div w:id="631907074">
      <w:bodyDiv w:val="1"/>
      <w:marLeft w:val="0"/>
      <w:marRight w:val="0"/>
      <w:marTop w:val="0"/>
      <w:marBottom w:val="0"/>
      <w:divBdr>
        <w:top w:val="none" w:sz="0" w:space="0" w:color="auto"/>
        <w:left w:val="none" w:sz="0" w:space="0" w:color="auto"/>
        <w:bottom w:val="none" w:sz="0" w:space="0" w:color="auto"/>
        <w:right w:val="none" w:sz="0" w:space="0" w:color="auto"/>
      </w:divBdr>
    </w:div>
    <w:div w:id="631980776">
      <w:bodyDiv w:val="1"/>
      <w:marLeft w:val="0"/>
      <w:marRight w:val="0"/>
      <w:marTop w:val="0"/>
      <w:marBottom w:val="0"/>
      <w:divBdr>
        <w:top w:val="none" w:sz="0" w:space="0" w:color="auto"/>
        <w:left w:val="none" w:sz="0" w:space="0" w:color="auto"/>
        <w:bottom w:val="none" w:sz="0" w:space="0" w:color="auto"/>
        <w:right w:val="none" w:sz="0" w:space="0" w:color="auto"/>
      </w:divBdr>
    </w:div>
    <w:div w:id="632058009">
      <w:bodyDiv w:val="1"/>
      <w:marLeft w:val="0"/>
      <w:marRight w:val="0"/>
      <w:marTop w:val="0"/>
      <w:marBottom w:val="0"/>
      <w:divBdr>
        <w:top w:val="none" w:sz="0" w:space="0" w:color="auto"/>
        <w:left w:val="none" w:sz="0" w:space="0" w:color="auto"/>
        <w:bottom w:val="none" w:sz="0" w:space="0" w:color="auto"/>
        <w:right w:val="none" w:sz="0" w:space="0" w:color="auto"/>
      </w:divBdr>
    </w:div>
    <w:div w:id="632099284">
      <w:bodyDiv w:val="1"/>
      <w:marLeft w:val="0"/>
      <w:marRight w:val="0"/>
      <w:marTop w:val="0"/>
      <w:marBottom w:val="0"/>
      <w:divBdr>
        <w:top w:val="none" w:sz="0" w:space="0" w:color="auto"/>
        <w:left w:val="none" w:sz="0" w:space="0" w:color="auto"/>
        <w:bottom w:val="none" w:sz="0" w:space="0" w:color="auto"/>
        <w:right w:val="none" w:sz="0" w:space="0" w:color="auto"/>
      </w:divBdr>
    </w:div>
    <w:div w:id="632366753">
      <w:bodyDiv w:val="1"/>
      <w:marLeft w:val="0"/>
      <w:marRight w:val="0"/>
      <w:marTop w:val="0"/>
      <w:marBottom w:val="0"/>
      <w:divBdr>
        <w:top w:val="none" w:sz="0" w:space="0" w:color="auto"/>
        <w:left w:val="none" w:sz="0" w:space="0" w:color="auto"/>
        <w:bottom w:val="none" w:sz="0" w:space="0" w:color="auto"/>
        <w:right w:val="none" w:sz="0" w:space="0" w:color="auto"/>
      </w:divBdr>
    </w:div>
    <w:div w:id="632564938">
      <w:bodyDiv w:val="1"/>
      <w:marLeft w:val="0"/>
      <w:marRight w:val="0"/>
      <w:marTop w:val="0"/>
      <w:marBottom w:val="0"/>
      <w:divBdr>
        <w:top w:val="none" w:sz="0" w:space="0" w:color="auto"/>
        <w:left w:val="none" w:sz="0" w:space="0" w:color="auto"/>
        <w:bottom w:val="none" w:sz="0" w:space="0" w:color="auto"/>
        <w:right w:val="none" w:sz="0" w:space="0" w:color="auto"/>
      </w:divBdr>
    </w:div>
    <w:div w:id="632641826">
      <w:bodyDiv w:val="1"/>
      <w:marLeft w:val="0"/>
      <w:marRight w:val="0"/>
      <w:marTop w:val="0"/>
      <w:marBottom w:val="0"/>
      <w:divBdr>
        <w:top w:val="none" w:sz="0" w:space="0" w:color="auto"/>
        <w:left w:val="none" w:sz="0" w:space="0" w:color="auto"/>
        <w:bottom w:val="none" w:sz="0" w:space="0" w:color="auto"/>
        <w:right w:val="none" w:sz="0" w:space="0" w:color="auto"/>
      </w:divBdr>
    </w:div>
    <w:div w:id="632712476">
      <w:bodyDiv w:val="1"/>
      <w:marLeft w:val="0"/>
      <w:marRight w:val="0"/>
      <w:marTop w:val="0"/>
      <w:marBottom w:val="0"/>
      <w:divBdr>
        <w:top w:val="none" w:sz="0" w:space="0" w:color="auto"/>
        <w:left w:val="none" w:sz="0" w:space="0" w:color="auto"/>
        <w:bottom w:val="none" w:sz="0" w:space="0" w:color="auto"/>
        <w:right w:val="none" w:sz="0" w:space="0" w:color="auto"/>
      </w:divBdr>
    </w:div>
    <w:div w:id="632754618">
      <w:bodyDiv w:val="1"/>
      <w:marLeft w:val="0"/>
      <w:marRight w:val="0"/>
      <w:marTop w:val="0"/>
      <w:marBottom w:val="0"/>
      <w:divBdr>
        <w:top w:val="none" w:sz="0" w:space="0" w:color="auto"/>
        <w:left w:val="none" w:sz="0" w:space="0" w:color="auto"/>
        <w:bottom w:val="none" w:sz="0" w:space="0" w:color="auto"/>
        <w:right w:val="none" w:sz="0" w:space="0" w:color="auto"/>
      </w:divBdr>
    </w:div>
    <w:div w:id="632827846">
      <w:bodyDiv w:val="1"/>
      <w:marLeft w:val="0"/>
      <w:marRight w:val="0"/>
      <w:marTop w:val="0"/>
      <w:marBottom w:val="0"/>
      <w:divBdr>
        <w:top w:val="none" w:sz="0" w:space="0" w:color="auto"/>
        <w:left w:val="none" w:sz="0" w:space="0" w:color="auto"/>
        <w:bottom w:val="none" w:sz="0" w:space="0" w:color="auto"/>
        <w:right w:val="none" w:sz="0" w:space="0" w:color="auto"/>
      </w:divBdr>
    </w:div>
    <w:div w:id="632828670">
      <w:bodyDiv w:val="1"/>
      <w:marLeft w:val="0"/>
      <w:marRight w:val="0"/>
      <w:marTop w:val="0"/>
      <w:marBottom w:val="0"/>
      <w:divBdr>
        <w:top w:val="none" w:sz="0" w:space="0" w:color="auto"/>
        <w:left w:val="none" w:sz="0" w:space="0" w:color="auto"/>
        <w:bottom w:val="none" w:sz="0" w:space="0" w:color="auto"/>
        <w:right w:val="none" w:sz="0" w:space="0" w:color="auto"/>
      </w:divBdr>
    </w:div>
    <w:div w:id="632832396">
      <w:bodyDiv w:val="1"/>
      <w:marLeft w:val="0"/>
      <w:marRight w:val="0"/>
      <w:marTop w:val="0"/>
      <w:marBottom w:val="0"/>
      <w:divBdr>
        <w:top w:val="none" w:sz="0" w:space="0" w:color="auto"/>
        <w:left w:val="none" w:sz="0" w:space="0" w:color="auto"/>
        <w:bottom w:val="none" w:sz="0" w:space="0" w:color="auto"/>
        <w:right w:val="none" w:sz="0" w:space="0" w:color="auto"/>
      </w:divBdr>
    </w:div>
    <w:div w:id="632832737">
      <w:bodyDiv w:val="1"/>
      <w:marLeft w:val="0"/>
      <w:marRight w:val="0"/>
      <w:marTop w:val="0"/>
      <w:marBottom w:val="0"/>
      <w:divBdr>
        <w:top w:val="none" w:sz="0" w:space="0" w:color="auto"/>
        <w:left w:val="none" w:sz="0" w:space="0" w:color="auto"/>
        <w:bottom w:val="none" w:sz="0" w:space="0" w:color="auto"/>
        <w:right w:val="none" w:sz="0" w:space="0" w:color="auto"/>
      </w:divBdr>
    </w:div>
    <w:div w:id="632907370">
      <w:bodyDiv w:val="1"/>
      <w:marLeft w:val="0"/>
      <w:marRight w:val="0"/>
      <w:marTop w:val="0"/>
      <w:marBottom w:val="0"/>
      <w:divBdr>
        <w:top w:val="none" w:sz="0" w:space="0" w:color="auto"/>
        <w:left w:val="none" w:sz="0" w:space="0" w:color="auto"/>
        <w:bottom w:val="none" w:sz="0" w:space="0" w:color="auto"/>
        <w:right w:val="none" w:sz="0" w:space="0" w:color="auto"/>
      </w:divBdr>
    </w:div>
    <w:div w:id="633098727">
      <w:bodyDiv w:val="1"/>
      <w:marLeft w:val="0"/>
      <w:marRight w:val="0"/>
      <w:marTop w:val="0"/>
      <w:marBottom w:val="0"/>
      <w:divBdr>
        <w:top w:val="none" w:sz="0" w:space="0" w:color="auto"/>
        <w:left w:val="none" w:sz="0" w:space="0" w:color="auto"/>
        <w:bottom w:val="none" w:sz="0" w:space="0" w:color="auto"/>
        <w:right w:val="none" w:sz="0" w:space="0" w:color="auto"/>
      </w:divBdr>
    </w:div>
    <w:div w:id="633216510">
      <w:bodyDiv w:val="1"/>
      <w:marLeft w:val="0"/>
      <w:marRight w:val="0"/>
      <w:marTop w:val="0"/>
      <w:marBottom w:val="0"/>
      <w:divBdr>
        <w:top w:val="none" w:sz="0" w:space="0" w:color="auto"/>
        <w:left w:val="none" w:sz="0" w:space="0" w:color="auto"/>
        <w:bottom w:val="none" w:sz="0" w:space="0" w:color="auto"/>
        <w:right w:val="none" w:sz="0" w:space="0" w:color="auto"/>
      </w:divBdr>
    </w:div>
    <w:div w:id="633370447">
      <w:bodyDiv w:val="1"/>
      <w:marLeft w:val="0"/>
      <w:marRight w:val="0"/>
      <w:marTop w:val="0"/>
      <w:marBottom w:val="0"/>
      <w:divBdr>
        <w:top w:val="none" w:sz="0" w:space="0" w:color="auto"/>
        <w:left w:val="none" w:sz="0" w:space="0" w:color="auto"/>
        <w:bottom w:val="none" w:sz="0" w:space="0" w:color="auto"/>
        <w:right w:val="none" w:sz="0" w:space="0" w:color="auto"/>
      </w:divBdr>
    </w:div>
    <w:div w:id="633415734">
      <w:bodyDiv w:val="1"/>
      <w:marLeft w:val="0"/>
      <w:marRight w:val="0"/>
      <w:marTop w:val="0"/>
      <w:marBottom w:val="0"/>
      <w:divBdr>
        <w:top w:val="none" w:sz="0" w:space="0" w:color="auto"/>
        <w:left w:val="none" w:sz="0" w:space="0" w:color="auto"/>
        <w:bottom w:val="none" w:sz="0" w:space="0" w:color="auto"/>
        <w:right w:val="none" w:sz="0" w:space="0" w:color="auto"/>
      </w:divBdr>
    </w:div>
    <w:div w:id="633566014">
      <w:bodyDiv w:val="1"/>
      <w:marLeft w:val="0"/>
      <w:marRight w:val="0"/>
      <w:marTop w:val="0"/>
      <w:marBottom w:val="0"/>
      <w:divBdr>
        <w:top w:val="none" w:sz="0" w:space="0" w:color="auto"/>
        <w:left w:val="none" w:sz="0" w:space="0" w:color="auto"/>
        <w:bottom w:val="none" w:sz="0" w:space="0" w:color="auto"/>
        <w:right w:val="none" w:sz="0" w:space="0" w:color="auto"/>
      </w:divBdr>
    </w:div>
    <w:div w:id="633602597">
      <w:bodyDiv w:val="1"/>
      <w:marLeft w:val="0"/>
      <w:marRight w:val="0"/>
      <w:marTop w:val="0"/>
      <w:marBottom w:val="0"/>
      <w:divBdr>
        <w:top w:val="none" w:sz="0" w:space="0" w:color="auto"/>
        <w:left w:val="none" w:sz="0" w:space="0" w:color="auto"/>
        <w:bottom w:val="none" w:sz="0" w:space="0" w:color="auto"/>
        <w:right w:val="none" w:sz="0" w:space="0" w:color="auto"/>
      </w:divBdr>
    </w:div>
    <w:div w:id="633677294">
      <w:bodyDiv w:val="1"/>
      <w:marLeft w:val="0"/>
      <w:marRight w:val="0"/>
      <w:marTop w:val="0"/>
      <w:marBottom w:val="0"/>
      <w:divBdr>
        <w:top w:val="none" w:sz="0" w:space="0" w:color="auto"/>
        <w:left w:val="none" w:sz="0" w:space="0" w:color="auto"/>
        <w:bottom w:val="none" w:sz="0" w:space="0" w:color="auto"/>
        <w:right w:val="none" w:sz="0" w:space="0" w:color="auto"/>
      </w:divBdr>
    </w:div>
    <w:div w:id="633752319">
      <w:bodyDiv w:val="1"/>
      <w:marLeft w:val="0"/>
      <w:marRight w:val="0"/>
      <w:marTop w:val="0"/>
      <w:marBottom w:val="0"/>
      <w:divBdr>
        <w:top w:val="none" w:sz="0" w:space="0" w:color="auto"/>
        <w:left w:val="none" w:sz="0" w:space="0" w:color="auto"/>
        <w:bottom w:val="none" w:sz="0" w:space="0" w:color="auto"/>
        <w:right w:val="none" w:sz="0" w:space="0" w:color="auto"/>
      </w:divBdr>
    </w:div>
    <w:div w:id="633752746">
      <w:bodyDiv w:val="1"/>
      <w:marLeft w:val="0"/>
      <w:marRight w:val="0"/>
      <w:marTop w:val="0"/>
      <w:marBottom w:val="0"/>
      <w:divBdr>
        <w:top w:val="none" w:sz="0" w:space="0" w:color="auto"/>
        <w:left w:val="none" w:sz="0" w:space="0" w:color="auto"/>
        <w:bottom w:val="none" w:sz="0" w:space="0" w:color="auto"/>
        <w:right w:val="none" w:sz="0" w:space="0" w:color="auto"/>
      </w:divBdr>
    </w:div>
    <w:div w:id="633753225">
      <w:bodyDiv w:val="1"/>
      <w:marLeft w:val="0"/>
      <w:marRight w:val="0"/>
      <w:marTop w:val="0"/>
      <w:marBottom w:val="0"/>
      <w:divBdr>
        <w:top w:val="none" w:sz="0" w:space="0" w:color="auto"/>
        <w:left w:val="none" w:sz="0" w:space="0" w:color="auto"/>
        <w:bottom w:val="none" w:sz="0" w:space="0" w:color="auto"/>
        <w:right w:val="none" w:sz="0" w:space="0" w:color="auto"/>
      </w:divBdr>
    </w:div>
    <w:div w:id="633876922">
      <w:bodyDiv w:val="1"/>
      <w:marLeft w:val="0"/>
      <w:marRight w:val="0"/>
      <w:marTop w:val="0"/>
      <w:marBottom w:val="0"/>
      <w:divBdr>
        <w:top w:val="none" w:sz="0" w:space="0" w:color="auto"/>
        <w:left w:val="none" w:sz="0" w:space="0" w:color="auto"/>
        <w:bottom w:val="none" w:sz="0" w:space="0" w:color="auto"/>
        <w:right w:val="none" w:sz="0" w:space="0" w:color="auto"/>
      </w:divBdr>
    </w:div>
    <w:div w:id="633950018">
      <w:bodyDiv w:val="1"/>
      <w:marLeft w:val="0"/>
      <w:marRight w:val="0"/>
      <w:marTop w:val="0"/>
      <w:marBottom w:val="0"/>
      <w:divBdr>
        <w:top w:val="none" w:sz="0" w:space="0" w:color="auto"/>
        <w:left w:val="none" w:sz="0" w:space="0" w:color="auto"/>
        <w:bottom w:val="none" w:sz="0" w:space="0" w:color="auto"/>
        <w:right w:val="none" w:sz="0" w:space="0" w:color="auto"/>
      </w:divBdr>
    </w:div>
    <w:div w:id="634062146">
      <w:bodyDiv w:val="1"/>
      <w:marLeft w:val="0"/>
      <w:marRight w:val="0"/>
      <w:marTop w:val="0"/>
      <w:marBottom w:val="0"/>
      <w:divBdr>
        <w:top w:val="none" w:sz="0" w:space="0" w:color="auto"/>
        <w:left w:val="none" w:sz="0" w:space="0" w:color="auto"/>
        <w:bottom w:val="none" w:sz="0" w:space="0" w:color="auto"/>
        <w:right w:val="none" w:sz="0" w:space="0" w:color="auto"/>
      </w:divBdr>
    </w:div>
    <w:div w:id="634139355">
      <w:bodyDiv w:val="1"/>
      <w:marLeft w:val="0"/>
      <w:marRight w:val="0"/>
      <w:marTop w:val="0"/>
      <w:marBottom w:val="0"/>
      <w:divBdr>
        <w:top w:val="none" w:sz="0" w:space="0" w:color="auto"/>
        <w:left w:val="none" w:sz="0" w:space="0" w:color="auto"/>
        <w:bottom w:val="none" w:sz="0" w:space="0" w:color="auto"/>
        <w:right w:val="none" w:sz="0" w:space="0" w:color="auto"/>
      </w:divBdr>
    </w:div>
    <w:div w:id="634331916">
      <w:bodyDiv w:val="1"/>
      <w:marLeft w:val="0"/>
      <w:marRight w:val="0"/>
      <w:marTop w:val="0"/>
      <w:marBottom w:val="0"/>
      <w:divBdr>
        <w:top w:val="none" w:sz="0" w:space="0" w:color="auto"/>
        <w:left w:val="none" w:sz="0" w:space="0" w:color="auto"/>
        <w:bottom w:val="none" w:sz="0" w:space="0" w:color="auto"/>
        <w:right w:val="none" w:sz="0" w:space="0" w:color="auto"/>
      </w:divBdr>
    </w:div>
    <w:div w:id="634457691">
      <w:bodyDiv w:val="1"/>
      <w:marLeft w:val="0"/>
      <w:marRight w:val="0"/>
      <w:marTop w:val="0"/>
      <w:marBottom w:val="0"/>
      <w:divBdr>
        <w:top w:val="none" w:sz="0" w:space="0" w:color="auto"/>
        <w:left w:val="none" w:sz="0" w:space="0" w:color="auto"/>
        <w:bottom w:val="none" w:sz="0" w:space="0" w:color="auto"/>
        <w:right w:val="none" w:sz="0" w:space="0" w:color="auto"/>
      </w:divBdr>
    </w:div>
    <w:div w:id="634525553">
      <w:bodyDiv w:val="1"/>
      <w:marLeft w:val="0"/>
      <w:marRight w:val="0"/>
      <w:marTop w:val="0"/>
      <w:marBottom w:val="0"/>
      <w:divBdr>
        <w:top w:val="none" w:sz="0" w:space="0" w:color="auto"/>
        <w:left w:val="none" w:sz="0" w:space="0" w:color="auto"/>
        <w:bottom w:val="none" w:sz="0" w:space="0" w:color="auto"/>
        <w:right w:val="none" w:sz="0" w:space="0" w:color="auto"/>
      </w:divBdr>
    </w:div>
    <w:div w:id="634604304">
      <w:bodyDiv w:val="1"/>
      <w:marLeft w:val="0"/>
      <w:marRight w:val="0"/>
      <w:marTop w:val="0"/>
      <w:marBottom w:val="0"/>
      <w:divBdr>
        <w:top w:val="none" w:sz="0" w:space="0" w:color="auto"/>
        <w:left w:val="none" w:sz="0" w:space="0" w:color="auto"/>
        <w:bottom w:val="none" w:sz="0" w:space="0" w:color="auto"/>
        <w:right w:val="none" w:sz="0" w:space="0" w:color="auto"/>
      </w:divBdr>
    </w:div>
    <w:div w:id="634607218">
      <w:bodyDiv w:val="1"/>
      <w:marLeft w:val="0"/>
      <w:marRight w:val="0"/>
      <w:marTop w:val="0"/>
      <w:marBottom w:val="0"/>
      <w:divBdr>
        <w:top w:val="none" w:sz="0" w:space="0" w:color="auto"/>
        <w:left w:val="none" w:sz="0" w:space="0" w:color="auto"/>
        <w:bottom w:val="none" w:sz="0" w:space="0" w:color="auto"/>
        <w:right w:val="none" w:sz="0" w:space="0" w:color="auto"/>
      </w:divBdr>
    </w:div>
    <w:div w:id="634943667">
      <w:bodyDiv w:val="1"/>
      <w:marLeft w:val="0"/>
      <w:marRight w:val="0"/>
      <w:marTop w:val="0"/>
      <w:marBottom w:val="0"/>
      <w:divBdr>
        <w:top w:val="none" w:sz="0" w:space="0" w:color="auto"/>
        <w:left w:val="none" w:sz="0" w:space="0" w:color="auto"/>
        <w:bottom w:val="none" w:sz="0" w:space="0" w:color="auto"/>
        <w:right w:val="none" w:sz="0" w:space="0" w:color="auto"/>
      </w:divBdr>
    </w:div>
    <w:div w:id="635065409">
      <w:bodyDiv w:val="1"/>
      <w:marLeft w:val="0"/>
      <w:marRight w:val="0"/>
      <w:marTop w:val="0"/>
      <w:marBottom w:val="0"/>
      <w:divBdr>
        <w:top w:val="none" w:sz="0" w:space="0" w:color="auto"/>
        <w:left w:val="none" w:sz="0" w:space="0" w:color="auto"/>
        <w:bottom w:val="none" w:sz="0" w:space="0" w:color="auto"/>
        <w:right w:val="none" w:sz="0" w:space="0" w:color="auto"/>
      </w:divBdr>
    </w:div>
    <w:div w:id="635066208">
      <w:bodyDiv w:val="1"/>
      <w:marLeft w:val="0"/>
      <w:marRight w:val="0"/>
      <w:marTop w:val="0"/>
      <w:marBottom w:val="0"/>
      <w:divBdr>
        <w:top w:val="none" w:sz="0" w:space="0" w:color="auto"/>
        <w:left w:val="none" w:sz="0" w:space="0" w:color="auto"/>
        <w:bottom w:val="none" w:sz="0" w:space="0" w:color="auto"/>
        <w:right w:val="none" w:sz="0" w:space="0" w:color="auto"/>
      </w:divBdr>
    </w:div>
    <w:div w:id="635066405">
      <w:bodyDiv w:val="1"/>
      <w:marLeft w:val="0"/>
      <w:marRight w:val="0"/>
      <w:marTop w:val="0"/>
      <w:marBottom w:val="0"/>
      <w:divBdr>
        <w:top w:val="none" w:sz="0" w:space="0" w:color="auto"/>
        <w:left w:val="none" w:sz="0" w:space="0" w:color="auto"/>
        <w:bottom w:val="none" w:sz="0" w:space="0" w:color="auto"/>
        <w:right w:val="none" w:sz="0" w:space="0" w:color="auto"/>
      </w:divBdr>
    </w:div>
    <w:div w:id="635140236">
      <w:bodyDiv w:val="1"/>
      <w:marLeft w:val="0"/>
      <w:marRight w:val="0"/>
      <w:marTop w:val="0"/>
      <w:marBottom w:val="0"/>
      <w:divBdr>
        <w:top w:val="none" w:sz="0" w:space="0" w:color="auto"/>
        <w:left w:val="none" w:sz="0" w:space="0" w:color="auto"/>
        <w:bottom w:val="none" w:sz="0" w:space="0" w:color="auto"/>
        <w:right w:val="none" w:sz="0" w:space="0" w:color="auto"/>
      </w:divBdr>
    </w:div>
    <w:div w:id="635141692">
      <w:bodyDiv w:val="1"/>
      <w:marLeft w:val="0"/>
      <w:marRight w:val="0"/>
      <w:marTop w:val="0"/>
      <w:marBottom w:val="0"/>
      <w:divBdr>
        <w:top w:val="none" w:sz="0" w:space="0" w:color="auto"/>
        <w:left w:val="none" w:sz="0" w:space="0" w:color="auto"/>
        <w:bottom w:val="none" w:sz="0" w:space="0" w:color="auto"/>
        <w:right w:val="none" w:sz="0" w:space="0" w:color="auto"/>
      </w:divBdr>
    </w:div>
    <w:div w:id="635256971">
      <w:bodyDiv w:val="1"/>
      <w:marLeft w:val="0"/>
      <w:marRight w:val="0"/>
      <w:marTop w:val="0"/>
      <w:marBottom w:val="0"/>
      <w:divBdr>
        <w:top w:val="none" w:sz="0" w:space="0" w:color="auto"/>
        <w:left w:val="none" w:sz="0" w:space="0" w:color="auto"/>
        <w:bottom w:val="none" w:sz="0" w:space="0" w:color="auto"/>
        <w:right w:val="none" w:sz="0" w:space="0" w:color="auto"/>
      </w:divBdr>
    </w:div>
    <w:div w:id="635260694">
      <w:bodyDiv w:val="1"/>
      <w:marLeft w:val="0"/>
      <w:marRight w:val="0"/>
      <w:marTop w:val="0"/>
      <w:marBottom w:val="0"/>
      <w:divBdr>
        <w:top w:val="none" w:sz="0" w:space="0" w:color="auto"/>
        <w:left w:val="none" w:sz="0" w:space="0" w:color="auto"/>
        <w:bottom w:val="none" w:sz="0" w:space="0" w:color="auto"/>
        <w:right w:val="none" w:sz="0" w:space="0" w:color="auto"/>
      </w:divBdr>
    </w:div>
    <w:div w:id="635331238">
      <w:bodyDiv w:val="1"/>
      <w:marLeft w:val="0"/>
      <w:marRight w:val="0"/>
      <w:marTop w:val="0"/>
      <w:marBottom w:val="0"/>
      <w:divBdr>
        <w:top w:val="none" w:sz="0" w:space="0" w:color="auto"/>
        <w:left w:val="none" w:sz="0" w:space="0" w:color="auto"/>
        <w:bottom w:val="none" w:sz="0" w:space="0" w:color="auto"/>
        <w:right w:val="none" w:sz="0" w:space="0" w:color="auto"/>
      </w:divBdr>
    </w:div>
    <w:div w:id="635337923">
      <w:bodyDiv w:val="1"/>
      <w:marLeft w:val="0"/>
      <w:marRight w:val="0"/>
      <w:marTop w:val="0"/>
      <w:marBottom w:val="0"/>
      <w:divBdr>
        <w:top w:val="none" w:sz="0" w:space="0" w:color="auto"/>
        <w:left w:val="none" w:sz="0" w:space="0" w:color="auto"/>
        <w:bottom w:val="none" w:sz="0" w:space="0" w:color="auto"/>
        <w:right w:val="none" w:sz="0" w:space="0" w:color="auto"/>
      </w:divBdr>
    </w:div>
    <w:div w:id="635531981">
      <w:bodyDiv w:val="1"/>
      <w:marLeft w:val="0"/>
      <w:marRight w:val="0"/>
      <w:marTop w:val="0"/>
      <w:marBottom w:val="0"/>
      <w:divBdr>
        <w:top w:val="none" w:sz="0" w:space="0" w:color="auto"/>
        <w:left w:val="none" w:sz="0" w:space="0" w:color="auto"/>
        <w:bottom w:val="none" w:sz="0" w:space="0" w:color="auto"/>
        <w:right w:val="none" w:sz="0" w:space="0" w:color="auto"/>
      </w:divBdr>
    </w:div>
    <w:div w:id="635571041">
      <w:bodyDiv w:val="1"/>
      <w:marLeft w:val="0"/>
      <w:marRight w:val="0"/>
      <w:marTop w:val="0"/>
      <w:marBottom w:val="0"/>
      <w:divBdr>
        <w:top w:val="none" w:sz="0" w:space="0" w:color="auto"/>
        <w:left w:val="none" w:sz="0" w:space="0" w:color="auto"/>
        <w:bottom w:val="none" w:sz="0" w:space="0" w:color="auto"/>
        <w:right w:val="none" w:sz="0" w:space="0" w:color="auto"/>
      </w:divBdr>
    </w:div>
    <w:div w:id="635572782">
      <w:bodyDiv w:val="1"/>
      <w:marLeft w:val="0"/>
      <w:marRight w:val="0"/>
      <w:marTop w:val="0"/>
      <w:marBottom w:val="0"/>
      <w:divBdr>
        <w:top w:val="none" w:sz="0" w:space="0" w:color="auto"/>
        <w:left w:val="none" w:sz="0" w:space="0" w:color="auto"/>
        <w:bottom w:val="none" w:sz="0" w:space="0" w:color="auto"/>
        <w:right w:val="none" w:sz="0" w:space="0" w:color="auto"/>
      </w:divBdr>
    </w:div>
    <w:div w:id="635646593">
      <w:bodyDiv w:val="1"/>
      <w:marLeft w:val="0"/>
      <w:marRight w:val="0"/>
      <w:marTop w:val="0"/>
      <w:marBottom w:val="0"/>
      <w:divBdr>
        <w:top w:val="none" w:sz="0" w:space="0" w:color="auto"/>
        <w:left w:val="none" w:sz="0" w:space="0" w:color="auto"/>
        <w:bottom w:val="none" w:sz="0" w:space="0" w:color="auto"/>
        <w:right w:val="none" w:sz="0" w:space="0" w:color="auto"/>
      </w:divBdr>
    </w:div>
    <w:div w:id="635647905">
      <w:bodyDiv w:val="1"/>
      <w:marLeft w:val="0"/>
      <w:marRight w:val="0"/>
      <w:marTop w:val="0"/>
      <w:marBottom w:val="0"/>
      <w:divBdr>
        <w:top w:val="none" w:sz="0" w:space="0" w:color="auto"/>
        <w:left w:val="none" w:sz="0" w:space="0" w:color="auto"/>
        <w:bottom w:val="none" w:sz="0" w:space="0" w:color="auto"/>
        <w:right w:val="none" w:sz="0" w:space="0" w:color="auto"/>
      </w:divBdr>
    </w:div>
    <w:div w:id="635766018">
      <w:bodyDiv w:val="1"/>
      <w:marLeft w:val="0"/>
      <w:marRight w:val="0"/>
      <w:marTop w:val="0"/>
      <w:marBottom w:val="0"/>
      <w:divBdr>
        <w:top w:val="none" w:sz="0" w:space="0" w:color="auto"/>
        <w:left w:val="none" w:sz="0" w:space="0" w:color="auto"/>
        <w:bottom w:val="none" w:sz="0" w:space="0" w:color="auto"/>
        <w:right w:val="none" w:sz="0" w:space="0" w:color="auto"/>
      </w:divBdr>
    </w:div>
    <w:div w:id="635912388">
      <w:bodyDiv w:val="1"/>
      <w:marLeft w:val="0"/>
      <w:marRight w:val="0"/>
      <w:marTop w:val="0"/>
      <w:marBottom w:val="0"/>
      <w:divBdr>
        <w:top w:val="none" w:sz="0" w:space="0" w:color="auto"/>
        <w:left w:val="none" w:sz="0" w:space="0" w:color="auto"/>
        <w:bottom w:val="none" w:sz="0" w:space="0" w:color="auto"/>
        <w:right w:val="none" w:sz="0" w:space="0" w:color="auto"/>
      </w:divBdr>
    </w:div>
    <w:div w:id="636028697">
      <w:bodyDiv w:val="1"/>
      <w:marLeft w:val="0"/>
      <w:marRight w:val="0"/>
      <w:marTop w:val="0"/>
      <w:marBottom w:val="0"/>
      <w:divBdr>
        <w:top w:val="none" w:sz="0" w:space="0" w:color="auto"/>
        <w:left w:val="none" w:sz="0" w:space="0" w:color="auto"/>
        <w:bottom w:val="none" w:sz="0" w:space="0" w:color="auto"/>
        <w:right w:val="none" w:sz="0" w:space="0" w:color="auto"/>
      </w:divBdr>
    </w:div>
    <w:div w:id="636110351">
      <w:bodyDiv w:val="1"/>
      <w:marLeft w:val="0"/>
      <w:marRight w:val="0"/>
      <w:marTop w:val="0"/>
      <w:marBottom w:val="0"/>
      <w:divBdr>
        <w:top w:val="none" w:sz="0" w:space="0" w:color="auto"/>
        <w:left w:val="none" w:sz="0" w:space="0" w:color="auto"/>
        <w:bottom w:val="none" w:sz="0" w:space="0" w:color="auto"/>
        <w:right w:val="none" w:sz="0" w:space="0" w:color="auto"/>
      </w:divBdr>
    </w:div>
    <w:div w:id="636225807">
      <w:bodyDiv w:val="1"/>
      <w:marLeft w:val="0"/>
      <w:marRight w:val="0"/>
      <w:marTop w:val="0"/>
      <w:marBottom w:val="0"/>
      <w:divBdr>
        <w:top w:val="none" w:sz="0" w:space="0" w:color="auto"/>
        <w:left w:val="none" w:sz="0" w:space="0" w:color="auto"/>
        <w:bottom w:val="none" w:sz="0" w:space="0" w:color="auto"/>
        <w:right w:val="none" w:sz="0" w:space="0" w:color="auto"/>
      </w:divBdr>
    </w:div>
    <w:div w:id="636452337">
      <w:bodyDiv w:val="1"/>
      <w:marLeft w:val="0"/>
      <w:marRight w:val="0"/>
      <w:marTop w:val="0"/>
      <w:marBottom w:val="0"/>
      <w:divBdr>
        <w:top w:val="none" w:sz="0" w:space="0" w:color="auto"/>
        <w:left w:val="none" w:sz="0" w:space="0" w:color="auto"/>
        <w:bottom w:val="none" w:sz="0" w:space="0" w:color="auto"/>
        <w:right w:val="none" w:sz="0" w:space="0" w:color="auto"/>
      </w:divBdr>
    </w:div>
    <w:div w:id="636687117">
      <w:bodyDiv w:val="1"/>
      <w:marLeft w:val="0"/>
      <w:marRight w:val="0"/>
      <w:marTop w:val="0"/>
      <w:marBottom w:val="0"/>
      <w:divBdr>
        <w:top w:val="none" w:sz="0" w:space="0" w:color="auto"/>
        <w:left w:val="none" w:sz="0" w:space="0" w:color="auto"/>
        <w:bottom w:val="none" w:sz="0" w:space="0" w:color="auto"/>
        <w:right w:val="none" w:sz="0" w:space="0" w:color="auto"/>
      </w:divBdr>
    </w:div>
    <w:div w:id="636840202">
      <w:bodyDiv w:val="1"/>
      <w:marLeft w:val="0"/>
      <w:marRight w:val="0"/>
      <w:marTop w:val="0"/>
      <w:marBottom w:val="0"/>
      <w:divBdr>
        <w:top w:val="none" w:sz="0" w:space="0" w:color="auto"/>
        <w:left w:val="none" w:sz="0" w:space="0" w:color="auto"/>
        <w:bottom w:val="none" w:sz="0" w:space="0" w:color="auto"/>
        <w:right w:val="none" w:sz="0" w:space="0" w:color="auto"/>
      </w:divBdr>
    </w:div>
    <w:div w:id="636842032">
      <w:bodyDiv w:val="1"/>
      <w:marLeft w:val="0"/>
      <w:marRight w:val="0"/>
      <w:marTop w:val="0"/>
      <w:marBottom w:val="0"/>
      <w:divBdr>
        <w:top w:val="none" w:sz="0" w:space="0" w:color="auto"/>
        <w:left w:val="none" w:sz="0" w:space="0" w:color="auto"/>
        <w:bottom w:val="none" w:sz="0" w:space="0" w:color="auto"/>
        <w:right w:val="none" w:sz="0" w:space="0" w:color="auto"/>
      </w:divBdr>
    </w:div>
    <w:div w:id="636951860">
      <w:bodyDiv w:val="1"/>
      <w:marLeft w:val="0"/>
      <w:marRight w:val="0"/>
      <w:marTop w:val="0"/>
      <w:marBottom w:val="0"/>
      <w:divBdr>
        <w:top w:val="none" w:sz="0" w:space="0" w:color="auto"/>
        <w:left w:val="none" w:sz="0" w:space="0" w:color="auto"/>
        <w:bottom w:val="none" w:sz="0" w:space="0" w:color="auto"/>
        <w:right w:val="none" w:sz="0" w:space="0" w:color="auto"/>
      </w:divBdr>
    </w:div>
    <w:div w:id="636956106">
      <w:bodyDiv w:val="1"/>
      <w:marLeft w:val="0"/>
      <w:marRight w:val="0"/>
      <w:marTop w:val="0"/>
      <w:marBottom w:val="0"/>
      <w:divBdr>
        <w:top w:val="none" w:sz="0" w:space="0" w:color="auto"/>
        <w:left w:val="none" w:sz="0" w:space="0" w:color="auto"/>
        <w:bottom w:val="none" w:sz="0" w:space="0" w:color="auto"/>
        <w:right w:val="none" w:sz="0" w:space="0" w:color="auto"/>
      </w:divBdr>
    </w:div>
    <w:div w:id="636956251">
      <w:bodyDiv w:val="1"/>
      <w:marLeft w:val="0"/>
      <w:marRight w:val="0"/>
      <w:marTop w:val="0"/>
      <w:marBottom w:val="0"/>
      <w:divBdr>
        <w:top w:val="none" w:sz="0" w:space="0" w:color="auto"/>
        <w:left w:val="none" w:sz="0" w:space="0" w:color="auto"/>
        <w:bottom w:val="none" w:sz="0" w:space="0" w:color="auto"/>
        <w:right w:val="none" w:sz="0" w:space="0" w:color="auto"/>
      </w:divBdr>
    </w:div>
    <w:div w:id="636957423">
      <w:bodyDiv w:val="1"/>
      <w:marLeft w:val="0"/>
      <w:marRight w:val="0"/>
      <w:marTop w:val="0"/>
      <w:marBottom w:val="0"/>
      <w:divBdr>
        <w:top w:val="none" w:sz="0" w:space="0" w:color="auto"/>
        <w:left w:val="none" w:sz="0" w:space="0" w:color="auto"/>
        <w:bottom w:val="none" w:sz="0" w:space="0" w:color="auto"/>
        <w:right w:val="none" w:sz="0" w:space="0" w:color="auto"/>
      </w:divBdr>
    </w:div>
    <w:div w:id="637034550">
      <w:bodyDiv w:val="1"/>
      <w:marLeft w:val="0"/>
      <w:marRight w:val="0"/>
      <w:marTop w:val="0"/>
      <w:marBottom w:val="0"/>
      <w:divBdr>
        <w:top w:val="none" w:sz="0" w:space="0" w:color="auto"/>
        <w:left w:val="none" w:sz="0" w:space="0" w:color="auto"/>
        <w:bottom w:val="none" w:sz="0" w:space="0" w:color="auto"/>
        <w:right w:val="none" w:sz="0" w:space="0" w:color="auto"/>
      </w:divBdr>
    </w:div>
    <w:div w:id="637147456">
      <w:bodyDiv w:val="1"/>
      <w:marLeft w:val="0"/>
      <w:marRight w:val="0"/>
      <w:marTop w:val="0"/>
      <w:marBottom w:val="0"/>
      <w:divBdr>
        <w:top w:val="none" w:sz="0" w:space="0" w:color="auto"/>
        <w:left w:val="none" w:sz="0" w:space="0" w:color="auto"/>
        <w:bottom w:val="none" w:sz="0" w:space="0" w:color="auto"/>
        <w:right w:val="none" w:sz="0" w:space="0" w:color="auto"/>
      </w:divBdr>
    </w:div>
    <w:div w:id="637226678">
      <w:bodyDiv w:val="1"/>
      <w:marLeft w:val="0"/>
      <w:marRight w:val="0"/>
      <w:marTop w:val="0"/>
      <w:marBottom w:val="0"/>
      <w:divBdr>
        <w:top w:val="none" w:sz="0" w:space="0" w:color="auto"/>
        <w:left w:val="none" w:sz="0" w:space="0" w:color="auto"/>
        <w:bottom w:val="none" w:sz="0" w:space="0" w:color="auto"/>
        <w:right w:val="none" w:sz="0" w:space="0" w:color="auto"/>
      </w:divBdr>
    </w:div>
    <w:div w:id="637299403">
      <w:bodyDiv w:val="1"/>
      <w:marLeft w:val="0"/>
      <w:marRight w:val="0"/>
      <w:marTop w:val="0"/>
      <w:marBottom w:val="0"/>
      <w:divBdr>
        <w:top w:val="none" w:sz="0" w:space="0" w:color="auto"/>
        <w:left w:val="none" w:sz="0" w:space="0" w:color="auto"/>
        <w:bottom w:val="none" w:sz="0" w:space="0" w:color="auto"/>
        <w:right w:val="none" w:sz="0" w:space="0" w:color="auto"/>
      </w:divBdr>
    </w:div>
    <w:div w:id="637341968">
      <w:bodyDiv w:val="1"/>
      <w:marLeft w:val="0"/>
      <w:marRight w:val="0"/>
      <w:marTop w:val="0"/>
      <w:marBottom w:val="0"/>
      <w:divBdr>
        <w:top w:val="none" w:sz="0" w:space="0" w:color="auto"/>
        <w:left w:val="none" w:sz="0" w:space="0" w:color="auto"/>
        <w:bottom w:val="none" w:sz="0" w:space="0" w:color="auto"/>
        <w:right w:val="none" w:sz="0" w:space="0" w:color="auto"/>
      </w:divBdr>
    </w:div>
    <w:div w:id="637538201">
      <w:bodyDiv w:val="1"/>
      <w:marLeft w:val="0"/>
      <w:marRight w:val="0"/>
      <w:marTop w:val="0"/>
      <w:marBottom w:val="0"/>
      <w:divBdr>
        <w:top w:val="none" w:sz="0" w:space="0" w:color="auto"/>
        <w:left w:val="none" w:sz="0" w:space="0" w:color="auto"/>
        <w:bottom w:val="none" w:sz="0" w:space="0" w:color="auto"/>
        <w:right w:val="none" w:sz="0" w:space="0" w:color="auto"/>
      </w:divBdr>
    </w:div>
    <w:div w:id="637539668">
      <w:bodyDiv w:val="1"/>
      <w:marLeft w:val="0"/>
      <w:marRight w:val="0"/>
      <w:marTop w:val="0"/>
      <w:marBottom w:val="0"/>
      <w:divBdr>
        <w:top w:val="none" w:sz="0" w:space="0" w:color="auto"/>
        <w:left w:val="none" w:sz="0" w:space="0" w:color="auto"/>
        <w:bottom w:val="none" w:sz="0" w:space="0" w:color="auto"/>
        <w:right w:val="none" w:sz="0" w:space="0" w:color="auto"/>
      </w:divBdr>
    </w:div>
    <w:div w:id="637685755">
      <w:bodyDiv w:val="1"/>
      <w:marLeft w:val="0"/>
      <w:marRight w:val="0"/>
      <w:marTop w:val="0"/>
      <w:marBottom w:val="0"/>
      <w:divBdr>
        <w:top w:val="none" w:sz="0" w:space="0" w:color="auto"/>
        <w:left w:val="none" w:sz="0" w:space="0" w:color="auto"/>
        <w:bottom w:val="none" w:sz="0" w:space="0" w:color="auto"/>
        <w:right w:val="none" w:sz="0" w:space="0" w:color="auto"/>
      </w:divBdr>
    </w:div>
    <w:div w:id="637954875">
      <w:bodyDiv w:val="1"/>
      <w:marLeft w:val="0"/>
      <w:marRight w:val="0"/>
      <w:marTop w:val="0"/>
      <w:marBottom w:val="0"/>
      <w:divBdr>
        <w:top w:val="none" w:sz="0" w:space="0" w:color="auto"/>
        <w:left w:val="none" w:sz="0" w:space="0" w:color="auto"/>
        <w:bottom w:val="none" w:sz="0" w:space="0" w:color="auto"/>
        <w:right w:val="none" w:sz="0" w:space="0" w:color="auto"/>
      </w:divBdr>
    </w:div>
    <w:div w:id="637956256">
      <w:bodyDiv w:val="1"/>
      <w:marLeft w:val="0"/>
      <w:marRight w:val="0"/>
      <w:marTop w:val="0"/>
      <w:marBottom w:val="0"/>
      <w:divBdr>
        <w:top w:val="none" w:sz="0" w:space="0" w:color="auto"/>
        <w:left w:val="none" w:sz="0" w:space="0" w:color="auto"/>
        <w:bottom w:val="none" w:sz="0" w:space="0" w:color="auto"/>
        <w:right w:val="none" w:sz="0" w:space="0" w:color="auto"/>
      </w:divBdr>
    </w:div>
    <w:div w:id="637958700">
      <w:bodyDiv w:val="1"/>
      <w:marLeft w:val="0"/>
      <w:marRight w:val="0"/>
      <w:marTop w:val="0"/>
      <w:marBottom w:val="0"/>
      <w:divBdr>
        <w:top w:val="none" w:sz="0" w:space="0" w:color="auto"/>
        <w:left w:val="none" w:sz="0" w:space="0" w:color="auto"/>
        <w:bottom w:val="none" w:sz="0" w:space="0" w:color="auto"/>
        <w:right w:val="none" w:sz="0" w:space="0" w:color="auto"/>
      </w:divBdr>
    </w:div>
    <w:div w:id="637995501">
      <w:bodyDiv w:val="1"/>
      <w:marLeft w:val="0"/>
      <w:marRight w:val="0"/>
      <w:marTop w:val="0"/>
      <w:marBottom w:val="0"/>
      <w:divBdr>
        <w:top w:val="none" w:sz="0" w:space="0" w:color="auto"/>
        <w:left w:val="none" w:sz="0" w:space="0" w:color="auto"/>
        <w:bottom w:val="none" w:sz="0" w:space="0" w:color="auto"/>
        <w:right w:val="none" w:sz="0" w:space="0" w:color="auto"/>
      </w:divBdr>
    </w:div>
    <w:div w:id="637997328">
      <w:bodyDiv w:val="1"/>
      <w:marLeft w:val="0"/>
      <w:marRight w:val="0"/>
      <w:marTop w:val="0"/>
      <w:marBottom w:val="0"/>
      <w:divBdr>
        <w:top w:val="none" w:sz="0" w:space="0" w:color="auto"/>
        <w:left w:val="none" w:sz="0" w:space="0" w:color="auto"/>
        <w:bottom w:val="none" w:sz="0" w:space="0" w:color="auto"/>
        <w:right w:val="none" w:sz="0" w:space="0" w:color="auto"/>
      </w:divBdr>
    </w:div>
    <w:div w:id="638071081">
      <w:bodyDiv w:val="1"/>
      <w:marLeft w:val="0"/>
      <w:marRight w:val="0"/>
      <w:marTop w:val="0"/>
      <w:marBottom w:val="0"/>
      <w:divBdr>
        <w:top w:val="none" w:sz="0" w:space="0" w:color="auto"/>
        <w:left w:val="none" w:sz="0" w:space="0" w:color="auto"/>
        <w:bottom w:val="none" w:sz="0" w:space="0" w:color="auto"/>
        <w:right w:val="none" w:sz="0" w:space="0" w:color="auto"/>
      </w:divBdr>
    </w:div>
    <w:div w:id="638072224">
      <w:bodyDiv w:val="1"/>
      <w:marLeft w:val="0"/>
      <w:marRight w:val="0"/>
      <w:marTop w:val="0"/>
      <w:marBottom w:val="0"/>
      <w:divBdr>
        <w:top w:val="none" w:sz="0" w:space="0" w:color="auto"/>
        <w:left w:val="none" w:sz="0" w:space="0" w:color="auto"/>
        <w:bottom w:val="none" w:sz="0" w:space="0" w:color="auto"/>
        <w:right w:val="none" w:sz="0" w:space="0" w:color="auto"/>
      </w:divBdr>
    </w:div>
    <w:div w:id="638153329">
      <w:bodyDiv w:val="1"/>
      <w:marLeft w:val="0"/>
      <w:marRight w:val="0"/>
      <w:marTop w:val="0"/>
      <w:marBottom w:val="0"/>
      <w:divBdr>
        <w:top w:val="none" w:sz="0" w:space="0" w:color="auto"/>
        <w:left w:val="none" w:sz="0" w:space="0" w:color="auto"/>
        <w:bottom w:val="none" w:sz="0" w:space="0" w:color="auto"/>
        <w:right w:val="none" w:sz="0" w:space="0" w:color="auto"/>
      </w:divBdr>
    </w:div>
    <w:div w:id="638189621">
      <w:bodyDiv w:val="1"/>
      <w:marLeft w:val="0"/>
      <w:marRight w:val="0"/>
      <w:marTop w:val="0"/>
      <w:marBottom w:val="0"/>
      <w:divBdr>
        <w:top w:val="none" w:sz="0" w:space="0" w:color="auto"/>
        <w:left w:val="none" w:sz="0" w:space="0" w:color="auto"/>
        <w:bottom w:val="none" w:sz="0" w:space="0" w:color="auto"/>
        <w:right w:val="none" w:sz="0" w:space="0" w:color="auto"/>
      </w:divBdr>
    </w:div>
    <w:div w:id="638189801">
      <w:bodyDiv w:val="1"/>
      <w:marLeft w:val="0"/>
      <w:marRight w:val="0"/>
      <w:marTop w:val="0"/>
      <w:marBottom w:val="0"/>
      <w:divBdr>
        <w:top w:val="none" w:sz="0" w:space="0" w:color="auto"/>
        <w:left w:val="none" w:sz="0" w:space="0" w:color="auto"/>
        <w:bottom w:val="none" w:sz="0" w:space="0" w:color="auto"/>
        <w:right w:val="none" w:sz="0" w:space="0" w:color="auto"/>
      </w:divBdr>
    </w:div>
    <w:div w:id="638387896">
      <w:bodyDiv w:val="1"/>
      <w:marLeft w:val="0"/>
      <w:marRight w:val="0"/>
      <w:marTop w:val="0"/>
      <w:marBottom w:val="0"/>
      <w:divBdr>
        <w:top w:val="none" w:sz="0" w:space="0" w:color="auto"/>
        <w:left w:val="none" w:sz="0" w:space="0" w:color="auto"/>
        <w:bottom w:val="none" w:sz="0" w:space="0" w:color="auto"/>
        <w:right w:val="none" w:sz="0" w:space="0" w:color="auto"/>
      </w:divBdr>
    </w:div>
    <w:div w:id="638417797">
      <w:bodyDiv w:val="1"/>
      <w:marLeft w:val="0"/>
      <w:marRight w:val="0"/>
      <w:marTop w:val="0"/>
      <w:marBottom w:val="0"/>
      <w:divBdr>
        <w:top w:val="none" w:sz="0" w:space="0" w:color="auto"/>
        <w:left w:val="none" w:sz="0" w:space="0" w:color="auto"/>
        <w:bottom w:val="none" w:sz="0" w:space="0" w:color="auto"/>
        <w:right w:val="none" w:sz="0" w:space="0" w:color="auto"/>
      </w:divBdr>
    </w:div>
    <w:div w:id="638461661">
      <w:bodyDiv w:val="1"/>
      <w:marLeft w:val="0"/>
      <w:marRight w:val="0"/>
      <w:marTop w:val="0"/>
      <w:marBottom w:val="0"/>
      <w:divBdr>
        <w:top w:val="none" w:sz="0" w:space="0" w:color="auto"/>
        <w:left w:val="none" w:sz="0" w:space="0" w:color="auto"/>
        <w:bottom w:val="none" w:sz="0" w:space="0" w:color="auto"/>
        <w:right w:val="none" w:sz="0" w:space="0" w:color="auto"/>
      </w:divBdr>
    </w:div>
    <w:div w:id="638464621">
      <w:bodyDiv w:val="1"/>
      <w:marLeft w:val="0"/>
      <w:marRight w:val="0"/>
      <w:marTop w:val="0"/>
      <w:marBottom w:val="0"/>
      <w:divBdr>
        <w:top w:val="none" w:sz="0" w:space="0" w:color="auto"/>
        <w:left w:val="none" w:sz="0" w:space="0" w:color="auto"/>
        <w:bottom w:val="none" w:sz="0" w:space="0" w:color="auto"/>
        <w:right w:val="none" w:sz="0" w:space="0" w:color="auto"/>
      </w:divBdr>
    </w:div>
    <w:div w:id="638537757">
      <w:bodyDiv w:val="1"/>
      <w:marLeft w:val="0"/>
      <w:marRight w:val="0"/>
      <w:marTop w:val="0"/>
      <w:marBottom w:val="0"/>
      <w:divBdr>
        <w:top w:val="none" w:sz="0" w:space="0" w:color="auto"/>
        <w:left w:val="none" w:sz="0" w:space="0" w:color="auto"/>
        <w:bottom w:val="none" w:sz="0" w:space="0" w:color="auto"/>
        <w:right w:val="none" w:sz="0" w:space="0" w:color="auto"/>
      </w:divBdr>
    </w:div>
    <w:div w:id="638724280">
      <w:bodyDiv w:val="1"/>
      <w:marLeft w:val="0"/>
      <w:marRight w:val="0"/>
      <w:marTop w:val="0"/>
      <w:marBottom w:val="0"/>
      <w:divBdr>
        <w:top w:val="none" w:sz="0" w:space="0" w:color="auto"/>
        <w:left w:val="none" w:sz="0" w:space="0" w:color="auto"/>
        <w:bottom w:val="none" w:sz="0" w:space="0" w:color="auto"/>
        <w:right w:val="none" w:sz="0" w:space="0" w:color="auto"/>
      </w:divBdr>
    </w:div>
    <w:div w:id="638732432">
      <w:bodyDiv w:val="1"/>
      <w:marLeft w:val="0"/>
      <w:marRight w:val="0"/>
      <w:marTop w:val="0"/>
      <w:marBottom w:val="0"/>
      <w:divBdr>
        <w:top w:val="none" w:sz="0" w:space="0" w:color="auto"/>
        <w:left w:val="none" w:sz="0" w:space="0" w:color="auto"/>
        <w:bottom w:val="none" w:sz="0" w:space="0" w:color="auto"/>
        <w:right w:val="none" w:sz="0" w:space="0" w:color="auto"/>
      </w:divBdr>
    </w:div>
    <w:div w:id="638846828">
      <w:bodyDiv w:val="1"/>
      <w:marLeft w:val="0"/>
      <w:marRight w:val="0"/>
      <w:marTop w:val="0"/>
      <w:marBottom w:val="0"/>
      <w:divBdr>
        <w:top w:val="none" w:sz="0" w:space="0" w:color="auto"/>
        <w:left w:val="none" w:sz="0" w:space="0" w:color="auto"/>
        <w:bottom w:val="none" w:sz="0" w:space="0" w:color="auto"/>
        <w:right w:val="none" w:sz="0" w:space="0" w:color="auto"/>
      </w:divBdr>
    </w:div>
    <w:div w:id="638921804">
      <w:bodyDiv w:val="1"/>
      <w:marLeft w:val="0"/>
      <w:marRight w:val="0"/>
      <w:marTop w:val="0"/>
      <w:marBottom w:val="0"/>
      <w:divBdr>
        <w:top w:val="none" w:sz="0" w:space="0" w:color="auto"/>
        <w:left w:val="none" w:sz="0" w:space="0" w:color="auto"/>
        <w:bottom w:val="none" w:sz="0" w:space="0" w:color="auto"/>
        <w:right w:val="none" w:sz="0" w:space="0" w:color="auto"/>
      </w:divBdr>
    </w:div>
    <w:div w:id="638993240">
      <w:bodyDiv w:val="1"/>
      <w:marLeft w:val="0"/>
      <w:marRight w:val="0"/>
      <w:marTop w:val="0"/>
      <w:marBottom w:val="0"/>
      <w:divBdr>
        <w:top w:val="none" w:sz="0" w:space="0" w:color="auto"/>
        <w:left w:val="none" w:sz="0" w:space="0" w:color="auto"/>
        <w:bottom w:val="none" w:sz="0" w:space="0" w:color="auto"/>
        <w:right w:val="none" w:sz="0" w:space="0" w:color="auto"/>
      </w:divBdr>
    </w:div>
    <w:div w:id="639312674">
      <w:bodyDiv w:val="1"/>
      <w:marLeft w:val="0"/>
      <w:marRight w:val="0"/>
      <w:marTop w:val="0"/>
      <w:marBottom w:val="0"/>
      <w:divBdr>
        <w:top w:val="none" w:sz="0" w:space="0" w:color="auto"/>
        <w:left w:val="none" w:sz="0" w:space="0" w:color="auto"/>
        <w:bottom w:val="none" w:sz="0" w:space="0" w:color="auto"/>
        <w:right w:val="none" w:sz="0" w:space="0" w:color="auto"/>
      </w:divBdr>
    </w:div>
    <w:div w:id="639379296">
      <w:bodyDiv w:val="1"/>
      <w:marLeft w:val="0"/>
      <w:marRight w:val="0"/>
      <w:marTop w:val="0"/>
      <w:marBottom w:val="0"/>
      <w:divBdr>
        <w:top w:val="none" w:sz="0" w:space="0" w:color="auto"/>
        <w:left w:val="none" w:sz="0" w:space="0" w:color="auto"/>
        <w:bottom w:val="none" w:sz="0" w:space="0" w:color="auto"/>
        <w:right w:val="none" w:sz="0" w:space="0" w:color="auto"/>
      </w:divBdr>
    </w:div>
    <w:div w:id="639379814">
      <w:bodyDiv w:val="1"/>
      <w:marLeft w:val="0"/>
      <w:marRight w:val="0"/>
      <w:marTop w:val="0"/>
      <w:marBottom w:val="0"/>
      <w:divBdr>
        <w:top w:val="none" w:sz="0" w:space="0" w:color="auto"/>
        <w:left w:val="none" w:sz="0" w:space="0" w:color="auto"/>
        <w:bottom w:val="none" w:sz="0" w:space="0" w:color="auto"/>
        <w:right w:val="none" w:sz="0" w:space="0" w:color="auto"/>
      </w:divBdr>
    </w:div>
    <w:div w:id="639505471">
      <w:bodyDiv w:val="1"/>
      <w:marLeft w:val="0"/>
      <w:marRight w:val="0"/>
      <w:marTop w:val="0"/>
      <w:marBottom w:val="0"/>
      <w:divBdr>
        <w:top w:val="none" w:sz="0" w:space="0" w:color="auto"/>
        <w:left w:val="none" w:sz="0" w:space="0" w:color="auto"/>
        <w:bottom w:val="none" w:sz="0" w:space="0" w:color="auto"/>
        <w:right w:val="none" w:sz="0" w:space="0" w:color="auto"/>
      </w:divBdr>
    </w:div>
    <w:div w:id="639533024">
      <w:bodyDiv w:val="1"/>
      <w:marLeft w:val="0"/>
      <w:marRight w:val="0"/>
      <w:marTop w:val="0"/>
      <w:marBottom w:val="0"/>
      <w:divBdr>
        <w:top w:val="none" w:sz="0" w:space="0" w:color="auto"/>
        <w:left w:val="none" w:sz="0" w:space="0" w:color="auto"/>
        <w:bottom w:val="none" w:sz="0" w:space="0" w:color="auto"/>
        <w:right w:val="none" w:sz="0" w:space="0" w:color="auto"/>
      </w:divBdr>
    </w:div>
    <w:div w:id="639572855">
      <w:bodyDiv w:val="1"/>
      <w:marLeft w:val="0"/>
      <w:marRight w:val="0"/>
      <w:marTop w:val="0"/>
      <w:marBottom w:val="0"/>
      <w:divBdr>
        <w:top w:val="none" w:sz="0" w:space="0" w:color="auto"/>
        <w:left w:val="none" w:sz="0" w:space="0" w:color="auto"/>
        <w:bottom w:val="none" w:sz="0" w:space="0" w:color="auto"/>
        <w:right w:val="none" w:sz="0" w:space="0" w:color="auto"/>
      </w:divBdr>
    </w:div>
    <w:div w:id="639574233">
      <w:bodyDiv w:val="1"/>
      <w:marLeft w:val="0"/>
      <w:marRight w:val="0"/>
      <w:marTop w:val="0"/>
      <w:marBottom w:val="0"/>
      <w:divBdr>
        <w:top w:val="none" w:sz="0" w:space="0" w:color="auto"/>
        <w:left w:val="none" w:sz="0" w:space="0" w:color="auto"/>
        <w:bottom w:val="none" w:sz="0" w:space="0" w:color="auto"/>
        <w:right w:val="none" w:sz="0" w:space="0" w:color="auto"/>
      </w:divBdr>
    </w:div>
    <w:div w:id="639575299">
      <w:bodyDiv w:val="1"/>
      <w:marLeft w:val="0"/>
      <w:marRight w:val="0"/>
      <w:marTop w:val="0"/>
      <w:marBottom w:val="0"/>
      <w:divBdr>
        <w:top w:val="none" w:sz="0" w:space="0" w:color="auto"/>
        <w:left w:val="none" w:sz="0" w:space="0" w:color="auto"/>
        <w:bottom w:val="none" w:sz="0" w:space="0" w:color="auto"/>
        <w:right w:val="none" w:sz="0" w:space="0" w:color="auto"/>
      </w:divBdr>
    </w:div>
    <w:div w:id="639774102">
      <w:bodyDiv w:val="1"/>
      <w:marLeft w:val="0"/>
      <w:marRight w:val="0"/>
      <w:marTop w:val="0"/>
      <w:marBottom w:val="0"/>
      <w:divBdr>
        <w:top w:val="none" w:sz="0" w:space="0" w:color="auto"/>
        <w:left w:val="none" w:sz="0" w:space="0" w:color="auto"/>
        <w:bottom w:val="none" w:sz="0" w:space="0" w:color="auto"/>
        <w:right w:val="none" w:sz="0" w:space="0" w:color="auto"/>
      </w:divBdr>
    </w:div>
    <w:div w:id="639960844">
      <w:bodyDiv w:val="1"/>
      <w:marLeft w:val="0"/>
      <w:marRight w:val="0"/>
      <w:marTop w:val="0"/>
      <w:marBottom w:val="0"/>
      <w:divBdr>
        <w:top w:val="none" w:sz="0" w:space="0" w:color="auto"/>
        <w:left w:val="none" w:sz="0" w:space="0" w:color="auto"/>
        <w:bottom w:val="none" w:sz="0" w:space="0" w:color="auto"/>
        <w:right w:val="none" w:sz="0" w:space="0" w:color="auto"/>
      </w:divBdr>
    </w:div>
    <w:div w:id="640036797">
      <w:bodyDiv w:val="1"/>
      <w:marLeft w:val="0"/>
      <w:marRight w:val="0"/>
      <w:marTop w:val="0"/>
      <w:marBottom w:val="0"/>
      <w:divBdr>
        <w:top w:val="none" w:sz="0" w:space="0" w:color="auto"/>
        <w:left w:val="none" w:sz="0" w:space="0" w:color="auto"/>
        <w:bottom w:val="none" w:sz="0" w:space="0" w:color="auto"/>
        <w:right w:val="none" w:sz="0" w:space="0" w:color="auto"/>
      </w:divBdr>
    </w:div>
    <w:div w:id="640038815">
      <w:bodyDiv w:val="1"/>
      <w:marLeft w:val="0"/>
      <w:marRight w:val="0"/>
      <w:marTop w:val="0"/>
      <w:marBottom w:val="0"/>
      <w:divBdr>
        <w:top w:val="none" w:sz="0" w:space="0" w:color="auto"/>
        <w:left w:val="none" w:sz="0" w:space="0" w:color="auto"/>
        <w:bottom w:val="none" w:sz="0" w:space="0" w:color="auto"/>
        <w:right w:val="none" w:sz="0" w:space="0" w:color="auto"/>
      </w:divBdr>
    </w:div>
    <w:div w:id="640042482">
      <w:bodyDiv w:val="1"/>
      <w:marLeft w:val="0"/>
      <w:marRight w:val="0"/>
      <w:marTop w:val="0"/>
      <w:marBottom w:val="0"/>
      <w:divBdr>
        <w:top w:val="none" w:sz="0" w:space="0" w:color="auto"/>
        <w:left w:val="none" w:sz="0" w:space="0" w:color="auto"/>
        <w:bottom w:val="none" w:sz="0" w:space="0" w:color="auto"/>
        <w:right w:val="none" w:sz="0" w:space="0" w:color="auto"/>
      </w:divBdr>
    </w:div>
    <w:div w:id="640043581">
      <w:bodyDiv w:val="1"/>
      <w:marLeft w:val="0"/>
      <w:marRight w:val="0"/>
      <w:marTop w:val="0"/>
      <w:marBottom w:val="0"/>
      <w:divBdr>
        <w:top w:val="none" w:sz="0" w:space="0" w:color="auto"/>
        <w:left w:val="none" w:sz="0" w:space="0" w:color="auto"/>
        <w:bottom w:val="none" w:sz="0" w:space="0" w:color="auto"/>
        <w:right w:val="none" w:sz="0" w:space="0" w:color="auto"/>
      </w:divBdr>
    </w:div>
    <w:div w:id="640113379">
      <w:bodyDiv w:val="1"/>
      <w:marLeft w:val="0"/>
      <w:marRight w:val="0"/>
      <w:marTop w:val="0"/>
      <w:marBottom w:val="0"/>
      <w:divBdr>
        <w:top w:val="none" w:sz="0" w:space="0" w:color="auto"/>
        <w:left w:val="none" w:sz="0" w:space="0" w:color="auto"/>
        <w:bottom w:val="none" w:sz="0" w:space="0" w:color="auto"/>
        <w:right w:val="none" w:sz="0" w:space="0" w:color="auto"/>
      </w:divBdr>
    </w:div>
    <w:div w:id="640116858">
      <w:bodyDiv w:val="1"/>
      <w:marLeft w:val="0"/>
      <w:marRight w:val="0"/>
      <w:marTop w:val="0"/>
      <w:marBottom w:val="0"/>
      <w:divBdr>
        <w:top w:val="none" w:sz="0" w:space="0" w:color="auto"/>
        <w:left w:val="none" w:sz="0" w:space="0" w:color="auto"/>
        <w:bottom w:val="none" w:sz="0" w:space="0" w:color="auto"/>
        <w:right w:val="none" w:sz="0" w:space="0" w:color="auto"/>
      </w:divBdr>
    </w:div>
    <w:div w:id="640310252">
      <w:bodyDiv w:val="1"/>
      <w:marLeft w:val="0"/>
      <w:marRight w:val="0"/>
      <w:marTop w:val="0"/>
      <w:marBottom w:val="0"/>
      <w:divBdr>
        <w:top w:val="none" w:sz="0" w:space="0" w:color="auto"/>
        <w:left w:val="none" w:sz="0" w:space="0" w:color="auto"/>
        <w:bottom w:val="none" w:sz="0" w:space="0" w:color="auto"/>
        <w:right w:val="none" w:sz="0" w:space="0" w:color="auto"/>
      </w:divBdr>
    </w:div>
    <w:div w:id="640353653">
      <w:bodyDiv w:val="1"/>
      <w:marLeft w:val="0"/>
      <w:marRight w:val="0"/>
      <w:marTop w:val="0"/>
      <w:marBottom w:val="0"/>
      <w:divBdr>
        <w:top w:val="none" w:sz="0" w:space="0" w:color="auto"/>
        <w:left w:val="none" w:sz="0" w:space="0" w:color="auto"/>
        <w:bottom w:val="none" w:sz="0" w:space="0" w:color="auto"/>
        <w:right w:val="none" w:sz="0" w:space="0" w:color="auto"/>
      </w:divBdr>
    </w:div>
    <w:div w:id="640355302">
      <w:bodyDiv w:val="1"/>
      <w:marLeft w:val="0"/>
      <w:marRight w:val="0"/>
      <w:marTop w:val="0"/>
      <w:marBottom w:val="0"/>
      <w:divBdr>
        <w:top w:val="none" w:sz="0" w:space="0" w:color="auto"/>
        <w:left w:val="none" w:sz="0" w:space="0" w:color="auto"/>
        <w:bottom w:val="none" w:sz="0" w:space="0" w:color="auto"/>
        <w:right w:val="none" w:sz="0" w:space="0" w:color="auto"/>
      </w:divBdr>
    </w:div>
    <w:div w:id="640429170">
      <w:bodyDiv w:val="1"/>
      <w:marLeft w:val="0"/>
      <w:marRight w:val="0"/>
      <w:marTop w:val="0"/>
      <w:marBottom w:val="0"/>
      <w:divBdr>
        <w:top w:val="none" w:sz="0" w:space="0" w:color="auto"/>
        <w:left w:val="none" w:sz="0" w:space="0" w:color="auto"/>
        <w:bottom w:val="none" w:sz="0" w:space="0" w:color="auto"/>
        <w:right w:val="none" w:sz="0" w:space="0" w:color="auto"/>
      </w:divBdr>
    </w:div>
    <w:div w:id="640690820">
      <w:bodyDiv w:val="1"/>
      <w:marLeft w:val="0"/>
      <w:marRight w:val="0"/>
      <w:marTop w:val="0"/>
      <w:marBottom w:val="0"/>
      <w:divBdr>
        <w:top w:val="none" w:sz="0" w:space="0" w:color="auto"/>
        <w:left w:val="none" w:sz="0" w:space="0" w:color="auto"/>
        <w:bottom w:val="none" w:sz="0" w:space="0" w:color="auto"/>
        <w:right w:val="none" w:sz="0" w:space="0" w:color="auto"/>
      </w:divBdr>
    </w:div>
    <w:div w:id="640768520">
      <w:bodyDiv w:val="1"/>
      <w:marLeft w:val="0"/>
      <w:marRight w:val="0"/>
      <w:marTop w:val="0"/>
      <w:marBottom w:val="0"/>
      <w:divBdr>
        <w:top w:val="none" w:sz="0" w:space="0" w:color="auto"/>
        <w:left w:val="none" w:sz="0" w:space="0" w:color="auto"/>
        <w:bottom w:val="none" w:sz="0" w:space="0" w:color="auto"/>
        <w:right w:val="none" w:sz="0" w:space="0" w:color="auto"/>
      </w:divBdr>
    </w:div>
    <w:div w:id="640840776">
      <w:bodyDiv w:val="1"/>
      <w:marLeft w:val="0"/>
      <w:marRight w:val="0"/>
      <w:marTop w:val="0"/>
      <w:marBottom w:val="0"/>
      <w:divBdr>
        <w:top w:val="none" w:sz="0" w:space="0" w:color="auto"/>
        <w:left w:val="none" w:sz="0" w:space="0" w:color="auto"/>
        <w:bottom w:val="none" w:sz="0" w:space="0" w:color="auto"/>
        <w:right w:val="none" w:sz="0" w:space="0" w:color="auto"/>
      </w:divBdr>
    </w:div>
    <w:div w:id="640884659">
      <w:bodyDiv w:val="1"/>
      <w:marLeft w:val="0"/>
      <w:marRight w:val="0"/>
      <w:marTop w:val="0"/>
      <w:marBottom w:val="0"/>
      <w:divBdr>
        <w:top w:val="none" w:sz="0" w:space="0" w:color="auto"/>
        <w:left w:val="none" w:sz="0" w:space="0" w:color="auto"/>
        <w:bottom w:val="none" w:sz="0" w:space="0" w:color="auto"/>
        <w:right w:val="none" w:sz="0" w:space="0" w:color="auto"/>
      </w:divBdr>
    </w:div>
    <w:div w:id="640885950">
      <w:bodyDiv w:val="1"/>
      <w:marLeft w:val="0"/>
      <w:marRight w:val="0"/>
      <w:marTop w:val="0"/>
      <w:marBottom w:val="0"/>
      <w:divBdr>
        <w:top w:val="none" w:sz="0" w:space="0" w:color="auto"/>
        <w:left w:val="none" w:sz="0" w:space="0" w:color="auto"/>
        <w:bottom w:val="none" w:sz="0" w:space="0" w:color="auto"/>
        <w:right w:val="none" w:sz="0" w:space="0" w:color="auto"/>
      </w:divBdr>
    </w:div>
    <w:div w:id="640959029">
      <w:bodyDiv w:val="1"/>
      <w:marLeft w:val="0"/>
      <w:marRight w:val="0"/>
      <w:marTop w:val="0"/>
      <w:marBottom w:val="0"/>
      <w:divBdr>
        <w:top w:val="none" w:sz="0" w:space="0" w:color="auto"/>
        <w:left w:val="none" w:sz="0" w:space="0" w:color="auto"/>
        <w:bottom w:val="none" w:sz="0" w:space="0" w:color="auto"/>
        <w:right w:val="none" w:sz="0" w:space="0" w:color="auto"/>
      </w:divBdr>
    </w:div>
    <w:div w:id="640960668">
      <w:bodyDiv w:val="1"/>
      <w:marLeft w:val="0"/>
      <w:marRight w:val="0"/>
      <w:marTop w:val="0"/>
      <w:marBottom w:val="0"/>
      <w:divBdr>
        <w:top w:val="none" w:sz="0" w:space="0" w:color="auto"/>
        <w:left w:val="none" w:sz="0" w:space="0" w:color="auto"/>
        <w:bottom w:val="none" w:sz="0" w:space="0" w:color="auto"/>
        <w:right w:val="none" w:sz="0" w:space="0" w:color="auto"/>
      </w:divBdr>
    </w:div>
    <w:div w:id="641037978">
      <w:bodyDiv w:val="1"/>
      <w:marLeft w:val="0"/>
      <w:marRight w:val="0"/>
      <w:marTop w:val="0"/>
      <w:marBottom w:val="0"/>
      <w:divBdr>
        <w:top w:val="none" w:sz="0" w:space="0" w:color="auto"/>
        <w:left w:val="none" w:sz="0" w:space="0" w:color="auto"/>
        <w:bottom w:val="none" w:sz="0" w:space="0" w:color="auto"/>
        <w:right w:val="none" w:sz="0" w:space="0" w:color="auto"/>
      </w:divBdr>
    </w:div>
    <w:div w:id="641085227">
      <w:bodyDiv w:val="1"/>
      <w:marLeft w:val="0"/>
      <w:marRight w:val="0"/>
      <w:marTop w:val="0"/>
      <w:marBottom w:val="0"/>
      <w:divBdr>
        <w:top w:val="none" w:sz="0" w:space="0" w:color="auto"/>
        <w:left w:val="none" w:sz="0" w:space="0" w:color="auto"/>
        <w:bottom w:val="none" w:sz="0" w:space="0" w:color="auto"/>
        <w:right w:val="none" w:sz="0" w:space="0" w:color="auto"/>
      </w:divBdr>
    </w:div>
    <w:div w:id="641155483">
      <w:bodyDiv w:val="1"/>
      <w:marLeft w:val="0"/>
      <w:marRight w:val="0"/>
      <w:marTop w:val="0"/>
      <w:marBottom w:val="0"/>
      <w:divBdr>
        <w:top w:val="none" w:sz="0" w:space="0" w:color="auto"/>
        <w:left w:val="none" w:sz="0" w:space="0" w:color="auto"/>
        <w:bottom w:val="none" w:sz="0" w:space="0" w:color="auto"/>
        <w:right w:val="none" w:sz="0" w:space="0" w:color="auto"/>
      </w:divBdr>
    </w:div>
    <w:div w:id="641155913">
      <w:bodyDiv w:val="1"/>
      <w:marLeft w:val="0"/>
      <w:marRight w:val="0"/>
      <w:marTop w:val="0"/>
      <w:marBottom w:val="0"/>
      <w:divBdr>
        <w:top w:val="none" w:sz="0" w:space="0" w:color="auto"/>
        <w:left w:val="none" w:sz="0" w:space="0" w:color="auto"/>
        <w:bottom w:val="none" w:sz="0" w:space="0" w:color="auto"/>
        <w:right w:val="none" w:sz="0" w:space="0" w:color="auto"/>
      </w:divBdr>
    </w:div>
    <w:div w:id="641663037">
      <w:bodyDiv w:val="1"/>
      <w:marLeft w:val="0"/>
      <w:marRight w:val="0"/>
      <w:marTop w:val="0"/>
      <w:marBottom w:val="0"/>
      <w:divBdr>
        <w:top w:val="none" w:sz="0" w:space="0" w:color="auto"/>
        <w:left w:val="none" w:sz="0" w:space="0" w:color="auto"/>
        <w:bottom w:val="none" w:sz="0" w:space="0" w:color="auto"/>
        <w:right w:val="none" w:sz="0" w:space="0" w:color="auto"/>
      </w:divBdr>
    </w:div>
    <w:div w:id="641691141">
      <w:bodyDiv w:val="1"/>
      <w:marLeft w:val="0"/>
      <w:marRight w:val="0"/>
      <w:marTop w:val="0"/>
      <w:marBottom w:val="0"/>
      <w:divBdr>
        <w:top w:val="none" w:sz="0" w:space="0" w:color="auto"/>
        <w:left w:val="none" w:sz="0" w:space="0" w:color="auto"/>
        <w:bottom w:val="none" w:sz="0" w:space="0" w:color="auto"/>
        <w:right w:val="none" w:sz="0" w:space="0" w:color="auto"/>
      </w:divBdr>
    </w:div>
    <w:div w:id="641732038">
      <w:bodyDiv w:val="1"/>
      <w:marLeft w:val="0"/>
      <w:marRight w:val="0"/>
      <w:marTop w:val="0"/>
      <w:marBottom w:val="0"/>
      <w:divBdr>
        <w:top w:val="none" w:sz="0" w:space="0" w:color="auto"/>
        <w:left w:val="none" w:sz="0" w:space="0" w:color="auto"/>
        <w:bottom w:val="none" w:sz="0" w:space="0" w:color="auto"/>
        <w:right w:val="none" w:sz="0" w:space="0" w:color="auto"/>
      </w:divBdr>
    </w:div>
    <w:div w:id="641734118">
      <w:bodyDiv w:val="1"/>
      <w:marLeft w:val="0"/>
      <w:marRight w:val="0"/>
      <w:marTop w:val="0"/>
      <w:marBottom w:val="0"/>
      <w:divBdr>
        <w:top w:val="none" w:sz="0" w:space="0" w:color="auto"/>
        <w:left w:val="none" w:sz="0" w:space="0" w:color="auto"/>
        <w:bottom w:val="none" w:sz="0" w:space="0" w:color="auto"/>
        <w:right w:val="none" w:sz="0" w:space="0" w:color="auto"/>
      </w:divBdr>
    </w:div>
    <w:div w:id="641810342">
      <w:bodyDiv w:val="1"/>
      <w:marLeft w:val="0"/>
      <w:marRight w:val="0"/>
      <w:marTop w:val="0"/>
      <w:marBottom w:val="0"/>
      <w:divBdr>
        <w:top w:val="none" w:sz="0" w:space="0" w:color="auto"/>
        <w:left w:val="none" w:sz="0" w:space="0" w:color="auto"/>
        <w:bottom w:val="none" w:sz="0" w:space="0" w:color="auto"/>
        <w:right w:val="none" w:sz="0" w:space="0" w:color="auto"/>
      </w:divBdr>
    </w:div>
    <w:div w:id="641812498">
      <w:bodyDiv w:val="1"/>
      <w:marLeft w:val="0"/>
      <w:marRight w:val="0"/>
      <w:marTop w:val="0"/>
      <w:marBottom w:val="0"/>
      <w:divBdr>
        <w:top w:val="none" w:sz="0" w:space="0" w:color="auto"/>
        <w:left w:val="none" w:sz="0" w:space="0" w:color="auto"/>
        <w:bottom w:val="none" w:sz="0" w:space="0" w:color="auto"/>
        <w:right w:val="none" w:sz="0" w:space="0" w:color="auto"/>
      </w:divBdr>
    </w:div>
    <w:div w:id="641925861">
      <w:bodyDiv w:val="1"/>
      <w:marLeft w:val="0"/>
      <w:marRight w:val="0"/>
      <w:marTop w:val="0"/>
      <w:marBottom w:val="0"/>
      <w:divBdr>
        <w:top w:val="none" w:sz="0" w:space="0" w:color="auto"/>
        <w:left w:val="none" w:sz="0" w:space="0" w:color="auto"/>
        <w:bottom w:val="none" w:sz="0" w:space="0" w:color="auto"/>
        <w:right w:val="none" w:sz="0" w:space="0" w:color="auto"/>
      </w:divBdr>
    </w:div>
    <w:div w:id="641927770">
      <w:bodyDiv w:val="1"/>
      <w:marLeft w:val="0"/>
      <w:marRight w:val="0"/>
      <w:marTop w:val="0"/>
      <w:marBottom w:val="0"/>
      <w:divBdr>
        <w:top w:val="none" w:sz="0" w:space="0" w:color="auto"/>
        <w:left w:val="none" w:sz="0" w:space="0" w:color="auto"/>
        <w:bottom w:val="none" w:sz="0" w:space="0" w:color="auto"/>
        <w:right w:val="none" w:sz="0" w:space="0" w:color="auto"/>
      </w:divBdr>
    </w:div>
    <w:div w:id="642005117">
      <w:bodyDiv w:val="1"/>
      <w:marLeft w:val="0"/>
      <w:marRight w:val="0"/>
      <w:marTop w:val="0"/>
      <w:marBottom w:val="0"/>
      <w:divBdr>
        <w:top w:val="none" w:sz="0" w:space="0" w:color="auto"/>
        <w:left w:val="none" w:sz="0" w:space="0" w:color="auto"/>
        <w:bottom w:val="none" w:sz="0" w:space="0" w:color="auto"/>
        <w:right w:val="none" w:sz="0" w:space="0" w:color="auto"/>
      </w:divBdr>
    </w:div>
    <w:div w:id="642075613">
      <w:bodyDiv w:val="1"/>
      <w:marLeft w:val="0"/>
      <w:marRight w:val="0"/>
      <w:marTop w:val="0"/>
      <w:marBottom w:val="0"/>
      <w:divBdr>
        <w:top w:val="none" w:sz="0" w:space="0" w:color="auto"/>
        <w:left w:val="none" w:sz="0" w:space="0" w:color="auto"/>
        <w:bottom w:val="none" w:sz="0" w:space="0" w:color="auto"/>
        <w:right w:val="none" w:sz="0" w:space="0" w:color="auto"/>
      </w:divBdr>
    </w:div>
    <w:div w:id="642084388">
      <w:bodyDiv w:val="1"/>
      <w:marLeft w:val="0"/>
      <w:marRight w:val="0"/>
      <w:marTop w:val="0"/>
      <w:marBottom w:val="0"/>
      <w:divBdr>
        <w:top w:val="none" w:sz="0" w:space="0" w:color="auto"/>
        <w:left w:val="none" w:sz="0" w:space="0" w:color="auto"/>
        <w:bottom w:val="none" w:sz="0" w:space="0" w:color="auto"/>
        <w:right w:val="none" w:sz="0" w:space="0" w:color="auto"/>
      </w:divBdr>
    </w:div>
    <w:div w:id="642125510">
      <w:bodyDiv w:val="1"/>
      <w:marLeft w:val="0"/>
      <w:marRight w:val="0"/>
      <w:marTop w:val="0"/>
      <w:marBottom w:val="0"/>
      <w:divBdr>
        <w:top w:val="none" w:sz="0" w:space="0" w:color="auto"/>
        <w:left w:val="none" w:sz="0" w:space="0" w:color="auto"/>
        <w:bottom w:val="none" w:sz="0" w:space="0" w:color="auto"/>
        <w:right w:val="none" w:sz="0" w:space="0" w:color="auto"/>
      </w:divBdr>
    </w:div>
    <w:div w:id="642196464">
      <w:bodyDiv w:val="1"/>
      <w:marLeft w:val="0"/>
      <w:marRight w:val="0"/>
      <w:marTop w:val="0"/>
      <w:marBottom w:val="0"/>
      <w:divBdr>
        <w:top w:val="none" w:sz="0" w:space="0" w:color="auto"/>
        <w:left w:val="none" w:sz="0" w:space="0" w:color="auto"/>
        <w:bottom w:val="none" w:sz="0" w:space="0" w:color="auto"/>
        <w:right w:val="none" w:sz="0" w:space="0" w:color="auto"/>
      </w:divBdr>
    </w:div>
    <w:div w:id="642201755">
      <w:bodyDiv w:val="1"/>
      <w:marLeft w:val="0"/>
      <w:marRight w:val="0"/>
      <w:marTop w:val="0"/>
      <w:marBottom w:val="0"/>
      <w:divBdr>
        <w:top w:val="none" w:sz="0" w:space="0" w:color="auto"/>
        <w:left w:val="none" w:sz="0" w:space="0" w:color="auto"/>
        <w:bottom w:val="none" w:sz="0" w:space="0" w:color="auto"/>
        <w:right w:val="none" w:sz="0" w:space="0" w:color="auto"/>
      </w:divBdr>
    </w:div>
    <w:div w:id="642269472">
      <w:bodyDiv w:val="1"/>
      <w:marLeft w:val="0"/>
      <w:marRight w:val="0"/>
      <w:marTop w:val="0"/>
      <w:marBottom w:val="0"/>
      <w:divBdr>
        <w:top w:val="none" w:sz="0" w:space="0" w:color="auto"/>
        <w:left w:val="none" w:sz="0" w:space="0" w:color="auto"/>
        <w:bottom w:val="none" w:sz="0" w:space="0" w:color="auto"/>
        <w:right w:val="none" w:sz="0" w:space="0" w:color="auto"/>
      </w:divBdr>
    </w:div>
    <w:div w:id="642275303">
      <w:bodyDiv w:val="1"/>
      <w:marLeft w:val="0"/>
      <w:marRight w:val="0"/>
      <w:marTop w:val="0"/>
      <w:marBottom w:val="0"/>
      <w:divBdr>
        <w:top w:val="none" w:sz="0" w:space="0" w:color="auto"/>
        <w:left w:val="none" w:sz="0" w:space="0" w:color="auto"/>
        <w:bottom w:val="none" w:sz="0" w:space="0" w:color="auto"/>
        <w:right w:val="none" w:sz="0" w:space="0" w:color="auto"/>
      </w:divBdr>
    </w:div>
    <w:div w:id="642395845">
      <w:bodyDiv w:val="1"/>
      <w:marLeft w:val="0"/>
      <w:marRight w:val="0"/>
      <w:marTop w:val="0"/>
      <w:marBottom w:val="0"/>
      <w:divBdr>
        <w:top w:val="none" w:sz="0" w:space="0" w:color="auto"/>
        <w:left w:val="none" w:sz="0" w:space="0" w:color="auto"/>
        <w:bottom w:val="none" w:sz="0" w:space="0" w:color="auto"/>
        <w:right w:val="none" w:sz="0" w:space="0" w:color="auto"/>
      </w:divBdr>
    </w:div>
    <w:div w:id="642463043">
      <w:bodyDiv w:val="1"/>
      <w:marLeft w:val="0"/>
      <w:marRight w:val="0"/>
      <w:marTop w:val="0"/>
      <w:marBottom w:val="0"/>
      <w:divBdr>
        <w:top w:val="none" w:sz="0" w:space="0" w:color="auto"/>
        <w:left w:val="none" w:sz="0" w:space="0" w:color="auto"/>
        <w:bottom w:val="none" w:sz="0" w:space="0" w:color="auto"/>
        <w:right w:val="none" w:sz="0" w:space="0" w:color="auto"/>
      </w:divBdr>
    </w:div>
    <w:div w:id="642586447">
      <w:bodyDiv w:val="1"/>
      <w:marLeft w:val="0"/>
      <w:marRight w:val="0"/>
      <w:marTop w:val="0"/>
      <w:marBottom w:val="0"/>
      <w:divBdr>
        <w:top w:val="none" w:sz="0" w:space="0" w:color="auto"/>
        <w:left w:val="none" w:sz="0" w:space="0" w:color="auto"/>
        <w:bottom w:val="none" w:sz="0" w:space="0" w:color="auto"/>
        <w:right w:val="none" w:sz="0" w:space="0" w:color="auto"/>
      </w:divBdr>
    </w:div>
    <w:div w:id="642662498">
      <w:bodyDiv w:val="1"/>
      <w:marLeft w:val="0"/>
      <w:marRight w:val="0"/>
      <w:marTop w:val="0"/>
      <w:marBottom w:val="0"/>
      <w:divBdr>
        <w:top w:val="none" w:sz="0" w:space="0" w:color="auto"/>
        <w:left w:val="none" w:sz="0" w:space="0" w:color="auto"/>
        <w:bottom w:val="none" w:sz="0" w:space="0" w:color="auto"/>
        <w:right w:val="none" w:sz="0" w:space="0" w:color="auto"/>
      </w:divBdr>
    </w:div>
    <w:div w:id="642732622">
      <w:bodyDiv w:val="1"/>
      <w:marLeft w:val="0"/>
      <w:marRight w:val="0"/>
      <w:marTop w:val="0"/>
      <w:marBottom w:val="0"/>
      <w:divBdr>
        <w:top w:val="none" w:sz="0" w:space="0" w:color="auto"/>
        <w:left w:val="none" w:sz="0" w:space="0" w:color="auto"/>
        <w:bottom w:val="none" w:sz="0" w:space="0" w:color="auto"/>
        <w:right w:val="none" w:sz="0" w:space="0" w:color="auto"/>
      </w:divBdr>
    </w:div>
    <w:div w:id="642736640">
      <w:bodyDiv w:val="1"/>
      <w:marLeft w:val="0"/>
      <w:marRight w:val="0"/>
      <w:marTop w:val="0"/>
      <w:marBottom w:val="0"/>
      <w:divBdr>
        <w:top w:val="none" w:sz="0" w:space="0" w:color="auto"/>
        <w:left w:val="none" w:sz="0" w:space="0" w:color="auto"/>
        <w:bottom w:val="none" w:sz="0" w:space="0" w:color="auto"/>
        <w:right w:val="none" w:sz="0" w:space="0" w:color="auto"/>
      </w:divBdr>
    </w:div>
    <w:div w:id="642778107">
      <w:bodyDiv w:val="1"/>
      <w:marLeft w:val="0"/>
      <w:marRight w:val="0"/>
      <w:marTop w:val="0"/>
      <w:marBottom w:val="0"/>
      <w:divBdr>
        <w:top w:val="none" w:sz="0" w:space="0" w:color="auto"/>
        <w:left w:val="none" w:sz="0" w:space="0" w:color="auto"/>
        <w:bottom w:val="none" w:sz="0" w:space="0" w:color="auto"/>
        <w:right w:val="none" w:sz="0" w:space="0" w:color="auto"/>
      </w:divBdr>
    </w:div>
    <w:div w:id="642809090">
      <w:bodyDiv w:val="1"/>
      <w:marLeft w:val="0"/>
      <w:marRight w:val="0"/>
      <w:marTop w:val="0"/>
      <w:marBottom w:val="0"/>
      <w:divBdr>
        <w:top w:val="none" w:sz="0" w:space="0" w:color="auto"/>
        <w:left w:val="none" w:sz="0" w:space="0" w:color="auto"/>
        <w:bottom w:val="none" w:sz="0" w:space="0" w:color="auto"/>
        <w:right w:val="none" w:sz="0" w:space="0" w:color="auto"/>
      </w:divBdr>
    </w:div>
    <w:div w:id="643043388">
      <w:bodyDiv w:val="1"/>
      <w:marLeft w:val="0"/>
      <w:marRight w:val="0"/>
      <w:marTop w:val="0"/>
      <w:marBottom w:val="0"/>
      <w:divBdr>
        <w:top w:val="none" w:sz="0" w:space="0" w:color="auto"/>
        <w:left w:val="none" w:sz="0" w:space="0" w:color="auto"/>
        <w:bottom w:val="none" w:sz="0" w:space="0" w:color="auto"/>
        <w:right w:val="none" w:sz="0" w:space="0" w:color="auto"/>
      </w:divBdr>
    </w:div>
    <w:div w:id="643045849">
      <w:bodyDiv w:val="1"/>
      <w:marLeft w:val="0"/>
      <w:marRight w:val="0"/>
      <w:marTop w:val="0"/>
      <w:marBottom w:val="0"/>
      <w:divBdr>
        <w:top w:val="none" w:sz="0" w:space="0" w:color="auto"/>
        <w:left w:val="none" w:sz="0" w:space="0" w:color="auto"/>
        <w:bottom w:val="none" w:sz="0" w:space="0" w:color="auto"/>
        <w:right w:val="none" w:sz="0" w:space="0" w:color="auto"/>
      </w:divBdr>
    </w:div>
    <w:div w:id="643047960">
      <w:bodyDiv w:val="1"/>
      <w:marLeft w:val="0"/>
      <w:marRight w:val="0"/>
      <w:marTop w:val="0"/>
      <w:marBottom w:val="0"/>
      <w:divBdr>
        <w:top w:val="none" w:sz="0" w:space="0" w:color="auto"/>
        <w:left w:val="none" w:sz="0" w:space="0" w:color="auto"/>
        <w:bottom w:val="none" w:sz="0" w:space="0" w:color="auto"/>
        <w:right w:val="none" w:sz="0" w:space="0" w:color="auto"/>
      </w:divBdr>
    </w:div>
    <w:div w:id="643193361">
      <w:bodyDiv w:val="1"/>
      <w:marLeft w:val="0"/>
      <w:marRight w:val="0"/>
      <w:marTop w:val="0"/>
      <w:marBottom w:val="0"/>
      <w:divBdr>
        <w:top w:val="none" w:sz="0" w:space="0" w:color="auto"/>
        <w:left w:val="none" w:sz="0" w:space="0" w:color="auto"/>
        <w:bottom w:val="none" w:sz="0" w:space="0" w:color="auto"/>
        <w:right w:val="none" w:sz="0" w:space="0" w:color="auto"/>
      </w:divBdr>
    </w:div>
    <w:div w:id="643311213">
      <w:bodyDiv w:val="1"/>
      <w:marLeft w:val="0"/>
      <w:marRight w:val="0"/>
      <w:marTop w:val="0"/>
      <w:marBottom w:val="0"/>
      <w:divBdr>
        <w:top w:val="none" w:sz="0" w:space="0" w:color="auto"/>
        <w:left w:val="none" w:sz="0" w:space="0" w:color="auto"/>
        <w:bottom w:val="none" w:sz="0" w:space="0" w:color="auto"/>
        <w:right w:val="none" w:sz="0" w:space="0" w:color="auto"/>
      </w:divBdr>
    </w:div>
    <w:div w:id="643316418">
      <w:bodyDiv w:val="1"/>
      <w:marLeft w:val="0"/>
      <w:marRight w:val="0"/>
      <w:marTop w:val="0"/>
      <w:marBottom w:val="0"/>
      <w:divBdr>
        <w:top w:val="none" w:sz="0" w:space="0" w:color="auto"/>
        <w:left w:val="none" w:sz="0" w:space="0" w:color="auto"/>
        <w:bottom w:val="none" w:sz="0" w:space="0" w:color="auto"/>
        <w:right w:val="none" w:sz="0" w:space="0" w:color="auto"/>
      </w:divBdr>
    </w:div>
    <w:div w:id="643386149">
      <w:bodyDiv w:val="1"/>
      <w:marLeft w:val="0"/>
      <w:marRight w:val="0"/>
      <w:marTop w:val="0"/>
      <w:marBottom w:val="0"/>
      <w:divBdr>
        <w:top w:val="none" w:sz="0" w:space="0" w:color="auto"/>
        <w:left w:val="none" w:sz="0" w:space="0" w:color="auto"/>
        <w:bottom w:val="none" w:sz="0" w:space="0" w:color="auto"/>
        <w:right w:val="none" w:sz="0" w:space="0" w:color="auto"/>
      </w:divBdr>
    </w:div>
    <w:div w:id="643434696">
      <w:bodyDiv w:val="1"/>
      <w:marLeft w:val="0"/>
      <w:marRight w:val="0"/>
      <w:marTop w:val="0"/>
      <w:marBottom w:val="0"/>
      <w:divBdr>
        <w:top w:val="none" w:sz="0" w:space="0" w:color="auto"/>
        <w:left w:val="none" w:sz="0" w:space="0" w:color="auto"/>
        <w:bottom w:val="none" w:sz="0" w:space="0" w:color="auto"/>
        <w:right w:val="none" w:sz="0" w:space="0" w:color="auto"/>
      </w:divBdr>
    </w:div>
    <w:div w:id="643583910">
      <w:bodyDiv w:val="1"/>
      <w:marLeft w:val="0"/>
      <w:marRight w:val="0"/>
      <w:marTop w:val="0"/>
      <w:marBottom w:val="0"/>
      <w:divBdr>
        <w:top w:val="none" w:sz="0" w:space="0" w:color="auto"/>
        <w:left w:val="none" w:sz="0" w:space="0" w:color="auto"/>
        <w:bottom w:val="none" w:sz="0" w:space="0" w:color="auto"/>
        <w:right w:val="none" w:sz="0" w:space="0" w:color="auto"/>
      </w:divBdr>
    </w:div>
    <w:div w:id="643629878">
      <w:bodyDiv w:val="1"/>
      <w:marLeft w:val="0"/>
      <w:marRight w:val="0"/>
      <w:marTop w:val="0"/>
      <w:marBottom w:val="0"/>
      <w:divBdr>
        <w:top w:val="none" w:sz="0" w:space="0" w:color="auto"/>
        <w:left w:val="none" w:sz="0" w:space="0" w:color="auto"/>
        <w:bottom w:val="none" w:sz="0" w:space="0" w:color="auto"/>
        <w:right w:val="none" w:sz="0" w:space="0" w:color="auto"/>
      </w:divBdr>
    </w:div>
    <w:div w:id="643655853">
      <w:bodyDiv w:val="1"/>
      <w:marLeft w:val="0"/>
      <w:marRight w:val="0"/>
      <w:marTop w:val="0"/>
      <w:marBottom w:val="0"/>
      <w:divBdr>
        <w:top w:val="none" w:sz="0" w:space="0" w:color="auto"/>
        <w:left w:val="none" w:sz="0" w:space="0" w:color="auto"/>
        <w:bottom w:val="none" w:sz="0" w:space="0" w:color="auto"/>
        <w:right w:val="none" w:sz="0" w:space="0" w:color="auto"/>
      </w:divBdr>
    </w:div>
    <w:div w:id="643703521">
      <w:bodyDiv w:val="1"/>
      <w:marLeft w:val="0"/>
      <w:marRight w:val="0"/>
      <w:marTop w:val="0"/>
      <w:marBottom w:val="0"/>
      <w:divBdr>
        <w:top w:val="none" w:sz="0" w:space="0" w:color="auto"/>
        <w:left w:val="none" w:sz="0" w:space="0" w:color="auto"/>
        <w:bottom w:val="none" w:sz="0" w:space="0" w:color="auto"/>
        <w:right w:val="none" w:sz="0" w:space="0" w:color="auto"/>
      </w:divBdr>
    </w:div>
    <w:div w:id="643705511">
      <w:bodyDiv w:val="1"/>
      <w:marLeft w:val="0"/>
      <w:marRight w:val="0"/>
      <w:marTop w:val="0"/>
      <w:marBottom w:val="0"/>
      <w:divBdr>
        <w:top w:val="none" w:sz="0" w:space="0" w:color="auto"/>
        <w:left w:val="none" w:sz="0" w:space="0" w:color="auto"/>
        <w:bottom w:val="none" w:sz="0" w:space="0" w:color="auto"/>
        <w:right w:val="none" w:sz="0" w:space="0" w:color="auto"/>
      </w:divBdr>
    </w:div>
    <w:div w:id="643851296">
      <w:bodyDiv w:val="1"/>
      <w:marLeft w:val="0"/>
      <w:marRight w:val="0"/>
      <w:marTop w:val="0"/>
      <w:marBottom w:val="0"/>
      <w:divBdr>
        <w:top w:val="none" w:sz="0" w:space="0" w:color="auto"/>
        <w:left w:val="none" w:sz="0" w:space="0" w:color="auto"/>
        <w:bottom w:val="none" w:sz="0" w:space="0" w:color="auto"/>
        <w:right w:val="none" w:sz="0" w:space="0" w:color="auto"/>
      </w:divBdr>
    </w:div>
    <w:div w:id="643854993">
      <w:bodyDiv w:val="1"/>
      <w:marLeft w:val="0"/>
      <w:marRight w:val="0"/>
      <w:marTop w:val="0"/>
      <w:marBottom w:val="0"/>
      <w:divBdr>
        <w:top w:val="none" w:sz="0" w:space="0" w:color="auto"/>
        <w:left w:val="none" w:sz="0" w:space="0" w:color="auto"/>
        <w:bottom w:val="none" w:sz="0" w:space="0" w:color="auto"/>
        <w:right w:val="none" w:sz="0" w:space="0" w:color="auto"/>
      </w:divBdr>
    </w:div>
    <w:div w:id="643898060">
      <w:bodyDiv w:val="1"/>
      <w:marLeft w:val="0"/>
      <w:marRight w:val="0"/>
      <w:marTop w:val="0"/>
      <w:marBottom w:val="0"/>
      <w:divBdr>
        <w:top w:val="none" w:sz="0" w:space="0" w:color="auto"/>
        <w:left w:val="none" w:sz="0" w:space="0" w:color="auto"/>
        <w:bottom w:val="none" w:sz="0" w:space="0" w:color="auto"/>
        <w:right w:val="none" w:sz="0" w:space="0" w:color="auto"/>
      </w:divBdr>
    </w:div>
    <w:div w:id="644042740">
      <w:bodyDiv w:val="1"/>
      <w:marLeft w:val="0"/>
      <w:marRight w:val="0"/>
      <w:marTop w:val="0"/>
      <w:marBottom w:val="0"/>
      <w:divBdr>
        <w:top w:val="none" w:sz="0" w:space="0" w:color="auto"/>
        <w:left w:val="none" w:sz="0" w:space="0" w:color="auto"/>
        <w:bottom w:val="none" w:sz="0" w:space="0" w:color="auto"/>
        <w:right w:val="none" w:sz="0" w:space="0" w:color="auto"/>
      </w:divBdr>
    </w:div>
    <w:div w:id="644092442">
      <w:bodyDiv w:val="1"/>
      <w:marLeft w:val="0"/>
      <w:marRight w:val="0"/>
      <w:marTop w:val="0"/>
      <w:marBottom w:val="0"/>
      <w:divBdr>
        <w:top w:val="none" w:sz="0" w:space="0" w:color="auto"/>
        <w:left w:val="none" w:sz="0" w:space="0" w:color="auto"/>
        <w:bottom w:val="none" w:sz="0" w:space="0" w:color="auto"/>
        <w:right w:val="none" w:sz="0" w:space="0" w:color="auto"/>
      </w:divBdr>
    </w:div>
    <w:div w:id="644159896">
      <w:bodyDiv w:val="1"/>
      <w:marLeft w:val="0"/>
      <w:marRight w:val="0"/>
      <w:marTop w:val="0"/>
      <w:marBottom w:val="0"/>
      <w:divBdr>
        <w:top w:val="none" w:sz="0" w:space="0" w:color="auto"/>
        <w:left w:val="none" w:sz="0" w:space="0" w:color="auto"/>
        <w:bottom w:val="none" w:sz="0" w:space="0" w:color="auto"/>
        <w:right w:val="none" w:sz="0" w:space="0" w:color="auto"/>
      </w:divBdr>
    </w:div>
    <w:div w:id="644161995">
      <w:bodyDiv w:val="1"/>
      <w:marLeft w:val="0"/>
      <w:marRight w:val="0"/>
      <w:marTop w:val="0"/>
      <w:marBottom w:val="0"/>
      <w:divBdr>
        <w:top w:val="none" w:sz="0" w:space="0" w:color="auto"/>
        <w:left w:val="none" w:sz="0" w:space="0" w:color="auto"/>
        <w:bottom w:val="none" w:sz="0" w:space="0" w:color="auto"/>
        <w:right w:val="none" w:sz="0" w:space="0" w:color="auto"/>
      </w:divBdr>
    </w:div>
    <w:div w:id="644237865">
      <w:bodyDiv w:val="1"/>
      <w:marLeft w:val="0"/>
      <w:marRight w:val="0"/>
      <w:marTop w:val="0"/>
      <w:marBottom w:val="0"/>
      <w:divBdr>
        <w:top w:val="none" w:sz="0" w:space="0" w:color="auto"/>
        <w:left w:val="none" w:sz="0" w:space="0" w:color="auto"/>
        <w:bottom w:val="none" w:sz="0" w:space="0" w:color="auto"/>
        <w:right w:val="none" w:sz="0" w:space="0" w:color="auto"/>
      </w:divBdr>
    </w:div>
    <w:div w:id="644358061">
      <w:bodyDiv w:val="1"/>
      <w:marLeft w:val="0"/>
      <w:marRight w:val="0"/>
      <w:marTop w:val="0"/>
      <w:marBottom w:val="0"/>
      <w:divBdr>
        <w:top w:val="none" w:sz="0" w:space="0" w:color="auto"/>
        <w:left w:val="none" w:sz="0" w:space="0" w:color="auto"/>
        <w:bottom w:val="none" w:sz="0" w:space="0" w:color="auto"/>
        <w:right w:val="none" w:sz="0" w:space="0" w:color="auto"/>
      </w:divBdr>
    </w:div>
    <w:div w:id="644430937">
      <w:bodyDiv w:val="1"/>
      <w:marLeft w:val="0"/>
      <w:marRight w:val="0"/>
      <w:marTop w:val="0"/>
      <w:marBottom w:val="0"/>
      <w:divBdr>
        <w:top w:val="none" w:sz="0" w:space="0" w:color="auto"/>
        <w:left w:val="none" w:sz="0" w:space="0" w:color="auto"/>
        <w:bottom w:val="none" w:sz="0" w:space="0" w:color="auto"/>
        <w:right w:val="none" w:sz="0" w:space="0" w:color="auto"/>
      </w:divBdr>
    </w:div>
    <w:div w:id="644431529">
      <w:bodyDiv w:val="1"/>
      <w:marLeft w:val="0"/>
      <w:marRight w:val="0"/>
      <w:marTop w:val="0"/>
      <w:marBottom w:val="0"/>
      <w:divBdr>
        <w:top w:val="none" w:sz="0" w:space="0" w:color="auto"/>
        <w:left w:val="none" w:sz="0" w:space="0" w:color="auto"/>
        <w:bottom w:val="none" w:sz="0" w:space="0" w:color="auto"/>
        <w:right w:val="none" w:sz="0" w:space="0" w:color="auto"/>
      </w:divBdr>
    </w:div>
    <w:div w:id="644436709">
      <w:bodyDiv w:val="1"/>
      <w:marLeft w:val="0"/>
      <w:marRight w:val="0"/>
      <w:marTop w:val="0"/>
      <w:marBottom w:val="0"/>
      <w:divBdr>
        <w:top w:val="none" w:sz="0" w:space="0" w:color="auto"/>
        <w:left w:val="none" w:sz="0" w:space="0" w:color="auto"/>
        <w:bottom w:val="none" w:sz="0" w:space="0" w:color="auto"/>
        <w:right w:val="none" w:sz="0" w:space="0" w:color="auto"/>
      </w:divBdr>
    </w:div>
    <w:div w:id="644503329">
      <w:bodyDiv w:val="1"/>
      <w:marLeft w:val="0"/>
      <w:marRight w:val="0"/>
      <w:marTop w:val="0"/>
      <w:marBottom w:val="0"/>
      <w:divBdr>
        <w:top w:val="none" w:sz="0" w:space="0" w:color="auto"/>
        <w:left w:val="none" w:sz="0" w:space="0" w:color="auto"/>
        <w:bottom w:val="none" w:sz="0" w:space="0" w:color="auto"/>
        <w:right w:val="none" w:sz="0" w:space="0" w:color="auto"/>
      </w:divBdr>
    </w:div>
    <w:div w:id="644511856">
      <w:bodyDiv w:val="1"/>
      <w:marLeft w:val="0"/>
      <w:marRight w:val="0"/>
      <w:marTop w:val="0"/>
      <w:marBottom w:val="0"/>
      <w:divBdr>
        <w:top w:val="none" w:sz="0" w:space="0" w:color="auto"/>
        <w:left w:val="none" w:sz="0" w:space="0" w:color="auto"/>
        <w:bottom w:val="none" w:sz="0" w:space="0" w:color="auto"/>
        <w:right w:val="none" w:sz="0" w:space="0" w:color="auto"/>
      </w:divBdr>
    </w:div>
    <w:div w:id="644743913">
      <w:bodyDiv w:val="1"/>
      <w:marLeft w:val="0"/>
      <w:marRight w:val="0"/>
      <w:marTop w:val="0"/>
      <w:marBottom w:val="0"/>
      <w:divBdr>
        <w:top w:val="none" w:sz="0" w:space="0" w:color="auto"/>
        <w:left w:val="none" w:sz="0" w:space="0" w:color="auto"/>
        <w:bottom w:val="none" w:sz="0" w:space="0" w:color="auto"/>
        <w:right w:val="none" w:sz="0" w:space="0" w:color="auto"/>
      </w:divBdr>
    </w:div>
    <w:div w:id="644893907">
      <w:bodyDiv w:val="1"/>
      <w:marLeft w:val="0"/>
      <w:marRight w:val="0"/>
      <w:marTop w:val="0"/>
      <w:marBottom w:val="0"/>
      <w:divBdr>
        <w:top w:val="none" w:sz="0" w:space="0" w:color="auto"/>
        <w:left w:val="none" w:sz="0" w:space="0" w:color="auto"/>
        <w:bottom w:val="none" w:sz="0" w:space="0" w:color="auto"/>
        <w:right w:val="none" w:sz="0" w:space="0" w:color="auto"/>
      </w:divBdr>
    </w:div>
    <w:div w:id="644972089">
      <w:bodyDiv w:val="1"/>
      <w:marLeft w:val="0"/>
      <w:marRight w:val="0"/>
      <w:marTop w:val="0"/>
      <w:marBottom w:val="0"/>
      <w:divBdr>
        <w:top w:val="none" w:sz="0" w:space="0" w:color="auto"/>
        <w:left w:val="none" w:sz="0" w:space="0" w:color="auto"/>
        <w:bottom w:val="none" w:sz="0" w:space="0" w:color="auto"/>
        <w:right w:val="none" w:sz="0" w:space="0" w:color="auto"/>
      </w:divBdr>
    </w:div>
    <w:div w:id="645085236">
      <w:bodyDiv w:val="1"/>
      <w:marLeft w:val="0"/>
      <w:marRight w:val="0"/>
      <w:marTop w:val="0"/>
      <w:marBottom w:val="0"/>
      <w:divBdr>
        <w:top w:val="none" w:sz="0" w:space="0" w:color="auto"/>
        <w:left w:val="none" w:sz="0" w:space="0" w:color="auto"/>
        <w:bottom w:val="none" w:sz="0" w:space="0" w:color="auto"/>
        <w:right w:val="none" w:sz="0" w:space="0" w:color="auto"/>
      </w:divBdr>
    </w:div>
    <w:div w:id="645167570">
      <w:bodyDiv w:val="1"/>
      <w:marLeft w:val="0"/>
      <w:marRight w:val="0"/>
      <w:marTop w:val="0"/>
      <w:marBottom w:val="0"/>
      <w:divBdr>
        <w:top w:val="none" w:sz="0" w:space="0" w:color="auto"/>
        <w:left w:val="none" w:sz="0" w:space="0" w:color="auto"/>
        <w:bottom w:val="none" w:sz="0" w:space="0" w:color="auto"/>
        <w:right w:val="none" w:sz="0" w:space="0" w:color="auto"/>
      </w:divBdr>
    </w:div>
    <w:div w:id="645280278">
      <w:bodyDiv w:val="1"/>
      <w:marLeft w:val="0"/>
      <w:marRight w:val="0"/>
      <w:marTop w:val="0"/>
      <w:marBottom w:val="0"/>
      <w:divBdr>
        <w:top w:val="none" w:sz="0" w:space="0" w:color="auto"/>
        <w:left w:val="none" w:sz="0" w:space="0" w:color="auto"/>
        <w:bottom w:val="none" w:sz="0" w:space="0" w:color="auto"/>
        <w:right w:val="none" w:sz="0" w:space="0" w:color="auto"/>
      </w:divBdr>
    </w:div>
    <w:div w:id="645475033">
      <w:bodyDiv w:val="1"/>
      <w:marLeft w:val="0"/>
      <w:marRight w:val="0"/>
      <w:marTop w:val="0"/>
      <w:marBottom w:val="0"/>
      <w:divBdr>
        <w:top w:val="none" w:sz="0" w:space="0" w:color="auto"/>
        <w:left w:val="none" w:sz="0" w:space="0" w:color="auto"/>
        <w:bottom w:val="none" w:sz="0" w:space="0" w:color="auto"/>
        <w:right w:val="none" w:sz="0" w:space="0" w:color="auto"/>
      </w:divBdr>
    </w:div>
    <w:div w:id="645551459">
      <w:bodyDiv w:val="1"/>
      <w:marLeft w:val="0"/>
      <w:marRight w:val="0"/>
      <w:marTop w:val="0"/>
      <w:marBottom w:val="0"/>
      <w:divBdr>
        <w:top w:val="none" w:sz="0" w:space="0" w:color="auto"/>
        <w:left w:val="none" w:sz="0" w:space="0" w:color="auto"/>
        <w:bottom w:val="none" w:sz="0" w:space="0" w:color="auto"/>
        <w:right w:val="none" w:sz="0" w:space="0" w:color="auto"/>
      </w:divBdr>
    </w:div>
    <w:div w:id="645934848">
      <w:bodyDiv w:val="1"/>
      <w:marLeft w:val="0"/>
      <w:marRight w:val="0"/>
      <w:marTop w:val="0"/>
      <w:marBottom w:val="0"/>
      <w:divBdr>
        <w:top w:val="none" w:sz="0" w:space="0" w:color="auto"/>
        <w:left w:val="none" w:sz="0" w:space="0" w:color="auto"/>
        <w:bottom w:val="none" w:sz="0" w:space="0" w:color="auto"/>
        <w:right w:val="none" w:sz="0" w:space="0" w:color="auto"/>
      </w:divBdr>
    </w:div>
    <w:div w:id="645936201">
      <w:bodyDiv w:val="1"/>
      <w:marLeft w:val="0"/>
      <w:marRight w:val="0"/>
      <w:marTop w:val="0"/>
      <w:marBottom w:val="0"/>
      <w:divBdr>
        <w:top w:val="none" w:sz="0" w:space="0" w:color="auto"/>
        <w:left w:val="none" w:sz="0" w:space="0" w:color="auto"/>
        <w:bottom w:val="none" w:sz="0" w:space="0" w:color="auto"/>
        <w:right w:val="none" w:sz="0" w:space="0" w:color="auto"/>
      </w:divBdr>
    </w:div>
    <w:div w:id="646008286">
      <w:bodyDiv w:val="1"/>
      <w:marLeft w:val="0"/>
      <w:marRight w:val="0"/>
      <w:marTop w:val="0"/>
      <w:marBottom w:val="0"/>
      <w:divBdr>
        <w:top w:val="none" w:sz="0" w:space="0" w:color="auto"/>
        <w:left w:val="none" w:sz="0" w:space="0" w:color="auto"/>
        <w:bottom w:val="none" w:sz="0" w:space="0" w:color="auto"/>
        <w:right w:val="none" w:sz="0" w:space="0" w:color="auto"/>
      </w:divBdr>
    </w:div>
    <w:div w:id="646202302">
      <w:bodyDiv w:val="1"/>
      <w:marLeft w:val="0"/>
      <w:marRight w:val="0"/>
      <w:marTop w:val="0"/>
      <w:marBottom w:val="0"/>
      <w:divBdr>
        <w:top w:val="none" w:sz="0" w:space="0" w:color="auto"/>
        <w:left w:val="none" w:sz="0" w:space="0" w:color="auto"/>
        <w:bottom w:val="none" w:sz="0" w:space="0" w:color="auto"/>
        <w:right w:val="none" w:sz="0" w:space="0" w:color="auto"/>
      </w:divBdr>
    </w:div>
    <w:div w:id="646209884">
      <w:bodyDiv w:val="1"/>
      <w:marLeft w:val="0"/>
      <w:marRight w:val="0"/>
      <w:marTop w:val="0"/>
      <w:marBottom w:val="0"/>
      <w:divBdr>
        <w:top w:val="none" w:sz="0" w:space="0" w:color="auto"/>
        <w:left w:val="none" w:sz="0" w:space="0" w:color="auto"/>
        <w:bottom w:val="none" w:sz="0" w:space="0" w:color="auto"/>
        <w:right w:val="none" w:sz="0" w:space="0" w:color="auto"/>
      </w:divBdr>
    </w:div>
    <w:div w:id="646325467">
      <w:bodyDiv w:val="1"/>
      <w:marLeft w:val="0"/>
      <w:marRight w:val="0"/>
      <w:marTop w:val="0"/>
      <w:marBottom w:val="0"/>
      <w:divBdr>
        <w:top w:val="none" w:sz="0" w:space="0" w:color="auto"/>
        <w:left w:val="none" w:sz="0" w:space="0" w:color="auto"/>
        <w:bottom w:val="none" w:sz="0" w:space="0" w:color="auto"/>
        <w:right w:val="none" w:sz="0" w:space="0" w:color="auto"/>
      </w:divBdr>
    </w:div>
    <w:div w:id="646394350">
      <w:bodyDiv w:val="1"/>
      <w:marLeft w:val="0"/>
      <w:marRight w:val="0"/>
      <w:marTop w:val="0"/>
      <w:marBottom w:val="0"/>
      <w:divBdr>
        <w:top w:val="none" w:sz="0" w:space="0" w:color="auto"/>
        <w:left w:val="none" w:sz="0" w:space="0" w:color="auto"/>
        <w:bottom w:val="none" w:sz="0" w:space="0" w:color="auto"/>
        <w:right w:val="none" w:sz="0" w:space="0" w:color="auto"/>
      </w:divBdr>
    </w:div>
    <w:div w:id="646397847">
      <w:bodyDiv w:val="1"/>
      <w:marLeft w:val="0"/>
      <w:marRight w:val="0"/>
      <w:marTop w:val="0"/>
      <w:marBottom w:val="0"/>
      <w:divBdr>
        <w:top w:val="none" w:sz="0" w:space="0" w:color="auto"/>
        <w:left w:val="none" w:sz="0" w:space="0" w:color="auto"/>
        <w:bottom w:val="none" w:sz="0" w:space="0" w:color="auto"/>
        <w:right w:val="none" w:sz="0" w:space="0" w:color="auto"/>
      </w:divBdr>
    </w:div>
    <w:div w:id="646515342">
      <w:bodyDiv w:val="1"/>
      <w:marLeft w:val="0"/>
      <w:marRight w:val="0"/>
      <w:marTop w:val="0"/>
      <w:marBottom w:val="0"/>
      <w:divBdr>
        <w:top w:val="none" w:sz="0" w:space="0" w:color="auto"/>
        <w:left w:val="none" w:sz="0" w:space="0" w:color="auto"/>
        <w:bottom w:val="none" w:sz="0" w:space="0" w:color="auto"/>
        <w:right w:val="none" w:sz="0" w:space="0" w:color="auto"/>
      </w:divBdr>
    </w:div>
    <w:div w:id="646591238">
      <w:bodyDiv w:val="1"/>
      <w:marLeft w:val="0"/>
      <w:marRight w:val="0"/>
      <w:marTop w:val="0"/>
      <w:marBottom w:val="0"/>
      <w:divBdr>
        <w:top w:val="none" w:sz="0" w:space="0" w:color="auto"/>
        <w:left w:val="none" w:sz="0" w:space="0" w:color="auto"/>
        <w:bottom w:val="none" w:sz="0" w:space="0" w:color="auto"/>
        <w:right w:val="none" w:sz="0" w:space="0" w:color="auto"/>
      </w:divBdr>
    </w:div>
    <w:div w:id="646591813">
      <w:bodyDiv w:val="1"/>
      <w:marLeft w:val="0"/>
      <w:marRight w:val="0"/>
      <w:marTop w:val="0"/>
      <w:marBottom w:val="0"/>
      <w:divBdr>
        <w:top w:val="none" w:sz="0" w:space="0" w:color="auto"/>
        <w:left w:val="none" w:sz="0" w:space="0" w:color="auto"/>
        <w:bottom w:val="none" w:sz="0" w:space="0" w:color="auto"/>
        <w:right w:val="none" w:sz="0" w:space="0" w:color="auto"/>
      </w:divBdr>
    </w:div>
    <w:div w:id="646667496">
      <w:bodyDiv w:val="1"/>
      <w:marLeft w:val="0"/>
      <w:marRight w:val="0"/>
      <w:marTop w:val="0"/>
      <w:marBottom w:val="0"/>
      <w:divBdr>
        <w:top w:val="none" w:sz="0" w:space="0" w:color="auto"/>
        <w:left w:val="none" w:sz="0" w:space="0" w:color="auto"/>
        <w:bottom w:val="none" w:sz="0" w:space="0" w:color="auto"/>
        <w:right w:val="none" w:sz="0" w:space="0" w:color="auto"/>
      </w:divBdr>
    </w:div>
    <w:div w:id="646670184">
      <w:bodyDiv w:val="1"/>
      <w:marLeft w:val="0"/>
      <w:marRight w:val="0"/>
      <w:marTop w:val="0"/>
      <w:marBottom w:val="0"/>
      <w:divBdr>
        <w:top w:val="none" w:sz="0" w:space="0" w:color="auto"/>
        <w:left w:val="none" w:sz="0" w:space="0" w:color="auto"/>
        <w:bottom w:val="none" w:sz="0" w:space="0" w:color="auto"/>
        <w:right w:val="none" w:sz="0" w:space="0" w:color="auto"/>
      </w:divBdr>
    </w:div>
    <w:div w:id="646714774">
      <w:bodyDiv w:val="1"/>
      <w:marLeft w:val="0"/>
      <w:marRight w:val="0"/>
      <w:marTop w:val="0"/>
      <w:marBottom w:val="0"/>
      <w:divBdr>
        <w:top w:val="none" w:sz="0" w:space="0" w:color="auto"/>
        <w:left w:val="none" w:sz="0" w:space="0" w:color="auto"/>
        <w:bottom w:val="none" w:sz="0" w:space="0" w:color="auto"/>
        <w:right w:val="none" w:sz="0" w:space="0" w:color="auto"/>
      </w:divBdr>
    </w:div>
    <w:div w:id="646780990">
      <w:bodyDiv w:val="1"/>
      <w:marLeft w:val="0"/>
      <w:marRight w:val="0"/>
      <w:marTop w:val="0"/>
      <w:marBottom w:val="0"/>
      <w:divBdr>
        <w:top w:val="none" w:sz="0" w:space="0" w:color="auto"/>
        <w:left w:val="none" w:sz="0" w:space="0" w:color="auto"/>
        <w:bottom w:val="none" w:sz="0" w:space="0" w:color="auto"/>
        <w:right w:val="none" w:sz="0" w:space="0" w:color="auto"/>
      </w:divBdr>
    </w:div>
    <w:div w:id="646789145">
      <w:bodyDiv w:val="1"/>
      <w:marLeft w:val="0"/>
      <w:marRight w:val="0"/>
      <w:marTop w:val="0"/>
      <w:marBottom w:val="0"/>
      <w:divBdr>
        <w:top w:val="none" w:sz="0" w:space="0" w:color="auto"/>
        <w:left w:val="none" w:sz="0" w:space="0" w:color="auto"/>
        <w:bottom w:val="none" w:sz="0" w:space="0" w:color="auto"/>
        <w:right w:val="none" w:sz="0" w:space="0" w:color="auto"/>
      </w:divBdr>
    </w:div>
    <w:div w:id="646858522">
      <w:bodyDiv w:val="1"/>
      <w:marLeft w:val="0"/>
      <w:marRight w:val="0"/>
      <w:marTop w:val="0"/>
      <w:marBottom w:val="0"/>
      <w:divBdr>
        <w:top w:val="none" w:sz="0" w:space="0" w:color="auto"/>
        <w:left w:val="none" w:sz="0" w:space="0" w:color="auto"/>
        <w:bottom w:val="none" w:sz="0" w:space="0" w:color="auto"/>
        <w:right w:val="none" w:sz="0" w:space="0" w:color="auto"/>
      </w:divBdr>
    </w:div>
    <w:div w:id="646859438">
      <w:bodyDiv w:val="1"/>
      <w:marLeft w:val="0"/>
      <w:marRight w:val="0"/>
      <w:marTop w:val="0"/>
      <w:marBottom w:val="0"/>
      <w:divBdr>
        <w:top w:val="none" w:sz="0" w:space="0" w:color="auto"/>
        <w:left w:val="none" w:sz="0" w:space="0" w:color="auto"/>
        <w:bottom w:val="none" w:sz="0" w:space="0" w:color="auto"/>
        <w:right w:val="none" w:sz="0" w:space="0" w:color="auto"/>
      </w:divBdr>
    </w:div>
    <w:div w:id="647049118">
      <w:bodyDiv w:val="1"/>
      <w:marLeft w:val="0"/>
      <w:marRight w:val="0"/>
      <w:marTop w:val="0"/>
      <w:marBottom w:val="0"/>
      <w:divBdr>
        <w:top w:val="none" w:sz="0" w:space="0" w:color="auto"/>
        <w:left w:val="none" w:sz="0" w:space="0" w:color="auto"/>
        <w:bottom w:val="none" w:sz="0" w:space="0" w:color="auto"/>
        <w:right w:val="none" w:sz="0" w:space="0" w:color="auto"/>
      </w:divBdr>
    </w:div>
    <w:div w:id="647053985">
      <w:bodyDiv w:val="1"/>
      <w:marLeft w:val="0"/>
      <w:marRight w:val="0"/>
      <w:marTop w:val="0"/>
      <w:marBottom w:val="0"/>
      <w:divBdr>
        <w:top w:val="none" w:sz="0" w:space="0" w:color="auto"/>
        <w:left w:val="none" w:sz="0" w:space="0" w:color="auto"/>
        <w:bottom w:val="none" w:sz="0" w:space="0" w:color="auto"/>
        <w:right w:val="none" w:sz="0" w:space="0" w:color="auto"/>
      </w:divBdr>
    </w:div>
    <w:div w:id="647057710">
      <w:bodyDiv w:val="1"/>
      <w:marLeft w:val="0"/>
      <w:marRight w:val="0"/>
      <w:marTop w:val="0"/>
      <w:marBottom w:val="0"/>
      <w:divBdr>
        <w:top w:val="none" w:sz="0" w:space="0" w:color="auto"/>
        <w:left w:val="none" w:sz="0" w:space="0" w:color="auto"/>
        <w:bottom w:val="none" w:sz="0" w:space="0" w:color="auto"/>
        <w:right w:val="none" w:sz="0" w:space="0" w:color="auto"/>
      </w:divBdr>
    </w:div>
    <w:div w:id="647127260">
      <w:bodyDiv w:val="1"/>
      <w:marLeft w:val="0"/>
      <w:marRight w:val="0"/>
      <w:marTop w:val="0"/>
      <w:marBottom w:val="0"/>
      <w:divBdr>
        <w:top w:val="none" w:sz="0" w:space="0" w:color="auto"/>
        <w:left w:val="none" w:sz="0" w:space="0" w:color="auto"/>
        <w:bottom w:val="none" w:sz="0" w:space="0" w:color="auto"/>
        <w:right w:val="none" w:sz="0" w:space="0" w:color="auto"/>
      </w:divBdr>
    </w:div>
    <w:div w:id="647174633">
      <w:bodyDiv w:val="1"/>
      <w:marLeft w:val="0"/>
      <w:marRight w:val="0"/>
      <w:marTop w:val="0"/>
      <w:marBottom w:val="0"/>
      <w:divBdr>
        <w:top w:val="none" w:sz="0" w:space="0" w:color="auto"/>
        <w:left w:val="none" w:sz="0" w:space="0" w:color="auto"/>
        <w:bottom w:val="none" w:sz="0" w:space="0" w:color="auto"/>
        <w:right w:val="none" w:sz="0" w:space="0" w:color="auto"/>
      </w:divBdr>
    </w:div>
    <w:div w:id="647249898">
      <w:bodyDiv w:val="1"/>
      <w:marLeft w:val="0"/>
      <w:marRight w:val="0"/>
      <w:marTop w:val="0"/>
      <w:marBottom w:val="0"/>
      <w:divBdr>
        <w:top w:val="none" w:sz="0" w:space="0" w:color="auto"/>
        <w:left w:val="none" w:sz="0" w:space="0" w:color="auto"/>
        <w:bottom w:val="none" w:sz="0" w:space="0" w:color="auto"/>
        <w:right w:val="none" w:sz="0" w:space="0" w:color="auto"/>
      </w:divBdr>
    </w:div>
    <w:div w:id="647319504">
      <w:bodyDiv w:val="1"/>
      <w:marLeft w:val="0"/>
      <w:marRight w:val="0"/>
      <w:marTop w:val="0"/>
      <w:marBottom w:val="0"/>
      <w:divBdr>
        <w:top w:val="none" w:sz="0" w:space="0" w:color="auto"/>
        <w:left w:val="none" w:sz="0" w:space="0" w:color="auto"/>
        <w:bottom w:val="none" w:sz="0" w:space="0" w:color="auto"/>
        <w:right w:val="none" w:sz="0" w:space="0" w:color="auto"/>
      </w:divBdr>
    </w:div>
    <w:div w:id="647444038">
      <w:bodyDiv w:val="1"/>
      <w:marLeft w:val="0"/>
      <w:marRight w:val="0"/>
      <w:marTop w:val="0"/>
      <w:marBottom w:val="0"/>
      <w:divBdr>
        <w:top w:val="none" w:sz="0" w:space="0" w:color="auto"/>
        <w:left w:val="none" w:sz="0" w:space="0" w:color="auto"/>
        <w:bottom w:val="none" w:sz="0" w:space="0" w:color="auto"/>
        <w:right w:val="none" w:sz="0" w:space="0" w:color="auto"/>
      </w:divBdr>
    </w:div>
    <w:div w:id="647517124">
      <w:bodyDiv w:val="1"/>
      <w:marLeft w:val="0"/>
      <w:marRight w:val="0"/>
      <w:marTop w:val="0"/>
      <w:marBottom w:val="0"/>
      <w:divBdr>
        <w:top w:val="none" w:sz="0" w:space="0" w:color="auto"/>
        <w:left w:val="none" w:sz="0" w:space="0" w:color="auto"/>
        <w:bottom w:val="none" w:sz="0" w:space="0" w:color="auto"/>
        <w:right w:val="none" w:sz="0" w:space="0" w:color="auto"/>
      </w:divBdr>
    </w:div>
    <w:div w:id="647587930">
      <w:bodyDiv w:val="1"/>
      <w:marLeft w:val="0"/>
      <w:marRight w:val="0"/>
      <w:marTop w:val="0"/>
      <w:marBottom w:val="0"/>
      <w:divBdr>
        <w:top w:val="none" w:sz="0" w:space="0" w:color="auto"/>
        <w:left w:val="none" w:sz="0" w:space="0" w:color="auto"/>
        <w:bottom w:val="none" w:sz="0" w:space="0" w:color="auto"/>
        <w:right w:val="none" w:sz="0" w:space="0" w:color="auto"/>
      </w:divBdr>
    </w:div>
    <w:div w:id="647588887">
      <w:bodyDiv w:val="1"/>
      <w:marLeft w:val="0"/>
      <w:marRight w:val="0"/>
      <w:marTop w:val="0"/>
      <w:marBottom w:val="0"/>
      <w:divBdr>
        <w:top w:val="none" w:sz="0" w:space="0" w:color="auto"/>
        <w:left w:val="none" w:sz="0" w:space="0" w:color="auto"/>
        <w:bottom w:val="none" w:sz="0" w:space="0" w:color="auto"/>
        <w:right w:val="none" w:sz="0" w:space="0" w:color="auto"/>
      </w:divBdr>
    </w:div>
    <w:div w:id="647589857">
      <w:bodyDiv w:val="1"/>
      <w:marLeft w:val="0"/>
      <w:marRight w:val="0"/>
      <w:marTop w:val="0"/>
      <w:marBottom w:val="0"/>
      <w:divBdr>
        <w:top w:val="none" w:sz="0" w:space="0" w:color="auto"/>
        <w:left w:val="none" w:sz="0" w:space="0" w:color="auto"/>
        <w:bottom w:val="none" w:sz="0" w:space="0" w:color="auto"/>
        <w:right w:val="none" w:sz="0" w:space="0" w:color="auto"/>
      </w:divBdr>
    </w:div>
    <w:div w:id="647592452">
      <w:bodyDiv w:val="1"/>
      <w:marLeft w:val="0"/>
      <w:marRight w:val="0"/>
      <w:marTop w:val="0"/>
      <w:marBottom w:val="0"/>
      <w:divBdr>
        <w:top w:val="none" w:sz="0" w:space="0" w:color="auto"/>
        <w:left w:val="none" w:sz="0" w:space="0" w:color="auto"/>
        <w:bottom w:val="none" w:sz="0" w:space="0" w:color="auto"/>
        <w:right w:val="none" w:sz="0" w:space="0" w:color="auto"/>
      </w:divBdr>
    </w:div>
    <w:div w:id="647710034">
      <w:bodyDiv w:val="1"/>
      <w:marLeft w:val="0"/>
      <w:marRight w:val="0"/>
      <w:marTop w:val="0"/>
      <w:marBottom w:val="0"/>
      <w:divBdr>
        <w:top w:val="none" w:sz="0" w:space="0" w:color="auto"/>
        <w:left w:val="none" w:sz="0" w:space="0" w:color="auto"/>
        <w:bottom w:val="none" w:sz="0" w:space="0" w:color="auto"/>
        <w:right w:val="none" w:sz="0" w:space="0" w:color="auto"/>
      </w:divBdr>
    </w:div>
    <w:div w:id="647711939">
      <w:bodyDiv w:val="1"/>
      <w:marLeft w:val="0"/>
      <w:marRight w:val="0"/>
      <w:marTop w:val="0"/>
      <w:marBottom w:val="0"/>
      <w:divBdr>
        <w:top w:val="none" w:sz="0" w:space="0" w:color="auto"/>
        <w:left w:val="none" w:sz="0" w:space="0" w:color="auto"/>
        <w:bottom w:val="none" w:sz="0" w:space="0" w:color="auto"/>
        <w:right w:val="none" w:sz="0" w:space="0" w:color="auto"/>
      </w:divBdr>
    </w:div>
    <w:div w:id="647898616">
      <w:bodyDiv w:val="1"/>
      <w:marLeft w:val="0"/>
      <w:marRight w:val="0"/>
      <w:marTop w:val="0"/>
      <w:marBottom w:val="0"/>
      <w:divBdr>
        <w:top w:val="none" w:sz="0" w:space="0" w:color="auto"/>
        <w:left w:val="none" w:sz="0" w:space="0" w:color="auto"/>
        <w:bottom w:val="none" w:sz="0" w:space="0" w:color="auto"/>
        <w:right w:val="none" w:sz="0" w:space="0" w:color="auto"/>
      </w:divBdr>
    </w:div>
    <w:div w:id="647898701">
      <w:bodyDiv w:val="1"/>
      <w:marLeft w:val="0"/>
      <w:marRight w:val="0"/>
      <w:marTop w:val="0"/>
      <w:marBottom w:val="0"/>
      <w:divBdr>
        <w:top w:val="none" w:sz="0" w:space="0" w:color="auto"/>
        <w:left w:val="none" w:sz="0" w:space="0" w:color="auto"/>
        <w:bottom w:val="none" w:sz="0" w:space="0" w:color="auto"/>
        <w:right w:val="none" w:sz="0" w:space="0" w:color="auto"/>
      </w:divBdr>
    </w:div>
    <w:div w:id="647975368">
      <w:bodyDiv w:val="1"/>
      <w:marLeft w:val="0"/>
      <w:marRight w:val="0"/>
      <w:marTop w:val="0"/>
      <w:marBottom w:val="0"/>
      <w:divBdr>
        <w:top w:val="none" w:sz="0" w:space="0" w:color="auto"/>
        <w:left w:val="none" w:sz="0" w:space="0" w:color="auto"/>
        <w:bottom w:val="none" w:sz="0" w:space="0" w:color="auto"/>
        <w:right w:val="none" w:sz="0" w:space="0" w:color="auto"/>
      </w:divBdr>
    </w:div>
    <w:div w:id="648052044">
      <w:bodyDiv w:val="1"/>
      <w:marLeft w:val="0"/>
      <w:marRight w:val="0"/>
      <w:marTop w:val="0"/>
      <w:marBottom w:val="0"/>
      <w:divBdr>
        <w:top w:val="none" w:sz="0" w:space="0" w:color="auto"/>
        <w:left w:val="none" w:sz="0" w:space="0" w:color="auto"/>
        <w:bottom w:val="none" w:sz="0" w:space="0" w:color="auto"/>
        <w:right w:val="none" w:sz="0" w:space="0" w:color="auto"/>
      </w:divBdr>
    </w:div>
    <w:div w:id="648172993">
      <w:bodyDiv w:val="1"/>
      <w:marLeft w:val="0"/>
      <w:marRight w:val="0"/>
      <w:marTop w:val="0"/>
      <w:marBottom w:val="0"/>
      <w:divBdr>
        <w:top w:val="none" w:sz="0" w:space="0" w:color="auto"/>
        <w:left w:val="none" w:sz="0" w:space="0" w:color="auto"/>
        <w:bottom w:val="none" w:sz="0" w:space="0" w:color="auto"/>
        <w:right w:val="none" w:sz="0" w:space="0" w:color="auto"/>
      </w:divBdr>
    </w:div>
    <w:div w:id="648247670">
      <w:bodyDiv w:val="1"/>
      <w:marLeft w:val="0"/>
      <w:marRight w:val="0"/>
      <w:marTop w:val="0"/>
      <w:marBottom w:val="0"/>
      <w:divBdr>
        <w:top w:val="none" w:sz="0" w:space="0" w:color="auto"/>
        <w:left w:val="none" w:sz="0" w:space="0" w:color="auto"/>
        <w:bottom w:val="none" w:sz="0" w:space="0" w:color="auto"/>
        <w:right w:val="none" w:sz="0" w:space="0" w:color="auto"/>
      </w:divBdr>
    </w:div>
    <w:div w:id="648289940">
      <w:bodyDiv w:val="1"/>
      <w:marLeft w:val="0"/>
      <w:marRight w:val="0"/>
      <w:marTop w:val="0"/>
      <w:marBottom w:val="0"/>
      <w:divBdr>
        <w:top w:val="none" w:sz="0" w:space="0" w:color="auto"/>
        <w:left w:val="none" w:sz="0" w:space="0" w:color="auto"/>
        <w:bottom w:val="none" w:sz="0" w:space="0" w:color="auto"/>
        <w:right w:val="none" w:sz="0" w:space="0" w:color="auto"/>
      </w:divBdr>
    </w:div>
    <w:div w:id="648362857">
      <w:bodyDiv w:val="1"/>
      <w:marLeft w:val="0"/>
      <w:marRight w:val="0"/>
      <w:marTop w:val="0"/>
      <w:marBottom w:val="0"/>
      <w:divBdr>
        <w:top w:val="none" w:sz="0" w:space="0" w:color="auto"/>
        <w:left w:val="none" w:sz="0" w:space="0" w:color="auto"/>
        <w:bottom w:val="none" w:sz="0" w:space="0" w:color="auto"/>
        <w:right w:val="none" w:sz="0" w:space="0" w:color="auto"/>
      </w:divBdr>
    </w:div>
    <w:div w:id="648437730">
      <w:bodyDiv w:val="1"/>
      <w:marLeft w:val="0"/>
      <w:marRight w:val="0"/>
      <w:marTop w:val="0"/>
      <w:marBottom w:val="0"/>
      <w:divBdr>
        <w:top w:val="none" w:sz="0" w:space="0" w:color="auto"/>
        <w:left w:val="none" w:sz="0" w:space="0" w:color="auto"/>
        <w:bottom w:val="none" w:sz="0" w:space="0" w:color="auto"/>
        <w:right w:val="none" w:sz="0" w:space="0" w:color="auto"/>
      </w:divBdr>
    </w:div>
    <w:div w:id="648439968">
      <w:bodyDiv w:val="1"/>
      <w:marLeft w:val="0"/>
      <w:marRight w:val="0"/>
      <w:marTop w:val="0"/>
      <w:marBottom w:val="0"/>
      <w:divBdr>
        <w:top w:val="none" w:sz="0" w:space="0" w:color="auto"/>
        <w:left w:val="none" w:sz="0" w:space="0" w:color="auto"/>
        <w:bottom w:val="none" w:sz="0" w:space="0" w:color="auto"/>
        <w:right w:val="none" w:sz="0" w:space="0" w:color="auto"/>
      </w:divBdr>
    </w:div>
    <w:div w:id="648556101">
      <w:bodyDiv w:val="1"/>
      <w:marLeft w:val="0"/>
      <w:marRight w:val="0"/>
      <w:marTop w:val="0"/>
      <w:marBottom w:val="0"/>
      <w:divBdr>
        <w:top w:val="none" w:sz="0" w:space="0" w:color="auto"/>
        <w:left w:val="none" w:sz="0" w:space="0" w:color="auto"/>
        <w:bottom w:val="none" w:sz="0" w:space="0" w:color="auto"/>
        <w:right w:val="none" w:sz="0" w:space="0" w:color="auto"/>
      </w:divBdr>
    </w:div>
    <w:div w:id="648556234">
      <w:bodyDiv w:val="1"/>
      <w:marLeft w:val="0"/>
      <w:marRight w:val="0"/>
      <w:marTop w:val="0"/>
      <w:marBottom w:val="0"/>
      <w:divBdr>
        <w:top w:val="none" w:sz="0" w:space="0" w:color="auto"/>
        <w:left w:val="none" w:sz="0" w:space="0" w:color="auto"/>
        <w:bottom w:val="none" w:sz="0" w:space="0" w:color="auto"/>
        <w:right w:val="none" w:sz="0" w:space="0" w:color="auto"/>
      </w:divBdr>
    </w:div>
    <w:div w:id="648561649">
      <w:bodyDiv w:val="1"/>
      <w:marLeft w:val="0"/>
      <w:marRight w:val="0"/>
      <w:marTop w:val="0"/>
      <w:marBottom w:val="0"/>
      <w:divBdr>
        <w:top w:val="none" w:sz="0" w:space="0" w:color="auto"/>
        <w:left w:val="none" w:sz="0" w:space="0" w:color="auto"/>
        <w:bottom w:val="none" w:sz="0" w:space="0" w:color="auto"/>
        <w:right w:val="none" w:sz="0" w:space="0" w:color="auto"/>
      </w:divBdr>
    </w:div>
    <w:div w:id="648754240">
      <w:bodyDiv w:val="1"/>
      <w:marLeft w:val="0"/>
      <w:marRight w:val="0"/>
      <w:marTop w:val="0"/>
      <w:marBottom w:val="0"/>
      <w:divBdr>
        <w:top w:val="none" w:sz="0" w:space="0" w:color="auto"/>
        <w:left w:val="none" w:sz="0" w:space="0" w:color="auto"/>
        <w:bottom w:val="none" w:sz="0" w:space="0" w:color="auto"/>
        <w:right w:val="none" w:sz="0" w:space="0" w:color="auto"/>
      </w:divBdr>
    </w:div>
    <w:div w:id="648942885">
      <w:bodyDiv w:val="1"/>
      <w:marLeft w:val="0"/>
      <w:marRight w:val="0"/>
      <w:marTop w:val="0"/>
      <w:marBottom w:val="0"/>
      <w:divBdr>
        <w:top w:val="none" w:sz="0" w:space="0" w:color="auto"/>
        <w:left w:val="none" w:sz="0" w:space="0" w:color="auto"/>
        <w:bottom w:val="none" w:sz="0" w:space="0" w:color="auto"/>
        <w:right w:val="none" w:sz="0" w:space="0" w:color="auto"/>
      </w:divBdr>
    </w:div>
    <w:div w:id="648948705">
      <w:bodyDiv w:val="1"/>
      <w:marLeft w:val="0"/>
      <w:marRight w:val="0"/>
      <w:marTop w:val="0"/>
      <w:marBottom w:val="0"/>
      <w:divBdr>
        <w:top w:val="none" w:sz="0" w:space="0" w:color="auto"/>
        <w:left w:val="none" w:sz="0" w:space="0" w:color="auto"/>
        <w:bottom w:val="none" w:sz="0" w:space="0" w:color="auto"/>
        <w:right w:val="none" w:sz="0" w:space="0" w:color="auto"/>
      </w:divBdr>
    </w:div>
    <w:div w:id="649097857">
      <w:bodyDiv w:val="1"/>
      <w:marLeft w:val="0"/>
      <w:marRight w:val="0"/>
      <w:marTop w:val="0"/>
      <w:marBottom w:val="0"/>
      <w:divBdr>
        <w:top w:val="none" w:sz="0" w:space="0" w:color="auto"/>
        <w:left w:val="none" w:sz="0" w:space="0" w:color="auto"/>
        <w:bottom w:val="none" w:sz="0" w:space="0" w:color="auto"/>
        <w:right w:val="none" w:sz="0" w:space="0" w:color="auto"/>
      </w:divBdr>
    </w:div>
    <w:div w:id="649142093">
      <w:bodyDiv w:val="1"/>
      <w:marLeft w:val="0"/>
      <w:marRight w:val="0"/>
      <w:marTop w:val="0"/>
      <w:marBottom w:val="0"/>
      <w:divBdr>
        <w:top w:val="none" w:sz="0" w:space="0" w:color="auto"/>
        <w:left w:val="none" w:sz="0" w:space="0" w:color="auto"/>
        <w:bottom w:val="none" w:sz="0" w:space="0" w:color="auto"/>
        <w:right w:val="none" w:sz="0" w:space="0" w:color="auto"/>
      </w:divBdr>
    </w:div>
    <w:div w:id="649212977">
      <w:bodyDiv w:val="1"/>
      <w:marLeft w:val="0"/>
      <w:marRight w:val="0"/>
      <w:marTop w:val="0"/>
      <w:marBottom w:val="0"/>
      <w:divBdr>
        <w:top w:val="none" w:sz="0" w:space="0" w:color="auto"/>
        <w:left w:val="none" w:sz="0" w:space="0" w:color="auto"/>
        <w:bottom w:val="none" w:sz="0" w:space="0" w:color="auto"/>
        <w:right w:val="none" w:sz="0" w:space="0" w:color="auto"/>
      </w:divBdr>
    </w:div>
    <w:div w:id="649287235">
      <w:bodyDiv w:val="1"/>
      <w:marLeft w:val="0"/>
      <w:marRight w:val="0"/>
      <w:marTop w:val="0"/>
      <w:marBottom w:val="0"/>
      <w:divBdr>
        <w:top w:val="none" w:sz="0" w:space="0" w:color="auto"/>
        <w:left w:val="none" w:sz="0" w:space="0" w:color="auto"/>
        <w:bottom w:val="none" w:sz="0" w:space="0" w:color="auto"/>
        <w:right w:val="none" w:sz="0" w:space="0" w:color="auto"/>
      </w:divBdr>
    </w:div>
    <w:div w:id="649361052">
      <w:bodyDiv w:val="1"/>
      <w:marLeft w:val="0"/>
      <w:marRight w:val="0"/>
      <w:marTop w:val="0"/>
      <w:marBottom w:val="0"/>
      <w:divBdr>
        <w:top w:val="none" w:sz="0" w:space="0" w:color="auto"/>
        <w:left w:val="none" w:sz="0" w:space="0" w:color="auto"/>
        <w:bottom w:val="none" w:sz="0" w:space="0" w:color="auto"/>
        <w:right w:val="none" w:sz="0" w:space="0" w:color="auto"/>
      </w:divBdr>
    </w:div>
    <w:div w:id="649410417">
      <w:bodyDiv w:val="1"/>
      <w:marLeft w:val="0"/>
      <w:marRight w:val="0"/>
      <w:marTop w:val="0"/>
      <w:marBottom w:val="0"/>
      <w:divBdr>
        <w:top w:val="none" w:sz="0" w:space="0" w:color="auto"/>
        <w:left w:val="none" w:sz="0" w:space="0" w:color="auto"/>
        <w:bottom w:val="none" w:sz="0" w:space="0" w:color="auto"/>
        <w:right w:val="none" w:sz="0" w:space="0" w:color="auto"/>
      </w:divBdr>
    </w:div>
    <w:div w:id="649479814">
      <w:bodyDiv w:val="1"/>
      <w:marLeft w:val="0"/>
      <w:marRight w:val="0"/>
      <w:marTop w:val="0"/>
      <w:marBottom w:val="0"/>
      <w:divBdr>
        <w:top w:val="none" w:sz="0" w:space="0" w:color="auto"/>
        <w:left w:val="none" w:sz="0" w:space="0" w:color="auto"/>
        <w:bottom w:val="none" w:sz="0" w:space="0" w:color="auto"/>
        <w:right w:val="none" w:sz="0" w:space="0" w:color="auto"/>
      </w:divBdr>
    </w:div>
    <w:div w:id="649482715">
      <w:bodyDiv w:val="1"/>
      <w:marLeft w:val="0"/>
      <w:marRight w:val="0"/>
      <w:marTop w:val="0"/>
      <w:marBottom w:val="0"/>
      <w:divBdr>
        <w:top w:val="none" w:sz="0" w:space="0" w:color="auto"/>
        <w:left w:val="none" w:sz="0" w:space="0" w:color="auto"/>
        <w:bottom w:val="none" w:sz="0" w:space="0" w:color="auto"/>
        <w:right w:val="none" w:sz="0" w:space="0" w:color="auto"/>
      </w:divBdr>
    </w:div>
    <w:div w:id="649486040">
      <w:bodyDiv w:val="1"/>
      <w:marLeft w:val="0"/>
      <w:marRight w:val="0"/>
      <w:marTop w:val="0"/>
      <w:marBottom w:val="0"/>
      <w:divBdr>
        <w:top w:val="none" w:sz="0" w:space="0" w:color="auto"/>
        <w:left w:val="none" w:sz="0" w:space="0" w:color="auto"/>
        <w:bottom w:val="none" w:sz="0" w:space="0" w:color="auto"/>
        <w:right w:val="none" w:sz="0" w:space="0" w:color="auto"/>
      </w:divBdr>
    </w:div>
    <w:div w:id="649553214">
      <w:bodyDiv w:val="1"/>
      <w:marLeft w:val="0"/>
      <w:marRight w:val="0"/>
      <w:marTop w:val="0"/>
      <w:marBottom w:val="0"/>
      <w:divBdr>
        <w:top w:val="none" w:sz="0" w:space="0" w:color="auto"/>
        <w:left w:val="none" w:sz="0" w:space="0" w:color="auto"/>
        <w:bottom w:val="none" w:sz="0" w:space="0" w:color="auto"/>
        <w:right w:val="none" w:sz="0" w:space="0" w:color="auto"/>
      </w:divBdr>
    </w:div>
    <w:div w:id="649557535">
      <w:bodyDiv w:val="1"/>
      <w:marLeft w:val="0"/>
      <w:marRight w:val="0"/>
      <w:marTop w:val="0"/>
      <w:marBottom w:val="0"/>
      <w:divBdr>
        <w:top w:val="none" w:sz="0" w:space="0" w:color="auto"/>
        <w:left w:val="none" w:sz="0" w:space="0" w:color="auto"/>
        <w:bottom w:val="none" w:sz="0" w:space="0" w:color="auto"/>
        <w:right w:val="none" w:sz="0" w:space="0" w:color="auto"/>
      </w:divBdr>
    </w:div>
    <w:div w:id="649602871">
      <w:bodyDiv w:val="1"/>
      <w:marLeft w:val="0"/>
      <w:marRight w:val="0"/>
      <w:marTop w:val="0"/>
      <w:marBottom w:val="0"/>
      <w:divBdr>
        <w:top w:val="none" w:sz="0" w:space="0" w:color="auto"/>
        <w:left w:val="none" w:sz="0" w:space="0" w:color="auto"/>
        <w:bottom w:val="none" w:sz="0" w:space="0" w:color="auto"/>
        <w:right w:val="none" w:sz="0" w:space="0" w:color="auto"/>
      </w:divBdr>
    </w:div>
    <w:div w:id="649675055">
      <w:bodyDiv w:val="1"/>
      <w:marLeft w:val="0"/>
      <w:marRight w:val="0"/>
      <w:marTop w:val="0"/>
      <w:marBottom w:val="0"/>
      <w:divBdr>
        <w:top w:val="none" w:sz="0" w:space="0" w:color="auto"/>
        <w:left w:val="none" w:sz="0" w:space="0" w:color="auto"/>
        <w:bottom w:val="none" w:sz="0" w:space="0" w:color="auto"/>
        <w:right w:val="none" w:sz="0" w:space="0" w:color="auto"/>
      </w:divBdr>
    </w:div>
    <w:div w:id="649865041">
      <w:bodyDiv w:val="1"/>
      <w:marLeft w:val="0"/>
      <w:marRight w:val="0"/>
      <w:marTop w:val="0"/>
      <w:marBottom w:val="0"/>
      <w:divBdr>
        <w:top w:val="none" w:sz="0" w:space="0" w:color="auto"/>
        <w:left w:val="none" w:sz="0" w:space="0" w:color="auto"/>
        <w:bottom w:val="none" w:sz="0" w:space="0" w:color="auto"/>
        <w:right w:val="none" w:sz="0" w:space="0" w:color="auto"/>
      </w:divBdr>
    </w:div>
    <w:div w:id="649868890">
      <w:bodyDiv w:val="1"/>
      <w:marLeft w:val="0"/>
      <w:marRight w:val="0"/>
      <w:marTop w:val="0"/>
      <w:marBottom w:val="0"/>
      <w:divBdr>
        <w:top w:val="none" w:sz="0" w:space="0" w:color="auto"/>
        <w:left w:val="none" w:sz="0" w:space="0" w:color="auto"/>
        <w:bottom w:val="none" w:sz="0" w:space="0" w:color="auto"/>
        <w:right w:val="none" w:sz="0" w:space="0" w:color="auto"/>
      </w:divBdr>
    </w:div>
    <w:div w:id="649939792">
      <w:bodyDiv w:val="1"/>
      <w:marLeft w:val="0"/>
      <w:marRight w:val="0"/>
      <w:marTop w:val="0"/>
      <w:marBottom w:val="0"/>
      <w:divBdr>
        <w:top w:val="none" w:sz="0" w:space="0" w:color="auto"/>
        <w:left w:val="none" w:sz="0" w:space="0" w:color="auto"/>
        <w:bottom w:val="none" w:sz="0" w:space="0" w:color="auto"/>
        <w:right w:val="none" w:sz="0" w:space="0" w:color="auto"/>
      </w:divBdr>
    </w:div>
    <w:div w:id="649942175">
      <w:bodyDiv w:val="1"/>
      <w:marLeft w:val="0"/>
      <w:marRight w:val="0"/>
      <w:marTop w:val="0"/>
      <w:marBottom w:val="0"/>
      <w:divBdr>
        <w:top w:val="none" w:sz="0" w:space="0" w:color="auto"/>
        <w:left w:val="none" w:sz="0" w:space="0" w:color="auto"/>
        <w:bottom w:val="none" w:sz="0" w:space="0" w:color="auto"/>
        <w:right w:val="none" w:sz="0" w:space="0" w:color="auto"/>
      </w:divBdr>
    </w:div>
    <w:div w:id="649986674">
      <w:bodyDiv w:val="1"/>
      <w:marLeft w:val="0"/>
      <w:marRight w:val="0"/>
      <w:marTop w:val="0"/>
      <w:marBottom w:val="0"/>
      <w:divBdr>
        <w:top w:val="none" w:sz="0" w:space="0" w:color="auto"/>
        <w:left w:val="none" w:sz="0" w:space="0" w:color="auto"/>
        <w:bottom w:val="none" w:sz="0" w:space="0" w:color="auto"/>
        <w:right w:val="none" w:sz="0" w:space="0" w:color="auto"/>
      </w:divBdr>
    </w:div>
    <w:div w:id="649990445">
      <w:bodyDiv w:val="1"/>
      <w:marLeft w:val="0"/>
      <w:marRight w:val="0"/>
      <w:marTop w:val="0"/>
      <w:marBottom w:val="0"/>
      <w:divBdr>
        <w:top w:val="none" w:sz="0" w:space="0" w:color="auto"/>
        <w:left w:val="none" w:sz="0" w:space="0" w:color="auto"/>
        <w:bottom w:val="none" w:sz="0" w:space="0" w:color="auto"/>
        <w:right w:val="none" w:sz="0" w:space="0" w:color="auto"/>
      </w:divBdr>
    </w:div>
    <w:div w:id="650064485">
      <w:bodyDiv w:val="1"/>
      <w:marLeft w:val="0"/>
      <w:marRight w:val="0"/>
      <w:marTop w:val="0"/>
      <w:marBottom w:val="0"/>
      <w:divBdr>
        <w:top w:val="none" w:sz="0" w:space="0" w:color="auto"/>
        <w:left w:val="none" w:sz="0" w:space="0" w:color="auto"/>
        <w:bottom w:val="none" w:sz="0" w:space="0" w:color="auto"/>
        <w:right w:val="none" w:sz="0" w:space="0" w:color="auto"/>
      </w:divBdr>
    </w:div>
    <w:div w:id="650065475">
      <w:bodyDiv w:val="1"/>
      <w:marLeft w:val="0"/>
      <w:marRight w:val="0"/>
      <w:marTop w:val="0"/>
      <w:marBottom w:val="0"/>
      <w:divBdr>
        <w:top w:val="none" w:sz="0" w:space="0" w:color="auto"/>
        <w:left w:val="none" w:sz="0" w:space="0" w:color="auto"/>
        <w:bottom w:val="none" w:sz="0" w:space="0" w:color="auto"/>
        <w:right w:val="none" w:sz="0" w:space="0" w:color="auto"/>
      </w:divBdr>
    </w:div>
    <w:div w:id="650066092">
      <w:bodyDiv w:val="1"/>
      <w:marLeft w:val="0"/>
      <w:marRight w:val="0"/>
      <w:marTop w:val="0"/>
      <w:marBottom w:val="0"/>
      <w:divBdr>
        <w:top w:val="none" w:sz="0" w:space="0" w:color="auto"/>
        <w:left w:val="none" w:sz="0" w:space="0" w:color="auto"/>
        <w:bottom w:val="none" w:sz="0" w:space="0" w:color="auto"/>
        <w:right w:val="none" w:sz="0" w:space="0" w:color="auto"/>
      </w:divBdr>
    </w:div>
    <w:div w:id="650133068">
      <w:bodyDiv w:val="1"/>
      <w:marLeft w:val="0"/>
      <w:marRight w:val="0"/>
      <w:marTop w:val="0"/>
      <w:marBottom w:val="0"/>
      <w:divBdr>
        <w:top w:val="none" w:sz="0" w:space="0" w:color="auto"/>
        <w:left w:val="none" w:sz="0" w:space="0" w:color="auto"/>
        <w:bottom w:val="none" w:sz="0" w:space="0" w:color="auto"/>
        <w:right w:val="none" w:sz="0" w:space="0" w:color="auto"/>
      </w:divBdr>
    </w:div>
    <w:div w:id="650255986">
      <w:bodyDiv w:val="1"/>
      <w:marLeft w:val="0"/>
      <w:marRight w:val="0"/>
      <w:marTop w:val="0"/>
      <w:marBottom w:val="0"/>
      <w:divBdr>
        <w:top w:val="none" w:sz="0" w:space="0" w:color="auto"/>
        <w:left w:val="none" w:sz="0" w:space="0" w:color="auto"/>
        <w:bottom w:val="none" w:sz="0" w:space="0" w:color="auto"/>
        <w:right w:val="none" w:sz="0" w:space="0" w:color="auto"/>
      </w:divBdr>
    </w:div>
    <w:div w:id="650406932">
      <w:bodyDiv w:val="1"/>
      <w:marLeft w:val="0"/>
      <w:marRight w:val="0"/>
      <w:marTop w:val="0"/>
      <w:marBottom w:val="0"/>
      <w:divBdr>
        <w:top w:val="none" w:sz="0" w:space="0" w:color="auto"/>
        <w:left w:val="none" w:sz="0" w:space="0" w:color="auto"/>
        <w:bottom w:val="none" w:sz="0" w:space="0" w:color="auto"/>
        <w:right w:val="none" w:sz="0" w:space="0" w:color="auto"/>
      </w:divBdr>
    </w:div>
    <w:div w:id="650448419">
      <w:bodyDiv w:val="1"/>
      <w:marLeft w:val="0"/>
      <w:marRight w:val="0"/>
      <w:marTop w:val="0"/>
      <w:marBottom w:val="0"/>
      <w:divBdr>
        <w:top w:val="none" w:sz="0" w:space="0" w:color="auto"/>
        <w:left w:val="none" w:sz="0" w:space="0" w:color="auto"/>
        <w:bottom w:val="none" w:sz="0" w:space="0" w:color="auto"/>
        <w:right w:val="none" w:sz="0" w:space="0" w:color="auto"/>
      </w:divBdr>
    </w:div>
    <w:div w:id="650451286">
      <w:bodyDiv w:val="1"/>
      <w:marLeft w:val="0"/>
      <w:marRight w:val="0"/>
      <w:marTop w:val="0"/>
      <w:marBottom w:val="0"/>
      <w:divBdr>
        <w:top w:val="none" w:sz="0" w:space="0" w:color="auto"/>
        <w:left w:val="none" w:sz="0" w:space="0" w:color="auto"/>
        <w:bottom w:val="none" w:sz="0" w:space="0" w:color="auto"/>
        <w:right w:val="none" w:sz="0" w:space="0" w:color="auto"/>
      </w:divBdr>
    </w:div>
    <w:div w:id="650476552">
      <w:bodyDiv w:val="1"/>
      <w:marLeft w:val="0"/>
      <w:marRight w:val="0"/>
      <w:marTop w:val="0"/>
      <w:marBottom w:val="0"/>
      <w:divBdr>
        <w:top w:val="none" w:sz="0" w:space="0" w:color="auto"/>
        <w:left w:val="none" w:sz="0" w:space="0" w:color="auto"/>
        <w:bottom w:val="none" w:sz="0" w:space="0" w:color="auto"/>
        <w:right w:val="none" w:sz="0" w:space="0" w:color="auto"/>
      </w:divBdr>
    </w:div>
    <w:div w:id="650477423">
      <w:bodyDiv w:val="1"/>
      <w:marLeft w:val="0"/>
      <w:marRight w:val="0"/>
      <w:marTop w:val="0"/>
      <w:marBottom w:val="0"/>
      <w:divBdr>
        <w:top w:val="none" w:sz="0" w:space="0" w:color="auto"/>
        <w:left w:val="none" w:sz="0" w:space="0" w:color="auto"/>
        <w:bottom w:val="none" w:sz="0" w:space="0" w:color="auto"/>
        <w:right w:val="none" w:sz="0" w:space="0" w:color="auto"/>
      </w:divBdr>
    </w:div>
    <w:div w:id="650523623">
      <w:bodyDiv w:val="1"/>
      <w:marLeft w:val="0"/>
      <w:marRight w:val="0"/>
      <w:marTop w:val="0"/>
      <w:marBottom w:val="0"/>
      <w:divBdr>
        <w:top w:val="none" w:sz="0" w:space="0" w:color="auto"/>
        <w:left w:val="none" w:sz="0" w:space="0" w:color="auto"/>
        <w:bottom w:val="none" w:sz="0" w:space="0" w:color="auto"/>
        <w:right w:val="none" w:sz="0" w:space="0" w:color="auto"/>
      </w:divBdr>
    </w:div>
    <w:div w:id="650599793">
      <w:bodyDiv w:val="1"/>
      <w:marLeft w:val="0"/>
      <w:marRight w:val="0"/>
      <w:marTop w:val="0"/>
      <w:marBottom w:val="0"/>
      <w:divBdr>
        <w:top w:val="none" w:sz="0" w:space="0" w:color="auto"/>
        <w:left w:val="none" w:sz="0" w:space="0" w:color="auto"/>
        <w:bottom w:val="none" w:sz="0" w:space="0" w:color="auto"/>
        <w:right w:val="none" w:sz="0" w:space="0" w:color="auto"/>
      </w:divBdr>
    </w:div>
    <w:div w:id="650717430">
      <w:bodyDiv w:val="1"/>
      <w:marLeft w:val="0"/>
      <w:marRight w:val="0"/>
      <w:marTop w:val="0"/>
      <w:marBottom w:val="0"/>
      <w:divBdr>
        <w:top w:val="none" w:sz="0" w:space="0" w:color="auto"/>
        <w:left w:val="none" w:sz="0" w:space="0" w:color="auto"/>
        <w:bottom w:val="none" w:sz="0" w:space="0" w:color="auto"/>
        <w:right w:val="none" w:sz="0" w:space="0" w:color="auto"/>
      </w:divBdr>
    </w:div>
    <w:div w:id="650790512">
      <w:bodyDiv w:val="1"/>
      <w:marLeft w:val="0"/>
      <w:marRight w:val="0"/>
      <w:marTop w:val="0"/>
      <w:marBottom w:val="0"/>
      <w:divBdr>
        <w:top w:val="none" w:sz="0" w:space="0" w:color="auto"/>
        <w:left w:val="none" w:sz="0" w:space="0" w:color="auto"/>
        <w:bottom w:val="none" w:sz="0" w:space="0" w:color="auto"/>
        <w:right w:val="none" w:sz="0" w:space="0" w:color="auto"/>
      </w:divBdr>
    </w:div>
    <w:div w:id="650794463">
      <w:bodyDiv w:val="1"/>
      <w:marLeft w:val="0"/>
      <w:marRight w:val="0"/>
      <w:marTop w:val="0"/>
      <w:marBottom w:val="0"/>
      <w:divBdr>
        <w:top w:val="none" w:sz="0" w:space="0" w:color="auto"/>
        <w:left w:val="none" w:sz="0" w:space="0" w:color="auto"/>
        <w:bottom w:val="none" w:sz="0" w:space="0" w:color="auto"/>
        <w:right w:val="none" w:sz="0" w:space="0" w:color="auto"/>
      </w:divBdr>
    </w:div>
    <w:div w:id="650794601">
      <w:bodyDiv w:val="1"/>
      <w:marLeft w:val="0"/>
      <w:marRight w:val="0"/>
      <w:marTop w:val="0"/>
      <w:marBottom w:val="0"/>
      <w:divBdr>
        <w:top w:val="none" w:sz="0" w:space="0" w:color="auto"/>
        <w:left w:val="none" w:sz="0" w:space="0" w:color="auto"/>
        <w:bottom w:val="none" w:sz="0" w:space="0" w:color="auto"/>
        <w:right w:val="none" w:sz="0" w:space="0" w:color="auto"/>
      </w:divBdr>
    </w:div>
    <w:div w:id="650795514">
      <w:bodyDiv w:val="1"/>
      <w:marLeft w:val="0"/>
      <w:marRight w:val="0"/>
      <w:marTop w:val="0"/>
      <w:marBottom w:val="0"/>
      <w:divBdr>
        <w:top w:val="none" w:sz="0" w:space="0" w:color="auto"/>
        <w:left w:val="none" w:sz="0" w:space="0" w:color="auto"/>
        <w:bottom w:val="none" w:sz="0" w:space="0" w:color="auto"/>
        <w:right w:val="none" w:sz="0" w:space="0" w:color="auto"/>
      </w:divBdr>
    </w:div>
    <w:div w:id="650865060">
      <w:bodyDiv w:val="1"/>
      <w:marLeft w:val="0"/>
      <w:marRight w:val="0"/>
      <w:marTop w:val="0"/>
      <w:marBottom w:val="0"/>
      <w:divBdr>
        <w:top w:val="none" w:sz="0" w:space="0" w:color="auto"/>
        <w:left w:val="none" w:sz="0" w:space="0" w:color="auto"/>
        <w:bottom w:val="none" w:sz="0" w:space="0" w:color="auto"/>
        <w:right w:val="none" w:sz="0" w:space="0" w:color="auto"/>
      </w:divBdr>
    </w:div>
    <w:div w:id="651058942">
      <w:bodyDiv w:val="1"/>
      <w:marLeft w:val="0"/>
      <w:marRight w:val="0"/>
      <w:marTop w:val="0"/>
      <w:marBottom w:val="0"/>
      <w:divBdr>
        <w:top w:val="none" w:sz="0" w:space="0" w:color="auto"/>
        <w:left w:val="none" w:sz="0" w:space="0" w:color="auto"/>
        <w:bottom w:val="none" w:sz="0" w:space="0" w:color="auto"/>
        <w:right w:val="none" w:sz="0" w:space="0" w:color="auto"/>
      </w:divBdr>
    </w:div>
    <w:div w:id="651061047">
      <w:bodyDiv w:val="1"/>
      <w:marLeft w:val="0"/>
      <w:marRight w:val="0"/>
      <w:marTop w:val="0"/>
      <w:marBottom w:val="0"/>
      <w:divBdr>
        <w:top w:val="none" w:sz="0" w:space="0" w:color="auto"/>
        <w:left w:val="none" w:sz="0" w:space="0" w:color="auto"/>
        <w:bottom w:val="none" w:sz="0" w:space="0" w:color="auto"/>
        <w:right w:val="none" w:sz="0" w:space="0" w:color="auto"/>
      </w:divBdr>
    </w:div>
    <w:div w:id="651175192">
      <w:bodyDiv w:val="1"/>
      <w:marLeft w:val="0"/>
      <w:marRight w:val="0"/>
      <w:marTop w:val="0"/>
      <w:marBottom w:val="0"/>
      <w:divBdr>
        <w:top w:val="none" w:sz="0" w:space="0" w:color="auto"/>
        <w:left w:val="none" w:sz="0" w:space="0" w:color="auto"/>
        <w:bottom w:val="none" w:sz="0" w:space="0" w:color="auto"/>
        <w:right w:val="none" w:sz="0" w:space="0" w:color="auto"/>
      </w:divBdr>
    </w:div>
    <w:div w:id="651179192">
      <w:bodyDiv w:val="1"/>
      <w:marLeft w:val="0"/>
      <w:marRight w:val="0"/>
      <w:marTop w:val="0"/>
      <w:marBottom w:val="0"/>
      <w:divBdr>
        <w:top w:val="none" w:sz="0" w:space="0" w:color="auto"/>
        <w:left w:val="none" w:sz="0" w:space="0" w:color="auto"/>
        <w:bottom w:val="none" w:sz="0" w:space="0" w:color="auto"/>
        <w:right w:val="none" w:sz="0" w:space="0" w:color="auto"/>
      </w:divBdr>
    </w:div>
    <w:div w:id="651525325">
      <w:bodyDiv w:val="1"/>
      <w:marLeft w:val="0"/>
      <w:marRight w:val="0"/>
      <w:marTop w:val="0"/>
      <w:marBottom w:val="0"/>
      <w:divBdr>
        <w:top w:val="none" w:sz="0" w:space="0" w:color="auto"/>
        <w:left w:val="none" w:sz="0" w:space="0" w:color="auto"/>
        <w:bottom w:val="none" w:sz="0" w:space="0" w:color="auto"/>
        <w:right w:val="none" w:sz="0" w:space="0" w:color="auto"/>
      </w:divBdr>
    </w:div>
    <w:div w:id="651569753">
      <w:bodyDiv w:val="1"/>
      <w:marLeft w:val="0"/>
      <w:marRight w:val="0"/>
      <w:marTop w:val="0"/>
      <w:marBottom w:val="0"/>
      <w:divBdr>
        <w:top w:val="none" w:sz="0" w:space="0" w:color="auto"/>
        <w:left w:val="none" w:sz="0" w:space="0" w:color="auto"/>
        <w:bottom w:val="none" w:sz="0" w:space="0" w:color="auto"/>
        <w:right w:val="none" w:sz="0" w:space="0" w:color="auto"/>
      </w:divBdr>
    </w:div>
    <w:div w:id="651645065">
      <w:bodyDiv w:val="1"/>
      <w:marLeft w:val="0"/>
      <w:marRight w:val="0"/>
      <w:marTop w:val="0"/>
      <w:marBottom w:val="0"/>
      <w:divBdr>
        <w:top w:val="none" w:sz="0" w:space="0" w:color="auto"/>
        <w:left w:val="none" w:sz="0" w:space="0" w:color="auto"/>
        <w:bottom w:val="none" w:sz="0" w:space="0" w:color="auto"/>
        <w:right w:val="none" w:sz="0" w:space="0" w:color="auto"/>
      </w:divBdr>
    </w:div>
    <w:div w:id="651838427">
      <w:bodyDiv w:val="1"/>
      <w:marLeft w:val="0"/>
      <w:marRight w:val="0"/>
      <w:marTop w:val="0"/>
      <w:marBottom w:val="0"/>
      <w:divBdr>
        <w:top w:val="none" w:sz="0" w:space="0" w:color="auto"/>
        <w:left w:val="none" w:sz="0" w:space="0" w:color="auto"/>
        <w:bottom w:val="none" w:sz="0" w:space="0" w:color="auto"/>
        <w:right w:val="none" w:sz="0" w:space="0" w:color="auto"/>
      </w:divBdr>
    </w:div>
    <w:div w:id="651907598">
      <w:bodyDiv w:val="1"/>
      <w:marLeft w:val="0"/>
      <w:marRight w:val="0"/>
      <w:marTop w:val="0"/>
      <w:marBottom w:val="0"/>
      <w:divBdr>
        <w:top w:val="none" w:sz="0" w:space="0" w:color="auto"/>
        <w:left w:val="none" w:sz="0" w:space="0" w:color="auto"/>
        <w:bottom w:val="none" w:sz="0" w:space="0" w:color="auto"/>
        <w:right w:val="none" w:sz="0" w:space="0" w:color="auto"/>
      </w:divBdr>
    </w:div>
    <w:div w:id="651982477">
      <w:bodyDiv w:val="1"/>
      <w:marLeft w:val="0"/>
      <w:marRight w:val="0"/>
      <w:marTop w:val="0"/>
      <w:marBottom w:val="0"/>
      <w:divBdr>
        <w:top w:val="none" w:sz="0" w:space="0" w:color="auto"/>
        <w:left w:val="none" w:sz="0" w:space="0" w:color="auto"/>
        <w:bottom w:val="none" w:sz="0" w:space="0" w:color="auto"/>
        <w:right w:val="none" w:sz="0" w:space="0" w:color="auto"/>
      </w:divBdr>
    </w:div>
    <w:div w:id="652024493">
      <w:bodyDiv w:val="1"/>
      <w:marLeft w:val="0"/>
      <w:marRight w:val="0"/>
      <w:marTop w:val="0"/>
      <w:marBottom w:val="0"/>
      <w:divBdr>
        <w:top w:val="none" w:sz="0" w:space="0" w:color="auto"/>
        <w:left w:val="none" w:sz="0" w:space="0" w:color="auto"/>
        <w:bottom w:val="none" w:sz="0" w:space="0" w:color="auto"/>
        <w:right w:val="none" w:sz="0" w:space="0" w:color="auto"/>
      </w:divBdr>
    </w:div>
    <w:div w:id="652101956">
      <w:bodyDiv w:val="1"/>
      <w:marLeft w:val="0"/>
      <w:marRight w:val="0"/>
      <w:marTop w:val="0"/>
      <w:marBottom w:val="0"/>
      <w:divBdr>
        <w:top w:val="none" w:sz="0" w:space="0" w:color="auto"/>
        <w:left w:val="none" w:sz="0" w:space="0" w:color="auto"/>
        <w:bottom w:val="none" w:sz="0" w:space="0" w:color="auto"/>
        <w:right w:val="none" w:sz="0" w:space="0" w:color="auto"/>
      </w:divBdr>
    </w:div>
    <w:div w:id="652106162">
      <w:bodyDiv w:val="1"/>
      <w:marLeft w:val="0"/>
      <w:marRight w:val="0"/>
      <w:marTop w:val="0"/>
      <w:marBottom w:val="0"/>
      <w:divBdr>
        <w:top w:val="none" w:sz="0" w:space="0" w:color="auto"/>
        <w:left w:val="none" w:sz="0" w:space="0" w:color="auto"/>
        <w:bottom w:val="none" w:sz="0" w:space="0" w:color="auto"/>
        <w:right w:val="none" w:sz="0" w:space="0" w:color="auto"/>
      </w:divBdr>
    </w:div>
    <w:div w:id="652176262">
      <w:bodyDiv w:val="1"/>
      <w:marLeft w:val="0"/>
      <w:marRight w:val="0"/>
      <w:marTop w:val="0"/>
      <w:marBottom w:val="0"/>
      <w:divBdr>
        <w:top w:val="none" w:sz="0" w:space="0" w:color="auto"/>
        <w:left w:val="none" w:sz="0" w:space="0" w:color="auto"/>
        <w:bottom w:val="none" w:sz="0" w:space="0" w:color="auto"/>
        <w:right w:val="none" w:sz="0" w:space="0" w:color="auto"/>
      </w:divBdr>
    </w:div>
    <w:div w:id="652178992">
      <w:bodyDiv w:val="1"/>
      <w:marLeft w:val="0"/>
      <w:marRight w:val="0"/>
      <w:marTop w:val="0"/>
      <w:marBottom w:val="0"/>
      <w:divBdr>
        <w:top w:val="none" w:sz="0" w:space="0" w:color="auto"/>
        <w:left w:val="none" w:sz="0" w:space="0" w:color="auto"/>
        <w:bottom w:val="none" w:sz="0" w:space="0" w:color="auto"/>
        <w:right w:val="none" w:sz="0" w:space="0" w:color="auto"/>
      </w:divBdr>
    </w:div>
    <w:div w:id="652368759">
      <w:bodyDiv w:val="1"/>
      <w:marLeft w:val="0"/>
      <w:marRight w:val="0"/>
      <w:marTop w:val="0"/>
      <w:marBottom w:val="0"/>
      <w:divBdr>
        <w:top w:val="none" w:sz="0" w:space="0" w:color="auto"/>
        <w:left w:val="none" w:sz="0" w:space="0" w:color="auto"/>
        <w:bottom w:val="none" w:sz="0" w:space="0" w:color="auto"/>
        <w:right w:val="none" w:sz="0" w:space="0" w:color="auto"/>
      </w:divBdr>
    </w:div>
    <w:div w:id="652411186">
      <w:bodyDiv w:val="1"/>
      <w:marLeft w:val="0"/>
      <w:marRight w:val="0"/>
      <w:marTop w:val="0"/>
      <w:marBottom w:val="0"/>
      <w:divBdr>
        <w:top w:val="none" w:sz="0" w:space="0" w:color="auto"/>
        <w:left w:val="none" w:sz="0" w:space="0" w:color="auto"/>
        <w:bottom w:val="none" w:sz="0" w:space="0" w:color="auto"/>
        <w:right w:val="none" w:sz="0" w:space="0" w:color="auto"/>
      </w:divBdr>
    </w:div>
    <w:div w:id="652442297">
      <w:bodyDiv w:val="1"/>
      <w:marLeft w:val="0"/>
      <w:marRight w:val="0"/>
      <w:marTop w:val="0"/>
      <w:marBottom w:val="0"/>
      <w:divBdr>
        <w:top w:val="none" w:sz="0" w:space="0" w:color="auto"/>
        <w:left w:val="none" w:sz="0" w:space="0" w:color="auto"/>
        <w:bottom w:val="none" w:sz="0" w:space="0" w:color="auto"/>
        <w:right w:val="none" w:sz="0" w:space="0" w:color="auto"/>
      </w:divBdr>
    </w:div>
    <w:div w:id="652636820">
      <w:bodyDiv w:val="1"/>
      <w:marLeft w:val="0"/>
      <w:marRight w:val="0"/>
      <w:marTop w:val="0"/>
      <w:marBottom w:val="0"/>
      <w:divBdr>
        <w:top w:val="none" w:sz="0" w:space="0" w:color="auto"/>
        <w:left w:val="none" w:sz="0" w:space="0" w:color="auto"/>
        <w:bottom w:val="none" w:sz="0" w:space="0" w:color="auto"/>
        <w:right w:val="none" w:sz="0" w:space="0" w:color="auto"/>
      </w:divBdr>
    </w:div>
    <w:div w:id="652680725">
      <w:bodyDiv w:val="1"/>
      <w:marLeft w:val="0"/>
      <w:marRight w:val="0"/>
      <w:marTop w:val="0"/>
      <w:marBottom w:val="0"/>
      <w:divBdr>
        <w:top w:val="none" w:sz="0" w:space="0" w:color="auto"/>
        <w:left w:val="none" w:sz="0" w:space="0" w:color="auto"/>
        <w:bottom w:val="none" w:sz="0" w:space="0" w:color="auto"/>
        <w:right w:val="none" w:sz="0" w:space="0" w:color="auto"/>
      </w:divBdr>
    </w:div>
    <w:div w:id="652684861">
      <w:bodyDiv w:val="1"/>
      <w:marLeft w:val="0"/>
      <w:marRight w:val="0"/>
      <w:marTop w:val="0"/>
      <w:marBottom w:val="0"/>
      <w:divBdr>
        <w:top w:val="none" w:sz="0" w:space="0" w:color="auto"/>
        <w:left w:val="none" w:sz="0" w:space="0" w:color="auto"/>
        <w:bottom w:val="none" w:sz="0" w:space="0" w:color="auto"/>
        <w:right w:val="none" w:sz="0" w:space="0" w:color="auto"/>
      </w:divBdr>
    </w:div>
    <w:div w:id="652760822">
      <w:bodyDiv w:val="1"/>
      <w:marLeft w:val="0"/>
      <w:marRight w:val="0"/>
      <w:marTop w:val="0"/>
      <w:marBottom w:val="0"/>
      <w:divBdr>
        <w:top w:val="none" w:sz="0" w:space="0" w:color="auto"/>
        <w:left w:val="none" w:sz="0" w:space="0" w:color="auto"/>
        <w:bottom w:val="none" w:sz="0" w:space="0" w:color="auto"/>
        <w:right w:val="none" w:sz="0" w:space="0" w:color="auto"/>
      </w:divBdr>
    </w:div>
    <w:div w:id="652871440">
      <w:bodyDiv w:val="1"/>
      <w:marLeft w:val="0"/>
      <w:marRight w:val="0"/>
      <w:marTop w:val="0"/>
      <w:marBottom w:val="0"/>
      <w:divBdr>
        <w:top w:val="none" w:sz="0" w:space="0" w:color="auto"/>
        <w:left w:val="none" w:sz="0" w:space="0" w:color="auto"/>
        <w:bottom w:val="none" w:sz="0" w:space="0" w:color="auto"/>
        <w:right w:val="none" w:sz="0" w:space="0" w:color="auto"/>
      </w:divBdr>
    </w:div>
    <w:div w:id="652880788">
      <w:bodyDiv w:val="1"/>
      <w:marLeft w:val="0"/>
      <w:marRight w:val="0"/>
      <w:marTop w:val="0"/>
      <w:marBottom w:val="0"/>
      <w:divBdr>
        <w:top w:val="none" w:sz="0" w:space="0" w:color="auto"/>
        <w:left w:val="none" w:sz="0" w:space="0" w:color="auto"/>
        <w:bottom w:val="none" w:sz="0" w:space="0" w:color="auto"/>
        <w:right w:val="none" w:sz="0" w:space="0" w:color="auto"/>
      </w:divBdr>
    </w:div>
    <w:div w:id="652954521">
      <w:bodyDiv w:val="1"/>
      <w:marLeft w:val="0"/>
      <w:marRight w:val="0"/>
      <w:marTop w:val="0"/>
      <w:marBottom w:val="0"/>
      <w:divBdr>
        <w:top w:val="none" w:sz="0" w:space="0" w:color="auto"/>
        <w:left w:val="none" w:sz="0" w:space="0" w:color="auto"/>
        <w:bottom w:val="none" w:sz="0" w:space="0" w:color="auto"/>
        <w:right w:val="none" w:sz="0" w:space="0" w:color="auto"/>
      </w:divBdr>
    </w:div>
    <w:div w:id="653028793">
      <w:bodyDiv w:val="1"/>
      <w:marLeft w:val="0"/>
      <w:marRight w:val="0"/>
      <w:marTop w:val="0"/>
      <w:marBottom w:val="0"/>
      <w:divBdr>
        <w:top w:val="none" w:sz="0" w:space="0" w:color="auto"/>
        <w:left w:val="none" w:sz="0" w:space="0" w:color="auto"/>
        <w:bottom w:val="none" w:sz="0" w:space="0" w:color="auto"/>
        <w:right w:val="none" w:sz="0" w:space="0" w:color="auto"/>
      </w:divBdr>
    </w:div>
    <w:div w:id="653066443">
      <w:bodyDiv w:val="1"/>
      <w:marLeft w:val="0"/>
      <w:marRight w:val="0"/>
      <w:marTop w:val="0"/>
      <w:marBottom w:val="0"/>
      <w:divBdr>
        <w:top w:val="none" w:sz="0" w:space="0" w:color="auto"/>
        <w:left w:val="none" w:sz="0" w:space="0" w:color="auto"/>
        <w:bottom w:val="none" w:sz="0" w:space="0" w:color="auto"/>
        <w:right w:val="none" w:sz="0" w:space="0" w:color="auto"/>
      </w:divBdr>
    </w:div>
    <w:div w:id="653216583">
      <w:bodyDiv w:val="1"/>
      <w:marLeft w:val="0"/>
      <w:marRight w:val="0"/>
      <w:marTop w:val="0"/>
      <w:marBottom w:val="0"/>
      <w:divBdr>
        <w:top w:val="none" w:sz="0" w:space="0" w:color="auto"/>
        <w:left w:val="none" w:sz="0" w:space="0" w:color="auto"/>
        <w:bottom w:val="none" w:sz="0" w:space="0" w:color="auto"/>
        <w:right w:val="none" w:sz="0" w:space="0" w:color="auto"/>
      </w:divBdr>
    </w:div>
    <w:div w:id="653223397">
      <w:bodyDiv w:val="1"/>
      <w:marLeft w:val="0"/>
      <w:marRight w:val="0"/>
      <w:marTop w:val="0"/>
      <w:marBottom w:val="0"/>
      <w:divBdr>
        <w:top w:val="none" w:sz="0" w:space="0" w:color="auto"/>
        <w:left w:val="none" w:sz="0" w:space="0" w:color="auto"/>
        <w:bottom w:val="none" w:sz="0" w:space="0" w:color="auto"/>
        <w:right w:val="none" w:sz="0" w:space="0" w:color="auto"/>
      </w:divBdr>
    </w:div>
    <w:div w:id="653291262">
      <w:bodyDiv w:val="1"/>
      <w:marLeft w:val="0"/>
      <w:marRight w:val="0"/>
      <w:marTop w:val="0"/>
      <w:marBottom w:val="0"/>
      <w:divBdr>
        <w:top w:val="none" w:sz="0" w:space="0" w:color="auto"/>
        <w:left w:val="none" w:sz="0" w:space="0" w:color="auto"/>
        <w:bottom w:val="none" w:sz="0" w:space="0" w:color="auto"/>
        <w:right w:val="none" w:sz="0" w:space="0" w:color="auto"/>
      </w:divBdr>
    </w:div>
    <w:div w:id="653336484">
      <w:bodyDiv w:val="1"/>
      <w:marLeft w:val="0"/>
      <w:marRight w:val="0"/>
      <w:marTop w:val="0"/>
      <w:marBottom w:val="0"/>
      <w:divBdr>
        <w:top w:val="none" w:sz="0" w:space="0" w:color="auto"/>
        <w:left w:val="none" w:sz="0" w:space="0" w:color="auto"/>
        <w:bottom w:val="none" w:sz="0" w:space="0" w:color="auto"/>
        <w:right w:val="none" w:sz="0" w:space="0" w:color="auto"/>
      </w:divBdr>
    </w:div>
    <w:div w:id="653342309">
      <w:bodyDiv w:val="1"/>
      <w:marLeft w:val="0"/>
      <w:marRight w:val="0"/>
      <w:marTop w:val="0"/>
      <w:marBottom w:val="0"/>
      <w:divBdr>
        <w:top w:val="none" w:sz="0" w:space="0" w:color="auto"/>
        <w:left w:val="none" w:sz="0" w:space="0" w:color="auto"/>
        <w:bottom w:val="none" w:sz="0" w:space="0" w:color="auto"/>
        <w:right w:val="none" w:sz="0" w:space="0" w:color="auto"/>
      </w:divBdr>
    </w:div>
    <w:div w:id="653410717">
      <w:bodyDiv w:val="1"/>
      <w:marLeft w:val="0"/>
      <w:marRight w:val="0"/>
      <w:marTop w:val="0"/>
      <w:marBottom w:val="0"/>
      <w:divBdr>
        <w:top w:val="none" w:sz="0" w:space="0" w:color="auto"/>
        <w:left w:val="none" w:sz="0" w:space="0" w:color="auto"/>
        <w:bottom w:val="none" w:sz="0" w:space="0" w:color="auto"/>
        <w:right w:val="none" w:sz="0" w:space="0" w:color="auto"/>
      </w:divBdr>
    </w:div>
    <w:div w:id="653414533">
      <w:bodyDiv w:val="1"/>
      <w:marLeft w:val="0"/>
      <w:marRight w:val="0"/>
      <w:marTop w:val="0"/>
      <w:marBottom w:val="0"/>
      <w:divBdr>
        <w:top w:val="none" w:sz="0" w:space="0" w:color="auto"/>
        <w:left w:val="none" w:sz="0" w:space="0" w:color="auto"/>
        <w:bottom w:val="none" w:sz="0" w:space="0" w:color="auto"/>
        <w:right w:val="none" w:sz="0" w:space="0" w:color="auto"/>
      </w:divBdr>
    </w:div>
    <w:div w:id="653604646">
      <w:bodyDiv w:val="1"/>
      <w:marLeft w:val="0"/>
      <w:marRight w:val="0"/>
      <w:marTop w:val="0"/>
      <w:marBottom w:val="0"/>
      <w:divBdr>
        <w:top w:val="none" w:sz="0" w:space="0" w:color="auto"/>
        <w:left w:val="none" w:sz="0" w:space="0" w:color="auto"/>
        <w:bottom w:val="none" w:sz="0" w:space="0" w:color="auto"/>
        <w:right w:val="none" w:sz="0" w:space="0" w:color="auto"/>
      </w:divBdr>
    </w:div>
    <w:div w:id="653610677">
      <w:bodyDiv w:val="1"/>
      <w:marLeft w:val="0"/>
      <w:marRight w:val="0"/>
      <w:marTop w:val="0"/>
      <w:marBottom w:val="0"/>
      <w:divBdr>
        <w:top w:val="none" w:sz="0" w:space="0" w:color="auto"/>
        <w:left w:val="none" w:sz="0" w:space="0" w:color="auto"/>
        <w:bottom w:val="none" w:sz="0" w:space="0" w:color="auto"/>
        <w:right w:val="none" w:sz="0" w:space="0" w:color="auto"/>
      </w:divBdr>
    </w:div>
    <w:div w:id="653611324">
      <w:bodyDiv w:val="1"/>
      <w:marLeft w:val="0"/>
      <w:marRight w:val="0"/>
      <w:marTop w:val="0"/>
      <w:marBottom w:val="0"/>
      <w:divBdr>
        <w:top w:val="none" w:sz="0" w:space="0" w:color="auto"/>
        <w:left w:val="none" w:sz="0" w:space="0" w:color="auto"/>
        <w:bottom w:val="none" w:sz="0" w:space="0" w:color="auto"/>
        <w:right w:val="none" w:sz="0" w:space="0" w:color="auto"/>
      </w:divBdr>
    </w:div>
    <w:div w:id="653684368">
      <w:bodyDiv w:val="1"/>
      <w:marLeft w:val="0"/>
      <w:marRight w:val="0"/>
      <w:marTop w:val="0"/>
      <w:marBottom w:val="0"/>
      <w:divBdr>
        <w:top w:val="none" w:sz="0" w:space="0" w:color="auto"/>
        <w:left w:val="none" w:sz="0" w:space="0" w:color="auto"/>
        <w:bottom w:val="none" w:sz="0" w:space="0" w:color="auto"/>
        <w:right w:val="none" w:sz="0" w:space="0" w:color="auto"/>
      </w:divBdr>
    </w:div>
    <w:div w:id="653725683">
      <w:bodyDiv w:val="1"/>
      <w:marLeft w:val="0"/>
      <w:marRight w:val="0"/>
      <w:marTop w:val="0"/>
      <w:marBottom w:val="0"/>
      <w:divBdr>
        <w:top w:val="none" w:sz="0" w:space="0" w:color="auto"/>
        <w:left w:val="none" w:sz="0" w:space="0" w:color="auto"/>
        <w:bottom w:val="none" w:sz="0" w:space="0" w:color="auto"/>
        <w:right w:val="none" w:sz="0" w:space="0" w:color="auto"/>
      </w:divBdr>
    </w:div>
    <w:div w:id="653796712">
      <w:bodyDiv w:val="1"/>
      <w:marLeft w:val="0"/>
      <w:marRight w:val="0"/>
      <w:marTop w:val="0"/>
      <w:marBottom w:val="0"/>
      <w:divBdr>
        <w:top w:val="none" w:sz="0" w:space="0" w:color="auto"/>
        <w:left w:val="none" w:sz="0" w:space="0" w:color="auto"/>
        <w:bottom w:val="none" w:sz="0" w:space="0" w:color="auto"/>
        <w:right w:val="none" w:sz="0" w:space="0" w:color="auto"/>
      </w:divBdr>
    </w:div>
    <w:div w:id="653797448">
      <w:bodyDiv w:val="1"/>
      <w:marLeft w:val="0"/>
      <w:marRight w:val="0"/>
      <w:marTop w:val="0"/>
      <w:marBottom w:val="0"/>
      <w:divBdr>
        <w:top w:val="none" w:sz="0" w:space="0" w:color="auto"/>
        <w:left w:val="none" w:sz="0" w:space="0" w:color="auto"/>
        <w:bottom w:val="none" w:sz="0" w:space="0" w:color="auto"/>
        <w:right w:val="none" w:sz="0" w:space="0" w:color="auto"/>
      </w:divBdr>
    </w:div>
    <w:div w:id="653800038">
      <w:bodyDiv w:val="1"/>
      <w:marLeft w:val="0"/>
      <w:marRight w:val="0"/>
      <w:marTop w:val="0"/>
      <w:marBottom w:val="0"/>
      <w:divBdr>
        <w:top w:val="none" w:sz="0" w:space="0" w:color="auto"/>
        <w:left w:val="none" w:sz="0" w:space="0" w:color="auto"/>
        <w:bottom w:val="none" w:sz="0" w:space="0" w:color="auto"/>
        <w:right w:val="none" w:sz="0" w:space="0" w:color="auto"/>
      </w:divBdr>
    </w:div>
    <w:div w:id="653801588">
      <w:bodyDiv w:val="1"/>
      <w:marLeft w:val="0"/>
      <w:marRight w:val="0"/>
      <w:marTop w:val="0"/>
      <w:marBottom w:val="0"/>
      <w:divBdr>
        <w:top w:val="none" w:sz="0" w:space="0" w:color="auto"/>
        <w:left w:val="none" w:sz="0" w:space="0" w:color="auto"/>
        <w:bottom w:val="none" w:sz="0" w:space="0" w:color="auto"/>
        <w:right w:val="none" w:sz="0" w:space="0" w:color="auto"/>
      </w:divBdr>
    </w:div>
    <w:div w:id="653879907">
      <w:bodyDiv w:val="1"/>
      <w:marLeft w:val="0"/>
      <w:marRight w:val="0"/>
      <w:marTop w:val="0"/>
      <w:marBottom w:val="0"/>
      <w:divBdr>
        <w:top w:val="none" w:sz="0" w:space="0" w:color="auto"/>
        <w:left w:val="none" w:sz="0" w:space="0" w:color="auto"/>
        <w:bottom w:val="none" w:sz="0" w:space="0" w:color="auto"/>
        <w:right w:val="none" w:sz="0" w:space="0" w:color="auto"/>
      </w:divBdr>
    </w:div>
    <w:div w:id="653880082">
      <w:bodyDiv w:val="1"/>
      <w:marLeft w:val="0"/>
      <w:marRight w:val="0"/>
      <w:marTop w:val="0"/>
      <w:marBottom w:val="0"/>
      <w:divBdr>
        <w:top w:val="none" w:sz="0" w:space="0" w:color="auto"/>
        <w:left w:val="none" w:sz="0" w:space="0" w:color="auto"/>
        <w:bottom w:val="none" w:sz="0" w:space="0" w:color="auto"/>
        <w:right w:val="none" w:sz="0" w:space="0" w:color="auto"/>
      </w:divBdr>
    </w:div>
    <w:div w:id="653921196">
      <w:bodyDiv w:val="1"/>
      <w:marLeft w:val="0"/>
      <w:marRight w:val="0"/>
      <w:marTop w:val="0"/>
      <w:marBottom w:val="0"/>
      <w:divBdr>
        <w:top w:val="none" w:sz="0" w:space="0" w:color="auto"/>
        <w:left w:val="none" w:sz="0" w:space="0" w:color="auto"/>
        <w:bottom w:val="none" w:sz="0" w:space="0" w:color="auto"/>
        <w:right w:val="none" w:sz="0" w:space="0" w:color="auto"/>
      </w:divBdr>
    </w:div>
    <w:div w:id="653947687">
      <w:bodyDiv w:val="1"/>
      <w:marLeft w:val="0"/>
      <w:marRight w:val="0"/>
      <w:marTop w:val="0"/>
      <w:marBottom w:val="0"/>
      <w:divBdr>
        <w:top w:val="none" w:sz="0" w:space="0" w:color="auto"/>
        <w:left w:val="none" w:sz="0" w:space="0" w:color="auto"/>
        <w:bottom w:val="none" w:sz="0" w:space="0" w:color="auto"/>
        <w:right w:val="none" w:sz="0" w:space="0" w:color="auto"/>
      </w:divBdr>
    </w:div>
    <w:div w:id="653948356">
      <w:bodyDiv w:val="1"/>
      <w:marLeft w:val="0"/>
      <w:marRight w:val="0"/>
      <w:marTop w:val="0"/>
      <w:marBottom w:val="0"/>
      <w:divBdr>
        <w:top w:val="none" w:sz="0" w:space="0" w:color="auto"/>
        <w:left w:val="none" w:sz="0" w:space="0" w:color="auto"/>
        <w:bottom w:val="none" w:sz="0" w:space="0" w:color="auto"/>
        <w:right w:val="none" w:sz="0" w:space="0" w:color="auto"/>
      </w:divBdr>
    </w:div>
    <w:div w:id="653991427">
      <w:bodyDiv w:val="1"/>
      <w:marLeft w:val="0"/>
      <w:marRight w:val="0"/>
      <w:marTop w:val="0"/>
      <w:marBottom w:val="0"/>
      <w:divBdr>
        <w:top w:val="none" w:sz="0" w:space="0" w:color="auto"/>
        <w:left w:val="none" w:sz="0" w:space="0" w:color="auto"/>
        <w:bottom w:val="none" w:sz="0" w:space="0" w:color="auto"/>
        <w:right w:val="none" w:sz="0" w:space="0" w:color="auto"/>
      </w:divBdr>
    </w:div>
    <w:div w:id="653994261">
      <w:bodyDiv w:val="1"/>
      <w:marLeft w:val="0"/>
      <w:marRight w:val="0"/>
      <w:marTop w:val="0"/>
      <w:marBottom w:val="0"/>
      <w:divBdr>
        <w:top w:val="none" w:sz="0" w:space="0" w:color="auto"/>
        <w:left w:val="none" w:sz="0" w:space="0" w:color="auto"/>
        <w:bottom w:val="none" w:sz="0" w:space="0" w:color="auto"/>
        <w:right w:val="none" w:sz="0" w:space="0" w:color="auto"/>
      </w:divBdr>
    </w:div>
    <w:div w:id="653996088">
      <w:bodyDiv w:val="1"/>
      <w:marLeft w:val="0"/>
      <w:marRight w:val="0"/>
      <w:marTop w:val="0"/>
      <w:marBottom w:val="0"/>
      <w:divBdr>
        <w:top w:val="none" w:sz="0" w:space="0" w:color="auto"/>
        <w:left w:val="none" w:sz="0" w:space="0" w:color="auto"/>
        <w:bottom w:val="none" w:sz="0" w:space="0" w:color="auto"/>
        <w:right w:val="none" w:sz="0" w:space="0" w:color="auto"/>
      </w:divBdr>
    </w:div>
    <w:div w:id="654064785">
      <w:bodyDiv w:val="1"/>
      <w:marLeft w:val="0"/>
      <w:marRight w:val="0"/>
      <w:marTop w:val="0"/>
      <w:marBottom w:val="0"/>
      <w:divBdr>
        <w:top w:val="none" w:sz="0" w:space="0" w:color="auto"/>
        <w:left w:val="none" w:sz="0" w:space="0" w:color="auto"/>
        <w:bottom w:val="none" w:sz="0" w:space="0" w:color="auto"/>
        <w:right w:val="none" w:sz="0" w:space="0" w:color="auto"/>
      </w:divBdr>
    </w:div>
    <w:div w:id="654073121">
      <w:bodyDiv w:val="1"/>
      <w:marLeft w:val="0"/>
      <w:marRight w:val="0"/>
      <w:marTop w:val="0"/>
      <w:marBottom w:val="0"/>
      <w:divBdr>
        <w:top w:val="none" w:sz="0" w:space="0" w:color="auto"/>
        <w:left w:val="none" w:sz="0" w:space="0" w:color="auto"/>
        <w:bottom w:val="none" w:sz="0" w:space="0" w:color="auto"/>
        <w:right w:val="none" w:sz="0" w:space="0" w:color="auto"/>
      </w:divBdr>
    </w:div>
    <w:div w:id="654115748">
      <w:bodyDiv w:val="1"/>
      <w:marLeft w:val="0"/>
      <w:marRight w:val="0"/>
      <w:marTop w:val="0"/>
      <w:marBottom w:val="0"/>
      <w:divBdr>
        <w:top w:val="none" w:sz="0" w:space="0" w:color="auto"/>
        <w:left w:val="none" w:sz="0" w:space="0" w:color="auto"/>
        <w:bottom w:val="none" w:sz="0" w:space="0" w:color="auto"/>
        <w:right w:val="none" w:sz="0" w:space="0" w:color="auto"/>
      </w:divBdr>
    </w:div>
    <w:div w:id="654139442">
      <w:bodyDiv w:val="1"/>
      <w:marLeft w:val="0"/>
      <w:marRight w:val="0"/>
      <w:marTop w:val="0"/>
      <w:marBottom w:val="0"/>
      <w:divBdr>
        <w:top w:val="none" w:sz="0" w:space="0" w:color="auto"/>
        <w:left w:val="none" w:sz="0" w:space="0" w:color="auto"/>
        <w:bottom w:val="none" w:sz="0" w:space="0" w:color="auto"/>
        <w:right w:val="none" w:sz="0" w:space="0" w:color="auto"/>
      </w:divBdr>
    </w:div>
    <w:div w:id="654186157">
      <w:bodyDiv w:val="1"/>
      <w:marLeft w:val="0"/>
      <w:marRight w:val="0"/>
      <w:marTop w:val="0"/>
      <w:marBottom w:val="0"/>
      <w:divBdr>
        <w:top w:val="none" w:sz="0" w:space="0" w:color="auto"/>
        <w:left w:val="none" w:sz="0" w:space="0" w:color="auto"/>
        <w:bottom w:val="none" w:sz="0" w:space="0" w:color="auto"/>
        <w:right w:val="none" w:sz="0" w:space="0" w:color="auto"/>
      </w:divBdr>
    </w:div>
    <w:div w:id="654458598">
      <w:bodyDiv w:val="1"/>
      <w:marLeft w:val="0"/>
      <w:marRight w:val="0"/>
      <w:marTop w:val="0"/>
      <w:marBottom w:val="0"/>
      <w:divBdr>
        <w:top w:val="none" w:sz="0" w:space="0" w:color="auto"/>
        <w:left w:val="none" w:sz="0" w:space="0" w:color="auto"/>
        <w:bottom w:val="none" w:sz="0" w:space="0" w:color="auto"/>
        <w:right w:val="none" w:sz="0" w:space="0" w:color="auto"/>
      </w:divBdr>
    </w:div>
    <w:div w:id="654719549">
      <w:bodyDiv w:val="1"/>
      <w:marLeft w:val="0"/>
      <w:marRight w:val="0"/>
      <w:marTop w:val="0"/>
      <w:marBottom w:val="0"/>
      <w:divBdr>
        <w:top w:val="none" w:sz="0" w:space="0" w:color="auto"/>
        <w:left w:val="none" w:sz="0" w:space="0" w:color="auto"/>
        <w:bottom w:val="none" w:sz="0" w:space="0" w:color="auto"/>
        <w:right w:val="none" w:sz="0" w:space="0" w:color="auto"/>
      </w:divBdr>
    </w:div>
    <w:div w:id="654795355">
      <w:bodyDiv w:val="1"/>
      <w:marLeft w:val="0"/>
      <w:marRight w:val="0"/>
      <w:marTop w:val="0"/>
      <w:marBottom w:val="0"/>
      <w:divBdr>
        <w:top w:val="none" w:sz="0" w:space="0" w:color="auto"/>
        <w:left w:val="none" w:sz="0" w:space="0" w:color="auto"/>
        <w:bottom w:val="none" w:sz="0" w:space="0" w:color="auto"/>
        <w:right w:val="none" w:sz="0" w:space="0" w:color="auto"/>
      </w:divBdr>
    </w:div>
    <w:div w:id="654988288">
      <w:bodyDiv w:val="1"/>
      <w:marLeft w:val="0"/>
      <w:marRight w:val="0"/>
      <w:marTop w:val="0"/>
      <w:marBottom w:val="0"/>
      <w:divBdr>
        <w:top w:val="none" w:sz="0" w:space="0" w:color="auto"/>
        <w:left w:val="none" w:sz="0" w:space="0" w:color="auto"/>
        <w:bottom w:val="none" w:sz="0" w:space="0" w:color="auto"/>
        <w:right w:val="none" w:sz="0" w:space="0" w:color="auto"/>
      </w:divBdr>
    </w:div>
    <w:div w:id="654992538">
      <w:bodyDiv w:val="1"/>
      <w:marLeft w:val="0"/>
      <w:marRight w:val="0"/>
      <w:marTop w:val="0"/>
      <w:marBottom w:val="0"/>
      <w:divBdr>
        <w:top w:val="none" w:sz="0" w:space="0" w:color="auto"/>
        <w:left w:val="none" w:sz="0" w:space="0" w:color="auto"/>
        <w:bottom w:val="none" w:sz="0" w:space="0" w:color="auto"/>
        <w:right w:val="none" w:sz="0" w:space="0" w:color="auto"/>
      </w:divBdr>
    </w:div>
    <w:div w:id="655034408">
      <w:bodyDiv w:val="1"/>
      <w:marLeft w:val="0"/>
      <w:marRight w:val="0"/>
      <w:marTop w:val="0"/>
      <w:marBottom w:val="0"/>
      <w:divBdr>
        <w:top w:val="none" w:sz="0" w:space="0" w:color="auto"/>
        <w:left w:val="none" w:sz="0" w:space="0" w:color="auto"/>
        <w:bottom w:val="none" w:sz="0" w:space="0" w:color="auto"/>
        <w:right w:val="none" w:sz="0" w:space="0" w:color="auto"/>
      </w:divBdr>
    </w:div>
    <w:div w:id="655260339">
      <w:bodyDiv w:val="1"/>
      <w:marLeft w:val="0"/>
      <w:marRight w:val="0"/>
      <w:marTop w:val="0"/>
      <w:marBottom w:val="0"/>
      <w:divBdr>
        <w:top w:val="none" w:sz="0" w:space="0" w:color="auto"/>
        <w:left w:val="none" w:sz="0" w:space="0" w:color="auto"/>
        <w:bottom w:val="none" w:sz="0" w:space="0" w:color="auto"/>
        <w:right w:val="none" w:sz="0" w:space="0" w:color="auto"/>
      </w:divBdr>
    </w:div>
    <w:div w:id="655497444">
      <w:bodyDiv w:val="1"/>
      <w:marLeft w:val="0"/>
      <w:marRight w:val="0"/>
      <w:marTop w:val="0"/>
      <w:marBottom w:val="0"/>
      <w:divBdr>
        <w:top w:val="none" w:sz="0" w:space="0" w:color="auto"/>
        <w:left w:val="none" w:sz="0" w:space="0" w:color="auto"/>
        <w:bottom w:val="none" w:sz="0" w:space="0" w:color="auto"/>
        <w:right w:val="none" w:sz="0" w:space="0" w:color="auto"/>
      </w:divBdr>
    </w:div>
    <w:div w:id="655576995">
      <w:bodyDiv w:val="1"/>
      <w:marLeft w:val="0"/>
      <w:marRight w:val="0"/>
      <w:marTop w:val="0"/>
      <w:marBottom w:val="0"/>
      <w:divBdr>
        <w:top w:val="none" w:sz="0" w:space="0" w:color="auto"/>
        <w:left w:val="none" w:sz="0" w:space="0" w:color="auto"/>
        <w:bottom w:val="none" w:sz="0" w:space="0" w:color="auto"/>
        <w:right w:val="none" w:sz="0" w:space="0" w:color="auto"/>
      </w:divBdr>
    </w:div>
    <w:div w:id="655770041">
      <w:bodyDiv w:val="1"/>
      <w:marLeft w:val="0"/>
      <w:marRight w:val="0"/>
      <w:marTop w:val="0"/>
      <w:marBottom w:val="0"/>
      <w:divBdr>
        <w:top w:val="none" w:sz="0" w:space="0" w:color="auto"/>
        <w:left w:val="none" w:sz="0" w:space="0" w:color="auto"/>
        <w:bottom w:val="none" w:sz="0" w:space="0" w:color="auto"/>
        <w:right w:val="none" w:sz="0" w:space="0" w:color="auto"/>
      </w:divBdr>
    </w:div>
    <w:div w:id="655770616">
      <w:bodyDiv w:val="1"/>
      <w:marLeft w:val="0"/>
      <w:marRight w:val="0"/>
      <w:marTop w:val="0"/>
      <w:marBottom w:val="0"/>
      <w:divBdr>
        <w:top w:val="none" w:sz="0" w:space="0" w:color="auto"/>
        <w:left w:val="none" w:sz="0" w:space="0" w:color="auto"/>
        <w:bottom w:val="none" w:sz="0" w:space="0" w:color="auto"/>
        <w:right w:val="none" w:sz="0" w:space="0" w:color="auto"/>
      </w:divBdr>
    </w:div>
    <w:div w:id="655842151">
      <w:bodyDiv w:val="1"/>
      <w:marLeft w:val="0"/>
      <w:marRight w:val="0"/>
      <w:marTop w:val="0"/>
      <w:marBottom w:val="0"/>
      <w:divBdr>
        <w:top w:val="none" w:sz="0" w:space="0" w:color="auto"/>
        <w:left w:val="none" w:sz="0" w:space="0" w:color="auto"/>
        <w:bottom w:val="none" w:sz="0" w:space="0" w:color="auto"/>
        <w:right w:val="none" w:sz="0" w:space="0" w:color="auto"/>
      </w:divBdr>
    </w:div>
    <w:div w:id="655884545">
      <w:bodyDiv w:val="1"/>
      <w:marLeft w:val="0"/>
      <w:marRight w:val="0"/>
      <w:marTop w:val="0"/>
      <w:marBottom w:val="0"/>
      <w:divBdr>
        <w:top w:val="none" w:sz="0" w:space="0" w:color="auto"/>
        <w:left w:val="none" w:sz="0" w:space="0" w:color="auto"/>
        <w:bottom w:val="none" w:sz="0" w:space="0" w:color="auto"/>
        <w:right w:val="none" w:sz="0" w:space="0" w:color="auto"/>
      </w:divBdr>
    </w:div>
    <w:div w:id="655912517">
      <w:bodyDiv w:val="1"/>
      <w:marLeft w:val="0"/>
      <w:marRight w:val="0"/>
      <w:marTop w:val="0"/>
      <w:marBottom w:val="0"/>
      <w:divBdr>
        <w:top w:val="none" w:sz="0" w:space="0" w:color="auto"/>
        <w:left w:val="none" w:sz="0" w:space="0" w:color="auto"/>
        <w:bottom w:val="none" w:sz="0" w:space="0" w:color="auto"/>
        <w:right w:val="none" w:sz="0" w:space="0" w:color="auto"/>
      </w:divBdr>
    </w:div>
    <w:div w:id="655916500">
      <w:bodyDiv w:val="1"/>
      <w:marLeft w:val="0"/>
      <w:marRight w:val="0"/>
      <w:marTop w:val="0"/>
      <w:marBottom w:val="0"/>
      <w:divBdr>
        <w:top w:val="none" w:sz="0" w:space="0" w:color="auto"/>
        <w:left w:val="none" w:sz="0" w:space="0" w:color="auto"/>
        <w:bottom w:val="none" w:sz="0" w:space="0" w:color="auto"/>
        <w:right w:val="none" w:sz="0" w:space="0" w:color="auto"/>
      </w:divBdr>
    </w:div>
    <w:div w:id="656031795">
      <w:bodyDiv w:val="1"/>
      <w:marLeft w:val="0"/>
      <w:marRight w:val="0"/>
      <w:marTop w:val="0"/>
      <w:marBottom w:val="0"/>
      <w:divBdr>
        <w:top w:val="none" w:sz="0" w:space="0" w:color="auto"/>
        <w:left w:val="none" w:sz="0" w:space="0" w:color="auto"/>
        <w:bottom w:val="none" w:sz="0" w:space="0" w:color="auto"/>
        <w:right w:val="none" w:sz="0" w:space="0" w:color="auto"/>
      </w:divBdr>
    </w:div>
    <w:div w:id="656110903">
      <w:bodyDiv w:val="1"/>
      <w:marLeft w:val="0"/>
      <w:marRight w:val="0"/>
      <w:marTop w:val="0"/>
      <w:marBottom w:val="0"/>
      <w:divBdr>
        <w:top w:val="none" w:sz="0" w:space="0" w:color="auto"/>
        <w:left w:val="none" w:sz="0" w:space="0" w:color="auto"/>
        <w:bottom w:val="none" w:sz="0" w:space="0" w:color="auto"/>
        <w:right w:val="none" w:sz="0" w:space="0" w:color="auto"/>
      </w:divBdr>
    </w:div>
    <w:div w:id="656150734">
      <w:bodyDiv w:val="1"/>
      <w:marLeft w:val="0"/>
      <w:marRight w:val="0"/>
      <w:marTop w:val="0"/>
      <w:marBottom w:val="0"/>
      <w:divBdr>
        <w:top w:val="none" w:sz="0" w:space="0" w:color="auto"/>
        <w:left w:val="none" w:sz="0" w:space="0" w:color="auto"/>
        <w:bottom w:val="none" w:sz="0" w:space="0" w:color="auto"/>
        <w:right w:val="none" w:sz="0" w:space="0" w:color="auto"/>
      </w:divBdr>
    </w:div>
    <w:div w:id="656343710">
      <w:bodyDiv w:val="1"/>
      <w:marLeft w:val="0"/>
      <w:marRight w:val="0"/>
      <w:marTop w:val="0"/>
      <w:marBottom w:val="0"/>
      <w:divBdr>
        <w:top w:val="none" w:sz="0" w:space="0" w:color="auto"/>
        <w:left w:val="none" w:sz="0" w:space="0" w:color="auto"/>
        <w:bottom w:val="none" w:sz="0" w:space="0" w:color="auto"/>
        <w:right w:val="none" w:sz="0" w:space="0" w:color="auto"/>
      </w:divBdr>
    </w:div>
    <w:div w:id="656493898">
      <w:bodyDiv w:val="1"/>
      <w:marLeft w:val="0"/>
      <w:marRight w:val="0"/>
      <w:marTop w:val="0"/>
      <w:marBottom w:val="0"/>
      <w:divBdr>
        <w:top w:val="none" w:sz="0" w:space="0" w:color="auto"/>
        <w:left w:val="none" w:sz="0" w:space="0" w:color="auto"/>
        <w:bottom w:val="none" w:sz="0" w:space="0" w:color="auto"/>
        <w:right w:val="none" w:sz="0" w:space="0" w:color="auto"/>
      </w:divBdr>
    </w:div>
    <w:div w:id="656613930">
      <w:bodyDiv w:val="1"/>
      <w:marLeft w:val="0"/>
      <w:marRight w:val="0"/>
      <w:marTop w:val="0"/>
      <w:marBottom w:val="0"/>
      <w:divBdr>
        <w:top w:val="none" w:sz="0" w:space="0" w:color="auto"/>
        <w:left w:val="none" w:sz="0" w:space="0" w:color="auto"/>
        <w:bottom w:val="none" w:sz="0" w:space="0" w:color="auto"/>
        <w:right w:val="none" w:sz="0" w:space="0" w:color="auto"/>
      </w:divBdr>
    </w:div>
    <w:div w:id="656694269">
      <w:bodyDiv w:val="1"/>
      <w:marLeft w:val="0"/>
      <w:marRight w:val="0"/>
      <w:marTop w:val="0"/>
      <w:marBottom w:val="0"/>
      <w:divBdr>
        <w:top w:val="none" w:sz="0" w:space="0" w:color="auto"/>
        <w:left w:val="none" w:sz="0" w:space="0" w:color="auto"/>
        <w:bottom w:val="none" w:sz="0" w:space="0" w:color="auto"/>
        <w:right w:val="none" w:sz="0" w:space="0" w:color="auto"/>
      </w:divBdr>
    </w:div>
    <w:div w:id="656960629">
      <w:bodyDiv w:val="1"/>
      <w:marLeft w:val="0"/>
      <w:marRight w:val="0"/>
      <w:marTop w:val="0"/>
      <w:marBottom w:val="0"/>
      <w:divBdr>
        <w:top w:val="none" w:sz="0" w:space="0" w:color="auto"/>
        <w:left w:val="none" w:sz="0" w:space="0" w:color="auto"/>
        <w:bottom w:val="none" w:sz="0" w:space="0" w:color="auto"/>
        <w:right w:val="none" w:sz="0" w:space="0" w:color="auto"/>
      </w:divBdr>
    </w:div>
    <w:div w:id="656961350">
      <w:bodyDiv w:val="1"/>
      <w:marLeft w:val="0"/>
      <w:marRight w:val="0"/>
      <w:marTop w:val="0"/>
      <w:marBottom w:val="0"/>
      <w:divBdr>
        <w:top w:val="none" w:sz="0" w:space="0" w:color="auto"/>
        <w:left w:val="none" w:sz="0" w:space="0" w:color="auto"/>
        <w:bottom w:val="none" w:sz="0" w:space="0" w:color="auto"/>
        <w:right w:val="none" w:sz="0" w:space="0" w:color="auto"/>
      </w:divBdr>
    </w:div>
    <w:div w:id="657028992">
      <w:bodyDiv w:val="1"/>
      <w:marLeft w:val="0"/>
      <w:marRight w:val="0"/>
      <w:marTop w:val="0"/>
      <w:marBottom w:val="0"/>
      <w:divBdr>
        <w:top w:val="none" w:sz="0" w:space="0" w:color="auto"/>
        <w:left w:val="none" w:sz="0" w:space="0" w:color="auto"/>
        <w:bottom w:val="none" w:sz="0" w:space="0" w:color="auto"/>
        <w:right w:val="none" w:sz="0" w:space="0" w:color="auto"/>
      </w:divBdr>
    </w:div>
    <w:div w:id="657074766">
      <w:bodyDiv w:val="1"/>
      <w:marLeft w:val="0"/>
      <w:marRight w:val="0"/>
      <w:marTop w:val="0"/>
      <w:marBottom w:val="0"/>
      <w:divBdr>
        <w:top w:val="none" w:sz="0" w:space="0" w:color="auto"/>
        <w:left w:val="none" w:sz="0" w:space="0" w:color="auto"/>
        <w:bottom w:val="none" w:sz="0" w:space="0" w:color="auto"/>
        <w:right w:val="none" w:sz="0" w:space="0" w:color="auto"/>
      </w:divBdr>
    </w:div>
    <w:div w:id="657079300">
      <w:bodyDiv w:val="1"/>
      <w:marLeft w:val="0"/>
      <w:marRight w:val="0"/>
      <w:marTop w:val="0"/>
      <w:marBottom w:val="0"/>
      <w:divBdr>
        <w:top w:val="none" w:sz="0" w:space="0" w:color="auto"/>
        <w:left w:val="none" w:sz="0" w:space="0" w:color="auto"/>
        <w:bottom w:val="none" w:sz="0" w:space="0" w:color="auto"/>
        <w:right w:val="none" w:sz="0" w:space="0" w:color="auto"/>
      </w:divBdr>
    </w:div>
    <w:div w:id="657150675">
      <w:bodyDiv w:val="1"/>
      <w:marLeft w:val="0"/>
      <w:marRight w:val="0"/>
      <w:marTop w:val="0"/>
      <w:marBottom w:val="0"/>
      <w:divBdr>
        <w:top w:val="none" w:sz="0" w:space="0" w:color="auto"/>
        <w:left w:val="none" w:sz="0" w:space="0" w:color="auto"/>
        <w:bottom w:val="none" w:sz="0" w:space="0" w:color="auto"/>
        <w:right w:val="none" w:sz="0" w:space="0" w:color="auto"/>
      </w:divBdr>
    </w:div>
    <w:div w:id="657222497">
      <w:bodyDiv w:val="1"/>
      <w:marLeft w:val="0"/>
      <w:marRight w:val="0"/>
      <w:marTop w:val="0"/>
      <w:marBottom w:val="0"/>
      <w:divBdr>
        <w:top w:val="none" w:sz="0" w:space="0" w:color="auto"/>
        <w:left w:val="none" w:sz="0" w:space="0" w:color="auto"/>
        <w:bottom w:val="none" w:sz="0" w:space="0" w:color="auto"/>
        <w:right w:val="none" w:sz="0" w:space="0" w:color="auto"/>
      </w:divBdr>
    </w:div>
    <w:div w:id="657222922">
      <w:bodyDiv w:val="1"/>
      <w:marLeft w:val="0"/>
      <w:marRight w:val="0"/>
      <w:marTop w:val="0"/>
      <w:marBottom w:val="0"/>
      <w:divBdr>
        <w:top w:val="none" w:sz="0" w:space="0" w:color="auto"/>
        <w:left w:val="none" w:sz="0" w:space="0" w:color="auto"/>
        <w:bottom w:val="none" w:sz="0" w:space="0" w:color="auto"/>
        <w:right w:val="none" w:sz="0" w:space="0" w:color="auto"/>
      </w:divBdr>
    </w:div>
    <w:div w:id="657341122">
      <w:bodyDiv w:val="1"/>
      <w:marLeft w:val="0"/>
      <w:marRight w:val="0"/>
      <w:marTop w:val="0"/>
      <w:marBottom w:val="0"/>
      <w:divBdr>
        <w:top w:val="none" w:sz="0" w:space="0" w:color="auto"/>
        <w:left w:val="none" w:sz="0" w:space="0" w:color="auto"/>
        <w:bottom w:val="none" w:sz="0" w:space="0" w:color="auto"/>
        <w:right w:val="none" w:sz="0" w:space="0" w:color="auto"/>
      </w:divBdr>
    </w:div>
    <w:div w:id="657348383">
      <w:bodyDiv w:val="1"/>
      <w:marLeft w:val="0"/>
      <w:marRight w:val="0"/>
      <w:marTop w:val="0"/>
      <w:marBottom w:val="0"/>
      <w:divBdr>
        <w:top w:val="none" w:sz="0" w:space="0" w:color="auto"/>
        <w:left w:val="none" w:sz="0" w:space="0" w:color="auto"/>
        <w:bottom w:val="none" w:sz="0" w:space="0" w:color="auto"/>
        <w:right w:val="none" w:sz="0" w:space="0" w:color="auto"/>
      </w:divBdr>
    </w:div>
    <w:div w:id="657466693">
      <w:bodyDiv w:val="1"/>
      <w:marLeft w:val="0"/>
      <w:marRight w:val="0"/>
      <w:marTop w:val="0"/>
      <w:marBottom w:val="0"/>
      <w:divBdr>
        <w:top w:val="none" w:sz="0" w:space="0" w:color="auto"/>
        <w:left w:val="none" w:sz="0" w:space="0" w:color="auto"/>
        <w:bottom w:val="none" w:sz="0" w:space="0" w:color="auto"/>
        <w:right w:val="none" w:sz="0" w:space="0" w:color="auto"/>
      </w:divBdr>
    </w:div>
    <w:div w:id="657535705">
      <w:bodyDiv w:val="1"/>
      <w:marLeft w:val="0"/>
      <w:marRight w:val="0"/>
      <w:marTop w:val="0"/>
      <w:marBottom w:val="0"/>
      <w:divBdr>
        <w:top w:val="none" w:sz="0" w:space="0" w:color="auto"/>
        <w:left w:val="none" w:sz="0" w:space="0" w:color="auto"/>
        <w:bottom w:val="none" w:sz="0" w:space="0" w:color="auto"/>
        <w:right w:val="none" w:sz="0" w:space="0" w:color="auto"/>
      </w:divBdr>
    </w:div>
    <w:div w:id="657613902">
      <w:bodyDiv w:val="1"/>
      <w:marLeft w:val="0"/>
      <w:marRight w:val="0"/>
      <w:marTop w:val="0"/>
      <w:marBottom w:val="0"/>
      <w:divBdr>
        <w:top w:val="none" w:sz="0" w:space="0" w:color="auto"/>
        <w:left w:val="none" w:sz="0" w:space="0" w:color="auto"/>
        <w:bottom w:val="none" w:sz="0" w:space="0" w:color="auto"/>
        <w:right w:val="none" w:sz="0" w:space="0" w:color="auto"/>
      </w:divBdr>
    </w:div>
    <w:div w:id="657656255">
      <w:bodyDiv w:val="1"/>
      <w:marLeft w:val="0"/>
      <w:marRight w:val="0"/>
      <w:marTop w:val="0"/>
      <w:marBottom w:val="0"/>
      <w:divBdr>
        <w:top w:val="none" w:sz="0" w:space="0" w:color="auto"/>
        <w:left w:val="none" w:sz="0" w:space="0" w:color="auto"/>
        <w:bottom w:val="none" w:sz="0" w:space="0" w:color="auto"/>
        <w:right w:val="none" w:sz="0" w:space="0" w:color="auto"/>
      </w:divBdr>
    </w:div>
    <w:div w:id="657657904">
      <w:bodyDiv w:val="1"/>
      <w:marLeft w:val="0"/>
      <w:marRight w:val="0"/>
      <w:marTop w:val="0"/>
      <w:marBottom w:val="0"/>
      <w:divBdr>
        <w:top w:val="none" w:sz="0" w:space="0" w:color="auto"/>
        <w:left w:val="none" w:sz="0" w:space="0" w:color="auto"/>
        <w:bottom w:val="none" w:sz="0" w:space="0" w:color="auto"/>
        <w:right w:val="none" w:sz="0" w:space="0" w:color="auto"/>
      </w:divBdr>
    </w:div>
    <w:div w:id="657658170">
      <w:bodyDiv w:val="1"/>
      <w:marLeft w:val="0"/>
      <w:marRight w:val="0"/>
      <w:marTop w:val="0"/>
      <w:marBottom w:val="0"/>
      <w:divBdr>
        <w:top w:val="none" w:sz="0" w:space="0" w:color="auto"/>
        <w:left w:val="none" w:sz="0" w:space="0" w:color="auto"/>
        <w:bottom w:val="none" w:sz="0" w:space="0" w:color="auto"/>
        <w:right w:val="none" w:sz="0" w:space="0" w:color="auto"/>
      </w:divBdr>
    </w:div>
    <w:div w:id="657850991">
      <w:bodyDiv w:val="1"/>
      <w:marLeft w:val="0"/>
      <w:marRight w:val="0"/>
      <w:marTop w:val="0"/>
      <w:marBottom w:val="0"/>
      <w:divBdr>
        <w:top w:val="none" w:sz="0" w:space="0" w:color="auto"/>
        <w:left w:val="none" w:sz="0" w:space="0" w:color="auto"/>
        <w:bottom w:val="none" w:sz="0" w:space="0" w:color="auto"/>
        <w:right w:val="none" w:sz="0" w:space="0" w:color="auto"/>
      </w:divBdr>
    </w:div>
    <w:div w:id="657853091">
      <w:bodyDiv w:val="1"/>
      <w:marLeft w:val="0"/>
      <w:marRight w:val="0"/>
      <w:marTop w:val="0"/>
      <w:marBottom w:val="0"/>
      <w:divBdr>
        <w:top w:val="none" w:sz="0" w:space="0" w:color="auto"/>
        <w:left w:val="none" w:sz="0" w:space="0" w:color="auto"/>
        <w:bottom w:val="none" w:sz="0" w:space="0" w:color="auto"/>
        <w:right w:val="none" w:sz="0" w:space="0" w:color="auto"/>
      </w:divBdr>
    </w:div>
    <w:div w:id="657879793">
      <w:bodyDiv w:val="1"/>
      <w:marLeft w:val="0"/>
      <w:marRight w:val="0"/>
      <w:marTop w:val="0"/>
      <w:marBottom w:val="0"/>
      <w:divBdr>
        <w:top w:val="none" w:sz="0" w:space="0" w:color="auto"/>
        <w:left w:val="none" w:sz="0" w:space="0" w:color="auto"/>
        <w:bottom w:val="none" w:sz="0" w:space="0" w:color="auto"/>
        <w:right w:val="none" w:sz="0" w:space="0" w:color="auto"/>
      </w:divBdr>
    </w:div>
    <w:div w:id="657926783">
      <w:bodyDiv w:val="1"/>
      <w:marLeft w:val="0"/>
      <w:marRight w:val="0"/>
      <w:marTop w:val="0"/>
      <w:marBottom w:val="0"/>
      <w:divBdr>
        <w:top w:val="none" w:sz="0" w:space="0" w:color="auto"/>
        <w:left w:val="none" w:sz="0" w:space="0" w:color="auto"/>
        <w:bottom w:val="none" w:sz="0" w:space="0" w:color="auto"/>
        <w:right w:val="none" w:sz="0" w:space="0" w:color="auto"/>
      </w:divBdr>
    </w:div>
    <w:div w:id="658071674">
      <w:bodyDiv w:val="1"/>
      <w:marLeft w:val="0"/>
      <w:marRight w:val="0"/>
      <w:marTop w:val="0"/>
      <w:marBottom w:val="0"/>
      <w:divBdr>
        <w:top w:val="none" w:sz="0" w:space="0" w:color="auto"/>
        <w:left w:val="none" w:sz="0" w:space="0" w:color="auto"/>
        <w:bottom w:val="none" w:sz="0" w:space="0" w:color="auto"/>
        <w:right w:val="none" w:sz="0" w:space="0" w:color="auto"/>
      </w:divBdr>
    </w:div>
    <w:div w:id="658077201">
      <w:bodyDiv w:val="1"/>
      <w:marLeft w:val="0"/>
      <w:marRight w:val="0"/>
      <w:marTop w:val="0"/>
      <w:marBottom w:val="0"/>
      <w:divBdr>
        <w:top w:val="none" w:sz="0" w:space="0" w:color="auto"/>
        <w:left w:val="none" w:sz="0" w:space="0" w:color="auto"/>
        <w:bottom w:val="none" w:sz="0" w:space="0" w:color="auto"/>
        <w:right w:val="none" w:sz="0" w:space="0" w:color="auto"/>
      </w:divBdr>
    </w:div>
    <w:div w:id="658188823">
      <w:bodyDiv w:val="1"/>
      <w:marLeft w:val="0"/>
      <w:marRight w:val="0"/>
      <w:marTop w:val="0"/>
      <w:marBottom w:val="0"/>
      <w:divBdr>
        <w:top w:val="none" w:sz="0" w:space="0" w:color="auto"/>
        <w:left w:val="none" w:sz="0" w:space="0" w:color="auto"/>
        <w:bottom w:val="none" w:sz="0" w:space="0" w:color="auto"/>
        <w:right w:val="none" w:sz="0" w:space="0" w:color="auto"/>
      </w:divBdr>
    </w:div>
    <w:div w:id="658197514">
      <w:bodyDiv w:val="1"/>
      <w:marLeft w:val="0"/>
      <w:marRight w:val="0"/>
      <w:marTop w:val="0"/>
      <w:marBottom w:val="0"/>
      <w:divBdr>
        <w:top w:val="none" w:sz="0" w:space="0" w:color="auto"/>
        <w:left w:val="none" w:sz="0" w:space="0" w:color="auto"/>
        <w:bottom w:val="none" w:sz="0" w:space="0" w:color="auto"/>
        <w:right w:val="none" w:sz="0" w:space="0" w:color="auto"/>
      </w:divBdr>
    </w:div>
    <w:div w:id="658267419">
      <w:bodyDiv w:val="1"/>
      <w:marLeft w:val="0"/>
      <w:marRight w:val="0"/>
      <w:marTop w:val="0"/>
      <w:marBottom w:val="0"/>
      <w:divBdr>
        <w:top w:val="none" w:sz="0" w:space="0" w:color="auto"/>
        <w:left w:val="none" w:sz="0" w:space="0" w:color="auto"/>
        <w:bottom w:val="none" w:sz="0" w:space="0" w:color="auto"/>
        <w:right w:val="none" w:sz="0" w:space="0" w:color="auto"/>
      </w:divBdr>
    </w:div>
    <w:div w:id="658270319">
      <w:bodyDiv w:val="1"/>
      <w:marLeft w:val="0"/>
      <w:marRight w:val="0"/>
      <w:marTop w:val="0"/>
      <w:marBottom w:val="0"/>
      <w:divBdr>
        <w:top w:val="none" w:sz="0" w:space="0" w:color="auto"/>
        <w:left w:val="none" w:sz="0" w:space="0" w:color="auto"/>
        <w:bottom w:val="none" w:sz="0" w:space="0" w:color="auto"/>
        <w:right w:val="none" w:sz="0" w:space="0" w:color="auto"/>
      </w:divBdr>
    </w:div>
    <w:div w:id="658385579">
      <w:bodyDiv w:val="1"/>
      <w:marLeft w:val="0"/>
      <w:marRight w:val="0"/>
      <w:marTop w:val="0"/>
      <w:marBottom w:val="0"/>
      <w:divBdr>
        <w:top w:val="none" w:sz="0" w:space="0" w:color="auto"/>
        <w:left w:val="none" w:sz="0" w:space="0" w:color="auto"/>
        <w:bottom w:val="none" w:sz="0" w:space="0" w:color="auto"/>
        <w:right w:val="none" w:sz="0" w:space="0" w:color="auto"/>
      </w:divBdr>
    </w:div>
    <w:div w:id="658457572">
      <w:bodyDiv w:val="1"/>
      <w:marLeft w:val="0"/>
      <w:marRight w:val="0"/>
      <w:marTop w:val="0"/>
      <w:marBottom w:val="0"/>
      <w:divBdr>
        <w:top w:val="none" w:sz="0" w:space="0" w:color="auto"/>
        <w:left w:val="none" w:sz="0" w:space="0" w:color="auto"/>
        <w:bottom w:val="none" w:sz="0" w:space="0" w:color="auto"/>
        <w:right w:val="none" w:sz="0" w:space="0" w:color="auto"/>
      </w:divBdr>
    </w:div>
    <w:div w:id="658506338">
      <w:bodyDiv w:val="1"/>
      <w:marLeft w:val="0"/>
      <w:marRight w:val="0"/>
      <w:marTop w:val="0"/>
      <w:marBottom w:val="0"/>
      <w:divBdr>
        <w:top w:val="none" w:sz="0" w:space="0" w:color="auto"/>
        <w:left w:val="none" w:sz="0" w:space="0" w:color="auto"/>
        <w:bottom w:val="none" w:sz="0" w:space="0" w:color="auto"/>
        <w:right w:val="none" w:sz="0" w:space="0" w:color="auto"/>
      </w:divBdr>
    </w:div>
    <w:div w:id="658507954">
      <w:bodyDiv w:val="1"/>
      <w:marLeft w:val="0"/>
      <w:marRight w:val="0"/>
      <w:marTop w:val="0"/>
      <w:marBottom w:val="0"/>
      <w:divBdr>
        <w:top w:val="none" w:sz="0" w:space="0" w:color="auto"/>
        <w:left w:val="none" w:sz="0" w:space="0" w:color="auto"/>
        <w:bottom w:val="none" w:sz="0" w:space="0" w:color="auto"/>
        <w:right w:val="none" w:sz="0" w:space="0" w:color="auto"/>
      </w:divBdr>
    </w:div>
    <w:div w:id="658576042">
      <w:bodyDiv w:val="1"/>
      <w:marLeft w:val="0"/>
      <w:marRight w:val="0"/>
      <w:marTop w:val="0"/>
      <w:marBottom w:val="0"/>
      <w:divBdr>
        <w:top w:val="none" w:sz="0" w:space="0" w:color="auto"/>
        <w:left w:val="none" w:sz="0" w:space="0" w:color="auto"/>
        <w:bottom w:val="none" w:sz="0" w:space="0" w:color="auto"/>
        <w:right w:val="none" w:sz="0" w:space="0" w:color="auto"/>
      </w:divBdr>
    </w:div>
    <w:div w:id="658657566">
      <w:bodyDiv w:val="1"/>
      <w:marLeft w:val="0"/>
      <w:marRight w:val="0"/>
      <w:marTop w:val="0"/>
      <w:marBottom w:val="0"/>
      <w:divBdr>
        <w:top w:val="none" w:sz="0" w:space="0" w:color="auto"/>
        <w:left w:val="none" w:sz="0" w:space="0" w:color="auto"/>
        <w:bottom w:val="none" w:sz="0" w:space="0" w:color="auto"/>
        <w:right w:val="none" w:sz="0" w:space="0" w:color="auto"/>
      </w:divBdr>
    </w:div>
    <w:div w:id="658726131">
      <w:bodyDiv w:val="1"/>
      <w:marLeft w:val="0"/>
      <w:marRight w:val="0"/>
      <w:marTop w:val="0"/>
      <w:marBottom w:val="0"/>
      <w:divBdr>
        <w:top w:val="none" w:sz="0" w:space="0" w:color="auto"/>
        <w:left w:val="none" w:sz="0" w:space="0" w:color="auto"/>
        <w:bottom w:val="none" w:sz="0" w:space="0" w:color="auto"/>
        <w:right w:val="none" w:sz="0" w:space="0" w:color="auto"/>
      </w:divBdr>
    </w:div>
    <w:div w:id="658850657">
      <w:bodyDiv w:val="1"/>
      <w:marLeft w:val="0"/>
      <w:marRight w:val="0"/>
      <w:marTop w:val="0"/>
      <w:marBottom w:val="0"/>
      <w:divBdr>
        <w:top w:val="none" w:sz="0" w:space="0" w:color="auto"/>
        <w:left w:val="none" w:sz="0" w:space="0" w:color="auto"/>
        <w:bottom w:val="none" w:sz="0" w:space="0" w:color="auto"/>
        <w:right w:val="none" w:sz="0" w:space="0" w:color="auto"/>
      </w:divBdr>
    </w:div>
    <w:div w:id="658920547">
      <w:bodyDiv w:val="1"/>
      <w:marLeft w:val="0"/>
      <w:marRight w:val="0"/>
      <w:marTop w:val="0"/>
      <w:marBottom w:val="0"/>
      <w:divBdr>
        <w:top w:val="none" w:sz="0" w:space="0" w:color="auto"/>
        <w:left w:val="none" w:sz="0" w:space="0" w:color="auto"/>
        <w:bottom w:val="none" w:sz="0" w:space="0" w:color="auto"/>
        <w:right w:val="none" w:sz="0" w:space="0" w:color="auto"/>
      </w:divBdr>
    </w:div>
    <w:div w:id="658928652">
      <w:bodyDiv w:val="1"/>
      <w:marLeft w:val="0"/>
      <w:marRight w:val="0"/>
      <w:marTop w:val="0"/>
      <w:marBottom w:val="0"/>
      <w:divBdr>
        <w:top w:val="none" w:sz="0" w:space="0" w:color="auto"/>
        <w:left w:val="none" w:sz="0" w:space="0" w:color="auto"/>
        <w:bottom w:val="none" w:sz="0" w:space="0" w:color="auto"/>
        <w:right w:val="none" w:sz="0" w:space="0" w:color="auto"/>
      </w:divBdr>
    </w:div>
    <w:div w:id="658996227">
      <w:bodyDiv w:val="1"/>
      <w:marLeft w:val="0"/>
      <w:marRight w:val="0"/>
      <w:marTop w:val="0"/>
      <w:marBottom w:val="0"/>
      <w:divBdr>
        <w:top w:val="none" w:sz="0" w:space="0" w:color="auto"/>
        <w:left w:val="none" w:sz="0" w:space="0" w:color="auto"/>
        <w:bottom w:val="none" w:sz="0" w:space="0" w:color="auto"/>
        <w:right w:val="none" w:sz="0" w:space="0" w:color="auto"/>
      </w:divBdr>
    </w:div>
    <w:div w:id="659041866">
      <w:bodyDiv w:val="1"/>
      <w:marLeft w:val="0"/>
      <w:marRight w:val="0"/>
      <w:marTop w:val="0"/>
      <w:marBottom w:val="0"/>
      <w:divBdr>
        <w:top w:val="none" w:sz="0" w:space="0" w:color="auto"/>
        <w:left w:val="none" w:sz="0" w:space="0" w:color="auto"/>
        <w:bottom w:val="none" w:sz="0" w:space="0" w:color="auto"/>
        <w:right w:val="none" w:sz="0" w:space="0" w:color="auto"/>
      </w:divBdr>
    </w:div>
    <w:div w:id="659163323">
      <w:bodyDiv w:val="1"/>
      <w:marLeft w:val="0"/>
      <w:marRight w:val="0"/>
      <w:marTop w:val="0"/>
      <w:marBottom w:val="0"/>
      <w:divBdr>
        <w:top w:val="none" w:sz="0" w:space="0" w:color="auto"/>
        <w:left w:val="none" w:sz="0" w:space="0" w:color="auto"/>
        <w:bottom w:val="none" w:sz="0" w:space="0" w:color="auto"/>
        <w:right w:val="none" w:sz="0" w:space="0" w:color="auto"/>
      </w:divBdr>
    </w:div>
    <w:div w:id="659192751">
      <w:bodyDiv w:val="1"/>
      <w:marLeft w:val="0"/>
      <w:marRight w:val="0"/>
      <w:marTop w:val="0"/>
      <w:marBottom w:val="0"/>
      <w:divBdr>
        <w:top w:val="none" w:sz="0" w:space="0" w:color="auto"/>
        <w:left w:val="none" w:sz="0" w:space="0" w:color="auto"/>
        <w:bottom w:val="none" w:sz="0" w:space="0" w:color="auto"/>
        <w:right w:val="none" w:sz="0" w:space="0" w:color="auto"/>
      </w:divBdr>
    </w:div>
    <w:div w:id="659306882">
      <w:bodyDiv w:val="1"/>
      <w:marLeft w:val="0"/>
      <w:marRight w:val="0"/>
      <w:marTop w:val="0"/>
      <w:marBottom w:val="0"/>
      <w:divBdr>
        <w:top w:val="none" w:sz="0" w:space="0" w:color="auto"/>
        <w:left w:val="none" w:sz="0" w:space="0" w:color="auto"/>
        <w:bottom w:val="none" w:sz="0" w:space="0" w:color="auto"/>
        <w:right w:val="none" w:sz="0" w:space="0" w:color="auto"/>
      </w:divBdr>
    </w:div>
    <w:div w:id="659425877">
      <w:bodyDiv w:val="1"/>
      <w:marLeft w:val="0"/>
      <w:marRight w:val="0"/>
      <w:marTop w:val="0"/>
      <w:marBottom w:val="0"/>
      <w:divBdr>
        <w:top w:val="none" w:sz="0" w:space="0" w:color="auto"/>
        <w:left w:val="none" w:sz="0" w:space="0" w:color="auto"/>
        <w:bottom w:val="none" w:sz="0" w:space="0" w:color="auto"/>
        <w:right w:val="none" w:sz="0" w:space="0" w:color="auto"/>
      </w:divBdr>
    </w:div>
    <w:div w:id="659504074">
      <w:bodyDiv w:val="1"/>
      <w:marLeft w:val="0"/>
      <w:marRight w:val="0"/>
      <w:marTop w:val="0"/>
      <w:marBottom w:val="0"/>
      <w:divBdr>
        <w:top w:val="none" w:sz="0" w:space="0" w:color="auto"/>
        <w:left w:val="none" w:sz="0" w:space="0" w:color="auto"/>
        <w:bottom w:val="none" w:sz="0" w:space="0" w:color="auto"/>
        <w:right w:val="none" w:sz="0" w:space="0" w:color="auto"/>
      </w:divBdr>
    </w:div>
    <w:div w:id="659574729">
      <w:bodyDiv w:val="1"/>
      <w:marLeft w:val="0"/>
      <w:marRight w:val="0"/>
      <w:marTop w:val="0"/>
      <w:marBottom w:val="0"/>
      <w:divBdr>
        <w:top w:val="none" w:sz="0" w:space="0" w:color="auto"/>
        <w:left w:val="none" w:sz="0" w:space="0" w:color="auto"/>
        <w:bottom w:val="none" w:sz="0" w:space="0" w:color="auto"/>
        <w:right w:val="none" w:sz="0" w:space="0" w:color="auto"/>
      </w:divBdr>
    </w:div>
    <w:div w:id="659624579">
      <w:bodyDiv w:val="1"/>
      <w:marLeft w:val="0"/>
      <w:marRight w:val="0"/>
      <w:marTop w:val="0"/>
      <w:marBottom w:val="0"/>
      <w:divBdr>
        <w:top w:val="none" w:sz="0" w:space="0" w:color="auto"/>
        <w:left w:val="none" w:sz="0" w:space="0" w:color="auto"/>
        <w:bottom w:val="none" w:sz="0" w:space="0" w:color="auto"/>
        <w:right w:val="none" w:sz="0" w:space="0" w:color="auto"/>
      </w:divBdr>
    </w:div>
    <w:div w:id="659651087">
      <w:bodyDiv w:val="1"/>
      <w:marLeft w:val="0"/>
      <w:marRight w:val="0"/>
      <w:marTop w:val="0"/>
      <w:marBottom w:val="0"/>
      <w:divBdr>
        <w:top w:val="none" w:sz="0" w:space="0" w:color="auto"/>
        <w:left w:val="none" w:sz="0" w:space="0" w:color="auto"/>
        <w:bottom w:val="none" w:sz="0" w:space="0" w:color="auto"/>
        <w:right w:val="none" w:sz="0" w:space="0" w:color="auto"/>
      </w:divBdr>
    </w:div>
    <w:div w:id="659699500">
      <w:bodyDiv w:val="1"/>
      <w:marLeft w:val="0"/>
      <w:marRight w:val="0"/>
      <w:marTop w:val="0"/>
      <w:marBottom w:val="0"/>
      <w:divBdr>
        <w:top w:val="none" w:sz="0" w:space="0" w:color="auto"/>
        <w:left w:val="none" w:sz="0" w:space="0" w:color="auto"/>
        <w:bottom w:val="none" w:sz="0" w:space="0" w:color="auto"/>
        <w:right w:val="none" w:sz="0" w:space="0" w:color="auto"/>
      </w:divBdr>
    </w:div>
    <w:div w:id="659700493">
      <w:bodyDiv w:val="1"/>
      <w:marLeft w:val="0"/>
      <w:marRight w:val="0"/>
      <w:marTop w:val="0"/>
      <w:marBottom w:val="0"/>
      <w:divBdr>
        <w:top w:val="none" w:sz="0" w:space="0" w:color="auto"/>
        <w:left w:val="none" w:sz="0" w:space="0" w:color="auto"/>
        <w:bottom w:val="none" w:sz="0" w:space="0" w:color="auto"/>
        <w:right w:val="none" w:sz="0" w:space="0" w:color="auto"/>
      </w:divBdr>
    </w:div>
    <w:div w:id="659770046">
      <w:bodyDiv w:val="1"/>
      <w:marLeft w:val="0"/>
      <w:marRight w:val="0"/>
      <w:marTop w:val="0"/>
      <w:marBottom w:val="0"/>
      <w:divBdr>
        <w:top w:val="none" w:sz="0" w:space="0" w:color="auto"/>
        <w:left w:val="none" w:sz="0" w:space="0" w:color="auto"/>
        <w:bottom w:val="none" w:sz="0" w:space="0" w:color="auto"/>
        <w:right w:val="none" w:sz="0" w:space="0" w:color="auto"/>
      </w:divBdr>
    </w:div>
    <w:div w:id="659848802">
      <w:bodyDiv w:val="1"/>
      <w:marLeft w:val="0"/>
      <w:marRight w:val="0"/>
      <w:marTop w:val="0"/>
      <w:marBottom w:val="0"/>
      <w:divBdr>
        <w:top w:val="none" w:sz="0" w:space="0" w:color="auto"/>
        <w:left w:val="none" w:sz="0" w:space="0" w:color="auto"/>
        <w:bottom w:val="none" w:sz="0" w:space="0" w:color="auto"/>
        <w:right w:val="none" w:sz="0" w:space="0" w:color="auto"/>
      </w:divBdr>
    </w:div>
    <w:div w:id="659891061">
      <w:bodyDiv w:val="1"/>
      <w:marLeft w:val="0"/>
      <w:marRight w:val="0"/>
      <w:marTop w:val="0"/>
      <w:marBottom w:val="0"/>
      <w:divBdr>
        <w:top w:val="none" w:sz="0" w:space="0" w:color="auto"/>
        <w:left w:val="none" w:sz="0" w:space="0" w:color="auto"/>
        <w:bottom w:val="none" w:sz="0" w:space="0" w:color="auto"/>
        <w:right w:val="none" w:sz="0" w:space="0" w:color="auto"/>
      </w:divBdr>
    </w:div>
    <w:div w:id="659964648">
      <w:bodyDiv w:val="1"/>
      <w:marLeft w:val="0"/>
      <w:marRight w:val="0"/>
      <w:marTop w:val="0"/>
      <w:marBottom w:val="0"/>
      <w:divBdr>
        <w:top w:val="none" w:sz="0" w:space="0" w:color="auto"/>
        <w:left w:val="none" w:sz="0" w:space="0" w:color="auto"/>
        <w:bottom w:val="none" w:sz="0" w:space="0" w:color="auto"/>
        <w:right w:val="none" w:sz="0" w:space="0" w:color="auto"/>
      </w:divBdr>
    </w:div>
    <w:div w:id="660083745">
      <w:bodyDiv w:val="1"/>
      <w:marLeft w:val="0"/>
      <w:marRight w:val="0"/>
      <w:marTop w:val="0"/>
      <w:marBottom w:val="0"/>
      <w:divBdr>
        <w:top w:val="none" w:sz="0" w:space="0" w:color="auto"/>
        <w:left w:val="none" w:sz="0" w:space="0" w:color="auto"/>
        <w:bottom w:val="none" w:sz="0" w:space="0" w:color="auto"/>
        <w:right w:val="none" w:sz="0" w:space="0" w:color="auto"/>
      </w:divBdr>
    </w:div>
    <w:div w:id="660162913">
      <w:bodyDiv w:val="1"/>
      <w:marLeft w:val="0"/>
      <w:marRight w:val="0"/>
      <w:marTop w:val="0"/>
      <w:marBottom w:val="0"/>
      <w:divBdr>
        <w:top w:val="none" w:sz="0" w:space="0" w:color="auto"/>
        <w:left w:val="none" w:sz="0" w:space="0" w:color="auto"/>
        <w:bottom w:val="none" w:sz="0" w:space="0" w:color="auto"/>
        <w:right w:val="none" w:sz="0" w:space="0" w:color="auto"/>
      </w:divBdr>
    </w:div>
    <w:div w:id="660348741">
      <w:bodyDiv w:val="1"/>
      <w:marLeft w:val="0"/>
      <w:marRight w:val="0"/>
      <w:marTop w:val="0"/>
      <w:marBottom w:val="0"/>
      <w:divBdr>
        <w:top w:val="none" w:sz="0" w:space="0" w:color="auto"/>
        <w:left w:val="none" w:sz="0" w:space="0" w:color="auto"/>
        <w:bottom w:val="none" w:sz="0" w:space="0" w:color="auto"/>
        <w:right w:val="none" w:sz="0" w:space="0" w:color="auto"/>
      </w:divBdr>
    </w:div>
    <w:div w:id="660356333">
      <w:bodyDiv w:val="1"/>
      <w:marLeft w:val="0"/>
      <w:marRight w:val="0"/>
      <w:marTop w:val="0"/>
      <w:marBottom w:val="0"/>
      <w:divBdr>
        <w:top w:val="none" w:sz="0" w:space="0" w:color="auto"/>
        <w:left w:val="none" w:sz="0" w:space="0" w:color="auto"/>
        <w:bottom w:val="none" w:sz="0" w:space="0" w:color="auto"/>
        <w:right w:val="none" w:sz="0" w:space="0" w:color="auto"/>
      </w:divBdr>
    </w:div>
    <w:div w:id="660472366">
      <w:bodyDiv w:val="1"/>
      <w:marLeft w:val="0"/>
      <w:marRight w:val="0"/>
      <w:marTop w:val="0"/>
      <w:marBottom w:val="0"/>
      <w:divBdr>
        <w:top w:val="none" w:sz="0" w:space="0" w:color="auto"/>
        <w:left w:val="none" w:sz="0" w:space="0" w:color="auto"/>
        <w:bottom w:val="none" w:sz="0" w:space="0" w:color="auto"/>
        <w:right w:val="none" w:sz="0" w:space="0" w:color="auto"/>
      </w:divBdr>
    </w:div>
    <w:div w:id="660502108">
      <w:bodyDiv w:val="1"/>
      <w:marLeft w:val="0"/>
      <w:marRight w:val="0"/>
      <w:marTop w:val="0"/>
      <w:marBottom w:val="0"/>
      <w:divBdr>
        <w:top w:val="none" w:sz="0" w:space="0" w:color="auto"/>
        <w:left w:val="none" w:sz="0" w:space="0" w:color="auto"/>
        <w:bottom w:val="none" w:sz="0" w:space="0" w:color="auto"/>
        <w:right w:val="none" w:sz="0" w:space="0" w:color="auto"/>
      </w:divBdr>
    </w:div>
    <w:div w:id="660542095">
      <w:bodyDiv w:val="1"/>
      <w:marLeft w:val="0"/>
      <w:marRight w:val="0"/>
      <w:marTop w:val="0"/>
      <w:marBottom w:val="0"/>
      <w:divBdr>
        <w:top w:val="none" w:sz="0" w:space="0" w:color="auto"/>
        <w:left w:val="none" w:sz="0" w:space="0" w:color="auto"/>
        <w:bottom w:val="none" w:sz="0" w:space="0" w:color="auto"/>
        <w:right w:val="none" w:sz="0" w:space="0" w:color="auto"/>
      </w:divBdr>
    </w:div>
    <w:div w:id="660617023">
      <w:bodyDiv w:val="1"/>
      <w:marLeft w:val="0"/>
      <w:marRight w:val="0"/>
      <w:marTop w:val="0"/>
      <w:marBottom w:val="0"/>
      <w:divBdr>
        <w:top w:val="none" w:sz="0" w:space="0" w:color="auto"/>
        <w:left w:val="none" w:sz="0" w:space="0" w:color="auto"/>
        <w:bottom w:val="none" w:sz="0" w:space="0" w:color="auto"/>
        <w:right w:val="none" w:sz="0" w:space="0" w:color="auto"/>
      </w:divBdr>
    </w:div>
    <w:div w:id="660700692">
      <w:bodyDiv w:val="1"/>
      <w:marLeft w:val="0"/>
      <w:marRight w:val="0"/>
      <w:marTop w:val="0"/>
      <w:marBottom w:val="0"/>
      <w:divBdr>
        <w:top w:val="none" w:sz="0" w:space="0" w:color="auto"/>
        <w:left w:val="none" w:sz="0" w:space="0" w:color="auto"/>
        <w:bottom w:val="none" w:sz="0" w:space="0" w:color="auto"/>
        <w:right w:val="none" w:sz="0" w:space="0" w:color="auto"/>
      </w:divBdr>
    </w:div>
    <w:div w:id="660741663">
      <w:bodyDiv w:val="1"/>
      <w:marLeft w:val="0"/>
      <w:marRight w:val="0"/>
      <w:marTop w:val="0"/>
      <w:marBottom w:val="0"/>
      <w:divBdr>
        <w:top w:val="none" w:sz="0" w:space="0" w:color="auto"/>
        <w:left w:val="none" w:sz="0" w:space="0" w:color="auto"/>
        <w:bottom w:val="none" w:sz="0" w:space="0" w:color="auto"/>
        <w:right w:val="none" w:sz="0" w:space="0" w:color="auto"/>
      </w:divBdr>
    </w:div>
    <w:div w:id="661005492">
      <w:bodyDiv w:val="1"/>
      <w:marLeft w:val="0"/>
      <w:marRight w:val="0"/>
      <w:marTop w:val="0"/>
      <w:marBottom w:val="0"/>
      <w:divBdr>
        <w:top w:val="none" w:sz="0" w:space="0" w:color="auto"/>
        <w:left w:val="none" w:sz="0" w:space="0" w:color="auto"/>
        <w:bottom w:val="none" w:sz="0" w:space="0" w:color="auto"/>
        <w:right w:val="none" w:sz="0" w:space="0" w:color="auto"/>
      </w:divBdr>
    </w:div>
    <w:div w:id="661009157">
      <w:bodyDiv w:val="1"/>
      <w:marLeft w:val="0"/>
      <w:marRight w:val="0"/>
      <w:marTop w:val="0"/>
      <w:marBottom w:val="0"/>
      <w:divBdr>
        <w:top w:val="none" w:sz="0" w:space="0" w:color="auto"/>
        <w:left w:val="none" w:sz="0" w:space="0" w:color="auto"/>
        <w:bottom w:val="none" w:sz="0" w:space="0" w:color="auto"/>
        <w:right w:val="none" w:sz="0" w:space="0" w:color="auto"/>
      </w:divBdr>
    </w:div>
    <w:div w:id="661198721">
      <w:bodyDiv w:val="1"/>
      <w:marLeft w:val="0"/>
      <w:marRight w:val="0"/>
      <w:marTop w:val="0"/>
      <w:marBottom w:val="0"/>
      <w:divBdr>
        <w:top w:val="none" w:sz="0" w:space="0" w:color="auto"/>
        <w:left w:val="none" w:sz="0" w:space="0" w:color="auto"/>
        <w:bottom w:val="none" w:sz="0" w:space="0" w:color="auto"/>
        <w:right w:val="none" w:sz="0" w:space="0" w:color="auto"/>
      </w:divBdr>
    </w:div>
    <w:div w:id="661200010">
      <w:bodyDiv w:val="1"/>
      <w:marLeft w:val="0"/>
      <w:marRight w:val="0"/>
      <w:marTop w:val="0"/>
      <w:marBottom w:val="0"/>
      <w:divBdr>
        <w:top w:val="none" w:sz="0" w:space="0" w:color="auto"/>
        <w:left w:val="none" w:sz="0" w:space="0" w:color="auto"/>
        <w:bottom w:val="none" w:sz="0" w:space="0" w:color="auto"/>
        <w:right w:val="none" w:sz="0" w:space="0" w:color="auto"/>
      </w:divBdr>
    </w:div>
    <w:div w:id="661279530">
      <w:bodyDiv w:val="1"/>
      <w:marLeft w:val="0"/>
      <w:marRight w:val="0"/>
      <w:marTop w:val="0"/>
      <w:marBottom w:val="0"/>
      <w:divBdr>
        <w:top w:val="none" w:sz="0" w:space="0" w:color="auto"/>
        <w:left w:val="none" w:sz="0" w:space="0" w:color="auto"/>
        <w:bottom w:val="none" w:sz="0" w:space="0" w:color="auto"/>
        <w:right w:val="none" w:sz="0" w:space="0" w:color="auto"/>
      </w:divBdr>
    </w:div>
    <w:div w:id="661396775">
      <w:bodyDiv w:val="1"/>
      <w:marLeft w:val="0"/>
      <w:marRight w:val="0"/>
      <w:marTop w:val="0"/>
      <w:marBottom w:val="0"/>
      <w:divBdr>
        <w:top w:val="none" w:sz="0" w:space="0" w:color="auto"/>
        <w:left w:val="none" w:sz="0" w:space="0" w:color="auto"/>
        <w:bottom w:val="none" w:sz="0" w:space="0" w:color="auto"/>
        <w:right w:val="none" w:sz="0" w:space="0" w:color="auto"/>
      </w:divBdr>
    </w:div>
    <w:div w:id="661465538">
      <w:bodyDiv w:val="1"/>
      <w:marLeft w:val="0"/>
      <w:marRight w:val="0"/>
      <w:marTop w:val="0"/>
      <w:marBottom w:val="0"/>
      <w:divBdr>
        <w:top w:val="none" w:sz="0" w:space="0" w:color="auto"/>
        <w:left w:val="none" w:sz="0" w:space="0" w:color="auto"/>
        <w:bottom w:val="none" w:sz="0" w:space="0" w:color="auto"/>
        <w:right w:val="none" w:sz="0" w:space="0" w:color="auto"/>
      </w:divBdr>
    </w:div>
    <w:div w:id="661474262">
      <w:bodyDiv w:val="1"/>
      <w:marLeft w:val="0"/>
      <w:marRight w:val="0"/>
      <w:marTop w:val="0"/>
      <w:marBottom w:val="0"/>
      <w:divBdr>
        <w:top w:val="none" w:sz="0" w:space="0" w:color="auto"/>
        <w:left w:val="none" w:sz="0" w:space="0" w:color="auto"/>
        <w:bottom w:val="none" w:sz="0" w:space="0" w:color="auto"/>
        <w:right w:val="none" w:sz="0" w:space="0" w:color="auto"/>
      </w:divBdr>
    </w:div>
    <w:div w:id="661541174">
      <w:bodyDiv w:val="1"/>
      <w:marLeft w:val="0"/>
      <w:marRight w:val="0"/>
      <w:marTop w:val="0"/>
      <w:marBottom w:val="0"/>
      <w:divBdr>
        <w:top w:val="none" w:sz="0" w:space="0" w:color="auto"/>
        <w:left w:val="none" w:sz="0" w:space="0" w:color="auto"/>
        <w:bottom w:val="none" w:sz="0" w:space="0" w:color="auto"/>
        <w:right w:val="none" w:sz="0" w:space="0" w:color="auto"/>
      </w:divBdr>
    </w:div>
    <w:div w:id="661658440">
      <w:bodyDiv w:val="1"/>
      <w:marLeft w:val="0"/>
      <w:marRight w:val="0"/>
      <w:marTop w:val="0"/>
      <w:marBottom w:val="0"/>
      <w:divBdr>
        <w:top w:val="none" w:sz="0" w:space="0" w:color="auto"/>
        <w:left w:val="none" w:sz="0" w:space="0" w:color="auto"/>
        <w:bottom w:val="none" w:sz="0" w:space="0" w:color="auto"/>
        <w:right w:val="none" w:sz="0" w:space="0" w:color="auto"/>
      </w:divBdr>
    </w:div>
    <w:div w:id="661663379">
      <w:bodyDiv w:val="1"/>
      <w:marLeft w:val="0"/>
      <w:marRight w:val="0"/>
      <w:marTop w:val="0"/>
      <w:marBottom w:val="0"/>
      <w:divBdr>
        <w:top w:val="none" w:sz="0" w:space="0" w:color="auto"/>
        <w:left w:val="none" w:sz="0" w:space="0" w:color="auto"/>
        <w:bottom w:val="none" w:sz="0" w:space="0" w:color="auto"/>
        <w:right w:val="none" w:sz="0" w:space="0" w:color="auto"/>
      </w:divBdr>
    </w:div>
    <w:div w:id="661734828">
      <w:bodyDiv w:val="1"/>
      <w:marLeft w:val="0"/>
      <w:marRight w:val="0"/>
      <w:marTop w:val="0"/>
      <w:marBottom w:val="0"/>
      <w:divBdr>
        <w:top w:val="none" w:sz="0" w:space="0" w:color="auto"/>
        <w:left w:val="none" w:sz="0" w:space="0" w:color="auto"/>
        <w:bottom w:val="none" w:sz="0" w:space="0" w:color="auto"/>
        <w:right w:val="none" w:sz="0" w:space="0" w:color="auto"/>
      </w:divBdr>
    </w:div>
    <w:div w:id="661735244">
      <w:bodyDiv w:val="1"/>
      <w:marLeft w:val="0"/>
      <w:marRight w:val="0"/>
      <w:marTop w:val="0"/>
      <w:marBottom w:val="0"/>
      <w:divBdr>
        <w:top w:val="none" w:sz="0" w:space="0" w:color="auto"/>
        <w:left w:val="none" w:sz="0" w:space="0" w:color="auto"/>
        <w:bottom w:val="none" w:sz="0" w:space="0" w:color="auto"/>
        <w:right w:val="none" w:sz="0" w:space="0" w:color="auto"/>
      </w:divBdr>
    </w:div>
    <w:div w:id="661739250">
      <w:bodyDiv w:val="1"/>
      <w:marLeft w:val="0"/>
      <w:marRight w:val="0"/>
      <w:marTop w:val="0"/>
      <w:marBottom w:val="0"/>
      <w:divBdr>
        <w:top w:val="none" w:sz="0" w:space="0" w:color="auto"/>
        <w:left w:val="none" w:sz="0" w:space="0" w:color="auto"/>
        <w:bottom w:val="none" w:sz="0" w:space="0" w:color="auto"/>
        <w:right w:val="none" w:sz="0" w:space="0" w:color="auto"/>
      </w:divBdr>
    </w:div>
    <w:div w:id="661783496">
      <w:bodyDiv w:val="1"/>
      <w:marLeft w:val="0"/>
      <w:marRight w:val="0"/>
      <w:marTop w:val="0"/>
      <w:marBottom w:val="0"/>
      <w:divBdr>
        <w:top w:val="none" w:sz="0" w:space="0" w:color="auto"/>
        <w:left w:val="none" w:sz="0" w:space="0" w:color="auto"/>
        <w:bottom w:val="none" w:sz="0" w:space="0" w:color="auto"/>
        <w:right w:val="none" w:sz="0" w:space="0" w:color="auto"/>
      </w:divBdr>
    </w:div>
    <w:div w:id="661785297">
      <w:bodyDiv w:val="1"/>
      <w:marLeft w:val="0"/>
      <w:marRight w:val="0"/>
      <w:marTop w:val="0"/>
      <w:marBottom w:val="0"/>
      <w:divBdr>
        <w:top w:val="none" w:sz="0" w:space="0" w:color="auto"/>
        <w:left w:val="none" w:sz="0" w:space="0" w:color="auto"/>
        <w:bottom w:val="none" w:sz="0" w:space="0" w:color="auto"/>
        <w:right w:val="none" w:sz="0" w:space="0" w:color="auto"/>
      </w:divBdr>
    </w:div>
    <w:div w:id="661813487">
      <w:bodyDiv w:val="1"/>
      <w:marLeft w:val="0"/>
      <w:marRight w:val="0"/>
      <w:marTop w:val="0"/>
      <w:marBottom w:val="0"/>
      <w:divBdr>
        <w:top w:val="none" w:sz="0" w:space="0" w:color="auto"/>
        <w:left w:val="none" w:sz="0" w:space="0" w:color="auto"/>
        <w:bottom w:val="none" w:sz="0" w:space="0" w:color="auto"/>
        <w:right w:val="none" w:sz="0" w:space="0" w:color="auto"/>
      </w:divBdr>
    </w:div>
    <w:div w:id="661859256">
      <w:bodyDiv w:val="1"/>
      <w:marLeft w:val="0"/>
      <w:marRight w:val="0"/>
      <w:marTop w:val="0"/>
      <w:marBottom w:val="0"/>
      <w:divBdr>
        <w:top w:val="none" w:sz="0" w:space="0" w:color="auto"/>
        <w:left w:val="none" w:sz="0" w:space="0" w:color="auto"/>
        <w:bottom w:val="none" w:sz="0" w:space="0" w:color="auto"/>
        <w:right w:val="none" w:sz="0" w:space="0" w:color="auto"/>
      </w:divBdr>
    </w:div>
    <w:div w:id="661927267">
      <w:bodyDiv w:val="1"/>
      <w:marLeft w:val="0"/>
      <w:marRight w:val="0"/>
      <w:marTop w:val="0"/>
      <w:marBottom w:val="0"/>
      <w:divBdr>
        <w:top w:val="none" w:sz="0" w:space="0" w:color="auto"/>
        <w:left w:val="none" w:sz="0" w:space="0" w:color="auto"/>
        <w:bottom w:val="none" w:sz="0" w:space="0" w:color="auto"/>
        <w:right w:val="none" w:sz="0" w:space="0" w:color="auto"/>
      </w:divBdr>
    </w:div>
    <w:div w:id="661929622">
      <w:bodyDiv w:val="1"/>
      <w:marLeft w:val="0"/>
      <w:marRight w:val="0"/>
      <w:marTop w:val="0"/>
      <w:marBottom w:val="0"/>
      <w:divBdr>
        <w:top w:val="none" w:sz="0" w:space="0" w:color="auto"/>
        <w:left w:val="none" w:sz="0" w:space="0" w:color="auto"/>
        <w:bottom w:val="none" w:sz="0" w:space="0" w:color="auto"/>
        <w:right w:val="none" w:sz="0" w:space="0" w:color="auto"/>
      </w:divBdr>
    </w:div>
    <w:div w:id="662049811">
      <w:bodyDiv w:val="1"/>
      <w:marLeft w:val="0"/>
      <w:marRight w:val="0"/>
      <w:marTop w:val="0"/>
      <w:marBottom w:val="0"/>
      <w:divBdr>
        <w:top w:val="none" w:sz="0" w:space="0" w:color="auto"/>
        <w:left w:val="none" w:sz="0" w:space="0" w:color="auto"/>
        <w:bottom w:val="none" w:sz="0" w:space="0" w:color="auto"/>
        <w:right w:val="none" w:sz="0" w:space="0" w:color="auto"/>
      </w:divBdr>
    </w:div>
    <w:div w:id="662243987">
      <w:bodyDiv w:val="1"/>
      <w:marLeft w:val="0"/>
      <w:marRight w:val="0"/>
      <w:marTop w:val="0"/>
      <w:marBottom w:val="0"/>
      <w:divBdr>
        <w:top w:val="none" w:sz="0" w:space="0" w:color="auto"/>
        <w:left w:val="none" w:sz="0" w:space="0" w:color="auto"/>
        <w:bottom w:val="none" w:sz="0" w:space="0" w:color="auto"/>
        <w:right w:val="none" w:sz="0" w:space="0" w:color="auto"/>
      </w:divBdr>
    </w:div>
    <w:div w:id="662390331">
      <w:bodyDiv w:val="1"/>
      <w:marLeft w:val="0"/>
      <w:marRight w:val="0"/>
      <w:marTop w:val="0"/>
      <w:marBottom w:val="0"/>
      <w:divBdr>
        <w:top w:val="none" w:sz="0" w:space="0" w:color="auto"/>
        <w:left w:val="none" w:sz="0" w:space="0" w:color="auto"/>
        <w:bottom w:val="none" w:sz="0" w:space="0" w:color="auto"/>
        <w:right w:val="none" w:sz="0" w:space="0" w:color="auto"/>
      </w:divBdr>
    </w:div>
    <w:div w:id="662465033">
      <w:bodyDiv w:val="1"/>
      <w:marLeft w:val="0"/>
      <w:marRight w:val="0"/>
      <w:marTop w:val="0"/>
      <w:marBottom w:val="0"/>
      <w:divBdr>
        <w:top w:val="none" w:sz="0" w:space="0" w:color="auto"/>
        <w:left w:val="none" w:sz="0" w:space="0" w:color="auto"/>
        <w:bottom w:val="none" w:sz="0" w:space="0" w:color="auto"/>
        <w:right w:val="none" w:sz="0" w:space="0" w:color="auto"/>
      </w:divBdr>
    </w:div>
    <w:div w:id="662582211">
      <w:bodyDiv w:val="1"/>
      <w:marLeft w:val="0"/>
      <w:marRight w:val="0"/>
      <w:marTop w:val="0"/>
      <w:marBottom w:val="0"/>
      <w:divBdr>
        <w:top w:val="none" w:sz="0" w:space="0" w:color="auto"/>
        <w:left w:val="none" w:sz="0" w:space="0" w:color="auto"/>
        <w:bottom w:val="none" w:sz="0" w:space="0" w:color="auto"/>
        <w:right w:val="none" w:sz="0" w:space="0" w:color="auto"/>
      </w:divBdr>
    </w:div>
    <w:div w:id="662776537">
      <w:bodyDiv w:val="1"/>
      <w:marLeft w:val="0"/>
      <w:marRight w:val="0"/>
      <w:marTop w:val="0"/>
      <w:marBottom w:val="0"/>
      <w:divBdr>
        <w:top w:val="none" w:sz="0" w:space="0" w:color="auto"/>
        <w:left w:val="none" w:sz="0" w:space="0" w:color="auto"/>
        <w:bottom w:val="none" w:sz="0" w:space="0" w:color="auto"/>
        <w:right w:val="none" w:sz="0" w:space="0" w:color="auto"/>
      </w:divBdr>
    </w:div>
    <w:div w:id="663096210">
      <w:bodyDiv w:val="1"/>
      <w:marLeft w:val="0"/>
      <w:marRight w:val="0"/>
      <w:marTop w:val="0"/>
      <w:marBottom w:val="0"/>
      <w:divBdr>
        <w:top w:val="none" w:sz="0" w:space="0" w:color="auto"/>
        <w:left w:val="none" w:sz="0" w:space="0" w:color="auto"/>
        <w:bottom w:val="none" w:sz="0" w:space="0" w:color="auto"/>
        <w:right w:val="none" w:sz="0" w:space="0" w:color="auto"/>
      </w:divBdr>
    </w:div>
    <w:div w:id="663164966">
      <w:bodyDiv w:val="1"/>
      <w:marLeft w:val="0"/>
      <w:marRight w:val="0"/>
      <w:marTop w:val="0"/>
      <w:marBottom w:val="0"/>
      <w:divBdr>
        <w:top w:val="none" w:sz="0" w:space="0" w:color="auto"/>
        <w:left w:val="none" w:sz="0" w:space="0" w:color="auto"/>
        <w:bottom w:val="none" w:sz="0" w:space="0" w:color="auto"/>
        <w:right w:val="none" w:sz="0" w:space="0" w:color="auto"/>
      </w:divBdr>
    </w:div>
    <w:div w:id="663165093">
      <w:bodyDiv w:val="1"/>
      <w:marLeft w:val="0"/>
      <w:marRight w:val="0"/>
      <w:marTop w:val="0"/>
      <w:marBottom w:val="0"/>
      <w:divBdr>
        <w:top w:val="none" w:sz="0" w:space="0" w:color="auto"/>
        <w:left w:val="none" w:sz="0" w:space="0" w:color="auto"/>
        <w:bottom w:val="none" w:sz="0" w:space="0" w:color="auto"/>
        <w:right w:val="none" w:sz="0" w:space="0" w:color="auto"/>
      </w:divBdr>
    </w:div>
    <w:div w:id="663239597">
      <w:bodyDiv w:val="1"/>
      <w:marLeft w:val="0"/>
      <w:marRight w:val="0"/>
      <w:marTop w:val="0"/>
      <w:marBottom w:val="0"/>
      <w:divBdr>
        <w:top w:val="none" w:sz="0" w:space="0" w:color="auto"/>
        <w:left w:val="none" w:sz="0" w:space="0" w:color="auto"/>
        <w:bottom w:val="none" w:sz="0" w:space="0" w:color="auto"/>
        <w:right w:val="none" w:sz="0" w:space="0" w:color="auto"/>
      </w:divBdr>
    </w:div>
    <w:div w:id="663246577">
      <w:bodyDiv w:val="1"/>
      <w:marLeft w:val="0"/>
      <w:marRight w:val="0"/>
      <w:marTop w:val="0"/>
      <w:marBottom w:val="0"/>
      <w:divBdr>
        <w:top w:val="none" w:sz="0" w:space="0" w:color="auto"/>
        <w:left w:val="none" w:sz="0" w:space="0" w:color="auto"/>
        <w:bottom w:val="none" w:sz="0" w:space="0" w:color="auto"/>
        <w:right w:val="none" w:sz="0" w:space="0" w:color="auto"/>
      </w:divBdr>
    </w:div>
    <w:div w:id="663438276">
      <w:bodyDiv w:val="1"/>
      <w:marLeft w:val="0"/>
      <w:marRight w:val="0"/>
      <w:marTop w:val="0"/>
      <w:marBottom w:val="0"/>
      <w:divBdr>
        <w:top w:val="none" w:sz="0" w:space="0" w:color="auto"/>
        <w:left w:val="none" w:sz="0" w:space="0" w:color="auto"/>
        <w:bottom w:val="none" w:sz="0" w:space="0" w:color="auto"/>
        <w:right w:val="none" w:sz="0" w:space="0" w:color="auto"/>
      </w:divBdr>
    </w:div>
    <w:div w:id="663438951">
      <w:bodyDiv w:val="1"/>
      <w:marLeft w:val="0"/>
      <w:marRight w:val="0"/>
      <w:marTop w:val="0"/>
      <w:marBottom w:val="0"/>
      <w:divBdr>
        <w:top w:val="none" w:sz="0" w:space="0" w:color="auto"/>
        <w:left w:val="none" w:sz="0" w:space="0" w:color="auto"/>
        <w:bottom w:val="none" w:sz="0" w:space="0" w:color="auto"/>
        <w:right w:val="none" w:sz="0" w:space="0" w:color="auto"/>
      </w:divBdr>
    </w:div>
    <w:div w:id="663630795">
      <w:bodyDiv w:val="1"/>
      <w:marLeft w:val="0"/>
      <w:marRight w:val="0"/>
      <w:marTop w:val="0"/>
      <w:marBottom w:val="0"/>
      <w:divBdr>
        <w:top w:val="none" w:sz="0" w:space="0" w:color="auto"/>
        <w:left w:val="none" w:sz="0" w:space="0" w:color="auto"/>
        <w:bottom w:val="none" w:sz="0" w:space="0" w:color="auto"/>
        <w:right w:val="none" w:sz="0" w:space="0" w:color="auto"/>
      </w:divBdr>
    </w:div>
    <w:div w:id="663632945">
      <w:bodyDiv w:val="1"/>
      <w:marLeft w:val="0"/>
      <w:marRight w:val="0"/>
      <w:marTop w:val="0"/>
      <w:marBottom w:val="0"/>
      <w:divBdr>
        <w:top w:val="none" w:sz="0" w:space="0" w:color="auto"/>
        <w:left w:val="none" w:sz="0" w:space="0" w:color="auto"/>
        <w:bottom w:val="none" w:sz="0" w:space="0" w:color="auto"/>
        <w:right w:val="none" w:sz="0" w:space="0" w:color="auto"/>
      </w:divBdr>
    </w:div>
    <w:div w:id="663705542">
      <w:bodyDiv w:val="1"/>
      <w:marLeft w:val="0"/>
      <w:marRight w:val="0"/>
      <w:marTop w:val="0"/>
      <w:marBottom w:val="0"/>
      <w:divBdr>
        <w:top w:val="none" w:sz="0" w:space="0" w:color="auto"/>
        <w:left w:val="none" w:sz="0" w:space="0" w:color="auto"/>
        <w:bottom w:val="none" w:sz="0" w:space="0" w:color="auto"/>
        <w:right w:val="none" w:sz="0" w:space="0" w:color="auto"/>
      </w:divBdr>
    </w:div>
    <w:div w:id="663748769">
      <w:bodyDiv w:val="1"/>
      <w:marLeft w:val="0"/>
      <w:marRight w:val="0"/>
      <w:marTop w:val="0"/>
      <w:marBottom w:val="0"/>
      <w:divBdr>
        <w:top w:val="none" w:sz="0" w:space="0" w:color="auto"/>
        <w:left w:val="none" w:sz="0" w:space="0" w:color="auto"/>
        <w:bottom w:val="none" w:sz="0" w:space="0" w:color="auto"/>
        <w:right w:val="none" w:sz="0" w:space="0" w:color="auto"/>
      </w:divBdr>
    </w:div>
    <w:div w:id="663969466">
      <w:bodyDiv w:val="1"/>
      <w:marLeft w:val="0"/>
      <w:marRight w:val="0"/>
      <w:marTop w:val="0"/>
      <w:marBottom w:val="0"/>
      <w:divBdr>
        <w:top w:val="none" w:sz="0" w:space="0" w:color="auto"/>
        <w:left w:val="none" w:sz="0" w:space="0" w:color="auto"/>
        <w:bottom w:val="none" w:sz="0" w:space="0" w:color="auto"/>
        <w:right w:val="none" w:sz="0" w:space="0" w:color="auto"/>
      </w:divBdr>
    </w:div>
    <w:div w:id="663972325">
      <w:bodyDiv w:val="1"/>
      <w:marLeft w:val="0"/>
      <w:marRight w:val="0"/>
      <w:marTop w:val="0"/>
      <w:marBottom w:val="0"/>
      <w:divBdr>
        <w:top w:val="none" w:sz="0" w:space="0" w:color="auto"/>
        <w:left w:val="none" w:sz="0" w:space="0" w:color="auto"/>
        <w:bottom w:val="none" w:sz="0" w:space="0" w:color="auto"/>
        <w:right w:val="none" w:sz="0" w:space="0" w:color="auto"/>
      </w:divBdr>
    </w:div>
    <w:div w:id="664013782">
      <w:bodyDiv w:val="1"/>
      <w:marLeft w:val="0"/>
      <w:marRight w:val="0"/>
      <w:marTop w:val="0"/>
      <w:marBottom w:val="0"/>
      <w:divBdr>
        <w:top w:val="none" w:sz="0" w:space="0" w:color="auto"/>
        <w:left w:val="none" w:sz="0" w:space="0" w:color="auto"/>
        <w:bottom w:val="none" w:sz="0" w:space="0" w:color="auto"/>
        <w:right w:val="none" w:sz="0" w:space="0" w:color="auto"/>
      </w:divBdr>
    </w:div>
    <w:div w:id="664016329">
      <w:bodyDiv w:val="1"/>
      <w:marLeft w:val="0"/>
      <w:marRight w:val="0"/>
      <w:marTop w:val="0"/>
      <w:marBottom w:val="0"/>
      <w:divBdr>
        <w:top w:val="none" w:sz="0" w:space="0" w:color="auto"/>
        <w:left w:val="none" w:sz="0" w:space="0" w:color="auto"/>
        <w:bottom w:val="none" w:sz="0" w:space="0" w:color="auto"/>
        <w:right w:val="none" w:sz="0" w:space="0" w:color="auto"/>
      </w:divBdr>
    </w:div>
    <w:div w:id="664017349">
      <w:bodyDiv w:val="1"/>
      <w:marLeft w:val="0"/>
      <w:marRight w:val="0"/>
      <w:marTop w:val="0"/>
      <w:marBottom w:val="0"/>
      <w:divBdr>
        <w:top w:val="none" w:sz="0" w:space="0" w:color="auto"/>
        <w:left w:val="none" w:sz="0" w:space="0" w:color="auto"/>
        <w:bottom w:val="none" w:sz="0" w:space="0" w:color="auto"/>
        <w:right w:val="none" w:sz="0" w:space="0" w:color="auto"/>
      </w:divBdr>
    </w:div>
    <w:div w:id="664090469">
      <w:bodyDiv w:val="1"/>
      <w:marLeft w:val="0"/>
      <w:marRight w:val="0"/>
      <w:marTop w:val="0"/>
      <w:marBottom w:val="0"/>
      <w:divBdr>
        <w:top w:val="none" w:sz="0" w:space="0" w:color="auto"/>
        <w:left w:val="none" w:sz="0" w:space="0" w:color="auto"/>
        <w:bottom w:val="none" w:sz="0" w:space="0" w:color="auto"/>
        <w:right w:val="none" w:sz="0" w:space="0" w:color="auto"/>
      </w:divBdr>
    </w:div>
    <w:div w:id="664164629">
      <w:bodyDiv w:val="1"/>
      <w:marLeft w:val="0"/>
      <w:marRight w:val="0"/>
      <w:marTop w:val="0"/>
      <w:marBottom w:val="0"/>
      <w:divBdr>
        <w:top w:val="none" w:sz="0" w:space="0" w:color="auto"/>
        <w:left w:val="none" w:sz="0" w:space="0" w:color="auto"/>
        <w:bottom w:val="none" w:sz="0" w:space="0" w:color="auto"/>
        <w:right w:val="none" w:sz="0" w:space="0" w:color="auto"/>
      </w:divBdr>
    </w:div>
    <w:div w:id="664165119">
      <w:bodyDiv w:val="1"/>
      <w:marLeft w:val="0"/>
      <w:marRight w:val="0"/>
      <w:marTop w:val="0"/>
      <w:marBottom w:val="0"/>
      <w:divBdr>
        <w:top w:val="none" w:sz="0" w:space="0" w:color="auto"/>
        <w:left w:val="none" w:sz="0" w:space="0" w:color="auto"/>
        <w:bottom w:val="none" w:sz="0" w:space="0" w:color="auto"/>
        <w:right w:val="none" w:sz="0" w:space="0" w:color="auto"/>
      </w:divBdr>
    </w:div>
    <w:div w:id="664166790">
      <w:bodyDiv w:val="1"/>
      <w:marLeft w:val="0"/>
      <w:marRight w:val="0"/>
      <w:marTop w:val="0"/>
      <w:marBottom w:val="0"/>
      <w:divBdr>
        <w:top w:val="none" w:sz="0" w:space="0" w:color="auto"/>
        <w:left w:val="none" w:sz="0" w:space="0" w:color="auto"/>
        <w:bottom w:val="none" w:sz="0" w:space="0" w:color="auto"/>
        <w:right w:val="none" w:sz="0" w:space="0" w:color="auto"/>
      </w:divBdr>
    </w:div>
    <w:div w:id="664209624">
      <w:bodyDiv w:val="1"/>
      <w:marLeft w:val="0"/>
      <w:marRight w:val="0"/>
      <w:marTop w:val="0"/>
      <w:marBottom w:val="0"/>
      <w:divBdr>
        <w:top w:val="none" w:sz="0" w:space="0" w:color="auto"/>
        <w:left w:val="none" w:sz="0" w:space="0" w:color="auto"/>
        <w:bottom w:val="none" w:sz="0" w:space="0" w:color="auto"/>
        <w:right w:val="none" w:sz="0" w:space="0" w:color="auto"/>
      </w:divBdr>
    </w:div>
    <w:div w:id="664358795">
      <w:bodyDiv w:val="1"/>
      <w:marLeft w:val="0"/>
      <w:marRight w:val="0"/>
      <w:marTop w:val="0"/>
      <w:marBottom w:val="0"/>
      <w:divBdr>
        <w:top w:val="none" w:sz="0" w:space="0" w:color="auto"/>
        <w:left w:val="none" w:sz="0" w:space="0" w:color="auto"/>
        <w:bottom w:val="none" w:sz="0" w:space="0" w:color="auto"/>
        <w:right w:val="none" w:sz="0" w:space="0" w:color="auto"/>
      </w:divBdr>
    </w:div>
    <w:div w:id="664362823">
      <w:bodyDiv w:val="1"/>
      <w:marLeft w:val="0"/>
      <w:marRight w:val="0"/>
      <w:marTop w:val="0"/>
      <w:marBottom w:val="0"/>
      <w:divBdr>
        <w:top w:val="none" w:sz="0" w:space="0" w:color="auto"/>
        <w:left w:val="none" w:sz="0" w:space="0" w:color="auto"/>
        <w:bottom w:val="none" w:sz="0" w:space="0" w:color="auto"/>
        <w:right w:val="none" w:sz="0" w:space="0" w:color="auto"/>
      </w:divBdr>
    </w:div>
    <w:div w:id="664436027">
      <w:bodyDiv w:val="1"/>
      <w:marLeft w:val="0"/>
      <w:marRight w:val="0"/>
      <w:marTop w:val="0"/>
      <w:marBottom w:val="0"/>
      <w:divBdr>
        <w:top w:val="none" w:sz="0" w:space="0" w:color="auto"/>
        <w:left w:val="none" w:sz="0" w:space="0" w:color="auto"/>
        <w:bottom w:val="none" w:sz="0" w:space="0" w:color="auto"/>
        <w:right w:val="none" w:sz="0" w:space="0" w:color="auto"/>
      </w:divBdr>
    </w:div>
    <w:div w:id="664473919">
      <w:bodyDiv w:val="1"/>
      <w:marLeft w:val="0"/>
      <w:marRight w:val="0"/>
      <w:marTop w:val="0"/>
      <w:marBottom w:val="0"/>
      <w:divBdr>
        <w:top w:val="none" w:sz="0" w:space="0" w:color="auto"/>
        <w:left w:val="none" w:sz="0" w:space="0" w:color="auto"/>
        <w:bottom w:val="none" w:sz="0" w:space="0" w:color="auto"/>
        <w:right w:val="none" w:sz="0" w:space="0" w:color="auto"/>
      </w:divBdr>
    </w:div>
    <w:div w:id="664549889">
      <w:bodyDiv w:val="1"/>
      <w:marLeft w:val="0"/>
      <w:marRight w:val="0"/>
      <w:marTop w:val="0"/>
      <w:marBottom w:val="0"/>
      <w:divBdr>
        <w:top w:val="none" w:sz="0" w:space="0" w:color="auto"/>
        <w:left w:val="none" w:sz="0" w:space="0" w:color="auto"/>
        <w:bottom w:val="none" w:sz="0" w:space="0" w:color="auto"/>
        <w:right w:val="none" w:sz="0" w:space="0" w:color="auto"/>
      </w:divBdr>
    </w:div>
    <w:div w:id="664550286">
      <w:bodyDiv w:val="1"/>
      <w:marLeft w:val="0"/>
      <w:marRight w:val="0"/>
      <w:marTop w:val="0"/>
      <w:marBottom w:val="0"/>
      <w:divBdr>
        <w:top w:val="none" w:sz="0" w:space="0" w:color="auto"/>
        <w:left w:val="none" w:sz="0" w:space="0" w:color="auto"/>
        <w:bottom w:val="none" w:sz="0" w:space="0" w:color="auto"/>
        <w:right w:val="none" w:sz="0" w:space="0" w:color="auto"/>
      </w:divBdr>
    </w:div>
    <w:div w:id="664674041">
      <w:bodyDiv w:val="1"/>
      <w:marLeft w:val="0"/>
      <w:marRight w:val="0"/>
      <w:marTop w:val="0"/>
      <w:marBottom w:val="0"/>
      <w:divBdr>
        <w:top w:val="none" w:sz="0" w:space="0" w:color="auto"/>
        <w:left w:val="none" w:sz="0" w:space="0" w:color="auto"/>
        <w:bottom w:val="none" w:sz="0" w:space="0" w:color="auto"/>
        <w:right w:val="none" w:sz="0" w:space="0" w:color="auto"/>
      </w:divBdr>
    </w:div>
    <w:div w:id="664819650">
      <w:bodyDiv w:val="1"/>
      <w:marLeft w:val="0"/>
      <w:marRight w:val="0"/>
      <w:marTop w:val="0"/>
      <w:marBottom w:val="0"/>
      <w:divBdr>
        <w:top w:val="none" w:sz="0" w:space="0" w:color="auto"/>
        <w:left w:val="none" w:sz="0" w:space="0" w:color="auto"/>
        <w:bottom w:val="none" w:sz="0" w:space="0" w:color="auto"/>
        <w:right w:val="none" w:sz="0" w:space="0" w:color="auto"/>
      </w:divBdr>
    </w:div>
    <w:div w:id="665062166">
      <w:bodyDiv w:val="1"/>
      <w:marLeft w:val="0"/>
      <w:marRight w:val="0"/>
      <w:marTop w:val="0"/>
      <w:marBottom w:val="0"/>
      <w:divBdr>
        <w:top w:val="none" w:sz="0" w:space="0" w:color="auto"/>
        <w:left w:val="none" w:sz="0" w:space="0" w:color="auto"/>
        <w:bottom w:val="none" w:sz="0" w:space="0" w:color="auto"/>
        <w:right w:val="none" w:sz="0" w:space="0" w:color="auto"/>
      </w:divBdr>
    </w:div>
    <w:div w:id="665087006">
      <w:bodyDiv w:val="1"/>
      <w:marLeft w:val="0"/>
      <w:marRight w:val="0"/>
      <w:marTop w:val="0"/>
      <w:marBottom w:val="0"/>
      <w:divBdr>
        <w:top w:val="none" w:sz="0" w:space="0" w:color="auto"/>
        <w:left w:val="none" w:sz="0" w:space="0" w:color="auto"/>
        <w:bottom w:val="none" w:sz="0" w:space="0" w:color="auto"/>
        <w:right w:val="none" w:sz="0" w:space="0" w:color="auto"/>
      </w:divBdr>
    </w:div>
    <w:div w:id="665088493">
      <w:bodyDiv w:val="1"/>
      <w:marLeft w:val="0"/>
      <w:marRight w:val="0"/>
      <w:marTop w:val="0"/>
      <w:marBottom w:val="0"/>
      <w:divBdr>
        <w:top w:val="none" w:sz="0" w:space="0" w:color="auto"/>
        <w:left w:val="none" w:sz="0" w:space="0" w:color="auto"/>
        <w:bottom w:val="none" w:sz="0" w:space="0" w:color="auto"/>
        <w:right w:val="none" w:sz="0" w:space="0" w:color="auto"/>
      </w:divBdr>
    </w:div>
    <w:div w:id="665323756">
      <w:bodyDiv w:val="1"/>
      <w:marLeft w:val="0"/>
      <w:marRight w:val="0"/>
      <w:marTop w:val="0"/>
      <w:marBottom w:val="0"/>
      <w:divBdr>
        <w:top w:val="none" w:sz="0" w:space="0" w:color="auto"/>
        <w:left w:val="none" w:sz="0" w:space="0" w:color="auto"/>
        <w:bottom w:val="none" w:sz="0" w:space="0" w:color="auto"/>
        <w:right w:val="none" w:sz="0" w:space="0" w:color="auto"/>
      </w:divBdr>
    </w:div>
    <w:div w:id="665327580">
      <w:bodyDiv w:val="1"/>
      <w:marLeft w:val="0"/>
      <w:marRight w:val="0"/>
      <w:marTop w:val="0"/>
      <w:marBottom w:val="0"/>
      <w:divBdr>
        <w:top w:val="none" w:sz="0" w:space="0" w:color="auto"/>
        <w:left w:val="none" w:sz="0" w:space="0" w:color="auto"/>
        <w:bottom w:val="none" w:sz="0" w:space="0" w:color="auto"/>
        <w:right w:val="none" w:sz="0" w:space="0" w:color="auto"/>
      </w:divBdr>
    </w:div>
    <w:div w:id="665596912">
      <w:bodyDiv w:val="1"/>
      <w:marLeft w:val="0"/>
      <w:marRight w:val="0"/>
      <w:marTop w:val="0"/>
      <w:marBottom w:val="0"/>
      <w:divBdr>
        <w:top w:val="none" w:sz="0" w:space="0" w:color="auto"/>
        <w:left w:val="none" w:sz="0" w:space="0" w:color="auto"/>
        <w:bottom w:val="none" w:sz="0" w:space="0" w:color="auto"/>
        <w:right w:val="none" w:sz="0" w:space="0" w:color="auto"/>
      </w:divBdr>
    </w:div>
    <w:div w:id="665743626">
      <w:bodyDiv w:val="1"/>
      <w:marLeft w:val="0"/>
      <w:marRight w:val="0"/>
      <w:marTop w:val="0"/>
      <w:marBottom w:val="0"/>
      <w:divBdr>
        <w:top w:val="none" w:sz="0" w:space="0" w:color="auto"/>
        <w:left w:val="none" w:sz="0" w:space="0" w:color="auto"/>
        <w:bottom w:val="none" w:sz="0" w:space="0" w:color="auto"/>
        <w:right w:val="none" w:sz="0" w:space="0" w:color="auto"/>
      </w:divBdr>
    </w:div>
    <w:div w:id="665744559">
      <w:bodyDiv w:val="1"/>
      <w:marLeft w:val="0"/>
      <w:marRight w:val="0"/>
      <w:marTop w:val="0"/>
      <w:marBottom w:val="0"/>
      <w:divBdr>
        <w:top w:val="none" w:sz="0" w:space="0" w:color="auto"/>
        <w:left w:val="none" w:sz="0" w:space="0" w:color="auto"/>
        <w:bottom w:val="none" w:sz="0" w:space="0" w:color="auto"/>
        <w:right w:val="none" w:sz="0" w:space="0" w:color="auto"/>
      </w:divBdr>
    </w:div>
    <w:div w:id="665788548">
      <w:bodyDiv w:val="1"/>
      <w:marLeft w:val="0"/>
      <w:marRight w:val="0"/>
      <w:marTop w:val="0"/>
      <w:marBottom w:val="0"/>
      <w:divBdr>
        <w:top w:val="none" w:sz="0" w:space="0" w:color="auto"/>
        <w:left w:val="none" w:sz="0" w:space="0" w:color="auto"/>
        <w:bottom w:val="none" w:sz="0" w:space="0" w:color="auto"/>
        <w:right w:val="none" w:sz="0" w:space="0" w:color="auto"/>
      </w:divBdr>
    </w:div>
    <w:div w:id="665792902">
      <w:bodyDiv w:val="1"/>
      <w:marLeft w:val="0"/>
      <w:marRight w:val="0"/>
      <w:marTop w:val="0"/>
      <w:marBottom w:val="0"/>
      <w:divBdr>
        <w:top w:val="none" w:sz="0" w:space="0" w:color="auto"/>
        <w:left w:val="none" w:sz="0" w:space="0" w:color="auto"/>
        <w:bottom w:val="none" w:sz="0" w:space="0" w:color="auto"/>
        <w:right w:val="none" w:sz="0" w:space="0" w:color="auto"/>
      </w:divBdr>
    </w:div>
    <w:div w:id="665935101">
      <w:bodyDiv w:val="1"/>
      <w:marLeft w:val="0"/>
      <w:marRight w:val="0"/>
      <w:marTop w:val="0"/>
      <w:marBottom w:val="0"/>
      <w:divBdr>
        <w:top w:val="none" w:sz="0" w:space="0" w:color="auto"/>
        <w:left w:val="none" w:sz="0" w:space="0" w:color="auto"/>
        <w:bottom w:val="none" w:sz="0" w:space="0" w:color="auto"/>
        <w:right w:val="none" w:sz="0" w:space="0" w:color="auto"/>
      </w:divBdr>
    </w:div>
    <w:div w:id="665935472">
      <w:bodyDiv w:val="1"/>
      <w:marLeft w:val="0"/>
      <w:marRight w:val="0"/>
      <w:marTop w:val="0"/>
      <w:marBottom w:val="0"/>
      <w:divBdr>
        <w:top w:val="none" w:sz="0" w:space="0" w:color="auto"/>
        <w:left w:val="none" w:sz="0" w:space="0" w:color="auto"/>
        <w:bottom w:val="none" w:sz="0" w:space="0" w:color="auto"/>
        <w:right w:val="none" w:sz="0" w:space="0" w:color="auto"/>
      </w:divBdr>
    </w:div>
    <w:div w:id="666134221">
      <w:bodyDiv w:val="1"/>
      <w:marLeft w:val="0"/>
      <w:marRight w:val="0"/>
      <w:marTop w:val="0"/>
      <w:marBottom w:val="0"/>
      <w:divBdr>
        <w:top w:val="none" w:sz="0" w:space="0" w:color="auto"/>
        <w:left w:val="none" w:sz="0" w:space="0" w:color="auto"/>
        <w:bottom w:val="none" w:sz="0" w:space="0" w:color="auto"/>
        <w:right w:val="none" w:sz="0" w:space="0" w:color="auto"/>
      </w:divBdr>
    </w:div>
    <w:div w:id="666177927">
      <w:bodyDiv w:val="1"/>
      <w:marLeft w:val="0"/>
      <w:marRight w:val="0"/>
      <w:marTop w:val="0"/>
      <w:marBottom w:val="0"/>
      <w:divBdr>
        <w:top w:val="none" w:sz="0" w:space="0" w:color="auto"/>
        <w:left w:val="none" w:sz="0" w:space="0" w:color="auto"/>
        <w:bottom w:val="none" w:sz="0" w:space="0" w:color="auto"/>
        <w:right w:val="none" w:sz="0" w:space="0" w:color="auto"/>
      </w:divBdr>
    </w:div>
    <w:div w:id="666249911">
      <w:bodyDiv w:val="1"/>
      <w:marLeft w:val="0"/>
      <w:marRight w:val="0"/>
      <w:marTop w:val="0"/>
      <w:marBottom w:val="0"/>
      <w:divBdr>
        <w:top w:val="none" w:sz="0" w:space="0" w:color="auto"/>
        <w:left w:val="none" w:sz="0" w:space="0" w:color="auto"/>
        <w:bottom w:val="none" w:sz="0" w:space="0" w:color="auto"/>
        <w:right w:val="none" w:sz="0" w:space="0" w:color="auto"/>
      </w:divBdr>
    </w:div>
    <w:div w:id="666439891">
      <w:bodyDiv w:val="1"/>
      <w:marLeft w:val="0"/>
      <w:marRight w:val="0"/>
      <w:marTop w:val="0"/>
      <w:marBottom w:val="0"/>
      <w:divBdr>
        <w:top w:val="none" w:sz="0" w:space="0" w:color="auto"/>
        <w:left w:val="none" w:sz="0" w:space="0" w:color="auto"/>
        <w:bottom w:val="none" w:sz="0" w:space="0" w:color="auto"/>
        <w:right w:val="none" w:sz="0" w:space="0" w:color="auto"/>
      </w:divBdr>
    </w:div>
    <w:div w:id="666448171">
      <w:bodyDiv w:val="1"/>
      <w:marLeft w:val="0"/>
      <w:marRight w:val="0"/>
      <w:marTop w:val="0"/>
      <w:marBottom w:val="0"/>
      <w:divBdr>
        <w:top w:val="none" w:sz="0" w:space="0" w:color="auto"/>
        <w:left w:val="none" w:sz="0" w:space="0" w:color="auto"/>
        <w:bottom w:val="none" w:sz="0" w:space="0" w:color="auto"/>
        <w:right w:val="none" w:sz="0" w:space="0" w:color="auto"/>
      </w:divBdr>
    </w:div>
    <w:div w:id="666520415">
      <w:bodyDiv w:val="1"/>
      <w:marLeft w:val="0"/>
      <w:marRight w:val="0"/>
      <w:marTop w:val="0"/>
      <w:marBottom w:val="0"/>
      <w:divBdr>
        <w:top w:val="none" w:sz="0" w:space="0" w:color="auto"/>
        <w:left w:val="none" w:sz="0" w:space="0" w:color="auto"/>
        <w:bottom w:val="none" w:sz="0" w:space="0" w:color="auto"/>
        <w:right w:val="none" w:sz="0" w:space="0" w:color="auto"/>
      </w:divBdr>
    </w:div>
    <w:div w:id="666783499">
      <w:bodyDiv w:val="1"/>
      <w:marLeft w:val="0"/>
      <w:marRight w:val="0"/>
      <w:marTop w:val="0"/>
      <w:marBottom w:val="0"/>
      <w:divBdr>
        <w:top w:val="none" w:sz="0" w:space="0" w:color="auto"/>
        <w:left w:val="none" w:sz="0" w:space="0" w:color="auto"/>
        <w:bottom w:val="none" w:sz="0" w:space="0" w:color="auto"/>
        <w:right w:val="none" w:sz="0" w:space="0" w:color="auto"/>
      </w:divBdr>
    </w:div>
    <w:div w:id="666788025">
      <w:bodyDiv w:val="1"/>
      <w:marLeft w:val="0"/>
      <w:marRight w:val="0"/>
      <w:marTop w:val="0"/>
      <w:marBottom w:val="0"/>
      <w:divBdr>
        <w:top w:val="none" w:sz="0" w:space="0" w:color="auto"/>
        <w:left w:val="none" w:sz="0" w:space="0" w:color="auto"/>
        <w:bottom w:val="none" w:sz="0" w:space="0" w:color="auto"/>
        <w:right w:val="none" w:sz="0" w:space="0" w:color="auto"/>
      </w:divBdr>
    </w:div>
    <w:div w:id="667056784">
      <w:bodyDiv w:val="1"/>
      <w:marLeft w:val="0"/>
      <w:marRight w:val="0"/>
      <w:marTop w:val="0"/>
      <w:marBottom w:val="0"/>
      <w:divBdr>
        <w:top w:val="none" w:sz="0" w:space="0" w:color="auto"/>
        <w:left w:val="none" w:sz="0" w:space="0" w:color="auto"/>
        <w:bottom w:val="none" w:sz="0" w:space="0" w:color="auto"/>
        <w:right w:val="none" w:sz="0" w:space="0" w:color="auto"/>
      </w:divBdr>
    </w:div>
    <w:div w:id="667100299">
      <w:bodyDiv w:val="1"/>
      <w:marLeft w:val="0"/>
      <w:marRight w:val="0"/>
      <w:marTop w:val="0"/>
      <w:marBottom w:val="0"/>
      <w:divBdr>
        <w:top w:val="none" w:sz="0" w:space="0" w:color="auto"/>
        <w:left w:val="none" w:sz="0" w:space="0" w:color="auto"/>
        <w:bottom w:val="none" w:sz="0" w:space="0" w:color="auto"/>
        <w:right w:val="none" w:sz="0" w:space="0" w:color="auto"/>
      </w:divBdr>
    </w:div>
    <w:div w:id="667102266">
      <w:bodyDiv w:val="1"/>
      <w:marLeft w:val="0"/>
      <w:marRight w:val="0"/>
      <w:marTop w:val="0"/>
      <w:marBottom w:val="0"/>
      <w:divBdr>
        <w:top w:val="none" w:sz="0" w:space="0" w:color="auto"/>
        <w:left w:val="none" w:sz="0" w:space="0" w:color="auto"/>
        <w:bottom w:val="none" w:sz="0" w:space="0" w:color="auto"/>
        <w:right w:val="none" w:sz="0" w:space="0" w:color="auto"/>
      </w:divBdr>
    </w:div>
    <w:div w:id="667247987">
      <w:bodyDiv w:val="1"/>
      <w:marLeft w:val="0"/>
      <w:marRight w:val="0"/>
      <w:marTop w:val="0"/>
      <w:marBottom w:val="0"/>
      <w:divBdr>
        <w:top w:val="none" w:sz="0" w:space="0" w:color="auto"/>
        <w:left w:val="none" w:sz="0" w:space="0" w:color="auto"/>
        <w:bottom w:val="none" w:sz="0" w:space="0" w:color="auto"/>
        <w:right w:val="none" w:sz="0" w:space="0" w:color="auto"/>
      </w:divBdr>
    </w:div>
    <w:div w:id="667295883">
      <w:bodyDiv w:val="1"/>
      <w:marLeft w:val="0"/>
      <w:marRight w:val="0"/>
      <w:marTop w:val="0"/>
      <w:marBottom w:val="0"/>
      <w:divBdr>
        <w:top w:val="none" w:sz="0" w:space="0" w:color="auto"/>
        <w:left w:val="none" w:sz="0" w:space="0" w:color="auto"/>
        <w:bottom w:val="none" w:sz="0" w:space="0" w:color="auto"/>
        <w:right w:val="none" w:sz="0" w:space="0" w:color="auto"/>
      </w:divBdr>
    </w:div>
    <w:div w:id="667368996">
      <w:bodyDiv w:val="1"/>
      <w:marLeft w:val="0"/>
      <w:marRight w:val="0"/>
      <w:marTop w:val="0"/>
      <w:marBottom w:val="0"/>
      <w:divBdr>
        <w:top w:val="none" w:sz="0" w:space="0" w:color="auto"/>
        <w:left w:val="none" w:sz="0" w:space="0" w:color="auto"/>
        <w:bottom w:val="none" w:sz="0" w:space="0" w:color="auto"/>
        <w:right w:val="none" w:sz="0" w:space="0" w:color="auto"/>
      </w:divBdr>
    </w:div>
    <w:div w:id="667444524">
      <w:bodyDiv w:val="1"/>
      <w:marLeft w:val="0"/>
      <w:marRight w:val="0"/>
      <w:marTop w:val="0"/>
      <w:marBottom w:val="0"/>
      <w:divBdr>
        <w:top w:val="none" w:sz="0" w:space="0" w:color="auto"/>
        <w:left w:val="none" w:sz="0" w:space="0" w:color="auto"/>
        <w:bottom w:val="none" w:sz="0" w:space="0" w:color="auto"/>
        <w:right w:val="none" w:sz="0" w:space="0" w:color="auto"/>
      </w:divBdr>
    </w:div>
    <w:div w:id="667446919">
      <w:bodyDiv w:val="1"/>
      <w:marLeft w:val="0"/>
      <w:marRight w:val="0"/>
      <w:marTop w:val="0"/>
      <w:marBottom w:val="0"/>
      <w:divBdr>
        <w:top w:val="none" w:sz="0" w:space="0" w:color="auto"/>
        <w:left w:val="none" w:sz="0" w:space="0" w:color="auto"/>
        <w:bottom w:val="none" w:sz="0" w:space="0" w:color="auto"/>
        <w:right w:val="none" w:sz="0" w:space="0" w:color="auto"/>
      </w:divBdr>
    </w:div>
    <w:div w:id="667561147">
      <w:bodyDiv w:val="1"/>
      <w:marLeft w:val="0"/>
      <w:marRight w:val="0"/>
      <w:marTop w:val="0"/>
      <w:marBottom w:val="0"/>
      <w:divBdr>
        <w:top w:val="none" w:sz="0" w:space="0" w:color="auto"/>
        <w:left w:val="none" w:sz="0" w:space="0" w:color="auto"/>
        <w:bottom w:val="none" w:sz="0" w:space="0" w:color="auto"/>
        <w:right w:val="none" w:sz="0" w:space="0" w:color="auto"/>
      </w:divBdr>
    </w:div>
    <w:div w:id="667706949">
      <w:bodyDiv w:val="1"/>
      <w:marLeft w:val="0"/>
      <w:marRight w:val="0"/>
      <w:marTop w:val="0"/>
      <w:marBottom w:val="0"/>
      <w:divBdr>
        <w:top w:val="none" w:sz="0" w:space="0" w:color="auto"/>
        <w:left w:val="none" w:sz="0" w:space="0" w:color="auto"/>
        <w:bottom w:val="none" w:sz="0" w:space="0" w:color="auto"/>
        <w:right w:val="none" w:sz="0" w:space="0" w:color="auto"/>
      </w:divBdr>
    </w:div>
    <w:div w:id="667712166">
      <w:bodyDiv w:val="1"/>
      <w:marLeft w:val="0"/>
      <w:marRight w:val="0"/>
      <w:marTop w:val="0"/>
      <w:marBottom w:val="0"/>
      <w:divBdr>
        <w:top w:val="none" w:sz="0" w:space="0" w:color="auto"/>
        <w:left w:val="none" w:sz="0" w:space="0" w:color="auto"/>
        <w:bottom w:val="none" w:sz="0" w:space="0" w:color="auto"/>
        <w:right w:val="none" w:sz="0" w:space="0" w:color="auto"/>
      </w:divBdr>
    </w:div>
    <w:div w:id="667752510">
      <w:bodyDiv w:val="1"/>
      <w:marLeft w:val="0"/>
      <w:marRight w:val="0"/>
      <w:marTop w:val="0"/>
      <w:marBottom w:val="0"/>
      <w:divBdr>
        <w:top w:val="none" w:sz="0" w:space="0" w:color="auto"/>
        <w:left w:val="none" w:sz="0" w:space="0" w:color="auto"/>
        <w:bottom w:val="none" w:sz="0" w:space="0" w:color="auto"/>
        <w:right w:val="none" w:sz="0" w:space="0" w:color="auto"/>
      </w:divBdr>
    </w:div>
    <w:div w:id="667826482">
      <w:bodyDiv w:val="1"/>
      <w:marLeft w:val="0"/>
      <w:marRight w:val="0"/>
      <w:marTop w:val="0"/>
      <w:marBottom w:val="0"/>
      <w:divBdr>
        <w:top w:val="none" w:sz="0" w:space="0" w:color="auto"/>
        <w:left w:val="none" w:sz="0" w:space="0" w:color="auto"/>
        <w:bottom w:val="none" w:sz="0" w:space="0" w:color="auto"/>
        <w:right w:val="none" w:sz="0" w:space="0" w:color="auto"/>
      </w:divBdr>
    </w:div>
    <w:div w:id="667906424">
      <w:bodyDiv w:val="1"/>
      <w:marLeft w:val="0"/>
      <w:marRight w:val="0"/>
      <w:marTop w:val="0"/>
      <w:marBottom w:val="0"/>
      <w:divBdr>
        <w:top w:val="none" w:sz="0" w:space="0" w:color="auto"/>
        <w:left w:val="none" w:sz="0" w:space="0" w:color="auto"/>
        <w:bottom w:val="none" w:sz="0" w:space="0" w:color="auto"/>
        <w:right w:val="none" w:sz="0" w:space="0" w:color="auto"/>
      </w:divBdr>
    </w:div>
    <w:div w:id="668020021">
      <w:bodyDiv w:val="1"/>
      <w:marLeft w:val="0"/>
      <w:marRight w:val="0"/>
      <w:marTop w:val="0"/>
      <w:marBottom w:val="0"/>
      <w:divBdr>
        <w:top w:val="none" w:sz="0" w:space="0" w:color="auto"/>
        <w:left w:val="none" w:sz="0" w:space="0" w:color="auto"/>
        <w:bottom w:val="none" w:sz="0" w:space="0" w:color="auto"/>
        <w:right w:val="none" w:sz="0" w:space="0" w:color="auto"/>
      </w:divBdr>
    </w:div>
    <w:div w:id="668025845">
      <w:bodyDiv w:val="1"/>
      <w:marLeft w:val="0"/>
      <w:marRight w:val="0"/>
      <w:marTop w:val="0"/>
      <w:marBottom w:val="0"/>
      <w:divBdr>
        <w:top w:val="none" w:sz="0" w:space="0" w:color="auto"/>
        <w:left w:val="none" w:sz="0" w:space="0" w:color="auto"/>
        <w:bottom w:val="none" w:sz="0" w:space="0" w:color="auto"/>
        <w:right w:val="none" w:sz="0" w:space="0" w:color="auto"/>
      </w:divBdr>
    </w:div>
    <w:div w:id="668139817">
      <w:bodyDiv w:val="1"/>
      <w:marLeft w:val="0"/>
      <w:marRight w:val="0"/>
      <w:marTop w:val="0"/>
      <w:marBottom w:val="0"/>
      <w:divBdr>
        <w:top w:val="none" w:sz="0" w:space="0" w:color="auto"/>
        <w:left w:val="none" w:sz="0" w:space="0" w:color="auto"/>
        <w:bottom w:val="none" w:sz="0" w:space="0" w:color="auto"/>
        <w:right w:val="none" w:sz="0" w:space="0" w:color="auto"/>
      </w:divBdr>
    </w:div>
    <w:div w:id="668141643">
      <w:bodyDiv w:val="1"/>
      <w:marLeft w:val="0"/>
      <w:marRight w:val="0"/>
      <w:marTop w:val="0"/>
      <w:marBottom w:val="0"/>
      <w:divBdr>
        <w:top w:val="none" w:sz="0" w:space="0" w:color="auto"/>
        <w:left w:val="none" w:sz="0" w:space="0" w:color="auto"/>
        <w:bottom w:val="none" w:sz="0" w:space="0" w:color="auto"/>
        <w:right w:val="none" w:sz="0" w:space="0" w:color="auto"/>
      </w:divBdr>
    </w:div>
    <w:div w:id="668286952">
      <w:bodyDiv w:val="1"/>
      <w:marLeft w:val="0"/>
      <w:marRight w:val="0"/>
      <w:marTop w:val="0"/>
      <w:marBottom w:val="0"/>
      <w:divBdr>
        <w:top w:val="none" w:sz="0" w:space="0" w:color="auto"/>
        <w:left w:val="none" w:sz="0" w:space="0" w:color="auto"/>
        <w:bottom w:val="none" w:sz="0" w:space="0" w:color="auto"/>
        <w:right w:val="none" w:sz="0" w:space="0" w:color="auto"/>
      </w:divBdr>
    </w:div>
    <w:div w:id="668338476">
      <w:bodyDiv w:val="1"/>
      <w:marLeft w:val="0"/>
      <w:marRight w:val="0"/>
      <w:marTop w:val="0"/>
      <w:marBottom w:val="0"/>
      <w:divBdr>
        <w:top w:val="none" w:sz="0" w:space="0" w:color="auto"/>
        <w:left w:val="none" w:sz="0" w:space="0" w:color="auto"/>
        <w:bottom w:val="none" w:sz="0" w:space="0" w:color="auto"/>
        <w:right w:val="none" w:sz="0" w:space="0" w:color="auto"/>
      </w:divBdr>
    </w:div>
    <w:div w:id="668365895">
      <w:bodyDiv w:val="1"/>
      <w:marLeft w:val="0"/>
      <w:marRight w:val="0"/>
      <w:marTop w:val="0"/>
      <w:marBottom w:val="0"/>
      <w:divBdr>
        <w:top w:val="none" w:sz="0" w:space="0" w:color="auto"/>
        <w:left w:val="none" w:sz="0" w:space="0" w:color="auto"/>
        <w:bottom w:val="none" w:sz="0" w:space="0" w:color="auto"/>
        <w:right w:val="none" w:sz="0" w:space="0" w:color="auto"/>
      </w:divBdr>
    </w:div>
    <w:div w:id="668413902">
      <w:bodyDiv w:val="1"/>
      <w:marLeft w:val="0"/>
      <w:marRight w:val="0"/>
      <w:marTop w:val="0"/>
      <w:marBottom w:val="0"/>
      <w:divBdr>
        <w:top w:val="none" w:sz="0" w:space="0" w:color="auto"/>
        <w:left w:val="none" w:sz="0" w:space="0" w:color="auto"/>
        <w:bottom w:val="none" w:sz="0" w:space="0" w:color="auto"/>
        <w:right w:val="none" w:sz="0" w:space="0" w:color="auto"/>
      </w:divBdr>
    </w:div>
    <w:div w:id="668480393">
      <w:bodyDiv w:val="1"/>
      <w:marLeft w:val="0"/>
      <w:marRight w:val="0"/>
      <w:marTop w:val="0"/>
      <w:marBottom w:val="0"/>
      <w:divBdr>
        <w:top w:val="none" w:sz="0" w:space="0" w:color="auto"/>
        <w:left w:val="none" w:sz="0" w:space="0" w:color="auto"/>
        <w:bottom w:val="none" w:sz="0" w:space="0" w:color="auto"/>
        <w:right w:val="none" w:sz="0" w:space="0" w:color="auto"/>
      </w:divBdr>
    </w:div>
    <w:div w:id="668483317">
      <w:bodyDiv w:val="1"/>
      <w:marLeft w:val="0"/>
      <w:marRight w:val="0"/>
      <w:marTop w:val="0"/>
      <w:marBottom w:val="0"/>
      <w:divBdr>
        <w:top w:val="none" w:sz="0" w:space="0" w:color="auto"/>
        <w:left w:val="none" w:sz="0" w:space="0" w:color="auto"/>
        <w:bottom w:val="none" w:sz="0" w:space="0" w:color="auto"/>
        <w:right w:val="none" w:sz="0" w:space="0" w:color="auto"/>
      </w:divBdr>
    </w:div>
    <w:div w:id="668558407">
      <w:bodyDiv w:val="1"/>
      <w:marLeft w:val="0"/>
      <w:marRight w:val="0"/>
      <w:marTop w:val="0"/>
      <w:marBottom w:val="0"/>
      <w:divBdr>
        <w:top w:val="none" w:sz="0" w:space="0" w:color="auto"/>
        <w:left w:val="none" w:sz="0" w:space="0" w:color="auto"/>
        <w:bottom w:val="none" w:sz="0" w:space="0" w:color="auto"/>
        <w:right w:val="none" w:sz="0" w:space="0" w:color="auto"/>
      </w:divBdr>
    </w:div>
    <w:div w:id="668602223">
      <w:bodyDiv w:val="1"/>
      <w:marLeft w:val="0"/>
      <w:marRight w:val="0"/>
      <w:marTop w:val="0"/>
      <w:marBottom w:val="0"/>
      <w:divBdr>
        <w:top w:val="none" w:sz="0" w:space="0" w:color="auto"/>
        <w:left w:val="none" w:sz="0" w:space="0" w:color="auto"/>
        <w:bottom w:val="none" w:sz="0" w:space="0" w:color="auto"/>
        <w:right w:val="none" w:sz="0" w:space="0" w:color="auto"/>
      </w:divBdr>
    </w:div>
    <w:div w:id="668799105">
      <w:bodyDiv w:val="1"/>
      <w:marLeft w:val="0"/>
      <w:marRight w:val="0"/>
      <w:marTop w:val="0"/>
      <w:marBottom w:val="0"/>
      <w:divBdr>
        <w:top w:val="none" w:sz="0" w:space="0" w:color="auto"/>
        <w:left w:val="none" w:sz="0" w:space="0" w:color="auto"/>
        <w:bottom w:val="none" w:sz="0" w:space="0" w:color="auto"/>
        <w:right w:val="none" w:sz="0" w:space="0" w:color="auto"/>
      </w:divBdr>
    </w:div>
    <w:div w:id="668868832">
      <w:bodyDiv w:val="1"/>
      <w:marLeft w:val="0"/>
      <w:marRight w:val="0"/>
      <w:marTop w:val="0"/>
      <w:marBottom w:val="0"/>
      <w:divBdr>
        <w:top w:val="none" w:sz="0" w:space="0" w:color="auto"/>
        <w:left w:val="none" w:sz="0" w:space="0" w:color="auto"/>
        <w:bottom w:val="none" w:sz="0" w:space="0" w:color="auto"/>
        <w:right w:val="none" w:sz="0" w:space="0" w:color="auto"/>
      </w:divBdr>
    </w:div>
    <w:div w:id="668869133">
      <w:bodyDiv w:val="1"/>
      <w:marLeft w:val="0"/>
      <w:marRight w:val="0"/>
      <w:marTop w:val="0"/>
      <w:marBottom w:val="0"/>
      <w:divBdr>
        <w:top w:val="none" w:sz="0" w:space="0" w:color="auto"/>
        <w:left w:val="none" w:sz="0" w:space="0" w:color="auto"/>
        <w:bottom w:val="none" w:sz="0" w:space="0" w:color="auto"/>
        <w:right w:val="none" w:sz="0" w:space="0" w:color="auto"/>
      </w:divBdr>
    </w:div>
    <w:div w:id="668943142">
      <w:bodyDiv w:val="1"/>
      <w:marLeft w:val="0"/>
      <w:marRight w:val="0"/>
      <w:marTop w:val="0"/>
      <w:marBottom w:val="0"/>
      <w:divBdr>
        <w:top w:val="none" w:sz="0" w:space="0" w:color="auto"/>
        <w:left w:val="none" w:sz="0" w:space="0" w:color="auto"/>
        <w:bottom w:val="none" w:sz="0" w:space="0" w:color="auto"/>
        <w:right w:val="none" w:sz="0" w:space="0" w:color="auto"/>
      </w:divBdr>
    </w:div>
    <w:div w:id="668945211">
      <w:bodyDiv w:val="1"/>
      <w:marLeft w:val="0"/>
      <w:marRight w:val="0"/>
      <w:marTop w:val="0"/>
      <w:marBottom w:val="0"/>
      <w:divBdr>
        <w:top w:val="none" w:sz="0" w:space="0" w:color="auto"/>
        <w:left w:val="none" w:sz="0" w:space="0" w:color="auto"/>
        <w:bottom w:val="none" w:sz="0" w:space="0" w:color="auto"/>
        <w:right w:val="none" w:sz="0" w:space="0" w:color="auto"/>
      </w:divBdr>
    </w:div>
    <w:div w:id="668949461">
      <w:bodyDiv w:val="1"/>
      <w:marLeft w:val="0"/>
      <w:marRight w:val="0"/>
      <w:marTop w:val="0"/>
      <w:marBottom w:val="0"/>
      <w:divBdr>
        <w:top w:val="none" w:sz="0" w:space="0" w:color="auto"/>
        <w:left w:val="none" w:sz="0" w:space="0" w:color="auto"/>
        <w:bottom w:val="none" w:sz="0" w:space="0" w:color="auto"/>
        <w:right w:val="none" w:sz="0" w:space="0" w:color="auto"/>
      </w:divBdr>
    </w:div>
    <w:div w:id="669061290">
      <w:bodyDiv w:val="1"/>
      <w:marLeft w:val="0"/>
      <w:marRight w:val="0"/>
      <w:marTop w:val="0"/>
      <w:marBottom w:val="0"/>
      <w:divBdr>
        <w:top w:val="none" w:sz="0" w:space="0" w:color="auto"/>
        <w:left w:val="none" w:sz="0" w:space="0" w:color="auto"/>
        <w:bottom w:val="none" w:sz="0" w:space="0" w:color="auto"/>
        <w:right w:val="none" w:sz="0" w:space="0" w:color="auto"/>
      </w:divBdr>
    </w:div>
    <w:div w:id="669063581">
      <w:bodyDiv w:val="1"/>
      <w:marLeft w:val="0"/>
      <w:marRight w:val="0"/>
      <w:marTop w:val="0"/>
      <w:marBottom w:val="0"/>
      <w:divBdr>
        <w:top w:val="none" w:sz="0" w:space="0" w:color="auto"/>
        <w:left w:val="none" w:sz="0" w:space="0" w:color="auto"/>
        <w:bottom w:val="none" w:sz="0" w:space="0" w:color="auto"/>
        <w:right w:val="none" w:sz="0" w:space="0" w:color="auto"/>
      </w:divBdr>
    </w:div>
    <w:div w:id="669136005">
      <w:bodyDiv w:val="1"/>
      <w:marLeft w:val="0"/>
      <w:marRight w:val="0"/>
      <w:marTop w:val="0"/>
      <w:marBottom w:val="0"/>
      <w:divBdr>
        <w:top w:val="none" w:sz="0" w:space="0" w:color="auto"/>
        <w:left w:val="none" w:sz="0" w:space="0" w:color="auto"/>
        <w:bottom w:val="none" w:sz="0" w:space="0" w:color="auto"/>
        <w:right w:val="none" w:sz="0" w:space="0" w:color="auto"/>
      </w:divBdr>
    </w:div>
    <w:div w:id="669254479">
      <w:bodyDiv w:val="1"/>
      <w:marLeft w:val="0"/>
      <w:marRight w:val="0"/>
      <w:marTop w:val="0"/>
      <w:marBottom w:val="0"/>
      <w:divBdr>
        <w:top w:val="none" w:sz="0" w:space="0" w:color="auto"/>
        <w:left w:val="none" w:sz="0" w:space="0" w:color="auto"/>
        <w:bottom w:val="none" w:sz="0" w:space="0" w:color="auto"/>
        <w:right w:val="none" w:sz="0" w:space="0" w:color="auto"/>
      </w:divBdr>
    </w:div>
    <w:div w:id="669255386">
      <w:bodyDiv w:val="1"/>
      <w:marLeft w:val="0"/>
      <w:marRight w:val="0"/>
      <w:marTop w:val="0"/>
      <w:marBottom w:val="0"/>
      <w:divBdr>
        <w:top w:val="none" w:sz="0" w:space="0" w:color="auto"/>
        <w:left w:val="none" w:sz="0" w:space="0" w:color="auto"/>
        <w:bottom w:val="none" w:sz="0" w:space="0" w:color="auto"/>
        <w:right w:val="none" w:sz="0" w:space="0" w:color="auto"/>
      </w:divBdr>
    </w:div>
    <w:div w:id="669329122">
      <w:bodyDiv w:val="1"/>
      <w:marLeft w:val="0"/>
      <w:marRight w:val="0"/>
      <w:marTop w:val="0"/>
      <w:marBottom w:val="0"/>
      <w:divBdr>
        <w:top w:val="none" w:sz="0" w:space="0" w:color="auto"/>
        <w:left w:val="none" w:sz="0" w:space="0" w:color="auto"/>
        <w:bottom w:val="none" w:sz="0" w:space="0" w:color="auto"/>
        <w:right w:val="none" w:sz="0" w:space="0" w:color="auto"/>
      </w:divBdr>
    </w:div>
    <w:div w:id="669334076">
      <w:bodyDiv w:val="1"/>
      <w:marLeft w:val="0"/>
      <w:marRight w:val="0"/>
      <w:marTop w:val="0"/>
      <w:marBottom w:val="0"/>
      <w:divBdr>
        <w:top w:val="none" w:sz="0" w:space="0" w:color="auto"/>
        <w:left w:val="none" w:sz="0" w:space="0" w:color="auto"/>
        <w:bottom w:val="none" w:sz="0" w:space="0" w:color="auto"/>
        <w:right w:val="none" w:sz="0" w:space="0" w:color="auto"/>
      </w:divBdr>
    </w:div>
    <w:div w:id="669337022">
      <w:bodyDiv w:val="1"/>
      <w:marLeft w:val="0"/>
      <w:marRight w:val="0"/>
      <w:marTop w:val="0"/>
      <w:marBottom w:val="0"/>
      <w:divBdr>
        <w:top w:val="none" w:sz="0" w:space="0" w:color="auto"/>
        <w:left w:val="none" w:sz="0" w:space="0" w:color="auto"/>
        <w:bottom w:val="none" w:sz="0" w:space="0" w:color="auto"/>
        <w:right w:val="none" w:sz="0" w:space="0" w:color="auto"/>
      </w:divBdr>
    </w:div>
    <w:div w:id="669409708">
      <w:bodyDiv w:val="1"/>
      <w:marLeft w:val="0"/>
      <w:marRight w:val="0"/>
      <w:marTop w:val="0"/>
      <w:marBottom w:val="0"/>
      <w:divBdr>
        <w:top w:val="none" w:sz="0" w:space="0" w:color="auto"/>
        <w:left w:val="none" w:sz="0" w:space="0" w:color="auto"/>
        <w:bottom w:val="none" w:sz="0" w:space="0" w:color="auto"/>
        <w:right w:val="none" w:sz="0" w:space="0" w:color="auto"/>
      </w:divBdr>
    </w:div>
    <w:div w:id="669411785">
      <w:bodyDiv w:val="1"/>
      <w:marLeft w:val="0"/>
      <w:marRight w:val="0"/>
      <w:marTop w:val="0"/>
      <w:marBottom w:val="0"/>
      <w:divBdr>
        <w:top w:val="none" w:sz="0" w:space="0" w:color="auto"/>
        <w:left w:val="none" w:sz="0" w:space="0" w:color="auto"/>
        <w:bottom w:val="none" w:sz="0" w:space="0" w:color="auto"/>
        <w:right w:val="none" w:sz="0" w:space="0" w:color="auto"/>
      </w:divBdr>
    </w:div>
    <w:div w:id="669600137">
      <w:bodyDiv w:val="1"/>
      <w:marLeft w:val="0"/>
      <w:marRight w:val="0"/>
      <w:marTop w:val="0"/>
      <w:marBottom w:val="0"/>
      <w:divBdr>
        <w:top w:val="none" w:sz="0" w:space="0" w:color="auto"/>
        <w:left w:val="none" w:sz="0" w:space="0" w:color="auto"/>
        <w:bottom w:val="none" w:sz="0" w:space="0" w:color="auto"/>
        <w:right w:val="none" w:sz="0" w:space="0" w:color="auto"/>
      </w:divBdr>
    </w:div>
    <w:div w:id="669602362">
      <w:bodyDiv w:val="1"/>
      <w:marLeft w:val="0"/>
      <w:marRight w:val="0"/>
      <w:marTop w:val="0"/>
      <w:marBottom w:val="0"/>
      <w:divBdr>
        <w:top w:val="none" w:sz="0" w:space="0" w:color="auto"/>
        <w:left w:val="none" w:sz="0" w:space="0" w:color="auto"/>
        <w:bottom w:val="none" w:sz="0" w:space="0" w:color="auto"/>
        <w:right w:val="none" w:sz="0" w:space="0" w:color="auto"/>
      </w:divBdr>
    </w:div>
    <w:div w:id="669604839">
      <w:bodyDiv w:val="1"/>
      <w:marLeft w:val="0"/>
      <w:marRight w:val="0"/>
      <w:marTop w:val="0"/>
      <w:marBottom w:val="0"/>
      <w:divBdr>
        <w:top w:val="none" w:sz="0" w:space="0" w:color="auto"/>
        <w:left w:val="none" w:sz="0" w:space="0" w:color="auto"/>
        <w:bottom w:val="none" w:sz="0" w:space="0" w:color="auto"/>
        <w:right w:val="none" w:sz="0" w:space="0" w:color="auto"/>
      </w:divBdr>
    </w:div>
    <w:div w:id="669648178">
      <w:bodyDiv w:val="1"/>
      <w:marLeft w:val="0"/>
      <w:marRight w:val="0"/>
      <w:marTop w:val="0"/>
      <w:marBottom w:val="0"/>
      <w:divBdr>
        <w:top w:val="none" w:sz="0" w:space="0" w:color="auto"/>
        <w:left w:val="none" w:sz="0" w:space="0" w:color="auto"/>
        <w:bottom w:val="none" w:sz="0" w:space="0" w:color="auto"/>
        <w:right w:val="none" w:sz="0" w:space="0" w:color="auto"/>
      </w:divBdr>
    </w:div>
    <w:div w:id="669677485">
      <w:bodyDiv w:val="1"/>
      <w:marLeft w:val="0"/>
      <w:marRight w:val="0"/>
      <w:marTop w:val="0"/>
      <w:marBottom w:val="0"/>
      <w:divBdr>
        <w:top w:val="none" w:sz="0" w:space="0" w:color="auto"/>
        <w:left w:val="none" w:sz="0" w:space="0" w:color="auto"/>
        <w:bottom w:val="none" w:sz="0" w:space="0" w:color="auto"/>
        <w:right w:val="none" w:sz="0" w:space="0" w:color="auto"/>
      </w:divBdr>
    </w:div>
    <w:div w:id="669799198">
      <w:bodyDiv w:val="1"/>
      <w:marLeft w:val="0"/>
      <w:marRight w:val="0"/>
      <w:marTop w:val="0"/>
      <w:marBottom w:val="0"/>
      <w:divBdr>
        <w:top w:val="none" w:sz="0" w:space="0" w:color="auto"/>
        <w:left w:val="none" w:sz="0" w:space="0" w:color="auto"/>
        <w:bottom w:val="none" w:sz="0" w:space="0" w:color="auto"/>
        <w:right w:val="none" w:sz="0" w:space="0" w:color="auto"/>
      </w:divBdr>
    </w:div>
    <w:div w:id="669865506">
      <w:bodyDiv w:val="1"/>
      <w:marLeft w:val="0"/>
      <w:marRight w:val="0"/>
      <w:marTop w:val="0"/>
      <w:marBottom w:val="0"/>
      <w:divBdr>
        <w:top w:val="none" w:sz="0" w:space="0" w:color="auto"/>
        <w:left w:val="none" w:sz="0" w:space="0" w:color="auto"/>
        <w:bottom w:val="none" w:sz="0" w:space="0" w:color="auto"/>
        <w:right w:val="none" w:sz="0" w:space="0" w:color="auto"/>
      </w:divBdr>
    </w:div>
    <w:div w:id="669870083">
      <w:bodyDiv w:val="1"/>
      <w:marLeft w:val="0"/>
      <w:marRight w:val="0"/>
      <w:marTop w:val="0"/>
      <w:marBottom w:val="0"/>
      <w:divBdr>
        <w:top w:val="none" w:sz="0" w:space="0" w:color="auto"/>
        <w:left w:val="none" w:sz="0" w:space="0" w:color="auto"/>
        <w:bottom w:val="none" w:sz="0" w:space="0" w:color="auto"/>
        <w:right w:val="none" w:sz="0" w:space="0" w:color="auto"/>
      </w:divBdr>
    </w:div>
    <w:div w:id="669871212">
      <w:bodyDiv w:val="1"/>
      <w:marLeft w:val="0"/>
      <w:marRight w:val="0"/>
      <w:marTop w:val="0"/>
      <w:marBottom w:val="0"/>
      <w:divBdr>
        <w:top w:val="none" w:sz="0" w:space="0" w:color="auto"/>
        <w:left w:val="none" w:sz="0" w:space="0" w:color="auto"/>
        <w:bottom w:val="none" w:sz="0" w:space="0" w:color="auto"/>
        <w:right w:val="none" w:sz="0" w:space="0" w:color="auto"/>
      </w:divBdr>
    </w:div>
    <w:div w:id="669909874">
      <w:bodyDiv w:val="1"/>
      <w:marLeft w:val="0"/>
      <w:marRight w:val="0"/>
      <w:marTop w:val="0"/>
      <w:marBottom w:val="0"/>
      <w:divBdr>
        <w:top w:val="none" w:sz="0" w:space="0" w:color="auto"/>
        <w:left w:val="none" w:sz="0" w:space="0" w:color="auto"/>
        <w:bottom w:val="none" w:sz="0" w:space="0" w:color="auto"/>
        <w:right w:val="none" w:sz="0" w:space="0" w:color="auto"/>
      </w:divBdr>
    </w:div>
    <w:div w:id="669911460">
      <w:bodyDiv w:val="1"/>
      <w:marLeft w:val="0"/>
      <w:marRight w:val="0"/>
      <w:marTop w:val="0"/>
      <w:marBottom w:val="0"/>
      <w:divBdr>
        <w:top w:val="none" w:sz="0" w:space="0" w:color="auto"/>
        <w:left w:val="none" w:sz="0" w:space="0" w:color="auto"/>
        <w:bottom w:val="none" w:sz="0" w:space="0" w:color="auto"/>
        <w:right w:val="none" w:sz="0" w:space="0" w:color="auto"/>
      </w:divBdr>
    </w:div>
    <w:div w:id="669989053">
      <w:bodyDiv w:val="1"/>
      <w:marLeft w:val="0"/>
      <w:marRight w:val="0"/>
      <w:marTop w:val="0"/>
      <w:marBottom w:val="0"/>
      <w:divBdr>
        <w:top w:val="none" w:sz="0" w:space="0" w:color="auto"/>
        <w:left w:val="none" w:sz="0" w:space="0" w:color="auto"/>
        <w:bottom w:val="none" w:sz="0" w:space="0" w:color="auto"/>
        <w:right w:val="none" w:sz="0" w:space="0" w:color="auto"/>
      </w:divBdr>
    </w:div>
    <w:div w:id="670059102">
      <w:bodyDiv w:val="1"/>
      <w:marLeft w:val="0"/>
      <w:marRight w:val="0"/>
      <w:marTop w:val="0"/>
      <w:marBottom w:val="0"/>
      <w:divBdr>
        <w:top w:val="none" w:sz="0" w:space="0" w:color="auto"/>
        <w:left w:val="none" w:sz="0" w:space="0" w:color="auto"/>
        <w:bottom w:val="none" w:sz="0" w:space="0" w:color="auto"/>
        <w:right w:val="none" w:sz="0" w:space="0" w:color="auto"/>
      </w:divBdr>
    </w:div>
    <w:div w:id="670060851">
      <w:bodyDiv w:val="1"/>
      <w:marLeft w:val="0"/>
      <w:marRight w:val="0"/>
      <w:marTop w:val="0"/>
      <w:marBottom w:val="0"/>
      <w:divBdr>
        <w:top w:val="none" w:sz="0" w:space="0" w:color="auto"/>
        <w:left w:val="none" w:sz="0" w:space="0" w:color="auto"/>
        <w:bottom w:val="none" w:sz="0" w:space="0" w:color="auto"/>
        <w:right w:val="none" w:sz="0" w:space="0" w:color="auto"/>
      </w:divBdr>
    </w:div>
    <w:div w:id="670137427">
      <w:bodyDiv w:val="1"/>
      <w:marLeft w:val="0"/>
      <w:marRight w:val="0"/>
      <w:marTop w:val="0"/>
      <w:marBottom w:val="0"/>
      <w:divBdr>
        <w:top w:val="none" w:sz="0" w:space="0" w:color="auto"/>
        <w:left w:val="none" w:sz="0" w:space="0" w:color="auto"/>
        <w:bottom w:val="none" w:sz="0" w:space="0" w:color="auto"/>
        <w:right w:val="none" w:sz="0" w:space="0" w:color="auto"/>
      </w:divBdr>
    </w:div>
    <w:div w:id="670138345">
      <w:bodyDiv w:val="1"/>
      <w:marLeft w:val="0"/>
      <w:marRight w:val="0"/>
      <w:marTop w:val="0"/>
      <w:marBottom w:val="0"/>
      <w:divBdr>
        <w:top w:val="none" w:sz="0" w:space="0" w:color="auto"/>
        <w:left w:val="none" w:sz="0" w:space="0" w:color="auto"/>
        <w:bottom w:val="none" w:sz="0" w:space="0" w:color="auto"/>
        <w:right w:val="none" w:sz="0" w:space="0" w:color="auto"/>
      </w:divBdr>
    </w:div>
    <w:div w:id="670177528">
      <w:bodyDiv w:val="1"/>
      <w:marLeft w:val="0"/>
      <w:marRight w:val="0"/>
      <w:marTop w:val="0"/>
      <w:marBottom w:val="0"/>
      <w:divBdr>
        <w:top w:val="none" w:sz="0" w:space="0" w:color="auto"/>
        <w:left w:val="none" w:sz="0" w:space="0" w:color="auto"/>
        <w:bottom w:val="none" w:sz="0" w:space="0" w:color="auto"/>
        <w:right w:val="none" w:sz="0" w:space="0" w:color="auto"/>
      </w:divBdr>
    </w:div>
    <w:div w:id="670253277">
      <w:bodyDiv w:val="1"/>
      <w:marLeft w:val="0"/>
      <w:marRight w:val="0"/>
      <w:marTop w:val="0"/>
      <w:marBottom w:val="0"/>
      <w:divBdr>
        <w:top w:val="none" w:sz="0" w:space="0" w:color="auto"/>
        <w:left w:val="none" w:sz="0" w:space="0" w:color="auto"/>
        <w:bottom w:val="none" w:sz="0" w:space="0" w:color="auto"/>
        <w:right w:val="none" w:sz="0" w:space="0" w:color="auto"/>
      </w:divBdr>
    </w:div>
    <w:div w:id="670255182">
      <w:bodyDiv w:val="1"/>
      <w:marLeft w:val="0"/>
      <w:marRight w:val="0"/>
      <w:marTop w:val="0"/>
      <w:marBottom w:val="0"/>
      <w:divBdr>
        <w:top w:val="none" w:sz="0" w:space="0" w:color="auto"/>
        <w:left w:val="none" w:sz="0" w:space="0" w:color="auto"/>
        <w:bottom w:val="none" w:sz="0" w:space="0" w:color="auto"/>
        <w:right w:val="none" w:sz="0" w:space="0" w:color="auto"/>
      </w:divBdr>
    </w:div>
    <w:div w:id="670255424">
      <w:bodyDiv w:val="1"/>
      <w:marLeft w:val="0"/>
      <w:marRight w:val="0"/>
      <w:marTop w:val="0"/>
      <w:marBottom w:val="0"/>
      <w:divBdr>
        <w:top w:val="none" w:sz="0" w:space="0" w:color="auto"/>
        <w:left w:val="none" w:sz="0" w:space="0" w:color="auto"/>
        <w:bottom w:val="none" w:sz="0" w:space="0" w:color="auto"/>
        <w:right w:val="none" w:sz="0" w:space="0" w:color="auto"/>
      </w:divBdr>
    </w:div>
    <w:div w:id="670304441">
      <w:bodyDiv w:val="1"/>
      <w:marLeft w:val="0"/>
      <w:marRight w:val="0"/>
      <w:marTop w:val="0"/>
      <w:marBottom w:val="0"/>
      <w:divBdr>
        <w:top w:val="none" w:sz="0" w:space="0" w:color="auto"/>
        <w:left w:val="none" w:sz="0" w:space="0" w:color="auto"/>
        <w:bottom w:val="none" w:sz="0" w:space="0" w:color="auto"/>
        <w:right w:val="none" w:sz="0" w:space="0" w:color="auto"/>
      </w:divBdr>
    </w:div>
    <w:div w:id="670446875">
      <w:bodyDiv w:val="1"/>
      <w:marLeft w:val="0"/>
      <w:marRight w:val="0"/>
      <w:marTop w:val="0"/>
      <w:marBottom w:val="0"/>
      <w:divBdr>
        <w:top w:val="none" w:sz="0" w:space="0" w:color="auto"/>
        <w:left w:val="none" w:sz="0" w:space="0" w:color="auto"/>
        <w:bottom w:val="none" w:sz="0" w:space="0" w:color="auto"/>
        <w:right w:val="none" w:sz="0" w:space="0" w:color="auto"/>
      </w:divBdr>
    </w:div>
    <w:div w:id="670529899">
      <w:bodyDiv w:val="1"/>
      <w:marLeft w:val="0"/>
      <w:marRight w:val="0"/>
      <w:marTop w:val="0"/>
      <w:marBottom w:val="0"/>
      <w:divBdr>
        <w:top w:val="none" w:sz="0" w:space="0" w:color="auto"/>
        <w:left w:val="none" w:sz="0" w:space="0" w:color="auto"/>
        <w:bottom w:val="none" w:sz="0" w:space="0" w:color="auto"/>
        <w:right w:val="none" w:sz="0" w:space="0" w:color="auto"/>
      </w:divBdr>
    </w:div>
    <w:div w:id="670566294">
      <w:bodyDiv w:val="1"/>
      <w:marLeft w:val="0"/>
      <w:marRight w:val="0"/>
      <w:marTop w:val="0"/>
      <w:marBottom w:val="0"/>
      <w:divBdr>
        <w:top w:val="none" w:sz="0" w:space="0" w:color="auto"/>
        <w:left w:val="none" w:sz="0" w:space="0" w:color="auto"/>
        <w:bottom w:val="none" w:sz="0" w:space="0" w:color="auto"/>
        <w:right w:val="none" w:sz="0" w:space="0" w:color="auto"/>
      </w:divBdr>
    </w:div>
    <w:div w:id="670570130">
      <w:bodyDiv w:val="1"/>
      <w:marLeft w:val="0"/>
      <w:marRight w:val="0"/>
      <w:marTop w:val="0"/>
      <w:marBottom w:val="0"/>
      <w:divBdr>
        <w:top w:val="none" w:sz="0" w:space="0" w:color="auto"/>
        <w:left w:val="none" w:sz="0" w:space="0" w:color="auto"/>
        <w:bottom w:val="none" w:sz="0" w:space="0" w:color="auto"/>
        <w:right w:val="none" w:sz="0" w:space="0" w:color="auto"/>
      </w:divBdr>
    </w:div>
    <w:div w:id="670640970">
      <w:bodyDiv w:val="1"/>
      <w:marLeft w:val="0"/>
      <w:marRight w:val="0"/>
      <w:marTop w:val="0"/>
      <w:marBottom w:val="0"/>
      <w:divBdr>
        <w:top w:val="none" w:sz="0" w:space="0" w:color="auto"/>
        <w:left w:val="none" w:sz="0" w:space="0" w:color="auto"/>
        <w:bottom w:val="none" w:sz="0" w:space="0" w:color="auto"/>
        <w:right w:val="none" w:sz="0" w:space="0" w:color="auto"/>
      </w:divBdr>
    </w:div>
    <w:div w:id="670643170">
      <w:bodyDiv w:val="1"/>
      <w:marLeft w:val="0"/>
      <w:marRight w:val="0"/>
      <w:marTop w:val="0"/>
      <w:marBottom w:val="0"/>
      <w:divBdr>
        <w:top w:val="none" w:sz="0" w:space="0" w:color="auto"/>
        <w:left w:val="none" w:sz="0" w:space="0" w:color="auto"/>
        <w:bottom w:val="none" w:sz="0" w:space="0" w:color="auto"/>
        <w:right w:val="none" w:sz="0" w:space="0" w:color="auto"/>
      </w:divBdr>
    </w:div>
    <w:div w:id="670719438">
      <w:bodyDiv w:val="1"/>
      <w:marLeft w:val="0"/>
      <w:marRight w:val="0"/>
      <w:marTop w:val="0"/>
      <w:marBottom w:val="0"/>
      <w:divBdr>
        <w:top w:val="none" w:sz="0" w:space="0" w:color="auto"/>
        <w:left w:val="none" w:sz="0" w:space="0" w:color="auto"/>
        <w:bottom w:val="none" w:sz="0" w:space="0" w:color="auto"/>
        <w:right w:val="none" w:sz="0" w:space="0" w:color="auto"/>
      </w:divBdr>
    </w:div>
    <w:div w:id="670721250">
      <w:bodyDiv w:val="1"/>
      <w:marLeft w:val="0"/>
      <w:marRight w:val="0"/>
      <w:marTop w:val="0"/>
      <w:marBottom w:val="0"/>
      <w:divBdr>
        <w:top w:val="none" w:sz="0" w:space="0" w:color="auto"/>
        <w:left w:val="none" w:sz="0" w:space="0" w:color="auto"/>
        <w:bottom w:val="none" w:sz="0" w:space="0" w:color="auto"/>
        <w:right w:val="none" w:sz="0" w:space="0" w:color="auto"/>
      </w:divBdr>
    </w:div>
    <w:div w:id="670834166">
      <w:bodyDiv w:val="1"/>
      <w:marLeft w:val="0"/>
      <w:marRight w:val="0"/>
      <w:marTop w:val="0"/>
      <w:marBottom w:val="0"/>
      <w:divBdr>
        <w:top w:val="none" w:sz="0" w:space="0" w:color="auto"/>
        <w:left w:val="none" w:sz="0" w:space="0" w:color="auto"/>
        <w:bottom w:val="none" w:sz="0" w:space="0" w:color="auto"/>
        <w:right w:val="none" w:sz="0" w:space="0" w:color="auto"/>
      </w:divBdr>
    </w:div>
    <w:div w:id="670837528">
      <w:bodyDiv w:val="1"/>
      <w:marLeft w:val="0"/>
      <w:marRight w:val="0"/>
      <w:marTop w:val="0"/>
      <w:marBottom w:val="0"/>
      <w:divBdr>
        <w:top w:val="none" w:sz="0" w:space="0" w:color="auto"/>
        <w:left w:val="none" w:sz="0" w:space="0" w:color="auto"/>
        <w:bottom w:val="none" w:sz="0" w:space="0" w:color="auto"/>
        <w:right w:val="none" w:sz="0" w:space="0" w:color="auto"/>
      </w:divBdr>
    </w:div>
    <w:div w:id="670911391">
      <w:bodyDiv w:val="1"/>
      <w:marLeft w:val="0"/>
      <w:marRight w:val="0"/>
      <w:marTop w:val="0"/>
      <w:marBottom w:val="0"/>
      <w:divBdr>
        <w:top w:val="none" w:sz="0" w:space="0" w:color="auto"/>
        <w:left w:val="none" w:sz="0" w:space="0" w:color="auto"/>
        <w:bottom w:val="none" w:sz="0" w:space="0" w:color="auto"/>
        <w:right w:val="none" w:sz="0" w:space="0" w:color="auto"/>
      </w:divBdr>
    </w:div>
    <w:div w:id="670911500">
      <w:bodyDiv w:val="1"/>
      <w:marLeft w:val="0"/>
      <w:marRight w:val="0"/>
      <w:marTop w:val="0"/>
      <w:marBottom w:val="0"/>
      <w:divBdr>
        <w:top w:val="none" w:sz="0" w:space="0" w:color="auto"/>
        <w:left w:val="none" w:sz="0" w:space="0" w:color="auto"/>
        <w:bottom w:val="none" w:sz="0" w:space="0" w:color="auto"/>
        <w:right w:val="none" w:sz="0" w:space="0" w:color="auto"/>
      </w:divBdr>
    </w:div>
    <w:div w:id="670914248">
      <w:bodyDiv w:val="1"/>
      <w:marLeft w:val="0"/>
      <w:marRight w:val="0"/>
      <w:marTop w:val="0"/>
      <w:marBottom w:val="0"/>
      <w:divBdr>
        <w:top w:val="none" w:sz="0" w:space="0" w:color="auto"/>
        <w:left w:val="none" w:sz="0" w:space="0" w:color="auto"/>
        <w:bottom w:val="none" w:sz="0" w:space="0" w:color="auto"/>
        <w:right w:val="none" w:sz="0" w:space="0" w:color="auto"/>
      </w:divBdr>
    </w:div>
    <w:div w:id="671029151">
      <w:bodyDiv w:val="1"/>
      <w:marLeft w:val="0"/>
      <w:marRight w:val="0"/>
      <w:marTop w:val="0"/>
      <w:marBottom w:val="0"/>
      <w:divBdr>
        <w:top w:val="none" w:sz="0" w:space="0" w:color="auto"/>
        <w:left w:val="none" w:sz="0" w:space="0" w:color="auto"/>
        <w:bottom w:val="none" w:sz="0" w:space="0" w:color="auto"/>
        <w:right w:val="none" w:sz="0" w:space="0" w:color="auto"/>
      </w:divBdr>
    </w:div>
    <w:div w:id="671105678">
      <w:bodyDiv w:val="1"/>
      <w:marLeft w:val="0"/>
      <w:marRight w:val="0"/>
      <w:marTop w:val="0"/>
      <w:marBottom w:val="0"/>
      <w:divBdr>
        <w:top w:val="none" w:sz="0" w:space="0" w:color="auto"/>
        <w:left w:val="none" w:sz="0" w:space="0" w:color="auto"/>
        <w:bottom w:val="none" w:sz="0" w:space="0" w:color="auto"/>
        <w:right w:val="none" w:sz="0" w:space="0" w:color="auto"/>
      </w:divBdr>
    </w:div>
    <w:div w:id="671226693">
      <w:bodyDiv w:val="1"/>
      <w:marLeft w:val="0"/>
      <w:marRight w:val="0"/>
      <w:marTop w:val="0"/>
      <w:marBottom w:val="0"/>
      <w:divBdr>
        <w:top w:val="none" w:sz="0" w:space="0" w:color="auto"/>
        <w:left w:val="none" w:sz="0" w:space="0" w:color="auto"/>
        <w:bottom w:val="none" w:sz="0" w:space="0" w:color="auto"/>
        <w:right w:val="none" w:sz="0" w:space="0" w:color="auto"/>
      </w:divBdr>
    </w:div>
    <w:div w:id="671295501">
      <w:bodyDiv w:val="1"/>
      <w:marLeft w:val="0"/>
      <w:marRight w:val="0"/>
      <w:marTop w:val="0"/>
      <w:marBottom w:val="0"/>
      <w:divBdr>
        <w:top w:val="none" w:sz="0" w:space="0" w:color="auto"/>
        <w:left w:val="none" w:sz="0" w:space="0" w:color="auto"/>
        <w:bottom w:val="none" w:sz="0" w:space="0" w:color="auto"/>
        <w:right w:val="none" w:sz="0" w:space="0" w:color="auto"/>
      </w:divBdr>
    </w:div>
    <w:div w:id="671299371">
      <w:bodyDiv w:val="1"/>
      <w:marLeft w:val="0"/>
      <w:marRight w:val="0"/>
      <w:marTop w:val="0"/>
      <w:marBottom w:val="0"/>
      <w:divBdr>
        <w:top w:val="none" w:sz="0" w:space="0" w:color="auto"/>
        <w:left w:val="none" w:sz="0" w:space="0" w:color="auto"/>
        <w:bottom w:val="none" w:sz="0" w:space="0" w:color="auto"/>
        <w:right w:val="none" w:sz="0" w:space="0" w:color="auto"/>
      </w:divBdr>
    </w:div>
    <w:div w:id="671371468">
      <w:bodyDiv w:val="1"/>
      <w:marLeft w:val="0"/>
      <w:marRight w:val="0"/>
      <w:marTop w:val="0"/>
      <w:marBottom w:val="0"/>
      <w:divBdr>
        <w:top w:val="none" w:sz="0" w:space="0" w:color="auto"/>
        <w:left w:val="none" w:sz="0" w:space="0" w:color="auto"/>
        <w:bottom w:val="none" w:sz="0" w:space="0" w:color="auto"/>
        <w:right w:val="none" w:sz="0" w:space="0" w:color="auto"/>
      </w:divBdr>
    </w:div>
    <w:div w:id="671378614">
      <w:bodyDiv w:val="1"/>
      <w:marLeft w:val="0"/>
      <w:marRight w:val="0"/>
      <w:marTop w:val="0"/>
      <w:marBottom w:val="0"/>
      <w:divBdr>
        <w:top w:val="none" w:sz="0" w:space="0" w:color="auto"/>
        <w:left w:val="none" w:sz="0" w:space="0" w:color="auto"/>
        <w:bottom w:val="none" w:sz="0" w:space="0" w:color="auto"/>
        <w:right w:val="none" w:sz="0" w:space="0" w:color="auto"/>
      </w:divBdr>
    </w:div>
    <w:div w:id="671491860">
      <w:bodyDiv w:val="1"/>
      <w:marLeft w:val="0"/>
      <w:marRight w:val="0"/>
      <w:marTop w:val="0"/>
      <w:marBottom w:val="0"/>
      <w:divBdr>
        <w:top w:val="none" w:sz="0" w:space="0" w:color="auto"/>
        <w:left w:val="none" w:sz="0" w:space="0" w:color="auto"/>
        <w:bottom w:val="none" w:sz="0" w:space="0" w:color="auto"/>
        <w:right w:val="none" w:sz="0" w:space="0" w:color="auto"/>
      </w:divBdr>
    </w:div>
    <w:div w:id="671494572">
      <w:bodyDiv w:val="1"/>
      <w:marLeft w:val="0"/>
      <w:marRight w:val="0"/>
      <w:marTop w:val="0"/>
      <w:marBottom w:val="0"/>
      <w:divBdr>
        <w:top w:val="none" w:sz="0" w:space="0" w:color="auto"/>
        <w:left w:val="none" w:sz="0" w:space="0" w:color="auto"/>
        <w:bottom w:val="none" w:sz="0" w:space="0" w:color="auto"/>
        <w:right w:val="none" w:sz="0" w:space="0" w:color="auto"/>
      </w:divBdr>
    </w:div>
    <w:div w:id="671496386">
      <w:bodyDiv w:val="1"/>
      <w:marLeft w:val="0"/>
      <w:marRight w:val="0"/>
      <w:marTop w:val="0"/>
      <w:marBottom w:val="0"/>
      <w:divBdr>
        <w:top w:val="none" w:sz="0" w:space="0" w:color="auto"/>
        <w:left w:val="none" w:sz="0" w:space="0" w:color="auto"/>
        <w:bottom w:val="none" w:sz="0" w:space="0" w:color="auto"/>
        <w:right w:val="none" w:sz="0" w:space="0" w:color="auto"/>
      </w:divBdr>
    </w:div>
    <w:div w:id="671496971">
      <w:bodyDiv w:val="1"/>
      <w:marLeft w:val="0"/>
      <w:marRight w:val="0"/>
      <w:marTop w:val="0"/>
      <w:marBottom w:val="0"/>
      <w:divBdr>
        <w:top w:val="none" w:sz="0" w:space="0" w:color="auto"/>
        <w:left w:val="none" w:sz="0" w:space="0" w:color="auto"/>
        <w:bottom w:val="none" w:sz="0" w:space="0" w:color="auto"/>
        <w:right w:val="none" w:sz="0" w:space="0" w:color="auto"/>
      </w:divBdr>
    </w:div>
    <w:div w:id="671564329">
      <w:bodyDiv w:val="1"/>
      <w:marLeft w:val="0"/>
      <w:marRight w:val="0"/>
      <w:marTop w:val="0"/>
      <w:marBottom w:val="0"/>
      <w:divBdr>
        <w:top w:val="none" w:sz="0" w:space="0" w:color="auto"/>
        <w:left w:val="none" w:sz="0" w:space="0" w:color="auto"/>
        <w:bottom w:val="none" w:sz="0" w:space="0" w:color="auto"/>
        <w:right w:val="none" w:sz="0" w:space="0" w:color="auto"/>
      </w:divBdr>
    </w:div>
    <w:div w:id="671642462">
      <w:bodyDiv w:val="1"/>
      <w:marLeft w:val="0"/>
      <w:marRight w:val="0"/>
      <w:marTop w:val="0"/>
      <w:marBottom w:val="0"/>
      <w:divBdr>
        <w:top w:val="none" w:sz="0" w:space="0" w:color="auto"/>
        <w:left w:val="none" w:sz="0" w:space="0" w:color="auto"/>
        <w:bottom w:val="none" w:sz="0" w:space="0" w:color="auto"/>
        <w:right w:val="none" w:sz="0" w:space="0" w:color="auto"/>
      </w:divBdr>
    </w:div>
    <w:div w:id="671688321">
      <w:bodyDiv w:val="1"/>
      <w:marLeft w:val="0"/>
      <w:marRight w:val="0"/>
      <w:marTop w:val="0"/>
      <w:marBottom w:val="0"/>
      <w:divBdr>
        <w:top w:val="none" w:sz="0" w:space="0" w:color="auto"/>
        <w:left w:val="none" w:sz="0" w:space="0" w:color="auto"/>
        <w:bottom w:val="none" w:sz="0" w:space="0" w:color="auto"/>
        <w:right w:val="none" w:sz="0" w:space="0" w:color="auto"/>
      </w:divBdr>
    </w:div>
    <w:div w:id="671760683">
      <w:bodyDiv w:val="1"/>
      <w:marLeft w:val="0"/>
      <w:marRight w:val="0"/>
      <w:marTop w:val="0"/>
      <w:marBottom w:val="0"/>
      <w:divBdr>
        <w:top w:val="none" w:sz="0" w:space="0" w:color="auto"/>
        <w:left w:val="none" w:sz="0" w:space="0" w:color="auto"/>
        <w:bottom w:val="none" w:sz="0" w:space="0" w:color="auto"/>
        <w:right w:val="none" w:sz="0" w:space="0" w:color="auto"/>
      </w:divBdr>
    </w:div>
    <w:div w:id="671764933">
      <w:bodyDiv w:val="1"/>
      <w:marLeft w:val="0"/>
      <w:marRight w:val="0"/>
      <w:marTop w:val="0"/>
      <w:marBottom w:val="0"/>
      <w:divBdr>
        <w:top w:val="none" w:sz="0" w:space="0" w:color="auto"/>
        <w:left w:val="none" w:sz="0" w:space="0" w:color="auto"/>
        <w:bottom w:val="none" w:sz="0" w:space="0" w:color="auto"/>
        <w:right w:val="none" w:sz="0" w:space="0" w:color="auto"/>
      </w:divBdr>
    </w:div>
    <w:div w:id="671876383">
      <w:bodyDiv w:val="1"/>
      <w:marLeft w:val="0"/>
      <w:marRight w:val="0"/>
      <w:marTop w:val="0"/>
      <w:marBottom w:val="0"/>
      <w:divBdr>
        <w:top w:val="none" w:sz="0" w:space="0" w:color="auto"/>
        <w:left w:val="none" w:sz="0" w:space="0" w:color="auto"/>
        <w:bottom w:val="none" w:sz="0" w:space="0" w:color="auto"/>
        <w:right w:val="none" w:sz="0" w:space="0" w:color="auto"/>
      </w:divBdr>
    </w:div>
    <w:div w:id="671883273">
      <w:bodyDiv w:val="1"/>
      <w:marLeft w:val="0"/>
      <w:marRight w:val="0"/>
      <w:marTop w:val="0"/>
      <w:marBottom w:val="0"/>
      <w:divBdr>
        <w:top w:val="none" w:sz="0" w:space="0" w:color="auto"/>
        <w:left w:val="none" w:sz="0" w:space="0" w:color="auto"/>
        <w:bottom w:val="none" w:sz="0" w:space="0" w:color="auto"/>
        <w:right w:val="none" w:sz="0" w:space="0" w:color="auto"/>
      </w:divBdr>
    </w:div>
    <w:div w:id="671957435">
      <w:bodyDiv w:val="1"/>
      <w:marLeft w:val="0"/>
      <w:marRight w:val="0"/>
      <w:marTop w:val="0"/>
      <w:marBottom w:val="0"/>
      <w:divBdr>
        <w:top w:val="none" w:sz="0" w:space="0" w:color="auto"/>
        <w:left w:val="none" w:sz="0" w:space="0" w:color="auto"/>
        <w:bottom w:val="none" w:sz="0" w:space="0" w:color="auto"/>
        <w:right w:val="none" w:sz="0" w:space="0" w:color="auto"/>
      </w:divBdr>
    </w:div>
    <w:div w:id="672033230">
      <w:bodyDiv w:val="1"/>
      <w:marLeft w:val="0"/>
      <w:marRight w:val="0"/>
      <w:marTop w:val="0"/>
      <w:marBottom w:val="0"/>
      <w:divBdr>
        <w:top w:val="none" w:sz="0" w:space="0" w:color="auto"/>
        <w:left w:val="none" w:sz="0" w:space="0" w:color="auto"/>
        <w:bottom w:val="none" w:sz="0" w:space="0" w:color="auto"/>
        <w:right w:val="none" w:sz="0" w:space="0" w:color="auto"/>
      </w:divBdr>
    </w:div>
    <w:div w:id="672100825">
      <w:bodyDiv w:val="1"/>
      <w:marLeft w:val="0"/>
      <w:marRight w:val="0"/>
      <w:marTop w:val="0"/>
      <w:marBottom w:val="0"/>
      <w:divBdr>
        <w:top w:val="none" w:sz="0" w:space="0" w:color="auto"/>
        <w:left w:val="none" w:sz="0" w:space="0" w:color="auto"/>
        <w:bottom w:val="none" w:sz="0" w:space="0" w:color="auto"/>
        <w:right w:val="none" w:sz="0" w:space="0" w:color="auto"/>
      </w:divBdr>
    </w:div>
    <w:div w:id="672143104">
      <w:bodyDiv w:val="1"/>
      <w:marLeft w:val="0"/>
      <w:marRight w:val="0"/>
      <w:marTop w:val="0"/>
      <w:marBottom w:val="0"/>
      <w:divBdr>
        <w:top w:val="none" w:sz="0" w:space="0" w:color="auto"/>
        <w:left w:val="none" w:sz="0" w:space="0" w:color="auto"/>
        <w:bottom w:val="none" w:sz="0" w:space="0" w:color="auto"/>
        <w:right w:val="none" w:sz="0" w:space="0" w:color="auto"/>
      </w:divBdr>
    </w:div>
    <w:div w:id="672222750">
      <w:bodyDiv w:val="1"/>
      <w:marLeft w:val="0"/>
      <w:marRight w:val="0"/>
      <w:marTop w:val="0"/>
      <w:marBottom w:val="0"/>
      <w:divBdr>
        <w:top w:val="none" w:sz="0" w:space="0" w:color="auto"/>
        <w:left w:val="none" w:sz="0" w:space="0" w:color="auto"/>
        <w:bottom w:val="none" w:sz="0" w:space="0" w:color="auto"/>
        <w:right w:val="none" w:sz="0" w:space="0" w:color="auto"/>
      </w:divBdr>
    </w:div>
    <w:div w:id="672223996">
      <w:bodyDiv w:val="1"/>
      <w:marLeft w:val="0"/>
      <w:marRight w:val="0"/>
      <w:marTop w:val="0"/>
      <w:marBottom w:val="0"/>
      <w:divBdr>
        <w:top w:val="none" w:sz="0" w:space="0" w:color="auto"/>
        <w:left w:val="none" w:sz="0" w:space="0" w:color="auto"/>
        <w:bottom w:val="none" w:sz="0" w:space="0" w:color="auto"/>
        <w:right w:val="none" w:sz="0" w:space="0" w:color="auto"/>
      </w:divBdr>
    </w:div>
    <w:div w:id="672227528">
      <w:bodyDiv w:val="1"/>
      <w:marLeft w:val="0"/>
      <w:marRight w:val="0"/>
      <w:marTop w:val="0"/>
      <w:marBottom w:val="0"/>
      <w:divBdr>
        <w:top w:val="none" w:sz="0" w:space="0" w:color="auto"/>
        <w:left w:val="none" w:sz="0" w:space="0" w:color="auto"/>
        <w:bottom w:val="none" w:sz="0" w:space="0" w:color="auto"/>
        <w:right w:val="none" w:sz="0" w:space="0" w:color="auto"/>
      </w:divBdr>
    </w:div>
    <w:div w:id="672338040">
      <w:bodyDiv w:val="1"/>
      <w:marLeft w:val="0"/>
      <w:marRight w:val="0"/>
      <w:marTop w:val="0"/>
      <w:marBottom w:val="0"/>
      <w:divBdr>
        <w:top w:val="none" w:sz="0" w:space="0" w:color="auto"/>
        <w:left w:val="none" w:sz="0" w:space="0" w:color="auto"/>
        <w:bottom w:val="none" w:sz="0" w:space="0" w:color="auto"/>
        <w:right w:val="none" w:sz="0" w:space="0" w:color="auto"/>
      </w:divBdr>
    </w:div>
    <w:div w:id="672416652">
      <w:bodyDiv w:val="1"/>
      <w:marLeft w:val="0"/>
      <w:marRight w:val="0"/>
      <w:marTop w:val="0"/>
      <w:marBottom w:val="0"/>
      <w:divBdr>
        <w:top w:val="none" w:sz="0" w:space="0" w:color="auto"/>
        <w:left w:val="none" w:sz="0" w:space="0" w:color="auto"/>
        <w:bottom w:val="none" w:sz="0" w:space="0" w:color="auto"/>
        <w:right w:val="none" w:sz="0" w:space="0" w:color="auto"/>
      </w:divBdr>
    </w:div>
    <w:div w:id="672492321">
      <w:bodyDiv w:val="1"/>
      <w:marLeft w:val="0"/>
      <w:marRight w:val="0"/>
      <w:marTop w:val="0"/>
      <w:marBottom w:val="0"/>
      <w:divBdr>
        <w:top w:val="none" w:sz="0" w:space="0" w:color="auto"/>
        <w:left w:val="none" w:sz="0" w:space="0" w:color="auto"/>
        <w:bottom w:val="none" w:sz="0" w:space="0" w:color="auto"/>
        <w:right w:val="none" w:sz="0" w:space="0" w:color="auto"/>
      </w:divBdr>
    </w:div>
    <w:div w:id="672531611">
      <w:bodyDiv w:val="1"/>
      <w:marLeft w:val="0"/>
      <w:marRight w:val="0"/>
      <w:marTop w:val="0"/>
      <w:marBottom w:val="0"/>
      <w:divBdr>
        <w:top w:val="none" w:sz="0" w:space="0" w:color="auto"/>
        <w:left w:val="none" w:sz="0" w:space="0" w:color="auto"/>
        <w:bottom w:val="none" w:sz="0" w:space="0" w:color="auto"/>
        <w:right w:val="none" w:sz="0" w:space="0" w:color="auto"/>
      </w:divBdr>
    </w:div>
    <w:div w:id="672799448">
      <w:bodyDiv w:val="1"/>
      <w:marLeft w:val="0"/>
      <w:marRight w:val="0"/>
      <w:marTop w:val="0"/>
      <w:marBottom w:val="0"/>
      <w:divBdr>
        <w:top w:val="none" w:sz="0" w:space="0" w:color="auto"/>
        <w:left w:val="none" w:sz="0" w:space="0" w:color="auto"/>
        <w:bottom w:val="none" w:sz="0" w:space="0" w:color="auto"/>
        <w:right w:val="none" w:sz="0" w:space="0" w:color="auto"/>
      </w:divBdr>
    </w:div>
    <w:div w:id="672804132">
      <w:bodyDiv w:val="1"/>
      <w:marLeft w:val="0"/>
      <w:marRight w:val="0"/>
      <w:marTop w:val="0"/>
      <w:marBottom w:val="0"/>
      <w:divBdr>
        <w:top w:val="none" w:sz="0" w:space="0" w:color="auto"/>
        <w:left w:val="none" w:sz="0" w:space="0" w:color="auto"/>
        <w:bottom w:val="none" w:sz="0" w:space="0" w:color="auto"/>
        <w:right w:val="none" w:sz="0" w:space="0" w:color="auto"/>
      </w:divBdr>
    </w:div>
    <w:div w:id="672807345">
      <w:bodyDiv w:val="1"/>
      <w:marLeft w:val="0"/>
      <w:marRight w:val="0"/>
      <w:marTop w:val="0"/>
      <w:marBottom w:val="0"/>
      <w:divBdr>
        <w:top w:val="none" w:sz="0" w:space="0" w:color="auto"/>
        <w:left w:val="none" w:sz="0" w:space="0" w:color="auto"/>
        <w:bottom w:val="none" w:sz="0" w:space="0" w:color="auto"/>
        <w:right w:val="none" w:sz="0" w:space="0" w:color="auto"/>
      </w:divBdr>
    </w:div>
    <w:div w:id="672876119">
      <w:bodyDiv w:val="1"/>
      <w:marLeft w:val="0"/>
      <w:marRight w:val="0"/>
      <w:marTop w:val="0"/>
      <w:marBottom w:val="0"/>
      <w:divBdr>
        <w:top w:val="none" w:sz="0" w:space="0" w:color="auto"/>
        <w:left w:val="none" w:sz="0" w:space="0" w:color="auto"/>
        <w:bottom w:val="none" w:sz="0" w:space="0" w:color="auto"/>
        <w:right w:val="none" w:sz="0" w:space="0" w:color="auto"/>
      </w:divBdr>
    </w:div>
    <w:div w:id="672878529">
      <w:bodyDiv w:val="1"/>
      <w:marLeft w:val="0"/>
      <w:marRight w:val="0"/>
      <w:marTop w:val="0"/>
      <w:marBottom w:val="0"/>
      <w:divBdr>
        <w:top w:val="none" w:sz="0" w:space="0" w:color="auto"/>
        <w:left w:val="none" w:sz="0" w:space="0" w:color="auto"/>
        <w:bottom w:val="none" w:sz="0" w:space="0" w:color="auto"/>
        <w:right w:val="none" w:sz="0" w:space="0" w:color="auto"/>
      </w:divBdr>
    </w:div>
    <w:div w:id="672881426">
      <w:bodyDiv w:val="1"/>
      <w:marLeft w:val="0"/>
      <w:marRight w:val="0"/>
      <w:marTop w:val="0"/>
      <w:marBottom w:val="0"/>
      <w:divBdr>
        <w:top w:val="none" w:sz="0" w:space="0" w:color="auto"/>
        <w:left w:val="none" w:sz="0" w:space="0" w:color="auto"/>
        <w:bottom w:val="none" w:sz="0" w:space="0" w:color="auto"/>
        <w:right w:val="none" w:sz="0" w:space="0" w:color="auto"/>
      </w:divBdr>
    </w:div>
    <w:div w:id="672951123">
      <w:bodyDiv w:val="1"/>
      <w:marLeft w:val="0"/>
      <w:marRight w:val="0"/>
      <w:marTop w:val="0"/>
      <w:marBottom w:val="0"/>
      <w:divBdr>
        <w:top w:val="none" w:sz="0" w:space="0" w:color="auto"/>
        <w:left w:val="none" w:sz="0" w:space="0" w:color="auto"/>
        <w:bottom w:val="none" w:sz="0" w:space="0" w:color="auto"/>
        <w:right w:val="none" w:sz="0" w:space="0" w:color="auto"/>
      </w:divBdr>
    </w:div>
    <w:div w:id="672996339">
      <w:bodyDiv w:val="1"/>
      <w:marLeft w:val="0"/>
      <w:marRight w:val="0"/>
      <w:marTop w:val="0"/>
      <w:marBottom w:val="0"/>
      <w:divBdr>
        <w:top w:val="none" w:sz="0" w:space="0" w:color="auto"/>
        <w:left w:val="none" w:sz="0" w:space="0" w:color="auto"/>
        <w:bottom w:val="none" w:sz="0" w:space="0" w:color="auto"/>
        <w:right w:val="none" w:sz="0" w:space="0" w:color="auto"/>
      </w:divBdr>
    </w:div>
    <w:div w:id="673190352">
      <w:bodyDiv w:val="1"/>
      <w:marLeft w:val="0"/>
      <w:marRight w:val="0"/>
      <w:marTop w:val="0"/>
      <w:marBottom w:val="0"/>
      <w:divBdr>
        <w:top w:val="none" w:sz="0" w:space="0" w:color="auto"/>
        <w:left w:val="none" w:sz="0" w:space="0" w:color="auto"/>
        <w:bottom w:val="none" w:sz="0" w:space="0" w:color="auto"/>
        <w:right w:val="none" w:sz="0" w:space="0" w:color="auto"/>
      </w:divBdr>
    </w:div>
    <w:div w:id="673217947">
      <w:bodyDiv w:val="1"/>
      <w:marLeft w:val="0"/>
      <w:marRight w:val="0"/>
      <w:marTop w:val="0"/>
      <w:marBottom w:val="0"/>
      <w:divBdr>
        <w:top w:val="none" w:sz="0" w:space="0" w:color="auto"/>
        <w:left w:val="none" w:sz="0" w:space="0" w:color="auto"/>
        <w:bottom w:val="none" w:sz="0" w:space="0" w:color="auto"/>
        <w:right w:val="none" w:sz="0" w:space="0" w:color="auto"/>
      </w:divBdr>
    </w:div>
    <w:div w:id="673267263">
      <w:bodyDiv w:val="1"/>
      <w:marLeft w:val="0"/>
      <w:marRight w:val="0"/>
      <w:marTop w:val="0"/>
      <w:marBottom w:val="0"/>
      <w:divBdr>
        <w:top w:val="none" w:sz="0" w:space="0" w:color="auto"/>
        <w:left w:val="none" w:sz="0" w:space="0" w:color="auto"/>
        <w:bottom w:val="none" w:sz="0" w:space="0" w:color="auto"/>
        <w:right w:val="none" w:sz="0" w:space="0" w:color="auto"/>
      </w:divBdr>
    </w:div>
    <w:div w:id="673338261">
      <w:bodyDiv w:val="1"/>
      <w:marLeft w:val="0"/>
      <w:marRight w:val="0"/>
      <w:marTop w:val="0"/>
      <w:marBottom w:val="0"/>
      <w:divBdr>
        <w:top w:val="none" w:sz="0" w:space="0" w:color="auto"/>
        <w:left w:val="none" w:sz="0" w:space="0" w:color="auto"/>
        <w:bottom w:val="none" w:sz="0" w:space="0" w:color="auto"/>
        <w:right w:val="none" w:sz="0" w:space="0" w:color="auto"/>
      </w:divBdr>
    </w:div>
    <w:div w:id="673382643">
      <w:bodyDiv w:val="1"/>
      <w:marLeft w:val="0"/>
      <w:marRight w:val="0"/>
      <w:marTop w:val="0"/>
      <w:marBottom w:val="0"/>
      <w:divBdr>
        <w:top w:val="none" w:sz="0" w:space="0" w:color="auto"/>
        <w:left w:val="none" w:sz="0" w:space="0" w:color="auto"/>
        <w:bottom w:val="none" w:sz="0" w:space="0" w:color="auto"/>
        <w:right w:val="none" w:sz="0" w:space="0" w:color="auto"/>
      </w:divBdr>
    </w:div>
    <w:div w:id="673382782">
      <w:bodyDiv w:val="1"/>
      <w:marLeft w:val="0"/>
      <w:marRight w:val="0"/>
      <w:marTop w:val="0"/>
      <w:marBottom w:val="0"/>
      <w:divBdr>
        <w:top w:val="none" w:sz="0" w:space="0" w:color="auto"/>
        <w:left w:val="none" w:sz="0" w:space="0" w:color="auto"/>
        <w:bottom w:val="none" w:sz="0" w:space="0" w:color="auto"/>
        <w:right w:val="none" w:sz="0" w:space="0" w:color="auto"/>
      </w:divBdr>
    </w:div>
    <w:div w:id="673459135">
      <w:bodyDiv w:val="1"/>
      <w:marLeft w:val="0"/>
      <w:marRight w:val="0"/>
      <w:marTop w:val="0"/>
      <w:marBottom w:val="0"/>
      <w:divBdr>
        <w:top w:val="none" w:sz="0" w:space="0" w:color="auto"/>
        <w:left w:val="none" w:sz="0" w:space="0" w:color="auto"/>
        <w:bottom w:val="none" w:sz="0" w:space="0" w:color="auto"/>
        <w:right w:val="none" w:sz="0" w:space="0" w:color="auto"/>
      </w:divBdr>
    </w:div>
    <w:div w:id="673534246">
      <w:bodyDiv w:val="1"/>
      <w:marLeft w:val="0"/>
      <w:marRight w:val="0"/>
      <w:marTop w:val="0"/>
      <w:marBottom w:val="0"/>
      <w:divBdr>
        <w:top w:val="none" w:sz="0" w:space="0" w:color="auto"/>
        <w:left w:val="none" w:sz="0" w:space="0" w:color="auto"/>
        <w:bottom w:val="none" w:sz="0" w:space="0" w:color="auto"/>
        <w:right w:val="none" w:sz="0" w:space="0" w:color="auto"/>
      </w:divBdr>
    </w:div>
    <w:div w:id="673610691">
      <w:bodyDiv w:val="1"/>
      <w:marLeft w:val="0"/>
      <w:marRight w:val="0"/>
      <w:marTop w:val="0"/>
      <w:marBottom w:val="0"/>
      <w:divBdr>
        <w:top w:val="none" w:sz="0" w:space="0" w:color="auto"/>
        <w:left w:val="none" w:sz="0" w:space="0" w:color="auto"/>
        <w:bottom w:val="none" w:sz="0" w:space="0" w:color="auto"/>
        <w:right w:val="none" w:sz="0" w:space="0" w:color="auto"/>
      </w:divBdr>
    </w:div>
    <w:div w:id="673650950">
      <w:bodyDiv w:val="1"/>
      <w:marLeft w:val="0"/>
      <w:marRight w:val="0"/>
      <w:marTop w:val="0"/>
      <w:marBottom w:val="0"/>
      <w:divBdr>
        <w:top w:val="none" w:sz="0" w:space="0" w:color="auto"/>
        <w:left w:val="none" w:sz="0" w:space="0" w:color="auto"/>
        <w:bottom w:val="none" w:sz="0" w:space="0" w:color="auto"/>
        <w:right w:val="none" w:sz="0" w:space="0" w:color="auto"/>
      </w:divBdr>
    </w:div>
    <w:div w:id="673651000">
      <w:bodyDiv w:val="1"/>
      <w:marLeft w:val="0"/>
      <w:marRight w:val="0"/>
      <w:marTop w:val="0"/>
      <w:marBottom w:val="0"/>
      <w:divBdr>
        <w:top w:val="none" w:sz="0" w:space="0" w:color="auto"/>
        <w:left w:val="none" w:sz="0" w:space="0" w:color="auto"/>
        <w:bottom w:val="none" w:sz="0" w:space="0" w:color="auto"/>
        <w:right w:val="none" w:sz="0" w:space="0" w:color="auto"/>
      </w:divBdr>
    </w:div>
    <w:div w:id="673728710">
      <w:bodyDiv w:val="1"/>
      <w:marLeft w:val="0"/>
      <w:marRight w:val="0"/>
      <w:marTop w:val="0"/>
      <w:marBottom w:val="0"/>
      <w:divBdr>
        <w:top w:val="none" w:sz="0" w:space="0" w:color="auto"/>
        <w:left w:val="none" w:sz="0" w:space="0" w:color="auto"/>
        <w:bottom w:val="none" w:sz="0" w:space="0" w:color="auto"/>
        <w:right w:val="none" w:sz="0" w:space="0" w:color="auto"/>
      </w:divBdr>
    </w:div>
    <w:div w:id="673803343">
      <w:bodyDiv w:val="1"/>
      <w:marLeft w:val="0"/>
      <w:marRight w:val="0"/>
      <w:marTop w:val="0"/>
      <w:marBottom w:val="0"/>
      <w:divBdr>
        <w:top w:val="none" w:sz="0" w:space="0" w:color="auto"/>
        <w:left w:val="none" w:sz="0" w:space="0" w:color="auto"/>
        <w:bottom w:val="none" w:sz="0" w:space="0" w:color="auto"/>
        <w:right w:val="none" w:sz="0" w:space="0" w:color="auto"/>
      </w:divBdr>
    </w:div>
    <w:div w:id="673804365">
      <w:bodyDiv w:val="1"/>
      <w:marLeft w:val="0"/>
      <w:marRight w:val="0"/>
      <w:marTop w:val="0"/>
      <w:marBottom w:val="0"/>
      <w:divBdr>
        <w:top w:val="none" w:sz="0" w:space="0" w:color="auto"/>
        <w:left w:val="none" w:sz="0" w:space="0" w:color="auto"/>
        <w:bottom w:val="none" w:sz="0" w:space="0" w:color="auto"/>
        <w:right w:val="none" w:sz="0" w:space="0" w:color="auto"/>
      </w:divBdr>
    </w:div>
    <w:div w:id="673805942">
      <w:bodyDiv w:val="1"/>
      <w:marLeft w:val="0"/>
      <w:marRight w:val="0"/>
      <w:marTop w:val="0"/>
      <w:marBottom w:val="0"/>
      <w:divBdr>
        <w:top w:val="none" w:sz="0" w:space="0" w:color="auto"/>
        <w:left w:val="none" w:sz="0" w:space="0" w:color="auto"/>
        <w:bottom w:val="none" w:sz="0" w:space="0" w:color="auto"/>
        <w:right w:val="none" w:sz="0" w:space="0" w:color="auto"/>
      </w:divBdr>
      <w:divsChild>
        <w:div w:id="20591925">
          <w:marLeft w:val="0"/>
          <w:marRight w:val="0"/>
          <w:marTop w:val="0"/>
          <w:marBottom w:val="0"/>
          <w:divBdr>
            <w:top w:val="none" w:sz="0" w:space="0" w:color="auto"/>
            <w:left w:val="none" w:sz="0" w:space="0" w:color="auto"/>
            <w:bottom w:val="none" w:sz="0" w:space="0" w:color="auto"/>
            <w:right w:val="none" w:sz="0" w:space="0" w:color="auto"/>
          </w:divBdr>
        </w:div>
        <w:div w:id="34040870">
          <w:marLeft w:val="0"/>
          <w:marRight w:val="0"/>
          <w:marTop w:val="0"/>
          <w:marBottom w:val="0"/>
          <w:divBdr>
            <w:top w:val="none" w:sz="0" w:space="0" w:color="auto"/>
            <w:left w:val="none" w:sz="0" w:space="0" w:color="auto"/>
            <w:bottom w:val="none" w:sz="0" w:space="0" w:color="auto"/>
            <w:right w:val="none" w:sz="0" w:space="0" w:color="auto"/>
          </w:divBdr>
        </w:div>
        <w:div w:id="45183140">
          <w:marLeft w:val="0"/>
          <w:marRight w:val="0"/>
          <w:marTop w:val="0"/>
          <w:marBottom w:val="0"/>
          <w:divBdr>
            <w:top w:val="none" w:sz="0" w:space="0" w:color="auto"/>
            <w:left w:val="none" w:sz="0" w:space="0" w:color="auto"/>
            <w:bottom w:val="none" w:sz="0" w:space="0" w:color="auto"/>
            <w:right w:val="none" w:sz="0" w:space="0" w:color="auto"/>
          </w:divBdr>
        </w:div>
        <w:div w:id="75367293">
          <w:marLeft w:val="0"/>
          <w:marRight w:val="0"/>
          <w:marTop w:val="0"/>
          <w:marBottom w:val="0"/>
          <w:divBdr>
            <w:top w:val="none" w:sz="0" w:space="0" w:color="auto"/>
            <w:left w:val="none" w:sz="0" w:space="0" w:color="auto"/>
            <w:bottom w:val="none" w:sz="0" w:space="0" w:color="auto"/>
            <w:right w:val="none" w:sz="0" w:space="0" w:color="auto"/>
          </w:divBdr>
        </w:div>
        <w:div w:id="91902232">
          <w:marLeft w:val="0"/>
          <w:marRight w:val="0"/>
          <w:marTop w:val="0"/>
          <w:marBottom w:val="0"/>
          <w:divBdr>
            <w:top w:val="none" w:sz="0" w:space="0" w:color="auto"/>
            <w:left w:val="none" w:sz="0" w:space="0" w:color="auto"/>
            <w:bottom w:val="none" w:sz="0" w:space="0" w:color="auto"/>
            <w:right w:val="none" w:sz="0" w:space="0" w:color="auto"/>
          </w:divBdr>
        </w:div>
        <w:div w:id="107045428">
          <w:marLeft w:val="0"/>
          <w:marRight w:val="0"/>
          <w:marTop w:val="0"/>
          <w:marBottom w:val="0"/>
          <w:divBdr>
            <w:top w:val="none" w:sz="0" w:space="0" w:color="auto"/>
            <w:left w:val="none" w:sz="0" w:space="0" w:color="auto"/>
            <w:bottom w:val="none" w:sz="0" w:space="0" w:color="auto"/>
            <w:right w:val="none" w:sz="0" w:space="0" w:color="auto"/>
          </w:divBdr>
        </w:div>
        <w:div w:id="117997124">
          <w:marLeft w:val="0"/>
          <w:marRight w:val="0"/>
          <w:marTop w:val="0"/>
          <w:marBottom w:val="0"/>
          <w:divBdr>
            <w:top w:val="none" w:sz="0" w:space="0" w:color="auto"/>
            <w:left w:val="none" w:sz="0" w:space="0" w:color="auto"/>
            <w:bottom w:val="none" w:sz="0" w:space="0" w:color="auto"/>
            <w:right w:val="none" w:sz="0" w:space="0" w:color="auto"/>
          </w:divBdr>
        </w:div>
        <w:div w:id="121312508">
          <w:marLeft w:val="0"/>
          <w:marRight w:val="0"/>
          <w:marTop w:val="0"/>
          <w:marBottom w:val="0"/>
          <w:divBdr>
            <w:top w:val="none" w:sz="0" w:space="0" w:color="auto"/>
            <w:left w:val="none" w:sz="0" w:space="0" w:color="auto"/>
            <w:bottom w:val="none" w:sz="0" w:space="0" w:color="auto"/>
            <w:right w:val="none" w:sz="0" w:space="0" w:color="auto"/>
          </w:divBdr>
        </w:div>
        <w:div w:id="141243070">
          <w:marLeft w:val="0"/>
          <w:marRight w:val="0"/>
          <w:marTop w:val="0"/>
          <w:marBottom w:val="0"/>
          <w:divBdr>
            <w:top w:val="none" w:sz="0" w:space="0" w:color="auto"/>
            <w:left w:val="none" w:sz="0" w:space="0" w:color="auto"/>
            <w:bottom w:val="none" w:sz="0" w:space="0" w:color="auto"/>
            <w:right w:val="none" w:sz="0" w:space="0" w:color="auto"/>
          </w:divBdr>
        </w:div>
        <w:div w:id="151990697">
          <w:marLeft w:val="0"/>
          <w:marRight w:val="0"/>
          <w:marTop w:val="0"/>
          <w:marBottom w:val="0"/>
          <w:divBdr>
            <w:top w:val="none" w:sz="0" w:space="0" w:color="auto"/>
            <w:left w:val="none" w:sz="0" w:space="0" w:color="auto"/>
            <w:bottom w:val="none" w:sz="0" w:space="0" w:color="auto"/>
            <w:right w:val="none" w:sz="0" w:space="0" w:color="auto"/>
          </w:divBdr>
        </w:div>
        <w:div w:id="155582607">
          <w:marLeft w:val="0"/>
          <w:marRight w:val="0"/>
          <w:marTop w:val="0"/>
          <w:marBottom w:val="0"/>
          <w:divBdr>
            <w:top w:val="none" w:sz="0" w:space="0" w:color="auto"/>
            <w:left w:val="none" w:sz="0" w:space="0" w:color="auto"/>
            <w:bottom w:val="none" w:sz="0" w:space="0" w:color="auto"/>
            <w:right w:val="none" w:sz="0" w:space="0" w:color="auto"/>
          </w:divBdr>
        </w:div>
        <w:div w:id="164563370">
          <w:marLeft w:val="0"/>
          <w:marRight w:val="0"/>
          <w:marTop w:val="0"/>
          <w:marBottom w:val="0"/>
          <w:divBdr>
            <w:top w:val="none" w:sz="0" w:space="0" w:color="auto"/>
            <w:left w:val="none" w:sz="0" w:space="0" w:color="auto"/>
            <w:bottom w:val="none" w:sz="0" w:space="0" w:color="auto"/>
            <w:right w:val="none" w:sz="0" w:space="0" w:color="auto"/>
          </w:divBdr>
        </w:div>
        <w:div w:id="177081470">
          <w:marLeft w:val="0"/>
          <w:marRight w:val="0"/>
          <w:marTop w:val="0"/>
          <w:marBottom w:val="0"/>
          <w:divBdr>
            <w:top w:val="none" w:sz="0" w:space="0" w:color="auto"/>
            <w:left w:val="none" w:sz="0" w:space="0" w:color="auto"/>
            <w:bottom w:val="none" w:sz="0" w:space="0" w:color="auto"/>
            <w:right w:val="none" w:sz="0" w:space="0" w:color="auto"/>
          </w:divBdr>
        </w:div>
        <w:div w:id="179584483">
          <w:marLeft w:val="0"/>
          <w:marRight w:val="0"/>
          <w:marTop w:val="0"/>
          <w:marBottom w:val="0"/>
          <w:divBdr>
            <w:top w:val="none" w:sz="0" w:space="0" w:color="auto"/>
            <w:left w:val="none" w:sz="0" w:space="0" w:color="auto"/>
            <w:bottom w:val="none" w:sz="0" w:space="0" w:color="auto"/>
            <w:right w:val="none" w:sz="0" w:space="0" w:color="auto"/>
          </w:divBdr>
        </w:div>
        <w:div w:id="181554201">
          <w:marLeft w:val="0"/>
          <w:marRight w:val="0"/>
          <w:marTop w:val="0"/>
          <w:marBottom w:val="0"/>
          <w:divBdr>
            <w:top w:val="none" w:sz="0" w:space="0" w:color="auto"/>
            <w:left w:val="none" w:sz="0" w:space="0" w:color="auto"/>
            <w:bottom w:val="none" w:sz="0" w:space="0" w:color="auto"/>
            <w:right w:val="none" w:sz="0" w:space="0" w:color="auto"/>
          </w:divBdr>
        </w:div>
        <w:div w:id="189417924">
          <w:marLeft w:val="0"/>
          <w:marRight w:val="0"/>
          <w:marTop w:val="0"/>
          <w:marBottom w:val="0"/>
          <w:divBdr>
            <w:top w:val="none" w:sz="0" w:space="0" w:color="auto"/>
            <w:left w:val="none" w:sz="0" w:space="0" w:color="auto"/>
            <w:bottom w:val="none" w:sz="0" w:space="0" w:color="auto"/>
            <w:right w:val="none" w:sz="0" w:space="0" w:color="auto"/>
          </w:divBdr>
        </w:div>
        <w:div w:id="215437245">
          <w:marLeft w:val="0"/>
          <w:marRight w:val="0"/>
          <w:marTop w:val="0"/>
          <w:marBottom w:val="0"/>
          <w:divBdr>
            <w:top w:val="none" w:sz="0" w:space="0" w:color="auto"/>
            <w:left w:val="none" w:sz="0" w:space="0" w:color="auto"/>
            <w:bottom w:val="none" w:sz="0" w:space="0" w:color="auto"/>
            <w:right w:val="none" w:sz="0" w:space="0" w:color="auto"/>
          </w:divBdr>
        </w:div>
        <w:div w:id="217867445">
          <w:marLeft w:val="0"/>
          <w:marRight w:val="0"/>
          <w:marTop w:val="0"/>
          <w:marBottom w:val="0"/>
          <w:divBdr>
            <w:top w:val="none" w:sz="0" w:space="0" w:color="auto"/>
            <w:left w:val="none" w:sz="0" w:space="0" w:color="auto"/>
            <w:bottom w:val="none" w:sz="0" w:space="0" w:color="auto"/>
            <w:right w:val="none" w:sz="0" w:space="0" w:color="auto"/>
          </w:divBdr>
        </w:div>
        <w:div w:id="217978357">
          <w:marLeft w:val="0"/>
          <w:marRight w:val="0"/>
          <w:marTop w:val="0"/>
          <w:marBottom w:val="0"/>
          <w:divBdr>
            <w:top w:val="none" w:sz="0" w:space="0" w:color="auto"/>
            <w:left w:val="none" w:sz="0" w:space="0" w:color="auto"/>
            <w:bottom w:val="none" w:sz="0" w:space="0" w:color="auto"/>
            <w:right w:val="none" w:sz="0" w:space="0" w:color="auto"/>
          </w:divBdr>
        </w:div>
        <w:div w:id="219633749">
          <w:marLeft w:val="0"/>
          <w:marRight w:val="0"/>
          <w:marTop w:val="0"/>
          <w:marBottom w:val="0"/>
          <w:divBdr>
            <w:top w:val="none" w:sz="0" w:space="0" w:color="auto"/>
            <w:left w:val="none" w:sz="0" w:space="0" w:color="auto"/>
            <w:bottom w:val="none" w:sz="0" w:space="0" w:color="auto"/>
            <w:right w:val="none" w:sz="0" w:space="0" w:color="auto"/>
          </w:divBdr>
        </w:div>
        <w:div w:id="249436583">
          <w:marLeft w:val="0"/>
          <w:marRight w:val="0"/>
          <w:marTop w:val="0"/>
          <w:marBottom w:val="0"/>
          <w:divBdr>
            <w:top w:val="none" w:sz="0" w:space="0" w:color="auto"/>
            <w:left w:val="none" w:sz="0" w:space="0" w:color="auto"/>
            <w:bottom w:val="none" w:sz="0" w:space="0" w:color="auto"/>
            <w:right w:val="none" w:sz="0" w:space="0" w:color="auto"/>
          </w:divBdr>
        </w:div>
        <w:div w:id="253325080">
          <w:marLeft w:val="0"/>
          <w:marRight w:val="0"/>
          <w:marTop w:val="0"/>
          <w:marBottom w:val="0"/>
          <w:divBdr>
            <w:top w:val="none" w:sz="0" w:space="0" w:color="auto"/>
            <w:left w:val="none" w:sz="0" w:space="0" w:color="auto"/>
            <w:bottom w:val="none" w:sz="0" w:space="0" w:color="auto"/>
            <w:right w:val="none" w:sz="0" w:space="0" w:color="auto"/>
          </w:divBdr>
        </w:div>
        <w:div w:id="257250820">
          <w:marLeft w:val="0"/>
          <w:marRight w:val="0"/>
          <w:marTop w:val="0"/>
          <w:marBottom w:val="0"/>
          <w:divBdr>
            <w:top w:val="none" w:sz="0" w:space="0" w:color="auto"/>
            <w:left w:val="none" w:sz="0" w:space="0" w:color="auto"/>
            <w:bottom w:val="none" w:sz="0" w:space="0" w:color="auto"/>
            <w:right w:val="none" w:sz="0" w:space="0" w:color="auto"/>
          </w:divBdr>
        </w:div>
        <w:div w:id="258414898">
          <w:marLeft w:val="0"/>
          <w:marRight w:val="0"/>
          <w:marTop w:val="0"/>
          <w:marBottom w:val="0"/>
          <w:divBdr>
            <w:top w:val="none" w:sz="0" w:space="0" w:color="auto"/>
            <w:left w:val="none" w:sz="0" w:space="0" w:color="auto"/>
            <w:bottom w:val="none" w:sz="0" w:space="0" w:color="auto"/>
            <w:right w:val="none" w:sz="0" w:space="0" w:color="auto"/>
          </w:divBdr>
        </w:div>
        <w:div w:id="293289676">
          <w:marLeft w:val="0"/>
          <w:marRight w:val="0"/>
          <w:marTop w:val="0"/>
          <w:marBottom w:val="0"/>
          <w:divBdr>
            <w:top w:val="none" w:sz="0" w:space="0" w:color="auto"/>
            <w:left w:val="none" w:sz="0" w:space="0" w:color="auto"/>
            <w:bottom w:val="none" w:sz="0" w:space="0" w:color="auto"/>
            <w:right w:val="none" w:sz="0" w:space="0" w:color="auto"/>
          </w:divBdr>
        </w:div>
        <w:div w:id="314072221">
          <w:marLeft w:val="0"/>
          <w:marRight w:val="0"/>
          <w:marTop w:val="0"/>
          <w:marBottom w:val="0"/>
          <w:divBdr>
            <w:top w:val="none" w:sz="0" w:space="0" w:color="auto"/>
            <w:left w:val="none" w:sz="0" w:space="0" w:color="auto"/>
            <w:bottom w:val="none" w:sz="0" w:space="0" w:color="auto"/>
            <w:right w:val="none" w:sz="0" w:space="0" w:color="auto"/>
          </w:divBdr>
        </w:div>
        <w:div w:id="315767706">
          <w:marLeft w:val="0"/>
          <w:marRight w:val="0"/>
          <w:marTop w:val="0"/>
          <w:marBottom w:val="0"/>
          <w:divBdr>
            <w:top w:val="none" w:sz="0" w:space="0" w:color="auto"/>
            <w:left w:val="none" w:sz="0" w:space="0" w:color="auto"/>
            <w:bottom w:val="none" w:sz="0" w:space="0" w:color="auto"/>
            <w:right w:val="none" w:sz="0" w:space="0" w:color="auto"/>
          </w:divBdr>
        </w:div>
        <w:div w:id="322393972">
          <w:marLeft w:val="0"/>
          <w:marRight w:val="0"/>
          <w:marTop w:val="0"/>
          <w:marBottom w:val="0"/>
          <w:divBdr>
            <w:top w:val="none" w:sz="0" w:space="0" w:color="auto"/>
            <w:left w:val="none" w:sz="0" w:space="0" w:color="auto"/>
            <w:bottom w:val="none" w:sz="0" w:space="0" w:color="auto"/>
            <w:right w:val="none" w:sz="0" w:space="0" w:color="auto"/>
          </w:divBdr>
        </w:div>
        <w:div w:id="338510875">
          <w:marLeft w:val="0"/>
          <w:marRight w:val="0"/>
          <w:marTop w:val="0"/>
          <w:marBottom w:val="0"/>
          <w:divBdr>
            <w:top w:val="none" w:sz="0" w:space="0" w:color="auto"/>
            <w:left w:val="none" w:sz="0" w:space="0" w:color="auto"/>
            <w:bottom w:val="none" w:sz="0" w:space="0" w:color="auto"/>
            <w:right w:val="none" w:sz="0" w:space="0" w:color="auto"/>
          </w:divBdr>
        </w:div>
        <w:div w:id="339048424">
          <w:marLeft w:val="0"/>
          <w:marRight w:val="0"/>
          <w:marTop w:val="0"/>
          <w:marBottom w:val="0"/>
          <w:divBdr>
            <w:top w:val="none" w:sz="0" w:space="0" w:color="auto"/>
            <w:left w:val="none" w:sz="0" w:space="0" w:color="auto"/>
            <w:bottom w:val="none" w:sz="0" w:space="0" w:color="auto"/>
            <w:right w:val="none" w:sz="0" w:space="0" w:color="auto"/>
          </w:divBdr>
        </w:div>
        <w:div w:id="359089624">
          <w:marLeft w:val="0"/>
          <w:marRight w:val="0"/>
          <w:marTop w:val="0"/>
          <w:marBottom w:val="0"/>
          <w:divBdr>
            <w:top w:val="none" w:sz="0" w:space="0" w:color="auto"/>
            <w:left w:val="none" w:sz="0" w:space="0" w:color="auto"/>
            <w:bottom w:val="none" w:sz="0" w:space="0" w:color="auto"/>
            <w:right w:val="none" w:sz="0" w:space="0" w:color="auto"/>
          </w:divBdr>
        </w:div>
        <w:div w:id="394545044">
          <w:marLeft w:val="0"/>
          <w:marRight w:val="0"/>
          <w:marTop w:val="0"/>
          <w:marBottom w:val="0"/>
          <w:divBdr>
            <w:top w:val="none" w:sz="0" w:space="0" w:color="auto"/>
            <w:left w:val="none" w:sz="0" w:space="0" w:color="auto"/>
            <w:bottom w:val="none" w:sz="0" w:space="0" w:color="auto"/>
            <w:right w:val="none" w:sz="0" w:space="0" w:color="auto"/>
          </w:divBdr>
        </w:div>
        <w:div w:id="398674260">
          <w:marLeft w:val="0"/>
          <w:marRight w:val="0"/>
          <w:marTop w:val="0"/>
          <w:marBottom w:val="0"/>
          <w:divBdr>
            <w:top w:val="none" w:sz="0" w:space="0" w:color="auto"/>
            <w:left w:val="none" w:sz="0" w:space="0" w:color="auto"/>
            <w:bottom w:val="none" w:sz="0" w:space="0" w:color="auto"/>
            <w:right w:val="none" w:sz="0" w:space="0" w:color="auto"/>
          </w:divBdr>
        </w:div>
        <w:div w:id="399328744">
          <w:marLeft w:val="0"/>
          <w:marRight w:val="0"/>
          <w:marTop w:val="0"/>
          <w:marBottom w:val="0"/>
          <w:divBdr>
            <w:top w:val="none" w:sz="0" w:space="0" w:color="auto"/>
            <w:left w:val="none" w:sz="0" w:space="0" w:color="auto"/>
            <w:bottom w:val="none" w:sz="0" w:space="0" w:color="auto"/>
            <w:right w:val="none" w:sz="0" w:space="0" w:color="auto"/>
          </w:divBdr>
        </w:div>
        <w:div w:id="404959067">
          <w:marLeft w:val="0"/>
          <w:marRight w:val="0"/>
          <w:marTop w:val="0"/>
          <w:marBottom w:val="0"/>
          <w:divBdr>
            <w:top w:val="none" w:sz="0" w:space="0" w:color="auto"/>
            <w:left w:val="none" w:sz="0" w:space="0" w:color="auto"/>
            <w:bottom w:val="none" w:sz="0" w:space="0" w:color="auto"/>
            <w:right w:val="none" w:sz="0" w:space="0" w:color="auto"/>
          </w:divBdr>
        </w:div>
        <w:div w:id="407121294">
          <w:marLeft w:val="0"/>
          <w:marRight w:val="0"/>
          <w:marTop w:val="0"/>
          <w:marBottom w:val="0"/>
          <w:divBdr>
            <w:top w:val="none" w:sz="0" w:space="0" w:color="auto"/>
            <w:left w:val="none" w:sz="0" w:space="0" w:color="auto"/>
            <w:bottom w:val="none" w:sz="0" w:space="0" w:color="auto"/>
            <w:right w:val="none" w:sz="0" w:space="0" w:color="auto"/>
          </w:divBdr>
        </w:div>
        <w:div w:id="432481965">
          <w:marLeft w:val="0"/>
          <w:marRight w:val="0"/>
          <w:marTop w:val="0"/>
          <w:marBottom w:val="0"/>
          <w:divBdr>
            <w:top w:val="none" w:sz="0" w:space="0" w:color="auto"/>
            <w:left w:val="none" w:sz="0" w:space="0" w:color="auto"/>
            <w:bottom w:val="none" w:sz="0" w:space="0" w:color="auto"/>
            <w:right w:val="none" w:sz="0" w:space="0" w:color="auto"/>
          </w:divBdr>
        </w:div>
        <w:div w:id="432631969">
          <w:marLeft w:val="0"/>
          <w:marRight w:val="0"/>
          <w:marTop w:val="0"/>
          <w:marBottom w:val="0"/>
          <w:divBdr>
            <w:top w:val="none" w:sz="0" w:space="0" w:color="auto"/>
            <w:left w:val="none" w:sz="0" w:space="0" w:color="auto"/>
            <w:bottom w:val="none" w:sz="0" w:space="0" w:color="auto"/>
            <w:right w:val="none" w:sz="0" w:space="0" w:color="auto"/>
          </w:divBdr>
        </w:div>
        <w:div w:id="438261030">
          <w:marLeft w:val="0"/>
          <w:marRight w:val="0"/>
          <w:marTop w:val="0"/>
          <w:marBottom w:val="0"/>
          <w:divBdr>
            <w:top w:val="none" w:sz="0" w:space="0" w:color="auto"/>
            <w:left w:val="none" w:sz="0" w:space="0" w:color="auto"/>
            <w:bottom w:val="none" w:sz="0" w:space="0" w:color="auto"/>
            <w:right w:val="none" w:sz="0" w:space="0" w:color="auto"/>
          </w:divBdr>
        </w:div>
        <w:div w:id="450248122">
          <w:marLeft w:val="0"/>
          <w:marRight w:val="0"/>
          <w:marTop w:val="0"/>
          <w:marBottom w:val="0"/>
          <w:divBdr>
            <w:top w:val="none" w:sz="0" w:space="0" w:color="auto"/>
            <w:left w:val="none" w:sz="0" w:space="0" w:color="auto"/>
            <w:bottom w:val="none" w:sz="0" w:space="0" w:color="auto"/>
            <w:right w:val="none" w:sz="0" w:space="0" w:color="auto"/>
          </w:divBdr>
        </w:div>
        <w:div w:id="454563513">
          <w:marLeft w:val="0"/>
          <w:marRight w:val="0"/>
          <w:marTop w:val="0"/>
          <w:marBottom w:val="0"/>
          <w:divBdr>
            <w:top w:val="none" w:sz="0" w:space="0" w:color="auto"/>
            <w:left w:val="none" w:sz="0" w:space="0" w:color="auto"/>
            <w:bottom w:val="none" w:sz="0" w:space="0" w:color="auto"/>
            <w:right w:val="none" w:sz="0" w:space="0" w:color="auto"/>
          </w:divBdr>
        </w:div>
        <w:div w:id="472868505">
          <w:marLeft w:val="0"/>
          <w:marRight w:val="0"/>
          <w:marTop w:val="0"/>
          <w:marBottom w:val="0"/>
          <w:divBdr>
            <w:top w:val="none" w:sz="0" w:space="0" w:color="auto"/>
            <w:left w:val="none" w:sz="0" w:space="0" w:color="auto"/>
            <w:bottom w:val="none" w:sz="0" w:space="0" w:color="auto"/>
            <w:right w:val="none" w:sz="0" w:space="0" w:color="auto"/>
          </w:divBdr>
        </w:div>
        <w:div w:id="483743081">
          <w:marLeft w:val="0"/>
          <w:marRight w:val="0"/>
          <w:marTop w:val="0"/>
          <w:marBottom w:val="0"/>
          <w:divBdr>
            <w:top w:val="none" w:sz="0" w:space="0" w:color="auto"/>
            <w:left w:val="none" w:sz="0" w:space="0" w:color="auto"/>
            <w:bottom w:val="none" w:sz="0" w:space="0" w:color="auto"/>
            <w:right w:val="none" w:sz="0" w:space="0" w:color="auto"/>
          </w:divBdr>
        </w:div>
        <w:div w:id="518080666">
          <w:marLeft w:val="0"/>
          <w:marRight w:val="0"/>
          <w:marTop w:val="0"/>
          <w:marBottom w:val="0"/>
          <w:divBdr>
            <w:top w:val="none" w:sz="0" w:space="0" w:color="auto"/>
            <w:left w:val="none" w:sz="0" w:space="0" w:color="auto"/>
            <w:bottom w:val="none" w:sz="0" w:space="0" w:color="auto"/>
            <w:right w:val="none" w:sz="0" w:space="0" w:color="auto"/>
          </w:divBdr>
        </w:div>
        <w:div w:id="528836839">
          <w:marLeft w:val="0"/>
          <w:marRight w:val="0"/>
          <w:marTop w:val="0"/>
          <w:marBottom w:val="0"/>
          <w:divBdr>
            <w:top w:val="none" w:sz="0" w:space="0" w:color="auto"/>
            <w:left w:val="none" w:sz="0" w:space="0" w:color="auto"/>
            <w:bottom w:val="none" w:sz="0" w:space="0" w:color="auto"/>
            <w:right w:val="none" w:sz="0" w:space="0" w:color="auto"/>
          </w:divBdr>
        </w:div>
        <w:div w:id="591162905">
          <w:marLeft w:val="0"/>
          <w:marRight w:val="0"/>
          <w:marTop w:val="0"/>
          <w:marBottom w:val="0"/>
          <w:divBdr>
            <w:top w:val="none" w:sz="0" w:space="0" w:color="auto"/>
            <w:left w:val="none" w:sz="0" w:space="0" w:color="auto"/>
            <w:bottom w:val="none" w:sz="0" w:space="0" w:color="auto"/>
            <w:right w:val="none" w:sz="0" w:space="0" w:color="auto"/>
          </w:divBdr>
        </w:div>
        <w:div w:id="598030902">
          <w:marLeft w:val="0"/>
          <w:marRight w:val="0"/>
          <w:marTop w:val="0"/>
          <w:marBottom w:val="0"/>
          <w:divBdr>
            <w:top w:val="none" w:sz="0" w:space="0" w:color="auto"/>
            <w:left w:val="none" w:sz="0" w:space="0" w:color="auto"/>
            <w:bottom w:val="none" w:sz="0" w:space="0" w:color="auto"/>
            <w:right w:val="none" w:sz="0" w:space="0" w:color="auto"/>
          </w:divBdr>
        </w:div>
        <w:div w:id="604075496">
          <w:marLeft w:val="0"/>
          <w:marRight w:val="0"/>
          <w:marTop w:val="0"/>
          <w:marBottom w:val="0"/>
          <w:divBdr>
            <w:top w:val="none" w:sz="0" w:space="0" w:color="auto"/>
            <w:left w:val="none" w:sz="0" w:space="0" w:color="auto"/>
            <w:bottom w:val="none" w:sz="0" w:space="0" w:color="auto"/>
            <w:right w:val="none" w:sz="0" w:space="0" w:color="auto"/>
          </w:divBdr>
        </w:div>
        <w:div w:id="612057508">
          <w:marLeft w:val="0"/>
          <w:marRight w:val="0"/>
          <w:marTop w:val="0"/>
          <w:marBottom w:val="0"/>
          <w:divBdr>
            <w:top w:val="none" w:sz="0" w:space="0" w:color="auto"/>
            <w:left w:val="none" w:sz="0" w:space="0" w:color="auto"/>
            <w:bottom w:val="none" w:sz="0" w:space="0" w:color="auto"/>
            <w:right w:val="none" w:sz="0" w:space="0" w:color="auto"/>
          </w:divBdr>
        </w:div>
        <w:div w:id="617562566">
          <w:marLeft w:val="0"/>
          <w:marRight w:val="0"/>
          <w:marTop w:val="0"/>
          <w:marBottom w:val="0"/>
          <w:divBdr>
            <w:top w:val="none" w:sz="0" w:space="0" w:color="auto"/>
            <w:left w:val="none" w:sz="0" w:space="0" w:color="auto"/>
            <w:bottom w:val="none" w:sz="0" w:space="0" w:color="auto"/>
            <w:right w:val="none" w:sz="0" w:space="0" w:color="auto"/>
          </w:divBdr>
        </w:div>
        <w:div w:id="623466208">
          <w:marLeft w:val="0"/>
          <w:marRight w:val="0"/>
          <w:marTop w:val="0"/>
          <w:marBottom w:val="0"/>
          <w:divBdr>
            <w:top w:val="none" w:sz="0" w:space="0" w:color="auto"/>
            <w:left w:val="none" w:sz="0" w:space="0" w:color="auto"/>
            <w:bottom w:val="none" w:sz="0" w:space="0" w:color="auto"/>
            <w:right w:val="none" w:sz="0" w:space="0" w:color="auto"/>
          </w:divBdr>
        </w:div>
        <w:div w:id="652950316">
          <w:marLeft w:val="0"/>
          <w:marRight w:val="0"/>
          <w:marTop w:val="0"/>
          <w:marBottom w:val="0"/>
          <w:divBdr>
            <w:top w:val="none" w:sz="0" w:space="0" w:color="auto"/>
            <w:left w:val="none" w:sz="0" w:space="0" w:color="auto"/>
            <w:bottom w:val="none" w:sz="0" w:space="0" w:color="auto"/>
            <w:right w:val="none" w:sz="0" w:space="0" w:color="auto"/>
          </w:divBdr>
        </w:div>
        <w:div w:id="678699542">
          <w:marLeft w:val="0"/>
          <w:marRight w:val="0"/>
          <w:marTop w:val="0"/>
          <w:marBottom w:val="0"/>
          <w:divBdr>
            <w:top w:val="none" w:sz="0" w:space="0" w:color="auto"/>
            <w:left w:val="none" w:sz="0" w:space="0" w:color="auto"/>
            <w:bottom w:val="none" w:sz="0" w:space="0" w:color="auto"/>
            <w:right w:val="none" w:sz="0" w:space="0" w:color="auto"/>
          </w:divBdr>
        </w:div>
        <w:div w:id="686444747">
          <w:marLeft w:val="0"/>
          <w:marRight w:val="0"/>
          <w:marTop w:val="0"/>
          <w:marBottom w:val="0"/>
          <w:divBdr>
            <w:top w:val="none" w:sz="0" w:space="0" w:color="auto"/>
            <w:left w:val="none" w:sz="0" w:space="0" w:color="auto"/>
            <w:bottom w:val="none" w:sz="0" w:space="0" w:color="auto"/>
            <w:right w:val="none" w:sz="0" w:space="0" w:color="auto"/>
          </w:divBdr>
        </w:div>
        <w:div w:id="687558219">
          <w:marLeft w:val="0"/>
          <w:marRight w:val="0"/>
          <w:marTop w:val="0"/>
          <w:marBottom w:val="0"/>
          <w:divBdr>
            <w:top w:val="none" w:sz="0" w:space="0" w:color="auto"/>
            <w:left w:val="none" w:sz="0" w:space="0" w:color="auto"/>
            <w:bottom w:val="none" w:sz="0" w:space="0" w:color="auto"/>
            <w:right w:val="none" w:sz="0" w:space="0" w:color="auto"/>
          </w:divBdr>
        </w:div>
        <w:div w:id="705370077">
          <w:marLeft w:val="0"/>
          <w:marRight w:val="0"/>
          <w:marTop w:val="0"/>
          <w:marBottom w:val="0"/>
          <w:divBdr>
            <w:top w:val="none" w:sz="0" w:space="0" w:color="auto"/>
            <w:left w:val="none" w:sz="0" w:space="0" w:color="auto"/>
            <w:bottom w:val="none" w:sz="0" w:space="0" w:color="auto"/>
            <w:right w:val="none" w:sz="0" w:space="0" w:color="auto"/>
          </w:divBdr>
        </w:div>
        <w:div w:id="713039379">
          <w:marLeft w:val="0"/>
          <w:marRight w:val="0"/>
          <w:marTop w:val="0"/>
          <w:marBottom w:val="0"/>
          <w:divBdr>
            <w:top w:val="none" w:sz="0" w:space="0" w:color="auto"/>
            <w:left w:val="none" w:sz="0" w:space="0" w:color="auto"/>
            <w:bottom w:val="none" w:sz="0" w:space="0" w:color="auto"/>
            <w:right w:val="none" w:sz="0" w:space="0" w:color="auto"/>
          </w:divBdr>
        </w:div>
        <w:div w:id="730538007">
          <w:marLeft w:val="0"/>
          <w:marRight w:val="0"/>
          <w:marTop w:val="0"/>
          <w:marBottom w:val="0"/>
          <w:divBdr>
            <w:top w:val="none" w:sz="0" w:space="0" w:color="auto"/>
            <w:left w:val="none" w:sz="0" w:space="0" w:color="auto"/>
            <w:bottom w:val="none" w:sz="0" w:space="0" w:color="auto"/>
            <w:right w:val="none" w:sz="0" w:space="0" w:color="auto"/>
          </w:divBdr>
        </w:div>
        <w:div w:id="731738093">
          <w:marLeft w:val="0"/>
          <w:marRight w:val="0"/>
          <w:marTop w:val="0"/>
          <w:marBottom w:val="0"/>
          <w:divBdr>
            <w:top w:val="none" w:sz="0" w:space="0" w:color="auto"/>
            <w:left w:val="none" w:sz="0" w:space="0" w:color="auto"/>
            <w:bottom w:val="none" w:sz="0" w:space="0" w:color="auto"/>
            <w:right w:val="none" w:sz="0" w:space="0" w:color="auto"/>
          </w:divBdr>
        </w:div>
        <w:div w:id="751705273">
          <w:marLeft w:val="0"/>
          <w:marRight w:val="0"/>
          <w:marTop w:val="0"/>
          <w:marBottom w:val="0"/>
          <w:divBdr>
            <w:top w:val="none" w:sz="0" w:space="0" w:color="auto"/>
            <w:left w:val="none" w:sz="0" w:space="0" w:color="auto"/>
            <w:bottom w:val="none" w:sz="0" w:space="0" w:color="auto"/>
            <w:right w:val="none" w:sz="0" w:space="0" w:color="auto"/>
          </w:divBdr>
        </w:div>
        <w:div w:id="755857171">
          <w:marLeft w:val="0"/>
          <w:marRight w:val="0"/>
          <w:marTop w:val="0"/>
          <w:marBottom w:val="0"/>
          <w:divBdr>
            <w:top w:val="none" w:sz="0" w:space="0" w:color="auto"/>
            <w:left w:val="none" w:sz="0" w:space="0" w:color="auto"/>
            <w:bottom w:val="none" w:sz="0" w:space="0" w:color="auto"/>
            <w:right w:val="none" w:sz="0" w:space="0" w:color="auto"/>
          </w:divBdr>
        </w:div>
        <w:div w:id="758723149">
          <w:marLeft w:val="0"/>
          <w:marRight w:val="0"/>
          <w:marTop w:val="0"/>
          <w:marBottom w:val="0"/>
          <w:divBdr>
            <w:top w:val="none" w:sz="0" w:space="0" w:color="auto"/>
            <w:left w:val="none" w:sz="0" w:space="0" w:color="auto"/>
            <w:bottom w:val="none" w:sz="0" w:space="0" w:color="auto"/>
            <w:right w:val="none" w:sz="0" w:space="0" w:color="auto"/>
          </w:divBdr>
        </w:div>
        <w:div w:id="764304274">
          <w:marLeft w:val="0"/>
          <w:marRight w:val="0"/>
          <w:marTop w:val="0"/>
          <w:marBottom w:val="0"/>
          <w:divBdr>
            <w:top w:val="none" w:sz="0" w:space="0" w:color="auto"/>
            <w:left w:val="none" w:sz="0" w:space="0" w:color="auto"/>
            <w:bottom w:val="none" w:sz="0" w:space="0" w:color="auto"/>
            <w:right w:val="none" w:sz="0" w:space="0" w:color="auto"/>
          </w:divBdr>
        </w:div>
        <w:div w:id="772290290">
          <w:marLeft w:val="0"/>
          <w:marRight w:val="0"/>
          <w:marTop w:val="0"/>
          <w:marBottom w:val="0"/>
          <w:divBdr>
            <w:top w:val="none" w:sz="0" w:space="0" w:color="auto"/>
            <w:left w:val="none" w:sz="0" w:space="0" w:color="auto"/>
            <w:bottom w:val="none" w:sz="0" w:space="0" w:color="auto"/>
            <w:right w:val="none" w:sz="0" w:space="0" w:color="auto"/>
          </w:divBdr>
        </w:div>
        <w:div w:id="778715687">
          <w:marLeft w:val="0"/>
          <w:marRight w:val="0"/>
          <w:marTop w:val="0"/>
          <w:marBottom w:val="0"/>
          <w:divBdr>
            <w:top w:val="none" w:sz="0" w:space="0" w:color="auto"/>
            <w:left w:val="none" w:sz="0" w:space="0" w:color="auto"/>
            <w:bottom w:val="none" w:sz="0" w:space="0" w:color="auto"/>
            <w:right w:val="none" w:sz="0" w:space="0" w:color="auto"/>
          </w:divBdr>
        </w:div>
        <w:div w:id="780035299">
          <w:marLeft w:val="0"/>
          <w:marRight w:val="0"/>
          <w:marTop w:val="0"/>
          <w:marBottom w:val="0"/>
          <w:divBdr>
            <w:top w:val="none" w:sz="0" w:space="0" w:color="auto"/>
            <w:left w:val="none" w:sz="0" w:space="0" w:color="auto"/>
            <w:bottom w:val="none" w:sz="0" w:space="0" w:color="auto"/>
            <w:right w:val="none" w:sz="0" w:space="0" w:color="auto"/>
          </w:divBdr>
        </w:div>
        <w:div w:id="784039264">
          <w:marLeft w:val="0"/>
          <w:marRight w:val="0"/>
          <w:marTop w:val="0"/>
          <w:marBottom w:val="0"/>
          <w:divBdr>
            <w:top w:val="none" w:sz="0" w:space="0" w:color="auto"/>
            <w:left w:val="none" w:sz="0" w:space="0" w:color="auto"/>
            <w:bottom w:val="none" w:sz="0" w:space="0" w:color="auto"/>
            <w:right w:val="none" w:sz="0" w:space="0" w:color="auto"/>
          </w:divBdr>
        </w:div>
        <w:div w:id="790435470">
          <w:marLeft w:val="0"/>
          <w:marRight w:val="0"/>
          <w:marTop w:val="0"/>
          <w:marBottom w:val="0"/>
          <w:divBdr>
            <w:top w:val="none" w:sz="0" w:space="0" w:color="auto"/>
            <w:left w:val="none" w:sz="0" w:space="0" w:color="auto"/>
            <w:bottom w:val="none" w:sz="0" w:space="0" w:color="auto"/>
            <w:right w:val="none" w:sz="0" w:space="0" w:color="auto"/>
          </w:divBdr>
        </w:div>
        <w:div w:id="821392780">
          <w:marLeft w:val="0"/>
          <w:marRight w:val="0"/>
          <w:marTop w:val="0"/>
          <w:marBottom w:val="0"/>
          <w:divBdr>
            <w:top w:val="none" w:sz="0" w:space="0" w:color="auto"/>
            <w:left w:val="none" w:sz="0" w:space="0" w:color="auto"/>
            <w:bottom w:val="none" w:sz="0" w:space="0" w:color="auto"/>
            <w:right w:val="none" w:sz="0" w:space="0" w:color="auto"/>
          </w:divBdr>
        </w:div>
        <w:div w:id="844320239">
          <w:marLeft w:val="0"/>
          <w:marRight w:val="0"/>
          <w:marTop w:val="0"/>
          <w:marBottom w:val="0"/>
          <w:divBdr>
            <w:top w:val="none" w:sz="0" w:space="0" w:color="auto"/>
            <w:left w:val="none" w:sz="0" w:space="0" w:color="auto"/>
            <w:bottom w:val="none" w:sz="0" w:space="0" w:color="auto"/>
            <w:right w:val="none" w:sz="0" w:space="0" w:color="auto"/>
          </w:divBdr>
        </w:div>
        <w:div w:id="849875240">
          <w:marLeft w:val="0"/>
          <w:marRight w:val="0"/>
          <w:marTop w:val="0"/>
          <w:marBottom w:val="0"/>
          <w:divBdr>
            <w:top w:val="none" w:sz="0" w:space="0" w:color="auto"/>
            <w:left w:val="none" w:sz="0" w:space="0" w:color="auto"/>
            <w:bottom w:val="none" w:sz="0" w:space="0" w:color="auto"/>
            <w:right w:val="none" w:sz="0" w:space="0" w:color="auto"/>
          </w:divBdr>
        </w:div>
        <w:div w:id="851798850">
          <w:marLeft w:val="0"/>
          <w:marRight w:val="0"/>
          <w:marTop w:val="0"/>
          <w:marBottom w:val="0"/>
          <w:divBdr>
            <w:top w:val="none" w:sz="0" w:space="0" w:color="auto"/>
            <w:left w:val="none" w:sz="0" w:space="0" w:color="auto"/>
            <w:bottom w:val="none" w:sz="0" w:space="0" w:color="auto"/>
            <w:right w:val="none" w:sz="0" w:space="0" w:color="auto"/>
          </w:divBdr>
        </w:div>
        <w:div w:id="854152746">
          <w:marLeft w:val="0"/>
          <w:marRight w:val="0"/>
          <w:marTop w:val="0"/>
          <w:marBottom w:val="0"/>
          <w:divBdr>
            <w:top w:val="none" w:sz="0" w:space="0" w:color="auto"/>
            <w:left w:val="none" w:sz="0" w:space="0" w:color="auto"/>
            <w:bottom w:val="none" w:sz="0" w:space="0" w:color="auto"/>
            <w:right w:val="none" w:sz="0" w:space="0" w:color="auto"/>
          </w:divBdr>
        </w:div>
        <w:div w:id="861094627">
          <w:marLeft w:val="0"/>
          <w:marRight w:val="0"/>
          <w:marTop w:val="0"/>
          <w:marBottom w:val="0"/>
          <w:divBdr>
            <w:top w:val="none" w:sz="0" w:space="0" w:color="auto"/>
            <w:left w:val="none" w:sz="0" w:space="0" w:color="auto"/>
            <w:bottom w:val="none" w:sz="0" w:space="0" w:color="auto"/>
            <w:right w:val="none" w:sz="0" w:space="0" w:color="auto"/>
          </w:divBdr>
        </w:div>
        <w:div w:id="864056168">
          <w:marLeft w:val="0"/>
          <w:marRight w:val="0"/>
          <w:marTop w:val="0"/>
          <w:marBottom w:val="0"/>
          <w:divBdr>
            <w:top w:val="none" w:sz="0" w:space="0" w:color="auto"/>
            <w:left w:val="none" w:sz="0" w:space="0" w:color="auto"/>
            <w:bottom w:val="none" w:sz="0" w:space="0" w:color="auto"/>
            <w:right w:val="none" w:sz="0" w:space="0" w:color="auto"/>
          </w:divBdr>
        </w:div>
        <w:div w:id="877426570">
          <w:marLeft w:val="0"/>
          <w:marRight w:val="0"/>
          <w:marTop w:val="0"/>
          <w:marBottom w:val="0"/>
          <w:divBdr>
            <w:top w:val="none" w:sz="0" w:space="0" w:color="auto"/>
            <w:left w:val="none" w:sz="0" w:space="0" w:color="auto"/>
            <w:bottom w:val="none" w:sz="0" w:space="0" w:color="auto"/>
            <w:right w:val="none" w:sz="0" w:space="0" w:color="auto"/>
          </w:divBdr>
        </w:div>
        <w:div w:id="877857418">
          <w:marLeft w:val="0"/>
          <w:marRight w:val="0"/>
          <w:marTop w:val="0"/>
          <w:marBottom w:val="0"/>
          <w:divBdr>
            <w:top w:val="none" w:sz="0" w:space="0" w:color="auto"/>
            <w:left w:val="none" w:sz="0" w:space="0" w:color="auto"/>
            <w:bottom w:val="none" w:sz="0" w:space="0" w:color="auto"/>
            <w:right w:val="none" w:sz="0" w:space="0" w:color="auto"/>
          </w:divBdr>
        </w:div>
        <w:div w:id="893547282">
          <w:marLeft w:val="0"/>
          <w:marRight w:val="0"/>
          <w:marTop w:val="0"/>
          <w:marBottom w:val="0"/>
          <w:divBdr>
            <w:top w:val="none" w:sz="0" w:space="0" w:color="auto"/>
            <w:left w:val="none" w:sz="0" w:space="0" w:color="auto"/>
            <w:bottom w:val="none" w:sz="0" w:space="0" w:color="auto"/>
            <w:right w:val="none" w:sz="0" w:space="0" w:color="auto"/>
          </w:divBdr>
        </w:div>
        <w:div w:id="904293275">
          <w:marLeft w:val="0"/>
          <w:marRight w:val="0"/>
          <w:marTop w:val="0"/>
          <w:marBottom w:val="0"/>
          <w:divBdr>
            <w:top w:val="none" w:sz="0" w:space="0" w:color="auto"/>
            <w:left w:val="none" w:sz="0" w:space="0" w:color="auto"/>
            <w:bottom w:val="none" w:sz="0" w:space="0" w:color="auto"/>
            <w:right w:val="none" w:sz="0" w:space="0" w:color="auto"/>
          </w:divBdr>
        </w:div>
        <w:div w:id="924997309">
          <w:marLeft w:val="0"/>
          <w:marRight w:val="0"/>
          <w:marTop w:val="0"/>
          <w:marBottom w:val="0"/>
          <w:divBdr>
            <w:top w:val="none" w:sz="0" w:space="0" w:color="auto"/>
            <w:left w:val="none" w:sz="0" w:space="0" w:color="auto"/>
            <w:bottom w:val="none" w:sz="0" w:space="0" w:color="auto"/>
            <w:right w:val="none" w:sz="0" w:space="0" w:color="auto"/>
          </w:divBdr>
        </w:div>
        <w:div w:id="932321973">
          <w:marLeft w:val="0"/>
          <w:marRight w:val="0"/>
          <w:marTop w:val="0"/>
          <w:marBottom w:val="0"/>
          <w:divBdr>
            <w:top w:val="none" w:sz="0" w:space="0" w:color="auto"/>
            <w:left w:val="none" w:sz="0" w:space="0" w:color="auto"/>
            <w:bottom w:val="none" w:sz="0" w:space="0" w:color="auto"/>
            <w:right w:val="none" w:sz="0" w:space="0" w:color="auto"/>
          </w:divBdr>
        </w:div>
        <w:div w:id="939533359">
          <w:marLeft w:val="0"/>
          <w:marRight w:val="0"/>
          <w:marTop w:val="0"/>
          <w:marBottom w:val="0"/>
          <w:divBdr>
            <w:top w:val="none" w:sz="0" w:space="0" w:color="auto"/>
            <w:left w:val="none" w:sz="0" w:space="0" w:color="auto"/>
            <w:bottom w:val="none" w:sz="0" w:space="0" w:color="auto"/>
            <w:right w:val="none" w:sz="0" w:space="0" w:color="auto"/>
          </w:divBdr>
        </w:div>
        <w:div w:id="953639548">
          <w:marLeft w:val="0"/>
          <w:marRight w:val="0"/>
          <w:marTop w:val="0"/>
          <w:marBottom w:val="0"/>
          <w:divBdr>
            <w:top w:val="none" w:sz="0" w:space="0" w:color="auto"/>
            <w:left w:val="none" w:sz="0" w:space="0" w:color="auto"/>
            <w:bottom w:val="none" w:sz="0" w:space="0" w:color="auto"/>
            <w:right w:val="none" w:sz="0" w:space="0" w:color="auto"/>
          </w:divBdr>
        </w:div>
        <w:div w:id="964846326">
          <w:marLeft w:val="0"/>
          <w:marRight w:val="0"/>
          <w:marTop w:val="0"/>
          <w:marBottom w:val="0"/>
          <w:divBdr>
            <w:top w:val="none" w:sz="0" w:space="0" w:color="auto"/>
            <w:left w:val="none" w:sz="0" w:space="0" w:color="auto"/>
            <w:bottom w:val="none" w:sz="0" w:space="0" w:color="auto"/>
            <w:right w:val="none" w:sz="0" w:space="0" w:color="auto"/>
          </w:divBdr>
        </w:div>
        <w:div w:id="969241084">
          <w:marLeft w:val="0"/>
          <w:marRight w:val="0"/>
          <w:marTop w:val="0"/>
          <w:marBottom w:val="0"/>
          <w:divBdr>
            <w:top w:val="none" w:sz="0" w:space="0" w:color="auto"/>
            <w:left w:val="none" w:sz="0" w:space="0" w:color="auto"/>
            <w:bottom w:val="none" w:sz="0" w:space="0" w:color="auto"/>
            <w:right w:val="none" w:sz="0" w:space="0" w:color="auto"/>
          </w:divBdr>
        </w:div>
        <w:div w:id="974721625">
          <w:marLeft w:val="0"/>
          <w:marRight w:val="0"/>
          <w:marTop w:val="0"/>
          <w:marBottom w:val="0"/>
          <w:divBdr>
            <w:top w:val="none" w:sz="0" w:space="0" w:color="auto"/>
            <w:left w:val="none" w:sz="0" w:space="0" w:color="auto"/>
            <w:bottom w:val="none" w:sz="0" w:space="0" w:color="auto"/>
            <w:right w:val="none" w:sz="0" w:space="0" w:color="auto"/>
          </w:divBdr>
        </w:div>
        <w:div w:id="999038289">
          <w:marLeft w:val="0"/>
          <w:marRight w:val="0"/>
          <w:marTop w:val="0"/>
          <w:marBottom w:val="0"/>
          <w:divBdr>
            <w:top w:val="none" w:sz="0" w:space="0" w:color="auto"/>
            <w:left w:val="none" w:sz="0" w:space="0" w:color="auto"/>
            <w:bottom w:val="none" w:sz="0" w:space="0" w:color="auto"/>
            <w:right w:val="none" w:sz="0" w:space="0" w:color="auto"/>
          </w:divBdr>
        </w:div>
        <w:div w:id="1019509202">
          <w:marLeft w:val="0"/>
          <w:marRight w:val="0"/>
          <w:marTop w:val="0"/>
          <w:marBottom w:val="0"/>
          <w:divBdr>
            <w:top w:val="none" w:sz="0" w:space="0" w:color="auto"/>
            <w:left w:val="none" w:sz="0" w:space="0" w:color="auto"/>
            <w:bottom w:val="none" w:sz="0" w:space="0" w:color="auto"/>
            <w:right w:val="none" w:sz="0" w:space="0" w:color="auto"/>
          </w:divBdr>
        </w:div>
        <w:div w:id="1024480972">
          <w:marLeft w:val="0"/>
          <w:marRight w:val="0"/>
          <w:marTop w:val="0"/>
          <w:marBottom w:val="0"/>
          <w:divBdr>
            <w:top w:val="none" w:sz="0" w:space="0" w:color="auto"/>
            <w:left w:val="none" w:sz="0" w:space="0" w:color="auto"/>
            <w:bottom w:val="none" w:sz="0" w:space="0" w:color="auto"/>
            <w:right w:val="none" w:sz="0" w:space="0" w:color="auto"/>
          </w:divBdr>
        </w:div>
        <w:div w:id="1067993718">
          <w:marLeft w:val="0"/>
          <w:marRight w:val="0"/>
          <w:marTop w:val="0"/>
          <w:marBottom w:val="0"/>
          <w:divBdr>
            <w:top w:val="none" w:sz="0" w:space="0" w:color="auto"/>
            <w:left w:val="none" w:sz="0" w:space="0" w:color="auto"/>
            <w:bottom w:val="none" w:sz="0" w:space="0" w:color="auto"/>
            <w:right w:val="none" w:sz="0" w:space="0" w:color="auto"/>
          </w:divBdr>
        </w:div>
        <w:div w:id="1095368890">
          <w:marLeft w:val="0"/>
          <w:marRight w:val="0"/>
          <w:marTop w:val="0"/>
          <w:marBottom w:val="0"/>
          <w:divBdr>
            <w:top w:val="none" w:sz="0" w:space="0" w:color="auto"/>
            <w:left w:val="none" w:sz="0" w:space="0" w:color="auto"/>
            <w:bottom w:val="none" w:sz="0" w:space="0" w:color="auto"/>
            <w:right w:val="none" w:sz="0" w:space="0" w:color="auto"/>
          </w:divBdr>
        </w:div>
        <w:div w:id="1133519692">
          <w:marLeft w:val="0"/>
          <w:marRight w:val="0"/>
          <w:marTop w:val="0"/>
          <w:marBottom w:val="0"/>
          <w:divBdr>
            <w:top w:val="none" w:sz="0" w:space="0" w:color="auto"/>
            <w:left w:val="none" w:sz="0" w:space="0" w:color="auto"/>
            <w:bottom w:val="none" w:sz="0" w:space="0" w:color="auto"/>
            <w:right w:val="none" w:sz="0" w:space="0" w:color="auto"/>
          </w:divBdr>
        </w:div>
        <w:div w:id="1141850741">
          <w:marLeft w:val="0"/>
          <w:marRight w:val="0"/>
          <w:marTop w:val="0"/>
          <w:marBottom w:val="0"/>
          <w:divBdr>
            <w:top w:val="none" w:sz="0" w:space="0" w:color="auto"/>
            <w:left w:val="none" w:sz="0" w:space="0" w:color="auto"/>
            <w:bottom w:val="none" w:sz="0" w:space="0" w:color="auto"/>
            <w:right w:val="none" w:sz="0" w:space="0" w:color="auto"/>
          </w:divBdr>
        </w:div>
        <w:div w:id="1146312910">
          <w:marLeft w:val="0"/>
          <w:marRight w:val="0"/>
          <w:marTop w:val="0"/>
          <w:marBottom w:val="0"/>
          <w:divBdr>
            <w:top w:val="none" w:sz="0" w:space="0" w:color="auto"/>
            <w:left w:val="none" w:sz="0" w:space="0" w:color="auto"/>
            <w:bottom w:val="none" w:sz="0" w:space="0" w:color="auto"/>
            <w:right w:val="none" w:sz="0" w:space="0" w:color="auto"/>
          </w:divBdr>
        </w:div>
        <w:div w:id="1149790167">
          <w:marLeft w:val="0"/>
          <w:marRight w:val="0"/>
          <w:marTop w:val="0"/>
          <w:marBottom w:val="0"/>
          <w:divBdr>
            <w:top w:val="none" w:sz="0" w:space="0" w:color="auto"/>
            <w:left w:val="none" w:sz="0" w:space="0" w:color="auto"/>
            <w:bottom w:val="none" w:sz="0" w:space="0" w:color="auto"/>
            <w:right w:val="none" w:sz="0" w:space="0" w:color="auto"/>
          </w:divBdr>
        </w:div>
        <w:div w:id="1180631257">
          <w:marLeft w:val="0"/>
          <w:marRight w:val="0"/>
          <w:marTop w:val="0"/>
          <w:marBottom w:val="0"/>
          <w:divBdr>
            <w:top w:val="none" w:sz="0" w:space="0" w:color="auto"/>
            <w:left w:val="none" w:sz="0" w:space="0" w:color="auto"/>
            <w:bottom w:val="none" w:sz="0" w:space="0" w:color="auto"/>
            <w:right w:val="none" w:sz="0" w:space="0" w:color="auto"/>
          </w:divBdr>
        </w:div>
        <w:div w:id="1182281015">
          <w:marLeft w:val="0"/>
          <w:marRight w:val="0"/>
          <w:marTop w:val="0"/>
          <w:marBottom w:val="0"/>
          <w:divBdr>
            <w:top w:val="none" w:sz="0" w:space="0" w:color="auto"/>
            <w:left w:val="none" w:sz="0" w:space="0" w:color="auto"/>
            <w:bottom w:val="none" w:sz="0" w:space="0" w:color="auto"/>
            <w:right w:val="none" w:sz="0" w:space="0" w:color="auto"/>
          </w:divBdr>
        </w:div>
        <w:div w:id="1182360924">
          <w:marLeft w:val="0"/>
          <w:marRight w:val="0"/>
          <w:marTop w:val="0"/>
          <w:marBottom w:val="0"/>
          <w:divBdr>
            <w:top w:val="none" w:sz="0" w:space="0" w:color="auto"/>
            <w:left w:val="none" w:sz="0" w:space="0" w:color="auto"/>
            <w:bottom w:val="none" w:sz="0" w:space="0" w:color="auto"/>
            <w:right w:val="none" w:sz="0" w:space="0" w:color="auto"/>
          </w:divBdr>
        </w:div>
        <w:div w:id="1208758448">
          <w:marLeft w:val="0"/>
          <w:marRight w:val="0"/>
          <w:marTop w:val="0"/>
          <w:marBottom w:val="0"/>
          <w:divBdr>
            <w:top w:val="none" w:sz="0" w:space="0" w:color="auto"/>
            <w:left w:val="none" w:sz="0" w:space="0" w:color="auto"/>
            <w:bottom w:val="none" w:sz="0" w:space="0" w:color="auto"/>
            <w:right w:val="none" w:sz="0" w:space="0" w:color="auto"/>
          </w:divBdr>
        </w:div>
        <w:div w:id="1215770546">
          <w:marLeft w:val="0"/>
          <w:marRight w:val="0"/>
          <w:marTop w:val="0"/>
          <w:marBottom w:val="0"/>
          <w:divBdr>
            <w:top w:val="none" w:sz="0" w:space="0" w:color="auto"/>
            <w:left w:val="none" w:sz="0" w:space="0" w:color="auto"/>
            <w:bottom w:val="none" w:sz="0" w:space="0" w:color="auto"/>
            <w:right w:val="none" w:sz="0" w:space="0" w:color="auto"/>
          </w:divBdr>
        </w:div>
        <w:div w:id="1232155564">
          <w:marLeft w:val="0"/>
          <w:marRight w:val="0"/>
          <w:marTop w:val="0"/>
          <w:marBottom w:val="0"/>
          <w:divBdr>
            <w:top w:val="none" w:sz="0" w:space="0" w:color="auto"/>
            <w:left w:val="none" w:sz="0" w:space="0" w:color="auto"/>
            <w:bottom w:val="none" w:sz="0" w:space="0" w:color="auto"/>
            <w:right w:val="none" w:sz="0" w:space="0" w:color="auto"/>
          </w:divBdr>
        </w:div>
        <w:div w:id="1240016133">
          <w:marLeft w:val="0"/>
          <w:marRight w:val="0"/>
          <w:marTop w:val="0"/>
          <w:marBottom w:val="0"/>
          <w:divBdr>
            <w:top w:val="none" w:sz="0" w:space="0" w:color="auto"/>
            <w:left w:val="none" w:sz="0" w:space="0" w:color="auto"/>
            <w:bottom w:val="none" w:sz="0" w:space="0" w:color="auto"/>
            <w:right w:val="none" w:sz="0" w:space="0" w:color="auto"/>
          </w:divBdr>
        </w:div>
        <w:div w:id="1242985431">
          <w:marLeft w:val="0"/>
          <w:marRight w:val="0"/>
          <w:marTop w:val="0"/>
          <w:marBottom w:val="0"/>
          <w:divBdr>
            <w:top w:val="none" w:sz="0" w:space="0" w:color="auto"/>
            <w:left w:val="none" w:sz="0" w:space="0" w:color="auto"/>
            <w:bottom w:val="none" w:sz="0" w:space="0" w:color="auto"/>
            <w:right w:val="none" w:sz="0" w:space="0" w:color="auto"/>
          </w:divBdr>
        </w:div>
        <w:div w:id="1250039228">
          <w:marLeft w:val="0"/>
          <w:marRight w:val="0"/>
          <w:marTop w:val="0"/>
          <w:marBottom w:val="0"/>
          <w:divBdr>
            <w:top w:val="none" w:sz="0" w:space="0" w:color="auto"/>
            <w:left w:val="none" w:sz="0" w:space="0" w:color="auto"/>
            <w:bottom w:val="none" w:sz="0" w:space="0" w:color="auto"/>
            <w:right w:val="none" w:sz="0" w:space="0" w:color="auto"/>
          </w:divBdr>
        </w:div>
        <w:div w:id="1252278451">
          <w:marLeft w:val="0"/>
          <w:marRight w:val="0"/>
          <w:marTop w:val="0"/>
          <w:marBottom w:val="0"/>
          <w:divBdr>
            <w:top w:val="none" w:sz="0" w:space="0" w:color="auto"/>
            <w:left w:val="none" w:sz="0" w:space="0" w:color="auto"/>
            <w:bottom w:val="none" w:sz="0" w:space="0" w:color="auto"/>
            <w:right w:val="none" w:sz="0" w:space="0" w:color="auto"/>
          </w:divBdr>
        </w:div>
        <w:div w:id="1258366977">
          <w:marLeft w:val="0"/>
          <w:marRight w:val="0"/>
          <w:marTop w:val="0"/>
          <w:marBottom w:val="0"/>
          <w:divBdr>
            <w:top w:val="none" w:sz="0" w:space="0" w:color="auto"/>
            <w:left w:val="none" w:sz="0" w:space="0" w:color="auto"/>
            <w:bottom w:val="none" w:sz="0" w:space="0" w:color="auto"/>
            <w:right w:val="none" w:sz="0" w:space="0" w:color="auto"/>
          </w:divBdr>
        </w:div>
        <w:div w:id="1262451167">
          <w:marLeft w:val="0"/>
          <w:marRight w:val="0"/>
          <w:marTop w:val="0"/>
          <w:marBottom w:val="0"/>
          <w:divBdr>
            <w:top w:val="none" w:sz="0" w:space="0" w:color="auto"/>
            <w:left w:val="none" w:sz="0" w:space="0" w:color="auto"/>
            <w:bottom w:val="none" w:sz="0" w:space="0" w:color="auto"/>
            <w:right w:val="none" w:sz="0" w:space="0" w:color="auto"/>
          </w:divBdr>
        </w:div>
        <w:div w:id="1270625038">
          <w:marLeft w:val="0"/>
          <w:marRight w:val="0"/>
          <w:marTop w:val="0"/>
          <w:marBottom w:val="0"/>
          <w:divBdr>
            <w:top w:val="none" w:sz="0" w:space="0" w:color="auto"/>
            <w:left w:val="none" w:sz="0" w:space="0" w:color="auto"/>
            <w:bottom w:val="none" w:sz="0" w:space="0" w:color="auto"/>
            <w:right w:val="none" w:sz="0" w:space="0" w:color="auto"/>
          </w:divBdr>
        </w:div>
        <w:div w:id="1274482588">
          <w:marLeft w:val="0"/>
          <w:marRight w:val="0"/>
          <w:marTop w:val="0"/>
          <w:marBottom w:val="0"/>
          <w:divBdr>
            <w:top w:val="none" w:sz="0" w:space="0" w:color="auto"/>
            <w:left w:val="none" w:sz="0" w:space="0" w:color="auto"/>
            <w:bottom w:val="none" w:sz="0" w:space="0" w:color="auto"/>
            <w:right w:val="none" w:sz="0" w:space="0" w:color="auto"/>
          </w:divBdr>
        </w:div>
        <w:div w:id="1286624312">
          <w:marLeft w:val="0"/>
          <w:marRight w:val="0"/>
          <w:marTop w:val="0"/>
          <w:marBottom w:val="0"/>
          <w:divBdr>
            <w:top w:val="none" w:sz="0" w:space="0" w:color="auto"/>
            <w:left w:val="none" w:sz="0" w:space="0" w:color="auto"/>
            <w:bottom w:val="none" w:sz="0" w:space="0" w:color="auto"/>
            <w:right w:val="none" w:sz="0" w:space="0" w:color="auto"/>
          </w:divBdr>
        </w:div>
        <w:div w:id="1287391670">
          <w:marLeft w:val="0"/>
          <w:marRight w:val="0"/>
          <w:marTop w:val="0"/>
          <w:marBottom w:val="0"/>
          <w:divBdr>
            <w:top w:val="none" w:sz="0" w:space="0" w:color="auto"/>
            <w:left w:val="none" w:sz="0" w:space="0" w:color="auto"/>
            <w:bottom w:val="none" w:sz="0" w:space="0" w:color="auto"/>
            <w:right w:val="none" w:sz="0" w:space="0" w:color="auto"/>
          </w:divBdr>
        </w:div>
        <w:div w:id="1287658368">
          <w:marLeft w:val="0"/>
          <w:marRight w:val="0"/>
          <w:marTop w:val="0"/>
          <w:marBottom w:val="0"/>
          <w:divBdr>
            <w:top w:val="none" w:sz="0" w:space="0" w:color="auto"/>
            <w:left w:val="none" w:sz="0" w:space="0" w:color="auto"/>
            <w:bottom w:val="none" w:sz="0" w:space="0" w:color="auto"/>
            <w:right w:val="none" w:sz="0" w:space="0" w:color="auto"/>
          </w:divBdr>
        </w:div>
        <w:div w:id="1300722825">
          <w:marLeft w:val="0"/>
          <w:marRight w:val="0"/>
          <w:marTop w:val="0"/>
          <w:marBottom w:val="0"/>
          <w:divBdr>
            <w:top w:val="none" w:sz="0" w:space="0" w:color="auto"/>
            <w:left w:val="none" w:sz="0" w:space="0" w:color="auto"/>
            <w:bottom w:val="none" w:sz="0" w:space="0" w:color="auto"/>
            <w:right w:val="none" w:sz="0" w:space="0" w:color="auto"/>
          </w:divBdr>
        </w:div>
        <w:div w:id="1305544307">
          <w:marLeft w:val="0"/>
          <w:marRight w:val="0"/>
          <w:marTop w:val="0"/>
          <w:marBottom w:val="0"/>
          <w:divBdr>
            <w:top w:val="none" w:sz="0" w:space="0" w:color="auto"/>
            <w:left w:val="none" w:sz="0" w:space="0" w:color="auto"/>
            <w:bottom w:val="none" w:sz="0" w:space="0" w:color="auto"/>
            <w:right w:val="none" w:sz="0" w:space="0" w:color="auto"/>
          </w:divBdr>
        </w:div>
        <w:div w:id="1314917472">
          <w:marLeft w:val="0"/>
          <w:marRight w:val="0"/>
          <w:marTop w:val="0"/>
          <w:marBottom w:val="0"/>
          <w:divBdr>
            <w:top w:val="none" w:sz="0" w:space="0" w:color="auto"/>
            <w:left w:val="none" w:sz="0" w:space="0" w:color="auto"/>
            <w:bottom w:val="none" w:sz="0" w:space="0" w:color="auto"/>
            <w:right w:val="none" w:sz="0" w:space="0" w:color="auto"/>
          </w:divBdr>
        </w:div>
        <w:div w:id="1332101078">
          <w:marLeft w:val="0"/>
          <w:marRight w:val="0"/>
          <w:marTop w:val="0"/>
          <w:marBottom w:val="0"/>
          <w:divBdr>
            <w:top w:val="none" w:sz="0" w:space="0" w:color="auto"/>
            <w:left w:val="none" w:sz="0" w:space="0" w:color="auto"/>
            <w:bottom w:val="none" w:sz="0" w:space="0" w:color="auto"/>
            <w:right w:val="none" w:sz="0" w:space="0" w:color="auto"/>
          </w:divBdr>
        </w:div>
        <w:div w:id="1338654065">
          <w:marLeft w:val="0"/>
          <w:marRight w:val="0"/>
          <w:marTop w:val="0"/>
          <w:marBottom w:val="0"/>
          <w:divBdr>
            <w:top w:val="none" w:sz="0" w:space="0" w:color="auto"/>
            <w:left w:val="none" w:sz="0" w:space="0" w:color="auto"/>
            <w:bottom w:val="none" w:sz="0" w:space="0" w:color="auto"/>
            <w:right w:val="none" w:sz="0" w:space="0" w:color="auto"/>
          </w:divBdr>
        </w:div>
        <w:div w:id="1359550805">
          <w:marLeft w:val="0"/>
          <w:marRight w:val="0"/>
          <w:marTop w:val="0"/>
          <w:marBottom w:val="0"/>
          <w:divBdr>
            <w:top w:val="none" w:sz="0" w:space="0" w:color="auto"/>
            <w:left w:val="none" w:sz="0" w:space="0" w:color="auto"/>
            <w:bottom w:val="none" w:sz="0" w:space="0" w:color="auto"/>
            <w:right w:val="none" w:sz="0" w:space="0" w:color="auto"/>
          </w:divBdr>
        </w:div>
        <w:div w:id="1389645345">
          <w:marLeft w:val="0"/>
          <w:marRight w:val="0"/>
          <w:marTop w:val="0"/>
          <w:marBottom w:val="0"/>
          <w:divBdr>
            <w:top w:val="none" w:sz="0" w:space="0" w:color="auto"/>
            <w:left w:val="none" w:sz="0" w:space="0" w:color="auto"/>
            <w:bottom w:val="none" w:sz="0" w:space="0" w:color="auto"/>
            <w:right w:val="none" w:sz="0" w:space="0" w:color="auto"/>
          </w:divBdr>
        </w:div>
        <w:div w:id="1398089386">
          <w:marLeft w:val="0"/>
          <w:marRight w:val="0"/>
          <w:marTop w:val="0"/>
          <w:marBottom w:val="0"/>
          <w:divBdr>
            <w:top w:val="none" w:sz="0" w:space="0" w:color="auto"/>
            <w:left w:val="none" w:sz="0" w:space="0" w:color="auto"/>
            <w:bottom w:val="none" w:sz="0" w:space="0" w:color="auto"/>
            <w:right w:val="none" w:sz="0" w:space="0" w:color="auto"/>
          </w:divBdr>
        </w:div>
        <w:div w:id="1451974368">
          <w:marLeft w:val="0"/>
          <w:marRight w:val="0"/>
          <w:marTop w:val="0"/>
          <w:marBottom w:val="0"/>
          <w:divBdr>
            <w:top w:val="none" w:sz="0" w:space="0" w:color="auto"/>
            <w:left w:val="none" w:sz="0" w:space="0" w:color="auto"/>
            <w:bottom w:val="none" w:sz="0" w:space="0" w:color="auto"/>
            <w:right w:val="none" w:sz="0" w:space="0" w:color="auto"/>
          </w:divBdr>
        </w:div>
        <w:div w:id="1454522681">
          <w:marLeft w:val="0"/>
          <w:marRight w:val="0"/>
          <w:marTop w:val="0"/>
          <w:marBottom w:val="0"/>
          <w:divBdr>
            <w:top w:val="none" w:sz="0" w:space="0" w:color="auto"/>
            <w:left w:val="none" w:sz="0" w:space="0" w:color="auto"/>
            <w:bottom w:val="none" w:sz="0" w:space="0" w:color="auto"/>
            <w:right w:val="none" w:sz="0" w:space="0" w:color="auto"/>
          </w:divBdr>
        </w:div>
        <w:div w:id="1454979445">
          <w:marLeft w:val="0"/>
          <w:marRight w:val="0"/>
          <w:marTop w:val="0"/>
          <w:marBottom w:val="0"/>
          <w:divBdr>
            <w:top w:val="none" w:sz="0" w:space="0" w:color="auto"/>
            <w:left w:val="none" w:sz="0" w:space="0" w:color="auto"/>
            <w:bottom w:val="none" w:sz="0" w:space="0" w:color="auto"/>
            <w:right w:val="none" w:sz="0" w:space="0" w:color="auto"/>
          </w:divBdr>
        </w:div>
        <w:div w:id="1476069683">
          <w:marLeft w:val="0"/>
          <w:marRight w:val="0"/>
          <w:marTop w:val="0"/>
          <w:marBottom w:val="0"/>
          <w:divBdr>
            <w:top w:val="none" w:sz="0" w:space="0" w:color="auto"/>
            <w:left w:val="none" w:sz="0" w:space="0" w:color="auto"/>
            <w:bottom w:val="none" w:sz="0" w:space="0" w:color="auto"/>
            <w:right w:val="none" w:sz="0" w:space="0" w:color="auto"/>
          </w:divBdr>
        </w:div>
        <w:div w:id="1517575450">
          <w:marLeft w:val="0"/>
          <w:marRight w:val="0"/>
          <w:marTop w:val="0"/>
          <w:marBottom w:val="0"/>
          <w:divBdr>
            <w:top w:val="none" w:sz="0" w:space="0" w:color="auto"/>
            <w:left w:val="none" w:sz="0" w:space="0" w:color="auto"/>
            <w:bottom w:val="none" w:sz="0" w:space="0" w:color="auto"/>
            <w:right w:val="none" w:sz="0" w:space="0" w:color="auto"/>
          </w:divBdr>
        </w:div>
        <w:div w:id="1541894943">
          <w:marLeft w:val="0"/>
          <w:marRight w:val="0"/>
          <w:marTop w:val="0"/>
          <w:marBottom w:val="0"/>
          <w:divBdr>
            <w:top w:val="none" w:sz="0" w:space="0" w:color="auto"/>
            <w:left w:val="none" w:sz="0" w:space="0" w:color="auto"/>
            <w:bottom w:val="none" w:sz="0" w:space="0" w:color="auto"/>
            <w:right w:val="none" w:sz="0" w:space="0" w:color="auto"/>
          </w:divBdr>
        </w:div>
        <w:div w:id="1548177946">
          <w:marLeft w:val="0"/>
          <w:marRight w:val="0"/>
          <w:marTop w:val="0"/>
          <w:marBottom w:val="0"/>
          <w:divBdr>
            <w:top w:val="none" w:sz="0" w:space="0" w:color="auto"/>
            <w:left w:val="none" w:sz="0" w:space="0" w:color="auto"/>
            <w:bottom w:val="none" w:sz="0" w:space="0" w:color="auto"/>
            <w:right w:val="none" w:sz="0" w:space="0" w:color="auto"/>
          </w:divBdr>
        </w:div>
        <w:div w:id="1551262249">
          <w:marLeft w:val="0"/>
          <w:marRight w:val="0"/>
          <w:marTop w:val="0"/>
          <w:marBottom w:val="0"/>
          <w:divBdr>
            <w:top w:val="none" w:sz="0" w:space="0" w:color="auto"/>
            <w:left w:val="none" w:sz="0" w:space="0" w:color="auto"/>
            <w:bottom w:val="none" w:sz="0" w:space="0" w:color="auto"/>
            <w:right w:val="none" w:sz="0" w:space="0" w:color="auto"/>
          </w:divBdr>
        </w:div>
        <w:div w:id="1552418202">
          <w:marLeft w:val="0"/>
          <w:marRight w:val="0"/>
          <w:marTop w:val="0"/>
          <w:marBottom w:val="0"/>
          <w:divBdr>
            <w:top w:val="none" w:sz="0" w:space="0" w:color="auto"/>
            <w:left w:val="none" w:sz="0" w:space="0" w:color="auto"/>
            <w:bottom w:val="none" w:sz="0" w:space="0" w:color="auto"/>
            <w:right w:val="none" w:sz="0" w:space="0" w:color="auto"/>
          </w:divBdr>
        </w:div>
        <w:div w:id="1601991353">
          <w:marLeft w:val="0"/>
          <w:marRight w:val="0"/>
          <w:marTop w:val="0"/>
          <w:marBottom w:val="0"/>
          <w:divBdr>
            <w:top w:val="none" w:sz="0" w:space="0" w:color="auto"/>
            <w:left w:val="none" w:sz="0" w:space="0" w:color="auto"/>
            <w:bottom w:val="none" w:sz="0" w:space="0" w:color="auto"/>
            <w:right w:val="none" w:sz="0" w:space="0" w:color="auto"/>
          </w:divBdr>
        </w:div>
        <w:div w:id="1605378161">
          <w:marLeft w:val="0"/>
          <w:marRight w:val="0"/>
          <w:marTop w:val="0"/>
          <w:marBottom w:val="0"/>
          <w:divBdr>
            <w:top w:val="none" w:sz="0" w:space="0" w:color="auto"/>
            <w:left w:val="none" w:sz="0" w:space="0" w:color="auto"/>
            <w:bottom w:val="none" w:sz="0" w:space="0" w:color="auto"/>
            <w:right w:val="none" w:sz="0" w:space="0" w:color="auto"/>
          </w:divBdr>
        </w:div>
        <w:div w:id="1624000216">
          <w:marLeft w:val="0"/>
          <w:marRight w:val="0"/>
          <w:marTop w:val="0"/>
          <w:marBottom w:val="0"/>
          <w:divBdr>
            <w:top w:val="none" w:sz="0" w:space="0" w:color="auto"/>
            <w:left w:val="none" w:sz="0" w:space="0" w:color="auto"/>
            <w:bottom w:val="none" w:sz="0" w:space="0" w:color="auto"/>
            <w:right w:val="none" w:sz="0" w:space="0" w:color="auto"/>
          </w:divBdr>
        </w:div>
        <w:div w:id="1677731659">
          <w:marLeft w:val="0"/>
          <w:marRight w:val="0"/>
          <w:marTop w:val="0"/>
          <w:marBottom w:val="0"/>
          <w:divBdr>
            <w:top w:val="none" w:sz="0" w:space="0" w:color="auto"/>
            <w:left w:val="none" w:sz="0" w:space="0" w:color="auto"/>
            <w:bottom w:val="none" w:sz="0" w:space="0" w:color="auto"/>
            <w:right w:val="none" w:sz="0" w:space="0" w:color="auto"/>
          </w:divBdr>
        </w:div>
        <w:div w:id="1678922970">
          <w:marLeft w:val="0"/>
          <w:marRight w:val="0"/>
          <w:marTop w:val="0"/>
          <w:marBottom w:val="0"/>
          <w:divBdr>
            <w:top w:val="none" w:sz="0" w:space="0" w:color="auto"/>
            <w:left w:val="none" w:sz="0" w:space="0" w:color="auto"/>
            <w:bottom w:val="none" w:sz="0" w:space="0" w:color="auto"/>
            <w:right w:val="none" w:sz="0" w:space="0" w:color="auto"/>
          </w:divBdr>
        </w:div>
        <w:div w:id="1689066956">
          <w:marLeft w:val="0"/>
          <w:marRight w:val="0"/>
          <w:marTop w:val="0"/>
          <w:marBottom w:val="0"/>
          <w:divBdr>
            <w:top w:val="none" w:sz="0" w:space="0" w:color="auto"/>
            <w:left w:val="none" w:sz="0" w:space="0" w:color="auto"/>
            <w:bottom w:val="none" w:sz="0" w:space="0" w:color="auto"/>
            <w:right w:val="none" w:sz="0" w:space="0" w:color="auto"/>
          </w:divBdr>
        </w:div>
        <w:div w:id="1702054819">
          <w:marLeft w:val="0"/>
          <w:marRight w:val="0"/>
          <w:marTop w:val="0"/>
          <w:marBottom w:val="0"/>
          <w:divBdr>
            <w:top w:val="none" w:sz="0" w:space="0" w:color="auto"/>
            <w:left w:val="none" w:sz="0" w:space="0" w:color="auto"/>
            <w:bottom w:val="none" w:sz="0" w:space="0" w:color="auto"/>
            <w:right w:val="none" w:sz="0" w:space="0" w:color="auto"/>
          </w:divBdr>
        </w:div>
        <w:div w:id="1706634207">
          <w:marLeft w:val="0"/>
          <w:marRight w:val="0"/>
          <w:marTop w:val="0"/>
          <w:marBottom w:val="0"/>
          <w:divBdr>
            <w:top w:val="none" w:sz="0" w:space="0" w:color="auto"/>
            <w:left w:val="none" w:sz="0" w:space="0" w:color="auto"/>
            <w:bottom w:val="none" w:sz="0" w:space="0" w:color="auto"/>
            <w:right w:val="none" w:sz="0" w:space="0" w:color="auto"/>
          </w:divBdr>
        </w:div>
        <w:div w:id="1707753664">
          <w:marLeft w:val="0"/>
          <w:marRight w:val="0"/>
          <w:marTop w:val="0"/>
          <w:marBottom w:val="0"/>
          <w:divBdr>
            <w:top w:val="none" w:sz="0" w:space="0" w:color="auto"/>
            <w:left w:val="none" w:sz="0" w:space="0" w:color="auto"/>
            <w:bottom w:val="none" w:sz="0" w:space="0" w:color="auto"/>
            <w:right w:val="none" w:sz="0" w:space="0" w:color="auto"/>
          </w:divBdr>
        </w:div>
        <w:div w:id="1709336381">
          <w:marLeft w:val="0"/>
          <w:marRight w:val="0"/>
          <w:marTop w:val="0"/>
          <w:marBottom w:val="0"/>
          <w:divBdr>
            <w:top w:val="none" w:sz="0" w:space="0" w:color="auto"/>
            <w:left w:val="none" w:sz="0" w:space="0" w:color="auto"/>
            <w:bottom w:val="none" w:sz="0" w:space="0" w:color="auto"/>
            <w:right w:val="none" w:sz="0" w:space="0" w:color="auto"/>
          </w:divBdr>
        </w:div>
        <w:div w:id="1722053388">
          <w:marLeft w:val="0"/>
          <w:marRight w:val="0"/>
          <w:marTop w:val="0"/>
          <w:marBottom w:val="0"/>
          <w:divBdr>
            <w:top w:val="none" w:sz="0" w:space="0" w:color="auto"/>
            <w:left w:val="none" w:sz="0" w:space="0" w:color="auto"/>
            <w:bottom w:val="none" w:sz="0" w:space="0" w:color="auto"/>
            <w:right w:val="none" w:sz="0" w:space="0" w:color="auto"/>
          </w:divBdr>
        </w:div>
        <w:div w:id="1736707305">
          <w:marLeft w:val="0"/>
          <w:marRight w:val="0"/>
          <w:marTop w:val="0"/>
          <w:marBottom w:val="0"/>
          <w:divBdr>
            <w:top w:val="none" w:sz="0" w:space="0" w:color="auto"/>
            <w:left w:val="none" w:sz="0" w:space="0" w:color="auto"/>
            <w:bottom w:val="none" w:sz="0" w:space="0" w:color="auto"/>
            <w:right w:val="none" w:sz="0" w:space="0" w:color="auto"/>
          </w:divBdr>
        </w:div>
        <w:div w:id="1739552348">
          <w:marLeft w:val="0"/>
          <w:marRight w:val="0"/>
          <w:marTop w:val="0"/>
          <w:marBottom w:val="0"/>
          <w:divBdr>
            <w:top w:val="none" w:sz="0" w:space="0" w:color="auto"/>
            <w:left w:val="none" w:sz="0" w:space="0" w:color="auto"/>
            <w:bottom w:val="none" w:sz="0" w:space="0" w:color="auto"/>
            <w:right w:val="none" w:sz="0" w:space="0" w:color="auto"/>
          </w:divBdr>
        </w:div>
        <w:div w:id="1751846604">
          <w:marLeft w:val="0"/>
          <w:marRight w:val="0"/>
          <w:marTop w:val="0"/>
          <w:marBottom w:val="0"/>
          <w:divBdr>
            <w:top w:val="none" w:sz="0" w:space="0" w:color="auto"/>
            <w:left w:val="none" w:sz="0" w:space="0" w:color="auto"/>
            <w:bottom w:val="none" w:sz="0" w:space="0" w:color="auto"/>
            <w:right w:val="none" w:sz="0" w:space="0" w:color="auto"/>
          </w:divBdr>
        </w:div>
        <w:div w:id="1761290429">
          <w:marLeft w:val="0"/>
          <w:marRight w:val="0"/>
          <w:marTop w:val="0"/>
          <w:marBottom w:val="0"/>
          <w:divBdr>
            <w:top w:val="none" w:sz="0" w:space="0" w:color="auto"/>
            <w:left w:val="none" w:sz="0" w:space="0" w:color="auto"/>
            <w:bottom w:val="none" w:sz="0" w:space="0" w:color="auto"/>
            <w:right w:val="none" w:sz="0" w:space="0" w:color="auto"/>
          </w:divBdr>
        </w:div>
        <w:div w:id="1762066874">
          <w:marLeft w:val="0"/>
          <w:marRight w:val="0"/>
          <w:marTop w:val="0"/>
          <w:marBottom w:val="0"/>
          <w:divBdr>
            <w:top w:val="none" w:sz="0" w:space="0" w:color="auto"/>
            <w:left w:val="none" w:sz="0" w:space="0" w:color="auto"/>
            <w:bottom w:val="none" w:sz="0" w:space="0" w:color="auto"/>
            <w:right w:val="none" w:sz="0" w:space="0" w:color="auto"/>
          </w:divBdr>
        </w:div>
        <w:div w:id="1770000590">
          <w:marLeft w:val="0"/>
          <w:marRight w:val="0"/>
          <w:marTop w:val="0"/>
          <w:marBottom w:val="0"/>
          <w:divBdr>
            <w:top w:val="none" w:sz="0" w:space="0" w:color="auto"/>
            <w:left w:val="none" w:sz="0" w:space="0" w:color="auto"/>
            <w:bottom w:val="none" w:sz="0" w:space="0" w:color="auto"/>
            <w:right w:val="none" w:sz="0" w:space="0" w:color="auto"/>
          </w:divBdr>
        </w:div>
        <w:div w:id="1770394902">
          <w:marLeft w:val="0"/>
          <w:marRight w:val="0"/>
          <w:marTop w:val="0"/>
          <w:marBottom w:val="0"/>
          <w:divBdr>
            <w:top w:val="none" w:sz="0" w:space="0" w:color="auto"/>
            <w:left w:val="none" w:sz="0" w:space="0" w:color="auto"/>
            <w:bottom w:val="none" w:sz="0" w:space="0" w:color="auto"/>
            <w:right w:val="none" w:sz="0" w:space="0" w:color="auto"/>
          </w:divBdr>
        </w:div>
        <w:div w:id="1772159638">
          <w:marLeft w:val="0"/>
          <w:marRight w:val="0"/>
          <w:marTop w:val="0"/>
          <w:marBottom w:val="0"/>
          <w:divBdr>
            <w:top w:val="none" w:sz="0" w:space="0" w:color="auto"/>
            <w:left w:val="none" w:sz="0" w:space="0" w:color="auto"/>
            <w:bottom w:val="none" w:sz="0" w:space="0" w:color="auto"/>
            <w:right w:val="none" w:sz="0" w:space="0" w:color="auto"/>
          </w:divBdr>
        </w:div>
        <w:div w:id="1776900109">
          <w:marLeft w:val="0"/>
          <w:marRight w:val="0"/>
          <w:marTop w:val="0"/>
          <w:marBottom w:val="0"/>
          <w:divBdr>
            <w:top w:val="none" w:sz="0" w:space="0" w:color="auto"/>
            <w:left w:val="none" w:sz="0" w:space="0" w:color="auto"/>
            <w:bottom w:val="none" w:sz="0" w:space="0" w:color="auto"/>
            <w:right w:val="none" w:sz="0" w:space="0" w:color="auto"/>
          </w:divBdr>
        </w:div>
        <w:div w:id="1779519537">
          <w:marLeft w:val="0"/>
          <w:marRight w:val="0"/>
          <w:marTop w:val="0"/>
          <w:marBottom w:val="0"/>
          <w:divBdr>
            <w:top w:val="none" w:sz="0" w:space="0" w:color="auto"/>
            <w:left w:val="none" w:sz="0" w:space="0" w:color="auto"/>
            <w:bottom w:val="none" w:sz="0" w:space="0" w:color="auto"/>
            <w:right w:val="none" w:sz="0" w:space="0" w:color="auto"/>
          </w:divBdr>
        </w:div>
        <w:div w:id="1781874722">
          <w:marLeft w:val="0"/>
          <w:marRight w:val="0"/>
          <w:marTop w:val="0"/>
          <w:marBottom w:val="0"/>
          <w:divBdr>
            <w:top w:val="none" w:sz="0" w:space="0" w:color="auto"/>
            <w:left w:val="none" w:sz="0" w:space="0" w:color="auto"/>
            <w:bottom w:val="none" w:sz="0" w:space="0" w:color="auto"/>
            <w:right w:val="none" w:sz="0" w:space="0" w:color="auto"/>
          </w:divBdr>
        </w:div>
        <w:div w:id="1813282086">
          <w:marLeft w:val="0"/>
          <w:marRight w:val="0"/>
          <w:marTop w:val="0"/>
          <w:marBottom w:val="0"/>
          <w:divBdr>
            <w:top w:val="none" w:sz="0" w:space="0" w:color="auto"/>
            <w:left w:val="none" w:sz="0" w:space="0" w:color="auto"/>
            <w:bottom w:val="none" w:sz="0" w:space="0" w:color="auto"/>
            <w:right w:val="none" w:sz="0" w:space="0" w:color="auto"/>
          </w:divBdr>
        </w:div>
        <w:div w:id="1817331607">
          <w:marLeft w:val="0"/>
          <w:marRight w:val="0"/>
          <w:marTop w:val="0"/>
          <w:marBottom w:val="0"/>
          <w:divBdr>
            <w:top w:val="none" w:sz="0" w:space="0" w:color="auto"/>
            <w:left w:val="none" w:sz="0" w:space="0" w:color="auto"/>
            <w:bottom w:val="none" w:sz="0" w:space="0" w:color="auto"/>
            <w:right w:val="none" w:sz="0" w:space="0" w:color="auto"/>
          </w:divBdr>
        </w:div>
        <w:div w:id="1875000219">
          <w:marLeft w:val="0"/>
          <w:marRight w:val="0"/>
          <w:marTop w:val="0"/>
          <w:marBottom w:val="0"/>
          <w:divBdr>
            <w:top w:val="none" w:sz="0" w:space="0" w:color="auto"/>
            <w:left w:val="none" w:sz="0" w:space="0" w:color="auto"/>
            <w:bottom w:val="none" w:sz="0" w:space="0" w:color="auto"/>
            <w:right w:val="none" w:sz="0" w:space="0" w:color="auto"/>
          </w:divBdr>
        </w:div>
        <w:div w:id="1875536403">
          <w:marLeft w:val="0"/>
          <w:marRight w:val="0"/>
          <w:marTop w:val="0"/>
          <w:marBottom w:val="0"/>
          <w:divBdr>
            <w:top w:val="none" w:sz="0" w:space="0" w:color="auto"/>
            <w:left w:val="none" w:sz="0" w:space="0" w:color="auto"/>
            <w:bottom w:val="none" w:sz="0" w:space="0" w:color="auto"/>
            <w:right w:val="none" w:sz="0" w:space="0" w:color="auto"/>
          </w:divBdr>
        </w:div>
        <w:div w:id="1896619005">
          <w:marLeft w:val="0"/>
          <w:marRight w:val="0"/>
          <w:marTop w:val="0"/>
          <w:marBottom w:val="0"/>
          <w:divBdr>
            <w:top w:val="none" w:sz="0" w:space="0" w:color="auto"/>
            <w:left w:val="none" w:sz="0" w:space="0" w:color="auto"/>
            <w:bottom w:val="none" w:sz="0" w:space="0" w:color="auto"/>
            <w:right w:val="none" w:sz="0" w:space="0" w:color="auto"/>
          </w:divBdr>
        </w:div>
        <w:div w:id="1907646141">
          <w:marLeft w:val="0"/>
          <w:marRight w:val="0"/>
          <w:marTop w:val="0"/>
          <w:marBottom w:val="0"/>
          <w:divBdr>
            <w:top w:val="none" w:sz="0" w:space="0" w:color="auto"/>
            <w:left w:val="none" w:sz="0" w:space="0" w:color="auto"/>
            <w:bottom w:val="none" w:sz="0" w:space="0" w:color="auto"/>
            <w:right w:val="none" w:sz="0" w:space="0" w:color="auto"/>
          </w:divBdr>
        </w:div>
        <w:div w:id="1914386619">
          <w:marLeft w:val="0"/>
          <w:marRight w:val="0"/>
          <w:marTop w:val="0"/>
          <w:marBottom w:val="0"/>
          <w:divBdr>
            <w:top w:val="none" w:sz="0" w:space="0" w:color="auto"/>
            <w:left w:val="none" w:sz="0" w:space="0" w:color="auto"/>
            <w:bottom w:val="none" w:sz="0" w:space="0" w:color="auto"/>
            <w:right w:val="none" w:sz="0" w:space="0" w:color="auto"/>
          </w:divBdr>
        </w:div>
        <w:div w:id="1915309516">
          <w:marLeft w:val="0"/>
          <w:marRight w:val="0"/>
          <w:marTop w:val="0"/>
          <w:marBottom w:val="0"/>
          <w:divBdr>
            <w:top w:val="none" w:sz="0" w:space="0" w:color="auto"/>
            <w:left w:val="none" w:sz="0" w:space="0" w:color="auto"/>
            <w:bottom w:val="none" w:sz="0" w:space="0" w:color="auto"/>
            <w:right w:val="none" w:sz="0" w:space="0" w:color="auto"/>
          </w:divBdr>
        </w:div>
        <w:div w:id="1939177258">
          <w:marLeft w:val="0"/>
          <w:marRight w:val="0"/>
          <w:marTop w:val="0"/>
          <w:marBottom w:val="0"/>
          <w:divBdr>
            <w:top w:val="none" w:sz="0" w:space="0" w:color="auto"/>
            <w:left w:val="none" w:sz="0" w:space="0" w:color="auto"/>
            <w:bottom w:val="none" w:sz="0" w:space="0" w:color="auto"/>
            <w:right w:val="none" w:sz="0" w:space="0" w:color="auto"/>
          </w:divBdr>
        </w:div>
        <w:div w:id="1942447835">
          <w:marLeft w:val="0"/>
          <w:marRight w:val="0"/>
          <w:marTop w:val="0"/>
          <w:marBottom w:val="0"/>
          <w:divBdr>
            <w:top w:val="none" w:sz="0" w:space="0" w:color="auto"/>
            <w:left w:val="none" w:sz="0" w:space="0" w:color="auto"/>
            <w:bottom w:val="none" w:sz="0" w:space="0" w:color="auto"/>
            <w:right w:val="none" w:sz="0" w:space="0" w:color="auto"/>
          </w:divBdr>
        </w:div>
        <w:div w:id="1958363884">
          <w:marLeft w:val="0"/>
          <w:marRight w:val="0"/>
          <w:marTop w:val="0"/>
          <w:marBottom w:val="0"/>
          <w:divBdr>
            <w:top w:val="none" w:sz="0" w:space="0" w:color="auto"/>
            <w:left w:val="none" w:sz="0" w:space="0" w:color="auto"/>
            <w:bottom w:val="none" w:sz="0" w:space="0" w:color="auto"/>
            <w:right w:val="none" w:sz="0" w:space="0" w:color="auto"/>
          </w:divBdr>
        </w:div>
        <w:div w:id="1972203271">
          <w:marLeft w:val="0"/>
          <w:marRight w:val="0"/>
          <w:marTop w:val="0"/>
          <w:marBottom w:val="0"/>
          <w:divBdr>
            <w:top w:val="none" w:sz="0" w:space="0" w:color="auto"/>
            <w:left w:val="none" w:sz="0" w:space="0" w:color="auto"/>
            <w:bottom w:val="none" w:sz="0" w:space="0" w:color="auto"/>
            <w:right w:val="none" w:sz="0" w:space="0" w:color="auto"/>
          </w:divBdr>
        </w:div>
        <w:div w:id="2004813468">
          <w:marLeft w:val="0"/>
          <w:marRight w:val="0"/>
          <w:marTop w:val="0"/>
          <w:marBottom w:val="0"/>
          <w:divBdr>
            <w:top w:val="none" w:sz="0" w:space="0" w:color="auto"/>
            <w:left w:val="none" w:sz="0" w:space="0" w:color="auto"/>
            <w:bottom w:val="none" w:sz="0" w:space="0" w:color="auto"/>
            <w:right w:val="none" w:sz="0" w:space="0" w:color="auto"/>
          </w:divBdr>
        </w:div>
        <w:div w:id="2009168403">
          <w:marLeft w:val="0"/>
          <w:marRight w:val="0"/>
          <w:marTop w:val="0"/>
          <w:marBottom w:val="0"/>
          <w:divBdr>
            <w:top w:val="none" w:sz="0" w:space="0" w:color="auto"/>
            <w:left w:val="none" w:sz="0" w:space="0" w:color="auto"/>
            <w:bottom w:val="none" w:sz="0" w:space="0" w:color="auto"/>
            <w:right w:val="none" w:sz="0" w:space="0" w:color="auto"/>
          </w:divBdr>
        </w:div>
      </w:divsChild>
    </w:div>
    <w:div w:id="673844752">
      <w:bodyDiv w:val="1"/>
      <w:marLeft w:val="0"/>
      <w:marRight w:val="0"/>
      <w:marTop w:val="0"/>
      <w:marBottom w:val="0"/>
      <w:divBdr>
        <w:top w:val="none" w:sz="0" w:space="0" w:color="auto"/>
        <w:left w:val="none" w:sz="0" w:space="0" w:color="auto"/>
        <w:bottom w:val="none" w:sz="0" w:space="0" w:color="auto"/>
        <w:right w:val="none" w:sz="0" w:space="0" w:color="auto"/>
      </w:divBdr>
    </w:div>
    <w:div w:id="673845676">
      <w:bodyDiv w:val="1"/>
      <w:marLeft w:val="0"/>
      <w:marRight w:val="0"/>
      <w:marTop w:val="0"/>
      <w:marBottom w:val="0"/>
      <w:divBdr>
        <w:top w:val="none" w:sz="0" w:space="0" w:color="auto"/>
        <w:left w:val="none" w:sz="0" w:space="0" w:color="auto"/>
        <w:bottom w:val="none" w:sz="0" w:space="0" w:color="auto"/>
        <w:right w:val="none" w:sz="0" w:space="0" w:color="auto"/>
      </w:divBdr>
    </w:div>
    <w:div w:id="673996210">
      <w:bodyDiv w:val="1"/>
      <w:marLeft w:val="0"/>
      <w:marRight w:val="0"/>
      <w:marTop w:val="0"/>
      <w:marBottom w:val="0"/>
      <w:divBdr>
        <w:top w:val="none" w:sz="0" w:space="0" w:color="auto"/>
        <w:left w:val="none" w:sz="0" w:space="0" w:color="auto"/>
        <w:bottom w:val="none" w:sz="0" w:space="0" w:color="auto"/>
        <w:right w:val="none" w:sz="0" w:space="0" w:color="auto"/>
      </w:divBdr>
    </w:div>
    <w:div w:id="674110777">
      <w:bodyDiv w:val="1"/>
      <w:marLeft w:val="0"/>
      <w:marRight w:val="0"/>
      <w:marTop w:val="0"/>
      <w:marBottom w:val="0"/>
      <w:divBdr>
        <w:top w:val="none" w:sz="0" w:space="0" w:color="auto"/>
        <w:left w:val="none" w:sz="0" w:space="0" w:color="auto"/>
        <w:bottom w:val="none" w:sz="0" w:space="0" w:color="auto"/>
        <w:right w:val="none" w:sz="0" w:space="0" w:color="auto"/>
      </w:divBdr>
    </w:div>
    <w:div w:id="674184046">
      <w:bodyDiv w:val="1"/>
      <w:marLeft w:val="0"/>
      <w:marRight w:val="0"/>
      <w:marTop w:val="0"/>
      <w:marBottom w:val="0"/>
      <w:divBdr>
        <w:top w:val="none" w:sz="0" w:space="0" w:color="auto"/>
        <w:left w:val="none" w:sz="0" w:space="0" w:color="auto"/>
        <w:bottom w:val="none" w:sz="0" w:space="0" w:color="auto"/>
        <w:right w:val="none" w:sz="0" w:space="0" w:color="auto"/>
      </w:divBdr>
    </w:div>
    <w:div w:id="674262469">
      <w:bodyDiv w:val="1"/>
      <w:marLeft w:val="0"/>
      <w:marRight w:val="0"/>
      <w:marTop w:val="0"/>
      <w:marBottom w:val="0"/>
      <w:divBdr>
        <w:top w:val="none" w:sz="0" w:space="0" w:color="auto"/>
        <w:left w:val="none" w:sz="0" w:space="0" w:color="auto"/>
        <w:bottom w:val="none" w:sz="0" w:space="0" w:color="auto"/>
        <w:right w:val="none" w:sz="0" w:space="0" w:color="auto"/>
      </w:divBdr>
    </w:div>
    <w:div w:id="674307274">
      <w:bodyDiv w:val="1"/>
      <w:marLeft w:val="0"/>
      <w:marRight w:val="0"/>
      <w:marTop w:val="0"/>
      <w:marBottom w:val="0"/>
      <w:divBdr>
        <w:top w:val="none" w:sz="0" w:space="0" w:color="auto"/>
        <w:left w:val="none" w:sz="0" w:space="0" w:color="auto"/>
        <w:bottom w:val="none" w:sz="0" w:space="0" w:color="auto"/>
        <w:right w:val="none" w:sz="0" w:space="0" w:color="auto"/>
      </w:divBdr>
    </w:div>
    <w:div w:id="674309036">
      <w:bodyDiv w:val="1"/>
      <w:marLeft w:val="0"/>
      <w:marRight w:val="0"/>
      <w:marTop w:val="0"/>
      <w:marBottom w:val="0"/>
      <w:divBdr>
        <w:top w:val="none" w:sz="0" w:space="0" w:color="auto"/>
        <w:left w:val="none" w:sz="0" w:space="0" w:color="auto"/>
        <w:bottom w:val="none" w:sz="0" w:space="0" w:color="auto"/>
        <w:right w:val="none" w:sz="0" w:space="0" w:color="auto"/>
      </w:divBdr>
    </w:div>
    <w:div w:id="67437879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
    <w:div w:id="674383334">
      <w:bodyDiv w:val="1"/>
      <w:marLeft w:val="0"/>
      <w:marRight w:val="0"/>
      <w:marTop w:val="0"/>
      <w:marBottom w:val="0"/>
      <w:divBdr>
        <w:top w:val="none" w:sz="0" w:space="0" w:color="auto"/>
        <w:left w:val="none" w:sz="0" w:space="0" w:color="auto"/>
        <w:bottom w:val="none" w:sz="0" w:space="0" w:color="auto"/>
        <w:right w:val="none" w:sz="0" w:space="0" w:color="auto"/>
      </w:divBdr>
    </w:div>
    <w:div w:id="674455134">
      <w:bodyDiv w:val="1"/>
      <w:marLeft w:val="0"/>
      <w:marRight w:val="0"/>
      <w:marTop w:val="0"/>
      <w:marBottom w:val="0"/>
      <w:divBdr>
        <w:top w:val="none" w:sz="0" w:space="0" w:color="auto"/>
        <w:left w:val="none" w:sz="0" w:space="0" w:color="auto"/>
        <w:bottom w:val="none" w:sz="0" w:space="0" w:color="auto"/>
        <w:right w:val="none" w:sz="0" w:space="0" w:color="auto"/>
      </w:divBdr>
    </w:div>
    <w:div w:id="674462185">
      <w:bodyDiv w:val="1"/>
      <w:marLeft w:val="0"/>
      <w:marRight w:val="0"/>
      <w:marTop w:val="0"/>
      <w:marBottom w:val="0"/>
      <w:divBdr>
        <w:top w:val="none" w:sz="0" w:space="0" w:color="auto"/>
        <w:left w:val="none" w:sz="0" w:space="0" w:color="auto"/>
        <w:bottom w:val="none" w:sz="0" w:space="0" w:color="auto"/>
        <w:right w:val="none" w:sz="0" w:space="0" w:color="auto"/>
      </w:divBdr>
    </w:div>
    <w:div w:id="674502020">
      <w:bodyDiv w:val="1"/>
      <w:marLeft w:val="0"/>
      <w:marRight w:val="0"/>
      <w:marTop w:val="0"/>
      <w:marBottom w:val="0"/>
      <w:divBdr>
        <w:top w:val="none" w:sz="0" w:space="0" w:color="auto"/>
        <w:left w:val="none" w:sz="0" w:space="0" w:color="auto"/>
        <w:bottom w:val="none" w:sz="0" w:space="0" w:color="auto"/>
        <w:right w:val="none" w:sz="0" w:space="0" w:color="auto"/>
      </w:divBdr>
    </w:div>
    <w:div w:id="674576398">
      <w:bodyDiv w:val="1"/>
      <w:marLeft w:val="0"/>
      <w:marRight w:val="0"/>
      <w:marTop w:val="0"/>
      <w:marBottom w:val="0"/>
      <w:divBdr>
        <w:top w:val="none" w:sz="0" w:space="0" w:color="auto"/>
        <w:left w:val="none" w:sz="0" w:space="0" w:color="auto"/>
        <w:bottom w:val="none" w:sz="0" w:space="0" w:color="auto"/>
        <w:right w:val="none" w:sz="0" w:space="0" w:color="auto"/>
      </w:divBdr>
    </w:div>
    <w:div w:id="674645971">
      <w:bodyDiv w:val="1"/>
      <w:marLeft w:val="0"/>
      <w:marRight w:val="0"/>
      <w:marTop w:val="0"/>
      <w:marBottom w:val="0"/>
      <w:divBdr>
        <w:top w:val="none" w:sz="0" w:space="0" w:color="auto"/>
        <w:left w:val="none" w:sz="0" w:space="0" w:color="auto"/>
        <w:bottom w:val="none" w:sz="0" w:space="0" w:color="auto"/>
        <w:right w:val="none" w:sz="0" w:space="0" w:color="auto"/>
      </w:divBdr>
    </w:div>
    <w:div w:id="674768915">
      <w:bodyDiv w:val="1"/>
      <w:marLeft w:val="0"/>
      <w:marRight w:val="0"/>
      <w:marTop w:val="0"/>
      <w:marBottom w:val="0"/>
      <w:divBdr>
        <w:top w:val="none" w:sz="0" w:space="0" w:color="auto"/>
        <w:left w:val="none" w:sz="0" w:space="0" w:color="auto"/>
        <w:bottom w:val="none" w:sz="0" w:space="0" w:color="auto"/>
        <w:right w:val="none" w:sz="0" w:space="0" w:color="auto"/>
      </w:divBdr>
    </w:div>
    <w:div w:id="674769099">
      <w:bodyDiv w:val="1"/>
      <w:marLeft w:val="0"/>
      <w:marRight w:val="0"/>
      <w:marTop w:val="0"/>
      <w:marBottom w:val="0"/>
      <w:divBdr>
        <w:top w:val="none" w:sz="0" w:space="0" w:color="auto"/>
        <w:left w:val="none" w:sz="0" w:space="0" w:color="auto"/>
        <w:bottom w:val="none" w:sz="0" w:space="0" w:color="auto"/>
        <w:right w:val="none" w:sz="0" w:space="0" w:color="auto"/>
      </w:divBdr>
    </w:div>
    <w:div w:id="674772149">
      <w:bodyDiv w:val="1"/>
      <w:marLeft w:val="0"/>
      <w:marRight w:val="0"/>
      <w:marTop w:val="0"/>
      <w:marBottom w:val="0"/>
      <w:divBdr>
        <w:top w:val="none" w:sz="0" w:space="0" w:color="auto"/>
        <w:left w:val="none" w:sz="0" w:space="0" w:color="auto"/>
        <w:bottom w:val="none" w:sz="0" w:space="0" w:color="auto"/>
        <w:right w:val="none" w:sz="0" w:space="0" w:color="auto"/>
      </w:divBdr>
    </w:div>
    <w:div w:id="674915128">
      <w:bodyDiv w:val="1"/>
      <w:marLeft w:val="0"/>
      <w:marRight w:val="0"/>
      <w:marTop w:val="0"/>
      <w:marBottom w:val="0"/>
      <w:divBdr>
        <w:top w:val="none" w:sz="0" w:space="0" w:color="auto"/>
        <w:left w:val="none" w:sz="0" w:space="0" w:color="auto"/>
        <w:bottom w:val="none" w:sz="0" w:space="0" w:color="auto"/>
        <w:right w:val="none" w:sz="0" w:space="0" w:color="auto"/>
      </w:divBdr>
    </w:div>
    <w:div w:id="674919705">
      <w:bodyDiv w:val="1"/>
      <w:marLeft w:val="0"/>
      <w:marRight w:val="0"/>
      <w:marTop w:val="0"/>
      <w:marBottom w:val="0"/>
      <w:divBdr>
        <w:top w:val="none" w:sz="0" w:space="0" w:color="auto"/>
        <w:left w:val="none" w:sz="0" w:space="0" w:color="auto"/>
        <w:bottom w:val="none" w:sz="0" w:space="0" w:color="auto"/>
        <w:right w:val="none" w:sz="0" w:space="0" w:color="auto"/>
      </w:divBdr>
    </w:div>
    <w:div w:id="674965464">
      <w:bodyDiv w:val="1"/>
      <w:marLeft w:val="0"/>
      <w:marRight w:val="0"/>
      <w:marTop w:val="0"/>
      <w:marBottom w:val="0"/>
      <w:divBdr>
        <w:top w:val="none" w:sz="0" w:space="0" w:color="auto"/>
        <w:left w:val="none" w:sz="0" w:space="0" w:color="auto"/>
        <w:bottom w:val="none" w:sz="0" w:space="0" w:color="auto"/>
        <w:right w:val="none" w:sz="0" w:space="0" w:color="auto"/>
      </w:divBdr>
    </w:div>
    <w:div w:id="675154028">
      <w:bodyDiv w:val="1"/>
      <w:marLeft w:val="0"/>
      <w:marRight w:val="0"/>
      <w:marTop w:val="0"/>
      <w:marBottom w:val="0"/>
      <w:divBdr>
        <w:top w:val="none" w:sz="0" w:space="0" w:color="auto"/>
        <w:left w:val="none" w:sz="0" w:space="0" w:color="auto"/>
        <w:bottom w:val="none" w:sz="0" w:space="0" w:color="auto"/>
        <w:right w:val="none" w:sz="0" w:space="0" w:color="auto"/>
      </w:divBdr>
    </w:div>
    <w:div w:id="675157897">
      <w:bodyDiv w:val="1"/>
      <w:marLeft w:val="0"/>
      <w:marRight w:val="0"/>
      <w:marTop w:val="0"/>
      <w:marBottom w:val="0"/>
      <w:divBdr>
        <w:top w:val="none" w:sz="0" w:space="0" w:color="auto"/>
        <w:left w:val="none" w:sz="0" w:space="0" w:color="auto"/>
        <w:bottom w:val="none" w:sz="0" w:space="0" w:color="auto"/>
        <w:right w:val="none" w:sz="0" w:space="0" w:color="auto"/>
      </w:divBdr>
    </w:div>
    <w:div w:id="675306898">
      <w:bodyDiv w:val="1"/>
      <w:marLeft w:val="0"/>
      <w:marRight w:val="0"/>
      <w:marTop w:val="0"/>
      <w:marBottom w:val="0"/>
      <w:divBdr>
        <w:top w:val="none" w:sz="0" w:space="0" w:color="auto"/>
        <w:left w:val="none" w:sz="0" w:space="0" w:color="auto"/>
        <w:bottom w:val="none" w:sz="0" w:space="0" w:color="auto"/>
        <w:right w:val="none" w:sz="0" w:space="0" w:color="auto"/>
      </w:divBdr>
    </w:div>
    <w:div w:id="675380996">
      <w:bodyDiv w:val="1"/>
      <w:marLeft w:val="0"/>
      <w:marRight w:val="0"/>
      <w:marTop w:val="0"/>
      <w:marBottom w:val="0"/>
      <w:divBdr>
        <w:top w:val="none" w:sz="0" w:space="0" w:color="auto"/>
        <w:left w:val="none" w:sz="0" w:space="0" w:color="auto"/>
        <w:bottom w:val="none" w:sz="0" w:space="0" w:color="auto"/>
        <w:right w:val="none" w:sz="0" w:space="0" w:color="auto"/>
      </w:divBdr>
    </w:div>
    <w:div w:id="675425847">
      <w:bodyDiv w:val="1"/>
      <w:marLeft w:val="0"/>
      <w:marRight w:val="0"/>
      <w:marTop w:val="0"/>
      <w:marBottom w:val="0"/>
      <w:divBdr>
        <w:top w:val="none" w:sz="0" w:space="0" w:color="auto"/>
        <w:left w:val="none" w:sz="0" w:space="0" w:color="auto"/>
        <w:bottom w:val="none" w:sz="0" w:space="0" w:color="auto"/>
        <w:right w:val="none" w:sz="0" w:space="0" w:color="auto"/>
      </w:divBdr>
    </w:div>
    <w:div w:id="675428597">
      <w:bodyDiv w:val="1"/>
      <w:marLeft w:val="0"/>
      <w:marRight w:val="0"/>
      <w:marTop w:val="0"/>
      <w:marBottom w:val="0"/>
      <w:divBdr>
        <w:top w:val="none" w:sz="0" w:space="0" w:color="auto"/>
        <w:left w:val="none" w:sz="0" w:space="0" w:color="auto"/>
        <w:bottom w:val="none" w:sz="0" w:space="0" w:color="auto"/>
        <w:right w:val="none" w:sz="0" w:space="0" w:color="auto"/>
      </w:divBdr>
    </w:div>
    <w:div w:id="675499994">
      <w:bodyDiv w:val="1"/>
      <w:marLeft w:val="0"/>
      <w:marRight w:val="0"/>
      <w:marTop w:val="0"/>
      <w:marBottom w:val="0"/>
      <w:divBdr>
        <w:top w:val="none" w:sz="0" w:space="0" w:color="auto"/>
        <w:left w:val="none" w:sz="0" w:space="0" w:color="auto"/>
        <w:bottom w:val="none" w:sz="0" w:space="0" w:color="auto"/>
        <w:right w:val="none" w:sz="0" w:space="0" w:color="auto"/>
      </w:divBdr>
    </w:div>
    <w:div w:id="675573321">
      <w:bodyDiv w:val="1"/>
      <w:marLeft w:val="0"/>
      <w:marRight w:val="0"/>
      <w:marTop w:val="0"/>
      <w:marBottom w:val="0"/>
      <w:divBdr>
        <w:top w:val="none" w:sz="0" w:space="0" w:color="auto"/>
        <w:left w:val="none" w:sz="0" w:space="0" w:color="auto"/>
        <w:bottom w:val="none" w:sz="0" w:space="0" w:color="auto"/>
        <w:right w:val="none" w:sz="0" w:space="0" w:color="auto"/>
      </w:divBdr>
    </w:div>
    <w:div w:id="675576799">
      <w:bodyDiv w:val="1"/>
      <w:marLeft w:val="0"/>
      <w:marRight w:val="0"/>
      <w:marTop w:val="0"/>
      <w:marBottom w:val="0"/>
      <w:divBdr>
        <w:top w:val="none" w:sz="0" w:space="0" w:color="auto"/>
        <w:left w:val="none" w:sz="0" w:space="0" w:color="auto"/>
        <w:bottom w:val="none" w:sz="0" w:space="0" w:color="auto"/>
        <w:right w:val="none" w:sz="0" w:space="0" w:color="auto"/>
      </w:divBdr>
    </w:div>
    <w:div w:id="675619306">
      <w:bodyDiv w:val="1"/>
      <w:marLeft w:val="0"/>
      <w:marRight w:val="0"/>
      <w:marTop w:val="0"/>
      <w:marBottom w:val="0"/>
      <w:divBdr>
        <w:top w:val="none" w:sz="0" w:space="0" w:color="auto"/>
        <w:left w:val="none" w:sz="0" w:space="0" w:color="auto"/>
        <w:bottom w:val="none" w:sz="0" w:space="0" w:color="auto"/>
        <w:right w:val="none" w:sz="0" w:space="0" w:color="auto"/>
      </w:divBdr>
    </w:div>
    <w:div w:id="675688292">
      <w:bodyDiv w:val="1"/>
      <w:marLeft w:val="0"/>
      <w:marRight w:val="0"/>
      <w:marTop w:val="0"/>
      <w:marBottom w:val="0"/>
      <w:divBdr>
        <w:top w:val="none" w:sz="0" w:space="0" w:color="auto"/>
        <w:left w:val="none" w:sz="0" w:space="0" w:color="auto"/>
        <w:bottom w:val="none" w:sz="0" w:space="0" w:color="auto"/>
        <w:right w:val="none" w:sz="0" w:space="0" w:color="auto"/>
      </w:divBdr>
    </w:div>
    <w:div w:id="675771529">
      <w:bodyDiv w:val="1"/>
      <w:marLeft w:val="0"/>
      <w:marRight w:val="0"/>
      <w:marTop w:val="0"/>
      <w:marBottom w:val="0"/>
      <w:divBdr>
        <w:top w:val="none" w:sz="0" w:space="0" w:color="auto"/>
        <w:left w:val="none" w:sz="0" w:space="0" w:color="auto"/>
        <w:bottom w:val="none" w:sz="0" w:space="0" w:color="auto"/>
        <w:right w:val="none" w:sz="0" w:space="0" w:color="auto"/>
      </w:divBdr>
    </w:div>
    <w:div w:id="675807750">
      <w:bodyDiv w:val="1"/>
      <w:marLeft w:val="0"/>
      <w:marRight w:val="0"/>
      <w:marTop w:val="0"/>
      <w:marBottom w:val="0"/>
      <w:divBdr>
        <w:top w:val="none" w:sz="0" w:space="0" w:color="auto"/>
        <w:left w:val="none" w:sz="0" w:space="0" w:color="auto"/>
        <w:bottom w:val="none" w:sz="0" w:space="0" w:color="auto"/>
        <w:right w:val="none" w:sz="0" w:space="0" w:color="auto"/>
      </w:divBdr>
    </w:div>
    <w:div w:id="675808446">
      <w:bodyDiv w:val="1"/>
      <w:marLeft w:val="0"/>
      <w:marRight w:val="0"/>
      <w:marTop w:val="0"/>
      <w:marBottom w:val="0"/>
      <w:divBdr>
        <w:top w:val="none" w:sz="0" w:space="0" w:color="auto"/>
        <w:left w:val="none" w:sz="0" w:space="0" w:color="auto"/>
        <w:bottom w:val="none" w:sz="0" w:space="0" w:color="auto"/>
        <w:right w:val="none" w:sz="0" w:space="0" w:color="auto"/>
      </w:divBdr>
    </w:div>
    <w:div w:id="675884250">
      <w:bodyDiv w:val="1"/>
      <w:marLeft w:val="0"/>
      <w:marRight w:val="0"/>
      <w:marTop w:val="0"/>
      <w:marBottom w:val="0"/>
      <w:divBdr>
        <w:top w:val="none" w:sz="0" w:space="0" w:color="auto"/>
        <w:left w:val="none" w:sz="0" w:space="0" w:color="auto"/>
        <w:bottom w:val="none" w:sz="0" w:space="0" w:color="auto"/>
        <w:right w:val="none" w:sz="0" w:space="0" w:color="auto"/>
      </w:divBdr>
    </w:div>
    <w:div w:id="675888968">
      <w:bodyDiv w:val="1"/>
      <w:marLeft w:val="0"/>
      <w:marRight w:val="0"/>
      <w:marTop w:val="0"/>
      <w:marBottom w:val="0"/>
      <w:divBdr>
        <w:top w:val="none" w:sz="0" w:space="0" w:color="auto"/>
        <w:left w:val="none" w:sz="0" w:space="0" w:color="auto"/>
        <w:bottom w:val="none" w:sz="0" w:space="0" w:color="auto"/>
        <w:right w:val="none" w:sz="0" w:space="0" w:color="auto"/>
      </w:divBdr>
    </w:div>
    <w:div w:id="676007996">
      <w:bodyDiv w:val="1"/>
      <w:marLeft w:val="0"/>
      <w:marRight w:val="0"/>
      <w:marTop w:val="0"/>
      <w:marBottom w:val="0"/>
      <w:divBdr>
        <w:top w:val="none" w:sz="0" w:space="0" w:color="auto"/>
        <w:left w:val="none" w:sz="0" w:space="0" w:color="auto"/>
        <w:bottom w:val="none" w:sz="0" w:space="0" w:color="auto"/>
        <w:right w:val="none" w:sz="0" w:space="0" w:color="auto"/>
      </w:divBdr>
    </w:div>
    <w:div w:id="676076089">
      <w:bodyDiv w:val="1"/>
      <w:marLeft w:val="0"/>
      <w:marRight w:val="0"/>
      <w:marTop w:val="0"/>
      <w:marBottom w:val="0"/>
      <w:divBdr>
        <w:top w:val="none" w:sz="0" w:space="0" w:color="auto"/>
        <w:left w:val="none" w:sz="0" w:space="0" w:color="auto"/>
        <w:bottom w:val="none" w:sz="0" w:space="0" w:color="auto"/>
        <w:right w:val="none" w:sz="0" w:space="0" w:color="auto"/>
      </w:divBdr>
    </w:div>
    <w:div w:id="676152395">
      <w:bodyDiv w:val="1"/>
      <w:marLeft w:val="0"/>
      <w:marRight w:val="0"/>
      <w:marTop w:val="0"/>
      <w:marBottom w:val="0"/>
      <w:divBdr>
        <w:top w:val="none" w:sz="0" w:space="0" w:color="auto"/>
        <w:left w:val="none" w:sz="0" w:space="0" w:color="auto"/>
        <w:bottom w:val="none" w:sz="0" w:space="0" w:color="auto"/>
        <w:right w:val="none" w:sz="0" w:space="0" w:color="auto"/>
      </w:divBdr>
    </w:div>
    <w:div w:id="676224898">
      <w:bodyDiv w:val="1"/>
      <w:marLeft w:val="0"/>
      <w:marRight w:val="0"/>
      <w:marTop w:val="0"/>
      <w:marBottom w:val="0"/>
      <w:divBdr>
        <w:top w:val="none" w:sz="0" w:space="0" w:color="auto"/>
        <w:left w:val="none" w:sz="0" w:space="0" w:color="auto"/>
        <w:bottom w:val="none" w:sz="0" w:space="0" w:color="auto"/>
        <w:right w:val="none" w:sz="0" w:space="0" w:color="auto"/>
      </w:divBdr>
    </w:div>
    <w:div w:id="676227928">
      <w:bodyDiv w:val="1"/>
      <w:marLeft w:val="0"/>
      <w:marRight w:val="0"/>
      <w:marTop w:val="0"/>
      <w:marBottom w:val="0"/>
      <w:divBdr>
        <w:top w:val="none" w:sz="0" w:space="0" w:color="auto"/>
        <w:left w:val="none" w:sz="0" w:space="0" w:color="auto"/>
        <w:bottom w:val="none" w:sz="0" w:space="0" w:color="auto"/>
        <w:right w:val="none" w:sz="0" w:space="0" w:color="auto"/>
      </w:divBdr>
    </w:div>
    <w:div w:id="676270651">
      <w:bodyDiv w:val="1"/>
      <w:marLeft w:val="0"/>
      <w:marRight w:val="0"/>
      <w:marTop w:val="0"/>
      <w:marBottom w:val="0"/>
      <w:divBdr>
        <w:top w:val="none" w:sz="0" w:space="0" w:color="auto"/>
        <w:left w:val="none" w:sz="0" w:space="0" w:color="auto"/>
        <w:bottom w:val="none" w:sz="0" w:space="0" w:color="auto"/>
        <w:right w:val="none" w:sz="0" w:space="0" w:color="auto"/>
      </w:divBdr>
    </w:div>
    <w:div w:id="676422881">
      <w:bodyDiv w:val="1"/>
      <w:marLeft w:val="0"/>
      <w:marRight w:val="0"/>
      <w:marTop w:val="0"/>
      <w:marBottom w:val="0"/>
      <w:divBdr>
        <w:top w:val="none" w:sz="0" w:space="0" w:color="auto"/>
        <w:left w:val="none" w:sz="0" w:space="0" w:color="auto"/>
        <w:bottom w:val="none" w:sz="0" w:space="0" w:color="auto"/>
        <w:right w:val="none" w:sz="0" w:space="0" w:color="auto"/>
      </w:divBdr>
    </w:div>
    <w:div w:id="676422901">
      <w:bodyDiv w:val="1"/>
      <w:marLeft w:val="0"/>
      <w:marRight w:val="0"/>
      <w:marTop w:val="0"/>
      <w:marBottom w:val="0"/>
      <w:divBdr>
        <w:top w:val="none" w:sz="0" w:space="0" w:color="auto"/>
        <w:left w:val="none" w:sz="0" w:space="0" w:color="auto"/>
        <w:bottom w:val="none" w:sz="0" w:space="0" w:color="auto"/>
        <w:right w:val="none" w:sz="0" w:space="0" w:color="auto"/>
      </w:divBdr>
    </w:div>
    <w:div w:id="676462877">
      <w:bodyDiv w:val="1"/>
      <w:marLeft w:val="0"/>
      <w:marRight w:val="0"/>
      <w:marTop w:val="0"/>
      <w:marBottom w:val="0"/>
      <w:divBdr>
        <w:top w:val="none" w:sz="0" w:space="0" w:color="auto"/>
        <w:left w:val="none" w:sz="0" w:space="0" w:color="auto"/>
        <w:bottom w:val="none" w:sz="0" w:space="0" w:color="auto"/>
        <w:right w:val="none" w:sz="0" w:space="0" w:color="auto"/>
      </w:divBdr>
    </w:div>
    <w:div w:id="676536627">
      <w:bodyDiv w:val="1"/>
      <w:marLeft w:val="0"/>
      <w:marRight w:val="0"/>
      <w:marTop w:val="0"/>
      <w:marBottom w:val="0"/>
      <w:divBdr>
        <w:top w:val="none" w:sz="0" w:space="0" w:color="auto"/>
        <w:left w:val="none" w:sz="0" w:space="0" w:color="auto"/>
        <w:bottom w:val="none" w:sz="0" w:space="0" w:color="auto"/>
        <w:right w:val="none" w:sz="0" w:space="0" w:color="auto"/>
      </w:divBdr>
    </w:div>
    <w:div w:id="676806173">
      <w:bodyDiv w:val="1"/>
      <w:marLeft w:val="0"/>
      <w:marRight w:val="0"/>
      <w:marTop w:val="0"/>
      <w:marBottom w:val="0"/>
      <w:divBdr>
        <w:top w:val="none" w:sz="0" w:space="0" w:color="auto"/>
        <w:left w:val="none" w:sz="0" w:space="0" w:color="auto"/>
        <w:bottom w:val="none" w:sz="0" w:space="0" w:color="auto"/>
        <w:right w:val="none" w:sz="0" w:space="0" w:color="auto"/>
      </w:divBdr>
    </w:div>
    <w:div w:id="676882672">
      <w:bodyDiv w:val="1"/>
      <w:marLeft w:val="0"/>
      <w:marRight w:val="0"/>
      <w:marTop w:val="0"/>
      <w:marBottom w:val="0"/>
      <w:divBdr>
        <w:top w:val="none" w:sz="0" w:space="0" w:color="auto"/>
        <w:left w:val="none" w:sz="0" w:space="0" w:color="auto"/>
        <w:bottom w:val="none" w:sz="0" w:space="0" w:color="auto"/>
        <w:right w:val="none" w:sz="0" w:space="0" w:color="auto"/>
      </w:divBdr>
    </w:div>
    <w:div w:id="676887208">
      <w:bodyDiv w:val="1"/>
      <w:marLeft w:val="0"/>
      <w:marRight w:val="0"/>
      <w:marTop w:val="0"/>
      <w:marBottom w:val="0"/>
      <w:divBdr>
        <w:top w:val="none" w:sz="0" w:space="0" w:color="auto"/>
        <w:left w:val="none" w:sz="0" w:space="0" w:color="auto"/>
        <w:bottom w:val="none" w:sz="0" w:space="0" w:color="auto"/>
        <w:right w:val="none" w:sz="0" w:space="0" w:color="auto"/>
      </w:divBdr>
    </w:div>
    <w:div w:id="676926435">
      <w:bodyDiv w:val="1"/>
      <w:marLeft w:val="0"/>
      <w:marRight w:val="0"/>
      <w:marTop w:val="0"/>
      <w:marBottom w:val="0"/>
      <w:divBdr>
        <w:top w:val="none" w:sz="0" w:space="0" w:color="auto"/>
        <w:left w:val="none" w:sz="0" w:space="0" w:color="auto"/>
        <w:bottom w:val="none" w:sz="0" w:space="0" w:color="auto"/>
        <w:right w:val="none" w:sz="0" w:space="0" w:color="auto"/>
      </w:divBdr>
    </w:div>
    <w:div w:id="676930654">
      <w:bodyDiv w:val="1"/>
      <w:marLeft w:val="0"/>
      <w:marRight w:val="0"/>
      <w:marTop w:val="0"/>
      <w:marBottom w:val="0"/>
      <w:divBdr>
        <w:top w:val="none" w:sz="0" w:space="0" w:color="auto"/>
        <w:left w:val="none" w:sz="0" w:space="0" w:color="auto"/>
        <w:bottom w:val="none" w:sz="0" w:space="0" w:color="auto"/>
        <w:right w:val="none" w:sz="0" w:space="0" w:color="auto"/>
      </w:divBdr>
    </w:div>
    <w:div w:id="677000960">
      <w:bodyDiv w:val="1"/>
      <w:marLeft w:val="0"/>
      <w:marRight w:val="0"/>
      <w:marTop w:val="0"/>
      <w:marBottom w:val="0"/>
      <w:divBdr>
        <w:top w:val="none" w:sz="0" w:space="0" w:color="auto"/>
        <w:left w:val="none" w:sz="0" w:space="0" w:color="auto"/>
        <w:bottom w:val="none" w:sz="0" w:space="0" w:color="auto"/>
        <w:right w:val="none" w:sz="0" w:space="0" w:color="auto"/>
      </w:divBdr>
    </w:div>
    <w:div w:id="677006854">
      <w:bodyDiv w:val="1"/>
      <w:marLeft w:val="0"/>
      <w:marRight w:val="0"/>
      <w:marTop w:val="0"/>
      <w:marBottom w:val="0"/>
      <w:divBdr>
        <w:top w:val="none" w:sz="0" w:space="0" w:color="auto"/>
        <w:left w:val="none" w:sz="0" w:space="0" w:color="auto"/>
        <w:bottom w:val="none" w:sz="0" w:space="0" w:color="auto"/>
        <w:right w:val="none" w:sz="0" w:space="0" w:color="auto"/>
      </w:divBdr>
    </w:div>
    <w:div w:id="677082623">
      <w:bodyDiv w:val="1"/>
      <w:marLeft w:val="0"/>
      <w:marRight w:val="0"/>
      <w:marTop w:val="0"/>
      <w:marBottom w:val="0"/>
      <w:divBdr>
        <w:top w:val="none" w:sz="0" w:space="0" w:color="auto"/>
        <w:left w:val="none" w:sz="0" w:space="0" w:color="auto"/>
        <w:bottom w:val="none" w:sz="0" w:space="0" w:color="auto"/>
        <w:right w:val="none" w:sz="0" w:space="0" w:color="auto"/>
      </w:divBdr>
    </w:div>
    <w:div w:id="677193647">
      <w:bodyDiv w:val="1"/>
      <w:marLeft w:val="0"/>
      <w:marRight w:val="0"/>
      <w:marTop w:val="0"/>
      <w:marBottom w:val="0"/>
      <w:divBdr>
        <w:top w:val="none" w:sz="0" w:space="0" w:color="auto"/>
        <w:left w:val="none" w:sz="0" w:space="0" w:color="auto"/>
        <w:bottom w:val="none" w:sz="0" w:space="0" w:color="auto"/>
        <w:right w:val="none" w:sz="0" w:space="0" w:color="auto"/>
      </w:divBdr>
    </w:div>
    <w:div w:id="677346405">
      <w:bodyDiv w:val="1"/>
      <w:marLeft w:val="0"/>
      <w:marRight w:val="0"/>
      <w:marTop w:val="0"/>
      <w:marBottom w:val="0"/>
      <w:divBdr>
        <w:top w:val="none" w:sz="0" w:space="0" w:color="auto"/>
        <w:left w:val="none" w:sz="0" w:space="0" w:color="auto"/>
        <w:bottom w:val="none" w:sz="0" w:space="0" w:color="auto"/>
        <w:right w:val="none" w:sz="0" w:space="0" w:color="auto"/>
      </w:divBdr>
    </w:div>
    <w:div w:id="677384971">
      <w:bodyDiv w:val="1"/>
      <w:marLeft w:val="0"/>
      <w:marRight w:val="0"/>
      <w:marTop w:val="0"/>
      <w:marBottom w:val="0"/>
      <w:divBdr>
        <w:top w:val="none" w:sz="0" w:space="0" w:color="auto"/>
        <w:left w:val="none" w:sz="0" w:space="0" w:color="auto"/>
        <w:bottom w:val="none" w:sz="0" w:space="0" w:color="auto"/>
        <w:right w:val="none" w:sz="0" w:space="0" w:color="auto"/>
      </w:divBdr>
    </w:div>
    <w:div w:id="677385506">
      <w:bodyDiv w:val="1"/>
      <w:marLeft w:val="0"/>
      <w:marRight w:val="0"/>
      <w:marTop w:val="0"/>
      <w:marBottom w:val="0"/>
      <w:divBdr>
        <w:top w:val="none" w:sz="0" w:space="0" w:color="auto"/>
        <w:left w:val="none" w:sz="0" w:space="0" w:color="auto"/>
        <w:bottom w:val="none" w:sz="0" w:space="0" w:color="auto"/>
        <w:right w:val="none" w:sz="0" w:space="0" w:color="auto"/>
      </w:divBdr>
    </w:div>
    <w:div w:id="677387090">
      <w:bodyDiv w:val="1"/>
      <w:marLeft w:val="0"/>
      <w:marRight w:val="0"/>
      <w:marTop w:val="0"/>
      <w:marBottom w:val="0"/>
      <w:divBdr>
        <w:top w:val="none" w:sz="0" w:space="0" w:color="auto"/>
        <w:left w:val="none" w:sz="0" w:space="0" w:color="auto"/>
        <w:bottom w:val="none" w:sz="0" w:space="0" w:color="auto"/>
        <w:right w:val="none" w:sz="0" w:space="0" w:color="auto"/>
      </w:divBdr>
    </w:div>
    <w:div w:id="677465029">
      <w:bodyDiv w:val="1"/>
      <w:marLeft w:val="0"/>
      <w:marRight w:val="0"/>
      <w:marTop w:val="0"/>
      <w:marBottom w:val="0"/>
      <w:divBdr>
        <w:top w:val="none" w:sz="0" w:space="0" w:color="auto"/>
        <w:left w:val="none" w:sz="0" w:space="0" w:color="auto"/>
        <w:bottom w:val="none" w:sz="0" w:space="0" w:color="auto"/>
        <w:right w:val="none" w:sz="0" w:space="0" w:color="auto"/>
      </w:divBdr>
    </w:div>
    <w:div w:id="677465362">
      <w:bodyDiv w:val="1"/>
      <w:marLeft w:val="0"/>
      <w:marRight w:val="0"/>
      <w:marTop w:val="0"/>
      <w:marBottom w:val="0"/>
      <w:divBdr>
        <w:top w:val="none" w:sz="0" w:space="0" w:color="auto"/>
        <w:left w:val="none" w:sz="0" w:space="0" w:color="auto"/>
        <w:bottom w:val="none" w:sz="0" w:space="0" w:color="auto"/>
        <w:right w:val="none" w:sz="0" w:space="0" w:color="auto"/>
      </w:divBdr>
    </w:div>
    <w:div w:id="677511966">
      <w:bodyDiv w:val="1"/>
      <w:marLeft w:val="0"/>
      <w:marRight w:val="0"/>
      <w:marTop w:val="0"/>
      <w:marBottom w:val="0"/>
      <w:divBdr>
        <w:top w:val="none" w:sz="0" w:space="0" w:color="auto"/>
        <w:left w:val="none" w:sz="0" w:space="0" w:color="auto"/>
        <w:bottom w:val="none" w:sz="0" w:space="0" w:color="auto"/>
        <w:right w:val="none" w:sz="0" w:space="0" w:color="auto"/>
      </w:divBdr>
    </w:div>
    <w:div w:id="677537085">
      <w:bodyDiv w:val="1"/>
      <w:marLeft w:val="0"/>
      <w:marRight w:val="0"/>
      <w:marTop w:val="0"/>
      <w:marBottom w:val="0"/>
      <w:divBdr>
        <w:top w:val="none" w:sz="0" w:space="0" w:color="auto"/>
        <w:left w:val="none" w:sz="0" w:space="0" w:color="auto"/>
        <w:bottom w:val="none" w:sz="0" w:space="0" w:color="auto"/>
        <w:right w:val="none" w:sz="0" w:space="0" w:color="auto"/>
      </w:divBdr>
    </w:div>
    <w:div w:id="677540971">
      <w:bodyDiv w:val="1"/>
      <w:marLeft w:val="0"/>
      <w:marRight w:val="0"/>
      <w:marTop w:val="0"/>
      <w:marBottom w:val="0"/>
      <w:divBdr>
        <w:top w:val="none" w:sz="0" w:space="0" w:color="auto"/>
        <w:left w:val="none" w:sz="0" w:space="0" w:color="auto"/>
        <w:bottom w:val="none" w:sz="0" w:space="0" w:color="auto"/>
        <w:right w:val="none" w:sz="0" w:space="0" w:color="auto"/>
      </w:divBdr>
    </w:div>
    <w:div w:id="677582912">
      <w:bodyDiv w:val="1"/>
      <w:marLeft w:val="0"/>
      <w:marRight w:val="0"/>
      <w:marTop w:val="0"/>
      <w:marBottom w:val="0"/>
      <w:divBdr>
        <w:top w:val="none" w:sz="0" w:space="0" w:color="auto"/>
        <w:left w:val="none" w:sz="0" w:space="0" w:color="auto"/>
        <w:bottom w:val="none" w:sz="0" w:space="0" w:color="auto"/>
        <w:right w:val="none" w:sz="0" w:space="0" w:color="auto"/>
      </w:divBdr>
    </w:div>
    <w:div w:id="677587508">
      <w:bodyDiv w:val="1"/>
      <w:marLeft w:val="0"/>
      <w:marRight w:val="0"/>
      <w:marTop w:val="0"/>
      <w:marBottom w:val="0"/>
      <w:divBdr>
        <w:top w:val="none" w:sz="0" w:space="0" w:color="auto"/>
        <w:left w:val="none" w:sz="0" w:space="0" w:color="auto"/>
        <w:bottom w:val="none" w:sz="0" w:space="0" w:color="auto"/>
        <w:right w:val="none" w:sz="0" w:space="0" w:color="auto"/>
      </w:divBdr>
    </w:div>
    <w:div w:id="677805929">
      <w:bodyDiv w:val="1"/>
      <w:marLeft w:val="0"/>
      <w:marRight w:val="0"/>
      <w:marTop w:val="0"/>
      <w:marBottom w:val="0"/>
      <w:divBdr>
        <w:top w:val="none" w:sz="0" w:space="0" w:color="auto"/>
        <w:left w:val="none" w:sz="0" w:space="0" w:color="auto"/>
        <w:bottom w:val="none" w:sz="0" w:space="0" w:color="auto"/>
        <w:right w:val="none" w:sz="0" w:space="0" w:color="auto"/>
      </w:divBdr>
    </w:div>
    <w:div w:id="677846738">
      <w:bodyDiv w:val="1"/>
      <w:marLeft w:val="0"/>
      <w:marRight w:val="0"/>
      <w:marTop w:val="0"/>
      <w:marBottom w:val="0"/>
      <w:divBdr>
        <w:top w:val="none" w:sz="0" w:space="0" w:color="auto"/>
        <w:left w:val="none" w:sz="0" w:space="0" w:color="auto"/>
        <w:bottom w:val="none" w:sz="0" w:space="0" w:color="auto"/>
        <w:right w:val="none" w:sz="0" w:space="0" w:color="auto"/>
      </w:divBdr>
    </w:div>
    <w:div w:id="678192860">
      <w:bodyDiv w:val="1"/>
      <w:marLeft w:val="0"/>
      <w:marRight w:val="0"/>
      <w:marTop w:val="0"/>
      <w:marBottom w:val="0"/>
      <w:divBdr>
        <w:top w:val="none" w:sz="0" w:space="0" w:color="auto"/>
        <w:left w:val="none" w:sz="0" w:space="0" w:color="auto"/>
        <w:bottom w:val="none" w:sz="0" w:space="0" w:color="auto"/>
        <w:right w:val="none" w:sz="0" w:space="0" w:color="auto"/>
      </w:divBdr>
    </w:div>
    <w:div w:id="678309611">
      <w:bodyDiv w:val="1"/>
      <w:marLeft w:val="0"/>
      <w:marRight w:val="0"/>
      <w:marTop w:val="0"/>
      <w:marBottom w:val="0"/>
      <w:divBdr>
        <w:top w:val="none" w:sz="0" w:space="0" w:color="auto"/>
        <w:left w:val="none" w:sz="0" w:space="0" w:color="auto"/>
        <w:bottom w:val="none" w:sz="0" w:space="0" w:color="auto"/>
        <w:right w:val="none" w:sz="0" w:space="0" w:color="auto"/>
      </w:divBdr>
    </w:div>
    <w:div w:id="678311655">
      <w:bodyDiv w:val="1"/>
      <w:marLeft w:val="0"/>
      <w:marRight w:val="0"/>
      <w:marTop w:val="0"/>
      <w:marBottom w:val="0"/>
      <w:divBdr>
        <w:top w:val="none" w:sz="0" w:space="0" w:color="auto"/>
        <w:left w:val="none" w:sz="0" w:space="0" w:color="auto"/>
        <w:bottom w:val="none" w:sz="0" w:space="0" w:color="auto"/>
        <w:right w:val="none" w:sz="0" w:space="0" w:color="auto"/>
      </w:divBdr>
    </w:div>
    <w:div w:id="678386286">
      <w:bodyDiv w:val="1"/>
      <w:marLeft w:val="0"/>
      <w:marRight w:val="0"/>
      <w:marTop w:val="0"/>
      <w:marBottom w:val="0"/>
      <w:divBdr>
        <w:top w:val="none" w:sz="0" w:space="0" w:color="auto"/>
        <w:left w:val="none" w:sz="0" w:space="0" w:color="auto"/>
        <w:bottom w:val="none" w:sz="0" w:space="0" w:color="auto"/>
        <w:right w:val="none" w:sz="0" w:space="0" w:color="auto"/>
      </w:divBdr>
    </w:div>
    <w:div w:id="678389002">
      <w:bodyDiv w:val="1"/>
      <w:marLeft w:val="0"/>
      <w:marRight w:val="0"/>
      <w:marTop w:val="0"/>
      <w:marBottom w:val="0"/>
      <w:divBdr>
        <w:top w:val="none" w:sz="0" w:space="0" w:color="auto"/>
        <w:left w:val="none" w:sz="0" w:space="0" w:color="auto"/>
        <w:bottom w:val="none" w:sz="0" w:space="0" w:color="auto"/>
        <w:right w:val="none" w:sz="0" w:space="0" w:color="auto"/>
      </w:divBdr>
    </w:div>
    <w:div w:id="678510798">
      <w:bodyDiv w:val="1"/>
      <w:marLeft w:val="0"/>
      <w:marRight w:val="0"/>
      <w:marTop w:val="0"/>
      <w:marBottom w:val="0"/>
      <w:divBdr>
        <w:top w:val="none" w:sz="0" w:space="0" w:color="auto"/>
        <w:left w:val="none" w:sz="0" w:space="0" w:color="auto"/>
        <w:bottom w:val="none" w:sz="0" w:space="0" w:color="auto"/>
        <w:right w:val="none" w:sz="0" w:space="0" w:color="auto"/>
      </w:divBdr>
    </w:div>
    <w:div w:id="678701399">
      <w:bodyDiv w:val="1"/>
      <w:marLeft w:val="0"/>
      <w:marRight w:val="0"/>
      <w:marTop w:val="0"/>
      <w:marBottom w:val="0"/>
      <w:divBdr>
        <w:top w:val="none" w:sz="0" w:space="0" w:color="auto"/>
        <w:left w:val="none" w:sz="0" w:space="0" w:color="auto"/>
        <w:bottom w:val="none" w:sz="0" w:space="0" w:color="auto"/>
        <w:right w:val="none" w:sz="0" w:space="0" w:color="auto"/>
      </w:divBdr>
    </w:div>
    <w:div w:id="678776390">
      <w:bodyDiv w:val="1"/>
      <w:marLeft w:val="0"/>
      <w:marRight w:val="0"/>
      <w:marTop w:val="0"/>
      <w:marBottom w:val="0"/>
      <w:divBdr>
        <w:top w:val="none" w:sz="0" w:space="0" w:color="auto"/>
        <w:left w:val="none" w:sz="0" w:space="0" w:color="auto"/>
        <w:bottom w:val="none" w:sz="0" w:space="0" w:color="auto"/>
        <w:right w:val="none" w:sz="0" w:space="0" w:color="auto"/>
      </w:divBdr>
    </w:div>
    <w:div w:id="678822996">
      <w:bodyDiv w:val="1"/>
      <w:marLeft w:val="0"/>
      <w:marRight w:val="0"/>
      <w:marTop w:val="0"/>
      <w:marBottom w:val="0"/>
      <w:divBdr>
        <w:top w:val="none" w:sz="0" w:space="0" w:color="auto"/>
        <w:left w:val="none" w:sz="0" w:space="0" w:color="auto"/>
        <w:bottom w:val="none" w:sz="0" w:space="0" w:color="auto"/>
        <w:right w:val="none" w:sz="0" w:space="0" w:color="auto"/>
      </w:divBdr>
    </w:div>
    <w:div w:id="678973406">
      <w:bodyDiv w:val="1"/>
      <w:marLeft w:val="0"/>
      <w:marRight w:val="0"/>
      <w:marTop w:val="0"/>
      <w:marBottom w:val="0"/>
      <w:divBdr>
        <w:top w:val="none" w:sz="0" w:space="0" w:color="auto"/>
        <w:left w:val="none" w:sz="0" w:space="0" w:color="auto"/>
        <w:bottom w:val="none" w:sz="0" w:space="0" w:color="auto"/>
        <w:right w:val="none" w:sz="0" w:space="0" w:color="auto"/>
      </w:divBdr>
    </w:div>
    <w:div w:id="679087200">
      <w:bodyDiv w:val="1"/>
      <w:marLeft w:val="0"/>
      <w:marRight w:val="0"/>
      <w:marTop w:val="0"/>
      <w:marBottom w:val="0"/>
      <w:divBdr>
        <w:top w:val="none" w:sz="0" w:space="0" w:color="auto"/>
        <w:left w:val="none" w:sz="0" w:space="0" w:color="auto"/>
        <w:bottom w:val="none" w:sz="0" w:space="0" w:color="auto"/>
        <w:right w:val="none" w:sz="0" w:space="0" w:color="auto"/>
      </w:divBdr>
    </w:div>
    <w:div w:id="679312246">
      <w:bodyDiv w:val="1"/>
      <w:marLeft w:val="0"/>
      <w:marRight w:val="0"/>
      <w:marTop w:val="0"/>
      <w:marBottom w:val="0"/>
      <w:divBdr>
        <w:top w:val="none" w:sz="0" w:space="0" w:color="auto"/>
        <w:left w:val="none" w:sz="0" w:space="0" w:color="auto"/>
        <w:bottom w:val="none" w:sz="0" w:space="0" w:color="auto"/>
        <w:right w:val="none" w:sz="0" w:space="0" w:color="auto"/>
      </w:divBdr>
    </w:div>
    <w:div w:id="679354614">
      <w:bodyDiv w:val="1"/>
      <w:marLeft w:val="0"/>
      <w:marRight w:val="0"/>
      <w:marTop w:val="0"/>
      <w:marBottom w:val="0"/>
      <w:divBdr>
        <w:top w:val="none" w:sz="0" w:space="0" w:color="auto"/>
        <w:left w:val="none" w:sz="0" w:space="0" w:color="auto"/>
        <w:bottom w:val="none" w:sz="0" w:space="0" w:color="auto"/>
        <w:right w:val="none" w:sz="0" w:space="0" w:color="auto"/>
      </w:divBdr>
    </w:div>
    <w:div w:id="679433470">
      <w:bodyDiv w:val="1"/>
      <w:marLeft w:val="0"/>
      <w:marRight w:val="0"/>
      <w:marTop w:val="0"/>
      <w:marBottom w:val="0"/>
      <w:divBdr>
        <w:top w:val="none" w:sz="0" w:space="0" w:color="auto"/>
        <w:left w:val="none" w:sz="0" w:space="0" w:color="auto"/>
        <w:bottom w:val="none" w:sz="0" w:space="0" w:color="auto"/>
        <w:right w:val="none" w:sz="0" w:space="0" w:color="auto"/>
      </w:divBdr>
    </w:div>
    <w:div w:id="679508564">
      <w:bodyDiv w:val="1"/>
      <w:marLeft w:val="0"/>
      <w:marRight w:val="0"/>
      <w:marTop w:val="0"/>
      <w:marBottom w:val="0"/>
      <w:divBdr>
        <w:top w:val="none" w:sz="0" w:space="0" w:color="auto"/>
        <w:left w:val="none" w:sz="0" w:space="0" w:color="auto"/>
        <w:bottom w:val="none" w:sz="0" w:space="0" w:color="auto"/>
        <w:right w:val="none" w:sz="0" w:space="0" w:color="auto"/>
      </w:divBdr>
    </w:div>
    <w:div w:id="679814854">
      <w:bodyDiv w:val="1"/>
      <w:marLeft w:val="0"/>
      <w:marRight w:val="0"/>
      <w:marTop w:val="0"/>
      <w:marBottom w:val="0"/>
      <w:divBdr>
        <w:top w:val="none" w:sz="0" w:space="0" w:color="auto"/>
        <w:left w:val="none" w:sz="0" w:space="0" w:color="auto"/>
        <w:bottom w:val="none" w:sz="0" w:space="0" w:color="auto"/>
        <w:right w:val="none" w:sz="0" w:space="0" w:color="auto"/>
      </w:divBdr>
    </w:div>
    <w:div w:id="679818423">
      <w:bodyDiv w:val="1"/>
      <w:marLeft w:val="0"/>
      <w:marRight w:val="0"/>
      <w:marTop w:val="0"/>
      <w:marBottom w:val="0"/>
      <w:divBdr>
        <w:top w:val="none" w:sz="0" w:space="0" w:color="auto"/>
        <w:left w:val="none" w:sz="0" w:space="0" w:color="auto"/>
        <w:bottom w:val="none" w:sz="0" w:space="0" w:color="auto"/>
        <w:right w:val="none" w:sz="0" w:space="0" w:color="auto"/>
      </w:divBdr>
    </w:div>
    <w:div w:id="680009445">
      <w:bodyDiv w:val="1"/>
      <w:marLeft w:val="0"/>
      <w:marRight w:val="0"/>
      <w:marTop w:val="0"/>
      <w:marBottom w:val="0"/>
      <w:divBdr>
        <w:top w:val="none" w:sz="0" w:space="0" w:color="auto"/>
        <w:left w:val="none" w:sz="0" w:space="0" w:color="auto"/>
        <w:bottom w:val="none" w:sz="0" w:space="0" w:color="auto"/>
        <w:right w:val="none" w:sz="0" w:space="0" w:color="auto"/>
      </w:divBdr>
    </w:div>
    <w:div w:id="680013110">
      <w:bodyDiv w:val="1"/>
      <w:marLeft w:val="0"/>
      <w:marRight w:val="0"/>
      <w:marTop w:val="0"/>
      <w:marBottom w:val="0"/>
      <w:divBdr>
        <w:top w:val="none" w:sz="0" w:space="0" w:color="auto"/>
        <w:left w:val="none" w:sz="0" w:space="0" w:color="auto"/>
        <w:bottom w:val="none" w:sz="0" w:space="0" w:color="auto"/>
        <w:right w:val="none" w:sz="0" w:space="0" w:color="auto"/>
      </w:divBdr>
    </w:div>
    <w:div w:id="680090653">
      <w:bodyDiv w:val="1"/>
      <w:marLeft w:val="0"/>
      <w:marRight w:val="0"/>
      <w:marTop w:val="0"/>
      <w:marBottom w:val="0"/>
      <w:divBdr>
        <w:top w:val="none" w:sz="0" w:space="0" w:color="auto"/>
        <w:left w:val="none" w:sz="0" w:space="0" w:color="auto"/>
        <w:bottom w:val="none" w:sz="0" w:space="0" w:color="auto"/>
        <w:right w:val="none" w:sz="0" w:space="0" w:color="auto"/>
      </w:divBdr>
    </w:div>
    <w:div w:id="680206291">
      <w:bodyDiv w:val="1"/>
      <w:marLeft w:val="0"/>
      <w:marRight w:val="0"/>
      <w:marTop w:val="0"/>
      <w:marBottom w:val="0"/>
      <w:divBdr>
        <w:top w:val="none" w:sz="0" w:space="0" w:color="auto"/>
        <w:left w:val="none" w:sz="0" w:space="0" w:color="auto"/>
        <w:bottom w:val="none" w:sz="0" w:space="0" w:color="auto"/>
        <w:right w:val="none" w:sz="0" w:space="0" w:color="auto"/>
      </w:divBdr>
    </w:div>
    <w:div w:id="680275725">
      <w:bodyDiv w:val="1"/>
      <w:marLeft w:val="0"/>
      <w:marRight w:val="0"/>
      <w:marTop w:val="0"/>
      <w:marBottom w:val="0"/>
      <w:divBdr>
        <w:top w:val="none" w:sz="0" w:space="0" w:color="auto"/>
        <w:left w:val="none" w:sz="0" w:space="0" w:color="auto"/>
        <w:bottom w:val="none" w:sz="0" w:space="0" w:color="auto"/>
        <w:right w:val="none" w:sz="0" w:space="0" w:color="auto"/>
      </w:divBdr>
    </w:div>
    <w:div w:id="680277300">
      <w:bodyDiv w:val="1"/>
      <w:marLeft w:val="0"/>
      <w:marRight w:val="0"/>
      <w:marTop w:val="0"/>
      <w:marBottom w:val="0"/>
      <w:divBdr>
        <w:top w:val="none" w:sz="0" w:space="0" w:color="auto"/>
        <w:left w:val="none" w:sz="0" w:space="0" w:color="auto"/>
        <w:bottom w:val="none" w:sz="0" w:space="0" w:color="auto"/>
        <w:right w:val="none" w:sz="0" w:space="0" w:color="auto"/>
      </w:divBdr>
    </w:div>
    <w:div w:id="680399969">
      <w:bodyDiv w:val="1"/>
      <w:marLeft w:val="0"/>
      <w:marRight w:val="0"/>
      <w:marTop w:val="0"/>
      <w:marBottom w:val="0"/>
      <w:divBdr>
        <w:top w:val="none" w:sz="0" w:space="0" w:color="auto"/>
        <w:left w:val="none" w:sz="0" w:space="0" w:color="auto"/>
        <w:bottom w:val="none" w:sz="0" w:space="0" w:color="auto"/>
        <w:right w:val="none" w:sz="0" w:space="0" w:color="auto"/>
      </w:divBdr>
    </w:div>
    <w:div w:id="680468442">
      <w:bodyDiv w:val="1"/>
      <w:marLeft w:val="0"/>
      <w:marRight w:val="0"/>
      <w:marTop w:val="0"/>
      <w:marBottom w:val="0"/>
      <w:divBdr>
        <w:top w:val="none" w:sz="0" w:space="0" w:color="auto"/>
        <w:left w:val="none" w:sz="0" w:space="0" w:color="auto"/>
        <w:bottom w:val="none" w:sz="0" w:space="0" w:color="auto"/>
        <w:right w:val="none" w:sz="0" w:space="0" w:color="auto"/>
      </w:divBdr>
    </w:div>
    <w:div w:id="680545413">
      <w:bodyDiv w:val="1"/>
      <w:marLeft w:val="0"/>
      <w:marRight w:val="0"/>
      <w:marTop w:val="0"/>
      <w:marBottom w:val="0"/>
      <w:divBdr>
        <w:top w:val="none" w:sz="0" w:space="0" w:color="auto"/>
        <w:left w:val="none" w:sz="0" w:space="0" w:color="auto"/>
        <w:bottom w:val="none" w:sz="0" w:space="0" w:color="auto"/>
        <w:right w:val="none" w:sz="0" w:space="0" w:color="auto"/>
      </w:divBdr>
    </w:div>
    <w:div w:id="680548599">
      <w:bodyDiv w:val="1"/>
      <w:marLeft w:val="0"/>
      <w:marRight w:val="0"/>
      <w:marTop w:val="0"/>
      <w:marBottom w:val="0"/>
      <w:divBdr>
        <w:top w:val="none" w:sz="0" w:space="0" w:color="auto"/>
        <w:left w:val="none" w:sz="0" w:space="0" w:color="auto"/>
        <w:bottom w:val="none" w:sz="0" w:space="0" w:color="auto"/>
        <w:right w:val="none" w:sz="0" w:space="0" w:color="auto"/>
      </w:divBdr>
    </w:div>
    <w:div w:id="680594182">
      <w:bodyDiv w:val="1"/>
      <w:marLeft w:val="0"/>
      <w:marRight w:val="0"/>
      <w:marTop w:val="0"/>
      <w:marBottom w:val="0"/>
      <w:divBdr>
        <w:top w:val="none" w:sz="0" w:space="0" w:color="auto"/>
        <w:left w:val="none" w:sz="0" w:space="0" w:color="auto"/>
        <w:bottom w:val="none" w:sz="0" w:space="0" w:color="auto"/>
        <w:right w:val="none" w:sz="0" w:space="0" w:color="auto"/>
      </w:divBdr>
    </w:div>
    <w:div w:id="680623127">
      <w:bodyDiv w:val="1"/>
      <w:marLeft w:val="0"/>
      <w:marRight w:val="0"/>
      <w:marTop w:val="0"/>
      <w:marBottom w:val="0"/>
      <w:divBdr>
        <w:top w:val="none" w:sz="0" w:space="0" w:color="auto"/>
        <w:left w:val="none" w:sz="0" w:space="0" w:color="auto"/>
        <w:bottom w:val="none" w:sz="0" w:space="0" w:color="auto"/>
        <w:right w:val="none" w:sz="0" w:space="0" w:color="auto"/>
      </w:divBdr>
    </w:div>
    <w:div w:id="680739477">
      <w:bodyDiv w:val="1"/>
      <w:marLeft w:val="0"/>
      <w:marRight w:val="0"/>
      <w:marTop w:val="0"/>
      <w:marBottom w:val="0"/>
      <w:divBdr>
        <w:top w:val="none" w:sz="0" w:space="0" w:color="auto"/>
        <w:left w:val="none" w:sz="0" w:space="0" w:color="auto"/>
        <w:bottom w:val="none" w:sz="0" w:space="0" w:color="auto"/>
        <w:right w:val="none" w:sz="0" w:space="0" w:color="auto"/>
      </w:divBdr>
    </w:div>
    <w:div w:id="680818263">
      <w:bodyDiv w:val="1"/>
      <w:marLeft w:val="0"/>
      <w:marRight w:val="0"/>
      <w:marTop w:val="0"/>
      <w:marBottom w:val="0"/>
      <w:divBdr>
        <w:top w:val="none" w:sz="0" w:space="0" w:color="auto"/>
        <w:left w:val="none" w:sz="0" w:space="0" w:color="auto"/>
        <w:bottom w:val="none" w:sz="0" w:space="0" w:color="auto"/>
        <w:right w:val="none" w:sz="0" w:space="0" w:color="auto"/>
      </w:divBdr>
    </w:div>
    <w:div w:id="680819738">
      <w:bodyDiv w:val="1"/>
      <w:marLeft w:val="0"/>
      <w:marRight w:val="0"/>
      <w:marTop w:val="0"/>
      <w:marBottom w:val="0"/>
      <w:divBdr>
        <w:top w:val="none" w:sz="0" w:space="0" w:color="auto"/>
        <w:left w:val="none" w:sz="0" w:space="0" w:color="auto"/>
        <w:bottom w:val="none" w:sz="0" w:space="0" w:color="auto"/>
        <w:right w:val="none" w:sz="0" w:space="0" w:color="auto"/>
      </w:divBdr>
    </w:div>
    <w:div w:id="680855861">
      <w:bodyDiv w:val="1"/>
      <w:marLeft w:val="0"/>
      <w:marRight w:val="0"/>
      <w:marTop w:val="0"/>
      <w:marBottom w:val="0"/>
      <w:divBdr>
        <w:top w:val="none" w:sz="0" w:space="0" w:color="auto"/>
        <w:left w:val="none" w:sz="0" w:space="0" w:color="auto"/>
        <w:bottom w:val="none" w:sz="0" w:space="0" w:color="auto"/>
        <w:right w:val="none" w:sz="0" w:space="0" w:color="auto"/>
      </w:divBdr>
    </w:div>
    <w:div w:id="680859754">
      <w:bodyDiv w:val="1"/>
      <w:marLeft w:val="0"/>
      <w:marRight w:val="0"/>
      <w:marTop w:val="0"/>
      <w:marBottom w:val="0"/>
      <w:divBdr>
        <w:top w:val="none" w:sz="0" w:space="0" w:color="auto"/>
        <w:left w:val="none" w:sz="0" w:space="0" w:color="auto"/>
        <w:bottom w:val="none" w:sz="0" w:space="0" w:color="auto"/>
        <w:right w:val="none" w:sz="0" w:space="0" w:color="auto"/>
      </w:divBdr>
    </w:div>
    <w:div w:id="680861963">
      <w:bodyDiv w:val="1"/>
      <w:marLeft w:val="0"/>
      <w:marRight w:val="0"/>
      <w:marTop w:val="0"/>
      <w:marBottom w:val="0"/>
      <w:divBdr>
        <w:top w:val="none" w:sz="0" w:space="0" w:color="auto"/>
        <w:left w:val="none" w:sz="0" w:space="0" w:color="auto"/>
        <w:bottom w:val="none" w:sz="0" w:space="0" w:color="auto"/>
        <w:right w:val="none" w:sz="0" w:space="0" w:color="auto"/>
      </w:divBdr>
    </w:div>
    <w:div w:id="680932359">
      <w:bodyDiv w:val="1"/>
      <w:marLeft w:val="0"/>
      <w:marRight w:val="0"/>
      <w:marTop w:val="0"/>
      <w:marBottom w:val="0"/>
      <w:divBdr>
        <w:top w:val="none" w:sz="0" w:space="0" w:color="auto"/>
        <w:left w:val="none" w:sz="0" w:space="0" w:color="auto"/>
        <w:bottom w:val="none" w:sz="0" w:space="0" w:color="auto"/>
        <w:right w:val="none" w:sz="0" w:space="0" w:color="auto"/>
      </w:divBdr>
    </w:div>
    <w:div w:id="681006773">
      <w:bodyDiv w:val="1"/>
      <w:marLeft w:val="0"/>
      <w:marRight w:val="0"/>
      <w:marTop w:val="0"/>
      <w:marBottom w:val="0"/>
      <w:divBdr>
        <w:top w:val="none" w:sz="0" w:space="0" w:color="auto"/>
        <w:left w:val="none" w:sz="0" w:space="0" w:color="auto"/>
        <w:bottom w:val="none" w:sz="0" w:space="0" w:color="auto"/>
        <w:right w:val="none" w:sz="0" w:space="0" w:color="auto"/>
      </w:divBdr>
    </w:div>
    <w:div w:id="681007930">
      <w:bodyDiv w:val="1"/>
      <w:marLeft w:val="0"/>
      <w:marRight w:val="0"/>
      <w:marTop w:val="0"/>
      <w:marBottom w:val="0"/>
      <w:divBdr>
        <w:top w:val="none" w:sz="0" w:space="0" w:color="auto"/>
        <w:left w:val="none" w:sz="0" w:space="0" w:color="auto"/>
        <w:bottom w:val="none" w:sz="0" w:space="0" w:color="auto"/>
        <w:right w:val="none" w:sz="0" w:space="0" w:color="auto"/>
      </w:divBdr>
    </w:div>
    <w:div w:id="681011655">
      <w:bodyDiv w:val="1"/>
      <w:marLeft w:val="0"/>
      <w:marRight w:val="0"/>
      <w:marTop w:val="0"/>
      <w:marBottom w:val="0"/>
      <w:divBdr>
        <w:top w:val="none" w:sz="0" w:space="0" w:color="auto"/>
        <w:left w:val="none" w:sz="0" w:space="0" w:color="auto"/>
        <w:bottom w:val="none" w:sz="0" w:space="0" w:color="auto"/>
        <w:right w:val="none" w:sz="0" w:space="0" w:color="auto"/>
      </w:divBdr>
    </w:div>
    <w:div w:id="681124574">
      <w:bodyDiv w:val="1"/>
      <w:marLeft w:val="0"/>
      <w:marRight w:val="0"/>
      <w:marTop w:val="0"/>
      <w:marBottom w:val="0"/>
      <w:divBdr>
        <w:top w:val="none" w:sz="0" w:space="0" w:color="auto"/>
        <w:left w:val="none" w:sz="0" w:space="0" w:color="auto"/>
        <w:bottom w:val="none" w:sz="0" w:space="0" w:color="auto"/>
        <w:right w:val="none" w:sz="0" w:space="0" w:color="auto"/>
      </w:divBdr>
    </w:div>
    <w:div w:id="681248506">
      <w:bodyDiv w:val="1"/>
      <w:marLeft w:val="0"/>
      <w:marRight w:val="0"/>
      <w:marTop w:val="0"/>
      <w:marBottom w:val="0"/>
      <w:divBdr>
        <w:top w:val="none" w:sz="0" w:space="0" w:color="auto"/>
        <w:left w:val="none" w:sz="0" w:space="0" w:color="auto"/>
        <w:bottom w:val="none" w:sz="0" w:space="0" w:color="auto"/>
        <w:right w:val="none" w:sz="0" w:space="0" w:color="auto"/>
      </w:divBdr>
    </w:div>
    <w:div w:id="681275688">
      <w:bodyDiv w:val="1"/>
      <w:marLeft w:val="0"/>
      <w:marRight w:val="0"/>
      <w:marTop w:val="0"/>
      <w:marBottom w:val="0"/>
      <w:divBdr>
        <w:top w:val="none" w:sz="0" w:space="0" w:color="auto"/>
        <w:left w:val="none" w:sz="0" w:space="0" w:color="auto"/>
        <w:bottom w:val="none" w:sz="0" w:space="0" w:color="auto"/>
        <w:right w:val="none" w:sz="0" w:space="0" w:color="auto"/>
      </w:divBdr>
    </w:div>
    <w:div w:id="681325264">
      <w:bodyDiv w:val="1"/>
      <w:marLeft w:val="0"/>
      <w:marRight w:val="0"/>
      <w:marTop w:val="0"/>
      <w:marBottom w:val="0"/>
      <w:divBdr>
        <w:top w:val="none" w:sz="0" w:space="0" w:color="auto"/>
        <w:left w:val="none" w:sz="0" w:space="0" w:color="auto"/>
        <w:bottom w:val="none" w:sz="0" w:space="0" w:color="auto"/>
        <w:right w:val="none" w:sz="0" w:space="0" w:color="auto"/>
      </w:divBdr>
    </w:div>
    <w:div w:id="681397796">
      <w:bodyDiv w:val="1"/>
      <w:marLeft w:val="0"/>
      <w:marRight w:val="0"/>
      <w:marTop w:val="0"/>
      <w:marBottom w:val="0"/>
      <w:divBdr>
        <w:top w:val="none" w:sz="0" w:space="0" w:color="auto"/>
        <w:left w:val="none" w:sz="0" w:space="0" w:color="auto"/>
        <w:bottom w:val="none" w:sz="0" w:space="0" w:color="auto"/>
        <w:right w:val="none" w:sz="0" w:space="0" w:color="auto"/>
      </w:divBdr>
    </w:div>
    <w:div w:id="681398741">
      <w:bodyDiv w:val="1"/>
      <w:marLeft w:val="0"/>
      <w:marRight w:val="0"/>
      <w:marTop w:val="0"/>
      <w:marBottom w:val="0"/>
      <w:divBdr>
        <w:top w:val="none" w:sz="0" w:space="0" w:color="auto"/>
        <w:left w:val="none" w:sz="0" w:space="0" w:color="auto"/>
        <w:bottom w:val="none" w:sz="0" w:space="0" w:color="auto"/>
        <w:right w:val="none" w:sz="0" w:space="0" w:color="auto"/>
      </w:divBdr>
    </w:div>
    <w:div w:id="681400592">
      <w:bodyDiv w:val="1"/>
      <w:marLeft w:val="0"/>
      <w:marRight w:val="0"/>
      <w:marTop w:val="0"/>
      <w:marBottom w:val="0"/>
      <w:divBdr>
        <w:top w:val="none" w:sz="0" w:space="0" w:color="auto"/>
        <w:left w:val="none" w:sz="0" w:space="0" w:color="auto"/>
        <w:bottom w:val="none" w:sz="0" w:space="0" w:color="auto"/>
        <w:right w:val="none" w:sz="0" w:space="0" w:color="auto"/>
      </w:divBdr>
    </w:div>
    <w:div w:id="681511042">
      <w:bodyDiv w:val="1"/>
      <w:marLeft w:val="0"/>
      <w:marRight w:val="0"/>
      <w:marTop w:val="0"/>
      <w:marBottom w:val="0"/>
      <w:divBdr>
        <w:top w:val="none" w:sz="0" w:space="0" w:color="auto"/>
        <w:left w:val="none" w:sz="0" w:space="0" w:color="auto"/>
        <w:bottom w:val="none" w:sz="0" w:space="0" w:color="auto"/>
        <w:right w:val="none" w:sz="0" w:space="0" w:color="auto"/>
      </w:divBdr>
    </w:div>
    <w:div w:id="681661714">
      <w:bodyDiv w:val="1"/>
      <w:marLeft w:val="0"/>
      <w:marRight w:val="0"/>
      <w:marTop w:val="0"/>
      <w:marBottom w:val="0"/>
      <w:divBdr>
        <w:top w:val="none" w:sz="0" w:space="0" w:color="auto"/>
        <w:left w:val="none" w:sz="0" w:space="0" w:color="auto"/>
        <w:bottom w:val="none" w:sz="0" w:space="0" w:color="auto"/>
        <w:right w:val="none" w:sz="0" w:space="0" w:color="auto"/>
      </w:divBdr>
    </w:div>
    <w:div w:id="681705814">
      <w:bodyDiv w:val="1"/>
      <w:marLeft w:val="0"/>
      <w:marRight w:val="0"/>
      <w:marTop w:val="0"/>
      <w:marBottom w:val="0"/>
      <w:divBdr>
        <w:top w:val="none" w:sz="0" w:space="0" w:color="auto"/>
        <w:left w:val="none" w:sz="0" w:space="0" w:color="auto"/>
        <w:bottom w:val="none" w:sz="0" w:space="0" w:color="auto"/>
        <w:right w:val="none" w:sz="0" w:space="0" w:color="auto"/>
      </w:divBdr>
    </w:div>
    <w:div w:id="681708494">
      <w:bodyDiv w:val="1"/>
      <w:marLeft w:val="0"/>
      <w:marRight w:val="0"/>
      <w:marTop w:val="0"/>
      <w:marBottom w:val="0"/>
      <w:divBdr>
        <w:top w:val="none" w:sz="0" w:space="0" w:color="auto"/>
        <w:left w:val="none" w:sz="0" w:space="0" w:color="auto"/>
        <w:bottom w:val="none" w:sz="0" w:space="0" w:color="auto"/>
        <w:right w:val="none" w:sz="0" w:space="0" w:color="auto"/>
      </w:divBdr>
    </w:div>
    <w:div w:id="681735936">
      <w:bodyDiv w:val="1"/>
      <w:marLeft w:val="0"/>
      <w:marRight w:val="0"/>
      <w:marTop w:val="0"/>
      <w:marBottom w:val="0"/>
      <w:divBdr>
        <w:top w:val="none" w:sz="0" w:space="0" w:color="auto"/>
        <w:left w:val="none" w:sz="0" w:space="0" w:color="auto"/>
        <w:bottom w:val="none" w:sz="0" w:space="0" w:color="auto"/>
        <w:right w:val="none" w:sz="0" w:space="0" w:color="auto"/>
      </w:divBdr>
    </w:div>
    <w:div w:id="681737546">
      <w:bodyDiv w:val="1"/>
      <w:marLeft w:val="0"/>
      <w:marRight w:val="0"/>
      <w:marTop w:val="0"/>
      <w:marBottom w:val="0"/>
      <w:divBdr>
        <w:top w:val="none" w:sz="0" w:space="0" w:color="auto"/>
        <w:left w:val="none" w:sz="0" w:space="0" w:color="auto"/>
        <w:bottom w:val="none" w:sz="0" w:space="0" w:color="auto"/>
        <w:right w:val="none" w:sz="0" w:space="0" w:color="auto"/>
      </w:divBdr>
    </w:div>
    <w:div w:id="681737880">
      <w:bodyDiv w:val="1"/>
      <w:marLeft w:val="0"/>
      <w:marRight w:val="0"/>
      <w:marTop w:val="0"/>
      <w:marBottom w:val="0"/>
      <w:divBdr>
        <w:top w:val="none" w:sz="0" w:space="0" w:color="auto"/>
        <w:left w:val="none" w:sz="0" w:space="0" w:color="auto"/>
        <w:bottom w:val="none" w:sz="0" w:space="0" w:color="auto"/>
        <w:right w:val="none" w:sz="0" w:space="0" w:color="auto"/>
      </w:divBdr>
    </w:div>
    <w:div w:id="681854949">
      <w:bodyDiv w:val="1"/>
      <w:marLeft w:val="0"/>
      <w:marRight w:val="0"/>
      <w:marTop w:val="0"/>
      <w:marBottom w:val="0"/>
      <w:divBdr>
        <w:top w:val="none" w:sz="0" w:space="0" w:color="auto"/>
        <w:left w:val="none" w:sz="0" w:space="0" w:color="auto"/>
        <w:bottom w:val="none" w:sz="0" w:space="0" w:color="auto"/>
        <w:right w:val="none" w:sz="0" w:space="0" w:color="auto"/>
      </w:divBdr>
    </w:div>
    <w:div w:id="682048088">
      <w:bodyDiv w:val="1"/>
      <w:marLeft w:val="0"/>
      <w:marRight w:val="0"/>
      <w:marTop w:val="0"/>
      <w:marBottom w:val="0"/>
      <w:divBdr>
        <w:top w:val="none" w:sz="0" w:space="0" w:color="auto"/>
        <w:left w:val="none" w:sz="0" w:space="0" w:color="auto"/>
        <w:bottom w:val="none" w:sz="0" w:space="0" w:color="auto"/>
        <w:right w:val="none" w:sz="0" w:space="0" w:color="auto"/>
      </w:divBdr>
    </w:div>
    <w:div w:id="682052392">
      <w:bodyDiv w:val="1"/>
      <w:marLeft w:val="0"/>
      <w:marRight w:val="0"/>
      <w:marTop w:val="0"/>
      <w:marBottom w:val="0"/>
      <w:divBdr>
        <w:top w:val="none" w:sz="0" w:space="0" w:color="auto"/>
        <w:left w:val="none" w:sz="0" w:space="0" w:color="auto"/>
        <w:bottom w:val="none" w:sz="0" w:space="0" w:color="auto"/>
        <w:right w:val="none" w:sz="0" w:space="0" w:color="auto"/>
      </w:divBdr>
    </w:div>
    <w:div w:id="682056555">
      <w:bodyDiv w:val="1"/>
      <w:marLeft w:val="0"/>
      <w:marRight w:val="0"/>
      <w:marTop w:val="0"/>
      <w:marBottom w:val="0"/>
      <w:divBdr>
        <w:top w:val="none" w:sz="0" w:space="0" w:color="auto"/>
        <w:left w:val="none" w:sz="0" w:space="0" w:color="auto"/>
        <w:bottom w:val="none" w:sz="0" w:space="0" w:color="auto"/>
        <w:right w:val="none" w:sz="0" w:space="0" w:color="auto"/>
      </w:divBdr>
    </w:div>
    <w:div w:id="682127646">
      <w:bodyDiv w:val="1"/>
      <w:marLeft w:val="0"/>
      <w:marRight w:val="0"/>
      <w:marTop w:val="0"/>
      <w:marBottom w:val="0"/>
      <w:divBdr>
        <w:top w:val="none" w:sz="0" w:space="0" w:color="auto"/>
        <w:left w:val="none" w:sz="0" w:space="0" w:color="auto"/>
        <w:bottom w:val="none" w:sz="0" w:space="0" w:color="auto"/>
        <w:right w:val="none" w:sz="0" w:space="0" w:color="auto"/>
      </w:divBdr>
    </w:div>
    <w:div w:id="682168072">
      <w:bodyDiv w:val="1"/>
      <w:marLeft w:val="0"/>
      <w:marRight w:val="0"/>
      <w:marTop w:val="0"/>
      <w:marBottom w:val="0"/>
      <w:divBdr>
        <w:top w:val="none" w:sz="0" w:space="0" w:color="auto"/>
        <w:left w:val="none" w:sz="0" w:space="0" w:color="auto"/>
        <w:bottom w:val="none" w:sz="0" w:space="0" w:color="auto"/>
        <w:right w:val="none" w:sz="0" w:space="0" w:color="auto"/>
      </w:divBdr>
    </w:div>
    <w:div w:id="682171176">
      <w:bodyDiv w:val="1"/>
      <w:marLeft w:val="0"/>
      <w:marRight w:val="0"/>
      <w:marTop w:val="0"/>
      <w:marBottom w:val="0"/>
      <w:divBdr>
        <w:top w:val="none" w:sz="0" w:space="0" w:color="auto"/>
        <w:left w:val="none" w:sz="0" w:space="0" w:color="auto"/>
        <w:bottom w:val="none" w:sz="0" w:space="0" w:color="auto"/>
        <w:right w:val="none" w:sz="0" w:space="0" w:color="auto"/>
      </w:divBdr>
    </w:div>
    <w:div w:id="682172944">
      <w:bodyDiv w:val="1"/>
      <w:marLeft w:val="0"/>
      <w:marRight w:val="0"/>
      <w:marTop w:val="0"/>
      <w:marBottom w:val="0"/>
      <w:divBdr>
        <w:top w:val="none" w:sz="0" w:space="0" w:color="auto"/>
        <w:left w:val="none" w:sz="0" w:space="0" w:color="auto"/>
        <w:bottom w:val="none" w:sz="0" w:space="0" w:color="auto"/>
        <w:right w:val="none" w:sz="0" w:space="0" w:color="auto"/>
      </w:divBdr>
    </w:div>
    <w:div w:id="682173568">
      <w:bodyDiv w:val="1"/>
      <w:marLeft w:val="0"/>
      <w:marRight w:val="0"/>
      <w:marTop w:val="0"/>
      <w:marBottom w:val="0"/>
      <w:divBdr>
        <w:top w:val="none" w:sz="0" w:space="0" w:color="auto"/>
        <w:left w:val="none" w:sz="0" w:space="0" w:color="auto"/>
        <w:bottom w:val="none" w:sz="0" w:space="0" w:color="auto"/>
        <w:right w:val="none" w:sz="0" w:space="0" w:color="auto"/>
      </w:divBdr>
    </w:div>
    <w:div w:id="682240973">
      <w:bodyDiv w:val="1"/>
      <w:marLeft w:val="0"/>
      <w:marRight w:val="0"/>
      <w:marTop w:val="0"/>
      <w:marBottom w:val="0"/>
      <w:divBdr>
        <w:top w:val="none" w:sz="0" w:space="0" w:color="auto"/>
        <w:left w:val="none" w:sz="0" w:space="0" w:color="auto"/>
        <w:bottom w:val="none" w:sz="0" w:space="0" w:color="auto"/>
        <w:right w:val="none" w:sz="0" w:space="0" w:color="auto"/>
      </w:divBdr>
    </w:div>
    <w:div w:id="682316003">
      <w:bodyDiv w:val="1"/>
      <w:marLeft w:val="0"/>
      <w:marRight w:val="0"/>
      <w:marTop w:val="0"/>
      <w:marBottom w:val="0"/>
      <w:divBdr>
        <w:top w:val="none" w:sz="0" w:space="0" w:color="auto"/>
        <w:left w:val="none" w:sz="0" w:space="0" w:color="auto"/>
        <w:bottom w:val="none" w:sz="0" w:space="0" w:color="auto"/>
        <w:right w:val="none" w:sz="0" w:space="0" w:color="auto"/>
      </w:divBdr>
    </w:div>
    <w:div w:id="682320020">
      <w:bodyDiv w:val="1"/>
      <w:marLeft w:val="0"/>
      <w:marRight w:val="0"/>
      <w:marTop w:val="0"/>
      <w:marBottom w:val="0"/>
      <w:divBdr>
        <w:top w:val="none" w:sz="0" w:space="0" w:color="auto"/>
        <w:left w:val="none" w:sz="0" w:space="0" w:color="auto"/>
        <w:bottom w:val="none" w:sz="0" w:space="0" w:color="auto"/>
        <w:right w:val="none" w:sz="0" w:space="0" w:color="auto"/>
      </w:divBdr>
    </w:div>
    <w:div w:id="682363455">
      <w:bodyDiv w:val="1"/>
      <w:marLeft w:val="0"/>
      <w:marRight w:val="0"/>
      <w:marTop w:val="0"/>
      <w:marBottom w:val="0"/>
      <w:divBdr>
        <w:top w:val="none" w:sz="0" w:space="0" w:color="auto"/>
        <w:left w:val="none" w:sz="0" w:space="0" w:color="auto"/>
        <w:bottom w:val="none" w:sz="0" w:space="0" w:color="auto"/>
        <w:right w:val="none" w:sz="0" w:space="0" w:color="auto"/>
      </w:divBdr>
    </w:div>
    <w:div w:id="682512470">
      <w:bodyDiv w:val="1"/>
      <w:marLeft w:val="0"/>
      <w:marRight w:val="0"/>
      <w:marTop w:val="0"/>
      <w:marBottom w:val="0"/>
      <w:divBdr>
        <w:top w:val="none" w:sz="0" w:space="0" w:color="auto"/>
        <w:left w:val="none" w:sz="0" w:space="0" w:color="auto"/>
        <w:bottom w:val="none" w:sz="0" w:space="0" w:color="auto"/>
        <w:right w:val="none" w:sz="0" w:space="0" w:color="auto"/>
      </w:divBdr>
    </w:div>
    <w:div w:id="682517707">
      <w:bodyDiv w:val="1"/>
      <w:marLeft w:val="0"/>
      <w:marRight w:val="0"/>
      <w:marTop w:val="0"/>
      <w:marBottom w:val="0"/>
      <w:divBdr>
        <w:top w:val="none" w:sz="0" w:space="0" w:color="auto"/>
        <w:left w:val="none" w:sz="0" w:space="0" w:color="auto"/>
        <w:bottom w:val="none" w:sz="0" w:space="0" w:color="auto"/>
        <w:right w:val="none" w:sz="0" w:space="0" w:color="auto"/>
      </w:divBdr>
    </w:div>
    <w:div w:id="682558277">
      <w:bodyDiv w:val="1"/>
      <w:marLeft w:val="0"/>
      <w:marRight w:val="0"/>
      <w:marTop w:val="0"/>
      <w:marBottom w:val="0"/>
      <w:divBdr>
        <w:top w:val="none" w:sz="0" w:space="0" w:color="auto"/>
        <w:left w:val="none" w:sz="0" w:space="0" w:color="auto"/>
        <w:bottom w:val="none" w:sz="0" w:space="0" w:color="auto"/>
        <w:right w:val="none" w:sz="0" w:space="0" w:color="auto"/>
      </w:divBdr>
    </w:div>
    <w:div w:id="682584469">
      <w:bodyDiv w:val="1"/>
      <w:marLeft w:val="0"/>
      <w:marRight w:val="0"/>
      <w:marTop w:val="0"/>
      <w:marBottom w:val="0"/>
      <w:divBdr>
        <w:top w:val="none" w:sz="0" w:space="0" w:color="auto"/>
        <w:left w:val="none" w:sz="0" w:space="0" w:color="auto"/>
        <w:bottom w:val="none" w:sz="0" w:space="0" w:color="auto"/>
        <w:right w:val="none" w:sz="0" w:space="0" w:color="auto"/>
      </w:divBdr>
    </w:div>
    <w:div w:id="682630794">
      <w:bodyDiv w:val="1"/>
      <w:marLeft w:val="0"/>
      <w:marRight w:val="0"/>
      <w:marTop w:val="0"/>
      <w:marBottom w:val="0"/>
      <w:divBdr>
        <w:top w:val="none" w:sz="0" w:space="0" w:color="auto"/>
        <w:left w:val="none" w:sz="0" w:space="0" w:color="auto"/>
        <w:bottom w:val="none" w:sz="0" w:space="0" w:color="auto"/>
        <w:right w:val="none" w:sz="0" w:space="0" w:color="auto"/>
      </w:divBdr>
    </w:div>
    <w:div w:id="682821553">
      <w:bodyDiv w:val="1"/>
      <w:marLeft w:val="0"/>
      <w:marRight w:val="0"/>
      <w:marTop w:val="0"/>
      <w:marBottom w:val="0"/>
      <w:divBdr>
        <w:top w:val="none" w:sz="0" w:space="0" w:color="auto"/>
        <w:left w:val="none" w:sz="0" w:space="0" w:color="auto"/>
        <w:bottom w:val="none" w:sz="0" w:space="0" w:color="auto"/>
        <w:right w:val="none" w:sz="0" w:space="0" w:color="auto"/>
      </w:divBdr>
    </w:div>
    <w:div w:id="682901053">
      <w:bodyDiv w:val="1"/>
      <w:marLeft w:val="0"/>
      <w:marRight w:val="0"/>
      <w:marTop w:val="0"/>
      <w:marBottom w:val="0"/>
      <w:divBdr>
        <w:top w:val="none" w:sz="0" w:space="0" w:color="auto"/>
        <w:left w:val="none" w:sz="0" w:space="0" w:color="auto"/>
        <w:bottom w:val="none" w:sz="0" w:space="0" w:color="auto"/>
        <w:right w:val="none" w:sz="0" w:space="0" w:color="auto"/>
      </w:divBdr>
    </w:div>
    <w:div w:id="682903131">
      <w:bodyDiv w:val="1"/>
      <w:marLeft w:val="0"/>
      <w:marRight w:val="0"/>
      <w:marTop w:val="0"/>
      <w:marBottom w:val="0"/>
      <w:divBdr>
        <w:top w:val="none" w:sz="0" w:space="0" w:color="auto"/>
        <w:left w:val="none" w:sz="0" w:space="0" w:color="auto"/>
        <w:bottom w:val="none" w:sz="0" w:space="0" w:color="auto"/>
        <w:right w:val="none" w:sz="0" w:space="0" w:color="auto"/>
      </w:divBdr>
    </w:div>
    <w:div w:id="683047936">
      <w:bodyDiv w:val="1"/>
      <w:marLeft w:val="0"/>
      <w:marRight w:val="0"/>
      <w:marTop w:val="0"/>
      <w:marBottom w:val="0"/>
      <w:divBdr>
        <w:top w:val="none" w:sz="0" w:space="0" w:color="auto"/>
        <w:left w:val="none" w:sz="0" w:space="0" w:color="auto"/>
        <w:bottom w:val="none" w:sz="0" w:space="0" w:color="auto"/>
        <w:right w:val="none" w:sz="0" w:space="0" w:color="auto"/>
      </w:divBdr>
    </w:div>
    <w:div w:id="683095347">
      <w:bodyDiv w:val="1"/>
      <w:marLeft w:val="0"/>
      <w:marRight w:val="0"/>
      <w:marTop w:val="0"/>
      <w:marBottom w:val="0"/>
      <w:divBdr>
        <w:top w:val="none" w:sz="0" w:space="0" w:color="auto"/>
        <w:left w:val="none" w:sz="0" w:space="0" w:color="auto"/>
        <w:bottom w:val="none" w:sz="0" w:space="0" w:color="auto"/>
        <w:right w:val="none" w:sz="0" w:space="0" w:color="auto"/>
      </w:divBdr>
    </w:div>
    <w:div w:id="683167945">
      <w:bodyDiv w:val="1"/>
      <w:marLeft w:val="0"/>
      <w:marRight w:val="0"/>
      <w:marTop w:val="0"/>
      <w:marBottom w:val="0"/>
      <w:divBdr>
        <w:top w:val="none" w:sz="0" w:space="0" w:color="auto"/>
        <w:left w:val="none" w:sz="0" w:space="0" w:color="auto"/>
        <w:bottom w:val="none" w:sz="0" w:space="0" w:color="auto"/>
        <w:right w:val="none" w:sz="0" w:space="0" w:color="auto"/>
      </w:divBdr>
    </w:div>
    <w:div w:id="683216082">
      <w:bodyDiv w:val="1"/>
      <w:marLeft w:val="0"/>
      <w:marRight w:val="0"/>
      <w:marTop w:val="0"/>
      <w:marBottom w:val="0"/>
      <w:divBdr>
        <w:top w:val="none" w:sz="0" w:space="0" w:color="auto"/>
        <w:left w:val="none" w:sz="0" w:space="0" w:color="auto"/>
        <w:bottom w:val="none" w:sz="0" w:space="0" w:color="auto"/>
        <w:right w:val="none" w:sz="0" w:space="0" w:color="auto"/>
      </w:divBdr>
    </w:div>
    <w:div w:id="683240337">
      <w:bodyDiv w:val="1"/>
      <w:marLeft w:val="0"/>
      <w:marRight w:val="0"/>
      <w:marTop w:val="0"/>
      <w:marBottom w:val="0"/>
      <w:divBdr>
        <w:top w:val="none" w:sz="0" w:space="0" w:color="auto"/>
        <w:left w:val="none" w:sz="0" w:space="0" w:color="auto"/>
        <w:bottom w:val="none" w:sz="0" w:space="0" w:color="auto"/>
        <w:right w:val="none" w:sz="0" w:space="0" w:color="auto"/>
      </w:divBdr>
    </w:div>
    <w:div w:id="683285925">
      <w:bodyDiv w:val="1"/>
      <w:marLeft w:val="0"/>
      <w:marRight w:val="0"/>
      <w:marTop w:val="0"/>
      <w:marBottom w:val="0"/>
      <w:divBdr>
        <w:top w:val="none" w:sz="0" w:space="0" w:color="auto"/>
        <w:left w:val="none" w:sz="0" w:space="0" w:color="auto"/>
        <w:bottom w:val="none" w:sz="0" w:space="0" w:color="auto"/>
        <w:right w:val="none" w:sz="0" w:space="0" w:color="auto"/>
      </w:divBdr>
    </w:div>
    <w:div w:id="683437027">
      <w:bodyDiv w:val="1"/>
      <w:marLeft w:val="0"/>
      <w:marRight w:val="0"/>
      <w:marTop w:val="0"/>
      <w:marBottom w:val="0"/>
      <w:divBdr>
        <w:top w:val="none" w:sz="0" w:space="0" w:color="auto"/>
        <w:left w:val="none" w:sz="0" w:space="0" w:color="auto"/>
        <w:bottom w:val="none" w:sz="0" w:space="0" w:color="auto"/>
        <w:right w:val="none" w:sz="0" w:space="0" w:color="auto"/>
      </w:divBdr>
    </w:div>
    <w:div w:id="683475753">
      <w:bodyDiv w:val="1"/>
      <w:marLeft w:val="0"/>
      <w:marRight w:val="0"/>
      <w:marTop w:val="0"/>
      <w:marBottom w:val="0"/>
      <w:divBdr>
        <w:top w:val="none" w:sz="0" w:space="0" w:color="auto"/>
        <w:left w:val="none" w:sz="0" w:space="0" w:color="auto"/>
        <w:bottom w:val="none" w:sz="0" w:space="0" w:color="auto"/>
        <w:right w:val="none" w:sz="0" w:space="0" w:color="auto"/>
      </w:divBdr>
    </w:div>
    <w:div w:id="683555243">
      <w:bodyDiv w:val="1"/>
      <w:marLeft w:val="0"/>
      <w:marRight w:val="0"/>
      <w:marTop w:val="0"/>
      <w:marBottom w:val="0"/>
      <w:divBdr>
        <w:top w:val="none" w:sz="0" w:space="0" w:color="auto"/>
        <w:left w:val="none" w:sz="0" w:space="0" w:color="auto"/>
        <w:bottom w:val="none" w:sz="0" w:space="0" w:color="auto"/>
        <w:right w:val="none" w:sz="0" w:space="0" w:color="auto"/>
      </w:divBdr>
    </w:div>
    <w:div w:id="683557010">
      <w:bodyDiv w:val="1"/>
      <w:marLeft w:val="0"/>
      <w:marRight w:val="0"/>
      <w:marTop w:val="0"/>
      <w:marBottom w:val="0"/>
      <w:divBdr>
        <w:top w:val="none" w:sz="0" w:space="0" w:color="auto"/>
        <w:left w:val="none" w:sz="0" w:space="0" w:color="auto"/>
        <w:bottom w:val="none" w:sz="0" w:space="0" w:color="auto"/>
        <w:right w:val="none" w:sz="0" w:space="0" w:color="auto"/>
      </w:divBdr>
    </w:div>
    <w:div w:id="683557581">
      <w:bodyDiv w:val="1"/>
      <w:marLeft w:val="0"/>
      <w:marRight w:val="0"/>
      <w:marTop w:val="0"/>
      <w:marBottom w:val="0"/>
      <w:divBdr>
        <w:top w:val="none" w:sz="0" w:space="0" w:color="auto"/>
        <w:left w:val="none" w:sz="0" w:space="0" w:color="auto"/>
        <w:bottom w:val="none" w:sz="0" w:space="0" w:color="auto"/>
        <w:right w:val="none" w:sz="0" w:space="0" w:color="auto"/>
      </w:divBdr>
    </w:div>
    <w:div w:id="683820320">
      <w:bodyDiv w:val="1"/>
      <w:marLeft w:val="0"/>
      <w:marRight w:val="0"/>
      <w:marTop w:val="0"/>
      <w:marBottom w:val="0"/>
      <w:divBdr>
        <w:top w:val="none" w:sz="0" w:space="0" w:color="auto"/>
        <w:left w:val="none" w:sz="0" w:space="0" w:color="auto"/>
        <w:bottom w:val="none" w:sz="0" w:space="0" w:color="auto"/>
        <w:right w:val="none" w:sz="0" w:space="0" w:color="auto"/>
      </w:divBdr>
    </w:div>
    <w:div w:id="683825044">
      <w:bodyDiv w:val="1"/>
      <w:marLeft w:val="0"/>
      <w:marRight w:val="0"/>
      <w:marTop w:val="0"/>
      <w:marBottom w:val="0"/>
      <w:divBdr>
        <w:top w:val="none" w:sz="0" w:space="0" w:color="auto"/>
        <w:left w:val="none" w:sz="0" w:space="0" w:color="auto"/>
        <w:bottom w:val="none" w:sz="0" w:space="0" w:color="auto"/>
        <w:right w:val="none" w:sz="0" w:space="0" w:color="auto"/>
      </w:divBdr>
    </w:div>
    <w:div w:id="683826569">
      <w:bodyDiv w:val="1"/>
      <w:marLeft w:val="0"/>
      <w:marRight w:val="0"/>
      <w:marTop w:val="0"/>
      <w:marBottom w:val="0"/>
      <w:divBdr>
        <w:top w:val="none" w:sz="0" w:space="0" w:color="auto"/>
        <w:left w:val="none" w:sz="0" w:space="0" w:color="auto"/>
        <w:bottom w:val="none" w:sz="0" w:space="0" w:color="auto"/>
        <w:right w:val="none" w:sz="0" w:space="0" w:color="auto"/>
      </w:divBdr>
    </w:div>
    <w:div w:id="683896156">
      <w:bodyDiv w:val="1"/>
      <w:marLeft w:val="0"/>
      <w:marRight w:val="0"/>
      <w:marTop w:val="0"/>
      <w:marBottom w:val="0"/>
      <w:divBdr>
        <w:top w:val="none" w:sz="0" w:space="0" w:color="auto"/>
        <w:left w:val="none" w:sz="0" w:space="0" w:color="auto"/>
        <w:bottom w:val="none" w:sz="0" w:space="0" w:color="auto"/>
        <w:right w:val="none" w:sz="0" w:space="0" w:color="auto"/>
      </w:divBdr>
    </w:div>
    <w:div w:id="683897301">
      <w:bodyDiv w:val="1"/>
      <w:marLeft w:val="0"/>
      <w:marRight w:val="0"/>
      <w:marTop w:val="0"/>
      <w:marBottom w:val="0"/>
      <w:divBdr>
        <w:top w:val="none" w:sz="0" w:space="0" w:color="auto"/>
        <w:left w:val="none" w:sz="0" w:space="0" w:color="auto"/>
        <w:bottom w:val="none" w:sz="0" w:space="0" w:color="auto"/>
        <w:right w:val="none" w:sz="0" w:space="0" w:color="auto"/>
      </w:divBdr>
    </w:div>
    <w:div w:id="683898560">
      <w:bodyDiv w:val="1"/>
      <w:marLeft w:val="0"/>
      <w:marRight w:val="0"/>
      <w:marTop w:val="0"/>
      <w:marBottom w:val="0"/>
      <w:divBdr>
        <w:top w:val="none" w:sz="0" w:space="0" w:color="auto"/>
        <w:left w:val="none" w:sz="0" w:space="0" w:color="auto"/>
        <w:bottom w:val="none" w:sz="0" w:space="0" w:color="auto"/>
        <w:right w:val="none" w:sz="0" w:space="0" w:color="auto"/>
      </w:divBdr>
    </w:div>
    <w:div w:id="683898913">
      <w:bodyDiv w:val="1"/>
      <w:marLeft w:val="0"/>
      <w:marRight w:val="0"/>
      <w:marTop w:val="0"/>
      <w:marBottom w:val="0"/>
      <w:divBdr>
        <w:top w:val="none" w:sz="0" w:space="0" w:color="auto"/>
        <w:left w:val="none" w:sz="0" w:space="0" w:color="auto"/>
        <w:bottom w:val="none" w:sz="0" w:space="0" w:color="auto"/>
        <w:right w:val="none" w:sz="0" w:space="0" w:color="auto"/>
      </w:divBdr>
    </w:div>
    <w:div w:id="683940995">
      <w:bodyDiv w:val="1"/>
      <w:marLeft w:val="0"/>
      <w:marRight w:val="0"/>
      <w:marTop w:val="0"/>
      <w:marBottom w:val="0"/>
      <w:divBdr>
        <w:top w:val="none" w:sz="0" w:space="0" w:color="auto"/>
        <w:left w:val="none" w:sz="0" w:space="0" w:color="auto"/>
        <w:bottom w:val="none" w:sz="0" w:space="0" w:color="auto"/>
        <w:right w:val="none" w:sz="0" w:space="0" w:color="auto"/>
      </w:divBdr>
    </w:div>
    <w:div w:id="684015119">
      <w:bodyDiv w:val="1"/>
      <w:marLeft w:val="0"/>
      <w:marRight w:val="0"/>
      <w:marTop w:val="0"/>
      <w:marBottom w:val="0"/>
      <w:divBdr>
        <w:top w:val="none" w:sz="0" w:space="0" w:color="auto"/>
        <w:left w:val="none" w:sz="0" w:space="0" w:color="auto"/>
        <w:bottom w:val="none" w:sz="0" w:space="0" w:color="auto"/>
        <w:right w:val="none" w:sz="0" w:space="0" w:color="auto"/>
      </w:divBdr>
    </w:div>
    <w:div w:id="684015481">
      <w:bodyDiv w:val="1"/>
      <w:marLeft w:val="0"/>
      <w:marRight w:val="0"/>
      <w:marTop w:val="0"/>
      <w:marBottom w:val="0"/>
      <w:divBdr>
        <w:top w:val="none" w:sz="0" w:space="0" w:color="auto"/>
        <w:left w:val="none" w:sz="0" w:space="0" w:color="auto"/>
        <w:bottom w:val="none" w:sz="0" w:space="0" w:color="auto"/>
        <w:right w:val="none" w:sz="0" w:space="0" w:color="auto"/>
      </w:divBdr>
    </w:div>
    <w:div w:id="684206170">
      <w:bodyDiv w:val="1"/>
      <w:marLeft w:val="0"/>
      <w:marRight w:val="0"/>
      <w:marTop w:val="0"/>
      <w:marBottom w:val="0"/>
      <w:divBdr>
        <w:top w:val="none" w:sz="0" w:space="0" w:color="auto"/>
        <w:left w:val="none" w:sz="0" w:space="0" w:color="auto"/>
        <w:bottom w:val="none" w:sz="0" w:space="0" w:color="auto"/>
        <w:right w:val="none" w:sz="0" w:space="0" w:color="auto"/>
      </w:divBdr>
    </w:div>
    <w:div w:id="684210656">
      <w:bodyDiv w:val="1"/>
      <w:marLeft w:val="0"/>
      <w:marRight w:val="0"/>
      <w:marTop w:val="0"/>
      <w:marBottom w:val="0"/>
      <w:divBdr>
        <w:top w:val="none" w:sz="0" w:space="0" w:color="auto"/>
        <w:left w:val="none" w:sz="0" w:space="0" w:color="auto"/>
        <w:bottom w:val="none" w:sz="0" w:space="0" w:color="auto"/>
        <w:right w:val="none" w:sz="0" w:space="0" w:color="auto"/>
      </w:divBdr>
    </w:div>
    <w:div w:id="684214864">
      <w:bodyDiv w:val="1"/>
      <w:marLeft w:val="0"/>
      <w:marRight w:val="0"/>
      <w:marTop w:val="0"/>
      <w:marBottom w:val="0"/>
      <w:divBdr>
        <w:top w:val="none" w:sz="0" w:space="0" w:color="auto"/>
        <w:left w:val="none" w:sz="0" w:space="0" w:color="auto"/>
        <w:bottom w:val="none" w:sz="0" w:space="0" w:color="auto"/>
        <w:right w:val="none" w:sz="0" w:space="0" w:color="auto"/>
      </w:divBdr>
    </w:div>
    <w:div w:id="684289065">
      <w:bodyDiv w:val="1"/>
      <w:marLeft w:val="0"/>
      <w:marRight w:val="0"/>
      <w:marTop w:val="0"/>
      <w:marBottom w:val="0"/>
      <w:divBdr>
        <w:top w:val="none" w:sz="0" w:space="0" w:color="auto"/>
        <w:left w:val="none" w:sz="0" w:space="0" w:color="auto"/>
        <w:bottom w:val="none" w:sz="0" w:space="0" w:color="auto"/>
        <w:right w:val="none" w:sz="0" w:space="0" w:color="auto"/>
      </w:divBdr>
    </w:div>
    <w:div w:id="684331852">
      <w:bodyDiv w:val="1"/>
      <w:marLeft w:val="0"/>
      <w:marRight w:val="0"/>
      <w:marTop w:val="0"/>
      <w:marBottom w:val="0"/>
      <w:divBdr>
        <w:top w:val="none" w:sz="0" w:space="0" w:color="auto"/>
        <w:left w:val="none" w:sz="0" w:space="0" w:color="auto"/>
        <w:bottom w:val="none" w:sz="0" w:space="0" w:color="auto"/>
        <w:right w:val="none" w:sz="0" w:space="0" w:color="auto"/>
      </w:divBdr>
    </w:div>
    <w:div w:id="684484516">
      <w:bodyDiv w:val="1"/>
      <w:marLeft w:val="0"/>
      <w:marRight w:val="0"/>
      <w:marTop w:val="0"/>
      <w:marBottom w:val="0"/>
      <w:divBdr>
        <w:top w:val="none" w:sz="0" w:space="0" w:color="auto"/>
        <w:left w:val="none" w:sz="0" w:space="0" w:color="auto"/>
        <w:bottom w:val="none" w:sz="0" w:space="0" w:color="auto"/>
        <w:right w:val="none" w:sz="0" w:space="0" w:color="auto"/>
      </w:divBdr>
    </w:div>
    <w:div w:id="684599962">
      <w:bodyDiv w:val="1"/>
      <w:marLeft w:val="0"/>
      <w:marRight w:val="0"/>
      <w:marTop w:val="0"/>
      <w:marBottom w:val="0"/>
      <w:divBdr>
        <w:top w:val="none" w:sz="0" w:space="0" w:color="auto"/>
        <w:left w:val="none" w:sz="0" w:space="0" w:color="auto"/>
        <w:bottom w:val="none" w:sz="0" w:space="0" w:color="auto"/>
        <w:right w:val="none" w:sz="0" w:space="0" w:color="auto"/>
      </w:divBdr>
    </w:div>
    <w:div w:id="684675690">
      <w:bodyDiv w:val="1"/>
      <w:marLeft w:val="0"/>
      <w:marRight w:val="0"/>
      <w:marTop w:val="0"/>
      <w:marBottom w:val="0"/>
      <w:divBdr>
        <w:top w:val="none" w:sz="0" w:space="0" w:color="auto"/>
        <w:left w:val="none" w:sz="0" w:space="0" w:color="auto"/>
        <w:bottom w:val="none" w:sz="0" w:space="0" w:color="auto"/>
        <w:right w:val="none" w:sz="0" w:space="0" w:color="auto"/>
      </w:divBdr>
    </w:div>
    <w:div w:id="684747638">
      <w:bodyDiv w:val="1"/>
      <w:marLeft w:val="0"/>
      <w:marRight w:val="0"/>
      <w:marTop w:val="0"/>
      <w:marBottom w:val="0"/>
      <w:divBdr>
        <w:top w:val="none" w:sz="0" w:space="0" w:color="auto"/>
        <w:left w:val="none" w:sz="0" w:space="0" w:color="auto"/>
        <w:bottom w:val="none" w:sz="0" w:space="0" w:color="auto"/>
        <w:right w:val="none" w:sz="0" w:space="0" w:color="auto"/>
      </w:divBdr>
    </w:div>
    <w:div w:id="684868527">
      <w:bodyDiv w:val="1"/>
      <w:marLeft w:val="0"/>
      <w:marRight w:val="0"/>
      <w:marTop w:val="0"/>
      <w:marBottom w:val="0"/>
      <w:divBdr>
        <w:top w:val="none" w:sz="0" w:space="0" w:color="auto"/>
        <w:left w:val="none" w:sz="0" w:space="0" w:color="auto"/>
        <w:bottom w:val="none" w:sz="0" w:space="0" w:color="auto"/>
        <w:right w:val="none" w:sz="0" w:space="0" w:color="auto"/>
      </w:divBdr>
    </w:div>
    <w:div w:id="685012697">
      <w:bodyDiv w:val="1"/>
      <w:marLeft w:val="0"/>
      <w:marRight w:val="0"/>
      <w:marTop w:val="0"/>
      <w:marBottom w:val="0"/>
      <w:divBdr>
        <w:top w:val="none" w:sz="0" w:space="0" w:color="auto"/>
        <w:left w:val="none" w:sz="0" w:space="0" w:color="auto"/>
        <w:bottom w:val="none" w:sz="0" w:space="0" w:color="auto"/>
        <w:right w:val="none" w:sz="0" w:space="0" w:color="auto"/>
      </w:divBdr>
    </w:div>
    <w:div w:id="685061133">
      <w:bodyDiv w:val="1"/>
      <w:marLeft w:val="0"/>
      <w:marRight w:val="0"/>
      <w:marTop w:val="0"/>
      <w:marBottom w:val="0"/>
      <w:divBdr>
        <w:top w:val="none" w:sz="0" w:space="0" w:color="auto"/>
        <w:left w:val="none" w:sz="0" w:space="0" w:color="auto"/>
        <w:bottom w:val="none" w:sz="0" w:space="0" w:color="auto"/>
        <w:right w:val="none" w:sz="0" w:space="0" w:color="auto"/>
      </w:divBdr>
    </w:div>
    <w:div w:id="685254505">
      <w:bodyDiv w:val="1"/>
      <w:marLeft w:val="0"/>
      <w:marRight w:val="0"/>
      <w:marTop w:val="0"/>
      <w:marBottom w:val="0"/>
      <w:divBdr>
        <w:top w:val="none" w:sz="0" w:space="0" w:color="auto"/>
        <w:left w:val="none" w:sz="0" w:space="0" w:color="auto"/>
        <w:bottom w:val="none" w:sz="0" w:space="0" w:color="auto"/>
        <w:right w:val="none" w:sz="0" w:space="0" w:color="auto"/>
      </w:divBdr>
    </w:div>
    <w:div w:id="685637815">
      <w:bodyDiv w:val="1"/>
      <w:marLeft w:val="0"/>
      <w:marRight w:val="0"/>
      <w:marTop w:val="0"/>
      <w:marBottom w:val="0"/>
      <w:divBdr>
        <w:top w:val="none" w:sz="0" w:space="0" w:color="auto"/>
        <w:left w:val="none" w:sz="0" w:space="0" w:color="auto"/>
        <w:bottom w:val="none" w:sz="0" w:space="0" w:color="auto"/>
        <w:right w:val="none" w:sz="0" w:space="0" w:color="auto"/>
      </w:divBdr>
    </w:div>
    <w:div w:id="685641792">
      <w:bodyDiv w:val="1"/>
      <w:marLeft w:val="0"/>
      <w:marRight w:val="0"/>
      <w:marTop w:val="0"/>
      <w:marBottom w:val="0"/>
      <w:divBdr>
        <w:top w:val="none" w:sz="0" w:space="0" w:color="auto"/>
        <w:left w:val="none" w:sz="0" w:space="0" w:color="auto"/>
        <w:bottom w:val="none" w:sz="0" w:space="0" w:color="auto"/>
        <w:right w:val="none" w:sz="0" w:space="0" w:color="auto"/>
      </w:divBdr>
    </w:div>
    <w:div w:id="685787128">
      <w:bodyDiv w:val="1"/>
      <w:marLeft w:val="0"/>
      <w:marRight w:val="0"/>
      <w:marTop w:val="0"/>
      <w:marBottom w:val="0"/>
      <w:divBdr>
        <w:top w:val="none" w:sz="0" w:space="0" w:color="auto"/>
        <w:left w:val="none" w:sz="0" w:space="0" w:color="auto"/>
        <w:bottom w:val="none" w:sz="0" w:space="0" w:color="auto"/>
        <w:right w:val="none" w:sz="0" w:space="0" w:color="auto"/>
      </w:divBdr>
    </w:div>
    <w:div w:id="685904037">
      <w:bodyDiv w:val="1"/>
      <w:marLeft w:val="0"/>
      <w:marRight w:val="0"/>
      <w:marTop w:val="0"/>
      <w:marBottom w:val="0"/>
      <w:divBdr>
        <w:top w:val="none" w:sz="0" w:space="0" w:color="auto"/>
        <w:left w:val="none" w:sz="0" w:space="0" w:color="auto"/>
        <w:bottom w:val="none" w:sz="0" w:space="0" w:color="auto"/>
        <w:right w:val="none" w:sz="0" w:space="0" w:color="auto"/>
      </w:divBdr>
    </w:div>
    <w:div w:id="685987182">
      <w:bodyDiv w:val="1"/>
      <w:marLeft w:val="0"/>
      <w:marRight w:val="0"/>
      <w:marTop w:val="0"/>
      <w:marBottom w:val="0"/>
      <w:divBdr>
        <w:top w:val="none" w:sz="0" w:space="0" w:color="auto"/>
        <w:left w:val="none" w:sz="0" w:space="0" w:color="auto"/>
        <w:bottom w:val="none" w:sz="0" w:space="0" w:color="auto"/>
        <w:right w:val="none" w:sz="0" w:space="0" w:color="auto"/>
      </w:divBdr>
    </w:div>
    <w:div w:id="686100670">
      <w:bodyDiv w:val="1"/>
      <w:marLeft w:val="0"/>
      <w:marRight w:val="0"/>
      <w:marTop w:val="0"/>
      <w:marBottom w:val="0"/>
      <w:divBdr>
        <w:top w:val="none" w:sz="0" w:space="0" w:color="auto"/>
        <w:left w:val="none" w:sz="0" w:space="0" w:color="auto"/>
        <w:bottom w:val="none" w:sz="0" w:space="0" w:color="auto"/>
        <w:right w:val="none" w:sz="0" w:space="0" w:color="auto"/>
      </w:divBdr>
    </w:div>
    <w:div w:id="686102852">
      <w:bodyDiv w:val="1"/>
      <w:marLeft w:val="0"/>
      <w:marRight w:val="0"/>
      <w:marTop w:val="0"/>
      <w:marBottom w:val="0"/>
      <w:divBdr>
        <w:top w:val="none" w:sz="0" w:space="0" w:color="auto"/>
        <w:left w:val="none" w:sz="0" w:space="0" w:color="auto"/>
        <w:bottom w:val="none" w:sz="0" w:space="0" w:color="auto"/>
        <w:right w:val="none" w:sz="0" w:space="0" w:color="auto"/>
      </w:divBdr>
    </w:div>
    <w:div w:id="686252001">
      <w:bodyDiv w:val="1"/>
      <w:marLeft w:val="0"/>
      <w:marRight w:val="0"/>
      <w:marTop w:val="0"/>
      <w:marBottom w:val="0"/>
      <w:divBdr>
        <w:top w:val="none" w:sz="0" w:space="0" w:color="auto"/>
        <w:left w:val="none" w:sz="0" w:space="0" w:color="auto"/>
        <w:bottom w:val="none" w:sz="0" w:space="0" w:color="auto"/>
        <w:right w:val="none" w:sz="0" w:space="0" w:color="auto"/>
      </w:divBdr>
    </w:div>
    <w:div w:id="686366140">
      <w:bodyDiv w:val="1"/>
      <w:marLeft w:val="0"/>
      <w:marRight w:val="0"/>
      <w:marTop w:val="0"/>
      <w:marBottom w:val="0"/>
      <w:divBdr>
        <w:top w:val="none" w:sz="0" w:space="0" w:color="auto"/>
        <w:left w:val="none" w:sz="0" w:space="0" w:color="auto"/>
        <w:bottom w:val="none" w:sz="0" w:space="0" w:color="auto"/>
        <w:right w:val="none" w:sz="0" w:space="0" w:color="auto"/>
      </w:divBdr>
    </w:div>
    <w:div w:id="686372742">
      <w:bodyDiv w:val="1"/>
      <w:marLeft w:val="0"/>
      <w:marRight w:val="0"/>
      <w:marTop w:val="0"/>
      <w:marBottom w:val="0"/>
      <w:divBdr>
        <w:top w:val="none" w:sz="0" w:space="0" w:color="auto"/>
        <w:left w:val="none" w:sz="0" w:space="0" w:color="auto"/>
        <w:bottom w:val="none" w:sz="0" w:space="0" w:color="auto"/>
        <w:right w:val="none" w:sz="0" w:space="0" w:color="auto"/>
      </w:divBdr>
    </w:div>
    <w:div w:id="686441887">
      <w:bodyDiv w:val="1"/>
      <w:marLeft w:val="0"/>
      <w:marRight w:val="0"/>
      <w:marTop w:val="0"/>
      <w:marBottom w:val="0"/>
      <w:divBdr>
        <w:top w:val="none" w:sz="0" w:space="0" w:color="auto"/>
        <w:left w:val="none" w:sz="0" w:space="0" w:color="auto"/>
        <w:bottom w:val="none" w:sz="0" w:space="0" w:color="auto"/>
        <w:right w:val="none" w:sz="0" w:space="0" w:color="auto"/>
      </w:divBdr>
    </w:div>
    <w:div w:id="686516292">
      <w:bodyDiv w:val="1"/>
      <w:marLeft w:val="0"/>
      <w:marRight w:val="0"/>
      <w:marTop w:val="0"/>
      <w:marBottom w:val="0"/>
      <w:divBdr>
        <w:top w:val="none" w:sz="0" w:space="0" w:color="auto"/>
        <w:left w:val="none" w:sz="0" w:space="0" w:color="auto"/>
        <w:bottom w:val="none" w:sz="0" w:space="0" w:color="auto"/>
        <w:right w:val="none" w:sz="0" w:space="0" w:color="auto"/>
      </w:divBdr>
    </w:div>
    <w:div w:id="686518809">
      <w:bodyDiv w:val="1"/>
      <w:marLeft w:val="0"/>
      <w:marRight w:val="0"/>
      <w:marTop w:val="0"/>
      <w:marBottom w:val="0"/>
      <w:divBdr>
        <w:top w:val="none" w:sz="0" w:space="0" w:color="auto"/>
        <w:left w:val="none" w:sz="0" w:space="0" w:color="auto"/>
        <w:bottom w:val="none" w:sz="0" w:space="0" w:color="auto"/>
        <w:right w:val="none" w:sz="0" w:space="0" w:color="auto"/>
      </w:divBdr>
    </w:div>
    <w:div w:id="686521229">
      <w:bodyDiv w:val="1"/>
      <w:marLeft w:val="0"/>
      <w:marRight w:val="0"/>
      <w:marTop w:val="0"/>
      <w:marBottom w:val="0"/>
      <w:divBdr>
        <w:top w:val="none" w:sz="0" w:space="0" w:color="auto"/>
        <w:left w:val="none" w:sz="0" w:space="0" w:color="auto"/>
        <w:bottom w:val="none" w:sz="0" w:space="0" w:color="auto"/>
        <w:right w:val="none" w:sz="0" w:space="0" w:color="auto"/>
      </w:divBdr>
    </w:div>
    <w:div w:id="686710717">
      <w:bodyDiv w:val="1"/>
      <w:marLeft w:val="0"/>
      <w:marRight w:val="0"/>
      <w:marTop w:val="0"/>
      <w:marBottom w:val="0"/>
      <w:divBdr>
        <w:top w:val="none" w:sz="0" w:space="0" w:color="auto"/>
        <w:left w:val="none" w:sz="0" w:space="0" w:color="auto"/>
        <w:bottom w:val="none" w:sz="0" w:space="0" w:color="auto"/>
        <w:right w:val="none" w:sz="0" w:space="0" w:color="auto"/>
      </w:divBdr>
    </w:div>
    <w:div w:id="686978975">
      <w:bodyDiv w:val="1"/>
      <w:marLeft w:val="0"/>
      <w:marRight w:val="0"/>
      <w:marTop w:val="0"/>
      <w:marBottom w:val="0"/>
      <w:divBdr>
        <w:top w:val="none" w:sz="0" w:space="0" w:color="auto"/>
        <w:left w:val="none" w:sz="0" w:space="0" w:color="auto"/>
        <w:bottom w:val="none" w:sz="0" w:space="0" w:color="auto"/>
        <w:right w:val="none" w:sz="0" w:space="0" w:color="auto"/>
      </w:divBdr>
    </w:div>
    <w:div w:id="687028865">
      <w:bodyDiv w:val="1"/>
      <w:marLeft w:val="0"/>
      <w:marRight w:val="0"/>
      <w:marTop w:val="0"/>
      <w:marBottom w:val="0"/>
      <w:divBdr>
        <w:top w:val="none" w:sz="0" w:space="0" w:color="auto"/>
        <w:left w:val="none" w:sz="0" w:space="0" w:color="auto"/>
        <w:bottom w:val="none" w:sz="0" w:space="0" w:color="auto"/>
        <w:right w:val="none" w:sz="0" w:space="0" w:color="auto"/>
      </w:divBdr>
    </w:div>
    <w:div w:id="687175274">
      <w:bodyDiv w:val="1"/>
      <w:marLeft w:val="0"/>
      <w:marRight w:val="0"/>
      <w:marTop w:val="0"/>
      <w:marBottom w:val="0"/>
      <w:divBdr>
        <w:top w:val="none" w:sz="0" w:space="0" w:color="auto"/>
        <w:left w:val="none" w:sz="0" w:space="0" w:color="auto"/>
        <w:bottom w:val="none" w:sz="0" w:space="0" w:color="auto"/>
        <w:right w:val="none" w:sz="0" w:space="0" w:color="auto"/>
      </w:divBdr>
    </w:div>
    <w:div w:id="687217066">
      <w:bodyDiv w:val="1"/>
      <w:marLeft w:val="0"/>
      <w:marRight w:val="0"/>
      <w:marTop w:val="0"/>
      <w:marBottom w:val="0"/>
      <w:divBdr>
        <w:top w:val="none" w:sz="0" w:space="0" w:color="auto"/>
        <w:left w:val="none" w:sz="0" w:space="0" w:color="auto"/>
        <w:bottom w:val="none" w:sz="0" w:space="0" w:color="auto"/>
        <w:right w:val="none" w:sz="0" w:space="0" w:color="auto"/>
      </w:divBdr>
    </w:div>
    <w:div w:id="687218996">
      <w:bodyDiv w:val="1"/>
      <w:marLeft w:val="0"/>
      <w:marRight w:val="0"/>
      <w:marTop w:val="0"/>
      <w:marBottom w:val="0"/>
      <w:divBdr>
        <w:top w:val="none" w:sz="0" w:space="0" w:color="auto"/>
        <w:left w:val="none" w:sz="0" w:space="0" w:color="auto"/>
        <w:bottom w:val="none" w:sz="0" w:space="0" w:color="auto"/>
        <w:right w:val="none" w:sz="0" w:space="0" w:color="auto"/>
      </w:divBdr>
    </w:div>
    <w:div w:id="687292395">
      <w:bodyDiv w:val="1"/>
      <w:marLeft w:val="0"/>
      <w:marRight w:val="0"/>
      <w:marTop w:val="0"/>
      <w:marBottom w:val="0"/>
      <w:divBdr>
        <w:top w:val="none" w:sz="0" w:space="0" w:color="auto"/>
        <w:left w:val="none" w:sz="0" w:space="0" w:color="auto"/>
        <w:bottom w:val="none" w:sz="0" w:space="0" w:color="auto"/>
        <w:right w:val="none" w:sz="0" w:space="0" w:color="auto"/>
      </w:divBdr>
    </w:div>
    <w:div w:id="687296580">
      <w:bodyDiv w:val="1"/>
      <w:marLeft w:val="0"/>
      <w:marRight w:val="0"/>
      <w:marTop w:val="0"/>
      <w:marBottom w:val="0"/>
      <w:divBdr>
        <w:top w:val="none" w:sz="0" w:space="0" w:color="auto"/>
        <w:left w:val="none" w:sz="0" w:space="0" w:color="auto"/>
        <w:bottom w:val="none" w:sz="0" w:space="0" w:color="auto"/>
        <w:right w:val="none" w:sz="0" w:space="0" w:color="auto"/>
      </w:divBdr>
    </w:div>
    <w:div w:id="687411550">
      <w:bodyDiv w:val="1"/>
      <w:marLeft w:val="0"/>
      <w:marRight w:val="0"/>
      <w:marTop w:val="0"/>
      <w:marBottom w:val="0"/>
      <w:divBdr>
        <w:top w:val="none" w:sz="0" w:space="0" w:color="auto"/>
        <w:left w:val="none" w:sz="0" w:space="0" w:color="auto"/>
        <w:bottom w:val="none" w:sz="0" w:space="0" w:color="auto"/>
        <w:right w:val="none" w:sz="0" w:space="0" w:color="auto"/>
      </w:divBdr>
    </w:div>
    <w:div w:id="687411584">
      <w:bodyDiv w:val="1"/>
      <w:marLeft w:val="0"/>
      <w:marRight w:val="0"/>
      <w:marTop w:val="0"/>
      <w:marBottom w:val="0"/>
      <w:divBdr>
        <w:top w:val="none" w:sz="0" w:space="0" w:color="auto"/>
        <w:left w:val="none" w:sz="0" w:space="0" w:color="auto"/>
        <w:bottom w:val="none" w:sz="0" w:space="0" w:color="auto"/>
        <w:right w:val="none" w:sz="0" w:space="0" w:color="auto"/>
      </w:divBdr>
    </w:div>
    <w:div w:id="687412694">
      <w:bodyDiv w:val="1"/>
      <w:marLeft w:val="0"/>
      <w:marRight w:val="0"/>
      <w:marTop w:val="0"/>
      <w:marBottom w:val="0"/>
      <w:divBdr>
        <w:top w:val="none" w:sz="0" w:space="0" w:color="auto"/>
        <w:left w:val="none" w:sz="0" w:space="0" w:color="auto"/>
        <w:bottom w:val="none" w:sz="0" w:space="0" w:color="auto"/>
        <w:right w:val="none" w:sz="0" w:space="0" w:color="auto"/>
      </w:divBdr>
    </w:div>
    <w:div w:id="687490917">
      <w:bodyDiv w:val="1"/>
      <w:marLeft w:val="0"/>
      <w:marRight w:val="0"/>
      <w:marTop w:val="0"/>
      <w:marBottom w:val="0"/>
      <w:divBdr>
        <w:top w:val="none" w:sz="0" w:space="0" w:color="auto"/>
        <w:left w:val="none" w:sz="0" w:space="0" w:color="auto"/>
        <w:bottom w:val="none" w:sz="0" w:space="0" w:color="auto"/>
        <w:right w:val="none" w:sz="0" w:space="0" w:color="auto"/>
      </w:divBdr>
    </w:div>
    <w:div w:id="687605157">
      <w:bodyDiv w:val="1"/>
      <w:marLeft w:val="0"/>
      <w:marRight w:val="0"/>
      <w:marTop w:val="0"/>
      <w:marBottom w:val="0"/>
      <w:divBdr>
        <w:top w:val="none" w:sz="0" w:space="0" w:color="auto"/>
        <w:left w:val="none" w:sz="0" w:space="0" w:color="auto"/>
        <w:bottom w:val="none" w:sz="0" w:space="0" w:color="auto"/>
        <w:right w:val="none" w:sz="0" w:space="0" w:color="auto"/>
      </w:divBdr>
    </w:div>
    <w:div w:id="687607318">
      <w:bodyDiv w:val="1"/>
      <w:marLeft w:val="0"/>
      <w:marRight w:val="0"/>
      <w:marTop w:val="0"/>
      <w:marBottom w:val="0"/>
      <w:divBdr>
        <w:top w:val="none" w:sz="0" w:space="0" w:color="auto"/>
        <w:left w:val="none" w:sz="0" w:space="0" w:color="auto"/>
        <w:bottom w:val="none" w:sz="0" w:space="0" w:color="auto"/>
        <w:right w:val="none" w:sz="0" w:space="0" w:color="auto"/>
      </w:divBdr>
    </w:div>
    <w:div w:id="687679485">
      <w:bodyDiv w:val="1"/>
      <w:marLeft w:val="0"/>
      <w:marRight w:val="0"/>
      <w:marTop w:val="0"/>
      <w:marBottom w:val="0"/>
      <w:divBdr>
        <w:top w:val="none" w:sz="0" w:space="0" w:color="auto"/>
        <w:left w:val="none" w:sz="0" w:space="0" w:color="auto"/>
        <w:bottom w:val="none" w:sz="0" w:space="0" w:color="auto"/>
        <w:right w:val="none" w:sz="0" w:space="0" w:color="auto"/>
      </w:divBdr>
    </w:div>
    <w:div w:id="687872575">
      <w:bodyDiv w:val="1"/>
      <w:marLeft w:val="0"/>
      <w:marRight w:val="0"/>
      <w:marTop w:val="0"/>
      <w:marBottom w:val="0"/>
      <w:divBdr>
        <w:top w:val="none" w:sz="0" w:space="0" w:color="auto"/>
        <w:left w:val="none" w:sz="0" w:space="0" w:color="auto"/>
        <w:bottom w:val="none" w:sz="0" w:space="0" w:color="auto"/>
        <w:right w:val="none" w:sz="0" w:space="0" w:color="auto"/>
      </w:divBdr>
    </w:div>
    <w:div w:id="687945737">
      <w:bodyDiv w:val="1"/>
      <w:marLeft w:val="0"/>
      <w:marRight w:val="0"/>
      <w:marTop w:val="0"/>
      <w:marBottom w:val="0"/>
      <w:divBdr>
        <w:top w:val="none" w:sz="0" w:space="0" w:color="auto"/>
        <w:left w:val="none" w:sz="0" w:space="0" w:color="auto"/>
        <w:bottom w:val="none" w:sz="0" w:space="0" w:color="auto"/>
        <w:right w:val="none" w:sz="0" w:space="0" w:color="auto"/>
      </w:divBdr>
    </w:div>
    <w:div w:id="687948373">
      <w:bodyDiv w:val="1"/>
      <w:marLeft w:val="0"/>
      <w:marRight w:val="0"/>
      <w:marTop w:val="0"/>
      <w:marBottom w:val="0"/>
      <w:divBdr>
        <w:top w:val="none" w:sz="0" w:space="0" w:color="auto"/>
        <w:left w:val="none" w:sz="0" w:space="0" w:color="auto"/>
        <w:bottom w:val="none" w:sz="0" w:space="0" w:color="auto"/>
        <w:right w:val="none" w:sz="0" w:space="0" w:color="auto"/>
      </w:divBdr>
    </w:div>
    <w:div w:id="688028890">
      <w:bodyDiv w:val="1"/>
      <w:marLeft w:val="0"/>
      <w:marRight w:val="0"/>
      <w:marTop w:val="0"/>
      <w:marBottom w:val="0"/>
      <w:divBdr>
        <w:top w:val="none" w:sz="0" w:space="0" w:color="auto"/>
        <w:left w:val="none" w:sz="0" w:space="0" w:color="auto"/>
        <w:bottom w:val="none" w:sz="0" w:space="0" w:color="auto"/>
        <w:right w:val="none" w:sz="0" w:space="0" w:color="auto"/>
      </w:divBdr>
    </w:div>
    <w:div w:id="688141185">
      <w:bodyDiv w:val="1"/>
      <w:marLeft w:val="0"/>
      <w:marRight w:val="0"/>
      <w:marTop w:val="0"/>
      <w:marBottom w:val="0"/>
      <w:divBdr>
        <w:top w:val="none" w:sz="0" w:space="0" w:color="auto"/>
        <w:left w:val="none" w:sz="0" w:space="0" w:color="auto"/>
        <w:bottom w:val="none" w:sz="0" w:space="0" w:color="auto"/>
        <w:right w:val="none" w:sz="0" w:space="0" w:color="auto"/>
      </w:divBdr>
    </w:div>
    <w:div w:id="688144374">
      <w:bodyDiv w:val="1"/>
      <w:marLeft w:val="0"/>
      <w:marRight w:val="0"/>
      <w:marTop w:val="0"/>
      <w:marBottom w:val="0"/>
      <w:divBdr>
        <w:top w:val="none" w:sz="0" w:space="0" w:color="auto"/>
        <w:left w:val="none" w:sz="0" w:space="0" w:color="auto"/>
        <w:bottom w:val="none" w:sz="0" w:space="0" w:color="auto"/>
        <w:right w:val="none" w:sz="0" w:space="0" w:color="auto"/>
      </w:divBdr>
    </w:div>
    <w:div w:id="688145669">
      <w:bodyDiv w:val="1"/>
      <w:marLeft w:val="0"/>
      <w:marRight w:val="0"/>
      <w:marTop w:val="0"/>
      <w:marBottom w:val="0"/>
      <w:divBdr>
        <w:top w:val="none" w:sz="0" w:space="0" w:color="auto"/>
        <w:left w:val="none" w:sz="0" w:space="0" w:color="auto"/>
        <w:bottom w:val="none" w:sz="0" w:space="0" w:color="auto"/>
        <w:right w:val="none" w:sz="0" w:space="0" w:color="auto"/>
      </w:divBdr>
    </w:div>
    <w:div w:id="688146323">
      <w:bodyDiv w:val="1"/>
      <w:marLeft w:val="0"/>
      <w:marRight w:val="0"/>
      <w:marTop w:val="0"/>
      <w:marBottom w:val="0"/>
      <w:divBdr>
        <w:top w:val="none" w:sz="0" w:space="0" w:color="auto"/>
        <w:left w:val="none" w:sz="0" w:space="0" w:color="auto"/>
        <w:bottom w:val="none" w:sz="0" w:space="0" w:color="auto"/>
        <w:right w:val="none" w:sz="0" w:space="0" w:color="auto"/>
      </w:divBdr>
    </w:div>
    <w:div w:id="688221258">
      <w:bodyDiv w:val="1"/>
      <w:marLeft w:val="0"/>
      <w:marRight w:val="0"/>
      <w:marTop w:val="0"/>
      <w:marBottom w:val="0"/>
      <w:divBdr>
        <w:top w:val="none" w:sz="0" w:space="0" w:color="auto"/>
        <w:left w:val="none" w:sz="0" w:space="0" w:color="auto"/>
        <w:bottom w:val="none" w:sz="0" w:space="0" w:color="auto"/>
        <w:right w:val="none" w:sz="0" w:space="0" w:color="auto"/>
      </w:divBdr>
    </w:div>
    <w:div w:id="688221307">
      <w:bodyDiv w:val="1"/>
      <w:marLeft w:val="0"/>
      <w:marRight w:val="0"/>
      <w:marTop w:val="0"/>
      <w:marBottom w:val="0"/>
      <w:divBdr>
        <w:top w:val="none" w:sz="0" w:space="0" w:color="auto"/>
        <w:left w:val="none" w:sz="0" w:space="0" w:color="auto"/>
        <w:bottom w:val="none" w:sz="0" w:space="0" w:color="auto"/>
        <w:right w:val="none" w:sz="0" w:space="0" w:color="auto"/>
      </w:divBdr>
    </w:div>
    <w:div w:id="688334227">
      <w:bodyDiv w:val="1"/>
      <w:marLeft w:val="0"/>
      <w:marRight w:val="0"/>
      <w:marTop w:val="0"/>
      <w:marBottom w:val="0"/>
      <w:divBdr>
        <w:top w:val="none" w:sz="0" w:space="0" w:color="auto"/>
        <w:left w:val="none" w:sz="0" w:space="0" w:color="auto"/>
        <w:bottom w:val="none" w:sz="0" w:space="0" w:color="auto"/>
        <w:right w:val="none" w:sz="0" w:space="0" w:color="auto"/>
      </w:divBdr>
    </w:div>
    <w:div w:id="688337095">
      <w:bodyDiv w:val="1"/>
      <w:marLeft w:val="0"/>
      <w:marRight w:val="0"/>
      <w:marTop w:val="0"/>
      <w:marBottom w:val="0"/>
      <w:divBdr>
        <w:top w:val="none" w:sz="0" w:space="0" w:color="auto"/>
        <w:left w:val="none" w:sz="0" w:space="0" w:color="auto"/>
        <w:bottom w:val="none" w:sz="0" w:space="0" w:color="auto"/>
        <w:right w:val="none" w:sz="0" w:space="0" w:color="auto"/>
      </w:divBdr>
    </w:div>
    <w:div w:id="688458239">
      <w:bodyDiv w:val="1"/>
      <w:marLeft w:val="0"/>
      <w:marRight w:val="0"/>
      <w:marTop w:val="0"/>
      <w:marBottom w:val="0"/>
      <w:divBdr>
        <w:top w:val="none" w:sz="0" w:space="0" w:color="auto"/>
        <w:left w:val="none" w:sz="0" w:space="0" w:color="auto"/>
        <w:bottom w:val="none" w:sz="0" w:space="0" w:color="auto"/>
        <w:right w:val="none" w:sz="0" w:space="0" w:color="auto"/>
      </w:divBdr>
    </w:div>
    <w:div w:id="688482714">
      <w:bodyDiv w:val="1"/>
      <w:marLeft w:val="0"/>
      <w:marRight w:val="0"/>
      <w:marTop w:val="0"/>
      <w:marBottom w:val="0"/>
      <w:divBdr>
        <w:top w:val="none" w:sz="0" w:space="0" w:color="auto"/>
        <w:left w:val="none" w:sz="0" w:space="0" w:color="auto"/>
        <w:bottom w:val="none" w:sz="0" w:space="0" w:color="auto"/>
        <w:right w:val="none" w:sz="0" w:space="0" w:color="auto"/>
      </w:divBdr>
    </w:div>
    <w:div w:id="688526680">
      <w:bodyDiv w:val="1"/>
      <w:marLeft w:val="0"/>
      <w:marRight w:val="0"/>
      <w:marTop w:val="0"/>
      <w:marBottom w:val="0"/>
      <w:divBdr>
        <w:top w:val="none" w:sz="0" w:space="0" w:color="auto"/>
        <w:left w:val="none" w:sz="0" w:space="0" w:color="auto"/>
        <w:bottom w:val="none" w:sz="0" w:space="0" w:color="auto"/>
        <w:right w:val="none" w:sz="0" w:space="0" w:color="auto"/>
      </w:divBdr>
    </w:div>
    <w:div w:id="688721835">
      <w:bodyDiv w:val="1"/>
      <w:marLeft w:val="0"/>
      <w:marRight w:val="0"/>
      <w:marTop w:val="0"/>
      <w:marBottom w:val="0"/>
      <w:divBdr>
        <w:top w:val="none" w:sz="0" w:space="0" w:color="auto"/>
        <w:left w:val="none" w:sz="0" w:space="0" w:color="auto"/>
        <w:bottom w:val="none" w:sz="0" w:space="0" w:color="auto"/>
        <w:right w:val="none" w:sz="0" w:space="0" w:color="auto"/>
      </w:divBdr>
    </w:div>
    <w:div w:id="688872428">
      <w:bodyDiv w:val="1"/>
      <w:marLeft w:val="0"/>
      <w:marRight w:val="0"/>
      <w:marTop w:val="0"/>
      <w:marBottom w:val="0"/>
      <w:divBdr>
        <w:top w:val="none" w:sz="0" w:space="0" w:color="auto"/>
        <w:left w:val="none" w:sz="0" w:space="0" w:color="auto"/>
        <w:bottom w:val="none" w:sz="0" w:space="0" w:color="auto"/>
        <w:right w:val="none" w:sz="0" w:space="0" w:color="auto"/>
      </w:divBdr>
    </w:div>
    <w:div w:id="688874789">
      <w:bodyDiv w:val="1"/>
      <w:marLeft w:val="0"/>
      <w:marRight w:val="0"/>
      <w:marTop w:val="0"/>
      <w:marBottom w:val="0"/>
      <w:divBdr>
        <w:top w:val="none" w:sz="0" w:space="0" w:color="auto"/>
        <w:left w:val="none" w:sz="0" w:space="0" w:color="auto"/>
        <w:bottom w:val="none" w:sz="0" w:space="0" w:color="auto"/>
        <w:right w:val="none" w:sz="0" w:space="0" w:color="auto"/>
      </w:divBdr>
    </w:div>
    <w:div w:id="688875997">
      <w:bodyDiv w:val="1"/>
      <w:marLeft w:val="0"/>
      <w:marRight w:val="0"/>
      <w:marTop w:val="0"/>
      <w:marBottom w:val="0"/>
      <w:divBdr>
        <w:top w:val="none" w:sz="0" w:space="0" w:color="auto"/>
        <w:left w:val="none" w:sz="0" w:space="0" w:color="auto"/>
        <w:bottom w:val="none" w:sz="0" w:space="0" w:color="auto"/>
        <w:right w:val="none" w:sz="0" w:space="0" w:color="auto"/>
      </w:divBdr>
    </w:div>
    <w:div w:id="689067863">
      <w:bodyDiv w:val="1"/>
      <w:marLeft w:val="0"/>
      <w:marRight w:val="0"/>
      <w:marTop w:val="0"/>
      <w:marBottom w:val="0"/>
      <w:divBdr>
        <w:top w:val="none" w:sz="0" w:space="0" w:color="auto"/>
        <w:left w:val="none" w:sz="0" w:space="0" w:color="auto"/>
        <w:bottom w:val="none" w:sz="0" w:space="0" w:color="auto"/>
        <w:right w:val="none" w:sz="0" w:space="0" w:color="auto"/>
      </w:divBdr>
    </w:div>
    <w:div w:id="689141308">
      <w:bodyDiv w:val="1"/>
      <w:marLeft w:val="0"/>
      <w:marRight w:val="0"/>
      <w:marTop w:val="0"/>
      <w:marBottom w:val="0"/>
      <w:divBdr>
        <w:top w:val="none" w:sz="0" w:space="0" w:color="auto"/>
        <w:left w:val="none" w:sz="0" w:space="0" w:color="auto"/>
        <w:bottom w:val="none" w:sz="0" w:space="0" w:color="auto"/>
        <w:right w:val="none" w:sz="0" w:space="0" w:color="auto"/>
      </w:divBdr>
    </w:div>
    <w:div w:id="689141454">
      <w:bodyDiv w:val="1"/>
      <w:marLeft w:val="0"/>
      <w:marRight w:val="0"/>
      <w:marTop w:val="0"/>
      <w:marBottom w:val="0"/>
      <w:divBdr>
        <w:top w:val="none" w:sz="0" w:space="0" w:color="auto"/>
        <w:left w:val="none" w:sz="0" w:space="0" w:color="auto"/>
        <w:bottom w:val="none" w:sz="0" w:space="0" w:color="auto"/>
        <w:right w:val="none" w:sz="0" w:space="0" w:color="auto"/>
      </w:divBdr>
    </w:div>
    <w:div w:id="689141462">
      <w:bodyDiv w:val="1"/>
      <w:marLeft w:val="0"/>
      <w:marRight w:val="0"/>
      <w:marTop w:val="0"/>
      <w:marBottom w:val="0"/>
      <w:divBdr>
        <w:top w:val="none" w:sz="0" w:space="0" w:color="auto"/>
        <w:left w:val="none" w:sz="0" w:space="0" w:color="auto"/>
        <w:bottom w:val="none" w:sz="0" w:space="0" w:color="auto"/>
        <w:right w:val="none" w:sz="0" w:space="0" w:color="auto"/>
      </w:divBdr>
    </w:div>
    <w:div w:id="689143038">
      <w:bodyDiv w:val="1"/>
      <w:marLeft w:val="0"/>
      <w:marRight w:val="0"/>
      <w:marTop w:val="0"/>
      <w:marBottom w:val="0"/>
      <w:divBdr>
        <w:top w:val="none" w:sz="0" w:space="0" w:color="auto"/>
        <w:left w:val="none" w:sz="0" w:space="0" w:color="auto"/>
        <w:bottom w:val="none" w:sz="0" w:space="0" w:color="auto"/>
        <w:right w:val="none" w:sz="0" w:space="0" w:color="auto"/>
      </w:divBdr>
    </w:div>
    <w:div w:id="689188128">
      <w:bodyDiv w:val="1"/>
      <w:marLeft w:val="0"/>
      <w:marRight w:val="0"/>
      <w:marTop w:val="0"/>
      <w:marBottom w:val="0"/>
      <w:divBdr>
        <w:top w:val="none" w:sz="0" w:space="0" w:color="auto"/>
        <w:left w:val="none" w:sz="0" w:space="0" w:color="auto"/>
        <w:bottom w:val="none" w:sz="0" w:space="0" w:color="auto"/>
        <w:right w:val="none" w:sz="0" w:space="0" w:color="auto"/>
      </w:divBdr>
    </w:div>
    <w:div w:id="689256345">
      <w:bodyDiv w:val="1"/>
      <w:marLeft w:val="0"/>
      <w:marRight w:val="0"/>
      <w:marTop w:val="0"/>
      <w:marBottom w:val="0"/>
      <w:divBdr>
        <w:top w:val="none" w:sz="0" w:space="0" w:color="auto"/>
        <w:left w:val="none" w:sz="0" w:space="0" w:color="auto"/>
        <w:bottom w:val="none" w:sz="0" w:space="0" w:color="auto"/>
        <w:right w:val="none" w:sz="0" w:space="0" w:color="auto"/>
      </w:divBdr>
    </w:div>
    <w:div w:id="689259241">
      <w:bodyDiv w:val="1"/>
      <w:marLeft w:val="0"/>
      <w:marRight w:val="0"/>
      <w:marTop w:val="0"/>
      <w:marBottom w:val="0"/>
      <w:divBdr>
        <w:top w:val="none" w:sz="0" w:space="0" w:color="auto"/>
        <w:left w:val="none" w:sz="0" w:space="0" w:color="auto"/>
        <w:bottom w:val="none" w:sz="0" w:space="0" w:color="auto"/>
        <w:right w:val="none" w:sz="0" w:space="0" w:color="auto"/>
      </w:divBdr>
    </w:div>
    <w:div w:id="689332092">
      <w:bodyDiv w:val="1"/>
      <w:marLeft w:val="0"/>
      <w:marRight w:val="0"/>
      <w:marTop w:val="0"/>
      <w:marBottom w:val="0"/>
      <w:divBdr>
        <w:top w:val="none" w:sz="0" w:space="0" w:color="auto"/>
        <w:left w:val="none" w:sz="0" w:space="0" w:color="auto"/>
        <w:bottom w:val="none" w:sz="0" w:space="0" w:color="auto"/>
        <w:right w:val="none" w:sz="0" w:space="0" w:color="auto"/>
      </w:divBdr>
    </w:div>
    <w:div w:id="689381249">
      <w:bodyDiv w:val="1"/>
      <w:marLeft w:val="0"/>
      <w:marRight w:val="0"/>
      <w:marTop w:val="0"/>
      <w:marBottom w:val="0"/>
      <w:divBdr>
        <w:top w:val="none" w:sz="0" w:space="0" w:color="auto"/>
        <w:left w:val="none" w:sz="0" w:space="0" w:color="auto"/>
        <w:bottom w:val="none" w:sz="0" w:space="0" w:color="auto"/>
        <w:right w:val="none" w:sz="0" w:space="0" w:color="auto"/>
      </w:divBdr>
    </w:div>
    <w:div w:id="689455092">
      <w:bodyDiv w:val="1"/>
      <w:marLeft w:val="0"/>
      <w:marRight w:val="0"/>
      <w:marTop w:val="0"/>
      <w:marBottom w:val="0"/>
      <w:divBdr>
        <w:top w:val="none" w:sz="0" w:space="0" w:color="auto"/>
        <w:left w:val="none" w:sz="0" w:space="0" w:color="auto"/>
        <w:bottom w:val="none" w:sz="0" w:space="0" w:color="auto"/>
        <w:right w:val="none" w:sz="0" w:space="0" w:color="auto"/>
      </w:divBdr>
    </w:div>
    <w:div w:id="689529667">
      <w:bodyDiv w:val="1"/>
      <w:marLeft w:val="0"/>
      <w:marRight w:val="0"/>
      <w:marTop w:val="0"/>
      <w:marBottom w:val="0"/>
      <w:divBdr>
        <w:top w:val="none" w:sz="0" w:space="0" w:color="auto"/>
        <w:left w:val="none" w:sz="0" w:space="0" w:color="auto"/>
        <w:bottom w:val="none" w:sz="0" w:space="0" w:color="auto"/>
        <w:right w:val="none" w:sz="0" w:space="0" w:color="auto"/>
      </w:divBdr>
    </w:div>
    <w:div w:id="689601969">
      <w:bodyDiv w:val="1"/>
      <w:marLeft w:val="0"/>
      <w:marRight w:val="0"/>
      <w:marTop w:val="0"/>
      <w:marBottom w:val="0"/>
      <w:divBdr>
        <w:top w:val="none" w:sz="0" w:space="0" w:color="auto"/>
        <w:left w:val="none" w:sz="0" w:space="0" w:color="auto"/>
        <w:bottom w:val="none" w:sz="0" w:space="0" w:color="auto"/>
        <w:right w:val="none" w:sz="0" w:space="0" w:color="auto"/>
      </w:divBdr>
    </w:div>
    <w:div w:id="689602051">
      <w:bodyDiv w:val="1"/>
      <w:marLeft w:val="0"/>
      <w:marRight w:val="0"/>
      <w:marTop w:val="0"/>
      <w:marBottom w:val="0"/>
      <w:divBdr>
        <w:top w:val="none" w:sz="0" w:space="0" w:color="auto"/>
        <w:left w:val="none" w:sz="0" w:space="0" w:color="auto"/>
        <w:bottom w:val="none" w:sz="0" w:space="0" w:color="auto"/>
        <w:right w:val="none" w:sz="0" w:space="0" w:color="auto"/>
      </w:divBdr>
    </w:div>
    <w:div w:id="689645739">
      <w:bodyDiv w:val="1"/>
      <w:marLeft w:val="0"/>
      <w:marRight w:val="0"/>
      <w:marTop w:val="0"/>
      <w:marBottom w:val="0"/>
      <w:divBdr>
        <w:top w:val="none" w:sz="0" w:space="0" w:color="auto"/>
        <w:left w:val="none" w:sz="0" w:space="0" w:color="auto"/>
        <w:bottom w:val="none" w:sz="0" w:space="0" w:color="auto"/>
        <w:right w:val="none" w:sz="0" w:space="0" w:color="auto"/>
      </w:divBdr>
    </w:div>
    <w:div w:id="689645761">
      <w:bodyDiv w:val="1"/>
      <w:marLeft w:val="0"/>
      <w:marRight w:val="0"/>
      <w:marTop w:val="0"/>
      <w:marBottom w:val="0"/>
      <w:divBdr>
        <w:top w:val="none" w:sz="0" w:space="0" w:color="auto"/>
        <w:left w:val="none" w:sz="0" w:space="0" w:color="auto"/>
        <w:bottom w:val="none" w:sz="0" w:space="0" w:color="auto"/>
        <w:right w:val="none" w:sz="0" w:space="0" w:color="auto"/>
      </w:divBdr>
    </w:div>
    <w:div w:id="689649271">
      <w:bodyDiv w:val="1"/>
      <w:marLeft w:val="0"/>
      <w:marRight w:val="0"/>
      <w:marTop w:val="0"/>
      <w:marBottom w:val="0"/>
      <w:divBdr>
        <w:top w:val="none" w:sz="0" w:space="0" w:color="auto"/>
        <w:left w:val="none" w:sz="0" w:space="0" w:color="auto"/>
        <w:bottom w:val="none" w:sz="0" w:space="0" w:color="auto"/>
        <w:right w:val="none" w:sz="0" w:space="0" w:color="auto"/>
      </w:divBdr>
    </w:div>
    <w:div w:id="689723266">
      <w:bodyDiv w:val="1"/>
      <w:marLeft w:val="0"/>
      <w:marRight w:val="0"/>
      <w:marTop w:val="0"/>
      <w:marBottom w:val="0"/>
      <w:divBdr>
        <w:top w:val="none" w:sz="0" w:space="0" w:color="auto"/>
        <w:left w:val="none" w:sz="0" w:space="0" w:color="auto"/>
        <w:bottom w:val="none" w:sz="0" w:space="0" w:color="auto"/>
        <w:right w:val="none" w:sz="0" w:space="0" w:color="auto"/>
      </w:divBdr>
    </w:div>
    <w:div w:id="689724911">
      <w:bodyDiv w:val="1"/>
      <w:marLeft w:val="0"/>
      <w:marRight w:val="0"/>
      <w:marTop w:val="0"/>
      <w:marBottom w:val="0"/>
      <w:divBdr>
        <w:top w:val="none" w:sz="0" w:space="0" w:color="auto"/>
        <w:left w:val="none" w:sz="0" w:space="0" w:color="auto"/>
        <w:bottom w:val="none" w:sz="0" w:space="0" w:color="auto"/>
        <w:right w:val="none" w:sz="0" w:space="0" w:color="auto"/>
      </w:divBdr>
    </w:div>
    <w:div w:id="689797390">
      <w:bodyDiv w:val="1"/>
      <w:marLeft w:val="0"/>
      <w:marRight w:val="0"/>
      <w:marTop w:val="0"/>
      <w:marBottom w:val="0"/>
      <w:divBdr>
        <w:top w:val="none" w:sz="0" w:space="0" w:color="auto"/>
        <w:left w:val="none" w:sz="0" w:space="0" w:color="auto"/>
        <w:bottom w:val="none" w:sz="0" w:space="0" w:color="auto"/>
        <w:right w:val="none" w:sz="0" w:space="0" w:color="auto"/>
      </w:divBdr>
    </w:div>
    <w:div w:id="689798893">
      <w:bodyDiv w:val="1"/>
      <w:marLeft w:val="0"/>
      <w:marRight w:val="0"/>
      <w:marTop w:val="0"/>
      <w:marBottom w:val="0"/>
      <w:divBdr>
        <w:top w:val="none" w:sz="0" w:space="0" w:color="auto"/>
        <w:left w:val="none" w:sz="0" w:space="0" w:color="auto"/>
        <w:bottom w:val="none" w:sz="0" w:space="0" w:color="auto"/>
        <w:right w:val="none" w:sz="0" w:space="0" w:color="auto"/>
      </w:divBdr>
    </w:div>
    <w:div w:id="689837480">
      <w:bodyDiv w:val="1"/>
      <w:marLeft w:val="0"/>
      <w:marRight w:val="0"/>
      <w:marTop w:val="0"/>
      <w:marBottom w:val="0"/>
      <w:divBdr>
        <w:top w:val="none" w:sz="0" w:space="0" w:color="auto"/>
        <w:left w:val="none" w:sz="0" w:space="0" w:color="auto"/>
        <w:bottom w:val="none" w:sz="0" w:space="0" w:color="auto"/>
        <w:right w:val="none" w:sz="0" w:space="0" w:color="auto"/>
      </w:divBdr>
    </w:div>
    <w:div w:id="689918496">
      <w:bodyDiv w:val="1"/>
      <w:marLeft w:val="0"/>
      <w:marRight w:val="0"/>
      <w:marTop w:val="0"/>
      <w:marBottom w:val="0"/>
      <w:divBdr>
        <w:top w:val="none" w:sz="0" w:space="0" w:color="auto"/>
        <w:left w:val="none" w:sz="0" w:space="0" w:color="auto"/>
        <w:bottom w:val="none" w:sz="0" w:space="0" w:color="auto"/>
        <w:right w:val="none" w:sz="0" w:space="0" w:color="auto"/>
      </w:divBdr>
    </w:div>
    <w:div w:id="689918505">
      <w:bodyDiv w:val="1"/>
      <w:marLeft w:val="0"/>
      <w:marRight w:val="0"/>
      <w:marTop w:val="0"/>
      <w:marBottom w:val="0"/>
      <w:divBdr>
        <w:top w:val="none" w:sz="0" w:space="0" w:color="auto"/>
        <w:left w:val="none" w:sz="0" w:space="0" w:color="auto"/>
        <w:bottom w:val="none" w:sz="0" w:space="0" w:color="auto"/>
        <w:right w:val="none" w:sz="0" w:space="0" w:color="auto"/>
      </w:divBdr>
    </w:div>
    <w:div w:id="689919231">
      <w:bodyDiv w:val="1"/>
      <w:marLeft w:val="0"/>
      <w:marRight w:val="0"/>
      <w:marTop w:val="0"/>
      <w:marBottom w:val="0"/>
      <w:divBdr>
        <w:top w:val="none" w:sz="0" w:space="0" w:color="auto"/>
        <w:left w:val="none" w:sz="0" w:space="0" w:color="auto"/>
        <w:bottom w:val="none" w:sz="0" w:space="0" w:color="auto"/>
        <w:right w:val="none" w:sz="0" w:space="0" w:color="auto"/>
      </w:divBdr>
    </w:div>
    <w:div w:id="689987938">
      <w:bodyDiv w:val="1"/>
      <w:marLeft w:val="0"/>
      <w:marRight w:val="0"/>
      <w:marTop w:val="0"/>
      <w:marBottom w:val="0"/>
      <w:divBdr>
        <w:top w:val="none" w:sz="0" w:space="0" w:color="auto"/>
        <w:left w:val="none" w:sz="0" w:space="0" w:color="auto"/>
        <w:bottom w:val="none" w:sz="0" w:space="0" w:color="auto"/>
        <w:right w:val="none" w:sz="0" w:space="0" w:color="auto"/>
      </w:divBdr>
    </w:div>
    <w:div w:id="689993297">
      <w:bodyDiv w:val="1"/>
      <w:marLeft w:val="0"/>
      <w:marRight w:val="0"/>
      <w:marTop w:val="0"/>
      <w:marBottom w:val="0"/>
      <w:divBdr>
        <w:top w:val="none" w:sz="0" w:space="0" w:color="auto"/>
        <w:left w:val="none" w:sz="0" w:space="0" w:color="auto"/>
        <w:bottom w:val="none" w:sz="0" w:space="0" w:color="auto"/>
        <w:right w:val="none" w:sz="0" w:space="0" w:color="auto"/>
      </w:divBdr>
    </w:div>
    <w:div w:id="690034064">
      <w:bodyDiv w:val="1"/>
      <w:marLeft w:val="0"/>
      <w:marRight w:val="0"/>
      <w:marTop w:val="0"/>
      <w:marBottom w:val="0"/>
      <w:divBdr>
        <w:top w:val="none" w:sz="0" w:space="0" w:color="auto"/>
        <w:left w:val="none" w:sz="0" w:space="0" w:color="auto"/>
        <w:bottom w:val="none" w:sz="0" w:space="0" w:color="auto"/>
        <w:right w:val="none" w:sz="0" w:space="0" w:color="auto"/>
      </w:divBdr>
    </w:div>
    <w:div w:id="690035847">
      <w:bodyDiv w:val="1"/>
      <w:marLeft w:val="0"/>
      <w:marRight w:val="0"/>
      <w:marTop w:val="0"/>
      <w:marBottom w:val="0"/>
      <w:divBdr>
        <w:top w:val="none" w:sz="0" w:space="0" w:color="auto"/>
        <w:left w:val="none" w:sz="0" w:space="0" w:color="auto"/>
        <w:bottom w:val="none" w:sz="0" w:space="0" w:color="auto"/>
        <w:right w:val="none" w:sz="0" w:space="0" w:color="auto"/>
      </w:divBdr>
    </w:div>
    <w:div w:id="690183521">
      <w:bodyDiv w:val="1"/>
      <w:marLeft w:val="0"/>
      <w:marRight w:val="0"/>
      <w:marTop w:val="0"/>
      <w:marBottom w:val="0"/>
      <w:divBdr>
        <w:top w:val="none" w:sz="0" w:space="0" w:color="auto"/>
        <w:left w:val="none" w:sz="0" w:space="0" w:color="auto"/>
        <w:bottom w:val="none" w:sz="0" w:space="0" w:color="auto"/>
        <w:right w:val="none" w:sz="0" w:space="0" w:color="auto"/>
      </w:divBdr>
    </w:div>
    <w:div w:id="690185577">
      <w:bodyDiv w:val="1"/>
      <w:marLeft w:val="0"/>
      <w:marRight w:val="0"/>
      <w:marTop w:val="0"/>
      <w:marBottom w:val="0"/>
      <w:divBdr>
        <w:top w:val="none" w:sz="0" w:space="0" w:color="auto"/>
        <w:left w:val="none" w:sz="0" w:space="0" w:color="auto"/>
        <w:bottom w:val="none" w:sz="0" w:space="0" w:color="auto"/>
        <w:right w:val="none" w:sz="0" w:space="0" w:color="auto"/>
      </w:divBdr>
    </w:div>
    <w:div w:id="690227104">
      <w:bodyDiv w:val="1"/>
      <w:marLeft w:val="0"/>
      <w:marRight w:val="0"/>
      <w:marTop w:val="0"/>
      <w:marBottom w:val="0"/>
      <w:divBdr>
        <w:top w:val="none" w:sz="0" w:space="0" w:color="auto"/>
        <w:left w:val="none" w:sz="0" w:space="0" w:color="auto"/>
        <w:bottom w:val="none" w:sz="0" w:space="0" w:color="auto"/>
        <w:right w:val="none" w:sz="0" w:space="0" w:color="auto"/>
      </w:divBdr>
    </w:div>
    <w:div w:id="690297749">
      <w:bodyDiv w:val="1"/>
      <w:marLeft w:val="0"/>
      <w:marRight w:val="0"/>
      <w:marTop w:val="0"/>
      <w:marBottom w:val="0"/>
      <w:divBdr>
        <w:top w:val="none" w:sz="0" w:space="0" w:color="auto"/>
        <w:left w:val="none" w:sz="0" w:space="0" w:color="auto"/>
        <w:bottom w:val="none" w:sz="0" w:space="0" w:color="auto"/>
        <w:right w:val="none" w:sz="0" w:space="0" w:color="auto"/>
      </w:divBdr>
    </w:div>
    <w:div w:id="690300581">
      <w:bodyDiv w:val="1"/>
      <w:marLeft w:val="0"/>
      <w:marRight w:val="0"/>
      <w:marTop w:val="0"/>
      <w:marBottom w:val="0"/>
      <w:divBdr>
        <w:top w:val="none" w:sz="0" w:space="0" w:color="auto"/>
        <w:left w:val="none" w:sz="0" w:space="0" w:color="auto"/>
        <w:bottom w:val="none" w:sz="0" w:space="0" w:color="auto"/>
        <w:right w:val="none" w:sz="0" w:space="0" w:color="auto"/>
      </w:divBdr>
    </w:div>
    <w:div w:id="690301886">
      <w:bodyDiv w:val="1"/>
      <w:marLeft w:val="0"/>
      <w:marRight w:val="0"/>
      <w:marTop w:val="0"/>
      <w:marBottom w:val="0"/>
      <w:divBdr>
        <w:top w:val="none" w:sz="0" w:space="0" w:color="auto"/>
        <w:left w:val="none" w:sz="0" w:space="0" w:color="auto"/>
        <w:bottom w:val="none" w:sz="0" w:space="0" w:color="auto"/>
        <w:right w:val="none" w:sz="0" w:space="0" w:color="auto"/>
      </w:divBdr>
    </w:div>
    <w:div w:id="690374764">
      <w:bodyDiv w:val="1"/>
      <w:marLeft w:val="0"/>
      <w:marRight w:val="0"/>
      <w:marTop w:val="0"/>
      <w:marBottom w:val="0"/>
      <w:divBdr>
        <w:top w:val="none" w:sz="0" w:space="0" w:color="auto"/>
        <w:left w:val="none" w:sz="0" w:space="0" w:color="auto"/>
        <w:bottom w:val="none" w:sz="0" w:space="0" w:color="auto"/>
        <w:right w:val="none" w:sz="0" w:space="0" w:color="auto"/>
      </w:divBdr>
    </w:div>
    <w:div w:id="690567887">
      <w:bodyDiv w:val="1"/>
      <w:marLeft w:val="0"/>
      <w:marRight w:val="0"/>
      <w:marTop w:val="0"/>
      <w:marBottom w:val="0"/>
      <w:divBdr>
        <w:top w:val="none" w:sz="0" w:space="0" w:color="auto"/>
        <w:left w:val="none" w:sz="0" w:space="0" w:color="auto"/>
        <w:bottom w:val="none" w:sz="0" w:space="0" w:color="auto"/>
        <w:right w:val="none" w:sz="0" w:space="0" w:color="auto"/>
      </w:divBdr>
    </w:div>
    <w:div w:id="690643969">
      <w:bodyDiv w:val="1"/>
      <w:marLeft w:val="0"/>
      <w:marRight w:val="0"/>
      <w:marTop w:val="0"/>
      <w:marBottom w:val="0"/>
      <w:divBdr>
        <w:top w:val="none" w:sz="0" w:space="0" w:color="auto"/>
        <w:left w:val="none" w:sz="0" w:space="0" w:color="auto"/>
        <w:bottom w:val="none" w:sz="0" w:space="0" w:color="auto"/>
        <w:right w:val="none" w:sz="0" w:space="0" w:color="auto"/>
      </w:divBdr>
    </w:div>
    <w:div w:id="690687297">
      <w:bodyDiv w:val="1"/>
      <w:marLeft w:val="0"/>
      <w:marRight w:val="0"/>
      <w:marTop w:val="0"/>
      <w:marBottom w:val="0"/>
      <w:divBdr>
        <w:top w:val="none" w:sz="0" w:space="0" w:color="auto"/>
        <w:left w:val="none" w:sz="0" w:space="0" w:color="auto"/>
        <w:bottom w:val="none" w:sz="0" w:space="0" w:color="auto"/>
        <w:right w:val="none" w:sz="0" w:space="0" w:color="auto"/>
      </w:divBdr>
    </w:div>
    <w:div w:id="690767655">
      <w:bodyDiv w:val="1"/>
      <w:marLeft w:val="0"/>
      <w:marRight w:val="0"/>
      <w:marTop w:val="0"/>
      <w:marBottom w:val="0"/>
      <w:divBdr>
        <w:top w:val="none" w:sz="0" w:space="0" w:color="auto"/>
        <w:left w:val="none" w:sz="0" w:space="0" w:color="auto"/>
        <w:bottom w:val="none" w:sz="0" w:space="0" w:color="auto"/>
        <w:right w:val="none" w:sz="0" w:space="0" w:color="auto"/>
      </w:divBdr>
    </w:div>
    <w:div w:id="690839771">
      <w:bodyDiv w:val="1"/>
      <w:marLeft w:val="0"/>
      <w:marRight w:val="0"/>
      <w:marTop w:val="0"/>
      <w:marBottom w:val="0"/>
      <w:divBdr>
        <w:top w:val="none" w:sz="0" w:space="0" w:color="auto"/>
        <w:left w:val="none" w:sz="0" w:space="0" w:color="auto"/>
        <w:bottom w:val="none" w:sz="0" w:space="0" w:color="auto"/>
        <w:right w:val="none" w:sz="0" w:space="0" w:color="auto"/>
      </w:divBdr>
    </w:div>
    <w:div w:id="690843108">
      <w:bodyDiv w:val="1"/>
      <w:marLeft w:val="0"/>
      <w:marRight w:val="0"/>
      <w:marTop w:val="0"/>
      <w:marBottom w:val="0"/>
      <w:divBdr>
        <w:top w:val="none" w:sz="0" w:space="0" w:color="auto"/>
        <w:left w:val="none" w:sz="0" w:space="0" w:color="auto"/>
        <w:bottom w:val="none" w:sz="0" w:space="0" w:color="auto"/>
        <w:right w:val="none" w:sz="0" w:space="0" w:color="auto"/>
      </w:divBdr>
    </w:div>
    <w:div w:id="690954606">
      <w:bodyDiv w:val="1"/>
      <w:marLeft w:val="0"/>
      <w:marRight w:val="0"/>
      <w:marTop w:val="0"/>
      <w:marBottom w:val="0"/>
      <w:divBdr>
        <w:top w:val="none" w:sz="0" w:space="0" w:color="auto"/>
        <w:left w:val="none" w:sz="0" w:space="0" w:color="auto"/>
        <w:bottom w:val="none" w:sz="0" w:space="0" w:color="auto"/>
        <w:right w:val="none" w:sz="0" w:space="0" w:color="auto"/>
      </w:divBdr>
    </w:div>
    <w:div w:id="690958676">
      <w:bodyDiv w:val="1"/>
      <w:marLeft w:val="0"/>
      <w:marRight w:val="0"/>
      <w:marTop w:val="0"/>
      <w:marBottom w:val="0"/>
      <w:divBdr>
        <w:top w:val="none" w:sz="0" w:space="0" w:color="auto"/>
        <w:left w:val="none" w:sz="0" w:space="0" w:color="auto"/>
        <w:bottom w:val="none" w:sz="0" w:space="0" w:color="auto"/>
        <w:right w:val="none" w:sz="0" w:space="0" w:color="auto"/>
      </w:divBdr>
    </w:div>
    <w:div w:id="691028827">
      <w:bodyDiv w:val="1"/>
      <w:marLeft w:val="0"/>
      <w:marRight w:val="0"/>
      <w:marTop w:val="0"/>
      <w:marBottom w:val="0"/>
      <w:divBdr>
        <w:top w:val="none" w:sz="0" w:space="0" w:color="auto"/>
        <w:left w:val="none" w:sz="0" w:space="0" w:color="auto"/>
        <w:bottom w:val="none" w:sz="0" w:space="0" w:color="auto"/>
        <w:right w:val="none" w:sz="0" w:space="0" w:color="auto"/>
      </w:divBdr>
    </w:div>
    <w:div w:id="691035468">
      <w:bodyDiv w:val="1"/>
      <w:marLeft w:val="0"/>
      <w:marRight w:val="0"/>
      <w:marTop w:val="0"/>
      <w:marBottom w:val="0"/>
      <w:divBdr>
        <w:top w:val="none" w:sz="0" w:space="0" w:color="auto"/>
        <w:left w:val="none" w:sz="0" w:space="0" w:color="auto"/>
        <w:bottom w:val="none" w:sz="0" w:space="0" w:color="auto"/>
        <w:right w:val="none" w:sz="0" w:space="0" w:color="auto"/>
      </w:divBdr>
    </w:div>
    <w:div w:id="691035597">
      <w:bodyDiv w:val="1"/>
      <w:marLeft w:val="0"/>
      <w:marRight w:val="0"/>
      <w:marTop w:val="0"/>
      <w:marBottom w:val="0"/>
      <w:divBdr>
        <w:top w:val="none" w:sz="0" w:space="0" w:color="auto"/>
        <w:left w:val="none" w:sz="0" w:space="0" w:color="auto"/>
        <w:bottom w:val="none" w:sz="0" w:space="0" w:color="auto"/>
        <w:right w:val="none" w:sz="0" w:space="0" w:color="auto"/>
      </w:divBdr>
    </w:div>
    <w:div w:id="691145457">
      <w:bodyDiv w:val="1"/>
      <w:marLeft w:val="0"/>
      <w:marRight w:val="0"/>
      <w:marTop w:val="0"/>
      <w:marBottom w:val="0"/>
      <w:divBdr>
        <w:top w:val="none" w:sz="0" w:space="0" w:color="auto"/>
        <w:left w:val="none" w:sz="0" w:space="0" w:color="auto"/>
        <w:bottom w:val="none" w:sz="0" w:space="0" w:color="auto"/>
        <w:right w:val="none" w:sz="0" w:space="0" w:color="auto"/>
      </w:divBdr>
    </w:div>
    <w:div w:id="691149556">
      <w:bodyDiv w:val="1"/>
      <w:marLeft w:val="0"/>
      <w:marRight w:val="0"/>
      <w:marTop w:val="0"/>
      <w:marBottom w:val="0"/>
      <w:divBdr>
        <w:top w:val="none" w:sz="0" w:space="0" w:color="auto"/>
        <w:left w:val="none" w:sz="0" w:space="0" w:color="auto"/>
        <w:bottom w:val="none" w:sz="0" w:space="0" w:color="auto"/>
        <w:right w:val="none" w:sz="0" w:space="0" w:color="auto"/>
      </w:divBdr>
    </w:div>
    <w:div w:id="691149759">
      <w:bodyDiv w:val="1"/>
      <w:marLeft w:val="0"/>
      <w:marRight w:val="0"/>
      <w:marTop w:val="0"/>
      <w:marBottom w:val="0"/>
      <w:divBdr>
        <w:top w:val="none" w:sz="0" w:space="0" w:color="auto"/>
        <w:left w:val="none" w:sz="0" w:space="0" w:color="auto"/>
        <w:bottom w:val="none" w:sz="0" w:space="0" w:color="auto"/>
        <w:right w:val="none" w:sz="0" w:space="0" w:color="auto"/>
      </w:divBdr>
    </w:div>
    <w:div w:id="691224245">
      <w:bodyDiv w:val="1"/>
      <w:marLeft w:val="0"/>
      <w:marRight w:val="0"/>
      <w:marTop w:val="0"/>
      <w:marBottom w:val="0"/>
      <w:divBdr>
        <w:top w:val="none" w:sz="0" w:space="0" w:color="auto"/>
        <w:left w:val="none" w:sz="0" w:space="0" w:color="auto"/>
        <w:bottom w:val="none" w:sz="0" w:space="0" w:color="auto"/>
        <w:right w:val="none" w:sz="0" w:space="0" w:color="auto"/>
      </w:divBdr>
    </w:div>
    <w:div w:id="691419885">
      <w:bodyDiv w:val="1"/>
      <w:marLeft w:val="0"/>
      <w:marRight w:val="0"/>
      <w:marTop w:val="0"/>
      <w:marBottom w:val="0"/>
      <w:divBdr>
        <w:top w:val="none" w:sz="0" w:space="0" w:color="auto"/>
        <w:left w:val="none" w:sz="0" w:space="0" w:color="auto"/>
        <w:bottom w:val="none" w:sz="0" w:space="0" w:color="auto"/>
        <w:right w:val="none" w:sz="0" w:space="0" w:color="auto"/>
      </w:divBdr>
    </w:div>
    <w:div w:id="691420786">
      <w:bodyDiv w:val="1"/>
      <w:marLeft w:val="0"/>
      <w:marRight w:val="0"/>
      <w:marTop w:val="0"/>
      <w:marBottom w:val="0"/>
      <w:divBdr>
        <w:top w:val="none" w:sz="0" w:space="0" w:color="auto"/>
        <w:left w:val="none" w:sz="0" w:space="0" w:color="auto"/>
        <w:bottom w:val="none" w:sz="0" w:space="0" w:color="auto"/>
        <w:right w:val="none" w:sz="0" w:space="0" w:color="auto"/>
      </w:divBdr>
    </w:div>
    <w:div w:id="691538283">
      <w:bodyDiv w:val="1"/>
      <w:marLeft w:val="0"/>
      <w:marRight w:val="0"/>
      <w:marTop w:val="0"/>
      <w:marBottom w:val="0"/>
      <w:divBdr>
        <w:top w:val="none" w:sz="0" w:space="0" w:color="auto"/>
        <w:left w:val="none" w:sz="0" w:space="0" w:color="auto"/>
        <w:bottom w:val="none" w:sz="0" w:space="0" w:color="auto"/>
        <w:right w:val="none" w:sz="0" w:space="0" w:color="auto"/>
      </w:divBdr>
    </w:div>
    <w:div w:id="691565798">
      <w:bodyDiv w:val="1"/>
      <w:marLeft w:val="0"/>
      <w:marRight w:val="0"/>
      <w:marTop w:val="0"/>
      <w:marBottom w:val="0"/>
      <w:divBdr>
        <w:top w:val="none" w:sz="0" w:space="0" w:color="auto"/>
        <w:left w:val="none" w:sz="0" w:space="0" w:color="auto"/>
        <w:bottom w:val="none" w:sz="0" w:space="0" w:color="auto"/>
        <w:right w:val="none" w:sz="0" w:space="0" w:color="auto"/>
      </w:divBdr>
    </w:div>
    <w:div w:id="691607651">
      <w:bodyDiv w:val="1"/>
      <w:marLeft w:val="0"/>
      <w:marRight w:val="0"/>
      <w:marTop w:val="0"/>
      <w:marBottom w:val="0"/>
      <w:divBdr>
        <w:top w:val="none" w:sz="0" w:space="0" w:color="auto"/>
        <w:left w:val="none" w:sz="0" w:space="0" w:color="auto"/>
        <w:bottom w:val="none" w:sz="0" w:space="0" w:color="auto"/>
        <w:right w:val="none" w:sz="0" w:space="0" w:color="auto"/>
      </w:divBdr>
    </w:div>
    <w:div w:id="691608447">
      <w:bodyDiv w:val="1"/>
      <w:marLeft w:val="0"/>
      <w:marRight w:val="0"/>
      <w:marTop w:val="0"/>
      <w:marBottom w:val="0"/>
      <w:divBdr>
        <w:top w:val="none" w:sz="0" w:space="0" w:color="auto"/>
        <w:left w:val="none" w:sz="0" w:space="0" w:color="auto"/>
        <w:bottom w:val="none" w:sz="0" w:space="0" w:color="auto"/>
        <w:right w:val="none" w:sz="0" w:space="0" w:color="auto"/>
      </w:divBdr>
    </w:div>
    <w:div w:id="691615703">
      <w:bodyDiv w:val="1"/>
      <w:marLeft w:val="0"/>
      <w:marRight w:val="0"/>
      <w:marTop w:val="0"/>
      <w:marBottom w:val="0"/>
      <w:divBdr>
        <w:top w:val="none" w:sz="0" w:space="0" w:color="auto"/>
        <w:left w:val="none" w:sz="0" w:space="0" w:color="auto"/>
        <w:bottom w:val="none" w:sz="0" w:space="0" w:color="auto"/>
        <w:right w:val="none" w:sz="0" w:space="0" w:color="auto"/>
      </w:divBdr>
    </w:div>
    <w:div w:id="691616721">
      <w:bodyDiv w:val="1"/>
      <w:marLeft w:val="0"/>
      <w:marRight w:val="0"/>
      <w:marTop w:val="0"/>
      <w:marBottom w:val="0"/>
      <w:divBdr>
        <w:top w:val="none" w:sz="0" w:space="0" w:color="auto"/>
        <w:left w:val="none" w:sz="0" w:space="0" w:color="auto"/>
        <w:bottom w:val="none" w:sz="0" w:space="0" w:color="auto"/>
        <w:right w:val="none" w:sz="0" w:space="0" w:color="auto"/>
      </w:divBdr>
    </w:div>
    <w:div w:id="691689280">
      <w:bodyDiv w:val="1"/>
      <w:marLeft w:val="0"/>
      <w:marRight w:val="0"/>
      <w:marTop w:val="0"/>
      <w:marBottom w:val="0"/>
      <w:divBdr>
        <w:top w:val="none" w:sz="0" w:space="0" w:color="auto"/>
        <w:left w:val="none" w:sz="0" w:space="0" w:color="auto"/>
        <w:bottom w:val="none" w:sz="0" w:space="0" w:color="auto"/>
        <w:right w:val="none" w:sz="0" w:space="0" w:color="auto"/>
      </w:divBdr>
    </w:div>
    <w:div w:id="691691483">
      <w:bodyDiv w:val="1"/>
      <w:marLeft w:val="0"/>
      <w:marRight w:val="0"/>
      <w:marTop w:val="0"/>
      <w:marBottom w:val="0"/>
      <w:divBdr>
        <w:top w:val="none" w:sz="0" w:space="0" w:color="auto"/>
        <w:left w:val="none" w:sz="0" w:space="0" w:color="auto"/>
        <w:bottom w:val="none" w:sz="0" w:space="0" w:color="auto"/>
        <w:right w:val="none" w:sz="0" w:space="0" w:color="auto"/>
      </w:divBdr>
    </w:div>
    <w:div w:id="691733125">
      <w:bodyDiv w:val="1"/>
      <w:marLeft w:val="0"/>
      <w:marRight w:val="0"/>
      <w:marTop w:val="0"/>
      <w:marBottom w:val="0"/>
      <w:divBdr>
        <w:top w:val="none" w:sz="0" w:space="0" w:color="auto"/>
        <w:left w:val="none" w:sz="0" w:space="0" w:color="auto"/>
        <w:bottom w:val="none" w:sz="0" w:space="0" w:color="auto"/>
        <w:right w:val="none" w:sz="0" w:space="0" w:color="auto"/>
      </w:divBdr>
    </w:div>
    <w:div w:id="691952975">
      <w:bodyDiv w:val="1"/>
      <w:marLeft w:val="0"/>
      <w:marRight w:val="0"/>
      <w:marTop w:val="0"/>
      <w:marBottom w:val="0"/>
      <w:divBdr>
        <w:top w:val="none" w:sz="0" w:space="0" w:color="auto"/>
        <w:left w:val="none" w:sz="0" w:space="0" w:color="auto"/>
        <w:bottom w:val="none" w:sz="0" w:space="0" w:color="auto"/>
        <w:right w:val="none" w:sz="0" w:space="0" w:color="auto"/>
      </w:divBdr>
    </w:div>
    <w:div w:id="691958964">
      <w:bodyDiv w:val="1"/>
      <w:marLeft w:val="0"/>
      <w:marRight w:val="0"/>
      <w:marTop w:val="0"/>
      <w:marBottom w:val="0"/>
      <w:divBdr>
        <w:top w:val="none" w:sz="0" w:space="0" w:color="auto"/>
        <w:left w:val="none" w:sz="0" w:space="0" w:color="auto"/>
        <w:bottom w:val="none" w:sz="0" w:space="0" w:color="auto"/>
        <w:right w:val="none" w:sz="0" w:space="0" w:color="auto"/>
      </w:divBdr>
    </w:div>
    <w:div w:id="692026765">
      <w:bodyDiv w:val="1"/>
      <w:marLeft w:val="0"/>
      <w:marRight w:val="0"/>
      <w:marTop w:val="0"/>
      <w:marBottom w:val="0"/>
      <w:divBdr>
        <w:top w:val="none" w:sz="0" w:space="0" w:color="auto"/>
        <w:left w:val="none" w:sz="0" w:space="0" w:color="auto"/>
        <w:bottom w:val="none" w:sz="0" w:space="0" w:color="auto"/>
        <w:right w:val="none" w:sz="0" w:space="0" w:color="auto"/>
      </w:divBdr>
    </w:div>
    <w:div w:id="692192848">
      <w:bodyDiv w:val="1"/>
      <w:marLeft w:val="0"/>
      <w:marRight w:val="0"/>
      <w:marTop w:val="0"/>
      <w:marBottom w:val="0"/>
      <w:divBdr>
        <w:top w:val="none" w:sz="0" w:space="0" w:color="auto"/>
        <w:left w:val="none" w:sz="0" w:space="0" w:color="auto"/>
        <w:bottom w:val="none" w:sz="0" w:space="0" w:color="auto"/>
        <w:right w:val="none" w:sz="0" w:space="0" w:color="auto"/>
      </w:divBdr>
    </w:div>
    <w:div w:id="692223327">
      <w:bodyDiv w:val="1"/>
      <w:marLeft w:val="0"/>
      <w:marRight w:val="0"/>
      <w:marTop w:val="0"/>
      <w:marBottom w:val="0"/>
      <w:divBdr>
        <w:top w:val="none" w:sz="0" w:space="0" w:color="auto"/>
        <w:left w:val="none" w:sz="0" w:space="0" w:color="auto"/>
        <w:bottom w:val="none" w:sz="0" w:space="0" w:color="auto"/>
        <w:right w:val="none" w:sz="0" w:space="0" w:color="auto"/>
      </w:divBdr>
    </w:div>
    <w:div w:id="692263438">
      <w:bodyDiv w:val="1"/>
      <w:marLeft w:val="0"/>
      <w:marRight w:val="0"/>
      <w:marTop w:val="0"/>
      <w:marBottom w:val="0"/>
      <w:divBdr>
        <w:top w:val="none" w:sz="0" w:space="0" w:color="auto"/>
        <w:left w:val="none" w:sz="0" w:space="0" w:color="auto"/>
        <w:bottom w:val="none" w:sz="0" w:space="0" w:color="auto"/>
        <w:right w:val="none" w:sz="0" w:space="0" w:color="auto"/>
      </w:divBdr>
    </w:div>
    <w:div w:id="692268596">
      <w:bodyDiv w:val="1"/>
      <w:marLeft w:val="0"/>
      <w:marRight w:val="0"/>
      <w:marTop w:val="0"/>
      <w:marBottom w:val="0"/>
      <w:divBdr>
        <w:top w:val="none" w:sz="0" w:space="0" w:color="auto"/>
        <w:left w:val="none" w:sz="0" w:space="0" w:color="auto"/>
        <w:bottom w:val="none" w:sz="0" w:space="0" w:color="auto"/>
        <w:right w:val="none" w:sz="0" w:space="0" w:color="auto"/>
      </w:divBdr>
    </w:div>
    <w:div w:id="692269220">
      <w:bodyDiv w:val="1"/>
      <w:marLeft w:val="0"/>
      <w:marRight w:val="0"/>
      <w:marTop w:val="0"/>
      <w:marBottom w:val="0"/>
      <w:divBdr>
        <w:top w:val="none" w:sz="0" w:space="0" w:color="auto"/>
        <w:left w:val="none" w:sz="0" w:space="0" w:color="auto"/>
        <w:bottom w:val="none" w:sz="0" w:space="0" w:color="auto"/>
        <w:right w:val="none" w:sz="0" w:space="0" w:color="auto"/>
      </w:divBdr>
    </w:div>
    <w:div w:id="692345121">
      <w:bodyDiv w:val="1"/>
      <w:marLeft w:val="0"/>
      <w:marRight w:val="0"/>
      <w:marTop w:val="0"/>
      <w:marBottom w:val="0"/>
      <w:divBdr>
        <w:top w:val="none" w:sz="0" w:space="0" w:color="auto"/>
        <w:left w:val="none" w:sz="0" w:space="0" w:color="auto"/>
        <w:bottom w:val="none" w:sz="0" w:space="0" w:color="auto"/>
        <w:right w:val="none" w:sz="0" w:space="0" w:color="auto"/>
      </w:divBdr>
    </w:div>
    <w:div w:id="692540557">
      <w:bodyDiv w:val="1"/>
      <w:marLeft w:val="0"/>
      <w:marRight w:val="0"/>
      <w:marTop w:val="0"/>
      <w:marBottom w:val="0"/>
      <w:divBdr>
        <w:top w:val="none" w:sz="0" w:space="0" w:color="auto"/>
        <w:left w:val="none" w:sz="0" w:space="0" w:color="auto"/>
        <w:bottom w:val="none" w:sz="0" w:space="0" w:color="auto"/>
        <w:right w:val="none" w:sz="0" w:space="0" w:color="auto"/>
      </w:divBdr>
    </w:div>
    <w:div w:id="692614636">
      <w:bodyDiv w:val="1"/>
      <w:marLeft w:val="0"/>
      <w:marRight w:val="0"/>
      <w:marTop w:val="0"/>
      <w:marBottom w:val="0"/>
      <w:divBdr>
        <w:top w:val="none" w:sz="0" w:space="0" w:color="auto"/>
        <w:left w:val="none" w:sz="0" w:space="0" w:color="auto"/>
        <w:bottom w:val="none" w:sz="0" w:space="0" w:color="auto"/>
        <w:right w:val="none" w:sz="0" w:space="0" w:color="auto"/>
      </w:divBdr>
    </w:div>
    <w:div w:id="692652485">
      <w:bodyDiv w:val="1"/>
      <w:marLeft w:val="0"/>
      <w:marRight w:val="0"/>
      <w:marTop w:val="0"/>
      <w:marBottom w:val="0"/>
      <w:divBdr>
        <w:top w:val="none" w:sz="0" w:space="0" w:color="auto"/>
        <w:left w:val="none" w:sz="0" w:space="0" w:color="auto"/>
        <w:bottom w:val="none" w:sz="0" w:space="0" w:color="auto"/>
        <w:right w:val="none" w:sz="0" w:space="0" w:color="auto"/>
      </w:divBdr>
    </w:div>
    <w:div w:id="692653354">
      <w:bodyDiv w:val="1"/>
      <w:marLeft w:val="0"/>
      <w:marRight w:val="0"/>
      <w:marTop w:val="0"/>
      <w:marBottom w:val="0"/>
      <w:divBdr>
        <w:top w:val="none" w:sz="0" w:space="0" w:color="auto"/>
        <w:left w:val="none" w:sz="0" w:space="0" w:color="auto"/>
        <w:bottom w:val="none" w:sz="0" w:space="0" w:color="auto"/>
        <w:right w:val="none" w:sz="0" w:space="0" w:color="auto"/>
      </w:divBdr>
    </w:div>
    <w:div w:id="692658024">
      <w:bodyDiv w:val="1"/>
      <w:marLeft w:val="0"/>
      <w:marRight w:val="0"/>
      <w:marTop w:val="0"/>
      <w:marBottom w:val="0"/>
      <w:divBdr>
        <w:top w:val="none" w:sz="0" w:space="0" w:color="auto"/>
        <w:left w:val="none" w:sz="0" w:space="0" w:color="auto"/>
        <w:bottom w:val="none" w:sz="0" w:space="0" w:color="auto"/>
        <w:right w:val="none" w:sz="0" w:space="0" w:color="auto"/>
      </w:divBdr>
    </w:div>
    <w:div w:id="692658875">
      <w:bodyDiv w:val="1"/>
      <w:marLeft w:val="0"/>
      <w:marRight w:val="0"/>
      <w:marTop w:val="0"/>
      <w:marBottom w:val="0"/>
      <w:divBdr>
        <w:top w:val="none" w:sz="0" w:space="0" w:color="auto"/>
        <w:left w:val="none" w:sz="0" w:space="0" w:color="auto"/>
        <w:bottom w:val="none" w:sz="0" w:space="0" w:color="auto"/>
        <w:right w:val="none" w:sz="0" w:space="0" w:color="auto"/>
      </w:divBdr>
    </w:div>
    <w:div w:id="692682704">
      <w:bodyDiv w:val="1"/>
      <w:marLeft w:val="0"/>
      <w:marRight w:val="0"/>
      <w:marTop w:val="0"/>
      <w:marBottom w:val="0"/>
      <w:divBdr>
        <w:top w:val="none" w:sz="0" w:space="0" w:color="auto"/>
        <w:left w:val="none" w:sz="0" w:space="0" w:color="auto"/>
        <w:bottom w:val="none" w:sz="0" w:space="0" w:color="auto"/>
        <w:right w:val="none" w:sz="0" w:space="0" w:color="auto"/>
      </w:divBdr>
    </w:div>
    <w:div w:id="692727358">
      <w:bodyDiv w:val="1"/>
      <w:marLeft w:val="0"/>
      <w:marRight w:val="0"/>
      <w:marTop w:val="0"/>
      <w:marBottom w:val="0"/>
      <w:divBdr>
        <w:top w:val="none" w:sz="0" w:space="0" w:color="auto"/>
        <w:left w:val="none" w:sz="0" w:space="0" w:color="auto"/>
        <w:bottom w:val="none" w:sz="0" w:space="0" w:color="auto"/>
        <w:right w:val="none" w:sz="0" w:space="0" w:color="auto"/>
      </w:divBdr>
    </w:div>
    <w:div w:id="692734192">
      <w:bodyDiv w:val="1"/>
      <w:marLeft w:val="0"/>
      <w:marRight w:val="0"/>
      <w:marTop w:val="0"/>
      <w:marBottom w:val="0"/>
      <w:divBdr>
        <w:top w:val="none" w:sz="0" w:space="0" w:color="auto"/>
        <w:left w:val="none" w:sz="0" w:space="0" w:color="auto"/>
        <w:bottom w:val="none" w:sz="0" w:space="0" w:color="auto"/>
        <w:right w:val="none" w:sz="0" w:space="0" w:color="auto"/>
      </w:divBdr>
    </w:div>
    <w:div w:id="692877664">
      <w:bodyDiv w:val="1"/>
      <w:marLeft w:val="0"/>
      <w:marRight w:val="0"/>
      <w:marTop w:val="0"/>
      <w:marBottom w:val="0"/>
      <w:divBdr>
        <w:top w:val="none" w:sz="0" w:space="0" w:color="auto"/>
        <w:left w:val="none" w:sz="0" w:space="0" w:color="auto"/>
        <w:bottom w:val="none" w:sz="0" w:space="0" w:color="auto"/>
        <w:right w:val="none" w:sz="0" w:space="0" w:color="auto"/>
      </w:divBdr>
    </w:div>
    <w:div w:id="692923269">
      <w:bodyDiv w:val="1"/>
      <w:marLeft w:val="0"/>
      <w:marRight w:val="0"/>
      <w:marTop w:val="0"/>
      <w:marBottom w:val="0"/>
      <w:divBdr>
        <w:top w:val="none" w:sz="0" w:space="0" w:color="auto"/>
        <w:left w:val="none" w:sz="0" w:space="0" w:color="auto"/>
        <w:bottom w:val="none" w:sz="0" w:space="0" w:color="auto"/>
        <w:right w:val="none" w:sz="0" w:space="0" w:color="auto"/>
      </w:divBdr>
    </w:div>
    <w:div w:id="692923719">
      <w:bodyDiv w:val="1"/>
      <w:marLeft w:val="0"/>
      <w:marRight w:val="0"/>
      <w:marTop w:val="0"/>
      <w:marBottom w:val="0"/>
      <w:divBdr>
        <w:top w:val="none" w:sz="0" w:space="0" w:color="auto"/>
        <w:left w:val="none" w:sz="0" w:space="0" w:color="auto"/>
        <w:bottom w:val="none" w:sz="0" w:space="0" w:color="auto"/>
        <w:right w:val="none" w:sz="0" w:space="0" w:color="auto"/>
      </w:divBdr>
    </w:div>
    <w:div w:id="692994302">
      <w:bodyDiv w:val="1"/>
      <w:marLeft w:val="0"/>
      <w:marRight w:val="0"/>
      <w:marTop w:val="0"/>
      <w:marBottom w:val="0"/>
      <w:divBdr>
        <w:top w:val="none" w:sz="0" w:space="0" w:color="auto"/>
        <w:left w:val="none" w:sz="0" w:space="0" w:color="auto"/>
        <w:bottom w:val="none" w:sz="0" w:space="0" w:color="auto"/>
        <w:right w:val="none" w:sz="0" w:space="0" w:color="auto"/>
      </w:divBdr>
    </w:div>
    <w:div w:id="693070465">
      <w:bodyDiv w:val="1"/>
      <w:marLeft w:val="0"/>
      <w:marRight w:val="0"/>
      <w:marTop w:val="0"/>
      <w:marBottom w:val="0"/>
      <w:divBdr>
        <w:top w:val="none" w:sz="0" w:space="0" w:color="auto"/>
        <w:left w:val="none" w:sz="0" w:space="0" w:color="auto"/>
        <w:bottom w:val="none" w:sz="0" w:space="0" w:color="auto"/>
        <w:right w:val="none" w:sz="0" w:space="0" w:color="auto"/>
      </w:divBdr>
    </w:div>
    <w:div w:id="693075270">
      <w:bodyDiv w:val="1"/>
      <w:marLeft w:val="0"/>
      <w:marRight w:val="0"/>
      <w:marTop w:val="0"/>
      <w:marBottom w:val="0"/>
      <w:divBdr>
        <w:top w:val="none" w:sz="0" w:space="0" w:color="auto"/>
        <w:left w:val="none" w:sz="0" w:space="0" w:color="auto"/>
        <w:bottom w:val="none" w:sz="0" w:space="0" w:color="auto"/>
        <w:right w:val="none" w:sz="0" w:space="0" w:color="auto"/>
      </w:divBdr>
    </w:div>
    <w:div w:id="693118476">
      <w:bodyDiv w:val="1"/>
      <w:marLeft w:val="0"/>
      <w:marRight w:val="0"/>
      <w:marTop w:val="0"/>
      <w:marBottom w:val="0"/>
      <w:divBdr>
        <w:top w:val="none" w:sz="0" w:space="0" w:color="auto"/>
        <w:left w:val="none" w:sz="0" w:space="0" w:color="auto"/>
        <w:bottom w:val="none" w:sz="0" w:space="0" w:color="auto"/>
        <w:right w:val="none" w:sz="0" w:space="0" w:color="auto"/>
      </w:divBdr>
    </w:div>
    <w:div w:id="693119750">
      <w:bodyDiv w:val="1"/>
      <w:marLeft w:val="0"/>
      <w:marRight w:val="0"/>
      <w:marTop w:val="0"/>
      <w:marBottom w:val="0"/>
      <w:divBdr>
        <w:top w:val="none" w:sz="0" w:space="0" w:color="auto"/>
        <w:left w:val="none" w:sz="0" w:space="0" w:color="auto"/>
        <w:bottom w:val="none" w:sz="0" w:space="0" w:color="auto"/>
        <w:right w:val="none" w:sz="0" w:space="0" w:color="auto"/>
      </w:divBdr>
    </w:div>
    <w:div w:id="693263687">
      <w:bodyDiv w:val="1"/>
      <w:marLeft w:val="0"/>
      <w:marRight w:val="0"/>
      <w:marTop w:val="0"/>
      <w:marBottom w:val="0"/>
      <w:divBdr>
        <w:top w:val="none" w:sz="0" w:space="0" w:color="auto"/>
        <w:left w:val="none" w:sz="0" w:space="0" w:color="auto"/>
        <w:bottom w:val="none" w:sz="0" w:space="0" w:color="auto"/>
        <w:right w:val="none" w:sz="0" w:space="0" w:color="auto"/>
      </w:divBdr>
    </w:div>
    <w:div w:id="693388542">
      <w:bodyDiv w:val="1"/>
      <w:marLeft w:val="0"/>
      <w:marRight w:val="0"/>
      <w:marTop w:val="0"/>
      <w:marBottom w:val="0"/>
      <w:divBdr>
        <w:top w:val="none" w:sz="0" w:space="0" w:color="auto"/>
        <w:left w:val="none" w:sz="0" w:space="0" w:color="auto"/>
        <w:bottom w:val="none" w:sz="0" w:space="0" w:color="auto"/>
        <w:right w:val="none" w:sz="0" w:space="0" w:color="auto"/>
      </w:divBdr>
    </w:div>
    <w:div w:id="693388780">
      <w:bodyDiv w:val="1"/>
      <w:marLeft w:val="0"/>
      <w:marRight w:val="0"/>
      <w:marTop w:val="0"/>
      <w:marBottom w:val="0"/>
      <w:divBdr>
        <w:top w:val="none" w:sz="0" w:space="0" w:color="auto"/>
        <w:left w:val="none" w:sz="0" w:space="0" w:color="auto"/>
        <w:bottom w:val="none" w:sz="0" w:space="0" w:color="auto"/>
        <w:right w:val="none" w:sz="0" w:space="0" w:color="auto"/>
      </w:divBdr>
    </w:div>
    <w:div w:id="693530709">
      <w:bodyDiv w:val="1"/>
      <w:marLeft w:val="0"/>
      <w:marRight w:val="0"/>
      <w:marTop w:val="0"/>
      <w:marBottom w:val="0"/>
      <w:divBdr>
        <w:top w:val="none" w:sz="0" w:space="0" w:color="auto"/>
        <w:left w:val="none" w:sz="0" w:space="0" w:color="auto"/>
        <w:bottom w:val="none" w:sz="0" w:space="0" w:color="auto"/>
        <w:right w:val="none" w:sz="0" w:space="0" w:color="auto"/>
      </w:divBdr>
    </w:div>
    <w:div w:id="693580537">
      <w:bodyDiv w:val="1"/>
      <w:marLeft w:val="0"/>
      <w:marRight w:val="0"/>
      <w:marTop w:val="0"/>
      <w:marBottom w:val="0"/>
      <w:divBdr>
        <w:top w:val="none" w:sz="0" w:space="0" w:color="auto"/>
        <w:left w:val="none" w:sz="0" w:space="0" w:color="auto"/>
        <w:bottom w:val="none" w:sz="0" w:space="0" w:color="auto"/>
        <w:right w:val="none" w:sz="0" w:space="0" w:color="auto"/>
      </w:divBdr>
    </w:div>
    <w:div w:id="693651868">
      <w:bodyDiv w:val="1"/>
      <w:marLeft w:val="0"/>
      <w:marRight w:val="0"/>
      <w:marTop w:val="0"/>
      <w:marBottom w:val="0"/>
      <w:divBdr>
        <w:top w:val="none" w:sz="0" w:space="0" w:color="auto"/>
        <w:left w:val="none" w:sz="0" w:space="0" w:color="auto"/>
        <w:bottom w:val="none" w:sz="0" w:space="0" w:color="auto"/>
        <w:right w:val="none" w:sz="0" w:space="0" w:color="auto"/>
      </w:divBdr>
    </w:div>
    <w:div w:id="693654788">
      <w:bodyDiv w:val="1"/>
      <w:marLeft w:val="0"/>
      <w:marRight w:val="0"/>
      <w:marTop w:val="0"/>
      <w:marBottom w:val="0"/>
      <w:divBdr>
        <w:top w:val="none" w:sz="0" w:space="0" w:color="auto"/>
        <w:left w:val="none" w:sz="0" w:space="0" w:color="auto"/>
        <w:bottom w:val="none" w:sz="0" w:space="0" w:color="auto"/>
        <w:right w:val="none" w:sz="0" w:space="0" w:color="auto"/>
      </w:divBdr>
    </w:div>
    <w:div w:id="693962725">
      <w:bodyDiv w:val="1"/>
      <w:marLeft w:val="0"/>
      <w:marRight w:val="0"/>
      <w:marTop w:val="0"/>
      <w:marBottom w:val="0"/>
      <w:divBdr>
        <w:top w:val="none" w:sz="0" w:space="0" w:color="auto"/>
        <w:left w:val="none" w:sz="0" w:space="0" w:color="auto"/>
        <w:bottom w:val="none" w:sz="0" w:space="0" w:color="auto"/>
        <w:right w:val="none" w:sz="0" w:space="0" w:color="auto"/>
      </w:divBdr>
    </w:div>
    <w:div w:id="693967764">
      <w:bodyDiv w:val="1"/>
      <w:marLeft w:val="0"/>
      <w:marRight w:val="0"/>
      <w:marTop w:val="0"/>
      <w:marBottom w:val="0"/>
      <w:divBdr>
        <w:top w:val="none" w:sz="0" w:space="0" w:color="auto"/>
        <w:left w:val="none" w:sz="0" w:space="0" w:color="auto"/>
        <w:bottom w:val="none" w:sz="0" w:space="0" w:color="auto"/>
        <w:right w:val="none" w:sz="0" w:space="0" w:color="auto"/>
      </w:divBdr>
    </w:div>
    <w:div w:id="694113549">
      <w:bodyDiv w:val="1"/>
      <w:marLeft w:val="0"/>
      <w:marRight w:val="0"/>
      <w:marTop w:val="0"/>
      <w:marBottom w:val="0"/>
      <w:divBdr>
        <w:top w:val="none" w:sz="0" w:space="0" w:color="auto"/>
        <w:left w:val="none" w:sz="0" w:space="0" w:color="auto"/>
        <w:bottom w:val="none" w:sz="0" w:space="0" w:color="auto"/>
        <w:right w:val="none" w:sz="0" w:space="0" w:color="auto"/>
      </w:divBdr>
    </w:div>
    <w:div w:id="694235244">
      <w:bodyDiv w:val="1"/>
      <w:marLeft w:val="0"/>
      <w:marRight w:val="0"/>
      <w:marTop w:val="0"/>
      <w:marBottom w:val="0"/>
      <w:divBdr>
        <w:top w:val="none" w:sz="0" w:space="0" w:color="auto"/>
        <w:left w:val="none" w:sz="0" w:space="0" w:color="auto"/>
        <w:bottom w:val="none" w:sz="0" w:space="0" w:color="auto"/>
        <w:right w:val="none" w:sz="0" w:space="0" w:color="auto"/>
      </w:divBdr>
    </w:div>
    <w:div w:id="694307278">
      <w:bodyDiv w:val="1"/>
      <w:marLeft w:val="0"/>
      <w:marRight w:val="0"/>
      <w:marTop w:val="0"/>
      <w:marBottom w:val="0"/>
      <w:divBdr>
        <w:top w:val="none" w:sz="0" w:space="0" w:color="auto"/>
        <w:left w:val="none" w:sz="0" w:space="0" w:color="auto"/>
        <w:bottom w:val="none" w:sz="0" w:space="0" w:color="auto"/>
        <w:right w:val="none" w:sz="0" w:space="0" w:color="auto"/>
      </w:divBdr>
    </w:div>
    <w:div w:id="694309176">
      <w:bodyDiv w:val="1"/>
      <w:marLeft w:val="0"/>
      <w:marRight w:val="0"/>
      <w:marTop w:val="0"/>
      <w:marBottom w:val="0"/>
      <w:divBdr>
        <w:top w:val="none" w:sz="0" w:space="0" w:color="auto"/>
        <w:left w:val="none" w:sz="0" w:space="0" w:color="auto"/>
        <w:bottom w:val="none" w:sz="0" w:space="0" w:color="auto"/>
        <w:right w:val="none" w:sz="0" w:space="0" w:color="auto"/>
      </w:divBdr>
    </w:div>
    <w:div w:id="694356167">
      <w:bodyDiv w:val="1"/>
      <w:marLeft w:val="0"/>
      <w:marRight w:val="0"/>
      <w:marTop w:val="0"/>
      <w:marBottom w:val="0"/>
      <w:divBdr>
        <w:top w:val="none" w:sz="0" w:space="0" w:color="auto"/>
        <w:left w:val="none" w:sz="0" w:space="0" w:color="auto"/>
        <w:bottom w:val="none" w:sz="0" w:space="0" w:color="auto"/>
        <w:right w:val="none" w:sz="0" w:space="0" w:color="auto"/>
      </w:divBdr>
    </w:div>
    <w:div w:id="694385162">
      <w:bodyDiv w:val="1"/>
      <w:marLeft w:val="0"/>
      <w:marRight w:val="0"/>
      <w:marTop w:val="0"/>
      <w:marBottom w:val="0"/>
      <w:divBdr>
        <w:top w:val="none" w:sz="0" w:space="0" w:color="auto"/>
        <w:left w:val="none" w:sz="0" w:space="0" w:color="auto"/>
        <w:bottom w:val="none" w:sz="0" w:space="0" w:color="auto"/>
        <w:right w:val="none" w:sz="0" w:space="0" w:color="auto"/>
      </w:divBdr>
    </w:div>
    <w:div w:id="694501125">
      <w:bodyDiv w:val="1"/>
      <w:marLeft w:val="0"/>
      <w:marRight w:val="0"/>
      <w:marTop w:val="0"/>
      <w:marBottom w:val="0"/>
      <w:divBdr>
        <w:top w:val="none" w:sz="0" w:space="0" w:color="auto"/>
        <w:left w:val="none" w:sz="0" w:space="0" w:color="auto"/>
        <w:bottom w:val="none" w:sz="0" w:space="0" w:color="auto"/>
        <w:right w:val="none" w:sz="0" w:space="0" w:color="auto"/>
      </w:divBdr>
    </w:div>
    <w:div w:id="694501178">
      <w:bodyDiv w:val="1"/>
      <w:marLeft w:val="0"/>
      <w:marRight w:val="0"/>
      <w:marTop w:val="0"/>
      <w:marBottom w:val="0"/>
      <w:divBdr>
        <w:top w:val="none" w:sz="0" w:space="0" w:color="auto"/>
        <w:left w:val="none" w:sz="0" w:space="0" w:color="auto"/>
        <w:bottom w:val="none" w:sz="0" w:space="0" w:color="auto"/>
        <w:right w:val="none" w:sz="0" w:space="0" w:color="auto"/>
      </w:divBdr>
    </w:div>
    <w:div w:id="694502106">
      <w:bodyDiv w:val="1"/>
      <w:marLeft w:val="0"/>
      <w:marRight w:val="0"/>
      <w:marTop w:val="0"/>
      <w:marBottom w:val="0"/>
      <w:divBdr>
        <w:top w:val="none" w:sz="0" w:space="0" w:color="auto"/>
        <w:left w:val="none" w:sz="0" w:space="0" w:color="auto"/>
        <w:bottom w:val="none" w:sz="0" w:space="0" w:color="auto"/>
        <w:right w:val="none" w:sz="0" w:space="0" w:color="auto"/>
      </w:divBdr>
    </w:div>
    <w:div w:id="694505767">
      <w:bodyDiv w:val="1"/>
      <w:marLeft w:val="0"/>
      <w:marRight w:val="0"/>
      <w:marTop w:val="0"/>
      <w:marBottom w:val="0"/>
      <w:divBdr>
        <w:top w:val="none" w:sz="0" w:space="0" w:color="auto"/>
        <w:left w:val="none" w:sz="0" w:space="0" w:color="auto"/>
        <w:bottom w:val="none" w:sz="0" w:space="0" w:color="auto"/>
        <w:right w:val="none" w:sz="0" w:space="0" w:color="auto"/>
      </w:divBdr>
    </w:div>
    <w:div w:id="694575181">
      <w:bodyDiv w:val="1"/>
      <w:marLeft w:val="0"/>
      <w:marRight w:val="0"/>
      <w:marTop w:val="0"/>
      <w:marBottom w:val="0"/>
      <w:divBdr>
        <w:top w:val="none" w:sz="0" w:space="0" w:color="auto"/>
        <w:left w:val="none" w:sz="0" w:space="0" w:color="auto"/>
        <w:bottom w:val="none" w:sz="0" w:space="0" w:color="auto"/>
        <w:right w:val="none" w:sz="0" w:space="0" w:color="auto"/>
      </w:divBdr>
    </w:div>
    <w:div w:id="694690542">
      <w:bodyDiv w:val="1"/>
      <w:marLeft w:val="0"/>
      <w:marRight w:val="0"/>
      <w:marTop w:val="0"/>
      <w:marBottom w:val="0"/>
      <w:divBdr>
        <w:top w:val="none" w:sz="0" w:space="0" w:color="auto"/>
        <w:left w:val="none" w:sz="0" w:space="0" w:color="auto"/>
        <w:bottom w:val="none" w:sz="0" w:space="0" w:color="auto"/>
        <w:right w:val="none" w:sz="0" w:space="0" w:color="auto"/>
      </w:divBdr>
    </w:div>
    <w:div w:id="694771446">
      <w:bodyDiv w:val="1"/>
      <w:marLeft w:val="0"/>
      <w:marRight w:val="0"/>
      <w:marTop w:val="0"/>
      <w:marBottom w:val="0"/>
      <w:divBdr>
        <w:top w:val="none" w:sz="0" w:space="0" w:color="auto"/>
        <w:left w:val="none" w:sz="0" w:space="0" w:color="auto"/>
        <w:bottom w:val="none" w:sz="0" w:space="0" w:color="auto"/>
        <w:right w:val="none" w:sz="0" w:space="0" w:color="auto"/>
      </w:divBdr>
    </w:div>
    <w:div w:id="694816022">
      <w:bodyDiv w:val="1"/>
      <w:marLeft w:val="0"/>
      <w:marRight w:val="0"/>
      <w:marTop w:val="0"/>
      <w:marBottom w:val="0"/>
      <w:divBdr>
        <w:top w:val="none" w:sz="0" w:space="0" w:color="auto"/>
        <w:left w:val="none" w:sz="0" w:space="0" w:color="auto"/>
        <w:bottom w:val="none" w:sz="0" w:space="0" w:color="auto"/>
        <w:right w:val="none" w:sz="0" w:space="0" w:color="auto"/>
      </w:divBdr>
    </w:div>
    <w:div w:id="694885246">
      <w:bodyDiv w:val="1"/>
      <w:marLeft w:val="0"/>
      <w:marRight w:val="0"/>
      <w:marTop w:val="0"/>
      <w:marBottom w:val="0"/>
      <w:divBdr>
        <w:top w:val="none" w:sz="0" w:space="0" w:color="auto"/>
        <w:left w:val="none" w:sz="0" w:space="0" w:color="auto"/>
        <w:bottom w:val="none" w:sz="0" w:space="0" w:color="auto"/>
        <w:right w:val="none" w:sz="0" w:space="0" w:color="auto"/>
      </w:divBdr>
    </w:div>
    <w:div w:id="694964867">
      <w:bodyDiv w:val="1"/>
      <w:marLeft w:val="0"/>
      <w:marRight w:val="0"/>
      <w:marTop w:val="0"/>
      <w:marBottom w:val="0"/>
      <w:divBdr>
        <w:top w:val="none" w:sz="0" w:space="0" w:color="auto"/>
        <w:left w:val="none" w:sz="0" w:space="0" w:color="auto"/>
        <w:bottom w:val="none" w:sz="0" w:space="0" w:color="auto"/>
        <w:right w:val="none" w:sz="0" w:space="0" w:color="auto"/>
      </w:divBdr>
    </w:div>
    <w:div w:id="694966086">
      <w:bodyDiv w:val="1"/>
      <w:marLeft w:val="0"/>
      <w:marRight w:val="0"/>
      <w:marTop w:val="0"/>
      <w:marBottom w:val="0"/>
      <w:divBdr>
        <w:top w:val="none" w:sz="0" w:space="0" w:color="auto"/>
        <w:left w:val="none" w:sz="0" w:space="0" w:color="auto"/>
        <w:bottom w:val="none" w:sz="0" w:space="0" w:color="auto"/>
        <w:right w:val="none" w:sz="0" w:space="0" w:color="auto"/>
      </w:divBdr>
    </w:div>
    <w:div w:id="695034962">
      <w:bodyDiv w:val="1"/>
      <w:marLeft w:val="0"/>
      <w:marRight w:val="0"/>
      <w:marTop w:val="0"/>
      <w:marBottom w:val="0"/>
      <w:divBdr>
        <w:top w:val="none" w:sz="0" w:space="0" w:color="auto"/>
        <w:left w:val="none" w:sz="0" w:space="0" w:color="auto"/>
        <w:bottom w:val="none" w:sz="0" w:space="0" w:color="auto"/>
        <w:right w:val="none" w:sz="0" w:space="0" w:color="auto"/>
      </w:divBdr>
    </w:div>
    <w:div w:id="695085139">
      <w:bodyDiv w:val="1"/>
      <w:marLeft w:val="0"/>
      <w:marRight w:val="0"/>
      <w:marTop w:val="0"/>
      <w:marBottom w:val="0"/>
      <w:divBdr>
        <w:top w:val="none" w:sz="0" w:space="0" w:color="auto"/>
        <w:left w:val="none" w:sz="0" w:space="0" w:color="auto"/>
        <w:bottom w:val="none" w:sz="0" w:space="0" w:color="auto"/>
        <w:right w:val="none" w:sz="0" w:space="0" w:color="auto"/>
      </w:divBdr>
    </w:div>
    <w:div w:id="695155954">
      <w:bodyDiv w:val="1"/>
      <w:marLeft w:val="0"/>
      <w:marRight w:val="0"/>
      <w:marTop w:val="0"/>
      <w:marBottom w:val="0"/>
      <w:divBdr>
        <w:top w:val="none" w:sz="0" w:space="0" w:color="auto"/>
        <w:left w:val="none" w:sz="0" w:space="0" w:color="auto"/>
        <w:bottom w:val="none" w:sz="0" w:space="0" w:color="auto"/>
        <w:right w:val="none" w:sz="0" w:space="0" w:color="auto"/>
      </w:divBdr>
    </w:div>
    <w:div w:id="695541205">
      <w:bodyDiv w:val="1"/>
      <w:marLeft w:val="0"/>
      <w:marRight w:val="0"/>
      <w:marTop w:val="0"/>
      <w:marBottom w:val="0"/>
      <w:divBdr>
        <w:top w:val="none" w:sz="0" w:space="0" w:color="auto"/>
        <w:left w:val="none" w:sz="0" w:space="0" w:color="auto"/>
        <w:bottom w:val="none" w:sz="0" w:space="0" w:color="auto"/>
        <w:right w:val="none" w:sz="0" w:space="0" w:color="auto"/>
      </w:divBdr>
    </w:div>
    <w:div w:id="695543037">
      <w:bodyDiv w:val="1"/>
      <w:marLeft w:val="0"/>
      <w:marRight w:val="0"/>
      <w:marTop w:val="0"/>
      <w:marBottom w:val="0"/>
      <w:divBdr>
        <w:top w:val="none" w:sz="0" w:space="0" w:color="auto"/>
        <w:left w:val="none" w:sz="0" w:space="0" w:color="auto"/>
        <w:bottom w:val="none" w:sz="0" w:space="0" w:color="auto"/>
        <w:right w:val="none" w:sz="0" w:space="0" w:color="auto"/>
      </w:divBdr>
    </w:div>
    <w:div w:id="695621062">
      <w:bodyDiv w:val="1"/>
      <w:marLeft w:val="0"/>
      <w:marRight w:val="0"/>
      <w:marTop w:val="0"/>
      <w:marBottom w:val="0"/>
      <w:divBdr>
        <w:top w:val="none" w:sz="0" w:space="0" w:color="auto"/>
        <w:left w:val="none" w:sz="0" w:space="0" w:color="auto"/>
        <w:bottom w:val="none" w:sz="0" w:space="0" w:color="auto"/>
        <w:right w:val="none" w:sz="0" w:space="0" w:color="auto"/>
      </w:divBdr>
    </w:div>
    <w:div w:id="695622838">
      <w:bodyDiv w:val="1"/>
      <w:marLeft w:val="0"/>
      <w:marRight w:val="0"/>
      <w:marTop w:val="0"/>
      <w:marBottom w:val="0"/>
      <w:divBdr>
        <w:top w:val="none" w:sz="0" w:space="0" w:color="auto"/>
        <w:left w:val="none" w:sz="0" w:space="0" w:color="auto"/>
        <w:bottom w:val="none" w:sz="0" w:space="0" w:color="auto"/>
        <w:right w:val="none" w:sz="0" w:space="0" w:color="auto"/>
      </w:divBdr>
    </w:div>
    <w:div w:id="695740564">
      <w:bodyDiv w:val="1"/>
      <w:marLeft w:val="0"/>
      <w:marRight w:val="0"/>
      <w:marTop w:val="0"/>
      <w:marBottom w:val="0"/>
      <w:divBdr>
        <w:top w:val="none" w:sz="0" w:space="0" w:color="auto"/>
        <w:left w:val="none" w:sz="0" w:space="0" w:color="auto"/>
        <w:bottom w:val="none" w:sz="0" w:space="0" w:color="auto"/>
        <w:right w:val="none" w:sz="0" w:space="0" w:color="auto"/>
      </w:divBdr>
    </w:div>
    <w:div w:id="695892336">
      <w:bodyDiv w:val="1"/>
      <w:marLeft w:val="0"/>
      <w:marRight w:val="0"/>
      <w:marTop w:val="0"/>
      <w:marBottom w:val="0"/>
      <w:divBdr>
        <w:top w:val="none" w:sz="0" w:space="0" w:color="auto"/>
        <w:left w:val="none" w:sz="0" w:space="0" w:color="auto"/>
        <w:bottom w:val="none" w:sz="0" w:space="0" w:color="auto"/>
        <w:right w:val="none" w:sz="0" w:space="0" w:color="auto"/>
      </w:divBdr>
    </w:div>
    <w:div w:id="695958509">
      <w:bodyDiv w:val="1"/>
      <w:marLeft w:val="0"/>
      <w:marRight w:val="0"/>
      <w:marTop w:val="0"/>
      <w:marBottom w:val="0"/>
      <w:divBdr>
        <w:top w:val="none" w:sz="0" w:space="0" w:color="auto"/>
        <w:left w:val="none" w:sz="0" w:space="0" w:color="auto"/>
        <w:bottom w:val="none" w:sz="0" w:space="0" w:color="auto"/>
        <w:right w:val="none" w:sz="0" w:space="0" w:color="auto"/>
      </w:divBdr>
    </w:div>
    <w:div w:id="696080189">
      <w:bodyDiv w:val="1"/>
      <w:marLeft w:val="0"/>
      <w:marRight w:val="0"/>
      <w:marTop w:val="0"/>
      <w:marBottom w:val="0"/>
      <w:divBdr>
        <w:top w:val="none" w:sz="0" w:space="0" w:color="auto"/>
        <w:left w:val="none" w:sz="0" w:space="0" w:color="auto"/>
        <w:bottom w:val="none" w:sz="0" w:space="0" w:color="auto"/>
        <w:right w:val="none" w:sz="0" w:space="0" w:color="auto"/>
      </w:divBdr>
    </w:div>
    <w:div w:id="696123492">
      <w:bodyDiv w:val="1"/>
      <w:marLeft w:val="0"/>
      <w:marRight w:val="0"/>
      <w:marTop w:val="0"/>
      <w:marBottom w:val="0"/>
      <w:divBdr>
        <w:top w:val="none" w:sz="0" w:space="0" w:color="auto"/>
        <w:left w:val="none" w:sz="0" w:space="0" w:color="auto"/>
        <w:bottom w:val="none" w:sz="0" w:space="0" w:color="auto"/>
        <w:right w:val="none" w:sz="0" w:space="0" w:color="auto"/>
      </w:divBdr>
    </w:div>
    <w:div w:id="696127283">
      <w:bodyDiv w:val="1"/>
      <w:marLeft w:val="0"/>
      <w:marRight w:val="0"/>
      <w:marTop w:val="0"/>
      <w:marBottom w:val="0"/>
      <w:divBdr>
        <w:top w:val="none" w:sz="0" w:space="0" w:color="auto"/>
        <w:left w:val="none" w:sz="0" w:space="0" w:color="auto"/>
        <w:bottom w:val="none" w:sz="0" w:space="0" w:color="auto"/>
        <w:right w:val="none" w:sz="0" w:space="0" w:color="auto"/>
      </w:divBdr>
    </w:div>
    <w:div w:id="696154303">
      <w:bodyDiv w:val="1"/>
      <w:marLeft w:val="0"/>
      <w:marRight w:val="0"/>
      <w:marTop w:val="0"/>
      <w:marBottom w:val="0"/>
      <w:divBdr>
        <w:top w:val="none" w:sz="0" w:space="0" w:color="auto"/>
        <w:left w:val="none" w:sz="0" w:space="0" w:color="auto"/>
        <w:bottom w:val="none" w:sz="0" w:space="0" w:color="auto"/>
        <w:right w:val="none" w:sz="0" w:space="0" w:color="auto"/>
      </w:divBdr>
    </w:div>
    <w:div w:id="696197738">
      <w:bodyDiv w:val="1"/>
      <w:marLeft w:val="0"/>
      <w:marRight w:val="0"/>
      <w:marTop w:val="0"/>
      <w:marBottom w:val="0"/>
      <w:divBdr>
        <w:top w:val="none" w:sz="0" w:space="0" w:color="auto"/>
        <w:left w:val="none" w:sz="0" w:space="0" w:color="auto"/>
        <w:bottom w:val="none" w:sz="0" w:space="0" w:color="auto"/>
        <w:right w:val="none" w:sz="0" w:space="0" w:color="auto"/>
      </w:divBdr>
    </w:div>
    <w:div w:id="696346361">
      <w:bodyDiv w:val="1"/>
      <w:marLeft w:val="0"/>
      <w:marRight w:val="0"/>
      <w:marTop w:val="0"/>
      <w:marBottom w:val="0"/>
      <w:divBdr>
        <w:top w:val="none" w:sz="0" w:space="0" w:color="auto"/>
        <w:left w:val="none" w:sz="0" w:space="0" w:color="auto"/>
        <w:bottom w:val="none" w:sz="0" w:space="0" w:color="auto"/>
        <w:right w:val="none" w:sz="0" w:space="0" w:color="auto"/>
      </w:divBdr>
    </w:div>
    <w:div w:id="696347782">
      <w:bodyDiv w:val="1"/>
      <w:marLeft w:val="0"/>
      <w:marRight w:val="0"/>
      <w:marTop w:val="0"/>
      <w:marBottom w:val="0"/>
      <w:divBdr>
        <w:top w:val="none" w:sz="0" w:space="0" w:color="auto"/>
        <w:left w:val="none" w:sz="0" w:space="0" w:color="auto"/>
        <w:bottom w:val="none" w:sz="0" w:space="0" w:color="auto"/>
        <w:right w:val="none" w:sz="0" w:space="0" w:color="auto"/>
      </w:divBdr>
    </w:div>
    <w:div w:id="696351192">
      <w:bodyDiv w:val="1"/>
      <w:marLeft w:val="0"/>
      <w:marRight w:val="0"/>
      <w:marTop w:val="0"/>
      <w:marBottom w:val="0"/>
      <w:divBdr>
        <w:top w:val="none" w:sz="0" w:space="0" w:color="auto"/>
        <w:left w:val="none" w:sz="0" w:space="0" w:color="auto"/>
        <w:bottom w:val="none" w:sz="0" w:space="0" w:color="auto"/>
        <w:right w:val="none" w:sz="0" w:space="0" w:color="auto"/>
      </w:divBdr>
    </w:div>
    <w:div w:id="696468264">
      <w:bodyDiv w:val="1"/>
      <w:marLeft w:val="0"/>
      <w:marRight w:val="0"/>
      <w:marTop w:val="0"/>
      <w:marBottom w:val="0"/>
      <w:divBdr>
        <w:top w:val="none" w:sz="0" w:space="0" w:color="auto"/>
        <w:left w:val="none" w:sz="0" w:space="0" w:color="auto"/>
        <w:bottom w:val="none" w:sz="0" w:space="0" w:color="auto"/>
        <w:right w:val="none" w:sz="0" w:space="0" w:color="auto"/>
      </w:divBdr>
    </w:div>
    <w:div w:id="696469373">
      <w:bodyDiv w:val="1"/>
      <w:marLeft w:val="0"/>
      <w:marRight w:val="0"/>
      <w:marTop w:val="0"/>
      <w:marBottom w:val="0"/>
      <w:divBdr>
        <w:top w:val="none" w:sz="0" w:space="0" w:color="auto"/>
        <w:left w:val="none" w:sz="0" w:space="0" w:color="auto"/>
        <w:bottom w:val="none" w:sz="0" w:space="0" w:color="auto"/>
        <w:right w:val="none" w:sz="0" w:space="0" w:color="auto"/>
      </w:divBdr>
    </w:div>
    <w:div w:id="696472629">
      <w:bodyDiv w:val="1"/>
      <w:marLeft w:val="0"/>
      <w:marRight w:val="0"/>
      <w:marTop w:val="0"/>
      <w:marBottom w:val="0"/>
      <w:divBdr>
        <w:top w:val="none" w:sz="0" w:space="0" w:color="auto"/>
        <w:left w:val="none" w:sz="0" w:space="0" w:color="auto"/>
        <w:bottom w:val="none" w:sz="0" w:space="0" w:color="auto"/>
        <w:right w:val="none" w:sz="0" w:space="0" w:color="auto"/>
      </w:divBdr>
    </w:div>
    <w:div w:id="696541822">
      <w:bodyDiv w:val="1"/>
      <w:marLeft w:val="0"/>
      <w:marRight w:val="0"/>
      <w:marTop w:val="0"/>
      <w:marBottom w:val="0"/>
      <w:divBdr>
        <w:top w:val="none" w:sz="0" w:space="0" w:color="auto"/>
        <w:left w:val="none" w:sz="0" w:space="0" w:color="auto"/>
        <w:bottom w:val="none" w:sz="0" w:space="0" w:color="auto"/>
        <w:right w:val="none" w:sz="0" w:space="0" w:color="auto"/>
      </w:divBdr>
    </w:div>
    <w:div w:id="696542162">
      <w:bodyDiv w:val="1"/>
      <w:marLeft w:val="0"/>
      <w:marRight w:val="0"/>
      <w:marTop w:val="0"/>
      <w:marBottom w:val="0"/>
      <w:divBdr>
        <w:top w:val="none" w:sz="0" w:space="0" w:color="auto"/>
        <w:left w:val="none" w:sz="0" w:space="0" w:color="auto"/>
        <w:bottom w:val="none" w:sz="0" w:space="0" w:color="auto"/>
        <w:right w:val="none" w:sz="0" w:space="0" w:color="auto"/>
      </w:divBdr>
    </w:div>
    <w:div w:id="696590562">
      <w:bodyDiv w:val="1"/>
      <w:marLeft w:val="0"/>
      <w:marRight w:val="0"/>
      <w:marTop w:val="0"/>
      <w:marBottom w:val="0"/>
      <w:divBdr>
        <w:top w:val="none" w:sz="0" w:space="0" w:color="auto"/>
        <w:left w:val="none" w:sz="0" w:space="0" w:color="auto"/>
        <w:bottom w:val="none" w:sz="0" w:space="0" w:color="auto"/>
        <w:right w:val="none" w:sz="0" w:space="0" w:color="auto"/>
      </w:divBdr>
    </w:div>
    <w:div w:id="696656921">
      <w:bodyDiv w:val="1"/>
      <w:marLeft w:val="0"/>
      <w:marRight w:val="0"/>
      <w:marTop w:val="0"/>
      <w:marBottom w:val="0"/>
      <w:divBdr>
        <w:top w:val="none" w:sz="0" w:space="0" w:color="auto"/>
        <w:left w:val="none" w:sz="0" w:space="0" w:color="auto"/>
        <w:bottom w:val="none" w:sz="0" w:space="0" w:color="auto"/>
        <w:right w:val="none" w:sz="0" w:space="0" w:color="auto"/>
      </w:divBdr>
    </w:div>
    <w:div w:id="696856901">
      <w:bodyDiv w:val="1"/>
      <w:marLeft w:val="0"/>
      <w:marRight w:val="0"/>
      <w:marTop w:val="0"/>
      <w:marBottom w:val="0"/>
      <w:divBdr>
        <w:top w:val="none" w:sz="0" w:space="0" w:color="auto"/>
        <w:left w:val="none" w:sz="0" w:space="0" w:color="auto"/>
        <w:bottom w:val="none" w:sz="0" w:space="0" w:color="auto"/>
        <w:right w:val="none" w:sz="0" w:space="0" w:color="auto"/>
      </w:divBdr>
    </w:div>
    <w:div w:id="696857596">
      <w:bodyDiv w:val="1"/>
      <w:marLeft w:val="0"/>
      <w:marRight w:val="0"/>
      <w:marTop w:val="0"/>
      <w:marBottom w:val="0"/>
      <w:divBdr>
        <w:top w:val="none" w:sz="0" w:space="0" w:color="auto"/>
        <w:left w:val="none" w:sz="0" w:space="0" w:color="auto"/>
        <w:bottom w:val="none" w:sz="0" w:space="0" w:color="auto"/>
        <w:right w:val="none" w:sz="0" w:space="0" w:color="auto"/>
      </w:divBdr>
    </w:div>
    <w:div w:id="697197036">
      <w:bodyDiv w:val="1"/>
      <w:marLeft w:val="0"/>
      <w:marRight w:val="0"/>
      <w:marTop w:val="0"/>
      <w:marBottom w:val="0"/>
      <w:divBdr>
        <w:top w:val="none" w:sz="0" w:space="0" w:color="auto"/>
        <w:left w:val="none" w:sz="0" w:space="0" w:color="auto"/>
        <w:bottom w:val="none" w:sz="0" w:space="0" w:color="auto"/>
        <w:right w:val="none" w:sz="0" w:space="0" w:color="auto"/>
      </w:divBdr>
    </w:div>
    <w:div w:id="697312878">
      <w:bodyDiv w:val="1"/>
      <w:marLeft w:val="0"/>
      <w:marRight w:val="0"/>
      <w:marTop w:val="0"/>
      <w:marBottom w:val="0"/>
      <w:divBdr>
        <w:top w:val="none" w:sz="0" w:space="0" w:color="auto"/>
        <w:left w:val="none" w:sz="0" w:space="0" w:color="auto"/>
        <w:bottom w:val="none" w:sz="0" w:space="0" w:color="auto"/>
        <w:right w:val="none" w:sz="0" w:space="0" w:color="auto"/>
      </w:divBdr>
    </w:div>
    <w:div w:id="697388316">
      <w:bodyDiv w:val="1"/>
      <w:marLeft w:val="0"/>
      <w:marRight w:val="0"/>
      <w:marTop w:val="0"/>
      <w:marBottom w:val="0"/>
      <w:divBdr>
        <w:top w:val="none" w:sz="0" w:space="0" w:color="auto"/>
        <w:left w:val="none" w:sz="0" w:space="0" w:color="auto"/>
        <w:bottom w:val="none" w:sz="0" w:space="0" w:color="auto"/>
        <w:right w:val="none" w:sz="0" w:space="0" w:color="auto"/>
      </w:divBdr>
    </w:div>
    <w:div w:id="697393436">
      <w:bodyDiv w:val="1"/>
      <w:marLeft w:val="0"/>
      <w:marRight w:val="0"/>
      <w:marTop w:val="0"/>
      <w:marBottom w:val="0"/>
      <w:divBdr>
        <w:top w:val="none" w:sz="0" w:space="0" w:color="auto"/>
        <w:left w:val="none" w:sz="0" w:space="0" w:color="auto"/>
        <w:bottom w:val="none" w:sz="0" w:space="0" w:color="auto"/>
        <w:right w:val="none" w:sz="0" w:space="0" w:color="auto"/>
      </w:divBdr>
    </w:div>
    <w:div w:id="697509082">
      <w:bodyDiv w:val="1"/>
      <w:marLeft w:val="0"/>
      <w:marRight w:val="0"/>
      <w:marTop w:val="0"/>
      <w:marBottom w:val="0"/>
      <w:divBdr>
        <w:top w:val="none" w:sz="0" w:space="0" w:color="auto"/>
        <w:left w:val="none" w:sz="0" w:space="0" w:color="auto"/>
        <w:bottom w:val="none" w:sz="0" w:space="0" w:color="auto"/>
        <w:right w:val="none" w:sz="0" w:space="0" w:color="auto"/>
      </w:divBdr>
    </w:div>
    <w:div w:id="697511185">
      <w:bodyDiv w:val="1"/>
      <w:marLeft w:val="0"/>
      <w:marRight w:val="0"/>
      <w:marTop w:val="0"/>
      <w:marBottom w:val="0"/>
      <w:divBdr>
        <w:top w:val="none" w:sz="0" w:space="0" w:color="auto"/>
        <w:left w:val="none" w:sz="0" w:space="0" w:color="auto"/>
        <w:bottom w:val="none" w:sz="0" w:space="0" w:color="auto"/>
        <w:right w:val="none" w:sz="0" w:space="0" w:color="auto"/>
      </w:divBdr>
    </w:div>
    <w:div w:id="697585508">
      <w:bodyDiv w:val="1"/>
      <w:marLeft w:val="0"/>
      <w:marRight w:val="0"/>
      <w:marTop w:val="0"/>
      <w:marBottom w:val="0"/>
      <w:divBdr>
        <w:top w:val="none" w:sz="0" w:space="0" w:color="auto"/>
        <w:left w:val="none" w:sz="0" w:space="0" w:color="auto"/>
        <w:bottom w:val="none" w:sz="0" w:space="0" w:color="auto"/>
        <w:right w:val="none" w:sz="0" w:space="0" w:color="auto"/>
      </w:divBdr>
    </w:div>
    <w:div w:id="697586321">
      <w:bodyDiv w:val="1"/>
      <w:marLeft w:val="0"/>
      <w:marRight w:val="0"/>
      <w:marTop w:val="0"/>
      <w:marBottom w:val="0"/>
      <w:divBdr>
        <w:top w:val="none" w:sz="0" w:space="0" w:color="auto"/>
        <w:left w:val="none" w:sz="0" w:space="0" w:color="auto"/>
        <w:bottom w:val="none" w:sz="0" w:space="0" w:color="auto"/>
        <w:right w:val="none" w:sz="0" w:space="0" w:color="auto"/>
      </w:divBdr>
    </w:div>
    <w:div w:id="697657870">
      <w:bodyDiv w:val="1"/>
      <w:marLeft w:val="0"/>
      <w:marRight w:val="0"/>
      <w:marTop w:val="0"/>
      <w:marBottom w:val="0"/>
      <w:divBdr>
        <w:top w:val="none" w:sz="0" w:space="0" w:color="auto"/>
        <w:left w:val="none" w:sz="0" w:space="0" w:color="auto"/>
        <w:bottom w:val="none" w:sz="0" w:space="0" w:color="auto"/>
        <w:right w:val="none" w:sz="0" w:space="0" w:color="auto"/>
      </w:divBdr>
    </w:div>
    <w:div w:id="697660971">
      <w:bodyDiv w:val="1"/>
      <w:marLeft w:val="0"/>
      <w:marRight w:val="0"/>
      <w:marTop w:val="0"/>
      <w:marBottom w:val="0"/>
      <w:divBdr>
        <w:top w:val="none" w:sz="0" w:space="0" w:color="auto"/>
        <w:left w:val="none" w:sz="0" w:space="0" w:color="auto"/>
        <w:bottom w:val="none" w:sz="0" w:space="0" w:color="auto"/>
        <w:right w:val="none" w:sz="0" w:space="0" w:color="auto"/>
      </w:divBdr>
    </w:div>
    <w:div w:id="697699334">
      <w:bodyDiv w:val="1"/>
      <w:marLeft w:val="0"/>
      <w:marRight w:val="0"/>
      <w:marTop w:val="0"/>
      <w:marBottom w:val="0"/>
      <w:divBdr>
        <w:top w:val="none" w:sz="0" w:space="0" w:color="auto"/>
        <w:left w:val="none" w:sz="0" w:space="0" w:color="auto"/>
        <w:bottom w:val="none" w:sz="0" w:space="0" w:color="auto"/>
        <w:right w:val="none" w:sz="0" w:space="0" w:color="auto"/>
      </w:divBdr>
    </w:div>
    <w:div w:id="697701524">
      <w:bodyDiv w:val="1"/>
      <w:marLeft w:val="0"/>
      <w:marRight w:val="0"/>
      <w:marTop w:val="0"/>
      <w:marBottom w:val="0"/>
      <w:divBdr>
        <w:top w:val="none" w:sz="0" w:space="0" w:color="auto"/>
        <w:left w:val="none" w:sz="0" w:space="0" w:color="auto"/>
        <w:bottom w:val="none" w:sz="0" w:space="0" w:color="auto"/>
        <w:right w:val="none" w:sz="0" w:space="0" w:color="auto"/>
      </w:divBdr>
    </w:div>
    <w:div w:id="697706830">
      <w:bodyDiv w:val="1"/>
      <w:marLeft w:val="0"/>
      <w:marRight w:val="0"/>
      <w:marTop w:val="0"/>
      <w:marBottom w:val="0"/>
      <w:divBdr>
        <w:top w:val="none" w:sz="0" w:space="0" w:color="auto"/>
        <w:left w:val="none" w:sz="0" w:space="0" w:color="auto"/>
        <w:bottom w:val="none" w:sz="0" w:space="0" w:color="auto"/>
        <w:right w:val="none" w:sz="0" w:space="0" w:color="auto"/>
      </w:divBdr>
    </w:div>
    <w:div w:id="697848805">
      <w:bodyDiv w:val="1"/>
      <w:marLeft w:val="0"/>
      <w:marRight w:val="0"/>
      <w:marTop w:val="0"/>
      <w:marBottom w:val="0"/>
      <w:divBdr>
        <w:top w:val="none" w:sz="0" w:space="0" w:color="auto"/>
        <w:left w:val="none" w:sz="0" w:space="0" w:color="auto"/>
        <w:bottom w:val="none" w:sz="0" w:space="0" w:color="auto"/>
        <w:right w:val="none" w:sz="0" w:space="0" w:color="auto"/>
      </w:divBdr>
    </w:div>
    <w:div w:id="697851435">
      <w:bodyDiv w:val="1"/>
      <w:marLeft w:val="0"/>
      <w:marRight w:val="0"/>
      <w:marTop w:val="0"/>
      <w:marBottom w:val="0"/>
      <w:divBdr>
        <w:top w:val="none" w:sz="0" w:space="0" w:color="auto"/>
        <w:left w:val="none" w:sz="0" w:space="0" w:color="auto"/>
        <w:bottom w:val="none" w:sz="0" w:space="0" w:color="auto"/>
        <w:right w:val="none" w:sz="0" w:space="0" w:color="auto"/>
      </w:divBdr>
    </w:div>
    <w:div w:id="697975265">
      <w:bodyDiv w:val="1"/>
      <w:marLeft w:val="0"/>
      <w:marRight w:val="0"/>
      <w:marTop w:val="0"/>
      <w:marBottom w:val="0"/>
      <w:divBdr>
        <w:top w:val="none" w:sz="0" w:space="0" w:color="auto"/>
        <w:left w:val="none" w:sz="0" w:space="0" w:color="auto"/>
        <w:bottom w:val="none" w:sz="0" w:space="0" w:color="auto"/>
        <w:right w:val="none" w:sz="0" w:space="0" w:color="auto"/>
      </w:divBdr>
    </w:div>
    <w:div w:id="698045605">
      <w:bodyDiv w:val="1"/>
      <w:marLeft w:val="0"/>
      <w:marRight w:val="0"/>
      <w:marTop w:val="0"/>
      <w:marBottom w:val="0"/>
      <w:divBdr>
        <w:top w:val="none" w:sz="0" w:space="0" w:color="auto"/>
        <w:left w:val="none" w:sz="0" w:space="0" w:color="auto"/>
        <w:bottom w:val="none" w:sz="0" w:space="0" w:color="auto"/>
        <w:right w:val="none" w:sz="0" w:space="0" w:color="auto"/>
      </w:divBdr>
    </w:div>
    <w:div w:id="698046075">
      <w:bodyDiv w:val="1"/>
      <w:marLeft w:val="0"/>
      <w:marRight w:val="0"/>
      <w:marTop w:val="0"/>
      <w:marBottom w:val="0"/>
      <w:divBdr>
        <w:top w:val="none" w:sz="0" w:space="0" w:color="auto"/>
        <w:left w:val="none" w:sz="0" w:space="0" w:color="auto"/>
        <w:bottom w:val="none" w:sz="0" w:space="0" w:color="auto"/>
        <w:right w:val="none" w:sz="0" w:space="0" w:color="auto"/>
      </w:divBdr>
    </w:div>
    <w:div w:id="698050204">
      <w:bodyDiv w:val="1"/>
      <w:marLeft w:val="0"/>
      <w:marRight w:val="0"/>
      <w:marTop w:val="0"/>
      <w:marBottom w:val="0"/>
      <w:divBdr>
        <w:top w:val="none" w:sz="0" w:space="0" w:color="auto"/>
        <w:left w:val="none" w:sz="0" w:space="0" w:color="auto"/>
        <w:bottom w:val="none" w:sz="0" w:space="0" w:color="auto"/>
        <w:right w:val="none" w:sz="0" w:space="0" w:color="auto"/>
      </w:divBdr>
    </w:div>
    <w:div w:id="698090308">
      <w:bodyDiv w:val="1"/>
      <w:marLeft w:val="0"/>
      <w:marRight w:val="0"/>
      <w:marTop w:val="0"/>
      <w:marBottom w:val="0"/>
      <w:divBdr>
        <w:top w:val="none" w:sz="0" w:space="0" w:color="auto"/>
        <w:left w:val="none" w:sz="0" w:space="0" w:color="auto"/>
        <w:bottom w:val="none" w:sz="0" w:space="0" w:color="auto"/>
        <w:right w:val="none" w:sz="0" w:space="0" w:color="auto"/>
      </w:divBdr>
    </w:div>
    <w:div w:id="698235646">
      <w:bodyDiv w:val="1"/>
      <w:marLeft w:val="0"/>
      <w:marRight w:val="0"/>
      <w:marTop w:val="0"/>
      <w:marBottom w:val="0"/>
      <w:divBdr>
        <w:top w:val="none" w:sz="0" w:space="0" w:color="auto"/>
        <w:left w:val="none" w:sz="0" w:space="0" w:color="auto"/>
        <w:bottom w:val="none" w:sz="0" w:space="0" w:color="auto"/>
        <w:right w:val="none" w:sz="0" w:space="0" w:color="auto"/>
      </w:divBdr>
    </w:div>
    <w:div w:id="698236167">
      <w:bodyDiv w:val="1"/>
      <w:marLeft w:val="0"/>
      <w:marRight w:val="0"/>
      <w:marTop w:val="0"/>
      <w:marBottom w:val="0"/>
      <w:divBdr>
        <w:top w:val="none" w:sz="0" w:space="0" w:color="auto"/>
        <w:left w:val="none" w:sz="0" w:space="0" w:color="auto"/>
        <w:bottom w:val="none" w:sz="0" w:space="0" w:color="auto"/>
        <w:right w:val="none" w:sz="0" w:space="0" w:color="auto"/>
      </w:divBdr>
    </w:div>
    <w:div w:id="698286592">
      <w:bodyDiv w:val="1"/>
      <w:marLeft w:val="0"/>
      <w:marRight w:val="0"/>
      <w:marTop w:val="0"/>
      <w:marBottom w:val="0"/>
      <w:divBdr>
        <w:top w:val="none" w:sz="0" w:space="0" w:color="auto"/>
        <w:left w:val="none" w:sz="0" w:space="0" w:color="auto"/>
        <w:bottom w:val="none" w:sz="0" w:space="0" w:color="auto"/>
        <w:right w:val="none" w:sz="0" w:space="0" w:color="auto"/>
      </w:divBdr>
    </w:div>
    <w:div w:id="698359707">
      <w:bodyDiv w:val="1"/>
      <w:marLeft w:val="0"/>
      <w:marRight w:val="0"/>
      <w:marTop w:val="0"/>
      <w:marBottom w:val="0"/>
      <w:divBdr>
        <w:top w:val="none" w:sz="0" w:space="0" w:color="auto"/>
        <w:left w:val="none" w:sz="0" w:space="0" w:color="auto"/>
        <w:bottom w:val="none" w:sz="0" w:space="0" w:color="auto"/>
        <w:right w:val="none" w:sz="0" w:space="0" w:color="auto"/>
      </w:divBdr>
    </w:div>
    <w:div w:id="698432645">
      <w:bodyDiv w:val="1"/>
      <w:marLeft w:val="0"/>
      <w:marRight w:val="0"/>
      <w:marTop w:val="0"/>
      <w:marBottom w:val="0"/>
      <w:divBdr>
        <w:top w:val="none" w:sz="0" w:space="0" w:color="auto"/>
        <w:left w:val="none" w:sz="0" w:space="0" w:color="auto"/>
        <w:bottom w:val="none" w:sz="0" w:space="0" w:color="auto"/>
        <w:right w:val="none" w:sz="0" w:space="0" w:color="auto"/>
      </w:divBdr>
    </w:div>
    <w:div w:id="698505959">
      <w:bodyDiv w:val="1"/>
      <w:marLeft w:val="0"/>
      <w:marRight w:val="0"/>
      <w:marTop w:val="0"/>
      <w:marBottom w:val="0"/>
      <w:divBdr>
        <w:top w:val="none" w:sz="0" w:space="0" w:color="auto"/>
        <w:left w:val="none" w:sz="0" w:space="0" w:color="auto"/>
        <w:bottom w:val="none" w:sz="0" w:space="0" w:color="auto"/>
        <w:right w:val="none" w:sz="0" w:space="0" w:color="auto"/>
      </w:divBdr>
    </w:div>
    <w:div w:id="698508499">
      <w:bodyDiv w:val="1"/>
      <w:marLeft w:val="0"/>
      <w:marRight w:val="0"/>
      <w:marTop w:val="0"/>
      <w:marBottom w:val="0"/>
      <w:divBdr>
        <w:top w:val="none" w:sz="0" w:space="0" w:color="auto"/>
        <w:left w:val="none" w:sz="0" w:space="0" w:color="auto"/>
        <w:bottom w:val="none" w:sz="0" w:space="0" w:color="auto"/>
        <w:right w:val="none" w:sz="0" w:space="0" w:color="auto"/>
      </w:divBdr>
    </w:div>
    <w:div w:id="698509741">
      <w:bodyDiv w:val="1"/>
      <w:marLeft w:val="0"/>
      <w:marRight w:val="0"/>
      <w:marTop w:val="0"/>
      <w:marBottom w:val="0"/>
      <w:divBdr>
        <w:top w:val="none" w:sz="0" w:space="0" w:color="auto"/>
        <w:left w:val="none" w:sz="0" w:space="0" w:color="auto"/>
        <w:bottom w:val="none" w:sz="0" w:space="0" w:color="auto"/>
        <w:right w:val="none" w:sz="0" w:space="0" w:color="auto"/>
      </w:divBdr>
    </w:div>
    <w:div w:id="698551835">
      <w:bodyDiv w:val="1"/>
      <w:marLeft w:val="0"/>
      <w:marRight w:val="0"/>
      <w:marTop w:val="0"/>
      <w:marBottom w:val="0"/>
      <w:divBdr>
        <w:top w:val="none" w:sz="0" w:space="0" w:color="auto"/>
        <w:left w:val="none" w:sz="0" w:space="0" w:color="auto"/>
        <w:bottom w:val="none" w:sz="0" w:space="0" w:color="auto"/>
        <w:right w:val="none" w:sz="0" w:space="0" w:color="auto"/>
      </w:divBdr>
    </w:div>
    <w:div w:id="698624632">
      <w:bodyDiv w:val="1"/>
      <w:marLeft w:val="0"/>
      <w:marRight w:val="0"/>
      <w:marTop w:val="0"/>
      <w:marBottom w:val="0"/>
      <w:divBdr>
        <w:top w:val="none" w:sz="0" w:space="0" w:color="auto"/>
        <w:left w:val="none" w:sz="0" w:space="0" w:color="auto"/>
        <w:bottom w:val="none" w:sz="0" w:space="0" w:color="auto"/>
        <w:right w:val="none" w:sz="0" w:space="0" w:color="auto"/>
      </w:divBdr>
    </w:div>
    <w:div w:id="698625730">
      <w:bodyDiv w:val="1"/>
      <w:marLeft w:val="0"/>
      <w:marRight w:val="0"/>
      <w:marTop w:val="0"/>
      <w:marBottom w:val="0"/>
      <w:divBdr>
        <w:top w:val="none" w:sz="0" w:space="0" w:color="auto"/>
        <w:left w:val="none" w:sz="0" w:space="0" w:color="auto"/>
        <w:bottom w:val="none" w:sz="0" w:space="0" w:color="auto"/>
        <w:right w:val="none" w:sz="0" w:space="0" w:color="auto"/>
      </w:divBdr>
    </w:div>
    <w:div w:id="698627610">
      <w:bodyDiv w:val="1"/>
      <w:marLeft w:val="0"/>
      <w:marRight w:val="0"/>
      <w:marTop w:val="0"/>
      <w:marBottom w:val="0"/>
      <w:divBdr>
        <w:top w:val="none" w:sz="0" w:space="0" w:color="auto"/>
        <w:left w:val="none" w:sz="0" w:space="0" w:color="auto"/>
        <w:bottom w:val="none" w:sz="0" w:space="0" w:color="auto"/>
        <w:right w:val="none" w:sz="0" w:space="0" w:color="auto"/>
      </w:divBdr>
    </w:div>
    <w:div w:id="698629164">
      <w:bodyDiv w:val="1"/>
      <w:marLeft w:val="0"/>
      <w:marRight w:val="0"/>
      <w:marTop w:val="0"/>
      <w:marBottom w:val="0"/>
      <w:divBdr>
        <w:top w:val="none" w:sz="0" w:space="0" w:color="auto"/>
        <w:left w:val="none" w:sz="0" w:space="0" w:color="auto"/>
        <w:bottom w:val="none" w:sz="0" w:space="0" w:color="auto"/>
        <w:right w:val="none" w:sz="0" w:space="0" w:color="auto"/>
      </w:divBdr>
    </w:div>
    <w:div w:id="698749035">
      <w:bodyDiv w:val="1"/>
      <w:marLeft w:val="0"/>
      <w:marRight w:val="0"/>
      <w:marTop w:val="0"/>
      <w:marBottom w:val="0"/>
      <w:divBdr>
        <w:top w:val="none" w:sz="0" w:space="0" w:color="auto"/>
        <w:left w:val="none" w:sz="0" w:space="0" w:color="auto"/>
        <w:bottom w:val="none" w:sz="0" w:space="0" w:color="auto"/>
        <w:right w:val="none" w:sz="0" w:space="0" w:color="auto"/>
      </w:divBdr>
    </w:div>
    <w:div w:id="698777242">
      <w:bodyDiv w:val="1"/>
      <w:marLeft w:val="0"/>
      <w:marRight w:val="0"/>
      <w:marTop w:val="0"/>
      <w:marBottom w:val="0"/>
      <w:divBdr>
        <w:top w:val="none" w:sz="0" w:space="0" w:color="auto"/>
        <w:left w:val="none" w:sz="0" w:space="0" w:color="auto"/>
        <w:bottom w:val="none" w:sz="0" w:space="0" w:color="auto"/>
        <w:right w:val="none" w:sz="0" w:space="0" w:color="auto"/>
      </w:divBdr>
    </w:div>
    <w:div w:id="698816249">
      <w:bodyDiv w:val="1"/>
      <w:marLeft w:val="0"/>
      <w:marRight w:val="0"/>
      <w:marTop w:val="0"/>
      <w:marBottom w:val="0"/>
      <w:divBdr>
        <w:top w:val="none" w:sz="0" w:space="0" w:color="auto"/>
        <w:left w:val="none" w:sz="0" w:space="0" w:color="auto"/>
        <w:bottom w:val="none" w:sz="0" w:space="0" w:color="auto"/>
        <w:right w:val="none" w:sz="0" w:space="0" w:color="auto"/>
      </w:divBdr>
    </w:div>
    <w:div w:id="698890935">
      <w:bodyDiv w:val="1"/>
      <w:marLeft w:val="0"/>
      <w:marRight w:val="0"/>
      <w:marTop w:val="0"/>
      <w:marBottom w:val="0"/>
      <w:divBdr>
        <w:top w:val="none" w:sz="0" w:space="0" w:color="auto"/>
        <w:left w:val="none" w:sz="0" w:space="0" w:color="auto"/>
        <w:bottom w:val="none" w:sz="0" w:space="0" w:color="auto"/>
        <w:right w:val="none" w:sz="0" w:space="0" w:color="auto"/>
      </w:divBdr>
    </w:div>
    <w:div w:id="698896639">
      <w:bodyDiv w:val="1"/>
      <w:marLeft w:val="0"/>
      <w:marRight w:val="0"/>
      <w:marTop w:val="0"/>
      <w:marBottom w:val="0"/>
      <w:divBdr>
        <w:top w:val="none" w:sz="0" w:space="0" w:color="auto"/>
        <w:left w:val="none" w:sz="0" w:space="0" w:color="auto"/>
        <w:bottom w:val="none" w:sz="0" w:space="0" w:color="auto"/>
        <w:right w:val="none" w:sz="0" w:space="0" w:color="auto"/>
      </w:divBdr>
    </w:div>
    <w:div w:id="698970441">
      <w:bodyDiv w:val="1"/>
      <w:marLeft w:val="0"/>
      <w:marRight w:val="0"/>
      <w:marTop w:val="0"/>
      <w:marBottom w:val="0"/>
      <w:divBdr>
        <w:top w:val="none" w:sz="0" w:space="0" w:color="auto"/>
        <w:left w:val="none" w:sz="0" w:space="0" w:color="auto"/>
        <w:bottom w:val="none" w:sz="0" w:space="0" w:color="auto"/>
        <w:right w:val="none" w:sz="0" w:space="0" w:color="auto"/>
      </w:divBdr>
    </w:div>
    <w:div w:id="698974154">
      <w:bodyDiv w:val="1"/>
      <w:marLeft w:val="0"/>
      <w:marRight w:val="0"/>
      <w:marTop w:val="0"/>
      <w:marBottom w:val="0"/>
      <w:divBdr>
        <w:top w:val="none" w:sz="0" w:space="0" w:color="auto"/>
        <w:left w:val="none" w:sz="0" w:space="0" w:color="auto"/>
        <w:bottom w:val="none" w:sz="0" w:space="0" w:color="auto"/>
        <w:right w:val="none" w:sz="0" w:space="0" w:color="auto"/>
      </w:divBdr>
    </w:div>
    <w:div w:id="699010200">
      <w:bodyDiv w:val="1"/>
      <w:marLeft w:val="0"/>
      <w:marRight w:val="0"/>
      <w:marTop w:val="0"/>
      <w:marBottom w:val="0"/>
      <w:divBdr>
        <w:top w:val="none" w:sz="0" w:space="0" w:color="auto"/>
        <w:left w:val="none" w:sz="0" w:space="0" w:color="auto"/>
        <w:bottom w:val="none" w:sz="0" w:space="0" w:color="auto"/>
        <w:right w:val="none" w:sz="0" w:space="0" w:color="auto"/>
      </w:divBdr>
    </w:div>
    <w:div w:id="699011029">
      <w:bodyDiv w:val="1"/>
      <w:marLeft w:val="0"/>
      <w:marRight w:val="0"/>
      <w:marTop w:val="0"/>
      <w:marBottom w:val="0"/>
      <w:divBdr>
        <w:top w:val="none" w:sz="0" w:space="0" w:color="auto"/>
        <w:left w:val="none" w:sz="0" w:space="0" w:color="auto"/>
        <w:bottom w:val="none" w:sz="0" w:space="0" w:color="auto"/>
        <w:right w:val="none" w:sz="0" w:space="0" w:color="auto"/>
      </w:divBdr>
    </w:div>
    <w:div w:id="699017638">
      <w:bodyDiv w:val="1"/>
      <w:marLeft w:val="0"/>
      <w:marRight w:val="0"/>
      <w:marTop w:val="0"/>
      <w:marBottom w:val="0"/>
      <w:divBdr>
        <w:top w:val="none" w:sz="0" w:space="0" w:color="auto"/>
        <w:left w:val="none" w:sz="0" w:space="0" w:color="auto"/>
        <w:bottom w:val="none" w:sz="0" w:space="0" w:color="auto"/>
        <w:right w:val="none" w:sz="0" w:space="0" w:color="auto"/>
      </w:divBdr>
    </w:div>
    <w:div w:id="699085466">
      <w:bodyDiv w:val="1"/>
      <w:marLeft w:val="0"/>
      <w:marRight w:val="0"/>
      <w:marTop w:val="0"/>
      <w:marBottom w:val="0"/>
      <w:divBdr>
        <w:top w:val="none" w:sz="0" w:space="0" w:color="auto"/>
        <w:left w:val="none" w:sz="0" w:space="0" w:color="auto"/>
        <w:bottom w:val="none" w:sz="0" w:space="0" w:color="auto"/>
        <w:right w:val="none" w:sz="0" w:space="0" w:color="auto"/>
      </w:divBdr>
    </w:div>
    <w:div w:id="699090009">
      <w:bodyDiv w:val="1"/>
      <w:marLeft w:val="0"/>
      <w:marRight w:val="0"/>
      <w:marTop w:val="0"/>
      <w:marBottom w:val="0"/>
      <w:divBdr>
        <w:top w:val="none" w:sz="0" w:space="0" w:color="auto"/>
        <w:left w:val="none" w:sz="0" w:space="0" w:color="auto"/>
        <w:bottom w:val="none" w:sz="0" w:space="0" w:color="auto"/>
        <w:right w:val="none" w:sz="0" w:space="0" w:color="auto"/>
      </w:divBdr>
    </w:div>
    <w:div w:id="699090380">
      <w:bodyDiv w:val="1"/>
      <w:marLeft w:val="0"/>
      <w:marRight w:val="0"/>
      <w:marTop w:val="0"/>
      <w:marBottom w:val="0"/>
      <w:divBdr>
        <w:top w:val="none" w:sz="0" w:space="0" w:color="auto"/>
        <w:left w:val="none" w:sz="0" w:space="0" w:color="auto"/>
        <w:bottom w:val="none" w:sz="0" w:space="0" w:color="auto"/>
        <w:right w:val="none" w:sz="0" w:space="0" w:color="auto"/>
      </w:divBdr>
    </w:div>
    <w:div w:id="699162284">
      <w:bodyDiv w:val="1"/>
      <w:marLeft w:val="0"/>
      <w:marRight w:val="0"/>
      <w:marTop w:val="0"/>
      <w:marBottom w:val="0"/>
      <w:divBdr>
        <w:top w:val="none" w:sz="0" w:space="0" w:color="auto"/>
        <w:left w:val="none" w:sz="0" w:space="0" w:color="auto"/>
        <w:bottom w:val="none" w:sz="0" w:space="0" w:color="auto"/>
        <w:right w:val="none" w:sz="0" w:space="0" w:color="auto"/>
      </w:divBdr>
    </w:div>
    <w:div w:id="699478163">
      <w:bodyDiv w:val="1"/>
      <w:marLeft w:val="0"/>
      <w:marRight w:val="0"/>
      <w:marTop w:val="0"/>
      <w:marBottom w:val="0"/>
      <w:divBdr>
        <w:top w:val="none" w:sz="0" w:space="0" w:color="auto"/>
        <w:left w:val="none" w:sz="0" w:space="0" w:color="auto"/>
        <w:bottom w:val="none" w:sz="0" w:space="0" w:color="auto"/>
        <w:right w:val="none" w:sz="0" w:space="0" w:color="auto"/>
      </w:divBdr>
    </w:div>
    <w:div w:id="699746574">
      <w:bodyDiv w:val="1"/>
      <w:marLeft w:val="0"/>
      <w:marRight w:val="0"/>
      <w:marTop w:val="0"/>
      <w:marBottom w:val="0"/>
      <w:divBdr>
        <w:top w:val="none" w:sz="0" w:space="0" w:color="auto"/>
        <w:left w:val="none" w:sz="0" w:space="0" w:color="auto"/>
        <w:bottom w:val="none" w:sz="0" w:space="0" w:color="auto"/>
        <w:right w:val="none" w:sz="0" w:space="0" w:color="auto"/>
      </w:divBdr>
    </w:div>
    <w:div w:id="699821308">
      <w:bodyDiv w:val="1"/>
      <w:marLeft w:val="0"/>
      <w:marRight w:val="0"/>
      <w:marTop w:val="0"/>
      <w:marBottom w:val="0"/>
      <w:divBdr>
        <w:top w:val="none" w:sz="0" w:space="0" w:color="auto"/>
        <w:left w:val="none" w:sz="0" w:space="0" w:color="auto"/>
        <w:bottom w:val="none" w:sz="0" w:space="0" w:color="auto"/>
        <w:right w:val="none" w:sz="0" w:space="0" w:color="auto"/>
      </w:divBdr>
    </w:div>
    <w:div w:id="700011233">
      <w:bodyDiv w:val="1"/>
      <w:marLeft w:val="0"/>
      <w:marRight w:val="0"/>
      <w:marTop w:val="0"/>
      <w:marBottom w:val="0"/>
      <w:divBdr>
        <w:top w:val="none" w:sz="0" w:space="0" w:color="auto"/>
        <w:left w:val="none" w:sz="0" w:space="0" w:color="auto"/>
        <w:bottom w:val="none" w:sz="0" w:space="0" w:color="auto"/>
        <w:right w:val="none" w:sz="0" w:space="0" w:color="auto"/>
      </w:divBdr>
    </w:div>
    <w:div w:id="700014733">
      <w:bodyDiv w:val="1"/>
      <w:marLeft w:val="0"/>
      <w:marRight w:val="0"/>
      <w:marTop w:val="0"/>
      <w:marBottom w:val="0"/>
      <w:divBdr>
        <w:top w:val="none" w:sz="0" w:space="0" w:color="auto"/>
        <w:left w:val="none" w:sz="0" w:space="0" w:color="auto"/>
        <w:bottom w:val="none" w:sz="0" w:space="0" w:color="auto"/>
        <w:right w:val="none" w:sz="0" w:space="0" w:color="auto"/>
      </w:divBdr>
    </w:div>
    <w:div w:id="700085941">
      <w:bodyDiv w:val="1"/>
      <w:marLeft w:val="0"/>
      <w:marRight w:val="0"/>
      <w:marTop w:val="0"/>
      <w:marBottom w:val="0"/>
      <w:divBdr>
        <w:top w:val="none" w:sz="0" w:space="0" w:color="auto"/>
        <w:left w:val="none" w:sz="0" w:space="0" w:color="auto"/>
        <w:bottom w:val="none" w:sz="0" w:space="0" w:color="auto"/>
        <w:right w:val="none" w:sz="0" w:space="0" w:color="auto"/>
      </w:divBdr>
    </w:div>
    <w:div w:id="700126022">
      <w:bodyDiv w:val="1"/>
      <w:marLeft w:val="0"/>
      <w:marRight w:val="0"/>
      <w:marTop w:val="0"/>
      <w:marBottom w:val="0"/>
      <w:divBdr>
        <w:top w:val="none" w:sz="0" w:space="0" w:color="auto"/>
        <w:left w:val="none" w:sz="0" w:space="0" w:color="auto"/>
        <w:bottom w:val="none" w:sz="0" w:space="0" w:color="auto"/>
        <w:right w:val="none" w:sz="0" w:space="0" w:color="auto"/>
      </w:divBdr>
    </w:div>
    <w:div w:id="700210763">
      <w:bodyDiv w:val="1"/>
      <w:marLeft w:val="0"/>
      <w:marRight w:val="0"/>
      <w:marTop w:val="0"/>
      <w:marBottom w:val="0"/>
      <w:divBdr>
        <w:top w:val="none" w:sz="0" w:space="0" w:color="auto"/>
        <w:left w:val="none" w:sz="0" w:space="0" w:color="auto"/>
        <w:bottom w:val="none" w:sz="0" w:space="0" w:color="auto"/>
        <w:right w:val="none" w:sz="0" w:space="0" w:color="auto"/>
      </w:divBdr>
    </w:div>
    <w:div w:id="700322870">
      <w:bodyDiv w:val="1"/>
      <w:marLeft w:val="0"/>
      <w:marRight w:val="0"/>
      <w:marTop w:val="0"/>
      <w:marBottom w:val="0"/>
      <w:divBdr>
        <w:top w:val="none" w:sz="0" w:space="0" w:color="auto"/>
        <w:left w:val="none" w:sz="0" w:space="0" w:color="auto"/>
        <w:bottom w:val="none" w:sz="0" w:space="0" w:color="auto"/>
        <w:right w:val="none" w:sz="0" w:space="0" w:color="auto"/>
      </w:divBdr>
    </w:div>
    <w:div w:id="700516111">
      <w:bodyDiv w:val="1"/>
      <w:marLeft w:val="0"/>
      <w:marRight w:val="0"/>
      <w:marTop w:val="0"/>
      <w:marBottom w:val="0"/>
      <w:divBdr>
        <w:top w:val="none" w:sz="0" w:space="0" w:color="auto"/>
        <w:left w:val="none" w:sz="0" w:space="0" w:color="auto"/>
        <w:bottom w:val="none" w:sz="0" w:space="0" w:color="auto"/>
        <w:right w:val="none" w:sz="0" w:space="0" w:color="auto"/>
      </w:divBdr>
    </w:div>
    <w:div w:id="700594115">
      <w:bodyDiv w:val="1"/>
      <w:marLeft w:val="0"/>
      <w:marRight w:val="0"/>
      <w:marTop w:val="0"/>
      <w:marBottom w:val="0"/>
      <w:divBdr>
        <w:top w:val="none" w:sz="0" w:space="0" w:color="auto"/>
        <w:left w:val="none" w:sz="0" w:space="0" w:color="auto"/>
        <w:bottom w:val="none" w:sz="0" w:space="0" w:color="auto"/>
        <w:right w:val="none" w:sz="0" w:space="0" w:color="auto"/>
      </w:divBdr>
    </w:div>
    <w:div w:id="700671432">
      <w:bodyDiv w:val="1"/>
      <w:marLeft w:val="0"/>
      <w:marRight w:val="0"/>
      <w:marTop w:val="0"/>
      <w:marBottom w:val="0"/>
      <w:divBdr>
        <w:top w:val="none" w:sz="0" w:space="0" w:color="auto"/>
        <w:left w:val="none" w:sz="0" w:space="0" w:color="auto"/>
        <w:bottom w:val="none" w:sz="0" w:space="0" w:color="auto"/>
        <w:right w:val="none" w:sz="0" w:space="0" w:color="auto"/>
      </w:divBdr>
    </w:div>
    <w:div w:id="700781603">
      <w:bodyDiv w:val="1"/>
      <w:marLeft w:val="0"/>
      <w:marRight w:val="0"/>
      <w:marTop w:val="0"/>
      <w:marBottom w:val="0"/>
      <w:divBdr>
        <w:top w:val="none" w:sz="0" w:space="0" w:color="auto"/>
        <w:left w:val="none" w:sz="0" w:space="0" w:color="auto"/>
        <w:bottom w:val="none" w:sz="0" w:space="0" w:color="auto"/>
        <w:right w:val="none" w:sz="0" w:space="0" w:color="auto"/>
      </w:divBdr>
    </w:div>
    <w:div w:id="700864721">
      <w:bodyDiv w:val="1"/>
      <w:marLeft w:val="0"/>
      <w:marRight w:val="0"/>
      <w:marTop w:val="0"/>
      <w:marBottom w:val="0"/>
      <w:divBdr>
        <w:top w:val="none" w:sz="0" w:space="0" w:color="auto"/>
        <w:left w:val="none" w:sz="0" w:space="0" w:color="auto"/>
        <w:bottom w:val="none" w:sz="0" w:space="0" w:color="auto"/>
        <w:right w:val="none" w:sz="0" w:space="0" w:color="auto"/>
      </w:divBdr>
    </w:div>
    <w:div w:id="700866155">
      <w:bodyDiv w:val="1"/>
      <w:marLeft w:val="0"/>
      <w:marRight w:val="0"/>
      <w:marTop w:val="0"/>
      <w:marBottom w:val="0"/>
      <w:divBdr>
        <w:top w:val="none" w:sz="0" w:space="0" w:color="auto"/>
        <w:left w:val="none" w:sz="0" w:space="0" w:color="auto"/>
        <w:bottom w:val="none" w:sz="0" w:space="0" w:color="auto"/>
        <w:right w:val="none" w:sz="0" w:space="0" w:color="auto"/>
      </w:divBdr>
    </w:div>
    <w:div w:id="700980842">
      <w:bodyDiv w:val="1"/>
      <w:marLeft w:val="0"/>
      <w:marRight w:val="0"/>
      <w:marTop w:val="0"/>
      <w:marBottom w:val="0"/>
      <w:divBdr>
        <w:top w:val="none" w:sz="0" w:space="0" w:color="auto"/>
        <w:left w:val="none" w:sz="0" w:space="0" w:color="auto"/>
        <w:bottom w:val="none" w:sz="0" w:space="0" w:color="auto"/>
        <w:right w:val="none" w:sz="0" w:space="0" w:color="auto"/>
      </w:divBdr>
    </w:div>
    <w:div w:id="701244458">
      <w:bodyDiv w:val="1"/>
      <w:marLeft w:val="0"/>
      <w:marRight w:val="0"/>
      <w:marTop w:val="0"/>
      <w:marBottom w:val="0"/>
      <w:divBdr>
        <w:top w:val="none" w:sz="0" w:space="0" w:color="auto"/>
        <w:left w:val="none" w:sz="0" w:space="0" w:color="auto"/>
        <w:bottom w:val="none" w:sz="0" w:space="0" w:color="auto"/>
        <w:right w:val="none" w:sz="0" w:space="0" w:color="auto"/>
      </w:divBdr>
    </w:div>
    <w:div w:id="701326634">
      <w:bodyDiv w:val="1"/>
      <w:marLeft w:val="0"/>
      <w:marRight w:val="0"/>
      <w:marTop w:val="0"/>
      <w:marBottom w:val="0"/>
      <w:divBdr>
        <w:top w:val="none" w:sz="0" w:space="0" w:color="auto"/>
        <w:left w:val="none" w:sz="0" w:space="0" w:color="auto"/>
        <w:bottom w:val="none" w:sz="0" w:space="0" w:color="auto"/>
        <w:right w:val="none" w:sz="0" w:space="0" w:color="auto"/>
      </w:divBdr>
    </w:div>
    <w:div w:id="701393895">
      <w:bodyDiv w:val="1"/>
      <w:marLeft w:val="0"/>
      <w:marRight w:val="0"/>
      <w:marTop w:val="0"/>
      <w:marBottom w:val="0"/>
      <w:divBdr>
        <w:top w:val="none" w:sz="0" w:space="0" w:color="auto"/>
        <w:left w:val="none" w:sz="0" w:space="0" w:color="auto"/>
        <w:bottom w:val="none" w:sz="0" w:space="0" w:color="auto"/>
        <w:right w:val="none" w:sz="0" w:space="0" w:color="auto"/>
      </w:divBdr>
    </w:div>
    <w:div w:id="701441410">
      <w:bodyDiv w:val="1"/>
      <w:marLeft w:val="0"/>
      <w:marRight w:val="0"/>
      <w:marTop w:val="0"/>
      <w:marBottom w:val="0"/>
      <w:divBdr>
        <w:top w:val="none" w:sz="0" w:space="0" w:color="auto"/>
        <w:left w:val="none" w:sz="0" w:space="0" w:color="auto"/>
        <w:bottom w:val="none" w:sz="0" w:space="0" w:color="auto"/>
        <w:right w:val="none" w:sz="0" w:space="0" w:color="auto"/>
      </w:divBdr>
    </w:div>
    <w:div w:id="701514691">
      <w:bodyDiv w:val="1"/>
      <w:marLeft w:val="0"/>
      <w:marRight w:val="0"/>
      <w:marTop w:val="0"/>
      <w:marBottom w:val="0"/>
      <w:divBdr>
        <w:top w:val="none" w:sz="0" w:space="0" w:color="auto"/>
        <w:left w:val="none" w:sz="0" w:space="0" w:color="auto"/>
        <w:bottom w:val="none" w:sz="0" w:space="0" w:color="auto"/>
        <w:right w:val="none" w:sz="0" w:space="0" w:color="auto"/>
      </w:divBdr>
    </w:div>
    <w:div w:id="701516624">
      <w:bodyDiv w:val="1"/>
      <w:marLeft w:val="0"/>
      <w:marRight w:val="0"/>
      <w:marTop w:val="0"/>
      <w:marBottom w:val="0"/>
      <w:divBdr>
        <w:top w:val="none" w:sz="0" w:space="0" w:color="auto"/>
        <w:left w:val="none" w:sz="0" w:space="0" w:color="auto"/>
        <w:bottom w:val="none" w:sz="0" w:space="0" w:color="auto"/>
        <w:right w:val="none" w:sz="0" w:space="0" w:color="auto"/>
      </w:divBdr>
    </w:div>
    <w:div w:id="701517252">
      <w:bodyDiv w:val="1"/>
      <w:marLeft w:val="0"/>
      <w:marRight w:val="0"/>
      <w:marTop w:val="0"/>
      <w:marBottom w:val="0"/>
      <w:divBdr>
        <w:top w:val="none" w:sz="0" w:space="0" w:color="auto"/>
        <w:left w:val="none" w:sz="0" w:space="0" w:color="auto"/>
        <w:bottom w:val="none" w:sz="0" w:space="0" w:color="auto"/>
        <w:right w:val="none" w:sz="0" w:space="0" w:color="auto"/>
      </w:divBdr>
    </w:div>
    <w:div w:id="701563821">
      <w:bodyDiv w:val="1"/>
      <w:marLeft w:val="0"/>
      <w:marRight w:val="0"/>
      <w:marTop w:val="0"/>
      <w:marBottom w:val="0"/>
      <w:divBdr>
        <w:top w:val="none" w:sz="0" w:space="0" w:color="auto"/>
        <w:left w:val="none" w:sz="0" w:space="0" w:color="auto"/>
        <w:bottom w:val="none" w:sz="0" w:space="0" w:color="auto"/>
        <w:right w:val="none" w:sz="0" w:space="0" w:color="auto"/>
      </w:divBdr>
    </w:div>
    <w:div w:id="701630056">
      <w:bodyDiv w:val="1"/>
      <w:marLeft w:val="0"/>
      <w:marRight w:val="0"/>
      <w:marTop w:val="0"/>
      <w:marBottom w:val="0"/>
      <w:divBdr>
        <w:top w:val="none" w:sz="0" w:space="0" w:color="auto"/>
        <w:left w:val="none" w:sz="0" w:space="0" w:color="auto"/>
        <w:bottom w:val="none" w:sz="0" w:space="0" w:color="auto"/>
        <w:right w:val="none" w:sz="0" w:space="0" w:color="auto"/>
      </w:divBdr>
    </w:div>
    <w:div w:id="701638978">
      <w:bodyDiv w:val="1"/>
      <w:marLeft w:val="0"/>
      <w:marRight w:val="0"/>
      <w:marTop w:val="0"/>
      <w:marBottom w:val="0"/>
      <w:divBdr>
        <w:top w:val="none" w:sz="0" w:space="0" w:color="auto"/>
        <w:left w:val="none" w:sz="0" w:space="0" w:color="auto"/>
        <w:bottom w:val="none" w:sz="0" w:space="0" w:color="auto"/>
        <w:right w:val="none" w:sz="0" w:space="0" w:color="auto"/>
      </w:divBdr>
    </w:div>
    <w:div w:id="701639237">
      <w:bodyDiv w:val="1"/>
      <w:marLeft w:val="0"/>
      <w:marRight w:val="0"/>
      <w:marTop w:val="0"/>
      <w:marBottom w:val="0"/>
      <w:divBdr>
        <w:top w:val="none" w:sz="0" w:space="0" w:color="auto"/>
        <w:left w:val="none" w:sz="0" w:space="0" w:color="auto"/>
        <w:bottom w:val="none" w:sz="0" w:space="0" w:color="auto"/>
        <w:right w:val="none" w:sz="0" w:space="0" w:color="auto"/>
      </w:divBdr>
    </w:div>
    <w:div w:id="701705310">
      <w:bodyDiv w:val="1"/>
      <w:marLeft w:val="0"/>
      <w:marRight w:val="0"/>
      <w:marTop w:val="0"/>
      <w:marBottom w:val="0"/>
      <w:divBdr>
        <w:top w:val="none" w:sz="0" w:space="0" w:color="auto"/>
        <w:left w:val="none" w:sz="0" w:space="0" w:color="auto"/>
        <w:bottom w:val="none" w:sz="0" w:space="0" w:color="auto"/>
        <w:right w:val="none" w:sz="0" w:space="0" w:color="auto"/>
      </w:divBdr>
    </w:div>
    <w:div w:id="701786785">
      <w:bodyDiv w:val="1"/>
      <w:marLeft w:val="0"/>
      <w:marRight w:val="0"/>
      <w:marTop w:val="0"/>
      <w:marBottom w:val="0"/>
      <w:divBdr>
        <w:top w:val="none" w:sz="0" w:space="0" w:color="auto"/>
        <w:left w:val="none" w:sz="0" w:space="0" w:color="auto"/>
        <w:bottom w:val="none" w:sz="0" w:space="0" w:color="auto"/>
        <w:right w:val="none" w:sz="0" w:space="0" w:color="auto"/>
      </w:divBdr>
    </w:div>
    <w:div w:id="701831434">
      <w:bodyDiv w:val="1"/>
      <w:marLeft w:val="0"/>
      <w:marRight w:val="0"/>
      <w:marTop w:val="0"/>
      <w:marBottom w:val="0"/>
      <w:divBdr>
        <w:top w:val="none" w:sz="0" w:space="0" w:color="auto"/>
        <w:left w:val="none" w:sz="0" w:space="0" w:color="auto"/>
        <w:bottom w:val="none" w:sz="0" w:space="0" w:color="auto"/>
        <w:right w:val="none" w:sz="0" w:space="0" w:color="auto"/>
      </w:divBdr>
    </w:div>
    <w:div w:id="701900444">
      <w:bodyDiv w:val="1"/>
      <w:marLeft w:val="0"/>
      <w:marRight w:val="0"/>
      <w:marTop w:val="0"/>
      <w:marBottom w:val="0"/>
      <w:divBdr>
        <w:top w:val="none" w:sz="0" w:space="0" w:color="auto"/>
        <w:left w:val="none" w:sz="0" w:space="0" w:color="auto"/>
        <w:bottom w:val="none" w:sz="0" w:space="0" w:color="auto"/>
        <w:right w:val="none" w:sz="0" w:space="0" w:color="auto"/>
      </w:divBdr>
    </w:div>
    <w:div w:id="702099106">
      <w:bodyDiv w:val="1"/>
      <w:marLeft w:val="0"/>
      <w:marRight w:val="0"/>
      <w:marTop w:val="0"/>
      <w:marBottom w:val="0"/>
      <w:divBdr>
        <w:top w:val="none" w:sz="0" w:space="0" w:color="auto"/>
        <w:left w:val="none" w:sz="0" w:space="0" w:color="auto"/>
        <w:bottom w:val="none" w:sz="0" w:space="0" w:color="auto"/>
        <w:right w:val="none" w:sz="0" w:space="0" w:color="auto"/>
      </w:divBdr>
    </w:div>
    <w:div w:id="702246038">
      <w:bodyDiv w:val="1"/>
      <w:marLeft w:val="0"/>
      <w:marRight w:val="0"/>
      <w:marTop w:val="0"/>
      <w:marBottom w:val="0"/>
      <w:divBdr>
        <w:top w:val="none" w:sz="0" w:space="0" w:color="auto"/>
        <w:left w:val="none" w:sz="0" w:space="0" w:color="auto"/>
        <w:bottom w:val="none" w:sz="0" w:space="0" w:color="auto"/>
        <w:right w:val="none" w:sz="0" w:space="0" w:color="auto"/>
      </w:divBdr>
    </w:div>
    <w:div w:id="702288331">
      <w:bodyDiv w:val="1"/>
      <w:marLeft w:val="0"/>
      <w:marRight w:val="0"/>
      <w:marTop w:val="0"/>
      <w:marBottom w:val="0"/>
      <w:divBdr>
        <w:top w:val="none" w:sz="0" w:space="0" w:color="auto"/>
        <w:left w:val="none" w:sz="0" w:space="0" w:color="auto"/>
        <w:bottom w:val="none" w:sz="0" w:space="0" w:color="auto"/>
        <w:right w:val="none" w:sz="0" w:space="0" w:color="auto"/>
      </w:divBdr>
    </w:div>
    <w:div w:id="702288905">
      <w:bodyDiv w:val="1"/>
      <w:marLeft w:val="0"/>
      <w:marRight w:val="0"/>
      <w:marTop w:val="0"/>
      <w:marBottom w:val="0"/>
      <w:divBdr>
        <w:top w:val="none" w:sz="0" w:space="0" w:color="auto"/>
        <w:left w:val="none" w:sz="0" w:space="0" w:color="auto"/>
        <w:bottom w:val="none" w:sz="0" w:space="0" w:color="auto"/>
        <w:right w:val="none" w:sz="0" w:space="0" w:color="auto"/>
      </w:divBdr>
    </w:div>
    <w:div w:id="702294154">
      <w:bodyDiv w:val="1"/>
      <w:marLeft w:val="0"/>
      <w:marRight w:val="0"/>
      <w:marTop w:val="0"/>
      <w:marBottom w:val="0"/>
      <w:divBdr>
        <w:top w:val="none" w:sz="0" w:space="0" w:color="auto"/>
        <w:left w:val="none" w:sz="0" w:space="0" w:color="auto"/>
        <w:bottom w:val="none" w:sz="0" w:space="0" w:color="auto"/>
        <w:right w:val="none" w:sz="0" w:space="0" w:color="auto"/>
      </w:divBdr>
    </w:div>
    <w:div w:id="702442688">
      <w:bodyDiv w:val="1"/>
      <w:marLeft w:val="0"/>
      <w:marRight w:val="0"/>
      <w:marTop w:val="0"/>
      <w:marBottom w:val="0"/>
      <w:divBdr>
        <w:top w:val="none" w:sz="0" w:space="0" w:color="auto"/>
        <w:left w:val="none" w:sz="0" w:space="0" w:color="auto"/>
        <w:bottom w:val="none" w:sz="0" w:space="0" w:color="auto"/>
        <w:right w:val="none" w:sz="0" w:space="0" w:color="auto"/>
      </w:divBdr>
    </w:div>
    <w:div w:id="702484225">
      <w:bodyDiv w:val="1"/>
      <w:marLeft w:val="0"/>
      <w:marRight w:val="0"/>
      <w:marTop w:val="0"/>
      <w:marBottom w:val="0"/>
      <w:divBdr>
        <w:top w:val="none" w:sz="0" w:space="0" w:color="auto"/>
        <w:left w:val="none" w:sz="0" w:space="0" w:color="auto"/>
        <w:bottom w:val="none" w:sz="0" w:space="0" w:color="auto"/>
        <w:right w:val="none" w:sz="0" w:space="0" w:color="auto"/>
      </w:divBdr>
    </w:div>
    <w:div w:id="702511878">
      <w:bodyDiv w:val="1"/>
      <w:marLeft w:val="0"/>
      <w:marRight w:val="0"/>
      <w:marTop w:val="0"/>
      <w:marBottom w:val="0"/>
      <w:divBdr>
        <w:top w:val="none" w:sz="0" w:space="0" w:color="auto"/>
        <w:left w:val="none" w:sz="0" w:space="0" w:color="auto"/>
        <w:bottom w:val="none" w:sz="0" w:space="0" w:color="auto"/>
        <w:right w:val="none" w:sz="0" w:space="0" w:color="auto"/>
      </w:divBdr>
    </w:div>
    <w:div w:id="702560618">
      <w:bodyDiv w:val="1"/>
      <w:marLeft w:val="0"/>
      <w:marRight w:val="0"/>
      <w:marTop w:val="0"/>
      <w:marBottom w:val="0"/>
      <w:divBdr>
        <w:top w:val="none" w:sz="0" w:space="0" w:color="auto"/>
        <w:left w:val="none" w:sz="0" w:space="0" w:color="auto"/>
        <w:bottom w:val="none" w:sz="0" w:space="0" w:color="auto"/>
        <w:right w:val="none" w:sz="0" w:space="0" w:color="auto"/>
      </w:divBdr>
    </w:div>
    <w:div w:id="702563270">
      <w:bodyDiv w:val="1"/>
      <w:marLeft w:val="0"/>
      <w:marRight w:val="0"/>
      <w:marTop w:val="0"/>
      <w:marBottom w:val="0"/>
      <w:divBdr>
        <w:top w:val="none" w:sz="0" w:space="0" w:color="auto"/>
        <w:left w:val="none" w:sz="0" w:space="0" w:color="auto"/>
        <w:bottom w:val="none" w:sz="0" w:space="0" w:color="auto"/>
        <w:right w:val="none" w:sz="0" w:space="0" w:color="auto"/>
      </w:divBdr>
    </w:div>
    <w:div w:id="702632845">
      <w:bodyDiv w:val="1"/>
      <w:marLeft w:val="0"/>
      <w:marRight w:val="0"/>
      <w:marTop w:val="0"/>
      <w:marBottom w:val="0"/>
      <w:divBdr>
        <w:top w:val="none" w:sz="0" w:space="0" w:color="auto"/>
        <w:left w:val="none" w:sz="0" w:space="0" w:color="auto"/>
        <w:bottom w:val="none" w:sz="0" w:space="0" w:color="auto"/>
        <w:right w:val="none" w:sz="0" w:space="0" w:color="auto"/>
      </w:divBdr>
    </w:div>
    <w:div w:id="702677576">
      <w:bodyDiv w:val="1"/>
      <w:marLeft w:val="0"/>
      <w:marRight w:val="0"/>
      <w:marTop w:val="0"/>
      <w:marBottom w:val="0"/>
      <w:divBdr>
        <w:top w:val="none" w:sz="0" w:space="0" w:color="auto"/>
        <w:left w:val="none" w:sz="0" w:space="0" w:color="auto"/>
        <w:bottom w:val="none" w:sz="0" w:space="0" w:color="auto"/>
        <w:right w:val="none" w:sz="0" w:space="0" w:color="auto"/>
      </w:divBdr>
    </w:div>
    <w:div w:id="702705175">
      <w:bodyDiv w:val="1"/>
      <w:marLeft w:val="0"/>
      <w:marRight w:val="0"/>
      <w:marTop w:val="0"/>
      <w:marBottom w:val="0"/>
      <w:divBdr>
        <w:top w:val="none" w:sz="0" w:space="0" w:color="auto"/>
        <w:left w:val="none" w:sz="0" w:space="0" w:color="auto"/>
        <w:bottom w:val="none" w:sz="0" w:space="0" w:color="auto"/>
        <w:right w:val="none" w:sz="0" w:space="0" w:color="auto"/>
      </w:divBdr>
    </w:div>
    <w:div w:id="702708765">
      <w:bodyDiv w:val="1"/>
      <w:marLeft w:val="0"/>
      <w:marRight w:val="0"/>
      <w:marTop w:val="0"/>
      <w:marBottom w:val="0"/>
      <w:divBdr>
        <w:top w:val="none" w:sz="0" w:space="0" w:color="auto"/>
        <w:left w:val="none" w:sz="0" w:space="0" w:color="auto"/>
        <w:bottom w:val="none" w:sz="0" w:space="0" w:color="auto"/>
        <w:right w:val="none" w:sz="0" w:space="0" w:color="auto"/>
      </w:divBdr>
    </w:div>
    <w:div w:id="702747862">
      <w:bodyDiv w:val="1"/>
      <w:marLeft w:val="0"/>
      <w:marRight w:val="0"/>
      <w:marTop w:val="0"/>
      <w:marBottom w:val="0"/>
      <w:divBdr>
        <w:top w:val="none" w:sz="0" w:space="0" w:color="auto"/>
        <w:left w:val="none" w:sz="0" w:space="0" w:color="auto"/>
        <w:bottom w:val="none" w:sz="0" w:space="0" w:color="auto"/>
        <w:right w:val="none" w:sz="0" w:space="0" w:color="auto"/>
      </w:divBdr>
    </w:div>
    <w:div w:id="702828828">
      <w:bodyDiv w:val="1"/>
      <w:marLeft w:val="0"/>
      <w:marRight w:val="0"/>
      <w:marTop w:val="0"/>
      <w:marBottom w:val="0"/>
      <w:divBdr>
        <w:top w:val="none" w:sz="0" w:space="0" w:color="auto"/>
        <w:left w:val="none" w:sz="0" w:space="0" w:color="auto"/>
        <w:bottom w:val="none" w:sz="0" w:space="0" w:color="auto"/>
        <w:right w:val="none" w:sz="0" w:space="0" w:color="auto"/>
      </w:divBdr>
    </w:div>
    <w:div w:id="702899189">
      <w:bodyDiv w:val="1"/>
      <w:marLeft w:val="0"/>
      <w:marRight w:val="0"/>
      <w:marTop w:val="0"/>
      <w:marBottom w:val="0"/>
      <w:divBdr>
        <w:top w:val="none" w:sz="0" w:space="0" w:color="auto"/>
        <w:left w:val="none" w:sz="0" w:space="0" w:color="auto"/>
        <w:bottom w:val="none" w:sz="0" w:space="0" w:color="auto"/>
        <w:right w:val="none" w:sz="0" w:space="0" w:color="auto"/>
      </w:divBdr>
    </w:div>
    <w:div w:id="703136002">
      <w:bodyDiv w:val="1"/>
      <w:marLeft w:val="0"/>
      <w:marRight w:val="0"/>
      <w:marTop w:val="0"/>
      <w:marBottom w:val="0"/>
      <w:divBdr>
        <w:top w:val="none" w:sz="0" w:space="0" w:color="auto"/>
        <w:left w:val="none" w:sz="0" w:space="0" w:color="auto"/>
        <w:bottom w:val="none" w:sz="0" w:space="0" w:color="auto"/>
        <w:right w:val="none" w:sz="0" w:space="0" w:color="auto"/>
      </w:divBdr>
    </w:div>
    <w:div w:id="703403395">
      <w:bodyDiv w:val="1"/>
      <w:marLeft w:val="0"/>
      <w:marRight w:val="0"/>
      <w:marTop w:val="0"/>
      <w:marBottom w:val="0"/>
      <w:divBdr>
        <w:top w:val="none" w:sz="0" w:space="0" w:color="auto"/>
        <w:left w:val="none" w:sz="0" w:space="0" w:color="auto"/>
        <w:bottom w:val="none" w:sz="0" w:space="0" w:color="auto"/>
        <w:right w:val="none" w:sz="0" w:space="0" w:color="auto"/>
      </w:divBdr>
    </w:div>
    <w:div w:id="703479806">
      <w:bodyDiv w:val="1"/>
      <w:marLeft w:val="0"/>
      <w:marRight w:val="0"/>
      <w:marTop w:val="0"/>
      <w:marBottom w:val="0"/>
      <w:divBdr>
        <w:top w:val="none" w:sz="0" w:space="0" w:color="auto"/>
        <w:left w:val="none" w:sz="0" w:space="0" w:color="auto"/>
        <w:bottom w:val="none" w:sz="0" w:space="0" w:color="auto"/>
        <w:right w:val="none" w:sz="0" w:space="0" w:color="auto"/>
      </w:divBdr>
    </w:div>
    <w:div w:id="703482259">
      <w:bodyDiv w:val="1"/>
      <w:marLeft w:val="0"/>
      <w:marRight w:val="0"/>
      <w:marTop w:val="0"/>
      <w:marBottom w:val="0"/>
      <w:divBdr>
        <w:top w:val="none" w:sz="0" w:space="0" w:color="auto"/>
        <w:left w:val="none" w:sz="0" w:space="0" w:color="auto"/>
        <w:bottom w:val="none" w:sz="0" w:space="0" w:color="auto"/>
        <w:right w:val="none" w:sz="0" w:space="0" w:color="auto"/>
      </w:divBdr>
    </w:div>
    <w:div w:id="703482919">
      <w:bodyDiv w:val="1"/>
      <w:marLeft w:val="0"/>
      <w:marRight w:val="0"/>
      <w:marTop w:val="0"/>
      <w:marBottom w:val="0"/>
      <w:divBdr>
        <w:top w:val="none" w:sz="0" w:space="0" w:color="auto"/>
        <w:left w:val="none" w:sz="0" w:space="0" w:color="auto"/>
        <w:bottom w:val="none" w:sz="0" w:space="0" w:color="auto"/>
        <w:right w:val="none" w:sz="0" w:space="0" w:color="auto"/>
      </w:divBdr>
    </w:div>
    <w:div w:id="703596692">
      <w:bodyDiv w:val="1"/>
      <w:marLeft w:val="0"/>
      <w:marRight w:val="0"/>
      <w:marTop w:val="0"/>
      <w:marBottom w:val="0"/>
      <w:divBdr>
        <w:top w:val="none" w:sz="0" w:space="0" w:color="auto"/>
        <w:left w:val="none" w:sz="0" w:space="0" w:color="auto"/>
        <w:bottom w:val="none" w:sz="0" w:space="0" w:color="auto"/>
        <w:right w:val="none" w:sz="0" w:space="0" w:color="auto"/>
      </w:divBdr>
    </w:div>
    <w:div w:id="703599363">
      <w:bodyDiv w:val="1"/>
      <w:marLeft w:val="0"/>
      <w:marRight w:val="0"/>
      <w:marTop w:val="0"/>
      <w:marBottom w:val="0"/>
      <w:divBdr>
        <w:top w:val="none" w:sz="0" w:space="0" w:color="auto"/>
        <w:left w:val="none" w:sz="0" w:space="0" w:color="auto"/>
        <w:bottom w:val="none" w:sz="0" w:space="0" w:color="auto"/>
        <w:right w:val="none" w:sz="0" w:space="0" w:color="auto"/>
      </w:divBdr>
    </w:div>
    <w:div w:id="703670938">
      <w:bodyDiv w:val="1"/>
      <w:marLeft w:val="0"/>
      <w:marRight w:val="0"/>
      <w:marTop w:val="0"/>
      <w:marBottom w:val="0"/>
      <w:divBdr>
        <w:top w:val="none" w:sz="0" w:space="0" w:color="auto"/>
        <w:left w:val="none" w:sz="0" w:space="0" w:color="auto"/>
        <w:bottom w:val="none" w:sz="0" w:space="0" w:color="auto"/>
        <w:right w:val="none" w:sz="0" w:space="0" w:color="auto"/>
      </w:divBdr>
    </w:div>
    <w:div w:id="703671844">
      <w:bodyDiv w:val="1"/>
      <w:marLeft w:val="0"/>
      <w:marRight w:val="0"/>
      <w:marTop w:val="0"/>
      <w:marBottom w:val="0"/>
      <w:divBdr>
        <w:top w:val="none" w:sz="0" w:space="0" w:color="auto"/>
        <w:left w:val="none" w:sz="0" w:space="0" w:color="auto"/>
        <w:bottom w:val="none" w:sz="0" w:space="0" w:color="auto"/>
        <w:right w:val="none" w:sz="0" w:space="0" w:color="auto"/>
      </w:divBdr>
    </w:div>
    <w:div w:id="703673143">
      <w:bodyDiv w:val="1"/>
      <w:marLeft w:val="0"/>
      <w:marRight w:val="0"/>
      <w:marTop w:val="0"/>
      <w:marBottom w:val="0"/>
      <w:divBdr>
        <w:top w:val="none" w:sz="0" w:space="0" w:color="auto"/>
        <w:left w:val="none" w:sz="0" w:space="0" w:color="auto"/>
        <w:bottom w:val="none" w:sz="0" w:space="0" w:color="auto"/>
        <w:right w:val="none" w:sz="0" w:space="0" w:color="auto"/>
      </w:divBdr>
    </w:div>
    <w:div w:id="703821855">
      <w:bodyDiv w:val="1"/>
      <w:marLeft w:val="0"/>
      <w:marRight w:val="0"/>
      <w:marTop w:val="0"/>
      <w:marBottom w:val="0"/>
      <w:divBdr>
        <w:top w:val="none" w:sz="0" w:space="0" w:color="auto"/>
        <w:left w:val="none" w:sz="0" w:space="0" w:color="auto"/>
        <w:bottom w:val="none" w:sz="0" w:space="0" w:color="auto"/>
        <w:right w:val="none" w:sz="0" w:space="0" w:color="auto"/>
      </w:divBdr>
    </w:div>
    <w:div w:id="703866788">
      <w:bodyDiv w:val="1"/>
      <w:marLeft w:val="0"/>
      <w:marRight w:val="0"/>
      <w:marTop w:val="0"/>
      <w:marBottom w:val="0"/>
      <w:divBdr>
        <w:top w:val="none" w:sz="0" w:space="0" w:color="auto"/>
        <w:left w:val="none" w:sz="0" w:space="0" w:color="auto"/>
        <w:bottom w:val="none" w:sz="0" w:space="0" w:color="auto"/>
        <w:right w:val="none" w:sz="0" w:space="0" w:color="auto"/>
      </w:divBdr>
    </w:div>
    <w:div w:id="703941829">
      <w:bodyDiv w:val="1"/>
      <w:marLeft w:val="0"/>
      <w:marRight w:val="0"/>
      <w:marTop w:val="0"/>
      <w:marBottom w:val="0"/>
      <w:divBdr>
        <w:top w:val="none" w:sz="0" w:space="0" w:color="auto"/>
        <w:left w:val="none" w:sz="0" w:space="0" w:color="auto"/>
        <w:bottom w:val="none" w:sz="0" w:space="0" w:color="auto"/>
        <w:right w:val="none" w:sz="0" w:space="0" w:color="auto"/>
      </w:divBdr>
    </w:div>
    <w:div w:id="703947205">
      <w:bodyDiv w:val="1"/>
      <w:marLeft w:val="0"/>
      <w:marRight w:val="0"/>
      <w:marTop w:val="0"/>
      <w:marBottom w:val="0"/>
      <w:divBdr>
        <w:top w:val="none" w:sz="0" w:space="0" w:color="auto"/>
        <w:left w:val="none" w:sz="0" w:space="0" w:color="auto"/>
        <w:bottom w:val="none" w:sz="0" w:space="0" w:color="auto"/>
        <w:right w:val="none" w:sz="0" w:space="0" w:color="auto"/>
      </w:divBdr>
    </w:div>
    <w:div w:id="704018673">
      <w:bodyDiv w:val="1"/>
      <w:marLeft w:val="0"/>
      <w:marRight w:val="0"/>
      <w:marTop w:val="0"/>
      <w:marBottom w:val="0"/>
      <w:divBdr>
        <w:top w:val="none" w:sz="0" w:space="0" w:color="auto"/>
        <w:left w:val="none" w:sz="0" w:space="0" w:color="auto"/>
        <w:bottom w:val="none" w:sz="0" w:space="0" w:color="auto"/>
        <w:right w:val="none" w:sz="0" w:space="0" w:color="auto"/>
      </w:divBdr>
    </w:div>
    <w:div w:id="704058504">
      <w:bodyDiv w:val="1"/>
      <w:marLeft w:val="0"/>
      <w:marRight w:val="0"/>
      <w:marTop w:val="0"/>
      <w:marBottom w:val="0"/>
      <w:divBdr>
        <w:top w:val="none" w:sz="0" w:space="0" w:color="auto"/>
        <w:left w:val="none" w:sz="0" w:space="0" w:color="auto"/>
        <w:bottom w:val="none" w:sz="0" w:space="0" w:color="auto"/>
        <w:right w:val="none" w:sz="0" w:space="0" w:color="auto"/>
      </w:divBdr>
    </w:div>
    <w:div w:id="704137791">
      <w:bodyDiv w:val="1"/>
      <w:marLeft w:val="0"/>
      <w:marRight w:val="0"/>
      <w:marTop w:val="0"/>
      <w:marBottom w:val="0"/>
      <w:divBdr>
        <w:top w:val="none" w:sz="0" w:space="0" w:color="auto"/>
        <w:left w:val="none" w:sz="0" w:space="0" w:color="auto"/>
        <w:bottom w:val="none" w:sz="0" w:space="0" w:color="auto"/>
        <w:right w:val="none" w:sz="0" w:space="0" w:color="auto"/>
      </w:divBdr>
    </w:div>
    <w:div w:id="704256561">
      <w:bodyDiv w:val="1"/>
      <w:marLeft w:val="0"/>
      <w:marRight w:val="0"/>
      <w:marTop w:val="0"/>
      <w:marBottom w:val="0"/>
      <w:divBdr>
        <w:top w:val="none" w:sz="0" w:space="0" w:color="auto"/>
        <w:left w:val="none" w:sz="0" w:space="0" w:color="auto"/>
        <w:bottom w:val="none" w:sz="0" w:space="0" w:color="auto"/>
        <w:right w:val="none" w:sz="0" w:space="0" w:color="auto"/>
      </w:divBdr>
    </w:div>
    <w:div w:id="704257571">
      <w:bodyDiv w:val="1"/>
      <w:marLeft w:val="0"/>
      <w:marRight w:val="0"/>
      <w:marTop w:val="0"/>
      <w:marBottom w:val="0"/>
      <w:divBdr>
        <w:top w:val="none" w:sz="0" w:space="0" w:color="auto"/>
        <w:left w:val="none" w:sz="0" w:space="0" w:color="auto"/>
        <w:bottom w:val="none" w:sz="0" w:space="0" w:color="auto"/>
        <w:right w:val="none" w:sz="0" w:space="0" w:color="auto"/>
      </w:divBdr>
    </w:div>
    <w:div w:id="704326667">
      <w:bodyDiv w:val="1"/>
      <w:marLeft w:val="0"/>
      <w:marRight w:val="0"/>
      <w:marTop w:val="0"/>
      <w:marBottom w:val="0"/>
      <w:divBdr>
        <w:top w:val="none" w:sz="0" w:space="0" w:color="auto"/>
        <w:left w:val="none" w:sz="0" w:space="0" w:color="auto"/>
        <w:bottom w:val="none" w:sz="0" w:space="0" w:color="auto"/>
        <w:right w:val="none" w:sz="0" w:space="0" w:color="auto"/>
      </w:divBdr>
    </w:div>
    <w:div w:id="704328289">
      <w:bodyDiv w:val="1"/>
      <w:marLeft w:val="0"/>
      <w:marRight w:val="0"/>
      <w:marTop w:val="0"/>
      <w:marBottom w:val="0"/>
      <w:divBdr>
        <w:top w:val="none" w:sz="0" w:space="0" w:color="auto"/>
        <w:left w:val="none" w:sz="0" w:space="0" w:color="auto"/>
        <w:bottom w:val="none" w:sz="0" w:space="0" w:color="auto"/>
        <w:right w:val="none" w:sz="0" w:space="0" w:color="auto"/>
      </w:divBdr>
    </w:div>
    <w:div w:id="704401880">
      <w:bodyDiv w:val="1"/>
      <w:marLeft w:val="0"/>
      <w:marRight w:val="0"/>
      <w:marTop w:val="0"/>
      <w:marBottom w:val="0"/>
      <w:divBdr>
        <w:top w:val="none" w:sz="0" w:space="0" w:color="auto"/>
        <w:left w:val="none" w:sz="0" w:space="0" w:color="auto"/>
        <w:bottom w:val="none" w:sz="0" w:space="0" w:color="auto"/>
        <w:right w:val="none" w:sz="0" w:space="0" w:color="auto"/>
      </w:divBdr>
    </w:div>
    <w:div w:id="704408356">
      <w:bodyDiv w:val="1"/>
      <w:marLeft w:val="0"/>
      <w:marRight w:val="0"/>
      <w:marTop w:val="0"/>
      <w:marBottom w:val="0"/>
      <w:divBdr>
        <w:top w:val="none" w:sz="0" w:space="0" w:color="auto"/>
        <w:left w:val="none" w:sz="0" w:space="0" w:color="auto"/>
        <w:bottom w:val="none" w:sz="0" w:space="0" w:color="auto"/>
        <w:right w:val="none" w:sz="0" w:space="0" w:color="auto"/>
      </w:divBdr>
    </w:div>
    <w:div w:id="704520955">
      <w:bodyDiv w:val="1"/>
      <w:marLeft w:val="0"/>
      <w:marRight w:val="0"/>
      <w:marTop w:val="0"/>
      <w:marBottom w:val="0"/>
      <w:divBdr>
        <w:top w:val="none" w:sz="0" w:space="0" w:color="auto"/>
        <w:left w:val="none" w:sz="0" w:space="0" w:color="auto"/>
        <w:bottom w:val="none" w:sz="0" w:space="0" w:color="auto"/>
        <w:right w:val="none" w:sz="0" w:space="0" w:color="auto"/>
      </w:divBdr>
    </w:div>
    <w:div w:id="704526466">
      <w:bodyDiv w:val="1"/>
      <w:marLeft w:val="0"/>
      <w:marRight w:val="0"/>
      <w:marTop w:val="0"/>
      <w:marBottom w:val="0"/>
      <w:divBdr>
        <w:top w:val="none" w:sz="0" w:space="0" w:color="auto"/>
        <w:left w:val="none" w:sz="0" w:space="0" w:color="auto"/>
        <w:bottom w:val="none" w:sz="0" w:space="0" w:color="auto"/>
        <w:right w:val="none" w:sz="0" w:space="0" w:color="auto"/>
      </w:divBdr>
    </w:div>
    <w:div w:id="704526981">
      <w:bodyDiv w:val="1"/>
      <w:marLeft w:val="0"/>
      <w:marRight w:val="0"/>
      <w:marTop w:val="0"/>
      <w:marBottom w:val="0"/>
      <w:divBdr>
        <w:top w:val="none" w:sz="0" w:space="0" w:color="auto"/>
        <w:left w:val="none" w:sz="0" w:space="0" w:color="auto"/>
        <w:bottom w:val="none" w:sz="0" w:space="0" w:color="auto"/>
        <w:right w:val="none" w:sz="0" w:space="0" w:color="auto"/>
      </w:divBdr>
    </w:div>
    <w:div w:id="704528226">
      <w:bodyDiv w:val="1"/>
      <w:marLeft w:val="0"/>
      <w:marRight w:val="0"/>
      <w:marTop w:val="0"/>
      <w:marBottom w:val="0"/>
      <w:divBdr>
        <w:top w:val="none" w:sz="0" w:space="0" w:color="auto"/>
        <w:left w:val="none" w:sz="0" w:space="0" w:color="auto"/>
        <w:bottom w:val="none" w:sz="0" w:space="0" w:color="auto"/>
        <w:right w:val="none" w:sz="0" w:space="0" w:color="auto"/>
      </w:divBdr>
    </w:div>
    <w:div w:id="704600037">
      <w:bodyDiv w:val="1"/>
      <w:marLeft w:val="0"/>
      <w:marRight w:val="0"/>
      <w:marTop w:val="0"/>
      <w:marBottom w:val="0"/>
      <w:divBdr>
        <w:top w:val="none" w:sz="0" w:space="0" w:color="auto"/>
        <w:left w:val="none" w:sz="0" w:space="0" w:color="auto"/>
        <w:bottom w:val="none" w:sz="0" w:space="0" w:color="auto"/>
        <w:right w:val="none" w:sz="0" w:space="0" w:color="auto"/>
      </w:divBdr>
    </w:div>
    <w:div w:id="704600609">
      <w:bodyDiv w:val="1"/>
      <w:marLeft w:val="0"/>
      <w:marRight w:val="0"/>
      <w:marTop w:val="0"/>
      <w:marBottom w:val="0"/>
      <w:divBdr>
        <w:top w:val="none" w:sz="0" w:space="0" w:color="auto"/>
        <w:left w:val="none" w:sz="0" w:space="0" w:color="auto"/>
        <w:bottom w:val="none" w:sz="0" w:space="0" w:color="auto"/>
        <w:right w:val="none" w:sz="0" w:space="0" w:color="auto"/>
      </w:divBdr>
    </w:div>
    <w:div w:id="704600724">
      <w:bodyDiv w:val="1"/>
      <w:marLeft w:val="0"/>
      <w:marRight w:val="0"/>
      <w:marTop w:val="0"/>
      <w:marBottom w:val="0"/>
      <w:divBdr>
        <w:top w:val="none" w:sz="0" w:space="0" w:color="auto"/>
        <w:left w:val="none" w:sz="0" w:space="0" w:color="auto"/>
        <w:bottom w:val="none" w:sz="0" w:space="0" w:color="auto"/>
        <w:right w:val="none" w:sz="0" w:space="0" w:color="auto"/>
      </w:divBdr>
    </w:div>
    <w:div w:id="704603843">
      <w:bodyDiv w:val="1"/>
      <w:marLeft w:val="0"/>
      <w:marRight w:val="0"/>
      <w:marTop w:val="0"/>
      <w:marBottom w:val="0"/>
      <w:divBdr>
        <w:top w:val="none" w:sz="0" w:space="0" w:color="auto"/>
        <w:left w:val="none" w:sz="0" w:space="0" w:color="auto"/>
        <w:bottom w:val="none" w:sz="0" w:space="0" w:color="auto"/>
        <w:right w:val="none" w:sz="0" w:space="0" w:color="auto"/>
      </w:divBdr>
    </w:div>
    <w:div w:id="704646242">
      <w:bodyDiv w:val="1"/>
      <w:marLeft w:val="0"/>
      <w:marRight w:val="0"/>
      <w:marTop w:val="0"/>
      <w:marBottom w:val="0"/>
      <w:divBdr>
        <w:top w:val="none" w:sz="0" w:space="0" w:color="auto"/>
        <w:left w:val="none" w:sz="0" w:space="0" w:color="auto"/>
        <w:bottom w:val="none" w:sz="0" w:space="0" w:color="auto"/>
        <w:right w:val="none" w:sz="0" w:space="0" w:color="auto"/>
      </w:divBdr>
    </w:div>
    <w:div w:id="704714366">
      <w:bodyDiv w:val="1"/>
      <w:marLeft w:val="0"/>
      <w:marRight w:val="0"/>
      <w:marTop w:val="0"/>
      <w:marBottom w:val="0"/>
      <w:divBdr>
        <w:top w:val="none" w:sz="0" w:space="0" w:color="auto"/>
        <w:left w:val="none" w:sz="0" w:space="0" w:color="auto"/>
        <w:bottom w:val="none" w:sz="0" w:space="0" w:color="auto"/>
        <w:right w:val="none" w:sz="0" w:space="0" w:color="auto"/>
      </w:divBdr>
    </w:div>
    <w:div w:id="704909795">
      <w:bodyDiv w:val="1"/>
      <w:marLeft w:val="0"/>
      <w:marRight w:val="0"/>
      <w:marTop w:val="0"/>
      <w:marBottom w:val="0"/>
      <w:divBdr>
        <w:top w:val="none" w:sz="0" w:space="0" w:color="auto"/>
        <w:left w:val="none" w:sz="0" w:space="0" w:color="auto"/>
        <w:bottom w:val="none" w:sz="0" w:space="0" w:color="auto"/>
        <w:right w:val="none" w:sz="0" w:space="0" w:color="auto"/>
      </w:divBdr>
    </w:div>
    <w:div w:id="704911905">
      <w:bodyDiv w:val="1"/>
      <w:marLeft w:val="0"/>
      <w:marRight w:val="0"/>
      <w:marTop w:val="0"/>
      <w:marBottom w:val="0"/>
      <w:divBdr>
        <w:top w:val="none" w:sz="0" w:space="0" w:color="auto"/>
        <w:left w:val="none" w:sz="0" w:space="0" w:color="auto"/>
        <w:bottom w:val="none" w:sz="0" w:space="0" w:color="auto"/>
        <w:right w:val="none" w:sz="0" w:space="0" w:color="auto"/>
      </w:divBdr>
    </w:div>
    <w:div w:id="704982151">
      <w:bodyDiv w:val="1"/>
      <w:marLeft w:val="0"/>
      <w:marRight w:val="0"/>
      <w:marTop w:val="0"/>
      <w:marBottom w:val="0"/>
      <w:divBdr>
        <w:top w:val="none" w:sz="0" w:space="0" w:color="auto"/>
        <w:left w:val="none" w:sz="0" w:space="0" w:color="auto"/>
        <w:bottom w:val="none" w:sz="0" w:space="0" w:color="auto"/>
        <w:right w:val="none" w:sz="0" w:space="0" w:color="auto"/>
      </w:divBdr>
    </w:div>
    <w:div w:id="704982791">
      <w:bodyDiv w:val="1"/>
      <w:marLeft w:val="0"/>
      <w:marRight w:val="0"/>
      <w:marTop w:val="0"/>
      <w:marBottom w:val="0"/>
      <w:divBdr>
        <w:top w:val="none" w:sz="0" w:space="0" w:color="auto"/>
        <w:left w:val="none" w:sz="0" w:space="0" w:color="auto"/>
        <w:bottom w:val="none" w:sz="0" w:space="0" w:color="auto"/>
        <w:right w:val="none" w:sz="0" w:space="0" w:color="auto"/>
      </w:divBdr>
    </w:div>
    <w:div w:id="704985628">
      <w:bodyDiv w:val="1"/>
      <w:marLeft w:val="0"/>
      <w:marRight w:val="0"/>
      <w:marTop w:val="0"/>
      <w:marBottom w:val="0"/>
      <w:divBdr>
        <w:top w:val="none" w:sz="0" w:space="0" w:color="auto"/>
        <w:left w:val="none" w:sz="0" w:space="0" w:color="auto"/>
        <w:bottom w:val="none" w:sz="0" w:space="0" w:color="auto"/>
        <w:right w:val="none" w:sz="0" w:space="0" w:color="auto"/>
      </w:divBdr>
    </w:div>
    <w:div w:id="705105257">
      <w:bodyDiv w:val="1"/>
      <w:marLeft w:val="0"/>
      <w:marRight w:val="0"/>
      <w:marTop w:val="0"/>
      <w:marBottom w:val="0"/>
      <w:divBdr>
        <w:top w:val="none" w:sz="0" w:space="0" w:color="auto"/>
        <w:left w:val="none" w:sz="0" w:space="0" w:color="auto"/>
        <w:bottom w:val="none" w:sz="0" w:space="0" w:color="auto"/>
        <w:right w:val="none" w:sz="0" w:space="0" w:color="auto"/>
      </w:divBdr>
    </w:div>
    <w:div w:id="705300372">
      <w:bodyDiv w:val="1"/>
      <w:marLeft w:val="0"/>
      <w:marRight w:val="0"/>
      <w:marTop w:val="0"/>
      <w:marBottom w:val="0"/>
      <w:divBdr>
        <w:top w:val="none" w:sz="0" w:space="0" w:color="auto"/>
        <w:left w:val="none" w:sz="0" w:space="0" w:color="auto"/>
        <w:bottom w:val="none" w:sz="0" w:space="0" w:color="auto"/>
        <w:right w:val="none" w:sz="0" w:space="0" w:color="auto"/>
      </w:divBdr>
    </w:div>
    <w:div w:id="705375869">
      <w:bodyDiv w:val="1"/>
      <w:marLeft w:val="0"/>
      <w:marRight w:val="0"/>
      <w:marTop w:val="0"/>
      <w:marBottom w:val="0"/>
      <w:divBdr>
        <w:top w:val="none" w:sz="0" w:space="0" w:color="auto"/>
        <w:left w:val="none" w:sz="0" w:space="0" w:color="auto"/>
        <w:bottom w:val="none" w:sz="0" w:space="0" w:color="auto"/>
        <w:right w:val="none" w:sz="0" w:space="0" w:color="auto"/>
      </w:divBdr>
    </w:div>
    <w:div w:id="705376245">
      <w:bodyDiv w:val="1"/>
      <w:marLeft w:val="0"/>
      <w:marRight w:val="0"/>
      <w:marTop w:val="0"/>
      <w:marBottom w:val="0"/>
      <w:divBdr>
        <w:top w:val="none" w:sz="0" w:space="0" w:color="auto"/>
        <w:left w:val="none" w:sz="0" w:space="0" w:color="auto"/>
        <w:bottom w:val="none" w:sz="0" w:space="0" w:color="auto"/>
        <w:right w:val="none" w:sz="0" w:space="0" w:color="auto"/>
      </w:divBdr>
    </w:div>
    <w:div w:id="705376753">
      <w:bodyDiv w:val="1"/>
      <w:marLeft w:val="0"/>
      <w:marRight w:val="0"/>
      <w:marTop w:val="0"/>
      <w:marBottom w:val="0"/>
      <w:divBdr>
        <w:top w:val="none" w:sz="0" w:space="0" w:color="auto"/>
        <w:left w:val="none" w:sz="0" w:space="0" w:color="auto"/>
        <w:bottom w:val="none" w:sz="0" w:space="0" w:color="auto"/>
        <w:right w:val="none" w:sz="0" w:space="0" w:color="auto"/>
      </w:divBdr>
    </w:div>
    <w:div w:id="705443402">
      <w:bodyDiv w:val="1"/>
      <w:marLeft w:val="0"/>
      <w:marRight w:val="0"/>
      <w:marTop w:val="0"/>
      <w:marBottom w:val="0"/>
      <w:divBdr>
        <w:top w:val="none" w:sz="0" w:space="0" w:color="auto"/>
        <w:left w:val="none" w:sz="0" w:space="0" w:color="auto"/>
        <w:bottom w:val="none" w:sz="0" w:space="0" w:color="auto"/>
        <w:right w:val="none" w:sz="0" w:space="0" w:color="auto"/>
      </w:divBdr>
    </w:div>
    <w:div w:id="705450897">
      <w:bodyDiv w:val="1"/>
      <w:marLeft w:val="0"/>
      <w:marRight w:val="0"/>
      <w:marTop w:val="0"/>
      <w:marBottom w:val="0"/>
      <w:divBdr>
        <w:top w:val="none" w:sz="0" w:space="0" w:color="auto"/>
        <w:left w:val="none" w:sz="0" w:space="0" w:color="auto"/>
        <w:bottom w:val="none" w:sz="0" w:space="0" w:color="auto"/>
        <w:right w:val="none" w:sz="0" w:space="0" w:color="auto"/>
      </w:divBdr>
    </w:div>
    <w:div w:id="705564055">
      <w:bodyDiv w:val="1"/>
      <w:marLeft w:val="0"/>
      <w:marRight w:val="0"/>
      <w:marTop w:val="0"/>
      <w:marBottom w:val="0"/>
      <w:divBdr>
        <w:top w:val="none" w:sz="0" w:space="0" w:color="auto"/>
        <w:left w:val="none" w:sz="0" w:space="0" w:color="auto"/>
        <w:bottom w:val="none" w:sz="0" w:space="0" w:color="auto"/>
        <w:right w:val="none" w:sz="0" w:space="0" w:color="auto"/>
      </w:divBdr>
    </w:div>
    <w:div w:id="705566800">
      <w:bodyDiv w:val="1"/>
      <w:marLeft w:val="0"/>
      <w:marRight w:val="0"/>
      <w:marTop w:val="0"/>
      <w:marBottom w:val="0"/>
      <w:divBdr>
        <w:top w:val="none" w:sz="0" w:space="0" w:color="auto"/>
        <w:left w:val="none" w:sz="0" w:space="0" w:color="auto"/>
        <w:bottom w:val="none" w:sz="0" w:space="0" w:color="auto"/>
        <w:right w:val="none" w:sz="0" w:space="0" w:color="auto"/>
      </w:divBdr>
    </w:div>
    <w:div w:id="705644138">
      <w:bodyDiv w:val="1"/>
      <w:marLeft w:val="0"/>
      <w:marRight w:val="0"/>
      <w:marTop w:val="0"/>
      <w:marBottom w:val="0"/>
      <w:divBdr>
        <w:top w:val="none" w:sz="0" w:space="0" w:color="auto"/>
        <w:left w:val="none" w:sz="0" w:space="0" w:color="auto"/>
        <w:bottom w:val="none" w:sz="0" w:space="0" w:color="auto"/>
        <w:right w:val="none" w:sz="0" w:space="0" w:color="auto"/>
      </w:divBdr>
    </w:div>
    <w:div w:id="705644612">
      <w:bodyDiv w:val="1"/>
      <w:marLeft w:val="0"/>
      <w:marRight w:val="0"/>
      <w:marTop w:val="0"/>
      <w:marBottom w:val="0"/>
      <w:divBdr>
        <w:top w:val="none" w:sz="0" w:space="0" w:color="auto"/>
        <w:left w:val="none" w:sz="0" w:space="0" w:color="auto"/>
        <w:bottom w:val="none" w:sz="0" w:space="0" w:color="auto"/>
        <w:right w:val="none" w:sz="0" w:space="0" w:color="auto"/>
      </w:divBdr>
    </w:div>
    <w:div w:id="705719049">
      <w:bodyDiv w:val="1"/>
      <w:marLeft w:val="0"/>
      <w:marRight w:val="0"/>
      <w:marTop w:val="0"/>
      <w:marBottom w:val="0"/>
      <w:divBdr>
        <w:top w:val="none" w:sz="0" w:space="0" w:color="auto"/>
        <w:left w:val="none" w:sz="0" w:space="0" w:color="auto"/>
        <w:bottom w:val="none" w:sz="0" w:space="0" w:color="auto"/>
        <w:right w:val="none" w:sz="0" w:space="0" w:color="auto"/>
      </w:divBdr>
    </w:div>
    <w:div w:id="705759508">
      <w:bodyDiv w:val="1"/>
      <w:marLeft w:val="0"/>
      <w:marRight w:val="0"/>
      <w:marTop w:val="0"/>
      <w:marBottom w:val="0"/>
      <w:divBdr>
        <w:top w:val="none" w:sz="0" w:space="0" w:color="auto"/>
        <w:left w:val="none" w:sz="0" w:space="0" w:color="auto"/>
        <w:bottom w:val="none" w:sz="0" w:space="0" w:color="auto"/>
        <w:right w:val="none" w:sz="0" w:space="0" w:color="auto"/>
      </w:divBdr>
    </w:div>
    <w:div w:id="705832906">
      <w:bodyDiv w:val="1"/>
      <w:marLeft w:val="0"/>
      <w:marRight w:val="0"/>
      <w:marTop w:val="0"/>
      <w:marBottom w:val="0"/>
      <w:divBdr>
        <w:top w:val="none" w:sz="0" w:space="0" w:color="auto"/>
        <w:left w:val="none" w:sz="0" w:space="0" w:color="auto"/>
        <w:bottom w:val="none" w:sz="0" w:space="0" w:color="auto"/>
        <w:right w:val="none" w:sz="0" w:space="0" w:color="auto"/>
      </w:divBdr>
    </w:div>
    <w:div w:id="706028821">
      <w:bodyDiv w:val="1"/>
      <w:marLeft w:val="0"/>
      <w:marRight w:val="0"/>
      <w:marTop w:val="0"/>
      <w:marBottom w:val="0"/>
      <w:divBdr>
        <w:top w:val="none" w:sz="0" w:space="0" w:color="auto"/>
        <w:left w:val="none" w:sz="0" w:space="0" w:color="auto"/>
        <w:bottom w:val="none" w:sz="0" w:space="0" w:color="auto"/>
        <w:right w:val="none" w:sz="0" w:space="0" w:color="auto"/>
      </w:divBdr>
    </w:div>
    <w:div w:id="706102714">
      <w:bodyDiv w:val="1"/>
      <w:marLeft w:val="0"/>
      <w:marRight w:val="0"/>
      <w:marTop w:val="0"/>
      <w:marBottom w:val="0"/>
      <w:divBdr>
        <w:top w:val="none" w:sz="0" w:space="0" w:color="auto"/>
        <w:left w:val="none" w:sz="0" w:space="0" w:color="auto"/>
        <w:bottom w:val="none" w:sz="0" w:space="0" w:color="auto"/>
        <w:right w:val="none" w:sz="0" w:space="0" w:color="auto"/>
      </w:divBdr>
    </w:div>
    <w:div w:id="706107347">
      <w:bodyDiv w:val="1"/>
      <w:marLeft w:val="0"/>
      <w:marRight w:val="0"/>
      <w:marTop w:val="0"/>
      <w:marBottom w:val="0"/>
      <w:divBdr>
        <w:top w:val="none" w:sz="0" w:space="0" w:color="auto"/>
        <w:left w:val="none" w:sz="0" w:space="0" w:color="auto"/>
        <w:bottom w:val="none" w:sz="0" w:space="0" w:color="auto"/>
        <w:right w:val="none" w:sz="0" w:space="0" w:color="auto"/>
      </w:divBdr>
    </w:div>
    <w:div w:id="706181905">
      <w:bodyDiv w:val="1"/>
      <w:marLeft w:val="0"/>
      <w:marRight w:val="0"/>
      <w:marTop w:val="0"/>
      <w:marBottom w:val="0"/>
      <w:divBdr>
        <w:top w:val="none" w:sz="0" w:space="0" w:color="auto"/>
        <w:left w:val="none" w:sz="0" w:space="0" w:color="auto"/>
        <w:bottom w:val="none" w:sz="0" w:space="0" w:color="auto"/>
        <w:right w:val="none" w:sz="0" w:space="0" w:color="auto"/>
      </w:divBdr>
    </w:div>
    <w:div w:id="706225548">
      <w:bodyDiv w:val="1"/>
      <w:marLeft w:val="0"/>
      <w:marRight w:val="0"/>
      <w:marTop w:val="0"/>
      <w:marBottom w:val="0"/>
      <w:divBdr>
        <w:top w:val="none" w:sz="0" w:space="0" w:color="auto"/>
        <w:left w:val="none" w:sz="0" w:space="0" w:color="auto"/>
        <w:bottom w:val="none" w:sz="0" w:space="0" w:color="auto"/>
        <w:right w:val="none" w:sz="0" w:space="0" w:color="auto"/>
      </w:divBdr>
    </w:div>
    <w:div w:id="706300609">
      <w:bodyDiv w:val="1"/>
      <w:marLeft w:val="0"/>
      <w:marRight w:val="0"/>
      <w:marTop w:val="0"/>
      <w:marBottom w:val="0"/>
      <w:divBdr>
        <w:top w:val="none" w:sz="0" w:space="0" w:color="auto"/>
        <w:left w:val="none" w:sz="0" w:space="0" w:color="auto"/>
        <w:bottom w:val="none" w:sz="0" w:space="0" w:color="auto"/>
        <w:right w:val="none" w:sz="0" w:space="0" w:color="auto"/>
      </w:divBdr>
    </w:div>
    <w:div w:id="706375265">
      <w:bodyDiv w:val="1"/>
      <w:marLeft w:val="0"/>
      <w:marRight w:val="0"/>
      <w:marTop w:val="0"/>
      <w:marBottom w:val="0"/>
      <w:divBdr>
        <w:top w:val="none" w:sz="0" w:space="0" w:color="auto"/>
        <w:left w:val="none" w:sz="0" w:space="0" w:color="auto"/>
        <w:bottom w:val="none" w:sz="0" w:space="0" w:color="auto"/>
        <w:right w:val="none" w:sz="0" w:space="0" w:color="auto"/>
      </w:divBdr>
    </w:div>
    <w:div w:id="706375839">
      <w:bodyDiv w:val="1"/>
      <w:marLeft w:val="0"/>
      <w:marRight w:val="0"/>
      <w:marTop w:val="0"/>
      <w:marBottom w:val="0"/>
      <w:divBdr>
        <w:top w:val="none" w:sz="0" w:space="0" w:color="auto"/>
        <w:left w:val="none" w:sz="0" w:space="0" w:color="auto"/>
        <w:bottom w:val="none" w:sz="0" w:space="0" w:color="auto"/>
        <w:right w:val="none" w:sz="0" w:space="0" w:color="auto"/>
      </w:divBdr>
    </w:div>
    <w:div w:id="706412805">
      <w:bodyDiv w:val="1"/>
      <w:marLeft w:val="0"/>
      <w:marRight w:val="0"/>
      <w:marTop w:val="0"/>
      <w:marBottom w:val="0"/>
      <w:divBdr>
        <w:top w:val="none" w:sz="0" w:space="0" w:color="auto"/>
        <w:left w:val="none" w:sz="0" w:space="0" w:color="auto"/>
        <w:bottom w:val="none" w:sz="0" w:space="0" w:color="auto"/>
        <w:right w:val="none" w:sz="0" w:space="0" w:color="auto"/>
      </w:divBdr>
    </w:div>
    <w:div w:id="706562393">
      <w:bodyDiv w:val="1"/>
      <w:marLeft w:val="0"/>
      <w:marRight w:val="0"/>
      <w:marTop w:val="0"/>
      <w:marBottom w:val="0"/>
      <w:divBdr>
        <w:top w:val="none" w:sz="0" w:space="0" w:color="auto"/>
        <w:left w:val="none" w:sz="0" w:space="0" w:color="auto"/>
        <w:bottom w:val="none" w:sz="0" w:space="0" w:color="auto"/>
        <w:right w:val="none" w:sz="0" w:space="0" w:color="auto"/>
      </w:divBdr>
    </w:div>
    <w:div w:id="706567212">
      <w:bodyDiv w:val="1"/>
      <w:marLeft w:val="0"/>
      <w:marRight w:val="0"/>
      <w:marTop w:val="0"/>
      <w:marBottom w:val="0"/>
      <w:divBdr>
        <w:top w:val="none" w:sz="0" w:space="0" w:color="auto"/>
        <w:left w:val="none" w:sz="0" w:space="0" w:color="auto"/>
        <w:bottom w:val="none" w:sz="0" w:space="0" w:color="auto"/>
        <w:right w:val="none" w:sz="0" w:space="0" w:color="auto"/>
      </w:divBdr>
    </w:div>
    <w:div w:id="706611148">
      <w:bodyDiv w:val="1"/>
      <w:marLeft w:val="0"/>
      <w:marRight w:val="0"/>
      <w:marTop w:val="0"/>
      <w:marBottom w:val="0"/>
      <w:divBdr>
        <w:top w:val="none" w:sz="0" w:space="0" w:color="auto"/>
        <w:left w:val="none" w:sz="0" w:space="0" w:color="auto"/>
        <w:bottom w:val="none" w:sz="0" w:space="0" w:color="auto"/>
        <w:right w:val="none" w:sz="0" w:space="0" w:color="auto"/>
      </w:divBdr>
    </w:div>
    <w:div w:id="706612546">
      <w:bodyDiv w:val="1"/>
      <w:marLeft w:val="0"/>
      <w:marRight w:val="0"/>
      <w:marTop w:val="0"/>
      <w:marBottom w:val="0"/>
      <w:divBdr>
        <w:top w:val="none" w:sz="0" w:space="0" w:color="auto"/>
        <w:left w:val="none" w:sz="0" w:space="0" w:color="auto"/>
        <w:bottom w:val="none" w:sz="0" w:space="0" w:color="auto"/>
        <w:right w:val="none" w:sz="0" w:space="0" w:color="auto"/>
      </w:divBdr>
    </w:div>
    <w:div w:id="706640136">
      <w:bodyDiv w:val="1"/>
      <w:marLeft w:val="0"/>
      <w:marRight w:val="0"/>
      <w:marTop w:val="0"/>
      <w:marBottom w:val="0"/>
      <w:divBdr>
        <w:top w:val="none" w:sz="0" w:space="0" w:color="auto"/>
        <w:left w:val="none" w:sz="0" w:space="0" w:color="auto"/>
        <w:bottom w:val="none" w:sz="0" w:space="0" w:color="auto"/>
        <w:right w:val="none" w:sz="0" w:space="0" w:color="auto"/>
      </w:divBdr>
    </w:div>
    <w:div w:id="706684763">
      <w:bodyDiv w:val="1"/>
      <w:marLeft w:val="0"/>
      <w:marRight w:val="0"/>
      <w:marTop w:val="0"/>
      <w:marBottom w:val="0"/>
      <w:divBdr>
        <w:top w:val="none" w:sz="0" w:space="0" w:color="auto"/>
        <w:left w:val="none" w:sz="0" w:space="0" w:color="auto"/>
        <w:bottom w:val="none" w:sz="0" w:space="0" w:color="auto"/>
        <w:right w:val="none" w:sz="0" w:space="0" w:color="auto"/>
      </w:divBdr>
    </w:div>
    <w:div w:id="706687468">
      <w:bodyDiv w:val="1"/>
      <w:marLeft w:val="0"/>
      <w:marRight w:val="0"/>
      <w:marTop w:val="0"/>
      <w:marBottom w:val="0"/>
      <w:divBdr>
        <w:top w:val="none" w:sz="0" w:space="0" w:color="auto"/>
        <w:left w:val="none" w:sz="0" w:space="0" w:color="auto"/>
        <w:bottom w:val="none" w:sz="0" w:space="0" w:color="auto"/>
        <w:right w:val="none" w:sz="0" w:space="0" w:color="auto"/>
      </w:divBdr>
    </w:div>
    <w:div w:id="706763101">
      <w:bodyDiv w:val="1"/>
      <w:marLeft w:val="0"/>
      <w:marRight w:val="0"/>
      <w:marTop w:val="0"/>
      <w:marBottom w:val="0"/>
      <w:divBdr>
        <w:top w:val="none" w:sz="0" w:space="0" w:color="auto"/>
        <w:left w:val="none" w:sz="0" w:space="0" w:color="auto"/>
        <w:bottom w:val="none" w:sz="0" w:space="0" w:color="auto"/>
        <w:right w:val="none" w:sz="0" w:space="0" w:color="auto"/>
      </w:divBdr>
    </w:div>
    <w:div w:id="706834157">
      <w:bodyDiv w:val="1"/>
      <w:marLeft w:val="0"/>
      <w:marRight w:val="0"/>
      <w:marTop w:val="0"/>
      <w:marBottom w:val="0"/>
      <w:divBdr>
        <w:top w:val="none" w:sz="0" w:space="0" w:color="auto"/>
        <w:left w:val="none" w:sz="0" w:space="0" w:color="auto"/>
        <w:bottom w:val="none" w:sz="0" w:space="0" w:color="auto"/>
        <w:right w:val="none" w:sz="0" w:space="0" w:color="auto"/>
      </w:divBdr>
    </w:div>
    <w:div w:id="706834233">
      <w:bodyDiv w:val="1"/>
      <w:marLeft w:val="0"/>
      <w:marRight w:val="0"/>
      <w:marTop w:val="0"/>
      <w:marBottom w:val="0"/>
      <w:divBdr>
        <w:top w:val="none" w:sz="0" w:space="0" w:color="auto"/>
        <w:left w:val="none" w:sz="0" w:space="0" w:color="auto"/>
        <w:bottom w:val="none" w:sz="0" w:space="0" w:color="auto"/>
        <w:right w:val="none" w:sz="0" w:space="0" w:color="auto"/>
      </w:divBdr>
    </w:div>
    <w:div w:id="706837005">
      <w:bodyDiv w:val="1"/>
      <w:marLeft w:val="0"/>
      <w:marRight w:val="0"/>
      <w:marTop w:val="0"/>
      <w:marBottom w:val="0"/>
      <w:divBdr>
        <w:top w:val="none" w:sz="0" w:space="0" w:color="auto"/>
        <w:left w:val="none" w:sz="0" w:space="0" w:color="auto"/>
        <w:bottom w:val="none" w:sz="0" w:space="0" w:color="auto"/>
        <w:right w:val="none" w:sz="0" w:space="0" w:color="auto"/>
      </w:divBdr>
    </w:div>
    <w:div w:id="706873386">
      <w:bodyDiv w:val="1"/>
      <w:marLeft w:val="0"/>
      <w:marRight w:val="0"/>
      <w:marTop w:val="0"/>
      <w:marBottom w:val="0"/>
      <w:divBdr>
        <w:top w:val="none" w:sz="0" w:space="0" w:color="auto"/>
        <w:left w:val="none" w:sz="0" w:space="0" w:color="auto"/>
        <w:bottom w:val="none" w:sz="0" w:space="0" w:color="auto"/>
        <w:right w:val="none" w:sz="0" w:space="0" w:color="auto"/>
      </w:divBdr>
    </w:div>
    <w:div w:id="707022762">
      <w:bodyDiv w:val="1"/>
      <w:marLeft w:val="0"/>
      <w:marRight w:val="0"/>
      <w:marTop w:val="0"/>
      <w:marBottom w:val="0"/>
      <w:divBdr>
        <w:top w:val="none" w:sz="0" w:space="0" w:color="auto"/>
        <w:left w:val="none" w:sz="0" w:space="0" w:color="auto"/>
        <w:bottom w:val="none" w:sz="0" w:space="0" w:color="auto"/>
        <w:right w:val="none" w:sz="0" w:space="0" w:color="auto"/>
      </w:divBdr>
    </w:div>
    <w:div w:id="707024196">
      <w:bodyDiv w:val="1"/>
      <w:marLeft w:val="0"/>
      <w:marRight w:val="0"/>
      <w:marTop w:val="0"/>
      <w:marBottom w:val="0"/>
      <w:divBdr>
        <w:top w:val="none" w:sz="0" w:space="0" w:color="auto"/>
        <w:left w:val="none" w:sz="0" w:space="0" w:color="auto"/>
        <w:bottom w:val="none" w:sz="0" w:space="0" w:color="auto"/>
        <w:right w:val="none" w:sz="0" w:space="0" w:color="auto"/>
      </w:divBdr>
    </w:div>
    <w:div w:id="707145299">
      <w:bodyDiv w:val="1"/>
      <w:marLeft w:val="0"/>
      <w:marRight w:val="0"/>
      <w:marTop w:val="0"/>
      <w:marBottom w:val="0"/>
      <w:divBdr>
        <w:top w:val="none" w:sz="0" w:space="0" w:color="auto"/>
        <w:left w:val="none" w:sz="0" w:space="0" w:color="auto"/>
        <w:bottom w:val="none" w:sz="0" w:space="0" w:color="auto"/>
        <w:right w:val="none" w:sz="0" w:space="0" w:color="auto"/>
      </w:divBdr>
    </w:div>
    <w:div w:id="707147121">
      <w:bodyDiv w:val="1"/>
      <w:marLeft w:val="0"/>
      <w:marRight w:val="0"/>
      <w:marTop w:val="0"/>
      <w:marBottom w:val="0"/>
      <w:divBdr>
        <w:top w:val="none" w:sz="0" w:space="0" w:color="auto"/>
        <w:left w:val="none" w:sz="0" w:space="0" w:color="auto"/>
        <w:bottom w:val="none" w:sz="0" w:space="0" w:color="auto"/>
        <w:right w:val="none" w:sz="0" w:space="0" w:color="auto"/>
      </w:divBdr>
    </w:div>
    <w:div w:id="707218642">
      <w:bodyDiv w:val="1"/>
      <w:marLeft w:val="0"/>
      <w:marRight w:val="0"/>
      <w:marTop w:val="0"/>
      <w:marBottom w:val="0"/>
      <w:divBdr>
        <w:top w:val="none" w:sz="0" w:space="0" w:color="auto"/>
        <w:left w:val="none" w:sz="0" w:space="0" w:color="auto"/>
        <w:bottom w:val="none" w:sz="0" w:space="0" w:color="auto"/>
        <w:right w:val="none" w:sz="0" w:space="0" w:color="auto"/>
      </w:divBdr>
    </w:div>
    <w:div w:id="707294151">
      <w:bodyDiv w:val="1"/>
      <w:marLeft w:val="0"/>
      <w:marRight w:val="0"/>
      <w:marTop w:val="0"/>
      <w:marBottom w:val="0"/>
      <w:divBdr>
        <w:top w:val="none" w:sz="0" w:space="0" w:color="auto"/>
        <w:left w:val="none" w:sz="0" w:space="0" w:color="auto"/>
        <w:bottom w:val="none" w:sz="0" w:space="0" w:color="auto"/>
        <w:right w:val="none" w:sz="0" w:space="0" w:color="auto"/>
      </w:divBdr>
    </w:div>
    <w:div w:id="707336920">
      <w:bodyDiv w:val="1"/>
      <w:marLeft w:val="0"/>
      <w:marRight w:val="0"/>
      <w:marTop w:val="0"/>
      <w:marBottom w:val="0"/>
      <w:divBdr>
        <w:top w:val="none" w:sz="0" w:space="0" w:color="auto"/>
        <w:left w:val="none" w:sz="0" w:space="0" w:color="auto"/>
        <w:bottom w:val="none" w:sz="0" w:space="0" w:color="auto"/>
        <w:right w:val="none" w:sz="0" w:space="0" w:color="auto"/>
      </w:divBdr>
    </w:div>
    <w:div w:id="707337855">
      <w:bodyDiv w:val="1"/>
      <w:marLeft w:val="0"/>
      <w:marRight w:val="0"/>
      <w:marTop w:val="0"/>
      <w:marBottom w:val="0"/>
      <w:divBdr>
        <w:top w:val="none" w:sz="0" w:space="0" w:color="auto"/>
        <w:left w:val="none" w:sz="0" w:space="0" w:color="auto"/>
        <w:bottom w:val="none" w:sz="0" w:space="0" w:color="auto"/>
        <w:right w:val="none" w:sz="0" w:space="0" w:color="auto"/>
      </w:divBdr>
    </w:div>
    <w:div w:id="707342393">
      <w:bodyDiv w:val="1"/>
      <w:marLeft w:val="0"/>
      <w:marRight w:val="0"/>
      <w:marTop w:val="0"/>
      <w:marBottom w:val="0"/>
      <w:divBdr>
        <w:top w:val="none" w:sz="0" w:space="0" w:color="auto"/>
        <w:left w:val="none" w:sz="0" w:space="0" w:color="auto"/>
        <w:bottom w:val="none" w:sz="0" w:space="0" w:color="auto"/>
        <w:right w:val="none" w:sz="0" w:space="0" w:color="auto"/>
      </w:divBdr>
    </w:div>
    <w:div w:id="707418387">
      <w:bodyDiv w:val="1"/>
      <w:marLeft w:val="0"/>
      <w:marRight w:val="0"/>
      <w:marTop w:val="0"/>
      <w:marBottom w:val="0"/>
      <w:divBdr>
        <w:top w:val="none" w:sz="0" w:space="0" w:color="auto"/>
        <w:left w:val="none" w:sz="0" w:space="0" w:color="auto"/>
        <w:bottom w:val="none" w:sz="0" w:space="0" w:color="auto"/>
        <w:right w:val="none" w:sz="0" w:space="0" w:color="auto"/>
      </w:divBdr>
    </w:div>
    <w:div w:id="707492166">
      <w:bodyDiv w:val="1"/>
      <w:marLeft w:val="0"/>
      <w:marRight w:val="0"/>
      <w:marTop w:val="0"/>
      <w:marBottom w:val="0"/>
      <w:divBdr>
        <w:top w:val="none" w:sz="0" w:space="0" w:color="auto"/>
        <w:left w:val="none" w:sz="0" w:space="0" w:color="auto"/>
        <w:bottom w:val="none" w:sz="0" w:space="0" w:color="auto"/>
        <w:right w:val="none" w:sz="0" w:space="0" w:color="auto"/>
      </w:divBdr>
    </w:div>
    <w:div w:id="707728275">
      <w:bodyDiv w:val="1"/>
      <w:marLeft w:val="0"/>
      <w:marRight w:val="0"/>
      <w:marTop w:val="0"/>
      <w:marBottom w:val="0"/>
      <w:divBdr>
        <w:top w:val="none" w:sz="0" w:space="0" w:color="auto"/>
        <w:left w:val="none" w:sz="0" w:space="0" w:color="auto"/>
        <w:bottom w:val="none" w:sz="0" w:space="0" w:color="auto"/>
        <w:right w:val="none" w:sz="0" w:space="0" w:color="auto"/>
      </w:divBdr>
    </w:div>
    <w:div w:id="707872017">
      <w:bodyDiv w:val="1"/>
      <w:marLeft w:val="0"/>
      <w:marRight w:val="0"/>
      <w:marTop w:val="0"/>
      <w:marBottom w:val="0"/>
      <w:divBdr>
        <w:top w:val="none" w:sz="0" w:space="0" w:color="auto"/>
        <w:left w:val="none" w:sz="0" w:space="0" w:color="auto"/>
        <w:bottom w:val="none" w:sz="0" w:space="0" w:color="auto"/>
        <w:right w:val="none" w:sz="0" w:space="0" w:color="auto"/>
      </w:divBdr>
    </w:div>
    <w:div w:id="707950771">
      <w:bodyDiv w:val="1"/>
      <w:marLeft w:val="0"/>
      <w:marRight w:val="0"/>
      <w:marTop w:val="0"/>
      <w:marBottom w:val="0"/>
      <w:divBdr>
        <w:top w:val="none" w:sz="0" w:space="0" w:color="auto"/>
        <w:left w:val="none" w:sz="0" w:space="0" w:color="auto"/>
        <w:bottom w:val="none" w:sz="0" w:space="0" w:color="auto"/>
        <w:right w:val="none" w:sz="0" w:space="0" w:color="auto"/>
      </w:divBdr>
    </w:div>
    <w:div w:id="707991008">
      <w:bodyDiv w:val="1"/>
      <w:marLeft w:val="0"/>
      <w:marRight w:val="0"/>
      <w:marTop w:val="0"/>
      <w:marBottom w:val="0"/>
      <w:divBdr>
        <w:top w:val="none" w:sz="0" w:space="0" w:color="auto"/>
        <w:left w:val="none" w:sz="0" w:space="0" w:color="auto"/>
        <w:bottom w:val="none" w:sz="0" w:space="0" w:color="auto"/>
        <w:right w:val="none" w:sz="0" w:space="0" w:color="auto"/>
      </w:divBdr>
    </w:div>
    <w:div w:id="707995118">
      <w:bodyDiv w:val="1"/>
      <w:marLeft w:val="0"/>
      <w:marRight w:val="0"/>
      <w:marTop w:val="0"/>
      <w:marBottom w:val="0"/>
      <w:divBdr>
        <w:top w:val="none" w:sz="0" w:space="0" w:color="auto"/>
        <w:left w:val="none" w:sz="0" w:space="0" w:color="auto"/>
        <w:bottom w:val="none" w:sz="0" w:space="0" w:color="auto"/>
        <w:right w:val="none" w:sz="0" w:space="0" w:color="auto"/>
      </w:divBdr>
    </w:div>
    <w:div w:id="708067615">
      <w:bodyDiv w:val="1"/>
      <w:marLeft w:val="0"/>
      <w:marRight w:val="0"/>
      <w:marTop w:val="0"/>
      <w:marBottom w:val="0"/>
      <w:divBdr>
        <w:top w:val="none" w:sz="0" w:space="0" w:color="auto"/>
        <w:left w:val="none" w:sz="0" w:space="0" w:color="auto"/>
        <w:bottom w:val="none" w:sz="0" w:space="0" w:color="auto"/>
        <w:right w:val="none" w:sz="0" w:space="0" w:color="auto"/>
      </w:divBdr>
    </w:div>
    <w:div w:id="708070587">
      <w:bodyDiv w:val="1"/>
      <w:marLeft w:val="0"/>
      <w:marRight w:val="0"/>
      <w:marTop w:val="0"/>
      <w:marBottom w:val="0"/>
      <w:divBdr>
        <w:top w:val="none" w:sz="0" w:space="0" w:color="auto"/>
        <w:left w:val="none" w:sz="0" w:space="0" w:color="auto"/>
        <w:bottom w:val="none" w:sz="0" w:space="0" w:color="auto"/>
        <w:right w:val="none" w:sz="0" w:space="0" w:color="auto"/>
      </w:divBdr>
    </w:div>
    <w:div w:id="708072476">
      <w:bodyDiv w:val="1"/>
      <w:marLeft w:val="0"/>
      <w:marRight w:val="0"/>
      <w:marTop w:val="0"/>
      <w:marBottom w:val="0"/>
      <w:divBdr>
        <w:top w:val="none" w:sz="0" w:space="0" w:color="auto"/>
        <w:left w:val="none" w:sz="0" w:space="0" w:color="auto"/>
        <w:bottom w:val="none" w:sz="0" w:space="0" w:color="auto"/>
        <w:right w:val="none" w:sz="0" w:space="0" w:color="auto"/>
      </w:divBdr>
    </w:div>
    <w:div w:id="708142295">
      <w:bodyDiv w:val="1"/>
      <w:marLeft w:val="0"/>
      <w:marRight w:val="0"/>
      <w:marTop w:val="0"/>
      <w:marBottom w:val="0"/>
      <w:divBdr>
        <w:top w:val="none" w:sz="0" w:space="0" w:color="auto"/>
        <w:left w:val="none" w:sz="0" w:space="0" w:color="auto"/>
        <w:bottom w:val="none" w:sz="0" w:space="0" w:color="auto"/>
        <w:right w:val="none" w:sz="0" w:space="0" w:color="auto"/>
      </w:divBdr>
    </w:div>
    <w:div w:id="708144292">
      <w:bodyDiv w:val="1"/>
      <w:marLeft w:val="0"/>
      <w:marRight w:val="0"/>
      <w:marTop w:val="0"/>
      <w:marBottom w:val="0"/>
      <w:divBdr>
        <w:top w:val="none" w:sz="0" w:space="0" w:color="auto"/>
        <w:left w:val="none" w:sz="0" w:space="0" w:color="auto"/>
        <w:bottom w:val="none" w:sz="0" w:space="0" w:color="auto"/>
        <w:right w:val="none" w:sz="0" w:space="0" w:color="auto"/>
      </w:divBdr>
    </w:div>
    <w:div w:id="708260065">
      <w:bodyDiv w:val="1"/>
      <w:marLeft w:val="0"/>
      <w:marRight w:val="0"/>
      <w:marTop w:val="0"/>
      <w:marBottom w:val="0"/>
      <w:divBdr>
        <w:top w:val="none" w:sz="0" w:space="0" w:color="auto"/>
        <w:left w:val="none" w:sz="0" w:space="0" w:color="auto"/>
        <w:bottom w:val="none" w:sz="0" w:space="0" w:color="auto"/>
        <w:right w:val="none" w:sz="0" w:space="0" w:color="auto"/>
      </w:divBdr>
    </w:div>
    <w:div w:id="708379549">
      <w:bodyDiv w:val="1"/>
      <w:marLeft w:val="0"/>
      <w:marRight w:val="0"/>
      <w:marTop w:val="0"/>
      <w:marBottom w:val="0"/>
      <w:divBdr>
        <w:top w:val="none" w:sz="0" w:space="0" w:color="auto"/>
        <w:left w:val="none" w:sz="0" w:space="0" w:color="auto"/>
        <w:bottom w:val="none" w:sz="0" w:space="0" w:color="auto"/>
        <w:right w:val="none" w:sz="0" w:space="0" w:color="auto"/>
      </w:divBdr>
    </w:div>
    <w:div w:id="708456925">
      <w:bodyDiv w:val="1"/>
      <w:marLeft w:val="0"/>
      <w:marRight w:val="0"/>
      <w:marTop w:val="0"/>
      <w:marBottom w:val="0"/>
      <w:divBdr>
        <w:top w:val="none" w:sz="0" w:space="0" w:color="auto"/>
        <w:left w:val="none" w:sz="0" w:space="0" w:color="auto"/>
        <w:bottom w:val="none" w:sz="0" w:space="0" w:color="auto"/>
        <w:right w:val="none" w:sz="0" w:space="0" w:color="auto"/>
      </w:divBdr>
    </w:div>
    <w:div w:id="708530433">
      <w:bodyDiv w:val="1"/>
      <w:marLeft w:val="0"/>
      <w:marRight w:val="0"/>
      <w:marTop w:val="0"/>
      <w:marBottom w:val="0"/>
      <w:divBdr>
        <w:top w:val="none" w:sz="0" w:space="0" w:color="auto"/>
        <w:left w:val="none" w:sz="0" w:space="0" w:color="auto"/>
        <w:bottom w:val="none" w:sz="0" w:space="0" w:color="auto"/>
        <w:right w:val="none" w:sz="0" w:space="0" w:color="auto"/>
      </w:divBdr>
      <w:divsChild>
        <w:div w:id="546056">
          <w:marLeft w:val="0"/>
          <w:marRight w:val="0"/>
          <w:marTop w:val="0"/>
          <w:marBottom w:val="0"/>
          <w:divBdr>
            <w:top w:val="none" w:sz="0" w:space="0" w:color="auto"/>
            <w:left w:val="none" w:sz="0" w:space="0" w:color="auto"/>
            <w:bottom w:val="none" w:sz="0" w:space="0" w:color="auto"/>
            <w:right w:val="none" w:sz="0" w:space="0" w:color="auto"/>
          </w:divBdr>
        </w:div>
        <w:div w:id="27685985">
          <w:marLeft w:val="0"/>
          <w:marRight w:val="0"/>
          <w:marTop w:val="0"/>
          <w:marBottom w:val="0"/>
          <w:divBdr>
            <w:top w:val="none" w:sz="0" w:space="0" w:color="auto"/>
            <w:left w:val="none" w:sz="0" w:space="0" w:color="auto"/>
            <w:bottom w:val="none" w:sz="0" w:space="0" w:color="auto"/>
            <w:right w:val="none" w:sz="0" w:space="0" w:color="auto"/>
          </w:divBdr>
        </w:div>
        <w:div w:id="28067895">
          <w:marLeft w:val="0"/>
          <w:marRight w:val="0"/>
          <w:marTop w:val="0"/>
          <w:marBottom w:val="0"/>
          <w:divBdr>
            <w:top w:val="none" w:sz="0" w:space="0" w:color="auto"/>
            <w:left w:val="none" w:sz="0" w:space="0" w:color="auto"/>
            <w:bottom w:val="none" w:sz="0" w:space="0" w:color="auto"/>
            <w:right w:val="none" w:sz="0" w:space="0" w:color="auto"/>
          </w:divBdr>
        </w:div>
        <w:div w:id="42992225">
          <w:marLeft w:val="0"/>
          <w:marRight w:val="0"/>
          <w:marTop w:val="0"/>
          <w:marBottom w:val="0"/>
          <w:divBdr>
            <w:top w:val="none" w:sz="0" w:space="0" w:color="auto"/>
            <w:left w:val="none" w:sz="0" w:space="0" w:color="auto"/>
            <w:bottom w:val="none" w:sz="0" w:space="0" w:color="auto"/>
            <w:right w:val="none" w:sz="0" w:space="0" w:color="auto"/>
          </w:divBdr>
        </w:div>
        <w:div w:id="46072918">
          <w:marLeft w:val="0"/>
          <w:marRight w:val="0"/>
          <w:marTop w:val="0"/>
          <w:marBottom w:val="0"/>
          <w:divBdr>
            <w:top w:val="none" w:sz="0" w:space="0" w:color="auto"/>
            <w:left w:val="none" w:sz="0" w:space="0" w:color="auto"/>
            <w:bottom w:val="none" w:sz="0" w:space="0" w:color="auto"/>
            <w:right w:val="none" w:sz="0" w:space="0" w:color="auto"/>
          </w:divBdr>
        </w:div>
        <w:div w:id="108739211">
          <w:marLeft w:val="0"/>
          <w:marRight w:val="0"/>
          <w:marTop w:val="0"/>
          <w:marBottom w:val="0"/>
          <w:divBdr>
            <w:top w:val="none" w:sz="0" w:space="0" w:color="auto"/>
            <w:left w:val="none" w:sz="0" w:space="0" w:color="auto"/>
            <w:bottom w:val="none" w:sz="0" w:space="0" w:color="auto"/>
            <w:right w:val="none" w:sz="0" w:space="0" w:color="auto"/>
          </w:divBdr>
        </w:div>
        <w:div w:id="145511497">
          <w:marLeft w:val="0"/>
          <w:marRight w:val="0"/>
          <w:marTop w:val="0"/>
          <w:marBottom w:val="0"/>
          <w:divBdr>
            <w:top w:val="none" w:sz="0" w:space="0" w:color="auto"/>
            <w:left w:val="none" w:sz="0" w:space="0" w:color="auto"/>
            <w:bottom w:val="none" w:sz="0" w:space="0" w:color="auto"/>
            <w:right w:val="none" w:sz="0" w:space="0" w:color="auto"/>
          </w:divBdr>
        </w:div>
        <w:div w:id="146481879">
          <w:marLeft w:val="0"/>
          <w:marRight w:val="0"/>
          <w:marTop w:val="0"/>
          <w:marBottom w:val="0"/>
          <w:divBdr>
            <w:top w:val="none" w:sz="0" w:space="0" w:color="auto"/>
            <w:left w:val="none" w:sz="0" w:space="0" w:color="auto"/>
            <w:bottom w:val="none" w:sz="0" w:space="0" w:color="auto"/>
            <w:right w:val="none" w:sz="0" w:space="0" w:color="auto"/>
          </w:divBdr>
        </w:div>
        <w:div w:id="160783507">
          <w:marLeft w:val="0"/>
          <w:marRight w:val="0"/>
          <w:marTop w:val="0"/>
          <w:marBottom w:val="0"/>
          <w:divBdr>
            <w:top w:val="none" w:sz="0" w:space="0" w:color="auto"/>
            <w:left w:val="none" w:sz="0" w:space="0" w:color="auto"/>
            <w:bottom w:val="none" w:sz="0" w:space="0" w:color="auto"/>
            <w:right w:val="none" w:sz="0" w:space="0" w:color="auto"/>
          </w:divBdr>
        </w:div>
        <w:div w:id="163740436">
          <w:marLeft w:val="0"/>
          <w:marRight w:val="0"/>
          <w:marTop w:val="0"/>
          <w:marBottom w:val="0"/>
          <w:divBdr>
            <w:top w:val="none" w:sz="0" w:space="0" w:color="auto"/>
            <w:left w:val="none" w:sz="0" w:space="0" w:color="auto"/>
            <w:bottom w:val="none" w:sz="0" w:space="0" w:color="auto"/>
            <w:right w:val="none" w:sz="0" w:space="0" w:color="auto"/>
          </w:divBdr>
        </w:div>
        <w:div w:id="169636512">
          <w:marLeft w:val="0"/>
          <w:marRight w:val="0"/>
          <w:marTop w:val="0"/>
          <w:marBottom w:val="0"/>
          <w:divBdr>
            <w:top w:val="none" w:sz="0" w:space="0" w:color="auto"/>
            <w:left w:val="none" w:sz="0" w:space="0" w:color="auto"/>
            <w:bottom w:val="none" w:sz="0" w:space="0" w:color="auto"/>
            <w:right w:val="none" w:sz="0" w:space="0" w:color="auto"/>
          </w:divBdr>
        </w:div>
        <w:div w:id="188297702">
          <w:marLeft w:val="0"/>
          <w:marRight w:val="0"/>
          <w:marTop w:val="0"/>
          <w:marBottom w:val="0"/>
          <w:divBdr>
            <w:top w:val="none" w:sz="0" w:space="0" w:color="auto"/>
            <w:left w:val="none" w:sz="0" w:space="0" w:color="auto"/>
            <w:bottom w:val="none" w:sz="0" w:space="0" w:color="auto"/>
            <w:right w:val="none" w:sz="0" w:space="0" w:color="auto"/>
          </w:divBdr>
        </w:div>
        <w:div w:id="189101950">
          <w:marLeft w:val="0"/>
          <w:marRight w:val="0"/>
          <w:marTop w:val="0"/>
          <w:marBottom w:val="0"/>
          <w:divBdr>
            <w:top w:val="none" w:sz="0" w:space="0" w:color="auto"/>
            <w:left w:val="none" w:sz="0" w:space="0" w:color="auto"/>
            <w:bottom w:val="none" w:sz="0" w:space="0" w:color="auto"/>
            <w:right w:val="none" w:sz="0" w:space="0" w:color="auto"/>
          </w:divBdr>
        </w:div>
        <w:div w:id="193808905">
          <w:marLeft w:val="0"/>
          <w:marRight w:val="0"/>
          <w:marTop w:val="0"/>
          <w:marBottom w:val="0"/>
          <w:divBdr>
            <w:top w:val="none" w:sz="0" w:space="0" w:color="auto"/>
            <w:left w:val="none" w:sz="0" w:space="0" w:color="auto"/>
            <w:bottom w:val="none" w:sz="0" w:space="0" w:color="auto"/>
            <w:right w:val="none" w:sz="0" w:space="0" w:color="auto"/>
          </w:divBdr>
        </w:div>
        <w:div w:id="202909210">
          <w:marLeft w:val="0"/>
          <w:marRight w:val="0"/>
          <w:marTop w:val="0"/>
          <w:marBottom w:val="0"/>
          <w:divBdr>
            <w:top w:val="none" w:sz="0" w:space="0" w:color="auto"/>
            <w:left w:val="none" w:sz="0" w:space="0" w:color="auto"/>
            <w:bottom w:val="none" w:sz="0" w:space="0" w:color="auto"/>
            <w:right w:val="none" w:sz="0" w:space="0" w:color="auto"/>
          </w:divBdr>
        </w:div>
        <w:div w:id="215169063">
          <w:marLeft w:val="0"/>
          <w:marRight w:val="0"/>
          <w:marTop w:val="0"/>
          <w:marBottom w:val="0"/>
          <w:divBdr>
            <w:top w:val="none" w:sz="0" w:space="0" w:color="auto"/>
            <w:left w:val="none" w:sz="0" w:space="0" w:color="auto"/>
            <w:bottom w:val="none" w:sz="0" w:space="0" w:color="auto"/>
            <w:right w:val="none" w:sz="0" w:space="0" w:color="auto"/>
          </w:divBdr>
        </w:div>
        <w:div w:id="240067789">
          <w:marLeft w:val="0"/>
          <w:marRight w:val="0"/>
          <w:marTop w:val="0"/>
          <w:marBottom w:val="0"/>
          <w:divBdr>
            <w:top w:val="none" w:sz="0" w:space="0" w:color="auto"/>
            <w:left w:val="none" w:sz="0" w:space="0" w:color="auto"/>
            <w:bottom w:val="none" w:sz="0" w:space="0" w:color="auto"/>
            <w:right w:val="none" w:sz="0" w:space="0" w:color="auto"/>
          </w:divBdr>
        </w:div>
        <w:div w:id="249971885">
          <w:marLeft w:val="0"/>
          <w:marRight w:val="0"/>
          <w:marTop w:val="0"/>
          <w:marBottom w:val="0"/>
          <w:divBdr>
            <w:top w:val="none" w:sz="0" w:space="0" w:color="auto"/>
            <w:left w:val="none" w:sz="0" w:space="0" w:color="auto"/>
            <w:bottom w:val="none" w:sz="0" w:space="0" w:color="auto"/>
            <w:right w:val="none" w:sz="0" w:space="0" w:color="auto"/>
          </w:divBdr>
        </w:div>
        <w:div w:id="252445680">
          <w:marLeft w:val="0"/>
          <w:marRight w:val="0"/>
          <w:marTop w:val="0"/>
          <w:marBottom w:val="0"/>
          <w:divBdr>
            <w:top w:val="none" w:sz="0" w:space="0" w:color="auto"/>
            <w:left w:val="none" w:sz="0" w:space="0" w:color="auto"/>
            <w:bottom w:val="none" w:sz="0" w:space="0" w:color="auto"/>
            <w:right w:val="none" w:sz="0" w:space="0" w:color="auto"/>
          </w:divBdr>
        </w:div>
        <w:div w:id="255293095">
          <w:marLeft w:val="0"/>
          <w:marRight w:val="0"/>
          <w:marTop w:val="0"/>
          <w:marBottom w:val="0"/>
          <w:divBdr>
            <w:top w:val="none" w:sz="0" w:space="0" w:color="auto"/>
            <w:left w:val="none" w:sz="0" w:space="0" w:color="auto"/>
            <w:bottom w:val="none" w:sz="0" w:space="0" w:color="auto"/>
            <w:right w:val="none" w:sz="0" w:space="0" w:color="auto"/>
          </w:divBdr>
        </w:div>
        <w:div w:id="276301201">
          <w:marLeft w:val="0"/>
          <w:marRight w:val="0"/>
          <w:marTop w:val="0"/>
          <w:marBottom w:val="0"/>
          <w:divBdr>
            <w:top w:val="none" w:sz="0" w:space="0" w:color="auto"/>
            <w:left w:val="none" w:sz="0" w:space="0" w:color="auto"/>
            <w:bottom w:val="none" w:sz="0" w:space="0" w:color="auto"/>
            <w:right w:val="none" w:sz="0" w:space="0" w:color="auto"/>
          </w:divBdr>
        </w:div>
        <w:div w:id="277877585">
          <w:marLeft w:val="0"/>
          <w:marRight w:val="0"/>
          <w:marTop w:val="0"/>
          <w:marBottom w:val="0"/>
          <w:divBdr>
            <w:top w:val="none" w:sz="0" w:space="0" w:color="auto"/>
            <w:left w:val="none" w:sz="0" w:space="0" w:color="auto"/>
            <w:bottom w:val="none" w:sz="0" w:space="0" w:color="auto"/>
            <w:right w:val="none" w:sz="0" w:space="0" w:color="auto"/>
          </w:divBdr>
        </w:div>
        <w:div w:id="278949628">
          <w:marLeft w:val="0"/>
          <w:marRight w:val="0"/>
          <w:marTop w:val="0"/>
          <w:marBottom w:val="0"/>
          <w:divBdr>
            <w:top w:val="none" w:sz="0" w:space="0" w:color="auto"/>
            <w:left w:val="none" w:sz="0" w:space="0" w:color="auto"/>
            <w:bottom w:val="none" w:sz="0" w:space="0" w:color="auto"/>
            <w:right w:val="none" w:sz="0" w:space="0" w:color="auto"/>
          </w:divBdr>
        </w:div>
        <w:div w:id="283705548">
          <w:marLeft w:val="0"/>
          <w:marRight w:val="0"/>
          <w:marTop w:val="0"/>
          <w:marBottom w:val="0"/>
          <w:divBdr>
            <w:top w:val="none" w:sz="0" w:space="0" w:color="auto"/>
            <w:left w:val="none" w:sz="0" w:space="0" w:color="auto"/>
            <w:bottom w:val="none" w:sz="0" w:space="0" w:color="auto"/>
            <w:right w:val="none" w:sz="0" w:space="0" w:color="auto"/>
          </w:divBdr>
        </w:div>
        <w:div w:id="300698910">
          <w:marLeft w:val="0"/>
          <w:marRight w:val="0"/>
          <w:marTop w:val="0"/>
          <w:marBottom w:val="0"/>
          <w:divBdr>
            <w:top w:val="none" w:sz="0" w:space="0" w:color="auto"/>
            <w:left w:val="none" w:sz="0" w:space="0" w:color="auto"/>
            <w:bottom w:val="none" w:sz="0" w:space="0" w:color="auto"/>
            <w:right w:val="none" w:sz="0" w:space="0" w:color="auto"/>
          </w:divBdr>
        </w:div>
        <w:div w:id="315378637">
          <w:marLeft w:val="0"/>
          <w:marRight w:val="0"/>
          <w:marTop w:val="0"/>
          <w:marBottom w:val="0"/>
          <w:divBdr>
            <w:top w:val="none" w:sz="0" w:space="0" w:color="auto"/>
            <w:left w:val="none" w:sz="0" w:space="0" w:color="auto"/>
            <w:bottom w:val="none" w:sz="0" w:space="0" w:color="auto"/>
            <w:right w:val="none" w:sz="0" w:space="0" w:color="auto"/>
          </w:divBdr>
        </w:div>
        <w:div w:id="317349386">
          <w:marLeft w:val="0"/>
          <w:marRight w:val="0"/>
          <w:marTop w:val="0"/>
          <w:marBottom w:val="0"/>
          <w:divBdr>
            <w:top w:val="none" w:sz="0" w:space="0" w:color="auto"/>
            <w:left w:val="none" w:sz="0" w:space="0" w:color="auto"/>
            <w:bottom w:val="none" w:sz="0" w:space="0" w:color="auto"/>
            <w:right w:val="none" w:sz="0" w:space="0" w:color="auto"/>
          </w:divBdr>
        </w:div>
        <w:div w:id="334307142">
          <w:marLeft w:val="0"/>
          <w:marRight w:val="0"/>
          <w:marTop w:val="0"/>
          <w:marBottom w:val="0"/>
          <w:divBdr>
            <w:top w:val="none" w:sz="0" w:space="0" w:color="auto"/>
            <w:left w:val="none" w:sz="0" w:space="0" w:color="auto"/>
            <w:bottom w:val="none" w:sz="0" w:space="0" w:color="auto"/>
            <w:right w:val="none" w:sz="0" w:space="0" w:color="auto"/>
          </w:divBdr>
        </w:div>
        <w:div w:id="337731508">
          <w:marLeft w:val="0"/>
          <w:marRight w:val="0"/>
          <w:marTop w:val="0"/>
          <w:marBottom w:val="0"/>
          <w:divBdr>
            <w:top w:val="none" w:sz="0" w:space="0" w:color="auto"/>
            <w:left w:val="none" w:sz="0" w:space="0" w:color="auto"/>
            <w:bottom w:val="none" w:sz="0" w:space="0" w:color="auto"/>
            <w:right w:val="none" w:sz="0" w:space="0" w:color="auto"/>
          </w:divBdr>
        </w:div>
        <w:div w:id="343283158">
          <w:marLeft w:val="0"/>
          <w:marRight w:val="0"/>
          <w:marTop w:val="0"/>
          <w:marBottom w:val="0"/>
          <w:divBdr>
            <w:top w:val="none" w:sz="0" w:space="0" w:color="auto"/>
            <w:left w:val="none" w:sz="0" w:space="0" w:color="auto"/>
            <w:bottom w:val="none" w:sz="0" w:space="0" w:color="auto"/>
            <w:right w:val="none" w:sz="0" w:space="0" w:color="auto"/>
          </w:divBdr>
        </w:div>
        <w:div w:id="352221919">
          <w:marLeft w:val="0"/>
          <w:marRight w:val="0"/>
          <w:marTop w:val="0"/>
          <w:marBottom w:val="0"/>
          <w:divBdr>
            <w:top w:val="none" w:sz="0" w:space="0" w:color="auto"/>
            <w:left w:val="none" w:sz="0" w:space="0" w:color="auto"/>
            <w:bottom w:val="none" w:sz="0" w:space="0" w:color="auto"/>
            <w:right w:val="none" w:sz="0" w:space="0" w:color="auto"/>
          </w:divBdr>
        </w:div>
        <w:div w:id="361320454">
          <w:marLeft w:val="0"/>
          <w:marRight w:val="0"/>
          <w:marTop w:val="0"/>
          <w:marBottom w:val="0"/>
          <w:divBdr>
            <w:top w:val="none" w:sz="0" w:space="0" w:color="auto"/>
            <w:left w:val="none" w:sz="0" w:space="0" w:color="auto"/>
            <w:bottom w:val="none" w:sz="0" w:space="0" w:color="auto"/>
            <w:right w:val="none" w:sz="0" w:space="0" w:color="auto"/>
          </w:divBdr>
        </w:div>
        <w:div w:id="367487829">
          <w:marLeft w:val="0"/>
          <w:marRight w:val="0"/>
          <w:marTop w:val="0"/>
          <w:marBottom w:val="0"/>
          <w:divBdr>
            <w:top w:val="none" w:sz="0" w:space="0" w:color="auto"/>
            <w:left w:val="none" w:sz="0" w:space="0" w:color="auto"/>
            <w:bottom w:val="none" w:sz="0" w:space="0" w:color="auto"/>
            <w:right w:val="none" w:sz="0" w:space="0" w:color="auto"/>
          </w:divBdr>
        </w:div>
        <w:div w:id="368383637">
          <w:marLeft w:val="0"/>
          <w:marRight w:val="0"/>
          <w:marTop w:val="0"/>
          <w:marBottom w:val="0"/>
          <w:divBdr>
            <w:top w:val="none" w:sz="0" w:space="0" w:color="auto"/>
            <w:left w:val="none" w:sz="0" w:space="0" w:color="auto"/>
            <w:bottom w:val="none" w:sz="0" w:space="0" w:color="auto"/>
            <w:right w:val="none" w:sz="0" w:space="0" w:color="auto"/>
          </w:divBdr>
        </w:div>
        <w:div w:id="396174650">
          <w:marLeft w:val="0"/>
          <w:marRight w:val="0"/>
          <w:marTop w:val="0"/>
          <w:marBottom w:val="0"/>
          <w:divBdr>
            <w:top w:val="none" w:sz="0" w:space="0" w:color="auto"/>
            <w:left w:val="none" w:sz="0" w:space="0" w:color="auto"/>
            <w:bottom w:val="none" w:sz="0" w:space="0" w:color="auto"/>
            <w:right w:val="none" w:sz="0" w:space="0" w:color="auto"/>
          </w:divBdr>
        </w:div>
        <w:div w:id="403726674">
          <w:marLeft w:val="0"/>
          <w:marRight w:val="0"/>
          <w:marTop w:val="0"/>
          <w:marBottom w:val="0"/>
          <w:divBdr>
            <w:top w:val="none" w:sz="0" w:space="0" w:color="auto"/>
            <w:left w:val="none" w:sz="0" w:space="0" w:color="auto"/>
            <w:bottom w:val="none" w:sz="0" w:space="0" w:color="auto"/>
            <w:right w:val="none" w:sz="0" w:space="0" w:color="auto"/>
          </w:divBdr>
        </w:div>
        <w:div w:id="406072623">
          <w:marLeft w:val="0"/>
          <w:marRight w:val="0"/>
          <w:marTop w:val="0"/>
          <w:marBottom w:val="0"/>
          <w:divBdr>
            <w:top w:val="none" w:sz="0" w:space="0" w:color="auto"/>
            <w:left w:val="none" w:sz="0" w:space="0" w:color="auto"/>
            <w:bottom w:val="none" w:sz="0" w:space="0" w:color="auto"/>
            <w:right w:val="none" w:sz="0" w:space="0" w:color="auto"/>
          </w:divBdr>
        </w:div>
        <w:div w:id="436828027">
          <w:marLeft w:val="0"/>
          <w:marRight w:val="0"/>
          <w:marTop w:val="0"/>
          <w:marBottom w:val="0"/>
          <w:divBdr>
            <w:top w:val="none" w:sz="0" w:space="0" w:color="auto"/>
            <w:left w:val="none" w:sz="0" w:space="0" w:color="auto"/>
            <w:bottom w:val="none" w:sz="0" w:space="0" w:color="auto"/>
            <w:right w:val="none" w:sz="0" w:space="0" w:color="auto"/>
          </w:divBdr>
        </w:div>
        <w:div w:id="459418988">
          <w:marLeft w:val="0"/>
          <w:marRight w:val="0"/>
          <w:marTop w:val="0"/>
          <w:marBottom w:val="0"/>
          <w:divBdr>
            <w:top w:val="none" w:sz="0" w:space="0" w:color="auto"/>
            <w:left w:val="none" w:sz="0" w:space="0" w:color="auto"/>
            <w:bottom w:val="none" w:sz="0" w:space="0" w:color="auto"/>
            <w:right w:val="none" w:sz="0" w:space="0" w:color="auto"/>
          </w:divBdr>
        </w:div>
        <w:div w:id="461777798">
          <w:marLeft w:val="0"/>
          <w:marRight w:val="0"/>
          <w:marTop w:val="0"/>
          <w:marBottom w:val="0"/>
          <w:divBdr>
            <w:top w:val="none" w:sz="0" w:space="0" w:color="auto"/>
            <w:left w:val="none" w:sz="0" w:space="0" w:color="auto"/>
            <w:bottom w:val="none" w:sz="0" w:space="0" w:color="auto"/>
            <w:right w:val="none" w:sz="0" w:space="0" w:color="auto"/>
          </w:divBdr>
        </w:div>
        <w:div w:id="470052469">
          <w:marLeft w:val="0"/>
          <w:marRight w:val="0"/>
          <w:marTop w:val="0"/>
          <w:marBottom w:val="0"/>
          <w:divBdr>
            <w:top w:val="none" w:sz="0" w:space="0" w:color="auto"/>
            <w:left w:val="none" w:sz="0" w:space="0" w:color="auto"/>
            <w:bottom w:val="none" w:sz="0" w:space="0" w:color="auto"/>
            <w:right w:val="none" w:sz="0" w:space="0" w:color="auto"/>
          </w:divBdr>
        </w:div>
        <w:div w:id="475340987">
          <w:marLeft w:val="0"/>
          <w:marRight w:val="0"/>
          <w:marTop w:val="0"/>
          <w:marBottom w:val="0"/>
          <w:divBdr>
            <w:top w:val="none" w:sz="0" w:space="0" w:color="auto"/>
            <w:left w:val="none" w:sz="0" w:space="0" w:color="auto"/>
            <w:bottom w:val="none" w:sz="0" w:space="0" w:color="auto"/>
            <w:right w:val="none" w:sz="0" w:space="0" w:color="auto"/>
          </w:divBdr>
        </w:div>
        <w:div w:id="500238885">
          <w:marLeft w:val="0"/>
          <w:marRight w:val="0"/>
          <w:marTop w:val="0"/>
          <w:marBottom w:val="0"/>
          <w:divBdr>
            <w:top w:val="none" w:sz="0" w:space="0" w:color="auto"/>
            <w:left w:val="none" w:sz="0" w:space="0" w:color="auto"/>
            <w:bottom w:val="none" w:sz="0" w:space="0" w:color="auto"/>
            <w:right w:val="none" w:sz="0" w:space="0" w:color="auto"/>
          </w:divBdr>
        </w:div>
        <w:div w:id="531502905">
          <w:marLeft w:val="0"/>
          <w:marRight w:val="0"/>
          <w:marTop w:val="0"/>
          <w:marBottom w:val="0"/>
          <w:divBdr>
            <w:top w:val="none" w:sz="0" w:space="0" w:color="auto"/>
            <w:left w:val="none" w:sz="0" w:space="0" w:color="auto"/>
            <w:bottom w:val="none" w:sz="0" w:space="0" w:color="auto"/>
            <w:right w:val="none" w:sz="0" w:space="0" w:color="auto"/>
          </w:divBdr>
        </w:div>
        <w:div w:id="545069511">
          <w:marLeft w:val="0"/>
          <w:marRight w:val="0"/>
          <w:marTop w:val="0"/>
          <w:marBottom w:val="0"/>
          <w:divBdr>
            <w:top w:val="none" w:sz="0" w:space="0" w:color="auto"/>
            <w:left w:val="none" w:sz="0" w:space="0" w:color="auto"/>
            <w:bottom w:val="none" w:sz="0" w:space="0" w:color="auto"/>
            <w:right w:val="none" w:sz="0" w:space="0" w:color="auto"/>
          </w:divBdr>
        </w:div>
        <w:div w:id="546915574">
          <w:marLeft w:val="0"/>
          <w:marRight w:val="0"/>
          <w:marTop w:val="0"/>
          <w:marBottom w:val="0"/>
          <w:divBdr>
            <w:top w:val="none" w:sz="0" w:space="0" w:color="auto"/>
            <w:left w:val="none" w:sz="0" w:space="0" w:color="auto"/>
            <w:bottom w:val="none" w:sz="0" w:space="0" w:color="auto"/>
            <w:right w:val="none" w:sz="0" w:space="0" w:color="auto"/>
          </w:divBdr>
        </w:div>
        <w:div w:id="567155578">
          <w:marLeft w:val="0"/>
          <w:marRight w:val="0"/>
          <w:marTop w:val="0"/>
          <w:marBottom w:val="0"/>
          <w:divBdr>
            <w:top w:val="none" w:sz="0" w:space="0" w:color="auto"/>
            <w:left w:val="none" w:sz="0" w:space="0" w:color="auto"/>
            <w:bottom w:val="none" w:sz="0" w:space="0" w:color="auto"/>
            <w:right w:val="none" w:sz="0" w:space="0" w:color="auto"/>
          </w:divBdr>
        </w:div>
        <w:div w:id="570896514">
          <w:marLeft w:val="0"/>
          <w:marRight w:val="0"/>
          <w:marTop w:val="0"/>
          <w:marBottom w:val="0"/>
          <w:divBdr>
            <w:top w:val="none" w:sz="0" w:space="0" w:color="auto"/>
            <w:left w:val="none" w:sz="0" w:space="0" w:color="auto"/>
            <w:bottom w:val="none" w:sz="0" w:space="0" w:color="auto"/>
            <w:right w:val="none" w:sz="0" w:space="0" w:color="auto"/>
          </w:divBdr>
        </w:div>
        <w:div w:id="583687377">
          <w:marLeft w:val="0"/>
          <w:marRight w:val="0"/>
          <w:marTop w:val="0"/>
          <w:marBottom w:val="0"/>
          <w:divBdr>
            <w:top w:val="none" w:sz="0" w:space="0" w:color="auto"/>
            <w:left w:val="none" w:sz="0" w:space="0" w:color="auto"/>
            <w:bottom w:val="none" w:sz="0" w:space="0" w:color="auto"/>
            <w:right w:val="none" w:sz="0" w:space="0" w:color="auto"/>
          </w:divBdr>
        </w:div>
        <w:div w:id="586891768">
          <w:marLeft w:val="0"/>
          <w:marRight w:val="0"/>
          <w:marTop w:val="0"/>
          <w:marBottom w:val="0"/>
          <w:divBdr>
            <w:top w:val="none" w:sz="0" w:space="0" w:color="auto"/>
            <w:left w:val="none" w:sz="0" w:space="0" w:color="auto"/>
            <w:bottom w:val="none" w:sz="0" w:space="0" w:color="auto"/>
            <w:right w:val="none" w:sz="0" w:space="0" w:color="auto"/>
          </w:divBdr>
        </w:div>
        <w:div w:id="597644444">
          <w:marLeft w:val="0"/>
          <w:marRight w:val="0"/>
          <w:marTop w:val="0"/>
          <w:marBottom w:val="0"/>
          <w:divBdr>
            <w:top w:val="none" w:sz="0" w:space="0" w:color="auto"/>
            <w:left w:val="none" w:sz="0" w:space="0" w:color="auto"/>
            <w:bottom w:val="none" w:sz="0" w:space="0" w:color="auto"/>
            <w:right w:val="none" w:sz="0" w:space="0" w:color="auto"/>
          </w:divBdr>
        </w:div>
        <w:div w:id="623655019">
          <w:marLeft w:val="0"/>
          <w:marRight w:val="0"/>
          <w:marTop w:val="0"/>
          <w:marBottom w:val="0"/>
          <w:divBdr>
            <w:top w:val="none" w:sz="0" w:space="0" w:color="auto"/>
            <w:left w:val="none" w:sz="0" w:space="0" w:color="auto"/>
            <w:bottom w:val="none" w:sz="0" w:space="0" w:color="auto"/>
            <w:right w:val="none" w:sz="0" w:space="0" w:color="auto"/>
          </w:divBdr>
        </w:div>
        <w:div w:id="633605162">
          <w:marLeft w:val="0"/>
          <w:marRight w:val="0"/>
          <w:marTop w:val="0"/>
          <w:marBottom w:val="0"/>
          <w:divBdr>
            <w:top w:val="none" w:sz="0" w:space="0" w:color="auto"/>
            <w:left w:val="none" w:sz="0" w:space="0" w:color="auto"/>
            <w:bottom w:val="none" w:sz="0" w:space="0" w:color="auto"/>
            <w:right w:val="none" w:sz="0" w:space="0" w:color="auto"/>
          </w:divBdr>
        </w:div>
        <w:div w:id="657343348">
          <w:marLeft w:val="0"/>
          <w:marRight w:val="0"/>
          <w:marTop w:val="0"/>
          <w:marBottom w:val="0"/>
          <w:divBdr>
            <w:top w:val="none" w:sz="0" w:space="0" w:color="auto"/>
            <w:left w:val="none" w:sz="0" w:space="0" w:color="auto"/>
            <w:bottom w:val="none" w:sz="0" w:space="0" w:color="auto"/>
            <w:right w:val="none" w:sz="0" w:space="0" w:color="auto"/>
          </w:divBdr>
        </w:div>
        <w:div w:id="657537732">
          <w:marLeft w:val="0"/>
          <w:marRight w:val="0"/>
          <w:marTop w:val="0"/>
          <w:marBottom w:val="0"/>
          <w:divBdr>
            <w:top w:val="none" w:sz="0" w:space="0" w:color="auto"/>
            <w:left w:val="none" w:sz="0" w:space="0" w:color="auto"/>
            <w:bottom w:val="none" w:sz="0" w:space="0" w:color="auto"/>
            <w:right w:val="none" w:sz="0" w:space="0" w:color="auto"/>
          </w:divBdr>
        </w:div>
        <w:div w:id="659969403">
          <w:marLeft w:val="0"/>
          <w:marRight w:val="0"/>
          <w:marTop w:val="0"/>
          <w:marBottom w:val="0"/>
          <w:divBdr>
            <w:top w:val="none" w:sz="0" w:space="0" w:color="auto"/>
            <w:left w:val="none" w:sz="0" w:space="0" w:color="auto"/>
            <w:bottom w:val="none" w:sz="0" w:space="0" w:color="auto"/>
            <w:right w:val="none" w:sz="0" w:space="0" w:color="auto"/>
          </w:divBdr>
        </w:div>
        <w:div w:id="672148062">
          <w:marLeft w:val="0"/>
          <w:marRight w:val="0"/>
          <w:marTop w:val="0"/>
          <w:marBottom w:val="0"/>
          <w:divBdr>
            <w:top w:val="none" w:sz="0" w:space="0" w:color="auto"/>
            <w:left w:val="none" w:sz="0" w:space="0" w:color="auto"/>
            <w:bottom w:val="none" w:sz="0" w:space="0" w:color="auto"/>
            <w:right w:val="none" w:sz="0" w:space="0" w:color="auto"/>
          </w:divBdr>
        </w:div>
        <w:div w:id="676007948">
          <w:marLeft w:val="0"/>
          <w:marRight w:val="0"/>
          <w:marTop w:val="0"/>
          <w:marBottom w:val="0"/>
          <w:divBdr>
            <w:top w:val="none" w:sz="0" w:space="0" w:color="auto"/>
            <w:left w:val="none" w:sz="0" w:space="0" w:color="auto"/>
            <w:bottom w:val="none" w:sz="0" w:space="0" w:color="auto"/>
            <w:right w:val="none" w:sz="0" w:space="0" w:color="auto"/>
          </w:divBdr>
        </w:div>
        <w:div w:id="695810622">
          <w:marLeft w:val="0"/>
          <w:marRight w:val="0"/>
          <w:marTop w:val="0"/>
          <w:marBottom w:val="0"/>
          <w:divBdr>
            <w:top w:val="none" w:sz="0" w:space="0" w:color="auto"/>
            <w:left w:val="none" w:sz="0" w:space="0" w:color="auto"/>
            <w:bottom w:val="none" w:sz="0" w:space="0" w:color="auto"/>
            <w:right w:val="none" w:sz="0" w:space="0" w:color="auto"/>
          </w:divBdr>
        </w:div>
        <w:div w:id="699089507">
          <w:marLeft w:val="0"/>
          <w:marRight w:val="0"/>
          <w:marTop w:val="0"/>
          <w:marBottom w:val="0"/>
          <w:divBdr>
            <w:top w:val="none" w:sz="0" w:space="0" w:color="auto"/>
            <w:left w:val="none" w:sz="0" w:space="0" w:color="auto"/>
            <w:bottom w:val="none" w:sz="0" w:space="0" w:color="auto"/>
            <w:right w:val="none" w:sz="0" w:space="0" w:color="auto"/>
          </w:divBdr>
        </w:div>
        <w:div w:id="721951603">
          <w:marLeft w:val="0"/>
          <w:marRight w:val="0"/>
          <w:marTop w:val="0"/>
          <w:marBottom w:val="0"/>
          <w:divBdr>
            <w:top w:val="none" w:sz="0" w:space="0" w:color="auto"/>
            <w:left w:val="none" w:sz="0" w:space="0" w:color="auto"/>
            <w:bottom w:val="none" w:sz="0" w:space="0" w:color="auto"/>
            <w:right w:val="none" w:sz="0" w:space="0" w:color="auto"/>
          </w:divBdr>
        </w:div>
        <w:div w:id="740182378">
          <w:marLeft w:val="0"/>
          <w:marRight w:val="0"/>
          <w:marTop w:val="0"/>
          <w:marBottom w:val="0"/>
          <w:divBdr>
            <w:top w:val="none" w:sz="0" w:space="0" w:color="auto"/>
            <w:left w:val="none" w:sz="0" w:space="0" w:color="auto"/>
            <w:bottom w:val="none" w:sz="0" w:space="0" w:color="auto"/>
            <w:right w:val="none" w:sz="0" w:space="0" w:color="auto"/>
          </w:divBdr>
        </w:div>
        <w:div w:id="771245120">
          <w:marLeft w:val="0"/>
          <w:marRight w:val="0"/>
          <w:marTop w:val="0"/>
          <w:marBottom w:val="0"/>
          <w:divBdr>
            <w:top w:val="none" w:sz="0" w:space="0" w:color="auto"/>
            <w:left w:val="none" w:sz="0" w:space="0" w:color="auto"/>
            <w:bottom w:val="none" w:sz="0" w:space="0" w:color="auto"/>
            <w:right w:val="none" w:sz="0" w:space="0" w:color="auto"/>
          </w:divBdr>
        </w:div>
        <w:div w:id="795753503">
          <w:marLeft w:val="0"/>
          <w:marRight w:val="0"/>
          <w:marTop w:val="0"/>
          <w:marBottom w:val="0"/>
          <w:divBdr>
            <w:top w:val="none" w:sz="0" w:space="0" w:color="auto"/>
            <w:left w:val="none" w:sz="0" w:space="0" w:color="auto"/>
            <w:bottom w:val="none" w:sz="0" w:space="0" w:color="auto"/>
            <w:right w:val="none" w:sz="0" w:space="0" w:color="auto"/>
          </w:divBdr>
        </w:div>
        <w:div w:id="805699680">
          <w:marLeft w:val="0"/>
          <w:marRight w:val="0"/>
          <w:marTop w:val="0"/>
          <w:marBottom w:val="0"/>
          <w:divBdr>
            <w:top w:val="none" w:sz="0" w:space="0" w:color="auto"/>
            <w:left w:val="none" w:sz="0" w:space="0" w:color="auto"/>
            <w:bottom w:val="none" w:sz="0" w:space="0" w:color="auto"/>
            <w:right w:val="none" w:sz="0" w:space="0" w:color="auto"/>
          </w:divBdr>
        </w:div>
        <w:div w:id="812872241">
          <w:marLeft w:val="0"/>
          <w:marRight w:val="0"/>
          <w:marTop w:val="0"/>
          <w:marBottom w:val="0"/>
          <w:divBdr>
            <w:top w:val="none" w:sz="0" w:space="0" w:color="auto"/>
            <w:left w:val="none" w:sz="0" w:space="0" w:color="auto"/>
            <w:bottom w:val="none" w:sz="0" w:space="0" w:color="auto"/>
            <w:right w:val="none" w:sz="0" w:space="0" w:color="auto"/>
          </w:divBdr>
        </w:div>
        <w:div w:id="813790739">
          <w:marLeft w:val="0"/>
          <w:marRight w:val="0"/>
          <w:marTop w:val="0"/>
          <w:marBottom w:val="0"/>
          <w:divBdr>
            <w:top w:val="none" w:sz="0" w:space="0" w:color="auto"/>
            <w:left w:val="none" w:sz="0" w:space="0" w:color="auto"/>
            <w:bottom w:val="none" w:sz="0" w:space="0" w:color="auto"/>
            <w:right w:val="none" w:sz="0" w:space="0" w:color="auto"/>
          </w:divBdr>
        </w:div>
        <w:div w:id="839273245">
          <w:marLeft w:val="0"/>
          <w:marRight w:val="0"/>
          <w:marTop w:val="0"/>
          <w:marBottom w:val="0"/>
          <w:divBdr>
            <w:top w:val="none" w:sz="0" w:space="0" w:color="auto"/>
            <w:left w:val="none" w:sz="0" w:space="0" w:color="auto"/>
            <w:bottom w:val="none" w:sz="0" w:space="0" w:color="auto"/>
            <w:right w:val="none" w:sz="0" w:space="0" w:color="auto"/>
          </w:divBdr>
        </w:div>
        <w:div w:id="863982128">
          <w:marLeft w:val="0"/>
          <w:marRight w:val="0"/>
          <w:marTop w:val="0"/>
          <w:marBottom w:val="0"/>
          <w:divBdr>
            <w:top w:val="none" w:sz="0" w:space="0" w:color="auto"/>
            <w:left w:val="none" w:sz="0" w:space="0" w:color="auto"/>
            <w:bottom w:val="none" w:sz="0" w:space="0" w:color="auto"/>
            <w:right w:val="none" w:sz="0" w:space="0" w:color="auto"/>
          </w:divBdr>
        </w:div>
        <w:div w:id="864640576">
          <w:marLeft w:val="0"/>
          <w:marRight w:val="0"/>
          <w:marTop w:val="0"/>
          <w:marBottom w:val="0"/>
          <w:divBdr>
            <w:top w:val="none" w:sz="0" w:space="0" w:color="auto"/>
            <w:left w:val="none" w:sz="0" w:space="0" w:color="auto"/>
            <w:bottom w:val="none" w:sz="0" w:space="0" w:color="auto"/>
            <w:right w:val="none" w:sz="0" w:space="0" w:color="auto"/>
          </w:divBdr>
        </w:div>
        <w:div w:id="876553153">
          <w:marLeft w:val="0"/>
          <w:marRight w:val="0"/>
          <w:marTop w:val="0"/>
          <w:marBottom w:val="0"/>
          <w:divBdr>
            <w:top w:val="none" w:sz="0" w:space="0" w:color="auto"/>
            <w:left w:val="none" w:sz="0" w:space="0" w:color="auto"/>
            <w:bottom w:val="none" w:sz="0" w:space="0" w:color="auto"/>
            <w:right w:val="none" w:sz="0" w:space="0" w:color="auto"/>
          </w:divBdr>
        </w:div>
        <w:div w:id="898788988">
          <w:marLeft w:val="0"/>
          <w:marRight w:val="0"/>
          <w:marTop w:val="0"/>
          <w:marBottom w:val="0"/>
          <w:divBdr>
            <w:top w:val="none" w:sz="0" w:space="0" w:color="auto"/>
            <w:left w:val="none" w:sz="0" w:space="0" w:color="auto"/>
            <w:bottom w:val="none" w:sz="0" w:space="0" w:color="auto"/>
            <w:right w:val="none" w:sz="0" w:space="0" w:color="auto"/>
          </w:divBdr>
        </w:div>
        <w:div w:id="915628606">
          <w:marLeft w:val="0"/>
          <w:marRight w:val="0"/>
          <w:marTop w:val="0"/>
          <w:marBottom w:val="0"/>
          <w:divBdr>
            <w:top w:val="none" w:sz="0" w:space="0" w:color="auto"/>
            <w:left w:val="none" w:sz="0" w:space="0" w:color="auto"/>
            <w:bottom w:val="none" w:sz="0" w:space="0" w:color="auto"/>
            <w:right w:val="none" w:sz="0" w:space="0" w:color="auto"/>
          </w:divBdr>
        </w:div>
        <w:div w:id="968630079">
          <w:marLeft w:val="0"/>
          <w:marRight w:val="0"/>
          <w:marTop w:val="0"/>
          <w:marBottom w:val="0"/>
          <w:divBdr>
            <w:top w:val="none" w:sz="0" w:space="0" w:color="auto"/>
            <w:left w:val="none" w:sz="0" w:space="0" w:color="auto"/>
            <w:bottom w:val="none" w:sz="0" w:space="0" w:color="auto"/>
            <w:right w:val="none" w:sz="0" w:space="0" w:color="auto"/>
          </w:divBdr>
        </w:div>
        <w:div w:id="975332338">
          <w:marLeft w:val="0"/>
          <w:marRight w:val="0"/>
          <w:marTop w:val="0"/>
          <w:marBottom w:val="0"/>
          <w:divBdr>
            <w:top w:val="none" w:sz="0" w:space="0" w:color="auto"/>
            <w:left w:val="none" w:sz="0" w:space="0" w:color="auto"/>
            <w:bottom w:val="none" w:sz="0" w:space="0" w:color="auto"/>
            <w:right w:val="none" w:sz="0" w:space="0" w:color="auto"/>
          </w:divBdr>
        </w:div>
        <w:div w:id="975338752">
          <w:marLeft w:val="0"/>
          <w:marRight w:val="0"/>
          <w:marTop w:val="0"/>
          <w:marBottom w:val="0"/>
          <w:divBdr>
            <w:top w:val="none" w:sz="0" w:space="0" w:color="auto"/>
            <w:left w:val="none" w:sz="0" w:space="0" w:color="auto"/>
            <w:bottom w:val="none" w:sz="0" w:space="0" w:color="auto"/>
            <w:right w:val="none" w:sz="0" w:space="0" w:color="auto"/>
          </w:divBdr>
        </w:div>
        <w:div w:id="1006638032">
          <w:marLeft w:val="0"/>
          <w:marRight w:val="0"/>
          <w:marTop w:val="0"/>
          <w:marBottom w:val="0"/>
          <w:divBdr>
            <w:top w:val="none" w:sz="0" w:space="0" w:color="auto"/>
            <w:left w:val="none" w:sz="0" w:space="0" w:color="auto"/>
            <w:bottom w:val="none" w:sz="0" w:space="0" w:color="auto"/>
            <w:right w:val="none" w:sz="0" w:space="0" w:color="auto"/>
          </w:divBdr>
        </w:div>
        <w:div w:id="1012876024">
          <w:marLeft w:val="0"/>
          <w:marRight w:val="0"/>
          <w:marTop w:val="0"/>
          <w:marBottom w:val="0"/>
          <w:divBdr>
            <w:top w:val="none" w:sz="0" w:space="0" w:color="auto"/>
            <w:left w:val="none" w:sz="0" w:space="0" w:color="auto"/>
            <w:bottom w:val="none" w:sz="0" w:space="0" w:color="auto"/>
            <w:right w:val="none" w:sz="0" w:space="0" w:color="auto"/>
          </w:divBdr>
        </w:div>
        <w:div w:id="1014451830">
          <w:marLeft w:val="0"/>
          <w:marRight w:val="0"/>
          <w:marTop w:val="0"/>
          <w:marBottom w:val="0"/>
          <w:divBdr>
            <w:top w:val="none" w:sz="0" w:space="0" w:color="auto"/>
            <w:left w:val="none" w:sz="0" w:space="0" w:color="auto"/>
            <w:bottom w:val="none" w:sz="0" w:space="0" w:color="auto"/>
            <w:right w:val="none" w:sz="0" w:space="0" w:color="auto"/>
          </w:divBdr>
        </w:div>
        <w:div w:id="1060909846">
          <w:marLeft w:val="0"/>
          <w:marRight w:val="0"/>
          <w:marTop w:val="0"/>
          <w:marBottom w:val="0"/>
          <w:divBdr>
            <w:top w:val="none" w:sz="0" w:space="0" w:color="auto"/>
            <w:left w:val="none" w:sz="0" w:space="0" w:color="auto"/>
            <w:bottom w:val="none" w:sz="0" w:space="0" w:color="auto"/>
            <w:right w:val="none" w:sz="0" w:space="0" w:color="auto"/>
          </w:divBdr>
        </w:div>
        <w:div w:id="1069881379">
          <w:marLeft w:val="0"/>
          <w:marRight w:val="0"/>
          <w:marTop w:val="0"/>
          <w:marBottom w:val="0"/>
          <w:divBdr>
            <w:top w:val="none" w:sz="0" w:space="0" w:color="auto"/>
            <w:left w:val="none" w:sz="0" w:space="0" w:color="auto"/>
            <w:bottom w:val="none" w:sz="0" w:space="0" w:color="auto"/>
            <w:right w:val="none" w:sz="0" w:space="0" w:color="auto"/>
          </w:divBdr>
        </w:div>
        <w:div w:id="1081439991">
          <w:marLeft w:val="0"/>
          <w:marRight w:val="0"/>
          <w:marTop w:val="0"/>
          <w:marBottom w:val="0"/>
          <w:divBdr>
            <w:top w:val="none" w:sz="0" w:space="0" w:color="auto"/>
            <w:left w:val="none" w:sz="0" w:space="0" w:color="auto"/>
            <w:bottom w:val="none" w:sz="0" w:space="0" w:color="auto"/>
            <w:right w:val="none" w:sz="0" w:space="0" w:color="auto"/>
          </w:divBdr>
        </w:div>
        <w:div w:id="1086849188">
          <w:marLeft w:val="0"/>
          <w:marRight w:val="0"/>
          <w:marTop w:val="0"/>
          <w:marBottom w:val="0"/>
          <w:divBdr>
            <w:top w:val="none" w:sz="0" w:space="0" w:color="auto"/>
            <w:left w:val="none" w:sz="0" w:space="0" w:color="auto"/>
            <w:bottom w:val="none" w:sz="0" w:space="0" w:color="auto"/>
            <w:right w:val="none" w:sz="0" w:space="0" w:color="auto"/>
          </w:divBdr>
        </w:div>
        <w:div w:id="1087918542">
          <w:marLeft w:val="0"/>
          <w:marRight w:val="0"/>
          <w:marTop w:val="0"/>
          <w:marBottom w:val="0"/>
          <w:divBdr>
            <w:top w:val="none" w:sz="0" w:space="0" w:color="auto"/>
            <w:left w:val="none" w:sz="0" w:space="0" w:color="auto"/>
            <w:bottom w:val="none" w:sz="0" w:space="0" w:color="auto"/>
            <w:right w:val="none" w:sz="0" w:space="0" w:color="auto"/>
          </w:divBdr>
        </w:div>
        <w:div w:id="1095247320">
          <w:marLeft w:val="0"/>
          <w:marRight w:val="0"/>
          <w:marTop w:val="0"/>
          <w:marBottom w:val="0"/>
          <w:divBdr>
            <w:top w:val="none" w:sz="0" w:space="0" w:color="auto"/>
            <w:left w:val="none" w:sz="0" w:space="0" w:color="auto"/>
            <w:bottom w:val="none" w:sz="0" w:space="0" w:color="auto"/>
            <w:right w:val="none" w:sz="0" w:space="0" w:color="auto"/>
          </w:divBdr>
        </w:div>
        <w:div w:id="1103960658">
          <w:marLeft w:val="0"/>
          <w:marRight w:val="0"/>
          <w:marTop w:val="0"/>
          <w:marBottom w:val="0"/>
          <w:divBdr>
            <w:top w:val="none" w:sz="0" w:space="0" w:color="auto"/>
            <w:left w:val="none" w:sz="0" w:space="0" w:color="auto"/>
            <w:bottom w:val="none" w:sz="0" w:space="0" w:color="auto"/>
            <w:right w:val="none" w:sz="0" w:space="0" w:color="auto"/>
          </w:divBdr>
        </w:div>
        <w:div w:id="1142114276">
          <w:marLeft w:val="0"/>
          <w:marRight w:val="0"/>
          <w:marTop w:val="0"/>
          <w:marBottom w:val="0"/>
          <w:divBdr>
            <w:top w:val="none" w:sz="0" w:space="0" w:color="auto"/>
            <w:left w:val="none" w:sz="0" w:space="0" w:color="auto"/>
            <w:bottom w:val="none" w:sz="0" w:space="0" w:color="auto"/>
            <w:right w:val="none" w:sz="0" w:space="0" w:color="auto"/>
          </w:divBdr>
        </w:div>
        <w:div w:id="1200584421">
          <w:marLeft w:val="0"/>
          <w:marRight w:val="0"/>
          <w:marTop w:val="0"/>
          <w:marBottom w:val="0"/>
          <w:divBdr>
            <w:top w:val="none" w:sz="0" w:space="0" w:color="auto"/>
            <w:left w:val="none" w:sz="0" w:space="0" w:color="auto"/>
            <w:bottom w:val="none" w:sz="0" w:space="0" w:color="auto"/>
            <w:right w:val="none" w:sz="0" w:space="0" w:color="auto"/>
          </w:divBdr>
        </w:div>
        <w:div w:id="1209955186">
          <w:marLeft w:val="0"/>
          <w:marRight w:val="0"/>
          <w:marTop w:val="0"/>
          <w:marBottom w:val="0"/>
          <w:divBdr>
            <w:top w:val="none" w:sz="0" w:space="0" w:color="auto"/>
            <w:left w:val="none" w:sz="0" w:space="0" w:color="auto"/>
            <w:bottom w:val="none" w:sz="0" w:space="0" w:color="auto"/>
            <w:right w:val="none" w:sz="0" w:space="0" w:color="auto"/>
          </w:divBdr>
        </w:div>
        <w:div w:id="1217232186">
          <w:marLeft w:val="0"/>
          <w:marRight w:val="0"/>
          <w:marTop w:val="0"/>
          <w:marBottom w:val="0"/>
          <w:divBdr>
            <w:top w:val="none" w:sz="0" w:space="0" w:color="auto"/>
            <w:left w:val="none" w:sz="0" w:space="0" w:color="auto"/>
            <w:bottom w:val="none" w:sz="0" w:space="0" w:color="auto"/>
            <w:right w:val="none" w:sz="0" w:space="0" w:color="auto"/>
          </w:divBdr>
        </w:div>
        <w:div w:id="1223978440">
          <w:marLeft w:val="0"/>
          <w:marRight w:val="0"/>
          <w:marTop w:val="0"/>
          <w:marBottom w:val="0"/>
          <w:divBdr>
            <w:top w:val="none" w:sz="0" w:space="0" w:color="auto"/>
            <w:left w:val="none" w:sz="0" w:space="0" w:color="auto"/>
            <w:bottom w:val="none" w:sz="0" w:space="0" w:color="auto"/>
            <w:right w:val="none" w:sz="0" w:space="0" w:color="auto"/>
          </w:divBdr>
        </w:div>
        <w:div w:id="1254585481">
          <w:marLeft w:val="0"/>
          <w:marRight w:val="0"/>
          <w:marTop w:val="0"/>
          <w:marBottom w:val="0"/>
          <w:divBdr>
            <w:top w:val="none" w:sz="0" w:space="0" w:color="auto"/>
            <w:left w:val="none" w:sz="0" w:space="0" w:color="auto"/>
            <w:bottom w:val="none" w:sz="0" w:space="0" w:color="auto"/>
            <w:right w:val="none" w:sz="0" w:space="0" w:color="auto"/>
          </w:divBdr>
        </w:div>
        <w:div w:id="1272129317">
          <w:marLeft w:val="0"/>
          <w:marRight w:val="0"/>
          <w:marTop w:val="0"/>
          <w:marBottom w:val="0"/>
          <w:divBdr>
            <w:top w:val="none" w:sz="0" w:space="0" w:color="auto"/>
            <w:left w:val="none" w:sz="0" w:space="0" w:color="auto"/>
            <w:bottom w:val="none" w:sz="0" w:space="0" w:color="auto"/>
            <w:right w:val="none" w:sz="0" w:space="0" w:color="auto"/>
          </w:divBdr>
        </w:div>
        <w:div w:id="1274705195">
          <w:marLeft w:val="0"/>
          <w:marRight w:val="0"/>
          <w:marTop w:val="0"/>
          <w:marBottom w:val="0"/>
          <w:divBdr>
            <w:top w:val="none" w:sz="0" w:space="0" w:color="auto"/>
            <w:left w:val="none" w:sz="0" w:space="0" w:color="auto"/>
            <w:bottom w:val="none" w:sz="0" w:space="0" w:color="auto"/>
            <w:right w:val="none" w:sz="0" w:space="0" w:color="auto"/>
          </w:divBdr>
        </w:div>
        <w:div w:id="1274943225">
          <w:marLeft w:val="0"/>
          <w:marRight w:val="0"/>
          <w:marTop w:val="0"/>
          <w:marBottom w:val="0"/>
          <w:divBdr>
            <w:top w:val="none" w:sz="0" w:space="0" w:color="auto"/>
            <w:left w:val="none" w:sz="0" w:space="0" w:color="auto"/>
            <w:bottom w:val="none" w:sz="0" w:space="0" w:color="auto"/>
            <w:right w:val="none" w:sz="0" w:space="0" w:color="auto"/>
          </w:divBdr>
        </w:div>
        <w:div w:id="1292052514">
          <w:marLeft w:val="0"/>
          <w:marRight w:val="0"/>
          <w:marTop w:val="0"/>
          <w:marBottom w:val="0"/>
          <w:divBdr>
            <w:top w:val="none" w:sz="0" w:space="0" w:color="auto"/>
            <w:left w:val="none" w:sz="0" w:space="0" w:color="auto"/>
            <w:bottom w:val="none" w:sz="0" w:space="0" w:color="auto"/>
            <w:right w:val="none" w:sz="0" w:space="0" w:color="auto"/>
          </w:divBdr>
        </w:div>
        <w:div w:id="1344479514">
          <w:marLeft w:val="0"/>
          <w:marRight w:val="0"/>
          <w:marTop w:val="0"/>
          <w:marBottom w:val="0"/>
          <w:divBdr>
            <w:top w:val="none" w:sz="0" w:space="0" w:color="auto"/>
            <w:left w:val="none" w:sz="0" w:space="0" w:color="auto"/>
            <w:bottom w:val="none" w:sz="0" w:space="0" w:color="auto"/>
            <w:right w:val="none" w:sz="0" w:space="0" w:color="auto"/>
          </w:divBdr>
        </w:div>
        <w:div w:id="1347093449">
          <w:marLeft w:val="0"/>
          <w:marRight w:val="0"/>
          <w:marTop w:val="0"/>
          <w:marBottom w:val="0"/>
          <w:divBdr>
            <w:top w:val="none" w:sz="0" w:space="0" w:color="auto"/>
            <w:left w:val="none" w:sz="0" w:space="0" w:color="auto"/>
            <w:bottom w:val="none" w:sz="0" w:space="0" w:color="auto"/>
            <w:right w:val="none" w:sz="0" w:space="0" w:color="auto"/>
          </w:divBdr>
        </w:div>
        <w:div w:id="1364668540">
          <w:marLeft w:val="0"/>
          <w:marRight w:val="0"/>
          <w:marTop w:val="0"/>
          <w:marBottom w:val="0"/>
          <w:divBdr>
            <w:top w:val="none" w:sz="0" w:space="0" w:color="auto"/>
            <w:left w:val="none" w:sz="0" w:space="0" w:color="auto"/>
            <w:bottom w:val="none" w:sz="0" w:space="0" w:color="auto"/>
            <w:right w:val="none" w:sz="0" w:space="0" w:color="auto"/>
          </w:divBdr>
        </w:div>
        <w:div w:id="1372654959">
          <w:marLeft w:val="0"/>
          <w:marRight w:val="0"/>
          <w:marTop w:val="0"/>
          <w:marBottom w:val="0"/>
          <w:divBdr>
            <w:top w:val="none" w:sz="0" w:space="0" w:color="auto"/>
            <w:left w:val="none" w:sz="0" w:space="0" w:color="auto"/>
            <w:bottom w:val="none" w:sz="0" w:space="0" w:color="auto"/>
            <w:right w:val="none" w:sz="0" w:space="0" w:color="auto"/>
          </w:divBdr>
        </w:div>
        <w:div w:id="1375696641">
          <w:marLeft w:val="0"/>
          <w:marRight w:val="0"/>
          <w:marTop w:val="0"/>
          <w:marBottom w:val="0"/>
          <w:divBdr>
            <w:top w:val="none" w:sz="0" w:space="0" w:color="auto"/>
            <w:left w:val="none" w:sz="0" w:space="0" w:color="auto"/>
            <w:bottom w:val="none" w:sz="0" w:space="0" w:color="auto"/>
            <w:right w:val="none" w:sz="0" w:space="0" w:color="auto"/>
          </w:divBdr>
        </w:div>
        <w:div w:id="1378894235">
          <w:marLeft w:val="0"/>
          <w:marRight w:val="0"/>
          <w:marTop w:val="0"/>
          <w:marBottom w:val="0"/>
          <w:divBdr>
            <w:top w:val="none" w:sz="0" w:space="0" w:color="auto"/>
            <w:left w:val="none" w:sz="0" w:space="0" w:color="auto"/>
            <w:bottom w:val="none" w:sz="0" w:space="0" w:color="auto"/>
            <w:right w:val="none" w:sz="0" w:space="0" w:color="auto"/>
          </w:divBdr>
        </w:div>
        <w:div w:id="1393120223">
          <w:marLeft w:val="0"/>
          <w:marRight w:val="0"/>
          <w:marTop w:val="0"/>
          <w:marBottom w:val="0"/>
          <w:divBdr>
            <w:top w:val="none" w:sz="0" w:space="0" w:color="auto"/>
            <w:left w:val="none" w:sz="0" w:space="0" w:color="auto"/>
            <w:bottom w:val="none" w:sz="0" w:space="0" w:color="auto"/>
            <w:right w:val="none" w:sz="0" w:space="0" w:color="auto"/>
          </w:divBdr>
        </w:div>
        <w:div w:id="1396704120">
          <w:marLeft w:val="0"/>
          <w:marRight w:val="0"/>
          <w:marTop w:val="0"/>
          <w:marBottom w:val="0"/>
          <w:divBdr>
            <w:top w:val="none" w:sz="0" w:space="0" w:color="auto"/>
            <w:left w:val="none" w:sz="0" w:space="0" w:color="auto"/>
            <w:bottom w:val="none" w:sz="0" w:space="0" w:color="auto"/>
            <w:right w:val="none" w:sz="0" w:space="0" w:color="auto"/>
          </w:divBdr>
        </w:div>
        <w:div w:id="1399668408">
          <w:marLeft w:val="0"/>
          <w:marRight w:val="0"/>
          <w:marTop w:val="0"/>
          <w:marBottom w:val="0"/>
          <w:divBdr>
            <w:top w:val="none" w:sz="0" w:space="0" w:color="auto"/>
            <w:left w:val="none" w:sz="0" w:space="0" w:color="auto"/>
            <w:bottom w:val="none" w:sz="0" w:space="0" w:color="auto"/>
            <w:right w:val="none" w:sz="0" w:space="0" w:color="auto"/>
          </w:divBdr>
        </w:div>
        <w:div w:id="1402408308">
          <w:marLeft w:val="0"/>
          <w:marRight w:val="0"/>
          <w:marTop w:val="0"/>
          <w:marBottom w:val="0"/>
          <w:divBdr>
            <w:top w:val="none" w:sz="0" w:space="0" w:color="auto"/>
            <w:left w:val="none" w:sz="0" w:space="0" w:color="auto"/>
            <w:bottom w:val="none" w:sz="0" w:space="0" w:color="auto"/>
            <w:right w:val="none" w:sz="0" w:space="0" w:color="auto"/>
          </w:divBdr>
        </w:div>
        <w:div w:id="1404453876">
          <w:marLeft w:val="0"/>
          <w:marRight w:val="0"/>
          <w:marTop w:val="0"/>
          <w:marBottom w:val="0"/>
          <w:divBdr>
            <w:top w:val="none" w:sz="0" w:space="0" w:color="auto"/>
            <w:left w:val="none" w:sz="0" w:space="0" w:color="auto"/>
            <w:bottom w:val="none" w:sz="0" w:space="0" w:color="auto"/>
            <w:right w:val="none" w:sz="0" w:space="0" w:color="auto"/>
          </w:divBdr>
        </w:div>
        <w:div w:id="1413551685">
          <w:marLeft w:val="0"/>
          <w:marRight w:val="0"/>
          <w:marTop w:val="0"/>
          <w:marBottom w:val="0"/>
          <w:divBdr>
            <w:top w:val="none" w:sz="0" w:space="0" w:color="auto"/>
            <w:left w:val="none" w:sz="0" w:space="0" w:color="auto"/>
            <w:bottom w:val="none" w:sz="0" w:space="0" w:color="auto"/>
            <w:right w:val="none" w:sz="0" w:space="0" w:color="auto"/>
          </w:divBdr>
        </w:div>
        <w:div w:id="1415710738">
          <w:marLeft w:val="0"/>
          <w:marRight w:val="0"/>
          <w:marTop w:val="0"/>
          <w:marBottom w:val="0"/>
          <w:divBdr>
            <w:top w:val="none" w:sz="0" w:space="0" w:color="auto"/>
            <w:left w:val="none" w:sz="0" w:space="0" w:color="auto"/>
            <w:bottom w:val="none" w:sz="0" w:space="0" w:color="auto"/>
            <w:right w:val="none" w:sz="0" w:space="0" w:color="auto"/>
          </w:divBdr>
        </w:div>
        <w:div w:id="1427657687">
          <w:marLeft w:val="0"/>
          <w:marRight w:val="0"/>
          <w:marTop w:val="0"/>
          <w:marBottom w:val="0"/>
          <w:divBdr>
            <w:top w:val="none" w:sz="0" w:space="0" w:color="auto"/>
            <w:left w:val="none" w:sz="0" w:space="0" w:color="auto"/>
            <w:bottom w:val="none" w:sz="0" w:space="0" w:color="auto"/>
            <w:right w:val="none" w:sz="0" w:space="0" w:color="auto"/>
          </w:divBdr>
        </w:div>
        <w:div w:id="1438255378">
          <w:marLeft w:val="0"/>
          <w:marRight w:val="0"/>
          <w:marTop w:val="0"/>
          <w:marBottom w:val="0"/>
          <w:divBdr>
            <w:top w:val="none" w:sz="0" w:space="0" w:color="auto"/>
            <w:left w:val="none" w:sz="0" w:space="0" w:color="auto"/>
            <w:bottom w:val="none" w:sz="0" w:space="0" w:color="auto"/>
            <w:right w:val="none" w:sz="0" w:space="0" w:color="auto"/>
          </w:divBdr>
        </w:div>
        <w:div w:id="1439711943">
          <w:marLeft w:val="0"/>
          <w:marRight w:val="0"/>
          <w:marTop w:val="0"/>
          <w:marBottom w:val="0"/>
          <w:divBdr>
            <w:top w:val="none" w:sz="0" w:space="0" w:color="auto"/>
            <w:left w:val="none" w:sz="0" w:space="0" w:color="auto"/>
            <w:bottom w:val="none" w:sz="0" w:space="0" w:color="auto"/>
            <w:right w:val="none" w:sz="0" w:space="0" w:color="auto"/>
          </w:divBdr>
        </w:div>
        <w:div w:id="1449396220">
          <w:marLeft w:val="0"/>
          <w:marRight w:val="0"/>
          <w:marTop w:val="0"/>
          <w:marBottom w:val="0"/>
          <w:divBdr>
            <w:top w:val="none" w:sz="0" w:space="0" w:color="auto"/>
            <w:left w:val="none" w:sz="0" w:space="0" w:color="auto"/>
            <w:bottom w:val="none" w:sz="0" w:space="0" w:color="auto"/>
            <w:right w:val="none" w:sz="0" w:space="0" w:color="auto"/>
          </w:divBdr>
        </w:div>
        <w:div w:id="1466315085">
          <w:marLeft w:val="0"/>
          <w:marRight w:val="0"/>
          <w:marTop w:val="0"/>
          <w:marBottom w:val="0"/>
          <w:divBdr>
            <w:top w:val="none" w:sz="0" w:space="0" w:color="auto"/>
            <w:left w:val="none" w:sz="0" w:space="0" w:color="auto"/>
            <w:bottom w:val="none" w:sz="0" w:space="0" w:color="auto"/>
            <w:right w:val="none" w:sz="0" w:space="0" w:color="auto"/>
          </w:divBdr>
        </w:div>
        <w:div w:id="1474248086">
          <w:marLeft w:val="0"/>
          <w:marRight w:val="0"/>
          <w:marTop w:val="0"/>
          <w:marBottom w:val="0"/>
          <w:divBdr>
            <w:top w:val="none" w:sz="0" w:space="0" w:color="auto"/>
            <w:left w:val="none" w:sz="0" w:space="0" w:color="auto"/>
            <w:bottom w:val="none" w:sz="0" w:space="0" w:color="auto"/>
            <w:right w:val="none" w:sz="0" w:space="0" w:color="auto"/>
          </w:divBdr>
        </w:div>
        <w:div w:id="1476144674">
          <w:marLeft w:val="0"/>
          <w:marRight w:val="0"/>
          <w:marTop w:val="0"/>
          <w:marBottom w:val="0"/>
          <w:divBdr>
            <w:top w:val="none" w:sz="0" w:space="0" w:color="auto"/>
            <w:left w:val="none" w:sz="0" w:space="0" w:color="auto"/>
            <w:bottom w:val="none" w:sz="0" w:space="0" w:color="auto"/>
            <w:right w:val="none" w:sz="0" w:space="0" w:color="auto"/>
          </w:divBdr>
        </w:div>
        <w:div w:id="1476987947">
          <w:marLeft w:val="0"/>
          <w:marRight w:val="0"/>
          <w:marTop w:val="0"/>
          <w:marBottom w:val="0"/>
          <w:divBdr>
            <w:top w:val="none" w:sz="0" w:space="0" w:color="auto"/>
            <w:left w:val="none" w:sz="0" w:space="0" w:color="auto"/>
            <w:bottom w:val="none" w:sz="0" w:space="0" w:color="auto"/>
            <w:right w:val="none" w:sz="0" w:space="0" w:color="auto"/>
          </w:divBdr>
        </w:div>
        <w:div w:id="1496725744">
          <w:marLeft w:val="0"/>
          <w:marRight w:val="0"/>
          <w:marTop w:val="0"/>
          <w:marBottom w:val="0"/>
          <w:divBdr>
            <w:top w:val="none" w:sz="0" w:space="0" w:color="auto"/>
            <w:left w:val="none" w:sz="0" w:space="0" w:color="auto"/>
            <w:bottom w:val="none" w:sz="0" w:space="0" w:color="auto"/>
            <w:right w:val="none" w:sz="0" w:space="0" w:color="auto"/>
          </w:divBdr>
        </w:div>
        <w:div w:id="1521123019">
          <w:marLeft w:val="0"/>
          <w:marRight w:val="0"/>
          <w:marTop w:val="0"/>
          <w:marBottom w:val="0"/>
          <w:divBdr>
            <w:top w:val="none" w:sz="0" w:space="0" w:color="auto"/>
            <w:left w:val="none" w:sz="0" w:space="0" w:color="auto"/>
            <w:bottom w:val="none" w:sz="0" w:space="0" w:color="auto"/>
            <w:right w:val="none" w:sz="0" w:space="0" w:color="auto"/>
          </w:divBdr>
        </w:div>
        <w:div w:id="1522891103">
          <w:marLeft w:val="0"/>
          <w:marRight w:val="0"/>
          <w:marTop w:val="0"/>
          <w:marBottom w:val="0"/>
          <w:divBdr>
            <w:top w:val="none" w:sz="0" w:space="0" w:color="auto"/>
            <w:left w:val="none" w:sz="0" w:space="0" w:color="auto"/>
            <w:bottom w:val="none" w:sz="0" w:space="0" w:color="auto"/>
            <w:right w:val="none" w:sz="0" w:space="0" w:color="auto"/>
          </w:divBdr>
        </w:div>
        <w:div w:id="1538811125">
          <w:marLeft w:val="0"/>
          <w:marRight w:val="0"/>
          <w:marTop w:val="0"/>
          <w:marBottom w:val="0"/>
          <w:divBdr>
            <w:top w:val="none" w:sz="0" w:space="0" w:color="auto"/>
            <w:left w:val="none" w:sz="0" w:space="0" w:color="auto"/>
            <w:bottom w:val="none" w:sz="0" w:space="0" w:color="auto"/>
            <w:right w:val="none" w:sz="0" w:space="0" w:color="auto"/>
          </w:divBdr>
        </w:div>
        <w:div w:id="1547985521">
          <w:marLeft w:val="0"/>
          <w:marRight w:val="0"/>
          <w:marTop w:val="0"/>
          <w:marBottom w:val="0"/>
          <w:divBdr>
            <w:top w:val="none" w:sz="0" w:space="0" w:color="auto"/>
            <w:left w:val="none" w:sz="0" w:space="0" w:color="auto"/>
            <w:bottom w:val="none" w:sz="0" w:space="0" w:color="auto"/>
            <w:right w:val="none" w:sz="0" w:space="0" w:color="auto"/>
          </w:divBdr>
        </w:div>
        <w:div w:id="1562904490">
          <w:marLeft w:val="0"/>
          <w:marRight w:val="0"/>
          <w:marTop w:val="0"/>
          <w:marBottom w:val="0"/>
          <w:divBdr>
            <w:top w:val="none" w:sz="0" w:space="0" w:color="auto"/>
            <w:left w:val="none" w:sz="0" w:space="0" w:color="auto"/>
            <w:bottom w:val="none" w:sz="0" w:space="0" w:color="auto"/>
            <w:right w:val="none" w:sz="0" w:space="0" w:color="auto"/>
          </w:divBdr>
        </w:div>
        <w:div w:id="1590196210">
          <w:marLeft w:val="0"/>
          <w:marRight w:val="0"/>
          <w:marTop w:val="0"/>
          <w:marBottom w:val="0"/>
          <w:divBdr>
            <w:top w:val="none" w:sz="0" w:space="0" w:color="auto"/>
            <w:left w:val="none" w:sz="0" w:space="0" w:color="auto"/>
            <w:bottom w:val="none" w:sz="0" w:space="0" w:color="auto"/>
            <w:right w:val="none" w:sz="0" w:space="0" w:color="auto"/>
          </w:divBdr>
        </w:div>
        <w:div w:id="1604265999">
          <w:marLeft w:val="0"/>
          <w:marRight w:val="0"/>
          <w:marTop w:val="0"/>
          <w:marBottom w:val="0"/>
          <w:divBdr>
            <w:top w:val="none" w:sz="0" w:space="0" w:color="auto"/>
            <w:left w:val="none" w:sz="0" w:space="0" w:color="auto"/>
            <w:bottom w:val="none" w:sz="0" w:space="0" w:color="auto"/>
            <w:right w:val="none" w:sz="0" w:space="0" w:color="auto"/>
          </w:divBdr>
        </w:div>
        <w:div w:id="1621448615">
          <w:marLeft w:val="0"/>
          <w:marRight w:val="0"/>
          <w:marTop w:val="0"/>
          <w:marBottom w:val="0"/>
          <w:divBdr>
            <w:top w:val="none" w:sz="0" w:space="0" w:color="auto"/>
            <w:left w:val="none" w:sz="0" w:space="0" w:color="auto"/>
            <w:bottom w:val="none" w:sz="0" w:space="0" w:color="auto"/>
            <w:right w:val="none" w:sz="0" w:space="0" w:color="auto"/>
          </w:divBdr>
        </w:div>
        <w:div w:id="1634747637">
          <w:marLeft w:val="0"/>
          <w:marRight w:val="0"/>
          <w:marTop w:val="0"/>
          <w:marBottom w:val="0"/>
          <w:divBdr>
            <w:top w:val="none" w:sz="0" w:space="0" w:color="auto"/>
            <w:left w:val="none" w:sz="0" w:space="0" w:color="auto"/>
            <w:bottom w:val="none" w:sz="0" w:space="0" w:color="auto"/>
            <w:right w:val="none" w:sz="0" w:space="0" w:color="auto"/>
          </w:divBdr>
        </w:div>
        <w:div w:id="1657537024">
          <w:marLeft w:val="0"/>
          <w:marRight w:val="0"/>
          <w:marTop w:val="0"/>
          <w:marBottom w:val="0"/>
          <w:divBdr>
            <w:top w:val="none" w:sz="0" w:space="0" w:color="auto"/>
            <w:left w:val="none" w:sz="0" w:space="0" w:color="auto"/>
            <w:bottom w:val="none" w:sz="0" w:space="0" w:color="auto"/>
            <w:right w:val="none" w:sz="0" w:space="0" w:color="auto"/>
          </w:divBdr>
        </w:div>
        <w:div w:id="1664358532">
          <w:marLeft w:val="0"/>
          <w:marRight w:val="0"/>
          <w:marTop w:val="0"/>
          <w:marBottom w:val="0"/>
          <w:divBdr>
            <w:top w:val="none" w:sz="0" w:space="0" w:color="auto"/>
            <w:left w:val="none" w:sz="0" w:space="0" w:color="auto"/>
            <w:bottom w:val="none" w:sz="0" w:space="0" w:color="auto"/>
            <w:right w:val="none" w:sz="0" w:space="0" w:color="auto"/>
          </w:divBdr>
        </w:div>
        <w:div w:id="1670062551">
          <w:marLeft w:val="0"/>
          <w:marRight w:val="0"/>
          <w:marTop w:val="0"/>
          <w:marBottom w:val="0"/>
          <w:divBdr>
            <w:top w:val="none" w:sz="0" w:space="0" w:color="auto"/>
            <w:left w:val="none" w:sz="0" w:space="0" w:color="auto"/>
            <w:bottom w:val="none" w:sz="0" w:space="0" w:color="auto"/>
            <w:right w:val="none" w:sz="0" w:space="0" w:color="auto"/>
          </w:divBdr>
        </w:div>
        <w:div w:id="1673338392">
          <w:marLeft w:val="0"/>
          <w:marRight w:val="0"/>
          <w:marTop w:val="0"/>
          <w:marBottom w:val="0"/>
          <w:divBdr>
            <w:top w:val="none" w:sz="0" w:space="0" w:color="auto"/>
            <w:left w:val="none" w:sz="0" w:space="0" w:color="auto"/>
            <w:bottom w:val="none" w:sz="0" w:space="0" w:color="auto"/>
            <w:right w:val="none" w:sz="0" w:space="0" w:color="auto"/>
          </w:divBdr>
        </w:div>
        <w:div w:id="1685789547">
          <w:marLeft w:val="0"/>
          <w:marRight w:val="0"/>
          <w:marTop w:val="0"/>
          <w:marBottom w:val="0"/>
          <w:divBdr>
            <w:top w:val="none" w:sz="0" w:space="0" w:color="auto"/>
            <w:left w:val="none" w:sz="0" w:space="0" w:color="auto"/>
            <w:bottom w:val="none" w:sz="0" w:space="0" w:color="auto"/>
            <w:right w:val="none" w:sz="0" w:space="0" w:color="auto"/>
          </w:divBdr>
        </w:div>
        <w:div w:id="1709408234">
          <w:marLeft w:val="0"/>
          <w:marRight w:val="0"/>
          <w:marTop w:val="0"/>
          <w:marBottom w:val="0"/>
          <w:divBdr>
            <w:top w:val="none" w:sz="0" w:space="0" w:color="auto"/>
            <w:left w:val="none" w:sz="0" w:space="0" w:color="auto"/>
            <w:bottom w:val="none" w:sz="0" w:space="0" w:color="auto"/>
            <w:right w:val="none" w:sz="0" w:space="0" w:color="auto"/>
          </w:divBdr>
        </w:div>
        <w:div w:id="1719279334">
          <w:marLeft w:val="0"/>
          <w:marRight w:val="0"/>
          <w:marTop w:val="0"/>
          <w:marBottom w:val="0"/>
          <w:divBdr>
            <w:top w:val="none" w:sz="0" w:space="0" w:color="auto"/>
            <w:left w:val="none" w:sz="0" w:space="0" w:color="auto"/>
            <w:bottom w:val="none" w:sz="0" w:space="0" w:color="auto"/>
            <w:right w:val="none" w:sz="0" w:space="0" w:color="auto"/>
          </w:divBdr>
        </w:div>
        <w:div w:id="1722436959">
          <w:marLeft w:val="0"/>
          <w:marRight w:val="0"/>
          <w:marTop w:val="0"/>
          <w:marBottom w:val="0"/>
          <w:divBdr>
            <w:top w:val="none" w:sz="0" w:space="0" w:color="auto"/>
            <w:left w:val="none" w:sz="0" w:space="0" w:color="auto"/>
            <w:bottom w:val="none" w:sz="0" w:space="0" w:color="auto"/>
            <w:right w:val="none" w:sz="0" w:space="0" w:color="auto"/>
          </w:divBdr>
        </w:div>
        <w:div w:id="1736851318">
          <w:marLeft w:val="0"/>
          <w:marRight w:val="0"/>
          <w:marTop w:val="0"/>
          <w:marBottom w:val="0"/>
          <w:divBdr>
            <w:top w:val="none" w:sz="0" w:space="0" w:color="auto"/>
            <w:left w:val="none" w:sz="0" w:space="0" w:color="auto"/>
            <w:bottom w:val="none" w:sz="0" w:space="0" w:color="auto"/>
            <w:right w:val="none" w:sz="0" w:space="0" w:color="auto"/>
          </w:divBdr>
        </w:div>
        <w:div w:id="1750155916">
          <w:marLeft w:val="0"/>
          <w:marRight w:val="0"/>
          <w:marTop w:val="0"/>
          <w:marBottom w:val="0"/>
          <w:divBdr>
            <w:top w:val="none" w:sz="0" w:space="0" w:color="auto"/>
            <w:left w:val="none" w:sz="0" w:space="0" w:color="auto"/>
            <w:bottom w:val="none" w:sz="0" w:space="0" w:color="auto"/>
            <w:right w:val="none" w:sz="0" w:space="0" w:color="auto"/>
          </w:divBdr>
        </w:div>
        <w:div w:id="1778526618">
          <w:marLeft w:val="0"/>
          <w:marRight w:val="0"/>
          <w:marTop w:val="0"/>
          <w:marBottom w:val="0"/>
          <w:divBdr>
            <w:top w:val="none" w:sz="0" w:space="0" w:color="auto"/>
            <w:left w:val="none" w:sz="0" w:space="0" w:color="auto"/>
            <w:bottom w:val="none" w:sz="0" w:space="0" w:color="auto"/>
            <w:right w:val="none" w:sz="0" w:space="0" w:color="auto"/>
          </w:divBdr>
        </w:div>
        <w:div w:id="1783110592">
          <w:marLeft w:val="0"/>
          <w:marRight w:val="0"/>
          <w:marTop w:val="0"/>
          <w:marBottom w:val="0"/>
          <w:divBdr>
            <w:top w:val="none" w:sz="0" w:space="0" w:color="auto"/>
            <w:left w:val="none" w:sz="0" w:space="0" w:color="auto"/>
            <w:bottom w:val="none" w:sz="0" w:space="0" w:color="auto"/>
            <w:right w:val="none" w:sz="0" w:space="0" w:color="auto"/>
          </w:divBdr>
        </w:div>
        <w:div w:id="1784493314">
          <w:marLeft w:val="0"/>
          <w:marRight w:val="0"/>
          <w:marTop w:val="0"/>
          <w:marBottom w:val="0"/>
          <w:divBdr>
            <w:top w:val="none" w:sz="0" w:space="0" w:color="auto"/>
            <w:left w:val="none" w:sz="0" w:space="0" w:color="auto"/>
            <w:bottom w:val="none" w:sz="0" w:space="0" w:color="auto"/>
            <w:right w:val="none" w:sz="0" w:space="0" w:color="auto"/>
          </w:divBdr>
        </w:div>
        <w:div w:id="1792043977">
          <w:marLeft w:val="0"/>
          <w:marRight w:val="0"/>
          <w:marTop w:val="0"/>
          <w:marBottom w:val="0"/>
          <w:divBdr>
            <w:top w:val="none" w:sz="0" w:space="0" w:color="auto"/>
            <w:left w:val="none" w:sz="0" w:space="0" w:color="auto"/>
            <w:bottom w:val="none" w:sz="0" w:space="0" w:color="auto"/>
            <w:right w:val="none" w:sz="0" w:space="0" w:color="auto"/>
          </w:divBdr>
        </w:div>
        <w:div w:id="1793130570">
          <w:marLeft w:val="0"/>
          <w:marRight w:val="0"/>
          <w:marTop w:val="0"/>
          <w:marBottom w:val="0"/>
          <w:divBdr>
            <w:top w:val="none" w:sz="0" w:space="0" w:color="auto"/>
            <w:left w:val="none" w:sz="0" w:space="0" w:color="auto"/>
            <w:bottom w:val="none" w:sz="0" w:space="0" w:color="auto"/>
            <w:right w:val="none" w:sz="0" w:space="0" w:color="auto"/>
          </w:divBdr>
        </w:div>
        <w:div w:id="1851675075">
          <w:marLeft w:val="0"/>
          <w:marRight w:val="0"/>
          <w:marTop w:val="0"/>
          <w:marBottom w:val="0"/>
          <w:divBdr>
            <w:top w:val="none" w:sz="0" w:space="0" w:color="auto"/>
            <w:left w:val="none" w:sz="0" w:space="0" w:color="auto"/>
            <w:bottom w:val="none" w:sz="0" w:space="0" w:color="auto"/>
            <w:right w:val="none" w:sz="0" w:space="0" w:color="auto"/>
          </w:divBdr>
        </w:div>
        <w:div w:id="1858541258">
          <w:marLeft w:val="0"/>
          <w:marRight w:val="0"/>
          <w:marTop w:val="0"/>
          <w:marBottom w:val="0"/>
          <w:divBdr>
            <w:top w:val="none" w:sz="0" w:space="0" w:color="auto"/>
            <w:left w:val="none" w:sz="0" w:space="0" w:color="auto"/>
            <w:bottom w:val="none" w:sz="0" w:space="0" w:color="auto"/>
            <w:right w:val="none" w:sz="0" w:space="0" w:color="auto"/>
          </w:divBdr>
        </w:div>
        <w:div w:id="1859461753">
          <w:marLeft w:val="0"/>
          <w:marRight w:val="0"/>
          <w:marTop w:val="0"/>
          <w:marBottom w:val="0"/>
          <w:divBdr>
            <w:top w:val="none" w:sz="0" w:space="0" w:color="auto"/>
            <w:left w:val="none" w:sz="0" w:space="0" w:color="auto"/>
            <w:bottom w:val="none" w:sz="0" w:space="0" w:color="auto"/>
            <w:right w:val="none" w:sz="0" w:space="0" w:color="auto"/>
          </w:divBdr>
        </w:div>
        <w:div w:id="1862815743">
          <w:marLeft w:val="0"/>
          <w:marRight w:val="0"/>
          <w:marTop w:val="0"/>
          <w:marBottom w:val="0"/>
          <w:divBdr>
            <w:top w:val="none" w:sz="0" w:space="0" w:color="auto"/>
            <w:left w:val="none" w:sz="0" w:space="0" w:color="auto"/>
            <w:bottom w:val="none" w:sz="0" w:space="0" w:color="auto"/>
            <w:right w:val="none" w:sz="0" w:space="0" w:color="auto"/>
          </w:divBdr>
        </w:div>
        <w:div w:id="1868835470">
          <w:marLeft w:val="0"/>
          <w:marRight w:val="0"/>
          <w:marTop w:val="0"/>
          <w:marBottom w:val="0"/>
          <w:divBdr>
            <w:top w:val="none" w:sz="0" w:space="0" w:color="auto"/>
            <w:left w:val="none" w:sz="0" w:space="0" w:color="auto"/>
            <w:bottom w:val="none" w:sz="0" w:space="0" w:color="auto"/>
            <w:right w:val="none" w:sz="0" w:space="0" w:color="auto"/>
          </w:divBdr>
        </w:div>
        <w:div w:id="1887140169">
          <w:marLeft w:val="0"/>
          <w:marRight w:val="0"/>
          <w:marTop w:val="0"/>
          <w:marBottom w:val="0"/>
          <w:divBdr>
            <w:top w:val="none" w:sz="0" w:space="0" w:color="auto"/>
            <w:left w:val="none" w:sz="0" w:space="0" w:color="auto"/>
            <w:bottom w:val="none" w:sz="0" w:space="0" w:color="auto"/>
            <w:right w:val="none" w:sz="0" w:space="0" w:color="auto"/>
          </w:divBdr>
        </w:div>
        <w:div w:id="1891959527">
          <w:marLeft w:val="0"/>
          <w:marRight w:val="0"/>
          <w:marTop w:val="0"/>
          <w:marBottom w:val="0"/>
          <w:divBdr>
            <w:top w:val="none" w:sz="0" w:space="0" w:color="auto"/>
            <w:left w:val="none" w:sz="0" w:space="0" w:color="auto"/>
            <w:bottom w:val="none" w:sz="0" w:space="0" w:color="auto"/>
            <w:right w:val="none" w:sz="0" w:space="0" w:color="auto"/>
          </w:divBdr>
        </w:div>
        <w:div w:id="1904873811">
          <w:marLeft w:val="0"/>
          <w:marRight w:val="0"/>
          <w:marTop w:val="0"/>
          <w:marBottom w:val="0"/>
          <w:divBdr>
            <w:top w:val="none" w:sz="0" w:space="0" w:color="auto"/>
            <w:left w:val="none" w:sz="0" w:space="0" w:color="auto"/>
            <w:bottom w:val="none" w:sz="0" w:space="0" w:color="auto"/>
            <w:right w:val="none" w:sz="0" w:space="0" w:color="auto"/>
          </w:divBdr>
        </w:div>
        <w:div w:id="1913192648">
          <w:marLeft w:val="0"/>
          <w:marRight w:val="0"/>
          <w:marTop w:val="0"/>
          <w:marBottom w:val="0"/>
          <w:divBdr>
            <w:top w:val="none" w:sz="0" w:space="0" w:color="auto"/>
            <w:left w:val="none" w:sz="0" w:space="0" w:color="auto"/>
            <w:bottom w:val="none" w:sz="0" w:space="0" w:color="auto"/>
            <w:right w:val="none" w:sz="0" w:space="0" w:color="auto"/>
          </w:divBdr>
        </w:div>
        <w:div w:id="1932813662">
          <w:marLeft w:val="0"/>
          <w:marRight w:val="0"/>
          <w:marTop w:val="0"/>
          <w:marBottom w:val="0"/>
          <w:divBdr>
            <w:top w:val="none" w:sz="0" w:space="0" w:color="auto"/>
            <w:left w:val="none" w:sz="0" w:space="0" w:color="auto"/>
            <w:bottom w:val="none" w:sz="0" w:space="0" w:color="auto"/>
            <w:right w:val="none" w:sz="0" w:space="0" w:color="auto"/>
          </w:divBdr>
        </w:div>
        <w:div w:id="1970699479">
          <w:marLeft w:val="0"/>
          <w:marRight w:val="0"/>
          <w:marTop w:val="0"/>
          <w:marBottom w:val="0"/>
          <w:divBdr>
            <w:top w:val="none" w:sz="0" w:space="0" w:color="auto"/>
            <w:left w:val="none" w:sz="0" w:space="0" w:color="auto"/>
            <w:bottom w:val="none" w:sz="0" w:space="0" w:color="auto"/>
            <w:right w:val="none" w:sz="0" w:space="0" w:color="auto"/>
          </w:divBdr>
        </w:div>
        <w:div w:id="1971782257">
          <w:marLeft w:val="0"/>
          <w:marRight w:val="0"/>
          <w:marTop w:val="0"/>
          <w:marBottom w:val="0"/>
          <w:divBdr>
            <w:top w:val="none" w:sz="0" w:space="0" w:color="auto"/>
            <w:left w:val="none" w:sz="0" w:space="0" w:color="auto"/>
            <w:bottom w:val="none" w:sz="0" w:space="0" w:color="auto"/>
            <w:right w:val="none" w:sz="0" w:space="0" w:color="auto"/>
          </w:divBdr>
        </w:div>
        <w:div w:id="1979917143">
          <w:marLeft w:val="0"/>
          <w:marRight w:val="0"/>
          <w:marTop w:val="0"/>
          <w:marBottom w:val="0"/>
          <w:divBdr>
            <w:top w:val="none" w:sz="0" w:space="0" w:color="auto"/>
            <w:left w:val="none" w:sz="0" w:space="0" w:color="auto"/>
            <w:bottom w:val="none" w:sz="0" w:space="0" w:color="auto"/>
            <w:right w:val="none" w:sz="0" w:space="0" w:color="auto"/>
          </w:divBdr>
        </w:div>
        <w:div w:id="1990206673">
          <w:marLeft w:val="0"/>
          <w:marRight w:val="0"/>
          <w:marTop w:val="0"/>
          <w:marBottom w:val="0"/>
          <w:divBdr>
            <w:top w:val="none" w:sz="0" w:space="0" w:color="auto"/>
            <w:left w:val="none" w:sz="0" w:space="0" w:color="auto"/>
            <w:bottom w:val="none" w:sz="0" w:space="0" w:color="auto"/>
            <w:right w:val="none" w:sz="0" w:space="0" w:color="auto"/>
          </w:divBdr>
        </w:div>
        <w:div w:id="1995987621">
          <w:marLeft w:val="0"/>
          <w:marRight w:val="0"/>
          <w:marTop w:val="0"/>
          <w:marBottom w:val="0"/>
          <w:divBdr>
            <w:top w:val="none" w:sz="0" w:space="0" w:color="auto"/>
            <w:left w:val="none" w:sz="0" w:space="0" w:color="auto"/>
            <w:bottom w:val="none" w:sz="0" w:space="0" w:color="auto"/>
            <w:right w:val="none" w:sz="0" w:space="0" w:color="auto"/>
          </w:divBdr>
        </w:div>
        <w:div w:id="2001231849">
          <w:marLeft w:val="0"/>
          <w:marRight w:val="0"/>
          <w:marTop w:val="0"/>
          <w:marBottom w:val="0"/>
          <w:divBdr>
            <w:top w:val="none" w:sz="0" w:space="0" w:color="auto"/>
            <w:left w:val="none" w:sz="0" w:space="0" w:color="auto"/>
            <w:bottom w:val="none" w:sz="0" w:space="0" w:color="auto"/>
            <w:right w:val="none" w:sz="0" w:space="0" w:color="auto"/>
          </w:divBdr>
        </w:div>
        <w:div w:id="2004697141">
          <w:marLeft w:val="0"/>
          <w:marRight w:val="0"/>
          <w:marTop w:val="0"/>
          <w:marBottom w:val="0"/>
          <w:divBdr>
            <w:top w:val="none" w:sz="0" w:space="0" w:color="auto"/>
            <w:left w:val="none" w:sz="0" w:space="0" w:color="auto"/>
            <w:bottom w:val="none" w:sz="0" w:space="0" w:color="auto"/>
            <w:right w:val="none" w:sz="0" w:space="0" w:color="auto"/>
          </w:divBdr>
        </w:div>
        <w:div w:id="2013411645">
          <w:marLeft w:val="0"/>
          <w:marRight w:val="0"/>
          <w:marTop w:val="0"/>
          <w:marBottom w:val="0"/>
          <w:divBdr>
            <w:top w:val="none" w:sz="0" w:space="0" w:color="auto"/>
            <w:left w:val="none" w:sz="0" w:space="0" w:color="auto"/>
            <w:bottom w:val="none" w:sz="0" w:space="0" w:color="auto"/>
            <w:right w:val="none" w:sz="0" w:space="0" w:color="auto"/>
          </w:divBdr>
        </w:div>
        <w:div w:id="2015570495">
          <w:marLeft w:val="0"/>
          <w:marRight w:val="0"/>
          <w:marTop w:val="0"/>
          <w:marBottom w:val="0"/>
          <w:divBdr>
            <w:top w:val="none" w:sz="0" w:space="0" w:color="auto"/>
            <w:left w:val="none" w:sz="0" w:space="0" w:color="auto"/>
            <w:bottom w:val="none" w:sz="0" w:space="0" w:color="auto"/>
            <w:right w:val="none" w:sz="0" w:space="0" w:color="auto"/>
          </w:divBdr>
        </w:div>
        <w:div w:id="2028676935">
          <w:marLeft w:val="0"/>
          <w:marRight w:val="0"/>
          <w:marTop w:val="0"/>
          <w:marBottom w:val="0"/>
          <w:divBdr>
            <w:top w:val="none" w:sz="0" w:space="0" w:color="auto"/>
            <w:left w:val="none" w:sz="0" w:space="0" w:color="auto"/>
            <w:bottom w:val="none" w:sz="0" w:space="0" w:color="auto"/>
            <w:right w:val="none" w:sz="0" w:space="0" w:color="auto"/>
          </w:divBdr>
        </w:div>
      </w:divsChild>
    </w:div>
    <w:div w:id="708576620">
      <w:bodyDiv w:val="1"/>
      <w:marLeft w:val="0"/>
      <w:marRight w:val="0"/>
      <w:marTop w:val="0"/>
      <w:marBottom w:val="0"/>
      <w:divBdr>
        <w:top w:val="none" w:sz="0" w:space="0" w:color="auto"/>
        <w:left w:val="none" w:sz="0" w:space="0" w:color="auto"/>
        <w:bottom w:val="none" w:sz="0" w:space="0" w:color="auto"/>
        <w:right w:val="none" w:sz="0" w:space="0" w:color="auto"/>
      </w:divBdr>
    </w:div>
    <w:div w:id="708651144">
      <w:bodyDiv w:val="1"/>
      <w:marLeft w:val="0"/>
      <w:marRight w:val="0"/>
      <w:marTop w:val="0"/>
      <w:marBottom w:val="0"/>
      <w:divBdr>
        <w:top w:val="none" w:sz="0" w:space="0" w:color="auto"/>
        <w:left w:val="none" w:sz="0" w:space="0" w:color="auto"/>
        <w:bottom w:val="none" w:sz="0" w:space="0" w:color="auto"/>
        <w:right w:val="none" w:sz="0" w:space="0" w:color="auto"/>
      </w:divBdr>
    </w:div>
    <w:div w:id="708722439">
      <w:bodyDiv w:val="1"/>
      <w:marLeft w:val="0"/>
      <w:marRight w:val="0"/>
      <w:marTop w:val="0"/>
      <w:marBottom w:val="0"/>
      <w:divBdr>
        <w:top w:val="none" w:sz="0" w:space="0" w:color="auto"/>
        <w:left w:val="none" w:sz="0" w:space="0" w:color="auto"/>
        <w:bottom w:val="none" w:sz="0" w:space="0" w:color="auto"/>
        <w:right w:val="none" w:sz="0" w:space="0" w:color="auto"/>
      </w:divBdr>
    </w:div>
    <w:div w:id="708800786">
      <w:bodyDiv w:val="1"/>
      <w:marLeft w:val="0"/>
      <w:marRight w:val="0"/>
      <w:marTop w:val="0"/>
      <w:marBottom w:val="0"/>
      <w:divBdr>
        <w:top w:val="none" w:sz="0" w:space="0" w:color="auto"/>
        <w:left w:val="none" w:sz="0" w:space="0" w:color="auto"/>
        <w:bottom w:val="none" w:sz="0" w:space="0" w:color="auto"/>
        <w:right w:val="none" w:sz="0" w:space="0" w:color="auto"/>
      </w:divBdr>
    </w:div>
    <w:div w:id="708842397">
      <w:bodyDiv w:val="1"/>
      <w:marLeft w:val="0"/>
      <w:marRight w:val="0"/>
      <w:marTop w:val="0"/>
      <w:marBottom w:val="0"/>
      <w:divBdr>
        <w:top w:val="none" w:sz="0" w:space="0" w:color="auto"/>
        <w:left w:val="none" w:sz="0" w:space="0" w:color="auto"/>
        <w:bottom w:val="none" w:sz="0" w:space="0" w:color="auto"/>
        <w:right w:val="none" w:sz="0" w:space="0" w:color="auto"/>
      </w:divBdr>
    </w:div>
    <w:div w:id="708916297">
      <w:bodyDiv w:val="1"/>
      <w:marLeft w:val="0"/>
      <w:marRight w:val="0"/>
      <w:marTop w:val="0"/>
      <w:marBottom w:val="0"/>
      <w:divBdr>
        <w:top w:val="none" w:sz="0" w:space="0" w:color="auto"/>
        <w:left w:val="none" w:sz="0" w:space="0" w:color="auto"/>
        <w:bottom w:val="none" w:sz="0" w:space="0" w:color="auto"/>
        <w:right w:val="none" w:sz="0" w:space="0" w:color="auto"/>
      </w:divBdr>
    </w:div>
    <w:div w:id="709035947">
      <w:bodyDiv w:val="1"/>
      <w:marLeft w:val="0"/>
      <w:marRight w:val="0"/>
      <w:marTop w:val="0"/>
      <w:marBottom w:val="0"/>
      <w:divBdr>
        <w:top w:val="none" w:sz="0" w:space="0" w:color="auto"/>
        <w:left w:val="none" w:sz="0" w:space="0" w:color="auto"/>
        <w:bottom w:val="none" w:sz="0" w:space="0" w:color="auto"/>
        <w:right w:val="none" w:sz="0" w:space="0" w:color="auto"/>
      </w:divBdr>
    </w:div>
    <w:div w:id="709037190">
      <w:bodyDiv w:val="1"/>
      <w:marLeft w:val="0"/>
      <w:marRight w:val="0"/>
      <w:marTop w:val="0"/>
      <w:marBottom w:val="0"/>
      <w:divBdr>
        <w:top w:val="none" w:sz="0" w:space="0" w:color="auto"/>
        <w:left w:val="none" w:sz="0" w:space="0" w:color="auto"/>
        <w:bottom w:val="none" w:sz="0" w:space="0" w:color="auto"/>
        <w:right w:val="none" w:sz="0" w:space="0" w:color="auto"/>
      </w:divBdr>
    </w:div>
    <w:div w:id="709185128">
      <w:bodyDiv w:val="1"/>
      <w:marLeft w:val="0"/>
      <w:marRight w:val="0"/>
      <w:marTop w:val="0"/>
      <w:marBottom w:val="0"/>
      <w:divBdr>
        <w:top w:val="none" w:sz="0" w:space="0" w:color="auto"/>
        <w:left w:val="none" w:sz="0" w:space="0" w:color="auto"/>
        <w:bottom w:val="none" w:sz="0" w:space="0" w:color="auto"/>
        <w:right w:val="none" w:sz="0" w:space="0" w:color="auto"/>
      </w:divBdr>
    </w:div>
    <w:div w:id="709189280">
      <w:bodyDiv w:val="1"/>
      <w:marLeft w:val="0"/>
      <w:marRight w:val="0"/>
      <w:marTop w:val="0"/>
      <w:marBottom w:val="0"/>
      <w:divBdr>
        <w:top w:val="none" w:sz="0" w:space="0" w:color="auto"/>
        <w:left w:val="none" w:sz="0" w:space="0" w:color="auto"/>
        <w:bottom w:val="none" w:sz="0" w:space="0" w:color="auto"/>
        <w:right w:val="none" w:sz="0" w:space="0" w:color="auto"/>
      </w:divBdr>
    </w:div>
    <w:div w:id="709260397">
      <w:bodyDiv w:val="1"/>
      <w:marLeft w:val="0"/>
      <w:marRight w:val="0"/>
      <w:marTop w:val="0"/>
      <w:marBottom w:val="0"/>
      <w:divBdr>
        <w:top w:val="none" w:sz="0" w:space="0" w:color="auto"/>
        <w:left w:val="none" w:sz="0" w:space="0" w:color="auto"/>
        <w:bottom w:val="none" w:sz="0" w:space="0" w:color="auto"/>
        <w:right w:val="none" w:sz="0" w:space="0" w:color="auto"/>
      </w:divBdr>
    </w:div>
    <w:div w:id="709302830">
      <w:bodyDiv w:val="1"/>
      <w:marLeft w:val="0"/>
      <w:marRight w:val="0"/>
      <w:marTop w:val="0"/>
      <w:marBottom w:val="0"/>
      <w:divBdr>
        <w:top w:val="none" w:sz="0" w:space="0" w:color="auto"/>
        <w:left w:val="none" w:sz="0" w:space="0" w:color="auto"/>
        <w:bottom w:val="none" w:sz="0" w:space="0" w:color="auto"/>
        <w:right w:val="none" w:sz="0" w:space="0" w:color="auto"/>
      </w:divBdr>
    </w:div>
    <w:div w:id="709307415">
      <w:bodyDiv w:val="1"/>
      <w:marLeft w:val="0"/>
      <w:marRight w:val="0"/>
      <w:marTop w:val="0"/>
      <w:marBottom w:val="0"/>
      <w:divBdr>
        <w:top w:val="none" w:sz="0" w:space="0" w:color="auto"/>
        <w:left w:val="none" w:sz="0" w:space="0" w:color="auto"/>
        <w:bottom w:val="none" w:sz="0" w:space="0" w:color="auto"/>
        <w:right w:val="none" w:sz="0" w:space="0" w:color="auto"/>
      </w:divBdr>
    </w:div>
    <w:div w:id="709454087">
      <w:bodyDiv w:val="1"/>
      <w:marLeft w:val="0"/>
      <w:marRight w:val="0"/>
      <w:marTop w:val="0"/>
      <w:marBottom w:val="0"/>
      <w:divBdr>
        <w:top w:val="none" w:sz="0" w:space="0" w:color="auto"/>
        <w:left w:val="none" w:sz="0" w:space="0" w:color="auto"/>
        <w:bottom w:val="none" w:sz="0" w:space="0" w:color="auto"/>
        <w:right w:val="none" w:sz="0" w:space="0" w:color="auto"/>
      </w:divBdr>
    </w:div>
    <w:div w:id="709689948">
      <w:bodyDiv w:val="1"/>
      <w:marLeft w:val="0"/>
      <w:marRight w:val="0"/>
      <w:marTop w:val="0"/>
      <w:marBottom w:val="0"/>
      <w:divBdr>
        <w:top w:val="none" w:sz="0" w:space="0" w:color="auto"/>
        <w:left w:val="none" w:sz="0" w:space="0" w:color="auto"/>
        <w:bottom w:val="none" w:sz="0" w:space="0" w:color="auto"/>
        <w:right w:val="none" w:sz="0" w:space="0" w:color="auto"/>
      </w:divBdr>
    </w:div>
    <w:div w:id="709694695">
      <w:bodyDiv w:val="1"/>
      <w:marLeft w:val="0"/>
      <w:marRight w:val="0"/>
      <w:marTop w:val="0"/>
      <w:marBottom w:val="0"/>
      <w:divBdr>
        <w:top w:val="none" w:sz="0" w:space="0" w:color="auto"/>
        <w:left w:val="none" w:sz="0" w:space="0" w:color="auto"/>
        <w:bottom w:val="none" w:sz="0" w:space="0" w:color="auto"/>
        <w:right w:val="none" w:sz="0" w:space="0" w:color="auto"/>
      </w:divBdr>
    </w:div>
    <w:div w:id="709762090">
      <w:bodyDiv w:val="1"/>
      <w:marLeft w:val="0"/>
      <w:marRight w:val="0"/>
      <w:marTop w:val="0"/>
      <w:marBottom w:val="0"/>
      <w:divBdr>
        <w:top w:val="none" w:sz="0" w:space="0" w:color="auto"/>
        <w:left w:val="none" w:sz="0" w:space="0" w:color="auto"/>
        <w:bottom w:val="none" w:sz="0" w:space="0" w:color="auto"/>
        <w:right w:val="none" w:sz="0" w:space="0" w:color="auto"/>
      </w:divBdr>
    </w:div>
    <w:div w:id="709763594">
      <w:bodyDiv w:val="1"/>
      <w:marLeft w:val="0"/>
      <w:marRight w:val="0"/>
      <w:marTop w:val="0"/>
      <w:marBottom w:val="0"/>
      <w:divBdr>
        <w:top w:val="none" w:sz="0" w:space="0" w:color="auto"/>
        <w:left w:val="none" w:sz="0" w:space="0" w:color="auto"/>
        <w:bottom w:val="none" w:sz="0" w:space="0" w:color="auto"/>
        <w:right w:val="none" w:sz="0" w:space="0" w:color="auto"/>
      </w:divBdr>
    </w:div>
    <w:div w:id="709916864">
      <w:bodyDiv w:val="1"/>
      <w:marLeft w:val="0"/>
      <w:marRight w:val="0"/>
      <w:marTop w:val="0"/>
      <w:marBottom w:val="0"/>
      <w:divBdr>
        <w:top w:val="none" w:sz="0" w:space="0" w:color="auto"/>
        <w:left w:val="none" w:sz="0" w:space="0" w:color="auto"/>
        <w:bottom w:val="none" w:sz="0" w:space="0" w:color="auto"/>
        <w:right w:val="none" w:sz="0" w:space="0" w:color="auto"/>
      </w:divBdr>
    </w:div>
    <w:div w:id="709962646">
      <w:bodyDiv w:val="1"/>
      <w:marLeft w:val="0"/>
      <w:marRight w:val="0"/>
      <w:marTop w:val="0"/>
      <w:marBottom w:val="0"/>
      <w:divBdr>
        <w:top w:val="none" w:sz="0" w:space="0" w:color="auto"/>
        <w:left w:val="none" w:sz="0" w:space="0" w:color="auto"/>
        <w:bottom w:val="none" w:sz="0" w:space="0" w:color="auto"/>
        <w:right w:val="none" w:sz="0" w:space="0" w:color="auto"/>
      </w:divBdr>
    </w:div>
    <w:div w:id="709963008">
      <w:bodyDiv w:val="1"/>
      <w:marLeft w:val="0"/>
      <w:marRight w:val="0"/>
      <w:marTop w:val="0"/>
      <w:marBottom w:val="0"/>
      <w:divBdr>
        <w:top w:val="none" w:sz="0" w:space="0" w:color="auto"/>
        <w:left w:val="none" w:sz="0" w:space="0" w:color="auto"/>
        <w:bottom w:val="none" w:sz="0" w:space="0" w:color="auto"/>
        <w:right w:val="none" w:sz="0" w:space="0" w:color="auto"/>
      </w:divBdr>
    </w:div>
    <w:div w:id="710148446">
      <w:bodyDiv w:val="1"/>
      <w:marLeft w:val="0"/>
      <w:marRight w:val="0"/>
      <w:marTop w:val="0"/>
      <w:marBottom w:val="0"/>
      <w:divBdr>
        <w:top w:val="none" w:sz="0" w:space="0" w:color="auto"/>
        <w:left w:val="none" w:sz="0" w:space="0" w:color="auto"/>
        <w:bottom w:val="none" w:sz="0" w:space="0" w:color="auto"/>
        <w:right w:val="none" w:sz="0" w:space="0" w:color="auto"/>
      </w:divBdr>
    </w:div>
    <w:div w:id="710155813">
      <w:bodyDiv w:val="1"/>
      <w:marLeft w:val="0"/>
      <w:marRight w:val="0"/>
      <w:marTop w:val="0"/>
      <w:marBottom w:val="0"/>
      <w:divBdr>
        <w:top w:val="none" w:sz="0" w:space="0" w:color="auto"/>
        <w:left w:val="none" w:sz="0" w:space="0" w:color="auto"/>
        <w:bottom w:val="none" w:sz="0" w:space="0" w:color="auto"/>
        <w:right w:val="none" w:sz="0" w:space="0" w:color="auto"/>
      </w:divBdr>
    </w:div>
    <w:div w:id="710226674">
      <w:bodyDiv w:val="1"/>
      <w:marLeft w:val="0"/>
      <w:marRight w:val="0"/>
      <w:marTop w:val="0"/>
      <w:marBottom w:val="0"/>
      <w:divBdr>
        <w:top w:val="none" w:sz="0" w:space="0" w:color="auto"/>
        <w:left w:val="none" w:sz="0" w:space="0" w:color="auto"/>
        <w:bottom w:val="none" w:sz="0" w:space="0" w:color="auto"/>
        <w:right w:val="none" w:sz="0" w:space="0" w:color="auto"/>
      </w:divBdr>
    </w:div>
    <w:div w:id="710229809">
      <w:bodyDiv w:val="1"/>
      <w:marLeft w:val="0"/>
      <w:marRight w:val="0"/>
      <w:marTop w:val="0"/>
      <w:marBottom w:val="0"/>
      <w:divBdr>
        <w:top w:val="none" w:sz="0" w:space="0" w:color="auto"/>
        <w:left w:val="none" w:sz="0" w:space="0" w:color="auto"/>
        <w:bottom w:val="none" w:sz="0" w:space="0" w:color="auto"/>
        <w:right w:val="none" w:sz="0" w:space="0" w:color="auto"/>
      </w:divBdr>
    </w:div>
    <w:div w:id="710498701">
      <w:bodyDiv w:val="1"/>
      <w:marLeft w:val="0"/>
      <w:marRight w:val="0"/>
      <w:marTop w:val="0"/>
      <w:marBottom w:val="0"/>
      <w:divBdr>
        <w:top w:val="none" w:sz="0" w:space="0" w:color="auto"/>
        <w:left w:val="none" w:sz="0" w:space="0" w:color="auto"/>
        <w:bottom w:val="none" w:sz="0" w:space="0" w:color="auto"/>
        <w:right w:val="none" w:sz="0" w:space="0" w:color="auto"/>
      </w:divBdr>
    </w:div>
    <w:div w:id="710542910">
      <w:bodyDiv w:val="1"/>
      <w:marLeft w:val="0"/>
      <w:marRight w:val="0"/>
      <w:marTop w:val="0"/>
      <w:marBottom w:val="0"/>
      <w:divBdr>
        <w:top w:val="none" w:sz="0" w:space="0" w:color="auto"/>
        <w:left w:val="none" w:sz="0" w:space="0" w:color="auto"/>
        <w:bottom w:val="none" w:sz="0" w:space="0" w:color="auto"/>
        <w:right w:val="none" w:sz="0" w:space="0" w:color="auto"/>
      </w:divBdr>
    </w:div>
    <w:div w:id="710611987">
      <w:bodyDiv w:val="1"/>
      <w:marLeft w:val="0"/>
      <w:marRight w:val="0"/>
      <w:marTop w:val="0"/>
      <w:marBottom w:val="0"/>
      <w:divBdr>
        <w:top w:val="none" w:sz="0" w:space="0" w:color="auto"/>
        <w:left w:val="none" w:sz="0" w:space="0" w:color="auto"/>
        <w:bottom w:val="none" w:sz="0" w:space="0" w:color="auto"/>
        <w:right w:val="none" w:sz="0" w:space="0" w:color="auto"/>
      </w:divBdr>
    </w:div>
    <w:div w:id="710613748">
      <w:bodyDiv w:val="1"/>
      <w:marLeft w:val="0"/>
      <w:marRight w:val="0"/>
      <w:marTop w:val="0"/>
      <w:marBottom w:val="0"/>
      <w:divBdr>
        <w:top w:val="none" w:sz="0" w:space="0" w:color="auto"/>
        <w:left w:val="none" w:sz="0" w:space="0" w:color="auto"/>
        <w:bottom w:val="none" w:sz="0" w:space="0" w:color="auto"/>
        <w:right w:val="none" w:sz="0" w:space="0" w:color="auto"/>
      </w:divBdr>
    </w:div>
    <w:div w:id="710614215">
      <w:bodyDiv w:val="1"/>
      <w:marLeft w:val="0"/>
      <w:marRight w:val="0"/>
      <w:marTop w:val="0"/>
      <w:marBottom w:val="0"/>
      <w:divBdr>
        <w:top w:val="none" w:sz="0" w:space="0" w:color="auto"/>
        <w:left w:val="none" w:sz="0" w:space="0" w:color="auto"/>
        <w:bottom w:val="none" w:sz="0" w:space="0" w:color="auto"/>
        <w:right w:val="none" w:sz="0" w:space="0" w:color="auto"/>
      </w:divBdr>
    </w:div>
    <w:div w:id="710619567">
      <w:bodyDiv w:val="1"/>
      <w:marLeft w:val="0"/>
      <w:marRight w:val="0"/>
      <w:marTop w:val="0"/>
      <w:marBottom w:val="0"/>
      <w:divBdr>
        <w:top w:val="none" w:sz="0" w:space="0" w:color="auto"/>
        <w:left w:val="none" w:sz="0" w:space="0" w:color="auto"/>
        <w:bottom w:val="none" w:sz="0" w:space="0" w:color="auto"/>
        <w:right w:val="none" w:sz="0" w:space="0" w:color="auto"/>
      </w:divBdr>
    </w:div>
    <w:div w:id="710691055">
      <w:bodyDiv w:val="1"/>
      <w:marLeft w:val="0"/>
      <w:marRight w:val="0"/>
      <w:marTop w:val="0"/>
      <w:marBottom w:val="0"/>
      <w:divBdr>
        <w:top w:val="none" w:sz="0" w:space="0" w:color="auto"/>
        <w:left w:val="none" w:sz="0" w:space="0" w:color="auto"/>
        <w:bottom w:val="none" w:sz="0" w:space="0" w:color="auto"/>
        <w:right w:val="none" w:sz="0" w:space="0" w:color="auto"/>
      </w:divBdr>
    </w:div>
    <w:div w:id="710695279">
      <w:bodyDiv w:val="1"/>
      <w:marLeft w:val="0"/>
      <w:marRight w:val="0"/>
      <w:marTop w:val="0"/>
      <w:marBottom w:val="0"/>
      <w:divBdr>
        <w:top w:val="none" w:sz="0" w:space="0" w:color="auto"/>
        <w:left w:val="none" w:sz="0" w:space="0" w:color="auto"/>
        <w:bottom w:val="none" w:sz="0" w:space="0" w:color="auto"/>
        <w:right w:val="none" w:sz="0" w:space="0" w:color="auto"/>
      </w:divBdr>
    </w:div>
    <w:div w:id="710761543">
      <w:bodyDiv w:val="1"/>
      <w:marLeft w:val="0"/>
      <w:marRight w:val="0"/>
      <w:marTop w:val="0"/>
      <w:marBottom w:val="0"/>
      <w:divBdr>
        <w:top w:val="none" w:sz="0" w:space="0" w:color="auto"/>
        <w:left w:val="none" w:sz="0" w:space="0" w:color="auto"/>
        <w:bottom w:val="none" w:sz="0" w:space="0" w:color="auto"/>
        <w:right w:val="none" w:sz="0" w:space="0" w:color="auto"/>
      </w:divBdr>
    </w:div>
    <w:div w:id="710769428">
      <w:bodyDiv w:val="1"/>
      <w:marLeft w:val="0"/>
      <w:marRight w:val="0"/>
      <w:marTop w:val="0"/>
      <w:marBottom w:val="0"/>
      <w:divBdr>
        <w:top w:val="none" w:sz="0" w:space="0" w:color="auto"/>
        <w:left w:val="none" w:sz="0" w:space="0" w:color="auto"/>
        <w:bottom w:val="none" w:sz="0" w:space="0" w:color="auto"/>
        <w:right w:val="none" w:sz="0" w:space="0" w:color="auto"/>
      </w:divBdr>
    </w:div>
    <w:div w:id="710813152">
      <w:bodyDiv w:val="1"/>
      <w:marLeft w:val="0"/>
      <w:marRight w:val="0"/>
      <w:marTop w:val="0"/>
      <w:marBottom w:val="0"/>
      <w:divBdr>
        <w:top w:val="none" w:sz="0" w:space="0" w:color="auto"/>
        <w:left w:val="none" w:sz="0" w:space="0" w:color="auto"/>
        <w:bottom w:val="none" w:sz="0" w:space="0" w:color="auto"/>
        <w:right w:val="none" w:sz="0" w:space="0" w:color="auto"/>
      </w:divBdr>
    </w:div>
    <w:div w:id="710956962">
      <w:bodyDiv w:val="1"/>
      <w:marLeft w:val="0"/>
      <w:marRight w:val="0"/>
      <w:marTop w:val="0"/>
      <w:marBottom w:val="0"/>
      <w:divBdr>
        <w:top w:val="none" w:sz="0" w:space="0" w:color="auto"/>
        <w:left w:val="none" w:sz="0" w:space="0" w:color="auto"/>
        <w:bottom w:val="none" w:sz="0" w:space="0" w:color="auto"/>
        <w:right w:val="none" w:sz="0" w:space="0" w:color="auto"/>
      </w:divBdr>
    </w:div>
    <w:div w:id="711151514">
      <w:bodyDiv w:val="1"/>
      <w:marLeft w:val="0"/>
      <w:marRight w:val="0"/>
      <w:marTop w:val="0"/>
      <w:marBottom w:val="0"/>
      <w:divBdr>
        <w:top w:val="none" w:sz="0" w:space="0" w:color="auto"/>
        <w:left w:val="none" w:sz="0" w:space="0" w:color="auto"/>
        <w:bottom w:val="none" w:sz="0" w:space="0" w:color="auto"/>
        <w:right w:val="none" w:sz="0" w:space="0" w:color="auto"/>
      </w:divBdr>
    </w:div>
    <w:div w:id="711154143">
      <w:bodyDiv w:val="1"/>
      <w:marLeft w:val="0"/>
      <w:marRight w:val="0"/>
      <w:marTop w:val="0"/>
      <w:marBottom w:val="0"/>
      <w:divBdr>
        <w:top w:val="none" w:sz="0" w:space="0" w:color="auto"/>
        <w:left w:val="none" w:sz="0" w:space="0" w:color="auto"/>
        <w:bottom w:val="none" w:sz="0" w:space="0" w:color="auto"/>
        <w:right w:val="none" w:sz="0" w:space="0" w:color="auto"/>
      </w:divBdr>
    </w:div>
    <w:div w:id="711199425">
      <w:bodyDiv w:val="1"/>
      <w:marLeft w:val="0"/>
      <w:marRight w:val="0"/>
      <w:marTop w:val="0"/>
      <w:marBottom w:val="0"/>
      <w:divBdr>
        <w:top w:val="none" w:sz="0" w:space="0" w:color="auto"/>
        <w:left w:val="none" w:sz="0" w:space="0" w:color="auto"/>
        <w:bottom w:val="none" w:sz="0" w:space="0" w:color="auto"/>
        <w:right w:val="none" w:sz="0" w:space="0" w:color="auto"/>
      </w:divBdr>
    </w:div>
    <w:div w:id="711222970">
      <w:bodyDiv w:val="1"/>
      <w:marLeft w:val="0"/>
      <w:marRight w:val="0"/>
      <w:marTop w:val="0"/>
      <w:marBottom w:val="0"/>
      <w:divBdr>
        <w:top w:val="none" w:sz="0" w:space="0" w:color="auto"/>
        <w:left w:val="none" w:sz="0" w:space="0" w:color="auto"/>
        <w:bottom w:val="none" w:sz="0" w:space="0" w:color="auto"/>
        <w:right w:val="none" w:sz="0" w:space="0" w:color="auto"/>
      </w:divBdr>
    </w:div>
    <w:div w:id="711223212">
      <w:bodyDiv w:val="1"/>
      <w:marLeft w:val="0"/>
      <w:marRight w:val="0"/>
      <w:marTop w:val="0"/>
      <w:marBottom w:val="0"/>
      <w:divBdr>
        <w:top w:val="none" w:sz="0" w:space="0" w:color="auto"/>
        <w:left w:val="none" w:sz="0" w:space="0" w:color="auto"/>
        <w:bottom w:val="none" w:sz="0" w:space="0" w:color="auto"/>
        <w:right w:val="none" w:sz="0" w:space="0" w:color="auto"/>
      </w:divBdr>
    </w:div>
    <w:div w:id="711265628">
      <w:bodyDiv w:val="1"/>
      <w:marLeft w:val="0"/>
      <w:marRight w:val="0"/>
      <w:marTop w:val="0"/>
      <w:marBottom w:val="0"/>
      <w:divBdr>
        <w:top w:val="none" w:sz="0" w:space="0" w:color="auto"/>
        <w:left w:val="none" w:sz="0" w:space="0" w:color="auto"/>
        <w:bottom w:val="none" w:sz="0" w:space="0" w:color="auto"/>
        <w:right w:val="none" w:sz="0" w:space="0" w:color="auto"/>
      </w:divBdr>
    </w:div>
    <w:div w:id="711272835">
      <w:bodyDiv w:val="1"/>
      <w:marLeft w:val="0"/>
      <w:marRight w:val="0"/>
      <w:marTop w:val="0"/>
      <w:marBottom w:val="0"/>
      <w:divBdr>
        <w:top w:val="none" w:sz="0" w:space="0" w:color="auto"/>
        <w:left w:val="none" w:sz="0" w:space="0" w:color="auto"/>
        <w:bottom w:val="none" w:sz="0" w:space="0" w:color="auto"/>
        <w:right w:val="none" w:sz="0" w:space="0" w:color="auto"/>
      </w:divBdr>
    </w:div>
    <w:div w:id="711273738">
      <w:bodyDiv w:val="1"/>
      <w:marLeft w:val="0"/>
      <w:marRight w:val="0"/>
      <w:marTop w:val="0"/>
      <w:marBottom w:val="0"/>
      <w:divBdr>
        <w:top w:val="none" w:sz="0" w:space="0" w:color="auto"/>
        <w:left w:val="none" w:sz="0" w:space="0" w:color="auto"/>
        <w:bottom w:val="none" w:sz="0" w:space="0" w:color="auto"/>
        <w:right w:val="none" w:sz="0" w:space="0" w:color="auto"/>
      </w:divBdr>
    </w:div>
    <w:div w:id="711459033">
      <w:bodyDiv w:val="1"/>
      <w:marLeft w:val="0"/>
      <w:marRight w:val="0"/>
      <w:marTop w:val="0"/>
      <w:marBottom w:val="0"/>
      <w:divBdr>
        <w:top w:val="none" w:sz="0" w:space="0" w:color="auto"/>
        <w:left w:val="none" w:sz="0" w:space="0" w:color="auto"/>
        <w:bottom w:val="none" w:sz="0" w:space="0" w:color="auto"/>
        <w:right w:val="none" w:sz="0" w:space="0" w:color="auto"/>
      </w:divBdr>
    </w:div>
    <w:div w:id="711732979">
      <w:bodyDiv w:val="1"/>
      <w:marLeft w:val="0"/>
      <w:marRight w:val="0"/>
      <w:marTop w:val="0"/>
      <w:marBottom w:val="0"/>
      <w:divBdr>
        <w:top w:val="none" w:sz="0" w:space="0" w:color="auto"/>
        <w:left w:val="none" w:sz="0" w:space="0" w:color="auto"/>
        <w:bottom w:val="none" w:sz="0" w:space="0" w:color="auto"/>
        <w:right w:val="none" w:sz="0" w:space="0" w:color="auto"/>
      </w:divBdr>
    </w:div>
    <w:div w:id="711735102">
      <w:bodyDiv w:val="1"/>
      <w:marLeft w:val="0"/>
      <w:marRight w:val="0"/>
      <w:marTop w:val="0"/>
      <w:marBottom w:val="0"/>
      <w:divBdr>
        <w:top w:val="none" w:sz="0" w:space="0" w:color="auto"/>
        <w:left w:val="none" w:sz="0" w:space="0" w:color="auto"/>
        <w:bottom w:val="none" w:sz="0" w:space="0" w:color="auto"/>
        <w:right w:val="none" w:sz="0" w:space="0" w:color="auto"/>
      </w:divBdr>
    </w:div>
    <w:div w:id="711812165">
      <w:bodyDiv w:val="1"/>
      <w:marLeft w:val="0"/>
      <w:marRight w:val="0"/>
      <w:marTop w:val="0"/>
      <w:marBottom w:val="0"/>
      <w:divBdr>
        <w:top w:val="none" w:sz="0" w:space="0" w:color="auto"/>
        <w:left w:val="none" w:sz="0" w:space="0" w:color="auto"/>
        <w:bottom w:val="none" w:sz="0" w:space="0" w:color="auto"/>
        <w:right w:val="none" w:sz="0" w:space="0" w:color="auto"/>
      </w:divBdr>
    </w:div>
    <w:div w:id="711879041">
      <w:bodyDiv w:val="1"/>
      <w:marLeft w:val="0"/>
      <w:marRight w:val="0"/>
      <w:marTop w:val="0"/>
      <w:marBottom w:val="0"/>
      <w:divBdr>
        <w:top w:val="none" w:sz="0" w:space="0" w:color="auto"/>
        <w:left w:val="none" w:sz="0" w:space="0" w:color="auto"/>
        <w:bottom w:val="none" w:sz="0" w:space="0" w:color="auto"/>
        <w:right w:val="none" w:sz="0" w:space="0" w:color="auto"/>
      </w:divBdr>
    </w:div>
    <w:div w:id="712000101">
      <w:bodyDiv w:val="1"/>
      <w:marLeft w:val="0"/>
      <w:marRight w:val="0"/>
      <w:marTop w:val="0"/>
      <w:marBottom w:val="0"/>
      <w:divBdr>
        <w:top w:val="none" w:sz="0" w:space="0" w:color="auto"/>
        <w:left w:val="none" w:sz="0" w:space="0" w:color="auto"/>
        <w:bottom w:val="none" w:sz="0" w:space="0" w:color="auto"/>
        <w:right w:val="none" w:sz="0" w:space="0" w:color="auto"/>
      </w:divBdr>
    </w:div>
    <w:div w:id="712118648">
      <w:bodyDiv w:val="1"/>
      <w:marLeft w:val="0"/>
      <w:marRight w:val="0"/>
      <w:marTop w:val="0"/>
      <w:marBottom w:val="0"/>
      <w:divBdr>
        <w:top w:val="none" w:sz="0" w:space="0" w:color="auto"/>
        <w:left w:val="none" w:sz="0" w:space="0" w:color="auto"/>
        <w:bottom w:val="none" w:sz="0" w:space="0" w:color="auto"/>
        <w:right w:val="none" w:sz="0" w:space="0" w:color="auto"/>
      </w:divBdr>
    </w:div>
    <w:div w:id="712195774">
      <w:bodyDiv w:val="1"/>
      <w:marLeft w:val="0"/>
      <w:marRight w:val="0"/>
      <w:marTop w:val="0"/>
      <w:marBottom w:val="0"/>
      <w:divBdr>
        <w:top w:val="none" w:sz="0" w:space="0" w:color="auto"/>
        <w:left w:val="none" w:sz="0" w:space="0" w:color="auto"/>
        <w:bottom w:val="none" w:sz="0" w:space="0" w:color="auto"/>
        <w:right w:val="none" w:sz="0" w:space="0" w:color="auto"/>
      </w:divBdr>
    </w:div>
    <w:div w:id="712271407">
      <w:bodyDiv w:val="1"/>
      <w:marLeft w:val="0"/>
      <w:marRight w:val="0"/>
      <w:marTop w:val="0"/>
      <w:marBottom w:val="0"/>
      <w:divBdr>
        <w:top w:val="none" w:sz="0" w:space="0" w:color="auto"/>
        <w:left w:val="none" w:sz="0" w:space="0" w:color="auto"/>
        <w:bottom w:val="none" w:sz="0" w:space="0" w:color="auto"/>
        <w:right w:val="none" w:sz="0" w:space="0" w:color="auto"/>
      </w:divBdr>
    </w:div>
    <w:div w:id="712389643">
      <w:bodyDiv w:val="1"/>
      <w:marLeft w:val="0"/>
      <w:marRight w:val="0"/>
      <w:marTop w:val="0"/>
      <w:marBottom w:val="0"/>
      <w:divBdr>
        <w:top w:val="none" w:sz="0" w:space="0" w:color="auto"/>
        <w:left w:val="none" w:sz="0" w:space="0" w:color="auto"/>
        <w:bottom w:val="none" w:sz="0" w:space="0" w:color="auto"/>
        <w:right w:val="none" w:sz="0" w:space="0" w:color="auto"/>
      </w:divBdr>
    </w:div>
    <w:div w:id="712534778">
      <w:bodyDiv w:val="1"/>
      <w:marLeft w:val="0"/>
      <w:marRight w:val="0"/>
      <w:marTop w:val="0"/>
      <w:marBottom w:val="0"/>
      <w:divBdr>
        <w:top w:val="none" w:sz="0" w:space="0" w:color="auto"/>
        <w:left w:val="none" w:sz="0" w:space="0" w:color="auto"/>
        <w:bottom w:val="none" w:sz="0" w:space="0" w:color="auto"/>
        <w:right w:val="none" w:sz="0" w:space="0" w:color="auto"/>
      </w:divBdr>
    </w:div>
    <w:div w:id="712536252">
      <w:bodyDiv w:val="1"/>
      <w:marLeft w:val="0"/>
      <w:marRight w:val="0"/>
      <w:marTop w:val="0"/>
      <w:marBottom w:val="0"/>
      <w:divBdr>
        <w:top w:val="none" w:sz="0" w:space="0" w:color="auto"/>
        <w:left w:val="none" w:sz="0" w:space="0" w:color="auto"/>
        <w:bottom w:val="none" w:sz="0" w:space="0" w:color="auto"/>
        <w:right w:val="none" w:sz="0" w:space="0" w:color="auto"/>
      </w:divBdr>
    </w:div>
    <w:div w:id="712773663">
      <w:bodyDiv w:val="1"/>
      <w:marLeft w:val="0"/>
      <w:marRight w:val="0"/>
      <w:marTop w:val="0"/>
      <w:marBottom w:val="0"/>
      <w:divBdr>
        <w:top w:val="none" w:sz="0" w:space="0" w:color="auto"/>
        <w:left w:val="none" w:sz="0" w:space="0" w:color="auto"/>
        <w:bottom w:val="none" w:sz="0" w:space="0" w:color="auto"/>
        <w:right w:val="none" w:sz="0" w:space="0" w:color="auto"/>
      </w:divBdr>
    </w:div>
    <w:div w:id="712773691">
      <w:bodyDiv w:val="1"/>
      <w:marLeft w:val="0"/>
      <w:marRight w:val="0"/>
      <w:marTop w:val="0"/>
      <w:marBottom w:val="0"/>
      <w:divBdr>
        <w:top w:val="none" w:sz="0" w:space="0" w:color="auto"/>
        <w:left w:val="none" w:sz="0" w:space="0" w:color="auto"/>
        <w:bottom w:val="none" w:sz="0" w:space="0" w:color="auto"/>
        <w:right w:val="none" w:sz="0" w:space="0" w:color="auto"/>
      </w:divBdr>
    </w:div>
    <w:div w:id="712777418">
      <w:bodyDiv w:val="1"/>
      <w:marLeft w:val="0"/>
      <w:marRight w:val="0"/>
      <w:marTop w:val="0"/>
      <w:marBottom w:val="0"/>
      <w:divBdr>
        <w:top w:val="none" w:sz="0" w:space="0" w:color="auto"/>
        <w:left w:val="none" w:sz="0" w:space="0" w:color="auto"/>
        <w:bottom w:val="none" w:sz="0" w:space="0" w:color="auto"/>
        <w:right w:val="none" w:sz="0" w:space="0" w:color="auto"/>
      </w:divBdr>
    </w:div>
    <w:div w:id="712851902">
      <w:bodyDiv w:val="1"/>
      <w:marLeft w:val="0"/>
      <w:marRight w:val="0"/>
      <w:marTop w:val="0"/>
      <w:marBottom w:val="0"/>
      <w:divBdr>
        <w:top w:val="none" w:sz="0" w:space="0" w:color="auto"/>
        <w:left w:val="none" w:sz="0" w:space="0" w:color="auto"/>
        <w:bottom w:val="none" w:sz="0" w:space="0" w:color="auto"/>
        <w:right w:val="none" w:sz="0" w:space="0" w:color="auto"/>
      </w:divBdr>
    </w:div>
    <w:div w:id="712852025">
      <w:bodyDiv w:val="1"/>
      <w:marLeft w:val="0"/>
      <w:marRight w:val="0"/>
      <w:marTop w:val="0"/>
      <w:marBottom w:val="0"/>
      <w:divBdr>
        <w:top w:val="none" w:sz="0" w:space="0" w:color="auto"/>
        <w:left w:val="none" w:sz="0" w:space="0" w:color="auto"/>
        <w:bottom w:val="none" w:sz="0" w:space="0" w:color="auto"/>
        <w:right w:val="none" w:sz="0" w:space="0" w:color="auto"/>
      </w:divBdr>
    </w:div>
    <w:div w:id="713040786">
      <w:bodyDiv w:val="1"/>
      <w:marLeft w:val="0"/>
      <w:marRight w:val="0"/>
      <w:marTop w:val="0"/>
      <w:marBottom w:val="0"/>
      <w:divBdr>
        <w:top w:val="none" w:sz="0" w:space="0" w:color="auto"/>
        <w:left w:val="none" w:sz="0" w:space="0" w:color="auto"/>
        <w:bottom w:val="none" w:sz="0" w:space="0" w:color="auto"/>
        <w:right w:val="none" w:sz="0" w:space="0" w:color="auto"/>
      </w:divBdr>
    </w:div>
    <w:div w:id="713042987">
      <w:bodyDiv w:val="1"/>
      <w:marLeft w:val="0"/>
      <w:marRight w:val="0"/>
      <w:marTop w:val="0"/>
      <w:marBottom w:val="0"/>
      <w:divBdr>
        <w:top w:val="none" w:sz="0" w:space="0" w:color="auto"/>
        <w:left w:val="none" w:sz="0" w:space="0" w:color="auto"/>
        <w:bottom w:val="none" w:sz="0" w:space="0" w:color="auto"/>
        <w:right w:val="none" w:sz="0" w:space="0" w:color="auto"/>
      </w:divBdr>
    </w:div>
    <w:div w:id="713045608">
      <w:bodyDiv w:val="1"/>
      <w:marLeft w:val="0"/>
      <w:marRight w:val="0"/>
      <w:marTop w:val="0"/>
      <w:marBottom w:val="0"/>
      <w:divBdr>
        <w:top w:val="none" w:sz="0" w:space="0" w:color="auto"/>
        <w:left w:val="none" w:sz="0" w:space="0" w:color="auto"/>
        <w:bottom w:val="none" w:sz="0" w:space="0" w:color="auto"/>
        <w:right w:val="none" w:sz="0" w:space="0" w:color="auto"/>
      </w:divBdr>
    </w:div>
    <w:div w:id="713115967">
      <w:bodyDiv w:val="1"/>
      <w:marLeft w:val="0"/>
      <w:marRight w:val="0"/>
      <w:marTop w:val="0"/>
      <w:marBottom w:val="0"/>
      <w:divBdr>
        <w:top w:val="none" w:sz="0" w:space="0" w:color="auto"/>
        <w:left w:val="none" w:sz="0" w:space="0" w:color="auto"/>
        <w:bottom w:val="none" w:sz="0" w:space="0" w:color="auto"/>
        <w:right w:val="none" w:sz="0" w:space="0" w:color="auto"/>
      </w:divBdr>
    </w:div>
    <w:div w:id="713189736">
      <w:bodyDiv w:val="1"/>
      <w:marLeft w:val="0"/>
      <w:marRight w:val="0"/>
      <w:marTop w:val="0"/>
      <w:marBottom w:val="0"/>
      <w:divBdr>
        <w:top w:val="none" w:sz="0" w:space="0" w:color="auto"/>
        <w:left w:val="none" w:sz="0" w:space="0" w:color="auto"/>
        <w:bottom w:val="none" w:sz="0" w:space="0" w:color="auto"/>
        <w:right w:val="none" w:sz="0" w:space="0" w:color="auto"/>
      </w:divBdr>
    </w:div>
    <w:div w:id="713314280">
      <w:bodyDiv w:val="1"/>
      <w:marLeft w:val="0"/>
      <w:marRight w:val="0"/>
      <w:marTop w:val="0"/>
      <w:marBottom w:val="0"/>
      <w:divBdr>
        <w:top w:val="none" w:sz="0" w:space="0" w:color="auto"/>
        <w:left w:val="none" w:sz="0" w:space="0" w:color="auto"/>
        <w:bottom w:val="none" w:sz="0" w:space="0" w:color="auto"/>
        <w:right w:val="none" w:sz="0" w:space="0" w:color="auto"/>
      </w:divBdr>
    </w:div>
    <w:div w:id="713385936">
      <w:bodyDiv w:val="1"/>
      <w:marLeft w:val="0"/>
      <w:marRight w:val="0"/>
      <w:marTop w:val="0"/>
      <w:marBottom w:val="0"/>
      <w:divBdr>
        <w:top w:val="none" w:sz="0" w:space="0" w:color="auto"/>
        <w:left w:val="none" w:sz="0" w:space="0" w:color="auto"/>
        <w:bottom w:val="none" w:sz="0" w:space="0" w:color="auto"/>
        <w:right w:val="none" w:sz="0" w:space="0" w:color="auto"/>
      </w:divBdr>
    </w:div>
    <w:div w:id="713390583">
      <w:bodyDiv w:val="1"/>
      <w:marLeft w:val="0"/>
      <w:marRight w:val="0"/>
      <w:marTop w:val="0"/>
      <w:marBottom w:val="0"/>
      <w:divBdr>
        <w:top w:val="none" w:sz="0" w:space="0" w:color="auto"/>
        <w:left w:val="none" w:sz="0" w:space="0" w:color="auto"/>
        <w:bottom w:val="none" w:sz="0" w:space="0" w:color="auto"/>
        <w:right w:val="none" w:sz="0" w:space="0" w:color="auto"/>
      </w:divBdr>
    </w:div>
    <w:div w:id="713432759">
      <w:bodyDiv w:val="1"/>
      <w:marLeft w:val="0"/>
      <w:marRight w:val="0"/>
      <w:marTop w:val="0"/>
      <w:marBottom w:val="0"/>
      <w:divBdr>
        <w:top w:val="none" w:sz="0" w:space="0" w:color="auto"/>
        <w:left w:val="none" w:sz="0" w:space="0" w:color="auto"/>
        <w:bottom w:val="none" w:sz="0" w:space="0" w:color="auto"/>
        <w:right w:val="none" w:sz="0" w:space="0" w:color="auto"/>
      </w:divBdr>
    </w:div>
    <w:div w:id="713433956">
      <w:bodyDiv w:val="1"/>
      <w:marLeft w:val="0"/>
      <w:marRight w:val="0"/>
      <w:marTop w:val="0"/>
      <w:marBottom w:val="0"/>
      <w:divBdr>
        <w:top w:val="none" w:sz="0" w:space="0" w:color="auto"/>
        <w:left w:val="none" w:sz="0" w:space="0" w:color="auto"/>
        <w:bottom w:val="none" w:sz="0" w:space="0" w:color="auto"/>
        <w:right w:val="none" w:sz="0" w:space="0" w:color="auto"/>
      </w:divBdr>
    </w:div>
    <w:div w:id="713434066">
      <w:bodyDiv w:val="1"/>
      <w:marLeft w:val="0"/>
      <w:marRight w:val="0"/>
      <w:marTop w:val="0"/>
      <w:marBottom w:val="0"/>
      <w:divBdr>
        <w:top w:val="none" w:sz="0" w:space="0" w:color="auto"/>
        <w:left w:val="none" w:sz="0" w:space="0" w:color="auto"/>
        <w:bottom w:val="none" w:sz="0" w:space="0" w:color="auto"/>
        <w:right w:val="none" w:sz="0" w:space="0" w:color="auto"/>
      </w:divBdr>
    </w:div>
    <w:div w:id="713502279">
      <w:bodyDiv w:val="1"/>
      <w:marLeft w:val="0"/>
      <w:marRight w:val="0"/>
      <w:marTop w:val="0"/>
      <w:marBottom w:val="0"/>
      <w:divBdr>
        <w:top w:val="none" w:sz="0" w:space="0" w:color="auto"/>
        <w:left w:val="none" w:sz="0" w:space="0" w:color="auto"/>
        <w:bottom w:val="none" w:sz="0" w:space="0" w:color="auto"/>
        <w:right w:val="none" w:sz="0" w:space="0" w:color="auto"/>
      </w:divBdr>
    </w:div>
    <w:div w:id="713504815">
      <w:bodyDiv w:val="1"/>
      <w:marLeft w:val="0"/>
      <w:marRight w:val="0"/>
      <w:marTop w:val="0"/>
      <w:marBottom w:val="0"/>
      <w:divBdr>
        <w:top w:val="none" w:sz="0" w:space="0" w:color="auto"/>
        <w:left w:val="none" w:sz="0" w:space="0" w:color="auto"/>
        <w:bottom w:val="none" w:sz="0" w:space="0" w:color="auto"/>
        <w:right w:val="none" w:sz="0" w:space="0" w:color="auto"/>
      </w:divBdr>
    </w:div>
    <w:div w:id="713507913">
      <w:bodyDiv w:val="1"/>
      <w:marLeft w:val="0"/>
      <w:marRight w:val="0"/>
      <w:marTop w:val="0"/>
      <w:marBottom w:val="0"/>
      <w:divBdr>
        <w:top w:val="none" w:sz="0" w:space="0" w:color="auto"/>
        <w:left w:val="none" w:sz="0" w:space="0" w:color="auto"/>
        <w:bottom w:val="none" w:sz="0" w:space="0" w:color="auto"/>
        <w:right w:val="none" w:sz="0" w:space="0" w:color="auto"/>
      </w:divBdr>
    </w:div>
    <w:div w:id="713508087">
      <w:bodyDiv w:val="1"/>
      <w:marLeft w:val="0"/>
      <w:marRight w:val="0"/>
      <w:marTop w:val="0"/>
      <w:marBottom w:val="0"/>
      <w:divBdr>
        <w:top w:val="none" w:sz="0" w:space="0" w:color="auto"/>
        <w:left w:val="none" w:sz="0" w:space="0" w:color="auto"/>
        <w:bottom w:val="none" w:sz="0" w:space="0" w:color="auto"/>
        <w:right w:val="none" w:sz="0" w:space="0" w:color="auto"/>
      </w:divBdr>
    </w:div>
    <w:div w:id="713583172">
      <w:bodyDiv w:val="1"/>
      <w:marLeft w:val="0"/>
      <w:marRight w:val="0"/>
      <w:marTop w:val="0"/>
      <w:marBottom w:val="0"/>
      <w:divBdr>
        <w:top w:val="none" w:sz="0" w:space="0" w:color="auto"/>
        <w:left w:val="none" w:sz="0" w:space="0" w:color="auto"/>
        <w:bottom w:val="none" w:sz="0" w:space="0" w:color="auto"/>
        <w:right w:val="none" w:sz="0" w:space="0" w:color="auto"/>
      </w:divBdr>
    </w:div>
    <w:div w:id="713696439">
      <w:bodyDiv w:val="1"/>
      <w:marLeft w:val="0"/>
      <w:marRight w:val="0"/>
      <w:marTop w:val="0"/>
      <w:marBottom w:val="0"/>
      <w:divBdr>
        <w:top w:val="none" w:sz="0" w:space="0" w:color="auto"/>
        <w:left w:val="none" w:sz="0" w:space="0" w:color="auto"/>
        <w:bottom w:val="none" w:sz="0" w:space="0" w:color="auto"/>
        <w:right w:val="none" w:sz="0" w:space="0" w:color="auto"/>
      </w:divBdr>
    </w:div>
    <w:div w:id="713699228">
      <w:bodyDiv w:val="1"/>
      <w:marLeft w:val="0"/>
      <w:marRight w:val="0"/>
      <w:marTop w:val="0"/>
      <w:marBottom w:val="0"/>
      <w:divBdr>
        <w:top w:val="none" w:sz="0" w:space="0" w:color="auto"/>
        <w:left w:val="none" w:sz="0" w:space="0" w:color="auto"/>
        <w:bottom w:val="none" w:sz="0" w:space="0" w:color="auto"/>
        <w:right w:val="none" w:sz="0" w:space="0" w:color="auto"/>
      </w:divBdr>
    </w:div>
    <w:div w:id="713770898">
      <w:bodyDiv w:val="1"/>
      <w:marLeft w:val="0"/>
      <w:marRight w:val="0"/>
      <w:marTop w:val="0"/>
      <w:marBottom w:val="0"/>
      <w:divBdr>
        <w:top w:val="none" w:sz="0" w:space="0" w:color="auto"/>
        <w:left w:val="none" w:sz="0" w:space="0" w:color="auto"/>
        <w:bottom w:val="none" w:sz="0" w:space="0" w:color="auto"/>
        <w:right w:val="none" w:sz="0" w:space="0" w:color="auto"/>
      </w:divBdr>
    </w:div>
    <w:div w:id="713890284">
      <w:bodyDiv w:val="1"/>
      <w:marLeft w:val="0"/>
      <w:marRight w:val="0"/>
      <w:marTop w:val="0"/>
      <w:marBottom w:val="0"/>
      <w:divBdr>
        <w:top w:val="none" w:sz="0" w:space="0" w:color="auto"/>
        <w:left w:val="none" w:sz="0" w:space="0" w:color="auto"/>
        <w:bottom w:val="none" w:sz="0" w:space="0" w:color="auto"/>
        <w:right w:val="none" w:sz="0" w:space="0" w:color="auto"/>
      </w:divBdr>
    </w:div>
    <w:div w:id="714086952">
      <w:bodyDiv w:val="1"/>
      <w:marLeft w:val="0"/>
      <w:marRight w:val="0"/>
      <w:marTop w:val="0"/>
      <w:marBottom w:val="0"/>
      <w:divBdr>
        <w:top w:val="none" w:sz="0" w:space="0" w:color="auto"/>
        <w:left w:val="none" w:sz="0" w:space="0" w:color="auto"/>
        <w:bottom w:val="none" w:sz="0" w:space="0" w:color="auto"/>
        <w:right w:val="none" w:sz="0" w:space="0" w:color="auto"/>
      </w:divBdr>
    </w:div>
    <w:div w:id="714089082">
      <w:bodyDiv w:val="1"/>
      <w:marLeft w:val="0"/>
      <w:marRight w:val="0"/>
      <w:marTop w:val="0"/>
      <w:marBottom w:val="0"/>
      <w:divBdr>
        <w:top w:val="none" w:sz="0" w:space="0" w:color="auto"/>
        <w:left w:val="none" w:sz="0" w:space="0" w:color="auto"/>
        <w:bottom w:val="none" w:sz="0" w:space="0" w:color="auto"/>
        <w:right w:val="none" w:sz="0" w:space="0" w:color="auto"/>
      </w:divBdr>
    </w:div>
    <w:div w:id="714162971">
      <w:bodyDiv w:val="1"/>
      <w:marLeft w:val="0"/>
      <w:marRight w:val="0"/>
      <w:marTop w:val="0"/>
      <w:marBottom w:val="0"/>
      <w:divBdr>
        <w:top w:val="none" w:sz="0" w:space="0" w:color="auto"/>
        <w:left w:val="none" w:sz="0" w:space="0" w:color="auto"/>
        <w:bottom w:val="none" w:sz="0" w:space="0" w:color="auto"/>
        <w:right w:val="none" w:sz="0" w:space="0" w:color="auto"/>
      </w:divBdr>
    </w:div>
    <w:div w:id="714231810">
      <w:bodyDiv w:val="1"/>
      <w:marLeft w:val="0"/>
      <w:marRight w:val="0"/>
      <w:marTop w:val="0"/>
      <w:marBottom w:val="0"/>
      <w:divBdr>
        <w:top w:val="none" w:sz="0" w:space="0" w:color="auto"/>
        <w:left w:val="none" w:sz="0" w:space="0" w:color="auto"/>
        <w:bottom w:val="none" w:sz="0" w:space="0" w:color="auto"/>
        <w:right w:val="none" w:sz="0" w:space="0" w:color="auto"/>
      </w:divBdr>
    </w:div>
    <w:div w:id="714233352">
      <w:bodyDiv w:val="1"/>
      <w:marLeft w:val="0"/>
      <w:marRight w:val="0"/>
      <w:marTop w:val="0"/>
      <w:marBottom w:val="0"/>
      <w:divBdr>
        <w:top w:val="none" w:sz="0" w:space="0" w:color="auto"/>
        <w:left w:val="none" w:sz="0" w:space="0" w:color="auto"/>
        <w:bottom w:val="none" w:sz="0" w:space="0" w:color="auto"/>
        <w:right w:val="none" w:sz="0" w:space="0" w:color="auto"/>
      </w:divBdr>
    </w:div>
    <w:div w:id="714307980">
      <w:bodyDiv w:val="1"/>
      <w:marLeft w:val="0"/>
      <w:marRight w:val="0"/>
      <w:marTop w:val="0"/>
      <w:marBottom w:val="0"/>
      <w:divBdr>
        <w:top w:val="none" w:sz="0" w:space="0" w:color="auto"/>
        <w:left w:val="none" w:sz="0" w:space="0" w:color="auto"/>
        <w:bottom w:val="none" w:sz="0" w:space="0" w:color="auto"/>
        <w:right w:val="none" w:sz="0" w:space="0" w:color="auto"/>
      </w:divBdr>
    </w:div>
    <w:div w:id="714350502">
      <w:bodyDiv w:val="1"/>
      <w:marLeft w:val="0"/>
      <w:marRight w:val="0"/>
      <w:marTop w:val="0"/>
      <w:marBottom w:val="0"/>
      <w:divBdr>
        <w:top w:val="none" w:sz="0" w:space="0" w:color="auto"/>
        <w:left w:val="none" w:sz="0" w:space="0" w:color="auto"/>
        <w:bottom w:val="none" w:sz="0" w:space="0" w:color="auto"/>
        <w:right w:val="none" w:sz="0" w:space="0" w:color="auto"/>
      </w:divBdr>
    </w:div>
    <w:div w:id="714352247">
      <w:bodyDiv w:val="1"/>
      <w:marLeft w:val="0"/>
      <w:marRight w:val="0"/>
      <w:marTop w:val="0"/>
      <w:marBottom w:val="0"/>
      <w:divBdr>
        <w:top w:val="none" w:sz="0" w:space="0" w:color="auto"/>
        <w:left w:val="none" w:sz="0" w:space="0" w:color="auto"/>
        <w:bottom w:val="none" w:sz="0" w:space="0" w:color="auto"/>
        <w:right w:val="none" w:sz="0" w:space="0" w:color="auto"/>
      </w:divBdr>
    </w:div>
    <w:div w:id="714424411">
      <w:bodyDiv w:val="1"/>
      <w:marLeft w:val="0"/>
      <w:marRight w:val="0"/>
      <w:marTop w:val="0"/>
      <w:marBottom w:val="0"/>
      <w:divBdr>
        <w:top w:val="none" w:sz="0" w:space="0" w:color="auto"/>
        <w:left w:val="none" w:sz="0" w:space="0" w:color="auto"/>
        <w:bottom w:val="none" w:sz="0" w:space="0" w:color="auto"/>
        <w:right w:val="none" w:sz="0" w:space="0" w:color="auto"/>
      </w:divBdr>
    </w:div>
    <w:div w:id="714428056">
      <w:bodyDiv w:val="1"/>
      <w:marLeft w:val="0"/>
      <w:marRight w:val="0"/>
      <w:marTop w:val="0"/>
      <w:marBottom w:val="0"/>
      <w:divBdr>
        <w:top w:val="none" w:sz="0" w:space="0" w:color="auto"/>
        <w:left w:val="none" w:sz="0" w:space="0" w:color="auto"/>
        <w:bottom w:val="none" w:sz="0" w:space="0" w:color="auto"/>
        <w:right w:val="none" w:sz="0" w:space="0" w:color="auto"/>
      </w:divBdr>
    </w:div>
    <w:div w:id="714433603">
      <w:bodyDiv w:val="1"/>
      <w:marLeft w:val="0"/>
      <w:marRight w:val="0"/>
      <w:marTop w:val="0"/>
      <w:marBottom w:val="0"/>
      <w:divBdr>
        <w:top w:val="none" w:sz="0" w:space="0" w:color="auto"/>
        <w:left w:val="none" w:sz="0" w:space="0" w:color="auto"/>
        <w:bottom w:val="none" w:sz="0" w:space="0" w:color="auto"/>
        <w:right w:val="none" w:sz="0" w:space="0" w:color="auto"/>
      </w:divBdr>
    </w:div>
    <w:div w:id="714475273">
      <w:bodyDiv w:val="1"/>
      <w:marLeft w:val="0"/>
      <w:marRight w:val="0"/>
      <w:marTop w:val="0"/>
      <w:marBottom w:val="0"/>
      <w:divBdr>
        <w:top w:val="none" w:sz="0" w:space="0" w:color="auto"/>
        <w:left w:val="none" w:sz="0" w:space="0" w:color="auto"/>
        <w:bottom w:val="none" w:sz="0" w:space="0" w:color="auto"/>
        <w:right w:val="none" w:sz="0" w:space="0" w:color="auto"/>
      </w:divBdr>
    </w:div>
    <w:div w:id="714547497">
      <w:bodyDiv w:val="1"/>
      <w:marLeft w:val="0"/>
      <w:marRight w:val="0"/>
      <w:marTop w:val="0"/>
      <w:marBottom w:val="0"/>
      <w:divBdr>
        <w:top w:val="none" w:sz="0" w:space="0" w:color="auto"/>
        <w:left w:val="none" w:sz="0" w:space="0" w:color="auto"/>
        <w:bottom w:val="none" w:sz="0" w:space="0" w:color="auto"/>
        <w:right w:val="none" w:sz="0" w:space="0" w:color="auto"/>
      </w:divBdr>
    </w:div>
    <w:div w:id="714622973">
      <w:bodyDiv w:val="1"/>
      <w:marLeft w:val="0"/>
      <w:marRight w:val="0"/>
      <w:marTop w:val="0"/>
      <w:marBottom w:val="0"/>
      <w:divBdr>
        <w:top w:val="none" w:sz="0" w:space="0" w:color="auto"/>
        <w:left w:val="none" w:sz="0" w:space="0" w:color="auto"/>
        <w:bottom w:val="none" w:sz="0" w:space="0" w:color="auto"/>
        <w:right w:val="none" w:sz="0" w:space="0" w:color="auto"/>
      </w:divBdr>
    </w:div>
    <w:div w:id="714741744">
      <w:bodyDiv w:val="1"/>
      <w:marLeft w:val="0"/>
      <w:marRight w:val="0"/>
      <w:marTop w:val="0"/>
      <w:marBottom w:val="0"/>
      <w:divBdr>
        <w:top w:val="none" w:sz="0" w:space="0" w:color="auto"/>
        <w:left w:val="none" w:sz="0" w:space="0" w:color="auto"/>
        <w:bottom w:val="none" w:sz="0" w:space="0" w:color="auto"/>
        <w:right w:val="none" w:sz="0" w:space="0" w:color="auto"/>
      </w:divBdr>
    </w:div>
    <w:div w:id="714743387">
      <w:bodyDiv w:val="1"/>
      <w:marLeft w:val="0"/>
      <w:marRight w:val="0"/>
      <w:marTop w:val="0"/>
      <w:marBottom w:val="0"/>
      <w:divBdr>
        <w:top w:val="none" w:sz="0" w:space="0" w:color="auto"/>
        <w:left w:val="none" w:sz="0" w:space="0" w:color="auto"/>
        <w:bottom w:val="none" w:sz="0" w:space="0" w:color="auto"/>
        <w:right w:val="none" w:sz="0" w:space="0" w:color="auto"/>
      </w:divBdr>
    </w:div>
    <w:div w:id="714819136">
      <w:bodyDiv w:val="1"/>
      <w:marLeft w:val="0"/>
      <w:marRight w:val="0"/>
      <w:marTop w:val="0"/>
      <w:marBottom w:val="0"/>
      <w:divBdr>
        <w:top w:val="none" w:sz="0" w:space="0" w:color="auto"/>
        <w:left w:val="none" w:sz="0" w:space="0" w:color="auto"/>
        <w:bottom w:val="none" w:sz="0" w:space="0" w:color="auto"/>
        <w:right w:val="none" w:sz="0" w:space="0" w:color="auto"/>
      </w:divBdr>
    </w:div>
    <w:div w:id="714934520">
      <w:bodyDiv w:val="1"/>
      <w:marLeft w:val="0"/>
      <w:marRight w:val="0"/>
      <w:marTop w:val="0"/>
      <w:marBottom w:val="0"/>
      <w:divBdr>
        <w:top w:val="none" w:sz="0" w:space="0" w:color="auto"/>
        <w:left w:val="none" w:sz="0" w:space="0" w:color="auto"/>
        <w:bottom w:val="none" w:sz="0" w:space="0" w:color="auto"/>
        <w:right w:val="none" w:sz="0" w:space="0" w:color="auto"/>
      </w:divBdr>
    </w:div>
    <w:div w:id="715006047">
      <w:bodyDiv w:val="1"/>
      <w:marLeft w:val="0"/>
      <w:marRight w:val="0"/>
      <w:marTop w:val="0"/>
      <w:marBottom w:val="0"/>
      <w:divBdr>
        <w:top w:val="none" w:sz="0" w:space="0" w:color="auto"/>
        <w:left w:val="none" w:sz="0" w:space="0" w:color="auto"/>
        <w:bottom w:val="none" w:sz="0" w:space="0" w:color="auto"/>
        <w:right w:val="none" w:sz="0" w:space="0" w:color="auto"/>
      </w:divBdr>
    </w:div>
    <w:div w:id="715007595">
      <w:bodyDiv w:val="1"/>
      <w:marLeft w:val="0"/>
      <w:marRight w:val="0"/>
      <w:marTop w:val="0"/>
      <w:marBottom w:val="0"/>
      <w:divBdr>
        <w:top w:val="none" w:sz="0" w:space="0" w:color="auto"/>
        <w:left w:val="none" w:sz="0" w:space="0" w:color="auto"/>
        <w:bottom w:val="none" w:sz="0" w:space="0" w:color="auto"/>
        <w:right w:val="none" w:sz="0" w:space="0" w:color="auto"/>
      </w:divBdr>
    </w:div>
    <w:div w:id="715087143">
      <w:bodyDiv w:val="1"/>
      <w:marLeft w:val="0"/>
      <w:marRight w:val="0"/>
      <w:marTop w:val="0"/>
      <w:marBottom w:val="0"/>
      <w:divBdr>
        <w:top w:val="none" w:sz="0" w:space="0" w:color="auto"/>
        <w:left w:val="none" w:sz="0" w:space="0" w:color="auto"/>
        <w:bottom w:val="none" w:sz="0" w:space="0" w:color="auto"/>
        <w:right w:val="none" w:sz="0" w:space="0" w:color="auto"/>
      </w:divBdr>
    </w:div>
    <w:div w:id="715276627">
      <w:bodyDiv w:val="1"/>
      <w:marLeft w:val="0"/>
      <w:marRight w:val="0"/>
      <w:marTop w:val="0"/>
      <w:marBottom w:val="0"/>
      <w:divBdr>
        <w:top w:val="none" w:sz="0" w:space="0" w:color="auto"/>
        <w:left w:val="none" w:sz="0" w:space="0" w:color="auto"/>
        <w:bottom w:val="none" w:sz="0" w:space="0" w:color="auto"/>
        <w:right w:val="none" w:sz="0" w:space="0" w:color="auto"/>
      </w:divBdr>
    </w:div>
    <w:div w:id="715348832">
      <w:bodyDiv w:val="1"/>
      <w:marLeft w:val="0"/>
      <w:marRight w:val="0"/>
      <w:marTop w:val="0"/>
      <w:marBottom w:val="0"/>
      <w:divBdr>
        <w:top w:val="none" w:sz="0" w:space="0" w:color="auto"/>
        <w:left w:val="none" w:sz="0" w:space="0" w:color="auto"/>
        <w:bottom w:val="none" w:sz="0" w:space="0" w:color="auto"/>
        <w:right w:val="none" w:sz="0" w:space="0" w:color="auto"/>
      </w:divBdr>
    </w:div>
    <w:div w:id="715349511">
      <w:bodyDiv w:val="1"/>
      <w:marLeft w:val="0"/>
      <w:marRight w:val="0"/>
      <w:marTop w:val="0"/>
      <w:marBottom w:val="0"/>
      <w:divBdr>
        <w:top w:val="none" w:sz="0" w:space="0" w:color="auto"/>
        <w:left w:val="none" w:sz="0" w:space="0" w:color="auto"/>
        <w:bottom w:val="none" w:sz="0" w:space="0" w:color="auto"/>
        <w:right w:val="none" w:sz="0" w:space="0" w:color="auto"/>
      </w:divBdr>
    </w:div>
    <w:div w:id="715357206">
      <w:bodyDiv w:val="1"/>
      <w:marLeft w:val="0"/>
      <w:marRight w:val="0"/>
      <w:marTop w:val="0"/>
      <w:marBottom w:val="0"/>
      <w:divBdr>
        <w:top w:val="none" w:sz="0" w:space="0" w:color="auto"/>
        <w:left w:val="none" w:sz="0" w:space="0" w:color="auto"/>
        <w:bottom w:val="none" w:sz="0" w:space="0" w:color="auto"/>
        <w:right w:val="none" w:sz="0" w:space="0" w:color="auto"/>
      </w:divBdr>
    </w:div>
    <w:div w:id="715469165">
      <w:bodyDiv w:val="1"/>
      <w:marLeft w:val="0"/>
      <w:marRight w:val="0"/>
      <w:marTop w:val="0"/>
      <w:marBottom w:val="0"/>
      <w:divBdr>
        <w:top w:val="none" w:sz="0" w:space="0" w:color="auto"/>
        <w:left w:val="none" w:sz="0" w:space="0" w:color="auto"/>
        <w:bottom w:val="none" w:sz="0" w:space="0" w:color="auto"/>
        <w:right w:val="none" w:sz="0" w:space="0" w:color="auto"/>
      </w:divBdr>
    </w:div>
    <w:div w:id="715472993">
      <w:bodyDiv w:val="1"/>
      <w:marLeft w:val="0"/>
      <w:marRight w:val="0"/>
      <w:marTop w:val="0"/>
      <w:marBottom w:val="0"/>
      <w:divBdr>
        <w:top w:val="none" w:sz="0" w:space="0" w:color="auto"/>
        <w:left w:val="none" w:sz="0" w:space="0" w:color="auto"/>
        <w:bottom w:val="none" w:sz="0" w:space="0" w:color="auto"/>
        <w:right w:val="none" w:sz="0" w:space="0" w:color="auto"/>
      </w:divBdr>
    </w:div>
    <w:div w:id="715544737">
      <w:bodyDiv w:val="1"/>
      <w:marLeft w:val="0"/>
      <w:marRight w:val="0"/>
      <w:marTop w:val="0"/>
      <w:marBottom w:val="0"/>
      <w:divBdr>
        <w:top w:val="none" w:sz="0" w:space="0" w:color="auto"/>
        <w:left w:val="none" w:sz="0" w:space="0" w:color="auto"/>
        <w:bottom w:val="none" w:sz="0" w:space="0" w:color="auto"/>
        <w:right w:val="none" w:sz="0" w:space="0" w:color="auto"/>
      </w:divBdr>
    </w:div>
    <w:div w:id="715548880">
      <w:bodyDiv w:val="1"/>
      <w:marLeft w:val="0"/>
      <w:marRight w:val="0"/>
      <w:marTop w:val="0"/>
      <w:marBottom w:val="0"/>
      <w:divBdr>
        <w:top w:val="none" w:sz="0" w:space="0" w:color="auto"/>
        <w:left w:val="none" w:sz="0" w:space="0" w:color="auto"/>
        <w:bottom w:val="none" w:sz="0" w:space="0" w:color="auto"/>
        <w:right w:val="none" w:sz="0" w:space="0" w:color="auto"/>
      </w:divBdr>
    </w:div>
    <w:div w:id="715589781">
      <w:bodyDiv w:val="1"/>
      <w:marLeft w:val="0"/>
      <w:marRight w:val="0"/>
      <w:marTop w:val="0"/>
      <w:marBottom w:val="0"/>
      <w:divBdr>
        <w:top w:val="none" w:sz="0" w:space="0" w:color="auto"/>
        <w:left w:val="none" w:sz="0" w:space="0" w:color="auto"/>
        <w:bottom w:val="none" w:sz="0" w:space="0" w:color="auto"/>
        <w:right w:val="none" w:sz="0" w:space="0" w:color="auto"/>
      </w:divBdr>
    </w:div>
    <w:div w:id="715741751">
      <w:bodyDiv w:val="1"/>
      <w:marLeft w:val="0"/>
      <w:marRight w:val="0"/>
      <w:marTop w:val="0"/>
      <w:marBottom w:val="0"/>
      <w:divBdr>
        <w:top w:val="none" w:sz="0" w:space="0" w:color="auto"/>
        <w:left w:val="none" w:sz="0" w:space="0" w:color="auto"/>
        <w:bottom w:val="none" w:sz="0" w:space="0" w:color="auto"/>
        <w:right w:val="none" w:sz="0" w:space="0" w:color="auto"/>
      </w:divBdr>
    </w:div>
    <w:div w:id="715744087">
      <w:bodyDiv w:val="1"/>
      <w:marLeft w:val="0"/>
      <w:marRight w:val="0"/>
      <w:marTop w:val="0"/>
      <w:marBottom w:val="0"/>
      <w:divBdr>
        <w:top w:val="none" w:sz="0" w:space="0" w:color="auto"/>
        <w:left w:val="none" w:sz="0" w:space="0" w:color="auto"/>
        <w:bottom w:val="none" w:sz="0" w:space="0" w:color="auto"/>
        <w:right w:val="none" w:sz="0" w:space="0" w:color="auto"/>
      </w:divBdr>
    </w:div>
    <w:div w:id="715810563">
      <w:bodyDiv w:val="1"/>
      <w:marLeft w:val="0"/>
      <w:marRight w:val="0"/>
      <w:marTop w:val="0"/>
      <w:marBottom w:val="0"/>
      <w:divBdr>
        <w:top w:val="none" w:sz="0" w:space="0" w:color="auto"/>
        <w:left w:val="none" w:sz="0" w:space="0" w:color="auto"/>
        <w:bottom w:val="none" w:sz="0" w:space="0" w:color="auto"/>
        <w:right w:val="none" w:sz="0" w:space="0" w:color="auto"/>
      </w:divBdr>
    </w:div>
    <w:div w:id="715815025">
      <w:bodyDiv w:val="1"/>
      <w:marLeft w:val="0"/>
      <w:marRight w:val="0"/>
      <w:marTop w:val="0"/>
      <w:marBottom w:val="0"/>
      <w:divBdr>
        <w:top w:val="none" w:sz="0" w:space="0" w:color="auto"/>
        <w:left w:val="none" w:sz="0" w:space="0" w:color="auto"/>
        <w:bottom w:val="none" w:sz="0" w:space="0" w:color="auto"/>
        <w:right w:val="none" w:sz="0" w:space="0" w:color="auto"/>
      </w:divBdr>
    </w:div>
    <w:div w:id="715815271">
      <w:bodyDiv w:val="1"/>
      <w:marLeft w:val="0"/>
      <w:marRight w:val="0"/>
      <w:marTop w:val="0"/>
      <w:marBottom w:val="0"/>
      <w:divBdr>
        <w:top w:val="none" w:sz="0" w:space="0" w:color="auto"/>
        <w:left w:val="none" w:sz="0" w:space="0" w:color="auto"/>
        <w:bottom w:val="none" w:sz="0" w:space="0" w:color="auto"/>
        <w:right w:val="none" w:sz="0" w:space="0" w:color="auto"/>
      </w:divBdr>
    </w:div>
    <w:div w:id="716005073">
      <w:bodyDiv w:val="1"/>
      <w:marLeft w:val="0"/>
      <w:marRight w:val="0"/>
      <w:marTop w:val="0"/>
      <w:marBottom w:val="0"/>
      <w:divBdr>
        <w:top w:val="none" w:sz="0" w:space="0" w:color="auto"/>
        <w:left w:val="none" w:sz="0" w:space="0" w:color="auto"/>
        <w:bottom w:val="none" w:sz="0" w:space="0" w:color="auto"/>
        <w:right w:val="none" w:sz="0" w:space="0" w:color="auto"/>
      </w:divBdr>
    </w:div>
    <w:div w:id="716244818">
      <w:bodyDiv w:val="1"/>
      <w:marLeft w:val="0"/>
      <w:marRight w:val="0"/>
      <w:marTop w:val="0"/>
      <w:marBottom w:val="0"/>
      <w:divBdr>
        <w:top w:val="none" w:sz="0" w:space="0" w:color="auto"/>
        <w:left w:val="none" w:sz="0" w:space="0" w:color="auto"/>
        <w:bottom w:val="none" w:sz="0" w:space="0" w:color="auto"/>
        <w:right w:val="none" w:sz="0" w:space="0" w:color="auto"/>
      </w:divBdr>
    </w:div>
    <w:div w:id="716274360">
      <w:bodyDiv w:val="1"/>
      <w:marLeft w:val="0"/>
      <w:marRight w:val="0"/>
      <w:marTop w:val="0"/>
      <w:marBottom w:val="0"/>
      <w:divBdr>
        <w:top w:val="none" w:sz="0" w:space="0" w:color="auto"/>
        <w:left w:val="none" w:sz="0" w:space="0" w:color="auto"/>
        <w:bottom w:val="none" w:sz="0" w:space="0" w:color="auto"/>
        <w:right w:val="none" w:sz="0" w:space="0" w:color="auto"/>
      </w:divBdr>
    </w:div>
    <w:div w:id="716396305">
      <w:bodyDiv w:val="1"/>
      <w:marLeft w:val="0"/>
      <w:marRight w:val="0"/>
      <w:marTop w:val="0"/>
      <w:marBottom w:val="0"/>
      <w:divBdr>
        <w:top w:val="none" w:sz="0" w:space="0" w:color="auto"/>
        <w:left w:val="none" w:sz="0" w:space="0" w:color="auto"/>
        <w:bottom w:val="none" w:sz="0" w:space="0" w:color="auto"/>
        <w:right w:val="none" w:sz="0" w:space="0" w:color="auto"/>
      </w:divBdr>
    </w:div>
    <w:div w:id="716440973">
      <w:bodyDiv w:val="1"/>
      <w:marLeft w:val="0"/>
      <w:marRight w:val="0"/>
      <w:marTop w:val="0"/>
      <w:marBottom w:val="0"/>
      <w:divBdr>
        <w:top w:val="none" w:sz="0" w:space="0" w:color="auto"/>
        <w:left w:val="none" w:sz="0" w:space="0" w:color="auto"/>
        <w:bottom w:val="none" w:sz="0" w:space="0" w:color="auto"/>
        <w:right w:val="none" w:sz="0" w:space="0" w:color="auto"/>
      </w:divBdr>
    </w:div>
    <w:div w:id="716466599">
      <w:bodyDiv w:val="1"/>
      <w:marLeft w:val="0"/>
      <w:marRight w:val="0"/>
      <w:marTop w:val="0"/>
      <w:marBottom w:val="0"/>
      <w:divBdr>
        <w:top w:val="none" w:sz="0" w:space="0" w:color="auto"/>
        <w:left w:val="none" w:sz="0" w:space="0" w:color="auto"/>
        <w:bottom w:val="none" w:sz="0" w:space="0" w:color="auto"/>
        <w:right w:val="none" w:sz="0" w:space="0" w:color="auto"/>
      </w:divBdr>
    </w:div>
    <w:div w:id="716470672">
      <w:bodyDiv w:val="1"/>
      <w:marLeft w:val="0"/>
      <w:marRight w:val="0"/>
      <w:marTop w:val="0"/>
      <w:marBottom w:val="0"/>
      <w:divBdr>
        <w:top w:val="none" w:sz="0" w:space="0" w:color="auto"/>
        <w:left w:val="none" w:sz="0" w:space="0" w:color="auto"/>
        <w:bottom w:val="none" w:sz="0" w:space="0" w:color="auto"/>
        <w:right w:val="none" w:sz="0" w:space="0" w:color="auto"/>
      </w:divBdr>
    </w:div>
    <w:div w:id="716470732">
      <w:bodyDiv w:val="1"/>
      <w:marLeft w:val="0"/>
      <w:marRight w:val="0"/>
      <w:marTop w:val="0"/>
      <w:marBottom w:val="0"/>
      <w:divBdr>
        <w:top w:val="none" w:sz="0" w:space="0" w:color="auto"/>
        <w:left w:val="none" w:sz="0" w:space="0" w:color="auto"/>
        <w:bottom w:val="none" w:sz="0" w:space="0" w:color="auto"/>
        <w:right w:val="none" w:sz="0" w:space="0" w:color="auto"/>
      </w:divBdr>
    </w:div>
    <w:div w:id="716510953">
      <w:bodyDiv w:val="1"/>
      <w:marLeft w:val="0"/>
      <w:marRight w:val="0"/>
      <w:marTop w:val="0"/>
      <w:marBottom w:val="0"/>
      <w:divBdr>
        <w:top w:val="none" w:sz="0" w:space="0" w:color="auto"/>
        <w:left w:val="none" w:sz="0" w:space="0" w:color="auto"/>
        <w:bottom w:val="none" w:sz="0" w:space="0" w:color="auto"/>
        <w:right w:val="none" w:sz="0" w:space="0" w:color="auto"/>
      </w:divBdr>
    </w:div>
    <w:div w:id="716590823">
      <w:bodyDiv w:val="1"/>
      <w:marLeft w:val="0"/>
      <w:marRight w:val="0"/>
      <w:marTop w:val="0"/>
      <w:marBottom w:val="0"/>
      <w:divBdr>
        <w:top w:val="none" w:sz="0" w:space="0" w:color="auto"/>
        <w:left w:val="none" w:sz="0" w:space="0" w:color="auto"/>
        <w:bottom w:val="none" w:sz="0" w:space="0" w:color="auto"/>
        <w:right w:val="none" w:sz="0" w:space="0" w:color="auto"/>
      </w:divBdr>
    </w:div>
    <w:div w:id="716665035">
      <w:bodyDiv w:val="1"/>
      <w:marLeft w:val="0"/>
      <w:marRight w:val="0"/>
      <w:marTop w:val="0"/>
      <w:marBottom w:val="0"/>
      <w:divBdr>
        <w:top w:val="none" w:sz="0" w:space="0" w:color="auto"/>
        <w:left w:val="none" w:sz="0" w:space="0" w:color="auto"/>
        <w:bottom w:val="none" w:sz="0" w:space="0" w:color="auto"/>
        <w:right w:val="none" w:sz="0" w:space="0" w:color="auto"/>
      </w:divBdr>
    </w:div>
    <w:div w:id="716709476">
      <w:bodyDiv w:val="1"/>
      <w:marLeft w:val="0"/>
      <w:marRight w:val="0"/>
      <w:marTop w:val="0"/>
      <w:marBottom w:val="0"/>
      <w:divBdr>
        <w:top w:val="none" w:sz="0" w:space="0" w:color="auto"/>
        <w:left w:val="none" w:sz="0" w:space="0" w:color="auto"/>
        <w:bottom w:val="none" w:sz="0" w:space="0" w:color="auto"/>
        <w:right w:val="none" w:sz="0" w:space="0" w:color="auto"/>
      </w:divBdr>
    </w:div>
    <w:div w:id="716852073">
      <w:bodyDiv w:val="1"/>
      <w:marLeft w:val="0"/>
      <w:marRight w:val="0"/>
      <w:marTop w:val="0"/>
      <w:marBottom w:val="0"/>
      <w:divBdr>
        <w:top w:val="none" w:sz="0" w:space="0" w:color="auto"/>
        <w:left w:val="none" w:sz="0" w:space="0" w:color="auto"/>
        <w:bottom w:val="none" w:sz="0" w:space="0" w:color="auto"/>
        <w:right w:val="none" w:sz="0" w:space="0" w:color="auto"/>
      </w:divBdr>
    </w:div>
    <w:div w:id="717047746">
      <w:bodyDiv w:val="1"/>
      <w:marLeft w:val="0"/>
      <w:marRight w:val="0"/>
      <w:marTop w:val="0"/>
      <w:marBottom w:val="0"/>
      <w:divBdr>
        <w:top w:val="none" w:sz="0" w:space="0" w:color="auto"/>
        <w:left w:val="none" w:sz="0" w:space="0" w:color="auto"/>
        <w:bottom w:val="none" w:sz="0" w:space="0" w:color="auto"/>
        <w:right w:val="none" w:sz="0" w:space="0" w:color="auto"/>
      </w:divBdr>
    </w:div>
    <w:div w:id="717054263">
      <w:bodyDiv w:val="1"/>
      <w:marLeft w:val="0"/>
      <w:marRight w:val="0"/>
      <w:marTop w:val="0"/>
      <w:marBottom w:val="0"/>
      <w:divBdr>
        <w:top w:val="none" w:sz="0" w:space="0" w:color="auto"/>
        <w:left w:val="none" w:sz="0" w:space="0" w:color="auto"/>
        <w:bottom w:val="none" w:sz="0" w:space="0" w:color="auto"/>
        <w:right w:val="none" w:sz="0" w:space="0" w:color="auto"/>
      </w:divBdr>
    </w:div>
    <w:div w:id="717246677">
      <w:bodyDiv w:val="1"/>
      <w:marLeft w:val="0"/>
      <w:marRight w:val="0"/>
      <w:marTop w:val="0"/>
      <w:marBottom w:val="0"/>
      <w:divBdr>
        <w:top w:val="none" w:sz="0" w:space="0" w:color="auto"/>
        <w:left w:val="none" w:sz="0" w:space="0" w:color="auto"/>
        <w:bottom w:val="none" w:sz="0" w:space="0" w:color="auto"/>
        <w:right w:val="none" w:sz="0" w:space="0" w:color="auto"/>
      </w:divBdr>
    </w:div>
    <w:div w:id="717317183">
      <w:bodyDiv w:val="1"/>
      <w:marLeft w:val="0"/>
      <w:marRight w:val="0"/>
      <w:marTop w:val="0"/>
      <w:marBottom w:val="0"/>
      <w:divBdr>
        <w:top w:val="none" w:sz="0" w:space="0" w:color="auto"/>
        <w:left w:val="none" w:sz="0" w:space="0" w:color="auto"/>
        <w:bottom w:val="none" w:sz="0" w:space="0" w:color="auto"/>
        <w:right w:val="none" w:sz="0" w:space="0" w:color="auto"/>
      </w:divBdr>
    </w:div>
    <w:div w:id="717322336">
      <w:bodyDiv w:val="1"/>
      <w:marLeft w:val="0"/>
      <w:marRight w:val="0"/>
      <w:marTop w:val="0"/>
      <w:marBottom w:val="0"/>
      <w:divBdr>
        <w:top w:val="none" w:sz="0" w:space="0" w:color="auto"/>
        <w:left w:val="none" w:sz="0" w:space="0" w:color="auto"/>
        <w:bottom w:val="none" w:sz="0" w:space="0" w:color="auto"/>
        <w:right w:val="none" w:sz="0" w:space="0" w:color="auto"/>
      </w:divBdr>
    </w:div>
    <w:div w:id="717357947">
      <w:bodyDiv w:val="1"/>
      <w:marLeft w:val="0"/>
      <w:marRight w:val="0"/>
      <w:marTop w:val="0"/>
      <w:marBottom w:val="0"/>
      <w:divBdr>
        <w:top w:val="none" w:sz="0" w:space="0" w:color="auto"/>
        <w:left w:val="none" w:sz="0" w:space="0" w:color="auto"/>
        <w:bottom w:val="none" w:sz="0" w:space="0" w:color="auto"/>
        <w:right w:val="none" w:sz="0" w:space="0" w:color="auto"/>
      </w:divBdr>
    </w:div>
    <w:div w:id="717358939">
      <w:bodyDiv w:val="1"/>
      <w:marLeft w:val="0"/>
      <w:marRight w:val="0"/>
      <w:marTop w:val="0"/>
      <w:marBottom w:val="0"/>
      <w:divBdr>
        <w:top w:val="none" w:sz="0" w:space="0" w:color="auto"/>
        <w:left w:val="none" w:sz="0" w:space="0" w:color="auto"/>
        <w:bottom w:val="none" w:sz="0" w:space="0" w:color="auto"/>
        <w:right w:val="none" w:sz="0" w:space="0" w:color="auto"/>
      </w:divBdr>
    </w:div>
    <w:div w:id="717389652">
      <w:bodyDiv w:val="1"/>
      <w:marLeft w:val="0"/>
      <w:marRight w:val="0"/>
      <w:marTop w:val="0"/>
      <w:marBottom w:val="0"/>
      <w:divBdr>
        <w:top w:val="none" w:sz="0" w:space="0" w:color="auto"/>
        <w:left w:val="none" w:sz="0" w:space="0" w:color="auto"/>
        <w:bottom w:val="none" w:sz="0" w:space="0" w:color="auto"/>
        <w:right w:val="none" w:sz="0" w:space="0" w:color="auto"/>
      </w:divBdr>
    </w:div>
    <w:div w:id="717508036">
      <w:bodyDiv w:val="1"/>
      <w:marLeft w:val="0"/>
      <w:marRight w:val="0"/>
      <w:marTop w:val="0"/>
      <w:marBottom w:val="0"/>
      <w:divBdr>
        <w:top w:val="none" w:sz="0" w:space="0" w:color="auto"/>
        <w:left w:val="none" w:sz="0" w:space="0" w:color="auto"/>
        <w:bottom w:val="none" w:sz="0" w:space="0" w:color="auto"/>
        <w:right w:val="none" w:sz="0" w:space="0" w:color="auto"/>
      </w:divBdr>
    </w:div>
    <w:div w:id="717510301">
      <w:bodyDiv w:val="1"/>
      <w:marLeft w:val="0"/>
      <w:marRight w:val="0"/>
      <w:marTop w:val="0"/>
      <w:marBottom w:val="0"/>
      <w:divBdr>
        <w:top w:val="none" w:sz="0" w:space="0" w:color="auto"/>
        <w:left w:val="none" w:sz="0" w:space="0" w:color="auto"/>
        <w:bottom w:val="none" w:sz="0" w:space="0" w:color="auto"/>
        <w:right w:val="none" w:sz="0" w:space="0" w:color="auto"/>
      </w:divBdr>
    </w:div>
    <w:div w:id="717515715">
      <w:bodyDiv w:val="1"/>
      <w:marLeft w:val="0"/>
      <w:marRight w:val="0"/>
      <w:marTop w:val="0"/>
      <w:marBottom w:val="0"/>
      <w:divBdr>
        <w:top w:val="none" w:sz="0" w:space="0" w:color="auto"/>
        <w:left w:val="none" w:sz="0" w:space="0" w:color="auto"/>
        <w:bottom w:val="none" w:sz="0" w:space="0" w:color="auto"/>
        <w:right w:val="none" w:sz="0" w:space="0" w:color="auto"/>
      </w:divBdr>
    </w:div>
    <w:div w:id="717708844">
      <w:bodyDiv w:val="1"/>
      <w:marLeft w:val="0"/>
      <w:marRight w:val="0"/>
      <w:marTop w:val="0"/>
      <w:marBottom w:val="0"/>
      <w:divBdr>
        <w:top w:val="none" w:sz="0" w:space="0" w:color="auto"/>
        <w:left w:val="none" w:sz="0" w:space="0" w:color="auto"/>
        <w:bottom w:val="none" w:sz="0" w:space="0" w:color="auto"/>
        <w:right w:val="none" w:sz="0" w:space="0" w:color="auto"/>
      </w:divBdr>
    </w:div>
    <w:div w:id="717782132">
      <w:bodyDiv w:val="1"/>
      <w:marLeft w:val="0"/>
      <w:marRight w:val="0"/>
      <w:marTop w:val="0"/>
      <w:marBottom w:val="0"/>
      <w:divBdr>
        <w:top w:val="none" w:sz="0" w:space="0" w:color="auto"/>
        <w:left w:val="none" w:sz="0" w:space="0" w:color="auto"/>
        <w:bottom w:val="none" w:sz="0" w:space="0" w:color="auto"/>
        <w:right w:val="none" w:sz="0" w:space="0" w:color="auto"/>
      </w:divBdr>
    </w:div>
    <w:div w:id="717827050">
      <w:bodyDiv w:val="1"/>
      <w:marLeft w:val="0"/>
      <w:marRight w:val="0"/>
      <w:marTop w:val="0"/>
      <w:marBottom w:val="0"/>
      <w:divBdr>
        <w:top w:val="none" w:sz="0" w:space="0" w:color="auto"/>
        <w:left w:val="none" w:sz="0" w:space="0" w:color="auto"/>
        <w:bottom w:val="none" w:sz="0" w:space="0" w:color="auto"/>
        <w:right w:val="none" w:sz="0" w:space="0" w:color="auto"/>
      </w:divBdr>
    </w:div>
    <w:div w:id="718240683">
      <w:bodyDiv w:val="1"/>
      <w:marLeft w:val="0"/>
      <w:marRight w:val="0"/>
      <w:marTop w:val="0"/>
      <w:marBottom w:val="0"/>
      <w:divBdr>
        <w:top w:val="none" w:sz="0" w:space="0" w:color="auto"/>
        <w:left w:val="none" w:sz="0" w:space="0" w:color="auto"/>
        <w:bottom w:val="none" w:sz="0" w:space="0" w:color="auto"/>
        <w:right w:val="none" w:sz="0" w:space="0" w:color="auto"/>
      </w:divBdr>
    </w:div>
    <w:div w:id="718240698">
      <w:bodyDiv w:val="1"/>
      <w:marLeft w:val="0"/>
      <w:marRight w:val="0"/>
      <w:marTop w:val="0"/>
      <w:marBottom w:val="0"/>
      <w:divBdr>
        <w:top w:val="none" w:sz="0" w:space="0" w:color="auto"/>
        <w:left w:val="none" w:sz="0" w:space="0" w:color="auto"/>
        <w:bottom w:val="none" w:sz="0" w:space="0" w:color="auto"/>
        <w:right w:val="none" w:sz="0" w:space="0" w:color="auto"/>
      </w:divBdr>
    </w:div>
    <w:div w:id="718284440">
      <w:bodyDiv w:val="1"/>
      <w:marLeft w:val="0"/>
      <w:marRight w:val="0"/>
      <w:marTop w:val="0"/>
      <w:marBottom w:val="0"/>
      <w:divBdr>
        <w:top w:val="none" w:sz="0" w:space="0" w:color="auto"/>
        <w:left w:val="none" w:sz="0" w:space="0" w:color="auto"/>
        <w:bottom w:val="none" w:sz="0" w:space="0" w:color="auto"/>
        <w:right w:val="none" w:sz="0" w:space="0" w:color="auto"/>
      </w:divBdr>
    </w:div>
    <w:div w:id="718362488">
      <w:bodyDiv w:val="1"/>
      <w:marLeft w:val="0"/>
      <w:marRight w:val="0"/>
      <w:marTop w:val="0"/>
      <w:marBottom w:val="0"/>
      <w:divBdr>
        <w:top w:val="none" w:sz="0" w:space="0" w:color="auto"/>
        <w:left w:val="none" w:sz="0" w:space="0" w:color="auto"/>
        <w:bottom w:val="none" w:sz="0" w:space="0" w:color="auto"/>
        <w:right w:val="none" w:sz="0" w:space="0" w:color="auto"/>
      </w:divBdr>
    </w:div>
    <w:div w:id="718473612">
      <w:bodyDiv w:val="1"/>
      <w:marLeft w:val="0"/>
      <w:marRight w:val="0"/>
      <w:marTop w:val="0"/>
      <w:marBottom w:val="0"/>
      <w:divBdr>
        <w:top w:val="none" w:sz="0" w:space="0" w:color="auto"/>
        <w:left w:val="none" w:sz="0" w:space="0" w:color="auto"/>
        <w:bottom w:val="none" w:sz="0" w:space="0" w:color="auto"/>
        <w:right w:val="none" w:sz="0" w:space="0" w:color="auto"/>
      </w:divBdr>
    </w:div>
    <w:div w:id="718555429">
      <w:bodyDiv w:val="1"/>
      <w:marLeft w:val="0"/>
      <w:marRight w:val="0"/>
      <w:marTop w:val="0"/>
      <w:marBottom w:val="0"/>
      <w:divBdr>
        <w:top w:val="none" w:sz="0" w:space="0" w:color="auto"/>
        <w:left w:val="none" w:sz="0" w:space="0" w:color="auto"/>
        <w:bottom w:val="none" w:sz="0" w:space="0" w:color="auto"/>
        <w:right w:val="none" w:sz="0" w:space="0" w:color="auto"/>
      </w:divBdr>
    </w:div>
    <w:div w:id="718557434">
      <w:bodyDiv w:val="1"/>
      <w:marLeft w:val="0"/>
      <w:marRight w:val="0"/>
      <w:marTop w:val="0"/>
      <w:marBottom w:val="0"/>
      <w:divBdr>
        <w:top w:val="none" w:sz="0" w:space="0" w:color="auto"/>
        <w:left w:val="none" w:sz="0" w:space="0" w:color="auto"/>
        <w:bottom w:val="none" w:sz="0" w:space="0" w:color="auto"/>
        <w:right w:val="none" w:sz="0" w:space="0" w:color="auto"/>
      </w:divBdr>
    </w:div>
    <w:div w:id="718668667">
      <w:bodyDiv w:val="1"/>
      <w:marLeft w:val="0"/>
      <w:marRight w:val="0"/>
      <w:marTop w:val="0"/>
      <w:marBottom w:val="0"/>
      <w:divBdr>
        <w:top w:val="none" w:sz="0" w:space="0" w:color="auto"/>
        <w:left w:val="none" w:sz="0" w:space="0" w:color="auto"/>
        <w:bottom w:val="none" w:sz="0" w:space="0" w:color="auto"/>
        <w:right w:val="none" w:sz="0" w:space="0" w:color="auto"/>
      </w:divBdr>
    </w:div>
    <w:div w:id="718822166">
      <w:bodyDiv w:val="1"/>
      <w:marLeft w:val="0"/>
      <w:marRight w:val="0"/>
      <w:marTop w:val="0"/>
      <w:marBottom w:val="0"/>
      <w:divBdr>
        <w:top w:val="none" w:sz="0" w:space="0" w:color="auto"/>
        <w:left w:val="none" w:sz="0" w:space="0" w:color="auto"/>
        <w:bottom w:val="none" w:sz="0" w:space="0" w:color="auto"/>
        <w:right w:val="none" w:sz="0" w:space="0" w:color="auto"/>
      </w:divBdr>
    </w:div>
    <w:div w:id="718823979">
      <w:bodyDiv w:val="1"/>
      <w:marLeft w:val="0"/>
      <w:marRight w:val="0"/>
      <w:marTop w:val="0"/>
      <w:marBottom w:val="0"/>
      <w:divBdr>
        <w:top w:val="none" w:sz="0" w:space="0" w:color="auto"/>
        <w:left w:val="none" w:sz="0" w:space="0" w:color="auto"/>
        <w:bottom w:val="none" w:sz="0" w:space="0" w:color="auto"/>
        <w:right w:val="none" w:sz="0" w:space="0" w:color="auto"/>
      </w:divBdr>
    </w:div>
    <w:div w:id="718826353">
      <w:bodyDiv w:val="1"/>
      <w:marLeft w:val="0"/>
      <w:marRight w:val="0"/>
      <w:marTop w:val="0"/>
      <w:marBottom w:val="0"/>
      <w:divBdr>
        <w:top w:val="none" w:sz="0" w:space="0" w:color="auto"/>
        <w:left w:val="none" w:sz="0" w:space="0" w:color="auto"/>
        <w:bottom w:val="none" w:sz="0" w:space="0" w:color="auto"/>
        <w:right w:val="none" w:sz="0" w:space="0" w:color="auto"/>
      </w:divBdr>
    </w:div>
    <w:div w:id="719279404">
      <w:bodyDiv w:val="1"/>
      <w:marLeft w:val="0"/>
      <w:marRight w:val="0"/>
      <w:marTop w:val="0"/>
      <w:marBottom w:val="0"/>
      <w:divBdr>
        <w:top w:val="none" w:sz="0" w:space="0" w:color="auto"/>
        <w:left w:val="none" w:sz="0" w:space="0" w:color="auto"/>
        <w:bottom w:val="none" w:sz="0" w:space="0" w:color="auto"/>
        <w:right w:val="none" w:sz="0" w:space="0" w:color="auto"/>
      </w:divBdr>
    </w:div>
    <w:div w:id="719472814">
      <w:bodyDiv w:val="1"/>
      <w:marLeft w:val="0"/>
      <w:marRight w:val="0"/>
      <w:marTop w:val="0"/>
      <w:marBottom w:val="0"/>
      <w:divBdr>
        <w:top w:val="none" w:sz="0" w:space="0" w:color="auto"/>
        <w:left w:val="none" w:sz="0" w:space="0" w:color="auto"/>
        <w:bottom w:val="none" w:sz="0" w:space="0" w:color="auto"/>
        <w:right w:val="none" w:sz="0" w:space="0" w:color="auto"/>
      </w:divBdr>
    </w:div>
    <w:div w:id="719479140">
      <w:bodyDiv w:val="1"/>
      <w:marLeft w:val="0"/>
      <w:marRight w:val="0"/>
      <w:marTop w:val="0"/>
      <w:marBottom w:val="0"/>
      <w:divBdr>
        <w:top w:val="none" w:sz="0" w:space="0" w:color="auto"/>
        <w:left w:val="none" w:sz="0" w:space="0" w:color="auto"/>
        <w:bottom w:val="none" w:sz="0" w:space="0" w:color="auto"/>
        <w:right w:val="none" w:sz="0" w:space="0" w:color="auto"/>
      </w:divBdr>
    </w:div>
    <w:div w:id="719481226">
      <w:bodyDiv w:val="1"/>
      <w:marLeft w:val="0"/>
      <w:marRight w:val="0"/>
      <w:marTop w:val="0"/>
      <w:marBottom w:val="0"/>
      <w:divBdr>
        <w:top w:val="none" w:sz="0" w:space="0" w:color="auto"/>
        <w:left w:val="none" w:sz="0" w:space="0" w:color="auto"/>
        <w:bottom w:val="none" w:sz="0" w:space="0" w:color="auto"/>
        <w:right w:val="none" w:sz="0" w:space="0" w:color="auto"/>
      </w:divBdr>
    </w:div>
    <w:div w:id="719481241">
      <w:bodyDiv w:val="1"/>
      <w:marLeft w:val="0"/>
      <w:marRight w:val="0"/>
      <w:marTop w:val="0"/>
      <w:marBottom w:val="0"/>
      <w:divBdr>
        <w:top w:val="none" w:sz="0" w:space="0" w:color="auto"/>
        <w:left w:val="none" w:sz="0" w:space="0" w:color="auto"/>
        <w:bottom w:val="none" w:sz="0" w:space="0" w:color="auto"/>
        <w:right w:val="none" w:sz="0" w:space="0" w:color="auto"/>
      </w:divBdr>
    </w:div>
    <w:div w:id="719666260">
      <w:bodyDiv w:val="1"/>
      <w:marLeft w:val="0"/>
      <w:marRight w:val="0"/>
      <w:marTop w:val="0"/>
      <w:marBottom w:val="0"/>
      <w:divBdr>
        <w:top w:val="none" w:sz="0" w:space="0" w:color="auto"/>
        <w:left w:val="none" w:sz="0" w:space="0" w:color="auto"/>
        <w:bottom w:val="none" w:sz="0" w:space="0" w:color="auto"/>
        <w:right w:val="none" w:sz="0" w:space="0" w:color="auto"/>
      </w:divBdr>
    </w:div>
    <w:div w:id="719670013">
      <w:bodyDiv w:val="1"/>
      <w:marLeft w:val="0"/>
      <w:marRight w:val="0"/>
      <w:marTop w:val="0"/>
      <w:marBottom w:val="0"/>
      <w:divBdr>
        <w:top w:val="none" w:sz="0" w:space="0" w:color="auto"/>
        <w:left w:val="none" w:sz="0" w:space="0" w:color="auto"/>
        <w:bottom w:val="none" w:sz="0" w:space="0" w:color="auto"/>
        <w:right w:val="none" w:sz="0" w:space="0" w:color="auto"/>
      </w:divBdr>
    </w:div>
    <w:div w:id="719717135">
      <w:bodyDiv w:val="1"/>
      <w:marLeft w:val="0"/>
      <w:marRight w:val="0"/>
      <w:marTop w:val="0"/>
      <w:marBottom w:val="0"/>
      <w:divBdr>
        <w:top w:val="none" w:sz="0" w:space="0" w:color="auto"/>
        <w:left w:val="none" w:sz="0" w:space="0" w:color="auto"/>
        <w:bottom w:val="none" w:sz="0" w:space="0" w:color="auto"/>
        <w:right w:val="none" w:sz="0" w:space="0" w:color="auto"/>
      </w:divBdr>
    </w:div>
    <w:div w:id="719745418">
      <w:bodyDiv w:val="1"/>
      <w:marLeft w:val="0"/>
      <w:marRight w:val="0"/>
      <w:marTop w:val="0"/>
      <w:marBottom w:val="0"/>
      <w:divBdr>
        <w:top w:val="none" w:sz="0" w:space="0" w:color="auto"/>
        <w:left w:val="none" w:sz="0" w:space="0" w:color="auto"/>
        <w:bottom w:val="none" w:sz="0" w:space="0" w:color="auto"/>
        <w:right w:val="none" w:sz="0" w:space="0" w:color="auto"/>
      </w:divBdr>
    </w:div>
    <w:div w:id="719867295">
      <w:bodyDiv w:val="1"/>
      <w:marLeft w:val="0"/>
      <w:marRight w:val="0"/>
      <w:marTop w:val="0"/>
      <w:marBottom w:val="0"/>
      <w:divBdr>
        <w:top w:val="none" w:sz="0" w:space="0" w:color="auto"/>
        <w:left w:val="none" w:sz="0" w:space="0" w:color="auto"/>
        <w:bottom w:val="none" w:sz="0" w:space="0" w:color="auto"/>
        <w:right w:val="none" w:sz="0" w:space="0" w:color="auto"/>
      </w:divBdr>
    </w:div>
    <w:div w:id="720134867">
      <w:bodyDiv w:val="1"/>
      <w:marLeft w:val="0"/>
      <w:marRight w:val="0"/>
      <w:marTop w:val="0"/>
      <w:marBottom w:val="0"/>
      <w:divBdr>
        <w:top w:val="none" w:sz="0" w:space="0" w:color="auto"/>
        <w:left w:val="none" w:sz="0" w:space="0" w:color="auto"/>
        <w:bottom w:val="none" w:sz="0" w:space="0" w:color="auto"/>
        <w:right w:val="none" w:sz="0" w:space="0" w:color="auto"/>
      </w:divBdr>
    </w:div>
    <w:div w:id="720247456">
      <w:bodyDiv w:val="1"/>
      <w:marLeft w:val="0"/>
      <w:marRight w:val="0"/>
      <w:marTop w:val="0"/>
      <w:marBottom w:val="0"/>
      <w:divBdr>
        <w:top w:val="none" w:sz="0" w:space="0" w:color="auto"/>
        <w:left w:val="none" w:sz="0" w:space="0" w:color="auto"/>
        <w:bottom w:val="none" w:sz="0" w:space="0" w:color="auto"/>
        <w:right w:val="none" w:sz="0" w:space="0" w:color="auto"/>
      </w:divBdr>
    </w:div>
    <w:div w:id="720253905">
      <w:bodyDiv w:val="1"/>
      <w:marLeft w:val="0"/>
      <w:marRight w:val="0"/>
      <w:marTop w:val="0"/>
      <w:marBottom w:val="0"/>
      <w:divBdr>
        <w:top w:val="none" w:sz="0" w:space="0" w:color="auto"/>
        <w:left w:val="none" w:sz="0" w:space="0" w:color="auto"/>
        <w:bottom w:val="none" w:sz="0" w:space="0" w:color="auto"/>
        <w:right w:val="none" w:sz="0" w:space="0" w:color="auto"/>
      </w:divBdr>
    </w:div>
    <w:div w:id="720254550">
      <w:bodyDiv w:val="1"/>
      <w:marLeft w:val="0"/>
      <w:marRight w:val="0"/>
      <w:marTop w:val="0"/>
      <w:marBottom w:val="0"/>
      <w:divBdr>
        <w:top w:val="none" w:sz="0" w:space="0" w:color="auto"/>
        <w:left w:val="none" w:sz="0" w:space="0" w:color="auto"/>
        <w:bottom w:val="none" w:sz="0" w:space="0" w:color="auto"/>
        <w:right w:val="none" w:sz="0" w:space="0" w:color="auto"/>
      </w:divBdr>
    </w:div>
    <w:div w:id="720254927">
      <w:bodyDiv w:val="1"/>
      <w:marLeft w:val="0"/>
      <w:marRight w:val="0"/>
      <w:marTop w:val="0"/>
      <w:marBottom w:val="0"/>
      <w:divBdr>
        <w:top w:val="none" w:sz="0" w:space="0" w:color="auto"/>
        <w:left w:val="none" w:sz="0" w:space="0" w:color="auto"/>
        <w:bottom w:val="none" w:sz="0" w:space="0" w:color="auto"/>
        <w:right w:val="none" w:sz="0" w:space="0" w:color="auto"/>
      </w:divBdr>
    </w:div>
    <w:div w:id="720444191">
      <w:bodyDiv w:val="1"/>
      <w:marLeft w:val="0"/>
      <w:marRight w:val="0"/>
      <w:marTop w:val="0"/>
      <w:marBottom w:val="0"/>
      <w:divBdr>
        <w:top w:val="none" w:sz="0" w:space="0" w:color="auto"/>
        <w:left w:val="none" w:sz="0" w:space="0" w:color="auto"/>
        <w:bottom w:val="none" w:sz="0" w:space="0" w:color="auto"/>
        <w:right w:val="none" w:sz="0" w:space="0" w:color="auto"/>
      </w:divBdr>
    </w:div>
    <w:div w:id="720515666">
      <w:bodyDiv w:val="1"/>
      <w:marLeft w:val="0"/>
      <w:marRight w:val="0"/>
      <w:marTop w:val="0"/>
      <w:marBottom w:val="0"/>
      <w:divBdr>
        <w:top w:val="none" w:sz="0" w:space="0" w:color="auto"/>
        <w:left w:val="none" w:sz="0" w:space="0" w:color="auto"/>
        <w:bottom w:val="none" w:sz="0" w:space="0" w:color="auto"/>
        <w:right w:val="none" w:sz="0" w:space="0" w:color="auto"/>
      </w:divBdr>
    </w:div>
    <w:div w:id="720521889">
      <w:bodyDiv w:val="1"/>
      <w:marLeft w:val="0"/>
      <w:marRight w:val="0"/>
      <w:marTop w:val="0"/>
      <w:marBottom w:val="0"/>
      <w:divBdr>
        <w:top w:val="none" w:sz="0" w:space="0" w:color="auto"/>
        <w:left w:val="none" w:sz="0" w:space="0" w:color="auto"/>
        <w:bottom w:val="none" w:sz="0" w:space="0" w:color="auto"/>
        <w:right w:val="none" w:sz="0" w:space="0" w:color="auto"/>
      </w:divBdr>
    </w:div>
    <w:div w:id="720634897">
      <w:bodyDiv w:val="1"/>
      <w:marLeft w:val="0"/>
      <w:marRight w:val="0"/>
      <w:marTop w:val="0"/>
      <w:marBottom w:val="0"/>
      <w:divBdr>
        <w:top w:val="none" w:sz="0" w:space="0" w:color="auto"/>
        <w:left w:val="none" w:sz="0" w:space="0" w:color="auto"/>
        <w:bottom w:val="none" w:sz="0" w:space="0" w:color="auto"/>
        <w:right w:val="none" w:sz="0" w:space="0" w:color="auto"/>
      </w:divBdr>
    </w:div>
    <w:div w:id="720711830">
      <w:bodyDiv w:val="1"/>
      <w:marLeft w:val="0"/>
      <w:marRight w:val="0"/>
      <w:marTop w:val="0"/>
      <w:marBottom w:val="0"/>
      <w:divBdr>
        <w:top w:val="none" w:sz="0" w:space="0" w:color="auto"/>
        <w:left w:val="none" w:sz="0" w:space="0" w:color="auto"/>
        <w:bottom w:val="none" w:sz="0" w:space="0" w:color="auto"/>
        <w:right w:val="none" w:sz="0" w:space="0" w:color="auto"/>
      </w:divBdr>
    </w:div>
    <w:div w:id="720715662">
      <w:bodyDiv w:val="1"/>
      <w:marLeft w:val="0"/>
      <w:marRight w:val="0"/>
      <w:marTop w:val="0"/>
      <w:marBottom w:val="0"/>
      <w:divBdr>
        <w:top w:val="none" w:sz="0" w:space="0" w:color="auto"/>
        <w:left w:val="none" w:sz="0" w:space="0" w:color="auto"/>
        <w:bottom w:val="none" w:sz="0" w:space="0" w:color="auto"/>
        <w:right w:val="none" w:sz="0" w:space="0" w:color="auto"/>
      </w:divBdr>
    </w:div>
    <w:div w:id="720830710">
      <w:bodyDiv w:val="1"/>
      <w:marLeft w:val="0"/>
      <w:marRight w:val="0"/>
      <w:marTop w:val="0"/>
      <w:marBottom w:val="0"/>
      <w:divBdr>
        <w:top w:val="none" w:sz="0" w:space="0" w:color="auto"/>
        <w:left w:val="none" w:sz="0" w:space="0" w:color="auto"/>
        <w:bottom w:val="none" w:sz="0" w:space="0" w:color="auto"/>
        <w:right w:val="none" w:sz="0" w:space="0" w:color="auto"/>
      </w:divBdr>
    </w:div>
    <w:div w:id="720834181">
      <w:bodyDiv w:val="1"/>
      <w:marLeft w:val="0"/>
      <w:marRight w:val="0"/>
      <w:marTop w:val="0"/>
      <w:marBottom w:val="0"/>
      <w:divBdr>
        <w:top w:val="none" w:sz="0" w:space="0" w:color="auto"/>
        <w:left w:val="none" w:sz="0" w:space="0" w:color="auto"/>
        <w:bottom w:val="none" w:sz="0" w:space="0" w:color="auto"/>
        <w:right w:val="none" w:sz="0" w:space="0" w:color="auto"/>
      </w:divBdr>
    </w:div>
    <w:div w:id="720858842">
      <w:bodyDiv w:val="1"/>
      <w:marLeft w:val="0"/>
      <w:marRight w:val="0"/>
      <w:marTop w:val="0"/>
      <w:marBottom w:val="0"/>
      <w:divBdr>
        <w:top w:val="none" w:sz="0" w:space="0" w:color="auto"/>
        <w:left w:val="none" w:sz="0" w:space="0" w:color="auto"/>
        <w:bottom w:val="none" w:sz="0" w:space="0" w:color="auto"/>
        <w:right w:val="none" w:sz="0" w:space="0" w:color="auto"/>
      </w:divBdr>
    </w:div>
    <w:div w:id="720984234">
      <w:bodyDiv w:val="1"/>
      <w:marLeft w:val="0"/>
      <w:marRight w:val="0"/>
      <w:marTop w:val="0"/>
      <w:marBottom w:val="0"/>
      <w:divBdr>
        <w:top w:val="none" w:sz="0" w:space="0" w:color="auto"/>
        <w:left w:val="none" w:sz="0" w:space="0" w:color="auto"/>
        <w:bottom w:val="none" w:sz="0" w:space="0" w:color="auto"/>
        <w:right w:val="none" w:sz="0" w:space="0" w:color="auto"/>
      </w:divBdr>
    </w:div>
    <w:div w:id="721056953">
      <w:bodyDiv w:val="1"/>
      <w:marLeft w:val="0"/>
      <w:marRight w:val="0"/>
      <w:marTop w:val="0"/>
      <w:marBottom w:val="0"/>
      <w:divBdr>
        <w:top w:val="none" w:sz="0" w:space="0" w:color="auto"/>
        <w:left w:val="none" w:sz="0" w:space="0" w:color="auto"/>
        <w:bottom w:val="none" w:sz="0" w:space="0" w:color="auto"/>
        <w:right w:val="none" w:sz="0" w:space="0" w:color="auto"/>
      </w:divBdr>
    </w:div>
    <w:div w:id="721058084">
      <w:bodyDiv w:val="1"/>
      <w:marLeft w:val="0"/>
      <w:marRight w:val="0"/>
      <w:marTop w:val="0"/>
      <w:marBottom w:val="0"/>
      <w:divBdr>
        <w:top w:val="none" w:sz="0" w:space="0" w:color="auto"/>
        <w:left w:val="none" w:sz="0" w:space="0" w:color="auto"/>
        <w:bottom w:val="none" w:sz="0" w:space="0" w:color="auto"/>
        <w:right w:val="none" w:sz="0" w:space="0" w:color="auto"/>
      </w:divBdr>
    </w:div>
    <w:div w:id="721058988">
      <w:bodyDiv w:val="1"/>
      <w:marLeft w:val="0"/>
      <w:marRight w:val="0"/>
      <w:marTop w:val="0"/>
      <w:marBottom w:val="0"/>
      <w:divBdr>
        <w:top w:val="none" w:sz="0" w:space="0" w:color="auto"/>
        <w:left w:val="none" w:sz="0" w:space="0" w:color="auto"/>
        <w:bottom w:val="none" w:sz="0" w:space="0" w:color="auto"/>
        <w:right w:val="none" w:sz="0" w:space="0" w:color="auto"/>
      </w:divBdr>
    </w:div>
    <w:div w:id="721095100">
      <w:bodyDiv w:val="1"/>
      <w:marLeft w:val="0"/>
      <w:marRight w:val="0"/>
      <w:marTop w:val="0"/>
      <w:marBottom w:val="0"/>
      <w:divBdr>
        <w:top w:val="none" w:sz="0" w:space="0" w:color="auto"/>
        <w:left w:val="none" w:sz="0" w:space="0" w:color="auto"/>
        <w:bottom w:val="none" w:sz="0" w:space="0" w:color="auto"/>
        <w:right w:val="none" w:sz="0" w:space="0" w:color="auto"/>
      </w:divBdr>
    </w:div>
    <w:div w:id="721104109">
      <w:bodyDiv w:val="1"/>
      <w:marLeft w:val="0"/>
      <w:marRight w:val="0"/>
      <w:marTop w:val="0"/>
      <w:marBottom w:val="0"/>
      <w:divBdr>
        <w:top w:val="none" w:sz="0" w:space="0" w:color="auto"/>
        <w:left w:val="none" w:sz="0" w:space="0" w:color="auto"/>
        <w:bottom w:val="none" w:sz="0" w:space="0" w:color="auto"/>
        <w:right w:val="none" w:sz="0" w:space="0" w:color="auto"/>
      </w:divBdr>
    </w:div>
    <w:div w:id="721245354">
      <w:bodyDiv w:val="1"/>
      <w:marLeft w:val="0"/>
      <w:marRight w:val="0"/>
      <w:marTop w:val="0"/>
      <w:marBottom w:val="0"/>
      <w:divBdr>
        <w:top w:val="none" w:sz="0" w:space="0" w:color="auto"/>
        <w:left w:val="none" w:sz="0" w:space="0" w:color="auto"/>
        <w:bottom w:val="none" w:sz="0" w:space="0" w:color="auto"/>
        <w:right w:val="none" w:sz="0" w:space="0" w:color="auto"/>
      </w:divBdr>
    </w:div>
    <w:div w:id="721293578">
      <w:bodyDiv w:val="1"/>
      <w:marLeft w:val="0"/>
      <w:marRight w:val="0"/>
      <w:marTop w:val="0"/>
      <w:marBottom w:val="0"/>
      <w:divBdr>
        <w:top w:val="none" w:sz="0" w:space="0" w:color="auto"/>
        <w:left w:val="none" w:sz="0" w:space="0" w:color="auto"/>
        <w:bottom w:val="none" w:sz="0" w:space="0" w:color="auto"/>
        <w:right w:val="none" w:sz="0" w:space="0" w:color="auto"/>
      </w:divBdr>
    </w:div>
    <w:div w:id="721293615">
      <w:bodyDiv w:val="1"/>
      <w:marLeft w:val="0"/>
      <w:marRight w:val="0"/>
      <w:marTop w:val="0"/>
      <w:marBottom w:val="0"/>
      <w:divBdr>
        <w:top w:val="none" w:sz="0" w:space="0" w:color="auto"/>
        <w:left w:val="none" w:sz="0" w:space="0" w:color="auto"/>
        <w:bottom w:val="none" w:sz="0" w:space="0" w:color="auto"/>
        <w:right w:val="none" w:sz="0" w:space="0" w:color="auto"/>
      </w:divBdr>
    </w:div>
    <w:div w:id="721296984">
      <w:bodyDiv w:val="1"/>
      <w:marLeft w:val="0"/>
      <w:marRight w:val="0"/>
      <w:marTop w:val="0"/>
      <w:marBottom w:val="0"/>
      <w:divBdr>
        <w:top w:val="none" w:sz="0" w:space="0" w:color="auto"/>
        <w:left w:val="none" w:sz="0" w:space="0" w:color="auto"/>
        <w:bottom w:val="none" w:sz="0" w:space="0" w:color="auto"/>
        <w:right w:val="none" w:sz="0" w:space="0" w:color="auto"/>
      </w:divBdr>
    </w:div>
    <w:div w:id="721372458">
      <w:bodyDiv w:val="1"/>
      <w:marLeft w:val="0"/>
      <w:marRight w:val="0"/>
      <w:marTop w:val="0"/>
      <w:marBottom w:val="0"/>
      <w:divBdr>
        <w:top w:val="none" w:sz="0" w:space="0" w:color="auto"/>
        <w:left w:val="none" w:sz="0" w:space="0" w:color="auto"/>
        <w:bottom w:val="none" w:sz="0" w:space="0" w:color="auto"/>
        <w:right w:val="none" w:sz="0" w:space="0" w:color="auto"/>
      </w:divBdr>
    </w:div>
    <w:div w:id="721439452">
      <w:bodyDiv w:val="1"/>
      <w:marLeft w:val="0"/>
      <w:marRight w:val="0"/>
      <w:marTop w:val="0"/>
      <w:marBottom w:val="0"/>
      <w:divBdr>
        <w:top w:val="none" w:sz="0" w:space="0" w:color="auto"/>
        <w:left w:val="none" w:sz="0" w:space="0" w:color="auto"/>
        <w:bottom w:val="none" w:sz="0" w:space="0" w:color="auto"/>
        <w:right w:val="none" w:sz="0" w:space="0" w:color="auto"/>
      </w:divBdr>
    </w:div>
    <w:div w:id="721444200">
      <w:bodyDiv w:val="1"/>
      <w:marLeft w:val="0"/>
      <w:marRight w:val="0"/>
      <w:marTop w:val="0"/>
      <w:marBottom w:val="0"/>
      <w:divBdr>
        <w:top w:val="none" w:sz="0" w:space="0" w:color="auto"/>
        <w:left w:val="none" w:sz="0" w:space="0" w:color="auto"/>
        <w:bottom w:val="none" w:sz="0" w:space="0" w:color="auto"/>
        <w:right w:val="none" w:sz="0" w:space="0" w:color="auto"/>
      </w:divBdr>
    </w:div>
    <w:div w:id="721448216">
      <w:bodyDiv w:val="1"/>
      <w:marLeft w:val="0"/>
      <w:marRight w:val="0"/>
      <w:marTop w:val="0"/>
      <w:marBottom w:val="0"/>
      <w:divBdr>
        <w:top w:val="none" w:sz="0" w:space="0" w:color="auto"/>
        <w:left w:val="none" w:sz="0" w:space="0" w:color="auto"/>
        <w:bottom w:val="none" w:sz="0" w:space="0" w:color="auto"/>
        <w:right w:val="none" w:sz="0" w:space="0" w:color="auto"/>
      </w:divBdr>
    </w:div>
    <w:div w:id="721489134">
      <w:bodyDiv w:val="1"/>
      <w:marLeft w:val="0"/>
      <w:marRight w:val="0"/>
      <w:marTop w:val="0"/>
      <w:marBottom w:val="0"/>
      <w:divBdr>
        <w:top w:val="none" w:sz="0" w:space="0" w:color="auto"/>
        <w:left w:val="none" w:sz="0" w:space="0" w:color="auto"/>
        <w:bottom w:val="none" w:sz="0" w:space="0" w:color="auto"/>
        <w:right w:val="none" w:sz="0" w:space="0" w:color="auto"/>
      </w:divBdr>
    </w:div>
    <w:div w:id="721515780">
      <w:bodyDiv w:val="1"/>
      <w:marLeft w:val="0"/>
      <w:marRight w:val="0"/>
      <w:marTop w:val="0"/>
      <w:marBottom w:val="0"/>
      <w:divBdr>
        <w:top w:val="none" w:sz="0" w:space="0" w:color="auto"/>
        <w:left w:val="none" w:sz="0" w:space="0" w:color="auto"/>
        <w:bottom w:val="none" w:sz="0" w:space="0" w:color="auto"/>
        <w:right w:val="none" w:sz="0" w:space="0" w:color="auto"/>
      </w:divBdr>
    </w:div>
    <w:div w:id="721559216">
      <w:bodyDiv w:val="1"/>
      <w:marLeft w:val="0"/>
      <w:marRight w:val="0"/>
      <w:marTop w:val="0"/>
      <w:marBottom w:val="0"/>
      <w:divBdr>
        <w:top w:val="none" w:sz="0" w:space="0" w:color="auto"/>
        <w:left w:val="none" w:sz="0" w:space="0" w:color="auto"/>
        <w:bottom w:val="none" w:sz="0" w:space="0" w:color="auto"/>
        <w:right w:val="none" w:sz="0" w:space="0" w:color="auto"/>
      </w:divBdr>
    </w:div>
    <w:div w:id="721635581">
      <w:bodyDiv w:val="1"/>
      <w:marLeft w:val="0"/>
      <w:marRight w:val="0"/>
      <w:marTop w:val="0"/>
      <w:marBottom w:val="0"/>
      <w:divBdr>
        <w:top w:val="none" w:sz="0" w:space="0" w:color="auto"/>
        <w:left w:val="none" w:sz="0" w:space="0" w:color="auto"/>
        <w:bottom w:val="none" w:sz="0" w:space="0" w:color="auto"/>
        <w:right w:val="none" w:sz="0" w:space="0" w:color="auto"/>
      </w:divBdr>
    </w:div>
    <w:div w:id="721638489">
      <w:bodyDiv w:val="1"/>
      <w:marLeft w:val="0"/>
      <w:marRight w:val="0"/>
      <w:marTop w:val="0"/>
      <w:marBottom w:val="0"/>
      <w:divBdr>
        <w:top w:val="none" w:sz="0" w:space="0" w:color="auto"/>
        <w:left w:val="none" w:sz="0" w:space="0" w:color="auto"/>
        <w:bottom w:val="none" w:sz="0" w:space="0" w:color="auto"/>
        <w:right w:val="none" w:sz="0" w:space="0" w:color="auto"/>
      </w:divBdr>
    </w:div>
    <w:div w:id="721903563">
      <w:bodyDiv w:val="1"/>
      <w:marLeft w:val="0"/>
      <w:marRight w:val="0"/>
      <w:marTop w:val="0"/>
      <w:marBottom w:val="0"/>
      <w:divBdr>
        <w:top w:val="none" w:sz="0" w:space="0" w:color="auto"/>
        <w:left w:val="none" w:sz="0" w:space="0" w:color="auto"/>
        <w:bottom w:val="none" w:sz="0" w:space="0" w:color="auto"/>
        <w:right w:val="none" w:sz="0" w:space="0" w:color="auto"/>
      </w:divBdr>
    </w:div>
    <w:div w:id="722093849">
      <w:bodyDiv w:val="1"/>
      <w:marLeft w:val="0"/>
      <w:marRight w:val="0"/>
      <w:marTop w:val="0"/>
      <w:marBottom w:val="0"/>
      <w:divBdr>
        <w:top w:val="none" w:sz="0" w:space="0" w:color="auto"/>
        <w:left w:val="none" w:sz="0" w:space="0" w:color="auto"/>
        <w:bottom w:val="none" w:sz="0" w:space="0" w:color="auto"/>
        <w:right w:val="none" w:sz="0" w:space="0" w:color="auto"/>
      </w:divBdr>
    </w:div>
    <w:div w:id="722098717">
      <w:bodyDiv w:val="1"/>
      <w:marLeft w:val="0"/>
      <w:marRight w:val="0"/>
      <w:marTop w:val="0"/>
      <w:marBottom w:val="0"/>
      <w:divBdr>
        <w:top w:val="none" w:sz="0" w:space="0" w:color="auto"/>
        <w:left w:val="none" w:sz="0" w:space="0" w:color="auto"/>
        <w:bottom w:val="none" w:sz="0" w:space="0" w:color="auto"/>
        <w:right w:val="none" w:sz="0" w:space="0" w:color="auto"/>
      </w:divBdr>
    </w:div>
    <w:div w:id="722101146">
      <w:bodyDiv w:val="1"/>
      <w:marLeft w:val="0"/>
      <w:marRight w:val="0"/>
      <w:marTop w:val="0"/>
      <w:marBottom w:val="0"/>
      <w:divBdr>
        <w:top w:val="none" w:sz="0" w:space="0" w:color="auto"/>
        <w:left w:val="none" w:sz="0" w:space="0" w:color="auto"/>
        <w:bottom w:val="none" w:sz="0" w:space="0" w:color="auto"/>
        <w:right w:val="none" w:sz="0" w:space="0" w:color="auto"/>
      </w:divBdr>
    </w:div>
    <w:div w:id="722144840">
      <w:bodyDiv w:val="1"/>
      <w:marLeft w:val="0"/>
      <w:marRight w:val="0"/>
      <w:marTop w:val="0"/>
      <w:marBottom w:val="0"/>
      <w:divBdr>
        <w:top w:val="none" w:sz="0" w:space="0" w:color="auto"/>
        <w:left w:val="none" w:sz="0" w:space="0" w:color="auto"/>
        <w:bottom w:val="none" w:sz="0" w:space="0" w:color="auto"/>
        <w:right w:val="none" w:sz="0" w:space="0" w:color="auto"/>
      </w:divBdr>
    </w:div>
    <w:div w:id="722171378">
      <w:bodyDiv w:val="1"/>
      <w:marLeft w:val="0"/>
      <w:marRight w:val="0"/>
      <w:marTop w:val="0"/>
      <w:marBottom w:val="0"/>
      <w:divBdr>
        <w:top w:val="none" w:sz="0" w:space="0" w:color="auto"/>
        <w:left w:val="none" w:sz="0" w:space="0" w:color="auto"/>
        <w:bottom w:val="none" w:sz="0" w:space="0" w:color="auto"/>
        <w:right w:val="none" w:sz="0" w:space="0" w:color="auto"/>
      </w:divBdr>
    </w:div>
    <w:div w:id="722215437">
      <w:bodyDiv w:val="1"/>
      <w:marLeft w:val="0"/>
      <w:marRight w:val="0"/>
      <w:marTop w:val="0"/>
      <w:marBottom w:val="0"/>
      <w:divBdr>
        <w:top w:val="none" w:sz="0" w:space="0" w:color="auto"/>
        <w:left w:val="none" w:sz="0" w:space="0" w:color="auto"/>
        <w:bottom w:val="none" w:sz="0" w:space="0" w:color="auto"/>
        <w:right w:val="none" w:sz="0" w:space="0" w:color="auto"/>
      </w:divBdr>
    </w:div>
    <w:div w:id="722218547">
      <w:bodyDiv w:val="1"/>
      <w:marLeft w:val="0"/>
      <w:marRight w:val="0"/>
      <w:marTop w:val="0"/>
      <w:marBottom w:val="0"/>
      <w:divBdr>
        <w:top w:val="none" w:sz="0" w:space="0" w:color="auto"/>
        <w:left w:val="none" w:sz="0" w:space="0" w:color="auto"/>
        <w:bottom w:val="none" w:sz="0" w:space="0" w:color="auto"/>
        <w:right w:val="none" w:sz="0" w:space="0" w:color="auto"/>
      </w:divBdr>
    </w:div>
    <w:div w:id="722407151">
      <w:bodyDiv w:val="1"/>
      <w:marLeft w:val="0"/>
      <w:marRight w:val="0"/>
      <w:marTop w:val="0"/>
      <w:marBottom w:val="0"/>
      <w:divBdr>
        <w:top w:val="none" w:sz="0" w:space="0" w:color="auto"/>
        <w:left w:val="none" w:sz="0" w:space="0" w:color="auto"/>
        <w:bottom w:val="none" w:sz="0" w:space="0" w:color="auto"/>
        <w:right w:val="none" w:sz="0" w:space="0" w:color="auto"/>
      </w:divBdr>
    </w:div>
    <w:div w:id="722408683">
      <w:bodyDiv w:val="1"/>
      <w:marLeft w:val="0"/>
      <w:marRight w:val="0"/>
      <w:marTop w:val="0"/>
      <w:marBottom w:val="0"/>
      <w:divBdr>
        <w:top w:val="none" w:sz="0" w:space="0" w:color="auto"/>
        <w:left w:val="none" w:sz="0" w:space="0" w:color="auto"/>
        <w:bottom w:val="none" w:sz="0" w:space="0" w:color="auto"/>
        <w:right w:val="none" w:sz="0" w:space="0" w:color="auto"/>
      </w:divBdr>
    </w:div>
    <w:div w:id="722409805">
      <w:bodyDiv w:val="1"/>
      <w:marLeft w:val="0"/>
      <w:marRight w:val="0"/>
      <w:marTop w:val="0"/>
      <w:marBottom w:val="0"/>
      <w:divBdr>
        <w:top w:val="none" w:sz="0" w:space="0" w:color="auto"/>
        <w:left w:val="none" w:sz="0" w:space="0" w:color="auto"/>
        <w:bottom w:val="none" w:sz="0" w:space="0" w:color="auto"/>
        <w:right w:val="none" w:sz="0" w:space="0" w:color="auto"/>
      </w:divBdr>
    </w:div>
    <w:div w:id="722411212">
      <w:bodyDiv w:val="1"/>
      <w:marLeft w:val="0"/>
      <w:marRight w:val="0"/>
      <w:marTop w:val="0"/>
      <w:marBottom w:val="0"/>
      <w:divBdr>
        <w:top w:val="none" w:sz="0" w:space="0" w:color="auto"/>
        <w:left w:val="none" w:sz="0" w:space="0" w:color="auto"/>
        <w:bottom w:val="none" w:sz="0" w:space="0" w:color="auto"/>
        <w:right w:val="none" w:sz="0" w:space="0" w:color="auto"/>
      </w:divBdr>
    </w:div>
    <w:div w:id="722413759">
      <w:bodyDiv w:val="1"/>
      <w:marLeft w:val="0"/>
      <w:marRight w:val="0"/>
      <w:marTop w:val="0"/>
      <w:marBottom w:val="0"/>
      <w:divBdr>
        <w:top w:val="none" w:sz="0" w:space="0" w:color="auto"/>
        <w:left w:val="none" w:sz="0" w:space="0" w:color="auto"/>
        <w:bottom w:val="none" w:sz="0" w:space="0" w:color="auto"/>
        <w:right w:val="none" w:sz="0" w:space="0" w:color="auto"/>
      </w:divBdr>
    </w:div>
    <w:div w:id="722485981">
      <w:bodyDiv w:val="1"/>
      <w:marLeft w:val="0"/>
      <w:marRight w:val="0"/>
      <w:marTop w:val="0"/>
      <w:marBottom w:val="0"/>
      <w:divBdr>
        <w:top w:val="none" w:sz="0" w:space="0" w:color="auto"/>
        <w:left w:val="none" w:sz="0" w:space="0" w:color="auto"/>
        <w:bottom w:val="none" w:sz="0" w:space="0" w:color="auto"/>
        <w:right w:val="none" w:sz="0" w:space="0" w:color="auto"/>
      </w:divBdr>
    </w:div>
    <w:div w:id="722754643">
      <w:bodyDiv w:val="1"/>
      <w:marLeft w:val="0"/>
      <w:marRight w:val="0"/>
      <w:marTop w:val="0"/>
      <w:marBottom w:val="0"/>
      <w:divBdr>
        <w:top w:val="none" w:sz="0" w:space="0" w:color="auto"/>
        <w:left w:val="none" w:sz="0" w:space="0" w:color="auto"/>
        <w:bottom w:val="none" w:sz="0" w:space="0" w:color="auto"/>
        <w:right w:val="none" w:sz="0" w:space="0" w:color="auto"/>
      </w:divBdr>
    </w:div>
    <w:div w:id="723018710">
      <w:bodyDiv w:val="1"/>
      <w:marLeft w:val="0"/>
      <w:marRight w:val="0"/>
      <w:marTop w:val="0"/>
      <w:marBottom w:val="0"/>
      <w:divBdr>
        <w:top w:val="none" w:sz="0" w:space="0" w:color="auto"/>
        <w:left w:val="none" w:sz="0" w:space="0" w:color="auto"/>
        <w:bottom w:val="none" w:sz="0" w:space="0" w:color="auto"/>
        <w:right w:val="none" w:sz="0" w:space="0" w:color="auto"/>
      </w:divBdr>
    </w:div>
    <w:div w:id="723022986">
      <w:bodyDiv w:val="1"/>
      <w:marLeft w:val="0"/>
      <w:marRight w:val="0"/>
      <w:marTop w:val="0"/>
      <w:marBottom w:val="0"/>
      <w:divBdr>
        <w:top w:val="none" w:sz="0" w:space="0" w:color="auto"/>
        <w:left w:val="none" w:sz="0" w:space="0" w:color="auto"/>
        <w:bottom w:val="none" w:sz="0" w:space="0" w:color="auto"/>
        <w:right w:val="none" w:sz="0" w:space="0" w:color="auto"/>
      </w:divBdr>
    </w:div>
    <w:div w:id="723060335">
      <w:bodyDiv w:val="1"/>
      <w:marLeft w:val="0"/>
      <w:marRight w:val="0"/>
      <w:marTop w:val="0"/>
      <w:marBottom w:val="0"/>
      <w:divBdr>
        <w:top w:val="none" w:sz="0" w:space="0" w:color="auto"/>
        <w:left w:val="none" w:sz="0" w:space="0" w:color="auto"/>
        <w:bottom w:val="none" w:sz="0" w:space="0" w:color="auto"/>
        <w:right w:val="none" w:sz="0" w:space="0" w:color="auto"/>
      </w:divBdr>
    </w:div>
    <w:div w:id="723136485">
      <w:bodyDiv w:val="1"/>
      <w:marLeft w:val="0"/>
      <w:marRight w:val="0"/>
      <w:marTop w:val="0"/>
      <w:marBottom w:val="0"/>
      <w:divBdr>
        <w:top w:val="none" w:sz="0" w:space="0" w:color="auto"/>
        <w:left w:val="none" w:sz="0" w:space="0" w:color="auto"/>
        <w:bottom w:val="none" w:sz="0" w:space="0" w:color="auto"/>
        <w:right w:val="none" w:sz="0" w:space="0" w:color="auto"/>
      </w:divBdr>
    </w:div>
    <w:div w:id="723215478">
      <w:bodyDiv w:val="1"/>
      <w:marLeft w:val="0"/>
      <w:marRight w:val="0"/>
      <w:marTop w:val="0"/>
      <w:marBottom w:val="0"/>
      <w:divBdr>
        <w:top w:val="none" w:sz="0" w:space="0" w:color="auto"/>
        <w:left w:val="none" w:sz="0" w:space="0" w:color="auto"/>
        <w:bottom w:val="none" w:sz="0" w:space="0" w:color="auto"/>
        <w:right w:val="none" w:sz="0" w:space="0" w:color="auto"/>
      </w:divBdr>
    </w:div>
    <w:div w:id="723218205">
      <w:bodyDiv w:val="1"/>
      <w:marLeft w:val="0"/>
      <w:marRight w:val="0"/>
      <w:marTop w:val="0"/>
      <w:marBottom w:val="0"/>
      <w:divBdr>
        <w:top w:val="none" w:sz="0" w:space="0" w:color="auto"/>
        <w:left w:val="none" w:sz="0" w:space="0" w:color="auto"/>
        <w:bottom w:val="none" w:sz="0" w:space="0" w:color="auto"/>
        <w:right w:val="none" w:sz="0" w:space="0" w:color="auto"/>
      </w:divBdr>
    </w:div>
    <w:div w:id="723256466">
      <w:bodyDiv w:val="1"/>
      <w:marLeft w:val="0"/>
      <w:marRight w:val="0"/>
      <w:marTop w:val="0"/>
      <w:marBottom w:val="0"/>
      <w:divBdr>
        <w:top w:val="none" w:sz="0" w:space="0" w:color="auto"/>
        <w:left w:val="none" w:sz="0" w:space="0" w:color="auto"/>
        <w:bottom w:val="none" w:sz="0" w:space="0" w:color="auto"/>
        <w:right w:val="none" w:sz="0" w:space="0" w:color="auto"/>
      </w:divBdr>
    </w:div>
    <w:div w:id="723259723">
      <w:bodyDiv w:val="1"/>
      <w:marLeft w:val="0"/>
      <w:marRight w:val="0"/>
      <w:marTop w:val="0"/>
      <w:marBottom w:val="0"/>
      <w:divBdr>
        <w:top w:val="none" w:sz="0" w:space="0" w:color="auto"/>
        <w:left w:val="none" w:sz="0" w:space="0" w:color="auto"/>
        <w:bottom w:val="none" w:sz="0" w:space="0" w:color="auto"/>
        <w:right w:val="none" w:sz="0" w:space="0" w:color="auto"/>
      </w:divBdr>
    </w:div>
    <w:div w:id="723330723">
      <w:bodyDiv w:val="1"/>
      <w:marLeft w:val="0"/>
      <w:marRight w:val="0"/>
      <w:marTop w:val="0"/>
      <w:marBottom w:val="0"/>
      <w:divBdr>
        <w:top w:val="none" w:sz="0" w:space="0" w:color="auto"/>
        <w:left w:val="none" w:sz="0" w:space="0" w:color="auto"/>
        <w:bottom w:val="none" w:sz="0" w:space="0" w:color="auto"/>
        <w:right w:val="none" w:sz="0" w:space="0" w:color="auto"/>
      </w:divBdr>
    </w:div>
    <w:div w:id="723333980">
      <w:bodyDiv w:val="1"/>
      <w:marLeft w:val="0"/>
      <w:marRight w:val="0"/>
      <w:marTop w:val="0"/>
      <w:marBottom w:val="0"/>
      <w:divBdr>
        <w:top w:val="none" w:sz="0" w:space="0" w:color="auto"/>
        <w:left w:val="none" w:sz="0" w:space="0" w:color="auto"/>
        <w:bottom w:val="none" w:sz="0" w:space="0" w:color="auto"/>
        <w:right w:val="none" w:sz="0" w:space="0" w:color="auto"/>
      </w:divBdr>
    </w:div>
    <w:div w:id="723338607">
      <w:bodyDiv w:val="1"/>
      <w:marLeft w:val="0"/>
      <w:marRight w:val="0"/>
      <w:marTop w:val="0"/>
      <w:marBottom w:val="0"/>
      <w:divBdr>
        <w:top w:val="none" w:sz="0" w:space="0" w:color="auto"/>
        <w:left w:val="none" w:sz="0" w:space="0" w:color="auto"/>
        <w:bottom w:val="none" w:sz="0" w:space="0" w:color="auto"/>
        <w:right w:val="none" w:sz="0" w:space="0" w:color="auto"/>
      </w:divBdr>
    </w:div>
    <w:div w:id="723456043">
      <w:bodyDiv w:val="1"/>
      <w:marLeft w:val="0"/>
      <w:marRight w:val="0"/>
      <w:marTop w:val="0"/>
      <w:marBottom w:val="0"/>
      <w:divBdr>
        <w:top w:val="none" w:sz="0" w:space="0" w:color="auto"/>
        <w:left w:val="none" w:sz="0" w:space="0" w:color="auto"/>
        <w:bottom w:val="none" w:sz="0" w:space="0" w:color="auto"/>
        <w:right w:val="none" w:sz="0" w:space="0" w:color="auto"/>
      </w:divBdr>
    </w:div>
    <w:div w:id="723605387">
      <w:bodyDiv w:val="1"/>
      <w:marLeft w:val="0"/>
      <w:marRight w:val="0"/>
      <w:marTop w:val="0"/>
      <w:marBottom w:val="0"/>
      <w:divBdr>
        <w:top w:val="none" w:sz="0" w:space="0" w:color="auto"/>
        <w:left w:val="none" w:sz="0" w:space="0" w:color="auto"/>
        <w:bottom w:val="none" w:sz="0" w:space="0" w:color="auto"/>
        <w:right w:val="none" w:sz="0" w:space="0" w:color="auto"/>
      </w:divBdr>
    </w:div>
    <w:div w:id="723607343">
      <w:bodyDiv w:val="1"/>
      <w:marLeft w:val="0"/>
      <w:marRight w:val="0"/>
      <w:marTop w:val="0"/>
      <w:marBottom w:val="0"/>
      <w:divBdr>
        <w:top w:val="none" w:sz="0" w:space="0" w:color="auto"/>
        <w:left w:val="none" w:sz="0" w:space="0" w:color="auto"/>
        <w:bottom w:val="none" w:sz="0" w:space="0" w:color="auto"/>
        <w:right w:val="none" w:sz="0" w:space="0" w:color="auto"/>
      </w:divBdr>
    </w:div>
    <w:div w:id="723649317">
      <w:bodyDiv w:val="1"/>
      <w:marLeft w:val="0"/>
      <w:marRight w:val="0"/>
      <w:marTop w:val="0"/>
      <w:marBottom w:val="0"/>
      <w:divBdr>
        <w:top w:val="none" w:sz="0" w:space="0" w:color="auto"/>
        <w:left w:val="none" w:sz="0" w:space="0" w:color="auto"/>
        <w:bottom w:val="none" w:sz="0" w:space="0" w:color="auto"/>
        <w:right w:val="none" w:sz="0" w:space="0" w:color="auto"/>
      </w:divBdr>
    </w:div>
    <w:div w:id="723718775">
      <w:bodyDiv w:val="1"/>
      <w:marLeft w:val="0"/>
      <w:marRight w:val="0"/>
      <w:marTop w:val="0"/>
      <w:marBottom w:val="0"/>
      <w:divBdr>
        <w:top w:val="none" w:sz="0" w:space="0" w:color="auto"/>
        <w:left w:val="none" w:sz="0" w:space="0" w:color="auto"/>
        <w:bottom w:val="none" w:sz="0" w:space="0" w:color="auto"/>
        <w:right w:val="none" w:sz="0" w:space="0" w:color="auto"/>
      </w:divBdr>
    </w:div>
    <w:div w:id="723796579">
      <w:bodyDiv w:val="1"/>
      <w:marLeft w:val="0"/>
      <w:marRight w:val="0"/>
      <w:marTop w:val="0"/>
      <w:marBottom w:val="0"/>
      <w:divBdr>
        <w:top w:val="none" w:sz="0" w:space="0" w:color="auto"/>
        <w:left w:val="none" w:sz="0" w:space="0" w:color="auto"/>
        <w:bottom w:val="none" w:sz="0" w:space="0" w:color="auto"/>
        <w:right w:val="none" w:sz="0" w:space="0" w:color="auto"/>
      </w:divBdr>
    </w:div>
    <w:div w:id="723875688">
      <w:bodyDiv w:val="1"/>
      <w:marLeft w:val="0"/>
      <w:marRight w:val="0"/>
      <w:marTop w:val="0"/>
      <w:marBottom w:val="0"/>
      <w:divBdr>
        <w:top w:val="none" w:sz="0" w:space="0" w:color="auto"/>
        <w:left w:val="none" w:sz="0" w:space="0" w:color="auto"/>
        <w:bottom w:val="none" w:sz="0" w:space="0" w:color="auto"/>
        <w:right w:val="none" w:sz="0" w:space="0" w:color="auto"/>
      </w:divBdr>
    </w:div>
    <w:div w:id="723942663">
      <w:bodyDiv w:val="1"/>
      <w:marLeft w:val="0"/>
      <w:marRight w:val="0"/>
      <w:marTop w:val="0"/>
      <w:marBottom w:val="0"/>
      <w:divBdr>
        <w:top w:val="none" w:sz="0" w:space="0" w:color="auto"/>
        <w:left w:val="none" w:sz="0" w:space="0" w:color="auto"/>
        <w:bottom w:val="none" w:sz="0" w:space="0" w:color="auto"/>
        <w:right w:val="none" w:sz="0" w:space="0" w:color="auto"/>
      </w:divBdr>
    </w:div>
    <w:div w:id="723984981">
      <w:bodyDiv w:val="1"/>
      <w:marLeft w:val="0"/>
      <w:marRight w:val="0"/>
      <w:marTop w:val="0"/>
      <w:marBottom w:val="0"/>
      <w:divBdr>
        <w:top w:val="none" w:sz="0" w:space="0" w:color="auto"/>
        <w:left w:val="none" w:sz="0" w:space="0" w:color="auto"/>
        <w:bottom w:val="none" w:sz="0" w:space="0" w:color="auto"/>
        <w:right w:val="none" w:sz="0" w:space="0" w:color="auto"/>
      </w:divBdr>
    </w:div>
    <w:div w:id="724109917">
      <w:bodyDiv w:val="1"/>
      <w:marLeft w:val="0"/>
      <w:marRight w:val="0"/>
      <w:marTop w:val="0"/>
      <w:marBottom w:val="0"/>
      <w:divBdr>
        <w:top w:val="none" w:sz="0" w:space="0" w:color="auto"/>
        <w:left w:val="none" w:sz="0" w:space="0" w:color="auto"/>
        <w:bottom w:val="none" w:sz="0" w:space="0" w:color="auto"/>
        <w:right w:val="none" w:sz="0" w:space="0" w:color="auto"/>
      </w:divBdr>
    </w:div>
    <w:div w:id="724137540">
      <w:bodyDiv w:val="1"/>
      <w:marLeft w:val="0"/>
      <w:marRight w:val="0"/>
      <w:marTop w:val="0"/>
      <w:marBottom w:val="0"/>
      <w:divBdr>
        <w:top w:val="none" w:sz="0" w:space="0" w:color="auto"/>
        <w:left w:val="none" w:sz="0" w:space="0" w:color="auto"/>
        <w:bottom w:val="none" w:sz="0" w:space="0" w:color="auto"/>
        <w:right w:val="none" w:sz="0" w:space="0" w:color="auto"/>
      </w:divBdr>
    </w:div>
    <w:div w:id="724180238">
      <w:bodyDiv w:val="1"/>
      <w:marLeft w:val="0"/>
      <w:marRight w:val="0"/>
      <w:marTop w:val="0"/>
      <w:marBottom w:val="0"/>
      <w:divBdr>
        <w:top w:val="none" w:sz="0" w:space="0" w:color="auto"/>
        <w:left w:val="none" w:sz="0" w:space="0" w:color="auto"/>
        <w:bottom w:val="none" w:sz="0" w:space="0" w:color="auto"/>
        <w:right w:val="none" w:sz="0" w:space="0" w:color="auto"/>
      </w:divBdr>
    </w:div>
    <w:div w:id="724182586">
      <w:bodyDiv w:val="1"/>
      <w:marLeft w:val="0"/>
      <w:marRight w:val="0"/>
      <w:marTop w:val="0"/>
      <w:marBottom w:val="0"/>
      <w:divBdr>
        <w:top w:val="none" w:sz="0" w:space="0" w:color="auto"/>
        <w:left w:val="none" w:sz="0" w:space="0" w:color="auto"/>
        <w:bottom w:val="none" w:sz="0" w:space="0" w:color="auto"/>
        <w:right w:val="none" w:sz="0" w:space="0" w:color="auto"/>
      </w:divBdr>
    </w:div>
    <w:div w:id="724256390">
      <w:bodyDiv w:val="1"/>
      <w:marLeft w:val="0"/>
      <w:marRight w:val="0"/>
      <w:marTop w:val="0"/>
      <w:marBottom w:val="0"/>
      <w:divBdr>
        <w:top w:val="none" w:sz="0" w:space="0" w:color="auto"/>
        <w:left w:val="none" w:sz="0" w:space="0" w:color="auto"/>
        <w:bottom w:val="none" w:sz="0" w:space="0" w:color="auto"/>
        <w:right w:val="none" w:sz="0" w:space="0" w:color="auto"/>
      </w:divBdr>
    </w:div>
    <w:div w:id="724256924">
      <w:bodyDiv w:val="1"/>
      <w:marLeft w:val="0"/>
      <w:marRight w:val="0"/>
      <w:marTop w:val="0"/>
      <w:marBottom w:val="0"/>
      <w:divBdr>
        <w:top w:val="none" w:sz="0" w:space="0" w:color="auto"/>
        <w:left w:val="none" w:sz="0" w:space="0" w:color="auto"/>
        <w:bottom w:val="none" w:sz="0" w:space="0" w:color="auto"/>
        <w:right w:val="none" w:sz="0" w:space="0" w:color="auto"/>
      </w:divBdr>
    </w:div>
    <w:div w:id="724449050">
      <w:bodyDiv w:val="1"/>
      <w:marLeft w:val="0"/>
      <w:marRight w:val="0"/>
      <w:marTop w:val="0"/>
      <w:marBottom w:val="0"/>
      <w:divBdr>
        <w:top w:val="none" w:sz="0" w:space="0" w:color="auto"/>
        <w:left w:val="none" w:sz="0" w:space="0" w:color="auto"/>
        <w:bottom w:val="none" w:sz="0" w:space="0" w:color="auto"/>
        <w:right w:val="none" w:sz="0" w:space="0" w:color="auto"/>
      </w:divBdr>
    </w:div>
    <w:div w:id="724449756">
      <w:bodyDiv w:val="1"/>
      <w:marLeft w:val="0"/>
      <w:marRight w:val="0"/>
      <w:marTop w:val="0"/>
      <w:marBottom w:val="0"/>
      <w:divBdr>
        <w:top w:val="none" w:sz="0" w:space="0" w:color="auto"/>
        <w:left w:val="none" w:sz="0" w:space="0" w:color="auto"/>
        <w:bottom w:val="none" w:sz="0" w:space="0" w:color="auto"/>
        <w:right w:val="none" w:sz="0" w:space="0" w:color="auto"/>
      </w:divBdr>
    </w:div>
    <w:div w:id="724452406">
      <w:bodyDiv w:val="1"/>
      <w:marLeft w:val="0"/>
      <w:marRight w:val="0"/>
      <w:marTop w:val="0"/>
      <w:marBottom w:val="0"/>
      <w:divBdr>
        <w:top w:val="none" w:sz="0" w:space="0" w:color="auto"/>
        <w:left w:val="none" w:sz="0" w:space="0" w:color="auto"/>
        <w:bottom w:val="none" w:sz="0" w:space="0" w:color="auto"/>
        <w:right w:val="none" w:sz="0" w:space="0" w:color="auto"/>
      </w:divBdr>
    </w:div>
    <w:div w:id="724522368">
      <w:bodyDiv w:val="1"/>
      <w:marLeft w:val="0"/>
      <w:marRight w:val="0"/>
      <w:marTop w:val="0"/>
      <w:marBottom w:val="0"/>
      <w:divBdr>
        <w:top w:val="none" w:sz="0" w:space="0" w:color="auto"/>
        <w:left w:val="none" w:sz="0" w:space="0" w:color="auto"/>
        <w:bottom w:val="none" w:sz="0" w:space="0" w:color="auto"/>
        <w:right w:val="none" w:sz="0" w:space="0" w:color="auto"/>
      </w:divBdr>
    </w:div>
    <w:div w:id="724525801">
      <w:bodyDiv w:val="1"/>
      <w:marLeft w:val="0"/>
      <w:marRight w:val="0"/>
      <w:marTop w:val="0"/>
      <w:marBottom w:val="0"/>
      <w:divBdr>
        <w:top w:val="none" w:sz="0" w:space="0" w:color="auto"/>
        <w:left w:val="none" w:sz="0" w:space="0" w:color="auto"/>
        <w:bottom w:val="none" w:sz="0" w:space="0" w:color="auto"/>
        <w:right w:val="none" w:sz="0" w:space="0" w:color="auto"/>
      </w:divBdr>
    </w:div>
    <w:div w:id="724527181">
      <w:bodyDiv w:val="1"/>
      <w:marLeft w:val="0"/>
      <w:marRight w:val="0"/>
      <w:marTop w:val="0"/>
      <w:marBottom w:val="0"/>
      <w:divBdr>
        <w:top w:val="none" w:sz="0" w:space="0" w:color="auto"/>
        <w:left w:val="none" w:sz="0" w:space="0" w:color="auto"/>
        <w:bottom w:val="none" w:sz="0" w:space="0" w:color="auto"/>
        <w:right w:val="none" w:sz="0" w:space="0" w:color="auto"/>
      </w:divBdr>
    </w:div>
    <w:div w:id="724570085">
      <w:bodyDiv w:val="1"/>
      <w:marLeft w:val="0"/>
      <w:marRight w:val="0"/>
      <w:marTop w:val="0"/>
      <w:marBottom w:val="0"/>
      <w:divBdr>
        <w:top w:val="none" w:sz="0" w:space="0" w:color="auto"/>
        <w:left w:val="none" w:sz="0" w:space="0" w:color="auto"/>
        <w:bottom w:val="none" w:sz="0" w:space="0" w:color="auto"/>
        <w:right w:val="none" w:sz="0" w:space="0" w:color="auto"/>
      </w:divBdr>
    </w:div>
    <w:div w:id="724642226">
      <w:bodyDiv w:val="1"/>
      <w:marLeft w:val="0"/>
      <w:marRight w:val="0"/>
      <w:marTop w:val="0"/>
      <w:marBottom w:val="0"/>
      <w:divBdr>
        <w:top w:val="none" w:sz="0" w:space="0" w:color="auto"/>
        <w:left w:val="none" w:sz="0" w:space="0" w:color="auto"/>
        <w:bottom w:val="none" w:sz="0" w:space="0" w:color="auto"/>
        <w:right w:val="none" w:sz="0" w:space="0" w:color="auto"/>
      </w:divBdr>
    </w:div>
    <w:div w:id="724643801">
      <w:bodyDiv w:val="1"/>
      <w:marLeft w:val="0"/>
      <w:marRight w:val="0"/>
      <w:marTop w:val="0"/>
      <w:marBottom w:val="0"/>
      <w:divBdr>
        <w:top w:val="none" w:sz="0" w:space="0" w:color="auto"/>
        <w:left w:val="none" w:sz="0" w:space="0" w:color="auto"/>
        <w:bottom w:val="none" w:sz="0" w:space="0" w:color="auto"/>
        <w:right w:val="none" w:sz="0" w:space="0" w:color="auto"/>
      </w:divBdr>
    </w:div>
    <w:div w:id="724762674">
      <w:bodyDiv w:val="1"/>
      <w:marLeft w:val="0"/>
      <w:marRight w:val="0"/>
      <w:marTop w:val="0"/>
      <w:marBottom w:val="0"/>
      <w:divBdr>
        <w:top w:val="none" w:sz="0" w:space="0" w:color="auto"/>
        <w:left w:val="none" w:sz="0" w:space="0" w:color="auto"/>
        <w:bottom w:val="none" w:sz="0" w:space="0" w:color="auto"/>
        <w:right w:val="none" w:sz="0" w:space="0" w:color="auto"/>
      </w:divBdr>
    </w:div>
    <w:div w:id="724842226">
      <w:bodyDiv w:val="1"/>
      <w:marLeft w:val="0"/>
      <w:marRight w:val="0"/>
      <w:marTop w:val="0"/>
      <w:marBottom w:val="0"/>
      <w:divBdr>
        <w:top w:val="none" w:sz="0" w:space="0" w:color="auto"/>
        <w:left w:val="none" w:sz="0" w:space="0" w:color="auto"/>
        <w:bottom w:val="none" w:sz="0" w:space="0" w:color="auto"/>
        <w:right w:val="none" w:sz="0" w:space="0" w:color="auto"/>
      </w:divBdr>
    </w:div>
    <w:div w:id="725176803">
      <w:bodyDiv w:val="1"/>
      <w:marLeft w:val="0"/>
      <w:marRight w:val="0"/>
      <w:marTop w:val="0"/>
      <w:marBottom w:val="0"/>
      <w:divBdr>
        <w:top w:val="none" w:sz="0" w:space="0" w:color="auto"/>
        <w:left w:val="none" w:sz="0" w:space="0" w:color="auto"/>
        <w:bottom w:val="none" w:sz="0" w:space="0" w:color="auto"/>
        <w:right w:val="none" w:sz="0" w:space="0" w:color="auto"/>
      </w:divBdr>
    </w:div>
    <w:div w:id="725223869">
      <w:bodyDiv w:val="1"/>
      <w:marLeft w:val="0"/>
      <w:marRight w:val="0"/>
      <w:marTop w:val="0"/>
      <w:marBottom w:val="0"/>
      <w:divBdr>
        <w:top w:val="none" w:sz="0" w:space="0" w:color="auto"/>
        <w:left w:val="none" w:sz="0" w:space="0" w:color="auto"/>
        <w:bottom w:val="none" w:sz="0" w:space="0" w:color="auto"/>
        <w:right w:val="none" w:sz="0" w:space="0" w:color="auto"/>
      </w:divBdr>
    </w:div>
    <w:div w:id="725299041">
      <w:bodyDiv w:val="1"/>
      <w:marLeft w:val="0"/>
      <w:marRight w:val="0"/>
      <w:marTop w:val="0"/>
      <w:marBottom w:val="0"/>
      <w:divBdr>
        <w:top w:val="none" w:sz="0" w:space="0" w:color="auto"/>
        <w:left w:val="none" w:sz="0" w:space="0" w:color="auto"/>
        <w:bottom w:val="none" w:sz="0" w:space="0" w:color="auto"/>
        <w:right w:val="none" w:sz="0" w:space="0" w:color="auto"/>
      </w:divBdr>
    </w:div>
    <w:div w:id="725421444">
      <w:bodyDiv w:val="1"/>
      <w:marLeft w:val="0"/>
      <w:marRight w:val="0"/>
      <w:marTop w:val="0"/>
      <w:marBottom w:val="0"/>
      <w:divBdr>
        <w:top w:val="none" w:sz="0" w:space="0" w:color="auto"/>
        <w:left w:val="none" w:sz="0" w:space="0" w:color="auto"/>
        <w:bottom w:val="none" w:sz="0" w:space="0" w:color="auto"/>
        <w:right w:val="none" w:sz="0" w:space="0" w:color="auto"/>
      </w:divBdr>
    </w:div>
    <w:div w:id="725496709">
      <w:bodyDiv w:val="1"/>
      <w:marLeft w:val="0"/>
      <w:marRight w:val="0"/>
      <w:marTop w:val="0"/>
      <w:marBottom w:val="0"/>
      <w:divBdr>
        <w:top w:val="none" w:sz="0" w:space="0" w:color="auto"/>
        <w:left w:val="none" w:sz="0" w:space="0" w:color="auto"/>
        <w:bottom w:val="none" w:sz="0" w:space="0" w:color="auto"/>
        <w:right w:val="none" w:sz="0" w:space="0" w:color="auto"/>
      </w:divBdr>
    </w:div>
    <w:div w:id="725646205">
      <w:bodyDiv w:val="1"/>
      <w:marLeft w:val="0"/>
      <w:marRight w:val="0"/>
      <w:marTop w:val="0"/>
      <w:marBottom w:val="0"/>
      <w:divBdr>
        <w:top w:val="none" w:sz="0" w:space="0" w:color="auto"/>
        <w:left w:val="none" w:sz="0" w:space="0" w:color="auto"/>
        <w:bottom w:val="none" w:sz="0" w:space="0" w:color="auto"/>
        <w:right w:val="none" w:sz="0" w:space="0" w:color="auto"/>
      </w:divBdr>
    </w:div>
    <w:div w:id="725759006">
      <w:bodyDiv w:val="1"/>
      <w:marLeft w:val="0"/>
      <w:marRight w:val="0"/>
      <w:marTop w:val="0"/>
      <w:marBottom w:val="0"/>
      <w:divBdr>
        <w:top w:val="none" w:sz="0" w:space="0" w:color="auto"/>
        <w:left w:val="none" w:sz="0" w:space="0" w:color="auto"/>
        <w:bottom w:val="none" w:sz="0" w:space="0" w:color="auto"/>
        <w:right w:val="none" w:sz="0" w:space="0" w:color="auto"/>
      </w:divBdr>
    </w:div>
    <w:div w:id="725764691">
      <w:bodyDiv w:val="1"/>
      <w:marLeft w:val="0"/>
      <w:marRight w:val="0"/>
      <w:marTop w:val="0"/>
      <w:marBottom w:val="0"/>
      <w:divBdr>
        <w:top w:val="none" w:sz="0" w:space="0" w:color="auto"/>
        <w:left w:val="none" w:sz="0" w:space="0" w:color="auto"/>
        <w:bottom w:val="none" w:sz="0" w:space="0" w:color="auto"/>
        <w:right w:val="none" w:sz="0" w:space="0" w:color="auto"/>
      </w:divBdr>
    </w:div>
    <w:div w:id="726032654">
      <w:bodyDiv w:val="1"/>
      <w:marLeft w:val="0"/>
      <w:marRight w:val="0"/>
      <w:marTop w:val="0"/>
      <w:marBottom w:val="0"/>
      <w:divBdr>
        <w:top w:val="none" w:sz="0" w:space="0" w:color="auto"/>
        <w:left w:val="none" w:sz="0" w:space="0" w:color="auto"/>
        <w:bottom w:val="none" w:sz="0" w:space="0" w:color="auto"/>
        <w:right w:val="none" w:sz="0" w:space="0" w:color="auto"/>
      </w:divBdr>
    </w:div>
    <w:div w:id="726102272">
      <w:bodyDiv w:val="1"/>
      <w:marLeft w:val="0"/>
      <w:marRight w:val="0"/>
      <w:marTop w:val="0"/>
      <w:marBottom w:val="0"/>
      <w:divBdr>
        <w:top w:val="none" w:sz="0" w:space="0" w:color="auto"/>
        <w:left w:val="none" w:sz="0" w:space="0" w:color="auto"/>
        <w:bottom w:val="none" w:sz="0" w:space="0" w:color="auto"/>
        <w:right w:val="none" w:sz="0" w:space="0" w:color="auto"/>
      </w:divBdr>
    </w:div>
    <w:div w:id="726105981">
      <w:bodyDiv w:val="1"/>
      <w:marLeft w:val="0"/>
      <w:marRight w:val="0"/>
      <w:marTop w:val="0"/>
      <w:marBottom w:val="0"/>
      <w:divBdr>
        <w:top w:val="none" w:sz="0" w:space="0" w:color="auto"/>
        <w:left w:val="none" w:sz="0" w:space="0" w:color="auto"/>
        <w:bottom w:val="none" w:sz="0" w:space="0" w:color="auto"/>
        <w:right w:val="none" w:sz="0" w:space="0" w:color="auto"/>
      </w:divBdr>
    </w:div>
    <w:div w:id="726294754">
      <w:bodyDiv w:val="1"/>
      <w:marLeft w:val="0"/>
      <w:marRight w:val="0"/>
      <w:marTop w:val="0"/>
      <w:marBottom w:val="0"/>
      <w:divBdr>
        <w:top w:val="none" w:sz="0" w:space="0" w:color="auto"/>
        <w:left w:val="none" w:sz="0" w:space="0" w:color="auto"/>
        <w:bottom w:val="none" w:sz="0" w:space="0" w:color="auto"/>
        <w:right w:val="none" w:sz="0" w:space="0" w:color="auto"/>
      </w:divBdr>
    </w:div>
    <w:div w:id="726296562">
      <w:bodyDiv w:val="1"/>
      <w:marLeft w:val="0"/>
      <w:marRight w:val="0"/>
      <w:marTop w:val="0"/>
      <w:marBottom w:val="0"/>
      <w:divBdr>
        <w:top w:val="none" w:sz="0" w:space="0" w:color="auto"/>
        <w:left w:val="none" w:sz="0" w:space="0" w:color="auto"/>
        <w:bottom w:val="none" w:sz="0" w:space="0" w:color="auto"/>
        <w:right w:val="none" w:sz="0" w:space="0" w:color="auto"/>
      </w:divBdr>
    </w:div>
    <w:div w:id="726299885">
      <w:bodyDiv w:val="1"/>
      <w:marLeft w:val="0"/>
      <w:marRight w:val="0"/>
      <w:marTop w:val="0"/>
      <w:marBottom w:val="0"/>
      <w:divBdr>
        <w:top w:val="none" w:sz="0" w:space="0" w:color="auto"/>
        <w:left w:val="none" w:sz="0" w:space="0" w:color="auto"/>
        <w:bottom w:val="none" w:sz="0" w:space="0" w:color="auto"/>
        <w:right w:val="none" w:sz="0" w:space="0" w:color="auto"/>
      </w:divBdr>
    </w:div>
    <w:div w:id="726342453">
      <w:bodyDiv w:val="1"/>
      <w:marLeft w:val="0"/>
      <w:marRight w:val="0"/>
      <w:marTop w:val="0"/>
      <w:marBottom w:val="0"/>
      <w:divBdr>
        <w:top w:val="none" w:sz="0" w:space="0" w:color="auto"/>
        <w:left w:val="none" w:sz="0" w:space="0" w:color="auto"/>
        <w:bottom w:val="none" w:sz="0" w:space="0" w:color="auto"/>
        <w:right w:val="none" w:sz="0" w:space="0" w:color="auto"/>
      </w:divBdr>
    </w:div>
    <w:div w:id="726420691">
      <w:bodyDiv w:val="1"/>
      <w:marLeft w:val="0"/>
      <w:marRight w:val="0"/>
      <w:marTop w:val="0"/>
      <w:marBottom w:val="0"/>
      <w:divBdr>
        <w:top w:val="none" w:sz="0" w:space="0" w:color="auto"/>
        <w:left w:val="none" w:sz="0" w:space="0" w:color="auto"/>
        <w:bottom w:val="none" w:sz="0" w:space="0" w:color="auto"/>
        <w:right w:val="none" w:sz="0" w:space="0" w:color="auto"/>
      </w:divBdr>
    </w:div>
    <w:div w:id="726490285">
      <w:bodyDiv w:val="1"/>
      <w:marLeft w:val="0"/>
      <w:marRight w:val="0"/>
      <w:marTop w:val="0"/>
      <w:marBottom w:val="0"/>
      <w:divBdr>
        <w:top w:val="none" w:sz="0" w:space="0" w:color="auto"/>
        <w:left w:val="none" w:sz="0" w:space="0" w:color="auto"/>
        <w:bottom w:val="none" w:sz="0" w:space="0" w:color="auto"/>
        <w:right w:val="none" w:sz="0" w:space="0" w:color="auto"/>
      </w:divBdr>
    </w:div>
    <w:div w:id="726612064">
      <w:bodyDiv w:val="1"/>
      <w:marLeft w:val="0"/>
      <w:marRight w:val="0"/>
      <w:marTop w:val="0"/>
      <w:marBottom w:val="0"/>
      <w:divBdr>
        <w:top w:val="none" w:sz="0" w:space="0" w:color="auto"/>
        <w:left w:val="none" w:sz="0" w:space="0" w:color="auto"/>
        <w:bottom w:val="none" w:sz="0" w:space="0" w:color="auto"/>
        <w:right w:val="none" w:sz="0" w:space="0" w:color="auto"/>
      </w:divBdr>
    </w:div>
    <w:div w:id="726612587">
      <w:bodyDiv w:val="1"/>
      <w:marLeft w:val="0"/>
      <w:marRight w:val="0"/>
      <w:marTop w:val="0"/>
      <w:marBottom w:val="0"/>
      <w:divBdr>
        <w:top w:val="none" w:sz="0" w:space="0" w:color="auto"/>
        <w:left w:val="none" w:sz="0" w:space="0" w:color="auto"/>
        <w:bottom w:val="none" w:sz="0" w:space="0" w:color="auto"/>
        <w:right w:val="none" w:sz="0" w:space="0" w:color="auto"/>
      </w:divBdr>
    </w:div>
    <w:div w:id="726685156">
      <w:bodyDiv w:val="1"/>
      <w:marLeft w:val="0"/>
      <w:marRight w:val="0"/>
      <w:marTop w:val="0"/>
      <w:marBottom w:val="0"/>
      <w:divBdr>
        <w:top w:val="none" w:sz="0" w:space="0" w:color="auto"/>
        <w:left w:val="none" w:sz="0" w:space="0" w:color="auto"/>
        <w:bottom w:val="none" w:sz="0" w:space="0" w:color="auto"/>
        <w:right w:val="none" w:sz="0" w:space="0" w:color="auto"/>
      </w:divBdr>
    </w:div>
    <w:div w:id="726686588">
      <w:bodyDiv w:val="1"/>
      <w:marLeft w:val="0"/>
      <w:marRight w:val="0"/>
      <w:marTop w:val="0"/>
      <w:marBottom w:val="0"/>
      <w:divBdr>
        <w:top w:val="none" w:sz="0" w:space="0" w:color="auto"/>
        <w:left w:val="none" w:sz="0" w:space="0" w:color="auto"/>
        <w:bottom w:val="none" w:sz="0" w:space="0" w:color="auto"/>
        <w:right w:val="none" w:sz="0" w:space="0" w:color="auto"/>
      </w:divBdr>
    </w:div>
    <w:div w:id="726731388">
      <w:bodyDiv w:val="1"/>
      <w:marLeft w:val="0"/>
      <w:marRight w:val="0"/>
      <w:marTop w:val="0"/>
      <w:marBottom w:val="0"/>
      <w:divBdr>
        <w:top w:val="none" w:sz="0" w:space="0" w:color="auto"/>
        <w:left w:val="none" w:sz="0" w:space="0" w:color="auto"/>
        <w:bottom w:val="none" w:sz="0" w:space="0" w:color="auto"/>
        <w:right w:val="none" w:sz="0" w:space="0" w:color="auto"/>
      </w:divBdr>
    </w:div>
    <w:div w:id="726756041">
      <w:bodyDiv w:val="1"/>
      <w:marLeft w:val="0"/>
      <w:marRight w:val="0"/>
      <w:marTop w:val="0"/>
      <w:marBottom w:val="0"/>
      <w:divBdr>
        <w:top w:val="none" w:sz="0" w:space="0" w:color="auto"/>
        <w:left w:val="none" w:sz="0" w:space="0" w:color="auto"/>
        <w:bottom w:val="none" w:sz="0" w:space="0" w:color="auto"/>
        <w:right w:val="none" w:sz="0" w:space="0" w:color="auto"/>
      </w:divBdr>
    </w:div>
    <w:div w:id="726881381">
      <w:bodyDiv w:val="1"/>
      <w:marLeft w:val="0"/>
      <w:marRight w:val="0"/>
      <w:marTop w:val="0"/>
      <w:marBottom w:val="0"/>
      <w:divBdr>
        <w:top w:val="none" w:sz="0" w:space="0" w:color="auto"/>
        <w:left w:val="none" w:sz="0" w:space="0" w:color="auto"/>
        <w:bottom w:val="none" w:sz="0" w:space="0" w:color="auto"/>
        <w:right w:val="none" w:sz="0" w:space="0" w:color="auto"/>
      </w:divBdr>
    </w:div>
    <w:div w:id="726952683">
      <w:bodyDiv w:val="1"/>
      <w:marLeft w:val="0"/>
      <w:marRight w:val="0"/>
      <w:marTop w:val="0"/>
      <w:marBottom w:val="0"/>
      <w:divBdr>
        <w:top w:val="none" w:sz="0" w:space="0" w:color="auto"/>
        <w:left w:val="none" w:sz="0" w:space="0" w:color="auto"/>
        <w:bottom w:val="none" w:sz="0" w:space="0" w:color="auto"/>
        <w:right w:val="none" w:sz="0" w:space="0" w:color="auto"/>
      </w:divBdr>
    </w:div>
    <w:div w:id="727001108">
      <w:bodyDiv w:val="1"/>
      <w:marLeft w:val="0"/>
      <w:marRight w:val="0"/>
      <w:marTop w:val="0"/>
      <w:marBottom w:val="0"/>
      <w:divBdr>
        <w:top w:val="none" w:sz="0" w:space="0" w:color="auto"/>
        <w:left w:val="none" w:sz="0" w:space="0" w:color="auto"/>
        <w:bottom w:val="none" w:sz="0" w:space="0" w:color="auto"/>
        <w:right w:val="none" w:sz="0" w:space="0" w:color="auto"/>
      </w:divBdr>
    </w:div>
    <w:div w:id="727142843">
      <w:bodyDiv w:val="1"/>
      <w:marLeft w:val="0"/>
      <w:marRight w:val="0"/>
      <w:marTop w:val="0"/>
      <w:marBottom w:val="0"/>
      <w:divBdr>
        <w:top w:val="none" w:sz="0" w:space="0" w:color="auto"/>
        <w:left w:val="none" w:sz="0" w:space="0" w:color="auto"/>
        <w:bottom w:val="none" w:sz="0" w:space="0" w:color="auto"/>
        <w:right w:val="none" w:sz="0" w:space="0" w:color="auto"/>
      </w:divBdr>
    </w:div>
    <w:div w:id="727190229">
      <w:bodyDiv w:val="1"/>
      <w:marLeft w:val="0"/>
      <w:marRight w:val="0"/>
      <w:marTop w:val="0"/>
      <w:marBottom w:val="0"/>
      <w:divBdr>
        <w:top w:val="none" w:sz="0" w:space="0" w:color="auto"/>
        <w:left w:val="none" w:sz="0" w:space="0" w:color="auto"/>
        <w:bottom w:val="none" w:sz="0" w:space="0" w:color="auto"/>
        <w:right w:val="none" w:sz="0" w:space="0" w:color="auto"/>
      </w:divBdr>
    </w:div>
    <w:div w:id="727413443">
      <w:bodyDiv w:val="1"/>
      <w:marLeft w:val="0"/>
      <w:marRight w:val="0"/>
      <w:marTop w:val="0"/>
      <w:marBottom w:val="0"/>
      <w:divBdr>
        <w:top w:val="none" w:sz="0" w:space="0" w:color="auto"/>
        <w:left w:val="none" w:sz="0" w:space="0" w:color="auto"/>
        <w:bottom w:val="none" w:sz="0" w:space="0" w:color="auto"/>
        <w:right w:val="none" w:sz="0" w:space="0" w:color="auto"/>
      </w:divBdr>
    </w:div>
    <w:div w:id="727530759">
      <w:bodyDiv w:val="1"/>
      <w:marLeft w:val="0"/>
      <w:marRight w:val="0"/>
      <w:marTop w:val="0"/>
      <w:marBottom w:val="0"/>
      <w:divBdr>
        <w:top w:val="none" w:sz="0" w:space="0" w:color="auto"/>
        <w:left w:val="none" w:sz="0" w:space="0" w:color="auto"/>
        <w:bottom w:val="none" w:sz="0" w:space="0" w:color="auto"/>
        <w:right w:val="none" w:sz="0" w:space="0" w:color="auto"/>
      </w:divBdr>
    </w:div>
    <w:div w:id="727606102">
      <w:bodyDiv w:val="1"/>
      <w:marLeft w:val="0"/>
      <w:marRight w:val="0"/>
      <w:marTop w:val="0"/>
      <w:marBottom w:val="0"/>
      <w:divBdr>
        <w:top w:val="none" w:sz="0" w:space="0" w:color="auto"/>
        <w:left w:val="none" w:sz="0" w:space="0" w:color="auto"/>
        <w:bottom w:val="none" w:sz="0" w:space="0" w:color="auto"/>
        <w:right w:val="none" w:sz="0" w:space="0" w:color="auto"/>
      </w:divBdr>
    </w:div>
    <w:div w:id="727728798">
      <w:bodyDiv w:val="1"/>
      <w:marLeft w:val="0"/>
      <w:marRight w:val="0"/>
      <w:marTop w:val="0"/>
      <w:marBottom w:val="0"/>
      <w:divBdr>
        <w:top w:val="none" w:sz="0" w:space="0" w:color="auto"/>
        <w:left w:val="none" w:sz="0" w:space="0" w:color="auto"/>
        <w:bottom w:val="none" w:sz="0" w:space="0" w:color="auto"/>
        <w:right w:val="none" w:sz="0" w:space="0" w:color="auto"/>
      </w:divBdr>
    </w:div>
    <w:div w:id="727730564">
      <w:bodyDiv w:val="1"/>
      <w:marLeft w:val="0"/>
      <w:marRight w:val="0"/>
      <w:marTop w:val="0"/>
      <w:marBottom w:val="0"/>
      <w:divBdr>
        <w:top w:val="none" w:sz="0" w:space="0" w:color="auto"/>
        <w:left w:val="none" w:sz="0" w:space="0" w:color="auto"/>
        <w:bottom w:val="none" w:sz="0" w:space="0" w:color="auto"/>
        <w:right w:val="none" w:sz="0" w:space="0" w:color="auto"/>
      </w:divBdr>
    </w:div>
    <w:div w:id="727920592">
      <w:bodyDiv w:val="1"/>
      <w:marLeft w:val="0"/>
      <w:marRight w:val="0"/>
      <w:marTop w:val="0"/>
      <w:marBottom w:val="0"/>
      <w:divBdr>
        <w:top w:val="none" w:sz="0" w:space="0" w:color="auto"/>
        <w:left w:val="none" w:sz="0" w:space="0" w:color="auto"/>
        <w:bottom w:val="none" w:sz="0" w:space="0" w:color="auto"/>
        <w:right w:val="none" w:sz="0" w:space="0" w:color="auto"/>
      </w:divBdr>
    </w:div>
    <w:div w:id="727923526">
      <w:bodyDiv w:val="1"/>
      <w:marLeft w:val="0"/>
      <w:marRight w:val="0"/>
      <w:marTop w:val="0"/>
      <w:marBottom w:val="0"/>
      <w:divBdr>
        <w:top w:val="none" w:sz="0" w:space="0" w:color="auto"/>
        <w:left w:val="none" w:sz="0" w:space="0" w:color="auto"/>
        <w:bottom w:val="none" w:sz="0" w:space="0" w:color="auto"/>
        <w:right w:val="none" w:sz="0" w:space="0" w:color="auto"/>
      </w:divBdr>
    </w:div>
    <w:div w:id="727995808">
      <w:bodyDiv w:val="1"/>
      <w:marLeft w:val="0"/>
      <w:marRight w:val="0"/>
      <w:marTop w:val="0"/>
      <w:marBottom w:val="0"/>
      <w:divBdr>
        <w:top w:val="none" w:sz="0" w:space="0" w:color="auto"/>
        <w:left w:val="none" w:sz="0" w:space="0" w:color="auto"/>
        <w:bottom w:val="none" w:sz="0" w:space="0" w:color="auto"/>
        <w:right w:val="none" w:sz="0" w:space="0" w:color="auto"/>
      </w:divBdr>
    </w:div>
    <w:div w:id="727997113">
      <w:bodyDiv w:val="1"/>
      <w:marLeft w:val="0"/>
      <w:marRight w:val="0"/>
      <w:marTop w:val="0"/>
      <w:marBottom w:val="0"/>
      <w:divBdr>
        <w:top w:val="none" w:sz="0" w:space="0" w:color="auto"/>
        <w:left w:val="none" w:sz="0" w:space="0" w:color="auto"/>
        <w:bottom w:val="none" w:sz="0" w:space="0" w:color="auto"/>
        <w:right w:val="none" w:sz="0" w:space="0" w:color="auto"/>
      </w:divBdr>
    </w:div>
    <w:div w:id="727997673">
      <w:bodyDiv w:val="1"/>
      <w:marLeft w:val="0"/>
      <w:marRight w:val="0"/>
      <w:marTop w:val="0"/>
      <w:marBottom w:val="0"/>
      <w:divBdr>
        <w:top w:val="none" w:sz="0" w:space="0" w:color="auto"/>
        <w:left w:val="none" w:sz="0" w:space="0" w:color="auto"/>
        <w:bottom w:val="none" w:sz="0" w:space="0" w:color="auto"/>
        <w:right w:val="none" w:sz="0" w:space="0" w:color="auto"/>
      </w:divBdr>
    </w:div>
    <w:div w:id="728117672">
      <w:bodyDiv w:val="1"/>
      <w:marLeft w:val="0"/>
      <w:marRight w:val="0"/>
      <w:marTop w:val="0"/>
      <w:marBottom w:val="0"/>
      <w:divBdr>
        <w:top w:val="none" w:sz="0" w:space="0" w:color="auto"/>
        <w:left w:val="none" w:sz="0" w:space="0" w:color="auto"/>
        <w:bottom w:val="none" w:sz="0" w:space="0" w:color="auto"/>
        <w:right w:val="none" w:sz="0" w:space="0" w:color="auto"/>
      </w:divBdr>
    </w:div>
    <w:div w:id="728192781">
      <w:bodyDiv w:val="1"/>
      <w:marLeft w:val="0"/>
      <w:marRight w:val="0"/>
      <w:marTop w:val="0"/>
      <w:marBottom w:val="0"/>
      <w:divBdr>
        <w:top w:val="none" w:sz="0" w:space="0" w:color="auto"/>
        <w:left w:val="none" w:sz="0" w:space="0" w:color="auto"/>
        <w:bottom w:val="none" w:sz="0" w:space="0" w:color="auto"/>
        <w:right w:val="none" w:sz="0" w:space="0" w:color="auto"/>
      </w:divBdr>
    </w:div>
    <w:div w:id="728379083">
      <w:bodyDiv w:val="1"/>
      <w:marLeft w:val="0"/>
      <w:marRight w:val="0"/>
      <w:marTop w:val="0"/>
      <w:marBottom w:val="0"/>
      <w:divBdr>
        <w:top w:val="none" w:sz="0" w:space="0" w:color="auto"/>
        <w:left w:val="none" w:sz="0" w:space="0" w:color="auto"/>
        <w:bottom w:val="none" w:sz="0" w:space="0" w:color="auto"/>
        <w:right w:val="none" w:sz="0" w:space="0" w:color="auto"/>
      </w:divBdr>
    </w:div>
    <w:div w:id="728385446">
      <w:bodyDiv w:val="1"/>
      <w:marLeft w:val="0"/>
      <w:marRight w:val="0"/>
      <w:marTop w:val="0"/>
      <w:marBottom w:val="0"/>
      <w:divBdr>
        <w:top w:val="none" w:sz="0" w:space="0" w:color="auto"/>
        <w:left w:val="none" w:sz="0" w:space="0" w:color="auto"/>
        <w:bottom w:val="none" w:sz="0" w:space="0" w:color="auto"/>
        <w:right w:val="none" w:sz="0" w:space="0" w:color="auto"/>
      </w:divBdr>
    </w:div>
    <w:div w:id="728454978">
      <w:bodyDiv w:val="1"/>
      <w:marLeft w:val="0"/>
      <w:marRight w:val="0"/>
      <w:marTop w:val="0"/>
      <w:marBottom w:val="0"/>
      <w:divBdr>
        <w:top w:val="none" w:sz="0" w:space="0" w:color="auto"/>
        <w:left w:val="none" w:sz="0" w:space="0" w:color="auto"/>
        <w:bottom w:val="none" w:sz="0" w:space="0" w:color="auto"/>
        <w:right w:val="none" w:sz="0" w:space="0" w:color="auto"/>
      </w:divBdr>
    </w:div>
    <w:div w:id="728455525">
      <w:bodyDiv w:val="1"/>
      <w:marLeft w:val="0"/>
      <w:marRight w:val="0"/>
      <w:marTop w:val="0"/>
      <w:marBottom w:val="0"/>
      <w:divBdr>
        <w:top w:val="none" w:sz="0" w:space="0" w:color="auto"/>
        <w:left w:val="none" w:sz="0" w:space="0" w:color="auto"/>
        <w:bottom w:val="none" w:sz="0" w:space="0" w:color="auto"/>
        <w:right w:val="none" w:sz="0" w:space="0" w:color="auto"/>
      </w:divBdr>
    </w:div>
    <w:div w:id="728650998">
      <w:bodyDiv w:val="1"/>
      <w:marLeft w:val="0"/>
      <w:marRight w:val="0"/>
      <w:marTop w:val="0"/>
      <w:marBottom w:val="0"/>
      <w:divBdr>
        <w:top w:val="none" w:sz="0" w:space="0" w:color="auto"/>
        <w:left w:val="none" w:sz="0" w:space="0" w:color="auto"/>
        <w:bottom w:val="none" w:sz="0" w:space="0" w:color="auto"/>
        <w:right w:val="none" w:sz="0" w:space="0" w:color="auto"/>
      </w:divBdr>
    </w:div>
    <w:div w:id="728654359">
      <w:bodyDiv w:val="1"/>
      <w:marLeft w:val="0"/>
      <w:marRight w:val="0"/>
      <w:marTop w:val="0"/>
      <w:marBottom w:val="0"/>
      <w:divBdr>
        <w:top w:val="none" w:sz="0" w:space="0" w:color="auto"/>
        <w:left w:val="none" w:sz="0" w:space="0" w:color="auto"/>
        <w:bottom w:val="none" w:sz="0" w:space="0" w:color="auto"/>
        <w:right w:val="none" w:sz="0" w:space="0" w:color="auto"/>
      </w:divBdr>
    </w:div>
    <w:div w:id="728695412">
      <w:bodyDiv w:val="1"/>
      <w:marLeft w:val="0"/>
      <w:marRight w:val="0"/>
      <w:marTop w:val="0"/>
      <w:marBottom w:val="0"/>
      <w:divBdr>
        <w:top w:val="none" w:sz="0" w:space="0" w:color="auto"/>
        <w:left w:val="none" w:sz="0" w:space="0" w:color="auto"/>
        <w:bottom w:val="none" w:sz="0" w:space="0" w:color="auto"/>
        <w:right w:val="none" w:sz="0" w:space="0" w:color="auto"/>
      </w:divBdr>
    </w:div>
    <w:div w:id="728844062">
      <w:bodyDiv w:val="1"/>
      <w:marLeft w:val="0"/>
      <w:marRight w:val="0"/>
      <w:marTop w:val="0"/>
      <w:marBottom w:val="0"/>
      <w:divBdr>
        <w:top w:val="none" w:sz="0" w:space="0" w:color="auto"/>
        <w:left w:val="none" w:sz="0" w:space="0" w:color="auto"/>
        <w:bottom w:val="none" w:sz="0" w:space="0" w:color="auto"/>
        <w:right w:val="none" w:sz="0" w:space="0" w:color="auto"/>
      </w:divBdr>
    </w:div>
    <w:div w:id="728848803">
      <w:bodyDiv w:val="1"/>
      <w:marLeft w:val="0"/>
      <w:marRight w:val="0"/>
      <w:marTop w:val="0"/>
      <w:marBottom w:val="0"/>
      <w:divBdr>
        <w:top w:val="none" w:sz="0" w:space="0" w:color="auto"/>
        <w:left w:val="none" w:sz="0" w:space="0" w:color="auto"/>
        <w:bottom w:val="none" w:sz="0" w:space="0" w:color="auto"/>
        <w:right w:val="none" w:sz="0" w:space="0" w:color="auto"/>
      </w:divBdr>
    </w:div>
    <w:div w:id="728848995">
      <w:bodyDiv w:val="1"/>
      <w:marLeft w:val="0"/>
      <w:marRight w:val="0"/>
      <w:marTop w:val="0"/>
      <w:marBottom w:val="0"/>
      <w:divBdr>
        <w:top w:val="none" w:sz="0" w:space="0" w:color="auto"/>
        <w:left w:val="none" w:sz="0" w:space="0" w:color="auto"/>
        <w:bottom w:val="none" w:sz="0" w:space="0" w:color="auto"/>
        <w:right w:val="none" w:sz="0" w:space="0" w:color="auto"/>
      </w:divBdr>
    </w:div>
    <w:div w:id="728916634">
      <w:bodyDiv w:val="1"/>
      <w:marLeft w:val="0"/>
      <w:marRight w:val="0"/>
      <w:marTop w:val="0"/>
      <w:marBottom w:val="0"/>
      <w:divBdr>
        <w:top w:val="none" w:sz="0" w:space="0" w:color="auto"/>
        <w:left w:val="none" w:sz="0" w:space="0" w:color="auto"/>
        <w:bottom w:val="none" w:sz="0" w:space="0" w:color="auto"/>
        <w:right w:val="none" w:sz="0" w:space="0" w:color="auto"/>
      </w:divBdr>
    </w:div>
    <w:div w:id="728923538">
      <w:bodyDiv w:val="1"/>
      <w:marLeft w:val="0"/>
      <w:marRight w:val="0"/>
      <w:marTop w:val="0"/>
      <w:marBottom w:val="0"/>
      <w:divBdr>
        <w:top w:val="none" w:sz="0" w:space="0" w:color="auto"/>
        <w:left w:val="none" w:sz="0" w:space="0" w:color="auto"/>
        <w:bottom w:val="none" w:sz="0" w:space="0" w:color="auto"/>
        <w:right w:val="none" w:sz="0" w:space="0" w:color="auto"/>
      </w:divBdr>
    </w:div>
    <w:div w:id="729038811">
      <w:bodyDiv w:val="1"/>
      <w:marLeft w:val="0"/>
      <w:marRight w:val="0"/>
      <w:marTop w:val="0"/>
      <w:marBottom w:val="0"/>
      <w:divBdr>
        <w:top w:val="none" w:sz="0" w:space="0" w:color="auto"/>
        <w:left w:val="none" w:sz="0" w:space="0" w:color="auto"/>
        <w:bottom w:val="none" w:sz="0" w:space="0" w:color="auto"/>
        <w:right w:val="none" w:sz="0" w:space="0" w:color="auto"/>
      </w:divBdr>
    </w:div>
    <w:div w:id="729155205">
      <w:bodyDiv w:val="1"/>
      <w:marLeft w:val="0"/>
      <w:marRight w:val="0"/>
      <w:marTop w:val="0"/>
      <w:marBottom w:val="0"/>
      <w:divBdr>
        <w:top w:val="none" w:sz="0" w:space="0" w:color="auto"/>
        <w:left w:val="none" w:sz="0" w:space="0" w:color="auto"/>
        <w:bottom w:val="none" w:sz="0" w:space="0" w:color="auto"/>
        <w:right w:val="none" w:sz="0" w:space="0" w:color="auto"/>
      </w:divBdr>
    </w:div>
    <w:div w:id="729157352">
      <w:bodyDiv w:val="1"/>
      <w:marLeft w:val="0"/>
      <w:marRight w:val="0"/>
      <w:marTop w:val="0"/>
      <w:marBottom w:val="0"/>
      <w:divBdr>
        <w:top w:val="none" w:sz="0" w:space="0" w:color="auto"/>
        <w:left w:val="none" w:sz="0" w:space="0" w:color="auto"/>
        <w:bottom w:val="none" w:sz="0" w:space="0" w:color="auto"/>
        <w:right w:val="none" w:sz="0" w:space="0" w:color="auto"/>
      </w:divBdr>
    </w:div>
    <w:div w:id="729227885">
      <w:bodyDiv w:val="1"/>
      <w:marLeft w:val="0"/>
      <w:marRight w:val="0"/>
      <w:marTop w:val="0"/>
      <w:marBottom w:val="0"/>
      <w:divBdr>
        <w:top w:val="none" w:sz="0" w:space="0" w:color="auto"/>
        <w:left w:val="none" w:sz="0" w:space="0" w:color="auto"/>
        <w:bottom w:val="none" w:sz="0" w:space="0" w:color="auto"/>
        <w:right w:val="none" w:sz="0" w:space="0" w:color="auto"/>
      </w:divBdr>
    </w:div>
    <w:div w:id="729230279">
      <w:bodyDiv w:val="1"/>
      <w:marLeft w:val="0"/>
      <w:marRight w:val="0"/>
      <w:marTop w:val="0"/>
      <w:marBottom w:val="0"/>
      <w:divBdr>
        <w:top w:val="none" w:sz="0" w:space="0" w:color="auto"/>
        <w:left w:val="none" w:sz="0" w:space="0" w:color="auto"/>
        <w:bottom w:val="none" w:sz="0" w:space="0" w:color="auto"/>
        <w:right w:val="none" w:sz="0" w:space="0" w:color="auto"/>
      </w:divBdr>
    </w:div>
    <w:div w:id="729234099">
      <w:bodyDiv w:val="1"/>
      <w:marLeft w:val="0"/>
      <w:marRight w:val="0"/>
      <w:marTop w:val="0"/>
      <w:marBottom w:val="0"/>
      <w:divBdr>
        <w:top w:val="none" w:sz="0" w:space="0" w:color="auto"/>
        <w:left w:val="none" w:sz="0" w:space="0" w:color="auto"/>
        <w:bottom w:val="none" w:sz="0" w:space="0" w:color="auto"/>
        <w:right w:val="none" w:sz="0" w:space="0" w:color="auto"/>
      </w:divBdr>
    </w:div>
    <w:div w:id="729305452">
      <w:bodyDiv w:val="1"/>
      <w:marLeft w:val="0"/>
      <w:marRight w:val="0"/>
      <w:marTop w:val="0"/>
      <w:marBottom w:val="0"/>
      <w:divBdr>
        <w:top w:val="none" w:sz="0" w:space="0" w:color="auto"/>
        <w:left w:val="none" w:sz="0" w:space="0" w:color="auto"/>
        <w:bottom w:val="none" w:sz="0" w:space="0" w:color="auto"/>
        <w:right w:val="none" w:sz="0" w:space="0" w:color="auto"/>
      </w:divBdr>
    </w:div>
    <w:div w:id="729419827">
      <w:bodyDiv w:val="1"/>
      <w:marLeft w:val="0"/>
      <w:marRight w:val="0"/>
      <w:marTop w:val="0"/>
      <w:marBottom w:val="0"/>
      <w:divBdr>
        <w:top w:val="none" w:sz="0" w:space="0" w:color="auto"/>
        <w:left w:val="none" w:sz="0" w:space="0" w:color="auto"/>
        <w:bottom w:val="none" w:sz="0" w:space="0" w:color="auto"/>
        <w:right w:val="none" w:sz="0" w:space="0" w:color="auto"/>
      </w:divBdr>
    </w:div>
    <w:div w:id="729697715">
      <w:bodyDiv w:val="1"/>
      <w:marLeft w:val="0"/>
      <w:marRight w:val="0"/>
      <w:marTop w:val="0"/>
      <w:marBottom w:val="0"/>
      <w:divBdr>
        <w:top w:val="none" w:sz="0" w:space="0" w:color="auto"/>
        <w:left w:val="none" w:sz="0" w:space="0" w:color="auto"/>
        <w:bottom w:val="none" w:sz="0" w:space="0" w:color="auto"/>
        <w:right w:val="none" w:sz="0" w:space="0" w:color="auto"/>
      </w:divBdr>
    </w:div>
    <w:div w:id="729769593">
      <w:bodyDiv w:val="1"/>
      <w:marLeft w:val="0"/>
      <w:marRight w:val="0"/>
      <w:marTop w:val="0"/>
      <w:marBottom w:val="0"/>
      <w:divBdr>
        <w:top w:val="none" w:sz="0" w:space="0" w:color="auto"/>
        <w:left w:val="none" w:sz="0" w:space="0" w:color="auto"/>
        <w:bottom w:val="none" w:sz="0" w:space="0" w:color="auto"/>
        <w:right w:val="none" w:sz="0" w:space="0" w:color="auto"/>
      </w:divBdr>
    </w:div>
    <w:div w:id="729770518">
      <w:bodyDiv w:val="1"/>
      <w:marLeft w:val="0"/>
      <w:marRight w:val="0"/>
      <w:marTop w:val="0"/>
      <w:marBottom w:val="0"/>
      <w:divBdr>
        <w:top w:val="none" w:sz="0" w:space="0" w:color="auto"/>
        <w:left w:val="none" w:sz="0" w:space="0" w:color="auto"/>
        <w:bottom w:val="none" w:sz="0" w:space="0" w:color="auto"/>
        <w:right w:val="none" w:sz="0" w:space="0" w:color="auto"/>
      </w:divBdr>
    </w:div>
    <w:div w:id="729811646">
      <w:bodyDiv w:val="1"/>
      <w:marLeft w:val="0"/>
      <w:marRight w:val="0"/>
      <w:marTop w:val="0"/>
      <w:marBottom w:val="0"/>
      <w:divBdr>
        <w:top w:val="none" w:sz="0" w:space="0" w:color="auto"/>
        <w:left w:val="none" w:sz="0" w:space="0" w:color="auto"/>
        <w:bottom w:val="none" w:sz="0" w:space="0" w:color="auto"/>
        <w:right w:val="none" w:sz="0" w:space="0" w:color="auto"/>
      </w:divBdr>
    </w:div>
    <w:div w:id="729815288">
      <w:bodyDiv w:val="1"/>
      <w:marLeft w:val="0"/>
      <w:marRight w:val="0"/>
      <w:marTop w:val="0"/>
      <w:marBottom w:val="0"/>
      <w:divBdr>
        <w:top w:val="none" w:sz="0" w:space="0" w:color="auto"/>
        <w:left w:val="none" w:sz="0" w:space="0" w:color="auto"/>
        <w:bottom w:val="none" w:sz="0" w:space="0" w:color="auto"/>
        <w:right w:val="none" w:sz="0" w:space="0" w:color="auto"/>
      </w:divBdr>
    </w:div>
    <w:div w:id="729839016">
      <w:bodyDiv w:val="1"/>
      <w:marLeft w:val="0"/>
      <w:marRight w:val="0"/>
      <w:marTop w:val="0"/>
      <w:marBottom w:val="0"/>
      <w:divBdr>
        <w:top w:val="none" w:sz="0" w:space="0" w:color="auto"/>
        <w:left w:val="none" w:sz="0" w:space="0" w:color="auto"/>
        <w:bottom w:val="none" w:sz="0" w:space="0" w:color="auto"/>
        <w:right w:val="none" w:sz="0" w:space="0" w:color="auto"/>
      </w:divBdr>
    </w:div>
    <w:div w:id="730154961">
      <w:bodyDiv w:val="1"/>
      <w:marLeft w:val="0"/>
      <w:marRight w:val="0"/>
      <w:marTop w:val="0"/>
      <w:marBottom w:val="0"/>
      <w:divBdr>
        <w:top w:val="none" w:sz="0" w:space="0" w:color="auto"/>
        <w:left w:val="none" w:sz="0" w:space="0" w:color="auto"/>
        <w:bottom w:val="none" w:sz="0" w:space="0" w:color="auto"/>
        <w:right w:val="none" w:sz="0" w:space="0" w:color="auto"/>
      </w:divBdr>
    </w:div>
    <w:div w:id="730155573">
      <w:bodyDiv w:val="1"/>
      <w:marLeft w:val="0"/>
      <w:marRight w:val="0"/>
      <w:marTop w:val="0"/>
      <w:marBottom w:val="0"/>
      <w:divBdr>
        <w:top w:val="none" w:sz="0" w:space="0" w:color="auto"/>
        <w:left w:val="none" w:sz="0" w:space="0" w:color="auto"/>
        <w:bottom w:val="none" w:sz="0" w:space="0" w:color="auto"/>
        <w:right w:val="none" w:sz="0" w:space="0" w:color="auto"/>
      </w:divBdr>
    </w:div>
    <w:div w:id="730156795">
      <w:bodyDiv w:val="1"/>
      <w:marLeft w:val="0"/>
      <w:marRight w:val="0"/>
      <w:marTop w:val="0"/>
      <w:marBottom w:val="0"/>
      <w:divBdr>
        <w:top w:val="none" w:sz="0" w:space="0" w:color="auto"/>
        <w:left w:val="none" w:sz="0" w:space="0" w:color="auto"/>
        <w:bottom w:val="none" w:sz="0" w:space="0" w:color="auto"/>
        <w:right w:val="none" w:sz="0" w:space="0" w:color="auto"/>
      </w:divBdr>
    </w:div>
    <w:div w:id="730233150">
      <w:bodyDiv w:val="1"/>
      <w:marLeft w:val="0"/>
      <w:marRight w:val="0"/>
      <w:marTop w:val="0"/>
      <w:marBottom w:val="0"/>
      <w:divBdr>
        <w:top w:val="none" w:sz="0" w:space="0" w:color="auto"/>
        <w:left w:val="none" w:sz="0" w:space="0" w:color="auto"/>
        <w:bottom w:val="none" w:sz="0" w:space="0" w:color="auto"/>
        <w:right w:val="none" w:sz="0" w:space="0" w:color="auto"/>
      </w:divBdr>
    </w:div>
    <w:div w:id="730344854">
      <w:bodyDiv w:val="1"/>
      <w:marLeft w:val="0"/>
      <w:marRight w:val="0"/>
      <w:marTop w:val="0"/>
      <w:marBottom w:val="0"/>
      <w:divBdr>
        <w:top w:val="none" w:sz="0" w:space="0" w:color="auto"/>
        <w:left w:val="none" w:sz="0" w:space="0" w:color="auto"/>
        <w:bottom w:val="none" w:sz="0" w:space="0" w:color="auto"/>
        <w:right w:val="none" w:sz="0" w:space="0" w:color="auto"/>
      </w:divBdr>
    </w:div>
    <w:div w:id="730349538">
      <w:bodyDiv w:val="1"/>
      <w:marLeft w:val="0"/>
      <w:marRight w:val="0"/>
      <w:marTop w:val="0"/>
      <w:marBottom w:val="0"/>
      <w:divBdr>
        <w:top w:val="none" w:sz="0" w:space="0" w:color="auto"/>
        <w:left w:val="none" w:sz="0" w:space="0" w:color="auto"/>
        <w:bottom w:val="none" w:sz="0" w:space="0" w:color="auto"/>
        <w:right w:val="none" w:sz="0" w:space="0" w:color="auto"/>
      </w:divBdr>
    </w:div>
    <w:div w:id="730428386">
      <w:bodyDiv w:val="1"/>
      <w:marLeft w:val="0"/>
      <w:marRight w:val="0"/>
      <w:marTop w:val="0"/>
      <w:marBottom w:val="0"/>
      <w:divBdr>
        <w:top w:val="none" w:sz="0" w:space="0" w:color="auto"/>
        <w:left w:val="none" w:sz="0" w:space="0" w:color="auto"/>
        <w:bottom w:val="none" w:sz="0" w:space="0" w:color="auto"/>
        <w:right w:val="none" w:sz="0" w:space="0" w:color="auto"/>
      </w:divBdr>
    </w:div>
    <w:div w:id="730464395">
      <w:bodyDiv w:val="1"/>
      <w:marLeft w:val="0"/>
      <w:marRight w:val="0"/>
      <w:marTop w:val="0"/>
      <w:marBottom w:val="0"/>
      <w:divBdr>
        <w:top w:val="none" w:sz="0" w:space="0" w:color="auto"/>
        <w:left w:val="none" w:sz="0" w:space="0" w:color="auto"/>
        <w:bottom w:val="none" w:sz="0" w:space="0" w:color="auto"/>
        <w:right w:val="none" w:sz="0" w:space="0" w:color="auto"/>
      </w:divBdr>
    </w:div>
    <w:div w:id="730494345">
      <w:bodyDiv w:val="1"/>
      <w:marLeft w:val="0"/>
      <w:marRight w:val="0"/>
      <w:marTop w:val="0"/>
      <w:marBottom w:val="0"/>
      <w:divBdr>
        <w:top w:val="none" w:sz="0" w:space="0" w:color="auto"/>
        <w:left w:val="none" w:sz="0" w:space="0" w:color="auto"/>
        <w:bottom w:val="none" w:sz="0" w:space="0" w:color="auto"/>
        <w:right w:val="none" w:sz="0" w:space="0" w:color="auto"/>
      </w:divBdr>
    </w:div>
    <w:div w:id="730540641">
      <w:bodyDiv w:val="1"/>
      <w:marLeft w:val="0"/>
      <w:marRight w:val="0"/>
      <w:marTop w:val="0"/>
      <w:marBottom w:val="0"/>
      <w:divBdr>
        <w:top w:val="none" w:sz="0" w:space="0" w:color="auto"/>
        <w:left w:val="none" w:sz="0" w:space="0" w:color="auto"/>
        <w:bottom w:val="none" w:sz="0" w:space="0" w:color="auto"/>
        <w:right w:val="none" w:sz="0" w:space="0" w:color="auto"/>
      </w:divBdr>
    </w:div>
    <w:div w:id="730614136">
      <w:bodyDiv w:val="1"/>
      <w:marLeft w:val="0"/>
      <w:marRight w:val="0"/>
      <w:marTop w:val="0"/>
      <w:marBottom w:val="0"/>
      <w:divBdr>
        <w:top w:val="none" w:sz="0" w:space="0" w:color="auto"/>
        <w:left w:val="none" w:sz="0" w:space="0" w:color="auto"/>
        <w:bottom w:val="none" w:sz="0" w:space="0" w:color="auto"/>
        <w:right w:val="none" w:sz="0" w:space="0" w:color="auto"/>
      </w:divBdr>
    </w:div>
    <w:div w:id="730614144">
      <w:bodyDiv w:val="1"/>
      <w:marLeft w:val="0"/>
      <w:marRight w:val="0"/>
      <w:marTop w:val="0"/>
      <w:marBottom w:val="0"/>
      <w:divBdr>
        <w:top w:val="none" w:sz="0" w:space="0" w:color="auto"/>
        <w:left w:val="none" w:sz="0" w:space="0" w:color="auto"/>
        <w:bottom w:val="none" w:sz="0" w:space="0" w:color="auto"/>
        <w:right w:val="none" w:sz="0" w:space="0" w:color="auto"/>
      </w:divBdr>
    </w:div>
    <w:div w:id="730614776">
      <w:bodyDiv w:val="1"/>
      <w:marLeft w:val="0"/>
      <w:marRight w:val="0"/>
      <w:marTop w:val="0"/>
      <w:marBottom w:val="0"/>
      <w:divBdr>
        <w:top w:val="none" w:sz="0" w:space="0" w:color="auto"/>
        <w:left w:val="none" w:sz="0" w:space="0" w:color="auto"/>
        <w:bottom w:val="none" w:sz="0" w:space="0" w:color="auto"/>
        <w:right w:val="none" w:sz="0" w:space="0" w:color="auto"/>
      </w:divBdr>
    </w:div>
    <w:div w:id="730663122">
      <w:bodyDiv w:val="1"/>
      <w:marLeft w:val="0"/>
      <w:marRight w:val="0"/>
      <w:marTop w:val="0"/>
      <w:marBottom w:val="0"/>
      <w:divBdr>
        <w:top w:val="none" w:sz="0" w:space="0" w:color="auto"/>
        <w:left w:val="none" w:sz="0" w:space="0" w:color="auto"/>
        <w:bottom w:val="none" w:sz="0" w:space="0" w:color="auto"/>
        <w:right w:val="none" w:sz="0" w:space="0" w:color="auto"/>
      </w:divBdr>
    </w:div>
    <w:div w:id="730927586">
      <w:bodyDiv w:val="1"/>
      <w:marLeft w:val="0"/>
      <w:marRight w:val="0"/>
      <w:marTop w:val="0"/>
      <w:marBottom w:val="0"/>
      <w:divBdr>
        <w:top w:val="none" w:sz="0" w:space="0" w:color="auto"/>
        <w:left w:val="none" w:sz="0" w:space="0" w:color="auto"/>
        <w:bottom w:val="none" w:sz="0" w:space="0" w:color="auto"/>
        <w:right w:val="none" w:sz="0" w:space="0" w:color="auto"/>
      </w:divBdr>
    </w:div>
    <w:div w:id="730927667">
      <w:bodyDiv w:val="1"/>
      <w:marLeft w:val="0"/>
      <w:marRight w:val="0"/>
      <w:marTop w:val="0"/>
      <w:marBottom w:val="0"/>
      <w:divBdr>
        <w:top w:val="none" w:sz="0" w:space="0" w:color="auto"/>
        <w:left w:val="none" w:sz="0" w:space="0" w:color="auto"/>
        <w:bottom w:val="none" w:sz="0" w:space="0" w:color="auto"/>
        <w:right w:val="none" w:sz="0" w:space="0" w:color="auto"/>
      </w:divBdr>
    </w:div>
    <w:div w:id="730928062">
      <w:bodyDiv w:val="1"/>
      <w:marLeft w:val="0"/>
      <w:marRight w:val="0"/>
      <w:marTop w:val="0"/>
      <w:marBottom w:val="0"/>
      <w:divBdr>
        <w:top w:val="none" w:sz="0" w:space="0" w:color="auto"/>
        <w:left w:val="none" w:sz="0" w:space="0" w:color="auto"/>
        <w:bottom w:val="none" w:sz="0" w:space="0" w:color="auto"/>
        <w:right w:val="none" w:sz="0" w:space="0" w:color="auto"/>
      </w:divBdr>
    </w:div>
    <w:div w:id="730931341">
      <w:bodyDiv w:val="1"/>
      <w:marLeft w:val="0"/>
      <w:marRight w:val="0"/>
      <w:marTop w:val="0"/>
      <w:marBottom w:val="0"/>
      <w:divBdr>
        <w:top w:val="none" w:sz="0" w:space="0" w:color="auto"/>
        <w:left w:val="none" w:sz="0" w:space="0" w:color="auto"/>
        <w:bottom w:val="none" w:sz="0" w:space="0" w:color="auto"/>
        <w:right w:val="none" w:sz="0" w:space="0" w:color="auto"/>
      </w:divBdr>
    </w:div>
    <w:div w:id="731123014">
      <w:bodyDiv w:val="1"/>
      <w:marLeft w:val="0"/>
      <w:marRight w:val="0"/>
      <w:marTop w:val="0"/>
      <w:marBottom w:val="0"/>
      <w:divBdr>
        <w:top w:val="none" w:sz="0" w:space="0" w:color="auto"/>
        <w:left w:val="none" w:sz="0" w:space="0" w:color="auto"/>
        <w:bottom w:val="none" w:sz="0" w:space="0" w:color="auto"/>
        <w:right w:val="none" w:sz="0" w:space="0" w:color="auto"/>
      </w:divBdr>
    </w:div>
    <w:div w:id="731124003">
      <w:bodyDiv w:val="1"/>
      <w:marLeft w:val="0"/>
      <w:marRight w:val="0"/>
      <w:marTop w:val="0"/>
      <w:marBottom w:val="0"/>
      <w:divBdr>
        <w:top w:val="none" w:sz="0" w:space="0" w:color="auto"/>
        <w:left w:val="none" w:sz="0" w:space="0" w:color="auto"/>
        <w:bottom w:val="none" w:sz="0" w:space="0" w:color="auto"/>
        <w:right w:val="none" w:sz="0" w:space="0" w:color="auto"/>
      </w:divBdr>
    </w:div>
    <w:div w:id="731196176">
      <w:bodyDiv w:val="1"/>
      <w:marLeft w:val="0"/>
      <w:marRight w:val="0"/>
      <w:marTop w:val="0"/>
      <w:marBottom w:val="0"/>
      <w:divBdr>
        <w:top w:val="none" w:sz="0" w:space="0" w:color="auto"/>
        <w:left w:val="none" w:sz="0" w:space="0" w:color="auto"/>
        <w:bottom w:val="none" w:sz="0" w:space="0" w:color="auto"/>
        <w:right w:val="none" w:sz="0" w:space="0" w:color="auto"/>
      </w:divBdr>
    </w:div>
    <w:div w:id="731271212">
      <w:bodyDiv w:val="1"/>
      <w:marLeft w:val="0"/>
      <w:marRight w:val="0"/>
      <w:marTop w:val="0"/>
      <w:marBottom w:val="0"/>
      <w:divBdr>
        <w:top w:val="none" w:sz="0" w:space="0" w:color="auto"/>
        <w:left w:val="none" w:sz="0" w:space="0" w:color="auto"/>
        <w:bottom w:val="none" w:sz="0" w:space="0" w:color="auto"/>
        <w:right w:val="none" w:sz="0" w:space="0" w:color="auto"/>
      </w:divBdr>
    </w:div>
    <w:div w:id="731317510">
      <w:bodyDiv w:val="1"/>
      <w:marLeft w:val="0"/>
      <w:marRight w:val="0"/>
      <w:marTop w:val="0"/>
      <w:marBottom w:val="0"/>
      <w:divBdr>
        <w:top w:val="none" w:sz="0" w:space="0" w:color="auto"/>
        <w:left w:val="none" w:sz="0" w:space="0" w:color="auto"/>
        <w:bottom w:val="none" w:sz="0" w:space="0" w:color="auto"/>
        <w:right w:val="none" w:sz="0" w:space="0" w:color="auto"/>
      </w:divBdr>
    </w:div>
    <w:div w:id="731394428">
      <w:bodyDiv w:val="1"/>
      <w:marLeft w:val="0"/>
      <w:marRight w:val="0"/>
      <w:marTop w:val="0"/>
      <w:marBottom w:val="0"/>
      <w:divBdr>
        <w:top w:val="none" w:sz="0" w:space="0" w:color="auto"/>
        <w:left w:val="none" w:sz="0" w:space="0" w:color="auto"/>
        <w:bottom w:val="none" w:sz="0" w:space="0" w:color="auto"/>
        <w:right w:val="none" w:sz="0" w:space="0" w:color="auto"/>
      </w:divBdr>
    </w:div>
    <w:div w:id="731461791">
      <w:bodyDiv w:val="1"/>
      <w:marLeft w:val="0"/>
      <w:marRight w:val="0"/>
      <w:marTop w:val="0"/>
      <w:marBottom w:val="0"/>
      <w:divBdr>
        <w:top w:val="none" w:sz="0" w:space="0" w:color="auto"/>
        <w:left w:val="none" w:sz="0" w:space="0" w:color="auto"/>
        <w:bottom w:val="none" w:sz="0" w:space="0" w:color="auto"/>
        <w:right w:val="none" w:sz="0" w:space="0" w:color="auto"/>
      </w:divBdr>
    </w:div>
    <w:div w:id="731655388">
      <w:bodyDiv w:val="1"/>
      <w:marLeft w:val="0"/>
      <w:marRight w:val="0"/>
      <w:marTop w:val="0"/>
      <w:marBottom w:val="0"/>
      <w:divBdr>
        <w:top w:val="none" w:sz="0" w:space="0" w:color="auto"/>
        <w:left w:val="none" w:sz="0" w:space="0" w:color="auto"/>
        <w:bottom w:val="none" w:sz="0" w:space="0" w:color="auto"/>
        <w:right w:val="none" w:sz="0" w:space="0" w:color="auto"/>
      </w:divBdr>
    </w:div>
    <w:div w:id="731733945">
      <w:bodyDiv w:val="1"/>
      <w:marLeft w:val="0"/>
      <w:marRight w:val="0"/>
      <w:marTop w:val="0"/>
      <w:marBottom w:val="0"/>
      <w:divBdr>
        <w:top w:val="none" w:sz="0" w:space="0" w:color="auto"/>
        <w:left w:val="none" w:sz="0" w:space="0" w:color="auto"/>
        <w:bottom w:val="none" w:sz="0" w:space="0" w:color="auto"/>
        <w:right w:val="none" w:sz="0" w:space="0" w:color="auto"/>
      </w:divBdr>
    </w:div>
    <w:div w:id="731734864">
      <w:bodyDiv w:val="1"/>
      <w:marLeft w:val="0"/>
      <w:marRight w:val="0"/>
      <w:marTop w:val="0"/>
      <w:marBottom w:val="0"/>
      <w:divBdr>
        <w:top w:val="none" w:sz="0" w:space="0" w:color="auto"/>
        <w:left w:val="none" w:sz="0" w:space="0" w:color="auto"/>
        <w:bottom w:val="none" w:sz="0" w:space="0" w:color="auto"/>
        <w:right w:val="none" w:sz="0" w:space="0" w:color="auto"/>
      </w:divBdr>
    </w:div>
    <w:div w:id="731736024">
      <w:bodyDiv w:val="1"/>
      <w:marLeft w:val="0"/>
      <w:marRight w:val="0"/>
      <w:marTop w:val="0"/>
      <w:marBottom w:val="0"/>
      <w:divBdr>
        <w:top w:val="none" w:sz="0" w:space="0" w:color="auto"/>
        <w:left w:val="none" w:sz="0" w:space="0" w:color="auto"/>
        <w:bottom w:val="none" w:sz="0" w:space="0" w:color="auto"/>
        <w:right w:val="none" w:sz="0" w:space="0" w:color="auto"/>
      </w:divBdr>
    </w:div>
    <w:div w:id="731775078">
      <w:bodyDiv w:val="1"/>
      <w:marLeft w:val="0"/>
      <w:marRight w:val="0"/>
      <w:marTop w:val="0"/>
      <w:marBottom w:val="0"/>
      <w:divBdr>
        <w:top w:val="none" w:sz="0" w:space="0" w:color="auto"/>
        <w:left w:val="none" w:sz="0" w:space="0" w:color="auto"/>
        <w:bottom w:val="none" w:sz="0" w:space="0" w:color="auto"/>
        <w:right w:val="none" w:sz="0" w:space="0" w:color="auto"/>
      </w:divBdr>
    </w:div>
    <w:div w:id="731781426">
      <w:bodyDiv w:val="1"/>
      <w:marLeft w:val="0"/>
      <w:marRight w:val="0"/>
      <w:marTop w:val="0"/>
      <w:marBottom w:val="0"/>
      <w:divBdr>
        <w:top w:val="none" w:sz="0" w:space="0" w:color="auto"/>
        <w:left w:val="none" w:sz="0" w:space="0" w:color="auto"/>
        <w:bottom w:val="none" w:sz="0" w:space="0" w:color="auto"/>
        <w:right w:val="none" w:sz="0" w:space="0" w:color="auto"/>
      </w:divBdr>
    </w:div>
    <w:div w:id="731848023">
      <w:bodyDiv w:val="1"/>
      <w:marLeft w:val="0"/>
      <w:marRight w:val="0"/>
      <w:marTop w:val="0"/>
      <w:marBottom w:val="0"/>
      <w:divBdr>
        <w:top w:val="none" w:sz="0" w:space="0" w:color="auto"/>
        <w:left w:val="none" w:sz="0" w:space="0" w:color="auto"/>
        <w:bottom w:val="none" w:sz="0" w:space="0" w:color="auto"/>
        <w:right w:val="none" w:sz="0" w:space="0" w:color="auto"/>
      </w:divBdr>
    </w:div>
    <w:div w:id="731927318">
      <w:bodyDiv w:val="1"/>
      <w:marLeft w:val="0"/>
      <w:marRight w:val="0"/>
      <w:marTop w:val="0"/>
      <w:marBottom w:val="0"/>
      <w:divBdr>
        <w:top w:val="none" w:sz="0" w:space="0" w:color="auto"/>
        <w:left w:val="none" w:sz="0" w:space="0" w:color="auto"/>
        <w:bottom w:val="none" w:sz="0" w:space="0" w:color="auto"/>
        <w:right w:val="none" w:sz="0" w:space="0" w:color="auto"/>
      </w:divBdr>
    </w:div>
    <w:div w:id="731929600">
      <w:bodyDiv w:val="1"/>
      <w:marLeft w:val="0"/>
      <w:marRight w:val="0"/>
      <w:marTop w:val="0"/>
      <w:marBottom w:val="0"/>
      <w:divBdr>
        <w:top w:val="none" w:sz="0" w:space="0" w:color="auto"/>
        <w:left w:val="none" w:sz="0" w:space="0" w:color="auto"/>
        <w:bottom w:val="none" w:sz="0" w:space="0" w:color="auto"/>
        <w:right w:val="none" w:sz="0" w:space="0" w:color="auto"/>
      </w:divBdr>
    </w:div>
    <w:div w:id="731930595">
      <w:bodyDiv w:val="1"/>
      <w:marLeft w:val="0"/>
      <w:marRight w:val="0"/>
      <w:marTop w:val="0"/>
      <w:marBottom w:val="0"/>
      <w:divBdr>
        <w:top w:val="none" w:sz="0" w:space="0" w:color="auto"/>
        <w:left w:val="none" w:sz="0" w:space="0" w:color="auto"/>
        <w:bottom w:val="none" w:sz="0" w:space="0" w:color="auto"/>
        <w:right w:val="none" w:sz="0" w:space="0" w:color="auto"/>
      </w:divBdr>
    </w:div>
    <w:div w:id="732000728">
      <w:bodyDiv w:val="1"/>
      <w:marLeft w:val="0"/>
      <w:marRight w:val="0"/>
      <w:marTop w:val="0"/>
      <w:marBottom w:val="0"/>
      <w:divBdr>
        <w:top w:val="none" w:sz="0" w:space="0" w:color="auto"/>
        <w:left w:val="none" w:sz="0" w:space="0" w:color="auto"/>
        <w:bottom w:val="none" w:sz="0" w:space="0" w:color="auto"/>
        <w:right w:val="none" w:sz="0" w:space="0" w:color="auto"/>
      </w:divBdr>
    </w:div>
    <w:div w:id="732117516">
      <w:bodyDiv w:val="1"/>
      <w:marLeft w:val="0"/>
      <w:marRight w:val="0"/>
      <w:marTop w:val="0"/>
      <w:marBottom w:val="0"/>
      <w:divBdr>
        <w:top w:val="none" w:sz="0" w:space="0" w:color="auto"/>
        <w:left w:val="none" w:sz="0" w:space="0" w:color="auto"/>
        <w:bottom w:val="none" w:sz="0" w:space="0" w:color="auto"/>
        <w:right w:val="none" w:sz="0" w:space="0" w:color="auto"/>
      </w:divBdr>
    </w:div>
    <w:div w:id="732311701">
      <w:bodyDiv w:val="1"/>
      <w:marLeft w:val="0"/>
      <w:marRight w:val="0"/>
      <w:marTop w:val="0"/>
      <w:marBottom w:val="0"/>
      <w:divBdr>
        <w:top w:val="none" w:sz="0" w:space="0" w:color="auto"/>
        <w:left w:val="none" w:sz="0" w:space="0" w:color="auto"/>
        <w:bottom w:val="none" w:sz="0" w:space="0" w:color="auto"/>
        <w:right w:val="none" w:sz="0" w:space="0" w:color="auto"/>
      </w:divBdr>
    </w:div>
    <w:div w:id="732385761">
      <w:bodyDiv w:val="1"/>
      <w:marLeft w:val="0"/>
      <w:marRight w:val="0"/>
      <w:marTop w:val="0"/>
      <w:marBottom w:val="0"/>
      <w:divBdr>
        <w:top w:val="none" w:sz="0" w:space="0" w:color="auto"/>
        <w:left w:val="none" w:sz="0" w:space="0" w:color="auto"/>
        <w:bottom w:val="none" w:sz="0" w:space="0" w:color="auto"/>
        <w:right w:val="none" w:sz="0" w:space="0" w:color="auto"/>
      </w:divBdr>
    </w:div>
    <w:div w:id="732389245">
      <w:bodyDiv w:val="1"/>
      <w:marLeft w:val="0"/>
      <w:marRight w:val="0"/>
      <w:marTop w:val="0"/>
      <w:marBottom w:val="0"/>
      <w:divBdr>
        <w:top w:val="none" w:sz="0" w:space="0" w:color="auto"/>
        <w:left w:val="none" w:sz="0" w:space="0" w:color="auto"/>
        <w:bottom w:val="none" w:sz="0" w:space="0" w:color="auto"/>
        <w:right w:val="none" w:sz="0" w:space="0" w:color="auto"/>
      </w:divBdr>
    </w:div>
    <w:div w:id="732505922">
      <w:bodyDiv w:val="1"/>
      <w:marLeft w:val="0"/>
      <w:marRight w:val="0"/>
      <w:marTop w:val="0"/>
      <w:marBottom w:val="0"/>
      <w:divBdr>
        <w:top w:val="none" w:sz="0" w:space="0" w:color="auto"/>
        <w:left w:val="none" w:sz="0" w:space="0" w:color="auto"/>
        <w:bottom w:val="none" w:sz="0" w:space="0" w:color="auto"/>
        <w:right w:val="none" w:sz="0" w:space="0" w:color="auto"/>
      </w:divBdr>
    </w:div>
    <w:div w:id="732629040">
      <w:bodyDiv w:val="1"/>
      <w:marLeft w:val="0"/>
      <w:marRight w:val="0"/>
      <w:marTop w:val="0"/>
      <w:marBottom w:val="0"/>
      <w:divBdr>
        <w:top w:val="none" w:sz="0" w:space="0" w:color="auto"/>
        <w:left w:val="none" w:sz="0" w:space="0" w:color="auto"/>
        <w:bottom w:val="none" w:sz="0" w:space="0" w:color="auto"/>
        <w:right w:val="none" w:sz="0" w:space="0" w:color="auto"/>
      </w:divBdr>
    </w:div>
    <w:div w:id="732703489">
      <w:bodyDiv w:val="1"/>
      <w:marLeft w:val="0"/>
      <w:marRight w:val="0"/>
      <w:marTop w:val="0"/>
      <w:marBottom w:val="0"/>
      <w:divBdr>
        <w:top w:val="none" w:sz="0" w:space="0" w:color="auto"/>
        <w:left w:val="none" w:sz="0" w:space="0" w:color="auto"/>
        <w:bottom w:val="none" w:sz="0" w:space="0" w:color="auto"/>
        <w:right w:val="none" w:sz="0" w:space="0" w:color="auto"/>
      </w:divBdr>
    </w:div>
    <w:div w:id="732779365">
      <w:bodyDiv w:val="1"/>
      <w:marLeft w:val="0"/>
      <w:marRight w:val="0"/>
      <w:marTop w:val="0"/>
      <w:marBottom w:val="0"/>
      <w:divBdr>
        <w:top w:val="none" w:sz="0" w:space="0" w:color="auto"/>
        <w:left w:val="none" w:sz="0" w:space="0" w:color="auto"/>
        <w:bottom w:val="none" w:sz="0" w:space="0" w:color="auto"/>
        <w:right w:val="none" w:sz="0" w:space="0" w:color="auto"/>
      </w:divBdr>
    </w:div>
    <w:div w:id="732848624">
      <w:bodyDiv w:val="1"/>
      <w:marLeft w:val="0"/>
      <w:marRight w:val="0"/>
      <w:marTop w:val="0"/>
      <w:marBottom w:val="0"/>
      <w:divBdr>
        <w:top w:val="none" w:sz="0" w:space="0" w:color="auto"/>
        <w:left w:val="none" w:sz="0" w:space="0" w:color="auto"/>
        <w:bottom w:val="none" w:sz="0" w:space="0" w:color="auto"/>
        <w:right w:val="none" w:sz="0" w:space="0" w:color="auto"/>
      </w:divBdr>
    </w:div>
    <w:div w:id="732849907">
      <w:bodyDiv w:val="1"/>
      <w:marLeft w:val="0"/>
      <w:marRight w:val="0"/>
      <w:marTop w:val="0"/>
      <w:marBottom w:val="0"/>
      <w:divBdr>
        <w:top w:val="none" w:sz="0" w:space="0" w:color="auto"/>
        <w:left w:val="none" w:sz="0" w:space="0" w:color="auto"/>
        <w:bottom w:val="none" w:sz="0" w:space="0" w:color="auto"/>
        <w:right w:val="none" w:sz="0" w:space="0" w:color="auto"/>
      </w:divBdr>
    </w:div>
    <w:div w:id="732965426">
      <w:bodyDiv w:val="1"/>
      <w:marLeft w:val="0"/>
      <w:marRight w:val="0"/>
      <w:marTop w:val="0"/>
      <w:marBottom w:val="0"/>
      <w:divBdr>
        <w:top w:val="none" w:sz="0" w:space="0" w:color="auto"/>
        <w:left w:val="none" w:sz="0" w:space="0" w:color="auto"/>
        <w:bottom w:val="none" w:sz="0" w:space="0" w:color="auto"/>
        <w:right w:val="none" w:sz="0" w:space="0" w:color="auto"/>
      </w:divBdr>
    </w:div>
    <w:div w:id="732966645">
      <w:bodyDiv w:val="1"/>
      <w:marLeft w:val="0"/>
      <w:marRight w:val="0"/>
      <w:marTop w:val="0"/>
      <w:marBottom w:val="0"/>
      <w:divBdr>
        <w:top w:val="none" w:sz="0" w:space="0" w:color="auto"/>
        <w:left w:val="none" w:sz="0" w:space="0" w:color="auto"/>
        <w:bottom w:val="none" w:sz="0" w:space="0" w:color="auto"/>
        <w:right w:val="none" w:sz="0" w:space="0" w:color="auto"/>
      </w:divBdr>
    </w:div>
    <w:div w:id="733042403">
      <w:bodyDiv w:val="1"/>
      <w:marLeft w:val="0"/>
      <w:marRight w:val="0"/>
      <w:marTop w:val="0"/>
      <w:marBottom w:val="0"/>
      <w:divBdr>
        <w:top w:val="none" w:sz="0" w:space="0" w:color="auto"/>
        <w:left w:val="none" w:sz="0" w:space="0" w:color="auto"/>
        <w:bottom w:val="none" w:sz="0" w:space="0" w:color="auto"/>
        <w:right w:val="none" w:sz="0" w:space="0" w:color="auto"/>
      </w:divBdr>
    </w:div>
    <w:div w:id="733088376">
      <w:bodyDiv w:val="1"/>
      <w:marLeft w:val="0"/>
      <w:marRight w:val="0"/>
      <w:marTop w:val="0"/>
      <w:marBottom w:val="0"/>
      <w:divBdr>
        <w:top w:val="none" w:sz="0" w:space="0" w:color="auto"/>
        <w:left w:val="none" w:sz="0" w:space="0" w:color="auto"/>
        <w:bottom w:val="none" w:sz="0" w:space="0" w:color="auto"/>
        <w:right w:val="none" w:sz="0" w:space="0" w:color="auto"/>
      </w:divBdr>
    </w:div>
    <w:div w:id="733090895">
      <w:bodyDiv w:val="1"/>
      <w:marLeft w:val="0"/>
      <w:marRight w:val="0"/>
      <w:marTop w:val="0"/>
      <w:marBottom w:val="0"/>
      <w:divBdr>
        <w:top w:val="none" w:sz="0" w:space="0" w:color="auto"/>
        <w:left w:val="none" w:sz="0" w:space="0" w:color="auto"/>
        <w:bottom w:val="none" w:sz="0" w:space="0" w:color="auto"/>
        <w:right w:val="none" w:sz="0" w:space="0" w:color="auto"/>
      </w:divBdr>
    </w:div>
    <w:div w:id="733285391">
      <w:bodyDiv w:val="1"/>
      <w:marLeft w:val="0"/>
      <w:marRight w:val="0"/>
      <w:marTop w:val="0"/>
      <w:marBottom w:val="0"/>
      <w:divBdr>
        <w:top w:val="none" w:sz="0" w:space="0" w:color="auto"/>
        <w:left w:val="none" w:sz="0" w:space="0" w:color="auto"/>
        <w:bottom w:val="none" w:sz="0" w:space="0" w:color="auto"/>
        <w:right w:val="none" w:sz="0" w:space="0" w:color="auto"/>
      </w:divBdr>
    </w:div>
    <w:div w:id="733314891">
      <w:bodyDiv w:val="1"/>
      <w:marLeft w:val="0"/>
      <w:marRight w:val="0"/>
      <w:marTop w:val="0"/>
      <w:marBottom w:val="0"/>
      <w:divBdr>
        <w:top w:val="none" w:sz="0" w:space="0" w:color="auto"/>
        <w:left w:val="none" w:sz="0" w:space="0" w:color="auto"/>
        <w:bottom w:val="none" w:sz="0" w:space="0" w:color="auto"/>
        <w:right w:val="none" w:sz="0" w:space="0" w:color="auto"/>
      </w:divBdr>
    </w:div>
    <w:div w:id="733435434">
      <w:bodyDiv w:val="1"/>
      <w:marLeft w:val="0"/>
      <w:marRight w:val="0"/>
      <w:marTop w:val="0"/>
      <w:marBottom w:val="0"/>
      <w:divBdr>
        <w:top w:val="none" w:sz="0" w:space="0" w:color="auto"/>
        <w:left w:val="none" w:sz="0" w:space="0" w:color="auto"/>
        <w:bottom w:val="none" w:sz="0" w:space="0" w:color="auto"/>
        <w:right w:val="none" w:sz="0" w:space="0" w:color="auto"/>
      </w:divBdr>
    </w:div>
    <w:div w:id="733502464">
      <w:bodyDiv w:val="1"/>
      <w:marLeft w:val="0"/>
      <w:marRight w:val="0"/>
      <w:marTop w:val="0"/>
      <w:marBottom w:val="0"/>
      <w:divBdr>
        <w:top w:val="none" w:sz="0" w:space="0" w:color="auto"/>
        <w:left w:val="none" w:sz="0" w:space="0" w:color="auto"/>
        <w:bottom w:val="none" w:sz="0" w:space="0" w:color="auto"/>
        <w:right w:val="none" w:sz="0" w:space="0" w:color="auto"/>
      </w:divBdr>
    </w:div>
    <w:div w:id="733551064">
      <w:bodyDiv w:val="1"/>
      <w:marLeft w:val="0"/>
      <w:marRight w:val="0"/>
      <w:marTop w:val="0"/>
      <w:marBottom w:val="0"/>
      <w:divBdr>
        <w:top w:val="none" w:sz="0" w:space="0" w:color="auto"/>
        <w:left w:val="none" w:sz="0" w:space="0" w:color="auto"/>
        <w:bottom w:val="none" w:sz="0" w:space="0" w:color="auto"/>
        <w:right w:val="none" w:sz="0" w:space="0" w:color="auto"/>
      </w:divBdr>
    </w:div>
    <w:div w:id="733622415">
      <w:bodyDiv w:val="1"/>
      <w:marLeft w:val="0"/>
      <w:marRight w:val="0"/>
      <w:marTop w:val="0"/>
      <w:marBottom w:val="0"/>
      <w:divBdr>
        <w:top w:val="none" w:sz="0" w:space="0" w:color="auto"/>
        <w:left w:val="none" w:sz="0" w:space="0" w:color="auto"/>
        <w:bottom w:val="none" w:sz="0" w:space="0" w:color="auto"/>
        <w:right w:val="none" w:sz="0" w:space="0" w:color="auto"/>
      </w:divBdr>
    </w:div>
    <w:div w:id="733744509">
      <w:bodyDiv w:val="1"/>
      <w:marLeft w:val="0"/>
      <w:marRight w:val="0"/>
      <w:marTop w:val="0"/>
      <w:marBottom w:val="0"/>
      <w:divBdr>
        <w:top w:val="none" w:sz="0" w:space="0" w:color="auto"/>
        <w:left w:val="none" w:sz="0" w:space="0" w:color="auto"/>
        <w:bottom w:val="none" w:sz="0" w:space="0" w:color="auto"/>
        <w:right w:val="none" w:sz="0" w:space="0" w:color="auto"/>
      </w:divBdr>
    </w:div>
    <w:div w:id="733890233">
      <w:bodyDiv w:val="1"/>
      <w:marLeft w:val="0"/>
      <w:marRight w:val="0"/>
      <w:marTop w:val="0"/>
      <w:marBottom w:val="0"/>
      <w:divBdr>
        <w:top w:val="none" w:sz="0" w:space="0" w:color="auto"/>
        <w:left w:val="none" w:sz="0" w:space="0" w:color="auto"/>
        <w:bottom w:val="none" w:sz="0" w:space="0" w:color="auto"/>
        <w:right w:val="none" w:sz="0" w:space="0" w:color="auto"/>
      </w:divBdr>
    </w:div>
    <w:div w:id="734007941">
      <w:bodyDiv w:val="1"/>
      <w:marLeft w:val="0"/>
      <w:marRight w:val="0"/>
      <w:marTop w:val="0"/>
      <w:marBottom w:val="0"/>
      <w:divBdr>
        <w:top w:val="none" w:sz="0" w:space="0" w:color="auto"/>
        <w:left w:val="none" w:sz="0" w:space="0" w:color="auto"/>
        <w:bottom w:val="none" w:sz="0" w:space="0" w:color="auto"/>
        <w:right w:val="none" w:sz="0" w:space="0" w:color="auto"/>
      </w:divBdr>
    </w:div>
    <w:div w:id="734012540">
      <w:bodyDiv w:val="1"/>
      <w:marLeft w:val="0"/>
      <w:marRight w:val="0"/>
      <w:marTop w:val="0"/>
      <w:marBottom w:val="0"/>
      <w:divBdr>
        <w:top w:val="none" w:sz="0" w:space="0" w:color="auto"/>
        <w:left w:val="none" w:sz="0" w:space="0" w:color="auto"/>
        <w:bottom w:val="none" w:sz="0" w:space="0" w:color="auto"/>
        <w:right w:val="none" w:sz="0" w:space="0" w:color="auto"/>
      </w:divBdr>
    </w:div>
    <w:div w:id="734012675">
      <w:bodyDiv w:val="1"/>
      <w:marLeft w:val="0"/>
      <w:marRight w:val="0"/>
      <w:marTop w:val="0"/>
      <w:marBottom w:val="0"/>
      <w:divBdr>
        <w:top w:val="none" w:sz="0" w:space="0" w:color="auto"/>
        <w:left w:val="none" w:sz="0" w:space="0" w:color="auto"/>
        <w:bottom w:val="none" w:sz="0" w:space="0" w:color="auto"/>
        <w:right w:val="none" w:sz="0" w:space="0" w:color="auto"/>
      </w:divBdr>
    </w:div>
    <w:div w:id="734084756">
      <w:bodyDiv w:val="1"/>
      <w:marLeft w:val="0"/>
      <w:marRight w:val="0"/>
      <w:marTop w:val="0"/>
      <w:marBottom w:val="0"/>
      <w:divBdr>
        <w:top w:val="none" w:sz="0" w:space="0" w:color="auto"/>
        <w:left w:val="none" w:sz="0" w:space="0" w:color="auto"/>
        <w:bottom w:val="none" w:sz="0" w:space="0" w:color="auto"/>
        <w:right w:val="none" w:sz="0" w:space="0" w:color="auto"/>
      </w:divBdr>
    </w:div>
    <w:div w:id="734165044">
      <w:bodyDiv w:val="1"/>
      <w:marLeft w:val="0"/>
      <w:marRight w:val="0"/>
      <w:marTop w:val="0"/>
      <w:marBottom w:val="0"/>
      <w:divBdr>
        <w:top w:val="none" w:sz="0" w:space="0" w:color="auto"/>
        <w:left w:val="none" w:sz="0" w:space="0" w:color="auto"/>
        <w:bottom w:val="none" w:sz="0" w:space="0" w:color="auto"/>
        <w:right w:val="none" w:sz="0" w:space="0" w:color="auto"/>
      </w:divBdr>
    </w:div>
    <w:div w:id="734202486">
      <w:bodyDiv w:val="1"/>
      <w:marLeft w:val="0"/>
      <w:marRight w:val="0"/>
      <w:marTop w:val="0"/>
      <w:marBottom w:val="0"/>
      <w:divBdr>
        <w:top w:val="none" w:sz="0" w:space="0" w:color="auto"/>
        <w:left w:val="none" w:sz="0" w:space="0" w:color="auto"/>
        <w:bottom w:val="none" w:sz="0" w:space="0" w:color="auto"/>
        <w:right w:val="none" w:sz="0" w:space="0" w:color="auto"/>
      </w:divBdr>
    </w:div>
    <w:div w:id="734206848">
      <w:bodyDiv w:val="1"/>
      <w:marLeft w:val="0"/>
      <w:marRight w:val="0"/>
      <w:marTop w:val="0"/>
      <w:marBottom w:val="0"/>
      <w:divBdr>
        <w:top w:val="none" w:sz="0" w:space="0" w:color="auto"/>
        <w:left w:val="none" w:sz="0" w:space="0" w:color="auto"/>
        <w:bottom w:val="none" w:sz="0" w:space="0" w:color="auto"/>
        <w:right w:val="none" w:sz="0" w:space="0" w:color="auto"/>
      </w:divBdr>
    </w:div>
    <w:div w:id="734469624">
      <w:bodyDiv w:val="1"/>
      <w:marLeft w:val="0"/>
      <w:marRight w:val="0"/>
      <w:marTop w:val="0"/>
      <w:marBottom w:val="0"/>
      <w:divBdr>
        <w:top w:val="none" w:sz="0" w:space="0" w:color="auto"/>
        <w:left w:val="none" w:sz="0" w:space="0" w:color="auto"/>
        <w:bottom w:val="none" w:sz="0" w:space="0" w:color="auto"/>
        <w:right w:val="none" w:sz="0" w:space="0" w:color="auto"/>
      </w:divBdr>
    </w:div>
    <w:div w:id="734624162">
      <w:bodyDiv w:val="1"/>
      <w:marLeft w:val="0"/>
      <w:marRight w:val="0"/>
      <w:marTop w:val="0"/>
      <w:marBottom w:val="0"/>
      <w:divBdr>
        <w:top w:val="none" w:sz="0" w:space="0" w:color="auto"/>
        <w:left w:val="none" w:sz="0" w:space="0" w:color="auto"/>
        <w:bottom w:val="none" w:sz="0" w:space="0" w:color="auto"/>
        <w:right w:val="none" w:sz="0" w:space="0" w:color="auto"/>
      </w:divBdr>
    </w:div>
    <w:div w:id="734737779">
      <w:bodyDiv w:val="1"/>
      <w:marLeft w:val="0"/>
      <w:marRight w:val="0"/>
      <w:marTop w:val="0"/>
      <w:marBottom w:val="0"/>
      <w:divBdr>
        <w:top w:val="none" w:sz="0" w:space="0" w:color="auto"/>
        <w:left w:val="none" w:sz="0" w:space="0" w:color="auto"/>
        <w:bottom w:val="none" w:sz="0" w:space="0" w:color="auto"/>
        <w:right w:val="none" w:sz="0" w:space="0" w:color="auto"/>
      </w:divBdr>
    </w:div>
    <w:div w:id="734817743">
      <w:bodyDiv w:val="1"/>
      <w:marLeft w:val="0"/>
      <w:marRight w:val="0"/>
      <w:marTop w:val="0"/>
      <w:marBottom w:val="0"/>
      <w:divBdr>
        <w:top w:val="none" w:sz="0" w:space="0" w:color="auto"/>
        <w:left w:val="none" w:sz="0" w:space="0" w:color="auto"/>
        <w:bottom w:val="none" w:sz="0" w:space="0" w:color="auto"/>
        <w:right w:val="none" w:sz="0" w:space="0" w:color="auto"/>
      </w:divBdr>
    </w:div>
    <w:div w:id="734933917">
      <w:bodyDiv w:val="1"/>
      <w:marLeft w:val="0"/>
      <w:marRight w:val="0"/>
      <w:marTop w:val="0"/>
      <w:marBottom w:val="0"/>
      <w:divBdr>
        <w:top w:val="none" w:sz="0" w:space="0" w:color="auto"/>
        <w:left w:val="none" w:sz="0" w:space="0" w:color="auto"/>
        <w:bottom w:val="none" w:sz="0" w:space="0" w:color="auto"/>
        <w:right w:val="none" w:sz="0" w:space="0" w:color="auto"/>
      </w:divBdr>
    </w:div>
    <w:div w:id="734940027">
      <w:bodyDiv w:val="1"/>
      <w:marLeft w:val="0"/>
      <w:marRight w:val="0"/>
      <w:marTop w:val="0"/>
      <w:marBottom w:val="0"/>
      <w:divBdr>
        <w:top w:val="none" w:sz="0" w:space="0" w:color="auto"/>
        <w:left w:val="none" w:sz="0" w:space="0" w:color="auto"/>
        <w:bottom w:val="none" w:sz="0" w:space="0" w:color="auto"/>
        <w:right w:val="none" w:sz="0" w:space="0" w:color="auto"/>
      </w:divBdr>
    </w:div>
    <w:div w:id="735008649">
      <w:bodyDiv w:val="1"/>
      <w:marLeft w:val="0"/>
      <w:marRight w:val="0"/>
      <w:marTop w:val="0"/>
      <w:marBottom w:val="0"/>
      <w:divBdr>
        <w:top w:val="none" w:sz="0" w:space="0" w:color="auto"/>
        <w:left w:val="none" w:sz="0" w:space="0" w:color="auto"/>
        <w:bottom w:val="none" w:sz="0" w:space="0" w:color="auto"/>
        <w:right w:val="none" w:sz="0" w:space="0" w:color="auto"/>
      </w:divBdr>
    </w:div>
    <w:div w:id="735057485">
      <w:bodyDiv w:val="1"/>
      <w:marLeft w:val="0"/>
      <w:marRight w:val="0"/>
      <w:marTop w:val="0"/>
      <w:marBottom w:val="0"/>
      <w:divBdr>
        <w:top w:val="none" w:sz="0" w:space="0" w:color="auto"/>
        <w:left w:val="none" w:sz="0" w:space="0" w:color="auto"/>
        <w:bottom w:val="none" w:sz="0" w:space="0" w:color="auto"/>
        <w:right w:val="none" w:sz="0" w:space="0" w:color="auto"/>
      </w:divBdr>
    </w:div>
    <w:div w:id="735128090">
      <w:bodyDiv w:val="1"/>
      <w:marLeft w:val="0"/>
      <w:marRight w:val="0"/>
      <w:marTop w:val="0"/>
      <w:marBottom w:val="0"/>
      <w:divBdr>
        <w:top w:val="none" w:sz="0" w:space="0" w:color="auto"/>
        <w:left w:val="none" w:sz="0" w:space="0" w:color="auto"/>
        <w:bottom w:val="none" w:sz="0" w:space="0" w:color="auto"/>
        <w:right w:val="none" w:sz="0" w:space="0" w:color="auto"/>
      </w:divBdr>
    </w:div>
    <w:div w:id="735200236">
      <w:bodyDiv w:val="1"/>
      <w:marLeft w:val="0"/>
      <w:marRight w:val="0"/>
      <w:marTop w:val="0"/>
      <w:marBottom w:val="0"/>
      <w:divBdr>
        <w:top w:val="none" w:sz="0" w:space="0" w:color="auto"/>
        <w:left w:val="none" w:sz="0" w:space="0" w:color="auto"/>
        <w:bottom w:val="none" w:sz="0" w:space="0" w:color="auto"/>
        <w:right w:val="none" w:sz="0" w:space="0" w:color="auto"/>
      </w:divBdr>
    </w:div>
    <w:div w:id="735317890">
      <w:bodyDiv w:val="1"/>
      <w:marLeft w:val="0"/>
      <w:marRight w:val="0"/>
      <w:marTop w:val="0"/>
      <w:marBottom w:val="0"/>
      <w:divBdr>
        <w:top w:val="none" w:sz="0" w:space="0" w:color="auto"/>
        <w:left w:val="none" w:sz="0" w:space="0" w:color="auto"/>
        <w:bottom w:val="none" w:sz="0" w:space="0" w:color="auto"/>
        <w:right w:val="none" w:sz="0" w:space="0" w:color="auto"/>
      </w:divBdr>
    </w:div>
    <w:div w:id="735400432">
      <w:bodyDiv w:val="1"/>
      <w:marLeft w:val="0"/>
      <w:marRight w:val="0"/>
      <w:marTop w:val="0"/>
      <w:marBottom w:val="0"/>
      <w:divBdr>
        <w:top w:val="none" w:sz="0" w:space="0" w:color="auto"/>
        <w:left w:val="none" w:sz="0" w:space="0" w:color="auto"/>
        <w:bottom w:val="none" w:sz="0" w:space="0" w:color="auto"/>
        <w:right w:val="none" w:sz="0" w:space="0" w:color="auto"/>
      </w:divBdr>
    </w:div>
    <w:div w:id="735590539">
      <w:bodyDiv w:val="1"/>
      <w:marLeft w:val="0"/>
      <w:marRight w:val="0"/>
      <w:marTop w:val="0"/>
      <w:marBottom w:val="0"/>
      <w:divBdr>
        <w:top w:val="none" w:sz="0" w:space="0" w:color="auto"/>
        <w:left w:val="none" w:sz="0" w:space="0" w:color="auto"/>
        <w:bottom w:val="none" w:sz="0" w:space="0" w:color="auto"/>
        <w:right w:val="none" w:sz="0" w:space="0" w:color="auto"/>
      </w:divBdr>
    </w:div>
    <w:div w:id="735736706">
      <w:bodyDiv w:val="1"/>
      <w:marLeft w:val="0"/>
      <w:marRight w:val="0"/>
      <w:marTop w:val="0"/>
      <w:marBottom w:val="0"/>
      <w:divBdr>
        <w:top w:val="none" w:sz="0" w:space="0" w:color="auto"/>
        <w:left w:val="none" w:sz="0" w:space="0" w:color="auto"/>
        <w:bottom w:val="none" w:sz="0" w:space="0" w:color="auto"/>
        <w:right w:val="none" w:sz="0" w:space="0" w:color="auto"/>
      </w:divBdr>
    </w:div>
    <w:div w:id="735779504">
      <w:bodyDiv w:val="1"/>
      <w:marLeft w:val="0"/>
      <w:marRight w:val="0"/>
      <w:marTop w:val="0"/>
      <w:marBottom w:val="0"/>
      <w:divBdr>
        <w:top w:val="none" w:sz="0" w:space="0" w:color="auto"/>
        <w:left w:val="none" w:sz="0" w:space="0" w:color="auto"/>
        <w:bottom w:val="none" w:sz="0" w:space="0" w:color="auto"/>
        <w:right w:val="none" w:sz="0" w:space="0" w:color="auto"/>
      </w:divBdr>
    </w:div>
    <w:div w:id="735779711">
      <w:bodyDiv w:val="1"/>
      <w:marLeft w:val="0"/>
      <w:marRight w:val="0"/>
      <w:marTop w:val="0"/>
      <w:marBottom w:val="0"/>
      <w:divBdr>
        <w:top w:val="none" w:sz="0" w:space="0" w:color="auto"/>
        <w:left w:val="none" w:sz="0" w:space="0" w:color="auto"/>
        <w:bottom w:val="none" w:sz="0" w:space="0" w:color="auto"/>
        <w:right w:val="none" w:sz="0" w:space="0" w:color="auto"/>
      </w:divBdr>
    </w:div>
    <w:div w:id="735785405">
      <w:bodyDiv w:val="1"/>
      <w:marLeft w:val="0"/>
      <w:marRight w:val="0"/>
      <w:marTop w:val="0"/>
      <w:marBottom w:val="0"/>
      <w:divBdr>
        <w:top w:val="none" w:sz="0" w:space="0" w:color="auto"/>
        <w:left w:val="none" w:sz="0" w:space="0" w:color="auto"/>
        <w:bottom w:val="none" w:sz="0" w:space="0" w:color="auto"/>
        <w:right w:val="none" w:sz="0" w:space="0" w:color="auto"/>
      </w:divBdr>
    </w:div>
    <w:div w:id="735863269">
      <w:bodyDiv w:val="1"/>
      <w:marLeft w:val="0"/>
      <w:marRight w:val="0"/>
      <w:marTop w:val="0"/>
      <w:marBottom w:val="0"/>
      <w:divBdr>
        <w:top w:val="none" w:sz="0" w:space="0" w:color="auto"/>
        <w:left w:val="none" w:sz="0" w:space="0" w:color="auto"/>
        <w:bottom w:val="none" w:sz="0" w:space="0" w:color="auto"/>
        <w:right w:val="none" w:sz="0" w:space="0" w:color="auto"/>
      </w:divBdr>
    </w:div>
    <w:div w:id="735932544">
      <w:bodyDiv w:val="1"/>
      <w:marLeft w:val="0"/>
      <w:marRight w:val="0"/>
      <w:marTop w:val="0"/>
      <w:marBottom w:val="0"/>
      <w:divBdr>
        <w:top w:val="none" w:sz="0" w:space="0" w:color="auto"/>
        <w:left w:val="none" w:sz="0" w:space="0" w:color="auto"/>
        <w:bottom w:val="none" w:sz="0" w:space="0" w:color="auto"/>
        <w:right w:val="none" w:sz="0" w:space="0" w:color="auto"/>
      </w:divBdr>
    </w:div>
    <w:div w:id="735977502">
      <w:bodyDiv w:val="1"/>
      <w:marLeft w:val="0"/>
      <w:marRight w:val="0"/>
      <w:marTop w:val="0"/>
      <w:marBottom w:val="0"/>
      <w:divBdr>
        <w:top w:val="none" w:sz="0" w:space="0" w:color="auto"/>
        <w:left w:val="none" w:sz="0" w:space="0" w:color="auto"/>
        <w:bottom w:val="none" w:sz="0" w:space="0" w:color="auto"/>
        <w:right w:val="none" w:sz="0" w:space="0" w:color="auto"/>
      </w:divBdr>
    </w:div>
    <w:div w:id="736128800">
      <w:bodyDiv w:val="1"/>
      <w:marLeft w:val="0"/>
      <w:marRight w:val="0"/>
      <w:marTop w:val="0"/>
      <w:marBottom w:val="0"/>
      <w:divBdr>
        <w:top w:val="none" w:sz="0" w:space="0" w:color="auto"/>
        <w:left w:val="none" w:sz="0" w:space="0" w:color="auto"/>
        <w:bottom w:val="none" w:sz="0" w:space="0" w:color="auto"/>
        <w:right w:val="none" w:sz="0" w:space="0" w:color="auto"/>
      </w:divBdr>
    </w:div>
    <w:div w:id="736316960">
      <w:bodyDiv w:val="1"/>
      <w:marLeft w:val="0"/>
      <w:marRight w:val="0"/>
      <w:marTop w:val="0"/>
      <w:marBottom w:val="0"/>
      <w:divBdr>
        <w:top w:val="none" w:sz="0" w:space="0" w:color="auto"/>
        <w:left w:val="none" w:sz="0" w:space="0" w:color="auto"/>
        <w:bottom w:val="none" w:sz="0" w:space="0" w:color="auto"/>
        <w:right w:val="none" w:sz="0" w:space="0" w:color="auto"/>
      </w:divBdr>
    </w:div>
    <w:div w:id="736364675">
      <w:bodyDiv w:val="1"/>
      <w:marLeft w:val="0"/>
      <w:marRight w:val="0"/>
      <w:marTop w:val="0"/>
      <w:marBottom w:val="0"/>
      <w:divBdr>
        <w:top w:val="none" w:sz="0" w:space="0" w:color="auto"/>
        <w:left w:val="none" w:sz="0" w:space="0" w:color="auto"/>
        <w:bottom w:val="none" w:sz="0" w:space="0" w:color="auto"/>
        <w:right w:val="none" w:sz="0" w:space="0" w:color="auto"/>
      </w:divBdr>
    </w:div>
    <w:div w:id="736392875">
      <w:bodyDiv w:val="1"/>
      <w:marLeft w:val="0"/>
      <w:marRight w:val="0"/>
      <w:marTop w:val="0"/>
      <w:marBottom w:val="0"/>
      <w:divBdr>
        <w:top w:val="none" w:sz="0" w:space="0" w:color="auto"/>
        <w:left w:val="none" w:sz="0" w:space="0" w:color="auto"/>
        <w:bottom w:val="none" w:sz="0" w:space="0" w:color="auto"/>
        <w:right w:val="none" w:sz="0" w:space="0" w:color="auto"/>
      </w:divBdr>
    </w:div>
    <w:div w:id="736393210">
      <w:bodyDiv w:val="1"/>
      <w:marLeft w:val="0"/>
      <w:marRight w:val="0"/>
      <w:marTop w:val="0"/>
      <w:marBottom w:val="0"/>
      <w:divBdr>
        <w:top w:val="none" w:sz="0" w:space="0" w:color="auto"/>
        <w:left w:val="none" w:sz="0" w:space="0" w:color="auto"/>
        <w:bottom w:val="none" w:sz="0" w:space="0" w:color="auto"/>
        <w:right w:val="none" w:sz="0" w:space="0" w:color="auto"/>
      </w:divBdr>
    </w:div>
    <w:div w:id="736514986">
      <w:bodyDiv w:val="1"/>
      <w:marLeft w:val="0"/>
      <w:marRight w:val="0"/>
      <w:marTop w:val="0"/>
      <w:marBottom w:val="0"/>
      <w:divBdr>
        <w:top w:val="none" w:sz="0" w:space="0" w:color="auto"/>
        <w:left w:val="none" w:sz="0" w:space="0" w:color="auto"/>
        <w:bottom w:val="none" w:sz="0" w:space="0" w:color="auto"/>
        <w:right w:val="none" w:sz="0" w:space="0" w:color="auto"/>
      </w:divBdr>
    </w:div>
    <w:div w:id="736516571">
      <w:bodyDiv w:val="1"/>
      <w:marLeft w:val="0"/>
      <w:marRight w:val="0"/>
      <w:marTop w:val="0"/>
      <w:marBottom w:val="0"/>
      <w:divBdr>
        <w:top w:val="none" w:sz="0" w:space="0" w:color="auto"/>
        <w:left w:val="none" w:sz="0" w:space="0" w:color="auto"/>
        <w:bottom w:val="none" w:sz="0" w:space="0" w:color="auto"/>
        <w:right w:val="none" w:sz="0" w:space="0" w:color="auto"/>
      </w:divBdr>
    </w:div>
    <w:div w:id="736585743">
      <w:bodyDiv w:val="1"/>
      <w:marLeft w:val="0"/>
      <w:marRight w:val="0"/>
      <w:marTop w:val="0"/>
      <w:marBottom w:val="0"/>
      <w:divBdr>
        <w:top w:val="none" w:sz="0" w:space="0" w:color="auto"/>
        <w:left w:val="none" w:sz="0" w:space="0" w:color="auto"/>
        <w:bottom w:val="none" w:sz="0" w:space="0" w:color="auto"/>
        <w:right w:val="none" w:sz="0" w:space="0" w:color="auto"/>
      </w:divBdr>
    </w:div>
    <w:div w:id="736704841">
      <w:bodyDiv w:val="1"/>
      <w:marLeft w:val="0"/>
      <w:marRight w:val="0"/>
      <w:marTop w:val="0"/>
      <w:marBottom w:val="0"/>
      <w:divBdr>
        <w:top w:val="none" w:sz="0" w:space="0" w:color="auto"/>
        <w:left w:val="none" w:sz="0" w:space="0" w:color="auto"/>
        <w:bottom w:val="none" w:sz="0" w:space="0" w:color="auto"/>
        <w:right w:val="none" w:sz="0" w:space="0" w:color="auto"/>
      </w:divBdr>
    </w:div>
    <w:div w:id="736709306">
      <w:bodyDiv w:val="1"/>
      <w:marLeft w:val="0"/>
      <w:marRight w:val="0"/>
      <w:marTop w:val="0"/>
      <w:marBottom w:val="0"/>
      <w:divBdr>
        <w:top w:val="none" w:sz="0" w:space="0" w:color="auto"/>
        <w:left w:val="none" w:sz="0" w:space="0" w:color="auto"/>
        <w:bottom w:val="none" w:sz="0" w:space="0" w:color="auto"/>
        <w:right w:val="none" w:sz="0" w:space="0" w:color="auto"/>
      </w:divBdr>
    </w:div>
    <w:div w:id="736782204">
      <w:bodyDiv w:val="1"/>
      <w:marLeft w:val="0"/>
      <w:marRight w:val="0"/>
      <w:marTop w:val="0"/>
      <w:marBottom w:val="0"/>
      <w:divBdr>
        <w:top w:val="none" w:sz="0" w:space="0" w:color="auto"/>
        <w:left w:val="none" w:sz="0" w:space="0" w:color="auto"/>
        <w:bottom w:val="none" w:sz="0" w:space="0" w:color="auto"/>
        <w:right w:val="none" w:sz="0" w:space="0" w:color="auto"/>
      </w:divBdr>
    </w:div>
    <w:div w:id="736901325">
      <w:bodyDiv w:val="1"/>
      <w:marLeft w:val="0"/>
      <w:marRight w:val="0"/>
      <w:marTop w:val="0"/>
      <w:marBottom w:val="0"/>
      <w:divBdr>
        <w:top w:val="none" w:sz="0" w:space="0" w:color="auto"/>
        <w:left w:val="none" w:sz="0" w:space="0" w:color="auto"/>
        <w:bottom w:val="none" w:sz="0" w:space="0" w:color="auto"/>
        <w:right w:val="none" w:sz="0" w:space="0" w:color="auto"/>
      </w:divBdr>
    </w:div>
    <w:div w:id="737023847">
      <w:bodyDiv w:val="1"/>
      <w:marLeft w:val="0"/>
      <w:marRight w:val="0"/>
      <w:marTop w:val="0"/>
      <w:marBottom w:val="0"/>
      <w:divBdr>
        <w:top w:val="none" w:sz="0" w:space="0" w:color="auto"/>
        <w:left w:val="none" w:sz="0" w:space="0" w:color="auto"/>
        <w:bottom w:val="none" w:sz="0" w:space="0" w:color="auto"/>
        <w:right w:val="none" w:sz="0" w:space="0" w:color="auto"/>
      </w:divBdr>
    </w:div>
    <w:div w:id="737050606">
      <w:bodyDiv w:val="1"/>
      <w:marLeft w:val="0"/>
      <w:marRight w:val="0"/>
      <w:marTop w:val="0"/>
      <w:marBottom w:val="0"/>
      <w:divBdr>
        <w:top w:val="none" w:sz="0" w:space="0" w:color="auto"/>
        <w:left w:val="none" w:sz="0" w:space="0" w:color="auto"/>
        <w:bottom w:val="none" w:sz="0" w:space="0" w:color="auto"/>
        <w:right w:val="none" w:sz="0" w:space="0" w:color="auto"/>
      </w:divBdr>
    </w:div>
    <w:div w:id="737240484">
      <w:bodyDiv w:val="1"/>
      <w:marLeft w:val="0"/>
      <w:marRight w:val="0"/>
      <w:marTop w:val="0"/>
      <w:marBottom w:val="0"/>
      <w:divBdr>
        <w:top w:val="none" w:sz="0" w:space="0" w:color="auto"/>
        <w:left w:val="none" w:sz="0" w:space="0" w:color="auto"/>
        <w:bottom w:val="none" w:sz="0" w:space="0" w:color="auto"/>
        <w:right w:val="none" w:sz="0" w:space="0" w:color="auto"/>
      </w:divBdr>
    </w:div>
    <w:div w:id="737246248">
      <w:bodyDiv w:val="1"/>
      <w:marLeft w:val="0"/>
      <w:marRight w:val="0"/>
      <w:marTop w:val="0"/>
      <w:marBottom w:val="0"/>
      <w:divBdr>
        <w:top w:val="none" w:sz="0" w:space="0" w:color="auto"/>
        <w:left w:val="none" w:sz="0" w:space="0" w:color="auto"/>
        <w:bottom w:val="none" w:sz="0" w:space="0" w:color="auto"/>
        <w:right w:val="none" w:sz="0" w:space="0" w:color="auto"/>
      </w:divBdr>
    </w:div>
    <w:div w:id="737246442">
      <w:bodyDiv w:val="1"/>
      <w:marLeft w:val="0"/>
      <w:marRight w:val="0"/>
      <w:marTop w:val="0"/>
      <w:marBottom w:val="0"/>
      <w:divBdr>
        <w:top w:val="none" w:sz="0" w:space="0" w:color="auto"/>
        <w:left w:val="none" w:sz="0" w:space="0" w:color="auto"/>
        <w:bottom w:val="none" w:sz="0" w:space="0" w:color="auto"/>
        <w:right w:val="none" w:sz="0" w:space="0" w:color="auto"/>
      </w:divBdr>
    </w:div>
    <w:div w:id="737284538">
      <w:bodyDiv w:val="1"/>
      <w:marLeft w:val="0"/>
      <w:marRight w:val="0"/>
      <w:marTop w:val="0"/>
      <w:marBottom w:val="0"/>
      <w:divBdr>
        <w:top w:val="none" w:sz="0" w:space="0" w:color="auto"/>
        <w:left w:val="none" w:sz="0" w:space="0" w:color="auto"/>
        <w:bottom w:val="none" w:sz="0" w:space="0" w:color="auto"/>
        <w:right w:val="none" w:sz="0" w:space="0" w:color="auto"/>
      </w:divBdr>
    </w:div>
    <w:div w:id="737287855">
      <w:bodyDiv w:val="1"/>
      <w:marLeft w:val="0"/>
      <w:marRight w:val="0"/>
      <w:marTop w:val="0"/>
      <w:marBottom w:val="0"/>
      <w:divBdr>
        <w:top w:val="none" w:sz="0" w:space="0" w:color="auto"/>
        <w:left w:val="none" w:sz="0" w:space="0" w:color="auto"/>
        <w:bottom w:val="none" w:sz="0" w:space="0" w:color="auto"/>
        <w:right w:val="none" w:sz="0" w:space="0" w:color="auto"/>
      </w:divBdr>
    </w:div>
    <w:div w:id="737359364">
      <w:bodyDiv w:val="1"/>
      <w:marLeft w:val="0"/>
      <w:marRight w:val="0"/>
      <w:marTop w:val="0"/>
      <w:marBottom w:val="0"/>
      <w:divBdr>
        <w:top w:val="none" w:sz="0" w:space="0" w:color="auto"/>
        <w:left w:val="none" w:sz="0" w:space="0" w:color="auto"/>
        <w:bottom w:val="none" w:sz="0" w:space="0" w:color="auto"/>
        <w:right w:val="none" w:sz="0" w:space="0" w:color="auto"/>
      </w:divBdr>
    </w:div>
    <w:div w:id="737437882">
      <w:bodyDiv w:val="1"/>
      <w:marLeft w:val="0"/>
      <w:marRight w:val="0"/>
      <w:marTop w:val="0"/>
      <w:marBottom w:val="0"/>
      <w:divBdr>
        <w:top w:val="none" w:sz="0" w:space="0" w:color="auto"/>
        <w:left w:val="none" w:sz="0" w:space="0" w:color="auto"/>
        <w:bottom w:val="none" w:sz="0" w:space="0" w:color="auto"/>
        <w:right w:val="none" w:sz="0" w:space="0" w:color="auto"/>
      </w:divBdr>
    </w:div>
    <w:div w:id="737558480">
      <w:bodyDiv w:val="1"/>
      <w:marLeft w:val="0"/>
      <w:marRight w:val="0"/>
      <w:marTop w:val="0"/>
      <w:marBottom w:val="0"/>
      <w:divBdr>
        <w:top w:val="none" w:sz="0" w:space="0" w:color="auto"/>
        <w:left w:val="none" w:sz="0" w:space="0" w:color="auto"/>
        <w:bottom w:val="none" w:sz="0" w:space="0" w:color="auto"/>
        <w:right w:val="none" w:sz="0" w:space="0" w:color="auto"/>
      </w:divBdr>
    </w:div>
    <w:div w:id="737560109">
      <w:bodyDiv w:val="1"/>
      <w:marLeft w:val="0"/>
      <w:marRight w:val="0"/>
      <w:marTop w:val="0"/>
      <w:marBottom w:val="0"/>
      <w:divBdr>
        <w:top w:val="none" w:sz="0" w:space="0" w:color="auto"/>
        <w:left w:val="none" w:sz="0" w:space="0" w:color="auto"/>
        <w:bottom w:val="none" w:sz="0" w:space="0" w:color="auto"/>
        <w:right w:val="none" w:sz="0" w:space="0" w:color="auto"/>
      </w:divBdr>
    </w:div>
    <w:div w:id="737560195">
      <w:bodyDiv w:val="1"/>
      <w:marLeft w:val="0"/>
      <w:marRight w:val="0"/>
      <w:marTop w:val="0"/>
      <w:marBottom w:val="0"/>
      <w:divBdr>
        <w:top w:val="none" w:sz="0" w:space="0" w:color="auto"/>
        <w:left w:val="none" w:sz="0" w:space="0" w:color="auto"/>
        <w:bottom w:val="none" w:sz="0" w:space="0" w:color="auto"/>
        <w:right w:val="none" w:sz="0" w:space="0" w:color="auto"/>
      </w:divBdr>
    </w:div>
    <w:div w:id="737630109">
      <w:bodyDiv w:val="1"/>
      <w:marLeft w:val="0"/>
      <w:marRight w:val="0"/>
      <w:marTop w:val="0"/>
      <w:marBottom w:val="0"/>
      <w:divBdr>
        <w:top w:val="none" w:sz="0" w:space="0" w:color="auto"/>
        <w:left w:val="none" w:sz="0" w:space="0" w:color="auto"/>
        <w:bottom w:val="none" w:sz="0" w:space="0" w:color="auto"/>
        <w:right w:val="none" w:sz="0" w:space="0" w:color="auto"/>
      </w:divBdr>
    </w:div>
    <w:div w:id="737633512">
      <w:bodyDiv w:val="1"/>
      <w:marLeft w:val="0"/>
      <w:marRight w:val="0"/>
      <w:marTop w:val="0"/>
      <w:marBottom w:val="0"/>
      <w:divBdr>
        <w:top w:val="none" w:sz="0" w:space="0" w:color="auto"/>
        <w:left w:val="none" w:sz="0" w:space="0" w:color="auto"/>
        <w:bottom w:val="none" w:sz="0" w:space="0" w:color="auto"/>
        <w:right w:val="none" w:sz="0" w:space="0" w:color="auto"/>
      </w:divBdr>
    </w:div>
    <w:div w:id="737678662">
      <w:bodyDiv w:val="1"/>
      <w:marLeft w:val="0"/>
      <w:marRight w:val="0"/>
      <w:marTop w:val="0"/>
      <w:marBottom w:val="0"/>
      <w:divBdr>
        <w:top w:val="none" w:sz="0" w:space="0" w:color="auto"/>
        <w:left w:val="none" w:sz="0" w:space="0" w:color="auto"/>
        <w:bottom w:val="none" w:sz="0" w:space="0" w:color="auto"/>
        <w:right w:val="none" w:sz="0" w:space="0" w:color="auto"/>
      </w:divBdr>
    </w:div>
    <w:div w:id="737703111">
      <w:bodyDiv w:val="1"/>
      <w:marLeft w:val="0"/>
      <w:marRight w:val="0"/>
      <w:marTop w:val="0"/>
      <w:marBottom w:val="0"/>
      <w:divBdr>
        <w:top w:val="none" w:sz="0" w:space="0" w:color="auto"/>
        <w:left w:val="none" w:sz="0" w:space="0" w:color="auto"/>
        <w:bottom w:val="none" w:sz="0" w:space="0" w:color="auto"/>
        <w:right w:val="none" w:sz="0" w:space="0" w:color="auto"/>
      </w:divBdr>
    </w:div>
    <w:div w:id="737895790">
      <w:bodyDiv w:val="1"/>
      <w:marLeft w:val="0"/>
      <w:marRight w:val="0"/>
      <w:marTop w:val="0"/>
      <w:marBottom w:val="0"/>
      <w:divBdr>
        <w:top w:val="none" w:sz="0" w:space="0" w:color="auto"/>
        <w:left w:val="none" w:sz="0" w:space="0" w:color="auto"/>
        <w:bottom w:val="none" w:sz="0" w:space="0" w:color="auto"/>
        <w:right w:val="none" w:sz="0" w:space="0" w:color="auto"/>
      </w:divBdr>
    </w:div>
    <w:div w:id="737939055">
      <w:bodyDiv w:val="1"/>
      <w:marLeft w:val="0"/>
      <w:marRight w:val="0"/>
      <w:marTop w:val="0"/>
      <w:marBottom w:val="0"/>
      <w:divBdr>
        <w:top w:val="none" w:sz="0" w:space="0" w:color="auto"/>
        <w:left w:val="none" w:sz="0" w:space="0" w:color="auto"/>
        <w:bottom w:val="none" w:sz="0" w:space="0" w:color="auto"/>
        <w:right w:val="none" w:sz="0" w:space="0" w:color="auto"/>
      </w:divBdr>
    </w:div>
    <w:div w:id="737944327">
      <w:bodyDiv w:val="1"/>
      <w:marLeft w:val="0"/>
      <w:marRight w:val="0"/>
      <w:marTop w:val="0"/>
      <w:marBottom w:val="0"/>
      <w:divBdr>
        <w:top w:val="none" w:sz="0" w:space="0" w:color="auto"/>
        <w:left w:val="none" w:sz="0" w:space="0" w:color="auto"/>
        <w:bottom w:val="none" w:sz="0" w:space="0" w:color="auto"/>
        <w:right w:val="none" w:sz="0" w:space="0" w:color="auto"/>
      </w:divBdr>
    </w:div>
    <w:div w:id="737946536">
      <w:bodyDiv w:val="1"/>
      <w:marLeft w:val="0"/>
      <w:marRight w:val="0"/>
      <w:marTop w:val="0"/>
      <w:marBottom w:val="0"/>
      <w:divBdr>
        <w:top w:val="none" w:sz="0" w:space="0" w:color="auto"/>
        <w:left w:val="none" w:sz="0" w:space="0" w:color="auto"/>
        <w:bottom w:val="none" w:sz="0" w:space="0" w:color="auto"/>
        <w:right w:val="none" w:sz="0" w:space="0" w:color="auto"/>
      </w:divBdr>
    </w:div>
    <w:div w:id="738021514">
      <w:bodyDiv w:val="1"/>
      <w:marLeft w:val="0"/>
      <w:marRight w:val="0"/>
      <w:marTop w:val="0"/>
      <w:marBottom w:val="0"/>
      <w:divBdr>
        <w:top w:val="none" w:sz="0" w:space="0" w:color="auto"/>
        <w:left w:val="none" w:sz="0" w:space="0" w:color="auto"/>
        <w:bottom w:val="none" w:sz="0" w:space="0" w:color="auto"/>
        <w:right w:val="none" w:sz="0" w:space="0" w:color="auto"/>
      </w:divBdr>
    </w:div>
    <w:div w:id="738096402">
      <w:bodyDiv w:val="1"/>
      <w:marLeft w:val="0"/>
      <w:marRight w:val="0"/>
      <w:marTop w:val="0"/>
      <w:marBottom w:val="0"/>
      <w:divBdr>
        <w:top w:val="none" w:sz="0" w:space="0" w:color="auto"/>
        <w:left w:val="none" w:sz="0" w:space="0" w:color="auto"/>
        <w:bottom w:val="none" w:sz="0" w:space="0" w:color="auto"/>
        <w:right w:val="none" w:sz="0" w:space="0" w:color="auto"/>
      </w:divBdr>
    </w:div>
    <w:div w:id="738134566">
      <w:bodyDiv w:val="1"/>
      <w:marLeft w:val="0"/>
      <w:marRight w:val="0"/>
      <w:marTop w:val="0"/>
      <w:marBottom w:val="0"/>
      <w:divBdr>
        <w:top w:val="none" w:sz="0" w:space="0" w:color="auto"/>
        <w:left w:val="none" w:sz="0" w:space="0" w:color="auto"/>
        <w:bottom w:val="none" w:sz="0" w:space="0" w:color="auto"/>
        <w:right w:val="none" w:sz="0" w:space="0" w:color="auto"/>
      </w:divBdr>
    </w:div>
    <w:div w:id="738216226">
      <w:bodyDiv w:val="1"/>
      <w:marLeft w:val="0"/>
      <w:marRight w:val="0"/>
      <w:marTop w:val="0"/>
      <w:marBottom w:val="0"/>
      <w:divBdr>
        <w:top w:val="none" w:sz="0" w:space="0" w:color="auto"/>
        <w:left w:val="none" w:sz="0" w:space="0" w:color="auto"/>
        <w:bottom w:val="none" w:sz="0" w:space="0" w:color="auto"/>
        <w:right w:val="none" w:sz="0" w:space="0" w:color="auto"/>
      </w:divBdr>
    </w:div>
    <w:div w:id="738283552">
      <w:bodyDiv w:val="1"/>
      <w:marLeft w:val="0"/>
      <w:marRight w:val="0"/>
      <w:marTop w:val="0"/>
      <w:marBottom w:val="0"/>
      <w:divBdr>
        <w:top w:val="none" w:sz="0" w:space="0" w:color="auto"/>
        <w:left w:val="none" w:sz="0" w:space="0" w:color="auto"/>
        <w:bottom w:val="none" w:sz="0" w:space="0" w:color="auto"/>
        <w:right w:val="none" w:sz="0" w:space="0" w:color="auto"/>
      </w:divBdr>
    </w:div>
    <w:div w:id="738409531">
      <w:bodyDiv w:val="1"/>
      <w:marLeft w:val="0"/>
      <w:marRight w:val="0"/>
      <w:marTop w:val="0"/>
      <w:marBottom w:val="0"/>
      <w:divBdr>
        <w:top w:val="none" w:sz="0" w:space="0" w:color="auto"/>
        <w:left w:val="none" w:sz="0" w:space="0" w:color="auto"/>
        <w:bottom w:val="none" w:sz="0" w:space="0" w:color="auto"/>
        <w:right w:val="none" w:sz="0" w:space="0" w:color="auto"/>
      </w:divBdr>
    </w:div>
    <w:div w:id="738476000">
      <w:bodyDiv w:val="1"/>
      <w:marLeft w:val="0"/>
      <w:marRight w:val="0"/>
      <w:marTop w:val="0"/>
      <w:marBottom w:val="0"/>
      <w:divBdr>
        <w:top w:val="none" w:sz="0" w:space="0" w:color="auto"/>
        <w:left w:val="none" w:sz="0" w:space="0" w:color="auto"/>
        <w:bottom w:val="none" w:sz="0" w:space="0" w:color="auto"/>
        <w:right w:val="none" w:sz="0" w:space="0" w:color="auto"/>
      </w:divBdr>
    </w:div>
    <w:div w:id="738478597">
      <w:bodyDiv w:val="1"/>
      <w:marLeft w:val="0"/>
      <w:marRight w:val="0"/>
      <w:marTop w:val="0"/>
      <w:marBottom w:val="0"/>
      <w:divBdr>
        <w:top w:val="none" w:sz="0" w:space="0" w:color="auto"/>
        <w:left w:val="none" w:sz="0" w:space="0" w:color="auto"/>
        <w:bottom w:val="none" w:sz="0" w:space="0" w:color="auto"/>
        <w:right w:val="none" w:sz="0" w:space="0" w:color="auto"/>
      </w:divBdr>
    </w:div>
    <w:div w:id="738527382">
      <w:bodyDiv w:val="1"/>
      <w:marLeft w:val="0"/>
      <w:marRight w:val="0"/>
      <w:marTop w:val="0"/>
      <w:marBottom w:val="0"/>
      <w:divBdr>
        <w:top w:val="none" w:sz="0" w:space="0" w:color="auto"/>
        <w:left w:val="none" w:sz="0" w:space="0" w:color="auto"/>
        <w:bottom w:val="none" w:sz="0" w:space="0" w:color="auto"/>
        <w:right w:val="none" w:sz="0" w:space="0" w:color="auto"/>
      </w:divBdr>
    </w:div>
    <w:div w:id="738556466">
      <w:bodyDiv w:val="1"/>
      <w:marLeft w:val="0"/>
      <w:marRight w:val="0"/>
      <w:marTop w:val="0"/>
      <w:marBottom w:val="0"/>
      <w:divBdr>
        <w:top w:val="none" w:sz="0" w:space="0" w:color="auto"/>
        <w:left w:val="none" w:sz="0" w:space="0" w:color="auto"/>
        <w:bottom w:val="none" w:sz="0" w:space="0" w:color="auto"/>
        <w:right w:val="none" w:sz="0" w:space="0" w:color="auto"/>
      </w:divBdr>
    </w:div>
    <w:div w:id="738557797">
      <w:bodyDiv w:val="1"/>
      <w:marLeft w:val="0"/>
      <w:marRight w:val="0"/>
      <w:marTop w:val="0"/>
      <w:marBottom w:val="0"/>
      <w:divBdr>
        <w:top w:val="none" w:sz="0" w:space="0" w:color="auto"/>
        <w:left w:val="none" w:sz="0" w:space="0" w:color="auto"/>
        <w:bottom w:val="none" w:sz="0" w:space="0" w:color="auto"/>
        <w:right w:val="none" w:sz="0" w:space="0" w:color="auto"/>
      </w:divBdr>
    </w:div>
    <w:div w:id="738595462">
      <w:bodyDiv w:val="1"/>
      <w:marLeft w:val="0"/>
      <w:marRight w:val="0"/>
      <w:marTop w:val="0"/>
      <w:marBottom w:val="0"/>
      <w:divBdr>
        <w:top w:val="none" w:sz="0" w:space="0" w:color="auto"/>
        <w:left w:val="none" w:sz="0" w:space="0" w:color="auto"/>
        <w:bottom w:val="none" w:sz="0" w:space="0" w:color="auto"/>
        <w:right w:val="none" w:sz="0" w:space="0" w:color="auto"/>
      </w:divBdr>
    </w:div>
    <w:div w:id="738602898">
      <w:bodyDiv w:val="1"/>
      <w:marLeft w:val="0"/>
      <w:marRight w:val="0"/>
      <w:marTop w:val="0"/>
      <w:marBottom w:val="0"/>
      <w:divBdr>
        <w:top w:val="none" w:sz="0" w:space="0" w:color="auto"/>
        <w:left w:val="none" w:sz="0" w:space="0" w:color="auto"/>
        <w:bottom w:val="none" w:sz="0" w:space="0" w:color="auto"/>
        <w:right w:val="none" w:sz="0" w:space="0" w:color="auto"/>
      </w:divBdr>
    </w:div>
    <w:div w:id="738868695">
      <w:bodyDiv w:val="1"/>
      <w:marLeft w:val="0"/>
      <w:marRight w:val="0"/>
      <w:marTop w:val="0"/>
      <w:marBottom w:val="0"/>
      <w:divBdr>
        <w:top w:val="none" w:sz="0" w:space="0" w:color="auto"/>
        <w:left w:val="none" w:sz="0" w:space="0" w:color="auto"/>
        <w:bottom w:val="none" w:sz="0" w:space="0" w:color="auto"/>
        <w:right w:val="none" w:sz="0" w:space="0" w:color="auto"/>
      </w:divBdr>
    </w:div>
    <w:div w:id="738938250">
      <w:bodyDiv w:val="1"/>
      <w:marLeft w:val="0"/>
      <w:marRight w:val="0"/>
      <w:marTop w:val="0"/>
      <w:marBottom w:val="0"/>
      <w:divBdr>
        <w:top w:val="none" w:sz="0" w:space="0" w:color="auto"/>
        <w:left w:val="none" w:sz="0" w:space="0" w:color="auto"/>
        <w:bottom w:val="none" w:sz="0" w:space="0" w:color="auto"/>
        <w:right w:val="none" w:sz="0" w:space="0" w:color="auto"/>
      </w:divBdr>
    </w:div>
    <w:div w:id="738939930">
      <w:bodyDiv w:val="1"/>
      <w:marLeft w:val="0"/>
      <w:marRight w:val="0"/>
      <w:marTop w:val="0"/>
      <w:marBottom w:val="0"/>
      <w:divBdr>
        <w:top w:val="none" w:sz="0" w:space="0" w:color="auto"/>
        <w:left w:val="none" w:sz="0" w:space="0" w:color="auto"/>
        <w:bottom w:val="none" w:sz="0" w:space="0" w:color="auto"/>
        <w:right w:val="none" w:sz="0" w:space="0" w:color="auto"/>
      </w:divBdr>
    </w:div>
    <w:div w:id="738985324">
      <w:bodyDiv w:val="1"/>
      <w:marLeft w:val="0"/>
      <w:marRight w:val="0"/>
      <w:marTop w:val="0"/>
      <w:marBottom w:val="0"/>
      <w:divBdr>
        <w:top w:val="none" w:sz="0" w:space="0" w:color="auto"/>
        <w:left w:val="none" w:sz="0" w:space="0" w:color="auto"/>
        <w:bottom w:val="none" w:sz="0" w:space="0" w:color="auto"/>
        <w:right w:val="none" w:sz="0" w:space="0" w:color="auto"/>
      </w:divBdr>
    </w:div>
    <w:div w:id="739014224">
      <w:bodyDiv w:val="1"/>
      <w:marLeft w:val="0"/>
      <w:marRight w:val="0"/>
      <w:marTop w:val="0"/>
      <w:marBottom w:val="0"/>
      <w:divBdr>
        <w:top w:val="none" w:sz="0" w:space="0" w:color="auto"/>
        <w:left w:val="none" w:sz="0" w:space="0" w:color="auto"/>
        <w:bottom w:val="none" w:sz="0" w:space="0" w:color="auto"/>
        <w:right w:val="none" w:sz="0" w:space="0" w:color="auto"/>
      </w:divBdr>
    </w:div>
    <w:div w:id="739058456">
      <w:bodyDiv w:val="1"/>
      <w:marLeft w:val="0"/>
      <w:marRight w:val="0"/>
      <w:marTop w:val="0"/>
      <w:marBottom w:val="0"/>
      <w:divBdr>
        <w:top w:val="none" w:sz="0" w:space="0" w:color="auto"/>
        <w:left w:val="none" w:sz="0" w:space="0" w:color="auto"/>
        <w:bottom w:val="none" w:sz="0" w:space="0" w:color="auto"/>
        <w:right w:val="none" w:sz="0" w:space="0" w:color="auto"/>
      </w:divBdr>
    </w:div>
    <w:div w:id="739059260">
      <w:bodyDiv w:val="1"/>
      <w:marLeft w:val="0"/>
      <w:marRight w:val="0"/>
      <w:marTop w:val="0"/>
      <w:marBottom w:val="0"/>
      <w:divBdr>
        <w:top w:val="none" w:sz="0" w:space="0" w:color="auto"/>
        <w:left w:val="none" w:sz="0" w:space="0" w:color="auto"/>
        <w:bottom w:val="none" w:sz="0" w:space="0" w:color="auto"/>
        <w:right w:val="none" w:sz="0" w:space="0" w:color="auto"/>
      </w:divBdr>
    </w:div>
    <w:div w:id="739064393">
      <w:bodyDiv w:val="1"/>
      <w:marLeft w:val="0"/>
      <w:marRight w:val="0"/>
      <w:marTop w:val="0"/>
      <w:marBottom w:val="0"/>
      <w:divBdr>
        <w:top w:val="none" w:sz="0" w:space="0" w:color="auto"/>
        <w:left w:val="none" w:sz="0" w:space="0" w:color="auto"/>
        <w:bottom w:val="none" w:sz="0" w:space="0" w:color="auto"/>
        <w:right w:val="none" w:sz="0" w:space="0" w:color="auto"/>
      </w:divBdr>
    </w:div>
    <w:div w:id="739131310">
      <w:bodyDiv w:val="1"/>
      <w:marLeft w:val="0"/>
      <w:marRight w:val="0"/>
      <w:marTop w:val="0"/>
      <w:marBottom w:val="0"/>
      <w:divBdr>
        <w:top w:val="none" w:sz="0" w:space="0" w:color="auto"/>
        <w:left w:val="none" w:sz="0" w:space="0" w:color="auto"/>
        <w:bottom w:val="none" w:sz="0" w:space="0" w:color="auto"/>
        <w:right w:val="none" w:sz="0" w:space="0" w:color="auto"/>
      </w:divBdr>
    </w:div>
    <w:div w:id="739138975">
      <w:bodyDiv w:val="1"/>
      <w:marLeft w:val="0"/>
      <w:marRight w:val="0"/>
      <w:marTop w:val="0"/>
      <w:marBottom w:val="0"/>
      <w:divBdr>
        <w:top w:val="none" w:sz="0" w:space="0" w:color="auto"/>
        <w:left w:val="none" w:sz="0" w:space="0" w:color="auto"/>
        <w:bottom w:val="none" w:sz="0" w:space="0" w:color="auto"/>
        <w:right w:val="none" w:sz="0" w:space="0" w:color="auto"/>
      </w:divBdr>
    </w:div>
    <w:div w:id="739209437">
      <w:bodyDiv w:val="1"/>
      <w:marLeft w:val="0"/>
      <w:marRight w:val="0"/>
      <w:marTop w:val="0"/>
      <w:marBottom w:val="0"/>
      <w:divBdr>
        <w:top w:val="none" w:sz="0" w:space="0" w:color="auto"/>
        <w:left w:val="none" w:sz="0" w:space="0" w:color="auto"/>
        <w:bottom w:val="none" w:sz="0" w:space="0" w:color="auto"/>
        <w:right w:val="none" w:sz="0" w:space="0" w:color="auto"/>
      </w:divBdr>
    </w:div>
    <w:div w:id="739253139">
      <w:bodyDiv w:val="1"/>
      <w:marLeft w:val="0"/>
      <w:marRight w:val="0"/>
      <w:marTop w:val="0"/>
      <w:marBottom w:val="0"/>
      <w:divBdr>
        <w:top w:val="none" w:sz="0" w:space="0" w:color="auto"/>
        <w:left w:val="none" w:sz="0" w:space="0" w:color="auto"/>
        <w:bottom w:val="none" w:sz="0" w:space="0" w:color="auto"/>
        <w:right w:val="none" w:sz="0" w:space="0" w:color="auto"/>
      </w:divBdr>
    </w:div>
    <w:div w:id="739254812">
      <w:bodyDiv w:val="1"/>
      <w:marLeft w:val="0"/>
      <w:marRight w:val="0"/>
      <w:marTop w:val="0"/>
      <w:marBottom w:val="0"/>
      <w:divBdr>
        <w:top w:val="none" w:sz="0" w:space="0" w:color="auto"/>
        <w:left w:val="none" w:sz="0" w:space="0" w:color="auto"/>
        <w:bottom w:val="none" w:sz="0" w:space="0" w:color="auto"/>
        <w:right w:val="none" w:sz="0" w:space="0" w:color="auto"/>
      </w:divBdr>
    </w:div>
    <w:div w:id="739332805">
      <w:bodyDiv w:val="1"/>
      <w:marLeft w:val="0"/>
      <w:marRight w:val="0"/>
      <w:marTop w:val="0"/>
      <w:marBottom w:val="0"/>
      <w:divBdr>
        <w:top w:val="none" w:sz="0" w:space="0" w:color="auto"/>
        <w:left w:val="none" w:sz="0" w:space="0" w:color="auto"/>
        <w:bottom w:val="none" w:sz="0" w:space="0" w:color="auto"/>
        <w:right w:val="none" w:sz="0" w:space="0" w:color="auto"/>
      </w:divBdr>
    </w:div>
    <w:div w:id="739332868">
      <w:bodyDiv w:val="1"/>
      <w:marLeft w:val="0"/>
      <w:marRight w:val="0"/>
      <w:marTop w:val="0"/>
      <w:marBottom w:val="0"/>
      <w:divBdr>
        <w:top w:val="none" w:sz="0" w:space="0" w:color="auto"/>
        <w:left w:val="none" w:sz="0" w:space="0" w:color="auto"/>
        <w:bottom w:val="none" w:sz="0" w:space="0" w:color="auto"/>
        <w:right w:val="none" w:sz="0" w:space="0" w:color="auto"/>
      </w:divBdr>
    </w:div>
    <w:div w:id="739596009">
      <w:bodyDiv w:val="1"/>
      <w:marLeft w:val="0"/>
      <w:marRight w:val="0"/>
      <w:marTop w:val="0"/>
      <w:marBottom w:val="0"/>
      <w:divBdr>
        <w:top w:val="none" w:sz="0" w:space="0" w:color="auto"/>
        <w:left w:val="none" w:sz="0" w:space="0" w:color="auto"/>
        <w:bottom w:val="none" w:sz="0" w:space="0" w:color="auto"/>
        <w:right w:val="none" w:sz="0" w:space="0" w:color="auto"/>
      </w:divBdr>
    </w:div>
    <w:div w:id="739596824">
      <w:bodyDiv w:val="1"/>
      <w:marLeft w:val="0"/>
      <w:marRight w:val="0"/>
      <w:marTop w:val="0"/>
      <w:marBottom w:val="0"/>
      <w:divBdr>
        <w:top w:val="none" w:sz="0" w:space="0" w:color="auto"/>
        <w:left w:val="none" w:sz="0" w:space="0" w:color="auto"/>
        <w:bottom w:val="none" w:sz="0" w:space="0" w:color="auto"/>
        <w:right w:val="none" w:sz="0" w:space="0" w:color="auto"/>
      </w:divBdr>
    </w:div>
    <w:div w:id="739716471">
      <w:bodyDiv w:val="1"/>
      <w:marLeft w:val="0"/>
      <w:marRight w:val="0"/>
      <w:marTop w:val="0"/>
      <w:marBottom w:val="0"/>
      <w:divBdr>
        <w:top w:val="none" w:sz="0" w:space="0" w:color="auto"/>
        <w:left w:val="none" w:sz="0" w:space="0" w:color="auto"/>
        <w:bottom w:val="none" w:sz="0" w:space="0" w:color="auto"/>
        <w:right w:val="none" w:sz="0" w:space="0" w:color="auto"/>
      </w:divBdr>
    </w:div>
    <w:div w:id="739787430">
      <w:bodyDiv w:val="1"/>
      <w:marLeft w:val="0"/>
      <w:marRight w:val="0"/>
      <w:marTop w:val="0"/>
      <w:marBottom w:val="0"/>
      <w:divBdr>
        <w:top w:val="none" w:sz="0" w:space="0" w:color="auto"/>
        <w:left w:val="none" w:sz="0" w:space="0" w:color="auto"/>
        <w:bottom w:val="none" w:sz="0" w:space="0" w:color="auto"/>
        <w:right w:val="none" w:sz="0" w:space="0" w:color="auto"/>
      </w:divBdr>
    </w:div>
    <w:div w:id="739792749">
      <w:bodyDiv w:val="1"/>
      <w:marLeft w:val="0"/>
      <w:marRight w:val="0"/>
      <w:marTop w:val="0"/>
      <w:marBottom w:val="0"/>
      <w:divBdr>
        <w:top w:val="none" w:sz="0" w:space="0" w:color="auto"/>
        <w:left w:val="none" w:sz="0" w:space="0" w:color="auto"/>
        <w:bottom w:val="none" w:sz="0" w:space="0" w:color="auto"/>
        <w:right w:val="none" w:sz="0" w:space="0" w:color="auto"/>
      </w:divBdr>
    </w:div>
    <w:div w:id="739793962">
      <w:bodyDiv w:val="1"/>
      <w:marLeft w:val="0"/>
      <w:marRight w:val="0"/>
      <w:marTop w:val="0"/>
      <w:marBottom w:val="0"/>
      <w:divBdr>
        <w:top w:val="none" w:sz="0" w:space="0" w:color="auto"/>
        <w:left w:val="none" w:sz="0" w:space="0" w:color="auto"/>
        <w:bottom w:val="none" w:sz="0" w:space="0" w:color="auto"/>
        <w:right w:val="none" w:sz="0" w:space="0" w:color="auto"/>
      </w:divBdr>
    </w:div>
    <w:div w:id="739795520">
      <w:bodyDiv w:val="1"/>
      <w:marLeft w:val="0"/>
      <w:marRight w:val="0"/>
      <w:marTop w:val="0"/>
      <w:marBottom w:val="0"/>
      <w:divBdr>
        <w:top w:val="none" w:sz="0" w:space="0" w:color="auto"/>
        <w:left w:val="none" w:sz="0" w:space="0" w:color="auto"/>
        <w:bottom w:val="none" w:sz="0" w:space="0" w:color="auto"/>
        <w:right w:val="none" w:sz="0" w:space="0" w:color="auto"/>
      </w:divBdr>
    </w:div>
    <w:div w:id="739861979">
      <w:bodyDiv w:val="1"/>
      <w:marLeft w:val="0"/>
      <w:marRight w:val="0"/>
      <w:marTop w:val="0"/>
      <w:marBottom w:val="0"/>
      <w:divBdr>
        <w:top w:val="none" w:sz="0" w:space="0" w:color="auto"/>
        <w:left w:val="none" w:sz="0" w:space="0" w:color="auto"/>
        <w:bottom w:val="none" w:sz="0" w:space="0" w:color="auto"/>
        <w:right w:val="none" w:sz="0" w:space="0" w:color="auto"/>
      </w:divBdr>
    </w:div>
    <w:div w:id="739980853">
      <w:bodyDiv w:val="1"/>
      <w:marLeft w:val="0"/>
      <w:marRight w:val="0"/>
      <w:marTop w:val="0"/>
      <w:marBottom w:val="0"/>
      <w:divBdr>
        <w:top w:val="none" w:sz="0" w:space="0" w:color="auto"/>
        <w:left w:val="none" w:sz="0" w:space="0" w:color="auto"/>
        <w:bottom w:val="none" w:sz="0" w:space="0" w:color="auto"/>
        <w:right w:val="none" w:sz="0" w:space="0" w:color="auto"/>
      </w:divBdr>
    </w:div>
    <w:div w:id="739987364">
      <w:bodyDiv w:val="1"/>
      <w:marLeft w:val="0"/>
      <w:marRight w:val="0"/>
      <w:marTop w:val="0"/>
      <w:marBottom w:val="0"/>
      <w:divBdr>
        <w:top w:val="none" w:sz="0" w:space="0" w:color="auto"/>
        <w:left w:val="none" w:sz="0" w:space="0" w:color="auto"/>
        <w:bottom w:val="none" w:sz="0" w:space="0" w:color="auto"/>
        <w:right w:val="none" w:sz="0" w:space="0" w:color="auto"/>
      </w:divBdr>
    </w:div>
    <w:div w:id="740100568">
      <w:bodyDiv w:val="1"/>
      <w:marLeft w:val="0"/>
      <w:marRight w:val="0"/>
      <w:marTop w:val="0"/>
      <w:marBottom w:val="0"/>
      <w:divBdr>
        <w:top w:val="none" w:sz="0" w:space="0" w:color="auto"/>
        <w:left w:val="none" w:sz="0" w:space="0" w:color="auto"/>
        <w:bottom w:val="none" w:sz="0" w:space="0" w:color="auto"/>
        <w:right w:val="none" w:sz="0" w:space="0" w:color="auto"/>
      </w:divBdr>
    </w:div>
    <w:div w:id="740174435">
      <w:bodyDiv w:val="1"/>
      <w:marLeft w:val="0"/>
      <w:marRight w:val="0"/>
      <w:marTop w:val="0"/>
      <w:marBottom w:val="0"/>
      <w:divBdr>
        <w:top w:val="none" w:sz="0" w:space="0" w:color="auto"/>
        <w:left w:val="none" w:sz="0" w:space="0" w:color="auto"/>
        <w:bottom w:val="none" w:sz="0" w:space="0" w:color="auto"/>
        <w:right w:val="none" w:sz="0" w:space="0" w:color="auto"/>
      </w:divBdr>
    </w:div>
    <w:div w:id="740299065">
      <w:bodyDiv w:val="1"/>
      <w:marLeft w:val="0"/>
      <w:marRight w:val="0"/>
      <w:marTop w:val="0"/>
      <w:marBottom w:val="0"/>
      <w:divBdr>
        <w:top w:val="none" w:sz="0" w:space="0" w:color="auto"/>
        <w:left w:val="none" w:sz="0" w:space="0" w:color="auto"/>
        <w:bottom w:val="none" w:sz="0" w:space="0" w:color="auto"/>
        <w:right w:val="none" w:sz="0" w:space="0" w:color="auto"/>
      </w:divBdr>
    </w:div>
    <w:div w:id="740366284">
      <w:bodyDiv w:val="1"/>
      <w:marLeft w:val="0"/>
      <w:marRight w:val="0"/>
      <w:marTop w:val="0"/>
      <w:marBottom w:val="0"/>
      <w:divBdr>
        <w:top w:val="none" w:sz="0" w:space="0" w:color="auto"/>
        <w:left w:val="none" w:sz="0" w:space="0" w:color="auto"/>
        <w:bottom w:val="none" w:sz="0" w:space="0" w:color="auto"/>
        <w:right w:val="none" w:sz="0" w:space="0" w:color="auto"/>
      </w:divBdr>
    </w:div>
    <w:div w:id="740372659">
      <w:bodyDiv w:val="1"/>
      <w:marLeft w:val="0"/>
      <w:marRight w:val="0"/>
      <w:marTop w:val="0"/>
      <w:marBottom w:val="0"/>
      <w:divBdr>
        <w:top w:val="none" w:sz="0" w:space="0" w:color="auto"/>
        <w:left w:val="none" w:sz="0" w:space="0" w:color="auto"/>
        <w:bottom w:val="none" w:sz="0" w:space="0" w:color="auto"/>
        <w:right w:val="none" w:sz="0" w:space="0" w:color="auto"/>
      </w:divBdr>
    </w:div>
    <w:div w:id="740445647">
      <w:bodyDiv w:val="1"/>
      <w:marLeft w:val="0"/>
      <w:marRight w:val="0"/>
      <w:marTop w:val="0"/>
      <w:marBottom w:val="0"/>
      <w:divBdr>
        <w:top w:val="none" w:sz="0" w:space="0" w:color="auto"/>
        <w:left w:val="none" w:sz="0" w:space="0" w:color="auto"/>
        <w:bottom w:val="none" w:sz="0" w:space="0" w:color="auto"/>
        <w:right w:val="none" w:sz="0" w:space="0" w:color="auto"/>
      </w:divBdr>
    </w:div>
    <w:div w:id="740491987">
      <w:bodyDiv w:val="1"/>
      <w:marLeft w:val="0"/>
      <w:marRight w:val="0"/>
      <w:marTop w:val="0"/>
      <w:marBottom w:val="0"/>
      <w:divBdr>
        <w:top w:val="none" w:sz="0" w:space="0" w:color="auto"/>
        <w:left w:val="none" w:sz="0" w:space="0" w:color="auto"/>
        <w:bottom w:val="none" w:sz="0" w:space="0" w:color="auto"/>
        <w:right w:val="none" w:sz="0" w:space="0" w:color="auto"/>
      </w:divBdr>
    </w:div>
    <w:div w:id="740517182">
      <w:bodyDiv w:val="1"/>
      <w:marLeft w:val="0"/>
      <w:marRight w:val="0"/>
      <w:marTop w:val="0"/>
      <w:marBottom w:val="0"/>
      <w:divBdr>
        <w:top w:val="none" w:sz="0" w:space="0" w:color="auto"/>
        <w:left w:val="none" w:sz="0" w:space="0" w:color="auto"/>
        <w:bottom w:val="none" w:sz="0" w:space="0" w:color="auto"/>
        <w:right w:val="none" w:sz="0" w:space="0" w:color="auto"/>
      </w:divBdr>
    </w:div>
    <w:div w:id="740561573">
      <w:bodyDiv w:val="1"/>
      <w:marLeft w:val="0"/>
      <w:marRight w:val="0"/>
      <w:marTop w:val="0"/>
      <w:marBottom w:val="0"/>
      <w:divBdr>
        <w:top w:val="none" w:sz="0" w:space="0" w:color="auto"/>
        <w:left w:val="none" w:sz="0" w:space="0" w:color="auto"/>
        <w:bottom w:val="none" w:sz="0" w:space="0" w:color="auto"/>
        <w:right w:val="none" w:sz="0" w:space="0" w:color="auto"/>
      </w:divBdr>
    </w:div>
    <w:div w:id="740563086">
      <w:bodyDiv w:val="1"/>
      <w:marLeft w:val="0"/>
      <w:marRight w:val="0"/>
      <w:marTop w:val="0"/>
      <w:marBottom w:val="0"/>
      <w:divBdr>
        <w:top w:val="none" w:sz="0" w:space="0" w:color="auto"/>
        <w:left w:val="none" w:sz="0" w:space="0" w:color="auto"/>
        <w:bottom w:val="none" w:sz="0" w:space="0" w:color="auto"/>
        <w:right w:val="none" w:sz="0" w:space="0" w:color="auto"/>
      </w:divBdr>
    </w:div>
    <w:div w:id="740563138">
      <w:bodyDiv w:val="1"/>
      <w:marLeft w:val="0"/>
      <w:marRight w:val="0"/>
      <w:marTop w:val="0"/>
      <w:marBottom w:val="0"/>
      <w:divBdr>
        <w:top w:val="none" w:sz="0" w:space="0" w:color="auto"/>
        <w:left w:val="none" w:sz="0" w:space="0" w:color="auto"/>
        <w:bottom w:val="none" w:sz="0" w:space="0" w:color="auto"/>
        <w:right w:val="none" w:sz="0" w:space="0" w:color="auto"/>
      </w:divBdr>
    </w:div>
    <w:div w:id="740564613">
      <w:bodyDiv w:val="1"/>
      <w:marLeft w:val="0"/>
      <w:marRight w:val="0"/>
      <w:marTop w:val="0"/>
      <w:marBottom w:val="0"/>
      <w:divBdr>
        <w:top w:val="none" w:sz="0" w:space="0" w:color="auto"/>
        <w:left w:val="none" w:sz="0" w:space="0" w:color="auto"/>
        <w:bottom w:val="none" w:sz="0" w:space="0" w:color="auto"/>
        <w:right w:val="none" w:sz="0" w:space="0" w:color="auto"/>
      </w:divBdr>
    </w:div>
    <w:div w:id="740717783">
      <w:bodyDiv w:val="1"/>
      <w:marLeft w:val="0"/>
      <w:marRight w:val="0"/>
      <w:marTop w:val="0"/>
      <w:marBottom w:val="0"/>
      <w:divBdr>
        <w:top w:val="none" w:sz="0" w:space="0" w:color="auto"/>
        <w:left w:val="none" w:sz="0" w:space="0" w:color="auto"/>
        <w:bottom w:val="none" w:sz="0" w:space="0" w:color="auto"/>
        <w:right w:val="none" w:sz="0" w:space="0" w:color="auto"/>
      </w:divBdr>
    </w:div>
    <w:div w:id="740760918">
      <w:bodyDiv w:val="1"/>
      <w:marLeft w:val="0"/>
      <w:marRight w:val="0"/>
      <w:marTop w:val="0"/>
      <w:marBottom w:val="0"/>
      <w:divBdr>
        <w:top w:val="none" w:sz="0" w:space="0" w:color="auto"/>
        <w:left w:val="none" w:sz="0" w:space="0" w:color="auto"/>
        <w:bottom w:val="none" w:sz="0" w:space="0" w:color="auto"/>
        <w:right w:val="none" w:sz="0" w:space="0" w:color="auto"/>
      </w:divBdr>
    </w:div>
    <w:div w:id="740908357">
      <w:bodyDiv w:val="1"/>
      <w:marLeft w:val="0"/>
      <w:marRight w:val="0"/>
      <w:marTop w:val="0"/>
      <w:marBottom w:val="0"/>
      <w:divBdr>
        <w:top w:val="none" w:sz="0" w:space="0" w:color="auto"/>
        <w:left w:val="none" w:sz="0" w:space="0" w:color="auto"/>
        <w:bottom w:val="none" w:sz="0" w:space="0" w:color="auto"/>
        <w:right w:val="none" w:sz="0" w:space="0" w:color="auto"/>
      </w:divBdr>
    </w:div>
    <w:div w:id="740908391">
      <w:bodyDiv w:val="1"/>
      <w:marLeft w:val="0"/>
      <w:marRight w:val="0"/>
      <w:marTop w:val="0"/>
      <w:marBottom w:val="0"/>
      <w:divBdr>
        <w:top w:val="none" w:sz="0" w:space="0" w:color="auto"/>
        <w:left w:val="none" w:sz="0" w:space="0" w:color="auto"/>
        <w:bottom w:val="none" w:sz="0" w:space="0" w:color="auto"/>
        <w:right w:val="none" w:sz="0" w:space="0" w:color="auto"/>
      </w:divBdr>
    </w:div>
    <w:div w:id="740980832">
      <w:bodyDiv w:val="1"/>
      <w:marLeft w:val="0"/>
      <w:marRight w:val="0"/>
      <w:marTop w:val="0"/>
      <w:marBottom w:val="0"/>
      <w:divBdr>
        <w:top w:val="none" w:sz="0" w:space="0" w:color="auto"/>
        <w:left w:val="none" w:sz="0" w:space="0" w:color="auto"/>
        <w:bottom w:val="none" w:sz="0" w:space="0" w:color="auto"/>
        <w:right w:val="none" w:sz="0" w:space="0" w:color="auto"/>
      </w:divBdr>
    </w:div>
    <w:div w:id="741021605">
      <w:bodyDiv w:val="1"/>
      <w:marLeft w:val="0"/>
      <w:marRight w:val="0"/>
      <w:marTop w:val="0"/>
      <w:marBottom w:val="0"/>
      <w:divBdr>
        <w:top w:val="none" w:sz="0" w:space="0" w:color="auto"/>
        <w:left w:val="none" w:sz="0" w:space="0" w:color="auto"/>
        <w:bottom w:val="none" w:sz="0" w:space="0" w:color="auto"/>
        <w:right w:val="none" w:sz="0" w:space="0" w:color="auto"/>
      </w:divBdr>
    </w:div>
    <w:div w:id="741099617">
      <w:bodyDiv w:val="1"/>
      <w:marLeft w:val="0"/>
      <w:marRight w:val="0"/>
      <w:marTop w:val="0"/>
      <w:marBottom w:val="0"/>
      <w:divBdr>
        <w:top w:val="none" w:sz="0" w:space="0" w:color="auto"/>
        <w:left w:val="none" w:sz="0" w:space="0" w:color="auto"/>
        <w:bottom w:val="none" w:sz="0" w:space="0" w:color="auto"/>
        <w:right w:val="none" w:sz="0" w:space="0" w:color="auto"/>
      </w:divBdr>
    </w:div>
    <w:div w:id="741105590">
      <w:bodyDiv w:val="1"/>
      <w:marLeft w:val="0"/>
      <w:marRight w:val="0"/>
      <w:marTop w:val="0"/>
      <w:marBottom w:val="0"/>
      <w:divBdr>
        <w:top w:val="none" w:sz="0" w:space="0" w:color="auto"/>
        <w:left w:val="none" w:sz="0" w:space="0" w:color="auto"/>
        <w:bottom w:val="none" w:sz="0" w:space="0" w:color="auto"/>
        <w:right w:val="none" w:sz="0" w:space="0" w:color="auto"/>
      </w:divBdr>
    </w:div>
    <w:div w:id="741177026">
      <w:bodyDiv w:val="1"/>
      <w:marLeft w:val="0"/>
      <w:marRight w:val="0"/>
      <w:marTop w:val="0"/>
      <w:marBottom w:val="0"/>
      <w:divBdr>
        <w:top w:val="none" w:sz="0" w:space="0" w:color="auto"/>
        <w:left w:val="none" w:sz="0" w:space="0" w:color="auto"/>
        <w:bottom w:val="none" w:sz="0" w:space="0" w:color="auto"/>
        <w:right w:val="none" w:sz="0" w:space="0" w:color="auto"/>
      </w:divBdr>
    </w:div>
    <w:div w:id="741222427">
      <w:bodyDiv w:val="1"/>
      <w:marLeft w:val="0"/>
      <w:marRight w:val="0"/>
      <w:marTop w:val="0"/>
      <w:marBottom w:val="0"/>
      <w:divBdr>
        <w:top w:val="none" w:sz="0" w:space="0" w:color="auto"/>
        <w:left w:val="none" w:sz="0" w:space="0" w:color="auto"/>
        <w:bottom w:val="none" w:sz="0" w:space="0" w:color="auto"/>
        <w:right w:val="none" w:sz="0" w:space="0" w:color="auto"/>
      </w:divBdr>
    </w:div>
    <w:div w:id="741367345">
      <w:bodyDiv w:val="1"/>
      <w:marLeft w:val="0"/>
      <w:marRight w:val="0"/>
      <w:marTop w:val="0"/>
      <w:marBottom w:val="0"/>
      <w:divBdr>
        <w:top w:val="none" w:sz="0" w:space="0" w:color="auto"/>
        <w:left w:val="none" w:sz="0" w:space="0" w:color="auto"/>
        <w:bottom w:val="none" w:sz="0" w:space="0" w:color="auto"/>
        <w:right w:val="none" w:sz="0" w:space="0" w:color="auto"/>
      </w:divBdr>
    </w:div>
    <w:div w:id="741411491">
      <w:bodyDiv w:val="1"/>
      <w:marLeft w:val="0"/>
      <w:marRight w:val="0"/>
      <w:marTop w:val="0"/>
      <w:marBottom w:val="0"/>
      <w:divBdr>
        <w:top w:val="none" w:sz="0" w:space="0" w:color="auto"/>
        <w:left w:val="none" w:sz="0" w:space="0" w:color="auto"/>
        <w:bottom w:val="none" w:sz="0" w:space="0" w:color="auto"/>
        <w:right w:val="none" w:sz="0" w:space="0" w:color="auto"/>
      </w:divBdr>
    </w:div>
    <w:div w:id="741412796">
      <w:bodyDiv w:val="1"/>
      <w:marLeft w:val="0"/>
      <w:marRight w:val="0"/>
      <w:marTop w:val="0"/>
      <w:marBottom w:val="0"/>
      <w:divBdr>
        <w:top w:val="none" w:sz="0" w:space="0" w:color="auto"/>
        <w:left w:val="none" w:sz="0" w:space="0" w:color="auto"/>
        <w:bottom w:val="none" w:sz="0" w:space="0" w:color="auto"/>
        <w:right w:val="none" w:sz="0" w:space="0" w:color="auto"/>
      </w:divBdr>
    </w:div>
    <w:div w:id="741415203">
      <w:bodyDiv w:val="1"/>
      <w:marLeft w:val="0"/>
      <w:marRight w:val="0"/>
      <w:marTop w:val="0"/>
      <w:marBottom w:val="0"/>
      <w:divBdr>
        <w:top w:val="none" w:sz="0" w:space="0" w:color="auto"/>
        <w:left w:val="none" w:sz="0" w:space="0" w:color="auto"/>
        <w:bottom w:val="none" w:sz="0" w:space="0" w:color="auto"/>
        <w:right w:val="none" w:sz="0" w:space="0" w:color="auto"/>
      </w:divBdr>
    </w:div>
    <w:div w:id="741945641">
      <w:bodyDiv w:val="1"/>
      <w:marLeft w:val="0"/>
      <w:marRight w:val="0"/>
      <w:marTop w:val="0"/>
      <w:marBottom w:val="0"/>
      <w:divBdr>
        <w:top w:val="none" w:sz="0" w:space="0" w:color="auto"/>
        <w:left w:val="none" w:sz="0" w:space="0" w:color="auto"/>
        <w:bottom w:val="none" w:sz="0" w:space="0" w:color="auto"/>
        <w:right w:val="none" w:sz="0" w:space="0" w:color="auto"/>
      </w:divBdr>
    </w:div>
    <w:div w:id="741952519">
      <w:bodyDiv w:val="1"/>
      <w:marLeft w:val="0"/>
      <w:marRight w:val="0"/>
      <w:marTop w:val="0"/>
      <w:marBottom w:val="0"/>
      <w:divBdr>
        <w:top w:val="none" w:sz="0" w:space="0" w:color="auto"/>
        <w:left w:val="none" w:sz="0" w:space="0" w:color="auto"/>
        <w:bottom w:val="none" w:sz="0" w:space="0" w:color="auto"/>
        <w:right w:val="none" w:sz="0" w:space="0" w:color="auto"/>
      </w:divBdr>
    </w:div>
    <w:div w:id="742072548">
      <w:bodyDiv w:val="1"/>
      <w:marLeft w:val="0"/>
      <w:marRight w:val="0"/>
      <w:marTop w:val="0"/>
      <w:marBottom w:val="0"/>
      <w:divBdr>
        <w:top w:val="none" w:sz="0" w:space="0" w:color="auto"/>
        <w:left w:val="none" w:sz="0" w:space="0" w:color="auto"/>
        <w:bottom w:val="none" w:sz="0" w:space="0" w:color="auto"/>
        <w:right w:val="none" w:sz="0" w:space="0" w:color="auto"/>
      </w:divBdr>
    </w:div>
    <w:div w:id="742142231">
      <w:bodyDiv w:val="1"/>
      <w:marLeft w:val="0"/>
      <w:marRight w:val="0"/>
      <w:marTop w:val="0"/>
      <w:marBottom w:val="0"/>
      <w:divBdr>
        <w:top w:val="none" w:sz="0" w:space="0" w:color="auto"/>
        <w:left w:val="none" w:sz="0" w:space="0" w:color="auto"/>
        <w:bottom w:val="none" w:sz="0" w:space="0" w:color="auto"/>
        <w:right w:val="none" w:sz="0" w:space="0" w:color="auto"/>
      </w:divBdr>
    </w:div>
    <w:div w:id="742218420">
      <w:bodyDiv w:val="1"/>
      <w:marLeft w:val="0"/>
      <w:marRight w:val="0"/>
      <w:marTop w:val="0"/>
      <w:marBottom w:val="0"/>
      <w:divBdr>
        <w:top w:val="none" w:sz="0" w:space="0" w:color="auto"/>
        <w:left w:val="none" w:sz="0" w:space="0" w:color="auto"/>
        <w:bottom w:val="none" w:sz="0" w:space="0" w:color="auto"/>
        <w:right w:val="none" w:sz="0" w:space="0" w:color="auto"/>
      </w:divBdr>
    </w:div>
    <w:div w:id="742262528">
      <w:bodyDiv w:val="1"/>
      <w:marLeft w:val="0"/>
      <w:marRight w:val="0"/>
      <w:marTop w:val="0"/>
      <w:marBottom w:val="0"/>
      <w:divBdr>
        <w:top w:val="none" w:sz="0" w:space="0" w:color="auto"/>
        <w:left w:val="none" w:sz="0" w:space="0" w:color="auto"/>
        <w:bottom w:val="none" w:sz="0" w:space="0" w:color="auto"/>
        <w:right w:val="none" w:sz="0" w:space="0" w:color="auto"/>
      </w:divBdr>
    </w:div>
    <w:div w:id="742263932">
      <w:bodyDiv w:val="1"/>
      <w:marLeft w:val="0"/>
      <w:marRight w:val="0"/>
      <w:marTop w:val="0"/>
      <w:marBottom w:val="0"/>
      <w:divBdr>
        <w:top w:val="none" w:sz="0" w:space="0" w:color="auto"/>
        <w:left w:val="none" w:sz="0" w:space="0" w:color="auto"/>
        <w:bottom w:val="none" w:sz="0" w:space="0" w:color="auto"/>
        <w:right w:val="none" w:sz="0" w:space="0" w:color="auto"/>
      </w:divBdr>
    </w:div>
    <w:div w:id="742415524">
      <w:bodyDiv w:val="1"/>
      <w:marLeft w:val="0"/>
      <w:marRight w:val="0"/>
      <w:marTop w:val="0"/>
      <w:marBottom w:val="0"/>
      <w:divBdr>
        <w:top w:val="none" w:sz="0" w:space="0" w:color="auto"/>
        <w:left w:val="none" w:sz="0" w:space="0" w:color="auto"/>
        <w:bottom w:val="none" w:sz="0" w:space="0" w:color="auto"/>
        <w:right w:val="none" w:sz="0" w:space="0" w:color="auto"/>
      </w:divBdr>
    </w:div>
    <w:div w:id="742488764">
      <w:bodyDiv w:val="1"/>
      <w:marLeft w:val="0"/>
      <w:marRight w:val="0"/>
      <w:marTop w:val="0"/>
      <w:marBottom w:val="0"/>
      <w:divBdr>
        <w:top w:val="none" w:sz="0" w:space="0" w:color="auto"/>
        <w:left w:val="none" w:sz="0" w:space="0" w:color="auto"/>
        <w:bottom w:val="none" w:sz="0" w:space="0" w:color="auto"/>
        <w:right w:val="none" w:sz="0" w:space="0" w:color="auto"/>
      </w:divBdr>
    </w:div>
    <w:div w:id="742489998">
      <w:bodyDiv w:val="1"/>
      <w:marLeft w:val="0"/>
      <w:marRight w:val="0"/>
      <w:marTop w:val="0"/>
      <w:marBottom w:val="0"/>
      <w:divBdr>
        <w:top w:val="none" w:sz="0" w:space="0" w:color="auto"/>
        <w:left w:val="none" w:sz="0" w:space="0" w:color="auto"/>
        <w:bottom w:val="none" w:sz="0" w:space="0" w:color="auto"/>
        <w:right w:val="none" w:sz="0" w:space="0" w:color="auto"/>
      </w:divBdr>
    </w:div>
    <w:div w:id="742533237">
      <w:bodyDiv w:val="1"/>
      <w:marLeft w:val="0"/>
      <w:marRight w:val="0"/>
      <w:marTop w:val="0"/>
      <w:marBottom w:val="0"/>
      <w:divBdr>
        <w:top w:val="none" w:sz="0" w:space="0" w:color="auto"/>
        <w:left w:val="none" w:sz="0" w:space="0" w:color="auto"/>
        <w:bottom w:val="none" w:sz="0" w:space="0" w:color="auto"/>
        <w:right w:val="none" w:sz="0" w:space="0" w:color="auto"/>
      </w:divBdr>
    </w:div>
    <w:div w:id="742600540">
      <w:bodyDiv w:val="1"/>
      <w:marLeft w:val="0"/>
      <w:marRight w:val="0"/>
      <w:marTop w:val="0"/>
      <w:marBottom w:val="0"/>
      <w:divBdr>
        <w:top w:val="none" w:sz="0" w:space="0" w:color="auto"/>
        <w:left w:val="none" w:sz="0" w:space="0" w:color="auto"/>
        <w:bottom w:val="none" w:sz="0" w:space="0" w:color="auto"/>
        <w:right w:val="none" w:sz="0" w:space="0" w:color="auto"/>
      </w:divBdr>
    </w:div>
    <w:div w:id="742609874">
      <w:bodyDiv w:val="1"/>
      <w:marLeft w:val="0"/>
      <w:marRight w:val="0"/>
      <w:marTop w:val="0"/>
      <w:marBottom w:val="0"/>
      <w:divBdr>
        <w:top w:val="none" w:sz="0" w:space="0" w:color="auto"/>
        <w:left w:val="none" w:sz="0" w:space="0" w:color="auto"/>
        <w:bottom w:val="none" w:sz="0" w:space="0" w:color="auto"/>
        <w:right w:val="none" w:sz="0" w:space="0" w:color="auto"/>
      </w:divBdr>
    </w:div>
    <w:div w:id="742677086">
      <w:bodyDiv w:val="1"/>
      <w:marLeft w:val="0"/>
      <w:marRight w:val="0"/>
      <w:marTop w:val="0"/>
      <w:marBottom w:val="0"/>
      <w:divBdr>
        <w:top w:val="none" w:sz="0" w:space="0" w:color="auto"/>
        <w:left w:val="none" w:sz="0" w:space="0" w:color="auto"/>
        <w:bottom w:val="none" w:sz="0" w:space="0" w:color="auto"/>
        <w:right w:val="none" w:sz="0" w:space="0" w:color="auto"/>
      </w:divBdr>
    </w:div>
    <w:div w:id="742801781">
      <w:bodyDiv w:val="1"/>
      <w:marLeft w:val="0"/>
      <w:marRight w:val="0"/>
      <w:marTop w:val="0"/>
      <w:marBottom w:val="0"/>
      <w:divBdr>
        <w:top w:val="none" w:sz="0" w:space="0" w:color="auto"/>
        <w:left w:val="none" w:sz="0" w:space="0" w:color="auto"/>
        <w:bottom w:val="none" w:sz="0" w:space="0" w:color="auto"/>
        <w:right w:val="none" w:sz="0" w:space="0" w:color="auto"/>
      </w:divBdr>
    </w:div>
    <w:div w:id="742948430">
      <w:bodyDiv w:val="1"/>
      <w:marLeft w:val="0"/>
      <w:marRight w:val="0"/>
      <w:marTop w:val="0"/>
      <w:marBottom w:val="0"/>
      <w:divBdr>
        <w:top w:val="none" w:sz="0" w:space="0" w:color="auto"/>
        <w:left w:val="none" w:sz="0" w:space="0" w:color="auto"/>
        <w:bottom w:val="none" w:sz="0" w:space="0" w:color="auto"/>
        <w:right w:val="none" w:sz="0" w:space="0" w:color="auto"/>
      </w:divBdr>
    </w:div>
    <w:div w:id="742987421">
      <w:bodyDiv w:val="1"/>
      <w:marLeft w:val="0"/>
      <w:marRight w:val="0"/>
      <w:marTop w:val="0"/>
      <w:marBottom w:val="0"/>
      <w:divBdr>
        <w:top w:val="none" w:sz="0" w:space="0" w:color="auto"/>
        <w:left w:val="none" w:sz="0" w:space="0" w:color="auto"/>
        <w:bottom w:val="none" w:sz="0" w:space="0" w:color="auto"/>
        <w:right w:val="none" w:sz="0" w:space="0" w:color="auto"/>
      </w:divBdr>
    </w:div>
    <w:div w:id="742992802">
      <w:bodyDiv w:val="1"/>
      <w:marLeft w:val="0"/>
      <w:marRight w:val="0"/>
      <w:marTop w:val="0"/>
      <w:marBottom w:val="0"/>
      <w:divBdr>
        <w:top w:val="none" w:sz="0" w:space="0" w:color="auto"/>
        <w:left w:val="none" w:sz="0" w:space="0" w:color="auto"/>
        <w:bottom w:val="none" w:sz="0" w:space="0" w:color="auto"/>
        <w:right w:val="none" w:sz="0" w:space="0" w:color="auto"/>
      </w:divBdr>
    </w:div>
    <w:div w:id="743064828">
      <w:bodyDiv w:val="1"/>
      <w:marLeft w:val="0"/>
      <w:marRight w:val="0"/>
      <w:marTop w:val="0"/>
      <w:marBottom w:val="0"/>
      <w:divBdr>
        <w:top w:val="none" w:sz="0" w:space="0" w:color="auto"/>
        <w:left w:val="none" w:sz="0" w:space="0" w:color="auto"/>
        <w:bottom w:val="none" w:sz="0" w:space="0" w:color="auto"/>
        <w:right w:val="none" w:sz="0" w:space="0" w:color="auto"/>
      </w:divBdr>
    </w:div>
    <w:div w:id="743144280">
      <w:bodyDiv w:val="1"/>
      <w:marLeft w:val="0"/>
      <w:marRight w:val="0"/>
      <w:marTop w:val="0"/>
      <w:marBottom w:val="0"/>
      <w:divBdr>
        <w:top w:val="none" w:sz="0" w:space="0" w:color="auto"/>
        <w:left w:val="none" w:sz="0" w:space="0" w:color="auto"/>
        <w:bottom w:val="none" w:sz="0" w:space="0" w:color="auto"/>
        <w:right w:val="none" w:sz="0" w:space="0" w:color="auto"/>
      </w:divBdr>
    </w:div>
    <w:div w:id="743188488">
      <w:bodyDiv w:val="1"/>
      <w:marLeft w:val="0"/>
      <w:marRight w:val="0"/>
      <w:marTop w:val="0"/>
      <w:marBottom w:val="0"/>
      <w:divBdr>
        <w:top w:val="none" w:sz="0" w:space="0" w:color="auto"/>
        <w:left w:val="none" w:sz="0" w:space="0" w:color="auto"/>
        <w:bottom w:val="none" w:sz="0" w:space="0" w:color="auto"/>
        <w:right w:val="none" w:sz="0" w:space="0" w:color="auto"/>
      </w:divBdr>
    </w:div>
    <w:div w:id="743257074">
      <w:bodyDiv w:val="1"/>
      <w:marLeft w:val="0"/>
      <w:marRight w:val="0"/>
      <w:marTop w:val="0"/>
      <w:marBottom w:val="0"/>
      <w:divBdr>
        <w:top w:val="none" w:sz="0" w:space="0" w:color="auto"/>
        <w:left w:val="none" w:sz="0" w:space="0" w:color="auto"/>
        <w:bottom w:val="none" w:sz="0" w:space="0" w:color="auto"/>
        <w:right w:val="none" w:sz="0" w:space="0" w:color="auto"/>
      </w:divBdr>
    </w:div>
    <w:div w:id="743261455">
      <w:bodyDiv w:val="1"/>
      <w:marLeft w:val="0"/>
      <w:marRight w:val="0"/>
      <w:marTop w:val="0"/>
      <w:marBottom w:val="0"/>
      <w:divBdr>
        <w:top w:val="none" w:sz="0" w:space="0" w:color="auto"/>
        <w:left w:val="none" w:sz="0" w:space="0" w:color="auto"/>
        <w:bottom w:val="none" w:sz="0" w:space="0" w:color="auto"/>
        <w:right w:val="none" w:sz="0" w:space="0" w:color="auto"/>
      </w:divBdr>
    </w:div>
    <w:div w:id="743264591">
      <w:bodyDiv w:val="1"/>
      <w:marLeft w:val="0"/>
      <w:marRight w:val="0"/>
      <w:marTop w:val="0"/>
      <w:marBottom w:val="0"/>
      <w:divBdr>
        <w:top w:val="none" w:sz="0" w:space="0" w:color="auto"/>
        <w:left w:val="none" w:sz="0" w:space="0" w:color="auto"/>
        <w:bottom w:val="none" w:sz="0" w:space="0" w:color="auto"/>
        <w:right w:val="none" w:sz="0" w:space="0" w:color="auto"/>
      </w:divBdr>
    </w:div>
    <w:div w:id="743380962">
      <w:bodyDiv w:val="1"/>
      <w:marLeft w:val="0"/>
      <w:marRight w:val="0"/>
      <w:marTop w:val="0"/>
      <w:marBottom w:val="0"/>
      <w:divBdr>
        <w:top w:val="none" w:sz="0" w:space="0" w:color="auto"/>
        <w:left w:val="none" w:sz="0" w:space="0" w:color="auto"/>
        <w:bottom w:val="none" w:sz="0" w:space="0" w:color="auto"/>
        <w:right w:val="none" w:sz="0" w:space="0" w:color="auto"/>
      </w:divBdr>
    </w:div>
    <w:div w:id="743451056">
      <w:bodyDiv w:val="1"/>
      <w:marLeft w:val="0"/>
      <w:marRight w:val="0"/>
      <w:marTop w:val="0"/>
      <w:marBottom w:val="0"/>
      <w:divBdr>
        <w:top w:val="none" w:sz="0" w:space="0" w:color="auto"/>
        <w:left w:val="none" w:sz="0" w:space="0" w:color="auto"/>
        <w:bottom w:val="none" w:sz="0" w:space="0" w:color="auto"/>
        <w:right w:val="none" w:sz="0" w:space="0" w:color="auto"/>
      </w:divBdr>
    </w:div>
    <w:div w:id="743451989">
      <w:bodyDiv w:val="1"/>
      <w:marLeft w:val="0"/>
      <w:marRight w:val="0"/>
      <w:marTop w:val="0"/>
      <w:marBottom w:val="0"/>
      <w:divBdr>
        <w:top w:val="none" w:sz="0" w:space="0" w:color="auto"/>
        <w:left w:val="none" w:sz="0" w:space="0" w:color="auto"/>
        <w:bottom w:val="none" w:sz="0" w:space="0" w:color="auto"/>
        <w:right w:val="none" w:sz="0" w:space="0" w:color="auto"/>
      </w:divBdr>
    </w:div>
    <w:div w:id="743453099">
      <w:bodyDiv w:val="1"/>
      <w:marLeft w:val="0"/>
      <w:marRight w:val="0"/>
      <w:marTop w:val="0"/>
      <w:marBottom w:val="0"/>
      <w:divBdr>
        <w:top w:val="none" w:sz="0" w:space="0" w:color="auto"/>
        <w:left w:val="none" w:sz="0" w:space="0" w:color="auto"/>
        <w:bottom w:val="none" w:sz="0" w:space="0" w:color="auto"/>
        <w:right w:val="none" w:sz="0" w:space="0" w:color="auto"/>
      </w:divBdr>
    </w:div>
    <w:div w:id="743572592">
      <w:bodyDiv w:val="1"/>
      <w:marLeft w:val="0"/>
      <w:marRight w:val="0"/>
      <w:marTop w:val="0"/>
      <w:marBottom w:val="0"/>
      <w:divBdr>
        <w:top w:val="none" w:sz="0" w:space="0" w:color="auto"/>
        <w:left w:val="none" w:sz="0" w:space="0" w:color="auto"/>
        <w:bottom w:val="none" w:sz="0" w:space="0" w:color="auto"/>
        <w:right w:val="none" w:sz="0" w:space="0" w:color="auto"/>
      </w:divBdr>
    </w:div>
    <w:div w:id="743719988">
      <w:bodyDiv w:val="1"/>
      <w:marLeft w:val="0"/>
      <w:marRight w:val="0"/>
      <w:marTop w:val="0"/>
      <w:marBottom w:val="0"/>
      <w:divBdr>
        <w:top w:val="none" w:sz="0" w:space="0" w:color="auto"/>
        <w:left w:val="none" w:sz="0" w:space="0" w:color="auto"/>
        <w:bottom w:val="none" w:sz="0" w:space="0" w:color="auto"/>
        <w:right w:val="none" w:sz="0" w:space="0" w:color="auto"/>
      </w:divBdr>
    </w:div>
    <w:div w:id="743725718">
      <w:bodyDiv w:val="1"/>
      <w:marLeft w:val="0"/>
      <w:marRight w:val="0"/>
      <w:marTop w:val="0"/>
      <w:marBottom w:val="0"/>
      <w:divBdr>
        <w:top w:val="none" w:sz="0" w:space="0" w:color="auto"/>
        <w:left w:val="none" w:sz="0" w:space="0" w:color="auto"/>
        <w:bottom w:val="none" w:sz="0" w:space="0" w:color="auto"/>
        <w:right w:val="none" w:sz="0" w:space="0" w:color="auto"/>
      </w:divBdr>
    </w:div>
    <w:div w:id="743769669">
      <w:bodyDiv w:val="1"/>
      <w:marLeft w:val="0"/>
      <w:marRight w:val="0"/>
      <w:marTop w:val="0"/>
      <w:marBottom w:val="0"/>
      <w:divBdr>
        <w:top w:val="none" w:sz="0" w:space="0" w:color="auto"/>
        <w:left w:val="none" w:sz="0" w:space="0" w:color="auto"/>
        <w:bottom w:val="none" w:sz="0" w:space="0" w:color="auto"/>
        <w:right w:val="none" w:sz="0" w:space="0" w:color="auto"/>
      </w:divBdr>
    </w:div>
    <w:div w:id="744113301">
      <w:bodyDiv w:val="1"/>
      <w:marLeft w:val="0"/>
      <w:marRight w:val="0"/>
      <w:marTop w:val="0"/>
      <w:marBottom w:val="0"/>
      <w:divBdr>
        <w:top w:val="none" w:sz="0" w:space="0" w:color="auto"/>
        <w:left w:val="none" w:sz="0" w:space="0" w:color="auto"/>
        <w:bottom w:val="none" w:sz="0" w:space="0" w:color="auto"/>
        <w:right w:val="none" w:sz="0" w:space="0" w:color="auto"/>
      </w:divBdr>
    </w:div>
    <w:div w:id="744257169">
      <w:bodyDiv w:val="1"/>
      <w:marLeft w:val="0"/>
      <w:marRight w:val="0"/>
      <w:marTop w:val="0"/>
      <w:marBottom w:val="0"/>
      <w:divBdr>
        <w:top w:val="none" w:sz="0" w:space="0" w:color="auto"/>
        <w:left w:val="none" w:sz="0" w:space="0" w:color="auto"/>
        <w:bottom w:val="none" w:sz="0" w:space="0" w:color="auto"/>
        <w:right w:val="none" w:sz="0" w:space="0" w:color="auto"/>
      </w:divBdr>
    </w:div>
    <w:div w:id="744298600">
      <w:bodyDiv w:val="1"/>
      <w:marLeft w:val="0"/>
      <w:marRight w:val="0"/>
      <w:marTop w:val="0"/>
      <w:marBottom w:val="0"/>
      <w:divBdr>
        <w:top w:val="none" w:sz="0" w:space="0" w:color="auto"/>
        <w:left w:val="none" w:sz="0" w:space="0" w:color="auto"/>
        <w:bottom w:val="none" w:sz="0" w:space="0" w:color="auto"/>
        <w:right w:val="none" w:sz="0" w:space="0" w:color="auto"/>
      </w:divBdr>
    </w:div>
    <w:div w:id="744448829">
      <w:bodyDiv w:val="1"/>
      <w:marLeft w:val="0"/>
      <w:marRight w:val="0"/>
      <w:marTop w:val="0"/>
      <w:marBottom w:val="0"/>
      <w:divBdr>
        <w:top w:val="none" w:sz="0" w:space="0" w:color="auto"/>
        <w:left w:val="none" w:sz="0" w:space="0" w:color="auto"/>
        <w:bottom w:val="none" w:sz="0" w:space="0" w:color="auto"/>
        <w:right w:val="none" w:sz="0" w:space="0" w:color="auto"/>
      </w:divBdr>
    </w:div>
    <w:div w:id="744454542">
      <w:bodyDiv w:val="1"/>
      <w:marLeft w:val="0"/>
      <w:marRight w:val="0"/>
      <w:marTop w:val="0"/>
      <w:marBottom w:val="0"/>
      <w:divBdr>
        <w:top w:val="none" w:sz="0" w:space="0" w:color="auto"/>
        <w:left w:val="none" w:sz="0" w:space="0" w:color="auto"/>
        <w:bottom w:val="none" w:sz="0" w:space="0" w:color="auto"/>
        <w:right w:val="none" w:sz="0" w:space="0" w:color="auto"/>
      </w:divBdr>
    </w:div>
    <w:div w:id="744495315">
      <w:bodyDiv w:val="1"/>
      <w:marLeft w:val="0"/>
      <w:marRight w:val="0"/>
      <w:marTop w:val="0"/>
      <w:marBottom w:val="0"/>
      <w:divBdr>
        <w:top w:val="none" w:sz="0" w:space="0" w:color="auto"/>
        <w:left w:val="none" w:sz="0" w:space="0" w:color="auto"/>
        <w:bottom w:val="none" w:sz="0" w:space="0" w:color="auto"/>
        <w:right w:val="none" w:sz="0" w:space="0" w:color="auto"/>
      </w:divBdr>
    </w:div>
    <w:div w:id="744498850">
      <w:bodyDiv w:val="1"/>
      <w:marLeft w:val="0"/>
      <w:marRight w:val="0"/>
      <w:marTop w:val="0"/>
      <w:marBottom w:val="0"/>
      <w:divBdr>
        <w:top w:val="none" w:sz="0" w:space="0" w:color="auto"/>
        <w:left w:val="none" w:sz="0" w:space="0" w:color="auto"/>
        <w:bottom w:val="none" w:sz="0" w:space="0" w:color="auto"/>
        <w:right w:val="none" w:sz="0" w:space="0" w:color="auto"/>
      </w:divBdr>
    </w:div>
    <w:div w:id="744691063">
      <w:bodyDiv w:val="1"/>
      <w:marLeft w:val="0"/>
      <w:marRight w:val="0"/>
      <w:marTop w:val="0"/>
      <w:marBottom w:val="0"/>
      <w:divBdr>
        <w:top w:val="none" w:sz="0" w:space="0" w:color="auto"/>
        <w:left w:val="none" w:sz="0" w:space="0" w:color="auto"/>
        <w:bottom w:val="none" w:sz="0" w:space="0" w:color="auto"/>
        <w:right w:val="none" w:sz="0" w:space="0" w:color="auto"/>
      </w:divBdr>
    </w:div>
    <w:div w:id="744761294">
      <w:bodyDiv w:val="1"/>
      <w:marLeft w:val="0"/>
      <w:marRight w:val="0"/>
      <w:marTop w:val="0"/>
      <w:marBottom w:val="0"/>
      <w:divBdr>
        <w:top w:val="none" w:sz="0" w:space="0" w:color="auto"/>
        <w:left w:val="none" w:sz="0" w:space="0" w:color="auto"/>
        <w:bottom w:val="none" w:sz="0" w:space="0" w:color="auto"/>
        <w:right w:val="none" w:sz="0" w:space="0" w:color="auto"/>
      </w:divBdr>
    </w:div>
    <w:div w:id="744763995">
      <w:bodyDiv w:val="1"/>
      <w:marLeft w:val="0"/>
      <w:marRight w:val="0"/>
      <w:marTop w:val="0"/>
      <w:marBottom w:val="0"/>
      <w:divBdr>
        <w:top w:val="none" w:sz="0" w:space="0" w:color="auto"/>
        <w:left w:val="none" w:sz="0" w:space="0" w:color="auto"/>
        <w:bottom w:val="none" w:sz="0" w:space="0" w:color="auto"/>
        <w:right w:val="none" w:sz="0" w:space="0" w:color="auto"/>
      </w:divBdr>
    </w:div>
    <w:div w:id="744836508">
      <w:bodyDiv w:val="1"/>
      <w:marLeft w:val="0"/>
      <w:marRight w:val="0"/>
      <w:marTop w:val="0"/>
      <w:marBottom w:val="0"/>
      <w:divBdr>
        <w:top w:val="none" w:sz="0" w:space="0" w:color="auto"/>
        <w:left w:val="none" w:sz="0" w:space="0" w:color="auto"/>
        <w:bottom w:val="none" w:sz="0" w:space="0" w:color="auto"/>
        <w:right w:val="none" w:sz="0" w:space="0" w:color="auto"/>
      </w:divBdr>
    </w:div>
    <w:div w:id="744836808">
      <w:bodyDiv w:val="1"/>
      <w:marLeft w:val="0"/>
      <w:marRight w:val="0"/>
      <w:marTop w:val="0"/>
      <w:marBottom w:val="0"/>
      <w:divBdr>
        <w:top w:val="none" w:sz="0" w:space="0" w:color="auto"/>
        <w:left w:val="none" w:sz="0" w:space="0" w:color="auto"/>
        <w:bottom w:val="none" w:sz="0" w:space="0" w:color="auto"/>
        <w:right w:val="none" w:sz="0" w:space="0" w:color="auto"/>
      </w:divBdr>
    </w:div>
    <w:div w:id="744911665">
      <w:bodyDiv w:val="1"/>
      <w:marLeft w:val="0"/>
      <w:marRight w:val="0"/>
      <w:marTop w:val="0"/>
      <w:marBottom w:val="0"/>
      <w:divBdr>
        <w:top w:val="none" w:sz="0" w:space="0" w:color="auto"/>
        <w:left w:val="none" w:sz="0" w:space="0" w:color="auto"/>
        <w:bottom w:val="none" w:sz="0" w:space="0" w:color="auto"/>
        <w:right w:val="none" w:sz="0" w:space="0" w:color="auto"/>
      </w:divBdr>
    </w:div>
    <w:div w:id="745030864">
      <w:bodyDiv w:val="1"/>
      <w:marLeft w:val="0"/>
      <w:marRight w:val="0"/>
      <w:marTop w:val="0"/>
      <w:marBottom w:val="0"/>
      <w:divBdr>
        <w:top w:val="none" w:sz="0" w:space="0" w:color="auto"/>
        <w:left w:val="none" w:sz="0" w:space="0" w:color="auto"/>
        <w:bottom w:val="none" w:sz="0" w:space="0" w:color="auto"/>
        <w:right w:val="none" w:sz="0" w:space="0" w:color="auto"/>
      </w:divBdr>
    </w:div>
    <w:div w:id="745229458">
      <w:bodyDiv w:val="1"/>
      <w:marLeft w:val="0"/>
      <w:marRight w:val="0"/>
      <w:marTop w:val="0"/>
      <w:marBottom w:val="0"/>
      <w:divBdr>
        <w:top w:val="none" w:sz="0" w:space="0" w:color="auto"/>
        <w:left w:val="none" w:sz="0" w:space="0" w:color="auto"/>
        <w:bottom w:val="none" w:sz="0" w:space="0" w:color="auto"/>
        <w:right w:val="none" w:sz="0" w:space="0" w:color="auto"/>
      </w:divBdr>
    </w:div>
    <w:div w:id="745298477">
      <w:bodyDiv w:val="1"/>
      <w:marLeft w:val="0"/>
      <w:marRight w:val="0"/>
      <w:marTop w:val="0"/>
      <w:marBottom w:val="0"/>
      <w:divBdr>
        <w:top w:val="none" w:sz="0" w:space="0" w:color="auto"/>
        <w:left w:val="none" w:sz="0" w:space="0" w:color="auto"/>
        <w:bottom w:val="none" w:sz="0" w:space="0" w:color="auto"/>
        <w:right w:val="none" w:sz="0" w:space="0" w:color="auto"/>
      </w:divBdr>
    </w:div>
    <w:div w:id="745302112">
      <w:bodyDiv w:val="1"/>
      <w:marLeft w:val="0"/>
      <w:marRight w:val="0"/>
      <w:marTop w:val="0"/>
      <w:marBottom w:val="0"/>
      <w:divBdr>
        <w:top w:val="none" w:sz="0" w:space="0" w:color="auto"/>
        <w:left w:val="none" w:sz="0" w:space="0" w:color="auto"/>
        <w:bottom w:val="none" w:sz="0" w:space="0" w:color="auto"/>
        <w:right w:val="none" w:sz="0" w:space="0" w:color="auto"/>
      </w:divBdr>
    </w:div>
    <w:div w:id="745373235">
      <w:bodyDiv w:val="1"/>
      <w:marLeft w:val="0"/>
      <w:marRight w:val="0"/>
      <w:marTop w:val="0"/>
      <w:marBottom w:val="0"/>
      <w:divBdr>
        <w:top w:val="none" w:sz="0" w:space="0" w:color="auto"/>
        <w:left w:val="none" w:sz="0" w:space="0" w:color="auto"/>
        <w:bottom w:val="none" w:sz="0" w:space="0" w:color="auto"/>
        <w:right w:val="none" w:sz="0" w:space="0" w:color="auto"/>
      </w:divBdr>
    </w:div>
    <w:div w:id="745422744">
      <w:bodyDiv w:val="1"/>
      <w:marLeft w:val="0"/>
      <w:marRight w:val="0"/>
      <w:marTop w:val="0"/>
      <w:marBottom w:val="0"/>
      <w:divBdr>
        <w:top w:val="none" w:sz="0" w:space="0" w:color="auto"/>
        <w:left w:val="none" w:sz="0" w:space="0" w:color="auto"/>
        <w:bottom w:val="none" w:sz="0" w:space="0" w:color="auto"/>
        <w:right w:val="none" w:sz="0" w:space="0" w:color="auto"/>
      </w:divBdr>
    </w:div>
    <w:div w:id="745540238">
      <w:bodyDiv w:val="1"/>
      <w:marLeft w:val="0"/>
      <w:marRight w:val="0"/>
      <w:marTop w:val="0"/>
      <w:marBottom w:val="0"/>
      <w:divBdr>
        <w:top w:val="none" w:sz="0" w:space="0" w:color="auto"/>
        <w:left w:val="none" w:sz="0" w:space="0" w:color="auto"/>
        <w:bottom w:val="none" w:sz="0" w:space="0" w:color="auto"/>
        <w:right w:val="none" w:sz="0" w:space="0" w:color="auto"/>
      </w:divBdr>
    </w:div>
    <w:div w:id="745609300">
      <w:bodyDiv w:val="1"/>
      <w:marLeft w:val="0"/>
      <w:marRight w:val="0"/>
      <w:marTop w:val="0"/>
      <w:marBottom w:val="0"/>
      <w:divBdr>
        <w:top w:val="none" w:sz="0" w:space="0" w:color="auto"/>
        <w:left w:val="none" w:sz="0" w:space="0" w:color="auto"/>
        <w:bottom w:val="none" w:sz="0" w:space="0" w:color="auto"/>
        <w:right w:val="none" w:sz="0" w:space="0" w:color="auto"/>
      </w:divBdr>
    </w:div>
    <w:div w:id="745692077">
      <w:bodyDiv w:val="1"/>
      <w:marLeft w:val="0"/>
      <w:marRight w:val="0"/>
      <w:marTop w:val="0"/>
      <w:marBottom w:val="0"/>
      <w:divBdr>
        <w:top w:val="none" w:sz="0" w:space="0" w:color="auto"/>
        <w:left w:val="none" w:sz="0" w:space="0" w:color="auto"/>
        <w:bottom w:val="none" w:sz="0" w:space="0" w:color="auto"/>
        <w:right w:val="none" w:sz="0" w:space="0" w:color="auto"/>
      </w:divBdr>
    </w:div>
    <w:div w:id="745806709">
      <w:bodyDiv w:val="1"/>
      <w:marLeft w:val="0"/>
      <w:marRight w:val="0"/>
      <w:marTop w:val="0"/>
      <w:marBottom w:val="0"/>
      <w:divBdr>
        <w:top w:val="none" w:sz="0" w:space="0" w:color="auto"/>
        <w:left w:val="none" w:sz="0" w:space="0" w:color="auto"/>
        <w:bottom w:val="none" w:sz="0" w:space="0" w:color="auto"/>
        <w:right w:val="none" w:sz="0" w:space="0" w:color="auto"/>
      </w:divBdr>
    </w:div>
    <w:div w:id="745998413">
      <w:bodyDiv w:val="1"/>
      <w:marLeft w:val="0"/>
      <w:marRight w:val="0"/>
      <w:marTop w:val="0"/>
      <w:marBottom w:val="0"/>
      <w:divBdr>
        <w:top w:val="none" w:sz="0" w:space="0" w:color="auto"/>
        <w:left w:val="none" w:sz="0" w:space="0" w:color="auto"/>
        <w:bottom w:val="none" w:sz="0" w:space="0" w:color="auto"/>
        <w:right w:val="none" w:sz="0" w:space="0" w:color="auto"/>
      </w:divBdr>
    </w:div>
    <w:div w:id="746028705">
      <w:bodyDiv w:val="1"/>
      <w:marLeft w:val="0"/>
      <w:marRight w:val="0"/>
      <w:marTop w:val="0"/>
      <w:marBottom w:val="0"/>
      <w:divBdr>
        <w:top w:val="none" w:sz="0" w:space="0" w:color="auto"/>
        <w:left w:val="none" w:sz="0" w:space="0" w:color="auto"/>
        <w:bottom w:val="none" w:sz="0" w:space="0" w:color="auto"/>
        <w:right w:val="none" w:sz="0" w:space="0" w:color="auto"/>
      </w:divBdr>
    </w:div>
    <w:div w:id="746193553">
      <w:bodyDiv w:val="1"/>
      <w:marLeft w:val="0"/>
      <w:marRight w:val="0"/>
      <w:marTop w:val="0"/>
      <w:marBottom w:val="0"/>
      <w:divBdr>
        <w:top w:val="none" w:sz="0" w:space="0" w:color="auto"/>
        <w:left w:val="none" w:sz="0" w:space="0" w:color="auto"/>
        <w:bottom w:val="none" w:sz="0" w:space="0" w:color="auto"/>
        <w:right w:val="none" w:sz="0" w:space="0" w:color="auto"/>
      </w:divBdr>
    </w:div>
    <w:div w:id="746195614">
      <w:bodyDiv w:val="1"/>
      <w:marLeft w:val="0"/>
      <w:marRight w:val="0"/>
      <w:marTop w:val="0"/>
      <w:marBottom w:val="0"/>
      <w:divBdr>
        <w:top w:val="none" w:sz="0" w:space="0" w:color="auto"/>
        <w:left w:val="none" w:sz="0" w:space="0" w:color="auto"/>
        <w:bottom w:val="none" w:sz="0" w:space="0" w:color="auto"/>
        <w:right w:val="none" w:sz="0" w:space="0" w:color="auto"/>
      </w:divBdr>
    </w:div>
    <w:div w:id="746267437">
      <w:bodyDiv w:val="1"/>
      <w:marLeft w:val="0"/>
      <w:marRight w:val="0"/>
      <w:marTop w:val="0"/>
      <w:marBottom w:val="0"/>
      <w:divBdr>
        <w:top w:val="none" w:sz="0" w:space="0" w:color="auto"/>
        <w:left w:val="none" w:sz="0" w:space="0" w:color="auto"/>
        <w:bottom w:val="none" w:sz="0" w:space="0" w:color="auto"/>
        <w:right w:val="none" w:sz="0" w:space="0" w:color="auto"/>
      </w:divBdr>
    </w:div>
    <w:div w:id="746533319">
      <w:bodyDiv w:val="1"/>
      <w:marLeft w:val="0"/>
      <w:marRight w:val="0"/>
      <w:marTop w:val="0"/>
      <w:marBottom w:val="0"/>
      <w:divBdr>
        <w:top w:val="none" w:sz="0" w:space="0" w:color="auto"/>
        <w:left w:val="none" w:sz="0" w:space="0" w:color="auto"/>
        <w:bottom w:val="none" w:sz="0" w:space="0" w:color="auto"/>
        <w:right w:val="none" w:sz="0" w:space="0" w:color="auto"/>
      </w:divBdr>
    </w:div>
    <w:div w:id="746612753">
      <w:bodyDiv w:val="1"/>
      <w:marLeft w:val="0"/>
      <w:marRight w:val="0"/>
      <w:marTop w:val="0"/>
      <w:marBottom w:val="0"/>
      <w:divBdr>
        <w:top w:val="none" w:sz="0" w:space="0" w:color="auto"/>
        <w:left w:val="none" w:sz="0" w:space="0" w:color="auto"/>
        <w:bottom w:val="none" w:sz="0" w:space="0" w:color="auto"/>
        <w:right w:val="none" w:sz="0" w:space="0" w:color="auto"/>
      </w:divBdr>
    </w:div>
    <w:div w:id="746652428">
      <w:bodyDiv w:val="1"/>
      <w:marLeft w:val="0"/>
      <w:marRight w:val="0"/>
      <w:marTop w:val="0"/>
      <w:marBottom w:val="0"/>
      <w:divBdr>
        <w:top w:val="none" w:sz="0" w:space="0" w:color="auto"/>
        <w:left w:val="none" w:sz="0" w:space="0" w:color="auto"/>
        <w:bottom w:val="none" w:sz="0" w:space="0" w:color="auto"/>
        <w:right w:val="none" w:sz="0" w:space="0" w:color="auto"/>
      </w:divBdr>
    </w:div>
    <w:div w:id="746727275">
      <w:bodyDiv w:val="1"/>
      <w:marLeft w:val="0"/>
      <w:marRight w:val="0"/>
      <w:marTop w:val="0"/>
      <w:marBottom w:val="0"/>
      <w:divBdr>
        <w:top w:val="none" w:sz="0" w:space="0" w:color="auto"/>
        <w:left w:val="none" w:sz="0" w:space="0" w:color="auto"/>
        <w:bottom w:val="none" w:sz="0" w:space="0" w:color="auto"/>
        <w:right w:val="none" w:sz="0" w:space="0" w:color="auto"/>
      </w:divBdr>
    </w:div>
    <w:div w:id="746808485">
      <w:bodyDiv w:val="1"/>
      <w:marLeft w:val="0"/>
      <w:marRight w:val="0"/>
      <w:marTop w:val="0"/>
      <w:marBottom w:val="0"/>
      <w:divBdr>
        <w:top w:val="none" w:sz="0" w:space="0" w:color="auto"/>
        <w:left w:val="none" w:sz="0" w:space="0" w:color="auto"/>
        <w:bottom w:val="none" w:sz="0" w:space="0" w:color="auto"/>
        <w:right w:val="none" w:sz="0" w:space="0" w:color="auto"/>
      </w:divBdr>
    </w:div>
    <w:div w:id="746924753">
      <w:bodyDiv w:val="1"/>
      <w:marLeft w:val="0"/>
      <w:marRight w:val="0"/>
      <w:marTop w:val="0"/>
      <w:marBottom w:val="0"/>
      <w:divBdr>
        <w:top w:val="none" w:sz="0" w:space="0" w:color="auto"/>
        <w:left w:val="none" w:sz="0" w:space="0" w:color="auto"/>
        <w:bottom w:val="none" w:sz="0" w:space="0" w:color="auto"/>
        <w:right w:val="none" w:sz="0" w:space="0" w:color="auto"/>
      </w:divBdr>
    </w:div>
    <w:div w:id="747001712">
      <w:bodyDiv w:val="1"/>
      <w:marLeft w:val="0"/>
      <w:marRight w:val="0"/>
      <w:marTop w:val="0"/>
      <w:marBottom w:val="0"/>
      <w:divBdr>
        <w:top w:val="none" w:sz="0" w:space="0" w:color="auto"/>
        <w:left w:val="none" w:sz="0" w:space="0" w:color="auto"/>
        <w:bottom w:val="none" w:sz="0" w:space="0" w:color="auto"/>
        <w:right w:val="none" w:sz="0" w:space="0" w:color="auto"/>
      </w:divBdr>
    </w:div>
    <w:div w:id="747070016">
      <w:bodyDiv w:val="1"/>
      <w:marLeft w:val="0"/>
      <w:marRight w:val="0"/>
      <w:marTop w:val="0"/>
      <w:marBottom w:val="0"/>
      <w:divBdr>
        <w:top w:val="none" w:sz="0" w:space="0" w:color="auto"/>
        <w:left w:val="none" w:sz="0" w:space="0" w:color="auto"/>
        <w:bottom w:val="none" w:sz="0" w:space="0" w:color="auto"/>
        <w:right w:val="none" w:sz="0" w:space="0" w:color="auto"/>
      </w:divBdr>
    </w:div>
    <w:div w:id="747075140">
      <w:bodyDiv w:val="1"/>
      <w:marLeft w:val="0"/>
      <w:marRight w:val="0"/>
      <w:marTop w:val="0"/>
      <w:marBottom w:val="0"/>
      <w:divBdr>
        <w:top w:val="none" w:sz="0" w:space="0" w:color="auto"/>
        <w:left w:val="none" w:sz="0" w:space="0" w:color="auto"/>
        <w:bottom w:val="none" w:sz="0" w:space="0" w:color="auto"/>
        <w:right w:val="none" w:sz="0" w:space="0" w:color="auto"/>
      </w:divBdr>
    </w:div>
    <w:div w:id="747075184">
      <w:bodyDiv w:val="1"/>
      <w:marLeft w:val="0"/>
      <w:marRight w:val="0"/>
      <w:marTop w:val="0"/>
      <w:marBottom w:val="0"/>
      <w:divBdr>
        <w:top w:val="none" w:sz="0" w:space="0" w:color="auto"/>
        <w:left w:val="none" w:sz="0" w:space="0" w:color="auto"/>
        <w:bottom w:val="none" w:sz="0" w:space="0" w:color="auto"/>
        <w:right w:val="none" w:sz="0" w:space="0" w:color="auto"/>
      </w:divBdr>
    </w:div>
    <w:div w:id="747117102">
      <w:bodyDiv w:val="1"/>
      <w:marLeft w:val="0"/>
      <w:marRight w:val="0"/>
      <w:marTop w:val="0"/>
      <w:marBottom w:val="0"/>
      <w:divBdr>
        <w:top w:val="none" w:sz="0" w:space="0" w:color="auto"/>
        <w:left w:val="none" w:sz="0" w:space="0" w:color="auto"/>
        <w:bottom w:val="none" w:sz="0" w:space="0" w:color="auto"/>
        <w:right w:val="none" w:sz="0" w:space="0" w:color="auto"/>
      </w:divBdr>
    </w:div>
    <w:div w:id="747119387">
      <w:bodyDiv w:val="1"/>
      <w:marLeft w:val="0"/>
      <w:marRight w:val="0"/>
      <w:marTop w:val="0"/>
      <w:marBottom w:val="0"/>
      <w:divBdr>
        <w:top w:val="none" w:sz="0" w:space="0" w:color="auto"/>
        <w:left w:val="none" w:sz="0" w:space="0" w:color="auto"/>
        <w:bottom w:val="none" w:sz="0" w:space="0" w:color="auto"/>
        <w:right w:val="none" w:sz="0" w:space="0" w:color="auto"/>
      </w:divBdr>
    </w:div>
    <w:div w:id="747120037">
      <w:bodyDiv w:val="1"/>
      <w:marLeft w:val="0"/>
      <w:marRight w:val="0"/>
      <w:marTop w:val="0"/>
      <w:marBottom w:val="0"/>
      <w:divBdr>
        <w:top w:val="none" w:sz="0" w:space="0" w:color="auto"/>
        <w:left w:val="none" w:sz="0" w:space="0" w:color="auto"/>
        <w:bottom w:val="none" w:sz="0" w:space="0" w:color="auto"/>
        <w:right w:val="none" w:sz="0" w:space="0" w:color="auto"/>
      </w:divBdr>
    </w:div>
    <w:div w:id="747187292">
      <w:bodyDiv w:val="1"/>
      <w:marLeft w:val="0"/>
      <w:marRight w:val="0"/>
      <w:marTop w:val="0"/>
      <w:marBottom w:val="0"/>
      <w:divBdr>
        <w:top w:val="none" w:sz="0" w:space="0" w:color="auto"/>
        <w:left w:val="none" w:sz="0" w:space="0" w:color="auto"/>
        <w:bottom w:val="none" w:sz="0" w:space="0" w:color="auto"/>
        <w:right w:val="none" w:sz="0" w:space="0" w:color="auto"/>
      </w:divBdr>
    </w:div>
    <w:div w:id="747193054">
      <w:bodyDiv w:val="1"/>
      <w:marLeft w:val="0"/>
      <w:marRight w:val="0"/>
      <w:marTop w:val="0"/>
      <w:marBottom w:val="0"/>
      <w:divBdr>
        <w:top w:val="none" w:sz="0" w:space="0" w:color="auto"/>
        <w:left w:val="none" w:sz="0" w:space="0" w:color="auto"/>
        <w:bottom w:val="none" w:sz="0" w:space="0" w:color="auto"/>
        <w:right w:val="none" w:sz="0" w:space="0" w:color="auto"/>
      </w:divBdr>
    </w:div>
    <w:div w:id="747265156">
      <w:bodyDiv w:val="1"/>
      <w:marLeft w:val="0"/>
      <w:marRight w:val="0"/>
      <w:marTop w:val="0"/>
      <w:marBottom w:val="0"/>
      <w:divBdr>
        <w:top w:val="none" w:sz="0" w:space="0" w:color="auto"/>
        <w:left w:val="none" w:sz="0" w:space="0" w:color="auto"/>
        <w:bottom w:val="none" w:sz="0" w:space="0" w:color="auto"/>
        <w:right w:val="none" w:sz="0" w:space="0" w:color="auto"/>
      </w:divBdr>
    </w:div>
    <w:div w:id="747269273">
      <w:bodyDiv w:val="1"/>
      <w:marLeft w:val="0"/>
      <w:marRight w:val="0"/>
      <w:marTop w:val="0"/>
      <w:marBottom w:val="0"/>
      <w:divBdr>
        <w:top w:val="none" w:sz="0" w:space="0" w:color="auto"/>
        <w:left w:val="none" w:sz="0" w:space="0" w:color="auto"/>
        <w:bottom w:val="none" w:sz="0" w:space="0" w:color="auto"/>
        <w:right w:val="none" w:sz="0" w:space="0" w:color="auto"/>
      </w:divBdr>
    </w:div>
    <w:div w:id="747457514">
      <w:bodyDiv w:val="1"/>
      <w:marLeft w:val="0"/>
      <w:marRight w:val="0"/>
      <w:marTop w:val="0"/>
      <w:marBottom w:val="0"/>
      <w:divBdr>
        <w:top w:val="none" w:sz="0" w:space="0" w:color="auto"/>
        <w:left w:val="none" w:sz="0" w:space="0" w:color="auto"/>
        <w:bottom w:val="none" w:sz="0" w:space="0" w:color="auto"/>
        <w:right w:val="none" w:sz="0" w:space="0" w:color="auto"/>
      </w:divBdr>
    </w:div>
    <w:div w:id="747577938">
      <w:bodyDiv w:val="1"/>
      <w:marLeft w:val="0"/>
      <w:marRight w:val="0"/>
      <w:marTop w:val="0"/>
      <w:marBottom w:val="0"/>
      <w:divBdr>
        <w:top w:val="none" w:sz="0" w:space="0" w:color="auto"/>
        <w:left w:val="none" w:sz="0" w:space="0" w:color="auto"/>
        <w:bottom w:val="none" w:sz="0" w:space="0" w:color="auto"/>
        <w:right w:val="none" w:sz="0" w:space="0" w:color="auto"/>
      </w:divBdr>
    </w:div>
    <w:div w:id="747655314">
      <w:bodyDiv w:val="1"/>
      <w:marLeft w:val="0"/>
      <w:marRight w:val="0"/>
      <w:marTop w:val="0"/>
      <w:marBottom w:val="0"/>
      <w:divBdr>
        <w:top w:val="none" w:sz="0" w:space="0" w:color="auto"/>
        <w:left w:val="none" w:sz="0" w:space="0" w:color="auto"/>
        <w:bottom w:val="none" w:sz="0" w:space="0" w:color="auto"/>
        <w:right w:val="none" w:sz="0" w:space="0" w:color="auto"/>
      </w:divBdr>
    </w:div>
    <w:div w:id="747701464">
      <w:bodyDiv w:val="1"/>
      <w:marLeft w:val="0"/>
      <w:marRight w:val="0"/>
      <w:marTop w:val="0"/>
      <w:marBottom w:val="0"/>
      <w:divBdr>
        <w:top w:val="none" w:sz="0" w:space="0" w:color="auto"/>
        <w:left w:val="none" w:sz="0" w:space="0" w:color="auto"/>
        <w:bottom w:val="none" w:sz="0" w:space="0" w:color="auto"/>
        <w:right w:val="none" w:sz="0" w:space="0" w:color="auto"/>
      </w:divBdr>
    </w:div>
    <w:div w:id="747774380">
      <w:bodyDiv w:val="1"/>
      <w:marLeft w:val="0"/>
      <w:marRight w:val="0"/>
      <w:marTop w:val="0"/>
      <w:marBottom w:val="0"/>
      <w:divBdr>
        <w:top w:val="none" w:sz="0" w:space="0" w:color="auto"/>
        <w:left w:val="none" w:sz="0" w:space="0" w:color="auto"/>
        <w:bottom w:val="none" w:sz="0" w:space="0" w:color="auto"/>
        <w:right w:val="none" w:sz="0" w:space="0" w:color="auto"/>
      </w:divBdr>
    </w:div>
    <w:div w:id="747776942">
      <w:bodyDiv w:val="1"/>
      <w:marLeft w:val="0"/>
      <w:marRight w:val="0"/>
      <w:marTop w:val="0"/>
      <w:marBottom w:val="0"/>
      <w:divBdr>
        <w:top w:val="none" w:sz="0" w:space="0" w:color="auto"/>
        <w:left w:val="none" w:sz="0" w:space="0" w:color="auto"/>
        <w:bottom w:val="none" w:sz="0" w:space="0" w:color="auto"/>
        <w:right w:val="none" w:sz="0" w:space="0" w:color="auto"/>
      </w:divBdr>
    </w:div>
    <w:div w:id="747918268">
      <w:bodyDiv w:val="1"/>
      <w:marLeft w:val="0"/>
      <w:marRight w:val="0"/>
      <w:marTop w:val="0"/>
      <w:marBottom w:val="0"/>
      <w:divBdr>
        <w:top w:val="none" w:sz="0" w:space="0" w:color="auto"/>
        <w:left w:val="none" w:sz="0" w:space="0" w:color="auto"/>
        <w:bottom w:val="none" w:sz="0" w:space="0" w:color="auto"/>
        <w:right w:val="none" w:sz="0" w:space="0" w:color="auto"/>
      </w:divBdr>
    </w:div>
    <w:div w:id="748314060">
      <w:bodyDiv w:val="1"/>
      <w:marLeft w:val="0"/>
      <w:marRight w:val="0"/>
      <w:marTop w:val="0"/>
      <w:marBottom w:val="0"/>
      <w:divBdr>
        <w:top w:val="none" w:sz="0" w:space="0" w:color="auto"/>
        <w:left w:val="none" w:sz="0" w:space="0" w:color="auto"/>
        <w:bottom w:val="none" w:sz="0" w:space="0" w:color="auto"/>
        <w:right w:val="none" w:sz="0" w:space="0" w:color="auto"/>
      </w:divBdr>
    </w:div>
    <w:div w:id="748382968">
      <w:bodyDiv w:val="1"/>
      <w:marLeft w:val="0"/>
      <w:marRight w:val="0"/>
      <w:marTop w:val="0"/>
      <w:marBottom w:val="0"/>
      <w:divBdr>
        <w:top w:val="none" w:sz="0" w:space="0" w:color="auto"/>
        <w:left w:val="none" w:sz="0" w:space="0" w:color="auto"/>
        <w:bottom w:val="none" w:sz="0" w:space="0" w:color="auto"/>
        <w:right w:val="none" w:sz="0" w:space="0" w:color="auto"/>
      </w:divBdr>
    </w:div>
    <w:div w:id="748384072">
      <w:bodyDiv w:val="1"/>
      <w:marLeft w:val="0"/>
      <w:marRight w:val="0"/>
      <w:marTop w:val="0"/>
      <w:marBottom w:val="0"/>
      <w:divBdr>
        <w:top w:val="none" w:sz="0" w:space="0" w:color="auto"/>
        <w:left w:val="none" w:sz="0" w:space="0" w:color="auto"/>
        <w:bottom w:val="none" w:sz="0" w:space="0" w:color="auto"/>
        <w:right w:val="none" w:sz="0" w:space="0" w:color="auto"/>
      </w:divBdr>
    </w:div>
    <w:div w:id="748388069">
      <w:bodyDiv w:val="1"/>
      <w:marLeft w:val="0"/>
      <w:marRight w:val="0"/>
      <w:marTop w:val="0"/>
      <w:marBottom w:val="0"/>
      <w:divBdr>
        <w:top w:val="none" w:sz="0" w:space="0" w:color="auto"/>
        <w:left w:val="none" w:sz="0" w:space="0" w:color="auto"/>
        <w:bottom w:val="none" w:sz="0" w:space="0" w:color="auto"/>
        <w:right w:val="none" w:sz="0" w:space="0" w:color="auto"/>
      </w:divBdr>
    </w:div>
    <w:div w:id="748429979">
      <w:bodyDiv w:val="1"/>
      <w:marLeft w:val="0"/>
      <w:marRight w:val="0"/>
      <w:marTop w:val="0"/>
      <w:marBottom w:val="0"/>
      <w:divBdr>
        <w:top w:val="none" w:sz="0" w:space="0" w:color="auto"/>
        <w:left w:val="none" w:sz="0" w:space="0" w:color="auto"/>
        <w:bottom w:val="none" w:sz="0" w:space="0" w:color="auto"/>
        <w:right w:val="none" w:sz="0" w:space="0" w:color="auto"/>
      </w:divBdr>
    </w:div>
    <w:div w:id="748575399">
      <w:bodyDiv w:val="1"/>
      <w:marLeft w:val="0"/>
      <w:marRight w:val="0"/>
      <w:marTop w:val="0"/>
      <w:marBottom w:val="0"/>
      <w:divBdr>
        <w:top w:val="none" w:sz="0" w:space="0" w:color="auto"/>
        <w:left w:val="none" w:sz="0" w:space="0" w:color="auto"/>
        <w:bottom w:val="none" w:sz="0" w:space="0" w:color="auto"/>
        <w:right w:val="none" w:sz="0" w:space="0" w:color="auto"/>
      </w:divBdr>
    </w:div>
    <w:div w:id="748650185">
      <w:bodyDiv w:val="1"/>
      <w:marLeft w:val="0"/>
      <w:marRight w:val="0"/>
      <w:marTop w:val="0"/>
      <w:marBottom w:val="0"/>
      <w:divBdr>
        <w:top w:val="none" w:sz="0" w:space="0" w:color="auto"/>
        <w:left w:val="none" w:sz="0" w:space="0" w:color="auto"/>
        <w:bottom w:val="none" w:sz="0" w:space="0" w:color="auto"/>
        <w:right w:val="none" w:sz="0" w:space="0" w:color="auto"/>
      </w:divBdr>
    </w:div>
    <w:div w:id="748691908">
      <w:bodyDiv w:val="1"/>
      <w:marLeft w:val="0"/>
      <w:marRight w:val="0"/>
      <w:marTop w:val="0"/>
      <w:marBottom w:val="0"/>
      <w:divBdr>
        <w:top w:val="none" w:sz="0" w:space="0" w:color="auto"/>
        <w:left w:val="none" w:sz="0" w:space="0" w:color="auto"/>
        <w:bottom w:val="none" w:sz="0" w:space="0" w:color="auto"/>
        <w:right w:val="none" w:sz="0" w:space="0" w:color="auto"/>
      </w:divBdr>
    </w:div>
    <w:div w:id="748692980">
      <w:bodyDiv w:val="1"/>
      <w:marLeft w:val="0"/>
      <w:marRight w:val="0"/>
      <w:marTop w:val="0"/>
      <w:marBottom w:val="0"/>
      <w:divBdr>
        <w:top w:val="none" w:sz="0" w:space="0" w:color="auto"/>
        <w:left w:val="none" w:sz="0" w:space="0" w:color="auto"/>
        <w:bottom w:val="none" w:sz="0" w:space="0" w:color="auto"/>
        <w:right w:val="none" w:sz="0" w:space="0" w:color="auto"/>
      </w:divBdr>
    </w:div>
    <w:div w:id="748696241">
      <w:bodyDiv w:val="1"/>
      <w:marLeft w:val="0"/>
      <w:marRight w:val="0"/>
      <w:marTop w:val="0"/>
      <w:marBottom w:val="0"/>
      <w:divBdr>
        <w:top w:val="none" w:sz="0" w:space="0" w:color="auto"/>
        <w:left w:val="none" w:sz="0" w:space="0" w:color="auto"/>
        <w:bottom w:val="none" w:sz="0" w:space="0" w:color="auto"/>
        <w:right w:val="none" w:sz="0" w:space="0" w:color="auto"/>
      </w:divBdr>
    </w:div>
    <w:div w:id="748886238">
      <w:bodyDiv w:val="1"/>
      <w:marLeft w:val="0"/>
      <w:marRight w:val="0"/>
      <w:marTop w:val="0"/>
      <w:marBottom w:val="0"/>
      <w:divBdr>
        <w:top w:val="none" w:sz="0" w:space="0" w:color="auto"/>
        <w:left w:val="none" w:sz="0" w:space="0" w:color="auto"/>
        <w:bottom w:val="none" w:sz="0" w:space="0" w:color="auto"/>
        <w:right w:val="none" w:sz="0" w:space="0" w:color="auto"/>
      </w:divBdr>
    </w:div>
    <w:div w:id="748889724">
      <w:bodyDiv w:val="1"/>
      <w:marLeft w:val="0"/>
      <w:marRight w:val="0"/>
      <w:marTop w:val="0"/>
      <w:marBottom w:val="0"/>
      <w:divBdr>
        <w:top w:val="none" w:sz="0" w:space="0" w:color="auto"/>
        <w:left w:val="none" w:sz="0" w:space="0" w:color="auto"/>
        <w:bottom w:val="none" w:sz="0" w:space="0" w:color="auto"/>
        <w:right w:val="none" w:sz="0" w:space="0" w:color="auto"/>
      </w:divBdr>
    </w:div>
    <w:div w:id="749037618">
      <w:bodyDiv w:val="1"/>
      <w:marLeft w:val="0"/>
      <w:marRight w:val="0"/>
      <w:marTop w:val="0"/>
      <w:marBottom w:val="0"/>
      <w:divBdr>
        <w:top w:val="none" w:sz="0" w:space="0" w:color="auto"/>
        <w:left w:val="none" w:sz="0" w:space="0" w:color="auto"/>
        <w:bottom w:val="none" w:sz="0" w:space="0" w:color="auto"/>
        <w:right w:val="none" w:sz="0" w:space="0" w:color="auto"/>
      </w:divBdr>
    </w:div>
    <w:div w:id="749040516">
      <w:bodyDiv w:val="1"/>
      <w:marLeft w:val="0"/>
      <w:marRight w:val="0"/>
      <w:marTop w:val="0"/>
      <w:marBottom w:val="0"/>
      <w:divBdr>
        <w:top w:val="none" w:sz="0" w:space="0" w:color="auto"/>
        <w:left w:val="none" w:sz="0" w:space="0" w:color="auto"/>
        <w:bottom w:val="none" w:sz="0" w:space="0" w:color="auto"/>
        <w:right w:val="none" w:sz="0" w:space="0" w:color="auto"/>
      </w:divBdr>
    </w:div>
    <w:div w:id="749156494">
      <w:bodyDiv w:val="1"/>
      <w:marLeft w:val="0"/>
      <w:marRight w:val="0"/>
      <w:marTop w:val="0"/>
      <w:marBottom w:val="0"/>
      <w:divBdr>
        <w:top w:val="none" w:sz="0" w:space="0" w:color="auto"/>
        <w:left w:val="none" w:sz="0" w:space="0" w:color="auto"/>
        <w:bottom w:val="none" w:sz="0" w:space="0" w:color="auto"/>
        <w:right w:val="none" w:sz="0" w:space="0" w:color="auto"/>
      </w:divBdr>
    </w:div>
    <w:div w:id="749160580">
      <w:bodyDiv w:val="1"/>
      <w:marLeft w:val="0"/>
      <w:marRight w:val="0"/>
      <w:marTop w:val="0"/>
      <w:marBottom w:val="0"/>
      <w:divBdr>
        <w:top w:val="none" w:sz="0" w:space="0" w:color="auto"/>
        <w:left w:val="none" w:sz="0" w:space="0" w:color="auto"/>
        <w:bottom w:val="none" w:sz="0" w:space="0" w:color="auto"/>
        <w:right w:val="none" w:sz="0" w:space="0" w:color="auto"/>
      </w:divBdr>
    </w:div>
    <w:div w:id="749228464">
      <w:bodyDiv w:val="1"/>
      <w:marLeft w:val="0"/>
      <w:marRight w:val="0"/>
      <w:marTop w:val="0"/>
      <w:marBottom w:val="0"/>
      <w:divBdr>
        <w:top w:val="none" w:sz="0" w:space="0" w:color="auto"/>
        <w:left w:val="none" w:sz="0" w:space="0" w:color="auto"/>
        <w:bottom w:val="none" w:sz="0" w:space="0" w:color="auto"/>
        <w:right w:val="none" w:sz="0" w:space="0" w:color="auto"/>
      </w:divBdr>
    </w:div>
    <w:div w:id="749232539">
      <w:bodyDiv w:val="1"/>
      <w:marLeft w:val="0"/>
      <w:marRight w:val="0"/>
      <w:marTop w:val="0"/>
      <w:marBottom w:val="0"/>
      <w:divBdr>
        <w:top w:val="none" w:sz="0" w:space="0" w:color="auto"/>
        <w:left w:val="none" w:sz="0" w:space="0" w:color="auto"/>
        <w:bottom w:val="none" w:sz="0" w:space="0" w:color="auto"/>
        <w:right w:val="none" w:sz="0" w:space="0" w:color="auto"/>
      </w:divBdr>
    </w:div>
    <w:div w:id="749233724">
      <w:bodyDiv w:val="1"/>
      <w:marLeft w:val="0"/>
      <w:marRight w:val="0"/>
      <w:marTop w:val="0"/>
      <w:marBottom w:val="0"/>
      <w:divBdr>
        <w:top w:val="none" w:sz="0" w:space="0" w:color="auto"/>
        <w:left w:val="none" w:sz="0" w:space="0" w:color="auto"/>
        <w:bottom w:val="none" w:sz="0" w:space="0" w:color="auto"/>
        <w:right w:val="none" w:sz="0" w:space="0" w:color="auto"/>
      </w:divBdr>
    </w:div>
    <w:div w:id="749500300">
      <w:bodyDiv w:val="1"/>
      <w:marLeft w:val="0"/>
      <w:marRight w:val="0"/>
      <w:marTop w:val="0"/>
      <w:marBottom w:val="0"/>
      <w:divBdr>
        <w:top w:val="none" w:sz="0" w:space="0" w:color="auto"/>
        <w:left w:val="none" w:sz="0" w:space="0" w:color="auto"/>
        <w:bottom w:val="none" w:sz="0" w:space="0" w:color="auto"/>
        <w:right w:val="none" w:sz="0" w:space="0" w:color="auto"/>
      </w:divBdr>
    </w:div>
    <w:div w:id="749546441">
      <w:bodyDiv w:val="1"/>
      <w:marLeft w:val="0"/>
      <w:marRight w:val="0"/>
      <w:marTop w:val="0"/>
      <w:marBottom w:val="0"/>
      <w:divBdr>
        <w:top w:val="none" w:sz="0" w:space="0" w:color="auto"/>
        <w:left w:val="none" w:sz="0" w:space="0" w:color="auto"/>
        <w:bottom w:val="none" w:sz="0" w:space="0" w:color="auto"/>
        <w:right w:val="none" w:sz="0" w:space="0" w:color="auto"/>
      </w:divBdr>
    </w:div>
    <w:div w:id="749739740">
      <w:bodyDiv w:val="1"/>
      <w:marLeft w:val="0"/>
      <w:marRight w:val="0"/>
      <w:marTop w:val="0"/>
      <w:marBottom w:val="0"/>
      <w:divBdr>
        <w:top w:val="none" w:sz="0" w:space="0" w:color="auto"/>
        <w:left w:val="none" w:sz="0" w:space="0" w:color="auto"/>
        <w:bottom w:val="none" w:sz="0" w:space="0" w:color="auto"/>
        <w:right w:val="none" w:sz="0" w:space="0" w:color="auto"/>
      </w:divBdr>
    </w:div>
    <w:div w:id="749741017">
      <w:bodyDiv w:val="1"/>
      <w:marLeft w:val="0"/>
      <w:marRight w:val="0"/>
      <w:marTop w:val="0"/>
      <w:marBottom w:val="0"/>
      <w:divBdr>
        <w:top w:val="none" w:sz="0" w:space="0" w:color="auto"/>
        <w:left w:val="none" w:sz="0" w:space="0" w:color="auto"/>
        <w:bottom w:val="none" w:sz="0" w:space="0" w:color="auto"/>
        <w:right w:val="none" w:sz="0" w:space="0" w:color="auto"/>
      </w:divBdr>
    </w:div>
    <w:div w:id="749741291">
      <w:bodyDiv w:val="1"/>
      <w:marLeft w:val="0"/>
      <w:marRight w:val="0"/>
      <w:marTop w:val="0"/>
      <w:marBottom w:val="0"/>
      <w:divBdr>
        <w:top w:val="none" w:sz="0" w:space="0" w:color="auto"/>
        <w:left w:val="none" w:sz="0" w:space="0" w:color="auto"/>
        <w:bottom w:val="none" w:sz="0" w:space="0" w:color="auto"/>
        <w:right w:val="none" w:sz="0" w:space="0" w:color="auto"/>
      </w:divBdr>
    </w:div>
    <w:div w:id="749814630">
      <w:bodyDiv w:val="1"/>
      <w:marLeft w:val="0"/>
      <w:marRight w:val="0"/>
      <w:marTop w:val="0"/>
      <w:marBottom w:val="0"/>
      <w:divBdr>
        <w:top w:val="none" w:sz="0" w:space="0" w:color="auto"/>
        <w:left w:val="none" w:sz="0" w:space="0" w:color="auto"/>
        <w:bottom w:val="none" w:sz="0" w:space="0" w:color="auto"/>
        <w:right w:val="none" w:sz="0" w:space="0" w:color="auto"/>
      </w:divBdr>
    </w:div>
    <w:div w:id="749816942">
      <w:bodyDiv w:val="1"/>
      <w:marLeft w:val="0"/>
      <w:marRight w:val="0"/>
      <w:marTop w:val="0"/>
      <w:marBottom w:val="0"/>
      <w:divBdr>
        <w:top w:val="none" w:sz="0" w:space="0" w:color="auto"/>
        <w:left w:val="none" w:sz="0" w:space="0" w:color="auto"/>
        <w:bottom w:val="none" w:sz="0" w:space="0" w:color="auto"/>
        <w:right w:val="none" w:sz="0" w:space="0" w:color="auto"/>
      </w:divBdr>
    </w:div>
    <w:div w:id="749888447">
      <w:bodyDiv w:val="1"/>
      <w:marLeft w:val="0"/>
      <w:marRight w:val="0"/>
      <w:marTop w:val="0"/>
      <w:marBottom w:val="0"/>
      <w:divBdr>
        <w:top w:val="none" w:sz="0" w:space="0" w:color="auto"/>
        <w:left w:val="none" w:sz="0" w:space="0" w:color="auto"/>
        <w:bottom w:val="none" w:sz="0" w:space="0" w:color="auto"/>
        <w:right w:val="none" w:sz="0" w:space="0" w:color="auto"/>
      </w:divBdr>
    </w:div>
    <w:div w:id="750086695">
      <w:bodyDiv w:val="1"/>
      <w:marLeft w:val="0"/>
      <w:marRight w:val="0"/>
      <w:marTop w:val="0"/>
      <w:marBottom w:val="0"/>
      <w:divBdr>
        <w:top w:val="none" w:sz="0" w:space="0" w:color="auto"/>
        <w:left w:val="none" w:sz="0" w:space="0" w:color="auto"/>
        <w:bottom w:val="none" w:sz="0" w:space="0" w:color="auto"/>
        <w:right w:val="none" w:sz="0" w:space="0" w:color="auto"/>
      </w:divBdr>
    </w:div>
    <w:div w:id="750125981">
      <w:bodyDiv w:val="1"/>
      <w:marLeft w:val="0"/>
      <w:marRight w:val="0"/>
      <w:marTop w:val="0"/>
      <w:marBottom w:val="0"/>
      <w:divBdr>
        <w:top w:val="none" w:sz="0" w:space="0" w:color="auto"/>
        <w:left w:val="none" w:sz="0" w:space="0" w:color="auto"/>
        <w:bottom w:val="none" w:sz="0" w:space="0" w:color="auto"/>
        <w:right w:val="none" w:sz="0" w:space="0" w:color="auto"/>
      </w:divBdr>
    </w:div>
    <w:div w:id="750155968">
      <w:bodyDiv w:val="1"/>
      <w:marLeft w:val="0"/>
      <w:marRight w:val="0"/>
      <w:marTop w:val="0"/>
      <w:marBottom w:val="0"/>
      <w:divBdr>
        <w:top w:val="none" w:sz="0" w:space="0" w:color="auto"/>
        <w:left w:val="none" w:sz="0" w:space="0" w:color="auto"/>
        <w:bottom w:val="none" w:sz="0" w:space="0" w:color="auto"/>
        <w:right w:val="none" w:sz="0" w:space="0" w:color="auto"/>
      </w:divBdr>
    </w:div>
    <w:div w:id="750200607">
      <w:bodyDiv w:val="1"/>
      <w:marLeft w:val="0"/>
      <w:marRight w:val="0"/>
      <w:marTop w:val="0"/>
      <w:marBottom w:val="0"/>
      <w:divBdr>
        <w:top w:val="none" w:sz="0" w:space="0" w:color="auto"/>
        <w:left w:val="none" w:sz="0" w:space="0" w:color="auto"/>
        <w:bottom w:val="none" w:sz="0" w:space="0" w:color="auto"/>
        <w:right w:val="none" w:sz="0" w:space="0" w:color="auto"/>
      </w:divBdr>
    </w:div>
    <w:div w:id="750275870">
      <w:bodyDiv w:val="1"/>
      <w:marLeft w:val="0"/>
      <w:marRight w:val="0"/>
      <w:marTop w:val="0"/>
      <w:marBottom w:val="0"/>
      <w:divBdr>
        <w:top w:val="none" w:sz="0" w:space="0" w:color="auto"/>
        <w:left w:val="none" w:sz="0" w:space="0" w:color="auto"/>
        <w:bottom w:val="none" w:sz="0" w:space="0" w:color="auto"/>
        <w:right w:val="none" w:sz="0" w:space="0" w:color="auto"/>
      </w:divBdr>
    </w:div>
    <w:div w:id="750276425">
      <w:bodyDiv w:val="1"/>
      <w:marLeft w:val="0"/>
      <w:marRight w:val="0"/>
      <w:marTop w:val="0"/>
      <w:marBottom w:val="0"/>
      <w:divBdr>
        <w:top w:val="none" w:sz="0" w:space="0" w:color="auto"/>
        <w:left w:val="none" w:sz="0" w:space="0" w:color="auto"/>
        <w:bottom w:val="none" w:sz="0" w:space="0" w:color="auto"/>
        <w:right w:val="none" w:sz="0" w:space="0" w:color="auto"/>
      </w:divBdr>
    </w:div>
    <w:div w:id="750350773">
      <w:bodyDiv w:val="1"/>
      <w:marLeft w:val="0"/>
      <w:marRight w:val="0"/>
      <w:marTop w:val="0"/>
      <w:marBottom w:val="0"/>
      <w:divBdr>
        <w:top w:val="none" w:sz="0" w:space="0" w:color="auto"/>
        <w:left w:val="none" w:sz="0" w:space="0" w:color="auto"/>
        <w:bottom w:val="none" w:sz="0" w:space="0" w:color="auto"/>
        <w:right w:val="none" w:sz="0" w:space="0" w:color="auto"/>
      </w:divBdr>
    </w:div>
    <w:div w:id="750353035">
      <w:bodyDiv w:val="1"/>
      <w:marLeft w:val="0"/>
      <w:marRight w:val="0"/>
      <w:marTop w:val="0"/>
      <w:marBottom w:val="0"/>
      <w:divBdr>
        <w:top w:val="none" w:sz="0" w:space="0" w:color="auto"/>
        <w:left w:val="none" w:sz="0" w:space="0" w:color="auto"/>
        <w:bottom w:val="none" w:sz="0" w:space="0" w:color="auto"/>
        <w:right w:val="none" w:sz="0" w:space="0" w:color="auto"/>
      </w:divBdr>
    </w:div>
    <w:div w:id="750390910">
      <w:bodyDiv w:val="1"/>
      <w:marLeft w:val="0"/>
      <w:marRight w:val="0"/>
      <w:marTop w:val="0"/>
      <w:marBottom w:val="0"/>
      <w:divBdr>
        <w:top w:val="none" w:sz="0" w:space="0" w:color="auto"/>
        <w:left w:val="none" w:sz="0" w:space="0" w:color="auto"/>
        <w:bottom w:val="none" w:sz="0" w:space="0" w:color="auto"/>
        <w:right w:val="none" w:sz="0" w:space="0" w:color="auto"/>
      </w:divBdr>
    </w:div>
    <w:div w:id="750396174">
      <w:bodyDiv w:val="1"/>
      <w:marLeft w:val="0"/>
      <w:marRight w:val="0"/>
      <w:marTop w:val="0"/>
      <w:marBottom w:val="0"/>
      <w:divBdr>
        <w:top w:val="none" w:sz="0" w:space="0" w:color="auto"/>
        <w:left w:val="none" w:sz="0" w:space="0" w:color="auto"/>
        <w:bottom w:val="none" w:sz="0" w:space="0" w:color="auto"/>
        <w:right w:val="none" w:sz="0" w:space="0" w:color="auto"/>
      </w:divBdr>
    </w:div>
    <w:div w:id="750590080">
      <w:bodyDiv w:val="1"/>
      <w:marLeft w:val="0"/>
      <w:marRight w:val="0"/>
      <w:marTop w:val="0"/>
      <w:marBottom w:val="0"/>
      <w:divBdr>
        <w:top w:val="none" w:sz="0" w:space="0" w:color="auto"/>
        <w:left w:val="none" w:sz="0" w:space="0" w:color="auto"/>
        <w:bottom w:val="none" w:sz="0" w:space="0" w:color="auto"/>
        <w:right w:val="none" w:sz="0" w:space="0" w:color="auto"/>
      </w:divBdr>
    </w:div>
    <w:div w:id="751006791">
      <w:bodyDiv w:val="1"/>
      <w:marLeft w:val="0"/>
      <w:marRight w:val="0"/>
      <w:marTop w:val="0"/>
      <w:marBottom w:val="0"/>
      <w:divBdr>
        <w:top w:val="none" w:sz="0" w:space="0" w:color="auto"/>
        <w:left w:val="none" w:sz="0" w:space="0" w:color="auto"/>
        <w:bottom w:val="none" w:sz="0" w:space="0" w:color="auto"/>
        <w:right w:val="none" w:sz="0" w:space="0" w:color="auto"/>
      </w:divBdr>
    </w:div>
    <w:div w:id="751044928">
      <w:bodyDiv w:val="1"/>
      <w:marLeft w:val="0"/>
      <w:marRight w:val="0"/>
      <w:marTop w:val="0"/>
      <w:marBottom w:val="0"/>
      <w:divBdr>
        <w:top w:val="none" w:sz="0" w:space="0" w:color="auto"/>
        <w:left w:val="none" w:sz="0" w:space="0" w:color="auto"/>
        <w:bottom w:val="none" w:sz="0" w:space="0" w:color="auto"/>
        <w:right w:val="none" w:sz="0" w:space="0" w:color="auto"/>
      </w:divBdr>
    </w:div>
    <w:div w:id="751125722">
      <w:bodyDiv w:val="1"/>
      <w:marLeft w:val="0"/>
      <w:marRight w:val="0"/>
      <w:marTop w:val="0"/>
      <w:marBottom w:val="0"/>
      <w:divBdr>
        <w:top w:val="none" w:sz="0" w:space="0" w:color="auto"/>
        <w:left w:val="none" w:sz="0" w:space="0" w:color="auto"/>
        <w:bottom w:val="none" w:sz="0" w:space="0" w:color="auto"/>
        <w:right w:val="none" w:sz="0" w:space="0" w:color="auto"/>
      </w:divBdr>
    </w:div>
    <w:div w:id="751313611">
      <w:bodyDiv w:val="1"/>
      <w:marLeft w:val="0"/>
      <w:marRight w:val="0"/>
      <w:marTop w:val="0"/>
      <w:marBottom w:val="0"/>
      <w:divBdr>
        <w:top w:val="none" w:sz="0" w:space="0" w:color="auto"/>
        <w:left w:val="none" w:sz="0" w:space="0" w:color="auto"/>
        <w:bottom w:val="none" w:sz="0" w:space="0" w:color="auto"/>
        <w:right w:val="none" w:sz="0" w:space="0" w:color="auto"/>
      </w:divBdr>
    </w:div>
    <w:div w:id="751388772">
      <w:bodyDiv w:val="1"/>
      <w:marLeft w:val="0"/>
      <w:marRight w:val="0"/>
      <w:marTop w:val="0"/>
      <w:marBottom w:val="0"/>
      <w:divBdr>
        <w:top w:val="none" w:sz="0" w:space="0" w:color="auto"/>
        <w:left w:val="none" w:sz="0" w:space="0" w:color="auto"/>
        <w:bottom w:val="none" w:sz="0" w:space="0" w:color="auto"/>
        <w:right w:val="none" w:sz="0" w:space="0" w:color="auto"/>
      </w:divBdr>
    </w:div>
    <w:div w:id="751464786">
      <w:bodyDiv w:val="1"/>
      <w:marLeft w:val="0"/>
      <w:marRight w:val="0"/>
      <w:marTop w:val="0"/>
      <w:marBottom w:val="0"/>
      <w:divBdr>
        <w:top w:val="none" w:sz="0" w:space="0" w:color="auto"/>
        <w:left w:val="none" w:sz="0" w:space="0" w:color="auto"/>
        <w:bottom w:val="none" w:sz="0" w:space="0" w:color="auto"/>
        <w:right w:val="none" w:sz="0" w:space="0" w:color="auto"/>
      </w:divBdr>
    </w:div>
    <w:div w:id="751507527">
      <w:bodyDiv w:val="1"/>
      <w:marLeft w:val="0"/>
      <w:marRight w:val="0"/>
      <w:marTop w:val="0"/>
      <w:marBottom w:val="0"/>
      <w:divBdr>
        <w:top w:val="none" w:sz="0" w:space="0" w:color="auto"/>
        <w:left w:val="none" w:sz="0" w:space="0" w:color="auto"/>
        <w:bottom w:val="none" w:sz="0" w:space="0" w:color="auto"/>
        <w:right w:val="none" w:sz="0" w:space="0" w:color="auto"/>
      </w:divBdr>
    </w:div>
    <w:div w:id="751582304">
      <w:bodyDiv w:val="1"/>
      <w:marLeft w:val="0"/>
      <w:marRight w:val="0"/>
      <w:marTop w:val="0"/>
      <w:marBottom w:val="0"/>
      <w:divBdr>
        <w:top w:val="none" w:sz="0" w:space="0" w:color="auto"/>
        <w:left w:val="none" w:sz="0" w:space="0" w:color="auto"/>
        <w:bottom w:val="none" w:sz="0" w:space="0" w:color="auto"/>
        <w:right w:val="none" w:sz="0" w:space="0" w:color="auto"/>
      </w:divBdr>
    </w:div>
    <w:div w:id="751582772">
      <w:bodyDiv w:val="1"/>
      <w:marLeft w:val="0"/>
      <w:marRight w:val="0"/>
      <w:marTop w:val="0"/>
      <w:marBottom w:val="0"/>
      <w:divBdr>
        <w:top w:val="none" w:sz="0" w:space="0" w:color="auto"/>
        <w:left w:val="none" w:sz="0" w:space="0" w:color="auto"/>
        <w:bottom w:val="none" w:sz="0" w:space="0" w:color="auto"/>
        <w:right w:val="none" w:sz="0" w:space="0" w:color="auto"/>
      </w:divBdr>
    </w:div>
    <w:div w:id="751659340">
      <w:bodyDiv w:val="1"/>
      <w:marLeft w:val="0"/>
      <w:marRight w:val="0"/>
      <w:marTop w:val="0"/>
      <w:marBottom w:val="0"/>
      <w:divBdr>
        <w:top w:val="none" w:sz="0" w:space="0" w:color="auto"/>
        <w:left w:val="none" w:sz="0" w:space="0" w:color="auto"/>
        <w:bottom w:val="none" w:sz="0" w:space="0" w:color="auto"/>
        <w:right w:val="none" w:sz="0" w:space="0" w:color="auto"/>
      </w:divBdr>
    </w:div>
    <w:div w:id="751700252">
      <w:bodyDiv w:val="1"/>
      <w:marLeft w:val="0"/>
      <w:marRight w:val="0"/>
      <w:marTop w:val="0"/>
      <w:marBottom w:val="0"/>
      <w:divBdr>
        <w:top w:val="none" w:sz="0" w:space="0" w:color="auto"/>
        <w:left w:val="none" w:sz="0" w:space="0" w:color="auto"/>
        <w:bottom w:val="none" w:sz="0" w:space="0" w:color="auto"/>
        <w:right w:val="none" w:sz="0" w:space="0" w:color="auto"/>
      </w:divBdr>
    </w:div>
    <w:div w:id="751926153">
      <w:bodyDiv w:val="1"/>
      <w:marLeft w:val="0"/>
      <w:marRight w:val="0"/>
      <w:marTop w:val="0"/>
      <w:marBottom w:val="0"/>
      <w:divBdr>
        <w:top w:val="none" w:sz="0" w:space="0" w:color="auto"/>
        <w:left w:val="none" w:sz="0" w:space="0" w:color="auto"/>
        <w:bottom w:val="none" w:sz="0" w:space="0" w:color="auto"/>
        <w:right w:val="none" w:sz="0" w:space="0" w:color="auto"/>
      </w:divBdr>
    </w:div>
    <w:div w:id="751967578">
      <w:bodyDiv w:val="1"/>
      <w:marLeft w:val="0"/>
      <w:marRight w:val="0"/>
      <w:marTop w:val="0"/>
      <w:marBottom w:val="0"/>
      <w:divBdr>
        <w:top w:val="none" w:sz="0" w:space="0" w:color="auto"/>
        <w:left w:val="none" w:sz="0" w:space="0" w:color="auto"/>
        <w:bottom w:val="none" w:sz="0" w:space="0" w:color="auto"/>
        <w:right w:val="none" w:sz="0" w:space="0" w:color="auto"/>
      </w:divBdr>
    </w:div>
    <w:div w:id="752092211">
      <w:bodyDiv w:val="1"/>
      <w:marLeft w:val="0"/>
      <w:marRight w:val="0"/>
      <w:marTop w:val="0"/>
      <w:marBottom w:val="0"/>
      <w:divBdr>
        <w:top w:val="none" w:sz="0" w:space="0" w:color="auto"/>
        <w:left w:val="none" w:sz="0" w:space="0" w:color="auto"/>
        <w:bottom w:val="none" w:sz="0" w:space="0" w:color="auto"/>
        <w:right w:val="none" w:sz="0" w:space="0" w:color="auto"/>
      </w:divBdr>
    </w:div>
    <w:div w:id="752118788">
      <w:bodyDiv w:val="1"/>
      <w:marLeft w:val="0"/>
      <w:marRight w:val="0"/>
      <w:marTop w:val="0"/>
      <w:marBottom w:val="0"/>
      <w:divBdr>
        <w:top w:val="none" w:sz="0" w:space="0" w:color="auto"/>
        <w:left w:val="none" w:sz="0" w:space="0" w:color="auto"/>
        <w:bottom w:val="none" w:sz="0" w:space="0" w:color="auto"/>
        <w:right w:val="none" w:sz="0" w:space="0" w:color="auto"/>
      </w:divBdr>
    </w:div>
    <w:div w:id="752119394">
      <w:bodyDiv w:val="1"/>
      <w:marLeft w:val="0"/>
      <w:marRight w:val="0"/>
      <w:marTop w:val="0"/>
      <w:marBottom w:val="0"/>
      <w:divBdr>
        <w:top w:val="none" w:sz="0" w:space="0" w:color="auto"/>
        <w:left w:val="none" w:sz="0" w:space="0" w:color="auto"/>
        <w:bottom w:val="none" w:sz="0" w:space="0" w:color="auto"/>
        <w:right w:val="none" w:sz="0" w:space="0" w:color="auto"/>
      </w:divBdr>
    </w:div>
    <w:div w:id="752162057">
      <w:bodyDiv w:val="1"/>
      <w:marLeft w:val="0"/>
      <w:marRight w:val="0"/>
      <w:marTop w:val="0"/>
      <w:marBottom w:val="0"/>
      <w:divBdr>
        <w:top w:val="none" w:sz="0" w:space="0" w:color="auto"/>
        <w:left w:val="none" w:sz="0" w:space="0" w:color="auto"/>
        <w:bottom w:val="none" w:sz="0" w:space="0" w:color="auto"/>
        <w:right w:val="none" w:sz="0" w:space="0" w:color="auto"/>
      </w:divBdr>
    </w:div>
    <w:div w:id="752239909">
      <w:bodyDiv w:val="1"/>
      <w:marLeft w:val="0"/>
      <w:marRight w:val="0"/>
      <w:marTop w:val="0"/>
      <w:marBottom w:val="0"/>
      <w:divBdr>
        <w:top w:val="none" w:sz="0" w:space="0" w:color="auto"/>
        <w:left w:val="none" w:sz="0" w:space="0" w:color="auto"/>
        <w:bottom w:val="none" w:sz="0" w:space="0" w:color="auto"/>
        <w:right w:val="none" w:sz="0" w:space="0" w:color="auto"/>
      </w:divBdr>
    </w:div>
    <w:div w:id="752513725">
      <w:bodyDiv w:val="1"/>
      <w:marLeft w:val="0"/>
      <w:marRight w:val="0"/>
      <w:marTop w:val="0"/>
      <w:marBottom w:val="0"/>
      <w:divBdr>
        <w:top w:val="none" w:sz="0" w:space="0" w:color="auto"/>
        <w:left w:val="none" w:sz="0" w:space="0" w:color="auto"/>
        <w:bottom w:val="none" w:sz="0" w:space="0" w:color="auto"/>
        <w:right w:val="none" w:sz="0" w:space="0" w:color="auto"/>
      </w:divBdr>
    </w:div>
    <w:div w:id="752554582">
      <w:bodyDiv w:val="1"/>
      <w:marLeft w:val="0"/>
      <w:marRight w:val="0"/>
      <w:marTop w:val="0"/>
      <w:marBottom w:val="0"/>
      <w:divBdr>
        <w:top w:val="none" w:sz="0" w:space="0" w:color="auto"/>
        <w:left w:val="none" w:sz="0" w:space="0" w:color="auto"/>
        <w:bottom w:val="none" w:sz="0" w:space="0" w:color="auto"/>
        <w:right w:val="none" w:sz="0" w:space="0" w:color="auto"/>
      </w:divBdr>
    </w:div>
    <w:div w:id="752704646">
      <w:bodyDiv w:val="1"/>
      <w:marLeft w:val="0"/>
      <w:marRight w:val="0"/>
      <w:marTop w:val="0"/>
      <w:marBottom w:val="0"/>
      <w:divBdr>
        <w:top w:val="none" w:sz="0" w:space="0" w:color="auto"/>
        <w:left w:val="none" w:sz="0" w:space="0" w:color="auto"/>
        <w:bottom w:val="none" w:sz="0" w:space="0" w:color="auto"/>
        <w:right w:val="none" w:sz="0" w:space="0" w:color="auto"/>
      </w:divBdr>
    </w:div>
    <w:div w:id="752774788">
      <w:bodyDiv w:val="1"/>
      <w:marLeft w:val="0"/>
      <w:marRight w:val="0"/>
      <w:marTop w:val="0"/>
      <w:marBottom w:val="0"/>
      <w:divBdr>
        <w:top w:val="none" w:sz="0" w:space="0" w:color="auto"/>
        <w:left w:val="none" w:sz="0" w:space="0" w:color="auto"/>
        <w:bottom w:val="none" w:sz="0" w:space="0" w:color="auto"/>
        <w:right w:val="none" w:sz="0" w:space="0" w:color="auto"/>
      </w:divBdr>
    </w:div>
    <w:div w:id="752776484">
      <w:bodyDiv w:val="1"/>
      <w:marLeft w:val="0"/>
      <w:marRight w:val="0"/>
      <w:marTop w:val="0"/>
      <w:marBottom w:val="0"/>
      <w:divBdr>
        <w:top w:val="none" w:sz="0" w:space="0" w:color="auto"/>
        <w:left w:val="none" w:sz="0" w:space="0" w:color="auto"/>
        <w:bottom w:val="none" w:sz="0" w:space="0" w:color="auto"/>
        <w:right w:val="none" w:sz="0" w:space="0" w:color="auto"/>
      </w:divBdr>
    </w:div>
    <w:div w:id="752777291">
      <w:bodyDiv w:val="1"/>
      <w:marLeft w:val="0"/>
      <w:marRight w:val="0"/>
      <w:marTop w:val="0"/>
      <w:marBottom w:val="0"/>
      <w:divBdr>
        <w:top w:val="none" w:sz="0" w:space="0" w:color="auto"/>
        <w:left w:val="none" w:sz="0" w:space="0" w:color="auto"/>
        <w:bottom w:val="none" w:sz="0" w:space="0" w:color="auto"/>
        <w:right w:val="none" w:sz="0" w:space="0" w:color="auto"/>
      </w:divBdr>
    </w:div>
    <w:div w:id="752777343">
      <w:bodyDiv w:val="1"/>
      <w:marLeft w:val="0"/>
      <w:marRight w:val="0"/>
      <w:marTop w:val="0"/>
      <w:marBottom w:val="0"/>
      <w:divBdr>
        <w:top w:val="none" w:sz="0" w:space="0" w:color="auto"/>
        <w:left w:val="none" w:sz="0" w:space="0" w:color="auto"/>
        <w:bottom w:val="none" w:sz="0" w:space="0" w:color="auto"/>
        <w:right w:val="none" w:sz="0" w:space="0" w:color="auto"/>
      </w:divBdr>
    </w:div>
    <w:div w:id="752818374">
      <w:bodyDiv w:val="1"/>
      <w:marLeft w:val="0"/>
      <w:marRight w:val="0"/>
      <w:marTop w:val="0"/>
      <w:marBottom w:val="0"/>
      <w:divBdr>
        <w:top w:val="none" w:sz="0" w:space="0" w:color="auto"/>
        <w:left w:val="none" w:sz="0" w:space="0" w:color="auto"/>
        <w:bottom w:val="none" w:sz="0" w:space="0" w:color="auto"/>
        <w:right w:val="none" w:sz="0" w:space="0" w:color="auto"/>
      </w:divBdr>
    </w:div>
    <w:div w:id="752899462">
      <w:bodyDiv w:val="1"/>
      <w:marLeft w:val="0"/>
      <w:marRight w:val="0"/>
      <w:marTop w:val="0"/>
      <w:marBottom w:val="0"/>
      <w:divBdr>
        <w:top w:val="none" w:sz="0" w:space="0" w:color="auto"/>
        <w:left w:val="none" w:sz="0" w:space="0" w:color="auto"/>
        <w:bottom w:val="none" w:sz="0" w:space="0" w:color="auto"/>
        <w:right w:val="none" w:sz="0" w:space="0" w:color="auto"/>
      </w:divBdr>
    </w:div>
    <w:div w:id="752968097">
      <w:bodyDiv w:val="1"/>
      <w:marLeft w:val="0"/>
      <w:marRight w:val="0"/>
      <w:marTop w:val="0"/>
      <w:marBottom w:val="0"/>
      <w:divBdr>
        <w:top w:val="none" w:sz="0" w:space="0" w:color="auto"/>
        <w:left w:val="none" w:sz="0" w:space="0" w:color="auto"/>
        <w:bottom w:val="none" w:sz="0" w:space="0" w:color="auto"/>
        <w:right w:val="none" w:sz="0" w:space="0" w:color="auto"/>
      </w:divBdr>
    </w:div>
    <w:div w:id="753009344">
      <w:bodyDiv w:val="1"/>
      <w:marLeft w:val="0"/>
      <w:marRight w:val="0"/>
      <w:marTop w:val="0"/>
      <w:marBottom w:val="0"/>
      <w:divBdr>
        <w:top w:val="none" w:sz="0" w:space="0" w:color="auto"/>
        <w:left w:val="none" w:sz="0" w:space="0" w:color="auto"/>
        <w:bottom w:val="none" w:sz="0" w:space="0" w:color="auto"/>
        <w:right w:val="none" w:sz="0" w:space="0" w:color="auto"/>
      </w:divBdr>
    </w:div>
    <w:div w:id="753086659">
      <w:bodyDiv w:val="1"/>
      <w:marLeft w:val="0"/>
      <w:marRight w:val="0"/>
      <w:marTop w:val="0"/>
      <w:marBottom w:val="0"/>
      <w:divBdr>
        <w:top w:val="none" w:sz="0" w:space="0" w:color="auto"/>
        <w:left w:val="none" w:sz="0" w:space="0" w:color="auto"/>
        <w:bottom w:val="none" w:sz="0" w:space="0" w:color="auto"/>
        <w:right w:val="none" w:sz="0" w:space="0" w:color="auto"/>
      </w:divBdr>
    </w:div>
    <w:div w:id="753206025">
      <w:bodyDiv w:val="1"/>
      <w:marLeft w:val="0"/>
      <w:marRight w:val="0"/>
      <w:marTop w:val="0"/>
      <w:marBottom w:val="0"/>
      <w:divBdr>
        <w:top w:val="none" w:sz="0" w:space="0" w:color="auto"/>
        <w:left w:val="none" w:sz="0" w:space="0" w:color="auto"/>
        <w:bottom w:val="none" w:sz="0" w:space="0" w:color="auto"/>
        <w:right w:val="none" w:sz="0" w:space="0" w:color="auto"/>
      </w:divBdr>
    </w:div>
    <w:div w:id="753285941">
      <w:bodyDiv w:val="1"/>
      <w:marLeft w:val="0"/>
      <w:marRight w:val="0"/>
      <w:marTop w:val="0"/>
      <w:marBottom w:val="0"/>
      <w:divBdr>
        <w:top w:val="none" w:sz="0" w:space="0" w:color="auto"/>
        <w:left w:val="none" w:sz="0" w:space="0" w:color="auto"/>
        <w:bottom w:val="none" w:sz="0" w:space="0" w:color="auto"/>
        <w:right w:val="none" w:sz="0" w:space="0" w:color="auto"/>
      </w:divBdr>
    </w:div>
    <w:div w:id="753431695">
      <w:bodyDiv w:val="1"/>
      <w:marLeft w:val="0"/>
      <w:marRight w:val="0"/>
      <w:marTop w:val="0"/>
      <w:marBottom w:val="0"/>
      <w:divBdr>
        <w:top w:val="none" w:sz="0" w:space="0" w:color="auto"/>
        <w:left w:val="none" w:sz="0" w:space="0" w:color="auto"/>
        <w:bottom w:val="none" w:sz="0" w:space="0" w:color="auto"/>
        <w:right w:val="none" w:sz="0" w:space="0" w:color="auto"/>
      </w:divBdr>
    </w:div>
    <w:div w:id="753548398">
      <w:bodyDiv w:val="1"/>
      <w:marLeft w:val="0"/>
      <w:marRight w:val="0"/>
      <w:marTop w:val="0"/>
      <w:marBottom w:val="0"/>
      <w:divBdr>
        <w:top w:val="none" w:sz="0" w:space="0" w:color="auto"/>
        <w:left w:val="none" w:sz="0" w:space="0" w:color="auto"/>
        <w:bottom w:val="none" w:sz="0" w:space="0" w:color="auto"/>
        <w:right w:val="none" w:sz="0" w:space="0" w:color="auto"/>
      </w:divBdr>
    </w:div>
    <w:div w:id="753554139">
      <w:bodyDiv w:val="1"/>
      <w:marLeft w:val="0"/>
      <w:marRight w:val="0"/>
      <w:marTop w:val="0"/>
      <w:marBottom w:val="0"/>
      <w:divBdr>
        <w:top w:val="none" w:sz="0" w:space="0" w:color="auto"/>
        <w:left w:val="none" w:sz="0" w:space="0" w:color="auto"/>
        <w:bottom w:val="none" w:sz="0" w:space="0" w:color="auto"/>
        <w:right w:val="none" w:sz="0" w:space="0" w:color="auto"/>
      </w:divBdr>
    </w:div>
    <w:div w:id="753665106">
      <w:bodyDiv w:val="1"/>
      <w:marLeft w:val="0"/>
      <w:marRight w:val="0"/>
      <w:marTop w:val="0"/>
      <w:marBottom w:val="0"/>
      <w:divBdr>
        <w:top w:val="none" w:sz="0" w:space="0" w:color="auto"/>
        <w:left w:val="none" w:sz="0" w:space="0" w:color="auto"/>
        <w:bottom w:val="none" w:sz="0" w:space="0" w:color="auto"/>
        <w:right w:val="none" w:sz="0" w:space="0" w:color="auto"/>
      </w:divBdr>
    </w:div>
    <w:div w:id="753940835">
      <w:bodyDiv w:val="1"/>
      <w:marLeft w:val="0"/>
      <w:marRight w:val="0"/>
      <w:marTop w:val="0"/>
      <w:marBottom w:val="0"/>
      <w:divBdr>
        <w:top w:val="none" w:sz="0" w:space="0" w:color="auto"/>
        <w:left w:val="none" w:sz="0" w:space="0" w:color="auto"/>
        <w:bottom w:val="none" w:sz="0" w:space="0" w:color="auto"/>
        <w:right w:val="none" w:sz="0" w:space="0" w:color="auto"/>
      </w:divBdr>
    </w:div>
    <w:div w:id="754010230">
      <w:bodyDiv w:val="1"/>
      <w:marLeft w:val="0"/>
      <w:marRight w:val="0"/>
      <w:marTop w:val="0"/>
      <w:marBottom w:val="0"/>
      <w:divBdr>
        <w:top w:val="none" w:sz="0" w:space="0" w:color="auto"/>
        <w:left w:val="none" w:sz="0" w:space="0" w:color="auto"/>
        <w:bottom w:val="none" w:sz="0" w:space="0" w:color="auto"/>
        <w:right w:val="none" w:sz="0" w:space="0" w:color="auto"/>
      </w:divBdr>
    </w:div>
    <w:div w:id="754015505">
      <w:bodyDiv w:val="1"/>
      <w:marLeft w:val="0"/>
      <w:marRight w:val="0"/>
      <w:marTop w:val="0"/>
      <w:marBottom w:val="0"/>
      <w:divBdr>
        <w:top w:val="none" w:sz="0" w:space="0" w:color="auto"/>
        <w:left w:val="none" w:sz="0" w:space="0" w:color="auto"/>
        <w:bottom w:val="none" w:sz="0" w:space="0" w:color="auto"/>
        <w:right w:val="none" w:sz="0" w:space="0" w:color="auto"/>
      </w:divBdr>
    </w:div>
    <w:div w:id="754017978">
      <w:bodyDiv w:val="1"/>
      <w:marLeft w:val="0"/>
      <w:marRight w:val="0"/>
      <w:marTop w:val="0"/>
      <w:marBottom w:val="0"/>
      <w:divBdr>
        <w:top w:val="none" w:sz="0" w:space="0" w:color="auto"/>
        <w:left w:val="none" w:sz="0" w:space="0" w:color="auto"/>
        <w:bottom w:val="none" w:sz="0" w:space="0" w:color="auto"/>
        <w:right w:val="none" w:sz="0" w:space="0" w:color="auto"/>
      </w:divBdr>
    </w:div>
    <w:div w:id="754059055">
      <w:bodyDiv w:val="1"/>
      <w:marLeft w:val="0"/>
      <w:marRight w:val="0"/>
      <w:marTop w:val="0"/>
      <w:marBottom w:val="0"/>
      <w:divBdr>
        <w:top w:val="none" w:sz="0" w:space="0" w:color="auto"/>
        <w:left w:val="none" w:sz="0" w:space="0" w:color="auto"/>
        <w:bottom w:val="none" w:sz="0" w:space="0" w:color="auto"/>
        <w:right w:val="none" w:sz="0" w:space="0" w:color="auto"/>
      </w:divBdr>
    </w:div>
    <w:div w:id="754327109">
      <w:bodyDiv w:val="1"/>
      <w:marLeft w:val="0"/>
      <w:marRight w:val="0"/>
      <w:marTop w:val="0"/>
      <w:marBottom w:val="0"/>
      <w:divBdr>
        <w:top w:val="none" w:sz="0" w:space="0" w:color="auto"/>
        <w:left w:val="none" w:sz="0" w:space="0" w:color="auto"/>
        <w:bottom w:val="none" w:sz="0" w:space="0" w:color="auto"/>
        <w:right w:val="none" w:sz="0" w:space="0" w:color="auto"/>
      </w:divBdr>
    </w:div>
    <w:div w:id="754479006">
      <w:bodyDiv w:val="1"/>
      <w:marLeft w:val="0"/>
      <w:marRight w:val="0"/>
      <w:marTop w:val="0"/>
      <w:marBottom w:val="0"/>
      <w:divBdr>
        <w:top w:val="none" w:sz="0" w:space="0" w:color="auto"/>
        <w:left w:val="none" w:sz="0" w:space="0" w:color="auto"/>
        <w:bottom w:val="none" w:sz="0" w:space="0" w:color="auto"/>
        <w:right w:val="none" w:sz="0" w:space="0" w:color="auto"/>
      </w:divBdr>
    </w:div>
    <w:div w:id="754548259">
      <w:bodyDiv w:val="1"/>
      <w:marLeft w:val="0"/>
      <w:marRight w:val="0"/>
      <w:marTop w:val="0"/>
      <w:marBottom w:val="0"/>
      <w:divBdr>
        <w:top w:val="none" w:sz="0" w:space="0" w:color="auto"/>
        <w:left w:val="none" w:sz="0" w:space="0" w:color="auto"/>
        <w:bottom w:val="none" w:sz="0" w:space="0" w:color="auto"/>
        <w:right w:val="none" w:sz="0" w:space="0" w:color="auto"/>
      </w:divBdr>
    </w:div>
    <w:div w:id="754745068">
      <w:bodyDiv w:val="1"/>
      <w:marLeft w:val="0"/>
      <w:marRight w:val="0"/>
      <w:marTop w:val="0"/>
      <w:marBottom w:val="0"/>
      <w:divBdr>
        <w:top w:val="none" w:sz="0" w:space="0" w:color="auto"/>
        <w:left w:val="none" w:sz="0" w:space="0" w:color="auto"/>
        <w:bottom w:val="none" w:sz="0" w:space="0" w:color="auto"/>
        <w:right w:val="none" w:sz="0" w:space="0" w:color="auto"/>
      </w:divBdr>
    </w:div>
    <w:div w:id="754862120">
      <w:bodyDiv w:val="1"/>
      <w:marLeft w:val="0"/>
      <w:marRight w:val="0"/>
      <w:marTop w:val="0"/>
      <w:marBottom w:val="0"/>
      <w:divBdr>
        <w:top w:val="none" w:sz="0" w:space="0" w:color="auto"/>
        <w:left w:val="none" w:sz="0" w:space="0" w:color="auto"/>
        <w:bottom w:val="none" w:sz="0" w:space="0" w:color="auto"/>
        <w:right w:val="none" w:sz="0" w:space="0" w:color="auto"/>
      </w:divBdr>
    </w:div>
    <w:div w:id="754940392">
      <w:bodyDiv w:val="1"/>
      <w:marLeft w:val="0"/>
      <w:marRight w:val="0"/>
      <w:marTop w:val="0"/>
      <w:marBottom w:val="0"/>
      <w:divBdr>
        <w:top w:val="none" w:sz="0" w:space="0" w:color="auto"/>
        <w:left w:val="none" w:sz="0" w:space="0" w:color="auto"/>
        <w:bottom w:val="none" w:sz="0" w:space="0" w:color="auto"/>
        <w:right w:val="none" w:sz="0" w:space="0" w:color="auto"/>
      </w:divBdr>
    </w:div>
    <w:div w:id="755052971">
      <w:bodyDiv w:val="1"/>
      <w:marLeft w:val="0"/>
      <w:marRight w:val="0"/>
      <w:marTop w:val="0"/>
      <w:marBottom w:val="0"/>
      <w:divBdr>
        <w:top w:val="none" w:sz="0" w:space="0" w:color="auto"/>
        <w:left w:val="none" w:sz="0" w:space="0" w:color="auto"/>
        <w:bottom w:val="none" w:sz="0" w:space="0" w:color="auto"/>
        <w:right w:val="none" w:sz="0" w:space="0" w:color="auto"/>
      </w:divBdr>
    </w:div>
    <w:div w:id="755058111">
      <w:bodyDiv w:val="1"/>
      <w:marLeft w:val="0"/>
      <w:marRight w:val="0"/>
      <w:marTop w:val="0"/>
      <w:marBottom w:val="0"/>
      <w:divBdr>
        <w:top w:val="none" w:sz="0" w:space="0" w:color="auto"/>
        <w:left w:val="none" w:sz="0" w:space="0" w:color="auto"/>
        <w:bottom w:val="none" w:sz="0" w:space="0" w:color="auto"/>
        <w:right w:val="none" w:sz="0" w:space="0" w:color="auto"/>
      </w:divBdr>
    </w:div>
    <w:div w:id="755127015">
      <w:bodyDiv w:val="1"/>
      <w:marLeft w:val="0"/>
      <w:marRight w:val="0"/>
      <w:marTop w:val="0"/>
      <w:marBottom w:val="0"/>
      <w:divBdr>
        <w:top w:val="none" w:sz="0" w:space="0" w:color="auto"/>
        <w:left w:val="none" w:sz="0" w:space="0" w:color="auto"/>
        <w:bottom w:val="none" w:sz="0" w:space="0" w:color="auto"/>
        <w:right w:val="none" w:sz="0" w:space="0" w:color="auto"/>
      </w:divBdr>
    </w:div>
    <w:div w:id="755130315">
      <w:bodyDiv w:val="1"/>
      <w:marLeft w:val="0"/>
      <w:marRight w:val="0"/>
      <w:marTop w:val="0"/>
      <w:marBottom w:val="0"/>
      <w:divBdr>
        <w:top w:val="none" w:sz="0" w:space="0" w:color="auto"/>
        <w:left w:val="none" w:sz="0" w:space="0" w:color="auto"/>
        <w:bottom w:val="none" w:sz="0" w:space="0" w:color="auto"/>
        <w:right w:val="none" w:sz="0" w:space="0" w:color="auto"/>
      </w:divBdr>
    </w:div>
    <w:div w:id="755174149">
      <w:bodyDiv w:val="1"/>
      <w:marLeft w:val="0"/>
      <w:marRight w:val="0"/>
      <w:marTop w:val="0"/>
      <w:marBottom w:val="0"/>
      <w:divBdr>
        <w:top w:val="none" w:sz="0" w:space="0" w:color="auto"/>
        <w:left w:val="none" w:sz="0" w:space="0" w:color="auto"/>
        <w:bottom w:val="none" w:sz="0" w:space="0" w:color="auto"/>
        <w:right w:val="none" w:sz="0" w:space="0" w:color="auto"/>
      </w:divBdr>
    </w:div>
    <w:div w:id="755174694">
      <w:bodyDiv w:val="1"/>
      <w:marLeft w:val="0"/>
      <w:marRight w:val="0"/>
      <w:marTop w:val="0"/>
      <w:marBottom w:val="0"/>
      <w:divBdr>
        <w:top w:val="none" w:sz="0" w:space="0" w:color="auto"/>
        <w:left w:val="none" w:sz="0" w:space="0" w:color="auto"/>
        <w:bottom w:val="none" w:sz="0" w:space="0" w:color="auto"/>
        <w:right w:val="none" w:sz="0" w:space="0" w:color="auto"/>
      </w:divBdr>
    </w:div>
    <w:div w:id="755177419">
      <w:bodyDiv w:val="1"/>
      <w:marLeft w:val="0"/>
      <w:marRight w:val="0"/>
      <w:marTop w:val="0"/>
      <w:marBottom w:val="0"/>
      <w:divBdr>
        <w:top w:val="none" w:sz="0" w:space="0" w:color="auto"/>
        <w:left w:val="none" w:sz="0" w:space="0" w:color="auto"/>
        <w:bottom w:val="none" w:sz="0" w:space="0" w:color="auto"/>
        <w:right w:val="none" w:sz="0" w:space="0" w:color="auto"/>
      </w:divBdr>
    </w:div>
    <w:div w:id="755245459">
      <w:bodyDiv w:val="1"/>
      <w:marLeft w:val="0"/>
      <w:marRight w:val="0"/>
      <w:marTop w:val="0"/>
      <w:marBottom w:val="0"/>
      <w:divBdr>
        <w:top w:val="none" w:sz="0" w:space="0" w:color="auto"/>
        <w:left w:val="none" w:sz="0" w:space="0" w:color="auto"/>
        <w:bottom w:val="none" w:sz="0" w:space="0" w:color="auto"/>
        <w:right w:val="none" w:sz="0" w:space="0" w:color="auto"/>
      </w:divBdr>
    </w:div>
    <w:div w:id="755250909">
      <w:bodyDiv w:val="1"/>
      <w:marLeft w:val="0"/>
      <w:marRight w:val="0"/>
      <w:marTop w:val="0"/>
      <w:marBottom w:val="0"/>
      <w:divBdr>
        <w:top w:val="none" w:sz="0" w:space="0" w:color="auto"/>
        <w:left w:val="none" w:sz="0" w:space="0" w:color="auto"/>
        <w:bottom w:val="none" w:sz="0" w:space="0" w:color="auto"/>
        <w:right w:val="none" w:sz="0" w:space="0" w:color="auto"/>
      </w:divBdr>
    </w:div>
    <w:div w:id="755442007">
      <w:bodyDiv w:val="1"/>
      <w:marLeft w:val="0"/>
      <w:marRight w:val="0"/>
      <w:marTop w:val="0"/>
      <w:marBottom w:val="0"/>
      <w:divBdr>
        <w:top w:val="none" w:sz="0" w:space="0" w:color="auto"/>
        <w:left w:val="none" w:sz="0" w:space="0" w:color="auto"/>
        <w:bottom w:val="none" w:sz="0" w:space="0" w:color="auto"/>
        <w:right w:val="none" w:sz="0" w:space="0" w:color="auto"/>
      </w:divBdr>
    </w:div>
    <w:div w:id="755590200">
      <w:bodyDiv w:val="1"/>
      <w:marLeft w:val="0"/>
      <w:marRight w:val="0"/>
      <w:marTop w:val="0"/>
      <w:marBottom w:val="0"/>
      <w:divBdr>
        <w:top w:val="none" w:sz="0" w:space="0" w:color="auto"/>
        <w:left w:val="none" w:sz="0" w:space="0" w:color="auto"/>
        <w:bottom w:val="none" w:sz="0" w:space="0" w:color="auto"/>
        <w:right w:val="none" w:sz="0" w:space="0" w:color="auto"/>
      </w:divBdr>
    </w:div>
    <w:div w:id="755633281">
      <w:bodyDiv w:val="1"/>
      <w:marLeft w:val="0"/>
      <w:marRight w:val="0"/>
      <w:marTop w:val="0"/>
      <w:marBottom w:val="0"/>
      <w:divBdr>
        <w:top w:val="none" w:sz="0" w:space="0" w:color="auto"/>
        <w:left w:val="none" w:sz="0" w:space="0" w:color="auto"/>
        <w:bottom w:val="none" w:sz="0" w:space="0" w:color="auto"/>
        <w:right w:val="none" w:sz="0" w:space="0" w:color="auto"/>
      </w:divBdr>
    </w:div>
    <w:div w:id="755787791">
      <w:bodyDiv w:val="1"/>
      <w:marLeft w:val="0"/>
      <w:marRight w:val="0"/>
      <w:marTop w:val="0"/>
      <w:marBottom w:val="0"/>
      <w:divBdr>
        <w:top w:val="none" w:sz="0" w:space="0" w:color="auto"/>
        <w:left w:val="none" w:sz="0" w:space="0" w:color="auto"/>
        <w:bottom w:val="none" w:sz="0" w:space="0" w:color="auto"/>
        <w:right w:val="none" w:sz="0" w:space="0" w:color="auto"/>
      </w:divBdr>
    </w:div>
    <w:div w:id="755908087">
      <w:bodyDiv w:val="1"/>
      <w:marLeft w:val="0"/>
      <w:marRight w:val="0"/>
      <w:marTop w:val="0"/>
      <w:marBottom w:val="0"/>
      <w:divBdr>
        <w:top w:val="none" w:sz="0" w:space="0" w:color="auto"/>
        <w:left w:val="none" w:sz="0" w:space="0" w:color="auto"/>
        <w:bottom w:val="none" w:sz="0" w:space="0" w:color="auto"/>
        <w:right w:val="none" w:sz="0" w:space="0" w:color="auto"/>
      </w:divBdr>
    </w:div>
    <w:div w:id="755974632">
      <w:bodyDiv w:val="1"/>
      <w:marLeft w:val="0"/>
      <w:marRight w:val="0"/>
      <w:marTop w:val="0"/>
      <w:marBottom w:val="0"/>
      <w:divBdr>
        <w:top w:val="none" w:sz="0" w:space="0" w:color="auto"/>
        <w:left w:val="none" w:sz="0" w:space="0" w:color="auto"/>
        <w:bottom w:val="none" w:sz="0" w:space="0" w:color="auto"/>
        <w:right w:val="none" w:sz="0" w:space="0" w:color="auto"/>
      </w:divBdr>
    </w:div>
    <w:div w:id="756024362">
      <w:bodyDiv w:val="1"/>
      <w:marLeft w:val="0"/>
      <w:marRight w:val="0"/>
      <w:marTop w:val="0"/>
      <w:marBottom w:val="0"/>
      <w:divBdr>
        <w:top w:val="none" w:sz="0" w:space="0" w:color="auto"/>
        <w:left w:val="none" w:sz="0" w:space="0" w:color="auto"/>
        <w:bottom w:val="none" w:sz="0" w:space="0" w:color="auto"/>
        <w:right w:val="none" w:sz="0" w:space="0" w:color="auto"/>
      </w:divBdr>
    </w:div>
    <w:div w:id="756026308">
      <w:bodyDiv w:val="1"/>
      <w:marLeft w:val="0"/>
      <w:marRight w:val="0"/>
      <w:marTop w:val="0"/>
      <w:marBottom w:val="0"/>
      <w:divBdr>
        <w:top w:val="none" w:sz="0" w:space="0" w:color="auto"/>
        <w:left w:val="none" w:sz="0" w:space="0" w:color="auto"/>
        <w:bottom w:val="none" w:sz="0" w:space="0" w:color="auto"/>
        <w:right w:val="none" w:sz="0" w:space="0" w:color="auto"/>
      </w:divBdr>
    </w:div>
    <w:div w:id="756170700">
      <w:bodyDiv w:val="1"/>
      <w:marLeft w:val="0"/>
      <w:marRight w:val="0"/>
      <w:marTop w:val="0"/>
      <w:marBottom w:val="0"/>
      <w:divBdr>
        <w:top w:val="none" w:sz="0" w:space="0" w:color="auto"/>
        <w:left w:val="none" w:sz="0" w:space="0" w:color="auto"/>
        <w:bottom w:val="none" w:sz="0" w:space="0" w:color="auto"/>
        <w:right w:val="none" w:sz="0" w:space="0" w:color="auto"/>
      </w:divBdr>
    </w:div>
    <w:div w:id="756361223">
      <w:bodyDiv w:val="1"/>
      <w:marLeft w:val="0"/>
      <w:marRight w:val="0"/>
      <w:marTop w:val="0"/>
      <w:marBottom w:val="0"/>
      <w:divBdr>
        <w:top w:val="none" w:sz="0" w:space="0" w:color="auto"/>
        <w:left w:val="none" w:sz="0" w:space="0" w:color="auto"/>
        <w:bottom w:val="none" w:sz="0" w:space="0" w:color="auto"/>
        <w:right w:val="none" w:sz="0" w:space="0" w:color="auto"/>
      </w:divBdr>
    </w:div>
    <w:div w:id="756366272">
      <w:bodyDiv w:val="1"/>
      <w:marLeft w:val="0"/>
      <w:marRight w:val="0"/>
      <w:marTop w:val="0"/>
      <w:marBottom w:val="0"/>
      <w:divBdr>
        <w:top w:val="none" w:sz="0" w:space="0" w:color="auto"/>
        <w:left w:val="none" w:sz="0" w:space="0" w:color="auto"/>
        <w:bottom w:val="none" w:sz="0" w:space="0" w:color="auto"/>
        <w:right w:val="none" w:sz="0" w:space="0" w:color="auto"/>
      </w:divBdr>
    </w:div>
    <w:div w:id="756512463">
      <w:bodyDiv w:val="1"/>
      <w:marLeft w:val="0"/>
      <w:marRight w:val="0"/>
      <w:marTop w:val="0"/>
      <w:marBottom w:val="0"/>
      <w:divBdr>
        <w:top w:val="none" w:sz="0" w:space="0" w:color="auto"/>
        <w:left w:val="none" w:sz="0" w:space="0" w:color="auto"/>
        <w:bottom w:val="none" w:sz="0" w:space="0" w:color="auto"/>
        <w:right w:val="none" w:sz="0" w:space="0" w:color="auto"/>
      </w:divBdr>
    </w:div>
    <w:div w:id="756563651">
      <w:bodyDiv w:val="1"/>
      <w:marLeft w:val="0"/>
      <w:marRight w:val="0"/>
      <w:marTop w:val="0"/>
      <w:marBottom w:val="0"/>
      <w:divBdr>
        <w:top w:val="none" w:sz="0" w:space="0" w:color="auto"/>
        <w:left w:val="none" w:sz="0" w:space="0" w:color="auto"/>
        <w:bottom w:val="none" w:sz="0" w:space="0" w:color="auto"/>
        <w:right w:val="none" w:sz="0" w:space="0" w:color="auto"/>
      </w:divBdr>
    </w:div>
    <w:div w:id="756680375">
      <w:bodyDiv w:val="1"/>
      <w:marLeft w:val="0"/>
      <w:marRight w:val="0"/>
      <w:marTop w:val="0"/>
      <w:marBottom w:val="0"/>
      <w:divBdr>
        <w:top w:val="none" w:sz="0" w:space="0" w:color="auto"/>
        <w:left w:val="none" w:sz="0" w:space="0" w:color="auto"/>
        <w:bottom w:val="none" w:sz="0" w:space="0" w:color="auto"/>
        <w:right w:val="none" w:sz="0" w:space="0" w:color="auto"/>
      </w:divBdr>
    </w:div>
    <w:div w:id="756748916">
      <w:bodyDiv w:val="1"/>
      <w:marLeft w:val="0"/>
      <w:marRight w:val="0"/>
      <w:marTop w:val="0"/>
      <w:marBottom w:val="0"/>
      <w:divBdr>
        <w:top w:val="none" w:sz="0" w:space="0" w:color="auto"/>
        <w:left w:val="none" w:sz="0" w:space="0" w:color="auto"/>
        <w:bottom w:val="none" w:sz="0" w:space="0" w:color="auto"/>
        <w:right w:val="none" w:sz="0" w:space="0" w:color="auto"/>
      </w:divBdr>
    </w:div>
    <w:div w:id="756757124">
      <w:bodyDiv w:val="1"/>
      <w:marLeft w:val="0"/>
      <w:marRight w:val="0"/>
      <w:marTop w:val="0"/>
      <w:marBottom w:val="0"/>
      <w:divBdr>
        <w:top w:val="none" w:sz="0" w:space="0" w:color="auto"/>
        <w:left w:val="none" w:sz="0" w:space="0" w:color="auto"/>
        <w:bottom w:val="none" w:sz="0" w:space="0" w:color="auto"/>
        <w:right w:val="none" w:sz="0" w:space="0" w:color="auto"/>
      </w:divBdr>
    </w:div>
    <w:div w:id="756826081">
      <w:bodyDiv w:val="1"/>
      <w:marLeft w:val="0"/>
      <w:marRight w:val="0"/>
      <w:marTop w:val="0"/>
      <w:marBottom w:val="0"/>
      <w:divBdr>
        <w:top w:val="none" w:sz="0" w:space="0" w:color="auto"/>
        <w:left w:val="none" w:sz="0" w:space="0" w:color="auto"/>
        <w:bottom w:val="none" w:sz="0" w:space="0" w:color="auto"/>
        <w:right w:val="none" w:sz="0" w:space="0" w:color="auto"/>
      </w:divBdr>
    </w:div>
    <w:div w:id="756828393">
      <w:bodyDiv w:val="1"/>
      <w:marLeft w:val="0"/>
      <w:marRight w:val="0"/>
      <w:marTop w:val="0"/>
      <w:marBottom w:val="0"/>
      <w:divBdr>
        <w:top w:val="none" w:sz="0" w:space="0" w:color="auto"/>
        <w:left w:val="none" w:sz="0" w:space="0" w:color="auto"/>
        <w:bottom w:val="none" w:sz="0" w:space="0" w:color="auto"/>
        <w:right w:val="none" w:sz="0" w:space="0" w:color="auto"/>
      </w:divBdr>
    </w:div>
    <w:div w:id="756904039">
      <w:bodyDiv w:val="1"/>
      <w:marLeft w:val="0"/>
      <w:marRight w:val="0"/>
      <w:marTop w:val="0"/>
      <w:marBottom w:val="0"/>
      <w:divBdr>
        <w:top w:val="none" w:sz="0" w:space="0" w:color="auto"/>
        <w:left w:val="none" w:sz="0" w:space="0" w:color="auto"/>
        <w:bottom w:val="none" w:sz="0" w:space="0" w:color="auto"/>
        <w:right w:val="none" w:sz="0" w:space="0" w:color="auto"/>
      </w:divBdr>
    </w:div>
    <w:div w:id="757017615">
      <w:bodyDiv w:val="1"/>
      <w:marLeft w:val="0"/>
      <w:marRight w:val="0"/>
      <w:marTop w:val="0"/>
      <w:marBottom w:val="0"/>
      <w:divBdr>
        <w:top w:val="none" w:sz="0" w:space="0" w:color="auto"/>
        <w:left w:val="none" w:sz="0" w:space="0" w:color="auto"/>
        <w:bottom w:val="none" w:sz="0" w:space="0" w:color="auto"/>
        <w:right w:val="none" w:sz="0" w:space="0" w:color="auto"/>
      </w:divBdr>
    </w:div>
    <w:div w:id="757096765">
      <w:bodyDiv w:val="1"/>
      <w:marLeft w:val="0"/>
      <w:marRight w:val="0"/>
      <w:marTop w:val="0"/>
      <w:marBottom w:val="0"/>
      <w:divBdr>
        <w:top w:val="none" w:sz="0" w:space="0" w:color="auto"/>
        <w:left w:val="none" w:sz="0" w:space="0" w:color="auto"/>
        <w:bottom w:val="none" w:sz="0" w:space="0" w:color="auto"/>
        <w:right w:val="none" w:sz="0" w:space="0" w:color="auto"/>
      </w:divBdr>
    </w:div>
    <w:div w:id="757137857">
      <w:bodyDiv w:val="1"/>
      <w:marLeft w:val="0"/>
      <w:marRight w:val="0"/>
      <w:marTop w:val="0"/>
      <w:marBottom w:val="0"/>
      <w:divBdr>
        <w:top w:val="none" w:sz="0" w:space="0" w:color="auto"/>
        <w:left w:val="none" w:sz="0" w:space="0" w:color="auto"/>
        <w:bottom w:val="none" w:sz="0" w:space="0" w:color="auto"/>
        <w:right w:val="none" w:sz="0" w:space="0" w:color="auto"/>
      </w:divBdr>
    </w:div>
    <w:div w:id="757138318">
      <w:bodyDiv w:val="1"/>
      <w:marLeft w:val="0"/>
      <w:marRight w:val="0"/>
      <w:marTop w:val="0"/>
      <w:marBottom w:val="0"/>
      <w:divBdr>
        <w:top w:val="none" w:sz="0" w:space="0" w:color="auto"/>
        <w:left w:val="none" w:sz="0" w:space="0" w:color="auto"/>
        <w:bottom w:val="none" w:sz="0" w:space="0" w:color="auto"/>
        <w:right w:val="none" w:sz="0" w:space="0" w:color="auto"/>
      </w:divBdr>
    </w:div>
    <w:div w:id="757210554">
      <w:bodyDiv w:val="1"/>
      <w:marLeft w:val="0"/>
      <w:marRight w:val="0"/>
      <w:marTop w:val="0"/>
      <w:marBottom w:val="0"/>
      <w:divBdr>
        <w:top w:val="none" w:sz="0" w:space="0" w:color="auto"/>
        <w:left w:val="none" w:sz="0" w:space="0" w:color="auto"/>
        <w:bottom w:val="none" w:sz="0" w:space="0" w:color="auto"/>
        <w:right w:val="none" w:sz="0" w:space="0" w:color="auto"/>
      </w:divBdr>
    </w:div>
    <w:div w:id="757211577">
      <w:bodyDiv w:val="1"/>
      <w:marLeft w:val="0"/>
      <w:marRight w:val="0"/>
      <w:marTop w:val="0"/>
      <w:marBottom w:val="0"/>
      <w:divBdr>
        <w:top w:val="none" w:sz="0" w:space="0" w:color="auto"/>
        <w:left w:val="none" w:sz="0" w:space="0" w:color="auto"/>
        <w:bottom w:val="none" w:sz="0" w:space="0" w:color="auto"/>
        <w:right w:val="none" w:sz="0" w:space="0" w:color="auto"/>
      </w:divBdr>
    </w:div>
    <w:div w:id="757213988">
      <w:bodyDiv w:val="1"/>
      <w:marLeft w:val="0"/>
      <w:marRight w:val="0"/>
      <w:marTop w:val="0"/>
      <w:marBottom w:val="0"/>
      <w:divBdr>
        <w:top w:val="none" w:sz="0" w:space="0" w:color="auto"/>
        <w:left w:val="none" w:sz="0" w:space="0" w:color="auto"/>
        <w:bottom w:val="none" w:sz="0" w:space="0" w:color="auto"/>
        <w:right w:val="none" w:sz="0" w:space="0" w:color="auto"/>
      </w:divBdr>
    </w:div>
    <w:div w:id="757215838">
      <w:bodyDiv w:val="1"/>
      <w:marLeft w:val="0"/>
      <w:marRight w:val="0"/>
      <w:marTop w:val="0"/>
      <w:marBottom w:val="0"/>
      <w:divBdr>
        <w:top w:val="none" w:sz="0" w:space="0" w:color="auto"/>
        <w:left w:val="none" w:sz="0" w:space="0" w:color="auto"/>
        <w:bottom w:val="none" w:sz="0" w:space="0" w:color="auto"/>
        <w:right w:val="none" w:sz="0" w:space="0" w:color="auto"/>
      </w:divBdr>
    </w:div>
    <w:div w:id="757290704">
      <w:bodyDiv w:val="1"/>
      <w:marLeft w:val="0"/>
      <w:marRight w:val="0"/>
      <w:marTop w:val="0"/>
      <w:marBottom w:val="0"/>
      <w:divBdr>
        <w:top w:val="none" w:sz="0" w:space="0" w:color="auto"/>
        <w:left w:val="none" w:sz="0" w:space="0" w:color="auto"/>
        <w:bottom w:val="none" w:sz="0" w:space="0" w:color="auto"/>
        <w:right w:val="none" w:sz="0" w:space="0" w:color="auto"/>
      </w:divBdr>
    </w:div>
    <w:div w:id="757360746">
      <w:bodyDiv w:val="1"/>
      <w:marLeft w:val="0"/>
      <w:marRight w:val="0"/>
      <w:marTop w:val="0"/>
      <w:marBottom w:val="0"/>
      <w:divBdr>
        <w:top w:val="none" w:sz="0" w:space="0" w:color="auto"/>
        <w:left w:val="none" w:sz="0" w:space="0" w:color="auto"/>
        <w:bottom w:val="none" w:sz="0" w:space="0" w:color="auto"/>
        <w:right w:val="none" w:sz="0" w:space="0" w:color="auto"/>
      </w:divBdr>
    </w:div>
    <w:div w:id="757411663">
      <w:bodyDiv w:val="1"/>
      <w:marLeft w:val="0"/>
      <w:marRight w:val="0"/>
      <w:marTop w:val="0"/>
      <w:marBottom w:val="0"/>
      <w:divBdr>
        <w:top w:val="none" w:sz="0" w:space="0" w:color="auto"/>
        <w:left w:val="none" w:sz="0" w:space="0" w:color="auto"/>
        <w:bottom w:val="none" w:sz="0" w:space="0" w:color="auto"/>
        <w:right w:val="none" w:sz="0" w:space="0" w:color="auto"/>
      </w:divBdr>
    </w:div>
    <w:div w:id="757480241">
      <w:bodyDiv w:val="1"/>
      <w:marLeft w:val="0"/>
      <w:marRight w:val="0"/>
      <w:marTop w:val="0"/>
      <w:marBottom w:val="0"/>
      <w:divBdr>
        <w:top w:val="none" w:sz="0" w:space="0" w:color="auto"/>
        <w:left w:val="none" w:sz="0" w:space="0" w:color="auto"/>
        <w:bottom w:val="none" w:sz="0" w:space="0" w:color="auto"/>
        <w:right w:val="none" w:sz="0" w:space="0" w:color="auto"/>
      </w:divBdr>
    </w:div>
    <w:div w:id="757480478">
      <w:bodyDiv w:val="1"/>
      <w:marLeft w:val="0"/>
      <w:marRight w:val="0"/>
      <w:marTop w:val="0"/>
      <w:marBottom w:val="0"/>
      <w:divBdr>
        <w:top w:val="none" w:sz="0" w:space="0" w:color="auto"/>
        <w:left w:val="none" w:sz="0" w:space="0" w:color="auto"/>
        <w:bottom w:val="none" w:sz="0" w:space="0" w:color="auto"/>
        <w:right w:val="none" w:sz="0" w:space="0" w:color="auto"/>
      </w:divBdr>
    </w:div>
    <w:div w:id="757482373">
      <w:bodyDiv w:val="1"/>
      <w:marLeft w:val="0"/>
      <w:marRight w:val="0"/>
      <w:marTop w:val="0"/>
      <w:marBottom w:val="0"/>
      <w:divBdr>
        <w:top w:val="none" w:sz="0" w:space="0" w:color="auto"/>
        <w:left w:val="none" w:sz="0" w:space="0" w:color="auto"/>
        <w:bottom w:val="none" w:sz="0" w:space="0" w:color="auto"/>
        <w:right w:val="none" w:sz="0" w:space="0" w:color="auto"/>
      </w:divBdr>
    </w:div>
    <w:div w:id="757485973">
      <w:bodyDiv w:val="1"/>
      <w:marLeft w:val="0"/>
      <w:marRight w:val="0"/>
      <w:marTop w:val="0"/>
      <w:marBottom w:val="0"/>
      <w:divBdr>
        <w:top w:val="none" w:sz="0" w:space="0" w:color="auto"/>
        <w:left w:val="none" w:sz="0" w:space="0" w:color="auto"/>
        <w:bottom w:val="none" w:sz="0" w:space="0" w:color="auto"/>
        <w:right w:val="none" w:sz="0" w:space="0" w:color="auto"/>
      </w:divBdr>
    </w:div>
    <w:div w:id="757557047">
      <w:bodyDiv w:val="1"/>
      <w:marLeft w:val="0"/>
      <w:marRight w:val="0"/>
      <w:marTop w:val="0"/>
      <w:marBottom w:val="0"/>
      <w:divBdr>
        <w:top w:val="none" w:sz="0" w:space="0" w:color="auto"/>
        <w:left w:val="none" w:sz="0" w:space="0" w:color="auto"/>
        <w:bottom w:val="none" w:sz="0" w:space="0" w:color="auto"/>
        <w:right w:val="none" w:sz="0" w:space="0" w:color="auto"/>
      </w:divBdr>
    </w:div>
    <w:div w:id="757560497">
      <w:bodyDiv w:val="1"/>
      <w:marLeft w:val="0"/>
      <w:marRight w:val="0"/>
      <w:marTop w:val="0"/>
      <w:marBottom w:val="0"/>
      <w:divBdr>
        <w:top w:val="none" w:sz="0" w:space="0" w:color="auto"/>
        <w:left w:val="none" w:sz="0" w:space="0" w:color="auto"/>
        <w:bottom w:val="none" w:sz="0" w:space="0" w:color="auto"/>
        <w:right w:val="none" w:sz="0" w:space="0" w:color="auto"/>
      </w:divBdr>
    </w:div>
    <w:div w:id="757672163">
      <w:bodyDiv w:val="1"/>
      <w:marLeft w:val="0"/>
      <w:marRight w:val="0"/>
      <w:marTop w:val="0"/>
      <w:marBottom w:val="0"/>
      <w:divBdr>
        <w:top w:val="none" w:sz="0" w:space="0" w:color="auto"/>
        <w:left w:val="none" w:sz="0" w:space="0" w:color="auto"/>
        <w:bottom w:val="none" w:sz="0" w:space="0" w:color="auto"/>
        <w:right w:val="none" w:sz="0" w:space="0" w:color="auto"/>
      </w:divBdr>
    </w:div>
    <w:div w:id="757795919">
      <w:bodyDiv w:val="1"/>
      <w:marLeft w:val="0"/>
      <w:marRight w:val="0"/>
      <w:marTop w:val="0"/>
      <w:marBottom w:val="0"/>
      <w:divBdr>
        <w:top w:val="none" w:sz="0" w:space="0" w:color="auto"/>
        <w:left w:val="none" w:sz="0" w:space="0" w:color="auto"/>
        <w:bottom w:val="none" w:sz="0" w:space="0" w:color="auto"/>
        <w:right w:val="none" w:sz="0" w:space="0" w:color="auto"/>
      </w:divBdr>
    </w:div>
    <w:div w:id="757869264">
      <w:bodyDiv w:val="1"/>
      <w:marLeft w:val="0"/>
      <w:marRight w:val="0"/>
      <w:marTop w:val="0"/>
      <w:marBottom w:val="0"/>
      <w:divBdr>
        <w:top w:val="none" w:sz="0" w:space="0" w:color="auto"/>
        <w:left w:val="none" w:sz="0" w:space="0" w:color="auto"/>
        <w:bottom w:val="none" w:sz="0" w:space="0" w:color="auto"/>
        <w:right w:val="none" w:sz="0" w:space="0" w:color="auto"/>
      </w:divBdr>
    </w:div>
    <w:div w:id="757947003">
      <w:bodyDiv w:val="1"/>
      <w:marLeft w:val="0"/>
      <w:marRight w:val="0"/>
      <w:marTop w:val="0"/>
      <w:marBottom w:val="0"/>
      <w:divBdr>
        <w:top w:val="none" w:sz="0" w:space="0" w:color="auto"/>
        <w:left w:val="none" w:sz="0" w:space="0" w:color="auto"/>
        <w:bottom w:val="none" w:sz="0" w:space="0" w:color="auto"/>
        <w:right w:val="none" w:sz="0" w:space="0" w:color="auto"/>
      </w:divBdr>
    </w:div>
    <w:div w:id="758062176">
      <w:bodyDiv w:val="1"/>
      <w:marLeft w:val="0"/>
      <w:marRight w:val="0"/>
      <w:marTop w:val="0"/>
      <w:marBottom w:val="0"/>
      <w:divBdr>
        <w:top w:val="none" w:sz="0" w:space="0" w:color="auto"/>
        <w:left w:val="none" w:sz="0" w:space="0" w:color="auto"/>
        <w:bottom w:val="none" w:sz="0" w:space="0" w:color="auto"/>
        <w:right w:val="none" w:sz="0" w:space="0" w:color="auto"/>
      </w:divBdr>
    </w:div>
    <w:div w:id="758067929">
      <w:bodyDiv w:val="1"/>
      <w:marLeft w:val="0"/>
      <w:marRight w:val="0"/>
      <w:marTop w:val="0"/>
      <w:marBottom w:val="0"/>
      <w:divBdr>
        <w:top w:val="none" w:sz="0" w:space="0" w:color="auto"/>
        <w:left w:val="none" w:sz="0" w:space="0" w:color="auto"/>
        <w:bottom w:val="none" w:sz="0" w:space="0" w:color="auto"/>
        <w:right w:val="none" w:sz="0" w:space="0" w:color="auto"/>
      </w:divBdr>
    </w:div>
    <w:div w:id="758134956">
      <w:bodyDiv w:val="1"/>
      <w:marLeft w:val="0"/>
      <w:marRight w:val="0"/>
      <w:marTop w:val="0"/>
      <w:marBottom w:val="0"/>
      <w:divBdr>
        <w:top w:val="none" w:sz="0" w:space="0" w:color="auto"/>
        <w:left w:val="none" w:sz="0" w:space="0" w:color="auto"/>
        <w:bottom w:val="none" w:sz="0" w:space="0" w:color="auto"/>
        <w:right w:val="none" w:sz="0" w:space="0" w:color="auto"/>
      </w:divBdr>
    </w:div>
    <w:div w:id="758137677">
      <w:bodyDiv w:val="1"/>
      <w:marLeft w:val="0"/>
      <w:marRight w:val="0"/>
      <w:marTop w:val="0"/>
      <w:marBottom w:val="0"/>
      <w:divBdr>
        <w:top w:val="none" w:sz="0" w:space="0" w:color="auto"/>
        <w:left w:val="none" w:sz="0" w:space="0" w:color="auto"/>
        <w:bottom w:val="none" w:sz="0" w:space="0" w:color="auto"/>
        <w:right w:val="none" w:sz="0" w:space="0" w:color="auto"/>
      </w:divBdr>
    </w:div>
    <w:div w:id="758210274">
      <w:bodyDiv w:val="1"/>
      <w:marLeft w:val="0"/>
      <w:marRight w:val="0"/>
      <w:marTop w:val="0"/>
      <w:marBottom w:val="0"/>
      <w:divBdr>
        <w:top w:val="none" w:sz="0" w:space="0" w:color="auto"/>
        <w:left w:val="none" w:sz="0" w:space="0" w:color="auto"/>
        <w:bottom w:val="none" w:sz="0" w:space="0" w:color="auto"/>
        <w:right w:val="none" w:sz="0" w:space="0" w:color="auto"/>
      </w:divBdr>
    </w:div>
    <w:div w:id="758210389">
      <w:bodyDiv w:val="1"/>
      <w:marLeft w:val="0"/>
      <w:marRight w:val="0"/>
      <w:marTop w:val="0"/>
      <w:marBottom w:val="0"/>
      <w:divBdr>
        <w:top w:val="none" w:sz="0" w:space="0" w:color="auto"/>
        <w:left w:val="none" w:sz="0" w:space="0" w:color="auto"/>
        <w:bottom w:val="none" w:sz="0" w:space="0" w:color="auto"/>
        <w:right w:val="none" w:sz="0" w:space="0" w:color="auto"/>
      </w:divBdr>
    </w:div>
    <w:div w:id="758210599">
      <w:bodyDiv w:val="1"/>
      <w:marLeft w:val="0"/>
      <w:marRight w:val="0"/>
      <w:marTop w:val="0"/>
      <w:marBottom w:val="0"/>
      <w:divBdr>
        <w:top w:val="none" w:sz="0" w:space="0" w:color="auto"/>
        <w:left w:val="none" w:sz="0" w:space="0" w:color="auto"/>
        <w:bottom w:val="none" w:sz="0" w:space="0" w:color="auto"/>
        <w:right w:val="none" w:sz="0" w:space="0" w:color="auto"/>
      </w:divBdr>
    </w:div>
    <w:div w:id="758256004">
      <w:bodyDiv w:val="1"/>
      <w:marLeft w:val="0"/>
      <w:marRight w:val="0"/>
      <w:marTop w:val="0"/>
      <w:marBottom w:val="0"/>
      <w:divBdr>
        <w:top w:val="none" w:sz="0" w:space="0" w:color="auto"/>
        <w:left w:val="none" w:sz="0" w:space="0" w:color="auto"/>
        <w:bottom w:val="none" w:sz="0" w:space="0" w:color="auto"/>
        <w:right w:val="none" w:sz="0" w:space="0" w:color="auto"/>
      </w:divBdr>
    </w:div>
    <w:div w:id="758329887">
      <w:bodyDiv w:val="1"/>
      <w:marLeft w:val="0"/>
      <w:marRight w:val="0"/>
      <w:marTop w:val="0"/>
      <w:marBottom w:val="0"/>
      <w:divBdr>
        <w:top w:val="none" w:sz="0" w:space="0" w:color="auto"/>
        <w:left w:val="none" w:sz="0" w:space="0" w:color="auto"/>
        <w:bottom w:val="none" w:sz="0" w:space="0" w:color="auto"/>
        <w:right w:val="none" w:sz="0" w:space="0" w:color="auto"/>
      </w:divBdr>
    </w:div>
    <w:div w:id="758408359">
      <w:bodyDiv w:val="1"/>
      <w:marLeft w:val="0"/>
      <w:marRight w:val="0"/>
      <w:marTop w:val="0"/>
      <w:marBottom w:val="0"/>
      <w:divBdr>
        <w:top w:val="none" w:sz="0" w:space="0" w:color="auto"/>
        <w:left w:val="none" w:sz="0" w:space="0" w:color="auto"/>
        <w:bottom w:val="none" w:sz="0" w:space="0" w:color="auto"/>
        <w:right w:val="none" w:sz="0" w:space="0" w:color="auto"/>
      </w:divBdr>
    </w:div>
    <w:div w:id="758408722">
      <w:bodyDiv w:val="1"/>
      <w:marLeft w:val="0"/>
      <w:marRight w:val="0"/>
      <w:marTop w:val="0"/>
      <w:marBottom w:val="0"/>
      <w:divBdr>
        <w:top w:val="none" w:sz="0" w:space="0" w:color="auto"/>
        <w:left w:val="none" w:sz="0" w:space="0" w:color="auto"/>
        <w:bottom w:val="none" w:sz="0" w:space="0" w:color="auto"/>
        <w:right w:val="none" w:sz="0" w:space="0" w:color="auto"/>
      </w:divBdr>
    </w:div>
    <w:div w:id="758522785">
      <w:bodyDiv w:val="1"/>
      <w:marLeft w:val="0"/>
      <w:marRight w:val="0"/>
      <w:marTop w:val="0"/>
      <w:marBottom w:val="0"/>
      <w:divBdr>
        <w:top w:val="none" w:sz="0" w:space="0" w:color="auto"/>
        <w:left w:val="none" w:sz="0" w:space="0" w:color="auto"/>
        <w:bottom w:val="none" w:sz="0" w:space="0" w:color="auto"/>
        <w:right w:val="none" w:sz="0" w:space="0" w:color="auto"/>
      </w:divBdr>
    </w:div>
    <w:div w:id="758527241">
      <w:bodyDiv w:val="1"/>
      <w:marLeft w:val="0"/>
      <w:marRight w:val="0"/>
      <w:marTop w:val="0"/>
      <w:marBottom w:val="0"/>
      <w:divBdr>
        <w:top w:val="none" w:sz="0" w:space="0" w:color="auto"/>
        <w:left w:val="none" w:sz="0" w:space="0" w:color="auto"/>
        <w:bottom w:val="none" w:sz="0" w:space="0" w:color="auto"/>
        <w:right w:val="none" w:sz="0" w:space="0" w:color="auto"/>
      </w:divBdr>
    </w:div>
    <w:div w:id="758718963">
      <w:bodyDiv w:val="1"/>
      <w:marLeft w:val="0"/>
      <w:marRight w:val="0"/>
      <w:marTop w:val="0"/>
      <w:marBottom w:val="0"/>
      <w:divBdr>
        <w:top w:val="none" w:sz="0" w:space="0" w:color="auto"/>
        <w:left w:val="none" w:sz="0" w:space="0" w:color="auto"/>
        <w:bottom w:val="none" w:sz="0" w:space="0" w:color="auto"/>
        <w:right w:val="none" w:sz="0" w:space="0" w:color="auto"/>
      </w:divBdr>
    </w:div>
    <w:div w:id="758720724">
      <w:bodyDiv w:val="1"/>
      <w:marLeft w:val="0"/>
      <w:marRight w:val="0"/>
      <w:marTop w:val="0"/>
      <w:marBottom w:val="0"/>
      <w:divBdr>
        <w:top w:val="none" w:sz="0" w:space="0" w:color="auto"/>
        <w:left w:val="none" w:sz="0" w:space="0" w:color="auto"/>
        <w:bottom w:val="none" w:sz="0" w:space="0" w:color="auto"/>
        <w:right w:val="none" w:sz="0" w:space="0" w:color="auto"/>
      </w:divBdr>
    </w:div>
    <w:div w:id="758864859">
      <w:bodyDiv w:val="1"/>
      <w:marLeft w:val="0"/>
      <w:marRight w:val="0"/>
      <w:marTop w:val="0"/>
      <w:marBottom w:val="0"/>
      <w:divBdr>
        <w:top w:val="none" w:sz="0" w:space="0" w:color="auto"/>
        <w:left w:val="none" w:sz="0" w:space="0" w:color="auto"/>
        <w:bottom w:val="none" w:sz="0" w:space="0" w:color="auto"/>
        <w:right w:val="none" w:sz="0" w:space="0" w:color="auto"/>
      </w:divBdr>
    </w:div>
    <w:div w:id="758868451">
      <w:bodyDiv w:val="1"/>
      <w:marLeft w:val="0"/>
      <w:marRight w:val="0"/>
      <w:marTop w:val="0"/>
      <w:marBottom w:val="0"/>
      <w:divBdr>
        <w:top w:val="none" w:sz="0" w:space="0" w:color="auto"/>
        <w:left w:val="none" w:sz="0" w:space="0" w:color="auto"/>
        <w:bottom w:val="none" w:sz="0" w:space="0" w:color="auto"/>
        <w:right w:val="none" w:sz="0" w:space="0" w:color="auto"/>
      </w:divBdr>
    </w:div>
    <w:div w:id="758873676">
      <w:bodyDiv w:val="1"/>
      <w:marLeft w:val="0"/>
      <w:marRight w:val="0"/>
      <w:marTop w:val="0"/>
      <w:marBottom w:val="0"/>
      <w:divBdr>
        <w:top w:val="none" w:sz="0" w:space="0" w:color="auto"/>
        <w:left w:val="none" w:sz="0" w:space="0" w:color="auto"/>
        <w:bottom w:val="none" w:sz="0" w:space="0" w:color="auto"/>
        <w:right w:val="none" w:sz="0" w:space="0" w:color="auto"/>
      </w:divBdr>
    </w:div>
    <w:div w:id="758916031">
      <w:bodyDiv w:val="1"/>
      <w:marLeft w:val="0"/>
      <w:marRight w:val="0"/>
      <w:marTop w:val="0"/>
      <w:marBottom w:val="0"/>
      <w:divBdr>
        <w:top w:val="none" w:sz="0" w:space="0" w:color="auto"/>
        <w:left w:val="none" w:sz="0" w:space="0" w:color="auto"/>
        <w:bottom w:val="none" w:sz="0" w:space="0" w:color="auto"/>
        <w:right w:val="none" w:sz="0" w:space="0" w:color="auto"/>
      </w:divBdr>
    </w:div>
    <w:div w:id="758985626">
      <w:bodyDiv w:val="1"/>
      <w:marLeft w:val="0"/>
      <w:marRight w:val="0"/>
      <w:marTop w:val="0"/>
      <w:marBottom w:val="0"/>
      <w:divBdr>
        <w:top w:val="none" w:sz="0" w:space="0" w:color="auto"/>
        <w:left w:val="none" w:sz="0" w:space="0" w:color="auto"/>
        <w:bottom w:val="none" w:sz="0" w:space="0" w:color="auto"/>
        <w:right w:val="none" w:sz="0" w:space="0" w:color="auto"/>
      </w:divBdr>
    </w:div>
    <w:div w:id="758989142">
      <w:bodyDiv w:val="1"/>
      <w:marLeft w:val="0"/>
      <w:marRight w:val="0"/>
      <w:marTop w:val="0"/>
      <w:marBottom w:val="0"/>
      <w:divBdr>
        <w:top w:val="none" w:sz="0" w:space="0" w:color="auto"/>
        <w:left w:val="none" w:sz="0" w:space="0" w:color="auto"/>
        <w:bottom w:val="none" w:sz="0" w:space="0" w:color="auto"/>
        <w:right w:val="none" w:sz="0" w:space="0" w:color="auto"/>
      </w:divBdr>
    </w:div>
    <w:div w:id="759064046">
      <w:bodyDiv w:val="1"/>
      <w:marLeft w:val="0"/>
      <w:marRight w:val="0"/>
      <w:marTop w:val="0"/>
      <w:marBottom w:val="0"/>
      <w:divBdr>
        <w:top w:val="none" w:sz="0" w:space="0" w:color="auto"/>
        <w:left w:val="none" w:sz="0" w:space="0" w:color="auto"/>
        <w:bottom w:val="none" w:sz="0" w:space="0" w:color="auto"/>
        <w:right w:val="none" w:sz="0" w:space="0" w:color="auto"/>
      </w:divBdr>
    </w:div>
    <w:div w:id="759134295">
      <w:bodyDiv w:val="1"/>
      <w:marLeft w:val="0"/>
      <w:marRight w:val="0"/>
      <w:marTop w:val="0"/>
      <w:marBottom w:val="0"/>
      <w:divBdr>
        <w:top w:val="none" w:sz="0" w:space="0" w:color="auto"/>
        <w:left w:val="none" w:sz="0" w:space="0" w:color="auto"/>
        <w:bottom w:val="none" w:sz="0" w:space="0" w:color="auto"/>
        <w:right w:val="none" w:sz="0" w:space="0" w:color="auto"/>
      </w:divBdr>
    </w:div>
    <w:div w:id="759135314">
      <w:bodyDiv w:val="1"/>
      <w:marLeft w:val="0"/>
      <w:marRight w:val="0"/>
      <w:marTop w:val="0"/>
      <w:marBottom w:val="0"/>
      <w:divBdr>
        <w:top w:val="none" w:sz="0" w:space="0" w:color="auto"/>
        <w:left w:val="none" w:sz="0" w:space="0" w:color="auto"/>
        <w:bottom w:val="none" w:sz="0" w:space="0" w:color="auto"/>
        <w:right w:val="none" w:sz="0" w:space="0" w:color="auto"/>
      </w:divBdr>
    </w:div>
    <w:div w:id="759176553">
      <w:bodyDiv w:val="1"/>
      <w:marLeft w:val="0"/>
      <w:marRight w:val="0"/>
      <w:marTop w:val="0"/>
      <w:marBottom w:val="0"/>
      <w:divBdr>
        <w:top w:val="none" w:sz="0" w:space="0" w:color="auto"/>
        <w:left w:val="none" w:sz="0" w:space="0" w:color="auto"/>
        <w:bottom w:val="none" w:sz="0" w:space="0" w:color="auto"/>
        <w:right w:val="none" w:sz="0" w:space="0" w:color="auto"/>
      </w:divBdr>
    </w:div>
    <w:div w:id="759180322">
      <w:bodyDiv w:val="1"/>
      <w:marLeft w:val="0"/>
      <w:marRight w:val="0"/>
      <w:marTop w:val="0"/>
      <w:marBottom w:val="0"/>
      <w:divBdr>
        <w:top w:val="none" w:sz="0" w:space="0" w:color="auto"/>
        <w:left w:val="none" w:sz="0" w:space="0" w:color="auto"/>
        <w:bottom w:val="none" w:sz="0" w:space="0" w:color="auto"/>
        <w:right w:val="none" w:sz="0" w:space="0" w:color="auto"/>
      </w:divBdr>
    </w:div>
    <w:div w:id="759180897">
      <w:bodyDiv w:val="1"/>
      <w:marLeft w:val="0"/>
      <w:marRight w:val="0"/>
      <w:marTop w:val="0"/>
      <w:marBottom w:val="0"/>
      <w:divBdr>
        <w:top w:val="none" w:sz="0" w:space="0" w:color="auto"/>
        <w:left w:val="none" w:sz="0" w:space="0" w:color="auto"/>
        <w:bottom w:val="none" w:sz="0" w:space="0" w:color="auto"/>
        <w:right w:val="none" w:sz="0" w:space="0" w:color="auto"/>
      </w:divBdr>
    </w:div>
    <w:div w:id="759257809">
      <w:bodyDiv w:val="1"/>
      <w:marLeft w:val="0"/>
      <w:marRight w:val="0"/>
      <w:marTop w:val="0"/>
      <w:marBottom w:val="0"/>
      <w:divBdr>
        <w:top w:val="none" w:sz="0" w:space="0" w:color="auto"/>
        <w:left w:val="none" w:sz="0" w:space="0" w:color="auto"/>
        <w:bottom w:val="none" w:sz="0" w:space="0" w:color="auto"/>
        <w:right w:val="none" w:sz="0" w:space="0" w:color="auto"/>
      </w:divBdr>
    </w:div>
    <w:div w:id="759370968">
      <w:bodyDiv w:val="1"/>
      <w:marLeft w:val="0"/>
      <w:marRight w:val="0"/>
      <w:marTop w:val="0"/>
      <w:marBottom w:val="0"/>
      <w:divBdr>
        <w:top w:val="none" w:sz="0" w:space="0" w:color="auto"/>
        <w:left w:val="none" w:sz="0" w:space="0" w:color="auto"/>
        <w:bottom w:val="none" w:sz="0" w:space="0" w:color="auto"/>
        <w:right w:val="none" w:sz="0" w:space="0" w:color="auto"/>
      </w:divBdr>
    </w:div>
    <w:div w:id="759373674">
      <w:bodyDiv w:val="1"/>
      <w:marLeft w:val="0"/>
      <w:marRight w:val="0"/>
      <w:marTop w:val="0"/>
      <w:marBottom w:val="0"/>
      <w:divBdr>
        <w:top w:val="none" w:sz="0" w:space="0" w:color="auto"/>
        <w:left w:val="none" w:sz="0" w:space="0" w:color="auto"/>
        <w:bottom w:val="none" w:sz="0" w:space="0" w:color="auto"/>
        <w:right w:val="none" w:sz="0" w:space="0" w:color="auto"/>
      </w:divBdr>
    </w:div>
    <w:div w:id="759378268">
      <w:bodyDiv w:val="1"/>
      <w:marLeft w:val="0"/>
      <w:marRight w:val="0"/>
      <w:marTop w:val="0"/>
      <w:marBottom w:val="0"/>
      <w:divBdr>
        <w:top w:val="none" w:sz="0" w:space="0" w:color="auto"/>
        <w:left w:val="none" w:sz="0" w:space="0" w:color="auto"/>
        <w:bottom w:val="none" w:sz="0" w:space="0" w:color="auto"/>
        <w:right w:val="none" w:sz="0" w:space="0" w:color="auto"/>
      </w:divBdr>
    </w:div>
    <w:div w:id="759448437">
      <w:bodyDiv w:val="1"/>
      <w:marLeft w:val="0"/>
      <w:marRight w:val="0"/>
      <w:marTop w:val="0"/>
      <w:marBottom w:val="0"/>
      <w:divBdr>
        <w:top w:val="none" w:sz="0" w:space="0" w:color="auto"/>
        <w:left w:val="none" w:sz="0" w:space="0" w:color="auto"/>
        <w:bottom w:val="none" w:sz="0" w:space="0" w:color="auto"/>
        <w:right w:val="none" w:sz="0" w:space="0" w:color="auto"/>
      </w:divBdr>
    </w:div>
    <w:div w:id="759524604">
      <w:bodyDiv w:val="1"/>
      <w:marLeft w:val="0"/>
      <w:marRight w:val="0"/>
      <w:marTop w:val="0"/>
      <w:marBottom w:val="0"/>
      <w:divBdr>
        <w:top w:val="none" w:sz="0" w:space="0" w:color="auto"/>
        <w:left w:val="none" w:sz="0" w:space="0" w:color="auto"/>
        <w:bottom w:val="none" w:sz="0" w:space="0" w:color="auto"/>
        <w:right w:val="none" w:sz="0" w:space="0" w:color="auto"/>
      </w:divBdr>
    </w:div>
    <w:div w:id="759527038">
      <w:bodyDiv w:val="1"/>
      <w:marLeft w:val="0"/>
      <w:marRight w:val="0"/>
      <w:marTop w:val="0"/>
      <w:marBottom w:val="0"/>
      <w:divBdr>
        <w:top w:val="none" w:sz="0" w:space="0" w:color="auto"/>
        <w:left w:val="none" w:sz="0" w:space="0" w:color="auto"/>
        <w:bottom w:val="none" w:sz="0" w:space="0" w:color="auto"/>
        <w:right w:val="none" w:sz="0" w:space="0" w:color="auto"/>
      </w:divBdr>
    </w:div>
    <w:div w:id="759568356">
      <w:bodyDiv w:val="1"/>
      <w:marLeft w:val="0"/>
      <w:marRight w:val="0"/>
      <w:marTop w:val="0"/>
      <w:marBottom w:val="0"/>
      <w:divBdr>
        <w:top w:val="none" w:sz="0" w:space="0" w:color="auto"/>
        <w:left w:val="none" w:sz="0" w:space="0" w:color="auto"/>
        <w:bottom w:val="none" w:sz="0" w:space="0" w:color="auto"/>
        <w:right w:val="none" w:sz="0" w:space="0" w:color="auto"/>
      </w:divBdr>
    </w:div>
    <w:div w:id="759571684">
      <w:bodyDiv w:val="1"/>
      <w:marLeft w:val="0"/>
      <w:marRight w:val="0"/>
      <w:marTop w:val="0"/>
      <w:marBottom w:val="0"/>
      <w:divBdr>
        <w:top w:val="none" w:sz="0" w:space="0" w:color="auto"/>
        <w:left w:val="none" w:sz="0" w:space="0" w:color="auto"/>
        <w:bottom w:val="none" w:sz="0" w:space="0" w:color="auto"/>
        <w:right w:val="none" w:sz="0" w:space="0" w:color="auto"/>
      </w:divBdr>
    </w:div>
    <w:div w:id="759643566">
      <w:bodyDiv w:val="1"/>
      <w:marLeft w:val="0"/>
      <w:marRight w:val="0"/>
      <w:marTop w:val="0"/>
      <w:marBottom w:val="0"/>
      <w:divBdr>
        <w:top w:val="none" w:sz="0" w:space="0" w:color="auto"/>
        <w:left w:val="none" w:sz="0" w:space="0" w:color="auto"/>
        <w:bottom w:val="none" w:sz="0" w:space="0" w:color="auto"/>
        <w:right w:val="none" w:sz="0" w:space="0" w:color="auto"/>
      </w:divBdr>
    </w:div>
    <w:div w:id="759764840">
      <w:bodyDiv w:val="1"/>
      <w:marLeft w:val="0"/>
      <w:marRight w:val="0"/>
      <w:marTop w:val="0"/>
      <w:marBottom w:val="0"/>
      <w:divBdr>
        <w:top w:val="none" w:sz="0" w:space="0" w:color="auto"/>
        <w:left w:val="none" w:sz="0" w:space="0" w:color="auto"/>
        <w:bottom w:val="none" w:sz="0" w:space="0" w:color="auto"/>
        <w:right w:val="none" w:sz="0" w:space="0" w:color="auto"/>
      </w:divBdr>
    </w:div>
    <w:div w:id="759955620">
      <w:bodyDiv w:val="1"/>
      <w:marLeft w:val="0"/>
      <w:marRight w:val="0"/>
      <w:marTop w:val="0"/>
      <w:marBottom w:val="0"/>
      <w:divBdr>
        <w:top w:val="none" w:sz="0" w:space="0" w:color="auto"/>
        <w:left w:val="none" w:sz="0" w:space="0" w:color="auto"/>
        <w:bottom w:val="none" w:sz="0" w:space="0" w:color="auto"/>
        <w:right w:val="none" w:sz="0" w:space="0" w:color="auto"/>
      </w:divBdr>
    </w:div>
    <w:div w:id="759984949">
      <w:bodyDiv w:val="1"/>
      <w:marLeft w:val="0"/>
      <w:marRight w:val="0"/>
      <w:marTop w:val="0"/>
      <w:marBottom w:val="0"/>
      <w:divBdr>
        <w:top w:val="none" w:sz="0" w:space="0" w:color="auto"/>
        <w:left w:val="none" w:sz="0" w:space="0" w:color="auto"/>
        <w:bottom w:val="none" w:sz="0" w:space="0" w:color="auto"/>
        <w:right w:val="none" w:sz="0" w:space="0" w:color="auto"/>
      </w:divBdr>
    </w:div>
    <w:div w:id="759985513">
      <w:bodyDiv w:val="1"/>
      <w:marLeft w:val="0"/>
      <w:marRight w:val="0"/>
      <w:marTop w:val="0"/>
      <w:marBottom w:val="0"/>
      <w:divBdr>
        <w:top w:val="none" w:sz="0" w:space="0" w:color="auto"/>
        <w:left w:val="none" w:sz="0" w:space="0" w:color="auto"/>
        <w:bottom w:val="none" w:sz="0" w:space="0" w:color="auto"/>
        <w:right w:val="none" w:sz="0" w:space="0" w:color="auto"/>
      </w:divBdr>
    </w:div>
    <w:div w:id="760027810">
      <w:bodyDiv w:val="1"/>
      <w:marLeft w:val="0"/>
      <w:marRight w:val="0"/>
      <w:marTop w:val="0"/>
      <w:marBottom w:val="0"/>
      <w:divBdr>
        <w:top w:val="none" w:sz="0" w:space="0" w:color="auto"/>
        <w:left w:val="none" w:sz="0" w:space="0" w:color="auto"/>
        <w:bottom w:val="none" w:sz="0" w:space="0" w:color="auto"/>
        <w:right w:val="none" w:sz="0" w:space="0" w:color="auto"/>
      </w:divBdr>
    </w:div>
    <w:div w:id="760376980">
      <w:bodyDiv w:val="1"/>
      <w:marLeft w:val="0"/>
      <w:marRight w:val="0"/>
      <w:marTop w:val="0"/>
      <w:marBottom w:val="0"/>
      <w:divBdr>
        <w:top w:val="none" w:sz="0" w:space="0" w:color="auto"/>
        <w:left w:val="none" w:sz="0" w:space="0" w:color="auto"/>
        <w:bottom w:val="none" w:sz="0" w:space="0" w:color="auto"/>
        <w:right w:val="none" w:sz="0" w:space="0" w:color="auto"/>
      </w:divBdr>
    </w:div>
    <w:div w:id="760416198">
      <w:bodyDiv w:val="1"/>
      <w:marLeft w:val="0"/>
      <w:marRight w:val="0"/>
      <w:marTop w:val="0"/>
      <w:marBottom w:val="0"/>
      <w:divBdr>
        <w:top w:val="none" w:sz="0" w:space="0" w:color="auto"/>
        <w:left w:val="none" w:sz="0" w:space="0" w:color="auto"/>
        <w:bottom w:val="none" w:sz="0" w:space="0" w:color="auto"/>
        <w:right w:val="none" w:sz="0" w:space="0" w:color="auto"/>
      </w:divBdr>
    </w:div>
    <w:div w:id="760419304">
      <w:bodyDiv w:val="1"/>
      <w:marLeft w:val="0"/>
      <w:marRight w:val="0"/>
      <w:marTop w:val="0"/>
      <w:marBottom w:val="0"/>
      <w:divBdr>
        <w:top w:val="none" w:sz="0" w:space="0" w:color="auto"/>
        <w:left w:val="none" w:sz="0" w:space="0" w:color="auto"/>
        <w:bottom w:val="none" w:sz="0" w:space="0" w:color="auto"/>
        <w:right w:val="none" w:sz="0" w:space="0" w:color="auto"/>
      </w:divBdr>
    </w:div>
    <w:div w:id="760419977">
      <w:bodyDiv w:val="1"/>
      <w:marLeft w:val="0"/>
      <w:marRight w:val="0"/>
      <w:marTop w:val="0"/>
      <w:marBottom w:val="0"/>
      <w:divBdr>
        <w:top w:val="none" w:sz="0" w:space="0" w:color="auto"/>
        <w:left w:val="none" w:sz="0" w:space="0" w:color="auto"/>
        <w:bottom w:val="none" w:sz="0" w:space="0" w:color="auto"/>
        <w:right w:val="none" w:sz="0" w:space="0" w:color="auto"/>
      </w:divBdr>
    </w:div>
    <w:div w:id="760445959">
      <w:bodyDiv w:val="1"/>
      <w:marLeft w:val="0"/>
      <w:marRight w:val="0"/>
      <w:marTop w:val="0"/>
      <w:marBottom w:val="0"/>
      <w:divBdr>
        <w:top w:val="none" w:sz="0" w:space="0" w:color="auto"/>
        <w:left w:val="none" w:sz="0" w:space="0" w:color="auto"/>
        <w:bottom w:val="none" w:sz="0" w:space="0" w:color="auto"/>
        <w:right w:val="none" w:sz="0" w:space="0" w:color="auto"/>
      </w:divBdr>
    </w:div>
    <w:div w:id="760446385">
      <w:bodyDiv w:val="1"/>
      <w:marLeft w:val="0"/>
      <w:marRight w:val="0"/>
      <w:marTop w:val="0"/>
      <w:marBottom w:val="0"/>
      <w:divBdr>
        <w:top w:val="none" w:sz="0" w:space="0" w:color="auto"/>
        <w:left w:val="none" w:sz="0" w:space="0" w:color="auto"/>
        <w:bottom w:val="none" w:sz="0" w:space="0" w:color="auto"/>
        <w:right w:val="none" w:sz="0" w:space="0" w:color="auto"/>
      </w:divBdr>
    </w:div>
    <w:div w:id="760487391">
      <w:bodyDiv w:val="1"/>
      <w:marLeft w:val="0"/>
      <w:marRight w:val="0"/>
      <w:marTop w:val="0"/>
      <w:marBottom w:val="0"/>
      <w:divBdr>
        <w:top w:val="none" w:sz="0" w:space="0" w:color="auto"/>
        <w:left w:val="none" w:sz="0" w:space="0" w:color="auto"/>
        <w:bottom w:val="none" w:sz="0" w:space="0" w:color="auto"/>
        <w:right w:val="none" w:sz="0" w:space="0" w:color="auto"/>
      </w:divBdr>
    </w:div>
    <w:div w:id="760567359">
      <w:bodyDiv w:val="1"/>
      <w:marLeft w:val="0"/>
      <w:marRight w:val="0"/>
      <w:marTop w:val="0"/>
      <w:marBottom w:val="0"/>
      <w:divBdr>
        <w:top w:val="none" w:sz="0" w:space="0" w:color="auto"/>
        <w:left w:val="none" w:sz="0" w:space="0" w:color="auto"/>
        <w:bottom w:val="none" w:sz="0" w:space="0" w:color="auto"/>
        <w:right w:val="none" w:sz="0" w:space="0" w:color="auto"/>
      </w:divBdr>
    </w:div>
    <w:div w:id="760642635">
      <w:bodyDiv w:val="1"/>
      <w:marLeft w:val="0"/>
      <w:marRight w:val="0"/>
      <w:marTop w:val="0"/>
      <w:marBottom w:val="0"/>
      <w:divBdr>
        <w:top w:val="none" w:sz="0" w:space="0" w:color="auto"/>
        <w:left w:val="none" w:sz="0" w:space="0" w:color="auto"/>
        <w:bottom w:val="none" w:sz="0" w:space="0" w:color="auto"/>
        <w:right w:val="none" w:sz="0" w:space="0" w:color="auto"/>
      </w:divBdr>
    </w:div>
    <w:div w:id="760681510">
      <w:bodyDiv w:val="1"/>
      <w:marLeft w:val="0"/>
      <w:marRight w:val="0"/>
      <w:marTop w:val="0"/>
      <w:marBottom w:val="0"/>
      <w:divBdr>
        <w:top w:val="none" w:sz="0" w:space="0" w:color="auto"/>
        <w:left w:val="none" w:sz="0" w:space="0" w:color="auto"/>
        <w:bottom w:val="none" w:sz="0" w:space="0" w:color="auto"/>
        <w:right w:val="none" w:sz="0" w:space="0" w:color="auto"/>
      </w:divBdr>
    </w:div>
    <w:div w:id="760880102">
      <w:bodyDiv w:val="1"/>
      <w:marLeft w:val="0"/>
      <w:marRight w:val="0"/>
      <w:marTop w:val="0"/>
      <w:marBottom w:val="0"/>
      <w:divBdr>
        <w:top w:val="none" w:sz="0" w:space="0" w:color="auto"/>
        <w:left w:val="none" w:sz="0" w:space="0" w:color="auto"/>
        <w:bottom w:val="none" w:sz="0" w:space="0" w:color="auto"/>
        <w:right w:val="none" w:sz="0" w:space="0" w:color="auto"/>
      </w:divBdr>
    </w:div>
    <w:div w:id="760881138">
      <w:bodyDiv w:val="1"/>
      <w:marLeft w:val="0"/>
      <w:marRight w:val="0"/>
      <w:marTop w:val="0"/>
      <w:marBottom w:val="0"/>
      <w:divBdr>
        <w:top w:val="none" w:sz="0" w:space="0" w:color="auto"/>
        <w:left w:val="none" w:sz="0" w:space="0" w:color="auto"/>
        <w:bottom w:val="none" w:sz="0" w:space="0" w:color="auto"/>
        <w:right w:val="none" w:sz="0" w:space="0" w:color="auto"/>
      </w:divBdr>
    </w:div>
    <w:div w:id="760953270">
      <w:bodyDiv w:val="1"/>
      <w:marLeft w:val="0"/>
      <w:marRight w:val="0"/>
      <w:marTop w:val="0"/>
      <w:marBottom w:val="0"/>
      <w:divBdr>
        <w:top w:val="none" w:sz="0" w:space="0" w:color="auto"/>
        <w:left w:val="none" w:sz="0" w:space="0" w:color="auto"/>
        <w:bottom w:val="none" w:sz="0" w:space="0" w:color="auto"/>
        <w:right w:val="none" w:sz="0" w:space="0" w:color="auto"/>
      </w:divBdr>
    </w:div>
    <w:div w:id="761027711">
      <w:bodyDiv w:val="1"/>
      <w:marLeft w:val="0"/>
      <w:marRight w:val="0"/>
      <w:marTop w:val="0"/>
      <w:marBottom w:val="0"/>
      <w:divBdr>
        <w:top w:val="none" w:sz="0" w:space="0" w:color="auto"/>
        <w:left w:val="none" w:sz="0" w:space="0" w:color="auto"/>
        <w:bottom w:val="none" w:sz="0" w:space="0" w:color="auto"/>
        <w:right w:val="none" w:sz="0" w:space="0" w:color="auto"/>
      </w:divBdr>
    </w:div>
    <w:div w:id="761070898">
      <w:bodyDiv w:val="1"/>
      <w:marLeft w:val="0"/>
      <w:marRight w:val="0"/>
      <w:marTop w:val="0"/>
      <w:marBottom w:val="0"/>
      <w:divBdr>
        <w:top w:val="none" w:sz="0" w:space="0" w:color="auto"/>
        <w:left w:val="none" w:sz="0" w:space="0" w:color="auto"/>
        <w:bottom w:val="none" w:sz="0" w:space="0" w:color="auto"/>
        <w:right w:val="none" w:sz="0" w:space="0" w:color="auto"/>
      </w:divBdr>
    </w:div>
    <w:div w:id="761149284">
      <w:bodyDiv w:val="1"/>
      <w:marLeft w:val="0"/>
      <w:marRight w:val="0"/>
      <w:marTop w:val="0"/>
      <w:marBottom w:val="0"/>
      <w:divBdr>
        <w:top w:val="none" w:sz="0" w:space="0" w:color="auto"/>
        <w:left w:val="none" w:sz="0" w:space="0" w:color="auto"/>
        <w:bottom w:val="none" w:sz="0" w:space="0" w:color="auto"/>
        <w:right w:val="none" w:sz="0" w:space="0" w:color="auto"/>
      </w:divBdr>
    </w:div>
    <w:div w:id="761266780">
      <w:bodyDiv w:val="1"/>
      <w:marLeft w:val="0"/>
      <w:marRight w:val="0"/>
      <w:marTop w:val="0"/>
      <w:marBottom w:val="0"/>
      <w:divBdr>
        <w:top w:val="none" w:sz="0" w:space="0" w:color="auto"/>
        <w:left w:val="none" w:sz="0" w:space="0" w:color="auto"/>
        <w:bottom w:val="none" w:sz="0" w:space="0" w:color="auto"/>
        <w:right w:val="none" w:sz="0" w:space="0" w:color="auto"/>
      </w:divBdr>
    </w:div>
    <w:div w:id="761340485">
      <w:bodyDiv w:val="1"/>
      <w:marLeft w:val="0"/>
      <w:marRight w:val="0"/>
      <w:marTop w:val="0"/>
      <w:marBottom w:val="0"/>
      <w:divBdr>
        <w:top w:val="none" w:sz="0" w:space="0" w:color="auto"/>
        <w:left w:val="none" w:sz="0" w:space="0" w:color="auto"/>
        <w:bottom w:val="none" w:sz="0" w:space="0" w:color="auto"/>
        <w:right w:val="none" w:sz="0" w:space="0" w:color="auto"/>
      </w:divBdr>
    </w:div>
    <w:div w:id="761340826">
      <w:bodyDiv w:val="1"/>
      <w:marLeft w:val="0"/>
      <w:marRight w:val="0"/>
      <w:marTop w:val="0"/>
      <w:marBottom w:val="0"/>
      <w:divBdr>
        <w:top w:val="none" w:sz="0" w:space="0" w:color="auto"/>
        <w:left w:val="none" w:sz="0" w:space="0" w:color="auto"/>
        <w:bottom w:val="none" w:sz="0" w:space="0" w:color="auto"/>
        <w:right w:val="none" w:sz="0" w:space="0" w:color="auto"/>
      </w:divBdr>
    </w:div>
    <w:div w:id="761412559">
      <w:bodyDiv w:val="1"/>
      <w:marLeft w:val="0"/>
      <w:marRight w:val="0"/>
      <w:marTop w:val="0"/>
      <w:marBottom w:val="0"/>
      <w:divBdr>
        <w:top w:val="none" w:sz="0" w:space="0" w:color="auto"/>
        <w:left w:val="none" w:sz="0" w:space="0" w:color="auto"/>
        <w:bottom w:val="none" w:sz="0" w:space="0" w:color="auto"/>
        <w:right w:val="none" w:sz="0" w:space="0" w:color="auto"/>
      </w:divBdr>
    </w:div>
    <w:div w:id="761611441">
      <w:bodyDiv w:val="1"/>
      <w:marLeft w:val="0"/>
      <w:marRight w:val="0"/>
      <w:marTop w:val="0"/>
      <w:marBottom w:val="0"/>
      <w:divBdr>
        <w:top w:val="none" w:sz="0" w:space="0" w:color="auto"/>
        <w:left w:val="none" w:sz="0" w:space="0" w:color="auto"/>
        <w:bottom w:val="none" w:sz="0" w:space="0" w:color="auto"/>
        <w:right w:val="none" w:sz="0" w:space="0" w:color="auto"/>
      </w:divBdr>
    </w:div>
    <w:div w:id="761611688">
      <w:bodyDiv w:val="1"/>
      <w:marLeft w:val="0"/>
      <w:marRight w:val="0"/>
      <w:marTop w:val="0"/>
      <w:marBottom w:val="0"/>
      <w:divBdr>
        <w:top w:val="none" w:sz="0" w:space="0" w:color="auto"/>
        <w:left w:val="none" w:sz="0" w:space="0" w:color="auto"/>
        <w:bottom w:val="none" w:sz="0" w:space="0" w:color="auto"/>
        <w:right w:val="none" w:sz="0" w:space="0" w:color="auto"/>
      </w:divBdr>
    </w:div>
    <w:div w:id="761679023">
      <w:bodyDiv w:val="1"/>
      <w:marLeft w:val="0"/>
      <w:marRight w:val="0"/>
      <w:marTop w:val="0"/>
      <w:marBottom w:val="0"/>
      <w:divBdr>
        <w:top w:val="none" w:sz="0" w:space="0" w:color="auto"/>
        <w:left w:val="none" w:sz="0" w:space="0" w:color="auto"/>
        <w:bottom w:val="none" w:sz="0" w:space="0" w:color="auto"/>
        <w:right w:val="none" w:sz="0" w:space="0" w:color="auto"/>
      </w:divBdr>
    </w:div>
    <w:div w:id="761682186">
      <w:bodyDiv w:val="1"/>
      <w:marLeft w:val="0"/>
      <w:marRight w:val="0"/>
      <w:marTop w:val="0"/>
      <w:marBottom w:val="0"/>
      <w:divBdr>
        <w:top w:val="none" w:sz="0" w:space="0" w:color="auto"/>
        <w:left w:val="none" w:sz="0" w:space="0" w:color="auto"/>
        <w:bottom w:val="none" w:sz="0" w:space="0" w:color="auto"/>
        <w:right w:val="none" w:sz="0" w:space="0" w:color="auto"/>
      </w:divBdr>
    </w:div>
    <w:div w:id="761685378">
      <w:bodyDiv w:val="1"/>
      <w:marLeft w:val="0"/>
      <w:marRight w:val="0"/>
      <w:marTop w:val="0"/>
      <w:marBottom w:val="0"/>
      <w:divBdr>
        <w:top w:val="none" w:sz="0" w:space="0" w:color="auto"/>
        <w:left w:val="none" w:sz="0" w:space="0" w:color="auto"/>
        <w:bottom w:val="none" w:sz="0" w:space="0" w:color="auto"/>
        <w:right w:val="none" w:sz="0" w:space="0" w:color="auto"/>
      </w:divBdr>
    </w:div>
    <w:div w:id="761798930">
      <w:bodyDiv w:val="1"/>
      <w:marLeft w:val="0"/>
      <w:marRight w:val="0"/>
      <w:marTop w:val="0"/>
      <w:marBottom w:val="0"/>
      <w:divBdr>
        <w:top w:val="none" w:sz="0" w:space="0" w:color="auto"/>
        <w:left w:val="none" w:sz="0" w:space="0" w:color="auto"/>
        <w:bottom w:val="none" w:sz="0" w:space="0" w:color="auto"/>
        <w:right w:val="none" w:sz="0" w:space="0" w:color="auto"/>
      </w:divBdr>
    </w:div>
    <w:div w:id="761805932">
      <w:bodyDiv w:val="1"/>
      <w:marLeft w:val="0"/>
      <w:marRight w:val="0"/>
      <w:marTop w:val="0"/>
      <w:marBottom w:val="0"/>
      <w:divBdr>
        <w:top w:val="none" w:sz="0" w:space="0" w:color="auto"/>
        <w:left w:val="none" w:sz="0" w:space="0" w:color="auto"/>
        <w:bottom w:val="none" w:sz="0" w:space="0" w:color="auto"/>
        <w:right w:val="none" w:sz="0" w:space="0" w:color="auto"/>
      </w:divBdr>
    </w:div>
    <w:div w:id="761877649">
      <w:bodyDiv w:val="1"/>
      <w:marLeft w:val="0"/>
      <w:marRight w:val="0"/>
      <w:marTop w:val="0"/>
      <w:marBottom w:val="0"/>
      <w:divBdr>
        <w:top w:val="none" w:sz="0" w:space="0" w:color="auto"/>
        <w:left w:val="none" w:sz="0" w:space="0" w:color="auto"/>
        <w:bottom w:val="none" w:sz="0" w:space="0" w:color="auto"/>
        <w:right w:val="none" w:sz="0" w:space="0" w:color="auto"/>
      </w:divBdr>
    </w:div>
    <w:div w:id="761878768">
      <w:bodyDiv w:val="1"/>
      <w:marLeft w:val="0"/>
      <w:marRight w:val="0"/>
      <w:marTop w:val="0"/>
      <w:marBottom w:val="0"/>
      <w:divBdr>
        <w:top w:val="none" w:sz="0" w:space="0" w:color="auto"/>
        <w:left w:val="none" w:sz="0" w:space="0" w:color="auto"/>
        <w:bottom w:val="none" w:sz="0" w:space="0" w:color="auto"/>
        <w:right w:val="none" w:sz="0" w:space="0" w:color="auto"/>
      </w:divBdr>
    </w:div>
    <w:div w:id="761948899">
      <w:bodyDiv w:val="1"/>
      <w:marLeft w:val="0"/>
      <w:marRight w:val="0"/>
      <w:marTop w:val="0"/>
      <w:marBottom w:val="0"/>
      <w:divBdr>
        <w:top w:val="none" w:sz="0" w:space="0" w:color="auto"/>
        <w:left w:val="none" w:sz="0" w:space="0" w:color="auto"/>
        <w:bottom w:val="none" w:sz="0" w:space="0" w:color="auto"/>
        <w:right w:val="none" w:sz="0" w:space="0" w:color="auto"/>
      </w:divBdr>
    </w:div>
    <w:div w:id="761990568">
      <w:bodyDiv w:val="1"/>
      <w:marLeft w:val="0"/>
      <w:marRight w:val="0"/>
      <w:marTop w:val="0"/>
      <w:marBottom w:val="0"/>
      <w:divBdr>
        <w:top w:val="none" w:sz="0" w:space="0" w:color="auto"/>
        <w:left w:val="none" w:sz="0" w:space="0" w:color="auto"/>
        <w:bottom w:val="none" w:sz="0" w:space="0" w:color="auto"/>
        <w:right w:val="none" w:sz="0" w:space="0" w:color="auto"/>
      </w:divBdr>
    </w:div>
    <w:div w:id="762147077">
      <w:bodyDiv w:val="1"/>
      <w:marLeft w:val="0"/>
      <w:marRight w:val="0"/>
      <w:marTop w:val="0"/>
      <w:marBottom w:val="0"/>
      <w:divBdr>
        <w:top w:val="none" w:sz="0" w:space="0" w:color="auto"/>
        <w:left w:val="none" w:sz="0" w:space="0" w:color="auto"/>
        <w:bottom w:val="none" w:sz="0" w:space="0" w:color="auto"/>
        <w:right w:val="none" w:sz="0" w:space="0" w:color="auto"/>
      </w:divBdr>
    </w:div>
    <w:div w:id="762192554">
      <w:bodyDiv w:val="1"/>
      <w:marLeft w:val="0"/>
      <w:marRight w:val="0"/>
      <w:marTop w:val="0"/>
      <w:marBottom w:val="0"/>
      <w:divBdr>
        <w:top w:val="none" w:sz="0" w:space="0" w:color="auto"/>
        <w:left w:val="none" w:sz="0" w:space="0" w:color="auto"/>
        <w:bottom w:val="none" w:sz="0" w:space="0" w:color="auto"/>
        <w:right w:val="none" w:sz="0" w:space="0" w:color="auto"/>
      </w:divBdr>
    </w:div>
    <w:div w:id="762460322">
      <w:bodyDiv w:val="1"/>
      <w:marLeft w:val="0"/>
      <w:marRight w:val="0"/>
      <w:marTop w:val="0"/>
      <w:marBottom w:val="0"/>
      <w:divBdr>
        <w:top w:val="none" w:sz="0" w:space="0" w:color="auto"/>
        <w:left w:val="none" w:sz="0" w:space="0" w:color="auto"/>
        <w:bottom w:val="none" w:sz="0" w:space="0" w:color="auto"/>
        <w:right w:val="none" w:sz="0" w:space="0" w:color="auto"/>
      </w:divBdr>
    </w:div>
    <w:div w:id="762532948">
      <w:bodyDiv w:val="1"/>
      <w:marLeft w:val="0"/>
      <w:marRight w:val="0"/>
      <w:marTop w:val="0"/>
      <w:marBottom w:val="0"/>
      <w:divBdr>
        <w:top w:val="none" w:sz="0" w:space="0" w:color="auto"/>
        <w:left w:val="none" w:sz="0" w:space="0" w:color="auto"/>
        <w:bottom w:val="none" w:sz="0" w:space="0" w:color="auto"/>
        <w:right w:val="none" w:sz="0" w:space="0" w:color="auto"/>
      </w:divBdr>
    </w:div>
    <w:div w:id="762650553">
      <w:bodyDiv w:val="1"/>
      <w:marLeft w:val="0"/>
      <w:marRight w:val="0"/>
      <w:marTop w:val="0"/>
      <w:marBottom w:val="0"/>
      <w:divBdr>
        <w:top w:val="none" w:sz="0" w:space="0" w:color="auto"/>
        <w:left w:val="none" w:sz="0" w:space="0" w:color="auto"/>
        <w:bottom w:val="none" w:sz="0" w:space="0" w:color="auto"/>
        <w:right w:val="none" w:sz="0" w:space="0" w:color="auto"/>
      </w:divBdr>
    </w:div>
    <w:div w:id="762727867">
      <w:bodyDiv w:val="1"/>
      <w:marLeft w:val="0"/>
      <w:marRight w:val="0"/>
      <w:marTop w:val="0"/>
      <w:marBottom w:val="0"/>
      <w:divBdr>
        <w:top w:val="none" w:sz="0" w:space="0" w:color="auto"/>
        <w:left w:val="none" w:sz="0" w:space="0" w:color="auto"/>
        <w:bottom w:val="none" w:sz="0" w:space="0" w:color="auto"/>
        <w:right w:val="none" w:sz="0" w:space="0" w:color="auto"/>
      </w:divBdr>
    </w:div>
    <w:div w:id="762841829">
      <w:bodyDiv w:val="1"/>
      <w:marLeft w:val="0"/>
      <w:marRight w:val="0"/>
      <w:marTop w:val="0"/>
      <w:marBottom w:val="0"/>
      <w:divBdr>
        <w:top w:val="none" w:sz="0" w:space="0" w:color="auto"/>
        <w:left w:val="none" w:sz="0" w:space="0" w:color="auto"/>
        <w:bottom w:val="none" w:sz="0" w:space="0" w:color="auto"/>
        <w:right w:val="none" w:sz="0" w:space="0" w:color="auto"/>
      </w:divBdr>
    </w:div>
    <w:div w:id="762913917">
      <w:bodyDiv w:val="1"/>
      <w:marLeft w:val="0"/>
      <w:marRight w:val="0"/>
      <w:marTop w:val="0"/>
      <w:marBottom w:val="0"/>
      <w:divBdr>
        <w:top w:val="none" w:sz="0" w:space="0" w:color="auto"/>
        <w:left w:val="none" w:sz="0" w:space="0" w:color="auto"/>
        <w:bottom w:val="none" w:sz="0" w:space="0" w:color="auto"/>
        <w:right w:val="none" w:sz="0" w:space="0" w:color="auto"/>
      </w:divBdr>
    </w:div>
    <w:div w:id="762920887">
      <w:bodyDiv w:val="1"/>
      <w:marLeft w:val="0"/>
      <w:marRight w:val="0"/>
      <w:marTop w:val="0"/>
      <w:marBottom w:val="0"/>
      <w:divBdr>
        <w:top w:val="none" w:sz="0" w:space="0" w:color="auto"/>
        <w:left w:val="none" w:sz="0" w:space="0" w:color="auto"/>
        <w:bottom w:val="none" w:sz="0" w:space="0" w:color="auto"/>
        <w:right w:val="none" w:sz="0" w:space="0" w:color="auto"/>
      </w:divBdr>
    </w:div>
    <w:div w:id="763038067">
      <w:bodyDiv w:val="1"/>
      <w:marLeft w:val="0"/>
      <w:marRight w:val="0"/>
      <w:marTop w:val="0"/>
      <w:marBottom w:val="0"/>
      <w:divBdr>
        <w:top w:val="none" w:sz="0" w:space="0" w:color="auto"/>
        <w:left w:val="none" w:sz="0" w:space="0" w:color="auto"/>
        <w:bottom w:val="none" w:sz="0" w:space="0" w:color="auto"/>
        <w:right w:val="none" w:sz="0" w:space="0" w:color="auto"/>
      </w:divBdr>
    </w:div>
    <w:div w:id="763107246">
      <w:bodyDiv w:val="1"/>
      <w:marLeft w:val="0"/>
      <w:marRight w:val="0"/>
      <w:marTop w:val="0"/>
      <w:marBottom w:val="0"/>
      <w:divBdr>
        <w:top w:val="none" w:sz="0" w:space="0" w:color="auto"/>
        <w:left w:val="none" w:sz="0" w:space="0" w:color="auto"/>
        <w:bottom w:val="none" w:sz="0" w:space="0" w:color="auto"/>
        <w:right w:val="none" w:sz="0" w:space="0" w:color="auto"/>
      </w:divBdr>
    </w:div>
    <w:div w:id="763259541">
      <w:bodyDiv w:val="1"/>
      <w:marLeft w:val="0"/>
      <w:marRight w:val="0"/>
      <w:marTop w:val="0"/>
      <w:marBottom w:val="0"/>
      <w:divBdr>
        <w:top w:val="none" w:sz="0" w:space="0" w:color="auto"/>
        <w:left w:val="none" w:sz="0" w:space="0" w:color="auto"/>
        <w:bottom w:val="none" w:sz="0" w:space="0" w:color="auto"/>
        <w:right w:val="none" w:sz="0" w:space="0" w:color="auto"/>
      </w:divBdr>
    </w:div>
    <w:div w:id="763455410">
      <w:bodyDiv w:val="1"/>
      <w:marLeft w:val="0"/>
      <w:marRight w:val="0"/>
      <w:marTop w:val="0"/>
      <w:marBottom w:val="0"/>
      <w:divBdr>
        <w:top w:val="none" w:sz="0" w:space="0" w:color="auto"/>
        <w:left w:val="none" w:sz="0" w:space="0" w:color="auto"/>
        <w:bottom w:val="none" w:sz="0" w:space="0" w:color="auto"/>
        <w:right w:val="none" w:sz="0" w:space="0" w:color="auto"/>
      </w:divBdr>
    </w:div>
    <w:div w:id="763494550">
      <w:bodyDiv w:val="1"/>
      <w:marLeft w:val="0"/>
      <w:marRight w:val="0"/>
      <w:marTop w:val="0"/>
      <w:marBottom w:val="0"/>
      <w:divBdr>
        <w:top w:val="none" w:sz="0" w:space="0" w:color="auto"/>
        <w:left w:val="none" w:sz="0" w:space="0" w:color="auto"/>
        <w:bottom w:val="none" w:sz="0" w:space="0" w:color="auto"/>
        <w:right w:val="none" w:sz="0" w:space="0" w:color="auto"/>
      </w:divBdr>
    </w:div>
    <w:div w:id="763570927">
      <w:bodyDiv w:val="1"/>
      <w:marLeft w:val="0"/>
      <w:marRight w:val="0"/>
      <w:marTop w:val="0"/>
      <w:marBottom w:val="0"/>
      <w:divBdr>
        <w:top w:val="none" w:sz="0" w:space="0" w:color="auto"/>
        <w:left w:val="none" w:sz="0" w:space="0" w:color="auto"/>
        <w:bottom w:val="none" w:sz="0" w:space="0" w:color="auto"/>
        <w:right w:val="none" w:sz="0" w:space="0" w:color="auto"/>
      </w:divBdr>
    </w:div>
    <w:div w:id="763574277">
      <w:bodyDiv w:val="1"/>
      <w:marLeft w:val="0"/>
      <w:marRight w:val="0"/>
      <w:marTop w:val="0"/>
      <w:marBottom w:val="0"/>
      <w:divBdr>
        <w:top w:val="none" w:sz="0" w:space="0" w:color="auto"/>
        <w:left w:val="none" w:sz="0" w:space="0" w:color="auto"/>
        <w:bottom w:val="none" w:sz="0" w:space="0" w:color="auto"/>
        <w:right w:val="none" w:sz="0" w:space="0" w:color="auto"/>
      </w:divBdr>
    </w:div>
    <w:div w:id="763577748">
      <w:bodyDiv w:val="1"/>
      <w:marLeft w:val="0"/>
      <w:marRight w:val="0"/>
      <w:marTop w:val="0"/>
      <w:marBottom w:val="0"/>
      <w:divBdr>
        <w:top w:val="none" w:sz="0" w:space="0" w:color="auto"/>
        <w:left w:val="none" w:sz="0" w:space="0" w:color="auto"/>
        <w:bottom w:val="none" w:sz="0" w:space="0" w:color="auto"/>
        <w:right w:val="none" w:sz="0" w:space="0" w:color="auto"/>
      </w:divBdr>
    </w:div>
    <w:div w:id="763649761">
      <w:bodyDiv w:val="1"/>
      <w:marLeft w:val="0"/>
      <w:marRight w:val="0"/>
      <w:marTop w:val="0"/>
      <w:marBottom w:val="0"/>
      <w:divBdr>
        <w:top w:val="none" w:sz="0" w:space="0" w:color="auto"/>
        <w:left w:val="none" w:sz="0" w:space="0" w:color="auto"/>
        <w:bottom w:val="none" w:sz="0" w:space="0" w:color="auto"/>
        <w:right w:val="none" w:sz="0" w:space="0" w:color="auto"/>
      </w:divBdr>
    </w:div>
    <w:div w:id="763654056">
      <w:bodyDiv w:val="1"/>
      <w:marLeft w:val="0"/>
      <w:marRight w:val="0"/>
      <w:marTop w:val="0"/>
      <w:marBottom w:val="0"/>
      <w:divBdr>
        <w:top w:val="none" w:sz="0" w:space="0" w:color="auto"/>
        <w:left w:val="none" w:sz="0" w:space="0" w:color="auto"/>
        <w:bottom w:val="none" w:sz="0" w:space="0" w:color="auto"/>
        <w:right w:val="none" w:sz="0" w:space="0" w:color="auto"/>
      </w:divBdr>
    </w:div>
    <w:div w:id="763694069">
      <w:bodyDiv w:val="1"/>
      <w:marLeft w:val="0"/>
      <w:marRight w:val="0"/>
      <w:marTop w:val="0"/>
      <w:marBottom w:val="0"/>
      <w:divBdr>
        <w:top w:val="none" w:sz="0" w:space="0" w:color="auto"/>
        <w:left w:val="none" w:sz="0" w:space="0" w:color="auto"/>
        <w:bottom w:val="none" w:sz="0" w:space="0" w:color="auto"/>
        <w:right w:val="none" w:sz="0" w:space="0" w:color="auto"/>
      </w:divBdr>
    </w:div>
    <w:div w:id="763762347">
      <w:bodyDiv w:val="1"/>
      <w:marLeft w:val="0"/>
      <w:marRight w:val="0"/>
      <w:marTop w:val="0"/>
      <w:marBottom w:val="0"/>
      <w:divBdr>
        <w:top w:val="none" w:sz="0" w:space="0" w:color="auto"/>
        <w:left w:val="none" w:sz="0" w:space="0" w:color="auto"/>
        <w:bottom w:val="none" w:sz="0" w:space="0" w:color="auto"/>
        <w:right w:val="none" w:sz="0" w:space="0" w:color="auto"/>
      </w:divBdr>
    </w:div>
    <w:div w:id="763763099">
      <w:bodyDiv w:val="1"/>
      <w:marLeft w:val="0"/>
      <w:marRight w:val="0"/>
      <w:marTop w:val="0"/>
      <w:marBottom w:val="0"/>
      <w:divBdr>
        <w:top w:val="none" w:sz="0" w:space="0" w:color="auto"/>
        <w:left w:val="none" w:sz="0" w:space="0" w:color="auto"/>
        <w:bottom w:val="none" w:sz="0" w:space="0" w:color="auto"/>
        <w:right w:val="none" w:sz="0" w:space="0" w:color="auto"/>
      </w:divBdr>
    </w:div>
    <w:div w:id="763960007">
      <w:bodyDiv w:val="1"/>
      <w:marLeft w:val="0"/>
      <w:marRight w:val="0"/>
      <w:marTop w:val="0"/>
      <w:marBottom w:val="0"/>
      <w:divBdr>
        <w:top w:val="none" w:sz="0" w:space="0" w:color="auto"/>
        <w:left w:val="none" w:sz="0" w:space="0" w:color="auto"/>
        <w:bottom w:val="none" w:sz="0" w:space="0" w:color="auto"/>
        <w:right w:val="none" w:sz="0" w:space="0" w:color="auto"/>
      </w:divBdr>
    </w:div>
    <w:div w:id="764233923">
      <w:bodyDiv w:val="1"/>
      <w:marLeft w:val="0"/>
      <w:marRight w:val="0"/>
      <w:marTop w:val="0"/>
      <w:marBottom w:val="0"/>
      <w:divBdr>
        <w:top w:val="none" w:sz="0" w:space="0" w:color="auto"/>
        <w:left w:val="none" w:sz="0" w:space="0" w:color="auto"/>
        <w:bottom w:val="none" w:sz="0" w:space="0" w:color="auto"/>
        <w:right w:val="none" w:sz="0" w:space="0" w:color="auto"/>
      </w:divBdr>
    </w:div>
    <w:div w:id="764305162">
      <w:bodyDiv w:val="1"/>
      <w:marLeft w:val="0"/>
      <w:marRight w:val="0"/>
      <w:marTop w:val="0"/>
      <w:marBottom w:val="0"/>
      <w:divBdr>
        <w:top w:val="none" w:sz="0" w:space="0" w:color="auto"/>
        <w:left w:val="none" w:sz="0" w:space="0" w:color="auto"/>
        <w:bottom w:val="none" w:sz="0" w:space="0" w:color="auto"/>
        <w:right w:val="none" w:sz="0" w:space="0" w:color="auto"/>
      </w:divBdr>
    </w:div>
    <w:div w:id="764307356">
      <w:bodyDiv w:val="1"/>
      <w:marLeft w:val="0"/>
      <w:marRight w:val="0"/>
      <w:marTop w:val="0"/>
      <w:marBottom w:val="0"/>
      <w:divBdr>
        <w:top w:val="none" w:sz="0" w:space="0" w:color="auto"/>
        <w:left w:val="none" w:sz="0" w:space="0" w:color="auto"/>
        <w:bottom w:val="none" w:sz="0" w:space="0" w:color="auto"/>
        <w:right w:val="none" w:sz="0" w:space="0" w:color="auto"/>
      </w:divBdr>
    </w:div>
    <w:div w:id="764350918">
      <w:bodyDiv w:val="1"/>
      <w:marLeft w:val="0"/>
      <w:marRight w:val="0"/>
      <w:marTop w:val="0"/>
      <w:marBottom w:val="0"/>
      <w:divBdr>
        <w:top w:val="none" w:sz="0" w:space="0" w:color="auto"/>
        <w:left w:val="none" w:sz="0" w:space="0" w:color="auto"/>
        <w:bottom w:val="none" w:sz="0" w:space="0" w:color="auto"/>
        <w:right w:val="none" w:sz="0" w:space="0" w:color="auto"/>
      </w:divBdr>
    </w:div>
    <w:div w:id="764375750">
      <w:bodyDiv w:val="1"/>
      <w:marLeft w:val="0"/>
      <w:marRight w:val="0"/>
      <w:marTop w:val="0"/>
      <w:marBottom w:val="0"/>
      <w:divBdr>
        <w:top w:val="none" w:sz="0" w:space="0" w:color="auto"/>
        <w:left w:val="none" w:sz="0" w:space="0" w:color="auto"/>
        <w:bottom w:val="none" w:sz="0" w:space="0" w:color="auto"/>
        <w:right w:val="none" w:sz="0" w:space="0" w:color="auto"/>
      </w:divBdr>
    </w:div>
    <w:div w:id="764544318">
      <w:bodyDiv w:val="1"/>
      <w:marLeft w:val="0"/>
      <w:marRight w:val="0"/>
      <w:marTop w:val="0"/>
      <w:marBottom w:val="0"/>
      <w:divBdr>
        <w:top w:val="none" w:sz="0" w:space="0" w:color="auto"/>
        <w:left w:val="none" w:sz="0" w:space="0" w:color="auto"/>
        <w:bottom w:val="none" w:sz="0" w:space="0" w:color="auto"/>
        <w:right w:val="none" w:sz="0" w:space="0" w:color="auto"/>
      </w:divBdr>
    </w:div>
    <w:div w:id="764686369">
      <w:bodyDiv w:val="1"/>
      <w:marLeft w:val="0"/>
      <w:marRight w:val="0"/>
      <w:marTop w:val="0"/>
      <w:marBottom w:val="0"/>
      <w:divBdr>
        <w:top w:val="none" w:sz="0" w:space="0" w:color="auto"/>
        <w:left w:val="none" w:sz="0" w:space="0" w:color="auto"/>
        <w:bottom w:val="none" w:sz="0" w:space="0" w:color="auto"/>
        <w:right w:val="none" w:sz="0" w:space="0" w:color="auto"/>
      </w:divBdr>
    </w:div>
    <w:div w:id="764690296">
      <w:bodyDiv w:val="1"/>
      <w:marLeft w:val="0"/>
      <w:marRight w:val="0"/>
      <w:marTop w:val="0"/>
      <w:marBottom w:val="0"/>
      <w:divBdr>
        <w:top w:val="none" w:sz="0" w:space="0" w:color="auto"/>
        <w:left w:val="none" w:sz="0" w:space="0" w:color="auto"/>
        <w:bottom w:val="none" w:sz="0" w:space="0" w:color="auto"/>
        <w:right w:val="none" w:sz="0" w:space="0" w:color="auto"/>
      </w:divBdr>
    </w:div>
    <w:div w:id="764807205">
      <w:bodyDiv w:val="1"/>
      <w:marLeft w:val="0"/>
      <w:marRight w:val="0"/>
      <w:marTop w:val="0"/>
      <w:marBottom w:val="0"/>
      <w:divBdr>
        <w:top w:val="none" w:sz="0" w:space="0" w:color="auto"/>
        <w:left w:val="none" w:sz="0" w:space="0" w:color="auto"/>
        <w:bottom w:val="none" w:sz="0" w:space="0" w:color="auto"/>
        <w:right w:val="none" w:sz="0" w:space="0" w:color="auto"/>
      </w:divBdr>
    </w:div>
    <w:div w:id="764812206">
      <w:bodyDiv w:val="1"/>
      <w:marLeft w:val="0"/>
      <w:marRight w:val="0"/>
      <w:marTop w:val="0"/>
      <w:marBottom w:val="0"/>
      <w:divBdr>
        <w:top w:val="none" w:sz="0" w:space="0" w:color="auto"/>
        <w:left w:val="none" w:sz="0" w:space="0" w:color="auto"/>
        <w:bottom w:val="none" w:sz="0" w:space="0" w:color="auto"/>
        <w:right w:val="none" w:sz="0" w:space="0" w:color="auto"/>
      </w:divBdr>
    </w:div>
    <w:div w:id="764883305">
      <w:bodyDiv w:val="1"/>
      <w:marLeft w:val="0"/>
      <w:marRight w:val="0"/>
      <w:marTop w:val="0"/>
      <w:marBottom w:val="0"/>
      <w:divBdr>
        <w:top w:val="none" w:sz="0" w:space="0" w:color="auto"/>
        <w:left w:val="none" w:sz="0" w:space="0" w:color="auto"/>
        <w:bottom w:val="none" w:sz="0" w:space="0" w:color="auto"/>
        <w:right w:val="none" w:sz="0" w:space="0" w:color="auto"/>
      </w:divBdr>
    </w:div>
    <w:div w:id="764959709">
      <w:bodyDiv w:val="1"/>
      <w:marLeft w:val="0"/>
      <w:marRight w:val="0"/>
      <w:marTop w:val="0"/>
      <w:marBottom w:val="0"/>
      <w:divBdr>
        <w:top w:val="none" w:sz="0" w:space="0" w:color="auto"/>
        <w:left w:val="none" w:sz="0" w:space="0" w:color="auto"/>
        <w:bottom w:val="none" w:sz="0" w:space="0" w:color="auto"/>
        <w:right w:val="none" w:sz="0" w:space="0" w:color="auto"/>
      </w:divBdr>
    </w:div>
    <w:div w:id="765076294">
      <w:bodyDiv w:val="1"/>
      <w:marLeft w:val="0"/>
      <w:marRight w:val="0"/>
      <w:marTop w:val="0"/>
      <w:marBottom w:val="0"/>
      <w:divBdr>
        <w:top w:val="none" w:sz="0" w:space="0" w:color="auto"/>
        <w:left w:val="none" w:sz="0" w:space="0" w:color="auto"/>
        <w:bottom w:val="none" w:sz="0" w:space="0" w:color="auto"/>
        <w:right w:val="none" w:sz="0" w:space="0" w:color="auto"/>
      </w:divBdr>
    </w:div>
    <w:div w:id="765077161">
      <w:bodyDiv w:val="1"/>
      <w:marLeft w:val="0"/>
      <w:marRight w:val="0"/>
      <w:marTop w:val="0"/>
      <w:marBottom w:val="0"/>
      <w:divBdr>
        <w:top w:val="none" w:sz="0" w:space="0" w:color="auto"/>
        <w:left w:val="none" w:sz="0" w:space="0" w:color="auto"/>
        <w:bottom w:val="none" w:sz="0" w:space="0" w:color="auto"/>
        <w:right w:val="none" w:sz="0" w:space="0" w:color="auto"/>
      </w:divBdr>
    </w:div>
    <w:div w:id="765082578">
      <w:bodyDiv w:val="1"/>
      <w:marLeft w:val="0"/>
      <w:marRight w:val="0"/>
      <w:marTop w:val="0"/>
      <w:marBottom w:val="0"/>
      <w:divBdr>
        <w:top w:val="none" w:sz="0" w:space="0" w:color="auto"/>
        <w:left w:val="none" w:sz="0" w:space="0" w:color="auto"/>
        <w:bottom w:val="none" w:sz="0" w:space="0" w:color="auto"/>
        <w:right w:val="none" w:sz="0" w:space="0" w:color="auto"/>
      </w:divBdr>
    </w:div>
    <w:div w:id="765199178">
      <w:bodyDiv w:val="1"/>
      <w:marLeft w:val="0"/>
      <w:marRight w:val="0"/>
      <w:marTop w:val="0"/>
      <w:marBottom w:val="0"/>
      <w:divBdr>
        <w:top w:val="none" w:sz="0" w:space="0" w:color="auto"/>
        <w:left w:val="none" w:sz="0" w:space="0" w:color="auto"/>
        <w:bottom w:val="none" w:sz="0" w:space="0" w:color="auto"/>
        <w:right w:val="none" w:sz="0" w:space="0" w:color="auto"/>
      </w:divBdr>
    </w:div>
    <w:div w:id="765224381">
      <w:bodyDiv w:val="1"/>
      <w:marLeft w:val="0"/>
      <w:marRight w:val="0"/>
      <w:marTop w:val="0"/>
      <w:marBottom w:val="0"/>
      <w:divBdr>
        <w:top w:val="none" w:sz="0" w:space="0" w:color="auto"/>
        <w:left w:val="none" w:sz="0" w:space="0" w:color="auto"/>
        <w:bottom w:val="none" w:sz="0" w:space="0" w:color="auto"/>
        <w:right w:val="none" w:sz="0" w:space="0" w:color="auto"/>
      </w:divBdr>
    </w:div>
    <w:div w:id="765274612">
      <w:bodyDiv w:val="1"/>
      <w:marLeft w:val="0"/>
      <w:marRight w:val="0"/>
      <w:marTop w:val="0"/>
      <w:marBottom w:val="0"/>
      <w:divBdr>
        <w:top w:val="none" w:sz="0" w:space="0" w:color="auto"/>
        <w:left w:val="none" w:sz="0" w:space="0" w:color="auto"/>
        <w:bottom w:val="none" w:sz="0" w:space="0" w:color="auto"/>
        <w:right w:val="none" w:sz="0" w:space="0" w:color="auto"/>
      </w:divBdr>
    </w:div>
    <w:div w:id="765345287">
      <w:bodyDiv w:val="1"/>
      <w:marLeft w:val="0"/>
      <w:marRight w:val="0"/>
      <w:marTop w:val="0"/>
      <w:marBottom w:val="0"/>
      <w:divBdr>
        <w:top w:val="none" w:sz="0" w:space="0" w:color="auto"/>
        <w:left w:val="none" w:sz="0" w:space="0" w:color="auto"/>
        <w:bottom w:val="none" w:sz="0" w:space="0" w:color="auto"/>
        <w:right w:val="none" w:sz="0" w:space="0" w:color="auto"/>
      </w:divBdr>
    </w:div>
    <w:div w:id="765345661">
      <w:bodyDiv w:val="1"/>
      <w:marLeft w:val="0"/>
      <w:marRight w:val="0"/>
      <w:marTop w:val="0"/>
      <w:marBottom w:val="0"/>
      <w:divBdr>
        <w:top w:val="none" w:sz="0" w:space="0" w:color="auto"/>
        <w:left w:val="none" w:sz="0" w:space="0" w:color="auto"/>
        <w:bottom w:val="none" w:sz="0" w:space="0" w:color="auto"/>
        <w:right w:val="none" w:sz="0" w:space="0" w:color="auto"/>
      </w:divBdr>
    </w:div>
    <w:div w:id="765351104">
      <w:bodyDiv w:val="1"/>
      <w:marLeft w:val="0"/>
      <w:marRight w:val="0"/>
      <w:marTop w:val="0"/>
      <w:marBottom w:val="0"/>
      <w:divBdr>
        <w:top w:val="none" w:sz="0" w:space="0" w:color="auto"/>
        <w:left w:val="none" w:sz="0" w:space="0" w:color="auto"/>
        <w:bottom w:val="none" w:sz="0" w:space="0" w:color="auto"/>
        <w:right w:val="none" w:sz="0" w:space="0" w:color="auto"/>
      </w:divBdr>
    </w:div>
    <w:div w:id="765465477">
      <w:bodyDiv w:val="1"/>
      <w:marLeft w:val="0"/>
      <w:marRight w:val="0"/>
      <w:marTop w:val="0"/>
      <w:marBottom w:val="0"/>
      <w:divBdr>
        <w:top w:val="none" w:sz="0" w:space="0" w:color="auto"/>
        <w:left w:val="none" w:sz="0" w:space="0" w:color="auto"/>
        <w:bottom w:val="none" w:sz="0" w:space="0" w:color="auto"/>
        <w:right w:val="none" w:sz="0" w:space="0" w:color="auto"/>
      </w:divBdr>
    </w:div>
    <w:div w:id="765465919">
      <w:bodyDiv w:val="1"/>
      <w:marLeft w:val="0"/>
      <w:marRight w:val="0"/>
      <w:marTop w:val="0"/>
      <w:marBottom w:val="0"/>
      <w:divBdr>
        <w:top w:val="none" w:sz="0" w:space="0" w:color="auto"/>
        <w:left w:val="none" w:sz="0" w:space="0" w:color="auto"/>
        <w:bottom w:val="none" w:sz="0" w:space="0" w:color="auto"/>
        <w:right w:val="none" w:sz="0" w:space="0" w:color="auto"/>
      </w:divBdr>
    </w:div>
    <w:div w:id="765467024">
      <w:bodyDiv w:val="1"/>
      <w:marLeft w:val="0"/>
      <w:marRight w:val="0"/>
      <w:marTop w:val="0"/>
      <w:marBottom w:val="0"/>
      <w:divBdr>
        <w:top w:val="none" w:sz="0" w:space="0" w:color="auto"/>
        <w:left w:val="none" w:sz="0" w:space="0" w:color="auto"/>
        <w:bottom w:val="none" w:sz="0" w:space="0" w:color="auto"/>
        <w:right w:val="none" w:sz="0" w:space="0" w:color="auto"/>
      </w:divBdr>
    </w:div>
    <w:div w:id="765543803">
      <w:bodyDiv w:val="1"/>
      <w:marLeft w:val="0"/>
      <w:marRight w:val="0"/>
      <w:marTop w:val="0"/>
      <w:marBottom w:val="0"/>
      <w:divBdr>
        <w:top w:val="none" w:sz="0" w:space="0" w:color="auto"/>
        <w:left w:val="none" w:sz="0" w:space="0" w:color="auto"/>
        <w:bottom w:val="none" w:sz="0" w:space="0" w:color="auto"/>
        <w:right w:val="none" w:sz="0" w:space="0" w:color="auto"/>
      </w:divBdr>
    </w:div>
    <w:div w:id="765611781">
      <w:bodyDiv w:val="1"/>
      <w:marLeft w:val="0"/>
      <w:marRight w:val="0"/>
      <w:marTop w:val="0"/>
      <w:marBottom w:val="0"/>
      <w:divBdr>
        <w:top w:val="none" w:sz="0" w:space="0" w:color="auto"/>
        <w:left w:val="none" w:sz="0" w:space="0" w:color="auto"/>
        <w:bottom w:val="none" w:sz="0" w:space="0" w:color="auto"/>
        <w:right w:val="none" w:sz="0" w:space="0" w:color="auto"/>
      </w:divBdr>
    </w:div>
    <w:div w:id="765730019">
      <w:bodyDiv w:val="1"/>
      <w:marLeft w:val="0"/>
      <w:marRight w:val="0"/>
      <w:marTop w:val="0"/>
      <w:marBottom w:val="0"/>
      <w:divBdr>
        <w:top w:val="none" w:sz="0" w:space="0" w:color="auto"/>
        <w:left w:val="none" w:sz="0" w:space="0" w:color="auto"/>
        <w:bottom w:val="none" w:sz="0" w:space="0" w:color="auto"/>
        <w:right w:val="none" w:sz="0" w:space="0" w:color="auto"/>
      </w:divBdr>
    </w:div>
    <w:div w:id="765812041">
      <w:bodyDiv w:val="1"/>
      <w:marLeft w:val="0"/>
      <w:marRight w:val="0"/>
      <w:marTop w:val="0"/>
      <w:marBottom w:val="0"/>
      <w:divBdr>
        <w:top w:val="none" w:sz="0" w:space="0" w:color="auto"/>
        <w:left w:val="none" w:sz="0" w:space="0" w:color="auto"/>
        <w:bottom w:val="none" w:sz="0" w:space="0" w:color="auto"/>
        <w:right w:val="none" w:sz="0" w:space="0" w:color="auto"/>
      </w:divBdr>
    </w:div>
    <w:div w:id="765855064">
      <w:bodyDiv w:val="1"/>
      <w:marLeft w:val="0"/>
      <w:marRight w:val="0"/>
      <w:marTop w:val="0"/>
      <w:marBottom w:val="0"/>
      <w:divBdr>
        <w:top w:val="none" w:sz="0" w:space="0" w:color="auto"/>
        <w:left w:val="none" w:sz="0" w:space="0" w:color="auto"/>
        <w:bottom w:val="none" w:sz="0" w:space="0" w:color="auto"/>
        <w:right w:val="none" w:sz="0" w:space="0" w:color="auto"/>
      </w:divBdr>
    </w:div>
    <w:div w:id="765928604">
      <w:bodyDiv w:val="1"/>
      <w:marLeft w:val="0"/>
      <w:marRight w:val="0"/>
      <w:marTop w:val="0"/>
      <w:marBottom w:val="0"/>
      <w:divBdr>
        <w:top w:val="none" w:sz="0" w:space="0" w:color="auto"/>
        <w:left w:val="none" w:sz="0" w:space="0" w:color="auto"/>
        <w:bottom w:val="none" w:sz="0" w:space="0" w:color="auto"/>
        <w:right w:val="none" w:sz="0" w:space="0" w:color="auto"/>
      </w:divBdr>
    </w:div>
    <w:div w:id="765929459">
      <w:bodyDiv w:val="1"/>
      <w:marLeft w:val="0"/>
      <w:marRight w:val="0"/>
      <w:marTop w:val="0"/>
      <w:marBottom w:val="0"/>
      <w:divBdr>
        <w:top w:val="none" w:sz="0" w:space="0" w:color="auto"/>
        <w:left w:val="none" w:sz="0" w:space="0" w:color="auto"/>
        <w:bottom w:val="none" w:sz="0" w:space="0" w:color="auto"/>
        <w:right w:val="none" w:sz="0" w:space="0" w:color="auto"/>
      </w:divBdr>
    </w:div>
    <w:div w:id="766000861">
      <w:bodyDiv w:val="1"/>
      <w:marLeft w:val="0"/>
      <w:marRight w:val="0"/>
      <w:marTop w:val="0"/>
      <w:marBottom w:val="0"/>
      <w:divBdr>
        <w:top w:val="none" w:sz="0" w:space="0" w:color="auto"/>
        <w:left w:val="none" w:sz="0" w:space="0" w:color="auto"/>
        <w:bottom w:val="none" w:sz="0" w:space="0" w:color="auto"/>
        <w:right w:val="none" w:sz="0" w:space="0" w:color="auto"/>
      </w:divBdr>
    </w:div>
    <w:div w:id="766003852">
      <w:bodyDiv w:val="1"/>
      <w:marLeft w:val="0"/>
      <w:marRight w:val="0"/>
      <w:marTop w:val="0"/>
      <w:marBottom w:val="0"/>
      <w:divBdr>
        <w:top w:val="none" w:sz="0" w:space="0" w:color="auto"/>
        <w:left w:val="none" w:sz="0" w:space="0" w:color="auto"/>
        <w:bottom w:val="none" w:sz="0" w:space="0" w:color="auto"/>
        <w:right w:val="none" w:sz="0" w:space="0" w:color="auto"/>
      </w:divBdr>
    </w:div>
    <w:div w:id="766003853">
      <w:bodyDiv w:val="1"/>
      <w:marLeft w:val="0"/>
      <w:marRight w:val="0"/>
      <w:marTop w:val="0"/>
      <w:marBottom w:val="0"/>
      <w:divBdr>
        <w:top w:val="none" w:sz="0" w:space="0" w:color="auto"/>
        <w:left w:val="none" w:sz="0" w:space="0" w:color="auto"/>
        <w:bottom w:val="none" w:sz="0" w:space="0" w:color="auto"/>
        <w:right w:val="none" w:sz="0" w:space="0" w:color="auto"/>
      </w:divBdr>
    </w:div>
    <w:div w:id="766191552">
      <w:bodyDiv w:val="1"/>
      <w:marLeft w:val="0"/>
      <w:marRight w:val="0"/>
      <w:marTop w:val="0"/>
      <w:marBottom w:val="0"/>
      <w:divBdr>
        <w:top w:val="none" w:sz="0" w:space="0" w:color="auto"/>
        <w:left w:val="none" w:sz="0" w:space="0" w:color="auto"/>
        <w:bottom w:val="none" w:sz="0" w:space="0" w:color="auto"/>
        <w:right w:val="none" w:sz="0" w:space="0" w:color="auto"/>
      </w:divBdr>
    </w:div>
    <w:div w:id="766272289">
      <w:bodyDiv w:val="1"/>
      <w:marLeft w:val="0"/>
      <w:marRight w:val="0"/>
      <w:marTop w:val="0"/>
      <w:marBottom w:val="0"/>
      <w:divBdr>
        <w:top w:val="none" w:sz="0" w:space="0" w:color="auto"/>
        <w:left w:val="none" w:sz="0" w:space="0" w:color="auto"/>
        <w:bottom w:val="none" w:sz="0" w:space="0" w:color="auto"/>
        <w:right w:val="none" w:sz="0" w:space="0" w:color="auto"/>
      </w:divBdr>
    </w:div>
    <w:div w:id="766312590">
      <w:bodyDiv w:val="1"/>
      <w:marLeft w:val="0"/>
      <w:marRight w:val="0"/>
      <w:marTop w:val="0"/>
      <w:marBottom w:val="0"/>
      <w:divBdr>
        <w:top w:val="none" w:sz="0" w:space="0" w:color="auto"/>
        <w:left w:val="none" w:sz="0" w:space="0" w:color="auto"/>
        <w:bottom w:val="none" w:sz="0" w:space="0" w:color="auto"/>
        <w:right w:val="none" w:sz="0" w:space="0" w:color="auto"/>
      </w:divBdr>
    </w:div>
    <w:div w:id="766314765">
      <w:bodyDiv w:val="1"/>
      <w:marLeft w:val="0"/>
      <w:marRight w:val="0"/>
      <w:marTop w:val="0"/>
      <w:marBottom w:val="0"/>
      <w:divBdr>
        <w:top w:val="none" w:sz="0" w:space="0" w:color="auto"/>
        <w:left w:val="none" w:sz="0" w:space="0" w:color="auto"/>
        <w:bottom w:val="none" w:sz="0" w:space="0" w:color="auto"/>
        <w:right w:val="none" w:sz="0" w:space="0" w:color="auto"/>
      </w:divBdr>
    </w:div>
    <w:div w:id="766315002">
      <w:bodyDiv w:val="1"/>
      <w:marLeft w:val="0"/>
      <w:marRight w:val="0"/>
      <w:marTop w:val="0"/>
      <w:marBottom w:val="0"/>
      <w:divBdr>
        <w:top w:val="none" w:sz="0" w:space="0" w:color="auto"/>
        <w:left w:val="none" w:sz="0" w:space="0" w:color="auto"/>
        <w:bottom w:val="none" w:sz="0" w:space="0" w:color="auto"/>
        <w:right w:val="none" w:sz="0" w:space="0" w:color="auto"/>
      </w:divBdr>
    </w:div>
    <w:div w:id="766386182">
      <w:bodyDiv w:val="1"/>
      <w:marLeft w:val="0"/>
      <w:marRight w:val="0"/>
      <w:marTop w:val="0"/>
      <w:marBottom w:val="0"/>
      <w:divBdr>
        <w:top w:val="none" w:sz="0" w:space="0" w:color="auto"/>
        <w:left w:val="none" w:sz="0" w:space="0" w:color="auto"/>
        <w:bottom w:val="none" w:sz="0" w:space="0" w:color="auto"/>
        <w:right w:val="none" w:sz="0" w:space="0" w:color="auto"/>
      </w:divBdr>
    </w:div>
    <w:div w:id="766463123">
      <w:bodyDiv w:val="1"/>
      <w:marLeft w:val="0"/>
      <w:marRight w:val="0"/>
      <w:marTop w:val="0"/>
      <w:marBottom w:val="0"/>
      <w:divBdr>
        <w:top w:val="none" w:sz="0" w:space="0" w:color="auto"/>
        <w:left w:val="none" w:sz="0" w:space="0" w:color="auto"/>
        <w:bottom w:val="none" w:sz="0" w:space="0" w:color="auto"/>
        <w:right w:val="none" w:sz="0" w:space="0" w:color="auto"/>
      </w:divBdr>
    </w:div>
    <w:div w:id="766541513">
      <w:bodyDiv w:val="1"/>
      <w:marLeft w:val="0"/>
      <w:marRight w:val="0"/>
      <w:marTop w:val="0"/>
      <w:marBottom w:val="0"/>
      <w:divBdr>
        <w:top w:val="none" w:sz="0" w:space="0" w:color="auto"/>
        <w:left w:val="none" w:sz="0" w:space="0" w:color="auto"/>
        <w:bottom w:val="none" w:sz="0" w:space="0" w:color="auto"/>
        <w:right w:val="none" w:sz="0" w:space="0" w:color="auto"/>
      </w:divBdr>
    </w:div>
    <w:div w:id="766653661">
      <w:bodyDiv w:val="1"/>
      <w:marLeft w:val="0"/>
      <w:marRight w:val="0"/>
      <w:marTop w:val="0"/>
      <w:marBottom w:val="0"/>
      <w:divBdr>
        <w:top w:val="none" w:sz="0" w:space="0" w:color="auto"/>
        <w:left w:val="none" w:sz="0" w:space="0" w:color="auto"/>
        <w:bottom w:val="none" w:sz="0" w:space="0" w:color="auto"/>
        <w:right w:val="none" w:sz="0" w:space="0" w:color="auto"/>
      </w:divBdr>
    </w:div>
    <w:div w:id="766775777">
      <w:bodyDiv w:val="1"/>
      <w:marLeft w:val="0"/>
      <w:marRight w:val="0"/>
      <w:marTop w:val="0"/>
      <w:marBottom w:val="0"/>
      <w:divBdr>
        <w:top w:val="none" w:sz="0" w:space="0" w:color="auto"/>
        <w:left w:val="none" w:sz="0" w:space="0" w:color="auto"/>
        <w:bottom w:val="none" w:sz="0" w:space="0" w:color="auto"/>
        <w:right w:val="none" w:sz="0" w:space="0" w:color="auto"/>
      </w:divBdr>
    </w:div>
    <w:div w:id="766927222">
      <w:bodyDiv w:val="1"/>
      <w:marLeft w:val="0"/>
      <w:marRight w:val="0"/>
      <w:marTop w:val="0"/>
      <w:marBottom w:val="0"/>
      <w:divBdr>
        <w:top w:val="none" w:sz="0" w:space="0" w:color="auto"/>
        <w:left w:val="none" w:sz="0" w:space="0" w:color="auto"/>
        <w:bottom w:val="none" w:sz="0" w:space="0" w:color="auto"/>
        <w:right w:val="none" w:sz="0" w:space="0" w:color="auto"/>
      </w:divBdr>
    </w:div>
    <w:div w:id="766996993">
      <w:bodyDiv w:val="1"/>
      <w:marLeft w:val="0"/>
      <w:marRight w:val="0"/>
      <w:marTop w:val="0"/>
      <w:marBottom w:val="0"/>
      <w:divBdr>
        <w:top w:val="none" w:sz="0" w:space="0" w:color="auto"/>
        <w:left w:val="none" w:sz="0" w:space="0" w:color="auto"/>
        <w:bottom w:val="none" w:sz="0" w:space="0" w:color="auto"/>
        <w:right w:val="none" w:sz="0" w:space="0" w:color="auto"/>
      </w:divBdr>
    </w:div>
    <w:div w:id="767043957">
      <w:bodyDiv w:val="1"/>
      <w:marLeft w:val="0"/>
      <w:marRight w:val="0"/>
      <w:marTop w:val="0"/>
      <w:marBottom w:val="0"/>
      <w:divBdr>
        <w:top w:val="none" w:sz="0" w:space="0" w:color="auto"/>
        <w:left w:val="none" w:sz="0" w:space="0" w:color="auto"/>
        <w:bottom w:val="none" w:sz="0" w:space="0" w:color="auto"/>
        <w:right w:val="none" w:sz="0" w:space="0" w:color="auto"/>
      </w:divBdr>
    </w:div>
    <w:div w:id="767116271">
      <w:bodyDiv w:val="1"/>
      <w:marLeft w:val="0"/>
      <w:marRight w:val="0"/>
      <w:marTop w:val="0"/>
      <w:marBottom w:val="0"/>
      <w:divBdr>
        <w:top w:val="none" w:sz="0" w:space="0" w:color="auto"/>
        <w:left w:val="none" w:sz="0" w:space="0" w:color="auto"/>
        <w:bottom w:val="none" w:sz="0" w:space="0" w:color="auto"/>
        <w:right w:val="none" w:sz="0" w:space="0" w:color="auto"/>
      </w:divBdr>
    </w:div>
    <w:div w:id="767121914">
      <w:bodyDiv w:val="1"/>
      <w:marLeft w:val="0"/>
      <w:marRight w:val="0"/>
      <w:marTop w:val="0"/>
      <w:marBottom w:val="0"/>
      <w:divBdr>
        <w:top w:val="none" w:sz="0" w:space="0" w:color="auto"/>
        <w:left w:val="none" w:sz="0" w:space="0" w:color="auto"/>
        <w:bottom w:val="none" w:sz="0" w:space="0" w:color="auto"/>
        <w:right w:val="none" w:sz="0" w:space="0" w:color="auto"/>
      </w:divBdr>
    </w:div>
    <w:div w:id="767189622">
      <w:bodyDiv w:val="1"/>
      <w:marLeft w:val="0"/>
      <w:marRight w:val="0"/>
      <w:marTop w:val="0"/>
      <w:marBottom w:val="0"/>
      <w:divBdr>
        <w:top w:val="none" w:sz="0" w:space="0" w:color="auto"/>
        <w:left w:val="none" w:sz="0" w:space="0" w:color="auto"/>
        <w:bottom w:val="none" w:sz="0" w:space="0" w:color="auto"/>
        <w:right w:val="none" w:sz="0" w:space="0" w:color="auto"/>
      </w:divBdr>
    </w:div>
    <w:div w:id="767308962">
      <w:bodyDiv w:val="1"/>
      <w:marLeft w:val="0"/>
      <w:marRight w:val="0"/>
      <w:marTop w:val="0"/>
      <w:marBottom w:val="0"/>
      <w:divBdr>
        <w:top w:val="none" w:sz="0" w:space="0" w:color="auto"/>
        <w:left w:val="none" w:sz="0" w:space="0" w:color="auto"/>
        <w:bottom w:val="none" w:sz="0" w:space="0" w:color="auto"/>
        <w:right w:val="none" w:sz="0" w:space="0" w:color="auto"/>
      </w:divBdr>
    </w:div>
    <w:div w:id="767392044">
      <w:bodyDiv w:val="1"/>
      <w:marLeft w:val="0"/>
      <w:marRight w:val="0"/>
      <w:marTop w:val="0"/>
      <w:marBottom w:val="0"/>
      <w:divBdr>
        <w:top w:val="none" w:sz="0" w:space="0" w:color="auto"/>
        <w:left w:val="none" w:sz="0" w:space="0" w:color="auto"/>
        <w:bottom w:val="none" w:sz="0" w:space="0" w:color="auto"/>
        <w:right w:val="none" w:sz="0" w:space="0" w:color="auto"/>
      </w:divBdr>
    </w:div>
    <w:div w:id="767432785">
      <w:bodyDiv w:val="1"/>
      <w:marLeft w:val="0"/>
      <w:marRight w:val="0"/>
      <w:marTop w:val="0"/>
      <w:marBottom w:val="0"/>
      <w:divBdr>
        <w:top w:val="none" w:sz="0" w:space="0" w:color="auto"/>
        <w:left w:val="none" w:sz="0" w:space="0" w:color="auto"/>
        <w:bottom w:val="none" w:sz="0" w:space="0" w:color="auto"/>
        <w:right w:val="none" w:sz="0" w:space="0" w:color="auto"/>
      </w:divBdr>
    </w:div>
    <w:div w:id="767503415">
      <w:bodyDiv w:val="1"/>
      <w:marLeft w:val="0"/>
      <w:marRight w:val="0"/>
      <w:marTop w:val="0"/>
      <w:marBottom w:val="0"/>
      <w:divBdr>
        <w:top w:val="none" w:sz="0" w:space="0" w:color="auto"/>
        <w:left w:val="none" w:sz="0" w:space="0" w:color="auto"/>
        <w:bottom w:val="none" w:sz="0" w:space="0" w:color="auto"/>
        <w:right w:val="none" w:sz="0" w:space="0" w:color="auto"/>
      </w:divBdr>
    </w:div>
    <w:div w:id="767577200">
      <w:bodyDiv w:val="1"/>
      <w:marLeft w:val="0"/>
      <w:marRight w:val="0"/>
      <w:marTop w:val="0"/>
      <w:marBottom w:val="0"/>
      <w:divBdr>
        <w:top w:val="none" w:sz="0" w:space="0" w:color="auto"/>
        <w:left w:val="none" w:sz="0" w:space="0" w:color="auto"/>
        <w:bottom w:val="none" w:sz="0" w:space="0" w:color="auto"/>
        <w:right w:val="none" w:sz="0" w:space="0" w:color="auto"/>
      </w:divBdr>
    </w:div>
    <w:div w:id="767778567">
      <w:bodyDiv w:val="1"/>
      <w:marLeft w:val="0"/>
      <w:marRight w:val="0"/>
      <w:marTop w:val="0"/>
      <w:marBottom w:val="0"/>
      <w:divBdr>
        <w:top w:val="none" w:sz="0" w:space="0" w:color="auto"/>
        <w:left w:val="none" w:sz="0" w:space="0" w:color="auto"/>
        <w:bottom w:val="none" w:sz="0" w:space="0" w:color="auto"/>
        <w:right w:val="none" w:sz="0" w:space="0" w:color="auto"/>
      </w:divBdr>
    </w:div>
    <w:div w:id="767890451">
      <w:bodyDiv w:val="1"/>
      <w:marLeft w:val="0"/>
      <w:marRight w:val="0"/>
      <w:marTop w:val="0"/>
      <w:marBottom w:val="0"/>
      <w:divBdr>
        <w:top w:val="none" w:sz="0" w:space="0" w:color="auto"/>
        <w:left w:val="none" w:sz="0" w:space="0" w:color="auto"/>
        <w:bottom w:val="none" w:sz="0" w:space="0" w:color="auto"/>
        <w:right w:val="none" w:sz="0" w:space="0" w:color="auto"/>
      </w:divBdr>
    </w:div>
    <w:div w:id="767970824">
      <w:bodyDiv w:val="1"/>
      <w:marLeft w:val="0"/>
      <w:marRight w:val="0"/>
      <w:marTop w:val="0"/>
      <w:marBottom w:val="0"/>
      <w:divBdr>
        <w:top w:val="none" w:sz="0" w:space="0" w:color="auto"/>
        <w:left w:val="none" w:sz="0" w:space="0" w:color="auto"/>
        <w:bottom w:val="none" w:sz="0" w:space="0" w:color="auto"/>
        <w:right w:val="none" w:sz="0" w:space="0" w:color="auto"/>
      </w:divBdr>
    </w:div>
    <w:div w:id="768085764">
      <w:bodyDiv w:val="1"/>
      <w:marLeft w:val="0"/>
      <w:marRight w:val="0"/>
      <w:marTop w:val="0"/>
      <w:marBottom w:val="0"/>
      <w:divBdr>
        <w:top w:val="none" w:sz="0" w:space="0" w:color="auto"/>
        <w:left w:val="none" w:sz="0" w:space="0" w:color="auto"/>
        <w:bottom w:val="none" w:sz="0" w:space="0" w:color="auto"/>
        <w:right w:val="none" w:sz="0" w:space="0" w:color="auto"/>
      </w:divBdr>
    </w:div>
    <w:div w:id="768163579">
      <w:bodyDiv w:val="1"/>
      <w:marLeft w:val="0"/>
      <w:marRight w:val="0"/>
      <w:marTop w:val="0"/>
      <w:marBottom w:val="0"/>
      <w:divBdr>
        <w:top w:val="none" w:sz="0" w:space="0" w:color="auto"/>
        <w:left w:val="none" w:sz="0" w:space="0" w:color="auto"/>
        <w:bottom w:val="none" w:sz="0" w:space="0" w:color="auto"/>
        <w:right w:val="none" w:sz="0" w:space="0" w:color="auto"/>
      </w:divBdr>
    </w:div>
    <w:div w:id="768240394">
      <w:bodyDiv w:val="1"/>
      <w:marLeft w:val="0"/>
      <w:marRight w:val="0"/>
      <w:marTop w:val="0"/>
      <w:marBottom w:val="0"/>
      <w:divBdr>
        <w:top w:val="none" w:sz="0" w:space="0" w:color="auto"/>
        <w:left w:val="none" w:sz="0" w:space="0" w:color="auto"/>
        <w:bottom w:val="none" w:sz="0" w:space="0" w:color="auto"/>
        <w:right w:val="none" w:sz="0" w:space="0" w:color="auto"/>
      </w:divBdr>
    </w:div>
    <w:div w:id="768281236">
      <w:bodyDiv w:val="1"/>
      <w:marLeft w:val="0"/>
      <w:marRight w:val="0"/>
      <w:marTop w:val="0"/>
      <w:marBottom w:val="0"/>
      <w:divBdr>
        <w:top w:val="none" w:sz="0" w:space="0" w:color="auto"/>
        <w:left w:val="none" w:sz="0" w:space="0" w:color="auto"/>
        <w:bottom w:val="none" w:sz="0" w:space="0" w:color="auto"/>
        <w:right w:val="none" w:sz="0" w:space="0" w:color="auto"/>
      </w:divBdr>
    </w:div>
    <w:div w:id="768282011">
      <w:bodyDiv w:val="1"/>
      <w:marLeft w:val="0"/>
      <w:marRight w:val="0"/>
      <w:marTop w:val="0"/>
      <w:marBottom w:val="0"/>
      <w:divBdr>
        <w:top w:val="none" w:sz="0" w:space="0" w:color="auto"/>
        <w:left w:val="none" w:sz="0" w:space="0" w:color="auto"/>
        <w:bottom w:val="none" w:sz="0" w:space="0" w:color="auto"/>
        <w:right w:val="none" w:sz="0" w:space="0" w:color="auto"/>
      </w:divBdr>
    </w:div>
    <w:div w:id="768425014">
      <w:bodyDiv w:val="1"/>
      <w:marLeft w:val="0"/>
      <w:marRight w:val="0"/>
      <w:marTop w:val="0"/>
      <w:marBottom w:val="0"/>
      <w:divBdr>
        <w:top w:val="none" w:sz="0" w:space="0" w:color="auto"/>
        <w:left w:val="none" w:sz="0" w:space="0" w:color="auto"/>
        <w:bottom w:val="none" w:sz="0" w:space="0" w:color="auto"/>
        <w:right w:val="none" w:sz="0" w:space="0" w:color="auto"/>
      </w:divBdr>
    </w:div>
    <w:div w:id="768507578">
      <w:bodyDiv w:val="1"/>
      <w:marLeft w:val="0"/>
      <w:marRight w:val="0"/>
      <w:marTop w:val="0"/>
      <w:marBottom w:val="0"/>
      <w:divBdr>
        <w:top w:val="none" w:sz="0" w:space="0" w:color="auto"/>
        <w:left w:val="none" w:sz="0" w:space="0" w:color="auto"/>
        <w:bottom w:val="none" w:sz="0" w:space="0" w:color="auto"/>
        <w:right w:val="none" w:sz="0" w:space="0" w:color="auto"/>
      </w:divBdr>
    </w:div>
    <w:div w:id="768543913">
      <w:bodyDiv w:val="1"/>
      <w:marLeft w:val="0"/>
      <w:marRight w:val="0"/>
      <w:marTop w:val="0"/>
      <w:marBottom w:val="0"/>
      <w:divBdr>
        <w:top w:val="none" w:sz="0" w:space="0" w:color="auto"/>
        <w:left w:val="none" w:sz="0" w:space="0" w:color="auto"/>
        <w:bottom w:val="none" w:sz="0" w:space="0" w:color="auto"/>
        <w:right w:val="none" w:sz="0" w:space="0" w:color="auto"/>
      </w:divBdr>
    </w:div>
    <w:div w:id="768547211">
      <w:bodyDiv w:val="1"/>
      <w:marLeft w:val="0"/>
      <w:marRight w:val="0"/>
      <w:marTop w:val="0"/>
      <w:marBottom w:val="0"/>
      <w:divBdr>
        <w:top w:val="none" w:sz="0" w:space="0" w:color="auto"/>
        <w:left w:val="none" w:sz="0" w:space="0" w:color="auto"/>
        <w:bottom w:val="none" w:sz="0" w:space="0" w:color="auto"/>
        <w:right w:val="none" w:sz="0" w:space="0" w:color="auto"/>
      </w:divBdr>
    </w:div>
    <w:div w:id="768621248">
      <w:bodyDiv w:val="1"/>
      <w:marLeft w:val="0"/>
      <w:marRight w:val="0"/>
      <w:marTop w:val="0"/>
      <w:marBottom w:val="0"/>
      <w:divBdr>
        <w:top w:val="none" w:sz="0" w:space="0" w:color="auto"/>
        <w:left w:val="none" w:sz="0" w:space="0" w:color="auto"/>
        <w:bottom w:val="none" w:sz="0" w:space="0" w:color="auto"/>
        <w:right w:val="none" w:sz="0" w:space="0" w:color="auto"/>
      </w:divBdr>
    </w:div>
    <w:div w:id="768626400">
      <w:bodyDiv w:val="1"/>
      <w:marLeft w:val="0"/>
      <w:marRight w:val="0"/>
      <w:marTop w:val="0"/>
      <w:marBottom w:val="0"/>
      <w:divBdr>
        <w:top w:val="none" w:sz="0" w:space="0" w:color="auto"/>
        <w:left w:val="none" w:sz="0" w:space="0" w:color="auto"/>
        <w:bottom w:val="none" w:sz="0" w:space="0" w:color="auto"/>
        <w:right w:val="none" w:sz="0" w:space="0" w:color="auto"/>
      </w:divBdr>
    </w:div>
    <w:div w:id="768740870">
      <w:bodyDiv w:val="1"/>
      <w:marLeft w:val="0"/>
      <w:marRight w:val="0"/>
      <w:marTop w:val="0"/>
      <w:marBottom w:val="0"/>
      <w:divBdr>
        <w:top w:val="none" w:sz="0" w:space="0" w:color="auto"/>
        <w:left w:val="none" w:sz="0" w:space="0" w:color="auto"/>
        <w:bottom w:val="none" w:sz="0" w:space="0" w:color="auto"/>
        <w:right w:val="none" w:sz="0" w:space="0" w:color="auto"/>
      </w:divBdr>
    </w:div>
    <w:div w:id="768818375">
      <w:bodyDiv w:val="1"/>
      <w:marLeft w:val="0"/>
      <w:marRight w:val="0"/>
      <w:marTop w:val="0"/>
      <w:marBottom w:val="0"/>
      <w:divBdr>
        <w:top w:val="none" w:sz="0" w:space="0" w:color="auto"/>
        <w:left w:val="none" w:sz="0" w:space="0" w:color="auto"/>
        <w:bottom w:val="none" w:sz="0" w:space="0" w:color="auto"/>
        <w:right w:val="none" w:sz="0" w:space="0" w:color="auto"/>
      </w:divBdr>
    </w:div>
    <w:div w:id="768889193">
      <w:bodyDiv w:val="1"/>
      <w:marLeft w:val="0"/>
      <w:marRight w:val="0"/>
      <w:marTop w:val="0"/>
      <w:marBottom w:val="0"/>
      <w:divBdr>
        <w:top w:val="none" w:sz="0" w:space="0" w:color="auto"/>
        <w:left w:val="none" w:sz="0" w:space="0" w:color="auto"/>
        <w:bottom w:val="none" w:sz="0" w:space="0" w:color="auto"/>
        <w:right w:val="none" w:sz="0" w:space="0" w:color="auto"/>
      </w:divBdr>
    </w:div>
    <w:div w:id="768936527">
      <w:bodyDiv w:val="1"/>
      <w:marLeft w:val="0"/>
      <w:marRight w:val="0"/>
      <w:marTop w:val="0"/>
      <w:marBottom w:val="0"/>
      <w:divBdr>
        <w:top w:val="none" w:sz="0" w:space="0" w:color="auto"/>
        <w:left w:val="none" w:sz="0" w:space="0" w:color="auto"/>
        <w:bottom w:val="none" w:sz="0" w:space="0" w:color="auto"/>
        <w:right w:val="none" w:sz="0" w:space="0" w:color="auto"/>
      </w:divBdr>
    </w:div>
    <w:div w:id="769005440">
      <w:bodyDiv w:val="1"/>
      <w:marLeft w:val="0"/>
      <w:marRight w:val="0"/>
      <w:marTop w:val="0"/>
      <w:marBottom w:val="0"/>
      <w:divBdr>
        <w:top w:val="none" w:sz="0" w:space="0" w:color="auto"/>
        <w:left w:val="none" w:sz="0" w:space="0" w:color="auto"/>
        <w:bottom w:val="none" w:sz="0" w:space="0" w:color="auto"/>
        <w:right w:val="none" w:sz="0" w:space="0" w:color="auto"/>
      </w:divBdr>
    </w:div>
    <w:div w:id="769009984">
      <w:bodyDiv w:val="1"/>
      <w:marLeft w:val="0"/>
      <w:marRight w:val="0"/>
      <w:marTop w:val="0"/>
      <w:marBottom w:val="0"/>
      <w:divBdr>
        <w:top w:val="none" w:sz="0" w:space="0" w:color="auto"/>
        <w:left w:val="none" w:sz="0" w:space="0" w:color="auto"/>
        <w:bottom w:val="none" w:sz="0" w:space="0" w:color="auto"/>
        <w:right w:val="none" w:sz="0" w:space="0" w:color="auto"/>
      </w:divBdr>
    </w:div>
    <w:div w:id="769011762">
      <w:bodyDiv w:val="1"/>
      <w:marLeft w:val="0"/>
      <w:marRight w:val="0"/>
      <w:marTop w:val="0"/>
      <w:marBottom w:val="0"/>
      <w:divBdr>
        <w:top w:val="none" w:sz="0" w:space="0" w:color="auto"/>
        <w:left w:val="none" w:sz="0" w:space="0" w:color="auto"/>
        <w:bottom w:val="none" w:sz="0" w:space="0" w:color="auto"/>
        <w:right w:val="none" w:sz="0" w:space="0" w:color="auto"/>
      </w:divBdr>
    </w:div>
    <w:div w:id="769162139">
      <w:bodyDiv w:val="1"/>
      <w:marLeft w:val="0"/>
      <w:marRight w:val="0"/>
      <w:marTop w:val="0"/>
      <w:marBottom w:val="0"/>
      <w:divBdr>
        <w:top w:val="none" w:sz="0" w:space="0" w:color="auto"/>
        <w:left w:val="none" w:sz="0" w:space="0" w:color="auto"/>
        <w:bottom w:val="none" w:sz="0" w:space="0" w:color="auto"/>
        <w:right w:val="none" w:sz="0" w:space="0" w:color="auto"/>
      </w:divBdr>
    </w:div>
    <w:div w:id="769205534">
      <w:bodyDiv w:val="1"/>
      <w:marLeft w:val="0"/>
      <w:marRight w:val="0"/>
      <w:marTop w:val="0"/>
      <w:marBottom w:val="0"/>
      <w:divBdr>
        <w:top w:val="none" w:sz="0" w:space="0" w:color="auto"/>
        <w:left w:val="none" w:sz="0" w:space="0" w:color="auto"/>
        <w:bottom w:val="none" w:sz="0" w:space="0" w:color="auto"/>
        <w:right w:val="none" w:sz="0" w:space="0" w:color="auto"/>
      </w:divBdr>
    </w:div>
    <w:div w:id="769206971">
      <w:bodyDiv w:val="1"/>
      <w:marLeft w:val="0"/>
      <w:marRight w:val="0"/>
      <w:marTop w:val="0"/>
      <w:marBottom w:val="0"/>
      <w:divBdr>
        <w:top w:val="none" w:sz="0" w:space="0" w:color="auto"/>
        <w:left w:val="none" w:sz="0" w:space="0" w:color="auto"/>
        <w:bottom w:val="none" w:sz="0" w:space="0" w:color="auto"/>
        <w:right w:val="none" w:sz="0" w:space="0" w:color="auto"/>
      </w:divBdr>
    </w:div>
    <w:div w:id="769274157">
      <w:bodyDiv w:val="1"/>
      <w:marLeft w:val="0"/>
      <w:marRight w:val="0"/>
      <w:marTop w:val="0"/>
      <w:marBottom w:val="0"/>
      <w:divBdr>
        <w:top w:val="none" w:sz="0" w:space="0" w:color="auto"/>
        <w:left w:val="none" w:sz="0" w:space="0" w:color="auto"/>
        <w:bottom w:val="none" w:sz="0" w:space="0" w:color="auto"/>
        <w:right w:val="none" w:sz="0" w:space="0" w:color="auto"/>
      </w:divBdr>
    </w:div>
    <w:div w:id="769279616">
      <w:bodyDiv w:val="1"/>
      <w:marLeft w:val="0"/>
      <w:marRight w:val="0"/>
      <w:marTop w:val="0"/>
      <w:marBottom w:val="0"/>
      <w:divBdr>
        <w:top w:val="none" w:sz="0" w:space="0" w:color="auto"/>
        <w:left w:val="none" w:sz="0" w:space="0" w:color="auto"/>
        <w:bottom w:val="none" w:sz="0" w:space="0" w:color="auto"/>
        <w:right w:val="none" w:sz="0" w:space="0" w:color="auto"/>
      </w:divBdr>
    </w:div>
    <w:div w:id="769354775">
      <w:bodyDiv w:val="1"/>
      <w:marLeft w:val="0"/>
      <w:marRight w:val="0"/>
      <w:marTop w:val="0"/>
      <w:marBottom w:val="0"/>
      <w:divBdr>
        <w:top w:val="none" w:sz="0" w:space="0" w:color="auto"/>
        <w:left w:val="none" w:sz="0" w:space="0" w:color="auto"/>
        <w:bottom w:val="none" w:sz="0" w:space="0" w:color="auto"/>
        <w:right w:val="none" w:sz="0" w:space="0" w:color="auto"/>
      </w:divBdr>
    </w:div>
    <w:div w:id="769354799">
      <w:bodyDiv w:val="1"/>
      <w:marLeft w:val="0"/>
      <w:marRight w:val="0"/>
      <w:marTop w:val="0"/>
      <w:marBottom w:val="0"/>
      <w:divBdr>
        <w:top w:val="none" w:sz="0" w:space="0" w:color="auto"/>
        <w:left w:val="none" w:sz="0" w:space="0" w:color="auto"/>
        <w:bottom w:val="none" w:sz="0" w:space="0" w:color="auto"/>
        <w:right w:val="none" w:sz="0" w:space="0" w:color="auto"/>
      </w:divBdr>
    </w:div>
    <w:div w:id="769396958">
      <w:bodyDiv w:val="1"/>
      <w:marLeft w:val="0"/>
      <w:marRight w:val="0"/>
      <w:marTop w:val="0"/>
      <w:marBottom w:val="0"/>
      <w:divBdr>
        <w:top w:val="none" w:sz="0" w:space="0" w:color="auto"/>
        <w:left w:val="none" w:sz="0" w:space="0" w:color="auto"/>
        <w:bottom w:val="none" w:sz="0" w:space="0" w:color="auto"/>
        <w:right w:val="none" w:sz="0" w:space="0" w:color="auto"/>
      </w:divBdr>
    </w:div>
    <w:div w:id="769547594">
      <w:bodyDiv w:val="1"/>
      <w:marLeft w:val="0"/>
      <w:marRight w:val="0"/>
      <w:marTop w:val="0"/>
      <w:marBottom w:val="0"/>
      <w:divBdr>
        <w:top w:val="none" w:sz="0" w:space="0" w:color="auto"/>
        <w:left w:val="none" w:sz="0" w:space="0" w:color="auto"/>
        <w:bottom w:val="none" w:sz="0" w:space="0" w:color="auto"/>
        <w:right w:val="none" w:sz="0" w:space="0" w:color="auto"/>
      </w:divBdr>
    </w:div>
    <w:div w:id="769664762">
      <w:bodyDiv w:val="1"/>
      <w:marLeft w:val="0"/>
      <w:marRight w:val="0"/>
      <w:marTop w:val="0"/>
      <w:marBottom w:val="0"/>
      <w:divBdr>
        <w:top w:val="none" w:sz="0" w:space="0" w:color="auto"/>
        <w:left w:val="none" w:sz="0" w:space="0" w:color="auto"/>
        <w:bottom w:val="none" w:sz="0" w:space="0" w:color="auto"/>
        <w:right w:val="none" w:sz="0" w:space="0" w:color="auto"/>
      </w:divBdr>
    </w:div>
    <w:div w:id="769736923">
      <w:bodyDiv w:val="1"/>
      <w:marLeft w:val="0"/>
      <w:marRight w:val="0"/>
      <w:marTop w:val="0"/>
      <w:marBottom w:val="0"/>
      <w:divBdr>
        <w:top w:val="none" w:sz="0" w:space="0" w:color="auto"/>
        <w:left w:val="none" w:sz="0" w:space="0" w:color="auto"/>
        <w:bottom w:val="none" w:sz="0" w:space="0" w:color="auto"/>
        <w:right w:val="none" w:sz="0" w:space="0" w:color="auto"/>
      </w:divBdr>
    </w:div>
    <w:div w:id="769744128">
      <w:bodyDiv w:val="1"/>
      <w:marLeft w:val="0"/>
      <w:marRight w:val="0"/>
      <w:marTop w:val="0"/>
      <w:marBottom w:val="0"/>
      <w:divBdr>
        <w:top w:val="none" w:sz="0" w:space="0" w:color="auto"/>
        <w:left w:val="none" w:sz="0" w:space="0" w:color="auto"/>
        <w:bottom w:val="none" w:sz="0" w:space="0" w:color="auto"/>
        <w:right w:val="none" w:sz="0" w:space="0" w:color="auto"/>
      </w:divBdr>
    </w:div>
    <w:div w:id="769786201">
      <w:bodyDiv w:val="1"/>
      <w:marLeft w:val="0"/>
      <w:marRight w:val="0"/>
      <w:marTop w:val="0"/>
      <w:marBottom w:val="0"/>
      <w:divBdr>
        <w:top w:val="none" w:sz="0" w:space="0" w:color="auto"/>
        <w:left w:val="none" w:sz="0" w:space="0" w:color="auto"/>
        <w:bottom w:val="none" w:sz="0" w:space="0" w:color="auto"/>
        <w:right w:val="none" w:sz="0" w:space="0" w:color="auto"/>
      </w:divBdr>
    </w:div>
    <w:div w:id="769856645">
      <w:bodyDiv w:val="1"/>
      <w:marLeft w:val="0"/>
      <w:marRight w:val="0"/>
      <w:marTop w:val="0"/>
      <w:marBottom w:val="0"/>
      <w:divBdr>
        <w:top w:val="none" w:sz="0" w:space="0" w:color="auto"/>
        <w:left w:val="none" w:sz="0" w:space="0" w:color="auto"/>
        <w:bottom w:val="none" w:sz="0" w:space="0" w:color="auto"/>
        <w:right w:val="none" w:sz="0" w:space="0" w:color="auto"/>
      </w:divBdr>
    </w:div>
    <w:div w:id="769931787">
      <w:bodyDiv w:val="1"/>
      <w:marLeft w:val="0"/>
      <w:marRight w:val="0"/>
      <w:marTop w:val="0"/>
      <w:marBottom w:val="0"/>
      <w:divBdr>
        <w:top w:val="none" w:sz="0" w:space="0" w:color="auto"/>
        <w:left w:val="none" w:sz="0" w:space="0" w:color="auto"/>
        <w:bottom w:val="none" w:sz="0" w:space="0" w:color="auto"/>
        <w:right w:val="none" w:sz="0" w:space="0" w:color="auto"/>
      </w:divBdr>
    </w:div>
    <w:div w:id="770052794">
      <w:bodyDiv w:val="1"/>
      <w:marLeft w:val="0"/>
      <w:marRight w:val="0"/>
      <w:marTop w:val="0"/>
      <w:marBottom w:val="0"/>
      <w:divBdr>
        <w:top w:val="none" w:sz="0" w:space="0" w:color="auto"/>
        <w:left w:val="none" w:sz="0" w:space="0" w:color="auto"/>
        <w:bottom w:val="none" w:sz="0" w:space="0" w:color="auto"/>
        <w:right w:val="none" w:sz="0" w:space="0" w:color="auto"/>
      </w:divBdr>
    </w:div>
    <w:div w:id="770055249">
      <w:bodyDiv w:val="1"/>
      <w:marLeft w:val="0"/>
      <w:marRight w:val="0"/>
      <w:marTop w:val="0"/>
      <w:marBottom w:val="0"/>
      <w:divBdr>
        <w:top w:val="none" w:sz="0" w:space="0" w:color="auto"/>
        <w:left w:val="none" w:sz="0" w:space="0" w:color="auto"/>
        <w:bottom w:val="none" w:sz="0" w:space="0" w:color="auto"/>
        <w:right w:val="none" w:sz="0" w:space="0" w:color="auto"/>
      </w:divBdr>
    </w:div>
    <w:div w:id="770129011">
      <w:bodyDiv w:val="1"/>
      <w:marLeft w:val="0"/>
      <w:marRight w:val="0"/>
      <w:marTop w:val="0"/>
      <w:marBottom w:val="0"/>
      <w:divBdr>
        <w:top w:val="none" w:sz="0" w:space="0" w:color="auto"/>
        <w:left w:val="none" w:sz="0" w:space="0" w:color="auto"/>
        <w:bottom w:val="none" w:sz="0" w:space="0" w:color="auto"/>
        <w:right w:val="none" w:sz="0" w:space="0" w:color="auto"/>
      </w:divBdr>
    </w:div>
    <w:div w:id="770197762">
      <w:bodyDiv w:val="1"/>
      <w:marLeft w:val="0"/>
      <w:marRight w:val="0"/>
      <w:marTop w:val="0"/>
      <w:marBottom w:val="0"/>
      <w:divBdr>
        <w:top w:val="none" w:sz="0" w:space="0" w:color="auto"/>
        <w:left w:val="none" w:sz="0" w:space="0" w:color="auto"/>
        <w:bottom w:val="none" w:sz="0" w:space="0" w:color="auto"/>
        <w:right w:val="none" w:sz="0" w:space="0" w:color="auto"/>
      </w:divBdr>
    </w:div>
    <w:div w:id="770204895">
      <w:bodyDiv w:val="1"/>
      <w:marLeft w:val="0"/>
      <w:marRight w:val="0"/>
      <w:marTop w:val="0"/>
      <w:marBottom w:val="0"/>
      <w:divBdr>
        <w:top w:val="none" w:sz="0" w:space="0" w:color="auto"/>
        <w:left w:val="none" w:sz="0" w:space="0" w:color="auto"/>
        <w:bottom w:val="none" w:sz="0" w:space="0" w:color="auto"/>
        <w:right w:val="none" w:sz="0" w:space="0" w:color="auto"/>
      </w:divBdr>
    </w:div>
    <w:div w:id="770206271">
      <w:bodyDiv w:val="1"/>
      <w:marLeft w:val="0"/>
      <w:marRight w:val="0"/>
      <w:marTop w:val="0"/>
      <w:marBottom w:val="0"/>
      <w:divBdr>
        <w:top w:val="none" w:sz="0" w:space="0" w:color="auto"/>
        <w:left w:val="none" w:sz="0" w:space="0" w:color="auto"/>
        <w:bottom w:val="none" w:sz="0" w:space="0" w:color="auto"/>
        <w:right w:val="none" w:sz="0" w:space="0" w:color="auto"/>
      </w:divBdr>
    </w:div>
    <w:div w:id="770274344">
      <w:bodyDiv w:val="1"/>
      <w:marLeft w:val="0"/>
      <w:marRight w:val="0"/>
      <w:marTop w:val="0"/>
      <w:marBottom w:val="0"/>
      <w:divBdr>
        <w:top w:val="none" w:sz="0" w:space="0" w:color="auto"/>
        <w:left w:val="none" w:sz="0" w:space="0" w:color="auto"/>
        <w:bottom w:val="none" w:sz="0" w:space="0" w:color="auto"/>
        <w:right w:val="none" w:sz="0" w:space="0" w:color="auto"/>
      </w:divBdr>
    </w:div>
    <w:div w:id="770442119">
      <w:bodyDiv w:val="1"/>
      <w:marLeft w:val="0"/>
      <w:marRight w:val="0"/>
      <w:marTop w:val="0"/>
      <w:marBottom w:val="0"/>
      <w:divBdr>
        <w:top w:val="none" w:sz="0" w:space="0" w:color="auto"/>
        <w:left w:val="none" w:sz="0" w:space="0" w:color="auto"/>
        <w:bottom w:val="none" w:sz="0" w:space="0" w:color="auto"/>
        <w:right w:val="none" w:sz="0" w:space="0" w:color="auto"/>
      </w:divBdr>
    </w:div>
    <w:div w:id="770516235">
      <w:bodyDiv w:val="1"/>
      <w:marLeft w:val="0"/>
      <w:marRight w:val="0"/>
      <w:marTop w:val="0"/>
      <w:marBottom w:val="0"/>
      <w:divBdr>
        <w:top w:val="none" w:sz="0" w:space="0" w:color="auto"/>
        <w:left w:val="none" w:sz="0" w:space="0" w:color="auto"/>
        <w:bottom w:val="none" w:sz="0" w:space="0" w:color="auto"/>
        <w:right w:val="none" w:sz="0" w:space="0" w:color="auto"/>
      </w:divBdr>
    </w:div>
    <w:div w:id="770583969">
      <w:bodyDiv w:val="1"/>
      <w:marLeft w:val="0"/>
      <w:marRight w:val="0"/>
      <w:marTop w:val="0"/>
      <w:marBottom w:val="0"/>
      <w:divBdr>
        <w:top w:val="none" w:sz="0" w:space="0" w:color="auto"/>
        <w:left w:val="none" w:sz="0" w:space="0" w:color="auto"/>
        <w:bottom w:val="none" w:sz="0" w:space="0" w:color="auto"/>
        <w:right w:val="none" w:sz="0" w:space="0" w:color="auto"/>
      </w:divBdr>
    </w:div>
    <w:div w:id="770584401">
      <w:bodyDiv w:val="1"/>
      <w:marLeft w:val="0"/>
      <w:marRight w:val="0"/>
      <w:marTop w:val="0"/>
      <w:marBottom w:val="0"/>
      <w:divBdr>
        <w:top w:val="none" w:sz="0" w:space="0" w:color="auto"/>
        <w:left w:val="none" w:sz="0" w:space="0" w:color="auto"/>
        <w:bottom w:val="none" w:sz="0" w:space="0" w:color="auto"/>
        <w:right w:val="none" w:sz="0" w:space="0" w:color="auto"/>
      </w:divBdr>
    </w:div>
    <w:div w:id="770592700">
      <w:bodyDiv w:val="1"/>
      <w:marLeft w:val="0"/>
      <w:marRight w:val="0"/>
      <w:marTop w:val="0"/>
      <w:marBottom w:val="0"/>
      <w:divBdr>
        <w:top w:val="none" w:sz="0" w:space="0" w:color="auto"/>
        <w:left w:val="none" w:sz="0" w:space="0" w:color="auto"/>
        <w:bottom w:val="none" w:sz="0" w:space="0" w:color="auto"/>
        <w:right w:val="none" w:sz="0" w:space="0" w:color="auto"/>
      </w:divBdr>
    </w:div>
    <w:div w:id="770855533">
      <w:bodyDiv w:val="1"/>
      <w:marLeft w:val="0"/>
      <w:marRight w:val="0"/>
      <w:marTop w:val="0"/>
      <w:marBottom w:val="0"/>
      <w:divBdr>
        <w:top w:val="none" w:sz="0" w:space="0" w:color="auto"/>
        <w:left w:val="none" w:sz="0" w:space="0" w:color="auto"/>
        <w:bottom w:val="none" w:sz="0" w:space="0" w:color="auto"/>
        <w:right w:val="none" w:sz="0" w:space="0" w:color="auto"/>
      </w:divBdr>
    </w:div>
    <w:div w:id="770971895">
      <w:bodyDiv w:val="1"/>
      <w:marLeft w:val="0"/>
      <w:marRight w:val="0"/>
      <w:marTop w:val="0"/>
      <w:marBottom w:val="0"/>
      <w:divBdr>
        <w:top w:val="none" w:sz="0" w:space="0" w:color="auto"/>
        <w:left w:val="none" w:sz="0" w:space="0" w:color="auto"/>
        <w:bottom w:val="none" w:sz="0" w:space="0" w:color="auto"/>
        <w:right w:val="none" w:sz="0" w:space="0" w:color="auto"/>
      </w:divBdr>
    </w:div>
    <w:div w:id="770972892">
      <w:bodyDiv w:val="1"/>
      <w:marLeft w:val="0"/>
      <w:marRight w:val="0"/>
      <w:marTop w:val="0"/>
      <w:marBottom w:val="0"/>
      <w:divBdr>
        <w:top w:val="none" w:sz="0" w:space="0" w:color="auto"/>
        <w:left w:val="none" w:sz="0" w:space="0" w:color="auto"/>
        <w:bottom w:val="none" w:sz="0" w:space="0" w:color="auto"/>
        <w:right w:val="none" w:sz="0" w:space="0" w:color="auto"/>
      </w:divBdr>
    </w:div>
    <w:div w:id="771122955">
      <w:bodyDiv w:val="1"/>
      <w:marLeft w:val="0"/>
      <w:marRight w:val="0"/>
      <w:marTop w:val="0"/>
      <w:marBottom w:val="0"/>
      <w:divBdr>
        <w:top w:val="none" w:sz="0" w:space="0" w:color="auto"/>
        <w:left w:val="none" w:sz="0" w:space="0" w:color="auto"/>
        <w:bottom w:val="none" w:sz="0" w:space="0" w:color="auto"/>
        <w:right w:val="none" w:sz="0" w:space="0" w:color="auto"/>
      </w:divBdr>
    </w:div>
    <w:div w:id="771125205">
      <w:bodyDiv w:val="1"/>
      <w:marLeft w:val="0"/>
      <w:marRight w:val="0"/>
      <w:marTop w:val="0"/>
      <w:marBottom w:val="0"/>
      <w:divBdr>
        <w:top w:val="none" w:sz="0" w:space="0" w:color="auto"/>
        <w:left w:val="none" w:sz="0" w:space="0" w:color="auto"/>
        <w:bottom w:val="none" w:sz="0" w:space="0" w:color="auto"/>
        <w:right w:val="none" w:sz="0" w:space="0" w:color="auto"/>
      </w:divBdr>
    </w:div>
    <w:div w:id="771172071">
      <w:bodyDiv w:val="1"/>
      <w:marLeft w:val="0"/>
      <w:marRight w:val="0"/>
      <w:marTop w:val="0"/>
      <w:marBottom w:val="0"/>
      <w:divBdr>
        <w:top w:val="none" w:sz="0" w:space="0" w:color="auto"/>
        <w:left w:val="none" w:sz="0" w:space="0" w:color="auto"/>
        <w:bottom w:val="none" w:sz="0" w:space="0" w:color="auto"/>
        <w:right w:val="none" w:sz="0" w:space="0" w:color="auto"/>
      </w:divBdr>
    </w:div>
    <w:div w:id="771390921">
      <w:bodyDiv w:val="1"/>
      <w:marLeft w:val="0"/>
      <w:marRight w:val="0"/>
      <w:marTop w:val="0"/>
      <w:marBottom w:val="0"/>
      <w:divBdr>
        <w:top w:val="none" w:sz="0" w:space="0" w:color="auto"/>
        <w:left w:val="none" w:sz="0" w:space="0" w:color="auto"/>
        <w:bottom w:val="none" w:sz="0" w:space="0" w:color="auto"/>
        <w:right w:val="none" w:sz="0" w:space="0" w:color="auto"/>
      </w:divBdr>
    </w:div>
    <w:div w:id="771509056">
      <w:bodyDiv w:val="1"/>
      <w:marLeft w:val="0"/>
      <w:marRight w:val="0"/>
      <w:marTop w:val="0"/>
      <w:marBottom w:val="0"/>
      <w:divBdr>
        <w:top w:val="none" w:sz="0" w:space="0" w:color="auto"/>
        <w:left w:val="none" w:sz="0" w:space="0" w:color="auto"/>
        <w:bottom w:val="none" w:sz="0" w:space="0" w:color="auto"/>
        <w:right w:val="none" w:sz="0" w:space="0" w:color="auto"/>
      </w:divBdr>
    </w:div>
    <w:div w:id="771517066">
      <w:bodyDiv w:val="1"/>
      <w:marLeft w:val="0"/>
      <w:marRight w:val="0"/>
      <w:marTop w:val="0"/>
      <w:marBottom w:val="0"/>
      <w:divBdr>
        <w:top w:val="none" w:sz="0" w:space="0" w:color="auto"/>
        <w:left w:val="none" w:sz="0" w:space="0" w:color="auto"/>
        <w:bottom w:val="none" w:sz="0" w:space="0" w:color="auto"/>
        <w:right w:val="none" w:sz="0" w:space="0" w:color="auto"/>
      </w:divBdr>
    </w:div>
    <w:div w:id="771584703">
      <w:bodyDiv w:val="1"/>
      <w:marLeft w:val="0"/>
      <w:marRight w:val="0"/>
      <w:marTop w:val="0"/>
      <w:marBottom w:val="0"/>
      <w:divBdr>
        <w:top w:val="none" w:sz="0" w:space="0" w:color="auto"/>
        <w:left w:val="none" w:sz="0" w:space="0" w:color="auto"/>
        <w:bottom w:val="none" w:sz="0" w:space="0" w:color="auto"/>
        <w:right w:val="none" w:sz="0" w:space="0" w:color="auto"/>
      </w:divBdr>
    </w:div>
    <w:div w:id="771701795">
      <w:bodyDiv w:val="1"/>
      <w:marLeft w:val="0"/>
      <w:marRight w:val="0"/>
      <w:marTop w:val="0"/>
      <w:marBottom w:val="0"/>
      <w:divBdr>
        <w:top w:val="none" w:sz="0" w:space="0" w:color="auto"/>
        <w:left w:val="none" w:sz="0" w:space="0" w:color="auto"/>
        <w:bottom w:val="none" w:sz="0" w:space="0" w:color="auto"/>
        <w:right w:val="none" w:sz="0" w:space="0" w:color="auto"/>
      </w:divBdr>
    </w:div>
    <w:div w:id="771776705">
      <w:bodyDiv w:val="1"/>
      <w:marLeft w:val="0"/>
      <w:marRight w:val="0"/>
      <w:marTop w:val="0"/>
      <w:marBottom w:val="0"/>
      <w:divBdr>
        <w:top w:val="none" w:sz="0" w:space="0" w:color="auto"/>
        <w:left w:val="none" w:sz="0" w:space="0" w:color="auto"/>
        <w:bottom w:val="none" w:sz="0" w:space="0" w:color="auto"/>
        <w:right w:val="none" w:sz="0" w:space="0" w:color="auto"/>
      </w:divBdr>
    </w:div>
    <w:div w:id="771777784">
      <w:bodyDiv w:val="1"/>
      <w:marLeft w:val="0"/>
      <w:marRight w:val="0"/>
      <w:marTop w:val="0"/>
      <w:marBottom w:val="0"/>
      <w:divBdr>
        <w:top w:val="none" w:sz="0" w:space="0" w:color="auto"/>
        <w:left w:val="none" w:sz="0" w:space="0" w:color="auto"/>
        <w:bottom w:val="none" w:sz="0" w:space="0" w:color="auto"/>
        <w:right w:val="none" w:sz="0" w:space="0" w:color="auto"/>
      </w:divBdr>
    </w:div>
    <w:div w:id="771901521">
      <w:bodyDiv w:val="1"/>
      <w:marLeft w:val="0"/>
      <w:marRight w:val="0"/>
      <w:marTop w:val="0"/>
      <w:marBottom w:val="0"/>
      <w:divBdr>
        <w:top w:val="none" w:sz="0" w:space="0" w:color="auto"/>
        <w:left w:val="none" w:sz="0" w:space="0" w:color="auto"/>
        <w:bottom w:val="none" w:sz="0" w:space="0" w:color="auto"/>
        <w:right w:val="none" w:sz="0" w:space="0" w:color="auto"/>
      </w:divBdr>
    </w:div>
    <w:div w:id="772014106">
      <w:bodyDiv w:val="1"/>
      <w:marLeft w:val="0"/>
      <w:marRight w:val="0"/>
      <w:marTop w:val="0"/>
      <w:marBottom w:val="0"/>
      <w:divBdr>
        <w:top w:val="none" w:sz="0" w:space="0" w:color="auto"/>
        <w:left w:val="none" w:sz="0" w:space="0" w:color="auto"/>
        <w:bottom w:val="none" w:sz="0" w:space="0" w:color="auto"/>
        <w:right w:val="none" w:sz="0" w:space="0" w:color="auto"/>
      </w:divBdr>
    </w:div>
    <w:div w:id="772018093">
      <w:bodyDiv w:val="1"/>
      <w:marLeft w:val="0"/>
      <w:marRight w:val="0"/>
      <w:marTop w:val="0"/>
      <w:marBottom w:val="0"/>
      <w:divBdr>
        <w:top w:val="none" w:sz="0" w:space="0" w:color="auto"/>
        <w:left w:val="none" w:sz="0" w:space="0" w:color="auto"/>
        <w:bottom w:val="none" w:sz="0" w:space="0" w:color="auto"/>
        <w:right w:val="none" w:sz="0" w:space="0" w:color="auto"/>
      </w:divBdr>
    </w:div>
    <w:div w:id="772046091">
      <w:bodyDiv w:val="1"/>
      <w:marLeft w:val="0"/>
      <w:marRight w:val="0"/>
      <w:marTop w:val="0"/>
      <w:marBottom w:val="0"/>
      <w:divBdr>
        <w:top w:val="none" w:sz="0" w:space="0" w:color="auto"/>
        <w:left w:val="none" w:sz="0" w:space="0" w:color="auto"/>
        <w:bottom w:val="none" w:sz="0" w:space="0" w:color="auto"/>
        <w:right w:val="none" w:sz="0" w:space="0" w:color="auto"/>
      </w:divBdr>
    </w:div>
    <w:div w:id="772164694">
      <w:bodyDiv w:val="1"/>
      <w:marLeft w:val="0"/>
      <w:marRight w:val="0"/>
      <w:marTop w:val="0"/>
      <w:marBottom w:val="0"/>
      <w:divBdr>
        <w:top w:val="none" w:sz="0" w:space="0" w:color="auto"/>
        <w:left w:val="none" w:sz="0" w:space="0" w:color="auto"/>
        <w:bottom w:val="none" w:sz="0" w:space="0" w:color="auto"/>
        <w:right w:val="none" w:sz="0" w:space="0" w:color="auto"/>
      </w:divBdr>
    </w:div>
    <w:div w:id="772239249">
      <w:bodyDiv w:val="1"/>
      <w:marLeft w:val="0"/>
      <w:marRight w:val="0"/>
      <w:marTop w:val="0"/>
      <w:marBottom w:val="0"/>
      <w:divBdr>
        <w:top w:val="none" w:sz="0" w:space="0" w:color="auto"/>
        <w:left w:val="none" w:sz="0" w:space="0" w:color="auto"/>
        <w:bottom w:val="none" w:sz="0" w:space="0" w:color="auto"/>
        <w:right w:val="none" w:sz="0" w:space="0" w:color="auto"/>
      </w:divBdr>
    </w:div>
    <w:div w:id="772285552">
      <w:bodyDiv w:val="1"/>
      <w:marLeft w:val="0"/>
      <w:marRight w:val="0"/>
      <w:marTop w:val="0"/>
      <w:marBottom w:val="0"/>
      <w:divBdr>
        <w:top w:val="none" w:sz="0" w:space="0" w:color="auto"/>
        <w:left w:val="none" w:sz="0" w:space="0" w:color="auto"/>
        <w:bottom w:val="none" w:sz="0" w:space="0" w:color="auto"/>
        <w:right w:val="none" w:sz="0" w:space="0" w:color="auto"/>
      </w:divBdr>
    </w:div>
    <w:div w:id="772365895">
      <w:bodyDiv w:val="1"/>
      <w:marLeft w:val="0"/>
      <w:marRight w:val="0"/>
      <w:marTop w:val="0"/>
      <w:marBottom w:val="0"/>
      <w:divBdr>
        <w:top w:val="none" w:sz="0" w:space="0" w:color="auto"/>
        <w:left w:val="none" w:sz="0" w:space="0" w:color="auto"/>
        <w:bottom w:val="none" w:sz="0" w:space="0" w:color="auto"/>
        <w:right w:val="none" w:sz="0" w:space="0" w:color="auto"/>
      </w:divBdr>
    </w:div>
    <w:div w:id="772407363">
      <w:bodyDiv w:val="1"/>
      <w:marLeft w:val="0"/>
      <w:marRight w:val="0"/>
      <w:marTop w:val="0"/>
      <w:marBottom w:val="0"/>
      <w:divBdr>
        <w:top w:val="none" w:sz="0" w:space="0" w:color="auto"/>
        <w:left w:val="none" w:sz="0" w:space="0" w:color="auto"/>
        <w:bottom w:val="none" w:sz="0" w:space="0" w:color="auto"/>
        <w:right w:val="none" w:sz="0" w:space="0" w:color="auto"/>
      </w:divBdr>
    </w:div>
    <w:div w:id="772407404">
      <w:bodyDiv w:val="1"/>
      <w:marLeft w:val="0"/>
      <w:marRight w:val="0"/>
      <w:marTop w:val="0"/>
      <w:marBottom w:val="0"/>
      <w:divBdr>
        <w:top w:val="none" w:sz="0" w:space="0" w:color="auto"/>
        <w:left w:val="none" w:sz="0" w:space="0" w:color="auto"/>
        <w:bottom w:val="none" w:sz="0" w:space="0" w:color="auto"/>
        <w:right w:val="none" w:sz="0" w:space="0" w:color="auto"/>
      </w:divBdr>
    </w:div>
    <w:div w:id="772435325">
      <w:bodyDiv w:val="1"/>
      <w:marLeft w:val="0"/>
      <w:marRight w:val="0"/>
      <w:marTop w:val="0"/>
      <w:marBottom w:val="0"/>
      <w:divBdr>
        <w:top w:val="none" w:sz="0" w:space="0" w:color="auto"/>
        <w:left w:val="none" w:sz="0" w:space="0" w:color="auto"/>
        <w:bottom w:val="none" w:sz="0" w:space="0" w:color="auto"/>
        <w:right w:val="none" w:sz="0" w:space="0" w:color="auto"/>
      </w:divBdr>
    </w:div>
    <w:div w:id="772476717">
      <w:bodyDiv w:val="1"/>
      <w:marLeft w:val="0"/>
      <w:marRight w:val="0"/>
      <w:marTop w:val="0"/>
      <w:marBottom w:val="0"/>
      <w:divBdr>
        <w:top w:val="none" w:sz="0" w:space="0" w:color="auto"/>
        <w:left w:val="none" w:sz="0" w:space="0" w:color="auto"/>
        <w:bottom w:val="none" w:sz="0" w:space="0" w:color="auto"/>
        <w:right w:val="none" w:sz="0" w:space="0" w:color="auto"/>
      </w:divBdr>
    </w:div>
    <w:div w:id="772553133">
      <w:bodyDiv w:val="1"/>
      <w:marLeft w:val="0"/>
      <w:marRight w:val="0"/>
      <w:marTop w:val="0"/>
      <w:marBottom w:val="0"/>
      <w:divBdr>
        <w:top w:val="none" w:sz="0" w:space="0" w:color="auto"/>
        <w:left w:val="none" w:sz="0" w:space="0" w:color="auto"/>
        <w:bottom w:val="none" w:sz="0" w:space="0" w:color="auto"/>
        <w:right w:val="none" w:sz="0" w:space="0" w:color="auto"/>
      </w:divBdr>
    </w:div>
    <w:div w:id="772630735">
      <w:bodyDiv w:val="1"/>
      <w:marLeft w:val="0"/>
      <w:marRight w:val="0"/>
      <w:marTop w:val="0"/>
      <w:marBottom w:val="0"/>
      <w:divBdr>
        <w:top w:val="none" w:sz="0" w:space="0" w:color="auto"/>
        <w:left w:val="none" w:sz="0" w:space="0" w:color="auto"/>
        <w:bottom w:val="none" w:sz="0" w:space="0" w:color="auto"/>
        <w:right w:val="none" w:sz="0" w:space="0" w:color="auto"/>
      </w:divBdr>
    </w:div>
    <w:div w:id="772743079">
      <w:bodyDiv w:val="1"/>
      <w:marLeft w:val="0"/>
      <w:marRight w:val="0"/>
      <w:marTop w:val="0"/>
      <w:marBottom w:val="0"/>
      <w:divBdr>
        <w:top w:val="none" w:sz="0" w:space="0" w:color="auto"/>
        <w:left w:val="none" w:sz="0" w:space="0" w:color="auto"/>
        <w:bottom w:val="none" w:sz="0" w:space="0" w:color="auto"/>
        <w:right w:val="none" w:sz="0" w:space="0" w:color="auto"/>
      </w:divBdr>
    </w:div>
    <w:div w:id="772752079">
      <w:bodyDiv w:val="1"/>
      <w:marLeft w:val="0"/>
      <w:marRight w:val="0"/>
      <w:marTop w:val="0"/>
      <w:marBottom w:val="0"/>
      <w:divBdr>
        <w:top w:val="none" w:sz="0" w:space="0" w:color="auto"/>
        <w:left w:val="none" w:sz="0" w:space="0" w:color="auto"/>
        <w:bottom w:val="none" w:sz="0" w:space="0" w:color="auto"/>
        <w:right w:val="none" w:sz="0" w:space="0" w:color="auto"/>
      </w:divBdr>
    </w:div>
    <w:div w:id="772821157">
      <w:bodyDiv w:val="1"/>
      <w:marLeft w:val="0"/>
      <w:marRight w:val="0"/>
      <w:marTop w:val="0"/>
      <w:marBottom w:val="0"/>
      <w:divBdr>
        <w:top w:val="none" w:sz="0" w:space="0" w:color="auto"/>
        <w:left w:val="none" w:sz="0" w:space="0" w:color="auto"/>
        <w:bottom w:val="none" w:sz="0" w:space="0" w:color="auto"/>
        <w:right w:val="none" w:sz="0" w:space="0" w:color="auto"/>
      </w:divBdr>
    </w:div>
    <w:div w:id="772825424">
      <w:bodyDiv w:val="1"/>
      <w:marLeft w:val="0"/>
      <w:marRight w:val="0"/>
      <w:marTop w:val="0"/>
      <w:marBottom w:val="0"/>
      <w:divBdr>
        <w:top w:val="none" w:sz="0" w:space="0" w:color="auto"/>
        <w:left w:val="none" w:sz="0" w:space="0" w:color="auto"/>
        <w:bottom w:val="none" w:sz="0" w:space="0" w:color="auto"/>
        <w:right w:val="none" w:sz="0" w:space="0" w:color="auto"/>
      </w:divBdr>
    </w:div>
    <w:div w:id="772866582">
      <w:bodyDiv w:val="1"/>
      <w:marLeft w:val="0"/>
      <w:marRight w:val="0"/>
      <w:marTop w:val="0"/>
      <w:marBottom w:val="0"/>
      <w:divBdr>
        <w:top w:val="none" w:sz="0" w:space="0" w:color="auto"/>
        <w:left w:val="none" w:sz="0" w:space="0" w:color="auto"/>
        <w:bottom w:val="none" w:sz="0" w:space="0" w:color="auto"/>
        <w:right w:val="none" w:sz="0" w:space="0" w:color="auto"/>
      </w:divBdr>
    </w:div>
    <w:div w:id="772869367">
      <w:bodyDiv w:val="1"/>
      <w:marLeft w:val="0"/>
      <w:marRight w:val="0"/>
      <w:marTop w:val="0"/>
      <w:marBottom w:val="0"/>
      <w:divBdr>
        <w:top w:val="none" w:sz="0" w:space="0" w:color="auto"/>
        <w:left w:val="none" w:sz="0" w:space="0" w:color="auto"/>
        <w:bottom w:val="none" w:sz="0" w:space="0" w:color="auto"/>
        <w:right w:val="none" w:sz="0" w:space="0" w:color="auto"/>
      </w:divBdr>
    </w:div>
    <w:div w:id="772893797">
      <w:bodyDiv w:val="1"/>
      <w:marLeft w:val="0"/>
      <w:marRight w:val="0"/>
      <w:marTop w:val="0"/>
      <w:marBottom w:val="0"/>
      <w:divBdr>
        <w:top w:val="none" w:sz="0" w:space="0" w:color="auto"/>
        <w:left w:val="none" w:sz="0" w:space="0" w:color="auto"/>
        <w:bottom w:val="none" w:sz="0" w:space="0" w:color="auto"/>
        <w:right w:val="none" w:sz="0" w:space="0" w:color="auto"/>
      </w:divBdr>
    </w:div>
    <w:div w:id="772940243">
      <w:bodyDiv w:val="1"/>
      <w:marLeft w:val="0"/>
      <w:marRight w:val="0"/>
      <w:marTop w:val="0"/>
      <w:marBottom w:val="0"/>
      <w:divBdr>
        <w:top w:val="none" w:sz="0" w:space="0" w:color="auto"/>
        <w:left w:val="none" w:sz="0" w:space="0" w:color="auto"/>
        <w:bottom w:val="none" w:sz="0" w:space="0" w:color="auto"/>
        <w:right w:val="none" w:sz="0" w:space="0" w:color="auto"/>
      </w:divBdr>
    </w:div>
    <w:div w:id="772943272">
      <w:bodyDiv w:val="1"/>
      <w:marLeft w:val="0"/>
      <w:marRight w:val="0"/>
      <w:marTop w:val="0"/>
      <w:marBottom w:val="0"/>
      <w:divBdr>
        <w:top w:val="none" w:sz="0" w:space="0" w:color="auto"/>
        <w:left w:val="none" w:sz="0" w:space="0" w:color="auto"/>
        <w:bottom w:val="none" w:sz="0" w:space="0" w:color="auto"/>
        <w:right w:val="none" w:sz="0" w:space="0" w:color="auto"/>
      </w:divBdr>
    </w:div>
    <w:div w:id="773205301">
      <w:bodyDiv w:val="1"/>
      <w:marLeft w:val="0"/>
      <w:marRight w:val="0"/>
      <w:marTop w:val="0"/>
      <w:marBottom w:val="0"/>
      <w:divBdr>
        <w:top w:val="none" w:sz="0" w:space="0" w:color="auto"/>
        <w:left w:val="none" w:sz="0" w:space="0" w:color="auto"/>
        <w:bottom w:val="none" w:sz="0" w:space="0" w:color="auto"/>
        <w:right w:val="none" w:sz="0" w:space="0" w:color="auto"/>
      </w:divBdr>
    </w:div>
    <w:div w:id="773287475">
      <w:bodyDiv w:val="1"/>
      <w:marLeft w:val="0"/>
      <w:marRight w:val="0"/>
      <w:marTop w:val="0"/>
      <w:marBottom w:val="0"/>
      <w:divBdr>
        <w:top w:val="none" w:sz="0" w:space="0" w:color="auto"/>
        <w:left w:val="none" w:sz="0" w:space="0" w:color="auto"/>
        <w:bottom w:val="none" w:sz="0" w:space="0" w:color="auto"/>
        <w:right w:val="none" w:sz="0" w:space="0" w:color="auto"/>
      </w:divBdr>
    </w:div>
    <w:div w:id="773330552">
      <w:bodyDiv w:val="1"/>
      <w:marLeft w:val="0"/>
      <w:marRight w:val="0"/>
      <w:marTop w:val="0"/>
      <w:marBottom w:val="0"/>
      <w:divBdr>
        <w:top w:val="none" w:sz="0" w:space="0" w:color="auto"/>
        <w:left w:val="none" w:sz="0" w:space="0" w:color="auto"/>
        <w:bottom w:val="none" w:sz="0" w:space="0" w:color="auto"/>
        <w:right w:val="none" w:sz="0" w:space="0" w:color="auto"/>
      </w:divBdr>
    </w:div>
    <w:div w:id="773355869">
      <w:bodyDiv w:val="1"/>
      <w:marLeft w:val="0"/>
      <w:marRight w:val="0"/>
      <w:marTop w:val="0"/>
      <w:marBottom w:val="0"/>
      <w:divBdr>
        <w:top w:val="none" w:sz="0" w:space="0" w:color="auto"/>
        <w:left w:val="none" w:sz="0" w:space="0" w:color="auto"/>
        <w:bottom w:val="none" w:sz="0" w:space="0" w:color="auto"/>
        <w:right w:val="none" w:sz="0" w:space="0" w:color="auto"/>
      </w:divBdr>
    </w:div>
    <w:div w:id="773479134">
      <w:bodyDiv w:val="1"/>
      <w:marLeft w:val="0"/>
      <w:marRight w:val="0"/>
      <w:marTop w:val="0"/>
      <w:marBottom w:val="0"/>
      <w:divBdr>
        <w:top w:val="none" w:sz="0" w:space="0" w:color="auto"/>
        <w:left w:val="none" w:sz="0" w:space="0" w:color="auto"/>
        <w:bottom w:val="none" w:sz="0" w:space="0" w:color="auto"/>
        <w:right w:val="none" w:sz="0" w:space="0" w:color="auto"/>
      </w:divBdr>
    </w:div>
    <w:div w:id="773480690">
      <w:bodyDiv w:val="1"/>
      <w:marLeft w:val="0"/>
      <w:marRight w:val="0"/>
      <w:marTop w:val="0"/>
      <w:marBottom w:val="0"/>
      <w:divBdr>
        <w:top w:val="none" w:sz="0" w:space="0" w:color="auto"/>
        <w:left w:val="none" w:sz="0" w:space="0" w:color="auto"/>
        <w:bottom w:val="none" w:sz="0" w:space="0" w:color="auto"/>
        <w:right w:val="none" w:sz="0" w:space="0" w:color="auto"/>
      </w:divBdr>
    </w:div>
    <w:div w:id="773666824">
      <w:bodyDiv w:val="1"/>
      <w:marLeft w:val="0"/>
      <w:marRight w:val="0"/>
      <w:marTop w:val="0"/>
      <w:marBottom w:val="0"/>
      <w:divBdr>
        <w:top w:val="none" w:sz="0" w:space="0" w:color="auto"/>
        <w:left w:val="none" w:sz="0" w:space="0" w:color="auto"/>
        <w:bottom w:val="none" w:sz="0" w:space="0" w:color="auto"/>
        <w:right w:val="none" w:sz="0" w:space="0" w:color="auto"/>
      </w:divBdr>
    </w:div>
    <w:div w:id="773668285">
      <w:bodyDiv w:val="1"/>
      <w:marLeft w:val="0"/>
      <w:marRight w:val="0"/>
      <w:marTop w:val="0"/>
      <w:marBottom w:val="0"/>
      <w:divBdr>
        <w:top w:val="none" w:sz="0" w:space="0" w:color="auto"/>
        <w:left w:val="none" w:sz="0" w:space="0" w:color="auto"/>
        <w:bottom w:val="none" w:sz="0" w:space="0" w:color="auto"/>
        <w:right w:val="none" w:sz="0" w:space="0" w:color="auto"/>
      </w:divBdr>
    </w:div>
    <w:div w:id="773790846">
      <w:bodyDiv w:val="1"/>
      <w:marLeft w:val="0"/>
      <w:marRight w:val="0"/>
      <w:marTop w:val="0"/>
      <w:marBottom w:val="0"/>
      <w:divBdr>
        <w:top w:val="none" w:sz="0" w:space="0" w:color="auto"/>
        <w:left w:val="none" w:sz="0" w:space="0" w:color="auto"/>
        <w:bottom w:val="none" w:sz="0" w:space="0" w:color="auto"/>
        <w:right w:val="none" w:sz="0" w:space="0" w:color="auto"/>
      </w:divBdr>
    </w:div>
    <w:div w:id="773791955">
      <w:bodyDiv w:val="1"/>
      <w:marLeft w:val="0"/>
      <w:marRight w:val="0"/>
      <w:marTop w:val="0"/>
      <w:marBottom w:val="0"/>
      <w:divBdr>
        <w:top w:val="none" w:sz="0" w:space="0" w:color="auto"/>
        <w:left w:val="none" w:sz="0" w:space="0" w:color="auto"/>
        <w:bottom w:val="none" w:sz="0" w:space="0" w:color="auto"/>
        <w:right w:val="none" w:sz="0" w:space="0" w:color="auto"/>
      </w:divBdr>
    </w:div>
    <w:div w:id="773864452">
      <w:bodyDiv w:val="1"/>
      <w:marLeft w:val="0"/>
      <w:marRight w:val="0"/>
      <w:marTop w:val="0"/>
      <w:marBottom w:val="0"/>
      <w:divBdr>
        <w:top w:val="none" w:sz="0" w:space="0" w:color="auto"/>
        <w:left w:val="none" w:sz="0" w:space="0" w:color="auto"/>
        <w:bottom w:val="none" w:sz="0" w:space="0" w:color="auto"/>
        <w:right w:val="none" w:sz="0" w:space="0" w:color="auto"/>
      </w:divBdr>
    </w:div>
    <w:div w:id="773866379">
      <w:bodyDiv w:val="1"/>
      <w:marLeft w:val="0"/>
      <w:marRight w:val="0"/>
      <w:marTop w:val="0"/>
      <w:marBottom w:val="0"/>
      <w:divBdr>
        <w:top w:val="none" w:sz="0" w:space="0" w:color="auto"/>
        <w:left w:val="none" w:sz="0" w:space="0" w:color="auto"/>
        <w:bottom w:val="none" w:sz="0" w:space="0" w:color="auto"/>
        <w:right w:val="none" w:sz="0" w:space="0" w:color="auto"/>
      </w:divBdr>
    </w:div>
    <w:div w:id="773941913">
      <w:bodyDiv w:val="1"/>
      <w:marLeft w:val="0"/>
      <w:marRight w:val="0"/>
      <w:marTop w:val="0"/>
      <w:marBottom w:val="0"/>
      <w:divBdr>
        <w:top w:val="none" w:sz="0" w:space="0" w:color="auto"/>
        <w:left w:val="none" w:sz="0" w:space="0" w:color="auto"/>
        <w:bottom w:val="none" w:sz="0" w:space="0" w:color="auto"/>
        <w:right w:val="none" w:sz="0" w:space="0" w:color="auto"/>
      </w:divBdr>
    </w:div>
    <w:div w:id="773942814">
      <w:bodyDiv w:val="1"/>
      <w:marLeft w:val="0"/>
      <w:marRight w:val="0"/>
      <w:marTop w:val="0"/>
      <w:marBottom w:val="0"/>
      <w:divBdr>
        <w:top w:val="none" w:sz="0" w:space="0" w:color="auto"/>
        <w:left w:val="none" w:sz="0" w:space="0" w:color="auto"/>
        <w:bottom w:val="none" w:sz="0" w:space="0" w:color="auto"/>
        <w:right w:val="none" w:sz="0" w:space="0" w:color="auto"/>
      </w:divBdr>
    </w:div>
    <w:div w:id="773944540">
      <w:bodyDiv w:val="1"/>
      <w:marLeft w:val="0"/>
      <w:marRight w:val="0"/>
      <w:marTop w:val="0"/>
      <w:marBottom w:val="0"/>
      <w:divBdr>
        <w:top w:val="none" w:sz="0" w:space="0" w:color="auto"/>
        <w:left w:val="none" w:sz="0" w:space="0" w:color="auto"/>
        <w:bottom w:val="none" w:sz="0" w:space="0" w:color="auto"/>
        <w:right w:val="none" w:sz="0" w:space="0" w:color="auto"/>
      </w:divBdr>
    </w:div>
    <w:div w:id="774012078">
      <w:bodyDiv w:val="1"/>
      <w:marLeft w:val="0"/>
      <w:marRight w:val="0"/>
      <w:marTop w:val="0"/>
      <w:marBottom w:val="0"/>
      <w:divBdr>
        <w:top w:val="none" w:sz="0" w:space="0" w:color="auto"/>
        <w:left w:val="none" w:sz="0" w:space="0" w:color="auto"/>
        <w:bottom w:val="none" w:sz="0" w:space="0" w:color="auto"/>
        <w:right w:val="none" w:sz="0" w:space="0" w:color="auto"/>
      </w:divBdr>
    </w:div>
    <w:div w:id="774053382">
      <w:bodyDiv w:val="1"/>
      <w:marLeft w:val="0"/>
      <w:marRight w:val="0"/>
      <w:marTop w:val="0"/>
      <w:marBottom w:val="0"/>
      <w:divBdr>
        <w:top w:val="none" w:sz="0" w:space="0" w:color="auto"/>
        <w:left w:val="none" w:sz="0" w:space="0" w:color="auto"/>
        <w:bottom w:val="none" w:sz="0" w:space="0" w:color="auto"/>
        <w:right w:val="none" w:sz="0" w:space="0" w:color="auto"/>
      </w:divBdr>
    </w:div>
    <w:div w:id="774129582">
      <w:bodyDiv w:val="1"/>
      <w:marLeft w:val="0"/>
      <w:marRight w:val="0"/>
      <w:marTop w:val="0"/>
      <w:marBottom w:val="0"/>
      <w:divBdr>
        <w:top w:val="none" w:sz="0" w:space="0" w:color="auto"/>
        <w:left w:val="none" w:sz="0" w:space="0" w:color="auto"/>
        <w:bottom w:val="none" w:sz="0" w:space="0" w:color="auto"/>
        <w:right w:val="none" w:sz="0" w:space="0" w:color="auto"/>
      </w:divBdr>
    </w:div>
    <w:div w:id="774204091">
      <w:bodyDiv w:val="1"/>
      <w:marLeft w:val="0"/>
      <w:marRight w:val="0"/>
      <w:marTop w:val="0"/>
      <w:marBottom w:val="0"/>
      <w:divBdr>
        <w:top w:val="none" w:sz="0" w:space="0" w:color="auto"/>
        <w:left w:val="none" w:sz="0" w:space="0" w:color="auto"/>
        <w:bottom w:val="none" w:sz="0" w:space="0" w:color="auto"/>
        <w:right w:val="none" w:sz="0" w:space="0" w:color="auto"/>
      </w:divBdr>
    </w:div>
    <w:div w:id="774248764">
      <w:bodyDiv w:val="1"/>
      <w:marLeft w:val="0"/>
      <w:marRight w:val="0"/>
      <w:marTop w:val="0"/>
      <w:marBottom w:val="0"/>
      <w:divBdr>
        <w:top w:val="none" w:sz="0" w:space="0" w:color="auto"/>
        <w:left w:val="none" w:sz="0" w:space="0" w:color="auto"/>
        <w:bottom w:val="none" w:sz="0" w:space="0" w:color="auto"/>
        <w:right w:val="none" w:sz="0" w:space="0" w:color="auto"/>
      </w:divBdr>
    </w:div>
    <w:div w:id="774322597">
      <w:bodyDiv w:val="1"/>
      <w:marLeft w:val="0"/>
      <w:marRight w:val="0"/>
      <w:marTop w:val="0"/>
      <w:marBottom w:val="0"/>
      <w:divBdr>
        <w:top w:val="none" w:sz="0" w:space="0" w:color="auto"/>
        <w:left w:val="none" w:sz="0" w:space="0" w:color="auto"/>
        <w:bottom w:val="none" w:sz="0" w:space="0" w:color="auto"/>
        <w:right w:val="none" w:sz="0" w:space="0" w:color="auto"/>
      </w:divBdr>
    </w:div>
    <w:div w:id="774325603">
      <w:bodyDiv w:val="1"/>
      <w:marLeft w:val="0"/>
      <w:marRight w:val="0"/>
      <w:marTop w:val="0"/>
      <w:marBottom w:val="0"/>
      <w:divBdr>
        <w:top w:val="none" w:sz="0" w:space="0" w:color="auto"/>
        <w:left w:val="none" w:sz="0" w:space="0" w:color="auto"/>
        <w:bottom w:val="none" w:sz="0" w:space="0" w:color="auto"/>
        <w:right w:val="none" w:sz="0" w:space="0" w:color="auto"/>
      </w:divBdr>
    </w:div>
    <w:div w:id="774398428">
      <w:bodyDiv w:val="1"/>
      <w:marLeft w:val="0"/>
      <w:marRight w:val="0"/>
      <w:marTop w:val="0"/>
      <w:marBottom w:val="0"/>
      <w:divBdr>
        <w:top w:val="none" w:sz="0" w:space="0" w:color="auto"/>
        <w:left w:val="none" w:sz="0" w:space="0" w:color="auto"/>
        <w:bottom w:val="none" w:sz="0" w:space="0" w:color="auto"/>
        <w:right w:val="none" w:sz="0" w:space="0" w:color="auto"/>
      </w:divBdr>
    </w:div>
    <w:div w:id="774518992">
      <w:bodyDiv w:val="1"/>
      <w:marLeft w:val="0"/>
      <w:marRight w:val="0"/>
      <w:marTop w:val="0"/>
      <w:marBottom w:val="0"/>
      <w:divBdr>
        <w:top w:val="none" w:sz="0" w:space="0" w:color="auto"/>
        <w:left w:val="none" w:sz="0" w:space="0" w:color="auto"/>
        <w:bottom w:val="none" w:sz="0" w:space="0" w:color="auto"/>
        <w:right w:val="none" w:sz="0" w:space="0" w:color="auto"/>
      </w:divBdr>
    </w:div>
    <w:div w:id="774523054">
      <w:bodyDiv w:val="1"/>
      <w:marLeft w:val="0"/>
      <w:marRight w:val="0"/>
      <w:marTop w:val="0"/>
      <w:marBottom w:val="0"/>
      <w:divBdr>
        <w:top w:val="none" w:sz="0" w:space="0" w:color="auto"/>
        <w:left w:val="none" w:sz="0" w:space="0" w:color="auto"/>
        <w:bottom w:val="none" w:sz="0" w:space="0" w:color="auto"/>
        <w:right w:val="none" w:sz="0" w:space="0" w:color="auto"/>
      </w:divBdr>
    </w:div>
    <w:div w:id="774786042">
      <w:bodyDiv w:val="1"/>
      <w:marLeft w:val="0"/>
      <w:marRight w:val="0"/>
      <w:marTop w:val="0"/>
      <w:marBottom w:val="0"/>
      <w:divBdr>
        <w:top w:val="none" w:sz="0" w:space="0" w:color="auto"/>
        <w:left w:val="none" w:sz="0" w:space="0" w:color="auto"/>
        <w:bottom w:val="none" w:sz="0" w:space="0" w:color="auto"/>
        <w:right w:val="none" w:sz="0" w:space="0" w:color="auto"/>
      </w:divBdr>
    </w:div>
    <w:div w:id="774786137">
      <w:bodyDiv w:val="1"/>
      <w:marLeft w:val="0"/>
      <w:marRight w:val="0"/>
      <w:marTop w:val="0"/>
      <w:marBottom w:val="0"/>
      <w:divBdr>
        <w:top w:val="none" w:sz="0" w:space="0" w:color="auto"/>
        <w:left w:val="none" w:sz="0" w:space="0" w:color="auto"/>
        <w:bottom w:val="none" w:sz="0" w:space="0" w:color="auto"/>
        <w:right w:val="none" w:sz="0" w:space="0" w:color="auto"/>
      </w:divBdr>
    </w:div>
    <w:div w:id="774860212">
      <w:bodyDiv w:val="1"/>
      <w:marLeft w:val="0"/>
      <w:marRight w:val="0"/>
      <w:marTop w:val="0"/>
      <w:marBottom w:val="0"/>
      <w:divBdr>
        <w:top w:val="none" w:sz="0" w:space="0" w:color="auto"/>
        <w:left w:val="none" w:sz="0" w:space="0" w:color="auto"/>
        <w:bottom w:val="none" w:sz="0" w:space="0" w:color="auto"/>
        <w:right w:val="none" w:sz="0" w:space="0" w:color="auto"/>
      </w:divBdr>
    </w:div>
    <w:div w:id="774902706">
      <w:bodyDiv w:val="1"/>
      <w:marLeft w:val="0"/>
      <w:marRight w:val="0"/>
      <w:marTop w:val="0"/>
      <w:marBottom w:val="0"/>
      <w:divBdr>
        <w:top w:val="none" w:sz="0" w:space="0" w:color="auto"/>
        <w:left w:val="none" w:sz="0" w:space="0" w:color="auto"/>
        <w:bottom w:val="none" w:sz="0" w:space="0" w:color="auto"/>
        <w:right w:val="none" w:sz="0" w:space="0" w:color="auto"/>
      </w:divBdr>
    </w:div>
    <w:div w:id="774979612">
      <w:bodyDiv w:val="1"/>
      <w:marLeft w:val="0"/>
      <w:marRight w:val="0"/>
      <w:marTop w:val="0"/>
      <w:marBottom w:val="0"/>
      <w:divBdr>
        <w:top w:val="none" w:sz="0" w:space="0" w:color="auto"/>
        <w:left w:val="none" w:sz="0" w:space="0" w:color="auto"/>
        <w:bottom w:val="none" w:sz="0" w:space="0" w:color="auto"/>
        <w:right w:val="none" w:sz="0" w:space="0" w:color="auto"/>
      </w:divBdr>
    </w:div>
    <w:div w:id="775054567">
      <w:bodyDiv w:val="1"/>
      <w:marLeft w:val="0"/>
      <w:marRight w:val="0"/>
      <w:marTop w:val="0"/>
      <w:marBottom w:val="0"/>
      <w:divBdr>
        <w:top w:val="none" w:sz="0" w:space="0" w:color="auto"/>
        <w:left w:val="none" w:sz="0" w:space="0" w:color="auto"/>
        <w:bottom w:val="none" w:sz="0" w:space="0" w:color="auto"/>
        <w:right w:val="none" w:sz="0" w:space="0" w:color="auto"/>
      </w:divBdr>
    </w:div>
    <w:div w:id="775054987">
      <w:bodyDiv w:val="1"/>
      <w:marLeft w:val="0"/>
      <w:marRight w:val="0"/>
      <w:marTop w:val="0"/>
      <w:marBottom w:val="0"/>
      <w:divBdr>
        <w:top w:val="none" w:sz="0" w:space="0" w:color="auto"/>
        <w:left w:val="none" w:sz="0" w:space="0" w:color="auto"/>
        <w:bottom w:val="none" w:sz="0" w:space="0" w:color="auto"/>
        <w:right w:val="none" w:sz="0" w:space="0" w:color="auto"/>
      </w:divBdr>
    </w:div>
    <w:div w:id="775060170">
      <w:bodyDiv w:val="1"/>
      <w:marLeft w:val="0"/>
      <w:marRight w:val="0"/>
      <w:marTop w:val="0"/>
      <w:marBottom w:val="0"/>
      <w:divBdr>
        <w:top w:val="none" w:sz="0" w:space="0" w:color="auto"/>
        <w:left w:val="none" w:sz="0" w:space="0" w:color="auto"/>
        <w:bottom w:val="none" w:sz="0" w:space="0" w:color="auto"/>
        <w:right w:val="none" w:sz="0" w:space="0" w:color="auto"/>
      </w:divBdr>
    </w:div>
    <w:div w:id="775095865">
      <w:bodyDiv w:val="1"/>
      <w:marLeft w:val="0"/>
      <w:marRight w:val="0"/>
      <w:marTop w:val="0"/>
      <w:marBottom w:val="0"/>
      <w:divBdr>
        <w:top w:val="none" w:sz="0" w:space="0" w:color="auto"/>
        <w:left w:val="none" w:sz="0" w:space="0" w:color="auto"/>
        <w:bottom w:val="none" w:sz="0" w:space="0" w:color="auto"/>
        <w:right w:val="none" w:sz="0" w:space="0" w:color="auto"/>
      </w:divBdr>
    </w:div>
    <w:div w:id="775096251">
      <w:bodyDiv w:val="1"/>
      <w:marLeft w:val="0"/>
      <w:marRight w:val="0"/>
      <w:marTop w:val="0"/>
      <w:marBottom w:val="0"/>
      <w:divBdr>
        <w:top w:val="none" w:sz="0" w:space="0" w:color="auto"/>
        <w:left w:val="none" w:sz="0" w:space="0" w:color="auto"/>
        <w:bottom w:val="none" w:sz="0" w:space="0" w:color="auto"/>
        <w:right w:val="none" w:sz="0" w:space="0" w:color="auto"/>
      </w:divBdr>
    </w:div>
    <w:div w:id="775100538">
      <w:bodyDiv w:val="1"/>
      <w:marLeft w:val="0"/>
      <w:marRight w:val="0"/>
      <w:marTop w:val="0"/>
      <w:marBottom w:val="0"/>
      <w:divBdr>
        <w:top w:val="none" w:sz="0" w:space="0" w:color="auto"/>
        <w:left w:val="none" w:sz="0" w:space="0" w:color="auto"/>
        <w:bottom w:val="none" w:sz="0" w:space="0" w:color="auto"/>
        <w:right w:val="none" w:sz="0" w:space="0" w:color="auto"/>
      </w:divBdr>
    </w:div>
    <w:div w:id="775179347">
      <w:bodyDiv w:val="1"/>
      <w:marLeft w:val="0"/>
      <w:marRight w:val="0"/>
      <w:marTop w:val="0"/>
      <w:marBottom w:val="0"/>
      <w:divBdr>
        <w:top w:val="none" w:sz="0" w:space="0" w:color="auto"/>
        <w:left w:val="none" w:sz="0" w:space="0" w:color="auto"/>
        <w:bottom w:val="none" w:sz="0" w:space="0" w:color="auto"/>
        <w:right w:val="none" w:sz="0" w:space="0" w:color="auto"/>
      </w:divBdr>
    </w:div>
    <w:div w:id="775249933">
      <w:bodyDiv w:val="1"/>
      <w:marLeft w:val="0"/>
      <w:marRight w:val="0"/>
      <w:marTop w:val="0"/>
      <w:marBottom w:val="0"/>
      <w:divBdr>
        <w:top w:val="none" w:sz="0" w:space="0" w:color="auto"/>
        <w:left w:val="none" w:sz="0" w:space="0" w:color="auto"/>
        <w:bottom w:val="none" w:sz="0" w:space="0" w:color="auto"/>
        <w:right w:val="none" w:sz="0" w:space="0" w:color="auto"/>
      </w:divBdr>
    </w:div>
    <w:div w:id="775250579">
      <w:bodyDiv w:val="1"/>
      <w:marLeft w:val="0"/>
      <w:marRight w:val="0"/>
      <w:marTop w:val="0"/>
      <w:marBottom w:val="0"/>
      <w:divBdr>
        <w:top w:val="none" w:sz="0" w:space="0" w:color="auto"/>
        <w:left w:val="none" w:sz="0" w:space="0" w:color="auto"/>
        <w:bottom w:val="none" w:sz="0" w:space="0" w:color="auto"/>
        <w:right w:val="none" w:sz="0" w:space="0" w:color="auto"/>
      </w:divBdr>
    </w:div>
    <w:div w:id="775254210">
      <w:bodyDiv w:val="1"/>
      <w:marLeft w:val="0"/>
      <w:marRight w:val="0"/>
      <w:marTop w:val="0"/>
      <w:marBottom w:val="0"/>
      <w:divBdr>
        <w:top w:val="none" w:sz="0" w:space="0" w:color="auto"/>
        <w:left w:val="none" w:sz="0" w:space="0" w:color="auto"/>
        <w:bottom w:val="none" w:sz="0" w:space="0" w:color="auto"/>
        <w:right w:val="none" w:sz="0" w:space="0" w:color="auto"/>
      </w:divBdr>
    </w:div>
    <w:div w:id="775364087">
      <w:bodyDiv w:val="1"/>
      <w:marLeft w:val="0"/>
      <w:marRight w:val="0"/>
      <w:marTop w:val="0"/>
      <w:marBottom w:val="0"/>
      <w:divBdr>
        <w:top w:val="none" w:sz="0" w:space="0" w:color="auto"/>
        <w:left w:val="none" w:sz="0" w:space="0" w:color="auto"/>
        <w:bottom w:val="none" w:sz="0" w:space="0" w:color="auto"/>
        <w:right w:val="none" w:sz="0" w:space="0" w:color="auto"/>
      </w:divBdr>
    </w:div>
    <w:div w:id="775440375">
      <w:bodyDiv w:val="1"/>
      <w:marLeft w:val="0"/>
      <w:marRight w:val="0"/>
      <w:marTop w:val="0"/>
      <w:marBottom w:val="0"/>
      <w:divBdr>
        <w:top w:val="none" w:sz="0" w:space="0" w:color="auto"/>
        <w:left w:val="none" w:sz="0" w:space="0" w:color="auto"/>
        <w:bottom w:val="none" w:sz="0" w:space="0" w:color="auto"/>
        <w:right w:val="none" w:sz="0" w:space="0" w:color="auto"/>
      </w:divBdr>
    </w:div>
    <w:div w:id="775447943">
      <w:bodyDiv w:val="1"/>
      <w:marLeft w:val="0"/>
      <w:marRight w:val="0"/>
      <w:marTop w:val="0"/>
      <w:marBottom w:val="0"/>
      <w:divBdr>
        <w:top w:val="none" w:sz="0" w:space="0" w:color="auto"/>
        <w:left w:val="none" w:sz="0" w:space="0" w:color="auto"/>
        <w:bottom w:val="none" w:sz="0" w:space="0" w:color="auto"/>
        <w:right w:val="none" w:sz="0" w:space="0" w:color="auto"/>
      </w:divBdr>
    </w:div>
    <w:div w:id="775447992">
      <w:bodyDiv w:val="1"/>
      <w:marLeft w:val="0"/>
      <w:marRight w:val="0"/>
      <w:marTop w:val="0"/>
      <w:marBottom w:val="0"/>
      <w:divBdr>
        <w:top w:val="none" w:sz="0" w:space="0" w:color="auto"/>
        <w:left w:val="none" w:sz="0" w:space="0" w:color="auto"/>
        <w:bottom w:val="none" w:sz="0" w:space="0" w:color="auto"/>
        <w:right w:val="none" w:sz="0" w:space="0" w:color="auto"/>
      </w:divBdr>
    </w:div>
    <w:div w:id="775560835">
      <w:bodyDiv w:val="1"/>
      <w:marLeft w:val="0"/>
      <w:marRight w:val="0"/>
      <w:marTop w:val="0"/>
      <w:marBottom w:val="0"/>
      <w:divBdr>
        <w:top w:val="none" w:sz="0" w:space="0" w:color="auto"/>
        <w:left w:val="none" w:sz="0" w:space="0" w:color="auto"/>
        <w:bottom w:val="none" w:sz="0" w:space="0" w:color="auto"/>
        <w:right w:val="none" w:sz="0" w:space="0" w:color="auto"/>
      </w:divBdr>
    </w:div>
    <w:div w:id="775563155">
      <w:bodyDiv w:val="1"/>
      <w:marLeft w:val="0"/>
      <w:marRight w:val="0"/>
      <w:marTop w:val="0"/>
      <w:marBottom w:val="0"/>
      <w:divBdr>
        <w:top w:val="none" w:sz="0" w:space="0" w:color="auto"/>
        <w:left w:val="none" w:sz="0" w:space="0" w:color="auto"/>
        <w:bottom w:val="none" w:sz="0" w:space="0" w:color="auto"/>
        <w:right w:val="none" w:sz="0" w:space="0" w:color="auto"/>
      </w:divBdr>
    </w:div>
    <w:div w:id="775684747">
      <w:bodyDiv w:val="1"/>
      <w:marLeft w:val="0"/>
      <w:marRight w:val="0"/>
      <w:marTop w:val="0"/>
      <w:marBottom w:val="0"/>
      <w:divBdr>
        <w:top w:val="none" w:sz="0" w:space="0" w:color="auto"/>
        <w:left w:val="none" w:sz="0" w:space="0" w:color="auto"/>
        <w:bottom w:val="none" w:sz="0" w:space="0" w:color="auto"/>
        <w:right w:val="none" w:sz="0" w:space="0" w:color="auto"/>
      </w:divBdr>
    </w:div>
    <w:div w:id="775709889">
      <w:bodyDiv w:val="1"/>
      <w:marLeft w:val="0"/>
      <w:marRight w:val="0"/>
      <w:marTop w:val="0"/>
      <w:marBottom w:val="0"/>
      <w:divBdr>
        <w:top w:val="none" w:sz="0" w:space="0" w:color="auto"/>
        <w:left w:val="none" w:sz="0" w:space="0" w:color="auto"/>
        <w:bottom w:val="none" w:sz="0" w:space="0" w:color="auto"/>
        <w:right w:val="none" w:sz="0" w:space="0" w:color="auto"/>
      </w:divBdr>
    </w:div>
    <w:div w:id="775710709">
      <w:bodyDiv w:val="1"/>
      <w:marLeft w:val="0"/>
      <w:marRight w:val="0"/>
      <w:marTop w:val="0"/>
      <w:marBottom w:val="0"/>
      <w:divBdr>
        <w:top w:val="none" w:sz="0" w:space="0" w:color="auto"/>
        <w:left w:val="none" w:sz="0" w:space="0" w:color="auto"/>
        <w:bottom w:val="none" w:sz="0" w:space="0" w:color="auto"/>
        <w:right w:val="none" w:sz="0" w:space="0" w:color="auto"/>
      </w:divBdr>
    </w:div>
    <w:div w:id="775751567">
      <w:bodyDiv w:val="1"/>
      <w:marLeft w:val="0"/>
      <w:marRight w:val="0"/>
      <w:marTop w:val="0"/>
      <w:marBottom w:val="0"/>
      <w:divBdr>
        <w:top w:val="none" w:sz="0" w:space="0" w:color="auto"/>
        <w:left w:val="none" w:sz="0" w:space="0" w:color="auto"/>
        <w:bottom w:val="none" w:sz="0" w:space="0" w:color="auto"/>
        <w:right w:val="none" w:sz="0" w:space="0" w:color="auto"/>
      </w:divBdr>
    </w:div>
    <w:div w:id="775758176">
      <w:bodyDiv w:val="1"/>
      <w:marLeft w:val="0"/>
      <w:marRight w:val="0"/>
      <w:marTop w:val="0"/>
      <w:marBottom w:val="0"/>
      <w:divBdr>
        <w:top w:val="none" w:sz="0" w:space="0" w:color="auto"/>
        <w:left w:val="none" w:sz="0" w:space="0" w:color="auto"/>
        <w:bottom w:val="none" w:sz="0" w:space="0" w:color="auto"/>
        <w:right w:val="none" w:sz="0" w:space="0" w:color="auto"/>
      </w:divBdr>
    </w:div>
    <w:div w:id="775825972">
      <w:bodyDiv w:val="1"/>
      <w:marLeft w:val="0"/>
      <w:marRight w:val="0"/>
      <w:marTop w:val="0"/>
      <w:marBottom w:val="0"/>
      <w:divBdr>
        <w:top w:val="none" w:sz="0" w:space="0" w:color="auto"/>
        <w:left w:val="none" w:sz="0" w:space="0" w:color="auto"/>
        <w:bottom w:val="none" w:sz="0" w:space="0" w:color="auto"/>
        <w:right w:val="none" w:sz="0" w:space="0" w:color="auto"/>
      </w:divBdr>
    </w:div>
    <w:div w:id="775833417">
      <w:bodyDiv w:val="1"/>
      <w:marLeft w:val="0"/>
      <w:marRight w:val="0"/>
      <w:marTop w:val="0"/>
      <w:marBottom w:val="0"/>
      <w:divBdr>
        <w:top w:val="none" w:sz="0" w:space="0" w:color="auto"/>
        <w:left w:val="none" w:sz="0" w:space="0" w:color="auto"/>
        <w:bottom w:val="none" w:sz="0" w:space="0" w:color="auto"/>
        <w:right w:val="none" w:sz="0" w:space="0" w:color="auto"/>
      </w:divBdr>
    </w:div>
    <w:div w:id="775952577">
      <w:bodyDiv w:val="1"/>
      <w:marLeft w:val="0"/>
      <w:marRight w:val="0"/>
      <w:marTop w:val="0"/>
      <w:marBottom w:val="0"/>
      <w:divBdr>
        <w:top w:val="none" w:sz="0" w:space="0" w:color="auto"/>
        <w:left w:val="none" w:sz="0" w:space="0" w:color="auto"/>
        <w:bottom w:val="none" w:sz="0" w:space="0" w:color="auto"/>
        <w:right w:val="none" w:sz="0" w:space="0" w:color="auto"/>
      </w:divBdr>
    </w:div>
    <w:div w:id="776025116">
      <w:bodyDiv w:val="1"/>
      <w:marLeft w:val="0"/>
      <w:marRight w:val="0"/>
      <w:marTop w:val="0"/>
      <w:marBottom w:val="0"/>
      <w:divBdr>
        <w:top w:val="none" w:sz="0" w:space="0" w:color="auto"/>
        <w:left w:val="none" w:sz="0" w:space="0" w:color="auto"/>
        <w:bottom w:val="none" w:sz="0" w:space="0" w:color="auto"/>
        <w:right w:val="none" w:sz="0" w:space="0" w:color="auto"/>
      </w:divBdr>
    </w:div>
    <w:div w:id="776025268">
      <w:bodyDiv w:val="1"/>
      <w:marLeft w:val="0"/>
      <w:marRight w:val="0"/>
      <w:marTop w:val="0"/>
      <w:marBottom w:val="0"/>
      <w:divBdr>
        <w:top w:val="none" w:sz="0" w:space="0" w:color="auto"/>
        <w:left w:val="none" w:sz="0" w:space="0" w:color="auto"/>
        <w:bottom w:val="none" w:sz="0" w:space="0" w:color="auto"/>
        <w:right w:val="none" w:sz="0" w:space="0" w:color="auto"/>
      </w:divBdr>
    </w:div>
    <w:div w:id="776103329">
      <w:bodyDiv w:val="1"/>
      <w:marLeft w:val="0"/>
      <w:marRight w:val="0"/>
      <w:marTop w:val="0"/>
      <w:marBottom w:val="0"/>
      <w:divBdr>
        <w:top w:val="none" w:sz="0" w:space="0" w:color="auto"/>
        <w:left w:val="none" w:sz="0" w:space="0" w:color="auto"/>
        <w:bottom w:val="none" w:sz="0" w:space="0" w:color="auto"/>
        <w:right w:val="none" w:sz="0" w:space="0" w:color="auto"/>
      </w:divBdr>
    </w:div>
    <w:div w:id="776143567">
      <w:bodyDiv w:val="1"/>
      <w:marLeft w:val="0"/>
      <w:marRight w:val="0"/>
      <w:marTop w:val="0"/>
      <w:marBottom w:val="0"/>
      <w:divBdr>
        <w:top w:val="none" w:sz="0" w:space="0" w:color="auto"/>
        <w:left w:val="none" w:sz="0" w:space="0" w:color="auto"/>
        <w:bottom w:val="none" w:sz="0" w:space="0" w:color="auto"/>
        <w:right w:val="none" w:sz="0" w:space="0" w:color="auto"/>
      </w:divBdr>
    </w:div>
    <w:div w:id="776173508">
      <w:bodyDiv w:val="1"/>
      <w:marLeft w:val="0"/>
      <w:marRight w:val="0"/>
      <w:marTop w:val="0"/>
      <w:marBottom w:val="0"/>
      <w:divBdr>
        <w:top w:val="none" w:sz="0" w:space="0" w:color="auto"/>
        <w:left w:val="none" w:sz="0" w:space="0" w:color="auto"/>
        <w:bottom w:val="none" w:sz="0" w:space="0" w:color="auto"/>
        <w:right w:val="none" w:sz="0" w:space="0" w:color="auto"/>
      </w:divBdr>
    </w:div>
    <w:div w:id="776213264">
      <w:bodyDiv w:val="1"/>
      <w:marLeft w:val="0"/>
      <w:marRight w:val="0"/>
      <w:marTop w:val="0"/>
      <w:marBottom w:val="0"/>
      <w:divBdr>
        <w:top w:val="none" w:sz="0" w:space="0" w:color="auto"/>
        <w:left w:val="none" w:sz="0" w:space="0" w:color="auto"/>
        <w:bottom w:val="none" w:sz="0" w:space="0" w:color="auto"/>
        <w:right w:val="none" w:sz="0" w:space="0" w:color="auto"/>
      </w:divBdr>
    </w:div>
    <w:div w:id="776288173">
      <w:bodyDiv w:val="1"/>
      <w:marLeft w:val="0"/>
      <w:marRight w:val="0"/>
      <w:marTop w:val="0"/>
      <w:marBottom w:val="0"/>
      <w:divBdr>
        <w:top w:val="none" w:sz="0" w:space="0" w:color="auto"/>
        <w:left w:val="none" w:sz="0" w:space="0" w:color="auto"/>
        <w:bottom w:val="none" w:sz="0" w:space="0" w:color="auto"/>
        <w:right w:val="none" w:sz="0" w:space="0" w:color="auto"/>
      </w:divBdr>
    </w:div>
    <w:div w:id="776289767">
      <w:bodyDiv w:val="1"/>
      <w:marLeft w:val="0"/>
      <w:marRight w:val="0"/>
      <w:marTop w:val="0"/>
      <w:marBottom w:val="0"/>
      <w:divBdr>
        <w:top w:val="none" w:sz="0" w:space="0" w:color="auto"/>
        <w:left w:val="none" w:sz="0" w:space="0" w:color="auto"/>
        <w:bottom w:val="none" w:sz="0" w:space="0" w:color="auto"/>
        <w:right w:val="none" w:sz="0" w:space="0" w:color="auto"/>
      </w:divBdr>
    </w:div>
    <w:div w:id="776290975">
      <w:bodyDiv w:val="1"/>
      <w:marLeft w:val="0"/>
      <w:marRight w:val="0"/>
      <w:marTop w:val="0"/>
      <w:marBottom w:val="0"/>
      <w:divBdr>
        <w:top w:val="none" w:sz="0" w:space="0" w:color="auto"/>
        <w:left w:val="none" w:sz="0" w:space="0" w:color="auto"/>
        <w:bottom w:val="none" w:sz="0" w:space="0" w:color="auto"/>
        <w:right w:val="none" w:sz="0" w:space="0" w:color="auto"/>
      </w:divBdr>
    </w:div>
    <w:div w:id="776364040">
      <w:bodyDiv w:val="1"/>
      <w:marLeft w:val="0"/>
      <w:marRight w:val="0"/>
      <w:marTop w:val="0"/>
      <w:marBottom w:val="0"/>
      <w:divBdr>
        <w:top w:val="none" w:sz="0" w:space="0" w:color="auto"/>
        <w:left w:val="none" w:sz="0" w:space="0" w:color="auto"/>
        <w:bottom w:val="none" w:sz="0" w:space="0" w:color="auto"/>
        <w:right w:val="none" w:sz="0" w:space="0" w:color="auto"/>
      </w:divBdr>
    </w:div>
    <w:div w:id="776369098">
      <w:bodyDiv w:val="1"/>
      <w:marLeft w:val="0"/>
      <w:marRight w:val="0"/>
      <w:marTop w:val="0"/>
      <w:marBottom w:val="0"/>
      <w:divBdr>
        <w:top w:val="none" w:sz="0" w:space="0" w:color="auto"/>
        <w:left w:val="none" w:sz="0" w:space="0" w:color="auto"/>
        <w:bottom w:val="none" w:sz="0" w:space="0" w:color="auto"/>
        <w:right w:val="none" w:sz="0" w:space="0" w:color="auto"/>
      </w:divBdr>
    </w:div>
    <w:div w:id="776483555">
      <w:bodyDiv w:val="1"/>
      <w:marLeft w:val="0"/>
      <w:marRight w:val="0"/>
      <w:marTop w:val="0"/>
      <w:marBottom w:val="0"/>
      <w:divBdr>
        <w:top w:val="none" w:sz="0" w:space="0" w:color="auto"/>
        <w:left w:val="none" w:sz="0" w:space="0" w:color="auto"/>
        <w:bottom w:val="none" w:sz="0" w:space="0" w:color="auto"/>
        <w:right w:val="none" w:sz="0" w:space="0" w:color="auto"/>
      </w:divBdr>
    </w:div>
    <w:div w:id="776485144">
      <w:bodyDiv w:val="1"/>
      <w:marLeft w:val="0"/>
      <w:marRight w:val="0"/>
      <w:marTop w:val="0"/>
      <w:marBottom w:val="0"/>
      <w:divBdr>
        <w:top w:val="none" w:sz="0" w:space="0" w:color="auto"/>
        <w:left w:val="none" w:sz="0" w:space="0" w:color="auto"/>
        <w:bottom w:val="none" w:sz="0" w:space="0" w:color="auto"/>
        <w:right w:val="none" w:sz="0" w:space="0" w:color="auto"/>
      </w:divBdr>
    </w:div>
    <w:div w:id="776486773">
      <w:bodyDiv w:val="1"/>
      <w:marLeft w:val="0"/>
      <w:marRight w:val="0"/>
      <w:marTop w:val="0"/>
      <w:marBottom w:val="0"/>
      <w:divBdr>
        <w:top w:val="none" w:sz="0" w:space="0" w:color="auto"/>
        <w:left w:val="none" w:sz="0" w:space="0" w:color="auto"/>
        <w:bottom w:val="none" w:sz="0" w:space="0" w:color="auto"/>
        <w:right w:val="none" w:sz="0" w:space="0" w:color="auto"/>
      </w:divBdr>
    </w:div>
    <w:div w:id="776562946">
      <w:bodyDiv w:val="1"/>
      <w:marLeft w:val="0"/>
      <w:marRight w:val="0"/>
      <w:marTop w:val="0"/>
      <w:marBottom w:val="0"/>
      <w:divBdr>
        <w:top w:val="none" w:sz="0" w:space="0" w:color="auto"/>
        <w:left w:val="none" w:sz="0" w:space="0" w:color="auto"/>
        <w:bottom w:val="none" w:sz="0" w:space="0" w:color="auto"/>
        <w:right w:val="none" w:sz="0" w:space="0" w:color="auto"/>
      </w:divBdr>
    </w:div>
    <w:div w:id="776564258">
      <w:bodyDiv w:val="1"/>
      <w:marLeft w:val="0"/>
      <w:marRight w:val="0"/>
      <w:marTop w:val="0"/>
      <w:marBottom w:val="0"/>
      <w:divBdr>
        <w:top w:val="none" w:sz="0" w:space="0" w:color="auto"/>
        <w:left w:val="none" w:sz="0" w:space="0" w:color="auto"/>
        <w:bottom w:val="none" w:sz="0" w:space="0" w:color="auto"/>
        <w:right w:val="none" w:sz="0" w:space="0" w:color="auto"/>
      </w:divBdr>
    </w:div>
    <w:div w:id="776605179">
      <w:bodyDiv w:val="1"/>
      <w:marLeft w:val="0"/>
      <w:marRight w:val="0"/>
      <w:marTop w:val="0"/>
      <w:marBottom w:val="0"/>
      <w:divBdr>
        <w:top w:val="none" w:sz="0" w:space="0" w:color="auto"/>
        <w:left w:val="none" w:sz="0" w:space="0" w:color="auto"/>
        <w:bottom w:val="none" w:sz="0" w:space="0" w:color="auto"/>
        <w:right w:val="none" w:sz="0" w:space="0" w:color="auto"/>
      </w:divBdr>
    </w:div>
    <w:div w:id="776675617">
      <w:bodyDiv w:val="1"/>
      <w:marLeft w:val="0"/>
      <w:marRight w:val="0"/>
      <w:marTop w:val="0"/>
      <w:marBottom w:val="0"/>
      <w:divBdr>
        <w:top w:val="none" w:sz="0" w:space="0" w:color="auto"/>
        <w:left w:val="none" w:sz="0" w:space="0" w:color="auto"/>
        <w:bottom w:val="none" w:sz="0" w:space="0" w:color="auto"/>
        <w:right w:val="none" w:sz="0" w:space="0" w:color="auto"/>
      </w:divBdr>
    </w:div>
    <w:div w:id="776679358">
      <w:bodyDiv w:val="1"/>
      <w:marLeft w:val="0"/>
      <w:marRight w:val="0"/>
      <w:marTop w:val="0"/>
      <w:marBottom w:val="0"/>
      <w:divBdr>
        <w:top w:val="none" w:sz="0" w:space="0" w:color="auto"/>
        <w:left w:val="none" w:sz="0" w:space="0" w:color="auto"/>
        <w:bottom w:val="none" w:sz="0" w:space="0" w:color="auto"/>
        <w:right w:val="none" w:sz="0" w:space="0" w:color="auto"/>
      </w:divBdr>
    </w:div>
    <w:div w:id="776801615">
      <w:bodyDiv w:val="1"/>
      <w:marLeft w:val="0"/>
      <w:marRight w:val="0"/>
      <w:marTop w:val="0"/>
      <w:marBottom w:val="0"/>
      <w:divBdr>
        <w:top w:val="none" w:sz="0" w:space="0" w:color="auto"/>
        <w:left w:val="none" w:sz="0" w:space="0" w:color="auto"/>
        <w:bottom w:val="none" w:sz="0" w:space="0" w:color="auto"/>
        <w:right w:val="none" w:sz="0" w:space="0" w:color="auto"/>
      </w:divBdr>
    </w:div>
    <w:div w:id="776868678">
      <w:bodyDiv w:val="1"/>
      <w:marLeft w:val="0"/>
      <w:marRight w:val="0"/>
      <w:marTop w:val="0"/>
      <w:marBottom w:val="0"/>
      <w:divBdr>
        <w:top w:val="none" w:sz="0" w:space="0" w:color="auto"/>
        <w:left w:val="none" w:sz="0" w:space="0" w:color="auto"/>
        <w:bottom w:val="none" w:sz="0" w:space="0" w:color="auto"/>
        <w:right w:val="none" w:sz="0" w:space="0" w:color="auto"/>
      </w:divBdr>
    </w:div>
    <w:div w:id="776944783">
      <w:bodyDiv w:val="1"/>
      <w:marLeft w:val="0"/>
      <w:marRight w:val="0"/>
      <w:marTop w:val="0"/>
      <w:marBottom w:val="0"/>
      <w:divBdr>
        <w:top w:val="none" w:sz="0" w:space="0" w:color="auto"/>
        <w:left w:val="none" w:sz="0" w:space="0" w:color="auto"/>
        <w:bottom w:val="none" w:sz="0" w:space="0" w:color="auto"/>
        <w:right w:val="none" w:sz="0" w:space="0" w:color="auto"/>
      </w:divBdr>
    </w:div>
    <w:div w:id="777141468">
      <w:bodyDiv w:val="1"/>
      <w:marLeft w:val="0"/>
      <w:marRight w:val="0"/>
      <w:marTop w:val="0"/>
      <w:marBottom w:val="0"/>
      <w:divBdr>
        <w:top w:val="none" w:sz="0" w:space="0" w:color="auto"/>
        <w:left w:val="none" w:sz="0" w:space="0" w:color="auto"/>
        <w:bottom w:val="none" w:sz="0" w:space="0" w:color="auto"/>
        <w:right w:val="none" w:sz="0" w:space="0" w:color="auto"/>
      </w:divBdr>
    </w:div>
    <w:div w:id="777144910">
      <w:bodyDiv w:val="1"/>
      <w:marLeft w:val="0"/>
      <w:marRight w:val="0"/>
      <w:marTop w:val="0"/>
      <w:marBottom w:val="0"/>
      <w:divBdr>
        <w:top w:val="none" w:sz="0" w:space="0" w:color="auto"/>
        <w:left w:val="none" w:sz="0" w:space="0" w:color="auto"/>
        <w:bottom w:val="none" w:sz="0" w:space="0" w:color="auto"/>
        <w:right w:val="none" w:sz="0" w:space="0" w:color="auto"/>
      </w:divBdr>
    </w:div>
    <w:div w:id="777216788">
      <w:bodyDiv w:val="1"/>
      <w:marLeft w:val="0"/>
      <w:marRight w:val="0"/>
      <w:marTop w:val="0"/>
      <w:marBottom w:val="0"/>
      <w:divBdr>
        <w:top w:val="none" w:sz="0" w:space="0" w:color="auto"/>
        <w:left w:val="none" w:sz="0" w:space="0" w:color="auto"/>
        <w:bottom w:val="none" w:sz="0" w:space="0" w:color="auto"/>
        <w:right w:val="none" w:sz="0" w:space="0" w:color="auto"/>
      </w:divBdr>
    </w:div>
    <w:div w:id="777332673">
      <w:bodyDiv w:val="1"/>
      <w:marLeft w:val="0"/>
      <w:marRight w:val="0"/>
      <w:marTop w:val="0"/>
      <w:marBottom w:val="0"/>
      <w:divBdr>
        <w:top w:val="none" w:sz="0" w:space="0" w:color="auto"/>
        <w:left w:val="none" w:sz="0" w:space="0" w:color="auto"/>
        <w:bottom w:val="none" w:sz="0" w:space="0" w:color="auto"/>
        <w:right w:val="none" w:sz="0" w:space="0" w:color="auto"/>
      </w:divBdr>
    </w:div>
    <w:div w:id="777414786">
      <w:bodyDiv w:val="1"/>
      <w:marLeft w:val="0"/>
      <w:marRight w:val="0"/>
      <w:marTop w:val="0"/>
      <w:marBottom w:val="0"/>
      <w:divBdr>
        <w:top w:val="none" w:sz="0" w:space="0" w:color="auto"/>
        <w:left w:val="none" w:sz="0" w:space="0" w:color="auto"/>
        <w:bottom w:val="none" w:sz="0" w:space="0" w:color="auto"/>
        <w:right w:val="none" w:sz="0" w:space="0" w:color="auto"/>
      </w:divBdr>
    </w:div>
    <w:div w:id="777456964">
      <w:bodyDiv w:val="1"/>
      <w:marLeft w:val="0"/>
      <w:marRight w:val="0"/>
      <w:marTop w:val="0"/>
      <w:marBottom w:val="0"/>
      <w:divBdr>
        <w:top w:val="none" w:sz="0" w:space="0" w:color="auto"/>
        <w:left w:val="none" w:sz="0" w:space="0" w:color="auto"/>
        <w:bottom w:val="none" w:sz="0" w:space="0" w:color="auto"/>
        <w:right w:val="none" w:sz="0" w:space="0" w:color="auto"/>
      </w:divBdr>
    </w:div>
    <w:div w:id="777482322">
      <w:bodyDiv w:val="1"/>
      <w:marLeft w:val="0"/>
      <w:marRight w:val="0"/>
      <w:marTop w:val="0"/>
      <w:marBottom w:val="0"/>
      <w:divBdr>
        <w:top w:val="none" w:sz="0" w:space="0" w:color="auto"/>
        <w:left w:val="none" w:sz="0" w:space="0" w:color="auto"/>
        <w:bottom w:val="none" w:sz="0" w:space="0" w:color="auto"/>
        <w:right w:val="none" w:sz="0" w:space="0" w:color="auto"/>
      </w:divBdr>
    </w:div>
    <w:div w:id="777482523">
      <w:bodyDiv w:val="1"/>
      <w:marLeft w:val="0"/>
      <w:marRight w:val="0"/>
      <w:marTop w:val="0"/>
      <w:marBottom w:val="0"/>
      <w:divBdr>
        <w:top w:val="none" w:sz="0" w:space="0" w:color="auto"/>
        <w:left w:val="none" w:sz="0" w:space="0" w:color="auto"/>
        <w:bottom w:val="none" w:sz="0" w:space="0" w:color="auto"/>
        <w:right w:val="none" w:sz="0" w:space="0" w:color="auto"/>
      </w:divBdr>
    </w:div>
    <w:div w:id="777483590">
      <w:bodyDiv w:val="1"/>
      <w:marLeft w:val="0"/>
      <w:marRight w:val="0"/>
      <w:marTop w:val="0"/>
      <w:marBottom w:val="0"/>
      <w:divBdr>
        <w:top w:val="none" w:sz="0" w:space="0" w:color="auto"/>
        <w:left w:val="none" w:sz="0" w:space="0" w:color="auto"/>
        <w:bottom w:val="none" w:sz="0" w:space="0" w:color="auto"/>
        <w:right w:val="none" w:sz="0" w:space="0" w:color="auto"/>
      </w:divBdr>
    </w:div>
    <w:div w:id="777529644">
      <w:bodyDiv w:val="1"/>
      <w:marLeft w:val="0"/>
      <w:marRight w:val="0"/>
      <w:marTop w:val="0"/>
      <w:marBottom w:val="0"/>
      <w:divBdr>
        <w:top w:val="none" w:sz="0" w:space="0" w:color="auto"/>
        <w:left w:val="none" w:sz="0" w:space="0" w:color="auto"/>
        <w:bottom w:val="none" w:sz="0" w:space="0" w:color="auto"/>
        <w:right w:val="none" w:sz="0" w:space="0" w:color="auto"/>
      </w:divBdr>
    </w:div>
    <w:div w:id="777722452">
      <w:bodyDiv w:val="1"/>
      <w:marLeft w:val="0"/>
      <w:marRight w:val="0"/>
      <w:marTop w:val="0"/>
      <w:marBottom w:val="0"/>
      <w:divBdr>
        <w:top w:val="none" w:sz="0" w:space="0" w:color="auto"/>
        <w:left w:val="none" w:sz="0" w:space="0" w:color="auto"/>
        <w:bottom w:val="none" w:sz="0" w:space="0" w:color="auto"/>
        <w:right w:val="none" w:sz="0" w:space="0" w:color="auto"/>
      </w:divBdr>
    </w:div>
    <w:div w:id="777723087">
      <w:bodyDiv w:val="1"/>
      <w:marLeft w:val="0"/>
      <w:marRight w:val="0"/>
      <w:marTop w:val="0"/>
      <w:marBottom w:val="0"/>
      <w:divBdr>
        <w:top w:val="none" w:sz="0" w:space="0" w:color="auto"/>
        <w:left w:val="none" w:sz="0" w:space="0" w:color="auto"/>
        <w:bottom w:val="none" w:sz="0" w:space="0" w:color="auto"/>
        <w:right w:val="none" w:sz="0" w:space="0" w:color="auto"/>
      </w:divBdr>
    </w:div>
    <w:div w:id="777723151">
      <w:bodyDiv w:val="1"/>
      <w:marLeft w:val="0"/>
      <w:marRight w:val="0"/>
      <w:marTop w:val="0"/>
      <w:marBottom w:val="0"/>
      <w:divBdr>
        <w:top w:val="none" w:sz="0" w:space="0" w:color="auto"/>
        <w:left w:val="none" w:sz="0" w:space="0" w:color="auto"/>
        <w:bottom w:val="none" w:sz="0" w:space="0" w:color="auto"/>
        <w:right w:val="none" w:sz="0" w:space="0" w:color="auto"/>
      </w:divBdr>
    </w:div>
    <w:div w:id="777797333">
      <w:bodyDiv w:val="1"/>
      <w:marLeft w:val="0"/>
      <w:marRight w:val="0"/>
      <w:marTop w:val="0"/>
      <w:marBottom w:val="0"/>
      <w:divBdr>
        <w:top w:val="none" w:sz="0" w:space="0" w:color="auto"/>
        <w:left w:val="none" w:sz="0" w:space="0" w:color="auto"/>
        <w:bottom w:val="none" w:sz="0" w:space="0" w:color="auto"/>
        <w:right w:val="none" w:sz="0" w:space="0" w:color="auto"/>
      </w:divBdr>
    </w:div>
    <w:div w:id="777797453">
      <w:bodyDiv w:val="1"/>
      <w:marLeft w:val="0"/>
      <w:marRight w:val="0"/>
      <w:marTop w:val="0"/>
      <w:marBottom w:val="0"/>
      <w:divBdr>
        <w:top w:val="none" w:sz="0" w:space="0" w:color="auto"/>
        <w:left w:val="none" w:sz="0" w:space="0" w:color="auto"/>
        <w:bottom w:val="none" w:sz="0" w:space="0" w:color="auto"/>
        <w:right w:val="none" w:sz="0" w:space="0" w:color="auto"/>
      </w:divBdr>
    </w:div>
    <w:div w:id="777867099">
      <w:bodyDiv w:val="1"/>
      <w:marLeft w:val="0"/>
      <w:marRight w:val="0"/>
      <w:marTop w:val="0"/>
      <w:marBottom w:val="0"/>
      <w:divBdr>
        <w:top w:val="none" w:sz="0" w:space="0" w:color="auto"/>
        <w:left w:val="none" w:sz="0" w:space="0" w:color="auto"/>
        <w:bottom w:val="none" w:sz="0" w:space="0" w:color="auto"/>
        <w:right w:val="none" w:sz="0" w:space="0" w:color="auto"/>
      </w:divBdr>
    </w:div>
    <w:div w:id="777869497">
      <w:bodyDiv w:val="1"/>
      <w:marLeft w:val="0"/>
      <w:marRight w:val="0"/>
      <w:marTop w:val="0"/>
      <w:marBottom w:val="0"/>
      <w:divBdr>
        <w:top w:val="none" w:sz="0" w:space="0" w:color="auto"/>
        <w:left w:val="none" w:sz="0" w:space="0" w:color="auto"/>
        <w:bottom w:val="none" w:sz="0" w:space="0" w:color="auto"/>
        <w:right w:val="none" w:sz="0" w:space="0" w:color="auto"/>
      </w:divBdr>
    </w:div>
    <w:div w:id="777871309">
      <w:bodyDiv w:val="1"/>
      <w:marLeft w:val="0"/>
      <w:marRight w:val="0"/>
      <w:marTop w:val="0"/>
      <w:marBottom w:val="0"/>
      <w:divBdr>
        <w:top w:val="none" w:sz="0" w:space="0" w:color="auto"/>
        <w:left w:val="none" w:sz="0" w:space="0" w:color="auto"/>
        <w:bottom w:val="none" w:sz="0" w:space="0" w:color="auto"/>
        <w:right w:val="none" w:sz="0" w:space="0" w:color="auto"/>
      </w:divBdr>
    </w:div>
    <w:div w:id="777871827">
      <w:bodyDiv w:val="1"/>
      <w:marLeft w:val="0"/>
      <w:marRight w:val="0"/>
      <w:marTop w:val="0"/>
      <w:marBottom w:val="0"/>
      <w:divBdr>
        <w:top w:val="none" w:sz="0" w:space="0" w:color="auto"/>
        <w:left w:val="none" w:sz="0" w:space="0" w:color="auto"/>
        <w:bottom w:val="none" w:sz="0" w:space="0" w:color="auto"/>
        <w:right w:val="none" w:sz="0" w:space="0" w:color="auto"/>
      </w:divBdr>
    </w:div>
    <w:div w:id="777918279">
      <w:bodyDiv w:val="1"/>
      <w:marLeft w:val="0"/>
      <w:marRight w:val="0"/>
      <w:marTop w:val="0"/>
      <w:marBottom w:val="0"/>
      <w:divBdr>
        <w:top w:val="none" w:sz="0" w:space="0" w:color="auto"/>
        <w:left w:val="none" w:sz="0" w:space="0" w:color="auto"/>
        <w:bottom w:val="none" w:sz="0" w:space="0" w:color="auto"/>
        <w:right w:val="none" w:sz="0" w:space="0" w:color="auto"/>
      </w:divBdr>
    </w:div>
    <w:div w:id="777986615">
      <w:bodyDiv w:val="1"/>
      <w:marLeft w:val="0"/>
      <w:marRight w:val="0"/>
      <w:marTop w:val="0"/>
      <w:marBottom w:val="0"/>
      <w:divBdr>
        <w:top w:val="none" w:sz="0" w:space="0" w:color="auto"/>
        <w:left w:val="none" w:sz="0" w:space="0" w:color="auto"/>
        <w:bottom w:val="none" w:sz="0" w:space="0" w:color="auto"/>
        <w:right w:val="none" w:sz="0" w:space="0" w:color="auto"/>
      </w:divBdr>
    </w:div>
    <w:div w:id="777989321">
      <w:bodyDiv w:val="1"/>
      <w:marLeft w:val="0"/>
      <w:marRight w:val="0"/>
      <w:marTop w:val="0"/>
      <w:marBottom w:val="0"/>
      <w:divBdr>
        <w:top w:val="none" w:sz="0" w:space="0" w:color="auto"/>
        <w:left w:val="none" w:sz="0" w:space="0" w:color="auto"/>
        <w:bottom w:val="none" w:sz="0" w:space="0" w:color="auto"/>
        <w:right w:val="none" w:sz="0" w:space="0" w:color="auto"/>
      </w:divBdr>
    </w:div>
    <w:div w:id="778067748">
      <w:bodyDiv w:val="1"/>
      <w:marLeft w:val="0"/>
      <w:marRight w:val="0"/>
      <w:marTop w:val="0"/>
      <w:marBottom w:val="0"/>
      <w:divBdr>
        <w:top w:val="none" w:sz="0" w:space="0" w:color="auto"/>
        <w:left w:val="none" w:sz="0" w:space="0" w:color="auto"/>
        <w:bottom w:val="none" w:sz="0" w:space="0" w:color="auto"/>
        <w:right w:val="none" w:sz="0" w:space="0" w:color="auto"/>
      </w:divBdr>
    </w:div>
    <w:div w:id="778180881">
      <w:bodyDiv w:val="1"/>
      <w:marLeft w:val="0"/>
      <w:marRight w:val="0"/>
      <w:marTop w:val="0"/>
      <w:marBottom w:val="0"/>
      <w:divBdr>
        <w:top w:val="none" w:sz="0" w:space="0" w:color="auto"/>
        <w:left w:val="none" w:sz="0" w:space="0" w:color="auto"/>
        <w:bottom w:val="none" w:sz="0" w:space="0" w:color="auto"/>
        <w:right w:val="none" w:sz="0" w:space="0" w:color="auto"/>
      </w:divBdr>
    </w:div>
    <w:div w:id="778335362">
      <w:bodyDiv w:val="1"/>
      <w:marLeft w:val="0"/>
      <w:marRight w:val="0"/>
      <w:marTop w:val="0"/>
      <w:marBottom w:val="0"/>
      <w:divBdr>
        <w:top w:val="none" w:sz="0" w:space="0" w:color="auto"/>
        <w:left w:val="none" w:sz="0" w:space="0" w:color="auto"/>
        <w:bottom w:val="none" w:sz="0" w:space="0" w:color="auto"/>
        <w:right w:val="none" w:sz="0" w:space="0" w:color="auto"/>
      </w:divBdr>
    </w:div>
    <w:div w:id="778337583">
      <w:bodyDiv w:val="1"/>
      <w:marLeft w:val="0"/>
      <w:marRight w:val="0"/>
      <w:marTop w:val="0"/>
      <w:marBottom w:val="0"/>
      <w:divBdr>
        <w:top w:val="none" w:sz="0" w:space="0" w:color="auto"/>
        <w:left w:val="none" w:sz="0" w:space="0" w:color="auto"/>
        <w:bottom w:val="none" w:sz="0" w:space="0" w:color="auto"/>
        <w:right w:val="none" w:sz="0" w:space="0" w:color="auto"/>
      </w:divBdr>
    </w:div>
    <w:div w:id="778452518">
      <w:bodyDiv w:val="1"/>
      <w:marLeft w:val="0"/>
      <w:marRight w:val="0"/>
      <w:marTop w:val="0"/>
      <w:marBottom w:val="0"/>
      <w:divBdr>
        <w:top w:val="none" w:sz="0" w:space="0" w:color="auto"/>
        <w:left w:val="none" w:sz="0" w:space="0" w:color="auto"/>
        <w:bottom w:val="none" w:sz="0" w:space="0" w:color="auto"/>
        <w:right w:val="none" w:sz="0" w:space="0" w:color="auto"/>
      </w:divBdr>
    </w:div>
    <w:div w:id="778522399">
      <w:bodyDiv w:val="1"/>
      <w:marLeft w:val="0"/>
      <w:marRight w:val="0"/>
      <w:marTop w:val="0"/>
      <w:marBottom w:val="0"/>
      <w:divBdr>
        <w:top w:val="none" w:sz="0" w:space="0" w:color="auto"/>
        <w:left w:val="none" w:sz="0" w:space="0" w:color="auto"/>
        <w:bottom w:val="none" w:sz="0" w:space="0" w:color="auto"/>
        <w:right w:val="none" w:sz="0" w:space="0" w:color="auto"/>
      </w:divBdr>
    </w:div>
    <w:div w:id="778524064">
      <w:bodyDiv w:val="1"/>
      <w:marLeft w:val="0"/>
      <w:marRight w:val="0"/>
      <w:marTop w:val="0"/>
      <w:marBottom w:val="0"/>
      <w:divBdr>
        <w:top w:val="none" w:sz="0" w:space="0" w:color="auto"/>
        <w:left w:val="none" w:sz="0" w:space="0" w:color="auto"/>
        <w:bottom w:val="none" w:sz="0" w:space="0" w:color="auto"/>
        <w:right w:val="none" w:sz="0" w:space="0" w:color="auto"/>
      </w:divBdr>
    </w:div>
    <w:div w:id="778571705">
      <w:bodyDiv w:val="1"/>
      <w:marLeft w:val="0"/>
      <w:marRight w:val="0"/>
      <w:marTop w:val="0"/>
      <w:marBottom w:val="0"/>
      <w:divBdr>
        <w:top w:val="none" w:sz="0" w:space="0" w:color="auto"/>
        <w:left w:val="none" w:sz="0" w:space="0" w:color="auto"/>
        <w:bottom w:val="none" w:sz="0" w:space="0" w:color="auto"/>
        <w:right w:val="none" w:sz="0" w:space="0" w:color="auto"/>
      </w:divBdr>
    </w:div>
    <w:div w:id="778599804">
      <w:bodyDiv w:val="1"/>
      <w:marLeft w:val="0"/>
      <w:marRight w:val="0"/>
      <w:marTop w:val="0"/>
      <w:marBottom w:val="0"/>
      <w:divBdr>
        <w:top w:val="none" w:sz="0" w:space="0" w:color="auto"/>
        <w:left w:val="none" w:sz="0" w:space="0" w:color="auto"/>
        <w:bottom w:val="none" w:sz="0" w:space="0" w:color="auto"/>
        <w:right w:val="none" w:sz="0" w:space="0" w:color="auto"/>
      </w:divBdr>
    </w:div>
    <w:div w:id="778599960">
      <w:bodyDiv w:val="1"/>
      <w:marLeft w:val="0"/>
      <w:marRight w:val="0"/>
      <w:marTop w:val="0"/>
      <w:marBottom w:val="0"/>
      <w:divBdr>
        <w:top w:val="none" w:sz="0" w:space="0" w:color="auto"/>
        <w:left w:val="none" w:sz="0" w:space="0" w:color="auto"/>
        <w:bottom w:val="none" w:sz="0" w:space="0" w:color="auto"/>
        <w:right w:val="none" w:sz="0" w:space="0" w:color="auto"/>
      </w:divBdr>
    </w:div>
    <w:div w:id="778647812">
      <w:bodyDiv w:val="1"/>
      <w:marLeft w:val="0"/>
      <w:marRight w:val="0"/>
      <w:marTop w:val="0"/>
      <w:marBottom w:val="0"/>
      <w:divBdr>
        <w:top w:val="none" w:sz="0" w:space="0" w:color="auto"/>
        <w:left w:val="none" w:sz="0" w:space="0" w:color="auto"/>
        <w:bottom w:val="none" w:sz="0" w:space="0" w:color="auto"/>
        <w:right w:val="none" w:sz="0" w:space="0" w:color="auto"/>
      </w:divBdr>
    </w:div>
    <w:div w:id="778795065">
      <w:bodyDiv w:val="1"/>
      <w:marLeft w:val="0"/>
      <w:marRight w:val="0"/>
      <w:marTop w:val="0"/>
      <w:marBottom w:val="0"/>
      <w:divBdr>
        <w:top w:val="none" w:sz="0" w:space="0" w:color="auto"/>
        <w:left w:val="none" w:sz="0" w:space="0" w:color="auto"/>
        <w:bottom w:val="none" w:sz="0" w:space="0" w:color="auto"/>
        <w:right w:val="none" w:sz="0" w:space="0" w:color="auto"/>
      </w:divBdr>
    </w:div>
    <w:div w:id="778837125">
      <w:bodyDiv w:val="1"/>
      <w:marLeft w:val="0"/>
      <w:marRight w:val="0"/>
      <w:marTop w:val="0"/>
      <w:marBottom w:val="0"/>
      <w:divBdr>
        <w:top w:val="none" w:sz="0" w:space="0" w:color="auto"/>
        <w:left w:val="none" w:sz="0" w:space="0" w:color="auto"/>
        <w:bottom w:val="none" w:sz="0" w:space="0" w:color="auto"/>
        <w:right w:val="none" w:sz="0" w:space="0" w:color="auto"/>
      </w:divBdr>
    </w:div>
    <w:div w:id="778912798">
      <w:bodyDiv w:val="1"/>
      <w:marLeft w:val="0"/>
      <w:marRight w:val="0"/>
      <w:marTop w:val="0"/>
      <w:marBottom w:val="0"/>
      <w:divBdr>
        <w:top w:val="none" w:sz="0" w:space="0" w:color="auto"/>
        <w:left w:val="none" w:sz="0" w:space="0" w:color="auto"/>
        <w:bottom w:val="none" w:sz="0" w:space="0" w:color="auto"/>
        <w:right w:val="none" w:sz="0" w:space="0" w:color="auto"/>
      </w:divBdr>
    </w:div>
    <w:div w:id="778917176">
      <w:bodyDiv w:val="1"/>
      <w:marLeft w:val="0"/>
      <w:marRight w:val="0"/>
      <w:marTop w:val="0"/>
      <w:marBottom w:val="0"/>
      <w:divBdr>
        <w:top w:val="none" w:sz="0" w:space="0" w:color="auto"/>
        <w:left w:val="none" w:sz="0" w:space="0" w:color="auto"/>
        <w:bottom w:val="none" w:sz="0" w:space="0" w:color="auto"/>
        <w:right w:val="none" w:sz="0" w:space="0" w:color="auto"/>
      </w:divBdr>
    </w:div>
    <w:div w:id="778988995">
      <w:bodyDiv w:val="1"/>
      <w:marLeft w:val="0"/>
      <w:marRight w:val="0"/>
      <w:marTop w:val="0"/>
      <w:marBottom w:val="0"/>
      <w:divBdr>
        <w:top w:val="none" w:sz="0" w:space="0" w:color="auto"/>
        <w:left w:val="none" w:sz="0" w:space="0" w:color="auto"/>
        <w:bottom w:val="none" w:sz="0" w:space="0" w:color="auto"/>
        <w:right w:val="none" w:sz="0" w:space="0" w:color="auto"/>
      </w:divBdr>
    </w:div>
    <w:div w:id="779027175">
      <w:bodyDiv w:val="1"/>
      <w:marLeft w:val="0"/>
      <w:marRight w:val="0"/>
      <w:marTop w:val="0"/>
      <w:marBottom w:val="0"/>
      <w:divBdr>
        <w:top w:val="none" w:sz="0" w:space="0" w:color="auto"/>
        <w:left w:val="none" w:sz="0" w:space="0" w:color="auto"/>
        <w:bottom w:val="none" w:sz="0" w:space="0" w:color="auto"/>
        <w:right w:val="none" w:sz="0" w:space="0" w:color="auto"/>
      </w:divBdr>
    </w:div>
    <w:div w:id="779027471">
      <w:bodyDiv w:val="1"/>
      <w:marLeft w:val="0"/>
      <w:marRight w:val="0"/>
      <w:marTop w:val="0"/>
      <w:marBottom w:val="0"/>
      <w:divBdr>
        <w:top w:val="none" w:sz="0" w:space="0" w:color="auto"/>
        <w:left w:val="none" w:sz="0" w:space="0" w:color="auto"/>
        <w:bottom w:val="none" w:sz="0" w:space="0" w:color="auto"/>
        <w:right w:val="none" w:sz="0" w:space="0" w:color="auto"/>
      </w:divBdr>
    </w:div>
    <w:div w:id="779031532">
      <w:bodyDiv w:val="1"/>
      <w:marLeft w:val="0"/>
      <w:marRight w:val="0"/>
      <w:marTop w:val="0"/>
      <w:marBottom w:val="0"/>
      <w:divBdr>
        <w:top w:val="none" w:sz="0" w:space="0" w:color="auto"/>
        <w:left w:val="none" w:sz="0" w:space="0" w:color="auto"/>
        <w:bottom w:val="none" w:sz="0" w:space="0" w:color="auto"/>
        <w:right w:val="none" w:sz="0" w:space="0" w:color="auto"/>
      </w:divBdr>
    </w:div>
    <w:div w:id="779032258">
      <w:bodyDiv w:val="1"/>
      <w:marLeft w:val="0"/>
      <w:marRight w:val="0"/>
      <w:marTop w:val="0"/>
      <w:marBottom w:val="0"/>
      <w:divBdr>
        <w:top w:val="none" w:sz="0" w:space="0" w:color="auto"/>
        <w:left w:val="none" w:sz="0" w:space="0" w:color="auto"/>
        <w:bottom w:val="none" w:sz="0" w:space="0" w:color="auto"/>
        <w:right w:val="none" w:sz="0" w:space="0" w:color="auto"/>
      </w:divBdr>
    </w:div>
    <w:div w:id="779184070">
      <w:bodyDiv w:val="1"/>
      <w:marLeft w:val="0"/>
      <w:marRight w:val="0"/>
      <w:marTop w:val="0"/>
      <w:marBottom w:val="0"/>
      <w:divBdr>
        <w:top w:val="none" w:sz="0" w:space="0" w:color="auto"/>
        <w:left w:val="none" w:sz="0" w:space="0" w:color="auto"/>
        <w:bottom w:val="none" w:sz="0" w:space="0" w:color="auto"/>
        <w:right w:val="none" w:sz="0" w:space="0" w:color="auto"/>
      </w:divBdr>
    </w:div>
    <w:div w:id="779223492">
      <w:bodyDiv w:val="1"/>
      <w:marLeft w:val="0"/>
      <w:marRight w:val="0"/>
      <w:marTop w:val="0"/>
      <w:marBottom w:val="0"/>
      <w:divBdr>
        <w:top w:val="none" w:sz="0" w:space="0" w:color="auto"/>
        <w:left w:val="none" w:sz="0" w:space="0" w:color="auto"/>
        <w:bottom w:val="none" w:sz="0" w:space="0" w:color="auto"/>
        <w:right w:val="none" w:sz="0" w:space="0" w:color="auto"/>
      </w:divBdr>
    </w:div>
    <w:div w:id="779226369">
      <w:bodyDiv w:val="1"/>
      <w:marLeft w:val="0"/>
      <w:marRight w:val="0"/>
      <w:marTop w:val="0"/>
      <w:marBottom w:val="0"/>
      <w:divBdr>
        <w:top w:val="none" w:sz="0" w:space="0" w:color="auto"/>
        <w:left w:val="none" w:sz="0" w:space="0" w:color="auto"/>
        <w:bottom w:val="none" w:sz="0" w:space="0" w:color="auto"/>
        <w:right w:val="none" w:sz="0" w:space="0" w:color="auto"/>
      </w:divBdr>
    </w:div>
    <w:div w:id="779297237">
      <w:bodyDiv w:val="1"/>
      <w:marLeft w:val="0"/>
      <w:marRight w:val="0"/>
      <w:marTop w:val="0"/>
      <w:marBottom w:val="0"/>
      <w:divBdr>
        <w:top w:val="none" w:sz="0" w:space="0" w:color="auto"/>
        <w:left w:val="none" w:sz="0" w:space="0" w:color="auto"/>
        <w:bottom w:val="none" w:sz="0" w:space="0" w:color="auto"/>
        <w:right w:val="none" w:sz="0" w:space="0" w:color="auto"/>
      </w:divBdr>
    </w:div>
    <w:div w:id="779297578">
      <w:bodyDiv w:val="1"/>
      <w:marLeft w:val="0"/>
      <w:marRight w:val="0"/>
      <w:marTop w:val="0"/>
      <w:marBottom w:val="0"/>
      <w:divBdr>
        <w:top w:val="none" w:sz="0" w:space="0" w:color="auto"/>
        <w:left w:val="none" w:sz="0" w:space="0" w:color="auto"/>
        <w:bottom w:val="none" w:sz="0" w:space="0" w:color="auto"/>
        <w:right w:val="none" w:sz="0" w:space="0" w:color="auto"/>
      </w:divBdr>
    </w:div>
    <w:div w:id="779299420">
      <w:bodyDiv w:val="1"/>
      <w:marLeft w:val="0"/>
      <w:marRight w:val="0"/>
      <w:marTop w:val="0"/>
      <w:marBottom w:val="0"/>
      <w:divBdr>
        <w:top w:val="none" w:sz="0" w:space="0" w:color="auto"/>
        <w:left w:val="none" w:sz="0" w:space="0" w:color="auto"/>
        <w:bottom w:val="none" w:sz="0" w:space="0" w:color="auto"/>
        <w:right w:val="none" w:sz="0" w:space="0" w:color="auto"/>
      </w:divBdr>
    </w:div>
    <w:div w:id="779299891">
      <w:bodyDiv w:val="1"/>
      <w:marLeft w:val="0"/>
      <w:marRight w:val="0"/>
      <w:marTop w:val="0"/>
      <w:marBottom w:val="0"/>
      <w:divBdr>
        <w:top w:val="none" w:sz="0" w:space="0" w:color="auto"/>
        <w:left w:val="none" w:sz="0" w:space="0" w:color="auto"/>
        <w:bottom w:val="none" w:sz="0" w:space="0" w:color="auto"/>
        <w:right w:val="none" w:sz="0" w:space="0" w:color="auto"/>
      </w:divBdr>
    </w:div>
    <w:div w:id="779373021">
      <w:bodyDiv w:val="1"/>
      <w:marLeft w:val="0"/>
      <w:marRight w:val="0"/>
      <w:marTop w:val="0"/>
      <w:marBottom w:val="0"/>
      <w:divBdr>
        <w:top w:val="none" w:sz="0" w:space="0" w:color="auto"/>
        <w:left w:val="none" w:sz="0" w:space="0" w:color="auto"/>
        <w:bottom w:val="none" w:sz="0" w:space="0" w:color="auto"/>
        <w:right w:val="none" w:sz="0" w:space="0" w:color="auto"/>
      </w:divBdr>
    </w:div>
    <w:div w:id="779374602">
      <w:bodyDiv w:val="1"/>
      <w:marLeft w:val="0"/>
      <w:marRight w:val="0"/>
      <w:marTop w:val="0"/>
      <w:marBottom w:val="0"/>
      <w:divBdr>
        <w:top w:val="none" w:sz="0" w:space="0" w:color="auto"/>
        <w:left w:val="none" w:sz="0" w:space="0" w:color="auto"/>
        <w:bottom w:val="none" w:sz="0" w:space="0" w:color="auto"/>
        <w:right w:val="none" w:sz="0" w:space="0" w:color="auto"/>
      </w:divBdr>
    </w:div>
    <w:div w:id="779448697">
      <w:bodyDiv w:val="1"/>
      <w:marLeft w:val="0"/>
      <w:marRight w:val="0"/>
      <w:marTop w:val="0"/>
      <w:marBottom w:val="0"/>
      <w:divBdr>
        <w:top w:val="none" w:sz="0" w:space="0" w:color="auto"/>
        <w:left w:val="none" w:sz="0" w:space="0" w:color="auto"/>
        <w:bottom w:val="none" w:sz="0" w:space="0" w:color="auto"/>
        <w:right w:val="none" w:sz="0" w:space="0" w:color="auto"/>
      </w:divBdr>
    </w:div>
    <w:div w:id="779490210">
      <w:bodyDiv w:val="1"/>
      <w:marLeft w:val="0"/>
      <w:marRight w:val="0"/>
      <w:marTop w:val="0"/>
      <w:marBottom w:val="0"/>
      <w:divBdr>
        <w:top w:val="none" w:sz="0" w:space="0" w:color="auto"/>
        <w:left w:val="none" w:sz="0" w:space="0" w:color="auto"/>
        <w:bottom w:val="none" w:sz="0" w:space="0" w:color="auto"/>
        <w:right w:val="none" w:sz="0" w:space="0" w:color="auto"/>
      </w:divBdr>
    </w:div>
    <w:div w:id="779641465">
      <w:bodyDiv w:val="1"/>
      <w:marLeft w:val="0"/>
      <w:marRight w:val="0"/>
      <w:marTop w:val="0"/>
      <w:marBottom w:val="0"/>
      <w:divBdr>
        <w:top w:val="none" w:sz="0" w:space="0" w:color="auto"/>
        <w:left w:val="none" w:sz="0" w:space="0" w:color="auto"/>
        <w:bottom w:val="none" w:sz="0" w:space="0" w:color="auto"/>
        <w:right w:val="none" w:sz="0" w:space="0" w:color="auto"/>
      </w:divBdr>
    </w:div>
    <w:div w:id="779839730">
      <w:bodyDiv w:val="1"/>
      <w:marLeft w:val="0"/>
      <w:marRight w:val="0"/>
      <w:marTop w:val="0"/>
      <w:marBottom w:val="0"/>
      <w:divBdr>
        <w:top w:val="none" w:sz="0" w:space="0" w:color="auto"/>
        <w:left w:val="none" w:sz="0" w:space="0" w:color="auto"/>
        <w:bottom w:val="none" w:sz="0" w:space="0" w:color="auto"/>
        <w:right w:val="none" w:sz="0" w:space="0" w:color="auto"/>
      </w:divBdr>
    </w:div>
    <w:div w:id="779956652">
      <w:bodyDiv w:val="1"/>
      <w:marLeft w:val="0"/>
      <w:marRight w:val="0"/>
      <w:marTop w:val="0"/>
      <w:marBottom w:val="0"/>
      <w:divBdr>
        <w:top w:val="none" w:sz="0" w:space="0" w:color="auto"/>
        <w:left w:val="none" w:sz="0" w:space="0" w:color="auto"/>
        <w:bottom w:val="none" w:sz="0" w:space="0" w:color="auto"/>
        <w:right w:val="none" w:sz="0" w:space="0" w:color="auto"/>
      </w:divBdr>
    </w:div>
    <w:div w:id="780226598">
      <w:bodyDiv w:val="1"/>
      <w:marLeft w:val="0"/>
      <w:marRight w:val="0"/>
      <w:marTop w:val="0"/>
      <w:marBottom w:val="0"/>
      <w:divBdr>
        <w:top w:val="none" w:sz="0" w:space="0" w:color="auto"/>
        <w:left w:val="none" w:sz="0" w:space="0" w:color="auto"/>
        <w:bottom w:val="none" w:sz="0" w:space="0" w:color="auto"/>
        <w:right w:val="none" w:sz="0" w:space="0" w:color="auto"/>
      </w:divBdr>
    </w:div>
    <w:div w:id="780226845">
      <w:bodyDiv w:val="1"/>
      <w:marLeft w:val="0"/>
      <w:marRight w:val="0"/>
      <w:marTop w:val="0"/>
      <w:marBottom w:val="0"/>
      <w:divBdr>
        <w:top w:val="none" w:sz="0" w:space="0" w:color="auto"/>
        <w:left w:val="none" w:sz="0" w:space="0" w:color="auto"/>
        <w:bottom w:val="none" w:sz="0" w:space="0" w:color="auto"/>
        <w:right w:val="none" w:sz="0" w:space="0" w:color="auto"/>
      </w:divBdr>
    </w:div>
    <w:div w:id="780300884">
      <w:bodyDiv w:val="1"/>
      <w:marLeft w:val="0"/>
      <w:marRight w:val="0"/>
      <w:marTop w:val="0"/>
      <w:marBottom w:val="0"/>
      <w:divBdr>
        <w:top w:val="none" w:sz="0" w:space="0" w:color="auto"/>
        <w:left w:val="none" w:sz="0" w:space="0" w:color="auto"/>
        <w:bottom w:val="none" w:sz="0" w:space="0" w:color="auto"/>
        <w:right w:val="none" w:sz="0" w:space="0" w:color="auto"/>
      </w:divBdr>
    </w:div>
    <w:div w:id="780302874">
      <w:bodyDiv w:val="1"/>
      <w:marLeft w:val="0"/>
      <w:marRight w:val="0"/>
      <w:marTop w:val="0"/>
      <w:marBottom w:val="0"/>
      <w:divBdr>
        <w:top w:val="none" w:sz="0" w:space="0" w:color="auto"/>
        <w:left w:val="none" w:sz="0" w:space="0" w:color="auto"/>
        <w:bottom w:val="none" w:sz="0" w:space="0" w:color="auto"/>
        <w:right w:val="none" w:sz="0" w:space="0" w:color="auto"/>
      </w:divBdr>
    </w:div>
    <w:div w:id="780303449">
      <w:bodyDiv w:val="1"/>
      <w:marLeft w:val="0"/>
      <w:marRight w:val="0"/>
      <w:marTop w:val="0"/>
      <w:marBottom w:val="0"/>
      <w:divBdr>
        <w:top w:val="none" w:sz="0" w:space="0" w:color="auto"/>
        <w:left w:val="none" w:sz="0" w:space="0" w:color="auto"/>
        <w:bottom w:val="none" w:sz="0" w:space="0" w:color="auto"/>
        <w:right w:val="none" w:sz="0" w:space="0" w:color="auto"/>
      </w:divBdr>
    </w:div>
    <w:div w:id="780340623">
      <w:bodyDiv w:val="1"/>
      <w:marLeft w:val="0"/>
      <w:marRight w:val="0"/>
      <w:marTop w:val="0"/>
      <w:marBottom w:val="0"/>
      <w:divBdr>
        <w:top w:val="none" w:sz="0" w:space="0" w:color="auto"/>
        <w:left w:val="none" w:sz="0" w:space="0" w:color="auto"/>
        <w:bottom w:val="none" w:sz="0" w:space="0" w:color="auto"/>
        <w:right w:val="none" w:sz="0" w:space="0" w:color="auto"/>
      </w:divBdr>
    </w:div>
    <w:div w:id="780420181">
      <w:bodyDiv w:val="1"/>
      <w:marLeft w:val="0"/>
      <w:marRight w:val="0"/>
      <w:marTop w:val="0"/>
      <w:marBottom w:val="0"/>
      <w:divBdr>
        <w:top w:val="none" w:sz="0" w:space="0" w:color="auto"/>
        <w:left w:val="none" w:sz="0" w:space="0" w:color="auto"/>
        <w:bottom w:val="none" w:sz="0" w:space="0" w:color="auto"/>
        <w:right w:val="none" w:sz="0" w:space="0" w:color="auto"/>
      </w:divBdr>
    </w:div>
    <w:div w:id="780494843">
      <w:bodyDiv w:val="1"/>
      <w:marLeft w:val="0"/>
      <w:marRight w:val="0"/>
      <w:marTop w:val="0"/>
      <w:marBottom w:val="0"/>
      <w:divBdr>
        <w:top w:val="none" w:sz="0" w:space="0" w:color="auto"/>
        <w:left w:val="none" w:sz="0" w:space="0" w:color="auto"/>
        <w:bottom w:val="none" w:sz="0" w:space="0" w:color="auto"/>
        <w:right w:val="none" w:sz="0" w:space="0" w:color="auto"/>
      </w:divBdr>
    </w:div>
    <w:div w:id="780615767">
      <w:bodyDiv w:val="1"/>
      <w:marLeft w:val="0"/>
      <w:marRight w:val="0"/>
      <w:marTop w:val="0"/>
      <w:marBottom w:val="0"/>
      <w:divBdr>
        <w:top w:val="none" w:sz="0" w:space="0" w:color="auto"/>
        <w:left w:val="none" w:sz="0" w:space="0" w:color="auto"/>
        <w:bottom w:val="none" w:sz="0" w:space="0" w:color="auto"/>
        <w:right w:val="none" w:sz="0" w:space="0" w:color="auto"/>
      </w:divBdr>
    </w:div>
    <w:div w:id="780804675">
      <w:bodyDiv w:val="1"/>
      <w:marLeft w:val="0"/>
      <w:marRight w:val="0"/>
      <w:marTop w:val="0"/>
      <w:marBottom w:val="0"/>
      <w:divBdr>
        <w:top w:val="none" w:sz="0" w:space="0" w:color="auto"/>
        <w:left w:val="none" w:sz="0" w:space="0" w:color="auto"/>
        <w:bottom w:val="none" w:sz="0" w:space="0" w:color="auto"/>
        <w:right w:val="none" w:sz="0" w:space="0" w:color="auto"/>
      </w:divBdr>
    </w:div>
    <w:div w:id="780807977">
      <w:bodyDiv w:val="1"/>
      <w:marLeft w:val="0"/>
      <w:marRight w:val="0"/>
      <w:marTop w:val="0"/>
      <w:marBottom w:val="0"/>
      <w:divBdr>
        <w:top w:val="none" w:sz="0" w:space="0" w:color="auto"/>
        <w:left w:val="none" w:sz="0" w:space="0" w:color="auto"/>
        <w:bottom w:val="none" w:sz="0" w:space="0" w:color="auto"/>
        <w:right w:val="none" w:sz="0" w:space="0" w:color="auto"/>
      </w:divBdr>
    </w:div>
    <w:div w:id="780955996">
      <w:bodyDiv w:val="1"/>
      <w:marLeft w:val="0"/>
      <w:marRight w:val="0"/>
      <w:marTop w:val="0"/>
      <w:marBottom w:val="0"/>
      <w:divBdr>
        <w:top w:val="none" w:sz="0" w:space="0" w:color="auto"/>
        <w:left w:val="none" w:sz="0" w:space="0" w:color="auto"/>
        <w:bottom w:val="none" w:sz="0" w:space="0" w:color="auto"/>
        <w:right w:val="none" w:sz="0" w:space="0" w:color="auto"/>
      </w:divBdr>
    </w:div>
    <w:div w:id="781068265">
      <w:bodyDiv w:val="1"/>
      <w:marLeft w:val="0"/>
      <w:marRight w:val="0"/>
      <w:marTop w:val="0"/>
      <w:marBottom w:val="0"/>
      <w:divBdr>
        <w:top w:val="none" w:sz="0" w:space="0" w:color="auto"/>
        <w:left w:val="none" w:sz="0" w:space="0" w:color="auto"/>
        <w:bottom w:val="none" w:sz="0" w:space="0" w:color="auto"/>
        <w:right w:val="none" w:sz="0" w:space="0" w:color="auto"/>
      </w:divBdr>
    </w:div>
    <w:div w:id="781072925">
      <w:bodyDiv w:val="1"/>
      <w:marLeft w:val="0"/>
      <w:marRight w:val="0"/>
      <w:marTop w:val="0"/>
      <w:marBottom w:val="0"/>
      <w:divBdr>
        <w:top w:val="none" w:sz="0" w:space="0" w:color="auto"/>
        <w:left w:val="none" w:sz="0" w:space="0" w:color="auto"/>
        <w:bottom w:val="none" w:sz="0" w:space="0" w:color="auto"/>
        <w:right w:val="none" w:sz="0" w:space="0" w:color="auto"/>
      </w:divBdr>
    </w:div>
    <w:div w:id="781143718">
      <w:bodyDiv w:val="1"/>
      <w:marLeft w:val="0"/>
      <w:marRight w:val="0"/>
      <w:marTop w:val="0"/>
      <w:marBottom w:val="0"/>
      <w:divBdr>
        <w:top w:val="none" w:sz="0" w:space="0" w:color="auto"/>
        <w:left w:val="none" w:sz="0" w:space="0" w:color="auto"/>
        <w:bottom w:val="none" w:sz="0" w:space="0" w:color="auto"/>
        <w:right w:val="none" w:sz="0" w:space="0" w:color="auto"/>
      </w:divBdr>
    </w:div>
    <w:div w:id="781190902">
      <w:bodyDiv w:val="1"/>
      <w:marLeft w:val="0"/>
      <w:marRight w:val="0"/>
      <w:marTop w:val="0"/>
      <w:marBottom w:val="0"/>
      <w:divBdr>
        <w:top w:val="none" w:sz="0" w:space="0" w:color="auto"/>
        <w:left w:val="none" w:sz="0" w:space="0" w:color="auto"/>
        <w:bottom w:val="none" w:sz="0" w:space="0" w:color="auto"/>
        <w:right w:val="none" w:sz="0" w:space="0" w:color="auto"/>
      </w:divBdr>
    </w:div>
    <w:div w:id="781220353">
      <w:bodyDiv w:val="1"/>
      <w:marLeft w:val="0"/>
      <w:marRight w:val="0"/>
      <w:marTop w:val="0"/>
      <w:marBottom w:val="0"/>
      <w:divBdr>
        <w:top w:val="none" w:sz="0" w:space="0" w:color="auto"/>
        <w:left w:val="none" w:sz="0" w:space="0" w:color="auto"/>
        <w:bottom w:val="none" w:sz="0" w:space="0" w:color="auto"/>
        <w:right w:val="none" w:sz="0" w:space="0" w:color="auto"/>
      </w:divBdr>
    </w:div>
    <w:div w:id="781267150">
      <w:bodyDiv w:val="1"/>
      <w:marLeft w:val="0"/>
      <w:marRight w:val="0"/>
      <w:marTop w:val="0"/>
      <w:marBottom w:val="0"/>
      <w:divBdr>
        <w:top w:val="none" w:sz="0" w:space="0" w:color="auto"/>
        <w:left w:val="none" w:sz="0" w:space="0" w:color="auto"/>
        <w:bottom w:val="none" w:sz="0" w:space="0" w:color="auto"/>
        <w:right w:val="none" w:sz="0" w:space="0" w:color="auto"/>
      </w:divBdr>
    </w:div>
    <w:div w:id="781462511">
      <w:bodyDiv w:val="1"/>
      <w:marLeft w:val="0"/>
      <w:marRight w:val="0"/>
      <w:marTop w:val="0"/>
      <w:marBottom w:val="0"/>
      <w:divBdr>
        <w:top w:val="none" w:sz="0" w:space="0" w:color="auto"/>
        <w:left w:val="none" w:sz="0" w:space="0" w:color="auto"/>
        <w:bottom w:val="none" w:sz="0" w:space="0" w:color="auto"/>
        <w:right w:val="none" w:sz="0" w:space="0" w:color="auto"/>
      </w:divBdr>
    </w:div>
    <w:div w:id="781463750">
      <w:bodyDiv w:val="1"/>
      <w:marLeft w:val="0"/>
      <w:marRight w:val="0"/>
      <w:marTop w:val="0"/>
      <w:marBottom w:val="0"/>
      <w:divBdr>
        <w:top w:val="none" w:sz="0" w:space="0" w:color="auto"/>
        <w:left w:val="none" w:sz="0" w:space="0" w:color="auto"/>
        <w:bottom w:val="none" w:sz="0" w:space="0" w:color="auto"/>
        <w:right w:val="none" w:sz="0" w:space="0" w:color="auto"/>
      </w:divBdr>
    </w:div>
    <w:div w:id="781535058">
      <w:bodyDiv w:val="1"/>
      <w:marLeft w:val="0"/>
      <w:marRight w:val="0"/>
      <w:marTop w:val="0"/>
      <w:marBottom w:val="0"/>
      <w:divBdr>
        <w:top w:val="none" w:sz="0" w:space="0" w:color="auto"/>
        <w:left w:val="none" w:sz="0" w:space="0" w:color="auto"/>
        <w:bottom w:val="none" w:sz="0" w:space="0" w:color="auto"/>
        <w:right w:val="none" w:sz="0" w:space="0" w:color="auto"/>
      </w:divBdr>
    </w:div>
    <w:div w:id="781648141">
      <w:bodyDiv w:val="1"/>
      <w:marLeft w:val="0"/>
      <w:marRight w:val="0"/>
      <w:marTop w:val="0"/>
      <w:marBottom w:val="0"/>
      <w:divBdr>
        <w:top w:val="none" w:sz="0" w:space="0" w:color="auto"/>
        <w:left w:val="none" w:sz="0" w:space="0" w:color="auto"/>
        <w:bottom w:val="none" w:sz="0" w:space="0" w:color="auto"/>
        <w:right w:val="none" w:sz="0" w:space="0" w:color="auto"/>
      </w:divBdr>
    </w:div>
    <w:div w:id="781652815">
      <w:bodyDiv w:val="1"/>
      <w:marLeft w:val="0"/>
      <w:marRight w:val="0"/>
      <w:marTop w:val="0"/>
      <w:marBottom w:val="0"/>
      <w:divBdr>
        <w:top w:val="none" w:sz="0" w:space="0" w:color="auto"/>
        <w:left w:val="none" w:sz="0" w:space="0" w:color="auto"/>
        <w:bottom w:val="none" w:sz="0" w:space="0" w:color="auto"/>
        <w:right w:val="none" w:sz="0" w:space="0" w:color="auto"/>
      </w:divBdr>
    </w:div>
    <w:div w:id="781726127">
      <w:bodyDiv w:val="1"/>
      <w:marLeft w:val="0"/>
      <w:marRight w:val="0"/>
      <w:marTop w:val="0"/>
      <w:marBottom w:val="0"/>
      <w:divBdr>
        <w:top w:val="none" w:sz="0" w:space="0" w:color="auto"/>
        <w:left w:val="none" w:sz="0" w:space="0" w:color="auto"/>
        <w:bottom w:val="none" w:sz="0" w:space="0" w:color="auto"/>
        <w:right w:val="none" w:sz="0" w:space="0" w:color="auto"/>
      </w:divBdr>
    </w:div>
    <w:div w:id="781803705">
      <w:bodyDiv w:val="1"/>
      <w:marLeft w:val="0"/>
      <w:marRight w:val="0"/>
      <w:marTop w:val="0"/>
      <w:marBottom w:val="0"/>
      <w:divBdr>
        <w:top w:val="none" w:sz="0" w:space="0" w:color="auto"/>
        <w:left w:val="none" w:sz="0" w:space="0" w:color="auto"/>
        <w:bottom w:val="none" w:sz="0" w:space="0" w:color="auto"/>
        <w:right w:val="none" w:sz="0" w:space="0" w:color="auto"/>
      </w:divBdr>
    </w:div>
    <w:div w:id="781846247">
      <w:bodyDiv w:val="1"/>
      <w:marLeft w:val="0"/>
      <w:marRight w:val="0"/>
      <w:marTop w:val="0"/>
      <w:marBottom w:val="0"/>
      <w:divBdr>
        <w:top w:val="none" w:sz="0" w:space="0" w:color="auto"/>
        <w:left w:val="none" w:sz="0" w:space="0" w:color="auto"/>
        <w:bottom w:val="none" w:sz="0" w:space="0" w:color="auto"/>
        <w:right w:val="none" w:sz="0" w:space="0" w:color="auto"/>
      </w:divBdr>
    </w:div>
    <w:div w:id="781994043">
      <w:bodyDiv w:val="1"/>
      <w:marLeft w:val="0"/>
      <w:marRight w:val="0"/>
      <w:marTop w:val="0"/>
      <w:marBottom w:val="0"/>
      <w:divBdr>
        <w:top w:val="none" w:sz="0" w:space="0" w:color="auto"/>
        <w:left w:val="none" w:sz="0" w:space="0" w:color="auto"/>
        <w:bottom w:val="none" w:sz="0" w:space="0" w:color="auto"/>
        <w:right w:val="none" w:sz="0" w:space="0" w:color="auto"/>
      </w:divBdr>
    </w:div>
    <w:div w:id="782069022">
      <w:bodyDiv w:val="1"/>
      <w:marLeft w:val="0"/>
      <w:marRight w:val="0"/>
      <w:marTop w:val="0"/>
      <w:marBottom w:val="0"/>
      <w:divBdr>
        <w:top w:val="none" w:sz="0" w:space="0" w:color="auto"/>
        <w:left w:val="none" w:sz="0" w:space="0" w:color="auto"/>
        <w:bottom w:val="none" w:sz="0" w:space="0" w:color="auto"/>
        <w:right w:val="none" w:sz="0" w:space="0" w:color="auto"/>
      </w:divBdr>
    </w:div>
    <w:div w:id="782304405">
      <w:bodyDiv w:val="1"/>
      <w:marLeft w:val="0"/>
      <w:marRight w:val="0"/>
      <w:marTop w:val="0"/>
      <w:marBottom w:val="0"/>
      <w:divBdr>
        <w:top w:val="none" w:sz="0" w:space="0" w:color="auto"/>
        <w:left w:val="none" w:sz="0" w:space="0" w:color="auto"/>
        <w:bottom w:val="none" w:sz="0" w:space="0" w:color="auto"/>
        <w:right w:val="none" w:sz="0" w:space="0" w:color="auto"/>
      </w:divBdr>
    </w:div>
    <w:div w:id="782387557">
      <w:bodyDiv w:val="1"/>
      <w:marLeft w:val="0"/>
      <w:marRight w:val="0"/>
      <w:marTop w:val="0"/>
      <w:marBottom w:val="0"/>
      <w:divBdr>
        <w:top w:val="none" w:sz="0" w:space="0" w:color="auto"/>
        <w:left w:val="none" w:sz="0" w:space="0" w:color="auto"/>
        <w:bottom w:val="none" w:sz="0" w:space="0" w:color="auto"/>
        <w:right w:val="none" w:sz="0" w:space="0" w:color="auto"/>
      </w:divBdr>
    </w:div>
    <w:div w:id="782455086">
      <w:bodyDiv w:val="1"/>
      <w:marLeft w:val="0"/>
      <w:marRight w:val="0"/>
      <w:marTop w:val="0"/>
      <w:marBottom w:val="0"/>
      <w:divBdr>
        <w:top w:val="none" w:sz="0" w:space="0" w:color="auto"/>
        <w:left w:val="none" w:sz="0" w:space="0" w:color="auto"/>
        <w:bottom w:val="none" w:sz="0" w:space="0" w:color="auto"/>
        <w:right w:val="none" w:sz="0" w:space="0" w:color="auto"/>
      </w:divBdr>
    </w:div>
    <w:div w:id="782501476">
      <w:bodyDiv w:val="1"/>
      <w:marLeft w:val="0"/>
      <w:marRight w:val="0"/>
      <w:marTop w:val="0"/>
      <w:marBottom w:val="0"/>
      <w:divBdr>
        <w:top w:val="none" w:sz="0" w:space="0" w:color="auto"/>
        <w:left w:val="none" w:sz="0" w:space="0" w:color="auto"/>
        <w:bottom w:val="none" w:sz="0" w:space="0" w:color="auto"/>
        <w:right w:val="none" w:sz="0" w:space="0" w:color="auto"/>
      </w:divBdr>
    </w:div>
    <w:div w:id="782502738">
      <w:bodyDiv w:val="1"/>
      <w:marLeft w:val="0"/>
      <w:marRight w:val="0"/>
      <w:marTop w:val="0"/>
      <w:marBottom w:val="0"/>
      <w:divBdr>
        <w:top w:val="none" w:sz="0" w:space="0" w:color="auto"/>
        <w:left w:val="none" w:sz="0" w:space="0" w:color="auto"/>
        <w:bottom w:val="none" w:sz="0" w:space="0" w:color="auto"/>
        <w:right w:val="none" w:sz="0" w:space="0" w:color="auto"/>
      </w:divBdr>
    </w:div>
    <w:div w:id="782727806">
      <w:bodyDiv w:val="1"/>
      <w:marLeft w:val="0"/>
      <w:marRight w:val="0"/>
      <w:marTop w:val="0"/>
      <w:marBottom w:val="0"/>
      <w:divBdr>
        <w:top w:val="none" w:sz="0" w:space="0" w:color="auto"/>
        <w:left w:val="none" w:sz="0" w:space="0" w:color="auto"/>
        <w:bottom w:val="none" w:sz="0" w:space="0" w:color="auto"/>
        <w:right w:val="none" w:sz="0" w:space="0" w:color="auto"/>
      </w:divBdr>
    </w:div>
    <w:div w:id="782963954">
      <w:bodyDiv w:val="1"/>
      <w:marLeft w:val="0"/>
      <w:marRight w:val="0"/>
      <w:marTop w:val="0"/>
      <w:marBottom w:val="0"/>
      <w:divBdr>
        <w:top w:val="none" w:sz="0" w:space="0" w:color="auto"/>
        <w:left w:val="none" w:sz="0" w:space="0" w:color="auto"/>
        <w:bottom w:val="none" w:sz="0" w:space="0" w:color="auto"/>
        <w:right w:val="none" w:sz="0" w:space="0" w:color="auto"/>
      </w:divBdr>
    </w:div>
    <w:div w:id="783034867">
      <w:bodyDiv w:val="1"/>
      <w:marLeft w:val="0"/>
      <w:marRight w:val="0"/>
      <w:marTop w:val="0"/>
      <w:marBottom w:val="0"/>
      <w:divBdr>
        <w:top w:val="none" w:sz="0" w:space="0" w:color="auto"/>
        <w:left w:val="none" w:sz="0" w:space="0" w:color="auto"/>
        <w:bottom w:val="none" w:sz="0" w:space="0" w:color="auto"/>
        <w:right w:val="none" w:sz="0" w:space="0" w:color="auto"/>
      </w:divBdr>
    </w:div>
    <w:div w:id="783039186">
      <w:bodyDiv w:val="1"/>
      <w:marLeft w:val="0"/>
      <w:marRight w:val="0"/>
      <w:marTop w:val="0"/>
      <w:marBottom w:val="0"/>
      <w:divBdr>
        <w:top w:val="none" w:sz="0" w:space="0" w:color="auto"/>
        <w:left w:val="none" w:sz="0" w:space="0" w:color="auto"/>
        <w:bottom w:val="none" w:sz="0" w:space="0" w:color="auto"/>
        <w:right w:val="none" w:sz="0" w:space="0" w:color="auto"/>
      </w:divBdr>
    </w:div>
    <w:div w:id="783232171">
      <w:bodyDiv w:val="1"/>
      <w:marLeft w:val="0"/>
      <w:marRight w:val="0"/>
      <w:marTop w:val="0"/>
      <w:marBottom w:val="0"/>
      <w:divBdr>
        <w:top w:val="none" w:sz="0" w:space="0" w:color="auto"/>
        <w:left w:val="none" w:sz="0" w:space="0" w:color="auto"/>
        <w:bottom w:val="none" w:sz="0" w:space="0" w:color="auto"/>
        <w:right w:val="none" w:sz="0" w:space="0" w:color="auto"/>
      </w:divBdr>
    </w:div>
    <w:div w:id="783304262">
      <w:bodyDiv w:val="1"/>
      <w:marLeft w:val="0"/>
      <w:marRight w:val="0"/>
      <w:marTop w:val="0"/>
      <w:marBottom w:val="0"/>
      <w:divBdr>
        <w:top w:val="none" w:sz="0" w:space="0" w:color="auto"/>
        <w:left w:val="none" w:sz="0" w:space="0" w:color="auto"/>
        <w:bottom w:val="none" w:sz="0" w:space="0" w:color="auto"/>
        <w:right w:val="none" w:sz="0" w:space="0" w:color="auto"/>
      </w:divBdr>
    </w:div>
    <w:div w:id="783309040">
      <w:bodyDiv w:val="1"/>
      <w:marLeft w:val="0"/>
      <w:marRight w:val="0"/>
      <w:marTop w:val="0"/>
      <w:marBottom w:val="0"/>
      <w:divBdr>
        <w:top w:val="none" w:sz="0" w:space="0" w:color="auto"/>
        <w:left w:val="none" w:sz="0" w:space="0" w:color="auto"/>
        <w:bottom w:val="none" w:sz="0" w:space="0" w:color="auto"/>
        <w:right w:val="none" w:sz="0" w:space="0" w:color="auto"/>
      </w:divBdr>
    </w:div>
    <w:div w:id="783383771">
      <w:bodyDiv w:val="1"/>
      <w:marLeft w:val="0"/>
      <w:marRight w:val="0"/>
      <w:marTop w:val="0"/>
      <w:marBottom w:val="0"/>
      <w:divBdr>
        <w:top w:val="none" w:sz="0" w:space="0" w:color="auto"/>
        <w:left w:val="none" w:sz="0" w:space="0" w:color="auto"/>
        <w:bottom w:val="none" w:sz="0" w:space="0" w:color="auto"/>
        <w:right w:val="none" w:sz="0" w:space="0" w:color="auto"/>
      </w:divBdr>
    </w:div>
    <w:div w:id="783496739">
      <w:bodyDiv w:val="1"/>
      <w:marLeft w:val="0"/>
      <w:marRight w:val="0"/>
      <w:marTop w:val="0"/>
      <w:marBottom w:val="0"/>
      <w:divBdr>
        <w:top w:val="none" w:sz="0" w:space="0" w:color="auto"/>
        <w:left w:val="none" w:sz="0" w:space="0" w:color="auto"/>
        <w:bottom w:val="none" w:sz="0" w:space="0" w:color="auto"/>
        <w:right w:val="none" w:sz="0" w:space="0" w:color="auto"/>
      </w:divBdr>
    </w:div>
    <w:div w:id="783501389">
      <w:bodyDiv w:val="1"/>
      <w:marLeft w:val="0"/>
      <w:marRight w:val="0"/>
      <w:marTop w:val="0"/>
      <w:marBottom w:val="0"/>
      <w:divBdr>
        <w:top w:val="none" w:sz="0" w:space="0" w:color="auto"/>
        <w:left w:val="none" w:sz="0" w:space="0" w:color="auto"/>
        <w:bottom w:val="none" w:sz="0" w:space="0" w:color="auto"/>
        <w:right w:val="none" w:sz="0" w:space="0" w:color="auto"/>
      </w:divBdr>
    </w:div>
    <w:div w:id="783578608">
      <w:bodyDiv w:val="1"/>
      <w:marLeft w:val="0"/>
      <w:marRight w:val="0"/>
      <w:marTop w:val="0"/>
      <w:marBottom w:val="0"/>
      <w:divBdr>
        <w:top w:val="none" w:sz="0" w:space="0" w:color="auto"/>
        <w:left w:val="none" w:sz="0" w:space="0" w:color="auto"/>
        <w:bottom w:val="none" w:sz="0" w:space="0" w:color="auto"/>
        <w:right w:val="none" w:sz="0" w:space="0" w:color="auto"/>
      </w:divBdr>
    </w:div>
    <w:div w:id="783621025">
      <w:bodyDiv w:val="1"/>
      <w:marLeft w:val="0"/>
      <w:marRight w:val="0"/>
      <w:marTop w:val="0"/>
      <w:marBottom w:val="0"/>
      <w:divBdr>
        <w:top w:val="none" w:sz="0" w:space="0" w:color="auto"/>
        <w:left w:val="none" w:sz="0" w:space="0" w:color="auto"/>
        <w:bottom w:val="none" w:sz="0" w:space="0" w:color="auto"/>
        <w:right w:val="none" w:sz="0" w:space="0" w:color="auto"/>
      </w:divBdr>
    </w:div>
    <w:div w:id="783691956">
      <w:bodyDiv w:val="1"/>
      <w:marLeft w:val="0"/>
      <w:marRight w:val="0"/>
      <w:marTop w:val="0"/>
      <w:marBottom w:val="0"/>
      <w:divBdr>
        <w:top w:val="none" w:sz="0" w:space="0" w:color="auto"/>
        <w:left w:val="none" w:sz="0" w:space="0" w:color="auto"/>
        <w:bottom w:val="none" w:sz="0" w:space="0" w:color="auto"/>
        <w:right w:val="none" w:sz="0" w:space="0" w:color="auto"/>
      </w:divBdr>
    </w:div>
    <w:div w:id="783815379">
      <w:bodyDiv w:val="1"/>
      <w:marLeft w:val="0"/>
      <w:marRight w:val="0"/>
      <w:marTop w:val="0"/>
      <w:marBottom w:val="0"/>
      <w:divBdr>
        <w:top w:val="none" w:sz="0" w:space="0" w:color="auto"/>
        <w:left w:val="none" w:sz="0" w:space="0" w:color="auto"/>
        <w:bottom w:val="none" w:sz="0" w:space="0" w:color="auto"/>
        <w:right w:val="none" w:sz="0" w:space="0" w:color="auto"/>
      </w:divBdr>
    </w:div>
    <w:div w:id="783841028">
      <w:bodyDiv w:val="1"/>
      <w:marLeft w:val="0"/>
      <w:marRight w:val="0"/>
      <w:marTop w:val="0"/>
      <w:marBottom w:val="0"/>
      <w:divBdr>
        <w:top w:val="none" w:sz="0" w:space="0" w:color="auto"/>
        <w:left w:val="none" w:sz="0" w:space="0" w:color="auto"/>
        <w:bottom w:val="none" w:sz="0" w:space="0" w:color="auto"/>
        <w:right w:val="none" w:sz="0" w:space="0" w:color="auto"/>
      </w:divBdr>
    </w:div>
    <w:div w:id="783882894">
      <w:bodyDiv w:val="1"/>
      <w:marLeft w:val="0"/>
      <w:marRight w:val="0"/>
      <w:marTop w:val="0"/>
      <w:marBottom w:val="0"/>
      <w:divBdr>
        <w:top w:val="none" w:sz="0" w:space="0" w:color="auto"/>
        <w:left w:val="none" w:sz="0" w:space="0" w:color="auto"/>
        <w:bottom w:val="none" w:sz="0" w:space="0" w:color="auto"/>
        <w:right w:val="none" w:sz="0" w:space="0" w:color="auto"/>
      </w:divBdr>
    </w:div>
    <w:div w:id="783889540">
      <w:bodyDiv w:val="1"/>
      <w:marLeft w:val="0"/>
      <w:marRight w:val="0"/>
      <w:marTop w:val="0"/>
      <w:marBottom w:val="0"/>
      <w:divBdr>
        <w:top w:val="none" w:sz="0" w:space="0" w:color="auto"/>
        <w:left w:val="none" w:sz="0" w:space="0" w:color="auto"/>
        <w:bottom w:val="none" w:sz="0" w:space="0" w:color="auto"/>
        <w:right w:val="none" w:sz="0" w:space="0" w:color="auto"/>
      </w:divBdr>
    </w:div>
    <w:div w:id="783962582">
      <w:bodyDiv w:val="1"/>
      <w:marLeft w:val="0"/>
      <w:marRight w:val="0"/>
      <w:marTop w:val="0"/>
      <w:marBottom w:val="0"/>
      <w:divBdr>
        <w:top w:val="none" w:sz="0" w:space="0" w:color="auto"/>
        <w:left w:val="none" w:sz="0" w:space="0" w:color="auto"/>
        <w:bottom w:val="none" w:sz="0" w:space="0" w:color="auto"/>
        <w:right w:val="none" w:sz="0" w:space="0" w:color="auto"/>
      </w:divBdr>
    </w:div>
    <w:div w:id="784079150">
      <w:bodyDiv w:val="1"/>
      <w:marLeft w:val="0"/>
      <w:marRight w:val="0"/>
      <w:marTop w:val="0"/>
      <w:marBottom w:val="0"/>
      <w:divBdr>
        <w:top w:val="none" w:sz="0" w:space="0" w:color="auto"/>
        <w:left w:val="none" w:sz="0" w:space="0" w:color="auto"/>
        <w:bottom w:val="none" w:sz="0" w:space="0" w:color="auto"/>
        <w:right w:val="none" w:sz="0" w:space="0" w:color="auto"/>
      </w:divBdr>
    </w:div>
    <w:div w:id="784155657">
      <w:bodyDiv w:val="1"/>
      <w:marLeft w:val="0"/>
      <w:marRight w:val="0"/>
      <w:marTop w:val="0"/>
      <w:marBottom w:val="0"/>
      <w:divBdr>
        <w:top w:val="none" w:sz="0" w:space="0" w:color="auto"/>
        <w:left w:val="none" w:sz="0" w:space="0" w:color="auto"/>
        <w:bottom w:val="none" w:sz="0" w:space="0" w:color="auto"/>
        <w:right w:val="none" w:sz="0" w:space="0" w:color="auto"/>
      </w:divBdr>
    </w:div>
    <w:div w:id="784157869">
      <w:bodyDiv w:val="1"/>
      <w:marLeft w:val="0"/>
      <w:marRight w:val="0"/>
      <w:marTop w:val="0"/>
      <w:marBottom w:val="0"/>
      <w:divBdr>
        <w:top w:val="none" w:sz="0" w:space="0" w:color="auto"/>
        <w:left w:val="none" w:sz="0" w:space="0" w:color="auto"/>
        <w:bottom w:val="none" w:sz="0" w:space="0" w:color="auto"/>
        <w:right w:val="none" w:sz="0" w:space="0" w:color="auto"/>
      </w:divBdr>
    </w:div>
    <w:div w:id="784232715">
      <w:bodyDiv w:val="1"/>
      <w:marLeft w:val="0"/>
      <w:marRight w:val="0"/>
      <w:marTop w:val="0"/>
      <w:marBottom w:val="0"/>
      <w:divBdr>
        <w:top w:val="none" w:sz="0" w:space="0" w:color="auto"/>
        <w:left w:val="none" w:sz="0" w:space="0" w:color="auto"/>
        <w:bottom w:val="none" w:sz="0" w:space="0" w:color="auto"/>
        <w:right w:val="none" w:sz="0" w:space="0" w:color="auto"/>
      </w:divBdr>
    </w:div>
    <w:div w:id="784233255">
      <w:bodyDiv w:val="1"/>
      <w:marLeft w:val="0"/>
      <w:marRight w:val="0"/>
      <w:marTop w:val="0"/>
      <w:marBottom w:val="0"/>
      <w:divBdr>
        <w:top w:val="none" w:sz="0" w:space="0" w:color="auto"/>
        <w:left w:val="none" w:sz="0" w:space="0" w:color="auto"/>
        <w:bottom w:val="none" w:sz="0" w:space="0" w:color="auto"/>
        <w:right w:val="none" w:sz="0" w:space="0" w:color="auto"/>
      </w:divBdr>
    </w:div>
    <w:div w:id="784345246">
      <w:bodyDiv w:val="1"/>
      <w:marLeft w:val="0"/>
      <w:marRight w:val="0"/>
      <w:marTop w:val="0"/>
      <w:marBottom w:val="0"/>
      <w:divBdr>
        <w:top w:val="none" w:sz="0" w:space="0" w:color="auto"/>
        <w:left w:val="none" w:sz="0" w:space="0" w:color="auto"/>
        <w:bottom w:val="none" w:sz="0" w:space="0" w:color="auto"/>
        <w:right w:val="none" w:sz="0" w:space="0" w:color="auto"/>
      </w:divBdr>
    </w:div>
    <w:div w:id="784349992">
      <w:bodyDiv w:val="1"/>
      <w:marLeft w:val="0"/>
      <w:marRight w:val="0"/>
      <w:marTop w:val="0"/>
      <w:marBottom w:val="0"/>
      <w:divBdr>
        <w:top w:val="none" w:sz="0" w:space="0" w:color="auto"/>
        <w:left w:val="none" w:sz="0" w:space="0" w:color="auto"/>
        <w:bottom w:val="none" w:sz="0" w:space="0" w:color="auto"/>
        <w:right w:val="none" w:sz="0" w:space="0" w:color="auto"/>
      </w:divBdr>
    </w:div>
    <w:div w:id="784422224">
      <w:bodyDiv w:val="1"/>
      <w:marLeft w:val="0"/>
      <w:marRight w:val="0"/>
      <w:marTop w:val="0"/>
      <w:marBottom w:val="0"/>
      <w:divBdr>
        <w:top w:val="none" w:sz="0" w:space="0" w:color="auto"/>
        <w:left w:val="none" w:sz="0" w:space="0" w:color="auto"/>
        <w:bottom w:val="none" w:sz="0" w:space="0" w:color="auto"/>
        <w:right w:val="none" w:sz="0" w:space="0" w:color="auto"/>
      </w:divBdr>
    </w:div>
    <w:div w:id="784471472">
      <w:bodyDiv w:val="1"/>
      <w:marLeft w:val="0"/>
      <w:marRight w:val="0"/>
      <w:marTop w:val="0"/>
      <w:marBottom w:val="0"/>
      <w:divBdr>
        <w:top w:val="none" w:sz="0" w:space="0" w:color="auto"/>
        <w:left w:val="none" w:sz="0" w:space="0" w:color="auto"/>
        <w:bottom w:val="none" w:sz="0" w:space="0" w:color="auto"/>
        <w:right w:val="none" w:sz="0" w:space="0" w:color="auto"/>
      </w:divBdr>
    </w:div>
    <w:div w:id="784732164">
      <w:bodyDiv w:val="1"/>
      <w:marLeft w:val="0"/>
      <w:marRight w:val="0"/>
      <w:marTop w:val="0"/>
      <w:marBottom w:val="0"/>
      <w:divBdr>
        <w:top w:val="none" w:sz="0" w:space="0" w:color="auto"/>
        <w:left w:val="none" w:sz="0" w:space="0" w:color="auto"/>
        <w:bottom w:val="none" w:sz="0" w:space="0" w:color="auto"/>
        <w:right w:val="none" w:sz="0" w:space="0" w:color="auto"/>
      </w:divBdr>
    </w:div>
    <w:div w:id="784806938">
      <w:bodyDiv w:val="1"/>
      <w:marLeft w:val="0"/>
      <w:marRight w:val="0"/>
      <w:marTop w:val="0"/>
      <w:marBottom w:val="0"/>
      <w:divBdr>
        <w:top w:val="none" w:sz="0" w:space="0" w:color="auto"/>
        <w:left w:val="none" w:sz="0" w:space="0" w:color="auto"/>
        <w:bottom w:val="none" w:sz="0" w:space="0" w:color="auto"/>
        <w:right w:val="none" w:sz="0" w:space="0" w:color="auto"/>
      </w:divBdr>
    </w:div>
    <w:div w:id="784806959">
      <w:bodyDiv w:val="1"/>
      <w:marLeft w:val="0"/>
      <w:marRight w:val="0"/>
      <w:marTop w:val="0"/>
      <w:marBottom w:val="0"/>
      <w:divBdr>
        <w:top w:val="none" w:sz="0" w:space="0" w:color="auto"/>
        <w:left w:val="none" w:sz="0" w:space="0" w:color="auto"/>
        <w:bottom w:val="none" w:sz="0" w:space="0" w:color="auto"/>
        <w:right w:val="none" w:sz="0" w:space="0" w:color="auto"/>
      </w:divBdr>
    </w:div>
    <w:div w:id="784884428">
      <w:bodyDiv w:val="1"/>
      <w:marLeft w:val="0"/>
      <w:marRight w:val="0"/>
      <w:marTop w:val="0"/>
      <w:marBottom w:val="0"/>
      <w:divBdr>
        <w:top w:val="none" w:sz="0" w:space="0" w:color="auto"/>
        <w:left w:val="none" w:sz="0" w:space="0" w:color="auto"/>
        <w:bottom w:val="none" w:sz="0" w:space="0" w:color="auto"/>
        <w:right w:val="none" w:sz="0" w:space="0" w:color="auto"/>
      </w:divBdr>
    </w:div>
    <w:div w:id="784889749">
      <w:bodyDiv w:val="1"/>
      <w:marLeft w:val="0"/>
      <w:marRight w:val="0"/>
      <w:marTop w:val="0"/>
      <w:marBottom w:val="0"/>
      <w:divBdr>
        <w:top w:val="none" w:sz="0" w:space="0" w:color="auto"/>
        <w:left w:val="none" w:sz="0" w:space="0" w:color="auto"/>
        <w:bottom w:val="none" w:sz="0" w:space="0" w:color="auto"/>
        <w:right w:val="none" w:sz="0" w:space="0" w:color="auto"/>
      </w:divBdr>
    </w:div>
    <w:div w:id="784927236">
      <w:bodyDiv w:val="1"/>
      <w:marLeft w:val="0"/>
      <w:marRight w:val="0"/>
      <w:marTop w:val="0"/>
      <w:marBottom w:val="0"/>
      <w:divBdr>
        <w:top w:val="none" w:sz="0" w:space="0" w:color="auto"/>
        <w:left w:val="none" w:sz="0" w:space="0" w:color="auto"/>
        <w:bottom w:val="none" w:sz="0" w:space="0" w:color="auto"/>
        <w:right w:val="none" w:sz="0" w:space="0" w:color="auto"/>
      </w:divBdr>
    </w:div>
    <w:div w:id="785001385">
      <w:bodyDiv w:val="1"/>
      <w:marLeft w:val="0"/>
      <w:marRight w:val="0"/>
      <w:marTop w:val="0"/>
      <w:marBottom w:val="0"/>
      <w:divBdr>
        <w:top w:val="none" w:sz="0" w:space="0" w:color="auto"/>
        <w:left w:val="none" w:sz="0" w:space="0" w:color="auto"/>
        <w:bottom w:val="none" w:sz="0" w:space="0" w:color="auto"/>
        <w:right w:val="none" w:sz="0" w:space="0" w:color="auto"/>
      </w:divBdr>
    </w:div>
    <w:div w:id="785006020">
      <w:bodyDiv w:val="1"/>
      <w:marLeft w:val="0"/>
      <w:marRight w:val="0"/>
      <w:marTop w:val="0"/>
      <w:marBottom w:val="0"/>
      <w:divBdr>
        <w:top w:val="none" w:sz="0" w:space="0" w:color="auto"/>
        <w:left w:val="none" w:sz="0" w:space="0" w:color="auto"/>
        <w:bottom w:val="none" w:sz="0" w:space="0" w:color="auto"/>
        <w:right w:val="none" w:sz="0" w:space="0" w:color="auto"/>
      </w:divBdr>
    </w:div>
    <w:div w:id="785006356">
      <w:bodyDiv w:val="1"/>
      <w:marLeft w:val="0"/>
      <w:marRight w:val="0"/>
      <w:marTop w:val="0"/>
      <w:marBottom w:val="0"/>
      <w:divBdr>
        <w:top w:val="none" w:sz="0" w:space="0" w:color="auto"/>
        <w:left w:val="none" w:sz="0" w:space="0" w:color="auto"/>
        <w:bottom w:val="none" w:sz="0" w:space="0" w:color="auto"/>
        <w:right w:val="none" w:sz="0" w:space="0" w:color="auto"/>
      </w:divBdr>
    </w:div>
    <w:div w:id="785153282">
      <w:bodyDiv w:val="1"/>
      <w:marLeft w:val="0"/>
      <w:marRight w:val="0"/>
      <w:marTop w:val="0"/>
      <w:marBottom w:val="0"/>
      <w:divBdr>
        <w:top w:val="none" w:sz="0" w:space="0" w:color="auto"/>
        <w:left w:val="none" w:sz="0" w:space="0" w:color="auto"/>
        <w:bottom w:val="none" w:sz="0" w:space="0" w:color="auto"/>
        <w:right w:val="none" w:sz="0" w:space="0" w:color="auto"/>
      </w:divBdr>
    </w:div>
    <w:div w:id="785153675">
      <w:bodyDiv w:val="1"/>
      <w:marLeft w:val="0"/>
      <w:marRight w:val="0"/>
      <w:marTop w:val="0"/>
      <w:marBottom w:val="0"/>
      <w:divBdr>
        <w:top w:val="none" w:sz="0" w:space="0" w:color="auto"/>
        <w:left w:val="none" w:sz="0" w:space="0" w:color="auto"/>
        <w:bottom w:val="none" w:sz="0" w:space="0" w:color="auto"/>
        <w:right w:val="none" w:sz="0" w:space="0" w:color="auto"/>
      </w:divBdr>
    </w:div>
    <w:div w:id="785196561">
      <w:bodyDiv w:val="1"/>
      <w:marLeft w:val="0"/>
      <w:marRight w:val="0"/>
      <w:marTop w:val="0"/>
      <w:marBottom w:val="0"/>
      <w:divBdr>
        <w:top w:val="none" w:sz="0" w:space="0" w:color="auto"/>
        <w:left w:val="none" w:sz="0" w:space="0" w:color="auto"/>
        <w:bottom w:val="none" w:sz="0" w:space="0" w:color="auto"/>
        <w:right w:val="none" w:sz="0" w:space="0" w:color="auto"/>
      </w:divBdr>
    </w:div>
    <w:div w:id="785271250">
      <w:bodyDiv w:val="1"/>
      <w:marLeft w:val="0"/>
      <w:marRight w:val="0"/>
      <w:marTop w:val="0"/>
      <w:marBottom w:val="0"/>
      <w:divBdr>
        <w:top w:val="none" w:sz="0" w:space="0" w:color="auto"/>
        <w:left w:val="none" w:sz="0" w:space="0" w:color="auto"/>
        <w:bottom w:val="none" w:sz="0" w:space="0" w:color="auto"/>
        <w:right w:val="none" w:sz="0" w:space="0" w:color="auto"/>
      </w:divBdr>
    </w:div>
    <w:div w:id="785271667">
      <w:bodyDiv w:val="1"/>
      <w:marLeft w:val="0"/>
      <w:marRight w:val="0"/>
      <w:marTop w:val="0"/>
      <w:marBottom w:val="0"/>
      <w:divBdr>
        <w:top w:val="none" w:sz="0" w:space="0" w:color="auto"/>
        <w:left w:val="none" w:sz="0" w:space="0" w:color="auto"/>
        <w:bottom w:val="none" w:sz="0" w:space="0" w:color="auto"/>
        <w:right w:val="none" w:sz="0" w:space="0" w:color="auto"/>
      </w:divBdr>
    </w:div>
    <w:div w:id="785347800">
      <w:bodyDiv w:val="1"/>
      <w:marLeft w:val="0"/>
      <w:marRight w:val="0"/>
      <w:marTop w:val="0"/>
      <w:marBottom w:val="0"/>
      <w:divBdr>
        <w:top w:val="none" w:sz="0" w:space="0" w:color="auto"/>
        <w:left w:val="none" w:sz="0" w:space="0" w:color="auto"/>
        <w:bottom w:val="none" w:sz="0" w:space="0" w:color="auto"/>
        <w:right w:val="none" w:sz="0" w:space="0" w:color="auto"/>
      </w:divBdr>
    </w:div>
    <w:div w:id="785468963">
      <w:bodyDiv w:val="1"/>
      <w:marLeft w:val="0"/>
      <w:marRight w:val="0"/>
      <w:marTop w:val="0"/>
      <w:marBottom w:val="0"/>
      <w:divBdr>
        <w:top w:val="none" w:sz="0" w:space="0" w:color="auto"/>
        <w:left w:val="none" w:sz="0" w:space="0" w:color="auto"/>
        <w:bottom w:val="none" w:sz="0" w:space="0" w:color="auto"/>
        <w:right w:val="none" w:sz="0" w:space="0" w:color="auto"/>
      </w:divBdr>
    </w:div>
    <w:div w:id="785537966">
      <w:bodyDiv w:val="1"/>
      <w:marLeft w:val="0"/>
      <w:marRight w:val="0"/>
      <w:marTop w:val="0"/>
      <w:marBottom w:val="0"/>
      <w:divBdr>
        <w:top w:val="none" w:sz="0" w:space="0" w:color="auto"/>
        <w:left w:val="none" w:sz="0" w:space="0" w:color="auto"/>
        <w:bottom w:val="none" w:sz="0" w:space="0" w:color="auto"/>
        <w:right w:val="none" w:sz="0" w:space="0" w:color="auto"/>
      </w:divBdr>
    </w:div>
    <w:div w:id="785544809">
      <w:bodyDiv w:val="1"/>
      <w:marLeft w:val="0"/>
      <w:marRight w:val="0"/>
      <w:marTop w:val="0"/>
      <w:marBottom w:val="0"/>
      <w:divBdr>
        <w:top w:val="none" w:sz="0" w:space="0" w:color="auto"/>
        <w:left w:val="none" w:sz="0" w:space="0" w:color="auto"/>
        <w:bottom w:val="none" w:sz="0" w:space="0" w:color="auto"/>
        <w:right w:val="none" w:sz="0" w:space="0" w:color="auto"/>
      </w:divBdr>
    </w:div>
    <w:div w:id="785546199">
      <w:bodyDiv w:val="1"/>
      <w:marLeft w:val="0"/>
      <w:marRight w:val="0"/>
      <w:marTop w:val="0"/>
      <w:marBottom w:val="0"/>
      <w:divBdr>
        <w:top w:val="none" w:sz="0" w:space="0" w:color="auto"/>
        <w:left w:val="none" w:sz="0" w:space="0" w:color="auto"/>
        <w:bottom w:val="none" w:sz="0" w:space="0" w:color="auto"/>
        <w:right w:val="none" w:sz="0" w:space="0" w:color="auto"/>
      </w:divBdr>
    </w:div>
    <w:div w:id="785656775">
      <w:bodyDiv w:val="1"/>
      <w:marLeft w:val="0"/>
      <w:marRight w:val="0"/>
      <w:marTop w:val="0"/>
      <w:marBottom w:val="0"/>
      <w:divBdr>
        <w:top w:val="none" w:sz="0" w:space="0" w:color="auto"/>
        <w:left w:val="none" w:sz="0" w:space="0" w:color="auto"/>
        <w:bottom w:val="none" w:sz="0" w:space="0" w:color="auto"/>
        <w:right w:val="none" w:sz="0" w:space="0" w:color="auto"/>
      </w:divBdr>
    </w:div>
    <w:div w:id="785737622">
      <w:bodyDiv w:val="1"/>
      <w:marLeft w:val="0"/>
      <w:marRight w:val="0"/>
      <w:marTop w:val="0"/>
      <w:marBottom w:val="0"/>
      <w:divBdr>
        <w:top w:val="none" w:sz="0" w:space="0" w:color="auto"/>
        <w:left w:val="none" w:sz="0" w:space="0" w:color="auto"/>
        <w:bottom w:val="none" w:sz="0" w:space="0" w:color="auto"/>
        <w:right w:val="none" w:sz="0" w:space="0" w:color="auto"/>
      </w:divBdr>
    </w:div>
    <w:div w:id="785737923">
      <w:bodyDiv w:val="1"/>
      <w:marLeft w:val="0"/>
      <w:marRight w:val="0"/>
      <w:marTop w:val="0"/>
      <w:marBottom w:val="0"/>
      <w:divBdr>
        <w:top w:val="none" w:sz="0" w:space="0" w:color="auto"/>
        <w:left w:val="none" w:sz="0" w:space="0" w:color="auto"/>
        <w:bottom w:val="none" w:sz="0" w:space="0" w:color="auto"/>
        <w:right w:val="none" w:sz="0" w:space="0" w:color="auto"/>
      </w:divBdr>
    </w:div>
    <w:div w:id="785806388">
      <w:bodyDiv w:val="1"/>
      <w:marLeft w:val="0"/>
      <w:marRight w:val="0"/>
      <w:marTop w:val="0"/>
      <w:marBottom w:val="0"/>
      <w:divBdr>
        <w:top w:val="none" w:sz="0" w:space="0" w:color="auto"/>
        <w:left w:val="none" w:sz="0" w:space="0" w:color="auto"/>
        <w:bottom w:val="none" w:sz="0" w:space="0" w:color="auto"/>
        <w:right w:val="none" w:sz="0" w:space="0" w:color="auto"/>
      </w:divBdr>
    </w:div>
    <w:div w:id="785807376">
      <w:bodyDiv w:val="1"/>
      <w:marLeft w:val="0"/>
      <w:marRight w:val="0"/>
      <w:marTop w:val="0"/>
      <w:marBottom w:val="0"/>
      <w:divBdr>
        <w:top w:val="none" w:sz="0" w:space="0" w:color="auto"/>
        <w:left w:val="none" w:sz="0" w:space="0" w:color="auto"/>
        <w:bottom w:val="none" w:sz="0" w:space="0" w:color="auto"/>
        <w:right w:val="none" w:sz="0" w:space="0" w:color="auto"/>
      </w:divBdr>
    </w:div>
    <w:div w:id="785850142">
      <w:bodyDiv w:val="1"/>
      <w:marLeft w:val="0"/>
      <w:marRight w:val="0"/>
      <w:marTop w:val="0"/>
      <w:marBottom w:val="0"/>
      <w:divBdr>
        <w:top w:val="none" w:sz="0" w:space="0" w:color="auto"/>
        <w:left w:val="none" w:sz="0" w:space="0" w:color="auto"/>
        <w:bottom w:val="none" w:sz="0" w:space="0" w:color="auto"/>
        <w:right w:val="none" w:sz="0" w:space="0" w:color="auto"/>
      </w:divBdr>
    </w:div>
    <w:div w:id="785927996">
      <w:bodyDiv w:val="1"/>
      <w:marLeft w:val="0"/>
      <w:marRight w:val="0"/>
      <w:marTop w:val="0"/>
      <w:marBottom w:val="0"/>
      <w:divBdr>
        <w:top w:val="none" w:sz="0" w:space="0" w:color="auto"/>
        <w:left w:val="none" w:sz="0" w:space="0" w:color="auto"/>
        <w:bottom w:val="none" w:sz="0" w:space="0" w:color="auto"/>
        <w:right w:val="none" w:sz="0" w:space="0" w:color="auto"/>
      </w:divBdr>
    </w:div>
    <w:div w:id="786121226">
      <w:bodyDiv w:val="1"/>
      <w:marLeft w:val="0"/>
      <w:marRight w:val="0"/>
      <w:marTop w:val="0"/>
      <w:marBottom w:val="0"/>
      <w:divBdr>
        <w:top w:val="none" w:sz="0" w:space="0" w:color="auto"/>
        <w:left w:val="none" w:sz="0" w:space="0" w:color="auto"/>
        <w:bottom w:val="none" w:sz="0" w:space="0" w:color="auto"/>
        <w:right w:val="none" w:sz="0" w:space="0" w:color="auto"/>
      </w:divBdr>
    </w:div>
    <w:div w:id="786125248">
      <w:bodyDiv w:val="1"/>
      <w:marLeft w:val="0"/>
      <w:marRight w:val="0"/>
      <w:marTop w:val="0"/>
      <w:marBottom w:val="0"/>
      <w:divBdr>
        <w:top w:val="none" w:sz="0" w:space="0" w:color="auto"/>
        <w:left w:val="none" w:sz="0" w:space="0" w:color="auto"/>
        <w:bottom w:val="none" w:sz="0" w:space="0" w:color="auto"/>
        <w:right w:val="none" w:sz="0" w:space="0" w:color="auto"/>
      </w:divBdr>
    </w:div>
    <w:div w:id="786126146">
      <w:bodyDiv w:val="1"/>
      <w:marLeft w:val="0"/>
      <w:marRight w:val="0"/>
      <w:marTop w:val="0"/>
      <w:marBottom w:val="0"/>
      <w:divBdr>
        <w:top w:val="none" w:sz="0" w:space="0" w:color="auto"/>
        <w:left w:val="none" w:sz="0" w:space="0" w:color="auto"/>
        <w:bottom w:val="none" w:sz="0" w:space="0" w:color="auto"/>
        <w:right w:val="none" w:sz="0" w:space="0" w:color="auto"/>
      </w:divBdr>
    </w:div>
    <w:div w:id="786192629">
      <w:bodyDiv w:val="1"/>
      <w:marLeft w:val="0"/>
      <w:marRight w:val="0"/>
      <w:marTop w:val="0"/>
      <w:marBottom w:val="0"/>
      <w:divBdr>
        <w:top w:val="none" w:sz="0" w:space="0" w:color="auto"/>
        <w:left w:val="none" w:sz="0" w:space="0" w:color="auto"/>
        <w:bottom w:val="none" w:sz="0" w:space="0" w:color="auto"/>
        <w:right w:val="none" w:sz="0" w:space="0" w:color="auto"/>
      </w:divBdr>
    </w:div>
    <w:div w:id="786240684">
      <w:bodyDiv w:val="1"/>
      <w:marLeft w:val="0"/>
      <w:marRight w:val="0"/>
      <w:marTop w:val="0"/>
      <w:marBottom w:val="0"/>
      <w:divBdr>
        <w:top w:val="none" w:sz="0" w:space="0" w:color="auto"/>
        <w:left w:val="none" w:sz="0" w:space="0" w:color="auto"/>
        <w:bottom w:val="none" w:sz="0" w:space="0" w:color="auto"/>
        <w:right w:val="none" w:sz="0" w:space="0" w:color="auto"/>
      </w:divBdr>
    </w:div>
    <w:div w:id="786434900">
      <w:bodyDiv w:val="1"/>
      <w:marLeft w:val="0"/>
      <w:marRight w:val="0"/>
      <w:marTop w:val="0"/>
      <w:marBottom w:val="0"/>
      <w:divBdr>
        <w:top w:val="none" w:sz="0" w:space="0" w:color="auto"/>
        <w:left w:val="none" w:sz="0" w:space="0" w:color="auto"/>
        <w:bottom w:val="none" w:sz="0" w:space="0" w:color="auto"/>
        <w:right w:val="none" w:sz="0" w:space="0" w:color="auto"/>
      </w:divBdr>
    </w:div>
    <w:div w:id="786512361">
      <w:bodyDiv w:val="1"/>
      <w:marLeft w:val="0"/>
      <w:marRight w:val="0"/>
      <w:marTop w:val="0"/>
      <w:marBottom w:val="0"/>
      <w:divBdr>
        <w:top w:val="none" w:sz="0" w:space="0" w:color="auto"/>
        <w:left w:val="none" w:sz="0" w:space="0" w:color="auto"/>
        <w:bottom w:val="none" w:sz="0" w:space="0" w:color="auto"/>
        <w:right w:val="none" w:sz="0" w:space="0" w:color="auto"/>
      </w:divBdr>
    </w:div>
    <w:div w:id="786630063">
      <w:bodyDiv w:val="1"/>
      <w:marLeft w:val="0"/>
      <w:marRight w:val="0"/>
      <w:marTop w:val="0"/>
      <w:marBottom w:val="0"/>
      <w:divBdr>
        <w:top w:val="none" w:sz="0" w:space="0" w:color="auto"/>
        <w:left w:val="none" w:sz="0" w:space="0" w:color="auto"/>
        <w:bottom w:val="none" w:sz="0" w:space="0" w:color="auto"/>
        <w:right w:val="none" w:sz="0" w:space="0" w:color="auto"/>
      </w:divBdr>
    </w:div>
    <w:div w:id="786659581">
      <w:bodyDiv w:val="1"/>
      <w:marLeft w:val="0"/>
      <w:marRight w:val="0"/>
      <w:marTop w:val="0"/>
      <w:marBottom w:val="0"/>
      <w:divBdr>
        <w:top w:val="none" w:sz="0" w:space="0" w:color="auto"/>
        <w:left w:val="none" w:sz="0" w:space="0" w:color="auto"/>
        <w:bottom w:val="none" w:sz="0" w:space="0" w:color="auto"/>
        <w:right w:val="none" w:sz="0" w:space="0" w:color="auto"/>
      </w:divBdr>
    </w:div>
    <w:div w:id="786660468">
      <w:bodyDiv w:val="1"/>
      <w:marLeft w:val="0"/>
      <w:marRight w:val="0"/>
      <w:marTop w:val="0"/>
      <w:marBottom w:val="0"/>
      <w:divBdr>
        <w:top w:val="none" w:sz="0" w:space="0" w:color="auto"/>
        <w:left w:val="none" w:sz="0" w:space="0" w:color="auto"/>
        <w:bottom w:val="none" w:sz="0" w:space="0" w:color="auto"/>
        <w:right w:val="none" w:sz="0" w:space="0" w:color="auto"/>
      </w:divBdr>
    </w:div>
    <w:div w:id="786699999">
      <w:bodyDiv w:val="1"/>
      <w:marLeft w:val="0"/>
      <w:marRight w:val="0"/>
      <w:marTop w:val="0"/>
      <w:marBottom w:val="0"/>
      <w:divBdr>
        <w:top w:val="none" w:sz="0" w:space="0" w:color="auto"/>
        <w:left w:val="none" w:sz="0" w:space="0" w:color="auto"/>
        <w:bottom w:val="none" w:sz="0" w:space="0" w:color="auto"/>
        <w:right w:val="none" w:sz="0" w:space="0" w:color="auto"/>
      </w:divBdr>
    </w:div>
    <w:div w:id="786773699">
      <w:bodyDiv w:val="1"/>
      <w:marLeft w:val="0"/>
      <w:marRight w:val="0"/>
      <w:marTop w:val="0"/>
      <w:marBottom w:val="0"/>
      <w:divBdr>
        <w:top w:val="none" w:sz="0" w:space="0" w:color="auto"/>
        <w:left w:val="none" w:sz="0" w:space="0" w:color="auto"/>
        <w:bottom w:val="none" w:sz="0" w:space="0" w:color="auto"/>
        <w:right w:val="none" w:sz="0" w:space="0" w:color="auto"/>
      </w:divBdr>
    </w:div>
    <w:div w:id="786780039">
      <w:bodyDiv w:val="1"/>
      <w:marLeft w:val="0"/>
      <w:marRight w:val="0"/>
      <w:marTop w:val="0"/>
      <w:marBottom w:val="0"/>
      <w:divBdr>
        <w:top w:val="none" w:sz="0" w:space="0" w:color="auto"/>
        <w:left w:val="none" w:sz="0" w:space="0" w:color="auto"/>
        <w:bottom w:val="none" w:sz="0" w:space="0" w:color="auto"/>
        <w:right w:val="none" w:sz="0" w:space="0" w:color="auto"/>
      </w:divBdr>
    </w:div>
    <w:div w:id="786854686">
      <w:bodyDiv w:val="1"/>
      <w:marLeft w:val="0"/>
      <w:marRight w:val="0"/>
      <w:marTop w:val="0"/>
      <w:marBottom w:val="0"/>
      <w:divBdr>
        <w:top w:val="none" w:sz="0" w:space="0" w:color="auto"/>
        <w:left w:val="none" w:sz="0" w:space="0" w:color="auto"/>
        <w:bottom w:val="none" w:sz="0" w:space="0" w:color="auto"/>
        <w:right w:val="none" w:sz="0" w:space="0" w:color="auto"/>
      </w:divBdr>
    </w:div>
    <w:div w:id="786855870">
      <w:bodyDiv w:val="1"/>
      <w:marLeft w:val="0"/>
      <w:marRight w:val="0"/>
      <w:marTop w:val="0"/>
      <w:marBottom w:val="0"/>
      <w:divBdr>
        <w:top w:val="none" w:sz="0" w:space="0" w:color="auto"/>
        <w:left w:val="none" w:sz="0" w:space="0" w:color="auto"/>
        <w:bottom w:val="none" w:sz="0" w:space="0" w:color="auto"/>
        <w:right w:val="none" w:sz="0" w:space="0" w:color="auto"/>
      </w:divBdr>
    </w:div>
    <w:div w:id="787160807">
      <w:bodyDiv w:val="1"/>
      <w:marLeft w:val="0"/>
      <w:marRight w:val="0"/>
      <w:marTop w:val="0"/>
      <w:marBottom w:val="0"/>
      <w:divBdr>
        <w:top w:val="none" w:sz="0" w:space="0" w:color="auto"/>
        <w:left w:val="none" w:sz="0" w:space="0" w:color="auto"/>
        <w:bottom w:val="none" w:sz="0" w:space="0" w:color="auto"/>
        <w:right w:val="none" w:sz="0" w:space="0" w:color="auto"/>
      </w:divBdr>
    </w:div>
    <w:div w:id="787161885">
      <w:bodyDiv w:val="1"/>
      <w:marLeft w:val="0"/>
      <w:marRight w:val="0"/>
      <w:marTop w:val="0"/>
      <w:marBottom w:val="0"/>
      <w:divBdr>
        <w:top w:val="none" w:sz="0" w:space="0" w:color="auto"/>
        <w:left w:val="none" w:sz="0" w:space="0" w:color="auto"/>
        <w:bottom w:val="none" w:sz="0" w:space="0" w:color="auto"/>
        <w:right w:val="none" w:sz="0" w:space="0" w:color="auto"/>
      </w:divBdr>
    </w:div>
    <w:div w:id="787166730">
      <w:bodyDiv w:val="1"/>
      <w:marLeft w:val="0"/>
      <w:marRight w:val="0"/>
      <w:marTop w:val="0"/>
      <w:marBottom w:val="0"/>
      <w:divBdr>
        <w:top w:val="none" w:sz="0" w:space="0" w:color="auto"/>
        <w:left w:val="none" w:sz="0" w:space="0" w:color="auto"/>
        <w:bottom w:val="none" w:sz="0" w:space="0" w:color="auto"/>
        <w:right w:val="none" w:sz="0" w:space="0" w:color="auto"/>
      </w:divBdr>
    </w:div>
    <w:div w:id="787238051">
      <w:bodyDiv w:val="1"/>
      <w:marLeft w:val="0"/>
      <w:marRight w:val="0"/>
      <w:marTop w:val="0"/>
      <w:marBottom w:val="0"/>
      <w:divBdr>
        <w:top w:val="none" w:sz="0" w:space="0" w:color="auto"/>
        <w:left w:val="none" w:sz="0" w:space="0" w:color="auto"/>
        <w:bottom w:val="none" w:sz="0" w:space="0" w:color="auto"/>
        <w:right w:val="none" w:sz="0" w:space="0" w:color="auto"/>
      </w:divBdr>
    </w:div>
    <w:div w:id="787285257">
      <w:bodyDiv w:val="1"/>
      <w:marLeft w:val="0"/>
      <w:marRight w:val="0"/>
      <w:marTop w:val="0"/>
      <w:marBottom w:val="0"/>
      <w:divBdr>
        <w:top w:val="none" w:sz="0" w:space="0" w:color="auto"/>
        <w:left w:val="none" w:sz="0" w:space="0" w:color="auto"/>
        <w:bottom w:val="none" w:sz="0" w:space="0" w:color="auto"/>
        <w:right w:val="none" w:sz="0" w:space="0" w:color="auto"/>
      </w:divBdr>
    </w:div>
    <w:div w:id="787316357">
      <w:bodyDiv w:val="1"/>
      <w:marLeft w:val="0"/>
      <w:marRight w:val="0"/>
      <w:marTop w:val="0"/>
      <w:marBottom w:val="0"/>
      <w:divBdr>
        <w:top w:val="none" w:sz="0" w:space="0" w:color="auto"/>
        <w:left w:val="none" w:sz="0" w:space="0" w:color="auto"/>
        <w:bottom w:val="none" w:sz="0" w:space="0" w:color="auto"/>
        <w:right w:val="none" w:sz="0" w:space="0" w:color="auto"/>
      </w:divBdr>
    </w:div>
    <w:div w:id="787352581">
      <w:bodyDiv w:val="1"/>
      <w:marLeft w:val="0"/>
      <w:marRight w:val="0"/>
      <w:marTop w:val="0"/>
      <w:marBottom w:val="0"/>
      <w:divBdr>
        <w:top w:val="none" w:sz="0" w:space="0" w:color="auto"/>
        <w:left w:val="none" w:sz="0" w:space="0" w:color="auto"/>
        <w:bottom w:val="none" w:sz="0" w:space="0" w:color="auto"/>
        <w:right w:val="none" w:sz="0" w:space="0" w:color="auto"/>
      </w:divBdr>
    </w:div>
    <w:div w:id="787352584">
      <w:bodyDiv w:val="1"/>
      <w:marLeft w:val="0"/>
      <w:marRight w:val="0"/>
      <w:marTop w:val="0"/>
      <w:marBottom w:val="0"/>
      <w:divBdr>
        <w:top w:val="none" w:sz="0" w:space="0" w:color="auto"/>
        <w:left w:val="none" w:sz="0" w:space="0" w:color="auto"/>
        <w:bottom w:val="none" w:sz="0" w:space="0" w:color="auto"/>
        <w:right w:val="none" w:sz="0" w:space="0" w:color="auto"/>
      </w:divBdr>
    </w:div>
    <w:div w:id="787434853">
      <w:bodyDiv w:val="1"/>
      <w:marLeft w:val="0"/>
      <w:marRight w:val="0"/>
      <w:marTop w:val="0"/>
      <w:marBottom w:val="0"/>
      <w:divBdr>
        <w:top w:val="none" w:sz="0" w:space="0" w:color="auto"/>
        <w:left w:val="none" w:sz="0" w:space="0" w:color="auto"/>
        <w:bottom w:val="none" w:sz="0" w:space="0" w:color="auto"/>
        <w:right w:val="none" w:sz="0" w:space="0" w:color="auto"/>
      </w:divBdr>
    </w:div>
    <w:div w:id="787510837">
      <w:bodyDiv w:val="1"/>
      <w:marLeft w:val="0"/>
      <w:marRight w:val="0"/>
      <w:marTop w:val="0"/>
      <w:marBottom w:val="0"/>
      <w:divBdr>
        <w:top w:val="none" w:sz="0" w:space="0" w:color="auto"/>
        <w:left w:val="none" w:sz="0" w:space="0" w:color="auto"/>
        <w:bottom w:val="none" w:sz="0" w:space="0" w:color="auto"/>
        <w:right w:val="none" w:sz="0" w:space="0" w:color="auto"/>
      </w:divBdr>
    </w:div>
    <w:div w:id="787551147">
      <w:bodyDiv w:val="1"/>
      <w:marLeft w:val="0"/>
      <w:marRight w:val="0"/>
      <w:marTop w:val="0"/>
      <w:marBottom w:val="0"/>
      <w:divBdr>
        <w:top w:val="none" w:sz="0" w:space="0" w:color="auto"/>
        <w:left w:val="none" w:sz="0" w:space="0" w:color="auto"/>
        <w:bottom w:val="none" w:sz="0" w:space="0" w:color="auto"/>
        <w:right w:val="none" w:sz="0" w:space="0" w:color="auto"/>
      </w:divBdr>
    </w:div>
    <w:div w:id="787621405">
      <w:bodyDiv w:val="1"/>
      <w:marLeft w:val="0"/>
      <w:marRight w:val="0"/>
      <w:marTop w:val="0"/>
      <w:marBottom w:val="0"/>
      <w:divBdr>
        <w:top w:val="none" w:sz="0" w:space="0" w:color="auto"/>
        <w:left w:val="none" w:sz="0" w:space="0" w:color="auto"/>
        <w:bottom w:val="none" w:sz="0" w:space="0" w:color="auto"/>
        <w:right w:val="none" w:sz="0" w:space="0" w:color="auto"/>
      </w:divBdr>
    </w:div>
    <w:div w:id="787626412">
      <w:bodyDiv w:val="1"/>
      <w:marLeft w:val="0"/>
      <w:marRight w:val="0"/>
      <w:marTop w:val="0"/>
      <w:marBottom w:val="0"/>
      <w:divBdr>
        <w:top w:val="none" w:sz="0" w:space="0" w:color="auto"/>
        <w:left w:val="none" w:sz="0" w:space="0" w:color="auto"/>
        <w:bottom w:val="none" w:sz="0" w:space="0" w:color="auto"/>
        <w:right w:val="none" w:sz="0" w:space="0" w:color="auto"/>
      </w:divBdr>
    </w:div>
    <w:div w:id="787744097">
      <w:bodyDiv w:val="1"/>
      <w:marLeft w:val="0"/>
      <w:marRight w:val="0"/>
      <w:marTop w:val="0"/>
      <w:marBottom w:val="0"/>
      <w:divBdr>
        <w:top w:val="none" w:sz="0" w:space="0" w:color="auto"/>
        <w:left w:val="none" w:sz="0" w:space="0" w:color="auto"/>
        <w:bottom w:val="none" w:sz="0" w:space="0" w:color="auto"/>
        <w:right w:val="none" w:sz="0" w:space="0" w:color="auto"/>
      </w:divBdr>
    </w:div>
    <w:div w:id="787967167">
      <w:bodyDiv w:val="1"/>
      <w:marLeft w:val="0"/>
      <w:marRight w:val="0"/>
      <w:marTop w:val="0"/>
      <w:marBottom w:val="0"/>
      <w:divBdr>
        <w:top w:val="none" w:sz="0" w:space="0" w:color="auto"/>
        <w:left w:val="none" w:sz="0" w:space="0" w:color="auto"/>
        <w:bottom w:val="none" w:sz="0" w:space="0" w:color="auto"/>
        <w:right w:val="none" w:sz="0" w:space="0" w:color="auto"/>
      </w:divBdr>
    </w:div>
    <w:div w:id="788007504">
      <w:bodyDiv w:val="1"/>
      <w:marLeft w:val="0"/>
      <w:marRight w:val="0"/>
      <w:marTop w:val="0"/>
      <w:marBottom w:val="0"/>
      <w:divBdr>
        <w:top w:val="none" w:sz="0" w:space="0" w:color="auto"/>
        <w:left w:val="none" w:sz="0" w:space="0" w:color="auto"/>
        <w:bottom w:val="none" w:sz="0" w:space="0" w:color="auto"/>
        <w:right w:val="none" w:sz="0" w:space="0" w:color="auto"/>
      </w:divBdr>
    </w:div>
    <w:div w:id="788011659">
      <w:bodyDiv w:val="1"/>
      <w:marLeft w:val="0"/>
      <w:marRight w:val="0"/>
      <w:marTop w:val="0"/>
      <w:marBottom w:val="0"/>
      <w:divBdr>
        <w:top w:val="none" w:sz="0" w:space="0" w:color="auto"/>
        <w:left w:val="none" w:sz="0" w:space="0" w:color="auto"/>
        <w:bottom w:val="none" w:sz="0" w:space="0" w:color="auto"/>
        <w:right w:val="none" w:sz="0" w:space="0" w:color="auto"/>
      </w:divBdr>
    </w:div>
    <w:div w:id="788084534">
      <w:bodyDiv w:val="1"/>
      <w:marLeft w:val="0"/>
      <w:marRight w:val="0"/>
      <w:marTop w:val="0"/>
      <w:marBottom w:val="0"/>
      <w:divBdr>
        <w:top w:val="none" w:sz="0" w:space="0" w:color="auto"/>
        <w:left w:val="none" w:sz="0" w:space="0" w:color="auto"/>
        <w:bottom w:val="none" w:sz="0" w:space="0" w:color="auto"/>
        <w:right w:val="none" w:sz="0" w:space="0" w:color="auto"/>
      </w:divBdr>
    </w:div>
    <w:div w:id="788089716">
      <w:bodyDiv w:val="1"/>
      <w:marLeft w:val="0"/>
      <w:marRight w:val="0"/>
      <w:marTop w:val="0"/>
      <w:marBottom w:val="0"/>
      <w:divBdr>
        <w:top w:val="none" w:sz="0" w:space="0" w:color="auto"/>
        <w:left w:val="none" w:sz="0" w:space="0" w:color="auto"/>
        <w:bottom w:val="none" w:sz="0" w:space="0" w:color="auto"/>
        <w:right w:val="none" w:sz="0" w:space="0" w:color="auto"/>
      </w:divBdr>
    </w:div>
    <w:div w:id="788164414">
      <w:bodyDiv w:val="1"/>
      <w:marLeft w:val="0"/>
      <w:marRight w:val="0"/>
      <w:marTop w:val="0"/>
      <w:marBottom w:val="0"/>
      <w:divBdr>
        <w:top w:val="none" w:sz="0" w:space="0" w:color="auto"/>
        <w:left w:val="none" w:sz="0" w:space="0" w:color="auto"/>
        <w:bottom w:val="none" w:sz="0" w:space="0" w:color="auto"/>
        <w:right w:val="none" w:sz="0" w:space="0" w:color="auto"/>
      </w:divBdr>
    </w:div>
    <w:div w:id="788233714">
      <w:bodyDiv w:val="1"/>
      <w:marLeft w:val="0"/>
      <w:marRight w:val="0"/>
      <w:marTop w:val="0"/>
      <w:marBottom w:val="0"/>
      <w:divBdr>
        <w:top w:val="none" w:sz="0" w:space="0" w:color="auto"/>
        <w:left w:val="none" w:sz="0" w:space="0" w:color="auto"/>
        <w:bottom w:val="none" w:sz="0" w:space="0" w:color="auto"/>
        <w:right w:val="none" w:sz="0" w:space="0" w:color="auto"/>
      </w:divBdr>
    </w:div>
    <w:div w:id="788283947">
      <w:bodyDiv w:val="1"/>
      <w:marLeft w:val="0"/>
      <w:marRight w:val="0"/>
      <w:marTop w:val="0"/>
      <w:marBottom w:val="0"/>
      <w:divBdr>
        <w:top w:val="none" w:sz="0" w:space="0" w:color="auto"/>
        <w:left w:val="none" w:sz="0" w:space="0" w:color="auto"/>
        <w:bottom w:val="none" w:sz="0" w:space="0" w:color="auto"/>
        <w:right w:val="none" w:sz="0" w:space="0" w:color="auto"/>
      </w:divBdr>
    </w:div>
    <w:div w:id="788351743">
      <w:bodyDiv w:val="1"/>
      <w:marLeft w:val="0"/>
      <w:marRight w:val="0"/>
      <w:marTop w:val="0"/>
      <w:marBottom w:val="0"/>
      <w:divBdr>
        <w:top w:val="none" w:sz="0" w:space="0" w:color="auto"/>
        <w:left w:val="none" w:sz="0" w:space="0" w:color="auto"/>
        <w:bottom w:val="none" w:sz="0" w:space="0" w:color="auto"/>
        <w:right w:val="none" w:sz="0" w:space="0" w:color="auto"/>
      </w:divBdr>
    </w:div>
    <w:div w:id="788427183">
      <w:bodyDiv w:val="1"/>
      <w:marLeft w:val="0"/>
      <w:marRight w:val="0"/>
      <w:marTop w:val="0"/>
      <w:marBottom w:val="0"/>
      <w:divBdr>
        <w:top w:val="none" w:sz="0" w:space="0" w:color="auto"/>
        <w:left w:val="none" w:sz="0" w:space="0" w:color="auto"/>
        <w:bottom w:val="none" w:sz="0" w:space="0" w:color="auto"/>
        <w:right w:val="none" w:sz="0" w:space="0" w:color="auto"/>
      </w:divBdr>
    </w:div>
    <w:div w:id="788428827">
      <w:bodyDiv w:val="1"/>
      <w:marLeft w:val="0"/>
      <w:marRight w:val="0"/>
      <w:marTop w:val="0"/>
      <w:marBottom w:val="0"/>
      <w:divBdr>
        <w:top w:val="none" w:sz="0" w:space="0" w:color="auto"/>
        <w:left w:val="none" w:sz="0" w:space="0" w:color="auto"/>
        <w:bottom w:val="none" w:sz="0" w:space="0" w:color="auto"/>
        <w:right w:val="none" w:sz="0" w:space="0" w:color="auto"/>
      </w:divBdr>
    </w:div>
    <w:div w:id="788552181">
      <w:bodyDiv w:val="1"/>
      <w:marLeft w:val="0"/>
      <w:marRight w:val="0"/>
      <w:marTop w:val="0"/>
      <w:marBottom w:val="0"/>
      <w:divBdr>
        <w:top w:val="none" w:sz="0" w:space="0" w:color="auto"/>
        <w:left w:val="none" w:sz="0" w:space="0" w:color="auto"/>
        <w:bottom w:val="none" w:sz="0" w:space="0" w:color="auto"/>
        <w:right w:val="none" w:sz="0" w:space="0" w:color="auto"/>
      </w:divBdr>
    </w:div>
    <w:div w:id="788595249">
      <w:bodyDiv w:val="1"/>
      <w:marLeft w:val="0"/>
      <w:marRight w:val="0"/>
      <w:marTop w:val="0"/>
      <w:marBottom w:val="0"/>
      <w:divBdr>
        <w:top w:val="none" w:sz="0" w:space="0" w:color="auto"/>
        <w:left w:val="none" w:sz="0" w:space="0" w:color="auto"/>
        <w:bottom w:val="none" w:sz="0" w:space="0" w:color="auto"/>
        <w:right w:val="none" w:sz="0" w:space="0" w:color="auto"/>
      </w:divBdr>
    </w:div>
    <w:div w:id="788737889">
      <w:bodyDiv w:val="1"/>
      <w:marLeft w:val="0"/>
      <w:marRight w:val="0"/>
      <w:marTop w:val="0"/>
      <w:marBottom w:val="0"/>
      <w:divBdr>
        <w:top w:val="none" w:sz="0" w:space="0" w:color="auto"/>
        <w:left w:val="none" w:sz="0" w:space="0" w:color="auto"/>
        <w:bottom w:val="none" w:sz="0" w:space="0" w:color="auto"/>
        <w:right w:val="none" w:sz="0" w:space="0" w:color="auto"/>
      </w:divBdr>
    </w:div>
    <w:div w:id="788815371">
      <w:bodyDiv w:val="1"/>
      <w:marLeft w:val="0"/>
      <w:marRight w:val="0"/>
      <w:marTop w:val="0"/>
      <w:marBottom w:val="0"/>
      <w:divBdr>
        <w:top w:val="none" w:sz="0" w:space="0" w:color="auto"/>
        <w:left w:val="none" w:sz="0" w:space="0" w:color="auto"/>
        <w:bottom w:val="none" w:sz="0" w:space="0" w:color="auto"/>
        <w:right w:val="none" w:sz="0" w:space="0" w:color="auto"/>
      </w:divBdr>
    </w:div>
    <w:div w:id="788818808">
      <w:bodyDiv w:val="1"/>
      <w:marLeft w:val="0"/>
      <w:marRight w:val="0"/>
      <w:marTop w:val="0"/>
      <w:marBottom w:val="0"/>
      <w:divBdr>
        <w:top w:val="none" w:sz="0" w:space="0" w:color="auto"/>
        <w:left w:val="none" w:sz="0" w:space="0" w:color="auto"/>
        <w:bottom w:val="none" w:sz="0" w:space="0" w:color="auto"/>
        <w:right w:val="none" w:sz="0" w:space="0" w:color="auto"/>
      </w:divBdr>
    </w:div>
    <w:div w:id="788933111">
      <w:bodyDiv w:val="1"/>
      <w:marLeft w:val="0"/>
      <w:marRight w:val="0"/>
      <w:marTop w:val="0"/>
      <w:marBottom w:val="0"/>
      <w:divBdr>
        <w:top w:val="none" w:sz="0" w:space="0" w:color="auto"/>
        <w:left w:val="none" w:sz="0" w:space="0" w:color="auto"/>
        <w:bottom w:val="none" w:sz="0" w:space="0" w:color="auto"/>
        <w:right w:val="none" w:sz="0" w:space="0" w:color="auto"/>
      </w:divBdr>
    </w:div>
    <w:div w:id="788935055">
      <w:bodyDiv w:val="1"/>
      <w:marLeft w:val="0"/>
      <w:marRight w:val="0"/>
      <w:marTop w:val="0"/>
      <w:marBottom w:val="0"/>
      <w:divBdr>
        <w:top w:val="none" w:sz="0" w:space="0" w:color="auto"/>
        <w:left w:val="none" w:sz="0" w:space="0" w:color="auto"/>
        <w:bottom w:val="none" w:sz="0" w:space="0" w:color="auto"/>
        <w:right w:val="none" w:sz="0" w:space="0" w:color="auto"/>
      </w:divBdr>
    </w:div>
    <w:div w:id="789007776">
      <w:bodyDiv w:val="1"/>
      <w:marLeft w:val="0"/>
      <w:marRight w:val="0"/>
      <w:marTop w:val="0"/>
      <w:marBottom w:val="0"/>
      <w:divBdr>
        <w:top w:val="none" w:sz="0" w:space="0" w:color="auto"/>
        <w:left w:val="none" w:sz="0" w:space="0" w:color="auto"/>
        <w:bottom w:val="none" w:sz="0" w:space="0" w:color="auto"/>
        <w:right w:val="none" w:sz="0" w:space="0" w:color="auto"/>
      </w:divBdr>
    </w:div>
    <w:div w:id="789009474">
      <w:bodyDiv w:val="1"/>
      <w:marLeft w:val="0"/>
      <w:marRight w:val="0"/>
      <w:marTop w:val="0"/>
      <w:marBottom w:val="0"/>
      <w:divBdr>
        <w:top w:val="none" w:sz="0" w:space="0" w:color="auto"/>
        <w:left w:val="none" w:sz="0" w:space="0" w:color="auto"/>
        <w:bottom w:val="none" w:sz="0" w:space="0" w:color="auto"/>
        <w:right w:val="none" w:sz="0" w:space="0" w:color="auto"/>
      </w:divBdr>
    </w:div>
    <w:div w:id="789010711">
      <w:bodyDiv w:val="1"/>
      <w:marLeft w:val="0"/>
      <w:marRight w:val="0"/>
      <w:marTop w:val="0"/>
      <w:marBottom w:val="0"/>
      <w:divBdr>
        <w:top w:val="none" w:sz="0" w:space="0" w:color="auto"/>
        <w:left w:val="none" w:sz="0" w:space="0" w:color="auto"/>
        <w:bottom w:val="none" w:sz="0" w:space="0" w:color="auto"/>
        <w:right w:val="none" w:sz="0" w:space="0" w:color="auto"/>
      </w:divBdr>
    </w:div>
    <w:div w:id="789082508">
      <w:bodyDiv w:val="1"/>
      <w:marLeft w:val="0"/>
      <w:marRight w:val="0"/>
      <w:marTop w:val="0"/>
      <w:marBottom w:val="0"/>
      <w:divBdr>
        <w:top w:val="none" w:sz="0" w:space="0" w:color="auto"/>
        <w:left w:val="none" w:sz="0" w:space="0" w:color="auto"/>
        <w:bottom w:val="none" w:sz="0" w:space="0" w:color="auto"/>
        <w:right w:val="none" w:sz="0" w:space="0" w:color="auto"/>
      </w:divBdr>
    </w:div>
    <w:div w:id="789082611">
      <w:bodyDiv w:val="1"/>
      <w:marLeft w:val="0"/>
      <w:marRight w:val="0"/>
      <w:marTop w:val="0"/>
      <w:marBottom w:val="0"/>
      <w:divBdr>
        <w:top w:val="none" w:sz="0" w:space="0" w:color="auto"/>
        <w:left w:val="none" w:sz="0" w:space="0" w:color="auto"/>
        <w:bottom w:val="none" w:sz="0" w:space="0" w:color="auto"/>
        <w:right w:val="none" w:sz="0" w:space="0" w:color="auto"/>
      </w:divBdr>
    </w:div>
    <w:div w:id="789131407">
      <w:bodyDiv w:val="1"/>
      <w:marLeft w:val="0"/>
      <w:marRight w:val="0"/>
      <w:marTop w:val="0"/>
      <w:marBottom w:val="0"/>
      <w:divBdr>
        <w:top w:val="none" w:sz="0" w:space="0" w:color="auto"/>
        <w:left w:val="none" w:sz="0" w:space="0" w:color="auto"/>
        <w:bottom w:val="none" w:sz="0" w:space="0" w:color="auto"/>
        <w:right w:val="none" w:sz="0" w:space="0" w:color="auto"/>
      </w:divBdr>
    </w:div>
    <w:div w:id="789203765">
      <w:bodyDiv w:val="1"/>
      <w:marLeft w:val="0"/>
      <w:marRight w:val="0"/>
      <w:marTop w:val="0"/>
      <w:marBottom w:val="0"/>
      <w:divBdr>
        <w:top w:val="none" w:sz="0" w:space="0" w:color="auto"/>
        <w:left w:val="none" w:sz="0" w:space="0" w:color="auto"/>
        <w:bottom w:val="none" w:sz="0" w:space="0" w:color="auto"/>
        <w:right w:val="none" w:sz="0" w:space="0" w:color="auto"/>
      </w:divBdr>
    </w:div>
    <w:div w:id="789208831">
      <w:bodyDiv w:val="1"/>
      <w:marLeft w:val="0"/>
      <w:marRight w:val="0"/>
      <w:marTop w:val="0"/>
      <w:marBottom w:val="0"/>
      <w:divBdr>
        <w:top w:val="none" w:sz="0" w:space="0" w:color="auto"/>
        <w:left w:val="none" w:sz="0" w:space="0" w:color="auto"/>
        <w:bottom w:val="none" w:sz="0" w:space="0" w:color="auto"/>
        <w:right w:val="none" w:sz="0" w:space="0" w:color="auto"/>
      </w:divBdr>
    </w:div>
    <w:div w:id="789279686">
      <w:bodyDiv w:val="1"/>
      <w:marLeft w:val="0"/>
      <w:marRight w:val="0"/>
      <w:marTop w:val="0"/>
      <w:marBottom w:val="0"/>
      <w:divBdr>
        <w:top w:val="none" w:sz="0" w:space="0" w:color="auto"/>
        <w:left w:val="none" w:sz="0" w:space="0" w:color="auto"/>
        <w:bottom w:val="none" w:sz="0" w:space="0" w:color="auto"/>
        <w:right w:val="none" w:sz="0" w:space="0" w:color="auto"/>
      </w:divBdr>
    </w:div>
    <w:div w:id="789280665">
      <w:bodyDiv w:val="1"/>
      <w:marLeft w:val="0"/>
      <w:marRight w:val="0"/>
      <w:marTop w:val="0"/>
      <w:marBottom w:val="0"/>
      <w:divBdr>
        <w:top w:val="none" w:sz="0" w:space="0" w:color="auto"/>
        <w:left w:val="none" w:sz="0" w:space="0" w:color="auto"/>
        <w:bottom w:val="none" w:sz="0" w:space="0" w:color="auto"/>
        <w:right w:val="none" w:sz="0" w:space="0" w:color="auto"/>
      </w:divBdr>
    </w:div>
    <w:div w:id="789320075">
      <w:bodyDiv w:val="1"/>
      <w:marLeft w:val="0"/>
      <w:marRight w:val="0"/>
      <w:marTop w:val="0"/>
      <w:marBottom w:val="0"/>
      <w:divBdr>
        <w:top w:val="none" w:sz="0" w:space="0" w:color="auto"/>
        <w:left w:val="none" w:sz="0" w:space="0" w:color="auto"/>
        <w:bottom w:val="none" w:sz="0" w:space="0" w:color="auto"/>
        <w:right w:val="none" w:sz="0" w:space="0" w:color="auto"/>
      </w:divBdr>
    </w:div>
    <w:div w:id="789520778">
      <w:bodyDiv w:val="1"/>
      <w:marLeft w:val="0"/>
      <w:marRight w:val="0"/>
      <w:marTop w:val="0"/>
      <w:marBottom w:val="0"/>
      <w:divBdr>
        <w:top w:val="none" w:sz="0" w:space="0" w:color="auto"/>
        <w:left w:val="none" w:sz="0" w:space="0" w:color="auto"/>
        <w:bottom w:val="none" w:sz="0" w:space="0" w:color="auto"/>
        <w:right w:val="none" w:sz="0" w:space="0" w:color="auto"/>
      </w:divBdr>
    </w:div>
    <w:div w:id="789520809">
      <w:bodyDiv w:val="1"/>
      <w:marLeft w:val="0"/>
      <w:marRight w:val="0"/>
      <w:marTop w:val="0"/>
      <w:marBottom w:val="0"/>
      <w:divBdr>
        <w:top w:val="none" w:sz="0" w:space="0" w:color="auto"/>
        <w:left w:val="none" w:sz="0" w:space="0" w:color="auto"/>
        <w:bottom w:val="none" w:sz="0" w:space="0" w:color="auto"/>
        <w:right w:val="none" w:sz="0" w:space="0" w:color="auto"/>
      </w:divBdr>
    </w:div>
    <w:div w:id="789594013">
      <w:bodyDiv w:val="1"/>
      <w:marLeft w:val="0"/>
      <w:marRight w:val="0"/>
      <w:marTop w:val="0"/>
      <w:marBottom w:val="0"/>
      <w:divBdr>
        <w:top w:val="none" w:sz="0" w:space="0" w:color="auto"/>
        <w:left w:val="none" w:sz="0" w:space="0" w:color="auto"/>
        <w:bottom w:val="none" w:sz="0" w:space="0" w:color="auto"/>
        <w:right w:val="none" w:sz="0" w:space="0" w:color="auto"/>
      </w:divBdr>
    </w:div>
    <w:div w:id="789596004">
      <w:bodyDiv w:val="1"/>
      <w:marLeft w:val="0"/>
      <w:marRight w:val="0"/>
      <w:marTop w:val="0"/>
      <w:marBottom w:val="0"/>
      <w:divBdr>
        <w:top w:val="none" w:sz="0" w:space="0" w:color="auto"/>
        <w:left w:val="none" w:sz="0" w:space="0" w:color="auto"/>
        <w:bottom w:val="none" w:sz="0" w:space="0" w:color="auto"/>
        <w:right w:val="none" w:sz="0" w:space="0" w:color="auto"/>
      </w:divBdr>
    </w:div>
    <w:div w:id="789667243">
      <w:bodyDiv w:val="1"/>
      <w:marLeft w:val="0"/>
      <w:marRight w:val="0"/>
      <w:marTop w:val="0"/>
      <w:marBottom w:val="0"/>
      <w:divBdr>
        <w:top w:val="none" w:sz="0" w:space="0" w:color="auto"/>
        <w:left w:val="none" w:sz="0" w:space="0" w:color="auto"/>
        <w:bottom w:val="none" w:sz="0" w:space="0" w:color="auto"/>
        <w:right w:val="none" w:sz="0" w:space="0" w:color="auto"/>
      </w:divBdr>
    </w:div>
    <w:div w:id="789671021">
      <w:bodyDiv w:val="1"/>
      <w:marLeft w:val="0"/>
      <w:marRight w:val="0"/>
      <w:marTop w:val="0"/>
      <w:marBottom w:val="0"/>
      <w:divBdr>
        <w:top w:val="none" w:sz="0" w:space="0" w:color="auto"/>
        <w:left w:val="none" w:sz="0" w:space="0" w:color="auto"/>
        <w:bottom w:val="none" w:sz="0" w:space="0" w:color="auto"/>
        <w:right w:val="none" w:sz="0" w:space="0" w:color="auto"/>
      </w:divBdr>
    </w:div>
    <w:div w:id="789781541">
      <w:bodyDiv w:val="1"/>
      <w:marLeft w:val="0"/>
      <w:marRight w:val="0"/>
      <w:marTop w:val="0"/>
      <w:marBottom w:val="0"/>
      <w:divBdr>
        <w:top w:val="none" w:sz="0" w:space="0" w:color="auto"/>
        <w:left w:val="none" w:sz="0" w:space="0" w:color="auto"/>
        <w:bottom w:val="none" w:sz="0" w:space="0" w:color="auto"/>
        <w:right w:val="none" w:sz="0" w:space="0" w:color="auto"/>
      </w:divBdr>
    </w:div>
    <w:div w:id="789786943">
      <w:bodyDiv w:val="1"/>
      <w:marLeft w:val="0"/>
      <w:marRight w:val="0"/>
      <w:marTop w:val="0"/>
      <w:marBottom w:val="0"/>
      <w:divBdr>
        <w:top w:val="none" w:sz="0" w:space="0" w:color="auto"/>
        <w:left w:val="none" w:sz="0" w:space="0" w:color="auto"/>
        <w:bottom w:val="none" w:sz="0" w:space="0" w:color="auto"/>
        <w:right w:val="none" w:sz="0" w:space="0" w:color="auto"/>
      </w:divBdr>
    </w:div>
    <w:div w:id="789934588">
      <w:bodyDiv w:val="1"/>
      <w:marLeft w:val="0"/>
      <w:marRight w:val="0"/>
      <w:marTop w:val="0"/>
      <w:marBottom w:val="0"/>
      <w:divBdr>
        <w:top w:val="none" w:sz="0" w:space="0" w:color="auto"/>
        <w:left w:val="none" w:sz="0" w:space="0" w:color="auto"/>
        <w:bottom w:val="none" w:sz="0" w:space="0" w:color="auto"/>
        <w:right w:val="none" w:sz="0" w:space="0" w:color="auto"/>
      </w:divBdr>
    </w:div>
    <w:div w:id="789977810">
      <w:bodyDiv w:val="1"/>
      <w:marLeft w:val="0"/>
      <w:marRight w:val="0"/>
      <w:marTop w:val="0"/>
      <w:marBottom w:val="0"/>
      <w:divBdr>
        <w:top w:val="none" w:sz="0" w:space="0" w:color="auto"/>
        <w:left w:val="none" w:sz="0" w:space="0" w:color="auto"/>
        <w:bottom w:val="none" w:sz="0" w:space="0" w:color="auto"/>
        <w:right w:val="none" w:sz="0" w:space="0" w:color="auto"/>
      </w:divBdr>
    </w:div>
    <w:div w:id="790130640">
      <w:bodyDiv w:val="1"/>
      <w:marLeft w:val="0"/>
      <w:marRight w:val="0"/>
      <w:marTop w:val="0"/>
      <w:marBottom w:val="0"/>
      <w:divBdr>
        <w:top w:val="none" w:sz="0" w:space="0" w:color="auto"/>
        <w:left w:val="none" w:sz="0" w:space="0" w:color="auto"/>
        <w:bottom w:val="none" w:sz="0" w:space="0" w:color="auto"/>
        <w:right w:val="none" w:sz="0" w:space="0" w:color="auto"/>
      </w:divBdr>
    </w:div>
    <w:div w:id="790131791">
      <w:bodyDiv w:val="1"/>
      <w:marLeft w:val="0"/>
      <w:marRight w:val="0"/>
      <w:marTop w:val="0"/>
      <w:marBottom w:val="0"/>
      <w:divBdr>
        <w:top w:val="none" w:sz="0" w:space="0" w:color="auto"/>
        <w:left w:val="none" w:sz="0" w:space="0" w:color="auto"/>
        <w:bottom w:val="none" w:sz="0" w:space="0" w:color="auto"/>
        <w:right w:val="none" w:sz="0" w:space="0" w:color="auto"/>
      </w:divBdr>
    </w:div>
    <w:div w:id="790131814">
      <w:bodyDiv w:val="1"/>
      <w:marLeft w:val="0"/>
      <w:marRight w:val="0"/>
      <w:marTop w:val="0"/>
      <w:marBottom w:val="0"/>
      <w:divBdr>
        <w:top w:val="none" w:sz="0" w:space="0" w:color="auto"/>
        <w:left w:val="none" w:sz="0" w:space="0" w:color="auto"/>
        <w:bottom w:val="none" w:sz="0" w:space="0" w:color="auto"/>
        <w:right w:val="none" w:sz="0" w:space="0" w:color="auto"/>
      </w:divBdr>
    </w:div>
    <w:div w:id="790168434">
      <w:bodyDiv w:val="1"/>
      <w:marLeft w:val="0"/>
      <w:marRight w:val="0"/>
      <w:marTop w:val="0"/>
      <w:marBottom w:val="0"/>
      <w:divBdr>
        <w:top w:val="none" w:sz="0" w:space="0" w:color="auto"/>
        <w:left w:val="none" w:sz="0" w:space="0" w:color="auto"/>
        <w:bottom w:val="none" w:sz="0" w:space="0" w:color="auto"/>
        <w:right w:val="none" w:sz="0" w:space="0" w:color="auto"/>
      </w:divBdr>
    </w:div>
    <w:div w:id="790323948">
      <w:bodyDiv w:val="1"/>
      <w:marLeft w:val="0"/>
      <w:marRight w:val="0"/>
      <w:marTop w:val="0"/>
      <w:marBottom w:val="0"/>
      <w:divBdr>
        <w:top w:val="none" w:sz="0" w:space="0" w:color="auto"/>
        <w:left w:val="none" w:sz="0" w:space="0" w:color="auto"/>
        <w:bottom w:val="none" w:sz="0" w:space="0" w:color="auto"/>
        <w:right w:val="none" w:sz="0" w:space="0" w:color="auto"/>
      </w:divBdr>
    </w:div>
    <w:div w:id="790325774">
      <w:bodyDiv w:val="1"/>
      <w:marLeft w:val="0"/>
      <w:marRight w:val="0"/>
      <w:marTop w:val="0"/>
      <w:marBottom w:val="0"/>
      <w:divBdr>
        <w:top w:val="none" w:sz="0" w:space="0" w:color="auto"/>
        <w:left w:val="none" w:sz="0" w:space="0" w:color="auto"/>
        <w:bottom w:val="none" w:sz="0" w:space="0" w:color="auto"/>
        <w:right w:val="none" w:sz="0" w:space="0" w:color="auto"/>
      </w:divBdr>
    </w:div>
    <w:div w:id="790903744">
      <w:bodyDiv w:val="1"/>
      <w:marLeft w:val="0"/>
      <w:marRight w:val="0"/>
      <w:marTop w:val="0"/>
      <w:marBottom w:val="0"/>
      <w:divBdr>
        <w:top w:val="none" w:sz="0" w:space="0" w:color="auto"/>
        <w:left w:val="none" w:sz="0" w:space="0" w:color="auto"/>
        <w:bottom w:val="none" w:sz="0" w:space="0" w:color="auto"/>
        <w:right w:val="none" w:sz="0" w:space="0" w:color="auto"/>
      </w:divBdr>
    </w:div>
    <w:div w:id="790973984">
      <w:bodyDiv w:val="1"/>
      <w:marLeft w:val="0"/>
      <w:marRight w:val="0"/>
      <w:marTop w:val="0"/>
      <w:marBottom w:val="0"/>
      <w:divBdr>
        <w:top w:val="none" w:sz="0" w:space="0" w:color="auto"/>
        <w:left w:val="none" w:sz="0" w:space="0" w:color="auto"/>
        <w:bottom w:val="none" w:sz="0" w:space="0" w:color="auto"/>
        <w:right w:val="none" w:sz="0" w:space="0" w:color="auto"/>
      </w:divBdr>
    </w:div>
    <w:div w:id="791050998">
      <w:bodyDiv w:val="1"/>
      <w:marLeft w:val="0"/>
      <w:marRight w:val="0"/>
      <w:marTop w:val="0"/>
      <w:marBottom w:val="0"/>
      <w:divBdr>
        <w:top w:val="none" w:sz="0" w:space="0" w:color="auto"/>
        <w:left w:val="none" w:sz="0" w:space="0" w:color="auto"/>
        <w:bottom w:val="none" w:sz="0" w:space="0" w:color="auto"/>
        <w:right w:val="none" w:sz="0" w:space="0" w:color="auto"/>
      </w:divBdr>
    </w:div>
    <w:div w:id="791091263">
      <w:bodyDiv w:val="1"/>
      <w:marLeft w:val="0"/>
      <w:marRight w:val="0"/>
      <w:marTop w:val="0"/>
      <w:marBottom w:val="0"/>
      <w:divBdr>
        <w:top w:val="none" w:sz="0" w:space="0" w:color="auto"/>
        <w:left w:val="none" w:sz="0" w:space="0" w:color="auto"/>
        <w:bottom w:val="none" w:sz="0" w:space="0" w:color="auto"/>
        <w:right w:val="none" w:sz="0" w:space="0" w:color="auto"/>
      </w:divBdr>
    </w:div>
    <w:div w:id="791094887">
      <w:bodyDiv w:val="1"/>
      <w:marLeft w:val="0"/>
      <w:marRight w:val="0"/>
      <w:marTop w:val="0"/>
      <w:marBottom w:val="0"/>
      <w:divBdr>
        <w:top w:val="none" w:sz="0" w:space="0" w:color="auto"/>
        <w:left w:val="none" w:sz="0" w:space="0" w:color="auto"/>
        <w:bottom w:val="none" w:sz="0" w:space="0" w:color="auto"/>
        <w:right w:val="none" w:sz="0" w:space="0" w:color="auto"/>
      </w:divBdr>
    </w:div>
    <w:div w:id="791174873">
      <w:bodyDiv w:val="1"/>
      <w:marLeft w:val="0"/>
      <w:marRight w:val="0"/>
      <w:marTop w:val="0"/>
      <w:marBottom w:val="0"/>
      <w:divBdr>
        <w:top w:val="none" w:sz="0" w:space="0" w:color="auto"/>
        <w:left w:val="none" w:sz="0" w:space="0" w:color="auto"/>
        <w:bottom w:val="none" w:sz="0" w:space="0" w:color="auto"/>
        <w:right w:val="none" w:sz="0" w:space="0" w:color="auto"/>
      </w:divBdr>
    </w:div>
    <w:div w:id="791286969">
      <w:bodyDiv w:val="1"/>
      <w:marLeft w:val="0"/>
      <w:marRight w:val="0"/>
      <w:marTop w:val="0"/>
      <w:marBottom w:val="0"/>
      <w:divBdr>
        <w:top w:val="none" w:sz="0" w:space="0" w:color="auto"/>
        <w:left w:val="none" w:sz="0" w:space="0" w:color="auto"/>
        <w:bottom w:val="none" w:sz="0" w:space="0" w:color="auto"/>
        <w:right w:val="none" w:sz="0" w:space="0" w:color="auto"/>
      </w:divBdr>
    </w:div>
    <w:div w:id="791287190">
      <w:bodyDiv w:val="1"/>
      <w:marLeft w:val="0"/>
      <w:marRight w:val="0"/>
      <w:marTop w:val="0"/>
      <w:marBottom w:val="0"/>
      <w:divBdr>
        <w:top w:val="none" w:sz="0" w:space="0" w:color="auto"/>
        <w:left w:val="none" w:sz="0" w:space="0" w:color="auto"/>
        <w:bottom w:val="none" w:sz="0" w:space="0" w:color="auto"/>
        <w:right w:val="none" w:sz="0" w:space="0" w:color="auto"/>
      </w:divBdr>
    </w:div>
    <w:div w:id="791363464">
      <w:bodyDiv w:val="1"/>
      <w:marLeft w:val="0"/>
      <w:marRight w:val="0"/>
      <w:marTop w:val="0"/>
      <w:marBottom w:val="0"/>
      <w:divBdr>
        <w:top w:val="none" w:sz="0" w:space="0" w:color="auto"/>
        <w:left w:val="none" w:sz="0" w:space="0" w:color="auto"/>
        <w:bottom w:val="none" w:sz="0" w:space="0" w:color="auto"/>
        <w:right w:val="none" w:sz="0" w:space="0" w:color="auto"/>
      </w:divBdr>
    </w:div>
    <w:div w:id="791366018">
      <w:bodyDiv w:val="1"/>
      <w:marLeft w:val="0"/>
      <w:marRight w:val="0"/>
      <w:marTop w:val="0"/>
      <w:marBottom w:val="0"/>
      <w:divBdr>
        <w:top w:val="none" w:sz="0" w:space="0" w:color="auto"/>
        <w:left w:val="none" w:sz="0" w:space="0" w:color="auto"/>
        <w:bottom w:val="none" w:sz="0" w:space="0" w:color="auto"/>
        <w:right w:val="none" w:sz="0" w:space="0" w:color="auto"/>
      </w:divBdr>
    </w:div>
    <w:div w:id="791437317">
      <w:bodyDiv w:val="1"/>
      <w:marLeft w:val="0"/>
      <w:marRight w:val="0"/>
      <w:marTop w:val="0"/>
      <w:marBottom w:val="0"/>
      <w:divBdr>
        <w:top w:val="none" w:sz="0" w:space="0" w:color="auto"/>
        <w:left w:val="none" w:sz="0" w:space="0" w:color="auto"/>
        <w:bottom w:val="none" w:sz="0" w:space="0" w:color="auto"/>
        <w:right w:val="none" w:sz="0" w:space="0" w:color="auto"/>
      </w:divBdr>
    </w:div>
    <w:div w:id="791443780">
      <w:bodyDiv w:val="1"/>
      <w:marLeft w:val="0"/>
      <w:marRight w:val="0"/>
      <w:marTop w:val="0"/>
      <w:marBottom w:val="0"/>
      <w:divBdr>
        <w:top w:val="none" w:sz="0" w:space="0" w:color="auto"/>
        <w:left w:val="none" w:sz="0" w:space="0" w:color="auto"/>
        <w:bottom w:val="none" w:sz="0" w:space="0" w:color="auto"/>
        <w:right w:val="none" w:sz="0" w:space="0" w:color="auto"/>
      </w:divBdr>
    </w:div>
    <w:div w:id="791553271">
      <w:bodyDiv w:val="1"/>
      <w:marLeft w:val="0"/>
      <w:marRight w:val="0"/>
      <w:marTop w:val="0"/>
      <w:marBottom w:val="0"/>
      <w:divBdr>
        <w:top w:val="none" w:sz="0" w:space="0" w:color="auto"/>
        <w:left w:val="none" w:sz="0" w:space="0" w:color="auto"/>
        <w:bottom w:val="none" w:sz="0" w:space="0" w:color="auto"/>
        <w:right w:val="none" w:sz="0" w:space="0" w:color="auto"/>
      </w:divBdr>
    </w:div>
    <w:div w:id="791707454">
      <w:bodyDiv w:val="1"/>
      <w:marLeft w:val="0"/>
      <w:marRight w:val="0"/>
      <w:marTop w:val="0"/>
      <w:marBottom w:val="0"/>
      <w:divBdr>
        <w:top w:val="none" w:sz="0" w:space="0" w:color="auto"/>
        <w:left w:val="none" w:sz="0" w:space="0" w:color="auto"/>
        <w:bottom w:val="none" w:sz="0" w:space="0" w:color="auto"/>
        <w:right w:val="none" w:sz="0" w:space="0" w:color="auto"/>
      </w:divBdr>
    </w:div>
    <w:div w:id="791749691">
      <w:bodyDiv w:val="1"/>
      <w:marLeft w:val="0"/>
      <w:marRight w:val="0"/>
      <w:marTop w:val="0"/>
      <w:marBottom w:val="0"/>
      <w:divBdr>
        <w:top w:val="none" w:sz="0" w:space="0" w:color="auto"/>
        <w:left w:val="none" w:sz="0" w:space="0" w:color="auto"/>
        <w:bottom w:val="none" w:sz="0" w:space="0" w:color="auto"/>
        <w:right w:val="none" w:sz="0" w:space="0" w:color="auto"/>
      </w:divBdr>
    </w:div>
    <w:div w:id="791751628">
      <w:bodyDiv w:val="1"/>
      <w:marLeft w:val="0"/>
      <w:marRight w:val="0"/>
      <w:marTop w:val="0"/>
      <w:marBottom w:val="0"/>
      <w:divBdr>
        <w:top w:val="none" w:sz="0" w:space="0" w:color="auto"/>
        <w:left w:val="none" w:sz="0" w:space="0" w:color="auto"/>
        <w:bottom w:val="none" w:sz="0" w:space="0" w:color="auto"/>
        <w:right w:val="none" w:sz="0" w:space="0" w:color="auto"/>
      </w:divBdr>
    </w:div>
    <w:div w:id="791822343">
      <w:bodyDiv w:val="1"/>
      <w:marLeft w:val="0"/>
      <w:marRight w:val="0"/>
      <w:marTop w:val="0"/>
      <w:marBottom w:val="0"/>
      <w:divBdr>
        <w:top w:val="none" w:sz="0" w:space="0" w:color="auto"/>
        <w:left w:val="none" w:sz="0" w:space="0" w:color="auto"/>
        <w:bottom w:val="none" w:sz="0" w:space="0" w:color="auto"/>
        <w:right w:val="none" w:sz="0" w:space="0" w:color="auto"/>
      </w:divBdr>
    </w:div>
    <w:div w:id="791900753">
      <w:bodyDiv w:val="1"/>
      <w:marLeft w:val="0"/>
      <w:marRight w:val="0"/>
      <w:marTop w:val="0"/>
      <w:marBottom w:val="0"/>
      <w:divBdr>
        <w:top w:val="none" w:sz="0" w:space="0" w:color="auto"/>
        <w:left w:val="none" w:sz="0" w:space="0" w:color="auto"/>
        <w:bottom w:val="none" w:sz="0" w:space="0" w:color="auto"/>
        <w:right w:val="none" w:sz="0" w:space="0" w:color="auto"/>
      </w:divBdr>
    </w:div>
    <w:div w:id="791903479">
      <w:bodyDiv w:val="1"/>
      <w:marLeft w:val="0"/>
      <w:marRight w:val="0"/>
      <w:marTop w:val="0"/>
      <w:marBottom w:val="0"/>
      <w:divBdr>
        <w:top w:val="none" w:sz="0" w:space="0" w:color="auto"/>
        <w:left w:val="none" w:sz="0" w:space="0" w:color="auto"/>
        <w:bottom w:val="none" w:sz="0" w:space="0" w:color="auto"/>
        <w:right w:val="none" w:sz="0" w:space="0" w:color="auto"/>
      </w:divBdr>
    </w:div>
    <w:div w:id="792017960">
      <w:bodyDiv w:val="1"/>
      <w:marLeft w:val="0"/>
      <w:marRight w:val="0"/>
      <w:marTop w:val="0"/>
      <w:marBottom w:val="0"/>
      <w:divBdr>
        <w:top w:val="none" w:sz="0" w:space="0" w:color="auto"/>
        <w:left w:val="none" w:sz="0" w:space="0" w:color="auto"/>
        <w:bottom w:val="none" w:sz="0" w:space="0" w:color="auto"/>
        <w:right w:val="none" w:sz="0" w:space="0" w:color="auto"/>
      </w:divBdr>
    </w:div>
    <w:div w:id="792091353">
      <w:bodyDiv w:val="1"/>
      <w:marLeft w:val="0"/>
      <w:marRight w:val="0"/>
      <w:marTop w:val="0"/>
      <w:marBottom w:val="0"/>
      <w:divBdr>
        <w:top w:val="none" w:sz="0" w:space="0" w:color="auto"/>
        <w:left w:val="none" w:sz="0" w:space="0" w:color="auto"/>
        <w:bottom w:val="none" w:sz="0" w:space="0" w:color="auto"/>
        <w:right w:val="none" w:sz="0" w:space="0" w:color="auto"/>
      </w:divBdr>
    </w:div>
    <w:div w:id="792141397">
      <w:bodyDiv w:val="1"/>
      <w:marLeft w:val="0"/>
      <w:marRight w:val="0"/>
      <w:marTop w:val="0"/>
      <w:marBottom w:val="0"/>
      <w:divBdr>
        <w:top w:val="none" w:sz="0" w:space="0" w:color="auto"/>
        <w:left w:val="none" w:sz="0" w:space="0" w:color="auto"/>
        <w:bottom w:val="none" w:sz="0" w:space="0" w:color="auto"/>
        <w:right w:val="none" w:sz="0" w:space="0" w:color="auto"/>
      </w:divBdr>
    </w:div>
    <w:div w:id="792210920">
      <w:bodyDiv w:val="1"/>
      <w:marLeft w:val="0"/>
      <w:marRight w:val="0"/>
      <w:marTop w:val="0"/>
      <w:marBottom w:val="0"/>
      <w:divBdr>
        <w:top w:val="none" w:sz="0" w:space="0" w:color="auto"/>
        <w:left w:val="none" w:sz="0" w:space="0" w:color="auto"/>
        <w:bottom w:val="none" w:sz="0" w:space="0" w:color="auto"/>
        <w:right w:val="none" w:sz="0" w:space="0" w:color="auto"/>
      </w:divBdr>
    </w:div>
    <w:div w:id="792216250">
      <w:bodyDiv w:val="1"/>
      <w:marLeft w:val="0"/>
      <w:marRight w:val="0"/>
      <w:marTop w:val="0"/>
      <w:marBottom w:val="0"/>
      <w:divBdr>
        <w:top w:val="none" w:sz="0" w:space="0" w:color="auto"/>
        <w:left w:val="none" w:sz="0" w:space="0" w:color="auto"/>
        <w:bottom w:val="none" w:sz="0" w:space="0" w:color="auto"/>
        <w:right w:val="none" w:sz="0" w:space="0" w:color="auto"/>
      </w:divBdr>
    </w:div>
    <w:div w:id="792285171">
      <w:bodyDiv w:val="1"/>
      <w:marLeft w:val="0"/>
      <w:marRight w:val="0"/>
      <w:marTop w:val="0"/>
      <w:marBottom w:val="0"/>
      <w:divBdr>
        <w:top w:val="none" w:sz="0" w:space="0" w:color="auto"/>
        <w:left w:val="none" w:sz="0" w:space="0" w:color="auto"/>
        <w:bottom w:val="none" w:sz="0" w:space="0" w:color="auto"/>
        <w:right w:val="none" w:sz="0" w:space="0" w:color="auto"/>
      </w:divBdr>
      <w:divsChild>
        <w:div w:id="9528938">
          <w:marLeft w:val="0"/>
          <w:marRight w:val="0"/>
          <w:marTop w:val="0"/>
          <w:marBottom w:val="0"/>
          <w:divBdr>
            <w:top w:val="none" w:sz="0" w:space="0" w:color="auto"/>
            <w:left w:val="none" w:sz="0" w:space="0" w:color="auto"/>
            <w:bottom w:val="none" w:sz="0" w:space="0" w:color="auto"/>
            <w:right w:val="none" w:sz="0" w:space="0" w:color="auto"/>
          </w:divBdr>
        </w:div>
        <w:div w:id="11345012">
          <w:marLeft w:val="0"/>
          <w:marRight w:val="0"/>
          <w:marTop w:val="0"/>
          <w:marBottom w:val="0"/>
          <w:divBdr>
            <w:top w:val="none" w:sz="0" w:space="0" w:color="auto"/>
            <w:left w:val="none" w:sz="0" w:space="0" w:color="auto"/>
            <w:bottom w:val="none" w:sz="0" w:space="0" w:color="auto"/>
            <w:right w:val="none" w:sz="0" w:space="0" w:color="auto"/>
          </w:divBdr>
        </w:div>
        <w:div w:id="38283650">
          <w:marLeft w:val="0"/>
          <w:marRight w:val="0"/>
          <w:marTop w:val="0"/>
          <w:marBottom w:val="0"/>
          <w:divBdr>
            <w:top w:val="none" w:sz="0" w:space="0" w:color="auto"/>
            <w:left w:val="none" w:sz="0" w:space="0" w:color="auto"/>
            <w:bottom w:val="none" w:sz="0" w:space="0" w:color="auto"/>
            <w:right w:val="none" w:sz="0" w:space="0" w:color="auto"/>
          </w:divBdr>
        </w:div>
        <w:div w:id="39864517">
          <w:marLeft w:val="0"/>
          <w:marRight w:val="0"/>
          <w:marTop w:val="0"/>
          <w:marBottom w:val="0"/>
          <w:divBdr>
            <w:top w:val="none" w:sz="0" w:space="0" w:color="auto"/>
            <w:left w:val="none" w:sz="0" w:space="0" w:color="auto"/>
            <w:bottom w:val="none" w:sz="0" w:space="0" w:color="auto"/>
            <w:right w:val="none" w:sz="0" w:space="0" w:color="auto"/>
          </w:divBdr>
        </w:div>
        <w:div w:id="67074696">
          <w:marLeft w:val="0"/>
          <w:marRight w:val="0"/>
          <w:marTop w:val="0"/>
          <w:marBottom w:val="0"/>
          <w:divBdr>
            <w:top w:val="none" w:sz="0" w:space="0" w:color="auto"/>
            <w:left w:val="none" w:sz="0" w:space="0" w:color="auto"/>
            <w:bottom w:val="none" w:sz="0" w:space="0" w:color="auto"/>
            <w:right w:val="none" w:sz="0" w:space="0" w:color="auto"/>
          </w:divBdr>
        </w:div>
        <w:div w:id="90862973">
          <w:marLeft w:val="0"/>
          <w:marRight w:val="0"/>
          <w:marTop w:val="0"/>
          <w:marBottom w:val="0"/>
          <w:divBdr>
            <w:top w:val="none" w:sz="0" w:space="0" w:color="auto"/>
            <w:left w:val="none" w:sz="0" w:space="0" w:color="auto"/>
            <w:bottom w:val="none" w:sz="0" w:space="0" w:color="auto"/>
            <w:right w:val="none" w:sz="0" w:space="0" w:color="auto"/>
          </w:divBdr>
        </w:div>
        <w:div w:id="99227000">
          <w:marLeft w:val="0"/>
          <w:marRight w:val="0"/>
          <w:marTop w:val="0"/>
          <w:marBottom w:val="0"/>
          <w:divBdr>
            <w:top w:val="none" w:sz="0" w:space="0" w:color="auto"/>
            <w:left w:val="none" w:sz="0" w:space="0" w:color="auto"/>
            <w:bottom w:val="none" w:sz="0" w:space="0" w:color="auto"/>
            <w:right w:val="none" w:sz="0" w:space="0" w:color="auto"/>
          </w:divBdr>
        </w:div>
        <w:div w:id="100925721">
          <w:marLeft w:val="0"/>
          <w:marRight w:val="0"/>
          <w:marTop w:val="0"/>
          <w:marBottom w:val="0"/>
          <w:divBdr>
            <w:top w:val="none" w:sz="0" w:space="0" w:color="auto"/>
            <w:left w:val="none" w:sz="0" w:space="0" w:color="auto"/>
            <w:bottom w:val="none" w:sz="0" w:space="0" w:color="auto"/>
            <w:right w:val="none" w:sz="0" w:space="0" w:color="auto"/>
          </w:divBdr>
        </w:div>
        <w:div w:id="104421723">
          <w:marLeft w:val="0"/>
          <w:marRight w:val="0"/>
          <w:marTop w:val="0"/>
          <w:marBottom w:val="0"/>
          <w:divBdr>
            <w:top w:val="none" w:sz="0" w:space="0" w:color="auto"/>
            <w:left w:val="none" w:sz="0" w:space="0" w:color="auto"/>
            <w:bottom w:val="none" w:sz="0" w:space="0" w:color="auto"/>
            <w:right w:val="none" w:sz="0" w:space="0" w:color="auto"/>
          </w:divBdr>
        </w:div>
        <w:div w:id="106510278">
          <w:marLeft w:val="0"/>
          <w:marRight w:val="0"/>
          <w:marTop w:val="0"/>
          <w:marBottom w:val="0"/>
          <w:divBdr>
            <w:top w:val="none" w:sz="0" w:space="0" w:color="auto"/>
            <w:left w:val="none" w:sz="0" w:space="0" w:color="auto"/>
            <w:bottom w:val="none" w:sz="0" w:space="0" w:color="auto"/>
            <w:right w:val="none" w:sz="0" w:space="0" w:color="auto"/>
          </w:divBdr>
        </w:div>
        <w:div w:id="108089306">
          <w:marLeft w:val="0"/>
          <w:marRight w:val="0"/>
          <w:marTop w:val="0"/>
          <w:marBottom w:val="0"/>
          <w:divBdr>
            <w:top w:val="none" w:sz="0" w:space="0" w:color="auto"/>
            <w:left w:val="none" w:sz="0" w:space="0" w:color="auto"/>
            <w:bottom w:val="none" w:sz="0" w:space="0" w:color="auto"/>
            <w:right w:val="none" w:sz="0" w:space="0" w:color="auto"/>
          </w:divBdr>
        </w:div>
        <w:div w:id="130708543">
          <w:marLeft w:val="0"/>
          <w:marRight w:val="0"/>
          <w:marTop w:val="0"/>
          <w:marBottom w:val="0"/>
          <w:divBdr>
            <w:top w:val="none" w:sz="0" w:space="0" w:color="auto"/>
            <w:left w:val="none" w:sz="0" w:space="0" w:color="auto"/>
            <w:bottom w:val="none" w:sz="0" w:space="0" w:color="auto"/>
            <w:right w:val="none" w:sz="0" w:space="0" w:color="auto"/>
          </w:divBdr>
        </w:div>
        <w:div w:id="152528937">
          <w:marLeft w:val="0"/>
          <w:marRight w:val="0"/>
          <w:marTop w:val="0"/>
          <w:marBottom w:val="0"/>
          <w:divBdr>
            <w:top w:val="none" w:sz="0" w:space="0" w:color="auto"/>
            <w:left w:val="none" w:sz="0" w:space="0" w:color="auto"/>
            <w:bottom w:val="none" w:sz="0" w:space="0" w:color="auto"/>
            <w:right w:val="none" w:sz="0" w:space="0" w:color="auto"/>
          </w:divBdr>
        </w:div>
        <w:div w:id="158741328">
          <w:marLeft w:val="0"/>
          <w:marRight w:val="0"/>
          <w:marTop w:val="0"/>
          <w:marBottom w:val="0"/>
          <w:divBdr>
            <w:top w:val="none" w:sz="0" w:space="0" w:color="auto"/>
            <w:left w:val="none" w:sz="0" w:space="0" w:color="auto"/>
            <w:bottom w:val="none" w:sz="0" w:space="0" w:color="auto"/>
            <w:right w:val="none" w:sz="0" w:space="0" w:color="auto"/>
          </w:divBdr>
        </w:div>
        <w:div w:id="194848268">
          <w:marLeft w:val="0"/>
          <w:marRight w:val="0"/>
          <w:marTop w:val="0"/>
          <w:marBottom w:val="0"/>
          <w:divBdr>
            <w:top w:val="none" w:sz="0" w:space="0" w:color="auto"/>
            <w:left w:val="none" w:sz="0" w:space="0" w:color="auto"/>
            <w:bottom w:val="none" w:sz="0" w:space="0" w:color="auto"/>
            <w:right w:val="none" w:sz="0" w:space="0" w:color="auto"/>
          </w:divBdr>
        </w:div>
        <w:div w:id="202062948">
          <w:marLeft w:val="0"/>
          <w:marRight w:val="0"/>
          <w:marTop w:val="0"/>
          <w:marBottom w:val="0"/>
          <w:divBdr>
            <w:top w:val="none" w:sz="0" w:space="0" w:color="auto"/>
            <w:left w:val="none" w:sz="0" w:space="0" w:color="auto"/>
            <w:bottom w:val="none" w:sz="0" w:space="0" w:color="auto"/>
            <w:right w:val="none" w:sz="0" w:space="0" w:color="auto"/>
          </w:divBdr>
        </w:div>
        <w:div w:id="216092560">
          <w:marLeft w:val="0"/>
          <w:marRight w:val="0"/>
          <w:marTop w:val="0"/>
          <w:marBottom w:val="0"/>
          <w:divBdr>
            <w:top w:val="none" w:sz="0" w:space="0" w:color="auto"/>
            <w:left w:val="none" w:sz="0" w:space="0" w:color="auto"/>
            <w:bottom w:val="none" w:sz="0" w:space="0" w:color="auto"/>
            <w:right w:val="none" w:sz="0" w:space="0" w:color="auto"/>
          </w:divBdr>
        </w:div>
        <w:div w:id="218636976">
          <w:marLeft w:val="0"/>
          <w:marRight w:val="0"/>
          <w:marTop w:val="0"/>
          <w:marBottom w:val="0"/>
          <w:divBdr>
            <w:top w:val="none" w:sz="0" w:space="0" w:color="auto"/>
            <w:left w:val="none" w:sz="0" w:space="0" w:color="auto"/>
            <w:bottom w:val="none" w:sz="0" w:space="0" w:color="auto"/>
            <w:right w:val="none" w:sz="0" w:space="0" w:color="auto"/>
          </w:divBdr>
        </w:div>
        <w:div w:id="231277429">
          <w:marLeft w:val="0"/>
          <w:marRight w:val="0"/>
          <w:marTop w:val="0"/>
          <w:marBottom w:val="0"/>
          <w:divBdr>
            <w:top w:val="none" w:sz="0" w:space="0" w:color="auto"/>
            <w:left w:val="none" w:sz="0" w:space="0" w:color="auto"/>
            <w:bottom w:val="none" w:sz="0" w:space="0" w:color="auto"/>
            <w:right w:val="none" w:sz="0" w:space="0" w:color="auto"/>
          </w:divBdr>
        </w:div>
        <w:div w:id="256058687">
          <w:marLeft w:val="0"/>
          <w:marRight w:val="0"/>
          <w:marTop w:val="0"/>
          <w:marBottom w:val="0"/>
          <w:divBdr>
            <w:top w:val="none" w:sz="0" w:space="0" w:color="auto"/>
            <w:left w:val="none" w:sz="0" w:space="0" w:color="auto"/>
            <w:bottom w:val="none" w:sz="0" w:space="0" w:color="auto"/>
            <w:right w:val="none" w:sz="0" w:space="0" w:color="auto"/>
          </w:divBdr>
        </w:div>
        <w:div w:id="258636542">
          <w:marLeft w:val="0"/>
          <w:marRight w:val="0"/>
          <w:marTop w:val="0"/>
          <w:marBottom w:val="0"/>
          <w:divBdr>
            <w:top w:val="none" w:sz="0" w:space="0" w:color="auto"/>
            <w:left w:val="none" w:sz="0" w:space="0" w:color="auto"/>
            <w:bottom w:val="none" w:sz="0" w:space="0" w:color="auto"/>
            <w:right w:val="none" w:sz="0" w:space="0" w:color="auto"/>
          </w:divBdr>
        </w:div>
        <w:div w:id="266695919">
          <w:marLeft w:val="0"/>
          <w:marRight w:val="0"/>
          <w:marTop w:val="0"/>
          <w:marBottom w:val="0"/>
          <w:divBdr>
            <w:top w:val="none" w:sz="0" w:space="0" w:color="auto"/>
            <w:left w:val="none" w:sz="0" w:space="0" w:color="auto"/>
            <w:bottom w:val="none" w:sz="0" w:space="0" w:color="auto"/>
            <w:right w:val="none" w:sz="0" w:space="0" w:color="auto"/>
          </w:divBdr>
        </w:div>
        <w:div w:id="300231210">
          <w:marLeft w:val="0"/>
          <w:marRight w:val="0"/>
          <w:marTop w:val="0"/>
          <w:marBottom w:val="0"/>
          <w:divBdr>
            <w:top w:val="none" w:sz="0" w:space="0" w:color="auto"/>
            <w:left w:val="none" w:sz="0" w:space="0" w:color="auto"/>
            <w:bottom w:val="none" w:sz="0" w:space="0" w:color="auto"/>
            <w:right w:val="none" w:sz="0" w:space="0" w:color="auto"/>
          </w:divBdr>
        </w:div>
        <w:div w:id="306278358">
          <w:marLeft w:val="0"/>
          <w:marRight w:val="0"/>
          <w:marTop w:val="0"/>
          <w:marBottom w:val="0"/>
          <w:divBdr>
            <w:top w:val="none" w:sz="0" w:space="0" w:color="auto"/>
            <w:left w:val="none" w:sz="0" w:space="0" w:color="auto"/>
            <w:bottom w:val="none" w:sz="0" w:space="0" w:color="auto"/>
            <w:right w:val="none" w:sz="0" w:space="0" w:color="auto"/>
          </w:divBdr>
        </w:div>
        <w:div w:id="308288506">
          <w:marLeft w:val="0"/>
          <w:marRight w:val="0"/>
          <w:marTop w:val="0"/>
          <w:marBottom w:val="0"/>
          <w:divBdr>
            <w:top w:val="none" w:sz="0" w:space="0" w:color="auto"/>
            <w:left w:val="none" w:sz="0" w:space="0" w:color="auto"/>
            <w:bottom w:val="none" w:sz="0" w:space="0" w:color="auto"/>
            <w:right w:val="none" w:sz="0" w:space="0" w:color="auto"/>
          </w:divBdr>
        </w:div>
        <w:div w:id="309479787">
          <w:marLeft w:val="0"/>
          <w:marRight w:val="0"/>
          <w:marTop w:val="0"/>
          <w:marBottom w:val="0"/>
          <w:divBdr>
            <w:top w:val="none" w:sz="0" w:space="0" w:color="auto"/>
            <w:left w:val="none" w:sz="0" w:space="0" w:color="auto"/>
            <w:bottom w:val="none" w:sz="0" w:space="0" w:color="auto"/>
            <w:right w:val="none" w:sz="0" w:space="0" w:color="auto"/>
          </w:divBdr>
        </w:div>
        <w:div w:id="313069380">
          <w:marLeft w:val="0"/>
          <w:marRight w:val="0"/>
          <w:marTop w:val="0"/>
          <w:marBottom w:val="0"/>
          <w:divBdr>
            <w:top w:val="none" w:sz="0" w:space="0" w:color="auto"/>
            <w:left w:val="none" w:sz="0" w:space="0" w:color="auto"/>
            <w:bottom w:val="none" w:sz="0" w:space="0" w:color="auto"/>
            <w:right w:val="none" w:sz="0" w:space="0" w:color="auto"/>
          </w:divBdr>
        </w:div>
        <w:div w:id="353850980">
          <w:marLeft w:val="0"/>
          <w:marRight w:val="0"/>
          <w:marTop w:val="0"/>
          <w:marBottom w:val="0"/>
          <w:divBdr>
            <w:top w:val="none" w:sz="0" w:space="0" w:color="auto"/>
            <w:left w:val="none" w:sz="0" w:space="0" w:color="auto"/>
            <w:bottom w:val="none" w:sz="0" w:space="0" w:color="auto"/>
            <w:right w:val="none" w:sz="0" w:space="0" w:color="auto"/>
          </w:divBdr>
        </w:div>
        <w:div w:id="360981873">
          <w:marLeft w:val="0"/>
          <w:marRight w:val="0"/>
          <w:marTop w:val="0"/>
          <w:marBottom w:val="0"/>
          <w:divBdr>
            <w:top w:val="none" w:sz="0" w:space="0" w:color="auto"/>
            <w:left w:val="none" w:sz="0" w:space="0" w:color="auto"/>
            <w:bottom w:val="none" w:sz="0" w:space="0" w:color="auto"/>
            <w:right w:val="none" w:sz="0" w:space="0" w:color="auto"/>
          </w:divBdr>
        </w:div>
        <w:div w:id="377246110">
          <w:marLeft w:val="0"/>
          <w:marRight w:val="0"/>
          <w:marTop w:val="0"/>
          <w:marBottom w:val="0"/>
          <w:divBdr>
            <w:top w:val="none" w:sz="0" w:space="0" w:color="auto"/>
            <w:left w:val="none" w:sz="0" w:space="0" w:color="auto"/>
            <w:bottom w:val="none" w:sz="0" w:space="0" w:color="auto"/>
            <w:right w:val="none" w:sz="0" w:space="0" w:color="auto"/>
          </w:divBdr>
        </w:div>
        <w:div w:id="391583796">
          <w:marLeft w:val="0"/>
          <w:marRight w:val="0"/>
          <w:marTop w:val="0"/>
          <w:marBottom w:val="0"/>
          <w:divBdr>
            <w:top w:val="none" w:sz="0" w:space="0" w:color="auto"/>
            <w:left w:val="none" w:sz="0" w:space="0" w:color="auto"/>
            <w:bottom w:val="none" w:sz="0" w:space="0" w:color="auto"/>
            <w:right w:val="none" w:sz="0" w:space="0" w:color="auto"/>
          </w:divBdr>
        </w:div>
        <w:div w:id="402606213">
          <w:marLeft w:val="0"/>
          <w:marRight w:val="0"/>
          <w:marTop w:val="0"/>
          <w:marBottom w:val="0"/>
          <w:divBdr>
            <w:top w:val="none" w:sz="0" w:space="0" w:color="auto"/>
            <w:left w:val="none" w:sz="0" w:space="0" w:color="auto"/>
            <w:bottom w:val="none" w:sz="0" w:space="0" w:color="auto"/>
            <w:right w:val="none" w:sz="0" w:space="0" w:color="auto"/>
          </w:divBdr>
        </w:div>
        <w:div w:id="407386939">
          <w:marLeft w:val="0"/>
          <w:marRight w:val="0"/>
          <w:marTop w:val="0"/>
          <w:marBottom w:val="0"/>
          <w:divBdr>
            <w:top w:val="none" w:sz="0" w:space="0" w:color="auto"/>
            <w:left w:val="none" w:sz="0" w:space="0" w:color="auto"/>
            <w:bottom w:val="none" w:sz="0" w:space="0" w:color="auto"/>
            <w:right w:val="none" w:sz="0" w:space="0" w:color="auto"/>
          </w:divBdr>
        </w:div>
        <w:div w:id="408426291">
          <w:marLeft w:val="0"/>
          <w:marRight w:val="0"/>
          <w:marTop w:val="0"/>
          <w:marBottom w:val="0"/>
          <w:divBdr>
            <w:top w:val="none" w:sz="0" w:space="0" w:color="auto"/>
            <w:left w:val="none" w:sz="0" w:space="0" w:color="auto"/>
            <w:bottom w:val="none" w:sz="0" w:space="0" w:color="auto"/>
            <w:right w:val="none" w:sz="0" w:space="0" w:color="auto"/>
          </w:divBdr>
        </w:div>
        <w:div w:id="423690482">
          <w:marLeft w:val="0"/>
          <w:marRight w:val="0"/>
          <w:marTop w:val="0"/>
          <w:marBottom w:val="0"/>
          <w:divBdr>
            <w:top w:val="none" w:sz="0" w:space="0" w:color="auto"/>
            <w:left w:val="none" w:sz="0" w:space="0" w:color="auto"/>
            <w:bottom w:val="none" w:sz="0" w:space="0" w:color="auto"/>
            <w:right w:val="none" w:sz="0" w:space="0" w:color="auto"/>
          </w:divBdr>
        </w:div>
        <w:div w:id="437414199">
          <w:marLeft w:val="0"/>
          <w:marRight w:val="0"/>
          <w:marTop w:val="0"/>
          <w:marBottom w:val="0"/>
          <w:divBdr>
            <w:top w:val="none" w:sz="0" w:space="0" w:color="auto"/>
            <w:left w:val="none" w:sz="0" w:space="0" w:color="auto"/>
            <w:bottom w:val="none" w:sz="0" w:space="0" w:color="auto"/>
            <w:right w:val="none" w:sz="0" w:space="0" w:color="auto"/>
          </w:divBdr>
        </w:div>
        <w:div w:id="443497948">
          <w:marLeft w:val="0"/>
          <w:marRight w:val="0"/>
          <w:marTop w:val="0"/>
          <w:marBottom w:val="0"/>
          <w:divBdr>
            <w:top w:val="none" w:sz="0" w:space="0" w:color="auto"/>
            <w:left w:val="none" w:sz="0" w:space="0" w:color="auto"/>
            <w:bottom w:val="none" w:sz="0" w:space="0" w:color="auto"/>
            <w:right w:val="none" w:sz="0" w:space="0" w:color="auto"/>
          </w:divBdr>
        </w:div>
        <w:div w:id="476344138">
          <w:marLeft w:val="0"/>
          <w:marRight w:val="0"/>
          <w:marTop w:val="0"/>
          <w:marBottom w:val="0"/>
          <w:divBdr>
            <w:top w:val="none" w:sz="0" w:space="0" w:color="auto"/>
            <w:left w:val="none" w:sz="0" w:space="0" w:color="auto"/>
            <w:bottom w:val="none" w:sz="0" w:space="0" w:color="auto"/>
            <w:right w:val="none" w:sz="0" w:space="0" w:color="auto"/>
          </w:divBdr>
        </w:div>
        <w:div w:id="504978522">
          <w:marLeft w:val="0"/>
          <w:marRight w:val="0"/>
          <w:marTop w:val="0"/>
          <w:marBottom w:val="0"/>
          <w:divBdr>
            <w:top w:val="none" w:sz="0" w:space="0" w:color="auto"/>
            <w:left w:val="none" w:sz="0" w:space="0" w:color="auto"/>
            <w:bottom w:val="none" w:sz="0" w:space="0" w:color="auto"/>
            <w:right w:val="none" w:sz="0" w:space="0" w:color="auto"/>
          </w:divBdr>
        </w:div>
        <w:div w:id="506022102">
          <w:marLeft w:val="0"/>
          <w:marRight w:val="0"/>
          <w:marTop w:val="0"/>
          <w:marBottom w:val="0"/>
          <w:divBdr>
            <w:top w:val="none" w:sz="0" w:space="0" w:color="auto"/>
            <w:left w:val="none" w:sz="0" w:space="0" w:color="auto"/>
            <w:bottom w:val="none" w:sz="0" w:space="0" w:color="auto"/>
            <w:right w:val="none" w:sz="0" w:space="0" w:color="auto"/>
          </w:divBdr>
        </w:div>
        <w:div w:id="509296039">
          <w:marLeft w:val="0"/>
          <w:marRight w:val="0"/>
          <w:marTop w:val="0"/>
          <w:marBottom w:val="0"/>
          <w:divBdr>
            <w:top w:val="none" w:sz="0" w:space="0" w:color="auto"/>
            <w:left w:val="none" w:sz="0" w:space="0" w:color="auto"/>
            <w:bottom w:val="none" w:sz="0" w:space="0" w:color="auto"/>
            <w:right w:val="none" w:sz="0" w:space="0" w:color="auto"/>
          </w:divBdr>
        </w:div>
        <w:div w:id="534344441">
          <w:marLeft w:val="0"/>
          <w:marRight w:val="0"/>
          <w:marTop w:val="0"/>
          <w:marBottom w:val="0"/>
          <w:divBdr>
            <w:top w:val="none" w:sz="0" w:space="0" w:color="auto"/>
            <w:left w:val="none" w:sz="0" w:space="0" w:color="auto"/>
            <w:bottom w:val="none" w:sz="0" w:space="0" w:color="auto"/>
            <w:right w:val="none" w:sz="0" w:space="0" w:color="auto"/>
          </w:divBdr>
        </w:div>
        <w:div w:id="563297782">
          <w:marLeft w:val="0"/>
          <w:marRight w:val="0"/>
          <w:marTop w:val="0"/>
          <w:marBottom w:val="0"/>
          <w:divBdr>
            <w:top w:val="none" w:sz="0" w:space="0" w:color="auto"/>
            <w:left w:val="none" w:sz="0" w:space="0" w:color="auto"/>
            <w:bottom w:val="none" w:sz="0" w:space="0" w:color="auto"/>
            <w:right w:val="none" w:sz="0" w:space="0" w:color="auto"/>
          </w:divBdr>
        </w:div>
        <w:div w:id="566888944">
          <w:marLeft w:val="0"/>
          <w:marRight w:val="0"/>
          <w:marTop w:val="0"/>
          <w:marBottom w:val="0"/>
          <w:divBdr>
            <w:top w:val="none" w:sz="0" w:space="0" w:color="auto"/>
            <w:left w:val="none" w:sz="0" w:space="0" w:color="auto"/>
            <w:bottom w:val="none" w:sz="0" w:space="0" w:color="auto"/>
            <w:right w:val="none" w:sz="0" w:space="0" w:color="auto"/>
          </w:divBdr>
        </w:div>
        <w:div w:id="569584906">
          <w:marLeft w:val="0"/>
          <w:marRight w:val="0"/>
          <w:marTop w:val="0"/>
          <w:marBottom w:val="0"/>
          <w:divBdr>
            <w:top w:val="none" w:sz="0" w:space="0" w:color="auto"/>
            <w:left w:val="none" w:sz="0" w:space="0" w:color="auto"/>
            <w:bottom w:val="none" w:sz="0" w:space="0" w:color="auto"/>
            <w:right w:val="none" w:sz="0" w:space="0" w:color="auto"/>
          </w:divBdr>
        </w:div>
        <w:div w:id="573978012">
          <w:marLeft w:val="0"/>
          <w:marRight w:val="0"/>
          <w:marTop w:val="0"/>
          <w:marBottom w:val="0"/>
          <w:divBdr>
            <w:top w:val="none" w:sz="0" w:space="0" w:color="auto"/>
            <w:left w:val="none" w:sz="0" w:space="0" w:color="auto"/>
            <w:bottom w:val="none" w:sz="0" w:space="0" w:color="auto"/>
            <w:right w:val="none" w:sz="0" w:space="0" w:color="auto"/>
          </w:divBdr>
        </w:div>
        <w:div w:id="575479816">
          <w:marLeft w:val="0"/>
          <w:marRight w:val="0"/>
          <w:marTop w:val="0"/>
          <w:marBottom w:val="0"/>
          <w:divBdr>
            <w:top w:val="none" w:sz="0" w:space="0" w:color="auto"/>
            <w:left w:val="none" w:sz="0" w:space="0" w:color="auto"/>
            <w:bottom w:val="none" w:sz="0" w:space="0" w:color="auto"/>
            <w:right w:val="none" w:sz="0" w:space="0" w:color="auto"/>
          </w:divBdr>
        </w:div>
        <w:div w:id="579021618">
          <w:marLeft w:val="0"/>
          <w:marRight w:val="0"/>
          <w:marTop w:val="0"/>
          <w:marBottom w:val="0"/>
          <w:divBdr>
            <w:top w:val="none" w:sz="0" w:space="0" w:color="auto"/>
            <w:left w:val="none" w:sz="0" w:space="0" w:color="auto"/>
            <w:bottom w:val="none" w:sz="0" w:space="0" w:color="auto"/>
            <w:right w:val="none" w:sz="0" w:space="0" w:color="auto"/>
          </w:divBdr>
        </w:div>
        <w:div w:id="586966381">
          <w:marLeft w:val="0"/>
          <w:marRight w:val="0"/>
          <w:marTop w:val="0"/>
          <w:marBottom w:val="0"/>
          <w:divBdr>
            <w:top w:val="none" w:sz="0" w:space="0" w:color="auto"/>
            <w:left w:val="none" w:sz="0" w:space="0" w:color="auto"/>
            <w:bottom w:val="none" w:sz="0" w:space="0" w:color="auto"/>
            <w:right w:val="none" w:sz="0" w:space="0" w:color="auto"/>
          </w:divBdr>
        </w:div>
        <w:div w:id="588392074">
          <w:marLeft w:val="0"/>
          <w:marRight w:val="0"/>
          <w:marTop w:val="0"/>
          <w:marBottom w:val="0"/>
          <w:divBdr>
            <w:top w:val="none" w:sz="0" w:space="0" w:color="auto"/>
            <w:left w:val="none" w:sz="0" w:space="0" w:color="auto"/>
            <w:bottom w:val="none" w:sz="0" w:space="0" w:color="auto"/>
            <w:right w:val="none" w:sz="0" w:space="0" w:color="auto"/>
          </w:divBdr>
        </w:div>
        <w:div w:id="592015514">
          <w:marLeft w:val="0"/>
          <w:marRight w:val="0"/>
          <w:marTop w:val="0"/>
          <w:marBottom w:val="0"/>
          <w:divBdr>
            <w:top w:val="none" w:sz="0" w:space="0" w:color="auto"/>
            <w:left w:val="none" w:sz="0" w:space="0" w:color="auto"/>
            <w:bottom w:val="none" w:sz="0" w:space="0" w:color="auto"/>
            <w:right w:val="none" w:sz="0" w:space="0" w:color="auto"/>
          </w:divBdr>
        </w:div>
        <w:div w:id="614943701">
          <w:marLeft w:val="0"/>
          <w:marRight w:val="0"/>
          <w:marTop w:val="0"/>
          <w:marBottom w:val="0"/>
          <w:divBdr>
            <w:top w:val="none" w:sz="0" w:space="0" w:color="auto"/>
            <w:left w:val="none" w:sz="0" w:space="0" w:color="auto"/>
            <w:bottom w:val="none" w:sz="0" w:space="0" w:color="auto"/>
            <w:right w:val="none" w:sz="0" w:space="0" w:color="auto"/>
          </w:divBdr>
        </w:div>
        <w:div w:id="623000682">
          <w:marLeft w:val="0"/>
          <w:marRight w:val="0"/>
          <w:marTop w:val="0"/>
          <w:marBottom w:val="0"/>
          <w:divBdr>
            <w:top w:val="none" w:sz="0" w:space="0" w:color="auto"/>
            <w:left w:val="none" w:sz="0" w:space="0" w:color="auto"/>
            <w:bottom w:val="none" w:sz="0" w:space="0" w:color="auto"/>
            <w:right w:val="none" w:sz="0" w:space="0" w:color="auto"/>
          </w:divBdr>
        </w:div>
        <w:div w:id="640571949">
          <w:marLeft w:val="0"/>
          <w:marRight w:val="0"/>
          <w:marTop w:val="0"/>
          <w:marBottom w:val="0"/>
          <w:divBdr>
            <w:top w:val="none" w:sz="0" w:space="0" w:color="auto"/>
            <w:left w:val="none" w:sz="0" w:space="0" w:color="auto"/>
            <w:bottom w:val="none" w:sz="0" w:space="0" w:color="auto"/>
            <w:right w:val="none" w:sz="0" w:space="0" w:color="auto"/>
          </w:divBdr>
        </w:div>
        <w:div w:id="643854845">
          <w:marLeft w:val="0"/>
          <w:marRight w:val="0"/>
          <w:marTop w:val="0"/>
          <w:marBottom w:val="0"/>
          <w:divBdr>
            <w:top w:val="none" w:sz="0" w:space="0" w:color="auto"/>
            <w:left w:val="none" w:sz="0" w:space="0" w:color="auto"/>
            <w:bottom w:val="none" w:sz="0" w:space="0" w:color="auto"/>
            <w:right w:val="none" w:sz="0" w:space="0" w:color="auto"/>
          </w:divBdr>
        </w:div>
        <w:div w:id="651566905">
          <w:marLeft w:val="0"/>
          <w:marRight w:val="0"/>
          <w:marTop w:val="0"/>
          <w:marBottom w:val="0"/>
          <w:divBdr>
            <w:top w:val="none" w:sz="0" w:space="0" w:color="auto"/>
            <w:left w:val="none" w:sz="0" w:space="0" w:color="auto"/>
            <w:bottom w:val="none" w:sz="0" w:space="0" w:color="auto"/>
            <w:right w:val="none" w:sz="0" w:space="0" w:color="auto"/>
          </w:divBdr>
        </w:div>
        <w:div w:id="662860230">
          <w:marLeft w:val="0"/>
          <w:marRight w:val="0"/>
          <w:marTop w:val="0"/>
          <w:marBottom w:val="0"/>
          <w:divBdr>
            <w:top w:val="none" w:sz="0" w:space="0" w:color="auto"/>
            <w:left w:val="none" w:sz="0" w:space="0" w:color="auto"/>
            <w:bottom w:val="none" w:sz="0" w:space="0" w:color="auto"/>
            <w:right w:val="none" w:sz="0" w:space="0" w:color="auto"/>
          </w:divBdr>
        </w:div>
        <w:div w:id="685520349">
          <w:marLeft w:val="0"/>
          <w:marRight w:val="0"/>
          <w:marTop w:val="0"/>
          <w:marBottom w:val="0"/>
          <w:divBdr>
            <w:top w:val="none" w:sz="0" w:space="0" w:color="auto"/>
            <w:left w:val="none" w:sz="0" w:space="0" w:color="auto"/>
            <w:bottom w:val="none" w:sz="0" w:space="0" w:color="auto"/>
            <w:right w:val="none" w:sz="0" w:space="0" w:color="auto"/>
          </w:divBdr>
        </w:div>
        <w:div w:id="693923364">
          <w:marLeft w:val="0"/>
          <w:marRight w:val="0"/>
          <w:marTop w:val="0"/>
          <w:marBottom w:val="0"/>
          <w:divBdr>
            <w:top w:val="none" w:sz="0" w:space="0" w:color="auto"/>
            <w:left w:val="none" w:sz="0" w:space="0" w:color="auto"/>
            <w:bottom w:val="none" w:sz="0" w:space="0" w:color="auto"/>
            <w:right w:val="none" w:sz="0" w:space="0" w:color="auto"/>
          </w:divBdr>
        </w:div>
        <w:div w:id="712928571">
          <w:marLeft w:val="0"/>
          <w:marRight w:val="0"/>
          <w:marTop w:val="0"/>
          <w:marBottom w:val="0"/>
          <w:divBdr>
            <w:top w:val="none" w:sz="0" w:space="0" w:color="auto"/>
            <w:left w:val="none" w:sz="0" w:space="0" w:color="auto"/>
            <w:bottom w:val="none" w:sz="0" w:space="0" w:color="auto"/>
            <w:right w:val="none" w:sz="0" w:space="0" w:color="auto"/>
          </w:divBdr>
        </w:div>
        <w:div w:id="716851883">
          <w:marLeft w:val="0"/>
          <w:marRight w:val="0"/>
          <w:marTop w:val="0"/>
          <w:marBottom w:val="0"/>
          <w:divBdr>
            <w:top w:val="none" w:sz="0" w:space="0" w:color="auto"/>
            <w:left w:val="none" w:sz="0" w:space="0" w:color="auto"/>
            <w:bottom w:val="none" w:sz="0" w:space="0" w:color="auto"/>
            <w:right w:val="none" w:sz="0" w:space="0" w:color="auto"/>
          </w:divBdr>
        </w:div>
        <w:div w:id="717123575">
          <w:marLeft w:val="0"/>
          <w:marRight w:val="0"/>
          <w:marTop w:val="0"/>
          <w:marBottom w:val="0"/>
          <w:divBdr>
            <w:top w:val="none" w:sz="0" w:space="0" w:color="auto"/>
            <w:left w:val="none" w:sz="0" w:space="0" w:color="auto"/>
            <w:bottom w:val="none" w:sz="0" w:space="0" w:color="auto"/>
            <w:right w:val="none" w:sz="0" w:space="0" w:color="auto"/>
          </w:divBdr>
        </w:div>
        <w:div w:id="723482612">
          <w:marLeft w:val="0"/>
          <w:marRight w:val="0"/>
          <w:marTop w:val="0"/>
          <w:marBottom w:val="0"/>
          <w:divBdr>
            <w:top w:val="none" w:sz="0" w:space="0" w:color="auto"/>
            <w:left w:val="none" w:sz="0" w:space="0" w:color="auto"/>
            <w:bottom w:val="none" w:sz="0" w:space="0" w:color="auto"/>
            <w:right w:val="none" w:sz="0" w:space="0" w:color="auto"/>
          </w:divBdr>
        </w:div>
        <w:div w:id="736050378">
          <w:marLeft w:val="0"/>
          <w:marRight w:val="0"/>
          <w:marTop w:val="0"/>
          <w:marBottom w:val="0"/>
          <w:divBdr>
            <w:top w:val="none" w:sz="0" w:space="0" w:color="auto"/>
            <w:left w:val="none" w:sz="0" w:space="0" w:color="auto"/>
            <w:bottom w:val="none" w:sz="0" w:space="0" w:color="auto"/>
            <w:right w:val="none" w:sz="0" w:space="0" w:color="auto"/>
          </w:divBdr>
        </w:div>
        <w:div w:id="742144179">
          <w:marLeft w:val="0"/>
          <w:marRight w:val="0"/>
          <w:marTop w:val="0"/>
          <w:marBottom w:val="0"/>
          <w:divBdr>
            <w:top w:val="none" w:sz="0" w:space="0" w:color="auto"/>
            <w:left w:val="none" w:sz="0" w:space="0" w:color="auto"/>
            <w:bottom w:val="none" w:sz="0" w:space="0" w:color="auto"/>
            <w:right w:val="none" w:sz="0" w:space="0" w:color="auto"/>
          </w:divBdr>
        </w:div>
        <w:div w:id="770055328">
          <w:marLeft w:val="0"/>
          <w:marRight w:val="0"/>
          <w:marTop w:val="0"/>
          <w:marBottom w:val="0"/>
          <w:divBdr>
            <w:top w:val="none" w:sz="0" w:space="0" w:color="auto"/>
            <w:left w:val="none" w:sz="0" w:space="0" w:color="auto"/>
            <w:bottom w:val="none" w:sz="0" w:space="0" w:color="auto"/>
            <w:right w:val="none" w:sz="0" w:space="0" w:color="auto"/>
          </w:divBdr>
        </w:div>
        <w:div w:id="776406770">
          <w:marLeft w:val="0"/>
          <w:marRight w:val="0"/>
          <w:marTop w:val="0"/>
          <w:marBottom w:val="0"/>
          <w:divBdr>
            <w:top w:val="none" w:sz="0" w:space="0" w:color="auto"/>
            <w:left w:val="none" w:sz="0" w:space="0" w:color="auto"/>
            <w:bottom w:val="none" w:sz="0" w:space="0" w:color="auto"/>
            <w:right w:val="none" w:sz="0" w:space="0" w:color="auto"/>
          </w:divBdr>
        </w:div>
        <w:div w:id="776828721">
          <w:marLeft w:val="0"/>
          <w:marRight w:val="0"/>
          <w:marTop w:val="0"/>
          <w:marBottom w:val="0"/>
          <w:divBdr>
            <w:top w:val="none" w:sz="0" w:space="0" w:color="auto"/>
            <w:left w:val="none" w:sz="0" w:space="0" w:color="auto"/>
            <w:bottom w:val="none" w:sz="0" w:space="0" w:color="auto"/>
            <w:right w:val="none" w:sz="0" w:space="0" w:color="auto"/>
          </w:divBdr>
        </w:div>
        <w:div w:id="783501561">
          <w:marLeft w:val="0"/>
          <w:marRight w:val="0"/>
          <w:marTop w:val="0"/>
          <w:marBottom w:val="0"/>
          <w:divBdr>
            <w:top w:val="none" w:sz="0" w:space="0" w:color="auto"/>
            <w:left w:val="none" w:sz="0" w:space="0" w:color="auto"/>
            <w:bottom w:val="none" w:sz="0" w:space="0" w:color="auto"/>
            <w:right w:val="none" w:sz="0" w:space="0" w:color="auto"/>
          </w:divBdr>
        </w:div>
        <w:div w:id="783505338">
          <w:marLeft w:val="0"/>
          <w:marRight w:val="0"/>
          <w:marTop w:val="0"/>
          <w:marBottom w:val="0"/>
          <w:divBdr>
            <w:top w:val="none" w:sz="0" w:space="0" w:color="auto"/>
            <w:left w:val="none" w:sz="0" w:space="0" w:color="auto"/>
            <w:bottom w:val="none" w:sz="0" w:space="0" w:color="auto"/>
            <w:right w:val="none" w:sz="0" w:space="0" w:color="auto"/>
          </w:divBdr>
        </w:div>
        <w:div w:id="802382280">
          <w:marLeft w:val="0"/>
          <w:marRight w:val="0"/>
          <w:marTop w:val="0"/>
          <w:marBottom w:val="0"/>
          <w:divBdr>
            <w:top w:val="none" w:sz="0" w:space="0" w:color="auto"/>
            <w:left w:val="none" w:sz="0" w:space="0" w:color="auto"/>
            <w:bottom w:val="none" w:sz="0" w:space="0" w:color="auto"/>
            <w:right w:val="none" w:sz="0" w:space="0" w:color="auto"/>
          </w:divBdr>
        </w:div>
        <w:div w:id="808060087">
          <w:marLeft w:val="0"/>
          <w:marRight w:val="0"/>
          <w:marTop w:val="0"/>
          <w:marBottom w:val="0"/>
          <w:divBdr>
            <w:top w:val="none" w:sz="0" w:space="0" w:color="auto"/>
            <w:left w:val="none" w:sz="0" w:space="0" w:color="auto"/>
            <w:bottom w:val="none" w:sz="0" w:space="0" w:color="auto"/>
            <w:right w:val="none" w:sz="0" w:space="0" w:color="auto"/>
          </w:divBdr>
        </w:div>
        <w:div w:id="811797729">
          <w:marLeft w:val="0"/>
          <w:marRight w:val="0"/>
          <w:marTop w:val="0"/>
          <w:marBottom w:val="0"/>
          <w:divBdr>
            <w:top w:val="none" w:sz="0" w:space="0" w:color="auto"/>
            <w:left w:val="none" w:sz="0" w:space="0" w:color="auto"/>
            <w:bottom w:val="none" w:sz="0" w:space="0" w:color="auto"/>
            <w:right w:val="none" w:sz="0" w:space="0" w:color="auto"/>
          </w:divBdr>
        </w:div>
        <w:div w:id="815802717">
          <w:marLeft w:val="0"/>
          <w:marRight w:val="0"/>
          <w:marTop w:val="0"/>
          <w:marBottom w:val="0"/>
          <w:divBdr>
            <w:top w:val="none" w:sz="0" w:space="0" w:color="auto"/>
            <w:left w:val="none" w:sz="0" w:space="0" w:color="auto"/>
            <w:bottom w:val="none" w:sz="0" w:space="0" w:color="auto"/>
            <w:right w:val="none" w:sz="0" w:space="0" w:color="auto"/>
          </w:divBdr>
        </w:div>
        <w:div w:id="888764570">
          <w:marLeft w:val="0"/>
          <w:marRight w:val="0"/>
          <w:marTop w:val="0"/>
          <w:marBottom w:val="0"/>
          <w:divBdr>
            <w:top w:val="none" w:sz="0" w:space="0" w:color="auto"/>
            <w:left w:val="none" w:sz="0" w:space="0" w:color="auto"/>
            <w:bottom w:val="none" w:sz="0" w:space="0" w:color="auto"/>
            <w:right w:val="none" w:sz="0" w:space="0" w:color="auto"/>
          </w:divBdr>
        </w:div>
        <w:div w:id="907570173">
          <w:marLeft w:val="0"/>
          <w:marRight w:val="0"/>
          <w:marTop w:val="0"/>
          <w:marBottom w:val="0"/>
          <w:divBdr>
            <w:top w:val="none" w:sz="0" w:space="0" w:color="auto"/>
            <w:left w:val="none" w:sz="0" w:space="0" w:color="auto"/>
            <w:bottom w:val="none" w:sz="0" w:space="0" w:color="auto"/>
            <w:right w:val="none" w:sz="0" w:space="0" w:color="auto"/>
          </w:divBdr>
        </w:div>
        <w:div w:id="918053295">
          <w:marLeft w:val="0"/>
          <w:marRight w:val="0"/>
          <w:marTop w:val="0"/>
          <w:marBottom w:val="0"/>
          <w:divBdr>
            <w:top w:val="none" w:sz="0" w:space="0" w:color="auto"/>
            <w:left w:val="none" w:sz="0" w:space="0" w:color="auto"/>
            <w:bottom w:val="none" w:sz="0" w:space="0" w:color="auto"/>
            <w:right w:val="none" w:sz="0" w:space="0" w:color="auto"/>
          </w:divBdr>
        </w:div>
        <w:div w:id="930241985">
          <w:marLeft w:val="0"/>
          <w:marRight w:val="0"/>
          <w:marTop w:val="0"/>
          <w:marBottom w:val="0"/>
          <w:divBdr>
            <w:top w:val="none" w:sz="0" w:space="0" w:color="auto"/>
            <w:left w:val="none" w:sz="0" w:space="0" w:color="auto"/>
            <w:bottom w:val="none" w:sz="0" w:space="0" w:color="auto"/>
            <w:right w:val="none" w:sz="0" w:space="0" w:color="auto"/>
          </w:divBdr>
        </w:div>
        <w:div w:id="948270825">
          <w:marLeft w:val="0"/>
          <w:marRight w:val="0"/>
          <w:marTop w:val="0"/>
          <w:marBottom w:val="0"/>
          <w:divBdr>
            <w:top w:val="none" w:sz="0" w:space="0" w:color="auto"/>
            <w:left w:val="none" w:sz="0" w:space="0" w:color="auto"/>
            <w:bottom w:val="none" w:sz="0" w:space="0" w:color="auto"/>
            <w:right w:val="none" w:sz="0" w:space="0" w:color="auto"/>
          </w:divBdr>
        </w:div>
        <w:div w:id="961422685">
          <w:marLeft w:val="0"/>
          <w:marRight w:val="0"/>
          <w:marTop w:val="0"/>
          <w:marBottom w:val="0"/>
          <w:divBdr>
            <w:top w:val="none" w:sz="0" w:space="0" w:color="auto"/>
            <w:left w:val="none" w:sz="0" w:space="0" w:color="auto"/>
            <w:bottom w:val="none" w:sz="0" w:space="0" w:color="auto"/>
            <w:right w:val="none" w:sz="0" w:space="0" w:color="auto"/>
          </w:divBdr>
        </w:div>
        <w:div w:id="967584276">
          <w:marLeft w:val="0"/>
          <w:marRight w:val="0"/>
          <w:marTop w:val="0"/>
          <w:marBottom w:val="0"/>
          <w:divBdr>
            <w:top w:val="none" w:sz="0" w:space="0" w:color="auto"/>
            <w:left w:val="none" w:sz="0" w:space="0" w:color="auto"/>
            <w:bottom w:val="none" w:sz="0" w:space="0" w:color="auto"/>
            <w:right w:val="none" w:sz="0" w:space="0" w:color="auto"/>
          </w:divBdr>
        </w:div>
        <w:div w:id="1013804063">
          <w:marLeft w:val="0"/>
          <w:marRight w:val="0"/>
          <w:marTop w:val="0"/>
          <w:marBottom w:val="0"/>
          <w:divBdr>
            <w:top w:val="none" w:sz="0" w:space="0" w:color="auto"/>
            <w:left w:val="none" w:sz="0" w:space="0" w:color="auto"/>
            <w:bottom w:val="none" w:sz="0" w:space="0" w:color="auto"/>
            <w:right w:val="none" w:sz="0" w:space="0" w:color="auto"/>
          </w:divBdr>
        </w:div>
        <w:div w:id="1016811716">
          <w:marLeft w:val="0"/>
          <w:marRight w:val="0"/>
          <w:marTop w:val="0"/>
          <w:marBottom w:val="0"/>
          <w:divBdr>
            <w:top w:val="none" w:sz="0" w:space="0" w:color="auto"/>
            <w:left w:val="none" w:sz="0" w:space="0" w:color="auto"/>
            <w:bottom w:val="none" w:sz="0" w:space="0" w:color="auto"/>
            <w:right w:val="none" w:sz="0" w:space="0" w:color="auto"/>
          </w:divBdr>
        </w:div>
        <w:div w:id="1040940117">
          <w:marLeft w:val="0"/>
          <w:marRight w:val="0"/>
          <w:marTop w:val="0"/>
          <w:marBottom w:val="0"/>
          <w:divBdr>
            <w:top w:val="none" w:sz="0" w:space="0" w:color="auto"/>
            <w:left w:val="none" w:sz="0" w:space="0" w:color="auto"/>
            <w:bottom w:val="none" w:sz="0" w:space="0" w:color="auto"/>
            <w:right w:val="none" w:sz="0" w:space="0" w:color="auto"/>
          </w:divBdr>
        </w:div>
        <w:div w:id="1046954392">
          <w:marLeft w:val="0"/>
          <w:marRight w:val="0"/>
          <w:marTop w:val="0"/>
          <w:marBottom w:val="0"/>
          <w:divBdr>
            <w:top w:val="none" w:sz="0" w:space="0" w:color="auto"/>
            <w:left w:val="none" w:sz="0" w:space="0" w:color="auto"/>
            <w:bottom w:val="none" w:sz="0" w:space="0" w:color="auto"/>
            <w:right w:val="none" w:sz="0" w:space="0" w:color="auto"/>
          </w:divBdr>
        </w:div>
        <w:div w:id="1063985213">
          <w:marLeft w:val="0"/>
          <w:marRight w:val="0"/>
          <w:marTop w:val="0"/>
          <w:marBottom w:val="0"/>
          <w:divBdr>
            <w:top w:val="none" w:sz="0" w:space="0" w:color="auto"/>
            <w:left w:val="none" w:sz="0" w:space="0" w:color="auto"/>
            <w:bottom w:val="none" w:sz="0" w:space="0" w:color="auto"/>
            <w:right w:val="none" w:sz="0" w:space="0" w:color="auto"/>
          </w:divBdr>
        </w:div>
        <w:div w:id="1076854572">
          <w:marLeft w:val="0"/>
          <w:marRight w:val="0"/>
          <w:marTop w:val="0"/>
          <w:marBottom w:val="0"/>
          <w:divBdr>
            <w:top w:val="none" w:sz="0" w:space="0" w:color="auto"/>
            <w:left w:val="none" w:sz="0" w:space="0" w:color="auto"/>
            <w:bottom w:val="none" w:sz="0" w:space="0" w:color="auto"/>
            <w:right w:val="none" w:sz="0" w:space="0" w:color="auto"/>
          </w:divBdr>
        </w:div>
        <w:div w:id="1081178880">
          <w:marLeft w:val="0"/>
          <w:marRight w:val="0"/>
          <w:marTop w:val="0"/>
          <w:marBottom w:val="0"/>
          <w:divBdr>
            <w:top w:val="none" w:sz="0" w:space="0" w:color="auto"/>
            <w:left w:val="none" w:sz="0" w:space="0" w:color="auto"/>
            <w:bottom w:val="none" w:sz="0" w:space="0" w:color="auto"/>
            <w:right w:val="none" w:sz="0" w:space="0" w:color="auto"/>
          </w:divBdr>
        </w:div>
        <w:div w:id="1097216401">
          <w:marLeft w:val="0"/>
          <w:marRight w:val="0"/>
          <w:marTop w:val="0"/>
          <w:marBottom w:val="0"/>
          <w:divBdr>
            <w:top w:val="none" w:sz="0" w:space="0" w:color="auto"/>
            <w:left w:val="none" w:sz="0" w:space="0" w:color="auto"/>
            <w:bottom w:val="none" w:sz="0" w:space="0" w:color="auto"/>
            <w:right w:val="none" w:sz="0" w:space="0" w:color="auto"/>
          </w:divBdr>
        </w:div>
        <w:div w:id="1134716594">
          <w:marLeft w:val="0"/>
          <w:marRight w:val="0"/>
          <w:marTop w:val="0"/>
          <w:marBottom w:val="0"/>
          <w:divBdr>
            <w:top w:val="none" w:sz="0" w:space="0" w:color="auto"/>
            <w:left w:val="none" w:sz="0" w:space="0" w:color="auto"/>
            <w:bottom w:val="none" w:sz="0" w:space="0" w:color="auto"/>
            <w:right w:val="none" w:sz="0" w:space="0" w:color="auto"/>
          </w:divBdr>
        </w:div>
        <w:div w:id="1145197249">
          <w:marLeft w:val="0"/>
          <w:marRight w:val="0"/>
          <w:marTop w:val="0"/>
          <w:marBottom w:val="0"/>
          <w:divBdr>
            <w:top w:val="none" w:sz="0" w:space="0" w:color="auto"/>
            <w:left w:val="none" w:sz="0" w:space="0" w:color="auto"/>
            <w:bottom w:val="none" w:sz="0" w:space="0" w:color="auto"/>
            <w:right w:val="none" w:sz="0" w:space="0" w:color="auto"/>
          </w:divBdr>
        </w:div>
        <w:div w:id="1150829648">
          <w:marLeft w:val="0"/>
          <w:marRight w:val="0"/>
          <w:marTop w:val="0"/>
          <w:marBottom w:val="0"/>
          <w:divBdr>
            <w:top w:val="none" w:sz="0" w:space="0" w:color="auto"/>
            <w:left w:val="none" w:sz="0" w:space="0" w:color="auto"/>
            <w:bottom w:val="none" w:sz="0" w:space="0" w:color="auto"/>
            <w:right w:val="none" w:sz="0" w:space="0" w:color="auto"/>
          </w:divBdr>
        </w:div>
        <w:div w:id="1153637677">
          <w:marLeft w:val="0"/>
          <w:marRight w:val="0"/>
          <w:marTop w:val="0"/>
          <w:marBottom w:val="0"/>
          <w:divBdr>
            <w:top w:val="none" w:sz="0" w:space="0" w:color="auto"/>
            <w:left w:val="none" w:sz="0" w:space="0" w:color="auto"/>
            <w:bottom w:val="none" w:sz="0" w:space="0" w:color="auto"/>
            <w:right w:val="none" w:sz="0" w:space="0" w:color="auto"/>
          </w:divBdr>
        </w:div>
        <w:div w:id="1234465269">
          <w:marLeft w:val="0"/>
          <w:marRight w:val="0"/>
          <w:marTop w:val="0"/>
          <w:marBottom w:val="0"/>
          <w:divBdr>
            <w:top w:val="none" w:sz="0" w:space="0" w:color="auto"/>
            <w:left w:val="none" w:sz="0" w:space="0" w:color="auto"/>
            <w:bottom w:val="none" w:sz="0" w:space="0" w:color="auto"/>
            <w:right w:val="none" w:sz="0" w:space="0" w:color="auto"/>
          </w:divBdr>
        </w:div>
        <w:div w:id="1273588074">
          <w:marLeft w:val="0"/>
          <w:marRight w:val="0"/>
          <w:marTop w:val="0"/>
          <w:marBottom w:val="0"/>
          <w:divBdr>
            <w:top w:val="none" w:sz="0" w:space="0" w:color="auto"/>
            <w:left w:val="none" w:sz="0" w:space="0" w:color="auto"/>
            <w:bottom w:val="none" w:sz="0" w:space="0" w:color="auto"/>
            <w:right w:val="none" w:sz="0" w:space="0" w:color="auto"/>
          </w:divBdr>
        </w:div>
        <w:div w:id="1296638233">
          <w:marLeft w:val="0"/>
          <w:marRight w:val="0"/>
          <w:marTop w:val="0"/>
          <w:marBottom w:val="0"/>
          <w:divBdr>
            <w:top w:val="none" w:sz="0" w:space="0" w:color="auto"/>
            <w:left w:val="none" w:sz="0" w:space="0" w:color="auto"/>
            <w:bottom w:val="none" w:sz="0" w:space="0" w:color="auto"/>
            <w:right w:val="none" w:sz="0" w:space="0" w:color="auto"/>
          </w:divBdr>
        </w:div>
        <w:div w:id="1303118925">
          <w:marLeft w:val="0"/>
          <w:marRight w:val="0"/>
          <w:marTop w:val="0"/>
          <w:marBottom w:val="0"/>
          <w:divBdr>
            <w:top w:val="none" w:sz="0" w:space="0" w:color="auto"/>
            <w:left w:val="none" w:sz="0" w:space="0" w:color="auto"/>
            <w:bottom w:val="none" w:sz="0" w:space="0" w:color="auto"/>
            <w:right w:val="none" w:sz="0" w:space="0" w:color="auto"/>
          </w:divBdr>
        </w:div>
        <w:div w:id="1319772560">
          <w:marLeft w:val="0"/>
          <w:marRight w:val="0"/>
          <w:marTop w:val="0"/>
          <w:marBottom w:val="0"/>
          <w:divBdr>
            <w:top w:val="none" w:sz="0" w:space="0" w:color="auto"/>
            <w:left w:val="none" w:sz="0" w:space="0" w:color="auto"/>
            <w:bottom w:val="none" w:sz="0" w:space="0" w:color="auto"/>
            <w:right w:val="none" w:sz="0" w:space="0" w:color="auto"/>
          </w:divBdr>
        </w:div>
        <w:div w:id="1343163623">
          <w:marLeft w:val="0"/>
          <w:marRight w:val="0"/>
          <w:marTop w:val="0"/>
          <w:marBottom w:val="0"/>
          <w:divBdr>
            <w:top w:val="none" w:sz="0" w:space="0" w:color="auto"/>
            <w:left w:val="none" w:sz="0" w:space="0" w:color="auto"/>
            <w:bottom w:val="none" w:sz="0" w:space="0" w:color="auto"/>
            <w:right w:val="none" w:sz="0" w:space="0" w:color="auto"/>
          </w:divBdr>
        </w:div>
        <w:div w:id="1348017610">
          <w:marLeft w:val="0"/>
          <w:marRight w:val="0"/>
          <w:marTop w:val="0"/>
          <w:marBottom w:val="0"/>
          <w:divBdr>
            <w:top w:val="none" w:sz="0" w:space="0" w:color="auto"/>
            <w:left w:val="none" w:sz="0" w:space="0" w:color="auto"/>
            <w:bottom w:val="none" w:sz="0" w:space="0" w:color="auto"/>
            <w:right w:val="none" w:sz="0" w:space="0" w:color="auto"/>
          </w:divBdr>
        </w:div>
        <w:div w:id="1351226458">
          <w:marLeft w:val="0"/>
          <w:marRight w:val="0"/>
          <w:marTop w:val="0"/>
          <w:marBottom w:val="0"/>
          <w:divBdr>
            <w:top w:val="none" w:sz="0" w:space="0" w:color="auto"/>
            <w:left w:val="none" w:sz="0" w:space="0" w:color="auto"/>
            <w:bottom w:val="none" w:sz="0" w:space="0" w:color="auto"/>
            <w:right w:val="none" w:sz="0" w:space="0" w:color="auto"/>
          </w:divBdr>
        </w:div>
        <w:div w:id="1352417394">
          <w:marLeft w:val="0"/>
          <w:marRight w:val="0"/>
          <w:marTop w:val="0"/>
          <w:marBottom w:val="0"/>
          <w:divBdr>
            <w:top w:val="none" w:sz="0" w:space="0" w:color="auto"/>
            <w:left w:val="none" w:sz="0" w:space="0" w:color="auto"/>
            <w:bottom w:val="none" w:sz="0" w:space="0" w:color="auto"/>
            <w:right w:val="none" w:sz="0" w:space="0" w:color="auto"/>
          </w:divBdr>
        </w:div>
        <w:div w:id="1386366912">
          <w:marLeft w:val="0"/>
          <w:marRight w:val="0"/>
          <w:marTop w:val="0"/>
          <w:marBottom w:val="0"/>
          <w:divBdr>
            <w:top w:val="none" w:sz="0" w:space="0" w:color="auto"/>
            <w:left w:val="none" w:sz="0" w:space="0" w:color="auto"/>
            <w:bottom w:val="none" w:sz="0" w:space="0" w:color="auto"/>
            <w:right w:val="none" w:sz="0" w:space="0" w:color="auto"/>
          </w:divBdr>
        </w:div>
        <w:div w:id="1398363852">
          <w:marLeft w:val="0"/>
          <w:marRight w:val="0"/>
          <w:marTop w:val="0"/>
          <w:marBottom w:val="0"/>
          <w:divBdr>
            <w:top w:val="none" w:sz="0" w:space="0" w:color="auto"/>
            <w:left w:val="none" w:sz="0" w:space="0" w:color="auto"/>
            <w:bottom w:val="none" w:sz="0" w:space="0" w:color="auto"/>
            <w:right w:val="none" w:sz="0" w:space="0" w:color="auto"/>
          </w:divBdr>
        </w:div>
        <w:div w:id="1398937091">
          <w:marLeft w:val="0"/>
          <w:marRight w:val="0"/>
          <w:marTop w:val="0"/>
          <w:marBottom w:val="0"/>
          <w:divBdr>
            <w:top w:val="none" w:sz="0" w:space="0" w:color="auto"/>
            <w:left w:val="none" w:sz="0" w:space="0" w:color="auto"/>
            <w:bottom w:val="none" w:sz="0" w:space="0" w:color="auto"/>
            <w:right w:val="none" w:sz="0" w:space="0" w:color="auto"/>
          </w:divBdr>
        </w:div>
        <w:div w:id="1409771346">
          <w:marLeft w:val="0"/>
          <w:marRight w:val="0"/>
          <w:marTop w:val="0"/>
          <w:marBottom w:val="0"/>
          <w:divBdr>
            <w:top w:val="none" w:sz="0" w:space="0" w:color="auto"/>
            <w:left w:val="none" w:sz="0" w:space="0" w:color="auto"/>
            <w:bottom w:val="none" w:sz="0" w:space="0" w:color="auto"/>
            <w:right w:val="none" w:sz="0" w:space="0" w:color="auto"/>
          </w:divBdr>
        </w:div>
        <w:div w:id="1418214403">
          <w:marLeft w:val="0"/>
          <w:marRight w:val="0"/>
          <w:marTop w:val="0"/>
          <w:marBottom w:val="0"/>
          <w:divBdr>
            <w:top w:val="none" w:sz="0" w:space="0" w:color="auto"/>
            <w:left w:val="none" w:sz="0" w:space="0" w:color="auto"/>
            <w:bottom w:val="none" w:sz="0" w:space="0" w:color="auto"/>
            <w:right w:val="none" w:sz="0" w:space="0" w:color="auto"/>
          </w:divBdr>
        </w:div>
        <w:div w:id="1433281091">
          <w:marLeft w:val="0"/>
          <w:marRight w:val="0"/>
          <w:marTop w:val="0"/>
          <w:marBottom w:val="0"/>
          <w:divBdr>
            <w:top w:val="none" w:sz="0" w:space="0" w:color="auto"/>
            <w:left w:val="none" w:sz="0" w:space="0" w:color="auto"/>
            <w:bottom w:val="none" w:sz="0" w:space="0" w:color="auto"/>
            <w:right w:val="none" w:sz="0" w:space="0" w:color="auto"/>
          </w:divBdr>
        </w:div>
        <w:div w:id="1435859367">
          <w:marLeft w:val="0"/>
          <w:marRight w:val="0"/>
          <w:marTop w:val="0"/>
          <w:marBottom w:val="0"/>
          <w:divBdr>
            <w:top w:val="none" w:sz="0" w:space="0" w:color="auto"/>
            <w:left w:val="none" w:sz="0" w:space="0" w:color="auto"/>
            <w:bottom w:val="none" w:sz="0" w:space="0" w:color="auto"/>
            <w:right w:val="none" w:sz="0" w:space="0" w:color="auto"/>
          </w:divBdr>
        </w:div>
        <w:div w:id="1442531409">
          <w:marLeft w:val="0"/>
          <w:marRight w:val="0"/>
          <w:marTop w:val="0"/>
          <w:marBottom w:val="0"/>
          <w:divBdr>
            <w:top w:val="none" w:sz="0" w:space="0" w:color="auto"/>
            <w:left w:val="none" w:sz="0" w:space="0" w:color="auto"/>
            <w:bottom w:val="none" w:sz="0" w:space="0" w:color="auto"/>
            <w:right w:val="none" w:sz="0" w:space="0" w:color="auto"/>
          </w:divBdr>
        </w:div>
        <w:div w:id="1444616604">
          <w:marLeft w:val="0"/>
          <w:marRight w:val="0"/>
          <w:marTop w:val="0"/>
          <w:marBottom w:val="0"/>
          <w:divBdr>
            <w:top w:val="none" w:sz="0" w:space="0" w:color="auto"/>
            <w:left w:val="none" w:sz="0" w:space="0" w:color="auto"/>
            <w:bottom w:val="none" w:sz="0" w:space="0" w:color="auto"/>
            <w:right w:val="none" w:sz="0" w:space="0" w:color="auto"/>
          </w:divBdr>
        </w:div>
        <w:div w:id="1458646978">
          <w:marLeft w:val="0"/>
          <w:marRight w:val="0"/>
          <w:marTop w:val="0"/>
          <w:marBottom w:val="0"/>
          <w:divBdr>
            <w:top w:val="none" w:sz="0" w:space="0" w:color="auto"/>
            <w:left w:val="none" w:sz="0" w:space="0" w:color="auto"/>
            <w:bottom w:val="none" w:sz="0" w:space="0" w:color="auto"/>
            <w:right w:val="none" w:sz="0" w:space="0" w:color="auto"/>
          </w:divBdr>
        </w:div>
        <w:div w:id="1471046790">
          <w:marLeft w:val="0"/>
          <w:marRight w:val="0"/>
          <w:marTop w:val="0"/>
          <w:marBottom w:val="0"/>
          <w:divBdr>
            <w:top w:val="none" w:sz="0" w:space="0" w:color="auto"/>
            <w:left w:val="none" w:sz="0" w:space="0" w:color="auto"/>
            <w:bottom w:val="none" w:sz="0" w:space="0" w:color="auto"/>
            <w:right w:val="none" w:sz="0" w:space="0" w:color="auto"/>
          </w:divBdr>
        </w:div>
        <w:div w:id="1490369384">
          <w:marLeft w:val="0"/>
          <w:marRight w:val="0"/>
          <w:marTop w:val="0"/>
          <w:marBottom w:val="0"/>
          <w:divBdr>
            <w:top w:val="none" w:sz="0" w:space="0" w:color="auto"/>
            <w:left w:val="none" w:sz="0" w:space="0" w:color="auto"/>
            <w:bottom w:val="none" w:sz="0" w:space="0" w:color="auto"/>
            <w:right w:val="none" w:sz="0" w:space="0" w:color="auto"/>
          </w:divBdr>
        </w:div>
        <w:div w:id="1492016554">
          <w:marLeft w:val="0"/>
          <w:marRight w:val="0"/>
          <w:marTop w:val="0"/>
          <w:marBottom w:val="0"/>
          <w:divBdr>
            <w:top w:val="none" w:sz="0" w:space="0" w:color="auto"/>
            <w:left w:val="none" w:sz="0" w:space="0" w:color="auto"/>
            <w:bottom w:val="none" w:sz="0" w:space="0" w:color="auto"/>
            <w:right w:val="none" w:sz="0" w:space="0" w:color="auto"/>
          </w:divBdr>
        </w:div>
        <w:div w:id="1494954583">
          <w:marLeft w:val="0"/>
          <w:marRight w:val="0"/>
          <w:marTop w:val="0"/>
          <w:marBottom w:val="0"/>
          <w:divBdr>
            <w:top w:val="none" w:sz="0" w:space="0" w:color="auto"/>
            <w:left w:val="none" w:sz="0" w:space="0" w:color="auto"/>
            <w:bottom w:val="none" w:sz="0" w:space="0" w:color="auto"/>
            <w:right w:val="none" w:sz="0" w:space="0" w:color="auto"/>
          </w:divBdr>
        </w:div>
        <w:div w:id="1503466204">
          <w:marLeft w:val="0"/>
          <w:marRight w:val="0"/>
          <w:marTop w:val="0"/>
          <w:marBottom w:val="0"/>
          <w:divBdr>
            <w:top w:val="none" w:sz="0" w:space="0" w:color="auto"/>
            <w:left w:val="none" w:sz="0" w:space="0" w:color="auto"/>
            <w:bottom w:val="none" w:sz="0" w:space="0" w:color="auto"/>
            <w:right w:val="none" w:sz="0" w:space="0" w:color="auto"/>
          </w:divBdr>
        </w:div>
        <w:div w:id="1508520000">
          <w:marLeft w:val="0"/>
          <w:marRight w:val="0"/>
          <w:marTop w:val="0"/>
          <w:marBottom w:val="0"/>
          <w:divBdr>
            <w:top w:val="none" w:sz="0" w:space="0" w:color="auto"/>
            <w:left w:val="none" w:sz="0" w:space="0" w:color="auto"/>
            <w:bottom w:val="none" w:sz="0" w:space="0" w:color="auto"/>
            <w:right w:val="none" w:sz="0" w:space="0" w:color="auto"/>
          </w:divBdr>
        </w:div>
        <w:div w:id="1520509031">
          <w:marLeft w:val="0"/>
          <w:marRight w:val="0"/>
          <w:marTop w:val="0"/>
          <w:marBottom w:val="0"/>
          <w:divBdr>
            <w:top w:val="none" w:sz="0" w:space="0" w:color="auto"/>
            <w:left w:val="none" w:sz="0" w:space="0" w:color="auto"/>
            <w:bottom w:val="none" w:sz="0" w:space="0" w:color="auto"/>
            <w:right w:val="none" w:sz="0" w:space="0" w:color="auto"/>
          </w:divBdr>
        </w:div>
        <w:div w:id="1530221378">
          <w:marLeft w:val="0"/>
          <w:marRight w:val="0"/>
          <w:marTop w:val="0"/>
          <w:marBottom w:val="0"/>
          <w:divBdr>
            <w:top w:val="none" w:sz="0" w:space="0" w:color="auto"/>
            <w:left w:val="none" w:sz="0" w:space="0" w:color="auto"/>
            <w:bottom w:val="none" w:sz="0" w:space="0" w:color="auto"/>
            <w:right w:val="none" w:sz="0" w:space="0" w:color="auto"/>
          </w:divBdr>
        </w:div>
        <w:div w:id="1555309257">
          <w:marLeft w:val="0"/>
          <w:marRight w:val="0"/>
          <w:marTop w:val="0"/>
          <w:marBottom w:val="0"/>
          <w:divBdr>
            <w:top w:val="none" w:sz="0" w:space="0" w:color="auto"/>
            <w:left w:val="none" w:sz="0" w:space="0" w:color="auto"/>
            <w:bottom w:val="none" w:sz="0" w:space="0" w:color="auto"/>
            <w:right w:val="none" w:sz="0" w:space="0" w:color="auto"/>
          </w:divBdr>
        </w:div>
        <w:div w:id="1562011673">
          <w:marLeft w:val="0"/>
          <w:marRight w:val="0"/>
          <w:marTop w:val="0"/>
          <w:marBottom w:val="0"/>
          <w:divBdr>
            <w:top w:val="none" w:sz="0" w:space="0" w:color="auto"/>
            <w:left w:val="none" w:sz="0" w:space="0" w:color="auto"/>
            <w:bottom w:val="none" w:sz="0" w:space="0" w:color="auto"/>
            <w:right w:val="none" w:sz="0" w:space="0" w:color="auto"/>
          </w:divBdr>
        </w:div>
        <w:div w:id="1577203108">
          <w:marLeft w:val="0"/>
          <w:marRight w:val="0"/>
          <w:marTop w:val="0"/>
          <w:marBottom w:val="0"/>
          <w:divBdr>
            <w:top w:val="none" w:sz="0" w:space="0" w:color="auto"/>
            <w:left w:val="none" w:sz="0" w:space="0" w:color="auto"/>
            <w:bottom w:val="none" w:sz="0" w:space="0" w:color="auto"/>
            <w:right w:val="none" w:sz="0" w:space="0" w:color="auto"/>
          </w:divBdr>
        </w:div>
        <w:div w:id="1582326782">
          <w:marLeft w:val="0"/>
          <w:marRight w:val="0"/>
          <w:marTop w:val="0"/>
          <w:marBottom w:val="0"/>
          <w:divBdr>
            <w:top w:val="none" w:sz="0" w:space="0" w:color="auto"/>
            <w:left w:val="none" w:sz="0" w:space="0" w:color="auto"/>
            <w:bottom w:val="none" w:sz="0" w:space="0" w:color="auto"/>
            <w:right w:val="none" w:sz="0" w:space="0" w:color="auto"/>
          </w:divBdr>
        </w:div>
        <w:div w:id="1586307568">
          <w:marLeft w:val="0"/>
          <w:marRight w:val="0"/>
          <w:marTop w:val="0"/>
          <w:marBottom w:val="0"/>
          <w:divBdr>
            <w:top w:val="none" w:sz="0" w:space="0" w:color="auto"/>
            <w:left w:val="none" w:sz="0" w:space="0" w:color="auto"/>
            <w:bottom w:val="none" w:sz="0" w:space="0" w:color="auto"/>
            <w:right w:val="none" w:sz="0" w:space="0" w:color="auto"/>
          </w:divBdr>
        </w:div>
        <w:div w:id="1588272045">
          <w:marLeft w:val="0"/>
          <w:marRight w:val="0"/>
          <w:marTop w:val="0"/>
          <w:marBottom w:val="0"/>
          <w:divBdr>
            <w:top w:val="none" w:sz="0" w:space="0" w:color="auto"/>
            <w:left w:val="none" w:sz="0" w:space="0" w:color="auto"/>
            <w:bottom w:val="none" w:sz="0" w:space="0" w:color="auto"/>
            <w:right w:val="none" w:sz="0" w:space="0" w:color="auto"/>
          </w:divBdr>
        </w:div>
        <w:div w:id="1593245924">
          <w:marLeft w:val="0"/>
          <w:marRight w:val="0"/>
          <w:marTop w:val="0"/>
          <w:marBottom w:val="0"/>
          <w:divBdr>
            <w:top w:val="none" w:sz="0" w:space="0" w:color="auto"/>
            <w:left w:val="none" w:sz="0" w:space="0" w:color="auto"/>
            <w:bottom w:val="none" w:sz="0" w:space="0" w:color="auto"/>
            <w:right w:val="none" w:sz="0" w:space="0" w:color="auto"/>
          </w:divBdr>
        </w:div>
        <w:div w:id="1614095959">
          <w:marLeft w:val="0"/>
          <w:marRight w:val="0"/>
          <w:marTop w:val="0"/>
          <w:marBottom w:val="0"/>
          <w:divBdr>
            <w:top w:val="none" w:sz="0" w:space="0" w:color="auto"/>
            <w:left w:val="none" w:sz="0" w:space="0" w:color="auto"/>
            <w:bottom w:val="none" w:sz="0" w:space="0" w:color="auto"/>
            <w:right w:val="none" w:sz="0" w:space="0" w:color="auto"/>
          </w:divBdr>
        </w:div>
        <w:div w:id="1627538309">
          <w:marLeft w:val="0"/>
          <w:marRight w:val="0"/>
          <w:marTop w:val="0"/>
          <w:marBottom w:val="0"/>
          <w:divBdr>
            <w:top w:val="none" w:sz="0" w:space="0" w:color="auto"/>
            <w:left w:val="none" w:sz="0" w:space="0" w:color="auto"/>
            <w:bottom w:val="none" w:sz="0" w:space="0" w:color="auto"/>
            <w:right w:val="none" w:sz="0" w:space="0" w:color="auto"/>
          </w:divBdr>
        </w:div>
        <w:div w:id="1632638562">
          <w:marLeft w:val="0"/>
          <w:marRight w:val="0"/>
          <w:marTop w:val="0"/>
          <w:marBottom w:val="0"/>
          <w:divBdr>
            <w:top w:val="none" w:sz="0" w:space="0" w:color="auto"/>
            <w:left w:val="none" w:sz="0" w:space="0" w:color="auto"/>
            <w:bottom w:val="none" w:sz="0" w:space="0" w:color="auto"/>
            <w:right w:val="none" w:sz="0" w:space="0" w:color="auto"/>
          </w:divBdr>
        </w:div>
        <w:div w:id="1633511158">
          <w:marLeft w:val="0"/>
          <w:marRight w:val="0"/>
          <w:marTop w:val="0"/>
          <w:marBottom w:val="0"/>
          <w:divBdr>
            <w:top w:val="none" w:sz="0" w:space="0" w:color="auto"/>
            <w:left w:val="none" w:sz="0" w:space="0" w:color="auto"/>
            <w:bottom w:val="none" w:sz="0" w:space="0" w:color="auto"/>
            <w:right w:val="none" w:sz="0" w:space="0" w:color="auto"/>
          </w:divBdr>
        </w:div>
        <w:div w:id="1640114551">
          <w:marLeft w:val="0"/>
          <w:marRight w:val="0"/>
          <w:marTop w:val="0"/>
          <w:marBottom w:val="0"/>
          <w:divBdr>
            <w:top w:val="none" w:sz="0" w:space="0" w:color="auto"/>
            <w:left w:val="none" w:sz="0" w:space="0" w:color="auto"/>
            <w:bottom w:val="none" w:sz="0" w:space="0" w:color="auto"/>
            <w:right w:val="none" w:sz="0" w:space="0" w:color="auto"/>
          </w:divBdr>
        </w:div>
        <w:div w:id="1645576165">
          <w:marLeft w:val="0"/>
          <w:marRight w:val="0"/>
          <w:marTop w:val="0"/>
          <w:marBottom w:val="0"/>
          <w:divBdr>
            <w:top w:val="none" w:sz="0" w:space="0" w:color="auto"/>
            <w:left w:val="none" w:sz="0" w:space="0" w:color="auto"/>
            <w:bottom w:val="none" w:sz="0" w:space="0" w:color="auto"/>
            <w:right w:val="none" w:sz="0" w:space="0" w:color="auto"/>
          </w:divBdr>
        </w:div>
        <w:div w:id="1684629785">
          <w:marLeft w:val="0"/>
          <w:marRight w:val="0"/>
          <w:marTop w:val="0"/>
          <w:marBottom w:val="0"/>
          <w:divBdr>
            <w:top w:val="none" w:sz="0" w:space="0" w:color="auto"/>
            <w:left w:val="none" w:sz="0" w:space="0" w:color="auto"/>
            <w:bottom w:val="none" w:sz="0" w:space="0" w:color="auto"/>
            <w:right w:val="none" w:sz="0" w:space="0" w:color="auto"/>
          </w:divBdr>
        </w:div>
        <w:div w:id="1697005908">
          <w:marLeft w:val="0"/>
          <w:marRight w:val="0"/>
          <w:marTop w:val="0"/>
          <w:marBottom w:val="0"/>
          <w:divBdr>
            <w:top w:val="none" w:sz="0" w:space="0" w:color="auto"/>
            <w:left w:val="none" w:sz="0" w:space="0" w:color="auto"/>
            <w:bottom w:val="none" w:sz="0" w:space="0" w:color="auto"/>
            <w:right w:val="none" w:sz="0" w:space="0" w:color="auto"/>
          </w:divBdr>
        </w:div>
        <w:div w:id="1704867411">
          <w:marLeft w:val="0"/>
          <w:marRight w:val="0"/>
          <w:marTop w:val="0"/>
          <w:marBottom w:val="0"/>
          <w:divBdr>
            <w:top w:val="none" w:sz="0" w:space="0" w:color="auto"/>
            <w:left w:val="none" w:sz="0" w:space="0" w:color="auto"/>
            <w:bottom w:val="none" w:sz="0" w:space="0" w:color="auto"/>
            <w:right w:val="none" w:sz="0" w:space="0" w:color="auto"/>
          </w:divBdr>
        </w:div>
        <w:div w:id="1711415975">
          <w:marLeft w:val="0"/>
          <w:marRight w:val="0"/>
          <w:marTop w:val="0"/>
          <w:marBottom w:val="0"/>
          <w:divBdr>
            <w:top w:val="none" w:sz="0" w:space="0" w:color="auto"/>
            <w:left w:val="none" w:sz="0" w:space="0" w:color="auto"/>
            <w:bottom w:val="none" w:sz="0" w:space="0" w:color="auto"/>
            <w:right w:val="none" w:sz="0" w:space="0" w:color="auto"/>
          </w:divBdr>
        </w:div>
        <w:div w:id="1713460476">
          <w:marLeft w:val="0"/>
          <w:marRight w:val="0"/>
          <w:marTop w:val="0"/>
          <w:marBottom w:val="0"/>
          <w:divBdr>
            <w:top w:val="none" w:sz="0" w:space="0" w:color="auto"/>
            <w:left w:val="none" w:sz="0" w:space="0" w:color="auto"/>
            <w:bottom w:val="none" w:sz="0" w:space="0" w:color="auto"/>
            <w:right w:val="none" w:sz="0" w:space="0" w:color="auto"/>
          </w:divBdr>
        </w:div>
        <w:div w:id="1715108879">
          <w:marLeft w:val="0"/>
          <w:marRight w:val="0"/>
          <w:marTop w:val="0"/>
          <w:marBottom w:val="0"/>
          <w:divBdr>
            <w:top w:val="none" w:sz="0" w:space="0" w:color="auto"/>
            <w:left w:val="none" w:sz="0" w:space="0" w:color="auto"/>
            <w:bottom w:val="none" w:sz="0" w:space="0" w:color="auto"/>
            <w:right w:val="none" w:sz="0" w:space="0" w:color="auto"/>
          </w:divBdr>
        </w:div>
        <w:div w:id="1722484276">
          <w:marLeft w:val="0"/>
          <w:marRight w:val="0"/>
          <w:marTop w:val="0"/>
          <w:marBottom w:val="0"/>
          <w:divBdr>
            <w:top w:val="none" w:sz="0" w:space="0" w:color="auto"/>
            <w:left w:val="none" w:sz="0" w:space="0" w:color="auto"/>
            <w:bottom w:val="none" w:sz="0" w:space="0" w:color="auto"/>
            <w:right w:val="none" w:sz="0" w:space="0" w:color="auto"/>
          </w:divBdr>
        </w:div>
        <w:div w:id="1743596998">
          <w:marLeft w:val="0"/>
          <w:marRight w:val="0"/>
          <w:marTop w:val="0"/>
          <w:marBottom w:val="0"/>
          <w:divBdr>
            <w:top w:val="none" w:sz="0" w:space="0" w:color="auto"/>
            <w:left w:val="none" w:sz="0" w:space="0" w:color="auto"/>
            <w:bottom w:val="none" w:sz="0" w:space="0" w:color="auto"/>
            <w:right w:val="none" w:sz="0" w:space="0" w:color="auto"/>
          </w:divBdr>
        </w:div>
        <w:div w:id="1785728098">
          <w:marLeft w:val="0"/>
          <w:marRight w:val="0"/>
          <w:marTop w:val="0"/>
          <w:marBottom w:val="0"/>
          <w:divBdr>
            <w:top w:val="none" w:sz="0" w:space="0" w:color="auto"/>
            <w:left w:val="none" w:sz="0" w:space="0" w:color="auto"/>
            <w:bottom w:val="none" w:sz="0" w:space="0" w:color="auto"/>
            <w:right w:val="none" w:sz="0" w:space="0" w:color="auto"/>
          </w:divBdr>
        </w:div>
        <w:div w:id="1786999142">
          <w:marLeft w:val="0"/>
          <w:marRight w:val="0"/>
          <w:marTop w:val="0"/>
          <w:marBottom w:val="0"/>
          <w:divBdr>
            <w:top w:val="none" w:sz="0" w:space="0" w:color="auto"/>
            <w:left w:val="none" w:sz="0" w:space="0" w:color="auto"/>
            <w:bottom w:val="none" w:sz="0" w:space="0" w:color="auto"/>
            <w:right w:val="none" w:sz="0" w:space="0" w:color="auto"/>
          </w:divBdr>
        </w:div>
        <w:div w:id="1788968893">
          <w:marLeft w:val="0"/>
          <w:marRight w:val="0"/>
          <w:marTop w:val="0"/>
          <w:marBottom w:val="0"/>
          <w:divBdr>
            <w:top w:val="none" w:sz="0" w:space="0" w:color="auto"/>
            <w:left w:val="none" w:sz="0" w:space="0" w:color="auto"/>
            <w:bottom w:val="none" w:sz="0" w:space="0" w:color="auto"/>
            <w:right w:val="none" w:sz="0" w:space="0" w:color="auto"/>
          </w:divBdr>
        </w:div>
        <w:div w:id="1790859613">
          <w:marLeft w:val="0"/>
          <w:marRight w:val="0"/>
          <w:marTop w:val="0"/>
          <w:marBottom w:val="0"/>
          <w:divBdr>
            <w:top w:val="none" w:sz="0" w:space="0" w:color="auto"/>
            <w:left w:val="none" w:sz="0" w:space="0" w:color="auto"/>
            <w:bottom w:val="none" w:sz="0" w:space="0" w:color="auto"/>
            <w:right w:val="none" w:sz="0" w:space="0" w:color="auto"/>
          </w:divBdr>
        </w:div>
        <w:div w:id="1801608622">
          <w:marLeft w:val="0"/>
          <w:marRight w:val="0"/>
          <w:marTop w:val="0"/>
          <w:marBottom w:val="0"/>
          <w:divBdr>
            <w:top w:val="none" w:sz="0" w:space="0" w:color="auto"/>
            <w:left w:val="none" w:sz="0" w:space="0" w:color="auto"/>
            <w:bottom w:val="none" w:sz="0" w:space="0" w:color="auto"/>
            <w:right w:val="none" w:sz="0" w:space="0" w:color="auto"/>
          </w:divBdr>
        </w:div>
        <w:div w:id="1807701578">
          <w:marLeft w:val="0"/>
          <w:marRight w:val="0"/>
          <w:marTop w:val="0"/>
          <w:marBottom w:val="0"/>
          <w:divBdr>
            <w:top w:val="none" w:sz="0" w:space="0" w:color="auto"/>
            <w:left w:val="none" w:sz="0" w:space="0" w:color="auto"/>
            <w:bottom w:val="none" w:sz="0" w:space="0" w:color="auto"/>
            <w:right w:val="none" w:sz="0" w:space="0" w:color="auto"/>
          </w:divBdr>
        </w:div>
        <w:div w:id="1811441858">
          <w:marLeft w:val="0"/>
          <w:marRight w:val="0"/>
          <w:marTop w:val="0"/>
          <w:marBottom w:val="0"/>
          <w:divBdr>
            <w:top w:val="none" w:sz="0" w:space="0" w:color="auto"/>
            <w:left w:val="none" w:sz="0" w:space="0" w:color="auto"/>
            <w:bottom w:val="none" w:sz="0" w:space="0" w:color="auto"/>
            <w:right w:val="none" w:sz="0" w:space="0" w:color="auto"/>
          </w:divBdr>
        </w:div>
        <w:div w:id="1836993093">
          <w:marLeft w:val="0"/>
          <w:marRight w:val="0"/>
          <w:marTop w:val="0"/>
          <w:marBottom w:val="0"/>
          <w:divBdr>
            <w:top w:val="none" w:sz="0" w:space="0" w:color="auto"/>
            <w:left w:val="none" w:sz="0" w:space="0" w:color="auto"/>
            <w:bottom w:val="none" w:sz="0" w:space="0" w:color="auto"/>
            <w:right w:val="none" w:sz="0" w:space="0" w:color="auto"/>
          </w:divBdr>
        </w:div>
        <w:div w:id="1846090279">
          <w:marLeft w:val="0"/>
          <w:marRight w:val="0"/>
          <w:marTop w:val="0"/>
          <w:marBottom w:val="0"/>
          <w:divBdr>
            <w:top w:val="none" w:sz="0" w:space="0" w:color="auto"/>
            <w:left w:val="none" w:sz="0" w:space="0" w:color="auto"/>
            <w:bottom w:val="none" w:sz="0" w:space="0" w:color="auto"/>
            <w:right w:val="none" w:sz="0" w:space="0" w:color="auto"/>
          </w:divBdr>
        </w:div>
        <w:div w:id="1850286980">
          <w:marLeft w:val="0"/>
          <w:marRight w:val="0"/>
          <w:marTop w:val="0"/>
          <w:marBottom w:val="0"/>
          <w:divBdr>
            <w:top w:val="none" w:sz="0" w:space="0" w:color="auto"/>
            <w:left w:val="none" w:sz="0" w:space="0" w:color="auto"/>
            <w:bottom w:val="none" w:sz="0" w:space="0" w:color="auto"/>
            <w:right w:val="none" w:sz="0" w:space="0" w:color="auto"/>
          </w:divBdr>
        </w:div>
        <w:div w:id="1858612783">
          <w:marLeft w:val="0"/>
          <w:marRight w:val="0"/>
          <w:marTop w:val="0"/>
          <w:marBottom w:val="0"/>
          <w:divBdr>
            <w:top w:val="none" w:sz="0" w:space="0" w:color="auto"/>
            <w:left w:val="none" w:sz="0" w:space="0" w:color="auto"/>
            <w:bottom w:val="none" w:sz="0" w:space="0" w:color="auto"/>
            <w:right w:val="none" w:sz="0" w:space="0" w:color="auto"/>
          </w:divBdr>
        </w:div>
        <w:div w:id="1858764639">
          <w:marLeft w:val="0"/>
          <w:marRight w:val="0"/>
          <w:marTop w:val="0"/>
          <w:marBottom w:val="0"/>
          <w:divBdr>
            <w:top w:val="none" w:sz="0" w:space="0" w:color="auto"/>
            <w:left w:val="none" w:sz="0" w:space="0" w:color="auto"/>
            <w:bottom w:val="none" w:sz="0" w:space="0" w:color="auto"/>
            <w:right w:val="none" w:sz="0" w:space="0" w:color="auto"/>
          </w:divBdr>
        </w:div>
        <w:div w:id="1880973660">
          <w:marLeft w:val="0"/>
          <w:marRight w:val="0"/>
          <w:marTop w:val="0"/>
          <w:marBottom w:val="0"/>
          <w:divBdr>
            <w:top w:val="none" w:sz="0" w:space="0" w:color="auto"/>
            <w:left w:val="none" w:sz="0" w:space="0" w:color="auto"/>
            <w:bottom w:val="none" w:sz="0" w:space="0" w:color="auto"/>
            <w:right w:val="none" w:sz="0" w:space="0" w:color="auto"/>
          </w:divBdr>
        </w:div>
        <w:div w:id="1887524112">
          <w:marLeft w:val="0"/>
          <w:marRight w:val="0"/>
          <w:marTop w:val="0"/>
          <w:marBottom w:val="0"/>
          <w:divBdr>
            <w:top w:val="none" w:sz="0" w:space="0" w:color="auto"/>
            <w:left w:val="none" w:sz="0" w:space="0" w:color="auto"/>
            <w:bottom w:val="none" w:sz="0" w:space="0" w:color="auto"/>
            <w:right w:val="none" w:sz="0" w:space="0" w:color="auto"/>
          </w:divBdr>
        </w:div>
        <w:div w:id="1895265617">
          <w:marLeft w:val="0"/>
          <w:marRight w:val="0"/>
          <w:marTop w:val="0"/>
          <w:marBottom w:val="0"/>
          <w:divBdr>
            <w:top w:val="none" w:sz="0" w:space="0" w:color="auto"/>
            <w:left w:val="none" w:sz="0" w:space="0" w:color="auto"/>
            <w:bottom w:val="none" w:sz="0" w:space="0" w:color="auto"/>
            <w:right w:val="none" w:sz="0" w:space="0" w:color="auto"/>
          </w:divBdr>
        </w:div>
        <w:div w:id="1896308665">
          <w:marLeft w:val="0"/>
          <w:marRight w:val="0"/>
          <w:marTop w:val="0"/>
          <w:marBottom w:val="0"/>
          <w:divBdr>
            <w:top w:val="none" w:sz="0" w:space="0" w:color="auto"/>
            <w:left w:val="none" w:sz="0" w:space="0" w:color="auto"/>
            <w:bottom w:val="none" w:sz="0" w:space="0" w:color="auto"/>
            <w:right w:val="none" w:sz="0" w:space="0" w:color="auto"/>
          </w:divBdr>
        </w:div>
        <w:div w:id="1915510215">
          <w:marLeft w:val="0"/>
          <w:marRight w:val="0"/>
          <w:marTop w:val="0"/>
          <w:marBottom w:val="0"/>
          <w:divBdr>
            <w:top w:val="none" w:sz="0" w:space="0" w:color="auto"/>
            <w:left w:val="none" w:sz="0" w:space="0" w:color="auto"/>
            <w:bottom w:val="none" w:sz="0" w:space="0" w:color="auto"/>
            <w:right w:val="none" w:sz="0" w:space="0" w:color="auto"/>
          </w:divBdr>
        </w:div>
        <w:div w:id="1920289425">
          <w:marLeft w:val="0"/>
          <w:marRight w:val="0"/>
          <w:marTop w:val="0"/>
          <w:marBottom w:val="0"/>
          <w:divBdr>
            <w:top w:val="none" w:sz="0" w:space="0" w:color="auto"/>
            <w:left w:val="none" w:sz="0" w:space="0" w:color="auto"/>
            <w:bottom w:val="none" w:sz="0" w:space="0" w:color="auto"/>
            <w:right w:val="none" w:sz="0" w:space="0" w:color="auto"/>
          </w:divBdr>
        </w:div>
        <w:div w:id="1931965869">
          <w:marLeft w:val="0"/>
          <w:marRight w:val="0"/>
          <w:marTop w:val="0"/>
          <w:marBottom w:val="0"/>
          <w:divBdr>
            <w:top w:val="none" w:sz="0" w:space="0" w:color="auto"/>
            <w:left w:val="none" w:sz="0" w:space="0" w:color="auto"/>
            <w:bottom w:val="none" w:sz="0" w:space="0" w:color="auto"/>
            <w:right w:val="none" w:sz="0" w:space="0" w:color="auto"/>
          </w:divBdr>
        </w:div>
        <w:div w:id="1951281759">
          <w:marLeft w:val="0"/>
          <w:marRight w:val="0"/>
          <w:marTop w:val="0"/>
          <w:marBottom w:val="0"/>
          <w:divBdr>
            <w:top w:val="none" w:sz="0" w:space="0" w:color="auto"/>
            <w:left w:val="none" w:sz="0" w:space="0" w:color="auto"/>
            <w:bottom w:val="none" w:sz="0" w:space="0" w:color="auto"/>
            <w:right w:val="none" w:sz="0" w:space="0" w:color="auto"/>
          </w:divBdr>
        </w:div>
        <w:div w:id="2003043894">
          <w:marLeft w:val="0"/>
          <w:marRight w:val="0"/>
          <w:marTop w:val="0"/>
          <w:marBottom w:val="0"/>
          <w:divBdr>
            <w:top w:val="none" w:sz="0" w:space="0" w:color="auto"/>
            <w:left w:val="none" w:sz="0" w:space="0" w:color="auto"/>
            <w:bottom w:val="none" w:sz="0" w:space="0" w:color="auto"/>
            <w:right w:val="none" w:sz="0" w:space="0" w:color="auto"/>
          </w:divBdr>
        </w:div>
        <w:div w:id="2024237119">
          <w:marLeft w:val="0"/>
          <w:marRight w:val="0"/>
          <w:marTop w:val="0"/>
          <w:marBottom w:val="0"/>
          <w:divBdr>
            <w:top w:val="none" w:sz="0" w:space="0" w:color="auto"/>
            <w:left w:val="none" w:sz="0" w:space="0" w:color="auto"/>
            <w:bottom w:val="none" w:sz="0" w:space="0" w:color="auto"/>
            <w:right w:val="none" w:sz="0" w:space="0" w:color="auto"/>
          </w:divBdr>
        </w:div>
      </w:divsChild>
    </w:div>
    <w:div w:id="792359775">
      <w:bodyDiv w:val="1"/>
      <w:marLeft w:val="0"/>
      <w:marRight w:val="0"/>
      <w:marTop w:val="0"/>
      <w:marBottom w:val="0"/>
      <w:divBdr>
        <w:top w:val="none" w:sz="0" w:space="0" w:color="auto"/>
        <w:left w:val="none" w:sz="0" w:space="0" w:color="auto"/>
        <w:bottom w:val="none" w:sz="0" w:space="0" w:color="auto"/>
        <w:right w:val="none" w:sz="0" w:space="0" w:color="auto"/>
      </w:divBdr>
    </w:div>
    <w:div w:id="792596039">
      <w:bodyDiv w:val="1"/>
      <w:marLeft w:val="0"/>
      <w:marRight w:val="0"/>
      <w:marTop w:val="0"/>
      <w:marBottom w:val="0"/>
      <w:divBdr>
        <w:top w:val="none" w:sz="0" w:space="0" w:color="auto"/>
        <w:left w:val="none" w:sz="0" w:space="0" w:color="auto"/>
        <w:bottom w:val="none" w:sz="0" w:space="0" w:color="auto"/>
        <w:right w:val="none" w:sz="0" w:space="0" w:color="auto"/>
      </w:divBdr>
    </w:div>
    <w:div w:id="792671784">
      <w:bodyDiv w:val="1"/>
      <w:marLeft w:val="0"/>
      <w:marRight w:val="0"/>
      <w:marTop w:val="0"/>
      <w:marBottom w:val="0"/>
      <w:divBdr>
        <w:top w:val="none" w:sz="0" w:space="0" w:color="auto"/>
        <w:left w:val="none" w:sz="0" w:space="0" w:color="auto"/>
        <w:bottom w:val="none" w:sz="0" w:space="0" w:color="auto"/>
        <w:right w:val="none" w:sz="0" w:space="0" w:color="auto"/>
      </w:divBdr>
    </w:div>
    <w:div w:id="792674539">
      <w:bodyDiv w:val="1"/>
      <w:marLeft w:val="0"/>
      <w:marRight w:val="0"/>
      <w:marTop w:val="0"/>
      <w:marBottom w:val="0"/>
      <w:divBdr>
        <w:top w:val="none" w:sz="0" w:space="0" w:color="auto"/>
        <w:left w:val="none" w:sz="0" w:space="0" w:color="auto"/>
        <w:bottom w:val="none" w:sz="0" w:space="0" w:color="auto"/>
        <w:right w:val="none" w:sz="0" w:space="0" w:color="auto"/>
      </w:divBdr>
    </w:div>
    <w:div w:id="792677558">
      <w:bodyDiv w:val="1"/>
      <w:marLeft w:val="0"/>
      <w:marRight w:val="0"/>
      <w:marTop w:val="0"/>
      <w:marBottom w:val="0"/>
      <w:divBdr>
        <w:top w:val="none" w:sz="0" w:space="0" w:color="auto"/>
        <w:left w:val="none" w:sz="0" w:space="0" w:color="auto"/>
        <w:bottom w:val="none" w:sz="0" w:space="0" w:color="auto"/>
        <w:right w:val="none" w:sz="0" w:space="0" w:color="auto"/>
      </w:divBdr>
    </w:div>
    <w:div w:id="792942607">
      <w:bodyDiv w:val="1"/>
      <w:marLeft w:val="0"/>
      <w:marRight w:val="0"/>
      <w:marTop w:val="0"/>
      <w:marBottom w:val="0"/>
      <w:divBdr>
        <w:top w:val="none" w:sz="0" w:space="0" w:color="auto"/>
        <w:left w:val="none" w:sz="0" w:space="0" w:color="auto"/>
        <w:bottom w:val="none" w:sz="0" w:space="0" w:color="auto"/>
        <w:right w:val="none" w:sz="0" w:space="0" w:color="auto"/>
      </w:divBdr>
    </w:div>
    <w:div w:id="792942668">
      <w:bodyDiv w:val="1"/>
      <w:marLeft w:val="0"/>
      <w:marRight w:val="0"/>
      <w:marTop w:val="0"/>
      <w:marBottom w:val="0"/>
      <w:divBdr>
        <w:top w:val="none" w:sz="0" w:space="0" w:color="auto"/>
        <w:left w:val="none" w:sz="0" w:space="0" w:color="auto"/>
        <w:bottom w:val="none" w:sz="0" w:space="0" w:color="auto"/>
        <w:right w:val="none" w:sz="0" w:space="0" w:color="auto"/>
      </w:divBdr>
    </w:div>
    <w:div w:id="793058789">
      <w:bodyDiv w:val="1"/>
      <w:marLeft w:val="0"/>
      <w:marRight w:val="0"/>
      <w:marTop w:val="0"/>
      <w:marBottom w:val="0"/>
      <w:divBdr>
        <w:top w:val="none" w:sz="0" w:space="0" w:color="auto"/>
        <w:left w:val="none" w:sz="0" w:space="0" w:color="auto"/>
        <w:bottom w:val="none" w:sz="0" w:space="0" w:color="auto"/>
        <w:right w:val="none" w:sz="0" w:space="0" w:color="auto"/>
      </w:divBdr>
    </w:div>
    <w:div w:id="793058989">
      <w:bodyDiv w:val="1"/>
      <w:marLeft w:val="0"/>
      <w:marRight w:val="0"/>
      <w:marTop w:val="0"/>
      <w:marBottom w:val="0"/>
      <w:divBdr>
        <w:top w:val="none" w:sz="0" w:space="0" w:color="auto"/>
        <w:left w:val="none" w:sz="0" w:space="0" w:color="auto"/>
        <w:bottom w:val="none" w:sz="0" w:space="0" w:color="auto"/>
        <w:right w:val="none" w:sz="0" w:space="0" w:color="auto"/>
      </w:divBdr>
    </w:div>
    <w:div w:id="793131484">
      <w:bodyDiv w:val="1"/>
      <w:marLeft w:val="0"/>
      <w:marRight w:val="0"/>
      <w:marTop w:val="0"/>
      <w:marBottom w:val="0"/>
      <w:divBdr>
        <w:top w:val="none" w:sz="0" w:space="0" w:color="auto"/>
        <w:left w:val="none" w:sz="0" w:space="0" w:color="auto"/>
        <w:bottom w:val="none" w:sz="0" w:space="0" w:color="auto"/>
        <w:right w:val="none" w:sz="0" w:space="0" w:color="auto"/>
      </w:divBdr>
    </w:div>
    <w:div w:id="793132706">
      <w:bodyDiv w:val="1"/>
      <w:marLeft w:val="0"/>
      <w:marRight w:val="0"/>
      <w:marTop w:val="0"/>
      <w:marBottom w:val="0"/>
      <w:divBdr>
        <w:top w:val="none" w:sz="0" w:space="0" w:color="auto"/>
        <w:left w:val="none" w:sz="0" w:space="0" w:color="auto"/>
        <w:bottom w:val="none" w:sz="0" w:space="0" w:color="auto"/>
        <w:right w:val="none" w:sz="0" w:space="0" w:color="auto"/>
      </w:divBdr>
    </w:div>
    <w:div w:id="793207866">
      <w:bodyDiv w:val="1"/>
      <w:marLeft w:val="0"/>
      <w:marRight w:val="0"/>
      <w:marTop w:val="0"/>
      <w:marBottom w:val="0"/>
      <w:divBdr>
        <w:top w:val="none" w:sz="0" w:space="0" w:color="auto"/>
        <w:left w:val="none" w:sz="0" w:space="0" w:color="auto"/>
        <w:bottom w:val="none" w:sz="0" w:space="0" w:color="auto"/>
        <w:right w:val="none" w:sz="0" w:space="0" w:color="auto"/>
      </w:divBdr>
    </w:div>
    <w:div w:id="793257009">
      <w:bodyDiv w:val="1"/>
      <w:marLeft w:val="0"/>
      <w:marRight w:val="0"/>
      <w:marTop w:val="0"/>
      <w:marBottom w:val="0"/>
      <w:divBdr>
        <w:top w:val="none" w:sz="0" w:space="0" w:color="auto"/>
        <w:left w:val="none" w:sz="0" w:space="0" w:color="auto"/>
        <w:bottom w:val="none" w:sz="0" w:space="0" w:color="auto"/>
        <w:right w:val="none" w:sz="0" w:space="0" w:color="auto"/>
      </w:divBdr>
    </w:div>
    <w:div w:id="793257197">
      <w:bodyDiv w:val="1"/>
      <w:marLeft w:val="0"/>
      <w:marRight w:val="0"/>
      <w:marTop w:val="0"/>
      <w:marBottom w:val="0"/>
      <w:divBdr>
        <w:top w:val="none" w:sz="0" w:space="0" w:color="auto"/>
        <w:left w:val="none" w:sz="0" w:space="0" w:color="auto"/>
        <w:bottom w:val="none" w:sz="0" w:space="0" w:color="auto"/>
        <w:right w:val="none" w:sz="0" w:space="0" w:color="auto"/>
      </w:divBdr>
    </w:div>
    <w:div w:id="793257379">
      <w:bodyDiv w:val="1"/>
      <w:marLeft w:val="0"/>
      <w:marRight w:val="0"/>
      <w:marTop w:val="0"/>
      <w:marBottom w:val="0"/>
      <w:divBdr>
        <w:top w:val="none" w:sz="0" w:space="0" w:color="auto"/>
        <w:left w:val="none" w:sz="0" w:space="0" w:color="auto"/>
        <w:bottom w:val="none" w:sz="0" w:space="0" w:color="auto"/>
        <w:right w:val="none" w:sz="0" w:space="0" w:color="auto"/>
      </w:divBdr>
    </w:div>
    <w:div w:id="793329522">
      <w:bodyDiv w:val="1"/>
      <w:marLeft w:val="0"/>
      <w:marRight w:val="0"/>
      <w:marTop w:val="0"/>
      <w:marBottom w:val="0"/>
      <w:divBdr>
        <w:top w:val="none" w:sz="0" w:space="0" w:color="auto"/>
        <w:left w:val="none" w:sz="0" w:space="0" w:color="auto"/>
        <w:bottom w:val="none" w:sz="0" w:space="0" w:color="auto"/>
        <w:right w:val="none" w:sz="0" w:space="0" w:color="auto"/>
      </w:divBdr>
    </w:div>
    <w:div w:id="793331472">
      <w:bodyDiv w:val="1"/>
      <w:marLeft w:val="0"/>
      <w:marRight w:val="0"/>
      <w:marTop w:val="0"/>
      <w:marBottom w:val="0"/>
      <w:divBdr>
        <w:top w:val="none" w:sz="0" w:space="0" w:color="auto"/>
        <w:left w:val="none" w:sz="0" w:space="0" w:color="auto"/>
        <w:bottom w:val="none" w:sz="0" w:space="0" w:color="auto"/>
        <w:right w:val="none" w:sz="0" w:space="0" w:color="auto"/>
      </w:divBdr>
    </w:div>
    <w:div w:id="793334362">
      <w:bodyDiv w:val="1"/>
      <w:marLeft w:val="0"/>
      <w:marRight w:val="0"/>
      <w:marTop w:val="0"/>
      <w:marBottom w:val="0"/>
      <w:divBdr>
        <w:top w:val="none" w:sz="0" w:space="0" w:color="auto"/>
        <w:left w:val="none" w:sz="0" w:space="0" w:color="auto"/>
        <w:bottom w:val="none" w:sz="0" w:space="0" w:color="auto"/>
        <w:right w:val="none" w:sz="0" w:space="0" w:color="auto"/>
      </w:divBdr>
    </w:div>
    <w:div w:id="793668826">
      <w:bodyDiv w:val="1"/>
      <w:marLeft w:val="0"/>
      <w:marRight w:val="0"/>
      <w:marTop w:val="0"/>
      <w:marBottom w:val="0"/>
      <w:divBdr>
        <w:top w:val="none" w:sz="0" w:space="0" w:color="auto"/>
        <w:left w:val="none" w:sz="0" w:space="0" w:color="auto"/>
        <w:bottom w:val="none" w:sz="0" w:space="0" w:color="auto"/>
        <w:right w:val="none" w:sz="0" w:space="0" w:color="auto"/>
      </w:divBdr>
    </w:div>
    <w:div w:id="793669905">
      <w:bodyDiv w:val="1"/>
      <w:marLeft w:val="0"/>
      <w:marRight w:val="0"/>
      <w:marTop w:val="0"/>
      <w:marBottom w:val="0"/>
      <w:divBdr>
        <w:top w:val="none" w:sz="0" w:space="0" w:color="auto"/>
        <w:left w:val="none" w:sz="0" w:space="0" w:color="auto"/>
        <w:bottom w:val="none" w:sz="0" w:space="0" w:color="auto"/>
        <w:right w:val="none" w:sz="0" w:space="0" w:color="auto"/>
      </w:divBdr>
    </w:div>
    <w:div w:id="793672269">
      <w:bodyDiv w:val="1"/>
      <w:marLeft w:val="0"/>
      <w:marRight w:val="0"/>
      <w:marTop w:val="0"/>
      <w:marBottom w:val="0"/>
      <w:divBdr>
        <w:top w:val="none" w:sz="0" w:space="0" w:color="auto"/>
        <w:left w:val="none" w:sz="0" w:space="0" w:color="auto"/>
        <w:bottom w:val="none" w:sz="0" w:space="0" w:color="auto"/>
        <w:right w:val="none" w:sz="0" w:space="0" w:color="auto"/>
      </w:divBdr>
    </w:div>
    <w:div w:id="793719467">
      <w:bodyDiv w:val="1"/>
      <w:marLeft w:val="0"/>
      <w:marRight w:val="0"/>
      <w:marTop w:val="0"/>
      <w:marBottom w:val="0"/>
      <w:divBdr>
        <w:top w:val="none" w:sz="0" w:space="0" w:color="auto"/>
        <w:left w:val="none" w:sz="0" w:space="0" w:color="auto"/>
        <w:bottom w:val="none" w:sz="0" w:space="0" w:color="auto"/>
        <w:right w:val="none" w:sz="0" w:space="0" w:color="auto"/>
      </w:divBdr>
    </w:div>
    <w:div w:id="793788531">
      <w:bodyDiv w:val="1"/>
      <w:marLeft w:val="0"/>
      <w:marRight w:val="0"/>
      <w:marTop w:val="0"/>
      <w:marBottom w:val="0"/>
      <w:divBdr>
        <w:top w:val="none" w:sz="0" w:space="0" w:color="auto"/>
        <w:left w:val="none" w:sz="0" w:space="0" w:color="auto"/>
        <w:bottom w:val="none" w:sz="0" w:space="0" w:color="auto"/>
        <w:right w:val="none" w:sz="0" w:space="0" w:color="auto"/>
      </w:divBdr>
    </w:div>
    <w:div w:id="793795157">
      <w:bodyDiv w:val="1"/>
      <w:marLeft w:val="0"/>
      <w:marRight w:val="0"/>
      <w:marTop w:val="0"/>
      <w:marBottom w:val="0"/>
      <w:divBdr>
        <w:top w:val="none" w:sz="0" w:space="0" w:color="auto"/>
        <w:left w:val="none" w:sz="0" w:space="0" w:color="auto"/>
        <w:bottom w:val="none" w:sz="0" w:space="0" w:color="auto"/>
        <w:right w:val="none" w:sz="0" w:space="0" w:color="auto"/>
      </w:divBdr>
    </w:div>
    <w:div w:id="793868265">
      <w:bodyDiv w:val="1"/>
      <w:marLeft w:val="0"/>
      <w:marRight w:val="0"/>
      <w:marTop w:val="0"/>
      <w:marBottom w:val="0"/>
      <w:divBdr>
        <w:top w:val="none" w:sz="0" w:space="0" w:color="auto"/>
        <w:left w:val="none" w:sz="0" w:space="0" w:color="auto"/>
        <w:bottom w:val="none" w:sz="0" w:space="0" w:color="auto"/>
        <w:right w:val="none" w:sz="0" w:space="0" w:color="auto"/>
      </w:divBdr>
    </w:div>
    <w:div w:id="794062645">
      <w:bodyDiv w:val="1"/>
      <w:marLeft w:val="0"/>
      <w:marRight w:val="0"/>
      <w:marTop w:val="0"/>
      <w:marBottom w:val="0"/>
      <w:divBdr>
        <w:top w:val="none" w:sz="0" w:space="0" w:color="auto"/>
        <w:left w:val="none" w:sz="0" w:space="0" w:color="auto"/>
        <w:bottom w:val="none" w:sz="0" w:space="0" w:color="auto"/>
        <w:right w:val="none" w:sz="0" w:space="0" w:color="auto"/>
      </w:divBdr>
    </w:div>
    <w:div w:id="794063602">
      <w:bodyDiv w:val="1"/>
      <w:marLeft w:val="0"/>
      <w:marRight w:val="0"/>
      <w:marTop w:val="0"/>
      <w:marBottom w:val="0"/>
      <w:divBdr>
        <w:top w:val="none" w:sz="0" w:space="0" w:color="auto"/>
        <w:left w:val="none" w:sz="0" w:space="0" w:color="auto"/>
        <w:bottom w:val="none" w:sz="0" w:space="0" w:color="auto"/>
        <w:right w:val="none" w:sz="0" w:space="0" w:color="auto"/>
      </w:divBdr>
    </w:div>
    <w:div w:id="794180203">
      <w:bodyDiv w:val="1"/>
      <w:marLeft w:val="0"/>
      <w:marRight w:val="0"/>
      <w:marTop w:val="0"/>
      <w:marBottom w:val="0"/>
      <w:divBdr>
        <w:top w:val="none" w:sz="0" w:space="0" w:color="auto"/>
        <w:left w:val="none" w:sz="0" w:space="0" w:color="auto"/>
        <w:bottom w:val="none" w:sz="0" w:space="0" w:color="auto"/>
        <w:right w:val="none" w:sz="0" w:space="0" w:color="auto"/>
      </w:divBdr>
    </w:div>
    <w:div w:id="794255277">
      <w:bodyDiv w:val="1"/>
      <w:marLeft w:val="0"/>
      <w:marRight w:val="0"/>
      <w:marTop w:val="0"/>
      <w:marBottom w:val="0"/>
      <w:divBdr>
        <w:top w:val="none" w:sz="0" w:space="0" w:color="auto"/>
        <w:left w:val="none" w:sz="0" w:space="0" w:color="auto"/>
        <w:bottom w:val="none" w:sz="0" w:space="0" w:color="auto"/>
        <w:right w:val="none" w:sz="0" w:space="0" w:color="auto"/>
      </w:divBdr>
    </w:div>
    <w:div w:id="794299109">
      <w:bodyDiv w:val="1"/>
      <w:marLeft w:val="0"/>
      <w:marRight w:val="0"/>
      <w:marTop w:val="0"/>
      <w:marBottom w:val="0"/>
      <w:divBdr>
        <w:top w:val="none" w:sz="0" w:space="0" w:color="auto"/>
        <w:left w:val="none" w:sz="0" w:space="0" w:color="auto"/>
        <w:bottom w:val="none" w:sz="0" w:space="0" w:color="auto"/>
        <w:right w:val="none" w:sz="0" w:space="0" w:color="auto"/>
      </w:divBdr>
    </w:div>
    <w:div w:id="794327463">
      <w:bodyDiv w:val="1"/>
      <w:marLeft w:val="0"/>
      <w:marRight w:val="0"/>
      <w:marTop w:val="0"/>
      <w:marBottom w:val="0"/>
      <w:divBdr>
        <w:top w:val="none" w:sz="0" w:space="0" w:color="auto"/>
        <w:left w:val="none" w:sz="0" w:space="0" w:color="auto"/>
        <w:bottom w:val="none" w:sz="0" w:space="0" w:color="auto"/>
        <w:right w:val="none" w:sz="0" w:space="0" w:color="auto"/>
      </w:divBdr>
    </w:div>
    <w:div w:id="794369071">
      <w:bodyDiv w:val="1"/>
      <w:marLeft w:val="0"/>
      <w:marRight w:val="0"/>
      <w:marTop w:val="0"/>
      <w:marBottom w:val="0"/>
      <w:divBdr>
        <w:top w:val="none" w:sz="0" w:space="0" w:color="auto"/>
        <w:left w:val="none" w:sz="0" w:space="0" w:color="auto"/>
        <w:bottom w:val="none" w:sz="0" w:space="0" w:color="auto"/>
        <w:right w:val="none" w:sz="0" w:space="0" w:color="auto"/>
      </w:divBdr>
    </w:div>
    <w:div w:id="794443721">
      <w:bodyDiv w:val="1"/>
      <w:marLeft w:val="0"/>
      <w:marRight w:val="0"/>
      <w:marTop w:val="0"/>
      <w:marBottom w:val="0"/>
      <w:divBdr>
        <w:top w:val="none" w:sz="0" w:space="0" w:color="auto"/>
        <w:left w:val="none" w:sz="0" w:space="0" w:color="auto"/>
        <w:bottom w:val="none" w:sz="0" w:space="0" w:color="auto"/>
        <w:right w:val="none" w:sz="0" w:space="0" w:color="auto"/>
      </w:divBdr>
    </w:div>
    <w:div w:id="794636714">
      <w:bodyDiv w:val="1"/>
      <w:marLeft w:val="0"/>
      <w:marRight w:val="0"/>
      <w:marTop w:val="0"/>
      <w:marBottom w:val="0"/>
      <w:divBdr>
        <w:top w:val="none" w:sz="0" w:space="0" w:color="auto"/>
        <w:left w:val="none" w:sz="0" w:space="0" w:color="auto"/>
        <w:bottom w:val="none" w:sz="0" w:space="0" w:color="auto"/>
        <w:right w:val="none" w:sz="0" w:space="0" w:color="auto"/>
      </w:divBdr>
    </w:div>
    <w:div w:id="794644757">
      <w:bodyDiv w:val="1"/>
      <w:marLeft w:val="0"/>
      <w:marRight w:val="0"/>
      <w:marTop w:val="0"/>
      <w:marBottom w:val="0"/>
      <w:divBdr>
        <w:top w:val="none" w:sz="0" w:space="0" w:color="auto"/>
        <w:left w:val="none" w:sz="0" w:space="0" w:color="auto"/>
        <w:bottom w:val="none" w:sz="0" w:space="0" w:color="auto"/>
        <w:right w:val="none" w:sz="0" w:space="0" w:color="auto"/>
      </w:divBdr>
    </w:div>
    <w:div w:id="794757289">
      <w:bodyDiv w:val="1"/>
      <w:marLeft w:val="0"/>
      <w:marRight w:val="0"/>
      <w:marTop w:val="0"/>
      <w:marBottom w:val="0"/>
      <w:divBdr>
        <w:top w:val="none" w:sz="0" w:space="0" w:color="auto"/>
        <w:left w:val="none" w:sz="0" w:space="0" w:color="auto"/>
        <w:bottom w:val="none" w:sz="0" w:space="0" w:color="auto"/>
        <w:right w:val="none" w:sz="0" w:space="0" w:color="auto"/>
      </w:divBdr>
    </w:div>
    <w:div w:id="794832734">
      <w:bodyDiv w:val="1"/>
      <w:marLeft w:val="0"/>
      <w:marRight w:val="0"/>
      <w:marTop w:val="0"/>
      <w:marBottom w:val="0"/>
      <w:divBdr>
        <w:top w:val="none" w:sz="0" w:space="0" w:color="auto"/>
        <w:left w:val="none" w:sz="0" w:space="0" w:color="auto"/>
        <w:bottom w:val="none" w:sz="0" w:space="0" w:color="auto"/>
        <w:right w:val="none" w:sz="0" w:space="0" w:color="auto"/>
      </w:divBdr>
    </w:div>
    <w:div w:id="794909833">
      <w:bodyDiv w:val="1"/>
      <w:marLeft w:val="0"/>
      <w:marRight w:val="0"/>
      <w:marTop w:val="0"/>
      <w:marBottom w:val="0"/>
      <w:divBdr>
        <w:top w:val="none" w:sz="0" w:space="0" w:color="auto"/>
        <w:left w:val="none" w:sz="0" w:space="0" w:color="auto"/>
        <w:bottom w:val="none" w:sz="0" w:space="0" w:color="auto"/>
        <w:right w:val="none" w:sz="0" w:space="0" w:color="auto"/>
      </w:divBdr>
    </w:div>
    <w:div w:id="794954400">
      <w:bodyDiv w:val="1"/>
      <w:marLeft w:val="0"/>
      <w:marRight w:val="0"/>
      <w:marTop w:val="0"/>
      <w:marBottom w:val="0"/>
      <w:divBdr>
        <w:top w:val="none" w:sz="0" w:space="0" w:color="auto"/>
        <w:left w:val="none" w:sz="0" w:space="0" w:color="auto"/>
        <w:bottom w:val="none" w:sz="0" w:space="0" w:color="auto"/>
        <w:right w:val="none" w:sz="0" w:space="0" w:color="auto"/>
      </w:divBdr>
    </w:div>
    <w:div w:id="794984256">
      <w:bodyDiv w:val="1"/>
      <w:marLeft w:val="0"/>
      <w:marRight w:val="0"/>
      <w:marTop w:val="0"/>
      <w:marBottom w:val="0"/>
      <w:divBdr>
        <w:top w:val="none" w:sz="0" w:space="0" w:color="auto"/>
        <w:left w:val="none" w:sz="0" w:space="0" w:color="auto"/>
        <w:bottom w:val="none" w:sz="0" w:space="0" w:color="auto"/>
        <w:right w:val="none" w:sz="0" w:space="0" w:color="auto"/>
      </w:divBdr>
    </w:div>
    <w:div w:id="795026564">
      <w:bodyDiv w:val="1"/>
      <w:marLeft w:val="0"/>
      <w:marRight w:val="0"/>
      <w:marTop w:val="0"/>
      <w:marBottom w:val="0"/>
      <w:divBdr>
        <w:top w:val="none" w:sz="0" w:space="0" w:color="auto"/>
        <w:left w:val="none" w:sz="0" w:space="0" w:color="auto"/>
        <w:bottom w:val="none" w:sz="0" w:space="0" w:color="auto"/>
        <w:right w:val="none" w:sz="0" w:space="0" w:color="auto"/>
      </w:divBdr>
    </w:div>
    <w:div w:id="795030344">
      <w:bodyDiv w:val="1"/>
      <w:marLeft w:val="0"/>
      <w:marRight w:val="0"/>
      <w:marTop w:val="0"/>
      <w:marBottom w:val="0"/>
      <w:divBdr>
        <w:top w:val="none" w:sz="0" w:space="0" w:color="auto"/>
        <w:left w:val="none" w:sz="0" w:space="0" w:color="auto"/>
        <w:bottom w:val="none" w:sz="0" w:space="0" w:color="auto"/>
        <w:right w:val="none" w:sz="0" w:space="0" w:color="auto"/>
      </w:divBdr>
    </w:div>
    <w:div w:id="795098237">
      <w:bodyDiv w:val="1"/>
      <w:marLeft w:val="0"/>
      <w:marRight w:val="0"/>
      <w:marTop w:val="0"/>
      <w:marBottom w:val="0"/>
      <w:divBdr>
        <w:top w:val="none" w:sz="0" w:space="0" w:color="auto"/>
        <w:left w:val="none" w:sz="0" w:space="0" w:color="auto"/>
        <w:bottom w:val="none" w:sz="0" w:space="0" w:color="auto"/>
        <w:right w:val="none" w:sz="0" w:space="0" w:color="auto"/>
      </w:divBdr>
    </w:div>
    <w:div w:id="795099937">
      <w:bodyDiv w:val="1"/>
      <w:marLeft w:val="0"/>
      <w:marRight w:val="0"/>
      <w:marTop w:val="0"/>
      <w:marBottom w:val="0"/>
      <w:divBdr>
        <w:top w:val="none" w:sz="0" w:space="0" w:color="auto"/>
        <w:left w:val="none" w:sz="0" w:space="0" w:color="auto"/>
        <w:bottom w:val="none" w:sz="0" w:space="0" w:color="auto"/>
        <w:right w:val="none" w:sz="0" w:space="0" w:color="auto"/>
      </w:divBdr>
    </w:div>
    <w:div w:id="795173323">
      <w:bodyDiv w:val="1"/>
      <w:marLeft w:val="0"/>
      <w:marRight w:val="0"/>
      <w:marTop w:val="0"/>
      <w:marBottom w:val="0"/>
      <w:divBdr>
        <w:top w:val="none" w:sz="0" w:space="0" w:color="auto"/>
        <w:left w:val="none" w:sz="0" w:space="0" w:color="auto"/>
        <w:bottom w:val="none" w:sz="0" w:space="0" w:color="auto"/>
        <w:right w:val="none" w:sz="0" w:space="0" w:color="auto"/>
      </w:divBdr>
    </w:div>
    <w:div w:id="795174048">
      <w:bodyDiv w:val="1"/>
      <w:marLeft w:val="0"/>
      <w:marRight w:val="0"/>
      <w:marTop w:val="0"/>
      <w:marBottom w:val="0"/>
      <w:divBdr>
        <w:top w:val="none" w:sz="0" w:space="0" w:color="auto"/>
        <w:left w:val="none" w:sz="0" w:space="0" w:color="auto"/>
        <w:bottom w:val="none" w:sz="0" w:space="0" w:color="auto"/>
        <w:right w:val="none" w:sz="0" w:space="0" w:color="auto"/>
      </w:divBdr>
    </w:div>
    <w:div w:id="795217216">
      <w:bodyDiv w:val="1"/>
      <w:marLeft w:val="0"/>
      <w:marRight w:val="0"/>
      <w:marTop w:val="0"/>
      <w:marBottom w:val="0"/>
      <w:divBdr>
        <w:top w:val="none" w:sz="0" w:space="0" w:color="auto"/>
        <w:left w:val="none" w:sz="0" w:space="0" w:color="auto"/>
        <w:bottom w:val="none" w:sz="0" w:space="0" w:color="auto"/>
        <w:right w:val="none" w:sz="0" w:space="0" w:color="auto"/>
      </w:divBdr>
    </w:div>
    <w:div w:id="795374223">
      <w:bodyDiv w:val="1"/>
      <w:marLeft w:val="0"/>
      <w:marRight w:val="0"/>
      <w:marTop w:val="0"/>
      <w:marBottom w:val="0"/>
      <w:divBdr>
        <w:top w:val="none" w:sz="0" w:space="0" w:color="auto"/>
        <w:left w:val="none" w:sz="0" w:space="0" w:color="auto"/>
        <w:bottom w:val="none" w:sz="0" w:space="0" w:color="auto"/>
        <w:right w:val="none" w:sz="0" w:space="0" w:color="auto"/>
      </w:divBdr>
    </w:div>
    <w:div w:id="795410974">
      <w:bodyDiv w:val="1"/>
      <w:marLeft w:val="0"/>
      <w:marRight w:val="0"/>
      <w:marTop w:val="0"/>
      <w:marBottom w:val="0"/>
      <w:divBdr>
        <w:top w:val="none" w:sz="0" w:space="0" w:color="auto"/>
        <w:left w:val="none" w:sz="0" w:space="0" w:color="auto"/>
        <w:bottom w:val="none" w:sz="0" w:space="0" w:color="auto"/>
        <w:right w:val="none" w:sz="0" w:space="0" w:color="auto"/>
      </w:divBdr>
    </w:div>
    <w:div w:id="795412849">
      <w:bodyDiv w:val="1"/>
      <w:marLeft w:val="0"/>
      <w:marRight w:val="0"/>
      <w:marTop w:val="0"/>
      <w:marBottom w:val="0"/>
      <w:divBdr>
        <w:top w:val="none" w:sz="0" w:space="0" w:color="auto"/>
        <w:left w:val="none" w:sz="0" w:space="0" w:color="auto"/>
        <w:bottom w:val="none" w:sz="0" w:space="0" w:color="auto"/>
        <w:right w:val="none" w:sz="0" w:space="0" w:color="auto"/>
      </w:divBdr>
    </w:div>
    <w:div w:id="795752856">
      <w:bodyDiv w:val="1"/>
      <w:marLeft w:val="0"/>
      <w:marRight w:val="0"/>
      <w:marTop w:val="0"/>
      <w:marBottom w:val="0"/>
      <w:divBdr>
        <w:top w:val="none" w:sz="0" w:space="0" w:color="auto"/>
        <w:left w:val="none" w:sz="0" w:space="0" w:color="auto"/>
        <w:bottom w:val="none" w:sz="0" w:space="0" w:color="auto"/>
        <w:right w:val="none" w:sz="0" w:space="0" w:color="auto"/>
      </w:divBdr>
    </w:div>
    <w:div w:id="795752906">
      <w:bodyDiv w:val="1"/>
      <w:marLeft w:val="0"/>
      <w:marRight w:val="0"/>
      <w:marTop w:val="0"/>
      <w:marBottom w:val="0"/>
      <w:divBdr>
        <w:top w:val="none" w:sz="0" w:space="0" w:color="auto"/>
        <w:left w:val="none" w:sz="0" w:space="0" w:color="auto"/>
        <w:bottom w:val="none" w:sz="0" w:space="0" w:color="auto"/>
        <w:right w:val="none" w:sz="0" w:space="0" w:color="auto"/>
      </w:divBdr>
    </w:div>
    <w:div w:id="795759441">
      <w:bodyDiv w:val="1"/>
      <w:marLeft w:val="0"/>
      <w:marRight w:val="0"/>
      <w:marTop w:val="0"/>
      <w:marBottom w:val="0"/>
      <w:divBdr>
        <w:top w:val="none" w:sz="0" w:space="0" w:color="auto"/>
        <w:left w:val="none" w:sz="0" w:space="0" w:color="auto"/>
        <w:bottom w:val="none" w:sz="0" w:space="0" w:color="auto"/>
        <w:right w:val="none" w:sz="0" w:space="0" w:color="auto"/>
      </w:divBdr>
    </w:div>
    <w:div w:id="795759722">
      <w:bodyDiv w:val="1"/>
      <w:marLeft w:val="0"/>
      <w:marRight w:val="0"/>
      <w:marTop w:val="0"/>
      <w:marBottom w:val="0"/>
      <w:divBdr>
        <w:top w:val="none" w:sz="0" w:space="0" w:color="auto"/>
        <w:left w:val="none" w:sz="0" w:space="0" w:color="auto"/>
        <w:bottom w:val="none" w:sz="0" w:space="0" w:color="auto"/>
        <w:right w:val="none" w:sz="0" w:space="0" w:color="auto"/>
      </w:divBdr>
    </w:div>
    <w:div w:id="795829787">
      <w:bodyDiv w:val="1"/>
      <w:marLeft w:val="0"/>
      <w:marRight w:val="0"/>
      <w:marTop w:val="0"/>
      <w:marBottom w:val="0"/>
      <w:divBdr>
        <w:top w:val="none" w:sz="0" w:space="0" w:color="auto"/>
        <w:left w:val="none" w:sz="0" w:space="0" w:color="auto"/>
        <w:bottom w:val="none" w:sz="0" w:space="0" w:color="auto"/>
        <w:right w:val="none" w:sz="0" w:space="0" w:color="auto"/>
      </w:divBdr>
    </w:div>
    <w:div w:id="795871881">
      <w:bodyDiv w:val="1"/>
      <w:marLeft w:val="0"/>
      <w:marRight w:val="0"/>
      <w:marTop w:val="0"/>
      <w:marBottom w:val="0"/>
      <w:divBdr>
        <w:top w:val="none" w:sz="0" w:space="0" w:color="auto"/>
        <w:left w:val="none" w:sz="0" w:space="0" w:color="auto"/>
        <w:bottom w:val="none" w:sz="0" w:space="0" w:color="auto"/>
        <w:right w:val="none" w:sz="0" w:space="0" w:color="auto"/>
      </w:divBdr>
    </w:div>
    <w:div w:id="796027512">
      <w:bodyDiv w:val="1"/>
      <w:marLeft w:val="0"/>
      <w:marRight w:val="0"/>
      <w:marTop w:val="0"/>
      <w:marBottom w:val="0"/>
      <w:divBdr>
        <w:top w:val="none" w:sz="0" w:space="0" w:color="auto"/>
        <w:left w:val="none" w:sz="0" w:space="0" w:color="auto"/>
        <w:bottom w:val="none" w:sz="0" w:space="0" w:color="auto"/>
        <w:right w:val="none" w:sz="0" w:space="0" w:color="auto"/>
      </w:divBdr>
    </w:div>
    <w:div w:id="796139181">
      <w:bodyDiv w:val="1"/>
      <w:marLeft w:val="0"/>
      <w:marRight w:val="0"/>
      <w:marTop w:val="0"/>
      <w:marBottom w:val="0"/>
      <w:divBdr>
        <w:top w:val="none" w:sz="0" w:space="0" w:color="auto"/>
        <w:left w:val="none" w:sz="0" w:space="0" w:color="auto"/>
        <w:bottom w:val="none" w:sz="0" w:space="0" w:color="auto"/>
        <w:right w:val="none" w:sz="0" w:space="0" w:color="auto"/>
      </w:divBdr>
    </w:div>
    <w:div w:id="796147719">
      <w:bodyDiv w:val="1"/>
      <w:marLeft w:val="0"/>
      <w:marRight w:val="0"/>
      <w:marTop w:val="0"/>
      <w:marBottom w:val="0"/>
      <w:divBdr>
        <w:top w:val="none" w:sz="0" w:space="0" w:color="auto"/>
        <w:left w:val="none" w:sz="0" w:space="0" w:color="auto"/>
        <w:bottom w:val="none" w:sz="0" w:space="0" w:color="auto"/>
        <w:right w:val="none" w:sz="0" w:space="0" w:color="auto"/>
      </w:divBdr>
    </w:div>
    <w:div w:id="796264106">
      <w:bodyDiv w:val="1"/>
      <w:marLeft w:val="0"/>
      <w:marRight w:val="0"/>
      <w:marTop w:val="0"/>
      <w:marBottom w:val="0"/>
      <w:divBdr>
        <w:top w:val="none" w:sz="0" w:space="0" w:color="auto"/>
        <w:left w:val="none" w:sz="0" w:space="0" w:color="auto"/>
        <w:bottom w:val="none" w:sz="0" w:space="0" w:color="auto"/>
        <w:right w:val="none" w:sz="0" w:space="0" w:color="auto"/>
      </w:divBdr>
    </w:div>
    <w:div w:id="796294030">
      <w:bodyDiv w:val="1"/>
      <w:marLeft w:val="0"/>
      <w:marRight w:val="0"/>
      <w:marTop w:val="0"/>
      <w:marBottom w:val="0"/>
      <w:divBdr>
        <w:top w:val="none" w:sz="0" w:space="0" w:color="auto"/>
        <w:left w:val="none" w:sz="0" w:space="0" w:color="auto"/>
        <w:bottom w:val="none" w:sz="0" w:space="0" w:color="auto"/>
        <w:right w:val="none" w:sz="0" w:space="0" w:color="auto"/>
      </w:divBdr>
    </w:div>
    <w:div w:id="796408612">
      <w:bodyDiv w:val="1"/>
      <w:marLeft w:val="0"/>
      <w:marRight w:val="0"/>
      <w:marTop w:val="0"/>
      <w:marBottom w:val="0"/>
      <w:divBdr>
        <w:top w:val="none" w:sz="0" w:space="0" w:color="auto"/>
        <w:left w:val="none" w:sz="0" w:space="0" w:color="auto"/>
        <w:bottom w:val="none" w:sz="0" w:space="0" w:color="auto"/>
        <w:right w:val="none" w:sz="0" w:space="0" w:color="auto"/>
      </w:divBdr>
    </w:div>
    <w:div w:id="796410119">
      <w:bodyDiv w:val="1"/>
      <w:marLeft w:val="0"/>
      <w:marRight w:val="0"/>
      <w:marTop w:val="0"/>
      <w:marBottom w:val="0"/>
      <w:divBdr>
        <w:top w:val="none" w:sz="0" w:space="0" w:color="auto"/>
        <w:left w:val="none" w:sz="0" w:space="0" w:color="auto"/>
        <w:bottom w:val="none" w:sz="0" w:space="0" w:color="auto"/>
        <w:right w:val="none" w:sz="0" w:space="0" w:color="auto"/>
      </w:divBdr>
    </w:div>
    <w:div w:id="796410178">
      <w:bodyDiv w:val="1"/>
      <w:marLeft w:val="0"/>
      <w:marRight w:val="0"/>
      <w:marTop w:val="0"/>
      <w:marBottom w:val="0"/>
      <w:divBdr>
        <w:top w:val="none" w:sz="0" w:space="0" w:color="auto"/>
        <w:left w:val="none" w:sz="0" w:space="0" w:color="auto"/>
        <w:bottom w:val="none" w:sz="0" w:space="0" w:color="auto"/>
        <w:right w:val="none" w:sz="0" w:space="0" w:color="auto"/>
      </w:divBdr>
    </w:div>
    <w:div w:id="796415181">
      <w:bodyDiv w:val="1"/>
      <w:marLeft w:val="0"/>
      <w:marRight w:val="0"/>
      <w:marTop w:val="0"/>
      <w:marBottom w:val="0"/>
      <w:divBdr>
        <w:top w:val="none" w:sz="0" w:space="0" w:color="auto"/>
        <w:left w:val="none" w:sz="0" w:space="0" w:color="auto"/>
        <w:bottom w:val="none" w:sz="0" w:space="0" w:color="auto"/>
        <w:right w:val="none" w:sz="0" w:space="0" w:color="auto"/>
      </w:divBdr>
    </w:div>
    <w:div w:id="796484648">
      <w:bodyDiv w:val="1"/>
      <w:marLeft w:val="0"/>
      <w:marRight w:val="0"/>
      <w:marTop w:val="0"/>
      <w:marBottom w:val="0"/>
      <w:divBdr>
        <w:top w:val="none" w:sz="0" w:space="0" w:color="auto"/>
        <w:left w:val="none" w:sz="0" w:space="0" w:color="auto"/>
        <w:bottom w:val="none" w:sz="0" w:space="0" w:color="auto"/>
        <w:right w:val="none" w:sz="0" w:space="0" w:color="auto"/>
      </w:divBdr>
    </w:div>
    <w:div w:id="796489834">
      <w:bodyDiv w:val="1"/>
      <w:marLeft w:val="0"/>
      <w:marRight w:val="0"/>
      <w:marTop w:val="0"/>
      <w:marBottom w:val="0"/>
      <w:divBdr>
        <w:top w:val="none" w:sz="0" w:space="0" w:color="auto"/>
        <w:left w:val="none" w:sz="0" w:space="0" w:color="auto"/>
        <w:bottom w:val="none" w:sz="0" w:space="0" w:color="auto"/>
        <w:right w:val="none" w:sz="0" w:space="0" w:color="auto"/>
      </w:divBdr>
    </w:div>
    <w:div w:id="796528466">
      <w:bodyDiv w:val="1"/>
      <w:marLeft w:val="0"/>
      <w:marRight w:val="0"/>
      <w:marTop w:val="0"/>
      <w:marBottom w:val="0"/>
      <w:divBdr>
        <w:top w:val="none" w:sz="0" w:space="0" w:color="auto"/>
        <w:left w:val="none" w:sz="0" w:space="0" w:color="auto"/>
        <w:bottom w:val="none" w:sz="0" w:space="0" w:color="auto"/>
        <w:right w:val="none" w:sz="0" w:space="0" w:color="auto"/>
      </w:divBdr>
    </w:div>
    <w:div w:id="796609318">
      <w:bodyDiv w:val="1"/>
      <w:marLeft w:val="0"/>
      <w:marRight w:val="0"/>
      <w:marTop w:val="0"/>
      <w:marBottom w:val="0"/>
      <w:divBdr>
        <w:top w:val="none" w:sz="0" w:space="0" w:color="auto"/>
        <w:left w:val="none" w:sz="0" w:space="0" w:color="auto"/>
        <w:bottom w:val="none" w:sz="0" w:space="0" w:color="auto"/>
        <w:right w:val="none" w:sz="0" w:space="0" w:color="auto"/>
      </w:divBdr>
    </w:div>
    <w:div w:id="796724415">
      <w:bodyDiv w:val="1"/>
      <w:marLeft w:val="0"/>
      <w:marRight w:val="0"/>
      <w:marTop w:val="0"/>
      <w:marBottom w:val="0"/>
      <w:divBdr>
        <w:top w:val="none" w:sz="0" w:space="0" w:color="auto"/>
        <w:left w:val="none" w:sz="0" w:space="0" w:color="auto"/>
        <w:bottom w:val="none" w:sz="0" w:space="0" w:color="auto"/>
        <w:right w:val="none" w:sz="0" w:space="0" w:color="auto"/>
      </w:divBdr>
    </w:div>
    <w:div w:id="797064472">
      <w:bodyDiv w:val="1"/>
      <w:marLeft w:val="0"/>
      <w:marRight w:val="0"/>
      <w:marTop w:val="0"/>
      <w:marBottom w:val="0"/>
      <w:divBdr>
        <w:top w:val="none" w:sz="0" w:space="0" w:color="auto"/>
        <w:left w:val="none" w:sz="0" w:space="0" w:color="auto"/>
        <w:bottom w:val="none" w:sz="0" w:space="0" w:color="auto"/>
        <w:right w:val="none" w:sz="0" w:space="0" w:color="auto"/>
      </w:divBdr>
    </w:div>
    <w:div w:id="797070508">
      <w:bodyDiv w:val="1"/>
      <w:marLeft w:val="0"/>
      <w:marRight w:val="0"/>
      <w:marTop w:val="0"/>
      <w:marBottom w:val="0"/>
      <w:divBdr>
        <w:top w:val="none" w:sz="0" w:space="0" w:color="auto"/>
        <w:left w:val="none" w:sz="0" w:space="0" w:color="auto"/>
        <w:bottom w:val="none" w:sz="0" w:space="0" w:color="auto"/>
        <w:right w:val="none" w:sz="0" w:space="0" w:color="auto"/>
      </w:divBdr>
    </w:div>
    <w:div w:id="797264471">
      <w:bodyDiv w:val="1"/>
      <w:marLeft w:val="0"/>
      <w:marRight w:val="0"/>
      <w:marTop w:val="0"/>
      <w:marBottom w:val="0"/>
      <w:divBdr>
        <w:top w:val="none" w:sz="0" w:space="0" w:color="auto"/>
        <w:left w:val="none" w:sz="0" w:space="0" w:color="auto"/>
        <w:bottom w:val="none" w:sz="0" w:space="0" w:color="auto"/>
        <w:right w:val="none" w:sz="0" w:space="0" w:color="auto"/>
      </w:divBdr>
    </w:div>
    <w:div w:id="797334001">
      <w:bodyDiv w:val="1"/>
      <w:marLeft w:val="0"/>
      <w:marRight w:val="0"/>
      <w:marTop w:val="0"/>
      <w:marBottom w:val="0"/>
      <w:divBdr>
        <w:top w:val="none" w:sz="0" w:space="0" w:color="auto"/>
        <w:left w:val="none" w:sz="0" w:space="0" w:color="auto"/>
        <w:bottom w:val="none" w:sz="0" w:space="0" w:color="auto"/>
        <w:right w:val="none" w:sz="0" w:space="0" w:color="auto"/>
      </w:divBdr>
    </w:div>
    <w:div w:id="797450300">
      <w:bodyDiv w:val="1"/>
      <w:marLeft w:val="0"/>
      <w:marRight w:val="0"/>
      <w:marTop w:val="0"/>
      <w:marBottom w:val="0"/>
      <w:divBdr>
        <w:top w:val="none" w:sz="0" w:space="0" w:color="auto"/>
        <w:left w:val="none" w:sz="0" w:space="0" w:color="auto"/>
        <w:bottom w:val="none" w:sz="0" w:space="0" w:color="auto"/>
        <w:right w:val="none" w:sz="0" w:space="0" w:color="auto"/>
      </w:divBdr>
    </w:div>
    <w:div w:id="797450752">
      <w:bodyDiv w:val="1"/>
      <w:marLeft w:val="0"/>
      <w:marRight w:val="0"/>
      <w:marTop w:val="0"/>
      <w:marBottom w:val="0"/>
      <w:divBdr>
        <w:top w:val="none" w:sz="0" w:space="0" w:color="auto"/>
        <w:left w:val="none" w:sz="0" w:space="0" w:color="auto"/>
        <w:bottom w:val="none" w:sz="0" w:space="0" w:color="auto"/>
        <w:right w:val="none" w:sz="0" w:space="0" w:color="auto"/>
      </w:divBdr>
    </w:div>
    <w:div w:id="797605551">
      <w:bodyDiv w:val="1"/>
      <w:marLeft w:val="0"/>
      <w:marRight w:val="0"/>
      <w:marTop w:val="0"/>
      <w:marBottom w:val="0"/>
      <w:divBdr>
        <w:top w:val="none" w:sz="0" w:space="0" w:color="auto"/>
        <w:left w:val="none" w:sz="0" w:space="0" w:color="auto"/>
        <w:bottom w:val="none" w:sz="0" w:space="0" w:color="auto"/>
        <w:right w:val="none" w:sz="0" w:space="0" w:color="auto"/>
      </w:divBdr>
    </w:div>
    <w:div w:id="797799703">
      <w:bodyDiv w:val="1"/>
      <w:marLeft w:val="0"/>
      <w:marRight w:val="0"/>
      <w:marTop w:val="0"/>
      <w:marBottom w:val="0"/>
      <w:divBdr>
        <w:top w:val="none" w:sz="0" w:space="0" w:color="auto"/>
        <w:left w:val="none" w:sz="0" w:space="0" w:color="auto"/>
        <w:bottom w:val="none" w:sz="0" w:space="0" w:color="auto"/>
        <w:right w:val="none" w:sz="0" w:space="0" w:color="auto"/>
      </w:divBdr>
    </w:div>
    <w:div w:id="797836870">
      <w:bodyDiv w:val="1"/>
      <w:marLeft w:val="0"/>
      <w:marRight w:val="0"/>
      <w:marTop w:val="0"/>
      <w:marBottom w:val="0"/>
      <w:divBdr>
        <w:top w:val="none" w:sz="0" w:space="0" w:color="auto"/>
        <w:left w:val="none" w:sz="0" w:space="0" w:color="auto"/>
        <w:bottom w:val="none" w:sz="0" w:space="0" w:color="auto"/>
        <w:right w:val="none" w:sz="0" w:space="0" w:color="auto"/>
      </w:divBdr>
    </w:div>
    <w:div w:id="797842318">
      <w:bodyDiv w:val="1"/>
      <w:marLeft w:val="0"/>
      <w:marRight w:val="0"/>
      <w:marTop w:val="0"/>
      <w:marBottom w:val="0"/>
      <w:divBdr>
        <w:top w:val="none" w:sz="0" w:space="0" w:color="auto"/>
        <w:left w:val="none" w:sz="0" w:space="0" w:color="auto"/>
        <w:bottom w:val="none" w:sz="0" w:space="0" w:color="auto"/>
        <w:right w:val="none" w:sz="0" w:space="0" w:color="auto"/>
      </w:divBdr>
    </w:div>
    <w:div w:id="797917740">
      <w:bodyDiv w:val="1"/>
      <w:marLeft w:val="0"/>
      <w:marRight w:val="0"/>
      <w:marTop w:val="0"/>
      <w:marBottom w:val="0"/>
      <w:divBdr>
        <w:top w:val="none" w:sz="0" w:space="0" w:color="auto"/>
        <w:left w:val="none" w:sz="0" w:space="0" w:color="auto"/>
        <w:bottom w:val="none" w:sz="0" w:space="0" w:color="auto"/>
        <w:right w:val="none" w:sz="0" w:space="0" w:color="auto"/>
      </w:divBdr>
    </w:div>
    <w:div w:id="797920685">
      <w:bodyDiv w:val="1"/>
      <w:marLeft w:val="0"/>
      <w:marRight w:val="0"/>
      <w:marTop w:val="0"/>
      <w:marBottom w:val="0"/>
      <w:divBdr>
        <w:top w:val="none" w:sz="0" w:space="0" w:color="auto"/>
        <w:left w:val="none" w:sz="0" w:space="0" w:color="auto"/>
        <w:bottom w:val="none" w:sz="0" w:space="0" w:color="auto"/>
        <w:right w:val="none" w:sz="0" w:space="0" w:color="auto"/>
      </w:divBdr>
    </w:div>
    <w:div w:id="797991693">
      <w:bodyDiv w:val="1"/>
      <w:marLeft w:val="0"/>
      <w:marRight w:val="0"/>
      <w:marTop w:val="0"/>
      <w:marBottom w:val="0"/>
      <w:divBdr>
        <w:top w:val="none" w:sz="0" w:space="0" w:color="auto"/>
        <w:left w:val="none" w:sz="0" w:space="0" w:color="auto"/>
        <w:bottom w:val="none" w:sz="0" w:space="0" w:color="auto"/>
        <w:right w:val="none" w:sz="0" w:space="0" w:color="auto"/>
      </w:divBdr>
    </w:div>
    <w:div w:id="797994401">
      <w:bodyDiv w:val="1"/>
      <w:marLeft w:val="0"/>
      <w:marRight w:val="0"/>
      <w:marTop w:val="0"/>
      <w:marBottom w:val="0"/>
      <w:divBdr>
        <w:top w:val="none" w:sz="0" w:space="0" w:color="auto"/>
        <w:left w:val="none" w:sz="0" w:space="0" w:color="auto"/>
        <w:bottom w:val="none" w:sz="0" w:space="0" w:color="auto"/>
        <w:right w:val="none" w:sz="0" w:space="0" w:color="auto"/>
      </w:divBdr>
    </w:div>
    <w:div w:id="798032772">
      <w:bodyDiv w:val="1"/>
      <w:marLeft w:val="0"/>
      <w:marRight w:val="0"/>
      <w:marTop w:val="0"/>
      <w:marBottom w:val="0"/>
      <w:divBdr>
        <w:top w:val="none" w:sz="0" w:space="0" w:color="auto"/>
        <w:left w:val="none" w:sz="0" w:space="0" w:color="auto"/>
        <w:bottom w:val="none" w:sz="0" w:space="0" w:color="auto"/>
        <w:right w:val="none" w:sz="0" w:space="0" w:color="auto"/>
      </w:divBdr>
    </w:div>
    <w:div w:id="798037397">
      <w:bodyDiv w:val="1"/>
      <w:marLeft w:val="0"/>
      <w:marRight w:val="0"/>
      <w:marTop w:val="0"/>
      <w:marBottom w:val="0"/>
      <w:divBdr>
        <w:top w:val="none" w:sz="0" w:space="0" w:color="auto"/>
        <w:left w:val="none" w:sz="0" w:space="0" w:color="auto"/>
        <w:bottom w:val="none" w:sz="0" w:space="0" w:color="auto"/>
        <w:right w:val="none" w:sz="0" w:space="0" w:color="auto"/>
      </w:divBdr>
    </w:div>
    <w:div w:id="798228636">
      <w:bodyDiv w:val="1"/>
      <w:marLeft w:val="0"/>
      <w:marRight w:val="0"/>
      <w:marTop w:val="0"/>
      <w:marBottom w:val="0"/>
      <w:divBdr>
        <w:top w:val="none" w:sz="0" w:space="0" w:color="auto"/>
        <w:left w:val="none" w:sz="0" w:space="0" w:color="auto"/>
        <w:bottom w:val="none" w:sz="0" w:space="0" w:color="auto"/>
        <w:right w:val="none" w:sz="0" w:space="0" w:color="auto"/>
      </w:divBdr>
    </w:div>
    <w:div w:id="798230356">
      <w:bodyDiv w:val="1"/>
      <w:marLeft w:val="0"/>
      <w:marRight w:val="0"/>
      <w:marTop w:val="0"/>
      <w:marBottom w:val="0"/>
      <w:divBdr>
        <w:top w:val="none" w:sz="0" w:space="0" w:color="auto"/>
        <w:left w:val="none" w:sz="0" w:space="0" w:color="auto"/>
        <w:bottom w:val="none" w:sz="0" w:space="0" w:color="auto"/>
        <w:right w:val="none" w:sz="0" w:space="0" w:color="auto"/>
      </w:divBdr>
    </w:div>
    <w:div w:id="798231011">
      <w:bodyDiv w:val="1"/>
      <w:marLeft w:val="0"/>
      <w:marRight w:val="0"/>
      <w:marTop w:val="0"/>
      <w:marBottom w:val="0"/>
      <w:divBdr>
        <w:top w:val="none" w:sz="0" w:space="0" w:color="auto"/>
        <w:left w:val="none" w:sz="0" w:space="0" w:color="auto"/>
        <w:bottom w:val="none" w:sz="0" w:space="0" w:color="auto"/>
        <w:right w:val="none" w:sz="0" w:space="0" w:color="auto"/>
      </w:divBdr>
    </w:div>
    <w:div w:id="798303578">
      <w:bodyDiv w:val="1"/>
      <w:marLeft w:val="0"/>
      <w:marRight w:val="0"/>
      <w:marTop w:val="0"/>
      <w:marBottom w:val="0"/>
      <w:divBdr>
        <w:top w:val="none" w:sz="0" w:space="0" w:color="auto"/>
        <w:left w:val="none" w:sz="0" w:space="0" w:color="auto"/>
        <w:bottom w:val="none" w:sz="0" w:space="0" w:color="auto"/>
        <w:right w:val="none" w:sz="0" w:space="0" w:color="auto"/>
      </w:divBdr>
    </w:div>
    <w:div w:id="798304849">
      <w:bodyDiv w:val="1"/>
      <w:marLeft w:val="0"/>
      <w:marRight w:val="0"/>
      <w:marTop w:val="0"/>
      <w:marBottom w:val="0"/>
      <w:divBdr>
        <w:top w:val="none" w:sz="0" w:space="0" w:color="auto"/>
        <w:left w:val="none" w:sz="0" w:space="0" w:color="auto"/>
        <w:bottom w:val="none" w:sz="0" w:space="0" w:color="auto"/>
        <w:right w:val="none" w:sz="0" w:space="0" w:color="auto"/>
      </w:divBdr>
    </w:div>
    <w:div w:id="798373986">
      <w:bodyDiv w:val="1"/>
      <w:marLeft w:val="0"/>
      <w:marRight w:val="0"/>
      <w:marTop w:val="0"/>
      <w:marBottom w:val="0"/>
      <w:divBdr>
        <w:top w:val="none" w:sz="0" w:space="0" w:color="auto"/>
        <w:left w:val="none" w:sz="0" w:space="0" w:color="auto"/>
        <w:bottom w:val="none" w:sz="0" w:space="0" w:color="auto"/>
        <w:right w:val="none" w:sz="0" w:space="0" w:color="auto"/>
      </w:divBdr>
    </w:div>
    <w:div w:id="798451236">
      <w:bodyDiv w:val="1"/>
      <w:marLeft w:val="0"/>
      <w:marRight w:val="0"/>
      <w:marTop w:val="0"/>
      <w:marBottom w:val="0"/>
      <w:divBdr>
        <w:top w:val="none" w:sz="0" w:space="0" w:color="auto"/>
        <w:left w:val="none" w:sz="0" w:space="0" w:color="auto"/>
        <w:bottom w:val="none" w:sz="0" w:space="0" w:color="auto"/>
        <w:right w:val="none" w:sz="0" w:space="0" w:color="auto"/>
      </w:divBdr>
    </w:div>
    <w:div w:id="798455976">
      <w:bodyDiv w:val="1"/>
      <w:marLeft w:val="0"/>
      <w:marRight w:val="0"/>
      <w:marTop w:val="0"/>
      <w:marBottom w:val="0"/>
      <w:divBdr>
        <w:top w:val="none" w:sz="0" w:space="0" w:color="auto"/>
        <w:left w:val="none" w:sz="0" w:space="0" w:color="auto"/>
        <w:bottom w:val="none" w:sz="0" w:space="0" w:color="auto"/>
        <w:right w:val="none" w:sz="0" w:space="0" w:color="auto"/>
      </w:divBdr>
    </w:div>
    <w:div w:id="798650476">
      <w:bodyDiv w:val="1"/>
      <w:marLeft w:val="0"/>
      <w:marRight w:val="0"/>
      <w:marTop w:val="0"/>
      <w:marBottom w:val="0"/>
      <w:divBdr>
        <w:top w:val="none" w:sz="0" w:space="0" w:color="auto"/>
        <w:left w:val="none" w:sz="0" w:space="0" w:color="auto"/>
        <w:bottom w:val="none" w:sz="0" w:space="0" w:color="auto"/>
        <w:right w:val="none" w:sz="0" w:space="0" w:color="auto"/>
      </w:divBdr>
    </w:div>
    <w:div w:id="798912366">
      <w:bodyDiv w:val="1"/>
      <w:marLeft w:val="0"/>
      <w:marRight w:val="0"/>
      <w:marTop w:val="0"/>
      <w:marBottom w:val="0"/>
      <w:divBdr>
        <w:top w:val="none" w:sz="0" w:space="0" w:color="auto"/>
        <w:left w:val="none" w:sz="0" w:space="0" w:color="auto"/>
        <w:bottom w:val="none" w:sz="0" w:space="0" w:color="auto"/>
        <w:right w:val="none" w:sz="0" w:space="0" w:color="auto"/>
      </w:divBdr>
    </w:div>
    <w:div w:id="799229692">
      <w:bodyDiv w:val="1"/>
      <w:marLeft w:val="0"/>
      <w:marRight w:val="0"/>
      <w:marTop w:val="0"/>
      <w:marBottom w:val="0"/>
      <w:divBdr>
        <w:top w:val="none" w:sz="0" w:space="0" w:color="auto"/>
        <w:left w:val="none" w:sz="0" w:space="0" w:color="auto"/>
        <w:bottom w:val="none" w:sz="0" w:space="0" w:color="auto"/>
        <w:right w:val="none" w:sz="0" w:space="0" w:color="auto"/>
      </w:divBdr>
    </w:div>
    <w:div w:id="799231067">
      <w:bodyDiv w:val="1"/>
      <w:marLeft w:val="0"/>
      <w:marRight w:val="0"/>
      <w:marTop w:val="0"/>
      <w:marBottom w:val="0"/>
      <w:divBdr>
        <w:top w:val="none" w:sz="0" w:space="0" w:color="auto"/>
        <w:left w:val="none" w:sz="0" w:space="0" w:color="auto"/>
        <w:bottom w:val="none" w:sz="0" w:space="0" w:color="auto"/>
        <w:right w:val="none" w:sz="0" w:space="0" w:color="auto"/>
      </w:divBdr>
    </w:div>
    <w:div w:id="799231548">
      <w:bodyDiv w:val="1"/>
      <w:marLeft w:val="0"/>
      <w:marRight w:val="0"/>
      <w:marTop w:val="0"/>
      <w:marBottom w:val="0"/>
      <w:divBdr>
        <w:top w:val="none" w:sz="0" w:space="0" w:color="auto"/>
        <w:left w:val="none" w:sz="0" w:space="0" w:color="auto"/>
        <w:bottom w:val="none" w:sz="0" w:space="0" w:color="auto"/>
        <w:right w:val="none" w:sz="0" w:space="0" w:color="auto"/>
      </w:divBdr>
    </w:div>
    <w:div w:id="799349019">
      <w:bodyDiv w:val="1"/>
      <w:marLeft w:val="0"/>
      <w:marRight w:val="0"/>
      <w:marTop w:val="0"/>
      <w:marBottom w:val="0"/>
      <w:divBdr>
        <w:top w:val="none" w:sz="0" w:space="0" w:color="auto"/>
        <w:left w:val="none" w:sz="0" w:space="0" w:color="auto"/>
        <w:bottom w:val="none" w:sz="0" w:space="0" w:color="auto"/>
        <w:right w:val="none" w:sz="0" w:space="0" w:color="auto"/>
      </w:divBdr>
    </w:div>
    <w:div w:id="799423666">
      <w:bodyDiv w:val="1"/>
      <w:marLeft w:val="0"/>
      <w:marRight w:val="0"/>
      <w:marTop w:val="0"/>
      <w:marBottom w:val="0"/>
      <w:divBdr>
        <w:top w:val="none" w:sz="0" w:space="0" w:color="auto"/>
        <w:left w:val="none" w:sz="0" w:space="0" w:color="auto"/>
        <w:bottom w:val="none" w:sz="0" w:space="0" w:color="auto"/>
        <w:right w:val="none" w:sz="0" w:space="0" w:color="auto"/>
      </w:divBdr>
    </w:div>
    <w:div w:id="799540854">
      <w:bodyDiv w:val="1"/>
      <w:marLeft w:val="0"/>
      <w:marRight w:val="0"/>
      <w:marTop w:val="0"/>
      <w:marBottom w:val="0"/>
      <w:divBdr>
        <w:top w:val="none" w:sz="0" w:space="0" w:color="auto"/>
        <w:left w:val="none" w:sz="0" w:space="0" w:color="auto"/>
        <w:bottom w:val="none" w:sz="0" w:space="0" w:color="auto"/>
        <w:right w:val="none" w:sz="0" w:space="0" w:color="auto"/>
      </w:divBdr>
    </w:div>
    <w:div w:id="799686061">
      <w:bodyDiv w:val="1"/>
      <w:marLeft w:val="0"/>
      <w:marRight w:val="0"/>
      <w:marTop w:val="0"/>
      <w:marBottom w:val="0"/>
      <w:divBdr>
        <w:top w:val="none" w:sz="0" w:space="0" w:color="auto"/>
        <w:left w:val="none" w:sz="0" w:space="0" w:color="auto"/>
        <w:bottom w:val="none" w:sz="0" w:space="0" w:color="auto"/>
        <w:right w:val="none" w:sz="0" w:space="0" w:color="auto"/>
      </w:divBdr>
    </w:div>
    <w:div w:id="799689067">
      <w:bodyDiv w:val="1"/>
      <w:marLeft w:val="0"/>
      <w:marRight w:val="0"/>
      <w:marTop w:val="0"/>
      <w:marBottom w:val="0"/>
      <w:divBdr>
        <w:top w:val="none" w:sz="0" w:space="0" w:color="auto"/>
        <w:left w:val="none" w:sz="0" w:space="0" w:color="auto"/>
        <w:bottom w:val="none" w:sz="0" w:space="0" w:color="auto"/>
        <w:right w:val="none" w:sz="0" w:space="0" w:color="auto"/>
      </w:divBdr>
    </w:div>
    <w:div w:id="799767289">
      <w:bodyDiv w:val="1"/>
      <w:marLeft w:val="0"/>
      <w:marRight w:val="0"/>
      <w:marTop w:val="0"/>
      <w:marBottom w:val="0"/>
      <w:divBdr>
        <w:top w:val="none" w:sz="0" w:space="0" w:color="auto"/>
        <w:left w:val="none" w:sz="0" w:space="0" w:color="auto"/>
        <w:bottom w:val="none" w:sz="0" w:space="0" w:color="auto"/>
        <w:right w:val="none" w:sz="0" w:space="0" w:color="auto"/>
      </w:divBdr>
    </w:div>
    <w:div w:id="799956105">
      <w:bodyDiv w:val="1"/>
      <w:marLeft w:val="0"/>
      <w:marRight w:val="0"/>
      <w:marTop w:val="0"/>
      <w:marBottom w:val="0"/>
      <w:divBdr>
        <w:top w:val="none" w:sz="0" w:space="0" w:color="auto"/>
        <w:left w:val="none" w:sz="0" w:space="0" w:color="auto"/>
        <w:bottom w:val="none" w:sz="0" w:space="0" w:color="auto"/>
        <w:right w:val="none" w:sz="0" w:space="0" w:color="auto"/>
      </w:divBdr>
    </w:div>
    <w:div w:id="799999241">
      <w:bodyDiv w:val="1"/>
      <w:marLeft w:val="0"/>
      <w:marRight w:val="0"/>
      <w:marTop w:val="0"/>
      <w:marBottom w:val="0"/>
      <w:divBdr>
        <w:top w:val="none" w:sz="0" w:space="0" w:color="auto"/>
        <w:left w:val="none" w:sz="0" w:space="0" w:color="auto"/>
        <w:bottom w:val="none" w:sz="0" w:space="0" w:color="auto"/>
        <w:right w:val="none" w:sz="0" w:space="0" w:color="auto"/>
      </w:divBdr>
    </w:div>
    <w:div w:id="800072759">
      <w:bodyDiv w:val="1"/>
      <w:marLeft w:val="0"/>
      <w:marRight w:val="0"/>
      <w:marTop w:val="0"/>
      <w:marBottom w:val="0"/>
      <w:divBdr>
        <w:top w:val="none" w:sz="0" w:space="0" w:color="auto"/>
        <w:left w:val="none" w:sz="0" w:space="0" w:color="auto"/>
        <w:bottom w:val="none" w:sz="0" w:space="0" w:color="auto"/>
        <w:right w:val="none" w:sz="0" w:space="0" w:color="auto"/>
      </w:divBdr>
    </w:div>
    <w:div w:id="800265649">
      <w:bodyDiv w:val="1"/>
      <w:marLeft w:val="0"/>
      <w:marRight w:val="0"/>
      <w:marTop w:val="0"/>
      <w:marBottom w:val="0"/>
      <w:divBdr>
        <w:top w:val="none" w:sz="0" w:space="0" w:color="auto"/>
        <w:left w:val="none" w:sz="0" w:space="0" w:color="auto"/>
        <w:bottom w:val="none" w:sz="0" w:space="0" w:color="auto"/>
        <w:right w:val="none" w:sz="0" w:space="0" w:color="auto"/>
      </w:divBdr>
    </w:div>
    <w:div w:id="800273745">
      <w:bodyDiv w:val="1"/>
      <w:marLeft w:val="0"/>
      <w:marRight w:val="0"/>
      <w:marTop w:val="0"/>
      <w:marBottom w:val="0"/>
      <w:divBdr>
        <w:top w:val="none" w:sz="0" w:space="0" w:color="auto"/>
        <w:left w:val="none" w:sz="0" w:space="0" w:color="auto"/>
        <w:bottom w:val="none" w:sz="0" w:space="0" w:color="auto"/>
        <w:right w:val="none" w:sz="0" w:space="0" w:color="auto"/>
      </w:divBdr>
    </w:div>
    <w:div w:id="800342487">
      <w:bodyDiv w:val="1"/>
      <w:marLeft w:val="0"/>
      <w:marRight w:val="0"/>
      <w:marTop w:val="0"/>
      <w:marBottom w:val="0"/>
      <w:divBdr>
        <w:top w:val="none" w:sz="0" w:space="0" w:color="auto"/>
        <w:left w:val="none" w:sz="0" w:space="0" w:color="auto"/>
        <w:bottom w:val="none" w:sz="0" w:space="0" w:color="auto"/>
        <w:right w:val="none" w:sz="0" w:space="0" w:color="auto"/>
      </w:divBdr>
    </w:div>
    <w:div w:id="800345800">
      <w:bodyDiv w:val="1"/>
      <w:marLeft w:val="0"/>
      <w:marRight w:val="0"/>
      <w:marTop w:val="0"/>
      <w:marBottom w:val="0"/>
      <w:divBdr>
        <w:top w:val="none" w:sz="0" w:space="0" w:color="auto"/>
        <w:left w:val="none" w:sz="0" w:space="0" w:color="auto"/>
        <w:bottom w:val="none" w:sz="0" w:space="0" w:color="auto"/>
        <w:right w:val="none" w:sz="0" w:space="0" w:color="auto"/>
      </w:divBdr>
    </w:div>
    <w:div w:id="800346372">
      <w:bodyDiv w:val="1"/>
      <w:marLeft w:val="0"/>
      <w:marRight w:val="0"/>
      <w:marTop w:val="0"/>
      <w:marBottom w:val="0"/>
      <w:divBdr>
        <w:top w:val="none" w:sz="0" w:space="0" w:color="auto"/>
        <w:left w:val="none" w:sz="0" w:space="0" w:color="auto"/>
        <w:bottom w:val="none" w:sz="0" w:space="0" w:color="auto"/>
        <w:right w:val="none" w:sz="0" w:space="0" w:color="auto"/>
      </w:divBdr>
    </w:div>
    <w:div w:id="800348226">
      <w:bodyDiv w:val="1"/>
      <w:marLeft w:val="0"/>
      <w:marRight w:val="0"/>
      <w:marTop w:val="0"/>
      <w:marBottom w:val="0"/>
      <w:divBdr>
        <w:top w:val="none" w:sz="0" w:space="0" w:color="auto"/>
        <w:left w:val="none" w:sz="0" w:space="0" w:color="auto"/>
        <w:bottom w:val="none" w:sz="0" w:space="0" w:color="auto"/>
        <w:right w:val="none" w:sz="0" w:space="0" w:color="auto"/>
      </w:divBdr>
    </w:div>
    <w:div w:id="800460410">
      <w:bodyDiv w:val="1"/>
      <w:marLeft w:val="0"/>
      <w:marRight w:val="0"/>
      <w:marTop w:val="0"/>
      <w:marBottom w:val="0"/>
      <w:divBdr>
        <w:top w:val="none" w:sz="0" w:space="0" w:color="auto"/>
        <w:left w:val="none" w:sz="0" w:space="0" w:color="auto"/>
        <w:bottom w:val="none" w:sz="0" w:space="0" w:color="auto"/>
        <w:right w:val="none" w:sz="0" w:space="0" w:color="auto"/>
      </w:divBdr>
    </w:div>
    <w:div w:id="800542120">
      <w:bodyDiv w:val="1"/>
      <w:marLeft w:val="0"/>
      <w:marRight w:val="0"/>
      <w:marTop w:val="0"/>
      <w:marBottom w:val="0"/>
      <w:divBdr>
        <w:top w:val="none" w:sz="0" w:space="0" w:color="auto"/>
        <w:left w:val="none" w:sz="0" w:space="0" w:color="auto"/>
        <w:bottom w:val="none" w:sz="0" w:space="0" w:color="auto"/>
        <w:right w:val="none" w:sz="0" w:space="0" w:color="auto"/>
      </w:divBdr>
    </w:div>
    <w:div w:id="800608989">
      <w:bodyDiv w:val="1"/>
      <w:marLeft w:val="0"/>
      <w:marRight w:val="0"/>
      <w:marTop w:val="0"/>
      <w:marBottom w:val="0"/>
      <w:divBdr>
        <w:top w:val="none" w:sz="0" w:space="0" w:color="auto"/>
        <w:left w:val="none" w:sz="0" w:space="0" w:color="auto"/>
        <w:bottom w:val="none" w:sz="0" w:space="0" w:color="auto"/>
        <w:right w:val="none" w:sz="0" w:space="0" w:color="auto"/>
      </w:divBdr>
    </w:div>
    <w:div w:id="800734141">
      <w:bodyDiv w:val="1"/>
      <w:marLeft w:val="0"/>
      <w:marRight w:val="0"/>
      <w:marTop w:val="0"/>
      <w:marBottom w:val="0"/>
      <w:divBdr>
        <w:top w:val="none" w:sz="0" w:space="0" w:color="auto"/>
        <w:left w:val="none" w:sz="0" w:space="0" w:color="auto"/>
        <w:bottom w:val="none" w:sz="0" w:space="0" w:color="auto"/>
        <w:right w:val="none" w:sz="0" w:space="0" w:color="auto"/>
      </w:divBdr>
    </w:div>
    <w:div w:id="800809578">
      <w:bodyDiv w:val="1"/>
      <w:marLeft w:val="0"/>
      <w:marRight w:val="0"/>
      <w:marTop w:val="0"/>
      <w:marBottom w:val="0"/>
      <w:divBdr>
        <w:top w:val="none" w:sz="0" w:space="0" w:color="auto"/>
        <w:left w:val="none" w:sz="0" w:space="0" w:color="auto"/>
        <w:bottom w:val="none" w:sz="0" w:space="0" w:color="auto"/>
        <w:right w:val="none" w:sz="0" w:space="0" w:color="auto"/>
      </w:divBdr>
    </w:div>
    <w:div w:id="800852649">
      <w:bodyDiv w:val="1"/>
      <w:marLeft w:val="0"/>
      <w:marRight w:val="0"/>
      <w:marTop w:val="0"/>
      <w:marBottom w:val="0"/>
      <w:divBdr>
        <w:top w:val="none" w:sz="0" w:space="0" w:color="auto"/>
        <w:left w:val="none" w:sz="0" w:space="0" w:color="auto"/>
        <w:bottom w:val="none" w:sz="0" w:space="0" w:color="auto"/>
        <w:right w:val="none" w:sz="0" w:space="0" w:color="auto"/>
      </w:divBdr>
    </w:div>
    <w:div w:id="800878663">
      <w:bodyDiv w:val="1"/>
      <w:marLeft w:val="0"/>
      <w:marRight w:val="0"/>
      <w:marTop w:val="0"/>
      <w:marBottom w:val="0"/>
      <w:divBdr>
        <w:top w:val="none" w:sz="0" w:space="0" w:color="auto"/>
        <w:left w:val="none" w:sz="0" w:space="0" w:color="auto"/>
        <w:bottom w:val="none" w:sz="0" w:space="0" w:color="auto"/>
        <w:right w:val="none" w:sz="0" w:space="0" w:color="auto"/>
      </w:divBdr>
    </w:div>
    <w:div w:id="800923884">
      <w:bodyDiv w:val="1"/>
      <w:marLeft w:val="0"/>
      <w:marRight w:val="0"/>
      <w:marTop w:val="0"/>
      <w:marBottom w:val="0"/>
      <w:divBdr>
        <w:top w:val="none" w:sz="0" w:space="0" w:color="auto"/>
        <w:left w:val="none" w:sz="0" w:space="0" w:color="auto"/>
        <w:bottom w:val="none" w:sz="0" w:space="0" w:color="auto"/>
        <w:right w:val="none" w:sz="0" w:space="0" w:color="auto"/>
      </w:divBdr>
    </w:div>
    <w:div w:id="801000136">
      <w:bodyDiv w:val="1"/>
      <w:marLeft w:val="0"/>
      <w:marRight w:val="0"/>
      <w:marTop w:val="0"/>
      <w:marBottom w:val="0"/>
      <w:divBdr>
        <w:top w:val="none" w:sz="0" w:space="0" w:color="auto"/>
        <w:left w:val="none" w:sz="0" w:space="0" w:color="auto"/>
        <w:bottom w:val="none" w:sz="0" w:space="0" w:color="auto"/>
        <w:right w:val="none" w:sz="0" w:space="0" w:color="auto"/>
      </w:divBdr>
    </w:div>
    <w:div w:id="801113487">
      <w:bodyDiv w:val="1"/>
      <w:marLeft w:val="0"/>
      <w:marRight w:val="0"/>
      <w:marTop w:val="0"/>
      <w:marBottom w:val="0"/>
      <w:divBdr>
        <w:top w:val="none" w:sz="0" w:space="0" w:color="auto"/>
        <w:left w:val="none" w:sz="0" w:space="0" w:color="auto"/>
        <w:bottom w:val="none" w:sz="0" w:space="0" w:color="auto"/>
        <w:right w:val="none" w:sz="0" w:space="0" w:color="auto"/>
      </w:divBdr>
    </w:div>
    <w:div w:id="801118993">
      <w:bodyDiv w:val="1"/>
      <w:marLeft w:val="0"/>
      <w:marRight w:val="0"/>
      <w:marTop w:val="0"/>
      <w:marBottom w:val="0"/>
      <w:divBdr>
        <w:top w:val="none" w:sz="0" w:space="0" w:color="auto"/>
        <w:left w:val="none" w:sz="0" w:space="0" w:color="auto"/>
        <w:bottom w:val="none" w:sz="0" w:space="0" w:color="auto"/>
        <w:right w:val="none" w:sz="0" w:space="0" w:color="auto"/>
      </w:divBdr>
    </w:div>
    <w:div w:id="801120962">
      <w:bodyDiv w:val="1"/>
      <w:marLeft w:val="0"/>
      <w:marRight w:val="0"/>
      <w:marTop w:val="0"/>
      <w:marBottom w:val="0"/>
      <w:divBdr>
        <w:top w:val="none" w:sz="0" w:space="0" w:color="auto"/>
        <w:left w:val="none" w:sz="0" w:space="0" w:color="auto"/>
        <w:bottom w:val="none" w:sz="0" w:space="0" w:color="auto"/>
        <w:right w:val="none" w:sz="0" w:space="0" w:color="auto"/>
      </w:divBdr>
    </w:div>
    <w:div w:id="801309175">
      <w:bodyDiv w:val="1"/>
      <w:marLeft w:val="0"/>
      <w:marRight w:val="0"/>
      <w:marTop w:val="0"/>
      <w:marBottom w:val="0"/>
      <w:divBdr>
        <w:top w:val="none" w:sz="0" w:space="0" w:color="auto"/>
        <w:left w:val="none" w:sz="0" w:space="0" w:color="auto"/>
        <w:bottom w:val="none" w:sz="0" w:space="0" w:color="auto"/>
        <w:right w:val="none" w:sz="0" w:space="0" w:color="auto"/>
      </w:divBdr>
    </w:div>
    <w:div w:id="801310812">
      <w:bodyDiv w:val="1"/>
      <w:marLeft w:val="0"/>
      <w:marRight w:val="0"/>
      <w:marTop w:val="0"/>
      <w:marBottom w:val="0"/>
      <w:divBdr>
        <w:top w:val="none" w:sz="0" w:space="0" w:color="auto"/>
        <w:left w:val="none" w:sz="0" w:space="0" w:color="auto"/>
        <w:bottom w:val="none" w:sz="0" w:space="0" w:color="auto"/>
        <w:right w:val="none" w:sz="0" w:space="0" w:color="auto"/>
      </w:divBdr>
    </w:div>
    <w:div w:id="801314350">
      <w:bodyDiv w:val="1"/>
      <w:marLeft w:val="0"/>
      <w:marRight w:val="0"/>
      <w:marTop w:val="0"/>
      <w:marBottom w:val="0"/>
      <w:divBdr>
        <w:top w:val="none" w:sz="0" w:space="0" w:color="auto"/>
        <w:left w:val="none" w:sz="0" w:space="0" w:color="auto"/>
        <w:bottom w:val="none" w:sz="0" w:space="0" w:color="auto"/>
        <w:right w:val="none" w:sz="0" w:space="0" w:color="auto"/>
      </w:divBdr>
    </w:div>
    <w:div w:id="801462899">
      <w:bodyDiv w:val="1"/>
      <w:marLeft w:val="0"/>
      <w:marRight w:val="0"/>
      <w:marTop w:val="0"/>
      <w:marBottom w:val="0"/>
      <w:divBdr>
        <w:top w:val="none" w:sz="0" w:space="0" w:color="auto"/>
        <w:left w:val="none" w:sz="0" w:space="0" w:color="auto"/>
        <w:bottom w:val="none" w:sz="0" w:space="0" w:color="auto"/>
        <w:right w:val="none" w:sz="0" w:space="0" w:color="auto"/>
      </w:divBdr>
    </w:div>
    <w:div w:id="801506945">
      <w:bodyDiv w:val="1"/>
      <w:marLeft w:val="0"/>
      <w:marRight w:val="0"/>
      <w:marTop w:val="0"/>
      <w:marBottom w:val="0"/>
      <w:divBdr>
        <w:top w:val="none" w:sz="0" w:space="0" w:color="auto"/>
        <w:left w:val="none" w:sz="0" w:space="0" w:color="auto"/>
        <w:bottom w:val="none" w:sz="0" w:space="0" w:color="auto"/>
        <w:right w:val="none" w:sz="0" w:space="0" w:color="auto"/>
      </w:divBdr>
    </w:div>
    <w:div w:id="801577775">
      <w:bodyDiv w:val="1"/>
      <w:marLeft w:val="0"/>
      <w:marRight w:val="0"/>
      <w:marTop w:val="0"/>
      <w:marBottom w:val="0"/>
      <w:divBdr>
        <w:top w:val="none" w:sz="0" w:space="0" w:color="auto"/>
        <w:left w:val="none" w:sz="0" w:space="0" w:color="auto"/>
        <w:bottom w:val="none" w:sz="0" w:space="0" w:color="auto"/>
        <w:right w:val="none" w:sz="0" w:space="0" w:color="auto"/>
      </w:divBdr>
    </w:div>
    <w:div w:id="801582354">
      <w:bodyDiv w:val="1"/>
      <w:marLeft w:val="0"/>
      <w:marRight w:val="0"/>
      <w:marTop w:val="0"/>
      <w:marBottom w:val="0"/>
      <w:divBdr>
        <w:top w:val="none" w:sz="0" w:space="0" w:color="auto"/>
        <w:left w:val="none" w:sz="0" w:space="0" w:color="auto"/>
        <w:bottom w:val="none" w:sz="0" w:space="0" w:color="auto"/>
        <w:right w:val="none" w:sz="0" w:space="0" w:color="auto"/>
      </w:divBdr>
    </w:div>
    <w:div w:id="801655329">
      <w:bodyDiv w:val="1"/>
      <w:marLeft w:val="0"/>
      <w:marRight w:val="0"/>
      <w:marTop w:val="0"/>
      <w:marBottom w:val="0"/>
      <w:divBdr>
        <w:top w:val="none" w:sz="0" w:space="0" w:color="auto"/>
        <w:left w:val="none" w:sz="0" w:space="0" w:color="auto"/>
        <w:bottom w:val="none" w:sz="0" w:space="0" w:color="auto"/>
        <w:right w:val="none" w:sz="0" w:space="0" w:color="auto"/>
      </w:divBdr>
    </w:div>
    <w:div w:id="801657950">
      <w:bodyDiv w:val="1"/>
      <w:marLeft w:val="0"/>
      <w:marRight w:val="0"/>
      <w:marTop w:val="0"/>
      <w:marBottom w:val="0"/>
      <w:divBdr>
        <w:top w:val="none" w:sz="0" w:space="0" w:color="auto"/>
        <w:left w:val="none" w:sz="0" w:space="0" w:color="auto"/>
        <w:bottom w:val="none" w:sz="0" w:space="0" w:color="auto"/>
        <w:right w:val="none" w:sz="0" w:space="0" w:color="auto"/>
      </w:divBdr>
    </w:div>
    <w:div w:id="801659524">
      <w:bodyDiv w:val="1"/>
      <w:marLeft w:val="0"/>
      <w:marRight w:val="0"/>
      <w:marTop w:val="0"/>
      <w:marBottom w:val="0"/>
      <w:divBdr>
        <w:top w:val="none" w:sz="0" w:space="0" w:color="auto"/>
        <w:left w:val="none" w:sz="0" w:space="0" w:color="auto"/>
        <w:bottom w:val="none" w:sz="0" w:space="0" w:color="auto"/>
        <w:right w:val="none" w:sz="0" w:space="0" w:color="auto"/>
      </w:divBdr>
    </w:div>
    <w:div w:id="801727294">
      <w:bodyDiv w:val="1"/>
      <w:marLeft w:val="0"/>
      <w:marRight w:val="0"/>
      <w:marTop w:val="0"/>
      <w:marBottom w:val="0"/>
      <w:divBdr>
        <w:top w:val="none" w:sz="0" w:space="0" w:color="auto"/>
        <w:left w:val="none" w:sz="0" w:space="0" w:color="auto"/>
        <w:bottom w:val="none" w:sz="0" w:space="0" w:color="auto"/>
        <w:right w:val="none" w:sz="0" w:space="0" w:color="auto"/>
      </w:divBdr>
    </w:div>
    <w:div w:id="801728151">
      <w:bodyDiv w:val="1"/>
      <w:marLeft w:val="0"/>
      <w:marRight w:val="0"/>
      <w:marTop w:val="0"/>
      <w:marBottom w:val="0"/>
      <w:divBdr>
        <w:top w:val="none" w:sz="0" w:space="0" w:color="auto"/>
        <w:left w:val="none" w:sz="0" w:space="0" w:color="auto"/>
        <w:bottom w:val="none" w:sz="0" w:space="0" w:color="auto"/>
        <w:right w:val="none" w:sz="0" w:space="0" w:color="auto"/>
      </w:divBdr>
    </w:div>
    <w:div w:id="801733757">
      <w:bodyDiv w:val="1"/>
      <w:marLeft w:val="0"/>
      <w:marRight w:val="0"/>
      <w:marTop w:val="0"/>
      <w:marBottom w:val="0"/>
      <w:divBdr>
        <w:top w:val="none" w:sz="0" w:space="0" w:color="auto"/>
        <w:left w:val="none" w:sz="0" w:space="0" w:color="auto"/>
        <w:bottom w:val="none" w:sz="0" w:space="0" w:color="auto"/>
        <w:right w:val="none" w:sz="0" w:space="0" w:color="auto"/>
      </w:divBdr>
    </w:div>
    <w:div w:id="801964479">
      <w:bodyDiv w:val="1"/>
      <w:marLeft w:val="0"/>
      <w:marRight w:val="0"/>
      <w:marTop w:val="0"/>
      <w:marBottom w:val="0"/>
      <w:divBdr>
        <w:top w:val="none" w:sz="0" w:space="0" w:color="auto"/>
        <w:left w:val="none" w:sz="0" w:space="0" w:color="auto"/>
        <w:bottom w:val="none" w:sz="0" w:space="0" w:color="auto"/>
        <w:right w:val="none" w:sz="0" w:space="0" w:color="auto"/>
      </w:divBdr>
    </w:div>
    <w:div w:id="801964727">
      <w:bodyDiv w:val="1"/>
      <w:marLeft w:val="0"/>
      <w:marRight w:val="0"/>
      <w:marTop w:val="0"/>
      <w:marBottom w:val="0"/>
      <w:divBdr>
        <w:top w:val="none" w:sz="0" w:space="0" w:color="auto"/>
        <w:left w:val="none" w:sz="0" w:space="0" w:color="auto"/>
        <w:bottom w:val="none" w:sz="0" w:space="0" w:color="auto"/>
        <w:right w:val="none" w:sz="0" w:space="0" w:color="auto"/>
      </w:divBdr>
    </w:div>
    <w:div w:id="802040128">
      <w:bodyDiv w:val="1"/>
      <w:marLeft w:val="0"/>
      <w:marRight w:val="0"/>
      <w:marTop w:val="0"/>
      <w:marBottom w:val="0"/>
      <w:divBdr>
        <w:top w:val="none" w:sz="0" w:space="0" w:color="auto"/>
        <w:left w:val="none" w:sz="0" w:space="0" w:color="auto"/>
        <w:bottom w:val="none" w:sz="0" w:space="0" w:color="auto"/>
        <w:right w:val="none" w:sz="0" w:space="0" w:color="auto"/>
      </w:divBdr>
    </w:div>
    <w:div w:id="802160642">
      <w:bodyDiv w:val="1"/>
      <w:marLeft w:val="0"/>
      <w:marRight w:val="0"/>
      <w:marTop w:val="0"/>
      <w:marBottom w:val="0"/>
      <w:divBdr>
        <w:top w:val="none" w:sz="0" w:space="0" w:color="auto"/>
        <w:left w:val="none" w:sz="0" w:space="0" w:color="auto"/>
        <w:bottom w:val="none" w:sz="0" w:space="0" w:color="auto"/>
        <w:right w:val="none" w:sz="0" w:space="0" w:color="auto"/>
      </w:divBdr>
    </w:div>
    <w:div w:id="802190404">
      <w:bodyDiv w:val="1"/>
      <w:marLeft w:val="0"/>
      <w:marRight w:val="0"/>
      <w:marTop w:val="0"/>
      <w:marBottom w:val="0"/>
      <w:divBdr>
        <w:top w:val="none" w:sz="0" w:space="0" w:color="auto"/>
        <w:left w:val="none" w:sz="0" w:space="0" w:color="auto"/>
        <w:bottom w:val="none" w:sz="0" w:space="0" w:color="auto"/>
        <w:right w:val="none" w:sz="0" w:space="0" w:color="auto"/>
      </w:divBdr>
    </w:div>
    <w:div w:id="802193265">
      <w:bodyDiv w:val="1"/>
      <w:marLeft w:val="0"/>
      <w:marRight w:val="0"/>
      <w:marTop w:val="0"/>
      <w:marBottom w:val="0"/>
      <w:divBdr>
        <w:top w:val="none" w:sz="0" w:space="0" w:color="auto"/>
        <w:left w:val="none" w:sz="0" w:space="0" w:color="auto"/>
        <w:bottom w:val="none" w:sz="0" w:space="0" w:color="auto"/>
        <w:right w:val="none" w:sz="0" w:space="0" w:color="auto"/>
      </w:divBdr>
    </w:div>
    <w:div w:id="802232139">
      <w:bodyDiv w:val="1"/>
      <w:marLeft w:val="0"/>
      <w:marRight w:val="0"/>
      <w:marTop w:val="0"/>
      <w:marBottom w:val="0"/>
      <w:divBdr>
        <w:top w:val="none" w:sz="0" w:space="0" w:color="auto"/>
        <w:left w:val="none" w:sz="0" w:space="0" w:color="auto"/>
        <w:bottom w:val="none" w:sz="0" w:space="0" w:color="auto"/>
        <w:right w:val="none" w:sz="0" w:space="0" w:color="auto"/>
      </w:divBdr>
    </w:div>
    <w:div w:id="802236862">
      <w:bodyDiv w:val="1"/>
      <w:marLeft w:val="0"/>
      <w:marRight w:val="0"/>
      <w:marTop w:val="0"/>
      <w:marBottom w:val="0"/>
      <w:divBdr>
        <w:top w:val="none" w:sz="0" w:space="0" w:color="auto"/>
        <w:left w:val="none" w:sz="0" w:space="0" w:color="auto"/>
        <w:bottom w:val="none" w:sz="0" w:space="0" w:color="auto"/>
        <w:right w:val="none" w:sz="0" w:space="0" w:color="auto"/>
      </w:divBdr>
    </w:div>
    <w:div w:id="802383890">
      <w:bodyDiv w:val="1"/>
      <w:marLeft w:val="0"/>
      <w:marRight w:val="0"/>
      <w:marTop w:val="0"/>
      <w:marBottom w:val="0"/>
      <w:divBdr>
        <w:top w:val="none" w:sz="0" w:space="0" w:color="auto"/>
        <w:left w:val="none" w:sz="0" w:space="0" w:color="auto"/>
        <w:bottom w:val="none" w:sz="0" w:space="0" w:color="auto"/>
        <w:right w:val="none" w:sz="0" w:space="0" w:color="auto"/>
      </w:divBdr>
    </w:div>
    <w:div w:id="802427832">
      <w:bodyDiv w:val="1"/>
      <w:marLeft w:val="0"/>
      <w:marRight w:val="0"/>
      <w:marTop w:val="0"/>
      <w:marBottom w:val="0"/>
      <w:divBdr>
        <w:top w:val="none" w:sz="0" w:space="0" w:color="auto"/>
        <w:left w:val="none" w:sz="0" w:space="0" w:color="auto"/>
        <w:bottom w:val="none" w:sz="0" w:space="0" w:color="auto"/>
        <w:right w:val="none" w:sz="0" w:space="0" w:color="auto"/>
      </w:divBdr>
    </w:div>
    <w:div w:id="802499429">
      <w:bodyDiv w:val="1"/>
      <w:marLeft w:val="0"/>
      <w:marRight w:val="0"/>
      <w:marTop w:val="0"/>
      <w:marBottom w:val="0"/>
      <w:divBdr>
        <w:top w:val="none" w:sz="0" w:space="0" w:color="auto"/>
        <w:left w:val="none" w:sz="0" w:space="0" w:color="auto"/>
        <w:bottom w:val="none" w:sz="0" w:space="0" w:color="auto"/>
        <w:right w:val="none" w:sz="0" w:space="0" w:color="auto"/>
      </w:divBdr>
    </w:div>
    <w:div w:id="802574414">
      <w:bodyDiv w:val="1"/>
      <w:marLeft w:val="0"/>
      <w:marRight w:val="0"/>
      <w:marTop w:val="0"/>
      <w:marBottom w:val="0"/>
      <w:divBdr>
        <w:top w:val="none" w:sz="0" w:space="0" w:color="auto"/>
        <w:left w:val="none" w:sz="0" w:space="0" w:color="auto"/>
        <w:bottom w:val="none" w:sz="0" w:space="0" w:color="auto"/>
        <w:right w:val="none" w:sz="0" w:space="0" w:color="auto"/>
      </w:divBdr>
    </w:div>
    <w:div w:id="802621951">
      <w:bodyDiv w:val="1"/>
      <w:marLeft w:val="0"/>
      <w:marRight w:val="0"/>
      <w:marTop w:val="0"/>
      <w:marBottom w:val="0"/>
      <w:divBdr>
        <w:top w:val="none" w:sz="0" w:space="0" w:color="auto"/>
        <w:left w:val="none" w:sz="0" w:space="0" w:color="auto"/>
        <w:bottom w:val="none" w:sz="0" w:space="0" w:color="auto"/>
        <w:right w:val="none" w:sz="0" w:space="0" w:color="auto"/>
      </w:divBdr>
    </w:div>
    <w:div w:id="802846206">
      <w:bodyDiv w:val="1"/>
      <w:marLeft w:val="0"/>
      <w:marRight w:val="0"/>
      <w:marTop w:val="0"/>
      <w:marBottom w:val="0"/>
      <w:divBdr>
        <w:top w:val="none" w:sz="0" w:space="0" w:color="auto"/>
        <w:left w:val="none" w:sz="0" w:space="0" w:color="auto"/>
        <w:bottom w:val="none" w:sz="0" w:space="0" w:color="auto"/>
        <w:right w:val="none" w:sz="0" w:space="0" w:color="auto"/>
      </w:divBdr>
    </w:div>
    <w:div w:id="802892031">
      <w:bodyDiv w:val="1"/>
      <w:marLeft w:val="0"/>
      <w:marRight w:val="0"/>
      <w:marTop w:val="0"/>
      <w:marBottom w:val="0"/>
      <w:divBdr>
        <w:top w:val="none" w:sz="0" w:space="0" w:color="auto"/>
        <w:left w:val="none" w:sz="0" w:space="0" w:color="auto"/>
        <w:bottom w:val="none" w:sz="0" w:space="0" w:color="auto"/>
        <w:right w:val="none" w:sz="0" w:space="0" w:color="auto"/>
      </w:divBdr>
    </w:div>
    <w:div w:id="802894038">
      <w:bodyDiv w:val="1"/>
      <w:marLeft w:val="0"/>
      <w:marRight w:val="0"/>
      <w:marTop w:val="0"/>
      <w:marBottom w:val="0"/>
      <w:divBdr>
        <w:top w:val="none" w:sz="0" w:space="0" w:color="auto"/>
        <w:left w:val="none" w:sz="0" w:space="0" w:color="auto"/>
        <w:bottom w:val="none" w:sz="0" w:space="0" w:color="auto"/>
        <w:right w:val="none" w:sz="0" w:space="0" w:color="auto"/>
      </w:divBdr>
    </w:div>
    <w:div w:id="802960539">
      <w:bodyDiv w:val="1"/>
      <w:marLeft w:val="0"/>
      <w:marRight w:val="0"/>
      <w:marTop w:val="0"/>
      <w:marBottom w:val="0"/>
      <w:divBdr>
        <w:top w:val="none" w:sz="0" w:space="0" w:color="auto"/>
        <w:left w:val="none" w:sz="0" w:space="0" w:color="auto"/>
        <w:bottom w:val="none" w:sz="0" w:space="0" w:color="auto"/>
        <w:right w:val="none" w:sz="0" w:space="0" w:color="auto"/>
      </w:divBdr>
    </w:div>
    <w:div w:id="802963479">
      <w:bodyDiv w:val="1"/>
      <w:marLeft w:val="0"/>
      <w:marRight w:val="0"/>
      <w:marTop w:val="0"/>
      <w:marBottom w:val="0"/>
      <w:divBdr>
        <w:top w:val="none" w:sz="0" w:space="0" w:color="auto"/>
        <w:left w:val="none" w:sz="0" w:space="0" w:color="auto"/>
        <w:bottom w:val="none" w:sz="0" w:space="0" w:color="auto"/>
        <w:right w:val="none" w:sz="0" w:space="0" w:color="auto"/>
      </w:divBdr>
    </w:div>
    <w:div w:id="802965584">
      <w:bodyDiv w:val="1"/>
      <w:marLeft w:val="0"/>
      <w:marRight w:val="0"/>
      <w:marTop w:val="0"/>
      <w:marBottom w:val="0"/>
      <w:divBdr>
        <w:top w:val="none" w:sz="0" w:space="0" w:color="auto"/>
        <w:left w:val="none" w:sz="0" w:space="0" w:color="auto"/>
        <w:bottom w:val="none" w:sz="0" w:space="0" w:color="auto"/>
        <w:right w:val="none" w:sz="0" w:space="0" w:color="auto"/>
      </w:divBdr>
    </w:div>
    <w:div w:id="803162571">
      <w:bodyDiv w:val="1"/>
      <w:marLeft w:val="0"/>
      <w:marRight w:val="0"/>
      <w:marTop w:val="0"/>
      <w:marBottom w:val="0"/>
      <w:divBdr>
        <w:top w:val="none" w:sz="0" w:space="0" w:color="auto"/>
        <w:left w:val="none" w:sz="0" w:space="0" w:color="auto"/>
        <w:bottom w:val="none" w:sz="0" w:space="0" w:color="auto"/>
        <w:right w:val="none" w:sz="0" w:space="0" w:color="auto"/>
      </w:divBdr>
    </w:div>
    <w:div w:id="803238384">
      <w:bodyDiv w:val="1"/>
      <w:marLeft w:val="0"/>
      <w:marRight w:val="0"/>
      <w:marTop w:val="0"/>
      <w:marBottom w:val="0"/>
      <w:divBdr>
        <w:top w:val="none" w:sz="0" w:space="0" w:color="auto"/>
        <w:left w:val="none" w:sz="0" w:space="0" w:color="auto"/>
        <w:bottom w:val="none" w:sz="0" w:space="0" w:color="auto"/>
        <w:right w:val="none" w:sz="0" w:space="0" w:color="auto"/>
      </w:divBdr>
    </w:div>
    <w:div w:id="803422627">
      <w:bodyDiv w:val="1"/>
      <w:marLeft w:val="0"/>
      <w:marRight w:val="0"/>
      <w:marTop w:val="0"/>
      <w:marBottom w:val="0"/>
      <w:divBdr>
        <w:top w:val="none" w:sz="0" w:space="0" w:color="auto"/>
        <w:left w:val="none" w:sz="0" w:space="0" w:color="auto"/>
        <w:bottom w:val="none" w:sz="0" w:space="0" w:color="auto"/>
        <w:right w:val="none" w:sz="0" w:space="0" w:color="auto"/>
      </w:divBdr>
    </w:div>
    <w:div w:id="803431756">
      <w:bodyDiv w:val="1"/>
      <w:marLeft w:val="0"/>
      <w:marRight w:val="0"/>
      <w:marTop w:val="0"/>
      <w:marBottom w:val="0"/>
      <w:divBdr>
        <w:top w:val="none" w:sz="0" w:space="0" w:color="auto"/>
        <w:left w:val="none" w:sz="0" w:space="0" w:color="auto"/>
        <w:bottom w:val="none" w:sz="0" w:space="0" w:color="auto"/>
        <w:right w:val="none" w:sz="0" w:space="0" w:color="auto"/>
      </w:divBdr>
    </w:div>
    <w:div w:id="803473424">
      <w:bodyDiv w:val="1"/>
      <w:marLeft w:val="0"/>
      <w:marRight w:val="0"/>
      <w:marTop w:val="0"/>
      <w:marBottom w:val="0"/>
      <w:divBdr>
        <w:top w:val="none" w:sz="0" w:space="0" w:color="auto"/>
        <w:left w:val="none" w:sz="0" w:space="0" w:color="auto"/>
        <w:bottom w:val="none" w:sz="0" w:space="0" w:color="auto"/>
        <w:right w:val="none" w:sz="0" w:space="0" w:color="auto"/>
      </w:divBdr>
    </w:div>
    <w:div w:id="803499355">
      <w:bodyDiv w:val="1"/>
      <w:marLeft w:val="0"/>
      <w:marRight w:val="0"/>
      <w:marTop w:val="0"/>
      <w:marBottom w:val="0"/>
      <w:divBdr>
        <w:top w:val="none" w:sz="0" w:space="0" w:color="auto"/>
        <w:left w:val="none" w:sz="0" w:space="0" w:color="auto"/>
        <w:bottom w:val="none" w:sz="0" w:space="0" w:color="auto"/>
        <w:right w:val="none" w:sz="0" w:space="0" w:color="auto"/>
      </w:divBdr>
    </w:div>
    <w:div w:id="803502171">
      <w:bodyDiv w:val="1"/>
      <w:marLeft w:val="0"/>
      <w:marRight w:val="0"/>
      <w:marTop w:val="0"/>
      <w:marBottom w:val="0"/>
      <w:divBdr>
        <w:top w:val="none" w:sz="0" w:space="0" w:color="auto"/>
        <w:left w:val="none" w:sz="0" w:space="0" w:color="auto"/>
        <w:bottom w:val="none" w:sz="0" w:space="0" w:color="auto"/>
        <w:right w:val="none" w:sz="0" w:space="0" w:color="auto"/>
      </w:divBdr>
    </w:div>
    <w:div w:id="803540532">
      <w:bodyDiv w:val="1"/>
      <w:marLeft w:val="0"/>
      <w:marRight w:val="0"/>
      <w:marTop w:val="0"/>
      <w:marBottom w:val="0"/>
      <w:divBdr>
        <w:top w:val="none" w:sz="0" w:space="0" w:color="auto"/>
        <w:left w:val="none" w:sz="0" w:space="0" w:color="auto"/>
        <w:bottom w:val="none" w:sz="0" w:space="0" w:color="auto"/>
        <w:right w:val="none" w:sz="0" w:space="0" w:color="auto"/>
      </w:divBdr>
    </w:div>
    <w:div w:id="803542603">
      <w:bodyDiv w:val="1"/>
      <w:marLeft w:val="0"/>
      <w:marRight w:val="0"/>
      <w:marTop w:val="0"/>
      <w:marBottom w:val="0"/>
      <w:divBdr>
        <w:top w:val="none" w:sz="0" w:space="0" w:color="auto"/>
        <w:left w:val="none" w:sz="0" w:space="0" w:color="auto"/>
        <w:bottom w:val="none" w:sz="0" w:space="0" w:color="auto"/>
        <w:right w:val="none" w:sz="0" w:space="0" w:color="auto"/>
      </w:divBdr>
    </w:div>
    <w:div w:id="803692917">
      <w:bodyDiv w:val="1"/>
      <w:marLeft w:val="0"/>
      <w:marRight w:val="0"/>
      <w:marTop w:val="0"/>
      <w:marBottom w:val="0"/>
      <w:divBdr>
        <w:top w:val="none" w:sz="0" w:space="0" w:color="auto"/>
        <w:left w:val="none" w:sz="0" w:space="0" w:color="auto"/>
        <w:bottom w:val="none" w:sz="0" w:space="0" w:color="auto"/>
        <w:right w:val="none" w:sz="0" w:space="0" w:color="auto"/>
      </w:divBdr>
    </w:div>
    <w:div w:id="803694061">
      <w:bodyDiv w:val="1"/>
      <w:marLeft w:val="0"/>
      <w:marRight w:val="0"/>
      <w:marTop w:val="0"/>
      <w:marBottom w:val="0"/>
      <w:divBdr>
        <w:top w:val="none" w:sz="0" w:space="0" w:color="auto"/>
        <w:left w:val="none" w:sz="0" w:space="0" w:color="auto"/>
        <w:bottom w:val="none" w:sz="0" w:space="0" w:color="auto"/>
        <w:right w:val="none" w:sz="0" w:space="0" w:color="auto"/>
      </w:divBdr>
    </w:div>
    <w:div w:id="803734639">
      <w:bodyDiv w:val="1"/>
      <w:marLeft w:val="0"/>
      <w:marRight w:val="0"/>
      <w:marTop w:val="0"/>
      <w:marBottom w:val="0"/>
      <w:divBdr>
        <w:top w:val="none" w:sz="0" w:space="0" w:color="auto"/>
        <w:left w:val="none" w:sz="0" w:space="0" w:color="auto"/>
        <w:bottom w:val="none" w:sz="0" w:space="0" w:color="auto"/>
        <w:right w:val="none" w:sz="0" w:space="0" w:color="auto"/>
      </w:divBdr>
    </w:div>
    <w:div w:id="803742578">
      <w:bodyDiv w:val="1"/>
      <w:marLeft w:val="0"/>
      <w:marRight w:val="0"/>
      <w:marTop w:val="0"/>
      <w:marBottom w:val="0"/>
      <w:divBdr>
        <w:top w:val="none" w:sz="0" w:space="0" w:color="auto"/>
        <w:left w:val="none" w:sz="0" w:space="0" w:color="auto"/>
        <w:bottom w:val="none" w:sz="0" w:space="0" w:color="auto"/>
        <w:right w:val="none" w:sz="0" w:space="0" w:color="auto"/>
      </w:divBdr>
    </w:div>
    <w:div w:id="803811913">
      <w:bodyDiv w:val="1"/>
      <w:marLeft w:val="0"/>
      <w:marRight w:val="0"/>
      <w:marTop w:val="0"/>
      <w:marBottom w:val="0"/>
      <w:divBdr>
        <w:top w:val="none" w:sz="0" w:space="0" w:color="auto"/>
        <w:left w:val="none" w:sz="0" w:space="0" w:color="auto"/>
        <w:bottom w:val="none" w:sz="0" w:space="0" w:color="auto"/>
        <w:right w:val="none" w:sz="0" w:space="0" w:color="auto"/>
      </w:divBdr>
    </w:div>
    <w:div w:id="803817796">
      <w:bodyDiv w:val="1"/>
      <w:marLeft w:val="0"/>
      <w:marRight w:val="0"/>
      <w:marTop w:val="0"/>
      <w:marBottom w:val="0"/>
      <w:divBdr>
        <w:top w:val="none" w:sz="0" w:space="0" w:color="auto"/>
        <w:left w:val="none" w:sz="0" w:space="0" w:color="auto"/>
        <w:bottom w:val="none" w:sz="0" w:space="0" w:color="auto"/>
        <w:right w:val="none" w:sz="0" w:space="0" w:color="auto"/>
      </w:divBdr>
    </w:div>
    <w:div w:id="803893735">
      <w:bodyDiv w:val="1"/>
      <w:marLeft w:val="0"/>
      <w:marRight w:val="0"/>
      <w:marTop w:val="0"/>
      <w:marBottom w:val="0"/>
      <w:divBdr>
        <w:top w:val="none" w:sz="0" w:space="0" w:color="auto"/>
        <w:left w:val="none" w:sz="0" w:space="0" w:color="auto"/>
        <w:bottom w:val="none" w:sz="0" w:space="0" w:color="auto"/>
        <w:right w:val="none" w:sz="0" w:space="0" w:color="auto"/>
      </w:divBdr>
    </w:div>
    <w:div w:id="803931211">
      <w:bodyDiv w:val="1"/>
      <w:marLeft w:val="0"/>
      <w:marRight w:val="0"/>
      <w:marTop w:val="0"/>
      <w:marBottom w:val="0"/>
      <w:divBdr>
        <w:top w:val="none" w:sz="0" w:space="0" w:color="auto"/>
        <w:left w:val="none" w:sz="0" w:space="0" w:color="auto"/>
        <w:bottom w:val="none" w:sz="0" w:space="0" w:color="auto"/>
        <w:right w:val="none" w:sz="0" w:space="0" w:color="auto"/>
      </w:divBdr>
    </w:div>
    <w:div w:id="804003278">
      <w:bodyDiv w:val="1"/>
      <w:marLeft w:val="0"/>
      <w:marRight w:val="0"/>
      <w:marTop w:val="0"/>
      <w:marBottom w:val="0"/>
      <w:divBdr>
        <w:top w:val="none" w:sz="0" w:space="0" w:color="auto"/>
        <w:left w:val="none" w:sz="0" w:space="0" w:color="auto"/>
        <w:bottom w:val="none" w:sz="0" w:space="0" w:color="auto"/>
        <w:right w:val="none" w:sz="0" w:space="0" w:color="auto"/>
      </w:divBdr>
    </w:div>
    <w:div w:id="804078386">
      <w:bodyDiv w:val="1"/>
      <w:marLeft w:val="0"/>
      <w:marRight w:val="0"/>
      <w:marTop w:val="0"/>
      <w:marBottom w:val="0"/>
      <w:divBdr>
        <w:top w:val="none" w:sz="0" w:space="0" w:color="auto"/>
        <w:left w:val="none" w:sz="0" w:space="0" w:color="auto"/>
        <w:bottom w:val="none" w:sz="0" w:space="0" w:color="auto"/>
        <w:right w:val="none" w:sz="0" w:space="0" w:color="auto"/>
      </w:divBdr>
    </w:div>
    <w:div w:id="804078746">
      <w:bodyDiv w:val="1"/>
      <w:marLeft w:val="0"/>
      <w:marRight w:val="0"/>
      <w:marTop w:val="0"/>
      <w:marBottom w:val="0"/>
      <w:divBdr>
        <w:top w:val="none" w:sz="0" w:space="0" w:color="auto"/>
        <w:left w:val="none" w:sz="0" w:space="0" w:color="auto"/>
        <w:bottom w:val="none" w:sz="0" w:space="0" w:color="auto"/>
        <w:right w:val="none" w:sz="0" w:space="0" w:color="auto"/>
      </w:divBdr>
    </w:div>
    <w:div w:id="804081082">
      <w:bodyDiv w:val="1"/>
      <w:marLeft w:val="0"/>
      <w:marRight w:val="0"/>
      <w:marTop w:val="0"/>
      <w:marBottom w:val="0"/>
      <w:divBdr>
        <w:top w:val="none" w:sz="0" w:space="0" w:color="auto"/>
        <w:left w:val="none" w:sz="0" w:space="0" w:color="auto"/>
        <w:bottom w:val="none" w:sz="0" w:space="0" w:color="auto"/>
        <w:right w:val="none" w:sz="0" w:space="0" w:color="auto"/>
      </w:divBdr>
    </w:div>
    <w:div w:id="804127476">
      <w:bodyDiv w:val="1"/>
      <w:marLeft w:val="0"/>
      <w:marRight w:val="0"/>
      <w:marTop w:val="0"/>
      <w:marBottom w:val="0"/>
      <w:divBdr>
        <w:top w:val="none" w:sz="0" w:space="0" w:color="auto"/>
        <w:left w:val="none" w:sz="0" w:space="0" w:color="auto"/>
        <w:bottom w:val="none" w:sz="0" w:space="0" w:color="auto"/>
        <w:right w:val="none" w:sz="0" w:space="0" w:color="auto"/>
      </w:divBdr>
    </w:div>
    <w:div w:id="804197611">
      <w:bodyDiv w:val="1"/>
      <w:marLeft w:val="0"/>
      <w:marRight w:val="0"/>
      <w:marTop w:val="0"/>
      <w:marBottom w:val="0"/>
      <w:divBdr>
        <w:top w:val="none" w:sz="0" w:space="0" w:color="auto"/>
        <w:left w:val="none" w:sz="0" w:space="0" w:color="auto"/>
        <w:bottom w:val="none" w:sz="0" w:space="0" w:color="auto"/>
        <w:right w:val="none" w:sz="0" w:space="0" w:color="auto"/>
      </w:divBdr>
    </w:div>
    <w:div w:id="804346372">
      <w:bodyDiv w:val="1"/>
      <w:marLeft w:val="0"/>
      <w:marRight w:val="0"/>
      <w:marTop w:val="0"/>
      <w:marBottom w:val="0"/>
      <w:divBdr>
        <w:top w:val="none" w:sz="0" w:space="0" w:color="auto"/>
        <w:left w:val="none" w:sz="0" w:space="0" w:color="auto"/>
        <w:bottom w:val="none" w:sz="0" w:space="0" w:color="auto"/>
        <w:right w:val="none" w:sz="0" w:space="0" w:color="auto"/>
      </w:divBdr>
    </w:div>
    <w:div w:id="804348726">
      <w:bodyDiv w:val="1"/>
      <w:marLeft w:val="0"/>
      <w:marRight w:val="0"/>
      <w:marTop w:val="0"/>
      <w:marBottom w:val="0"/>
      <w:divBdr>
        <w:top w:val="none" w:sz="0" w:space="0" w:color="auto"/>
        <w:left w:val="none" w:sz="0" w:space="0" w:color="auto"/>
        <w:bottom w:val="none" w:sz="0" w:space="0" w:color="auto"/>
        <w:right w:val="none" w:sz="0" w:space="0" w:color="auto"/>
      </w:divBdr>
    </w:div>
    <w:div w:id="804351354">
      <w:bodyDiv w:val="1"/>
      <w:marLeft w:val="0"/>
      <w:marRight w:val="0"/>
      <w:marTop w:val="0"/>
      <w:marBottom w:val="0"/>
      <w:divBdr>
        <w:top w:val="none" w:sz="0" w:space="0" w:color="auto"/>
        <w:left w:val="none" w:sz="0" w:space="0" w:color="auto"/>
        <w:bottom w:val="none" w:sz="0" w:space="0" w:color="auto"/>
        <w:right w:val="none" w:sz="0" w:space="0" w:color="auto"/>
      </w:divBdr>
    </w:div>
    <w:div w:id="804351718">
      <w:bodyDiv w:val="1"/>
      <w:marLeft w:val="0"/>
      <w:marRight w:val="0"/>
      <w:marTop w:val="0"/>
      <w:marBottom w:val="0"/>
      <w:divBdr>
        <w:top w:val="none" w:sz="0" w:space="0" w:color="auto"/>
        <w:left w:val="none" w:sz="0" w:space="0" w:color="auto"/>
        <w:bottom w:val="none" w:sz="0" w:space="0" w:color="auto"/>
        <w:right w:val="none" w:sz="0" w:space="0" w:color="auto"/>
      </w:divBdr>
    </w:div>
    <w:div w:id="804467109">
      <w:bodyDiv w:val="1"/>
      <w:marLeft w:val="0"/>
      <w:marRight w:val="0"/>
      <w:marTop w:val="0"/>
      <w:marBottom w:val="0"/>
      <w:divBdr>
        <w:top w:val="none" w:sz="0" w:space="0" w:color="auto"/>
        <w:left w:val="none" w:sz="0" w:space="0" w:color="auto"/>
        <w:bottom w:val="none" w:sz="0" w:space="0" w:color="auto"/>
        <w:right w:val="none" w:sz="0" w:space="0" w:color="auto"/>
      </w:divBdr>
    </w:div>
    <w:div w:id="804542281">
      <w:bodyDiv w:val="1"/>
      <w:marLeft w:val="0"/>
      <w:marRight w:val="0"/>
      <w:marTop w:val="0"/>
      <w:marBottom w:val="0"/>
      <w:divBdr>
        <w:top w:val="none" w:sz="0" w:space="0" w:color="auto"/>
        <w:left w:val="none" w:sz="0" w:space="0" w:color="auto"/>
        <w:bottom w:val="none" w:sz="0" w:space="0" w:color="auto"/>
        <w:right w:val="none" w:sz="0" w:space="0" w:color="auto"/>
      </w:divBdr>
    </w:div>
    <w:div w:id="804545648">
      <w:bodyDiv w:val="1"/>
      <w:marLeft w:val="0"/>
      <w:marRight w:val="0"/>
      <w:marTop w:val="0"/>
      <w:marBottom w:val="0"/>
      <w:divBdr>
        <w:top w:val="none" w:sz="0" w:space="0" w:color="auto"/>
        <w:left w:val="none" w:sz="0" w:space="0" w:color="auto"/>
        <w:bottom w:val="none" w:sz="0" w:space="0" w:color="auto"/>
        <w:right w:val="none" w:sz="0" w:space="0" w:color="auto"/>
      </w:divBdr>
    </w:div>
    <w:div w:id="804548218">
      <w:bodyDiv w:val="1"/>
      <w:marLeft w:val="0"/>
      <w:marRight w:val="0"/>
      <w:marTop w:val="0"/>
      <w:marBottom w:val="0"/>
      <w:divBdr>
        <w:top w:val="none" w:sz="0" w:space="0" w:color="auto"/>
        <w:left w:val="none" w:sz="0" w:space="0" w:color="auto"/>
        <w:bottom w:val="none" w:sz="0" w:space="0" w:color="auto"/>
        <w:right w:val="none" w:sz="0" w:space="0" w:color="auto"/>
      </w:divBdr>
    </w:div>
    <w:div w:id="804616064">
      <w:bodyDiv w:val="1"/>
      <w:marLeft w:val="0"/>
      <w:marRight w:val="0"/>
      <w:marTop w:val="0"/>
      <w:marBottom w:val="0"/>
      <w:divBdr>
        <w:top w:val="none" w:sz="0" w:space="0" w:color="auto"/>
        <w:left w:val="none" w:sz="0" w:space="0" w:color="auto"/>
        <w:bottom w:val="none" w:sz="0" w:space="0" w:color="auto"/>
        <w:right w:val="none" w:sz="0" w:space="0" w:color="auto"/>
      </w:divBdr>
    </w:div>
    <w:div w:id="804784574">
      <w:bodyDiv w:val="1"/>
      <w:marLeft w:val="0"/>
      <w:marRight w:val="0"/>
      <w:marTop w:val="0"/>
      <w:marBottom w:val="0"/>
      <w:divBdr>
        <w:top w:val="none" w:sz="0" w:space="0" w:color="auto"/>
        <w:left w:val="none" w:sz="0" w:space="0" w:color="auto"/>
        <w:bottom w:val="none" w:sz="0" w:space="0" w:color="auto"/>
        <w:right w:val="none" w:sz="0" w:space="0" w:color="auto"/>
      </w:divBdr>
    </w:div>
    <w:div w:id="804851743">
      <w:bodyDiv w:val="1"/>
      <w:marLeft w:val="0"/>
      <w:marRight w:val="0"/>
      <w:marTop w:val="0"/>
      <w:marBottom w:val="0"/>
      <w:divBdr>
        <w:top w:val="none" w:sz="0" w:space="0" w:color="auto"/>
        <w:left w:val="none" w:sz="0" w:space="0" w:color="auto"/>
        <w:bottom w:val="none" w:sz="0" w:space="0" w:color="auto"/>
        <w:right w:val="none" w:sz="0" w:space="0" w:color="auto"/>
      </w:divBdr>
    </w:div>
    <w:div w:id="804855825">
      <w:bodyDiv w:val="1"/>
      <w:marLeft w:val="0"/>
      <w:marRight w:val="0"/>
      <w:marTop w:val="0"/>
      <w:marBottom w:val="0"/>
      <w:divBdr>
        <w:top w:val="none" w:sz="0" w:space="0" w:color="auto"/>
        <w:left w:val="none" w:sz="0" w:space="0" w:color="auto"/>
        <w:bottom w:val="none" w:sz="0" w:space="0" w:color="auto"/>
        <w:right w:val="none" w:sz="0" w:space="0" w:color="auto"/>
      </w:divBdr>
    </w:div>
    <w:div w:id="805006298">
      <w:bodyDiv w:val="1"/>
      <w:marLeft w:val="0"/>
      <w:marRight w:val="0"/>
      <w:marTop w:val="0"/>
      <w:marBottom w:val="0"/>
      <w:divBdr>
        <w:top w:val="none" w:sz="0" w:space="0" w:color="auto"/>
        <w:left w:val="none" w:sz="0" w:space="0" w:color="auto"/>
        <w:bottom w:val="none" w:sz="0" w:space="0" w:color="auto"/>
        <w:right w:val="none" w:sz="0" w:space="0" w:color="auto"/>
      </w:divBdr>
    </w:div>
    <w:div w:id="805049855">
      <w:bodyDiv w:val="1"/>
      <w:marLeft w:val="0"/>
      <w:marRight w:val="0"/>
      <w:marTop w:val="0"/>
      <w:marBottom w:val="0"/>
      <w:divBdr>
        <w:top w:val="none" w:sz="0" w:space="0" w:color="auto"/>
        <w:left w:val="none" w:sz="0" w:space="0" w:color="auto"/>
        <w:bottom w:val="none" w:sz="0" w:space="0" w:color="auto"/>
        <w:right w:val="none" w:sz="0" w:space="0" w:color="auto"/>
      </w:divBdr>
    </w:div>
    <w:div w:id="805053982">
      <w:bodyDiv w:val="1"/>
      <w:marLeft w:val="0"/>
      <w:marRight w:val="0"/>
      <w:marTop w:val="0"/>
      <w:marBottom w:val="0"/>
      <w:divBdr>
        <w:top w:val="none" w:sz="0" w:space="0" w:color="auto"/>
        <w:left w:val="none" w:sz="0" w:space="0" w:color="auto"/>
        <w:bottom w:val="none" w:sz="0" w:space="0" w:color="auto"/>
        <w:right w:val="none" w:sz="0" w:space="0" w:color="auto"/>
      </w:divBdr>
    </w:div>
    <w:div w:id="805122421">
      <w:bodyDiv w:val="1"/>
      <w:marLeft w:val="0"/>
      <w:marRight w:val="0"/>
      <w:marTop w:val="0"/>
      <w:marBottom w:val="0"/>
      <w:divBdr>
        <w:top w:val="none" w:sz="0" w:space="0" w:color="auto"/>
        <w:left w:val="none" w:sz="0" w:space="0" w:color="auto"/>
        <w:bottom w:val="none" w:sz="0" w:space="0" w:color="auto"/>
        <w:right w:val="none" w:sz="0" w:space="0" w:color="auto"/>
      </w:divBdr>
    </w:div>
    <w:div w:id="805202054">
      <w:bodyDiv w:val="1"/>
      <w:marLeft w:val="0"/>
      <w:marRight w:val="0"/>
      <w:marTop w:val="0"/>
      <w:marBottom w:val="0"/>
      <w:divBdr>
        <w:top w:val="none" w:sz="0" w:space="0" w:color="auto"/>
        <w:left w:val="none" w:sz="0" w:space="0" w:color="auto"/>
        <w:bottom w:val="none" w:sz="0" w:space="0" w:color="auto"/>
        <w:right w:val="none" w:sz="0" w:space="0" w:color="auto"/>
      </w:divBdr>
    </w:div>
    <w:div w:id="805466406">
      <w:bodyDiv w:val="1"/>
      <w:marLeft w:val="0"/>
      <w:marRight w:val="0"/>
      <w:marTop w:val="0"/>
      <w:marBottom w:val="0"/>
      <w:divBdr>
        <w:top w:val="none" w:sz="0" w:space="0" w:color="auto"/>
        <w:left w:val="none" w:sz="0" w:space="0" w:color="auto"/>
        <w:bottom w:val="none" w:sz="0" w:space="0" w:color="auto"/>
        <w:right w:val="none" w:sz="0" w:space="0" w:color="auto"/>
      </w:divBdr>
    </w:div>
    <w:div w:id="805469329">
      <w:bodyDiv w:val="1"/>
      <w:marLeft w:val="0"/>
      <w:marRight w:val="0"/>
      <w:marTop w:val="0"/>
      <w:marBottom w:val="0"/>
      <w:divBdr>
        <w:top w:val="none" w:sz="0" w:space="0" w:color="auto"/>
        <w:left w:val="none" w:sz="0" w:space="0" w:color="auto"/>
        <w:bottom w:val="none" w:sz="0" w:space="0" w:color="auto"/>
        <w:right w:val="none" w:sz="0" w:space="0" w:color="auto"/>
      </w:divBdr>
    </w:div>
    <w:div w:id="805584952">
      <w:bodyDiv w:val="1"/>
      <w:marLeft w:val="0"/>
      <w:marRight w:val="0"/>
      <w:marTop w:val="0"/>
      <w:marBottom w:val="0"/>
      <w:divBdr>
        <w:top w:val="none" w:sz="0" w:space="0" w:color="auto"/>
        <w:left w:val="none" w:sz="0" w:space="0" w:color="auto"/>
        <w:bottom w:val="none" w:sz="0" w:space="0" w:color="auto"/>
        <w:right w:val="none" w:sz="0" w:space="0" w:color="auto"/>
      </w:divBdr>
    </w:div>
    <w:div w:id="805586425">
      <w:bodyDiv w:val="1"/>
      <w:marLeft w:val="0"/>
      <w:marRight w:val="0"/>
      <w:marTop w:val="0"/>
      <w:marBottom w:val="0"/>
      <w:divBdr>
        <w:top w:val="none" w:sz="0" w:space="0" w:color="auto"/>
        <w:left w:val="none" w:sz="0" w:space="0" w:color="auto"/>
        <w:bottom w:val="none" w:sz="0" w:space="0" w:color="auto"/>
        <w:right w:val="none" w:sz="0" w:space="0" w:color="auto"/>
      </w:divBdr>
    </w:div>
    <w:div w:id="805662308">
      <w:bodyDiv w:val="1"/>
      <w:marLeft w:val="0"/>
      <w:marRight w:val="0"/>
      <w:marTop w:val="0"/>
      <w:marBottom w:val="0"/>
      <w:divBdr>
        <w:top w:val="none" w:sz="0" w:space="0" w:color="auto"/>
        <w:left w:val="none" w:sz="0" w:space="0" w:color="auto"/>
        <w:bottom w:val="none" w:sz="0" w:space="0" w:color="auto"/>
        <w:right w:val="none" w:sz="0" w:space="0" w:color="auto"/>
      </w:divBdr>
    </w:div>
    <w:div w:id="805707061">
      <w:bodyDiv w:val="1"/>
      <w:marLeft w:val="0"/>
      <w:marRight w:val="0"/>
      <w:marTop w:val="0"/>
      <w:marBottom w:val="0"/>
      <w:divBdr>
        <w:top w:val="none" w:sz="0" w:space="0" w:color="auto"/>
        <w:left w:val="none" w:sz="0" w:space="0" w:color="auto"/>
        <w:bottom w:val="none" w:sz="0" w:space="0" w:color="auto"/>
        <w:right w:val="none" w:sz="0" w:space="0" w:color="auto"/>
      </w:divBdr>
    </w:div>
    <w:div w:id="805777537">
      <w:bodyDiv w:val="1"/>
      <w:marLeft w:val="0"/>
      <w:marRight w:val="0"/>
      <w:marTop w:val="0"/>
      <w:marBottom w:val="0"/>
      <w:divBdr>
        <w:top w:val="none" w:sz="0" w:space="0" w:color="auto"/>
        <w:left w:val="none" w:sz="0" w:space="0" w:color="auto"/>
        <w:bottom w:val="none" w:sz="0" w:space="0" w:color="auto"/>
        <w:right w:val="none" w:sz="0" w:space="0" w:color="auto"/>
      </w:divBdr>
    </w:div>
    <w:div w:id="805900075">
      <w:bodyDiv w:val="1"/>
      <w:marLeft w:val="0"/>
      <w:marRight w:val="0"/>
      <w:marTop w:val="0"/>
      <w:marBottom w:val="0"/>
      <w:divBdr>
        <w:top w:val="none" w:sz="0" w:space="0" w:color="auto"/>
        <w:left w:val="none" w:sz="0" w:space="0" w:color="auto"/>
        <w:bottom w:val="none" w:sz="0" w:space="0" w:color="auto"/>
        <w:right w:val="none" w:sz="0" w:space="0" w:color="auto"/>
      </w:divBdr>
    </w:div>
    <w:div w:id="805972381">
      <w:bodyDiv w:val="1"/>
      <w:marLeft w:val="0"/>
      <w:marRight w:val="0"/>
      <w:marTop w:val="0"/>
      <w:marBottom w:val="0"/>
      <w:divBdr>
        <w:top w:val="none" w:sz="0" w:space="0" w:color="auto"/>
        <w:left w:val="none" w:sz="0" w:space="0" w:color="auto"/>
        <w:bottom w:val="none" w:sz="0" w:space="0" w:color="auto"/>
        <w:right w:val="none" w:sz="0" w:space="0" w:color="auto"/>
      </w:divBdr>
    </w:div>
    <w:div w:id="806051366">
      <w:bodyDiv w:val="1"/>
      <w:marLeft w:val="0"/>
      <w:marRight w:val="0"/>
      <w:marTop w:val="0"/>
      <w:marBottom w:val="0"/>
      <w:divBdr>
        <w:top w:val="none" w:sz="0" w:space="0" w:color="auto"/>
        <w:left w:val="none" w:sz="0" w:space="0" w:color="auto"/>
        <w:bottom w:val="none" w:sz="0" w:space="0" w:color="auto"/>
        <w:right w:val="none" w:sz="0" w:space="0" w:color="auto"/>
      </w:divBdr>
    </w:div>
    <w:div w:id="806163959">
      <w:bodyDiv w:val="1"/>
      <w:marLeft w:val="0"/>
      <w:marRight w:val="0"/>
      <w:marTop w:val="0"/>
      <w:marBottom w:val="0"/>
      <w:divBdr>
        <w:top w:val="none" w:sz="0" w:space="0" w:color="auto"/>
        <w:left w:val="none" w:sz="0" w:space="0" w:color="auto"/>
        <w:bottom w:val="none" w:sz="0" w:space="0" w:color="auto"/>
        <w:right w:val="none" w:sz="0" w:space="0" w:color="auto"/>
      </w:divBdr>
    </w:div>
    <w:div w:id="806167132">
      <w:bodyDiv w:val="1"/>
      <w:marLeft w:val="0"/>
      <w:marRight w:val="0"/>
      <w:marTop w:val="0"/>
      <w:marBottom w:val="0"/>
      <w:divBdr>
        <w:top w:val="none" w:sz="0" w:space="0" w:color="auto"/>
        <w:left w:val="none" w:sz="0" w:space="0" w:color="auto"/>
        <w:bottom w:val="none" w:sz="0" w:space="0" w:color="auto"/>
        <w:right w:val="none" w:sz="0" w:space="0" w:color="auto"/>
      </w:divBdr>
    </w:div>
    <w:div w:id="806246353">
      <w:bodyDiv w:val="1"/>
      <w:marLeft w:val="0"/>
      <w:marRight w:val="0"/>
      <w:marTop w:val="0"/>
      <w:marBottom w:val="0"/>
      <w:divBdr>
        <w:top w:val="none" w:sz="0" w:space="0" w:color="auto"/>
        <w:left w:val="none" w:sz="0" w:space="0" w:color="auto"/>
        <w:bottom w:val="none" w:sz="0" w:space="0" w:color="auto"/>
        <w:right w:val="none" w:sz="0" w:space="0" w:color="auto"/>
      </w:divBdr>
    </w:div>
    <w:div w:id="806314127">
      <w:bodyDiv w:val="1"/>
      <w:marLeft w:val="0"/>
      <w:marRight w:val="0"/>
      <w:marTop w:val="0"/>
      <w:marBottom w:val="0"/>
      <w:divBdr>
        <w:top w:val="none" w:sz="0" w:space="0" w:color="auto"/>
        <w:left w:val="none" w:sz="0" w:space="0" w:color="auto"/>
        <w:bottom w:val="none" w:sz="0" w:space="0" w:color="auto"/>
        <w:right w:val="none" w:sz="0" w:space="0" w:color="auto"/>
      </w:divBdr>
    </w:div>
    <w:div w:id="806317601">
      <w:bodyDiv w:val="1"/>
      <w:marLeft w:val="0"/>
      <w:marRight w:val="0"/>
      <w:marTop w:val="0"/>
      <w:marBottom w:val="0"/>
      <w:divBdr>
        <w:top w:val="none" w:sz="0" w:space="0" w:color="auto"/>
        <w:left w:val="none" w:sz="0" w:space="0" w:color="auto"/>
        <w:bottom w:val="none" w:sz="0" w:space="0" w:color="auto"/>
        <w:right w:val="none" w:sz="0" w:space="0" w:color="auto"/>
      </w:divBdr>
    </w:div>
    <w:div w:id="806360780">
      <w:bodyDiv w:val="1"/>
      <w:marLeft w:val="0"/>
      <w:marRight w:val="0"/>
      <w:marTop w:val="0"/>
      <w:marBottom w:val="0"/>
      <w:divBdr>
        <w:top w:val="none" w:sz="0" w:space="0" w:color="auto"/>
        <w:left w:val="none" w:sz="0" w:space="0" w:color="auto"/>
        <w:bottom w:val="none" w:sz="0" w:space="0" w:color="auto"/>
        <w:right w:val="none" w:sz="0" w:space="0" w:color="auto"/>
      </w:divBdr>
    </w:div>
    <w:div w:id="806507967">
      <w:bodyDiv w:val="1"/>
      <w:marLeft w:val="0"/>
      <w:marRight w:val="0"/>
      <w:marTop w:val="0"/>
      <w:marBottom w:val="0"/>
      <w:divBdr>
        <w:top w:val="none" w:sz="0" w:space="0" w:color="auto"/>
        <w:left w:val="none" w:sz="0" w:space="0" w:color="auto"/>
        <w:bottom w:val="none" w:sz="0" w:space="0" w:color="auto"/>
        <w:right w:val="none" w:sz="0" w:space="0" w:color="auto"/>
      </w:divBdr>
    </w:div>
    <w:div w:id="806508316">
      <w:bodyDiv w:val="1"/>
      <w:marLeft w:val="0"/>
      <w:marRight w:val="0"/>
      <w:marTop w:val="0"/>
      <w:marBottom w:val="0"/>
      <w:divBdr>
        <w:top w:val="none" w:sz="0" w:space="0" w:color="auto"/>
        <w:left w:val="none" w:sz="0" w:space="0" w:color="auto"/>
        <w:bottom w:val="none" w:sz="0" w:space="0" w:color="auto"/>
        <w:right w:val="none" w:sz="0" w:space="0" w:color="auto"/>
      </w:divBdr>
    </w:div>
    <w:div w:id="806509837">
      <w:bodyDiv w:val="1"/>
      <w:marLeft w:val="0"/>
      <w:marRight w:val="0"/>
      <w:marTop w:val="0"/>
      <w:marBottom w:val="0"/>
      <w:divBdr>
        <w:top w:val="none" w:sz="0" w:space="0" w:color="auto"/>
        <w:left w:val="none" w:sz="0" w:space="0" w:color="auto"/>
        <w:bottom w:val="none" w:sz="0" w:space="0" w:color="auto"/>
        <w:right w:val="none" w:sz="0" w:space="0" w:color="auto"/>
      </w:divBdr>
    </w:div>
    <w:div w:id="806512507">
      <w:bodyDiv w:val="1"/>
      <w:marLeft w:val="0"/>
      <w:marRight w:val="0"/>
      <w:marTop w:val="0"/>
      <w:marBottom w:val="0"/>
      <w:divBdr>
        <w:top w:val="none" w:sz="0" w:space="0" w:color="auto"/>
        <w:left w:val="none" w:sz="0" w:space="0" w:color="auto"/>
        <w:bottom w:val="none" w:sz="0" w:space="0" w:color="auto"/>
        <w:right w:val="none" w:sz="0" w:space="0" w:color="auto"/>
      </w:divBdr>
    </w:div>
    <w:div w:id="806555429">
      <w:bodyDiv w:val="1"/>
      <w:marLeft w:val="0"/>
      <w:marRight w:val="0"/>
      <w:marTop w:val="0"/>
      <w:marBottom w:val="0"/>
      <w:divBdr>
        <w:top w:val="none" w:sz="0" w:space="0" w:color="auto"/>
        <w:left w:val="none" w:sz="0" w:space="0" w:color="auto"/>
        <w:bottom w:val="none" w:sz="0" w:space="0" w:color="auto"/>
        <w:right w:val="none" w:sz="0" w:space="0" w:color="auto"/>
      </w:divBdr>
    </w:div>
    <w:div w:id="806626606">
      <w:bodyDiv w:val="1"/>
      <w:marLeft w:val="0"/>
      <w:marRight w:val="0"/>
      <w:marTop w:val="0"/>
      <w:marBottom w:val="0"/>
      <w:divBdr>
        <w:top w:val="none" w:sz="0" w:space="0" w:color="auto"/>
        <w:left w:val="none" w:sz="0" w:space="0" w:color="auto"/>
        <w:bottom w:val="none" w:sz="0" w:space="0" w:color="auto"/>
        <w:right w:val="none" w:sz="0" w:space="0" w:color="auto"/>
      </w:divBdr>
    </w:div>
    <w:div w:id="806631112">
      <w:bodyDiv w:val="1"/>
      <w:marLeft w:val="0"/>
      <w:marRight w:val="0"/>
      <w:marTop w:val="0"/>
      <w:marBottom w:val="0"/>
      <w:divBdr>
        <w:top w:val="none" w:sz="0" w:space="0" w:color="auto"/>
        <w:left w:val="none" w:sz="0" w:space="0" w:color="auto"/>
        <w:bottom w:val="none" w:sz="0" w:space="0" w:color="auto"/>
        <w:right w:val="none" w:sz="0" w:space="0" w:color="auto"/>
      </w:divBdr>
    </w:div>
    <w:div w:id="806704800">
      <w:bodyDiv w:val="1"/>
      <w:marLeft w:val="0"/>
      <w:marRight w:val="0"/>
      <w:marTop w:val="0"/>
      <w:marBottom w:val="0"/>
      <w:divBdr>
        <w:top w:val="none" w:sz="0" w:space="0" w:color="auto"/>
        <w:left w:val="none" w:sz="0" w:space="0" w:color="auto"/>
        <w:bottom w:val="none" w:sz="0" w:space="0" w:color="auto"/>
        <w:right w:val="none" w:sz="0" w:space="0" w:color="auto"/>
      </w:divBdr>
    </w:div>
    <w:div w:id="806748231">
      <w:bodyDiv w:val="1"/>
      <w:marLeft w:val="0"/>
      <w:marRight w:val="0"/>
      <w:marTop w:val="0"/>
      <w:marBottom w:val="0"/>
      <w:divBdr>
        <w:top w:val="none" w:sz="0" w:space="0" w:color="auto"/>
        <w:left w:val="none" w:sz="0" w:space="0" w:color="auto"/>
        <w:bottom w:val="none" w:sz="0" w:space="0" w:color="auto"/>
        <w:right w:val="none" w:sz="0" w:space="0" w:color="auto"/>
      </w:divBdr>
    </w:div>
    <w:div w:id="806775039">
      <w:bodyDiv w:val="1"/>
      <w:marLeft w:val="0"/>
      <w:marRight w:val="0"/>
      <w:marTop w:val="0"/>
      <w:marBottom w:val="0"/>
      <w:divBdr>
        <w:top w:val="none" w:sz="0" w:space="0" w:color="auto"/>
        <w:left w:val="none" w:sz="0" w:space="0" w:color="auto"/>
        <w:bottom w:val="none" w:sz="0" w:space="0" w:color="auto"/>
        <w:right w:val="none" w:sz="0" w:space="0" w:color="auto"/>
      </w:divBdr>
    </w:div>
    <w:div w:id="806817977">
      <w:bodyDiv w:val="1"/>
      <w:marLeft w:val="0"/>
      <w:marRight w:val="0"/>
      <w:marTop w:val="0"/>
      <w:marBottom w:val="0"/>
      <w:divBdr>
        <w:top w:val="none" w:sz="0" w:space="0" w:color="auto"/>
        <w:left w:val="none" w:sz="0" w:space="0" w:color="auto"/>
        <w:bottom w:val="none" w:sz="0" w:space="0" w:color="auto"/>
        <w:right w:val="none" w:sz="0" w:space="0" w:color="auto"/>
      </w:divBdr>
    </w:div>
    <w:div w:id="806818673">
      <w:bodyDiv w:val="1"/>
      <w:marLeft w:val="0"/>
      <w:marRight w:val="0"/>
      <w:marTop w:val="0"/>
      <w:marBottom w:val="0"/>
      <w:divBdr>
        <w:top w:val="none" w:sz="0" w:space="0" w:color="auto"/>
        <w:left w:val="none" w:sz="0" w:space="0" w:color="auto"/>
        <w:bottom w:val="none" w:sz="0" w:space="0" w:color="auto"/>
        <w:right w:val="none" w:sz="0" w:space="0" w:color="auto"/>
      </w:divBdr>
    </w:div>
    <w:div w:id="806901331">
      <w:bodyDiv w:val="1"/>
      <w:marLeft w:val="0"/>
      <w:marRight w:val="0"/>
      <w:marTop w:val="0"/>
      <w:marBottom w:val="0"/>
      <w:divBdr>
        <w:top w:val="none" w:sz="0" w:space="0" w:color="auto"/>
        <w:left w:val="none" w:sz="0" w:space="0" w:color="auto"/>
        <w:bottom w:val="none" w:sz="0" w:space="0" w:color="auto"/>
        <w:right w:val="none" w:sz="0" w:space="0" w:color="auto"/>
      </w:divBdr>
    </w:div>
    <w:div w:id="806970316">
      <w:bodyDiv w:val="1"/>
      <w:marLeft w:val="0"/>
      <w:marRight w:val="0"/>
      <w:marTop w:val="0"/>
      <w:marBottom w:val="0"/>
      <w:divBdr>
        <w:top w:val="none" w:sz="0" w:space="0" w:color="auto"/>
        <w:left w:val="none" w:sz="0" w:space="0" w:color="auto"/>
        <w:bottom w:val="none" w:sz="0" w:space="0" w:color="auto"/>
        <w:right w:val="none" w:sz="0" w:space="0" w:color="auto"/>
      </w:divBdr>
    </w:div>
    <w:div w:id="806974964">
      <w:bodyDiv w:val="1"/>
      <w:marLeft w:val="0"/>
      <w:marRight w:val="0"/>
      <w:marTop w:val="0"/>
      <w:marBottom w:val="0"/>
      <w:divBdr>
        <w:top w:val="none" w:sz="0" w:space="0" w:color="auto"/>
        <w:left w:val="none" w:sz="0" w:space="0" w:color="auto"/>
        <w:bottom w:val="none" w:sz="0" w:space="0" w:color="auto"/>
        <w:right w:val="none" w:sz="0" w:space="0" w:color="auto"/>
      </w:divBdr>
    </w:div>
    <w:div w:id="806975872">
      <w:bodyDiv w:val="1"/>
      <w:marLeft w:val="0"/>
      <w:marRight w:val="0"/>
      <w:marTop w:val="0"/>
      <w:marBottom w:val="0"/>
      <w:divBdr>
        <w:top w:val="none" w:sz="0" w:space="0" w:color="auto"/>
        <w:left w:val="none" w:sz="0" w:space="0" w:color="auto"/>
        <w:bottom w:val="none" w:sz="0" w:space="0" w:color="auto"/>
        <w:right w:val="none" w:sz="0" w:space="0" w:color="auto"/>
      </w:divBdr>
    </w:div>
    <w:div w:id="807016192">
      <w:bodyDiv w:val="1"/>
      <w:marLeft w:val="0"/>
      <w:marRight w:val="0"/>
      <w:marTop w:val="0"/>
      <w:marBottom w:val="0"/>
      <w:divBdr>
        <w:top w:val="none" w:sz="0" w:space="0" w:color="auto"/>
        <w:left w:val="none" w:sz="0" w:space="0" w:color="auto"/>
        <w:bottom w:val="none" w:sz="0" w:space="0" w:color="auto"/>
        <w:right w:val="none" w:sz="0" w:space="0" w:color="auto"/>
      </w:divBdr>
    </w:div>
    <w:div w:id="807018946">
      <w:bodyDiv w:val="1"/>
      <w:marLeft w:val="0"/>
      <w:marRight w:val="0"/>
      <w:marTop w:val="0"/>
      <w:marBottom w:val="0"/>
      <w:divBdr>
        <w:top w:val="none" w:sz="0" w:space="0" w:color="auto"/>
        <w:left w:val="none" w:sz="0" w:space="0" w:color="auto"/>
        <w:bottom w:val="none" w:sz="0" w:space="0" w:color="auto"/>
        <w:right w:val="none" w:sz="0" w:space="0" w:color="auto"/>
      </w:divBdr>
    </w:div>
    <w:div w:id="807089460">
      <w:bodyDiv w:val="1"/>
      <w:marLeft w:val="0"/>
      <w:marRight w:val="0"/>
      <w:marTop w:val="0"/>
      <w:marBottom w:val="0"/>
      <w:divBdr>
        <w:top w:val="none" w:sz="0" w:space="0" w:color="auto"/>
        <w:left w:val="none" w:sz="0" w:space="0" w:color="auto"/>
        <w:bottom w:val="none" w:sz="0" w:space="0" w:color="auto"/>
        <w:right w:val="none" w:sz="0" w:space="0" w:color="auto"/>
      </w:divBdr>
    </w:div>
    <w:div w:id="807095128">
      <w:bodyDiv w:val="1"/>
      <w:marLeft w:val="0"/>
      <w:marRight w:val="0"/>
      <w:marTop w:val="0"/>
      <w:marBottom w:val="0"/>
      <w:divBdr>
        <w:top w:val="none" w:sz="0" w:space="0" w:color="auto"/>
        <w:left w:val="none" w:sz="0" w:space="0" w:color="auto"/>
        <w:bottom w:val="none" w:sz="0" w:space="0" w:color="auto"/>
        <w:right w:val="none" w:sz="0" w:space="0" w:color="auto"/>
      </w:divBdr>
    </w:div>
    <w:div w:id="807162047">
      <w:bodyDiv w:val="1"/>
      <w:marLeft w:val="0"/>
      <w:marRight w:val="0"/>
      <w:marTop w:val="0"/>
      <w:marBottom w:val="0"/>
      <w:divBdr>
        <w:top w:val="none" w:sz="0" w:space="0" w:color="auto"/>
        <w:left w:val="none" w:sz="0" w:space="0" w:color="auto"/>
        <w:bottom w:val="none" w:sz="0" w:space="0" w:color="auto"/>
        <w:right w:val="none" w:sz="0" w:space="0" w:color="auto"/>
      </w:divBdr>
    </w:div>
    <w:div w:id="807168790">
      <w:bodyDiv w:val="1"/>
      <w:marLeft w:val="0"/>
      <w:marRight w:val="0"/>
      <w:marTop w:val="0"/>
      <w:marBottom w:val="0"/>
      <w:divBdr>
        <w:top w:val="none" w:sz="0" w:space="0" w:color="auto"/>
        <w:left w:val="none" w:sz="0" w:space="0" w:color="auto"/>
        <w:bottom w:val="none" w:sz="0" w:space="0" w:color="auto"/>
        <w:right w:val="none" w:sz="0" w:space="0" w:color="auto"/>
      </w:divBdr>
    </w:div>
    <w:div w:id="807236213">
      <w:bodyDiv w:val="1"/>
      <w:marLeft w:val="0"/>
      <w:marRight w:val="0"/>
      <w:marTop w:val="0"/>
      <w:marBottom w:val="0"/>
      <w:divBdr>
        <w:top w:val="none" w:sz="0" w:space="0" w:color="auto"/>
        <w:left w:val="none" w:sz="0" w:space="0" w:color="auto"/>
        <w:bottom w:val="none" w:sz="0" w:space="0" w:color="auto"/>
        <w:right w:val="none" w:sz="0" w:space="0" w:color="auto"/>
      </w:divBdr>
    </w:div>
    <w:div w:id="807279555">
      <w:bodyDiv w:val="1"/>
      <w:marLeft w:val="0"/>
      <w:marRight w:val="0"/>
      <w:marTop w:val="0"/>
      <w:marBottom w:val="0"/>
      <w:divBdr>
        <w:top w:val="none" w:sz="0" w:space="0" w:color="auto"/>
        <w:left w:val="none" w:sz="0" w:space="0" w:color="auto"/>
        <w:bottom w:val="none" w:sz="0" w:space="0" w:color="auto"/>
        <w:right w:val="none" w:sz="0" w:space="0" w:color="auto"/>
      </w:divBdr>
    </w:div>
    <w:div w:id="807476948">
      <w:bodyDiv w:val="1"/>
      <w:marLeft w:val="0"/>
      <w:marRight w:val="0"/>
      <w:marTop w:val="0"/>
      <w:marBottom w:val="0"/>
      <w:divBdr>
        <w:top w:val="none" w:sz="0" w:space="0" w:color="auto"/>
        <w:left w:val="none" w:sz="0" w:space="0" w:color="auto"/>
        <w:bottom w:val="none" w:sz="0" w:space="0" w:color="auto"/>
        <w:right w:val="none" w:sz="0" w:space="0" w:color="auto"/>
      </w:divBdr>
    </w:div>
    <w:div w:id="807479847">
      <w:bodyDiv w:val="1"/>
      <w:marLeft w:val="0"/>
      <w:marRight w:val="0"/>
      <w:marTop w:val="0"/>
      <w:marBottom w:val="0"/>
      <w:divBdr>
        <w:top w:val="none" w:sz="0" w:space="0" w:color="auto"/>
        <w:left w:val="none" w:sz="0" w:space="0" w:color="auto"/>
        <w:bottom w:val="none" w:sz="0" w:space="0" w:color="auto"/>
        <w:right w:val="none" w:sz="0" w:space="0" w:color="auto"/>
      </w:divBdr>
    </w:div>
    <w:div w:id="807553124">
      <w:bodyDiv w:val="1"/>
      <w:marLeft w:val="0"/>
      <w:marRight w:val="0"/>
      <w:marTop w:val="0"/>
      <w:marBottom w:val="0"/>
      <w:divBdr>
        <w:top w:val="none" w:sz="0" w:space="0" w:color="auto"/>
        <w:left w:val="none" w:sz="0" w:space="0" w:color="auto"/>
        <w:bottom w:val="none" w:sz="0" w:space="0" w:color="auto"/>
        <w:right w:val="none" w:sz="0" w:space="0" w:color="auto"/>
      </w:divBdr>
    </w:div>
    <w:div w:id="807627561">
      <w:bodyDiv w:val="1"/>
      <w:marLeft w:val="0"/>
      <w:marRight w:val="0"/>
      <w:marTop w:val="0"/>
      <w:marBottom w:val="0"/>
      <w:divBdr>
        <w:top w:val="none" w:sz="0" w:space="0" w:color="auto"/>
        <w:left w:val="none" w:sz="0" w:space="0" w:color="auto"/>
        <w:bottom w:val="none" w:sz="0" w:space="0" w:color="auto"/>
        <w:right w:val="none" w:sz="0" w:space="0" w:color="auto"/>
      </w:divBdr>
    </w:div>
    <w:div w:id="807816475">
      <w:bodyDiv w:val="1"/>
      <w:marLeft w:val="0"/>
      <w:marRight w:val="0"/>
      <w:marTop w:val="0"/>
      <w:marBottom w:val="0"/>
      <w:divBdr>
        <w:top w:val="none" w:sz="0" w:space="0" w:color="auto"/>
        <w:left w:val="none" w:sz="0" w:space="0" w:color="auto"/>
        <w:bottom w:val="none" w:sz="0" w:space="0" w:color="auto"/>
        <w:right w:val="none" w:sz="0" w:space="0" w:color="auto"/>
      </w:divBdr>
    </w:div>
    <w:div w:id="807823385">
      <w:bodyDiv w:val="1"/>
      <w:marLeft w:val="0"/>
      <w:marRight w:val="0"/>
      <w:marTop w:val="0"/>
      <w:marBottom w:val="0"/>
      <w:divBdr>
        <w:top w:val="none" w:sz="0" w:space="0" w:color="auto"/>
        <w:left w:val="none" w:sz="0" w:space="0" w:color="auto"/>
        <w:bottom w:val="none" w:sz="0" w:space="0" w:color="auto"/>
        <w:right w:val="none" w:sz="0" w:space="0" w:color="auto"/>
      </w:divBdr>
    </w:div>
    <w:div w:id="807940821">
      <w:bodyDiv w:val="1"/>
      <w:marLeft w:val="0"/>
      <w:marRight w:val="0"/>
      <w:marTop w:val="0"/>
      <w:marBottom w:val="0"/>
      <w:divBdr>
        <w:top w:val="none" w:sz="0" w:space="0" w:color="auto"/>
        <w:left w:val="none" w:sz="0" w:space="0" w:color="auto"/>
        <w:bottom w:val="none" w:sz="0" w:space="0" w:color="auto"/>
        <w:right w:val="none" w:sz="0" w:space="0" w:color="auto"/>
      </w:divBdr>
    </w:div>
    <w:div w:id="808012881">
      <w:bodyDiv w:val="1"/>
      <w:marLeft w:val="0"/>
      <w:marRight w:val="0"/>
      <w:marTop w:val="0"/>
      <w:marBottom w:val="0"/>
      <w:divBdr>
        <w:top w:val="none" w:sz="0" w:space="0" w:color="auto"/>
        <w:left w:val="none" w:sz="0" w:space="0" w:color="auto"/>
        <w:bottom w:val="none" w:sz="0" w:space="0" w:color="auto"/>
        <w:right w:val="none" w:sz="0" w:space="0" w:color="auto"/>
      </w:divBdr>
    </w:div>
    <w:div w:id="808131564">
      <w:bodyDiv w:val="1"/>
      <w:marLeft w:val="0"/>
      <w:marRight w:val="0"/>
      <w:marTop w:val="0"/>
      <w:marBottom w:val="0"/>
      <w:divBdr>
        <w:top w:val="none" w:sz="0" w:space="0" w:color="auto"/>
        <w:left w:val="none" w:sz="0" w:space="0" w:color="auto"/>
        <w:bottom w:val="none" w:sz="0" w:space="0" w:color="auto"/>
        <w:right w:val="none" w:sz="0" w:space="0" w:color="auto"/>
      </w:divBdr>
    </w:div>
    <w:div w:id="808207123">
      <w:bodyDiv w:val="1"/>
      <w:marLeft w:val="0"/>
      <w:marRight w:val="0"/>
      <w:marTop w:val="0"/>
      <w:marBottom w:val="0"/>
      <w:divBdr>
        <w:top w:val="none" w:sz="0" w:space="0" w:color="auto"/>
        <w:left w:val="none" w:sz="0" w:space="0" w:color="auto"/>
        <w:bottom w:val="none" w:sz="0" w:space="0" w:color="auto"/>
        <w:right w:val="none" w:sz="0" w:space="0" w:color="auto"/>
      </w:divBdr>
    </w:div>
    <w:div w:id="808283314">
      <w:bodyDiv w:val="1"/>
      <w:marLeft w:val="0"/>
      <w:marRight w:val="0"/>
      <w:marTop w:val="0"/>
      <w:marBottom w:val="0"/>
      <w:divBdr>
        <w:top w:val="none" w:sz="0" w:space="0" w:color="auto"/>
        <w:left w:val="none" w:sz="0" w:space="0" w:color="auto"/>
        <w:bottom w:val="none" w:sz="0" w:space="0" w:color="auto"/>
        <w:right w:val="none" w:sz="0" w:space="0" w:color="auto"/>
      </w:divBdr>
    </w:div>
    <w:div w:id="808671400">
      <w:bodyDiv w:val="1"/>
      <w:marLeft w:val="0"/>
      <w:marRight w:val="0"/>
      <w:marTop w:val="0"/>
      <w:marBottom w:val="0"/>
      <w:divBdr>
        <w:top w:val="none" w:sz="0" w:space="0" w:color="auto"/>
        <w:left w:val="none" w:sz="0" w:space="0" w:color="auto"/>
        <w:bottom w:val="none" w:sz="0" w:space="0" w:color="auto"/>
        <w:right w:val="none" w:sz="0" w:space="0" w:color="auto"/>
      </w:divBdr>
    </w:div>
    <w:div w:id="808937710">
      <w:bodyDiv w:val="1"/>
      <w:marLeft w:val="0"/>
      <w:marRight w:val="0"/>
      <w:marTop w:val="0"/>
      <w:marBottom w:val="0"/>
      <w:divBdr>
        <w:top w:val="none" w:sz="0" w:space="0" w:color="auto"/>
        <w:left w:val="none" w:sz="0" w:space="0" w:color="auto"/>
        <w:bottom w:val="none" w:sz="0" w:space="0" w:color="auto"/>
        <w:right w:val="none" w:sz="0" w:space="0" w:color="auto"/>
      </w:divBdr>
    </w:div>
    <w:div w:id="808938166">
      <w:bodyDiv w:val="1"/>
      <w:marLeft w:val="0"/>
      <w:marRight w:val="0"/>
      <w:marTop w:val="0"/>
      <w:marBottom w:val="0"/>
      <w:divBdr>
        <w:top w:val="none" w:sz="0" w:space="0" w:color="auto"/>
        <w:left w:val="none" w:sz="0" w:space="0" w:color="auto"/>
        <w:bottom w:val="none" w:sz="0" w:space="0" w:color="auto"/>
        <w:right w:val="none" w:sz="0" w:space="0" w:color="auto"/>
      </w:divBdr>
    </w:div>
    <w:div w:id="808941027">
      <w:bodyDiv w:val="1"/>
      <w:marLeft w:val="0"/>
      <w:marRight w:val="0"/>
      <w:marTop w:val="0"/>
      <w:marBottom w:val="0"/>
      <w:divBdr>
        <w:top w:val="none" w:sz="0" w:space="0" w:color="auto"/>
        <w:left w:val="none" w:sz="0" w:space="0" w:color="auto"/>
        <w:bottom w:val="none" w:sz="0" w:space="0" w:color="auto"/>
        <w:right w:val="none" w:sz="0" w:space="0" w:color="auto"/>
      </w:divBdr>
    </w:div>
    <w:div w:id="808980601">
      <w:bodyDiv w:val="1"/>
      <w:marLeft w:val="0"/>
      <w:marRight w:val="0"/>
      <w:marTop w:val="0"/>
      <w:marBottom w:val="0"/>
      <w:divBdr>
        <w:top w:val="none" w:sz="0" w:space="0" w:color="auto"/>
        <w:left w:val="none" w:sz="0" w:space="0" w:color="auto"/>
        <w:bottom w:val="none" w:sz="0" w:space="0" w:color="auto"/>
        <w:right w:val="none" w:sz="0" w:space="0" w:color="auto"/>
      </w:divBdr>
    </w:div>
    <w:div w:id="808980893">
      <w:bodyDiv w:val="1"/>
      <w:marLeft w:val="0"/>
      <w:marRight w:val="0"/>
      <w:marTop w:val="0"/>
      <w:marBottom w:val="0"/>
      <w:divBdr>
        <w:top w:val="none" w:sz="0" w:space="0" w:color="auto"/>
        <w:left w:val="none" w:sz="0" w:space="0" w:color="auto"/>
        <w:bottom w:val="none" w:sz="0" w:space="0" w:color="auto"/>
        <w:right w:val="none" w:sz="0" w:space="0" w:color="auto"/>
      </w:divBdr>
    </w:div>
    <w:div w:id="809129104">
      <w:bodyDiv w:val="1"/>
      <w:marLeft w:val="0"/>
      <w:marRight w:val="0"/>
      <w:marTop w:val="0"/>
      <w:marBottom w:val="0"/>
      <w:divBdr>
        <w:top w:val="none" w:sz="0" w:space="0" w:color="auto"/>
        <w:left w:val="none" w:sz="0" w:space="0" w:color="auto"/>
        <w:bottom w:val="none" w:sz="0" w:space="0" w:color="auto"/>
        <w:right w:val="none" w:sz="0" w:space="0" w:color="auto"/>
      </w:divBdr>
    </w:div>
    <w:div w:id="809175500">
      <w:bodyDiv w:val="1"/>
      <w:marLeft w:val="0"/>
      <w:marRight w:val="0"/>
      <w:marTop w:val="0"/>
      <w:marBottom w:val="0"/>
      <w:divBdr>
        <w:top w:val="none" w:sz="0" w:space="0" w:color="auto"/>
        <w:left w:val="none" w:sz="0" w:space="0" w:color="auto"/>
        <w:bottom w:val="none" w:sz="0" w:space="0" w:color="auto"/>
        <w:right w:val="none" w:sz="0" w:space="0" w:color="auto"/>
      </w:divBdr>
    </w:div>
    <w:div w:id="809176615">
      <w:bodyDiv w:val="1"/>
      <w:marLeft w:val="0"/>
      <w:marRight w:val="0"/>
      <w:marTop w:val="0"/>
      <w:marBottom w:val="0"/>
      <w:divBdr>
        <w:top w:val="none" w:sz="0" w:space="0" w:color="auto"/>
        <w:left w:val="none" w:sz="0" w:space="0" w:color="auto"/>
        <w:bottom w:val="none" w:sz="0" w:space="0" w:color="auto"/>
        <w:right w:val="none" w:sz="0" w:space="0" w:color="auto"/>
      </w:divBdr>
    </w:div>
    <w:div w:id="809322280">
      <w:bodyDiv w:val="1"/>
      <w:marLeft w:val="0"/>
      <w:marRight w:val="0"/>
      <w:marTop w:val="0"/>
      <w:marBottom w:val="0"/>
      <w:divBdr>
        <w:top w:val="none" w:sz="0" w:space="0" w:color="auto"/>
        <w:left w:val="none" w:sz="0" w:space="0" w:color="auto"/>
        <w:bottom w:val="none" w:sz="0" w:space="0" w:color="auto"/>
        <w:right w:val="none" w:sz="0" w:space="0" w:color="auto"/>
      </w:divBdr>
    </w:div>
    <w:div w:id="809329346">
      <w:bodyDiv w:val="1"/>
      <w:marLeft w:val="0"/>
      <w:marRight w:val="0"/>
      <w:marTop w:val="0"/>
      <w:marBottom w:val="0"/>
      <w:divBdr>
        <w:top w:val="none" w:sz="0" w:space="0" w:color="auto"/>
        <w:left w:val="none" w:sz="0" w:space="0" w:color="auto"/>
        <w:bottom w:val="none" w:sz="0" w:space="0" w:color="auto"/>
        <w:right w:val="none" w:sz="0" w:space="0" w:color="auto"/>
      </w:divBdr>
    </w:div>
    <w:div w:id="809398928">
      <w:bodyDiv w:val="1"/>
      <w:marLeft w:val="0"/>
      <w:marRight w:val="0"/>
      <w:marTop w:val="0"/>
      <w:marBottom w:val="0"/>
      <w:divBdr>
        <w:top w:val="none" w:sz="0" w:space="0" w:color="auto"/>
        <w:left w:val="none" w:sz="0" w:space="0" w:color="auto"/>
        <w:bottom w:val="none" w:sz="0" w:space="0" w:color="auto"/>
        <w:right w:val="none" w:sz="0" w:space="0" w:color="auto"/>
      </w:divBdr>
    </w:div>
    <w:div w:id="809399048">
      <w:bodyDiv w:val="1"/>
      <w:marLeft w:val="0"/>
      <w:marRight w:val="0"/>
      <w:marTop w:val="0"/>
      <w:marBottom w:val="0"/>
      <w:divBdr>
        <w:top w:val="none" w:sz="0" w:space="0" w:color="auto"/>
        <w:left w:val="none" w:sz="0" w:space="0" w:color="auto"/>
        <w:bottom w:val="none" w:sz="0" w:space="0" w:color="auto"/>
        <w:right w:val="none" w:sz="0" w:space="0" w:color="auto"/>
      </w:divBdr>
    </w:div>
    <w:div w:id="809444280">
      <w:bodyDiv w:val="1"/>
      <w:marLeft w:val="0"/>
      <w:marRight w:val="0"/>
      <w:marTop w:val="0"/>
      <w:marBottom w:val="0"/>
      <w:divBdr>
        <w:top w:val="none" w:sz="0" w:space="0" w:color="auto"/>
        <w:left w:val="none" w:sz="0" w:space="0" w:color="auto"/>
        <w:bottom w:val="none" w:sz="0" w:space="0" w:color="auto"/>
        <w:right w:val="none" w:sz="0" w:space="0" w:color="auto"/>
      </w:divBdr>
    </w:div>
    <w:div w:id="809522490">
      <w:bodyDiv w:val="1"/>
      <w:marLeft w:val="0"/>
      <w:marRight w:val="0"/>
      <w:marTop w:val="0"/>
      <w:marBottom w:val="0"/>
      <w:divBdr>
        <w:top w:val="none" w:sz="0" w:space="0" w:color="auto"/>
        <w:left w:val="none" w:sz="0" w:space="0" w:color="auto"/>
        <w:bottom w:val="none" w:sz="0" w:space="0" w:color="auto"/>
        <w:right w:val="none" w:sz="0" w:space="0" w:color="auto"/>
      </w:divBdr>
    </w:div>
    <w:div w:id="809594715">
      <w:bodyDiv w:val="1"/>
      <w:marLeft w:val="0"/>
      <w:marRight w:val="0"/>
      <w:marTop w:val="0"/>
      <w:marBottom w:val="0"/>
      <w:divBdr>
        <w:top w:val="none" w:sz="0" w:space="0" w:color="auto"/>
        <w:left w:val="none" w:sz="0" w:space="0" w:color="auto"/>
        <w:bottom w:val="none" w:sz="0" w:space="0" w:color="auto"/>
        <w:right w:val="none" w:sz="0" w:space="0" w:color="auto"/>
      </w:divBdr>
    </w:div>
    <w:div w:id="809595564">
      <w:bodyDiv w:val="1"/>
      <w:marLeft w:val="0"/>
      <w:marRight w:val="0"/>
      <w:marTop w:val="0"/>
      <w:marBottom w:val="0"/>
      <w:divBdr>
        <w:top w:val="none" w:sz="0" w:space="0" w:color="auto"/>
        <w:left w:val="none" w:sz="0" w:space="0" w:color="auto"/>
        <w:bottom w:val="none" w:sz="0" w:space="0" w:color="auto"/>
        <w:right w:val="none" w:sz="0" w:space="0" w:color="auto"/>
      </w:divBdr>
    </w:div>
    <w:div w:id="809632355">
      <w:bodyDiv w:val="1"/>
      <w:marLeft w:val="0"/>
      <w:marRight w:val="0"/>
      <w:marTop w:val="0"/>
      <w:marBottom w:val="0"/>
      <w:divBdr>
        <w:top w:val="none" w:sz="0" w:space="0" w:color="auto"/>
        <w:left w:val="none" w:sz="0" w:space="0" w:color="auto"/>
        <w:bottom w:val="none" w:sz="0" w:space="0" w:color="auto"/>
        <w:right w:val="none" w:sz="0" w:space="0" w:color="auto"/>
      </w:divBdr>
    </w:div>
    <w:div w:id="809907897">
      <w:bodyDiv w:val="1"/>
      <w:marLeft w:val="0"/>
      <w:marRight w:val="0"/>
      <w:marTop w:val="0"/>
      <w:marBottom w:val="0"/>
      <w:divBdr>
        <w:top w:val="none" w:sz="0" w:space="0" w:color="auto"/>
        <w:left w:val="none" w:sz="0" w:space="0" w:color="auto"/>
        <w:bottom w:val="none" w:sz="0" w:space="0" w:color="auto"/>
        <w:right w:val="none" w:sz="0" w:space="0" w:color="auto"/>
      </w:divBdr>
    </w:div>
    <w:div w:id="809976392">
      <w:bodyDiv w:val="1"/>
      <w:marLeft w:val="0"/>
      <w:marRight w:val="0"/>
      <w:marTop w:val="0"/>
      <w:marBottom w:val="0"/>
      <w:divBdr>
        <w:top w:val="none" w:sz="0" w:space="0" w:color="auto"/>
        <w:left w:val="none" w:sz="0" w:space="0" w:color="auto"/>
        <w:bottom w:val="none" w:sz="0" w:space="0" w:color="auto"/>
        <w:right w:val="none" w:sz="0" w:space="0" w:color="auto"/>
      </w:divBdr>
    </w:div>
    <w:div w:id="809976448">
      <w:bodyDiv w:val="1"/>
      <w:marLeft w:val="0"/>
      <w:marRight w:val="0"/>
      <w:marTop w:val="0"/>
      <w:marBottom w:val="0"/>
      <w:divBdr>
        <w:top w:val="none" w:sz="0" w:space="0" w:color="auto"/>
        <w:left w:val="none" w:sz="0" w:space="0" w:color="auto"/>
        <w:bottom w:val="none" w:sz="0" w:space="0" w:color="auto"/>
        <w:right w:val="none" w:sz="0" w:space="0" w:color="auto"/>
      </w:divBdr>
    </w:div>
    <w:div w:id="809980200">
      <w:bodyDiv w:val="1"/>
      <w:marLeft w:val="0"/>
      <w:marRight w:val="0"/>
      <w:marTop w:val="0"/>
      <w:marBottom w:val="0"/>
      <w:divBdr>
        <w:top w:val="none" w:sz="0" w:space="0" w:color="auto"/>
        <w:left w:val="none" w:sz="0" w:space="0" w:color="auto"/>
        <w:bottom w:val="none" w:sz="0" w:space="0" w:color="auto"/>
        <w:right w:val="none" w:sz="0" w:space="0" w:color="auto"/>
      </w:divBdr>
    </w:div>
    <w:div w:id="809981963">
      <w:bodyDiv w:val="1"/>
      <w:marLeft w:val="0"/>
      <w:marRight w:val="0"/>
      <w:marTop w:val="0"/>
      <w:marBottom w:val="0"/>
      <w:divBdr>
        <w:top w:val="none" w:sz="0" w:space="0" w:color="auto"/>
        <w:left w:val="none" w:sz="0" w:space="0" w:color="auto"/>
        <w:bottom w:val="none" w:sz="0" w:space="0" w:color="auto"/>
        <w:right w:val="none" w:sz="0" w:space="0" w:color="auto"/>
      </w:divBdr>
    </w:div>
    <w:div w:id="809982803">
      <w:bodyDiv w:val="1"/>
      <w:marLeft w:val="0"/>
      <w:marRight w:val="0"/>
      <w:marTop w:val="0"/>
      <w:marBottom w:val="0"/>
      <w:divBdr>
        <w:top w:val="none" w:sz="0" w:space="0" w:color="auto"/>
        <w:left w:val="none" w:sz="0" w:space="0" w:color="auto"/>
        <w:bottom w:val="none" w:sz="0" w:space="0" w:color="auto"/>
        <w:right w:val="none" w:sz="0" w:space="0" w:color="auto"/>
      </w:divBdr>
    </w:div>
    <w:div w:id="810051915">
      <w:bodyDiv w:val="1"/>
      <w:marLeft w:val="0"/>
      <w:marRight w:val="0"/>
      <w:marTop w:val="0"/>
      <w:marBottom w:val="0"/>
      <w:divBdr>
        <w:top w:val="none" w:sz="0" w:space="0" w:color="auto"/>
        <w:left w:val="none" w:sz="0" w:space="0" w:color="auto"/>
        <w:bottom w:val="none" w:sz="0" w:space="0" w:color="auto"/>
        <w:right w:val="none" w:sz="0" w:space="0" w:color="auto"/>
      </w:divBdr>
    </w:div>
    <w:div w:id="810096249">
      <w:bodyDiv w:val="1"/>
      <w:marLeft w:val="0"/>
      <w:marRight w:val="0"/>
      <w:marTop w:val="0"/>
      <w:marBottom w:val="0"/>
      <w:divBdr>
        <w:top w:val="none" w:sz="0" w:space="0" w:color="auto"/>
        <w:left w:val="none" w:sz="0" w:space="0" w:color="auto"/>
        <w:bottom w:val="none" w:sz="0" w:space="0" w:color="auto"/>
        <w:right w:val="none" w:sz="0" w:space="0" w:color="auto"/>
      </w:divBdr>
    </w:div>
    <w:div w:id="810102812">
      <w:bodyDiv w:val="1"/>
      <w:marLeft w:val="0"/>
      <w:marRight w:val="0"/>
      <w:marTop w:val="0"/>
      <w:marBottom w:val="0"/>
      <w:divBdr>
        <w:top w:val="none" w:sz="0" w:space="0" w:color="auto"/>
        <w:left w:val="none" w:sz="0" w:space="0" w:color="auto"/>
        <w:bottom w:val="none" w:sz="0" w:space="0" w:color="auto"/>
        <w:right w:val="none" w:sz="0" w:space="0" w:color="auto"/>
      </w:divBdr>
    </w:div>
    <w:div w:id="810177398">
      <w:bodyDiv w:val="1"/>
      <w:marLeft w:val="0"/>
      <w:marRight w:val="0"/>
      <w:marTop w:val="0"/>
      <w:marBottom w:val="0"/>
      <w:divBdr>
        <w:top w:val="none" w:sz="0" w:space="0" w:color="auto"/>
        <w:left w:val="none" w:sz="0" w:space="0" w:color="auto"/>
        <w:bottom w:val="none" w:sz="0" w:space="0" w:color="auto"/>
        <w:right w:val="none" w:sz="0" w:space="0" w:color="auto"/>
      </w:divBdr>
    </w:div>
    <w:div w:id="810252463">
      <w:bodyDiv w:val="1"/>
      <w:marLeft w:val="0"/>
      <w:marRight w:val="0"/>
      <w:marTop w:val="0"/>
      <w:marBottom w:val="0"/>
      <w:divBdr>
        <w:top w:val="none" w:sz="0" w:space="0" w:color="auto"/>
        <w:left w:val="none" w:sz="0" w:space="0" w:color="auto"/>
        <w:bottom w:val="none" w:sz="0" w:space="0" w:color="auto"/>
        <w:right w:val="none" w:sz="0" w:space="0" w:color="auto"/>
      </w:divBdr>
    </w:div>
    <w:div w:id="810437856">
      <w:bodyDiv w:val="1"/>
      <w:marLeft w:val="0"/>
      <w:marRight w:val="0"/>
      <w:marTop w:val="0"/>
      <w:marBottom w:val="0"/>
      <w:divBdr>
        <w:top w:val="none" w:sz="0" w:space="0" w:color="auto"/>
        <w:left w:val="none" w:sz="0" w:space="0" w:color="auto"/>
        <w:bottom w:val="none" w:sz="0" w:space="0" w:color="auto"/>
        <w:right w:val="none" w:sz="0" w:space="0" w:color="auto"/>
      </w:divBdr>
    </w:div>
    <w:div w:id="810439370">
      <w:bodyDiv w:val="1"/>
      <w:marLeft w:val="0"/>
      <w:marRight w:val="0"/>
      <w:marTop w:val="0"/>
      <w:marBottom w:val="0"/>
      <w:divBdr>
        <w:top w:val="none" w:sz="0" w:space="0" w:color="auto"/>
        <w:left w:val="none" w:sz="0" w:space="0" w:color="auto"/>
        <w:bottom w:val="none" w:sz="0" w:space="0" w:color="auto"/>
        <w:right w:val="none" w:sz="0" w:space="0" w:color="auto"/>
      </w:divBdr>
    </w:div>
    <w:div w:id="810443979">
      <w:bodyDiv w:val="1"/>
      <w:marLeft w:val="0"/>
      <w:marRight w:val="0"/>
      <w:marTop w:val="0"/>
      <w:marBottom w:val="0"/>
      <w:divBdr>
        <w:top w:val="none" w:sz="0" w:space="0" w:color="auto"/>
        <w:left w:val="none" w:sz="0" w:space="0" w:color="auto"/>
        <w:bottom w:val="none" w:sz="0" w:space="0" w:color="auto"/>
        <w:right w:val="none" w:sz="0" w:space="0" w:color="auto"/>
      </w:divBdr>
    </w:div>
    <w:div w:id="810825346">
      <w:bodyDiv w:val="1"/>
      <w:marLeft w:val="0"/>
      <w:marRight w:val="0"/>
      <w:marTop w:val="0"/>
      <w:marBottom w:val="0"/>
      <w:divBdr>
        <w:top w:val="none" w:sz="0" w:space="0" w:color="auto"/>
        <w:left w:val="none" w:sz="0" w:space="0" w:color="auto"/>
        <w:bottom w:val="none" w:sz="0" w:space="0" w:color="auto"/>
        <w:right w:val="none" w:sz="0" w:space="0" w:color="auto"/>
      </w:divBdr>
    </w:div>
    <w:div w:id="810832190">
      <w:bodyDiv w:val="1"/>
      <w:marLeft w:val="0"/>
      <w:marRight w:val="0"/>
      <w:marTop w:val="0"/>
      <w:marBottom w:val="0"/>
      <w:divBdr>
        <w:top w:val="none" w:sz="0" w:space="0" w:color="auto"/>
        <w:left w:val="none" w:sz="0" w:space="0" w:color="auto"/>
        <w:bottom w:val="none" w:sz="0" w:space="0" w:color="auto"/>
        <w:right w:val="none" w:sz="0" w:space="0" w:color="auto"/>
      </w:divBdr>
    </w:div>
    <w:div w:id="810899287">
      <w:bodyDiv w:val="1"/>
      <w:marLeft w:val="0"/>
      <w:marRight w:val="0"/>
      <w:marTop w:val="0"/>
      <w:marBottom w:val="0"/>
      <w:divBdr>
        <w:top w:val="none" w:sz="0" w:space="0" w:color="auto"/>
        <w:left w:val="none" w:sz="0" w:space="0" w:color="auto"/>
        <w:bottom w:val="none" w:sz="0" w:space="0" w:color="auto"/>
        <w:right w:val="none" w:sz="0" w:space="0" w:color="auto"/>
      </w:divBdr>
    </w:div>
    <w:div w:id="810903697">
      <w:bodyDiv w:val="1"/>
      <w:marLeft w:val="0"/>
      <w:marRight w:val="0"/>
      <w:marTop w:val="0"/>
      <w:marBottom w:val="0"/>
      <w:divBdr>
        <w:top w:val="none" w:sz="0" w:space="0" w:color="auto"/>
        <w:left w:val="none" w:sz="0" w:space="0" w:color="auto"/>
        <w:bottom w:val="none" w:sz="0" w:space="0" w:color="auto"/>
        <w:right w:val="none" w:sz="0" w:space="0" w:color="auto"/>
      </w:divBdr>
    </w:div>
    <w:div w:id="810950134">
      <w:bodyDiv w:val="1"/>
      <w:marLeft w:val="0"/>
      <w:marRight w:val="0"/>
      <w:marTop w:val="0"/>
      <w:marBottom w:val="0"/>
      <w:divBdr>
        <w:top w:val="none" w:sz="0" w:space="0" w:color="auto"/>
        <w:left w:val="none" w:sz="0" w:space="0" w:color="auto"/>
        <w:bottom w:val="none" w:sz="0" w:space="0" w:color="auto"/>
        <w:right w:val="none" w:sz="0" w:space="0" w:color="auto"/>
      </w:divBdr>
    </w:div>
    <w:div w:id="811020420">
      <w:bodyDiv w:val="1"/>
      <w:marLeft w:val="0"/>
      <w:marRight w:val="0"/>
      <w:marTop w:val="0"/>
      <w:marBottom w:val="0"/>
      <w:divBdr>
        <w:top w:val="none" w:sz="0" w:space="0" w:color="auto"/>
        <w:left w:val="none" w:sz="0" w:space="0" w:color="auto"/>
        <w:bottom w:val="none" w:sz="0" w:space="0" w:color="auto"/>
        <w:right w:val="none" w:sz="0" w:space="0" w:color="auto"/>
      </w:divBdr>
    </w:div>
    <w:div w:id="811100549">
      <w:bodyDiv w:val="1"/>
      <w:marLeft w:val="0"/>
      <w:marRight w:val="0"/>
      <w:marTop w:val="0"/>
      <w:marBottom w:val="0"/>
      <w:divBdr>
        <w:top w:val="none" w:sz="0" w:space="0" w:color="auto"/>
        <w:left w:val="none" w:sz="0" w:space="0" w:color="auto"/>
        <w:bottom w:val="none" w:sz="0" w:space="0" w:color="auto"/>
        <w:right w:val="none" w:sz="0" w:space="0" w:color="auto"/>
      </w:divBdr>
    </w:div>
    <w:div w:id="811295317">
      <w:bodyDiv w:val="1"/>
      <w:marLeft w:val="0"/>
      <w:marRight w:val="0"/>
      <w:marTop w:val="0"/>
      <w:marBottom w:val="0"/>
      <w:divBdr>
        <w:top w:val="none" w:sz="0" w:space="0" w:color="auto"/>
        <w:left w:val="none" w:sz="0" w:space="0" w:color="auto"/>
        <w:bottom w:val="none" w:sz="0" w:space="0" w:color="auto"/>
        <w:right w:val="none" w:sz="0" w:space="0" w:color="auto"/>
      </w:divBdr>
    </w:div>
    <w:div w:id="811336134">
      <w:bodyDiv w:val="1"/>
      <w:marLeft w:val="0"/>
      <w:marRight w:val="0"/>
      <w:marTop w:val="0"/>
      <w:marBottom w:val="0"/>
      <w:divBdr>
        <w:top w:val="none" w:sz="0" w:space="0" w:color="auto"/>
        <w:left w:val="none" w:sz="0" w:space="0" w:color="auto"/>
        <w:bottom w:val="none" w:sz="0" w:space="0" w:color="auto"/>
        <w:right w:val="none" w:sz="0" w:space="0" w:color="auto"/>
      </w:divBdr>
    </w:div>
    <w:div w:id="811403685">
      <w:bodyDiv w:val="1"/>
      <w:marLeft w:val="0"/>
      <w:marRight w:val="0"/>
      <w:marTop w:val="0"/>
      <w:marBottom w:val="0"/>
      <w:divBdr>
        <w:top w:val="none" w:sz="0" w:space="0" w:color="auto"/>
        <w:left w:val="none" w:sz="0" w:space="0" w:color="auto"/>
        <w:bottom w:val="none" w:sz="0" w:space="0" w:color="auto"/>
        <w:right w:val="none" w:sz="0" w:space="0" w:color="auto"/>
      </w:divBdr>
    </w:div>
    <w:div w:id="811406209">
      <w:bodyDiv w:val="1"/>
      <w:marLeft w:val="0"/>
      <w:marRight w:val="0"/>
      <w:marTop w:val="0"/>
      <w:marBottom w:val="0"/>
      <w:divBdr>
        <w:top w:val="none" w:sz="0" w:space="0" w:color="auto"/>
        <w:left w:val="none" w:sz="0" w:space="0" w:color="auto"/>
        <w:bottom w:val="none" w:sz="0" w:space="0" w:color="auto"/>
        <w:right w:val="none" w:sz="0" w:space="0" w:color="auto"/>
      </w:divBdr>
    </w:div>
    <w:div w:id="811487011">
      <w:bodyDiv w:val="1"/>
      <w:marLeft w:val="0"/>
      <w:marRight w:val="0"/>
      <w:marTop w:val="0"/>
      <w:marBottom w:val="0"/>
      <w:divBdr>
        <w:top w:val="none" w:sz="0" w:space="0" w:color="auto"/>
        <w:left w:val="none" w:sz="0" w:space="0" w:color="auto"/>
        <w:bottom w:val="none" w:sz="0" w:space="0" w:color="auto"/>
        <w:right w:val="none" w:sz="0" w:space="0" w:color="auto"/>
      </w:divBdr>
    </w:div>
    <w:div w:id="811488041">
      <w:bodyDiv w:val="1"/>
      <w:marLeft w:val="0"/>
      <w:marRight w:val="0"/>
      <w:marTop w:val="0"/>
      <w:marBottom w:val="0"/>
      <w:divBdr>
        <w:top w:val="none" w:sz="0" w:space="0" w:color="auto"/>
        <w:left w:val="none" w:sz="0" w:space="0" w:color="auto"/>
        <w:bottom w:val="none" w:sz="0" w:space="0" w:color="auto"/>
        <w:right w:val="none" w:sz="0" w:space="0" w:color="auto"/>
      </w:divBdr>
    </w:div>
    <w:div w:id="811748549">
      <w:bodyDiv w:val="1"/>
      <w:marLeft w:val="0"/>
      <w:marRight w:val="0"/>
      <w:marTop w:val="0"/>
      <w:marBottom w:val="0"/>
      <w:divBdr>
        <w:top w:val="none" w:sz="0" w:space="0" w:color="auto"/>
        <w:left w:val="none" w:sz="0" w:space="0" w:color="auto"/>
        <w:bottom w:val="none" w:sz="0" w:space="0" w:color="auto"/>
        <w:right w:val="none" w:sz="0" w:space="0" w:color="auto"/>
      </w:divBdr>
    </w:div>
    <w:div w:id="811751785">
      <w:bodyDiv w:val="1"/>
      <w:marLeft w:val="0"/>
      <w:marRight w:val="0"/>
      <w:marTop w:val="0"/>
      <w:marBottom w:val="0"/>
      <w:divBdr>
        <w:top w:val="none" w:sz="0" w:space="0" w:color="auto"/>
        <w:left w:val="none" w:sz="0" w:space="0" w:color="auto"/>
        <w:bottom w:val="none" w:sz="0" w:space="0" w:color="auto"/>
        <w:right w:val="none" w:sz="0" w:space="0" w:color="auto"/>
      </w:divBdr>
    </w:div>
    <w:div w:id="811795712">
      <w:bodyDiv w:val="1"/>
      <w:marLeft w:val="0"/>
      <w:marRight w:val="0"/>
      <w:marTop w:val="0"/>
      <w:marBottom w:val="0"/>
      <w:divBdr>
        <w:top w:val="none" w:sz="0" w:space="0" w:color="auto"/>
        <w:left w:val="none" w:sz="0" w:space="0" w:color="auto"/>
        <w:bottom w:val="none" w:sz="0" w:space="0" w:color="auto"/>
        <w:right w:val="none" w:sz="0" w:space="0" w:color="auto"/>
      </w:divBdr>
    </w:div>
    <w:div w:id="811825832">
      <w:bodyDiv w:val="1"/>
      <w:marLeft w:val="0"/>
      <w:marRight w:val="0"/>
      <w:marTop w:val="0"/>
      <w:marBottom w:val="0"/>
      <w:divBdr>
        <w:top w:val="none" w:sz="0" w:space="0" w:color="auto"/>
        <w:left w:val="none" w:sz="0" w:space="0" w:color="auto"/>
        <w:bottom w:val="none" w:sz="0" w:space="0" w:color="auto"/>
        <w:right w:val="none" w:sz="0" w:space="0" w:color="auto"/>
      </w:divBdr>
    </w:div>
    <w:div w:id="811866860">
      <w:bodyDiv w:val="1"/>
      <w:marLeft w:val="0"/>
      <w:marRight w:val="0"/>
      <w:marTop w:val="0"/>
      <w:marBottom w:val="0"/>
      <w:divBdr>
        <w:top w:val="none" w:sz="0" w:space="0" w:color="auto"/>
        <w:left w:val="none" w:sz="0" w:space="0" w:color="auto"/>
        <w:bottom w:val="none" w:sz="0" w:space="0" w:color="auto"/>
        <w:right w:val="none" w:sz="0" w:space="0" w:color="auto"/>
      </w:divBdr>
    </w:div>
    <w:div w:id="812066069">
      <w:bodyDiv w:val="1"/>
      <w:marLeft w:val="0"/>
      <w:marRight w:val="0"/>
      <w:marTop w:val="0"/>
      <w:marBottom w:val="0"/>
      <w:divBdr>
        <w:top w:val="none" w:sz="0" w:space="0" w:color="auto"/>
        <w:left w:val="none" w:sz="0" w:space="0" w:color="auto"/>
        <w:bottom w:val="none" w:sz="0" w:space="0" w:color="auto"/>
        <w:right w:val="none" w:sz="0" w:space="0" w:color="auto"/>
      </w:divBdr>
    </w:div>
    <w:div w:id="812217540">
      <w:bodyDiv w:val="1"/>
      <w:marLeft w:val="0"/>
      <w:marRight w:val="0"/>
      <w:marTop w:val="0"/>
      <w:marBottom w:val="0"/>
      <w:divBdr>
        <w:top w:val="none" w:sz="0" w:space="0" w:color="auto"/>
        <w:left w:val="none" w:sz="0" w:space="0" w:color="auto"/>
        <w:bottom w:val="none" w:sz="0" w:space="0" w:color="auto"/>
        <w:right w:val="none" w:sz="0" w:space="0" w:color="auto"/>
      </w:divBdr>
    </w:div>
    <w:div w:id="812253899">
      <w:bodyDiv w:val="1"/>
      <w:marLeft w:val="0"/>
      <w:marRight w:val="0"/>
      <w:marTop w:val="0"/>
      <w:marBottom w:val="0"/>
      <w:divBdr>
        <w:top w:val="none" w:sz="0" w:space="0" w:color="auto"/>
        <w:left w:val="none" w:sz="0" w:space="0" w:color="auto"/>
        <w:bottom w:val="none" w:sz="0" w:space="0" w:color="auto"/>
        <w:right w:val="none" w:sz="0" w:space="0" w:color="auto"/>
      </w:divBdr>
    </w:div>
    <w:div w:id="812329146">
      <w:bodyDiv w:val="1"/>
      <w:marLeft w:val="0"/>
      <w:marRight w:val="0"/>
      <w:marTop w:val="0"/>
      <w:marBottom w:val="0"/>
      <w:divBdr>
        <w:top w:val="none" w:sz="0" w:space="0" w:color="auto"/>
        <w:left w:val="none" w:sz="0" w:space="0" w:color="auto"/>
        <w:bottom w:val="none" w:sz="0" w:space="0" w:color="auto"/>
        <w:right w:val="none" w:sz="0" w:space="0" w:color="auto"/>
      </w:divBdr>
    </w:div>
    <w:div w:id="812333708">
      <w:bodyDiv w:val="1"/>
      <w:marLeft w:val="0"/>
      <w:marRight w:val="0"/>
      <w:marTop w:val="0"/>
      <w:marBottom w:val="0"/>
      <w:divBdr>
        <w:top w:val="none" w:sz="0" w:space="0" w:color="auto"/>
        <w:left w:val="none" w:sz="0" w:space="0" w:color="auto"/>
        <w:bottom w:val="none" w:sz="0" w:space="0" w:color="auto"/>
        <w:right w:val="none" w:sz="0" w:space="0" w:color="auto"/>
      </w:divBdr>
    </w:div>
    <w:div w:id="812603651">
      <w:bodyDiv w:val="1"/>
      <w:marLeft w:val="0"/>
      <w:marRight w:val="0"/>
      <w:marTop w:val="0"/>
      <w:marBottom w:val="0"/>
      <w:divBdr>
        <w:top w:val="none" w:sz="0" w:space="0" w:color="auto"/>
        <w:left w:val="none" w:sz="0" w:space="0" w:color="auto"/>
        <w:bottom w:val="none" w:sz="0" w:space="0" w:color="auto"/>
        <w:right w:val="none" w:sz="0" w:space="0" w:color="auto"/>
      </w:divBdr>
    </w:div>
    <w:div w:id="812605469">
      <w:bodyDiv w:val="1"/>
      <w:marLeft w:val="0"/>
      <w:marRight w:val="0"/>
      <w:marTop w:val="0"/>
      <w:marBottom w:val="0"/>
      <w:divBdr>
        <w:top w:val="none" w:sz="0" w:space="0" w:color="auto"/>
        <w:left w:val="none" w:sz="0" w:space="0" w:color="auto"/>
        <w:bottom w:val="none" w:sz="0" w:space="0" w:color="auto"/>
        <w:right w:val="none" w:sz="0" w:space="0" w:color="auto"/>
      </w:divBdr>
    </w:div>
    <w:div w:id="812674168">
      <w:bodyDiv w:val="1"/>
      <w:marLeft w:val="0"/>
      <w:marRight w:val="0"/>
      <w:marTop w:val="0"/>
      <w:marBottom w:val="0"/>
      <w:divBdr>
        <w:top w:val="none" w:sz="0" w:space="0" w:color="auto"/>
        <w:left w:val="none" w:sz="0" w:space="0" w:color="auto"/>
        <w:bottom w:val="none" w:sz="0" w:space="0" w:color="auto"/>
        <w:right w:val="none" w:sz="0" w:space="0" w:color="auto"/>
      </w:divBdr>
    </w:div>
    <w:div w:id="812675966">
      <w:bodyDiv w:val="1"/>
      <w:marLeft w:val="0"/>
      <w:marRight w:val="0"/>
      <w:marTop w:val="0"/>
      <w:marBottom w:val="0"/>
      <w:divBdr>
        <w:top w:val="none" w:sz="0" w:space="0" w:color="auto"/>
        <w:left w:val="none" w:sz="0" w:space="0" w:color="auto"/>
        <w:bottom w:val="none" w:sz="0" w:space="0" w:color="auto"/>
        <w:right w:val="none" w:sz="0" w:space="0" w:color="auto"/>
      </w:divBdr>
    </w:div>
    <w:div w:id="812676473">
      <w:bodyDiv w:val="1"/>
      <w:marLeft w:val="0"/>
      <w:marRight w:val="0"/>
      <w:marTop w:val="0"/>
      <w:marBottom w:val="0"/>
      <w:divBdr>
        <w:top w:val="none" w:sz="0" w:space="0" w:color="auto"/>
        <w:left w:val="none" w:sz="0" w:space="0" w:color="auto"/>
        <w:bottom w:val="none" w:sz="0" w:space="0" w:color="auto"/>
        <w:right w:val="none" w:sz="0" w:space="0" w:color="auto"/>
      </w:divBdr>
    </w:div>
    <w:div w:id="812714658">
      <w:bodyDiv w:val="1"/>
      <w:marLeft w:val="0"/>
      <w:marRight w:val="0"/>
      <w:marTop w:val="0"/>
      <w:marBottom w:val="0"/>
      <w:divBdr>
        <w:top w:val="none" w:sz="0" w:space="0" w:color="auto"/>
        <w:left w:val="none" w:sz="0" w:space="0" w:color="auto"/>
        <w:bottom w:val="none" w:sz="0" w:space="0" w:color="auto"/>
        <w:right w:val="none" w:sz="0" w:space="0" w:color="auto"/>
      </w:divBdr>
    </w:div>
    <w:div w:id="812719060">
      <w:bodyDiv w:val="1"/>
      <w:marLeft w:val="0"/>
      <w:marRight w:val="0"/>
      <w:marTop w:val="0"/>
      <w:marBottom w:val="0"/>
      <w:divBdr>
        <w:top w:val="none" w:sz="0" w:space="0" w:color="auto"/>
        <w:left w:val="none" w:sz="0" w:space="0" w:color="auto"/>
        <w:bottom w:val="none" w:sz="0" w:space="0" w:color="auto"/>
        <w:right w:val="none" w:sz="0" w:space="0" w:color="auto"/>
      </w:divBdr>
    </w:div>
    <w:div w:id="812791157">
      <w:bodyDiv w:val="1"/>
      <w:marLeft w:val="0"/>
      <w:marRight w:val="0"/>
      <w:marTop w:val="0"/>
      <w:marBottom w:val="0"/>
      <w:divBdr>
        <w:top w:val="none" w:sz="0" w:space="0" w:color="auto"/>
        <w:left w:val="none" w:sz="0" w:space="0" w:color="auto"/>
        <w:bottom w:val="none" w:sz="0" w:space="0" w:color="auto"/>
        <w:right w:val="none" w:sz="0" w:space="0" w:color="auto"/>
      </w:divBdr>
    </w:div>
    <w:div w:id="812908572">
      <w:bodyDiv w:val="1"/>
      <w:marLeft w:val="0"/>
      <w:marRight w:val="0"/>
      <w:marTop w:val="0"/>
      <w:marBottom w:val="0"/>
      <w:divBdr>
        <w:top w:val="none" w:sz="0" w:space="0" w:color="auto"/>
        <w:left w:val="none" w:sz="0" w:space="0" w:color="auto"/>
        <w:bottom w:val="none" w:sz="0" w:space="0" w:color="auto"/>
        <w:right w:val="none" w:sz="0" w:space="0" w:color="auto"/>
      </w:divBdr>
    </w:div>
    <w:div w:id="812915153">
      <w:bodyDiv w:val="1"/>
      <w:marLeft w:val="0"/>
      <w:marRight w:val="0"/>
      <w:marTop w:val="0"/>
      <w:marBottom w:val="0"/>
      <w:divBdr>
        <w:top w:val="none" w:sz="0" w:space="0" w:color="auto"/>
        <w:left w:val="none" w:sz="0" w:space="0" w:color="auto"/>
        <w:bottom w:val="none" w:sz="0" w:space="0" w:color="auto"/>
        <w:right w:val="none" w:sz="0" w:space="0" w:color="auto"/>
      </w:divBdr>
    </w:div>
    <w:div w:id="812987318">
      <w:bodyDiv w:val="1"/>
      <w:marLeft w:val="0"/>
      <w:marRight w:val="0"/>
      <w:marTop w:val="0"/>
      <w:marBottom w:val="0"/>
      <w:divBdr>
        <w:top w:val="none" w:sz="0" w:space="0" w:color="auto"/>
        <w:left w:val="none" w:sz="0" w:space="0" w:color="auto"/>
        <w:bottom w:val="none" w:sz="0" w:space="0" w:color="auto"/>
        <w:right w:val="none" w:sz="0" w:space="0" w:color="auto"/>
      </w:divBdr>
    </w:div>
    <w:div w:id="813061252">
      <w:bodyDiv w:val="1"/>
      <w:marLeft w:val="0"/>
      <w:marRight w:val="0"/>
      <w:marTop w:val="0"/>
      <w:marBottom w:val="0"/>
      <w:divBdr>
        <w:top w:val="none" w:sz="0" w:space="0" w:color="auto"/>
        <w:left w:val="none" w:sz="0" w:space="0" w:color="auto"/>
        <w:bottom w:val="none" w:sz="0" w:space="0" w:color="auto"/>
        <w:right w:val="none" w:sz="0" w:space="0" w:color="auto"/>
      </w:divBdr>
    </w:div>
    <w:div w:id="813064025">
      <w:bodyDiv w:val="1"/>
      <w:marLeft w:val="0"/>
      <w:marRight w:val="0"/>
      <w:marTop w:val="0"/>
      <w:marBottom w:val="0"/>
      <w:divBdr>
        <w:top w:val="none" w:sz="0" w:space="0" w:color="auto"/>
        <w:left w:val="none" w:sz="0" w:space="0" w:color="auto"/>
        <w:bottom w:val="none" w:sz="0" w:space="0" w:color="auto"/>
        <w:right w:val="none" w:sz="0" w:space="0" w:color="auto"/>
      </w:divBdr>
    </w:div>
    <w:div w:id="813066008">
      <w:bodyDiv w:val="1"/>
      <w:marLeft w:val="0"/>
      <w:marRight w:val="0"/>
      <w:marTop w:val="0"/>
      <w:marBottom w:val="0"/>
      <w:divBdr>
        <w:top w:val="none" w:sz="0" w:space="0" w:color="auto"/>
        <w:left w:val="none" w:sz="0" w:space="0" w:color="auto"/>
        <w:bottom w:val="none" w:sz="0" w:space="0" w:color="auto"/>
        <w:right w:val="none" w:sz="0" w:space="0" w:color="auto"/>
      </w:divBdr>
    </w:div>
    <w:div w:id="813105408">
      <w:bodyDiv w:val="1"/>
      <w:marLeft w:val="0"/>
      <w:marRight w:val="0"/>
      <w:marTop w:val="0"/>
      <w:marBottom w:val="0"/>
      <w:divBdr>
        <w:top w:val="none" w:sz="0" w:space="0" w:color="auto"/>
        <w:left w:val="none" w:sz="0" w:space="0" w:color="auto"/>
        <w:bottom w:val="none" w:sz="0" w:space="0" w:color="auto"/>
        <w:right w:val="none" w:sz="0" w:space="0" w:color="auto"/>
      </w:divBdr>
    </w:div>
    <w:div w:id="813107934">
      <w:bodyDiv w:val="1"/>
      <w:marLeft w:val="0"/>
      <w:marRight w:val="0"/>
      <w:marTop w:val="0"/>
      <w:marBottom w:val="0"/>
      <w:divBdr>
        <w:top w:val="none" w:sz="0" w:space="0" w:color="auto"/>
        <w:left w:val="none" w:sz="0" w:space="0" w:color="auto"/>
        <w:bottom w:val="none" w:sz="0" w:space="0" w:color="auto"/>
        <w:right w:val="none" w:sz="0" w:space="0" w:color="auto"/>
      </w:divBdr>
    </w:div>
    <w:div w:id="813137804">
      <w:bodyDiv w:val="1"/>
      <w:marLeft w:val="0"/>
      <w:marRight w:val="0"/>
      <w:marTop w:val="0"/>
      <w:marBottom w:val="0"/>
      <w:divBdr>
        <w:top w:val="none" w:sz="0" w:space="0" w:color="auto"/>
        <w:left w:val="none" w:sz="0" w:space="0" w:color="auto"/>
        <w:bottom w:val="none" w:sz="0" w:space="0" w:color="auto"/>
        <w:right w:val="none" w:sz="0" w:space="0" w:color="auto"/>
      </w:divBdr>
    </w:div>
    <w:div w:id="813184819">
      <w:bodyDiv w:val="1"/>
      <w:marLeft w:val="0"/>
      <w:marRight w:val="0"/>
      <w:marTop w:val="0"/>
      <w:marBottom w:val="0"/>
      <w:divBdr>
        <w:top w:val="none" w:sz="0" w:space="0" w:color="auto"/>
        <w:left w:val="none" w:sz="0" w:space="0" w:color="auto"/>
        <w:bottom w:val="none" w:sz="0" w:space="0" w:color="auto"/>
        <w:right w:val="none" w:sz="0" w:space="0" w:color="auto"/>
      </w:divBdr>
    </w:div>
    <w:div w:id="813260137">
      <w:bodyDiv w:val="1"/>
      <w:marLeft w:val="0"/>
      <w:marRight w:val="0"/>
      <w:marTop w:val="0"/>
      <w:marBottom w:val="0"/>
      <w:divBdr>
        <w:top w:val="none" w:sz="0" w:space="0" w:color="auto"/>
        <w:left w:val="none" w:sz="0" w:space="0" w:color="auto"/>
        <w:bottom w:val="none" w:sz="0" w:space="0" w:color="auto"/>
        <w:right w:val="none" w:sz="0" w:space="0" w:color="auto"/>
      </w:divBdr>
    </w:div>
    <w:div w:id="813328033">
      <w:bodyDiv w:val="1"/>
      <w:marLeft w:val="0"/>
      <w:marRight w:val="0"/>
      <w:marTop w:val="0"/>
      <w:marBottom w:val="0"/>
      <w:divBdr>
        <w:top w:val="none" w:sz="0" w:space="0" w:color="auto"/>
        <w:left w:val="none" w:sz="0" w:space="0" w:color="auto"/>
        <w:bottom w:val="none" w:sz="0" w:space="0" w:color="auto"/>
        <w:right w:val="none" w:sz="0" w:space="0" w:color="auto"/>
      </w:divBdr>
    </w:div>
    <w:div w:id="813328375">
      <w:bodyDiv w:val="1"/>
      <w:marLeft w:val="0"/>
      <w:marRight w:val="0"/>
      <w:marTop w:val="0"/>
      <w:marBottom w:val="0"/>
      <w:divBdr>
        <w:top w:val="none" w:sz="0" w:space="0" w:color="auto"/>
        <w:left w:val="none" w:sz="0" w:space="0" w:color="auto"/>
        <w:bottom w:val="none" w:sz="0" w:space="0" w:color="auto"/>
        <w:right w:val="none" w:sz="0" w:space="0" w:color="auto"/>
      </w:divBdr>
    </w:div>
    <w:div w:id="813451165">
      <w:bodyDiv w:val="1"/>
      <w:marLeft w:val="0"/>
      <w:marRight w:val="0"/>
      <w:marTop w:val="0"/>
      <w:marBottom w:val="0"/>
      <w:divBdr>
        <w:top w:val="none" w:sz="0" w:space="0" w:color="auto"/>
        <w:left w:val="none" w:sz="0" w:space="0" w:color="auto"/>
        <w:bottom w:val="none" w:sz="0" w:space="0" w:color="auto"/>
        <w:right w:val="none" w:sz="0" w:space="0" w:color="auto"/>
      </w:divBdr>
    </w:div>
    <w:div w:id="813454561">
      <w:bodyDiv w:val="1"/>
      <w:marLeft w:val="0"/>
      <w:marRight w:val="0"/>
      <w:marTop w:val="0"/>
      <w:marBottom w:val="0"/>
      <w:divBdr>
        <w:top w:val="none" w:sz="0" w:space="0" w:color="auto"/>
        <w:left w:val="none" w:sz="0" w:space="0" w:color="auto"/>
        <w:bottom w:val="none" w:sz="0" w:space="0" w:color="auto"/>
        <w:right w:val="none" w:sz="0" w:space="0" w:color="auto"/>
      </w:divBdr>
    </w:div>
    <w:div w:id="813642723">
      <w:bodyDiv w:val="1"/>
      <w:marLeft w:val="0"/>
      <w:marRight w:val="0"/>
      <w:marTop w:val="0"/>
      <w:marBottom w:val="0"/>
      <w:divBdr>
        <w:top w:val="none" w:sz="0" w:space="0" w:color="auto"/>
        <w:left w:val="none" w:sz="0" w:space="0" w:color="auto"/>
        <w:bottom w:val="none" w:sz="0" w:space="0" w:color="auto"/>
        <w:right w:val="none" w:sz="0" w:space="0" w:color="auto"/>
      </w:divBdr>
    </w:div>
    <w:div w:id="813645559">
      <w:bodyDiv w:val="1"/>
      <w:marLeft w:val="0"/>
      <w:marRight w:val="0"/>
      <w:marTop w:val="0"/>
      <w:marBottom w:val="0"/>
      <w:divBdr>
        <w:top w:val="none" w:sz="0" w:space="0" w:color="auto"/>
        <w:left w:val="none" w:sz="0" w:space="0" w:color="auto"/>
        <w:bottom w:val="none" w:sz="0" w:space="0" w:color="auto"/>
        <w:right w:val="none" w:sz="0" w:space="0" w:color="auto"/>
      </w:divBdr>
    </w:div>
    <w:div w:id="813790959">
      <w:bodyDiv w:val="1"/>
      <w:marLeft w:val="0"/>
      <w:marRight w:val="0"/>
      <w:marTop w:val="0"/>
      <w:marBottom w:val="0"/>
      <w:divBdr>
        <w:top w:val="none" w:sz="0" w:space="0" w:color="auto"/>
        <w:left w:val="none" w:sz="0" w:space="0" w:color="auto"/>
        <w:bottom w:val="none" w:sz="0" w:space="0" w:color="auto"/>
        <w:right w:val="none" w:sz="0" w:space="0" w:color="auto"/>
      </w:divBdr>
    </w:div>
    <w:div w:id="813834380">
      <w:bodyDiv w:val="1"/>
      <w:marLeft w:val="0"/>
      <w:marRight w:val="0"/>
      <w:marTop w:val="0"/>
      <w:marBottom w:val="0"/>
      <w:divBdr>
        <w:top w:val="none" w:sz="0" w:space="0" w:color="auto"/>
        <w:left w:val="none" w:sz="0" w:space="0" w:color="auto"/>
        <w:bottom w:val="none" w:sz="0" w:space="0" w:color="auto"/>
        <w:right w:val="none" w:sz="0" w:space="0" w:color="auto"/>
      </w:divBdr>
    </w:div>
    <w:div w:id="813839907">
      <w:bodyDiv w:val="1"/>
      <w:marLeft w:val="0"/>
      <w:marRight w:val="0"/>
      <w:marTop w:val="0"/>
      <w:marBottom w:val="0"/>
      <w:divBdr>
        <w:top w:val="none" w:sz="0" w:space="0" w:color="auto"/>
        <w:left w:val="none" w:sz="0" w:space="0" w:color="auto"/>
        <w:bottom w:val="none" w:sz="0" w:space="0" w:color="auto"/>
        <w:right w:val="none" w:sz="0" w:space="0" w:color="auto"/>
      </w:divBdr>
    </w:div>
    <w:div w:id="813908663">
      <w:bodyDiv w:val="1"/>
      <w:marLeft w:val="0"/>
      <w:marRight w:val="0"/>
      <w:marTop w:val="0"/>
      <w:marBottom w:val="0"/>
      <w:divBdr>
        <w:top w:val="none" w:sz="0" w:space="0" w:color="auto"/>
        <w:left w:val="none" w:sz="0" w:space="0" w:color="auto"/>
        <w:bottom w:val="none" w:sz="0" w:space="0" w:color="auto"/>
        <w:right w:val="none" w:sz="0" w:space="0" w:color="auto"/>
      </w:divBdr>
    </w:div>
    <w:div w:id="813982255">
      <w:bodyDiv w:val="1"/>
      <w:marLeft w:val="0"/>
      <w:marRight w:val="0"/>
      <w:marTop w:val="0"/>
      <w:marBottom w:val="0"/>
      <w:divBdr>
        <w:top w:val="none" w:sz="0" w:space="0" w:color="auto"/>
        <w:left w:val="none" w:sz="0" w:space="0" w:color="auto"/>
        <w:bottom w:val="none" w:sz="0" w:space="0" w:color="auto"/>
        <w:right w:val="none" w:sz="0" w:space="0" w:color="auto"/>
      </w:divBdr>
    </w:div>
    <w:div w:id="813987209">
      <w:bodyDiv w:val="1"/>
      <w:marLeft w:val="0"/>
      <w:marRight w:val="0"/>
      <w:marTop w:val="0"/>
      <w:marBottom w:val="0"/>
      <w:divBdr>
        <w:top w:val="none" w:sz="0" w:space="0" w:color="auto"/>
        <w:left w:val="none" w:sz="0" w:space="0" w:color="auto"/>
        <w:bottom w:val="none" w:sz="0" w:space="0" w:color="auto"/>
        <w:right w:val="none" w:sz="0" w:space="0" w:color="auto"/>
      </w:divBdr>
    </w:div>
    <w:div w:id="814025824">
      <w:bodyDiv w:val="1"/>
      <w:marLeft w:val="0"/>
      <w:marRight w:val="0"/>
      <w:marTop w:val="0"/>
      <w:marBottom w:val="0"/>
      <w:divBdr>
        <w:top w:val="none" w:sz="0" w:space="0" w:color="auto"/>
        <w:left w:val="none" w:sz="0" w:space="0" w:color="auto"/>
        <w:bottom w:val="none" w:sz="0" w:space="0" w:color="auto"/>
        <w:right w:val="none" w:sz="0" w:space="0" w:color="auto"/>
      </w:divBdr>
    </w:div>
    <w:div w:id="814100980">
      <w:bodyDiv w:val="1"/>
      <w:marLeft w:val="0"/>
      <w:marRight w:val="0"/>
      <w:marTop w:val="0"/>
      <w:marBottom w:val="0"/>
      <w:divBdr>
        <w:top w:val="none" w:sz="0" w:space="0" w:color="auto"/>
        <w:left w:val="none" w:sz="0" w:space="0" w:color="auto"/>
        <w:bottom w:val="none" w:sz="0" w:space="0" w:color="auto"/>
        <w:right w:val="none" w:sz="0" w:space="0" w:color="auto"/>
      </w:divBdr>
    </w:div>
    <w:div w:id="814101287">
      <w:bodyDiv w:val="1"/>
      <w:marLeft w:val="0"/>
      <w:marRight w:val="0"/>
      <w:marTop w:val="0"/>
      <w:marBottom w:val="0"/>
      <w:divBdr>
        <w:top w:val="none" w:sz="0" w:space="0" w:color="auto"/>
        <w:left w:val="none" w:sz="0" w:space="0" w:color="auto"/>
        <w:bottom w:val="none" w:sz="0" w:space="0" w:color="auto"/>
        <w:right w:val="none" w:sz="0" w:space="0" w:color="auto"/>
      </w:divBdr>
    </w:div>
    <w:div w:id="814176693">
      <w:bodyDiv w:val="1"/>
      <w:marLeft w:val="0"/>
      <w:marRight w:val="0"/>
      <w:marTop w:val="0"/>
      <w:marBottom w:val="0"/>
      <w:divBdr>
        <w:top w:val="none" w:sz="0" w:space="0" w:color="auto"/>
        <w:left w:val="none" w:sz="0" w:space="0" w:color="auto"/>
        <w:bottom w:val="none" w:sz="0" w:space="0" w:color="auto"/>
        <w:right w:val="none" w:sz="0" w:space="0" w:color="auto"/>
      </w:divBdr>
    </w:div>
    <w:div w:id="814225507">
      <w:bodyDiv w:val="1"/>
      <w:marLeft w:val="0"/>
      <w:marRight w:val="0"/>
      <w:marTop w:val="0"/>
      <w:marBottom w:val="0"/>
      <w:divBdr>
        <w:top w:val="none" w:sz="0" w:space="0" w:color="auto"/>
        <w:left w:val="none" w:sz="0" w:space="0" w:color="auto"/>
        <w:bottom w:val="none" w:sz="0" w:space="0" w:color="auto"/>
        <w:right w:val="none" w:sz="0" w:space="0" w:color="auto"/>
      </w:divBdr>
    </w:div>
    <w:div w:id="814293346">
      <w:bodyDiv w:val="1"/>
      <w:marLeft w:val="0"/>
      <w:marRight w:val="0"/>
      <w:marTop w:val="0"/>
      <w:marBottom w:val="0"/>
      <w:divBdr>
        <w:top w:val="none" w:sz="0" w:space="0" w:color="auto"/>
        <w:left w:val="none" w:sz="0" w:space="0" w:color="auto"/>
        <w:bottom w:val="none" w:sz="0" w:space="0" w:color="auto"/>
        <w:right w:val="none" w:sz="0" w:space="0" w:color="auto"/>
      </w:divBdr>
    </w:div>
    <w:div w:id="814491352">
      <w:bodyDiv w:val="1"/>
      <w:marLeft w:val="0"/>
      <w:marRight w:val="0"/>
      <w:marTop w:val="0"/>
      <w:marBottom w:val="0"/>
      <w:divBdr>
        <w:top w:val="none" w:sz="0" w:space="0" w:color="auto"/>
        <w:left w:val="none" w:sz="0" w:space="0" w:color="auto"/>
        <w:bottom w:val="none" w:sz="0" w:space="0" w:color="auto"/>
        <w:right w:val="none" w:sz="0" w:space="0" w:color="auto"/>
      </w:divBdr>
    </w:div>
    <w:div w:id="814564948">
      <w:bodyDiv w:val="1"/>
      <w:marLeft w:val="0"/>
      <w:marRight w:val="0"/>
      <w:marTop w:val="0"/>
      <w:marBottom w:val="0"/>
      <w:divBdr>
        <w:top w:val="none" w:sz="0" w:space="0" w:color="auto"/>
        <w:left w:val="none" w:sz="0" w:space="0" w:color="auto"/>
        <w:bottom w:val="none" w:sz="0" w:space="0" w:color="auto"/>
        <w:right w:val="none" w:sz="0" w:space="0" w:color="auto"/>
      </w:divBdr>
    </w:div>
    <w:div w:id="814641403">
      <w:bodyDiv w:val="1"/>
      <w:marLeft w:val="0"/>
      <w:marRight w:val="0"/>
      <w:marTop w:val="0"/>
      <w:marBottom w:val="0"/>
      <w:divBdr>
        <w:top w:val="none" w:sz="0" w:space="0" w:color="auto"/>
        <w:left w:val="none" w:sz="0" w:space="0" w:color="auto"/>
        <w:bottom w:val="none" w:sz="0" w:space="0" w:color="auto"/>
        <w:right w:val="none" w:sz="0" w:space="0" w:color="auto"/>
      </w:divBdr>
    </w:div>
    <w:div w:id="814686906">
      <w:bodyDiv w:val="1"/>
      <w:marLeft w:val="0"/>
      <w:marRight w:val="0"/>
      <w:marTop w:val="0"/>
      <w:marBottom w:val="0"/>
      <w:divBdr>
        <w:top w:val="none" w:sz="0" w:space="0" w:color="auto"/>
        <w:left w:val="none" w:sz="0" w:space="0" w:color="auto"/>
        <w:bottom w:val="none" w:sz="0" w:space="0" w:color="auto"/>
        <w:right w:val="none" w:sz="0" w:space="0" w:color="auto"/>
      </w:divBdr>
    </w:div>
    <w:div w:id="814759852">
      <w:bodyDiv w:val="1"/>
      <w:marLeft w:val="0"/>
      <w:marRight w:val="0"/>
      <w:marTop w:val="0"/>
      <w:marBottom w:val="0"/>
      <w:divBdr>
        <w:top w:val="none" w:sz="0" w:space="0" w:color="auto"/>
        <w:left w:val="none" w:sz="0" w:space="0" w:color="auto"/>
        <w:bottom w:val="none" w:sz="0" w:space="0" w:color="auto"/>
        <w:right w:val="none" w:sz="0" w:space="0" w:color="auto"/>
      </w:divBdr>
    </w:div>
    <w:div w:id="814759910">
      <w:bodyDiv w:val="1"/>
      <w:marLeft w:val="0"/>
      <w:marRight w:val="0"/>
      <w:marTop w:val="0"/>
      <w:marBottom w:val="0"/>
      <w:divBdr>
        <w:top w:val="none" w:sz="0" w:space="0" w:color="auto"/>
        <w:left w:val="none" w:sz="0" w:space="0" w:color="auto"/>
        <w:bottom w:val="none" w:sz="0" w:space="0" w:color="auto"/>
        <w:right w:val="none" w:sz="0" w:space="0" w:color="auto"/>
      </w:divBdr>
    </w:div>
    <w:div w:id="814951657">
      <w:bodyDiv w:val="1"/>
      <w:marLeft w:val="0"/>
      <w:marRight w:val="0"/>
      <w:marTop w:val="0"/>
      <w:marBottom w:val="0"/>
      <w:divBdr>
        <w:top w:val="none" w:sz="0" w:space="0" w:color="auto"/>
        <w:left w:val="none" w:sz="0" w:space="0" w:color="auto"/>
        <w:bottom w:val="none" w:sz="0" w:space="0" w:color="auto"/>
        <w:right w:val="none" w:sz="0" w:space="0" w:color="auto"/>
      </w:divBdr>
    </w:div>
    <w:div w:id="815028777">
      <w:bodyDiv w:val="1"/>
      <w:marLeft w:val="0"/>
      <w:marRight w:val="0"/>
      <w:marTop w:val="0"/>
      <w:marBottom w:val="0"/>
      <w:divBdr>
        <w:top w:val="none" w:sz="0" w:space="0" w:color="auto"/>
        <w:left w:val="none" w:sz="0" w:space="0" w:color="auto"/>
        <w:bottom w:val="none" w:sz="0" w:space="0" w:color="auto"/>
        <w:right w:val="none" w:sz="0" w:space="0" w:color="auto"/>
      </w:divBdr>
    </w:div>
    <w:div w:id="815142327">
      <w:bodyDiv w:val="1"/>
      <w:marLeft w:val="0"/>
      <w:marRight w:val="0"/>
      <w:marTop w:val="0"/>
      <w:marBottom w:val="0"/>
      <w:divBdr>
        <w:top w:val="none" w:sz="0" w:space="0" w:color="auto"/>
        <w:left w:val="none" w:sz="0" w:space="0" w:color="auto"/>
        <w:bottom w:val="none" w:sz="0" w:space="0" w:color="auto"/>
        <w:right w:val="none" w:sz="0" w:space="0" w:color="auto"/>
      </w:divBdr>
    </w:div>
    <w:div w:id="815219066">
      <w:bodyDiv w:val="1"/>
      <w:marLeft w:val="0"/>
      <w:marRight w:val="0"/>
      <w:marTop w:val="0"/>
      <w:marBottom w:val="0"/>
      <w:divBdr>
        <w:top w:val="none" w:sz="0" w:space="0" w:color="auto"/>
        <w:left w:val="none" w:sz="0" w:space="0" w:color="auto"/>
        <w:bottom w:val="none" w:sz="0" w:space="0" w:color="auto"/>
        <w:right w:val="none" w:sz="0" w:space="0" w:color="auto"/>
      </w:divBdr>
    </w:div>
    <w:div w:id="815220940">
      <w:bodyDiv w:val="1"/>
      <w:marLeft w:val="0"/>
      <w:marRight w:val="0"/>
      <w:marTop w:val="0"/>
      <w:marBottom w:val="0"/>
      <w:divBdr>
        <w:top w:val="none" w:sz="0" w:space="0" w:color="auto"/>
        <w:left w:val="none" w:sz="0" w:space="0" w:color="auto"/>
        <w:bottom w:val="none" w:sz="0" w:space="0" w:color="auto"/>
        <w:right w:val="none" w:sz="0" w:space="0" w:color="auto"/>
      </w:divBdr>
    </w:div>
    <w:div w:id="815293904">
      <w:bodyDiv w:val="1"/>
      <w:marLeft w:val="0"/>
      <w:marRight w:val="0"/>
      <w:marTop w:val="0"/>
      <w:marBottom w:val="0"/>
      <w:divBdr>
        <w:top w:val="none" w:sz="0" w:space="0" w:color="auto"/>
        <w:left w:val="none" w:sz="0" w:space="0" w:color="auto"/>
        <w:bottom w:val="none" w:sz="0" w:space="0" w:color="auto"/>
        <w:right w:val="none" w:sz="0" w:space="0" w:color="auto"/>
      </w:divBdr>
    </w:div>
    <w:div w:id="815341179">
      <w:bodyDiv w:val="1"/>
      <w:marLeft w:val="0"/>
      <w:marRight w:val="0"/>
      <w:marTop w:val="0"/>
      <w:marBottom w:val="0"/>
      <w:divBdr>
        <w:top w:val="none" w:sz="0" w:space="0" w:color="auto"/>
        <w:left w:val="none" w:sz="0" w:space="0" w:color="auto"/>
        <w:bottom w:val="none" w:sz="0" w:space="0" w:color="auto"/>
        <w:right w:val="none" w:sz="0" w:space="0" w:color="auto"/>
      </w:divBdr>
    </w:div>
    <w:div w:id="815414720">
      <w:bodyDiv w:val="1"/>
      <w:marLeft w:val="0"/>
      <w:marRight w:val="0"/>
      <w:marTop w:val="0"/>
      <w:marBottom w:val="0"/>
      <w:divBdr>
        <w:top w:val="none" w:sz="0" w:space="0" w:color="auto"/>
        <w:left w:val="none" w:sz="0" w:space="0" w:color="auto"/>
        <w:bottom w:val="none" w:sz="0" w:space="0" w:color="auto"/>
        <w:right w:val="none" w:sz="0" w:space="0" w:color="auto"/>
      </w:divBdr>
    </w:div>
    <w:div w:id="815417650">
      <w:bodyDiv w:val="1"/>
      <w:marLeft w:val="0"/>
      <w:marRight w:val="0"/>
      <w:marTop w:val="0"/>
      <w:marBottom w:val="0"/>
      <w:divBdr>
        <w:top w:val="none" w:sz="0" w:space="0" w:color="auto"/>
        <w:left w:val="none" w:sz="0" w:space="0" w:color="auto"/>
        <w:bottom w:val="none" w:sz="0" w:space="0" w:color="auto"/>
        <w:right w:val="none" w:sz="0" w:space="0" w:color="auto"/>
      </w:divBdr>
    </w:div>
    <w:div w:id="815604191">
      <w:bodyDiv w:val="1"/>
      <w:marLeft w:val="0"/>
      <w:marRight w:val="0"/>
      <w:marTop w:val="0"/>
      <w:marBottom w:val="0"/>
      <w:divBdr>
        <w:top w:val="none" w:sz="0" w:space="0" w:color="auto"/>
        <w:left w:val="none" w:sz="0" w:space="0" w:color="auto"/>
        <w:bottom w:val="none" w:sz="0" w:space="0" w:color="auto"/>
        <w:right w:val="none" w:sz="0" w:space="0" w:color="auto"/>
      </w:divBdr>
    </w:div>
    <w:div w:id="815613510">
      <w:bodyDiv w:val="1"/>
      <w:marLeft w:val="0"/>
      <w:marRight w:val="0"/>
      <w:marTop w:val="0"/>
      <w:marBottom w:val="0"/>
      <w:divBdr>
        <w:top w:val="none" w:sz="0" w:space="0" w:color="auto"/>
        <w:left w:val="none" w:sz="0" w:space="0" w:color="auto"/>
        <w:bottom w:val="none" w:sz="0" w:space="0" w:color="auto"/>
        <w:right w:val="none" w:sz="0" w:space="0" w:color="auto"/>
      </w:divBdr>
    </w:div>
    <w:div w:id="815757968">
      <w:bodyDiv w:val="1"/>
      <w:marLeft w:val="0"/>
      <w:marRight w:val="0"/>
      <w:marTop w:val="0"/>
      <w:marBottom w:val="0"/>
      <w:divBdr>
        <w:top w:val="none" w:sz="0" w:space="0" w:color="auto"/>
        <w:left w:val="none" w:sz="0" w:space="0" w:color="auto"/>
        <w:bottom w:val="none" w:sz="0" w:space="0" w:color="auto"/>
        <w:right w:val="none" w:sz="0" w:space="0" w:color="auto"/>
      </w:divBdr>
    </w:div>
    <w:div w:id="815800498">
      <w:bodyDiv w:val="1"/>
      <w:marLeft w:val="0"/>
      <w:marRight w:val="0"/>
      <w:marTop w:val="0"/>
      <w:marBottom w:val="0"/>
      <w:divBdr>
        <w:top w:val="none" w:sz="0" w:space="0" w:color="auto"/>
        <w:left w:val="none" w:sz="0" w:space="0" w:color="auto"/>
        <w:bottom w:val="none" w:sz="0" w:space="0" w:color="auto"/>
        <w:right w:val="none" w:sz="0" w:space="0" w:color="auto"/>
      </w:divBdr>
    </w:div>
    <w:div w:id="815804231">
      <w:bodyDiv w:val="1"/>
      <w:marLeft w:val="0"/>
      <w:marRight w:val="0"/>
      <w:marTop w:val="0"/>
      <w:marBottom w:val="0"/>
      <w:divBdr>
        <w:top w:val="none" w:sz="0" w:space="0" w:color="auto"/>
        <w:left w:val="none" w:sz="0" w:space="0" w:color="auto"/>
        <w:bottom w:val="none" w:sz="0" w:space="0" w:color="auto"/>
        <w:right w:val="none" w:sz="0" w:space="0" w:color="auto"/>
      </w:divBdr>
    </w:div>
    <w:div w:id="815951063">
      <w:bodyDiv w:val="1"/>
      <w:marLeft w:val="0"/>
      <w:marRight w:val="0"/>
      <w:marTop w:val="0"/>
      <w:marBottom w:val="0"/>
      <w:divBdr>
        <w:top w:val="none" w:sz="0" w:space="0" w:color="auto"/>
        <w:left w:val="none" w:sz="0" w:space="0" w:color="auto"/>
        <w:bottom w:val="none" w:sz="0" w:space="0" w:color="auto"/>
        <w:right w:val="none" w:sz="0" w:space="0" w:color="auto"/>
      </w:divBdr>
    </w:div>
    <w:div w:id="815954362">
      <w:bodyDiv w:val="1"/>
      <w:marLeft w:val="0"/>
      <w:marRight w:val="0"/>
      <w:marTop w:val="0"/>
      <w:marBottom w:val="0"/>
      <w:divBdr>
        <w:top w:val="none" w:sz="0" w:space="0" w:color="auto"/>
        <w:left w:val="none" w:sz="0" w:space="0" w:color="auto"/>
        <w:bottom w:val="none" w:sz="0" w:space="0" w:color="auto"/>
        <w:right w:val="none" w:sz="0" w:space="0" w:color="auto"/>
      </w:divBdr>
    </w:div>
    <w:div w:id="815993114">
      <w:bodyDiv w:val="1"/>
      <w:marLeft w:val="0"/>
      <w:marRight w:val="0"/>
      <w:marTop w:val="0"/>
      <w:marBottom w:val="0"/>
      <w:divBdr>
        <w:top w:val="none" w:sz="0" w:space="0" w:color="auto"/>
        <w:left w:val="none" w:sz="0" w:space="0" w:color="auto"/>
        <w:bottom w:val="none" w:sz="0" w:space="0" w:color="auto"/>
        <w:right w:val="none" w:sz="0" w:space="0" w:color="auto"/>
      </w:divBdr>
    </w:div>
    <w:div w:id="815999265">
      <w:bodyDiv w:val="1"/>
      <w:marLeft w:val="0"/>
      <w:marRight w:val="0"/>
      <w:marTop w:val="0"/>
      <w:marBottom w:val="0"/>
      <w:divBdr>
        <w:top w:val="none" w:sz="0" w:space="0" w:color="auto"/>
        <w:left w:val="none" w:sz="0" w:space="0" w:color="auto"/>
        <w:bottom w:val="none" w:sz="0" w:space="0" w:color="auto"/>
        <w:right w:val="none" w:sz="0" w:space="0" w:color="auto"/>
      </w:divBdr>
    </w:div>
    <w:div w:id="815999853">
      <w:bodyDiv w:val="1"/>
      <w:marLeft w:val="0"/>
      <w:marRight w:val="0"/>
      <w:marTop w:val="0"/>
      <w:marBottom w:val="0"/>
      <w:divBdr>
        <w:top w:val="none" w:sz="0" w:space="0" w:color="auto"/>
        <w:left w:val="none" w:sz="0" w:space="0" w:color="auto"/>
        <w:bottom w:val="none" w:sz="0" w:space="0" w:color="auto"/>
        <w:right w:val="none" w:sz="0" w:space="0" w:color="auto"/>
      </w:divBdr>
    </w:div>
    <w:div w:id="816069912">
      <w:bodyDiv w:val="1"/>
      <w:marLeft w:val="0"/>
      <w:marRight w:val="0"/>
      <w:marTop w:val="0"/>
      <w:marBottom w:val="0"/>
      <w:divBdr>
        <w:top w:val="none" w:sz="0" w:space="0" w:color="auto"/>
        <w:left w:val="none" w:sz="0" w:space="0" w:color="auto"/>
        <w:bottom w:val="none" w:sz="0" w:space="0" w:color="auto"/>
        <w:right w:val="none" w:sz="0" w:space="0" w:color="auto"/>
      </w:divBdr>
    </w:div>
    <w:div w:id="816069976">
      <w:bodyDiv w:val="1"/>
      <w:marLeft w:val="0"/>
      <w:marRight w:val="0"/>
      <w:marTop w:val="0"/>
      <w:marBottom w:val="0"/>
      <w:divBdr>
        <w:top w:val="none" w:sz="0" w:space="0" w:color="auto"/>
        <w:left w:val="none" w:sz="0" w:space="0" w:color="auto"/>
        <w:bottom w:val="none" w:sz="0" w:space="0" w:color="auto"/>
        <w:right w:val="none" w:sz="0" w:space="0" w:color="auto"/>
      </w:divBdr>
    </w:div>
    <w:div w:id="816072558">
      <w:bodyDiv w:val="1"/>
      <w:marLeft w:val="0"/>
      <w:marRight w:val="0"/>
      <w:marTop w:val="0"/>
      <w:marBottom w:val="0"/>
      <w:divBdr>
        <w:top w:val="none" w:sz="0" w:space="0" w:color="auto"/>
        <w:left w:val="none" w:sz="0" w:space="0" w:color="auto"/>
        <w:bottom w:val="none" w:sz="0" w:space="0" w:color="auto"/>
        <w:right w:val="none" w:sz="0" w:space="0" w:color="auto"/>
      </w:divBdr>
    </w:div>
    <w:div w:id="816143035">
      <w:bodyDiv w:val="1"/>
      <w:marLeft w:val="0"/>
      <w:marRight w:val="0"/>
      <w:marTop w:val="0"/>
      <w:marBottom w:val="0"/>
      <w:divBdr>
        <w:top w:val="none" w:sz="0" w:space="0" w:color="auto"/>
        <w:left w:val="none" w:sz="0" w:space="0" w:color="auto"/>
        <w:bottom w:val="none" w:sz="0" w:space="0" w:color="auto"/>
        <w:right w:val="none" w:sz="0" w:space="0" w:color="auto"/>
      </w:divBdr>
    </w:div>
    <w:div w:id="816143333">
      <w:bodyDiv w:val="1"/>
      <w:marLeft w:val="0"/>
      <w:marRight w:val="0"/>
      <w:marTop w:val="0"/>
      <w:marBottom w:val="0"/>
      <w:divBdr>
        <w:top w:val="none" w:sz="0" w:space="0" w:color="auto"/>
        <w:left w:val="none" w:sz="0" w:space="0" w:color="auto"/>
        <w:bottom w:val="none" w:sz="0" w:space="0" w:color="auto"/>
        <w:right w:val="none" w:sz="0" w:space="0" w:color="auto"/>
      </w:divBdr>
    </w:div>
    <w:div w:id="816190319">
      <w:bodyDiv w:val="1"/>
      <w:marLeft w:val="0"/>
      <w:marRight w:val="0"/>
      <w:marTop w:val="0"/>
      <w:marBottom w:val="0"/>
      <w:divBdr>
        <w:top w:val="none" w:sz="0" w:space="0" w:color="auto"/>
        <w:left w:val="none" w:sz="0" w:space="0" w:color="auto"/>
        <w:bottom w:val="none" w:sz="0" w:space="0" w:color="auto"/>
        <w:right w:val="none" w:sz="0" w:space="0" w:color="auto"/>
      </w:divBdr>
    </w:div>
    <w:div w:id="816334700">
      <w:bodyDiv w:val="1"/>
      <w:marLeft w:val="0"/>
      <w:marRight w:val="0"/>
      <w:marTop w:val="0"/>
      <w:marBottom w:val="0"/>
      <w:divBdr>
        <w:top w:val="none" w:sz="0" w:space="0" w:color="auto"/>
        <w:left w:val="none" w:sz="0" w:space="0" w:color="auto"/>
        <w:bottom w:val="none" w:sz="0" w:space="0" w:color="auto"/>
        <w:right w:val="none" w:sz="0" w:space="0" w:color="auto"/>
      </w:divBdr>
    </w:div>
    <w:div w:id="816536145">
      <w:bodyDiv w:val="1"/>
      <w:marLeft w:val="0"/>
      <w:marRight w:val="0"/>
      <w:marTop w:val="0"/>
      <w:marBottom w:val="0"/>
      <w:divBdr>
        <w:top w:val="none" w:sz="0" w:space="0" w:color="auto"/>
        <w:left w:val="none" w:sz="0" w:space="0" w:color="auto"/>
        <w:bottom w:val="none" w:sz="0" w:space="0" w:color="auto"/>
        <w:right w:val="none" w:sz="0" w:space="0" w:color="auto"/>
      </w:divBdr>
    </w:div>
    <w:div w:id="816648686">
      <w:bodyDiv w:val="1"/>
      <w:marLeft w:val="0"/>
      <w:marRight w:val="0"/>
      <w:marTop w:val="0"/>
      <w:marBottom w:val="0"/>
      <w:divBdr>
        <w:top w:val="none" w:sz="0" w:space="0" w:color="auto"/>
        <w:left w:val="none" w:sz="0" w:space="0" w:color="auto"/>
        <w:bottom w:val="none" w:sz="0" w:space="0" w:color="auto"/>
        <w:right w:val="none" w:sz="0" w:space="0" w:color="auto"/>
      </w:divBdr>
    </w:div>
    <w:div w:id="816726015">
      <w:bodyDiv w:val="1"/>
      <w:marLeft w:val="0"/>
      <w:marRight w:val="0"/>
      <w:marTop w:val="0"/>
      <w:marBottom w:val="0"/>
      <w:divBdr>
        <w:top w:val="none" w:sz="0" w:space="0" w:color="auto"/>
        <w:left w:val="none" w:sz="0" w:space="0" w:color="auto"/>
        <w:bottom w:val="none" w:sz="0" w:space="0" w:color="auto"/>
        <w:right w:val="none" w:sz="0" w:space="0" w:color="auto"/>
      </w:divBdr>
    </w:div>
    <w:div w:id="816841840">
      <w:bodyDiv w:val="1"/>
      <w:marLeft w:val="0"/>
      <w:marRight w:val="0"/>
      <w:marTop w:val="0"/>
      <w:marBottom w:val="0"/>
      <w:divBdr>
        <w:top w:val="none" w:sz="0" w:space="0" w:color="auto"/>
        <w:left w:val="none" w:sz="0" w:space="0" w:color="auto"/>
        <w:bottom w:val="none" w:sz="0" w:space="0" w:color="auto"/>
        <w:right w:val="none" w:sz="0" w:space="0" w:color="auto"/>
      </w:divBdr>
    </w:div>
    <w:div w:id="816842546">
      <w:bodyDiv w:val="1"/>
      <w:marLeft w:val="0"/>
      <w:marRight w:val="0"/>
      <w:marTop w:val="0"/>
      <w:marBottom w:val="0"/>
      <w:divBdr>
        <w:top w:val="none" w:sz="0" w:space="0" w:color="auto"/>
        <w:left w:val="none" w:sz="0" w:space="0" w:color="auto"/>
        <w:bottom w:val="none" w:sz="0" w:space="0" w:color="auto"/>
        <w:right w:val="none" w:sz="0" w:space="0" w:color="auto"/>
      </w:divBdr>
    </w:div>
    <w:div w:id="816990956">
      <w:bodyDiv w:val="1"/>
      <w:marLeft w:val="0"/>
      <w:marRight w:val="0"/>
      <w:marTop w:val="0"/>
      <w:marBottom w:val="0"/>
      <w:divBdr>
        <w:top w:val="none" w:sz="0" w:space="0" w:color="auto"/>
        <w:left w:val="none" w:sz="0" w:space="0" w:color="auto"/>
        <w:bottom w:val="none" w:sz="0" w:space="0" w:color="auto"/>
        <w:right w:val="none" w:sz="0" w:space="0" w:color="auto"/>
      </w:divBdr>
    </w:div>
    <w:div w:id="817111392">
      <w:bodyDiv w:val="1"/>
      <w:marLeft w:val="0"/>
      <w:marRight w:val="0"/>
      <w:marTop w:val="0"/>
      <w:marBottom w:val="0"/>
      <w:divBdr>
        <w:top w:val="none" w:sz="0" w:space="0" w:color="auto"/>
        <w:left w:val="none" w:sz="0" w:space="0" w:color="auto"/>
        <w:bottom w:val="none" w:sz="0" w:space="0" w:color="auto"/>
        <w:right w:val="none" w:sz="0" w:space="0" w:color="auto"/>
      </w:divBdr>
    </w:div>
    <w:div w:id="817113432">
      <w:bodyDiv w:val="1"/>
      <w:marLeft w:val="0"/>
      <w:marRight w:val="0"/>
      <w:marTop w:val="0"/>
      <w:marBottom w:val="0"/>
      <w:divBdr>
        <w:top w:val="none" w:sz="0" w:space="0" w:color="auto"/>
        <w:left w:val="none" w:sz="0" w:space="0" w:color="auto"/>
        <w:bottom w:val="none" w:sz="0" w:space="0" w:color="auto"/>
        <w:right w:val="none" w:sz="0" w:space="0" w:color="auto"/>
      </w:divBdr>
    </w:div>
    <w:div w:id="817183347">
      <w:bodyDiv w:val="1"/>
      <w:marLeft w:val="0"/>
      <w:marRight w:val="0"/>
      <w:marTop w:val="0"/>
      <w:marBottom w:val="0"/>
      <w:divBdr>
        <w:top w:val="none" w:sz="0" w:space="0" w:color="auto"/>
        <w:left w:val="none" w:sz="0" w:space="0" w:color="auto"/>
        <w:bottom w:val="none" w:sz="0" w:space="0" w:color="auto"/>
        <w:right w:val="none" w:sz="0" w:space="0" w:color="auto"/>
      </w:divBdr>
    </w:div>
    <w:div w:id="817189252">
      <w:bodyDiv w:val="1"/>
      <w:marLeft w:val="0"/>
      <w:marRight w:val="0"/>
      <w:marTop w:val="0"/>
      <w:marBottom w:val="0"/>
      <w:divBdr>
        <w:top w:val="none" w:sz="0" w:space="0" w:color="auto"/>
        <w:left w:val="none" w:sz="0" w:space="0" w:color="auto"/>
        <w:bottom w:val="none" w:sz="0" w:space="0" w:color="auto"/>
        <w:right w:val="none" w:sz="0" w:space="0" w:color="auto"/>
      </w:divBdr>
    </w:div>
    <w:div w:id="817262665">
      <w:bodyDiv w:val="1"/>
      <w:marLeft w:val="0"/>
      <w:marRight w:val="0"/>
      <w:marTop w:val="0"/>
      <w:marBottom w:val="0"/>
      <w:divBdr>
        <w:top w:val="none" w:sz="0" w:space="0" w:color="auto"/>
        <w:left w:val="none" w:sz="0" w:space="0" w:color="auto"/>
        <w:bottom w:val="none" w:sz="0" w:space="0" w:color="auto"/>
        <w:right w:val="none" w:sz="0" w:space="0" w:color="auto"/>
      </w:divBdr>
    </w:div>
    <w:div w:id="817264707">
      <w:bodyDiv w:val="1"/>
      <w:marLeft w:val="0"/>
      <w:marRight w:val="0"/>
      <w:marTop w:val="0"/>
      <w:marBottom w:val="0"/>
      <w:divBdr>
        <w:top w:val="none" w:sz="0" w:space="0" w:color="auto"/>
        <w:left w:val="none" w:sz="0" w:space="0" w:color="auto"/>
        <w:bottom w:val="none" w:sz="0" w:space="0" w:color="auto"/>
        <w:right w:val="none" w:sz="0" w:space="0" w:color="auto"/>
      </w:divBdr>
    </w:div>
    <w:div w:id="817304664">
      <w:bodyDiv w:val="1"/>
      <w:marLeft w:val="0"/>
      <w:marRight w:val="0"/>
      <w:marTop w:val="0"/>
      <w:marBottom w:val="0"/>
      <w:divBdr>
        <w:top w:val="none" w:sz="0" w:space="0" w:color="auto"/>
        <w:left w:val="none" w:sz="0" w:space="0" w:color="auto"/>
        <w:bottom w:val="none" w:sz="0" w:space="0" w:color="auto"/>
        <w:right w:val="none" w:sz="0" w:space="0" w:color="auto"/>
      </w:divBdr>
    </w:div>
    <w:div w:id="817379815">
      <w:bodyDiv w:val="1"/>
      <w:marLeft w:val="0"/>
      <w:marRight w:val="0"/>
      <w:marTop w:val="0"/>
      <w:marBottom w:val="0"/>
      <w:divBdr>
        <w:top w:val="none" w:sz="0" w:space="0" w:color="auto"/>
        <w:left w:val="none" w:sz="0" w:space="0" w:color="auto"/>
        <w:bottom w:val="none" w:sz="0" w:space="0" w:color="auto"/>
        <w:right w:val="none" w:sz="0" w:space="0" w:color="auto"/>
      </w:divBdr>
    </w:div>
    <w:div w:id="817381077">
      <w:bodyDiv w:val="1"/>
      <w:marLeft w:val="0"/>
      <w:marRight w:val="0"/>
      <w:marTop w:val="0"/>
      <w:marBottom w:val="0"/>
      <w:divBdr>
        <w:top w:val="none" w:sz="0" w:space="0" w:color="auto"/>
        <w:left w:val="none" w:sz="0" w:space="0" w:color="auto"/>
        <w:bottom w:val="none" w:sz="0" w:space="0" w:color="auto"/>
        <w:right w:val="none" w:sz="0" w:space="0" w:color="auto"/>
      </w:divBdr>
    </w:div>
    <w:div w:id="817385165">
      <w:bodyDiv w:val="1"/>
      <w:marLeft w:val="0"/>
      <w:marRight w:val="0"/>
      <w:marTop w:val="0"/>
      <w:marBottom w:val="0"/>
      <w:divBdr>
        <w:top w:val="none" w:sz="0" w:space="0" w:color="auto"/>
        <w:left w:val="none" w:sz="0" w:space="0" w:color="auto"/>
        <w:bottom w:val="none" w:sz="0" w:space="0" w:color="auto"/>
        <w:right w:val="none" w:sz="0" w:space="0" w:color="auto"/>
      </w:divBdr>
    </w:div>
    <w:div w:id="817579133">
      <w:bodyDiv w:val="1"/>
      <w:marLeft w:val="0"/>
      <w:marRight w:val="0"/>
      <w:marTop w:val="0"/>
      <w:marBottom w:val="0"/>
      <w:divBdr>
        <w:top w:val="none" w:sz="0" w:space="0" w:color="auto"/>
        <w:left w:val="none" w:sz="0" w:space="0" w:color="auto"/>
        <w:bottom w:val="none" w:sz="0" w:space="0" w:color="auto"/>
        <w:right w:val="none" w:sz="0" w:space="0" w:color="auto"/>
      </w:divBdr>
    </w:div>
    <w:div w:id="817693099">
      <w:bodyDiv w:val="1"/>
      <w:marLeft w:val="0"/>
      <w:marRight w:val="0"/>
      <w:marTop w:val="0"/>
      <w:marBottom w:val="0"/>
      <w:divBdr>
        <w:top w:val="none" w:sz="0" w:space="0" w:color="auto"/>
        <w:left w:val="none" w:sz="0" w:space="0" w:color="auto"/>
        <w:bottom w:val="none" w:sz="0" w:space="0" w:color="auto"/>
        <w:right w:val="none" w:sz="0" w:space="0" w:color="auto"/>
      </w:divBdr>
    </w:div>
    <w:div w:id="817696352">
      <w:bodyDiv w:val="1"/>
      <w:marLeft w:val="0"/>
      <w:marRight w:val="0"/>
      <w:marTop w:val="0"/>
      <w:marBottom w:val="0"/>
      <w:divBdr>
        <w:top w:val="none" w:sz="0" w:space="0" w:color="auto"/>
        <w:left w:val="none" w:sz="0" w:space="0" w:color="auto"/>
        <w:bottom w:val="none" w:sz="0" w:space="0" w:color="auto"/>
        <w:right w:val="none" w:sz="0" w:space="0" w:color="auto"/>
      </w:divBdr>
    </w:div>
    <w:div w:id="817696509">
      <w:bodyDiv w:val="1"/>
      <w:marLeft w:val="0"/>
      <w:marRight w:val="0"/>
      <w:marTop w:val="0"/>
      <w:marBottom w:val="0"/>
      <w:divBdr>
        <w:top w:val="none" w:sz="0" w:space="0" w:color="auto"/>
        <w:left w:val="none" w:sz="0" w:space="0" w:color="auto"/>
        <w:bottom w:val="none" w:sz="0" w:space="0" w:color="auto"/>
        <w:right w:val="none" w:sz="0" w:space="0" w:color="auto"/>
      </w:divBdr>
    </w:div>
    <w:div w:id="817765854">
      <w:bodyDiv w:val="1"/>
      <w:marLeft w:val="0"/>
      <w:marRight w:val="0"/>
      <w:marTop w:val="0"/>
      <w:marBottom w:val="0"/>
      <w:divBdr>
        <w:top w:val="none" w:sz="0" w:space="0" w:color="auto"/>
        <w:left w:val="none" w:sz="0" w:space="0" w:color="auto"/>
        <w:bottom w:val="none" w:sz="0" w:space="0" w:color="auto"/>
        <w:right w:val="none" w:sz="0" w:space="0" w:color="auto"/>
      </w:divBdr>
    </w:div>
    <w:div w:id="817766016">
      <w:bodyDiv w:val="1"/>
      <w:marLeft w:val="0"/>
      <w:marRight w:val="0"/>
      <w:marTop w:val="0"/>
      <w:marBottom w:val="0"/>
      <w:divBdr>
        <w:top w:val="none" w:sz="0" w:space="0" w:color="auto"/>
        <w:left w:val="none" w:sz="0" w:space="0" w:color="auto"/>
        <w:bottom w:val="none" w:sz="0" w:space="0" w:color="auto"/>
        <w:right w:val="none" w:sz="0" w:space="0" w:color="auto"/>
      </w:divBdr>
    </w:div>
    <w:div w:id="817767425">
      <w:bodyDiv w:val="1"/>
      <w:marLeft w:val="0"/>
      <w:marRight w:val="0"/>
      <w:marTop w:val="0"/>
      <w:marBottom w:val="0"/>
      <w:divBdr>
        <w:top w:val="none" w:sz="0" w:space="0" w:color="auto"/>
        <w:left w:val="none" w:sz="0" w:space="0" w:color="auto"/>
        <w:bottom w:val="none" w:sz="0" w:space="0" w:color="auto"/>
        <w:right w:val="none" w:sz="0" w:space="0" w:color="auto"/>
      </w:divBdr>
    </w:div>
    <w:div w:id="817844966">
      <w:bodyDiv w:val="1"/>
      <w:marLeft w:val="0"/>
      <w:marRight w:val="0"/>
      <w:marTop w:val="0"/>
      <w:marBottom w:val="0"/>
      <w:divBdr>
        <w:top w:val="none" w:sz="0" w:space="0" w:color="auto"/>
        <w:left w:val="none" w:sz="0" w:space="0" w:color="auto"/>
        <w:bottom w:val="none" w:sz="0" w:space="0" w:color="auto"/>
        <w:right w:val="none" w:sz="0" w:space="0" w:color="auto"/>
      </w:divBdr>
    </w:div>
    <w:div w:id="817890028">
      <w:bodyDiv w:val="1"/>
      <w:marLeft w:val="0"/>
      <w:marRight w:val="0"/>
      <w:marTop w:val="0"/>
      <w:marBottom w:val="0"/>
      <w:divBdr>
        <w:top w:val="none" w:sz="0" w:space="0" w:color="auto"/>
        <w:left w:val="none" w:sz="0" w:space="0" w:color="auto"/>
        <w:bottom w:val="none" w:sz="0" w:space="0" w:color="auto"/>
        <w:right w:val="none" w:sz="0" w:space="0" w:color="auto"/>
      </w:divBdr>
    </w:div>
    <w:div w:id="817917180">
      <w:bodyDiv w:val="1"/>
      <w:marLeft w:val="0"/>
      <w:marRight w:val="0"/>
      <w:marTop w:val="0"/>
      <w:marBottom w:val="0"/>
      <w:divBdr>
        <w:top w:val="none" w:sz="0" w:space="0" w:color="auto"/>
        <w:left w:val="none" w:sz="0" w:space="0" w:color="auto"/>
        <w:bottom w:val="none" w:sz="0" w:space="0" w:color="auto"/>
        <w:right w:val="none" w:sz="0" w:space="0" w:color="auto"/>
      </w:divBdr>
    </w:div>
    <w:div w:id="817957561">
      <w:bodyDiv w:val="1"/>
      <w:marLeft w:val="0"/>
      <w:marRight w:val="0"/>
      <w:marTop w:val="0"/>
      <w:marBottom w:val="0"/>
      <w:divBdr>
        <w:top w:val="none" w:sz="0" w:space="0" w:color="auto"/>
        <w:left w:val="none" w:sz="0" w:space="0" w:color="auto"/>
        <w:bottom w:val="none" w:sz="0" w:space="0" w:color="auto"/>
        <w:right w:val="none" w:sz="0" w:space="0" w:color="auto"/>
      </w:divBdr>
    </w:div>
    <w:div w:id="817960096">
      <w:bodyDiv w:val="1"/>
      <w:marLeft w:val="0"/>
      <w:marRight w:val="0"/>
      <w:marTop w:val="0"/>
      <w:marBottom w:val="0"/>
      <w:divBdr>
        <w:top w:val="none" w:sz="0" w:space="0" w:color="auto"/>
        <w:left w:val="none" w:sz="0" w:space="0" w:color="auto"/>
        <w:bottom w:val="none" w:sz="0" w:space="0" w:color="auto"/>
        <w:right w:val="none" w:sz="0" w:space="0" w:color="auto"/>
      </w:divBdr>
    </w:div>
    <w:div w:id="817961047">
      <w:bodyDiv w:val="1"/>
      <w:marLeft w:val="0"/>
      <w:marRight w:val="0"/>
      <w:marTop w:val="0"/>
      <w:marBottom w:val="0"/>
      <w:divBdr>
        <w:top w:val="none" w:sz="0" w:space="0" w:color="auto"/>
        <w:left w:val="none" w:sz="0" w:space="0" w:color="auto"/>
        <w:bottom w:val="none" w:sz="0" w:space="0" w:color="auto"/>
        <w:right w:val="none" w:sz="0" w:space="0" w:color="auto"/>
      </w:divBdr>
    </w:div>
    <w:div w:id="818032496">
      <w:bodyDiv w:val="1"/>
      <w:marLeft w:val="0"/>
      <w:marRight w:val="0"/>
      <w:marTop w:val="0"/>
      <w:marBottom w:val="0"/>
      <w:divBdr>
        <w:top w:val="none" w:sz="0" w:space="0" w:color="auto"/>
        <w:left w:val="none" w:sz="0" w:space="0" w:color="auto"/>
        <w:bottom w:val="none" w:sz="0" w:space="0" w:color="auto"/>
        <w:right w:val="none" w:sz="0" w:space="0" w:color="auto"/>
      </w:divBdr>
    </w:div>
    <w:div w:id="818034909">
      <w:bodyDiv w:val="1"/>
      <w:marLeft w:val="0"/>
      <w:marRight w:val="0"/>
      <w:marTop w:val="0"/>
      <w:marBottom w:val="0"/>
      <w:divBdr>
        <w:top w:val="none" w:sz="0" w:space="0" w:color="auto"/>
        <w:left w:val="none" w:sz="0" w:space="0" w:color="auto"/>
        <w:bottom w:val="none" w:sz="0" w:space="0" w:color="auto"/>
        <w:right w:val="none" w:sz="0" w:space="0" w:color="auto"/>
      </w:divBdr>
    </w:div>
    <w:div w:id="818036942">
      <w:bodyDiv w:val="1"/>
      <w:marLeft w:val="0"/>
      <w:marRight w:val="0"/>
      <w:marTop w:val="0"/>
      <w:marBottom w:val="0"/>
      <w:divBdr>
        <w:top w:val="none" w:sz="0" w:space="0" w:color="auto"/>
        <w:left w:val="none" w:sz="0" w:space="0" w:color="auto"/>
        <w:bottom w:val="none" w:sz="0" w:space="0" w:color="auto"/>
        <w:right w:val="none" w:sz="0" w:space="0" w:color="auto"/>
      </w:divBdr>
    </w:div>
    <w:div w:id="818108987">
      <w:bodyDiv w:val="1"/>
      <w:marLeft w:val="0"/>
      <w:marRight w:val="0"/>
      <w:marTop w:val="0"/>
      <w:marBottom w:val="0"/>
      <w:divBdr>
        <w:top w:val="none" w:sz="0" w:space="0" w:color="auto"/>
        <w:left w:val="none" w:sz="0" w:space="0" w:color="auto"/>
        <w:bottom w:val="none" w:sz="0" w:space="0" w:color="auto"/>
        <w:right w:val="none" w:sz="0" w:space="0" w:color="auto"/>
      </w:divBdr>
    </w:div>
    <w:div w:id="818113245">
      <w:bodyDiv w:val="1"/>
      <w:marLeft w:val="0"/>
      <w:marRight w:val="0"/>
      <w:marTop w:val="0"/>
      <w:marBottom w:val="0"/>
      <w:divBdr>
        <w:top w:val="none" w:sz="0" w:space="0" w:color="auto"/>
        <w:left w:val="none" w:sz="0" w:space="0" w:color="auto"/>
        <w:bottom w:val="none" w:sz="0" w:space="0" w:color="auto"/>
        <w:right w:val="none" w:sz="0" w:space="0" w:color="auto"/>
      </w:divBdr>
    </w:div>
    <w:div w:id="818226173">
      <w:bodyDiv w:val="1"/>
      <w:marLeft w:val="0"/>
      <w:marRight w:val="0"/>
      <w:marTop w:val="0"/>
      <w:marBottom w:val="0"/>
      <w:divBdr>
        <w:top w:val="none" w:sz="0" w:space="0" w:color="auto"/>
        <w:left w:val="none" w:sz="0" w:space="0" w:color="auto"/>
        <w:bottom w:val="none" w:sz="0" w:space="0" w:color="auto"/>
        <w:right w:val="none" w:sz="0" w:space="0" w:color="auto"/>
      </w:divBdr>
    </w:div>
    <w:div w:id="818302870">
      <w:bodyDiv w:val="1"/>
      <w:marLeft w:val="0"/>
      <w:marRight w:val="0"/>
      <w:marTop w:val="0"/>
      <w:marBottom w:val="0"/>
      <w:divBdr>
        <w:top w:val="none" w:sz="0" w:space="0" w:color="auto"/>
        <w:left w:val="none" w:sz="0" w:space="0" w:color="auto"/>
        <w:bottom w:val="none" w:sz="0" w:space="0" w:color="auto"/>
        <w:right w:val="none" w:sz="0" w:space="0" w:color="auto"/>
      </w:divBdr>
    </w:div>
    <w:div w:id="818304154">
      <w:bodyDiv w:val="1"/>
      <w:marLeft w:val="0"/>
      <w:marRight w:val="0"/>
      <w:marTop w:val="0"/>
      <w:marBottom w:val="0"/>
      <w:divBdr>
        <w:top w:val="none" w:sz="0" w:space="0" w:color="auto"/>
        <w:left w:val="none" w:sz="0" w:space="0" w:color="auto"/>
        <w:bottom w:val="none" w:sz="0" w:space="0" w:color="auto"/>
        <w:right w:val="none" w:sz="0" w:space="0" w:color="auto"/>
      </w:divBdr>
    </w:div>
    <w:div w:id="818376136">
      <w:bodyDiv w:val="1"/>
      <w:marLeft w:val="0"/>
      <w:marRight w:val="0"/>
      <w:marTop w:val="0"/>
      <w:marBottom w:val="0"/>
      <w:divBdr>
        <w:top w:val="none" w:sz="0" w:space="0" w:color="auto"/>
        <w:left w:val="none" w:sz="0" w:space="0" w:color="auto"/>
        <w:bottom w:val="none" w:sz="0" w:space="0" w:color="auto"/>
        <w:right w:val="none" w:sz="0" w:space="0" w:color="auto"/>
      </w:divBdr>
    </w:div>
    <w:div w:id="818496049">
      <w:bodyDiv w:val="1"/>
      <w:marLeft w:val="0"/>
      <w:marRight w:val="0"/>
      <w:marTop w:val="0"/>
      <w:marBottom w:val="0"/>
      <w:divBdr>
        <w:top w:val="none" w:sz="0" w:space="0" w:color="auto"/>
        <w:left w:val="none" w:sz="0" w:space="0" w:color="auto"/>
        <w:bottom w:val="none" w:sz="0" w:space="0" w:color="auto"/>
        <w:right w:val="none" w:sz="0" w:space="0" w:color="auto"/>
      </w:divBdr>
    </w:div>
    <w:div w:id="818500836">
      <w:bodyDiv w:val="1"/>
      <w:marLeft w:val="0"/>
      <w:marRight w:val="0"/>
      <w:marTop w:val="0"/>
      <w:marBottom w:val="0"/>
      <w:divBdr>
        <w:top w:val="none" w:sz="0" w:space="0" w:color="auto"/>
        <w:left w:val="none" w:sz="0" w:space="0" w:color="auto"/>
        <w:bottom w:val="none" w:sz="0" w:space="0" w:color="auto"/>
        <w:right w:val="none" w:sz="0" w:space="0" w:color="auto"/>
      </w:divBdr>
    </w:div>
    <w:div w:id="818570640">
      <w:bodyDiv w:val="1"/>
      <w:marLeft w:val="0"/>
      <w:marRight w:val="0"/>
      <w:marTop w:val="0"/>
      <w:marBottom w:val="0"/>
      <w:divBdr>
        <w:top w:val="none" w:sz="0" w:space="0" w:color="auto"/>
        <w:left w:val="none" w:sz="0" w:space="0" w:color="auto"/>
        <w:bottom w:val="none" w:sz="0" w:space="0" w:color="auto"/>
        <w:right w:val="none" w:sz="0" w:space="0" w:color="auto"/>
      </w:divBdr>
    </w:div>
    <w:div w:id="818576977">
      <w:bodyDiv w:val="1"/>
      <w:marLeft w:val="0"/>
      <w:marRight w:val="0"/>
      <w:marTop w:val="0"/>
      <w:marBottom w:val="0"/>
      <w:divBdr>
        <w:top w:val="none" w:sz="0" w:space="0" w:color="auto"/>
        <w:left w:val="none" w:sz="0" w:space="0" w:color="auto"/>
        <w:bottom w:val="none" w:sz="0" w:space="0" w:color="auto"/>
        <w:right w:val="none" w:sz="0" w:space="0" w:color="auto"/>
      </w:divBdr>
    </w:div>
    <w:div w:id="818689405">
      <w:bodyDiv w:val="1"/>
      <w:marLeft w:val="0"/>
      <w:marRight w:val="0"/>
      <w:marTop w:val="0"/>
      <w:marBottom w:val="0"/>
      <w:divBdr>
        <w:top w:val="none" w:sz="0" w:space="0" w:color="auto"/>
        <w:left w:val="none" w:sz="0" w:space="0" w:color="auto"/>
        <w:bottom w:val="none" w:sz="0" w:space="0" w:color="auto"/>
        <w:right w:val="none" w:sz="0" w:space="0" w:color="auto"/>
      </w:divBdr>
    </w:div>
    <w:div w:id="818810863">
      <w:bodyDiv w:val="1"/>
      <w:marLeft w:val="0"/>
      <w:marRight w:val="0"/>
      <w:marTop w:val="0"/>
      <w:marBottom w:val="0"/>
      <w:divBdr>
        <w:top w:val="none" w:sz="0" w:space="0" w:color="auto"/>
        <w:left w:val="none" w:sz="0" w:space="0" w:color="auto"/>
        <w:bottom w:val="none" w:sz="0" w:space="0" w:color="auto"/>
        <w:right w:val="none" w:sz="0" w:space="0" w:color="auto"/>
      </w:divBdr>
    </w:div>
    <w:div w:id="818956137">
      <w:bodyDiv w:val="1"/>
      <w:marLeft w:val="0"/>
      <w:marRight w:val="0"/>
      <w:marTop w:val="0"/>
      <w:marBottom w:val="0"/>
      <w:divBdr>
        <w:top w:val="none" w:sz="0" w:space="0" w:color="auto"/>
        <w:left w:val="none" w:sz="0" w:space="0" w:color="auto"/>
        <w:bottom w:val="none" w:sz="0" w:space="0" w:color="auto"/>
        <w:right w:val="none" w:sz="0" w:space="0" w:color="auto"/>
      </w:divBdr>
    </w:div>
    <w:div w:id="818960388">
      <w:bodyDiv w:val="1"/>
      <w:marLeft w:val="0"/>
      <w:marRight w:val="0"/>
      <w:marTop w:val="0"/>
      <w:marBottom w:val="0"/>
      <w:divBdr>
        <w:top w:val="none" w:sz="0" w:space="0" w:color="auto"/>
        <w:left w:val="none" w:sz="0" w:space="0" w:color="auto"/>
        <w:bottom w:val="none" w:sz="0" w:space="0" w:color="auto"/>
        <w:right w:val="none" w:sz="0" w:space="0" w:color="auto"/>
      </w:divBdr>
    </w:div>
    <w:div w:id="819033075">
      <w:bodyDiv w:val="1"/>
      <w:marLeft w:val="0"/>
      <w:marRight w:val="0"/>
      <w:marTop w:val="0"/>
      <w:marBottom w:val="0"/>
      <w:divBdr>
        <w:top w:val="none" w:sz="0" w:space="0" w:color="auto"/>
        <w:left w:val="none" w:sz="0" w:space="0" w:color="auto"/>
        <w:bottom w:val="none" w:sz="0" w:space="0" w:color="auto"/>
        <w:right w:val="none" w:sz="0" w:space="0" w:color="auto"/>
      </w:divBdr>
    </w:div>
    <w:div w:id="819074232">
      <w:bodyDiv w:val="1"/>
      <w:marLeft w:val="0"/>
      <w:marRight w:val="0"/>
      <w:marTop w:val="0"/>
      <w:marBottom w:val="0"/>
      <w:divBdr>
        <w:top w:val="none" w:sz="0" w:space="0" w:color="auto"/>
        <w:left w:val="none" w:sz="0" w:space="0" w:color="auto"/>
        <w:bottom w:val="none" w:sz="0" w:space="0" w:color="auto"/>
        <w:right w:val="none" w:sz="0" w:space="0" w:color="auto"/>
      </w:divBdr>
    </w:div>
    <w:div w:id="819225708">
      <w:bodyDiv w:val="1"/>
      <w:marLeft w:val="0"/>
      <w:marRight w:val="0"/>
      <w:marTop w:val="0"/>
      <w:marBottom w:val="0"/>
      <w:divBdr>
        <w:top w:val="none" w:sz="0" w:space="0" w:color="auto"/>
        <w:left w:val="none" w:sz="0" w:space="0" w:color="auto"/>
        <w:bottom w:val="none" w:sz="0" w:space="0" w:color="auto"/>
        <w:right w:val="none" w:sz="0" w:space="0" w:color="auto"/>
      </w:divBdr>
    </w:div>
    <w:div w:id="819226594">
      <w:bodyDiv w:val="1"/>
      <w:marLeft w:val="0"/>
      <w:marRight w:val="0"/>
      <w:marTop w:val="0"/>
      <w:marBottom w:val="0"/>
      <w:divBdr>
        <w:top w:val="none" w:sz="0" w:space="0" w:color="auto"/>
        <w:left w:val="none" w:sz="0" w:space="0" w:color="auto"/>
        <w:bottom w:val="none" w:sz="0" w:space="0" w:color="auto"/>
        <w:right w:val="none" w:sz="0" w:space="0" w:color="auto"/>
      </w:divBdr>
    </w:div>
    <w:div w:id="819270120">
      <w:bodyDiv w:val="1"/>
      <w:marLeft w:val="0"/>
      <w:marRight w:val="0"/>
      <w:marTop w:val="0"/>
      <w:marBottom w:val="0"/>
      <w:divBdr>
        <w:top w:val="none" w:sz="0" w:space="0" w:color="auto"/>
        <w:left w:val="none" w:sz="0" w:space="0" w:color="auto"/>
        <w:bottom w:val="none" w:sz="0" w:space="0" w:color="auto"/>
        <w:right w:val="none" w:sz="0" w:space="0" w:color="auto"/>
      </w:divBdr>
    </w:div>
    <w:div w:id="819426264">
      <w:bodyDiv w:val="1"/>
      <w:marLeft w:val="0"/>
      <w:marRight w:val="0"/>
      <w:marTop w:val="0"/>
      <w:marBottom w:val="0"/>
      <w:divBdr>
        <w:top w:val="none" w:sz="0" w:space="0" w:color="auto"/>
        <w:left w:val="none" w:sz="0" w:space="0" w:color="auto"/>
        <w:bottom w:val="none" w:sz="0" w:space="0" w:color="auto"/>
        <w:right w:val="none" w:sz="0" w:space="0" w:color="auto"/>
      </w:divBdr>
    </w:div>
    <w:div w:id="819462246">
      <w:bodyDiv w:val="1"/>
      <w:marLeft w:val="0"/>
      <w:marRight w:val="0"/>
      <w:marTop w:val="0"/>
      <w:marBottom w:val="0"/>
      <w:divBdr>
        <w:top w:val="none" w:sz="0" w:space="0" w:color="auto"/>
        <w:left w:val="none" w:sz="0" w:space="0" w:color="auto"/>
        <w:bottom w:val="none" w:sz="0" w:space="0" w:color="auto"/>
        <w:right w:val="none" w:sz="0" w:space="0" w:color="auto"/>
      </w:divBdr>
    </w:div>
    <w:div w:id="819462253">
      <w:bodyDiv w:val="1"/>
      <w:marLeft w:val="0"/>
      <w:marRight w:val="0"/>
      <w:marTop w:val="0"/>
      <w:marBottom w:val="0"/>
      <w:divBdr>
        <w:top w:val="none" w:sz="0" w:space="0" w:color="auto"/>
        <w:left w:val="none" w:sz="0" w:space="0" w:color="auto"/>
        <w:bottom w:val="none" w:sz="0" w:space="0" w:color="auto"/>
        <w:right w:val="none" w:sz="0" w:space="0" w:color="auto"/>
      </w:divBdr>
    </w:div>
    <w:div w:id="819536201">
      <w:bodyDiv w:val="1"/>
      <w:marLeft w:val="0"/>
      <w:marRight w:val="0"/>
      <w:marTop w:val="0"/>
      <w:marBottom w:val="0"/>
      <w:divBdr>
        <w:top w:val="none" w:sz="0" w:space="0" w:color="auto"/>
        <w:left w:val="none" w:sz="0" w:space="0" w:color="auto"/>
        <w:bottom w:val="none" w:sz="0" w:space="0" w:color="auto"/>
        <w:right w:val="none" w:sz="0" w:space="0" w:color="auto"/>
      </w:divBdr>
    </w:div>
    <w:div w:id="819543386">
      <w:bodyDiv w:val="1"/>
      <w:marLeft w:val="0"/>
      <w:marRight w:val="0"/>
      <w:marTop w:val="0"/>
      <w:marBottom w:val="0"/>
      <w:divBdr>
        <w:top w:val="none" w:sz="0" w:space="0" w:color="auto"/>
        <w:left w:val="none" w:sz="0" w:space="0" w:color="auto"/>
        <w:bottom w:val="none" w:sz="0" w:space="0" w:color="auto"/>
        <w:right w:val="none" w:sz="0" w:space="0" w:color="auto"/>
      </w:divBdr>
    </w:div>
    <w:div w:id="819611247">
      <w:bodyDiv w:val="1"/>
      <w:marLeft w:val="0"/>
      <w:marRight w:val="0"/>
      <w:marTop w:val="0"/>
      <w:marBottom w:val="0"/>
      <w:divBdr>
        <w:top w:val="none" w:sz="0" w:space="0" w:color="auto"/>
        <w:left w:val="none" w:sz="0" w:space="0" w:color="auto"/>
        <w:bottom w:val="none" w:sz="0" w:space="0" w:color="auto"/>
        <w:right w:val="none" w:sz="0" w:space="0" w:color="auto"/>
      </w:divBdr>
    </w:div>
    <w:div w:id="819729288">
      <w:bodyDiv w:val="1"/>
      <w:marLeft w:val="0"/>
      <w:marRight w:val="0"/>
      <w:marTop w:val="0"/>
      <w:marBottom w:val="0"/>
      <w:divBdr>
        <w:top w:val="none" w:sz="0" w:space="0" w:color="auto"/>
        <w:left w:val="none" w:sz="0" w:space="0" w:color="auto"/>
        <w:bottom w:val="none" w:sz="0" w:space="0" w:color="auto"/>
        <w:right w:val="none" w:sz="0" w:space="0" w:color="auto"/>
      </w:divBdr>
    </w:div>
    <w:div w:id="819886163">
      <w:bodyDiv w:val="1"/>
      <w:marLeft w:val="0"/>
      <w:marRight w:val="0"/>
      <w:marTop w:val="0"/>
      <w:marBottom w:val="0"/>
      <w:divBdr>
        <w:top w:val="none" w:sz="0" w:space="0" w:color="auto"/>
        <w:left w:val="none" w:sz="0" w:space="0" w:color="auto"/>
        <w:bottom w:val="none" w:sz="0" w:space="0" w:color="auto"/>
        <w:right w:val="none" w:sz="0" w:space="0" w:color="auto"/>
      </w:divBdr>
    </w:div>
    <w:div w:id="819922585">
      <w:bodyDiv w:val="1"/>
      <w:marLeft w:val="0"/>
      <w:marRight w:val="0"/>
      <w:marTop w:val="0"/>
      <w:marBottom w:val="0"/>
      <w:divBdr>
        <w:top w:val="none" w:sz="0" w:space="0" w:color="auto"/>
        <w:left w:val="none" w:sz="0" w:space="0" w:color="auto"/>
        <w:bottom w:val="none" w:sz="0" w:space="0" w:color="auto"/>
        <w:right w:val="none" w:sz="0" w:space="0" w:color="auto"/>
      </w:divBdr>
    </w:div>
    <w:div w:id="819927749">
      <w:bodyDiv w:val="1"/>
      <w:marLeft w:val="0"/>
      <w:marRight w:val="0"/>
      <w:marTop w:val="0"/>
      <w:marBottom w:val="0"/>
      <w:divBdr>
        <w:top w:val="none" w:sz="0" w:space="0" w:color="auto"/>
        <w:left w:val="none" w:sz="0" w:space="0" w:color="auto"/>
        <w:bottom w:val="none" w:sz="0" w:space="0" w:color="auto"/>
        <w:right w:val="none" w:sz="0" w:space="0" w:color="auto"/>
      </w:divBdr>
    </w:div>
    <w:div w:id="819929436">
      <w:bodyDiv w:val="1"/>
      <w:marLeft w:val="0"/>
      <w:marRight w:val="0"/>
      <w:marTop w:val="0"/>
      <w:marBottom w:val="0"/>
      <w:divBdr>
        <w:top w:val="none" w:sz="0" w:space="0" w:color="auto"/>
        <w:left w:val="none" w:sz="0" w:space="0" w:color="auto"/>
        <w:bottom w:val="none" w:sz="0" w:space="0" w:color="auto"/>
        <w:right w:val="none" w:sz="0" w:space="0" w:color="auto"/>
      </w:divBdr>
    </w:div>
    <w:div w:id="820000520">
      <w:bodyDiv w:val="1"/>
      <w:marLeft w:val="0"/>
      <w:marRight w:val="0"/>
      <w:marTop w:val="0"/>
      <w:marBottom w:val="0"/>
      <w:divBdr>
        <w:top w:val="none" w:sz="0" w:space="0" w:color="auto"/>
        <w:left w:val="none" w:sz="0" w:space="0" w:color="auto"/>
        <w:bottom w:val="none" w:sz="0" w:space="0" w:color="auto"/>
        <w:right w:val="none" w:sz="0" w:space="0" w:color="auto"/>
      </w:divBdr>
    </w:div>
    <w:div w:id="820005000">
      <w:bodyDiv w:val="1"/>
      <w:marLeft w:val="0"/>
      <w:marRight w:val="0"/>
      <w:marTop w:val="0"/>
      <w:marBottom w:val="0"/>
      <w:divBdr>
        <w:top w:val="none" w:sz="0" w:space="0" w:color="auto"/>
        <w:left w:val="none" w:sz="0" w:space="0" w:color="auto"/>
        <w:bottom w:val="none" w:sz="0" w:space="0" w:color="auto"/>
        <w:right w:val="none" w:sz="0" w:space="0" w:color="auto"/>
      </w:divBdr>
    </w:div>
    <w:div w:id="820006478">
      <w:bodyDiv w:val="1"/>
      <w:marLeft w:val="0"/>
      <w:marRight w:val="0"/>
      <w:marTop w:val="0"/>
      <w:marBottom w:val="0"/>
      <w:divBdr>
        <w:top w:val="none" w:sz="0" w:space="0" w:color="auto"/>
        <w:left w:val="none" w:sz="0" w:space="0" w:color="auto"/>
        <w:bottom w:val="none" w:sz="0" w:space="0" w:color="auto"/>
        <w:right w:val="none" w:sz="0" w:space="0" w:color="auto"/>
      </w:divBdr>
    </w:div>
    <w:div w:id="820074271">
      <w:bodyDiv w:val="1"/>
      <w:marLeft w:val="0"/>
      <w:marRight w:val="0"/>
      <w:marTop w:val="0"/>
      <w:marBottom w:val="0"/>
      <w:divBdr>
        <w:top w:val="none" w:sz="0" w:space="0" w:color="auto"/>
        <w:left w:val="none" w:sz="0" w:space="0" w:color="auto"/>
        <w:bottom w:val="none" w:sz="0" w:space="0" w:color="auto"/>
        <w:right w:val="none" w:sz="0" w:space="0" w:color="auto"/>
      </w:divBdr>
    </w:div>
    <w:div w:id="820120538">
      <w:bodyDiv w:val="1"/>
      <w:marLeft w:val="0"/>
      <w:marRight w:val="0"/>
      <w:marTop w:val="0"/>
      <w:marBottom w:val="0"/>
      <w:divBdr>
        <w:top w:val="none" w:sz="0" w:space="0" w:color="auto"/>
        <w:left w:val="none" w:sz="0" w:space="0" w:color="auto"/>
        <w:bottom w:val="none" w:sz="0" w:space="0" w:color="auto"/>
        <w:right w:val="none" w:sz="0" w:space="0" w:color="auto"/>
      </w:divBdr>
    </w:div>
    <w:div w:id="820121246">
      <w:bodyDiv w:val="1"/>
      <w:marLeft w:val="0"/>
      <w:marRight w:val="0"/>
      <w:marTop w:val="0"/>
      <w:marBottom w:val="0"/>
      <w:divBdr>
        <w:top w:val="none" w:sz="0" w:space="0" w:color="auto"/>
        <w:left w:val="none" w:sz="0" w:space="0" w:color="auto"/>
        <w:bottom w:val="none" w:sz="0" w:space="0" w:color="auto"/>
        <w:right w:val="none" w:sz="0" w:space="0" w:color="auto"/>
      </w:divBdr>
    </w:div>
    <w:div w:id="820122023">
      <w:bodyDiv w:val="1"/>
      <w:marLeft w:val="0"/>
      <w:marRight w:val="0"/>
      <w:marTop w:val="0"/>
      <w:marBottom w:val="0"/>
      <w:divBdr>
        <w:top w:val="none" w:sz="0" w:space="0" w:color="auto"/>
        <w:left w:val="none" w:sz="0" w:space="0" w:color="auto"/>
        <w:bottom w:val="none" w:sz="0" w:space="0" w:color="auto"/>
        <w:right w:val="none" w:sz="0" w:space="0" w:color="auto"/>
      </w:divBdr>
    </w:div>
    <w:div w:id="820150237">
      <w:bodyDiv w:val="1"/>
      <w:marLeft w:val="0"/>
      <w:marRight w:val="0"/>
      <w:marTop w:val="0"/>
      <w:marBottom w:val="0"/>
      <w:divBdr>
        <w:top w:val="none" w:sz="0" w:space="0" w:color="auto"/>
        <w:left w:val="none" w:sz="0" w:space="0" w:color="auto"/>
        <w:bottom w:val="none" w:sz="0" w:space="0" w:color="auto"/>
        <w:right w:val="none" w:sz="0" w:space="0" w:color="auto"/>
      </w:divBdr>
    </w:div>
    <w:div w:id="820191508">
      <w:bodyDiv w:val="1"/>
      <w:marLeft w:val="0"/>
      <w:marRight w:val="0"/>
      <w:marTop w:val="0"/>
      <w:marBottom w:val="0"/>
      <w:divBdr>
        <w:top w:val="none" w:sz="0" w:space="0" w:color="auto"/>
        <w:left w:val="none" w:sz="0" w:space="0" w:color="auto"/>
        <w:bottom w:val="none" w:sz="0" w:space="0" w:color="auto"/>
        <w:right w:val="none" w:sz="0" w:space="0" w:color="auto"/>
      </w:divBdr>
    </w:div>
    <w:div w:id="820198841">
      <w:bodyDiv w:val="1"/>
      <w:marLeft w:val="0"/>
      <w:marRight w:val="0"/>
      <w:marTop w:val="0"/>
      <w:marBottom w:val="0"/>
      <w:divBdr>
        <w:top w:val="none" w:sz="0" w:space="0" w:color="auto"/>
        <w:left w:val="none" w:sz="0" w:space="0" w:color="auto"/>
        <w:bottom w:val="none" w:sz="0" w:space="0" w:color="auto"/>
        <w:right w:val="none" w:sz="0" w:space="0" w:color="auto"/>
      </w:divBdr>
    </w:div>
    <w:div w:id="820316585">
      <w:bodyDiv w:val="1"/>
      <w:marLeft w:val="0"/>
      <w:marRight w:val="0"/>
      <w:marTop w:val="0"/>
      <w:marBottom w:val="0"/>
      <w:divBdr>
        <w:top w:val="none" w:sz="0" w:space="0" w:color="auto"/>
        <w:left w:val="none" w:sz="0" w:space="0" w:color="auto"/>
        <w:bottom w:val="none" w:sz="0" w:space="0" w:color="auto"/>
        <w:right w:val="none" w:sz="0" w:space="0" w:color="auto"/>
      </w:divBdr>
    </w:div>
    <w:div w:id="820535087">
      <w:bodyDiv w:val="1"/>
      <w:marLeft w:val="0"/>
      <w:marRight w:val="0"/>
      <w:marTop w:val="0"/>
      <w:marBottom w:val="0"/>
      <w:divBdr>
        <w:top w:val="none" w:sz="0" w:space="0" w:color="auto"/>
        <w:left w:val="none" w:sz="0" w:space="0" w:color="auto"/>
        <w:bottom w:val="none" w:sz="0" w:space="0" w:color="auto"/>
        <w:right w:val="none" w:sz="0" w:space="0" w:color="auto"/>
      </w:divBdr>
    </w:div>
    <w:div w:id="820539163">
      <w:bodyDiv w:val="1"/>
      <w:marLeft w:val="0"/>
      <w:marRight w:val="0"/>
      <w:marTop w:val="0"/>
      <w:marBottom w:val="0"/>
      <w:divBdr>
        <w:top w:val="none" w:sz="0" w:space="0" w:color="auto"/>
        <w:left w:val="none" w:sz="0" w:space="0" w:color="auto"/>
        <w:bottom w:val="none" w:sz="0" w:space="0" w:color="auto"/>
        <w:right w:val="none" w:sz="0" w:space="0" w:color="auto"/>
      </w:divBdr>
    </w:div>
    <w:div w:id="820587018">
      <w:bodyDiv w:val="1"/>
      <w:marLeft w:val="0"/>
      <w:marRight w:val="0"/>
      <w:marTop w:val="0"/>
      <w:marBottom w:val="0"/>
      <w:divBdr>
        <w:top w:val="none" w:sz="0" w:space="0" w:color="auto"/>
        <w:left w:val="none" w:sz="0" w:space="0" w:color="auto"/>
        <w:bottom w:val="none" w:sz="0" w:space="0" w:color="auto"/>
        <w:right w:val="none" w:sz="0" w:space="0" w:color="auto"/>
      </w:divBdr>
    </w:div>
    <w:div w:id="820655011">
      <w:bodyDiv w:val="1"/>
      <w:marLeft w:val="0"/>
      <w:marRight w:val="0"/>
      <w:marTop w:val="0"/>
      <w:marBottom w:val="0"/>
      <w:divBdr>
        <w:top w:val="none" w:sz="0" w:space="0" w:color="auto"/>
        <w:left w:val="none" w:sz="0" w:space="0" w:color="auto"/>
        <w:bottom w:val="none" w:sz="0" w:space="0" w:color="auto"/>
        <w:right w:val="none" w:sz="0" w:space="0" w:color="auto"/>
      </w:divBdr>
    </w:div>
    <w:div w:id="820805455">
      <w:bodyDiv w:val="1"/>
      <w:marLeft w:val="0"/>
      <w:marRight w:val="0"/>
      <w:marTop w:val="0"/>
      <w:marBottom w:val="0"/>
      <w:divBdr>
        <w:top w:val="none" w:sz="0" w:space="0" w:color="auto"/>
        <w:left w:val="none" w:sz="0" w:space="0" w:color="auto"/>
        <w:bottom w:val="none" w:sz="0" w:space="0" w:color="auto"/>
        <w:right w:val="none" w:sz="0" w:space="0" w:color="auto"/>
      </w:divBdr>
    </w:div>
    <w:div w:id="820852048">
      <w:bodyDiv w:val="1"/>
      <w:marLeft w:val="0"/>
      <w:marRight w:val="0"/>
      <w:marTop w:val="0"/>
      <w:marBottom w:val="0"/>
      <w:divBdr>
        <w:top w:val="none" w:sz="0" w:space="0" w:color="auto"/>
        <w:left w:val="none" w:sz="0" w:space="0" w:color="auto"/>
        <w:bottom w:val="none" w:sz="0" w:space="0" w:color="auto"/>
        <w:right w:val="none" w:sz="0" w:space="0" w:color="auto"/>
      </w:divBdr>
    </w:div>
    <w:div w:id="821313484">
      <w:bodyDiv w:val="1"/>
      <w:marLeft w:val="0"/>
      <w:marRight w:val="0"/>
      <w:marTop w:val="0"/>
      <w:marBottom w:val="0"/>
      <w:divBdr>
        <w:top w:val="none" w:sz="0" w:space="0" w:color="auto"/>
        <w:left w:val="none" w:sz="0" w:space="0" w:color="auto"/>
        <w:bottom w:val="none" w:sz="0" w:space="0" w:color="auto"/>
        <w:right w:val="none" w:sz="0" w:space="0" w:color="auto"/>
      </w:divBdr>
    </w:div>
    <w:div w:id="821385482">
      <w:bodyDiv w:val="1"/>
      <w:marLeft w:val="0"/>
      <w:marRight w:val="0"/>
      <w:marTop w:val="0"/>
      <w:marBottom w:val="0"/>
      <w:divBdr>
        <w:top w:val="none" w:sz="0" w:space="0" w:color="auto"/>
        <w:left w:val="none" w:sz="0" w:space="0" w:color="auto"/>
        <w:bottom w:val="none" w:sz="0" w:space="0" w:color="auto"/>
        <w:right w:val="none" w:sz="0" w:space="0" w:color="auto"/>
      </w:divBdr>
    </w:div>
    <w:div w:id="821387336">
      <w:bodyDiv w:val="1"/>
      <w:marLeft w:val="0"/>
      <w:marRight w:val="0"/>
      <w:marTop w:val="0"/>
      <w:marBottom w:val="0"/>
      <w:divBdr>
        <w:top w:val="none" w:sz="0" w:space="0" w:color="auto"/>
        <w:left w:val="none" w:sz="0" w:space="0" w:color="auto"/>
        <w:bottom w:val="none" w:sz="0" w:space="0" w:color="auto"/>
        <w:right w:val="none" w:sz="0" w:space="0" w:color="auto"/>
      </w:divBdr>
    </w:div>
    <w:div w:id="821392294">
      <w:bodyDiv w:val="1"/>
      <w:marLeft w:val="0"/>
      <w:marRight w:val="0"/>
      <w:marTop w:val="0"/>
      <w:marBottom w:val="0"/>
      <w:divBdr>
        <w:top w:val="none" w:sz="0" w:space="0" w:color="auto"/>
        <w:left w:val="none" w:sz="0" w:space="0" w:color="auto"/>
        <w:bottom w:val="none" w:sz="0" w:space="0" w:color="auto"/>
        <w:right w:val="none" w:sz="0" w:space="0" w:color="auto"/>
      </w:divBdr>
    </w:div>
    <w:div w:id="821393037">
      <w:bodyDiv w:val="1"/>
      <w:marLeft w:val="0"/>
      <w:marRight w:val="0"/>
      <w:marTop w:val="0"/>
      <w:marBottom w:val="0"/>
      <w:divBdr>
        <w:top w:val="none" w:sz="0" w:space="0" w:color="auto"/>
        <w:left w:val="none" w:sz="0" w:space="0" w:color="auto"/>
        <w:bottom w:val="none" w:sz="0" w:space="0" w:color="auto"/>
        <w:right w:val="none" w:sz="0" w:space="0" w:color="auto"/>
      </w:divBdr>
    </w:div>
    <w:div w:id="821581815">
      <w:bodyDiv w:val="1"/>
      <w:marLeft w:val="0"/>
      <w:marRight w:val="0"/>
      <w:marTop w:val="0"/>
      <w:marBottom w:val="0"/>
      <w:divBdr>
        <w:top w:val="none" w:sz="0" w:space="0" w:color="auto"/>
        <w:left w:val="none" w:sz="0" w:space="0" w:color="auto"/>
        <w:bottom w:val="none" w:sz="0" w:space="0" w:color="auto"/>
        <w:right w:val="none" w:sz="0" w:space="0" w:color="auto"/>
      </w:divBdr>
    </w:div>
    <w:div w:id="821625934">
      <w:bodyDiv w:val="1"/>
      <w:marLeft w:val="0"/>
      <w:marRight w:val="0"/>
      <w:marTop w:val="0"/>
      <w:marBottom w:val="0"/>
      <w:divBdr>
        <w:top w:val="none" w:sz="0" w:space="0" w:color="auto"/>
        <w:left w:val="none" w:sz="0" w:space="0" w:color="auto"/>
        <w:bottom w:val="none" w:sz="0" w:space="0" w:color="auto"/>
        <w:right w:val="none" w:sz="0" w:space="0" w:color="auto"/>
      </w:divBdr>
    </w:div>
    <w:div w:id="821628943">
      <w:bodyDiv w:val="1"/>
      <w:marLeft w:val="0"/>
      <w:marRight w:val="0"/>
      <w:marTop w:val="0"/>
      <w:marBottom w:val="0"/>
      <w:divBdr>
        <w:top w:val="none" w:sz="0" w:space="0" w:color="auto"/>
        <w:left w:val="none" w:sz="0" w:space="0" w:color="auto"/>
        <w:bottom w:val="none" w:sz="0" w:space="0" w:color="auto"/>
        <w:right w:val="none" w:sz="0" w:space="0" w:color="auto"/>
      </w:divBdr>
    </w:div>
    <w:div w:id="821654132">
      <w:bodyDiv w:val="1"/>
      <w:marLeft w:val="0"/>
      <w:marRight w:val="0"/>
      <w:marTop w:val="0"/>
      <w:marBottom w:val="0"/>
      <w:divBdr>
        <w:top w:val="none" w:sz="0" w:space="0" w:color="auto"/>
        <w:left w:val="none" w:sz="0" w:space="0" w:color="auto"/>
        <w:bottom w:val="none" w:sz="0" w:space="0" w:color="auto"/>
        <w:right w:val="none" w:sz="0" w:space="0" w:color="auto"/>
      </w:divBdr>
    </w:div>
    <w:div w:id="821771457">
      <w:bodyDiv w:val="1"/>
      <w:marLeft w:val="0"/>
      <w:marRight w:val="0"/>
      <w:marTop w:val="0"/>
      <w:marBottom w:val="0"/>
      <w:divBdr>
        <w:top w:val="none" w:sz="0" w:space="0" w:color="auto"/>
        <w:left w:val="none" w:sz="0" w:space="0" w:color="auto"/>
        <w:bottom w:val="none" w:sz="0" w:space="0" w:color="auto"/>
        <w:right w:val="none" w:sz="0" w:space="0" w:color="auto"/>
      </w:divBdr>
    </w:div>
    <w:div w:id="821778467">
      <w:bodyDiv w:val="1"/>
      <w:marLeft w:val="0"/>
      <w:marRight w:val="0"/>
      <w:marTop w:val="0"/>
      <w:marBottom w:val="0"/>
      <w:divBdr>
        <w:top w:val="none" w:sz="0" w:space="0" w:color="auto"/>
        <w:left w:val="none" w:sz="0" w:space="0" w:color="auto"/>
        <w:bottom w:val="none" w:sz="0" w:space="0" w:color="auto"/>
        <w:right w:val="none" w:sz="0" w:space="0" w:color="auto"/>
      </w:divBdr>
    </w:div>
    <w:div w:id="821963983">
      <w:bodyDiv w:val="1"/>
      <w:marLeft w:val="0"/>
      <w:marRight w:val="0"/>
      <w:marTop w:val="0"/>
      <w:marBottom w:val="0"/>
      <w:divBdr>
        <w:top w:val="none" w:sz="0" w:space="0" w:color="auto"/>
        <w:left w:val="none" w:sz="0" w:space="0" w:color="auto"/>
        <w:bottom w:val="none" w:sz="0" w:space="0" w:color="auto"/>
        <w:right w:val="none" w:sz="0" w:space="0" w:color="auto"/>
      </w:divBdr>
    </w:div>
    <w:div w:id="821964452">
      <w:bodyDiv w:val="1"/>
      <w:marLeft w:val="0"/>
      <w:marRight w:val="0"/>
      <w:marTop w:val="0"/>
      <w:marBottom w:val="0"/>
      <w:divBdr>
        <w:top w:val="none" w:sz="0" w:space="0" w:color="auto"/>
        <w:left w:val="none" w:sz="0" w:space="0" w:color="auto"/>
        <w:bottom w:val="none" w:sz="0" w:space="0" w:color="auto"/>
        <w:right w:val="none" w:sz="0" w:space="0" w:color="auto"/>
      </w:divBdr>
    </w:div>
    <w:div w:id="821967037">
      <w:bodyDiv w:val="1"/>
      <w:marLeft w:val="0"/>
      <w:marRight w:val="0"/>
      <w:marTop w:val="0"/>
      <w:marBottom w:val="0"/>
      <w:divBdr>
        <w:top w:val="none" w:sz="0" w:space="0" w:color="auto"/>
        <w:left w:val="none" w:sz="0" w:space="0" w:color="auto"/>
        <w:bottom w:val="none" w:sz="0" w:space="0" w:color="auto"/>
        <w:right w:val="none" w:sz="0" w:space="0" w:color="auto"/>
      </w:divBdr>
    </w:div>
    <w:div w:id="822039930">
      <w:bodyDiv w:val="1"/>
      <w:marLeft w:val="0"/>
      <w:marRight w:val="0"/>
      <w:marTop w:val="0"/>
      <w:marBottom w:val="0"/>
      <w:divBdr>
        <w:top w:val="none" w:sz="0" w:space="0" w:color="auto"/>
        <w:left w:val="none" w:sz="0" w:space="0" w:color="auto"/>
        <w:bottom w:val="none" w:sz="0" w:space="0" w:color="auto"/>
        <w:right w:val="none" w:sz="0" w:space="0" w:color="auto"/>
      </w:divBdr>
    </w:div>
    <w:div w:id="822088078">
      <w:bodyDiv w:val="1"/>
      <w:marLeft w:val="0"/>
      <w:marRight w:val="0"/>
      <w:marTop w:val="0"/>
      <w:marBottom w:val="0"/>
      <w:divBdr>
        <w:top w:val="none" w:sz="0" w:space="0" w:color="auto"/>
        <w:left w:val="none" w:sz="0" w:space="0" w:color="auto"/>
        <w:bottom w:val="none" w:sz="0" w:space="0" w:color="auto"/>
        <w:right w:val="none" w:sz="0" w:space="0" w:color="auto"/>
      </w:divBdr>
    </w:div>
    <w:div w:id="822232817">
      <w:bodyDiv w:val="1"/>
      <w:marLeft w:val="0"/>
      <w:marRight w:val="0"/>
      <w:marTop w:val="0"/>
      <w:marBottom w:val="0"/>
      <w:divBdr>
        <w:top w:val="none" w:sz="0" w:space="0" w:color="auto"/>
        <w:left w:val="none" w:sz="0" w:space="0" w:color="auto"/>
        <w:bottom w:val="none" w:sz="0" w:space="0" w:color="auto"/>
        <w:right w:val="none" w:sz="0" w:space="0" w:color="auto"/>
      </w:divBdr>
    </w:div>
    <w:div w:id="822355991">
      <w:bodyDiv w:val="1"/>
      <w:marLeft w:val="0"/>
      <w:marRight w:val="0"/>
      <w:marTop w:val="0"/>
      <w:marBottom w:val="0"/>
      <w:divBdr>
        <w:top w:val="none" w:sz="0" w:space="0" w:color="auto"/>
        <w:left w:val="none" w:sz="0" w:space="0" w:color="auto"/>
        <w:bottom w:val="none" w:sz="0" w:space="0" w:color="auto"/>
        <w:right w:val="none" w:sz="0" w:space="0" w:color="auto"/>
      </w:divBdr>
    </w:div>
    <w:div w:id="822425924">
      <w:bodyDiv w:val="1"/>
      <w:marLeft w:val="0"/>
      <w:marRight w:val="0"/>
      <w:marTop w:val="0"/>
      <w:marBottom w:val="0"/>
      <w:divBdr>
        <w:top w:val="none" w:sz="0" w:space="0" w:color="auto"/>
        <w:left w:val="none" w:sz="0" w:space="0" w:color="auto"/>
        <w:bottom w:val="none" w:sz="0" w:space="0" w:color="auto"/>
        <w:right w:val="none" w:sz="0" w:space="0" w:color="auto"/>
      </w:divBdr>
    </w:div>
    <w:div w:id="822426184">
      <w:bodyDiv w:val="1"/>
      <w:marLeft w:val="0"/>
      <w:marRight w:val="0"/>
      <w:marTop w:val="0"/>
      <w:marBottom w:val="0"/>
      <w:divBdr>
        <w:top w:val="none" w:sz="0" w:space="0" w:color="auto"/>
        <w:left w:val="none" w:sz="0" w:space="0" w:color="auto"/>
        <w:bottom w:val="none" w:sz="0" w:space="0" w:color="auto"/>
        <w:right w:val="none" w:sz="0" w:space="0" w:color="auto"/>
      </w:divBdr>
    </w:div>
    <w:div w:id="822429611">
      <w:bodyDiv w:val="1"/>
      <w:marLeft w:val="0"/>
      <w:marRight w:val="0"/>
      <w:marTop w:val="0"/>
      <w:marBottom w:val="0"/>
      <w:divBdr>
        <w:top w:val="none" w:sz="0" w:space="0" w:color="auto"/>
        <w:left w:val="none" w:sz="0" w:space="0" w:color="auto"/>
        <w:bottom w:val="none" w:sz="0" w:space="0" w:color="auto"/>
        <w:right w:val="none" w:sz="0" w:space="0" w:color="auto"/>
      </w:divBdr>
    </w:div>
    <w:div w:id="822503916">
      <w:bodyDiv w:val="1"/>
      <w:marLeft w:val="0"/>
      <w:marRight w:val="0"/>
      <w:marTop w:val="0"/>
      <w:marBottom w:val="0"/>
      <w:divBdr>
        <w:top w:val="none" w:sz="0" w:space="0" w:color="auto"/>
        <w:left w:val="none" w:sz="0" w:space="0" w:color="auto"/>
        <w:bottom w:val="none" w:sz="0" w:space="0" w:color="auto"/>
        <w:right w:val="none" w:sz="0" w:space="0" w:color="auto"/>
      </w:divBdr>
    </w:div>
    <w:div w:id="822508929">
      <w:bodyDiv w:val="1"/>
      <w:marLeft w:val="0"/>
      <w:marRight w:val="0"/>
      <w:marTop w:val="0"/>
      <w:marBottom w:val="0"/>
      <w:divBdr>
        <w:top w:val="none" w:sz="0" w:space="0" w:color="auto"/>
        <w:left w:val="none" w:sz="0" w:space="0" w:color="auto"/>
        <w:bottom w:val="none" w:sz="0" w:space="0" w:color="auto"/>
        <w:right w:val="none" w:sz="0" w:space="0" w:color="auto"/>
      </w:divBdr>
    </w:div>
    <w:div w:id="822550021">
      <w:bodyDiv w:val="1"/>
      <w:marLeft w:val="0"/>
      <w:marRight w:val="0"/>
      <w:marTop w:val="0"/>
      <w:marBottom w:val="0"/>
      <w:divBdr>
        <w:top w:val="none" w:sz="0" w:space="0" w:color="auto"/>
        <w:left w:val="none" w:sz="0" w:space="0" w:color="auto"/>
        <w:bottom w:val="none" w:sz="0" w:space="0" w:color="auto"/>
        <w:right w:val="none" w:sz="0" w:space="0" w:color="auto"/>
      </w:divBdr>
    </w:div>
    <w:div w:id="822701261">
      <w:bodyDiv w:val="1"/>
      <w:marLeft w:val="0"/>
      <w:marRight w:val="0"/>
      <w:marTop w:val="0"/>
      <w:marBottom w:val="0"/>
      <w:divBdr>
        <w:top w:val="none" w:sz="0" w:space="0" w:color="auto"/>
        <w:left w:val="none" w:sz="0" w:space="0" w:color="auto"/>
        <w:bottom w:val="none" w:sz="0" w:space="0" w:color="auto"/>
        <w:right w:val="none" w:sz="0" w:space="0" w:color="auto"/>
      </w:divBdr>
    </w:div>
    <w:div w:id="822814806">
      <w:bodyDiv w:val="1"/>
      <w:marLeft w:val="0"/>
      <w:marRight w:val="0"/>
      <w:marTop w:val="0"/>
      <w:marBottom w:val="0"/>
      <w:divBdr>
        <w:top w:val="none" w:sz="0" w:space="0" w:color="auto"/>
        <w:left w:val="none" w:sz="0" w:space="0" w:color="auto"/>
        <w:bottom w:val="none" w:sz="0" w:space="0" w:color="auto"/>
        <w:right w:val="none" w:sz="0" w:space="0" w:color="auto"/>
      </w:divBdr>
    </w:div>
    <w:div w:id="822815214">
      <w:bodyDiv w:val="1"/>
      <w:marLeft w:val="0"/>
      <w:marRight w:val="0"/>
      <w:marTop w:val="0"/>
      <w:marBottom w:val="0"/>
      <w:divBdr>
        <w:top w:val="none" w:sz="0" w:space="0" w:color="auto"/>
        <w:left w:val="none" w:sz="0" w:space="0" w:color="auto"/>
        <w:bottom w:val="none" w:sz="0" w:space="0" w:color="auto"/>
        <w:right w:val="none" w:sz="0" w:space="0" w:color="auto"/>
      </w:divBdr>
    </w:div>
    <w:div w:id="822935889">
      <w:bodyDiv w:val="1"/>
      <w:marLeft w:val="0"/>
      <w:marRight w:val="0"/>
      <w:marTop w:val="0"/>
      <w:marBottom w:val="0"/>
      <w:divBdr>
        <w:top w:val="none" w:sz="0" w:space="0" w:color="auto"/>
        <w:left w:val="none" w:sz="0" w:space="0" w:color="auto"/>
        <w:bottom w:val="none" w:sz="0" w:space="0" w:color="auto"/>
        <w:right w:val="none" w:sz="0" w:space="0" w:color="auto"/>
      </w:divBdr>
    </w:div>
    <w:div w:id="822962759">
      <w:bodyDiv w:val="1"/>
      <w:marLeft w:val="0"/>
      <w:marRight w:val="0"/>
      <w:marTop w:val="0"/>
      <w:marBottom w:val="0"/>
      <w:divBdr>
        <w:top w:val="none" w:sz="0" w:space="0" w:color="auto"/>
        <w:left w:val="none" w:sz="0" w:space="0" w:color="auto"/>
        <w:bottom w:val="none" w:sz="0" w:space="0" w:color="auto"/>
        <w:right w:val="none" w:sz="0" w:space="0" w:color="auto"/>
      </w:divBdr>
    </w:div>
    <w:div w:id="822967424">
      <w:bodyDiv w:val="1"/>
      <w:marLeft w:val="0"/>
      <w:marRight w:val="0"/>
      <w:marTop w:val="0"/>
      <w:marBottom w:val="0"/>
      <w:divBdr>
        <w:top w:val="none" w:sz="0" w:space="0" w:color="auto"/>
        <w:left w:val="none" w:sz="0" w:space="0" w:color="auto"/>
        <w:bottom w:val="none" w:sz="0" w:space="0" w:color="auto"/>
        <w:right w:val="none" w:sz="0" w:space="0" w:color="auto"/>
      </w:divBdr>
    </w:div>
    <w:div w:id="823080932">
      <w:bodyDiv w:val="1"/>
      <w:marLeft w:val="0"/>
      <w:marRight w:val="0"/>
      <w:marTop w:val="0"/>
      <w:marBottom w:val="0"/>
      <w:divBdr>
        <w:top w:val="none" w:sz="0" w:space="0" w:color="auto"/>
        <w:left w:val="none" w:sz="0" w:space="0" w:color="auto"/>
        <w:bottom w:val="none" w:sz="0" w:space="0" w:color="auto"/>
        <w:right w:val="none" w:sz="0" w:space="0" w:color="auto"/>
      </w:divBdr>
    </w:div>
    <w:div w:id="823085002">
      <w:bodyDiv w:val="1"/>
      <w:marLeft w:val="0"/>
      <w:marRight w:val="0"/>
      <w:marTop w:val="0"/>
      <w:marBottom w:val="0"/>
      <w:divBdr>
        <w:top w:val="none" w:sz="0" w:space="0" w:color="auto"/>
        <w:left w:val="none" w:sz="0" w:space="0" w:color="auto"/>
        <w:bottom w:val="none" w:sz="0" w:space="0" w:color="auto"/>
        <w:right w:val="none" w:sz="0" w:space="0" w:color="auto"/>
      </w:divBdr>
    </w:div>
    <w:div w:id="823162613">
      <w:bodyDiv w:val="1"/>
      <w:marLeft w:val="0"/>
      <w:marRight w:val="0"/>
      <w:marTop w:val="0"/>
      <w:marBottom w:val="0"/>
      <w:divBdr>
        <w:top w:val="none" w:sz="0" w:space="0" w:color="auto"/>
        <w:left w:val="none" w:sz="0" w:space="0" w:color="auto"/>
        <w:bottom w:val="none" w:sz="0" w:space="0" w:color="auto"/>
        <w:right w:val="none" w:sz="0" w:space="0" w:color="auto"/>
      </w:divBdr>
    </w:div>
    <w:div w:id="823207122">
      <w:bodyDiv w:val="1"/>
      <w:marLeft w:val="0"/>
      <w:marRight w:val="0"/>
      <w:marTop w:val="0"/>
      <w:marBottom w:val="0"/>
      <w:divBdr>
        <w:top w:val="none" w:sz="0" w:space="0" w:color="auto"/>
        <w:left w:val="none" w:sz="0" w:space="0" w:color="auto"/>
        <w:bottom w:val="none" w:sz="0" w:space="0" w:color="auto"/>
        <w:right w:val="none" w:sz="0" w:space="0" w:color="auto"/>
      </w:divBdr>
    </w:div>
    <w:div w:id="823275671">
      <w:bodyDiv w:val="1"/>
      <w:marLeft w:val="0"/>
      <w:marRight w:val="0"/>
      <w:marTop w:val="0"/>
      <w:marBottom w:val="0"/>
      <w:divBdr>
        <w:top w:val="none" w:sz="0" w:space="0" w:color="auto"/>
        <w:left w:val="none" w:sz="0" w:space="0" w:color="auto"/>
        <w:bottom w:val="none" w:sz="0" w:space="0" w:color="auto"/>
        <w:right w:val="none" w:sz="0" w:space="0" w:color="auto"/>
      </w:divBdr>
    </w:div>
    <w:div w:id="823426959">
      <w:bodyDiv w:val="1"/>
      <w:marLeft w:val="0"/>
      <w:marRight w:val="0"/>
      <w:marTop w:val="0"/>
      <w:marBottom w:val="0"/>
      <w:divBdr>
        <w:top w:val="none" w:sz="0" w:space="0" w:color="auto"/>
        <w:left w:val="none" w:sz="0" w:space="0" w:color="auto"/>
        <w:bottom w:val="none" w:sz="0" w:space="0" w:color="auto"/>
        <w:right w:val="none" w:sz="0" w:space="0" w:color="auto"/>
      </w:divBdr>
    </w:div>
    <w:div w:id="823474988">
      <w:bodyDiv w:val="1"/>
      <w:marLeft w:val="0"/>
      <w:marRight w:val="0"/>
      <w:marTop w:val="0"/>
      <w:marBottom w:val="0"/>
      <w:divBdr>
        <w:top w:val="none" w:sz="0" w:space="0" w:color="auto"/>
        <w:left w:val="none" w:sz="0" w:space="0" w:color="auto"/>
        <w:bottom w:val="none" w:sz="0" w:space="0" w:color="auto"/>
        <w:right w:val="none" w:sz="0" w:space="0" w:color="auto"/>
      </w:divBdr>
    </w:div>
    <w:div w:id="823550468">
      <w:bodyDiv w:val="1"/>
      <w:marLeft w:val="0"/>
      <w:marRight w:val="0"/>
      <w:marTop w:val="0"/>
      <w:marBottom w:val="0"/>
      <w:divBdr>
        <w:top w:val="none" w:sz="0" w:space="0" w:color="auto"/>
        <w:left w:val="none" w:sz="0" w:space="0" w:color="auto"/>
        <w:bottom w:val="none" w:sz="0" w:space="0" w:color="auto"/>
        <w:right w:val="none" w:sz="0" w:space="0" w:color="auto"/>
      </w:divBdr>
    </w:div>
    <w:div w:id="823660865">
      <w:bodyDiv w:val="1"/>
      <w:marLeft w:val="0"/>
      <w:marRight w:val="0"/>
      <w:marTop w:val="0"/>
      <w:marBottom w:val="0"/>
      <w:divBdr>
        <w:top w:val="none" w:sz="0" w:space="0" w:color="auto"/>
        <w:left w:val="none" w:sz="0" w:space="0" w:color="auto"/>
        <w:bottom w:val="none" w:sz="0" w:space="0" w:color="auto"/>
        <w:right w:val="none" w:sz="0" w:space="0" w:color="auto"/>
      </w:divBdr>
    </w:div>
    <w:div w:id="823743463">
      <w:bodyDiv w:val="1"/>
      <w:marLeft w:val="0"/>
      <w:marRight w:val="0"/>
      <w:marTop w:val="0"/>
      <w:marBottom w:val="0"/>
      <w:divBdr>
        <w:top w:val="none" w:sz="0" w:space="0" w:color="auto"/>
        <w:left w:val="none" w:sz="0" w:space="0" w:color="auto"/>
        <w:bottom w:val="none" w:sz="0" w:space="0" w:color="auto"/>
        <w:right w:val="none" w:sz="0" w:space="0" w:color="auto"/>
      </w:divBdr>
    </w:div>
    <w:div w:id="823815660">
      <w:bodyDiv w:val="1"/>
      <w:marLeft w:val="0"/>
      <w:marRight w:val="0"/>
      <w:marTop w:val="0"/>
      <w:marBottom w:val="0"/>
      <w:divBdr>
        <w:top w:val="none" w:sz="0" w:space="0" w:color="auto"/>
        <w:left w:val="none" w:sz="0" w:space="0" w:color="auto"/>
        <w:bottom w:val="none" w:sz="0" w:space="0" w:color="auto"/>
        <w:right w:val="none" w:sz="0" w:space="0" w:color="auto"/>
      </w:divBdr>
    </w:div>
    <w:div w:id="823817841">
      <w:bodyDiv w:val="1"/>
      <w:marLeft w:val="0"/>
      <w:marRight w:val="0"/>
      <w:marTop w:val="0"/>
      <w:marBottom w:val="0"/>
      <w:divBdr>
        <w:top w:val="none" w:sz="0" w:space="0" w:color="auto"/>
        <w:left w:val="none" w:sz="0" w:space="0" w:color="auto"/>
        <w:bottom w:val="none" w:sz="0" w:space="0" w:color="auto"/>
        <w:right w:val="none" w:sz="0" w:space="0" w:color="auto"/>
      </w:divBdr>
    </w:div>
    <w:div w:id="823819675">
      <w:bodyDiv w:val="1"/>
      <w:marLeft w:val="0"/>
      <w:marRight w:val="0"/>
      <w:marTop w:val="0"/>
      <w:marBottom w:val="0"/>
      <w:divBdr>
        <w:top w:val="none" w:sz="0" w:space="0" w:color="auto"/>
        <w:left w:val="none" w:sz="0" w:space="0" w:color="auto"/>
        <w:bottom w:val="none" w:sz="0" w:space="0" w:color="auto"/>
        <w:right w:val="none" w:sz="0" w:space="0" w:color="auto"/>
      </w:divBdr>
    </w:div>
    <w:div w:id="823859338">
      <w:bodyDiv w:val="1"/>
      <w:marLeft w:val="0"/>
      <w:marRight w:val="0"/>
      <w:marTop w:val="0"/>
      <w:marBottom w:val="0"/>
      <w:divBdr>
        <w:top w:val="none" w:sz="0" w:space="0" w:color="auto"/>
        <w:left w:val="none" w:sz="0" w:space="0" w:color="auto"/>
        <w:bottom w:val="none" w:sz="0" w:space="0" w:color="auto"/>
        <w:right w:val="none" w:sz="0" w:space="0" w:color="auto"/>
      </w:divBdr>
    </w:div>
    <w:div w:id="823861235">
      <w:bodyDiv w:val="1"/>
      <w:marLeft w:val="0"/>
      <w:marRight w:val="0"/>
      <w:marTop w:val="0"/>
      <w:marBottom w:val="0"/>
      <w:divBdr>
        <w:top w:val="none" w:sz="0" w:space="0" w:color="auto"/>
        <w:left w:val="none" w:sz="0" w:space="0" w:color="auto"/>
        <w:bottom w:val="none" w:sz="0" w:space="0" w:color="auto"/>
        <w:right w:val="none" w:sz="0" w:space="0" w:color="auto"/>
      </w:divBdr>
    </w:div>
    <w:div w:id="823936350">
      <w:bodyDiv w:val="1"/>
      <w:marLeft w:val="0"/>
      <w:marRight w:val="0"/>
      <w:marTop w:val="0"/>
      <w:marBottom w:val="0"/>
      <w:divBdr>
        <w:top w:val="none" w:sz="0" w:space="0" w:color="auto"/>
        <w:left w:val="none" w:sz="0" w:space="0" w:color="auto"/>
        <w:bottom w:val="none" w:sz="0" w:space="0" w:color="auto"/>
        <w:right w:val="none" w:sz="0" w:space="0" w:color="auto"/>
      </w:divBdr>
    </w:div>
    <w:div w:id="823937093">
      <w:bodyDiv w:val="1"/>
      <w:marLeft w:val="0"/>
      <w:marRight w:val="0"/>
      <w:marTop w:val="0"/>
      <w:marBottom w:val="0"/>
      <w:divBdr>
        <w:top w:val="none" w:sz="0" w:space="0" w:color="auto"/>
        <w:left w:val="none" w:sz="0" w:space="0" w:color="auto"/>
        <w:bottom w:val="none" w:sz="0" w:space="0" w:color="auto"/>
        <w:right w:val="none" w:sz="0" w:space="0" w:color="auto"/>
      </w:divBdr>
    </w:div>
    <w:div w:id="824007993">
      <w:bodyDiv w:val="1"/>
      <w:marLeft w:val="0"/>
      <w:marRight w:val="0"/>
      <w:marTop w:val="0"/>
      <w:marBottom w:val="0"/>
      <w:divBdr>
        <w:top w:val="none" w:sz="0" w:space="0" w:color="auto"/>
        <w:left w:val="none" w:sz="0" w:space="0" w:color="auto"/>
        <w:bottom w:val="none" w:sz="0" w:space="0" w:color="auto"/>
        <w:right w:val="none" w:sz="0" w:space="0" w:color="auto"/>
      </w:divBdr>
    </w:div>
    <w:div w:id="824012959">
      <w:bodyDiv w:val="1"/>
      <w:marLeft w:val="0"/>
      <w:marRight w:val="0"/>
      <w:marTop w:val="0"/>
      <w:marBottom w:val="0"/>
      <w:divBdr>
        <w:top w:val="none" w:sz="0" w:space="0" w:color="auto"/>
        <w:left w:val="none" w:sz="0" w:space="0" w:color="auto"/>
        <w:bottom w:val="none" w:sz="0" w:space="0" w:color="auto"/>
        <w:right w:val="none" w:sz="0" w:space="0" w:color="auto"/>
      </w:divBdr>
    </w:div>
    <w:div w:id="824130331">
      <w:bodyDiv w:val="1"/>
      <w:marLeft w:val="0"/>
      <w:marRight w:val="0"/>
      <w:marTop w:val="0"/>
      <w:marBottom w:val="0"/>
      <w:divBdr>
        <w:top w:val="none" w:sz="0" w:space="0" w:color="auto"/>
        <w:left w:val="none" w:sz="0" w:space="0" w:color="auto"/>
        <w:bottom w:val="none" w:sz="0" w:space="0" w:color="auto"/>
        <w:right w:val="none" w:sz="0" w:space="0" w:color="auto"/>
      </w:divBdr>
    </w:div>
    <w:div w:id="824206703">
      <w:bodyDiv w:val="1"/>
      <w:marLeft w:val="0"/>
      <w:marRight w:val="0"/>
      <w:marTop w:val="0"/>
      <w:marBottom w:val="0"/>
      <w:divBdr>
        <w:top w:val="none" w:sz="0" w:space="0" w:color="auto"/>
        <w:left w:val="none" w:sz="0" w:space="0" w:color="auto"/>
        <w:bottom w:val="none" w:sz="0" w:space="0" w:color="auto"/>
        <w:right w:val="none" w:sz="0" w:space="0" w:color="auto"/>
      </w:divBdr>
    </w:div>
    <w:div w:id="824319856">
      <w:bodyDiv w:val="1"/>
      <w:marLeft w:val="0"/>
      <w:marRight w:val="0"/>
      <w:marTop w:val="0"/>
      <w:marBottom w:val="0"/>
      <w:divBdr>
        <w:top w:val="none" w:sz="0" w:space="0" w:color="auto"/>
        <w:left w:val="none" w:sz="0" w:space="0" w:color="auto"/>
        <w:bottom w:val="none" w:sz="0" w:space="0" w:color="auto"/>
        <w:right w:val="none" w:sz="0" w:space="0" w:color="auto"/>
      </w:divBdr>
    </w:div>
    <w:div w:id="824321960">
      <w:bodyDiv w:val="1"/>
      <w:marLeft w:val="0"/>
      <w:marRight w:val="0"/>
      <w:marTop w:val="0"/>
      <w:marBottom w:val="0"/>
      <w:divBdr>
        <w:top w:val="none" w:sz="0" w:space="0" w:color="auto"/>
        <w:left w:val="none" w:sz="0" w:space="0" w:color="auto"/>
        <w:bottom w:val="none" w:sz="0" w:space="0" w:color="auto"/>
        <w:right w:val="none" w:sz="0" w:space="0" w:color="auto"/>
      </w:divBdr>
    </w:div>
    <w:div w:id="824391874">
      <w:bodyDiv w:val="1"/>
      <w:marLeft w:val="0"/>
      <w:marRight w:val="0"/>
      <w:marTop w:val="0"/>
      <w:marBottom w:val="0"/>
      <w:divBdr>
        <w:top w:val="none" w:sz="0" w:space="0" w:color="auto"/>
        <w:left w:val="none" w:sz="0" w:space="0" w:color="auto"/>
        <w:bottom w:val="none" w:sz="0" w:space="0" w:color="auto"/>
        <w:right w:val="none" w:sz="0" w:space="0" w:color="auto"/>
      </w:divBdr>
    </w:div>
    <w:div w:id="824443054">
      <w:bodyDiv w:val="1"/>
      <w:marLeft w:val="0"/>
      <w:marRight w:val="0"/>
      <w:marTop w:val="0"/>
      <w:marBottom w:val="0"/>
      <w:divBdr>
        <w:top w:val="none" w:sz="0" w:space="0" w:color="auto"/>
        <w:left w:val="none" w:sz="0" w:space="0" w:color="auto"/>
        <w:bottom w:val="none" w:sz="0" w:space="0" w:color="auto"/>
        <w:right w:val="none" w:sz="0" w:space="0" w:color="auto"/>
      </w:divBdr>
    </w:div>
    <w:div w:id="824591499">
      <w:bodyDiv w:val="1"/>
      <w:marLeft w:val="0"/>
      <w:marRight w:val="0"/>
      <w:marTop w:val="0"/>
      <w:marBottom w:val="0"/>
      <w:divBdr>
        <w:top w:val="none" w:sz="0" w:space="0" w:color="auto"/>
        <w:left w:val="none" w:sz="0" w:space="0" w:color="auto"/>
        <w:bottom w:val="none" w:sz="0" w:space="0" w:color="auto"/>
        <w:right w:val="none" w:sz="0" w:space="0" w:color="auto"/>
      </w:divBdr>
    </w:div>
    <w:div w:id="824592790">
      <w:bodyDiv w:val="1"/>
      <w:marLeft w:val="0"/>
      <w:marRight w:val="0"/>
      <w:marTop w:val="0"/>
      <w:marBottom w:val="0"/>
      <w:divBdr>
        <w:top w:val="none" w:sz="0" w:space="0" w:color="auto"/>
        <w:left w:val="none" w:sz="0" w:space="0" w:color="auto"/>
        <w:bottom w:val="none" w:sz="0" w:space="0" w:color="auto"/>
        <w:right w:val="none" w:sz="0" w:space="0" w:color="auto"/>
      </w:divBdr>
    </w:div>
    <w:div w:id="824664639">
      <w:bodyDiv w:val="1"/>
      <w:marLeft w:val="0"/>
      <w:marRight w:val="0"/>
      <w:marTop w:val="0"/>
      <w:marBottom w:val="0"/>
      <w:divBdr>
        <w:top w:val="none" w:sz="0" w:space="0" w:color="auto"/>
        <w:left w:val="none" w:sz="0" w:space="0" w:color="auto"/>
        <w:bottom w:val="none" w:sz="0" w:space="0" w:color="auto"/>
        <w:right w:val="none" w:sz="0" w:space="0" w:color="auto"/>
      </w:divBdr>
    </w:div>
    <w:div w:id="824667106">
      <w:bodyDiv w:val="1"/>
      <w:marLeft w:val="0"/>
      <w:marRight w:val="0"/>
      <w:marTop w:val="0"/>
      <w:marBottom w:val="0"/>
      <w:divBdr>
        <w:top w:val="none" w:sz="0" w:space="0" w:color="auto"/>
        <w:left w:val="none" w:sz="0" w:space="0" w:color="auto"/>
        <w:bottom w:val="none" w:sz="0" w:space="0" w:color="auto"/>
        <w:right w:val="none" w:sz="0" w:space="0" w:color="auto"/>
      </w:divBdr>
    </w:div>
    <w:div w:id="824737303">
      <w:bodyDiv w:val="1"/>
      <w:marLeft w:val="0"/>
      <w:marRight w:val="0"/>
      <w:marTop w:val="0"/>
      <w:marBottom w:val="0"/>
      <w:divBdr>
        <w:top w:val="none" w:sz="0" w:space="0" w:color="auto"/>
        <w:left w:val="none" w:sz="0" w:space="0" w:color="auto"/>
        <w:bottom w:val="none" w:sz="0" w:space="0" w:color="auto"/>
        <w:right w:val="none" w:sz="0" w:space="0" w:color="auto"/>
      </w:divBdr>
    </w:div>
    <w:div w:id="824785339">
      <w:bodyDiv w:val="1"/>
      <w:marLeft w:val="0"/>
      <w:marRight w:val="0"/>
      <w:marTop w:val="0"/>
      <w:marBottom w:val="0"/>
      <w:divBdr>
        <w:top w:val="none" w:sz="0" w:space="0" w:color="auto"/>
        <w:left w:val="none" w:sz="0" w:space="0" w:color="auto"/>
        <w:bottom w:val="none" w:sz="0" w:space="0" w:color="auto"/>
        <w:right w:val="none" w:sz="0" w:space="0" w:color="auto"/>
      </w:divBdr>
    </w:div>
    <w:div w:id="824787288">
      <w:bodyDiv w:val="1"/>
      <w:marLeft w:val="0"/>
      <w:marRight w:val="0"/>
      <w:marTop w:val="0"/>
      <w:marBottom w:val="0"/>
      <w:divBdr>
        <w:top w:val="none" w:sz="0" w:space="0" w:color="auto"/>
        <w:left w:val="none" w:sz="0" w:space="0" w:color="auto"/>
        <w:bottom w:val="none" w:sz="0" w:space="0" w:color="auto"/>
        <w:right w:val="none" w:sz="0" w:space="0" w:color="auto"/>
      </w:divBdr>
    </w:div>
    <w:div w:id="824858385">
      <w:bodyDiv w:val="1"/>
      <w:marLeft w:val="0"/>
      <w:marRight w:val="0"/>
      <w:marTop w:val="0"/>
      <w:marBottom w:val="0"/>
      <w:divBdr>
        <w:top w:val="none" w:sz="0" w:space="0" w:color="auto"/>
        <w:left w:val="none" w:sz="0" w:space="0" w:color="auto"/>
        <w:bottom w:val="none" w:sz="0" w:space="0" w:color="auto"/>
        <w:right w:val="none" w:sz="0" w:space="0" w:color="auto"/>
      </w:divBdr>
    </w:div>
    <w:div w:id="824904016">
      <w:bodyDiv w:val="1"/>
      <w:marLeft w:val="0"/>
      <w:marRight w:val="0"/>
      <w:marTop w:val="0"/>
      <w:marBottom w:val="0"/>
      <w:divBdr>
        <w:top w:val="none" w:sz="0" w:space="0" w:color="auto"/>
        <w:left w:val="none" w:sz="0" w:space="0" w:color="auto"/>
        <w:bottom w:val="none" w:sz="0" w:space="0" w:color="auto"/>
        <w:right w:val="none" w:sz="0" w:space="0" w:color="auto"/>
      </w:divBdr>
    </w:div>
    <w:div w:id="824971352">
      <w:bodyDiv w:val="1"/>
      <w:marLeft w:val="0"/>
      <w:marRight w:val="0"/>
      <w:marTop w:val="0"/>
      <w:marBottom w:val="0"/>
      <w:divBdr>
        <w:top w:val="none" w:sz="0" w:space="0" w:color="auto"/>
        <w:left w:val="none" w:sz="0" w:space="0" w:color="auto"/>
        <w:bottom w:val="none" w:sz="0" w:space="0" w:color="auto"/>
        <w:right w:val="none" w:sz="0" w:space="0" w:color="auto"/>
      </w:divBdr>
    </w:div>
    <w:div w:id="824973886">
      <w:bodyDiv w:val="1"/>
      <w:marLeft w:val="0"/>
      <w:marRight w:val="0"/>
      <w:marTop w:val="0"/>
      <w:marBottom w:val="0"/>
      <w:divBdr>
        <w:top w:val="none" w:sz="0" w:space="0" w:color="auto"/>
        <w:left w:val="none" w:sz="0" w:space="0" w:color="auto"/>
        <w:bottom w:val="none" w:sz="0" w:space="0" w:color="auto"/>
        <w:right w:val="none" w:sz="0" w:space="0" w:color="auto"/>
      </w:divBdr>
    </w:div>
    <w:div w:id="824975188">
      <w:bodyDiv w:val="1"/>
      <w:marLeft w:val="0"/>
      <w:marRight w:val="0"/>
      <w:marTop w:val="0"/>
      <w:marBottom w:val="0"/>
      <w:divBdr>
        <w:top w:val="none" w:sz="0" w:space="0" w:color="auto"/>
        <w:left w:val="none" w:sz="0" w:space="0" w:color="auto"/>
        <w:bottom w:val="none" w:sz="0" w:space="0" w:color="auto"/>
        <w:right w:val="none" w:sz="0" w:space="0" w:color="auto"/>
      </w:divBdr>
    </w:div>
    <w:div w:id="825053844">
      <w:bodyDiv w:val="1"/>
      <w:marLeft w:val="0"/>
      <w:marRight w:val="0"/>
      <w:marTop w:val="0"/>
      <w:marBottom w:val="0"/>
      <w:divBdr>
        <w:top w:val="none" w:sz="0" w:space="0" w:color="auto"/>
        <w:left w:val="none" w:sz="0" w:space="0" w:color="auto"/>
        <w:bottom w:val="none" w:sz="0" w:space="0" w:color="auto"/>
        <w:right w:val="none" w:sz="0" w:space="0" w:color="auto"/>
      </w:divBdr>
    </w:div>
    <w:div w:id="825055926">
      <w:bodyDiv w:val="1"/>
      <w:marLeft w:val="0"/>
      <w:marRight w:val="0"/>
      <w:marTop w:val="0"/>
      <w:marBottom w:val="0"/>
      <w:divBdr>
        <w:top w:val="none" w:sz="0" w:space="0" w:color="auto"/>
        <w:left w:val="none" w:sz="0" w:space="0" w:color="auto"/>
        <w:bottom w:val="none" w:sz="0" w:space="0" w:color="auto"/>
        <w:right w:val="none" w:sz="0" w:space="0" w:color="auto"/>
      </w:divBdr>
    </w:div>
    <w:div w:id="825247067">
      <w:bodyDiv w:val="1"/>
      <w:marLeft w:val="0"/>
      <w:marRight w:val="0"/>
      <w:marTop w:val="0"/>
      <w:marBottom w:val="0"/>
      <w:divBdr>
        <w:top w:val="none" w:sz="0" w:space="0" w:color="auto"/>
        <w:left w:val="none" w:sz="0" w:space="0" w:color="auto"/>
        <w:bottom w:val="none" w:sz="0" w:space="0" w:color="auto"/>
        <w:right w:val="none" w:sz="0" w:space="0" w:color="auto"/>
      </w:divBdr>
    </w:div>
    <w:div w:id="825360484">
      <w:bodyDiv w:val="1"/>
      <w:marLeft w:val="0"/>
      <w:marRight w:val="0"/>
      <w:marTop w:val="0"/>
      <w:marBottom w:val="0"/>
      <w:divBdr>
        <w:top w:val="none" w:sz="0" w:space="0" w:color="auto"/>
        <w:left w:val="none" w:sz="0" w:space="0" w:color="auto"/>
        <w:bottom w:val="none" w:sz="0" w:space="0" w:color="auto"/>
        <w:right w:val="none" w:sz="0" w:space="0" w:color="auto"/>
      </w:divBdr>
    </w:div>
    <w:div w:id="825361421">
      <w:bodyDiv w:val="1"/>
      <w:marLeft w:val="0"/>
      <w:marRight w:val="0"/>
      <w:marTop w:val="0"/>
      <w:marBottom w:val="0"/>
      <w:divBdr>
        <w:top w:val="none" w:sz="0" w:space="0" w:color="auto"/>
        <w:left w:val="none" w:sz="0" w:space="0" w:color="auto"/>
        <w:bottom w:val="none" w:sz="0" w:space="0" w:color="auto"/>
        <w:right w:val="none" w:sz="0" w:space="0" w:color="auto"/>
      </w:divBdr>
    </w:div>
    <w:div w:id="825432946">
      <w:bodyDiv w:val="1"/>
      <w:marLeft w:val="0"/>
      <w:marRight w:val="0"/>
      <w:marTop w:val="0"/>
      <w:marBottom w:val="0"/>
      <w:divBdr>
        <w:top w:val="none" w:sz="0" w:space="0" w:color="auto"/>
        <w:left w:val="none" w:sz="0" w:space="0" w:color="auto"/>
        <w:bottom w:val="none" w:sz="0" w:space="0" w:color="auto"/>
        <w:right w:val="none" w:sz="0" w:space="0" w:color="auto"/>
      </w:divBdr>
    </w:div>
    <w:div w:id="825510021">
      <w:bodyDiv w:val="1"/>
      <w:marLeft w:val="0"/>
      <w:marRight w:val="0"/>
      <w:marTop w:val="0"/>
      <w:marBottom w:val="0"/>
      <w:divBdr>
        <w:top w:val="none" w:sz="0" w:space="0" w:color="auto"/>
        <w:left w:val="none" w:sz="0" w:space="0" w:color="auto"/>
        <w:bottom w:val="none" w:sz="0" w:space="0" w:color="auto"/>
        <w:right w:val="none" w:sz="0" w:space="0" w:color="auto"/>
      </w:divBdr>
    </w:div>
    <w:div w:id="825557663">
      <w:bodyDiv w:val="1"/>
      <w:marLeft w:val="0"/>
      <w:marRight w:val="0"/>
      <w:marTop w:val="0"/>
      <w:marBottom w:val="0"/>
      <w:divBdr>
        <w:top w:val="none" w:sz="0" w:space="0" w:color="auto"/>
        <w:left w:val="none" w:sz="0" w:space="0" w:color="auto"/>
        <w:bottom w:val="none" w:sz="0" w:space="0" w:color="auto"/>
        <w:right w:val="none" w:sz="0" w:space="0" w:color="auto"/>
      </w:divBdr>
    </w:div>
    <w:div w:id="825902016">
      <w:bodyDiv w:val="1"/>
      <w:marLeft w:val="0"/>
      <w:marRight w:val="0"/>
      <w:marTop w:val="0"/>
      <w:marBottom w:val="0"/>
      <w:divBdr>
        <w:top w:val="none" w:sz="0" w:space="0" w:color="auto"/>
        <w:left w:val="none" w:sz="0" w:space="0" w:color="auto"/>
        <w:bottom w:val="none" w:sz="0" w:space="0" w:color="auto"/>
        <w:right w:val="none" w:sz="0" w:space="0" w:color="auto"/>
      </w:divBdr>
    </w:div>
    <w:div w:id="825976259">
      <w:bodyDiv w:val="1"/>
      <w:marLeft w:val="0"/>
      <w:marRight w:val="0"/>
      <w:marTop w:val="0"/>
      <w:marBottom w:val="0"/>
      <w:divBdr>
        <w:top w:val="none" w:sz="0" w:space="0" w:color="auto"/>
        <w:left w:val="none" w:sz="0" w:space="0" w:color="auto"/>
        <w:bottom w:val="none" w:sz="0" w:space="0" w:color="auto"/>
        <w:right w:val="none" w:sz="0" w:space="0" w:color="auto"/>
      </w:divBdr>
    </w:div>
    <w:div w:id="826018064">
      <w:bodyDiv w:val="1"/>
      <w:marLeft w:val="0"/>
      <w:marRight w:val="0"/>
      <w:marTop w:val="0"/>
      <w:marBottom w:val="0"/>
      <w:divBdr>
        <w:top w:val="none" w:sz="0" w:space="0" w:color="auto"/>
        <w:left w:val="none" w:sz="0" w:space="0" w:color="auto"/>
        <w:bottom w:val="none" w:sz="0" w:space="0" w:color="auto"/>
        <w:right w:val="none" w:sz="0" w:space="0" w:color="auto"/>
      </w:divBdr>
    </w:div>
    <w:div w:id="826095717">
      <w:bodyDiv w:val="1"/>
      <w:marLeft w:val="0"/>
      <w:marRight w:val="0"/>
      <w:marTop w:val="0"/>
      <w:marBottom w:val="0"/>
      <w:divBdr>
        <w:top w:val="none" w:sz="0" w:space="0" w:color="auto"/>
        <w:left w:val="none" w:sz="0" w:space="0" w:color="auto"/>
        <w:bottom w:val="none" w:sz="0" w:space="0" w:color="auto"/>
        <w:right w:val="none" w:sz="0" w:space="0" w:color="auto"/>
      </w:divBdr>
    </w:div>
    <w:div w:id="826239201">
      <w:bodyDiv w:val="1"/>
      <w:marLeft w:val="0"/>
      <w:marRight w:val="0"/>
      <w:marTop w:val="0"/>
      <w:marBottom w:val="0"/>
      <w:divBdr>
        <w:top w:val="none" w:sz="0" w:space="0" w:color="auto"/>
        <w:left w:val="none" w:sz="0" w:space="0" w:color="auto"/>
        <w:bottom w:val="none" w:sz="0" w:space="0" w:color="auto"/>
        <w:right w:val="none" w:sz="0" w:space="0" w:color="auto"/>
      </w:divBdr>
    </w:div>
    <w:div w:id="826240916">
      <w:bodyDiv w:val="1"/>
      <w:marLeft w:val="0"/>
      <w:marRight w:val="0"/>
      <w:marTop w:val="0"/>
      <w:marBottom w:val="0"/>
      <w:divBdr>
        <w:top w:val="none" w:sz="0" w:space="0" w:color="auto"/>
        <w:left w:val="none" w:sz="0" w:space="0" w:color="auto"/>
        <w:bottom w:val="none" w:sz="0" w:space="0" w:color="auto"/>
        <w:right w:val="none" w:sz="0" w:space="0" w:color="auto"/>
      </w:divBdr>
    </w:div>
    <w:div w:id="826244927">
      <w:bodyDiv w:val="1"/>
      <w:marLeft w:val="0"/>
      <w:marRight w:val="0"/>
      <w:marTop w:val="0"/>
      <w:marBottom w:val="0"/>
      <w:divBdr>
        <w:top w:val="none" w:sz="0" w:space="0" w:color="auto"/>
        <w:left w:val="none" w:sz="0" w:space="0" w:color="auto"/>
        <w:bottom w:val="none" w:sz="0" w:space="0" w:color="auto"/>
        <w:right w:val="none" w:sz="0" w:space="0" w:color="auto"/>
      </w:divBdr>
    </w:div>
    <w:div w:id="826283939">
      <w:bodyDiv w:val="1"/>
      <w:marLeft w:val="0"/>
      <w:marRight w:val="0"/>
      <w:marTop w:val="0"/>
      <w:marBottom w:val="0"/>
      <w:divBdr>
        <w:top w:val="none" w:sz="0" w:space="0" w:color="auto"/>
        <w:left w:val="none" w:sz="0" w:space="0" w:color="auto"/>
        <w:bottom w:val="none" w:sz="0" w:space="0" w:color="auto"/>
        <w:right w:val="none" w:sz="0" w:space="0" w:color="auto"/>
      </w:divBdr>
    </w:div>
    <w:div w:id="826288306">
      <w:bodyDiv w:val="1"/>
      <w:marLeft w:val="0"/>
      <w:marRight w:val="0"/>
      <w:marTop w:val="0"/>
      <w:marBottom w:val="0"/>
      <w:divBdr>
        <w:top w:val="none" w:sz="0" w:space="0" w:color="auto"/>
        <w:left w:val="none" w:sz="0" w:space="0" w:color="auto"/>
        <w:bottom w:val="none" w:sz="0" w:space="0" w:color="auto"/>
        <w:right w:val="none" w:sz="0" w:space="0" w:color="auto"/>
      </w:divBdr>
    </w:div>
    <w:div w:id="826364134">
      <w:bodyDiv w:val="1"/>
      <w:marLeft w:val="0"/>
      <w:marRight w:val="0"/>
      <w:marTop w:val="0"/>
      <w:marBottom w:val="0"/>
      <w:divBdr>
        <w:top w:val="none" w:sz="0" w:space="0" w:color="auto"/>
        <w:left w:val="none" w:sz="0" w:space="0" w:color="auto"/>
        <w:bottom w:val="none" w:sz="0" w:space="0" w:color="auto"/>
        <w:right w:val="none" w:sz="0" w:space="0" w:color="auto"/>
      </w:divBdr>
    </w:div>
    <w:div w:id="826434121">
      <w:bodyDiv w:val="1"/>
      <w:marLeft w:val="0"/>
      <w:marRight w:val="0"/>
      <w:marTop w:val="0"/>
      <w:marBottom w:val="0"/>
      <w:divBdr>
        <w:top w:val="none" w:sz="0" w:space="0" w:color="auto"/>
        <w:left w:val="none" w:sz="0" w:space="0" w:color="auto"/>
        <w:bottom w:val="none" w:sz="0" w:space="0" w:color="auto"/>
        <w:right w:val="none" w:sz="0" w:space="0" w:color="auto"/>
      </w:divBdr>
    </w:div>
    <w:div w:id="826479555">
      <w:bodyDiv w:val="1"/>
      <w:marLeft w:val="0"/>
      <w:marRight w:val="0"/>
      <w:marTop w:val="0"/>
      <w:marBottom w:val="0"/>
      <w:divBdr>
        <w:top w:val="none" w:sz="0" w:space="0" w:color="auto"/>
        <w:left w:val="none" w:sz="0" w:space="0" w:color="auto"/>
        <w:bottom w:val="none" w:sz="0" w:space="0" w:color="auto"/>
        <w:right w:val="none" w:sz="0" w:space="0" w:color="auto"/>
      </w:divBdr>
    </w:div>
    <w:div w:id="826479894">
      <w:bodyDiv w:val="1"/>
      <w:marLeft w:val="0"/>
      <w:marRight w:val="0"/>
      <w:marTop w:val="0"/>
      <w:marBottom w:val="0"/>
      <w:divBdr>
        <w:top w:val="none" w:sz="0" w:space="0" w:color="auto"/>
        <w:left w:val="none" w:sz="0" w:space="0" w:color="auto"/>
        <w:bottom w:val="none" w:sz="0" w:space="0" w:color="auto"/>
        <w:right w:val="none" w:sz="0" w:space="0" w:color="auto"/>
      </w:divBdr>
    </w:div>
    <w:div w:id="826675693">
      <w:bodyDiv w:val="1"/>
      <w:marLeft w:val="0"/>
      <w:marRight w:val="0"/>
      <w:marTop w:val="0"/>
      <w:marBottom w:val="0"/>
      <w:divBdr>
        <w:top w:val="none" w:sz="0" w:space="0" w:color="auto"/>
        <w:left w:val="none" w:sz="0" w:space="0" w:color="auto"/>
        <w:bottom w:val="none" w:sz="0" w:space="0" w:color="auto"/>
        <w:right w:val="none" w:sz="0" w:space="0" w:color="auto"/>
      </w:divBdr>
    </w:div>
    <w:div w:id="826822990">
      <w:bodyDiv w:val="1"/>
      <w:marLeft w:val="0"/>
      <w:marRight w:val="0"/>
      <w:marTop w:val="0"/>
      <w:marBottom w:val="0"/>
      <w:divBdr>
        <w:top w:val="none" w:sz="0" w:space="0" w:color="auto"/>
        <w:left w:val="none" w:sz="0" w:space="0" w:color="auto"/>
        <w:bottom w:val="none" w:sz="0" w:space="0" w:color="auto"/>
        <w:right w:val="none" w:sz="0" w:space="0" w:color="auto"/>
      </w:divBdr>
    </w:div>
    <w:div w:id="826898987">
      <w:bodyDiv w:val="1"/>
      <w:marLeft w:val="0"/>
      <w:marRight w:val="0"/>
      <w:marTop w:val="0"/>
      <w:marBottom w:val="0"/>
      <w:divBdr>
        <w:top w:val="none" w:sz="0" w:space="0" w:color="auto"/>
        <w:left w:val="none" w:sz="0" w:space="0" w:color="auto"/>
        <w:bottom w:val="none" w:sz="0" w:space="0" w:color="auto"/>
        <w:right w:val="none" w:sz="0" w:space="0" w:color="auto"/>
      </w:divBdr>
    </w:div>
    <w:div w:id="826945440">
      <w:bodyDiv w:val="1"/>
      <w:marLeft w:val="0"/>
      <w:marRight w:val="0"/>
      <w:marTop w:val="0"/>
      <w:marBottom w:val="0"/>
      <w:divBdr>
        <w:top w:val="none" w:sz="0" w:space="0" w:color="auto"/>
        <w:left w:val="none" w:sz="0" w:space="0" w:color="auto"/>
        <w:bottom w:val="none" w:sz="0" w:space="0" w:color="auto"/>
        <w:right w:val="none" w:sz="0" w:space="0" w:color="auto"/>
      </w:divBdr>
    </w:div>
    <w:div w:id="827019301">
      <w:bodyDiv w:val="1"/>
      <w:marLeft w:val="0"/>
      <w:marRight w:val="0"/>
      <w:marTop w:val="0"/>
      <w:marBottom w:val="0"/>
      <w:divBdr>
        <w:top w:val="none" w:sz="0" w:space="0" w:color="auto"/>
        <w:left w:val="none" w:sz="0" w:space="0" w:color="auto"/>
        <w:bottom w:val="none" w:sz="0" w:space="0" w:color="auto"/>
        <w:right w:val="none" w:sz="0" w:space="0" w:color="auto"/>
      </w:divBdr>
    </w:div>
    <w:div w:id="827138484">
      <w:bodyDiv w:val="1"/>
      <w:marLeft w:val="0"/>
      <w:marRight w:val="0"/>
      <w:marTop w:val="0"/>
      <w:marBottom w:val="0"/>
      <w:divBdr>
        <w:top w:val="none" w:sz="0" w:space="0" w:color="auto"/>
        <w:left w:val="none" w:sz="0" w:space="0" w:color="auto"/>
        <w:bottom w:val="none" w:sz="0" w:space="0" w:color="auto"/>
        <w:right w:val="none" w:sz="0" w:space="0" w:color="auto"/>
      </w:divBdr>
    </w:div>
    <w:div w:id="827213514">
      <w:bodyDiv w:val="1"/>
      <w:marLeft w:val="0"/>
      <w:marRight w:val="0"/>
      <w:marTop w:val="0"/>
      <w:marBottom w:val="0"/>
      <w:divBdr>
        <w:top w:val="none" w:sz="0" w:space="0" w:color="auto"/>
        <w:left w:val="none" w:sz="0" w:space="0" w:color="auto"/>
        <w:bottom w:val="none" w:sz="0" w:space="0" w:color="auto"/>
        <w:right w:val="none" w:sz="0" w:space="0" w:color="auto"/>
      </w:divBdr>
    </w:div>
    <w:div w:id="827287650">
      <w:bodyDiv w:val="1"/>
      <w:marLeft w:val="0"/>
      <w:marRight w:val="0"/>
      <w:marTop w:val="0"/>
      <w:marBottom w:val="0"/>
      <w:divBdr>
        <w:top w:val="none" w:sz="0" w:space="0" w:color="auto"/>
        <w:left w:val="none" w:sz="0" w:space="0" w:color="auto"/>
        <w:bottom w:val="none" w:sz="0" w:space="0" w:color="auto"/>
        <w:right w:val="none" w:sz="0" w:space="0" w:color="auto"/>
      </w:divBdr>
    </w:div>
    <w:div w:id="827331831">
      <w:bodyDiv w:val="1"/>
      <w:marLeft w:val="0"/>
      <w:marRight w:val="0"/>
      <w:marTop w:val="0"/>
      <w:marBottom w:val="0"/>
      <w:divBdr>
        <w:top w:val="none" w:sz="0" w:space="0" w:color="auto"/>
        <w:left w:val="none" w:sz="0" w:space="0" w:color="auto"/>
        <w:bottom w:val="none" w:sz="0" w:space="0" w:color="auto"/>
        <w:right w:val="none" w:sz="0" w:space="0" w:color="auto"/>
      </w:divBdr>
    </w:div>
    <w:div w:id="827356770">
      <w:bodyDiv w:val="1"/>
      <w:marLeft w:val="0"/>
      <w:marRight w:val="0"/>
      <w:marTop w:val="0"/>
      <w:marBottom w:val="0"/>
      <w:divBdr>
        <w:top w:val="none" w:sz="0" w:space="0" w:color="auto"/>
        <w:left w:val="none" w:sz="0" w:space="0" w:color="auto"/>
        <w:bottom w:val="none" w:sz="0" w:space="0" w:color="auto"/>
        <w:right w:val="none" w:sz="0" w:space="0" w:color="auto"/>
      </w:divBdr>
    </w:div>
    <w:div w:id="827406102">
      <w:bodyDiv w:val="1"/>
      <w:marLeft w:val="0"/>
      <w:marRight w:val="0"/>
      <w:marTop w:val="0"/>
      <w:marBottom w:val="0"/>
      <w:divBdr>
        <w:top w:val="none" w:sz="0" w:space="0" w:color="auto"/>
        <w:left w:val="none" w:sz="0" w:space="0" w:color="auto"/>
        <w:bottom w:val="none" w:sz="0" w:space="0" w:color="auto"/>
        <w:right w:val="none" w:sz="0" w:space="0" w:color="auto"/>
      </w:divBdr>
    </w:div>
    <w:div w:id="827479630">
      <w:bodyDiv w:val="1"/>
      <w:marLeft w:val="0"/>
      <w:marRight w:val="0"/>
      <w:marTop w:val="0"/>
      <w:marBottom w:val="0"/>
      <w:divBdr>
        <w:top w:val="none" w:sz="0" w:space="0" w:color="auto"/>
        <w:left w:val="none" w:sz="0" w:space="0" w:color="auto"/>
        <w:bottom w:val="none" w:sz="0" w:space="0" w:color="auto"/>
        <w:right w:val="none" w:sz="0" w:space="0" w:color="auto"/>
      </w:divBdr>
    </w:div>
    <w:div w:id="827480972">
      <w:bodyDiv w:val="1"/>
      <w:marLeft w:val="0"/>
      <w:marRight w:val="0"/>
      <w:marTop w:val="0"/>
      <w:marBottom w:val="0"/>
      <w:divBdr>
        <w:top w:val="none" w:sz="0" w:space="0" w:color="auto"/>
        <w:left w:val="none" w:sz="0" w:space="0" w:color="auto"/>
        <w:bottom w:val="none" w:sz="0" w:space="0" w:color="auto"/>
        <w:right w:val="none" w:sz="0" w:space="0" w:color="auto"/>
      </w:divBdr>
    </w:div>
    <w:div w:id="827483288">
      <w:bodyDiv w:val="1"/>
      <w:marLeft w:val="0"/>
      <w:marRight w:val="0"/>
      <w:marTop w:val="0"/>
      <w:marBottom w:val="0"/>
      <w:divBdr>
        <w:top w:val="none" w:sz="0" w:space="0" w:color="auto"/>
        <w:left w:val="none" w:sz="0" w:space="0" w:color="auto"/>
        <w:bottom w:val="none" w:sz="0" w:space="0" w:color="auto"/>
        <w:right w:val="none" w:sz="0" w:space="0" w:color="auto"/>
      </w:divBdr>
    </w:div>
    <w:div w:id="827525796">
      <w:bodyDiv w:val="1"/>
      <w:marLeft w:val="0"/>
      <w:marRight w:val="0"/>
      <w:marTop w:val="0"/>
      <w:marBottom w:val="0"/>
      <w:divBdr>
        <w:top w:val="none" w:sz="0" w:space="0" w:color="auto"/>
        <w:left w:val="none" w:sz="0" w:space="0" w:color="auto"/>
        <w:bottom w:val="none" w:sz="0" w:space="0" w:color="auto"/>
        <w:right w:val="none" w:sz="0" w:space="0" w:color="auto"/>
      </w:divBdr>
    </w:div>
    <w:div w:id="827550223">
      <w:bodyDiv w:val="1"/>
      <w:marLeft w:val="0"/>
      <w:marRight w:val="0"/>
      <w:marTop w:val="0"/>
      <w:marBottom w:val="0"/>
      <w:divBdr>
        <w:top w:val="none" w:sz="0" w:space="0" w:color="auto"/>
        <w:left w:val="none" w:sz="0" w:space="0" w:color="auto"/>
        <w:bottom w:val="none" w:sz="0" w:space="0" w:color="auto"/>
        <w:right w:val="none" w:sz="0" w:space="0" w:color="auto"/>
      </w:divBdr>
    </w:div>
    <w:div w:id="827550702">
      <w:bodyDiv w:val="1"/>
      <w:marLeft w:val="0"/>
      <w:marRight w:val="0"/>
      <w:marTop w:val="0"/>
      <w:marBottom w:val="0"/>
      <w:divBdr>
        <w:top w:val="none" w:sz="0" w:space="0" w:color="auto"/>
        <w:left w:val="none" w:sz="0" w:space="0" w:color="auto"/>
        <w:bottom w:val="none" w:sz="0" w:space="0" w:color="auto"/>
        <w:right w:val="none" w:sz="0" w:space="0" w:color="auto"/>
      </w:divBdr>
    </w:div>
    <w:div w:id="827669994">
      <w:bodyDiv w:val="1"/>
      <w:marLeft w:val="0"/>
      <w:marRight w:val="0"/>
      <w:marTop w:val="0"/>
      <w:marBottom w:val="0"/>
      <w:divBdr>
        <w:top w:val="none" w:sz="0" w:space="0" w:color="auto"/>
        <w:left w:val="none" w:sz="0" w:space="0" w:color="auto"/>
        <w:bottom w:val="none" w:sz="0" w:space="0" w:color="auto"/>
        <w:right w:val="none" w:sz="0" w:space="0" w:color="auto"/>
      </w:divBdr>
    </w:div>
    <w:div w:id="827672689">
      <w:bodyDiv w:val="1"/>
      <w:marLeft w:val="0"/>
      <w:marRight w:val="0"/>
      <w:marTop w:val="0"/>
      <w:marBottom w:val="0"/>
      <w:divBdr>
        <w:top w:val="none" w:sz="0" w:space="0" w:color="auto"/>
        <w:left w:val="none" w:sz="0" w:space="0" w:color="auto"/>
        <w:bottom w:val="none" w:sz="0" w:space="0" w:color="auto"/>
        <w:right w:val="none" w:sz="0" w:space="0" w:color="auto"/>
      </w:divBdr>
    </w:div>
    <w:div w:id="827748414">
      <w:bodyDiv w:val="1"/>
      <w:marLeft w:val="0"/>
      <w:marRight w:val="0"/>
      <w:marTop w:val="0"/>
      <w:marBottom w:val="0"/>
      <w:divBdr>
        <w:top w:val="none" w:sz="0" w:space="0" w:color="auto"/>
        <w:left w:val="none" w:sz="0" w:space="0" w:color="auto"/>
        <w:bottom w:val="none" w:sz="0" w:space="0" w:color="auto"/>
        <w:right w:val="none" w:sz="0" w:space="0" w:color="auto"/>
      </w:divBdr>
    </w:div>
    <w:div w:id="827752417">
      <w:bodyDiv w:val="1"/>
      <w:marLeft w:val="0"/>
      <w:marRight w:val="0"/>
      <w:marTop w:val="0"/>
      <w:marBottom w:val="0"/>
      <w:divBdr>
        <w:top w:val="none" w:sz="0" w:space="0" w:color="auto"/>
        <w:left w:val="none" w:sz="0" w:space="0" w:color="auto"/>
        <w:bottom w:val="none" w:sz="0" w:space="0" w:color="auto"/>
        <w:right w:val="none" w:sz="0" w:space="0" w:color="auto"/>
      </w:divBdr>
    </w:div>
    <w:div w:id="827786077">
      <w:bodyDiv w:val="1"/>
      <w:marLeft w:val="0"/>
      <w:marRight w:val="0"/>
      <w:marTop w:val="0"/>
      <w:marBottom w:val="0"/>
      <w:divBdr>
        <w:top w:val="none" w:sz="0" w:space="0" w:color="auto"/>
        <w:left w:val="none" w:sz="0" w:space="0" w:color="auto"/>
        <w:bottom w:val="none" w:sz="0" w:space="0" w:color="auto"/>
        <w:right w:val="none" w:sz="0" w:space="0" w:color="auto"/>
      </w:divBdr>
    </w:div>
    <w:div w:id="827790661">
      <w:bodyDiv w:val="1"/>
      <w:marLeft w:val="0"/>
      <w:marRight w:val="0"/>
      <w:marTop w:val="0"/>
      <w:marBottom w:val="0"/>
      <w:divBdr>
        <w:top w:val="none" w:sz="0" w:space="0" w:color="auto"/>
        <w:left w:val="none" w:sz="0" w:space="0" w:color="auto"/>
        <w:bottom w:val="none" w:sz="0" w:space="0" w:color="auto"/>
        <w:right w:val="none" w:sz="0" w:space="0" w:color="auto"/>
      </w:divBdr>
    </w:div>
    <w:div w:id="827943821">
      <w:bodyDiv w:val="1"/>
      <w:marLeft w:val="0"/>
      <w:marRight w:val="0"/>
      <w:marTop w:val="0"/>
      <w:marBottom w:val="0"/>
      <w:divBdr>
        <w:top w:val="none" w:sz="0" w:space="0" w:color="auto"/>
        <w:left w:val="none" w:sz="0" w:space="0" w:color="auto"/>
        <w:bottom w:val="none" w:sz="0" w:space="0" w:color="auto"/>
        <w:right w:val="none" w:sz="0" w:space="0" w:color="auto"/>
      </w:divBdr>
    </w:div>
    <w:div w:id="827982658">
      <w:bodyDiv w:val="1"/>
      <w:marLeft w:val="0"/>
      <w:marRight w:val="0"/>
      <w:marTop w:val="0"/>
      <w:marBottom w:val="0"/>
      <w:divBdr>
        <w:top w:val="none" w:sz="0" w:space="0" w:color="auto"/>
        <w:left w:val="none" w:sz="0" w:space="0" w:color="auto"/>
        <w:bottom w:val="none" w:sz="0" w:space="0" w:color="auto"/>
        <w:right w:val="none" w:sz="0" w:space="0" w:color="auto"/>
      </w:divBdr>
    </w:div>
    <w:div w:id="827983701">
      <w:bodyDiv w:val="1"/>
      <w:marLeft w:val="0"/>
      <w:marRight w:val="0"/>
      <w:marTop w:val="0"/>
      <w:marBottom w:val="0"/>
      <w:divBdr>
        <w:top w:val="none" w:sz="0" w:space="0" w:color="auto"/>
        <w:left w:val="none" w:sz="0" w:space="0" w:color="auto"/>
        <w:bottom w:val="none" w:sz="0" w:space="0" w:color="auto"/>
        <w:right w:val="none" w:sz="0" w:space="0" w:color="auto"/>
      </w:divBdr>
    </w:div>
    <w:div w:id="827984525">
      <w:bodyDiv w:val="1"/>
      <w:marLeft w:val="0"/>
      <w:marRight w:val="0"/>
      <w:marTop w:val="0"/>
      <w:marBottom w:val="0"/>
      <w:divBdr>
        <w:top w:val="none" w:sz="0" w:space="0" w:color="auto"/>
        <w:left w:val="none" w:sz="0" w:space="0" w:color="auto"/>
        <w:bottom w:val="none" w:sz="0" w:space="0" w:color="auto"/>
        <w:right w:val="none" w:sz="0" w:space="0" w:color="auto"/>
      </w:divBdr>
    </w:div>
    <w:div w:id="828013100">
      <w:bodyDiv w:val="1"/>
      <w:marLeft w:val="0"/>
      <w:marRight w:val="0"/>
      <w:marTop w:val="0"/>
      <w:marBottom w:val="0"/>
      <w:divBdr>
        <w:top w:val="none" w:sz="0" w:space="0" w:color="auto"/>
        <w:left w:val="none" w:sz="0" w:space="0" w:color="auto"/>
        <w:bottom w:val="none" w:sz="0" w:space="0" w:color="auto"/>
        <w:right w:val="none" w:sz="0" w:space="0" w:color="auto"/>
      </w:divBdr>
    </w:div>
    <w:div w:id="828062489">
      <w:bodyDiv w:val="1"/>
      <w:marLeft w:val="0"/>
      <w:marRight w:val="0"/>
      <w:marTop w:val="0"/>
      <w:marBottom w:val="0"/>
      <w:divBdr>
        <w:top w:val="none" w:sz="0" w:space="0" w:color="auto"/>
        <w:left w:val="none" w:sz="0" w:space="0" w:color="auto"/>
        <w:bottom w:val="none" w:sz="0" w:space="0" w:color="auto"/>
        <w:right w:val="none" w:sz="0" w:space="0" w:color="auto"/>
      </w:divBdr>
    </w:div>
    <w:div w:id="828180949">
      <w:bodyDiv w:val="1"/>
      <w:marLeft w:val="0"/>
      <w:marRight w:val="0"/>
      <w:marTop w:val="0"/>
      <w:marBottom w:val="0"/>
      <w:divBdr>
        <w:top w:val="none" w:sz="0" w:space="0" w:color="auto"/>
        <w:left w:val="none" w:sz="0" w:space="0" w:color="auto"/>
        <w:bottom w:val="none" w:sz="0" w:space="0" w:color="auto"/>
        <w:right w:val="none" w:sz="0" w:space="0" w:color="auto"/>
      </w:divBdr>
    </w:div>
    <w:div w:id="828206238">
      <w:bodyDiv w:val="1"/>
      <w:marLeft w:val="0"/>
      <w:marRight w:val="0"/>
      <w:marTop w:val="0"/>
      <w:marBottom w:val="0"/>
      <w:divBdr>
        <w:top w:val="none" w:sz="0" w:space="0" w:color="auto"/>
        <w:left w:val="none" w:sz="0" w:space="0" w:color="auto"/>
        <w:bottom w:val="none" w:sz="0" w:space="0" w:color="auto"/>
        <w:right w:val="none" w:sz="0" w:space="0" w:color="auto"/>
      </w:divBdr>
    </w:div>
    <w:div w:id="828210780">
      <w:bodyDiv w:val="1"/>
      <w:marLeft w:val="0"/>
      <w:marRight w:val="0"/>
      <w:marTop w:val="0"/>
      <w:marBottom w:val="0"/>
      <w:divBdr>
        <w:top w:val="none" w:sz="0" w:space="0" w:color="auto"/>
        <w:left w:val="none" w:sz="0" w:space="0" w:color="auto"/>
        <w:bottom w:val="none" w:sz="0" w:space="0" w:color="auto"/>
        <w:right w:val="none" w:sz="0" w:space="0" w:color="auto"/>
      </w:divBdr>
    </w:div>
    <w:div w:id="828251545">
      <w:bodyDiv w:val="1"/>
      <w:marLeft w:val="0"/>
      <w:marRight w:val="0"/>
      <w:marTop w:val="0"/>
      <w:marBottom w:val="0"/>
      <w:divBdr>
        <w:top w:val="none" w:sz="0" w:space="0" w:color="auto"/>
        <w:left w:val="none" w:sz="0" w:space="0" w:color="auto"/>
        <w:bottom w:val="none" w:sz="0" w:space="0" w:color="auto"/>
        <w:right w:val="none" w:sz="0" w:space="0" w:color="auto"/>
      </w:divBdr>
    </w:div>
    <w:div w:id="828256915">
      <w:bodyDiv w:val="1"/>
      <w:marLeft w:val="0"/>
      <w:marRight w:val="0"/>
      <w:marTop w:val="0"/>
      <w:marBottom w:val="0"/>
      <w:divBdr>
        <w:top w:val="none" w:sz="0" w:space="0" w:color="auto"/>
        <w:left w:val="none" w:sz="0" w:space="0" w:color="auto"/>
        <w:bottom w:val="none" w:sz="0" w:space="0" w:color="auto"/>
        <w:right w:val="none" w:sz="0" w:space="0" w:color="auto"/>
      </w:divBdr>
    </w:div>
    <w:div w:id="828444339">
      <w:bodyDiv w:val="1"/>
      <w:marLeft w:val="0"/>
      <w:marRight w:val="0"/>
      <w:marTop w:val="0"/>
      <w:marBottom w:val="0"/>
      <w:divBdr>
        <w:top w:val="none" w:sz="0" w:space="0" w:color="auto"/>
        <w:left w:val="none" w:sz="0" w:space="0" w:color="auto"/>
        <w:bottom w:val="none" w:sz="0" w:space="0" w:color="auto"/>
        <w:right w:val="none" w:sz="0" w:space="0" w:color="auto"/>
      </w:divBdr>
    </w:div>
    <w:div w:id="828521787">
      <w:bodyDiv w:val="1"/>
      <w:marLeft w:val="0"/>
      <w:marRight w:val="0"/>
      <w:marTop w:val="0"/>
      <w:marBottom w:val="0"/>
      <w:divBdr>
        <w:top w:val="none" w:sz="0" w:space="0" w:color="auto"/>
        <w:left w:val="none" w:sz="0" w:space="0" w:color="auto"/>
        <w:bottom w:val="none" w:sz="0" w:space="0" w:color="auto"/>
        <w:right w:val="none" w:sz="0" w:space="0" w:color="auto"/>
      </w:divBdr>
    </w:div>
    <w:div w:id="828595599">
      <w:bodyDiv w:val="1"/>
      <w:marLeft w:val="0"/>
      <w:marRight w:val="0"/>
      <w:marTop w:val="0"/>
      <w:marBottom w:val="0"/>
      <w:divBdr>
        <w:top w:val="none" w:sz="0" w:space="0" w:color="auto"/>
        <w:left w:val="none" w:sz="0" w:space="0" w:color="auto"/>
        <w:bottom w:val="none" w:sz="0" w:space="0" w:color="auto"/>
        <w:right w:val="none" w:sz="0" w:space="0" w:color="auto"/>
      </w:divBdr>
    </w:div>
    <w:div w:id="828598242">
      <w:bodyDiv w:val="1"/>
      <w:marLeft w:val="0"/>
      <w:marRight w:val="0"/>
      <w:marTop w:val="0"/>
      <w:marBottom w:val="0"/>
      <w:divBdr>
        <w:top w:val="none" w:sz="0" w:space="0" w:color="auto"/>
        <w:left w:val="none" w:sz="0" w:space="0" w:color="auto"/>
        <w:bottom w:val="none" w:sz="0" w:space="0" w:color="auto"/>
        <w:right w:val="none" w:sz="0" w:space="0" w:color="auto"/>
      </w:divBdr>
    </w:div>
    <w:div w:id="828643174">
      <w:bodyDiv w:val="1"/>
      <w:marLeft w:val="0"/>
      <w:marRight w:val="0"/>
      <w:marTop w:val="0"/>
      <w:marBottom w:val="0"/>
      <w:divBdr>
        <w:top w:val="none" w:sz="0" w:space="0" w:color="auto"/>
        <w:left w:val="none" w:sz="0" w:space="0" w:color="auto"/>
        <w:bottom w:val="none" w:sz="0" w:space="0" w:color="auto"/>
        <w:right w:val="none" w:sz="0" w:space="0" w:color="auto"/>
      </w:divBdr>
    </w:div>
    <w:div w:id="828785559">
      <w:bodyDiv w:val="1"/>
      <w:marLeft w:val="0"/>
      <w:marRight w:val="0"/>
      <w:marTop w:val="0"/>
      <w:marBottom w:val="0"/>
      <w:divBdr>
        <w:top w:val="none" w:sz="0" w:space="0" w:color="auto"/>
        <w:left w:val="none" w:sz="0" w:space="0" w:color="auto"/>
        <w:bottom w:val="none" w:sz="0" w:space="0" w:color="auto"/>
        <w:right w:val="none" w:sz="0" w:space="0" w:color="auto"/>
      </w:divBdr>
    </w:div>
    <w:div w:id="828786789">
      <w:bodyDiv w:val="1"/>
      <w:marLeft w:val="0"/>
      <w:marRight w:val="0"/>
      <w:marTop w:val="0"/>
      <w:marBottom w:val="0"/>
      <w:divBdr>
        <w:top w:val="none" w:sz="0" w:space="0" w:color="auto"/>
        <w:left w:val="none" w:sz="0" w:space="0" w:color="auto"/>
        <w:bottom w:val="none" w:sz="0" w:space="0" w:color="auto"/>
        <w:right w:val="none" w:sz="0" w:space="0" w:color="auto"/>
      </w:divBdr>
    </w:div>
    <w:div w:id="828788247">
      <w:bodyDiv w:val="1"/>
      <w:marLeft w:val="0"/>
      <w:marRight w:val="0"/>
      <w:marTop w:val="0"/>
      <w:marBottom w:val="0"/>
      <w:divBdr>
        <w:top w:val="none" w:sz="0" w:space="0" w:color="auto"/>
        <w:left w:val="none" w:sz="0" w:space="0" w:color="auto"/>
        <w:bottom w:val="none" w:sz="0" w:space="0" w:color="auto"/>
        <w:right w:val="none" w:sz="0" w:space="0" w:color="auto"/>
      </w:divBdr>
    </w:div>
    <w:div w:id="828836860">
      <w:bodyDiv w:val="1"/>
      <w:marLeft w:val="0"/>
      <w:marRight w:val="0"/>
      <w:marTop w:val="0"/>
      <w:marBottom w:val="0"/>
      <w:divBdr>
        <w:top w:val="none" w:sz="0" w:space="0" w:color="auto"/>
        <w:left w:val="none" w:sz="0" w:space="0" w:color="auto"/>
        <w:bottom w:val="none" w:sz="0" w:space="0" w:color="auto"/>
        <w:right w:val="none" w:sz="0" w:space="0" w:color="auto"/>
      </w:divBdr>
    </w:div>
    <w:div w:id="828861383">
      <w:bodyDiv w:val="1"/>
      <w:marLeft w:val="0"/>
      <w:marRight w:val="0"/>
      <w:marTop w:val="0"/>
      <w:marBottom w:val="0"/>
      <w:divBdr>
        <w:top w:val="none" w:sz="0" w:space="0" w:color="auto"/>
        <w:left w:val="none" w:sz="0" w:space="0" w:color="auto"/>
        <w:bottom w:val="none" w:sz="0" w:space="0" w:color="auto"/>
        <w:right w:val="none" w:sz="0" w:space="0" w:color="auto"/>
      </w:divBdr>
    </w:div>
    <w:div w:id="828903079">
      <w:bodyDiv w:val="1"/>
      <w:marLeft w:val="0"/>
      <w:marRight w:val="0"/>
      <w:marTop w:val="0"/>
      <w:marBottom w:val="0"/>
      <w:divBdr>
        <w:top w:val="none" w:sz="0" w:space="0" w:color="auto"/>
        <w:left w:val="none" w:sz="0" w:space="0" w:color="auto"/>
        <w:bottom w:val="none" w:sz="0" w:space="0" w:color="auto"/>
        <w:right w:val="none" w:sz="0" w:space="0" w:color="auto"/>
      </w:divBdr>
    </w:div>
    <w:div w:id="828905417">
      <w:bodyDiv w:val="1"/>
      <w:marLeft w:val="0"/>
      <w:marRight w:val="0"/>
      <w:marTop w:val="0"/>
      <w:marBottom w:val="0"/>
      <w:divBdr>
        <w:top w:val="none" w:sz="0" w:space="0" w:color="auto"/>
        <w:left w:val="none" w:sz="0" w:space="0" w:color="auto"/>
        <w:bottom w:val="none" w:sz="0" w:space="0" w:color="auto"/>
        <w:right w:val="none" w:sz="0" w:space="0" w:color="auto"/>
      </w:divBdr>
    </w:div>
    <w:div w:id="829055030">
      <w:bodyDiv w:val="1"/>
      <w:marLeft w:val="0"/>
      <w:marRight w:val="0"/>
      <w:marTop w:val="0"/>
      <w:marBottom w:val="0"/>
      <w:divBdr>
        <w:top w:val="none" w:sz="0" w:space="0" w:color="auto"/>
        <w:left w:val="none" w:sz="0" w:space="0" w:color="auto"/>
        <w:bottom w:val="none" w:sz="0" w:space="0" w:color="auto"/>
        <w:right w:val="none" w:sz="0" w:space="0" w:color="auto"/>
      </w:divBdr>
    </w:div>
    <w:div w:id="829098359">
      <w:bodyDiv w:val="1"/>
      <w:marLeft w:val="0"/>
      <w:marRight w:val="0"/>
      <w:marTop w:val="0"/>
      <w:marBottom w:val="0"/>
      <w:divBdr>
        <w:top w:val="none" w:sz="0" w:space="0" w:color="auto"/>
        <w:left w:val="none" w:sz="0" w:space="0" w:color="auto"/>
        <w:bottom w:val="none" w:sz="0" w:space="0" w:color="auto"/>
        <w:right w:val="none" w:sz="0" w:space="0" w:color="auto"/>
      </w:divBdr>
    </w:div>
    <w:div w:id="829252834">
      <w:bodyDiv w:val="1"/>
      <w:marLeft w:val="0"/>
      <w:marRight w:val="0"/>
      <w:marTop w:val="0"/>
      <w:marBottom w:val="0"/>
      <w:divBdr>
        <w:top w:val="none" w:sz="0" w:space="0" w:color="auto"/>
        <w:left w:val="none" w:sz="0" w:space="0" w:color="auto"/>
        <w:bottom w:val="none" w:sz="0" w:space="0" w:color="auto"/>
        <w:right w:val="none" w:sz="0" w:space="0" w:color="auto"/>
      </w:divBdr>
    </w:div>
    <w:div w:id="829491753">
      <w:bodyDiv w:val="1"/>
      <w:marLeft w:val="0"/>
      <w:marRight w:val="0"/>
      <w:marTop w:val="0"/>
      <w:marBottom w:val="0"/>
      <w:divBdr>
        <w:top w:val="none" w:sz="0" w:space="0" w:color="auto"/>
        <w:left w:val="none" w:sz="0" w:space="0" w:color="auto"/>
        <w:bottom w:val="none" w:sz="0" w:space="0" w:color="auto"/>
        <w:right w:val="none" w:sz="0" w:space="0" w:color="auto"/>
      </w:divBdr>
    </w:div>
    <w:div w:id="829515946">
      <w:bodyDiv w:val="1"/>
      <w:marLeft w:val="0"/>
      <w:marRight w:val="0"/>
      <w:marTop w:val="0"/>
      <w:marBottom w:val="0"/>
      <w:divBdr>
        <w:top w:val="none" w:sz="0" w:space="0" w:color="auto"/>
        <w:left w:val="none" w:sz="0" w:space="0" w:color="auto"/>
        <w:bottom w:val="none" w:sz="0" w:space="0" w:color="auto"/>
        <w:right w:val="none" w:sz="0" w:space="0" w:color="auto"/>
      </w:divBdr>
    </w:div>
    <w:div w:id="829717525">
      <w:bodyDiv w:val="1"/>
      <w:marLeft w:val="0"/>
      <w:marRight w:val="0"/>
      <w:marTop w:val="0"/>
      <w:marBottom w:val="0"/>
      <w:divBdr>
        <w:top w:val="none" w:sz="0" w:space="0" w:color="auto"/>
        <w:left w:val="none" w:sz="0" w:space="0" w:color="auto"/>
        <w:bottom w:val="none" w:sz="0" w:space="0" w:color="auto"/>
        <w:right w:val="none" w:sz="0" w:space="0" w:color="auto"/>
      </w:divBdr>
    </w:div>
    <w:div w:id="829717972">
      <w:bodyDiv w:val="1"/>
      <w:marLeft w:val="0"/>
      <w:marRight w:val="0"/>
      <w:marTop w:val="0"/>
      <w:marBottom w:val="0"/>
      <w:divBdr>
        <w:top w:val="none" w:sz="0" w:space="0" w:color="auto"/>
        <w:left w:val="none" w:sz="0" w:space="0" w:color="auto"/>
        <w:bottom w:val="none" w:sz="0" w:space="0" w:color="auto"/>
        <w:right w:val="none" w:sz="0" w:space="0" w:color="auto"/>
      </w:divBdr>
    </w:div>
    <w:div w:id="829757606">
      <w:bodyDiv w:val="1"/>
      <w:marLeft w:val="0"/>
      <w:marRight w:val="0"/>
      <w:marTop w:val="0"/>
      <w:marBottom w:val="0"/>
      <w:divBdr>
        <w:top w:val="none" w:sz="0" w:space="0" w:color="auto"/>
        <w:left w:val="none" w:sz="0" w:space="0" w:color="auto"/>
        <w:bottom w:val="none" w:sz="0" w:space="0" w:color="auto"/>
        <w:right w:val="none" w:sz="0" w:space="0" w:color="auto"/>
      </w:divBdr>
    </w:div>
    <w:div w:id="829902371">
      <w:bodyDiv w:val="1"/>
      <w:marLeft w:val="0"/>
      <w:marRight w:val="0"/>
      <w:marTop w:val="0"/>
      <w:marBottom w:val="0"/>
      <w:divBdr>
        <w:top w:val="none" w:sz="0" w:space="0" w:color="auto"/>
        <w:left w:val="none" w:sz="0" w:space="0" w:color="auto"/>
        <w:bottom w:val="none" w:sz="0" w:space="0" w:color="auto"/>
        <w:right w:val="none" w:sz="0" w:space="0" w:color="auto"/>
      </w:divBdr>
    </w:div>
    <w:div w:id="829910884">
      <w:bodyDiv w:val="1"/>
      <w:marLeft w:val="0"/>
      <w:marRight w:val="0"/>
      <w:marTop w:val="0"/>
      <w:marBottom w:val="0"/>
      <w:divBdr>
        <w:top w:val="none" w:sz="0" w:space="0" w:color="auto"/>
        <w:left w:val="none" w:sz="0" w:space="0" w:color="auto"/>
        <w:bottom w:val="none" w:sz="0" w:space="0" w:color="auto"/>
        <w:right w:val="none" w:sz="0" w:space="0" w:color="auto"/>
      </w:divBdr>
    </w:div>
    <w:div w:id="830028100">
      <w:bodyDiv w:val="1"/>
      <w:marLeft w:val="0"/>
      <w:marRight w:val="0"/>
      <w:marTop w:val="0"/>
      <w:marBottom w:val="0"/>
      <w:divBdr>
        <w:top w:val="none" w:sz="0" w:space="0" w:color="auto"/>
        <w:left w:val="none" w:sz="0" w:space="0" w:color="auto"/>
        <w:bottom w:val="none" w:sz="0" w:space="0" w:color="auto"/>
        <w:right w:val="none" w:sz="0" w:space="0" w:color="auto"/>
      </w:divBdr>
    </w:div>
    <w:div w:id="830096142">
      <w:bodyDiv w:val="1"/>
      <w:marLeft w:val="0"/>
      <w:marRight w:val="0"/>
      <w:marTop w:val="0"/>
      <w:marBottom w:val="0"/>
      <w:divBdr>
        <w:top w:val="none" w:sz="0" w:space="0" w:color="auto"/>
        <w:left w:val="none" w:sz="0" w:space="0" w:color="auto"/>
        <w:bottom w:val="none" w:sz="0" w:space="0" w:color="auto"/>
        <w:right w:val="none" w:sz="0" w:space="0" w:color="auto"/>
      </w:divBdr>
    </w:div>
    <w:div w:id="830104511">
      <w:bodyDiv w:val="1"/>
      <w:marLeft w:val="0"/>
      <w:marRight w:val="0"/>
      <w:marTop w:val="0"/>
      <w:marBottom w:val="0"/>
      <w:divBdr>
        <w:top w:val="none" w:sz="0" w:space="0" w:color="auto"/>
        <w:left w:val="none" w:sz="0" w:space="0" w:color="auto"/>
        <w:bottom w:val="none" w:sz="0" w:space="0" w:color="auto"/>
        <w:right w:val="none" w:sz="0" w:space="0" w:color="auto"/>
      </w:divBdr>
    </w:div>
    <w:div w:id="830171561">
      <w:bodyDiv w:val="1"/>
      <w:marLeft w:val="0"/>
      <w:marRight w:val="0"/>
      <w:marTop w:val="0"/>
      <w:marBottom w:val="0"/>
      <w:divBdr>
        <w:top w:val="none" w:sz="0" w:space="0" w:color="auto"/>
        <w:left w:val="none" w:sz="0" w:space="0" w:color="auto"/>
        <w:bottom w:val="none" w:sz="0" w:space="0" w:color="auto"/>
        <w:right w:val="none" w:sz="0" w:space="0" w:color="auto"/>
      </w:divBdr>
    </w:div>
    <w:div w:id="830365485">
      <w:bodyDiv w:val="1"/>
      <w:marLeft w:val="0"/>
      <w:marRight w:val="0"/>
      <w:marTop w:val="0"/>
      <w:marBottom w:val="0"/>
      <w:divBdr>
        <w:top w:val="none" w:sz="0" w:space="0" w:color="auto"/>
        <w:left w:val="none" w:sz="0" w:space="0" w:color="auto"/>
        <w:bottom w:val="none" w:sz="0" w:space="0" w:color="auto"/>
        <w:right w:val="none" w:sz="0" w:space="0" w:color="auto"/>
      </w:divBdr>
    </w:div>
    <w:div w:id="830371218">
      <w:bodyDiv w:val="1"/>
      <w:marLeft w:val="0"/>
      <w:marRight w:val="0"/>
      <w:marTop w:val="0"/>
      <w:marBottom w:val="0"/>
      <w:divBdr>
        <w:top w:val="none" w:sz="0" w:space="0" w:color="auto"/>
        <w:left w:val="none" w:sz="0" w:space="0" w:color="auto"/>
        <w:bottom w:val="none" w:sz="0" w:space="0" w:color="auto"/>
        <w:right w:val="none" w:sz="0" w:space="0" w:color="auto"/>
      </w:divBdr>
    </w:div>
    <w:div w:id="830484428">
      <w:bodyDiv w:val="1"/>
      <w:marLeft w:val="0"/>
      <w:marRight w:val="0"/>
      <w:marTop w:val="0"/>
      <w:marBottom w:val="0"/>
      <w:divBdr>
        <w:top w:val="none" w:sz="0" w:space="0" w:color="auto"/>
        <w:left w:val="none" w:sz="0" w:space="0" w:color="auto"/>
        <w:bottom w:val="none" w:sz="0" w:space="0" w:color="auto"/>
        <w:right w:val="none" w:sz="0" w:space="0" w:color="auto"/>
      </w:divBdr>
    </w:div>
    <w:div w:id="830558496">
      <w:bodyDiv w:val="1"/>
      <w:marLeft w:val="0"/>
      <w:marRight w:val="0"/>
      <w:marTop w:val="0"/>
      <w:marBottom w:val="0"/>
      <w:divBdr>
        <w:top w:val="none" w:sz="0" w:space="0" w:color="auto"/>
        <w:left w:val="none" w:sz="0" w:space="0" w:color="auto"/>
        <w:bottom w:val="none" w:sz="0" w:space="0" w:color="auto"/>
        <w:right w:val="none" w:sz="0" w:space="0" w:color="auto"/>
      </w:divBdr>
    </w:div>
    <w:div w:id="830566265">
      <w:bodyDiv w:val="1"/>
      <w:marLeft w:val="0"/>
      <w:marRight w:val="0"/>
      <w:marTop w:val="0"/>
      <w:marBottom w:val="0"/>
      <w:divBdr>
        <w:top w:val="none" w:sz="0" w:space="0" w:color="auto"/>
        <w:left w:val="none" w:sz="0" w:space="0" w:color="auto"/>
        <w:bottom w:val="none" w:sz="0" w:space="0" w:color="auto"/>
        <w:right w:val="none" w:sz="0" w:space="0" w:color="auto"/>
      </w:divBdr>
    </w:div>
    <w:div w:id="830566475">
      <w:bodyDiv w:val="1"/>
      <w:marLeft w:val="0"/>
      <w:marRight w:val="0"/>
      <w:marTop w:val="0"/>
      <w:marBottom w:val="0"/>
      <w:divBdr>
        <w:top w:val="none" w:sz="0" w:space="0" w:color="auto"/>
        <w:left w:val="none" w:sz="0" w:space="0" w:color="auto"/>
        <w:bottom w:val="none" w:sz="0" w:space="0" w:color="auto"/>
        <w:right w:val="none" w:sz="0" w:space="0" w:color="auto"/>
      </w:divBdr>
    </w:div>
    <w:div w:id="830683655">
      <w:bodyDiv w:val="1"/>
      <w:marLeft w:val="0"/>
      <w:marRight w:val="0"/>
      <w:marTop w:val="0"/>
      <w:marBottom w:val="0"/>
      <w:divBdr>
        <w:top w:val="none" w:sz="0" w:space="0" w:color="auto"/>
        <w:left w:val="none" w:sz="0" w:space="0" w:color="auto"/>
        <w:bottom w:val="none" w:sz="0" w:space="0" w:color="auto"/>
        <w:right w:val="none" w:sz="0" w:space="0" w:color="auto"/>
      </w:divBdr>
    </w:div>
    <w:div w:id="830755600">
      <w:bodyDiv w:val="1"/>
      <w:marLeft w:val="0"/>
      <w:marRight w:val="0"/>
      <w:marTop w:val="0"/>
      <w:marBottom w:val="0"/>
      <w:divBdr>
        <w:top w:val="none" w:sz="0" w:space="0" w:color="auto"/>
        <w:left w:val="none" w:sz="0" w:space="0" w:color="auto"/>
        <w:bottom w:val="none" w:sz="0" w:space="0" w:color="auto"/>
        <w:right w:val="none" w:sz="0" w:space="0" w:color="auto"/>
      </w:divBdr>
    </w:div>
    <w:div w:id="830830792">
      <w:bodyDiv w:val="1"/>
      <w:marLeft w:val="0"/>
      <w:marRight w:val="0"/>
      <w:marTop w:val="0"/>
      <w:marBottom w:val="0"/>
      <w:divBdr>
        <w:top w:val="none" w:sz="0" w:space="0" w:color="auto"/>
        <w:left w:val="none" w:sz="0" w:space="0" w:color="auto"/>
        <w:bottom w:val="none" w:sz="0" w:space="0" w:color="auto"/>
        <w:right w:val="none" w:sz="0" w:space="0" w:color="auto"/>
      </w:divBdr>
    </w:div>
    <w:div w:id="830831808">
      <w:bodyDiv w:val="1"/>
      <w:marLeft w:val="0"/>
      <w:marRight w:val="0"/>
      <w:marTop w:val="0"/>
      <w:marBottom w:val="0"/>
      <w:divBdr>
        <w:top w:val="none" w:sz="0" w:space="0" w:color="auto"/>
        <w:left w:val="none" w:sz="0" w:space="0" w:color="auto"/>
        <w:bottom w:val="none" w:sz="0" w:space="0" w:color="auto"/>
        <w:right w:val="none" w:sz="0" w:space="0" w:color="auto"/>
      </w:divBdr>
    </w:div>
    <w:div w:id="830832567">
      <w:bodyDiv w:val="1"/>
      <w:marLeft w:val="0"/>
      <w:marRight w:val="0"/>
      <w:marTop w:val="0"/>
      <w:marBottom w:val="0"/>
      <w:divBdr>
        <w:top w:val="none" w:sz="0" w:space="0" w:color="auto"/>
        <w:left w:val="none" w:sz="0" w:space="0" w:color="auto"/>
        <w:bottom w:val="none" w:sz="0" w:space="0" w:color="auto"/>
        <w:right w:val="none" w:sz="0" w:space="0" w:color="auto"/>
      </w:divBdr>
    </w:div>
    <w:div w:id="830949499">
      <w:bodyDiv w:val="1"/>
      <w:marLeft w:val="0"/>
      <w:marRight w:val="0"/>
      <w:marTop w:val="0"/>
      <w:marBottom w:val="0"/>
      <w:divBdr>
        <w:top w:val="none" w:sz="0" w:space="0" w:color="auto"/>
        <w:left w:val="none" w:sz="0" w:space="0" w:color="auto"/>
        <w:bottom w:val="none" w:sz="0" w:space="0" w:color="auto"/>
        <w:right w:val="none" w:sz="0" w:space="0" w:color="auto"/>
      </w:divBdr>
    </w:div>
    <w:div w:id="831066778">
      <w:bodyDiv w:val="1"/>
      <w:marLeft w:val="0"/>
      <w:marRight w:val="0"/>
      <w:marTop w:val="0"/>
      <w:marBottom w:val="0"/>
      <w:divBdr>
        <w:top w:val="none" w:sz="0" w:space="0" w:color="auto"/>
        <w:left w:val="none" w:sz="0" w:space="0" w:color="auto"/>
        <w:bottom w:val="none" w:sz="0" w:space="0" w:color="auto"/>
        <w:right w:val="none" w:sz="0" w:space="0" w:color="auto"/>
      </w:divBdr>
    </w:div>
    <w:div w:id="831213967">
      <w:bodyDiv w:val="1"/>
      <w:marLeft w:val="0"/>
      <w:marRight w:val="0"/>
      <w:marTop w:val="0"/>
      <w:marBottom w:val="0"/>
      <w:divBdr>
        <w:top w:val="none" w:sz="0" w:space="0" w:color="auto"/>
        <w:left w:val="none" w:sz="0" w:space="0" w:color="auto"/>
        <w:bottom w:val="none" w:sz="0" w:space="0" w:color="auto"/>
        <w:right w:val="none" w:sz="0" w:space="0" w:color="auto"/>
      </w:divBdr>
    </w:div>
    <w:div w:id="831215100">
      <w:bodyDiv w:val="1"/>
      <w:marLeft w:val="0"/>
      <w:marRight w:val="0"/>
      <w:marTop w:val="0"/>
      <w:marBottom w:val="0"/>
      <w:divBdr>
        <w:top w:val="none" w:sz="0" w:space="0" w:color="auto"/>
        <w:left w:val="none" w:sz="0" w:space="0" w:color="auto"/>
        <w:bottom w:val="none" w:sz="0" w:space="0" w:color="auto"/>
        <w:right w:val="none" w:sz="0" w:space="0" w:color="auto"/>
      </w:divBdr>
    </w:div>
    <w:div w:id="831262495">
      <w:bodyDiv w:val="1"/>
      <w:marLeft w:val="0"/>
      <w:marRight w:val="0"/>
      <w:marTop w:val="0"/>
      <w:marBottom w:val="0"/>
      <w:divBdr>
        <w:top w:val="none" w:sz="0" w:space="0" w:color="auto"/>
        <w:left w:val="none" w:sz="0" w:space="0" w:color="auto"/>
        <w:bottom w:val="none" w:sz="0" w:space="0" w:color="auto"/>
        <w:right w:val="none" w:sz="0" w:space="0" w:color="auto"/>
      </w:divBdr>
      <w:divsChild>
        <w:div w:id="281976">
          <w:marLeft w:val="0"/>
          <w:marRight w:val="0"/>
          <w:marTop w:val="0"/>
          <w:marBottom w:val="0"/>
          <w:divBdr>
            <w:top w:val="none" w:sz="0" w:space="0" w:color="auto"/>
            <w:left w:val="none" w:sz="0" w:space="0" w:color="auto"/>
            <w:bottom w:val="none" w:sz="0" w:space="0" w:color="auto"/>
            <w:right w:val="none" w:sz="0" w:space="0" w:color="auto"/>
          </w:divBdr>
        </w:div>
        <w:div w:id="14157585">
          <w:marLeft w:val="0"/>
          <w:marRight w:val="0"/>
          <w:marTop w:val="0"/>
          <w:marBottom w:val="0"/>
          <w:divBdr>
            <w:top w:val="none" w:sz="0" w:space="0" w:color="auto"/>
            <w:left w:val="none" w:sz="0" w:space="0" w:color="auto"/>
            <w:bottom w:val="none" w:sz="0" w:space="0" w:color="auto"/>
            <w:right w:val="none" w:sz="0" w:space="0" w:color="auto"/>
          </w:divBdr>
        </w:div>
        <w:div w:id="23142843">
          <w:marLeft w:val="0"/>
          <w:marRight w:val="0"/>
          <w:marTop w:val="0"/>
          <w:marBottom w:val="0"/>
          <w:divBdr>
            <w:top w:val="none" w:sz="0" w:space="0" w:color="auto"/>
            <w:left w:val="none" w:sz="0" w:space="0" w:color="auto"/>
            <w:bottom w:val="none" w:sz="0" w:space="0" w:color="auto"/>
            <w:right w:val="none" w:sz="0" w:space="0" w:color="auto"/>
          </w:divBdr>
        </w:div>
        <w:div w:id="55326404">
          <w:marLeft w:val="0"/>
          <w:marRight w:val="0"/>
          <w:marTop w:val="0"/>
          <w:marBottom w:val="0"/>
          <w:divBdr>
            <w:top w:val="none" w:sz="0" w:space="0" w:color="auto"/>
            <w:left w:val="none" w:sz="0" w:space="0" w:color="auto"/>
            <w:bottom w:val="none" w:sz="0" w:space="0" w:color="auto"/>
            <w:right w:val="none" w:sz="0" w:space="0" w:color="auto"/>
          </w:divBdr>
        </w:div>
        <w:div w:id="64032940">
          <w:marLeft w:val="0"/>
          <w:marRight w:val="0"/>
          <w:marTop w:val="0"/>
          <w:marBottom w:val="0"/>
          <w:divBdr>
            <w:top w:val="none" w:sz="0" w:space="0" w:color="auto"/>
            <w:left w:val="none" w:sz="0" w:space="0" w:color="auto"/>
            <w:bottom w:val="none" w:sz="0" w:space="0" w:color="auto"/>
            <w:right w:val="none" w:sz="0" w:space="0" w:color="auto"/>
          </w:divBdr>
        </w:div>
        <w:div w:id="69272768">
          <w:marLeft w:val="0"/>
          <w:marRight w:val="0"/>
          <w:marTop w:val="0"/>
          <w:marBottom w:val="0"/>
          <w:divBdr>
            <w:top w:val="none" w:sz="0" w:space="0" w:color="auto"/>
            <w:left w:val="none" w:sz="0" w:space="0" w:color="auto"/>
            <w:bottom w:val="none" w:sz="0" w:space="0" w:color="auto"/>
            <w:right w:val="none" w:sz="0" w:space="0" w:color="auto"/>
          </w:divBdr>
        </w:div>
        <w:div w:id="111636508">
          <w:marLeft w:val="0"/>
          <w:marRight w:val="0"/>
          <w:marTop w:val="0"/>
          <w:marBottom w:val="0"/>
          <w:divBdr>
            <w:top w:val="none" w:sz="0" w:space="0" w:color="auto"/>
            <w:left w:val="none" w:sz="0" w:space="0" w:color="auto"/>
            <w:bottom w:val="none" w:sz="0" w:space="0" w:color="auto"/>
            <w:right w:val="none" w:sz="0" w:space="0" w:color="auto"/>
          </w:divBdr>
        </w:div>
        <w:div w:id="122503028">
          <w:marLeft w:val="0"/>
          <w:marRight w:val="0"/>
          <w:marTop w:val="0"/>
          <w:marBottom w:val="0"/>
          <w:divBdr>
            <w:top w:val="none" w:sz="0" w:space="0" w:color="auto"/>
            <w:left w:val="none" w:sz="0" w:space="0" w:color="auto"/>
            <w:bottom w:val="none" w:sz="0" w:space="0" w:color="auto"/>
            <w:right w:val="none" w:sz="0" w:space="0" w:color="auto"/>
          </w:divBdr>
        </w:div>
        <w:div w:id="124395151">
          <w:marLeft w:val="0"/>
          <w:marRight w:val="0"/>
          <w:marTop w:val="0"/>
          <w:marBottom w:val="0"/>
          <w:divBdr>
            <w:top w:val="none" w:sz="0" w:space="0" w:color="auto"/>
            <w:left w:val="none" w:sz="0" w:space="0" w:color="auto"/>
            <w:bottom w:val="none" w:sz="0" w:space="0" w:color="auto"/>
            <w:right w:val="none" w:sz="0" w:space="0" w:color="auto"/>
          </w:divBdr>
        </w:div>
        <w:div w:id="152069852">
          <w:marLeft w:val="0"/>
          <w:marRight w:val="0"/>
          <w:marTop w:val="0"/>
          <w:marBottom w:val="0"/>
          <w:divBdr>
            <w:top w:val="none" w:sz="0" w:space="0" w:color="auto"/>
            <w:left w:val="none" w:sz="0" w:space="0" w:color="auto"/>
            <w:bottom w:val="none" w:sz="0" w:space="0" w:color="auto"/>
            <w:right w:val="none" w:sz="0" w:space="0" w:color="auto"/>
          </w:divBdr>
        </w:div>
        <w:div w:id="163857008">
          <w:marLeft w:val="0"/>
          <w:marRight w:val="0"/>
          <w:marTop w:val="0"/>
          <w:marBottom w:val="0"/>
          <w:divBdr>
            <w:top w:val="none" w:sz="0" w:space="0" w:color="auto"/>
            <w:left w:val="none" w:sz="0" w:space="0" w:color="auto"/>
            <w:bottom w:val="none" w:sz="0" w:space="0" w:color="auto"/>
            <w:right w:val="none" w:sz="0" w:space="0" w:color="auto"/>
          </w:divBdr>
        </w:div>
        <w:div w:id="165175015">
          <w:marLeft w:val="0"/>
          <w:marRight w:val="0"/>
          <w:marTop w:val="0"/>
          <w:marBottom w:val="0"/>
          <w:divBdr>
            <w:top w:val="none" w:sz="0" w:space="0" w:color="auto"/>
            <w:left w:val="none" w:sz="0" w:space="0" w:color="auto"/>
            <w:bottom w:val="none" w:sz="0" w:space="0" w:color="auto"/>
            <w:right w:val="none" w:sz="0" w:space="0" w:color="auto"/>
          </w:divBdr>
        </w:div>
        <w:div w:id="192615374">
          <w:marLeft w:val="0"/>
          <w:marRight w:val="0"/>
          <w:marTop w:val="0"/>
          <w:marBottom w:val="0"/>
          <w:divBdr>
            <w:top w:val="none" w:sz="0" w:space="0" w:color="auto"/>
            <w:left w:val="none" w:sz="0" w:space="0" w:color="auto"/>
            <w:bottom w:val="none" w:sz="0" w:space="0" w:color="auto"/>
            <w:right w:val="none" w:sz="0" w:space="0" w:color="auto"/>
          </w:divBdr>
        </w:div>
        <w:div w:id="194274712">
          <w:marLeft w:val="0"/>
          <w:marRight w:val="0"/>
          <w:marTop w:val="0"/>
          <w:marBottom w:val="0"/>
          <w:divBdr>
            <w:top w:val="none" w:sz="0" w:space="0" w:color="auto"/>
            <w:left w:val="none" w:sz="0" w:space="0" w:color="auto"/>
            <w:bottom w:val="none" w:sz="0" w:space="0" w:color="auto"/>
            <w:right w:val="none" w:sz="0" w:space="0" w:color="auto"/>
          </w:divBdr>
        </w:div>
        <w:div w:id="194391814">
          <w:marLeft w:val="0"/>
          <w:marRight w:val="0"/>
          <w:marTop w:val="0"/>
          <w:marBottom w:val="0"/>
          <w:divBdr>
            <w:top w:val="none" w:sz="0" w:space="0" w:color="auto"/>
            <w:left w:val="none" w:sz="0" w:space="0" w:color="auto"/>
            <w:bottom w:val="none" w:sz="0" w:space="0" w:color="auto"/>
            <w:right w:val="none" w:sz="0" w:space="0" w:color="auto"/>
          </w:divBdr>
        </w:div>
        <w:div w:id="196889475">
          <w:marLeft w:val="0"/>
          <w:marRight w:val="0"/>
          <w:marTop w:val="0"/>
          <w:marBottom w:val="0"/>
          <w:divBdr>
            <w:top w:val="none" w:sz="0" w:space="0" w:color="auto"/>
            <w:left w:val="none" w:sz="0" w:space="0" w:color="auto"/>
            <w:bottom w:val="none" w:sz="0" w:space="0" w:color="auto"/>
            <w:right w:val="none" w:sz="0" w:space="0" w:color="auto"/>
          </w:divBdr>
        </w:div>
        <w:div w:id="214856406">
          <w:marLeft w:val="0"/>
          <w:marRight w:val="0"/>
          <w:marTop w:val="0"/>
          <w:marBottom w:val="0"/>
          <w:divBdr>
            <w:top w:val="none" w:sz="0" w:space="0" w:color="auto"/>
            <w:left w:val="none" w:sz="0" w:space="0" w:color="auto"/>
            <w:bottom w:val="none" w:sz="0" w:space="0" w:color="auto"/>
            <w:right w:val="none" w:sz="0" w:space="0" w:color="auto"/>
          </w:divBdr>
        </w:div>
        <w:div w:id="218057670">
          <w:marLeft w:val="0"/>
          <w:marRight w:val="0"/>
          <w:marTop w:val="0"/>
          <w:marBottom w:val="0"/>
          <w:divBdr>
            <w:top w:val="none" w:sz="0" w:space="0" w:color="auto"/>
            <w:left w:val="none" w:sz="0" w:space="0" w:color="auto"/>
            <w:bottom w:val="none" w:sz="0" w:space="0" w:color="auto"/>
            <w:right w:val="none" w:sz="0" w:space="0" w:color="auto"/>
          </w:divBdr>
        </w:div>
        <w:div w:id="228656572">
          <w:marLeft w:val="0"/>
          <w:marRight w:val="0"/>
          <w:marTop w:val="0"/>
          <w:marBottom w:val="0"/>
          <w:divBdr>
            <w:top w:val="none" w:sz="0" w:space="0" w:color="auto"/>
            <w:left w:val="none" w:sz="0" w:space="0" w:color="auto"/>
            <w:bottom w:val="none" w:sz="0" w:space="0" w:color="auto"/>
            <w:right w:val="none" w:sz="0" w:space="0" w:color="auto"/>
          </w:divBdr>
        </w:div>
        <w:div w:id="229317363">
          <w:marLeft w:val="0"/>
          <w:marRight w:val="0"/>
          <w:marTop w:val="0"/>
          <w:marBottom w:val="0"/>
          <w:divBdr>
            <w:top w:val="none" w:sz="0" w:space="0" w:color="auto"/>
            <w:left w:val="none" w:sz="0" w:space="0" w:color="auto"/>
            <w:bottom w:val="none" w:sz="0" w:space="0" w:color="auto"/>
            <w:right w:val="none" w:sz="0" w:space="0" w:color="auto"/>
          </w:divBdr>
        </w:div>
        <w:div w:id="238173141">
          <w:marLeft w:val="0"/>
          <w:marRight w:val="0"/>
          <w:marTop w:val="0"/>
          <w:marBottom w:val="0"/>
          <w:divBdr>
            <w:top w:val="none" w:sz="0" w:space="0" w:color="auto"/>
            <w:left w:val="none" w:sz="0" w:space="0" w:color="auto"/>
            <w:bottom w:val="none" w:sz="0" w:space="0" w:color="auto"/>
            <w:right w:val="none" w:sz="0" w:space="0" w:color="auto"/>
          </w:divBdr>
        </w:div>
        <w:div w:id="246424609">
          <w:marLeft w:val="0"/>
          <w:marRight w:val="0"/>
          <w:marTop w:val="0"/>
          <w:marBottom w:val="0"/>
          <w:divBdr>
            <w:top w:val="none" w:sz="0" w:space="0" w:color="auto"/>
            <w:left w:val="none" w:sz="0" w:space="0" w:color="auto"/>
            <w:bottom w:val="none" w:sz="0" w:space="0" w:color="auto"/>
            <w:right w:val="none" w:sz="0" w:space="0" w:color="auto"/>
          </w:divBdr>
        </w:div>
        <w:div w:id="247544780">
          <w:marLeft w:val="0"/>
          <w:marRight w:val="0"/>
          <w:marTop w:val="0"/>
          <w:marBottom w:val="0"/>
          <w:divBdr>
            <w:top w:val="none" w:sz="0" w:space="0" w:color="auto"/>
            <w:left w:val="none" w:sz="0" w:space="0" w:color="auto"/>
            <w:bottom w:val="none" w:sz="0" w:space="0" w:color="auto"/>
            <w:right w:val="none" w:sz="0" w:space="0" w:color="auto"/>
          </w:divBdr>
        </w:div>
        <w:div w:id="253247243">
          <w:marLeft w:val="0"/>
          <w:marRight w:val="0"/>
          <w:marTop w:val="0"/>
          <w:marBottom w:val="0"/>
          <w:divBdr>
            <w:top w:val="none" w:sz="0" w:space="0" w:color="auto"/>
            <w:left w:val="none" w:sz="0" w:space="0" w:color="auto"/>
            <w:bottom w:val="none" w:sz="0" w:space="0" w:color="auto"/>
            <w:right w:val="none" w:sz="0" w:space="0" w:color="auto"/>
          </w:divBdr>
        </w:div>
        <w:div w:id="254050149">
          <w:marLeft w:val="0"/>
          <w:marRight w:val="0"/>
          <w:marTop w:val="0"/>
          <w:marBottom w:val="0"/>
          <w:divBdr>
            <w:top w:val="none" w:sz="0" w:space="0" w:color="auto"/>
            <w:left w:val="none" w:sz="0" w:space="0" w:color="auto"/>
            <w:bottom w:val="none" w:sz="0" w:space="0" w:color="auto"/>
            <w:right w:val="none" w:sz="0" w:space="0" w:color="auto"/>
          </w:divBdr>
        </w:div>
        <w:div w:id="259996958">
          <w:marLeft w:val="0"/>
          <w:marRight w:val="0"/>
          <w:marTop w:val="0"/>
          <w:marBottom w:val="0"/>
          <w:divBdr>
            <w:top w:val="none" w:sz="0" w:space="0" w:color="auto"/>
            <w:left w:val="none" w:sz="0" w:space="0" w:color="auto"/>
            <w:bottom w:val="none" w:sz="0" w:space="0" w:color="auto"/>
            <w:right w:val="none" w:sz="0" w:space="0" w:color="auto"/>
          </w:divBdr>
        </w:div>
        <w:div w:id="270670846">
          <w:marLeft w:val="0"/>
          <w:marRight w:val="0"/>
          <w:marTop w:val="0"/>
          <w:marBottom w:val="0"/>
          <w:divBdr>
            <w:top w:val="none" w:sz="0" w:space="0" w:color="auto"/>
            <w:left w:val="none" w:sz="0" w:space="0" w:color="auto"/>
            <w:bottom w:val="none" w:sz="0" w:space="0" w:color="auto"/>
            <w:right w:val="none" w:sz="0" w:space="0" w:color="auto"/>
          </w:divBdr>
        </w:div>
        <w:div w:id="278266643">
          <w:marLeft w:val="0"/>
          <w:marRight w:val="0"/>
          <w:marTop w:val="0"/>
          <w:marBottom w:val="0"/>
          <w:divBdr>
            <w:top w:val="none" w:sz="0" w:space="0" w:color="auto"/>
            <w:left w:val="none" w:sz="0" w:space="0" w:color="auto"/>
            <w:bottom w:val="none" w:sz="0" w:space="0" w:color="auto"/>
            <w:right w:val="none" w:sz="0" w:space="0" w:color="auto"/>
          </w:divBdr>
        </w:div>
        <w:div w:id="281110576">
          <w:marLeft w:val="0"/>
          <w:marRight w:val="0"/>
          <w:marTop w:val="0"/>
          <w:marBottom w:val="0"/>
          <w:divBdr>
            <w:top w:val="none" w:sz="0" w:space="0" w:color="auto"/>
            <w:left w:val="none" w:sz="0" w:space="0" w:color="auto"/>
            <w:bottom w:val="none" w:sz="0" w:space="0" w:color="auto"/>
            <w:right w:val="none" w:sz="0" w:space="0" w:color="auto"/>
          </w:divBdr>
        </w:div>
        <w:div w:id="282074853">
          <w:marLeft w:val="0"/>
          <w:marRight w:val="0"/>
          <w:marTop w:val="0"/>
          <w:marBottom w:val="0"/>
          <w:divBdr>
            <w:top w:val="none" w:sz="0" w:space="0" w:color="auto"/>
            <w:left w:val="none" w:sz="0" w:space="0" w:color="auto"/>
            <w:bottom w:val="none" w:sz="0" w:space="0" w:color="auto"/>
            <w:right w:val="none" w:sz="0" w:space="0" w:color="auto"/>
          </w:divBdr>
        </w:div>
        <w:div w:id="324435034">
          <w:marLeft w:val="0"/>
          <w:marRight w:val="0"/>
          <w:marTop w:val="0"/>
          <w:marBottom w:val="0"/>
          <w:divBdr>
            <w:top w:val="none" w:sz="0" w:space="0" w:color="auto"/>
            <w:left w:val="none" w:sz="0" w:space="0" w:color="auto"/>
            <w:bottom w:val="none" w:sz="0" w:space="0" w:color="auto"/>
            <w:right w:val="none" w:sz="0" w:space="0" w:color="auto"/>
          </w:divBdr>
        </w:div>
        <w:div w:id="360013620">
          <w:marLeft w:val="0"/>
          <w:marRight w:val="0"/>
          <w:marTop w:val="0"/>
          <w:marBottom w:val="0"/>
          <w:divBdr>
            <w:top w:val="none" w:sz="0" w:space="0" w:color="auto"/>
            <w:left w:val="none" w:sz="0" w:space="0" w:color="auto"/>
            <w:bottom w:val="none" w:sz="0" w:space="0" w:color="auto"/>
            <w:right w:val="none" w:sz="0" w:space="0" w:color="auto"/>
          </w:divBdr>
        </w:div>
        <w:div w:id="367919667">
          <w:marLeft w:val="0"/>
          <w:marRight w:val="0"/>
          <w:marTop w:val="0"/>
          <w:marBottom w:val="0"/>
          <w:divBdr>
            <w:top w:val="none" w:sz="0" w:space="0" w:color="auto"/>
            <w:left w:val="none" w:sz="0" w:space="0" w:color="auto"/>
            <w:bottom w:val="none" w:sz="0" w:space="0" w:color="auto"/>
            <w:right w:val="none" w:sz="0" w:space="0" w:color="auto"/>
          </w:divBdr>
        </w:div>
        <w:div w:id="378091531">
          <w:marLeft w:val="0"/>
          <w:marRight w:val="0"/>
          <w:marTop w:val="0"/>
          <w:marBottom w:val="0"/>
          <w:divBdr>
            <w:top w:val="none" w:sz="0" w:space="0" w:color="auto"/>
            <w:left w:val="none" w:sz="0" w:space="0" w:color="auto"/>
            <w:bottom w:val="none" w:sz="0" w:space="0" w:color="auto"/>
            <w:right w:val="none" w:sz="0" w:space="0" w:color="auto"/>
          </w:divBdr>
        </w:div>
        <w:div w:id="386926769">
          <w:marLeft w:val="0"/>
          <w:marRight w:val="0"/>
          <w:marTop w:val="0"/>
          <w:marBottom w:val="0"/>
          <w:divBdr>
            <w:top w:val="none" w:sz="0" w:space="0" w:color="auto"/>
            <w:left w:val="none" w:sz="0" w:space="0" w:color="auto"/>
            <w:bottom w:val="none" w:sz="0" w:space="0" w:color="auto"/>
            <w:right w:val="none" w:sz="0" w:space="0" w:color="auto"/>
          </w:divBdr>
        </w:div>
        <w:div w:id="390153300">
          <w:marLeft w:val="0"/>
          <w:marRight w:val="0"/>
          <w:marTop w:val="0"/>
          <w:marBottom w:val="0"/>
          <w:divBdr>
            <w:top w:val="none" w:sz="0" w:space="0" w:color="auto"/>
            <w:left w:val="none" w:sz="0" w:space="0" w:color="auto"/>
            <w:bottom w:val="none" w:sz="0" w:space="0" w:color="auto"/>
            <w:right w:val="none" w:sz="0" w:space="0" w:color="auto"/>
          </w:divBdr>
        </w:div>
        <w:div w:id="416678421">
          <w:marLeft w:val="0"/>
          <w:marRight w:val="0"/>
          <w:marTop w:val="0"/>
          <w:marBottom w:val="0"/>
          <w:divBdr>
            <w:top w:val="none" w:sz="0" w:space="0" w:color="auto"/>
            <w:left w:val="none" w:sz="0" w:space="0" w:color="auto"/>
            <w:bottom w:val="none" w:sz="0" w:space="0" w:color="auto"/>
            <w:right w:val="none" w:sz="0" w:space="0" w:color="auto"/>
          </w:divBdr>
        </w:div>
        <w:div w:id="417361633">
          <w:marLeft w:val="0"/>
          <w:marRight w:val="0"/>
          <w:marTop w:val="0"/>
          <w:marBottom w:val="0"/>
          <w:divBdr>
            <w:top w:val="none" w:sz="0" w:space="0" w:color="auto"/>
            <w:left w:val="none" w:sz="0" w:space="0" w:color="auto"/>
            <w:bottom w:val="none" w:sz="0" w:space="0" w:color="auto"/>
            <w:right w:val="none" w:sz="0" w:space="0" w:color="auto"/>
          </w:divBdr>
        </w:div>
        <w:div w:id="424227540">
          <w:marLeft w:val="0"/>
          <w:marRight w:val="0"/>
          <w:marTop w:val="0"/>
          <w:marBottom w:val="0"/>
          <w:divBdr>
            <w:top w:val="none" w:sz="0" w:space="0" w:color="auto"/>
            <w:left w:val="none" w:sz="0" w:space="0" w:color="auto"/>
            <w:bottom w:val="none" w:sz="0" w:space="0" w:color="auto"/>
            <w:right w:val="none" w:sz="0" w:space="0" w:color="auto"/>
          </w:divBdr>
        </w:div>
        <w:div w:id="439372808">
          <w:marLeft w:val="0"/>
          <w:marRight w:val="0"/>
          <w:marTop w:val="0"/>
          <w:marBottom w:val="0"/>
          <w:divBdr>
            <w:top w:val="none" w:sz="0" w:space="0" w:color="auto"/>
            <w:left w:val="none" w:sz="0" w:space="0" w:color="auto"/>
            <w:bottom w:val="none" w:sz="0" w:space="0" w:color="auto"/>
            <w:right w:val="none" w:sz="0" w:space="0" w:color="auto"/>
          </w:divBdr>
        </w:div>
        <w:div w:id="442001597">
          <w:marLeft w:val="0"/>
          <w:marRight w:val="0"/>
          <w:marTop w:val="0"/>
          <w:marBottom w:val="0"/>
          <w:divBdr>
            <w:top w:val="none" w:sz="0" w:space="0" w:color="auto"/>
            <w:left w:val="none" w:sz="0" w:space="0" w:color="auto"/>
            <w:bottom w:val="none" w:sz="0" w:space="0" w:color="auto"/>
            <w:right w:val="none" w:sz="0" w:space="0" w:color="auto"/>
          </w:divBdr>
        </w:div>
        <w:div w:id="451947777">
          <w:marLeft w:val="0"/>
          <w:marRight w:val="0"/>
          <w:marTop w:val="0"/>
          <w:marBottom w:val="0"/>
          <w:divBdr>
            <w:top w:val="none" w:sz="0" w:space="0" w:color="auto"/>
            <w:left w:val="none" w:sz="0" w:space="0" w:color="auto"/>
            <w:bottom w:val="none" w:sz="0" w:space="0" w:color="auto"/>
            <w:right w:val="none" w:sz="0" w:space="0" w:color="auto"/>
          </w:divBdr>
        </w:div>
        <w:div w:id="455215794">
          <w:marLeft w:val="0"/>
          <w:marRight w:val="0"/>
          <w:marTop w:val="0"/>
          <w:marBottom w:val="0"/>
          <w:divBdr>
            <w:top w:val="none" w:sz="0" w:space="0" w:color="auto"/>
            <w:left w:val="none" w:sz="0" w:space="0" w:color="auto"/>
            <w:bottom w:val="none" w:sz="0" w:space="0" w:color="auto"/>
            <w:right w:val="none" w:sz="0" w:space="0" w:color="auto"/>
          </w:divBdr>
        </w:div>
        <w:div w:id="463548102">
          <w:marLeft w:val="0"/>
          <w:marRight w:val="0"/>
          <w:marTop w:val="0"/>
          <w:marBottom w:val="0"/>
          <w:divBdr>
            <w:top w:val="none" w:sz="0" w:space="0" w:color="auto"/>
            <w:left w:val="none" w:sz="0" w:space="0" w:color="auto"/>
            <w:bottom w:val="none" w:sz="0" w:space="0" w:color="auto"/>
            <w:right w:val="none" w:sz="0" w:space="0" w:color="auto"/>
          </w:divBdr>
        </w:div>
        <w:div w:id="470711367">
          <w:marLeft w:val="0"/>
          <w:marRight w:val="0"/>
          <w:marTop w:val="0"/>
          <w:marBottom w:val="0"/>
          <w:divBdr>
            <w:top w:val="none" w:sz="0" w:space="0" w:color="auto"/>
            <w:left w:val="none" w:sz="0" w:space="0" w:color="auto"/>
            <w:bottom w:val="none" w:sz="0" w:space="0" w:color="auto"/>
            <w:right w:val="none" w:sz="0" w:space="0" w:color="auto"/>
          </w:divBdr>
        </w:div>
        <w:div w:id="485826356">
          <w:marLeft w:val="0"/>
          <w:marRight w:val="0"/>
          <w:marTop w:val="0"/>
          <w:marBottom w:val="0"/>
          <w:divBdr>
            <w:top w:val="none" w:sz="0" w:space="0" w:color="auto"/>
            <w:left w:val="none" w:sz="0" w:space="0" w:color="auto"/>
            <w:bottom w:val="none" w:sz="0" w:space="0" w:color="auto"/>
            <w:right w:val="none" w:sz="0" w:space="0" w:color="auto"/>
          </w:divBdr>
        </w:div>
        <w:div w:id="487017635">
          <w:marLeft w:val="0"/>
          <w:marRight w:val="0"/>
          <w:marTop w:val="0"/>
          <w:marBottom w:val="0"/>
          <w:divBdr>
            <w:top w:val="none" w:sz="0" w:space="0" w:color="auto"/>
            <w:left w:val="none" w:sz="0" w:space="0" w:color="auto"/>
            <w:bottom w:val="none" w:sz="0" w:space="0" w:color="auto"/>
            <w:right w:val="none" w:sz="0" w:space="0" w:color="auto"/>
          </w:divBdr>
        </w:div>
        <w:div w:id="505440286">
          <w:marLeft w:val="0"/>
          <w:marRight w:val="0"/>
          <w:marTop w:val="0"/>
          <w:marBottom w:val="0"/>
          <w:divBdr>
            <w:top w:val="none" w:sz="0" w:space="0" w:color="auto"/>
            <w:left w:val="none" w:sz="0" w:space="0" w:color="auto"/>
            <w:bottom w:val="none" w:sz="0" w:space="0" w:color="auto"/>
            <w:right w:val="none" w:sz="0" w:space="0" w:color="auto"/>
          </w:divBdr>
        </w:div>
        <w:div w:id="506141632">
          <w:marLeft w:val="0"/>
          <w:marRight w:val="0"/>
          <w:marTop w:val="0"/>
          <w:marBottom w:val="0"/>
          <w:divBdr>
            <w:top w:val="none" w:sz="0" w:space="0" w:color="auto"/>
            <w:left w:val="none" w:sz="0" w:space="0" w:color="auto"/>
            <w:bottom w:val="none" w:sz="0" w:space="0" w:color="auto"/>
            <w:right w:val="none" w:sz="0" w:space="0" w:color="auto"/>
          </w:divBdr>
        </w:div>
        <w:div w:id="511067166">
          <w:marLeft w:val="0"/>
          <w:marRight w:val="0"/>
          <w:marTop w:val="0"/>
          <w:marBottom w:val="0"/>
          <w:divBdr>
            <w:top w:val="none" w:sz="0" w:space="0" w:color="auto"/>
            <w:left w:val="none" w:sz="0" w:space="0" w:color="auto"/>
            <w:bottom w:val="none" w:sz="0" w:space="0" w:color="auto"/>
            <w:right w:val="none" w:sz="0" w:space="0" w:color="auto"/>
          </w:divBdr>
        </w:div>
        <w:div w:id="526408657">
          <w:marLeft w:val="0"/>
          <w:marRight w:val="0"/>
          <w:marTop w:val="0"/>
          <w:marBottom w:val="0"/>
          <w:divBdr>
            <w:top w:val="none" w:sz="0" w:space="0" w:color="auto"/>
            <w:left w:val="none" w:sz="0" w:space="0" w:color="auto"/>
            <w:bottom w:val="none" w:sz="0" w:space="0" w:color="auto"/>
            <w:right w:val="none" w:sz="0" w:space="0" w:color="auto"/>
          </w:divBdr>
        </w:div>
        <w:div w:id="533932660">
          <w:marLeft w:val="0"/>
          <w:marRight w:val="0"/>
          <w:marTop w:val="0"/>
          <w:marBottom w:val="0"/>
          <w:divBdr>
            <w:top w:val="none" w:sz="0" w:space="0" w:color="auto"/>
            <w:left w:val="none" w:sz="0" w:space="0" w:color="auto"/>
            <w:bottom w:val="none" w:sz="0" w:space="0" w:color="auto"/>
            <w:right w:val="none" w:sz="0" w:space="0" w:color="auto"/>
          </w:divBdr>
        </w:div>
        <w:div w:id="534930769">
          <w:marLeft w:val="0"/>
          <w:marRight w:val="0"/>
          <w:marTop w:val="0"/>
          <w:marBottom w:val="0"/>
          <w:divBdr>
            <w:top w:val="none" w:sz="0" w:space="0" w:color="auto"/>
            <w:left w:val="none" w:sz="0" w:space="0" w:color="auto"/>
            <w:bottom w:val="none" w:sz="0" w:space="0" w:color="auto"/>
            <w:right w:val="none" w:sz="0" w:space="0" w:color="auto"/>
          </w:divBdr>
        </w:div>
        <w:div w:id="539784237">
          <w:marLeft w:val="0"/>
          <w:marRight w:val="0"/>
          <w:marTop w:val="0"/>
          <w:marBottom w:val="0"/>
          <w:divBdr>
            <w:top w:val="none" w:sz="0" w:space="0" w:color="auto"/>
            <w:left w:val="none" w:sz="0" w:space="0" w:color="auto"/>
            <w:bottom w:val="none" w:sz="0" w:space="0" w:color="auto"/>
            <w:right w:val="none" w:sz="0" w:space="0" w:color="auto"/>
          </w:divBdr>
        </w:div>
        <w:div w:id="561135454">
          <w:marLeft w:val="0"/>
          <w:marRight w:val="0"/>
          <w:marTop w:val="0"/>
          <w:marBottom w:val="0"/>
          <w:divBdr>
            <w:top w:val="none" w:sz="0" w:space="0" w:color="auto"/>
            <w:left w:val="none" w:sz="0" w:space="0" w:color="auto"/>
            <w:bottom w:val="none" w:sz="0" w:space="0" w:color="auto"/>
            <w:right w:val="none" w:sz="0" w:space="0" w:color="auto"/>
          </w:divBdr>
        </w:div>
        <w:div w:id="599946043">
          <w:marLeft w:val="0"/>
          <w:marRight w:val="0"/>
          <w:marTop w:val="0"/>
          <w:marBottom w:val="0"/>
          <w:divBdr>
            <w:top w:val="none" w:sz="0" w:space="0" w:color="auto"/>
            <w:left w:val="none" w:sz="0" w:space="0" w:color="auto"/>
            <w:bottom w:val="none" w:sz="0" w:space="0" w:color="auto"/>
            <w:right w:val="none" w:sz="0" w:space="0" w:color="auto"/>
          </w:divBdr>
        </w:div>
        <w:div w:id="603805484">
          <w:marLeft w:val="0"/>
          <w:marRight w:val="0"/>
          <w:marTop w:val="0"/>
          <w:marBottom w:val="0"/>
          <w:divBdr>
            <w:top w:val="none" w:sz="0" w:space="0" w:color="auto"/>
            <w:left w:val="none" w:sz="0" w:space="0" w:color="auto"/>
            <w:bottom w:val="none" w:sz="0" w:space="0" w:color="auto"/>
            <w:right w:val="none" w:sz="0" w:space="0" w:color="auto"/>
          </w:divBdr>
        </w:div>
        <w:div w:id="604535049">
          <w:marLeft w:val="0"/>
          <w:marRight w:val="0"/>
          <w:marTop w:val="0"/>
          <w:marBottom w:val="0"/>
          <w:divBdr>
            <w:top w:val="none" w:sz="0" w:space="0" w:color="auto"/>
            <w:left w:val="none" w:sz="0" w:space="0" w:color="auto"/>
            <w:bottom w:val="none" w:sz="0" w:space="0" w:color="auto"/>
            <w:right w:val="none" w:sz="0" w:space="0" w:color="auto"/>
          </w:divBdr>
        </w:div>
        <w:div w:id="604651858">
          <w:marLeft w:val="0"/>
          <w:marRight w:val="0"/>
          <w:marTop w:val="0"/>
          <w:marBottom w:val="0"/>
          <w:divBdr>
            <w:top w:val="none" w:sz="0" w:space="0" w:color="auto"/>
            <w:left w:val="none" w:sz="0" w:space="0" w:color="auto"/>
            <w:bottom w:val="none" w:sz="0" w:space="0" w:color="auto"/>
            <w:right w:val="none" w:sz="0" w:space="0" w:color="auto"/>
          </w:divBdr>
        </w:div>
        <w:div w:id="629745904">
          <w:marLeft w:val="0"/>
          <w:marRight w:val="0"/>
          <w:marTop w:val="0"/>
          <w:marBottom w:val="0"/>
          <w:divBdr>
            <w:top w:val="none" w:sz="0" w:space="0" w:color="auto"/>
            <w:left w:val="none" w:sz="0" w:space="0" w:color="auto"/>
            <w:bottom w:val="none" w:sz="0" w:space="0" w:color="auto"/>
            <w:right w:val="none" w:sz="0" w:space="0" w:color="auto"/>
          </w:divBdr>
        </w:div>
        <w:div w:id="631904531">
          <w:marLeft w:val="0"/>
          <w:marRight w:val="0"/>
          <w:marTop w:val="0"/>
          <w:marBottom w:val="0"/>
          <w:divBdr>
            <w:top w:val="none" w:sz="0" w:space="0" w:color="auto"/>
            <w:left w:val="none" w:sz="0" w:space="0" w:color="auto"/>
            <w:bottom w:val="none" w:sz="0" w:space="0" w:color="auto"/>
            <w:right w:val="none" w:sz="0" w:space="0" w:color="auto"/>
          </w:divBdr>
        </w:div>
        <w:div w:id="632641295">
          <w:marLeft w:val="0"/>
          <w:marRight w:val="0"/>
          <w:marTop w:val="0"/>
          <w:marBottom w:val="0"/>
          <w:divBdr>
            <w:top w:val="none" w:sz="0" w:space="0" w:color="auto"/>
            <w:left w:val="none" w:sz="0" w:space="0" w:color="auto"/>
            <w:bottom w:val="none" w:sz="0" w:space="0" w:color="auto"/>
            <w:right w:val="none" w:sz="0" w:space="0" w:color="auto"/>
          </w:divBdr>
        </w:div>
        <w:div w:id="636107056">
          <w:marLeft w:val="0"/>
          <w:marRight w:val="0"/>
          <w:marTop w:val="0"/>
          <w:marBottom w:val="0"/>
          <w:divBdr>
            <w:top w:val="none" w:sz="0" w:space="0" w:color="auto"/>
            <w:left w:val="none" w:sz="0" w:space="0" w:color="auto"/>
            <w:bottom w:val="none" w:sz="0" w:space="0" w:color="auto"/>
            <w:right w:val="none" w:sz="0" w:space="0" w:color="auto"/>
          </w:divBdr>
        </w:div>
        <w:div w:id="648704591">
          <w:marLeft w:val="0"/>
          <w:marRight w:val="0"/>
          <w:marTop w:val="0"/>
          <w:marBottom w:val="0"/>
          <w:divBdr>
            <w:top w:val="none" w:sz="0" w:space="0" w:color="auto"/>
            <w:left w:val="none" w:sz="0" w:space="0" w:color="auto"/>
            <w:bottom w:val="none" w:sz="0" w:space="0" w:color="auto"/>
            <w:right w:val="none" w:sz="0" w:space="0" w:color="auto"/>
          </w:divBdr>
        </w:div>
        <w:div w:id="659695542">
          <w:marLeft w:val="0"/>
          <w:marRight w:val="0"/>
          <w:marTop w:val="0"/>
          <w:marBottom w:val="0"/>
          <w:divBdr>
            <w:top w:val="none" w:sz="0" w:space="0" w:color="auto"/>
            <w:left w:val="none" w:sz="0" w:space="0" w:color="auto"/>
            <w:bottom w:val="none" w:sz="0" w:space="0" w:color="auto"/>
            <w:right w:val="none" w:sz="0" w:space="0" w:color="auto"/>
          </w:divBdr>
        </w:div>
        <w:div w:id="660734499">
          <w:marLeft w:val="0"/>
          <w:marRight w:val="0"/>
          <w:marTop w:val="0"/>
          <w:marBottom w:val="0"/>
          <w:divBdr>
            <w:top w:val="none" w:sz="0" w:space="0" w:color="auto"/>
            <w:left w:val="none" w:sz="0" w:space="0" w:color="auto"/>
            <w:bottom w:val="none" w:sz="0" w:space="0" w:color="auto"/>
            <w:right w:val="none" w:sz="0" w:space="0" w:color="auto"/>
          </w:divBdr>
        </w:div>
        <w:div w:id="681008501">
          <w:marLeft w:val="0"/>
          <w:marRight w:val="0"/>
          <w:marTop w:val="0"/>
          <w:marBottom w:val="0"/>
          <w:divBdr>
            <w:top w:val="none" w:sz="0" w:space="0" w:color="auto"/>
            <w:left w:val="none" w:sz="0" w:space="0" w:color="auto"/>
            <w:bottom w:val="none" w:sz="0" w:space="0" w:color="auto"/>
            <w:right w:val="none" w:sz="0" w:space="0" w:color="auto"/>
          </w:divBdr>
        </w:div>
        <w:div w:id="702634721">
          <w:marLeft w:val="0"/>
          <w:marRight w:val="0"/>
          <w:marTop w:val="0"/>
          <w:marBottom w:val="0"/>
          <w:divBdr>
            <w:top w:val="none" w:sz="0" w:space="0" w:color="auto"/>
            <w:left w:val="none" w:sz="0" w:space="0" w:color="auto"/>
            <w:bottom w:val="none" w:sz="0" w:space="0" w:color="auto"/>
            <w:right w:val="none" w:sz="0" w:space="0" w:color="auto"/>
          </w:divBdr>
        </w:div>
        <w:div w:id="743913504">
          <w:marLeft w:val="0"/>
          <w:marRight w:val="0"/>
          <w:marTop w:val="0"/>
          <w:marBottom w:val="0"/>
          <w:divBdr>
            <w:top w:val="none" w:sz="0" w:space="0" w:color="auto"/>
            <w:left w:val="none" w:sz="0" w:space="0" w:color="auto"/>
            <w:bottom w:val="none" w:sz="0" w:space="0" w:color="auto"/>
            <w:right w:val="none" w:sz="0" w:space="0" w:color="auto"/>
          </w:divBdr>
        </w:div>
        <w:div w:id="770705964">
          <w:marLeft w:val="0"/>
          <w:marRight w:val="0"/>
          <w:marTop w:val="0"/>
          <w:marBottom w:val="0"/>
          <w:divBdr>
            <w:top w:val="none" w:sz="0" w:space="0" w:color="auto"/>
            <w:left w:val="none" w:sz="0" w:space="0" w:color="auto"/>
            <w:bottom w:val="none" w:sz="0" w:space="0" w:color="auto"/>
            <w:right w:val="none" w:sz="0" w:space="0" w:color="auto"/>
          </w:divBdr>
        </w:div>
        <w:div w:id="778838617">
          <w:marLeft w:val="0"/>
          <w:marRight w:val="0"/>
          <w:marTop w:val="0"/>
          <w:marBottom w:val="0"/>
          <w:divBdr>
            <w:top w:val="none" w:sz="0" w:space="0" w:color="auto"/>
            <w:left w:val="none" w:sz="0" w:space="0" w:color="auto"/>
            <w:bottom w:val="none" w:sz="0" w:space="0" w:color="auto"/>
            <w:right w:val="none" w:sz="0" w:space="0" w:color="auto"/>
          </w:divBdr>
        </w:div>
        <w:div w:id="783114375">
          <w:marLeft w:val="0"/>
          <w:marRight w:val="0"/>
          <w:marTop w:val="0"/>
          <w:marBottom w:val="0"/>
          <w:divBdr>
            <w:top w:val="none" w:sz="0" w:space="0" w:color="auto"/>
            <w:left w:val="none" w:sz="0" w:space="0" w:color="auto"/>
            <w:bottom w:val="none" w:sz="0" w:space="0" w:color="auto"/>
            <w:right w:val="none" w:sz="0" w:space="0" w:color="auto"/>
          </w:divBdr>
        </w:div>
        <w:div w:id="799149208">
          <w:marLeft w:val="0"/>
          <w:marRight w:val="0"/>
          <w:marTop w:val="0"/>
          <w:marBottom w:val="0"/>
          <w:divBdr>
            <w:top w:val="none" w:sz="0" w:space="0" w:color="auto"/>
            <w:left w:val="none" w:sz="0" w:space="0" w:color="auto"/>
            <w:bottom w:val="none" w:sz="0" w:space="0" w:color="auto"/>
            <w:right w:val="none" w:sz="0" w:space="0" w:color="auto"/>
          </w:divBdr>
        </w:div>
        <w:div w:id="811409632">
          <w:marLeft w:val="0"/>
          <w:marRight w:val="0"/>
          <w:marTop w:val="0"/>
          <w:marBottom w:val="0"/>
          <w:divBdr>
            <w:top w:val="none" w:sz="0" w:space="0" w:color="auto"/>
            <w:left w:val="none" w:sz="0" w:space="0" w:color="auto"/>
            <w:bottom w:val="none" w:sz="0" w:space="0" w:color="auto"/>
            <w:right w:val="none" w:sz="0" w:space="0" w:color="auto"/>
          </w:divBdr>
        </w:div>
        <w:div w:id="813058701">
          <w:marLeft w:val="0"/>
          <w:marRight w:val="0"/>
          <w:marTop w:val="0"/>
          <w:marBottom w:val="0"/>
          <w:divBdr>
            <w:top w:val="none" w:sz="0" w:space="0" w:color="auto"/>
            <w:left w:val="none" w:sz="0" w:space="0" w:color="auto"/>
            <w:bottom w:val="none" w:sz="0" w:space="0" w:color="auto"/>
            <w:right w:val="none" w:sz="0" w:space="0" w:color="auto"/>
          </w:divBdr>
        </w:div>
        <w:div w:id="817191650">
          <w:marLeft w:val="0"/>
          <w:marRight w:val="0"/>
          <w:marTop w:val="0"/>
          <w:marBottom w:val="0"/>
          <w:divBdr>
            <w:top w:val="none" w:sz="0" w:space="0" w:color="auto"/>
            <w:left w:val="none" w:sz="0" w:space="0" w:color="auto"/>
            <w:bottom w:val="none" w:sz="0" w:space="0" w:color="auto"/>
            <w:right w:val="none" w:sz="0" w:space="0" w:color="auto"/>
          </w:divBdr>
        </w:div>
        <w:div w:id="835346536">
          <w:marLeft w:val="0"/>
          <w:marRight w:val="0"/>
          <w:marTop w:val="0"/>
          <w:marBottom w:val="0"/>
          <w:divBdr>
            <w:top w:val="none" w:sz="0" w:space="0" w:color="auto"/>
            <w:left w:val="none" w:sz="0" w:space="0" w:color="auto"/>
            <w:bottom w:val="none" w:sz="0" w:space="0" w:color="auto"/>
            <w:right w:val="none" w:sz="0" w:space="0" w:color="auto"/>
          </w:divBdr>
        </w:div>
        <w:div w:id="850140884">
          <w:marLeft w:val="0"/>
          <w:marRight w:val="0"/>
          <w:marTop w:val="0"/>
          <w:marBottom w:val="0"/>
          <w:divBdr>
            <w:top w:val="none" w:sz="0" w:space="0" w:color="auto"/>
            <w:left w:val="none" w:sz="0" w:space="0" w:color="auto"/>
            <w:bottom w:val="none" w:sz="0" w:space="0" w:color="auto"/>
            <w:right w:val="none" w:sz="0" w:space="0" w:color="auto"/>
          </w:divBdr>
        </w:div>
        <w:div w:id="853112308">
          <w:marLeft w:val="0"/>
          <w:marRight w:val="0"/>
          <w:marTop w:val="0"/>
          <w:marBottom w:val="0"/>
          <w:divBdr>
            <w:top w:val="none" w:sz="0" w:space="0" w:color="auto"/>
            <w:left w:val="none" w:sz="0" w:space="0" w:color="auto"/>
            <w:bottom w:val="none" w:sz="0" w:space="0" w:color="auto"/>
            <w:right w:val="none" w:sz="0" w:space="0" w:color="auto"/>
          </w:divBdr>
        </w:div>
        <w:div w:id="859198811">
          <w:marLeft w:val="0"/>
          <w:marRight w:val="0"/>
          <w:marTop w:val="0"/>
          <w:marBottom w:val="0"/>
          <w:divBdr>
            <w:top w:val="none" w:sz="0" w:space="0" w:color="auto"/>
            <w:left w:val="none" w:sz="0" w:space="0" w:color="auto"/>
            <w:bottom w:val="none" w:sz="0" w:space="0" w:color="auto"/>
            <w:right w:val="none" w:sz="0" w:space="0" w:color="auto"/>
          </w:divBdr>
        </w:div>
        <w:div w:id="860316034">
          <w:marLeft w:val="0"/>
          <w:marRight w:val="0"/>
          <w:marTop w:val="0"/>
          <w:marBottom w:val="0"/>
          <w:divBdr>
            <w:top w:val="none" w:sz="0" w:space="0" w:color="auto"/>
            <w:left w:val="none" w:sz="0" w:space="0" w:color="auto"/>
            <w:bottom w:val="none" w:sz="0" w:space="0" w:color="auto"/>
            <w:right w:val="none" w:sz="0" w:space="0" w:color="auto"/>
          </w:divBdr>
        </w:div>
        <w:div w:id="861744026">
          <w:marLeft w:val="0"/>
          <w:marRight w:val="0"/>
          <w:marTop w:val="0"/>
          <w:marBottom w:val="0"/>
          <w:divBdr>
            <w:top w:val="none" w:sz="0" w:space="0" w:color="auto"/>
            <w:left w:val="none" w:sz="0" w:space="0" w:color="auto"/>
            <w:bottom w:val="none" w:sz="0" w:space="0" w:color="auto"/>
            <w:right w:val="none" w:sz="0" w:space="0" w:color="auto"/>
          </w:divBdr>
        </w:div>
        <w:div w:id="888103696">
          <w:marLeft w:val="0"/>
          <w:marRight w:val="0"/>
          <w:marTop w:val="0"/>
          <w:marBottom w:val="0"/>
          <w:divBdr>
            <w:top w:val="none" w:sz="0" w:space="0" w:color="auto"/>
            <w:left w:val="none" w:sz="0" w:space="0" w:color="auto"/>
            <w:bottom w:val="none" w:sz="0" w:space="0" w:color="auto"/>
            <w:right w:val="none" w:sz="0" w:space="0" w:color="auto"/>
          </w:divBdr>
        </w:div>
        <w:div w:id="897473509">
          <w:marLeft w:val="0"/>
          <w:marRight w:val="0"/>
          <w:marTop w:val="0"/>
          <w:marBottom w:val="0"/>
          <w:divBdr>
            <w:top w:val="none" w:sz="0" w:space="0" w:color="auto"/>
            <w:left w:val="none" w:sz="0" w:space="0" w:color="auto"/>
            <w:bottom w:val="none" w:sz="0" w:space="0" w:color="auto"/>
            <w:right w:val="none" w:sz="0" w:space="0" w:color="auto"/>
          </w:divBdr>
        </w:div>
        <w:div w:id="903829680">
          <w:marLeft w:val="0"/>
          <w:marRight w:val="0"/>
          <w:marTop w:val="0"/>
          <w:marBottom w:val="0"/>
          <w:divBdr>
            <w:top w:val="none" w:sz="0" w:space="0" w:color="auto"/>
            <w:left w:val="none" w:sz="0" w:space="0" w:color="auto"/>
            <w:bottom w:val="none" w:sz="0" w:space="0" w:color="auto"/>
            <w:right w:val="none" w:sz="0" w:space="0" w:color="auto"/>
          </w:divBdr>
        </w:div>
        <w:div w:id="964042078">
          <w:marLeft w:val="0"/>
          <w:marRight w:val="0"/>
          <w:marTop w:val="0"/>
          <w:marBottom w:val="0"/>
          <w:divBdr>
            <w:top w:val="none" w:sz="0" w:space="0" w:color="auto"/>
            <w:left w:val="none" w:sz="0" w:space="0" w:color="auto"/>
            <w:bottom w:val="none" w:sz="0" w:space="0" w:color="auto"/>
            <w:right w:val="none" w:sz="0" w:space="0" w:color="auto"/>
          </w:divBdr>
        </w:div>
        <w:div w:id="964042720">
          <w:marLeft w:val="0"/>
          <w:marRight w:val="0"/>
          <w:marTop w:val="0"/>
          <w:marBottom w:val="0"/>
          <w:divBdr>
            <w:top w:val="none" w:sz="0" w:space="0" w:color="auto"/>
            <w:left w:val="none" w:sz="0" w:space="0" w:color="auto"/>
            <w:bottom w:val="none" w:sz="0" w:space="0" w:color="auto"/>
            <w:right w:val="none" w:sz="0" w:space="0" w:color="auto"/>
          </w:divBdr>
        </w:div>
        <w:div w:id="989092931">
          <w:marLeft w:val="0"/>
          <w:marRight w:val="0"/>
          <w:marTop w:val="0"/>
          <w:marBottom w:val="0"/>
          <w:divBdr>
            <w:top w:val="none" w:sz="0" w:space="0" w:color="auto"/>
            <w:left w:val="none" w:sz="0" w:space="0" w:color="auto"/>
            <w:bottom w:val="none" w:sz="0" w:space="0" w:color="auto"/>
            <w:right w:val="none" w:sz="0" w:space="0" w:color="auto"/>
          </w:divBdr>
        </w:div>
        <w:div w:id="991757590">
          <w:marLeft w:val="0"/>
          <w:marRight w:val="0"/>
          <w:marTop w:val="0"/>
          <w:marBottom w:val="0"/>
          <w:divBdr>
            <w:top w:val="none" w:sz="0" w:space="0" w:color="auto"/>
            <w:left w:val="none" w:sz="0" w:space="0" w:color="auto"/>
            <w:bottom w:val="none" w:sz="0" w:space="0" w:color="auto"/>
            <w:right w:val="none" w:sz="0" w:space="0" w:color="auto"/>
          </w:divBdr>
        </w:div>
        <w:div w:id="1055199698">
          <w:marLeft w:val="0"/>
          <w:marRight w:val="0"/>
          <w:marTop w:val="0"/>
          <w:marBottom w:val="0"/>
          <w:divBdr>
            <w:top w:val="none" w:sz="0" w:space="0" w:color="auto"/>
            <w:left w:val="none" w:sz="0" w:space="0" w:color="auto"/>
            <w:bottom w:val="none" w:sz="0" w:space="0" w:color="auto"/>
            <w:right w:val="none" w:sz="0" w:space="0" w:color="auto"/>
          </w:divBdr>
        </w:div>
        <w:div w:id="1077897508">
          <w:marLeft w:val="0"/>
          <w:marRight w:val="0"/>
          <w:marTop w:val="0"/>
          <w:marBottom w:val="0"/>
          <w:divBdr>
            <w:top w:val="none" w:sz="0" w:space="0" w:color="auto"/>
            <w:left w:val="none" w:sz="0" w:space="0" w:color="auto"/>
            <w:bottom w:val="none" w:sz="0" w:space="0" w:color="auto"/>
            <w:right w:val="none" w:sz="0" w:space="0" w:color="auto"/>
          </w:divBdr>
        </w:div>
        <w:div w:id="1078484322">
          <w:marLeft w:val="0"/>
          <w:marRight w:val="0"/>
          <w:marTop w:val="0"/>
          <w:marBottom w:val="0"/>
          <w:divBdr>
            <w:top w:val="none" w:sz="0" w:space="0" w:color="auto"/>
            <w:left w:val="none" w:sz="0" w:space="0" w:color="auto"/>
            <w:bottom w:val="none" w:sz="0" w:space="0" w:color="auto"/>
            <w:right w:val="none" w:sz="0" w:space="0" w:color="auto"/>
          </w:divBdr>
        </w:div>
        <w:div w:id="1082214011">
          <w:marLeft w:val="0"/>
          <w:marRight w:val="0"/>
          <w:marTop w:val="0"/>
          <w:marBottom w:val="0"/>
          <w:divBdr>
            <w:top w:val="none" w:sz="0" w:space="0" w:color="auto"/>
            <w:left w:val="none" w:sz="0" w:space="0" w:color="auto"/>
            <w:bottom w:val="none" w:sz="0" w:space="0" w:color="auto"/>
            <w:right w:val="none" w:sz="0" w:space="0" w:color="auto"/>
          </w:divBdr>
        </w:div>
        <w:div w:id="1087655175">
          <w:marLeft w:val="0"/>
          <w:marRight w:val="0"/>
          <w:marTop w:val="0"/>
          <w:marBottom w:val="0"/>
          <w:divBdr>
            <w:top w:val="none" w:sz="0" w:space="0" w:color="auto"/>
            <w:left w:val="none" w:sz="0" w:space="0" w:color="auto"/>
            <w:bottom w:val="none" w:sz="0" w:space="0" w:color="auto"/>
            <w:right w:val="none" w:sz="0" w:space="0" w:color="auto"/>
          </w:divBdr>
        </w:div>
        <w:div w:id="1109814298">
          <w:marLeft w:val="0"/>
          <w:marRight w:val="0"/>
          <w:marTop w:val="0"/>
          <w:marBottom w:val="0"/>
          <w:divBdr>
            <w:top w:val="none" w:sz="0" w:space="0" w:color="auto"/>
            <w:left w:val="none" w:sz="0" w:space="0" w:color="auto"/>
            <w:bottom w:val="none" w:sz="0" w:space="0" w:color="auto"/>
            <w:right w:val="none" w:sz="0" w:space="0" w:color="auto"/>
          </w:divBdr>
        </w:div>
        <w:div w:id="1137801587">
          <w:marLeft w:val="0"/>
          <w:marRight w:val="0"/>
          <w:marTop w:val="0"/>
          <w:marBottom w:val="0"/>
          <w:divBdr>
            <w:top w:val="none" w:sz="0" w:space="0" w:color="auto"/>
            <w:left w:val="none" w:sz="0" w:space="0" w:color="auto"/>
            <w:bottom w:val="none" w:sz="0" w:space="0" w:color="auto"/>
            <w:right w:val="none" w:sz="0" w:space="0" w:color="auto"/>
          </w:divBdr>
        </w:div>
        <w:div w:id="1165166718">
          <w:marLeft w:val="0"/>
          <w:marRight w:val="0"/>
          <w:marTop w:val="0"/>
          <w:marBottom w:val="0"/>
          <w:divBdr>
            <w:top w:val="none" w:sz="0" w:space="0" w:color="auto"/>
            <w:left w:val="none" w:sz="0" w:space="0" w:color="auto"/>
            <w:bottom w:val="none" w:sz="0" w:space="0" w:color="auto"/>
            <w:right w:val="none" w:sz="0" w:space="0" w:color="auto"/>
          </w:divBdr>
        </w:div>
        <w:div w:id="1186213692">
          <w:marLeft w:val="0"/>
          <w:marRight w:val="0"/>
          <w:marTop w:val="0"/>
          <w:marBottom w:val="0"/>
          <w:divBdr>
            <w:top w:val="none" w:sz="0" w:space="0" w:color="auto"/>
            <w:left w:val="none" w:sz="0" w:space="0" w:color="auto"/>
            <w:bottom w:val="none" w:sz="0" w:space="0" w:color="auto"/>
            <w:right w:val="none" w:sz="0" w:space="0" w:color="auto"/>
          </w:divBdr>
        </w:div>
        <w:div w:id="1201893161">
          <w:marLeft w:val="0"/>
          <w:marRight w:val="0"/>
          <w:marTop w:val="0"/>
          <w:marBottom w:val="0"/>
          <w:divBdr>
            <w:top w:val="none" w:sz="0" w:space="0" w:color="auto"/>
            <w:left w:val="none" w:sz="0" w:space="0" w:color="auto"/>
            <w:bottom w:val="none" w:sz="0" w:space="0" w:color="auto"/>
            <w:right w:val="none" w:sz="0" w:space="0" w:color="auto"/>
          </w:divBdr>
        </w:div>
        <w:div w:id="1211071618">
          <w:marLeft w:val="0"/>
          <w:marRight w:val="0"/>
          <w:marTop w:val="0"/>
          <w:marBottom w:val="0"/>
          <w:divBdr>
            <w:top w:val="none" w:sz="0" w:space="0" w:color="auto"/>
            <w:left w:val="none" w:sz="0" w:space="0" w:color="auto"/>
            <w:bottom w:val="none" w:sz="0" w:space="0" w:color="auto"/>
            <w:right w:val="none" w:sz="0" w:space="0" w:color="auto"/>
          </w:divBdr>
        </w:div>
        <w:div w:id="1224606010">
          <w:marLeft w:val="0"/>
          <w:marRight w:val="0"/>
          <w:marTop w:val="0"/>
          <w:marBottom w:val="0"/>
          <w:divBdr>
            <w:top w:val="none" w:sz="0" w:space="0" w:color="auto"/>
            <w:left w:val="none" w:sz="0" w:space="0" w:color="auto"/>
            <w:bottom w:val="none" w:sz="0" w:space="0" w:color="auto"/>
            <w:right w:val="none" w:sz="0" w:space="0" w:color="auto"/>
          </w:divBdr>
        </w:div>
        <w:div w:id="1242712381">
          <w:marLeft w:val="0"/>
          <w:marRight w:val="0"/>
          <w:marTop w:val="0"/>
          <w:marBottom w:val="0"/>
          <w:divBdr>
            <w:top w:val="none" w:sz="0" w:space="0" w:color="auto"/>
            <w:left w:val="none" w:sz="0" w:space="0" w:color="auto"/>
            <w:bottom w:val="none" w:sz="0" w:space="0" w:color="auto"/>
            <w:right w:val="none" w:sz="0" w:space="0" w:color="auto"/>
          </w:divBdr>
        </w:div>
        <w:div w:id="1271429436">
          <w:marLeft w:val="0"/>
          <w:marRight w:val="0"/>
          <w:marTop w:val="0"/>
          <w:marBottom w:val="0"/>
          <w:divBdr>
            <w:top w:val="none" w:sz="0" w:space="0" w:color="auto"/>
            <w:left w:val="none" w:sz="0" w:space="0" w:color="auto"/>
            <w:bottom w:val="none" w:sz="0" w:space="0" w:color="auto"/>
            <w:right w:val="none" w:sz="0" w:space="0" w:color="auto"/>
          </w:divBdr>
        </w:div>
        <w:div w:id="1272933215">
          <w:marLeft w:val="0"/>
          <w:marRight w:val="0"/>
          <w:marTop w:val="0"/>
          <w:marBottom w:val="0"/>
          <w:divBdr>
            <w:top w:val="none" w:sz="0" w:space="0" w:color="auto"/>
            <w:left w:val="none" w:sz="0" w:space="0" w:color="auto"/>
            <w:bottom w:val="none" w:sz="0" w:space="0" w:color="auto"/>
            <w:right w:val="none" w:sz="0" w:space="0" w:color="auto"/>
          </w:divBdr>
        </w:div>
        <w:div w:id="1295675448">
          <w:marLeft w:val="0"/>
          <w:marRight w:val="0"/>
          <w:marTop w:val="0"/>
          <w:marBottom w:val="0"/>
          <w:divBdr>
            <w:top w:val="none" w:sz="0" w:space="0" w:color="auto"/>
            <w:left w:val="none" w:sz="0" w:space="0" w:color="auto"/>
            <w:bottom w:val="none" w:sz="0" w:space="0" w:color="auto"/>
            <w:right w:val="none" w:sz="0" w:space="0" w:color="auto"/>
          </w:divBdr>
        </w:div>
        <w:div w:id="1315329030">
          <w:marLeft w:val="0"/>
          <w:marRight w:val="0"/>
          <w:marTop w:val="0"/>
          <w:marBottom w:val="0"/>
          <w:divBdr>
            <w:top w:val="none" w:sz="0" w:space="0" w:color="auto"/>
            <w:left w:val="none" w:sz="0" w:space="0" w:color="auto"/>
            <w:bottom w:val="none" w:sz="0" w:space="0" w:color="auto"/>
            <w:right w:val="none" w:sz="0" w:space="0" w:color="auto"/>
          </w:divBdr>
        </w:div>
        <w:div w:id="1317682108">
          <w:marLeft w:val="0"/>
          <w:marRight w:val="0"/>
          <w:marTop w:val="0"/>
          <w:marBottom w:val="0"/>
          <w:divBdr>
            <w:top w:val="none" w:sz="0" w:space="0" w:color="auto"/>
            <w:left w:val="none" w:sz="0" w:space="0" w:color="auto"/>
            <w:bottom w:val="none" w:sz="0" w:space="0" w:color="auto"/>
            <w:right w:val="none" w:sz="0" w:space="0" w:color="auto"/>
          </w:divBdr>
        </w:div>
        <w:div w:id="1327593597">
          <w:marLeft w:val="0"/>
          <w:marRight w:val="0"/>
          <w:marTop w:val="0"/>
          <w:marBottom w:val="0"/>
          <w:divBdr>
            <w:top w:val="none" w:sz="0" w:space="0" w:color="auto"/>
            <w:left w:val="none" w:sz="0" w:space="0" w:color="auto"/>
            <w:bottom w:val="none" w:sz="0" w:space="0" w:color="auto"/>
            <w:right w:val="none" w:sz="0" w:space="0" w:color="auto"/>
          </w:divBdr>
        </w:div>
        <w:div w:id="1332755806">
          <w:marLeft w:val="0"/>
          <w:marRight w:val="0"/>
          <w:marTop w:val="0"/>
          <w:marBottom w:val="0"/>
          <w:divBdr>
            <w:top w:val="none" w:sz="0" w:space="0" w:color="auto"/>
            <w:left w:val="none" w:sz="0" w:space="0" w:color="auto"/>
            <w:bottom w:val="none" w:sz="0" w:space="0" w:color="auto"/>
            <w:right w:val="none" w:sz="0" w:space="0" w:color="auto"/>
          </w:divBdr>
        </w:div>
        <w:div w:id="1346443290">
          <w:marLeft w:val="0"/>
          <w:marRight w:val="0"/>
          <w:marTop w:val="0"/>
          <w:marBottom w:val="0"/>
          <w:divBdr>
            <w:top w:val="none" w:sz="0" w:space="0" w:color="auto"/>
            <w:left w:val="none" w:sz="0" w:space="0" w:color="auto"/>
            <w:bottom w:val="none" w:sz="0" w:space="0" w:color="auto"/>
            <w:right w:val="none" w:sz="0" w:space="0" w:color="auto"/>
          </w:divBdr>
        </w:div>
        <w:div w:id="1351568528">
          <w:marLeft w:val="0"/>
          <w:marRight w:val="0"/>
          <w:marTop w:val="0"/>
          <w:marBottom w:val="0"/>
          <w:divBdr>
            <w:top w:val="none" w:sz="0" w:space="0" w:color="auto"/>
            <w:left w:val="none" w:sz="0" w:space="0" w:color="auto"/>
            <w:bottom w:val="none" w:sz="0" w:space="0" w:color="auto"/>
            <w:right w:val="none" w:sz="0" w:space="0" w:color="auto"/>
          </w:divBdr>
        </w:div>
        <w:div w:id="1357581492">
          <w:marLeft w:val="0"/>
          <w:marRight w:val="0"/>
          <w:marTop w:val="0"/>
          <w:marBottom w:val="0"/>
          <w:divBdr>
            <w:top w:val="none" w:sz="0" w:space="0" w:color="auto"/>
            <w:left w:val="none" w:sz="0" w:space="0" w:color="auto"/>
            <w:bottom w:val="none" w:sz="0" w:space="0" w:color="auto"/>
            <w:right w:val="none" w:sz="0" w:space="0" w:color="auto"/>
          </w:divBdr>
        </w:div>
        <w:div w:id="1364481421">
          <w:marLeft w:val="0"/>
          <w:marRight w:val="0"/>
          <w:marTop w:val="0"/>
          <w:marBottom w:val="0"/>
          <w:divBdr>
            <w:top w:val="none" w:sz="0" w:space="0" w:color="auto"/>
            <w:left w:val="none" w:sz="0" w:space="0" w:color="auto"/>
            <w:bottom w:val="none" w:sz="0" w:space="0" w:color="auto"/>
            <w:right w:val="none" w:sz="0" w:space="0" w:color="auto"/>
          </w:divBdr>
        </w:div>
        <w:div w:id="1365517971">
          <w:marLeft w:val="0"/>
          <w:marRight w:val="0"/>
          <w:marTop w:val="0"/>
          <w:marBottom w:val="0"/>
          <w:divBdr>
            <w:top w:val="none" w:sz="0" w:space="0" w:color="auto"/>
            <w:left w:val="none" w:sz="0" w:space="0" w:color="auto"/>
            <w:bottom w:val="none" w:sz="0" w:space="0" w:color="auto"/>
            <w:right w:val="none" w:sz="0" w:space="0" w:color="auto"/>
          </w:divBdr>
        </w:div>
        <w:div w:id="1378162625">
          <w:marLeft w:val="0"/>
          <w:marRight w:val="0"/>
          <w:marTop w:val="0"/>
          <w:marBottom w:val="0"/>
          <w:divBdr>
            <w:top w:val="none" w:sz="0" w:space="0" w:color="auto"/>
            <w:left w:val="none" w:sz="0" w:space="0" w:color="auto"/>
            <w:bottom w:val="none" w:sz="0" w:space="0" w:color="auto"/>
            <w:right w:val="none" w:sz="0" w:space="0" w:color="auto"/>
          </w:divBdr>
        </w:div>
        <w:div w:id="1380475117">
          <w:marLeft w:val="0"/>
          <w:marRight w:val="0"/>
          <w:marTop w:val="0"/>
          <w:marBottom w:val="0"/>
          <w:divBdr>
            <w:top w:val="none" w:sz="0" w:space="0" w:color="auto"/>
            <w:left w:val="none" w:sz="0" w:space="0" w:color="auto"/>
            <w:bottom w:val="none" w:sz="0" w:space="0" w:color="auto"/>
            <w:right w:val="none" w:sz="0" w:space="0" w:color="auto"/>
          </w:divBdr>
        </w:div>
        <w:div w:id="1390768563">
          <w:marLeft w:val="0"/>
          <w:marRight w:val="0"/>
          <w:marTop w:val="0"/>
          <w:marBottom w:val="0"/>
          <w:divBdr>
            <w:top w:val="none" w:sz="0" w:space="0" w:color="auto"/>
            <w:left w:val="none" w:sz="0" w:space="0" w:color="auto"/>
            <w:bottom w:val="none" w:sz="0" w:space="0" w:color="auto"/>
            <w:right w:val="none" w:sz="0" w:space="0" w:color="auto"/>
          </w:divBdr>
        </w:div>
        <w:div w:id="1393843430">
          <w:marLeft w:val="0"/>
          <w:marRight w:val="0"/>
          <w:marTop w:val="0"/>
          <w:marBottom w:val="0"/>
          <w:divBdr>
            <w:top w:val="none" w:sz="0" w:space="0" w:color="auto"/>
            <w:left w:val="none" w:sz="0" w:space="0" w:color="auto"/>
            <w:bottom w:val="none" w:sz="0" w:space="0" w:color="auto"/>
            <w:right w:val="none" w:sz="0" w:space="0" w:color="auto"/>
          </w:divBdr>
        </w:div>
        <w:div w:id="1414620721">
          <w:marLeft w:val="0"/>
          <w:marRight w:val="0"/>
          <w:marTop w:val="0"/>
          <w:marBottom w:val="0"/>
          <w:divBdr>
            <w:top w:val="none" w:sz="0" w:space="0" w:color="auto"/>
            <w:left w:val="none" w:sz="0" w:space="0" w:color="auto"/>
            <w:bottom w:val="none" w:sz="0" w:space="0" w:color="auto"/>
            <w:right w:val="none" w:sz="0" w:space="0" w:color="auto"/>
          </w:divBdr>
        </w:div>
        <w:div w:id="1438137543">
          <w:marLeft w:val="0"/>
          <w:marRight w:val="0"/>
          <w:marTop w:val="0"/>
          <w:marBottom w:val="0"/>
          <w:divBdr>
            <w:top w:val="none" w:sz="0" w:space="0" w:color="auto"/>
            <w:left w:val="none" w:sz="0" w:space="0" w:color="auto"/>
            <w:bottom w:val="none" w:sz="0" w:space="0" w:color="auto"/>
            <w:right w:val="none" w:sz="0" w:space="0" w:color="auto"/>
          </w:divBdr>
        </w:div>
        <w:div w:id="1477140885">
          <w:marLeft w:val="0"/>
          <w:marRight w:val="0"/>
          <w:marTop w:val="0"/>
          <w:marBottom w:val="0"/>
          <w:divBdr>
            <w:top w:val="none" w:sz="0" w:space="0" w:color="auto"/>
            <w:left w:val="none" w:sz="0" w:space="0" w:color="auto"/>
            <w:bottom w:val="none" w:sz="0" w:space="0" w:color="auto"/>
            <w:right w:val="none" w:sz="0" w:space="0" w:color="auto"/>
          </w:divBdr>
        </w:div>
        <w:div w:id="1481728814">
          <w:marLeft w:val="0"/>
          <w:marRight w:val="0"/>
          <w:marTop w:val="0"/>
          <w:marBottom w:val="0"/>
          <w:divBdr>
            <w:top w:val="none" w:sz="0" w:space="0" w:color="auto"/>
            <w:left w:val="none" w:sz="0" w:space="0" w:color="auto"/>
            <w:bottom w:val="none" w:sz="0" w:space="0" w:color="auto"/>
            <w:right w:val="none" w:sz="0" w:space="0" w:color="auto"/>
          </w:divBdr>
        </w:div>
        <w:div w:id="1489445130">
          <w:marLeft w:val="0"/>
          <w:marRight w:val="0"/>
          <w:marTop w:val="0"/>
          <w:marBottom w:val="0"/>
          <w:divBdr>
            <w:top w:val="none" w:sz="0" w:space="0" w:color="auto"/>
            <w:left w:val="none" w:sz="0" w:space="0" w:color="auto"/>
            <w:bottom w:val="none" w:sz="0" w:space="0" w:color="auto"/>
            <w:right w:val="none" w:sz="0" w:space="0" w:color="auto"/>
          </w:divBdr>
        </w:div>
        <w:div w:id="1489587496">
          <w:marLeft w:val="0"/>
          <w:marRight w:val="0"/>
          <w:marTop w:val="0"/>
          <w:marBottom w:val="0"/>
          <w:divBdr>
            <w:top w:val="none" w:sz="0" w:space="0" w:color="auto"/>
            <w:left w:val="none" w:sz="0" w:space="0" w:color="auto"/>
            <w:bottom w:val="none" w:sz="0" w:space="0" w:color="auto"/>
            <w:right w:val="none" w:sz="0" w:space="0" w:color="auto"/>
          </w:divBdr>
        </w:div>
        <w:div w:id="1498501290">
          <w:marLeft w:val="0"/>
          <w:marRight w:val="0"/>
          <w:marTop w:val="0"/>
          <w:marBottom w:val="0"/>
          <w:divBdr>
            <w:top w:val="none" w:sz="0" w:space="0" w:color="auto"/>
            <w:left w:val="none" w:sz="0" w:space="0" w:color="auto"/>
            <w:bottom w:val="none" w:sz="0" w:space="0" w:color="auto"/>
            <w:right w:val="none" w:sz="0" w:space="0" w:color="auto"/>
          </w:divBdr>
        </w:div>
        <w:div w:id="1498840956">
          <w:marLeft w:val="0"/>
          <w:marRight w:val="0"/>
          <w:marTop w:val="0"/>
          <w:marBottom w:val="0"/>
          <w:divBdr>
            <w:top w:val="none" w:sz="0" w:space="0" w:color="auto"/>
            <w:left w:val="none" w:sz="0" w:space="0" w:color="auto"/>
            <w:bottom w:val="none" w:sz="0" w:space="0" w:color="auto"/>
            <w:right w:val="none" w:sz="0" w:space="0" w:color="auto"/>
          </w:divBdr>
        </w:div>
        <w:div w:id="1519268789">
          <w:marLeft w:val="0"/>
          <w:marRight w:val="0"/>
          <w:marTop w:val="0"/>
          <w:marBottom w:val="0"/>
          <w:divBdr>
            <w:top w:val="none" w:sz="0" w:space="0" w:color="auto"/>
            <w:left w:val="none" w:sz="0" w:space="0" w:color="auto"/>
            <w:bottom w:val="none" w:sz="0" w:space="0" w:color="auto"/>
            <w:right w:val="none" w:sz="0" w:space="0" w:color="auto"/>
          </w:divBdr>
        </w:div>
        <w:div w:id="1531987111">
          <w:marLeft w:val="0"/>
          <w:marRight w:val="0"/>
          <w:marTop w:val="0"/>
          <w:marBottom w:val="0"/>
          <w:divBdr>
            <w:top w:val="none" w:sz="0" w:space="0" w:color="auto"/>
            <w:left w:val="none" w:sz="0" w:space="0" w:color="auto"/>
            <w:bottom w:val="none" w:sz="0" w:space="0" w:color="auto"/>
            <w:right w:val="none" w:sz="0" w:space="0" w:color="auto"/>
          </w:divBdr>
        </w:div>
        <w:div w:id="1545290516">
          <w:marLeft w:val="0"/>
          <w:marRight w:val="0"/>
          <w:marTop w:val="0"/>
          <w:marBottom w:val="0"/>
          <w:divBdr>
            <w:top w:val="none" w:sz="0" w:space="0" w:color="auto"/>
            <w:left w:val="none" w:sz="0" w:space="0" w:color="auto"/>
            <w:bottom w:val="none" w:sz="0" w:space="0" w:color="auto"/>
            <w:right w:val="none" w:sz="0" w:space="0" w:color="auto"/>
          </w:divBdr>
        </w:div>
        <w:div w:id="1554270457">
          <w:marLeft w:val="0"/>
          <w:marRight w:val="0"/>
          <w:marTop w:val="0"/>
          <w:marBottom w:val="0"/>
          <w:divBdr>
            <w:top w:val="none" w:sz="0" w:space="0" w:color="auto"/>
            <w:left w:val="none" w:sz="0" w:space="0" w:color="auto"/>
            <w:bottom w:val="none" w:sz="0" w:space="0" w:color="auto"/>
            <w:right w:val="none" w:sz="0" w:space="0" w:color="auto"/>
          </w:divBdr>
        </w:div>
        <w:div w:id="1610701865">
          <w:marLeft w:val="0"/>
          <w:marRight w:val="0"/>
          <w:marTop w:val="0"/>
          <w:marBottom w:val="0"/>
          <w:divBdr>
            <w:top w:val="none" w:sz="0" w:space="0" w:color="auto"/>
            <w:left w:val="none" w:sz="0" w:space="0" w:color="auto"/>
            <w:bottom w:val="none" w:sz="0" w:space="0" w:color="auto"/>
            <w:right w:val="none" w:sz="0" w:space="0" w:color="auto"/>
          </w:divBdr>
        </w:div>
        <w:div w:id="1626040979">
          <w:marLeft w:val="0"/>
          <w:marRight w:val="0"/>
          <w:marTop w:val="0"/>
          <w:marBottom w:val="0"/>
          <w:divBdr>
            <w:top w:val="none" w:sz="0" w:space="0" w:color="auto"/>
            <w:left w:val="none" w:sz="0" w:space="0" w:color="auto"/>
            <w:bottom w:val="none" w:sz="0" w:space="0" w:color="auto"/>
            <w:right w:val="none" w:sz="0" w:space="0" w:color="auto"/>
          </w:divBdr>
        </w:div>
        <w:div w:id="1640721244">
          <w:marLeft w:val="0"/>
          <w:marRight w:val="0"/>
          <w:marTop w:val="0"/>
          <w:marBottom w:val="0"/>
          <w:divBdr>
            <w:top w:val="none" w:sz="0" w:space="0" w:color="auto"/>
            <w:left w:val="none" w:sz="0" w:space="0" w:color="auto"/>
            <w:bottom w:val="none" w:sz="0" w:space="0" w:color="auto"/>
            <w:right w:val="none" w:sz="0" w:space="0" w:color="auto"/>
          </w:divBdr>
        </w:div>
        <w:div w:id="1651471893">
          <w:marLeft w:val="0"/>
          <w:marRight w:val="0"/>
          <w:marTop w:val="0"/>
          <w:marBottom w:val="0"/>
          <w:divBdr>
            <w:top w:val="none" w:sz="0" w:space="0" w:color="auto"/>
            <w:left w:val="none" w:sz="0" w:space="0" w:color="auto"/>
            <w:bottom w:val="none" w:sz="0" w:space="0" w:color="auto"/>
            <w:right w:val="none" w:sz="0" w:space="0" w:color="auto"/>
          </w:divBdr>
        </w:div>
        <w:div w:id="1704136467">
          <w:marLeft w:val="0"/>
          <w:marRight w:val="0"/>
          <w:marTop w:val="0"/>
          <w:marBottom w:val="0"/>
          <w:divBdr>
            <w:top w:val="none" w:sz="0" w:space="0" w:color="auto"/>
            <w:left w:val="none" w:sz="0" w:space="0" w:color="auto"/>
            <w:bottom w:val="none" w:sz="0" w:space="0" w:color="auto"/>
            <w:right w:val="none" w:sz="0" w:space="0" w:color="auto"/>
          </w:divBdr>
        </w:div>
        <w:div w:id="1709525276">
          <w:marLeft w:val="0"/>
          <w:marRight w:val="0"/>
          <w:marTop w:val="0"/>
          <w:marBottom w:val="0"/>
          <w:divBdr>
            <w:top w:val="none" w:sz="0" w:space="0" w:color="auto"/>
            <w:left w:val="none" w:sz="0" w:space="0" w:color="auto"/>
            <w:bottom w:val="none" w:sz="0" w:space="0" w:color="auto"/>
            <w:right w:val="none" w:sz="0" w:space="0" w:color="auto"/>
          </w:divBdr>
        </w:div>
        <w:div w:id="1716584969">
          <w:marLeft w:val="0"/>
          <w:marRight w:val="0"/>
          <w:marTop w:val="0"/>
          <w:marBottom w:val="0"/>
          <w:divBdr>
            <w:top w:val="none" w:sz="0" w:space="0" w:color="auto"/>
            <w:left w:val="none" w:sz="0" w:space="0" w:color="auto"/>
            <w:bottom w:val="none" w:sz="0" w:space="0" w:color="auto"/>
            <w:right w:val="none" w:sz="0" w:space="0" w:color="auto"/>
          </w:divBdr>
        </w:div>
        <w:div w:id="1731343400">
          <w:marLeft w:val="0"/>
          <w:marRight w:val="0"/>
          <w:marTop w:val="0"/>
          <w:marBottom w:val="0"/>
          <w:divBdr>
            <w:top w:val="none" w:sz="0" w:space="0" w:color="auto"/>
            <w:left w:val="none" w:sz="0" w:space="0" w:color="auto"/>
            <w:bottom w:val="none" w:sz="0" w:space="0" w:color="auto"/>
            <w:right w:val="none" w:sz="0" w:space="0" w:color="auto"/>
          </w:divBdr>
        </w:div>
        <w:div w:id="1740403331">
          <w:marLeft w:val="0"/>
          <w:marRight w:val="0"/>
          <w:marTop w:val="0"/>
          <w:marBottom w:val="0"/>
          <w:divBdr>
            <w:top w:val="none" w:sz="0" w:space="0" w:color="auto"/>
            <w:left w:val="none" w:sz="0" w:space="0" w:color="auto"/>
            <w:bottom w:val="none" w:sz="0" w:space="0" w:color="auto"/>
            <w:right w:val="none" w:sz="0" w:space="0" w:color="auto"/>
          </w:divBdr>
        </w:div>
        <w:div w:id="1742827665">
          <w:marLeft w:val="0"/>
          <w:marRight w:val="0"/>
          <w:marTop w:val="0"/>
          <w:marBottom w:val="0"/>
          <w:divBdr>
            <w:top w:val="none" w:sz="0" w:space="0" w:color="auto"/>
            <w:left w:val="none" w:sz="0" w:space="0" w:color="auto"/>
            <w:bottom w:val="none" w:sz="0" w:space="0" w:color="auto"/>
            <w:right w:val="none" w:sz="0" w:space="0" w:color="auto"/>
          </w:divBdr>
        </w:div>
        <w:div w:id="1759906933">
          <w:marLeft w:val="0"/>
          <w:marRight w:val="0"/>
          <w:marTop w:val="0"/>
          <w:marBottom w:val="0"/>
          <w:divBdr>
            <w:top w:val="none" w:sz="0" w:space="0" w:color="auto"/>
            <w:left w:val="none" w:sz="0" w:space="0" w:color="auto"/>
            <w:bottom w:val="none" w:sz="0" w:space="0" w:color="auto"/>
            <w:right w:val="none" w:sz="0" w:space="0" w:color="auto"/>
          </w:divBdr>
        </w:div>
        <w:div w:id="1760715649">
          <w:marLeft w:val="0"/>
          <w:marRight w:val="0"/>
          <w:marTop w:val="0"/>
          <w:marBottom w:val="0"/>
          <w:divBdr>
            <w:top w:val="none" w:sz="0" w:space="0" w:color="auto"/>
            <w:left w:val="none" w:sz="0" w:space="0" w:color="auto"/>
            <w:bottom w:val="none" w:sz="0" w:space="0" w:color="auto"/>
            <w:right w:val="none" w:sz="0" w:space="0" w:color="auto"/>
          </w:divBdr>
        </w:div>
        <w:div w:id="1779451159">
          <w:marLeft w:val="0"/>
          <w:marRight w:val="0"/>
          <w:marTop w:val="0"/>
          <w:marBottom w:val="0"/>
          <w:divBdr>
            <w:top w:val="none" w:sz="0" w:space="0" w:color="auto"/>
            <w:left w:val="none" w:sz="0" w:space="0" w:color="auto"/>
            <w:bottom w:val="none" w:sz="0" w:space="0" w:color="auto"/>
            <w:right w:val="none" w:sz="0" w:space="0" w:color="auto"/>
          </w:divBdr>
        </w:div>
        <w:div w:id="1811942327">
          <w:marLeft w:val="0"/>
          <w:marRight w:val="0"/>
          <w:marTop w:val="0"/>
          <w:marBottom w:val="0"/>
          <w:divBdr>
            <w:top w:val="none" w:sz="0" w:space="0" w:color="auto"/>
            <w:left w:val="none" w:sz="0" w:space="0" w:color="auto"/>
            <w:bottom w:val="none" w:sz="0" w:space="0" w:color="auto"/>
            <w:right w:val="none" w:sz="0" w:space="0" w:color="auto"/>
          </w:divBdr>
        </w:div>
        <w:div w:id="1819613279">
          <w:marLeft w:val="0"/>
          <w:marRight w:val="0"/>
          <w:marTop w:val="0"/>
          <w:marBottom w:val="0"/>
          <w:divBdr>
            <w:top w:val="none" w:sz="0" w:space="0" w:color="auto"/>
            <w:left w:val="none" w:sz="0" w:space="0" w:color="auto"/>
            <w:bottom w:val="none" w:sz="0" w:space="0" w:color="auto"/>
            <w:right w:val="none" w:sz="0" w:space="0" w:color="auto"/>
          </w:divBdr>
        </w:div>
        <w:div w:id="1852841187">
          <w:marLeft w:val="0"/>
          <w:marRight w:val="0"/>
          <w:marTop w:val="0"/>
          <w:marBottom w:val="0"/>
          <w:divBdr>
            <w:top w:val="none" w:sz="0" w:space="0" w:color="auto"/>
            <w:left w:val="none" w:sz="0" w:space="0" w:color="auto"/>
            <w:bottom w:val="none" w:sz="0" w:space="0" w:color="auto"/>
            <w:right w:val="none" w:sz="0" w:space="0" w:color="auto"/>
          </w:divBdr>
        </w:div>
        <w:div w:id="1854567947">
          <w:marLeft w:val="0"/>
          <w:marRight w:val="0"/>
          <w:marTop w:val="0"/>
          <w:marBottom w:val="0"/>
          <w:divBdr>
            <w:top w:val="none" w:sz="0" w:space="0" w:color="auto"/>
            <w:left w:val="none" w:sz="0" w:space="0" w:color="auto"/>
            <w:bottom w:val="none" w:sz="0" w:space="0" w:color="auto"/>
            <w:right w:val="none" w:sz="0" w:space="0" w:color="auto"/>
          </w:divBdr>
        </w:div>
        <w:div w:id="1856923606">
          <w:marLeft w:val="0"/>
          <w:marRight w:val="0"/>
          <w:marTop w:val="0"/>
          <w:marBottom w:val="0"/>
          <w:divBdr>
            <w:top w:val="none" w:sz="0" w:space="0" w:color="auto"/>
            <w:left w:val="none" w:sz="0" w:space="0" w:color="auto"/>
            <w:bottom w:val="none" w:sz="0" w:space="0" w:color="auto"/>
            <w:right w:val="none" w:sz="0" w:space="0" w:color="auto"/>
          </w:divBdr>
        </w:div>
        <w:div w:id="1865820328">
          <w:marLeft w:val="0"/>
          <w:marRight w:val="0"/>
          <w:marTop w:val="0"/>
          <w:marBottom w:val="0"/>
          <w:divBdr>
            <w:top w:val="none" w:sz="0" w:space="0" w:color="auto"/>
            <w:left w:val="none" w:sz="0" w:space="0" w:color="auto"/>
            <w:bottom w:val="none" w:sz="0" w:space="0" w:color="auto"/>
            <w:right w:val="none" w:sz="0" w:space="0" w:color="auto"/>
          </w:divBdr>
        </w:div>
        <w:div w:id="1897350182">
          <w:marLeft w:val="0"/>
          <w:marRight w:val="0"/>
          <w:marTop w:val="0"/>
          <w:marBottom w:val="0"/>
          <w:divBdr>
            <w:top w:val="none" w:sz="0" w:space="0" w:color="auto"/>
            <w:left w:val="none" w:sz="0" w:space="0" w:color="auto"/>
            <w:bottom w:val="none" w:sz="0" w:space="0" w:color="auto"/>
            <w:right w:val="none" w:sz="0" w:space="0" w:color="auto"/>
          </w:divBdr>
        </w:div>
        <w:div w:id="1899170473">
          <w:marLeft w:val="0"/>
          <w:marRight w:val="0"/>
          <w:marTop w:val="0"/>
          <w:marBottom w:val="0"/>
          <w:divBdr>
            <w:top w:val="none" w:sz="0" w:space="0" w:color="auto"/>
            <w:left w:val="none" w:sz="0" w:space="0" w:color="auto"/>
            <w:bottom w:val="none" w:sz="0" w:space="0" w:color="auto"/>
            <w:right w:val="none" w:sz="0" w:space="0" w:color="auto"/>
          </w:divBdr>
        </w:div>
        <w:div w:id="1906641872">
          <w:marLeft w:val="0"/>
          <w:marRight w:val="0"/>
          <w:marTop w:val="0"/>
          <w:marBottom w:val="0"/>
          <w:divBdr>
            <w:top w:val="none" w:sz="0" w:space="0" w:color="auto"/>
            <w:left w:val="none" w:sz="0" w:space="0" w:color="auto"/>
            <w:bottom w:val="none" w:sz="0" w:space="0" w:color="auto"/>
            <w:right w:val="none" w:sz="0" w:space="0" w:color="auto"/>
          </w:divBdr>
        </w:div>
        <w:div w:id="1908610190">
          <w:marLeft w:val="0"/>
          <w:marRight w:val="0"/>
          <w:marTop w:val="0"/>
          <w:marBottom w:val="0"/>
          <w:divBdr>
            <w:top w:val="none" w:sz="0" w:space="0" w:color="auto"/>
            <w:left w:val="none" w:sz="0" w:space="0" w:color="auto"/>
            <w:bottom w:val="none" w:sz="0" w:space="0" w:color="auto"/>
            <w:right w:val="none" w:sz="0" w:space="0" w:color="auto"/>
          </w:divBdr>
        </w:div>
        <w:div w:id="1927380635">
          <w:marLeft w:val="0"/>
          <w:marRight w:val="0"/>
          <w:marTop w:val="0"/>
          <w:marBottom w:val="0"/>
          <w:divBdr>
            <w:top w:val="none" w:sz="0" w:space="0" w:color="auto"/>
            <w:left w:val="none" w:sz="0" w:space="0" w:color="auto"/>
            <w:bottom w:val="none" w:sz="0" w:space="0" w:color="auto"/>
            <w:right w:val="none" w:sz="0" w:space="0" w:color="auto"/>
          </w:divBdr>
        </w:div>
        <w:div w:id="1928225352">
          <w:marLeft w:val="0"/>
          <w:marRight w:val="0"/>
          <w:marTop w:val="0"/>
          <w:marBottom w:val="0"/>
          <w:divBdr>
            <w:top w:val="none" w:sz="0" w:space="0" w:color="auto"/>
            <w:left w:val="none" w:sz="0" w:space="0" w:color="auto"/>
            <w:bottom w:val="none" w:sz="0" w:space="0" w:color="auto"/>
            <w:right w:val="none" w:sz="0" w:space="0" w:color="auto"/>
          </w:divBdr>
        </w:div>
        <w:div w:id="1930116197">
          <w:marLeft w:val="0"/>
          <w:marRight w:val="0"/>
          <w:marTop w:val="0"/>
          <w:marBottom w:val="0"/>
          <w:divBdr>
            <w:top w:val="none" w:sz="0" w:space="0" w:color="auto"/>
            <w:left w:val="none" w:sz="0" w:space="0" w:color="auto"/>
            <w:bottom w:val="none" w:sz="0" w:space="0" w:color="auto"/>
            <w:right w:val="none" w:sz="0" w:space="0" w:color="auto"/>
          </w:divBdr>
        </w:div>
        <w:div w:id="1930919884">
          <w:marLeft w:val="0"/>
          <w:marRight w:val="0"/>
          <w:marTop w:val="0"/>
          <w:marBottom w:val="0"/>
          <w:divBdr>
            <w:top w:val="none" w:sz="0" w:space="0" w:color="auto"/>
            <w:left w:val="none" w:sz="0" w:space="0" w:color="auto"/>
            <w:bottom w:val="none" w:sz="0" w:space="0" w:color="auto"/>
            <w:right w:val="none" w:sz="0" w:space="0" w:color="auto"/>
          </w:divBdr>
        </w:div>
        <w:div w:id="1949117558">
          <w:marLeft w:val="0"/>
          <w:marRight w:val="0"/>
          <w:marTop w:val="0"/>
          <w:marBottom w:val="0"/>
          <w:divBdr>
            <w:top w:val="none" w:sz="0" w:space="0" w:color="auto"/>
            <w:left w:val="none" w:sz="0" w:space="0" w:color="auto"/>
            <w:bottom w:val="none" w:sz="0" w:space="0" w:color="auto"/>
            <w:right w:val="none" w:sz="0" w:space="0" w:color="auto"/>
          </w:divBdr>
        </w:div>
        <w:div w:id="1951665854">
          <w:marLeft w:val="0"/>
          <w:marRight w:val="0"/>
          <w:marTop w:val="0"/>
          <w:marBottom w:val="0"/>
          <w:divBdr>
            <w:top w:val="none" w:sz="0" w:space="0" w:color="auto"/>
            <w:left w:val="none" w:sz="0" w:space="0" w:color="auto"/>
            <w:bottom w:val="none" w:sz="0" w:space="0" w:color="auto"/>
            <w:right w:val="none" w:sz="0" w:space="0" w:color="auto"/>
          </w:divBdr>
        </w:div>
        <w:div w:id="1954094081">
          <w:marLeft w:val="0"/>
          <w:marRight w:val="0"/>
          <w:marTop w:val="0"/>
          <w:marBottom w:val="0"/>
          <w:divBdr>
            <w:top w:val="none" w:sz="0" w:space="0" w:color="auto"/>
            <w:left w:val="none" w:sz="0" w:space="0" w:color="auto"/>
            <w:bottom w:val="none" w:sz="0" w:space="0" w:color="auto"/>
            <w:right w:val="none" w:sz="0" w:space="0" w:color="auto"/>
          </w:divBdr>
        </w:div>
        <w:div w:id="2000235186">
          <w:marLeft w:val="0"/>
          <w:marRight w:val="0"/>
          <w:marTop w:val="0"/>
          <w:marBottom w:val="0"/>
          <w:divBdr>
            <w:top w:val="none" w:sz="0" w:space="0" w:color="auto"/>
            <w:left w:val="none" w:sz="0" w:space="0" w:color="auto"/>
            <w:bottom w:val="none" w:sz="0" w:space="0" w:color="auto"/>
            <w:right w:val="none" w:sz="0" w:space="0" w:color="auto"/>
          </w:divBdr>
        </w:div>
        <w:div w:id="2009088298">
          <w:marLeft w:val="0"/>
          <w:marRight w:val="0"/>
          <w:marTop w:val="0"/>
          <w:marBottom w:val="0"/>
          <w:divBdr>
            <w:top w:val="none" w:sz="0" w:space="0" w:color="auto"/>
            <w:left w:val="none" w:sz="0" w:space="0" w:color="auto"/>
            <w:bottom w:val="none" w:sz="0" w:space="0" w:color="auto"/>
            <w:right w:val="none" w:sz="0" w:space="0" w:color="auto"/>
          </w:divBdr>
        </w:div>
        <w:div w:id="2009211720">
          <w:marLeft w:val="0"/>
          <w:marRight w:val="0"/>
          <w:marTop w:val="0"/>
          <w:marBottom w:val="0"/>
          <w:divBdr>
            <w:top w:val="none" w:sz="0" w:space="0" w:color="auto"/>
            <w:left w:val="none" w:sz="0" w:space="0" w:color="auto"/>
            <w:bottom w:val="none" w:sz="0" w:space="0" w:color="auto"/>
            <w:right w:val="none" w:sz="0" w:space="0" w:color="auto"/>
          </w:divBdr>
        </w:div>
        <w:div w:id="2022050942">
          <w:marLeft w:val="0"/>
          <w:marRight w:val="0"/>
          <w:marTop w:val="0"/>
          <w:marBottom w:val="0"/>
          <w:divBdr>
            <w:top w:val="none" w:sz="0" w:space="0" w:color="auto"/>
            <w:left w:val="none" w:sz="0" w:space="0" w:color="auto"/>
            <w:bottom w:val="none" w:sz="0" w:space="0" w:color="auto"/>
            <w:right w:val="none" w:sz="0" w:space="0" w:color="auto"/>
          </w:divBdr>
        </w:div>
        <w:div w:id="2030638957">
          <w:marLeft w:val="0"/>
          <w:marRight w:val="0"/>
          <w:marTop w:val="0"/>
          <w:marBottom w:val="0"/>
          <w:divBdr>
            <w:top w:val="none" w:sz="0" w:space="0" w:color="auto"/>
            <w:left w:val="none" w:sz="0" w:space="0" w:color="auto"/>
            <w:bottom w:val="none" w:sz="0" w:space="0" w:color="auto"/>
            <w:right w:val="none" w:sz="0" w:space="0" w:color="auto"/>
          </w:divBdr>
        </w:div>
      </w:divsChild>
    </w:div>
    <w:div w:id="831262984">
      <w:bodyDiv w:val="1"/>
      <w:marLeft w:val="0"/>
      <w:marRight w:val="0"/>
      <w:marTop w:val="0"/>
      <w:marBottom w:val="0"/>
      <w:divBdr>
        <w:top w:val="none" w:sz="0" w:space="0" w:color="auto"/>
        <w:left w:val="none" w:sz="0" w:space="0" w:color="auto"/>
        <w:bottom w:val="none" w:sz="0" w:space="0" w:color="auto"/>
        <w:right w:val="none" w:sz="0" w:space="0" w:color="auto"/>
      </w:divBdr>
    </w:div>
    <w:div w:id="831335652">
      <w:bodyDiv w:val="1"/>
      <w:marLeft w:val="0"/>
      <w:marRight w:val="0"/>
      <w:marTop w:val="0"/>
      <w:marBottom w:val="0"/>
      <w:divBdr>
        <w:top w:val="none" w:sz="0" w:space="0" w:color="auto"/>
        <w:left w:val="none" w:sz="0" w:space="0" w:color="auto"/>
        <w:bottom w:val="none" w:sz="0" w:space="0" w:color="auto"/>
        <w:right w:val="none" w:sz="0" w:space="0" w:color="auto"/>
      </w:divBdr>
    </w:div>
    <w:div w:id="831338412">
      <w:bodyDiv w:val="1"/>
      <w:marLeft w:val="0"/>
      <w:marRight w:val="0"/>
      <w:marTop w:val="0"/>
      <w:marBottom w:val="0"/>
      <w:divBdr>
        <w:top w:val="none" w:sz="0" w:space="0" w:color="auto"/>
        <w:left w:val="none" w:sz="0" w:space="0" w:color="auto"/>
        <w:bottom w:val="none" w:sz="0" w:space="0" w:color="auto"/>
        <w:right w:val="none" w:sz="0" w:space="0" w:color="auto"/>
      </w:divBdr>
    </w:div>
    <w:div w:id="831338762">
      <w:bodyDiv w:val="1"/>
      <w:marLeft w:val="0"/>
      <w:marRight w:val="0"/>
      <w:marTop w:val="0"/>
      <w:marBottom w:val="0"/>
      <w:divBdr>
        <w:top w:val="none" w:sz="0" w:space="0" w:color="auto"/>
        <w:left w:val="none" w:sz="0" w:space="0" w:color="auto"/>
        <w:bottom w:val="none" w:sz="0" w:space="0" w:color="auto"/>
        <w:right w:val="none" w:sz="0" w:space="0" w:color="auto"/>
      </w:divBdr>
    </w:div>
    <w:div w:id="831413307">
      <w:bodyDiv w:val="1"/>
      <w:marLeft w:val="0"/>
      <w:marRight w:val="0"/>
      <w:marTop w:val="0"/>
      <w:marBottom w:val="0"/>
      <w:divBdr>
        <w:top w:val="none" w:sz="0" w:space="0" w:color="auto"/>
        <w:left w:val="none" w:sz="0" w:space="0" w:color="auto"/>
        <w:bottom w:val="none" w:sz="0" w:space="0" w:color="auto"/>
        <w:right w:val="none" w:sz="0" w:space="0" w:color="auto"/>
      </w:divBdr>
    </w:div>
    <w:div w:id="831415506">
      <w:bodyDiv w:val="1"/>
      <w:marLeft w:val="0"/>
      <w:marRight w:val="0"/>
      <w:marTop w:val="0"/>
      <w:marBottom w:val="0"/>
      <w:divBdr>
        <w:top w:val="none" w:sz="0" w:space="0" w:color="auto"/>
        <w:left w:val="none" w:sz="0" w:space="0" w:color="auto"/>
        <w:bottom w:val="none" w:sz="0" w:space="0" w:color="auto"/>
        <w:right w:val="none" w:sz="0" w:space="0" w:color="auto"/>
      </w:divBdr>
    </w:div>
    <w:div w:id="831680770">
      <w:bodyDiv w:val="1"/>
      <w:marLeft w:val="0"/>
      <w:marRight w:val="0"/>
      <w:marTop w:val="0"/>
      <w:marBottom w:val="0"/>
      <w:divBdr>
        <w:top w:val="none" w:sz="0" w:space="0" w:color="auto"/>
        <w:left w:val="none" w:sz="0" w:space="0" w:color="auto"/>
        <w:bottom w:val="none" w:sz="0" w:space="0" w:color="auto"/>
        <w:right w:val="none" w:sz="0" w:space="0" w:color="auto"/>
      </w:divBdr>
    </w:div>
    <w:div w:id="831721419">
      <w:bodyDiv w:val="1"/>
      <w:marLeft w:val="0"/>
      <w:marRight w:val="0"/>
      <w:marTop w:val="0"/>
      <w:marBottom w:val="0"/>
      <w:divBdr>
        <w:top w:val="none" w:sz="0" w:space="0" w:color="auto"/>
        <w:left w:val="none" w:sz="0" w:space="0" w:color="auto"/>
        <w:bottom w:val="none" w:sz="0" w:space="0" w:color="auto"/>
        <w:right w:val="none" w:sz="0" w:space="0" w:color="auto"/>
      </w:divBdr>
    </w:div>
    <w:div w:id="831723249">
      <w:bodyDiv w:val="1"/>
      <w:marLeft w:val="0"/>
      <w:marRight w:val="0"/>
      <w:marTop w:val="0"/>
      <w:marBottom w:val="0"/>
      <w:divBdr>
        <w:top w:val="none" w:sz="0" w:space="0" w:color="auto"/>
        <w:left w:val="none" w:sz="0" w:space="0" w:color="auto"/>
        <w:bottom w:val="none" w:sz="0" w:space="0" w:color="auto"/>
        <w:right w:val="none" w:sz="0" w:space="0" w:color="auto"/>
      </w:divBdr>
    </w:div>
    <w:div w:id="831724014">
      <w:bodyDiv w:val="1"/>
      <w:marLeft w:val="0"/>
      <w:marRight w:val="0"/>
      <w:marTop w:val="0"/>
      <w:marBottom w:val="0"/>
      <w:divBdr>
        <w:top w:val="none" w:sz="0" w:space="0" w:color="auto"/>
        <w:left w:val="none" w:sz="0" w:space="0" w:color="auto"/>
        <w:bottom w:val="none" w:sz="0" w:space="0" w:color="auto"/>
        <w:right w:val="none" w:sz="0" w:space="0" w:color="auto"/>
      </w:divBdr>
    </w:div>
    <w:div w:id="831726626">
      <w:bodyDiv w:val="1"/>
      <w:marLeft w:val="0"/>
      <w:marRight w:val="0"/>
      <w:marTop w:val="0"/>
      <w:marBottom w:val="0"/>
      <w:divBdr>
        <w:top w:val="none" w:sz="0" w:space="0" w:color="auto"/>
        <w:left w:val="none" w:sz="0" w:space="0" w:color="auto"/>
        <w:bottom w:val="none" w:sz="0" w:space="0" w:color="auto"/>
        <w:right w:val="none" w:sz="0" w:space="0" w:color="auto"/>
      </w:divBdr>
    </w:div>
    <w:div w:id="831800314">
      <w:bodyDiv w:val="1"/>
      <w:marLeft w:val="0"/>
      <w:marRight w:val="0"/>
      <w:marTop w:val="0"/>
      <w:marBottom w:val="0"/>
      <w:divBdr>
        <w:top w:val="none" w:sz="0" w:space="0" w:color="auto"/>
        <w:left w:val="none" w:sz="0" w:space="0" w:color="auto"/>
        <w:bottom w:val="none" w:sz="0" w:space="0" w:color="auto"/>
        <w:right w:val="none" w:sz="0" w:space="0" w:color="auto"/>
      </w:divBdr>
    </w:div>
    <w:div w:id="831873418">
      <w:bodyDiv w:val="1"/>
      <w:marLeft w:val="0"/>
      <w:marRight w:val="0"/>
      <w:marTop w:val="0"/>
      <w:marBottom w:val="0"/>
      <w:divBdr>
        <w:top w:val="none" w:sz="0" w:space="0" w:color="auto"/>
        <w:left w:val="none" w:sz="0" w:space="0" w:color="auto"/>
        <w:bottom w:val="none" w:sz="0" w:space="0" w:color="auto"/>
        <w:right w:val="none" w:sz="0" w:space="0" w:color="auto"/>
      </w:divBdr>
    </w:div>
    <w:div w:id="831987455">
      <w:bodyDiv w:val="1"/>
      <w:marLeft w:val="0"/>
      <w:marRight w:val="0"/>
      <w:marTop w:val="0"/>
      <w:marBottom w:val="0"/>
      <w:divBdr>
        <w:top w:val="none" w:sz="0" w:space="0" w:color="auto"/>
        <w:left w:val="none" w:sz="0" w:space="0" w:color="auto"/>
        <w:bottom w:val="none" w:sz="0" w:space="0" w:color="auto"/>
        <w:right w:val="none" w:sz="0" w:space="0" w:color="auto"/>
      </w:divBdr>
    </w:div>
    <w:div w:id="831994104">
      <w:bodyDiv w:val="1"/>
      <w:marLeft w:val="0"/>
      <w:marRight w:val="0"/>
      <w:marTop w:val="0"/>
      <w:marBottom w:val="0"/>
      <w:divBdr>
        <w:top w:val="none" w:sz="0" w:space="0" w:color="auto"/>
        <w:left w:val="none" w:sz="0" w:space="0" w:color="auto"/>
        <w:bottom w:val="none" w:sz="0" w:space="0" w:color="auto"/>
        <w:right w:val="none" w:sz="0" w:space="0" w:color="auto"/>
      </w:divBdr>
    </w:div>
    <w:div w:id="832061354">
      <w:bodyDiv w:val="1"/>
      <w:marLeft w:val="0"/>
      <w:marRight w:val="0"/>
      <w:marTop w:val="0"/>
      <w:marBottom w:val="0"/>
      <w:divBdr>
        <w:top w:val="none" w:sz="0" w:space="0" w:color="auto"/>
        <w:left w:val="none" w:sz="0" w:space="0" w:color="auto"/>
        <w:bottom w:val="none" w:sz="0" w:space="0" w:color="auto"/>
        <w:right w:val="none" w:sz="0" w:space="0" w:color="auto"/>
      </w:divBdr>
    </w:div>
    <w:div w:id="832139744">
      <w:bodyDiv w:val="1"/>
      <w:marLeft w:val="0"/>
      <w:marRight w:val="0"/>
      <w:marTop w:val="0"/>
      <w:marBottom w:val="0"/>
      <w:divBdr>
        <w:top w:val="none" w:sz="0" w:space="0" w:color="auto"/>
        <w:left w:val="none" w:sz="0" w:space="0" w:color="auto"/>
        <w:bottom w:val="none" w:sz="0" w:space="0" w:color="auto"/>
        <w:right w:val="none" w:sz="0" w:space="0" w:color="auto"/>
      </w:divBdr>
    </w:div>
    <w:div w:id="832143055">
      <w:bodyDiv w:val="1"/>
      <w:marLeft w:val="0"/>
      <w:marRight w:val="0"/>
      <w:marTop w:val="0"/>
      <w:marBottom w:val="0"/>
      <w:divBdr>
        <w:top w:val="none" w:sz="0" w:space="0" w:color="auto"/>
        <w:left w:val="none" w:sz="0" w:space="0" w:color="auto"/>
        <w:bottom w:val="none" w:sz="0" w:space="0" w:color="auto"/>
        <w:right w:val="none" w:sz="0" w:space="0" w:color="auto"/>
      </w:divBdr>
    </w:div>
    <w:div w:id="832377566">
      <w:bodyDiv w:val="1"/>
      <w:marLeft w:val="0"/>
      <w:marRight w:val="0"/>
      <w:marTop w:val="0"/>
      <w:marBottom w:val="0"/>
      <w:divBdr>
        <w:top w:val="none" w:sz="0" w:space="0" w:color="auto"/>
        <w:left w:val="none" w:sz="0" w:space="0" w:color="auto"/>
        <w:bottom w:val="none" w:sz="0" w:space="0" w:color="auto"/>
        <w:right w:val="none" w:sz="0" w:space="0" w:color="auto"/>
      </w:divBdr>
    </w:div>
    <w:div w:id="832377606">
      <w:bodyDiv w:val="1"/>
      <w:marLeft w:val="0"/>
      <w:marRight w:val="0"/>
      <w:marTop w:val="0"/>
      <w:marBottom w:val="0"/>
      <w:divBdr>
        <w:top w:val="none" w:sz="0" w:space="0" w:color="auto"/>
        <w:left w:val="none" w:sz="0" w:space="0" w:color="auto"/>
        <w:bottom w:val="none" w:sz="0" w:space="0" w:color="auto"/>
        <w:right w:val="none" w:sz="0" w:space="0" w:color="auto"/>
      </w:divBdr>
    </w:div>
    <w:div w:id="832450673">
      <w:bodyDiv w:val="1"/>
      <w:marLeft w:val="0"/>
      <w:marRight w:val="0"/>
      <w:marTop w:val="0"/>
      <w:marBottom w:val="0"/>
      <w:divBdr>
        <w:top w:val="none" w:sz="0" w:space="0" w:color="auto"/>
        <w:left w:val="none" w:sz="0" w:space="0" w:color="auto"/>
        <w:bottom w:val="none" w:sz="0" w:space="0" w:color="auto"/>
        <w:right w:val="none" w:sz="0" w:space="0" w:color="auto"/>
      </w:divBdr>
    </w:div>
    <w:div w:id="832454786">
      <w:bodyDiv w:val="1"/>
      <w:marLeft w:val="0"/>
      <w:marRight w:val="0"/>
      <w:marTop w:val="0"/>
      <w:marBottom w:val="0"/>
      <w:divBdr>
        <w:top w:val="none" w:sz="0" w:space="0" w:color="auto"/>
        <w:left w:val="none" w:sz="0" w:space="0" w:color="auto"/>
        <w:bottom w:val="none" w:sz="0" w:space="0" w:color="auto"/>
        <w:right w:val="none" w:sz="0" w:space="0" w:color="auto"/>
      </w:divBdr>
    </w:div>
    <w:div w:id="832570648">
      <w:bodyDiv w:val="1"/>
      <w:marLeft w:val="0"/>
      <w:marRight w:val="0"/>
      <w:marTop w:val="0"/>
      <w:marBottom w:val="0"/>
      <w:divBdr>
        <w:top w:val="none" w:sz="0" w:space="0" w:color="auto"/>
        <w:left w:val="none" w:sz="0" w:space="0" w:color="auto"/>
        <w:bottom w:val="none" w:sz="0" w:space="0" w:color="auto"/>
        <w:right w:val="none" w:sz="0" w:space="0" w:color="auto"/>
      </w:divBdr>
    </w:div>
    <w:div w:id="832600952">
      <w:bodyDiv w:val="1"/>
      <w:marLeft w:val="0"/>
      <w:marRight w:val="0"/>
      <w:marTop w:val="0"/>
      <w:marBottom w:val="0"/>
      <w:divBdr>
        <w:top w:val="none" w:sz="0" w:space="0" w:color="auto"/>
        <w:left w:val="none" w:sz="0" w:space="0" w:color="auto"/>
        <w:bottom w:val="none" w:sz="0" w:space="0" w:color="auto"/>
        <w:right w:val="none" w:sz="0" w:space="0" w:color="auto"/>
      </w:divBdr>
    </w:div>
    <w:div w:id="832720859">
      <w:bodyDiv w:val="1"/>
      <w:marLeft w:val="0"/>
      <w:marRight w:val="0"/>
      <w:marTop w:val="0"/>
      <w:marBottom w:val="0"/>
      <w:divBdr>
        <w:top w:val="none" w:sz="0" w:space="0" w:color="auto"/>
        <w:left w:val="none" w:sz="0" w:space="0" w:color="auto"/>
        <w:bottom w:val="none" w:sz="0" w:space="0" w:color="auto"/>
        <w:right w:val="none" w:sz="0" w:space="0" w:color="auto"/>
      </w:divBdr>
    </w:div>
    <w:div w:id="832910254">
      <w:bodyDiv w:val="1"/>
      <w:marLeft w:val="0"/>
      <w:marRight w:val="0"/>
      <w:marTop w:val="0"/>
      <w:marBottom w:val="0"/>
      <w:divBdr>
        <w:top w:val="none" w:sz="0" w:space="0" w:color="auto"/>
        <w:left w:val="none" w:sz="0" w:space="0" w:color="auto"/>
        <w:bottom w:val="none" w:sz="0" w:space="0" w:color="auto"/>
        <w:right w:val="none" w:sz="0" w:space="0" w:color="auto"/>
      </w:divBdr>
      <w:divsChild>
        <w:div w:id="16540830">
          <w:marLeft w:val="0"/>
          <w:marRight w:val="0"/>
          <w:marTop w:val="0"/>
          <w:marBottom w:val="0"/>
          <w:divBdr>
            <w:top w:val="none" w:sz="0" w:space="0" w:color="auto"/>
            <w:left w:val="none" w:sz="0" w:space="0" w:color="auto"/>
            <w:bottom w:val="none" w:sz="0" w:space="0" w:color="auto"/>
            <w:right w:val="none" w:sz="0" w:space="0" w:color="auto"/>
          </w:divBdr>
        </w:div>
        <w:div w:id="17977184">
          <w:marLeft w:val="0"/>
          <w:marRight w:val="0"/>
          <w:marTop w:val="0"/>
          <w:marBottom w:val="0"/>
          <w:divBdr>
            <w:top w:val="none" w:sz="0" w:space="0" w:color="auto"/>
            <w:left w:val="none" w:sz="0" w:space="0" w:color="auto"/>
            <w:bottom w:val="none" w:sz="0" w:space="0" w:color="auto"/>
            <w:right w:val="none" w:sz="0" w:space="0" w:color="auto"/>
          </w:divBdr>
        </w:div>
        <w:div w:id="19474482">
          <w:marLeft w:val="0"/>
          <w:marRight w:val="0"/>
          <w:marTop w:val="0"/>
          <w:marBottom w:val="0"/>
          <w:divBdr>
            <w:top w:val="none" w:sz="0" w:space="0" w:color="auto"/>
            <w:left w:val="none" w:sz="0" w:space="0" w:color="auto"/>
            <w:bottom w:val="none" w:sz="0" w:space="0" w:color="auto"/>
            <w:right w:val="none" w:sz="0" w:space="0" w:color="auto"/>
          </w:divBdr>
        </w:div>
        <w:div w:id="28457128">
          <w:marLeft w:val="0"/>
          <w:marRight w:val="0"/>
          <w:marTop w:val="0"/>
          <w:marBottom w:val="0"/>
          <w:divBdr>
            <w:top w:val="none" w:sz="0" w:space="0" w:color="auto"/>
            <w:left w:val="none" w:sz="0" w:space="0" w:color="auto"/>
            <w:bottom w:val="none" w:sz="0" w:space="0" w:color="auto"/>
            <w:right w:val="none" w:sz="0" w:space="0" w:color="auto"/>
          </w:divBdr>
        </w:div>
        <w:div w:id="33316475">
          <w:marLeft w:val="0"/>
          <w:marRight w:val="0"/>
          <w:marTop w:val="0"/>
          <w:marBottom w:val="0"/>
          <w:divBdr>
            <w:top w:val="none" w:sz="0" w:space="0" w:color="auto"/>
            <w:left w:val="none" w:sz="0" w:space="0" w:color="auto"/>
            <w:bottom w:val="none" w:sz="0" w:space="0" w:color="auto"/>
            <w:right w:val="none" w:sz="0" w:space="0" w:color="auto"/>
          </w:divBdr>
        </w:div>
        <w:div w:id="39670399">
          <w:marLeft w:val="0"/>
          <w:marRight w:val="0"/>
          <w:marTop w:val="0"/>
          <w:marBottom w:val="0"/>
          <w:divBdr>
            <w:top w:val="none" w:sz="0" w:space="0" w:color="auto"/>
            <w:left w:val="none" w:sz="0" w:space="0" w:color="auto"/>
            <w:bottom w:val="none" w:sz="0" w:space="0" w:color="auto"/>
            <w:right w:val="none" w:sz="0" w:space="0" w:color="auto"/>
          </w:divBdr>
        </w:div>
        <w:div w:id="45298881">
          <w:marLeft w:val="0"/>
          <w:marRight w:val="0"/>
          <w:marTop w:val="0"/>
          <w:marBottom w:val="0"/>
          <w:divBdr>
            <w:top w:val="none" w:sz="0" w:space="0" w:color="auto"/>
            <w:left w:val="none" w:sz="0" w:space="0" w:color="auto"/>
            <w:bottom w:val="none" w:sz="0" w:space="0" w:color="auto"/>
            <w:right w:val="none" w:sz="0" w:space="0" w:color="auto"/>
          </w:divBdr>
        </w:div>
        <w:div w:id="46686325">
          <w:marLeft w:val="0"/>
          <w:marRight w:val="0"/>
          <w:marTop w:val="0"/>
          <w:marBottom w:val="0"/>
          <w:divBdr>
            <w:top w:val="none" w:sz="0" w:space="0" w:color="auto"/>
            <w:left w:val="none" w:sz="0" w:space="0" w:color="auto"/>
            <w:bottom w:val="none" w:sz="0" w:space="0" w:color="auto"/>
            <w:right w:val="none" w:sz="0" w:space="0" w:color="auto"/>
          </w:divBdr>
        </w:div>
        <w:div w:id="69888717">
          <w:marLeft w:val="0"/>
          <w:marRight w:val="0"/>
          <w:marTop w:val="0"/>
          <w:marBottom w:val="0"/>
          <w:divBdr>
            <w:top w:val="none" w:sz="0" w:space="0" w:color="auto"/>
            <w:left w:val="none" w:sz="0" w:space="0" w:color="auto"/>
            <w:bottom w:val="none" w:sz="0" w:space="0" w:color="auto"/>
            <w:right w:val="none" w:sz="0" w:space="0" w:color="auto"/>
          </w:divBdr>
        </w:div>
        <w:div w:id="91904246">
          <w:marLeft w:val="0"/>
          <w:marRight w:val="0"/>
          <w:marTop w:val="0"/>
          <w:marBottom w:val="0"/>
          <w:divBdr>
            <w:top w:val="none" w:sz="0" w:space="0" w:color="auto"/>
            <w:left w:val="none" w:sz="0" w:space="0" w:color="auto"/>
            <w:bottom w:val="none" w:sz="0" w:space="0" w:color="auto"/>
            <w:right w:val="none" w:sz="0" w:space="0" w:color="auto"/>
          </w:divBdr>
        </w:div>
        <w:div w:id="102695416">
          <w:marLeft w:val="0"/>
          <w:marRight w:val="0"/>
          <w:marTop w:val="0"/>
          <w:marBottom w:val="0"/>
          <w:divBdr>
            <w:top w:val="none" w:sz="0" w:space="0" w:color="auto"/>
            <w:left w:val="none" w:sz="0" w:space="0" w:color="auto"/>
            <w:bottom w:val="none" w:sz="0" w:space="0" w:color="auto"/>
            <w:right w:val="none" w:sz="0" w:space="0" w:color="auto"/>
          </w:divBdr>
        </w:div>
        <w:div w:id="121192040">
          <w:marLeft w:val="0"/>
          <w:marRight w:val="0"/>
          <w:marTop w:val="0"/>
          <w:marBottom w:val="0"/>
          <w:divBdr>
            <w:top w:val="none" w:sz="0" w:space="0" w:color="auto"/>
            <w:left w:val="none" w:sz="0" w:space="0" w:color="auto"/>
            <w:bottom w:val="none" w:sz="0" w:space="0" w:color="auto"/>
            <w:right w:val="none" w:sz="0" w:space="0" w:color="auto"/>
          </w:divBdr>
        </w:div>
        <w:div w:id="123817712">
          <w:marLeft w:val="0"/>
          <w:marRight w:val="0"/>
          <w:marTop w:val="0"/>
          <w:marBottom w:val="0"/>
          <w:divBdr>
            <w:top w:val="none" w:sz="0" w:space="0" w:color="auto"/>
            <w:left w:val="none" w:sz="0" w:space="0" w:color="auto"/>
            <w:bottom w:val="none" w:sz="0" w:space="0" w:color="auto"/>
            <w:right w:val="none" w:sz="0" w:space="0" w:color="auto"/>
          </w:divBdr>
        </w:div>
        <w:div w:id="145170189">
          <w:marLeft w:val="0"/>
          <w:marRight w:val="0"/>
          <w:marTop w:val="0"/>
          <w:marBottom w:val="0"/>
          <w:divBdr>
            <w:top w:val="none" w:sz="0" w:space="0" w:color="auto"/>
            <w:left w:val="none" w:sz="0" w:space="0" w:color="auto"/>
            <w:bottom w:val="none" w:sz="0" w:space="0" w:color="auto"/>
            <w:right w:val="none" w:sz="0" w:space="0" w:color="auto"/>
          </w:divBdr>
        </w:div>
        <w:div w:id="157160135">
          <w:marLeft w:val="0"/>
          <w:marRight w:val="0"/>
          <w:marTop w:val="0"/>
          <w:marBottom w:val="0"/>
          <w:divBdr>
            <w:top w:val="none" w:sz="0" w:space="0" w:color="auto"/>
            <w:left w:val="none" w:sz="0" w:space="0" w:color="auto"/>
            <w:bottom w:val="none" w:sz="0" w:space="0" w:color="auto"/>
            <w:right w:val="none" w:sz="0" w:space="0" w:color="auto"/>
          </w:divBdr>
        </w:div>
        <w:div w:id="167331327">
          <w:marLeft w:val="0"/>
          <w:marRight w:val="0"/>
          <w:marTop w:val="0"/>
          <w:marBottom w:val="0"/>
          <w:divBdr>
            <w:top w:val="none" w:sz="0" w:space="0" w:color="auto"/>
            <w:left w:val="none" w:sz="0" w:space="0" w:color="auto"/>
            <w:bottom w:val="none" w:sz="0" w:space="0" w:color="auto"/>
            <w:right w:val="none" w:sz="0" w:space="0" w:color="auto"/>
          </w:divBdr>
        </w:div>
        <w:div w:id="169297350">
          <w:marLeft w:val="0"/>
          <w:marRight w:val="0"/>
          <w:marTop w:val="0"/>
          <w:marBottom w:val="0"/>
          <w:divBdr>
            <w:top w:val="none" w:sz="0" w:space="0" w:color="auto"/>
            <w:left w:val="none" w:sz="0" w:space="0" w:color="auto"/>
            <w:bottom w:val="none" w:sz="0" w:space="0" w:color="auto"/>
            <w:right w:val="none" w:sz="0" w:space="0" w:color="auto"/>
          </w:divBdr>
        </w:div>
        <w:div w:id="177813297">
          <w:marLeft w:val="0"/>
          <w:marRight w:val="0"/>
          <w:marTop w:val="0"/>
          <w:marBottom w:val="0"/>
          <w:divBdr>
            <w:top w:val="none" w:sz="0" w:space="0" w:color="auto"/>
            <w:left w:val="none" w:sz="0" w:space="0" w:color="auto"/>
            <w:bottom w:val="none" w:sz="0" w:space="0" w:color="auto"/>
            <w:right w:val="none" w:sz="0" w:space="0" w:color="auto"/>
          </w:divBdr>
        </w:div>
        <w:div w:id="197010745">
          <w:marLeft w:val="0"/>
          <w:marRight w:val="0"/>
          <w:marTop w:val="0"/>
          <w:marBottom w:val="0"/>
          <w:divBdr>
            <w:top w:val="none" w:sz="0" w:space="0" w:color="auto"/>
            <w:left w:val="none" w:sz="0" w:space="0" w:color="auto"/>
            <w:bottom w:val="none" w:sz="0" w:space="0" w:color="auto"/>
            <w:right w:val="none" w:sz="0" w:space="0" w:color="auto"/>
          </w:divBdr>
        </w:div>
        <w:div w:id="221793884">
          <w:marLeft w:val="0"/>
          <w:marRight w:val="0"/>
          <w:marTop w:val="0"/>
          <w:marBottom w:val="0"/>
          <w:divBdr>
            <w:top w:val="none" w:sz="0" w:space="0" w:color="auto"/>
            <w:left w:val="none" w:sz="0" w:space="0" w:color="auto"/>
            <w:bottom w:val="none" w:sz="0" w:space="0" w:color="auto"/>
            <w:right w:val="none" w:sz="0" w:space="0" w:color="auto"/>
          </w:divBdr>
        </w:div>
        <w:div w:id="233008743">
          <w:marLeft w:val="0"/>
          <w:marRight w:val="0"/>
          <w:marTop w:val="0"/>
          <w:marBottom w:val="0"/>
          <w:divBdr>
            <w:top w:val="none" w:sz="0" w:space="0" w:color="auto"/>
            <w:left w:val="none" w:sz="0" w:space="0" w:color="auto"/>
            <w:bottom w:val="none" w:sz="0" w:space="0" w:color="auto"/>
            <w:right w:val="none" w:sz="0" w:space="0" w:color="auto"/>
          </w:divBdr>
        </w:div>
        <w:div w:id="248738885">
          <w:marLeft w:val="0"/>
          <w:marRight w:val="0"/>
          <w:marTop w:val="0"/>
          <w:marBottom w:val="0"/>
          <w:divBdr>
            <w:top w:val="none" w:sz="0" w:space="0" w:color="auto"/>
            <w:left w:val="none" w:sz="0" w:space="0" w:color="auto"/>
            <w:bottom w:val="none" w:sz="0" w:space="0" w:color="auto"/>
            <w:right w:val="none" w:sz="0" w:space="0" w:color="auto"/>
          </w:divBdr>
        </w:div>
        <w:div w:id="253250039">
          <w:marLeft w:val="0"/>
          <w:marRight w:val="0"/>
          <w:marTop w:val="0"/>
          <w:marBottom w:val="0"/>
          <w:divBdr>
            <w:top w:val="none" w:sz="0" w:space="0" w:color="auto"/>
            <w:left w:val="none" w:sz="0" w:space="0" w:color="auto"/>
            <w:bottom w:val="none" w:sz="0" w:space="0" w:color="auto"/>
            <w:right w:val="none" w:sz="0" w:space="0" w:color="auto"/>
          </w:divBdr>
        </w:div>
        <w:div w:id="277414115">
          <w:marLeft w:val="0"/>
          <w:marRight w:val="0"/>
          <w:marTop w:val="0"/>
          <w:marBottom w:val="0"/>
          <w:divBdr>
            <w:top w:val="none" w:sz="0" w:space="0" w:color="auto"/>
            <w:left w:val="none" w:sz="0" w:space="0" w:color="auto"/>
            <w:bottom w:val="none" w:sz="0" w:space="0" w:color="auto"/>
            <w:right w:val="none" w:sz="0" w:space="0" w:color="auto"/>
          </w:divBdr>
        </w:div>
        <w:div w:id="290022358">
          <w:marLeft w:val="0"/>
          <w:marRight w:val="0"/>
          <w:marTop w:val="0"/>
          <w:marBottom w:val="0"/>
          <w:divBdr>
            <w:top w:val="none" w:sz="0" w:space="0" w:color="auto"/>
            <w:left w:val="none" w:sz="0" w:space="0" w:color="auto"/>
            <w:bottom w:val="none" w:sz="0" w:space="0" w:color="auto"/>
            <w:right w:val="none" w:sz="0" w:space="0" w:color="auto"/>
          </w:divBdr>
        </w:div>
        <w:div w:id="297339594">
          <w:marLeft w:val="0"/>
          <w:marRight w:val="0"/>
          <w:marTop w:val="0"/>
          <w:marBottom w:val="0"/>
          <w:divBdr>
            <w:top w:val="none" w:sz="0" w:space="0" w:color="auto"/>
            <w:left w:val="none" w:sz="0" w:space="0" w:color="auto"/>
            <w:bottom w:val="none" w:sz="0" w:space="0" w:color="auto"/>
            <w:right w:val="none" w:sz="0" w:space="0" w:color="auto"/>
          </w:divBdr>
        </w:div>
        <w:div w:id="300231960">
          <w:marLeft w:val="0"/>
          <w:marRight w:val="0"/>
          <w:marTop w:val="0"/>
          <w:marBottom w:val="0"/>
          <w:divBdr>
            <w:top w:val="none" w:sz="0" w:space="0" w:color="auto"/>
            <w:left w:val="none" w:sz="0" w:space="0" w:color="auto"/>
            <w:bottom w:val="none" w:sz="0" w:space="0" w:color="auto"/>
            <w:right w:val="none" w:sz="0" w:space="0" w:color="auto"/>
          </w:divBdr>
        </w:div>
        <w:div w:id="301886849">
          <w:marLeft w:val="0"/>
          <w:marRight w:val="0"/>
          <w:marTop w:val="0"/>
          <w:marBottom w:val="0"/>
          <w:divBdr>
            <w:top w:val="none" w:sz="0" w:space="0" w:color="auto"/>
            <w:left w:val="none" w:sz="0" w:space="0" w:color="auto"/>
            <w:bottom w:val="none" w:sz="0" w:space="0" w:color="auto"/>
            <w:right w:val="none" w:sz="0" w:space="0" w:color="auto"/>
          </w:divBdr>
        </w:div>
        <w:div w:id="302540971">
          <w:marLeft w:val="0"/>
          <w:marRight w:val="0"/>
          <w:marTop w:val="0"/>
          <w:marBottom w:val="0"/>
          <w:divBdr>
            <w:top w:val="none" w:sz="0" w:space="0" w:color="auto"/>
            <w:left w:val="none" w:sz="0" w:space="0" w:color="auto"/>
            <w:bottom w:val="none" w:sz="0" w:space="0" w:color="auto"/>
            <w:right w:val="none" w:sz="0" w:space="0" w:color="auto"/>
          </w:divBdr>
        </w:div>
        <w:div w:id="307175733">
          <w:marLeft w:val="0"/>
          <w:marRight w:val="0"/>
          <w:marTop w:val="0"/>
          <w:marBottom w:val="0"/>
          <w:divBdr>
            <w:top w:val="none" w:sz="0" w:space="0" w:color="auto"/>
            <w:left w:val="none" w:sz="0" w:space="0" w:color="auto"/>
            <w:bottom w:val="none" w:sz="0" w:space="0" w:color="auto"/>
            <w:right w:val="none" w:sz="0" w:space="0" w:color="auto"/>
          </w:divBdr>
        </w:div>
        <w:div w:id="329799144">
          <w:marLeft w:val="0"/>
          <w:marRight w:val="0"/>
          <w:marTop w:val="0"/>
          <w:marBottom w:val="0"/>
          <w:divBdr>
            <w:top w:val="none" w:sz="0" w:space="0" w:color="auto"/>
            <w:left w:val="none" w:sz="0" w:space="0" w:color="auto"/>
            <w:bottom w:val="none" w:sz="0" w:space="0" w:color="auto"/>
            <w:right w:val="none" w:sz="0" w:space="0" w:color="auto"/>
          </w:divBdr>
        </w:div>
        <w:div w:id="333146694">
          <w:marLeft w:val="0"/>
          <w:marRight w:val="0"/>
          <w:marTop w:val="0"/>
          <w:marBottom w:val="0"/>
          <w:divBdr>
            <w:top w:val="none" w:sz="0" w:space="0" w:color="auto"/>
            <w:left w:val="none" w:sz="0" w:space="0" w:color="auto"/>
            <w:bottom w:val="none" w:sz="0" w:space="0" w:color="auto"/>
            <w:right w:val="none" w:sz="0" w:space="0" w:color="auto"/>
          </w:divBdr>
        </w:div>
        <w:div w:id="358942936">
          <w:marLeft w:val="0"/>
          <w:marRight w:val="0"/>
          <w:marTop w:val="0"/>
          <w:marBottom w:val="0"/>
          <w:divBdr>
            <w:top w:val="none" w:sz="0" w:space="0" w:color="auto"/>
            <w:left w:val="none" w:sz="0" w:space="0" w:color="auto"/>
            <w:bottom w:val="none" w:sz="0" w:space="0" w:color="auto"/>
            <w:right w:val="none" w:sz="0" w:space="0" w:color="auto"/>
          </w:divBdr>
        </w:div>
        <w:div w:id="364184980">
          <w:marLeft w:val="0"/>
          <w:marRight w:val="0"/>
          <w:marTop w:val="0"/>
          <w:marBottom w:val="0"/>
          <w:divBdr>
            <w:top w:val="none" w:sz="0" w:space="0" w:color="auto"/>
            <w:left w:val="none" w:sz="0" w:space="0" w:color="auto"/>
            <w:bottom w:val="none" w:sz="0" w:space="0" w:color="auto"/>
            <w:right w:val="none" w:sz="0" w:space="0" w:color="auto"/>
          </w:divBdr>
        </w:div>
        <w:div w:id="370879721">
          <w:marLeft w:val="0"/>
          <w:marRight w:val="0"/>
          <w:marTop w:val="0"/>
          <w:marBottom w:val="0"/>
          <w:divBdr>
            <w:top w:val="none" w:sz="0" w:space="0" w:color="auto"/>
            <w:left w:val="none" w:sz="0" w:space="0" w:color="auto"/>
            <w:bottom w:val="none" w:sz="0" w:space="0" w:color="auto"/>
            <w:right w:val="none" w:sz="0" w:space="0" w:color="auto"/>
          </w:divBdr>
        </w:div>
        <w:div w:id="379525151">
          <w:marLeft w:val="0"/>
          <w:marRight w:val="0"/>
          <w:marTop w:val="0"/>
          <w:marBottom w:val="0"/>
          <w:divBdr>
            <w:top w:val="none" w:sz="0" w:space="0" w:color="auto"/>
            <w:left w:val="none" w:sz="0" w:space="0" w:color="auto"/>
            <w:bottom w:val="none" w:sz="0" w:space="0" w:color="auto"/>
            <w:right w:val="none" w:sz="0" w:space="0" w:color="auto"/>
          </w:divBdr>
        </w:div>
        <w:div w:id="387461740">
          <w:marLeft w:val="0"/>
          <w:marRight w:val="0"/>
          <w:marTop w:val="0"/>
          <w:marBottom w:val="0"/>
          <w:divBdr>
            <w:top w:val="none" w:sz="0" w:space="0" w:color="auto"/>
            <w:left w:val="none" w:sz="0" w:space="0" w:color="auto"/>
            <w:bottom w:val="none" w:sz="0" w:space="0" w:color="auto"/>
            <w:right w:val="none" w:sz="0" w:space="0" w:color="auto"/>
          </w:divBdr>
        </w:div>
        <w:div w:id="390806881">
          <w:marLeft w:val="0"/>
          <w:marRight w:val="0"/>
          <w:marTop w:val="0"/>
          <w:marBottom w:val="0"/>
          <w:divBdr>
            <w:top w:val="none" w:sz="0" w:space="0" w:color="auto"/>
            <w:left w:val="none" w:sz="0" w:space="0" w:color="auto"/>
            <w:bottom w:val="none" w:sz="0" w:space="0" w:color="auto"/>
            <w:right w:val="none" w:sz="0" w:space="0" w:color="auto"/>
          </w:divBdr>
        </w:div>
        <w:div w:id="395326356">
          <w:marLeft w:val="0"/>
          <w:marRight w:val="0"/>
          <w:marTop w:val="0"/>
          <w:marBottom w:val="0"/>
          <w:divBdr>
            <w:top w:val="none" w:sz="0" w:space="0" w:color="auto"/>
            <w:left w:val="none" w:sz="0" w:space="0" w:color="auto"/>
            <w:bottom w:val="none" w:sz="0" w:space="0" w:color="auto"/>
            <w:right w:val="none" w:sz="0" w:space="0" w:color="auto"/>
          </w:divBdr>
        </w:div>
        <w:div w:id="404424478">
          <w:marLeft w:val="0"/>
          <w:marRight w:val="0"/>
          <w:marTop w:val="0"/>
          <w:marBottom w:val="0"/>
          <w:divBdr>
            <w:top w:val="none" w:sz="0" w:space="0" w:color="auto"/>
            <w:left w:val="none" w:sz="0" w:space="0" w:color="auto"/>
            <w:bottom w:val="none" w:sz="0" w:space="0" w:color="auto"/>
            <w:right w:val="none" w:sz="0" w:space="0" w:color="auto"/>
          </w:divBdr>
        </w:div>
        <w:div w:id="424302736">
          <w:marLeft w:val="0"/>
          <w:marRight w:val="0"/>
          <w:marTop w:val="0"/>
          <w:marBottom w:val="0"/>
          <w:divBdr>
            <w:top w:val="none" w:sz="0" w:space="0" w:color="auto"/>
            <w:left w:val="none" w:sz="0" w:space="0" w:color="auto"/>
            <w:bottom w:val="none" w:sz="0" w:space="0" w:color="auto"/>
            <w:right w:val="none" w:sz="0" w:space="0" w:color="auto"/>
          </w:divBdr>
        </w:div>
        <w:div w:id="450756611">
          <w:marLeft w:val="0"/>
          <w:marRight w:val="0"/>
          <w:marTop w:val="0"/>
          <w:marBottom w:val="0"/>
          <w:divBdr>
            <w:top w:val="none" w:sz="0" w:space="0" w:color="auto"/>
            <w:left w:val="none" w:sz="0" w:space="0" w:color="auto"/>
            <w:bottom w:val="none" w:sz="0" w:space="0" w:color="auto"/>
            <w:right w:val="none" w:sz="0" w:space="0" w:color="auto"/>
          </w:divBdr>
        </w:div>
        <w:div w:id="452671237">
          <w:marLeft w:val="0"/>
          <w:marRight w:val="0"/>
          <w:marTop w:val="0"/>
          <w:marBottom w:val="0"/>
          <w:divBdr>
            <w:top w:val="none" w:sz="0" w:space="0" w:color="auto"/>
            <w:left w:val="none" w:sz="0" w:space="0" w:color="auto"/>
            <w:bottom w:val="none" w:sz="0" w:space="0" w:color="auto"/>
            <w:right w:val="none" w:sz="0" w:space="0" w:color="auto"/>
          </w:divBdr>
        </w:div>
        <w:div w:id="454370078">
          <w:marLeft w:val="0"/>
          <w:marRight w:val="0"/>
          <w:marTop w:val="0"/>
          <w:marBottom w:val="0"/>
          <w:divBdr>
            <w:top w:val="none" w:sz="0" w:space="0" w:color="auto"/>
            <w:left w:val="none" w:sz="0" w:space="0" w:color="auto"/>
            <w:bottom w:val="none" w:sz="0" w:space="0" w:color="auto"/>
            <w:right w:val="none" w:sz="0" w:space="0" w:color="auto"/>
          </w:divBdr>
        </w:div>
        <w:div w:id="477186503">
          <w:marLeft w:val="0"/>
          <w:marRight w:val="0"/>
          <w:marTop w:val="0"/>
          <w:marBottom w:val="0"/>
          <w:divBdr>
            <w:top w:val="none" w:sz="0" w:space="0" w:color="auto"/>
            <w:left w:val="none" w:sz="0" w:space="0" w:color="auto"/>
            <w:bottom w:val="none" w:sz="0" w:space="0" w:color="auto"/>
            <w:right w:val="none" w:sz="0" w:space="0" w:color="auto"/>
          </w:divBdr>
        </w:div>
        <w:div w:id="484132176">
          <w:marLeft w:val="0"/>
          <w:marRight w:val="0"/>
          <w:marTop w:val="0"/>
          <w:marBottom w:val="0"/>
          <w:divBdr>
            <w:top w:val="none" w:sz="0" w:space="0" w:color="auto"/>
            <w:left w:val="none" w:sz="0" w:space="0" w:color="auto"/>
            <w:bottom w:val="none" w:sz="0" w:space="0" w:color="auto"/>
            <w:right w:val="none" w:sz="0" w:space="0" w:color="auto"/>
          </w:divBdr>
        </w:div>
        <w:div w:id="499808772">
          <w:marLeft w:val="0"/>
          <w:marRight w:val="0"/>
          <w:marTop w:val="0"/>
          <w:marBottom w:val="0"/>
          <w:divBdr>
            <w:top w:val="none" w:sz="0" w:space="0" w:color="auto"/>
            <w:left w:val="none" w:sz="0" w:space="0" w:color="auto"/>
            <w:bottom w:val="none" w:sz="0" w:space="0" w:color="auto"/>
            <w:right w:val="none" w:sz="0" w:space="0" w:color="auto"/>
          </w:divBdr>
        </w:div>
        <w:div w:id="501042330">
          <w:marLeft w:val="0"/>
          <w:marRight w:val="0"/>
          <w:marTop w:val="0"/>
          <w:marBottom w:val="0"/>
          <w:divBdr>
            <w:top w:val="none" w:sz="0" w:space="0" w:color="auto"/>
            <w:left w:val="none" w:sz="0" w:space="0" w:color="auto"/>
            <w:bottom w:val="none" w:sz="0" w:space="0" w:color="auto"/>
            <w:right w:val="none" w:sz="0" w:space="0" w:color="auto"/>
          </w:divBdr>
        </w:div>
        <w:div w:id="511796789">
          <w:marLeft w:val="0"/>
          <w:marRight w:val="0"/>
          <w:marTop w:val="0"/>
          <w:marBottom w:val="0"/>
          <w:divBdr>
            <w:top w:val="none" w:sz="0" w:space="0" w:color="auto"/>
            <w:left w:val="none" w:sz="0" w:space="0" w:color="auto"/>
            <w:bottom w:val="none" w:sz="0" w:space="0" w:color="auto"/>
            <w:right w:val="none" w:sz="0" w:space="0" w:color="auto"/>
          </w:divBdr>
        </w:div>
        <w:div w:id="536553594">
          <w:marLeft w:val="0"/>
          <w:marRight w:val="0"/>
          <w:marTop w:val="0"/>
          <w:marBottom w:val="0"/>
          <w:divBdr>
            <w:top w:val="none" w:sz="0" w:space="0" w:color="auto"/>
            <w:left w:val="none" w:sz="0" w:space="0" w:color="auto"/>
            <w:bottom w:val="none" w:sz="0" w:space="0" w:color="auto"/>
            <w:right w:val="none" w:sz="0" w:space="0" w:color="auto"/>
          </w:divBdr>
        </w:div>
        <w:div w:id="542837816">
          <w:marLeft w:val="0"/>
          <w:marRight w:val="0"/>
          <w:marTop w:val="0"/>
          <w:marBottom w:val="0"/>
          <w:divBdr>
            <w:top w:val="none" w:sz="0" w:space="0" w:color="auto"/>
            <w:left w:val="none" w:sz="0" w:space="0" w:color="auto"/>
            <w:bottom w:val="none" w:sz="0" w:space="0" w:color="auto"/>
            <w:right w:val="none" w:sz="0" w:space="0" w:color="auto"/>
          </w:divBdr>
        </w:div>
        <w:div w:id="564028962">
          <w:marLeft w:val="0"/>
          <w:marRight w:val="0"/>
          <w:marTop w:val="0"/>
          <w:marBottom w:val="0"/>
          <w:divBdr>
            <w:top w:val="none" w:sz="0" w:space="0" w:color="auto"/>
            <w:left w:val="none" w:sz="0" w:space="0" w:color="auto"/>
            <w:bottom w:val="none" w:sz="0" w:space="0" w:color="auto"/>
            <w:right w:val="none" w:sz="0" w:space="0" w:color="auto"/>
          </w:divBdr>
        </w:div>
        <w:div w:id="570625911">
          <w:marLeft w:val="0"/>
          <w:marRight w:val="0"/>
          <w:marTop w:val="0"/>
          <w:marBottom w:val="0"/>
          <w:divBdr>
            <w:top w:val="none" w:sz="0" w:space="0" w:color="auto"/>
            <w:left w:val="none" w:sz="0" w:space="0" w:color="auto"/>
            <w:bottom w:val="none" w:sz="0" w:space="0" w:color="auto"/>
            <w:right w:val="none" w:sz="0" w:space="0" w:color="auto"/>
          </w:divBdr>
        </w:div>
        <w:div w:id="571238674">
          <w:marLeft w:val="0"/>
          <w:marRight w:val="0"/>
          <w:marTop w:val="0"/>
          <w:marBottom w:val="0"/>
          <w:divBdr>
            <w:top w:val="none" w:sz="0" w:space="0" w:color="auto"/>
            <w:left w:val="none" w:sz="0" w:space="0" w:color="auto"/>
            <w:bottom w:val="none" w:sz="0" w:space="0" w:color="auto"/>
            <w:right w:val="none" w:sz="0" w:space="0" w:color="auto"/>
          </w:divBdr>
        </w:div>
        <w:div w:id="613636909">
          <w:marLeft w:val="0"/>
          <w:marRight w:val="0"/>
          <w:marTop w:val="0"/>
          <w:marBottom w:val="0"/>
          <w:divBdr>
            <w:top w:val="none" w:sz="0" w:space="0" w:color="auto"/>
            <w:left w:val="none" w:sz="0" w:space="0" w:color="auto"/>
            <w:bottom w:val="none" w:sz="0" w:space="0" w:color="auto"/>
            <w:right w:val="none" w:sz="0" w:space="0" w:color="auto"/>
          </w:divBdr>
        </w:div>
        <w:div w:id="625742520">
          <w:marLeft w:val="0"/>
          <w:marRight w:val="0"/>
          <w:marTop w:val="0"/>
          <w:marBottom w:val="0"/>
          <w:divBdr>
            <w:top w:val="none" w:sz="0" w:space="0" w:color="auto"/>
            <w:left w:val="none" w:sz="0" w:space="0" w:color="auto"/>
            <w:bottom w:val="none" w:sz="0" w:space="0" w:color="auto"/>
            <w:right w:val="none" w:sz="0" w:space="0" w:color="auto"/>
          </w:divBdr>
        </w:div>
        <w:div w:id="636108633">
          <w:marLeft w:val="0"/>
          <w:marRight w:val="0"/>
          <w:marTop w:val="0"/>
          <w:marBottom w:val="0"/>
          <w:divBdr>
            <w:top w:val="none" w:sz="0" w:space="0" w:color="auto"/>
            <w:left w:val="none" w:sz="0" w:space="0" w:color="auto"/>
            <w:bottom w:val="none" w:sz="0" w:space="0" w:color="auto"/>
            <w:right w:val="none" w:sz="0" w:space="0" w:color="auto"/>
          </w:divBdr>
        </w:div>
        <w:div w:id="638875207">
          <w:marLeft w:val="0"/>
          <w:marRight w:val="0"/>
          <w:marTop w:val="0"/>
          <w:marBottom w:val="0"/>
          <w:divBdr>
            <w:top w:val="none" w:sz="0" w:space="0" w:color="auto"/>
            <w:left w:val="none" w:sz="0" w:space="0" w:color="auto"/>
            <w:bottom w:val="none" w:sz="0" w:space="0" w:color="auto"/>
            <w:right w:val="none" w:sz="0" w:space="0" w:color="auto"/>
          </w:divBdr>
        </w:div>
        <w:div w:id="643974230">
          <w:marLeft w:val="0"/>
          <w:marRight w:val="0"/>
          <w:marTop w:val="0"/>
          <w:marBottom w:val="0"/>
          <w:divBdr>
            <w:top w:val="none" w:sz="0" w:space="0" w:color="auto"/>
            <w:left w:val="none" w:sz="0" w:space="0" w:color="auto"/>
            <w:bottom w:val="none" w:sz="0" w:space="0" w:color="auto"/>
            <w:right w:val="none" w:sz="0" w:space="0" w:color="auto"/>
          </w:divBdr>
        </w:div>
        <w:div w:id="666788830">
          <w:marLeft w:val="0"/>
          <w:marRight w:val="0"/>
          <w:marTop w:val="0"/>
          <w:marBottom w:val="0"/>
          <w:divBdr>
            <w:top w:val="none" w:sz="0" w:space="0" w:color="auto"/>
            <w:left w:val="none" w:sz="0" w:space="0" w:color="auto"/>
            <w:bottom w:val="none" w:sz="0" w:space="0" w:color="auto"/>
            <w:right w:val="none" w:sz="0" w:space="0" w:color="auto"/>
          </w:divBdr>
        </w:div>
        <w:div w:id="668363726">
          <w:marLeft w:val="0"/>
          <w:marRight w:val="0"/>
          <w:marTop w:val="0"/>
          <w:marBottom w:val="0"/>
          <w:divBdr>
            <w:top w:val="none" w:sz="0" w:space="0" w:color="auto"/>
            <w:left w:val="none" w:sz="0" w:space="0" w:color="auto"/>
            <w:bottom w:val="none" w:sz="0" w:space="0" w:color="auto"/>
            <w:right w:val="none" w:sz="0" w:space="0" w:color="auto"/>
          </w:divBdr>
        </w:div>
        <w:div w:id="673458549">
          <w:marLeft w:val="0"/>
          <w:marRight w:val="0"/>
          <w:marTop w:val="0"/>
          <w:marBottom w:val="0"/>
          <w:divBdr>
            <w:top w:val="none" w:sz="0" w:space="0" w:color="auto"/>
            <w:left w:val="none" w:sz="0" w:space="0" w:color="auto"/>
            <w:bottom w:val="none" w:sz="0" w:space="0" w:color="auto"/>
            <w:right w:val="none" w:sz="0" w:space="0" w:color="auto"/>
          </w:divBdr>
        </w:div>
        <w:div w:id="699665720">
          <w:marLeft w:val="0"/>
          <w:marRight w:val="0"/>
          <w:marTop w:val="0"/>
          <w:marBottom w:val="0"/>
          <w:divBdr>
            <w:top w:val="none" w:sz="0" w:space="0" w:color="auto"/>
            <w:left w:val="none" w:sz="0" w:space="0" w:color="auto"/>
            <w:bottom w:val="none" w:sz="0" w:space="0" w:color="auto"/>
            <w:right w:val="none" w:sz="0" w:space="0" w:color="auto"/>
          </w:divBdr>
        </w:div>
        <w:div w:id="711688181">
          <w:marLeft w:val="0"/>
          <w:marRight w:val="0"/>
          <w:marTop w:val="0"/>
          <w:marBottom w:val="0"/>
          <w:divBdr>
            <w:top w:val="none" w:sz="0" w:space="0" w:color="auto"/>
            <w:left w:val="none" w:sz="0" w:space="0" w:color="auto"/>
            <w:bottom w:val="none" w:sz="0" w:space="0" w:color="auto"/>
            <w:right w:val="none" w:sz="0" w:space="0" w:color="auto"/>
          </w:divBdr>
        </w:div>
        <w:div w:id="715356559">
          <w:marLeft w:val="0"/>
          <w:marRight w:val="0"/>
          <w:marTop w:val="0"/>
          <w:marBottom w:val="0"/>
          <w:divBdr>
            <w:top w:val="none" w:sz="0" w:space="0" w:color="auto"/>
            <w:left w:val="none" w:sz="0" w:space="0" w:color="auto"/>
            <w:bottom w:val="none" w:sz="0" w:space="0" w:color="auto"/>
            <w:right w:val="none" w:sz="0" w:space="0" w:color="auto"/>
          </w:divBdr>
        </w:div>
        <w:div w:id="719984844">
          <w:marLeft w:val="0"/>
          <w:marRight w:val="0"/>
          <w:marTop w:val="0"/>
          <w:marBottom w:val="0"/>
          <w:divBdr>
            <w:top w:val="none" w:sz="0" w:space="0" w:color="auto"/>
            <w:left w:val="none" w:sz="0" w:space="0" w:color="auto"/>
            <w:bottom w:val="none" w:sz="0" w:space="0" w:color="auto"/>
            <w:right w:val="none" w:sz="0" w:space="0" w:color="auto"/>
          </w:divBdr>
        </w:div>
        <w:div w:id="763265004">
          <w:marLeft w:val="0"/>
          <w:marRight w:val="0"/>
          <w:marTop w:val="0"/>
          <w:marBottom w:val="0"/>
          <w:divBdr>
            <w:top w:val="none" w:sz="0" w:space="0" w:color="auto"/>
            <w:left w:val="none" w:sz="0" w:space="0" w:color="auto"/>
            <w:bottom w:val="none" w:sz="0" w:space="0" w:color="auto"/>
            <w:right w:val="none" w:sz="0" w:space="0" w:color="auto"/>
          </w:divBdr>
        </w:div>
        <w:div w:id="772243428">
          <w:marLeft w:val="0"/>
          <w:marRight w:val="0"/>
          <w:marTop w:val="0"/>
          <w:marBottom w:val="0"/>
          <w:divBdr>
            <w:top w:val="none" w:sz="0" w:space="0" w:color="auto"/>
            <w:left w:val="none" w:sz="0" w:space="0" w:color="auto"/>
            <w:bottom w:val="none" w:sz="0" w:space="0" w:color="auto"/>
            <w:right w:val="none" w:sz="0" w:space="0" w:color="auto"/>
          </w:divBdr>
        </w:div>
        <w:div w:id="790128510">
          <w:marLeft w:val="0"/>
          <w:marRight w:val="0"/>
          <w:marTop w:val="0"/>
          <w:marBottom w:val="0"/>
          <w:divBdr>
            <w:top w:val="none" w:sz="0" w:space="0" w:color="auto"/>
            <w:left w:val="none" w:sz="0" w:space="0" w:color="auto"/>
            <w:bottom w:val="none" w:sz="0" w:space="0" w:color="auto"/>
            <w:right w:val="none" w:sz="0" w:space="0" w:color="auto"/>
          </w:divBdr>
        </w:div>
        <w:div w:id="804394687">
          <w:marLeft w:val="0"/>
          <w:marRight w:val="0"/>
          <w:marTop w:val="0"/>
          <w:marBottom w:val="0"/>
          <w:divBdr>
            <w:top w:val="none" w:sz="0" w:space="0" w:color="auto"/>
            <w:left w:val="none" w:sz="0" w:space="0" w:color="auto"/>
            <w:bottom w:val="none" w:sz="0" w:space="0" w:color="auto"/>
            <w:right w:val="none" w:sz="0" w:space="0" w:color="auto"/>
          </w:divBdr>
        </w:div>
        <w:div w:id="812018266">
          <w:marLeft w:val="0"/>
          <w:marRight w:val="0"/>
          <w:marTop w:val="0"/>
          <w:marBottom w:val="0"/>
          <w:divBdr>
            <w:top w:val="none" w:sz="0" w:space="0" w:color="auto"/>
            <w:left w:val="none" w:sz="0" w:space="0" w:color="auto"/>
            <w:bottom w:val="none" w:sz="0" w:space="0" w:color="auto"/>
            <w:right w:val="none" w:sz="0" w:space="0" w:color="auto"/>
          </w:divBdr>
        </w:div>
        <w:div w:id="824056689">
          <w:marLeft w:val="0"/>
          <w:marRight w:val="0"/>
          <w:marTop w:val="0"/>
          <w:marBottom w:val="0"/>
          <w:divBdr>
            <w:top w:val="none" w:sz="0" w:space="0" w:color="auto"/>
            <w:left w:val="none" w:sz="0" w:space="0" w:color="auto"/>
            <w:bottom w:val="none" w:sz="0" w:space="0" w:color="auto"/>
            <w:right w:val="none" w:sz="0" w:space="0" w:color="auto"/>
          </w:divBdr>
        </w:div>
        <w:div w:id="838731936">
          <w:marLeft w:val="0"/>
          <w:marRight w:val="0"/>
          <w:marTop w:val="0"/>
          <w:marBottom w:val="0"/>
          <w:divBdr>
            <w:top w:val="none" w:sz="0" w:space="0" w:color="auto"/>
            <w:left w:val="none" w:sz="0" w:space="0" w:color="auto"/>
            <w:bottom w:val="none" w:sz="0" w:space="0" w:color="auto"/>
            <w:right w:val="none" w:sz="0" w:space="0" w:color="auto"/>
          </w:divBdr>
        </w:div>
        <w:div w:id="905649167">
          <w:marLeft w:val="0"/>
          <w:marRight w:val="0"/>
          <w:marTop w:val="0"/>
          <w:marBottom w:val="0"/>
          <w:divBdr>
            <w:top w:val="none" w:sz="0" w:space="0" w:color="auto"/>
            <w:left w:val="none" w:sz="0" w:space="0" w:color="auto"/>
            <w:bottom w:val="none" w:sz="0" w:space="0" w:color="auto"/>
            <w:right w:val="none" w:sz="0" w:space="0" w:color="auto"/>
          </w:divBdr>
        </w:div>
        <w:div w:id="911429554">
          <w:marLeft w:val="0"/>
          <w:marRight w:val="0"/>
          <w:marTop w:val="0"/>
          <w:marBottom w:val="0"/>
          <w:divBdr>
            <w:top w:val="none" w:sz="0" w:space="0" w:color="auto"/>
            <w:left w:val="none" w:sz="0" w:space="0" w:color="auto"/>
            <w:bottom w:val="none" w:sz="0" w:space="0" w:color="auto"/>
            <w:right w:val="none" w:sz="0" w:space="0" w:color="auto"/>
          </w:divBdr>
        </w:div>
        <w:div w:id="925650374">
          <w:marLeft w:val="0"/>
          <w:marRight w:val="0"/>
          <w:marTop w:val="0"/>
          <w:marBottom w:val="0"/>
          <w:divBdr>
            <w:top w:val="none" w:sz="0" w:space="0" w:color="auto"/>
            <w:left w:val="none" w:sz="0" w:space="0" w:color="auto"/>
            <w:bottom w:val="none" w:sz="0" w:space="0" w:color="auto"/>
            <w:right w:val="none" w:sz="0" w:space="0" w:color="auto"/>
          </w:divBdr>
        </w:div>
        <w:div w:id="929316760">
          <w:marLeft w:val="0"/>
          <w:marRight w:val="0"/>
          <w:marTop w:val="0"/>
          <w:marBottom w:val="0"/>
          <w:divBdr>
            <w:top w:val="none" w:sz="0" w:space="0" w:color="auto"/>
            <w:left w:val="none" w:sz="0" w:space="0" w:color="auto"/>
            <w:bottom w:val="none" w:sz="0" w:space="0" w:color="auto"/>
            <w:right w:val="none" w:sz="0" w:space="0" w:color="auto"/>
          </w:divBdr>
        </w:div>
        <w:div w:id="935485259">
          <w:marLeft w:val="0"/>
          <w:marRight w:val="0"/>
          <w:marTop w:val="0"/>
          <w:marBottom w:val="0"/>
          <w:divBdr>
            <w:top w:val="none" w:sz="0" w:space="0" w:color="auto"/>
            <w:left w:val="none" w:sz="0" w:space="0" w:color="auto"/>
            <w:bottom w:val="none" w:sz="0" w:space="0" w:color="auto"/>
            <w:right w:val="none" w:sz="0" w:space="0" w:color="auto"/>
          </w:divBdr>
        </w:div>
        <w:div w:id="981036656">
          <w:marLeft w:val="0"/>
          <w:marRight w:val="0"/>
          <w:marTop w:val="0"/>
          <w:marBottom w:val="0"/>
          <w:divBdr>
            <w:top w:val="none" w:sz="0" w:space="0" w:color="auto"/>
            <w:left w:val="none" w:sz="0" w:space="0" w:color="auto"/>
            <w:bottom w:val="none" w:sz="0" w:space="0" w:color="auto"/>
            <w:right w:val="none" w:sz="0" w:space="0" w:color="auto"/>
          </w:divBdr>
        </w:div>
        <w:div w:id="1000696106">
          <w:marLeft w:val="0"/>
          <w:marRight w:val="0"/>
          <w:marTop w:val="0"/>
          <w:marBottom w:val="0"/>
          <w:divBdr>
            <w:top w:val="none" w:sz="0" w:space="0" w:color="auto"/>
            <w:left w:val="none" w:sz="0" w:space="0" w:color="auto"/>
            <w:bottom w:val="none" w:sz="0" w:space="0" w:color="auto"/>
            <w:right w:val="none" w:sz="0" w:space="0" w:color="auto"/>
          </w:divBdr>
        </w:div>
        <w:div w:id="1011833828">
          <w:marLeft w:val="0"/>
          <w:marRight w:val="0"/>
          <w:marTop w:val="0"/>
          <w:marBottom w:val="0"/>
          <w:divBdr>
            <w:top w:val="none" w:sz="0" w:space="0" w:color="auto"/>
            <w:left w:val="none" w:sz="0" w:space="0" w:color="auto"/>
            <w:bottom w:val="none" w:sz="0" w:space="0" w:color="auto"/>
            <w:right w:val="none" w:sz="0" w:space="0" w:color="auto"/>
          </w:divBdr>
        </w:div>
        <w:div w:id="1034383943">
          <w:marLeft w:val="0"/>
          <w:marRight w:val="0"/>
          <w:marTop w:val="0"/>
          <w:marBottom w:val="0"/>
          <w:divBdr>
            <w:top w:val="none" w:sz="0" w:space="0" w:color="auto"/>
            <w:left w:val="none" w:sz="0" w:space="0" w:color="auto"/>
            <w:bottom w:val="none" w:sz="0" w:space="0" w:color="auto"/>
            <w:right w:val="none" w:sz="0" w:space="0" w:color="auto"/>
          </w:divBdr>
        </w:div>
        <w:div w:id="1045256631">
          <w:marLeft w:val="0"/>
          <w:marRight w:val="0"/>
          <w:marTop w:val="0"/>
          <w:marBottom w:val="0"/>
          <w:divBdr>
            <w:top w:val="none" w:sz="0" w:space="0" w:color="auto"/>
            <w:left w:val="none" w:sz="0" w:space="0" w:color="auto"/>
            <w:bottom w:val="none" w:sz="0" w:space="0" w:color="auto"/>
            <w:right w:val="none" w:sz="0" w:space="0" w:color="auto"/>
          </w:divBdr>
        </w:div>
        <w:div w:id="1049188929">
          <w:marLeft w:val="0"/>
          <w:marRight w:val="0"/>
          <w:marTop w:val="0"/>
          <w:marBottom w:val="0"/>
          <w:divBdr>
            <w:top w:val="none" w:sz="0" w:space="0" w:color="auto"/>
            <w:left w:val="none" w:sz="0" w:space="0" w:color="auto"/>
            <w:bottom w:val="none" w:sz="0" w:space="0" w:color="auto"/>
            <w:right w:val="none" w:sz="0" w:space="0" w:color="auto"/>
          </w:divBdr>
        </w:div>
        <w:div w:id="1053970228">
          <w:marLeft w:val="0"/>
          <w:marRight w:val="0"/>
          <w:marTop w:val="0"/>
          <w:marBottom w:val="0"/>
          <w:divBdr>
            <w:top w:val="none" w:sz="0" w:space="0" w:color="auto"/>
            <w:left w:val="none" w:sz="0" w:space="0" w:color="auto"/>
            <w:bottom w:val="none" w:sz="0" w:space="0" w:color="auto"/>
            <w:right w:val="none" w:sz="0" w:space="0" w:color="auto"/>
          </w:divBdr>
        </w:div>
        <w:div w:id="1055198642">
          <w:marLeft w:val="0"/>
          <w:marRight w:val="0"/>
          <w:marTop w:val="0"/>
          <w:marBottom w:val="0"/>
          <w:divBdr>
            <w:top w:val="none" w:sz="0" w:space="0" w:color="auto"/>
            <w:left w:val="none" w:sz="0" w:space="0" w:color="auto"/>
            <w:bottom w:val="none" w:sz="0" w:space="0" w:color="auto"/>
            <w:right w:val="none" w:sz="0" w:space="0" w:color="auto"/>
          </w:divBdr>
        </w:div>
        <w:div w:id="1081369154">
          <w:marLeft w:val="0"/>
          <w:marRight w:val="0"/>
          <w:marTop w:val="0"/>
          <w:marBottom w:val="0"/>
          <w:divBdr>
            <w:top w:val="none" w:sz="0" w:space="0" w:color="auto"/>
            <w:left w:val="none" w:sz="0" w:space="0" w:color="auto"/>
            <w:bottom w:val="none" w:sz="0" w:space="0" w:color="auto"/>
            <w:right w:val="none" w:sz="0" w:space="0" w:color="auto"/>
          </w:divBdr>
        </w:div>
        <w:div w:id="1093815532">
          <w:marLeft w:val="0"/>
          <w:marRight w:val="0"/>
          <w:marTop w:val="0"/>
          <w:marBottom w:val="0"/>
          <w:divBdr>
            <w:top w:val="none" w:sz="0" w:space="0" w:color="auto"/>
            <w:left w:val="none" w:sz="0" w:space="0" w:color="auto"/>
            <w:bottom w:val="none" w:sz="0" w:space="0" w:color="auto"/>
            <w:right w:val="none" w:sz="0" w:space="0" w:color="auto"/>
          </w:divBdr>
        </w:div>
        <w:div w:id="1153761952">
          <w:marLeft w:val="0"/>
          <w:marRight w:val="0"/>
          <w:marTop w:val="0"/>
          <w:marBottom w:val="0"/>
          <w:divBdr>
            <w:top w:val="none" w:sz="0" w:space="0" w:color="auto"/>
            <w:left w:val="none" w:sz="0" w:space="0" w:color="auto"/>
            <w:bottom w:val="none" w:sz="0" w:space="0" w:color="auto"/>
            <w:right w:val="none" w:sz="0" w:space="0" w:color="auto"/>
          </w:divBdr>
        </w:div>
        <w:div w:id="1174150473">
          <w:marLeft w:val="0"/>
          <w:marRight w:val="0"/>
          <w:marTop w:val="0"/>
          <w:marBottom w:val="0"/>
          <w:divBdr>
            <w:top w:val="none" w:sz="0" w:space="0" w:color="auto"/>
            <w:left w:val="none" w:sz="0" w:space="0" w:color="auto"/>
            <w:bottom w:val="none" w:sz="0" w:space="0" w:color="auto"/>
            <w:right w:val="none" w:sz="0" w:space="0" w:color="auto"/>
          </w:divBdr>
        </w:div>
        <w:div w:id="1182741590">
          <w:marLeft w:val="0"/>
          <w:marRight w:val="0"/>
          <w:marTop w:val="0"/>
          <w:marBottom w:val="0"/>
          <w:divBdr>
            <w:top w:val="none" w:sz="0" w:space="0" w:color="auto"/>
            <w:left w:val="none" w:sz="0" w:space="0" w:color="auto"/>
            <w:bottom w:val="none" w:sz="0" w:space="0" w:color="auto"/>
            <w:right w:val="none" w:sz="0" w:space="0" w:color="auto"/>
          </w:divBdr>
        </w:div>
        <w:div w:id="1219629666">
          <w:marLeft w:val="0"/>
          <w:marRight w:val="0"/>
          <w:marTop w:val="0"/>
          <w:marBottom w:val="0"/>
          <w:divBdr>
            <w:top w:val="none" w:sz="0" w:space="0" w:color="auto"/>
            <w:left w:val="none" w:sz="0" w:space="0" w:color="auto"/>
            <w:bottom w:val="none" w:sz="0" w:space="0" w:color="auto"/>
            <w:right w:val="none" w:sz="0" w:space="0" w:color="auto"/>
          </w:divBdr>
        </w:div>
        <w:div w:id="1231423926">
          <w:marLeft w:val="0"/>
          <w:marRight w:val="0"/>
          <w:marTop w:val="0"/>
          <w:marBottom w:val="0"/>
          <w:divBdr>
            <w:top w:val="none" w:sz="0" w:space="0" w:color="auto"/>
            <w:left w:val="none" w:sz="0" w:space="0" w:color="auto"/>
            <w:bottom w:val="none" w:sz="0" w:space="0" w:color="auto"/>
            <w:right w:val="none" w:sz="0" w:space="0" w:color="auto"/>
          </w:divBdr>
        </w:div>
        <w:div w:id="1243951457">
          <w:marLeft w:val="0"/>
          <w:marRight w:val="0"/>
          <w:marTop w:val="0"/>
          <w:marBottom w:val="0"/>
          <w:divBdr>
            <w:top w:val="none" w:sz="0" w:space="0" w:color="auto"/>
            <w:left w:val="none" w:sz="0" w:space="0" w:color="auto"/>
            <w:bottom w:val="none" w:sz="0" w:space="0" w:color="auto"/>
            <w:right w:val="none" w:sz="0" w:space="0" w:color="auto"/>
          </w:divBdr>
        </w:div>
        <w:div w:id="1267422265">
          <w:marLeft w:val="0"/>
          <w:marRight w:val="0"/>
          <w:marTop w:val="0"/>
          <w:marBottom w:val="0"/>
          <w:divBdr>
            <w:top w:val="none" w:sz="0" w:space="0" w:color="auto"/>
            <w:left w:val="none" w:sz="0" w:space="0" w:color="auto"/>
            <w:bottom w:val="none" w:sz="0" w:space="0" w:color="auto"/>
            <w:right w:val="none" w:sz="0" w:space="0" w:color="auto"/>
          </w:divBdr>
        </w:div>
        <w:div w:id="1316909176">
          <w:marLeft w:val="0"/>
          <w:marRight w:val="0"/>
          <w:marTop w:val="0"/>
          <w:marBottom w:val="0"/>
          <w:divBdr>
            <w:top w:val="none" w:sz="0" w:space="0" w:color="auto"/>
            <w:left w:val="none" w:sz="0" w:space="0" w:color="auto"/>
            <w:bottom w:val="none" w:sz="0" w:space="0" w:color="auto"/>
            <w:right w:val="none" w:sz="0" w:space="0" w:color="auto"/>
          </w:divBdr>
        </w:div>
        <w:div w:id="1324240748">
          <w:marLeft w:val="0"/>
          <w:marRight w:val="0"/>
          <w:marTop w:val="0"/>
          <w:marBottom w:val="0"/>
          <w:divBdr>
            <w:top w:val="none" w:sz="0" w:space="0" w:color="auto"/>
            <w:left w:val="none" w:sz="0" w:space="0" w:color="auto"/>
            <w:bottom w:val="none" w:sz="0" w:space="0" w:color="auto"/>
            <w:right w:val="none" w:sz="0" w:space="0" w:color="auto"/>
          </w:divBdr>
        </w:div>
        <w:div w:id="1342121310">
          <w:marLeft w:val="0"/>
          <w:marRight w:val="0"/>
          <w:marTop w:val="0"/>
          <w:marBottom w:val="0"/>
          <w:divBdr>
            <w:top w:val="none" w:sz="0" w:space="0" w:color="auto"/>
            <w:left w:val="none" w:sz="0" w:space="0" w:color="auto"/>
            <w:bottom w:val="none" w:sz="0" w:space="0" w:color="auto"/>
            <w:right w:val="none" w:sz="0" w:space="0" w:color="auto"/>
          </w:divBdr>
        </w:div>
        <w:div w:id="1348360890">
          <w:marLeft w:val="0"/>
          <w:marRight w:val="0"/>
          <w:marTop w:val="0"/>
          <w:marBottom w:val="0"/>
          <w:divBdr>
            <w:top w:val="none" w:sz="0" w:space="0" w:color="auto"/>
            <w:left w:val="none" w:sz="0" w:space="0" w:color="auto"/>
            <w:bottom w:val="none" w:sz="0" w:space="0" w:color="auto"/>
            <w:right w:val="none" w:sz="0" w:space="0" w:color="auto"/>
          </w:divBdr>
        </w:div>
        <w:div w:id="1350446577">
          <w:marLeft w:val="0"/>
          <w:marRight w:val="0"/>
          <w:marTop w:val="0"/>
          <w:marBottom w:val="0"/>
          <w:divBdr>
            <w:top w:val="none" w:sz="0" w:space="0" w:color="auto"/>
            <w:left w:val="none" w:sz="0" w:space="0" w:color="auto"/>
            <w:bottom w:val="none" w:sz="0" w:space="0" w:color="auto"/>
            <w:right w:val="none" w:sz="0" w:space="0" w:color="auto"/>
          </w:divBdr>
        </w:div>
        <w:div w:id="1350446701">
          <w:marLeft w:val="0"/>
          <w:marRight w:val="0"/>
          <w:marTop w:val="0"/>
          <w:marBottom w:val="0"/>
          <w:divBdr>
            <w:top w:val="none" w:sz="0" w:space="0" w:color="auto"/>
            <w:left w:val="none" w:sz="0" w:space="0" w:color="auto"/>
            <w:bottom w:val="none" w:sz="0" w:space="0" w:color="auto"/>
            <w:right w:val="none" w:sz="0" w:space="0" w:color="auto"/>
          </w:divBdr>
        </w:div>
        <w:div w:id="1354306762">
          <w:marLeft w:val="0"/>
          <w:marRight w:val="0"/>
          <w:marTop w:val="0"/>
          <w:marBottom w:val="0"/>
          <w:divBdr>
            <w:top w:val="none" w:sz="0" w:space="0" w:color="auto"/>
            <w:left w:val="none" w:sz="0" w:space="0" w:color="auto"/>
            <w:bottom w:val="none" w:sz="0" w:space="0" w:color="auto"/>
            <w:right w:val="none" w:sz="0" w:space="0" w:color="auto"/>
          </w:divBdr>
        </w:div>
        <w:div w:id="1365516719">
          <w:marLeft w:val="0"/>
          <w:marRight w:val="0"/>
          <w:marTop w:val="0"/>
          <w:marBottom w:val="0"/>
          <w:divBdr>
            <w:top w:val="none" w:sz="0" w:space="0" w:color="auto"/>
            <w:left w:val="none" w:sz="0" w:space="0" w:color="auto"/>
            <w:bottom w:val="none" w:sz="0" w:space="0" w:color="auto"/>
            <w:right w:val="none" w:sz="0" w:space="0" w:color="auto"/>
          </w:divBdr>
        </w:div>
        <w:div w:id="1379086792">
          <w:marLeft w:val="0"/>
          <w:marRight w:val="0"/>
          <w:marTop w:val="0"/>
          <w:marBottom w:val="0"/>
          <w:divBdr>
            <w:top w:val="none" w:sz="0" w:space="0" w:color="auto"/>
            <w:left w:val="none" w:sz="0" w:space="0" w:color="auto"/>
            <w:bottom w:val="none" w:sz="0" w:space="0" w:color="auto"/>
            <w:right w:val="none" w:sz="0" w:space="0" w:color="auto"/>
          </w:divBdr>
        </w:div>
        <w:div w:id="1387147231">
          <w:marLeft w:val="0"/>
          <w:marRight w:val="0"/>
          <w:marTop w:val="0"/>
          <w:marBottom w:val="0"/>
          <w:divBdr>
            <w:top w:val="none" w:sz="0" w:space="0" w:color="auto"/>
            <w:left w:val="none" w:sz="0" w:space="0" w:color="auto"/>
            <w:bottom w:val="none" w:sz="0" w:space="0" w:color="auto"/>
            <w:right w:val="none" w:sz="0" w:space="0" w:color="auto"/>
          </w:divBdr>
        </w:div>
        <w:div w:id="1389183688">
          <w:marLeft w:val="0"/>
          <w:marRight w:val="0"/>
          <w:marTop w:val="0"/>
          <w:marBottom w:val="0"/>
          <w:divBdr>
            <w:top w:val="none" w:sz="0" w:space="0" w:color="auto"/>
            <w:left w:val="none" w:sz="0" w:space="0" w:color="auto"/>
            <w:bottom w:val="none" w:sz="0" w:space="0" w:color="auto"/>
            <w:right w:val="none" w:sz="0" w:space="0" w:color="auto"/>
          </w:divBdr>
        </w:div>
        <w:div w:id="1397163804">
          <w:marLeft w:val="0"/>
          <w:marRight w:val="0"/>
          <w:marTop w:val="0"/>
          <w:marBottom w:val="0"/>
          <w:divBdr>
            <w:top w:val="none" w:sz="0" w:space="0" w:color="auto"/>
            <w:left w:val="none" w:sz="0" w:space="0" w:color="auto"/>
            <w:bottom w:val="none" w:sz="0" w:space="0" w:color="auto"/>
            <w:right w:val="none" w:sz="0" w:space="0" w:color="auto"/>
          </w:divBdr>
        </w:div>
        <w:div w:id="1416973491">
          <w:marLeft w:val="0"/>
          <w:marRight w:val="0"/>
          <w:marTop w:val="0"/>
          <w:marBottom w:val="0"/>
          <w:divBdr>
            <w:top w:val="none" w:sz="0" w:space="0" w:color="auto"/>
            <w:left w:val="none" w:sz="0" w:space="0" w:color="auto"/>
            <w:bottom w:val="none" w:sz="0" w:space="0" w:color="auto"/>
            <w:right w:val="none" w:sz="0" w:space="0" w:color="auto"/>
          </w:divBdr>
        </w:div>
        <w:div w:id="1423839026">
          <w:marLeft w:val="0"/>
          <w:marRight w:val="0"/>
          <w:marTop w:val="0"/>
          <w:marBottom w:val="0"/>
          <w:divBdr>
            <w:top w:val="none" w:sz="0" w:space="0" w:color="auto"/>
            <w:left w:val="none" w:sz="0" w:space="0" w:color="auto"/>
            <w:bottom w:val="none" w:sz="0" w:space="0" w:color="auto"/>
            <w:right w:val="none" w:sz="0" w:space="0" w:color="auto"/>
          </w:divBdr>
        </w:div>
        <w:div w:id="1429348401">
          <w:marLeft w:val="0"/>
          <w:marRight w:val="0"/>
          <w:marTop w:val="0"/>
          <w:marBottom w:val="0"/>
          <w:divBdr>
            <w:top w:val="none" w:sz="0" w:space="0" w:color="auto"/>
            <w:left w:val="none" w:sz="0" w:space="0" w:color="auto"/>
            <w:bottom w:val="none" w:sz="0" w:space="0" w:color="auto"/>
            <w:right w:val="none" w:sz="0" w:space="0" w:color="auto"/>
          </w:divBdr>
        </w:div>
        <w:div w:id="1442457121">
          <w:marLeft w:val="0"/>
          <w:marRight w:val="0"/>
          <w:marTop w:val="0"/>
          <w:marBottom w:val="0"/>
          <w:divBdr>
            <w:top w:val="none" w:sz="0" w:space="0" w:color="auto"/>
            <w:left w:val="none" w:sz="0" w:space="0" w:color="auto"/>
            <w:bottom w:val="none" w:sz="0" w:space="0" w:color="auto"/>
            <w:right w:val="none" w:sz="0" w:space="0" w:color="auto"/>
          </w:divBdr>
        </w:div>
        <w:div w:id="1442800129">
          <w:marLeft w:val="0"/>
          <w:marRight w:val="0"/>
          <w:marTop w:val="0"/>
          <w:marBottom w:val="0"/>
          <w:divBdr>
            <w:top w:val="none" w:sz="0" w:space="0" w:color="auto"/>
            <w:left w:val="none" w:sz="0" w:space="0" w:color="auto"/>
            <w:bottom w:val="none" w:sz="0" w:space="0" w:color="auto"/>
            <w:right w:val="none" w:sz="0" w:space="0" w:color="auto"/>
          </w:divBdr>
        </w:div>
        <w:div w:id="1453400271">
          <w:marLeft w:val="0"/>
          <w:marRight w:val="0"/>
          <w:marTop w:val="0"/>
          <w:marBottom w:val="0"/>
          <w:divBdr>
            <w:top w:val="none" w:sz="0" w:space="0" w:color="auto"/>
            <w:left w:val="none" w:sz="0" w:space="0" w:color="auto"/>
            <w:bottom w:val="none" w:sz="0" w:space="0" w:color="auto"/>
            <w:right w:val="none" w:sz="0" w:space="0" w:color="auto"/>
          </w:divBdr>
        </w:div>
        <w:div w:id="1466047344">
          <w:marLeft w:val="0"/>
          <w:marRight w:val="0"/>
          <w:marTop w:val="0"/>
          <w:marBottom w:val="0"/>
          <w:divBdr>
            <w:top w:val="none" w:sz="0" w:space="0" w:color="auto"/>
            <w:left w:val="none" w:sz="0" w:space="0" w:color="auto"/>
            <w:bottom w:val="none" w:sz="0" w:space="0" w:color="auto"/>
            <w:right w:val="none" w:sz="0" w:space="0" w:color="auto"/>
          </w:divBdr>
        </w:div>
        <w:div w:id="1490169542">
          <w:marLeft w:val="0"/>
          <w:marRight w:val="0"/>
          <w:marTop w:val="0"/>
          <w:marBottom w:val="0"/>
          <w:divBdr>
            <w:top w:val="none" w:sz="0" w:space="0" w:color="auto"/>
            <w:left w:val="none" w:sz="0" w:space="0" w:color="auto"/>
            <w:bottom w:val="none" w:sz="0" w:space="0" w:color="auto"/>
            <w:right w:val="none" w:sz="0" w:space="0" w:color="auto"/>
          </w:divBdr>
        </w:div>
        <w:div w:id="1492062667">
          <w:marLeft w:val="0"/>
          <w:marRight w:val="0"/>
          <w:marTop w:val="0"/>
          <w:marBottom w:val="0"/>
          <w:divBdr>
            <w:top w:val="none" w:sz="0" w:space="0" w:color="auto"/>
            <w:left w:val="none" w:sz="0" w:space="0" w:color="auto"/>
            <w:bottom w:val="none" w:sz="0" w:space="0" w:color="auto"/>
            <w:right w:val="none" w:sz="0" w:space="0" w:color="auto"/>
          </w:divBdr>
        </w:div>
        <w:div w:id="1510024505">
          <w:marLeft w:val="0"/>
          <w:marRight w:val="0"/>
          <w:marTop w:val="0"/>
          <w:marBottom w:val="0"/>
          <w:divBdr>
            <w:top w:val="none" w:sz="0" w:space="0" w:color="auto"/>
            <w:left w:val="none" w:sz="0" w:space="0" w:color="auto"/>
            <w:bottom w:val="none" w:sz="0" w:space="0" w:color="auto"/>
            <w:right w:val="none" w:sz="0" w:space="0" w:color="auto"/>
          </w:divBdr>
        </w:div>
        <w:div w:id="1518040429">
          <w:marLeft w:val="0"/>
          <w:marRight w:val="0"/>
          <w:marTop w:val="0"/>
          <w:marBottom w:val="0"/>
          <w:divBdr>
            <w:top w:val="none" w:sz="0" w:space="0" w:color="auto"/>
            <w:left w:val="none" w:sz="0" w:space="0" w:color="auto"/>
            <w:bottom w:val="none" w:sz="0" w:space="0" w:color="auto"/>
            <w:right w:val="none" w:sz="0" w:space="0" w:color="auto"/>
          </w:divBdr>
        </w:div>
        <w:div w:id="1533612434">
          <w:marLeft w:val="0"/>
          <w:marRight w:val="0"/>
          <w:marTop w:val="0"/>
          <w:marBottom w:val="0"/>
          <w:divBdr>
            <w:top w:val="none" w:sz="0" w:space="0" w:color="auto"/>
            <w:left w:val="none" w:sz="0" w:space="0" w:color="auto"/>
            <w:bottom w:val="none" w:sz="0" w:space="0" w:color="auto"/>
            <w:right w:val="none" w:sz="0" w:space="0" w:color="auto"/>
          </w:divBdr>
        </w:div>
        <w:div w:id="1543639171">
          <w:marLeft w:val="0"/>
          <w:marRight w:val="0"/>
          <w:marTop w:val="0"/>
          <w:marBottom w:val="0"/>
          <w:divBdr>
            <w:top w:val="none" w:sz="0" w:space="0" w:color="auto"/>
            <w:left w:val="none" w:sz="0" w:space="0" w:color="auto"/>
            <w:bottom w:val="none" w:sz="0" w:space="0" w:color="auto"/>
            <w:right w:val="none" w:sz="0" w:space="0" w:color="auto"/>
          </w:divBdr>
        </w:div>
        <w:div w:id="1563783742">
          <w:marLeft w:val="0"/>
          <w:marRight w:val="0"/>
          <w:marTop w:val="0"/>
          <w:marBottom w:val="0"/>
          <w:divBdr>
            <w:top w:val="none" w:sz="0" w:space="0" w:color="auto"/>
            <w:left w:val="none" w:sz="0" w:space="0" w:color="auto"/>
            <w:bottom w:val="none" w:sz="0" w:space="0" w:color="auto"/>
            <w:right w:val="none" w:sz="0" w:space="0" w:color="auto"/>
          </w:divBdr>
        </w:div>
        <w:div w:id="1596094032">
          <w:marLeft w:val="0"/>
          <w:marRight w:val="0"/>
          <w:marTop w:val="0"/>
          <w:marBottom w:val="0"/>
          <w:divBdr>
            <w:top w:val="none" w:sz="0" w:space="0" w:color="auto"/>
            <w:left w:val="none" w:sz="0" w:space="0" w:color="auto"/>
            <w:bottom w:val="none" w:sz="0" w:space="0" w:color="auto"/>
            <w:right w:val="none" w:sz="0" w:space="0" w:color="auto"/>
          </w:divBdr>
        </w:div>
        <w:div w:id="1608613139">
          <w:marLeft w:val="0"/>
          <w:marRight w:val="0"/>
          <w:marTop w:val="0"/>
          <w:marBottom w:val="0"/>
          <w:divBdr>
            <w:top w:val="none" w:sz="0" w:space="0" w:color="auto"/>
            <w:left w:val="none" w:sz="0" w:space="0" w:color="auto"/>
            <w:bottom w:val="none" w:sz="0" w:space="0" w:color="auto"/>
            <w:right w:val="none" w:sz="0" w:space="0" w:color="auto"/>
          </w:divBdr>
        </w:div>
        <w:div w:id="1633288893">
          <w:marLeft w:val="0"/>
          <w:marRight w:val="0"/>
          <w:marTop w:val="0"/>
          <w:marBottom w:val="0"/>
          <w:divBdr>
            <w:top w:val="none" w:sz="0" w:space="0" w:color="auto"/>
            <w:left w:val="none" w:sz="0" w:space="0" w:color="auto"/>
            <w:bottom w:val="none" w:sz="0" w:space="0" w:color="auto"/>
            <w:right w:val="none" w:sz="0" w:space="0" w:color="auto"/>
          </w:divBdr>
        </w:div>
        <w:div w:id="1649701806">
          <w:marLeft w:val="0"/>
          <w:marRight w:val="0"/>
          <w:marTop w:val="0"/>
          <w:marBottom w:val="0"/>
          <w:divBdr>
            <w:top w:val="none" w:sz="0" w:space="0" w:color="auto"/>
            <w:left w:val="none" w:sz="0" w:space="0" w:color="auto"/>
            <w:bottom w:val="none" w:sz="0" w:space="0" w:color="auto"/>
            <w:right w:val="none" w:sz="0" w:space="0" w:color="auto"/>
          </w:divBdr>
        </w:div>
        <w:div w:id="1661999928">
          <w:marLeft w:val="0"/>
          <w:marRight w:val="0"/>
          <w:marTop w:val="0"/>
          <w:marBottom w:val="0"/>
          <w:divBdr>
            <w:top w:val="none" w:sz="0" w:space="0" w:color="auto"/>
            <w:left w:val="none" w:sz="0" w:space="0" w:color="auto"/>
            <w:bottom w:val="none" w:sz="0" w:space="0" w:color="auto"/>
            <w:right w:val="none" w:sz="0" w:space="0" w:color="auto"/>
          </w:divBdr>
        </w:div>
        <w:div w:id="1666781292">
          <w:marLeft w:val="0"/>
          <w:marRight w:val="0"/>
          <w:marTop w:val="0"/>
          <w:marBottom w:val="0"/>
          <w:divBdr>
            <w:top w:val="none" w:sz="0" w:space="0" w:color="auto"/>
            <w:left w:val="none" w:sz="0" w:space="0" w:color="auto"/>
            <w:bottom w:val="none" w:sz="0" w:space="0" w:color="auto"/>
            <w:right w:val="none" w:sz="0" w:space="0" w:color="auto"/>
          </w:divBdr>
        </w:div>
        <w:div w:id="1673802022">
          <w:marLeft w:val="0"/>
          <w:marRight w:val="0"/>
          <w:marTop w:val="0"/>
          <w:marBottom w:val="0"/>
          <w:divBdr>
            <w:top w:val="none" w:sz="0" w:space="0" w:color="auto"/>
            <w:left w:val="none" w:sz="0" w:space="0" w:color="auto"/>
            <w:bottom w:val="none" w:sz="0" w:space="0" w:color="auto"/>
            <w:right w:val="none" w:sz="0" w:space="0" w:color="auto"/>
          </w:divBdr>
        </w:div>
        <w:div w:id="1677465090">
          <w:marLeft w:val="0"/>
          <w:marRight w:val="0"/>
          <w:marTop w:val="0"/>
          <w:marBottom w:val="0"/>
          <w:divBdr>
            <w:top w:val="none" w:sz="0" w:space="0" w:color="auto"/>
            <w:left w:val="none" w:sz="0" w:space="0" w:color="auto"/>
            <w:bottom w:val="none" w:sz="0" w:space="0" w:color="auto"/>
            <w:right w:val="none" w:sz="0" w:space="0" w:color="auto"/>
          </w:divBdr>
        </w:div>
        <w:div w:id="1700349312">
          <w:marLeft w:val="0"/>
          <w:marRight w:val="0"/>
          <w:marTop w:val="0"/>
          <w:marBottom w:val="0"/>
          <w:divBdr>
            <w:top w:val="none" w:sz="0" w:space="0" w:color="auto"/>
            <w:left w:val="none" w:sz="0" w:space="0" w:color="auto"/>
            <w:bottom w:val="none" w:sz="0" w:space="0" w:color="auto"/>
            <w:right w:val="none" w:sz="0" w:space="0" w:color="auto"/>
          </w:divBdr>
        </w:div>
        <w:div w:id="1711108521">
          <w:marLeft w:val="0"/>
          <w:marRight w:val="0"/>
          <w:marTop w:val="0"/>
          <w:marBottom w:val="0"/>
          <w:divBdr>
            <w:top w:val="none" w:sz="0" w:space="0" w:color="auto"/>
            <w:left w:val="none" w:sz="0" w:space="0" w:color="auto"/>
            <w:bottom w:val="none" w:sz="0" w:space="0" w:color="auto"/>
            <w:right w:val="none" w:sz="0" w:space="0" w:color="auto"/>
          </w:divBdr>
        </w:div>
        <w:div w:id="1720325973">
          <w:marLeft w:val="0"/>
          <w:marRight w:val="0"/>
          <w:marTop w:val="0"/>
          <w:marBottom w:val="0"/>
          <w:divBdr>
            <w:top w:val="none" w:sz="0" w:space="0" w:color="auto"/>
            <w:left w:val="none" w:sz="0" w:space="0" w:color="auto"/>
            <w:bottom w:val="none" w:sz="0" w:space="0" w:color="auto"/>
            <w:right w:val="none" w:sz="0" w:space="0" w:color="auto"/>
          </w:divBdr>
        </w:div>
        <w:div w:id="1722291800">
          <w:marLeft w:val="0"/>
          <w:marRight w:val="0"/>
          <w:marTop w:val="0"/>
          <w:marBottom w:val="0"/>
          <w:divBdr>
            <w:top w:val="none" w:sz="0" w:space="0" w:color="auto"/>
            <w:left w:val="none" w:sz="0" w:space="0" w:color="auto"/>
            <w:bottom w:val="none" w:sz="0" w:space="0" w:color="auto"/>
            <w:right w:val="none" w:sz="0" w:space="0" w:color="auto"/>
          </w:divBdr>
        </w:div>
        <w:div w:id="1726291231">
          <w:marLeft w:val="0"/>
          <w:marRight w:val="0"/>
          <w:marTop w:val="0"/>
          <w:marBottom w:val="0"/>
          <w:divBdr>
            <w:top w:val="none" w:sz="0" w:space="0" w:color="auto"/>
            <w:left w:val="none" w:sz="0" w:space="0" w:color="auto"/>
            <w:bottom w:val="none" w:sz="0" w:space="0" w:color="auto"/>
            <w:right w:val="none" w:sz="0" w:space="0" w:color="auto"/>
          </w:divBdr>
        </w:div>
        <w:div w:id="1734423352">
          <w:marLeft w:val="0"/>
          <w:marRight w:val="0"/>
          <w:marTop w:val="0"/>
          <w:marBottom w:val="0"/>
          <w:divBdr>
            <w:top w:val="none" w:sz="0" w:space="0" w:color="auto"/>
            <w:left w:val="none" w:sz="0" w:space="0" w:color="auto"/>
            <w:bottom w:val="none" w:sz="0" w:space="0" w:color="auto"/>
            <w:right w:val="none" w:sz="0" w:space="0" w:color="auto"/>
          </w:divBdr>
        </w:div>
        <w:div w:id="1742866817">
          <w:marLeft w:val="0"/>
          <w:marRight w:val="0"/>
          <w:marTop w:val="0"/>
          <w:marBottom w:val="0"/>
          <w:divBdr>
            <w:top w:val="none" w:sz="0" w:space="0" w:color="auto"/>
            <w:left w:val="none" w:sz="0" w:space="0" w:color="auto"/>
            <w:bottom w:val="none" w:sz="0" w:space="0" w:color="auto"/>
            <w:right w:val="none" w:sz="0" w:space="0" w:color="auto"/>
          </w:divBdr>
        </w:div>
        <w:div w:id="1752509176">
          <w:marLeft w:val="0"/>
          <w:marRight w:val="0"/>
          <w:marTop w:val="0"/>
          <w:marBottom w:val="0"/>
          <w:divBdr>
            <w:top w:val="none" w:sz="0" w:space="0" w:color="auto"/>
            <w:left w:val="none" w:sz="0" w:space="0" w:color="auto"/>
            <w:bottom w:val="none" w:sz="0" w:space="0" w:color="auto"/>
            <w:right w:val="none" w:sz="0" w:space="0" w:color="auto"/>
          </w:divBdr>
        </w:div>
        <w:div w:id="1754089436">
          <w:marLeft w:val="0"/>
          <w:marRight w:val="0"/>
          <w:marTop w:val="0"/>
          <w:marBottom w:val="0"/>
          <w:divBdr>
            <w:top w:val="none" w:sz="0" w:space="0" w:color="auto"/>
            <w:left w:val="none" w:sz="0" w:space="0" w:color="auto"/>
            <w:bottom w:val="none" w:sz="0" w:space="0" w:color="auto"/>
            <w:right w:val="none" w:sz="0" w:space="0" w:color="auto"/>
          </w:divBdr>
        </w:div>
        <w:div w:id="1763137773">
          <w:marLeft w:val="0"/>
          <w:marRight w:val="0"/>
          <w:marTop w:val="0"/>
          <w:marBottom w:val="0"/>
          <w:divBdr>
            <w:top w:val="none" w:sz="0" w:space="0" w:color="auto"/>
            <w:left w:val="none" w:sz="0" w:space="0" w:color="auto"/>
            <w:bottom w:val="none" w:sz="0" w:space="0" w:color="auto"/>
            <w:right w:val="none" w:sz="0" w:space="0" w:color="auto"/>
          </w:divBdr>
        </w:div>
        <w:div w:id="1770853954">
          <w:marLeft w:val="0"/>
          <w:marRight w:val="0"/>
          <w:marTop w:val="0"/>
          <w:marBottom w:val="0"/>
          <w:divBdr>
            <w:top w:val="none" w:sz="0" w:space="0" w:color="auto"/>
            <w:left w:val="none" w:sz="0" w:space="0" w:color="auto"/>
            <w:bottom w:val="none" w:sz="0" w:space="0" w:color="auto"/>
            <w:right w:val="none" w:sz="0" w:space="0" w:color="auto"/>
          </w:divBdr>
        </w:div>
        <w:div w:id="1811556942">
          <w:marLeft w:val="0"/>
          <w:marRight w:val="0"/>
          <w:marTop w:val="0"/>
          <w:marBottom w:val="0"/>
          <w:divBdr>
            <w:top w:val="none" w:sz="0" w:space="0" w:color="auto"/>
            <w:left w:val="none" w:sz="0" w:space="0" w:color="auto"/>
            <w:bottom w:val="none" w:sz="0" w:space="0" w:color="auto"/>
            <w:right w:val="none" w:sz="0" w:space="0" w:color="auto"/>
          </w:divBdr>
        </w:div>
        <w:div w:id="1817261270">
          <w:marLeft w:val="0"/>
          <w:marRight w:val="0"/>
          <w:marTop w:val="0"/>
          <w:marBottom w:val="0"/>
          <w:divBdr>
            <w:top w:val="none" w:sz="0" w:space="0" w:color="auto"/>
            <w:left w:val="none" w:sz="0" w:space="0" w:color="auto"/>
            <w:bottom w:val="none" w:sz="0" w:space="0" w:color="auto"/>
            <w:right w:val="none" w:sz="0" w:space="0" w:color="auto"/>
          </w:divBdr>
        </w:div>
        <w:div w:id="1823739947">
          <w:marLeft w:val="0"/>
          <w:marRight w:val="0"/>
          <w:marTop w:val="0"/>
          <w:marBottom w:val="0"/>
          <w:divBdr>
            <w:top w:val="none" w:sz="0" w:space="0" w:color="auto"/>
            <w:left w:val="none" w:sz="0" w:space="0" w:color="auto"/>
            <w:bottom w:val="none" w:sz="0" w:space="0" w:color="auto"/>
            <w:right w:val="none" w:sz="0" w:space="0" w:color="auto"/>
          </w:divBdr>
        </w:div>
        <w:div w:id="1843160902">
          <w:marLeft w:val="0"/>
          <w:marRight w:val="0"/>
          <w:marTop w:val="0"/>
          <w:marBottom w:val="0"/>
          <w:divBdr>
            <w:top w:val="none" w:sz="0" w:space="0" w:color="auto"/>
            <w:left w:val="none" w:sz="0" w:space="0" w:color="auto"/>
            <w:bottom w:val="none" w:sz="0" w:space="0" w:color="auto"/>
            <w:right w:val="none" w:sz="0" w:space="0" w:color="auto"/>
          </w:divBdr>
        </w:div>
        <w:div w:id="1855194405">
          <w:marLeft w:val="0"/>
          <w:marRight w:val="0"/>
          <w:marTop w:val="0"/>
          <w:marBottom w:val="0"/>
          <w:divBdr>
            <w:top w:val="none" w:sz="0" w:space="0" w:color="auto"/>
            <w:left w:val="none" w:sz="0" w:space="0" w:color="auto"/>
            <w:bottom w:val="none" w:sz="0" w:space="0" w:color="auto"/>
            <w:right w:val="none" w:sz="0" w:space="0" w:color="auto"/>
          </w:divBdr>
        </w:div>
        <w:div w:id="1855923942">
          <w:marLeft w:val="0"/>
          <w:marRight w:val="0"/>
          <w:marTop w:val="0"/>
          <w:marBottom w:val="0"/>
          <w:divBdr>
            <w:top w:val="none" w:sz="0" w:space="0" w:color="auto"/>
            <w:left w:val="none" w:sz="0" w:space="0" w:color="auto"/>
            <w:bottom w:val="none" w:sz="0" w:space="0" w:color="auto"/>
            <w:right w:val="none" w:sz="0" w:space="0" w:color="auto"/>
          </w:divBdr>
        </w:div>
        <w:div w:id="1862164697">
          <w:marLeft w:val="0"/>
          <w:marRight w:val="0"/>
          <w:marTop w:val="0"/>
          <w:marBottom w:val="0"/>
          <w:divBdr>
            <w:top w:val="none" w:sz="0" w:space="0" w:color="auto"/>
            <w:left w:val="none" w:sz="0" w:space="0" w:color="auto"/>
            <w:bottom w:val="none" w:sz="0" w:space="0" w:color="auto"/>
            <w:right w:val="none" w:sz="0" w:space="0" w:color="auto"/>
          </w:divBdr>
        </w:div>
        <w:div w:id="1883513030">
          <w:marLeft w:val="0"/>
          <w:marRight w:val="0"/>
          <w:marTop w:val="0"/>
          <w:marBottom w:val="0"/>
          <w:divBdr>
            <w:top w:val="none" w:sz="0" w:space="0" w:color="auto"/>
            <w:left w:val="none" w:sz="0" w:space="0" w:color="auto"/>
            <w:bottom w:val="none" w:sz="0" w:space="0" w:color="auto"/>
            <w:right w:val="none" w:sz="0" w:space="0" w:color="auto"/>
          </w:divBdr>
        </w:div>
        <w:div w:id="1884630665">
          <w:marLeft w:val="0"/>
          <w:marRight w:val="0"/>
          <w:marTop w:val="0"/>
          <w:marBottom w:val="0"/>
          <w:divBdr>
            <w:top w:val="none" w:sz="0" w:space="0" w:color="auto"/>
            <w:left w:val="none" w:sz="0" w:space="0" w:color="auto"/>
            <w:bottom w:val="none" w:sz="0" w:space="0" w:color="auto"/>
            <w:right w:val="none" w:sz="0" w:space="0" w:color="auto"/>
          </w:divBdr>
        </w:div>
        <w:div w:id="1894542639">
          <w:marLeft w:val="0"/>
          <w:marRight w:val="0"/>
          <w:marTop w:val="0"/>
          <w:marBottom w:val="0"/>
          <w:divBdr>
            <w:top w:val="none" w:sz="0" w:space="0" w:color="auto"/>
            <w:left w:val="none" w:sz="0" w:space="0" w:color="auto"/>
            <w:bottom w:val="none" w:sz="0" w:space="0" w:color="auto"/>
            <w:right w:val="none" w:sz="0" w:space="0" w:color="auto"/>
          </w:divBdr>
        </w:div>
        <w:div w:id="1908606793">
          <w:marLeft w:val="0"/>
          <w:marRight w:val="0"/>
          <w:marTop w:val="0"/>
          <w:marBottom w:val="0"/>
          <w:divBdr>
            <w:top w:val="none" w:sz="0" w:space="0" w:color="auto"/>
            <w:left w:val="none" w:sz="0" w:space="0" w:color="auto"/>
            <w:bottom w:val="none" w:sz="0" w:space="0" w:color="auto"/>
            <w:right w:val="none" w:sz="0" w:space="0" w:color="auto"/>
          </w:divBdr>
        </w:div>
        <w:div w:id="1931230488">
          <w:marLeft w:val="0"/>
          <w:marRight w:val="0"/>
          <w:marTop w:val="0"/>
          <w:marBottom w:val="0"/>
          <w:divBdr>
            <w:top w:val="none" w:sz="0" w:space="0" w:color="auto"/>
            <w:left w:val="none" w:sz="0" w:space="0" w:color="auto"/>
            <w:bottom w:val="none" w:sz="0" w:space="0" w:color="auto"/>
            <w:right w:val="none" w:sz="0" w:space="0" w:color="auto"/>
          </w:divBdr>
        </w:div>
        <w:div w:id="1938949823">
          <w:marLeft w:val="0"/>
          <w:marRight w:val="0"/>
          <w:marTop w:val="0"/>
          <w:marBottom w:val="0"/>
          <w:divBdr>
            <w:top w:val="none" w:sz="0" w:space="0" w:color="auto"/>
            <w:left w:val="none" w:sz="0" w:space="0" w:color="auto"/>
            <w:bottom w:val="none" w:sz="0" w:space="0" w:color="auto"/>
            <w:right w:val="none" w:sz="0" w:space="0" w:color="auto"/>
          </w:divBdr>
        </w:div>
        <w:div w:id="1984037451">
          <w:marLeft w:val="0"/>
          <w:marRight w:val="0"/>
          <w:marTop w:val="0"/>
          <w:marBottom w:val="0"/>
          <w:divBdr>
            <w:top w:val="none" w:sz="0" w:space="0" w:color="auto"/>
            <w:left w:val="none" w:sz="0" w:space="0" w:color="auto"/>
            <w:bottom w:val="none" w:sz="0" w:space="0" w:color="auto"/>
            <w:right w:val="none" w:sz="0" w:space="0" w:color="auto"/>
          </w:divBdr>
        </w:div>
        <w:div w:id="2006126948">
          <w:marLeft w:val="0"/>
          <w:marRight w:val="0"/>
          <w:marTop w:val="0"/>
          <w:marBottom w:val="0"/>
          <w:divBdr>
            <w:top w:val="none" w:sz="0" w:space="0" w:color="auto"/>
            <w:left w:val="none" w:sz="0" w:space="0" w:color="auto"/>
            <w:bottom w:val="none" w:sz="0" w:space="0" w:color="auto"/>
            <w:right w:val="none" w:sz="0" w:space="0" w:color="auto"/>
          </w:divBdr>
        </w:div>
        <w:div w:id="2017266731">
          <w:marLeft w:val="0"/>
          <w:marRight w:val="0"/>
          <w:marTop w:val="0"/>
          <w:marBottom w:val="0"/>
          <w:divBdr>
            <w:top w:val="none" w:sz="0" w:space="0" w:color="auto"/>
            <w:left w:val="none" w:sz="0" w:space="0" w:color="auto"/>
            <w:bottom w:val="none" w:sz="0" w:space="0" w:color="auto"/>
            <w:right w:val="none" w:sz="0" w:space="0" w:color="auto"/>
          </w:divBdr>
        </w:div>
        <w:div w:id="2017608294">
          <w:marLeft w:val="0"/>
          <w:marRight w:val="0"/>
          <w:marTop w:val="0"/>
          <w:marBottom w:val="0"/>
          <w:divBdr>
            <w:top w:val="none" w:sz="0" w:space="0" w:color="auto"/>
            <w:left w:val="none" w:sz="0" w:space="0" w:color="auto"/>
            <w:bottom w:val="none" w:sz="0" w:space="0" w:color="auto"/>
            <w:right w:val="none" w:sz="0" w:space="0" w:color="auto"/>
          </w:divBdr>
        </w:div>
        <w:div w:id="2018656773">
          <w:marLeft w:val="0"/>
          <w:marRight w:val="0"/>
          <w:marTop w:val="0"/>
          <w:marBottom w:val="0"/>
          <w:divBdr>
            <w:top w:val="none" w:sz="0" w:space="0" w:color="auto"/>
            <w:left w:val="none" w:sz="0" w:space="0" w:color="auto"/>
            <w:bottom w:val="none" w:sz="0" w:space="0" w:color="auto"/>
            <w:right w:val="none" w:sz="0" w:space="0" w:color="auto"/>
          </w:divBdr>
        </w:div>
        <w:div w:id="2026394458">
          <w:marLeft w:val="0"/>
          <w:marRight w:val="0"/>
          <w:marTop w:val="0"/>
          <w:marBottom w:val="0"/>
          <w:divBdr>
            <w:top w:val="none" w:sz="0" w:space="0" w:color="auto"/>
            <w:left w:val="none" w:sz="0" w:space="0" w:color="auto"/>
            <w:bottom w:val="none" w:sz="0" w:space="0" w:color="auto"/>
            <w:right w:val="none" w:sz="0" w:space="0" w:color="auto"/>
          </w:divBdr>
        </w:div>
      </w:divsChild>
    </w:div>
    <w:div w:id="833110998">
      <w:bodyDiv w:val="1"/>
      <w:marLeft w:val="0"/>
      <w:marRight w:val="0"/>
      <w:marTop w:val="0"/>
      <w:marBottom w:val="0"/>
      <w:divBdr>
        <w:top w:val="none" w:sz="0" w:space="0" w:color="auto"/>
        <w:left w:val="none" w:sz="0" w:space="0" w:color="auto"/>
        <w:bottom w:val="none" w:sz="0" w:space="0" w:color="auto"/>
        <w:right w:val="none" w:sz="0" w:space="0" w:color="auto"/>
      </w:divBdr>
    </w:div>
    <w:div w:id="833182419">
      <w:bodyDiv w:val="1"/>
      <w:marLeft w:val="0"/>
      <w:marRight w:val="0"/>
      <w:marTop w:val="0"/>
      <w:marBottom w:val="0"/>
      <w:divBdr>
        <w:top w:val="none" w:sz="0" w:space="0" w:color="auto"/>
        <w:left w:val="none" w:sz="0" w:space="0" w:color="auto"/>
        <w:bottom w:val="none" w:sz="0" w:space="0" w:color="auto"/>
        <w:right w:val="none" w:sz="0" w:space="0" w:color="auto"/>
      </w:divBdr>
    </w:div>
    <w:div w:id="833229093">
      <w:bodyDiv w:val="1"/>
      <w:marLeft w:val="0"/>
      <w:marRight w:val="0"/>
      <w:marTop w:val="0"/>
      <w:marBottom w:val="0"/>
      <w:divBdr>
        <w:top w:val="none" w:sz="0" w:space="0" w:color="auto"/>
        <w:left w:val="none" w:sz="0" w:space="0" w:color="auto"/>
        <w:bottom w:val="none" w:sz="0" w:space="0" w:color="auto"/>
        <w:right w:val="none" w:sz="0" w:space="0" w:color="auto"/>
      </w:divBdr>
    </w:div>
    <w:div w:id="833254799">
      <w:bodyDiv w:val="1"/>
      <w:marLeft w:val="0"/>
      <w:marRight w:val="0"/>
      <w:marTop w:val="0"/>
      <w:marBottom w:val="0"/>
      <w:divBdr>
        <w:top w:val="none" w:sz="0" w:space="0" w:color="auto"/>
        <w:left w:val="none" w:sz="0" w:space="0" w:color="auto"/>
        <w:bottom w:val="none" w:sz="0" w:space="0" w:color="auto"/>
        <w:right w:val="none" w:sz="0" w:space="0" w:color="auto"/>
      </w:divBdr>
    </w:div>
    <w:div w:id="833303456">
      <w:bodyDiv w:val="1"/>
      <w:marLeft w:val="0"/>
      <w:marRight w:val="0"/>
      <w:marTop w:val="0"/>
      <w:marBottom w:val="0"/>
      <w:divBdr>
        <w:top w:val="none" w:sz="0" w:space="0" w:color="auto"/>
        <w:left w:val="none" w:sz="0" w:space="0" w:color="auto"/>
        <w:bottom w:val="none" w:sz="0" w:space="0" w:color="auto"/>
        <w:right w:val="none" w:sz="0" w:space="0" w:color="auto"/>
      </w:divBdr>
    </w:div>
    <w:div w:id="833378405">
      <w:bodyDiv w:val="1"/>
      <w:marLeft w:val="0"/>
      <w:marRight w:val="0"/>
      <w:marTop w:val="0"/>
      <w:marBottom w:val="0"/>
      <w:divBdr>
        <w:top w:val="none" w:sz="0" w:space="0" w:color="auto"/>
        <w:left w:val="none" w:sz="0" w:space="0" w:color="auto"/>
        <w:bottom w:val="none" w:sz="0" w:space="0" w:color="auto"/>
        <w:right w:val="none" w:sz="0" w:space="0" w:color="auto"/>
      </w:divBdr>
    </w:div>
    <w:div w:id="833378413">
      <w:bodyDiv w:val="1"/>
      <w:marLeft w:val="0"/>
      <w:marRight w:val="0"/>
      <w:marTop w:val="0"/>
      <w:marBottom w:val="0"/>
      <w:divBdr>
        <w:top w:val="none" w:sz="0" w:space="0" w:color="auto"/>
        <w:left w:val="none" w:sz="0" w:space="0" w:color="auto"/>
        <w:bottom w:val="none" w:sz="0" w:space="0" w:color="auto"/>
        <w:right w:val="none" w:sz="0" w:space="0" w:color="auto"/>
      </w:divBdr>
    </w:div>
    <w:div w:id="833421893">
      <w:bodyDiv w:val="1"/>
      <w:marLeft w:val="0"/>
      <w:marRight w:val="0"/>
      <w:marTop w:val="0"/>
      <w:marBottom w:val="0"/>
      <w:divBdr>
        <w:top w:val="none" w:sz="0" w:space="0" w:color="auto"/>
        <w:left w:val="none" w:sz="0" w:space="0" w:color="auto"/>
        <w:bottom w:val="none" w:sz="0" w:space="0" w:color="auto"/>
        <w:right w:val="none" w:sz="0" w:space="0" w:color="auto"/>
      </w:divBdr>
    </w:div>
    <w:div w:id="833452387">
      <w:bodyDiv w:val="1"/>
      <w:marLeft w:val="0"/>
      <w:marRight w:val="0"/>
      <w:marTop w:val="0"/>
      <w:marBottom w:val="0"/>
      <w:divBdr>
        <w:top w:val="none" w:sz="0" w:space="0" w:color="auto"/>
        <w:left w:val="none" w:sz="0" w:space="0" w:color="auto"/>
        <w:bottom w:val="none" w:sz="0" w:space="0" w:color="auto"/>
        <w:right w:val="none" w:sz="0" w:space="0" w:color="auto"/>
      </w:divBdr>
    </w:div>
    <w:div w:id="833497453">
      <w:bodyDiv w:val="1"/>
      <w:marLeft w:val="0"/>
      <w:marRight w:val="0"/>
      <w:marTop w:val="0"/>
      <w:marBottom w:val="0"/>
      <w:divBdr>
        <w:top w:val="none" w:sz="0" w:space="0" w:color="auto"/>
        <w:left w:val="none" w:sz="0" w:space="0" w:color="auto"/>
        <w:bottom w:val="none" w:sz="0" w:space="0" w:color="auto"/>
        <w:right w:val="none" w:sz="0" w:space="0" w:color="auto"/>
      </w:divBdr>
    </w:div>
    <w:div w:id="833498232">
      <w:bodyDiv w:val="1"/>
      <w:marLeft w:val="0"/>
      <w:marRight w:val="0"/>
      <w:marTop w:val="0"/>
      <w:marBottom w:val="0"/>
      <w:divBdr>
        <w:top w:val="none" w:sz="0" w:space="0" w:color="auto"/>
        <w:left w:val="none" w:sz="0" w:space="0" w:color="auto"/>
        <w:bottom w:val="none" w:sz="0" w:space="0" w:color="auto"/>
        <w:right w:val="none" w:sz="0" w:space="0" w:color="auto"/>
      </w:divBdr>
    </w:div>
    <w:div w:id="833564988">
      <w:bodyDiv w:val="1"/>
      <w:marLeft w:val="0"/>
      <w:marRight w:val="0"/>
      <w:marTop w:val="0"/>
      <w:marBottom w:val="0"/>
      <w:divBdr>
        <w:top w:val="none" w:sz="0" w:space="0" w:color="auto"/>
        <w:left w:val="none" w:sz="0" w:space="0" w:color="auto"/>
        <w:bottom w:val="none" w:sz="0" w:space="0" w:color="auto"/>
        <w:right w:val="none" w:sz="0" w:space="0" w:color="auto"/>
      </w:divBdr>
    </w:div>
    <w:div w:id="833573054">
      <w:bodyDiv w:val="1"/>
      <w:marLeft w:val="0"/>
      <w:marRight w:val="0"/>
      <w:marTop w:val="0"/>
      <w:marBottom w:val="0"/>
      <w:divBdr>
        <w:top w:val="none" w:sz="0" w:space="0" w:color="auto"/>
        <w:left w:val="none" w:sz="0" w:space="0" w:color="auto"/>
        <w:bottom w:val="none" w:sz="0" w:space="0" w:color="auto"/>
        <w:right w:val="none" w:sz="0" w:space="0" w:color="auto"/>
      </w:divBdr>
    </w:div>
    <w:div w:id="833641684">
      <w:bodyDiv w:val="1"/>
      <w:marLeft w:val="0"/>
      <w:marRight w:val="0"/>
      <w:marTop w:val="0"/>
      <w:marBottom w:val="0"/>
      <w:divBdr>
        <w:top w:val="none" w:sz="0" w:space="0" w:color="auto"/>
        <w:left w:val="none" w:sz="0" w:space="0" w:color="auto"/>
        <w:bottom w:val="none" w:sz="0" w:space="0" w:color="auto"/>
        <w:right w:val="none" w:sz="0" w:space="0" w:color="auto"/>
      </w:divBdr>
    </w:div>
    <w:div w:id="833644917">
      <w:bodyDiv w:val="1"/>
      <w:marLeft w:val="0"/>
      <w:marRight w:val="0"/>
      <w:marTop w:val="0"/>
      <w:marBottom w:val="0"/>
      <w:divBdr>
        <w:top w:val="none" w:sz="0" w:space="0" w:color="auto"/>
        <w:left w:val="none" w:sz="0" w:space="0" w:color="auto"/>
        <w:bottom w:val="none" w:sz="0" w:space="0" w:color="auto"/>
        <w:right w:val="none" w:sz="0" w:space="0" w:color="auto"/>
      </w:divBdr>
    </w:div>
    <w:div w:id="833758134">
      <w:bodyDiv w:val="1"/>
      <w:marLeft w:val="0"/>
      <w:marRight w:val="0"/>
      <w:marTop w:val="0"/>
      <w:marBottom w:val="0"/>
      <w:divBdr>
        <w:top w:val="none" w:sz="0" w:space="0" w:color="auto"/>
        <w:left w:val="none" w:sz="0" w:space="0" w:color="auto"/>
        <w:bottom w:val="none" w:sz="0" w:space="0" w:color="auto"/>
        <w:right w:val="none" w:sz="0" w:space="0" w:color="auto"/>
      </w:divBdr>
    </w:div>
    <w:div w:id="833758442">
      <w:bodyDiv w:val="1"/>
      <w:marLeft w:val="0"/>
      <w:marRight w:val="0"/>
      <w:marTop w:val="0"/>
      <w:marBottom w:val="0"/>
      <w:divBdr>
        <w:top w:val="none" w:sz="0" w:space="0" w:color="auto"/>
        <w:left w:val="none" w:sz="0" w:space="0" w:color="auto"/>
        <w:bottom w:val="none" w:sz="0" w:space="0" w:color="auto"/>
        <w:right w:val="none" w:sz="0" w:space="0" w:color="auto"/>
      </w:divBdr>
    </w:div>
    <w:div w:id="833951448">
      <w:bodyDiv w:val="1"/>
      <w:marLeft w:val="0"/>
      <w:marRight w:val="0"/>
      <w:marTop w:val="0"/>
      <w:marBottom w:val="0"/>
      <w:divBdr>
        <w:top w:val="none" w:sz="0" w:space="0" w:color="auto"/>
        <w:left w:val="none" w:sz="0" w:space="0" w:color="auto"/>
        <w:bottom w:val="none" w:sz="0" w:space="0" w:color="auto"/>
        <w:right w:val="none" w:sz="0" w:space="0" w:color="auto"/>
      </w:divBdr>
    </w:div>
    <w:div w:id="833955886">
      <w:bodyDiv w:val="1"/>
      <w:marLeft w:val="0"/>
      <w:marRight w:val="0"/>
      <w:marTop w:val="0"/>
      <w:marBottom w:val="0"/>
      <w:divBdr>
        <w:top w:val="none" w:sz="0" w:space="0" w:color="auto"/>
        <w:left w:val="none" w:sz="0" w:space="0" w:color="auto"/>
        <w:bottom w:val="none" w:sz="0" w:space="0" w:color="auto"/>
        <w:right w:val="none" w:sz="0" w:space="0" w:color="auto"/>
      </w:divBdr>
    </w:div>
    <w:div w:id="834029268">
      <w:bodyDiv w:val="1"/>
      <w:marLeft w:val="0"/>
      <w:marRight w:val="0"/>
      <w:marTop w:val="0"/>
      <w:marBottom w:val="0"/>
      <w:divBdr>
        <w:top w:val="none" w:sz="0" w:space="0" w:color="auto"/>
        <w:left w:val="none" w:sz="0" w:space="0" w:color="auto"/>
        <w:bottom w:val="none" w:sz="0" w:space="0" w:color="auto"/>
        <w:right w:val="none" w:sz="0" w:space="0" w:color="auto"/>
      </w:divBdr>
    </w:div>
    <w:div w:id="834107325">
      <w:bodyDiv w:val="1"/>
      <w:marLeft w:val="0"/>
      <w:marRight w:val="0"/>
      <w:marTop w:val="0"/>
      <w:marBottom w:val="0"/>
      <w:divBdr>
        <w:top w:val="none" w:sz="0" w:space="0" w:color="auto"/>
        <w:left w:val="none" w:sz="0" w:space="0" w:color="auto"/>
        <w:bottom w:val="none" w:sz="0" w:space="0" w:color="auto"/>
        <w:right w:val="none" w:sz="0" w:space="0" w:color="auto"/>
      </w:divBdr>
    </w:div>
    <w:div w:id="834220073">
      <w:bodyDiv w:val="1"/>
      <w:marLeft w:val="0"/>
      <w:marRight w:val="0"/>
      <w:marTop w:val="0"/>
      <w:marBottom w:val="0"/>
      <w:divBdr>
        <w:top w:val="none" w:sz="0" w:space="0" w:color="auto"/>
        <w:left w:val="none" w:sz="0" w:space="0" w:color="auto"/>
        <w:bottom w:val="none" w:sz="0" w:space="0" w:color="auto"/>
        <w:right w:val="none" w:sz="0" w:space="0" w:color="auto"/>
      </w:divBdr>
    </w:div>
    <w:div w:id="834345466">
      <w:bodyDiv w:val="1"/>
      <w:marLeft w:val="0"/>
      <w:marRight w:val="0"/>
      <w:marTop w:val="0"/>
      <w:marBottom w:val="0"/>
      <w:divBdr>
        <w:top w:val="none" w:sz="0" w:space="0" w:color="auto"/>
        <w:left w:val="none" w:sz="0" w:space="0" w:color="auto"/>
        <w:bottom w:val="none" w:sz="0" w:space="0" w:color="auto"/>
        <w:right w:val="none" w:sz="0" w:space="0" w:color="auto"/>
      </w:divBdr>
    </w:div>
    <w:div w:id="834418545">
      <w:bodyDiv w:val="1"/>
      <w:marLeft w:val="0"/>
      <w:marRight w:val="0"/>
      <w:marTop w:val="0"/>
      <w:marBottom w:val="0"/>
      <w:divBdr>
        <w:top w:val="none" w:sz="0" w:space="0" w:color="auto"/>
        <w:left w:val="none" w:sz="0" w:space="0" w:color="auto"/>
        <w:bottom w:val="none" w:sz="0" w:space="0" w:color="auto"/>
        <w:right w:val="none" w:sz="0" w:space="0" w:color="auto"/>
      </w:divBdr>
    </w:div>
    <w:div w:id="834423162">
      <w:bodyDiv w:val="1"/>
      <w:marLeft w:val="0"/>
      <w:marRight w:val="0"/>
      <w:marTop w:val="0"/>
      <w:marBottom w:val="0"/>
      <w:divBdr>
        <w:top w:val="none" w:sz="0" w:space="0" w:color="auto"/>
        <w:left w:val="none" w:sz="0" w:space="0" w:color="auto"/>
        <w:bottom w:val="none" w:sz="0" w:space="0" w:color="auto"/>
        <w:right w:val="none" w:sz="0" w:space="0" w:color="auto"/>
      </w:divBdr>
    </w:div>
    <w:div w:id="834490625">
      <w:bodyDiv w:val="1"/>
      <w:marLeft w:val="0"/>
      <w:marRight w:val="0"/>
      <w:marTop w:val="0"/>
      <w:marBottom w:val="0"/>
      <w:divBdr>
        <w:top w:val="none" w:sz="0" w:space="0" w:color="auto"/>
        <w:left w:val="none" w:sz="0" w:space="0" w:color="auto"/>
        <w:bottom w:val="none" w:sz="0" w:space="0" w:color="auto"/>
        <w:right w:val="none" w:sz="0" w:space="0" w:color="auto"/>
      </w:divBdr>
    </w:div>
    <w:div w:id="834539591">
      <w:bodyDiv w:val="1"/>
      <w:marLeft w:val="0"/>
      <w:marRight w:val="0"/>
      <w:marTop w:val="0"/>
      <w:marBottom w:val="0"/>
      <w:divBdr>
        <w:top w:val="none" w:sz="0" w:space="0" w:color="auto"/>
        <w:left w:val="none" w:sz="0" w:space="0" w:color="auto"/>
        <w:bottom w:val="none" w:sz="0" w:space="0" w:color="auto"/>
        <w:right w:val="none" w:sz="0" w:space="0" w:color="auto"/>
      </w:divBdr>
    </w:div>
    <w:div w:id="834612838">
      <w:bodyDiv w:val="1"/>
      <w:marLeft w:val="0"/>
      <w:marRight w:val="0"/>
      <w:marTop w:val="0"/>
      <w:marBottom w:val="0"/>
      <w:divBdr>
        <w:top w:val="none" w:sz="0" w:space="0" w:color="auto"/>
        <w:left w:val="none" w:sz="0" w:space="0" w:color="auto"/>
        <w:bottom w:val="none" w:sz="0" w:space="0" w:color="auto"/>
        <w:right w:val="none" w:sz="0" w:space="0" w:color="auto"/>
      </w:divBdr>
    </w:div>
    <w:div w:id="834683556">
      <w:bodyDiv w:val="1"/>
      <w:marLeft w:val="0"/>
      <w:marRight w:val="0"/>
      <w:marTop w:val="0"/>
      <w:marBottom w:val="0"/>
      <w:divBdr>
        <w:top w:val="none" w:sz="0" w:space="0" w:color="auto"/>
        <w:left w:val="none" w:sz="0" w:space="0" w:color="auto"/>
        <w:bottom w:val="none" w:sz="0" w:space="0" w:color="auto"/>
        <w:right w:val="none" w:sz="0" w:space="0" w:color="auto"/>
      </w:divBdr>
    </w:div>
    <w:div w:id="834687282">
      <w:bodyDiv w:val="1"/>
      <w:marLeft w:val="0"/>
      <w:marRight w:val="0"/>
      <w:marTop w:val="0"/>
      <w:marBottom w:val="0"/>
      <w:divBdr>
        <w:top w:val="none" w:sz="0" w:space="0" w:color="auto"/>
        <w:left w:val="none" w:sz="0" w:space="0" w:color="auto"/>
        <w:bottom w:val="none" w:sz="0" w:space="0" w:color="auto"/>
        <w:right w:val="none" w:sz="0" w:space="0" w:color="auto"/>
      </w:divBdr>
    </w:div>
    <w:div w:id="834691415">
      <w:bodyDiv w:val="1"/>
      <w:marLeft w:val="0"/>
      <w:marRight w:val="0"/>
      <w:marTop w:val="0"/>
      <w:marBottom w:val="0"/>
      <w:divBdr>
        <w:top w:val="none" w:sz="0" w:space="0" w:color="auto"/>
        <w:left w:val="none" w:sz="0" w:space="0" w:color="auto"/>
        <w:bottom w:val="none" w:sz="0" w:space="0" w:color="auto"/>
        <w:right w:val="none" w:sz="0" w:space="0" w:color="auto"/>
      </w:divBdr>
    </w:div>
    <w:div w:id="834883165">
      <w:bodyDiv w:val="1"/>
      <w:marLeft w:val="0"/>
      <w:marRight w:val="0"/>
      <w:marTop w:val="0"/>
      <w:marBottom w:val="0"/>
      <w:divBdr>
        <w:top w:val="none" w:sz="0" w:space="0" w:color="auto"/>
        <w:left w:val="none" w:sz="0" w:space="0" w:color="auto"/>
        <w:bottom w:val="none" w:sz="0" w:space="0" w:color="auto"/>
        <w:right w:val="none" w:sz="0" w:space="0" w:color="auto"/>
      </w:divBdr>
    </w:div>
    <w:div w:id="834956188">
      <w:bodyDiv w:val="1"/>
      <w:marLeft w:val="0"/>
      <w:marRight w:val="0"/>
      <w:marTop w:val="0"/>
      <w:marBottom w:val="0"/>
      <w:divBdr>
        <w:top w:val="none" w:sz="0" w:space="0" w:color="auto"/>
        <w:left w:val="none" w:sz="0" w:space="0" w:color="auto"/>
        <w:bottom w:val="none" w:sz="0" w:space="0" w:color="auto"/>
        <w:right w:val="none" w:sz="0" w:space="0" w:color="auto"/>
      </w:divBdr>
    </w:div>
    <w:div w:id="834994593">
      <w:bodyDiv w:val="1"/>
      <w:marLeft w:val="0"/>
      <w:marRight w:val="0"/>
      <w:marTop w:val="0"/>
      <w:marBottom w:val="0"/>
      <w:divBdr>
        <w:top w:val="none" w:sz="0" w:space="0" w:color="auto"/>
        <w:left w:val="none" w:sz="0" w:space="0" w:color="auto"/>
        <w:bottom w:val="none" w:sz="0" w:space="0" w:color="auto"/>
        <w:right w:val="none" w:sz="0" w:space="0" w:color="auto"/>
      </w:divBdr>
    </w:div>
    <w:div w:id="834995307">
      <w:bodyDiv w:val="1"/>
      <w:marLeft w:val="0"/>
      <w:marRight w:val="0"/>
      <w:marTop w:val="0"/>
      <w:marBottom w:val="0"/>
      <w:divBdr>
        <w:top w:val="none" w:sz="0" w:space="0" w:color="auto"/>
        <w:left w:val="none" w:sz="0" w:space="0" w:color="auto"/>
        <w:bottom w:val="none" w:sz="0" w:space="0" w:color="auto"/>
        <w:right w:val="none" w:sz="0" w:space="0" w:color="auto"/>
      </w:divBdr>
    </w:div>
    <w:div w:id="835002795">
      <w:bodyDiv w:val="1"/>
      <w:marLeft w:val="0"/>
      <w:marRight w:val="0"/>
      <w:marTop w:val="0"/>
      <w:marBottom w:val="0"/>
      <w:divBdr>
        <w:top w:val="none" w:sz="0" w:space="0" w:color="auto"/>
        <w:left w:val="none" w:sz="0" w:space="0" w:color="auto"/>
        <w:bottom w:val="none" w:sz="0" w:space="0" w:color="auto"/>
        <w:right w:val="none" w:sz="0" w:space="0" w:color="auto"/>
      </w:divBdr>
    </w:div>
    <w:div w:id="835070663">
      <w:bodyDiv w:val="1"/>
      <w:marLeft w:val="0"/>
      <w:marRight w:val="0"/>
      <w:marTop w:val="0"/>
      <w:marBottom w:val="0"/>
      <w:divBdr>
        <w:top w:val="none" w:sz="0" w:space="0" w:color="auto"/>
        <w:left w:val="none" w:sz="0" w:space="0" w:color="auto"/>
        <w:bottom w:val="none" w:sz="0" w:space="0" w:color="auto"/>
        <w:right w:val="none" w:sz="0" w:space="0" w:color="auto"/>
      </w:divBdr>
    </w:div>
    <w:div w:id="835191840">
      <w:bodyDiv w:val="1"/>
      <w:marLeft w:val="0"/>
      <w:marRight w:val="0"/>
      <w:marTop w:val="0"/>
      <w:marBottom w:val="0"/>
      <w:divBdr>
        <w:top w:val="none" w:sz="0" w:space="0" w:color="auto"/>
        <w:left w:val="none" w:sz="0" w:space="0" w:color="auto"/>
        <w:bottom w:val="none" w:sz="0" w:space="0" w:color="auto"/>
        <w:right w:val="none" w:sz="0" w:space="0" w:color="auto"/>
      </w:divBdr>
    </w:div>
    <w:div w:id="835268085">
      <w:bodyDiv w:val="1"/>
      <w:marLeft w:val="0"/>
      <w:marRight w:val="0"/>
      <w:marTop w:val="0"/>
      <w:marBottom w:val="0"/>
      <w:divBdr>
        <w:top w:val="none" w:sz="0" w:space="0" w:color="auto"/>
        <w:left w:val="none" w:sz="0" w:space="0" w:color="auto"/>
        <w:bottom w:val="none" w:sz="0" w:space="0" w:color="auto"/>
        <w:right w:val="none" w:sz="0" w:space="0" w:color="auto"/>
      </w:divBdr>
    </w:div>
    <w:div w:id="835345008">
      <w:bodyDiv w:val="1"/>
      <w:marLeft w:val="0"/>
      <w:marRight w:val="0"/>
      <w:marTop w:val="0"/>
      <w:marBottom w:val="0"/>
      <w:divBdr>
        <w:top w:val="none" w:sz="0" w:space="0" w:color="auto"/>
        <w:left w:val="none" w:sz="0" w:space="0" w:color="auto"/>
        <w:bottom w:val="none" w:sz="0" w:space="0" w:color="auto"/>
        <w:right w:val="none" w:sz="0" w:space="0" w:color="auto"/>
      </w:divBdr>
    </w:div>
    <w:div w:id="835418115">
      <w:bodyDiv w:val="1"/>
      <w:marLeft w:val="0"/>
      <w:marRight w:val="0"/>
      <w:marTop w:val="0"/>
      <w:marBottom w:val="0"/>
      <w:divBdr>
        <w:top w:val="none" w:sz="0" w:space="0" w:color="auto"/>
        <w:left w:val="none" w:sz="0" w:space="0" w:color="auto"/>
        <w:bottom w:val="none" w:sz="0" w:space="0" w:color="auto"/>
        <w:right w:val="none" w:sz="0" w:space="0" w:color="auto"/>
      </w:divBdr>
    </w:div>
    <w:div w:id="835460039">
      <w:bodyDiv w:val="1"/>
      <w:marLeft w:val="0"/>
      <w:marRight w:val="0"/>
      <w:marTop w:val="0"/>
      <w:marBottom w:val="0"/>
      <w:divBdr>
        <w:top w:val="none" w:sz="0" w:space="0" w:color="auto"/>
        <w:left w:val="none" w:sz="0" w:space="0" w:color="auto"/>
        <w:bottom w:val="none" w:sz="0" w:space="0" w:color="auto"/>
        <w:right w:val="none" w:sz="0" w:space="0" w:color="auto"/>
      </w:divBdr>
    </w:div>
    <w:div w:id="835464091">
      <w:bodyDiv w:val="1"/>
      <w:marLeft w:val="0"/>
      <w:marRight w:val="0"/>
      <w:marTop w:val="0"/>
      <w:marBottom w:val="0"/>
      <w:divBdr>
        <w:top w:val="none" w:sz="0" w:space="0" w:color="auto"/>
        <w:left w:val="none" w:sz="0" w:space="0" w:color="auto"/>
        <w:bottom w:val="none" w:sz="0" w:space="0" w:color="auto"/>
        <w:right w:val="none" w:sz="0" w:space="0" w:color="auto"/>
      </w:divBdr>
    </w:div>
    <w:div w:id="835534394">
      <w:bodyDiv w:val="1"/>
      <w:marLeft w:val="0"/>
      <w:marRight w:val="0"/>
      <w:marTop w:val="0"/>
      <w:marBottom w:val="0"/>
      <w:divBdr>
        <w:top w:val="none" w:sz="0" w:space="0" w:color="auto"/>
        <w:left w:val="none" w:sz="0" w:space="0" w:color="auto"/>
        <w:bottom w:val="none" w:sz="0" w:space="0" w:color="auto"/>
        <w:right w:val="none" w:sz="0" w:space="0" w:color="auto"/>
      </w:divBdr>
    </w:div>
    <w:div w:id="835655559">
      <w:bodyDiv w:val="1"/>
      <w:marLeft w:val="0"/>
      <w:marRight w:val="0"/>
      <w:marTop w:val="0"/>
      <w:marBottom w:val="0"/>
      <w:divBdr>
        <w:top w:val="none" w:sz="0" w:space="0" w:color="auto"/>
        <w:left w:val="none" w:sz="0" w:space="0" w:color="auto"/>
        <w:bottom w:val="none" w:sz="0" w:space="0" w:color="auto"/>
        <w:right w:val="none" w:sz="0" w:space="0" w:color="auto"/>
      </w:divBdr>
    </w:div>
    <w:div w:id="835656550">
      <w:bodyDiv w:val="1"/>
      <w:marLeft w:val="0"/>
      <w:marRight w:val="0"/>
      <w:marTop w:val="0"/>
      <w:marBottom w:val="0"/>
      <w:divBdr>
        <w:top w:val="none" w:sz="0" w:space="0" w:color="auto"/>
        <w:left w:val="none" w:sz="0" w:space="0" w:color="auto"/>
        <w:bottom w:val="none" w:sz="0" w:space="0" w:color="auto"/>
        <w:right w:val="none" w:sz="0" w:space="0" w:color="auto"/>
      </w:divBdr>
    </w:div>
    <w:div w:id="835725040">
      <w:bodyDiv w:val="1"/>
      <w:marLeft w:val="0"/>
      <w:marRight w:val="0"/>
      <w:marTop w:val="0"/>
      <w:marBottom w:val="0"/>
      <w:divBdr>
        <w:top w:val="none" w:sz="0" w:space="0" w:color="auto"/>
        <w:left w:val="none" w:sz="0" w:space="0" w:color="auto"/>
        <w:bottom w:val="none" w:sz="0" w:space="0" w:color="auto"/>
        <w:right w:val="none" w:sz="0" w:space="0" w:color="auto"/>
      </w:divBdr>
    </w:div>
    <w:div w:id="835923576">
      <w:bodyDiv w:val="1"/>
      <w:marLeft w:val="0"/>
      <w:marRight w:val="0"/>
      <w:marTop w:val="0"/>
      <w:marBottom w:val="0"/>
      <w:divBdr>
        <w:top w:val="none" w:sz="0" w:space="0" w:color="auto"/>
        <w:left w:val="none" w:sz="0" w:space="0" w:color="auto"/>
        <w:bottom w:val="none" w:sz="0" w:space="0" w:color="auto"/>
        <w:right w:val="none" w:sz="0" w:space="0" w:color="auto"/>
      </w:divBdr>
    </w:div>
    <w:div w:id="835926476">
      <w:bodyDiv w:val="1"/>
      <w:marLeft w:val="0"/>
      <w:marRight w:val="0"/>
      <w:marTop w:val="0"/>
      <w:marBottom w:val="0"/>
      <w:divBdr>
        <w:top w:val="none" w:sz="0" w:space="0" w:color="auto"/>
        <w:left w:val="none" w:sz="0" w:space="0" w:color="auto"/>
        <w:bottom w:val="none" w:sz="0" w:space="0" w:color="auto"/>
        <w:right w:val="none" w:sz="0" w:space="0" w:color="auto"/>
      </w:divBdr>
    </w:div>
    <w:div w:id="835995249">
      <w:bodyDiv w:val="1"/>
      <w:marLeft w:val="0"/>
      <w:marRight w:val="0"/>
      <w:marTop w:val="0"/>
      <w:marBottom w:val="0"/>
      <w:divBdr>
        <w:top w:val="none" w:sz="0" w:space="0" w:color="auto"/>
        <w:left w:val="none" w:sz="0" w:space="0" w:color="auto"/>
        <w:bottom w:val="none" w:sz="0" w:space="0" w:color="auto"/>
        <w:right w:val="none" w:sz="0" w:space="0" w:color="auto"/>
      </w:divBdr>
    </w:div>
    <w:div w:id="836044230">
      <w:bodyDiv w:val="1"/>
      <w:marLeft w:val="0"/>
      <w:marRight w:val="0"/>
      <w:marTop w:val="0"/>
      <w:marBottom w:val="0"/>
      <w:divBdr>
        <w:top w:val="none" w:sz="0" w:space="0" w:color="auto"/>
        <w:left w:val="none" w:sz="0" w:space="0" w:color="auto"/>
        <w:bottom w:val="none" w:sz="0" w:space="0" w:color="auto"/>
        <w:right w:val="none" w:sz="0" w:space="0" w:color="auto"/>
      </w:divBdr>
    </w:div>
    <w:div w:id="836070468">
      <w:bodyDiv w:val="1"/>
      <w:marLeft w:val="0"/>
      <w:marRight w:val="0"/>
      <w:marTop w:val="0"/>
      <w:marBottom w:val="0"/>
      <w:divBdr>
        <w:top w:val="none" w:sz="0" w:space="0" w:color="auto"/>
        <w:left w:val="none" w:sz="0" w:space="0" w:color="auto"/>
        <w:bottom w:val="none" w:sz="0" w:space="0" w:color="auto"/>
        <w:right w:val="none" w:sz="0" w:space="0" w:color="auto"/>
      </w:divBdr>
    </w:div>
    <w:div w:id="836074497">
      <w:bodyDiv w:val="1"/>
      <w:marLeft w:val="0"/>
      <w:marRight w:val="0"/>
      <w:marTop w:val="0"/>
      <w:marBottom w:val="0"/>
      <w:divBdr>
        <w:top w:val="none" w:sz="0" w:space="0" w:color="auto"/>
        <w:left w:val="none" w:sz="0" w:space="0" w:color="auto"/>
        <w:bottom w:val="none" w:sz="0" w:space="0" w:color="auto"/>
        <w:right w:val="none" w:sz="0" w:space="0" w:color="auto"/>
      </w:divBdr>
    </w:div>
    <w:div w:id="836193053">
      <w:bodyDiv w:val="1"/>
      <w:marLeft w:val="0"/>
      <w:marRight w:val="0"/>
      <w:marTop w:val="0"/>
      <w:marBottom w:val="0"/>
      <w:divBdr>
        <w:top w:val="none" w:sz="0" w:space="0" w:color="auto"/>
        <w:left w:val="none" w:sz="0" w:space="0" w:color="auto"/>
        <w:bottom w:val="none" w:sz="0" w:space="0" w:color="auto"/>
        <w:right w:val="none" w:sz="0" w:space="0" w:color="auto"/>
      </w:divBdr>
    </w:div>
    <w:div w:id="836268696">
      <w:bodyDiv w:val="1"/>
      <w:marLeft w:val="0"/>
      <w:marRight w:val="0"/>
      <w:marTop w:val="0"/>
      <w:marBottom w:val="0"/>
      <w:divBdr>
        <w:top w:val="none" w:sz="0" w:space="0" w:color="auto"/>
        <w:left w:val="none" w:sz="0" w:space="0" w:color="auto"/>
        <w:bottom w:val="none" w:sz="0" w:space="0" w:color="auto"/>
        <w:right w:val="none" w:sz="0" w:space="0" w:color="auto"/>
      </w:divBdr>
    </w:div>
    <w:div w:id="836269535">
      <w:bodyDiv w:val="1"/>
      <w:marLeft w:val="0"/>
      <w:marRight w:val="0"/>
      <w:marTop w:val="0"/>
      <w:marBottom w:val="0"/>
      <w:divBdr>
        <w:top w:val="none" w:sz="0" w:space="0" w:color="auto"/>
        <w:left w:val="none" w:sz="0" w:space="0" w:color="auto"/>
        <w:bottom w:val="none" w:sz="0" w:space="0" w:color="auto"/>
        <w:right w:val="none" w:sz="0" w:space="0" w:color="auto"/>
      </w:divBdr>
    </w:div>
    <w:div w:id="836379336">
      <w:bodyDiv w:val="1"/>
      <w:marLeft w:val="0"/>
      <w:marRight w:val="0"/>
      <w:marTop w:val="0"/>
      <w:marBottom w:val="0"/>
      <w:divBdr>
        <w:top w:val="none" w:sz="0" w:space="0" w:color="auto"/>
        <w:left w:val="none" w:sz="0" w:space="0" w:color="auto"/>
        <w:bottom w:val="none" w:sz="0" w:space="0" w:color="auto"/>
        <w:right w:val="none" w:sz="0" w:space="0" w:color="auto"/>
      </w:divBdr>
    </w:div>
    <w:div w:id="836577211">
      <w:bodyDiv w:val="1"/>
      <w:marLeft w:val="0"/>
      <w:marRight w:val="0"/>
      <w:marTop w:val="0"/>
      <w:marBottom w:val="0"/>
      <w:divBdr>
        <w:top w:val="none" w:sz="0" w:space="0" w:color="auto"/>
        <w:left w:val="none" w:sz="0" w:space="0" w:color="auto"/>
        <w:bottom w:val="none" w:sz="0" w:space="0" w:color="auto"/>
        <w:right w:val="none" w:sz="0" w:space="0" w:color="auto"/>
      </w:divBdr>
    </w:div>
    <w:div w:id="836578452">
      <w:bodyDiv w:val="1"/>
      <w:marLeft w:val="0"/>
      <w:marRight w:val="0"/>
      <w:marTop w:val="0"/>
      <w:marBottom w:val="0"/>
      <w:divBdr>
        <w:top w:val="none" w:sz="0" w:space="0" w:color="auto"/>
        <w:left w:val="none" w:sz="0" w:space="0" w:color="auto"/>
        <w:bottom w:val="none" w:sz="0" w:space="0" w:color="auto"/>
        <w:right w:val="none" w:sz="0" w:space="0" w:color="auto"/>
      </w:divBdr>
    </w:div>
    <w:div w:id="836650558">
      <w:bodyDiv w:val="1"/>
      <w:marLeft w:val="0"/>
      <w:marRight w:val="0"/>
      <w:marTop w:val="0"/>
      <w:marBottom w:val="0"/>
      <w:divBdr>
        <w:top w:val="none" w:sz="0" w:space="0" w:color="auto"/>
        <w:left w:val="none" w:sz="0" w:space="0" w:color="auto"/>
        <w:bottom w:val="none" w:sz="0" w:space="0" w:color="auto"/>
        <w:right w:val="none" w:sz="0" w:space="0" w:color="auto"/>
      </w:divBdr>
    </w:div>
    <w:div w:id="836654560">
      <w:bodyDiv w:val="1"/>
      <w:marLeft w:val="0"/>
      <w:marRight w:val="0"/>
      <w:marTop w:val="0"/>
      <w:marBottom w:val="0"/>
      <w:divBdr>
        <w:top w:val="none" w:sz="0" w:space="0" w:color="auto"/>
        <w:left w:val="none" w:sz="0" w:space="0" w:color="auto"/>
        <w:bottom w:val="none" w:sz="0" w:space="0" w:color="auto"/>
        <w:right w:val="none" w:sz="0" w:space="0" w:color="auto"/>
      </w:divBdr>
    </w:div>
    <w:div w:id="836767538">
      <w:bodyDiv w:val="1"/>
      <w:marLeft w:val="0"/>
      <w:marRight w:val="0"/>
      <w:marTop w:val="0"/>
      <w:marBottom w:val="0"/>
      <w:divBdr>
        <w:top w:val="none" w:sz="0" w:space="0" w:color="auto"/>
        <w:left w:val="none" w:sz="0" w:space="0" w:color="auto"/>
        <w:bottom w:val="none" w:sz="0" w:space="0" w:color="auto"/>
        <w:right w:val="none" w:sz="0" w:space="0" w:color="auto"/>
      </w:divBdr>
    </w:div>
    <w:div w:id="836768437">
      <w:bodyDiv w:val="1"/>
      <w:marLeft w:val="0"/>
      <w:marRight w:val="0"/>
      <w:marTop w:val="0"/>
      <w:marBottom w:val="0"/>
      <w:divBdr>
        <w:top w:val="none" w:sz="0" w:space="0" w:color="auto"/>
        <w:left w:val="none" w:sz="0" w:space="0" w:color="auto"/>
        <w:bottom w:val="none" w:sz="0" w:space="0" w:color="auto"/>
        <w:right w:val="none" w:sz="0" w:space="0" w:color="auto"/>
      </w:divBdr>
    </w:div>
    <w:div w:id="836843528">
      <w:bodyDiv w:val="1"/>
      <w:marLeft w:val="0"/>
      <w:marRight w:val="0"/>
      <w:marTop w:val="0"/>
      <w:marBottom w:val="0"/>
      <w:divBdr>
        <w:top w:val="none" w:sz="0" w:space="0" w:color="auto"/>
        <w:left w:val="none" w:sz="0" w:space="0" w:color="auto"/>
        <w:bottom w:val="none" w:sz="0" w:space="0" w:color="auto"/>
        <w:right w:val="none" w:sz="0" w:space="0" w:color="auto"/>
      </w:divBdr>
    </w:div>
    <w:div w:id="836918745">
      <w:bodyDiv w:val="1"/>
      <w:marLeft w:val="0"/>
      <w:marRight w:val="0"/>
      <w:marTop w:val="0"/>
      <w:marBottom w:val="0"/>
      <w:divBdr>
        <w:top w:val="none" w:sz="0" w:space="0" w:color="auto"/>
        <w:left w:val="none" w:sz="0" w:space="0" w:color="auto"/>
        <w:bottom w:val="none" w:sz="0" w:space="0" w:color="auto"/>
        <w:right w:val="none" w:sz="0" w:space="0" w:color="auto"/>
      </w:divBdr>
    </w:div>
    <w:div w:id="836923216">
      <w:bodyDiv w:val="1"/>
      <w:marLeft w:val="0"/>
      <w:marRight w:val="0"/>
      <w:marTop w:val="0"/>
      <w:marBottom w:val="0"/>
      <w:divBdr>
        <w:top w:val="none" w:sz="0" w:space="0" w:color="auto"/>
        <w:left w:val="none" w:sz="0" w:space="0" w:color="auto"/>
        <w:bottom w:val="none" w:sz="0" w:space="0" w:color="auto"/>
        <w:right w:val="none" w:sz="0" w:space="0" w:color="auto"/>
      </w:divBdr>
    </w:div>
    <w:div w:id="836925804">
      <w:bodyDiv w:val="1"/>
      <w:marLeft w:val="0"/>
      <w:marRight w:val="0"/>
      <w:marTop w:val="0"/>
      <w:marBottom w:val="0"/>
      <w:divBdr>
        <w:top w:val="none" w:sz="0" w:space="0" w:color="auto"/>
        <w:left w:val="none" w:sz="0" w:space="0" w:color="auto"/>
        <w:bottom w:val="none" w:sz="0" w:space="0" w:color="auto"/>
        <w:right w:val="none" w:sz="0" w:space="0" w:color="auto"/>
      </w:divBdr>
    </w:div>
    <w:div w:id="836965312">
      <w:bodyDiv w:val="1"/>
      <w:marLeft w:val="0"/>
      <w:marRight w:val="0"/>
      <w:marTop w:val="0"/>
      <w:marBottom w:val="0"/>
      <w:divBdr>
        <w:top w:val="none" w:sz="0" w:space="0" w:color="auto"/>
        <w:left w:val="none" w:sz="0" w:space="0" w:color="auto"/>
        <w:bottom w:val="none" w:sz="0" w:space="0" w:color="auto"/>
        <w:right w:val="none" w:sz="0" w:space="0" w:color="auto"/>
      </w:divBdr>
    </w:div>
    <w:div w:id="836967681">
      <w:bodyDiv w:val="1"/>
      <w:marLeft w:val="0"/>
      <w:marRight w:val="0"/>
      <w:marTop w:val="0"/>
      <w:marBottom w:val="0"/>
      <w:divBdr>
        <w:top w:val="none" w:sz="0" w:space="0" w:color="auto"/>
        <w:left w:val="none" w:sz="0" w:space="0" w:color="auto"/>
        <w:bottom w:val="none" w:sz="0" w:space="0" w:color="auto"/>
        <w:right w:val="none" w:sz="0" w:space="0" w:color="auto"/>
      </w:divBdr>
    </w:div>
    <w:div w:id="837034829">
      <w:bodyDiv w:val="1"/>
      <w:marLeft w:val="0"/>
      <w:marRight w:val="0"/>
      <w:marTop w:val="0"/>
      <w:marBottom w:val="0"/>
      <w:divBdr>
        <w:top w:val="none" w:sz="0" w:space="0" w:color="auto"/>
        <w:left w:val="none" w:sz="0" w:space="0" w:color="auto"/>
        <w:bottom w:val="none" w:sz="0" w:space="0" w:color="auto"/>
        <w:right w:val="none" w:sz="0" w:space="0" w:color="auto"/>
      </w:divBdr>
    </w:div>
    <w:div w:id="837041656">
      <w:bodyDiv w:val="1"/>
      <w:marLeft w:val="0"/>
      <w:marRight w:val="0"/>
      <w:marTop w:val="0"/>
      <w:marBottom w:val="0"/>
      <w:divBdr>
        <w:top w:val="none" w:sz="0" w:space="0" w:color="auto"/>
        <w:left w:val="none" w:sz="0" w:space="0" w:color="auto"/>
        <w:bottom w:val="none" w:sz="0" w:space="0" w:color="auto"/>
        <w:right w:val="none" w:sz="0" w:space="0" w:color="auto"/>
      </w:divBdr>
    </w:div>
    <w:div w:id="837042565">
      <w:bodyDiv w:val="1"/>
      <w:marLeft w:val="0"/>
      <w:marRight w:val="0"/>
      <w:marTop w:val="0"/>
      <w:marBottom w:val="0"/>
      <w:divBdr>
        <w:top w:val="none" w:sz="0" w:space="0" w:color="auto"/>
        <w:left w:val="none" w:sz="0" w:space="0" w:color="auto"/>
        <w:bottom w:val="none" w:sz="0" w:space="0" w:color="auto"/>
        <w:right w:val="none" w:sz="0" w:space="0" w:color="auto"/>
      </w:divBdr>
    </w:div>
    <w:div w:id="837116725">
      <w:bodyDiv w:val="1"/>
      <w:marLeft w:val="0"/>
      <w:marRight w:val="0"/>
      <w:marTop w:val="0"/>
      <w:marBottom w:val="0"/>
      <w:divBdr>
        <w:top w:val="none" w:sz="0" w:space="0" w:color="auto"/>
        <w:left w:val="none" w:sz="0" w:space="0" w:color="auto"/>
        <w:bottom w:val="none" w:sz="0" w:space="0" w:color="auto"/>
        <w:right w:val="none" w:sz="0" w:space="0" w:color="auto"/>
      </w:divBdr>
    </w:div>
    <w:div w:id="837157084">
      <w:bodyDiv w:val="1"/>
      <w:marLeft w:val="0"/>
      <w:marRight w:val="0"/>
      <w:marTop w:val="0"/>
      <w:marBottom w:val="0"/>
      <w:divBdr>
        <w:top w:val="none" w:sz="0" w:space="0" w:color="auto"/>
        <w:left w:val="none" w:sz="0" w:space="0" w:color="auto"/>
        <w:bottom w:val="none" w:sz="0" w:space="0" w:color="auto"/>
        <w:right w:val="none" w:sz="0" w:space="0" w:color="auto"/>
      </w:divBdr>
    </w:div>
    <w:div w:id="837231173">
      <w:bodyDiv w:val="1"/>
      <w:marLeft w:val="0"/>
      <w:marRight w:val="0"/>
      <w:marTop w:val="0"/>
      <w:marBottom w:val="0"/>
      <w:divBdr>
        <w:top w:val="none" w:sz="0" w:space="0" w:color="auto"/>
        <w:left w:val="none" w:sz="0" w:space="0" w:color="auto"/>
        <w:bottom w:val="none" w:sz="0" w:space="0" w:color="auto"/>
        <w:right w:val="none" w:sz="0" w:space="0" w:color="auto"/>
      </w:divBdr>
    </w:div>
    <w:div w:id="837233149">
      <w:bodyDiv w:val="1"/>
      <w:marLeft w:val="0"/>
      <w:marRight w:val="0"/>
      <w:marTop w:val="0"/>
      <w:marBottom w:val="0"/>
      <w:divBdr>
        <w:top w:val="none" w:sz="0" w:space="0" w:color="auto"/>
        <w:left w:val="none" w:sz="0" w:space="0" w:color="auto"/>
        <w:bottom w:val="none" w:sz="0" w:space="0" w:color="auto"/>
        <w:right w:val="none" w:sz="0" w:space="0" w:color="auto"/>
      </w:divBdr>
    </w:div>
    <w:div w:id="837303473">
      <w:bodyDiv w:val="1"/>
      <w:marLeft w:val="0"/>
      <w:marRight w:val="0"/>
      <w:marTop w:val="0"/>
      <w:marBottom w:val="0"/>
      <w:divBdr>
        <w:top w:val="none" w:sz="0" w:space="0" w:color="auto"/>
        <w:left w:val="none" w:sz="0" w:space="0" w:color="auto"/>
        <w:bottom w:val="none" w:sz="0" w:space="0" w:color="auto"/>
        <w:right w:val="none" w:sz="0" w:space="0" w:color="auto"/>
      </w:divBdr>
    </w:div>
    <w:div w:id="837307206">
      <w:bodyDiv w:val="1"/>
      <w:marLeft w:val="0"/>
      <w:marRight w:val="0"/>
      <w:marTop w:val="0"/>
      <w:marBottom w:val="0"/>
      <w:divBdr>
        <w:top w:val="none" w:sz="0" w:space="0" w:color="auto"/>
        <w:left w:val="none" w:sz="0" w:space="0" w:color="auto"/>
        <w:bottom w:val="none" w:sz="0" w:space="0" w:color="auto"/>
        <w:right w:val="none" w:sz="0" w:space="0" w:color="auto"/>
      </w:divBdr>
    </w:div>
    <w:div w:id="837310464">
      <w:bodyDiv w:val="1"/>
      <w:marLeft w:val="0"/>
      <w:marRight w:val="0"/>
      <w:marTop w:val="0"/>
      <w:marBottom w:val="0"/>
      <w:divBdr>
        <w:top w:val="none" w:sz="0" w:space="0" w:color="auto"/>
        <w:left w:val="none" w:sz="0" w:space="0" w:color="auto"/>
        <w:bottom w:val="none" w:sz="0" w:space="0" w:color="auto"/>
        <w:right w:val="none" w:sz="0" w:space="0" w:color="auto"/>
      </w:divBdr>
    </w:div>
    <w:div w:id="837571890">
      <w:bodyDiv w:val="1"/>
      <w:marLeft w:val="0"/>
      <w:marRight w:val="0"/>
      <w:marTop w:val="0"/>
      <w:marBottom w:val="0"/>
      <w:divBdr>
        <w:top w:val="none" w:sz="0" w:space="0" w:color="auto"/>
        <w:left w:val="none" w:sz="0" w:space="0" w:color="auto"/>
        <w:bottom w:val="none" w:sz="0" w:space="0" w:color="auto"/>
        <w:right w:val="none" w:sz="0" w:space="0" w:color="auto"/>
      </w:divBdr>
    </w:div>
    <w:div w:id="837618297">
      <w:bodyDiv w:val="1"/>
      <w:marLeft w:val="0"/>
      <w:marRight w:val="0"/>
      <w:marTop w:val="0"/>
      <w:marBottom w:val="0"/>
      <w:divBdr>
        <w:top w:val="none" w:sz="0" w:space="0" w:color="auto"/>
        <w:left w:val="none" w:sz="0" w:space="0" w:color="auto"/>
        <w:bottom w:val="none" w:sz="0" w:space="0" w:color="auto"/>
        <w:right w:val="none" w:sz="0" w:space="0" w:color="auto"/>
      </w:divBdr>
    </w:div>
    <w:div w:id="837695734">
      <w:bodyDiv w:val="1"/>
      <w:marLeft w:val="0"/>
      <w:marRight w:val="0"/>
      <w:marTop w:val="0"/>
      <w:marBottom w:val="0"/>
      <w:divBdr>
        <w:top w:val="none" w:sz="0" w:space="0" w:color="auto"/>
        <w:left w:val="none" w:sz="0" w:space="0" w:color="auto"/>
        <w:bottom w:val="none" w:sz="0" w:space="0" w:color="auto"/>
        <w:right w:val="none" w:sz="0" w:space="0" w:color="auto"/>
      </w:divBdr>
    </w:div>
    <w:div w:id="837773085">
      <w:bodyDiv w:val="1"/>
      <w:marLeft w:val="0"/>
      <w:marRight w:val="0"/>
      <w:marTop w:val="0"/>
      <w:marBottom w:val="0"/>
      <w:divBdr>
        <w:top w:val="none" w:sz="0" w:space="0" w:color="auto"/>
        <w:left w:val="none" w:sz="0" w:space="0" w:color="auto"/>
        <w:bottom w:val="none" w:sz="0" w:space="0" w:color="auto"/>
        <w:right w:val="none" w:sz="0" w:space="0" w:color="auto"/>
      </w:divBdr>
    </w:div>
    <w:div w:id="837817082">
      <w:bodyDiv w:val="1"/>
      <w:marLeft w:val="0"/>
      <w:marRight w:val="0"/>
      <w:marTop w:val="0"/>
      <w:marBottom w:val="0"/>
      <w:divBdr>
        <w:top w:val="none" w:sz="0" w:space="0" w:color="auto"/>
        <w:left w:val="none" w:sz="0" w:space="0" w:color="auto"/>
        <w:bottom w:val="none" w:sz="0" w:space="0" w:color="auto"/>
        <w:right w:val="none" w:sz="0" w:space="0" w:color="auto"/>
      </w:divBdr>
    </w:div>
    <w:div w:id="837884312">
      <w:bodyDiv w:val="1"/>
      <w:marLeft w:val="0"/>
      <w:marRight w:val="0"/>
      <w:marTop w:val="0"/>
      <w:marBottom w:val="0"/>
      <w:divBdr>
        <w:top w:val="none" w:sz="0" w:space="0" w:color="auto"/>
        <w:left w:val="none" w:sz="0" w:space="0" w:color="auto"/>
        <w:bottom w:val="none" w:sz="0" w:space="0" w:color="auto"/>
        <w:right w:val="none" w:sz="0" w:space="0" w:color="auto"/>
      </w:divBdr>
    </w:div>
    <w:div w:id="837890241">
      <w:bodyDiv w:val="1"/>
      <w:marLeft w:val="0"/>
      <w:marRight w:val="0"/>
      <w:marTop w:val="0"/>
      <w:marBottom w:val="0"/>
      <w:divBdr>
        <w:top w:val="none" w:sz="0" w:space="0" w:color="auto"/>
        <w:left w:val="none" w:sz="0" w:space="0" w:color="auto"/>
        <w:bottom w:val="none" w:sz="0" w:space="0" w:color="auto"/>
        <w:right w:val="none" w:sz="0" w:space="0" w:color="auto"/>
      </w:divBdr>
    </w:div>
    <w:div w:id="837892275">
      <w:bodyDiv w:val="1"/>
      <w:marLeft w:val="0"/>
      <w:marRight w:val="0"/>
      <w:marTop w:val="0"/>
      <w:marBottom w:val="0"/>
      <w:divBdr>
        <w:top w:val="none" w:sz="0" w:space="0" w:color="auto"/>
        <w:left w:val="none" w:sz="0" w:space="0" w:color="auto"/>
        <w:bottom w:val="none" w:sz="0" w:space="0" w:color="auto"/>
        <w:right w:val="none" w:sz="0" w:space="0" w:color="auto"/>
      </w:divBdr>
    </w:div>
    <w:div w:id="837964256">
      <w:bodyDiv w:val="1"/>
      <w:marLeft w:val="0"/>
      <w:marRight w:val="0"/>
      <w:marTop w:val="0"/>
      <w:marBottom w:val="0"/>
      <w:divBdr>
        <w:top w:val="none" w:sz="0" w:space="0" w:color="auto"/>
        <w:left w:val="none" w:sz="0" w:space="0" w:color="auto"/>
        <w:bottom w:val="none" w:sz="0" w:space="0" w:color="auto"/>
        <w:right w:val="none" w:sz="0" w:space="0" w:color="auto"/>
      </w:divBdr>
    </w:div>
    <w:div w:id="838081168">
      <w:bodyDiv w:val="1"/>
      <w:marLeft w:val="0"/>
      <w:marRight w:val="0"/>
      <w:marTop w:val="0"/>
      <w:marBottom w:val="0"/>
      <w:divBdr>
        <w:top w:val="none" w:sz="0" w:space="0" w:color="auto"/>
        <w:left w:val="none" w:sz="0" w:space="0" w:color="auto"/>
        <w:bottom w:val="none" w:sz="0" w:space="0" w:color="auto"/>
        <w:right w:val="none" w:sz="0" w:space="0" w:color="auto"/>
      </w:divBdr>
    </w:div>
    <w:div w:id="838082841">
      <w:bodyDiv w:val="1"/>
      <w:marLeft w:val="0"/>
      <w:marRight w:val="0"/>
      <w:marTop w:val="0"/>
      <w:marBottom w:val="0"/>
      <w:divBdr>
        <w:top w:val="none" w:sz="0" w:space="0" w:color="auto"/>
        <w:left w:val="none" w:sz="0" w:space="0" w:color="auto"/>
        <w:bottom w:val="none" w:sz="0" w:space="0" w:color="auto"/>
        <w:right w:val="none" w:sz="0" w:space="0" w:color="auto"/>
      </w:divBdr>
    </w:div>
    <w:div w:id="838154642">
      <w:bodyDiv w:val="1"/>
      <w:marLeft w:val="0"/>
      <w:marRight w:val="0"/>
      <w:marTop w:val="0"/>
      <w:marBottom w:val="0"/>
      <w:divBdr>
        <w:top w:val="none" w:sz="0" w:space="0" w:color="auto"/>
        <w:left w:val="none" w:sz="0" w:space="0" w:color="auto"/>
        <w:bottom w:val="none" w:sz="0" w:space="0" w:color="auto"/>
        <w:right w:val="none" w:sz="0" w:space="0" w:color="auto"/>
      </w:divBdr>
    </w:div>
    <w:div w:id="838272224">
      <w:bodyDiv w:val="1"/>
      <w:marLeft w:val="0"/>
      <w:marRight w:val="0"/>
      <w:marTop w:val="0"/>
      <w:marBottom w:val="0"/>
      <w:divBdr>
        <w:top w:val="none" w:sz="0" w:space="0" w:color="auto"/>
        <w:left w:val="none" w:sz="0" w:space="0" w:color="auto"/>
        <w:bottom w:val="none" w:sz="0" w:space="0" w:color="auto"/>
        <w:right w:val="none" w:sz="0" w:space="0" w:color="auto"/>
      </w:divBdr>
    </w:div>
    <w:div w:id="838471986">
      <w:bodyDiv w:val="1"/>
      <w:marLeft w:val="0"/>
      <w:marRight w:val="0"/>
      <w:marTop w:val="0"/>
      <w:marBottom w:val="0"/>
      <w:divBdr>
        <w:top w:val="none" w:sz="0" w:space="0" w:color="auto"/>
        <w:left w:val="none" w:sz="0" w:space="0" w:color="auto"/>
        <w:bottom w:val="none" w:sz="0" w:space="0" w:color="auto"/>
        <w:right w:val="none" w:sz="0" w:space="0" w:color="auto"/>
      </w:divBdr>
    </w:div>
    <w:div w:id="838499533">
      <w:bodyDiv w:val="1"/>
      <w:marLeft w:val="0"/>
      <w:marRight w:val="0"/>
      <w:marTop w:val="0"/>
      <w:marBottom w:val="0"/>
      <w:divBdr>
        <w:top w:val="none" w:sz="0" w:space="0" w:color="auto"/>
        <w:left w:val="none" w:sz="0" w:space="0" w:color="auto"/>
        <w:bottom w:val="none" w:sz="0" w:space="0" w:color="auto"/>
        <w:right w:val="none" w:sz="0" w:space="0" w:color="auto"/>
      </w:divBdr>
    </w:div>
    <w:div w:id="838500119">
      <w:bodyDiv w:val="1"/>
      <w:marLeft w:val="0"/>
      <w:marRight w:val="0"/>
      <w:marTop w:val="0"/>
      <w:marBottom w:val="0"/>
      <w:divBdr>
        <w:top w:val="none" w:sz="0" w:space="0" w:color="auto"/>
        <w:left w:val="none" w:sz="0" w:space="0" w:color="auto"/>
        <w:bottom w:val="none" w:sz="0" w:space="0" w:color="auto"/>
        <w:right w:val="none" w:sz="0" w:space="0" w:color="auto"/>
      </w:divBdr>
    </w:div>
    <w:div w:id="838544957">
      <w:bodyDiv w:val="1"/>
      <w:marLeft w:val="0"/>
      <w:marRight w:val="0"/>
      <w:marTop w:val="0"/>
      <w:marBottom w:val="0"/>
      <w:divBdr>
        <w:top w:val="none" w:sz="0" w:space="0" w:color="auto"/>
        <w:left w:val="none" w:sz="0" w:space="0" w:color="auto"/>
        <w:bottom w:val="none" w:sz="0" w:space="0" w:color="auto"/>
        <w:right w:val="none" w:sz="0" w:space="0" w:color="auto"/>
      </w:divBdr>
    </w:div>
    <w:div w:id="838546880">
      <w:bodyDiv w:val="1"/>
      <w:marLeft w:val="0"/>
      <w:marRight w:val="0"/>
      <w:marTop w:val="0"/>
      <w:marBottom w:val="0"/>
      <w:divBdr>
        <w:top w:val="none" w:sz="0" w:space="0" w:color="auto"/>
        <w:left w:val="none" w:sz="0" w:space="0" w:color="auto"/>
        <w:bottom w:val="none" w:sz="0" w:space="0" w:color="auto"/>
        <w:right w:val="none" w:sz="0" w:space="0" w:color="auto"/>
      </w:divBdr>
    </w:div>
    <w:div w:id="838731719">
      <w:bodyDiv w:val="1"/>
      <w:marLeft w:val="0"/>
      <w:marRight w:val="0"/>
      <w:marTop w:val="0"/>
      <w:marBottom w:val="0"/>
      <w:divBdr>
        <w:top w:val="none" w:sz="0" w:space="0" w:color="auto"/>
        <w:left w:val="none" w:sz="0" w:space="0" w:color="auto"/>
        <w:bottom w:val="none" w:sz="0" w:space="0" w:color="auto"/>
        <w:right w:val="none" w:sz="0" w:space="0" w:color="auto"/>
      </w:divBdr>
    </w:div>
    <w:div w:id="838738573">
      <w:bodyDiv w:val="1"/>
      <w:marLeft w:val="0"/>
      <w:marRight w:val="0"/>
      <w:marTop w:val="0"/>
      <w:marBottom w:val="0"/>
      <w:divBdr>
        <w:top w:val="none" w:sz="0" w:space="0" w:color="auto"/>
        <w:left w:val="none" w:sz="0" w:space="0" w:color="auto"/>
        <w:bottom w:val="none" w:sz="0" w:space="0" w:color="auto"/>
        <w:right w:val="none" w:sz="0" w:space="0" w:color="auto"/>
      </w:divBdr>
    </w:div>
    <w:div w:id="838886815">
      <w:bodyDiv w:val="1"/>
      <w:marLeft w:val="0"/>
      <w:marRight w:val="0"/>
      <w:marTop w:val="0"/>
      <w:marBottom w:val="0"/>
      <w:divBdr>
        <w:top w:val="none" w:sz="0" w:space="0" w:color="auto"/>
        <w:left w:val="none" w:sz="0" w:space="0" w:color="auto"/>
        <w:bottom w:val="none" w:sz="0" w:space="0" w:color="auto"/>
        <w:right w:val="none" w:sz="0" w:space="0" w:color="auto"/>
      </w:divBdr>
    </w:div>
    <w:div w:id="839005125">
      <w:bodyDiv w:val="1"/>
      <w:marLeft w:val="0"/>
      <w:marRight w:val="0"/>
      <w:marTop w:val="0"/>
      <w:marBottom w:val="0"/>
      <w:divBdr>
        <w:top w:val="none" w:sz="0" w:space="0" w:color="auto"/>
        <w:left w:val="none" w:sz="0" w:space="0" w:color="auto"/>
        <w:bottom w:val="none" w:sz="0" w:space="0" w:color="auto"/>
        <w:right w:val="none" w:sz="0" w:space="0" w:color="auto"/>
      </w:divBdr>
    </w:div>
    <w:div w:id="839154248">
      <w:bodyDiv w:val="1"/>
      <w:marLeft w:val="0"/>
      <w:marRight w:val="0"/>
      <w:marTop w:val="0"/>
      <w:marBottom w:val="0"/>
      <w:divBdr>
        <w:top w:val="none" w:sz="0" w:space="0" w:color="auto"/>
        <w:left w:val="none" w:sz="0" w:space="0" w:color="auto"/>
        <w:bottom w:val="none" w:sz="0" w:space="0" w:color="auto"/>
        <w:right w:val="none" w:sz="0" w:space="0" w:color="auto"/>
      </w:divBdr>
    </w:div>
    <w:div w:id="839202471">
      <w:bodyDiv w:val="1"/>
      <w:marLeft w:val="0"/>
      <w:marRight w:val="0"/>
      <w:marTop w:val="0"/>
      <w:marBottom w:val="0"/>
      <w:divBdr>
        <w:top w:val="none" w:sz="0" w:space="0" w:color="auto"/>
        <w:left w:val="none" w:sz="0" w:space="0" w:color="auto"/>
        <w:bottom w:val="none" w:sz="0" w:space="0" w:color="auto"/>
        <w:right w:val="none" w:sz="0" w:space="0" w:color="auto"/>
      </w:divBdr>
    </w:div>
    <w:div w:id="839274682">
      <w:bodyDiv w:val="1"/>
      <w:marLeft w:val="0"/>
      <w:marRight w:val="0"/>
      <w:marTop w:val="0"/>
      <w:marBottom w:val="0"/>
      <w:divBdr>
        <w:top w:val="none" w:sz="0" w:space="0" w:color="auto"/>
        <w:left w:val="none" w:sz="0" w:space="0" w:color="auto"/>
        <w:bottom w:val="none" w:sz="0" w:space="0" w:color="auto"/>
        <w:right w:val="none" w:sz="0" w:space="0" w:color="auto"/>
      </w:divBdr>
    </w:div>
    <w:div w:id="839321047">
      <w:bodyDiv w:val="1"/>
      <w:marLeft w:val="0"/>
      <w:marRight w:val="0"/>
      <w:marTop w:val="0"/>
      <w:marBottom w:val="0"/>
      <w:divBdr>
        <w:top w:val="none" w:sz="0" w:space="0" w:color="auto"/>
        <w:left w:val="none" w:sz="0" w:space="0" w:color="auto"/>
        <w:bottom w:val="none" w:sz="0" w:space="0" w:color="auto"/>
        <w:right w:val="none" w:sz="0" w:space="0" w:color="auto"/>
      </w:divBdr>
    </w:div>
    <w:div w:id="839345470">
      <w:bodyDiv w:val="1"/>
      <w:marLeft w:val="0"/>
      <w:marRight w:val="0"/>
      <w:marTop w:val="0"/>
      <w:marBottom w:val="0"/>
      <w:divBdr>
        <w:top w:val="none" w:sz="0" w:space="0" w:color="auto"/>
        <w:left w:val="none" w:sz="0" w:space="0" w:color="auto"/>
        <w:bottom w:val="none" w:sz="0" w:space="0" w:color="auto"/>
        <w:right w:val="none" w:sz="0" w:space="0" w:color="auto"/>
      </w:divBdr>
    </w:div>
    <w:div w:id="839387720">
      <w:bodyDiv w:val="1"/>
      <w:marLeft w:val="0"/>
      <w:marRight w:val="0"/>
      <w:marTop w:val="0"/>
      <w:marBottom w:val="0"/>
      <w:divBdr>
        <w:top w:val="none" w:sz="0" w:space="0" w:color="auto"/>
        <w:left w:val="none" w:sz="0" w:space="0" w:color="auto"/>
        <w:bottom w:val="none" w:sz="0" w:space="0" w:color="auto"/>
        <w:right w:val="none" w:sz="0" w:space="0" w:color="auto"/>
      </w:divBdr>
    </w:div>
    <w:div w:id="839391106">
      <w:bodyDiv w:val="1"/>
      <w:marLeft w:val="0"/>
      <w:marRight w:val="0"/>
      <w:marTop w:val="0"/>
      <w:marBottom w:val="0"/>
      <w:divBdr>
        <w:top w:val="none" w:sz="0" w:space="0" w:color="auto"/>
        <w:left w:val="none" w:sz="0" w:space="0" w:color="auto"/>
        <w:bottom w:val="none" w:sz="0" w:space="0" w:color="auto"/>
        <w:right w:val="none" w:sz="0" w:space="0" w:color="auto"/>
      </w:divBdr>
    </w:div>
    <w:div w:id="839396302">
      <w:bodyDiv w:val="1"/>
      <w:marLeft w:val="0"/>
      <w:marRight w:val="0"/>
      <w:marTop w:val="0"/>
      <w:marBottom w:val="0"/>
      <w:divBdr>
        <w:top w:val="none" w:sz="0" w:space="0" w:color="auto"/>
        <w:left w:val="none" w:sz="0" w:space="0" w:color="auto"/>
        <w:bottom w:val="none" w:sz="0" w:space="0" w:color="auto"/>
        <w:right w:val="none" w:sz="0" w:space="0" w:color="auto"/>
      </w:divBdr>
    </w:div>
    <w:div w:id="839462461">
      <w:bodyDiv w:val="1"/>
      <w:marLeft w:val="0"/>
      <w:marRight w:val="0"/>
      <w:marTop w:val="0"/>
      <w:marBottom w:val="0"/>
      <w:divBdr>
        <w:top w:val="none" w:sz="0" w:space="0" w:color="auto"/>
        <w:left w:val="none" w:sz="0" w:space="0" w:color="auto"/>
        <w:bottom w:val="none" w:sz="0" w:space="0" w:color="auto"/>
        <w:right w:val="none" w:sz="0" w:space="0" w:color="auto"/>
      </w:divBdr>
    </w:div>
    <w:div w:id="839539307">
      <w:bodyDiv w:val="1"/>
      <w:marLeft w:val="0"/>
      <w:marRight w:val="0"/>
      <w:marTop w:val="0"/>
      <w:marBottom w:val="0"/>
      <w:divBdr>
        <w:top w:val="none" w:sz="0" w:space="0" w:color="auto"/>
        <w:left w:val="none" w:sz="0" w:space="0" w:color="auto"/>
        <w:bottom w:val="none" w:sz="0" w:space="0" w:color="auto"/>
        <w:right w:val="none" w:sz="0" w:space="0" w:color="auto"/>
      </w:divBdr>
    </w:div>
    <w:div w:id="839540772">
      <w:bodyDiv w:val="1"/>
      <w:marLeft w:val="0"/>
      <w:marRight w:val="0"/>
      <w:marTop w:val="0"/>
      <w:marBottom w:val="0"/>
      <w:divBdr>
        <w:top w:val="none" w:sz="0" w:space="0" w:color="auto"/>
        <w:left w:val="none" w:sz="0" w:space="0" w:color="auto"/>
        <w:bottom w:val="none" w:sz="0" w:space="0" w:color="auto"/>
        <w:right w:val="none" w:sz="0" w:space="0" w:color="auto"/>
      </w:divBdr>
    </w:div>
    <w:div w:id="839546315">
      <w:bodyDiv w:val="1"/>
      <w:marLeft w:val="0"/>
      <w:marRight w:val="0"/>
      <w:marTop w:val="0"/>
      <w:marBottom w:val="0"/>
      <w:divBdr>
        <w:top w:val="none" w:sz="0" w:space="0" w:color="auto"/>
        <w:left w:val="none" w:sz="0" w:space="0" w:color="auto"/>
        <w:bottom w:val="none" w:sz="0" w:space="0" w:color="auto"/>
        <w:right w:val="none" w:sz="0" w:space="0" w:color="auto"/>
      </w:divBdr>
    </w:div>
    <w:div w:id="839586808">
      <w:bodyDiv w:val="1"/>
      <w:marLeft w:val="0"/>
      <w:marRight w:val="0"/>
      <w:marTop w:val="0"/>
      <w:marBottom w:val="0"/>
      <w:divBdr>
        <w:top w:val="none" w:sz="0" w:space="0" w:color="auto"/>
        <w:left w:val="none" w:sz="0" w:space="0" w:color="auto"/>
        <w:bottom w:val="none" w:sz="0" w:space="0" w:color="auto"/>
        <w:right w:val="none" w:sz="0" w:space="0" w:color="auto"/>
      </w:divBdr>
    </w:div>
    <w:div w:id="839779947">
      <w:bodyDiv w:val="1"/>
      <w:marLeft w:val="0"/>
      <w:marRight w:val="0"/>
      <w:marTop w:val="0"/>
      <w:marBottom w:val="0"/>
      <w:divBdr>
        <w:top w:val="none" w:sz="0" w:space="0" w:color="auto"/>
        <w:left w:val="none" w:sz="0" w:space="0" w:color="auto"/>
        <w:bottom w:val="none" w:sz="0" w:space="0" w:color="auto"/>
        <w:right w:val="none" w:sz="0" w:space="0" w:color="auto"/>
      </w:divBdr>
    </w:div>
    <w:div w:id="840004756">
      <w:bodyDiv w:val="1"/>
      <w:marLeft w:val="0"/>
      <w:marRight w:val="0"/>
      <w:marTop w:val="0"/>
      <w:marBottom w:val="0"/>
      <w:divBdr>
        <w:top w:val="none" w:sz="0" w:space="0" w:color="auto"/>
        <w:left w:val="none" w:sz="0" w:space="0" w:color="auto"/>
        <w:bottom w:val="none" w:sz="0" w:space="0" w:color="auto"/>
        <w:right w:val="none" w:sz="0" w:space="0" w:color="auto"/>
      </w:divBdr>
    </w:div>
    <w:div w:id="840004903">
      <w:bodyDiv w:val="1"/>
      <w:marLeft w:val="0"/>
      <w:marRight w:val="0"/>
      <w:marTop w:val="0"/>
      <w:marBottom w:val="0"/>
      <w:divBdr>
        <w:top w:val="none" w:sz="0" w:space="0" w:color="auto"/>
        <w:left w:val="none" w:sz="0" w:space="0" w:color="auto"/>
        <w:bottom w:val="none" w:sz="0" w:space="0" w:color="auto"/>
        <w:right w:val="none" w:sz="0" w:space="0" w:color="auto"/>
      </w:divBdr>
    </w:div>
    <w:div w:id="840193872">
      <w:bodyDiv w:val="1"/>
      <w:marLeft w:val="0"/>
      <w:marRight w:val="0"/>
      <w:marTop w:val="0"/>
      <w:marBottom w:val="0"/>
      <w:divBdr>
        <w:top w:val="none" w:sz="0" w:space="0" w:color="auto"/>
        <w:left w:val="none" w:sz="0" w:space="0" w:color="auto"/>
        <w:bottom w:val="none" w:sz="0" w:space="0" w:color="auto"/>
        <w:right w:val="none" w:sz="0" w:space="0" w:color="auto"/>
      </w:divBdr>
    </w:div>
    <w:div w:id="840238594">
      <w:bodyDiv w:val="1"/>
      <w:marLeft w:val="0"/>
      <w:marRight w:val="0"/>
      <w:marTop w:val="0"/>
      <w:marBottom w:val="0"/>
      <w:divBdr>
        <w:top w:val="none" w:sz="0" w:space="0" w:color="auto"/>
        <w:left w:val="none" w:sz="0" w:space="0" w:color="auto"/>
        <w:bottom w:val="none" w:sz="0" w:space="0" w:color="auto"/>
        <w:right w:val="none" w:sz="0" w:space="0" w:color="auto"/>
      </w:divBdr>
    </w:div>
    <w:div w:id="840241330">
      <w:bodyDiv w:val="1"/>
      <w:marLeft w:val="0"/>
      <w:marRight w:val="0"/>
      <w:marTop w:val="0"/>
      <w:marBottom w:val="0"/>
      <w:divBdr>
        <w:top w:val="none" w:sz="0" w:space="0" w:color="auto"/>
        <w:left w:val="none" w:sz="0" w:space="0" w:color="auto"/>
        <w:bottom w:val="none" w:sz="0" w:space="0" w:color="auto"/>
        <w:right w:val="none" w:sz="0" w:space="0" w:color="auto"/>
      </w:divBdr>
    </w:div>
    <w:div w:id="840319471">
      <w:bodyDiv w:val="1"/>
      <w:marLeft w:val="0"/>
      <w:marRight w:val="0"/>
      <w:marTop w:val="0"/>
      <w:marBottom w:val="0"/>
      <w:divBdr>
        <w:top w:val="none" w:sz="0" w:space="0" w:color="auto"/>
        <w:left w:val="none" w:sz="0" w:space="0" w:color="auto"/>
        <w:bottom w:val="none" w:sz="0" w:space="0" w:color="auto"/>
        <w:right w:val="none" w:sz="0" w:space="0" w:color="auto"/>
      </w:divBdr>
    </w:div>
    <w:div w:id="840389830">
      <w:bodyDiv w:val="1"/>
      <w:marLeft w:val="0"/>
      <w:marRight w:val="0"/>
      <w:marTop w:val="0"/>
      <w:marBottom w:val="0"/>
      <w:divBdr>
        <w:top w:val="none" w:sz="0" w:space="0" w:color="auto"/>
        <w:left w:val="none" w:sz="0" w:space="0" w:color="auto"/>
        <w:bottom w:val="none" w:sz="0" w:space="0" w:color="auto"/>
        <w:right w:val="none" w:sz="0" w:space="0" w:color="auto"/>
      </w:divBdr>
    </w:div>
    <w:div w:id="840395124">
      <w:bodyDiv w:val="1"/>
      <w:marLeft w:val="0"/>
      <w:marRight w:val="0"/>
      <w:marTop w:val="0"/>
      <w:marBottom w:val="0"/>
      <w:divBdr>
        <w:top w:val="none" w:sz="0" w:space="0" w:color="auto"/>
        <w:left w:val="none" w:sz="0" w:space="0" w:color="auto"/>
        <w:bottom w:val="none" w:sz="0" w:space="0" w:color="auto"/>
        <w:right w:val="none" w:sz="0" w:space="0" w:color="auto"/>
      </w:divBdr>
    </w:div>
    <w:div w:id="840438027">
      <w:bodyDiv w:val="1"/>
      <w:marLeft w:val="0"/>
      <w:marRight w:val="0"/>
      <w:marTop w:val="0"/>
      <w:marBottom w:val="0"/>
      <w:divBdr>
        <w:top w:val="none" w:sz="0" w:space="0" w:color="auto"/>
        <w:left w:val="none" w:sz="0" w:space="0" w:color="auto"/>
        <w:bottom w:val="none" w:sz="0" w:space="0" w:color="auto"/>
        <w:right w:val="none" w:sz="0" w:space="0" w:color="auto"/>
      </w:divBdr>
    </w:div>
    <w:div w:id="840461767">
      <w:bodyDiv w:val="1"/>
      <w:marLeft w:val="0"/>
      <w:marRight w:val="0"/>
      <w:marTop w:val="0"/>
      <w:marBottom w:val="0"/>
      <w:divBdr>
        <w:top w:val="none" w:sz="0" w:space="0" w:color="auto"/>
        <w:left w:val="none" w:sz="0" w:space="0" w:color="auto"/>
        <w:bottom w:val="none" w:sz="0" w:space="0" w:color="auto"/>
        <w:right w:val="none" w:sz="0" w:space="0" w:color="auto"/>
      </w:divBdr>
    </w:div>
    <w:div w:id="840464319">
      <w:bodyDiv w:val="1"/>
      <w:marLeft w:val="0"/>
      <w:marRight w:val="0"/>
      <w:marTop w:val="0"/>
      <w:marBottom w:val="0"/>
      <w:divBdr>
        <w:top w:val="none" w:sz="0" w:space="0" w:color="auto"/>
        <w:left w:val="none" w:sz="0" w:space="0" w:color="auto"/>
        <w:bottom w:val="none" w:sz="0" w:space="0" w:color="auto"/>
        <w:right w:val="none" w:sz="0" w:space="0" w:color="auto"/>
      </w:divBdr>
    </w:div>
    <w:div w:id="840465265">
      <w:bodyDiv w:val="1"/>
      <w:marLeft w:val="0"/>
      <w:marRight w:val="0"/>
      <w:marTop w:val="0"/>
      <w:marBottom w:val="0"/>
      <w:divBdr>
        <w:top w:val="none" w:sz="0" w:space="0" w:color="auto"/>
        <w:left w:val="none" w:sz="0" w:space="0" w:color="auto"/>
        <w:bottom w:val="none" w:sz="0" w:space="0" w:color="auto"/>
        <w:right w:val="none" w:sz="0" w:space="0" w:color="auto"/>
      </w:divBdr>
    </w:div>
    <w:div w:id="840631477">
      <w:bodyDiv w:val="1"/>
      <w:marLeft w:val="0"/>
      <w:marRight w:val="0"/>
      <w:marTop w:val="0"/>
      <w:marBottom w:val="0"/>
      <w:divBdr>
        <w:top w:val="none" w:sz="0" w:space="0" w:color="auto"/>
        <w:left w:val="none" w:sz="0" w:space="0" w:color="auto"/>
        <w:bottom w:val="none" w:sz="0" w:space="0" w:color="auto"/>
        <w:right w:val="none" w:sz="0" w:space="0" w:color="auto"/>
      </w:divBdr>
    </w:div>
    <w:div w:id="840656474">
      <w:bodyDiv w:val="1"/>
      <w:marLeft w:val="0"/>
      <w:marRight w:val="0"/>
      <w:marTop w:val="0"/>
      <w:marBottom w:val="0"/>
      <w:divBdr>
        <w:top w:val="none" w:sz="0" w:space="0" w:color="auto"/>
        <w:left w:val="none" w:sz="0" w:space="0" w:color="auto"/>
        <w:bottom w:val="none" w:sz="0" w:space="0" w:color="auto"/>
        <w:right w:val="none" w:sz="0" w:space="0" w:color="auto"/>
      </w:divBdr>
    </w:div>
    <w:div w:id="840657313">
      <w:bodyDiv w:val="1"/>
      <w:marLeft w:val="0"/>
      <w:marRight w:val="0"/>
      <w:marTop w:val="0"/>
      <w:marBottom w:val="0"/>
      <w:divBdr>
        <w:top w:val="none" w:sz="0" w:space="0" w:color="auto"/>
        <w:left w:val="none" w:sz="0" w:space="0" w:color="auto"/>
        <w:bottom w:val="none" w:sz="0" w:space="0" w:color="auto"/>
        <w:right w:val="none" w:sz="0" w:space="0" w:color="auto"/>
      </w:divBdr>
    </w:div>
    <w:div w:id="840662464">
      <w:bodyDiv w:val="1"/>
      <w:marLeft w:val="0"/>
      <w:marRight w:val="0"/>
      <w:marTop w:val="0"/>
      <w:marBottom w:val="0"/>
      <w:divBdr>
        <w:top w:val="none" w:sz="0" w:space="0" w:color="auto"/>
        <w:left w:val="none" w:sz="0" w:space="0" w:color="auto"/>
        <w:bottom w:val="none" w:sz="0" w:space="0" w:color="auto"/>
        <w:right w:val="none" w:sz="0" w:space="0" w:color="auto"/>
      </w:divBdr>
    </w:div>
    <w:div w:id="840698522">
      <w:bodyDiv w:val="1"/>
      <w:marLeft w:val="0"/>
      <w:marRight w:val="0"/>
      <w:marTop w:val="0"/>
      <w:marBottom w:val="0"/>
      <w:divBdr>
        <w:top w:val="none" w:sz="0" w:space="0" w:color="auto"/>
        <w:left w:val="none" w:sz="0" w:space="0" w:color="auto"/>
        <w:bottom w:val="none" w:sz="0" w:space="0" w:color="auto"/>
        <w:right w:val="none" w:sz="0" w:space="0" w:color="auto"/>
      </w:divBdr>
    </w:div>
    <w:div w:id="840704908">
      <w:bodyDiv w:val="1"/>
      <w:marLeft w:val="0"/>
      <w:marRight w:val="0"/>
      <w:marTop w:val="0"/>
      <w:marBottom w:val="0"/>
      <w:divBdr>
        <w:top w:val="none" w:sz="0" w:space="0" w:color="auto"/>
        <w:left w:val="none" w:sz="0" w:space="0" w:color="auto"/>
        <w:bottom w:val="none" w:sz="0" w:space="0" w:color="auto"/>
        <w:right w:val="none" w:sz="0" w:space="0" w:color="auto"/>
      </w:divBdr>
    </w:div>
    <w:div w:id="840851624">
      <w:bodyDiv w:val="1"/>
      <w:marLeft w:val="0"/>
      <w:marRight w:val="0"/>
      <w:marTop w:val="0"/>
      <w:marBottom w:val="0"/>
      <w:divBdr>
        <w:top w:val="none" w:sz="0" w:space="0" w:color="auto"/>
        <w:left w:val="none" w:sz="0" w:space="0" w:color="auto"/>
        <w:bottom w:val="none" w:sz="0" w:space="0" w:color="auto"/>
        <w:right w:val="none" w:sz="0" w:space="0" w:color="auto"/>
      </w:divBdr>
    </w:div>
    <w:div w:id="840970977">
      <w:bodyDiv w:val="1"/>
      <w:marLeft w:val="0"/>
      <w:marRight w:val="0"/>
      <w:marTop w:val="0"/>
      <w:marBottom w:val="0"/>
      <w:divBdr>
        <w:top w:val="none" w:sz="0" w:space="0" w:color="auto"/>
        <w:left w:val="none" w:sz="0" w:space="0" w:color="auto"/>
        <w:bottom w:val="none" w:sz="0" w:space="0" w:color="auto"/>
        <w:right w:val="none" w:sz="0" w:space="0" w:color="auto"/>
      </w:divBdr>
    </w:div>
    <w:div w:id="841043325">
      <w:bodyDiv w:val="1"/>
      <w:marLeft w:val="0"/>
      <w:marRight w:val="0"/>
      <w:marTop w:val="0"/>
      <w:marBottom w:val="0"/>
      <w:divBdr>
        <w:top w:val="none" w:sz="0" w:space="0" w:color="auto"/>
        <w:left w:val="none" w:sz="0" w:space="0" w:color="auto"/>
        <w:bottom w:val="none" w:sz="0" w:space="0" w:color="auto"/>
        <w:right w:val="none" w:sz="0" w:space="0" w:color="auto"/>
      </w:divBdr>
    </w:div>
    <w:div w:id="841044115">
      <w:bodyDiv w:val="1"/>
      <w:marLeft w:val="0"/>
      <w:marRight w:val="0"/>
      <w:marTop w:val="0"/>
      <w:marBottom w:val="0"/>
      <w:divBdr>
        <w:top w:val="none" w:sz="0" w:space="0" w:color="auto"/>
        <w:left w:val="none" w:sz="0" w:space="0" w:color="auto"/>
        <w:bottom w:val="none" w:sz="0" w:space="0" w:color="auto"/>
        <w:right w:val="none" w:sz="0" w:space="0" w:color="auto"/>
      </w:divBdr>
    </w:div>
    <w:div w:id="841044667">
      <w:bodyDiv w:val="1"/>
      <w:marLeft w:val="0"/>
      <w:marRight w:val="0"/>
      <w:marTop w:val="0"/>
      <w:marBottom w:val="0"/>
      <w:divBdr>
        <w:top w:val="none" w:sz="0" w:space="0" w:color="auto"/>
        <w:left w:val="none" w:sz="0" w:space="0" w:color="auto"/>
        <w:bottom w:val="none" w:sz="0" w:space="0" w:color="auto"/>
        <w:right w:val="none" w:sz="0" w:space="0" w:color="auto"/>
      </w:divBdr>
    </w:div>
    <w:div w:id="841120799">
      <w:bodyDiv w:val="1"/>
      <w:marLeft w:val="0"/>
      <w:marRight w:val="0"/>
      <w:marTop w:val="0"/>
      <w:marBottom w:val="0"/>
      <w:divBdr>
        <w:top w:val="none" w:sz="0" w:space="0" w:color="auto"/>
        <w:left w:val="none" w:sz="0" w:space="0" w:color="auto"/>
        <w:bottom w:val="none" w:sz="0" w:space="0" w:color="auto"/>
        <w:right w:val="none" w:sz="0" w:space="0" w:color="auto"/>
      </w:divBdr>
    </w:div>
    <w:div w:id="841240446">
      <w:bodyDiv w:val="1"/>
      <w:marLeft w:val="0"/>
      <w:marRight w:val="0"/>
      <w:marTop w:val="0"/>
      <w:marBottom w:val="0"/>
      <w:divBdr>
        <w:top w:val="none" w:sz="0" w:space="0" w:color="auto"/>
        <w:left w:val="none" w:sz="0" w:space="0" w:color="auto"/>
        <w:bottom w:val="none" w:sz="0" w:space="0" w:color="auto"/>
        <w:right w:val="none" w:sz="0" w:space="0" w:color="auto"/>
      </w:divBdr>
    </w:div>
    <w:div w:id="841286134">
      <w:bodyDiv w:val="1"/>
      <w:marLeft w:val="0"/>
      <w:marRight w:val="0"/>
      <w:marTop w:val="0"/>
      <w:marBottom w:val="0"/>
      <w:divBdr>
        <w:top w:val="none" w:sz="0" w:space="0" w:color="auto"/>
        <w:left w:val="none" w:sz="0" w:space="0" w:color="auto"/>
        <w:bottom w:val="none" w:sz="0" w:space="0" w:color="auto"/>
        <w:right w:val="none" w:sz="0" w:space="0" w:color="auto"/>
      </w:divBdr>
    </w:div>
    <w:div w:id="841509643">
      <w:bodyDiv w:val="1"/>
      <w:marLeft w:val="0"/>
      <w:marRight w:val="0"/>
      <w:marTop w:val="0"/>
      <w:marBottom w:val="0"/>
      <w:divBdr>
        <w:top w:val="none" w:sz="0" w:space="0" w:color="auto"/>
        <w:left w:val="none" w:sz="0" w:space="0" w:color="auto"/>
        <w:bottom w:val="none" w:sz="0" w:space="0" w:color="auto"/>
        <w:right w:val="none" w:sz="0" w:space="0" w:color="auto"/>
      </w:divBdr>
    </w:div>
    <w:div w:id="841622762">
      <w:bodyDiv w:val="1"/>
      <w:marLeft w:val="0"/>
      <w:marRight w:val="0"/>
      <w:marTop w:val="0"/>
      <w:marBottom w:val="0"/>
      <w:divBdr>
        <w:top w:val="none" w:sz="0" w:space="0" w:color="auto"/>
        <w:left w:val="none" w:sz="0" w:space="0" w:color="auto"/>
        <w:bottom w:val="none" w:sz="0" w:space="0" w:color="auto"/>
        <w:right w:val="none" w:sz="0" w:space="0" w:color="auto"/>
      </w:divBdr>
    </w:div>
    <w:div w:id="841623451">
      <w:bodyDiv w:val="1"/>
      <w:marLeft w:val="0"/>
      <w:marRight w:val="0"/>
      <w:marTop w:val="0"/>
      <w:marBottom w:val="0"/>
      <w:divBdr>
        <w:top w:val="none" w:sz="0" w:space="0" w:color="auto"/>
        <w:left w:val="none" w:sz="0" w:space="0" w:color="auto"/>
        <w:bottom w:val="none" w:sz="0" w:space="0" w:color="auto"/>
        <w:right w:val="none" w:sz="0" w:space="0" w:color="auto"/>
      </w:divBdr>
    </w:div>
    <w:div w:id="841629355">
      <w:bodyDiv w:val="1"/>
      <w:marLeft w:val="0"/>
      <w:marRight w:val="0"/>
      <w:marTop w:val="0"/>
      <w:marBottom w:val="0"/>
      <w:divBdr>
        <w:top w:val="none" w:sz="0" w:space="0" w:color="auto"/>
        <w:left w:val="none" w:sz="0" w:space="0" w:color="auto"/>
        <w:bottom w:val="none" w:sz="0" w:space="0" w:color="auto"/>
        <w:right w:val="none" w:sz="0" w:space="0" w:color="auto"/>
      </w:divBdr>
    </w:div>
    <w:div w:id="841775227">
      <w:bodyDiv w:val="1"/>
      <w:marLeft w:val="0"/>
      <w:marRight w:val="0"/>
      <w:marTop w:val="0"/>
      <w:marBottom w:val="0"/>
      <w:divBdr>
        <w:top w:val="none" w:sz="0" w:space="0" w:color="auto"/>
        <w:left w:val="none" w:sz="0" w:space="0" w:color="auto"/>
        <w:bottom w:val="none" w:sz="0" w:space="0" w:color="auto"/>
        <w:right w:val="none" w:sz="0" w:space="0" w:color="auto"/>
      </w:divBdr>
    </w:div>
    <w:div w:id="842090439">
      <w:bodyDiv w:val="1"/>
      <w:marLeft w:val="0"/>
      <w:marRight w:val="0"/>
      <w:marTop w:val="0"/>
      <w:marBottom w:val="0"/>
      <w:divBdr>
        <w:top w:val="none" w:sz="0" w:space="0" w:color="auto"/>
        <w:left w:val="none" w:sz="0" w:space="0" w:color="auto"/>
        <w:bottom w:val="none" w:sz="0" w:space="0" w:color="auto"/>
        <w:right w:val="none" w:sz="0" w:space="0" w:color="auto"/>
      </w:divBdr>
    </w:div>
    <w:div w:id="842167887">
      <w:bodyDiv w:val="1"/>
      <w:marLeft w:val="0"/>
      <w:marRight w:val="0"/>
      <w:marTop w:val="0"/>
      <w:marBottom w:val="0"/>
      <w:divBdr>
        <w:top w:val="none" w:sz="0" w:space="0" w:color="auto"/>
        <w:left w:val="none" w:sz="0" w:space="0" w:color="auto"/>
        <w:bottom w:val="none" w:sz="0" w:space="0" w:color="auto"/>
        <w:right w:val="none" w:sz="0" w:space="0" w:color="auto"/>
      </w:divBdr>
    </w:div>
    <w:div w:id="842205209">
      <w:bodyDiv w:val="1"/>
      <w:marLeft w:val="0"/>
      <w:marRight w:val="0"/>
      <w:marTop w:val="0"/>
      <w:marBottom w:val="0"/>
      <w:divBdr>
        <w:top w:val="none" w:sz="0" w:space="0" w:color="auto"/>
        <w:left w:val="none" w:sz="0" w:space="0" w:color="auto"/>
        <w:bottom w:val="none" w:sz="0" w:space="0" w:color="auto"/>
        <w:right w:val="none" w:sz="0" w:space="0" w:color="auto"/>
      </w:divBdr>
    </w:div>
    <w:div w:id="842209180">
      <w:bodyDiv w:val="1"/>
      <w:marLeft w:val="0"/>
      <w:marRight w:val="0"/>
      <w:marTop w:val="0"/>
      <w:marBottom w:val="0"/>
      <w:divBdr>
        <w:top w:val="none" w:sz="0" w:space="0" w:color="auto"/>
        <w:left w:val="none" w:sz="0" w:space="0" w:color="auto"/>
        <w:bottom w:val="none" w:sz="0" w:space="0" w:color="auto"/>
        <w:right w:val="none" w:sz="0" w:space="0" w:color="auto"/>
      </w:divBdr>
    </w:div>
    <w:div w:id="842359836">
      <w:bodyDiv w:val="1"/>
      <w:marLeft w:val="0"/>
      <w:marRight w:val="0"/>
      <w:marTop w:val="0"/>
      <w:marBottom w:val="0"/>
      <w:divBdr>
        <w:top w:val="none" w:sz="0" w:space="0" w:color="auto"/>
        <w:left w:val="none" w:sz="0" w:space="0" w:color="auto"/>
        <w:bottom w:val="none" w:sz="0" w:space="0" w:color="auto"/>
        <w:right w:val="none" w:sz="0" w:space="0" w:color="auto"/>
      </w:divBdr>
    </w:div>
    <w:div w:id="842360202">
      <w:bodyDiv w:val="1"/>
      <w:marLeft w:val="0"/>
      <w:marRight w:val="0"/>
      <w:marTop w:val="0"/>
      <w:marBottom w:val="0"/>
      <w:divBdr>
        <w:top w:val="none" w:sz="0" w:space="0" w:color="auto"/>
        <w:left w:val="none" w:sz="0" w:space="0" w:color="auto"/>
        <w:bottom w:val="none" w:sz="0" w:space="0" w:color="auto"/>
        <w:right w:val="none" w:sz="0" w:space="0" w:color="auto"/>
      </w:divBdr>
    </w:div>
    <w:div w:id="842428936">
      <w:bodyDiv w:val="1"/>
      <w:marLeft w:val="0"/>
      <w:marRight w:val="0"/>
      <w:marTop w:val="0"/>
      <w:marBottom w:val="0"/>
      <w:divBdr>
        <w:top w:val="none" w:sz="0" w:space="0" w:color="auto"/>
        <w:left w:val="none" w:sz="0" w:space="0" w:color="auto"/>
        <w:bottom w:val="none" w:sz="0" w:space="0" w:color="auto"/>
        <w:right w:val="none" w:sz="0" w:space="0" w:color="auto"/>
      </w:divBdr>
    </w:div>
    <w:div w:id="842430825">
      <w:bodyDiv w:val="1"/>
      <w:marLeft w:val="0"/>
      <w:marRight w:val="0"/>
      <w:marTop w:val="0"/>
      <w:marBottom w:val="0"/>
      <w:divBdr>
        <w:top w:val="none" w:sz="0" w:space="0" w:color="auto"/>
        <w:left w:val="none" w:sz="0" w:space="0" w:color="auto"/>
        <w:bottom w:val="none" w:sz="0" w:space="0" w:color="auto"/>
        <w:right w:val="none" w:sz="0" w:space="0" w:color="auto"/>
      </w:divBdr>
    </w:div>
    <w:div w:id="842431384">
      <w:bodyDiv w:val="1"/>
      <w:marLeft w:val="0"/>
      <w:marRight w:val="0"/>
      <w:marTop w:val="0"/>
      <w:marBottom w:val="0"/>
      <w:divBdr>
        <w:top w:val="none" w:sz="0" w:space="0" w:color="auto"/>
        <w:left w:val="none" w:sz="0" w:space="0" w:color="auto"/>
        <w:bottom w:val="none" w:sz="0" w:space="0" w:color="auto"/>
        <w:right w:val="none" w:sz="0" w:space="0" w:color="auto"/>
      </w:divBdr>
    </w:div>
    <w:div w:id="842547162">
      <w:bodyDiv w:val="1"/>
      <w:marLeft w:val="0"/>
      <w:marRight w:val="0"/>
      <w:marTop w:val="0"/>
      <w:marBottom w:val="0"/>
      <w:divBdr>
        <w:top w:val="none" w:sz="0" w:space="0" w:color="auto"/>
        <w:left w:val="none" w:sz="0" w:space="0" w:color="auto"/>
        <w:bottom w:val="none" w:sz="0" w:space="0" w:color="auto"/>
        <w:right w:val="none" w:sz="0" w:space="0" w:color="auto"/>
      </w:divBdr>
    </w:div>
    <w:div w:id="842627763">
      <w:bodyDiv w:val="1"/>
      <w:marLeft w:val="0"/>
      <w:marRight w:val="0"/>
      <w:marTop w:val="0"/>
      <w:marBottom w:val="0"/>
      <w:divBdr>
        <w:top w:val="none" w:sz="0" w:space="0" w:color="auto"/>
        <w:left w:val="none" w:sz="0" w:space="0" w:color="auto"/>
        <w:bottom w:val="none" w:sz="0" w:space="0" w:color="auto"/>
        <w:right w:val="none" w:sz="0" w:space="0" w:color="auto"/>
      </w:divBdr>
    </w:div>
    <w:div w:id="842738672">
      <w:bodyDiv w:val="1"/>
      <w:marLeft w:val="0"/>
      <w:marRight w:val="0"/>
      <w:marTop w:val="0"/>
      <w:marBottom w:val="0"/>
      <w:divBdr>
        <w:top w:val="none" w:sz="0" w:space="0" w:color="auto"/>
        <w:left w:val="none" w:sz="0" w:space="0" w:color="auto"/>
        <w:bottom w:val="none" w:sz="0" w:space="0" w:color="auto"/>
        <w:right w:val="none" w:sz="0" w:space="0" w:color="auto"/>
      </w:divBdr>
    </w:div>
    <w:div w:id="842934723">
      <w:bodyDiv w:val="1"/>
      <w:marLeft w:val="0"/>
      <w:marRight w:val="0"/>
      <w:marTop w:val="0"/>
      <w:marBottom w:val="0"/>
      <w:divBdr>
        <w:top w:val="none" w:sz="0" w:space="0" w:color="auto"/>
        <w:left w:val="none" w:sz="0" w:space="0" w:color="auto"/>
        <w:bottom w:val="none" w:sz="0" w:space="0" w:color="auto"/>
        <w:right w:val="none" w:sz="0" w:space="0" w:color="auto"/>
      </w:divBdr>
    </w:div>
    <w:div w:id="843013616">
      <w:bodyDiv w:val="1"/>
      <w:marLeft w:val="0"/>
      <w:marRight w:val="0"/>
      <w:marTop w:val="0"/>
      <w:marBottom w:val="0"/>
      <w:divBdr>
        <w:top w:val="none" w:sz="0" w:space="0" w:color="auto"/>
        <w:left w:val="none" w:sz="0" w:space="0" w:color="auto"/>
        <w:bottom w:val="none" w:sz="0" w:space="0" w:color="auto"/>
        <w:right w:val="none" w:sz="0" w:space="0" w:color="auto"/>
      </w:divBdr>
    </w:div>
    <w:div w:id="843056985">
      <w:bodyDiv w:val="1"/>
      <w:marLeft w:val="0"/>
      <w:marRight w:val="0"/>
      <w:marTop w:val="0"/>
      <w:marBottom w:val="0"/>
      <w:divBdr>
        <w:top w:val="none" w:sz="0" w:space="0" w:color="auto"/>
        <w:left w:val="none" w:sz="0" w:space="0" w:color="auto"/>
        <w:bottom w:val="none" w:sz="0" w:space="0" w:color="auto"/>
        <w:right w:val="none" w:sz="0" w:space="0" w:color="auto"/>
      </w:divBdr>
    </w:div>
    <w:div w:id="843083060">
      <w:bodyDiv w:val="1"/>
      <w:marLeft w:val="0"/>
      <w:marRight w:val="0"/>
      <w:marTop w:val="0"/>
      <w:marBottom w:val="0"/>
      <w:divBdr>
        <w:top w:val="none" w:sz="0" w:space="0" w:color="auto"/>
        <w:left w:val="none" w:sz="0" w:space="0" w:color="auto"/>
        <w:bottom w:val="none" w:sz="0" w:space="0" w:color="auto"/>
        <w:right w:val="none" w:sz="0" w:space="0" w:color="auto"/>
      </w:divBdr>
    </w:div>
    <w:div w:id="843276348">
      <w:bodyDiv w:val="1"/>
      <w:marLeft w:val="0"/>
      <w:marRight w:val="0"/>
      <w:marTop w:val="0"/>
      <w:marBottom w:val="0"/>
      <w:divBdr>
        <w:top w:val="none" w:sz="0" w:space="0" w:color="auto"/>
        <w:left w:val="none" w:sz="0" w:space="0" w:color="auto"/>
        <w:bottom w:val="none" w:sz="0" w:space="0" w:color="auto"/>
        <w:right w:val="none" w:sz="0" w:space="0" w:color="auto"/>
      </w:divBdr>
    </w:div>
    <w:div w:id="843326909">
      <w:bodyDiv w:val="1"/>
      <w:marLeft w:val="0"/>
      <w:marRight w:val="0"/>
      <w:marTop w:val="0"/>
      <w:marBottom w:val="0"/>
      <w:divBdr>
        <w:top w:val="none" w:sz="0" w:space="0" w:color="auto"/>
        <w:left w:val="none" w:sz="0" w:space="0" w:color="auto"/>
        <w:bottom w:val="none" w:sz="0" w:space="0" w:color="auto"/>
        <w:right w:val="none" w:sz="0" w:space="0" w:color="auto"/>
      </w:divBdr>
    </w:div>
    <w:div w:id="843400972">
      <w:bodyDiv w:val="1"/>
      <w:marLeft w:val="0"/>
      <w:marRight w:val="0"/>
      <w:marTop w:val="0"/>
      <w:marBottom w:val="0"/>
      <w:divBdr>
        <w:top w:val="none" w:sz="0" w:space="0" w:color="auto"/>
        <w:left w:val="none" w:sz="0" w:space="0" w:color="auto"/>
        <w:bottom w:val="none" w:sz="0" w:space="0" w:color="auto"/>
        <w:right w:val="none" w:sz="0" w:space="0" w:color="auto"/>
      </w:divBdr>
    </w:div>
    <w:div w:id="843402335">
      <w:bodyDiv w:val="1"/>
      <w:marLeft w:val="0"/>
      <w:marRight w:val="0"/>
      <w:marTop w:val="0"/>
      <w:marBottom w:val="0"/>
      <w:divBdr>
        <w:top w:val="none" w:sz="0" w:space="0" w:color="auto"/>
        <w:left w:val="none" w:sz="0" w:space="0" w:color="auto"/>
        <w:bottom w:val="none" w:sz="0" w:space="0" w:color="auto"/>
        <w:right w:val="none" w:sz="0" w:space="0" w:color="auto"/>
      </w:divBdr>
    </w:div>
    <w:div w:id="843546141">
      <w:bodyDiv w:val="1"/>
      <w:marLeft w:val="0"/>
      <w:marRight w:val="0"/>
      <w:marTop w:val="0"/>
      <w:marBottom w:val="0"/>
      <w:divBdr>
        <w:top w:val="none" w:sz="0" w:space="0" w:color="auto"/>
        <w:left w:val="none" w:sz="0" w:space="0" w:color="auto"/>
        <w:bottom w:val="none" w:sz="0" w:space="0" w:color="auto"/>
        <w:right w:val="none" w:sz="0" w:space="0" w:color="auto"/>
      </w:divBdr>
    </w:div>
    <w:div w:id="843714259">
      <w:bodyDiv w:val="1"/>
      <w:marLeft w:val="0"/>
      <w:marRight w:val="0"/>
      <w:marTop w:val="0"/>
      <w:marBottom w:val="0"/>
      <w:divBdr>
        <w:top w:val="none" w:sz="0" w:space="0" w:color="auto"/>
        <w:left w:val="none" w:sz="0" w:space="0" w:color="auto"/>
        <w:bottom w:val="none" w:sz="0" w:space="0" w:color="auto"/>
        <w:right w:val="none" w:sz="0" w:space="0" w:color="auto"/>
      </w:divBdr>
    </w:div>
    <w:div w:id="843784124">
      <w:bodyDiv w:val="1"/>
      <w:marLeft w:val="0"/>
      <w:marRight w:val="0"/>
      <w:marTop w:val="0"/>
      <w:marBottom w:val="0"/>
      <w:divBdr>
        <w:top w:val="none" w:sz="0" w:space="0" w:color="auto"/>
        <w:left w:val="none" w:sz="0" w:space="0" w:color="auto"/>
        <w:bottom w:val="none" w:sz="0" w:space="0" w:color="auto"/>
        <w:right w:val="none" w:sz="0" w:space="0" w:color="auto"/>
      </w:divBdr>
    </w:div>
    <w:div w:id="843784954">
      <w:bodyDiv w:val="1"/>
      <w:marLeft w:val="0"/>
      <w:marRight w:val="0"/>
      <w:marTop w:val="0"/>
      <w:marBottom w:val="0"/>
      <w:divBdr>
        <w:top w:val="none" w:sz="0" w:space="0" w:color="auto"/>
        <w:left w:val="none" w:sz="0" w:space="0" w:color="auto"/>
        <w:bottom w:val="none" w:sz="0" w:space="0" w:color="auto"/>
        <w:right w:val="none" w:sz="0" w:space="0" w:color="auto"/>
      </w:divBdr>
    </w:div>
    <w:div w:id="843787482">
      <w:bodyDiv w:val="1"/>
      <w:marLeft w:val="0"/>
      <w:marRight w:val="0"/>
      <w:marTop w:val="0"/>
      <w:marBottom w:val="0"/>
      <w:divBdr>
        <w:top w:val="none" w:sz="0" w:space="0" w:color="auto"/>
        <w:left w:val="none" w:sz="0" w:space="0" w:color="auto"/>
        <w:bottom w:val="none" w:sz="0" w:space="0" w:color="auto"/>
        <w:right w:val="none" w:sz="0" w:space="0" w:color="auto"/>
      </w:divBdr>
    </w:div>
    <w:div w:id="843788632">
      <w:bodyDiv w:val="1"/>
      <w:marLeft w:val="0"/>
      <w:marRight w:val="0"/>
      <w:marTop w:val="0"/>
      <w:marBottom w:val="0"/>
      <w:divBdr>
        <w:top w:val="none" w:sz="0" w:space="0" w:color="auto"/>
        <w:left w:val="none" w:sz="0" w:space="0" w:color="auto"/>
        <w:bottom w:val="none" w:sz="0" w:space="0" w:color="auto"/>
        <w:right w:val="none" w:sz="0" w:space="0" w:color="auto"/>
      </w:divBdr>
    </w:div>
    <w:div w:id="843863836">
      <w:bodyDiv w:val="1"/>
      <w:marLeft w:val="0"/>
      <w:marRight w:val="0"/>
      <w:marTop w:val="0"/>
      <w:marBottom w:val="0"/>
      <w:divBdr>
        <w:top w:val="none" w:sz="0" w:space="0" w:color="auto"/>
        <w:left w:val="none" w:sz="0" w:space="0" w:color="auto"/>
        <w:bottom w:val="none" w:sz="0" w:space="0" w:color="auto"/>
        <w:right w:val="none" w:sz="0" w:space="0" w:color="auto"/>
      </w:divBdr>
    </w:div>
    <w:div w:id="843932230">
      <w:bodyDiv w:val="1"/>
      <w:marLeft w:val="0"/>
      <w:marRight w:val="0"/>
      <w:marTop w:val="0"/>
      <w:marBottom w:val="0"/>
      <w:divBdr>
        <w:top w:val="none" w:sz="0" w:space="0" w:color="auto"/>
        <w:left w:val="none" w:sz="0" w:space="0" w:color="auto"/>
        <w:bottom w:val="none" w:sz="0" w:space="0" w:color="auto"/>
        <w:right w:val="none" w:sz="0" w:space="0" w:color="auto"/>
      </w:divBdr>
    </w:div>
    <w:div w:id="843935647">
      <w:bodyDiv w:val="1"/>
      <w:marLeft w:val="0"/>
      <w:marRight w:val="0"/>
      <w:marTop w:val="0"/>
      <w:marBottom w:val="0"/>
      <w:divBdr>
        <w:top w:val="none" w:sz="0" w:space="0" w:color="auto"/>
        <w:left w:val="none" w:sz="0" w:space="0" w:color="auto"/>
        <w:bottom w:val="none" w:sz="0" w:space="0" w:color="auto"/>
        <w:right w:val="none" w:sz="0" w:space="0" w:color="auto"/>
      </w:divBdr>
    </w:div>
    <w:div w:id="844131759">
      <w:bodyDiv w:val="1"/>
      <w:marLeft w:val="0"/>
      <w:marRight w:val="0"/>
      <w:marTop w:val="0"/>
      <w:marBottom w:val="0"/>
      <w:divBdr>
        <w:top w:val="none" w:sz="0" w:space="0" w:color="auto"/>
        <w:left w:val="none" w:sz="0" w:space="0" w:color="auto"/>
        <w:bottom w:val="none" w:sz="0" w:space="0" w:color="auto"/>
        <w:right w:val="none" w:sz="0" w:space="0" w:color="auto"/>
      </w:divBdr>
    </w:div>
    <w:div w:id="844247568">
      <w:bodyDiv w:val="1"/>
      <w:marLeft w:val="0"/>
      <w:marRight w:val="0"/>
      <w:marTop w:val="0"/>
      <w:marBottom w:val="0"/>
      <w:divBdr>
        <w:top w:val="none" w:sz="0" w:space="0" w:color="auto"/>
        <w:left w:val="none" w:sz="0" w:space="0" w:color="auto"/>
        <w:bottom w:val="none" w:sz="0" w:space="0" w:color="auto"/>
        <w:right w:val="none" w:sz="0" w:space="0" w:color="auto"/>
      </w:divBdr>
    </w:div>
    <w:div w:id="844515341">
      <w:bodyDiv w:val="1"/>
      <w:marLeft w:val="0"/>
      <w:marRight w:val="0"/>
      <w:marTop w:val="0"/>
      <w:marBottom w:val="0"/>
      <w:divBdr>
        <w:top w:val="none" w:sz="0" w:space="0" w:color="auto"/>
        <w:left w:val="none" w:sz="0" w:space="0" w:color="auto"/>
        <w:bottom w:val="none" w:sz="0" w:space="0" w:color="auto"/>
        <w:right w:val="none" w:sz="0" w:space="0" w:color="auto"/>
      </w:divBdr>
    </w:div>
    <w:div w:id="844588711">
      <w:bodyDiv w:val="1"/>
      <w:marLeft w:val="0"/>
      <w:marRight w:val="0"/>
      <w:marTop w:val="0"/>
      <w:marBottom w:val="0"/>
      <w:divBdr>
        <w:top w:val="none" w:sz="0" w:space="0" w:color="auto"/>
        <w:left w:val="none" w:sz="0" w:space="0" w:color="auto"/>
        <w:bottom w:val="none" w:sz="0" w:space="0" w:color="auto"/>
        <w:right w:val="none" w:sz="0" w:space="0" w:color="auto"/>
      </w:divBdr>
    </w:div>
    <w:div w:id="844591319">
      <w:bodyDiv w:val="1"/>
      <w:marLeft w:val="0"/>
      <w:marRight w:val="0"/>
      <w:marTop w:val="0"/>
      <w:marBottom w:val="0"/>
      <w:divBdr>
        <w:top w:val="none" w:sz="0" w:space="0" w:color="auto"/>
        <w:left w:val="none" w:sz="0" w:space="0" w:color="auto"/>
        <w:bottom w:val="none" w:sz="0" w:space="0" w:color="auto"/>
        <w:right w:val="none" w:sz="0" w:space="0" w:color="auto"/>
      </w:divBdr>
    </w:div>
    <w:div w:id="844712262">
      <w:bodyDiv w:val="1"/>
      <w:marLeft w:val="0"/>
      <w:marRight w:val="0"/>
      <w:marTop w:val="0"/>
      <w:marBottom w:val="0"/>
      <w:divBdr>
        <w:top w:val="none" w:sz="0" w:space="0" w:color="auto"/>
        <w:left w:val="none" w:sz="0" w:space="0" w:color="auto"/>
        <w:bottom w:val="none" w:sz="0" w:space="0" w:color="auto"/>
        <w:right w:val="none" w:sz="0" w:space="0" w:color="auto"/>
      </w:divBdr>
    </w:div>
    <w:div w:id="844786100">
      <w:bodyDiv w:val="1"/>
      <w:marLeft w:val="0"/>
      <w:marRight w:val="0"/>
      <w:marTop w:val="0"/>
      <w:marBottom w:val="0"/>
      <w:divBdr>
        <w:top w:val="none" w:sz="0" w:space="0" w:color="auto"/>
        <w:left w:val="none" w:sz="0" w:space="0" w:color="auto"/>
        <w:bottom w:val="none" w:sz="0" w:space="0" w:color="auto"/>
        <w:right w:val="none" w:sz="0" w:space="0" w:color="auto"/>
      </w:divBdr>
    </w:div>
    <w:div w:id="844906491">
      <w:bodyDiv w:val="1"/>
      <w:marLeft w:val="0"/>
      <w:marRight w:val="0"/>
      <w:marTop w:val="0"/>
      <w:marBottom w:val="0"/>
      <w:divBdr>
        <w:top w:val="none" w:sz="0" w:space="0" w:color="auto"/>
        <w:left w:val="none" w:sz="0" w:space="0" w:color="auto"/>
        <w:bottom w:val="none" w:sz="0" w:space="0" w:color="auto"/>
        <w:right w:val="none" w:sz="0" w:space="0" w:color="auto"/>
      </w:divBdr>
    </w:div>
    <w:div w:id="845095276">
      <w:bodyDiv w:val="1"/>
      <w:marLeft w:val="0"/>
      <w:marRight w:val="0"/>
      <w:marTop w:val="0"/>
      <w:marBottom w:val="0"/>
      <w:divBdr>
        <w:top w:val="none" w:sz="0" w:space="0" w:color="auto"/>
        <w:left w:val="none" w:sz="0" w:space="0" w:color="auto"/>
        <w:bottom w:val="none" w:sz="0" w:space="0" w:color="auto"/>
        <w:right w:val="none" w:sz="0" w:space="0" w:color="auto"/>
      </w:divBdr>
    </w:div>
    <w:div w:id="845095501">
      <w:bodyDiv w:val="1"/>
      <w:marLeft w:val="0"/>
      <w:marRight w:val="0"/>
      <w:marTop w:val="0"/>
      <w:marBottom w:val="0"/>
      <w:divBdr>
        <w:top w:val="none" w:sz="0" w:space="0" w:color="auto"/>
        <w:left w:val="none" w:sz="0" w:space="0" w:color="auto"/>
        <w:bottom w:val="none" w:sz="0" w:space="0" w:color="auto"/>
        <w:right w:val="none" w:sz="0" w:space="0" w:color="auto"/>
      </w:divBdr>
    </w:div>
    <w:div w:id="845168364">
      <w:bodyDiv w:val="1"/>
      <w:marLeft w:val="0"/>
      <w:marRight w:val="0"/>
      <w:marTop w:val="0"/>
      <w:marBottom w:val="0"/>
      <w:divBdr>
        <w:top w:val="none" w:sz="0" w:space="0" w:color="auto"/>
        <w:left w:val="none" w:sz="0" w:space="0" w:color="auto"/>
        <w:bottom w:val="none" w:sz="0" w:space="0" w:color="auto"/>
        <w:right w:val="none" w:sz="0" w:space="0" w:color="auto"/>
      </w:divBdr>
    </w:div>
    <w:div w:id="845243157">
      <w:bodyDiv w:val="1"/>
      <w:marLeft w:val="0"/>
      <w:marRight w:val="0"/>
      <w:marTop w:val="0"/>
      <w:marBottom w:val="0"/>
      <w:divBdr>
        <w:top w:val="none" w:sz="0" w:space="0" w:color="auto"/>
        <w:left w:val="none" w:sz="0" w:space="0" w:color="auto"/>
        <w:bottom w:val="none" w:sz="0" w:space="0" w:color="auto"/>
        <w:right w:val="none" w:sz="0" w:space="0" w:color="auto"/>
      </w:divBdr>
    </w:div>
    <w:div w:id="845286193">
      <w:bodyDiv w:val="1"/>
      <w:marLeft w:val="0"/>
      <w:marRight w:val="0"/>
      <w:marTop w:val="0"/>
      <w:marBottom w:val="0"/>
      <w:divBdr>
        <w:top w:val="none" w:sz="0" w:space="0" w:color="auto"/>
        <w:left w:val="none" w:sz="0" w:space="0" w:color="auto"/>
        <w:bottom w:val="none" w:sz="0" w:space="0" w:color="auto"/>
        <w:right w:val="none" w:sz="0" w:space="0" w:color="auto"/>
      </w:divBdr>
    </w:div>
    <w:div w:id="845288998">
      <w:bodyDiv w:val="1"/>
      <w:marLeft w:val="0"/>
      <w:marRight w:val="0"/>
      <w:marTop w:val="0"/>
      <w:marBottom w:val="0"/>
      <w:divBdr>
        <w:top w:val="none" w:sz="0" w:space="0" w:color="auto"/>
        <w:left w:val="none" w:sz="0" w:space="0" w:color="auto"/>
        <w:bottom w:val="none" w:sz="0" w:space="0" w:color="auto"/>
        <w:right w:val="none" w:sz="0" w:space="0" w:color="auto"/>
      </w:divBdr>
    </w:div>
    <w:div w:id="845289317">
      <w:bodyDiv w:val="1"/>
      <w:marLeft w:val="0"/>
      <w:marRight w:val="0"/>
      <w:marTop w:val="0"/>
      <w:marBottom w:val="0"/>
      <w:divBdr>
        <w:top w:val="none" w:sz="0" w:space="0" w:color="auto"/>
        <w:left w:val="none" w:sz="0" w:space="0" w:color="auto"/>
        <w:bottom w:val="none" w:sz="0" w:space="0" w:color="auto"/>
        <w:right w:val="none" w:sz="0" w:space="0" w:color="auto"/>
      </w:divBdr>
    </w:div>
    <w:div w:id="845293336">
      <w:bodyDiv w:val="1"/>
      <w:marLeft w:val="0"/>
      <w:marRight w:val="0"/>
      <w:marTop w:val="0"/>
      <w:marBottom w:val="0"/>
      <w:divBdr>
        <w:top w:val="none" w:sz="0" w:space="0" w:color="auto"/>
        <w:left w:val="none" w:sz="0" w:space="0" w:color="auto"/>
        <w:bottom w:val="none" w:sz="0" w:space="0" w:color="auto"/>
        <w:right w:val="none" w:sz="0" w:space="0" w:color="auto"/>
      </w:divBdr>
    </w:div>
    <w:div w:id="845359988">
      <w:bodyDiv w:val="1"/>
      <w:marLeft w:val="0"/>
      <w:marRight w:val="0"/>
      <w:marTop w:val="0"/>
      <w:marBottom w:val="0"/>
      <w:divBdr>
        <w:top w:val="none" w:sz="0" w:space="0" w:color="auto"/>
        <w:left w:val="none" w:sz="0" w:space="0" w:color="auto"/>
        <w:bottom w:val="none" w:sz="0" w:space="0" w:color="auto"/>
        <w:right w:val="none" w:sz="0" w:space="0" w:color="auto"/>
      </w:divBdr>
    </w:div>
    <w:div w:id="845362427">
      <w:bodyDiv w:val="1"/>
      <w:marLeft w:val="0"/>
      <w:marRight w:val="0"/>
      <w:marTop w:val="0"/>
      <w:marBottom w:val="0"/>
      <w:divBdr>
        <w:top w:val="none" w:sz="0" w:space="0" w:color="auto"/>
        <w:left w:val="none" w:sz="0" w:space="0" w:color="auto"/>
        <w:bottom w:val="none" w:sz="0" w:space="0" w:color="auto"/>
        <w:right w:val="none" w:sz="0" w:space="0" w:color="auto"/>
      </w:divBdr>
    </w:div>
    <w:div w:id="845367349">
      <w:bodyDiv w:val="1"/>
      <w:marLeft w:val="0"/>
      <w:marRight w:val="0"/>
      <w:marTop w:val="0"/>
      <w:marBottom w:val="0"/>
      <w:divBdr>
        <w:top w:val="none" w:sz="0" w:space="0" w:color="auto"/>
        <w:left w:val="none" w:sz="0" w:space="0" w:color="auto"/>
        <w:bottom w:val="none" w:sz="0" w:space="0" w:color="auto"/>
        <w:right w:val="none" w:sz="0" w:space="0" w:color="auto"/>
      </w:divBdr>
    </w:div>
    <w:div w:id="845437723">
      <w:bodyDiv w:val="1"/>
      <w:marLeft w:val="0"/>
      <w:marRight w:val="0"/>
      <w:marTop w:val="0"/>
      <w:marBottom w:val="0"/>
      <w:divBdr>
        <w:top w:val="none" w:sz="0" w:space="0" w:color="auto"/>
        <w:left w:val="none" w:sz="0" w:space="0" w:color="auto"/>
        <w:bottom w:val="none" w:sz="0" w:space="0" w:color="auto"/>
        <w:right w:val="none" w:sz="0" w:space="0" w:color="auto"/>
      </w:divBdr>
    </w:div>
    <w:div w:id="845440437">
      <w:bodyDiv w:val="1"/>
      <w:marLeft w:val="0"/>
      <w:marRight w:val="0"/>
      <w:marTop w:val="0"/>
      <w:marBottom w:val="0"/>
      <w:divBdr>
        <w:top w:val="none" w:sz="0" w:space="0" w:color="auto"/>
        <w:left w:val="none" w:sz="0" w:space="0" w:color="auto"/>
        <w:bottom w:val="none" w:sz="0" w:space="0" w:color="auto"/>
        <w:right w:val="none" w:sz="0" w:space="0" w:color="auto"/>
      </w:divBdr>
    </w:div>
    <w:div w:id="845443485">
      <w:bodyDiv w:val="1"/>
      <w:marLeft w:val="0"/>
      <w:marRight w:val="0"/>
      <w:marTop w:val="0"/>
      <w:marBottom w:val="0"/>
      <w:divBdr>
        <w:top w:val="none" w:sz="0" w:space="0" w:color="auto"/>
        <w:left w:val="none" w:sz="0" w:space="0" w:color="auto"/>
        <w:bottom w:val="none" w:sz="0" w:space="0" w:color="auto"/>
        <w:right w:val="none" w:sz="0" w:space="0" w:color="auto"/>
      </w:divBdr>
    </w:div>
    <w:div w:id="845637748">
      <w:bodyDiv w:val="1"/>
      <w:marLeft w:val="0"/>
      <w:marRight w:val="0"/>
      <w:marTop w:val="0"/>
      <w:marBottom w:val="0"/>
      <w:divBdr>
        <w:top w:val="none" w:sz="0" w:space="0" w:color="auto"/>
        <w:left w:val="none" w:sz="0" w:space="0" w:color="auto"/>
        <w:bottom w:val="none" w:sz="0" w:space="0" w:color="auto"/>
        <w:right w:val="none" w:sz="0" w:space="0" w:color="auto"/>
      </w:divBdr>
    </w:div>
    <w:div w:id="845707169">
      <w:bodyDiv w:val="1"/>
      <w:marLeft w:val="0"/>
      <w:marRight w:val="0"/>
      <w:marTop w:val="0"/>
      <w:marBottom w:val="0"/>
      <w:divBdr>
        <w:top w:val="none" w:sz="0" w:space="0" w:color="auto"/>
        <w:left w:val="none" w:sz="0" w:space="0" w:color="auto"/>
        <w:bottom w:val="none" w:sz="0" w:space="0" w:color="auto"/>
        <w:right w:val="none" w:sz="0" w:space="0" w:color="auto"/>
      </w:divBdr>
    </w:div>
    <w:div w:id="845746680">
      <w:bodyDiv w:val="1"/>
      <w:marLeft w:val="0"/>
      <w:marRight w:val="0"/>
      <w:marTop w:val="0"/>
      <w:marBottom w:val="0"/>
      <w:divBdr>
        <w:top w:val="none" w:sz="0" w:space="0" w:color="auto"/>
        <w:left w:val="none" w:sz="0" w:space="0" w:color="auto"/>
        <w:bottom w:val="none" w:sz="0" w:space="0" w:color="auto"/>
        <w:right w:val="none" w:sz="0" w:space="0" w:color="auto"/>
      </w:divBdr>
    </w:div>
    <w:div w:id="845823157">
      <w:bodyDiv w:val="1"/>
      <w:marLeft w:val="0"/>
      <w:marRight w:val="0"/>
      <w:marTop w:val="0"/>
      <w:marBottom w:val="0"/>
      <w:divBdr>
        <w:top w:val="none" w:sz="0" w:space="0" w:color="auto"/>
        <w:left w:val="none" w:sz="0" w:space="0" w:color="auto"/>
        <w:bottom w:val="none" w:sz="0" w:space="0" w:color="auto"/>
        <w:right w:val="none" w:sz="0" w:space="0" w:color="auto"/>
      </w:divBdr>
    </w:div>
    <w:div w:id="845828512">
      <w:bodyDiv w:val="1"/>
      <w:marLeft w:val="0"/>
      <w:marRight w:val="0"/>
      <w:marTop w:val="0"/>
      <w:marBottom w:val="0"/>
      <w:divBdr>
        <w:top w:val="none" w:sz="0" w:space="0" w:color="auto"/>
        <w:left w:val="none" w:sz="0" w:space="0" w:color="auto"/>
        <w:bottom w:val="none" w:sz="0" w:space="0" w:color="auto"/>
        <w:right w:val="none" w:sz="0" w:space="0" w:color="auto"/>
      </w:divBdr>
    </w:div>
    <w:div w:id="845898483">
      <w:bodyDiv w:val="1"/>
      <w:marLeft w:val="0"/>
      <w:marRight w:val="0"/>
      <w:marTop w:val="0"/>
      <w:marBottom w:val="0"/>
      <w:divBdr>
        <w:top w:val="none" w:sz="0" w:space="0" w:color="auto"/>
        <w:left w:val="none" w:sz="0" w:space="0" w:color="auto"/>
        <w:bottom w:val="none" w:sz="0" w:space="0" w:color="auto"/>
        <w:right w:val="none" w:sz="0" w:space="0" w:color="auto"/>
      </w:divBdr>
    </w:div>
    <w:div w:id="846023418">
      <w:bodyDiv w:val="1"/>
      <w:marLeft w:val="0"/>
      <w:marRight w:val="0"/>
      <w:marTop w:val="0"/>
      <w:marBottom w:val="0"/>
      <w:divBdr>
        <w:top w:val="none" w:sz="0" w:space="0" w:color="auto"/>
        <w:left w:val="none" w:sz="0" w:space="0" w:color="auto"/>
        <w:bottom w:val="none" w:sz="0" w:space="0" w:color="auto"/>
        <w:right w:val="none" w:sz="0" w:space="0" w:color="auto"/>
      </w:divBdr>
    </w:div>
    <w:div w:id="846097980">
      <w:bodyDiv w:val="1"/>
      <w:marLeft w:val="0"/>
      <w:marRight w:val="0"/>
      <w:marTop w:val="0"/>
      <w:marBottom w:val="0"/>
      <w:divBdr>
        <w:top w:val="none" w:sz="0" w:space="0" w:color="auto"/>
        <w:left w:val="none" w:sz="0" w:space="0" w:color="auto"/>
        <w:bottom w:val="none" w:sz="0" w:space="0" w:color="auto"/>
        <w:right w:val="none" w:sz="0" w:space="0" w:color="auto"/>
      </w:divBdr>
    </w:div>
    <w:div w:id="846099766">
      <w:bodyDiv w:val="1"/>
      <w:marLeft w:val="0"/>
      <w:marRight w:val="0"/>
      <w:marTop w:val="0"/>
      <w:marBottom w:val="0"/>
      <w:divBdr>
        <w:top w:val="none" w:sz="0" w:space="0" w:color="auto"/>
        <w:left w:val="none" w:sz="0" w:space="0" w:color="auto"/>
        <w:bottom w:val="none" w:sz="0" w:space="0" w:color="auto"/>
        <w:right w:val="none" w:sz="0" w:space="0" w:color="auto"/>
      </w:divBdr>
    </w:div>
    <w:div w:id="846211374">
      <w:bodyDiv w:val="1"/>
      <w:marLeft w:val="0"/>
      <w:marRight w:val="0"/>
      <w:marTop w:val="0"/>
      <w:marBottom w:val="0"/>
      <w:divBdr>
        <w:top w:val="none" w:sz="0" w:space="0" w:color="auto"/>
        <w:left w:val="none" w:sz="0" w:space="0" w:color="auto"/>
        <w:bottom w:val="none" w:sz="0" w:space="0" w:color="auto"/>
        <w:right w:val="none" w:sz="0" w:space="0" w:color="auto"/>
      </w:divBdr>
    </w:div>
    <w:div w:id="846287526">
      <w:bodyDiv w:val="1"/>
      <w:marLeft w:val="0"/>
      <w:marRight w:val="0"/>
      <w:marTop w:val="0"/>
      <w:marBottom w:val="0"/>
      <w:divBdr>
        <w:top w:val="none" w:sz="0" w:space="0" w:color="auto"/>
        <w:left w:val="none" w:sz="0" w:space="0" w:color="auto"/>
        <w:bottom w:val="none" w:sz="0" w:space="0" w:color="auto"/>
        <w:right w:val="none" w:sz="0" w:space="0" w:color="auto"/>
      </w:divBdr>
    </w:div>
    <w:div w:id="846360761">
      <w:bodyDiv w:val="1"/>
      <w:marLeft w:val="0"/>
      <w:marRight w:val="0"/>
      <w:marTop w:val="0"/>
      <w:marBottom w:val="0"/>
      <w:divBdr>
        <w:top w:val="none" w:sz="0" w:space="0" w:color="auto"/>
        <w:left w:val="none" w:sz="0" w:space="0" w:color="auto"/>
        <w:bottom w:val="none" w:sz="0" w:space="0" w:color="auto"/>
        <w:right w:val="none" w:sz="0" w:space="0" w:color="auto"/>
      </w:divBdr>
    </w:div>
    <w:div w:id="846404132">
      <w:bodyDiv w:val="1"/>
      <w:marLeft w:val="0"/>
      <w:marRight w:val="0"/>
      <w:marTop w:val="0"/>
      <w:marBottom w:val="0"/>
      <w:divBdr>
        <w:top w:val="none" w:sz="0" w:space="0" w:color="auto"/>
        <w:left w:val="none" w:sz="0" w:space="0" w:color="auto"/>
        <w:bottom w:val="none" w:sz="0" w:space="0" w:color="auto"/>
        <w:right w:val="none" w:sz="0" w:space="0" w:color="auto"/>
      </w:divBdr>
    </w:div>
    <w:div w:id="846410202">
      <w:bodyDiv w:val="1"/>
      <w:marLeft w:val="0"/>
      <w:marRight w:val="0"/>
      <w:marTop w:val="0"/>
      <w:marBottom w:val="0"/>
      <w:divBdr>
        <w:top w:val="none" w:sz="0" w:space="0" w:color="auto"/>
        <w:left w:val="none" w:sz="0" w:space="0" w:color="auto"/>
        <w:bottom w:val="none" w:sz="0" w:space="0" w:color="auto"/>
        <w:right w:val="none" w:sz="0" w:space="0" w:color="auto"/>
      </w:divBdr>
    </w:div>
    <w:div w:id="846484273">
      <w:bodyDiv w:val="1"/>
      <w:marLeft w:val="0"/>
      <w:marRight w:val="0"/>
      <w:marTop w:val="0"/>
      <w:marBottom w:val="0"/>
      <w:divBdr>
        <w:top w:val="none" w:sz="0" w:space="0" w:color="auto"/>
        <w:left w:val="none" w:sz="0" w:space="0" w:color="auto"/>
        <w:bottom w:val="none" w:sz="0" w:space="0" w:color="auto"/>
        <w:right w:val="none" w:sz="0" w:space="0" w:color="auto"/>
      </w:divBdr>
    </w:div>
    <w:div w:id="846558507">
      <w:bodyDiv w:val="1"/>
      <w:marLeft w:val="0"/>
      <w:marRight w:val="0"/>
      <w:marTop w:val="0"/>
      <w:marBottom w:val="0"/>
      <w:divBdr>
        <w:top w:val="none" w:sz="0" w:space="0" w:color="auto"/>
        <w:left w:val="none" w:sz="0" w:space="0" w:color="auto"/>
        <w:bottom w:val="none" w:sz="0" w:space="0" w:color="auto"/>
        <w:right w:val="none" w:sz="0" w:space="0" w:color="auto"/>
      </w:divBdr>
    </w:div>
    <w:div w:id="846797339">
      <w:bodyDiv w:val="1"/>
      <w:marLeft w:val="0"/>
      <w:marRight w:val="0"/>
      <w:marTop w:val="0"/>
      <w:marBottom w:val="0"/>
      <w:divBdr>
        <w:top w:val="none" w:sz="0" w:space="0" w:color="auto"/>
        <w:left w:val="none" w:sz="0" w:space="0" w:color="auto"/>
        <w:bottom w:val="none" w:sz="0" w:space="0" w:color="auto"/>
        <w:right w:val="none" w:sz="0" w:space="0" w:color="auto"/>
      </w:divBdr>
    </w:div>
    <w:div w:id="846863602">
      <w:bodyDiv w:val="1"/>
      <w:marLeft w:val="0"/>
      <w:marRight w:val="0"/>
      <w:marTop w:val="0"/>
      <w:marBottom w:val="0"/>
      <w:divBdr>
        <w:top w:val="none" w:sz="0" w:space="0" w:color="auto"/>
        <w:left w:val="none" w:sz="0" w:space="0" w:color="auto"/>
        <w:bottom w:val="none" w:sz="0" w:space="0" w:color="auto"/>
        <w:right w:val="none" w:sz="0" w:space="0" w:color="auto"/>
      </w:divBdr>
    </w:div>
    <w:div w:id="846864547">
      <w:bodyDiv w:val="1"/>
      <w:marLeft w:val="0"/>
      <w:marRight w:val="0"/>
      <w:marTop w:val="0"/>
      <w:marBottom w:val="0"/>
      <w:divBdr>
        <w:top w:val="none" w:sz="0" w:space="0" w:color="auto"/>
        <w:left w:val="none" w:sz="0" w:space="0" w:color="auto"/>
        <w:bottom w:val="none" w:sz="0" w:space="0" w:color="auto"/>
        <w:right w:val="none" w:sz="0" w:space="0" w:color="auto"/>
      </w:divBdr>
    </w:div>
    <w:div w:id="846942327">
      <w:bodyDiv w:val="1"/>
      <w:marLeft w:val="0"/>
      <w:marRight w:val="0"/>
      <w:marTop w:val="0"/>
      <w:marBottom w:val="0"/>
      <w:divBdr>
        <w:top w:val="none" w:sz="0" w:space="0" w:color="auto"/>
        <w:left w:val="none" w:sz="0" w:space="0" w:color="auto"/>
        <w:bottom w:val="none" w:sz="0" w:space="0" w:color="auto"/>
        <w:right w:val="none" w:sz="0" w:space="0" w:color="auto"/>
      </w:divBdr>
    </w:div>
    <w:div w:id="846945929">
      <w:bodyDiv w:val="1"/>
      <w:marLeft w:val="0"/>
      <w:marRight w:val="0"/>
      <w:marTop w:val="0"/>
      <w:marBottom w:val="0"/>
      <w:divBdr>
        <w:top w:val="none" w:sz="0" w:space="0" w:color="auto"/>
        <w:left w:val="none" w:sz="0" w:space="0" w:color="auto"/>
        <w:bottom w:val="none" w:sz="0" w:space="0" w:color="auto"/>
        <w:right w:val="none" w:sz="0" w:space="0" w:color="auto"/>
      </w:divBdr>
    </w:div>
    <w:div w:id="847059974">
      <w:bodyDiv w:val="1"/>
      <w:marLeft w:val="0"/>
      <w:marRight w:val="0"/>
      <w:marTop w:val="0"/>
      <w:marBottom w:val="0"/>
      <w:divBdr>
        <w:top w:val="none" w:sz="0" w:space="0" w:color="auto"/>
        <w:left w:val="none" w:sz="0" w:space="0" w:color="auto"/>
        <w:bottom w:val="none" w:sz="0" w:space="0" w:color="auto"/>
        <w:right w:val="none" w:sz="0" w:space="0" w:color="auto"/>
      </w:divBdr>
    </w:div>
    <w:div w:id="847061280">
      <w:bodyDiv w:val="1"/>
      <w:marLeft w:val="0"/>
      <w:marRight w:val="0"/>
      <w:marTop w:val="0"/>
      <w:marBottom w:val="0"/>
      <w:divBdr>
        <w:top w:val="none" w:sz="0" w:space="0" w:color="auto"/>
        <w:left w:val="none" w:sz="0" w:space="0" w:color="auto"/>
        <w:bottom w:val="none" w:sz="0" w:space="0" w:color="auto"/>
        <w:right w:val="none" w:sz="0" w:space="0" w:color="auto"/>
      </w:divBdr>
    </w:div>
    <w:div w:id="847063981">
      <w:bodyDiv w:val="1"/>
      <w:marLeft w:val="0"/>
      <w:marRight w:val="0"/>
      <w:marTop w:val="0"/>
      <w:marBottom w:val="0"/>
      <w:divBdr>
        <w:top w:val="none" w:sz="0" w:space="0" w:color="auto"/>
        <w:left w:val="none" w:sz="0" w:space="0" w:color="auto"/>
        <w:bottom w:val="none" w:sz="0" w:space="0" w:color="auto"/>
        <w:right w:val="none" w:sz="0" w:space="0" w:color="auto"/>
      </w:divBdr>
    </w:div>
    <w:div w:id="847207922">
      <w:bodyDiv w:val="1"/>
      <w:marLeft w:val="0"/>
      <w:marRight w:val="0"/>
      <w:marTop w:val="0"/>
      <w:marBottom w:val="0"/>
      <w:divBdr>
        <w:top w:val="none" w:sz="0" w:space="0" w:color="auto"/>
        <w:left w:val="none" w:sz="0" w:space="0" w:color="auto"/>
        <w:bottom w:val="none" w:sz="0" w:space="0" w:color="auto"/>
        <w:right w:val="none" w:sz="0" w:space="0" w:color="auto"/>
      </w:divBdr>
    </w:div>
    <w:div w:id="847212084">
      <w:bodyDiv w:val="1"/>
      <w:marLeft w:val="0"/>
      <w:marRight w:val="0"/>
      <w:marTop w:val="0"/>
      <w:marBottom w:val="0"/>
      <w:divBdr>
        <w:top w:val="none" w:sz="0" w:space="0" w:color="auto"/>
        <w:left w:val="none" w:sz="0" w:space="0" w:color="auto"/>
        <w:bottom w:val="none" w:sz="0" w:space="0" w:color="auto"/>
        <w:right w:val="none" w:sz="0" w:space="0" w:color="auto"/>
      </w:divBdr>
    </w:div>
    <w:div w:id="847252270">
      <w:bodyDiv w:val="1"/>
      <w:marLeft w:val="0"/>
      <w:marRight w:val="0"/>
      <w:marTop w:val="0"/>
      <w:marBottom w:val="0"/>
      <w:divBdr>
        <w:top w:val="none" w:sz="0" w:space="0" w:color="auto"/>
        <w:left w:val="none" w:sz="0" w:space="0" w:color="auto"/>
        <w:bottom w:val="none" w:sz="0" w:space="0" w:color="auto"/>
        <w:right w:val="none" w:sz="0" w:space="0" w:color="auto"/>
      </w:divBdr>
    </w:div>
    <w:div w:id="847328110">
      <w:bodyDiv w:val="1"/>
      <w:marLeft w:val="0"/>
      <w:marRight w:val="0"/>
      <w:marTop w:val="0"/>
      <w:marBottom w:val="0"/>
      <w:divBdr>
        <w:top w:val="none" w:sz="0" w:space="0" w:color="auto"/>
        <w:left w:val="none" w:sz="0" w:space="0" w:color="auto"/>
        <w:bottom w:val="none" w:sz="0" w:space="0" w:color="auto"/>
        <w:right w:val="none" w:sz="0" w:space="0" w:color="auto"/>
      </w:divBdr>
    </w:div>
    <w:div w:id="847400868">
      <w:bodyDiv w:val="1"/>
      <w:marLeft w:val="0"/>
      <w:marRight w:val="0"/>
      <w:marTop w:val="0"/>
      <w:marBottom w:val="0"/>
      <w:divBdr>
        <w:top w:val="none" w:sz="0" w:space="0" w:color="auto"/>
        <w:left w:val="none" w:sz="0" w:space="0" w:color="auto"/>
        <w:bottom w:val="none" w:sz="0" w:space="0" w:color="auto"/>
        <w:right w:val="none" w:sz="0" w:space="0" w:color="auto"/>
      </w:divBdr>
    </w:div>
    <w:div w:id="847409451">
      <w:bodyDiv w:val="1"/>
      <w:marLeft w:val="0"/>
      <w:marRight w:val="0"/>
      <w:marTop w:val="0"/>
      <w:marBottom w:val="0"/>
      <w:divBdr>
        <w:top w:val="none" w:sz="0" w:space="0" w:color="auto"/>
        <w:left w:val="none" w:sz="0" w:space="0" w:color="auto"/>
        <w:bottom w:val="none" w:sz="0" w:space="0" w:color="auto"/>
        <w:right w:val="none" w:sz="0" w:space="0" w:color="auto"/>
      </w:divBdr>
      <w:divsChild>
        <w:div w:id="52390267">
          <w:marLeft w:val="0"/>
          <w:marRight w:val="0"/>
          <w:marTop w:val="0"/>
          <w:marBottom w:val="0"/>
          <w:divBdr>
            <w:top w:val="none" w:sz="0" w:space="0" w:color="auto"/>
            <w:left w:val="none" w:sz="0" w:space="0" w:color="auto"/>
            <w:bottom w:val="none" w:sz="0" w:space="0" w:color="auto"/>
            <w:right w:val="none" w:sz="0" w:space="0" w:color="auto"/>
          </w:divBdr>
        </w:div>
        <w:div w:id="55905184">
          <w:marLeft w:val="0"/>
          <w:marRight w:val="0"/>
          <w:marTop w:val="0"/>
          <w:marBottom w:val="0"/>
          <w:divBdr>
            <w:top w:val="none" w:sz="0" w:space="0" w:color="auto"/>
            <w:left w:val="none" w:sz="0" w:space="0" w:color="auto"/>
            <w:bottom w:val="none" w:sz="0" w:space="0" w:color="auto"/>
            <w:right w:val="none" w:sz="0" w:space="0" w:color="auto"/>
          </w:divBdr>
        </w:div>
        <w:div w:id="69281635">
          <w:marLeft w:val="0"/>
          <w:marRight w:val="0"/>
          <w:marTop w:val="0"/>
          <w:marBottom w:val="0"/>
          <w:divBdr>
            <w:top w:val="none" w:sz="0" w:space="0" w:color="auto"/>
            <w:left w:val="none" w:sz="0" w:space="0" w:color="auto"/>
            <w:bottom w:val="none" w:sz="0" w:space="0" w:color="auto"/>
            <w:right w:val="none" w:sz="0" w:space="0" w:color="auto"/>
          </w:divBdr>
        </w:div>
        <w:div w:id="70350929">
          <w:marLeft w:val="0"/>
          <w:marRight w:val="0"/>
          <w:marTop w:val="0"/>
          <w:marBottom w:val="0"/>
          <w:divBdr>
            <w:top w:val="none" w:sz="0" w:space="0" w:color="auto"/>
            <w:left w:val="none" w:sz="0" w:space="0" w:color="auto"/>
            <w:bottom w:val="none" w:sz="0" w:space="0" w:color="auto"/>
            <w:right w:val="none" w:sz="0" w:space="0" w:color="auto"/>
          </w:divBdr>
        </w:div>
        <w:div w:id="81411990">
          <w:marLeft w:val="0"/>
          <w:marRight w:val="0"/>
          <w:marTop w:val="0"/>
          <w:marBottom w:val="0"/>
          <w:divBdr>
            <w:top w:val="none" w:sz="0" w:space="0" w:color="auto"/>
            <w:left w:val="none" w:sz="0" w:space="0" w:color="auto"/>
            <w:bottom w:val="none" w:sz="0" w:space="0" w:color="auto"/>
            <w:right w:val="none" w:sz="0" w:space="0" w:color="auto"/>
          </w:divBdr>
        </w:div>
        <w:div w:id="92946230">
          <w:marLeft w:val="0"/>
          <w:marRight w:val="0"/>
          <w:marTop w:val="0"/>
          <w:marBottom w:val="0"/>
          <w:divBdr>
            <w:top w:val="none" w:sz="0" w:space="0" w:color="auto"/>
            <w:left w:val="none" w:sz="0" w:space="0" w:color="auto"/>
            <w:bottom w:val="none" w:sz="0" w:space="0" w:color="auto"/>
            <w:right w:val="none" w:sz="0" w:space="0" w:color="auto"/>
          </w:divBdr>
        </w:div>
        <w:div w:id="146284373">
          <w:marLeft w:val="0"/>
          <w:marRight w:val="0"/>
          <w:marTop w:val="0"/>
          <w:marBottom w:val="0"/>
          <w:divBdr>
            <w:top w:val="none" w:sz="0" w:space="0" w:color="auto"/>
            <w:left w:val="none" w:sz="0" w:space="0" w:color="auto"/>
            <w:bottom w:val="none" w:sz="0" w:space="0" w:color="auto"/>
            <w:right w:val="none" w:sz="0" w:space="0" w:color="auto"/>
          </w:divBdr>
        </w:div>
        <w:div w:id="159927250">
          <w:marLeft w:val="0"/>
          <w:marRight w:val="0"/>
          <w:marTop w:val="0"/>
          <w:marBottom w:val="0"/>
          <w:divBdr>
            <w:top w:val="none" w:sz="0" w:space="0" w:color="auto"/>
            <w:left w:val="none" w:sz="0" w:space="0" w:color="auto"/>
            <w:bottom w:val="none" w:sz="0" w:space="0" w:color="auto"/>
            <w:right w:val="none" w:sz="0" w:space="0" w:color="auto"/>
          </w:divBdr>
        </w:div>
        <w:div w:id="168757240">
          <w:marLeft w:val="0"/>
          <w:marRight w:val="0"/>
          <w:marTop w:val="0"/>
          <w:marBottom w:val="0"/>
          <w:divBdr>
            <w:top w:val="none" w:sz="0" w:space="0" w:color="auto"/>
            <w:left w:val="none" w:sz="0" w:space="0" w:color="auto"/>
            <w:bottom w:val="none" w:sz="0" w:space="0" w:color="auto"/>
            <w:right w:val="none" w:sz="0" w:space="0" w:color="auto"/>
          </w:divBdr>
        </w:div>
        <w:div w:id="175728476">
          <w:marLeft w:val="0"/>
          <w:marRight w:val="0"/>
          <w:marTop w:val="0"/>
          <w:marBottom w:val="0"/>
          <w:divBdr>
            <w:top w:val="none" w:sz="0" w:space="0" w:color="auto"/>
            <w:left w:val="none" w:sz="0" w:space="0" w:color="auto"/>
            <w:bottom w:val="none" w:sz="0" w:space="0" w:color="auto"/>
            <w:right w:val="none" w:sz="0" w:space="0" w:color="auto"/>
          </w:divBdr>
        </w:div>
        <w:div w:id="182869035">
          <w:marLeft w:val="0"/>
          <w:marRight w:val="0"/>
          <w:marTop w:val="0"/>
          <w:marBottom w:val="0"/>
          <w:divBdr>
            <w:top w:val="none" w:sz="0" w:space="0" w:color="auto"/>
            <w:left w:val="none" w:sz="0" w:space="0" w:color="auto"/>
            <w:bottom w:val="none" w:sz="0" w:space="0" w:color="auto"/>
            <w:right w:val="none" w:sz="0" w:space="0" w:color="auto"/>
          </w:divBdr>
        </w:div>
        <w:div w:id="189295586">
          <w:marLeft w:val="0"/>
          <w:marRight w:val="0"/>
          <w:marTop w:val="0"/>
          <w:marBottom w:val="0"/>
          <w:divBdr>
            <w:top w:val="none" w:sz="0" w:space="0" w:color="auto"/>
            <w:left w:val="none" w:sz="0" w:space="0" w:color="auto"/>
            <w:bottom w:val="none" w:sz="0" w:space="0" w:color="auto"/>
            <w:right w:val="none" w:sz="0" w:space="0" w:color="auto"/>
          </w:divBdr>
        </w:div>
        <w:div w:id="194736732">
          <w:marLeft w:val="0"/>
          <w:marRight w:val="0"/>
          <w:marTop w:val="0"/>
          <w:marBottom w:val="0"/>
          <w:divBdr>
            <w:top w:val="none" w:sz="0" w:space="0" w:color="auto"/>
            <w:left w:val="none" w:sz="0" w:space="0" w:color="auto"/>
            <w:bottom w:val="none" w:sz="0" w:space="0" w:color="auto"/>
            <w:right w:val="none" w:sz="0" w:space="0" w:color="auto"/>
          </w:divBdr>
        </w:div>
        <w:div w:id="228544044">
          <w:marLeft w:val="0"/>
          <w:marRight w:val="0"/>
          <w:marTop w:val="0"/>
          <w:marBottom w:val="0"/>
          <w:divBdr>
            <w:top w:val="none" w:sz="0" w:space="0" w:color="auto"/>
            <w:left w:val="none" w:sz="0" w:space="0" w:color="auto"/>
            <w:bottom w:val="none" w:sz="0" w:space="0" w:color="auto"/>
            <w:right w:val="none" w:sz="0" w:space="0" w:color="auto"/>
          </w:divBdr>
        </w:div>
        <w:div w:id="229850830">
          <w:marLeft w:val="0"/>
          <w:marRight w:val="0"/>
          <w:marTop w:val="0"/>
          <w:marBottom w:val="0"/>
          <w:divBdr>
            <w:top w:val="none" w:sz="0" w:space="0" w:color="auto"/>
            <w:left w:val="none" w:sz="0" w:space="0" w:color="auto"/>
            <w:bottom w:val="none" w:sz="0" w:space="0" w:color="auto"/>
            <w:right w:val="none" w:sz="0" w:space="0" w:color="auto"/>
          </w:divBdr>
        </w:div>
        <w:div w:id="233205300">
          <w:marLeft w:val="0"/>
          <w:marRight w:val="0"/>
          <w:marTop w:val="0"/>
          <w:marBottom w:val="0"/>
          <w:divBdr>
            <w:top w:val="none" w:sz="0" w:space="0" w:color="auto"/>
            <w:left w:val="none" w:sz="0" w:space="0" w:color="auto"/>
            <w:bottom w:val="none" w:sz="0" w:space="0" w:color="auto"/>
            <w:right w:val="none" w:sz="0" w:space="0" w:color="auto"/>
          </w:divBdr>
        </w:div>
        <w:div w:id="241646638">
          <w:marLeft w:val="0"/>
          <w:marRight w:val="0"/>
          <w:marTop w:val="0"/>
          <w:marBottom w:val="0"/>
          <w:divBdr>
            <w:top w:val="none" w:sz="0" w:space="0" w:color="auto"/>
            <w:left w:val="none" w:sz="0" w:space="0" w:color="auto"/>
            <w:bottom w:val="none" w:sz="0" w:space="0" w:color="auto"/>
            <w:right w:val="none" w:sz="0" w:space="0" w:color="auto"/>
          </w:divBdr>
        </w:div>
        <w:div w:id="255140424">
          <w:marLeft w:val="0"/>
          <w:marRight w:val="0"/>
          <w:marTop w:val="0"/>
          <w:marBottom w:val="0"/>
          <w:divBdr>
            <w:top w:val="none" w:sz="0" w:space="0" w:color="auto"/>
            <w:left w:val="none" w:sz="0" w:space="0" w:color="auto"/>
            <w:bottom w:val="none" w:sz="0" w:space="0" w:color="auto"/>
            <w:right w:val="none" w:sz="0" w:space="0" w:color="auto"/>
          </w:divBdr>
        </w:div>
        <w:div w:id="277417922">
          <w:marLeft w:val="0"/>
          <w:marRight w:val="0"/>
          <w:marTop w:val="0"/>
          <w:marBottom w:val="0"/>
          <w:divBdr>
            <w:top w:val="none" w:sz="0" w:space="0" w:color="auto"/>
            <w:left w:val="none" w:sz="0" w:space="0" w:color="auto"/>
            <w:bottom w:val="none" w:sz="0" w:space="0" w:color="auto"/>
            <w:right w:val="none" w:sz="0" w:space="0" w:color="auto"/>
          </w:divBdr>
        </w:div>
        <w:div w:id="278922180">
          <w:marLeft w:val="0"/>
          <w:marRight w:val="0"/>
          <w:marTop w:val="0"/>
          <w:marBottom w:val="0"/>
          <w:divBdr>
            <w:top w:val="none" w:sz="0" w:space="0" w:color="auto"/>
            <w:left w:val="none" w:sz="0" w:space="0" w:color="auto"/>
            <w:bottom w:val="none" w:sz="0" w:space="0" w:color="auto"/>
            <w:right w:val="none" w:sz="0" w:space="0" w:color="auto"/>
          </w:divBdr>
        </w:div>
        <w:div w:id="282150718">
          <w:marLeft w:val="0"/>
          <w:marRight w:val="0"/>
          <w:marTop w:val="0"/>
          <w:marBottom w:val="0"/>
          <w:divBdr>
            <w:top w:val="none" w:sz="0" w:space="0" w:color="auto"/>
            <w:left w:val="none" w:sz="0" w:space="0" w:color="auto"/>
            <w:bottom w:val="none" w:sz="0" w:space="0" w:color="auto"/>
            <w:right w:val="none" w:sz="0" w:space="0" w:color="auto"/>
          </w:divBdr>
        </w:div>
        <w:div w:id="312491737">
          <w:marLeft w:val="0"/>
          <w:marRight w:val="0"/>
          <w:marTop w:val="0"/>
          <w:marBottom w:val="0"/>
          <w:divBdr>
            <w:top w:val="none" w:sz="0" w:space="0" w:color="auto"/>
            <w:left w:val="none" w:sz="0" w:space="0" w:color="auto"/>
            <w:bottom w:val="none" w:sz="0" w:space="0" w:color="auto"/>
            <w:right w:val="none" w:sz="0" w:space="0" w:color="auto"/>
          </w:divBdr>
        </w:div>
        <w:div w:id="341469820">
          <w:marLeft w:val="0"/>
          <w:marRight w:val="0"/>
          <w:marTop w:val="0"/>
          <w:marBottom w:val="0"/>
          <w:divBdr>
            <w:top w:val="none" w:sz="0" w:space="0" w:color="auto"/>
            <w:left w:val="none" w:sz="0" w:space="0" w:color="auto"/>
            <w:bottom w:val="none" w:sz="0" w:space="0" w:color="auto"/>
            <w:right w:val="none" w:sz="0" w:space="0" w:color="auto"/>
          </w:divBdr>
        </w:div>
        <w:div w:id="395931589">
          <w:marLeft w:val="0"/>
          <w:marRight w:val="0"/>
          <w:marTop w:val="0"/>
          <w:marBottom w:val="0"/>
          <w:divBdr>
            <w:top w:val="none" w:sz="0" w:space="0" w:color="auto"/>
            <w:left w:val="none" w:sz="0" w:space="0" w:color="auto"/>
            <w:bottom w:val="none" w:sz="0" w:space="0" w:color="auto"/>
            <w:right w:val="none" w:sz="0" w:space="0" w:color="auto"/>
          </w:divBdr>
        </w:div>
        <w:div w:id="405611734">
          <w:marLeft w:val="0"/>
          <w:marRight w:val="0"/>
          <w:marTop w:val="0"/>
          <w:marBottom w:val="0"/>
          <w:divBdr>
            <w:top w:val="none" w:sz="0" w:space="0" w:color="auto"/>
            <w:left w:val="none" w:sz="0" w:space="0" w:color="auto"/>
            <w:bottom w:val="none" w:sz="0" w:space="0" w:color="auto"/>
            <w:right w:val="none" w:sz="0" w:space="0" w:color="auto"/>
          </w:divBdr>
        </w:div>
        <w:div w:id="406198017">
          <w:marLeft w:val="0"/>
          <w:marRight w:val="0"/>
          <w:marTop w:val="0"/>
          <w:marBottom w:val="0"/>
          <w:divBdr>
            <w:top w:val="none" w:sz="0" w:space="0" w:color="auto"/>
            <w:left w:val="none" w:sz="0" w:space="0" w:color="auto"/>
            <w:bottom w:val="none" w:sz="0" w:space="0" w:color="auto"/>
            <w:right w:val="none" w:sz="0" w:space="0" w:color="auto"/>
          </w:divBdr>
        </w:div>
        <w:div w:id="406848426">
          <w:marLeft w:val="0"/>
          <w:marRight w:val="0"/>
          <w:marTop w:val="0"/>
          <w:marBottom w:val="0"/>
          <w:divBdr>
            <w:top w:val="none" w:sz="0" w:space="0" w:color="auto"/>
            <w:left w:val="none" w:sz="0" w:space="0" w:color="auto"/>
            <w:bottom w:val="none" w:sz="0" w:space="0" w:color="auto"/>
            <w:right w:val="none" w:sz="0" w:space="0" w:color="auto"/>
          </w:divBdr>
        </w:div>
        <w:div w:id="417949889">
          <w:marLeft w:val="0"/>
          <w:marRight w:val="0"/>
          <w:marTop w:val="0"/>
          <w:marBottom w:val="0"/>
          <w:divBdr>
            <w:top w:val="none" w:sz="0" w:space="0" w:color="auto"/>
            <w:left w:val="none" w:sz="0" w:space="0" w:color="auto"/>
            <w:bottom w:val="none" w:sz="0" w:space="0" w:color="auto"/>
            <w:right w:val="none" w:sz="0" w:space="0" w:color="auto"/>
          </w:divBdr>
        </w:div>
        <w:div w:id="418527197">
          <w:marLeft w:val="0"/>
          <w:marRight w:val="0"/>
          <w:marTop w:val="0"/>
          <w:marBottom w:val="0"/>
          <w:divBdr>
            <w:top w:val="none" w:sz="0" w:space="0" w:color="auto"/>
            <w:left w:val="none" w:sz="0" w:space="0" w:color="auto"/>
            <w:bottom w:val="none" w:sz="0" w:space="0" w:color="auto"/>
            <w:right w:val="none" w:sz="0" w:space="0" w:color="auto"/>
          </w:divBdr>
        </w:div>
        <w:div w:id="423497486">
          <w:marLeft w:val="0"/>
          <w:marRight w:val="0"/>
          <w:marTop w:val="0"/>
          <w:marBottom w:val="0"/>
          <w:divBdr>
            <w:top w:val="none" w:sz="0" w:space="0" w:color="auto"/>
            <w:left w:val="none" w:sz="0" w:space="0" w:color="auto"/>
            <w:bottom w:val="none" w:sz="0" w:space="0" w:color="auto"/>
            <w:right w:val="none" w:sz="0" w:space="0" w:color="auto"/>
          </w:divBdr>
        </w:div>
        <w:div w:id="429008800">
          <w:marLeft w:val="0"/>
          <w:marRight w:val="0"/>
          <w:marTop w:val="0"/>
          <w:marBottom w:val="0"/>
          <w:divBdr>
            <w:top w:val="none" w:sz="0" w:space="0" w:color="auto"/>
            <w:left w:val="none" w:sz="0" w:space="0" w:color="auto"/>
            <w:bottom w:val="none" w:sz="0" w:space="0" w:color="auto"/>
            <w:right w:val="none" w:sz="0" w:space="0" w:color="auto"/>
          </w:divBdr>
        </w:div>
        <w:div w:id="464271759">
          <w:marLeft w:val="0"/>
          <w:marRight w:val="0"/>
          <w:marTop w:val="0"/>
          <w:marBottom w:val="0"/>
          <w:divBdr>
            <w:top w:val="none" w:sz="0" w:space="0" w:color="auto"/>
            <w:left w:val="none" w:sz="0" w:space="0" w:color="auto"/>
            <w:bottom w:val="none" w:sz="0" w:space="0" w:color="auto"/>
            <w:right w:val="none" w:sz="0" w:space="0" w:color="auto"/>
          </w:divBdr>
        </w:div>
        <w:div w:id="471095232">
          <w:marLeft w:val="0"/>
          <w:marRight w:val="0"/>
          <w:marTop w:val="0"/>
          <w:marBottom w:val="0"/>
          <w:divBdr>
            <w:top w:val="none" w:sz="0" w:space="0" w:color="auto"/>
            <w:left w:val="none" w:sz="0" w:space="0" w:color="auto"/>
            <w:bottom w:val="none" w:sz="0" w:space="0" w:color="auto"/>
            <w:right w:val="none" w:sz="0" w:space="0" w:color="auto"/>
          </w:divBdr>
        </w:div>
        <w:div w:id="474563980">
          <w:marLeft w:val="0"/>
          <w:marRight w:val="0"/>
          <w:marTop w:val="0"/>
          <w:marBottom w:val="0"/>
          <w:divBdr>
            <w:top w:val="none" w:sz="0" w:space="0" w:color="auto"/>
            <w:left w:val="none" w:sz="0" w:space="0" w:color="auto"/>
            <w:bottom w:val="none" w:sz="0" w:space="0" w:color="auto"/>
            <w:right w:val="none" w:sz="0" w:space="0" w:color="auto"/>
          </w:divBdr>
        </w:div>
        <w:div w:id="476460770">
          <w:marLeft w:val="0"/>
          <w:marRight w:val="0"/>
          <w:marTop w:val="0"/>
          <w:marBottom w:val="0"/>
          <w:divBdr>
            <w:top w:val="none" w:sz="0" w:space="0" w:color="auto"/>
            <w:left w:val="none" w:sz="0" w:space="0" w:color="auto"/>
            <w:bottom w:val="none" w:sz="0" w:space="0" w:color="auto"/>
            <w:right w:val="none" w:sz="0" w:space="0" w:color="auto"/>
          </w:divBdr>
        </w:div>
        <w:div w:id="477460252">
          <w:marLeft w:val="0"/>
          <w:marRight w:val="0"/>
          <w:marTop w:val="0"/>
          <w:marBottom w:val="0"/>
          <w:divBdr>
            <w:top w:val="none" w:sz="0" w:space="0" w:color="auto"/>
            <w:left w:val="none" w:sz="0" w:space="0" w:color="auto"/>
            <w:bottom w:val="none" w:sz="0" w:space="0" w:color="auto"/>
            <w:right w:val="none" w:sz="0" w:space="0" w:color="auto"/>
          </w:divBdr>
        </w:div>
        <w:div w:id="504830887">
          <w:marLeft w:val="0"/>
          <w:marRight w:val="0"/>
          <w:marTop w:val="0"/>
          <w:marBottom w:val="0"/>
          <w:divBdr>
            <w:top w:val="none" w:sz="0" w:space="0" w:color="auto"/>
            <w:left w:val="none" w:sz="0" w:space="0" w:color="auto"/>
            <w:bottom w:val="none" w:sz="0" w:space="0" w:color="auto"/>
            <w:right w:val="none" w:sz="0" w:space="0" w:color="auto"/>
          </w:divBdr>
        </w:div>
        <w:div w:id="533159259">
          <w:marLeft w:val="0"/>
          <w:marRight w:val="0"/>
          <w:marTop w:val="0"/>
          <w:marBottom w:val="0"/>
          <w:divBdr>
            <w:top w:val="none" w:sz="0" w:space="0" w:color="auto"/>
            <w:left w:val="none" w:sz="0" w:space="0" w:color="auto"/>
            <w:bottom w:val="none" w:sz="0" w:space="0" w:color="auto"/>
            <w:right w:val="none" w:sz="0" w:space="0" w:color="auto"/>
          </w:divBdr>
        </w:div>
        <w:div w:id="541984791">
          <w:marLeft w:val="0"/>
          <w:marRight w:val="0"/>
          <w:marTop w:val="0"/>
          <w:marBottom w:val="0"/>
          <w:divBdr>
            <w:top w:val="none" w:sz="0" w:space="0" w:color="auto"/>
            <w:left w:val="none" w:sz="0" w:space="0" w:color="auto"/>
            <w:bottom w:val="none" w:sz="0" w:space="0" w:color="auto"/>
            <w:right w:val="none" w:sz="0" w:space="0" w:color="auto"/>
          </w:divBdr>
        </w:div>
        <w:div w:id="556206595">
          <w:marLeft w:val="0"/>
          <w:marRight w:val="0"/>
          <w:marTop w:val="0"/>
          <w:marBottom w:val="0"/>
          <w:divBdr>
            <w:top w:val="none" w:sz="0" w:space="0" w:color="auto"/>
            <w:left w:val="none" w:sz="0" w:space="0" w:color="auto"/>
            <w:bottom w:val="none" w:sz="0" w:space="0" w:color="auto"/>
            <w:right w:val="none" w:sz="0" w:space="0" w:color="auto"/>
          </w:divBdr>
        </w:div>
        <w:div w:id="559168463">
          <w:marLeft w:val="0"/>
          <w:marRight w:val="0"/>
          <w:marTop w:val="0"/>
          <w:marBottom w:val="0"/>
          <w:divBdr>
            <w:top w:val="none" w:sz="0" w:space="0" w:color="auto"/>
            <w:left w:val="none" w:sz="0" w:space="0" w:color="auto"/>
            <w:bottom w:val="none" w:sz="0" w:space="0" w:color="auto"/>
            <w:right w:val="none" w:sz="0" w:space="0" w:color="auto"/>
          </w:divBdr>
        </w:div>
        <w:div w:id="567955959">
          <w:marLeft w:val="0"/>
          <w:marRight w:val="0"/>
          <w:marTop w:val="0"/>
          <w:marBottom w:val="0"/>
          <w:divBdr>
            <w:top w:val="none" w:sz="0" w:space="0" w:color="auto"/>
            <w:left w:val="none" w:sz="0" w:space="0" w:color="auto"/>
            <w:bottom w:val="none" w:sz="0" w:space="0" w:color="auto"/>
            <w:right w:val="none" w:sz="0" w:space="0" w:color="auto"/>
          </w:divBdr>
        </w:div>
        <w:div w:id="578713889">
          <w:marLeft w:val="0"/>
          <w:marRight w:val="0"/>
          <w:marTop w:val="0"/>
          <w:marBottom w:val="0"/>
          <w:divBdr>
            <w:top w:val="none" w:sz="0" w:space="0" w:color="auto"/>
            <w:left w:val="none" w:sz="0" w:space="0" w:color="auto"/>
            <w:bottom w:val="none" w:sz="0" w:space="0" w:color="auto"/>
            <w:right w:val="none" w:sz="0" w:space="0" w:color="auto"/>
          </w:divBdr>
        </w:div>
        <w:div w:id="604003605">
          <w:marLeft w:val="0"/>
          <w:marRight w:val="0"/>
          <w:marTop w:val="0"/>
          <w:marBottom w:val="0"/>
          <w:divBdr>
            <w:top w:val="none" w:sz="0" w:space="0" w:color="auto"/>
            <w:left w:val="none" w:sz="0" w:space="0" w:color="auto"/>
            <w:bottom w:val="none" w:sz="0" w:space="0" w:color="auto"/>
            <w:right w:val="none" w:sz="0" w:space="0" w:color="auto"/>
          </w:divBdr>
        </w:div>
        <w:div w:id="608590418">
          <w:marLeft w:val="0"/>
          <w:marRight w:val="0"/>
          <w:marTop w:val="0"/>
          <w:marBottom w:val="0"/>
          <w:divBdr>
            <w:top w:val="none" w:sz="0" w:space="0" w:color="auto"/>
            <w:left w:val="none" w:sz="0" w:space="0" w:color="auto"/>
            <w:bottom w:val="none" w:sz="0" w:space="0" w:color="auto"/>
            <w:right w:val="none" w:sz="0" w:space="0" w:color="auto"/>
          </w:divBdr>
        </w:div>
        <w:div w:id="628557224">
          <w:marLeft w:val="0"/>
          <w:marRight w:val="0"/>
          <w:marTop w:val="0"/>
          <w:marBottom w:val="0"/>
          <w:divBdr>
            <w:top w:val="none" w:sz="0" w:space="0" w:color="auto"/>
            <w:left w:val="none" w:sz="0" w:space="0" w:color="auto"/>
            <w:bottom w:val="none" w:sz="0" w:space="0" w:color="auto"/>
            <w:right w:val="none" w:sz="0" w:space="0" w:color="auto"/>
          </w:divBdr>
        </w:div>
        <w:div w:id="634137578">
          <w:marLeft w:val="0"/>
          <w:marRight w:val="0"/>
          <w:marTop w:val="0"/>
          <w:marBottom w:val="0"/>
          <w:divBdr>
            <w:top w:val="none" w:sz="0" w:space="0" w:color="auto"/>
            <w:left w:val="none" w:sz="0" w:space="0" w:color="auto"/>
            <w:bottom w:val="none" w:sz="0" w:space="0" w:color="auto"/>
            <w:right w:val="none" w:sz="0" w:space="0" w:color="auto"/>
          </w:divBdr>
        </w:div>
        <w:div w:id="637338609">
          <w:marLeft w:val="0"/>
          <w:marRight w:val="0"/>
          <w:marTop w:val="0"/>
          <w:marBottom w:val="0"/>
          <w:divBdr>
            <w:top w:val="none" w:sz="0" w:space="0" w:color="auto"/>
            <w:left w:val="none" w:sz="0" w:space="0" w:color="auto"/>
            <w:bottom w:val="none" w:sz="0" w:space="0" w:color="auto"/>
            <w:right w:val="none" w:sz="0" w:space="0" w:color="auto"/>
          </w:divBdr>
        </w:div>
        <w:div w:id="641231836">
          <w:marLeft w:val="0"/>
          <w:marRight w:val="0"/>
          <w:marTop w:val="0"/>
          <w:marBottom w:val="0"/>
          <w:divBdr>
            <w:top w:val="none" w:sz="0" w:space="0" w:color="auto"/>
            <w:left w:val="none" w:sz="0" w:space="0" w:color="auto"/>
            <w:bottom w:val="none" w:sz="0" w:space="0" w:color="auto"/>
            <w:right w:val="none" w:sz="0" w:space="0" w:color="auto"/>
          </w:divBdr>
        </w:div>
        <w:div w:id="646281043">
          <w:marLeft w:val="0"/>
          <w:marRight w:val="0"/>
          <w:marTop w:val="0"/>
          <w:marBottom w:val="0"/>
          <w:divBdr>
            <w:top w:val="none" w:sz="0" w:space="0" w:color="auto"/>
            <w:left w:val="none" w:sz="0" w:space="0" w:color="auto"/>
            <w:bottom w:val="none" w:sz="0" w:space="0" w:color="auto"/>
            <w:right w:val="none" w:sz="0" w:space="0" w:color="auto"/>
          </w:divBdr>
        </w:div>
        <w:div w:id="660887192">
          <w:marLeft w:val="0"/>
          <w:marRight w:val="0"/>
          <w:marTop w:val="0"/>
          <w:marBottom w:val="0"/>
          <w:divBdr>
            <w:top w:val="none" w:sz="0" w:space="0" w:color="auto"/>
            <w:left w:val="none" w:sz="0" w:space="0" w:color="auto"/>
            <w:bottom w:val="none" w:sz="0" w:space="0" w:color="auto"/>
            <w:right w:val="none" w:sz="0" w:space="0" w:color="auto"/>
          </w:divBdr>
        </w:div>
        <w:div w:id="675575885">
          <w:marLeft w:val="0"/>
          <w:marRight w:val="0"/>
          <w:marTop w:val="0"/>
          <w:marBottom w:val="0"/>
          <w:divBdr>
            <w:top w:val="none" w:sz="0" w:space="0" w:color="auto"/>
            <w:left w:val="none" w:sz="0" w:space="0" w:color="auto"/>
            <w:bottom w:val="none" w:sz="0" w:space="0" w:color="auto"/>
            <w:right w:val="none" w:sz="0" w:space="0" w:color="auto"/>
          </w:divBdr>
        </w:div>
        <w:div w:id="681011753">
          <w:marLeft w:val="0"/>
          <w:marRight w:val="0"/>
          <w:marTop w:val="0"/>
          <w:marBottom w:val="0"/>
          <w:divBdr>
            <w:top w:val="none" w:sz="0" w:space="0" w:color="auto"/>
            <w:left w:val="none" w:sz="0" w:space="0" w:color="auto"/>
            <w:bottom w:val="none" w:sz="0" w:space="0" w:color="auto"/>
            <w:right w:val="none" w:sz="0" w:space="0" w:color="auto"/>
          </w:divBdr>
        </w:div>
        <w:div w:id="688679325">
          <w:marLeft w:val="0"/>
          <w:marRight w:val="0"/>
          <w:marTop w:val="0"/>
          <w:marBottom w:val="0"/>
          <w:divBdr>
            <w:top w:val="none" w:sz="0" w:space="0" w:color="auto"/>
            <w:left w:val="none" w:sz="0" w:space="0" w:color="auto"/>
            <w:bottom w:val="none" w:sz="0" w:space="0" w:color="auto"/>
            <w:right w:val="none" w:sz="0" w:space="0" w:color="auto"/>
          </w:divBdr>
        </w:div>
        <w:div w:id="737821755">
          <w:marLeft w:val="0"/>
          <w:marRight w:val="0"/>
          <w:marTop w:val="0"/>
          <w:marBottom w:val="0"/>
          <w:divBdr>
            <w:top w:val="none" w:sz="0" w:space="0" w:color="auto"/>
            <w:left w:val="none" w:sz="0" w:space="0" w:color="auto"/>
            <w:bottom w:val="none" w:sz="0" w:space="0" w:color="auto"/>
            <w:right w:val="none" w:sz="0" w:space="0" w:color="auto"/>
          </w:divBdr>
        </w:div>
        <w:div w:id="740952228">
          <w:marLeft w:val="0"/>
          <w:marRight w:val="0"/>
          <w:marTop w:val="0"/>
          <w:marBottom w:val="0"/>
          <w:divBdr>
            <w:top w:val="none" w:sz="0" w:space="0" w:color="auto"/>
            <w:left w:val="none" w:sz="0" w:space="0" w:color="auto"/>
            <w:bottom w:val="none" w:sz="0" w:space="0" w:color="auto"/>
            <w:right w:val="none" w:sz="0" w:space="0" w:color="auto"/>
          </w:divBdr>
        </w:div>
        <w:div w:id="746810169">
          <w:marLeft w:val="0"/>
          <w:marRight w:val="0"/>
          <w:marTop w:val="0"/>
          <w:marBottom w:val="0"/>
          <w:divBdr>
            <w:top w:val="none" w:sz="0" w:space="0" w:color="auto"/>
            <w:left w:val="none" w:sz="0" w:space="0" w:color="auto"/>
            <w:bottom w:val="none" w:sz="0" w:space="0" w:color="auto"/>
            <w:right w:val="none" w:sz="0" w:space="0" w:color="auto"/>
          </w:divBdr>
        </w:div>
        <w:div w:id="754521300">
          <w:marLeft w:val="0"/>
          <w:marRight w:val="0"/>
          <w:marTop w:val="0"/>
          <w:marBottom w:val="0"/>
          <w:divBdr>
            <w:top w:val="none" w:sz="0" w:space="0" w:color="auto"/>
            <w:left w:val="none" w:sz="0" w:space="0" w:color="auto"/>
            <w:bottom w:val="none" w:sz="0" w:space="0" w:color="auto"/>
            <w:right w:val="none" w:sz="0" w:space="0" w:color="auto"/>
          </w:divBdr>
        </w:div>
        <w:div w:id="771364456">
          <w:marLeft w:val="0"/>
          <w:marRight w:val="0"/>
          <w:marTop w:val="0"/>
          <w:marBottom w:val="0"/>
          <w:divBdr>
            <w:top w:val="none" w:sz="0" w:space="0" w:color="auto"/>
            <w:left w:val="none" w:sz="0" w:space="0" w:color="auto"/>
            <w:bottom w:val="none" w:sz="0" w:space="0" w:color="auto"/>
            <w:right w:val="none" w:sz="0" w:space="0" w:color="auto"/>
          </w:divBdr>
        </w:div>
        <w:div w:id="803698615">
          <w:marLeft w:val="0"/>
          <w:marRight w:val="0"/>
          <w:marTop w:val="0"/>
          <w:marBottom w:val="0"/>
          <w:divBdr>
            <w:top w:val="none" w:sz="0" w:space="0" w:color="auto"/>
            <w:left w:val="none" w:sz="0" w:space="0" w:color="auto"/>
            <w:bottom w:val="none" w:sz="0" w:space="0" w:color="auto"/>
            <w:right w:val="none" w:sz="0" w:space="0" w:color="auto"/>
          </w:divBdr>
        </w:div>
        <w:div w:id="805464089">
          <w:marLeft w:val="0"/>
          <w:marRight w:val="0"/>
          <w:marTop w:val="0"/>
          <w:marBottom w:val="0"/>
          <w:divBdr>
            <w:top w:val="none" w:sz="0" w:space="0" w:color="auto"/>
            <w:left w:val="none" w:sz="0" w:space="0" w:color="auto"/>
            <w:bottom w:val="none" w:sz="0" w:space="0" w:color="auto"/>
            <w:right w:val="none" w:sz="0" w:space="0" w:color="auto"/>
          </w:divBdr>
        </w:div>
        <w:div w:id="825364623">
          <w:marLeft w:val="0"/>
          <w:marRight w:val="0"/>
          <w:marTop w:val="0"/>
          <w:marBottom w:val="0"/>
          <w:divBdr>
            <w:top w:val="none" w:sz="0" w:space="0" w:color="auto"/>
            <w:left w:val="none" w:sz="0" w:space="0" w:color="auto"/>
            <w:bottom w:val="none" w:sz="0" w:space="0" w:color="auto"/>
            <w:right w:val="none" w:sz="0" w:space="0" w:color="auto"/>
          </w:divBdr>
        </w:div>
        <w:div w:id="840198210">
          <w:marLeft w:val="0"/>
          <w:marRight w:val="0"/>
          <w:marTop w:val="0"/>
          <w:marBottom w:val="0"/>
          <w:divBdr>
            <w:top w:val="none" w:sz="0" w:space="0" w:color="auto"/>
            <w:left w:val="none" w:sz="0" w:space="0" w:color="auto"/>
            <w:bottom w:val="none" w:sz="0" w:space="0" w:color="auto"/>
            <w:right w:val="none" w:sz="0" w:space="0" w:color="auto"/>
          </w:divBdr>
        </w:div>
        <w:div w:id="850412115">
          <w:marLeft w:val="0"/>
          <w:marRight w:val="0"/>
          <w:marTop w:val="0"/>
          <w:marBottom w:val="0"/>
          <w:divBdr>
            <w:top w:val="none" w:sz="0" w:space="0" w:color="auto"/>
            <w:left w:val="none" w:sz="0" w:space="0" w:color="auto"/>
            <w:bottom w:val="none" w:sz="0" w:space="0" w:color="auto"/>
            <w:right w:val="none" w:sz="0" w:space="0" w:color="auto"/>
          </w:divBdr>
        </w:div>
        <w:div w:id="853808769">
          <w:marLeft w:val="0"/>
          <w:marRight w:val="0"/>
          <w:marTop w:val="0"/>
          <w:marBottom w:val="0"/>
          <w:divBdr>
            <w:top w:val="none" w:sz="0" w:space="0" w:color="auto"/>
            <w:left w:val="none" w:sz="0" w:space="0" w:color="auto"/>
            <w:bottom w:val="none" w:sz="0" w:space="0" w:color="auto"/>
            <w:right w:val="none" w:sz="0" w:space="0" w:color="auto"/>
          </w:divBdr>
        </w:div>
        <w:div w:id="872577698">
          <w:marLeft w:val="0"/>
          <w:marRight w:val="0"/>
          <w:marTop w:val="0"/>
          <w:marBottom w:val="0"/>
          <w:divBdr>
            <w:top w:val="none" w:sz="0" w:space="0" w:color="auto"/>
            <w:left w:val="none" w:sz="0" w:space="0" w:color="auto"/>
            <w:bottom w:val="none" w:sz="0" w:space="0" w:color="auto"/>
            <w:right w:val="none" w:sz="0" w:space="0" w:color="auto"/>
          </w:divBdr>
        </w:div>
        <w:div w:id="896362000">
          <w:marLeft w:val="0"/>
          <w:marRight w:val="0"/>
          <w:marTop w:val="0"/>
          <w:marBottom w:val="0"/>
          <w:divBdr>
            <w:top w:val="none" w:sz="0" w:space="0" w:color="auto"/>
            <w:left w:val="none" w:sz="0" w:space="0" w:color="auto"/>
            <w:bottom w:val="none" w:sz="0" w:space="0" w:color="auto"/>
            <w:right w:val="none" w:sz="0" w:space="0" w:color="auto"/>
          </w:divBdr>
        </w:div>
        <w:div w:id="896672034">
          <w:marLeft w:val="0"/>
          <w:marRight w:val="0"/>
          <w:marTop w:val="0"/>
          <w:marBottom w:val="0"/>
          <w:divBdr>
            <w:top w:val="none" w:sz="0" w:space="0" w:color="auto"/>
            <w:left w:val="none" w:sz="0" w:space="0" w:color="auto"/>
            <w:bottom w:val="none" w:sz="0" w:space="0" w:color="auto"/>
            <w:right w:val="none" w:sz="0" w:space="0" w:color="auto"/>
          </w:divBdr>
        </w:div>
        <w:div w:id="908534358">
          <w:marLeft w:val="0"/>
          <w:marRight w:val="0"/>
          <w:marTop w:val="0"/>
          <w:marBottom w:val="0"/>
          <w:divBdr>
            <w:top w:val="none" w:sz="0" w:space="0" w:color="auto"/>
            <w:left w:val="none" w:sz="0" w:space="0" w:color="auto"/>
            <w:bottom w:val="none" w:sz="0" w:space="0" w:color="auto"/>
            <w:right w:val="none" w:sz="0" w:space="0" w:color="auto"/>
          </w:divBdr>
        </w:div>
        <w:div w:id="909264991">
          <w:marLeft w:val="0"/>
          <w:marRight w:val="0"/>
          <w:marTop w:val="0"/>
          <w:marBottom w:val="0"/>
          <w:divBdr>
            <w:top w:val="none" w:sz="0" w:space="0" w:color="auto"/>
            <w:left w:val="none" w:sz="0" w:space="0" w:color="auto"/>
            <w:bottom w:val="none" w:sz="0" w:space="0" w:color="auto"/>
            <w:right w:val="none" w:sz="0" w:space="0" w:color="auto"/>
          </w:divBdr>
        </w:div>
        <w:div w:id="919631155">
          <w:marLeft w:val="0"/>
          <w:marRight w:val="0"/>
          <w:marTop w:val="0"/>
          <w:marBottom w:val="0"/>
          <w:divBdr>
            <w:top w:val="none" w:sz="0" w:space="0" w:color="auto"/>
            <w:left w:val="none" w:sz="0" w:space="0" w:color="auto"/>
            <w:bottom w:val="none" w:sz="0" w:space="0" w:color="auto"/>
            <w:right w:val="none" w:sz="0" w:space="0" w:color="auto"/>
          </w:divBdr>
        </w:div>
        <w:div w:id="927538434">
          <w:marLeft w:val="0"/>
          <w:marRight w:val="0"/>
          <w:marTop w:val="0"/>
          <w:marBottom w:val="0"/>
          <w:divBdr>
            <w:top w:val="none" w:sz="0" w:space="0" w:color="auto"/>
            <w:left w:val="none" w:sz="0" w:space="0" w:color="auto"/>
            <w:bottom w:val="none" w:sz="0" w:space="0" w:color="auto"/>
            <w:right w:val="none" w:sz="0" w:space="0" w:color="auto"/>
          </w:divBdr>
        </w:div>
        <w:div w:id="957443717">
          <w:marLeft w:val="0"/>
          <w:marRight w:val="0"/>
          <w:marTop w:val="0"/>
          <w:marBottom w:val="0"/>
          <w:divBdr>
            <w:top w:val="none" w:sz="0" w:space="0" w:color="auto"/>
            <w:left w:val="none" w:sz="0" w:space="0" w:color="auto"/>
            <w:bottom w:val="none" w:sz="0" w:space="0" w:color="auto"/>
            <w:right w:val="none" w:sz="0" w:space="0" w:color="auto"/>
          </w:divBdr>
        </w:div>
        <w:div w:id="964771516">
          <w:marLeft w:val="0"/>
          <w:marRight w:val="0"/>
          <w:marTop w:val="0"/>
          <w:marBottom w:val="0"/>
          <w:divBdr>
            <w:top w:val="none" w:sz="0" w:space="0" w:color="auto"/>
            <w:left w:val="none" w:sz="0" w:space="0" w:color="auto"/>
            <w:bottom w:val="none" w:sz="0" w:space="0" w:color="auto"/>
            <w:right w:val="none" w:sz="0" w:space="0" w:color="auto"/>
          </w:divBdr>
        </w:div>
        <w:div w:id="970090972">
          <w:marLeft w:val="0"/>
          <w:marRight w:val="0"/>
          <w:marTop w:val="0"/>
          <w:marBottom w:val="0"/>
          <w:divBdr>
            <w:top w:val="none" w:sz="0" w:space="0" w:color="auto"/>
            <w:left w:val="none" w:sz="0" w:space="0" w:color="auto"/>
            <w:bottom w:val="none" w:sz="0" w:space="0" w:color="auto"/>
            <w:right w:val="none" w:sz="0" w:space="0" w:color="auto"/>
          </w:divBdr>
        </w:div>
        <w:div w:id="1009720982">
          <w:marLeft w:val="0"/>
          <w:marRight w:val="0"/>
          <w:marTop w:val="0"/>
          <w:marBottom w:val="0"/>
          <w:divBdr>
            <w:top w:val="none" w:sz="0" w:space="0" w:color="auto"/>
            <w:left w:val="none" w:sz="0" w:space="0" w:color="auto"/>
            <w:bottom w:val="none" w:sz="0" w:space="0" w:color="auto"/>
            <w:right w:val="none" w:sz="0" w:space="0" w:color="auto"/>
          </w:divBdr>
        </w:div>
        <w:div w:id="1012689116">
          <w:marLeft w:val="0"/>
          <w:marRight w:val="0"/>
          <w:marTop w:val="0"/>
          <w:marBottom w:val="0"/>
          <w:divBdr>
            <w:top w:val="none" w:sz="0" w:space="0" w:color="auto"/>
            <w:left w:val="none" w:sz="0" w:space="0" w:color="auto"/>
            <w:bottom w:val="none" w:sz="0" w:space="0" w:color="auto"/>
            <w:right w:val="none" w:sz="0" w:space="0" w:color="auto"/>
          </w:divBdr>
        </w:div>
        <w:div w:id="1023629446">
          <w:marLeft w:val="0"/>
          <w:marRight w:val="0"/>
          <w:marTop w:val="0"/>
          <w:marBottom w:val="0"/>
          <w:divBdr>
            <w:top w:val="none" w:sz="0" w:space="0" w:color="auto"/>
            <w:left w:val="none" w:sz="0" w:space="0" w:color="auto"/>
            <w:bottom w:val="none" w:sz="0" w:space="0" w:color="auto"/>
            <w:right w:val="none" w:sz="0" w:space="0" w:color="auto"/>
          </w:divBdr>
        </w:div>
        <w:div w:id="1026171837">
          <w:marLeft w:val="0"/>
          <w:marRight w:val="0"/>
          <w:marTop w:val="0"/>
          <w:marBottom w:val="0"/>
          <w:divBdr>
            <w:top w:val="none" w:sz="0" w:space="0" w:color="auto"/>
            <w:left w:val="none" w:sz="0" w:space="0" w:color="auto"/>
            <w:bottom w:val="none" w:sz="0" w:space="0" w:color="auto"/>
            <w:right w:val="none" w:sz="0" w:space="0" w:color="auto"/>
          </w:divBdr>
        </w:div>
        <w:div w:id="1040936910">
          <w:marLeft w:val="0"/>
          <w:marRight w:val="0"/>
          <w:marTop w:val="0"/>
          <w:marBottom w:val="0"/>
          <w:divBdr>
            <w:top w:val="none" w:sz="0" w:space="0" w:color="auto"/>
            <w:left w:val="none" w:sz="0" w:space="0" w:color="auto"/>
            <w:bottom w:val="none" w:sz="0" w:space="0" w:color="auto"/>
            <w:right w:val="none" w:sz="0" w:space="0" w:color="auto"/>
          </w:divBdr>
        </w:div>
        <w:div w:id="1068724297">
          <w:marLeft w:val="0"/>
          <w:marRight w:val="0"/>
          <w:marTop w:val="0"/>
          <w:marBottom w:val="0"/>
          <w:divBdr>
            <w:top w:val="none" w:sz="0" w:space="0" w:color="auto"/>
            <w:left w:val="none" w:sz="0" w:space="0" w:color="auto"/>
            <w:bottom w:val="none" w:sz="0" w:space="0" w:color="auto"/>
            <w:right w:val="none" w:sz="0" w:space="0" w:color="auto"/>
          </w:divBdr>
        </w:div>
        <w:div w:id="1099448878">
          <w:marLeft w:val="0"/>
          <w:marRight w:val="0"/>
          <w:marTop w:val="0"/>
          <w:marBottom w:val="0"/>
          <w:divBdr>
            <w:top w:val="none" w:sz="0" w:space="0" w:color="auto"/>
            <w:left w:val="none" w:sz="0" w:space="0" w:color="auto"/>
            <w:bottom w:val="none" w:sz="0" w:space="0" w:color="auto"/>
            <w:right w:val="none" w:sz="0" w:space="0" w:color="auto"/>
          </w:divBdr>
        </w:div>
        <w:div w:id="1100680028">
          <w:marLeft w:val="0"/>
          <w:marRight w:val="0"/>
          <w:marTop w:val="0"/>
          <w:marBottom w:val="0"/>
          <w:divBdr>
            <w:top w:val="none" w:sz="0" w:space="0" w:color="auto"/>
            <w:left w:val="none" w:sz="0" w:space="0" w:color="auto"/>
            <w:bottom w:val="none" w:sz="0" w:space="0" w:color="auto"/>
            <w:right w:val="none" w:sz="0" w:space="0" w:color="auto"/>
          </w:divBdr>
        </w:div>
        <w:div w:id="1112478054">
          <w:marLeft w:val="0"/>
          <w:marRight w:val="0"/>
          <w:marTop w:val="0"/>
          <w:marBottom w:val="0"/>
          <w:divBdr>
            <w:top w:val="none" w:sz="0" w:space="0" w:color="auto"/>
            <w:left w:val="none" w:sz="0" w:space="0" w:color="auto"/>
            <w:bottom w:val="none" w:sz="0" w:space="0" w:color="auto"/>
            <w:right w:val="none" w:sz="0" w:space="0" w:color="auto"/>
          </w:divBdr>
        </w:div>
        <w:div w:id="1112676507">
          <w:marLeft w:val="0"/>
          <w:marRight w:val="0"/>
          <w:marTop w:val="0"/>
          <w:marBottom w:val="0"/>
          <w:divBdr>
            <w:top w:val="none" w:sz="0" w:space="0" w:color="auto"/>
            <w:left w:val="none" w:sz="0" w:space="0" w:color="auto"/>
            <w:bottom w:val="none" w:sz="0" w:space="0" w:color="auto"/>
            <w:right w:val="none" w:sz="0" w:space="0" w:color="auto"/>
          </w:divBdr>
        </w:div>
        <w:div w:id="1119951508">
          <w:marLeft w:val="0"/>
          <w:marRight w:val="0"/>
          <w:marTop w:val="0"/>
          <w:marBottom w:val="0"/>
          <w:divBdr>
            <w:top w:val="none" w:sz="0" w:space="0" w:color="auto"/>
            <w:left w:val="none" w:sz="0" w:space="0" w:color="auto"/>
            <w:bottom w:val="none" w:sz="0" w:space="0" w:color="auto"/>
            <w:right w:val="none" w:sz="0" w:space="0" w:color="auto"/>
          </w:divBdr>
        </w:div>
        <w:div w:id="1122647242">
          <w:marLeft w:val="0"/>
          <w:marRight w:val="0"/>
          <w:marTop w:val="0"/>
          <w:marBottom w:val="0"/>
          <w:divBdr>
            <w:top w:val="none" w:sz="0" w:space="0" w:color="auto"/>
            <w:left w:val="none" w:sz="0" w:space="0" w:color="auto"/>
            <w:bottom w:val="none" w:sz="0" w:space="0" w:color="auto"/>
            <w:right w:val="none" w:sz="0" w:space="0" w:color="auto"/>
          </w:divBdr>
        </w:div>
        <w:div w:id="1133324418">
          <w:marLeft w:val="0"/>
          <w:marRight w:val="0"/>
          <w:marTop w:val="0"/>
          <w:marBottom w:val="0"/>
          <w:divBdr>
            <w:top w:val="none" w:sz="0" w:space="0" w:color="auto"/>
            <w:left w:val="none" w:sz="0" w:space="0" w:color="auto"/>
            <w:bottom w:val="none" w:sz="0" w:space="0" w:color="auto"/>
            <w:right w:val="none" w:sz="0" w:space="0" w:color="auto"/>
          </w:divBdr>
        </w:div>
        <w:div w:id="1140540272">
          <w:marLeft w:val="0"/>
          <w:marRight w:val="0"/>
          <w:marTop w:val="0"/>
          <w:marBottom w:val="0"/>
          <w:divBdr>
            <w:top w:val="none" w:sz="0" w:space="0" w:color="auto"/>
            <w:left w:val="none" w:sz="0" w:space="0" w:color="auto"/>
            <w:bottom w:val="none" w:sz="0" w:space="0" w:color="auto"/>
            <w:right w:val="none" w:sz="0" w:space="0" w:color="auto"/>
          </w:divBdr>
        </w:div>
        <w:div w:id="1148322203">
          <w:marLeft w:val="0"/>
          <w:marRight w:val="0"/>
          <w:marTop w:val="0"/>
          <w:marBottom w:val="0"/>
          <w:divBdr>
            <w:top w:val="none" w:sz="0" w:space="0" w:color="auto"/>
            <w:left w:val="none" w:sz="0" w:space="0" w:color="auto"/>
            <w:bottom w:val="none" w:sz="0" w:space="0" w:color="auto"/>
            <w:right w:val="none" w:sz="0" w:space="0" w:color="auto"/>
          </w:divBdr>
        </w:div>
        <w:div w:id="1181091429">
          <w:marLeft w:val="0"/>
          <w:marRight w:val="0"/>
          <w:marTop w:val="0"/>
          <w:marBottom w:val="0"/>
          <w:divBdr>
            <w:top w:val="none" w:sz="0" w:space="0" w:color="auto"/>
            <w:left w:val="none" w:sz="0" w:space="0" w:color="auto"/>
            <w:bottom w:val="none" w:sz="0" w:space="0" w:color="auto"/>
            <w:right w:val="none" w:sz="0" w:space="0" w:color="auto"/>
          </w:divBdr>
        </w:div>
        <w:div w:id="1188060616">
          <w:marLeft w:val="0"/>
          <w:marRight w:val="0"/>
          <w:marTop w:val="0"/>
          <w:marBottom w:val="0"/>
          <w:divBdr>
            <w:top w:val="none" w:sz="0" w:space="0" w:color="auto"/>
            <w:left w:val="none" w:sz="0" w:space="0" w:color="auto"/>
            <w:bottom w:val="none" w:sz="0" w:space="0" w:color="auto"/>
            <w:right w:val="none" w:sz="0" w:space="0" w:color="auto"/>
          </w:divBdr>
        </w:div>
        <w:div w:id="1234124136">
          <w:marLeft w:val="0"/>
          <w:marRight w:val="0"/>
          <w:marTop w:val="0"/>
          <w:marBottom w:val="0"/>
          <w:divBdr>
            <w:top w:val="none" w:sz="0" w:space="0" w:color="auto"/>
            <w:left w:val="none" w:sz="0" w:space="0" w:color="auto"/>
            <w:bottom w:val="none" w:sz="0" w:space="0" w:color="auto"/>
            <w:right w:val="none" w:sz="0" w:space="0" w:color="auto"/>
          </w:divBdr>
        </w:div>
        <w:div w:id="1246378724">
          <w:marLeft w:val="0"/>
          <w:marRight w:val="0"/>
          <w:marTop w:val="0"/>
          <w:marBottom w:val="0"/>
          <w:divBdr>
            <w:top w:val="none" w:sz="0" w:space="0" w:color="auto"/>
            <w:left w:val="none" w:sz="0" w:space="0" w:color="auto"/>
            <w:bottom w:val="none" w:sz="0" w:space="0" w:color="auto"/>
            <w:right w:val="none" w:sz="0" w:space="0" w:color="auto"/>
          </w:divBdr>
        </w:div>
        <w:div w:id="1269040257">
          <w:marLeft w:val="0"/>
          <w:marRight w:val="0"/>
          <w:marTop w:val="0"/>
          <w:marBottom w:val="0"/>
          <w:divBdr>
            <w:top w:val="none" w:sz="0" w:space="0" w:color="auto"/>
            <w:left w:val="none" w:sz="0" w:space="0" w:color="auto"/>
            <w:bottom w:val="none" w:sz="0" w:space="0" w:color="auto"/>
            <w:right w:val="none" w:sz="0" w:space="0" w:color="auto"/>
          </w:divBdr>
        </w:div>
        <w:div w:id="1269238611">
          <w:marLeft w:val="0"/>
          <w:marRight w:val="0"/>
          <w:marTop w:val="0"/>
          <w:marBottom w:val="0"/>
          <w:divBdr>
            <w:top w:val="none" w:sz="0" w:space="0" w:color="auto"/>
            <w:left w:val="none" w:sz="0" w:space="0" w:color="auto"/>
            <w:bottom w:val="none" w:sz="0" w:space="0" w:color="auto"/>
            <w:right w:val="none" w:sz="0" w:space="0" w:color="auto"/>
          </w:divBdr>
        </w:div>
        <w:div w:id="1295718247">
          <w:marLeft w:val="0"/>
          <w:marRight w:val="0"/>
          <w:marTop w:val="0"/>
          <w:marBottom w:val="0"/>
          <w:divBdr>
            <w:top w:val="none" w:sz="0" w:space="0" w:color="auto"/>
            <w:left w:val="none" w:sz="0" w:space="0" w:color="auto"/>
            <w:bottom w:val="none" w:sz="0" w:space="0" w:color="auto"/>
            <w:right w:val="none" w:sz="0" w:space="0" w:color="auto"/>
          </w:divBdr>
        </w:div>
        <w:div w:id="1297831395">
          <w:marLeft w:val="0"/>
          <w:marRight w:val="0"/>
          <w:marTop w:val="0"/>
          <w:marBottom w:val="0"/>
          <w:divBdr>
            <w:top w:val="none" w:sz="0" w:space="0" w:color="auto"/>
            <w:left w:val="none" w:sz="0" w:space="0" w:color="auto"/>
            <w:bottom w:val="none" w:sz="0" w:space="0" w:color="auto"/>
            <w:right w:val="none" w:sz="0" w:space="0" w:color="auto"/>
          </w:divBdr>
        </w:div>
        <w:div w:id="1302610668">
          <w:marLeft w:val="0"/>
          <w:marRight w:val="0"/>
          <w:marTop w:val="0"/>
          <w:marBottom w:val="0"/>
          <w:divBdr>
            <w:top w:val="none" w:sz="0" w:space="0" w:color="auto"/>
            <w:left w:val="none" w:sz="0" w:space="0" w:color="auto"/>
            <w:bottom w:val="none" w:sz="0" w:space="0" w:color="auto"/>
            <w:right w:val="none" w:sz="0" w:space="0" w:color="auto"/>
          </w:divBdr>
        </w:div>
        <w:div w:id="1303920230">
          <w:marLeft w:val="0"/>
          <w:marRight w:val="0"/>
          <w:marTop w:val="0"/>
          <w:marBottom w:val="0"/>
          <w:divBdr>
            <w:top w:val="none" w:sz="0" w:space="0" w:color="auto"/>
            <w:left w:val="none" w:sz="0" w:space="0" w:color="auto"/>
            <w:bottom w:val="none" w:sz="0" w:space="0" w:color="auto"/>
            <w:right w:val="none" w:sz="0" w:space="0" w:color="auto"/>
          </w:divBdr>
        </w:div>
        <w:div w:id="1308167091">
          <w:marLeft w:val="0"/>
          <w:marRight w:val="0"/>
          <w:marTop w:val="0"/>
          <w:marBottom w:val="0"/>
          <w:divBdr>
            <w:top w:val="none" w:sz="0" w:space="0" w:color="auto"/>
            <w:left w:val="none" w:sz="0" w:space="0" w:color="auto"/>
            <w:bottom w:val="none" w:sz="0" w:space="0" w:color="auto"/>
            <w:right w:val="none" w:sz="0" w:space="0" w:color="auto"/>
          </w:divBdr>
        </w:div>
        <w:div w:id="1311440951">
          <w:marLeft w:val="0"/>
          <w:marRight w:val="0"/>
          <w:marTop w:val="0"/>
          <w:marBottom w:val="0"/>
          <w:divBdr>
            <w:top w:val="none" w:sz="0" w:space="0" w:color="auto"/>
            <w:left w:val="none" w:sz="0" w:space="0" w:color="auto"/>
            <w:bottom w:val="none" w:sz="0" w:space="0" w:color="auto"/>
            <w:right w:val="none" w:sz="0" w:space="0" w:color="auto"/>
          </w:divBdr>
        </w:div>
        <w:div w:id="1318076028">
          <w:marLeft w:val="0"/>
          <w:marRight w:val="0"/>
          <w:marTop w:val="0"/>
          <w:marBottom w:val="0"/>
          <w:divBdr>
            <w:top w:val="none" w:sz="0" w:space="0" w:color="auto"/>
            <w:left w:val="none" w:sz="0" w:space="0" w:color="auto"/>
            <w:bottom w:val="none" w:sz="0" w:space="0" w:color="auto"/>
            <w:right w:val="none" w:sz="0" w:space="0" w:color="auto"/>
          </w:divBdr>
        </w:div>
        <w:div w:id="1344555049">
          <w:marLeft w:val="0"/>
          <w:marRight w:val="0"/>
          <w:marTop w:val="0"/>
          <w:marBottom w:val="0"/>
          <w:divBdr>
            <w:top w:val="none" w:sz="0" w:space="0" w:color="auto"/>
            <w:left w:val="none" w:sz="0" w:space="0" w:color="auto"/>
            <w:bottom w:val="none" w:sz="0" w:space="0" w:color="auto"/>
            <w:right w:val="none" w:sz="0" w:space="0" w:color="auto"/>
          </w:divBdr>
        </w:div>
        <w:div w:id="1369143594">
          <w:marLeft w:val="0"/>
          <w:marRight w:val="0"/>
          <w:marTop w:val="0"/>
          <w:marBottom w:val="0"/>
          <w:divBdr>
            <w:top w:val="none" w:sz="0" w:space="0" w:color="auto"/>
            <w:left w:val="none" w:sz="0" w:space="0" w:color="auto"/>
            <w:bottom w:val="none" w:sz="0" w:space="0" w:color="auto"/>
            <w:right w:val="none" w:sz="0" w:space="0" w:color="auto"/>
          </w:divBdr>
        </w:div>
        <w:div w:id="1390375521">
          <w:marLeft w:val="0"/>
          <w:marRight w:val="0"/>
          <w:marTop w:val="0"/>
          <w:marBottom w:val="0"/>
          <w:divBdr>
            <w:top w:val="none" w:sz="0" w:space="0" w:color="auto"/>
            <w:left w:val="none" w:sz="0" w:space="0" w:color="auto"/>
            <w:bottom w:val="none" w:sz="0" w:space="0" w:color="auto"/>
            <w:right w:val="none" w:sz="0" w:space="0" w:color="auto"/>
          </w:divBdr>
        </w:div>
        <w:div w:id="1393236018">
          <w:marLeft w:val="0"/>
          <w:marRight w:val="0"/>
          <w:marTop w:val="0"/>
          <w:marBottom w:val="0"/>
          <w:divBdr>
            <w:top w:val="none" w:sz="0" w:space="0" w:color="auto"/>
            <w:left w:val="none" w:sz="0" w:space="0" w:color="auto"/>
            <w:bottom w:val="none" w:sz="0" w:space="0" w:color="auto"/>
            <w:right w:val="none" w:sz="0" w:space="0" w:color="auto"/>
          </w:divBdr>
        </w:div>
        <w:div w:id="1399286911">
          <w:marLeft w:val="0"/>
          <w:marRight w:val="0"/>
          <w:marTop w:val="0"/>
          <w:marBottom w:val="0"/>
          <w:divBdr>
            <w:top w:val="none" w:sz="0" w:space="0" w:color="auto"/>
            <w:left w:val="none" w:sz="0" w:space="0" w:color="auto"/>
            <w:bottom w:val="none" w:sz="0" w:space="0" w:color="auto"/>
            <w:right w:val="none" w:sz="0" w:space="0" w:color="auto"/>
          </w:divBdr>
        </w:div>
        <w:div w:id="1412897863">
          <w:marLeft w:val="0"/>
          <w:marRight w:val="0"/>
          <w:marTop w:val="0"/>
          <w:marBottom w:val="0"/>
          <w:divBdr>
            <w:top w:val="none" w:sz="0" w:space="0" w:color="auto"/>
            <w:left w:val="none" w:sz="0" w:space="0" w:color="auto"/>
            <w:bottom w:val="none" w:sz="0" w:space="0" w:color="auto"/>
            <w:right w:val="none" w:sz="0" w:space="0" w:color="auto"/>
          </w:divBdr>
        </w:div>
        <w:div w:id="1421948373">
          <w:marLeft w:val="0"/>
          <w:marRight w:val="0"/>
          <w:marTop w:val="0"/>
          <w:marBottom w:val="0"/>
          <w:divBdr>
            <w:top w:val="none" w:sz="0" w:space="0" w:color="auto"/>
            <w:left w:val="none" w:sz="0" w:space="0" w:color="auto"/>
            <w:bottom w:val="none" w:sz="0" w:space="0" w:color="auto"/>
            <w:right w:val="none" w:sz="0" w:space="0" w:color="auto"/>
          </w:divBdr>
        </w:div>
        <w:div w:id="1425833234">
          <w:marLeft w:val="0"/>
          <w:marRight w:val="0"/>
          <w:marTop w:val="0"/>
          <w:marBottom w:val="0"/>
          <w:divBdr>
            <w:top w:val="none" w:sz="0" w:space="0" w:color="auto"/>
            <w:left w:val="none" w:sz="0" w:space="0" w:color="auto"/>
            <w:bottom w:val="none" w:sz="0" w:space="0" w:color="auto"/>
            <w:right w:val="none" w:sz="0" w:space="0" w:color="auto"/>
          </w:divBdr>
        </w:div>
        <w:div w:id="1426150787">
          <w:marLeft w:val="0"/>
          <w:marRight w:val="0"/>
          <w:marTop w:val="0"/>
          <w:marBottom w:val="0"/>
          <w:divBdr>
            <w:top w:val="none" w:sz="0" w:space="0" w:color="auto"/>
            <w:left w:val="none" w:sz="0" w:space="0" w:color="auto"/>
            <w:bottom w:val="none" w:sz="0" w:space="0" w:color="auto"/>
            <w:right w:val="none" w:sz="0" w:space="0" w:color="auto"/>
          </w:divBdr>
        </w:div>
        <w:div w:id="1434012759">
          <w:marLeft w:val="0"/>
          <w:marRight w:val="0"/>
          <w:marTop w:val="0"/>
          <w:marBottom w:val="0"/>
          <w:divBdr>
            <w:top w:val="none" w:sz="0" w:space="0" w:color="auto"/>
            <w:left w:val="none" w:sz="0" w:space="0" w:color="auto"/>
            <w:bottom w:val="none" w:sz="0" w:space="0" w:color="auto"/>
            <w:right w:val="none" w:sz="0" w:space="0" w:color="auto"/>
          </w:divBdr>
        </w:div>
        <w:div w:id="1437822830">
          <w:marLeft w:val="0"/>
          <w:marRight w:val="0"/>
          <w:marTop w:val="0"/>
          <w:marBottom w:val="0"/>
          <w:divBdr>
            <w:top w:val="none" w:sz="0" w:space="0" w:color="auto"/>
            <w:left w:val="none" w:sz="0" w:space="0" w:color="auto"/>
            <w:bottom w:val="none" w:sz="0" w:space="0" w:color="auto"/>
            <w:right w:val="none" w:sz="0" w:space="0" w:color="auto"/>
          </w:divBdr>
        </w:div>
        <w:div w:id="1465389584">
          <w:marLeft w:val="0"/>
          <w:marRight w:val="0"/>
          <w:marTop w:val="0"/>
          <w:marBottom w:val="0"/>
          <w:divBdr>
            <w:top w:val="none" w:sz="0" w:space="0" w:color="auto"/>
            <w:left w:val="none" w:sz="0" w:space="0" w:color="auto"/>
            <w:bottom w:val="none" w:sz="0" w:space="0" w:color="auto"/>
            <w:right w:val="none" w:sz="0" w:space="0" w:color="auto"/>
          </w:divBdr>
        </w:div>
        <w:div w:id="1510559282">
          <w:marLeft w:val="0"/>
          <w:marRight w:val="0"/>
          <w:marTop w:val="0"/>
          <w:marBottom w:val="0"/>
          <w:divBdr>
            <w:top w:val="none" w:sz="0" w:space="0" w:color="auto"/>
            <w:left w:val="none" w:sz="0" w:space="0" w:color="auto"/>
            <w:bottom w:val="none" w:sz="0" w:space="0" w:color="auto"/>
            <w:right w:val="none" w:sz="0" w:space="0" w:color="auto"/>
          </w:divBdr>
        </w:div>
        <w:div w:id="1511986310">
          <w:marLeft w:val="0"/>
          <w:marRight w:val="0"/>
          <w:marTop w:val="0"/>
          <w:marBottom w:val="0"/>
          <w:divBdr>
            <w:top w:val="none" w:sz="0" w:space="0" w:color="auto"/>
            <w:left w:val="none" w:sz="0" w:space="0" w:color="auto"/>
            <w:bottom w:val="none" w:sz="0" w:space="0" w:color="auto"/>
            <w:right w:val="none" w:sz="0" w:space="0" w:color="auto"/>
          </w:divBdr>
        </w:div>
        <w:div w:id="1513492557">
          <w:marLeft w:val="0"/>
          <w:marRight w:val="0"/>
          <w:marTop w:val="0"/>
          <w:marBottom w:val="0"/>
          <w:divBdr>
            <w:top w:val="none" w:sz="0" w:space="0" w:color="auto"/>
            <w:left w:val="none" w:sz="0" w:space="0" w:color="auto"/>
            <w:bottom w:val="none" w:sz="0" w:space="0" w:color="auto"/>
            <w:right w:val="none" w:sz="0" w:space="0" w:color="auto"/>
          </w:divBdr>
        </w:div>
        <w:div w:id="1513838518">
          <w:marLeft w:val="0"/>
          <w:marRight w:val="0"/>
          <w:marTop w:val="0"/>
          <w:marBottom w:val="0"/>
          <w:divBdr>
            <w:top w:val="none" w:sz="0" w:space="0" w:color="auto"/>
            <w:left w:val="none" w:sz="0" w:space="0" w:color="auto"/>
            <w:bottom w:val="none" w:sz="0" w:space="0" w:color="auto"/>
            <w:right w:val="none" w:sz="0" w:space="0" w:color="auto"/>
          </w:divBdr>
        </w:div>
        <w:div w:id="1522741716">
          <w:marLeft w:val="0"/>
          <w:marRight w:val="0"/>
          <w:marTop w:val="0"/>
          <w:marBottom w:val="0"/>
          <w:divBdr>
            <w:top w:val="none" w:sz="0" w:space="0" w:color="auto"/>
            <w:left w:val="none" w:sz="0" w:space="0" w:color="auto"/>
            <w:bottom w:val="none" w:sz="0" w:space="0" w:color="auto"/>
            <w:right w:val="none" w:sz="0" w:space="0" w:color="auto"/>
          </w:divBdr>
        </w:div>
        <w:div w:id="1532062244">
          <w:marLeft w:val="0"/>
          <w:marRight w:val="0"/>
          <w:marTop w:val="0"/>
          <w:marBottom w:val="0"/>
          <w:divBdr>
            <w:top w:val="none" w:sz="0" w:space="0" w:color="auto"/>
            <w:left w:val="none" w:sz="0" w:space="0" w:color="auto"/>
            <w:bottom w:val="none" w:sz="0" w:space="0" w:color="auto"/>
            <w:right w:val="none" w:sz="0" w:space="0" w:color="auto"/>
          </w:divBdr>
        </w:div>
        <w:div w:id="1532494987">
          <w:marLeft w:val="0"/>
          <w:marRight w:val="0"/>
          <w:marTop w:val="0"/>
          <w:marBottom w:val="0"/>
          <w:divBdr>
            <w:top w:val="none" w:sz="0" w:space="0" w:color="auto"/>
            <w:left w:val="none" w:sz="0" w:space="0" w:color="auto"/>
            <w:bottom w:val="none" w:sz="0" w:space="0" w:color="auto"/>
            <w:right w:val="none" w:sz="0" w:space="0" w:color="auto"/>
          </w:divBdr>
        </w:div>
        <w:div w:id="1534466144">
          <w:marLeft w:val="0"/>
          <w:marRight w:val="0"/>
          <w:marTop w:val="0"/>
          <w:marBottom w:val="0"/>
          <w:divBdr>
            <w:top w:val="none" w:sz="0" w:space="0" w:color="auto"/>
            <w:left w:val="none" w:sz="0" w:space="0" w:color="auto"/>
            <w:bottom w:val="none" w:sz="0" w:space="0" w:color="auto"/>
            <w:right w:val="none" w:sz="0" w:space="0" w:color="auto"/>
          </w:divBdr>
        </w:div>
        <w:div w:id="1543900713">
          <w:marLeft w:val="0"/>
          <w:marRight w:val="0"/>
          <w:marTop w:val="0"/>
          <w:marBottom w:val="0"/>
          <w:divBdr>
            <w:top w:val="none" w:sz="0" w:space="0" w:color="auto"/>
            <w:left w:val="none" w:sz="0" w:space="0" w:color="auto"/>
            <w:bottom w:val="none" w:sz="0" w:space="0" w:color="auto"/>
            <w:right w:val="none" w:sz="0" w:space="0" w:color="auto"/>
          </w:divBdr>
        </w:div>
        <w:div w:id="1562204535">
          <w:marLeft w:val="0"/>
          <w:marRight w:val="0"/>
          <w:marTop w:val="0"/>
          <w:marBottom w:val="0"/>
          <w:divBdr>
            <w:top w:val="none" w:sz="0" w:space="0" w:color="auto"/>
            <w:left w:val="none" w:sz="0" w:space="0" w:color="auto"/>
            <w:bottom w:val="none" w:sz="0" w:space="0" w:color="auto"/>
            <w:right w:val="none" w:sz="0" w:space="0" w:color="auto"/>
          </w:divBdr>
        </w:div>
        <w:div w:id="1569530717">
          <w:marLeft w:val="0"/>
          <w:marRight w:val="0"/>
          <w:marTop w:val="0"/>
          <w:marBottom w:val="0"/>
          <w:divBdr>
            <w:top w:val="none" w:sz="0" w:space="0" w:color="auto"/>
            <w:left w:val="none" w:sz="0" w:space="0" w:color="auto"/>
            <w:bottom w:val="none" w:sz="0" w:space="0" w:color="auto"/>
            <w:right w:val="none" w:sz="0" w:space="0" w:color="auto"/>
          </w:divBdr>
        </w:div>
        <w:div w:id="1576473826">
          <w:marLeft w:val="0"/>
          <w:marRight w:val="0"/>
          <w:marTop w:val="0"/>
          <w:marBottom w:val="0"/>
          <w:divBdr>
            <w:top w:val="none" w:sz="0" w:space="0" w:color="auto"/>
            <w:left w:val="none" w:sz="0" w:space="0" w:color="auto"/>
            <w:bottom w:val="none" w:sz="0" w:space="0" w:color="auto"/>
            <w:right w:val="none" w:sz="0" w:space="0" w:color="auto"/>
          </w:divBdr>
        </w:div>
        <w:div w:id="1585600778">
          <w:marLeft w:val="0"/>
          <w:marRight w:val="0"/>
          <w:marTop w:val="0"/>
          <w:marBottom w:val="0"/>
          <w:divBdr>
            <w:top w:val="none" w:sz="0" w:space="0" w:color="auto"/>
            <w:left w:val="none" w:sz="0" w:space="0" w:color="auto"/>
            <w:bottom w:val="none" w:sz="0" w:space="0" w:color="auto"/>
            <w:right w:val="none" w:sz="0" w:space="0" w:color="auto"/>
          </w:divBdr>
        </w:div>
        <w:div w:id="1596792498">
          <w:marLeft w:val="0"/>
          <w:marRight w:val="0"/>
          <w:marTop w:val="0"/>
          <w:marBottom w:val="0"/>
          <w:divBdr>
            <w:top w:val="none" w:sz="0" w:space="0" w:color="auto"/>
            <w:left w:val="none" w:sz="0" w:space="0" w:color="auto"/>
            <w:bottom w:val="none" w:sz="0" w:space="0" w:color="auto"/>
            <w:right w:val="none" w:sz="0" w:space="0" w:color="auto"/>
          </w:divBdr>
        </w:div>
        <w:div w:id="1598752690">
          <w:marLeft w:val="0"/>
          <w:marRight w:val="0"/>
          <w:marTop w:val="0"/>
          <w:marBottom w:val="0"/>
          <w:divBdr>
            <w:top w:val="none" w:sz="0" w:space="0" w:color="auto"/>
            <w:left w:val="none" w:sz="0" w:space="0" w:color="auto"/>
            <w:bottom w:val="none" w:sz="0" w:space="0" w:color="auto"/>
            <w:right w:val="none" w:sz="0" w:space="0" w:color="auto"/>
          </w:divBdr>
        </w:div>
        <w:div w:id="1639148546">
          <w:marLeft w:val="0"/>
          <w:marRight w:val="0"/>
          <w:marTop w:val="0"/>
          <w:marBottom w:val="0"/>
          <w:divBdr>
            <w:top w:val="none" w:sz="0" w:space="0" w:color="auto"/>
            <w:left w:val="none" w:sz="0" w:space="0" w:color="auto"/>
            <w:bottom w:val="none" w:sz="0" w:space="0" w:color="auto"/>
            <w:right w:val="none" w:sz="0" w:space="0" w:color="auto"/>
          </w:divBdr>
        </w:div>
        <w:div w:id="1640843913">
          <w:marLeft w:val="0"/>
          <w:marRight w:val="0"/>
          <w:marTop w:val="0"/>
          <w:marBottom w:val="0"/>
          <w:divBdr>
            <w:top w:val="none" w:sz="0" w:space="0" w:color="auto"/>
            <w:left w:val="none" w:sz="0" w:space="0" w:color="auto"/>
            <w:bottom w:val="none" w:sz="0" w:space="0" w:color="auto"/>
            <w:right w:val="none" w:sz="0" w:space="0" w:color="auto"/>
          </w:divBdr>
        </w:div>
        <w:div w:id="1657227059">
          <w:marLeft w:val="0"/>
          <w:marRight w:val="0"/>
          <w:marTop w:val="0"/>
          <w:marBottom w:val="0"/>
          <w:divBdr>
            <w:top w:val="none" w:sz="0" w:space="0" w:color="auto"/>
            <w:left w:val="none" w:sz="0" w:space="0" w:color="auto"/>
            <w:bottom w:val="none" w:sz="0" w:space="0" w:color="auto"/>
            <w:right w:val="none" w:sz="0" w:space="0" w:color="auto"/>
          </w:divBdr>
        </w:div>
        <w:div w:id="1681736977">
          <w:marLeft w:val="0"/>
          <w:marRight w:val="0"/>
          <w:marTop w:val="0"/>
          <w:marBottom w:val="0"/>
          <w:divBdr>
            <w:top w:val="none" w:sz="0" w:space="0" w:color="auto"/>
            <w:left w:val="none" w:sz="0" w:space="0" w:color="auto"/>
            <w:bottom w:val="none" w:sz="0" w:space="0" w:color="auto"/>
            <w:right w:val="none" w:sz="0" w:space="0" w:color="auto"/>
          </w:divBdr>
        </w:div>
        <w:div w:id="1682006938">
          <w:marLeft w:val="0"/>
          <w:marRight w:val="0"/>
          <w:marTop w:val="0"/>
          <w:marBottom w:val="0"/>
          <w:divBdr>
            <w:top w:val="none" w:sz="0" w:space="0" w:color="auto"/>
            <w:left w:val="none" w:sz="0" w:space="0" w:color="auto"/>
            <w:bottom w:val="none" w:sz="0" w:space="0" w:color="auto"/>
            <w:right w:val="none" w:sz="0" w:space="0" w:color="auto"/>
          </w:divBdr>
        </w:div>
        <w:div w:id="1715425467">
          <w:marLeft w:val="0"/>
          <w:marRight w:val="0"/>
          <w:marTop w:val="0"/>
          <w:marBottom w:val="0"/>
          <w:divBdr>
            <w:top w:val="none" w:sz="0" w:space="0" w:color="auto"/>
            <w:left w:val="none" w:sz="0" w:space="0" w:color="auto"/>
            <w:bottom w:val="none" w:sz="0" w:space="0" w:color="auto"/>
            <w:right w:val="none" w:sz="0" w:space="0" w:color="auto"/>
          </w:divBdr>
        </w:div>
        <w:div w:id="1729499382">
          <w:marLeft w:val="0"/>
          <w:marRight w:val="0"/>
          <w:marTop w:val="0"/>
          <w:marBottom w:val="0"/>
          <w:divBdr>
            <w:top w:val="none" w:sz="0" w:space="0" w:color="auto"/>
            <w:left w:val="none" w:sz="0" w:space="0" w:color="auto"/>
            <w:bottom w:val="none" w:sz="0" w:space="0" w:color="auto"/>
            <w:right w:val="none" w:sz="0" w:space="0" w:color="auto"/>
          </w:divBdr>
        </w:div>
        <w:div w:id="1729569153">
          <w:marLeft w:val="0"/>
          <w:marRight w:val="0"/>
          <w:marTop w:val="0"/>
          <w:marBottom w:val="0"/>
          <w:divBdr>
            <w:top w:val="none" w:sz="0" w:space="0" w:color="auto"/>
            <w:left w:val="none" w:sz="0" w:space="0" w:color="auto"/>
            <w:bottom w:val="none" w:sz="0" w:space="0" w:color="auto"/>
            <w:right w:val="none" w:sz="0" w:space="0" w:color="auto"/>
          </w:divBdr>
        </w:div>
        <w:div w:id="1740788179">
          <w:marLeft w:val="0"/>
          <w:marRight w:val="0"/>
          <w:marTop w:val="0"/>
          <w:marBottom w:val="0"/>
          <w:divBdr>
            <w:top w:val="none" w:sz="0" w:space="0" w:color="auto"/>
            <w:left w:val="none" w:sz="0" w:space="0" w:color="auto"/>
            <w:bottom w:val="none" w:sz="0" w:space="0" w:color="auto"/>
            <w:right w:val="none" w:sz="0" w:space="0" w:color="auto"/>
          </w:divBdr>
        </w:div>
        <w:div w:id="1752773202">
          <w:marLeft w:val="0"/>
          <w:marRight w:val="0"/>
          <w:marTop w:val="0"/>
          <w:marBottom w:val="0"/>
          <w:divBdr>
            <w:top w:val="none" w:sz="0" w:space="0" w:color="auto"/>
            <w:left w:val="none" w:sz="0" w:space="0" w:color="auto"/>
            <w:bottom w:val="none" w:sz="0" w:space="0" w:color="auto"/>
            <w:right w:val="none" w:sz="0" w:space="0" w:color="auto"/>
          </w:divBdr>
        </w:div>
        <w:div w:id="1761295768">
          <w:marLeft w:val="0"/>
          <w:marRight w:val="0"/>
          <w:marTop w:val="0"/>
          <w:marBottom w:val="0"/>
          <w:divBdr>
            <w:top w:val="none" w:sz="0" w:space="0" w:color="auto"/>
            <w:left w:val="none" w:sz="0" w:space="0" w:color="auto"/>
            <w:bottom w:val="none" w:sz="0" w:space="0" w:color="auto"/>
            <w:right w:val="none" w:sz="0" w:space="0" w:color="auto"/>
          </w:divBdr>
        </w:div>
        <w:div w:id="1777172383">
          <w:marLeft w:val="0"/>
          <w:marRight w:val="0"/>
          <w:marTop w:val="0"/>
          <w:marBottom w:val="0"/>
          <w:divBdr>
            <w:top w:val="none" w:sz="0" w:space="0" w:color="auto"/>
            <w:left w:val="none" w:sz="0" w:space="0" w:color="auto"/>
            <w:bottom w:val="none" w:sz="0" w:space="0" w:color="auto"/>
            <w:right w:val="none" w:sz="0" w:space="0" w:color="auto"/>
          </w:divBdr>
        </w:div>
        <w:div w:id="1801417407">
          <w:marLeft w:val="0"/>
          <w:marRight w:val="0"/>
          <w:marTop w:val="0"/>
          <w:marBottom w:val="0"/>
          <w:divBdr>
            <w:top w:val="none" w:sz="0" w:space="0" w:color="auto"/>
            <w:left w:val="none" w:sz="0" w:space="0" w:color="auto"/>
            <w:bottom w:val="none" w:sz="0" w:space="0" w:color="auto"/>
            <w:right w:val="none" w:sz="0" w:space="0" w:color="auto"/>
          </w:divBdr>
        </w:div>
        <w:div w:id="1801876134">
          <w:marLeft w:val="0"/>
          <w:marRight w:val="0"/>
          <w:marTop w:val="0"/>
          <w:marBottom w:val="0"/>
          <w:divBdr>
            <w:top w:val="none" w:sz="0" w:space="0" w:color="auto"/>
            <w:left w:val="none" w:sz="0" w:space="0" w:color="auto"/>
            <w:bottom w:val="none" w:sz="0" w:space="0" w:color="auto"/>
            <w:right w:val="none" w:sz="0" w:space="0" w:color="auto"/>
          </w:divBdr>
        </w:div>
        <w:div w:id="1824855169">
          <w:marLeft w:val="0"/>
          <w:marRight w:val="0"/>
          <w:marTop w:val="0"/>
          <w:marBottom w:val="0"/>
          <w:divBdr>
            <w:top w:val="none" w:sz="0" w:space="0" w:color="auto"/>
            <w:left w:val="none" w:sz="0" w:space="0" w:color="auto"/>
            <w:bottom w:val="none" w:sz="0" w:space="0" w:color="auto"/>
            <w:right w:val="none" w:sz="0" w:space="0" w:color="auto"/>
          </w:divBdr>
        </w:div>
        <w:div w:id="1827629740">
          <w:marLeft w:val="0"/>
          <w:marRight w:val="0"/>
          <w:marTop w:val="0"/>
          <w:marBottom w:val="0"/>
          <w:divBdr>
            <w:top w:val="none" w:sz="0" w:space="0" w:color="auto"/>
            <w:left w:val="none" w:sz="0" w:space="0" w:color="auto"/>
            <w:bottom w:val="none" w:sz="0" w:space="0" w:color="auto"/>
            <w:right w:val="none" w:sz="0" w:space="0" w:color="auto"/>
          </w:divBdr>
        </w:div>
        <w:div w:id="1833595302">
          <w:marLeft w:val="0"/>
          <w:marRight w:val="0"/>
          <w:marTop w:val="0"/>
          <w:marBottom w:val="0"/>
          <w:divBdr>
            <w:top w:val="none" w:sz="0" w:space="0" w:color="auto"/>
            <w:left w:val="none" w:sz="0" w:space="0" w:color="auto"/>
            <w:bottom w:val="none" w:sz="0" w:space="0" w:color="auto"/>
            <w:right w:val="none" w:sz="0" w:space="0" w:color="auto"/>
          </w:divBdr>
        </w:div>
        <w:div w:id="1852405250">
          <w:marLeft w:val="0"/>
          <w:marRight w:val="0"/>
          <w:marTop w:val="0"/>
          <w:marBottom w:val="0"/>
          <w:divBdr>
            <w:top w:val="none" w:sz="0" w:space="0" w:color="auto"/>
            <w:left w:val="none" w:sz="0" w:space="0" w:color="auto"/>
            <w:bottom w:val="none" w:sz="0" w:space="0" w:color="auto"/>
            <w:right w:val="none" w:sz="0" w:space="0" w:color="auto"/>
          </w:divBdr>
        </w:div>
        <w:div w:id="1857764917">
          <w:marLeft w:val="0"/>
          <w:marRight w:val="0"/>
          <w:marTop w:val="0"/>
          <w:marBottom w:val="0"/>
          <w:divBdr>
            <w:top w:val="none" w:sz="0" w:space="0" w:color="auto"/>
            <w:left w:val="none" w:sz="0" w:space="0" w:color="auto"/>
            <w:bottom w:val="none" w:sz="0" w:space="0" w:color="auto"/>
            <w:right w:val="none" w:sz="0" w:space="0" w:color="auto"/>
          </w:divBdr>
        </w:div>
        <w:div w:id="1891069626">
          <w:marLeft w:val="0"/>
          <w:marRight w:val="0"/>
          <w:marTop w:val="0"/>
          <w:marBottom w:val="0"/>
          <w:divBdr>
            <w:top w:val="none" w:sz="0" w:space="0" w:color="auto"/>
            <w:left w:val="none" w:sz="0" w:space="0" w:color="auto"/>
            <w:bottom w:val="none" w:sz="0" w:space="0" w:color="auto"/>
            <w:right w:val="none" w:sz="0" w:space="0" w:color="auto"/>
          </w:divBdr>
        </w:div>
        <w:div w:id="1897468979">
          <w:marLeft w:val="0"/>
          <w:marRight w:val="0"/>
          <w:marTop w:val="0"/>
          <w:marBottom w:val="0"/>
          <w:divBdr>
            <w:top w:val="none" w:sz="0" w:space="0" w:color="auto"/>
            <w:left w:val="none" w:sz="0" w:space="0" w:color="auto"/>
            <w:bottom w:val="none" w:sz="0" w:space="0" w:color="auto"/>
            <w:right w:val="none" w:sz="0" w:space="0" w:color="auto"/>
          </w:divBdr>
        </w:div>
        <w:div w:id="1910531544">
          <w:marLeft w:val="0"/>
          <w:marRight w:val="0"/>
          <w:marTop w:val="0"/>
          <w:marBottom w:val="0"/>
          <w:divBdr>
            <w:top w:val="none" w:sz="0" w:space="0" w:color="auto"/>
            <w:left w:val="none" w:sz="0" w:space="0" w:color="auto"/>
            <w:bottom w:val="none" w:sz="0" w:space="0" w:color="auto"/>
            <w:right w:val="none" w:sz="0" w:space="0" w:color="auto"/>
          </w:divBdr>
        </w:div>
        <w:div w:id="1927348228">
          <w:marLeft w:val="0"/>
          <w:marRight w:val="0"/>
          <w:marTop w:val="0"/>
          <w:marBottom w:val="0"/>
          <w:divBdr>
            <w:top w:val="none" w:sz="0" w:space="0" w:color="auto"/>
            <w:left w:val="none" w:sz="0" w:space="0" w:color="auto"/>
            <w:bottom w:val="none" w:sz="0" w:space="0" w:color="auto"/>
            <w:right w:val="none" w:sz="0" w:space="0" w:color="auto"/>
          </w:divBdr>
        </w:div>
        <w:div w:id="1950356127">
          <w:marLeft w:val="0"/>
          <w:marRight w:val="0"/>
          <w:marTop w:val="0"/>
          <w:marBottom w:val="0"/>
          <w:divBdr>
            <w:top w:val="none" w:sz="0" w:space="0" w:color="auto"/>
            <w:left w:val="none" w:sz="0" w:space="0" w:color="auto"/>
            <w:bottom w:val="none" w:sz="0" w:space="0" w:color="auto"/>
            <w:right w:val="none" w:sz="0" w:space="0" w:color="auto"/>
          </w:divBdr>
        </w:div>
        <w:div w:id="1958175661">
          <w:marLeft w:val="0"/>
          <w:marRight w:val="0"/>
          <w:marTop w:val="0"/>
          <w:marBottom w:val="0"/>
          <w:divBdr>
            <w:top w:val="none" w:sz="0" w:space="0" w:color="auto"/>
            <w:left w:val="none" w:sz="0" w:space="0" w:color="auto"/>
            <w:bottom w:val="none" w:sz="0" w:space="0" w:color="auto"/>
            <w:right w:val="none" w:sz="0" w:space="0" w:color="auto"/>
          </w:divBdr>
        </w:div>
        <w:div w:id="1976988662">
          <w:marLeft w:val="0"/>
          <w:marRight w:val="0"/>
          <w:marTop w:val="0"/>
          <w:marBottom w:val="0"/>
          <w:divBdr>
            <w:top w:val="none" w:sz="0" w:space="0" w:color="auto"/>
            <w:left w:val="none" w:sz="0" w:space="0" w:color="auto"/>
            <w:bottom w:val="none" w:sz="0" w:space="0" w:color="auto"/>
            <w:right w:val="none" w:sz="0" w:space="0" w:color="auto"/>
          </w:divBdr>
        </w:div>
        <w:div w:id="1985549304">
          <w:marLeft w:val="0"/>
          <w:marRight w:val="0"/>
          <w:marTop w:val="0"/>
          <w:marBottom w:val="0"/>
          <w:divBdr>
            <w:top w:val="none" w:sz="0" w:space="0" w:color="auto"/>
            <w:left w:val="none" w:sz="0" w:space="0" w:color="auto"/>
            <w:bottom w:val="none" w:sz="0" w:space="0" w:color="auto"/>
            <w:right w:val="none" w:sz="0" w:space="0" w:color="auto"/>
          </w:divBdr>
        </w:div>
        <w:div w:id="2005014235">
          <w:marLeft w:val="0"/>
          <w:marRight w:val="0"/>
          <w:marTop w:val="0"/>
          <w:marBottom w:val="0"/>
          <w:divBdr>
            <w:top w:val="none" w:sz="0" w:space="0" w:color="auto"/>
            <w:left w:val="none" w:sz="0" w:space="0" w:color="auto"/>
            <w:bottom w:val="none" w:sz="0" w:space="0" w:color="auto"/>
            <w:right w:val="none" w:sz="0" w:space="0" w:color="auto"/>
          </w:divBdr>
        </w:div>
        <w:div w:id="2014257607">
          <w:marLeft w:val="0"/>
          <w:marRight w:val="0"/>
          <w:marTop w:val="0"/>
          <w:marBottom w:val="0"/>
          <w:divBdr>
            <w:top w:val="none" w:sz="0" w:space="0" w:color="auto"/>
            <w:left w:val="none" w:sz="0" w:space="0" w:color="auto"/>
            <w:bottom w:val="none" w:sz="0" w:space="0" w:color="auto"/>
            <w:right w:val="none" w:sz="0" w:space="0" w:color="auto"/>
          </w:divBdr>
        </w:div>
      </w:divsChild>
    </w:div>
    <w:div w:id="847450005">
      <w:bodyDiv w:val="1"/>
      <w:marLeft w:val="0"/>
      <w:marRight w:val="0"/>
      <w:marTop w:val="0"/>
      <w:marBottom w:val="0"/>
      <w:divBdr>
        <w:top w:val="none" w:sz="0" w:space="0" w:color="auto"/>
        <w:left w:val="none" w:sz="0" w:space="0" w:color="auto"/>
        <w:bottom w:val="none" w:sz="0" w:space="0" w:color="auto"/>
        <w:right w:val="none" w:sz="0" w:space="0" w:color="auto"/>
      </w:divBdr>
    </w:div>
    <w:div w:id="847521996">
      <w:bodyDiv w:val="1"/>
      <w:marLeft w:val="0"/>
      <w:marRight w:val="0"/>
      <w:marTop w:val="0"/>
      <w:marBottom w:val="0"/>
      <w:divBdr>
        <w:top w:val="none" w:sz="0" w:space="0" w:color="auto"/>
        <w:left w:val="none" w:sz="0" w:space="0" w:color="auto"/>
        <w:bottom w:val="none" w:sz="0" w:space="0" w:color="auto"/>
        <w:right w:val="none" w:sz="0" w:space="0" w:color="auto"/>
      </w:divBdr>
    </w:div>
    <w:div w:id="847527358">
      <w:bodyDiv w:val="1"/>
      <w:marLeft w:val="0"/>
      <w:marRight w:val="0"/>
      <w:marTop w:val="0"/>
      <w:marBottom w:val="0"/>
      <w:divBdr>
        <w:top w:val="none" w:sz="0" w:space="0" w:color="auto"/>
        <w:left w:val="none" w:sz="0" w:space="0" w:color="auto"/>
        <w:bottom w:val="none" w:sz="0" w:space="0" w:color="auto"/>
        <w:right w:val="none" w:sz="0" w:space="0" w:color="auto"/>
      </w:divBdr>
    </w:div>
    <w:div w:id="847597509">
      <w:bodyDiv w:val="1"/>
      <w:marLeft w:val="0"/>
      <w:marRight w:val="0"/>
      <w:marTop w:val="0"/>
      <w:marBottom w:val="0"/>
      <w:divBdr>
        <w:top w:val="none" w:sz="0" w:space="0" w:color="auto"/>
        <w:left w:val="none" w:sz="0" w:space="0" w:color="auto"/>
        <w:bottom w:val="none" w:sz="0" w:space="0" w:color="auto"/>
        <w:right w:val="none" w:sz="0" w:space="0" w:color="auto"/>
      </w:divBdr>
    </w:div>
    <w:div w:id="847598113">
      <w:bodyDiv w:val="1"/>
      <w:marLeft w:val="0"/>
      <w:marRight w:val="0"/>
      <w:marTop w:val="0"/>
      <w:marBottom w:val="0"/>
      <w:divBdr>
        <w:top w:val="none" w:sz="0" w:space="0" w:color="auto"/>
        <w:left w:val="none" w:sz="0" w:space="0" w:color="auto"/>
        <w:bottom w:val="none" w:sz="0" w:space="0" w:color="auto"/>
        <w:right w:val="none" w:sz="0" w:space="0" w:color="auto"/>
      </w:divBdr>
    </w:div>
    <w:div w:id="847712604">
      <w:bodyDiv w:val="1"/>
      <w:marLeft w:val="0"/>
      <w:marRight w:val="0"/>
      <w:marTop w:val="0"/>
      <w:marBottom w:val="0"/>
      <w:divBdr>
        <w:top w:val="none" w:sz="0" w:space="0" w:color="auto"/>
        <w:left w:val="none" w:sz="0" w:space="0" w:color="auto"/>
        <w:bottom w:val="none" w:sz="0" w:space="0" w:color="auto"/>
        <w:right w:val="none" w:sz="0" w:space="0" w:color="auto"/>
      </w:divBdr>
    </w:div>
    <w:div w:id="847715074">
      <w:bodyDiv w:val="1"/>
      <w:marLeft w:val="0"/>
      <w:marRight w:val="0"/>
      <w:marTop w:val="0"/>
      <w:marBottom w:val="0"/>
      <w:divBdr>
        <w:top w:val="none" w:sz="0" w:space="0" w:color="auto"/>
        <w:left w:val="none" w:sz="0" w:space="0" w:color="auto"/>
        <w:bottom w:val="none" w:sz="0" w:space="0" w:color="auto"/>
        <w:right w:val="none" w:sz="0" w:space="0" w:color="auto"/>
      </w:divBdr>
    </w:div>
    <w:div w:id="847789130">
      <w:bodyDiv w:val="1"/>
      <w:marLeft w:val="0"/>
      <w:marRight w:val="0"/>
      <w:marTop w:val="0"/>
      <w:marBottom w:val="0"/>
      <w:divBdr>
        <w:top w:val="none" w:sz="0" w:space="0" w:color="auto"/>
        <w:left w:val="none" w:sz="0" w:space="0" w:color="auto"/>
        <w:bottom w:val="none" w:sz="0" w:space="0" w:color="auto"/>
        <w:right w:val="none" w:sz="0" w:space="0" w:color="auto"/>
      </w:divBdr>
    </w:div>
    <w:div w:id="847868324">
      <w:bodyDiv w:val="1"/>
      <w:marLeft w:val="0"/>
      <w:marRight w:val="0"/>
      <w:marTop w:val="0"/>
      <w:marBottom w:val="0"/>
      <w:divBdr>
        <w:top w:val="none" w:sz="0" w:space="0" w:color="auto"/>
        <w:left w:val="none" w:sz="0" w:space="0" w:color="auto"/>
        <w:bottom w:val="none" w:sz="0" w:space="0" w:color="auto"/>
        <w:right w:val="none" w:sz="0" w:space="0" w:color="auto"/>
      </w:divBdr>
    </w:div>
    <w:div w:id="847910460">
      <w:bodyDiv w:val="1"/>
      <w:marLeft w:val="0"/>
      <w:marRight w:val="0"/>
      <w:marTop w:val="0"/>
      <w:marBottom w:val="0"/>
      <w:divBdr>
        <w:top w:val="none" w:sz="0" w:space="0" w:color="auto"/>
        <w:left w:val="none" w:sz="0" w:space="0" w:color="auto"/>
        <w:bottom w:val="none" w:sz="0" w:space="0" w:color="auto"/>
        <w:right w:val="none" w:sz="0" w:space="0" w:color="auto"/>
      </w:divBdr>
    </w:div>
    <w:div w:id="847982702">
      <w:bodyDiv w:val="1"/>
      <w:marLeft w:val="0"/>
      <w:marRight w:val="0"/>
      <w:marTop w:val="0"/>
      <w:marBottom w:val="0"/>
      <w:divBdr>
        <w:top w:val="none" w:sz="0" w:space="0" w:color="auto"/>
        <w:left w:val="none" w:sz="0" w:space="0" w:color="auto"/>
        <w:bottom w:val="none" w:sz="0" w:space="0" w:color="auto"/>
        <w:right w:val="none" w:sz="0" w:space="0" w:color="auto"/>
      </w:divBdr>
    </w:div>
    <w:div w:id="847990427">
      <w:bodyDiv w:val="1"/>
      <w:marLeft w:val="0"/>
      <w:marRight w:val="0"/>
      <w:marTop w:val="0"/>
      <w:marBottom w:val="0"/>
      <w:divBdr>
        <w:top w:val="none" w:sz="0" w:space="0" w:color="auto"/>
        <w:left w:val="none" w:sz="0" w:space="0" w:color="auto"/>
        <w:bottom w:val="none" w:sz="0" w:space="0" w:color="auto"/>
        <w:right w:val="none" w:sz="0" w:space="0" w:color="auto"/>
      </w:divBdr>
    </w:div>
    <w:div w:id="848060138">
      <w:bodyDiv w:val="1"/>
      <w:marLeft w:val="0"/>
      <w:marRight w:val="0"/>
      <w:marTop w:val="0"/>
      <w:marBottom w:val="0"/>
      <w:divBdr>
        <w:top w:val="none" w:sz="0" w:space="0" w:color="auto"/>
        <w:left w:val="none" w:sz="0" w:space="0" w:color="auto"/>
        <w:bottom w:val="none" w:sz="0" w:space="0" w:color="auto"/>
        <w:right w:val="none" w:sz="0" w:space="0" w:color="auto"/>
      </w:divBdr>
    </w:div>
    <w:div w:id="848061326">
      <w:bodyDiv w:val="1"/>
      <w:marLeft w:val="0"/>
      <w:marRight w:val="0"/>
      <w:marTop w:val="0"/>
      <w:marBottom w:val="0"/>
      <w:divBdr>
        <w:top w:val="none" w:sz="0" w:space="0" w:color="auto"/>
        <w:left w:val="none" w:sz="0" w:space="0" w:color="auto"/>
        <w:bottom w:val="none" w:sz="0" w:space="0" w:color="auto"/>
        <w:right w:val="none" w:sz="0" w:space="0" w:color="auto"/>
      </w:divBdr>
    </w:div>
    <w:div w:id="848176561">
      <w:bodyDiv w:val="1"/>
      <w:marLeft w:val="0"/>
      <w:marRight w:val="0"/>
      <w:marTop w:val="0"/>
      <w:marBottom w:val="0"/>
      <w:divBdr>
        <w:top w:val="none" w:sz="0" w:space="0" w:color="auto"/>
        <w:left w:val="none" w:sz="0" w:space="0" w:color="auto"/>
        <w:bottom w:val="none" w:sz="0" w:space="0" w:color="auto"/>
        <w:right w:val="none" w:sz="0" w:space="0" w:color="auto"/>
      </w:divBdr>
    </w:div>
    <w:div w:id="848299108">
      <w:bodyDiv w:val="1"/>
      <w:marLeft w:val="0"/>
      <w:marRight w:val="0"/>
      <w:marTop w:val="0"/>
      <w:marBottom w:val="0"/>
      <w:divBdr>
        <w:top w:val="none" w:sz="0" w:space="0" w:color="auto"/>
        <w:left w:val="none" w:sz="0" w:space="0" w:color="auto"/>
        <w:bottom w:val="none" w:sz="0" w:space="0" w:color="auto"/>
        <w:right w:val="none" w:sz="0" w:space="0" w:color="auto"/>
      </w:divBdr>
    </w:div>
    <w:div w:id="848327821">
      <w:bodyDiv w:val="1"/>
      <w:marLeft w:val="0"/>
      <w:marRight w:val="0"/>
      <w:marTop w:val="0"/>
      <w:marBottom w:val="0"/>
      <w:divBdr>
        <w:top w:val="none" w:sz="0" w:space="0" w:color="auto"/>
        <w:left w:val="none" w:sz="0" w:space="0" w:color="auto"/>
        <w:bottom w:val="none" w:sz="0" w:space="0" w:color="auto"/>
        <w:right w:val="none" w:sz="0" w:space="0" w:color="auto"/>
      </w:divBdr>
    </w:div>
    <w:div w:id="848329722">
      <w:bodyDiv w:val="1"/>
      <w:marLeft w:val="0"/>
      <w:marRight w:val="0"/>
      <w:marTop w:val="0"/>
      <w:marBottom w:val="0"/>
      <w:divBdr>
        <w:top w:val="none" w:sz="0" w:space="0" w:color="auto"/>
        <w:left w:val="none" w:sz="0" w:space="0" w:color="auto"/>
        <w:bottom w:val="none" w:sz="0" w:space="0" w:color="auto"/>
        <w:right w:val="none" w:sz="0" w:space="0" w:color="auto"/>
      </w:divBdr>
    </w:div>
    <w:div w:id="848367782">
      <w:bodyDiv w:val="1"/>
      <w:marLeft w:val="0"/>
      <w:marRight w:val="0"/>
      <w:marTop w:val="0"/>
      <w:marBottom w:val="0"/>
      <w:divBdr>
        <w:top w:val="none" w:sz="0" w:space="0" w:color="auto"/>
        <w:left w:val="none" w:sz="0" w:space="0" w:color="auto"/>
        <w:bottom w:val="none" w:sz="0" w:space="0" w:color="auto"/>
        <w:right w:val="none" w:sz="0" w:space="0" w:color="auto"/>
      </w:divBdr>
    </w:div>
    <w:div w:id="848369082">
      <w:bodyDiv w:val="1"/>
      <w:marLeft w:val="0"/>
      <w:marRight w:val="0"/>
      <w:marTop w:val="0"/>
      <w:marBottom w:val="0"/>
      <w:divBdr>
        <w:top w:val="none" w:sz="0" w:space="0" w:color="auto"/>
        <w:left w:val="none" w:sz="0" w:space="0" w:color="auto"/>
        <w:bottom w:val="none" w:sz="0" w:space="0" w:color="auto"/>
        <w:right w:val="none" w:sz="0" w:space="0" w:color="auto"/>
      </w:divBdr>
    </w:div>
    <w:div w:id="848377030">
      <w:bodyDiv w:val="1"/>
      <w:marLeft w:val="0"/>
      <w:marRight w:val="0"/>
      <w:marTop w:val="0"/>
      <w:marBottom w:val="0"/>
      <w:divBdr>
        <w:top w:val="none" w:sz="0" w:space="0" w:color="auto"/>
        <w:left w:val="none" w:sz="0" w:space="0" w:color="auto"/>
        <w:bottom w:val="none" w:sz="0" w:space="0" w:color="auto"/>
        <w:right w:val="none" w:sz="0" w:space="0" w:color="auto"/>
      </w:divBdr>
    </w:div>
    <w:div w:id="848448501">
      <w:bodyDiv w:val="1"/>
      <w:marLeft w:val="0"/>
      <w:marRight w:val="0"/>
      <w:marTop w:val="0"/>
      <w:marBottom w:val="0"/>
      <w:divBdr>
        <w:top w:val="none" w:sz="0" w:space="0" w:color="auto"/>
        <w:left w:val="none" w:sz="0" w:space="0" w:color="auto"/>
        <w:bottom w:val="none" w:sz="0" w:space="0" w:color="auto"/>
        <w:right w:val="none" w:sz="0" w:space="0" w:color="auto"/>
      </w:divBdr>
    </w:div>
    <w:div w:id="848518249">
      <w:bodyDiv w:val="1"/>
      <w:marLeft w:val="0"/>
      <w:marRight w:val="0"/>
      <w:marTop w:val="0"/>
      <w:marBottom w:val="0"/>
      <w:divBdr>
        <w:top w:val="none" w:sz="0" w:space="0" w:color="auto"/>
        <w:left w:val="none" w:sz="0" w:space="0" w:color="auto"/>
        <w:bottom w:val="none" w:sz="0" w:space="0" w:color="auto"/>
        <w:right w:val="none" w:sz="0" w:space="0" w:color="auto"/>
      </w:divBdr>
    </w:div>
    <w:div w:id="848564035">
      <w:bodyDiv w:val="1"/>
      <w:marLeft w:val="0"/>
      <w:marRight w:val="0"/>
      <w:marTop w:val="0"/>
      <w:marBottom w:val="0"/>
      <w:divBdr>
        <w:top w:val="none" w:sz="0" w:space="0" w:color="auto"/>
        <w:left w:val="none" w:sz="0" w:space="0" w:color="auto"/>
        <w:bottom w:val="none" w:sz="0" w:space="0" w:color="auto"/>
        <w:right w:val="none" w:sz="0" w:space="0" w:color="auto"/>
      </w:divBdr>
    </w:div>
    <w:div w:id="848638266">
      <w:bodyDiv w:val="1"/>
      <w:marLeft w:val="0"/>
      <w:marRight w:val="0"/>
      <w:marTop w:val="0"/>
      <w:marBottom w:val="0"/>
      <w:divBdr>
        <w:top w:val="none" w:sz="0" w:space="0" w:color="auto"/>
        <w:left w:val="none" w:sz="0" w:space="0" w:color="auto"/>
        <w:bottom w:val="none" w:sz="0" w:space="0" w:color="auto"/>
        <w:right w:val="none" w:sz="0" w:space="0" w:color="auto"/>
      </w:divBdr>
    </w:div>
    <w:div w:id="848717033">
      <w:bodyDiv w:val="1"/>
      <w:marLeft w:val="0"/>
      <w:marRight w:val="0"/>
      <w:marTop w:val="0"/>
      <w:marBottom w:val="0"/>
      <w:divBdr>
        <w:top w:val="none" w:sz="0" w:space="0" w:color="auto"/>
        <w:left w:val="none" w:sz="0" w:space="0" w:color="auto"/>
        <w:bottom w:val="none" w:sz="0" w:space="0" w:color="auto"/>
        <w:right w:val="none" w:sz="0" w:space="0" w:color="auto"/>
      </w:divBdr>
    </w:div>
    <w:div w:id="848829774">
      <w:bodyDiv w:val="1"/>
      <w:marLeft w:val="0"/>
      <w:marRight w:val="0"/>
      <w:marTop w:val="0"/>
      <w:marBottom w:val="0"/>
      <w:divBdr>
        <w:top w:val="none" w:sz="0" w:space="0" w:color="auto"/>
        <w:left w:val="none" w:sz="0" w:space="0" w:color="auto"/>
        <w:bottom w:val="none" w:sz="0" w:space="0" w:color="auto"/>
        <w:right w:val="none" w:sz="0" w:space="0" w:color="auto"/>
      </w:divBdr>
    </w:div>
    <w:div w:id="848834590">
      <w:bodyDiv w:val="1"/>
      <w:marLeft w:val="0"/>
      <w:marRight w:val="0"/>
      <w:marTop w:val="0"/>
      <w:marBottom w:val="0"/>
      <w:divBdr>
        <w:top w:val="none" w:sz="0" w:space="0" w:color="auto"/>
        <w:left w:val="none" w:sz="0" w:space="0" w:color="auto"/>
        <w:bottom w:val="none" w:sz="0" w:space="0" w:color="auto"/>
        <w:right w:val="none" w:sz="0" w:space="0" w:color="auto"/>
      </w:divBdr>
    </w:div>
    <w:div w:id="849099478">
      <w:bodyDiv w:val="1"/>
      <w:marLeft w:val="0"/>
      <w:marRight w:val="0"/>
      <w:marTop w:val="0"/>
      <w:marBottom w:val="0"/>
      <w:divBdr>
        <w:top w:val="none" w:sz="0" w:space="0" w:color="auto"/>
        <w:left w:val="none" w:sz="0" w:space="0" w:color="auto"/>
        <w:bottom w:val="none" w:sz="0" w:space="0" w:color="auto"/>
        <w:right w:val="none" w:sz="0" w:space="0" w:color="auto"/>
      </w:divBdr>
    </w:div>
    <w:div w:id="849182002">
      <w:bodyDiv w:val="1"/>
      <w:marLeft w:val="0"/>
      <w:marRight w:val="0"/>
      <w:marTop w:val="0"/>
      <w:marBottom w:val="0"/>
      <w:divBdr>
        <w:top w:val="none" w:sz="0" w:space="0" w:color="auto"/>
        <w:left w:val="none" w:sz="0" w:space="0" w:color="auto"/>
        <w:bottom w:val="none" w:sz="0" w:space="0" w:color="auto"/>
        <w:right w:val="none" w:sz="0" w:space="0" w:color="auto"/>
      </w:divBdr>
    </w:div>
    <w:div w:id="849221603">
      <w:bodyDiv w:val="1"/>
      <w:marLeft w:val="0"/>
      <w:marRight w:val="0"/>
      <w:marTop w:val="0"/>
      <w:marBottom w:val="0"/>
      <w:divBdr>
        <w:top w:val="none" w:sz="0" w:space="0" w:color="auto"/>
        <w:left w:val="none" w:sz="0" w:space="0" w:color="auto"/>
        <w:bottom w:val="none" w:sz="0" w:space="0" w:color="auto"/>
        <w:right w:val="none" w:sz="0" w:space="0" w:color="auto"/>
      </w:divBdr>
    </w:div>
    <w:div w:id="849223391">
      <w:bodyDiv w:val="1"/>
      <w:marLeft w:val="0"/>
      <w:marRight w:val="0"/>
      <w:marTop w:val="0"/>
      <w:marBottom w:val="0"/>
      <w:divBdr>
        <w:top w:val="none" w:sz="0" w:space="0" w:color="auto"/>
        <w:left w:val="none" w:sz="0" w:space="0" w:color="auto"/>
        <w:bottom w:val="none" w:sz="0" w:space="0" w:color="auto"/>
        <w:right w:val="none" w:sz="0" w:space="0" w:color="auto"/>
      </w:divBdr>
    </w:div>
    <w:div w:id="849295201">
      <w:bodyDiv w:val="1"/>
      <w:marLeft w:val="0"/>
      <w:marRight w:val="0"/>
      <w:marTop w:val="0"/>
      <w:marBottom w:val="0"/>
      <w:divBdr>
        <w:top w:val="none" w:sz="0" w:space="0" w:color="auto"/>
        <w:left w:val="none" w:sz="0" w:space="0" w:color="auto"/>
        <w:bottom w:val="none" w:sz="0" w:space="0" w:color="auto"/>
        <w:right w:val="none" w:sz="0" w:space="0" w:color="auto"/>
      </w:divBdr>
    </w:div>
    <w:div w:id="849376089">
      <w:bodyDiv w:val="1"/>
      <w:marLeft w:val="0"/>
      <w:marRight w:val="0"/>
      <w:marTop w:val="0"/>
      <w:marBottom w:val="0"/>
      <w:divBdr>
        <w:top w:val="none" w:sz="0" w:space="0" w:color="auto"/>
        <w:left w:val="none" w:sz="0" w:space="0" w:color="auto"/>
        <w:bottom w:val="none" w:sz="0" w:space="0" w:color="auto"/>
        <w:right w:val="none" w:sz="0" w:space="0" w:color="auto"/>
      </w:divBdr>
    </w:div>
    <w:div w:id="849418337">
      <w:bodyDiv w:val="1"/>
      <w:marLeft w:val="0"/>
      <w:marRight w:val="0"/>
      <w:marTop w:val="0"/>
      <w:marBottom w:val="0"/>
      <w:divBdr>
        <w:top w:val="none" w:sz="0" w:space="0" w:color="auto"/>
        <w:left w:val="none" w:sz="0" w:space="0" w:color="auto"/>
        <w:bottom w:val="none" w:sz="0" w:space="0" w:color="auto"/>
        <w:right w:val="none" w:sz="0" w:space="0" w:color="auto"/>
      </w:divBdr>
    </w:div>
    <w:div w:id="849638623">
      <w:bodyDiv w:val="1"/>
      <w:marLeft w:val="0"/>
      <w:marRight w:val="0"/>
      <w:marTop w:val="0"/>
      <w:marBottom w:val="0"/>
      <w:divBdr>
        <w:top w:val="none" w:sz="0" w:space="0" w:color="auto"/>
        <w:left w:val="none" w:sz="0" w:space="0" w:color="auto"/>
        <w:bottom w:val="none" w:sz="0" w:space="0" w:color="auto"/>
        <w:right w:val="none" w:sz="0" w:space="0" w:color="auto"/>
      </w:divBdr>
    </w:div>
    <w:div w:id="849686635">
      <w:bodyDiv w:val="1"/>
      <w:marLeft w:val="0"/>
      <w:marRight w:val="0"/>
      <w:marTop w:val="0"/>
      <w:marBottom w:val="0"/>
      <w:divBdr>
        <w:top w:val="none" w:sz="0" w:space="0" w:color="auto"/>
        <w:left w:val="none" w:sz="0" w:space="0" w:color="auto"/>
        <w:bottom w:val="none" w:sz="0" w:space="0" w:color="auto"/>
        <w:right w:val="none" w:sz="0" w:space="0" w:color="auto"/>
      </w:divBdr>
    </w:div>
    <w:div w:id="849829176">
      <w:bodyDiv w:val="1"/>
      <w:marLeft w:val="0"/>
      <w:marRight w:val="0"/>
      <w:marTop w:val="0"/>
      <w:marBottom w:val="0"/>
      <w:divBdr>
        <w:top w:val="none" w:sz="0" w:space="0" w:color="auto"/>
        <w:left w:val="none" w:sz="0" w:space="0" w:color="auto"/>
        <w:bottom w:val="none" w:sz="0" w:space="0" w:color="auto"/>
        <w:right w:val="none" w:sz="0" w:space="0" w:color="auto"/>
      </w:divBdr>
    </w:div>
    <w:div w:id="849829822">
      <w:bodyDiv w:val="1"/>
      <w:marLeft w:val="0"/>
      <w:marRight w:val="0"/>
      <w:marTop w:val="0"/>
      <w:marBottom w:val="0"/>
      <w:divBdr>
        <w:top w:val="none" w:sz="0" w:space="0" w:color="auto"/>
        <w:left w:val="none" w:sz="0" w:space="0" w:color="auto"/>
        <w:bottom w:val="none" w:sz="0" w:space="0" w:color="auto"/>
        <w:right w:val="none" w:sz="0" w:space="0" w:color="auto"/>
      </w:divBdr>
    </w:div>
    <w:div w:id="849955536">
      <w:bodyDiv w:val="1"/>
      <w:marLeft w:val="0"/>
      <w:marRight w:val="0"/>
      <w:marTop w:val="0"/>
      <w:marBottom w:val="0"/>
      <w:divBdr>
        <w:top w:val="none" w:sz="0" w:space="0" w:color="auto"/>
        <w:left w:val="none" w:sz="0" w:space="0" w:color="auto"/>
        <w:bottom w:val="none" w:sz="0" w:space="0" w:color="auto"/>
        <w:right w:val="none" w:sz="0" w:space="0" w:color="auto"/>
      </w:divBdr>
    </w:div>
    <w:div w:id="850031233">
      <w:bodyDiv w:val="1"/>
      <w:marLeft w:val="0"/>
      <w:marRight w:val="0"/>
      <w:marTop w:val="0"/>
      <w:marBottom w:val="0"/>
      <w:divBdr>
        <w:top w:val="none" w:sz="0" w:space="0" w:color="auto"/>
        <w:left w:val="none" w:sz="0" w:space="0" w:color="auto"/>
        <w:bottom w:val="none" w:sz="0" w:space="0" w:color="auto"/>
        <w:right w:val="none" w:sz="0" w:space="0" w:color="auto"/>
      </w:divBdr>
    </w:div>
    <w:div w:id="850073610">
      <w:bodyDiv w:val="1"/>
      <w:marLeft w:val="0"/>
      <w:marRight w:val="0"/>
      <w:marTop w:val="0"/>
      <w:marBottom w:val="0"/>
      <w:divBdr>
        <w:top w:val="none" w:sz="0" w:space="0" w:color="auto"/>
        <w:left w:val="none" w:sz="0" w:space="0" w:color="auto"/>
        <w:bottom w:val="none" w:sz="0" w:space="0" w:color="auto"/>
        <w:right w:val="none" w:sz="0" w:space="0" w:color="auto"/>
      </w:divBdr>
    </w:div>
    <w:div w:id="850141143">
      <w:bodyDiv w:val="1"/>
      <w:marLeft w:val="0"/>
      <w:marRight w:val="0"/>
      <w:marTop w:val="0"/>
      <w:marBottom w:val="0"/>
      <w:divBdr>
        <w:top w:val="none" w:sz="0" w:space="0" w:color="auto"/>
        <w:left w:val="none" w:sz="0" w:space="0" w:color="auto"/>
        <w:bottom w:val="none" w:sz="0" w:space="0" w:color="auto"/>
        <w:right w:val="none" w:sz="0" w:space="0" w:color="auto"/>
      </w:divBdr>
    </w:div>
    <w:div w:id="850336478">
      <w:bodyDiv w:val="1"/>
      <w:marLeft w:val="0"/>
      <w:marRight w:val="0"/>
      <w:marTop w:val="0"/>
      <w:marBottom w:val="0"/>
      <w:divBdr>
        <w:top w:val="none" w:sz="0" w:space="0" w:color="auto"/>
        <w:left w:val="none" w:sz="0" w:space="0" w:color="auto"/>
        <w:bottom w:val="none" w:sz="0" w:space="0" w:color="auto"/>
        <w:right w:val="none" w:sz="0" w:space="0" w:color="auto"/>
      </w:divBdr>
    </w:div>
    <w:div w:id="850411688">
      <w:bodyDiv w:val="1"/>
      <w:marLeft w:val="0"/>
      <w:marRight w:val="0"/>
      <w:marTop w:val="0"/>
      <w:marBottom w:val="0"/>
      <w:divBdr>
        <w:top w:val="none" w:sz="0" w:space="0" w:color="auto"/>
        <w:left w:val="none" w:sz="0" w:space="0" w:color="auto"/>
        <w:bottom w:val="none" w:sz="0" w:space="0" w:color="auto"/>
        <w:right w:val="none" w:sz="0" w:space="0" w:color="auto"/>
      </w:divBdr>
    </w:div>
    <w:div w:id="850610165">
      <w:bodyDiv w:val="1"/>
      <w:marLeft w:val="0"/>
      <w:marRight w:val="0"/>
      <w:marTop w:val="0"/>
      <w:marBottom w:val="0"/>
      <w:divBdr>
        <w:top w:val="none" w:sz="0" w:space="0" w:color="auto"/>
        <w:left w:val="none" w:sz="0" w:space="0" w:color="auto"/>
        <w:bottom w:val="none" w:sz="0" w:space="0" w:color="auto"/>
        <w:right w:val="none" w:sz="0" w:space="0" w:color="auto"/>
      </w:divBdr>
    </w:div>
    <w:div w:id="850725282">
      <w:bodyDiv w:val="1"/>
      <w:marLeft w:val="0"/>
      <w:marRight w:val="0"/>
      <w:marTop w:val="0"/>
      <w:marBottom w:val="0"/>
      <w:divBdr>
        <w:top w:val="none" w:sz="0" w:space="0" w:color="auto"/>
        <w:left w:val="none" w:sz="0" w:space="0" w:color="auto"/>
        <w:bottom w:val="none" w:sz="0" w:space="0" w:color="auto"/>
        <w:right w:val="none" w:sz="0" w:space="0" w:color="auto"/>
      </w:divBdr>
    </w:div>
    <w:div w:id="850799179">
      <w:bodyDiv w:val="1"/>
      <w:marLeft w:val="0"/>
      <w:marRight w:val="0"/>
      <w:marTop w:val="0"/>
      <w:marBottom w:val="0"/>
      <w:divBdr>
        <w:top w:val="none" w:sz="0" w:space="0" w:color="auto"/>
        <w:left w:val="none" w:sz="0" w:space="0" w:color="auto"/>
        <w:bottom w:val="none" w:sz="0" w:space="0" w:color="auto"/>
        <w:right w:val="none" w:sz="0" w:space="0" w:color="auto"/>
      </w:divBdr>
    </w:div>
    <w:div w:id="850800685">
      <w:bodyDiv w:val="1"/>
      <w:marLeft w:val="0"/>
      <w:marRight w:val="0"/>
      <w:marTop w:val="0"/>
      <w:marBottom w:val="0"/>
      <w:divBdr>
        <w:top w:val="none" w:sz="0" w:space="0" w:color="auto"/>
        <w:left w:val="none" w:sz="0" w:space="0" w:color="auto"/>
        <w:bottom w:val="none" w:sz="0" w:space="0" w:color="auto"/>
        <w:right w:val="none" w:sz="0" w:space="0" w:color="auto"/>
      </w:divBdr>
    </w:div>
    <w:div w:id="850874779">
      <w:bodyDiv w:val="1"/>
      <w:marLeft w:val="0"/>
      <w:marRight w:val="0"/>
      <w:marTop w:val="0"/>
      <w:marBottom w:val="0"/>
      <w:divBdr>
        <w:top w:val="none" w:sz="0" w:space="0" w:color="auto"/>
        <w:left w:val="none" w:sz="0" w:space="0" w:color="auto"/>
        <w:bottom w:val="none" w:sz="0" w:space="0" w:color="auto"/>
        <w:right w:val="none" w:sz="0" w:space="0" w:color="auto"/>
      </w:divBdr>
    </w:div>
    <w:div w:id="850875598">
      <w:bodyDiv w:val="1"/>
      <w:marLeft w:val="0"/>
      <w:marRight w:val="0"/>
      <w:marTop w:val="0"/>
      <w:marBottom w:val="0"/>
      <w:divBdr>
        <w:top w:val="none" w:sz="0" w:space="0" w:color="auto"/>
        <w:left w:val="none" w:sz="0" w:space="0" w:color="auto"/>
        <w:bottom w:val="none" w:sz="0" w:space="0" w:color="auto"/>
        <w:right w:val="none" w:sz="0" w:space="0" w:color="auto"/>
      </w:divBdr>
    </w:div>
    <w:div w:id="850919857">
      <w:bodyDiv w:val="1"/>
      <w:marLeft w:val="0"/>
      <w:marRight w:val="0"/>
      <w:marTop w:val="0"/>
      <w:marBottom w:val="0"/>
      <w:divBdr>
        <w:top w:val="none" w:sz="0" w:space="0" w:color="auto"/>
        <w:left w:val="none" w:sz="0" w:space="0" w:color="auto"/>
        <w:bottom w:val="none" w:sz="0" w:space="0" w:color="auto"/>
        <w:right w:val="none" w:sz="0" w:space="0" w:color="auto"/>
      </w:divBdr>
    </w:div>
    <w:div w:id="850949459">
      <w:bodyDiv w:val="1"/>
      <w:marLeft w:val="0"/>
      <w:marRight w:val="0"/>
      <w:marTop w:val="0"/>
      <w:marBottom w:val="0"/>
      <w:divBdr>
        <w:top w:val="none" w:sz="0" w:space="0" w:color="auto"/>
        <w:left w:val="none" w:sz="0" w:space="0" w:color="auto"/>
        <w:bottom w:val="none" w:sz="0" w:space="0" w:color="auto"/>
        <w:right w:val="none" w:sz="0" w:space="0" w:color="auto"/>
      </w:divBdr>
    </w:div>
    <w:div w:id="851648677">
      <w:bodyDiv w:val="1"/>
      <w:marLeft w:val="0"/>
      <w:marRight w:val="0"/>
      <w:marTop w:val="0"/>
      <w:marBottom w:val="0"/>
      <w:divBdr>
        <w:top w:val="none" w:sz="0" w:space="0" w:color="auto"/>
        <w:left w:val="none" w:sz="0" w:space="0" w:color="auto"/>
        <w:bottom w:val="none" w:sz="0" w:space="0" w:color="auto"/>
        <w:right w:val="none" w:sz="0" w:space="0" w:color="auto"/>
      </w:divBdr>
    </w:div>
    <w:div w:id="851719553">
      <w:bodyDiv w:val="1"/>
      <w:marLeft w:val="0"/>
      <w:marRight w:val="0"/>
      <w:marTop w:val="0"/>
      <w:marBottom w:val="0"/>
      <w:divBdr>
        <w:top w:val="none" w:sz="0" w:space="0" w:color="auto"/>
        <w:left w:val="none" w:sz="0" w:space="0" w:color="auto"/>
        <w:bottom w:val="none" w:sz="0" w:space="0" w:color="auto"/>
        <w:right w:val="none" w:sz="0" w:space="0" w:color="auto"/>
      </w:divBdr>
    </w:div>
    <w:div w:id="851794423">
      <w:bodyDiv w:val="1"/>
      <w:marLeft w:val="0"/>
      <w:marRight w:val="0"/>
      <w:marTop w:val="0"/>
      <w:marBottom w:val="0"/>
      <w:divBdr>
        <w:top w:val="none" w:sz="0" w:space="0" w:color="auto"/>
        <w:left w:val="none" w:sz="0" w:space="0" w:color="auto"/>
        <w:bottom w:val="none" w:sz="0" w:space="0" w:color="auto"/>
        <w:right w:val="none" w:sz="0" w:space="0" w:color="auto"/>
      </w:divBdr>
    </w:div>
    <w:div w:id="851837820">
      <w:bodyDiv w:val="1"/>
      <w:marLeft w:val="0"/>
      <w:marRight w:val="0"/>
      <w:marTop w:val="0"/>
      <w:marBottom w:val="0"/>
      <w:divBdr>
        <w:top w:val="none" w:sz="0" w:space="0" w:color="auto"/>
        <w:left w:val="none" w:sz="0" w:space="0" w:color="auto"/>
        <w:bottom w:val="none" w:sz="0" w:space="0" w:color="auto"/>
        <w:right w:val="none" w:sz="0" w:space="0" w:color="auto"/>
      </w:divBdr>
    </w:div>
    <w:div w:id="851915172">
      <w:bodyDiv w:val="1"/>
      <w:marLeft w:val="0"/>
      <w:marRight w:val="0"/>
      <w:marTop w:val="0"/>
      <w:marBottom w:val="0"/>
      <w:divBdr>
        <w:top w:val="none" w:sz="0" w:space="0" w:color="auto"/>
        <w:left w:val="none" w:sz="0" w:space="0" w:color="auto"/>
        <w:bottom w:val="none" w:sz="0" w:space="0" w:color="auto"/>
        <w:right w:val="none" w:sz="0" w:space="0" w:color="auto"/>
      </w:divBdr>
    </w:div>
    <w:div w:id="851918584">
      <w:bodyDiv w:val="1"/>
      <w:marLeft w:val="0"/>
      <w:marRight w:val="0"/>
      <w:marTop w:val="0"/>
      <w:marBottom w:val="0"/>
      <w:divBdr>
        <w:top w:val="none" w:sz="0" w:space="0" w:color="auto"/>
        <w:left w:val="none" w:sz="0" w:space="0" w:color="auto"/>
        <w:bottom w:val="none" w:sz="0" w:space="0" w:color="auto"/>
        <w:right w:val="none" w:sz="0" w:space="0" w:color="auto"/>
      </w:divBdr>
    </w:div>
    <w:div w:id="851988860">
      <w:bodyDiv w:val="1"/>
      <w:marLeft w:val="0"/>
      <w:marRight w:val="0"/>
      <w:marTop w:val="0"/>
      <w:marBottom w:val="0"/>
      <w:divBdr>
        <w:top w:val="none" w:sz="0" w:space="0" w:color="auto"/>
        <w:left w:val="none" w:sz="0" w:space="0" w:color="auto"/>
        <w:bottom w:val="none" w:sz="0" w:space="0" w:color="auto"/>
        <w:right w:val="none" w:sz="0" w:space="0" w:color="auto"/>
      </w:divBdr>
    </w:div>
    <w:div w:id="852037189">
      <w:bodyDiv w:val="1"/>
      <w:marLeft w:val="0"/>
      <w:marRight w:val="0"/>
      <w:marTop w:val="0"/>
      <w:marBottom w:val="0"/>
      <w:divBdr>
        <w:top w:val="none" w:sz="0" w:space="0" w:color="auto"/>
        <w:left w:val="none" w:sz="0" w:space="0" w:color="auto"/>
        <w:bottom w:val="none" w:sz="0" w:space="0" w:color="auto"/>
        <w:right w:val="none" w:sz="0" w:space="0" w:color="auto"/>
      </w:divBdr>
    </w:div>
    <w:div w:id="852111015">
      <w:bodyDiv w:val="1"/>
      <w:marLeft w:val="0"/>
      <w:marRight w:val="0"/>
      <w:marTop w:val="0"/>
      <w:marBottom w:val="0"/>
      <w:divBdr>
        <w:top w:val="none" w:sz="0" w:space="0" w:color="auto"/>
        <w:left w:val="none" w:sz="0" w:space="0" w:color="auto"/>
        <w:bottom w:val="none" w:sz="0" w:space="0" w:color="auto"/>
        <w:right w:val="none" w:sz="0" w:space="0" w:color="auto"/>
      </w:divBdr>
    </w:div>
    <w:div w:id="852184757">
      <w:bodyDiv w:val="1"/>
      <w:marLeft w:val="0"/>
      <w:marRight w:val="0"/>
      <w:marTop w:val="0"/>
      <w:marBottom w:val="0"/>
      <w:divBdr>
        <w:top w:val="none" w:sz="0" w:space="0" w:color="auto"/>
        <w:left w:val="none" w:sz="0" w:space="0" w:color="auto"/>
        <w:bottom w:val="none" w:sz="0" w:space="0" w:color="auto"/>
        <w:right w:val="none" w:sz="0" w:space="0" w:color="auto"/>
      </w:divBdr>
    </w:div>
    <w:div w:id="852187803">
      <w:bodyDiv w:val="1"/>
      <w:marLeft w:val="0"/>
      <w:marRight w:val="0"/>
      <w:marTop w:val="0"/>
      <w:marBottom w:val="0"/>
      <w:divBdr>
        <w:top w:val="none" w:sz="0" w:space="0" w:color="auto"/>
        <w:left w:val="none" w:sz="0" w:space="0" w:color="auto"/>
        <w:bottom w:val="none" w:sz="0" w:space="0" w:color="auto"/>
        <w:right w:val="none" w:sz="0" w:space="0" w:color="auto"/>
      </w:divBdr>
    </w:div>
    <w:div w:id="852258644">
      <w:bodyDiv w:val="1"/>
      <w:marLeft w:val="0"/>
      <w:marRight w:val="0"/>
      <w:marTop w:val="0"/>
      <w:marBottom w:val="0"/>
      <w:divBdr>
        <w:top w:val="none" w:sz="0" w:space="0" w:color="auto"/>
        <w:left w:val="none" w:sz="0" w:space="0" w:color="auto"/>
        <w:bottom w:val="none" w:sz="0" w:space="0" w:color="auto"/>
        <w:right w:val="none" w:sz="0" w:space="0" w:color="auto"/>
      </w:divBdr>
    </w:div>
    <w:div w:id="852300434">
      <w:bodyDiv w:val="1"/>
      <w:marLeft w:val="0"/>
      <w:marRight w:val="0"/>
      <w:marTop w:val="0"/>
      <w:marBottom w:val="0"/>
      <w:divBdr>
        <w:top w:val="none" w:sz="0" w:space="0" w:color="auto"/>
        <w:left w:val="none" w:sz="0" w:space="0" w:color="auto"/>
        <w:bottom w:val="none" w:sz="0" w:space="0" w:color="auto"/>
        <w:right w:val="none" w:sz="0" w:space="0" w:color="auto"/>
      </w:divBdr>
    </w:div>
    <w:div w:id="852453381">
      <w:bodyDiv w:val="1"/>
      <w:marLeft w:val="0"/>
      <w:marRight w:val="0"/>
      <w:marTop w:val="0"/>
      <w:marBottom w:val="0"/>
      <w:divBdr>
        <w:top w:val="none" w:sz="0" w:space="0" w:color="auto"/>
        <w:left w:val="none" w:sz="0" w:space="0" w:color="auto"/>
        <w:bottom w:val="none" w:sz="0" w:space="0" w:color="auto"/>
        <w:right w:val="none" w:sz="0" w:space="0" w:color="auto"/>
      </w:divBdr>
    </w:div>
    <w:div w:id="852455316">
      <w:bodyDiv w:val="1"/>
      <w:marLeft w:val="0"/>
      <w:marRight w:val="0"/>
      <w:marTop w:val="0"/>
      <w:marBottom w:val="0"/>
      <w:divBdr>
        <w:top w:val="none" w:sz="0" w:space="0" w:color="auto"/>
        <w:left w:val="none" w:sz="0" w:space="0" w:color="auto"/>
        <w:bottom w:val="none" w:sz="0" w:space="0" w:color="auto"/>
        <w:right w:val="none" w:sz="0" w:space="0" w:color="auto"/>
      </w:divBdr>
    </w:div>
    <w:div w:id="852493951">
      <w:bodyDiv w:val="1"/>
      <w:marLeft w:val="0"/>
      <w:marRight w:val="0"/>
      <w:marTop w:val="0"/>
      <w:marBottom w:val="0"/>
      <w:divBdr>
        <w:top w:val="none" w:sz="0" w:space="0" w:color="auto"/>
        <w:left w:val="none" w:sz="0" w:space="0" w:color="auto"/>
        <w:bottom w:val="none" w:sz="0" w:space="0" w:color="auto"/>
        <w:right w:val="none" w:sz="0" w:space="0" w:color="auto"/>
      </w:divBdr>
    </w:div>
    <w:div w:id="852499508">
      <w:bodyDiv w:val="1"/>
      <w:marLeft w:val="0"/>
      <w:marRight w:val="0"/>
      <w:marTop w:val="0"/>
      <w:marBottom w:val="0"/>
      <w:divBdr>
        <w:top w:val="none" w:sz="0" w:space="0" w:color="auto"/>
        <w:left w:val="none" w:sz="0" w:space="0" w:color="auto"/>
        <w:bottom w:val="none" w:sz="0" w:space="0" w:color="auto"/>
        <w:right w:val="none" w:sz="0" w:space="0" w:color="auto"/>
      </w:divBdr>
    </w:div>
    <w:div w:id="852694660">
      <w:bodyDiv w:val="1"/>
      <w:marLeft w:val="0"/>
      <w:marRight w:val="0"/>
      <w:marTop w:val="0"/>
      <w:marBottom w:val="0"/>
      <w:divBdr>
        <w:top w:val="none" w:sz="0" w:space="0" w:color="auto"/>
        <w:left w:val="none" w:sz="0" w:space="0" w:color="auto"/>
        <w:bottom w:val="none" w:sz="0" w:space="0" w:color="auto"/>
        <w:right w:val="none" w:sz="0" w:space="0" w:color="auto"/>
      </w:divBdr>
    </w:div>
    <w:div w:id="852767060">
      <w:bodyDiv w:val="1"/>
      <w:marLeft w:val="0"/>
      <w:marRight w:val="0"/>
      <w:marTop w:val="0"/>
      <w:marBottom w:val="0"/>
      <w:divBdr>
        <w:top w:val="none" w:sz="0" w:space="0" w:color="auto"/>
        <w:left w:val="none" w:sz="0" w:space="0" w:color="auto"/>
        <w:bottom w:val="none" w:sz="0" w:space="0" w:color="auto"/>
        <w:right w:val="none" w:sz="0" w:space="0" w:color="auto"/>
      </w:divBdr>
    </w:div>
    <w:div w:id="852840534">
      <w:bodyDiv w:val="1"/>
      <w:marLeft w:val="0"/>
      <w:marRight w:val="0"/>
      <w:marTop w:val="0"/>
      <w:marBottom w:val="0"/>
      <w:divBdr>
        <w:top w:val="none" w:sz="0" w:space="0" w:color="auto"/>
        <w:left w:val="none" w:sz="0" w:space="0" w:color="auto"/>
        <w:bottom w:val="none" w:sz="0" w:space="0" w:color="auto"/>
        <w:right w:val="none" w:sz="0" w:space="0" w:color="auto"/>
      </w:divBdr>
    </w:div>
    <w:div w:id="852841241">
      <w:bodyDiv w:val="1"/>
      <w:marLeft w:val="0"/>
      <w:marRight w:val="0"/>
      <w:marTop w:val="0"/>
      <w:marBottom w:val="0"/>
      <w:divBdr>
        <w:top w:val="none" w:sz="0" w:space="0" w:color="auto"/>
        <w:left w:val="none" w:sz="0" w:space="0" w:color="auto"/>
        <w:bottom w:val="none" w:sz="0" w:space="0" w:color="auto"/>
        <w:right w:val="none" w:sz="0" w:space="0" w:color="auto"/>
      </w:divBdr>
    </w:div>
    <w:div w:id="852917072">
      <w:bodyDiv w:val="1"/>
      <w:marLeft w:val="0"/>
      <w:marRight w:val="0"/>
      <w:marTop w:val="0"/>
      <w:marBottom w:val="0"/>
      <w:divBdr>
        <w:top w:val="none" w:sz="0" w:space="0" w:color="auto"/>
        <w:left w:val="none" w:sz="0" w:space="0" w:color="auto"/>
        <w:bottom w:val="none" w:sz="0" w:space="0" w:color="auto"/>
        <w:right w:val="none" w:sz="0" w:space="0" w:color="auto"/>
      </w:divBdr>
    </w:div>
    <w:div w:id="853034521">
      <w:bodyDiv w:val="1"/>
      <w:marLeft w:val="0"/>
      <w:marRight w:val="0"/>
      <w:marTop w:val="0"/>
      <w:marBottom w:val="0"/>
      <w:divBdr>
        <w:top w:val="none" w:sz="0" w:space="0" w:color="auto"/>
        <w:left w:val="none" w:sz="0" w:space="0" w:color="auto"/>
        <w:bottom w:val="none" w:sz="0" w:space="0" w:color="auto"/>
        <w:right w:val="none" w:sz="0" w:space="0" w:color="auto"/>
      </w:divBdr>
    </w:div>
    <w:div w:id="853230412">
      <w:bodyDiv w:val="1"/>
      <w:marLeft w:val="0"/>
      <w:marRight w:val="0"/>
      <w:marTop w:val="0"/>
      <w:marBottom w:val="0"/>
      <w:divBdr>
        <w:top w:val="none" w:sz="0" w:space="0" w:color="auto"/>
        <w:left w:val="none" w:sz="0" w:space="0" w:color="auto"/>
        <w:bottom w:val="none" w:sz="0" w:space="0" w:color="auto"/>
        <w:right w:val="none" w:sz="0" w:space="0" w:color="auto"/>
      </w:divBdr>
    </w:div>
    <w:div w:id="853302613">
      <w:bodyDiv w:val="1"/>
      <w:marLeft w:val="0"/>
      <w:marRight w:val="0"/>
      <w:marTop w:val="0"/>
      <w:marBottom w:val="0"/>
      <w:divBdr>
        <w:top w:val="none" w:sz="0" w:space="0" w:color="auto"/>
        <w:left w:val="none" w:sz="0" w:space="0" w:color="auto"/>
        <w:bottom w:val="none" w:sz="0" w:space="0" w:color="auto"/>
        <w:right w:val="none" w:sz="0" w:space="0" w:color="auto"/>
      </w:divBdr>
    </w:div>
    <w:div w:id="853375374">
      <w:bodyDiv w:val="1"/>
      <w:marLeft w:val="0"/>
      <w:marRight w:val="0"/>
      <w:marTop w:val="0"/>
      <w:marBottom w:val="0"/>
      <w:divBdr>
        <w:top w:val="none" w:sz="0" w:space="0" w:color="auto"/>
        <w:left w:val="none" w:sz="0" w:space="0" w:color="auto"/>
        <w:bottom w:val="none" w:sz="0" w:space="0" w:color="auto"/>
        <w:right w:val="none" w:sz="0" w:space="0" w:color="auto"/>
      </w:divBdr>
    </w:div>
    <w:div w:id="853492191">
      <w:bodyDiv w:val="1"/>
      <w:marLeft w:val="0"/>
      <w:marRight w:val="0"/>
      <w:marTop w:val="0"/>
      <w:marBottom w:val="0"/>
      <w:divBdr>
        <w:top w:val="none" w:sz="0" w:space="0" w:color="auto"/>
        <w:left w:val="none" w:sz="0" w:space="0" w:color="auto"/>
        <w:bottom w:val="none" w:sz="0" w:space="0" w:color="auto"/>
        <w:right w:val="none" w:sz="0" w:space="0" w:color="auto"/>
      </w:divBdr>
    </w:div>
    <w:div w:id="853492296">
      <w:bodyDiv w:val="1"/>
      <w:marLeft w:val="0"/>
      <w:marRight w:val="0"/>
      <w:marTop w:val="0"/>
      <w:marBottom w:val="0"/>
      <w:divBdr>
        <w:top w:val="none" w:sz="0" w:space="0" w:color="auto"/>
        <w:left w:val="none" w:sz="0" w:space="0" w:color="auto"/>
        <w:bottom w:val="none" w:sz="0" w:space="0" w:color="auto"/>
        <w:right w:val="none" w:sz="0" w:space="0" w:color="auto"/>
      </w:divBdr>
    </w:div>
    <w:div w:id="853499707">
      <w:bodyDiv w:val="1"/>
      <w:marLeft w:val="0"/>
      <w:marRight w:val="0"/>
      <w:marTop w:val="0"/>
      <w:marBottom w:val="0"/>
      <w:divBdr>
        <w:top w:val="none" w:sz="0" w:space="0" w:color="auto"/>
        <w:left w:val="none" w:sz="0" w:space="0" w:color="auto"/>
        <w:bottom w:val="none" w:sz="0" w:space="0" w:color="auto"/>
        <w:right w:val="none" w:sz="0" w:space="0" w:color="auto"/>
      </w:divBdr>
    </w:div>
    <w:div w:id="853610606">
      <w:bodyDiv w:val="1"/>
      <w:marLeft w:val="0"/>
      <w:marRight w:val="0"/>
      <w:marTop w:val="0"/>
      <w:marBottom w:val="0"/>
      <w:divBdr>
        <w:top w:val="none" w:sz="0" w:space="0" w:color="auto"/>
        <w:left w:val="none" w:sz="0" w:space="0" w:color="auto"/>
        <w:bottom w:val="none" w:sz="0" w:space="0" w:color="auto"/>
        <w:right w:val="none" w:sz="0" w:space="0" w:color="auto"/>
      </w:divBdr>
    </w:div>
    <w:div w:id="853766210">
      <w:bodyDiv w:val="1"/>
      <w:marLeft w:val="0"/>
      <w:marRight w:val="0"/>
      <w:marTop w:val="0"/>
      <w:marBottom w:val="0"/>
      <w:divBdr>
        <w:top w:val="none" w:sz="0" w:space="0" w:color="auto"/>
        <w:left w:val="none" w:sz="0" w:space="0" w:color="auto"/>
        <w:bottom w:val="none" w:sz="0" w:space="0" w:color="auto"/>
        <w:right w:val="none" w:sz="0" w:space="0" w:color="auto"/>
      </w:divBdr>
    </w:div>
    <w:div w:id="853812048">
      <w:bodyDiv w:val="1"/>
      <w:marLeft w:val="0"/>
      <w:marRight w:val="0"/>
      <w:marTop w:val="0"/>
      <w:marBottom w:val="0"/>
      <w:divBdr>
        <w:top w:val="none" w:sz="0" w:space="0" w:color="auto"/>
        <w:left w:val="none" w:sz="0" w:space="0" w:color="auto"/>
        <w:bottom w:val="none" w:sz="0" w:space="0" w:color="auto"/>
        <w:right w:val="none" w:sz="0" w:space="0" w:color="auto"/>
      </w:divBdr>
    </w:div>
    <w:div w:id="853953711">
      <w:bodyDiv w:val="1"/>
      <w:marLeft w:val="0"/>
      <w:marRight w:val="0"/>
      <w:marTop w:val="0"/>
      <w:marBottom w:val="0"/>
      <w:divBdr>
        <w:top w:val="none" w:sz="0" w:space="0" w:color="auto"/>
        <w:left w:val="none" w:sz="0" w:space="0" w:color="auto"/>
        <w:bottom w:val="none" w:sz="0" w:space="0" w:color="auto"/>
        <w:right w:val="none" w:sz="0" w:space="0" w:color="auto"/>
      </w:divBdr>
    </w:div>
    <w:div w:id="853957361">
      <w:bodyDiv w:val="1"/>
      <w:marLeft w:val="0"/>
      <w:marRight w:val="0"/>
      <w:marTop w:val="0"/>
      <w:marBottom w:val="0"/>
      <w:divBdr>
        <w:top w:val="none" w:sz="0" w:space="0" w:color="auto"/>
        <w:left w:val="none" w:sz="0" w:space="0" w:color="auto"/>
        <w:bottom w:val="none" w:sz="0" w:space="0" w:color="auto"/>
        <w:right w:val="none" w:sz="0" w:space="0" w:color="auto"/>
      </w:divBdr>
    </w:div>
    <w:div w:id="854001675">
      <w:bodyDiv w:val="1"/>
      <w:marLeft w:val="0"/>
      <w:marRight w:val="0"/>
      <w:marTop w:val="0"/>
      <w:marBottom w:val="0"/>
      <w:divBdr>
        <w:top w:val="none" w:sz="0" w:space="0" w:color="auto"/>
        <w:left w:val="none" w:sz="0" w:space="0" w:color="auto"/>
        <w:bottom w:val="none" w:sz="0" w:space="0" w:color="auto"/>
        <w:right w:val="none" w:sz="0" w:space="0" w:color="auto"/>
      </w:divBdr>
    </w:div>
    <w:div w:id="854031843">
      <w:bodyDiv w:val="1"/>
      <w:marLeft w:val="0"/>
      <w:marRight w:val="0"/>
      <w:marTop w:val="0"/>
      <w:marBottom w:val="0"/>
      <w:divBdr>
        <w:top w:val="none" w:sz="0" w:space="0" w:color="auto"/>
        <w:left w:val="none" w:sz="0" w:space="0" w:color="auto"/>
        <w:bottom w:val="none" w:sz="0" w:space="0" w:color="auto"/>
        <w:right w:val="none" w:sz="0" w:space="0" w:color="auto"/>
      </w:divBdr>
    </w:div>
    <w:div w:id="854071955">
      <w:bodyDiv w:val="1"/>
      <w:marLeft w:val="0"/>
      <w:marRight w:val="0"/>
      <w:marTop w:val="0"/>
      <w:marBottom w:val="0"/>
      <w:divBdr>
        <w:top w:val="none" w:sz="0" w:space="0" w:color="auto"/>
        <w:left w:val="none" w:sz="0" w:space="0" w:color="auto"/>
        <w:bottom w:val="none" w:sz="0" w:space="0" w:color="auto"/>
        <w:right w:val="none" w:sz="0" w:space="0" w:color="auto"/>
      </w:divBdr>
    </w:div>
    <w:div w:id="854074615">
      <w:bodyDiv w:val="1"/>
      <w:marLeft w:val="0"/>
      <w:marRight w:val="0"/>
      <w:marTop w:val="0"/>
      <w:marBottom w:val="0"/>
      <w:divBdr>
        <w:top w:val="none" w:sz="0" w:space="0" w:color="auto"/>
        <w:left w:val="none" w:sz="0" w:space="0" w:color="auto"/>
        <w:bottom w:val="none" w:sz="0" w:space="0" w:color="auto"/>
        <w:right w:val="none" w:sz="0" w:space="0" w:color="auto"/>
      </w:divBdr>
    </w:div>
    <w:div w:id="854076044">
      <w:bodyDiv w:val="1"/>
      <w:marLeft w:val="0"/>
      <w:marRight w:val="0"/>
      <w:marTop w:val="0"/>
      <w:marBottom w:val="0"/>
      <w:divBdr>
        <w:top w:val="none" w:sz="0" w:space="0" w:color="auto"/>
        <w:left w:val="none" w:sz="0" w:space="0" w:color="auto"/>
        <w:bottom w:val="none" w:sz="0" w:space="0" w:color="auto"/>
        <w:right w:val="none" w:sz="0" w:space="0" w:color="auto"/>
      </w:divBdr>
    </w:div>
    <w:div w:id="854079449">
      <w:bodyDiv w:val="1"/>
      <w:marLeft w:val="0"/>
      <w:marRight w:val="0"/>
      <w:marTop w:val="0"/>
      <w:marBottom w:val="0"/>
      <w:divBdr>
        <w:top w:val="none" w:sz="0" w:space="0" w:color="auto"/>
        <w:left w:val="none" w:sz="0" w:space="0" w:color="auto"/>
        <w:bottom w:val="none" w:sz="0" w:space="0" w:color="auto"/>
        <w:right w:val="none" w:sz="0" w:space="0" w:color="auto"/>
      </w:divBdr>
    </w:div>
    <w:div w:id="854147119">
      <w:bodyDiv w:val="1"/>
      <w:marLeft w:val="0"/>
      <w:marRight w:val="0"/>
      <w:marTop w:val="0"/>
      <w:marBottom w:val="0"/>
      <w:divBdr>
        <w:top w:val="none" w:sz="0" w:space="0" w:color="auto"/>
        <w:left w:val="none" w:sz="0" w:space="0" w:color="auto"/>
        <w:bottom w:val="none" w:sz="0" w:space="0" w:color="auto"/>
        <w:right w:val="none" w:sz="0" w:space="0" w:color="auto"/>
      </w:divBdr>
    </w:div>
    <w:div w:id="854150241">
      <w:bodyDiv w:val="1"/>
      <w:marLeft w:val="0"/>
      <w:marRight w:val="0"/>
      <w:marTop w:val="0"/>
      <w:marBottom w:val="0"/>
      <w:divBdr>
        <w:top w:val="none" w:sz="0" w:space="0" w:color="auto"/>
        <w:left w:val="none" w:sz="0" w:space="0" w:color="auto"/>
        <w:bottom w:val="none" w:sz="0" w:space="0" w:color="auto"/>
        <w:right w:val="none" w:sz="0" w:space="0" w:color="auto"/>
      </w:divBdr>
    </w:div>
    <w:div w:id="854198656">
      <w:bodyDiv w:val="1"/>
      <w:marLeft w:val="0"/>
      <w:marRight w:val="0"/>
      <w:marTop w:val="0"/>
      <w:marBottom w:val="0"/>
      <w:divBdr>
        <w:top w:val="none" w:sz="0" w:space="0" w:color="auto"/>
        <w:left w:val="none" w:sz="0" w:space="0" w:color="auto"/>
        <w:bottom w:val="none" w:sz="0" w:space="0" w:color="auto"/>
        <w:right w:val="none" w:sz="0" w:space="0" w:color="auto"/>
      </w:divBdr>
    </w:div>
    <w:div w:id="854225450">
      <w:bodyDiv w:val="1"/>
      <w:marLeft w:val="0"/>
      <w:marRight w:val="0"/>
      <w:marTop w:val="0"/>
      <w:marBottom w:val="0"/>
      <w:divBdr>
        <w:top w:val="none" w:sz="0" w:space="0" w:color="auto"/>
        <w:left w:val="none" w:sz="0" w:space="0" w:color="auto"/>
        <w:bottom w:val="none" w:sz="0" w:space="0" w:color="auto"/>
        <w:right w:val="none" w:sz="0" w:space="0" w:color="auto"/>
      </w:divBdr>
    </w:div>
    <w:div w:id="854344757">
      <w:bodyDiv w:val="1"/>
      <w:marLeft w:val="0"/>
      <w:marRight w:val="0"/>
      <w:marTop w:val="0"/>
      <w:marBottom w:val="0"/>
      <w:divBdr>
        <w:top w:val="none" w:sz="0" w:space="0" w:color="auto"/>
        <w:left w:val="none" w:sz="0" w:space="0" w:color="auto"/>
        <w:bottom w:val="none" w:sz="0" w:space="0" w:color="auto"/>
        <w:right w:val="none" w:sz="0" w:space="0" w:color="auto"/>
      </w:divBdr>
    </w:div>
    <w:div w:id="854347613">
      <w:bodyDiv w:val="1"/>
      <w:marLeft w:val="0"/>
      <w:marRight w:val="0"/>
      <w:marTop w:val="0"/>
      <w:marBottom w:val="0"/>
      <w:divBdr>
        <w:top w:val="none" w:sz="0" w:space="0" w:color="auto"/>
        <w:left w:val="none" w:sz="0" w:space="0" w:color="auto"/>
        <w:bottom w:val="none" w:sz="0" w:space="0" w:color="auto"/>
        <w:right w:val="none" w:sz="0" w:space="0" w:color="auto"/>
      </w:divBdr>
    </w:div>
    <w:div w:id="854417424">
      <w:bodyDiv w:val="1"/>
      <w:marLeft w:val="0"/>
      <w:marRight w:val="0"/>
      <w:marTop w:val="0"/>
      <w:marBottom w:val="0"/>
      <w:divBdr>
        <w:top w:val="none" w:sz="0" w:space="0" w:color="auto"/>
        <w:left w:val="none" w:sz="0" w:space="0" w:color="auto"/>
        <w:bottom w:val="none" w:sz="0" w:space="0" w:color="auto"/>
        <w:right w:val="none" w:sz="0" w:space="0" w:color="auto"/>
      </w:divBdr>
    </w:div>
    <w:div w:id="854423096">
      <w:bodyDiv w:val="1"/>
      <w:marLeft w:val="0"/>
      <w:marRight w:val="0"/>
      <w:marTop w:val="0"/>
      <w:marBottom w:val="0"/>
      <w:divBdr>
        <w:top w:val="none" w:sz="0" w:space="0" w:color="auto"/>
        <w:left w:val="none" w:sz="0" w:space="0" w:color="auto"/>
        <w:bottom w:val="none" w:sz="0" w:space="0" w:color="auto"/>
        <w:right w:val="none" w:sz="0" w:space="0" w:color="auto"/>
      </w:divBdr>
    </w:div>
    <w:div w:id="854536652">
      <w:bodyDiv w:val="1"/>
      <w:marLeft w:val="0"/>
      <w:marRight w:val="0"/>
      <w:marTop w:val="0"/>
      <w:marBottom w:val="0"/>
      <w:divBdr>
        <w:top w:val="none" w:sz="0" w:space="0" w:color="auto"/>
        <w:left w:val="none" w:sz="0" w:space="0" w:color="auto"/>
        <w:bottom w:val="none" w:sz="0" w:space="0" w:color="auto"/>
        <w:right w:val="none" w:sz="0" w:space="0" w:color="auto"/>
      </w:divBdr>
    </w:div>
    <w:div w:id="854617182">
      <w:bodyDiv w:val="1"/>
      <w:marLeft w:val="0"/>
      <w:marRight w:val="0"/>
      <w:marTop w:val="0"/>
      <w:marBottom w:val="0"/>
      <w:divBdr>
        <w:top w:val="none" w:sz="0" w:space="0" w:color="auto"/>
        <w:left w:val="none" w:sz="0" w:space="0" w:color="auto"/>
        <w:bottom w:val="none" w:sz="0" w:space="0" w:color="auto"/>
        <w:right w:val="none" w:sz="0" w:space="0" w:color="auto"/>
      </w:divBdr>
    </w:div>
    <w:div w:id="854656324">
      <w:bodyDiv w:val="1"/>
      <w:marLeft w:val="0"/>
      <w:marRight w:val="0"/>
      <w:marTop w:val="0"/>
      <w:marBottom w:val="0"/>
      <w:divBdr>
        <w:top w:val="none" w:sz="0" w:space="0" w:color="auto"/>
        <w:left w:val="none" w:sz="0" w:space="0" w:color="auto"/>
        <w:bottom w:val="none" w:sz="0" w:space="0" w:color="auto"/>
        <w:right w:val="none" w:sz="0" w:space="0" w:color="auto"/>
      </w:divBdr>
    </w:div>
    <w:div w:id="854805310">
      <w:bodyDiv w:val="1"/>
      <w:marLeft w:val="0"/>
      <w:marRight w:val="0"/>
      <w:marTop w:val="0"/>
      <w:marBottom w:val="0"/>
      <w:divBdr>
        <w:top w:val="none" w:sz="0" w:space="0" w:color="auto"/>
        <w:left w:val="none" w:sz="0" w:space="0" w:color="auto"/>
        <w:bottom w:val="none" w:sz="0" w:space="0" w:color="auto"/>
        <w:right w:val="none" w:sz="0" w:space="0" w:color="auto"/>
      </w:divBdr>
    </w:div>
    <w:div w:id="854854202">
      <w:bodyDiv w:val="1"/>
      <w:marLeft w:val="0"/>
      <w:marRight w:val="0"/>
      <w:marTop w:val="0"/>
      <w:marBottom w:val="0"/>
      <w:divBdr>
        <w:top w:val="none" w:sz="0" w:space="0" w:color="auto"/>
        <w:left w:val="none" w:sz="0" w:space="0" w:color="auto"/>
        <w:bottom w:val="none" w:sz="0" w:space="0" w:color="auto"/>
        <w:right w:val="none" w:sz="0" w:space="0" w:color="auto"/>
      </w:divBdr>
    </w:div>
    <w:div w:id="854925404">
      <w:bodyDiv w:val="1"/>
      <w:marLeft w:val="0"/>
      <w:marRight w:val="0"/>
      <w:marTop w:val="0"/>
      <w:marBottom w:val="0"/>
      <w:divBdr>
        <w:top w:val="none" w:sz="0" w:space="0" w:color="auto"/>
        <w:left w:val="none" w:sz="0" w:space="0" w:color="auto"/>
        <w:bottom w:val="none" w:sz="0" w:space="0" w:color="auto"/>
        <w:right w:val="none" w:sz="0" w:space="0" w:color="auto"/>
      </w:divBdr>
    </w:div>
    <w:div w:id="854928910">
      <w:bodyDiv w:val="1"/>
      <w:marLeft w:val="0"/>
      <w:marRight w:val="0"/>
      <w:marTop w:val="0"/>
      <w:marBottom w:val="0"/>
      <w:divBdr>
        <w:top w:val="none" w:sz="0" w:space="0" w:color="auto"/>
        <w:left w:val="none" w:sz="0" w:space="0" w:color="auto"/>
        <w:bottom w:val="none" w:sz="0" w:space="0" w:color="auto"/>
        <w:right w:val="none" w:sz="0" w:space="0" w:color="auto"/>
      </w:divBdr>
    </w:div>
    <w:div w:id="855118325">
      <w:bodyDiv w:val="1"/>
      <w:marLeft w:val="0"/>
      <w:marRight w:val="0"/>
      <w:marTop w:val="0"/>
      <w:marBottom w:val="0"/>
      <w:divBdr>
        <w:top w:val="none" w:sz="0" w:space="0" w:color="auto"/>
        <w:left w:val="none" w:sz="0" w:space="0" w:color="auto"/>
        <w:bottom w:val="none" w:sz="0" w:space="0" w:color="auto"/>
        <w:right w:val="none" w:sz="0" w:space="0" w:color="auto"/>
      </w:divBdr>
    </w:div>
    <w:div w:id="855118394">
      <w:bodyDiv w:val="1"/>
      <w:marLeft w:val="0"/>
      <w:marRight w:val="0"/>
      <w:marTop w:val="0"/>
      <w:marBottom w:val="0"/>
      <w:divBdr>
        <w:top w:val="none" w:sz="0" w:space="0" w:color="auto"/>
        <w:left w:val="none" w:sz="0" w:space="0" w:color="auto"/>
        <w:bottom w:val="none" w:sz="0" w:space="0" w:color="auto"/>
        <w:right w:val="none" w:sz="0" w:space="0" w:color="auto"/>
      </w:divBdr>
    </w:div>
    <w:div w:id="855310405">
      <w:bodyDiv w:val="1"/>
      <w:marLeft w:val="0"/>
      <w:marRight w:val="0"/>
      <w:marTop w:val="0"/>
      <w:marBottom w:val="0"/>
      <w:divBdr>
        <w:top w:val="none" w:sz="0" w:space="0" w:color="auto"/>
        <w:left w:val="none" w:sz="0" w:space="0" w:color="auto"/>
        <w:bottom w:val="none" w:sz="0" w:space="0" w:color="auto"/>
        <w:right w:val="none" w:sz="0" w:space="0" w:color="auto"/>
      </w:divBdr>
    </w:div>
    <w:div w:id="855458464">
      <w:bodyDiv w:val="1"/>
      <w:marLeft w:val="0"/>
      <w:marRight w:val="0"/>
      <w:marTop w:val="0"/>
      <w:marBottom w:val="0"/>
      <w:divBdr>
        <w:top w:val="none" w:sz="0" w:space="0" w:color="auto"/>
        <w:left w:val="none" w:sz="0" w:space="0" w:color="auto"/>
        <w:bottom w:val="none" w:sz="0" w:space="0" w:color="auto"/>
        <w:right w:val="none" w:sz="0" w:space="0" w:color="auto"/>
      </w:divBdr>
    </w:div>
    <w:div w:id="855460999">
      <w:bodyDiv w:val="1"/>
      <w:marLeft w:val="0"/>
      <w:marRight w:val="0"/>
      <w:marTop w:val="0"/>
      <w:marBottom w:val="0"/>
      <w:divBdr>
        <w:top w:val="none" w:sz="0" w:space="0" w:color="auto"/>
        <w:left w:val="none" w:sz="0" w:space="0" w:color="auto"/>
        <w:bottom w:val="none" w:sz="0" w:space="0" w:color="auto"/>
        <w:right w:val="none" w:sz="0" w:space="0" w:color="auto"/>
      </w:divBdr>
    </w:div>
    <w:div w:id="855580066">
      <w:bodyDiv w:val="1"/>
      <w:marLeft w:val="0"/>
      <w:marRight w:val="0"/>
      <w:marTop w:val="0"/>
      <w:marBottom w:val="0"/>
      <w:divBdr>
        <w:top w:val="none" w:sz="0" w:space="0" w:color="auto"/>
        <w:left w:val="none" w:sz="0" w:space="0" w:color="auto"/>
        <w:bottom w:val="none" w:sz="0" w:space="0" w:color="auto"/>
        <w:right w:val="none" w:sz="0" w:space="0" w:color="auto"/>
      </w:divBdr>
    </w:div>
    <w:div w:id="855655391">
      <w:bodyDiv w:val="1"/>
      <w:marLeft w:val="0"/>
      <w:marRight w:val="0"/>
      <w:marTop w:val="0"/>
      <w:marBottom w:val="0"/>
      <w:divBdr>
        <w:top w:val="none" w:sz="0" w:space="0" w:color="auto"/>
        <w:left w:val="none" w:sz="0" w:space="0" w:color="auto"/>
        <w:bottom w:val="none" w:sz="0" w:space="0" w:color="auto"/>
        <w:right w:val="none" w:sz="0" w:space="0" w:color="auto"/>
      </w:divBdr>
    </w:div>
    <w:div w:id="855732015">
      <w:bodyDiv w:val="1"/>
      <w:marLeft w:val="0"/>
      <w:marRight w:val="0"/>
      <w:marTop w:val="0"/>
      <w:marBottom w:val="0"/>
      <w:divBdr>
        <w:top w:val="none" w:sz="0" w:space="0" w:color="auto"/>
        <w:left w:val="none" w:sz="0" w:space="0" w:color="auto"/>
        <w:bottom w:val="none" w:sz="0" w:space="0" w:color="auto"/>
        <w:right w:val="none" w:sz="0" w:space="0" w:color="auto"/>
      </w:divBdr>
    </w:div>
    <w:div w:id="855772625">
      <w:bodyDiv w:val="1"/>
      <w:marLeft w:val="0"/>
      <w:marRight w:val="0"/>
      <w:marTop w:val="0"/>
      <w:marBottom w:val="0"/>
      <w:divBdr>
        <w:top w:val="none" w:sz="0" w:space="0" w:color="auto"/>
        <w:left w:val="none" w:sz="0" w:space="0" w:color="auto"/>
        <w:bottom w:val="none" w:sz="0" w:space="0" w:color="auto"/>
        <w:right w:val="none" w:sz="0" w:space="0" w:color="auto"/>
      </w:divBdr>
    </w:div>
    <w:div w:id="855773924">
      <w:bodyDiv w:val="1"/>
      <w:marLeft w:val="0"/>
      <w:marRight w:val="0"/>
      <w:marTop w:val="0"/>
      <w:marBottom w:val="0"/>
      <w:divBdr>
        <w:top w:val="none" w:sz="0" w:space="0" w:color="auto"/>
        <w:left w:val="none" w:sz="0" w:space="0" w:color="auto"/>
        <w:bottom w:val="none" w:sz="0" w:space="0" w:color="auto"/>
        <w:right w:val="none" w:sz="0" w:space="0" w:color="auto"/>
      </w:divBdr>
    </w:div>
    <w:div w:id="855849992">
      <w:bodyDiv w:val="1"/>
      <w:marLeft w:val="0"/>
      <w:marRight w:val="0"/>
      <w:marTop w:val="0"/>
      <w:marBottom w:val="0"/>
      <w:divBdr>
        <w:top w:val="none" w:sz="0" w:space="0" w:color="auto"/>
        <w:left w:val="none" w:sz="0" w:space="0" w:color="auto"/>
        <w:bottom w:val="none" w:sz="0" w:space="0" w:color="auto"/>
        <w:right w:val="none" w:sz="0" w:space="0" w:color="auto"/>
      </w:divBdr>
    </w:div>
    <w:div w:id="855926124">
      <w:bodyDiv w:val="1"/>
      <w:marLeft w:val="0"/>
      <w:marRight w:val="0"/>
      <w:marTop w:val="0"/>
      <w:marBottom w:val="0"/>
      <w:divBdr>
        <w:top w:val="none" w:sz="0" w:space="0" w:color="auto"/>
        <w:left w:val="none" w:sz="0" w:space="0" w:color="auto"/>
        <w:bottom w:val="none" w:sz="0" w:space="0" w:color="auto"/>
        <w:right w:val="none" w:sz="0" w:space="0" w:color="auto"/>
      </w:divBdr>
    </w:div>
    <w:div w:id="855967397">
      <w:bodyDiv w:val="1"/>
      <w:marLeft w:val="0"/>
      <w:marRight w:val="0"/>
      <w:marTop w:val="0"/>
      <w:marBottom w:val="0"/>
      <w:divBdr>
        <w:top w:val="none" w:sz="0" w:space="0" w:color="auto"/>
        <w:left w:val="none" w:sz="0" w:space="0" w:color="auto"/>
        <w:bottom w:val="none" w:sz="0" w:space="0" w:color="auto"/>
        <w:right w:val="none" w:sz="0" w:space="0" w:color="auto"/>
      </w:divBdr>
    </w:div>
    <w:div w:id="856039583">
      <w:bodyDiv w:val="1"/>
      <w:marLeft w:val="0"/>
      <w:marRight w:val="0"/>
      <w:marTop w:val="0"/>
      <w:marBottom w:val="0"/>
      <w:divBdr>
        <w:top w:val="none" w:sz="0" w:space="0" w:color="auto"/>
        <w:left w:val="none" w:sz="0" w:space="0" w:color="auto"/>
        <w:bottom w:val="none" w:sz="0" w:space="0" w:color="auto"/>
        <w:right w:val="none" w:sz="0" w:space="0" w:color="auto"/>
      </w:divBdr>
    </w:div>
    <w:div w:id="856044873">
      <w:bodyDiv w:val="1"/>
      <w:marLeft w:val="0"/>
      <w:marRight w:val="0"/>
      <w:marTop w:val="0"/>
      <w:marBottom w:val="0"/>
      <w:divBdr>
        <w:top w:val="none" w:sz="0" w:space="0" w:color="auto"/>
        <w:left w:val="none" w:sz="0" w:space="0" w:color="auto"/>
        <w:bottom w:val="none" w:sz="0" w:space="0" w:color="auto"/>
        <w:right w:val="none" w:sz="0" w:space="0" w:color="auto"/>
      </w:divBdr>
    </w:div>
    <w:div w:id="856309110">
      <w:bodyDiv w:val="1"/>
      <w:marLeft w:val="0"/>
      <w:marRight w:val="0"/>
      <w:marTop w:val="0"/>
      <w:marBottom w:val="0"/>
      <w:divBdr>
        <w:top w:val="none" w:sz="0" w:space="0" w:color="auto"/>
        <w:left w:val="none" w:sz="0" w:space="0" w:color="auto"/>
        <w:bottom w:val="none" w:sz="0" w:space="0" w:color="auto"/>
        <w:right w:val="none" w:sz="0" w:space="0" w:color="auto"/>
      </w:divBdr>
    </w:div>
    <w:div w:id="856386426">
      <w:bodyDiv w:val="1"/>
      <w:marLeft w:val="0"/>
      <w:marRight w:val="0"/>
      <w:marTop w:val="0"/>
      <w:marBottom w:val="0"/>
      <w:divBdr>
        <w:top w:val="none" w:sz="0" w:space="0" w:color="auto"/>
        <w:left w:val="none" w:sz="0" w:space="0" w:color="auto"/>
        <w:bottom w:val="none" w:sz="0" w:space="0" w:color="auto"/>
        <w:right w:val="none" w:sz="0" w:space="0" w:color="auto"/>
      </w:divBdr>
    </w:div>
    <w:div w:id="856433438">
      <w:bodyDiv w:val="1"/>
      <w:marLeft w:val="0"/>
      <w:marRight w:val="0"/>
      <w:marTop w:val="0"/>
      <w:marBottom w:val="0"/>
      <w:divBdr>
        <w:top w:val="none" w:sz="0" w:space="0" w:color="auto"/>
        <w:left w:val="none" w:sz="0" w:space="0" w:color="auto"/>
        <w:bottom w:val="none" w:sz="0" w:space="0" w:color="auto"/>
        <w:right w:val="none" w:sz="0" w:space="0" w:color="auto"/>
      </w:divBdr>
    </w:div>
    <w:div w:id="856580069">
      <w:bodyDiv w:val="1"/>
      <w:marLeft w:val="0"/>
      <w:marRight w:val="0"/>
      <w:marTop w:val="0"/>
      <w:marBottom w:val="0"/>
      <w:divBdr>
        <w:top w:val="none" w:sz="0" w:space="0" w:color="auto"/>
        <w:left w:val="none" w:sz="0" w:space="0" w:color="auto"/>
        <w:bottom w:val="none" w:sz="0" w:space="0" w:color="auto"/>
        <w:right w:val="none" w:sz="0" w:space="0" w:color="auto"/>
      </w:divBdr>
    </w:div>
    <w:div w:id="856770545">
      <w:bodyDiv w:val="1"/>
      <w:marLeft w:val="0"/>
      <w:marRight w:val="0"/>
      <w:marTop w:val="0"/>
      <w:marBottom w:val="0"/>
      <w:divBdr>
        <w:top w:val="none" w:sz="0" w:space="0" w:color="auto"/>
        <w:left w:val="none" w:sz="0" w:space="0" w:color="auto"/>
        <w:bottom w:val="none" w:sz="0" w:space="0" w:color="auto"/>
        <w:right w:val="none" w:sz="0" w:space="0" w:color="auto"/>
      </w:divBdr>
    </w:div>
    <w:div w:id="856847281">
      <w:bodyDiv w:val="1"/>
      <w:marLeft w:val="0"/>
      <w:marRight w:val="0"/>
      <w:marTop w:val="0"/>
      <w:marBottom w:val="0"/>
      <w:divBdr>
        <w:top w:val="none" w:sz="0" w:space="0" w:color="auto"/>
        <w:left w:val="none" w:sz="0" w:space="0" w:color="auto"/>
        <w:bottom w:val="none" w:sz="0" w:space="0" w:color="auto"/>
        <w:right w:val="none" w:sz="0" w:space="0" w:color="auto"/>
      </w:divBdr>
    </w:div>
    <w:div w:id="856962804">
      <w:bodyDiv w:val="1"/>
      <w:marLeft w:val="0"/>
      <w:marRight w:val="0"/>
      <w:marTop w:val="0"/>
      <w:marBottom w:val="0"/>
      <w:divBdr>
        <w:top w:val="none" w:sz="0" w:space="0" w:color="auto"/>
        <w:left w:val="none" w:sz="0" w:space="0" w:color="auto"/>
        <w:bottom w:val="none" w:sz="0" w:space="0" w:color="auto"/>
        <w:right w:val="none" w:sz="0" w:space="0" w:color="auto"/>
      </w:divBdr>
    </w:div>
    <w:div w:id="857082411">
      <w:bodyDiv w:val="1"/>
      <w:marLeft w:val="0"/>
      <w:marRight w:val="0"/>
      <w:marTop w:val="0"/>
      <w:marBottom w:val="0"/>
      <w:divBdr>
        <w:top w:val="none" w:sz="0" w:space="0" w:color="auto"/>
        <w:left w:val="none" w:sz="0" w:space="0" w:color="auto"/>
        <w:bottom w:val="none" w:sz="0" w:space="0" w:color="auto"/>
        <w:right w:val="none" w:sz="0" w:space="0" w:color="auto"/>
      </w:divBdr>
    </w:div>
    <w:div w:id="857087032">
      <w:bodyDiv w:val="1"/>
      <w:marLeft w:val="0"/>
      <w:marRight w:val="0"/>
      <w:marTop w:val="0"/>
      <w:marBottom w:val="0"/>
      <w:divBdr>
        <w:top w:val="none" w:sz="0" w:space="0" w:color="auto"/>
        <w:left w:val="none" w:sz="0" w:space="0" w:color="auto"/>
        <w:bottom w:val="none" w:sz="0" w:space="0" w:color="auto"/>
        <w:right w:val="none" w:sz="0" w:space="0" w:color="auto"/>
      </w:divBdr>
    </w:div>
    <w:div w:id="857159330">
      <w:bodyDiv w:val="1"/>
      <w:marLeft w:val="0"/>
      <w:marRight w:val="0"/>
      <w:marTop w:val="0"/>
      <w:marBottom w:val="0"/>
      <w:divBdr>
        <w:top w:val="none" w:sz="0" w:space="0" w:color="auto"/>
        <w:left w:val="none" w:sz="0" w:space="0" w:color="auto"/>
        <w:bottom w:val="none" w:sz="0" w:space="0" w:color="auto"/>
        <w:right w:val="none" w:sz="0" w:space="0" w:color="auto"/>
      </w:divBdr>
    </w:div>
    <w:div w:id="857278820">
      <w:bodyDiv w:val="1"/>
      <w:marLeft w:val="0"/>
      <w:marRight w:val="0"/>
      <w:marTop w:val="0"/>
      <w:marBottom w:val="0"/>
      <w:divBdr>
        <w:top w:val="none" w:sz="0" w:space="0" w:color="auto"/>
        <w:left w:val="none" w:sz="0" w:space="0" w:color="auto"/>
        <w:bottom w:val="none" w:sz="0" w:space="0" w:color="auto"/>
        <w:right w:val="none" w:sz="0" w:space="0" w:color="auto"/>
      </w:divBdr>
    </w:div>
    <w:div w:id="857354951">
      <w:bodyDiv w:val="1"/>
      <w:marLeft w:val="0"/>
      <w:marRight w:val="0"/>
      <w:marTop w:val="0"/>
      <w:marBottom w:val="0"/>
      <w:divBdr>
        <w:top w:val="none" w:sz="0" w:space="0" w:color="auto"/>
        <w:left w:val="none" w:sz="0" w:space="0" w:color="auto"/>
        <w:bottom w:val="none" w:sz="0" w:space="0" w:color="auto"/>
        <w:right w:val="none" w:sz="0" w:space="0" w:color="auto"/>
      </w:divBdr>
    </w:div>
    <w:div w:id="857429160">
      <w:bodyDiv w:val="1"/>
      <w:marLeft w:val="0"/>
      <w:marRight w:val="0"/>
      <w:marTop w:val="0"/>
      <w:marBottom w:val="0"/>
      <w:divBdr>
        <w:top w:val="none" w:sz="0" w:space="0" w:color="auto"/>
        <w:left w:val="none" w:sz="0" w:space="0" w:color="auto"/>
        <w:bottom w:val="none" w:sz="0" w:space="0" w:color="auto"/>
        <w:right w:val="none" w:sz="0" w:space="0" w:color="auto"/>
      </w:divBdr>
    </w:div>
    <w:div w:id="857431932">
      <w:bodyDiv w:val="1"/>
      <w:marLeft w:val="0"/>
      <w:marRight w:val="0"/>
      <w:marTop w:val="0"/>
      <w:marBottom w:val="0"/>
      <w:divBdr>
        <w:top w:val="none" w:sz="0" w:space="0" w:color="auto"/>
        <w:left w:val="none" w:sz="0" w:space="0" w:color="auto"/>
        <w:bottom w:val="none" w:sz="0" w:space="0" w:color="auto"/>
        <w:right w:val="none" w:sz="0" w:space="0" w:color="auto"/>
      </w:divBdr>
    </w:div>
    <w:div w:id="857499303">
      <w:bodyDiv w:val="1"/>
      <w:marLeft w:val="0"/>
      <w:marRight w:val="0"/>
      <w:marTop w:val="0"/>
      <w:marBottom w:val="0"/>
      <w:divBdr>
        <w:top w:val="none" w:sz="0" w:space="0" w:color="auto"/>
        <w:left w:val="none" w:sz="0" w:space="0" w:color="auto"/>
        <w:bottom w:val="none" w:sz="0" w:space="0" w:color="auto"/>
        <w:right w:val="none" w:sz="0" w:space="0" w:color="auto"/>
      </w:divBdr>
    </w:div>
    <w:div w:id="857500762">
      <w:bodyDiv w:val="1"/>
      <w:marLeft w:val="0"/>
      <w:marRight w:val="0"/>
      <w:marTop w:val="0"/>
      <w:marBottom w:val="0"/>
      <w:divBdr>
        <w:top w:val="none" w:sz="0" w:space="0" w:color="auto"/>
        <w:left w:val="none" w:sz="0" w:space="0" w:color="auto"/>
        <w:bottom w:val="none" w:sz="0" w:space="0" w:color="auto"/>
        <w:right w:val="none" w:sz="0" w:space="0" w:color="auto"/>
      </w:divBdr>
    </w:div>
    <w:div w:id="857505563">
      <w:bodyDiv w:val="1"/>
      <w:marLeft w:val="0"/>
      <w:marRight w:val="0"/>
      <w:marTop w:val="0"/>
      <w:marBottom w:val="0"/>
      <w:divBdr>
        <w:top w:val="none" w:sz="0" w:space="0" w:color="auto"/>
        <w:left w:val="none" w:sz="0" w:space="0" w:color="auto"/>
        <w:bottom w:val="none" w:sz="0" w:space="0" w:color="auto"/>
        <w:right w:val="none" w:sz="0" w:space="0" w:color="auto"/>
      </w:divBdr>
    </w:div>
    <w:div w:id="857541942">
      <w:bodyDiv w:val="1"/>
      <w:marLeft w:val="0"/>
      <w:marRight w:val="0"/>
      <w:marTop w:val="0"/>
      <w:marBottom w:val="0"/>
      <w:divBdr>
        <w:top w:val="none" w:sz="0" w:space="0" w:color="auto"/>
        <w:left w:val="none" w:sz="0" w:space="0" w:color="auto"/>
        <w:bottom w:val="none" w:sz="0" w:space="0" w:color="auto"/>
        <w:right w:val="none" w:sz="0" w:space="0" w:color="auto"/>
      </w:divBdr>
    </w:div>
    <w:div w:id="857542177">
      <w:bodyDiv w:val="1"/>
      <w:marLeft w:val="0"/>
      <w:marRight w:val="0"/>
      <w:marTop w:val="0"/>
      <w:marBottom w:val="0"/>
      <w:divBdr>
        <w:top w:val="none" w:sz="0" w:space="0" w:color="auto"/>
        <w:left w:val="none" w:sz="0" w:space="0" w:color="auto"/>
        <w:bottom w:val="none" w:sz="0" w:space="0" w:color="auto"/>
        <w:right w:val="none" w:sz="0" w:space="0" w:color="auto"/>
      </w:divBdr>
    </w:div>
    <w:div w:id="857550045">
      <w:bodyDiv w:val="1"/>
      <w:marLeft w:val="0"/>
      <w:marRight w:val="0"/>
      <w:marTop w:val="0"/>
      <w:marBottom w:val="0"/>
      <w:divBdr>
        <w:top w:val="none" w:sz="0" w:space="0" w:color="auto"/>
        <w:left w:val="none" w:sz="0" w:space="0" w:color="auto"/>
        <w:bottom w:val="none" w:sz="0" w:space="0" w:color="auto"/>
        <w:right w:val="none" w:sz="0" w:space="0" w:color="auto"/>
      </w:divBdr>
    </w:div>
    <w:div w:id="857888948">
      <w:bodyDiv w:val="1"/>
      <w:marLeft w:val="0"/>
      <w:marRight w:val="0"/>
      <w:marTop w:val="0"/>
      <w:marBottom w:val="0"/>
      <w:divBdr>
        <w:top w:val="none" w:sz="0" w:space="0" w:color="auto"/>
        <w:left w:val="none" w:sz="0" w:space="0" w:color="auto"/>
        <w:bottom w:val="none" w:sz="0" w:space="0" w:color="auto"/>
        <w:right w:val="none" w:sz="0" w:space="0" w:color="auto"/>
      </w:divBdr>
    </w:div>
    <w:div w:id="857889024">
      <w:bodyDiv w:val="1"/>
      <w:marLeft w:val="0"/>
      <w:marRight w:val="0"/>
      <w:marTop w:val="0"/>
      <w:marBottom w:val="0"/>
      <w:divBdr>
        <w:top w:val="none" w:sz="0" w:space="0" w:color="auto"/>
        <w:left w:val="none" w:sz="0" w:space="0" w:color="auto"/>
        <w:bottom w:val="none" w:sz="0" w:space="0" w:color="auto"/>
        <w:right w:val="none" w:sz="0" w:space="0" w:color="auto"/>
      </w:divBdr>
    </w:div>
    <w:div w:id="857936643">
      <w:bodyDiv w:val="1"/>
      <w:marLeft w:val="0"/>
      <w:marRight w:val="0"/>
      <w:marTop w:val="0"/>
      <w:marBottom w:val="0"/>
      <w:divBdr>
        <w:top w:val="none" w:sz="0" w:space="0" w:color="auto"/>
        <w:left w:val="none" w:sz="0" w:space="0" w:color="auto"/>
        <w:bottom w:val="none" w:sz="0" w:space="0" w:color="auto"/>
        <w:right w:val="none" w:sz="0" w:space="0" w:color="auto"/>
      </w:divBdr>
    </w:div>
    <w:div w:id="858007100">
      <w:bodyDiv w:val="1"/>
      <w:marLeft w:val="0"/>
      <w:marRight w:val="0"/>
      <w:marTop w:val="0"/>
      <w:marBottom w:val="0"/>
      <w:divBdr>
        <w:top w:val="none" w:sz="0" w:space="0" w:color="auto"/>
        <w:left w:val="none" w:sz="0" w:space="0" w:color="auto"/>
        <w:bottom w:val="none" w:sz="0" w:space="0" w:color="auto"/>
        <w:right w:val="none" w:sz="0" w:space="0" w:color="auto"/>
      </w:divBdr>
    </w:div>
    <w:div w:id="858081599">
      <w:bodyDiv w:val="1"/>
      <w:marLeft w:val="0"/>
      <w:marRight w:val="0"/>
      <w:marTop w:val="0"/>
      <w:marBottom w:val="0"/>
      <w:divBdr>
        <w:top w:val="none" w:sz="0" w:space="0" w:color="auto"/>
        <w:left w:val="none" w:sz="0" w:space="0" w:color="auto"/>
        <w:bottom w:val="none" w:sz="0" w:space="0" w:color="auto"/>
        <w:right w:val="none" w:sz="0" w:space="0" w:color="auto"/>
      </w:divBdr>
    </w:div>
    <w:div w:id="858129288">
      <w:bodyDiv w:val="1"/>
      <w:marLeft w:val="0"/>
      <w:marRight w:val="0"/>
      <w:marTop w:val="0"/>
      <w:marBottom w:val="0"/>
      <w:divBdr>
        <w:top w:val="none" w:sz="0" w:space="0" w:color="auto"/>
        <w:left w:val="none" w:sz="0" w:space="0" w:color="auto"/>
        <w:bottom w:val="none" w:sz="0" w:space="0" w:color="auto"/>
        <w:right w:val="none" w:sz="0" w:space="0" w:color="auto"/>
      </w:divBdr>
    </w:div>
    <w:div w:id="858196571">
      <w:bodyDiv w:val="1"/>
      <w:marLeft w:val="0"/>
      <w:marRight w:val="0"/>
      <w:marTop w:val="0"/>
      <w:marBottom w:val="0"/>
      <w:divBdr>
        <w:top w:val="none" w:sz="0" w:space="0" w:color="auto"/>
        <w:left w:val="none" w:sz="0" w:space="0" w:color="auto"/>
        <w:bottom w:val="none" w:sz="0" w:space="0" w:color="auto"/>
        <w:right w:val="none" w:sz="0" w:space="0" w:color="auto"/>
      </w:divBdr>
    </w:div>
    <w:div w:id="858201101">
      <w:bodyDiv w:val="1"/>
      <w:marLeft w:val="0"/>
      <w:marRight w:val="0"/>
      <w:marTop w:val="0"/>
      <w:marBottom w:val="0"/>
      <w:divBdr>
        <w:top w:val="none" w:sz="0" w:space="0" w:color="auto"/>
        <w:left w:val="none" w:sz="0" w:space="0" w:color="auto"/>
        <w:bottom w:val="none" w:sz="0" w:space="0" w:color="auto"/>
        <w:right w:val="none" w:sz="0" w:space="0" w:color="auto"/>
      </w:divBdr>
    </w:div>
    <w:div w:id="858349400">
      <w:bodyDiv w:val="1"/>
      <w:marLeft w:val="0"/>
      <w:marRight w:val="0"/>
      <w:marTop w:val="0"/>
      <w:marBottom w:val="0"/>
      <w:divBdr>
        <w:top w:val="none" w:sz="0" w:space="0" w:color="auto"/>
        <w:left w:val="none" w:sz="0" w:space="0" w:color="auto"/>
        <w:bottom w:val="none" w:sz="0" w:space="0" w:color="auto"/>
        <w:right w:val="none" w:sz="0" w:space="0" w:color="auto"/>
      </w:divBdr>
    </w:div>
    <w:div w:id="858422476">
      <w:bodyDiv w:val="1"/>
      <w:marLeft w:val="0"/>
      <w:marRight w:val="0"/>
      <w:marTop w:val="0"/>
      <w:marBottom w:val="0"/>
      <w:divBdr>
        <w:top w:val="none" w:sz="0" w:space="0" w:color="auto"/>
        <w:left w:val="none" w:sz="0" w:space="0" w:color="auto"/>
        <w:bottom w:val="none" w:sz="0" w:space="0" w:color="auto"/>
        <w:right w:val="none" w:sz="0" w:space="0" w:color="auto"/>
      </w:divBdr>
    </w:div>
    <w:div w:id="858587424">
      <w:bodyDiv w:val="1"/>
      <w:marLeft w:val="0"/>
      <w:marRight w:val="0"/>
      <w:marTop w:val="0"/>
      <w:marBottom w:val="0"/>
      <w:divBdr>
        <w:top w:val="none" w:sz="0" w:space="0" w:color="auto"/>
        <w:left w:val="none" w:sz="0" w:space="0" w:color="auto"/>
        <w:bottom w:val="none" w:sz="0" w:space="0" w:color="auto"/>
        <w:right w:val="none" w:sz="0" w:space="0" w:color="auto"/>
      </w:divBdr>
    </w:div>
    <w:div w:id="858666255">
      <w:bodyDiv w:val="1"/>
      <w:marLeft w:val="0"/>
      <w:marRight w:val="0"/>
      <w:marTop w:val="0"/>
      <w:marBottom w:val="0"/>
      <w:divBdr>
        <w:top w:val="none" w:sz="0" w:space="0" w:color="auto"/>
        <w:left w:val="none" w:sz="0" w:space="0" w:color="auto"/>
        <w:bottom w:val="none" w:sz="0" w:space="0" w:color="auto"/>
        <w:right w:val="none" w:sz="0" w:space="0" w:color="auto"/>
      </w:divBdr>
    </w:div>
    <w:div w:id="858860423">
      <w:bodyDiv w:val="1"/>
      <w:marLeft w:val="0"/>
      <w:marRight w:val="0"/>
      <w:marTop w:val="0"/>
      <w:marBottom w:val="0"/>
      <w:divBdr>
        <w:top w:val="none" w:sz="0" w:space="0" w:color="auto"/>
        <w:left w:val="none" w:sz="0" w:space="0" w:color="auto"/>
        <w:bottom w:val="none" w:sz="0" w:space="0" w:color="auto"/>
        <w:right w:val="none" w:sz="0" w:space="0" w:color="auto"/>
      </w:divBdr>
    </w:div>
    <w:div w:id="858927924">
      <w:bodyDiv w:val="1"/>
      <w:marLeft w:val="0"/>
      <w:marRight w:val="0"/>
      <w:marTop w:val="0"/>
      <w:marBottom w:val="0"/>
      <w:divBdr>
        <w:top w:val="none" w:sz="0" w:space="0" w:color="auto"/>
        <w:left w:val="none" w:sz="0" w:space="0" w:color="auto"/>
        <w:bottom w:val="none" w:sz="0" w:space="0" w:color="auto"/>
        <w:right w:val="none" w:sz="0" w:space="0" w:color="auto"/>
      </w:divBdr>
    </w:div>
    <w:div w:id="858932271">
      <w:bodyDiv w:val="1"/>
      <w:marLeft w:val="0"/>
      <w:marRight w:val="0"/>
      <w:marTop w:val="0"/>
      <w:marBottom w:val="0"/>
      <w:divBdr>
        <w:top w:val="none" w:sz="0" w:space="0" w:color="auto"/>
        <w:left w:val="none" w:sz="0" w:space="0" w:color="auto"/>
        <w:bottom w:val="none" w:sz="0" w:space="0" w:color="auto"/>
        <w:right w:val="none" w:sz="0" w:space="0" w:color="auto"/>
      </w:divBdr>
    </w:div>
    <w:div w:id="859005829">
      <w:bodyDiv w:val="1"/>
      <w:marLeft w:val="0"/>
      <w:marRight w:val="0"/>
      <w:marTop w:val="0"/>
      <w:marBottom w:val="0"/>
      <w:divBdr>
        <w:top w:val="none" w:sz="0" w:space="0" w:color="auto"/>
        <w:left w:val="none" w:sz="0" w:space="0" w:color="auto"/>
        <w:bottom w:val="none" w:sz="0" w:space="0" w:color="auto"/>
        <w:right w:val="none" w:sz="0" w:space="0" w:color="auto"/>
      </w:divBdr>
    </w:div>
    <w:div w:id="859006249">
      <w:bodyDiv w:val="1"/>
      <w:marLeft w:val="0"/>
      <w:marRight w:val="0"/>
      <w:marTop w:val="0"/>
      <w:marBottom w:val="0"/>
      <w:divBdr>
        <w:top w:val="none" w:sz="0" w:space="0" w:color="auto"/>
        <w:left w:val="none" w:sz="0" w:space="0" w:color="auto"/>
        <w:bottom w:val="none" w:sz="0" w:space="0" w:color="auto"/>
        <w:right w:val="none" w:sz="0" w:space="0" w:color="auto"/>
      </w:divBdr>
    </w:div>
    <w:div w:id="859078333">
      <w:bodyDiv w:val="1"/>
      <w:marLeft w:val="0"/>
      <w:marRight w:val="0"/>
      <w:marTop w:val="0"/>
      <w:marBottom w:val="0"/>
      <w:divBdr>
        <w:top w:val="none" w:sz="0" w:space="0" w:color="auto"/>
        <w:left w:val="none" w:sz="0" w:space="0" w:color="auto"/>
        <w:bottom w:val="none" w:sz="0" w:space="0" w:color="auto"/>
        <w:right w:val="none" w:sz="0" w:space="0" w:color="auto"/>
      </w:divBdr>
    </w:div>
    <w:div w:id="859197185">
      <w:bodyDiv w:val="1"/>
      <w:marLeft w:val="0"/>
      <w:marRight w:val="0"/>
      <w:marTop w:val="0"/>
      <w:marBottom w:val="0"/>
      <w:divBdr>
        <w:top w:val="none" w:sz="0" w:space="0" w:color="auto"/>
        <w:left w:val="none" w:sz="0" w:space="0" w:color="auto"/>
        <w:bottom w:val="none" w:sz="0" w:space="0" w:color="auto"/>
        <w:right w:val="none" w:sz="0" w:space="0" w:color="auto"/>
      </w:divBdr>
    </w:div>
    <w:div w:id="859202028">
      <w:bodyDiv w:val="1"/>
      <w:marLeft w:val="0"/>
      <w:marRight w:val="0"/>
      <w:marTop w:val="0"/>
      <w:marBottom w:val="0"/>
      <w:divBdr>
        <w:top w:val="none" w:sz="0" w:space="0" w:color="auto"/>
        <w:left w:val="none" w:sz="0" w:space="0" w:color="auto"/>
        <w:bottom w:val="none" w:sz="0" w:space="0" w:color="auto"/>
        <w:right w:val="none" w:sz="0" w:space="0" w:color="auto"/>
      </w:divBdr>
    </w:div>
    <w:div w:id="859320233">
      <w:bodyDiv w:val="1"/>
      <w:marLeft w:val="0"/>
      <w:marRight w:val="0"/>
      <w:marTop w:val="0"/>
      <w:marBottom w:val="0"/>
      <w:divBdr>
        <w:top w:val="none" w:sz="0" w:space="0" w:color="auto"/>
        <w:left w:val="none" w:sz="0" w:space="0" w:color="auto"/>
        <w:bottom w:val="none" w:sz="0" w:space="0" w:color="auto"/>
        <w:right w:val="none" w:sz="0" w:space="0" w:color="auto"/>
      </w:divBdr>
    </w:div>
    <w:div w:id="859705771">
      <w:bodyDiv w:val="1"/>
      <w:marLeft w:val="0"/>
      <w:marRight w:val="0"/>
      <w:marTop w:val="0"/>
      <w:marBottom w:val="0"/>
      <w:divBdr>
        <w:top w:val="none" w:sz="0" w:space="0" w:color="auto"/>
        <w:left w:val="none" w:sz="0" w:space="0" w:color="auto"/>
        <w:bottom w:val="none" w:sz="0" w:space="0" w:color="auto"/>
        <w:right w:val="none" w:sz="0" w:space="0" w:color="auto"/>
      </w:divBdr>
    </w:div>
    <w:div w:id="859707551">
      <w:bodyDiv w:val="1"/>
      <w:marLeft w:val="0"/>
      <w:marRight w:val="0"/>
      <w:marTop w:val="0"/>
      <w:marBottom w:val="0"/>
      <w:divBdr>
        <w:top w:val="none" w:sz="0" w:space="0" w:color="auto"/>
        <w:left w:val="none" w:sz="0" w:space="0" w:color="auto"/>
        <w:bottom w:val="none" w:sz="0" w:space="0" w:color="auto"/>
        <w:right w:val="none" w:sz="0" w:space="0" w:color="auto"/>
      </w:divBdr>
    </w:div>
    <w:div w:id="859855546">
      <w:bodyDiv w:val="1"/>
      <w:marLeft w:val="0"/>
      <w:marRight w:val="0"/>
      <w:marTop w:val="0"/>
      <w:marBottom w:val="0"/>
      <w:divBdr>
        <w:top w:val="none" w:sz="0" w:space="0" w:color="auto"/>
        <w:left w:val="none" w:sz="0" w:space="0" w:color="auto"/>
        <w:bottom w:val="none" w:sz="0" w:space="0" w:color="auto"/>
        <w:right w:val="none" w:sz="0" w:space="0" w:color="auto"/>
      </w:divBdr>
    </w:div>
    <w:div w:id="859898055">
      <w:bodyDiv w:val="1"/>
      <w:marLeft w:val="0"/>
      <w:marRight w:val="0"/>
      <w:marTop w:val="0"/>
      <w:marBottom w:val="0"/>
      <w:divBdr>
        <w:top w:val="none" w:sz="0" w:space="0" w:color="auto"/>
        <w:left w:val="none" w:sz="0" w:space="0" w:color="auto"/>
        <w:bottom w:val="none" w:sz="0" w:space="0" w:color="auto"/>
        <w:right w:val="none" w:sz="0" w:space="0" w:color="auto"/>
      </w:divBdr>
    </w:div>
    <w:div w:id="859978613">
      <w:bodyDiv w:val="1"/>
      <w:marLeft w:val="0"/>
      <w:marRight w:val="0"/>
      <w:marTop w:val="0"/>
      <w:marBottom w:val="0"/>
      <w:divBdr>
        <w:top w:val="none" w:sz="0" w:space="0" w:color="auto"/>
        <w:left w:val="none" w:sz="0" w:space="0" w:color="auto"/>
        <w:bottom w:val="none" w:sz="0" w:space="0" w:color="auto"/>
        <w:right w:val="none" w:sz="0" w:space="0" w:color="auto"/>
      </w:divBdr>
    </w:div>
    <w:div w:id="860122637">
      <w:bodyDiv w:val="1"/>
      <w:marLeft w:val="0"/>
      <w:marRight w:val="0"/>
      <w:marTop w:val="0"/>
      <w:marBottom w:val="0"/>
      <w:divBdr>
        <w:top w:val="none" w:sz="0" w:space="0" w:color="auto"/>
        <w:left w:val="none" w:sz="0" w:space="0" w:color="auto"/>
        <w:bottom w:val="none" w:sz="0" w:space="0" w:color="auto"/>
        <w:right w:val="none" w:sz="0" w:space="0" w:color="auto"/>
      </w:divBdr>
    </w:div>
    <w:div w:id="860162360">
      <w:bodyDiv w:val="1"/>
      <w:marLeft w:val="0"/>
      <w:marRight w:val="0"/>
      <w:marTop w:val="0"/>
      <w:marBottom w:val="0"/>
      <w:divBdr>
        <w:top w:val="none" w:sz="0" w:space="0" w:color="auto"/>
        <w:left w:val="none" w:sz="0" w:space="0" w:color="auto"/>
        <w:bottom w:val="none" w:sz="0" w:space="0" w:color="auto"/>
        <w:right w:val="none" w:sz="0" w:space="0" w:color="auto"/>
      </w:divBdr>
    </w:div>
    <w:div w:id="860171267">
      <w:bodyDiv w:val="1"/>
      <w:marLeft w:val="0"/>
      <w:marRight w:val="0"/>
      <w:marTop w:val="0"/>
      <w:marBottom w:val="0"/>
      <w:divBdr>
        <w:top w:val="none" w:sz="0" w:space="0" w:color="auto"/>
        <w:left w:val="none" w:sz="0" w:space="0" w:color="auto"/>
        <w:bottom w:val="none" w:sz="0" w:space="0" w:color="auto"/>
        <w:right w:val="none" w:sz="0" w:space="0" w:color="auto"/>
      </w:divBdr>
    </w:div>
    <w:div w:id="860313257">
      <w:bodyDiv w:val="1"/>
      <w:marLeft w:val="0"/>
      <w:marRight w:val="0"/>
      <w:marTop w:val="0"/>
      <w:marBottom w:val="0"/>
      <w:divBdr>
        <w:top w:val="none" w:sz="0" w:space="0" w:color="auto"/>
        <w:left w:val="none" w:sz="0" w:space="0" w:color="auto"/>
        <w:bottom w:val="none" w:sz="0" w:space="0" w:color="auto"/>
        <w:right w:val="none" w:sz="0" w:space="0" w:color="auto"/>
      </w:divBdr>
    </w:div>
    <w:div w:id="860360082">
      <w:bodyDiv w:val="1"/>
      <w:marLeft w:val="0"/>
      <w:marRight w:val="0"/>
      <w:marTop w:val="0"/>
      <w:marBottom w:val="0"/>
      <w:divBdr>
        <w:top w:val="none" w:sz="0" w:space="0" w:color="auto"/>
        <w:left w:val="none" w:sz="0" w:space="0" w:color="auto"/>
        <w:bottom w:val="none" w:sz="0" w:space="0" w:color="auto"/>
        <w:right w:val="none" w:sz="0" w:space="0" w:color="auto"/>
      </w:divBdr>
    </w:div>
    <w:div w:id="860364459">
      <w:bodyDiv w:val="1"/>
      <w:marLeft w:val="0"/>
      <w:marRight w:val="0"/>
      <w:marTop w:val="0"/>
      <w:marBottom w:val="0"/>
      <w:divBdr>
        <w:top w:val="none" w:sz="0" w:space="0" w:color="auto"/>
        <w:left w:val="none" w:sz="0" w:space="0" w:color="auto"/>
        <w:bottom w:val="none" w:sz="0" w:space="0" w:color="auto"/>
        <w:right w:val="none" w:sz="0" w:space="0" w:color="auto"/>
      </w:divBdr>
    </w:div>
    <w:div w:id="860365210">
      <w:bodyDiv w:val="1"/>
      <w:marLeft w:val="0"/>
      <w:marRight w:val="0"/>
      <w:marTop w:val="0"/>
      <w:marBottom w:val="0"/>
      <w:divBdr>
        <w:top w:val="none" w:sz="0" w:space="0" w:color="auto"/>
        <w:left w:val="none" w:sz="0" w:space="0" w:color="auto"/>
        <w:bottom w:val="none" w:sz="0" w:space="0" w:color="auto"/>
        <w:right w:val="none" w:sz="0" w:space="0" w:color="auto"/>
      </w:divBdr>
    </w:div>
    <w:div w:id="860432908">
      <w:bodyDiv w:val="1"/>
      <w:marLeft w:val="0"/>
      <w:marRight w:val="0"/>
      <w:marTop w:val="0"/>
      <w:marBottom w:val="0"/>
      <w:divBdr>
        <w:top w:val="none" w:sz="0" w:space="0" w:color="auto"/>
        <w:left w:val="none" w:sz="0" w:space="0" w:color="auto"/>
        <w:bottom w:val="none" w:sz="0" w:space="0" w:color="auto"/>
        <w:right w:val="none" w:sz="0" w:space="0" w:color="auto"/>
      </w:divBdr>
    </w:div>
    <w:div w:id="860434102">
      <w:bodyDiv w:val="1"/>
      <w:marLeft w:val="0"/>
      <w:marRight w:val="0"/>
      <w:marTop w:val="0"/>
      <w:marBottom w:val="0"/>
      <w:divBdr>
        <w:top w:val="none" w:sz="0" w:space="0" w:color="auto"/>
        <w:left w:val="none" w:sz="0" w:space="0" w:color="auto"/>
        <w:bottom w:val="none" w:sz="0" w:space="0" w:color="auto"/>
        <w:right w:val="none" w:sz="0" w:space="0" w:color="auto"/>
      </w:divBdr>
    </w:div>
    <w:div w:id="860709257">
      <w:bodyDiv w:val="1"/>
      <w:marLeft w:val="0"/>
      <w:marRight w:val="0"/>
      <w:marTop w:val="0"/>
      <w:marBottom w:val="0"/>
      <w:divBdr>
        <w:top w:val="none" w:sz="0" w:space="0" w:color="auto"/>
        <w:left w:val="none" w:sz="0" w:space="0" w:color="auto"/>
        <w:bottom w:val="none" w:sz="0" w:space="0" w:color="auto"/>
        <w:right w:val="none" w:sz="0" w:space="0" w:color="auto"/>
      </w:divBdr>
    </w:div>
    <w:div w:id="860749940">
      <w:bodyDiv w:val="1"/>
      <w:marLeft w:val="0"/>
      <w:marRight w:val="0"/>
      <w:marTop w:val="0"/>
      <w:marBottom w:val="0"/>
      <w:divBdr>
        <w:top w:val="none" w:sz="0" w:space="0" w:color="auto"/>
        <w:left w:val="none" w:sz="0" w:space="0" w:color="auto"/>
        <w:bottom w:val="none" w:sz="0" w:space="0" w:color="auto"/>
        <w:right w:val="none" w:sz="0" w:space="0" w:color="auto"/>
      </w:divBdr>
    </w:div>
    <w:div w:id="860777862">
      <w:bodyDiv w:val="1"/>
      <w:marLeft w:val="0"/>
      <w:marRight w:val="0"/>
      <w:marTop w:val="0"/>
      <w:marBottom w:val="0"/>
      <w:divBdr>
        <w:top w:val="none" w:sz="0" w:space="0" w:color="auto"/>
        <w:left w:val="none" w:sz="0" w:space="0" w:color="auto"/>
        <w:bottom w:val="none" w:sz="0" w:space="0" w:color="auto"/>
        <w:right w:val="none" w:sz="0" w:space="0" w:color="auto"/>
      </w:divBdr>
    </w:div>
    <w:div w:id="860779212">
      <w:bodyDiv w:val="1"/>
      <w:marLeft w:val="0"/>
      <w:marRight w:val="0"/>
      <w:marTop w:val="0"/>
      <w:marBottom w:val="0"/>
      <w:divBdr>
        <w:top w:val="none" w:sz="0" w:space="0" w:color="auto"/>
        <w:left w:val="none" w:sz="0" w:space="0" w:color="auto"/>
        <w:bottom w:val="none" w:sz="0" w:space="0" w:color="auto"/>
        <w:right w:val="none" w:sz="0" w:space="0" w:color="auto"/>
      </w:divBdr>
    </w:div>
    <w:div w:id="860779818">
      <w:bodyDiv w:val="1"/>
      <w:marLeft w:val="0"/>
      <w:marRight w:val="0"/>
      <w:marTop w:val="0"/>
      <w:marBottom w:val="0"/>
      <w:divBdr>
        <w:top w:val="none" w:sz="0" w:space="0" w:color="auto"/>
        <w:left w:val="none" w:sz="0" w:space="0" w:color="auto"/>
        <w:bottom w:val="none" w:sz="0" w:space="0" w:color="auto"/>
        <w:right w:val="none" w:sz="0" w:space="0" w:color="auto"/>
      </w:divBdr>
    </w:div>
    <w:div w:id="860819426">
      <w:bodyDiv w:val="1"/>
      <w:marLeft w:val="0"/>
      <w:marRight w:val="0"/>
      <w:marTop w:val="0"/>
      <w:marBottom w:val="0"/>
      <w:divBdr>
        <w:top w:val="none" w:sz="0" w:space="0" w:color="auto"/>
        <w:left w:val="none" w:sz="0" w:space="0" w:color="auto"/>
        <w:bottom w:val="none" w:sz="0" w:space="0" w:color="auto"/>
        <w:right w:val="none" w:sz="0" w:space="0" w:color="auto"/>
      </w:divBdr>
    </w:div>
    <w:div w:id="860819930">
      <w:bodyDiv w:val="1"/>
      <w:marLeft w:val="0"/>
      <w:marRight w:val="0"/>
      <w:marTop w:val="0"/>
      <w:marBottom w:val="0"/>
      <w:divBdr>
        <w:top w:val="none" w:sz="0" w:space="0" w:color="auto"/>
        <w:left w:val="none" w:sz="0" w:space="0" w:color="auto"/>
        <w:bottom w:val="none" w:sz="0" w:space="0" w:color="auto"/>
        <w:right w:val="none" w:sz="0" w:space="0" w:color="auto"/>
      </w:divBdr>
    </w:div>
    <w:div w:id="860820314">
      <w:bodyDiv w:val="1"/>
      <w:marLeft w:val="0"/>
      <w:marRight w:val="0"/>
      <w:marTop w:val="0"/>
      <w:marBottom w:val="0"/>
      <w:divBdr>
        <w:top w:val="none" w:sz="0" w:space="0" w:color="auto"/>
        <w:left w:val="none" w:sz="0" w:space="0" w:color="auto"/>
        <w:bottom w:val="none" w:sz="0" w:space="0" w:color="auto"/>
        <w:right w:val="none" w:sz="0" w:space="0" w:color="auto"/>
      </w:divBdr>
    </w:div>
    <w:div w:id="860972749">
      <w:bodyDiv w:val="1"/>
      <w:marLeft w:val="0"/>
      <w:marRight w:val="0"/>
      <w:marTop w:val="0"/>
      <w:marBottom w:val="0"/>
      <w:divBdr>
        <w:top w:val="none" w:sz="0" w:space="0" w:color="auto"/>
        <w:left w:val="none" w:sz="0" w:space="0" w:color="auto"/>
        <w:bottom w:val="none" w:sz="0" w:space="0" w:color="auto"/>
        <w:right w:val="none" w:sz="0" w:space="0" w:color="auto"/>
      </w:divBdr>
    </w:div>
    <w:div w:id="861017420">
      <w:bodyDiv w:val="1"/>
      <w:marLeft w:val="0"/>
      <w:marRight w:val="0"/>
      <w:marTop w:val="0"/>
      <w:marBottom w:val="0"/>
      <w:divBdr>
        <w:top w:val="none" w:sz="0" w:space="0" w:color="auto"/>
        <w:left w:val="none" w:sz="0" w:space="0" w:color="auto"/>
        <w:bottom w:val="none" w:sz="0" w:space="0" w:color="auto"/>
        <w:right w:val="none" w:sz="0" w:space="0" w:color="auto"/>
      </w:divBdr>
    </w:div>
    <w:div w:id="861020155">
      <w:bodyDiv w:val="1"/>
      <w:marLeft w:val="0"/>
      <w:marRight w:val="0"/>
      <w:marTop w:val="0"/>
      <w:marBottom w:val="0"/>
      <w:divBdr>
        <w:top w:val="none" w:sz="0" w:space="0" w:color="auto"/>
        <w:left w:val="none" w:sz="0" w:space="0" w:color="auto"/>
        <w:bottom w:val="none" w:sz="0" w:space="0" w:color="auto"/>
        <w:right w:val="none" w:sz="0" w:space="0" w:color="auto"/>
      </w:divBdr>
    </w:div>
    <w:div w:id="861210479">
      <w:bodyDiv w:val="1"/>
      <w:marLeft w:val="0"/>
      <w:marRight w:val="0"/>
      <w:marTop w:val="0"/>
      <w:marBottom w:val="0"/>
      <w:divBdr>
        <w:top w:val="none" w:sz="0" w:space="0" w:color="auto"/>
        <w:left w:val="none" w:sz="0" w:space="0" w:color="auto"/>
        <w:bottom w:val="none" w:sz="0" w:space="0" w:color="auto"/>
        <w:right w:val="none" w:sz="0" w:space="0" w:color="auto"/>
      </w:divBdr>
    </w:div>
    <w:div w:id="861210652">
      <w:bodyDiv w:val="1"/>
      <w:marLeft w:val="0"/>
      <w:marRight w:val="0"/>
      <w:marTop w:val="0"/>
      <w:marBottom w:val="0"/>
      <w:divBdr>
        <w:top w:val="none" w:sz="0" w:space="0" w:color="auto"/>
        <w:left w:val="none" w:sz="0" w:space="0" w:color="auto"/>
        <w:bottom w:val="none" w:sz="0" w:space="0" w:color="auto"/>
        <w:right w:val="none" w:sz="0" w:space="0" w:color="auto"/>
      </w:divBdr>
    </w:div>
    <w:div w:id="861285935">
      <w:bodyDiv w:val="1"/>
      <w:marLeft w:val="0"/>
      <w:marRight w:val="0"/>
      <w:marTop w:val="0"/>
      <w:marBottom w:val="0"/>
      <w:divBdr>
        <w:top w:val="none" w:sz="0" w:space="0" w:color="auto"/>
        <w:left w:val="none" w:sz="0" w:space="0" w:color="auto"/>
        <w:bottom w:val="none" w:sz="0" w:space="0" w:color="auto"/>
        <w:right w:val="none" w:sz="0" w:space="0" w:color="auto"/>
      </w:divBdr>
    </w:div>
    <w:div w:id="861286266">
      <w:bodyDiv w:val="1"/>
      <w:marLeft w:val="0"/>
      <w:marRight w:val="0"/>
      <w:marTop w:val="0"/>
      <w:marBottom w:val="0"/>
      <w:divBdr>
        <w:top w:val="none" w:sz="0" w:space="0" w:color="auto"/>
        <w:left w:val="none" w:sz="0" w:space="0" w:color="auto"/>
        <w:bottom w:val="none" w:sz="0" w:space="0" w:color="auto"/>
        <w:right w:val="none" w:sz="0" w:space="0" w:color="auto"/>
      </w:divBdr>
    </w:div>
    <w:div w:id="861355015">
      <w:bodyDiv w:val="1"/>
      <w:marLeft w:val="0"/>
      <w:marRight w:val="0"/>
      <w:marTop w:val="0"/>
      <w:marBottom w:val="0"/>
      <w:divBdr>
        <w:top w:val="none" w:sz="0" w:space="0" w:color="auto"/>
        <w:left w:val="none" w:sz="0" w:space="0" w:color="auto"/>
        <w:bottom w:val="none" w:sz="0" w:space="0" w:color="auto"/>
        <w:right w:val="none" w:sz="0" w:space="0" w:color="auto"/>
      </w:divBdr>
    </w:div>
    <w:div w:id="861437203">
      <w:bodyDiv w:val="1"/>
      <w:marLeft w:val="0"/>
      <w:marRight w:val="0"/>
      <w:marTop w:val="0"/>
      <w:marBottom w:val="0"/>
      <w:divBdr>
        <w:top w:val="none" w:sz="0" w:space="0" w:color="auto"/>
        <w:left w:val="none" w:sz="0" w:space="0" w:color="auto"/>
        <w:bottom w:val="none" w:sz="0" w:space="0" w:color="auto"/>
        <w:right w:val="none" w:sz="0" w:space="0" w:color="auto"/>
      </w:divBdr>
    </w:div>
    <w:div w:id="861481478">
      <w:bodyDiv w:val="1"/>
      <w:marLeft w:val="0"/>
      <w:marRight w:val="0"/>
      <w:marTop w:val="0"/>
      <w:marBottom w:val="0"/>
      <w:divBdr>
        <w:top w:val="none" w:sz="0" w:space="0" w:color="auto"/>
        <w:left w:val="none" w:sz="0" w:space="0" w:color="auto"/>
        <w:bottom w:val="none" w:sz="0" w:space="0" w:color="auto"/>
        <w:right w:val="none" w:sz="0" w:space="0" w:color="auto"/>
      </w:divBdr>
    </w:div>
    <w:div w:id="861626245">
      <w:bodyDiv w:val="1"/>
      <w:marLeft w:val="0"/>
      <w:marRight w:val="0"/>
      <w:marTop w:val="0"/>
      <w:marBottom w:val="0"/>
      <w:divBdr>
        <w:top w:val="none" w:sz="0" w:space="0" w:color="auto"/>
        <w:left w:val="none" w:sz="0" w:space="0" w:color="auto"/>
        <w:bottom w:val="none" w:sz="0" w:space="0" w:color="auto"/>
        <w:right w:val="none" w:sz="0" w:space="0" w:color="auto"/>
      </w:divBdr>
    </w:div>
    <w:div w:id="862015031">
      <w:bodyDiv w:val="1"/>
      <w:marLeft w:val="0"/>
      <w:marRight w:val="0"/>
      <w:marTop w:val="0"/>
      <w:marBottom w:val="0"/>
      <w:divBdr>
        <w:top w:val="none" w:sz="0" w:space="0" w:color="auto"/>
        <w:left w:val="none" w:sz="0" w:space="0" w:color="auto"/>
        <w:bottom w:val="none" w:sz="0" w:space="0" w:color="auto"/>
        <w:right w:val="none" w:sz="0" w:space="0" w:color="auto"/>
      </w:divBdr>
    </w:div>
    <w:div w:id="862090545">
      <w:bodyDiv w:val="1"/>
      <w:marLeft w:val="0"/>
      <w:marRight w:val="0"/>
      <w:marTop w:val="0"/>
      <w:marBottom w:val="0"/>
      <w:divBdr>
        <w:top w:val="none" w:sz="0" w:space="0" w:color="auto"/>
        <w:left w:val="none" w:sz="0" w:space="0" w:color="auto"/>
        <w:bottom w:val="none" w:sz="0" w:space="0" w:color="auto"/>
        <w:right w:val="none" w:sz="0" w:space="0" w:color="auto"/>
      </w:divBdr>
    </w:div>
    <w:div w:id="862278825">
      <w:bodyDiv w:val="1"/>
      <w:marLeft w:val="0"/>
      <w:marRight w:val="0"/>
      <w:marTop w:val="0"/>
      <w:marBottom w:val="0"/>
      <w:divBdr>
        <w:top w:val="none" w:sz="0" w:space="0" w:color="auto"/>
        <w:left w:val="none" w:sz="0" w:space="0" w:color="auto"/>
        <w:bottom w:val="none" w:sz="0" w:space="0" w:color="auto"/>
        <w:right w:val="none" w:sz="0" w:space="0" w:color="auto"/>
      </w:divBdr>
    </w:div>
    <w:div w:id="862279401">
      <w:bodyDiv w:val="1"/>
      <w:marLeft w:val="0"/>
      <w:marRight w:val="0"/>
      <w:marTop w:val="0"/>
      <w:marBottom w:val="0"/>
      <w:divBdr>
        <w:top w:val="none" w:sz="0" w:space="0" w:color="auto"/>
        <w:left w:val="none" w:sz="0" w:space="0" w:color="auto"/>
        <w:bottom w:val="none" w:sz="0" w:space="0" w:color="auto"/>
        <w:right w:val="none" w:sz="0" w:space="0" w:color="auto"/>
      </w:divBdr>
    </w:div>
    <w:div w:id="862281573">
      <w:bodyDiv w:val="1"/>
      <w:marLeft w:val="0"/>
      <w:marRight w:val="0"/>
      <w:marTop w:val="0"/>
      <w:marBottom w:val="0"/>
      <w:divBdr>
        <w:top w:val="none" w:sz="0" w:space="0" w:color="auto"/>
        <w:left w:val="none" w:sz="0" w:space="0" w:color="auto"/>
        <w:bottom w:val="none" w:sz="0" w:space="0" w:color="auto"/>
        <w:right w:val="none" w:sz="0" w:space="0" w:color="auto"/>
      </w:divBdr>
    </w:div>
    <w:div w:id="862284456">
      <w:bodyDiv w:val="1"/>
      <w:marLeft w:val="0"/>
      <w:marRight w:val="0"/>
      <w:marTop w:val="0"/>
      <w:marBottom w:val="0"/>
      <w:divBdr>
        <w:top w:val="none" w:sz="0" w:space="0" w:color="auto"/>
        <w:left w:val="none" w:sz="0" w:space="0" w:color="auto"/>
        <w:bottom w:val="none" w:sz="0" w:space="0" w:color="auto"/>
        <w:right w:val="none" w:sz="0" w:space="0" w:color="auto"/>
      </w:divBdr>
    </w:div>
    <w:div w:id="862324081">
      <w:bodyDiv w:val="1"/>
      <w:marLeft w:val="0"/>
      <w:marRight w:val="0"/>
      <w:marTop w:val="0"/>
      <w:marBottom w:val="0"/>
      <w:divBdr>
        <w:top w:val="none" w:sz="0" w:space="0" w:color="auto"/>
        <w:left w:val="none" w:sz="0" w:space="0" w:color="auto"/>
        <w:bottom w:val="none" w:sz="0" w:space="0" w:color="auto"/>
        <w:right w:val="none" w:sz="0" w:space="0" w:color="auto"/>
      </w:divBdr>
    </w:div>
    <w:div w:id="862401724">
      <w:bodyDiv w:val="1"/>
      <w:marLeft w:val="0"/>
      <w:marRight w:val="0"/>
      <w:marTop w:val="0"/>
      <w:marBottom w:val="0"/>
      <w:divBdr>
        <w:top w:val="none" w:sz="0" w:space="0" w:color="auto"/>
        <w:left w:val="none" w:sz="0" w:space="0" w:color="auto"/>
        <w:bottom w:val="none" w:sz="0" w:space="0" w:color="auto"/>
        <w:right w:val="none" w:sz="0" w:space="0" w:color="auto"/>
      </w:divBdr>
    </w:div>
    <w:div w:id="862472903">
      <w:bodyDiv w:val="1"/>
      <w:marLeft w:val="0"/>
      <w:marRight w:val="0"/>
      <w:marTop w:val="0"/>
      <w:marBottom w:val="0"/>
      <w:divBdr>
        <w:top w:val="none" w:sz="0" w:space="0" w:color="auto"/>
        <w:left w:val="none" w:sz="0" w:space="0" w:color="auto"/>
        <w:bottom w:val="none" w:sz="0" w:space="0" w:color="auto"/>
        <w:right w:val="none" w:sz="0" w:space="0" w:color="auto"/>
      </w:divBdr>
    </w:div>
    <w:div w:id="862474237">
      <w:bodyDiv w:val="1"/>
      <w:marLeft w:val="0"/>
      <w:marRight w:val="0"/>
      <w:marTop w:val="0"/>
      <w:marBottom w:val="0"/>
      <w:divBdr>
        <w:top w:val="none" w:sz="0" w:space="0" w:color="auto"/>
        <w:left w:val="none" w:sz="0" w:space="0" w:color="auto"/>
        <w:bottom w:val="none" w:sz="0" w:space="0" w:color="auto"/>
        <w:right w:val="none" w:sz="0" w:space="0" w:color="auto"/>
      </w:divBdr>
    </w:div>
    <w:div w:id="862477700">
      <w:bodyDiv w:val="1"/>
      <w:marLeft w:val="0"/>
      <w:marRight w:val="0"/>
      <w:marTop w:val="0"/>
      <w:marBottom w:val="0"/>
      <w:divBdr>
        <w:top w:val="none" w:sz="0" w:space="0" w:color="auto"/>
        <w:left w:val="none" w:sz="0" w:space="0" w:color="auto"/>
        <w:bottom w:val="none" w:sz="0" w:space="0" w:color="auto"/>
        <w:right w:val="none" w:sz="0" w:space="0" w:color="auto"/>
      </w:divBdr>
    </w:div>
    <w:div w:id="862521348">
      <w:bodyDiv w:val="1"/>
      <w:marLeft w:val="0"/>
      <w:marRight w:val="0"/>
      <w:marTop w:val="0"/>
      <w:marBottom w:val="0"/>
      <w:divBdr>
        <w:top w:val="none" w:sz="0" w:space="0" w:color="auto"/>
        <w:left w:val="none" w:sz="0" w:space="0" w:color="auto"/>
        <w:bottom w:val="none" w:sz="0" w:space="0" w:color="auto"/>
        <w:right w:val="none" w:sz="0" w:space="0" w:color="auto"/>
      </w:divBdr>
    </w:div>
    <w:div w:id="862592007">
      <w:bodyDiv w:val="1"/>
      <w:marLeft w:val="0"/>
      <w:marRight w:val="0"/>
      <w:marTop w:val="0"/>
      <w:marBottom w:val="0"/>
      <w:divBdr>
        <w:top w:val="none" w:sz="0" w:space="0" w:color="auto"/>
        <w:left w:val="none" w:sz="0" w:space="0" w:color="auto"/>
        <w:bottom w:val="none" w:sz="0" w:space="0" w:color="auto"/>
        <w:right w:val="none" w:sz="0" w:space="0" w:color="auto"/>
      </w:divBdr>
    </w:div>
    <w:div w:id="862671032">
      <w:bodyDiv w:val="1"/>
      <w:marLeft w:val="0"/>
      <w:marRight w:val="0"/>
      <w:marTop w:val="0"/>
      <w:marBottom w:val="0"/>
      <w:divBdr>
        <w:top w:val="none" w:sz="0" w:space="0" w:color="auto"/>
        <w:left w:val="none" w:sz="0" w:space="0" w:color="auto"/>
        <w:bottom w:val="none" w:sz="0" w:space="0" w:color="auto"/>
        <w:right w:val="none" w:sz="0" w:space="0" w:color="auto"/>
      </w:divBdr>
    </w:div>
    <w:div w:id="862863471">
      <w:bodyDiv w:val="1"/>
      <w:marLeft w:val="0"/>
      <w:marRight w:val="0"/>
      <w:marTop w:val="0"/>
      <w:marBottom w:val="0"/>
      <w:divBdr>
        <w:top w:val="none" w:sz="0" w:space="0" w:color="auto"/>
        <w:left w:val="none" w:sz="0" w:space="0" w:color="auto"/>
        <w:bottom w:val="none" w:sz="0" w:space="0" w:color="auto"/>
        <w:right w:val="none" w:sz="0" w:space="0" w:color="auto"/>
      </w:divBdr>
    </w:div>
    <w:div w:id="862937992">
      <w:bodyDiv w:val="1"/>
      <w:marLeft w:val="0"/>
      <w:marRight w:val="0"/>
      <w:marTop w:val="0"/>
      <w:marBottom w:val="0"/>
      <w:divBdr>
        <w:top w:val="none" w:sz="0" w:space="0" w:color="auto"/>
        <w:left w:val="none" w:sz="0" w:space="0" w:color="auto"/>
        <w:bottom w:val="none" w:sz="0" w:space="0" w:color="auto"/>
        <w:right w:val="none" w:sz="0" w:space="0" w:color="auto"/>
      </w:divBdr>
    </w:div>
    <w:div w:id="862984982">
      <w:bodyDiv w:val="1"/>
      <w:marLeft w:val="0"/>
      <w:marRight w:val="0"/>
      <w:marTop w:val="0"/>
      <w:marBottom w:val="0"/>
      <w:divBdr>
        <w:top w:val="none" w:sz="0" w:space="0" w:color="auto"/>
        <w:left w:val="none" w:sz="0" w:space="0" w:color="auto"/>
        <w:bottom w:val="none" w:sz="0" w:space="0" w:color="auto"/>
        <w:right w:val="none" w:sz="0" w:space="0" w:color="auto"/>
      </w:divBdr>
    </w:div>
    <w:div w:id="863205261">
      <w:bodyDiv w:val="1"/>
      <w:marLeft w:val="0"/>
      <w:marRight w:val="0"/>
      <w:marTop w:val="0"/>
      <w:marBottom w:val="0"/>
      <w:divBdr>
        <w:top w:val="none" w:sz="0" w:space="0" w:color="auto"/>
        <w:left w:val="none" w:sz="0" w:space="0" w:color="auto"/>
        <w:bottom w:val="none" w:sz="0" w:space="0" w:color="auto"/>
        <w:right w:val="none" w:sz="0" w:space="0" w:color="auto"/>
      </w:divBdr>
    </w:div>
    <w:div w:id="863329455">
      <w:bodyDiv w:val="1"/>
      <w:marLeft w:val="0"/>
      <w:marRight w:val="0"/>
      <w:marTop w:val="0"/>
      <w:marBottom w:val="0"/>
      <w:divBdr>
        <w:top w:val="none" w:sz="0" w:space="0" w:color="auto"/>
        <w:left w:val="none" w:sz="0" w:space="0" w:color="auto"/>
        <w:bottom w:val="none" w:sz="0" w:space="0" w:color="auto"/>
        <w:right w:val="none" w:sz="0" w:space="0" w:color="auto"/>
      </w:divBdr>
    </w:div>
    <w:div w:id="863438660">
      <w:bodyDiv w:val="1"/>
      <w:marLeft w:val="0"/>
      <w:marRight w:val="0"/>
      <w:marTop w:val="0"/>
      <w:marBottom w:val="0"/>
      <w:divBdr>
        <w:top w:val="none" w:sz="0" w:space="0" w:color="auto"/>
        <w:left w:val="none" w:sz="0" w:space="0" w:color="auto"/>
        <w:bottom w:val="none" w:sz="0" w:space="0" w:color="auto"/>
        <w:right w:val="none" w:sz="0" w:space="0" w:color="auto"/>
      </w:divBdr>
    </w:div>
    <w:div w:id="863445562">
      <w:bodyDiv w:val="1"/>
      <w:marLeft w:val="0"/>
      <w:marRight w:val="0"/>
      <w:marTop w:val="0"/>
      <w:marBottom w:val="0"/>
      <w:divBdr>
        <w:top w:val="none" w:sz="0" w:space="0" w:color="auto"/>
        <w:left w:val="none" w:sz="0" w:space="0" w:color="auto"/>
        <w:bottom w:val="none" w:sz="0" w:space="0" w:color="auto"/>
        <w:right w:val="none" w:sz="0" w:space="0" w:color="auto"/>
      </w:divBdr>
    </w:div>
    <w:div w:id="863593876">
      <w:bodyDiv w:val="1"/>
      <w:marLeft w:val="0"/>
      <w:marRight w:val="0"/>
      <w:marTop w:val="0"/>
      <w:marBottom w:val="0"/>
      <w:divBdr>
        <w:top w:val="none" w:sz="0" w:space="0" w:color="auto"/>
        <w:left w:val="none" w:sz="0" w:space="0" w:color="auto"/>
        <w:bottom w:val="none" w:sz="0" w:space="0" w:color="auto"/>
        <w:right w:val="none" w:sz="0" w:space="0" w:color="auto"/>
      </w:divBdr>
    </w:div>
    <w:div w:id="863637570">
      <w:bodyDiv w:val="1"/>
      <w:marLeft w:val="0"/>
      <w:marRight w:val="0"/>
      <w:marTop w:val="0"/>
      <w:marBottom w:val="0"/>
      <w:divBdr>
        <w:top w:val="none" w:sz="0" w:space="0" w:color="auto"/>
        <w:left w:val="none" w:sz="0" w:space="0" w:color="auto"/>
        <w:bottom w:val="none" w:sz="0" w:space="0" w:color="auto"/>
        <w:right w:val="none" w:sz="0" w:space="0" w:color="auto"/>
      </w:divBdr>
    </w:div>
    <w:div w:id="863791440">
      <w:bodyDiv w:val="1"/>
      <w:marLeft w:val="0"/>
      <w:marRight w:val="0"/>
      <w:marTop w:val="0"/>
      <w:marBottom w:val="0"/>
      <w:divBdr>
        <w:top w:val="none" w:sz="0" w:space="0" w:color="auto"/>
        <w:left w:val="none" w:sz="0" w:space="0" w:color="auto"/>
        <w:bottom w:val="none" w:sz="0" w:space="0" w:color="auto"/>
        <w:right w:val="none" w:sz="0" w:space="0" w:color="auto"/>
      </w:divBdr>
    </w:div>
    <w:div w:id="863831482">
      <w:bodyDiv w:val="1"/>
      <w:marLeft w:val="0"/>
      <w:marRight w:val="0"/>
      <w:marTop w:val="0"/>
      <w:marBottom w:val="0"/>
      <w:divBdr>
        <w:top w:val="none" w:sz="0" w:space="0" w:color="auto"/>
        <w:left w:val="none" w:sz="0" w:space="0" w:color="auto"/>
        <w:bottom w:val="none" w:sz="0" w:space="0" w:color="auto"/>
        <w:right w:val="none" w:sz="0" w:space="0" w:color="auto"/>
      </w:divBdr>
    </w:div>
    <w:div w:id="863861324">
      <w:bodyDiv w:val="1"/>
      <w:marLeft w:val="0"/>
      <w:marRight w:val="0"/>
      <w:marTop w:val="0"/>
      <w:marBottom w:val="0"/>
      <w:divBdr>
        <w:top w:val="none" w:sz="0" w:space="0" w:color="auto"/>
        <w:left w:val="none" w:sz="0" w:space="0" w:color="auto"/>
        <w:bottom w:val="none" w:sz="0" w:space="0" w:color="auto"/>
        <w:right w:val="none" w:sz="0" w:space="0" w:color="auto"/>
      </w:divBdr>
    </w:div>
    <w:div w:id="863907789">
      <w:bodyDiv w:val="1"/>
      <w:marLeft w:val="0"/>
      <w:marRight w:val="0"/>
      <w:marTop w:val="0"/>
      <w:marBottom w:val="0"/>
      <w:divBdr>
        <w:top w:val="none" w:sz="0" w:space="0" w:color="auto"/>
        <w:left w:val="none" w:sz="0" w:space="0" w:color="auto"/>
        <w:bottom w:val="none" w:sz="0" w:space="0" w:color="auto"/>
        <w:right w:val="none" w:sz="0" w:space="0" w:color="auto"/>
      </w:divBdr>
    </w:div>
    <w:div w:id="863983258">
      <w:bodyDiv w:val="1"/>
      <w:marLeft w:val="0"/>
      <w:marRight w:val="0"/>
      <w:marTop w:val="0"/>
      <w:marBottom w:val="0"/>
      <w:divBdr>
        <w:top w:val="none" w:sz="0" w:space="0" w:color="auto"/>
        <w:left w:val="none" w:sz="0" w:space="0" w:color="auto"/>
        <w:bottom w:val="none" w:sz="0" w:space="0" w:color="auto"/>
        <w:right w:val="none" w:sz="0" w:space="0" w:color="auto"/>
      </w:divBdr>
    </w:div>
    <w:div w:id="864053448">
      <w:bodyDiv w:val="1"/>
      <w:marLeft w:val="0"/>
      <w:marRight w:val="0"/>
      <w:marTop w:val="0"/>
      <w:marBottom w:val="0"/>
      <w:divBdr>
        <w:top w:val="none" w:sz="0" w:space="0" w:color="auto"/>
        <w:left w:val="none" w:sz="0" w:space="0" w:color="auto"/>
        <w:bottom w:val="none" w:sz="0" w:space="0" w:color="auto"/>
        <w:right w:val="none" w:sz="0" w:space="0" w:color="auto"/>
      </w:divBdr>
    </w:div>
    <w:div w:id="864169171">
      <w:bodyDiv w:val="1"/>
      <w:marLeft w:val="0"/>
      <w:marRight w:val="0"/>
      <w:marTop w:val="0"/>
      <w:marBottom w:val="0"/>
      <w:divBdr>
        <w:top w:val="none" w:sz="0" w:space="0" w:color="auto"/>
        <w:left w:val="none" w:sz="0" w:space="0" w:color="auto"/>
        <w:bottom w:val="none" w:sz="0" w:space="0" w:color="auto"/>
        <w:right w:val="none" w:sz="0" w:space="0" w:color="auto"/>
      </w:divBdr>
    </w:div>
    <w:div w:id="864170154">
      <w:bodyDiv w:val="1"/>
      <w:marLeft w:val="0"/>
      <w:marRight w:val="0"/>
      <w:marTop w:val="0"/>
      <w:marBottom w:val="0"/>
      <w:divBdr>
        <w:top w:val="none" w:sz="0" w:space="0" w:color="auto"/>
        <w:left w:val="none" w:sz="0" w:space="0" w:color="auto"/>
        <w:bottom w:val="none" w:sz="0" w:space="0" w:color="auto"/>
        <w:right w:val="none" w:sz="0" w:space="0" w:color="auto"/>
      </w:divBdr>
    </w:div>
    <w:div w:id="864289872">
      <w:bodyDiv w:val="1"/>
      <w:marLeft w:val="0"/>
      <w:marRight w:val="0"/>
      <w:marTop w:val="0"/>
      <w:marBottom w:val="0"/>
      <w:divBdr>
        <w:top w:val="none" w:sz="0" w:space="0" w:color="auto"/>
        <w:left w:val="none" w:sz="0" w:space="0" w:color="auto"/>
        <w:bottom w:val="none" w:sz="0" w:space="0" w:color="auto"/>
        <w:right w:val="none" w:sz="0" w:space="0" w:color="auto"/>
      </w:divBdr>
    </w:div>
    <w:div w:id="864294383">
      <w:bodyDiv w:val="1"/>
      <w:marLeft w:val="0"/>
      <w:marRight w:val="0"/>
      <w:marTop w:val="0"/>
      <w:marBottom w:val="0"/>
      <w:divBdr>
        <w:top w:val="none" w:sz="0" w:space="0" w:color="auto"/>
        <w:left w:val="none" w:sz="0" w:space="0" w:color="auto"/>
        <w:bottom w:val="none" w:sz="0" w:space="0" w:color="auto"/>
        <w:right w:val="none" w:sz="0" w:space="0" w:color="auto"/>
      </w:divBdr>
    </w:div>
    <w:div w:id="864294759">
      <w:bodyDiv w:val="1"/>
      <w:marLeft w:val="0"/>
      <w:marRight w:val="0"/>
      <w:marTop w:val="0"/>
      <w:marBottom w:val="0"/>
      <w:divBdr>
        <w:top w:val="none" w:sz="0" w:space="0" w:color="auto"/>
        <w:left w:val="none" w:sz="0" w:space="0" w:color="auto"/>
        <w:bottom w:val="none" w:sz="0" w:space="0" w:color="auto"/>
        <w:right w:val="none" w:sz="0" w:space="0" w:color="auto"/>
      </w:divBdr>
    </w:div>
    <w:div w:id="864365728">
      <w:bodyDiv w:val="1"/>
      <w:marLeft w:val="0"/>
      <w:marRight w:val="0"/>
      <w:marTop w:val="0"/>
      <w:marBottom w:val="0"/>
      <w:divBdr>
        <w:top w:val="none" w:sz="0" w:space="0" w:color="auto"/>
        <w:left w:val="none" w:sz="0" w:space="0" w:color="auto"/>
        <w:bottom w:val="none" w:sz="0" w:space="0" w:color="auto"/>
        <w:right w:val="none" w:sz="0" w:space="0" w:color="auto"/>
      </w:divBdr>
    </w:div>
    <w:div w:id="864365829">
      <w:bodyDiv w:val="1"/>
      <w:marLeft w:val="0"/>
      <w:marRight w:val="0"/>
      <w:marTop w:val="0"/>
      <w:marBottom w:val="0"/>
      <w:divBdr>
        <w:top w:val="none" w:sz="0" w:space="0" w:color="auto"/>
        <w:left w:val="none" w:sz="0" w:space="0" w:color="auto"/>
        <w:bottom w:val="none" w:sz="0" w:space="0" w:color="auto"/>
        <w:right w:val="none" w:sz="0" w:space="0" w:color="auto"/>
      </w:divBdr>
    </w:div>
    <w:div w:id="864367298">
      <w:bodyDiv w:val="1"/>
      <w:marLeft w:val="0"/>
      <w:marRight w:val="0"/>
      <w:marTop w:val="0"/>
      <w:marBottom w:val="0"/>
      <w:divBdr>
        <w:top w:val="none" w:sz="0" w:space="0" w:color="auto"/>
        <w:left w:val="none" w:sz="0" w:space="0" w:color="auto"/>
        <w:bottom w:val="none" w:sz="0" w:space="0" w:color="auto"/>
        <w:right w:val="none" w:sz="0" w:space="0" w:color="auto"/>
      </w:divBdr>
    </w:div>
    <w:div w:id="864367505">
      <w:bodyDiv w:val="1"/>
      <w:marLeft w:val="0"/>
      <w:marRight w:val="0"/>
      <w:marTop w:val="0"/>
      <w:marBottom w:val="0"/>
      <w:divBdr>
        <w:top w:val="none" w:sz="0" w:space="0" w:color="auto"/>
        <w:left w:val="none" w:sz="0" w:space="0" w:color="auto"/>
        <w:bottom w:val="none" w:sz="0" w:space="0" w:color="auto"/>
        <w:right w:val="none" w:sz="0" w:space="0" w:color="auto"/>
      </w:divBdr>
    </w:div>
    <w:div w:id="864438552">
      <w:bodyDiv w:val="1"/>
      <w:marLeft w:val="0"/>
      <w:marRight w:val="0"/>
      <w:marTop w:val="0"/>
      <w:marBottom w:val="0"/>
      <w:divBdr>
        <w:top w:val="none" w:sz="0" w:space="0" w:color="auto"/>
        <w:left w:val="none" w:sz="0" w:space="0" w:color="auto"/>
        <w:bottom w:val="none" w:sz="0" w:space="0" w:color="auto"/>
        <w:right w:val="none" w:sz="0" w:space="0" w:color="auto"/>
      </w:divBdr>
    </w:div>
    <w:div w:id="864442811">
      <w:bodyDiv w:val="1"/>
      <w:marLeft w:val="0"/>
      <w:marRight w:val="0"/>
      <w:marTop w:val="0"/>
      <w:marBottom w:val="0"/>
      <w:divBdr>
        <w:top w:val="none" w:sz="0" w:space="0" w:color="auto"/>
        <w:left w:val="none" w:sz="0" w:space="0" w:color="auto"/>
        <w:bottom w:val="none" w:sz="0" w:space="0" w:color="auto"/>
        <w:right w:val="none" w:sz="0" w:space="0" w:color="auto"/>
      </w:divBdr>
    </w:div>
    <w:div w:id="864490020">
      <w:bodyDiv w:val="1"/>
      <w:marLeft w:val="0"/>
      <w:marRight w:val="0"/>
      <w:marTop w:val="0"/>
      <w:marBottom w:val="0"/>
      <w:divBdr>
        <w:top w:val="none" w:sz="0" w:space="0" w:color="auto"/>
        <w:left w:val="none" w:sz="0" w:space="0" w:color="auto"/>
        <w:bottom w:val="none" w:sz="0" w:space="0" w:color="auto"/>
        <w:right w:val="none" w:sz="0" w:space="0" w:color="auto"/>
      </w:divBdr>
    </w:div>
    <w:div w:id="864558425">
      <w:bodyDiv w:val="1"/>
      <w:marLeft w:val="0"/>
      <w:marRight w:val="0"/>
      <w:marTop w:val="0"/>
      <w:marBottom w:val="0"/>
      <w:divBdr>
        <w:top w:val="none" w:sz="0" w:space="0" w:color="auto"/>
        <w:left w:val="none" w:sz="0" w:space="0" w:color="auto"/>
        <w:bottom w:val="none" w:sz="0" w:space="0" w:color="auto"/>
        <w:right w:val="none" w:sz="0" w:space="0" w:color="auto"/>
      </w:divBdr>
    </w:div>
    <w:div w:id="864636498">
      <w:bodyDiv w:val="1"/>
      <w:marLeft w:val="0"/>
      <w:marRight w:val="0"/>
      <w:marTop w:val="0"/>
      <w:marBottom w:val="0"/>
      <w:divBdr>
        <w:top w:val="none" w:sz="0" w:space="0" w:color="auto"/>
        <w:left w:val="none" w:sz="0" w:space="0" w:color="auto"/>
        <w:bottom w:val="none" w:sz="0" w:space="0" w:color="auto"/>
        <w:right w:val="none" w:sz="0" w:space="0" w:color="auto"/>
      </w:divBdr>
    </w:div>
    <w:div w:id="864640159">
      <w:bodyDiv w:val="1"/>
      <w:marLeft w:val="0"/>
      <w:marRight w:val="0"/>
      <w:marTop w:val="0"/>
      <w:marBottom w:val="0"/>
      <w:divBdr>
        <w:top w:val="none" w:sz="0" w:space="0" w:color="auto"/>
        <w:left w:val="none" w:sz="0" w:space="0" w:color="auto"/>
        <w:bottom w:val="none" w:sz="0" w:space="0" w:color="auto"/>
        <w:right w:val="none" w:sz="0" w:space="0" w:color="auto"/>
      </w:divBdr>
    </w:div>
    <w:div w:id="864828197">
      <w:bodyDiv w:val="1"/>
      <w:marLeft w:val="0"/>
      <w:marRight w:val="0"/>
      <w:marTop w:val="0"/>
      <w:marBottom w:val="0"/>
      <w:divBdr>
        <w:top w:val="none" w:sz="0" w:space="0" w:color="auto"/>
        <w:left w:val="none" w:sz="0" w:space="0" w:color="auto"/>
        <w:bottom w:val="none" w:sz="0" w:space="0" w:color="auto"/>
        <w:right w:val="none" w:sz="0" w:space="0" w:color="auto"/>
      </w:divBdr>
    </w:div>
    <w:div w:id="864900419">
      <w:bodyDiv w:val="1"/>
      <w:marLeft w:val="0"/>
      <w:marRight w:val="0"/>
      <w:marTop w:val="0"/>
      <w:marBottom w:val="0"/>
      <w:divBdr>
        <w:top w:val="none" w:sz="0" w:space="0" w:color="auto"/>
        <w:left w:val="none" w:sz="0" w:space="0" w:color="auto"/>
        <w:bottom w:val="none" w:sz="0" w:space="0" w:color="auto"/>
        <w:right w:val="none" w:sz="0" w:space="0" w:color="auto"/>
      </w:divBdr>
    </w:div>
    <w:div w:id="864944652">
      <w:bodyDiv w:val="1"/>
      <w:marLeft w:val="0"/>
      <w:marRight w:val="0"/>
      <w:marTop w:val="0"/>
      <w:marBottom w:val="0"/>
      <w:divBdr>
        <w:top w:val="none" w:sz="0" w:space="0" w:color="auto"/>
        <w:left w:val="none" w:sz="0" w:space="0" w:color="auto"/>
        <w:bottom w:val="none" w:sz="0" w:space="0" w:color="auto"/>
        <w:right w:val="none" w:sz="0" w:space="0" w:color="auto"/>
      </w:divBdr>
    </w:div>
    <w:div w:id="864949902">
      <w:bodyDiv w:val="1"/>
      <w:marLeft w:val="0"/>
      <w:marRight w:val="0"/>
      <w:marTop w:val="0"/>
      <w:marBottom w:val="0"/>
      <w:divBdr>
        <w:top w:val="none" w:sz="0" w:space="0" w:color="auto"/>
        <w:left w:val="none" w:sz="0" w:space="0" w:color="auto"/>
        <w:bottom w:val="none" w:sz="0" w:space="0" w:color="auto"/>
        <w:right w:val="none" w:sz="0" w:space="0" w:color="auto"/>
      </w:divBdr>
    </w:div>
    <w:div w:id="865019944">
      <w:bodyDiv w:val="1"/>
      <w:marLeft w:val="0"/>
      <w:marRight w:val="0"/>
      <w:marTop w:val="0"/>
      <w:marBottom w:val="0"/>
      <w:divBdr>
        <w:top w:val="none" w:sz="0" w:space="0" w:color="auto"/>
        <w:left w:val="none" w:sz="0" w:space="0" w:color="auto"/>
        <w:bottom w:val="none" w:sz="0" w:space="0" w:color="auto"/>
        <w:right w:val="none" w:sz="0" w:space="0" w:color="auto"/>
      </w:divBdr>
    </w:div>
    <w:div w:id="865094823">
      <w:bodyDiv w:val="1"/>
      <w:marLeft w:val="0"/>
      <w:marRight w:val="0"/>
      <w:marTop w:val="0"/>
      <w:marBottom w:val="0"/>
      <w:divBdr>
        <w:top w:val="none" w:sz="0" w:space="0" w:color="auto"/>
        <w:left w:val="none" w:sz="0" w:space="0" w:color="auto"/>
        <w:bottom w:val="none" w:sz="0" w:space="0" w:color="auto"/>
        <w:right w:val="none" w:sz="0" w:space="0" w:color="auto"/>
      </w:divBdr>
    </w:div>
    <w:div w:id="865096604">
      <w:bodyDiv w:val="1"/>
      <w:marLeft w:val="0"/>
      <w:marRight w:val="0"/>
      <w:marTop w:val="0"/>
      <w:marBottom w:val="0"/>
      <w:divBdr>
        <w:top w:val="none" w:sz="0" w:space="0" w:color="auto"/>
        <w:left w:val="none" w:sz="0" w:space="0" w:color="auto"/>
        <w:bottom w:val="none" w:sz="0" w:space="0" w:color="auto"/>
        <w:right w:val="none" w:sz="0" w:space="0" w:color="auto"/>
      </w:divBdr>
    </w:div>
    <w:div w:id="865369281">
      <w:bodyDiv w:val="1"/>
      <w:marLeft w:val="0"/>
      <w:marRight w:val="0"/>
      <w:marTop w:val="0"/>
      <w:marBottom w:val="0"/>
      <w:divBdr>
        <w:top w:val="none" w:sz="0" w:space="0" w:color="auto"/>
        <w:left w:val="none" w:sz="0" w:space="0" w:color="auto"/>
        <w:bottom w:val="none" w:sz="0" w:space="0" w:color="auto"/>
        <w:right w:val="none" w:sz="0" w:space="0" w:color="auto"/>
      </w:divBdr>
    </w:div>
    <w:div w:id="865482335">
      <w:bodyDiv w:val="1"/>
      <w:marLeft w:val="0"/>
      <w:marRight w:val="0"/>
      <w:marTop w:val="0"/>
      <w:marBottom w:val="0"/>
      <w:divBdr>
        <w:top w:val="none" w:sz="0" w:space="0" w:color="auto"/>
        <w:left w:val="none" w:sz="0" w:space="0" w:color="auto"/>
        <w:bottom w:val="none" w:sz="0" w:space="0" w:color="auto"/>
        <w:right w:val="none" w:sz="0" w:space="0" w:color="auto"/>
      </w:divBdr>
    </w:div>
    <w:div w:id="865562838">
      <w:bodyDiv w:val="1"/>
      <w:marLeft w:val="0"/>
      <w:marRight w:val="0"/>
      <w:marTop w:val="0"/>
      <w:marBottom w:val="0"/>
      <w:divBdr>
        <w:top w:val="none" w:sz="0" w:space="0" w:color="auto"/>
        <w:left w:val="none" w:sz="0" w:space="0" w:color="auto"/>
        <w:bottom w:val="none" w:sz="0" w:space="0" w:color="auto"/>
        <w:right w:val="none" w:sz="0" w:space="0" w:color="auto"/>
      </w:divBdr>
    </w:div>
    <w:div w:id="865606392">
      <w:bodyDiv w:val="1"/>
      <w:marLeft w:val="0"/>
      <w:marRight w:val="0"/>
      <w:marTop w:val="0"/>
      <w:marBottom w:val="0"/>
      <w:divBdr>
        <w:top w:val="none" w:sz="0" w:space="0" w:color="auto"/>
        <w:left w:val="none" w:sz="0" w:space="0" w:color="auto"/>
        <w:bottom w:val="none" w:sz="0" w:space="0" w:color="auto"/>
        <w:right w:val="none" w:sz="0" w:space="0" w:color="auto"/>
      </w:divBdr>
    </w:div>
    <w:div w:id="865675891">
      <w:bodyDiv w:val="1"/>
      <w:marLeft w:val="0"/>
      <w:marRight w:val="0"/>
      <w:marTop w:val="0"/>
      <w:marBottom w:val="0"/>
      <w:divBdr>
        <w:top w:val="none" w:sz="0" w:space="0" w:color="auto"/>
        <w:left w:val="none" w:sz="0" w:space="0" w:color="auto"/>
        <w:bottom w:val="none" w:sz="0" w:space="0" w:color="auto"/>
        <w:right w:val="none" w:sz="0" w:space="0" w:color="auto"/>
      </w:divBdr>
    </w:div>
    <w:div w:id="865753053">
      <w:bodyDiv w:val="1"/>
      <w:marLeft w:val="0"/>
      <w:marRight w:val="0"/>
      <w:marTop w:val="0"/>
      <w:marBottom w:val="0"/>
      <w:divBdr>
        <w:top w:val="none" w:sz="0" w:space="0" w:color="auto"/>
        <w:left w:val="none" w:sz="0" w:space="0" w:color="auto"/>
        <w:bottom w:val="none" w:sz="0" w:space="0" w:color="auto"/>
        <w:right w:val="none" w:sz="0" w:space="0" w:color="auto"/>
      </w:divBdr>
    </w:div>
    <w:div w:id="865756154">
      <w:bodyDiv w:val="1"/>
      <w:marLeft w:val="0"/>
      <w:marRight w:val="0"/>
      <w:marTop w:val="0"/>
      <w:marBottom w:val="0"/>
      <w:divBdr>
        <w:top w:val="none" w:sz="0" w:space="0" w:color="auto"/>
        <w:left w:val="none" w:sz="0" w:space="0" w:color="auto"/>
        <w:bottom w:val="none" w:sz="0" w:space="0" w:color="auto"/>
        <w:right w:val="none" w:sz="0" w:space="0" w:color="auto"/>
      </w:divBdr>
    </w:div>
    <w:div w:id="865757392">
      <w:bodyDiv w:val="1"/>
      <w:marLeft w:val="0"/>
      <w:marRight w:val="0"/>
      <w:marTop w:val="0"/>
      <w:marBottom w:val="0"/>
      <w:divBdr>
        <w:top w:val="none" w:sz="0" w:space="0" w:color="auto"/>
        <w:left w:val="none" w:sz="0" w:space="0" w:color="auto"/>
        <w:bottom w:val="none" w:sz="0" w:space="0" w:color="auto"/>
        <w:right w:val="none" w:sz="0" w:space="0" w:color="auto"/>
      </w:divBdr>
    </w:div>
    <w:div w:id="865942676">
      <w:bodyDiv w:val="1"/>
      <w:marLeft w:val="0"/>
      <w:marRight w:val="0"/>
      <w:marTop w:val="0"/>
      <w:marBottom w:val="0"/>
      <w:divBdr>
        <w:top w:val="none" w:sz="0" w:space="0" w:color="auto"/>
        <w:left w:val="none" w:sz="0" w:space="0" w:color="auto"/>
        <w:bottom w:val="none" w:sz="0" w:space="0" w:color="auto"/>
        <w:right w:val="none" w:sz="0" w:space="0" w:color="auto"/>
      </w:divBdr>
    </w:div>
    <w:div w:id="865951006">
      <w:bodyDiv w:val="1"/>
      <w:marLeft w:val="0"/>
      <w:marRight w:val="0"/>
      <w:marTop w:val="0"/>
      <w:marBottom w:val="0"/>
      <w:divBdr>
        <w:top w:val="none" w:sz="0" w:space="0" w:color="auto"/>
        <w:left w:val="none" w:sz="0" w:space="0" w:color="auto"/>
        <w:bottom w:val="none" w:sz="0" w:space="0" w:color="auto"/>
        <w:right w:val="none" w:sz="0" w:space="0" w:color="auto"/>
      </w:divBdr>
    </w:div>
    <w:div w:id="866018527">
      <w:bodyDiv w:val="1"/>
      <w:marLeft w:val="0"/>
      <w:marRight w:val="0"/>
      <w:marTop w:val="0"/>
      <w:marBottom w:val="0"/>
      <w:divBdr>
        <w:top w:val="none" w:sz="0" w:space="0" w:color="auto"/>
        <w:left w:val="none" w:sz="0" w:space="0" w:color="auto"/>
        <w:bottom w:val="none" w:sz="0" w:space="0" w:color="auto"/>
        <w:right w:val="none" w:sz="0" w:space="0" w:color="auto"/>
      </w:divBdr>
    </w:div>
    <w:div w:id="866018972">
      <w:bodyDiv w:val="1"/>
      <w:marLeft w:val="0"/>
      <w:marRight w:val="0"/>
      <w:marTop w:val="0"/>
      <w:marBottom w:val="0"/>
      <w:divBdr>
        <w:top w:val="none" w:sz="0" w:space="0" w:color="auto"/>
        <w:left w:val="none" w:sz="0" w:space="0" w:color="auto"/>
        <w:bottom w:val="none" w:sz="0" w:space="0" w:color="auto"/>
        <w:right w:val="none" w:sz="0" w:space="0" w:color="auto"/>
      </w:divBdr>
    </w:div>
    <w:div w:id="866020666">
      <w:bodyDiv w:val="1"/>
      <w:marLeft w:val="0"/>
      <w:marRight w:val="0"/>
      <w:marTop w:val="0"/>
      <w:marBottom w:val="0"/>
      <w:divBdr>
        <w:top w:val="none" w:sz="0" w:space="0" w:color="auto"/>
        <w:left w:val="none" w:sz="0" w:space="0" w:color="auto"/>
        <w:bottom w:val="none" w:sz="0" w:space="0" w:color="auto"/>
        <w:right w:val="none" w:sz="0" w:space="0" w:color="auto"/>
      </w:divBdr>
    </w:div>
    <w:div w:id="866065046">
      <w:bodyDiv w:val="1"/>
      <w:marLeft w:val="0"/>
      <w:marRight w:val="0"/>
      <w:marTop w:val="0"/>
      <w:marBottom w:val="0"/>
      <w:divBdr>
        <w:top w:val="none" w:sz="0" w:space="0" w:color="auto"/>
        <w:left w:val="none" w:sz="0" w:space="0" w:color="auto"/>
        <w:bottom w:val="none" w:sz="0" w:space="0" w:color="auto"/>
        <w:right w:val="none" w:sz="0" w:space="0" w:color="auto"/>
      </w:divBdr>
    </w:div>
    <w:div w:id="866211227">
      <w:bodyDiv w:val="1"/>
      <w:marLeft w:val="0"/>
      <w:marRight w:val="0"/>
      <w:marTop w:val="0"/>
      <w:marBottom w:val="0"/>
      <w:divBdr>
        <w:top w:val="none" w:sz="0" w:space="0" w:color="auto"/>
        <w:left w:val="none" w:sz="0" w:space="0" w:color="auto"/>
        <w:bottom w:val="none" w:sz="0" w:space="0" w:color="auto"/>
        <w:right w:val="none" w:sz="0" w:space="0" w:color="auto"/>
      </w:divBdr>
    </w:div>
    <w:div w:id="866213636">
      <w:bodyDiv w:val="1"/>
      <w:marLeft w:val="0"/>
      <w:marRight w:val="0"/>
      <w:marTop w:val="0"/>
      <w:marBottom w:val="0"/>
      <w:divBdr>
        <w:top w:val="none" w:sz="0" w:space="0" w:color="auto"/>
        <w:left w:val="none" w:sz="0" w:space="0" w:color="auto"/>
        <w:bottom w:val="none" w:sz="0" w:space="0" w:color="auto"/>
        <w:right w:val="none" w:sz="0" w:space="0" w:color="auto"/>
      </w:divBdr>
    </w:div>
    <w:div w:id="866331343">
      <w:bodyDiv w:val="1"/>
      <w:marLeft w:val="0"/>
      <w:marRight w:val="0"/>
      <w:marTop w:val="0"/>
      <w:marBottom w:val="0"/>
      <w:divBdr>
        <w:top w:val="none" w:sz="0" w:space="0" w:color="auto"/>
        <w:left w:val="none" w:sz="0" w:space="0" w:color="auto"/>
        <w:bottom w:val="none" w:sz="0" w:space="0" w:color="auto"/>
        <w:right w:val="none" w:sz="0" w:space="0" w:color="auto"/>
      </w:divBdr>
    </w:div>
    <w:div w:id="866335824">
      <w:bodyDiv w:val="1"/>
      <w:marLeft w:val="0"/>
      <w:marRight w:val="0"/>
      <w:marTop w:val="0"/>
      <w:marBottom w:val="0"/>
      <w:divBdr>
        <w:top w:val="none" w:sz="0" w:space="0" w:color="auto"/>
        <w:left w:val="none" w:sz="0" w:space="0" w:color="auto"/>
        <w:bottom w:val="none" w:sz="0" w:space="0" w:color="auto"/>
        <w:right w:val="none" w:sz="0" w:space="0" w:color="auto"/>
      </w:divBdr>
    </w:div>
    <w:div w:id="866408037">
      <w:bodyDiv w:val="1"/>
      <w:marLeft w:val="0"/>
      <w:marRight w:val="0"/>
      <w:marTop w:val="0"/>
      <w:marBottom w:val="0"/>
      <w:divBdr>
        <w:top w:val="none" w:sz="0" w:space="0" w:color="auto"/>
        <w:left w:val="none" w:sz="0" w:space="0" w:color="auto"/>
        <w:bottom w:val="none" w:sz="0" w:space="0" w:color="auto"/>
        <w:right w:val="none" w:sz="0" w:space="0" w:color="auto"/>
      </w:divBdr>
    </w:div>
    <w:div w:id="866453817">
      <w:bodyDiv w:val="1"/>
      <w:marLeft w:val="0"/>
      <w:marRight w:val="0"/>
      <w:marTop w:val="0"/>
      <w:marBottom w:val="0"/>
      <w:divBdr>
        <w:top w:val="none" w:sz="0" w:space="0" w:color="auto"/>
        <w:left w:val="none" w:sz="0" w:space="0" w:color="auto"/>
        <w:bottom w:val="none" w:sz="0" w:space="0" w:color="auto"/>
        <w:right w:val="none" w:sz="0" w:space="0" w:color="auto"/>
      </w:divBdr>
    </w:div>
    <w:div w:id="866525324">
      <w:bodyDiv w:val="1"/>
      <w:marLeft w:val="0"/>
      <w:marRight w:val="0"/>
      <w:marTop w:val="0"/>
      <w:marBottom w:val="0"/>
      <w:divBdr>
        <w:top w:val="none" w:sz="0" w:space="0" w:color="auto"/>
        <w:left w:val="none" w:sz="0" w:space="0" w:color="auto"/>
        <w:bottom w:val="none" w:sz="0" w:space="0" w:color="auto"/>
        <w:right w:val="none" w:sz="0" w:space="0" w:color="auto"/>
      </w:divBdr>
    </w:div>
    <w:div w:id="866599864">
      <w:bodyDiv w:val="1"/>
      <w:marLeft w:val="0"/>
      <w:marRight w:val="0"/>
      <w:marTop w:val="0"/>
      <w:marBottom w:val="0"/>
      <w:divBdr>
        <w:top w:val="none" w:sz="0" w:space="0" w:color="auto"/>
        <w:left w:val="none" w:sz="0" w:space="0" w:color="auto"/>
        <w:bottom w:val="none" w:sz="0" w:space="0" w:color="auto"/>
        <w:right w:val="none" w:sz="0" w:space="0" w:color="auto"/>
      </w:divBdr>
    </w:div>
    <w:div w:id="866678769">
      <w:bodyDiv w:val="1"/>
      <w:marLeft w:val="0"/>
      <w:marRight w:val="0"/>
      <w:marTop w:val="0"/>
      <w:marBottom w:val="0"/>
      <w:divBdr>
        <w:top w:val="none" w:sz="0" w:space="0" w:color="auto"/>
        <w:left w:val="none" w:sz="0" w:space="0" w:color="auto"/>
        <w:bottom w:val="none" w:sz="0" w:space="0" w:color="auto"/>
        <w:right w:val="none" w:sz="0" w:space="0" w:color="auto"/>
      </w:divBdr>
    </w:div>
    <w:div w:id="866715435">
      <w:bodyDiv w:val="1"/>
      <w:marLeft w:val="0"/>
      <w:marRight w:val="0"/>
      <w:marTop w:val="0"/>
      <w:marBottom w:val="0"/>
      <w:divBdr>
        <w:top w:val="none" w:sz="0" w:space="0" w:color="auto"/>
        <w:left w:val="none" w:sz="0" w:space="0" w:color="auto"/>
        <w:bottom w:val="none" w:sz="0" w:space="0" w:color="auto"/>
        <w:right w:val="none" w:sz="0" w:space="0" w:color="auto"/>
      </w:divBdr>
    </w:div>
    <w:div w:id="866720137">
      <w:bodyDiv w:val="1"/>
      <w:marLeft w:val="0"/>
      <w:marRight w:val="0"/>
      <w:marTop w:val="0"/>
      <w:marBottom w:val="0"/>
      <w:divBdr>
        <w:top w:val="none" w:sz="0" w:space="0" w:color="auto"/>
        <w:left w:val="none" w:sz="0" w:space="0" w:color="auto"/>
        <w:bottom w:val="none" w:sz="0" w:space="0" w:color="auto"/>
        <w:right w:val="none" w:sz="0" w:space="0" w:color="auto"/>
      </w:divBdr>
    </w:div>
    <w:div w:id="866874749">
      <w:bodyDiv w:val="1"/>
      <w:marLeft w:val="0"/>
      <w:marRight w:val="0"/>
      <w:marTop w:val="0"/>
      <w:marBottom w:val="0"/>
      <w:divBdr>
        <w:top w:val="none" w:sz="0" w:space="0" w:color="auto"/>
        <w:left w:val="none" w:sz="0" w:space="0" w:color="auto"/>
        <w:bottom w:val="none" w:sz="0" w:space="0" w:color="auto"/>
        <w:right w:val="none" w:sz="0" w:space="0" w:color="auto"/>
      </w:divBdr>
    </w:div>
    <w:div w:id="867067690">
      <w:bodyDiv w:val="1"/>
      <w:marLeft w:val="0"/>
      <w:marRight w:val="0"/>
      <w:marTop w:val="0"/>
      <w:marBottom w:val="0"/>
      <w:divBdr>
        <w:top w:val="none" w:sz="0" w:space="0" w:color="auto"/>
        <w:left w:val="none" w:sz="0" w:space="0" w:color="auto"/>
        <w:bottom w:val="none" w:sz="0" w:space="0" w:color="auto"/>
        <w:right w:val="none" w:sz="0" w:space="0" w:color="auto"/>
      </w:divBdr>
    </w:div>
    <w:div w:id="867177855">
      <w:bodyDiv w:val="1"/>
      <w:marLeft w:val="0"/>
      <w:marRight w:val="0"/>
      <w:marTop w:val="0"/>
      <w:marBottom w:val="0"/>
      <w:divBdr>
        <w:top w:val="none" w:sz="0" w:space="0" w:color="auto"/>
        <w:left w:val="none" w:sz="0" w:space="0" w:color="auto"/>
        <w:bottom w:val="none" w:sz="0" w:space="0" w:color="auto"/>
        <w:right w:val="none" w:sz="0" w:space="0" w:color="auto"/>
      </w:divBdr>
    </w:div>
    <w:div w:id="867328050">
      <w:bodyDiv w:val="1"/>
      <w:marLeft w:val="0"/>
      <w:marRight w:val="0"/>
      <w:marTop w:val="0"/>
      <w:marBottom w:val="0"/>
      <w:divBdr>
        <w:top w:val="none" w:sz="0" w:space="0" w:color="auto"/>
        <w:left w:val="none" w:sz="0" w:space="0" w:color="auto"/>
        <w:bottom w:val="none" w:sz="0" w:space="0" w:color="auto"/>
        <w:right w:val="none" w:sz="0" w:space="0" w:color="auto"/>
      </w:divBdr>
    </w:div>
    <w:div w:id="867328984">
      <w:bodyDiv w:val="1"/>
      <w:marLeft w:val="0"/>
      <w:marRight w:val="0"/>
      <w:marTop w:val="0"/>
      <w:marBottom w:val="0"/>
      <w:divBdr>
        <w:top w:val="none" w:sz="0" w:space="0" w:color="auto"/>
        <w:left w:val="none" w:sz="0" w:space="0" w:color="auto"/>
        <w:bottom w:val="none" w:sz="0" w:space="0" w:color="auto"/>
        <w:right w:val="none" w:sz="0" w:space="0" w:color="auto"/>
      </w:divBdr>
    </w:div>
    <w:div w:id="867332600">
      <w:bodyDiv w:val="1"/>
      <w:marLeft w:val="0"/>
      <w:marRight w:val="0"/>
      <w:marTop w:val="0"/>
      <w:marBottom w:val="0"/>
      <w:divBdr>
        <w:top w:val="none" w:sz="0" w:space="0" w:color="auto"/>
        <w:left w:val="none" w:sz="0" w:space="0" w:color="auto"/>
        <w:bottom w:val="none" w:sz="0" w:space="0" w:color="auto"/>
        <w:right w:val="none" w:sz="0" w:space="0" w:color="auto"/>
      </w:divBdr>
    </w:div>
    <w:div w:id="867370881">
      <w:bodyDiv w:val="1"/>
      <w:marLeft w:val="0"/>
      <w:marRight w:val="0"/>
      <w:marTop w:val="0"/>
      <w:marBottom w:val="0"/>
      <w:divBdr>
        <w:top w:val="none" w:sz="0" w:space="0" w:color="auto"/>
        <w:left w:val="none" w:sz="0" w:space="0" w:color="auto"/>
        <w:bottom w:val="none" w:sz="0" w:space="0" w:color="auto"/>
        <w:right w:val="none" w:sz="0" w:space="0" w:color="auto"/>
      </w:divBdr>
    </w:div>
    <w:div w:id="867454785">
      <w:bodyDiv w:val="1"/>
      <w:marLeft w:val="0"/>
      <w:marRight w:val="0"/>
      <w:marTop w:val="0"/>
      <w:marBottom w:val="0"/>
      <w:divBdr>
        <w:top w:val="none" w:sz="0" w:space="0" w:color="auto"/>
        <w:left w:val="none" w:sz="0" w:space="0" w:color="auto"/>
        <w:bottom w:val="none" w:sz="0" w:space="0" w:color="auto"/>
        <w:right w:val="none" w:sz="0" w:space="0" w:color="auto"/>
      </w:divBdr>
    </w:div>
    <w:div w:id="867524649">
      <w:bodyDiv w:val="1"/>
      <w:marLeft w:val="0"/>
      <w:marRight w:val="0"/>
      <w:marTop w:val="0"/>
      <w:marBottom w:val="0"/>
      <w:divBdr>
        <w:top w:val="none" w:sz="0" w:space="0" w:color="auto"/>
        <w:left w:val="none" w:sz="0" w:space="0" w:color="auto"/>
        <w:bottom w:val="none" w:sz="0" w:space="0" w:color="auto"/>
        <w:right w:val="none" w:sz="0" w:space="0" w:color="auto"/>
      </w:divBdr>
    </w:div>
    <w:div w:id="867567682">
      <w:bodyDiv w:val="1"/>
      <w:marLeft w:val="0"/>
      <w:marRight w:val="0"/>
      <w:marTop w:val="0"/>
      <w:marBottom w:val="0"/>
      <w:divBdr>
        <w:top w:val="none" w:sz="0" w:space="0" w:color="auto"/>
        <w:left w:val="none" w:sz="0" w:space="0" w:color="auto"/>
        <w:bottom w:val="none" w:sz="0" w:space="0" w:color="auto"/>
        <w:right w:val="none" w:sz="0" w:space="0" w:color="auto"/>
      </w:divBdr>
    </w:div>
    <w:div w:id="867643888">
      <w:bodyDiv w:val="1"/>
      <w:marLeft w:val="0"/>
      <w:marRight w:val="0"/>
      <w:marTop w:val="0"/>
      <w:marBottom w:val="0"/>
      <w:divBdr>
        <w:top w:val="none" w:sz="0" w:space="0" w:color="auto"/>
        <w:left w:val="none" w:sz="0" w:space="0" w:color="auto"/>
        <w:bottom w:val="none" w:sz="0" w:space="0" w:color="auto"/>
        <w:right w:val="none" w:sz="0" w:space="0" w:color="auto"/>
      </w:divBdr>
    </w:div>
    <w:div w:id="867717323">
      <w:bodyDiv w:val="1"/>
      <w:marLeft w:val="0"/>
      <w:marRight w:val="0"/>
      <w:marTop w:val="0"/>
      <w:marBottom w:val="0"/>
      <w:divBdr>
        <w:top w:val="none" w:sz="0" w:space="0" w:color="auto"/>
        <w:left w:val="none" w:sz="0" w:space="0" w:color="auto"/>
        <w:bottom w:val="none" w:sz="0" w:space="0" w:color="auto"/>
        <w:right w:val="none" w:sz="0" w:space="0" w:color="auto"/>
      </w:divBdr>
    </w:div>
    <w:div w:id="867841140">
      <w:bodyDiv w:val="1"/>
      <w:marLeft w:val="0"/>
      <w:marRight w:val="0"/>
      <w:marTop w:val="0"/>
      <w:marBottom w:val="0"/>
      <w:divBdr>
        <w:top w:val="none" w:sz="0" w:space="0" w:color="auto"/>
        <w:left w:val="none" w:sz="0" w:space="0" w:color="auto"/>
        <w:bottom w:val="none" w:sz="0" w:space="0" w:color="auto"/>
        <w:right w:val="none" w:sz="0" w:space="0" w:color="auto"/>
      </w:divBdr>
    </w:div>
    <w:div w:id="867986752">
      <w:bodyDiv w:val="1"/>
      <w:marLeft w:val="0"/>
      <w:marRight w:val="0"/>
      <w:marTop w:val="0"/>
      <w:marBottom w:val="0"/>
      <w:divBdr>
        <w:top w:val="none" w:sz="0" w:space="0" w:color="auto"/>
        <w:left w:val="none" w:sz="0" w:space="0" w:color="auto"/>
        <w:bottom w:val="none" w:sz="0" w:space="0" w:color="auto"/>
        <w:right w:val="none" w:sz="0" w:space="0" w:color="auto"/>
      </w:divBdr>
    </w:div>
    <w:div w:id="867988792">
      <w:bodyDiv w:val="1"/>
      <w:marLeft w:val="0"/>
      <w:marRight w:val="0"/>
      <w:marTop w:val="0"/>
      <w:marBottom w:val="0"/>
      <w:divBdr>
        <w:top w:val="none" w:sz="0" w:space="0" w:color="auto"/>
        <w:left w:val="none" w:sz="0" w:space="0" w:color="auto"/>
        <w:bottom w:val="none" w:sz="0" w:space="0" w:color="auto"/>
        <w:right w:val="none" w:sz="0" w:space="0" w:color="auto"/>
      </w:divBdr>
    </w:div>
    <w:div w:id="867989993">
      <w:bodyDiv w:val="1"/>
      <w:marLeft w:val="0"/>
      <w:marRight w:val="0"/>
      <w:marTop w:val="0"/>
      <w:marBottom w:val="0"/>
      <w:divBdr>
        <w:top w:val="none" w:sz="0" w:space="0" w:color="auto"/>
        <w:left w:val="none" w:sz="0" w:space="0" w:color="auto"/>
        <w:bottom w:val="none" w:sz="0" w:space="0" w:color="auto"/>
        <w:right w:val="none" w:sz="0" w:space="0" w:color="auto"/>
      </w:divBdr>
    </w:div>
    <w:div w:id="868028909">
      <w:bodyDiv w:val="1"/>
      <w:marLeft w:val="0"/>
      <w:marRight w:val="0"/>
      <w:marTop w:val="0"/>
      <w:marBottom w:val="0"/>
      <w:divBdr>
        <w:top w:val="none" w:sz="0" w:space="0" w:color="auto"/>
        <w:left w:val="none" w:sz="0" w:space="0" w:color="auto"/>
        <w:bottom w:val="none" w:sz="0" w:space="0" w:color="auto"/>
        <w:right w:val="none" w:sz="0" w:space="0" w:color="auto"/>
      </w:divBdr>
    </w:div>
    <w:div w:id="868030881">
      <w:bodyDiv w:val="1"/>
      <w:marLeft w:val="0"/>
      <w:marRight w:val="0"/>
      <w:marTop w:val="0"/>
      <w:marBottom w:val="0"/>
      <w:divBdr>
        <w:top w:val="none" w:sz="0" w:space="0" w:color="auto"/>
        <w:left w:val="none" w:sz="0" w:space="0" w:color="auto"/>
        <w:bottom w:val="none" w:sz="0" w:space="0" w:color="auto"/>
        <w:right w:val="none" w:sz="0" w:space="0" w:color="auto"/>
      </w:divBdr>
    </w:div>
    <w:div w:id="868177597">
      <w:bodyDiv w:val="1"/>
      <w:marLeft w:val="0"/>
      <w:marRight w:val="0"/>
      <w:marTop w:val="0"/>
      <w:marBottom w:val="0"/>
      <w:divBdr>
        <w:top w:val="none" w:sz="0" w:space="0" w:color="auto"/>
        <w:left w:val="none" w:sz="0" w:space="0" w:color="auto"/>
        <w:bottom w:val="none" w:sz="0" w:space="0" w:color="auto"/>
        <w:right w:val="none" w:sz="0" w:space="0" w:color="auto"/>
      </w:divBdr>
    </w:div>
    <w:div w:id="868181460">
      <w:bodyDiv w:val="1"/>
      <w:marLeft w:val="0"/>
      <w:marRight w:val="0"/>
      <w:marTop w:val="0"/>
      <w:marBottom w:val="0"/>
      <w:divBdr>
        <w:top w:val="none" w:sz="0" w:space="0" w:color="auto"/>
        <w:left w:val="none" w:sz="0" w:space="0" w:color="auto"/>
        <w:bottom w:val="none" w:sz="0" w:space="0" w:color="auto"/>
        <w:right w:val="none" w:sz="0" w:space="0" w:color="auto"/>
      </w:divBdr>
    </w:div>
    <w:div w:id="868183741">
      <w:bodyDiv w:val="1"/>
      <w:marLeft w:val="0"/>
      <w:marRight w:val="0"/>
      <w:marTop w:val="0"/>
      <w:marBottom w:val="0"/>
      <w:divBdr>
        <w:top w:val="none" w:sz="0" w:space="0" w:color="auto"/>
        <w:left w:val="none" w:sz="0" w:space="0" w:color="auto"/>
        <w:bottom w:val="none" w:sz="0" w:space="0" w:color="auto"/>
        <w:right w:val="none" w:sz="0" w:space="0" w:color="auto"/>
      </w:divBdr>
    </w:div>
    <w:div w:id="868185359">
      <w:bodyDiv w:val="1"/>
      <w:marLeft w:val="0"/>
      <w:marRight w:val="0"/>
      <w:marTop w:val="0"/>
      <w:marBottom w:val="0"/>
      <w:divBdr>
        <w:top w:val="none" w:sz="0" w:space="0" w:color="auto"/>
        <w:left w:val="none" w:sz="0" w:space="0" w:color="auto"/>
        <w:bottom w:val="none" w:sz="0" w:space="0" w:color="auto"/>
        <w:right w:val="none" w:sz="0" w:space="0" w:color="auto"/>
      </w:divBdr>
    </w:div>
    <w:div w:id="868223842">
      <w:bodyDiv w:val="1"/>
      <w:marLeft w:val="0"/>
      <w:marRight w:val="0"/>
      <w:marTop w:val="0"/>
      <w:marBottom w:val="0"/>
      <w:divBdr>
        <w:top w:val="none" w:sz="0" w:space="0" w:color="auto"/>
        <w:left w:val="none" w:sz="0" w:space="0" w:color="auto"/>
        <w:bottom w:val="none" w:sz="0" w:space="0" w:color="auto"/>
        <w:right w:val="none" w:sz="0" w:space="0" w:color="auto"/>
      </w:divBdr>
    </w:div>
    <w:div w:id="868373690">
      <w:bodyDiv w:val="1"/>
      <w:marLeft w:val="0"/>
      <w:marRight w:val="0"/>
      <w:marTop w:val="0"/>
      <w:marBottom w:val="0"/>
      <w:divBdr>
        <w:top w:val="none" w:sz="0" w:space="0" w:color="auto"/>
        <w:left w:val="none" w:sz="0" w:space="0" w:color="auto"/>
        <w:bottom w:val="none" w:sz="0" w:space="0" w:color="auto"/>
        <w:right w:val="none" w:sz="0" w:space="0" w:color="auto"/>
      </w:divBdr>
    </w:div>
    <w:div w:id="868568897">
      <w:bodyDiv w:val="1"/>
      <w:marLeft w:val="0"/>
      <w:marRight w:val="0"/>
      <w:marTop w:val="0"/>
      <w:marBottom w:val="0"/>
      <w:divBdr>
        <w:top w:val="none" w:sz="0" w:space="0" w:color="auto"/>
        <w:left w:val="none" w:sz="0" w:space="0" w:color="auto"/>
        <w:bottom w:val="none" w:sz="0" w:space="0" w:color="auto"/>
        <w:right w:val="none" w:sz="0" w:space="0" w:color="auto"/>
      </w:divBdr>
    </w:div>
    <w:div w:id="868681152">
      <w:bodyDiv w:val="1"/>
      <w:marLeft w:val="0"/>
      <w:marRight w:val="0"/>
      <w:marTop w:val="0"/>
      <w:marBottom w:val="0"/>
      <w:divBdr>
        <w:top w:val="none" w:sz="0" w:space="0" w:color="auto"/>
        <w:left w:val="none" w:sz="0" w:space="0" w:color="auto"/>
        <w:bottom w:val="none" w:sz="0" w:space="0" w:color="auto"/>
        <w:right w:val="none" w:sz="0" w:space="0" w:color="auto"/>
      </w:divBdr>
    </w:div>
    <w:div w:id="868835533">
      <w:bodyDiv w:val="1"/>
      <w:marLeft w:val="0"/>
      <w:marRight w:val="0"/>
      <w:marTop w:val="0"/>
      <w:marBottom w:val="0"/>
      <w:divBdr>
        <w:top w:val="none" w:sz="0" w:space="0" w:color="auto"/>
        <w:left w:val="none" w:sz="0" w:space="0" w:color="auto"/>
        <w:bottom w:val="none" w:sz="0" w:space="0" w:color="auto"/>
        <w:right w:val="none" w:sz="0" w:space="0" w:color="auto"/>
      </w:divBdr>
    </w:div>
    <w:div w:id="868840064">
      <w:bodyDiv w:val="1"/>
      <w:marLeft w:val="0"/>
      <w:marRight w:val="0"/>
      <w:marTop w:val="0"/>
      <w:marBottom w:val="0"/>
      <w:divBdr>
        <w:top w:val="none" w:sz="0" w:space="0" w:color="auto"/>
        <w:left w:val="none" w:sz="0" w:space="0" w:color="auto"/>
        <w:bottom w:val="none" w:sz="0" w:space="0" w:color="auto"/>
        <w:right w:val="none" w:sz="0" w:space="0" w:color="auto"/>
      </w:divBdr>
    </w:div>
    <w:div w:id="868956318">
      <w:bodyDiv w:val="1"/>
      <w:marLeft w:val="0"/>
      <w:marRight w:val="0"/>
      <w:marTop w:val="0"/>
      <w:marBottom w:val="0"/>
      <w:divBdr>
        <w:top w:val="none" w:sz="0" w:space="0" w:color="auto"/>
        <w:left w:val="none" w:sz="0" w:space="0" w:color="auto"/>
        <w:bottom w:val="none" w:sz="0" w:space="0" w:color="auto"/>
        <w:right w:val="none" w:sz="0" w:space="0" w:color="auto"/>
      </w:divBdr>
    </w:div>
    <w:div w:id="868958145">
      <w:bodyDiv w:val="1"/>
      <w:marLeft w:val="0"/>
      <w:marRight w:val="0"/>
      <w:marTop w:val="0"/>
      <w:marBottom w:val="0"/>
      <w:divBdr>
        <w:top w:val="none" w:sz="0" w:space="0" w:color="auto"/>
        <w:left w:val="none" w:sz="0" w:space="0" w:color="auto"/>
        <w:bottom w:val="none" w:sz="0" w:space="0" w:color="auto"/>
        <w:right w:val="none" w:sz="0" w:space="0" w:color="auto"/>
      </w:divBdr>
    </w:div>
    <w:div w:id="869033545">
      <w:bodyDiv w:val="1"/>
      <w:marLeft w:val="0"/>
      <w:marRight w:val="0"/>
      <w:marTop w:val="0"/>
      <w:marBottom w:val="0"/>
      <w:divBdr>
        <w:top w:val="none" w:sz="0" w:space="0" w:color="auto"/>
        <w:left w:val="none" w:sz="0" w:space="0" w:color="auto"/>
        <w:bottom w:val="none" w:sz="0" w:space="0" w:color="auto"/>
        <w:right w:val="none" w:sz="0" w:space="0" w:color="auto"/>
      </w:divBdr>
    </w:div>
    <w:div w:id="869073349">
      <w:bodyDiv w:val="1"/>
      <w:marLeft w:val="0"/>
      <w:marRight w:val="0"/>
      <w:marTop w:val="0"/>
      <w:marBottom w:val="0"/>
      <w:divBdr>
        <w:top w:val="none" w:sz="0" w:space="0" w:color="auto"/>
        <w:left w:val="none" w:sz="0" w:space="0" w:color="auto"/>
        <w:bottom w:val="none" w:sz="0" w:space="0" w:color="auto"/>
        <w:right w:val="none" w:sz="0" w:space="0" w:color="auto"/>
      </w:divBdr>
    </w:div>
    <w:div w:id="869100864">
      <w:bodyDiv w:val="1"/>
      <w:marLeft w:val="0"/>
      <w:marRight w:val="0"/>
      <w:marTop w:val="0"/>
      <w:marBottom w:val="0"/>
      <w:divBdr>
        <w:top w:val="none" w:sz="0" w:space="0" w:color="auto"/>
        <w:left w:val="none" w:sz="0" w:space="0" w:color="auto"/>
        <w:bottom w:val="none" w:sz="0" w:space="0" w:color="auto"/>
        <w:right w:val="none" w:sz="0" w:space="0" w:color="auto"/>
      </w:divBdr>
    </w:div>
    <w:div w:id="869104902">
      <w:bodyDiv w:val="1"/>
      <w:marLeft w:val="0"/>
      <w:marRight w:val="0"/>
      <w:marTop w:val="0"/>
      <w:marBottom w:val="0"/>
      <w:divBdr>
        <w:top w:val="none" w:sz="0" w:space="0" w:color="auto"/>
        <w:left w:val="none" w:sz="0" w:space="0" w:color="auto"/>
        <w:bottom w:val="none" w:sz="0" w:space="0" w:color="auto"/>
        <w:right w:val="none" w:sz="0" w:space="0" w:color="auto"/>
      </w:divBdr>
    </w:div>
    <w:div w:id="869145237">
      <w:bodyDiv w:val="1"/>
      <w:marLeft w:val="0"/>
      <w:marRight w:val="0"/>
      <w:marTop w:val="0"/>
      <w:marBottom w:val="0"/>
      <w:divBdr>
        <w:top w:val="none" w:sz="0" w:space="0" w:color="auto"/>
        <w:left w:val="none" w:sz="0" w:space="0" w:color="auto"/>
        <w:bottom w:val="none" w:sz="0" w:space="0" w:color="auto"/>
        <w:right w:val="none" w:sz="0" w:space="0" w:color="auto"/>
      </w:divBdr>
    </w:div>
    <w:div w:id="869225655">
      <w:bodyDiv w:val="1"/>
      <w:marLeft w:val="0"/>
      <w:marRight w:val="0"/>
      <w:marTop w:val="0"/>
      <w:marBottom w:val="0"/>
      <w:divBdr>
        <w:top w:val="none" w:sz="0" w:space="0" w:color="auto"/>
        <w:left w:val="none" w:sz="0" w:space="0" w:color="auto"/>
        <w:bottom w:val="none" w:sz="0" w:space="0" w:color="auto"/>
        <w:right w:val="none" w:sz="0" w:space="0" w:color="auto"/>
      </w:divBdr>
    </w:div>
    <w:div w:id="869339066">
      <w:bodyDiv w:val="1"/>
      <w:marLeft w:val="0"/>
      <w:marRight w:val="0"/>
      <w:marTop w:val="0"/>
      <w:marBottom w:val="0"/>
      <w:divBdr>
        <w:top w:val="none" w:sz="0" w:space="0" w:color="auto"/>
        <w:left w:val="none" w:sz="0" w:space="0" w:color="auto"/>
        <w:bottom w:val="none" w:sz="0" w:space="0" w:color="auto"/>
        <w:right w:val="none" w:sz="0" w:space="0" w:color="auto"/>
      </w:divBdr>
    </w:div>
    <w:div w:id="869415152">
      <w:bodyDiv w:val="1"/>
      <w:marLeft w:val="0"/>
      <w:marRight w:val="0"/>
      <w:marTop w:val="0"/>
      <w:marBottom w:val="0"/>
      <w:divBdr>
        <w:top w:val="none" w:sz="0" w:space="0" w:color="auto"/>
        <w:left w:val="none" w:sz="0" w:space="0" w:color="auto"/>
        <w:bottom w:val="none" w:sz="0" w:space="0" w:color="auto"/>
        <w:right w:val="none" w:sz="0" w:space="0" w:color="auto"/>
      </w:divBdr>
    </w:div>
    <w:div w:id="869416166">
      <w:bodyDiv w:val="1"/>
      <w:marLeft w:val="0"/>
      <w:marRight w:val="0"/>
      <w:marTop w:val="0"/>
      <w:marBottom w:val="0"/>
      <w:divBdr>
        <w:top w:val="none" w:sz="0" w:space="0" w:color="auto"/>
        <w:left w:val="none" w:sz="0" w:space="0" w:color="auto"/>
        <w:bottom w:val="none" w:sz="0" w:space="0" w:color="auto"/>
        <w:right w:val="none" w:sz="0" w:space="0" w:color="auto"/>
      </w:divBdr>
    </w:div>
    <w:div w:id="869417811">
      <w:bodyDiv w:val="1"/>
      <w:marLeft w:val="0"/>
      <w:marRight w:val="0"/>
      <w:marTop w:val="0"/>
      <w:marBottom w:val="0"/>
      <w:divBdr>
        <w:top w:val="none" w:sz="0" w:space="0" w:color="auto"/>
        <w:left w:val="none" w:sz="0" w:space="0" w:color="auto"/>
        <w:bottom w:val="none" w:sz="0" w:space="0" w:color="auto"/>
        <w:right w:val="none" w:sz="0" w:space="0" w:color="auto"/>
      </w:divBdr>
    </w:div>
    <w:div w:id="869419452">
      <w:bodyDiv w:val="1"/>
      <w:marLeft w:val="0"/>
      <w:marRight w:val="0"/>
      <w:marTop w:val="0"/>
      <w:marBottom w:val="0"/>
      <w:divBdr>
        <w:top w:val="none" w:sz="0" w:space="0" w:color="auto"/>
        <w:left w:val="none" w:sz="0" w:space="0" w:color="auto"/>
        <w:bottom w:val="none" w:sz="0" w:space="0" w:color="auto"/>
        <w:right w:val="none" w:sz="0" w:space="0" w:color="auto"/>
      </w:divBdr>
    </w:div>
    <w:div w:id="869490378">
      <w:bodyDiv w:val="1"/>
      <w:marLeft w:val="0"/>
      <w:marRight w:val="0"/>
      <w:marTop w:val="0"/>
      <w:marBottom w:val="0"/>
      <w:divBdr>
        <w:top w:val="none" w:sz="0" w:space="0" w:color="auto"/>
        <w:left w:val="none" w:sz="0" w:space="0" w:color="auto"/>
        <w:bottom w:val="none" w:sz="0" w:space="0" w:color="auto"/>
        <w:right w:val="none" w:sz="0" w:space="0" w:color="auto"/>
      </w:divBdr>
    </w:div>
    <w:div w:id="869538276">
      <w:bodyDiv w:val="1"/>
      <w:marLeft w:val="0"/>
      <w:marRight w:val="0"/>
      <w:marTop w:val="0"/>
      <w:marBottom w:val="0"/>
      <w:divBdr>
        <w:top w:val="none" w:sz="0" w:space="0" w:color="auto"/>
        <w:left w:val="none" w:sz="0" w:space="0" w:color="auto"/>
        <w:bottom w:val="none" w:sz="0" w:space="0" w:color="auto"/>
        <w:right w:val="none" w:sz="0" w:space="0" w:color="auto"/>
      </w:divBdr>
    </w:div>
    <w:div w:id="869610084">
      <w:bodyDiv w:val="1"/>
      <w:marLeft w:val="0"/>
      <w:marRight w:val="0"/>
      <w:marTop w:val="0"/>
      <w:marBottom w:val="0"/>
      <w:divBdr>
        <w:top w:val="none" w:sz="0" w:space="0" w:color="auto"/>
        <w:left w:val="none" w:sz="0" w:space="0" w:color="auto"/>
        <w:bottom w:val="none" w:sz="0" w:space="0" w:color="auto"/>
        <w:right w:val="none" w:sz="0" w:space="0" w:color="auto"/>
      </w:divBdr>
    </w:div>
    <w:div w:id="869611066">
      <w:bodyDiv w:val="1"/>
      <w:marLeft w:val="0"/>
      <w:marRight w:val="0"/>
      <w:marTop w:val="0"/>
      <w:marBottom w:val="0"/>
      <w:divBdr>
        <w:top w:val="none" w:sz="0" w:space="0" w:color="auto"/>
        <w:left w:val="none" w:sz="0" w:space="0" w:color="auto"/>
        <w:bottom w:val="none" w:sz="0" w:space="0" w:color="auto"/>
        <w:right w:val="none" w:sz="0" w:space="0" w:color="auto"/>
      </w:divBdr>
    </w:div>
    <w:div w:id="869728277">
      <w:bodyDiv w:val="1"/>
      <w:marLeft w:val="0"/>
      <w:marRight w:val="0"/>
      <w:marTop w:val="0"/>
      <w:marBottom w:val="0"/>
      <w:divBdr>
        <w:top w:val="none" w:sz="0" w:space="0" w:color="auto"/>
        <w:left w:val="none" w:sz="0" w:space="0" w:color="auto"/>
        <w:bottom w:val="none" w:sz="0" w:space="0" w:color="auto"/>
        <w:right w:val="none" w:sz="0" w:space="0" w:color="auto"/>
      </w:divBdr>
    </w:div>
    <w:div w:id="869881285">
      <w:bodyDiv w:val="1"/>
      <w:marLeft w:val="0"/>
      <w:marRight w:val="0"/>
      <w:marTop w:val="0"/>
      <w:marBottom w:val="0"/>
      <w:divBdr>
        <w:top w:val="none" w:sz="0" w:space="0" w:color="auto"/>
        <w:left w:val="none" w:sz="0" w:space="0" w:color="auto"/>
        <w:bottom w:val="none" w:sz="0" w:space="0" w:color="auto"/>
        <w:right w:val="none" w:sz="0" w:space="0" w:color="auto"/>
      </w:divBdr>
    </w:div>
    <w:div w:id="869955433">
      <w:bodyDiv w:val="1"/>
      <w:marLeft w:val="0"/>
      <w:marRight w:val="0"/>
      <w:marTop w:val="0"/>
      <w:marBottom w:val="0"/>
      <w:divBdr>
        <w:top w:val="none" w:sz="0" w:space="0" w:color="auto"/>
        <w:left w:val="none" w:sz="0" w:space="0" w:color="auto"/>
        <w:bottom w:val="none" w:sz="0" w:space="0" w:color="auto"/>
        <w:right w:val="none" w:sz="0" w:space="0" w:color="auto"/>
      </w:divBdr>
    </w:div>
    <w:div w:id="870000879">
      <w:bodyDiv w:val="1"/>
      <w:marLeft w:val="0"/>
      <w:marRight w:val="0"/>
      <w:marTop w:val="0"/>
      <w:marBottom w:val="0"/>
      <w:divBdr>
        <w:top w:val="none" w:sz="0" w:space="0" w:color="auto"/>
        <w:left w:val="none" w:sz="0" w:space="0" w:color="auto"/>
        <w:bottom w:val="none" w:sz="0" w:space="0" w:color="auto"/>
        <w:right w:val="none" w:sz="0" w:space="0" w:color="auto"/>
      </w:divBdr>
    </w:div>
    <w:div w:id="870075384">
      <w:bodyDiv w:val="1"/>
      <w:marLeft w:val="0"/>
      <w:marRight w:val="0"/>
      <w:marTop w:val="0"/>
      <w:marBottom w:val="0"/>
      <w:divBdr>
        <w:top w:val="none" w:sz="0" w:space="0" w:color="auto"/>
        <w:left w:val="none" w:sz="0" w:space="0" w:color="auto"/>
        <w:bottom w:val="none" w:sz="0" w:space="0" w:color="auto"/>
        <w:right w:val="none" w:sz="0" w:space="0" w:color="auto"/>
      </w:divBdr>
    </w:div>
    <w:div w:id="870340857">
      <w:bodyDiv w:val="1"/>
      <w:marLeft w:val="0"/>
      <w:marRight w:val="0"/>
      <w:marTop w:val="0"/>
      <w:marBottom w:val="0"/>
      <w:divBdr>
        <w:top w:val="none" w:sz="0" w:space="0" w:color="auto"/>
        <w:left w:val="none" w:sz="0" w:space="0" w:color="auto"/>
        <w:bottom w:val="none" w:sz="0" w:space="0" w:color="auto"/>
        <w:right w:val="none" w:sz="0" w:space="0" w:color="auto"/>
      </w:divBdr>
    </w:div>
    <w:div w:id="870460165">
      <w:bodyDiv w:val="1"/>
      <w:marLeft w:val="0"/>
      <w:marRight w:val="0"/>
      <w:marTop w:val="0"/>
      <w:marBottom w:val="0"/>
      <w:divBdr>
        <w:top w:val="none" w:sz="0" w:space="0" w:color="auto"/>
        <w:left w:val="none" w:sz="0" w:space="0" w:color="auto"/>
        <w:bottom w:val="none" w:sz="0" w:space="0" w:color="auto"/>
        <w:right w:val="none" w:sz="0" w:space="0" w:color="auto"/>
      </w:divBdr>
    </w:div>
    <w:div w:id="870535007">
      <w:bodyDiv w:val="1"/>
      <w:marLeft w:val="0"/>
      <w:marRight w:val="0"/>
      <w:marTop w:val="0"/>
      <w:marBottom w:val="0"/>
      <w:divBdr>
        <w:top w:val="none" w:sz="0" w:space="0" w:color="auto"/>
        <w:left w:val="none" w:sz="0" w:space="0" w:color="auto"/>
        <w:bottom w:val="none" w:sz="0" w:space="0" w:color="auto"/>
        <w:right w:val="none" w:sz="0" w:space="0" w:color="auto"/>
      </w:divBdr>
    </w:div>
    <w:div w:id="870537076">
      <w:bodyDiv w:val="1"/>
      <w:marLeft w:val="0"/>
      <w:marRight w:val="0"/>
      <w:marTop w:val="0"/>
      <w:marBottom w:val="0"/>
      <w:divBdr>
        <w:top w:val="none" w:sz="0" w:space="0" w:color="auto"/>
        <w:left w:val="none" w:sz="0" w:space="0" w:color="auto"/>
        <w:bottom w:val="none" w:sz="0" w:space="0" w:color="auto"/>
        <w:right w:val="none" w:sz="0" w:space="0" w:color="auto"/>
      </w:divBdr>
    </w:div>
    <w:div w:id="870646953">
      <w:bodyDiv w:val="1"/>
      <w:marLeft w:val="0"/>
      <w:marRight w:val="0"/>
      <w:marTop w:val="0"/>
      <w:marBottom w:val="0"/>
      <w:divBdr>
        <w:top w:val="none" w:sz="0" w:space="0" w:color="auto"/>
        <w:left w:val="none" w:sz="0" w:space="0" w:color="auto"/>
        <w:bottom w:val="none" w:sz="0" w:space="0" w:color="auto"/>
        <w:right w:val="none" w:sz="0" w:space="0" w:color="auto"/>
      </w:divBdr>
    </w:div>
    <w:div w:id="870802712">
      <w:bodyDiv w:val="1"/>
      <w:marLeft w:val="0"/>
      <w:marRight w:val="0"/>
      <w:marTop w:val="0"/>
      <w:marBottom w:val="0"/>
      <w:divBdr>
        <w:top w:val="none" w:sz="0" w:space="0" w:color="auto"/>
        <w:left w:val="none" w:sz="0" w:space="0" w:color="auto"/>
        <w:bottom w:val="none" w:sz="0" w:space="0" w:color="auto"/>
        <w:right w:val="none" w:sz="0" w:space="0" w:color="auto"/>
      </w:divBdr>
    </w:div>
    <w:div w:id="870803226">
      <w:bodyDiv w:val="1"/>
      <w:marLeft w:val="0"/>
      <w:marRight w:val="0"/>
      <w:marTop w:val="0"/>
      <w:marBottom w:val="0"/>
      <w:divBdr>
        <w:top w:val="none" w:sz="0" w:space="0" w:color="auto"/>
        <w:left w:val="none" w:sz="0" w:space="0" w:color="auto"/>
        <w:bottom w:val="none" w:sz="0" w:space="0" w:color="auto"/>
        <w:right w:val="none" w:sz="0" w:space="0" w:color="auto"/>
      </w:divBdr>
    </w:div>
    <w:div w:id="870993905">
      <w:bodyDiv w:val="1"/>
      <w:marLeft w:val="0"/>
      <w:marRight w:val="0"/>
      <w:marTop w:val="0"/>
      <w:marBottom w:val="0"/>
      <w:divBdr>
        <w:top w:val="none" w:sz="0" w:space="0" w:color="auto"/>
        <w:left w:val="none" w:sz="0" w:space="0" w:color="auto"/>
        <w:bottom w:val="none" w:sz="0" w:space="0" w:color="auto"/>
        <w:right w:val="none" w:sz="0" w:space="0" w:color="auto"/>
      </w:divBdr>
    </w:div>
    <w:div w:id="870997441">
      <w:bodyDiv w:val="1"/>
      <w:marLeft w:val="0"/>
      <w:marRight w:val="0"/>
      <w:marTop w:val="0"/>
      <w:marBottom w:val="0"/>
      <w:divBdr>
        <w:top w:val="none" w:sz="0" w:space="0" w:color="auto"/>
        <w:left w:val="none" w:sz="0" w:space="0" w:color="auto"/>
        <w:bottom w:val="none" w:sz="0" w:space="0" w:color="auto"/>
        <w:right w:val="none" w:sz="0" w:space="0" w:color="auto"/>
      </w:divBdr>
    </w:div>
    <w:div w:id="870998345">
      <w:bodyDiv w:val="1"/>
      <w:marLeft w:val="0"/>
      <w:marRight w:val="0"/>
      <w:marTop w:val="0"/>
      <w:marBottom w:val="0"/>
      <w:divBdr>
        <w:top w:val="none" w:sz="0" w:space="0" w:color="auto"/>
        <w:left w:val="none" w:sz="0" w:space="0" w:color="auto"/>
        <w:bottom w:val="none" w:sz="0" w:space="0" w:color="auto"/>
        <w:right w:val="none" w:sz="0" w:space="0" w:color="auto"/>
      </w:divBdr>
    </w:div>
    <w:div w:id="871067501">
      <w:bodyDiv w:val="1"/>
      <w:marLeft w:val="0"/>
      <w:marRight w:val="0"/>
      <w:marTop w:val="0"/>
      <w:marBottom w:val="0"/>
      <w:divBdr>
        <w:top w:val="none" w:sz="0" w:space="0" w:color="auto"/>
        <w:left w:val="none" w:sz="0" w:space="0" w:color="auto"/>
        <w:bottom w:val="none" w:sz="0" w:space="0" w:color="auto"/>
        <w:right w:val="none" w:sz="0" w:space="0" w:color="auto"/>
      </w:divBdr>
    </w:div>
    <w:div w:id="871187408">
      <w:bodyDiv w:val="1"/>
      <w:marLeft w:val="0"/>
      <w:marRight w:val="0"/>
      <w:marTop w:val="0"/>
      <w:marBottom w:val="0"/>
      <w:divBdr>
        <w:top w:val="none" w:sz="0" w:space="0" w:color="auto"/>
        <w:left w:val="none" w:sz="0" w:space="0" w:color="auto"/>
        <w:bottom w:val="none" w:sz="0" w:space="0" w:color="auto"/>
        <w:right w:val="none" w:sz="0" w:space="0" w:color="auto"/>
      </w:divBdr>
    </w:div>
    <w:div w:id="871260462">
      <w:bodyDiv w:val="1"/>
      <w:marLeft w:val="0"/>
      <w:marRight w:val="0"/>
      <w:marTop w:val="0"/>
      <w:marBottom w:val="0"/>
      <w:divBdr>
        <w:top w:val="none" w:sz="0" w:space="0" w:color="auto"/>
        <w:left w:val="none" w:sz="0" w:space="0" w:color="auto"/>
        <w:bottom w:val="none" w:sz="0" w:space="0" w:color="auto"/>
        <w:right w:val="none" w:sz="0" w:space="0" w:color="auto"/>
      </w:divBdr>
    </w:div>
    <w:div w:id="871263960">
      <w:bodyDiv w:val="1"/>
      <w:marLeft w:val="0"/>
      <w:marRight w:val="0"/>
      <w:marTop w:val="0"/>
      <w:marBottom w:val="0"/>
      <w:divBdr>
        <w:top w:val="none" w:sz="0" w:space="0" w:color="auto"/>
        <w:left w:val="none" w:sz="0" w:space="0" w:color="auto"/>
        <w:bottom w:val="none" w:sz="0" w:space="0" w:color="auto"/>
        <w:right w:val="none" w:sz="0" w:space="0" w:color="auto"/>
      </w:divBdr>
    </w:div>
    <w:div w:id="871304466">
      <w:bodyDiv w:val="1"/>
      <w:marLeft w:val="0"/>
      <w:marRight w:val="0"/>
      <w:marTop w:val="0"/>
      <w:marBottom w:val="0"/>
      <w:divBdr>
        <w:top w:val="none" w:sz="0" w:space="0" w:color="auto"/>
        <w:left w:val="none" w:sz="0" w:space="0" w:color="auto"/>
        <w:bottom w:val="none" w:sz="0" w:space="0" w:color="auto"/>
        <w:right w:val="none" w:sz="0" w:space="0" w:color="auto"/>
      </w:divBdr>
    </w:div>
    <w:div w:id="871379469">
      <w:bodyDiv w:val="1"/>
      <w:marLeft w:val="0"/>
      <w:marRight w:val="0"/>
      <w:marTop w:val="0"/>
      <w:marBottom w:val="0"/>
      <w:divBdr>
        <w:top w:val="none" w:sz="0" w:space="0" w:color="auto"/>
        <w:left w:val="none" w:sz="0" w:space="0" w:color="auto"/>
        <w:bottom w:val="none" w:sz="0" w:space="0" w:color="auto"/>
        <w:right w:val="none" w:sz="0" w:space="0" w:color="auto"/>
      </w:divBdr>
    </w:div>
    <w:div w:id="871386495">
      <w:bodyDiv w:val="1"/>
      <w:marLeft w:val="0"/>
      <w:marRight w:val="0"/>
      <w:marTop w:val="0"/>
      <w:marBottom w:val="0"/>
      <w:divBdr>
        <w:top w:val="none" w:sz="0" w:space="0" w:color="auto"/>
        <w:left w:val="none" w:sz="0" w:space="0" w:color="auto"/>
        <w:bottom w:val="none" w:sz="0" w:space="0" w:color="auto"/>
        <w:right w:val="none" w:sz="0" w:space="0" w:color="auto"/>
      </w:divBdr>
    </w:div>
    <w:div w:id="871503418">
      <w:bodyDiv w:val="1"/>
      <w:marLeft w:val="0"/>
      <w:marRight w:val="0"/>
      <w:marTop w:val="0"/>
      <w:marBottom w:val="0"/>
      <w:divBdr>
        <w:top w:val="none" w:sz="0" w:space="0" w:color="auto"/>
        <w:left w:val="none" w:sz="0" w:space="0" w:color="auto"/>
        <w:bottom w:val="none" w:sz="0" w:space="0" w:color="auto"/>
        <w:right w:val="none" w:sz="0" w:space="0" w:color="auto"/>
      </w:divBdr>
    </w:div>
    <w:div w:id="871503550">
      <w:bodyDiv w:val="1"/>
      <w:marLeft w:val="0"/>
      <w:marRight w:val="0"/>
      <w:marTop w:val="0"/>
      <w:marBottom w:val="0"/>
      <w:divBdr>
        <w:top w:val="none" w:sz="0" w:space="0" w:color="auto"/>
        <w:left w:val="none" w:sz="0" w:space="0" w:color="auto"/>
        <w:bottom w:val="none" w:sz="0" w:space="0" w:color="auto"/>
        <w:right w:val="none" w:sz="0" w:space="0" w:color="auto"/>
      </w:divBdr>
    </w:div>
    <w:div w:id="871527828">
      <w:bodyDiv w:val="1"/>
      <w:marLeft w:val="0"/>
      <w:marRight w:val="0"/>
      <w:marTop w:val="0"/>
      <w:marBottom w:val="0"/>
      <w:divBdr>
        <w:top w:val="none" w:sz="0" w:space="0" w:color="auto"/>
        <w:left w:val="none" w:sz="0" w:space="0" w:color="auto"/>
        <w:bottom w:val="none" w:sz="0" w:space="0" w:color="auto"/>
        <w:right w:val="none" w:sz="0" w:space="0" w:color="auto"/>
      </w:divBdr>
    </w:div>
    <w:div w:id="871570679">
      <w:bodyDiv w:val="1"/>
      <w:marLeft w:val="0"/>
      <w:marRight w:val="0"/>
      <w:marTop w:val="0"/>
      <w:marBottom w:val="0"/>
      <w:divBdr>
        <w:top w:val="none" w:sz="0" w:space="0" w:color="auto"/>
        <w:left w:val="none" w:sz="0" w:space="0" w:color="auto"/>
        <w:bottom w:val="none" w:sz="0" w:space="0" w:color="auto"/>
        <w:right w:val="none" w:sz="0" w:space="0" w:color="auto"/>
      </w:divBdr>
    </w:div>
    <w:div w:id="871573094">
      <w:bodyDiv w:val="1"/>
      <w:marLeft w:val="0"/>
      <w:marRight w:val="0"/>
      <w:marTop w:val="0"/>
      <w:marBottom w:val="0"/>
      <w:divBdr>
        <w:top w:val="none" w:sz="0" w:space="0" w:color="auto"/>
        <w:left w:val="none" w:sz="0" w:space="0" w:color="auto"/>
        <w:bottom w:val="none" w:sz="0" w:space="0" w:color="auto"/>
        <w:right w:val="none" w:sz="0" w:space="0" w:color="auto"/>
      </w:divBdr>
    </w:div>
    <w:div w:id="871579624">
      <w:bodyDiv w:val="1"/>
      <w:marLeft w:val="0"/>
      <w:marRight w:val="0"/>
      <w:marTop w:val="0"/>
      <w:marBottom w:val="0"/>
      <w:divBdr>
        <w:top w:val="none" w:sz="0" w:space="0" w:color="auto"/>
        <w:left w:val="none" w:sz="0" w:space="0" w:color="auto"/>
        <w:bottom w:val="none" w:sz="0" w:space="0" w:color="auto"/>
        <w:right w:val="none" w:sz="0" w:space="0" w:color="auto"/>
      </w:divBdr>
    </w:div>
    <w:div w:id="871650421">
      <w:bodyDiv w:val="1"/>
      <w:marLeft w:val="0"/>
      <w:marRight w:val="0"/>
      <w:marTop w:val="0"/>
      <w:marBottom w:val="0"/>
      <w:divBdr>
        <w:top w:val="none" w:sz="0" w:space="0" w:color="auto"/>
        <w:left w:val="none" w:sz="0" w:space="0" w:color="auto"/>
        <w:bottom w:val="none" w:sz="0" w:space="0" w:color="auto"/>
        <w:right w:val="none" w:sz="0" w:space="0" w:color="auto"/>
      </w:divBdr>
    </w:div>
    <w:div w:id="871652535">
      <w:bodyDiv w:val="1"/>
      <w:marLeft w:val="0"/>
      <w:marRight w:val="0"/>
      <w:marTop w:val="0"/>
      <w:marBottom w:val="0"/>
      <w:divBdr>
        <w:top w:val="none" w:sz="0" w:space="0" w:color="auto"/>
        <w:left w:val="none" w:sz="0" w:space="0" w:color="auto"/>
        <w:bottom w:val="none" w:sz="0" w:space="0" w:color="auto"/>
        <w:right w:val="none" w:sz="0" w:space="0" w:color="auto"/>
      </w:divBdr>
    </w:div>
    <w:div w:id="871696863">
      <w:bodyDiv w:val="1"/>
      <w:marLeft w:val="0"/>
      <w:marRight w:val="0"/>
      <w:marTop w:val="0"/>
      <w:marBottom w:val="0"/>
      <w:divBdr>
        <w:top w:val="none" w:sz="0" w:space="0" w:color="auto"/>
        <w:left w:val="none" w:sz="0" w:space="0" w:color="auto"/>
        <w:bottom w:val="none" w:sz="0" w:space="0" w:color="auto"/>
        <w:right w:val="none" w:sz="0" w:space="0" w:color="auto"/>
      </w:divBdr>
    </w:div>
    <w:div w:id="871914451">
      <w:bodyDiv w:val="1"/>
      <w:marLeft w:val="0"/>
      <w:marRight w:val="0"/>
      <w:marTop w:val="0"/>
      <w:marBottom w:val="0"/>
      <w:divBdr>
        <w:top w:val="none" w:sz="0" w:space="0" w:color="auto"/>
        <w:left w:val="none" w:sz="0" w:space="0" w:color="auto"/>
        <w:bottom w:val="none" w:sz="0" w:space="0" w:color="auto"/>
        <w:right w:val="none" w:sz="0" w:space="0" w:color="auto"/>
      </w:divBdr>
    </w:div>
    <w:div w:id="871916379">
      <w:bodyDiv w:val="1"/>
      <w:marLeft w:val="0"/>
      <w:marRight w:val="0"/>
      <w:marTop w:val="0"/>
      <w:marBottom w:val="0"/>
      <w:divBdr>
        <w:top w:val="none" w:sz="0" w:space="0" w:color="auto"/>
        <w:left w:val="none" w:sz="0" w:space="0" w:color="auto"/>
        <w:bottom w:val="none" w:sz="0" w:space="0" w:color="auto"/>
        <w:right w:val="none" w:sz="0" w:space="0" w:color="auto"/>
      </w:divBdr>
    </w:div>
    <w:div w:id="871919054">
      <w:bodyDiv w:val="1"/>
      <w:marLeft w:val="0"/>
      <w:marRight w:val="0"/>
      <w:marTop w:val="0"/>
      <w:marBottom w:val="0"/>
      <w:divBdr>
        <w:top w:val="none" w:sz="0" w:space="0" w:color="auto"/>
        <w:left w:val="none" w:sz="0" w:space="0" w:color="auto"/>
        <w:bottom w:val="none" w:sz="0" w:space="0" w:color="auto"/>
        <w:right w:val="none" w:sz="0" w:space="0" w:color="auto"/>
      </w:divBdr>
    </w:div>
    <w:div w:id="871959839">
      <w:bodyDiv w:val="1"/>
      <w:marLeft w:val="0"/>
      <w:marRight w:val="0"/>
      <w:marTop w:val="0"/>
      <w:marBottom w:val="0"/>
      <w:divBdr>
        <w:top w:val="none" w:sz="0" w:space="0" w:color="auto"/>
        <w:left w:val="none" w:sz="0" w:space="0" w:color="auto"/>
        <w:bottom w:val="none" w:sz="0" w:space="0" w:color="auto"/>
        <w:right w:val="none" w:sz="0" w:space="0" w:color="auto"/>
      </w:divBdr>
    </w:div>
    <w:div w:id="872041186">
      <w:bodyDiv w:val="1"/>
      <w:marLeft w:val="0"/>
      <w:marRight w:val="0"/>
      <w:marTop w:val="0"/>
      <w:marBottom w:val="0"/>
      <w:divBdr>
        <w:top w:val="none" w:sz="0" w:space="0" w:color="auto"/>
        <w:left w:val="none" w:sz="0" w:space="0" w:color="auto"/>
        <w:bottom w:val="none" w:sz="0" w:space="0" w:color="auto"/>
        <w:right w:val="none" w:sz="0" w:space="0" w:color="auto"/>
      </w:divBdr>
    </w:div>
    <w:div w:id="872228933">
      <w:bodyDiv w:val="1"/>
      <w:marLeft w:val="0"/>
      <w:marRight w:val="0"/>
      <w:marTop w:val="0"/>
      <w:marBottom w:val="0"/>
      <w:divBdr>
        <w:top w:val="none" w:sz="0" w:space="0" w:color="auto"/>
        <w:left w:val="none" w:sz="0" w:space="0" w:color="auto"/>
        <w:bottom w:val="none" w:sz="0" w:space="0" w:color="auto"/>
        <w:right w:val="none" w:sz="0" w:space="0" w:color="auto"/>
      </w:divBdr>
    </w:div>
    <w:div w:id="872301168">
      <w:bodyDiv w:val="1"/>
      <w:marLeft w:val="0"/>
      <w:marRight w:val="0"/>
      <w:marTop w:val="0"/>
      <w:marBottom w:val="0"/>
      <w:divBdr>
        <w:top w:val="none" w:sz="0" w:space="0" w:color="auto"/>
        <w:left w:val="none" w:sz="0" w:space="0" w:color="auto"/>
        <w:bottom w:val="none" w:sz="0" w:space="0" w:color="auto"/>
        <w:right w:val="none" w:sz="0" w:space="0" w:color="auto"/>
      </w:divBdr>
    </w:div>
    <w:div w:id="872306423">
      <w:bodyDiv w:val="1"/>
      <w:marLeft w:val="0"/>
      <w:marRight w:val="0"/>
      <w:marTop w:val="0"/>
      <w:marBottom w:val="0"/>
      <w:divBdr>
        <w:top w:val="none" w:sz="0" w:space="0" w:color="auto"/>
        <w:left w:val="none" w:sz="0" w:space="0" w:color="auto"/>
        <w:bottom w:val="none" w:sz="0" w:space="0" w:color="auto"/>
        <w:right w:val="none" w:sz="0" w:space="0" w:color="auto"/>
      </w:divBdr>
    </w:div>
    <w:div w:id="872377558">
      <w:bodyDiv w:val="1"/>
      <w:marLeft w:val="0"/>
      <w:marRight w:val="0"/>
      <w:marTop w:val="0"/>
      <w:marBottom w:val="0"/>
      <w:divBdr>
        <w:top w:val="none" w:sz="0" w:space="0" w:color="auto"/>
        <w:left w:val="none" w:sz="0" w:space="0" w:color="auto"/>
        <w:bottom w:val="none" w:sz="0" w:space="0" w:color="auto"/>
        <w:right w:val="none" w:sz="0" w:space="0" w:color="auto"/>
      </w:divBdr>
    </w:div>
    <w:div w:id="872378677">
      <w:bodyDiv w:val="1"/>
      <w:marLeft w:val="0"/>
      <w:marRight w:val="0"/>
      <w:marTop w:val="0"/>
      <w:marBottom w:val="0"/>
      <w:divBdr>
        <w:top w:val="none" w:sz="0" w:space="0" w:color="auto"/>
        <w:left w:val="none" w:sz="0" w:space="0" w:color="auto"/>
        <w:bottom w:val="none" w:sz="0" w:space="0" w:color="auto"/>
        <w:right w:val="none" w:sz="0" w:space="0" w:color="auto"/>
      </w:divBdr>
    </w:div>
    <w:div w:id="872419017">
      <w:bodyDiv w:val="1"/>
      <w:marLeft w:val="0"/>
      <w:marRight w:val="0"/>
      <w:marTop w:val="0"/>
      <w:marBottom w:val="0"/>
      <w:divBdr>
        <w:top w:val="none" w:sz="0" w:space="0" w:color="auto"/>
        <w:left w:val="none" w:sz="0" w:space="0" w:color="auto"/>
        <w:bottom w:val="none" w:sz="0" w:space="0" w:color="auto"/>
        <w:right w:val="none" w:sz="0" w:space="0" w:color="auto"/>
      </w:divBdr>
    </w:div>
    <w:div w:id="872419020">
      <w:bodyDiv w:val="1"/>
      <w:marLeft w:val="0"/>
      <w:marRight w:val="0"/>
      <w:marTop w:val="0"/>
      <w:marBottom w:val="0"/>
      <w:divBdr>
        <w:top w:val="none" w:sz="0" w:space="0" w:color="auto"/>
        <w:left w:val="none" w:sz="0" w:space="0" w:color="auto"/>
        <w:bottom w:val="none" w:sz="0" w:space="0" w:color="auto"/>
        <w:right w:val="none" w:sz="0" w:space="0" w:color="auto"/>
      </w:divBdr>
    </w:div>
    <w:div w:id="872427628">
      <w:bodyDiv w:val="1"/>
      <w:marLeft w:val="0"/>
      <w:marRight w:val="0"/>
      <w:marTop w:val="0"/>
      <w:marBottom w:val="0"/>
      <w:divBdr>
        <w:top w:val="none" w:sz="0" w:space="0" w:color="auto"/>
        <w:left w:val="none" w:sz="0" w:space="0" w:color="auto"/>
        <w:bottom w:val="none" w:sz="0" w:space="0" w:color="auto"/>
        <w:right w:val="none" w:sz="0" w:space="0" w:color="auto"/>
      </w:divBdr>
    </w:div>
    <w:div w:id="872694258">
      <w:bodyDiv w:val="1"/>
      <w:marLeft w:val="0"/>
      <w:marRight w:val="0"/>
      <w:marTop w:val="0"/>
      <w:marBottom w:val="0"/>
      <w:divBdr>
        <w:top w:val="none" w:sz="0" w:space="0" w:color="auto"/>
        <w:left w:val="none" w:sz="0" w:space="0" w:color="auto"/>
        <w:bottom w:val="none" w:sz="0" w:space="0" w:color="auto"/>
        <w:right w:val="none" w:sz="0" w:space="0" w:color="auto"/>
      </w:divBdr>
    </w:div>
    <w:div w:id="872808706">
      <w:bodyDiv w:val="1"/>
      <w:marLeft w:val="0"/>
      <w:marRight w:val="0"/>
      <w:marTop w:val="0"/>
      <w:marBottom w:val="0"/>
      <w:divBdr>
        <w:top w:val="none" w:sz="0" w:space="0" w:color="auto"/>
        <w:left w:val="none" w:sz="0" w:space="0" w:color="auto"/>
        <w:bottom w:val="none" w:sz="0" w:space="0" w:color="auto"/>
        <w:right w:val="none" w:sz="0" w:space="0" w:color="auto"/>
      </w:divBdr>
    </w:div>
    <w:div w:id="872811132">
      <w:bodyDiv w:val="1"/>
      <w:marLeft w:val="0"/>
      <w:marRight w:val="0"/>
      <w:marTop w:val="0"/>
      <w:marBottom w:val="0"/>
      <w:divBdr>
        <w:top w:val="none" w:sz="0" w:space="0" w:color="auto"/>
        <w:left w:val="none" w:sz="0" w:space="0" w:color="auto"/>
        <w:bottom w:val="none" w:sz="0" w:space="0" w:color="auto"/>
        <w:right w:val="none" w:sz="0" w:space="0" w:color="auto"/>
      </w:divBdr>
    </w:div>
    <w:div w:id="872957683">
      <w:bodyDiv w:val="1"/>
      <w:marLeft w:val="0"/>
      <w:marRight w:val="0"/>
      <w:marTop w:val="0"/>
      <w:marBottom w:val="0"/>
      <w:divBdr>
        <w:top w:val="none" w:sz="0" w:space="0" w:color="auto"/>
        <w:left w:val="none" w:sz="0" w:space="0" w:color="auto"/>
        <w:bottom w:val="none" w:sz="0" w:space="0" w:color="auto"/>
        <w:right w:val="none" w:sz="0" w:space="0" w:color="auto"/>
      </w:divBdr>
    </w:div>
    <w:div w:id="873008477">
      <w:bodyDiv w:val="1"/>
      <w:marLeft w:val="0"/>
      <w:marRight w:val="0"/>
      <w:marTop w:val="0"/>
      <w:marBottom w:val="0"/>
      <w:divBdr>
        <w:top w:val="none" w:sz="0" w:space="0" w:color="auto"/>
        <w:left w:val="none" w:sz="0" w:space="0" w:color="auto"/>
        <w:bottom w:val="none" w:sz="0" w:space="0" w:color="auto"/>
        <w:right w:val="none" w:sz="0" w:space="0" w:color="auto"/>
      </w:divBdr>
    </w:div>
    <w:div w:id="873008554">
      <w:bodyDiv w:val="1"/>
      <w:marLeft w:val="0"/>
      <w:marRight w:val="0"/>
      <w:marTop w:val="0"/>
      <w:marBottom w:val="0"/>
      <w:divBdr>
        <w:top w:val="none" w:sz="0" w:space="0" w:color="auto"/>
        <w:left w:val="none" w:sz="0" w:space="0" w:color="auto"/>
        <w:bottom w:val="none" w:sz="0" w:space="0" w:color="auto"/>
        <w:right w:val="none" w:sz="0" w:space="0" w:color="auto"/>
      </w:divBdr>
    </w:div>
    <w:div w:id="873077388">
      <w:bodyDiv w:val="1"/>
      <w:marLeft w:val="0"/>
      <w:marRight w:val="0"/>
      <w:marTop w:val="0"/>
      <w:marBottom w:val="0"/>
      <w:divBdr>
        <w:top w:val="none" w:sz="0" w:space="0" w:color="auto"/>
        <w:left w:val="none" w:sz="0" w:space="0" w:color="auto"/>
        <w:bottom w:val="none" w:sz="0" w:space="0" w:color="auto"/>
        <w:right w:val="none" w:sz="0" w:space="0" w:color="auto"/>
      </w:divBdr>
    </w:div>
    <w:div w:id="873231526">
      <w:bodyDiv w:val="1"/>
      <w:marLeft w:val="0"/>
      <w:marRight w:val="0"/>
      <w:marTop w:val="0"/>
      <w:marBottom w:val="0"/>
      <w:divBdr>
        <w:top w:val="none" w:sz="0" w:space="0" w:color="auto"/>
        <w:left w:val="none" w:sz="0" w:space="0" w:color="auto"/>
        <w:bottom w:val="none" w:sz="0" w:space="0" w:color="auto"/>
        <w:right w:val="none" w:sz="0" w:space="0" w:color="auto"/>
      </w:divBdr>
    </w:div>
    <w:div w:id="873273076">
      <w:bodyDiv w:val="1"/>
      <w:marLeft w:val="0"/>
      <w:marRight w:val="0"/>
      <w:marTop w:val="0"/>
      <w:marBottom w:val="0"/>
      <w:divBdr>
        <w:top w:val="none" w:sz="0" w:space="0" w:color="auto"/>
        <w:left w:val="none" w:sz="0" w:space="0" w:color="auto"/>
        <w:bottom w:val="none" w:sz="0" w:space="0" w:color="auto"/>
        <w:right w:val="none" w:sz="0" w:space="0" w:color="auto"/>
      </w:divBdr>
    </w:div>
    <w:div w:id="873349694">
      <w:bodyDiv w:val="1"/>
      <w:marLeft w:val="0"/>
      <w:marRight w:val="0"/>
      <w:marTop w:val="0"/>
      <w:marBottom w:val="0"/>
      <w:divBdr>
        <w:top w:val="none" w:sz="0" w:space="0" w:color="auto"/>
        <w:left w:val="none" w:sz="0" w:space="0" w:color="auto"/>
        <w:bottom w:val="none" w:sz="0" w:space="0" w:color="auto"/>
        <w:right w:val="none" w:sz="0" w:space="0" w:color="auto"/>
      </w:divBdr>
    </w:div>
    <w:div w:id="873422192">
      <w:bodyDiv w:val="1"/>
      <w:marLeft w:val="0"/>
      <w:marRight w:val="0"/>
      <w:marTop w:val="0"/>
      <w:marBottom w:val="0"/>
      <w:divBdr>
        <w:top w:val="none" w:sz="0" w:space="0" w:color="auto"/>
        <w:left w:val="none" w:sz="0" w:space="0" w:color="auto"/>
        <w:bottom w:val="none" w:sz="0" w:space="0" w:color="auto"/>
        <w:right w:val="none" w:sz="0" w:space="0" w:color="auto"/>
      </w:divBdr>
    </w:div>
    <w:div w:id="873426811">
      <w:bodyDiv w:val="1"/>
      <w:marLeft w:val="0"/>
      <w:marRight w:val="0"/>
      <w:marTop w:val="0"/>
      <w:marBottom w:val="0"/>
      <w:divBdr>
        <w:top w:val="none" w:sz="0" w:space="0" w:color="auto"/>
        <w:left w:val="none" w:sz="0" w:space="0" w:color="auto"/>
        <w:bottom w:val="none" w:sz="0" w:space="0" w:color="auto"/>
        <w:right w:val="none" w:sz="0" w:space="0" w:color="auto"/>
      </w:divBdr>
    </w:div>
    <w:div w:id="873616459">
      <w:bodyDiv w:val="1"/>
      <w:marLeft w:val="0"/>
      <w:marRight w:val="0"/>
      <w:marTop w:val="0"/>
      <w:marBottom w:val="0"/>
      <w:divBdr>
        <w:top w:val="none" w:sz="0" w:space="0" w:color="auto"/>
        <w:left w:val="none" w:sz="0" w:space="0" w:color="auto"/>
        <w:bottom w:val="none" w:sz="0" w:space="0" w:color="auto"/>
        <w:right w:val="none" w:sz="0" w:space="0" w:color="auto"/>
      </w:divBdr>
    </w:div>
    <w:div w:id="873619999">
      <w:bodyDiv w:val="1"/>
      <w:marLeft w:val="0"/>
      <w:marRight w:val="0"/>
      <w:marTop w:val="0"/>
      <w:marBottom w:val="0"/>
      <w:divBdr>
        <w:top w:val="none" w:sz="0" w:space="0" w:color="auto"/>
        <w:left w:val="none" w:sz="0" w:space="0" w:color="auto"/>
        <w:bottom w:val="none" w:sz="0" w:space="0" w:color="auto"/>
        <w:right w:val="none" w:sz="0" w:space="0" w:color="auto"/>
      </w:divBdr>
    </w:div>
    <w:div w:id="873888020">
      <w:bodyDiv w:val="1"/>
      <w:marLeft w:val="0"/>
      <w:marRight w:val="0"/>
      <w:marTop w:val="0"/>
      <w:marBottom w:val="0"/>
      <w:divBdr>
        <w:top w:val="none" w:sz="0" w:space="0" w:color="auto"/>
        <w:left w:val="none" w:sz="0" w:space="0" w:color="auto"/>
        <w:bottom w:val="none" w:sz="0" w:space="0" w:color="auto"/>
        <w:right w:val="none" w:sz="0" w:space="0" w:color="auto"/>
      </w:divBdr>
    </w:div>
    <w:div w:id="873888324">
      <w:bodyDiv w:val="1"/>
      <w:marLeft w:val="0"/>
      <w:marRight w:val="0"/>
      <w:marTop w:val="0"/>
      <w:marBottom w:val="0"/>
      <w:divBdr>
        <w:top w:val="none" w:sz="0" w:space="0" w:color="auto"/>
        <w:left w:val="none" w:sz="0" w:space="0" w:color="auto"/>
        <w:bottom w:val="none" w:sz="0" w:space="0" w:color="auto"/>
        <w:right w:val="none" w:sz="0" w:space="0" w:color="auto"/>
      </w:divBdr>
    </w:div>
    <w:div w:id="873925312">
      <w:bodyDiv w:val="1"/>
      <w:marLeft w:val="0"/>
      <w:marRight w:val="0"/>
      <w:marTop w:val="0"/>
      <w:marBottom w:val="0"/>
      <w:divBdr>
        <w:top w:val="none" w:sz="0" w:space="0" w:color="auto"/>
        <w:left w:val="none" w:sz="0" w:space="0" w:color="auto"/>
        <w:bottom w:val="none" w:sz="0" w:space="0" w:color="auto"/>
        <w:right w:val="none" w:sz="0" w:space="0" w:color="auto"/>
      </w:divBdr>
    </w:div>
    <w:div w:id="873928465">
      <w:bodyDiv w:val="1"/>
      <w:marLeft w:val="0"/>
      <w:marRight w:val="0"/>
      <w:marTop w:val="0"/>
      <w:marBottom w:val="0"/>
      <w:divBdr>
        <w:top w:val="none" w:sz="0" w:space="0" w:color="auto"/>
        <w:left w:val="none" w:sz="0" w:space="0" w:color="auto"/>
        <w:bottom w:val="none" w:sz="0" w:space="0" w:color="auto"/>
        <w:right w:val="none" w:sz="0" w:space="0" w:color="auto"/>
      </w:divBdr>
    </w:div>
    <w:div w:id="874007208">
      <w:bodyDiv w:val="1"/>
      <w:marLeft w:val="0"/>
      <w:marRight w:val="0"/>
      <w:marTop w:val="0"/>
      <w:marBottom w:val="0"/>
      <w:divBdr>
        <w:top w:val="none" w:sz="0" w:space="0" w:color="auto"/>
        <w:left w:val="none" w:sz="0" w:space="0" w:color="auto"/>
        <w:bottom w:val="none" w:sz="0" w:space="0" w:color="auto"/>
        <w:right w:val="none" w:sz="0" w:space="0" w:color="auto"/>
      </w:divBdr>
    </w:div>
    <w:div w:id="874082408">
      <w:bodyDiv w:val="1"/>
      <w:marLeft w:val="0"/>
      <w:marRight w:val="0"/>
      <w:marTop w:val="0"/>
      <w:marBottom w:val="0"/>
      <w:divBdr>
        <w:top w:val="none" w:sz="0" w:space="0" w:color="auto"/>
        <w:left w:val="none" w:sz="0" w:space="0" w:color="auto"/>
        <w:bottom w:val="none" w:sz="0" w:space="0" w:color="auto"/>
        <w:right w:val="none" w:sz="0" w:space="0" w:color="auto"/>
      </w:divBdr>
    </w:div>
    <w:div w:id="874271447">
      <w:bodyDiv w:val="1"/>
      <w:marLeft w:val="0"/>
      <w:marRight w:val="0"/>
      <w:marTop w:val="0"/>
      <w:marBottom w:val="0"/>
      <w:divBdr>
        <w:top w:val="none" w:sz="0" w:space="0" w:color="auto"/>
        <w:left w:val="none" w:sz="0" w:space="0" w:color="auto"/>
        <w:bottom w:val="none" w:sz="0" w:space="0" w:color="auto"/>
        <w:right w:val="none" w:sz="0" w:space="0" w:color="auto"/>
      </w:divBdr>
    </w:div>
    <w:div w:id="874276004">
      <w:bodyDiv w:val="1"/>
      <w:marLeft w:val="0"/>
      <w:marRight w:val="0"/>
      <w:marTop w:val="0"/>
      <w:marBottom w:val="0"/>
      <w:divBdr>
        <w:top w:val="none" w:sz="0" w:space="0" w:color="auto"/>
        <w:left w:val="none" w:sz="0" w:space="0" w:color="auto"/>
        <w:bottom w:val="none" w:sz="0" w:space="0" w:color="auto"/>
        <w:right w:val="none" w:sz="0" w:space="0" w:color="auto"/>
      </w:divBdr>
    </w:div>
    <w:div w:id="874318281">
      <w:bodyDiv w:val="1"/>
      <w:marLeft w:val="0"/>
      <w:marRight w:val="0"/>
      <w:marTop w:val="0"/>
      <w:marBottom w:val="0"/>
      <w:divBdr>
        <w:top w:val="none" w:sz="0" w:space="0" w:color="auto"/>
        <w:left w:val="none" w:sz="0" w:space="0" w:color="auto"/>
        <w:bottom w:val="none" w:sz="0" w:space="0" w:color="auto"/>
        <w:right w:val="none" w:sz="0" w:space="0" w:color="auto"/>
      </w:divBdr>
    </w:div>
    <w:div w:id="874461499">
      <w:bodyDiv w:val="1"/>
      <w:marLeft w:val="0"/>
      <w:marRight w:val="0"/>
      <w:marTop w:val="0"/>
      <w:marBottom w:val="0"/>
      <w:divBdr>
        <w:top w:val="none" w:sz="0" w:space="0" w:color="auto"/>
        <w:left w:val="none" w:sz="0" w:space="0" w:color="auto"/>
        <w:bottom w:val="none" w:sz="0" w:space="0" w:color="auto"/>
        <w:right w:val="none" w:sz="0" w:space="0" w:color="auto"/>
      </w:divBdr>
    </w:div>
    <w:div w:id="874538194">
      <w:bodyDiv w:val="1"/>
      <w:marLeft w:val="0"/>
      <w:marRight w:val="0"/>
      <w:marTop w:val="0"/>
      <w:marBottom w:val="0"/>
      <w:divBdr>
        <w:top w:val="none" w:sz="0" w:space="0" w:color="auto"/>
        <w:left w:val="none" w:sz="0" w:space="0" w:color="auto"/>
        <w:bottom w:val="none" w:sz="0" w:space="0" w:color="auto"/>
        <w:right w:val="none" w:sz="0" w:space="0" w:color="auto"/>
      </w:divBdr>
    </w:div>
    <w:div w:id="874539546">
      <w:bodyDiv w:val="1"/>
      <w:marLeft w:val="0"/>
      <w:marRight w:val="0"/>
      <w:marTop w:val="0"/>
      <w:marBottom w:val="0"/>
      <w:divBdr>
        <w:top w:val="none" w:sz="0" w:space="0" w:color="auto"/>
        <w:left w:val="none" w:sz="0" w:space="0" w:color="auto"/>
        <w:bottom w:val="none" w:sz="0" w:space="0" w:color="auto"/>
        <w:right w:val="none" w:sz="0" w:space="0" w:color="auto"/>
      </w:divBdr>
    </w:div>
    <w:div w:id="875000190">
      <w:bodyDiv w:val="1"/>
      <w:marLeft w:val="0"/>
      <w:marRight w:val="0"/>
      <w:marTop w:val="0"/>
      <w:marBottom w:val="0"/>
      <w:divBdr>
        <w:top w:val="none" w:sz="0" w:space="0" w:color="auto"/>
        <w:left w:val="none" w:sz="0" w:space="0" w:color="auto"/>
        <w:bottom w:val="none" w:sz="0" w:space="0" w:color="auto"/>
        <w:right w:val="none" w:sz="0" w:space="0" w:color="auto"/>
      </w:divBdr>
    </w:div>
    <w:div w:id="875197798">
      <w:bodyDiv w:val="1"/>
      <w:marLeft w:val="0"/>
      <w:marRight w:val="0"/>
      <w:marTop w:val="0"/>
      <w:marBottom w:val="0"/>
      <w:divBdr>
        <w:top w:val="none" w:sz="0" w:space="0" w:color="auto"/>
        <w:left w:val="none" w:sz="0" w:space="0" w:color="auto"/>
        <w:bottom w:val="none" w:sz="0" w:space="0" w:color="auto"/>
        <w:right w:val="none" w:sz="0" w:space="0" w:color="auto"/>
      </w:divBdr>
    </w:div>
    <w:div w:id="875316348">
      <w:bodyDiv w:val="1"/>
      <w:marLeft w:val="0"/>
      <w:marRight w:val="0"/>
      <w:marTop w:val="0"/>
      <w:marBottom w:val="0"/>
      <w:divBdr>
        <w:top w:val="none" w:sz="0" w:space="0" w:color="auto"/>
        <w:left w:val="none" w:sz="0" w:space="0" w:color="auto"/>
        <w:bottom w:val="none" w:sz="0" w:space="0" w:color="auto"/>
        <w:right w:val="none" w:sz="0" w:space="0" w:color="auto"/>
      </w:divBdr>
    </w:div>
    <w:div w:id="875432911">
      <w:bodyDiv w:val="1"/>
      <w:marLeft w:val="0"/>
      <w:marRight w:val="0"/>
      <w:marTop w:val="0"/>
      <w:marBottom w:val="0"/>
      <w:divBdr>
        <w:top w:val="none" w:sz="0" w:space="0" w:color="auto"/>
        <w:left w:val="none" w:sz="0" w:space="0" w:color="auto"/>
        <w:bottom w:val="none" w:sz="0" w:space="0" w:color="auto"/>
        <w:right w:val="none" w:sz="0" w:space="0" w:color="auto"/>
      </w:divBdr>
    </w:div>
    <w:div w:id="875435744">
      <w:bodyDiv w:val="1"/>
      <w:marLeft w:val="0"/>
      <w:marRight w:val="0"/>
      <w:marTop w:val="0"/>
      <w:marBottom w:val="0"/>
      <w:divBdr>
        <w:top w:val="none" w:sz="0" w:space="0" w:color="auto"/>
        <w:left w:val="none" w:sz="0" w:space="0" w:color="auto"/>
        <w:bottom w:val="none" w:sz="0" w:space="0" w:color="auto"/>
        <w:right w:val="none" w:sz="0" w:space="0" w:color="auto"/>
      </w:divBdr>
    </w:div>
    <w:div w:id="875585674">
      <w:bodyDiv w:val="1"/>
      <w:marLeft w:val="0"/>
      <w:marRight w:val="0"/>
      <w:marTop w:val="0"/>
      <w:marBottom w:val="0"/>
      <w:divBdr>
        <w:top w:val="none" w:sz="0" w:space="0" w:color="auto"/>
        <w:left w:val="none" w:sz="0" w:space="0" w:color="auto"/>
        <w:bottom w:val="none" w:sz="0" w:space="0" w:color="auto"/>
        <w:right w:val="none" w:sz="0" w:space="0" w:color="auto"/>
      </w:divBdr>
    </w:div>
    <w:div w:id="875698198">
      <w:bodyDiv w:val="1"/>
      <w:marLeft w:val="0"/>
      <w:marRight w:val="0"/>
      <w:marTop w:val="0"/>
      <w:marBottom w:val="0"/>
      <w:divBdr>
        <w:top w:val="none" w:sz="0" w:space="0" w:color="auto"/>
        <w:left w:val="none" w:sz="0" w:space="0" w:color="auto"/>
        <w:bottom w:val="none" w:sz="0" w:space="0" w:color="auto"/>
        <w:right w:val="none" w:sz="0" w:space="0" w:color="auto"/>
      </w:divBdr>
    </w:div>
    <w:div w:id="875849401">
      <w:bodyDiv w:val="1"/>
      <w:marLeft w:val="0"/>
      <w:marRight w:val="0"/>
      <w:marTop w:val="0"/>
      <w:marBottom w:val="0"/>
      <w:divBdr>
        <w:top w:val="none" w:sz="0" w:space="0" w:color="auto"/>
        <w:left w:val="none" w:sz="0" w:space="0" w:color="auto"/>
        <w:bottom w:val="none" w:sz="0" w:space="0" w:color="auto"/>
        <w:right w:val="none" w:sz="0" w:space="0" w:color="auto"/>
      </w:divBdr>
    </w:div>
    <w:div w:id="875852229">
      <w:bodyDiv w:val="1"/>
      <w:marLeft w:val="0"/>
      <w:marRight w:val="0"/>
      <w:marTop w:val="0"/>
      <w:marBottom w:val="0"/>
      <w:divBdr>
        <w:top w:val="none" w:sz="0" w:space="0" w:color="auto"/>
        <w:left w:val="none" w:sz="0" w:space="0" w:color="auto"/>
        <w:bottom w:val="none" w:sz="0" w:space="0" w:color="auto"/>
        <w:right w:val="none" w:sz="0" w:space="0" w:color="auto"/>
      </w:divBdr>
    </w:div>
    <w:div w:id="875896101">
      <w:bodyDiv w:val="1"/>
      <w:marLeft w:val="0"/>
      <w:marRight w:val="0"/>
      <w:marTop w:val="0"/>
      <w:marBottom w:val="0"/>
      <w:divBdr>
        <w:top w:val="none" w:sz="0" w:space="0" w:color="auto"/>
        <w:left w:val="none" w:sz="0" w:space="0" w:color="auto"/>
        <w:bottom w:val="none" w:sz="0" w:space="0" w:color="auto"/>
        <w:right w:val="none" w:sz="0" w:space="0" w:color="auto"/>
      </w:divBdr>
    </w:div>
    <w:div w:id="876047608">
      <w:bodyDiv w:val="1"/>
      <w:marLeft w:val="0"/>
      <w:marRight w:val="0"/>
      <w:marTop w:val="0"/>
      <w:marBottom w:val="0"/>
      <w:divBdr>
        <w:top w:val="none" w:sz="0" w:space="0" w:color="auto"/>
        <w:left w:val="none" w:sz="0" w:space="0" w:color="auto"/>
        <w:bottom w:val="none" w:sz="0" w:space="0" w:color="auto"/>
        <w:right w:val="none" w:sz="0" w:space="0" w:color="auto"/>
      </w:divBdr>
    </w:div>
    <w:div w:id="876091308">
      <w:bodyDiv w:val="1"/>
      <w:marLeft w:val="0"/>
      <w:marRight w:val="0"/>
      <w:marTop w:val="0"/>
      <w:marBottom w:val="0"/>
      <w:divBdr>
        <w:top w:val="none" w:sz="0" w:space="0" w:color="auto"/>
        <w:left w:val="none" w:sz="0" w:space="0" w:color="auto"/>
        <w:bottom w:val="none" w:sz="0" w:space="0" w:color="auto"/>
        <w:right w:val="none" w:sz="0" w:space="0" w:color="auto"/>
      </w:divBdr>
    </w:div>
    <w:div w:id="876115151">
      <w:bodyDiv w:val="1"/>
      <w:marLeft w:val="0"/>
      <w:marRight w:val="0"/>
      <w:marTop w:val="0"/>
      <w:marBottom w:val="0"/>
      <w:divBdr>
        <w:top w:val="none" w:sz="0" w:space="0" w:color="auto"/>
        <w:left w:val="none" w:sz="0" w:space="0" w:color="auto"/>
        <w:bottom w:val="none" w:sz="0" w:space="0" w:color="auto"/>
        <w:right w:val="none" w:sz="0" w:space="0" w:color="auto"/>
      </w:divBdr>
    </w:div>
    <w:div w:id="876117955">
      <w:bodyDiv w:val="1"/>
      <w:marLeft w:val="0"/>
      <w:marRight w:val="0"/>
      <w:marTop w:val="0"/>
      <w:marBottom w:val="0"/>
      <w:divBdr>
        <w:top w:val="none" w:sz="0" w:space="0" w:color="auto"/>
        <w:left w:val="none" w:sz="0" w:space="0" w:color="auto"/>
        <w:bottom w:val="none" w:sz="0" w:space="0" w:color="auto"/>
        <w:right w:val="none" w:sz="0" w:space="0" w:color="auto"/>
      </w:divBdr>
    </w:div>
    <w:div w:id="876234471">
      <w:bodyDiv w:val="1"/>
      <w:marLeft w:val="0"/>
      <w:marRight w:val="0"/>
      <w:marTop w:val="0"/>
      <w:marBottom w:val="0"/>
      <w:divBdr>
        <w:top w:val="none" w:sz="0" w:space="0" w:color="auto"/>
        <w:left w:val="none" w:sz="0" w:space="0" w:color="auto"/>
        <w:bottom w:val="none" w:sz="0" w:space="0" w:color="auto"/>
        <w:right w:val="none" w:sz="0" w:space="0" w:color="auto"/>
      </w:divBdr>
    </w:div>
    <w:div w:id="876236423">
      <w:bodyDiv w:val="1"/>
      <w:marLeft w:val="0"/>
      <w:marRight w:val="0"/>
      <w:marTop w:val="0"/>
      <w:marBottom w:val="0"/>
      <w:divBdr>
        <w:top w:val="none" w:sz="0" w:space="0" w:color="auto"/>
        <w:left w:val="none" w:sz="0" w:space="0" w:color="auto"/>
        <w:bottom w:val="none" w:sz="0" w:space="0" w:color="auto"/>
        <w:right w:val="none" w:sz="0" w:space="0" w:color="auto"/>
      </w:divBdr>
    </w:div>
    <w:div w:id="876282424">
      <w:bodyDiv w:val="1"/>
      <w:marLeft w:val="0"/>
      <w:marRight w:val="0"/>
      <w:marTop w:val="0"/>
      <w:marBottom w:val="0"/>
      <w:divBdr>
        <w:top w:val="none" w:sz="0" w:space="0" w:color="auto"/>
        <w:left w:val="none" w:sz="0" w:space="0" w:color="auto"/>
        <w:bottom w:val="none" w:sz="0" w:space="0" w:color="auto"/>
        <w:right w:val="none" w:sz="0" w:space="0" w:color="auto"/>
      </w:divBdr>
    </w:div>
    <w:div w:id="876427893">
      <w:bodyDiv w:val="1"/>
      <w:marLeft w:val="0"/>
      <w:marRight w:val="0"/>
      <w:marTop w:val="0"/>
      <w:marBottom w:val="0"/>
      <w:divBdr>
        <w:top w:val="none" w:sz="0" w:space="0" w:color="auto"/>
        <w:left w:val="none" w:sz="0" w:space="0" w:color="auto"/>
        <w:bottom w:val="none" w:sz="0" w:space="0" w:color="auto"/>
        <w:right w:val="none" w:sz="0" w:space="0" w:color="auto"/>
      </w:divBdr>
    </w:div>
    <w:div w:id="876502043">
      <w:bodyDiv w:val="1"/>
      <w:marLeft w:val="0"/>
      <w:marRight w:val="0"/>
      <w:marTop w:val="0"/>
      <w:marBottom w:val="0"/>
      <w:divBdr>
        <w:top w:val="none" w:sz="0" w:space="0" w:color="auto"/>
        <w:left w:val="none" w:sz="0" w:space="0" w:color="auto"/>
        <w:bottom w:val="none" w:sz="0" w:space="0" w:color="auto"/>
        <w:right w:val="none" w:sz="0" w:space="0" w:color="auto"/>
      </w:divBdr>
    </w:div>
    <w:div w:id="876551947">
      <w:bodyDiv w:val="1"/>
      <w:marLeft w:val="0"/>
      <w:marRight w:val="0"/>
      <w:marTop w:val="0"/>
      <w:marBottom w:val="0"/>
      <w:divBdr>
        <w:top w:val="none" w:sz="0" w:space="0" w:color="auto"/>
        <w:left w:val="none" w:sz="0" w:space="0" w:color="auto"/>
        <w:bottom w:val="none" w:sz="0" w:space="0" w:color="auto"/>
        <w:right w:val="none" w:sz="0" w:space="0" w:color="auto"/>
      </w:divBdr>
    </w:div>
    <w:div w:id="876770545">
      <w:bodyDiv w:val="1"/>
      <w:marLeft w:val="0"/>
      <w:marRight w:val="0"/>
      <w:marTop w:val="0"/>
      <w:marBottom w:val="0"/>
      <w:divBdr>
        <w:top w:val="none" w:sz="0" w:space="0" w:color="auto"/>
        <w:left w:val="none" w:sz="0" w:space="0" w:color="auto"/>
        <w:bottom w:val="none" w:sz="0" w:space="0" w:color="auto"/>
        <w:right w:val="none" w:sz="0" w:space="0" w:color="auto"/>
      </w:divBdr>
    </w:div>
    <w:div w:id="876816379">
      <w:bodyDiv w:val="1"/>
      <w:marLeft w:val="0"/>
      <w:marRight w:val="0"/>
      <w:marTop w:val="0"/>
      <w:marBottom w:val="0"/>
      <w:divBdr>
        <w:top w:val="none" w:sz="0" w:space="0" w:color="auto"/>
        <w:left w:val="none" w:sz="0" w:space="0" w:color="auto"/>
        <w:bottom w:val="none" w:sz="0" w:space="0" w:color="auto"/>
        <w:right w:val="none" w:sz="0" w:space="0" w:color="auto"/>
      </w:divBdr>
    </w:div>
    <w:div w:id="876818960">
      <w:bodyDiv w:val="1"/>
      <w:marLeft w:val="0"/>
      <w:marRight w:val="0"/>
      <w:marTop w:val="0"/>
      <w:marBottom w:val="0"/>
      <w:divBdr>
        <w:top w:val="none" w:sz="0" w:space="0" w:color="auto"/>
        <w:left w:val="none" w:sz="0" w:space="0" w:color="auto"/>
        <w:bottom w:val="none" w:sz="0" w:space="0" w:color="auto"/>
        <w:right w:val="none" w:sz="0" w:space="0" w:color="auto"/>
      </w:divBdr>
    </w:div>
    <w:div w:id="876891934">
      <w:bodyDiv w:val="1"/>
      <w:marLeft w:val="0"/>
      <w:marRight w:val="0"/>
      <w:marTop w:val="0"/>
      <w:marBottom w:val="0"/>
      <w:divBdr>
        <w:top w:val="none" w:sz="0" w:space="0" w:color="auto"/>
        <w:left w:val="none" w:sz="0" w:space="0" w:color="auto"/>
        <w:bottom w:val="none" w:sz="0" w:space="0" w:color="auto"/>
        <w:right w:val="none" w:sz="0" w:space="0" w:color="auto"/>
      </w:divBdr>
    </w:div>
    <w:div w:id="876897505">
      <w:bodyDiv w:val="1"/>
      <w:marLeft w:val="0"/>
      <w:marRight w:val="0"/>
      <w:marTop w:val="0"/>
      <w:marBottom w:val="0"/>
      <w:divBdr>
        <w:top w:val="none" w:sz="0" w:space="0" w:color="auto"/>
        <w:left w:val="none" w:sz="0" w:space="0" w:color="auto"/>
        <w:bottom w:val="none" w:sz="0" w:space="0" w:color="auto"/>
        <w:right w:val="none" w:sz="0" w:space="0" w:color="auto"/>
      </w:divBdr>
    </w:div>
    <w:div w:id="876938070">
      <w:bodyDiv w:val="1"/>
      <w:marLeft w:val="0"/>
      <w:marRight w:val="0"/>
      <w:marTop w:val="0"/>
      <w:marBottom w:val="0"/>
      <w:divBdr>
        <w:top w:val="none" w:sz="0" w:space="0" w:color="auto"/>
        <w:left w:val="none" w:sz="0" w:space="0" w:color="auto"/>
        <w:bottom w:val="none" w:sz="0" w:space="0" w:color="auto"/>
        <w:right w:val="none" w:sz="0" w:space="0" w:color="auto"/>
      </w:divBdr>
    </w:div>
    <w:div w:id="877007530">
      <w:bodyDiv w:val="1"/>
      <w:marLeft w:val="0"/>
      <w:marRight w:val="0"/>
      <w:marTop w:val="0"/>
      <w:marBottom w:val="0"/>
      <w:divBdr>
        <w:top w:val="none" w:sz="0" w:space="0" w:color="auto"/>
        <w:left w:val="none" w:sz="0" w:space="0" w:color="auto"/>
        <w:bottom w:val="none" w:sz="0" w:space="0" w:color="auto"/>
        <w:right w:val="none" w:sz="0" w:space="0" w:color="auto"/>
      </w:divBdr>
    </w:div>
    <w:div w:id="877014955">
      <w:bodyDiv w:val="1"/>
      <w:marLeft w:val="0"/>
      <w:marRight w:val="0"/>
      <w:marTop w:val="0"/>
      <w:marBottom w:val="0"/>
      <w:divBdr>
        <w:top w:val="none" w:sz="0" w:space="0" w:color="auto"/>
        <w:left w:val="none" w:sz="0" w:space="0" w:color="auto"/>
        <w:bottom w:val="none" w:sz="0" w:space="0" w:color="auto"/>
        <w:right w:val="none" w:sz="0" w:space="0" w:color="auto"/>
      </w:divBdr>
    </w:div>
    <w:div w:id="877015312">
      <w:bodyDiv w:val="1"/>
      <w:marLeft w:val="0"/>
      <w:marRight w:val="0"/>
      <w:marTop w:val="0"/>
      <w:marBottom w:val="0"/>
      <w:divBdr>
        <w:top w:val="none" w:sz="0" w:space="0" w:color="auto"/>
        <w:left w:val="none" w:sz="0" w:space="0" w:color="auto"/>
        <w:bottom w:val="none" w:sz="0" w:space="0" w:color="auto"/>
        <w:right w:val="none" w:sz="0" w:space="0" w:color="auto"/>
      </w:divBdr>
    </w:div>
    <w:div w:id="877081656">
      <w:bodyDiv w:val="1"/>
      <w:marLeft w:val="0"/>
      <w:marRight w:val="0"/>
      <w:marTop w:val="0"/>
      <w:marBottom w:val="0"/>
      <w:divBdr>
        <w:top w:val="none" w:sz="0" w:space="0" w:color="auto"/>
        <w:left w:val="none" w:sz="0" w:space="0" w:color="auto"/>
        <w:bottom w:val="none" w:sz="0" w:space="0" w:color="auto"/>
        <w:right w:val="none" w:sz="0" w:space="0" w:color="auto"/>
      </w:divBdr>
    </w:div>
    <w:div w:id="877161612">
      <w:bodyDiv w:val="1"/>
      <w:marLeft w:val="0"/>
      <w:marRight w:val="0"/>
      <w:marTop w:val="0"/>
      <w:marBottom w:val="0"/>
      <w:divBdr>
        <w:top w:val="none" w:sz="0" w:space="0" w:color="auto"/>
        <w:left w:val="none" w:sz="0" w:space="0" w:color="auto"/>
        <w:bottom w:val="none" w:sz="0" w:space="0" w:color="auto"/>
        <w:right w:val="none" w:sz="0" w:space="0" w:color="auto"/>
      </w:divBdr>
    </w:div>
    <w:div w:id="877162979">
      <w:bodyDiv w:val="1"/>
      <w:marLeft w:val="0"/>
      <w:marRight w:val="0"/>
      <w:marTop w:val="0"/>
      <w:marBottom w:val="0"/>
      <w:divBdr>
        <w:top w:val="none" w:sz="0" w:space="0" w:color="auto"/>
        <w:left w:val="none" w:sz="0" w:space="0" w:color="auto"/>
        <w:bottom w:val="none" w:sz="0" w:space="0" w:color="auto"/>
        <w:right w:val="none" w:sz="0" w:space="0" w:color="auto"/>
      </w:divBdr>
    </w:div>
    <w:div w:id="877201880">
      <w:bodyDiv w:val="1"/>
      <w:marLeft w:val="0"/>
      <w:marRight w:val="0"/>
      <w:marTop w:val="0"/>
      <w:marBottom w:val="0"/>
      <w:divBdr>
        <w:top w:val="none" w:sz="0" w:space="0" w:color="auto"/>
        <w:left w:val="none" w:sz="0" w:space="0" w:color="auto"/>
        <w:bottom w:val="none" w:sz="0" w:space="0" w:color="auto"/>
        <w:right w:val="none" w:sz="0" w:space="0" w:color="auto"/>
      </w:divBdr>
    </w:div>
    <w:div w:id="877278394">
      <w:bodyDiv w:val="1"/>
      <w:marLeft w:val="0"/>
      <w:marRight w:val="0"/>
      <w:marTop w:val="0"/>
      <w:marBottom w:val="0"/>
      <w:divBdr>
        <w:top w:val="none" w:sz="0" w:space="0" w:color="auto"/>
        <w:left w:val="none" w:sz="0" w:space="0" w:color="auto"/>
        <w:bottom w:val="none" w:sz="0" w:space="0" w:color="auto"/>
        <w:right w:val="none" w:sz="0" w:space="0" w:color="auto"/>
      </w:divBdr>
    </w:div>
    <w:div w:id="877282117">
      <w:bodyDiv w:val="1"/>
      <w:marLeft w:val="0"/>
      <w:marRight w:val="0"/>
      <w:marTop w:val="0"/>
      <w:marBottom w:val="0"/>
      <w:divBdr>
        <w:top w:val="none" w:sz="0" w:space="0" w:color="auto"/>
        <w:left w:val="none" w:sz="0" w:space="0" w:color="auto"/>
        <w:bottom w:val="none" w:sz="0" w:space="0" w:color="auto"/>
        <w:right w:val="none" w:sz="0" w:space="0" w:color="auto"/>
      </w:divBdr>
    </w:div>
    <w:div w:id="877359396">
      <w:bodyDiv w:val="1"/>
      <w:marLeft w:val="0"/>
      <w:marRight w:val="0"/>
      <w:marTop w:val="0"/>
      <w:marBottom w:val="0"/>
      <w:divBdr>
        <w:top w:val="none" w:sz="0" w:space="0" w:color="auto"/>
        <w:left w:val="none" w:sz="0" w:space="0" w:color="auto"/>
        <w:bottom w:val="none" w:sz="0" w:space="0" w:color="auto"/>
        <w:right w:val="none" w:sz="0" w:space="0" w:color="auto"/>
      </w:divBdr>
    </w:div>
    <w:div w:id="877398997">
      <w:bodyDiv w:val="1"/>
      <w:marLeft w:val="0"/>
      <w:marRight w:val="0"/>
      <w:marTop w:val="0"/>
      <w:marBottom w:val="0"/>
      <w:divBdr>
        <w:top w:val="none" w:sz="0" w:space="0" w:color="auto"/>
        <w:left w:val="none" w:sz="0" w:space="0" w:color="auto"/>
        <w:bottom w:val="none" w:sz="0" w:space="0" w:color="auto"/>
        <w:right w:val="none" w:sz="0" w:space="0" w:color="auto"/>
      </w:divBdr>
    </w:div>
    <w:div w:id="877471950">
      <w:bodyDiv w:val="1"/>
      <w:marLeft w:val="0"/>
      <w:marRight w:val="0"/>
      <w:marTop w:val="0"/>
      <w:marBottom w:val="0"/>
      <w:divBdr>
        <w:top w:val="none" w:sz="0" w:space="0" w:color="auto"/>
        <w:left w:val="none" w:sz="0" w:space="0" w:color="auto"/>
        <w:bottom w:val="none" w:sz="0" w:space="0" w:color="auto"/>
        <w:right w:val="none" w:sz="0" w:space="0" w:color="auto"/>
      </w:divBdr>
    </w:div>
    <w:div w:id="877476610">
      <w:bodyDiv w:val="1"/>
      <w:marLeft w:val="0"/>
      <w:marRight w:val="0"/>
      <w:marTop w:val="0"/>
      <w:marBottom w:val="0"/>
      <w:divBdr>
        <w:top w:val="none" w:sz="0" w:space="0" w:color="auto"/>
        <w:left w:val="none" w:sz="0" w:space="0" w:color="auto"/>
        <w:bottom w:val="none" w:sz="0" w:space="0" w:color="auto"/>
        <w:right w:val="none" w:sz="0" w:space="0" w:color="auto"/>
      </w:divBdr>
    </w:div>
    <w:div w:id="877618719">
      <w:bodyDiv w:val="1"/>
      <w:marLeft w:val="0"/>
      <w:marRight w:val="0"/>
      <w:marTop w:val="0"/>
      <w:marBottom w:val="0"/>
      <w:divBdr>
        <w:top w:val="none" w:sz="0" w:space="0" w:color="auto"/>
        <w:left w:val="none" w:sz="0" w:space="0" w:color="auto"/>
        <w:bottom w:val="none" w:sz="0" w:space="0" w:color="auto"/>
        <w:right w:val="none" w:sz="0" w:space="0" w:color="auto"/>
      </w:divBdr>
    </w:div>
    <w:div w:id="877661783">
      <w:bodyDiv w:val="1"/>
      <w:marLeft w:val="0"/>
      <w:marRight w:val="0"/>
      <w:marTop w:val="0"/>
      <w:marBottom w:val="0"/>
      <w:divBdr>
        <w:top w:val="none" w:sz="0" w:space="0" w:color="auto"/>
        <w:left w:val="none" w:sz="0" w:space="0" w:color="auto"/>
        <w:bottom w:val="none" w:sz="0" w:space="0" w:color="auto"/>
        <w:right w:val="none" w:sz="0" w:space="0" w:color="auto"/>
      </w:divBdr>
    </w:div>
    <w:div w:id="877813459">
      <w:bodyDiv w:val="1"/>
      <w:marLeft w:val="0"/>
      <w:marRight w:val="0"/>
      <w:marTop w:val="0"/>
      <w:marBottom w:val="0"/>
      <w:divBdr>
        <w:top w:val="none" w:sz="0" w:space="0" w:color="auto"/>
        <w:left w:val="none" w:sz="0" w:space="0" w:color="auto"/>
        <w:bottom w:val="none" w:sz="0" w:space="0" w:color="auto"/>
        <w:right w:val="none" w:sz="0" w:space="0" w:color="auto"/>
      </w:divBdr>
    </w:div>
    <w:div w:id="877814858">
      <w:bodyDiv w:val="1"/>
      <w:marLeft w:val="0"/>
      <w:marRight w:val="0"/>
      <w:marTop w:val="0"/>
      <w:marBottom w:val="0"/>
      <w:divBdr>
        <w:top w:val="none" w:sz="0" w:space="0" w:color="auto"/>
        <w:left w:val="none" w:sz="0" w:space="0" w:color="auto"/>
        <w:bottom w:val="none" w:sz="0" w:space="0" w:color="auto"/>
        <w:right w:val="none" w:sz="0" w:space="0" w:color="auto"/>
      </w:divBdr>
    </w:div>
    <w:div w:id="877817706">
      <w:bodyDiv w:val="1"/>
      <w:marLeft w:val="0"/>
      <w:marRight w:val="0"/>
      <w:marTop w:val="0"/>
      <w:marBottom w:val="0"/>
      <w:divBdr>
        <w:top w:val="none" w:sz="0" w:space="0" w:color="auto"/>
        <w:left w:val="none" w:sz="0" w:space="0" w:color="auto"/>
        <w:bottom w:val="none" w:sz="0" w:space="0" w:color="auto"/>
        <w:right w:val="none" w:sz="0" w:space="0" w:color="auto"/>
      </w:divBdr>
    </w:div>
    <w:div w:id="877935970">
      <w:bodyDiv w:val="1"/>
      <w:marLeft w:val="0"/>
      <w:marRight w:val="0"/>
      <w:marTop w:val="0"/>
      <w:marBottom w:val="0"/>
      <w:divBdr>
        <w:top w:val="none" w:sz="0" w:space="0" w:color="auto"/>
        <w:left w:val="none" w:sz="0" w:space="0" w:color="auto"/>
        <w:bottom w:val="none" w:sz="0" w:space="0" w:color="auto"/>
        <w:right w:val="none" w:sz="0" w:space="0" w:color="auto"/>
      </w:divBdr>
    </w:div>
    <w:div w:id="877936046">
      <w:bodyDiv w:val="1"/>
      <w:marLeft w:val="0"/>
      <w:marRight w:val="0"/>
      <w:marTop w:val="0"/>
      <w:marBottom w:val="0"/>
      <w:divBdr>
        <w:top w:val="none" w:sz="0" w:space="0" w:color="auto"/>
        <w:left w:val="none" w:sz="0" w:space="0" w:color="auto"/>
        <w:bottom w:val="none" w:sz="0" w:space="0" w:color="auto"/>
        <w:right w:val="none" w:sz="0" w:space="0" w:color="auto"/>
      </w:divBdr>
    </w:div>
    <w:div w:id="878132754">
      <w:bodyDiv w:val="1"/>
      <w:marLeft w:val="0"/>
      <w:marRight w:val="0"/>
      <w:marTop w:val="0"/>
      <w:marBottom w:val="0"/>
      <w:divBdr>
        <w:top w:val="none" w:sz="0" w:space="0" w:color="auto"/>
        <w:left w:val="none" w:sz="0" w:space="0" w:color="auto"/>
        <w:bottom w:val="none" w:sz="0" w:space="0" w:color="auto"/>
        <w:right w:val="none" w:sz="0" w:space="0" w:color="auto"/>
      </w:divBdr>
    </w:div>
    <w:div w:id="878203769">
      <w:bodyDiv w:val="1"/>
      <w:marLeft w:val="0"/>
      <w:marRight w:val="0"/>
      <w:marTop w:val="0"/>
      <w:marBottom w:val="0"/>
      <w:divBdr>
        <w:top w:val="none" w:sz="0" w:space="0" w:color="auto"/>
        <w:left w:val="none" w:sz="0" w:space="0" w:color="auto"/>
        <w:bottom w:val="none" w:sz="0" w:space="0" w:color="auto"/>
        <w:right w:val="none" w:sz="0" w:space="0" w:color="auto"/>
      </w:divBdr>
    </w:div>
    <w:div w:id="878280202">
      <w:bodyDiv w:val="1"/>
      <w:marLeft w:val="0"/>
      <w:marRight w:val="0"/>
      <w:marTop w:val="0"/>
      <w:marBottom w:val="0"/>
      <w:divBdr>
        <w:top w:val="none" w:sz="0" w:space="0" w:color="auto"/>
        <w:left w:val="none" w:sz="0" w:space="0" w:color="auto"/>
        <w:bottom w:val="none" w:sz="0" w:space="0" w:color="auto"/>
        <w:right w:val="none" w:sz="0" w:space="0" w:color="auto"/>
      </w:divBdr>
    </w:div>
    <w:div w:id="878516322">
      <w:bodyDiv w:val="1"/>
      <w:marLeft w:val="0"/>
      <w:marRight w:val="0"/>
      <w:marTop w:val="0"/>
      <w:marBottom w:val="0"/>
      <w:divBdr>
        <w:top w:val="none" w:sz="0" w:space="0" w:color="auto"/>
        <w:left w:val="none" w:sz="0" w:space="0" w:color="auto"/>
        <w:bottom w:val="none" w:sz="0" w:space="0" w:color="auto"/>
        <w:right w:val="none" w:sz="0" w:space="0" w:color="auto"/>
      </w:divBdr>
    </w:div>
    <w:div w:id="878517183">
      <w:bodyDiv w:val="1"/>
      <w:marLeft w:val="0"/>
      <w:marRight w:val="0"/>
      <w:marTop w:val="0"/>
      <w:marBottom w:val="0"/>
      <w:divBdr>
        <w:top w:val="none" w:sz="0" w:space="0" w:color="auto"/>
        <w:left w:val="none" w:sz="0" w:space="0" w:color="auto"/>
        <w:bottom w:val="none" w:sz="0" w:space="0" w:color="auto"/>
        <w:right w:val="none" w:sz="0" w:space="0" w:color="auto"/>
      </w:divBdr>
    </w:div>
    <w:div w:id="878661014">
      <w:bodyDiv w:val="1"/>
      <w:marLeft w:val="0"/>
      <w:marRight w:val="0"/>
      <w:marTop w:val="0"/>
      <w:marBottom w:val="0"/>
      <w:divBdr>
        <w:top w:val="none" w:sz="0" w:space="0" w:color="auto"/>
        <w:left w:val="none" w:sz="0" w:space="0" w:color="auto"/>
        <w:bottom w:val="none" w:sz="0" w:space="0" w:color="auto"/>
        <w:right w:val="none" w:sz="0" w:space="0" w:color="auto"/>
      </w:divBdr>
    </w:div>
    <w:div w:id="878861397">
      <w:bodyDiv w:val="1"/>
      <w:marLeft w:val="0"/>
      <w:marRight w:val="0"/>
      <w:marTop w:val="0"/>
      <w:marBottom w:val="0"/>
      <w:divBdr>
        <w:top w:val="none" w:sz="0" w:space="0" w:color="auto"/>
        <w:left w:val="none" w:sz="0" w:space="0" w:color="auto"/>
        <w:bottom w:val="none" w:sz="0" w:space="0" w:color="auto"/>
        <w:right w:val="none" w:sz="0" w:space="0" w:color="auto"/>
      </w:divBdr>
    </w:div>
    <w:div w:id="878929649">
      <w:bodyDiv w:val="1"/>
      <w:marLeft w:val="0"/>
      <w:marRight w:val="0"/>
      <w:marTop w:val="0"/>
      <w:marBottom w:val="0"/>
      <w:divBdr>
        <w:top w:val="none" w:sz="0" w:space="0" w:color="auto"/>
        <w:left w:val="none" w:sz="0" w:space="0" w:color="auto"/>
        <w:bottom w:val="none" w:sz="0" w:space="0" w:color="auto"/>
        <w:right w:val="none" w:sz="0" w:space="0" w:color="auto"/>
      </w:divBdr>
    </w:div>
    <w:div w:id="878974156">
      <w:bodyDiv w:val="1"/>
      <w:marLeft w:val="0"/>
      <w:marRight w:val="0"/>
      <w:marTop w:val="0"/>
      <w:marBottom w:val="0"/>
      <w:divBdr>
        <w:top w:val="none" w:sz="0" w:space="0" w:color="auto"/>
        <w:left w:val="none" w:sz="0" w:space="0" w:color="auto"/>
        <w:bottom w:val="none" w:sz="0" w:space="0" w:color="auto"/>
        <w:right w:val="none" w:sz="0" w:space="0" w:color="auto"/>
      </w:divBdr>
    </w:div>
    <w:div w:id="878977138">
      <w:bodyDiv w:val="1"/>
      <w:marLeft w:val="0"/>
      <w:marRight w:val="0"/>
      <w:marTop w:val="0"/>
      <w:marBottom w:val="0"/>
      <w:divBdr>
        <w:top w:val="none" w:sz="0" w:space="0" w:color="auto"/>
        <w:left w:val="none" w:sz="0" w:space="0" w:color="auto"/>
        <w:bottom w:val="none" w:sz="0" w:space="0" w:color="auto"/>
        <w:right w:val="none" w:sz="0" w:space="0" w:color="auto"/>
      </w:divBdr>
    </w:div>
    <w:div w:id="878977699">
      <w:bodyDiv w:val="1"/>
      <w:marLeft w:val="0"/>
      <w:marRight w:val="0"/>
      <w:marTop w:val="0"/>
      <w:marBottom w:val="0"/>
      <w:divBdr>
        <w:top w:val="none" w:sz="0" w:space="0" w:color="auto"/>
        <w:left w:val="none" w:sz="0" w:space="0" w:color="auto"/>
        <w:bottom w:val="none" w:sz="0" w:space="0" w:color="auto"/>
        <w:right w:val="none" w:sz="0" w:space="0" w:color="auto"/>
      </w:divBdr>
    </w:div>
    <w:div w:id="879124407">
      <w:bodyDiv w:val="1"/>
      <w:marLeft w:val="0"/>
      <w:marRight w:val="0"/>
      <w:marTop w:val="0"/>
      <w:marBottom w:val="0"/>
      <w:divBdr>
        <w:top w:val="none" w:sz="0" w:space="0" w:color="auto"/>
        <w:left w:val="none" w:sz="0" w:space="0" w:color="auto"/>
        <w:bottom w:val="none" w:sz="0" w:space="0" w:color="auto"/>
        <w:right w:val="none" w:sz="0" w:space="0" w:color="auto"/>
      </w:divBdr>
    </w:div>
    <w:div w:id="879127066">
      <w:bodyDiv w:val="1"/>
      <w:marLeft w:val="0"/>
      <w:marRight w:val="0"/>
      <w:marTop w:val="0"/>
      <w:marBottom w:val="0"/>
      <w:divBdr>
        <w:top w:val="none" w:sz="0" w:space="0" w:color="auto"/>
        <w:left w:val="none" w:sz="0" w:space="0" w:color="auto"/>
        <w:bottom w:val="none" w:sz="0" w:space="0" w:color="auto"/>
        <w:right w:val="none" w:sz="0" w:space="0" w:color="auto"/>
      </w:divBdr>
    </w:div>
    <w:div w:id="879166126">
      <w:bodyDiv w:val="1"/>
      <w:marLeft w:val="0"/>
      <w:marRight w:val="0"/>
      <w:marTop w:val="0"/>
      <w:marBottom w:val="0"/>
      <w:divBdr>
        <w:top w:val="none" w:sz="0" w:space="0" w:color="auto"/>
        <w:left w:val="none" w:sz="0" w:space="0" w:color="auto"/>
        <w:bottom w:val="none" w:sz="0" w:space="0" w:color="auto"/>
        <w:right w:val="none" w:sz="0" w:space="0" w:color="auto"/>
      </w:divBdr>
    </w:div>
    <w:div w:id="879172963">
      <w:bodyDiv w:val="1"/>
      <w:marLeft w:val="0"/>
      <w:marRight w:val="0"/>
      <w:marTop w:val="0"/>
      <w:marBottom w:val="0"/>
      <w:divBdr>
        <w:top w:val="none" w:sz="0" w:space="0" w:color="auto"/>
        <w:left w:val="none" w:sz="0" w:space="0" w:color="auto"/>
        <w:bottom w:val="none" w:sz="0" w:space="0" w:color="auto"/>
        <w:right w:val="none" w:sz="0" w:space="0" w:color="auto"/>
      </w:divBdr>
    </w:div>
    <w:div w:id="879241996">
      <w:bodyDiv w:val="1"/>
      <w:marLeft w:val="0"/>
      <w:marRight w:val="0"/>
      <w:marTop w:val="0"/>
      <w:marBottom w:val="0"/>
      <w:divBdr>
        <w:top w:val="none" w:sz="0" w:space="0" w:color="auto"/>
        <w:left w:val="none" w:sz="0" w:space="0" w:color="auto"/>
        <w:bottom w:val="none" w:sz="0" w:space="0" w:color="auto"/>
        <w:right w:val="none" w:sz="0" w:space="0" w:color="auto"/>
      </w:divBdr>
    </w:div>
    <w:div w:id="879244081">
      <w:bodyDiv w:val="1"/>
      <w:marLeft w:val="0"/>
      <w:marRight w:val="0"/>
      <w:marTop w:val="0"/>
      <w:marBottom w:val="0"/>
      <w:divBdr>
        <w:top w:val="none" w:sz="0" w:space="0" w:color="auto"/>
        <w:left w:val="none" w:sz="0" w:space="0" w:color="auto"/>
        <w:bottom w:val="none" w:sz="0" w:space="0" w:color="auto"/>
        <w:right w:val="none" w:sz="0" w:space="0" w:color="auto"/>
      </w:divBdr>
    </w:div>
    <w:div w:id="879246909">
      <w:bodyDiv w:val="1"/>
      <w:marLeft w:val="0"/>
      <w:marRight w:val="0"/>
      <w:marTop w:val="0"/>
      <w:marBottom w:val="0"/>
      <w:divBdr>
        <w:top w:val="none" w:sz="0" w:space="0" w:color="auto"/>
        <w:left w:val="none" w:sz="0" w:space="0" w:color="auto"/>
        <w:bottom w:val="none" w:sz="0" w:space="0" w:color="auto"/>
        <w:right w:val="none" w:sz="0" w:space="0" w:color="auto"/>
      </w:divBdr>
    </w:div>
    <w:div w:id="879510124">
      <w:bodyDiv w:val="1"/>
      <w:marLeft w:val="0"/>
      <w:marRight w:val="0"/>
      <w:marTop w:val="0"/>
      <w:marBottom w:val="0"/>
      <w:divBdr>
        <w:top w:val="none" w:sz="0" w:space="0" w:color="auto"/>
        <w:left w:val="none" w:sz="0" w:space="0" w:color="auto"/>
        <w:bottom w:val="none" w:sz="0" w:space="0" w:color="auto"/>
        <w:right w:val="none" w:sz="0" w:space="0" w:color="auto"/>
      </w:divBdr>
    </w:div>
    <w:div w:id="879585335">
      <w:bodyDiv w:val="1"/>
      <w:marLeft w:val="0"/>
      <w:marRight w:val="0"/>
      <w:marTop w:val="0"/>
      <w:marBottom w:val="0"/>
      <w:divBdr>
        <w:top w:val="none" w:sz="0" w:space="0" w:color="auto"/>
        <w:left w:val="none" w:sz="0" w:space="0" w:color="auto"/>
        <w:bottom w:val="none" w:sz="0" w:space="0" w:color="auto"/>
        <w:right w:val="none" w:sz="0" w:space="0" w:color="auto"/>
      </w:divBdr>
    </w:div>
    <w:div w:id="879631044">
      <w:bodyDiv w:val="1"/>
      <w:marLeft w:val="0"/>
      <w:marRight w:val="0"/>
      <w:marTop w:val="0"/>
      <w:marBottom w:val="0"/>
      <w:divBdr>
        <w:top w:val="none" w:sz="0" w:space="0" w:color="auto"/>
        <w:left w:val="none" w:sz="0" w:space="0" w:color="auto"/>
        <w:bottom w:val="none" w:sz="0" w:space="0" w:color="auto"/>
        <w:right w:val="none" w:sz="0" w:space="0" w:color="auto"/>
      </w:divBdr>
    </w:div>
    <w:div w:id="879634317">
      <w:bodyDiv w:val="1"/>
      <w:marLeft w:val="0"/>
      <w:marRight w:val="0"/>
      <w:marTop w:val="0"/>
      <w:marBottom w:val="0"/>
      <w:divBdr>
        <w:top w:val="none" w:sz="0" w:space="0" w:color="auto"/>
        <w:left w:val="none" w:sz="0" w:space="0" w:color="auto"/>
        <w:bottom w:val="none" w:sz="0" w:space="0" w:color="auto"/>
        <w:right w:val="none" w:sz="0" w:space="0" w:color="auto"/>
      </w:divBdr>
    </w:div>
    <w:div w:id="879707010">
      <w:bodyDiv w:val="1"/>
      <w:marLeft w:val="0"/>
      <w:marRight w:val="0"/>
      <w:marTop w:val="0"/>
      <w:marBottom w:val="0"/>
      <w:divBdr>
        <w:top w:val="none" w:sz="0" w:space="0" w:color="auto"/>
        <w:left w:val="none" w:sz="0" w:space="0" w:color="auto"/>
        <w:bottom w:val="none" w:sz="0" w:space="0" w:color="auto"/>
        <w:right w:val="none" w:sz="0" w:space="0" w:color="auto"/>
      </w:divBdr>
    </w:div>
    <w:div w:id="879710825">
      <w:bodyDiv w:val="1"/>
      <w:marLeft w:val="0"/>
      <w:marRight w:val="0"/>
      <w:marTop w:val="0"/>
      <w:marBottom w:val="0"/>
      <w:divBdr>
        <w:top w:val="none" w:sz="0" w:space="0" w:color="auto"/>
        <w:left w:val="none" w:sz="0" w:space="0" w:color="auto"/>
        <w:bottom w:val="none" w:sz="0" w:space="0" w:color="auto"/>
        <w:right w:val="none" w:sz="0" w:space="0" w:color="auto"/>
      </w:divBdr>
    </w:div>
    <w:div w:id="879785005">
      <w:bodyDiv w:val="1"/>
      <w:marLeft w:val="0"/>
      <w:marRight w:val="0"/>
      <w:marTop w:val="0"/>
      <w:marBottom w:val="0"/>
      <w:divBdr>
        <w:top w:val="none" w:sz="0" w:space="0" w:color="auto"/>
        <w:left w:val="none" w:sz="0" w:space="0" w:color="auto"/>
        <w:bottom w:val="none" w:sz="0" w:space="0" w:color="auto"/>
        <w:right w:val="none" w:sz="0" w:space="0" w:color="auto"/>
      </w:divBdr>
    </w:div>
    <w:div w:id="879821356">
      <w:bodyDiv w:val="1"/>
      <w:marLeft w:val="0"/>
      <w:marRight w:val="0"/>
      <w:marTop w:val="0"/>
      <w:marBottom w:val="0"/>
      <w:divBdr>
        <w:top w:val="none" w:sz="0" w:space="0" w:color="auto"/>
        <w:left w:val="none" w:sz="0" w:space="0" w:color="auto"/>
        <w:bottom w:val="none" w:sz="0" w:space="0" w:color="auto"/>
        <w:right w:val="none" w:sz="0" w:space="0" w:color="auto"/>
      </w:divBdr>
    </w:div>
    <w:div w:id="880091412">
      <w:bodyDiv w:val="1"/>
      <w:marLeft w:val="0"/>
      <w:marRight w:val="0"/>
      <w:marTop w:val="0"/>
      <w:marBottom w:val="0"/>
      <w:divBdr>
        <w:top w:val="none" w:sz="0" w:space="0" w:color="auto"/>
        <w:left w:val="none" w:sz="0" w:space="0" w:color="auto"/>
        <w:bottom w:val="none" w:sz="0" w:space="0" w:color="auto"/>
        <w:right w:val="none" w:sz="0" w:space="0" w:color="auto"/>
      </w:divBdr>
    </w:div>
    <w:div w:id="880437324">
      <w:bodyDiv w:val="1"/>
      <w:marLeft w:val="0"/>
      <w:marRight w:val="0"/>
      <w:marTop w:val="0"/>
      <w:marBottom w:val="0"/>
      <w:divBdr>
        <w:top w:val="none" w:sz="0" w:space="0" w:color="auto"/>
        <w:left w:val="none" w:sz="0" w:space="0" w:color="auto"/>
        <w:bottom w:val="none" w:sz="0" w:space="0" w:color="auto"/>
        <w:right w:val="none" w:sz="0" w:space="0" w:color="auto"/>
      </w:divBdr>
    </w:div>
    <w:div w:id="880438404">
      <w:bodyDiv w:val="1"/>
      <w:marLeft w:val="0"/>
      <w:marRight w:val="0"/>
      <w:marTop w:val="0"/>
      <w:marBottom w:val="0"/>
      <w:divBdr>
        <w:top w:val="none" w:sz="0" w:space="0" w:color="auto"/>
        <w:left w:val="none" w:sz="0" w:space="0" w:color="auto"/>
        <w:bottom w:val="none" w:sz="0" w:space="0" w:color="auto"/>
        <w:right w:val="none" w:sz="0" w:space="0" w:color="auto"/>
      </w:divBdr>
    </w:div>
    <w:div w:id="880441347">
      <w:bodyDiv w:val="1"/>
      <w:marLeft w:val="0"/>
      <w:marRight w:val="0"/>
      <w:marTop w:val="0"/>
      <w:marBottom w:val="0"/>
      <w:divBdr>
        <w:top w:val="none" w:sz="0" w:space="0" w:color="auto"/>
        <w:left w:val="none" w:sz="0" w:space="0" w:color="auto"/>
        <w:bottom w:val="none" w:sz="0" w:space="0" w:color="auto"/>
        <w:right w:val="none" w:sz="0" w:space="0" w:color="auto"/>
      </w:divBdr>
    </w:div>
    <w:div w:id="880476606">
      <w:bodyDiv w:val="1"/>
      <w:marLeft w:val="0"/>
      <w:marRight w:val="0"/>
      <w:marTop w:val="0"/>
      <w:marBottom w:val="0"/>
      <w:divBdr>
        <w:top w:val="none" w:sz="0" w:space="0" w:color="auto"/>
        <w:left w:val="none" w:sz="0" w:space="0" w:color="auto"/>
        <w:bottom w:val="none" w:sz="0" w:space="0" w:color="auto"/>
        <w:right w:val="none" w:sz="0" w:space="0" w:color="auto"/>
      </w:divBdr>
    </w:div>
    <w:div w:id="880480319">
      <w:bodyDiv w:val="1"/>
      <w:marLeft w:val="0"/>
      <w:marRight w:val="0"/>
      <w:marTop w:val="0"/>
      <w:marBottom w:val="0"/>
      <w:divBdr>
        <w:top w:val="none" w:sz="0" w:space="0" w:color="auto"/>
        <w:left w:val="none" w:sz="0" w:space="0" w:color="auto"/>
        <w:bottom w:val="none" w:sz="0" w:space="0" w:color="auto"/>
        <w:right w:val="none" w:sz="0" w:space="0" w:color="auto"/>
      </w:divBdr>
    </w:div>
    <w:div w:id="880480444">
      <w:bodyDiv w:val="1"/>
      <w:marLeft w:val="0"/>
      <w:marRight w:val="0"/>
      <w:marTop w:val="0"/>
      <w:marBottom w:val="0"/>
      <w:divBdr>
        <w:top w:val="none" w:sz="0" w:space="0" w:color="auto"/>
        <w:left w:val="none" w:sz="0" w:space="0" w:color="auto"/>
        <w:bottom w:val="none" w:sz="0" w:space="0" w:color="auto"/>
        <w:right w:val="none" w:sz="0" w:space="0" w:color="auto"/>
      </w:divBdr>
    </w:div>
    <w:div w:id="880508755">
      <w:bodyDiv w:val="1"/>
      <w:marLeft w:val="0"/>
      <w:marRight w:val="0"/>
      <w:marTop w:val="0"/>
      <w:marBottom w:val="0"/>
      <w:divBdr>
        <w:top w:val="none" w:sz="0" w:space="0" w:color="auto"/>
        <w:left w:val="none" w:sz="0" w:space="0" w:color="auto"/>
        <w:bottom w:val="none" w:sz="0" w:space="0" w:color="auto"/>
        <w:right w:val="none" w:sz="0" w:space="0" w:color="auto"/>
      </w:divBdr>
    </w:div>
    <w:div w:id="880558336">
      <w:bodyDiv w:val="1"/>
      <w:marLeft w:val="0"/>
      <w:marRight w:val="0"/>
      <w:marTop w:val="0"/>
      <w:marBottom w:val="0"/>
      <w:divBdr>
        <w:top w:val="none" w:sz="0" w:space="0" w:color="auto"/>
        <w:left w:val="none" w:sz="0" w:space="0" w:color="auto"/>
        <w:bottom w:val="none" w:sz="0" w:space="0" w:color="auto"/>
        <w:right w:val="none" w:sz="0" w:space="0" w:color="auto"/>
      </w:divBdr>
    </w:div>
    <w:div w:id="880630359">
      <w:bodyDiv w:val="1"/>
      <w:marLeft w:val="0"/>
      <w:marRight w:val="0"/>
      <w:marTop w:val="0"/>
      <w:marBottom w:val="0"/>
      <w:divBdr>
        <w:top w:val="none" w:sz="0" w:space="0" w:color="auto"/>
        <w:left w:val="none" w:sz="0" w:space="0" w:color="auto"/>
        <w:bottom w:val="none" w:sz="0" w:space="0" w:color="auto"/>
        <w:right w:val="none" w:sz="0" w:space="0" w:color="auto"/>
      </w:divBdr>
    </w:div>
    <w:div w:id="880633047">
      <w:bodyDiv w:val="1"/>
      <w:marLeft w:val="0"/>
      <w:marRight w:val="0"/>
      <w:marTop w:val="0"/>
      <w:marBottom w:val="0"/>
      <w:divBdr>
        <w:top w:val="none" w:sz="0" w:space="0" w:color="auto"/>
        <w:left w:val="none" w:sz="0" w:space="0" w:color="auto"/>
        <w:bottom w:val="none" w:sz="0" w:space="0" w:color="auto"/>
        <w:right w:val="none" w:sz="0" w:space="0" w:color="auto"/>
      </w:divBdr>
    </w:div>
    <w:div w:id="880749158">
      <w:bodyDiv w:val="1"/>
      <w:marLeft w:val="0"/>
      <w:marRight w:val="0"/>
      <w:marTop w:val="0"/>
      <w:marBottom w:val="0"/>
      <w:divBdr>
        <w:top w:val="none" w:sz="0" w:space="0" w:color="auto"/>
        <w:left w:val="none" w:sz="0" w:space="0" w:color="auto"/>
        <w:bottom w:val="none" w:sz="0" w:space="0" w:color="auto"/>
        <w:right w:val="none" w:sz="0" w:space="0" w:color="auto"/>
      </w:divBdr>
    </w:div>
    <w:div w:id="880752830">
      <w:bodyDiv w:val="1"/>
      <w:marLeft w:val="0"/>
      <w:marRight w:val="0"/>
      <w:marTop w:val="0"/>
      <w:marBottom w:val="0"/>
      <w:divBdr>
        <w:top w:val="none" w:sz="0" w:space="0" w:color="auto"/>
        <w:left w:val="none" w:sz="0" w:space="0" w:color="auto"/>
        <w:bottom w:val="none" w:sz="0" w:space="0" w:color="auto"/>
        <w:right w:val="none" w:sz="0" w:space="0" w:color="auto"/>
      </w:divBdr>
    </w:div>
    <w:div w:id="880820831">
      <w:bodyDiv w:val="1"/>
      <w:marLeft w:val="0"/>
      <w:marRight w:val="0"/>
      <w:marTop w:val="0"/>
      <w:marBottom w:val="0"/>
      <w:divBdr>
        <w:top w:val="none" w:sz="0" w:space="0" w:color="auto"/>
        <w:left w:val="none" w:sz="0" w:space="0" w:color="auto"/>
        <w:bottom w:val="none" w:sz="0" w:space="0" w:color="auto"/>
        <w:right w:val="none" w:sz="0" w:space="0" w:color="auto"/>
      </w:divBdr>
    </w:div>
    <w:div w:id="880827298">
      <w:bodyDiv w:val="1"/>
      <w:marLeft w:val="0"/>
      <w:marRight w:val="0"/>
      <w:marTop w:val="0"/>
      <w:marBottom w:val="0"/>
      <w:divBdr>
        <w:top w:val="none" w:sz="0" w:space="0" w:color="auto"/>
        <w:left w:val="none" w:sz="0" w:space="0" w:color="auto"/>
        <w:bottom w:val="none" w:sz="0" w:space="0" w:color="auto"/>
        <w:right w:val="none" w:sz="0" w:space="0" w:color="auto"/>
      </w:divBdr>
    </w:div>
    <w:div w:id="880946165">
      <w:bodyDiv w:val="1"/>
      <w:marLeft w:val="0"/>
      <w:marRight w:val="0"/>
      <w:marTop w:val="0"/>
      <w:marBottom w:val="0"/>
      <w:divBdr>
        <w:top w:val="none" w:sz="0" w:space="0" w:color="auto"/>
        <w:left w:val="none" w:sz="0" w:space="0" w:color="auto"/>
        <w:bottom w:val="none" w:sz="0" w:space="0" w:color="auto"/>
        <w:right w:val="none" w:sz="0" w:space="0" w:color="auto"/>
      </w:divBdr>
    </w:div>
    <w:div w:id="881016502">
      <w:bodyDiv w:val="1"/>
      <w:marLeft w:val="0"/>
      <w:marRight w:val="0"/>
      <w:marTop w:val="0"/>
      <w:marBottom w:val="0"/>
      <w:divBdr>
        <w:top w:val="none" w:sz="0" w:space="0" w:color="auto"/>
        <w:left w:val="none" w:sz="0" w:space="0" w:color="auto"/>
        <w:bottom w:val="none" w:sz="0" w:space="0" w:color="auto"/>
        <w:right w:val="none" w:sz="0" w:space="0" w:color="auto"/>
      </w:divBdr>
    </w:div>
    <w:div w:id="881020317">
      <w:bodyDiv w:val="1"/>
      <w:marLeft w:val="0"/>
      <w:marRight w:val="0"/>
      <w:marTop w:val="0"/>
      <w:marBottom w:val="0"/>
      <w:divBdr>
        <w:top w:val="none" w:sz="0" w:space="0" w:color="auto"/>
        <w:left w:val="none" w:sz="0" w:space="0" w:color="auto"/>
        <w:bottom w:val="none" w:sz="0" w:space="0" w:color="auto"/>
        <w:right w:val="none" w:sz="0" w:space="0" w:color="auto"/>
      </w:divBdr>
    </w:div>
    <w:div w:id="881020699">
      <w:bodyDiv w:val="1"/>
      <w:marLeft w:val="0"/>
      <w:marRight w:val="0"/>
      <w:marTop w:val="0"/>
      <w:marBottom w:val="0"/>
      <w:divBdr>
        <w:top w:val="none" w:sz="0" w:space="0" w:color="auto"/>
        <w:left w:val="none" w:sz="0" w:space="0" w:color="auto"/>
        <w:bottom w:val="none" w:sz="0" w:space="0" w:color="auto"/>
        <w:right w:val="none" w:sz="0" w:space="0" w:color="auto"/>
      </w:divBdr>
    </w:div>
    <w:div w:id="881092892">
      <w:bodyDiv w:val="1"/>
      <w:marLeft w:val="0"/>
      <w:marRight w:val="0"/>
      <w:marTop w:val="0"/>
      <w:marBottom w:val="0"/>
      <w:divBdr>
        <w:top w:val="none" w:sz="0" w:space="0" w:color="auto"/>
        <w:left w:val="none" w:sz="0" w:space="0" w:color="auto"/>
        <w:bottom w:val="none" w:sz="0" w:space="0" w:color="auto"/>
        <w:right w:val="none" w:sz="0" w:space="0" w:color="auto"/>
      </w:divBdr>
    </w:div>
    <w:div w:id="881097042">
      <w:bodyDiv w:val="1"/>
      <w:marLeft w:val="0"/>
      <w:marRight w:val="0"/>
      <w:marTop w:val="0"/>
      <w:marBottom w:val="0"/>
      <w:divBdr>
        <w:top w:val="none" w:sz="0" w:space="0" w:color="auto"/>
        <w:left w:val="none" w:sz="0" w:space="0" w:color="auto"/>
        <w:bottom w:val="none" w:sz="0" w:space="0" w:color="auto"/>
        <w:right w:val="none" w:sz="0" w:space="0" w:color="auto"/>
      </w:divBdr>
    </w:div>
    <w:div w:id="881131698">
      <w:bodyDiv w:val="1"/>
      <w:marLeft w:val="0"/>
      <w:marRight w:val="0"/>
      <w:marTop w:val="0"/>
      <w:marBottom w:val="0"/>
      <w:divBdr>
        <w:top w:val="none" w:sz="0" w:space="0" w:color="auto"/>
        <w:left w:val="none" w:sz="0" w:space="0" w:color="auto"/>
        <w:bottom w:val="none" w:sz="0" w:space="0" w:color="auto"/>
        <w:right w:val="none" w:sz="0" w:space="0" w:color="auto"/>
      </w:divBdr>
    </w:div>
    <w:div w:id="881138793">
      <w:bodyDiv w:val="1"/>
      <w:marLeft w:val="0"/>
      <w:marRight w:val="0"/>
      <w:marTop w:val="0"/>
      <w:marBottom w:val="0"/>
      <w:divBdr>
        <w:top w:val="none" w:sz="0" w:space="0" w:color="auto"/>
        <w:left w:val="none" w:sz="0" w:space="0" w:color="auto"/>
        <w:bottom w:val="none" w:sz="0" w:space="0" w:color="auto"/>
        <w:right w:val="none" w:sz="0" w:space="0" w:color="auto"/>
      </w:divBdr>
    </w:div>
    <w:div w:id="881207779">
      <w:bodyDiv w:val="1"/>
      <w:marLeft w:val="0"/>
      <w:marRight w:val="0"/>
      <w:marTop w:val="0"/>
      <w:marBottom w:val="0"/>
      <w:divBdr>
        <w:top w:val="none" w:sz="0" w:space="0" w:color="auto"/>
        <w:left w:val="none" w:sz="0" w:space="0" w:color="auto"/>
        <w:bottom w:val="none" w:sz="0" w:space="0" w:color="auto"/>
        <w:right w:val="none" w:sz="0" w:space="0" w:color="auto"/>
      </w:divBdr>
    </w:div>
    <w:div w:id="881210768">
      <w:bodyDiv w:val="1"/>
      <w:marLeft w:val="0"/>
      <w:marRight w:val="0"/>
      <w:marTop w:val="0"/>
      <w:marBottom w:val="0"/>
      <w:divBdr>
        <w:top w:val="none" w:sz="0" w:space="0" w:color="auto"/>
        <w:left w:val="none" w:sz="0" w:space="0" w:color="auto"/>
        <w:bottom w:val="none" w:sz="0" w:space="0" w:color="auto"/>
        <w:right w:val="none" w:sz="0" w:space="0" w:color="auto"/>
      </w:divBdr>
    </w:div>
    <w:div w:id="881215780">
      <w:bodyDiv w:val="1"/>
      <w:marLeft w:val="0"/>
      <w:marRight w:val="0"/>
      <w:marTop w:val="0"/>
      <w:marBottom w:val="0"/>
      <w:divBdr>
        <w:top w:val="none" w:sz="0" w:space="0" w:color="auto"/>
        <w:left w:val="none" w:sz="0" w:space="0" w:color="auto"/>
        <w:bottom w:val="none" w:sz="0" w:space="0" w:color="auto"/>
        <w:right w:val="none" w:sz="0" w:space="0" w:color="auto"/>
      </w:divBdr>
    </w:div>
    <w:div w:id="881282837">
      <w:bodyDiv w:val="1"/>
      <w:marLeft w:val="0"/>
      <w:marRight w:val="0"/>
      <w:marTop w:val="0"/>
      <w:marBottom w:val="0"/>
      <w:divBdr>
        <w:top w:val="none" w:sz="0" w:space="0" w:color="auto"/>
        <w:left w:val="none" w:sz="0" w:space="0" w:color="auto"/>
        <w:bottom w:val="none" w:sz="0" w:space="0" w:color="auto"/>
        <w:right w:val="none" w:sz="0" w:space="0" w:color="auto"/>
      </w:divBdr>
    </w:div>
    <w:div w:id="881328174">
      <w:bodyDiv w:val="1"/>
      <w:marLeft w:val="0"/>
      <w:marRight w:val="0"/>
      <w:marTop w:val="0"/>
      <w:marBottom w:val="0"/>
      <w:divBdr>
        <w:top w:val="none" w:sz="0" w:space="0" w:color="auto"/>
        <w:left w:val="none" w:sz="0" w:space="0" w:color="auto"/>
        <w:bottom w:val="none" w:sz="0" w:space="0" w:color="auto"/>
        <w:right w:val="none" w:sz="0" w:space="0" w:color="auto"/>
      </w:divBdr>
    </w:div>
    <w:div w:id="881333704">
      <w:bodyDiv w:val="1"/>
      <w:marLeft w:val="0"/>
      <w:marRight w:val="0"/>
      <w:marTop w:val="0"/>
      <w:marBottom w:val="0"/>
      <w:divBdr>
        <w:top w:val="none" w:sz="0" w:space="0" w:color="auto"/>
        <w:left w:val="none" w:sz="0" w:space="0" w:color="auto"/>
        <w:bottom w:val="none" w:sz="0" w:space="0" w:color="auto"/>
        <w:right w:val="none" w:sz="0" w:space="0" w:color="auto"/>
      </w:divBdr>
    </w:div>
    <w:div w:id="881401826">
      <w:bodyDiv w:val="1"/>
      <w:marLeft w:val="0"/>
      <w:marRight w:val="0"/>
      <w:marTop w:val="0"/>
      <w:marBottom w:val="0"/>
      <w:divBdr>
        <w:top w:val="none" w:sz="0" w:space="0" w:color="auto"/>
        <w:left w:val="none" w:sz="0" w:space="0" w:color="auto"/>
        <w:bottom w:val="none" w:sz="0" w:space="0" w:color="auto"/>
        <w:right w:val="none" w:sz="0" w:space="0" w:color="auto"/>
      </w:divBdr>
    </w:div>
    <w:div w:id="881554945">
      <w:bodyDiv w:val="1"/>
      <w:marLeft w:val="0"/>
      <w:marRight w:val="0"/>
      <w:marTop w:val="0"/>
      <w:marBottom w:val="0"/>
      <w:divBdr>
        <w:top w:val="none" w:sz="0" w:space="0" w:color="auto"/>
        <w:left w:val="none" w:sz="0" w:space="0" w:color="auto"/>
        <w:bottom w:val="none" w:sz="0" w:space="0" w:color="auto"/>
        <w:right w:val="none" w:sz="0" w:space="0" w:color="auto"/>
      </w:divBdr>
    </w:div>
    <w:div w:id="881555937">
      <w:bodyDiv w:val="1"/>
      <w:marLeft w:val="0"/>
      <w:marRight w:val="0"/>
      <w:marTop w:val="0"/>
      <w:marBottom w:val="0"/>
      <w:divBdr>
        <w:top w:val="none" w:sz="0" w:space="0" w:color="auto"/>
        <w:left w:val="none" w:sz="0" w:space="0" w:color="auto"/>
        <w:bottom w:val="none" w:sz="0" w:space="0" w:color="auto"/>
        <w:right w:val="none" w:sz="0" w:space="0" w:color="auto"/>
      </w:divBdr>
    </w:div>
    <w:div w:id="881556106">
      <w:bodyDiv w:val="1"/>
      <w:marLeft w:val="0"/>
      <w:marRight w:val="0"/>
      <w:marTop w:val="0"/>
      <w:marBottom w:val="0"/>
      <w:divBdr>
        <w:top w:val="none" w:sz="0" w:space="0" w:color="auto"/>
        <w:left w:val="none" w:sz="0" w:space="0" w:color="auto"/>
        <w:bottom w:val="none" w:sz="0" w:space="0" w:color="auto"/>
        <w:right w:val="none" w:sz="0" w:space="0" w:color="auto"/>
      </w:divBdr>
    </w:div>
    <w:div w:id="881602368">
      <w:bodyDiv w:val="1"/>
      <w:marLeft w:val="0"/>
      <w:marRight w:val="0"/>
      <w:marTop w:val="0"/>
      <w:marBottom w:val="0"/>
      <w:divBdr>
        <w:top w:val="none" w:sz="0" w:space="0" w:color="auto"/>
        <w:left w:val="none" w:sz="0" w:space="0" w:color="auto"/>
        <w:bottom w:val="none" w:sz="0" w:space="0" w:color="auto"/>
        <w:right w:val="none" w:sz="0" w:space="0" w:color="auto"/>
      </w:divBdr>
    </w:div>
    <w:div w:id="881673637">
      <w:bodyDiv w:val="1"/>
      <w:marLeft w:val="0"/>
      <w:marRight w:val="0"/>
      <w:marTop w:val="0"/>
      <w:marBottom w:val="0"/>
      <w:divBdr>
        <w:top w:val="none" w:sz="0" w:space="0" w:color="auto"/>
        <w:left w:val="none" w:sz="0" w:space="0" w:color="auto"/>
        <w:bottom w:val="none" w:sz="0" w:space="0" w:color="auto"/>
        <w:right w:val="none" w:sz="0" w:space="0" w:color="auto"/>
      </w:divBdr>
    </w:div>
    <w:div w:id="881744449">
      <w:bodyDiv w:val="1"/>
      <w:marLeft w:val="0"/>
      <w:marRight w:val="0"/>
      <w:marTop w:val="0"/>
      <w:marBottom w:val="0"/>
      <w:divBdr>
        <w:top w:val="none" w:sz="0" w:space="0" w:color="auto"/>
        <w:left w:val="none" w:sz="0" w:space="0" w:color="auto"/>
        <w:bottom w:val="none" w:sz="0" w:space="0" w:color="auto"/>
        <w:right w:val="none" w:sz="0" w:space="0" w:color="auto"/>
      </w:divBdr>
    </w:div>
    <w:div w:id="881745430">
      <w:bodyDiv w:val="1"/>
      <w:marLeft w:val="0"/>
      <w:marRight w:val="0"/>
      <w:marTop w:val="0"/>
      <w:marBottom w:val="0"/>
      <w:divBdr>
        <w:top w:val="none" w:sz="0" w:space="0" w:color="auto"/>
        <w:left w:val="none" w:sz="0" w:space="0" w:color="auto"/>
        <w:bottom w:val="none" w:sz="0" w:space="0" w:color="auto"/>
        <w:right w:val="none" w:sz="0" w:space="0" w:color="auto"/>
      </w:divBdr>
    </w:div>
    <w:div w:id="881790243">
      <w:bodyDiv w:val="1"/>
      <w:marLeft w:val="0"/>
      <w:marRight w:val="0"/>
      <w:marTop w:val="0"/>
      <w:marBottom w:val="0"/>
      <w:divBdr>
        <w:top w:val="none" w:sz="0" w:space="0" w:color="auto"/>
        <w:left w:val="none" w:sz="0" w:space="0" w:color="auto"/>
        <w:bottom w:val="none" w:sz="0" w:space="0" w:color="auto"/>
        <w:right w:val="none" w:sz="0" w:space="0" w:color="auto"/>
      </w:divBdr>
    </w:div>
    <w:div w:id="881795793">
      <w:bodyDiv w:val="1"/>
      <w:marLeft w:val="0"/>
      <w:marRight w:val="0"/>
      <w:marTop w:val="0"/>
      <w:marBottom w:val="0"/>
      <w:divBdr>
        <w:top w:val="none" w:sz="0" w:space="0" w:color="auto"/>
        <w:left w:val="none" w:sz="0" w:space="0" w:color="auto"/>
        <w:bottom w:val="none" w:sz="0" w:space="0" w:color="auto"/>
        <w:right w:val="none" w:sz="0" w:space="0" w:color="auto"/>
      </w:divBdr>
    </w:div>
    <w:div w:id="881940051">
      <w:bodyDiv w:val="1"/>
      <w:marLeft w:val="0"/>
      <w:marRight w:val="0"/>
      <w:marTop w:val="0"/>
      <w:marBottom w:val="0"/>
      <w:divBdr>
        <w:top w:val="none" w:sz="0" w:space="0" w:color="auto"/>
        <w:left w:val="none" w:sz="0" w:space="0" w:color="auto"/>
        <w:bottom w:val="none" w:sz="0" w:space="0" w:color="auto"/>
        <w:right w:val="none" w:sz="0" w:space="0" w:color="auto"/>
      </w:divBdr>
    </w:div>
    <w:div w:id="881942967">
      <w:bodyDiv w:val="1"/>
      <w:marLeft w:val="0"/>
      <w:marRight w:val="0"/>
      <w:marTop w:val="0"/>
      <w:marBottom w:val="0"/>
      <w:divBdr>
        <w:top w:val="none" w:sz="0" w:space="0" w:color="auto"/>
        <w:left w:val="none" w:sz="0" w:space="0" w:color="auto"/>
        <w:bottom w:val="none" w:sz="0" w:space="0" w:color="auto"/>
        <w:right w:val="none" w:sz="0" w:space="0" w:color="auto"/>
      </w:divBdr>
    </w:div>
    <w:div w:id="881946081">
      <w:bodyDiv w:val="1"/>
      <w:marLeft w:val="0"/>
      <w:marRight w:val="0"/>
      <w:marTop w:val="0"/>
      <w:marBottom w:val="0"/>
      <w:divBdr>
        <w:top w:val="none" w:sz="0" w:space="0" w:color="auto"/>
        <w:left w:val="none" w:sz="0" w:space="0" w:color="auto"/>
        <w:bottom w:val="none" w:sz="0" w:space="0" w:color="auto"/>
        <w:right w:val="none" w:sz="0" w:space="0" w:color="auto"/>
      </w:divBdr>
    </w:div>
    <w:div w:id="881985447">
      <w:bodyDiv w:val="1"/>
      <w:marLeft w:val="0"/>
      <w:marRight w:val="0"/>
      <w:marTop w:val="0"/>
      <w:marBottom w:val="0"/>
      <w:divBdr>
        <w:top w:val="none" w:sz="0" w:space="0" w:color="auto"/>
        <w:left w:val="none" w:sz="0" w:space="0" w:color="auto"/>
        <w:bottom w:val="none" w:sz="0" w:space="0" w:color="auto"/>
        <w:right w:val="none" w:sz="0" w:space="0" w:color="auto"/>
      </w:divBdr>
    </w:div>
    <w:div w:id="882135336">
      <w:bodyDiv w:val="1"/>
      <w:marLeft w:val="0"/>
      <w:marRight w:val="0"/>
      <w:marTop w:val="0"/>
      <w:marBottom w:val="0"/>
      <w:divBdr>
        <w:top w:val="none" w:sz="0" w:space="0" w:color="auto"/>
        <w:left w:val="none" w:sz="0" w:space="0" w:color="auto"/>
        <w:bottom w:val="none" w:sz="0" w:space="0" w:color="auto"/>
        <w:right w:val="none" w:sz="0" w:space="0" w:color="auto"/>
      </w:divBdr>
    </w:div>
    <w:div w:id="882206097">
      <w:bodyDiv w:val="1"/>
      <w:marLeft w:val="0"/>
      <w:marRight w:val="0"/>
      <w:marTop w:val="0"/>
      <w:marBottom w:val="0"/>
      <w:divBdr>
        <w:top w:val="none" w:sz="0" w:space="0" w:color="auto"/>
        <w:left w:val="none" w:sz="0" w:space="0" w:color="auto"/>
        <w:bottom w:val="none" w:sz="0" w:space="0" w:color="auto"/>
        <w:right w:val="none" w:sz="0" w:space="0" w:color="auto"/>
      </w:divBdr>
    </w:div>
    <w:div w:id="882252186">
      <w:bodyDiv w:val="1"/>
      <w:marLeft w:val="0"/>
      <w:marRight w:val="0"/>
      <w:marTop w:val="0"/>
      <w:marBottom w:val="0"/>
      <w:divBdr>
        <w:top w:val="none" w:sz="0" w:space="0" w:color="auto"/>
        <w:left w:val="none" w:sz="0" w:space="0" w:color="auto"/>
        <w:bottom w:val="none" w:sz="0" w:space="0" w:color="auto"/>
        <w:right w:val="none" w:sz="0" w:space="0" w:color="auto"/>
      </w:divBdr>
    </w:div>
    <w:div w:id="882254961">
      <w:bodyDiv w:val="1"/>
      <w:marLeft w:val="0"/>
      <w:marRight w:val="0"/>
      <w:marTop w:val="0"/>
      <w:marBottom w:val="0"/>
      <w:divBdr>
        <w:top w:val="none" w:sz="0" w:space="0" w:color="auto"/>
        <w:left w:val="none" w:sz="0" w:space="0" w:color="auto"/>
        <w:bottom w:val="none" w:sz="0" w:space="0" w:color="auto"/>
        <w:right w:val="none" w:sz="0" w:space="0" w:color="auto"/>
      </w:divBdr>
    </w:div>
    <w:div w:id="882330506">
      <w:bodyDiv w:val="1"/>
      <w:marLeft w:val="0"/>
      <w:marRight w:val="0"/>
      <w:marTop w:val="0"/>
      <w:marBottom w:val="0"/>
      <w:divBdr>
        <w:top w:val="none" w:sz="0" w:space="0" w:color="auto"/>
        <w:left w:val="none" w:sz="0" w:space="0" w:color="auto"/>
        <w:bottom w:val="none" w:sz="0" w:space="0" w:color="auto"/>
        <w:right w:val="none" w:sz="0" w:space="0" w:color="auto"/>
      </w:divBdr>
    </w:div>
    <w:div w:id="882399792">
      <w:bodyDiv w:val="1"/>
      <w:marLeft w:val="0"/>
      <w:marRight w:val="0"/>
      <w:marTop w:val="0"/>
      <w:marBottom w:val="0"/>
      <w:divBdr>
        <w:top w:val="none" w:sz="0" w:space="0" w:color="auto"/>
        <w:left w:val="none" w:sz="0" w:space="0" w:color="auto"/>
        <w:bottom w:val="none" w:sz="0" w:space="0" w:color="auto"/>
        <w:right w:val="none" w:sz="0" w:space="0" w:color="auto"/>
      </w:divBdr>
    </w:div>
    <w:div w:id="882407001">
      <w:bodyDiv w:val="1"/>
      <w:marLeft w:val="0"/>
      <w:marRight w:val="0"/>
      <w:marTop w:val="0"/>
      <w:marBottom w:val="0"/>
      <w:divBdr>
        <w:top w:val="none" w:sz="0" w:space="0" w:color="auto"/>
        <w:left w:val="none" w:sz="0" w:space="0" w:color="auto"/>
        <w:bottom w:val="none" w:sz="0" w:space="0" w:color="auto"/>
        <w:right w:val="none" w:sz="0" w:space="0" w:color="auto"/>
      </w:divBdr>
    </w:div>
    <w:div w:id="882445618">
      <w:bodyDiv w:val="1"/>
      <w:marLeft w:val="0"/>
      <w:marRight w:val="0"/>
      <w:marTop w:val="0"/>
      <w:marBottom w:val="0"/>
      <w:divBdr>
        <w:top w:val="none" w:sz="0" w:space="0" w:color="auto"/>
        <w:left w:val="none" w:sz="0" w:space="0" w:color="auto"/>
        <w:bottom w:val="none" w:sz="0" w:space="0" w:color="auto"/>
        <w:right w:val="none" w:sz="0" w:space="0" w:color="auto"/>
      </w:divBdr>
    </w:div>
    <w:div w:id="882593381">
      <w:bodyDiv w:val="1"/>
      <w:marLeft w:val="0"/>
      <w:marRight w:val="0"/>
      <w:marTop w:val="0"/>
      <w:marBottom w:val="0"/>
      <w:divBdr>
        <w:top w:val="none" w:sz="0" w:space="0" w:color="auto"/>
        <w:left w:val="none" w:sz="0" w:space="0" w:color="auto"/>
        <w:bottom w:val="none" w:sz="0" w:space="0" w:color="auto"/>
        <w:right w:val="none" w:sz="0" w:space="0" w:color="auto"/>
      </w:divBdr>
    </w:div>
    <w:div w:id="882670293">
      <w:bodyDiv w:val="1"/>
      <w:marLeft w:val="0"/>
      <w:marRight w:val="0"/>
      <w:marTop w:val="0"/>
      <w:marBottom w:val="0"/>
      <w:divBdr>
        <w:top w:val="none" w:sz="0" w:space="0" w:color="auto"/>
        <w:left w:val="none" w:sz="0" w:space="0" w:color="auto"/>
        <w:bottom w:val="none" w:sz="0" w:space="0" w:color="auto"/>
        <w:right w:val="none" w:sz="0" w:space="0" w:color="auto"/>
      </w:divBdr>
    </w:div>
    <w:div w:id="882865881">
      <w:bodyDiv w:val="1"/>
      <w:marLeft w:val="0"/>
      <w:marRight w:val="0"/>
      <w:marTop w:val="0"/>
      <w:marBottom w:val="0"/>
      <w:divBdr>
        <w:top w:val="none" w:sz="0" w:space="0" w:color="auto"/>
        <w:left w:val="none" w:sz="0" w:space="0" w:color="auto"/>
        <w:bottom w:val="none" w:sz="0" w:space="0" w:color="auto"/>
        <w:right w:val="none" w:sz="0" w:space="0" w:color="auto"/>
      </w:divBdr>
    </w:div>
    <w:div w:id="882905421">
      <w:bodyDiv w:val="1"/>
      <w:marLeft w:val="0"/>
      <w:marRight w:val="0"/>
      <w:marTop w:val="0"/>
      <w:marBottom w:val="0"/>
      <w:divBdr>
        <w:top w:val="none" w:sz="0" w:space="0" w:color="auto"/>
        <w:left w:val="none" w:sz="0" w:space="0" w:color="auto"/>
        <w:bottom w:val="none" w:sz="0" w:space="0" w:color="auto"/>
        <w:right w:val="none" w:sz="0" w:space="0" w:color="auto"/>
      </w:divBdr>
    </w:div>
    <w:div w:id="882984463">
      <w:bodyDiv w:val="1"/>
      <w:marLeft w:val="0"/>
      <w:marRight w:val="0"/>
      <w:marTop w:val="0"/>
      <w:marBottom w:val="0"/>
      <w:divBdr>
        <w:top w:val="none" w:sz="0" w:space="0" w:color="auto"/>
        <w:left w:val="none" w:sz="0" w:space="0" w:color="auto"/>
        <w:bottom w:val="none" w:sz="0" w:space="0" w:color="auto"/>
        <w:right w:val="none" w:sz="0" w:space="0" w:color="auto"/>
      </w:divBdr>
    </w:div>
    <w:div w:id="883062517">
      <w:bodyDiv w:val="1"/>
      <w:marLeft w:val="0"/>
      <w:marRight w:val="0"/>
      <w:marTop w:val="0"/>
      <w:marBottom w:val="0"/>
      <w:divBdr>
        <w:top w:val="none" w:sz="0" w:space="0" w:color="auto"/>
        <w:left w:val="none" w:sz="0" w:space="0" w:color="auto"/>
        <w:bottom w:val="none" w:sz="0" w:space="0" w:color="auto"/>
        <w:right w:val="none" w:sz="0" w:space="0" w:color="auto"/>
      </w:divBdr>
    </w:div>
    <w:div w:id="883100341">
      <w:bodyDiv w:val="1"/>
      <w:marLeft w:val="0"/>
      <w:marRight w:val="0"/>
      <w:marTop w:val="0"/>
      <w:marBottom w:val="0"/>
      <w:divBdr>
        <w:top w:val="none" w:sz="0" w:space="0" w:color="auto"/>
        <w:left w:val="none" w:sz="0" w:space="0" w:color="auto"/>
        <w:bottom w:val="none" w:sz="0" w:space="0" w:color="auto"/>
        <w:right w:val="none" w:sz="0" w:space="0" w:color="auto"/>
      </w:divBdr>
    </w:div>
    <w:div w:id="883104523">
      <w:bodyDiv w:val="1"/>
      <w:marLeft w:val="0"/>
      <w:marRight w:val="0"/>
      <w:marTop w:val="0"/>
      <w:marBottom w:val="0"/>
      <w:divBdr>
        <w:top w:val="none" w:sz="0" w:space="0" w:color="auto"/>
        <w:left w:val="none" w:sz="0" w:space="0" w:color="auto"/>
        <w:bottom w:val="none" w:sz="0" w:space="0" w:color="auto"/>
        <w:right w:val="none" w:sz="0" w:space="0" w:color="auto"/>
      </w:divBdr>
    </w:div>
    <w:div w:id="883174078">
      <w:bodyDiv w:val="1"/>
      <w:marLeft w:val="0"/>
      <w:marRight w:val="0"/>
      <w:marTop w:val="0"/>
      <w:marBottom w:val="0"/>
      <w:divBdr>
        <w:top w:val="none" w:sz="0" w:space="0" w:color="auto"/>
        <w:left w:val="none" w:sz="0" w:space="0" w:color="auto"/>
        <w:bottom w:val="none" w:sz="0" w:space="0" w:color="auto"/>
        <w:right w:val="none" w:sz="0" w:space="0" w:color="auto"/>
      </w:divBdr>
    </w:div>
    <w:div w:id="883175415">
      <w:bodyDiv w:val="1"/>
      <w:marLeft w:val="0"/>
      <w:marRight w:val="0"/>
      <w:marTop w:val="0"/>
      <w:marBottom w:val="0"/>
      <w:divBdr>
        <w:top w:val="none" w:sz="0" w:space="0" w:color="auto"/>
        <w:left w:val="none" w:sz="0" w:space="0" w:color="auto"/>
        <w:bottom w:val="none" w:sz="0" w:space="0" w:color="auto"/>
        <w:right w:val="none" w:sz="0" w:space="0" w:color="auto"/>
      </w:divBdr>
    </w:div>
    <w:div w:id="883297678">
      <w:bodyDiv w:val="1"/>
      <w:marLeft w:val="0"/>
      <w:marRight w:val="0"/>
      <w:marTop w:val="0"/>
      <w:marBottom w:val="0"/>
      <w:divBdr>
        <w:top w:val="none" w:sz="0" w:space="0" w:color="auto"/>
        <w:left w:val="none" w:sz="0" w:space="0" w:color="auto"/>
        <w:bottom w:val="none" w:sz="0" w:space="0" w:color="auto"/>
        <w:right w:val="none" w:sz="0" w:space="0" w:color="auto"/>
      </w:divBdr>
    </w:div>
    <w:div w:id="883325320">
      <w:bodyDiv w:val="1"/>
      <w:marLeft w:val="0"/>
      <w:marRight w:val="0"/>
      <w:marTop w:val="0"/>
      <w:marBottom w:val="0"/>
      <w:divBdr>
        <w:top w:val="none" w:sz="0" w:space="0" w:color="auto"/>
        <w:left w:val="none" w:sz="0" w:space="0" w:color="auto"/>
        <w:bottom w:val="none" w:sz="0" w:space="0" w:color="auto"/>
        <w:right w:val="none" w:sz="0" w:space="0" w:color="auto"/>
      </w:divBdr>
    </w:div>
    <w:div w:id="883373084">
      <w:bodyDiv w:val="1"/>
      <w:marLeft w:val="0"/>
      <w:marRight w:val="0"/>
      <w:marTop w:val="0"/>
      <w:marBottom w:val="0"/>
      <w:divBdr>
        <w:top w:val="none" w:sz="0" w:space="0" w:color="auto"/>
        <w:left w:val="none" w:sz="0" w:space="0" w:color="auto"/>
        <w:bottom w:val="none" w:sz="0" w:space="0" w:color="auto"/>
        <w:right w:val="none" w:sz="0" w:space="0" w:color="auto"/>
      </w:divBdr>
    </w:div>
    <w:div w:id="883447488">
      <w:bodyDiv w:val="1"/>
      <w:marLeft w:val="0"/>
      <w:marRight w:val="0"/>
      <w:marTop w:val="0"/>
      <w:marBottom w:val="0"/>
      <w:divBdr>
        <w:top w:val="none" w:sz="0" w:space="0" w:color="auto"/>
        <w:left w:val="none" w:sz="0" w:space="0" w:color="auto"/>
        <w:bottom w:val="none" w:sz="0" w:space="0" w:color="auto"/>
        <w:right w:val="none" w:sz="0" w:space="0" w:color="auto"/>
      </w:divBdr>
    </w:div>
    <w:div w:id="883523119">
      <w:bodyDiv w:val="1"/>
      <w:marLeft w:val="0"/>
      <w:marRight w:val="0"/>
      <w:marTop w:val="0"/>
      <w:marBottom w:val="0"/>
      <w:divBdr>
        <w:top w:val="none" w:sz="0" w:space="0" w:color="auto"/>
        <w:left w:val="none" w:sz="0" w:space="0" w:color="auto"/>
        <w:bottom w:val="none" w:sz="0" w:space="0" w:color="auto"/>
        <w:right w:val="none" w:sz="0" w:space="0" w:color="auto"/>
      </w:divBdr>
    </w:div>
    <w:div w:id="883710793">
      <w:bodyDiv w:val="1"/>
      <w:marLeft w:val="0"/>
      <w:marRight w:val="0"/>
      <w:marTop w:val="0"/>
      <w:marBottom w:val="0"/>
      <w:divBdr>
        <w:top w:val="none" w:sz="0" w:space="0" w:color="auto"/>
        <w:left w:val="none" w:sz="0" w:space="0" w:color="auto"/>
        <w:bottom w:val="none" w:sz="0" w:space="0" w:color="auto"/>
        <w:right w:val="none" w:sz="0" w:space="0" w:color="auto"/>
      </w:divBdr>
    </w:div>
    <w:div w:id="883713577">
      <w:bodyDiv w:val="1"/>
      <w:marLeft w:val="0"/>
      <w:marRight w:val="0"/>
      <w:marTop w:val="0"/>
      <w:marBottom w:val="0"/>
      <w:divBdr>
        <w:top w:val="none" w:sz="0" w:space="0" w:color="auto"/>
        <w:left w:val="none" w:sz="0" w:space="0" w:color="auto"/>
        <w:bottom w:val="none" w:sz="0" w:space="0" w:color="auto"/>
        <w:right w:val="none" w:sz="0" w:space="0" w:color="auto"/>
      </w:divBdr>
    </w:div>
    <w:div w:id="883830466">
      <w:bodyDiv w:val="1"/>
      <w:marLeft w:val="0"/>
      <w:marRight w:val="0"/>
      <w:marTop w:val="0"/>
      <w:marBottom w:val="0"/>
      <w:divBdr>
        <w:top w:val="none" w:sz="0" w:space="0" w:color="auto"/>
        <w:left w:val="none" w:sz="0" w:space="0" w:color="auto"/>
        <w:bottom w:val="none" w:sz="0" w:space="0" w:color="auto"/>
        <w:right w:val="none" w:sz="0" w:space="0" w:color="auto"/>
      </w:divBdr>
    </w:div>
    <w:div w:id="883903226">
      <w:bodyDiv w:val="1"/>
      <w:marLeft w:val="0"/>
      <w:marRight w:val="0"/>
      <w:marTop w:val="0"/>
      <w:marBottom w:val="0"/>
      <w:divBdr>
        <w:top w:val="none" w:sz="0" w:space="0" w:color="auto"/>
        <w:left w:val="none" w:sz="0" w:space="0" w:color="auto"/>
        <w:bottom w:val="none" w:sz="0" w:space="0" w:color="auto"/>
        <w:right w:val="none" w:sz="0" w:space="0" w:color="auto"/>
      </w:divBdr>
    </w:div>
    <w:div w:id="883904836">
      <w:bodyDiv w:val="1"/>
      <w:marLeft w:val="0"/>
      <w:marRight w:val="0"/>
      <w:marTop w:val="0"/>
      <w:marBottom w:val="0"/>
      <w:divBdr>
        <w:top w:val="none" w:sz="0" w:space="0" w:color="auto"/>
        <w:left w:val="none" w:sz="0" w:space="0" w:color="auto"/>
        <w:bottom w:val="none" w:sz="0" w:space="0" w:color="auto"/>
        <w:right w:val="none" w:sz="0" w:space="0" w:color="auto"/>
      </w:divBdr>
    </w:div>
    <w:div w:id="884028463">
      <w:bodyDiv w:val="1"/>
      <w:marLeft w:val="0"/>
      <w:marRight w:val="0"/>
      <w:marTop w:val="0"/>
      <w:marBottom w:val="0"/>
      <w:divBdr>
        <w:top w:val="none" w:sz="0" w:space="0" w:color="auto"/>
        <w:left w:val="none" w:sz="0" w:space="0" w:color="auto"/>
        <w:bottom w:val="none" w:sz="0" w:space="0" w:color="auto"/>
        <w:right w:val="none" w:sz="0" w:space="0" w:color="auto"/>
      </w:divBdr>
    </w:div>
    <w:div w:id="884173422">
      <w:bodyDiv w:val="1"/>
      <w:marLeft w:val="0"/>
      <w:marRight w:val="0"/>
      <w:marTop w:val="0"/>
      <w:marBottom w:val="0"/>
      <w:divBdr>
        <w:top w:val="none" w:sz="0" w:space="0" w:color="auto"/>
        <w:left w:val="none" w:sz="0" w:space="0" w:color="auto"/>
        <w:bottom w:val="none" w:sz="0" w:space="0" w:color="auto"/>
        <w:right w:val="none" w:sz="0" w:space="0" w:color="auto"/>
      </w:divBdr>
    </w:div>
    <w:div w:id="884289752">
      <w:bodyDiv w:val="1"/>
      <w:marLeft w:val="0"/>
      <w:marRight w:val="0"/>
      <w:marTop w:val="0"/>
      <w:marBottom w:val="0"/>
      <w:divBdr>
        <w:top w:val="none" w:sz="0" w:space="0" w:color="auto"/>
        <w:left w:val="none" w:sz="0" w:space="0" w:color="auto"/>
        <w:bottom w:val="none" w:sz="0" w:space="0" w:color="auto"/>
        <w:right w:val="none" w:sz="0" w:space="0" w:color="auto"/>
      </w:divBdr>
    </w:div>
    <w:div w:id="884372109">
      <w:bodyDiv w:val="1"/>
      <w:marLeft w:val="0"/>
      <w:marRight w:val="0"/>
      <w:marTop w:val="0"/>
      <w:marBottom w:val="0"/>
      <w:divBdr>
        <w:top w:val="none" w:sz="0" w:space="0" w:color="auto"/>
        <w:left w:val="none" w:sz="0" w:space="0" w:color="auto"/>
        <w:bottom w:val="none" w:sz="0" w:space="0" w:color="auto"/>
        <w:right w:val="none" w:sz="0" w:space="0" w:color="auto"/>
      </w:divBdr>
    </w:div>
    <w:div w:id="884372854">
      <w:bodyDiv w:val="1"/>
      <w:marLeft w:val="0"/>
      <w:marRight w:val="0"/>
      <w:marTop w:val="0"/>
      <w:marBottom w:val="0"/>
      <w:divBdr>
        <w:top w:val="none" w:sz="0" w:space="0" w:color="auto"/>
        <w:left w:val="none" w:sz="0" w:space="0" w:color="auto"/>
        <w:bottom w:val="none" w:sz="0" w:space="0" w:color="auto"/>
        <w:right w:val="none" w:sz="0" w:space="0" w:color="auto"/>
      </w:divBdr>
    </w:div>
    <w:div w:id="884413008">
      <w:bodyDiv w:val="1"/>
      <w:marLeft w:val="0"/>
      <w:marRight w:val="0"/>
      <w:marTop w:val="0"/>
      <w:marBottom w:val="0"/>
      <w:divBdr>
        <w:top w:val="none" w:sz="0" w:space="0" w:color="auto"/>
        <w:left w:val="none" w:sz="0" w:space="0" w:color="auto"/>
        <w:bottom w:val="none" w:sz="0" w:space="0" w:color="auto"/>
        <w:right w:val="none" w:sz="0" w:space="0" w:color="auto"/>
      </w:divBdr>
    </w:div>
    <w:div w:id="884416556">
      <w:bodyDiv w:val="1"/>
      <w:marLeft w:val="0"/>
      <w:marRight w:val="0"/>
      <w:marTop w:val="0"/>
      <w:marBottom w:val="0"/>
      <w:divBdr>
        <w:top w:val="none" w:sz="0" w:space="0" w:color="auto"/>
        <w:left w:val="none" w:sz="0" w:space="0" w:color="auto"/>
        <w:bottom w:val="none" w:sz="0" w:space="0" w:color="auto"/>
        <w:right w:val="none" w:sz="0" w:space="0" w:color="auto"/>
      </w:divBdr>
    </w:div>
    <w:div w:id="884607162">
      <w:bodyDiv w:val="1"/>
      <w:marLeft w:val="0"/>
      <w:marRight w:val="0"/>
      <w:marTop w:val="0"/>
      <w:marBottom w:val="0"/>
      <w:divBdr>
        <w:top w:val="none" w:sz="0" w:space="0" w:color="auto"/>
        <w:left w:val="none" w:sz="0" w:space="0" w:color="auto"/>
        <w:bottom w:val="none" w:sz="0" w:space="0" w:color="auto"/>
        <w:right w:val="none" w:sz="0" w:space="0" w:color="auto"/>
      </w:divBdr>
    </w:div>
    <w:div w:id="884633980">
      <w:bodyDiv w:val="1"/>
      <w:marLeft w:val="0"/>
      <w:marRight w:val="0"/>
      <w:marTop w:val="0"/>
      <w:marBottom w:val="0"/>
      <w:divBdr>
        <w:top w:val="none" w:sz="0" w:space="0" w:color="auto"/>
        <w:left w:val="none" w:sz="0" w:space="0" w:color="auto"/>
        <w:bottom w:val="none" w:sz="0" w:space="0" w:color="auto"/>
        <w:right w:val="none" w:sz="0" w:space="0" w:color="auto"/>
      </w:divBdr>
    </w:div>
    <w:div w:id="884636939">
      <w:bodyDiv w:val="1"/>
      <w:marLeft w:val="0"/>
      <w:marRight w:val="0"/>
      <w:marTop w:val="0"/>
      <w:marBottom w:val="0"/>
      <w:divBdr>
        <w:top w:val="none" w:sz="0" w:space="0" w:color="auto"/>
        <w:left w:val="none" w:sz="0" w:space="0" w:color="auto"/>
        <w:bottom w:val="none" w:sz="0" w:space="0" w:color="auto"/>
        <w:right w:val="none" w:sz="0" w:space="0" w:color="auto"/>
      </w:divBdr>
    </w:div>
    <w:div w:id="884677946">
      <w:bodyDiv w:val="1"/>
      <w:marLeft w:val="0"/>
      <w:marRight w:val="0"/>
      <w:marTop w:val="0"/>
      <w:marBottom w:val="0"/>
      <w:divBdr>
        <w:top w:val="none" w:sz="0" w:space="0" w:color="auto"/>
        <w:left w:val="none" w:sz="0" w:space="0" w:color="auto"/>
        <w:bottom w:val="none" w:sz="0" w:space="0" w:color="auto"/>
        <w:right w:val="none" w:sz="0" w:space="0" w:color="auto"/>
      </w:divBdr>
    </w:div>
    <w:div w:id="884682307">
      <w:bodyDiv w:val="1"/>
      <w:marLeft w:val="0"/>
      <w:marRight w:val="0"/>
      <w:marTop w:val="0"/>
      <w:marBottom w:val="0"/>
      <w:divBdr>
        <w:top w:val="none" w:sz="0" w:space="0" w:color="auto"/>
        <w:left w:val="none" w:sz="0" w:space="0" w:color="auto"/>
        <w:bottom w:val="none" w:sz="0" w:space="0" w:color="auto"/>
        <w:right w:val="none" w:sz="0" w:space="0" w:color="auto"/>
      </w:divBdr>
    </w:div>
    <w:div w:id="884753352">
      <w:bodyDiv w:val="1"/>
      <w:marLeft w:val="0"/>
      <w:marRight w:val="0"/>
      <w:marTop w:val="0"/>
      <w:marBottom w:val="0"/>
      <w:divBdr>
        <w:top w:val="none" w:sz="0" w:space="0" w:color="auto"/>
        <w:left w:val="none" w:sz="0" w:space="0" w:color="auto"/>
        <w:bottom w:val="none" w:sz="0" w:space="0" w:color="auto"/>
        <w:right w:val="none" w:sz="0" w:space="0" w:color="auto"/>
      </w:divBdr>
    </w:div>
    <w:div w:id="884760579">
      <w:bodyDiv w:val="1"/>
      <w:marLeft w:val="0"/>
      <w:marRight w:val="0"/>
      <w:marTop w:val="0"/>
      <w:marBottom w:val="0"/>
      <w:divBdr>
        <w:top w:val="none" w:sz="0" w:space="0" w:color="auto"/>
        <w:left w:val="none" w:sz="0" w:space="0" w:color="auto"/>
        <w:bottom w:val="none" w:sz="0" w:space="0" w:color="auto"/>
        <w:right w:val="none" w:sz="0" w:space="0" w:color="auto"/>
      </w:divBdr>
    </w:div>
    <w:div w:id="884803365">
      <w:bodyDiv w:val="1"/>
      <w:marLeft w:val="0"/>
      <w:marRight w:val="0"/>
      <w:marTop w:val="0"/>
      <w:marBottom w:val="0"/>
      <w:divBdr>
        <w:top w:val="none" w:sz="0" w:space="0" w:color="auto"/>
        <w:left w:val="none" w:sz="0" w:space="0" w:color="auto"/>
        <w:bottom w:val="none" w:sz="0" w:space="0" w:color="auto"/>
        <w:right w:val="none" w:sz="0" w:space="0" w:color="auto"/>
      </w:divBdr>
      <w:divsChild>
        <w:div w:id="6685692">
          <w:marLeft w:val="0"/>
          <w:marRight w:val="0"/>
          <w:marTop w:val="0"/>
          <w:marBottom w:val="0"/>
          <w:divBdr>
            <w:top w:val="none" w:sz="0" w:space="0" w:color="auto"/>
            <w:left w:val="none" w:sz="0" w:space="0" w:color="auto"/>
            <w:bottom w:val="none" w:sz="0" w:space="0" w:color="auto"/>
            <w:right w:val="none" w:sz="0" w:space="0" w:color="auto"/>
          </w:divBdr>
        </w:div>
        <w:div w:id="13658131">
          <w:marLeft w:val="0"/>
          <w:marRight w:val="0"/>
          <w:marTop w:val="0"/>
          <w:marBottom w:val="0"/>
          <w:divBdr>
            <w:top w:val="none" w:sz="0" w:space="0" w:color="auto"/>
            <w:left w:val="none" w:sz="0" w:space="0" w:color="auto"/>
            <w:bottom w:val="none" w:sz="0" w:space="0" w:color="auto"/>
            <w:right w:val="none" w:sz="0" w:space="0" w:color="auto"/>
          </w:divBdr>
        </w:div>
        <w:div w:id="34546058">
          <w:marLeft w:val="0"/>
          <w:marRight w:val="0"/>
          <w:marTop w:val="0"/>
          <w:marBottom w:val="0"/>
          <w:divBdr>
            <w:top w:val="none" w:sz="0" w:space="0" w:color="auto"/>
            <w:left w:val="none" w:sz="0" w:space="0" w:color="auto"/>
            <w:bottom w:val="none" w:sz="0" w:space="0" w:color="auto"/>
            <w:right w:val="none" w:sz="0" w:space="0" w:color="auto"/>
          </w:divBdr>
        </w:div>
        <w:div w:id="44374221">
          <w:marLeft w:val="0"/>
          <w:marRight w:val="0"/>
          <w:marTop w:val="0"/>
          <w:marBottom w:val="0"/>
          <w:divBdr>
            <w:top w:val="none" w:sz="0" w:space="0" w:color="auto"/>
            <w:left w:val="none" w:sz="0" w:space="0" w:color="auto"/>
            <w:bottom w:val="none" w:sz="0" w:space="0" w:color="auto"/>
            <w:right w:val="none" w:sz="0" w:space="0" w:color="auto"/>
          </w:divBdr>
        </w:div>
        <w:div w:id="49430302">
          <w:marLeft w:val="0"/>
          <w:marRight w:val="0"/>
          <w:marTop w:val="0"/>
          <w:marBottom w:val="0"/>
          <w:divBdr>
            <w:top w:val="none" w:sz="0" w:space="0" w:color="auto"/>
            <w:left w:val="none" w:sz="0" w:space="0" w:color="auto"/>
            <w:bottom w:val="none" w:sz="0" w:space="0" w:color="auto"/>
            <w:right w:val="none" w:sz="0" w:space="0" w:color="auto"/>
          </w:divBdr>
        </w:div>
        <w:div w:id="62458796">
          <w:marLeft w:val="0"/>
          <w:marRight w:val="0"/>
          <w:marTop w:val="0"/>
          <w:marBottom w:val="0"/>
          <w:divBdr>
            <w:top w:val="none" w:sz="0" w:space="0" w:color="auto"/>
            <w:left w:val="none" w:sz="0" w:space="0" w:color="auto"/>
            <w:bottom w:val="none" w:sz="0" w:space="0" w:color="auto"/>
            <w:right w:val="none" w:sz="0" w:space="0" w:color="auto"/>
          </w:divBdr>
        </w:div>
        <w:div w:id="81726680">
          <w:marLeft w:val="0"/>
          <w:marRight w:val="0"/>
          <w:marTop w:val="0"/>
          <w:marBottom w:val="0"/>
          <w:divBdr>
            <w:top w:val="none" w:sz="0" w:space="0" w:color="auto"/>
            <w:left w:val="none" w:sz="0" w:space="0" w:color="auto"/>
            <w:bottom w:val="none" w:sz="0" w:space="0" w:color="auto"/>
            <w:right w:val="none" w:sz="0" w:space="0" w:color="auto"/>
          </w:divBdr>
        </w:div>
        <w:div w:id="87046770">
          <w:marLeft w:val="0"/>
          <w:marRight w:val="0"/>
          <w:marTop w:val="0"/>
          <w:marBottom w:val="0"/>
          <w:divBdr>
            <w:top w:val="none" w:sz="0" w:space="0" w:color="auto"/>
            <w:left w:val="none" w:sz="0" w:space="0" w:color="auto"/>
            <w:bottom w:val="none" w:sz="0" w:space="0" w:color="auto"/>
            <w:right w:val="none" w:sz="0" w:space="0" w:color="auto"/>
          </w:divBdr>
        </w:div>
        <w:div w:id="102118041">
          <w:marLeft w:val="0"/>
          <w:marRight w:val="0"/>
          <w:marTop w:val="0"/>
          <w:marBottom w:val="0"/>
          <w:divBdr>
            <w:top w:val="none" w:sz="0" w:space="0" w:color="auto"/>
            <w:left w:val="none" w:sz="0" w:space="0" w:color="auto"/>
            <w:bottom w:val="none" w:sz="0" w:space="0" w:color="auto"/>
            <w:right w:val="none" w:sz="0" w:space="0" w:color="auto"/>
          </w:divBdr>
        </w:div>
        <w:div w:id="120879833">
          <w:marLeft w:val="0"/>
          <w:marRight w:val="0"/>
          <w:marTop w:val="0"/>
          <w:marBottom w:val="0"/>
          <w:divBdr>
            <w:top w:val="none" w:sz="0" w:space="0" w:color="auto"/>
            <w:left w:val="none" w:sz="0" w:space="0" w:color="auto"/>
            <w:bottom w:val="none" w:sz="0" w:space="0" w:color="auto"/>
            <w:right w:val="none" w:sz="0" w:space="0" w:color="auto"/>
          </w:divBdr>
        </w:div>
        <w:div w:id="146551458">
          <w:marLeft w:val="0"/>
          <w:marRight w:val="0"/>
          <w:marTop w:val="0"/>
          <w:marBottom w:val="0"/>
          <w:divBdr>
            <w:top w:val="none" w:sz="0" w:space="0" w:color="auto"/>
            <w:left w:val="none" w:sz="0" w:space="0" w:color="auto"/>
            <w:bottom w:val="none" w:sz="0" w:space="0" w:color="auto"/>
            <w:right w:val="none" w:sz="0" w:space="0" w:color="auto"/>
          </w:divBdr>
        </w:div>
        <w:div w:id="149450260">
          <w:marLeft w:val="0"/>
          <w:marRight w:val="0"/>
          <w:marTop w:val="0"/>
          <w:marBottom w:val="0"/>
          <w:divBdr>
            <w:top w:val="none" w:sz="0" w:space="0" w:color="auto"/>
            <w:left w:val="none" w:sz="0" w:space="0" w:color="auto"/>
            <w:bottom w:val="none" w:sz="0" w:space="0" w:color="auto"/>
            <w:right w:val="none" w:sz="0" w:space="0" w:color="auto"/>
          </w:divBdr>
        </w:div>
        <w:div w:id="199631664">
          <w:marLeft w:val="0"/>
          <w:marRight w:val="0"/>
          <w:marTop w:val="0"/>
          <w:marBottom w:val="0"/>
          <w:divBdr>
            <w:top w:val="none" w:sz="0" w:space="0" w:color="auto"/>
            <w:left w:val="none" w:sz="0" w:space="0" w:color="auto"/>
            <w:bottom w:val="none" w:sz="0" w:space="0" w:color="auto"/>
            <w:right w:val="none" w:sz="0" w:space="0" w:color="auto"/>
          </w:divBdr>
        </w:div>
        <w:div w:id="228616489">
          <w:marLeft w:val="0"/>
          <w:marRight w:val="0"/>
          <w:marTop w:val="0"/>
          <w:marBottom w:val="0"/>
          <w:divBdr>
            <w:top w:val="none" w:sz="0" w:space="0" w:color="auto"/>
            <w:left w:val="none" w:sz="0" w:space="0" w:color="auto"/>
            <w:bottom w:val="none" w:sz="0" w:space="0" w:color="auto"/>
            <w:right w:val="none" w:sz="0" w:space="0" w:color="auto"/>
          </w:divBdr>
        </w:div>
        <w:div w:id="279580374">
          <w:marLeft w:val="0"/>
          <w:marRight w:val="0"/>
          <w:marTop w:val="0"/>
          <w:marBottom w:val="0"/>
          <w:divBdr>
            <w:top w:val="none" w:sz="0" w:space="0" w:color="auto"/>
            <w:left w:val="none" w:sz="0" w:space="0" w:color="auto"/>
            <w:bottom w:val="none" w:sz="0" w:space="0" w:color="auto"/>
            <w:right w:val="none" w:sz="0" w:space="0" w:color="auto"/>
          </w:divBdr>
        </w:div>
        <w:div w:id="291402036">
          <w:marLeft w:val="0"/>
          <w:marRight w:val="0"/>
          <w:marTop w:val="0"/>
          <w:marBottom w:val="0"/>
          <w:divBdr>
            <w:top w:val="none" w:sz="0" w:space="0" w:color="auto"/>
            <w:left w:val="none" w:sz="0" w:space="0" w:color="auto"/>
            <w:bottom w:val="none" w:sz="0" w:space="0" w:color="auto"/>
            <w:right w:val="none" w:sz="0" w:space="0" w:color="auto"/>
          </w:divBdr>
        </w:div>
        <w:div w:id="291525472">
          <w:marLeft w:val="0"/>
          <w:marRight w:val="0"/>
          <w:marTop w:val="0"/>
          <w:marBottom w:val="0"/>
          <w:divBdr>
            <w:top w:val="none" w:sz="0" w:space="0" w:color="auto"/>
            <w:left w:val="none" w:sz="0" w:space="0" w:color="auto"/>
            <w:bottom w:val="none" w:sz="0" w:space="0" w:color="auto"/>
            <w:right w:val="none" w:sz="0" w:space="0" w:color="auto"/>
          </w:divBdr>
        </w:div>
        <w:div w:id="293411158">
          <w:marLeft w:val="0"/>
          <w:marRight w:val="0"/>
          <w:marTop w:val="0"/>
          <w:marBottom w:val="0"/>
          <w:divBdr>
            <w:top w:val="none" w:sz="0" w:space="0" w:color="auto"/>
            <w:left w:val="none" w:sz="0" w:space="0" w:color="auto"/>
            <w:bottom w:val="none" w:sz="0" w:space="0" w:color="auto"/>
            <w:right w:val="none" w:sz="0" w:space="0" w:color="auto"/>
          </w:divBdr>
        </w:div>
        <w:div w:id="301235511">
          <w:marLeft w:val="0"/>
          <w:marRight w:val="0"/>
          <w:marTop w:val="0"/>
          <w:marBottom w:val="0"/>
          <w:divBdr>
            <w:top w:val="none" w:sz="0" w:space="0" w:color="auto"/>
            <w:left w:val="none" w:sz="0" w:space="0" w:color="auto"/>
            <w:bottom w:val="none" w:sz="0" w:space="0" w:color="auto"/>
            <w:right w:val="none" w:sz="0" w:space="0" w:color="auto"/>
          </w:divBdr>
        </w:div>
        <w:div w:id="321811582">
          <w:marLeft w:val="0"/>
          <w:marRight w:val="0"/>
          <w:marTop w:val="0"/>
          <w:marBottom w:val="0"/>
          <w:divBdr>
            <w:top w:val="none" w:sz="0" w:space="0" w:color="auto"/>
            <w:left w:val="none" w:sz="0" w:space="0" w:color="auto"/>
            <w:bottom w:val="none" w:sz="0" w:space="0" w:color="auto"/>
            <w:right w:val="none" w:sz="0" w:space="0" w:color="auto"/>
          </w:divBdr>
        </w:div>
        <w:div w:id="325672418">
          <w:marLeft w:val="0"/>
          <w:marRight w:val="0"/>
          <w:marTop w:val="0"/>
          <w:marBottom w:val="0"/>
          <w:divBdr>
            <w:top w:val="none" w:sz="0" w:space="0" w:color="auto"/>
            <w:left w:val="none" w:sz="0" w:space="0" w:color="auto"/>
            <w:bottom w:val="none" w:sz="0" w:space="0" w:color="auto"/>
            <w:right w:val="none" w:sz="0" w:space="0" w:color="auto"/>
          </w:divBdr>
        </w:div>
        <w:div w:id="341930511">
          <w:marLeft w:val="0"/>
          <w:marRight w:val="0"/>
          <w:marTop w:val="0"/>
          <w:marBottom w:val="0"/>
          <w:divBdr>
            <w:top w:val="none" w:sz="0" w:space="0" w:color="auto"/>
            <w:left w:val="none" w:sz="0" w:space="0" w:color="auto"/>
            <w:bottom w:val="none" w:sz="0" w:space="0" w:color="auto"/>
            <w:right w:val="none" w:sz="0" w:space="0" w:color="auto"/>
          </w:divBdr>
        </w:div>
        <w:div w:id="350187039">
          <w:marLeft w:val="0"/>
          <w:marRight w:val="0"/>
          <w:marTop w:val="0"/>
          <w:marBottom w:val="0"/>
          <w:divBdr>
            <w:top w:val="none" w:sz="0" w:space="0" w:color="auto"/>
            <w:left w:val="none" w:sz="0" w:space="0" w:color="auto"/>
            <w:bottom w:val="none" w:sz="0" w:space="0" w:color="auto"/>
            <w:right w:val="none" w:sz="0" w:space="0" w:color="auto"/>
          </w:divBdr>
        </w:div>
        <w:div w:id="363676565">
          <w:marLeft w:val="0"/>
          <w:marRight w:val="0"/>
          <w:marTop w:val="0"/>
          <w:marBottom w:val="0"/>
          <w:divBdr>
            <w:top w:val="none" w:sz="0" w:space="0" w:color="auto"/>
            <w:left w:val="none" w:sz="0" w:space="0" w:color="auto"/>
            <w:bottom w:val="none" w:sz="0" w:space="0" w:color="auto"/>
            <w:right w:val="none" w:sz="0" w:space="0" w:color="auto"/>
          </w:divBdr>
        </w:div>
        <w:div w:id="379403712">
          <w:marLeft w:val="0"/>
          <w:marRight w:val="0"/>
          <w:marTop w:val="0"/>
          <w:marBottom w:val="0"/>
          <w:divBdr>
            <w:top w:val="none" w:sz="0" w:space="0" w:color="auto"/>
            <w:left w:val="none" w:sz="0" w:space="0" w:color="auto"/>
            <w:bottom w:val="none" w:sz="0" w:space="0" w:color="auto"/>
            <w:right w:val="none" w:sz="0" w:space="0" w:color="auto"/>
          </w:divBdr>
        </w:div>
        <w:div w:id="380253583">
          <w:marLeft w:val="0"/>
          <w:marRight w:val="0"/>
          <w:marTop w:val="0"/>
          <w:marBottom w:val="0"/>
          <w:divBdr>
            <w:top w:val="none" w:sz="0" w:space="0" w:color="auto"/>
            <w:left w:val="none" w:sz="0" w:space="0" w:color="auto"/>
            <w:bottom w:val="none" w:sz="0" w:space="0" w:color="auto"/>
            <w:right w:val="none" w:sz="0" w:space="0" w:color="auto"/>
          </w:divBdr>
        </w:div>
        <w:div w:id="387655175">
          <w:marLeft w:val="0"/>
          <w:marRight w:val="0"/>
          <w:marTop w:val="0"/>
          <w:marBottom w:val="0"/>
          <w:divBdr>
            <w:top w:val="none" w:sz="0" w:space="0" w:color="auto"/>
            <w:left w:val="none" w:sz="0" w:space="0" w:color="auto"/>
            <w:bottom w:val="none" w:sz="0" w:space="0" w:color="auto"/>
            <w:right w:val="none" w:sz="0" w:space="0" w:color="auto"/>
          </w:divBdr>
        </w:div>
        <w:div w:id="396586145">
          <w:marLeft w:val="0"/>
          <w:marRight w:val="0"/>
          <w:marTop w:val="0"/>
          <w:marBottom w:val="0"/>
          <w:divBdr>
            <w:top w:val="none" w:sz="0" w:space="0" w:color="auto"/>
            <w:left w:val="none" w:sz="0" w:space="0" w:color="auto"/>
            <w:bottom w:val="none" w:sz="0" w:space="0" w:color="auto"/>
            <w:right w:val="none" w:sz="0" w:space="0" w:color="auto"/>
          </w:divBdr>
        </w:div>
        <w:div w:id="448472199">
          <w:marLeft w:val="0"/>
          <w:marRight w:val="0"/>
          <w:marTop w:val="0"/>
          <w:marBottom w:val="0"/>
          <w:divBdr>
            <w:top w:val="none" w:sz="0" w:space="0" w:color="auto"/>
            <w:left w:val="none" w:sz="0" w:space="0" w:color="auto"/>
            <w:bottom w:val="none" w:sz="0" w:space="0" w:color="auto"/>
            <w:right w:val="none" w:sz="0" w:space="0" w:color="auto"/>
          </w:divBdr>
        </w:div>
        <w:div w:id="491142753">
          <w:marLeft w:val="0"/>
          <w:marRight w:val="0"/>
          <w:marTop w:val="0"/>
          <w:marBottom w:val="0"/>
          <w:divBdr>
            <w:top w:val="none" w:sz="0" w:space="0" w:color="auto"/>
            <w:left w:val="none" w:sz="0" w:space="0" w:color="auto"/>
            <w:bottom w:val="none" w:sz="0" w:space="0" w:color="auto"/>
            <w:right w:val="none" w:sz="0" w:space="0" w:color="auto"/>
          </w:divBdr>
        </w:div>
        <w:div w:id="493109710">
          <w:marLeft w:val="0"/>
          <w:marRight w:val="0"/>
          <w:marTop w:val="0"/>
          <w:marBottom w:val="0"/>
          <w:divBdr>
            <w:top w:val="none" w:sz="0" w:space="0" w:color="auto"/>
            <w:left w:val="none" w:sz="0" w:space="0" w:color="auto"/>
            <w:bottom w:val="none" w:sz="0" w:space="0" w:color="auto"/>
            <w:right w:val="none" w:sz="0" w:space="0" w:color="auto"/>
          </w:divBdr>
        </w:div>
        <w:div w:id="503594637">
          <w:marLeft w:val="0"/>
          <w:marRight w:val="0"/>
          <w:marTop w:val="0"/>
          <w:marBottom w:val="0"/>
          <w:divBdr>
            <w:top w:val="none" w:sz="0" w:space="0" w:color="auto"/>
            <w:left w:val="none" w:sz="0" w:space="0" w:color="auto"/>
            <w:bottom w:val="none" w:sz="0" w:space="0" w:color="auto"/>
            <w:right w:val="none" w:sz="0" w:space="0" w:color="auto"/>
          </w:divBdr>
        </w:div>
        <w:div w:id="528374345">
          <w:marLeft w:val="0"/>
          <w:marRight w:val="0"/>
          <w:marTop w:val="0"/>
          <w:marBottom w:val="0"/>
          <w:divBdr>
            <w:top w:val="none" w:sz="0" w:space="0" w:color="auto"/>
            <w:left w:val="none" w:sz="0" w:space="0" w:color="auto"/>
            <w:bottom w:val="none" w:sz="0" w:space="0" w:color="auto"/>
            <w:right w:val="none" w:sz="0" w:space="0" w:color="auto"/>
          </w:divBdr>
        </w:div>
        <w:div w:id="532572649">
          <w:marLeft w:val="0"/>
          <w:marRight w:val="0"/>
          <w:marTop w:val="0"/>
          <w:marBottom w:val="0"/>
          <w:divBdr>
            <w:top w:val="none" w:sz="0" w:space="0" w:color="auto"/>
            <w:left w:val="none" w:sz="0" w:space="0" w:color="auto"/>
            <w:bottom w:val="none" w:sz="0" w:space="0" w:color="auto"/>
            <w:right w:val="none" w:sz="0" w:space="0" w:color="auto"/>
          </w:divBdr>
        </w:div>
        <w:div w:id="537086845">
          <w:marLeft w:val="0"/>
          <w:marRight w:val="0"/>
          <w:marTop w:val="0"/>
          <w:marBottom w:val="0"/>
          <w:divBdr>
            <w:top w:val="none" w:sz="0" w:space="0" w:color="auto"/>
            <w:left w:val="none" w:sz="0" w:space="0" w:color="auto"/>
            <w:bottom w:val="none" w:sz="0" w:space="0" w:color="auto"/>
            <w:right w:val="none" w:sz="0" w:space="0" w:color="auto"/>
          </w:divBdr>
        </w:div>
        <w:div w:id="538276785">
          <w:marLeft w:val="0"/>
          <w:marRight w:val="0"/>
          <w:marTop w:val="0"/>
          <w:marBottom w:val="0"/>
          <w:divBdr>
            <w:top w:val="none" w:sz="0" w:space="0" w:color="auto"/>
            <w:left w:val="none" w:sz="0" w:space="0" w:color="auto"/>
            <w:bottom w:val="none" w:sz="0" w:space="0" w:color="auto"/>
            <w:right w:val="none" w:sz="0" w:space="0" w:color="auto"/>
          </w:divBdr>
        </w:div>
        <w:div w:id="554853422">
          <w:marLeft w:val="0"/>
          <w:marRight w:val="0"/>
          <w:marTop w:val="0"/>
          <w:marBottom w:val="0"/>
          <w:divBdr>
            <w:top w:val="none" w:sz="0" w:space="0" w:color="auto"/>
            <w:left w:val="none" w:sz="0" w:space="0" w:color="auto"/>
            <w:bottom w:val="none" w:sz="0" w:space="0" w:color="auto"/>
            <w:right w:val="none" w:sz="0" w:space="0" w:color="auto"/>
          </w:divBdr>
        </w:div>
        <w:div w:id="558368156">
          <w:marLeft w:val="0"/>
          <w:marRight w:val="0"/>
          <w:marTop w:val="0"/>
          <w:marBottom w:val="0"/>
          <w:divBdr>
            <w:top w:val="none" w:sz="0" w:space="0" w:color="auto"/>
            <w:left w:val="none" w:sz="0" w:space="0" w:color="auto"/>
            <w:bottom w:val="none" w:sz="0" w:space="0" w:color="auto"/>
            <w:right w:val="none" w:sz="0" w:space="0" w:color="auto"/>
          </w:divBdr>
        </w:div>
        <w:div w:id="567764121">
          <w:marLeft w:val="0"/>
          <w:marRight w:val="0"/>
          <w:marTop w:val="0"/>
          <w:marBottom w:val="0"/>
          <w:divBdr>
            <w:top w:val="none" w:sz="0" w:space="0" w:color="auto"/>
            <w:left w:val="none" w:sz="0" w:space="0" w:color="auto"/>
            <w:bottom w:val="none" w:sz="0" w:space="0" w:color="auto"/>
            <w:right w:val="none" w:sz="0" w:space="0" w:color="auto"/>
          </w:divBdr>
        </w:div>
        <w:div w:id="569272455">
          <w:marLeft w:val="0"/>
          <w:marRight w:val="0"/>
          <w:marTop w:val="0"/>
          <w:marBottom w:val="0"/>
          <w:divBdr>
            <w:top w:val="none" w:sz="0" w:space="0" w:color="auto"/>
            <w:left w:val="none" w:sz="0" w:space="0" w:color="auto"/>
            <w:bottom w:val="none" w:sz="0" w:space="0" w:color="auto"/>
            <w:right w:val="none" w:sz="0" w:space="0" w:color="auto"/>
          </w:divBdr>
        </w:div>
        <w:div w:id="586155670">
          <w:marLeft w:val="0"/>
          <w:marRight w:val="0"/>
          <w:marTop w:val="0"/>
          <w:marBottom w:val="0"/>
          <w:divBdr>
            <w:top w:val="none" w:sz="0" w:space="0" w:color="auto"/>
            <w:left w:val="none" w:sz="0" w:space="0" w:color="auto"/>
            <w:bottom w:val="none" w:sz="0" w:space="0" w:color="auto"/>
            <w:right w:val="none" w:sz="0" w:space="0" w:color="auto"/>
          </w:divBdr>
        </w:div>
        <w:div w:id="667950432">
          <w:marLeft w:val="0"/>
          <w:marRight w:val="0"/>
          <w:marTop w:val="0"/>
          <w:marBottom w:val="0"/>
          <w:divBdr>
            <w:top w:val="none" w:sz="0" w:space="0" w:color="auto"/>
            <w:left w:val="none" w:sz="0" w:space="0" w:color="auto"/>
            <w:bottom w:val="none" w:sz="0" w:space="0" w:color="auto"/>
            <w:right w:val="none" w:sz="0" w:space="0" w:color="auto"/>
          </w:divBdr>
        </w:div>
        <w:div w:id="683097201">
          <w:marLeft w:val="0"/>
          <w:marRight w:val="0"/>
          <w:marTop w:val="0"/>
          <w:marBottom w:val="0"/>
          <w:divBdr>
            <w:top w:val="none" w:sz="0" w:space="0" w:color="auto"/>
            <w:left w:val="none" w:sz="0" w:space="0" w:color="auto"/>
            <w:bottom w:val="none" w:sz="0" w:space="0" w:color="auto"/>
            <w:right w:val="none" w:sz="0" w:space="0" w:color="auto"/>
          </w:divBdr>
        </w:div>
        <w:div w:id="687025176">
          <w:marLeft w:val="0"/>
          <w:marRight w:val="0"/>
          <w:marTop w:val="0"/>
          <w:marBottom w:val="0"/>
          <w:divBdr>
            <w:top w:val="none" w:sz="0" w:space="0" w:color="auto"/>
            <w:left w:val="none" w:sz="0" w:space="0" w:color="auto"/>
            <w:bottom w:val="none" w:sz="0" w:space="0" w:color="auto"/>
            <w:right w:val="none" w:sz="0" w:space="0" w:color="auto"/>
          </w:divBdr>
        </w:div>
        <w:div w:id="712460983">
          <w:marLeft w:val="0"/>
          <w:marRight w:val="0"/>
          <w:marTop w:val="0"/>
          <w:marBottom w:val="0"/>
          <w:divBdr>
            <w:top w:val="none" w:sz="0" w:space="0" w:color="auto"/>
            <w:left w:val="none" w:sz="0" w:space="0" w:color="auto"/>
            <w:bottom w:val="none" w:sz="0" w:space="0" w:color="auto"/>
            <w:right w:val="none" w:sz="0" w:space="0" w:color="auto"/>
          </w:divBdr>
        </w:div>
        <w:div w:id="725758169">
          <w:marLeft w:val="0"/>
          <w:marRight w:val="0"/>
          <w:marTop w:val="0"/>
          <w:marBottom w:val="0"/>
          <w:divBdr>
            <w:top w:val="none" w:sz="0" w:space="0" w:color="auto"/>
            <w:left w:val="none" w:sz="0" w:space="0" w:color="auto"/>
            <w:bottom w:val="none" w:sz="0" w:space="0" w:color="auto"/>
            <w:right w:val="none" w:sz="0" w:space="0" w:color="auto"/>
          </w:divBdr>
        </w:div>
        <w:div w:id="732505071">
          <w:marLeft w:val="0"/>
          <w:marRight w:val="0"/>
          <w:marTop w:val="0"/>
          <w:marBottom w:val="0"/>
          <w:divBdr>
            <w:top w:val="none" w:sz="0" w:space="0" w:color="auto"/>
            <w:left w:val="none" w:sz="0" w:space="0" w:color="auto"/>
            <w:bottom w:val="none" w:sz="0" w:space="0" w:color="auto"/>
            <w:right w:val="none" w:sz="0" w:space="0" w:color="auto"/>
          </w:divBdr>
        </w:div>
        <w:div w:id="732627038">
          <w:marLeft w:val="0"/>
          <w:marRight w:val="0"/>
          <w:marTop w:val="0"/>
          <w:marBottom w:val="0"/>
          <w:divBdr>
            <w:top w:val="none" w:sz="0" w:space="0" w:color="auto"/>
            <w:left w:val="none" w:sz="0" w:space="0" w:color="auto"/>
            <w:bottom w:val="none" w:sz="0" w:space="0" w:color="auto"/>
            <w:right w:val="none" w:sz="0" w:space="0" w:color="auto"/>
          </w:divBdr>
        </w:div>
        <w:div w:id="737019132">
          <w:marLeft w:val="0"/>
          <w:marRight w:val="0"/>
          <w:marTop w:val="0"/>
          <w:marBottom w:val="0"/>
          <w:divBdr>
            <w:top w:val="none" w:sz="0" w:space="0" w:color="auto"/>
            <w:left w:val="none" w:sz="0" w:space="0" w:color="auto"/>
            <w:bottom w:val="none" w:sz="0" w:space="0" w:color="auto"/>
            <w:right w:val="none" w:sz="0" w:space="0" w:color="auto"/>
          </w:divBdr>
        </w:div>
        <w:div w:id="750003198">
          <w:marLeft w:val="0"/>
          <w:marRight w:val="0"/>
          <w:marTop w:val="0"/>
          <w:marBottom w:val="0"/>
          <w:divBdr>
            <w:top w:val="none" w:sz="0" w:space="0" w:color="auto"/>
            <w:left w:val="none" w:sz="0" w:space="0" w:color="auto"/>
            <w:bottom w:val="none" w:sz="0" w:space="0" w:color="auto"/>
            <w:right w:val="none" w:sz="0" w:space="0" w:color="auto"/>
          </w:divBdr>
        </w:div>
        <w:div w:id="758674410">
          <w:marLeft w:val="0"/>
          <w:marRight w:val="0"/>
          <w:marTop w:val="0"/>
          <w:marBottom w:val="0"/>
          <w:divBdr>
            <w:top w:val="none" w:sz="0" w:space="0" w:color="auto"/>
            <w:left w:val="none" w:sz="0" w:space="0" w:color="auto"/>
            <w:bottom w:val="none" w:sz="0" w:space="0" w:color="auto"/>
            <w:right w:val="none" w:sz="0" w:space="0" w:color="auto"/>
          </w:divBdr>
        </w:div>
        <w:div w:id="764770608">
          <w:marLeft w:val="0"/>
          <w:marRight w:val="0"/>
          <w:marTop w:val="0"/>
          <w:marBottom w:val="0"/>
          <w:divBdr>
            <w:top w:val="none" w:sz="0" w:space="0" w:color="auto"/>
            <w:left w:val="none" w:sz="0" w:space="0" w:color="auto"/>
            <w:bottom w:val="none" w:sz="0" w:space="0" w:color="auto"/>
            <w:right w:val="none" w:sz="0" w:space="0" w:color="auto"/>
          </w:divBdr>
        </w:div>
        <w:div w:id="774904303">
          <w:marLeft w:val="0"/>
          <w:marRight w:val="0"/>
          <w:marTop w:val="0"/>
          <w:marBottom w:val="0"/>
          <w:divBdr>
            <w:top w:val="none" w:sz="0" w:space="0" w:color="auto"/>
            <w:left w:val="none" w:sz="0" w:space="0" w:color="auto"/>
            <w:bottom w:val="none" w:sz="0" w:space="0" w:color="auto"/>
            <w:right w:val="none" w:sz="0" w:space="0" w:color="auto"/>
          </w:divBdr>
        </w:div>
        <w:div w:id="776602888">
          <w:marLeft w:val="0"/>
          <w:marRight w:val="0"/>
          <w:marTop w:val="0"/>
          <w:marBottom w:val="0"/>
          <w:divBdr>
            <w:top w:val="none" w:sz="0" w:space="0" w:color="auto"/>
            <w:left w:val="none" w:sz="0" w:space="0" w:color="auto"/>
            <w:bottom w:val="none" w:sz="0" w:space="0" w:color="auto"/>
            <w:right w:val="none" w:sz="0" w:space="0" w:color="auto"/>
          </w:divBdr>
        </w:div>
        <w:div w:id="787703377">
          <w:marLeft w:val="0"/>
          <w:marRight w:val="0"/>
          <w:marTop w:val="0"/>
          <w:marBottom w:val="0"/>
          <w:divBdr>
            <w:top w:val="none" w:sz="0" w:space="0" w:color="auto"/>
            <w:left w:val="none" w:sz="0" w:space="0" w:color="auto"/>
            <w:bottom w:val="none" w:sz="0" w:space="0" w:color="auto"/>
            <w:right w:val="none" w:sz="0" w:space="0" w:color="auto"/>
          </w:divBdr>
        </w:div>
        <w:div w:id="794833016">
          <w:marLeft w:val="0"/>
          <w:marRight w:val="0"/>
          <w:marTop w:val="0"/>
          <w:marBottom w:val="0"/>
          <w:divBdr>
            <w:top w:val="none" w:sz="0" w:space="0" w:color="auto"/>
            <w:left w:val="none" w:sz="0" w:space="0" w:color="auto"/>
            <w:bottom w:val="none" w:sz="0" w:space="0" w:color="auto"/>
            <w:right w:val="none" w:sz="0" w:space="0" w:color="auto"/>
          </w:divBdr>
        </w:div>
        <w:div w:id="802892899">
          <w:marLeft w:val="0"/>
          <w:marRight w:val="0"/>
          <w:marTop w:val="0"/>
          <w:marBottom w:val="0"/>
          <w:divBdr>
            <w:top w:val="none" w:sz="0" w:space="0" w:color="auto"/>
            <w:left w:val="none" w:sz="0" w:space="0" w:color="auto"/>
            <w:bottom w:val="none" w:sz="0" w:space="0" w:color="auto"/>
            <w:right w:val="none" w:sz="0" w:space="0" w:color="auto"/>
          </w:divBdr>
        </w:div>
        <w:div w:id="808012587">
          <w:marLeft w:val="0"/>
          <w:marRight w:val="0"/>
          <w:marTop w:val="0"/>
          <w:marBottom w:val="0"/>
          <w:divBdr>
            <w:top w:val="none" w:sz="0" w:space="0" w:color="auto"/>
            <w:left w:val="none" w:sz="0" w:space="0" w:color="auto"/>
            <w:bottom w:val="none" w:sz="0" w:space="0" w:color="auto"/>
            <w:right w:val="none" w:sz="0" w:space="0" w:color="auto"/>
          </w:divBdr>
        </w:div>
        <w:div w:id="814223614">
          <w:marLeft w:val="0"/>
          <w:marRight w:val="0"/>
          <w:marTop w:val="0"/>
          <w:marBottom w:val="0"/>
          <w:divBdr>
            <w:top w:val="none" w:sz="0" w:space="0" w:color="auto"/>
            <w:left w:val="none" w:sz="0" w:space="0" w:color="auto"/>
            <w:bottom w:val="none" w:sz="0" w:space="0" w:color="auto"/>
            <w:right w:val="none" w:sz="0" w:space="0" w:color="auto"/>
          </w:divBdr>
        </w:div>
        <w:div w:id="849635783">
          <w:marLeft w:val="0"/>
          <w:marRight w:val="0"/>
          <w:marTop w:val="0"/>
          <w:marBottom w:val="0"/>
          <w:divBdr>
            <w:top w:val="none" w:sz="0" w:space="0" w:color="auto"/>
            <w:left w:val="none" w:sz="0" w:space="0" w:color="auto"/>
            <w:bottom w:val="none" w:sz="0" w:space="0" w:color="auto"/>
            <w:right w:val="none" w:sz="0" w:space="0" w:color="auto"/>
          </w:divBdr>
        </w:div>
        <w:div w:id="850682564">
          <w:marLeft w:val="0"/>
          <w:marRight w:val="0"/>
          <w:marTop w:val="0"/>
          <w:marBottom w:val="0"/>
          <w:divBdr>
            <w:top w:val="none" w:sz="0" w:space="0" w:color="auto"/>
            <w:left w:val="none" w:sz="0" w:space="0" w:color="auto"/>
            <w:bottom w:val="none" w:sz="0" w:space="0" w:color="auto"/>
            <w:right w:val="none" w:sz="0" w:space="0" w:color="auto"/>
          </w:divBdr>
        </w:div>
        <w:div w:id="869729696">
          <w:marLeft w:val="0"/>
          <w:marRight w:val="0"/>
          <w:marTop w:val="0"/>
          <w:marBottom w:val="0"/>
          <w:divBdr>
            <w:top w:val="none" w:sz="0" w:space="0" w:color="auto"/>
            <w:left w:val="none" w:sz="0" w:space="0" w:color="auto"/>
            <w:bottom w:val="none" w:sz="0" w:space="0" w:color="auto"/>
            <w:right w:val="none" w:sz="0" w:space="0" w:color="auto"/>
          </w:divBdr>
        </w:div>
        <w:div w:id="876350935">
          <w:marLeft w:val="0"/>
          <w:marRight w:val="0"/>
          <w:marTop w:val="0"/>
          <w:marBottom w:val="0"/>
          <w:divBdr>
            <w:top w:val="none" w:sz="0" w:space="0" w:color="auto"/>
            <w:left w:val="none" w:sz="0" w:space="0" w:color="auto"/>
            <w:bottom w:val="none" w:sz="0" w:space="0" w:color="auto"/>
            <w:right w:val="none" w:sz="0" w:space="0" w:color="auto"/>
          </w:divBdr>
        </w:div>
        <w:div w:id="884678617">
          <w:marLeft w:val="0"/>
          <w:marRight w:val="0"/>
          <w:marTop w:val="0"/>
          <w:marBottom w:val="0"/>
          <w:divBdr>
            <w:top w:val="none" w:sz="0" w:space="0" w:color="auto"/>
            <w:left w:val="none" w:sz="0" w:space="0" w:color="auto"/>
            <w:bottom w:val="none" w:sz="0" w:space="0" w:color="auto"/>
            <w:right w:val="none" w:sz="0" w:space="0" w:color="auto"/>
          </w:divBdr>
        </w:div>
        <w:div w:id="891189738">
          <w:marLeft w:val="0"/>
          <w:marRight w:val="0"/>
          <w:marTop w:val="0"/>
          <w:marBottom w:val="0"/>
          <w:divBdr>
            <w:top w:val="none" w:sz="0" w:space="0" w:color="auto"/>
            <w:left w:val="none" w:sz="0" w:space="0" w:color="auto"/>
            <w:bottom w:val="none" w:sz="0" w:space="0" w:color="auto"/>
            <w:right w:val="none" w:sz="0" w:space="0" w:color="auto"/>
          </w:divBdr>
        </w:div>
        <w:div w:id="921447188">
          <w:marLeft w:val="0"/>
          <w:marRight w:val="0"/>
          <w:marTop w:val="0"/>
          <w:marBottom w:val="0"/>
          <w:divBdr>
            <w:top w:val="none" w:sz="0" w:space="0" w:color="auto"/>
            <w:left w:val="none" w:sz="0" w:space="0" w:color="auto"/>
            <w:bottom w:val="none" w:sz="0" w:space="0" w:color="auto"/>
            <w:right w:val="none" w:sz="0" w:space="0" w:color="auto"/>
          </w:divBdr>
        </w:div>
        <w:div w:id="934706738">
          <w:marLeft w:val="0"/>
          <w:marRight w:val="0"/>
          <w:marTop w:val="0"/>
          <w:marBottom w:val="0"/>
          <w:divBdr>
            <w:top w:val="none" w:sz="0" w:space="0" w:color="auto"/>
            <w:left w:val="none" w:sz="0" w:space="0" w:color="auto"/>
            <w:bottom w:val="none" w:sz="0" w:space="0" w:color="auto"/>
            <w:right w:val="none" w:sz="0" w:space="0" w:color="auto"/>
          </w:divBdr>
        </w:div>
        <w:div w:id="945650132">
          <w:marLeft w:val="0"/>
          <w:marRight w:val="0"/>
          <w:marTop w:val="0"/>
          <w:marBottom w:val="0"/>
          <w:divBdr>
            <w:top w:val="none" w:sz="0" w:space="0" w:color="auto"/>
            <w:left w:val="none" w:sz="0" w:space="0" w:color="auto"/>
            <w:bottom w:val="none" w:sz="0" w:space="0" w:color="auto"/>
            <w:right w:val="none" w:sz="0" w:space="0" w:color="auto"/>
          </w:divBdr>
        </w:div>
        <w:div w:id="969282231">
          <w:marLeft w:val="0"/>
          <w:marRight w:val="0"/>
          <w:marTop w:val="0"/>
          <w:marBottom w:val="0"/>
          <w:divBdr>
            <w:top w:val="none" w:sz="0" w:space="0" w:color="auto"/>
            <w:left w:val="none" w:sz="0" w:space="0" w:color="auto"/>
            <w:bottom w:val="none" w:sz="0" w:space="0" w:color="auto"/>
            <w:right w:val="none" w:sz="0" w:space="0" w:color="auto"/>
          </w:divBdr>
        </w:div>
        <w:div w:id="969896262">
          <w:marLeft w:val="0"/>
          <w:marRight w:val="0"/>
          <w:marTop w:val="0"/>
          <w:marBottom w:val="0"/>
          <w:divBdr>
            <w:top w:val="none" w:sz="0" w:space="0" w:color="auto"/>
            <w:left w:val="none" w:sz="0" w:space="0" w:color="auto"/>
            <w:bottom w:val="none" w:sz="0" w:space="0" w:color="auto"/>
            <w:right w:val="none" w:sz="0" w:space="0" w:color="auto"/>
          </w:divBdr>
        </w:div>
        <w:div w:id="972519822">
          <w:marLeft w:val="0"/>
          <w:marRight w:val="0"/>
          <w:marTop w:val="0"/>
          <w:marBottom w:val="0"/>
          <w:divBdr>
            <w:top w:val="none" w:sz="0" w:space="0" w:color="auto"/>
            <w:left w:val="none" w:sz="0" w:space="0" w:color="auto"/>
            <w:bottom w:val="none" w:sz="0" w:space="0" w:color="auto"/>
            <w:right w:val="none" w:sz="0" w:space="0" w:color="auto"/>
          </w:divBdr>
        </w:div>
        <w:div w:id="974676820">
          <w:marLeft w:val="0"/>
          <w:marRight w:val="0"/>
          <w:marTop w:val="0"/>
          <w:marBottom w:val="0"/>
          <w:divBdr>
            <w:top w:val="none" w:sz="0" w:space="0" w:color="auto"/>
            <w:left w:val="none" w:sz="0" w:space="0" w:color="auto"/>
            <w:bottom w:val="none" w:sz="0" w:space="0" w:color="auto"/>
            <w:right w:val="none" w:sz="0" w:space="0" w:color="auto"/>
          </w:divBdr>
        </w:div>
        <w:div w:id="981811659">
          <w:marLeft w:val="0"/>
          <w:marRight w:val="0"/>
          <w:marTop w:val="0"/>
          <w:marBottom w:val="0"/>
          <w:divBdr>
            <w:top w:val="none" w:sz="0" w:space="0" w:color="auto"/>
            <w:left w:val="none" w:sz="0" w:space="0" w:color="auto"/>
            <w:bottom w:val="none" w:sz="0" w:space="0" w:color="auto"/>
            <w:right w:val="none" w:sz="0" w:space="0" w:color="auto"/>
          </w:divBdr>
        </w:div>
        <w:div w:id="987586954">
          <w:marLeft w:val="0"/>
          <w:marRight w:val="0"/>
          <w:marTop w:val="0"/>
          <w:marBottom w:val="0"/>
          <w:divBdr>
            <w:top w:val="none" w:sz="0" w:space="0" w:color="auto"/>
            <w:left w:val="none" w:sz="0" w:space="0" w:color="auto"/>
            <w:bottom w:val="none" w:sz="0" w:space="0" w:color="auto"/>
            <w:right w:val="none" w:sz="0" w:space="0" w:color="auto"/>
          </w:divBdr>
        </w:div>
        <w:div w:id="991061694">
          <w:marLeft w:val="0"/>
          <w:marRight w:val="0"/>
          <w:marTop w:val="0"/>
          <w:marBottom w:val="0"/>
          <w:divBdr>
            <w:top w:val="none" w:sz="0" w:space="0" w:color="auto"/>
            <w:left w:val="none" w:sz="0" w:space="0" w:color="auto"/>
            <w:bottom w:val="none" w:sz="0" w:space="0" w:color="auto"/>
            <w:right w:val="none" w:sz="0" w:space="0" w:color="auto"/>
          </w:divBdr>
        </w:div>
        <w:div w:id="1009870603">
          <w:marLeft w:val="0"/>
          <w:marRight w:val="0"/>
          <w:marTop w:val="0"/>
          <w:marBottom w:val="0"/>
          <w:divBdr>
            <w:top w:val="none" w:sz="0" w:space="0" w:color="auto"/>
            <w:left w:val="none" w:sz="0" w:space="0" w:color="auto"/>
            <w:bottom w:val="none" w:sz="0" w:space="0" w:color="auto"/>
            <w:right w:val="none" w:sz="0" w:space="0" w:color="auto"/>
          </w:divBdr>
        </w:div>
        <w:div w:id="1019087891">
          <w:marLeft w:val="0"/>
          <w:marRight w:val="0"/>
          <w:marTop w:val="0"/>
          <w:marBottom w:val="0"/>
          <w:divBdr>
            <w:top w:val="none" w:sz="0" w:space="0" w:color="auto"/>
            <w:left w:val="none" w:sz="0" w:space="0" w:color="auto"/>
            <w:bottom w:val="none" w:sz="0" w:space="0" w:color="auto"/>
            <w:right w:val="none" w:sz="0" w:space="0" w:color="auto"/>
          </w:divBdr>
        </w:div>
        <w:div w:id="1037463821">
          <w:marLeft w:val="0"/>
          <w:marRight w:val="0"/>
          <w:marTop w:val="0"/>
          <w:marBottom w:val="0"/>
          <w:divBdr>
            <w:top w:val="none" w:sz="0" w:space="0" w:color="auto"/>
            <w:left w:val="none" w:sz="0" w:space="0" w:color="auto"/>
            <w:bottom w:val="none" w:sz="0" w:space="0" w:color="auto"/>
            <w:right w:val="none" w:sz="0" w:space="0" w:color="auto"/>
          </w:divBdr>
        </w:div>
        <w:div w:id="1041712086">
          <w:marLeft w:val="0"/>
          <w:marRight w:val="0"/>
          <w:marTop w:val="0"/>
          <w:marBottom w:val="0"/>
          <w:divBdr>
            <w:top w:val="none" w:sz="0" w:space="0" w:color="auto"/>
            <w:left w:val="none" w:sz="0" w:space="0" w:color="auto"/>
            <w:bottom w:val="none" w:sz="0" w:space="0" w:color="auto"/>
            <w:right w:val="none" w:sz="0" w:space="0" w:color="auto"/>
          </w:divBdr>
        </w:div>
        <w:div w:id="1066411771">
          <w:marLeft w:val="0"/>
          <w:marRight w:val="0"/>
          <w:marTop w:val="0"/>
          <w:marBottom w:val="0"/>
          <w:divBdr>
            <w:top w:val="none" w:sz="0" w:space="0" w:color="auto"/>
            <w:left w:val="none" w:sz="0" w:space="0" w:color="auto"/>
            <w:bottom w:val="none" w:sz="0" w:space="0" w:color="auto"/>
            <w:right w:val="none" w:sz="0" w:space="0" w:color="auto"/>
          </w:divBdr>
        </w:div>
        <w:div w:id="1078945327">
          <w:marLeft w:val="0"/>
          <w:marRight w:val="0"/>
          <w:marTop w:val="0"/>
          <w:marBottom w:val="0"/>
          <w:divBdr>
            <w:top w:val="none" w:sz="0" w:space="0" w:color="auto"/>
            <w:left w:val="none" w:sz="0" w:space="0" w:color="auto"/>
            <w:bottom w:val="none" w:sz="0" w:space="0" w:color="auto"/>
            <w:right w:val="none" w:sz="0" w:space="0" w:color="auto"/>
          </w:divBdr>
        </w:div>
        <w:div w:id="1085149417">
          <w:marLeft w:val="0"/>
          <w:marRight w:val="0"/>
          <w:marTop w:val="0"/>
          <w:marBottom w:val="0"/>
          <w:divBdr>
            <w:top w:val="none" w:sz="0" w:space="0" w:color="auto"/>
            <w:left w:val="none" w:sz="0" w:space="0" w:color="auto"/>
            <w:bottom w:val="none" w:sz="0" w:space="0" w:color="auto"/>
            <w:right w:val="none" w:sz="0" w:space="0" w:color="auto"/>
          </w:divBdr>
        </w:div>
        <w:div w:id="1096487160">
          <w:marLeft w:val="0"/>
          <w:marRight w:val="0"/>
          <w:marTop w:val="0"/>
          <w:marBottom w:val="0"/>
          <w:divBdr>
            <w:top w:val="none" w:sz="0" w:space="0" w:color="auto"/>
            <w:left w:val="none" w:sz="0" w:space="0" w:color="auto"/>
            <w:bottom w:val="none" w:sz="0" w:space="0" w:color="auto"/>
            <w:right w:val="none" w:sz="0" w:space="0" w:color="auto"/>
          </w:divBdr>
        </w:div>
        <w:div w:id="1099718033">
          <w:marLeft w:val="0"/>
          <w:marRight w:val="0"/>
          <w:marTop w:val="0"/>
          <w:marBottom w:val="0"/>
          <w:divBdr>
            <w:top w:val="none" w:sz="0" w:space="0" w:color="auto"/>
            <w:left w:val="none" w:sz="0" w:space="0" w:color="auto"/>
            <w:bottom w:val="none" w:sz="0" w:space="0" w:color="auto"/>
            <w:right w:val="none" w:sz="0" w:space="0" w:color="auto"/>
          </w:divBdr>
        </w:div>
        <w:div w:id="1136609500">
          <w:marLeft w:val="0"/>
          <w:marRight w:val="0"/>
          <w:marTop w:val="0"/>
          <w:marBottom w:val="0"/>
          <w:divBdr>
            <w:top w:val="none" w:sz="0" w:space="0" w:color="auto"/>
            <w:left w:val="none" w:sz="0" w:space="0" w:color="auto"/>
            <w:bottom w:val="none" w:sz="0" w:space="0" w:color="auto"/>
            <w:right w:val="none" w:sz="0" w:space="0" w:color="auto"/>
          </w:divBdr>
        </w:div>
        <w:div w:id="1144273591">
          <w:marLeft w:val="0"/>
          <w:marRight w:val="0"/>
          <w:marTop w:val="0"/>
          <w:marBottom w:val="0"/>
          <w:divBdr>
            <w:top w:val="none" w:sz="0" w:space="0" w:color="auto"/>
            <w:left w:val="none" w:sz="0" w:space="0" w:color="auto"/>
            <w:bottom w:val="none" w:sz="0" w:space="0" w:color="auto"/>
            <w:right w:val="none" w:sz="0" w:space="0" w:color="auto"/>
          </w:divBdr>
        </w:div>
        <w:div w:id="1155029378">
          <w:marLeft w:val="0"/>
          <w:marRight w:val="0"/>
          <w:marTop w:val="0"/>
          <w:marBottom w:val="0"/>
          <w:divBdr>
            <w:top w:val="none" w:sz="0" w:space="0" w:color="auto"/>
            <w:left w:val="none" w:sz="0" w:space="0" w:color="auto"/>
            <w:bottom w:val="none" w:sz="0" w:space="0" w:color="auto"/>
            <w:right w:val="none" w:sz="0" w:space="0" w:color="auto"/>
          </w:divBdr>
        </w:div>
        <w:div w:id="1196314945">
          <w:marLeft w:val="0"/>
          <w:marRight w:val="0"/>
          <w:marTop w:val="0"/>
          <w:marBottom w:val="0"/>
          <w:divBdr>
            <w:top w:val="none" w:sz="0" w:space="0" w:color="auto"/>
            <w:left w:val="none" w:sz="0" w:space="0" w:color="auto"/>
            <w:bottom w:val="none" w:sz="0" w:space="0" w:color="auto"/>
            <w:right w:val="none" w:sz="0" w:space="0" w:color="auto"/>
          </w:divBdr>
        </w:div>
        <w:div w:id="1212885658">
          <w:marLeft w:val="0"/>
          <w:marRight w:val="0"/>
          <w:marTop w:val="0"/>
          <w:marBottom w:val="0"/>
          <w:divBdr>
            <w:top w:val="none" w:sz="0" w:space="0" w:color="auto"/>
            <w:left w:val="none" w:sz="0" w:space="0" w:color="auto"/>
            <w:bottom w:val="none" w:sz="0" w:space="0" w:color="auto"/>
            <w:right w:val="none" w:sz="0" w:space="0" w:color="auto"/>
          </w:divBdr>
        </w:div>
        <w:div w:id="1277105496">
          <w:marLeft w:val="0"/>
          <w:marRight w:val="0"/>
          <w:marTop w:val="0"/>
          <w:marBottom w:val="0"/>
          <w:divBdr>
            <w:top w:val="none" w:sz="0" w:space="0" w:color="auto"/>
            <w:left w:val="none" w:sz="0" w:space="0" w:color="auto"/>
            <w:bottom w:val="none" w:sz="0" w:space="0" w:color="auto"/>
            <w:right w:val="none" w:sz="0" w:space="0" w:color="auto"/>
          </w:divBdr>
        </w:div>
        <w:div w:id="1291745727">
          <w:marLeft w:val="0"/>
          <w:marRight w:val="0"/>
          <w:marTop w:val="0"/>
          <w:marBottom w:val="0"/>
          <w:divBdr>
            <w:top w:val="none" w:sz="0" w:space="0" w:color="auto"/>
            <w:left w:val="none" w:sz="0" w:space="0" w:color="auto"/>
            <w:bottom w:val="none" w:sz="0" w:space="0" w:color="auto"/>
            <w:right w:val="none" w:sz="0" w:space="0" w:color="auto"/>
          </w:divBdr>
        </w:div>
        <w:div w:id="1291978141">
          <w:marLeft w:val="0"/>
          <w:marRight w:val="0"/>
          <w:marTop w:val="0"/>
          <w:marBottom w:val="0"/>
          <w:divBdr>
            <w:top w:val="none" w:sz="0" w:space="0" w:color="auto"/>
            <w:left w:val="none" w:sz="0" w:space="0" w:color="auto"/>
            <w:bottom w:val="none" w:sz="0" w:space="0" w:color="auto"/>
            <w:right w:val="none" w:sz="0" w:space="0" w:color="auto"/>
          </w:divBdr>
        </w:div>
        <w:div w:id="1307667020">
          <w:marLeft w:val="0"/>
          <w:marRight w:val="0"/>
          <w:marTop w:val="0"/>
          <w:marBottom w:val="0"/>
          <w:divBdr>
            <w:top w:val="none" w:sz="0" w:space="0" w:color="auto"/>
            <w:left w:val="none" w:sz="0" w:space="0" w:color="auto"/>
            <w:bottom w:val="none" w:sz="0" w:space="0" w:color="auto"/>
            <w:right w:val="none" w:sz="0" w:space="0" w:color="auto"/>
          </w:divBdr>
        </w:div>
        <w:div w:id="1310482432">
          <w:marLeft w:val="0"/>
          <w:marRight w:val="0"/>
          <w:marTop w:val="0"/>
          <w:marBottom w:val="0"/>
          <w:divBdr>
            <w:top w:val="none" w:sz="0" w:space="0" w:color="auto"/>
            <w:left w:val="none" w:sz="0" w:space="0" w:color="auto"/>
            <w:bottom w:val="none" w:sz="0" w:space="0" w:color="auto"/>
            <w:right w:val="none" w:sz="0" w:space="0" w:color="auto"/>
          </w:divBdr>
        </w:div>
        <w:div w:id="1315067203">
          <w:marLeft w:val="0"/>
          <w:marRight w:val="0"/>
          <w:marTop w:val="0"/>
          <w:marBottom w:val="0"/>
          <w:divBdr>
            <w:top w:val="none" w:sz="0" w:space="0" w:color="auto"/>
            <w:left w:val="none" w:sz="0" w:space="0" w:color="auto"/>
            <w:bottom w:val="none" w:sz="0" w:space="0" w:color="auto"/>
            <w:right w:val="none" w:sz="0" w:space="0" w:color="auto"/>
          </w:divBdr>
        </w:div>
        <w:div w:id="1318681730">
          <w:marLeft w:val="0"/>
          <w:marRight w:val="0"/>
          <w:marTop w:val="0"/>
          <w:marBottom w:val="0"/>
          <w:divBdr>
            <w:top w:val="none" w:sz="0" w:space="0" w:color="auto"/>
            <w:left w:val="none" w:sz="0" w:space="0" w:color="auto"/>
            <w:bottom w:val="none" w:sz="0" w:space="0" w:color="auto"/>
            <w:right w:val="none" w:sz="0" w:space="0" w:color="auto"/>
          </w:divBdr>
        </w:div>
        <w:div w:id="1327127922">
          <w:marLeft w:val="0"/>
          <w:marRight w:val="0"/>
          <w:marTop w:val="0"/>
          <w:marBottom w:val="0"/>
          <w:divBdr>
            <w:top w:val="none" w:sz="0" w:space="0" w:color="auto"/>
            <w:left w:val="none" w:sz="0" w:space="0" w:color="auto"/>
            <w:bottom w:val="none" w:sz="0" w:space="0" w:color="auto"/>
            <w:right w:val="none" w:sz="0" w:space="0" w:color="auto"/>
          </w:divBdr>
        </w:div>
        <w:div w:id="1330597340">
          <w:marLeft w:val="0"/>
          <w:marRight w:val="0"/>
          <w:marTop w:val="0"/>
          <w:marBottom w:val="0"/>
          <w:divBdr>
            <w:top w:val="none" w:sz="0" w:space="0" w:color="auto"/>
            <w:left w:val="none" w:sz="0" w:space="0" w:color="auto"/>
            <w:bottom w:val="none" w:sz="0" w:space="0" w:color="auto"/>
            <w:right w:val="none" w:sz="0" w:space="0" w:color="auto"/>
          </w:divBdr>
        </w:div>
        <w:div w:id="1337197142">
          <w:marLeft w:val="0"/>
          <w:marRight w:val="0"/>
          <w:marTop w:val="0"/>
          <w:marBottom w:val="0"/>
          <w:divBdr>
            <w:top w:val="none" w:sz="0" w:space="0" w:color="auto"/>
            <w:left w:val="none" w:sz="0" w:space="0" w:color="auto"/>
            <w:bottom w:val="none" w:sz="0" w:space="0" w:color="auto"/>
            <w:right w:val="none" w:sz="0" w:space="0" w:color="auto"/>
          </w:divBdr>
        </w:div>
        <w:div w:id="1355157298">
          <w:marLeft w:val="0"/>
          <w:marRight w:val="0"/>
          <w:marTop w:val="0"/>
          <w:marBottom w:val="0"/>
          <w:divBdr>
            <w:top w:val="none" w:sz="0" w:space="0" w:color="auto"/>
            <w:left w:val="none" w:sz="0" w:space="0" w:color="auto"/>
            <w:bottom w:val="none" w:sz="0" w:space="0" w:color="auto"/>
            <w:right w:val="none" w:sz="0" w:space="0" w:color="auto"/>
          </w:divBdr>
        </w:div>
        <w:div w:id="1358044621">
          <w:marLeft w:val="0"/>
          <w:marRight w:val="0"/>
          <w:marTop w:val="0"/>
          <w:marBottom w:val="0"/>
          <w:divBdr>
            <w:top w:val="none" w:sz="0" w:space="0" w:color="auto"/>
            <w:left w:val="none" w:sz="0" w:space="0" w:color="auto"/>
            <w:bottom w:val="none" w:sz="0" w:space="0" w:color="auto"/>
            <w:right w:val="none" w:sz="0" w:space="0" w:color="auto"/>
          </w:divBdr>
        </w:div>
        <w:div w:id="1380279636">
          <w:marLeft w:val="0"/>
          <w:marRight w:val="0"/>
          <w:marTop w:val="0"/>
          <w:marBottom w:val="0"/>
          <w:divBdr>
            <w:top w:val="none" w:sz="0" w:space="0" w:color="auto"/>
            <w:left w:val="none" w:sz="0" w:space="0" w:color="auto"/>
            <w:bottom w:val="none" w:sz="0" w:space="0" w:color="auto"/>
            <w:right w:val="none" w:sz="0" w:space="0" w:color="auto"/>
          </w:divBdr>
        </w:div>
        <w:div w:id="1394809324">
          <w:marLeft w:val="0"/>
          <w:marRight w:val="0"/>
          <w:marTop w:val="0"/>
          <w:marBottom w:val="0"/>
          <w:divBdr>
            <w:top w:val="none" w:sz="0" w:space="0" w:color="auto"/>
            <w:left w:val="none" w:sz="0" w:space="0" w:color="auto"/>
            <w:bottom w:val="none" w:sz="0" w:space="0" w:color="auto"/>
            <w:right w:val="none" w:sz="0" w:space="0" w:color="auto"/>
          </w:divBdr>
        </w:div>
        <w:div w:id="1398627552">
          <w:marLeft w:val="0"/>
          <w:marRight w:val="0"/>
          <w:marTop w:val="0"/>
          <w:marBottom w:val="0"/>
          <w:divBdr>
            <w:top w:val="none" w:sz="0" w:space="0" w:color="auto"/>
            <w:left w:val="none" w:sz="0" w:space="0" w:color="auto"/>
            <w:bottom w:val="none" w:sz="0" w:space="0" w:color="auto"/>
            <w:right w:val="none" w:sz="0" w:space="0" w:color="auto"/>
          </w:divBdr>
        </w:div>
        <w:div w:id="1410301010">
          <w:marLeft w:val="0"/>
          <w:marRight w:val="0"/>
          <w:marTop w:val="0"/>
          <w:marBottom w:val="0"/>
          <w:divBdr>
            <w:top w:val="none" w:sz="0" w:space="0" w:color="auto"/>
            <w:left w:val="none" w:sz="0" w:space="0" w:color="auto"/>
            <w:bottom w:val="none" w:sz="0" w:space="0" w:color="auto"/>
            <w:right w:val="none" w:sz="0" w:space="0" w:color="auto"/>
          </w:divBdr>
        </w:div>
        <w:div w:id="1415974941">
          <w:marLeft w:val="0"/>
          <w:marRight w:val="0"/>
          <w:marTop w:val="0"/>
          <w:marBottom w:val="0"/>
          <w:divBdr>
            <w:top w:val="none" w:sz="0" w:space="0" w:color="auto"/>
            <w:left w:val="none" w:sz="0" w:space="0" w:color="auto"/>
            <w:bottom w:val="none" w:sz="0" w:space="0" w:color="auto"/>
            <w:right w:val="none" w:sz="0" w:space="0" w:color="auto"/>
          </w:divBdr>
        </w:div>
        <w:div w:id="1416173216">
          <w:marLeft w:val="0"/>
          <w:marRight w:val="0"/>
          <w:marTop w:val="0"/>
          <w:marBottom w:val="0"/>
          <w:divBdr>
            <w:top w:val="none" w:sz="0" w:space="0" w:color="auto"/>
            <w:left w:val="none" w:sz="0" w:space="0" w:color="auto"/>
            <w:bottom w:val="none" w:sz="0" w:space="0" w:color="auto"/>
            <w:right w:val="none" w:sz="0" w:space="0" w:color="auto"/>
          </w:divBdr>
        </w:div>
        <w:div w:id="1430812861">
          <w:marLeft w:val="0"/>
          <w:marRight w:val="0"/>
          <w:marTop w:val="0"/>
          <w:marBottom w:val="0"/>
          <w:divBdr>
            <w:top w:val="none" w:sz="0" w:space="0" w:color="auto"/>
            <w:left w:val="none" w:sz="0" w:space="0" w:color="auto"/>
            <w:bottom w:val="none" w:sz="0" w:space="0" w:color="auto"/>
            <w:right w:val="none" w:sz="0" w:space="0" w:color="auto"/>
          </w:divBdr>
        </w:div>
        <w:div w:id="1431701162">
          <w:marLeft w:val="0"/>
          <w:marRight w:val="0"/>
          <w:marTop w:val="0"/>
          <w:marBottom w:val="0"/>
          <w:divBdr>
            <w:top w:val="none" w:sz="0" w:space="0" w:color="auto"/>
            <w:left w:val="none" w:sz="0" w:space="0" w:color="auto"/>
            <w:bottom w:val="none" w:sz="0" w:space="0" w:color="auto"/>
            <w:right w:val="none" w:sz="0" w:space="0" w:color="auto"/>
          </w:divBdr>
        </w:div>
        <w:div w:id="1437675387">
          <w:marLeft w:val="0"/>
          <w:marRight w:val="0"/>
          <w:marTop w:val="0"/>
          <w:marBottom w:val="0"/>
          <w:divBdr>
            <w:top w:val="none" w:sz="0" w:space="0" w:color="auto"/>
            <w:left w:val="none" w:sz="0" w:space="0" w:color="auto"/>
            <w:bottom w:val="none" w:sz="0" w:space="0" w:color="auto"/>
            <w:right w:val="none" w:sz="0" w:space="0" w:color="auto"/>
          </w:divBdr>
        </w:div>
        <w:div w:id="1444421153">
          <w:marLeft w:val="0"/>
          <w:marRight w:val="0"/>
          <w:marTop w:val="0"/>
          <w:marBottom w:val="0"/>
          <w:divBdr>
            <w:top w:val="none" w:sz="0" w:space="0" w:color="auto"/>
            <w:left w:val="none" w:sz="0" w:space="0" w:color="auto"/>
            <w:bottom w:val="none" w:sz="0" w:space="0" w:color="auto"/>
            <w:right w:val="none" w:sz="0" w:space="0" w:color="auto"/>
          </w:divBdr>
        </w:div>
        <w:div w:id="1446078475">
          <w:marLeft w:val="0"/>
          <w:marRight w:val="0"/>
          <w:marTop w:val="0"/>
          <w:marBottom w:val="0"/>
          <w:divBdr>
            <w:top w:val="none" w:sz="0" w:space="0" w:color="auto"/>
            <w:left w:val="none" w:sz="0" w:space="0" w:color="auto"/>
            <w:bottom w:val="none" w:sz="0" w:space="0" w:color="auto"/>
            <w:right w:val="none" w:sz="0" w:space="0" w:color="auto"/>
          </w:divBdr>
        </w:div>
        <w:div w:id="1452821699">
          <w:marLeft w:val="0"/>
          <w:marRight w:val="0"/>
          <w:marTop w:val="0"/>
          <w:marBottom w:val="0"/>
          <w:divBdr>
            <w:top w:val="none" w:sz="0" w:space="0" w:color="auto"/>
            <w:left w:val="none" w:sz="0" w:space="0" w:color="auto"/>
            <w:bottom w:val="none" w:sz="0" w:space="0" w:color="auto"/>
            <w:right w:val="none" w:sz="0" w:space="0" w:color="auto"/>
          </w:divBdr>
        </w:div>
        <w:div w:id="1475634674">
          <w:marLeft w:val="0"/>
          <w:marRight w:val="0"/>
          <w:marTop w:val="0"/>
          <w:marBottom w:val="0"/>
          <w:divBdr>
            <w:top w:val="none" w:sz="0" w:space="0" w:color="auto"/>
            <w:left w:val="none" w:sz="0" w:space="0" w:color="auto"/>
            <w:bottom w:val="none" w:sz="0" w:space="0" w:color="auto"/>
            <w:right w:val="none" w:sz="0" w:space="0" w:color="auto"/>
          </w:divBdr>
        </w:div>
        <w:div w:id="1480922410">
          <w:marLeft w:val="0"/>
          <w:marRight w:val="0"/>
          <w:marTop w:val="0"/>
          <w:marBottom w:val="0"/>
          <w:divBdr>
            <w:top w:val="none" w:sz="0" w:space="0" w:color="auto"/>
            <w:left w:val="none" w:sz="0" w:space="0" w:color="auto"/>
            <w:bottom w:val="none" w:sz="0" w:space="0" w:color="auto"/>
            <w:right w:val="none" w:sz="0" w:space="0" w:color="auto"/>
          </w:divBdr>
        </w:div>
        <w:div w:id="1504855258">
          <w:marLeft w:val="0"/>
          <w:marRight w:val="0"/>
          <w:marTop w:val="0"/>
          <w:marBottom w:val="0"/>
          <w:divBdr>
            <w:top w:val="none" w:sz="0" w:space="0" w:color="auto"/>
            <w:left w:val="none" w:sz="0" w:space="0" w:color="auto"/>
            <w:bottom w:val="none" w:sz="0" w:space="0" w:color="auto"/>
            <w:right w:val="none" w:sz="0" w:space="0" w:color="auto"/>
          </w:divBdr>
        </w:div>
        <w:div w:id="1551963380">
          <w:marLeft w:val="0"/>
          <w:marRight w:val="0"/>
          <w:marTop w:val="0"/>
          <w:marBottom w:val="0"/>
          <w:divBdr>
            <w:top w:val="none" w:sz="0" w:space="0" w:color="auto"/>
            <w:left w:val="none" w:sz="0" w:space="0" w:color="auto"/>
            <w:bottom w:val="none" w:sz="0" w:space="0" w:color="auto"/>
            <w:right w:val="none" w:sz="0" w:space="0" w:color="auto"/>
          </w:divBdr>
        </w:div>
        <w:div w:id="1578859990">
          <w:marLeft w:val="0"/>
          <w:marRight w:val="0"/>
          <w:marTop w:val="0"/>
          <w:marBottom w:val="0"/>
          <w:divBdr>
            <w:top w:val="none" w:sz="0" w:space="0" w:color="auto"/>
            <w:left w:val="none" w:sz="0" w:space="0" w:color="auto"/>
            <w:bottom w:val="none" w:sz="0" w:space="0" w:color="auto"/>
            <w:right w:val="none" w:sz="0" w:space="0" w:color="auto"/>
          </w:divBdr>
        </w:div>
        <w:div w:id="1591281206">
          <w:marLeft w:val="0"/>
          <w:marRight w:val="0"/>
          <w:marTop w:val="0"/>
          <w:marBottom w:val="0"/>
          <w:divBdr>
            <w:top w:val="none" w:sz="0" w:space="0" w:color="auto"/>
            <w:left w:val="none" w:sz="0" w:space="0" w:color="auto"/>
            <w:bottom w:val="none" w:sz="0" w:space="0" w:color="auto"/>
            <w:right w:val="none" w:sz="0" w:space="0" w:color="auto"/>
          </w:divBdr>
        </w:div>
        <w:div w:id="1616212501">
          <w:marLeft w:val="0"/>
          <w:marRight w:val="0"/>
          <w:marTop w:val="0"/>
          <w:marBottom w:val="0"/>
          <w:divBdr>
            <w:top w:val="none" w:sz="0" w:space="0" w:color="auto"/>
            <w:left w:val="none" w:sz="0" w:space="0" w:color="auto"/>
            <w:bottom w:val="none" w:sz="0" w:space="0" w:color="auto"/>
            <w:right w:val="none" w:sz="0" w:space="0" w:color="auto"/>
          </w:divBdr>
        </w:div>
        <w:div w:id="1619025407">
          <w:marLeft w:val="0"/>
          <w:marRight w:val="0"/>
          <w:marTop w:val="0"/>
          <w:marBottom w:val="0"/>
          <w:divBdr>
            <w:top w:val="none" w:sz="0" w:space="0" w:color="auto"/>
            <w:left w:val="none" w:sz="0" w:space="0" w:color="auto"/>
            <w:bottom w:val="none" w:sz="0" w:space="0" w:color="auto"/>
            <w:right w:val="none" w:sz="0" w:space="0" w:color="auto"/>
          </w:divBdr>
        </w:div>
        <w:div w:id="1631596474">
          <w:marLeft w:val="0"/>
          <w:marRight w:val="0"/>
          <w:marTop w:val="0"/>
          <w:marBottom w:val="0"/>
          <w:divBdr>
            <w:top w:val="none" w:sz="0" w:space="0" w:color="auto"/>
            <w:left w:val="none" w:sz="0" w:space="0" w:color="auto"/>
            <w:bottom w:val="none" w:sz="0" w:space="0" w:color="auto"/>
            <w:right w:val="none" w:sz="0" w:space="0" w:color="auto"/>
          </w:divBdr>
        </w:div>
        <w:div w:id="1635066123">
          <w:marLeft w:val="0"/>
          <w:marRight w:val="0"/>
          <w:marTop w:val="0"/>
          <w:marBottom w:val="0"/>
          <w:divBdr>
            <w:top w:val="none" w:sz="0" w:space="0" w:color="auto"/>
            <w:left w:val="none" w:sz="0" w:space="0" w:color="auto"/>
            <w:bottom w:val="none" w:sz="0" w:space="0" w:color="auto"/>
            <w:right w:val="none" w:sz="0" w:space="0" w:color="auto"/>
          </w:divBdr>
        </w:div>
        <w:div w:id="1652438116">
          <w:marLeft w:val="0"/>
          <w:marRight w:val="0"/>
          <w:marTop w:val="0"/>
          <w:marBottom w:val="0"/>
          <w:divBdr>
            <w:top w:val="none" w:sz="0" w:space="0" w:color="auto"/>
            <w:left w:val="none" w:sz="0" w:space="0" w:color="auto"/>
            <w:bottom w:val="none" w:sz="0" w:space="0" w:color="auto"/>
            <w:right w:val="none" w:sz="0" w:space="0" w:color="auto"/>
          </w:divBdr>
        </w:div>
        <w:div w:id="1653869216">
          <w:marLeft w:val="0"/>
          <w:marRight w:val="0"/>
          <w:marTop w:val="0"/>
          <w:marBottom w:val="0"/>
          <w:divBdr>
            <w:top w:val="none" w:sz="0" w:space="0" w:color="auto"/>
            <w:left w:val="none" w:sz="0" w:space="0" w:color="auto"/>
            <w:bottom w:val="none" w:sz="0" w:space="0" w:color="auto"/>
            <w:right w:val="none" w:sz="0" w:space="0" w:color="auto"/>
          </w:divBdr>
        </w:div>
        <w:div w:id="1665010446">
          <w:marLeft w:val="0"/>
          <w:marRight w:val="0"/>
          <w:marTop w:val="0"/>
          <w:marBottom w:val="0"/>
          <w:divBdr>
            <w:top w:val="none" w:sz="0" w:space="0" w:color="auto"/>
            <w:left w:val="none" w:sz="0" w:space="0" w:color="auto"/>
            <w:bottom w:val="none" w:sz="0" w:space="0" w:color="auto"/>
            <w:right w:val="none" w:sz="0" w:space="0" w:color="auto"/>
          </w:divBdr>
        </w:div>
        <w:div w:id="1671912244">
          <w:marLeft w:val="0"/>
          <w:marRight w:val="0"/>
          <w:marTop w:val="0"/>
          <w:marBottom w:val="0"/>
          <w:divBdr>
            <w:top w:val="none" w:sz="0" w:space="0" w:color="auto"/>
            <w:left w:val="none" w:sz="0" w:space="0" w:color="auto"/>
            <w:bottom w:val="none" w:sz="0" w:space="0" w:color="auto"/>
            <w:right w:val="none" w:sz="0" w:space="0" w:color="auto"/>
          </w:divBdr>
        </w:div>
        <w:div w:id="1681082921">
          <w:marLeft w:val="0"/>
          <w:marRight w:val="0"/>
          <w:marTop w:val="0"/>
          <w:marBottom w:val="0"/>
          <w:divBdr>
            <w:top w:val="none" w:sz="0" w:space="0" w:color="auto"/>
            <w:left w:val="none" w:sz="0" w:space="0" w:color="auto"/>
            <w:bottom w:val="none" w:sz="0" w:space="0" w:color="auto"/>
            <w:right w:val="none" w:sz="0" w:space="0" w:color="auto"/>
          </w:divBdr>
        </w:div>
        <w:div w:id="1696300769">
          <w:marLeft w:val="0"/>
          <w:marRight w:val="0"/>
          <w:marTop w:val="0"/>
          <w:marBottom w:val="0"/>
          <w:divBdr>
            <w:top w:val="none" w:sz="0" w:space="0" w:color="auto"/>
            <w:left w:val="none" w:sz="0" w:space="0" w:color="auto"/>
            <w:bottom w:val="none" w:sz="0" w:space="0" w:color="auto"/>
            <w:right w:val="none" w:sz="0" w:space="0" w:color="auto"/>
          </w:divBdr>
        </w:div>
        <w:div w:id="1708605651">
          <w:marLeft w:val="0"/>
          <w:marRight w:val="0"/>
          <w:marTop w:val="0"/>
          <w:marBottom w:val="0"/>
          <w:divBdr>
            <w:top w:val="none" w:sz="0" w:space="0" w:color="auto"/>
            <w:left w:val="none" w:sz="0" w:space="0" w:color="auto"/>
            <w:bottom w:val="none" w:sz="0" w:space="0" w:color="auto"/>
            <w:right w:val="none" w:sz="0" w:space="0" w:color="auto"/>
          </w:divBdr>
        </w:div>
        <w:div w:id="1717582994">
          <w:marLeft w:val="0"/>
          <w:marRight w:val="0"/>
          <w:marTop w:val="0"/>
          <w:marBottom w:val="0"/>
          <w:divBdr>
            <w:top w:val="none" w:sz="0" w:space="0" w:color="auto"/>
            <w:left w:val="none" w:sz="0" w:space="0" w:color="auto"/>
            <w:bottom w:val="none" w:sz="0" w:space="0" w:color="auto"/>
            <w:right w:val="none" w:sz="0" w:space="0" w:color="auto"/>
          </w:divBdr>
        </w:div>
        <w:div w:id="1718506249">
          <w:marLeft w:val="0"/>
          <w:marRight w:val="0"/>
          <w:marTop w:val="0"/>
          <w:marBottom w:val="0"/>
          <w:divBdr>
            <w:top w:val="none" w:sz="0" w:space="0" w:color="auto"/>
            <w:left w:val="none" w:sz="0" w:space="0" w:color="auto"/>
            <w:bottom w:val="none" w:sz="0" w:space="0" w:color="auto"/>
            <w:right w:val="none" w:sz="0" w:space="0" w:color="auto"/>
          </w:divBdr>
        </w:div>
        <w:div w:id="1738942764">
          <w:marLeft w:val="0"/>
          <w:marRight w:val="0"/>
          <w:marTop w:val="0"/>
          <w:marBottom w:val="0"/>
          <w:divBdr>
            <w:top w:val="none" w:sz="0" w:space="0" w:color="auto"/>
            <w:left w:val="none" w:sz="0" w:space="0" w:color="auto"/>
            <w:bottom w:val="none" w:sz="0" w:space="0" w:color="auto"/>
            <w:right w:val="none" w:sz="0" w:space="0" w:color="auto"/>
          </w:divBdr>
        </w:div>
        <w:div w:id="1743024769">
          <w:marLeft w:val="0"/>
          <w:marRight w:val="0"/>
          <w:marTop w:val="0"/>
          <w:marBottom w:val="0"/>
          <w:divBdr>
            <w:top w:val="none" w:sz="0" w:space="0" w:color="auto"/>
            <w:left w:val="none" w:sz="0" w:space="0" w:color="auto"/>
            <w:bottom w:val="none" w:sz="0" w:space="0" w:color="auto"/>
            <w:right w:val="none" w:sz="0" w:space="0" w:color="auto"/>
          </w:divBdr>
        </w:div>
        <w:div w:id="1748384426">
          <w:marLeft w:val="0"/>
          <w:marRight w:val="0"/>
          <w:marTop w:val="0"/>
          <w:marBottom w:val="0"/>
          <w:divBdr>
            <w:top w:val="none" w:sz="0" w:space="0" w:color="auto"/>
            <w:left w:val="none" w:sz="0" w:space="0" w:color="auto"/>
            <w:bottom w:val="none" w:sz="0" w:space="0" w:color="auto"/>
            <w:right w:val="none" w:sz="0" w:space="0" w:color="auto"/>
          </w:divBdr>
        </w:div>
        <w:div w:id="1757439081">
          <w:marLeft w:val="0"/>
          <w:marRight w:val="0"/>
          <w:marTop w:val="0"/>
          <w:marBottom w:val="0"/>
          <w:divBdr>
            <w:top w:val="none" w:sz="0" w:space="0" w:color="auto"/>
            <w:left w:val="none" w:sz="0" w:space="0" w:color="auto"/>
            <w:bottom w:val="none" w:sz="0" w:space="0" w:color="auto"/>
            <w:right w:val="none" w:sz="0" w:space="0" w:color="auto"/>
          </w:divBdr>
        </w:div>
        <w:div w:id="1759058848">
          <w:marLeft w:val="0"/>
          <w:marRight w:val="0"/>
          <w:marTop w:val="0"/>
          <w:marBottom w:val="0"/>
          <w:divBdr>
            <w:top w:val="none" w:sz="0" w:space="0" w:color="auto"/>
            <w:left w:val="none" w:sz="0" w:space="0" w:color="auto"/>
            <w:bottom w:val="none" w:sz="0" w:space="0" w:color="auto"/>
            <w:right w:val="none" w:sz="0" w:space="0" w:color="auto"/>
          </w:divBdr>
        </w:div>
        <w:div w:id="1762607621">
          <w:marLeft w:val="0"/>
          <w:marRight w:val="0"/>
          <w:marTop w:val="0"/>
          <w:marBottom w:val="0"/>
          <w:divBdr>
            <w:top w:val="none" w:sz="0" w:space="0" w:color="auto"/>
            <w:left w:val="none" w:sz="0" w:space="0" w:color="auto"/>
            <w:bottom w:val="none" w:sz="0" w:space="0" w:color="auto"/>
            <w:right w:val="none" w:sz="0" w:space="0" w:color="auto"/>
          </w:divBdr>
        </w:div>
        <w:div w:id="1778132145">
          <w:marLeft w:val="0"/>
          <w:marRight w:val="0"/>
          <w:marTop w:val="0"/>
          <w:marBottom w:val="0"/>
          <w:divBdr>
            <w:top w:val="none" w:sz="0" w:space="0" w:color="auto"/>
            <w:left w:val="none" w:sz="0" w:space="0" w:color="auto"/>
            <w:bottom w:val="none" w:sz="0" w:space="0" w:color="auto"/>
            <w:right w:val="none" w:sz="0" w:space="0" w:color="auto"/>
          </w:divBdr>
        </w:div>
        <w:div w:id="1786582153">
          <w:marLeft w:val="0"/>
          <w:marRight w:val="0"/>
          <w:marTop w:val="0"/>
          <w:marBottom w:val="0"/>
          <w:divBdr>
            <w:top w:val="none" w:sz="0" w:space="0" w:color="auto"/>
            <w:left w:val="none" w:sz="0" w:space="0" w:color="auto"/>
            <w:bottom w:val="none" w:sz="0" w:space="0" w:color="auto"/>
            <w:right w:val="none" w:sz="0" w:space="0" w:color="auto"/>
          </w:divBdr>
        </w:div>
        <w:div w:id="1824196221">
          <w:marLeft w:val="0"/>
          <w:marRight w:val="0"/>
          <w:marTop w:val="0"/>
          <w:marBottom w:val="0"/>
          <w:divBdr>
            <w:top w:val="none" w:sz="0" w:space="0" w:color="auto"/>
            <w:left w:val="none" w:sz="0" w:space="0" w:color="auto"/>
            <w:bottom w:val="none" w:sz="0" w:space="0" w:color="auto"/>
            <w:right w:val="none" w:sz="0" w:space="0" w:color="auto"/>
          </w:divBdr>
        </w:div>
        <w:div w:id="1828666827">
          <w:marLeft w:val="0"/>
          <w:marRight w:val="0"/>
          <w:marTop w:val="0"/>
          <w:marBottom w:val="0"/>
          <w:divBdr>
            <w:top w:val="none" w:sz="0" w:space="0" w:color="auto"/>
            <w:left w:val="none" w:sz="0" w:space="0" w:color="auto"/>
            <w:bottom w:val="none" w:sz="0" w:space="0" w:color="auto"/>
            <w:right w:val="none" w:sz="0" w:space="0" w:color="auto"/>
          </w:divBdr>
        </w:div>
        <w:div w:id="1840345601">
          <w:marLeft w:val="0"/>
          <w:marRight w:val="0"/>
          <w:marTop w:val="0"/>
          <w:marBottom w:val="0"/>
          <w:divBdr>
            <w:top w:val="none" w:sz="0" w:space="0" w:color="auto"/>
            <w:left w:val="none" w:sz="0" w:space="0" w:color="auto"/>
            <w:bottom w:val="none" w:sz="0" w:space="0" w:color="auto"/>
            <w:right w:val="none" w:sz="0" w:space="0" w:color="auto"/>
          </w:divBdr>
        </w:div>
        <w:div w:id="1841893724">
          <w:marLeft w:val="0"/>
          <w:marRight w:val="0"/>
          <w:marTop w:val="0"/>
          <w:marBottom w:val="0"/>
          <w:divBdr>
            <w:top w:val="none" w:sz="0" w:space="0" w:color="auto"/>
            <w:left w:val="none" w:sz="0" w:space="0" w:color="auto"/>
            <w:bottom w:val="none" w:sz="0" w:space="0" w:color="auto"/>
            <w:right w:val="none" w:sz="0" w:space="0" w:color="auto"/>
          </w:divBdr>
        </w:div>
        <w:div w:id="1877696115">
          <w:marLeft w:val="0"/>
          <w:marRight w:val="0"/>
          <w:marTop w:val="0"/>
          <w:marBottom w:val="0"/>
          <w:divBdr>
            <w:top w:val="none" w:sz="0" w:space="0" w:color="auto"/>
            <w:left w:val="none" w:sz="0" w:space="0" w:color="auto"/>
            <w:bottom w:val="none" w:sz="0" w:space="0" w:color="auto"/>
            <w:right w:val="none" w:sz="0" w:space="0" w:color="auto"/>
          </w:divBdr>
        </w:div>
        <w:div w:id="1906181500">
          <w:marLeft w:val="0"/>
          <w:marRight w:val="0"/>
          <w:marTop w:val="0"/>
          <w:marBottom w:val="0"/>
          <w:divBdr>
            <w:top w:val="none" w:sz="0" w:space="0" w:color="auto"/>
            <w:left w:val="none" w:sz="0" w:space="0" w:color="auto"/>
            <w:bottom w:val="none" w:sz="0" w:space="0" w:color="auto"/>
            <w:right w:val="none" w:sz="0" w:space="0" w:color="auto"/>
          </w:divBdr>
        </w:div>
        <w:div w:id="1912691436">
          <w:marLeft w:val="0"/>
          <w:marRight w:val="0"/>
          <w:marTop w:val="0"/>
          <w:marBottom w:val="0"/>
          <w:divBdr>
            <w:top w:val="none" w:sz="0" w:space="0" w:color="auto"/>
            <w:left w:val="none" w:sz="0" w:space="0" w:color="auto"/>
            <w:bottom w:val="none" w:sz="0" w:space="0" w:color="auto"/>
            <w:right w:val="none" w:sz="0" w:space="0" w:color="auto"/>
          </w:divBdr>
        </w:div>
        <w:div w:id="1917008947">
          <w:marLeft w:val="0"/>
          <w:marRight w:val="0"/>
          <w:marTop w:val="0"/>
          <w:marBottom w:val="0"/>
          <w:divBdr>
            <w:top w:val="none" w:sz="0" w:space="0" w:color="auto"/>
            <w:left w:val="none" w:sz="0" w:space="0" w:color="auto"/>
            <w:bottom w:val="none" w:sz="0" w:space="0" w:color="auto"/>
            <w:right w:val="none" w:sz="0" w:space="0" w:color="auto"/>
          </w:divBdr>
        </w:div>
        <w:div w:id="1970821966">
          <w:marLeft w:val="0"/>
          <w:marRight w:val="0"/>
          <w:marTop w:val="0"/>
          <w:marBottom w:val="0"/>
          <w:divBdr>
            <w:top w:val="none" w:sz="0" w:space="0" w:color="auto"/>
            <w:left w:val="none" w:sz="0" w:space="0" w:color="auto"/>
            <w:bottom w:val="none" w:sz="0" w:space="0" w:color="auto"/>
            <w:right w:val="none" w:sz="0" w:space="0" w:color="auto"/>
          </w:divBdr>
        </w:div>
        <w:div w:id="1985036697">
          <w:marLeft w:val="0"/>
          <w:marRight w:val="0"/>
          <w:marTop w:val="0"/>
          <w:marBottom w:val="0"/>
          <w:divBdr>
            <w:top w:val="none" w:sz="0" w:space="0" w:color="auto"/>
            <w:left w:val="none" w:sz="0" w:space="0" w:color="auto"/>
            <w:bottom w:val="none" w:sz="0" w:space="0" w:color="auto"/>
            <w:right w:val="none" w:sz="0" w:space="0" w:color="auto"/>
          </w:divBdr>
        </w:div>
        <w:div w:id="1985236242">
          <w:marLeft w:val="0"/>
          <w:marRight w:val="0"/>
          <w:marTop w:val="0"/>
          <w:marBottom w:val="0"/>
          <w:divBdr>
            <w:top w:val="none" w:sz="0" w:space="0" w:color="auto"/>
            <w:left w:val="none" w:sz="0" w:space="0" w:color="auto"/>
            <w:bottom w:val="none" w:sz="0" w:space="0" w:color="auto"/>
            <w:right w:val="none" w:sz="0" w:space="0" w:color="auto"/>
          </w:divBdr>
        </w:div>
        <w:div w:id="2016568319">
          <w:marLeft w:val="0"/>
          <w:marRight w:val="0"/>
          <w:marTop w:val="0"/>
          <w:marBottom w:val="0"/>
          <w:divBdr>
            <w:top w:val="none" w:sz="0" w:space="0" w:color="auto"/>
            <w:left w:val="none" w:sz="0" w:space="0" w:color="auto"/>
            <w:bottom w:val="none" w:sz="0" w:space="0" w:color="auto"/>
            <w:right w:val="none" w:sz="0" w:space="0" w:color="auto"/>
          </w:divBdr>
        </w:div>
        <w:div w:id="2024938270">
          <w:marLeft w:val="0"/>
          <w:marRight w:val="0"/>
          <w:marTop w:val="0"/>
          <w:marBottom w:val="0"/>
          <w:divBdr>
            <w:top w:val="none" w:sz="0" w:space="0" w:color="auto"/>
            <w:left w:val="none" w:sz="0" w:space="0" w:color="auto"/>
            <w:bottom w:val="none" w:sz="0" w:space="0" w:color="auto"/>
            <w:right w:val="none" w:sz="0" w:space="0" w:color="auto"/>
          </w:divBdr>
        </w:div>
      </w:divsChild>
    </w:div>
    <w:div w:id="884831942">
      <w:bodyDiv w:val="1"/>
      <w:marLeft w:val="0"/>
      <w:marRight w:val="0"/>
      <w:marTop w:val="0"/>
      <w:marBottom w:val="0"/>
      <w:divBdr>
        <w:top w:val="none" w:sz="0" w:space="0" w:color="auto"/>
        <w:left w:val="none" w:sz="0" w:space="0" w:color="auto"/>
        <w:bottom w:val="none" w:sz="0" w:space="0" w:color="auto"/>
        <w:right w:val="none" w:sz="0" w:space="0" w:color="auto"/>
      </w:divBdr>
    </w:div>
    <w:div w:id="884870676">
      <w:bodyDiv w:val="1"/>
      <w:marLeft w:val="0"/>
      <w:marRight w:val="0"/>
      <w:marTop w:val="0"/>
      <w:marBottom w:val="0"/>
      <w:divBdr>
        <w:top w:val="none" w:sz="0" w:space="0" w:color="auto"/>
        <w:left w:val="none" w:sz="0" w:space="0" w:color="auto"/>
        <w:bottom w:val="none" w:sz="0" w:space="0" w:color="auto"/>
        <w:right w:val="none" w:sz="0" w:space="0" w:color="auto"/>
      </w:divBdr>
    </w:div>
    <w:div w:id="884873612">
      <w:bodyDiv w:val="1"/>
      <w:marLeft w:val="0"/>
      <w:marRight w:val="0"/>
      <w:marTop w:val="0"/>
      <w:marBottom w:val="0"/>
      <w:divBdr>
        <w:top w:val="none" w:sz="0" w:space="0" w:color="auto"/>
        <w:left w:val="none" w:sz="0" w:space="0" w:color="auto"/>
        <w:bottom w:val="none" w:sz="0" w:space="0" w:color="auto"/>
        <w:right w:val="none" w:sz="0" w:space="0" w:color="auto"/>
      </w:divBdr>
    </w:div>
    <w:div w:id="885022304">
      <w:bodyDiv w:val="1"/>
      <w:marLeft w:val="0"/>
      <w:marRight w:val="0"/>
      <w:marTop w:val="0"/>
      <w:marBottom w:val="0"/>
      <w:divBdr>
        <w:top w:val="none" w:sz="0" w:space="0" w:color="auto"/>
        <w:left w:val="none" w:sz="0" w:space="0" w:color="auto"/>
        <w:bottom w:val="none" w:sz="0" w:space="0" w:color="auto"/>
        <w:right w:val="none" w:sz="0" w:space="0" w:color="auto"/>
      </w:divBdr>
    </w:div>
    <w:div w:id="885026360">
      <w:bodyDiv w:val="1"/>
      <w:marLeft w:val="0"/>
      <w:marRight w:val="0"/>
      <w:marTop w:val="0"/>
      <w:marBottom w:val="0"/>
      <w:divBdr>
        <w:top w:val="none" w:sz="0" w:space="0" w:color="auto"/>
        <w:left w:val="none" w:sz="0" w:space="0" w:color="auto"/>
        <w:bottom w:val="none" w:sz="0" w:space="0" w:color="auto"/>
        <w:right w:val="none" w:sz="0" w:space="0" w:color="auto"/>
      </w:divBdr>
    </w:div>
    <w:div w:id="885065264">
      <w:bodyDiv w:val="1"/>
      <w:marLeft w:val="0"/>
      <w:marRight w:val="0"/>
      <w:marTop w:val="0"/>
      <w:marBottom w:val="0"/>
      <w:divBdr>
        <w:top w:val="none" w:sz="0" w:space="0" w:color="auto"/>
        <w:left w:val="none" w:sz="0" w:space="0" w:color="auto"/>
        <w:bottom w:val="none" w:sz="0" w:space="0" w:color="auto"/>
        <w:right w:val="none" w:sz="0" w:space="0" w:color="auto"/>
      </w:divBdr>
    </w:div>
    <w:div w:id="885072144">
      <w:bodyDiv w:val="1"/>
      <w:marLeft w:val="0"/>
      <w:marRight w:val="0"/>
      <w:marTop w:val="0"/>
      <w:marBottom w:val="0"/>
      <w:divBdr>
        <w:top w:val="none" w:sz="0" w:space="0" w:color="auto"/>
        <w:left w:val="none" w:sz="0" w:space="0" w:color="auto"/>
        <w:bottom w:val="none" w:sz="0" w:space="0" w:color="auto"/>
        <w:right w:val="none" w:sz="0" w:space="0" w:color="auto"/>
      </w:divBdr>
    </w:div>
    <w:div w:id="885415669">
      <w:bodyDiv w:val="1"/>
      <w:marLeft w:val="0"/>
      <w:marRight w:val="0"/>
      <w:marTop w:val="0"/>
      <w:marBottom w:val="0"/>
      <w:divBdr>
        <w:top w:val="none" w:sz="0" w:space="0" w:color="auto"/>
        <w:left w:val="none" w:sz="0" w:space="0" w:color="auto"/>
        <w:bottom w:val="none" w:sz="0" w:space="0" w:color="auto"/>
        <w:right w:val="none" w:sz="0" w:space="0" w:color="auto"/>
      </w:divBdr>
    </w:div>
    <w:div w:id="885534112">
      <w:bodyDiv w:val="1"/>
      <w:marLeft w:val="0"/>
      <w:marRight w:val="0"/>
      <w:marTop w:val="0"/>
      <w:marBottom w:val="0"/>
      <w:divBdr>
        <w:top w:val="none" w:sz="0" w:space="0" w:color="auto"/>
        <w:left w:val="none" w:sz="0" w:space="0" w:color="auto"/>
        <w:bottom w:val="none" w:sz="0" w:space="0" w:color="auto"/>
        <w:right w:val="none" w:sz="0" w:space="0" w:color="auto"/>
      </w:divBdr>
    </w:div>
    <w:div w:id="885719998">
      <w:bodyDiv w:val="1"/>
      <w:marLeft w:val="0"/>
      <w:marRight w:val="0"/>
      <w:marTop w:val="0"/>
      <w:marBottom w:val="0"/>
      <w:divBdr>
        <w:top w:val="none" w:sz="0" w:space="0" w:color="auto"/>
        <w:left w:val="none" w:sz="0" w:space="0" w:color="auto"/>
        <w:bottom w:val="none" w:sz="0" w:space="0" w:color="auto"/>
        <w:right w:val="none" w:sz="0" w:space="0" w:color="auto"/>
      </w:divBdr>
    </w:div>
    <w:div w:id="885916500">
      <w:bodyDiv w:val="1"/>
      <w:marLeft w:val="0"/>
      <w:marRight w:val="0"/>
      <w:marTop w:val="0"/>
      <w:marBottom w:val="0"/>
      <w:divBdr>
        <w:top w:val="none" w:sz="0" w:space="0" w:color="auto"/>
        <w:left w:val="none" w:sz="0" w:space="0" w:color="auto"/>
        <w:bottom w:val="none" w:sz="0" w:space="0" w:color="auto"/>
        <w:right w:val="none" w:sz="0" w:space="0" w:color="auto"/>
      </w:divBdr>
    </w:div>
    <w:div w:id="885944605">
      <w:bodyDiv w:val="1"/>
      <w:marLeft w:val="0"/>
      <w:marRight w:val="0"/>
      <w:marTop w:val="0"/>
      <w:marBottom w:val="0"/>
      <w:divBdr>
        <w:top w:val="none" w:sz="0" w:space="0" w:color="auto"/>
        <w:left w:val="none" w:sz="0" w:space="0" w:color="auto"/>
        <w:bottom w:val="none" w:sz="0" w:space="0" w:color="auto"/>
        <w:right w:val="none" w:sz="0" w:space="0" w:color="auto"/>
      </w:divBdr>
    </w:div>
    <w:div w:id="885988156">
      <w:bodyDiv w:val="1"/>
      <w:marLeft w:val="0"/>
      <w:marRight w:val="0"/>
      <w:marTop w:val="0"/>
      <w:marBottom w:val="0"/>
      <w:divBdr>
        <w:top w:val="none" w:sz="0" w:space="0" w:color="auto"/>
        <w:left w:val="none" w:sz="0" w:space="0" w:color="auto"/>
        <w:bottom w:val="none" w:sz="0" w:space="0" w:color="auto"/>
        <w:right w:val="none" w:sz="0" w:space="0" w:color="auto"/>
      </w:divBdr>
    </w:div>
    <w:div w:id="885991194">
      <w:bodyDiv w:val="1"/>
      <w:marLeft w:val="0"/>
      <w:marRight w:val="0"/>
      <w:marTop w:val="0"/>
      <w:marBottom w:val="0"/>
      <w:divBdr>
        <w:top w:val="none" w:sz="0" w:space="0" w:color="auto"/>
        <w:left w:val="none" w:sz="0" w:space="0" w:color="auto"/>
        <w:bottom w:val="none" w:sz="0" w:space="0" w:color="auto"/>
        <w:right w:val="none" w:sz="0" w:space="0" w:color="auto"/>
      </w:divBdr>
    </w:div>
    <w:div w:id="886140494">
      <w:bodyDiv w:val="1"/>
      <w:marLeft w:val="0"/>
      <w:marRight w:val="0"/>
      <w:marTop w:val="0"/>
      <w:marBottom w:val="0"/>
      <w:divBdr>
        <w:top w:val="none" w:sz="0" w:space="0" w:color="auto"/>
        <w:left w:val="none" w:sz="0" w:space="0" w:color="auto"/>
        <w:bottom w:val="none" w:sz="0" w:space="0" w:color="auto"/>
        <w:right w:val="none" w:sz="0" w:space="0" w:color="auto"/>
      </w:divBdr>
    </w:div>
    <w:div w:id="886142900">
      <w:bodyDiv w:val="1"/>
      <w:marLeft w:val="0"/>
      <w:marRight w:val="0"/>
      <w:marTop w:val="0"/>
      <w:marBottom w:val="0"/>
      <w:divBdr>
        <w:top w:val="none" w:sz="0" w:space="0" w:color="auto"/>
        <w:left w:val="none" w:sz="0" w:space="0" w:color="auto"/>
        <w:bottom w:val="none" w:sz="0" w:space="0" w:color="auto"/>
        <w:right w:val="none" w:sz="0" w:space="0" w:color="auto"/>
      </w:divBdr>
    </w:div>
    <w:div w:id="886186493">
      <w:bodyDiv w:val="1"/>
      <w:marLeft w:val="0"/>
      <w:marRight w:val="0"/>
      <w:marTop w:val="0"/>
      <w:marBottom w:val="0"/>
      <w:divBdr>
        <w:top w:val="none" w:sz="0" w:space="0" w:color="auto"/>
        <w:left w:val="none" w:sz="0" w:space="0" w:color="auto"/>
        <w:bottom w:val="none" w:sz="0" w:space="0" w:color="auto"/>
        <w:right w:val="none" w:sz="0" w:space="0" w:color="auto"/>
      </w:divBdr>
    </w:div>
    <w:div w:id="886333023">
      <w:bodyDiv w:val="1"/>
      <w:marLeft w:val="0"/>
      <w:marRight w:val="0"/>
      <w:marTop w:val="0"/>
      <w:marBottom w:val="0"/>
      <w:divBdr>
        <w:top w:val="none" w:sz="0" w:space="0" w:color="auto"/>
        <w:left w:val="none" w:sz="0" w:space="0" w:color="auto"/>
        <w:bottom w:val="none" w:sz="0" w:space="0" w:color="auto"/>
        <w:right w:val="none" w:sz="0" w:space="0" w:color="auto"/>
      </w:divBdr>
    </w:div>
    <w:div w:id="886453610">
      <w:bodyDiv w:val="1"/>
      <w:marLeft w:val="0"/>
      <w:marRight w:val="0"/>
      <w:marTop w:val="0"/>
      <w:marBottom w:val="0"/>
      <w:divBdr>
        <w:top w:val="none" w:sz="0" w:space="0" w:color="auto"/>
        <w:left w:val="none" w:sz="0" w:space="0" w:color="auto"/>
        <w:bottom w:val="none" w:sz="0" w:space="0" w:color="auto"/>
        <w:right w:val="none" w:sz="0" w:space="0" w:color="auto"/>
      </w:divBdr>
    </w:div>
    <w:div w:id="886526195">
      <w:bodyDiv w:val="1"/>
      <w:marLeft w:val="0"/>
      <w:marRight w:val="0"/>
      <w:marTop w:val="0"/>
      <w:marBottom w:val="0"/>
      <w:divBdr>
        <w:top w:val="none" w:sz="0" w:space="0" w:color="auto"/>
        <w:left w:val="none" w:sz="0" w:space="0" w:color="auto"/>
        <w:bottom w:val="none" w:sz="0" w:space="0" w:color="auto"/>
        <w:right w:val="none" w:sz="0" w:space="0" w:color="auto"/>
      </w:divBdr>
    </w:div>
    <w:div w:id="886601730">
      <w:bodyDiv w:val="1"/>
      <w:marLeft w:val="0"/>
      <w:marRight w:val="0"/>
      <w:marTop w:val="0"/>
      <w:marBottom w:val="0"/>
      <w:divBdr>
        <w:top w:val="none" w:sz="0" w:space="0" w:color="auto"/>
        <w:left w:val="none" w:sz="0" w:space="0" w:color="auto"/>
        <w:bottom w:val="none" w:sz="0" w:space="0" w:color="auto"/>
        <w:right w:val="none" w:sz="0" w:space="0" w:color="auto"/>
      </w:divBdr>
    </w:div>
    <w:div w:id="886650621">
      <w:bodyDiv w:val="1"/>
      <w:marLeft w:val="0"/>
      <w:marRight w:val="0"/>
      <w:marTop w:val="0"/>
      <w:marBottom w:val="0"/>
      <w:divBdr>
        <w:top w:val="none" w:sz="0" w:space="0" w:color="auto"/>
        <w:left w:val="none" w:sz="0" w:space="0" w:color="auto"/>
        <w:bottom w:val="none" w:sz="0" w:space="0" w:color="auto"/>
        <w:right w:val="none" w:sz="0" w:space="0" w:color="auto"/>
      </w:divBdr>
    </w:div>
    <w:div w:id="886768244">
      <w:bodyDiv w:val="1"/>
      <w:marLeft w:val="0"/>
      <w:marRight w:val="0"/>
      <w:marTop w:val="0"/>
      <w:marBottom w:val="0"/>
      <w:divBdr>
        <w:top w:val="none" w:sz="0" w:space="0" w:color="auto"/>
        <w:left w:val="none" w:sz="0" w:space="0" w:color="auto"/>
        <w:bottom w:val="none" w:sz="0" w:space="0" w:color="auto"/>
        <w:right w:val="none" w:sz="0" w:space="0" w:color="auto"/>
      </w:divBdr>
    </w:div>
    <w:div w:id="886837316">
      <w:bodyDiv w:val="1"/>
      <w:marLeft w:val="0"/>
      <w:marRight w:val="0"/>
      <w:marTop w:val="0"/>
      <w:marBottom w:val="0"/>
      <w:divBdr>
        <w:top w:val="none" w:sz="0" w:space="0" w:color="auto"/>
        <w:left w:val="none" w:sz="0" w:space="0" w:color="auto"/>
        <w:bottom w:val="none" w:sz="0" w:space="0" w:color="auto"/>
        <w:right w:val="none" w:sz="0" w:space="0" w:color="auto"/>
      </w:divBdr>
    </w:div>
    <w:div w:id="886913878">
      <w:bodyDiv w:val="1"/>
      <w:marLeft w:val="0"/>
      <w:marRight w:val="0"/>
      <w:marTop w:val="0"/>
      <w:marBottom w:val="0"/>
      <w:divBdr>
        <w:top w:val="none" w:sz="0" w:space="0" w:color="auto"/>
        <w:left w:val="none" w:sz="0" w:space="0" w:color="auto"/>
        <w:bottom w:val="none" w:sz="0" w:space="0" w:color="auto"/>
        <w:right w:val="none" w:sz="0" w:space="0" w:color="auto"/>
      </w:divBdr>
    </w:div>
    <w:div w:id="886985637">
      <w:bodyDiv w:val="1"/>
      <w:marLeft w:val="0"/>
      <w:marRight w:val="0"/>
      <w:marTop w:val="0"/>
      <w:marBottom w:val="0"/>
      <w:divBdr>
        <w:top w:val="none" w:sz="0" w:space="0" w:color="auto"/>
        <w:left w:val="none" w:sz="0" w:space="0" w:color="auto"/>
        <w:bottom w:val="none" w:sz="0" w:space="0" w:color="auto"/>
        <w:right w:val="none" w:sz="0" w:space="0" w:color="auto"/>
      </w:divBdr>
    </w:div>
    <w:div w:id="886988024">
      <w:bodyDiv w:val="1"/>
      <w:marLeft w:val="0"/>
      <w:marRight w:val="0"/>
      <w:marTop w:val="0"/>
      <w:marBottom w:val="0"/>
      <w:divBdr>
        <w:top w:val="none" w:sz="0" w:space="0" w:color="auto"/>
        <w:left w:val="none" w:sz="0" w:space="0" w:color="auto"/>
        <w:bottom w:val="none" w:sz="0" w:space="0" w:color="auto"/>
        <w:right w:val="none" w:sz="0" w:space="0" w:color="auto"/>
      </w:divBdr>
    </w:div>
    <w:div w:id="886988998">
      <w:bodyDiv w:val="1"/>
      <w:marLeft w:val="0"/>
      <w:marRight w:val="0"/>
      <w:marTop w:val="0"/>
      <w:marBottom w:val="0"/>
      <w:divBdr>
        <w:top w:val="none" w:sz="0" w:space="0" w:color="auto"/>
        <w:left w:val="none" w:sz="0" w:space="0" w:color="auto"/>
        <w:bottom w:val="none" w:sz="0" w:space="0" w:color="auto"/>
        <w:right w:val="none" w:sz="0" w:space="0" w:color="auto"/>
      </w:divBdr>
    </w:div>
    <w:div w:id="887105759">
      <w:bodyDiv w:val="1"/>
      <w:marLeft w:val="0"/>
      <w:marRight w:val="0"/>
      <w:marTop w:val="0"/>
      <w:marBottom w:val="0"/>
      <w:divBdr>
        <w:top w:val="none" w:sz="0" w:space="0" w:color="auto"/>
        <w:left w:val="none" w:sz="0" w:space="0" w:color="auto"/>
        <w:bottom w:val="none" w:sz="0" w:space="0" w:color="auto"/>
        <w:right w:val="none" w:sz="0" w:space="0" w:color="auto"/>
      </w:divBdr>
    </w:div>
    <w:div w:id="887183077">
      <w:bodyDiv w:val="1"/>
      <w:marLeft w:val="0"/>
      <w:marRight w:val="0"/>
      <w:marTop w:val="0"/>
      <w:marBottom w:val="0"/>
      <w:divBdr>
        <w:top w:val="none" w:sz="0" w:space="0" w:color="auto"/>
        <w:left w:val="none" w:sz="0" w:space="0" w:color="auto"/>
        <w:bottom w:val="none" w:sz="0" w:space="0" w:color="auto"/>
        <w:right w:val="none" w:sz="0" w:space="0" w:color="auto"/>
      </w:divBdr>
    </w:div>
    <w:div w:id="887255559">
      <w:bodyDiv w:val="1"/>
      <w:marLeft w:val="0"/>
      <w:marRight w:val="0"/>
      <w:marTop w:val="0"/>
      <w:marBottom w:val="0"/>
      <w:divBdr>
        <w:top w:val="none" w:sz="0" w:space="0" w:color="auto"/>
        <w:left w:val="none" w:sz="0" w:space="0" w:color="auto"/>
        <w:bottom w:val="none" w:sz="0" w:space="0" w:color="auto"/>
        <w:right w:val="none" w:sz="0" w:space="0" w:color="auto"/>
      </w:divBdr>
    </w:div>
    <w:div w:id="887296934">
      <w:bodyDiv w:val="1"/>
      <w:marLeft w:val="0"/>
      <w:marRight w:val="0"/>
      <w:marTop w:val="0"/>
      <w:marBottom w:val="0"/>
      <w:divBdr>
        <w:top w:val="none" w:sz="0" w:space="0" w:color="auto"/>
        <w:left w:val="none" w:sz="0" w:space="0" w:color="auto"/>
        <w:bottom w:val="none" w:sz="0" w:space="0" w:color="auto"/>
        <w:right w:val="none" w:sz="0" w:space="0" w:color="auto"/>
      </w:divBdr>
    </w:div>
    <w:div w:id="887303136">
      <w:bodyDiv w:val="1"/>
      <w:marLeft w:val="0"/>
      <w:marRight w:val="0"/>
      <w:marTop w:val="0"/>
      <w:marBottom w:val="0"/>
      <w:divBdr>
        <w:top w:val="none" w:sz="0" w:space="0" w:color="auto"/>
        <w:left w:val="none" w:sz="0" w:space="0" w:color="auto"/>
        <w:bottom w:val="none" w:sz="0" w:space="0" w:color="auto"/>
        <w:right w:val="none" w:sz="0" w:space="0" w:color="auto"/>
      </w:divBdr>
    </w:div>
    <w:div w:id="887372987">
      <w:bodyDiv w:val="1"/>
      <w:marLeft w:val="0"/>
      <w:marRight w:val="0"/>
      <w:marTop w:val="0"/>
      <w:marBottom w:val="0"/>
      <w:divBdr>
        <w:top w:val="none" w:sz="0" w:space="0" w:color="auto"/>
        <w:left w:val="none" w:sz="0" w:space="0" w:color="auto"/>
        <w:bottom w:val="none" w:sz="0" w:space="0" w:color="auto"/>
        <w:right w:val="none" w:sz="0" w:space="0" w:color="auto"/>
      </w:divBdr>
    </w:div>
    <w:div w:id="887374372">
      <w:bodyDiv w:val="1"/>
      <w:marLeft w:val="0"/>
      <w:marRight w:val="0"/>
      <w:marTop w:val="0"/>
      <w:marBottom w:val="0"/>
      <w:divBdr>
        <w:top w:val="none" w:sz="0" w:space="0" w:color="auto"/>
        <w:left w:val="none" w:sz="0" w:space="0" w:color="auto"/>
        <w:bottom w:val="none" w:sz="0" w:space="0" w:color="auto"/>
        <w:right w:val="none" w:sz="0" w:space="0" w:color="auto"/>
      </w:divBdr>
    </w:div>
    <w:div w:id="887378190">
      <w:bodyDiv w:val="1"/>
      <w:marLeft w:val="0"/>
      <w:marRight w:val="0"/>
      <w:marTop w:val="0"/>
      <w:marBottom w:val="0"/>
      <w:divBdr>
        <w:top w:val="none" w:sz="0" w:space="0" w:color="auto"/>
        <w:left w:val="none" w:sz="0" w:space="0" w:color="auto"/>
        <w:bottom w:val="none" w:sz="0" w:space="0" w:color="auto"/>
        <w:right w:val="none" w:sz="0" w:space="0" w:color="auto"/>
      </w:divBdr>
    </w:div>
    <w:div w:id="887380655">
      <w:bodyDiv w:val="1"/>
      <w:marLeft w:val="0"/>
      <w:marRight w:val="0"/>
      <w:marTop w:val="0"/>
      <w:marBottom w:val="0"/>
      <w:divBdr>
        <w:top w:val="none" w:sz="0" w:space="0" w:color="auto"/>
        <w:left w:val="none" w:sz="0" w:space="0" w:color="auto"/>
        <w:bottom w:val="none" w:sz="0" w:space="0" w:color="auto"/>
        <w:right w:val="none" w:sz="0" w:space="0" w:color="auto"/>
      </w:divBdr>
    </w:div>
    <w:div w:id="887448294">
      <w:bodyDiv w:val="1"/>
      <w:marLeft w:val="0"/>
      <w:marRight w:val="0"/>
      <w:marTop w:val="0"/>
      <w:marBottom w:val="0"/>
      <w:divBdr>
        <w:top w:val="none" w:sz="0" w:space="0" w:color="auto"/>
        <w:left w:val="none" w:sz="0" w:space="0" w:color="auto"/>
        <w:bottom w:val="none" w:sz="0" w:space="0" w:color="auto"/>
        <w:right w:val="none" w:sz="0" w:space="0" w:color="auto"/>
      </w:divBdr>
      <w:divsChild>
        <w:div w:id="6030999">
          <w:marLeft w:val="0"/>
          <w:marRight w:val="0"/>
          <w:marTop w:val="0"/>
          <w:marBottom w:val="0"/>
          <w:divBdr>
            <w:top w:val="none" w:sz="0" w:space="0" w:color="auto"/>
            <w:left w:val="none" w:sz="0" w:space="0" w:color="auto"/>
            <w:bottom w:val="none" w:sz="0" w:space="0" w:color="auto"/>
            <w:right w:val="none" w:sz="0" w:space="0" w:color="auto"/>
          </w:divBdr>
        </w:div>
        <w:div w:id="25718705">
          <w:marLeft w:val="0"/>
          <w:marRight w:val="0"/>
          <w:marTop w:val="0"/>
          <w:marBottom w:val="0"/>
          <w:divBdr>
            <w:top w:val="none" w:sz="0" w:space="0" w:color="auto"/>
            <w:left w:val="none" w:sz="0" w:space="0" w:color="auto"/>
            <w:bottom w:val="none" w:sz="0" w:space="0" w:color="auto"/>
            <w:right w:val="none" w:sz="0" w:space="0" w:color="auto"/>
          </w:divBdr>
        </w:div>
        <w:div w:id="33309954">
          <w:marLeft w:val="0"/>
          <w:marRight w:val="0"/>
          <w:marTop w:val="0"/>
          <w:marBottom w:val="0"/>
          <w:divBdr>
            <w:top w:val="none" w:sz="0" w:space="0" w:color="auto"/>
            <w:left w:val="none" w:sz="0" w:space="0" w:color="auto"/>
            <w:bottom w:val="none" w:sz="0" w:space="0" w:color="auto"/>
            <w:right w:val="none" w:sz="0" w:space="0" w:color="auto"/>
          </w:divBdr>
        </w:div>
        <w:div w:id="42684521">
          <w:marLeft w:val="0"/>
          <w:marRight w:val="0"/>
          <w:marTop w:val="0"/>
          <w:marBottom w:val="0"/>
          <w:divBdr>
            <w:top w:val="none" w:sz="0" w:space="0" w:color="auto"/>
            <w:left w:val="none" w:sz="0" w:space="0" w:color="auto"/>
            <w:bottom w:val="none" w:sz="0" w:space="0" w:color="auto"/>
            <w:right w:val="none" w:sz="0" w:space="0" w:color="auto"/>
          </w:divBdr>
        </w:div>
        <w:div w:id="43531221">
          <w:marLeft w:val="0"/>
          <w:marRight w:val="0"/>
          <w:marTop w:val="0"/>
          <w:marBottom w:val="0"/>
          <w:divBdr>
            <w:top w:val="none" w:sz="0" w:space="0" w:color="auto"/>
            <w:left w:val="none" w:sz="0" w:space="0" w:color="auto"/>
            <w:bottom w:val="none" w:sz="0" w:space="0" w:color="auto"/>
            <w:right w:val="none" w:sz="0" w:space="0" w:color="auto"/>
          </w:divBdr>
        </w:div>
        <w:div w:id="50739523">
          <w:marLeft w:val="0"/>
          <w:marRight w:val="0"/>
          <w:marTop w:val="0"/>
          <w:marBottom w:val="0"/>
          <w:divBdr>
            <w:top w:val="none" w:sz="0" w:space="0" w:color="auto"/>
            <w:left w:val="none" w:sz="0" w:space="0" w:color="auto"/>
            <w:bottom w:val="none" w:sz="0" w:space="0" w:color="auto"/>
            <w:right w:val="none" w:sz="0" w:space="0" w:color="auto"/>
          </w:divBdr>
        </w:div>
        <w:div w:id="70928251">
          <w:marLeft w:val="0"/>
          <w:marRight w:val="0"/>
          <w:marTop w:val="0"/>
          <w:marBottom w:val="0"/>
          <w:divBdr>
            <w:top w:val="none" w:sz="0" w:space="0" w:color="auto"/>
            <w:left w:val="none" w:sz="0" w:space="0" w:color="auto"/>
            <w:bottom w:val="none" w:sz="0" w:space="0" w:color="auto"/>
            <w:right w:val="none" w:sz="0" w:space="0" w:color="auto"/>
          </w:divBdr>
        </w:div>
        <w:div w:id="76445811">
          <w:marLeft w:val="0"/>
          <w:marRight w:val="0"/>
          <w:marTop w:val="0"/>
          <w:marBottom w:val="0"/>
          <w:divBdr>
            <w:top w:val="none" w:sz="0" w:space="0" w:color="auto"/>
            <w:left w:val="none" w:sz="0" w:space="0" w:color="auto"/>
            <w:bottom w:val="none" w:sz="0" w:space="0" w:color="auto"/>
            <w:right w:val="none" w:sz="0" w:space="0" w:color="auto"/>
          </w:divBdr>
        </w:div>
        <w:div w:id="77597566">
          <w:marLeft w:val="0"/>
          <w:marRight w:val="0"/>
          <w:marTop w:val="0"/>
          <w:marBottom w:val="0"/>
          <w:divBdr>
            <w:top w:val="none" w:sz="0" w:space="0" w:color="auto"/>
            <w:left w:val="none" w:sz="0" w:space="0" w:color="auto"/>
            <w:bottom w:val="none" w:sz="0" w:space="0" w:color="auto"/>
            <w:right w:val="none" w:sz="0" w:space="0" w:color="auto"/>
          </w:divBdr>
        </w:div>
        <w:div w:id="105931632">
          <w:marLeft w:val="0"/>
          <w:marRight w:val="0"/>
          <w:marTop w:val="0"/>
          <w:marBottom w:val="0"/>
          <w:divBdr>
            <w:top w:val="none" w:sz="0" w:space="0" w:color="auto"/>
            <w:left w:val="none" w:sz="0" w:space="0" w:color="auto"/>
            <w:bottom w:val="none" w:sz="0" w:space="0" w:color="auto"/>
            <w:right w:val="none" w:sz="0" w:space="0" w:color="auto"/>
          </w:divBdr>
        </w:div>
        <w:div w:id="112556250">
          <w:marLeft w:val="0"/>
          <w:marRight w:val="0"/>
          <w:marTop w:val="0"/>
          <w:marBottom w:val="0"/>
          <w:divBdr>
            <w:top w:val="none" w:sz="0" w:space="0" w:color="auto"/>
            <w:left w:val="none" w:sz="0" w:space="0" w:color="auto"/>
            <w:bottom w:val="none" w:sz="0" w:space="0" w:color="auto"/>
            <w:right w:val="none" w:sz="0" w:space="0" w:color="auto"/>
          </w:divBdr>
        </w:div>
        <w:div w:id="115951104">
          <w:marLeft w:val="0"/>
          <w:marRight w:val="0"/>
          <w:marTop w:val="0"/>
          <w:marBottom w:val="0"/>
          <w:divBdr>
            <w:top w:val="none" w:sz="0" w:space="0" w:color="auto"/>
            <w:left w:val="none" w:sz="0" w:space="0" w:color="auto"/>
            <w:bottom w:val="none" w:sz="0" w:space="0" w:color="auto"/>
            <w:right w:val="none" w:sz="0" w:space="0" w:color="auto"/>
          </w:divBdr>
        </w:div>
        <w:div w:id="130172025">
          <w:marLeft w:val="0"/>
          <w:marRight w:val="0"/>
          <w:marTop w:val="0"/>
          <w:marBottom w:val="0"/>
          <w:divBdr>
            <w:top w:val="none" w:sz="0" w:space="0" w:color="auto"/>
            <w:left w:val="none" w:sz="0" w:space="0" w:color="auto"/>
            <w:bottom w:val="none" w:sz="0" w:space="0" w:color="auto"/>
            <w:right w:val="none" w:sz="0" w:space="0" w:color="auto"/>
          </w:divBdr>
        </w:div>
        <w:div w:id="134298633">
          <w:marLeft w:val="0"/>
          <w:marRight w:val="0"/>
          <w:marTop w:val="0"/>
          <w:marBottom w:val="0"/>
          <w:divBdr>
            <w:top w:val="none" w:sz="0" w:space="0" w:color="auto"/>
            <w:left w:val="none" w:sz="0" w:space="0" w:color="auto"/>
            <w:bottom w:val="none" w:sz="0" w:space="0" w:color="auto"/>
            <w:right w:val="none" w:sz="0" w:space="0" w:color="auto"/>
          </w:divBdr>
        </w:div>
        <w:div w:id="154155517">
          <w:marLeft w:val="0"/>
          <w:marRight w:val="0"/>
          <w:marTop w:val="0"/>
          <w:marBottom w:val="0"/>
          <w:divBdr>
            <w:top w:val="none" w:sz="0" w:space="0" w:color="auto"/>
            <w:left w:val="none" w:sz="0" w:space="0" w:color="auto"/>
            <w:bottom w:val="none" w:sz="0" w:space="0" w:color="auto"/>
            <w:right w:val="none" w:sz="0" w:space="0" w:color="auto"/>
          </w:divBdr>
        </w:div>
        <w:div w:id="156768446">
          <w:marLeft w:val="0"/>
          <w:marRight w:val="0"/>
          <w:marTop w:val="0"/>
          <w:marBottom w:val="0"/>
          <w:divBdr>
            <w:top w:val="none" w:sz="0" w:space="0" w:color="auto"/>
            <w:left w:val="none" w:sz="0" w:space="0" w:color="auto"/>
            <w:bottom w:val="none" w:sz="0" w:space="0" w:color="auto"/>
            <w:right w:val="none" w:sz="0" w:space="0" w:color="auto"/>
          </w:divBdr>
        </w:div>
        <w:div w:id="167912057">
          <w:marLeft w:val="0"/>
          <w:marRight w:val="0"/>
          <w:marTop w:val="0"/>
          <w:marBottom w:val="0"/>
          <w:divBdr>
            <w:top w:val="none" w:sz="0" w:space="0" w:color="auto"/>
            <w:left w:val="none" w:sz="0" w:space="0" w:color="auto"/>
            <w:bottom w:val="none" w:sz="0" w:space="0" w:color="auto"/>
            <w:right w:val="none" w:sz="0" w:space="0" w:color="auto"/>
          </w:divBdr>
        </w:div>
        <w:div w:id="171847506">
          <w:marLeft w:val="0"/>
          <w:marRight w:val="0"/>
          <w:marTop w:val="0"/>
          <w:marBottom w:val="0"/>
          <w:divBdr>
            <w:top w:val="none" w:sz="0" w:space="0" w:color="auto"/>
            <w:left w:val="none" w:sz="0" w:space="0" w:color="auto"/>
            <w:bottom w:val="none" w:sz="0" w:space="0" w:color="auto"/>
            <w:right w:val="none" w:sz="0" w:space="0" w:color="auto"/>
          </w:divBdr>
        </w:div>
        <w:div w:id="223640068">
          <w:marLeft w:val="0"/>
          <w:marRight w:val="0"/>
          <w:marTop w:val="0"/>
          <w:marBottom w:val="0"/>
          <w:divBdr>
            <w:top w:val="none" w:sz="0" w:space="0" w:color="auto"/>
            <w:left w:val="none" w:sz="0" w:space="0" w:color="auto"/>
            <w:bottom w:val="none" w:sz="0" w:space="0" w:color="auto"/>
            <w:right w:val="none" w:sz="0" w:space="0" w:color="auto"/>
          </w:divBdr>
        </w:div>
        <w:div w:id="227959571">
          <w:marLeft w:val="0"/>
          <w:marRight w:val="0"/>
          <w:marTop w:val="0"/>
          <w:marBottom w:val="0"/>
          <w:divBdr>
            <w:top w:val="none" w:sz="0" w:space="0" w:color="auto"/>
            <w:left w:val="none" w:sz="0" w:space="0" w:color="auto"/>
            <w:bottom w:val="none" w:sz="0" w:space="0" w:color="auto"/>
            <w:right w:val="none" w:sz="0" w:space="0" w:color="auto"/>
          </w:divBdr>
        </w:div>
        <w:div w:id="228269315">
          <w:marLeft w:val="0"/>
          <w:marRight w:val="0"/>
          <w:marTop w:val="0"/>
          <w:marBottom w:val="0"/>
          <w:divBdr>
            <w:top w:val="none" w:sz="0" w:space="0" w:color="auto"/>
            <w:left w:val="none" w:sz="0" w:space="0" w:color="auto"/>
            <w:bottom w:val="none" w:sz="0" w:space="0" w:color="auto"/>
            <w:right w:val="none" w:sz="0" w:space="0" w:color="auto"/>
          </w:divBdr>
        </w:div>
        <w:div w:id="235752685">
          <w:marLeft w:val="0"/>
          <w:marRight w:val="0"/>
          <w:marTop w:val="0"/>
          <w:marBottom w:val="0"/>
          <w:divBdr>
            <w:top w:val="none" w:sz="0" w:space="0" w:color="auto"/>
            <w:left w:val="none" w:sz="0" w:space="0" w:color="auto"/>
            <w:bottom w:val="none" w:sz="0" w:space="0" w:color="auto"/>
            <w:right w:val="none" w:sz="0" w:space="0" w:color="auto"/>
          </w:divBdr>
        </w:div>
        <w:div w:id="244725881">
          <w:marLeft w:val="0"/>
          <w:marRight w:val="0"/>
          <w:marTop w:val="0"/>
          <w:marBottom w:val="0"/>
          <w:divBdr>
            <w:top w:val="none" w:sz="0" w:space="0" w:color="auto"/>
            <w:left w:val="none" w:sz="0" w:space="0" w:color="auto"/>
            <w:bottom w:val="none" w:sz="0" w:space="0" w:color="auto"/>
            <w:right w:val="none" w:sz="0" w:space="0" w:color="auto"/>
          </w:divBdr>
        </w:div>
        <w:div w:id="257301429">
          <w:marLeft w:val="0"/>
          <w:marRight w:val="0"/>
          <w:marTop w:val="0"/>
          <w:marBottom w:val="0"/>
          <w:divBdr>
            <w:top w:val="none" w:sz="0" w:space="0" w:color="auto"/>
            <w:left w:val="none" w:sz="0" w:space="0" w:color="auto"/>
            <w:bottom w:val="none" w:sz="0" w:space="0" w:color="auto"/>
            <w:right w:val="none" w:sz="0" w:space="0" w:color="auto"/>
          </w:divBdr>
        </w:div>
        <w:div w:id="270237630">
          <w:marLeft w:val="0"/>
          <w:marRight w:val="0"/>
          <w:marTop w:val="0"/>
          <w:marBottom w:val="0"/>
          <w:divBdr>
            <w:top w:val="none" w:sz="0" w:space="0" w:color="auto"/>
            <w:left w:val="none" w:sz="0" w:space="0" w:color="auto"/>
            <w:bottom w:val="none" w:sz="0" w:space="0" w:color="auto"/>
            <w:right w:val="none" w:sz="0" w:space="0" w:color="auto"/>
          </w:divBdr>
        </w:div>
        <w:div w:id="312442766">
          <w:marLeft w:val="0"/>
          <w:marRight w:val="0"/>
          <w:marTop w:val="0"/>
          <w:marBottom w:val="0"/>
          <w:divBdr>
            <w:top w:val="none" w:sz="0" w:space="0" w:color="auto"/>
            <w:left w:val="none" w:sz="0" w:space="0" w:color="auto"/>
            <w:bottom w:val="none" w:sz="0" w:space="0" w:color="auto"/>
            <w:right w:val="none" w:sz="0" w:space="0" w:color="auto"/>
          </w:divBdr>
        </w:div>
        <w:div w:id="321854306">
          <w:marLeft w:val="0"/>
          <w:marRight w:val="0"/>
          <w:marTop w:val="0"/>
          <w:marBottom w:val="0"/>
          <w:divBdr>
            <w:top w:val="none" w:sz="0" w:space="0" w:color="auto"/>
            <w:left w:val="none" w:sz="0" w:space="0" w:color="auto"/>
            <w:bottom w:val="none" w:sz="0" w:space="0" w:color="auto"/>
            <w:right w:val="none" w:sz="0" w:space="0" w:color="auto"/>
          </w:divBdr>
        </w:div>
        <w:div w:id="361631830">
          <w:marLeft w:val="0"/>
          <w:marRight w:val="0"/>
          <w:marTop w:val="0"/>
          <w:marBottom w:val="0"/>
          <w:divBdr>
            <w:top w:val="none" w:sz="0" w:space="0" w:color="auto"/>
            <w:left w:val="none" w:sz="0" w:space="0" w:color="auto"/>
            <w:bottom w:val="none" w:sz="0" w:space="0" w:color="auto"/>
            <w:right w:val="none" w:sz="0" w:space="0" w:color="auto"/>
          </w:divBdr>
        </w:div>
        <w:div w:id="364133462">
          <w:marLeft w:val="0"/>
          <w:marRight w:val="0"/>
          <w:marTop w:val="0"/>
          <w:marBottom w:val="0"/>
          <w:divBdr>
            <w:top w:val="none" w:sz="0" w:space="0" w:color="auto"/>
            <w:left w:val="none" w:sz="0" w:space="0" w:color="auto"/>
            <w:bottom w:val="none" w:sz="0" w:space="0" w:color="auto"/>
            <w:right w:val="none" w:sz="0" w:space="0" w:color="auto"/>
          </w:divBdr>
        </w:div>
        <w:div w:id="391736392">
          <w:marLeft w:val="0"/>
          <w:marRight w:val="0"/>
          <w:marTop w:val="0"/>
          <w:marBottom w:val="0"/>
          <w:divBdr>
            <w:top w:val="none" w:sz="0" w:space="0" w:color="auto"/>
            <w:left w:val="none" w:sz="0" w:space="0" w:color="auto"/>
            <w:bottom w:val="none" w:sz="0" w:space="0" w:color="auto"/>
            <w:right w:val="none" w:sz="0" w:space="0" w:color="auto"/>
          </w:divBdr>
        </w:div>
        <w:div w:id="411858032">
          <w:marLeft w:val="0"/>
          <w:marRight w:val="0"/>
          <w:marTop w:val="0"/>
          <w:marBottom w:val="0"/>
          <w:divBdr>
            <w:top w:val="none" w:sz="0" w:space="0" w:color="auto"/>
            <w:left w:val="none" w:sz="0" w:space="0" w:color="auto"/>
            <w:bottom w:val="none" w:sz="0" w:space="0" w:color="auto"/>
            <w:right w:val="none" w:sz="0" w:space="0" w:color="auto"/>
          </w:divBdr>
        </w:div>
        <w:div w:id="417485745">
          <w:marLeft w:val="0"/>
          <w:marRight w:val="0"/>
          <w:marTop w:val="0"/>
          <w:marBottom w:val="0"/>
          <w:divBdr>
            <w:top w:val="none" w:sz="0" w:space="0" w:color="auto"/>
            <w:left w:val="none" w:sz="0" w:space="0" w:color="auto"/>
            <w:bottom w:val="none" w:sz="0" w:space="0" w:color="auto"/>
            <w:right w:val="none" w:sz="0" w:space="0" w:color="auto"/>
          </w:divBdr>
        </w:div>
        <w:div w:id="449208290">
          <w:marLeft w:val="0"/>
          <w:marRight w:val="0"/>
          <w:marTop w:val="0"/>
          <w:marBottom w:val="0"/>
          <w:divBdr>
            <w:top w:val="none" w:sz="0" w:space="0" w:color="auto"/>
            <w:left w:val="none" w:sz="0" w:space="0" w:color="auto"/>
            <w:bottom w:val="none" w:sz="0" w:space="0" w:color="auto"/>
            <w:right w:val="none" w:sz="0" w:space="0" w:color="auto"/>
          </w:divBdr>
        </w:div>
        <w:div w:id="468203291">
          <w:marLeft w:val="0"/>
          <w:marRight w:val="0"/>
          <w:marTop w:val="0"/>
          <w:marBottom w:val="0"/>
          <w:divBdr>
            <w:top w:val="none" w:sz="0" w:space="0" w:color="auto"/>
            <w:left w:val="none" w:sz="0" w:space="0" w:color="auto"/>
            <w:bottom w:val="none" w:sz="0" w:space="0" w:color="auto"/>
            <w:right w:val="none" w:sz="0" w:space="0" w:color="auto"/>
          </w:divBdr>
        </w:div>
        <w:div w:id="470638759">
          <w:marLeft w:val="0"/>
          <w:marRight w:val="0"/>
          <w:marTop w:val="0"/>
          <w:marBottom w:val="0"/>
          <w:divBdr>
            <w:top w:val="none" w:sz="0" w:space="0" w:color="auto"/>
            <w:left w:val="none" w:sz="0" w:space="0" w:color="auto"/>
            <w:bottom w:val="none" w:sz="0" w:space="0" w:color="auto"/>
            <w:right w:val="none" w:sz="0" w:space="0" w:color="auto"/>
          </w:divBdr>
        </w:div>
        <w:div w:id="504514049">
          <w:marLeft w:val="0"/>
          <w:marRight w:val="0"/>
          <w:marTop w:val="0"/>
          <w:marBottom w:val="0"/>
          <w:divBdr>
            <w:top w:val="none" w:sz="0" w:space="0" w:color="auto"/>
            <w:left w:val="none" w:sz="0" w:space="0" w:color="auto"/>
            <w:bottom w:val="none" w:sz="0" w:space="0" w:color="auto"/>
            <w:right w:val="none" w:sz="0" w:space="0" w:color="auto"/>
          </w:divBdr>
        </w:div>
        <w:div w:id="505050630">
          <w:marLeft w:val="0"/>
          <w:marRight w:val="0"/>
          <w:marTop w:val="0"/>
          <w:marBottom w:val="0"/>
          <w:divBdr>
            <w:top w:val="none" w:sz="0" w:space="0" w:color="auto"/>
            <w:left w:val="none" w:sz="0" w:space="0" w:color="auto"/>
            <w:bottom w:val="none" w:sz="0" w:space="0" w:color="auto"/>
            <w:right w:val="none" w:sz="0" w:space="0" w:color="auto"/>
          </w:divBdr>
        </w:div>
        <w:div w:id="507915124">
          <w:marLeft w:val="0"/>
          <w:marRight w:val="0"/>
          <w:marTop w:val="0"/>
          <w:marBottom w:val="0"/>
          <w:divBdr>
            <w:top w:val="none" w:sz="0" w:space="0" w:color="auto"/>
            <w:left w:val="none" w:sz="0" w:space="0" w:color="auto"/>
            <w:bottom w:val="none" w:sz="0" w:space="0" w:color="auto"/>
            <w:right w:val="none" w:sz="0" w:space="0" w:color="auto"/>
          </w:divBdr>
        </w:div>
        <w:div w:id="523901924">
          <w:marLeft w:val="0"/>
          <w:marRight w:val="0"/>
          <w:marTop w:val="0"/>
          <w:marBottom w:val="0"/>
          <w:divBdr>
            <w:top w:val="none" w:sz="0" w:space="0" w:color="auto"/>
            <w:left w:val="none" w:sz="0" w:space="0" w:color="auto"/>
            <w:bottom w:val="none" w:sz="0" w:space="0" w:color="auto"/>
            <w:right w:val="none" w:sz="0" w:space="0" w:color="auto"/>
          </w:divBdr>
        </w:div>
        <w:div w:id="539782172">
          <w:marLeft w:val="0"/>
          <w:marRight w:val="0"/>
          <w:marTop w:val="0"/>
          <w:marBottom w:val="0"/>
          <w:divBdr>
            <w:top w:val="none" w:sz="0" w:space="0" w:color="auto"/>
            <w:left w:val="none" w:sz="0" w:space="0" w:color="auto"/>
            <w:bottom w:val="none" w:sz="0" w:space="0" w:color="auto"/>
            <w:right w:val="none" w:sz="0" w:space="0" w:color="auto"/>
          </w:divBdr>
        </w:div>
        <w:div w:id="542405402">
          <w:marLeft w:val="0"/>
          <w:marRight w:val="0"/>
          <w:marTop w:val="0"/>
          <w:marBottom w:val="0"/>
          <w:divBdr>
            <w:top w:val="none" w:sz="0" w:space="0" w:color="auto"/>
            <w:left w:val="none" w:sz="0" w:space="0" w:color="auto"/>
            <w:bottom w:val="none" w:sz="0" w:space="0" w:color="auto"/>
            <w:right w:val="none" w:sz="0" w:space="0" w:color="auto"/>
          </w:divBdr>
        </w:div>
        <w:div w:id="565918412">
          <w:marLeft w:val="0"/>
          <w:marRight w:val="0"/>
          <w:marTop w:val="0"/>
          <w:marBottom w:val="0"/>
          <w:divBdr>
            <w:top w:val="none" w:sz="0" w:space="0" w:color="auto"/>
            <w:left w:val="none" w:sz="0" w:space="0" w:color="auto"/>
            <w:bottom w:val="none" w:sz="0" w:space="0" w:color="auto"/>
            <w:right w:val="none" w:sz="0" w:space="0" w:color="auto"/>
          </w:divBdr>
        </w:div>
        <w:div w:id="605114582">
          <w:marLeft w:val="0"/>
          <w:marRight w:val="0"/>
          <w:marTop w:val="0"/>
          <w:marBottom w:val="0"/>
          <w:divBdr>
            <w:top w:val="none" w:sz="0" w:space="0" w:color="auto"/>
            <w:left w:val="none" w:sz="0" w:space="0" w:color="auto"/>
            <w:bottom w:val="none" w:sz="0" w:space="0" w:color="auto"/>
            <w:right w:val="none" w:sz="0" w:space="0" w:color="auto"/>
          </w:divBdr>
        </w:div>
        <w:div w:id="617563526">
          <w:marLeft w:val="0"/>
          <w:marRight w:val="0"/>
          <w:marTop w:val="0"/>
          <w:marBottom w:val="0"/>
          <w:divBdr>
            <w:top w:val="none" w:sz="0" w:space="0" w:color="auto"/>
            <w:left w:val="none" w:sz="0" w:space="0" w:color="auto"/>
            <w:bottom w:val="none" w:sz="0" w:space="0" w:color="auto"/>
            <w:right w:val="none" w:sz="0" w:space="0" w:color="auto"/>
          </w:divBdr>
        </w:div>
        <w:div w:id="633830661">
          <w:marLeft w:val="0"/>
          <w:marRight w:val="0"/>
          <w:marTop w:val="0"/>
          <w:marBottom w:val="0"/>
          <w:divBdr>
            <w:top w:val="none" w:sz="0" w:space="0" w:color="auto"/>
            <w:left w:val="none" w:sz="0" w:space="0" w:color="auto"/>
            <w:bottom w:val="none" w:sz="0" w:space="0" w:color="auto"/>
            <w:right w:val="none" w:sz="0" w:space="0" w:color="auto"/>
          </w:divBdr>
        </w:div>
        <w:div w:id="667640292">
          <w:marLeft w:val="0"/>
          <w:marRight w:val="0"/>
          <w:marTop w:val="0"/>
          <w:marBottom w:val="0"/>
          <w:divBdr>
            <w:top w:val="none" w:sz="0" w:space="0" w:color="auto"/>
            <w:left w:val="none" w:sz="0" w:space="0" w:color="auto"/>
            <w:bottom w:val="none" w:sz="0" w:space="0" w:color="auto"/>
            <w:right w:val="none" w:sz="0" w:space="0" w:color="auto"/>
          </w:divBdr>
        </w:div>
        <w:div w:id="669067003">
          <w:marLeft w:val="0"/>
          <w:marRight w:val="0"/>
          <w:marTop w:val="0"/>
          <w:marBottom w:val="0"/>
          <w:divBdr>
            <w:top w:val="none" w:sz="0" w:space="0" w:color="auto"/>
            <w:left w:val="none" w:sz="0" w:space="0" w:color="auto"/>
            <w:bottom w:val="none" w:sz="0" w:space="0" w:color="auto"/>
            <w:right w:val="none" w:sz="0" w:space="0" w:color="auto"/>
          </w:divBdr>
        </w:div>
        <w:div w:id="669875040">
          <w:marLeft w:val="0"/>
          <w:marRight w:val="0"/>
          <w:marTop w:val="0"/>
          <w:marBottom w:val="0"/>
          <w:divBdr>
            <w:top w:val="none" w:sz="0" w:space="0" w:color="auto"/>
            <w:left w:val="none" w:sz="0" w:space="0" w:color="auto"/>
            <w:bottom w:val="none" w:sz="0" w:space="0" w:color="auto"/>
            <w:right w:val="none" w:sz="0" w:space="0" w:color="auto"/>
          </w:divBdr>
        </w:div>
        <w:div w:id="677461297">
          <w:marLeft w:val="0"/>
          <w:marRight w:val="0"/>
          <w:marTop w:val="0"/>
          <w:marBottom w:val="0"/>
          <w:divBdr>
            <w:top w:val="none" w:sz="0" w:space="0" w:color="auto"/>
            <w:left w:val="none" w:sz="0" w:space="0" w:color="auto"/>
            <w:bottom w:val="none" w:sz="0" w:space="0" w:color="auto"/>
            <w:right w:val="none" w:sz="0" w:space="0" w:color="auto"/>
          </w:divBdr>
        </w:div>
        <w:div w:id="679308359">
          <w:marLeft w:val="0"/>
          <w:marRight w:val="0"/>
          <w:marTop w:val="0"/>
          <w:marBottom w:val="0"/>
          <w:divBdr>
            <w:top w:val="none" w:sz="0" w:space="0" w:color="auto"/>
            <w:left w:val="none" w:sz="0" w:space="0" w:color="auto"/>
            <w:bottom w:val="none" w:sz="0" w:space="0" w:color="auto"/>
            <w:right w:val="none" w:sz="0" w:space="0" w:color="auto"/>
          </w:divBdr>
        </w:div>
        <w:div w:id="681933275">
          <w:marLeft w:val="0"/>
          <w:marRight w:val="0"/>
          <w:marTop w:val="0"/>
          <w:marBottom w:val="0"/>
          <w:divBdr>
            <w:top w:val="none" w:sz="0" w:space="0" w:color="auto"/>
            <w:left w:val="none" w:sz="0" w:space="0" w:color="auto"/>
            <w:bottom w:val="none" w:sz="0" w:space="0" w:color="auto"/>
            <w:right w:val="none" w:sz="0" w:space="0" w:color="auto"/>
          </w:divBdr>
        </w:div>
        <w:div w:id="689642831">
          <w:marLeft w:val="0"/>
          <w:marRight w:val="0"/>
          <w:marTop w:val="0"/>
          <w:marBottom w:val="0"/>
          <w:divBdr>
            <w:top w:val="none" w:sz="0" w:space="0" w:color="auto"/>
            <w:left w:val="none" w:sz="0" w:space="0" w:color="auto"/>
            <w:bottom w:val="none" w:sz="0" w:space="0" w:color="auto"/>
            <w:right w:val="none" w:sz="0" w:space="0" w:color="auto"/>
          </w:divBdr>
        </w:div>
        <w:div w:id="692994467">
          <w:marLeft w:val="0"/>
          <w:marRight w:val="0"/>
          <w:marTop w:val="0"/>
          <w:marBottom w:val="0"/>
          <w:divBdr>
            <w:top w:val="none" w:sz="0" w:space="0" w:color="auto"/>
            <w:left w:val="none" w:sz="0" w:space="0" w:color="auto"/>
            <w:bottom w:val="none" w:sz="0" w:space="0" w:color="auto"/>
            <w:right w:val="none" w:sz="0" w:space="0" w:color="auto"/>
          </w:divBdr>
        </w:div>
        <w:div w:id="710497171">
          <w:marLeft w:val="0"/>
          <w:marRight w:val="0"/>
          <w:marTop w:val="0"/>
          <w:marBottom w:val="0"/>
          <w:divBdr>
            <w:top w:val="none" w:sz="0" w:space="0" w:color="auto"/>
            <w:left w:val="none" w:sz="0" w:space="0" w:color="auto"/>
            <w:bottom w:val="none" w:sz="0" w:space="0" w:color="auto"/>
            <w:right w:val="none" w:sz="0" w:space="0" w:color="auto"/>
          </w:divBdr>
        </w:div>
        <w:div w:id="720443940">
          <w:marLeft w:val="0"/>
          <w:marRight w:val="0"/>
          <w:marTop w:val="0"/>
          <w:marBottom w:val="0"/>
          <w:divBdr>
            <w:top w:val="none" w:sz="0" w:space="0" w:color="auto"/>
            <w:left w:val="none" w:sz="0" w:space="0" w:color="auto"/>
            <w:bottom w:val="none" w:sz="0" w:space="0" w:color="auto"/>
            <w:right w:val="none" w:sz="0" w:space="0" w:color="auto"/>
          </w:divBdr>
        </w:div>
        <w:div w:id="722020553">
          <w:marLeft w:val="0"/>
          <w:marRight w:val="0"/>
          <w:marTop w:val="0"/>
          <w:marBottom w:val="0"/>
          <w:divBdr>
            <w:top w:val="none" w:sz="0" w:space="0" w:color="auto"/>
            <w:left w:val="none" w:sz="0" w:space="0" w:color="auto"/>
            <w:bottom w:val="none" w:sz="0" w:space="0" w:color="auto"/>
            <w:right w:val="none" w:sz="0" w:space="0" w:color="auto"/>
          </w:divBdr>
        </w:div>
        <w:div w:id="741752126">
          <w:marLeft w:val="0"/>
          <w:marRight w:val="0"/>
          <w:marTop w:val="0"/>
          <w:marBottom w:val="0"/>
          <w:divBdr>
            <w:top w:val="none" w:sz="0" w:space="0" w:color="auto"/>
            <w:left w:val="none" w:sz="0" w:space="0" w:color="auto"/>
            <w:bottom w:val="none" w:sz="0" w:space="0" w:color="auto"/>
            <w:right w:val="none" w:sz="0" w:space="0" w:color="auto"/>
          </w:divBdr>
        </w:div>
        <w:div w:id="761411958">
          <w:marLeft w:val="0"/>
          <w:marRight w:val="0"/>
          <w:marTop w:val="0"/>
          <w:marBottom w:val="0"/>
          <w:divBdr>
            <w:top w:val="none" w:sz="0" w:space="0" w:color="auto"/>
            <w:left w:val="none" w:sz="0" w:space="0" w:color="auto"/>
            <w:bottom w:val="none" w:sz="0" w:space="0" w:color="auto"/>
            <w:right w:val="none" w:sz="0" w:space="0" w:color="auto"/>
          </w:divBdr>
        </w:div>
        <w:div w:id="768542855">
          <w:marLeft w:val="0"/>
          <w:marRight w:val="0"/>
          <w:marTop w:val="0"/>
          <w:marBottom w:val="0"/>
          <w:divBdr>
            <w:top w:val="none" w:sz="0" w:space="0" w:color="auto"/>
            <w:left w:val="none" w:sz="0" w:space="0" w:color="auto"/>
            <w:bottom w:val="none" w:sz="0" w:space="0" w:color="auto"/>
            <w:right w:val="none" w:sz="0" w:space="0" w:color="auto"/>
          </w:divBdr>
        </w:div>
        <w:div w:id="788089078">
          <w:marLeft w:val="0"/>
          <w:marRight w:val="0"/>
          <w:marTop w:val="0"/>
          <w:marBottom w:val="0"/>
          <w:divBdr>
            <w:top w:val="none" w:sz="0" w:space="0" w:color="auto"/>
            <w:left w:val="none" w:sz="0" w:space="0" w:color="auto"/>
            <w:bottom w:val="none" w:sz="0" w:space="0" w:color="auto"/>
            <w:right w:val="none" w:sz="0" w:space="0" w:color="auto"/>
          </w:divBdr>
        </w:div>
        <w:div w:id="793720740">
          <w:marLeft w:val="0"/>
          <w:marRight w:val="0"/>
          <w:marTop w:val="0"/>
          <w:marBottom w:val="0"/>
          <w:divBdr>
            <w:top w:val="none" w:sz="0" w:space="0" w:color="auto"/>
            <w:left w:val="none" w:sz="0" w:space="0" w:color="auto"/>
            <w:bottom w:val="none" w:sz="0" w:space="0" w:color="auto"/>
            <w:right w:val="none" w:sz="0" w:space="0" w:color="auto"/>
          </w:divBdr>
        </w:div>
        <w:div w:id="809519206">
          <w:marLeft w:val="0"/>
          <w:marRight w:val="0"/>
          <w:marTop w:val="0"/>
          <w:marBottom w:val="0"/>
          <w:divBdr>
            <w:top w:val="none" w:sz="0" w:space="0" w:color="auto"/>
            <w:left w:val="none" w:sz="0" w:space="0" w:color="auto"/>
            <w:bottom w:val="none" w:sz="0" w:space="0" w:color="auto"/>
            <w:right w:val="none" w:sz="0" w:space="0" w:color="auto"/>
          </w:divBdr>
        </w:div>
        <w:div w:id="810177863">
          <w:marLeft w:val="0"/>
          <w:marRight w:val="0"/>
          <w:marTop w:val="0"/>
          <w:marBottom w:val="0"/>
          <w:divBdr>
            <w:top w:val="none" w:sz="0" w:space="0" w:color="auto"/>
            <w:left w:val="none" w:sz="0" w:space="0" w:color="auto"/>
            <w:bottom w:val="none" w:sz="0" w:space="0" w:color="auto"/>
            <w:right w:val="none" w:sz="0" w:space="0" w:color="auto"/>
          </w:divBdr>
        </w:div>
        <w:div w:id="810296175">
          <w:marLeft w:val="0"/>
          <w:marRight w:val="0"/>
          <w:marTop w:val="0"/>
          <w:marBottom w:val="0"/>
          <w:divBdr>
            <w:top w:val="none" w:sz="0" w:space="0" w:color="auto"/>
            <w:left w:val="none" w:sz="0" w:space="0" w:color="auto"/>
            <w:bottom w:val="none" w:sz="0" w:space="0" w:color="auto"/>
            <w:right w:val="none" w:sz="0" w:space="0" w:color="auto"/>
          </w:divBdr>
        </w:div>
        <w:div w:id="833692312">
          <w:marLeft w:val="0"/>
          <w:marRight w:val="0"/>
          <w:marTop w:val="0"/>
          <w:marBottom w:val="0"/>
          <w:divBdr>
            <w:top w:val="none" w:sz="0" w:space="0" w:color="auto"/>
            <w:left w:val="none" w:sz="0" w:space="0" w:color="auto"/>
            <w:bottom w:val="none" w:sz="0" w:space="0" w:color="auto"/>
            <w:right w:val="none" w:sz="0" w:space="0" w:color="auto"/>
          </w:divBdr>
        </w:div>
        <w:div w:id="864053204">
          <w:marLeft w:val="0"/>
          <w:marRight w:val="0"/>
          <w:marTop w:val="0"/>
          <w:marBottom w:val="0"/>
          <w:divBdr>
            <w:top w:val="none" w:sz="0" w:space="0" w:color="auto"/>
            <w:left w:val="none" w:sz="0" w:space="0" w:color="auto"/>
            <w:bottom w:val="none" w:sz="0" w:space="0" w:color="auto"/>
            <w:right w:val="none" w:sz="0" w:space="0" w:color="auto"/>
          </w:divBdr>
        </w:div>
        <w:div w:id="864176063">
          <w:marLeft w:val="0"/>
          <w:marRight w:val="0"/>
          <w:marTop w:val="0"/>
          <w:marBottom w:val="0"/>
          <w:divBdr>
            <w:top w:val="none" w:sz="0" w:space="0" w:color="auto"/>
            <w:left w:val="none" w:sz="0" w:space="0" w:color="auto"/>
            <w:bottom w:val="none" w:sz="0" w:space="0" w:color="auto"/>
            <w:right w:val="none" w:sz="0" w:space="0" w:color="auto"/>
          </w:divBdr>
        </w:div>
        <w:div w:id="864903793">
          <w:marLeft w:val="0"/>
          <w:marRight w:val="0"/>
          <w:marTop w:val="0"/>
          <w:marBottom w:val="0"/>
          <w:divBdr>
            <w:top w:val="none" w:sz="0" w:space="0" w:color="auto"/>
            <w:left w:val="none" w:sz="0" w:space="0" w:color="auto"/>
            <w:bottom w:val="none" w:sz="0" w:space="0" w:color="auto"/>
            <w:right w:val="none" w:sz="0" w:space="0" w:color="auto"/>
          </w:divBdr>
        </w:div>
        <w:div w:id="870149759">
          <w:marLeft w:val="0"/>
          <w:marRight w:val="0"/>
          <w:marTop w:val="0"/>
          <w:marBottom w:val="0"/>
          <w:divBdr>
            <w:top w:val="none" w:sz="0" w:space="0" w:color="auto"/>
            <w:left w:val="none" w:sz="0" w:space="0" w:color="auto"/>
            <w:bottom w:val="none" w:sz="0" w:space="0" w:color="auto"/>
            <w:right w:val="none" w:sz="0" w:space="0" w:color="auto"/>
          </w:divBdr>
        </w:div>
        <w:div w:id="881135662">
          <w:marLeft w:val="0"/>
          <w:marRight w:val="0"/>
          <w:marTop w:val="0"/>
          <w:marBottom w:val="0"/>
          <w:divBdr>
            <w:top w:val="none" w:sz="0" w:space="0" w:color="auto"/>
            <w:left w:val="none" w:sz="0" w:space="0" w:color="auto"/>
            <w:bottom w:val="none" w:sz="0" w:space="0" w:color="auto"/>
            <w:right w:val="none" w:sz="0" w:space="0" w:color="auto"/>
          </w:divBdr>
        </w:div>
        <w:div w:id="892079065">
          <w:marLeft w:val="0"/>
          <w:marRight w:val="0"/>
          <w:marTop w:val="0"/>
          <w:marBottom w:val="0"/>
          <w:divBdr>
            <w:top w:val="none" w:sz="0" w:space="0" w:color="auto"/>
            <w:left w:val="none" w:sz="0" w:space="0" w:color="auto"/>
            <w:bottom w:val="none" w:sz="0" w:space="0" w:color="auto"/>
            <w:right w:val="none" w:sz="0" w:space="0" w:color="auto"/>
          </w:divBdr>
        </w:div>
        <w:div w:id="893391282">
          <w:marLeft w:val="0"/>
          <w:marRight w:val="0"/>
          <w:marTop w:val="0"/>
          <w:marBottom w:val="0"/>
          <w:divBdr>
            <w:top w:val="none" w:sz="0" w:space="0" w:color="auto"/>
            <w:left w:val="none" w:sz="0" w:space="0" w:color="auto"/>
            <w:bottom w:val="none" w:sz="0" w:space="0" w:color="auto"/>
            <w:right w:val="none" w:sz="0" w:space="0" w:color="auto"/>
          </w:divBdr>
        </w:div>
        <w:div w:id="903369004">
          <w:marLeft w:val="0"/>
          <w:marRight w:val="0"/>
          <w:marTop w:val="0"/>
          <w:marBottom w:val="0"/>
          <w:divBdr>
            <w:top w:val="none" w:sz="0" w:space="0" w:color="auto"/>
            <w:left w:val="none" w:sz="0" w:space="0" w:color="auto"/>
            <w:bottom w:val="none" w:sz="0" w:space="0" w:color="auto"/>
            <w:right w:val="none" w:sz="0" w:space="0" w:color="auto"/>
          </w:divBdr>
        </w:div>
        <w:div w:id="908807592">
          <w:marLeft w:val="0"/>
          <w:marRight w:val="0"/>
          <w:marTop w:val="0"/>
          <w:marBottom w:val="0"/>
          <w:divBdr>
            <w:top w:val="none" w:sz="0" w:space="0" w:color="auto"/>
            <w:left w:val="none" w:sz="0" w:space="0" w:color="auto"/>
            <w:bottom w:val="none" w:sz="0" w:space="0" w:color="auto"/>
            <w:right w:val="none" w:sz="0" w:space="0" w:color="auto"/>
          </w:divBdr>
        </w:div>
        <w:div w:id="966353539">
          <w:marLeft w:val="0"/>
          <w:marRight w:val="0"/>
          <w:marTop w:val="0"/>
          <w:marBottom w:val="0"/>
          <w:divBdr>
            <w:top w:val="none" w:sz="0" w:space="0" w:color="auto"/>
            <w:left w:val="none" w:sz="0" w:space="0" w:color="auto"/>
            <w:bottom w:val="none" w:sz="0" w:space="0" w:color="auto"/>
            <w:right w:val="none" w:sz="0" w:space="0" w:color="auto"/>
          </w:divBdr>
        </w:div>
        <w:div w:id="992761464">
          <w:marLeft w:val="0"/>
          <w:marRight w:val="0"/>
          <w:marTop w:val="0"/>
          <w:marBottom w:val="0"/>
          <w:divBdr>
            <w:top w:val="none" w:sz="0" w:space="0" w:color="auto"/>
            <w:left w:val="none" w:sz="0" w:space="0" w:color="auto"/>
            <w:bottom w:val="none" w:sz="0" w:space="0" w:color="auto"/>
            <w:right w:val="none" w:sz="0" w:space="0" w:color="auto"/>
          </w:divBdr>
        </w:div>
        <w:div w:id="1005204234">
          <w:marLeft w:val="0"/>
          <w:marRight w:val="0"/>
          <w:marTop w:val="0"/>
          <w:marBottom w:val="0"/>
          <w:divBdr>
            <w:top w:val="none" w:sz="0" w:space="0" w:color="auto"/>
            <w:left w:val="none" w:sz="0" w:space="0" w:color="auto"/>
            <w:bottom w:val="none" w:sz="0" w:space="0" w:color="auto"/>
            <w:right w:val="none" w:sz="0" w:space="0" w:color="auto"/>
          </w:divBdr>
        </w:div>
        <w:div w:id="1018773913">
          <w:marLeft w:val="0"/>
          <w:marRight w:val="0"/>
          <w:marTop w:val="0"/>
          <w:marBottom w:val="0"/>
          <w:divBdr>
            <w:top w:val="none" w:sz="0" w:space="0" w:color="auto"/>
            <w:left w:val="none" w:sz="0" w:space="0" w:color="auto"/>
            <w:bottom w:val="none" w:sz="0" w:space="0" w:color="auto"/>
            <w:right w:val="none" w:sz="0" w:space="0" w:color="auto"/>
          </w:divBdr>
        </w:div>
        <w:div w:id="1025060752">
          <w:marLeft w:val="0"/>
          <w:marRight w:val="0"/>
          <w:marTop w:val="0"/>
          <w:marBottom w:val="0"/>
          <w:divBdr>
            <w:top w:val="none" w:sz="0" w:space="0" w:color="auto"/>
            <w:left w:val="none" w:sz="0" w:space="0" w:color="auto"/>
            <w:bottom w:val="none" w:sz="0" w:space="0" w:color="auto"/>
            <w:right w:val="none" w:sz="0" w:space="0" w:color="auto"/>
          </w:divBdr>
        </w:div>
        <w:div w:id="1025911952">
          <w:marLeft w:val="0"/>
          <w:marRight w:val="0"/>
          <w:marTop w:val="0"/>
          <w:marBottom w:val="0"/>
          <w:divBdr>
            <w:top w:val="none" w:sz="0" w:space="0" w:color="auto"/>
            <w:left w:val="none" w:sz="0" w:space="0" w:color="auto"/>
            <w:bottom w:val="none" w:sz="0" w:space="0" w:color="auto"/>
            <w:right w:val="none" w:sz="0" w:space="0" w:color="auto"/>
          </w:divBdr>
        </w:div>
        <w:div w:id="1038162840">
          <w:marLeft w:val="0"/>
          <w:marRight w:val="0"/>
          <w:marTop w:val="0"/>
          <w:marBottom w:val="0"/>
          <w:divBdr>
            <w:top w:val="none" w:sz="0" w:space="0" w:color="auto"/>
            <w:left w:val="none" w:sz="0" w:space="0" w:color="auto"/>
            <w:bottom w:val="none" w:sz="0" w:space="0" w:color="auto"/>
            <w:right w:val="none" w:sz="0" w:space="0" w:color="auto"/>
          </w:divBdr>
        </w:div>
        <w:div w:id="1049839755">
          <w:marLeft w:val="0"/>
          <w:marRight w:val="0"/>
          <w:marTop w:val="0"/>
          <w:marBottom w:val="0"/>
          <w:divBdr>
            <w:top w:val="none" w:sz="0" w:space="0" w:color="auto"/>
            <w:left w:val="none" w:sz="0" w:space="0" w:color="auto"/>
            <w:bottom w:val="none" w:sz="0" w:space="0" w:color="auto"/>
            <w:right w:val="none" w:sz="0" w:space="0" w:color="auto"/>
          </w:divBdr>
        </w:div>
        <w:div w:id="1052967825">
          <w:marLeft w:val="0"/>
          <w:marRight w:val="0"/>
          <w:marTop w:val="0"/>
          <w:marBottom w:val="0"/>
          <w:divBdr>
            <w:top w:val="none" w:sz="0" w:space="0" w:color="auto"/>
            <w:left w:val="none" w:sz="0" w:space="0" w:color="auto"/>
            <w:bottom w:val="none" w:sz="0" w:space="0" w:color="auto"/>
            <w:right w:val="none" w:sz="0" w:space="0" w:color="auto"/>
          </w:divBdr>
        </w:div>
        <w:div w:id="1054963719">
          <w:marLeft w:val="0"/>
          <w:marRight w:val="0"/>
          <w:marTop w:val="0"/>
          <w:marBottom w:val="0"/>
          <w:divBdr>
            <w:top w:val="none" w:sz="0" w:space="0" w:color="auto"/>
            <w:left w:val="none" w:sz="0" w:space="0" w:color="auto"/>
            <w:bottom w:val="none" w:sz="0" w:space="0" w:color="auto"/>
            <w:right w:val="none" w:sz="0" w:space="0" w:color="auto"/>
          </w:divBdr>
        </w:div>
        <w:div w:id="1067075491">
          <w:marLeft w:val="0"/>
          <w:marRight w:val="0"/>
          <w:marTop w:val="0"/>
          <w:marBottom w:val="0"/>
          <w:divBdr>
            <w:top w:val="none" w:sz="0" w:space="0" w:color="auto"/>
            <w:left w:val="none" w:sz="0" w:space="0" w:color="auto"/>
            <w:bottom w:val="none" w:sz="0" w:space="0" w:color="auto"/>
            <w:right w:val="none" w:sz="0" w:space="0" w:color="auto"/>
          </w:divBdr>
        </w:div>
        <w:div w:id="1081441295">
          <w:marLeft w:val="0"/>
          <w:marRight w:val="0"/>
          <w:marTop w:val="0"/>
          <w:marBottom w:val="0"/>
          <w:divBdr>
            <w:top w:val="none" w:sz="0" w:space="0" w:color="auto"/>
            <w:left w:val="none" w:sz="0" w:space="0" w:color="auto"/>
            <w:bottom w:val="none" w:sz="0" w:space="0" w:color="auto"/>
            <w:right w:val="none" w:sz="0" w:space="0" w:color="auto"/>
          </w:divBdr>
        </w:div>
        <w:div w:id="1115632424">
          <w:marLeft w:val="0"/>
          <w:marRight w:val="0"/>
          <w:marTop w:val="0"/>
          <w:marBottom w:val="0"/>
          <w:divBdr>
            <w:top w:val="none" w:sz="0" w:space="0" w:color="auto"/>
            <w:left w:val="none" w:sz="0" w:space="0" w:color="auto"/>
            <w:bottom w:val="none" w:sz="0" w:space="0" w:color="auto"/>
            <w:right w:val="none" w:sz="0" w:space="0" w:color="auto"/>
          </w:divBdr>
        </w:div>
        <w:div w:id="1117604828">
          <w:marLeft w:val="0"/>
          <w:marRight w:val="0"/>
          <w:marTop w:val="0"/>
          <w:marBottom w:val="0"/>
          <w:divBdr>
            <w:top w:val="none" w:sz="0" w:space="0" w:color="auto"/>
            <w:left w:val="none" w:sz="0" w:space="0" w:color="auto"/>
            <w:bottom w:val="none" w:sz="0" w:space="0" w:color="auto"/>
            <w:right w:val="none" w:sz="0" w:space="0" w:color="auto"/>
          </w:divBdr>
        </w:div>
        <w:div w:id="1127436214">
          <w:marLeft w:val="0"/>
          <w:marRight w:val="0"/>
          <w:marTop w:val="0"/>
          <w:marBottom w:val="0"/>
          <w:divBdr>
            <w:top w:val="none" w:sz="0" w:space="0" w:color="auto"/>
            <w:left w:val="none" w:sz="0" w:space="0" w:color="auto"/>
            <w:bottom w:val="none" w:sz="0" w:space="0" w:color="auto"/>
            <w:right w:val="none" w:sz="0" w:space="0" w:color="auto"/>
          </w:divBdr>
        </w:div>
        <w:div w:id="1151143144">
          <w:marLeft w:val="0"/>
          <w:marRight w:val="0"/>
          <w:marTop w:val="0"/>
          <w:marBottom w:val="0"/>
          <w:divBdr>
            <w:top w:val="none" w:sz="0" w:space="0" w:color="auto"/>
            <w:left w:val="none" w:sz="0" w:space="0" w:color="auto"/>
            <w:bottom w:val="none" w:sz="0" w:space="0" w:color="auto"/>
            <w:right w:val="none" w:sz="0" w:space="0" w:color="auto"/>
          </w:divBdr>
        </w:div>
        <w:div w:id="1152604281">
          <w:marLeft w:val="0"/>
          <w:marRight w:val="0"/>
          <w:marTop w:val="0"/>
          <w:marBottom w:val="0"/>
          <w:divBdr>
            <w:top w:val="none" w:sz="0" w:space="0" w:color="auto"/>
            <w:left w:val="none" w:sz="0" w:space="0" w:color="auto"/>
            <w:bottom w:val="none" w:sz="0" w:space="0" w:color="auto"/>
            <w:right w:val="none" w:sz="0" w:space="0" w:color="auto"/>
          </w:divBdr>
        </w:div>
        <w:div w:id="1155994014">
          <w:marLeft w:val="0"/>
          <w:marRight w:val="0"/>
          <w:marTop w:val="0"/>
          <w:marBottom w:val="0"/>
          <w:divBdr>
            <w:top w:val="none" w:sz="0" w:space="0" w:color="auto"/>
            <w:left w:val="none" w:sz="0" w:space="0" w:color="auto"/>
            <w:bottom w:val="none" w:sz="0" w:space="0" w:color="auto"/>
            <w:right w:val="none" w:sz="0" w:space="0" w:color="auto"/>
          </w:divBdr>
        </w:div>
        <w:div w:id="1165704386">
          <w:marLeft w:val="0"/>
          <w:marRight w:val="0"/>
          <w:marTop w:val="0"/>
          <w:marBottom w:val="0"/>
          <w:divBdr>
            <w:top w:val="none" w:sz="0" w:space="0" w:color="auto"/>
            <w:left w:val="none" w:sz="0" w:space="0" w:color="auto"/>
            <w:bottom w:val="none" w:sz="0" w:space="0" w:color="auto"/>
            <w:right w:val="none" w:sz="0" w:space="0" w:color="auto"/>
          </w:divBdr>
        </w:div>
        <w:div w:id="1172841431">
          <w:marLeft w:val="0"/>
          <w:marRight w:val="0"/>
          <w:marTop w:val="0"/>
          <w:marBottom w:val="0"/>
          <w:divBdr>
            <w:top w:val="none" w:sz="0" w:space="0" w:color="auto"/>
            <w:left w:val="none" w:sz="0" w:space="0" w:color="auto"/>
            <w:bottom w:val="none" w:sz="0" w:space="0" w:color="auto"/>
            <w:right w:val="none" w:sz="0" w:space="0" w:color="auto"/>
          </w:divBdr>
        </w:div>
        <w:div w:id="1178499561">
          <w:marLeft w:val="0"/>
          <w:marRight w:val="0"/>
          <w:marTop w:val="0"/>
          <w:marBottom w:val="0"/>
          <w:divBdr>
            <w:top w:val="none" w:sz="0" w:space="0" w:color="auto"/>
            <w:left w:val="none" w:sz="0" w:space="0" w:color="auto"/>
            <w:bottom w:val="none" w:sz="0" w:space="0" w:color="auto"/>
            <w:right w:val="none" w:sz="0" w:space="0" w:color="auto"/>
          </w:divBdr>
        </w:div>
        <w:div w:id="1182008044">
          <w:marLeft w:val="0"/>
          <w:marRight w:val="0"/>
          <w:marTop w:val="0"/>
          <w:marBottom w:val="0"/>
          <w:divBdr>
            <w:top w:val="none" w:sz="0" w:space="0" w:color="auto"/>
            <w:left w:val="none" w:sz="0" w:space="0" w:color="auto"/>
            <w:bottom w:val="none" w:sz="0" w:space="0" w:color="auto"/>
            <w:right w:val="none" w:sz="0" w:space="0" w:color="auto"/>
          </w:divBdr>
        </w:div>
        <w:div w:id="1182620359">
          <w:marLeft w:val="0"/>
          <w:marRight w:val="0"/>
          <w:marTop w:val="0"/>
          <w:marBottom w:val="0"/>
          <w:divBdr>
            <w:top w:val="none" w:sz="0" w:space="0" w:color="auto"/>
            <w:left w:val="none" w:sz="0" w:space="0" w:color="auto"/>
            <w:bottom w:val="none" w:sz="0" w:space="0" w:color="auto"/>
            <w:right w:val="none" w:sz="0" w:space="0" w:color="auto"/>
          </w:divBdr>
        </w:div>
        <w:div w:id="1186481710">
          <w:marLeft w:val="0"/>
          <w:marRight w:val="0"/>
          <w:marTop w:val="0"/>
          <w:marBottom w:val="0"/>
          <w:divBdr>
            <w:top w:val="none" w:sz="0" w:space="0" w:color="auto"/>
            <w:left w:val="none" w:sz="0" w:space="0" w:color="auto"/>
            <w:bottom w:val="none" w:sz="0" w:space="0" w:color="auto"/>
            <w:right w:val="none" w:sz="0" w:space="0" w:color="auto"/>
          </w:divBdr>
        </w:div>
        <w:div w:id="1188720179">
          <w:marLeft w:val="0"/>
          <w:marRight w:val="0"/>
          <w:marTop w:val="0"/>
          <w:marBottom w:val="0"/>
          <w:divBdr>
            <w:top w:val="none" w:sz="0" w:space="0" w:color="auto"/>
            <w:left w:val="none" w:sz="0" w:space="0" w:color="auto"/>
            <w:bottom w:val="none" w:sz="0" w:space="0" w:color="auto"/>
            <w:right w:val="none" w:sz="0" w:space="0" w:color="auto"/>
          </w:divBdr>
        </w:div>
        <w:div w:id="1190756257">
          <w:marLeft w:val="0"/>
          <w:marRight w:val="0"/>
          <w:marTop w:val="0"/>
          <w:marBottom w:val="0"/>
          <w:divBdr>
            <w:top w:val="none" w:sz="0" w:space="0" w:color="auto"/>
            <w:left w:val="none" w:sz="0" w:space="0" w:color="auto"/>
            <w:bottom w:val="none" w:sz="0" w:space="0" w:color="auto"/>
            <w:right w:val="none" w:sz="0" w:space="0" w:color="auto"/>
          </w:divBdr>
        </w:div>
        <w:div w:id="1194920487">
          <w:marLeft w:val="0"/>
          <w:marRight w:val="0"/>
          <w:marTop w:val="0"/>
          <w:marBottom w:val="0"/>
          <w:divBdr>
            <w:top w:val="none" w:sz="0" w:space="0" w:color="auto"/>
            <w:left w:val="none" w:sz="0" w:space="0" w:color="auto"/>
            <w:bottom w:val="none" w:sz="0" w:space="0" w:color="auto"/>
            <w:right w:val="none" w:sz="0" w:space="0" w:color="auto"/>
          </w:divBdr>
        </w:div>
        <w:div w:id="1209105096">
          <w:marLeft w:val="0"/>
          <w:marRight w:val="0"/>
          <w:marTop w:val="0"/>
          <w:marBottom w:val="0"/>
          <w:divBdr>
            <w:top w:val="none" w:sz="0" w:space="0" w:color="auto"/>
            <w:left w:val="none" w:sz="0" w:space="0" w:color="auto"/>
            <w:bottom w:val="none" w:sz="0" w:space="0" w:color="auto"/>
            <w:right w:val="none" w:sz="0" w:space="0" w:color="auto"/>
          </w:divBdr>
        </w:div>
        <w:div w:id="1244753329">
          <w:marLeft w:val="0"/>
          <w:marRight w:val="0"/>
          <w:marTop w:val="0"/>
          <w:marBottom w:val="0"/>
          <w:divBdr>
            <w:top w:val="none" w:sz="0" w:space="0" w:color="auto"/>
            <w:left w:val="none" w:sz="0" w:space="0" w:color="auto"/>
            <w:bottom w:val="none" w:sz="0" w:space="0" w:color="auto"/>
            <w:right w:val="none" w:sz="0" w:space="0" w:color="auto"/>
          </w:divBdr>
        </w:div>
        <w:div w:id="1264267695">
          <w:marLeft w:val="0"/>
          <w:marRight w:val="0"/>
          <w:marTop w:val="0"/>
          <w:marBottom w:val="0"/>
          <w:divBdr>
            <w:top w:val="none" w:sz="0" w:space="0" w:color="auto"/>
            <w:left w:val="none" w:sz="0" w:space="0" w:color="auto"/>
            <w:bottom w:val="none" w:sz="0" w:space="0" w:color="auto"/>
            <w:right w:val="none" w:sz="0" w:space="0" w:color="auto"/>
          </w:divBdr>
        </w:div>
        <w:div w:id="1271620196">
          <w:marLeft w:val="0"/>
          <w:marRight w:val="0"/>
          <w:marTop w:val="0"/>
          <w:marBottom w:val="0"/>
          <w:divBdr>
            <w:top w:val="none" w:sz="0" w:space="0" w:color="auto"/>
            <w:left w:val="none" w:sz="0" w:space="0" w:color="auto"/>
            <w:bottom w:val="none" w:sz="0" w:space="0" w:color="auto"/>
            <w:right w:val="none" w:sz="0" w:space="0" w:color="auto"/>
          </w:divBdr>
        </w:div>
        <w:div w:id="1278635576">
          <w:marLeft w:val="0"/>
          <w:marRight w:val="0"/>
          <w:marTop w:val="0"/>
          <w:marBottom w:val="0"/>
          <w:divBdr>
            <w:top w:val="none" w:sz="0" w:space="0" w:color="auto"/>
            <w:left w:val="none" w:sz="0" w:space="0" w:color="auto"/>
            <w:bottom w:val="none" w:sz="0" w:space="0" w:color="auto"/>
            <w:right w:val="none" w:sz="0" w:space="0" w:color="auto"/>
          </w:divBdr>
        </w:div>
        <w:div w:id="1332298755">
          <w:marLeft w:val="0"/>
          <w:marRight w:val="0"/>
          <w:marTop w:val="0"/>
          <w:marBottom w:val="0"/>
          <w:divBdr>
            <w:top w:val="none" w:sz="0" w:space="0" w:color="auto"/>
            <w:left w:val="none" w:sz="0" w:space="0" w:color="auto"/>
            <w:bottom w:val="none" w:sz="0" w:space="0" w:color="auto"/>
            <w:right w:val="none" w:sz="0" w:space="0" w:color="auto"/>
          </w:divBdr>
        </w:div>
        <w:div w:id="1349601516">
          <w:marLeft w:val="0"/>
          <w:marRight w:val="0"/>
          <w:marTop w:val="0"/>
          <w:marBottom w:val="0"/>
          <w:divBdr>
            <w:top w:val="none" w:sz="0" w:space="0" w:color="auto"/>
            <w:left w:val="none" w:sz="0" w:space="0" w:color="auto"/>
            <w:bottom w:val="none" w:sz="0" w:space="0" w:color="auto"/>
            <w:right w:val="none" w:sz="0" w:space="0" w:color="auto"/>
          </w:divBdr>
        </w:div>
        <w:div w:id="1352804965">
          <w:marLeft w:val="0"/>
          <w:marRight w:val="0"/>
          <w:marTop w:val="0"/>
          <w:marBottom w:val="0"/>
          <w:divBdr>
            <w:top w:val="none" w:sz="0" w:space="0" w:color="auto"/>
            <w:left w:val="none" w:sz="0" w:space="0" w:color="auto"/>
            <w:bottom w:val="none" w:sz="0" w:space="0" w:color="auto"/>
            <w:right w:val="none" w:sz="0" w:space="0" w:color="auto"/>
          </w:divBdr>
        </w:div>
        <w:div w:id="1374235088">
          <w:marLeft w:val="0"/>
          <w:marRight w:val="0"/>
          <w:marTop w:val="0"/>
          <w:marBottom w:val="0"/>
          <w:divBdr>
            <w:top w:val="none" w:sz="0" w:space="0" w:color="auto"/>
            <w:left w:val="none" w:sz="0" w:space="0" w:color="auto"/>
            <w:bottom w:val="none" w:sz="0" w:space="0" w:color="auto"/>
            <w:right w:val="none" w:sz="0" w:space="0" w:color="auto"/>
          </w:divBdr>
        </w:div>
        <w:div w:id="1376196769">
          <w:marLeft w:val="0"/>
          <w:marRight w:val="0"/>
          <w:marTop w:val="0"/>
          <w:marBottom w:val="0"/>
          <w:divBdr>
            <w:top w:val="none" w:sz="0" w:space="0" w:color="auto"/>
            <w:left w:val="none" w:sz="0" w:space="0" w:color="auto"/>
            <w:bottom w:val="none" w:sz="0" w:space="0" w:color="auto"/>
            <w:right w:val="none" w:sz="0" w:space="0" w:color="auto"/>
          </w:divBdr>
        </w:div>
        <w:div w:id="1378892363">
          <w:marLeft w:val="0"/>
          <w:marRight w:val="0"/>
          <w:marTop w:val="0"/>
          <w:marBottom w:val="0"/>
          <w:divBdr>
            <w:top w:val="none" w:sz="0" w:space="0" w:color="auto"/>
            <w:left w:val="none" w:sz="0" w:space="0" w:color="auto"/>
            <w:bottom w:val="none" w:sz="0" w:space="0" w:color="auto"/>
            <w:right w:val="none" w:sz="0" w:space="0" w:color="auto"/>
          </w:divBdr>
        </w:div>
        <w:div w:id="1394698314">
          <w:marLeft w:val="0"/>
          <w:marRight w:val="0"/>
          <w:marTop w:val="0"/>
          <w:marBottom w:val="0"/>
          <w:divBdr>
            <w:top w:val="none" w:sz="0" w:space="0" w:color="auto"/>
            <w:left w:val="none" w:sz="0" w:space="0" w:color="auto"/>
            <w:bottom w:val="none" w:sz="0" w:space="0" w:color="auto"/>
            <w:right w:val="none" w:sz="0" w:space="0" w:color="auto"/>
          </w:divBdr>
        </w:div>
        <w:div w:id="1413236721">
          <w:marLeft w:val="0"/>
          <w:marRight w:val="0"/>
          <w:marTop w:val="0"/>
          <w:marBottom w:val="0"/>
          <w:divBdr>
            <w:top w:val="none" w:sz="0" w:space="0" w:color="auto"/>
            <w:left w:val="none" w:sz="0" w:space="0" w:color="auto"/>
            <w:bottom w:val="none" w:sz="0" w:space="0" w:color="auto"/>
            <w:right w:val="none" w:sz="0" w:space="0" w:color="auto"/>
          </w:divBdr>
        </w:div>
        <w:div w:id="1431469806">
          <w:marLeft w:val="0"/>
          <w:marRight w:val="0"/>
          <w:marTop w:val="0"/>
          <w:marBottom w:val="0"/>
          <w:divBdr>
            <w:top w:val="none" w:sz="0" w:space="0" w:color="auto"/>
            <w:left w:val="none" w:sz="0" w:space="0" w:color="auto"/>
            <w:bottom w:val="none" w:sz="0" w:space="0" w:color="auto"/>
            <w:right w:val="none" w:sz="0" w:space="0" w:color="auto"/>
          </w:divBdr>
        </w:div>
        <w:div w:id="1439834461">
          <w:marLeft w:val="0"/>
          <w:marRight w:val="0"/>
          <w:marTop w:val="0"/>
          <w:marBottom w:val="0"/>
          <w:divBdr>
            <w:top w:val="none" w:sz="0" w:space="0" w:color="auto"/>
            <w:left w:val="none" w:sz="0" w:space="0" w:color="auto"/>
            <w:bottom w:val="none" w:sz="0" w:space="0" w:color="auto"/>
            <w:right w:val="none" w:sz="0" w:space="0" w:color="auto"/>
          </w:divBdr>
        </w:div>
        <w:div w:id="1441024821">
          <w:marLeft w:val="0"/>
          <w:marRight w:val="0"/>
          <w:marTop w:val="0"/>
          <w:marBottom w:val="0"/>
          <w:divBdr>
            <w:top w:val="none" w:sz="0" w:space="0" w:color="auto"/>
            <w:left w:val="none" w:sz="0" w:space="0" w:color="auto"/>
            <w:bottom w:val="none" w:sz="0" w:space="0" w:color="auto"/>
            <w:right w:val="none" w:sz="0" w:space="0" w:color="auto"/>
          </w:divBdr>
        </w:div>
        <w:div w:id="1443643723">
          <w:marLeft w:val="0"/>
          <w:marRight w:val="0"/>
          <w:marTop w:val="0"/>
          <w:marBottom w:val="0"/>
          <w:divBdr>
            <w:top w:val="none" w:sz="0" w:space="0" w:color="auto"/>
            <w:left w:val="none" w:sz="0" w:space="0" w:color="auto"/>
            <w:bottom w:val="none" w:sz="0" w:space="0" w:color="auto"/>
            <w:right w:val="none" w:sz="0" w:space="0" w:color="auto"/>
          </w:divBdr>
        </w:div>
        <w:div w:id="1443761338">
          <w:marLeft w:val="0"/>
          <w:marRight w:val="0"/>
          <w:marTop w:val="0"/>
          <w:marBottom w:val="0"/>
          <w:divBdr>
            <w:top w:val="none" w:sz="0" w:space="0" w:color="auto"/>
            <w:left w:val="none" w:sz="0" w:space="0" w:color="auto"/>
            <w:bottom w:val="none" w:sz="0" w:space="0" w:color="auto"/>
            <w:right w:val="none" w:sz="0" w:space="0" w:color="auto"/>
          </w:divBdr>
        </w:div>
        <w:div w:id="1450587064">
          <w:marLeft w:val="0"/>
          <w:marRight w:val="0"/>
          <w:marTop w:val="0"/>
          <w:marBottom w:val="0"/>
          <w:divBdr>
            <w:top w:val="none" w:sz="0" w:space="0" w:color="auto"/>
            <w:left w:val="none" w:sz="0" w:space="0" w:color="auto"/>
            <w:bottom w:val="none" w:sz="0" w:space="0" w:color="auto"/>
            <w:right w:val="none" w:sz="0" w:space="0" w:color="auto"/>
          </w:divBdr>
        </w:div>
        <w:div w:id="1459763379">
          <w:marLeft w:val="0"/>
          <w:marRight w:val="0"/>
          <w:marTop w:val="0"/>
          <w:marBottom w:val="0"/>
          <w:divBdr>
            <w:top w:val="none" w:sz="0" w:space="0" w:color="auto"/>
            <w:left w:val="none" w:sz="0" w:space="0" w:color="auto"/>
            <w:bottom w:val="none" w:sz="0" w:space="0" w:color="auto"/>
            <w:right w:val="none" w:sz="0" w:space="0" w:color="auto"/>
          </w:divBdr>
        </w:div>
        <w:div w:id="1468280614">
          <w:marLeft w:val="0"/>
          <w:marRight w:val="0"/>
          <w:marTop w:val="0"/>
          <w:marBottom w:val="0"/>
          <w:divBdr>
            <w:top w:val="none" w:sz="0" w:space="0" w:color="auto"/>
            <w:left w:val="none" w:sz="0" w:space="0" w:color="auto"/>
            <w:bottom w:val="none" w:sz="0" w:space="0" w:color="auto"/>
            <w:right w:val="none" w:sz="0" w:space="0" w:color="auto"/>
          </w:divBdr>
        </w:div>
        <w:div w:id="1478885545">
          <w:marLeft w:val="0"/>
          <w:marRight w:val="0"/>
          <w:marTop w:val="0"/>
          <w:marBottom w:val="0"/>
          <w:divBdr>
            <w:top w:val="none" w:sz="0" w:space="0" w:color="auto"/>
            <w:left w:val="none" w:sz="0" w:space="0" w:color="auto"/>
            <w:bottom w:val="none" w:sz="0" w:space="0" w:color="auto"/>
            <w:right w:val="none" w:sz="0" w:space="0" w:color="auto"/>
          </w:divBdr>
        </w:div>
        <w:div w:id="1480338407">
          <w:marLeft w:val="0"/>
          <w:marRight w:val="0"/>
          <w:marTop w:val="0"/>
          <w:marBottom w:val="0"/>
          <w:divBdr>
            <w:top w:val="none" w:sz="0" w:space="0" w:color="auto"/>
            <w:left w:val="none" w:sz="0" w:space="0" w:color="auto"/>
            <w:bottom w:val="none" w:sz="0" w:space="0" w:color="auto"/>
            <w:right w:val="none" w:sz="0" w:space="0" w:color="auto"/>
          </w:divBdr>
        </w:div>
        <w:div w:id="1488592405">
          <w:marLeft w:val="0"/>
          <w:marRight w:val="0"/>
          <w:marTop w:val="0"/>
          <w:marBottom w:val="0"/>
          <w:divBdr>
            <w:top w:val="none" w:sz="0" w:space="0" w:color="auto"/>
            <w:left w:val="none" w:sz="0" w:space="0" w:color="auto"/>
            <w:bottom w:val="none" w:sz="0" w:space="0" w:color="auto"/>
            <w:right w:val="none" w:sz="0" w:space="0" w:color="auto"/>
          </w:divBdr>
        </w:div>
        <w:div w:id="1501047472">
          <w:marLeft w:val="0"/>
          <w:marRight w:val="0"/>
          <w:marTop w:val="0"/>
          <w:marBottom w:val="0"/>
          <w:divBdr>
            <w:top w:val="none" w:sz="0" w:space="0" w:color="auto"/>
            <w:left w:val="none" w:sz="0" w:space="0" w:color="auto"/>
            <w:bottom w:val="none" w:sz="0" w:space="0" w:color="auto"/>
            <w:right w:val="none" w:sz="0" w:space="0" w:color="auto"/>
          </w:divBdr>
        </w:div>
        <w:div w:id="1552379776">
          <w:marLeft w:val="0"/>
          <w:marRight w:val="0"/>
          <w:marTop w:val="0"/>
          <w:marBottom w:val="0"/>
          <w:divBdr>
            <w:top w:val="none" w:sz="0" w:space="0" w:color="auto"/>
            <w:left w:val="none" w:sz="0" w:space="0" w:color="auto"/>
            <w:bottom w:val="none" w:sz="0" w:space="0" w:color="auto"/>
            <w:right w:val="none" w:sz="0" w:space="0" w:color="auto"/>
          </w:divBdr>
        </w:div>
        <w:div w:id="1567719213">
          <w:marLeft w:val="0"/>
          <w:marRight w:val="0"/>
          <w:marTop w:val="0"/>
          <w:marBottom w:val="0"/>
          <w:divBdr>
            <w:top w:val="none" w:sz="0" w:space="0" w:color="auto"/>
            <w:left w:val="none" w:sz="0" w:space="0" w:color="auto"/>
            <w:bottom w:val="none" w:sz="0" w:space="0" w:color="auto"/>
            <w:right w:val="none" w:sz="0" w:space="0" w:color="auto"/>
          </w:divBdr>
        </w:div>
        <w:div w:id="1584027885">
          <w:marLeft w:val="0"/>
          <w:marRight w:val="0"/>
          <w:marTop w:val="0"/>
          <w:marBottom w:val="0"/>
          <w:divBdr>
            <w:top w:val="none" w:sz="0" w:space="0" w:color="auto"/>
            <w:left w:val="none" w:sz="0" w:space="0" w:color="auto"/>
            <w:bottom w:val="none" w:sz="0" w:space="0" w:color="auto"/>
            <w:right w:val="none" w:sz="0" w:space="0" w:color="auto"/>
          </w:divBdr>
        </w:div>
        <w:div w:id="1601258160">
          <w:marLeft w:val="0"/>
          <w:marRight w:val="0"/>
          <w:marTop w:val="0"/>
          <w:marBottom w:val="0"/>
          <w:divBdr>
            <w:top w:val="none" w:sz="0" w:space="0" w:color="auto"/>
            <w:left w:val="none" w:sz="0" w:space="0" w:color="auto"/>
            <w:bottom w:val="none" w:sz="0" w:space="0" w:color="auto"/>
            <w:right w:val="none" w:sz="0" w:space="0" w:color="auto"/>
          </w:divBdr>
        </w:div>
        <w:div w:id="1605920678">
          <w:marLeft w:val="0"/>
          <w:marRight w:val="0"/>
          <w:marTop w:val="0"/>
          <w:marBottom w:val="0"/>
          <w:divBdr>
            <w:top w:val="none" w:sz="0" w:space="0" w:color="auto"/>
            <w:left w:val="none" w:sz="0" w:space="0" w:color="auto"/>
            <w:bottom w:val="none" w:sz="0" w:space="0" w:color="auto"/>
            <w:right w:val="none" w:sz="0" w:space="0" w:color="auto"/>
          </w:divBdr>
        </w:div>
        <w:div w:id="1612668878">
          <w:marLeft w:val="0"/>
          <w:marRight w:val="0"/>
          <w:marTop w:val="0"/>
          <w:marBottom w:val="0"/>
          <w:divBdr>
            <w:top w:val="none" w:sz="0" w:space="0" w:color="auto"/>
            <w:left w:val="none" w:sz="0" w:space="0" w:color="auto"/>
            <w:bottom w:val="none" w:sz="0" w:space="0" w:color="auto"/>
            <w:right w:val="none" w:sz="0" w:space="0" w:color="auto"/>
          </w:divBdr>
        </w:div>
        <w:div w:id="1615936445">
          <w:marLeft w:val="0"/>
          <w:marRight w:val="0"/>
          <w:marTop w:val="0"/>
          <w:marBottom w:val="0"/>
          <w:divBdr>
            <w:top w:val="none" w:sz="0" w:space="0" w:color="auto"/>
            <w:left w:val="none" w:sz="0" w:space="0" w:color="auto"/>
            <w:bottom w:val="none" w:sz="0" w:space="0" w:color="auto"/>
            <w:right w:val="none" w:sz="0" w:space="0" w:color="auto"/>
          </w:divBdr>
        </w:div>
        <w:div w:id="1627856512">
          <w:marLeft w:val="0"/>
          <w:marRight w:val="0"/>
          <w:marTop w:val="0"/>
          <w:marBottom w:val="0"/>
          <w:divBdr>
            <w:top w:val="none" w:sz="0" w:space="0" w:color="auto"/>
            <w:left w:val="none" w:sz="0" w:space="0" w:color="auto"/>
            <w:bottom w:val="none" w:sz="0" w:space="0" w:color="auto"/>
            <w:right w:val="none" w:sz="0" w:space="0" w:color="auto"/>
          </w:divBdr>
        </w:div>
        <w:div w:id="1632441972">
          <w:marLeft w:val="0"/>
          <w:marRight w:val="0"/>
          <w:marTop w:val="0"/>
          <w:marBottom w:val="0"/>
          <w:divBdr>
            <w:top w:val="none" w:sz="0" w:space="0" w:color="auto"/>
            <w:left w:val="none" w:sz="0" w:space="0" w:color="auto"/>
            <w:bottom w:val="none" w:sz="0" w:space="0" w:color="auto"/>
            <w:right w:val="none" w:sz="0" w:space="0" w:color="auto"/>
          </w:divBdr>
        </w:div>
        <w:div w:id="1662804814">
          <w:marLeft w:val="0"/>
          <w:marRight w:val="0"/>
          <w:marTop w:val="0"/>
          <w:marBottom w:val="0"/>
          <w:divBdr>
            <w:top w:val="none" w:sz="0" w:space="0" w:color="auto"/>
            <w:left w:val="none" w:sz="0" w:space="0" w:color="auto"/>
            <w:bottom w:val="none" w:sz="0" w:space="0" w:color="auto"/>
            <w:right w:val="none" w:sz="0" w:space="0" w:color="auto"/>
          </w:divBdr>
        </w:div>
        <w:div w:id="1668248360">
          <w:marLeft w:val="0"/>
          <w:marRight w:val="0"/>
          <w:marTop w:val="0"/>
          <w:marBottom w:val="0"/>
          <w:divBdr>
            <w:top w:val="none" w:sz="0" w:space="0" w:color="auto"/>
            <w:left w:val="none" w:sz="0" w:space="0" w:color="auto"/>
            <w:bottom w:val="none" w:sz="0" w:space="0" w:color="auto"/>
            <w:right w:val="none" w:sz="0" w:space="0" w:color="auto"/>
          </w:divBdr>
        </w:div>
        <w:div w:id="1727726553">
          <w:marLeft w:val="0"/>
          <w:marRight w:val="0"/>
          <w:marTop w:val="0"/>
          <w:marBottom w:val="0"/>
          <w:divBdr>
            <w:top w:val="none" w:sz="0" w:space="0" w:color="auto"/>
            <w:left w:val="none" w:sz="0" w:space="0" w:color="auto"/>
            <w:bottom w:val="none" w:sz="0" w:space="0" w:color="auto"/>
            <w:right w:val="none" w:sz="0" w:space="0" w:color="auto"/>
          </w:divBdr>
        </w:div>
        <w:div w:id="1756629538">
          <w:marLeft w:val="0"/>
          <w:marRight w:val="0"/>
          <w:marTop w:val="0"/>
          <w:marBottom w:val="0"/>
          <w:divBdr>
            <w:top w:val="none" w:sz="0" w:space="0" w:color="auto"/>
            <w:left w:val="none" w:sz="0" w:space="0" w:color="auto"/>
            <w:bottom w:val="none" w:sz="0" w:space="0" w:color="auto"/>
            <w:right w:val="none" w:sz="0" w:space="0" w:color="auto"/>
          </w:divBdr>
        </w:div>
        <w:div w:id="1766224291">
          <w:marLeft w:val="0"/>
          <w:marRight w:val="0"/>
          <w:marTop w:val="0"/>
          <w:marBottom w:val="0"/>
          <w:divBdr>
            <w:top w:val="none" w:sz="0" w:space="0" w:color="auto"/>
            <w:left w:val="none" w:sz="0" w:space="0" w:color="auto"/>
            <w:bottom w:val="none" w:sz="0" w:space="0" w:color="auto"/>
            <w:right w:val="none" w:sz="0" w:space="0" w:color="auto"/>
          </w:divBdr>
        </w:div>
        <w:div w:id="1766924888">
          <w:marLeft w:val="0"/>
          <w:marRight w:val="0"/>
          <w:marTop w:val="0"/>
          <w:marBottom w:val="0"/>
          <w:divBdr>
            <w:top w:val="none" w:sz="0" w:space="0" w:color="auto"/>
            <w:left w:val="none" w:sz="0" w:space="0" w:color="auto"/>
            <w:bottom w:val="none" w:sz="0" w:space="0" w:color="auto"/>
            <w:right w:val="none" w:sz="0" w:space="0" w:color="auto"/>
          </w:divBdr>
        </w:div>
        <w:div w:id="1772823760">
          <w:marLeft w:val="0"/>
          <w:marRight w:val="0"/>
          <w:marTop w:val="0"/>
          <w:marBottom w:val="0"/>
          <w:divBdr>
            <w:top w:val="none" w:sz="0" w:space="0" w:color="auto"/>
            <w:left w:val="none" w:sz="0" w:space="0" w:color="auto"/>
            <w:bottom w:val="none" w:sz="0" w:space="0" w:color="auto"/>
            <w:right w:val="none" w:sz="0" w:space="0" w:color="auto"/>
          </w:divBdr>
        </w:div>
        <w:div w:id="1779717231">
          <w:marLeft w:val="0"/>
          <w:marRight w:val="0"/>
          <w:marTop w:val="0"/>
          <w:marBottom w:val="0"/>
          <w:divBdr>
            <w:top w:val="none" w:sz="0" w:space="0" w:color="auto"/>
            <w:left w:val="none" w:sz="0" w:space="0" w:color="auto"/>
            <w:bottom w:val="none" w:sz="0" w:space="0" w:color="auto"/>
            <w:right w:val="none" w:sz="0" w:space="0" w:color="auto"/>
          </w:divBdr>
        </w:div>
        <w:div w:id="1788886599">
          <w:marLeft w:val="0"/>
          <w:marRight w:val="0"/>
          <w:marTop w:val="0"/>
          <w:marBottom w:val="0"/>
          <w:divBdr>
            <w:top w:val="none" w:sz="0" w:space="0" w:color="auto"/>
            <w:left w:val="none" w:sz="0" w:space="0" w:color="auto"/>
            <w:bottom w:val="none" w:sz="0" w:space="0" w:color="auto"/>
            <w:right w:val="none" w:sz="0" w:space="0" w:color="auto"/>
          </w:divBdr>
        </w:div>
        <w:div w:id="1790002207">
          <w:marLeft w:val="0"/>
          <w:marRight w:val="0"/>
          <w:marTop w:val="0"/>
          <w:marBottom w:val="0"/>
          <w:divBdr>
            <w:top w:val="none" w:sz="0" w:space="0" w:color="auto"/>
            <w:left w:val="none" w:sz="0" w:space="0" w:color="auto"/>
            <w:bottom w:val="none" w:sz="0" w:space="0" w:color="auto"/>
            <w:right w:val="none" w:sz="0" w:space="0" w:color="auto"/>
          </w:divBdr>
        </w:div>
        <w:div w:id="1792016729">
          <w:marLeft w:val="0"/>
          <w:marRight w:val="0"/>
          <w:marTop w:val="0"/>
          <w:marBottom w:val="0"/>
          <w:divBdr>
            <w:top w:val="none" w:sz="0" w:space="0" w:color="auto"/>
            <w:left w:val="none" w:sz="0" w:space="0" w:color="auto"/>
            <w:bottom w:val="none" w:sz="0" w:space="0" w:color="auto"/>
            <w:right w:val="none" w:sz="0" w:space="0" w:color="auto"/>
          </w:divBdr>
        </w:div>
        <w:div w:id="1800875415">
          <w:marLeft w:val="0"/>
          <w:marRight w:val="0"/>
          <w:marTop w:val="0"/>
          <w:marBottom w:val="0"/>
          <w:divBdr>
            <w:top w:val="none" w:sz="0" w:space="0" w:color="auto"/>
            <w:left w:val="none" w:sz="0" w:space="0" w:color="auto"/>
            <w:bottom w:val="none" w:sz="0" w:space="0" w:color="auto"/>
            <w:right w:val="none" w:sz="0" w:space="0" w:color="auto"/>
          </w:divBdr>
        </w:div>
        <w:div w:id="1813020179">
          <w:marLeft w:val="0"/>
          <w:marRight w:val="0"/>
          <w:marTop w:val="0"/>
          <w:marBottom w:val="0"/>
          <w:divBdr>
            <w:top w:val="none" w:sz="0" w:space="0" w:color="auto"/>
            <w:left w:val="none" w:sz="0" w:space="0" w:color="auto"/>
            <w:bottom w:val="none" w:sz="0" w:space="0" w:color="auto"/>
            <w:right w:val="none" w:sz="0" w:space="0" w:color="auto"/>
          </w:divBdr>
        </w:div>
        <w:div w:id="1869754074">
          <w:marLeft w:val="0"/>
          <w:marRight w:val="0"/>
          <w:marTop w:val="0"/>
          <w:marBottom w:val="0"/>
          <w:divBdr>
            <w:top w:val="none" w:sz="0" w:space="0" w:color="auto"/>
            <w:left w:val="none" w:sz="0" w:space="0" w:color="auto"/>
            <w:bottom w:val="none" w:sz="0" w:space="0" w:color="auto"/>
            <w:right w:val="none" w:sz="0" w:space="0" w:color="auto"/>
          </w:divBdr>
        </w:div>
        <w:div w:id="1886062280">
          <w:marLeft w:val="0"/>
          <w:marRight w:val="0"/>
          <w:marTop w:val="0"/>
          <w:marBottom w:val="0"/>
          <w:divBdr>
            <w:top w:val="none" w:sz="0" w:space="0" w:color="auto"/>
            <w:left w:val="none" w:sz="0" w:space="0" w:color="auto"/>
            <w:bottom w:val="none" w:sz="0" w:space="0" w:color="auto"/>
            <w:right w:val="none" w:sz="0" w:space="0" w:color="auto"/>
          </w:divBdr>
        </w:div>
        <w:div w:id="1886789523">
          <w:marLeft w:val="0"/>
          <w:marRight w:val="0"/>
          <w:marTop w:val="0"/>
          <w:marBottom w:val="0"/>
          <w:divBdr>
            <w:top w:val="none" w:sz="0" w:space="0" w:color="auto"/>
            <w:left w:val="none" w:sz="0" w:space="0" w:color="auto"/>
            <w:bottom w:val="none" w:sz="0" w:space="0" w:color="auto"/>
            <w:right w:val="none" w:sz="0" w:space="0" w:color="auto"/>
          </w:divBdr>
        </w:div>
        <w:div w:id="1889953784">
          <w:marLeft w:val="0"/>
          <w:marRight w:val="0"/>
          <w:marTop w:val="0"/>
          <w:marBottom w:val="0"/>
          <w:divBdr>
            <w:top w:val="none" w:sz="0" w:space="0" w:color="auto"/>
            <w:left w:val="none" w:sz="0" w:space="0" w:color="auto"/>
            <w:bottom w:val="none" w:sz="0" w:space="0" w:color="auto"/>
            <w:right w:val="none" w:sz="0" w:space="0" w:color="auto"/>
          </w:divBdr>
        </w:div>
        <w:div w:id="1917977669">
          <w:marLeft w:val="0"/>
          <w:marRight w:val="0"/>
          <w:marTop w:val="0"/>
          <w:marBottom w:val="0"/>
          <w:divBdr>
            <w:top w:val="none" w:sz="0" w:space="0" w:color="auto"/>
            <w:left w:val="none" w:sz="0" w:space="0" w:color="auto"/>
            <w:bottom w:val="none" w:sz="0" w:space="0" w:color="auto"/>
            <w:right w:val="none" w:sz="0" w:space="0" w:color="auto"/>
          </w:divBdr>
        </w:div>
        <w:div w:id="1927224913">
          <w:marLeft w:val="0"/>
          <w:marRight w:val="0"/>
          <w:marTop w:val="0"/>
          <w:marBottom w:val="0"/>
          <w:divBdr>
            <w:top w:val="none" w:sz="0" w:space="0" w:color="auto"/>
            <w:left w:val="none" w:sz="0" w:space="0" w:color="auto"/>
            <w:bottom w:val="none" w:sz="0" w:space="0" w:color="auto"/>
            <w:right w:val="none" w:sz="0" w:space="0" w:color="auto"/>
          </w:divBdr>
        </w:div>
        <w:div w:id="1929384232">
          <w:marLeft w:val="0"/>
          <w:marRight w:val="0"/>
          <w:marTop w:val="0"/>
          <w:marBottom w:val="0"/>
          <w:divBdr>
            <w:top w:val="none" w:sz="0" w:space="0" w:color="auto"/>
            <w:left w:val="none" w:sz="0" w:space="0" w:color="auto"/>
            <w:bottom w:val="none" w:sz="0" w:space="0" w:color="auto"/>
            <w:right w:val="none" w:sz="0" w:space="0" w:color="auto"/>
          </w:divBdr>
        </w:div>
        <w:div w:id="1930965398">
          <w:marLeft w:val="0"/>
          <w:marRight w:val="0"/>
          <w:marTop w:val="0"/>
          <w:marBottom w:val="0"/>
          <w:divBdr>
            <w:top w:val="none" w:sz="0" w:space="0" w:color="auto"/>
            <w:left w:val="none" w:sz="0" w:space="0" w:color="auto"/>
            <w:bottom w:val="none" w:sz="0" w:space="0" w:color="auto"/>
            <w:right w:val="none" w:sz="0" w:space="0" w:color="auto"/>
          </w:divBdr>
        </w:div>
        <w:div w:id="1931625272">
          <w:marLeft w:val="0"/>
          <w:marRight w:val="0"/>
          <w:marTop w:val="0"/>
          <w:marBottom w:val="0"/>
          <w:divBdr>
            <w:top w:val="none" w:sz="0" w:space="0" w:color="auto"/>
            <w:left w:val="none" w:sz="0" w:space="0" w:color="auto"/>
            <w:bottom w:val="none" w:sz="0" w:space="0" w:color="auto"/>
            <w:right w:val="none" w:sz="0" w:space="0" w:color="auto"/>
          </w:divBdr>
        </w:div>
        <w:div w:id="1960794111">
          <w:marLeft w:val="0"/>
          <w:marRight w:val="0"/>
          <w:marTop w:val="0"/>
          <w:marBottom w:val="0"/>
          <w:divBdr>
            <w:top w:val="none" w:sz="0" w:space="0" w:color="auto"/>
            <w:left w:val="none" w:sz="0" w:space="0" w:color="auto"/>
            <w:bottom w:val="none" w:sz="0" w:space="0" w:color="auto"/>
            <w:right w:val="none" w:sz="0" w:space="0" w:color="auto"/>
          </w:divBdr>
        </w:div>
        <w:div w:id="1965967782">
          <w:marLeft w:val="0"/>
          <w:marRight w:val="0"/>
          <w:marTop w:val="0"/>
          <w:marBottom w:val="0"/>
          <w:divBdr>
            <w:top w:val="none" w:sz="0" w:space="0" w:color="auto"/>
            <w:left w:val="none" w:sz="0" w:space="0" w:color="auto"/>
            <w:bottom w:val="none" w:sz="0" w:space="0" w:color="auto"/>
            <w:right w:val="none" w:sz="0" w:space="0" w:color="auto"/>
          </w:divBdr>
        </w:div>
        <w:div w:id="1982340493">
          <w:marLeft w:val="0"/>
          <w:marRight w:val="0"/>
          <w:marTop w:val="0"/>
          <w:marBottom w:val="0"/>
          <w:divBdr>
            <w:top w:val="none" w:sz="0" w:space="0" w:color="auto"/>
            <w:left w:val="none" w:sz="0" w:space="0" w:color="auto"/>
            <w:bottom w:val="none" w:sz="0" w:space="0" w:color="auto"/>
            <w:right w:val="none" w:sz="0" w:space="0" w:color="auto"/>
          </w:divBdr>
        </w:div>
        <w:div w:id="2001688271">
          <w:marLeft w:val="0"/>
          <w:marRight w:val="0"/>
          <w:marTop w:val="0"/>
          <w:marBottom w:val="0"/>
          <w:divBdr>
            <w:top w:val="none" w:sz="0" w:space="0" w:color="auto"/>
            <w:left w:val="none" w:sz="0" w:space="0" w:color="auto"/>
            <w:bottom w:val="none" w:sz="0" w:space="0" w:color="auto"/>
            <w:right w:val="none" w:sz="0" w:space="0" w:color="auto"/>
          </w:divBdr>
        </w:div>
        <w:div w:id="2003699648">
          <w:marLeft w:val="0"/>
          <w:marRight w:val="0"/>
          <w:marTop w:val="0"/>
          <w:marBottom w:val="0"/>
          <w:divBdr>
            <w:top w:val="none" w:sz="0" w:space="0" w:color="auto"/>
            <w:left w:val="none" w:sz="0" w:space="0" w:color="auto"/>
            <w:bottom w:val="none" w:sz="0" w:space="0" w:color="auto"/>
            <w:right w:val="none" w:sz="0" w:space="0" w:color="auto"/>
          </w:divBdr>
        </w:div>
        <w:div w:id="2006088231">
          <w:marLeft w:val="0"/>
          <w:marRight w:val="0"/>
          <w:marTop w:val="0"/>
          <w:marBottom w:val="0"/>
          <w:divBdr>
            <w:top w:val="none" w:sz="0" w:space="0" w:color="auto"/>
            <w:left w:val="none" w:sz="0" w:space="0" w:color="auto"/>
            <w:bottom w:val="none" w:sz="0" w:space="0" w:color="auto"/>
            <w:right w:val="none" w:sz="0" w:space="0" w:color="auto"/>
          </w:divBdr>
        </w:div>
        <w:div w:id="2015103399">
          <w:marLeft w:val="0"/>
          <w:marRight w:val="0"/>
          <w:marTop w:val="0"/>
          <w:marBottom w:val="0"/>
          <w:divBdr>
            <w:top w:val="none" w:sz="0" w:space="0" w:color="auto"/>
            <w:left w:val="none" w:sz="0" w:space="0" w:color="auto"/>
            <w:bottom w:val="none" w:sz="0" w:space="0" w:color="auto"/>
            <w:right w:val="none" w:sz="0" w:space="0" w:color="auto"/>
          </w:divBdr>
        </w:div>
      </w:divsChild>
    </w:div>
    <w:div w:id="887452662">
      <w:bodyDiv w:val="1"/>
      <w:marLeft w:val="0"/>
      <w:marRight w:val="0"/>
      <w:marTop w:val="0"/>
      <w:marBottom w:val="0"/>
      <w:divBdr>
        <w:top w:val="none" w:sz="0" w:space="0" w:color="auto"/>
        <w:left w:val="none" w:sz="0" w:space="0" w:color="auto"/>
        <w:bottom w:val="none" w:sz="0" w:space="0" w:color="auto"/>
        <w:right w:val="none" w:sz="0" w:space="0" w:color="auto"/>
      </w:divBdr>
    </w:div>
    <w:div w:id="887572122">
      <w:bodyDiv w:val="1"/>
      <w:marLeft w:val="0"/>
      <w:marRight w:val="0"/>
      <w:marTop w:val="0"/>
      <w:marBottom w:val="0"/>
      <w:divBdr>
        <w:top w:val="none" w:sz="0" w:space="0" w:color="auto"/>
        <w:left w:val="none" w:sz="0" w:space="0" w:color="auto"/>
        <w:bottom w:val="none" w:sz="0" w:space="0" w:color="auto"/>
        <w:right w:val="none" w:sz="0" w:space="0" w:color="auto"/>
      </w:divBdr>
    </w:div>
    <w:div w:id="887685368">
      <w:bodyDiv w:val="1"/>
      <w:marLeft w:val="0"/>
      <w:marRight w:val="0"/>
      <w:marTop w:val="0"/>
      <w:marBottom w:val="0"/>
      <w:divBdr>
        <w:top w:val="none" w:sz="0" w:space="0" w:color="auto"/>
        <w:left w:val="none" w:sz="0" w:space="0" w:color="auto"/>
        <w:bottom w:val="none" w:sz="0" w:space="0" w:color="auto"/>
        <w:right w:val="none" w:sz="0" w:space="0" w:color="auto"/>
      </w:divBdr>
    </w:div>
    <w:div w:id="887767731">
      <w:bodyDiv w:val="1"/>
      <w:marLeft w:val="0"/>
      <w:marRight w:val="0"/>
      <w:marTop w:val="0"/>
      <w:marBottom w:val="0"/>
      <w:divBdr>
        <w:top w:val="none" w:sz="0" w:space="0" w:color="auto"/>
        <w:left w:val="none" w:sz="0" w:space="0" w:color="auto"/>
        <w:bottom w:val="none" w:sz="0" w:space="0" w:color="auto"/>
        <w:right w:val="none" w:sz="0" w:space="0" w:color="auto"/>
      </w:divBdr>
    </w:div>
    <w:div w:id="887836608">
      <w:bodyDiv w:val="1"/>
      <w:marLeft w:val="0"/>
      <w:marRight w:val="0"/>
      <w:marTop w:val="0"/>
      <w:marBottom w:val="0"/>
      <w:divBdr>
        <w:top w:val="none" w:sz="0" w:space="0" w:color="auto"/>
        <w:left w:val="none" w:sz="0" w:space="0" w:color="auto"/>
        <w:bottom w:val="none" w:sz="0" w:space="0" w:color="auto"/>
        <w:right w:val="none" w:sz="0" w:space="0" w:color="auto"/>
      </w:divBdr>
    </w:div>
    <w:div w:id="887913679">
      <w:bodyDiv w:val="1"/>
      <w:marLeft w:val="0"/>
      <w:marRight w:val="0"/>
      <w:marTop w:val="0"/>
      <w:marBottom w:val="0"/>
      <w:divBdr>
        <w:top w:val="none" w:sz="0" w:space="0" w:color="auto"/>
        <w:left w:val="none" w:sz="0" w:space="0" w:color="auto"/>
        <w:bottom w:val="none" w:sz="0" w:space="0" w:color="auto"/>
        <w:right w:val="none" w:sz="0" w:space="0" w:color="auto"/>
      </w:divBdr>
    </w:div>
    <w:div w:id="887957433">
      <w:bodyDiv w:val="1"/>
      <w:marLeft w:val="0"/>
      <w:marRight w:val="0"/>
      <w:marTop w:val="0"/>
      <w:marBottom w:val="0"/>
      <w:divBdr>
        <w:top w:val="none" w:sz="0" w:space="0" w:color="auto"/>
        <w:left w:val="none" w:sz="0" w:space="0" w:color="auto"/>
        <w:bottom w:val="none" w:sz="0" w:space="0" w:color="auto"/>
        <w:right w:val="none" w:sz="0" w:space="0" w:color="auto"/>
      </w:divBdr>
    </w:div>
    <w:div w:id="888032520">
      <w:bodyDiv w:val="1"/>
      <w:marLeft w:val="0"/>
      <w:marRight w:val="0"/>
      <w:marTop w:val="0"/>
      <w:marBottom w:val="0"/>
      <w:divBdr>
        <w:top w:val="none" w:sz="0" w:space="0" w:color="auto"/>
        <w:left w:val="none" w:sz="0" w:space="0" w:color="auto"/>
        <w:bottom w:val="none" w:sz="0" w:space="0" w:color="auto"/>
        <w:right w:val="none" w:sz="0" w:space="0" w:color="auto"/>
      </w:divBdr>
    </w:div>
    <w:div w:id="888224709">
      <w:bodyDiv w:val="1"/>
      <w:marLeft w:val="0"/>
      <w:marRight w:val="0"/>
      <w:marTop w:val="0"/>
      <w:marBottom w:val="0"/>
      <w:divBdr>
        <w:top w:val="none" w:sz="0" w:space="0" w:color="auto"/>
        <w:left w:val="none" w:sz="0" w:space="0" w:color="auto"/>
        <w:bottom w:val="none" w:sz="0" w:space="0" w:color="auto"/>
        <w:right w:val="none" w:sz="0" w:space="0" w:color="auto"/>
      </w:divBdr>
    </w:div>
    <w:div w:id="888296938">
      <w:bodyDiv w:val="1"/>
      <w:marLeft w:val="0"/>
      <w:marRight w:val="0"/>
      <w:marTop w:val="0"/>
      <w:marBottom w:val="0"/>
      <w:divBdr>
        <w:top w:val="none" w:sz="0" w:space="0" w:color="auto"/>
        <w:left w:val="none" w:sz="0" w:space="0" w:color="auto"/>
        <w:bottom w:val="none" w:sz="0" w:space="0" w:color="auto"/>
        <w:right w:val="none" w:sz="0" w:space="0" w:color="auto"/>
      </w:divBdr>
    </w:div>
    <w:div w:id="888340980">
      <w:bodyDiv w:val="1"/>
      <w:marLeft w:val="0"/>
      <w:marRight w:val="0"/>
      <w:marTop w:val="0"/>
      <w:marBottom w:val="0"/>
      <w:divBdr>
        <w:top w:val="none" w:sz="0" w:space="0" w:color="auto"/>
        <w:left w:val="none" w:sz="0" w:space="0" w:color="auto"/>
        <w:bottom w:val="none" w:sz="0" w:space="0" w:color="auto"/>
        <w:right w:val="none" w:sz="0" w:space="0" w:color="auto"/>
      </w:divBdr>
    </w:div>
    <w:div w:id="888343111">
      <w:bodyDiv w:val="1"/>
      <w:marLeft w:val="0"/>
      <w:marRight w:val="0"/>
      <w:marTop w:val="0"/>
      <w:marBottom w:val="0"/>
      <w:divBdr>
        <w:top w:val="none" w:sz="0" w:space="0" w:color="auto"/>
        <w:left w:val="none" w:sz="0" w:space="0" w:color="auto"/>
        <w:bottom w:val="none" w:sz="0" w:space="0" w:color="auto"/>
        <w:right w:val="none" w:sz="0" w:space="0" w:color="auto"/>
      </w:divBdr>
    </w:div>
    <w:div w:id="888344802">
      <w:bodyDiv w:val="1"/>
      <w:marLeft w:val="0"/>
      <w:marRight w:val="0"/>
      <w:marTop w:val="0"/>
      <w:marBottom w:val="0"/>
      <w:divBdr>
        <w:top w:val="none" w:sz="0" w:space="0" w:color="auto"/>
        <w:left w:val="none" w:sz="0" w:space="0" w:color="auto"/>
        <w:bottom w:val="none" w:sz="0" w:space="0" w:color="auto"/>
        <w:right w:val="none" w:sz="0" w:space="0" w:color="auto"/>
      </w:divBdr>
    </w:div>
    <w:div w:id="888490681">
      <w:bodyDiv w:val="1"/>
      <w:marLeft w:val="0"/>
      <w:marRight w:val="0"/>
      <w:marTop w:val="0"/>
      <w:marBottom w:val="0"/>
      <w:divBdr>
        <w:top w:val="none" w:sz="0" w:space="0" w:color="auto"/>
        <w:left w:val="none" w:sz="0" w:space="0" w:color="auto"/>
        <w:bottom w:val="none" w:sz="0" w:space="0" w:color="auto"/>
        <w:right w:val="none" w:sz="0" w:space="0" w:color="auto"/>
      </w:divBdr>
    </w:div>
    <w:div w:id="888493525">
      <w:bodyDiv w:val="1"/>
      <w:marLeft w:val="0"/>
      <w:marRight w:val="0"/>
      <w:marTop w:val="0"/>
      <w:marBottom w:val="0"/>
      <w:divBdr>
        <w:top w:val="none" w:sz="0" w:space="0" w:color="auto"/>
        <w:left w:val="none" w:sz="0" w:space="0" w:color="auto"/>
        <w:bottom w:val="none" w:sz="0" w:space="0" w:color="auto"/>
        <w:right w:val="none" w:sz="0" w:space="0" w:color="auto"/>
      </w:divBdr>
    </w:div>
    <w:div w:id="888608273">
      <w:bodyDiv w:val="1"/>
      <w:marLeft w:val="0"/>
      <w:marRight w:val="0"/>
      <w:marTop w:val="0"/>
      <w:marBottom w:val="0"/>
      <w:divBdr>
        <w:top w:val="none" w:sz="0" w:space="0" w:color="auto"/>
        <w:left w:val="none" w:sz="0" w:space="0" w:color="auto"/>
        <w:bottom w:val="none" w:sz="0" w:space="0" w:color="auto"/>
        <w:right w:val="none" w:sz="0" w:space="0" w:color="auto"/>
      </w:divBdr>
    </w:div>
    <w:div w:id="888733711">
      <w:bodyDiv w:val="1"/>
      <w:marLeft w:val="0"/>
      <w:marRight w:val="0"/>
      <w:marTop w:val="0"/>
      <w:marBottom w:val="0"/>
      <w:divBdr>
        <w:top w:val="none" w:sz="0" w:space="0" w:color="auto"/>
        <w:left w:val="none" w:sz="0" w:space="0" w:color="auto"/>
        <w:bottom w:val="none" w:sz="0" w:space="0" w:color="auto"/>
        <w:right w:val="none" w:sz="0" w:space="0" w:color="auto"/>
      </w:divBdr>
    </w:div>
    <w:div w:id="888879517">
      <w:bodyDiv w:val="1"/>
      <w:marLeft w:val="0"/>
      <w:marRight w:val="0"/>
      <w:marTop w:val="0"/>
      <w:marBottom w:val="0"/>
      <w:divBdr>
        <w:top w:val="none" w:sz="0" w:space="0" w:color="auto"/>
        <w:left w:val="none" w:sz="0" w:space="0" w:color="auto"/>
        <w:bottom w:val="none" w:sz="0" w:space="0" w:color="auto"/>
        <w:right w:val="none" w:sz="0" w:space="0" w:color="auto"/>
      </w:divBdr>
    </w:div>
    <w:div w:id="889196077">
      <w:bodyDiv w:val="1"/>
      <w:marLeft w:val="0"/>
      <w:marRight w:val="0"/>
      <w:marTop w:val="0"/>
      <w:marBottom w:val="0"/>
      <w:divBdr>
        <w:top w:val="none" w:sz="0" w:space="0" w:color="auto"/>
        <w:left w:val="none" w:sz="0" w:space="0" w:color="auto"/>
        <w:bottom w:val="none" w:sz="0" w:space="0" w:color="auto"/>
        <w:right w:val="none" w:sz="0" w:space="0" w:color="auto"/>
      </w:divBdr>
    </w:div>
    <w:div w:id="889269345">
      <w:bodyDiv w:val="1"/>
      <w:marLeft w:val="0"/>
      <w:marRight w:val="0"/>
      <w:marTop w:val="0"/>
      <w:marBottom w:val="0"/>
      <w:divBdr>
        <w:top w:val="none" w:sz="0" w:space="0" w:color="auto"/>
        <w:left w:val="none" w:sz="0" w:space="0" w:color="auto"/>
        <w:bottom w:val="none" w:sz="0" w:space="0" w:color="auto"/>
        <w:right w:val="none" w:sz="0" w:space="0" w:color="auto"/>
      </w:divBdr>
    </w:div>
    <w:div w:id="889270026">
      <w:bodyDiv w:val="1"/>
      <w:marLeft w:val="0"/>
      <w:marRight w:val="0"/>
      <w:marTop w:val="0"/>
      <w:marBottom w:val="0"/>
      <w:divBdr>
        <w:top w:val="none" w:sz="0" w:space="0" w:color="auto"/>
        <w:left w:val="none" w:sz="0" w:space="0" w:color="auto"/>
        <w:bottom w:val="none" w:sz="0" w:space="0" w:color="auto"/>
        <w:right w:val="none" w:sz="0" w:space="0" w:color="auto"/>
      </w:divBdr>
    </w:div>
    <w:div w:id="889270117">
      <w:bodyDiv w:val="1"/>
      <w:marLeft w:val="0"/>
      <w:marRight w:val="0"/>
      <w:marTop w:val="0"/>
      <w:marBottom w:val="0"/>
      <w:divBdr>
        <w:top w:val="none" w:sz="0" w:space="0" w:color="auto"/>
        <w:left w:val="none" w:sz="0" w:space="0" w:color="auto"/>
        <w:bottom w:val="none" w:sz="0" w:space="0" w:color="auto"/>
        <w:right w:val="none" w:sz="0" w:space="0" w:color="auto"/>
      </w:divBdr>
    </w:div>
    <w:div w:id="889340191">
      <w:bodyDiv w:val="1"/>
      <w:marLeft w:val="0"/>
      <w:marRight w:val="0"/>
      <w:marTop w:val="0"/>
      <w:marBottom w:val="0"/>
      <w:divBdr>
        <w:top w:val="none" w:sz="0" w:space="0" w:color="auto"/>
        <w:left w:val="none" w:sz="0" w:space="0" w:color="auto"/>
        <w:bottom w:val="none" w:sz="0" w:space="0" w:color="auto"/>
        <w:right w:val="none" w:sz="0" w:space="0" w:color="auto"/>
      </w:divBdr>
    </w:div>
    <w:div w:id="889416852">
      <w:bodyDiv w:val="1"/>
      <w:marLeft w:val="0"/>
      <w:marRight w:val="0"/>
      <w:marTop w:val="0"/>
      <w:marBottom w:val="0"/>
      <w:divBdr>
        <w:top w:val="none" w:sz="0" w:space="0" w:color="auto"/>
        <w:left w:val="none" w:sz="0" w:space="0" w:color="auto"/>
        <w:bottom w:val="none" w:sz="0" w:space="0" w:color="auto"/>
        <w:right w:val="none" w:sz="0" w:space="0" w:color="auto"/>
      </w:divBdr>
    </w:div>
    <w:div w:id="889458223">
      <w:bodyDiv w:val="1"/>
      <w:marLeft w:val="0"/>
      <w:marRight w:val="0"/>
      <w:marTop w:val="0"/>
      <w:marBottom w:val="0"/>
      <w:divBdr>
        <w:top w:val="none" w:sz="0" w:space="0" w:color="auto"/>
        <w:left w:val="none" w:sz="0" w:space="0" w:color="auto"/>
        <w:bottom w:val="none" w:sz="0" w:space="0" w:color="auto"/>
        <w:right w:val="none" w:sz="0" w:space="0" w:color="auto"/>
      </w:divBdr>
    </w:div>
    <w:div w:id="889461650">
      <w:bodyDiv w:val="1"/>
      <w:marLeft w:val="0"/>
      <w:marRight w:val="0"/>
      <w:marTop w:val="0"/>
      <w:marBottom w:val="0"/>
      <w:divBdr>
        <w:top w:val="none" w:sz="0" w:space="0" w:color="auto"/>
        <w:left w:val="none" w:sz="0" w:space="0" w:color="auto"/>
        <w:bottom w:val="none" w:sz="0" w:space="0" w:color="auto"/>
        <w:right w:val="none" w:sz="0" w:space="0" w:color="auto"/>
      </w:divBdr>
    </w:div>
    <w:div w:id="889462211">
      <w:bodyDiv w:val="1"/>
      <w:marLeft w:val="0"/>
      <w:marRight w:val="0"/>
      <w:marTop w:val="0"/>
      <w:marBottom w:val="0"/>
      <w:divBdr>
        <w:top w:val="none" w:sz="0" w:space="0" w:color="auto"/>
        <w:left w:val="none" w:sz="0" w:space="0" w:color="auto"/>
        <w:bottom w:val="none" w:sz="0" w:space="0" w:color="auto"/>
        <w:right w:val="none" w:sz="0" w:space="0" w:color="auto"/>
      </w:divBdr>
    </w:div>
    <w:div w:id="889462529">
      <w:bodyDiv w:val="1"/>
      <w:marLeft w:val="0"/>
      <w:marRight w:val="0"/>
      <w:marTop w:val="0"/>
      <w:marBottom w:val="0"/>
      <w:divBdr>
        <w:top w:val="none" w:sz="0" w:space="0" w:color="auto"/>
        <w:left w:val="none" w:sz="0" w:space="0" w:color="auto"/>
        <w:bottom w:val="none" w:sz="0" w:space="0" w:color="auto"/>
        <w:right w:val="none" w:sz="0" w:space="0" w:color="auto"/>
      </w:divBdr>
    </w:div>
    <w:div w:id="889682540">
      <w:bodyDiv w:val="1"/>
      <w:marLeft w:val="0"/>
      <w:marRight w:val="0"/>
      <w:marTop w:val="0"/>
      <w:marBottom w:val="0"/>
      <w:divBdr>
        <w:top w:val="none" w:sz="0" w:space="0" w:color="auto"/>
        <w:left w:val="none" w:sz="0" w:space="0" w:color="auto"/>
        <w:bottom w:val="none" w:sz="0" w:space="0" w:color="auto"/>
        <w:right w:val="none" w:sz="0" w:space="0" w:color="auto"/>
      </w:divBdr>
    </w:div>
    <w:div w:id="889727798">
      <w:bodyDiv w:val="1"/>
      <w:marLeft w:val="0"/>
      <w:marRight w:val="0"/>
      <w:marTop w:val="0"/>
      <w:marBottom w:val="0"/>
      <w:divBdr>
        <w:top w:val="none" w:sz="0" w:space="0" w:color="auto"/>
        <w:left w:val="none" w:sz="0" w:space="0" w:color="auto"/>
        <w:bottom w:val="none" w:sz="0" w:space="0" w:color="auto"/>
        <w:right w:val="none" w:sz="0" w:space="0" w:color="auto"/>
      </w:divBdr>
    </w:div>
    <w:div w:id="889802430">
      <w:bodyDiv w:val="1"/>
      <w:marLeft w:val="0"/>
      <w:marRight w:val="0"/>
      <w:marTop w:val="0"/>
      <w:marBottom w:val="0"/>
      <w:divBdr>
        <w:top w:val="none" w:sz="0" w:space="0" w:color="auto"/>
        <w:left w:val="none" w:sz="0" w:space="0" w:color="auto"/>
        <w:bottom w:val="none" w:sz="0" w:space="0" w:color="auto"/>
        <w:right w:val="none" w:sz="0" w:space="0" w:color="auto"/>
      </w:divBdr>
    </w:div>
    <w:div w:id="889802641">
      <w:bodyDiv w:val="1"/>
      <w:marLeft w:val="0"/>
      <w:marRight w:val="0"/>
      <w:marTop w:val="0"/>
      <w:marBottom w:val="0"/>
      <w:divBdr>
        <w:top w:val="none" w:sz="0" w:space="0" w:color="auto"/>
        <w:left w:val="none" w:sz="0" w:space="0" w:color="auto"/>
        <w:bottom w:val="none" w:sz="0" w:space="0" w:color="auto"/>
        <w:right w:val="none" w:sz="0" w:space="0" w:color="auto"/>
      </w:divBdr>
    </w:div>
    <w:div w:id="889923469">
      <w:bodyDiv w:val="1"/>
      <w:marLeft w:val="0"/>
      <w:marRight w:val="0"/>
      <w:marTop w:val="0"/>
      <w:marBottom w:val="0"/>
      <w:divBdr>
        <w:top w:val="none" w:sz="0" w:space="0" w:color="auto"/>
        <w:left w:val="none" w:sz="0" w:space="0" w:color="auto"/>
        <w:bottom w:val="none" w:sz="0" w:space="0" w:color="auto"/>
        <w:right w:val="none" w:sz="0" w:space="0" w:color="auto"/>
      </w:divBdr>
    </w:div>
    <w:div w:id="889996201">
      <w:bodyDiv w:val="1"/>
      <w:marLeft w:val="0"/>
      <w:marRight w:val="0"/>
      <w:marTop w:val="0"/>
      <w:marBottom w:val="0"/>
      <w:divBdr>
        <w:top w:val="none" w:sz="0" w:space="0" w:color="auto"/>
        <w:left w:val="none" w:sz="0" w:space="0" w:color="auto"/>
        <w:bottom w:val="none" w:sz="0" w:space="0" w:color="auto"/>
        <w:right w:val="none" w:sz="0" w:space="0" w:color="auto"/>
      </w:divBdr>
    </w:div>
    <w:div w:id="889998475">
      <w:bodyDiv w:val="1"/>
      <w:marLeft w:val="0"/>
      <w:marRight w:val="0"/>
      <w:marTop w:val="0"/>
      <w:marBottom w:val="0"/>
      <w:divBdr>
        <w:top w:val="none" w:sz="0" w:space="0" w:color="auto"/>
        <w:left w:val="none" w:sz="0" w:space="0" w:color="auto"/>
        <w:bottom w:val="none" w:sz="0" w:space="0" w:color="auto"/>
        <w:right w:val="none" w:sz="0" w:space="0" w:color="auto"/>
      </w:divBdr>
    </w:div>
    <w:div w:id="890000140">
      <w:bodyDiv w:val="1"/>
      <w:marLeft w:val="0"/>
      <w:marRight w:val="0"/>
      <w:marTop w:val="0"/>
      <w:marBottom w:val="0"/>
      <w:divBdr>
        <w:top w:val="none" w:sz="0" w:space="0" w:color="auto"/>
        <w:left w:val="none" w:sz="0" w:space="0" w:color="auto"/>
        <w:bottom w:val="none" w:sz="0" w:space="0" w:color="auto"/>
        <w:right w:val="none" w:sz="0" w:space="0" w:color="auto"/>
      </w:divBdr>
    </w:div>
    <w:div w:id="890070277">
      <w:bodyDiv w:val="1"/>
      <w:marLeft w:val="0"/>
      <w:marRight w:val="0"/>
      <w:marTop w:val="0"/>
      <w:marBottom w:val="0"/>
      <w:divBdr>
        <w:top w:val="none" w:sz="0" w:space="0" w:color="auto"/>
        <w:left w:val="none" w:sz="0" w:space="0" w:color="auto"/>
        <w:bottom w:val="none" w:sz="0" w:space="0" w:color="auto"/>
        <w:right w:val="none" w:sz="0" w:space="0" w:color="auto"/>
      </w:divBdr>
    </w:div>
    <w:div w:id="890072043">
      <w:bodyDiv w:val="1"/>
      <w:marLeft w:val="0"/>
      <w:marRight w:val="0"/>
      <w:marTop w:val="0"/>
      <w:marBottom w:val="0"/>
      <w:divBdr>
        <w:top w:val="none" w:sz="0" w:space="0" w:color="auto"/>
        <w:left w:val="none" w:sz="0" w:space="0" w:color="auto"/>
        <w:bottom w:val="none" w:sz="0" w:space="0" w:color="auto"/>
        <w:right w:val="none" w:sz="0" w:space="0" w:color="auto"/>
      </w:divBdr>
    </w:div>
    <w:div w:id="890117664">
      <w:bodyDiv w:val="1"/>
      <w:marLeft w:val="0"/>
      <w:marRight w:val="0"/>
      <w:marTop w:val="0"/>
      <w:marBottom w:val="0"/>
      <w:divBdr>
        <w:top w:val="none" w:sz="0" w:space="0" w:color="auto"/>
        <w:left w:val="none" w:sz="0" w:space="0" w:color="auto"/>
        <w:bottom w:val="none" w:sz="0" w:space="0" w:color="auto"/>
        <w:right w:val="none" w:sz="0" w:space="0" w:color="auto"/>
      </w:divBdr>
    </w:div>
    <w:div w:id="890194858">
      <w:bodyDiv w:val="1"/>
      <w:marLeft w:val="0"/>
      <w:marRight w:val="0"/>
      <w:marTop w:val="0"/>
      <w:marBottom w:val="0"/>
      <w:divBdr>
        <w:top w:val="none" w:sz="0" w:space="0" w:color="auto"/>
        <w:left w:val="none" w:sz="0" w:space="0" w:color="auto"/>
        <w:bottom w:val="none" w:sz="0" w:space="0" w:color="auto"/>
        <w:right w:val="none" w:sz="0" w:space="0" w:color="auto"/>
      </w:divBdr>
    </w:div>
    <w:div w:id="890269937">
      <w:bodyDiv w:val="1"/>
      <w:marLeft w:val="0"/>
      <w:marRight w:val="0"/>
      <w:marTop w:val="0"/>
      <w:marBottom w:val="0"/>
      <w:divBdr>
        <w:top w:val="none" w:sz="0" w:space="0" w:color="auto"/>
        <w:left w:val="none" w:sz="0" w:space="0" w:color="auto"/>
        <w:bottom w:val="none" w:sz="0" w:space="0" w:color="auto"/>
        <w:right w:val="none" w:sz="0" w:space="0" w:color="auto"/>
      </w:divBdr>
    </w:div>
    <w:div w:id="890309280">
      <w:bodyDiv w:val="1"/>
      <w:marLeft w:val="0"/>
      <w:marRight w:val="0"/>
      <w:marTop w:val="0"/>
      <w:marBottom w:val="0"/>
      <w:divBdr>
        <w:top w:val="none" w:sz="0" w:space="0" w:color="auto"/>
        <w:left w:val="none" w:sz="0" w:space="0" w:color="auto"/>
        <w:bottom w:val="none" w:sz="0" w:space="0" w:color="auto"/>
        <w:right w:val="none" w:sz="0" w:space="0" w:color="auto"/>
      </w:divBdr>
    </w:div>
    <w:div w:id="890311721">
      <w:bodyDiv w:val="1"/>
      <w:marLeft w:val="0"/>
      <w:marRight w:val="0"/>
      <w:marTop w:val="0"/>
      <w:marBottom w:val="0"/>
      <w:divBdr>
        <w:top w:val="none" w:sz="0" w:space="0" w:color="auto"/>
        <w:left w:val="none" w:sz="0" w:space="0" w:color="auto"/>
        <w:bottom w:val="none" w:sz="0" w:space="0" w:color="auto"/>
        <w:right w:val="none" w:sz="0" w:space="0" w:color="auto"/>
      </w:divBdr>
    </w:div>
    <w:div w:id="890385841">
      <w:bodyDiv w:val="1"/>
      <w:marLeft w:val="0"/>
      <w:marRight w:val="0"/>
      <w:marTop w:val="0"/>
      <w:marBottom w:val="0"/>
      <w:divBdr>
        <w:top w:val="none" w:sz="0" w:space="0" w:color="auto"/>
        <w:left w:val="none" w:sz="0" w:space="0" w:color="auto"/>
        <w:bottom w:val="none" w:sz="0" w:space="0" w:color="auto"/>
        <w:right w:val="none" w:sz="0" w:space="0" w:color="auto"/>
      </w:divBdr>
    </w:div>
    <w:div w:id="890461940">
      <w:bodyDiv w:val="1"/>
      <w:marLeft w:val="0"/>
      <w:marRight w:val="0"/>
      <w:marTop w:val="0"/>
      <w:marBottom w:val="0"/>
      <w:divBdr>
        <w:top w:val="none" w:sz="0" w:space="0" w:color="auto"/>
        <w:left w:val="none" w:sz="0" w:space="0" w:color="auto"/>
        <w:bottom w:val="none" w:sz="0" w:space="0" w:color="auto"/>
        <w:right w:val="none" w:sz="0" w:space="0" w:color="auto"/>
      </w:divBdr>
    </w:div>
    <w:div w:id="890463271">
      <w:bodyDiv w:val="1"/>
      <w:marLeft w:val="0"/>
      <w:marRight w:val="0"/>
      <w:marTop w:val="0"/>
      <w:marBottom w:val="0"/>
      <w:divBdr>
        <w:top w:val="none" w:sz="0" w:space="0" w:color="auto"/>
        <w:left w:val="none" w:sz="0" w:space="0" w:color="auto"/>
        <w:bottom w:val="none" w:sz="0" w:space="0" w:color="auto"/>
        <w:right w:val="none" w:sz="0" w:space="0" w:color="auto"/>
      </w:divBdr>
    </w:div>
    <w:div w:id="890578861">
      <w:bodyDiv w:val="1"/>
      <w:marLeft w:val="0"/>
      <w:marRight w:val="0"/>
      <w:marTop w:val="0"/>
      <w:marBottom w:val="0"/>
      <w:divBdr>
        <w:top w:val="none" w:sz="0" w:space="0" w:color="auto"/>
        <w:left w:val="none" w:sz="0" w:space="0" w:color="auto"/>
        <w:bottom w:val="none" w:sz="0" w:space="0" w:color="auto"/>
        <w:right w:val="none" w:sz="0" w:space="0" w:color="auto"/>
      </w:divBdr>
    </w:div>
    <w:div w:id="890579326">
      <w:bodyDiv w:val="1"/>
      <w:marLeft w:val="0"/>
      <w:marRight w:val="0"/>
      <w:marTop w:val="0"/>
      <w:marBottom w:val="0"/>
      <w:divBdr>
        <w:top w:val="none" w:sz="0" w:space="0" w:color="auto"/>
        <w:left w:val="none" w:sz="0" w:space="0" w:color="auto"/>
        <w:bottom w:val="none" w:sz="0" w:space="0" w:color="auto"/>
        <w:right w:val="none" w:sz="0" w:space="0" w:color="auto"/>
      </w:divBdr>
    </w:div>
    <w:div w:id="890582061">
      <w:bodyDiv w:val="1"/>
      <w:marLeft w:val="0"/>
      <w:marRight w:val="0"/>
      <w:marTop w:val="0"/>
      <w:marBottom w:val="0"/>
      <w:divBdr>
        <w:top w:val="none" w:sz="0" w:space="0" w:color="auto"/>
        <w:left w:val="none" w:sz="0" w:space="0" w:color="auto"/>
        <w:bottom w:val="none" w:sz="0" w:space="0" w:color="auto"/>
        <w:right w:val="none" w:sz="0" w:space="0" w:color="auto"/>
      </w:divBdr>
    </w:div>
    <w:div w:id="890582828">
      <w:bodyDiv w:val="1"/>
      <w:marLeft w:val="0"/>
      <w:marRight w:val="0"/>
      <w:marTop w:val="0"/>
      <w:marBottom w:val="0"/>
      <w:divBdr>
        <w:top w:val="none" w:sz="0" w:space="0" w:color="auto"/>
        <w:left w:val="none" w:sz="0" w:space="0" w:color="auto"/>
        <w:bottom w:val="none" w:sz="0" w:space="0" w:color="auto"/>
        <w:right w:val="none" w:sz="0" w:space="0" w:color="auto"/>
      </w:divBdr>
    </w:div>
    <w:div w:id="890771100">
      <w:bodyDiv w:val="1"/>
      <w:marLeft w:val="0"/>
      <w:marRight w:val="0"/>
      <w:marTop w:val="0"/>
      <w:marBottom w:val="0"/>
      <w:divBdr>
        <w:top w:val="none" w:sz="0" w:space="0" w:color="auto"/>
        <w:left w:val="none" w:sz="0" w:space="0" w:color="auto"/>
        <w:bottom w:val="none" w:sz="0" w:space="0" w:color="auto"/>
        <w:right w:val="none" w:sz="0" w:space="0" w:color="auto"/>
      </w:divBdr>
    </w:div>
    <w:div w:id="890772250">
      <w:bodyDiv w:val="1"/>
      <w:marLeft w:val="0"/>
      <w:marRight w:val="0"/>
      <w:marTop w:val="0"/>
      <w:marBottom w:val="0"/>
      <w:divBdr>
        <w:top w:val="none" w:sz="0" w:space="0" w:color="auto"/>
        <w:left w:val="none" w:sz="0" w:space="0" w:color="auto"/>
        <w:bottom w:val="none" w:sz="0" w:space="0" w:color="auto"/>
        <w:right w:val="none" w:sz="0" w:space="0" w:color="auto"/>
      </w:divBdr>
    </w:div>
    <w:div w:id="890842823">
      <w:bodyDiv w:val="1"/>
      <w:marLeft w:val="0"/>
      <w:marRight w:val="0"/>
      <w:marTop w:val="0"/>
      <w:marBottom w:val="0"/>
      <w:divBdr>
        <w:top w:val="none" w:sz="0" w:space="0" w:color="auto"/>
        <w:left w:val="none" w:sz="0" w:space="0" w:color="auto"/>
        <w:bottom w:val="none" w:sz="0" w:space="0" w:color="auto"/>
        <w:right w:val="none" w:sz="0" w:space="0" w:color="auto"/>
      </w:divBdr>
    </w:div>
    <w:div w:id="890922866">
      <w:bodyDiv w:val="1"/>
      <w:marLeft w:val="0"/>
      <w:marRight w:val="0"/>
      <w:marTop w:val="0"/>
      <w:marBottom w:val="0"/>
      <w:divBdr>
        <w:top w:val="none" w:sz="0" w:space="0" w:color="auto"/>
        <w:left w:val="none" w:sz="0" w:space="0" w:color="auto"/>
        <w:bottom w:val="none" w:sz="0" w:space="0" w:color="auto"/>
        <w:right w:val="none" w:sz="0" w:space="0" w:color="auto"/>
      </w:divBdr>
    </w:div>
    <w:div w:id="890963413">
      <w:bodyDiv w:val="1"/>
      <w:marLeft w:val="0"/>
      <w:marRight w:val="0"/>
      <w:marTop w:val="0"/>
      <w:marBottom w:val="0"/>
      <w:divBdr>
        <w:top w:val="none" w:sz="0" w:space="0" w:color="auto"/>
        <w:left w:val="none" w:sz="0" w:space="0" w:color="auto"/>
        <w:bottom w:val="none" w:sz="0" w:space="0" w:color="auto"/>
        <w:right w:val="none" w:sz="0" w:space="0" w:color="auto"/>
      </w:divBdr>
    </w:div>
    <w:div w:id="890965980">
      <w:bodyDiv w:val="1"/>
      <w:marLeft w:val="0"/>
      <w:marRight w:val="0"/>
      <w:marTop w:val="0"/>
      <w:marBottom w:val="0"/>
      <w:divBdr>
        <w:top w:val="none" w:sz="0" w:space="0" w:color="auto"/>
        <w:left w:val="none" w:sz="0" w:space="0" w:color="auto"/>
        <w:bottom w:val="none" w:sz="0" w:space="0" w:color="auto"/>
        <w:right w:val="none" w:sz="0" w:space="0" w:color="auto"/>
      </w:divBdr>
    </w:div>
    <w:div w:id="890968445">
      <w:bodyDiv w:val="1"/>
      <w:marLeft w:val="0"/>
      <w:marRight w:val="0"/>
      <w:marTop w:val="0"/>
      <w:marBottom w:val="0"/>
      <w:divBdr>
        <w:top w:val="none" w:sz="0" w:space="0" w:color="auto"/>
        <w:left w:val="none" w:sz="0" w:space="0" w:color="auto"/>
        <w:bottom w:val="none" w:sz="0" w:space="0" w:color="auto"/>
        <w:right w:val="none" w:sz="0" w:space="0" w:color="auto"/>
      </w:divBdr>
    </w:div>
    <w:div w:id="891111462">
      <w:bodyDiv w:val="1"/>
      <w:marLeft w:val="0"/>
      <w:marRight w:val="0"/>
      <w:marTop w:val="0"/>
      <w:marBottom w:val="0"/>
      <w:divBdr>
        <w:top w:val="none" w:sz="0" w:space="0" w:color="auto"/>
        <w:left w:val="none" w:sz="0" w:space="0" w:color="auto"/>
        <w:bottom w:val="none" w:sz="0" w:space="0" w:color="auto"/>
        <w:right w:val="none" w:sz="0" w:space="0" w:color="auto"/>
      </w:divBdr>
    </w:div>
    <w:div w:id="891113628">
      <w:bodyDiv w:val="1"/>
      <w:marLeft w:val="0"/>
      <w:marRight w:val="0"/>
      <w:marTop w:val="0"/>
      <w:marBottom w:val="0"/>
      <w:divBdr>
        <w:top w:val="none" w:sz="0" w:space="0" w:color="auto"/>
        <w:left w:val="none" w:sz="0" w:space="0" w:color="auto"/>
        <w:bottom w:val="none" w:sz="0" w:space="0" w:color="auto"/>
        <w:right w:val="none" w:sz="0" w:space="0" w:color="auto"/>
      </w:divBdr>
    </w:div>
    <w:div w:id="891231650">
      <w:bodyDiv w:val="1"/>
      <w:marLeft w:val="0"/>
      <w:marRight w:val="0"/>
      <w:marTop w:val="0"/>
      <w:marBottom w:val="0"/>
      <w:divBdr>
        <w:top w:val="none" w:sz="0" w:space="0" w:color="auto"/>
        <w:left w:val="none" w:sz="0" w:space="0" w:color="auto"/>
        <w:bottom w:val="none" w:sz="0" w:space="0" w:color="auto"/>
        <w:right w:val="none" w:sz="0" w:space="0" w:color="auto"/>
      </w:divBdr>
    </w:div>
    <w:div w:id="891575477">
      <w:bodyDiv w:val="1"/>
      <w:marLeft w:val="0"/>
      <w:marRight w:val="0"/>
      <w:marTop w:val="0"/>
      <w:marBottom w:val="0"/>
      <w:divBdr>
        <w:top w:val="none" w:sz="0" w:space="0" w:color="auto"/>
        <w:left w:val="none" w:sz="0" w:space="0" w:color="auto"/>
        <w:bottom w:val="none" w:sz="0" w:space="0" w:color="auto"/>
        <w:right w:val="none" w:sz="0" w:space="0" w:color="auto"/>
      </w:divBdr>
    </w:div>
    <w:div w:id="891582257">
      <w:bodyDiv w:val="1"/>
      <w:marLeft w:val="0"/>
      <w:marRight w:val="0"/>
      <w:marTop w:val="0"/>
      <w:marBottom w:val="0"/>
      <w:divBdr>
        <w:top w:val="none" w:sz="0" w:space="0" w:color="auto"/>
        <w:left w:val="none" w:sz="0" w:space="0" w:color="auto"/>
        <w:bottom w:val="none" w:sz="0" w:space="0" w:color="auto"/>
        <w:right w:val="none" w:sz="0" w:space="0" w:color="auto"/>
      </w:divBdr>
    </w:div>
    <w:div w:id="891697674">
      <w:bodyDiv w:val="1"/>
      <w:marLeft w:val="0"/>
      <w:marRight w:val="0"/>
      <w:marTop w:val="0"/>
      <w:marBottom w:val="0"/>
      <w:divBdr>
        <w:top w:val="none" w:sz="0" w:space="0" w:color="auto"/>
        <w:left w:val="none" w:sz="0" w:space="0" w:color="auto"/>
        <w:bottom w:val="none" w:sz="0" w:space="0" w:color="auto"/>
        <w:right w:val="none" w:sz="0" w:space="0" w:color="auto"/>
      </w:divBdr>
    </w:div>
    <w:div w:id="891770670">
      <w:bodyDiv w:val="1"/>
      <w:marLeft w:val="0"/>
      <w:marRight w:val="0"/>
      <w:marTop w:val="0"/>
      <w:marBottom w:val="0"/>
      <w:divBdr>
        <w:top w:val="none" w:sz="0" w:space="0" w:color="auto"/>
        <w:left w:val="none" w:sz="0" w:space="0" w:color="auto"/>
        <w:bottom w:val="none" w:sz="0" w:space="0" w:color="auto"/>
        <w:right w:val="none" w:sz="0" w:space="0" w:color="auto"/>
      </w:divBdr>
    </w:div>
    <w:div w:id="891967948">
      <w:bodyDiv w:val="1"/>
      <w:marLeft w:val="0"/>
      <w:marRight w:val="0"/>
      <w:marTop w:val="0"/>
      <w:marBottom w:val="0"/>
      <w:divBdr>
        <w:top w:val="none" w:sz="0" w:space="0" w:color="auto"/>
        <w:left w:val="none" w:sz="0" w:space="0" w:color="auto"/>
        <w:bottom w:val="none" w:sz="0" w:space="0" w:color="auto"/>
        <w:right w:val="none" w:sz="0" w:space="0" w:color="auto"/>
      </w:divBdr>
    </w:div>
    <w:div w:id="892011482">
      <w:bodyDiv w:val="1"/>
      <w:marLeft w:val="0"/>
      <w:marRight w:val="0"/>
      <w:marTop w:val="0"/>
      <w:marBottom w:val="0"/>
      <w:divBdr>
        <w:top w:val="none" w:sz="0" w:space="0" w:color="auto"/>
        <w:left w:val="none" w:sz="0" w:space="0" w:color="auto"/>
        <w:bottom w:val="none" w:sz="0" w:space="0" w:color="auto"/>
        <w:right w:val="none" w:sz="0" w:space="0" w:color="auto"/>
      </w:divBdr>
    </w:div>
    <w:div w:id="892040793">
      <w:bodyDiv w:val="1"/>
      <w:marLeft w:val="0"/>
      <w:marRight w:val="0"/>
      <w:marTop w:val="0"/>
      <w:marBottom w:val="0"/>
      <w:divBdr>
        <w:top w:val="none" w:sz="0" w:space="0" w:color="auto"/>
        <w:left w:val="none" w:sz="0" w:space="0" w:color="auto"/>
        <w:bottom w:val="none" w:sz="0" w:space="0" w:color="auto"/>
        <w:right w:val="none" w:sz="0" w:space="0" w:color="auto"/>
      </w:divBdr>
    </w:div>
    <w:div w:id="892082893">
      <w:bodyDiv w:val="1"/>
      <w:marLeft w:val="0"/>
      <w:marRight w:val="0"/>
      <w:marTop w:val="0"/>
      <w:marBottom w:val="0"/>
      <w:divBdr>
        <w:top w:val="none" w:sz="0" w:space="0" w:color="auto"/>
        <w:left w:val="none" w:sz="0" w:space="0" w:color="auto"/>
        <w:bottom w:val="none" w:sz="0" w:space="0" w:color="auto"/>
        <w:right w:val="none" w:sz="0" w:space="0" w:color="auto"/>
      </w:divBdr>
    </w:div>
    <w:div w:id="892083280">
      <w:bodyDiv w:val="1"/>
      <w:marLeft w:val="0"/>
      <w:marRight w:val="0"/>
      <w:marTop w:val="0"/>
      <w:marBottom w:val="0"/>
      <w:divBdr>
        <w:top w:val="none" w:sz="0" w:space="0" w:color="auto"/>
        <w:left w:val="none" w:sz="0" w:space="0" w:color="auto"/>
        <w:bottom w:val="none" w:sz="0" w:space="0" w:color="auto"/>
        <w:right w:val="none" w:sz="0" w:space="0" w:color="auto"/>
      </w:divBdr>
    </w:div>
    <w:div w:id="892233248">
      <w:bodyDiv w:val="1"/>
      <w:marLeft w:val="0"/>
      <w:marRight w:val="0"/>
      <w:marTop w:val="0"/>
      <w:marBottom w:val="0"/>
      <w:divBdr>
        <w:top w:val="none" w:sz="0" w:space="0" w:color="auto"/>
        <w:left w:val="none" w:sz="0" w:space="0" w:color="auto"/>
        <w:bottom w:val="none" w:sz="0" w:space="0" w:color="auto"/>
        <w:right w:val="none" w:sz="0" w:space="0" w:color="auto"/>
      </w:divBdr>
    </w:div>
    <w:div w:id="892274464">
      <w:bodyDiv w:val="1"/>
      <w:marLeft w:val="0"/>
      <w:marRight w:val="0"/>
      <w:marTop w:val="0"/>
      <w:marBottom w:val="0"/>
      <w:divBdr>
        <w:top w:val="none" w:sz="0" w:space="0" w:color="auto"/>
        <w:left w:val="none" w:sz="0" w:space="0" w:color="auto"/>
        <w:bottom w:val="none" w:sz="0" w:space="0" w:color="auto"/>
        <w:right w:val="none" w:sz="0" w:space="0" w:color="auto"/>
      </w:divBdr>
    </w:div>
    <w:div w:id="892277366">
      <w:bodyDiv w:val="1"/>
      <w:marLeft w:val="0"/>
      <w:marRight w:val="0"/>
      <w:marTop w:val="0"/>
      <w:marBottom w:val="0"/>
      <w:divBdr>
        <w:top w:val="none" w:sz="0" w:space="0" w:color="auto"/>
        <w:left w:val="none" w:sz="0" w:space="0" w:color="auto"/>
        <w:bottom w:val="none" w:sz="0" w:space="0" w:color="auto"/>
        <w:right w:val="none" w:sz="0" w:space="0" w:color="auto"/>
      </w:divBdr>
    </w:div>
    <w:div w:id="892277417">
      <w:bodyDiv w:val="1"/>
      <w:marLeft w:val="0"/>
      <w:marRight w:val="0"/>
      <w:marTop w:val="0"/>
      <w:marBottom w:val="0"/>
      <w:divBdr>
        <w:top w:val="none" w:sz="0" w:space="0" w:color="auto"/>
        <w:left w:val="none" w:sz="0" w:space="0" w:color="auto"/>
        <w:bottom w:val="none" w:sz="0" w:space="0" w:color="auto"/>
        <w:right w:val="none" w:sz="0" w:space="0" w:color="auto"/>
      </w:divBdr>
    </w:div>
    <w:div w:id="892279986">
      <w:bodyDiv w:val="1"/>
      <w:marLeft w:val="0"/>
      <w:marRight w:val="0"/>
      <w:marTop w:val="0"/>
      <w:marBottom w:val="0"/>
      <w:divBdr>
        <w:top w:val="none" w:sz="0" w:space="0" w:color="auto"/>
        <w:left w:val="none" w:sz="0" w:space="0" w:color="auto"/>
        <w:bottom w:val="none" w:sz="0" w:space="0" w:color="auto"/>
        <w:right w:val="none" w:sz="0" w:space="0" w:color="auto"/>
      </w:divBdr>
    </w:div>
    <w:div w:id="892347179">
      <w:bodyDiv w:val="1"/>
      <w:marLeft w:val="0"/>
      <w:marRight w:val="0"/>
      <w:marTop w:val="0"/>
      <w:marBottom w:val="0"/>
      <w:divBdr>
        <w:top w:val="none" w:sz="0" w:space="0" w:color="auto"/>
        <w:left w:val="none" w:sz="0" w:space="0" w:color="auto"/>
        <w:bottom w:val="none" w:sz="0" w:space="0" w:color="auto"/>
        <w:right w:val="none" w:sz="0" w:space="0" w:color="auto"/>
      </w:divBdr>
    </w:div>
    <w:div w:id="892539657">
      <w:bodyDiv w:val="1"/>
      <w:marLeft w:val="0"/>
      <w:marRight w:val="0"/>
      <w:marTop w:val="0"/>
      <w:marBottom w:val="0"/>
      <w:divBdr>
        <w:top w:val="none" w:sz="0" w:space="0" w:color="auto"/>
        <w:left w:val="none" w:sz="0" w:space="0" w:color="auto"/>
        <w:bottom w:val="none" w:sz="0" w:space="0" w:color="auto"/>
        <w:right w:val="none" w:sz="0" w:space="0" w:color="auto"/>
      </w:divBdr>
    </w:div>
    <w:div w:id="892615111">
      <w:bodyDiv w:val="1"/>
      <w:marLeft w:val="0"/>
      <w:marRight w:val="0"/>
      <w:marTop w:val="0"/>
      <w:marBottom w:val="0"/>
      <w:divBdr>
        <w:top w:val="none" w:sz="0" w:space="0" w:color="auto"/>
        <w:left w:val="none" w:sz="0" w:space="0" w:color="auto"/>
        <w:bottom w:val="none" w:sz="0" w:space="0" w:color="auto"/>
        <w:right w:val="none" w:sz="0" w:space="0" w:color="auto"/>
      </w:divBdr>
    </w:div>
    <w:div w:id="892617859">
      <w:bodyDiv w:val="1"/>
      <w:marLeft w:val="0"/>
      <w:marRight w:val="0"/>
      <w:marTop w:val="0"/>
      <w:marBottom w:val="0"/>
      <w:divBdr>
        <w:top w:val="none" w:sz="0" w:space="0" w:color="auto"/>
        <w:left w:val="none" w:sz="0" w:space="0" w:color="auto"/>
        <w:bottom w:val="none" w:sz="0" w:space="0" w:color="auto"/>
        <w:right w:val="none" w:sz="0" w:space="0" w:color="auto"/>
      </w:divBdr>
    </w:div>
    <w:div w:id="893004528">
      <w:bodyDiv w:val="1"/>
      <w:marLeft w:val="0"/>
      <w:marRight w:val="0"/>
      <w:marTop w:val="0"/>
      <w:marBottom w:val="0"/>
      <w:divBdr>
        <w:top w:val="none" w:sz="0" w:space="0" w:color="auto"/>
        <w:left w:val="none" w:sz="0" w:space="0" w:color="auto"/>
        <w:bottom w:val="none" w:sz="0" w:space="0" w:color="auto"/>
        <w:right w:val="none" w:sz="0" w:space="0" w:color="auto"/>
      </w:divBdr>
    </w:div>
    <w:div w:id="893079734">
      <w:bodyDiv w:val="1"/>
      <w:marLeft w:val="0"/>
      <w:marRight w:val="0"/>
      <w:marTop w:val="0"/>
      <w:marBottom w:val="0"/>
      <w:divBdr>
        <w:top w:val="none" w:sz="0" w:space="0" w:color="auto"/>
        <w:left w:val="none" w:sz="0" w:space="0" w:color="auto"/>
        <w:bottom w:val="none" w:sz="0" w:space="0" w:color="auto"/>
        <w:right w:val="none" w:sz="0" w:space="0" w:color="auto"/>
      </w:divBdr>
    </w:div>
    <w:div w:id="893276246">
      <w:bodyDiv w:val="1"/>
      <w:marLeft w:val="0"/>
      <w:marRight w:val="0"/>
      <w:marTop w:val="0"/>
      <w:marBottom w:val="0"/>
      <w:divBdr>
        <w:top w:val="none" w:sz="0" w:space="0" w:color="auto"/>
        <w:left w:val="none" w:sz="0" w:space="0" w:color="auto"/>
        <w:bottom w:val="none" w:sz="0" w:space="0" w:color="auto"/>
        <w:right w:val="none" w:sz="0" w:space="0" w:color="auto"/>
      </w:divBdr>
    </w:div>
    <w:div w:id="893390033">
      <w:bodyDiv w:val="1"/>
      <w:marLeft w:val="0"/>
      <w:marRight w:val="0"/>
      <w:marTop w:val="0"/>
      <w:marBottom w:val="0"/>
      <w:divBdr>
        <w:top w:val="none" w:sz="0" w:space="0" w:color="auto"/>
        <w:left w:val="none" w:sz="0" w:space="0" w:color="auto"/>
        <w:bottom w:val="none" w:sz="0" w:space="0" w:color="auto"/>
        <w:right w:val="none" w:sz="0" w:space="0" w:color="auto"/>
      </w:divBdr>
    </w:div>
    <w:div w:id="893540868">
      <w:bodyDiv w:val="1"/>
      <w:marLeft w:val="0"/>
      <w:marRight w:val="0"/>
      <w:marTop w:val="0"/>
      <w:marBottom w:val="0"/>
      <w:divBdr>
        <w:top w:val="none" w:sz="0" w:space="0" w:color="auto"/>
        <w:left w:val="none" w:sz="0" w:space="0" w:color="auto"/>
        <w:bottom w:val="none" w:sz="0" w:space="0" w:color="auto"/>
        <w:right w:val="none" w:sz="0" w:space="0" w:color="auto"/>
      </w:divBdr>
    </w:div>
    <w:div w:id="893807362">
      <w:bodyDiv w:val="1"/>
      <w:marLeft w:val="0"/>
      <w:marRight w:val="0"/>
      <w:marTop w:val="0"/>
      <w:marBottom w:val="0"/>
      <w:divBdr>
        <w:top w:val="none" w:sz="0" w:space="0" w:color="auto"/>
        <w:left w:val="none" w:sz="0" w:space="0" w:color="auto"/>
        <w:bottom w:val="none" w:sz="0" w:space="0" w:color="auto"/>
        <w:right w:val="none" w:sz="0" w:space="0" w:color="auto"/>
      </w:divBdr>
    </w:div>
    <w:div w:id="894195129">
      <w:bodyDiv w:val="1"/>
      <w:marLeft w:val="0"/>
      <w:marRight w:val="0"/>
      <w:marTop w:val="0"/>
      <w:marBottom w:val="0"/>
      <w:divBdr>
        <w:top w:val="none" w:sz="0" w:space="0" w:color="auto"/>
        <w:left w:val="none" w:sz="0" w:space="0" w:color="auto"/>
        <w:bottom w:val="none" w:sz="0" w:space="0" w:color="auto"/>
        <w:right w:val="none" w:sz="0" w:space="0" w:color="auto"/>
      </w:divBdr>
    </w:div>
    <w:div w:id="894242898">
      <w:bodyDiv w:val="1"/>
      <w:marLeft w:val="0"/>
      <w:marRight w:val="0"/>
      <w:marTop w:val="0"/>
      <w:marBottom w:val="0"/>
      <w:divBdr>
        <w:top w:val="none" w:sz="0" w:space="0" w:color="auto"/>
        <w:left w:val="none" w:sz="0" w:space="0" w:color="auto"/>
        <w:bottom w:val="none" w:sz="0" w:space="0" w:color="auto"/>
        <w:right w:val="none" w:sz="0" w:space="0" w:color="auto"/>
      </w:divBdr>
    </w:div>
    <w:div w:id="894245100">
      <w:bodyDiv w:val="1"/>
      <w:marLeft w:val="0"/>
      <w:marRight w:val="0"/>
      <w:marTop w:val="0"/>
      <w:marBottom w:val="0"/>
      <w:divBdr>
        <w:top w:val="none" w:sz="0" w:space="0" w:color="auto"/>
        <w:left w:val="none" w:sz="0" w:space="0" w:color="auto"/>
        <w:bottom w:val="none" w:sz="0" w:space="0" w:color="auto"/>
        <w:right w:val="none" w:sz="0" w:space="0" w:color="auto"/>
      </w:divBdr>
    </w:div>
    <w:div w:id="894388185">
      <w:bodyDiv w:val="1"/>
      <w:marLeft w:val="0"/>
      <w:marRight w:val="0"/>
      <w:marTop w:val="0"/>
      <w:marBottom w:val="0"/>
      <w:divBdr>
        <w:top w:val="none" w:sz="0" w:space="0" w:color="auto"/>
        <w:left w:val="none" w:sz="0" w:space="0" w:color="auto"/>
        <w:bottom w:val="none" w:sz="0" w:space="0" w:color="auto"/>
        <w:right w:val="none" w:sz="0" w:space="0" w:color="auto"/>
      </w:divBdr>
    </w:div>
    <w:div w:id="894388799">
      <w:bodyDiv w:val="1"/>
      <w:marLeft w:val="0"/>
      <w:marRight w:val="0"/>
      <w:marTop w:val="0"/>
      <w:marBottom w:val="0"/>
      <w:divBdr>
        <w:top w:val="none" w:sz="0" w:space="0" w:color="auto"/>
        <w:left w:val="none" w:sz="0" w:space="0" w:color="auto"/>
        <w:bottom w:val="none" w:sz="0" w:space="0" w:color="auto"/>
        <w:right w:val="none" w:sz="0" w:space="0" w:color="auto"/>
      </w:divBdr>
    </w:div>
    <w:div w:id="894395607">
      <w:bodyDiv w:val="1"/>
      <w:marLeft w:val="0"/>
      <w:marRight w:val="0"/>
      <w:marTop w:val="0"/>
      <w:marBottom w:val="0"/>
      <w:divBdr>
        <w:top w:val="none" w:sz="0" w:space="0" w:color="auto"/>
        <w:left w:val="none" w:sz="0" w:space="0" w:color="auto"/>
        <w:bottom w:val="none" w:sz="0" w:space="0" w:color="auto"/>
        <w:right w:val="none" w:sz="0" w:space="0" w:color="auto"/>
      </w:divBdr>
    </w:div>
    <w:div w:id="894436145">
      <w:bodyDiv w:val="1"/>
      <w:marLeft w:val="0"/>
      <w:marRight w:val="0"/>
      <w:marTop w:val="0"/>
      <w:marBottom w:val="0"/>
      <w:divBdr>
        <w:top w:val="none" w:sz="0" w:space="0" w:color="auto"/>
        <w:left w:val="none" w:sz="0" w:space="0" w:color="auto"/>
        <w:bottom w:val="none" w:sz="0" w:space="0" w:color="auto"/>
        <w:right w:val="none" w:sz="0" w:space="0" w:color="auto"/>
      </w:divBdr>
    </w:div>
    <w:div w:id="894775988">
      <w:bodyDiv w:val="1"/>
      <w:marLeft w:val="0"/>
      <w:marRight w:val="0"/>
      <w:marTop w:val="0"/>
      <w:marBottom w:val="0"/>
      <w:divBdr>
        <w:top w:val="none" w:sz="0" w:space="0" w:color="auto"/>
        <w:left w:val="none" w:sz="0" w:space="0" w:color="auto"/>
        <w:bottom w:val="none" w:sz="0" w:space="0" w:color="auto"/>
        <w:right w:val="none" w:sz="0" w:space="0" w:color="auto"/>
      </w:divBdr>
    </w:div>
    <w:div w:id="894780658">
      <w:bodyDiv w:val="1"/>
      <w:marLeft w:val="0"/>
      <w:marRight w:val="0"/>
      <w:marTop w:val="0"/>
      <w:marBottom w:val="0"/>
      <w:divBdr>
        <w:top w:val="none" w:sz="0" w:space="0" w:color="auto"/>
        <w:left w:val="none" w:sz="0" w:space="0" w:color="auto"/>
        <w:bottom w:val="none" w:sz="0" w:space="0" w:color="auto"/>
        <w:right w:val="none" w:sz="0" w:space="0" w:color="auto"/>
      </w:divBdr>
    </w:div>
    <w:div w:id="894783286">
      <w:bodyDiv w:val="1"/>
      <w:marLeft w:val="0"/>
      <w:marRight w:val="0"/>
      <w:marTop w:val="0"/>
      <w:marBottom w:val="0"/>
      <w:divBdr>
        <w:top w:val="none" w:sz="0" w:space="0" w:color="auto"/>
        <w:left w:val="none" w:sz="0" w:space="0" w:color="auto"/>
        <w:bottom w:val="none" w:sz="0" w:space="0" w:color="auto"/>
        <w:right w:val="none" w:sz="0" w:space="0" w:color="auto"/>
      </w:divBdr>
    </w:div>
    <w:div w:id="894850058">
      <w:bodyDiv w:val="1"/>
      <w:marLeft w:val="0"/>
      <w:marRight w:val="0"/>
      <w:marTop w:val="0"/>
      <w:marBottom w:val="0"/>
      <w:divBdr>
        <w:top w:val="none" w:sz="0" w:space="0" w:color="auto"/>
        <w:left w:val="none" w:sz="0" w:space="0" w:color="auto"/>
        <w:bottom w:val="none" w:sz="0" w:space="0" w:color="auto"/>
        <w:right w:val="none" w:sz="0" w:space="0" w:color="auto"/>
      </w:divBdr>
    </w:div>
    <w:div w:id="894850506">
      <w:bodyDiv w:val="1"/>
      <w:marLeft w:val="0"/>
      <w:marRight w:val="0"/>
      <w:marTop w:val="0"/>
      <w:marBottom w:val="0"/>
      <w:divBdr>
        <w:top w:val="none" w:sz="0" w:space="0" w:color="auto"/>
        <w:left w:val="none" w:sz="0" w:space="0" w:color="auto"/>
        <w:bottom w:val="none" w:sz="0" w:space="0" w:color="auto"/>
        <w:right w:val="none" w:sz="0" w:space="0" w:color="auto"/>
      </w:divBdr>
    </w:div>
    <w:div w:id="894854285">
      <w:bodyDiv w:val="1"/>
      <w:marLeft w:val="0"/>
      <w:marRight w:val="0"/>
      <w:marTop w:val="0"/>
      <w:marBottom w:val="0"/>
      <w:divBdr>
        <w:top w:val="none" w:sz="0" w:space="0" w:color="auto"/>
        <w:left w:val="none" w:sz="0" w:space="0" w:color="auto"/>
        <w:bottom w:val="none" w:sz="0" w:space="0" w:color="auto"/>
        <w:right w:val="none" w:sz="0" w:space="0" w:color="auto"/>
      </w:divBdr>
    </w:div>
    <w:div w:id="894857986">
      <w:bodyDiv w:val="1"/>
      <w:marLeft w:val="0"/>
      <w:marRight w:val="0"/>
      <w:marTop w:val="0"/>
      <w:marBottom w:val="0"/>
      <w:divBdr>
        <w:top w:val="none" w:sz="0" w:space="0" w:color="auto"/>
        <w:left w:val="none" w:sz="0" w:space="0" w:color="auto"/>
        <w:bottom w:val="none" w:sz="0" w:space="0" w:color="auto"/>
        <w:right w:val="none" w:sz="0" w:space="0" w:color="auto"/>
      </w:divBdr>
    </w:div>
    <w:div w:id="894975892">
      <w:bodyDiv w:val="1"/>
      <w:marLeft w:val="0"/>
      <w:marRight w:val="0"/>
      <w:marTop w:val="0"/>
      <w:marBottom w:val="0"/>
      <w:divBdr>
        <w:top w:val="none" w:sz="0" w:space="0" w:color="auto"/>
        <w:left w:val="none" w:sz="0" w:space="0" w:color="auto"/>
        <w:bottom w:val="none" w:sz="0" w:space="0" w:color="auto"/>
        <w:right w:val="none" w:sz="0" w:space="0" w:color="auto"/>
      </w:divBdr>
    </w:div>
    <w:div w:id="895163590">
      <w:bodyDiv w:val="1"/>
      <w:marLeft w:val="0"/>
      <w:marRight w:val="0"/>
      <w:marTop w:val="0"/>
      <w:marBottom w:val="0"/>
      <w:divBdr>
        <w:top w:val="none" w:sz="0" w:space="0" w:color="auto"/>
        <w:left w:val="none" w:sz="0" w:space="0" w:color="auto"/>
        <w:bottom w:val="none" w:sz="0" w:space="0" w:color="auto"/>
        <w:right w:val="none" w:sz="0" w:space="0" w:color="auto"/>
      </w:divBdr>
    </w:div>
    <w:div w:id="895238423">
      <w:bodyDiv w:val="1"/>
      <w:marLeft w:val="0"/>
      <w:marRight w:val="0"/>
      <w:marTop w:val="0"/>
      <w:marBottom w:val="0"/>
      <w:divBdr>
        <w:top w:val="none" w:sz="0" w:space="0" w:color="auto"/>
        <w:left w:val="none" w:sz="0" w:space="0" w:color="auto"/>
        <w:bottom w:val="none" w:sz="0" w:space="0" w:color="auto"/>
        <w:right w:val="none" w:sz="0" w:space="0" w:color="auto"/>
      </w:divBdr>
    </w:div>
    <w:div w:id="895358743">
      <w:bodyDiv w:val="1"/>
      <w:marLeft w:val="0"/>
      <w:marRight w:val="0"/>
      <w:marTop w:val="0"/>
      <w:marBottom w:val="0"/>
      <w:divBdr>
        <w:top w:val="none" w:sz="0" w:space="0" w:color="auto"/>
        <w:left w:val="none" w:sz="0" w:space="0" w:color="auto"/>
        <w:bottom w:val="none" w:sz="0" w:space="0" w:color="auto"/>
        <w:right w:val="none" w:sz="0" w:space="0" w:color="auto"/>
      </w:divBdr>
    </w:div>
    <w:div w:id="895360522">
      <w:bodyDiv w:val="1"/>
      <w:marLeft w:val="0"/>
      <w:marRight w:val="0"/>
      <w:marTop w:val="0"/>
      <w:marBottom w:val="0"/>
      <w:divBdr>
        <w:top w:val="none" w:sz="0" w:space="0" w:color="auto"/>
        <w:left w:val="none" w:sz="0" w:space="0" w:color="auto"/>
        <w:bottom w:val="none" w:sz="0" w:space="0" w:color="auto"/>
        <w:right w:val="none" w:sz="0" w:space="0" w:color="auto"/>
      </w:divBdr>
    </w:div>
    <w:div w:id="895506317">
      <w:bodyDiv w:val="1"/>
      <w:marLeft w:val="0"/>
      <w:marRight w:val="0"/>
      <w:marTop w:val="0"/>
      <w:marBottom w:val="0"/>
      <w:divBdr>
        <w:top w:val="none" w:sz="0" w:space="0" w:color="auto"/>
        <w:left w:val="none" w:sz="0" w:space="0" w:color="auto"/>
        <w:bottom w:val="none" w:sz="0" w:space="0" w:color="auto"/>
        <w:right w:val="none" w:sz="0" w:space="0" w:color="auto"/>
      </w:divBdr>
    </w:div>
    <w:div w:id="895511527">
      <w:bodyDiv w:val="1"/>
      <w:marLeft w:val="0"/>
      <w:marRight w:val="0"/>
      <w:marTop w:val="0"/>
      <w:marBottom w:val="0"/>
      <w:divBdr>
        <w:top w:val="none" w:sz="0" w:space="0" w:color="auto"/>
        <w:left w:val="none" w:sz="0" w:space="0" w:color="auto"/>
        <w:bottom w:val="none" w:sz="0" w:space="0" w:color="auto"/>
        <w:right w:val="none" w:sz="0" w:space="0" w:color="auto"/>
      </w:divBdr>
    </w:div>
    <w:div w:id="895551126">
      <w:bodyDiv w:val="1"/>
      <w:marLeft w:val="0"/>
      <w:marRight w:val="0"/>
      <w:marTop w:val="0"/>
      <w:marBottom w:val="0"/>
      <w:divBdr>
        <w:top w:val="none" w:sz="0" w:space="0" w:color="auto"/>
        <w:left w:val="none" w:sz="0" w:space="0" w:color="auto"/>
        <w:bottom w:val="none" w:sz="0" w:space="0" w:color="auto"/>
        <w:right w:val="none" w:sz="0" w:space="0" w:color="auto"/>
      </w:divBdr>
    </w:div>
    <w:div w:id="895629376">
      <w:bodyDiv w:val="1"/>
      <w:marLeft w:val="0"/>
      <w:marRight w:val="0"/>
      <w:marTop w:val="0"/>
      <w:marBottom w:val="0"/>
      <w:divBdr>
        <w:top w:val="none" w:sz="0" w:space="0" w:color="auto"/>
        <w:left w:val="none" w:sz="0" w:space="0" w:color="auto"/>
        <w:bottom w:val="none" w:sz="0" w:space="0" w:color="auto"/>
        <w:right w:val="none" w:sz="0" w:space="0" w:color="auto"/>
      </w:divBdr>
    </w:div>
    <w:div w:id="895778795">
      <w:bodyDiv w:val="1"/>
      <w:marLeft w:val="0"/>
      <w:marRight w:val="0"/>
      <w:marTop w:val="0"/>
      <w:marBottom w:val="0"/>
      <w:divBdr>
        <w:top w:val="none" w:sz="0" w:space="0" w:color="auto"/>
        <w:left w:val="none" w:sz="0" w:space="0" w:color="auto"/>
        <w:bottom w:val="none" w:sz="0" w:space="0" w:color="auto"/>
        <w:right w:val="none" w:sz="0" w:space="0" w:color="auto"/>
      </w:divBdr>
    </w:div>
    <w:div w:id="895824401">
      <w:bodyDiv w:val="1"/>
      <w:marLeft w:val="0"/>
      <w:marRight w:val="0"/>
      <w:marTop w:val="0"/>
      <w:marBottom w:val="0"/>
      <w:divBdr>
        <w:top w:val="none" w:sz="0" w:space="0" w:color="auto"/>
        <w:left w:val="none" w:sz="0" w:space="0" w:color="auto"/>
        <w:bottom w:val="none" w:sz="0" w:space="0" w:color="auto"/>
        <w:right w:val="none" w:sz="0" w:space="0" w:color="auto"/>
      </w:divBdr>
    </w:div>
    <w:div w:id="895890852">
      <w:bodyDiv w:val="1"/>
      <w:marLeft w:val="0"/>
      <w:marRight w:val="0"/>
      <w:marTop w:val="0"/>
      <w:marBottom w:val="0"/>
      <w:divBdr>
        <w:top w:val="none" w:sz="0" w:space="0" w:color="auto"/>
        <w:left w:val="none" w:sz="0" w:space="0" w:color="auto"/>
        <w:bottom w:val="none" w:sz="0" w:space="0" w:color="auto"/>
        <w:right w:val="none" w:sz="0" w:space="0" w:color="auto"/>
      </w:divBdr>
    </w:div>
    <w:div w:id="895897279">
      <w:bodyDiv w:val="1"/>
      <w:marLeft w:val="0"/>
      <w:marRight w:val="0"/>
      <w:marTop w:val="0"/>
      <w:marBottom w:val="0"/>
      <w:divBdr>
        <w:top w:val="none" w:sz="0" w:space="0" w:color="auto"/>
        <w:left w:val="none" w:sz="0" w:space="0" w:color="auto"/>
        <w:bottom w:val="none" w:sz="0" w:space="0" w:color="auto"/>
        <w:right w:val="none" w:sz="0" w:space="0" w:color="auto"/>
      </w:divBdr>
    </w:div>
    <w:div w:id="896010872">
      <w:bodyDiv w:val="1"/>
      <w:marLeft w:val="0"/>
      <w:marRight w:val="0"/>
      <w:marTop w:val="0"/>
      <w:marBottom w:val="0"/>
      <w:divBdr>
        <w:top w:val="none" w:sz="0" w:space="0" w:color="auto"/>
        <w:left w:val="none" w:sz="0" w:space="0" w:color="auto"/>
        <w:bottom w:val="none" w:sz="0" w:space="0" w:color="auto"/>
        <w:right w:val="none" w:sz="0" w:space="0" w:color="auto"/>
      </w:divBdr>
    </w:div>
    <w:div w:id="896011880">
      <w:bodyDiv w:val="1"/>
      <w:marLeft w:val="0"/>
      <w:marRight w:val="0"/>
      <w:marTop w:val="0"/>
      <w:marBottom w:val="0"/>
      <w:divBdr>
        <w:top w:val="none" w:sz="0" w:space="0" w:color="auto"/>
        <w:left w:val="none" w:sz="0" w:space="0" w:color="auto"/>
        <w:bottom w:val="none" w:sz="0" w:space="0" w:color="auto"/>
        <w:right w:val="none" w:sz="0" w:space="0" w:color="auto"/>
      </w:divBdr>
    </w:div>
    <w:div w:id="896013154">
      <w:bodyDiv w:val="1"/>
      <w:marLeft w:val="0"/>
      <w:marRight w:val="0"/>
      <w:marTop w:val="0"/>
      <w:marBottom w:val="0"/>
      <w:divBdr>
        <w:top w:val="none" w:sz="0" w:space="0" w:color="auto"/>
        <w:left w:val="none" w:sz="0" w:space="0" w:color="auto"/>
        <w:bottom w:val="none" w:sz="0" w:space="0" w:color="auto"/>
        <w:right w:val="none" w:sz="0" w:space="0" w:color="auto"/>
      </w:divBdr>
    </w:div>
    <w:div w:id="896014041">
      <w:bodyDiv w:val="1"/>
      <w:marLeft w:val="0"/>
      <w:marRight w:val="0"/>
      <w:marTop w:val="0"/>
      <w:marBottom w:val="0"/>
      <w:divBdr>
        <w:top w:val="none" w:sz="0" w:space="0" w:color="auto"/>
        <w:left w:val="none" w:sz="0" w:space="0" w:color="auto"/>
        <w:bottom w:val="none" w:sz="0" w:space="0" w:color="auto"/>
        <w:right w:val="none" w:sz="0" w:space="0" w:color="auto"/>
      </w:divBdr>
    </w:div>
    <w:div w:id="896014585">
      <w:bodyDiv w:val="1"/>
      <w:marLeft w:val="0"/>
      <w:marRight w:val="0"/>
      <w:marTop w:val="0"/>
      <w:marBottom w:val="0"/>
      <w:divBdr>
        <w:top w:val="none" w:sz="0" w:space="0" w:color="auto"/>
        <w:left w:val="none" w:sz="0" w:space="0" w:color="auto"/>
        <w:bottom w:val="none" w:sz="0" w:space="0" w:color="auto"/>
        <w:right w:val="none" w:sz="0" w:space="0" w:color="auto"/>
      </w:divBdr>
    </w:div>
    <w:div w:id="896090177">
      <w:bodyDiv w:val="1"/>
      <w:marLeft w:val="0"/>
      <w:marRight w:val="0"/>
      <w:marTop w:val="0"/>
      <w:marBottom w:val="0"/>
      <w:divBdr>
        <w:top w:val="none" w:sz="0" w:space="0" w:color="auto"/>
        <w:left w:val="none" w:sz="0" w:space="0" w:color="auto"/>
        <w:bottom w:val="none" w:sz="0" w:space="0" w:color="auto"/>
        <w:right w:val="none" w:sz="0" w:space="0" w:color="auto"/>
      </w:divBdr>
    </w:div>
    <w:div w:id="896159615">
      <w:bodyDiv w:val="1"/>
      <w:marLeft w:val="0"/>
      <w:marRight w:val="0"/>
      <w:marTop w:val="0"/>
      <w:marBottom w:val="0"/>
      <w:divBdr>
        <w:top w:val="none" w:sz="0" w:space="0" w:color="auto"/>
        <w:left w:val="none" w:sz="0" w:space="0" w:color="auto"/>
        <w:bottom w:val="none" w:sz="0" w:space="0" w:color="auto"/>
        <w:right w:val="none" w:sz="0" w:space="0" w:color="auto"/>
      </w:divBdr>
    </w:div>
    <w:div w:id="896163140">
      <w:bodyDiv w:val="1"/>
      <w:marLeft w:val="0"/>
      <w:marRight w:val="0"/>
      <w:marTop w:val="0"/>
      <w:marBottom w:val="0"/>
      <w:divBdr>
        <w:top w:val="none" w:sz="0" w:space="0" w:color="auto"/>
        <w:left w:val="none" w:sz="0" w:space="0" w:color="auto"/>
        <w:bottom w:val="none" w:sz="0" w:space="0" w:color="auto"/>
        <w:right w:val="none" w:sz="0" w:space="0" w:color="auto"/>
      </w:divBdr>
    </w:div>
    <w:div w:id="896163958">
      <w:bodyDiv w:val="1"/>
      <w:marLeft w:val="0"/>
      <w:marRight w:val="0"/>
      <w:marTop w:val="0"/>
      <w:marBottom w:val="0"/>
      <w:divBdr>
        <w:top w:val="none" w:sz="0" w:space="0" w:color="auto"/>
        <w:left w:val="none" w:sz="0" w:space="0" w:color="auto"/>
        <w:bottom w:val="none" w:sz="0" w:space="0" w:color="auto"/>
        <w:right w:val="none" w:sz="0" w:space="0" w:color="auto"/>
      </w:divBdr>
    </w:div>
    <w:div w:id="896165648">
      <w:bodyDiv w:val="1"/>
      <w:marLeft w:val="0"/>
      <w:marRight w:val="0"/>
      <w:marTop w:val="0"/>
      <w:marBottom w:val="0"/>
      <w:divBdr>
        <w:top w:val="none" w:sz="0" w:space="0" w:color="auto"/>
        <w:left w:val="none" w:sz="0" w:space="0" w:color="auto"/>
        <w:bottom w:val="none" w:sz="0" w:space="0" w:color="auto"/>
        <w:right w:val="none" w:sz="0" w:space="0" w:color="auto"/>
      </w:divBdr>
    </w:div>
    <w:div w:id="896361529">
      <w:bodyDiv w:val="1"/>
      <w:marLeft w:val="0"/>
      <w:marRight w:val="0"/>
      <w:marTop w:val="0"/>
      <w:marBottom w:val="0"/>
      <w:divBdr>
        <w:top w:val="none" w:sz="0" w:space="0" w:color="auto"/>
        <w:left w:val="none" w:sz="0" w:space="0" w:color="auto"/>
        <w:bottom w:val="none" w:sz="0" w:space="0" w:color="auto"/>
        <w:right w:val="none" w:sz="0" w:space="0" w:color="auto"/>
      </w:divBdr>
    </w:div>
    <w:div w:id="896428617">
      <w:bodyDiv w:val="1"/>
      <w:marLeft w:val="0"/>
      <w:marRight w:val="0"/>
      <w:marTop w:val="0"/>
      <w:marBottom w:val="0"/>
      <w:divBdr>
        <w:top w:val="none" w:sz="0" w:space="0" w:color="auto"/>
        <w:left w:val="none" w:sz="0" w:space="0" w:color="auto"/>
        <w:bottom w:val="none" w:sz="0" w:space="0" w:color="auto"/>
        <w:right w:val="none" w:sz="0" w:space="0" w:color="auto"/>
      </w:divBdr>
    </w:div>
    <w:div w:id="896477138">
      <w:bodyDiv w:val="1"/>
      <w:marLeft w:val="0"/>
      <w:marRight w:val="0"/>
      <w:marTop w:val="0"/>
      <w:marBottom w:val="0"/>
      <w:divBdr>
        <w:top w:val="none" w:sz="0" w:space="0" w:color="auto"/>
        <w:left w:val="none" w:sz="0" w:space="0" w:color="auto"/>
        <w:bottom w:val="none" w:sz="0" w:space="0" w:color="auto"/>
        <w:right w:val="none" w:sz="0" w:space="0" w:color="auto"/>
      </w:divBdr>
    </w:div>
    <w:div w:id="896551282">
      <w:bodyDiv w:val="1"/>
      <w:marLeft w:val="0"/>
      <w:marRight w:val="0"/>
      <w:marTop w:val="0"/>
      <w:marBottom w:val="0"/>
      <w:divBdr>
        <w:top w:val="none" w:sz="0" w:space="0" w:color="auto"/>
        <w:left w:val="none" w:sz="0" w:space="0" w:color="auto"/>
        <w:bottom w:val="none" w:sz="0" w:space="0" w:color="auto"/>
        <w:right w:val="none" w:sz="0" w:space="0" w:color="auto"/>
      </w:divBdr>
    </w:div>
    <w:div w:id="896554400">
      <w:bodyDiv w:val="1"/>
      <w:marLeft w:val="0"/>
      <w:marRight w:val="0"/>
      <w:marTop w:val="0"/>
      <w:marBottom w:val="0"/>
      <w:divBdr>
        <w:top w:val="none" w:sz="0" w:space="0" w:color="auto"/>
        <w:left w:val="none" w:sz="0" w:space="0" w:color="auto"/>
        <w:bottom w:val="none" w:sz="0" w:space="0" w:color="auto"/>
        <w:right w:val="none" w:sz="0" w:space="0" w:color="auto"/>
      </w:divBdr>
    </w:div>
    <w:div w:id="896672180">
      <w:bodyDiv w:val="1"/>
      <w:marLeft w:val="0"/>
      <w:marRight w:val="0"/>
      <w:marTop w:val="0"/>
      <w:marBottom w:val="0"/>
      <w:divBdr>
        <w:top w:val="none" w:sz="0" w:space="0" w:color="auto"/>
        <w:left w:val="none" w:sz="0" w:space="0" w:color="auto"/>
        <w:bottom w:val="none" w:sz="0" w:space="0" w:color="auto"/>
        <w:right w:val="none" w:sz="0" w:space="0" w:color="auto"/>
      </w:divBdr>
    </w:div>
    <w:div w:id="896740943">
      <w:bodyDiv w:val="1"/>
      <w:marLeft w:val="0"/>
      <w:marRight w:val="0"/>
      <w:marTop w:val="0"/>
      <w:marBottom w:val="0"/>
      <w:divBdr>
        <w:top w:val="none" w:sz="0" w:space="0" w:color="auto"/>
        <w:left w:val="none" w:sz="0" w:space="0" w:color="auto"/>
        <w:bottom w:val="none" w:sz="0" w:space="0" w:color="auto"/>
        <w:right w:val="none" w:sz="0" w:space="0" w:color="auto"/>
      </w:divBdr>
    </w:div>
    <w:div w:id="896741070">
      <w:bodyDiv w:val="1"/>
      <w:marLeft w:val="0"/>
      <w:marRight w:val="0"/>
      <w:marTop w:val="0"/>
      <w:marBottom w:val="0"/>
      <w:divBdr>
        <w:top w:val="none" w:sz="0" w:space="0" w:color="auto"/>
        <w:left w:val="none" w:sz="0" w:space="0" w:color="auto"/>
        <w:bottom w:val="none" w:sz="0" w:space="0" w:color="auto"/>
        <w:right w:val="none" w:sz="0" w:space="0" w:color="auto"/>
      </w:divBdr>
    </w:div>
    <w:div w:id="896818860">
      <w:bodyDiv w:val="1"/>
      <w:marLeft w:val="0"/>
      <w:marRight w:val="0"/>
      <w:marTop w:val="0"/>
      <w:marBottom w:val="0"/>
      <w:divBdr>
        <w:top w:val="none" w:sz="0" w:space="0" w:color="auto"/>
        <w:left w:val="none" w:sz="0" w:space="0" w:color="auto"/>
        <w:bottom w:val="none" w:sz="0" w:space="0" w:color="auto"/>
        <w:right w:val="none" w:sz="0" w:space="0" w:color="auto"/>
      </w:divBdr>
    </w:div>
    <w:div w:id="896937486">
      <w:bodyDiv w:val="1"/>
      <w:marLeft w:val="0"/>
      <w:marRight w:val="0"/>
      <w:marTop w:val="0"/>
      <w:marBottom w:val="0"/>
      <w:divBdr>
        <w:top w:val="none" w:sz="0" w:space="0" w:color="auto"/>
        <w:left w:val="none" w:sz="0" w:space="0" w:color="auto"/>
        <w:bottom w:val="none" w:sz="0" w:space="0" w:color="auto"/>
        <w:right w:val="none" w:sz="0" w:space="0" w:color="auto"/>
      </w:divBdr>
    </w:div>
    <w:div w:id="896941805">
      <w:bodyDiv w:val="1"/>
      <w:marLeft w:val="0"/>
      <w:marRight w:val="0"/>
      <w:marTop w:val="0"/>
      <w:marBottom w:val="0"/>
      <w:divBdr>
        <w:top w:val="none" w:sz="0" w:space="0" w:color="auto"/>
        <w:left w:val="none" w:sz="0" w:space="0" w:color="auto"/>
        <w:bottom w:val="none" w:sz="0" w:space="0" w:color="auto"/>
        <w:right w:val="none" w:sz="0" w:space="0" w:color="auto"/>
      </w:divBdr>
    </w:div>
    <w:div w:id="896942341">
      <w:bodyDiv w:val="1"/>
      <w:marLeft w:val="0"/>
      <w:marRight w:val="0"/>
      <w:marTop w:val="0"/>
      <w:marBottom w:val="0"/>
      <w:divBdr>
        <w:top w:val="none" w:sz="0" w:space="0" w:color="auto"/>
        <w:left w:val="none" w:sz="0" w:space="0" w:color="auto"/>
        <w:bottom w:val="none" w:sz="0" w:space="0" w:color="auto"/>
        <w:right w:val="none" w:sz="0" w:space="0" w:color="auto"/>
      </w:divBdr>
    </w:div>
    <w:div w:id="897011153">
      <w:bodyDiv w:val="1"/>
      <w:marLeft w:val="0"/>
      <w:marRight w:val="0"/>
      <w:marTop w:val="0"/>
      <w:marBottom w:val="0"/>
      <w:divBdr>
        <w:top w:val="none" w:sz="0" w:space="0" w:color="auto"/>
        <w:left w:val="none" w:sz="0" w:space="0" w:color="auto"/>
        <w:bottom w:val="none" w:sz="0" w:space="0" w:color="auto"/>
        <w:right w:val="none" w:sz="0" w:space="0" w:color="auto"/>
      </w:divBdr>
    </w:div>
    <w:div w:id="897012546">
      <w:bodyDiv w:val="1"/>
      <w:marLeft w:val="0"/>
      <w:marRight w:val="0"/>
      <w:marTop w:val="0"/>
      <w:marBottom w:val="0"/>
      <w:divBdr>
        <w:top w:val="none" w:sz="0" w:space="0" w:color="auto"/>
        <w:left w:val="none" w:sz="0" w:space="0" w:color="auto"/>
        <w:bottom w:val="none" w:sz="0" w:space="0" w:color="auto"/>
        <w:right w:val="none" w:sz="0" w:space="0" w:color="auto"/>
      </w:divBdr>
    </w:div>
    <w:div w:id="897057699">
      <w:bodyDiv w:val="1"/>
      <w:marLeft w:val="0"/>
      <w:marRight w:val="0"/>
      <w:marTop w:val="0"/>
      <w:marBottom w:val="0"/>
      <w:divBdr>
        <w:top w:val="none" w:sz="0" w:space="0" w:color="auto"/>
        <w:left w:val="none" w:sz="0" w:space="0" w:color="auto"/>
        <w:bottom w:val="none" w:sz="0" w:space="0" w:color="auto"/>
        <w:right w:val="none" w:sz="0" w:space="0" w:color="auto"/>
      </w:divBdr>
    </w:div>
    <w:div w:id="897087401">
      <w:bodyDiv w:val="1"/>
      <w:marLeft w:val="0"/>
      <w:marRight w:val="0"/>
      <w:marTop w:val="0"/>
      <w:marBottom w:val="0"/>
      <w:divBdr>
        <w:top w:val="none" w:sz="0" w:space="0" w:color="auto"/>
        <w:left w:val="none" w:sz="0" w:space="0" w:color="auto"/>
        <w:bottom w:val="none" w:sz="0" w:space="0" w:color="auto"/>
        <w:right w:val="none" w:sz="0" w:space="0" w:color="auto"/>
      </w:divBdr>
    </w:div>
    <w:div w:id="897130391">
      <w:bodyDiv w:val="1"/>
      <w:marLeft w:val="0"/>
      <w:marRight w:val="0"/>
      <w:marTop w:val="0"/>
      <w:marBottom w:val="0"/>
      <w:divBdr>
        <w:top w:val="none" w:sz="0" w:space="0" w:color="auto"/>
        <w:left w:val="none" w:sz="0" w:space="0" w:color="auto"/>
        <w:bottom w:val="none" w:sz="0" w:space="0" w:color="auto"/>
        <w:right w:val="none" w:sz="0" w:space="0" w:color="auto"/>
      </w:divBdr>
    </w:div>
    <w:div w:id="897205181">
      <w:bodyDiv w:val="1"/>
      <w:marLeft w:val="0"/>
      <w:marRight w:val="0"/>
      <w:marTop w:val="0"/>
      <w:marBottom w:val="0"/>
      <w:divBdr>
        <w:top w:val="none" w:sz="0" w:space="0" w:color="auto"/>
        <w:left w:val="none" w:sz="0" w:space="0" w:color="auto"/>
        <w:bottom w:val="none" w:sz="0" w:space="0" w:color="auto"/>
        <w:right w:val="none" w:sz="0" w:space="0" w:color="auto"/>
      </w:divBdr>
    </w:div>
    <w:div w:id="897206890">
      <w:bodyDiv w:val="1"/>
      <w:marLeft w:val="0"/>
      <w:marRight w:val="0"/>
      <w:marTop w:val="0"/>
      <w:marBottom w:val="0"/>
      <w:divBdr>
        <w:top w:val="none" w:sz="0" w:space="0" w:color="auto"/>
        <w:left w:val="none" w:sz="0" w:space="0" w:color="auto"/>
        <w:bottom w:val="none" w:sz="0" w:space="0" w:color="auto"/>
        <w:right w:val="none" w:sz="0" w:space="0" w:color="auto"/>
      </w:divBdr>
    </w:div>
    <w:div w:id="897277254">
      <w:bodyDiv w:val="1"/>
      <w:marLeft w:val="0"/>
      <w:marRight w:val="0"/>
      <w:marTop w:val="0"/>
      <w:marBottom w:val="0"/>
      <w:divBdr>
        <w:top w:val="none" w:sz="0" w:space="0" w:color="auto"/>
        <w:left w:val="none" w:sz="0" w:space="0" w:color="auto"/>
        <w:bottom w:val="none" w:sz="0" w:space="0" w:color="auto"/>
        <w:right w:val="none" w:sz="0" w:space="0" w:color="auto"/>
      </w:divBdr>
    </w:div>
    <w:div w:id="897280494">
      <w:bodyDiv w:val="1"/>
      <w:marLeft w:val="0"/>
      <w:marRight w:val="0"/>
      <w:marTop w:val="0"/>
      <w:marBottom w:val="0"/>
      <w:divBdr>
        <w:top w:val="none" w:sz="0" w:space="0" w:color="auto"/>
        <w:left w:val="none" w:sz="0" w:space="0" w:color="auto"/>
        <w:bottom w:val="none" w:sz="0" w:space="0" w:color="auto"/>
        <w:right w:val="none" w:sz="0" w:space="0" w:color="auto"/>
      </w:divBdr>
    </w:div>
    <w:div w:id="897284891">
      <w:bodyDiv w:val="1"/>
      <w:marLeft w:val="0"/>
      <w:marRight w:val="0"/>
      <w:marTop w:val="0"/>
      <w:marBottom w:val="0"/>
      <w:divBdr>
        <w:top w:val="none" w:sz="0" w:space="0" w:color="auto"/>
        <w:left w:val="none" w:sz="0" w:space="0" w:color="auto"/>
        <w:bottom w:val="none" w:sz="0" w:space="0" w:color="auto"/>
        <w:right w:val="none" w:sz="0" w:space="0" w:color="auto"/>
      </w:divBdr>
    </w:div>
    <w:div w:id="897328014">
      <w:bodyDiv w:val="1"/>
      <w:marLeft w:val="0"/>
      <w:marRight w:val="0"/>
      <w:marTop w:val="0"/>
      <w:marBottom w:val="0"/>
      <w:divBdr>
        <w:top w:val="none" w:sz="0" w:space="0" w:color="auto"/>
        <w:left w:val="none" w:sz="0" w:space="0" w:color="auto"/>
        <w:bottom w:val="none" w:sz="0" w:space="0" w:color="auto"/>
        <w:right w:val="none" w:sz="0" w:space="0" w:color="auto"/>
      </w:divBdr>
    </w:div>
    <w:div w:id="897404114">
      <w:bodyDiv w:val="1"/>
      <w:marLeft w:val="0"/>
      <w:marRight w:val="0"/>
      <w:marTop w:val="0"/>
      <w:marBottom w:val="0"/>
      <w:divBdr>
        <w:top w:val="none" w:sz="0" w:space="0" w:color="auto"/>
        <w:left w:val="none" w:sz="0" w:space="0" w:color="auto"/>
        <w:bottom w:val="none" w:sz="0" w:space="0" w:color="auto"/>
        <w:right w:val="none" w:sz="0" w:space="0" w:color="auto"/>
      </w:divBdr>
    </w:div>
    <w:div w:id="897518063">
      <w:bodyDiv w:val="1"/>
      <w:marLeft w:val="0"/>
      <w:marRight w:val="0"/>
      <w:marTop w:val="0"/>
      <w:marBottom w:val="0"/>
      <w:divBdr>
        <w:top w:val="none" w:sz="0" w:space="0" w:color="auto"/>
        <w:left w:val="none" w:sz="0" w:space="0" w:color="auto"/>
        <w:bottom w:val="none" w:sz="0" w:space="0" w:color="auto"/>
        <w:right w:val="none" w:sz="0" w:space="0" w:color="auto"/>
      </w:divBdr>
    </w:div>
    <w:div w:id="897521952">
      <w:bodyDiv w:val="1"/>
      <w:marLeft w:val="0"/>
      <w:marRight w:val="0"/>
      <w:marTop w:val="0"/>
      <w:marBottom w:val="0"/>
      <w:divBdr>
        <w:top w:val="none" w:sz="0" w:space="0" w:color="auto"/>
        <w:left w:val="none" w:sz="0" w:space="0" w:color="auto"/>
        <w:bottom w:val="none" w:sz="0" w:space="0" w:color="auto"/>
        <w:right w:val="none" w:sz="0" w:space="0" w:color="auto"/>
      </w:divBdr>
    </w:div>
    <w:div w:id="897589325">
      <w:bodyDiv w:val="1"/>
      <w:marLeft w:val="0"/>
      <w:marRight w:val="0"/>
      <w:marTop w:val="0"/>
      <w:marBottom w:val="0"/>
      <w:divBdr>
        <w:top w:val="none" w:sz="0" w:space="0" w:color="auto"/>
        <w:left w:val="none" w:sz="0" w:space="0" w:color="auto"/>
        <w:bottom w:val="none" w:sz="0" w:space="0" w:color="auto"/>
        <w:right w:val="none" w:sz="0" w:space="0" w:color="auto"/>
      </w:divBdr>
    </w:div>
    <w:div w:id="897712481">
      <w:bodyDiv w:val="1"/>
      <w:marLeft w:val="0"/>
      <w:marRight w:val="0"/>
      <w:marTop w:val="0"/>
      <w:marBottom w:val="0"/>
      <w:divBdr>
        <w:top w:val="none" w:sz="0" w:space="0" w:color="auto"/>
        <w:left w:val="none" w:sz="0" w:space="0" w:color="auto"/>
        <w:bottom w:val="none" w:sz="0" w:space="0" w:color="auto"/>
        <w:right w:val="none" w:sz="0" w:space="0" w:color="auto"/>
      </w:divBdr>
    </w:div>
    <w:div w:id="897739060">
      <w:bodyDiv w:val="1"/>
      <w:marLeft w:val="0"/>
      <w:marRight w:val="0"/>
      <w:marTop w:val="0"/>
      <w:marBottom w:val="0"/>
      <w:divBdr>
        <w:top w:val="none" w:sz="0" w:space="0" w:color="auto"/>
        <w:left w:val="none" w:sz="0" w:space="0" w:color="auto"/>
        <w:bottom w:val="none" w:sz="0" w:space="0" w:color="auto"/>
        <w:right w:val="none" w:sz="0" w:space="0" w:color="auto"/>
      </w:divBdr>
    </w:div>
    <w:div w:id="897741059">
      <w:bodyDiv w:val="1"/>
      <w:marLeft w:val="0"/>
      <w:marRight w:val="0"/>
      <w:marTop w:val="0"/>
      <w:marBottom w:val="0"/>
      <w:divBdr>
        <w:top w:val="none" w:sz="0" w:space="0" w:color="auto"/>
        <w:left w:val="none" w:sz="0" w:space="0" w:color="auto"/>
        <w:bottom w:val="none" w:sz="0" w:space="0" w:color="auto"/>
        <w:right w:val="none" w:sz="0" w:space="0" w:color="auto"/>
      </w:divBdr>
    </w:div>
    <w:div w:id="897744696">
      <w:bodyDiv w:val="1"/>
      <w:marLeft w:val="0"/>
      <w:marRight w:val="0"/>
      <w:marTop w:val="0"/>
      <w:marBottom w:val="0"/>
      <w:divBdr>
        <w:top w:val="none" w:sz="0" w:space="0" w:color="auto"/>
        <w:left w:val="none" w:sz="0" w:space="0" w:color="auto"/>
        <w:bottom w:val="none" w:sz="0" w:space="0" w:color="auto"/>
        <w:right w:val="none" w:sz="0" w:space="0" w:color="auto"/>
      </w:divBdr>
    </w:div>
    <w:div w:id="897857216">
      <w:bodyDiv w:val="1"/>
      <w:marLeft w:val="0"/>
      <w:marRight w:val="0"/>
      <w:marTop w:val="0"/>
      <w:marBottom w:val="0"/>
      <w:divBdr>
        <w:top w:val="none" w:sz="0" w:space="0" w:color="auto"/>
        <w:left w:val="none" w:sz="0" w:space="0" w:color="auto"/>
        <w:bottom w:val="none" w:sz="0" w:space="0" w:color="auto"/>
        <w:right w:val="none" w:sz="0" w:space="0" w:color="auto"/>
      </w:divBdr>
    </w:div>
    <w:div w:id="897937091">
      <w:bodyDiv w:val="1"/>
      <w:marLeft w:val="0"/>
      <w:marRight w:val="0"/>
      <w:marTop w:val="0"/>
      <w:marBottom w:val="0"/>
      <w:divBdr>
        <w:top w:val="none" w:sz="0" w:space="0" w:color="auto"/>
        <w:left w:val="none" w:sz="0" w:space="0" w:color="auto"/>
        <w:bottom w:val="none" w:sz="0" w:space="0" w:color="auto"/>
        <w:right w:val="none" w:sz="0" w:space="0" w:color="auto"/>
      </w:divBdr>
    </w:div>
    <w:div w:id="897978991">
      <w:bodyDiv w:val="1"/>
      <w:marLeft w:val="0"/>
      <w:marRight w:val="0"/>
      <w:marTop w:val="0"/>
      <w:marBottom w:val="0"/>
      <w:divBdr>
        <w:top w:val="none" w:sz="0" w:space="0" w:color="auto"/>
        <w:left w:val="none" w:sz="0" w:space="0" w:color="auto"/>
        <w:bottom w:val="none" w:sz="0" w:space="0" w:color="auto"/>
        <w:right w:val="none" w:sz="0" w:space="0" w:color="auto"/>
      </w:divBdr>
    </w:div>
    <w:div w:id="897983004">
      <w:bodyDiv w:val="1"/>
      <w:marLeft w:val="0"/>
      <w:marRight w:val="0"/>
      <w:marTop w:val="0"/>
      <w:marBottom w:val="0"/>
      <w:divBdr>
        <w:top w:val="none" w:sz="0" w:space="0" w:color="auto"/>
        <w:left w:val="none" w:sz="0" w:space="0" w:color="auto"/>
        <w:bottom w:val="none" w:sz="0" w:space="0" w:color="auto"/>
        <w:right w:val="none" w:sz="0" w:space="0" w:color="auto"/>
      </w:divBdr>
    </w:div>
    <w:div w:id="898058704">
      <w:bodyDiv w:val="1"/>
      <w:marLeft w:val="0"/>
      <w:marRight w:val="0"/>
      <w:marTop w:val="0"/>
      <w:marBottom w:val="0"/>
      <w:divBdr>
        <w:top w:val="none" w:sz="0" w:space="0" w:color="auto"/>
        <w:left w:val="none" w:sz="0" w:space="0" w:color="auto"/>
        <w:bottom w:val="none" w:sz="0" w:space="0" w:color="auto"/>
        <w:right w:val="none" w:sz="0" w:space="0" w:color="auto"/>
      </w:divBdr>
    </w:div>
    <w:div w:id="898129664">
      <w:bodyDiv w:val="1"/>
      <w:marLeft w:val="0"/>
      <w:marRight w:val="0"/>
      <w:marTop w:val="0"/>
      <w:marBottom w:val="0"/>
      <w:divBdr>
        <w:top w:val="none" w:sz="0" w:space="0" w:color="auto"/>
        <w:left w:val="none" w:sz="0" w:space="0" w:color="auto"/>
        <w:bottom w:val="none" w:sz="0" w:space="0" w:color="auto"/>
        <w:right w:val="none" w:sz="0" w:space="0" w:color="auto"/>
      </w:divBdr>
    </w:div>
    <w:div w:id="898246357">
      <w:bodyDiv w:val="1"/>
      <w:marLeft w:val="0"/>
      <w:marRight w:val="0"/>
      <w:marTop w:val="0"/>
      <w:marBottom w:val="0"/>
      <w:divBdr>
        <w:top w:val="none" w:sz="0" w:space="0" w:color="auto"/>
        <w:left w:val="none" w:sz="0" w:space="0" w:color="auto"/>
        <w:bottom w:val="none" w:sz="0" w:space="0" w:color="auto"/>
        <w:right w:val="none" w:sz="0" w:space="0" w:color="auto"/>
      </w:divBdr>
    </w:div>
    <w:div w:id="898249963">
      <w:bodyDiv w:val="1"/>
      <w:marLeft w:val="0"/>
      <w:marRight w:val="0"/>
      <w:marTop w:val="0"/>
      <w:marBottom w:val="0"/>
      <w:divBdr>
        <w:top w:val="none" w:sz="0" w:space="0" w:color="auto"/>
        <w:left w:val="none" w:sz="0" w:space="0" w:color="auto"/>
        <w:bottom w:val="none" w:sz="0" w:space="0" w:color="auto"/>
        <w:right w:val="none" w:sz="0" w:space="0" w:color="auto"/>
      </w:divBdr>
    </w:div>
    <w:div w:id="898319795">
      <w:bodyDiv w:val="1"/>
      <w:marLeft w:val="0"/>
      <w:marRight w:val="0"/>
      <w:marTop w:val="0"/>
      <w:marBottom w:val="0"/>
      <w:divBdr>
        <w:top w:val="none" w:sz="0" w:space="0" w:color="auto"/>
        <w:left w:val="none" w:sz="0" w:space="0" w:color="auto"/>
        <w:bottom w:val="none" w:sz="0" w:space="0" w:color="auto"/>
        <w:right w:val="none" w:sz="0" w:space="0" w:color="auto"/>
      </w:divBdr>
    </w:div>
    <w:div w:id="898323316">
      <w:bodyDiv w:val="1"/>
      <w:marLeft w:val="0"/>
      <w:marRight w:val="0"/>
      <w:marTop w:val="0"/>
      <w:marBottom w:val="0"/>
      <w:divBdr>
        <w:top w:val="none" w:sz="0" w:space="0" w:color="auto"/>
        <w:left w:val="none" w:sz="0" w:space="0" w:color="auto"/>
        <w:bottom w:val="none" w:sz="0" w:space="0" w:color="auto"/>
        <w:right w:val="none" w:sz="0" w:space="0" w:color="auto"/>
      </w:divBdr>
    </w:div>
    <w:div w:id="898394854">
      <w:bodyDiv w:val="1"/>
      <w:marLeft w:val="0"/>
      <w:marRight w:val="0"/>
      <w:marTop w:val="0"/>
      <w:marBottom w:val="0"/>
      <w:divBdr>
        <w:top w:val="none" w:sz="0" w:space="0" w:color="auto"/>
        <w:left w:val="none" w:sz="0" w:space="0" w:color="auto"/>
        <w:bottom w:val="none" w:sz="0" w:space="0" w:color="auto"/>
        <w:right w:val="none" w:sz="0" w:space="0" w:color="auto"/>
      </w:divBdr>
    </w:div>
    <w:div w:id="898440047">
      <w:bodyDiv w:val="1"/>
      <w:marLeft w:val="0"/>
      <w:marRight w:val="0"/>
      <w:marTop w:val="0"/>
      <w:marBottom w:val="0"/>
      <w:divBdr>
        <w:top w:val="none" w:sz="0" w:space="0" w:color="auto"/>
        <w:left w:val="none" w:sz="0" w:space="0" w:color="auto"/>
        <w:bottom w:val="none" w:sz="0" w:space="0" w:color="auto"/>
        <w:right w:val="none" w:sz="0" w:space="0" w:color="auto"/>
      </w:divBdr>
    </w:div>
    <w:div w:id="898595385">
      <w:bodyDiv w:val="1"/>
      <w:marLeft w:val="0"/>
      <w:marRight w:val="0"/>
      <w:marTop w:val="0"/>
      <w:marBottom w:val="0"/>
      <w:divBdr>
        <w:top w:val="none" w:sz="0" w:space="0" w:color="auto"/>
        <w:left w:val="none" w:sz="0" w:space="0" w:color="auto"/>
        <w:bottom w:val="none" w:sz="0" w:space="0" w:color="auto"/>
        <w:right w:val="none" w:sz="0" w:space="0" w:color="auto"/>
      </w:divBdr>
    </w:div>
    <w:div w:id="898633357">
      <w:bodyDiv w:val="1"/>
      <w:marLeft w:val="0"/>
      <w:marRight w:val="0"/>
      <w:marTop w:val="0"/>
      <w:marBottom w:val="0"/>
      <w:divBdr>
        <w:top w:val="none" w:sz="0" w:space="0" w:color="auto"/>
        <w:left w:val="none" w:sz="0" w:space="0" w:color="auto"/>
        <w:bottom w:val="none" w:sz="0" w:space="0" w:color="auto"/>
        <w:right w:val="none" w:sz="0" w:space="0" w:color="auto"/>
      </w:divBdr>
    </w:div>
    <w:div w:id="898788541">
      <w:bodyDiv w:val="1"/>
      <w:marLeft w:val="0"/>
      <w:marRight w:val="0"/>
      <w:marTop w:val="0"/>
      <w:marBottom w:val="0"/>
      <w:divBdr>
        <w:top w:val="none" w:sz="0" w:space="0" w:color="auto"/>
        <w:left w:val="none" w:sz="0" w:space="0" w:color="auto"/>
        <w:bottom w:val="none" w:sz="0" w:space="0" w:color="auto"/>
        <w:right w:val="none" w:sz="0" w:space="0" w:color="auto"/>
      </w:divBdr>
    </w:div>
    <w:div w:id="898829248">
      <w:bodyDiv w:val="1"/>
      <w:marLeft w:val="0"/>
      <w:marRight w:val="0"/>
      <w:marTop w:val="0"/>
      <w:marBottom w:val="0"/>
      <w:divBdr>
        <w:top w:val="none" w:sz="0" w:space="0" w:color="auto"/>
        <w:left w:val="none" w:sz="0" w:space="0" w:color="auto"/>
        <w:bottom w:val="none" w:sz="0" w:space="0" w:color="auto"/>
        <w:right w:val="none" w:sz="0" w:space="0" w:color="auto"/>
      </w:divBdr>
    </w:div>
    <w:div w:id="898832131">
      <w:bodyDiv w:val="1"/>
      <w:marLeft w:val="0"/>
      <w:marRight w:val="0"/>
      <w:marTop w:val="0"/>
      <w:marBottom w:val="0"/>
      <w:divBdr>
        <w:top w:val="none" w:sz="0" w:space="0" w:color="auto"/>
        <w:left w:val="none" w:sz="0" w:space="0" w:color="auto"/>
        <w:bottom w:val="none" w:sz="0" w:space="0" w:color="auto"/>
        <w:right w:val="none" w:sz="0" w:space="0" w:color="auto"/>
      </w:divBdr>
    </w:div>
    <w:div w:id="898857334">
      <w:bodyDiv w:val="1"/>
      <w:marLeft w:val="0"/>
      <w:marRight w:val="0"/>
      <w:marTop w:val="0"/>
      <w:marBottom w:val="0"/>
      <w:divBdr>
        <w:top w:val="none" w:sz="0" w:space="0" w:color="auto"/>
        <w:left w:val="none" w:sz="0" w:space="0" w:color="auto"/>
        <w:bottom w:val="none" w:sz="0" w:space="0" w:color="auto"/>
        <w:right w:val="none" w:sz="0" w:space="0" w:color="auto"/>
      </w:divBdr>
    </w:div>
    <w:div w:id="898904198">
      <w:bodyDiv w:val="1"/>
      <w:marLeft w:val="0"/>
      <w:marRight w:val="0"/>
      <w:marTop w:val="0"/>
      <w:marBottom w:val="0"/>
      <w:divBdr>
        <w:top w:val="none" w:sz="0" w:space="0" w:color="auto"/>
        <w:left w:val="none" w:sz="0" w:space="0" w:color="auto"/>
        <w:bottom w:val="none" w:sz="0" w:space="0" w:color="auto"/>
        <w:right w:val="none" w:sz="0" w:space="0" w:color="auto"/>
      </w:divBdr>
    </w:div>
    <w:div w:id="898905507">
      <w:bodyDiv w:val="1"/>
      <w:marLeft w:val="0"/>
      <w:marRight w:val="0"/>
      <w:marTop w:val="0"/>
      <w:marBottom w:val="0"/>
      <w:divBdr>
        <w:top w:val="none" w:sz="0" w:space="0" w:color="auto"/>
        <w:left w:val="none" w:sz="0" w:space="0" w:color="auto"/>
        <w:bottom w:val="none" w:sz="0" w:space="0" w:color="auto"/>
        <w:right w:val="none" w:sz="0" w:space="0" w:color="auto"/>
      </w:divBdr>
    </w:div>
    <w:div w:id="898907982">
      <w:bodyDiv w:val="1"/>
      <w:marLeft w:val="0"/>
      <w:marRight w:val="0"/>
      <w:marTop w:val="0"/>
      <w:marBottom w:val="0"/>
      <w:divBdr>
        <w:top w:val="none" w:sz="0" w:space="0" w:color="auto"/>
        <w:left w:val="none" w:sz="0" w:space="0" w:color="auto"/>
        <w:bottom w:val="none" w:sz="0" w:space="0" w:color="auto"/>
        <w:right w:val="none" w:sz="0" w:space="0" w:color="auto"/>
      </w:divBdr>
    </w:div>
    <w:div w:id="899024101">
      <w:bodyDiv w:val="1"/>
      <w:marLeft w:val="0"/>
      <w:marRight w:val="0"/>
      <w:marTop w:val="0"/>
      <w:marBottom w:val="0"/>
      <w:divBdr>
        <w:top w:val="none" w:sz="0" w:space="0" w:color="auto"/>
        <w:left w:val="none" w:sz="0" w:space="0" w:color="auto"/>
        <w:bottom w:val="none" w:sz="0" w:space="0" w:color="auto"/>
        <w:right w:val="none" w:sz="0" w:space="0" w:color="auto"/>
      </w:divBdr>
    </w:div>
    <w:div w:id="899052737">
      <w:bodyDiv w:val="1"/>
      <w:marLeft w:val="0"/>
      <w:marRight w:val="0"/>
      <w:marTop w:val="0"/>
      <w:marBottom w:val="0"/>
      <w:divBdr>
        <w:top w:val="none" w:sz="0" w:space="0" w:color="auto"/>
        <w:left w:val="none" w:sz="0" w:space="0" w:color="auto"/>
        <w:bottom w:val="none" w:sz="0" w:space="0" w:color="auto"/>
        <w:right w:val="none" w:sz="0" w:space="0" w:color="auto"/>
      </w:divBdr>
    </w:div>
    <w:div w:id="899055395">
      <w:bodyDiv w:val="1"/>
      <w:marLeft w:val="0"/>
      <w:marRight w:val="0"/>
      <w:marTop w:val="0"/>
      <w:marBottom w:val="0"/>
      <w:divBdr>
        <w:top w:val="none" w:sz="0" w:space="0" w:color="auto"/>
        <w:left w:val="none" w:sz="0" w:space="0" w:color="auto"/>
        <w:bottom w:val="none" w:sz="0" w:space="0" w:color="auto"/>
        <w:right w:val="none" w:sz="0" w:space="0" w:color="auto"/>
      </w:divBdr>
    </w:div>
    <w:div w:id="899097247">
      <w:bodyDiv w:val="1"/>
      <w:marLeft w:val="0"/>
      <w:marRight w:val="0"/>
      <w:marTop w:val="0"/>
      <w:marBottom w:val="0"/>
      <w:divBdr>
        <w:top w:val="none" w:sz="0" w:space="0" w:color="auto"/>
        <w:left w:val="none" w:sz="0" w:space="0" w:color="auto"/>
        <w:bottom w:val="none" w:sz="0" w:space="0" w:color="auto"/>
        <w:right w:val="none" w:sz="0" w:space="0" w:color="auto"/>
      </w:divBdr>
    </w:div>
    <w:div w:id="899243761">
      <w:bodyDiv w:val="1"/>
      <w:marLeft w:val="0"/>
      <w:marRight w:val="0"/>
      <w:marTop w:val="0"/>
      <w:marBottom w:val="0"/>
      <w:divBdr>
        <w:top w:val="none" w:sz="0" w:space="0" w:color="auto"/>
        <w:left w:val="none" w:sz="0" w:space="0" w:color="auto"/>
        <w:bottom w:val="none" w:sz="0" w:space="0" w:color="auto"/>
        <w:right w:val="none" w:sz="0" w:space="0" w:color="auto"/>
      </w:divBdr>
    </w:div>
    <w:div w:id="899243969">
      <w:bodyDiv w:val="1"/>
      <w:marLeft w:val="0"/>
      <w:marRight w:val="0"/>
      <w:marTop w:val="0"/>
      <w:marBottom w:val="0"/>
      <w:divBdr>
        <w:top w:val="none" w:sz="0" w:space="0" w:color="auto"/>
        <w:left w:val="none" w:sz="0" w:space="0" w:color="auto"/>
        <w:bottom w:val="none" w:sz="0" w:space="0" w:color="auto"/>
        <w:right w:val="none" w:sz="0" w:space="0" w:color="auto"/>
      </w:divBdr>
    </w:div>
    <w:div w:id="899250549">
      <w:bodyDiv w:val="1"/>
      <w:marLeft w:val="0"/>
      <w:marRight w:val="0"/>
      <w:marTop w:val="0"/>
      <w:marBottom w:val="0"/>
      <w:divBdr>
        <w:top w:val="none" w:sz="0" w:space="0" w:color="auto"/>
        <w:left w:val="none" w:sz="0" w:space="0" w:color="auto"/>
        <w:bottom w:val="none" w:sz="0" w:space="0" w:color="auto"/>
        <w:right w:val="none" w:sz="0" w:space="0" w:color="auto"/>
      </w:divBdr>
    </w:div>
    <w:div w:id="899251057">
      <w:bodyDiv w:val="1"/>
      <w:marLeft w:val="0"/>
      <w:marRight w:val="0"/>
      <w:marTop w:val="0"/>
      <w:marBottom w:val="0"/>
      <w:divBdr>
        <w:top w:val="none" w:sz="0" w:space="0" w:color="auto"/>
        <w:left w:val="none" w:sz="0" w:space="0" w:color="auto"/>
        <w:bottom w:val="none" w:sz="0" w:space="0" w:color="auto"/>
        <w:right w:val="none" w:sz="0" w:space="0" w:color="auto"/>
      </w:divBdr>
    </w:div>
    <w:div w:id="899285858">
      <w:bodyDiv w:val="1"/>
      <w:marLeft w:val="0"/>
      <w:marRight w:val="0"/>
      <w:marTop w:val="0"/>
      <w:marBottom w:val="0"/>
      <w:divBdr>
        <w:top w:val="none" w:sz="0" w:space="0" w:color="auto"/>
        <w:left w:val="none" w:sz="0" w:space="0" w:color="auto"/>
        <w:bottom w:val="none" w:sz="0" w:space="0" w:color="auto"/>
        <w:right w:val="none" w:sz="0" w:space="0" w:color="auto"/>
      </w:divBdr>
    </w:div>
    <w:div w:id="899363935">
      <w:bodyDiv w:val="1"/>
      <w:marLeft w:val="0"/>
      <w:marRight w:val="0"/>
      <w:marTop w:val="0"/>
      <w:marBottom w:val="0"/>
      <w:divBdr>
        <w:top w:val="none" w:sz="0" w:space="0" w:color="auto"/>
        <w:left w:val="none" w:sz="0" w:space="0" w:color="auto"/>
        <w:bottom w:val="none" w:sz="0" w:space="0" w:color="auto"/>
        <w:right w:val="none" w:sz="0" w:space="0" w:color="auto"/>
      </w:divBdr>
    </w:div>
    <w:div w:id="899486109">
      <w:bodyDiv w:val="1"/>
      <w:marLeft w:val="0"/>
      <w:marRight w:val="0"/>
      <w:marTop w:val="0"/>
      <w:marBottom w:val="0"/>
      <w:divBdr>
        <w:top w:val="none" w:sz="0" w:space="0" w:color="auto"/>
        <w:left w:val="none" w:sz="0" w:space="0" w:color="auto"/>
        <w:bottom w:val="none" w:sz="0" w:space="0" w:color="auto"/>
        <w:right w:val="none" w:sz="0" w:space="0" w:color="auto"/>
      </w:divBdr>
    </w:div>
    <w:div w:id="899486320">
      <w:bodyDiv w:val="1"/>
      <w:marLeft w:val="0"/>
      <w:marRight w:val="0"/>
      <w:marTop w:val="0"/>
      <w:marBottom w:val="0"/>
      <w:divBdr>
        <w:top w:val="none" w:sz="0" w:space="0" w:color="auto"/>
        <w:left w:val="none" w:sz="0" w:space="0" w:color="auto"/>
        <w:bottom w:val="none" w:sz="0" w:space="0" w:color="auto"/>
        <w:right w:val="none" w:sz="0" w:space="0" w:color="auto"/>
      </w:divBdr>
    </w:div>
    <w:div w:id="899511669">
      <w:bodyDiv w:val="1"/>
      <w:marLeft w:val="0"/>
      <w:marRight w:val="0"/>
      <w:marTop w:val="0"/>
      <w:marBottom w:val="0"/>
      <w:divBdr>
        <w:top w:val="none" w:sz="0" w:space="0" w:color="auto"/>
        <w:left w:val="none" w:sz="0" w:space="0" w:color="auto"/>
        <w:bottom w:val="none" w:sz="0" w:space="0" w:color="auto"/>
        <w:right w:val="none" w:sz="0" w:space="0" w:color="auto"/>
      </w:divBdr>
    </w:div>
    <w:div w:id="899636446">
      <w:bodyDiv w:val="1"/>
      <w:marLeft w:val="0"/>
      <w:marRight w:val="0"/>
      <w:marTop w:val="0"/>
      <w:marBottom w:val="0"/>
      <w:divBdr>
        <w:top w:val="none" w:sz="0" w:space="0" w:color="auto"/>
        <w:left w:val="none" w:sz="0" w:space="0" w:color="auto"/>
        <w:bottom w:val="none" w:sz="0" w:space="0" w:color="auto"/>
        <w:right w:val="none" w:sz="0" w:space="0" w:color="auto"/>
      </w:divBdr>
    </w:div>
    <w:div w:id="899750729">
      <w:bodyDiv w:val="1"/>
      <w:marLeft w:val="0"/>
      <w:marRight w:val="0"/>
      <w:marTop w:val="0"/>
      <w:marBottom w:val="0"/>
      <w:divBdr>
        <w:top w:val="none" w:sz="0" w:space="0" w:color="auto"/>
        <w:left w:val="none" w:sz="0" w:space="0" w:color="auto"/>
        <w:bottom w:val="none" w:sz="0" w:space="0" w:color="auto"/>
        <w:right w:val="none" w:sz="0" w:space="0" w:color="auto"/>
      </w:divBdr>
    </w:div>
    <w:div w:id="899750982">
      <w:bodyDiv w:val="1"/>
      <w:marLeft w:val="0"/>
      <w:marRight w:val="0"/>
      <w:marTop w:val="0"/>
      <w:marBottom w:val="0"/>
      <w:divBdr>
        <w:top w:val="none" w:sz="0" w:space="0" w:color="auto"/>
        <w:left w:val="none" w:sz="0" w:space="0" w:color="auto"/>
        <w:bottom w:val="none" w:sz="0" w:space="0" w:color="auto"/>
        <w:right w:val="none" w:sz="0" w:space="0" w:color="auto"/>
      </w:divBdr>
    </w:div>
    <w:div w:id="899824684">
      <w:bodyDiv w:val="1"/>
      <w:marLeft w:val="0"/>
      <w:marRight w:val="0"/>
      <w:marTop w:val="0"/>
      <w:marBottom w:val="0"/>
      <w:divBdr>
        <w:top w:val="none" w:sz="0" w:space="0" w:color="auto"/>
        <w:left w:val="none" w:sz="0" w:space="0" w:color="auto"/>
        <w:bottom w:val="none" w:sz="0" w:space="0" w:color="auto"/>
        <w:right w:val="none" w:sz="0" w:space="0" w:color="auto"/>
      </w:divBdr>
    </w:div>
    <w:div w:id="899825198">
      <w:bodyDiv w:val="1"/>
      <w:marLeft w:val="0"/>
      <w:marRight w:val="0"/>
      <w:marTop w:val="0"/>
      <w:marBottom w:val="0"/>
      <w:divBdr>
        <w:top w:val="none" w:sz="0" w:space="0" w:color="auto"/>
        <w:left w:val="none" w:sz="0" w:space="0" w:color="auto"/>
        <w:bottom w:val="none" w:sz="0" w:space="0" w:color="auto"/>
        <w:right w:val="none" w:sz="0" w:space="0" w:color="auto"/>
      </w:divBdr>
    </w:div>
    <w:div w:id="899942379">
      <w:bodyDiv w:val="1"/>
      <w:marLeft w:val="0"/>
      <w:marRight w:val="0"/>
      <w:marTop w:val="0"/>
      <w:marBottom w:val="0"/>
      <w:divBdr>
        <w:top w:val="none" w:sz="0" w:space="0" w:color="auto"/>
        <w:left w:val="none" w:sz="0" w:space="0" w:color="auto"/>
        <w:bottom w:val="none" w:sz="0" w:space="0" w:color="auto"/>
        <w:right w:val="none" w:sz="0" w:space="0" w:color="auto"/>
      </w:divBdr>
    </w:div>
    <w:div w:id="899948430">
      <w:bodyDiv w:val="1"/>
      <w:marLeft w:val="0"/>
      <w:marRight w:val="0"/>
      <w:marTop w:val="0"/>
      <w:marBottom w:val="0"/>
      <w:divBdr>
        <w:top w:val="none" w:sz="0" w:space="0" w:color="auto"/>
        <w:left w:val="none" w:sz="0" w:space="0" w:color="auto"/>
        <w:bottom w:val="none" w:sz="0" w:space="0" w:color="auto"/>
        <w:right w:val="none" w:sz="0" w:space="0" w:color="auto"/>
      </w:divBdr>
    </w:div>
    <w:div w:id="900092964">
      <w:bodyDiv w:val="1"/>
      <w:marLeft w:val="0"/>
      <w:marRight w:val="0"/>
      <w:marTop w:val="0"/>
      <w:marBottom w:val="0"/>
      <w:divBdr>
        <w:top w:val="none" w:sz="0" w:space="0" w:color="auto"/>
        <w:left w:val="none" w:sz="0" w:space="0" w:color="auto"/>
        <w:bottom w:val="none" w:sz="0" w:space="0" w:color="auto"/>
        <w:right w:val="none" w:sz="0" w:space="0" w:color="auto"/>
      </w:divBdr>
    </w:div>
    <w:div w:id="900094118">
      <w:bodyDiv w:val="1"/>
      <w:marLeft w:val="0"/>
      <w:marRight w:val="0"/>
      <w:marTop w:val="0"/>
      <w:marBottom w:val="0"/>
      <w:divBdr>
        <w:top w:val="none" w:sz="0" w:space="0" w:color="auto"/>
        <w:left w:val="none" w:sz="0" w:space="0" w:color="auto"/>
        <w:bottom w:val="none" w:sz="0" w:space="0" w:color="auto"/>
        <w:right w:val="none" w:sz="0" w:space="0" w:color="auto"/>
      </w:divBdr>
    </w:div>
    <w:div w:id="900140355">
      <w:bodyDiv w:val="1"/>
      <w:marLeft w:val="0"/>
      <w:marRight w:val="0"/>
      <w:marTop w:val="0"/>
      <w:marBottom w:val="0"/>
      <w:divBdr>
        <w:top w:val="none" w:sz="0" w:space="0" w:color="auto"/>
        <w:left w:val="none" w:sz="0" w:space="0" w:color="auto"/>
        <w:bottom w:val="none" w:sz="0" w:space="0" w:color="auto"/>
        <w:right w:val="none" w:sz="0" w:space="0" w:color="auto"/>
      </w:divBdr>
    </w:div>
    <w:div w:id="900168862">
      <w:bodyDiv w:val="1"/>
      <w:marLeft w:val="0"/>
      <w:marRight w:val="0"/>
      <w:marTop w:val="0"/>
      <w:marBottom w:val="0"/>
      <w:divBdr>
        <w:top w:val="none" w:sz="0" w:space="0" w:color="auto"/>
        <w:left w:val="none" w:sz="0" w:space="0" w:color="auto"/>
        <w:bottom w:val="none" w:sz="0" w:space="0" w:color="auto"/>
        <w:right w:val="none" w:sz="0" w:space="0" w:color="auto"/>
      </w:divBdr>
    </w:div>
    <w:div w:id="900169153">
      <w:bodyDiv w:val="1"/>
      <w:marLeft w:val="0"/>
      <w:marRight w:val="0"/>
      <w:marTop w:val="0"/>
      <w:marBottom w:val="0"/>
      <w:divBdr>
        <w:top w:val="none" w:sz="0" w:space="0" w:color="auto"/>
        <w:left w:val="none" w:sz="0" w:space="0" w:color="auto"/>
        <w:bottom w:val="none" w:sz="0" w:space="0" w:color="auto"/>
        <w:right w:val="none" w:sz="0" w:space="0" w:color="auto"/>
      </w:divBdr>
    </w:div>
    <w:div w:id="900213717">
      <w:bodyDiv w:val="1"/>
      <w:marLeft w:val="0"/>
      <w:marRight w:val="0"/>
      <w:marTop w:val="0"/>
      <w:marBottom w:val="0"/>
      <w:divBdr>
        <w:top w:val="none" w:sz="0" w:space="0" w:color="auto"/>
        <w:left w:val="none" w:sz="0" w:space="0" w:color="auto"/>
        <w:bottom w:val="none" w:sz="0" w:space="0" w:color="auto"/>
        <w:right w:val="none" w:sz="0" w:space="0" w:color="auto"/>
      </w:divBdr>
    </w:div>
    <w:div w:id="900216219">
      <w:bodyDiv w:val="1"/>
      <w:marLeft w:val="0"/>
      <w:marRight w:val="0"/>
      <w:marTop w:val="0"/>
      <w:marBottom w:val="0"/>
      <w:divBdr>
        <w:top w:val="none" w:sz="0" w:space="0" w:color="auto"/>
        <w:left w:val="none" w:sz="0" w:space="0" w:color="auto"/>
        <w:bottom w:val="none" w:sz="0" w:space="0" w:color="auto"/>
        <w:right w:val="none" w:sz="0" w:space="0" w:color="auto"/>
      </w:divBdr>
    </w:div>
    <w:div w:id="900288432">
      <w:bodyDiv w:val="1"/>
      <w:marLeft w:val="0"/>
      <w:marRight w:val="0"/>
      <w:marTop w:val="0"/>
      <w:marBottom w:val="0"/>
      <w:divBdr>
        <w:top w:val="none" w:sz="0" w:space="0" w:color="auto"/>
        <w:left w:val="none" w:sz="0" w:space="0" w:color="auto"/>
        <w:bottom w:val="none" w:sz="0" w:space="0" w:color="auto"/>
        <w:right w:val="none" w:sz="0" w:space="0" w:color="auto"/>
      </w:divBdr>
    </w:div>
    <w:div w:id="900360789">
      <w:bodyDiv w:val="1"/>
      <w:marLeft w:val="0"/>
      <w:marRight w:val="0"/>
      <w:marTop w:val="0"/>
      <w:marBottom w:val="0"/>
      <w:divBdr>
        <w:top w:val="none" w:sz="0" w:space="0" w:color="auto"/>
        <w:left w:val="none" w:sz="0" w:space="0" w:color="auto"/>
        <w:bottom w:val="none" w:sz="0" w:space="0" w:color="auto"/>
        <w:right w:val="none" w:sz="0" w:space="0" w:color="auto"/>
      </w:divBdr>
    </w:div>
    <w:div w:id="900406878">
      <w:bodyDiv w:val="1"/>
      <w:marLeft w:val="0"/>
      <w:marRight w:val="0"/>
      <w:marTop w:val="0"/>
      <w:marBottom w:val="0"/>
      <w:divBdr>
        <w:top w:val="none" w:sz="0" w:space="0" w:color="auto"/>
        <w:left w:val="none" w:sz="0" w:space="0" w:color="auto"/>
        <w:bottom w:val="none" w:sz="0" w:space="0" w:color="auto"/>
        <w:right w:val="none" w:sz="0" w:space="0" w:color="auto"/>
      </w:divBdr>
    </w:div>
    <w:div w:id="900478477">
      <w:bodyDiv w:val="1"/>
      <w:marLeft w:val="0"/>
      <w:marRight w:val="0"/>
      <w:marTop w:val="0"/>
      <w:marBottom w:val="0"/>
      <w:divBdr>
        <w:top w:val="none" w:sz="0" w:space="0" w:color="auto"/>
        <w:left w:val="none" w:sz="0" w:space="0" w:color="auto"/>
        <w:bottom w:val="none" w:sz="0" w:space="0" w:color="auto"/>
        <w:right w:val="none" w:sz="0" w:space="0" w:color="auto"/>
      </w:divBdr>
    </w:div>
    <w:div w:id="900559905">
      <w:bodyDiv w:val="1"/>
      <w:marLeft w:val="0"/>
      <w:marRight w:val="0"/>
      <w:marTop w:val="0"/>
      <w:marBottom w:val="0"/>
      <w:divBdr>
        <w:top w:val="none" w:sz="0" w:space="0" w:color="auto"/>
        <w:left w:val="none" w:sz="0" w:space="0" w:color="auto"/>
        <w:bottom w:val="none" w:sz="0" w:space="0" w:color="auto"/>
        <w:right w:val="none" w:sz="0" w:space="0" w:color="auto"/>
      </w:divBdr>
    </w:div>
    <w:div w:id="900601636">
      <w:bodyDiv w:val="1"/>
      <w:marLeft w:val="0"/>
      <w:marRight w:val="0"/>
      <w:marTop w:val="0"/>
      <w:marBottom w:val="0"/>
      <w:divBdr>
        <w:top w:val="none" w:sz="0" w:space="0" w:color="auto"/>
        <w:left w:val="none" w:sz="0" w:space="0" w:color="auto"/>
        <w:bottom w:val="none" w:sz="0" w:space="0" w:color="auto"/>
        <w:right w:val="none" w:sz="0" w:space="0" w:color="auto"/>
      </w:divBdr>
    </w:div>
    <w:div w:id="900603775">
      <w:bodyDiv w:val="1"/>
      <w:marLeft w:val="0"/>
      <w:marRight w:val="0"/>
      <w:marTop w:val="0"/>
      <w:marBottom w:val="0"/>
      <w:divBdr>
        <w:top w:val="none" w:sz="0" w:space="0" w:color="auto"/>
        <w:left w:val="none" w:sz="0" w:space="0" w:color="auto"/>
        <w:bottom w:val="none" w:sz="0" w:space="0" w:color="auto"/>
        <w:right w:val="none" w:sz="0" w:space="0" w:color="auto"/>
      </w:divBdr>
    </w:div>
    <w:div w:id="900605209">
      <w:bodyDiv w:val="1"/>
      <w:marLeft w:val="0"/>
      <w:marRight w:val="0"/>
      <w:marTop w:val="0"/>
      <w:marBottom w:val="0"/>
      <w:divBdr>
        <w:top w:val="none" w:sz="0" w:space="0" w:color="auto"/>
        <w:left w:val="none" w:sz="0" w:space="0" w:color="auto"/>
        <w:bottom w:val="none" w:sz="0" w:space="0" w:color="auto"/>
        <w:right w:val="none" w:sz="0" w:space="0" w:color="auto"/>
      </w:divBdr>
    </w:div>
    <w:div w:id="900672837">
      <w:bodyDiv w:val="1"/>
      <w:marLeft w:val="0"/>
      <w:marRight w:val="0"/>
      <w:marTop w:val="0"/>
      <w:marBottom w:val="0"/>
      <w:divBdr>
        <w:top w:val="none" w:sz="0" w:space="0" w:color="auto"/>
        <w:left w:val="none" w:sz="0" w:space="0" w:color="auto"/>
        <w:bottom w:val="none" w:sz="0" w:space="0" w:color="auto"/>
        <w:right w:val="none" w:sz="0" w:space="0" w:color="auto"/>
      </w:divBdr>
    </w:div>
    <w:div w:id="900677764">
      <w:bodyDiv w:val="1"/>
      <w:marLeft w:val="0"/>
      <w:marRight w:val="0"/>
      <w:marTop w:val="0"/>
      <w:marBottom w:val="0"/>
      <w:divBdr>
        <w:top w:val="none" w:sz="0" w:space="0" w:color="auto"/>
        <w:left w:val="none" w:sz="0" w:space="0" w:color="auto"/>
        <w:bottom w:val="none" w:sz="0" w:space="0" w:color="auto"/>
        <w:right w:val="none" w:sz="0" w:space="0" w:color="auto"/>
      </w:divBdr>
    </w:div>
    <w:div w:id="900947894">
      <w:bodyDiv w:val="1"/>
      <w:marLeft w:val="0"/>
      <w:marRight w:val="0"/>
      <w:marTop w:val="0"/>
      <w:marBottom w:val="0"/>
      <w:divBdr>
        <w:top w:val="none" w:sz="0" w:space="0" w:color="auto"/>
        <w:left w:val="none" w:sz="0" w:space="0" w:color="auto"/>
        <w:bottom w:val="none" w:sz="0" w:space="0" w:color="auto"/>
        <w:right w:val="none" w:sz="0" w:space="0" w:color="auto"/>
      </w:divBdr>
    </w:div>
    <w:div w:id="901063720">
      <w:bodyDiv w:val="1"/>
      <w:marLeft w:val="0"/>
      <w:marRight w:val="0"/>
      <w:marTop w:val="0"/>
      <w:marBottom w:val="0"/>
      <w:divBdr>
        <w:top w:val="none" w:sz="0" w:space="0" w:color="auto"/>
        <w:left w:val="none" w:sz="0" w:space="0" w:color="auto"/>
        <w:bottom w:val="none" w:sz="0" w:space="0" w:color="auto"/>
        <w:right w:val="none" w:sz="0" w:space="0" w:color="auto"/>
      </w:divBdr>
    </w:div>
    <w:div w:id="901334581">
      <w:bodyDiv w:val="1"/>
      <w:marLeft w:val="0"/>
      <w:marRight w:val="0"/>
      <w:marTop w:val="0"/>
      <w:marBottom w:val="0"/>
      <w:divBdr>
        <w:top w:val="none" w:sz="0" w:space="0" w:color="auto"/>
        <w:left w:val="none" w:sz="0" w:space="0" w:color="auto"/>
        <w:bottom w:val="none" w:sz="0" w:space="0" w:color="auto"/>
        <w:right w:val="none" w:sz="0" w:space="0" w:color="auto"/>
      </w:divBdr>
    </w:div>
    <w:div w:id="901451008">
      <w:bodyDiv w:val="1"/>
      <w:marLeft w:val="0"/>
      <w:marRight w:val="0"/>
      <w:marTop w:val="0"/>
      <w:marBottom w:val="0"/>
      <w:divBdr>
        <w:top w:val="none" w:sz="0" w:space="0" w:color="auto"/>
        <w:left w:val="none" w:sz="0" w:space="0" w:color="auto"/>
        <w:bottom w:val="none" w:sz="0" w:space="0" w:color="auto"/>
        <w:right w:val="none" w:sz="0" w:space="0" w:color="auto"/>
      </w:divBdr>
    </w:div>
    <w:div w:id="901479138">
      <w:bodyDiv w:val="1"/>
      <w:marLeft w:val="0"/>
      <w:marRight w:val="0"/>
      <w:marTop w:val="0"/>
      <w:marBottom w:val="0"/>
      <w:divBdr>
        <w:top w:val="none" w:sz="0" w:space="0" w:color="auto"/>
        <w:left w:val="none" w:sz="0" w:space="0" w:color="auto"/>
        <w:bottom w:val="none" w:sz="0" w:space="0" w:color="auto"/>
        <w:right w:val="none" w:sz="0" w:space="0" w:color="auto"/>
      </w:divBdr>
    </w:div>
    <w:div w:id="901521430">
      <w:bodyDiv w:val="1"/>
      <w:marLeft w:val="0"/>
      <w:marRight w:val="0"/>
      <w:marTop w:val="0"/>
      <w:marBottom w:val="0"/>
      <w:divBdr>
        <w:top w:val="none" w:sz="0" w:space="0" w:color="auto"/>
        <w:left w:val="none" w:sz="0" w:space="0" w:color="auto"/>
        <w:bottom w:val="none" w:sz="0" w:space="0" w:color="auto"/>
        <w:right w:val="none" w:sz="0" w:space="0" w:color="auto"/>
      </w:divBdr>
    </w:div>
    <w:div w:id="901524001">
      <w:bodyDiv w:val="1"/>
      <w:marLeft w:val="0"/>
      <w:marRight w:val="0"/>
      <w:marTop w:val="0"/>
      <w:marBottom w:val="0"/>
      <w:divBdr>
        <w:top w:val="none" w:sz="0" w:space="0" w:color="auto"/>
        <w:left w:val="none" w:sz="0" w:space="0" w:color="auto"/>
        <w:bottom w:val="none" w:sz="0" w:space="0" w:color="auto"/>
        <w:right w:val="none" w:sz="0" w:space="0" w:color="auto"/>
      </w:divBdr>
    </w:div>
    <w:div w:id="901526090">
      <w:bodyDiv w:val="1"/>
      <w:marLeft w:val="0"/>
      <w:marRight w:val="0"/>
      <w:marTop w:val="0"/>
      <w:marBottom w:val="0"/>
      <w:divBdr>
        <w:top w:val="none" w:sz="0" w:space="0" w:color="auto"/>
        <w:left w:val="none" w:sz="0" w:space="0" w:color="auto"/>
        <w:bottom w:val="none" w:sz="0" w:space="0" w:color="auto"/>
        <w:right w:val="none" w:sz="0" w:space="0" w:color="auto"/>
      </w:divBdr>
    </w:div>
    <w:div w:id="901676819">
      <w:bodyDiv w:val="1"/>
      <w:marLeft w:val="0"/>
      <w:marRight w:val="0"/>
      <w:marTop w:val="0"/>
      <w:marBottom w:val="0"/>
      <w:divBdr>
        <w:top w:val="none" w:sz="0" w:space="0" w:color="auto"/>
        <w:left w:val="none" w:sz="0" w:space="0" w:color="auto"/>
        <w:bottom w:val="none" w:sz="0" w:space="0" w:color="auto"/>
        <w:right w:val="none" w:sz="0" w:space="0" w:color="auto"/>
      </w:divBdr>
    </w:div>
    <w:div w:id="901796510">
      <w:bodyDiv w:val="1"/>
      <w:marLeft w:val="0"/>
      <w:marRight w:val="0"/>
      <w:marTop w:val="0"/>
      <w:marBottom w:val="0"/>
      <w:divBdr>
        <w:top w:val="none" w:sz="0" w:space="0" w:color="auto"/>
        <w:left w:val="none" w:sz="0" w:space="0" w:color="auto"/>
        <w:bottom w:val="none" w:sz="0" w:space="0" w:color="auto"/>
        <w:right w:val="none" w:sz="0" w:space="0" w:color="auto"/>
      </w:divBdr>
    </w:div>
    <w:div w:id="901907899">
      <w:bodyDiv w:val="1"/>
      <w:marLeft w:val="0"/>
      <w:marRight w:val="0"/>
      <w:marTop w:val="0"/>
      <w:marBottom w:val="0"/>
      <w:divBdr>
        <w:top w:val="none" w:sz="0" w:space="0" w:color="auto"/>
        <w:left w:val="none" w:sz="0" w:space="0" w:color="auto"/>
        <w:bottom w:val="none" w:sz="0" w:space="0" w:color="auto"/>
        <w:right w:val="none" w:sz="0" w:space="0" w:color="auto"/>
      </w:divBdr>
    </w:div>
    <w:div w:id="901912990">
      <w:bodyDiv w:val="1"/>
      <w:marLeft w:val="0"/>
      <w:marRight w:val="0"/>
      <w:marTop w:val="0"/>
      <w:marBottom w:val="0"/>
      <w:divBdr>
        <w:top w:val="none" w:sz="0" w:space="0" w:color="auto"/>
        <w:left w:val="none" w:sz="0" w:space="0" w:color="auto"/>
        <w:bottom w:val="none" w:sz="0" w:space="0" w:color="auto"/>
        <w:right w:val="none" w:sz="0" w:space="0" w:color="auto"/>
      </w:divBdr>
    </w:div>
    <w:div w:id="901987691">
      <w:bodyDiv w:val="1"/>
      <w:marLeft w:val="0"/>
      <w:marRight w:val="0"/>
      <w:marTop w:val="0"/>
      <w:marBottom w:val="0"/>
      <w:divBdr>
        <w:top w:val="none" w:sz="0" w:space="0" w:color="auto"/>
        <w:left w:val="none" w:sz="0" w:space="0" w:color="auto"/>
        <w:bottom w:val="none" w:sz="0" w:space="0" w:color="auto"/>
        <w:right w:val="none" w:sz="0" w:space="0" w:color="auto"/>
      </w:divBdr>
    </w:div>
    <w:div w:id="902103216">
      <w:bodyDiv w:val="1"/>
      <w:marLeft w:val="0"/>
      <w:marRight w:val="0"/>
      <w:marTop w:val="0"/>
      <w:marBottom w:val="0"/>
      <w:divBdr>
        <w:top w:val="none" w:sz="0" w:space="0" w:color="auto"/>
        <w:left w:val="none" w:sz="0" w:space="0" w:color="auto"/>
        <w:bottom w:val="none" w:sz="0" w:space="0" w:color="auto"/>
        <w:right w:val="none" w:sz="0" w:space="0" w:color="auto"/>
      </w:divBdr>
    </w:div>
    <w:div w:id="902108092">
      <w:bodyDiv w:val="1"/>
      <w:marLeft w:val="0"/>
      <w:marRight w:val="0"/>
      <w:marTop w:val="0"/>
      <w:marBottom w:val="0"/>
      <w:divBdr>
        <w:top w:val="none" w:sz="0" w:space="0" w:color="auto"/>
        <w:left w:val="none" w:sz="0" w:space="0" w:color="auto"/>
        <w:bottom w:val="none" w:sz="0" w:space="0" w:color="auto"/>
        <w:right w:val="none" w:sz="0" w:space="0" w:color="auto"/>
      </w:divBdr>
    </w:div>
    <w:div w:id="902181100">
      <w:bodyDiv w:val="1"/>
      <w:marLeft w:val="0"/>
      <w:marRight w:val="0"/>
      <w:marTop w:val="0"/>
      <w:marBottom w:val="0"/>
      <w:divBdr>
        <w:top w:val="none" w:sz="0" w:space="0" w:color="auto"/>
        <w:left w:val="none" w:sz="0" w:space="0" w:color="auto"/>
        <w:bottom w:val="none" w:sz="0" w:space="0" w:color="auto"/>
        <w:right w:val="none" w:sz="0" w:space="0" w:color="auto"/>
      </w:divBdr>
    </w:div>
    <w:div w:id="902181178">
      <w:bodyDiv w:val="1"/>
      <w:marLeft w:val="0"/>
      <w:marRight w:val="0"/>
      <w:marTop w:val="0"/>
      <w:marBottom w:val="0"/>
      <w:divBdr>
        <w:top w:val="none" w:sz="0" w:space="0" w:color="auto"/>
        <w:left w:val="none" w:sz="0" w:space="0" w:color="auto"/>
        <w:bottom w:val="none" w:sz="0" w:space="0" w:color="auto"/>
        <w:right w:val="none" w:sz="0" w:space="0" w:color="auto"/>
      </w:divBdr>
    </w:div>
    <w:div w:id="902251726">
      <w:bodyDiv w:val="1"/>
      <w:marLeft w:val="0"/>
      <w:marRight w:val="0"/>
      <w:marTop w:val="0"/>
      <w:marBottom w:val="0"/>
      <w:divBdr>
        <w:top w:val="none" w:sz="0" w:space="0" w:color="auto"/>
        <w:left w:val="none" w:sz="0" w:space="0" w:color="auto"/>
        <w:bottom w:val="none" w:sz="0" w:space="0" w:color="auto"/>
        <w:right w:val="none" w:sz="0" w:space="0" w:color="auto"/>
      </w:divBdr>
    </w:div>
    <w:div w:id="902258953">
      <w:bodyDiv w:val="1"/>
      <w:marLeft w:val="0"/>
      <w:marRight w:val="0"/>
      <w:marTop w:val="0"/>
      <w:marBottom w:val="0"/>
      <w:divBdr>
        <w:top w:val="none" w:sz="0" w:space="0" w:color="auto"/>
        <w:left w:val="none" w:sz="0" w:space="0" w:color="auto"/>
        <w:bottom w:val="none" w:sz="0" w:space="0" w:color="auto"/>
        <w:right w:val="none" w:sz="0" w:space="0" w:color="auto"/>
      </w:divBdr>
    </w:div>
    <w:div w:id="902300330">
      <w:bodyDiv w:val="1"/>
      <w:marLeft w:val="0"/>
      <w:marRight w:val="0"/>
      <w:marTop w:val="0"/>
      <w:marBottom w:val="0"/>
      <w:divBdr>
        <w:top w:val="none" w:sz="0" w:space="0" w:color="auto"/>
        <w:left w:val="none" w:sz="0" w:space="0" w:color="auto"/>
        <w:bottom w:val="none" w:sz="0" w:space="0" w:color="auto"/>
        <w:right w:val="none" w:sz="0" w:space="0" w:color="auto"/>
      </w:divBdr>
    </w:div>
    <w:div w:id="902331141">
      <w:bodyDiv w:val="1"/>
      <w:marLeft w:val="0"/>
      <w:marRight w:val="0"/>
      <w:marTop w:val="0"/>
      <w:marBottom w:val="0"/>
      <w:divBdr>
        <w:top w:val="none" w:sz="0" w:space="0" w:color="auto"/>
        <w:left w:val="none" w:sz="0" w:space="0" w:color="auto"/>
        <w:bottom w:val="none" w:sz="0" w:space="0" w:color="auto"/>
        <w:right w:val="none" w:sz="0" w:space="0" w:color="auto"/>
      </w:divBdr>
    </w:div>
    <w:div w:id="902375800">
      <w:bodyDiv w:val="1"/>
      <w:marLeft w:val="0"/>
      <w:marRight w:val="0"/>
      <w:marTop w:val="0"/>
      <w:marBottom w:val="0"/>
      <w:divBdr>
        <w:top w:val="none" w:sz="0" w:space="0" w:color="auto"/>
        <w:left w:val="none" w:sz="0" w:space="0" w:color="auto"/>
        <w:bottom w:val="none" w:sz="0" w:space="0" w:color="auto"/>
        <w:right w:val="none" w:sz="0" w:space="0" w:color="auto"/>
      </w:divBdr>
    </w:div>
    <w:div w:id="902450947">
      <w:bodyDiv w:val="1"/>
      <w:marLeft w:val="0"/>
      <w:marRight w:val="0"/>
      <w:marTop w:val="0"/>
      <w:marBottom w:val="0"/>
      <w:divBdr>
        <w:top w:val="none" w:sz="0" w:space="0" w:color="auto"/>
        <w:left w:val="none" w:sz="0" w:space="0" w:color="auto"/>
        <w:bottom w:val="none" w:sz="0" w:space="0" w:color="auto"/>
        <w:right w:val="none" w:sz="0" w:space="0" w:color="auto"/>
      </w:divBdr>
    </w:div>
    <w:div w:id="902570438">
      <w:bodyDiv w:val="1"/>
      <w:marLeft w:val="0"/>
      <w:marRight w:val="0"/>
      <w:marTop w:val="0"/>
      <w:marBottom w:val="0"/>
      <w:divBdr>
        <w:top w:val="none" w:sz="0" w:space="0" w:color="auto"/>
        <w:left w:val="none" w:sz="0" w:space="0" w:color="auto"/>
        <w:bottom w:val="none" w:sz="0" w:space="0" w:color="auto"/>
        <w:right w:val="none" w:sz="0" w:space="0" w:color="auto"/>
      </w:divBdr>
    </w:div>
    <w:div w:id="902639323">
      <w:bodyDiv w:val="1"/>
      <w:marLeft w:val="0"/>
      <w:marRight w:val="0"/>
      <w:marTop w:val="0"/>
      <w:marBottom w:val="0"/>
      <w:divBdr>
        <w:top w:val="none" w:sz="0" w:space="0" w:color="auto"/>
        <w:left w:val="none" w:sz="0" w:space="0" w:color="auto"/>
        <w:bottom w:val="none" w:sz="0" w:space="0" w:color="auto"/>
        <w:right w:val="none" w:sz="0" w:space="0" w:color="auto"/>
      </w:divBdr>
    </w:div>
    <w:div w:id="902717607">
      <w:bodyDiv w:val="1"/>
      <w:marLeft w:val="0"/>
      <w:marRight w:val="0"/>
      <w:marTop w:val="0"/>
      <w:marBottom w:val="0"/>
      <w:divBdr>
        <w:top w:val="none" w:sz="0" w:space="0" w:color="auto"/>
        <w:left w:val="none" w:sz="0" w:space="0" w:color="auto"/>
        <w:bottom w:val="none" w:sz="0" w:space="0" w:color="auto"/>
        <w:right w:val="none" w:sz="0" w:space="0" w:color="auto"/>
      </w:divBdr>
    </w:div>
    <w:div w:id="902761024">
      <w:bodyDiv w:val="1"/>
      <w:marLeft w:val="0"/>
      <w:marRight w:val="0"/>
      <w:marTop w:val="0"/>
      <w:marBottom w:val="0"/>
      <w:divBdr>
        <w:top w:val="none" w:sz="0" w:space="0" w:color="auto"/>
        <w:left w:val="none" w:sz="0" w:space="0" w:color="auto"/>
        <w:bottom w:val="none" w:sz="0" w:space="0" w:color="auto"/>
        <w:right w:val="none" w:sz="0" w:space="0" w:color="auto"/>
      </w:divBdr>
    </w:div>
    <w:div w:id="902911369">
      <w:bodyDiv w:val="1"/>
      <w:marLeft w:val="0"/>
      <w:marRight w:val="0"/>
      <w:marTop w:val="0"/>
      <w:marBottom w:val="0"/>
      <w:divBdr>
        <w:top w:val="none" w:sz="0" w:space="0" w:color="auto"/>
        <w:left w:val="none" w:sz="0" w:space="0" w:color="auto"/>
        <w:bottom w:val="none" w:sz="0" w:space="0" w:color="auto"/>
        <w:right w:val="none" w:sz="0" w:space="0" w:color="auto"/>
      </w:divBdr>
    </w:div>
    <w:div w:id="902982707">
      <w:bodyDiv w:val="1"/>
      <w:marLeft w:val="0"/>
      <w:marRight w:val="0"/>
      <w:marTop w:val="0"/>
      <w:marBottom w:val="0"/>
      <w:divBdr>
        <w:top w:val="none" w:sz="0" w:space="0" w:color="auto"/>
        <w:left w:val="none" w:sz="0" w:space="0" w:color="auto"/>
        <w:bottom w:val="none" w:sz="0" w:space="0" w:color="auto"/>
        <w:right w:val="none" w:sz="0" w:space="0" w:color="auto"/>
      </w:divBdr>
    </w:div>
    <w:div w:id="903028653">
      <w:bodyDiv w:val="1"/>
      <w:marLeft w:val="0"/>
      <w:marRight w:val="0"/>
      <w:marTop w:val="0"/>
      <w:marBottom w:val="0"/>
      <w:divBdr>
        <w:top w:val="none" w:sz="0" w:space="0" w:color="auto"/>
        <w:left w:val="none" w:sz="0" w:space="0" w:color="auto"/>
        <w:bottom w:val="none" w:sz="0" w:space="0" w:color="auto"/>
        <w:right w:val="none" w:sz="0" w:space="0" w:color="auto"/>
      </w:divBdr>
    </w:div>
    <w:div w:id="903224137">
      <w:bodyDiv w:val="1"/>
      <w:marLeft w:val="0"/>
      <w:marRight w:val="0"/>
      <w:marTop w:val="0"/>
      <w:marBottom w:val="0"/>
      <w:divBdr>
        <w:top w:val="none" w:sz="0" w:space="0" w:color="auto"/>
        <w:left w:val="none" w:sz="0" w:space="0" w:color="auto"/>
        <w:bottom w:val="none" w:sz="0" w:space="0" w:color="auto"/>
        <w:right w:val="none" w:sz="0" w:space="0" w:color="auto"/>
      </w:divBdr>
    </w:div>
    <w:div w:id="903376938">
      <w:bodyDiv w:val="1"/>
      <w:marLeft w:val="0"/>
      <w:marRight w:val="0"/>
      <w:marTop w:val="0"/>
      <w:marBottom w:val="0"/>
      <w:divBdr>
        <w:top w:val="none" w:sz="0" w:space="0" w:color="auto"/>
        <w:left w:val="none" w:sz="0" w:space="0" w:color="auto"/>
        <w:bottom w:val="none" w:sz="0" w:space="0" w:color="auto"/>
        <w:right w:val="none" w:sz="0" w:space="0" w:color="auto"/>
      </w:divBdr>
    </w:div>
    <w:div w:id="903417491">
      <w:bodyDiv w:val="1"/>
      <w:marLeft w:val="0"/>
      <w:marRight w:val="0"/>
      <w:marTop w:val="0"/>
      <w:marBottom w:val="0"/>
      <w:divBdr>
        <w:top w:val="none" w:sz="0" w:space="0" w:color="auto"/>
        <w:left w:val="none" w:sz="0" w:space="0" w:color="auto"/>
        <w:bottom w:val="none" w:sz="0" w:space="0" w:color="auto"/>
        <w:right w:val="none" w:sz="0" w:space="0" w:color="auto"/>
      </w:divBdr>
    </w:div>
    <w:div w:id="903446373">
      <w:bodyDiv w:val="1"/>
      <w:marLeft w:val="0"/>
      <w:marRight w:val="0"/>
      <w:marTop w:val="0"/>
      <w:marBottom w:val="0"/>
      <w:divBdr>
        <w:top w:val="none" w:sz="0" w:space="0" w:color="auto"/>
        <w:left w:val="none" w:sz="0" w:space="0" w:color="auto"/>
        <w:bottom w:val="none" w:sz="0" w:space="0" w:color="auto"/>
        <w:right w:val="none" w:sz="0" w:space="0" w:color="auto"/>
      </w:divBdr>
    </w:div>
    <w:div w:id="903638586">
      <w:bodyDiv w:val="1"/>
      <w:marLeft w:val="0"/>
      <w:marRight w:val="0"/>
      <w:marTop w:val="0"/>
      <w:marBottom w:val="0"/>
      <w:divBdr>
        <w:top w:val="none" w:sz="0" w:space="0" w:color="auto"/>
        <w:left w:val="none" w:sz="0" w:space="0" w:color="auto"/>
        <w:bottom w:val="none" w:sz="0" w:space="0" w:color="auto"/>
        <w:right w:val="none" w:sz="0" w:space="0" w:color="auto"/>
      </w:divBdr>
    </w:div>
    <w:div w:id="903640033">
      <w:bodyDiv w:val="1"/>
      <w:marLeft w:val="0"/>
      <w:marRight w:val="0"/>
      <w:marTop w:val="0"/>
      <w:marBottom w:val="0"/>
      <w:divBdr>
        <w:top w:val="none" w:sz="0" w:space="0" w:color="auto"/>
        <w:left w:val="none" w:sz="0" w:space="0" w:color="auto"/>
        <w:bottom w:val="none" w:sz="0" w:space="0" w:color="auto"/>
        <w:right w:val="none" w:sz="0" w:space="0" w:color="auto"/>
      </w:divBdr>
    </w:div>
    <w:div w:id="903761604">
      <w:bodyDiv w:val="1"/>
      <w:marLeft w:val="0"/>
      <w:marRight w:val="0"/>
      <w:marTop w:val="0"/>
      <w:marBottom w:val="0"/>
      <w:divBdr>
        <w:top w:val="none" w:sz="0" w:space="0" w:color="auto"/>
        <w:left w:val="none" w:sz="0" w:space="0" w:color="auto"/>
        <w:bottom w:val="none" w:sz="0" w:space="0" w:color="auto"/>
        <w:right w:val="none" w:sz="0" w:space="0" w:color="auto"/>
      </w:divBdr>
    </w:div>
    <w:div w:id="903836647">
      <w:bodyDiv w:val="1"/>
      <w:marLeft w:val="0"/>
      <w:marRight w:val="0"/>
      <w:marTop w:val="0"/>
      <w:marBottom w:val="0"/>
      <w:divBdr>
        <w:top w:val="none" w:sz="0" w:space="0" w:color="auto"/>
        <w:left w:val="none" w:sz="0" w:space="0" w:color="auto"/>
        <w:bottom w:val="none" w:sz="0" w:space="0" w:color="auto"/>
        <w:right w:val="none" w:sz="0" w:space="0" w:color="auto"/>
      </w:divBdr>
    </w:div>
    <w:div w:id="903873879">
      <w:bodyDiv w:val="1"/>
      <w:marLeft w:val="0"/>
      <w:marRight w:val="0"/>
      <w:marTop w:val="0"/>
      <w:marBottom w:val="0"/>
      <w:divBdr>
        <w:top w:val="none" w:sz="0" w:space="0" w:color="auto"/>
        <w:left w:val="none" w:sz="0" w:space="0" w:color="auto"/>
        <w:bottom w:val="none" w:sz="0" w:space="0" w:color="auto"/>
        <w:right w:val="none" w:sz="0" w:space="0" w:color="auto"/>
      </w:divBdr>
    </w:div>
    <w:div w:id="903877947">
      <w:bodyDiv w:val="1"/>
      <w:marLeft w:val="0"/>
      <w:marRight w:val="0"/>
      <w:marTop w:val="0"/>
      <w:marBottom w:val="0"/>
      <w:divBdr>
        <w:top w:val="none" w:sz="0" w:space="0" w:color="auto"/>
        <w:left w:val="none" w:sz="0" w:space="0" w:color="auto"/>
        <w:bottom w:val="none" w:sz="0" w:space="0" w:color="auto"/>
        <w:right w:val="none" w:sz="0" w:space="0" w:color="auto"/>
      </w:divBdr>
    </w:div>
    <w:div w:id="904416088">
      <w:bodyDiv w:val="1"/>
      <w:marLeft w:val="0"/>
      <w:marRight w:val="0"/>
      <w:marTop w:val="0"/>
      <w:marBottom w:val="0"/>
      <w:divBdr>
        <w:top w:val="none" w:sz="0" w:space="0" w:color="auto"/>
        <w:left w:val="none" w:sz="0" w:space="0" w:color="auto"/>
        <w:bottom w:val="none" w:sz="0" w:space="0" w:color="auto"/>
        <w:right w:val="none" w:sz="0" w:space="0" w:color="auto"/>
      </w:divBdr>
    </w:div>
    <w:div w:id="904489632">
      <w:bodyDiv w:val="1"/>
      <w:marLeft w:val="0"/>
      <w:marRight w:val="0"/>
      <w:marTop w:val="0"/>
      <w:marBottom w:val="0"/>
      <w:divBdr>
        <w:top w:val="none" w:sz="0" w:space="0" w:color="auto"/>
        <w:left w:val="none" w:sz="0" w:space="0" w:color="auto"/>
        <w:bottom w:val="none" w:sz="0" w:space="0" w:color="auto"/>
        <w:right w:val="none" w:sz="0" w:space="0" w:color="auto"/>
      </w:divBdr>
    </w:div>
    <w:div w:id="904607931">
      <w:bodyDiv w:val="1"/>
      <w:marLeft w:val="0"/>
      <w:marRight w:val="0"/>
      <w:marTop w:val="0"/>
      <w:marBottom w:val="0"/>
      <w:divBdr>
        <w:top w:val="none" w:sz="0" w:space="0" w:color="auto"/>
        <w:left w:val="none" w:sz="0" w:space="0" w:color="auto"/>
        <w:bottom w:val="none" w:sz="0" w:space="0" w:color="auto"/>
        <w:right w:val="none" w:sz="0" w:space="0" w:color="auto"/>
      </w:divBdr>
    </w:div>
    <w:div w:id="904678180">
      <w:bodyDiv w:val="1"/>
      <w:marLeft w:val="0"/>
      <w:marRight w:val="0"/>
      <w:marTop w:val="0"/>
      <w:marBottom w:val="0"/>
      <w:divBdr>
        <w:top w:val="none" w:sz="0" w:space="0" w:color="auto"/>
        <w:left w:val="none" w:sz="0" w:space="0" w:color="auto"/>
        <w:bottom w:val="none" w:sz="0" w:space="0" w:color="auto"/>
        <w:right w:val="none" w:sz="0" w:space="0" w:color="auto"/>
      </w:divBdr>
    </w:div>
    <w:div w:id="904678480">
      <w:bodyDiv w:val="1"/>
      <w:marLeft w:val="0"/>
      <w:marRight w:val="0"/>
      <w:marTop w:val="0"/>
      <w:marBottom w:val="0"/>
      <w:divBdr>
        <w:top w:val="none" w:sz="0" w:space="0" w:color="auto"/>
        <w:left w:val="none" w:sz="0" w:space="0" w:color="auto"/>
        <w:bottom w:val="none" w:sz="0" w:space="0" w:color="auto"/>
        <w:right w:val="none" w:sz="0" w:space="0" w:color="auto"/>
      </w:divBdr>
    </w:div>
    <w:div w:id="904796118">
      <w:bodyDiv w:val="1"/>
      <w:marLeft w:val="0"/>
      <w:marRight w:val="0"/>
      <w:marTop w:val="0"/>
      <w:marBottom w:val="0"/>
      <w:divBdr>
        <w:top w:val="none" w:sz="0" w:space="0" w:color="auto"/>
        <w:left w:val="none" w:sz="0" w:space="0" w:color="auto"/>
        <w:bottom w:val="none" w:sz="0" w:space="0" w:color="auto"/>
        <w:right w:val="none" w:sz="0" w:space="0" w:color="auto"/>
      </w:divBdr>
    </w:div>
    <w:div w:id="904872635">
      <w:bodyDiv w:val="1"/>
      <w:marLeft w:val="0"/>
      <w:marRight w:val="0"/>
      <w:marTop w:val="0"/>
      <w:marBottom w:val="0"/>
      <w:divBdr>
        <w:top w:val="none" w:sz="0" w:space="0" w:color="auto"/>
        <w:left w:val="none" w:sz="0" w:space="0" w:color="auto"/>
        <w:bottom w:val="none" w:sz="0" w:space="0" w:color="auto"/>
        <w:right w:val="none" w:sz="0" w:space="0" w:color="auto"/>
      </w:divBdr>
    </w:div>
    <w:div w:id="904991159">
      <w:bodyDiv w:val="1"/>
      <w:marLeft w:val="0"/>
      <w:marRight w:val="0"/>
      <w:marTop w:val="0"/>
      <w:marBottom w:val="0"/>
      <w:divBdr>
        <w:top w:val="none" w:sz="0" w:space="0" w:color="auto"/>
        <w:left w:val="none" w:sz="0" w:space="0" w:color="auto"/>
        <w:bottom w:val="none" w:sz="0" w:space="0" w:color="auto"/>
        <w:right w:val="none" w:sz="0" w:space="0" w:color="auto"/>
      </w:divBdr>
    </w:div>
    <w:div w:id="905071936">
      <w:bodyDiv w:val="1"/>
      <w:marLeft w:val="0"/>
      <w:marRight w:val="0"/>
      <w:marTop w:val="0"/>
      <w:marBottom w:val="0"/>
      <w:divBdr>
        <w:top w:val="none" w:sz="0" w:space="0" w:color="auto"/>
        <w:left w:val="none" w:sz="0" w:space="0" w:color="auto"/>
        <w:bottom w:val="none" w:sz="0" w:space="0" w:color="auto"/>
        <w:right w:val="none" w:sz="0" w:space="0" w:color="auto"/>
      </w:divBdr>
    </w:div>
    <w:div w:id="905139963">
      <w:bodyDiv w:val="1"/>
      <w:marLeft w:val="0"/>
      <w:marRight w:val="0"/>
      <w:marTop w:val="0"/>
      <w:marBottom w:val="0"/>
      <w:divBdr>
        <w:top w:val="none" w:sz="0" w:space="0" w:color="auto"/>
        <w:left w:val="none" w:sz="0" w:space="0" w:color="auto"/>
        <w:bottom w:val="none" w:sz="0" w:space="0" w:color="auto"/>
        <w:right w:val="none" w:sz="0" w:space="0" w:color="auto"/>
      </w:divBdr>
    </w:div>
    <w:div w:id="905184397">
      <w:bodyDiv w:val="1"/>
      <w:marLeft w:val="0"/>
      <w:marRight w:val="0"/>
      <w:marTop w:val="0"/>
      <w:marBottom w:val="0"/>
      <w:divBdr>
        <w:top w:val="none" w:sz="0" w:space="0" w:color="auto"/>
        <w:left w:val="none" w:sz="0" w:space="0" w:color="auto"/>
        <w:bottom w:val="none" w:sz="0" w:space="0" w:color="auto"/>
        <w:right w:val="none" w:sz="0" w:space="0" w:color="auto"/>
      </w:divBdr>
    </w:div>
    <w:div w:id="905186570">
      <w:bodyDiv w:val="1"/>
      <w:marLeft w:val="0"/>
      <w:marRight w:val="0"/>
      <w:marTop w:val="0"/>
      <w:marBottom w:val="0"/>
      <w:divBdr>
        <w:top w:val="none" w:sz="0" w:space="0" w:color="auto"/>
        <w:left w:val="none" w:sz="0" w:space="0" w:color="auto"/>
        <w:bottom w:val="none" w:sz="0" w:space="0" w:color="auto"/>
        <w:right w:val="none" w:sz="0" w:space="0" w:color="auto"/>
      </w:divBdr>
    </w:div>
    <w:div w:id="905264957">
      <w:bodyDiv w:val="1"/>
      <w:marLeft w:val="0"/>
      <w:marRight w:val="0"/>
      <w:marTop w:val="0"/>
      <w:marBottom w:val="0"/>
      <w:divBdr>
        <w:top w:val="none" w:sz="0" w:space="0" w:color="auto"/>
        <w:left w:val="none" w:sz="0" w:space="0" w:color="auto"/>
        <w:bottom w:val="none" w:sz="0" w:space="0" w:color="auto"/>
        <w:right w:val="none" w:sz="0" w:space="0" w:color="auto"/>
      </w:divBdr>
    </w:div>
    <w:div w:id="905342658">
      <w:bodyDiv w:val="1"/>
      <w:marLeft w:val="0"/>
      <w:marRight w:val="0"/>
      <w:marTop w:val="0"/>
      <w:marBottom w:val="0"/>
      <w:divBdr>
        <w:top w:val="none" w:sz="0" w:space="0" w:color="auto"/>
        <w:left w:val="none" w:sz="0" w:space="0" w:color="auto"/>
        <w:bottom w:val="none" w:sz="0" w:space="0" w:color="auto"/>
        <w:right w:val="none" w:sz="0" w:space="0" w:color="auto"/>
      </w:divBdr>
    </w:div>
    <w:div w:id="905453163">
      <w:bodyDiv w:val="1"/>
      <w:marLeft w:val="0"/>
      <w:marRight w:val="0"/>
      <w:marTop w:val="0"/>
      <w:marBottom w:val="0"/>
      <w:divBdr>
        <w:top w:val="none" w:sz="0" w:space="0" w:color="auto"/>
        <w:left w:val="none" w:sz="0" w:space="0" w:color="auto"/>
        <w:bottom w:val="none" w:sz="0" w:space="0" w:color="auto"/>
        <w:right w:val="none" w:sz="0" w:space="0" w:color="auto"/>
      </w:divBdr>
    </w:div>
    <w:div w:id="905602017">
      <w:bodyDiv w:val="1"/>
      <w:marLeft w:val="0"/>
      <w:marRight w:val="0"/>
      <w:marTop w:val="0"/>
      <w:marBottom w:val="0"/>
      <w:divBdr>
        <w:top w:val="none" w:sz="0" w:space="0" w:color="auto"/>
        <w:left w:val="none" w:sz="0" w:space="0" w:color="auto"/>
        <w:bottom w:val="none" w:sz="0" w:space="0" w:color="auto"/>
        <w:right w:val="none" w:sz="0" w:space="0" w:color="auto"/>
      </w:divBdr>
    </w:div>
    <w:div w:id="905607026">
      <w:bodyDiv w:val="1"/>
      <w:marLeft w:val="0"/>
      <w:marRight w:val="0"/>
      <w:marTop w:val="0"/>
      <w:marBottom w:val="0"/>
      <w:divBdr>
        <w:top w:val="none" w:sz="0" w:space="0" w:color="auto"/>
        <w:left w:val="none" w:sz="0" w:space="0" w:color="auto"/>
        <w:bottom w:val="none" w:sz="0" w:space="0" w:color="auto"/>
        <w:right w:val="none" w:sz="0" w:space="0" w:color="auto"/>
      </w:divBdr>
    </w:div>
    <w:div w:id="905646268">
      <w:bodyDiv w:val="1"/>
      <w:marLeft w:val="0"/>
      <w:marRight w:val="0"/>
      <w:marTop w:val="0"/>
      <w:marBottom w:val="0"/>
      <w:divBdr>
        <w:top w:val="none" w:sz="0" w:space="0" w:color="auto"/>
        <w:left w:val="none" w:sz="0" w:space="0" w:color="auto"/>
        <w:bottom w:val="none" w:sz="0" w:space="0" w:color="auto"/>
        <w:right w:val="none" w:sz="0" w:space="0" w:color="auto"/>
      </w:divBdr>
    </w:div>
    <w:div w:id="905724474">
      <w:bodyDiv w:val="1"/>
      <w:marLeft w:val="0"/>
      <w:marRight w:val="0"/>
      <w:marTop w:val="0"/>
      <w:marBottom w:val="0"/>
      <w:divBdr>
        <w:top w:val="none" w:sz="0" w:space="0" w:color="auto"/>
        <w:left w:val="none" w:sz="0" w:space="0" w:color="auto"/>
        <w:bottom w:val="none" w:sz="0" w:space="0" w:color="auto"/>
        <w:right w:val="none" w:sz="0" w:space="0" w:color="auto"/>
      </w:divBdr>
    </w:div>
    <w:div w:id="905845442">
      <w:bodyDiv w:val="1"/>
      <w:marLeft w:val="0"/>
      <w:marRight w:val="0"/>
      <w:marTop w:val="0"/>
      <w:marBottom w:val="0"/>
      <w:divBdr>
        <w:top w:val="none" w:sz="0" w:space="0" w:color="auto"/>
        <w:left w:val="none" w:sz="0" w:space="0" w:color="auto"/>
        <w:bottom w:val="none" w:sz="0" w:space="0" w:color="auto"/>
        <w:right w:val="none" w:sz="0" w:space="0" w:color="auto"/>
      </w:divBdr>
    </w:div>
    <w:div w:id="905994590">
      <w:bodyDiv w:val="1"/>
      <w:marLeft w:val="0"/>
      <w:marRight w:val="0"/>
      <w:marTop w:val="0"/>
      <w:marBottom w:val="0"/>
      <w:divBdr>
        <w:top w:val="none" w:sz="0" w:space="0" w:color="auto"/>
        <w:left w:val="none" w:sz="0" w:space="0" w:color="auto"/>
        <w:bottom w:val="none" w:sz="0" w:space="0" w:color="auto"/>
        <w:right w:val="none" w:sz="0" w:space="0" w:color="auto"/>
      </w:divBdr>
    </w:div>
    <w:div w:id="906037119">
      <w:bodyDiv w:val="1"/>
      <w:marLeft w:val="0"/>
      <w:marRight w:val="0"/>
      <w:marTop w:val="0"/>
      <w:marBottom w:val="0"/>
      <w:divBdr>
        <w:top w:val="none" w:sz="0" w:space="0" w:color="auto"/>
        <w:left w:val="none" w:sz="0" w:space="0" w:color="auto"/>
        <w:bottom w:val="none" w:sz="0" w:space="0" w:color="auto"/>
        <w:right w:val="none" w:sz="0" w:space="0" w:color="auto"/>
      </w:divBdr>
    </w:div>
    <w:div w:id="906232422">
      <w:bodyDiv w:val="1"/>
      <w:marLeft w:val="0"/>
      <w:marRight w:val="0"/>
      <w:marTop w:val="0"/>
      <w:marBottom w:val="0"/>
      <w:divBdr>
        <w:top w:val="none" w:sz="0" w:space="0" w:color="auto"/>
        <w:left w:val="none" w:sz="0" w:space="0" w:color="auto"/>
        <w:bottom w:val="none" w:sz="0" w:space="0" w:color="auto"/>
        <w:right w:val="none" w:sz="0" w:space="0" w:color="auto"/>
      </w:divBdr>
    </w:div>
    <w:div w:id="906259344">
      <w:bodyDiv w:val="1"/>
      <w:marLeft w:val="0"/>
      <w:marRight w:val="0"/>
      <w:marTop w:val="0"/>
      <w:marBottom w:val="0"/>
      <w:divBdr>
        <w:top w:val="none" w:sz="0" w:space="0" w:color="auto"/>
        <w:left w:val="none" w:sz="0" w:space="0" w:color="auto"/>
        <w:bottom w:val="none" w:sz="0" w:space="0" w:color="auto"/>
        <w:right w:val="none" w:sz="0" w:space="0" w:color="auto"/>
      </w:divBdr>
    </w:div>
    <w:div w:id="906263648">
      <w:bodyDiv w:val="1"/>
      <w:marLeft w:val="0"/>
      <w:marRight w:val="0"/>
      <w:marTop w:val="0"/>
      <w:marBottom w:val="0"/>
      <w:divBdr>
        <w:top w:val="none" w:sz="0" w:space="0" w:color="auto"/>
        <w:left w:val="none" w:sz="0" w:space="0" w:color="auto"/>
        <w:bottom w:val="none" w:sz="0" w:space="0" w:color="auto"/>
        <w:right w:val="none" w:sz="0" w:space="0" w:color="auto"/>
      </w:divBdr>
    </w:div>
    <w:div w:id="906301914">
      <w:bodyDiv w:val="1"/>
      <w:marLeft w:val="0"/>
      <w:marRight w:val="0"/>
      <w:marTop w:val="0"/>
      <w:marBottom w:val="0"/>
      <w:divBdr>
        <w:top w:val="none" w:sz="0" w:space="0" w:color="auto"/>
        <w:left w:val="none" w:sz="0" w:space="0" w:color="auto"/>
        <w:bottom w:val="none" w:sz="0" w:space="0" w:color="auto"/>
        <w:right w:val="none" w:sz="0" w:space="0" w:color="auto"/>
      </w:divBdr>
    </w:div>
    <w:div w:id="906376579">
      <w:bodyDiv w:val="1"/>
      <w:marLeft w:val="0"/>
      <w:marRight w:val="0"/>
      <w:marTop w:val="0"/>
      <w:marBottom w:val="0"/>
      <w:divBdr>
        <w:top w:val="none" w:sz="0" w:space="0" w:color="auto"/>
        <w:left w:val="none" w:sz="0" w:space="0" w:color="auto"/>
        <w:bottom w:val="none" w:sz="0" w:space="0" w:color="auto"/>
        <w:right w:val="none" w:sz="0" w:space="0" w:color="auto"/>
      </w:divBdr>
    </w:div>
    <w:div w:id="906378374">
      <w:bodyDiv w:val="1"/>
      <w:marLeft w:val="0"/>
      <w:marRight w:val="0"/>
      <w:marTop w:val="0"/>
      <w:marBottom w:val="0"/>
      <w:divBdr>
        <w:top w:val="none" w:sz="0" w:space="0" w:color="auto"/>
        <w:left w:val="none" w:sz="0" w:space="0" w:color="auto"/>
        <w:bottom w:val="none" w:sz="0" w:space="0" w:color="auto"/>
        <w:right w:val="none" w:sz="0" w:space="0" w:color="auto"/>
      </w:divBdr>
    </w:div>
    <w:div w:id="906453634">
      <w:bodyDiv w:val="1"/>
      <w:marLeft w:val="0"/>
      <w:marRight w:val="0"/>
      <w:marTop w:val="0"/>
      <w:marBottom w:val="0"/>
      <w:divBdr>
        <w:top w:val="none" w:sz="0" w:space="0" w:color="auto"/>
        <w:left w:val="none" w:sz="0" w:space="0" w:color="auto"/>
        <w:bottom w:val="none" w:sz="0" w:space="0" w:color="auto"/>
        <w:right w:val="none" w:sz="0" w:space="0" w:color="auto"/>
      </w:divBdr>
    </w:div>
    <w:div w:id="906454401">
      <w:bodyDiv w:val="1"/>
      <w:marLeft w:val="0"/>
      <w:marRight w:val="0"/>
      <w:marTop w:val="0"/>
      <w:marBottom w:val="0"/>
      <w:divBdr>
        <w:top w:val="none" w:sz="0" w:space="0" w:color="auto"/>
        <w:left w:val="none" w:sz="0" w:space="0" w:color="auto"/>
        <w:bottom w:val="none" w:sz="0" w:space="0" w:color="auto"/>
        <w:right w:val="none" w:sz="0" w:space="0" w:color="auto"/>
      </w:divBdr>
    </w:div>
    <w:div w:id="906457335">
      <w:bodyDiv w:val="1"/>
      <w:marLeft w:val="0"/>
      <w:marRight w:val="0"/>
      <w:marTop w:val="0"/>
      <w:marBottom w:val="0"/>
      <w:divBdr>
        <w:top w:val="none" w:sz="0" w:space="0" w:color="auto"/>
        <w:left w:val="none" w:sz="0" w:space="0" w:color="auto"/>
        <w:bottom w:val="none" w:sz="0" w:space="0" w:color="auto"/>
        <w:right w:val="none" w:sz="0" w:space="0" w:color="auto"/>
      </w:divBdr>
    </w:div>
    <w:div w:id="906571845">
      <w:bodyDiv w:val="1"/>
      <w:marLeft w:val="0"/>
      <w:marRight w:val="0"/>
      <w:marTop w:val="0"/>
      <w:marBottom w:val="0"/>
      <w:divBdr>
        <w:top w:val="none" w:sz="0" w:space="0" w:color="auto"/>
        <w:left w:val="none" w:sz="0" w:space="0" w:color="auto"/>
        <w:bottom w:val="none" w:sz="0" w:space="0" w:color="auto"/>
        <w:right w:val="none" w:sz="0" w:space="0" w:color="auto"/>
      </w:divBdr>
    </w:div>
    <w:div w:id="906574077">
      <w:bodyDiv w:val="1"/>
      <w:marLeft w:val="0"/>
      <w:marRight w:val="0"/>
      <w:marTop w:val="0"/>
      <w:marBottom w:val="0"/>
      <w:divBdr>
        <w:top w:val="none" w:sz="0" w:space="0" w:color="auto"/>
        <w:left w:val="none" w:sz="0" w:space="0" w:color="auto"/>
        <w:bottom w:val="none" w:sz="0" w:space="0" w:color="auto"/>
        <w:right w:val="none" w:sz="0" w:space="0" w:color="auto"/>
      </w:divBdr>
    </w:div>
    <w:div w:id="906651332">
      <w:bodyDiv w:val="1"/>
      <w:marLeft w:val="0"/>
      <w:marRight w:val="0"/>
      <w:marTop w:val="0"/>
      <w:marBottom w:val="0"/>
      <w:divBdr>
        <w:top w:val="none" w:sz="0" w:space="0" w:color="auto"/>
        <w:left w:val="none" w:sz="0" w:space="0" w:color="auto"/>
        <w:bottom w:val="none" w:sz="0" w:space="0" w:color="auto"/>
        <w:right w:val="none" w:sz="0" w:space="0" w:color="auto"/>
      </w:divBdr>
    </w:div>
    <w:div w:id="906693245">
      <w:bodyDiv w:val="1"/>
      <w:marLeft w:val="0"/>
      <w:marRight w:val="0"/>
      <w:marTop w:val="0"/>
      <w:marBottom w:val="0"/>
      <w:divBdr>
        <w:top w:val="none" w:sz="0" w:space="0" w:color="auto"/>
        <w:left w:val="none" w:sz="0" w:space="0" w:color="auto"/>
        <w:bottom w:val="none" w:sz="0" w:space="0" w:color="auto"/>
        <w:right w:val="none" w:sz="0" w:space="0" w:color="auto"/>
      </w:divBdr>
    </w:div>
    <w:div w:id="906693587">
      <w:bodyDiv w:val="1"/>
      <w:marLeft w:val="0"/>
      <w:marRight w:val="0"/>
      <w:marTop w:val="0"/>
      <w:marBottom w:val="0"/>
      <w:divBdr>
        <w:top w:val="none" w:sz="0" w:space="0" w:color="auto"/>
        <w:left w:val="none" w:sz="0" w:space="0" w:color="auto"/>
        <w:bottom w:val="none" w:sz="0" w:space="0" w:color="auto"/>
        <w:right w:val="none" w:sz="0" w:space="0" w:color="auto"/>
      </w:divBdr>
    </w:div>
    <w:div w:id="906695988">
      <w:bodyDiv w:val="1"/>
      <w:marLeft w:val="0"/>
      <w:marRight w:val="0"/>
      <w:marTop w:val="0"/>
      <w:marBottom w:val="0"/>
      <w:divBdr>
        <w:top w:val="none" w:sz="0" w:space="0" w:color="auto"/>
        <w:left w:val="none" w:sz="0" w:space="0" w:color="auto"/>
        <w:bottom w:val="none" w:sz="0" w:space="0" w:color="auto"/>
        <w:right w:val="none" w:sz="0" w:space="0" w:color="auto"/>
      </w:divBdr>
    </w:div>
    <w:div w:id="906722868">
      <w:bodyDiv w:val="1"/>
      <w:marLeft w:val="0"/>
      <w:marRight w:val="0"/>
      <w:marTop w:val="0"/>
      <w:marBottom w:val="0"/>
      <w:divBdr>
        <w:top w:val="none" w:sz="0" w:space="0" w:color="auto"/>
        <w:left w:val="none" w:sz="0" w:space="0" w:color="auto"/>
        <w:bottom w:val="none" w:sz="0" w:space="0" w:color="auto"/>
        <w:right w:val="none" w:sz="0" w:space="0" w:color="auto"/>
      </w:divBdr>
    </w:div>
    <w:div w:id="906762613">
      <w:bodyDiv w:val="1"/>
      <w:marLeft w:val="0"/>
      <w:marRight w:val="0"/>
      <w:marTop w:val="0"/>
      <w:marBottom w:val="0"/>
      <w:divBdr>
        <w:top w:val="none" w:sz="0" w:space="0" w:color="auto"/>
        <w:left w:val="none" w:sz="0" w:space="0" w:color="auto"/>
        <w:bottom w:val="none" w:sz="0" w:space="0" w:color="auto"/>
        <w:right w:val="none" w:sz="0" w:space="0" w:color="auto"/>
      </w:divBdr>
    </w:div>
    <w:div w:id="906956394">
      <w:bodyDiv w:val="1"/>
      <w:marLeft w:val="0"/>
      <w:marRight w:val="0"/>
      <w:marTop w:val="0"/>
      <w:marBottom w:val="0"/>
      <w:divBdr>
        <w:top w:val="none" w:sz="0" w:space="0" w:color="auto"/>
        <w:left w:val="none" w:sz="0" w:space="0" w:color="auto"/>
        <w:bottom w:val="none" w:sz="0" w:space="0" w:color="auto"/>
        <w:right w:val="none" w:sz="0" w:space="0" w:color="auto"/>
      </w:divBdr>
    </w:div>
    <w:div w:id="907031187">
      <w:bodyDiv w:val="1"/>
      <w:marLeft w:val="0"/>
      <w:marRight w:val="0"/>
      <w:marTop w:val="0"/>
      <w:marBottom w:val="0"/>
      <w:divBdr>
        <w:top w:val="none" w:sz="0" w:space="0" w:color="auto"/>
        <w:left w:val="none" w:sz="0" w:space="0" w:color="auto"/>
        <w:bottom w:val="none" w:sz="0" w:space="0" w:color="auto"/>
        <w:right w:val="none" w:sz="0" w:space="0" w:color="auto"/>
      </w:divBdr>
    </w:div>
    <w:div w:id="907110237">
      <w:bodyDiv w:val="1"/>
      <w:marLeft w:val="0"/>
      <w:marRight w:val="0"/>
      <w:marTop w:val="0"/>
      <w:marBottom w:val="0"/>
      <w:divBdr>
        <w:top w:val="none" w:sz="0" w:space="0" w:color="auto"/>
        <w:left w:val="none" w:sz="0" w:space="0" w:color="auto"/>
        <w:bottom w:val="none" w:sz="0" w:space="0" w:color="auto"/>
        <w:right w:val="none" w:sz="0" w:space="0" w:color="auto"/>
      </w:divBdr>
    </w:div>
    <w:div w:id="907112214">
      <w:bodyDiv w:val="1"/>
      <w:marLeft w:val="0"/>
      <w:marRight w:val="0"/>
      <w:marTop w:val="0"/>
      <w:marBottom w:val="0"/>
      <w:divBdr>
        <w:top w:val="none" w:sz="0" w:space="0" w:color="auto"/>
        <w:left w:val="none" w:sz="0" w:space="0" w:color="auto"/>
        <w:bottom w:val="none" w:sz="0" w:space="0" w:color="auto"/>
        <w:right w:val="none" w:sz="0" w:space="0" w:color="auto"/>
      </w:divBdr>
    </w:div>
    <w:div w:id="907112821">
      <w:bodyDiv w:val="1"/>
      <w:marLeft w:val="0"/>
      <w:marRight w:val="0"/>
      <w:marTop w:val="0"/>
      <w:marBottom w:val="0"/>
      <w:divBdr>
        <w:top w:val="none" w:sz="0" w:space="0" w:color="auto"/>
        <w:left w:val="none" w:sz="0" w:space="0" w:color="auto"/>
        <w:bottom w:val="none" w:sz="0" w:space="0" w:color="auto"/>
        <w:right w:val="none" w:sz="0" w:space="0" w:color="auto"/>
      </w:divBdr>
    </w:div>
    <w:div w:id="907112824">
      <w:bodyDiv w:val="1"/>
      <w:marLeft w:val="0"/>
      <w:marRight w:val="0"/>
      <w:marTop w:val="0"/>
      <w:marBottom w:val="0"/>
      <w:divBdr>
        <w:top w:val="none" w:sz="0" w:space="0" w:color="auto"/>
        <w:left w:val="none" w:sz="0" w:space="0" w:color="auto"/>
        <w:bottom w:val="none" w:sz="0" w:space="0" w:color="auto"/>
        <w:right w:val="none" w:sz="0" w:space="0" w:color="auto"/>
      </w:divBdr>
    </w:div>
    <w:div w:id="907150904">
      <w:bodyDiv w:val="1"/>
      <w:marLeft w:val="0"/>
      <w:marRight w:val="0"/>
      <w:marTop w:val="0"/>
      <w:marBottom w:val="0"/>
      <w:divBdr>
        <w:top w:val="none" w:sz="0" w:space="0" w:color="auto"/>
        <w:left w:val="none" w:sz="0" w:space="0" w:color="auto"/>
        <w:bottom w:val="none" w:sz="0" w:space="0" w:color="auto"/>
        <w:right w:val="none" w:sz="0" w:space="0" w:color="auto"/>
      </w:divBdr>
    </w:div>
    <w:div w:id="907154967">
      <w:bodyDiv w:val="1"/>
      <w:marLeft w:val="0"/>
      <w:marRight w:val="0"/>
      <w:marTop w:val="0"/>
      <w:marBottom w:val="0"/>
      <w:divBdr>
        <w:top w:val="none" w:sz="0" w:space="0" w:color="auto"/>
        <w:left w:val="none" w:sz="0" w:space="0" w:color="auto"/>
        <w:bottom w:val="none" w:sz="0" w:space="0" w:color="auto"/>
        <w:right w:val="none" w:sz="0" w:space="0" w:color="auto"/>
      </w:divBdr>
    </w:div>
    <w:div w:id="907231461">
      <w:bodyDiv w:val="1"/>
      <w:marLeft w:val="0"/>
      <w:marRight w:val="0"/>
      <w:marTop w:val="0"/>
      <w:marBottom w:val="0"/>
      <w:divBdr>
        <w:top w:val="none" w:sz="0" w:space="0" w:color="auto"/>
        <w:left w:val="none" w:sz="0" w:space="0" w:color="auto"/>
        <w:bottom w:val="none" w:sz="0" w:space="0" w:color="auto"/>
        <w:right w:val="none" w:sz="0" w:space="0" w:color="auto"/>
      </w:divBdr>
    </w:div>
    <w:div w:id="907350891">
      <w:bodyDiv w:val="1"/>
      <w:marLeft w:val="0"/>
      <w:marRight w:val="0"/>
      <w:marTop w:val="0"/>
      <w:marBottom w:val="0"/>
      <w:divBdr>
        <w:top w:val="none" w:sz="0" w:space="0" w:color="auto"/>
        <w:left w:val="none" w:sz="0" w:space="0" w:color="auto"/>
        <w:bottom w:val="none" w:sz="0" w:space="0" w:color="auto"/>
        <w:right w:val="none" w:sz="0" w:space="0" w:color="auto"/>
      </w:divBdr>
    </w:div>
    <w:div w:id="907544606">
      <w:bodyDiv w:val="1"/>
      <w:marLeft w:val="0"/>
      <w:marRight w:val="0"/>
      <w:marTop w:val="0"/>
      <w:marBottom w:val="0"/>
      <w:divBdr>
        <w:top w:val="none" w:sz="0" w:space="0" w:color="auto"/>
        <w:left w:val="none" w:sz="0" w:space="0" w:color="auto"/>
        <w:bottom w:val="none" w:sz="0" w:space="0" w:color="auto"/>
        <w:right w:val="none" w:sz="0" w:space="0" w:color="auto"/>
      </w:divBdr>
    </w:div>
    <w:div w:id="907567793">
      <w:bodyDiv w:val="1"/>
      <w:marLeft w:val="0"/>
      <w:marRight w:val="0"/>
      <w:marTop w:val="0"/>
      <w:marBottom w:val="0"/>
      <w:divBdr>
        <w:top w:val="none" w:sz="0" w:space="0" w:color="auto"/>
        <w:left w:val="none" w:sz="0" w:space="0" w:color="auto"/>
        <w:bottom w:val="none" w:sz="0" w:space="0" w:color="auto"/>
        <w:right w:val="none" w:sz="0" w:space="0" w:color="auto"/>
      </w:divBdr>
    </w:div>
    <w:div w:id="907614505">
      <w:bodyDiv w:val="1"/>
      <w:marLeft w:val="0"/>
      <w:marRight w:val="0"/>
      <w:marTop w:val="0"/>
      <w:marBottom w:val="0"/>
      <w:divBdr>
        <w:top w:val="none" w:sz="0" w:space="0" w:color="auto"/>
        <w:left w:val="none" w:sz="0" w:space="0" w:color="auto"/>
        <w:bottom w:val="none" w:sz="0" w:space="0" w:color="auto"/>
        <w:right w:val="none" w:sz="0" w:space="0" w:color="auto"/>
      </w:divBdr>
    </w:div>
    <w:div w:id="907763613">
      <w:bodyDiv w:val="1"/>
      <w:marLeft w:val="0"/>
      <w:marRight w:val="0"/>
      <w:marTop w:val="0"/>
      <w:marBottom w:val="0"/>
      <w:divBdr>
        <w:top w:val="none" w:sz="0" w:space="0" w:color="auto"/>
        <w:left w:val="none" w:sz="0" w:space="0" w:color="auto"/>
        <w:bottom w:val="none" w:sz="0" w:space="0" w:color="auto"/>
        <w:right w:val="none" w:sz="0" w:space="0" w:color="auto"/>
      </w:divBdr>
    </w:div>
    <w:div w:id="907764702">
      <w:bodyDiv w:val="1"/>
      <w:marLeft w:val="0"/>
      <w:marRight w:val="0"/>
      <w:marTop w:val="0"/>
      <w:marBottom w:val="0"/>
      <w:divBdr>
        <w:top w:val="none" w:sz="0" w:space="0" w:color="auto"/>
        <w:left w:val="none" w:sz="0" w:space="0" w:color="auto"/>
        <w:bottom w:val="none" w:sz="0" w:space="0" w:color="auto"/>
        <w:right w:val="none" w:sz="0" w:space="0" w:color="auto"/>
      </w:divBdr>
    </w:div>
    <w:div w:id="907769934">
      <w:bodyDiv w:val="1"/>
      <w:marLeft w:val="0"/>
      <w:marRight w:val="0"/>
      <w:marTop w:val="0"/>
      <w:marBottom w:val="0"/>
      <w:divBdr>
        <w:top w:val="none" w:sz="0" w:space="0" w:color="auto"/>
        <w:left w:val="none" w:sz="0" w:space="0" w:color="auto"/>
        <w:bottom w:val="none" w:sz="0" w:space="0" w:color="auto"/>
        <w:right w:val="none" w:sz="0" w:space="0" w:color="auto"/>
      </w:divBdr>
    </w:div>
    <w:div w:id="907770385">
      <w:bodyDiv w:val="1"/>
      <w:marLeft w:val="0"/>
      <w:marRight w:val="0"/>
      <w:marTop w:val="0"/>
      <w:marBottom w:val="0"/>
      <w:divBdr>
        <w:top w:val="none" w:sz="0" w:space="0" w:color="auto"/>
        <w:left w:val="none" w:sz="0" w:space="0" w:color="auto"/>
        <w:bottom w:val="none" w:sz="0" w:space="0" w:color="auto"/>
        <w:right w:val="none" w:sz="0" w:space="0" w:color="auto"/>
      </w:divBdr>
    </w:div>
    <w:div w:id="907955854">
      <w:bodyDiv w:val="1"/>
      <w:marLeft w:val="0"/>
      <w:marRight w:val="0"/>
      <w:marTop w:val="0"/>
      <w:marBottom w:val="0"/>
      <w:divBdr>
        <w:top w:val="none" w:sz="0" w:space="0" w:color="auto"/>
        <w:left w:val="none" w:sz="0" w:space="0" w:color="auto"/>
        <w:bottom w:val="none" w:sz="0" w:space="0" w:color="auto"/>
        <w:right w:val="none" w:sz="0" w:space="0" w:color="auto"/>
      </w:divBdr>
    </w:div>
    <w:div w:id="908150974">
      <w:bodyDiv w:val="1"/>
      <w:marLeft w:val="0"/>
      <w:marRight w:val="0"/>
      <w:marTop w:val="0"/>
      <w:marBottom w:val="0"/>
      <w:divBdr>
        <w:top w:val="none" w:sz="0" w:space="0" w:color="auto"/>
        <w:left w:val="none" w:sz="0" w:space="0" w:color="auto"/>
        <w:bottom w:val="none" w:sz="0" w:space="0" w:color="auto"/>
        <w:right w:val="none" w:sz="0" w:space="0" w:color="auto"/>
      </w:divBdr>
    </w:div>
    <w:div w:id="908155727">
      <w:bodyDiv w:val="1"/>
      <w:marLeft w:val="0"/>
      <w:marRight w:val="0"/>
      <w:marTop w:val="0"/>
      <w:marBottom w:val="0"/>
      <w:divBdr>
        <w:top w:val="none" w:sz="0" w:space="0" w:color="auto"/>
        <w:left w:val="none" w:sz="0" w:space="0" w:color="auto"/>
        <w:bottom w:val="none" w:sz="0" w:space="0" w:color="auto"/>
        <w:right w:val="none" w:sz="0" w:space="0" w:color="auto"/>
      </w:divBdr>
    </w:div>
    <w:div w:id="908227160">
      <w:bodyDiv w:val="1"/>
      <w:marLeft w:val="0"/>
      <w:marRight w:val="0"/>
      <w:marTop w:val="0"/>
      <w:marBottom w:val="0"/>
      <w:divBdr>
        <w:top w:val="none" w:sz="0" w:space="0" w:color="auto"/>
        <w:left w:val="none" w:sz="0" w:space="0" w:color="auto"/>
        <w:bottom w:val="none" w:sz="0" w:space="0" w:color="auto"/>
        <w:right w:val="none" w:sz="0" w:space="0" w:color="auto"/>
      </w:divBdr>
    </w:div>
    <w:div w:id="908270034">
      <w:bodyDiv w:val="1"/>
      <w:marLeft w:val="0"/>
      <w:marRight w:val="0"/>
      <w:marTop w:val="0"/>
      <w:marBottom w:val="0"/>
      <w:divBdr>
        <w:top w:val="none" w:sz="0" w:space="0" w:color="auto"/>
        <w:left w:val="none" w:sz="0" w:space="0" w:color="auto"/>
        <w:bottom w:val="none" w:sz="0" w:space="0" w:color="auto"/>
        <w:right w:val="none" w:sz="0" w:space="0" w:color="auto"/>
      </w:divBdr>
    </w:div>
    <w:div w:id="908270762">
      <w:bodyDiv w:val="1"/>
      <w:marLeft w:val="0"/>
      <w:marRight w:val="0"/>
      <w:marTop w:val="0"/>
      <w:marBottom w:val="0"/>
      <w:divBdr>
        <w:top w:val="none" w:sz="0" w:space="0" w:color="auto"/>
        <w:left w:val="none" w:sz="0" w:space="0" w:color="auto"/>
        <w:bottom w:val="none" w:sz="0" w:space="0" w:color="auto"/>
        <w:right w:val="none" w:sz="0" w:space="0" w:color="auto"/>
      </w:divBdr>
    </w:div>
    <w:div w:id="908468546">
      <w:bodyDiv w:val="1"/>
      <w:marLeft w:val="0"/>
      <w:marRight w:val="0"/>
      <w:marTop w:val="0"/>
      <w:marBottom w:val="0"/>
      <w:divBdr>
        <w:top w:val="none" w:sz="0" w:space="0" w:color="auto"/>
        <w:left w:val="none" w:sz="0" w:space="0" w:color="auto"/>
        <w:bottom w:val="none" w:sz="0" w:space="0" w:color="auto"/>
        <w:right w:val="none" w:sz="0" w:space="0" w:color="auto"/>
      </w:divBdr>
    </w:div>
    <w:div w:id="908687835">
      <w:bodyDiv w:val="1"/>
      <w:marLeft w:val="0"/>
      <w:marRight w:val="0"/>
      <w:marTop w:val="0"/>
      <w:marBottom w:val="0"/>
      <w:divBdr>
        <w:top w:val="none" w:sz="0" w:space="0" w:color="auto"/>
        <w:left w:val="none" w:sz="0" w:space="0" w:color="auto"/>
        <w:bottom w:val="none" w:sz="0" w:space="0" w:color="auto"/>
        <w:right w:val="none" w:sz="0" w:space="0" w:color="auto"/>
      </w:divBdr>
    </w:div>
    <w:div w:id="908736167">
      <w:bodyDiv w:val="1"/>
      <w:marLeft w:val="0"/>
      <w:marRight w:val="0"/>
      <w:marTop w:val="0"/>
      <w:marBottom w:val="0"/>
      <w:divBdr>
        <w:top w:val="none" w:sz="0" w:space="0" w:color="auto"/>
        <w:left w:val="none" w:sz="0" w:space="0" w:color="auto"/>
        <w:bottom w:val="none" w:sz="0" w:space="0" w:color="auto"/>
        <w:right w:val="none" w:sz="0" w:space="0" w:color="auto"/>
      </w:divBdr>
    </w:div>
    <w:div w:id="908809904">
      <w:bodyDiv w:val="1"/>
      <w:marLeft w:val="0"/>
      <w:marRight w:val="0"/>
      <w:marTop w:val="0"/>
      <w:marBottom w:val="0"/>
      <w:divBdr>
        <w:top w:val="none" w:sz="0" w:space="0" w:color="auto"/>
        <w:left w:val="none" w:sz="0" w:space="0" w:color="auto"/>
        <w:bottom w:val="none" w:sz="0" w:space="0" w:color="auto"/>
        <w:right w:val="none" w:sz="0" w:space="0" w:color="auto"/>
      </w:divBdr>
    </w:div>
    <w:div w:id="908881673">
      <w:bodyDiv w:val="1"/>
      <w:marLeft w:val="0"/>
      <w:marRight w:val="0"/>
      <w:marTop w:val="0"/>
      <w:marBottom w:val="0"/>
      <w:divBdr>
        <w:top w:val="none" w:sz="0" w:space="0" w:color="auto"/>
        <w:left w:val="none" w:sz="0" w:space="0" w:color="auto"/>
        <w:bottom w:val="none" w:sz="0" w:space="0" w:color="auto"/>
        <w:right w:val="none" w:sz="0" w:space="0" w:color="auto"/>
      </w:divBdr>
    </w:div>
    <w:div w:id="909117561">
      <w:bodyDiv w:val="1"/>
      <w:marLeft w:val="0"/>
      <w:marRight w:val="0"/>
      <w:marTop w:val="0"/>
      <w:marBottom w:val="0"/>
      <w:divBdr>
        <w:top w:val="none" w:sz="0" w:space="0" w:color="auto"/>
        <w:left w:val="none" w:sz="0" w:space="0" w:color="auto"/>
        <w:bottom w:val="none" w:sz="0" w:space="0" w:color="auto"/>
        <w:right w:val="none" w:sz="0" w:space="0" w:color="auto"/>
      </w:divBdr>
    </w:div>
    <w:div w:id="909121316">
      <w:bodyDiv w:val="1"/>
      <w:marLeft w:val="0"/>
      <w:marRight w:val="0"/>
      <w:marTop w:val="0"/>
      <w:marBottom w:val="0"/>
      <w:divBdr>
        <w:top w:val="none" w:sz="0" w:space="0" w:color="auto"/>
        <w:left w:val="none" w:sz="0" w:space="0" w:color="auto"/>
        <w:bottom w:val="none" w:sz="0" w:space="0" w:color="auto"/>
        <w:right w:val="none" w:sz="0" w:space="0" w:color="auto"/>
      </w:divBdr>
    </w:div>
    <w:div w:id="909147652">
      <w:bodyDiv w:val="1"/>
      <w:marLeft w:val="0"/>
      <w:marRight w:val="0"/>
      <w:marTop w:val="0"/>
      <w:marBottom w:val="0"/>
      <w:divBdr>
        <w:top w:val="none" w:sz="0" w:space="0" w:color="auto"/>
        <w:left w:val="none" w:sz="0" w:space="0" w:color="auto"/>
        <w:bottom w:val="none" w:sz="0" w:space="0" w:color="auto"/>
        <w:right w:val="none" w:sz="0" w:space="0" w:color="auto"/>
      </w:divBdr>
    </w:div>
    <w:div w:id="909189980">
      <w:bodyDiv w:val="1"/>
      <w:marLeft w:val="0"/>
      <w:marRight w:val="0"/>
      <w:marTop w:val="0"/>
      <w:marBottom w:val="0"/>
      <w:divBdr>
        <w:top w:val="none" w:sz="0" w:space="0" w:color="auto"/>
        <w:left w:val="none" w:sz="0" w:space="0" w:color="auto"/>
        <w:bottom w:val="none" w:sz="0" w:space="0" w:color="auto"/>
        <w:right w:val="none" w:sz="0" w:space="0" w:color="auto"/>
      </w:divBdr>
    </w:div>
    <w:div w:id="909196634">
      <w:bodyDiv w:val="1"/>
      <w:marLeft w:val="0"/>
      <w:marRight w:val="0"/>
      <w:marTop w:val="0"/>
      <w:marBottom w:val="0"/>
      <w:divBdr>
        <w:top w:val="none" w:sz="0" w:space="0" w:color="auto"/>
        <w:left w:val="none" w:sz="0" w:space="0" w:color="auto"/>
        <w:bottom w:val="none" w:sz="0" w:space="0" w:color="auto"/>
        <w:right w:val="none" w:sz="0" w:space="0" w:color="auto"/>
      </w:divBdr>
    </w:div>
    <w:div w:id="909274295">
      <w:bodyDiv w:val="1"/>
      <w:marLeft w:val="0"/>
      <w:marRight w:val="0"/>
      <w:marTop w:val="0"/>
      <w:marBottom w:val="0"/>
      <w:divBdr>
        <w:top w:val="none" w:sz="0" w:space="0" w:color="auto"/>
        <w:left w:val="none" w:sz="0" w:space="0" w:color="auto"/>
        <w:bottom w:val="none" w:sz="0" w:space="0" w:color="auto"/>
        <w:right w:val="none" w:sz="0" w:space="0" w:color="auto"/>
      </w:divBdr>
    </w:div>
    <w:div w:id="909341805">
      <w:bodyDiv w:val="1"/>
      <w:marLeft w:val="0"/>
      <w:marRight w:val="0"/>
      <w:marTop w:val="0"/>
      <w:marBottom w:val="0"/>
      <w:divBdr>
        <w:top w:val="none" w:sz="0" w:space="0" w:color="auto"/>
        <w:left w:val="none" w:sz="0" w:space="0" w:color="auto"/>
        <w:bottom w:val="none" w:sz="0" w:space="0" w:color="auto"/>
        <w:right w:val="none" w:sz="0" w:space="0" w:color="auto"/>
      </w:divBdr>
    </w:div>
    <w:div w:id="909384282">
      <w:bodyDiv w:val="1"/>
      <w:marLeft w:val="0"/>
      <w:marRight w:val="0"/>
      <w:marTop w:val="0"/>
      <w:marBottom w:val="0"/>
      <w:divBdr>
        <w:top w:val="none" w:sz="0" w:space="0" w:color="auto"/>
        <w:left w:val="none" w:sz="0" w:space="0" w:color="auto"/>
        <w:bottom w:val="none" w:sz="0" w:space="0" w:color="auto"/>
        <w:right w:val="none" w:sz="0" w:space="0" w:color="auto"/>
      </w:divBdr>
    </w:div>
    <w:div w:id="909390544">
      <w:bodyDiv w:val="1"/>
      <w:marLeft w:val="0"/>
      <w:marRight w:val="0"/>
      <w:marTop w:val="0"/>
      <w:marBottom w:val="0"/>
      <w:divBdr>
        <w:top w:val="none" w:sz="0" w:space="0" w:color="auto"/>
        <w:left w:val="none" w:sz="0" w:space="0" w:color="auto"/>
        <w:bottom w:val="none" w:sz="0" w:space="0" w:color="auto"/>
        <w:right w:val="none" w:sz="0" w:space="0" w:color="auto"/>
      </w:divBdr>
    </w:div>
    <w:div w:id="909391776">
      <w:bodyDiv w:val="1"/>
      <w:marLeft w:val="0"/>
      <w:marRight w:val="0"/>
      <w:marTop w:val="0"/>
      <w:marBottom w:val="0"/>
      <w:divBdr>
        <w:top w:val="none" w:sz="0" w:space="0" w:color="auto"/>
        <w:left w:val="none" w:sz="0" w:space="0" w:color="auto"/>
        <w:bottom w:val="none" w:sz="0" w:space="0" w:color="auto"/>
        <w:right w:val="none" w:sz="0" w:space="0" w:color="auto"/>
      </w:divBdr>
    </w:div>
    <w:div w:id="909537883">
      <w:bodyDiv w:val="1"/>
      <w:marLeft w:val="0"/>
      <w:marRight w:val="0"/>
      <w:marTop w:val="0"/>
      <w:marBottom w:val="0"/>
      <w:divBdr>
        <w:top w:val="none" w:sz="0" w:space="0" w:color="auto"/>
        <w:left w:val="none" w:sz="0" w:space="0" w:color="auto"/>
        <w:bottom w:val="none" w:sz="0" w:space="0" w:color="auto"/>
        <w:right w:val="none" w:sz="0" w:space="0" w:color="auto"/>
      </w:divBdr>
    </w:div>
    <w:div w:id="909733542">
      <w:bodyDiv w:val="1"/>
      <w:marLeft w:val="0"/>
      <w:marRight w:val="0"/>
      <w:marTop w:val="0"/>
      <w:marBottom w:val="0"/>
      <w:divBdr>
        <w:top w:val="none" w:sz="0" w:space="0" w:color="auto"/>
        <w:left w:val="none" w:sz="0" w:space="0" w:color="auto"/>
        <w:bottom w:val="none" w:sz="0" w:space="0" w:color="auto"/>
        <w:right w:val="none" w:sz="0" w:space="0" w:color="auto"/>
      </w:divBdr>
    </w:div>
    <w:div w:id="909771302">
      <w:bodyDiv w:val="1"/>
      <w:marLeft w:val="0"/>
      <w:marRight w:val="0"/>
      <w:marTop w:val="0"/>
      <w:marBottom w:val="0"/>
      <w:divBdr>
        <w:top w:val="none" w:sz="0" w:space="0" w:color="auto"/>
        <w:left w:val="none" w:sz="0" w:space="0" w:color="auto"/>
        <w:bottom w:val="none" w:sz="0" w:space="0" w:color="auto"/>
        <w:right w:val="none" w:sz="0" w:space="0" w:color="auto"/>
      </w:divBdr>
    </w:div>
    <w:div w:id="909771635">
      <w:bodyDiv w:val="1"/>
      <w:marLeft w:val="0"/>
      <w:marRight w:val="0"/>
      <w:marTop w:val="0"/>
      <w:marBottom w:val="0"/>
      <w:divBdr>
        <w:top w:val="none" w:sz="0" w:space="0" w:color="auto"/>
        <w:left w:val="none" w:sz="0" w:space="0" w:color="auto"/>
        <w:bottom w:val="none" w:sz="0" w:space="0" w:color="auto"/>
        <w:right w:val="none" w:sz="0" w:space="0" w:color="auto"/>
      </w:divBdr>
    </w:div>
    <w:div w:id="909847059">
      <w:bodyDiv w:val="1"/>
      <w:marLeft w:val="0"/>
      <w:marRight w:val="0"/>
      <w:marTop w:val="0"/>
      <w:marBottom w:val="0"/>
      <w:divBdr>
        <w:top w:val="none" w:sz="0" w:space="0" w:color="auto"/>
        <w:left w:val="none" w:sz="0" w:space="0" w:color="auto"/>
        <w:bottom w:val="none" w:sz="0" w:space="0" w:color="auto"/>
        <w:right w:val="none" w:sz="0" w:space="0" w:color="auto"/>
      </w:divBdr>
    </w:div>
    <w:div w:id="909850060">
      <w:bodyDiv w:val="1"/>
      <w:marLeft w:val="0"/>
      <w:marRight w:val="0"/>
      <w:marTop w:val="0"/>
      <w:marBottom w:val="0"/>
      <w:divBdr>
        <w:top w:val="none" w:sz="0" w:space="0" w:color="auto"/>
        <w:left w:val="none" w:sz="0" w:space="0" w:color="auto"/>
        <w:bottom w:val="none" w:sz="0" w:space="0" w:color="auto"/>
        <w:right w:val="none" w:sz="0" w:space="0" w:color="auto"/>
      </w:divBdr>
    </w:div>
    <w:div w:id="909925023">
      <w:bodyDiv w:val="1"/>
      <w:marLeft w:val="0"/>
      <w:marRight w:val="0"/>
      <w:marTop w:val="0"/>
      <w:marBottom w:val="0"/>
      <w:divBdr>
        <w:top w:val="none" w:sz="0" w:space="0" w:color="auto"/>
        <w:left w:val="none" w:sz="0" w:space="0" w:color="auto"/>
        <w:bottom w:val="none" w:sz="0" w:space="0" w:color="auto"/>
        <w:right w:val="none" w:sz="0" w:space="0" w:color="auto"/>
      </w:divBdr>
    </w:div>
    <w:div w:id="909968493">
      <w:bodyDiv w:val="1"/>
      <w:marLeft w:val="0"/>
      <w:marRight w:val="0"/>
      <w:marTop w:val="0"/>
      <w:marBottom w:val="0"/>
      <w:divBdr>
        <w:top w:val="none" w:sz="0" w:space="0" w:color="auto"/>
        <w:left w:val="none" w:sz="0" w:space="0" w:color="auto"/>
        <w:bottom w:val="none" w:sz="0" w:space="0" w:color="auto"/>
        <w:right w:val="none" w:sz="0" w:space="0" w:color="auto"/>
      </w:divBdr>
    </w:div>
    <w:div w:id="909969893">
      <w:bodyDiv w:val="1"/>
      <w:marLeft w:val="0"/>
      <w:marRight w:val="0"/>
      <w:marTop w:val="0"/>
      <w:marBottom w:val="0"/>
      <w:divBdr>
        <w:top w:val="none" w:sz="0" w:space="0" w:color="auto"/>
        <w:left w:val="none" w:sz="0" w:space="0" w:color="auto"/>
        <w:bottom w:val="none" w:sz="0" w:space="0" w:color="auto"/>
        <w:right w:val="none" w:sz="0" w:space="0" w:color="auto"/>
      </w:divBdr>
    </w:div>
    <w:div w:id="910164007">
      <w:bodyDiv w:val="1"/>
      <w:marLeft w:val="0"/>
      <w:marRight w:val="0"/>
      <w:marTop w:val="0"/>
      <w:marBottom w:val="0"/>
      <w:divBdr>
        <w:top w:val="none" w:sz="0" w:space="0" w:color="auto"/>
        <w:left w:val="none" w:sz="0" w:space="0" w:color="auto"/>
        <w:bottom w:val="none" w:sz="0" w:space="0" w:color="auto"/>
        <w:right w:val="none" w:sz="0" w:space="0" w:color="auto"/>
      </w:divBdr>
    </w:div>
    <w:div w:id="910238119">
      <w:bodyDiv w:val="1"/>
      <w:marLeft w:val="0"/>
      <w:marRight w:val="0"/>
      <w:marTop w:val="0"/>
      <w:marBottom w:val="0"/>
      <w:divBdr>
        <w:top w:val="none" w:sz="0" w:space="0" w:color="auto"/>
        <w:left w:val="none" w:sz="0" w:space="0" w:color="auto"/>
        <w:bottom w:val="none" w:sz="0" w:space="0" w:color="auto"/>
        <w:right w:val="none" w:sz="0" w:space="0" w:color="auto"/>
      </w:divBdr>
    </w:div>
    <w:div w:id="910431472">
      <w:bodyDiv w:val="1"/>
      <w:marLeft w:val="0"/>
      <w:marRight w:val="0"/>
      <w:marTop w:val="0"/>
      <w:marBottom w:val="0"/>
      <w:divBdr>
        <w:top w:val="none" w:sz="0" w:space="0" w:color="auto"/>
        <w:left w:val="none" w:sz="0" w:space="0" w:color="auto"/>
        <w:bottom w:val="none" w:sz="0" w:space="0" w:color="auto"/>
        <w:right w:val="none" w:sz="0" w:space="0" w:color="auto"/>
      </w:divBdr>
    </w:div>
    <w:div w:id="910433660">
      <w:bodyDiv w:val="1"/>
      <w:marLeft w:val="0"/>
      <w:marRight w:val="0"/>
      <w:marTop w:val="0"/>
      <w:marBottom w:val="0"/>
      <w:divBdr>
        <w:top w:val="none" w:sz="0" w:space="0" w:color="auto"/>
        <w:left w:val="none" w:sz="0" w:space="0" w:color="auto"/>
        <w:bottom w:val="none" w:sz="0" w:space="0" w:color="auto"/>
        <w:right w:val="none" w:sz="0" w:space="0" w:color="auto"/>
      </w:divBdr>
    </w:div>
    <w:div w:id="910457714">
      <w:bodyDiv w:val="1"/>
      <w:marLeft w:val="0"/>
      <w:marRight w:val="0"/>
      <w:marTop w:val="0"/>
      <w:marBottom w:val="0"/>
      <w:divBdr>
        <w:top w:val="none" w:sz="0" w:space="0" w:color="auto"/>
        <w:left w:val="none" w:sz="0" w:space="0" w:color="auto"/>
        <w:bottom w:val="none" w:sz="0" w:space="0" w:color="auto"/>
        <w:right w:val="none" w:sz="0" w:space="0" w:color="auto"/>
      </w:divBdr>
    </w:div>
    <w:div w:id="910502120">
      <w:bodyDiv w:val="1"/>
      <w:marLeft w:val="0"/>
      <w:marRight w:val="0"/>
      <w:marTop w:val="0"/>
      <w:marBottom w:val="0"/>
      <w:divBdr>
        <w:top w:val="none" w:sz="0" w:space="0" w:color="auto"/>
        <w:left w:val="none" w:sz="0" w:space="0" w:color="auto"/>
        <w:bottom w:val="none" w:sz="0" w:space="0" w:color="auto"/>
        <w:right w:val="none" w:sz="0" w:space="0" w:color="auto"/>
      </w:divBdr>
    </w:div>
    <w:div w:id="910625317">
      <w:bodyDiv w:val="1"/>
      <w:marLeft w:val="0"/>
      <w:marRight w:val="0"/>
      <w:marTop w:val="0"/>
      <w:marBottom w:val="0"/>
      <w:divBdr>
        <w:top w:val="none" w:sz="0" w:space="0" w:color="auto"/>
        <w:left w:val="none" w:sz="0" w:space="0" w:color="auto"/>
        <w:bottom w:val="none" w:sz="0" w:space="0" w:color="auto"/>
        <w:right w:val="none" w:sz="0" w:space="0" w:color="auto"/>
      </w:divBdr>
    </w:div>
    <w:div w:id="910653586">
      <w:bodyDiv w:val="1"/>
      <w:marLeft w:val="0"/>
      <w:marRight w:val="0"/>
      <w:marTop w:val="0"/>
      <w:marBottom w:val="0"/>
      <w:divBdr>
        <w:top w:val="none" w:sz="0" w:space="0" w:color="auto"/>
        <w:left w:val="none" w:sz="0" w:space="0" w:color="auto"/>
        <w:bottom w:val="none" w:sz="0" w:space="0" w:color="auto"/>
        <w:right w:val="none" w:sz="0" w:space="0" w:color="auto"/>
      </w:divBdr>
    </w:div>
    <w:div w:id="910770874">
      <w:bodyDiv w:val="1"/>
      <w:marLeft w:val="0"/>
      <w:marRight w:val="0"/>
      <w:marTop w:val="0"/>
      <w:marBottom w:val="0"/>
      <w:divBdr>
        <w:top w:val="none" w:sz="0" w:space="0" w:color="auto"/>
        <w:left w:val="none" w:sz="0" w:space="0" w:color="auto"/>
        <w:bottom w:val="none" w:sz="0" w:space="0" w:color="auto"/>
        <w:right w:val="none" w:sz="0" w:space="0" w:color="auto"/>
      </w:divBdr>
    </w:div>
    <w:div w:id="910846771">
      <w:bodyDiv w:val="1"/>
      <w:marLeft w:val="0"/>
      <w:marRight w:val="0"/>
      <w:marTop w:val="0"/>
      <w:marBottom w:val="0"/>
      <w:divBdr>
        <w:top w:val="none" w:sz="0" w:space="0" w:color="auto"/>
        <w:left w:val="none" w:sz="0" w:space="0" w:color="auto"/>
        <w:bottom w:val="none" w:sz="0" w:space="0" w:color="auto"/>
        <w:right w:val="none" w:sz="0" w:space="0" w:color="auto"/>
      </w:divBdr>
    </w:div>
    <w:div w:id="910892381">
      <w:bodyDiv w:val="1"/>
      <w:marLeft w:val="0"/>
      <w:marRight w:val="0"/>
      <w:marTop w:val="0"/>
      <w:marBottom w:val="0"/>
      <w:divBdr>
        <w:top w:val="none" w:sz="0" w:space="0" w:color="auto"/>
        <w:left w:val="none" w:sz="0" w:space="0" w:color="auto"/>
        <w:bottom w:val="none" w:sz="0" w:space="0" w:color="auto"/>
        <w:right w:val="none" w:sz="0" w:space="0" w:color="auto"/>
      </w:divBdr>
    </w:div>
    <w:div w:id="910964592">
      <w:bodyDiv w:val="1"/>
      <w:marLeft w:val="0"/>
      <w:marRight w:val="0"/>
      <w:marTop w:val="0"/>
      <w:marBottom w:val="0"/>
      <w:divBdr>
        <w:top w:val="none" w:sz="0" w:space="0" w:color="auto"/>
        <w:left w:val="none" w:sz="0" w:space="0" w:color="auto"/>
        <w:bottom w:val="none" w:sz="0" w:space="0" w:color="auto"/>
        <w:right w:val="none" w:sz="0" w:space="0" w:color="auto"/>
      </w:divBdr>
    </w:div>
    <w:div w:id="911038884">
      <w:bodyDiv w:val="1"/>
      <w:marLeft w:val="0"/>
      <w:marRight w:val="0"/>
      <w:marTop w:val="0"/>
      <w:marBottom w:val="0"/>
      <w:divBdr>
        <w:top w:val="none" w:sz="0" w:space="0" w:color="auto"/>
        <w:left w:val="none" w:sz="0" w:space="0" w:color="auto"/>
        <w:bottom w:val="none" w:sz="0" w:space="0" w:color="auto"/>
        <w:right w:val="none" w:sz="0" w:space="0" w:color="auto"/>
      </w:divBdr>
    </w:div>
    <w:div w:id="911088414">
      <w:bodyDiv w:val="1"/>
      <w:marLeft w:val="0"/>
      <w:marRight w:val="0"/>
      <w:marTop w:val="0"/>
      <w:marBottom w:val="0"/>
      <w:divBdr>
        <w:top w:val="none" w:sz="0" w:space="0" w:color="auto"/>
        <w:left w:val="none" w:sz="0" w:space="0" w:color="auto"/>
        <w:bottom w:val="none" w:sz="0" w:space="0" w:color="auto"/>
        <w:right w:val="none" w:sz="0" w:space="0" w:color="auto"/>
      </w:divBdr>
    </w:div>
    <w:div w:id="911113722">
      <w:bodyDiv w:val="1"/>
      <w:marLeft w:val="0"/>
      <w:marRight w:val="0"/>
      <w:marTop w:val="0"/>
      <w:marBottom w:val="0"/>
      <w:divBdr>
        <w:top w:val="none" w:sz="0" w:space="0" w:color="auto"/>
        <w:left w:val="none" w:sz="0" w:space="0" w:color="auto"/>
        <w:bottom w:val="none" w:sz="0" w:space="0" w:color="auto"/>
        <w:right w:val="none" w:sz="0" w:space="0" w:color="auto"/>
      </w:divBdr>
    </w:div>
    <w:div w:id="911280426">
      <w:bodyDiv w:val="1"/>
      <w:marLeft w:val="0"/>
      <w:marRight w:val="0"/>
      <w:marTop w:val="0"/>
      <w:marBottom w:val="0"/>
      <w:divBdr>
        <w:top w:val="none" w:sz="0" w:space="0" w:color="auto"/>
        <w:left w:val="none" w:sz="0" w:space="0" w:color="auto"/>
        <w:bottom w:val="none" w:sz="0" w:space="0" w:color="auto"/>
        <w:right w:val="none" w:sz="0" w:space="0" w:color="auto"/>
      </w:divBdr>
    </w:div>
    <w:div w:id="911282725">
      <w:bodyDiv w:val="1"/>
      <w:marLeft w:val="0"/>
      <w:marRight w:val="0"/>
      <w:marTop w:val="0"/>
      <w:marBottom w:val="0"/>
      <w:divBdr>
        <w:top w:val="none" w:sz="0" w:space="0" w:color="auto"/>
        <w:left w:val="none" w:sz="0" w:space="0" w:color="auto"/>
        <w:bottom w:val="none" w:sz="0" w:space="0" w:color="auto"/>
        <w:right w:val="none" w:sz="0" w:space="0" w:color="auto"/>
      </w:divBdr>
    </w:div>
    <w:div w:id="911350829">
      <w:bodyDiv w:val="1"/>
      <w:marLeft w:val="0"/>
      <w:marRight w:val="0"/>
      <w:marTop w:val="0"/>
      <w:marBottom w:val="0"/>
      <w:divBdr>
        <w:top w:val="none" w:sz="0" w:space="0" w:color="auto"/>
        <w:left w:val="none" w:sz="0" w:space="0" w:color="auto"/>
        <w:bottom w:val="none" w:sz="0" w:space="0" w:color="auto"/>
        <w:right w:val="none" w:sz="0" w:space="0" w:color="auto"/>
      </w:divBdr>
    </w:div>
    <w:div w:id="911351018">
      <w:bodyDiv w:val="1"/>
      <w:marLeft w:val="0"/>
      <w:marRight w:val="0"/>
      <w:marTop w:val="0"/>
      <w:marBottom w:val="0"/>
      <w:divBdr>
        <w:top w:val="none" w:sz="0" w:space="0" w:color="auto"/>
        <w:left w:val="none" w:sz="0" w:space="0" w:color="auto"/>
        <w:bottom w:val="none" w:sz="0" w:space="0" w:color="auto"/>
        <w:right w:val="none" w:sz="0" w:space="0" w:color="auto"/>
      </w:divBdr>
    </w:div>
    <w:div w:id="911351165">
      <w:bodyDiv w:val="1"/>
      <w:marLeft w:val="0"/>
      <w:marRight w:val="0"/>
      <w:marTop w:val="0"/>
      <w:marBottom w:val="0"/>
      <w:divBdr>
        <w:top w:val="none" w:sz="0" w:space="0" w:color="auto"/>
        <w:left w:val="none" w:sz="0" w:space="0" w:color="auto"/>
        <w:bottom w:val="none" w:sz="0" w:space="0" w:color="auto"/>
        <w:right w:val="none" w:sz="0" w:space="0" w:color="auto"/>
      </w:divBdr>
    </w:div>
    <w:div w:id="911353768">
      <w:bodyDiv w:val="1"/>
      <w:marLeft w:val="0"/>
      <w:marRight w:val="0"/>
      <w:marTop w:val="0"/>
      <w:marBottom w:val="0"/>
      <w:divBdr>
        <w:top w:val="none" w:sz="0" w:space="0" w:color="auto"/>
        <w:left w:val="none" w:sz="0" w:space="0" w:color="auto"/>
        <w:bottom w:val="none" w:sz="0" w:space="0" w:color="auto"/>
        <w:right w:val="none" w:sz="0" w:space="0" w:color="auto"/>
      </w:divBdr>
    </w:div>
    <w:div w:id="911894616">
      <w:bodyDiv w:val="1"/>
      <w:marLeft w:val="0"/>
      <w:marRight w:val="0"/>
      <w:marTop w:val="0"/>
      <w:marBottom w:val="0"/>
      <w:divBdr>
        <w:top w:val="none" w:sz="0" w:space="0" w:color="auto"/>
        <w:left w:val="none" w:sz="0" w:space="0" w:color="auto"/>
        <w:bottom w:val="none" w:sz="0" w:space="0" w:color="auto"/>
        <w:right w:val="none" w:sz="0" w:space="0" w:color="auto"/>
      </w:divBdr>
    </w:div>
    <w:div w:id="911933704">
      <w:bodyDiv w:val="1"/>
      <w:marLeft w:val="0"/>
      <w:marRight w:val="0"/>
      <w:marTop w:val="0"/>
      <w:marBottom w:val="0"/>
      <w:divBdr>
        <w:top w:val="none" w:sz="0" w:space="0" w:color="auto"/>
        <w:left w:val="none" w:sz="0" w:space="0" w:color="auto"/>
        <w:bottom w:val="none" w:sz="0" w:space="0" w:color="auto"/>
        <w:right w:val="none" w:sz="0" w:space="0" w:color="auto"/>
      </w:divBdr>
    </w:div>
    <w:div w:id="911934434">
      <w:bodyDiv w:val="1"/>
      <w:marLeft w:val="0"/>
      <w:marRight w:val="0"/>
      <w:marTop w:val="0"/>
      <w:marBottom w:val="0"/>
      <w:divBdr>
        <w:top w:val="none" w:sz="0" w:space="0" w:color="auto"/>
        <w:left w:val="none" w:sz="0" w:space="0" w:color="auto"/>
        <w:bottom w:val="none" w:sz="0" w:space="0" w:color="auto"/>
        <w:right w:val="none" w:sz="0" w:space="0" w:color="auto"/>
      </w:divBdr>
    </w:div>
    <w:div w:id="912079864">
      <w:bodyDiv w:val="1"/>
      <w:marLeft w:val="0"/>
      <w:marRight w:val="0"/>
      <w:marTop w:val="0"/>
      <w:marBottom w:val="0"/>
      <w:divBdr>
        <w:top w:val="none" w:sz="0" w:space="0" w:color="auto"/>
        <w:left w:val="none" w:sz="0" w:space="0" w:color="auto"/>
        <w:bottom w:val="none" w:sz="0" w:space="0" w:color="auto"/>
        <w:right w:val="none" w:sz="0" w:space="0" w:color="auto"/>
      </w:divBdr>
    </w:div>
    <w:div w:id="912130586">
      <w:bodyDiv w:val="1"/>
      <w:marLeft w:val="0"/>
      <w:marRight w:val="0"/>
      <w:marTop w:val="0"/>
      <w:marBottom w:val="0"/>
      <w:divBdr>
        <w:top w:val="none" w:sz="0" w:space="0" w:color="auto"/>
        <w:left w:val="none" w:sz="0" w:space="0" w:color="auto"/>
        <w:bottom w:val="none" w:sz="0" w:space="0" w:color="auto"/>
        <w:right w:val="none" w:sz="0" w:space="0" w:color="auto"/>
      </w:divBdr>
    </w:div>
    <w:div w:id="912154811">
      <w:bodyDiv w:val="1"/>
      <w:marLeft w:val="0"/>
      <w:marRight w:val="0"/>
      <w:marTop w:val="0"/>
      <w:marBottom w:val="0"/>
      <w:divBdr>
        <w:top w:val="none" w:sz="0" w:space="0" w:color="auto"/>
        <w:left w:val="none" w:sz="0" w:space="0" w:color="auto"/>
        <w:bottom w:val="none" w:sz="0" w:space="0" w:color="auto"/>
        <w:right w:val="none" w:sz="0" w:space="0" w:color="auto"/>
      </w:divBdr>
    </w:div>
    <w:div w:id="912197612">
      <w:bodyDiv w:val="1"/>
      <w:marLeft w:val="0"/>
      <w:marRight w:val="0"/>
      <w:marTop w:val="0"/>
      <w:marBottom w:val="0"/>
      <w:divBdr>
        <w:top w:val="none" w:sz="0" w:space="0" w:color="auto"/>
        <w:left w:val="none" w:sz="0" w:space="0" w:color="auto"/>
        <w:bottom w:val="none" w:sz="0" w:space="0" w:color="auto"/>
        <w:right w:val="none" w:sz="0" w:space="0" w:color="auto"/>
      </w:divBdr>
    </w:div>
    <w:div w:id="912279970">
      <w:bodyDiv w:val="1"/>
      <w:marLeft w:val="0"/>
      <w:marRight w:val="0"/>
      <w:marTop w:val="0"/>
      <w:marBottom w:val="0"/>
      <w:divBdr>
        <w:top w:val="none" w:sz="0" w:space="0" w:color="auto"/>
        <w:left w:val="none" w:sz="0" w:space="0" w:color="auto"/>
        <w:bottom w:val="none" w:sz="0" w:space="0" w:color="auto"/>
        <w:right w:val="none" w:sz="0" w:space="0" w:color="auto"/>
      </w:divBdr>
    </w:div>
    <w:div w:id="912356941">
      <w:bodyDiv w:val="1"/>
      <w:marLeft w:val="0"/>
      <w:marRight w:val="0"/>
      <w:marTop w:val="0"/>
      <w:marBottom w:val="0"/>
      <w:divBdr>
        <w:top w:val="none" w:sz="0" w:space="0" w:color="auto"/>
        <w:left w:val="none" w:sz="0" w:space="0" w:color="auto"/>
        <w:bottom w:val="none" w:sz="0" w:space="0" w:color="auto"/>
        <w:right w:val="none" w:sz="0" w:space="0" w:color="auto"/>
      </w:divBdr>
    </w:div>
    <w:div w:id="912392985">
      <w:bodyDiv w:val="1"/>
      <w:marLeft w:val="0"/>
      <w:marRight w:val="0"/>
      <w:marTop w:val="0"/>
      <w:marBottom w:val="0"/>
      <w:divBdr>
        <w:top w:val="none" w:sz="0" w:space="0" w:color="auto"/>
        <w:left w:val="none" w:sz="0" w:space="0" w:color="auto"/>
        <w:bottom w:val="none" w:sz="0" w:space="0" w:color="auto"/>
        <w:right w:val="none" w:sz="0" w:space="0" w:color="auto"/>
      </w:divBdr>
    </w:div>
    <w:div w:id="912467641">
      <w:bodyDiv w:val="1"/>
      <w:marLeft w:val="0"/>
      <w:marRight w:val="0"/>
      <w:marTop w:val="0"/>
      <w:marBottom w:val="0"/>
      <w:divBdr>
        <w:top w:val="none" w:sz="0" w:space="0" w:color="auto"/>
        <w:left w:val="none" w:sz="0" w:space="0" w:color="auto"/>
        <w:bottom w:val="none" w:sz="0" w:space="0" w:color="auto"/>
        <w:right w:val="none" w:sz="0" w:space="0" w:color="auto"/>
      </w:divBdr>
    </w:div>
    <w:div w:id="912474514">
      <w:bodyDiv w:val="1"/>
      <w:marLeft w:val="0"/>
      <w:marRight w:val="0"/>
      <w:marTop w:val="0"/>
      <w:marBottom w:val="0"/>
      <w:divBdr>
        <w:top w:val="none" w:sz="0" w:space="0" w:color="auto"/>
        <w:left w:val="none" w:sz="0" w:space="0" w:color="auto"/>
        <w:bottom w:val="none" w:sz="0" w:space="0" w:color="auto"/>
        <w:right w:val="none" w:sz="0" w:space="0" w:color="auto"/>
      </w:divBdr>
    </w:div>
    <w:div w:id="912544670">
      <w:bodyDiv w:val="1"/>
      <w:marLeft w:val="0"/>
      <w:marRight w:val="0"/>
      <w:marTop w:val="0"/>
      <w:marBottom w:val="0"/>
      <w:divBdr>
        <w:top w:val="none" w:sz="0" w:space="0" w:color="auto"/>
        <w:left w:val="none" w:sz="0" w:space="0" w:color="auto"/>
        <w:bottom w:val="none" w:sz="0" w:space="0" w:color="auto"/>
        <w:right w:val="none" w:sz="0" w:space="0" w:color="auto"/>
      </w:divBdr>
    </w:div>
    <w:div w:id="912544747">
      <w:bodyDiv w:val="1"/>
      <w:marLeft w:val="0"/>
      <w:marRight w:val="0"/>
      <w:marTop w:val="0"/>
      <w:marBottom w:val="0"/>
      <w:divBdr>
        <w:top w:val="none" w:sz="0" w:space="0" w:color="auto"/>
        <w:left w:val="none" w:sz="0" w:space="0" w:color="auto"/>
        <w:bottom w:val="none" w:sz="0" w:space="0" w:color="auto"/>
        <w:right w:val="none" w:sz="0" w:space="0" w:color="auto"/>
      </w:divBdr>
    </w:div>
    <w:div w:id="912588999">
      <w:bodyDiv w:val="1"/>
      <w:marLeft w:val="0"/>
      <w:marRight w:val="0"/>
      <w:marTop w:val="0"/>
      <w:marBottom w:val="0"/>
      <w:divBdr>
        <w:top w:val="none" w:sz="0" w:space="0" w:color="auto"/>
        <w:left w:val="none" w:sz="0" w:space="0" w:color="auto"/>
        <w:bottom w:val="none" w:sz="0" w:space="0" w:color="auto"/>
        <w:right w:val="none" w:sz="0" w:space="0" w:color="auto"/>
      </w:divBdr>
    </w:div>
    <w:div w:id="912592523">
      <w:bodyDiv w:val="1"/>
      <w:marLeft w:val="0"/>
      <w:marRight w:val="0"/>
      <w:marTop w:val="0"/>
      <w:marBottom w:val="0"/>
      <w:divBdr>
        <w:top w:val="none" w:sz="0" w:space="0" w:color="auto"/>
        <w:left w:val="none" w:sz="0" w:space="0" w:color="auto"/>
        <w:bottom w:val="none" w:sz="0" w:space="0" w:color="auto"/>
        <w:right w:val="none" w:sz="0" w:space="0" w:color="auto"/>
      </w:divBdr>
    </w:div>
    <w:div w:id="912662439">
      <w:bodyDiv w:val="1"/>
      <w:marLeft w:val="0"/>
      <w:marRight w:val="0"/>
      <w:marTop w:val="0"/>
      <w:marBottom w:val="0"/>
      <w:divBdr>
        <w:top w:val="none" w:sz="0" w:space="0" w:color="auto"/>
        <w:left w:val="none" w:sz="0" w:space="0" w:color="auto"/>
        <w:bottom w:val="none" w:sz="0" w:space="0" w:color="auto"/>
        <w:right w:val="none" w:sz="0" w:space="0" w:color="auto"/>
      </w:divBdr>
    </w:div>
    <w:div w:id="912668297">
      <w:bodyDiv w:val="1"/>
      <w:marLeft w:val="0"/>
      <w:marRight w:val="0"/>
      <w:marTop w:val="0"/>
      <w:marBottom w:val="0"/>
      <w:divBdr>
        <w:top w:val="none" w:sz="0" w:space="0" w:color="auto"/>
        <w:left w:val="none" w:sz="0" w:space="0" w:color="auto"/>
        <w:bottom w:val="none" w:sz="0" w:space="0" w:color="auto"/>
        <w:right w:val="none" w:sz="0" w:space="0" w:color="auto"/>
      </w:divBdr>
    </w:div>
    <w:div w:id="912734534">
      <w:bodyDiv w:val="1"/>
      <w:marLeft w:val="0"/>
      <w:marRight w:val="0"/>
      <w:marTop w:val="0"/>
      <w:marBottom w:val="0"/>
      <w:divBdr>
        <w:top w:val="none" w:sz="0" w:space="0" w:color="auto"/>
        <w:left w:val="none" w:sz="0" w:space="0" w:color="auto"/>
        <w:bottom w:val="none" w:sz="0" w:space="0" w:color="auto"/>
        <w:right w:val="none" w:sz="0" w:space="0" w:color="auto"/>
      </w:divBdr>
    </w:div>
    <w:div w:id="912735881">
      <w:bodyDiv w:val="1"/>
      <w:marLeft w:val="0"/>
      <w:marRight w:val="0"/>
      <w:marTop w:val="0"/>
      <w:marBottom w:val="0"/>
      <w:divBdr>
        <w:top w:val="none" w:sz="0" w:space="0" w:color="auto"/>
        <w:left w:val="none" w:sz="0" w:space="0" w:color="auto"/>
        <w:bottom w:val="none" w:sz="0" w:space="0" w:color="auto"/>
        <w:right w:val="none" w:sz="0" w:space="0" w:color="auto"/>
      </w:divBdr>
    </w:div>
    <w:div w:id="912811447">
      <w:bodyDiv w:val="1"/>
      <w:marLeft w:val="0"/>
      <w:marRight w:val="0"/>
      <w:marTop w:val="0"/>
      <w:marBottom w:val="0"/>
      <w:divBdr>
        <w:top w:val="none" w:sz="0" w:space="0" w:color="auto"/>
        <w:left w:val="none" w:sz="0" w:space="0" w:color="auto"/>
        <w:bottom w:val="none" w:sz="0" w:space="0" w:color="auto"/>
        <w:right w:val="none" w:sz="0" w:space="0" w:color="auto"/>
      </w:divBdr>
    </w:div>
    <w:div w:id="913048716">
      <w:bodyDiv w:val="1"/>
      <w:marLeft w:val="0"/>
      <w:marRight w:val="0"/>
      <w:marTop w:val="0"/>
      <w:marBottom w:val="0"/>
      <w:divBdr>
        <w:top w:val="none" w:sz="0" w:space="0" w:color="auto"/>
        <w:left w:val="none" w:sz="0" w:space="0" w:color="auto"/>
        <w:bottom w:val="none" w:sz="0" w:space="0" w:color="auto"/>
        <w:right w:val="none" w:sz="0" w:space="0" w:color="auto"/>
      </w:divBdr>
    </w:div>
    <w:div w:id="913080115">
      <w:bodyDiv w:val="1"/>
      <w:marLeft w:val="0"/>
      <w:marRight w:val="0"/>
      <w:marTop w:val="0"/>
      <w:marBottom w:val="0"/>
      <w:divBdr>
        <w:top w:val="none" w:sz="0" w:space="0" w:color="auto"/>
        <w:left w:val="none" w:sz="0" w:space="0" w:color="auto"/>
        <w:bottom w:val="none" w:sz="0" w:space="0" w:color="auto"/>
        <w:right w:val="none" w:sz="0" w:space="0" w:color="auto"/>
      </w:divBdr>
    </w:div>
    <w:div w:id="913122444">
      <w:bodyDiv w:val="1"/>
      <w:marLeft w:val="0"/>
      <w:marRight w:val="0"/>
      <w:marTop w:val="0"/>
      <w:marBottom w:val="0"/>
      <w:divBdr>
        <w:top w:val="none" w:sz="0" w:space="0" w:color="auto"/>
        <w:left w:val="none" w:sz="0" w:space="0" w:color="auto"/>
        <w:bottom w:val="none" w:sz="0" w:space="0" w:color="auto"/>
        <w:right w:val="none" w:sz="0" w:space="0" w:color="auto"/>
      </w:divBdr>
    </w:div>
    <w:div w:id="913197099">
      <w:bodyDiv w:val="1"/>
      <w:marLeft w:val="0"/>
      <w:marRight w:val="0"/>
      <w:marTop w:val="0"/>
      <w:marBottom w:val="0"/>
      <w:divBdr>
        <w:top w:val="none" w:sz="0" w:space="0" w:color="auto"/>
        <w:left w:val="none" w:sz="0" w:space="0" w:color="auto"/>
        <w:bottom w:val="none" w:sz="0" w:space="0" w:color="auto"/>
        <w:right w:val="none" w:sz="0" w:space="0" w:color="auto"/>
      </w:divBdr>
    </w:div>
    <w:div w:id="913201756">
      <w:bodyDiv w:val="1"/>
      <w:marLeft w:val="0"/>
      <w:marRight w:val="0"/>
      <w:marTop w:val="0"/>
      <w:marBottom w:val="0"/>
      <w:divBdr>
        <w:top w:val="none" w:sz="0" w:space="0" w:color="auto"/>
        <w:left w:val="none" w:sz="0" w:space="0" w:color="auto"/>
        <w:bottom w:val="none" w:sz="0" w:space="0" w:color="auto"/>
        <w:right w:val="none" w:sz="0" w:space="0" w:color="auto"/>
      </w:divBdr>
    </w:div>
    <w:div w:id="913273366">
      <w:bodyDiv w:val="1"/>
      <w:marLeft w:val="0"/>
      <w:marRight w:val="0"/>
      <w:marTop w:val="0"/>
      <w:marBottom w:val="0"/>
      <w:divBdr>
        <w:top w:val="none" w:sz="0" w:space="0" w:color="auto"/>
        <w:left w:val="none" w:sz="0" w:space="0" w:color="auto"/>
        <w:bottom w:val="none" w:sz="0" w:space="0" w:color="auto"/>
        <w:right w:val="none" w:sz="0" w:space="0" w:color="auto"/>
      </w:divBdr>
    </w:div>
    <w:div w:id="913314604">
      <w:bodyDiv w:val="1"/>
      <w:marLeft w:val="0"/>
      <w:marRight w:val="0"/>
      <w:marTop w:val="0"/>
      <w:marBottom w:val="0"/>
      <w:divBdr>
        <w:top w:val="none" w:sz="0" w:space="0" w:color="auto"/>
        <w:left w:val="none" w:sz="0" w:space="0" w:color="auto"/>
        <w:bottom w:val="none" w:sz="0" w:space="0" w:color="auto"/>
        <w:right w:val="none" w:sz="0" w:space="0" w:color="auto"/>
      </w:divBdr>
    </w:div>
    <w:div w:id="913391034">
      <w:bodyDiv w:val="1"/>
      <w:marLeft w:val="0"/>
      <w:marRight w:val="0"/>
      <w:marTop w:val="0"/>
      <w:marBottom w:val="0"/>
      <w:divBdr>
        <w:top w:val="none" w:sz="0" w:space="0" w:color="auto"/>
        <w:left w:val="none" w:sz="0" w:space="0" w:color="auto"/>
        <w:bottom w:val="none" w:sz="0" w:space="0" w:color="auto"/>
        <w:right w:val="none" w:sz="0" w:space="0" w:color="auto"/>
      </w:divBdr>
    </w:div>
    <w:div w:id="913510348">
      <w:bodyDiv w:val="1"/>
      <w:marLeft w:val="0"/>
      <w:marRight w:val="0"/>
      <w:marTop w:val="0"/>
      <w:marBottom w:val="0"/>
      <w:divBdr>
        <w:top w:val="none" w:sz="0" w:space="0" w:color="auto"/>
        <w:left w:val="none" w:sz="0" w:space="0" w:color="auto"/>
        <w:bottom w:val="none" w:sz="0" w:space="0" w:color="auto"/>
        <w:right w:val="none" w:sz="0" w:space="0" w:color="auto"/>
      </w:divBdr>
    </w:div>
    <w:div w:id="913511614">
      <w:bodyDiv w:val="1"/>
      <w:marLeft w:val="0"/>
      <w:marRight w:val="0"/>
      <w:marTop w:val="0"/>
      <w:marBottom w:val="0"/>
      <w:divBdr>
        <w:top w:val="none" w:sz="0" w:space="0" w:color="auto"/>
        <w:left w:val="none" w:sz="0" w:space="0" w:color="auto"/>
        <w:bottom w:val="none" w:sz="0" w:space="0" w:color="auto"/>
        <w:right w:val="none" w:sz="0" w:space="0" w:color="auto"/>
      </w:divBdr>
    </w:div>
    <w:div w:id="913588864">
      <w:bodyDiv w:val="1"/>
      <w:marLeft w:val="0"/>
      <w:marRight w:val="0"/>
      <w:marTop w:val="0"/>
      <w:marBottom w:val="0"/>
      <w:divBdr>
        <w:top w:val="none" w:sz="0" w:space="0" w:color="auto"/>
        <w:left w:val="none" w:sz="0" w:space="0" w:color="auto"/>
        <w:bottom w:val="none" w:sz="0" w:space="0" w:color="auto"/>
        <w:right w:val="none" w:sz="0" w:space="0" w:color="auto"/>
      </w:divBdr>
    </w:div>
    <w:div w:id="913660439">
      <w:bodyDiv w:val="1"/>
      <w:marLeft w:val="0"/>
      <w:marRight w:val="0"/>
      <w:marTop w:val="0"/>
      <w:marBottom w:val="0"/>
      <w:divBdr>
        <w:top w:val="none" w:sz="0" w:space="0" w:color="auto"/>
        <w:left w:val="none" w:sz="0" w:space="0" w:color="auto"/>
        <w:bottom w:val="none" w:sz="0" w:space="0" w:color="auto"/>
        <w:right w:val="none" w:sz="0" w:space="0" w:color="auto"/>
      </w:divBdr>
    </w:div>
    <w:div w:id="913705444">
      <w:bodyDiv w:val="1"/>
      <w:marLeft w:val="0"/>
      <w:marRight w:val="0"/>
      <w:marTop w:val="0"/>
      <w:marBottom w:val="0"/>
      <w:divBdr>
        <w:top w:val="none" w:sz="0" w:space="0" w:color="auto"/>
        <w:left w:val="none" w:sz="0" w:space="0" w:color="auto"/>
        <w:bottom w:val="none" w:sz="0" w:space="0" w:color="auto"/>
        <w:right w:val="none" w:sz="0" w:space="0" w:color="auto"/>
      </w:divBdr>
    </w:div>
    <w:div w:id="913709397">
      <w:bodyDiv w:val="1"/>
      <w:marLeft w:val="0"/>
      <w:marRight w:val="0"/>
      <w:marTop w:val="0"/>
      <w:marBottom w:val="0"/>
      <w:divBdr>
        <w:top w:val="none" w:sz="0" w:space="0" w:color="auto"/>
        <w:left w:val="none" w:sz="0" w:space="0" w:color="auto"/>
        <w:bottom w:val="none" w:sz="0" w:space="0" w:color="auto"/>
        <w:right w:val="none" w:sz="0" w:space="0" w:color="auto"/>
      </w:divBdr>
    </w:div>
    <w:div w:id="913857464">
      <w:bodyDiv w:val="1"/>
      <w:marLeft w:val="0"/>
      <w:marRight w:val="0"/>
      <w:marTop w:val="0"/>
      <w:marBottom w:val="0"/>
      <w:divBdr>
        <w:top w:val="none" w:sz="0" w:space="0" w:color="auto"/>
        <w:left w:val="none" w:sz="0" w:space="0" w:color="auto"/>
        <w:bottom w:val="none" w:sz="0" w:space="0" w:color="auto"/>
        <w:right w:val="none" w:sz="0" w:space="0" w:color="auto"/>
      </w:divBdr>
    </w:div>
    <w:div w:id="914045020">
      <w:bodyDiv w:val="1"/>
      <w:marLeft w:val="0"/>
      <w:marRight w:val="0"/>
      <w:marTop w:val="0"/>
      <w:marBottom w:val="0"/>
      <w:divBdr>
        <w:top w:val="none" w:sz="0" w:space="0" w:color="auto"/>
        <w:left w:val="none" w:sz="0" w:space="0" w:color="auto"/>
        <w:bottom w:val="none" w:sz="0" w:space="0" w:color="auto"/>
        <w:right w:val="none" w:sz="0" w:space="0" w:color="auto"/>
      </w:divBdr>
    </w:div>
    <w:div w:id="914045262">
      <w:bodyDiv w:val="1"/>
      <w:marLeft w:val="0"/>
      <w:marRight w:val="0"/>
      <w:marTop w:val="0"/>
      <w:marBottom w:val="0"/>
      <w:divBdr>
        <w:top w:val="none" w:sz="0" w:space="0" w:color="auto"/>
        <w:left w:val="none" w:sz="0" w:space="0" w:color="auto"/>
        <w:bottom w:val="none" w:sz="0" w:space="0" w:color="auto"/>
        <w:right w:val="none" w:sz="0" w:space="0" w:color="auto"/>
      </w:divBdr>
    </w:div>
    <w:div w:id="914439797">
      <w:bodyDiv w:val="1"/>
      <w:marLeft w:val="0"/>
      <w:marRight w:val="0"/>
      <w:marTop w:val="0"/>
      <w:marBottom w:val="0"/>
      <w:divBdr>
        <w:top w:val="none" w:sz="0" w:space="0" w:color="auto"/>
        <w:left w:val="none" w:sz="0" w:space="0" w:color="auto"/>
        <w:bottom w:val="none" w:sz="0" w:space="0" w:color="auto"/>
        <w:right w:val="none" w:sz="0" w:space="0" w:color="auto"/>
      </w:divBdr>
    </w:div>
    <w:div w:id="914513410">
      <w:bodyDiv w:val="1"/>
      <w:marLeft w:val="0"/>
      <w:marRight w:val="0"/>
      <w:marTop w:val="0"/>
      <w:marBottom w:val="0"/>
      <w:divBdr>
        <w:top w:val="none" w:sz="0" w:space="0" w:color="auto"/>
        <w:left w:val="none" w:sz="0" w:space="0" w:color="auto"/>
        <w:bottom w:val="none" w:sz="0" w:space="0" w:color="auto"/>
        <w:right w:val="none" w:sz="0" w:space="0" w:color="auto"/>
      </w:divBdr>
    </w:div>
    <w:div w:id="914634428">
      <w:bodyDiv w:val="1"/>
      <w:marLeft w:val="0"/>
      <w:marRight w:val="0"/>
      <w:marTop w:val="0"/>
      <w:marBottom w:val="0"/>
      <w:divBdr>
        <w:top w:val="none" w:sz="0" w:space="0" w:color="auto"/>
        <w:left w:val="none" w:sz="0" w:space="0" w:color="auto"/>
        <w:bottom w:val="none" w:sz="0" w:space="0" w:color="auto"/>
        <w:right w:val="none" w:sz="0" w:space="0" w:color="auto"/>
      </w:divBdr>
    </w:div>
    <w:div w:id="914779223">
      <w:bodyDiv w:val="1"/>
      <w:marLeft w:val="0"/>
      <w:marRight w:val="0"/>
      <w:marTop w:val="0"/>
      <w:marBottom w:val="0"/>
      <w:divBdr>
        <w:top w:val="none" w:sz="0" w:space="0" w:color="auto"/>
        <w:left w:val="none" w:sz="0" w:space="0" w:color="auto"/>
        <w:bottom w:val="none" w:sz="0" w:space="0" w:color="auto"/>
        <w:right w:val="none" w:sz="0" w:space="0" w:color="auto"/>
      </w:divBdr>
    </w:div>
    <w:div w:id="914822989">
      <w:bodyDiv w:val="1"/>
      <w:marLeft w:val="0"/>
      <w:marRight w:val="0"/>
      <w:marTop w:val="0"/>
      <w:marBottom w:val="0"/>
      <w:divBdr>
        <w:top w:val="none" w:sz="0" w:space="0" w:color="auto"/>
        <w:left w:val="none" w:sz="0" w:space="0" w:color="auto"/>
        <w:bottom w:val="none" w:sz="0" w:space="0" w:color="auto"/>
        <w:right w:val="none" w:sz="0" w:space="0" w:color="auto"/>
      </w:divBdr>
    </w:div>
    <w:div w:id="914894226">
      <w:bodyDiv w:val="1"/>
      <w:marLeft w:val="0"/>
      <w:marRight w:val="0"/>
      <w:marTop w:val="0"/>
      <w:marBottom w:val="0"/>
      <w:divBdr>
        <w:top w:val="none" w:sz="0" w:space="0" w:color="auto"/>
        <w:left w:val="none" w:sz="0" w:space="0" w:color="auto"/>
        <w:bottom w:val="none" w:sz="0" w:space="0" w:color="auto"/>
        <w:right w:val="none" w:sz="0" w:space="0" w:color="auto"/>
      </w:divBdr>
    </w:div>
    <w:div w:id="914899083">
      <w:bodyDiv w:val="1"/>
      <w:marLeft w:val="0"/>
      <w:marRight w:val="0"/>
      <w:marTop w:val="0"/>
      <w:marBottom w:val="0"/>
      <w:divBdr>
        <w:top w:val="none" w:sz="0" w:space="0" w:color="auto"/>
        <w:left w:val="none" w:sz="0" w:space="0" w:color="auto"/>
        <w:bottom w:val="none" w:sz="0" w:space="0" w:color="auto"/>
        <w:right w:val="none" w:sz="0" w:space="0" w:color="auto"/>
      </w:divBdr>
    </w:div>
    <w:div w:id="914970342">
      <w:bodyDiv w:val="1"/>
      <w:marLeft w:val="0"/>
      <w:marRight w:val="0"/>
      <w:marTop w:val="0"/>
      <w:marBottom w:val="0"/>
      <w:divBdr>
        <w:top w:val="none" w:sz="0" w:space="0" w:color="auto"/>
        <w:left w:val="none" w:sz="0" w:space="0" w:color="auto"/>
        <w:bottom w:val="none" w:sz="0" w:space="0" w:color="auto"/>
        <w:right w:val="none" w:sz="0" w:space="0" w:color="auto"/>
      </w:divBdr>
    </w:div>
    <w:div w:id="915087798">
      <w:bodyDiv w:val="1"/>
      <w:marLeft w:val="0"/>
      <w:marRight w:val="0"/>
      <w:marTop w:val="0"/>
      <w:marBottom w:val="0"/>
      <w:divBdr>
        <w:top w:val="none" w:sz="0" w:space="0" w:color="auto"/>
        <w:left w:val="none" w:sz="0" w:space="0" w:color="auto"/>
        <w:bottom w:val="none" w:sz="0" w:space="0" w:color="auto"/>
        <w:right w:val="none" w:sz="0" w:space="0" w:color="auto"/>
      </w:divBdr>
    </w:div>
    <w:div w:id="915087839">
      <w:bodyDiv w:val="1"/>
      <w:marLeft w:val="0"/>
      <w:marRight w:val="0"/>
      <w:marTop w:val="0"/>
      <w:marBottom w:val="0"/>
      <w:divBdr>
        <w:top w:val="none" w:sz="0" w:space="0" w:color="auto"/>
        <w:left w:val="none" w:sz="0" w:space="0" w:color="auto"/>
        <w:bottom w:val="none" w:sz="0" w:space="0" w:color="auto"/>
        <w:right w:val="none" w:sz="0" w:space="0" w:color="auto"/>
      </w:divBdr>
    </w:div>
    <w:div w:id="915165034">
      <w:bodyDiv w:val="1"/>
      <w:marLeft w:val="0"/>
      <w:marRight w:val="0"/>
      <w:marTop w:val="0"/>
      <w:marBottom w:val="0"/>
      <w:divBdr>
        <w:top w:val="none" w:sz="0" w:space="0" w:color="auto"/>
        <w:left w:val="none" w:sz="0" w:space="0" w:color="auto"/>
        <w:bottom w:val="none" w:sz="0" w:space="0" w:color="auto"/>
        <w:right w:val="none" w:sz="0" w:space="0" w:color="auto"/>
      </w:divBdr>
    </w:div>
    <w:div w:id="915165627">
      <w:bodyDiv w:val="1"/>
      <w:marLeft w:val="0"/>
      <w:marRight w:val="0"/>
      <w:marTop w:val="0"/>
      <w:marBottom w:val="0"/>
      <w:divBdr>
        <w:top w:val="none" w:sz="0" w:space="0" w:color="auto"/>
        <w:left w:val="none" w:sz="0" w:space="0" w:color="auto"/>
        <w:bottom w:val="none" w:sz="0" w:space="0" w:color="auto"/>
        <w:right w:val="none" w:sz="0" w:space="0" w:color="auto"/>
      </w:divBdr>
    </w:div>
    <w:div w:id="915166080">
      <w:bodyDiv w:val="1"/>
      <w:marLeft w:val="0"/>
      <w:marRight w:val="0"/>
      <w:marTop w:val="0"/>
      <w:marBottom w:val="0"/>
      <w:divBdr>
        <w:top w:val="none" w:sz="0" w:space="0" w:color="auto"/>
        <w:left w:val="none" w:sz="0" w:space="0" w:color="auto"/>
        <w:bottom w:val="none" w:sz="0" w:space="0" w:color="auto"/>
        <w:right w:val="none" w:sz="0" w:space="0" w:color="auto"/>
      </w:divBdr>
    </w:div>
    <w:div w:id="915212130">
      <w:bodyDiv w:val="1"/>
      <w:marLeft w:val="0"/>
      <w:marRight w:val="0"/>
      <w:marTop w:val="0"/>
      <w:marBottom w:val="0"/>
      <w:divBdr>
        <w:top w:val="none" w:sz="0" w:space="0" w:color="auto"/>
        <w:left w:val="none" w:sz="0" w:space="0" w:color="auto"/>
        <w:bottom w:val="none" w:sz="0" w:space="0" w:color="auto"/>
        <w:right w:val="none" w:sz="0" w:space="0" w:color="auto"/>
      </w:divBdr>
    </w:div>
    <w:div w:id="915280408">
      <w:bodyDiv w:val="1"/>
      <w:marLeft w:val="0"/>
      <w:marRight w:val="0"/>
      <w:marTop w:val="0"/>
      <w:marBottom w:val="0"/>
      <w:divBdr>
        <w:top w:val="none" w:sz="0" w:space="0" w:color="auto"/>
        <w:left w:val="none" w:sz="0" w:space="0" w:color="auto"/>
        <w:bottom w:val="none" w:sz="0" w:space="0" w:color="auto"/>
        <w:right w:val="none" w:sz="0" w:space="0" w:color="auto"/>
      </w:divBdr>
    </w:div>
    <w:div w:id="915359638">
      <w:bodyDiv w:val="1"/>
      <w:marLeft w:val="0"/>
      <w:marRight w:val="0"/>
      <w:marTop w:val="0"/>
      <w:marBottom w:val="0"/>
      <w:divBdr>
        <w:top w:val="none" w:sz="0" w:space="0" w:color="auto"/>
        <w:left w:val="none" w:sz="0" w:space="0" w:color="auto"/>
        <w:bottom w:val="none" w:sz="0" w:space="0" w:color="auto"/>
        <w:right w:val="none" w:sz="0" w:space="0" w:color="auto"/>
      </w:divBdr>
    </w:div>
    <w:div w:id="915362252">
      <w:bodyDiv w:val="1"/>
      <w:marLeft w:val="0"/>
      <w:marRight w:val="0"/>
      <w:marTop w:val="0"/>
      <w:marBottom w:val="0"/>
      <w:divBdr>
        <w:top w:val="none" w:sz="0" w:space="0" w:color="auto"/>
        <w:left w:val="none" w:sz="0" w:space="0" w:color="auto"/>
        <w:bottom w:val="none" w:sz="0" w:space="0" w:color="auto"/>
        <w:right w:val="none" w:sz="0" w:space="0" w:color="auto"/>
      </w:divBdr>
    </w:div>
    <w:div w:id="915362516">
      <w:bodyDiv w:val="1"/>
      <w:marLeft w:val="0"/>
      <w:marRight w:val="0"/>
      <w:marTop w:val="0"/>
      <w:marBottom w:val="0"/>
      <w:divBdr>
        <w:top w:val="none" w:sz="0" w:space="0" w:color="auto"/>
        <w:left w:val="none" w:sz="0" w:space="0" w:color="auto"/>
        <w:bottom w:val="none" w:sz="0" w:space="0" w:color="auto"/>
        <w:right w:val="none" w:sz="0" w:space="0" w:color="auto"/>
      </w:divBdr>
    </w:div>
    <w:div w:id="915435471">
      <w:bodyDiv w:val="1"/>
      <w:marLeft w:val="0"/>
      <w:marRight w:val="0"/>
      <w:marTop w:val="0"/>
      <w:marBottom w:val="0"/>
      <w:divBdr>
        <w:top w:val="none" w:sz="0" w:space="0" w:color="auto"/>
        <w:left w:val="none" w:sz="0" w:space="0" w:color="auto"/>
        <w:bottom w:val="none" w:sz="0" w:space="0" w:color="auto"/>
        <w:right w:val="none" w:sz="0" w:space="0" w:color="auto"/>
      </w:divBdr>
    </w:div>
    <w:div w:id="915745157">
      <w:bodyDiv w:val="1"/>
      <w:marLeft w:val="0"/>
      <w:marRight w:val="0"/>
      <w:marTop w:val="0"/>
      <w:marBottom w:val="0"/>
      <w:divBdr>
        <w:top w:val="none" w:sz="0" w:space="0" w:color="auto"/>
        <w:left w:val="none" w:sz="0" w:space="0" w:color="auto"/>
        <w:bottom w:val="none" w:sz="0" w:space="0" w:color="auto"/>
        <w:right w:val="none" w:sz="0" w:space="0" w:color="auto"/>
      </w:divBdr>
    </w:div>
    <w:div w:id="915820197">
      <w:bodyDiv w:val="1"/>
      <w:marLeft w:val="0"/>
      <w:marRight w:val="0"/>
      <w:marTop w:val="0"/>
      <w:marBottom w:val="0"/>
      <w:divBdr>
        <w:top w:val="none" w:sz="0" w:space="0" w:color="auto"/>
        <w:left w:val="none" w:sz="0" w:space="0" w:color="auto"/>
        <w:bottom w:val="none" w:sz="0" w:space="0" w:color="auto"/>
        <w:right w:val="none" w:sz="0" w:space="0" w:color="auto"/>
      </w:divBdr>
    </w:div>
    <w:div w:id="915820887">
      <w:bodyDiv w:val="1"/>
      <w:marLeft w:val="0"/>
      <w:marRight w:val="0"/>
      <w:marTop w:val="0"/>
      <w:marBottom w:val="0"/>
      <w:divBdr>
        <w:top w:val="none" w:sz="0" w:space="0" w:color="auto"/>
        <w:left w:val="none" w:sz="0" w:space="0" w:color="auto"/>
        <w:bottom w:val="none" w:sz="0" w:space="0" w:color="auto"/>
        <w:right w:val="none" w:sz="0" w:space="0" w:color="auto"/>
      </w:divBdr>
    </w:div>
    <w:div w:id="916062615">
      <w:bodyDiv w:val="1"/>
      <w:marLeft w:val="0"/>
      <w:marRight w:val="0"/>
      <w:marTop w:val="0"/>
      <w:marBottom w:val="0"/>
      <w:divBdr>
        <w:top w:val="none" w:sz="0" w:space="0" w:color="auto"/>
        <w:left w:val="none" w:sz="0" w:space="0" w:color="auto"/>
        <w:bottom w:val="none" w:sz="0" w:space="0" w:color="auto"/>
        <w:right w:val="none" w:sz="0" w:space="0" w:color="auto"/>
      </w:divBdr>
    </w:div>
    <w:div w:id="916092912">
      <w:bodyDiv w:val="1"/>
      <w:marLeft w:val="0"/>
      <w:marRight w:val="0"/>
      <w:marTop w:val="0"/>
      <w:marBottom w:val="0"/>
      <w:divBdr>
        <w:top w:val="none" w:sz="0" w:space="0" w:color="auto"/>
        <w:left w:val="none" w:sz="0" w:space="0" w:color="auto"/>
        <w:bottom w:val="none" w:sz="0" w:space="0" w:color="auto"/>
        <w:right w:val="none" w:sz="0" w:space="0" w:color="auto"/>
      </w:divBdr>
    </w:div>
    <w:div w:id="916129666">
      <w:bodyDiv w:val="1"/>
      <w:marLeft w:val="0"/>
      <w:marRight w:val="0"/>
      <w:marTop w:val="0"/>
      <w:marBottom w:val="0"/>
      <w:divBdr>
        <w:top w:val="none" w:sz="0" w:space="0" w:color="auto"/>
        <w:left w:val="none" w:sz="0" w:space="0" w:color="auto"/>
        <w:bottom w:val="none" w:sz="0" w:space="0" w:color="auto"/>
        <w:right w:val="none" w:sz="0" w:space="0" w:color="auto"/>
      </w:divBdr>
    </w:div>
    <w:div w:id="916212441">
      <w:bodyDiv w:val="1"/>
      <w:marLeft w:val="0"/>
      <w:marRight w:val="0"/>
      <w:marTop w:val="0"/>
      <w:marBottom w:val="0"/>
      <w:divBdr>
        <w:top w:val="none" w:sz="0" w:space="0" w:color="auto"/>
        <w:left w:val="none" w:sz="0" w:space="0" w:color="auto"/>
        <w:bottom w:val="none" w:sz="0" w:space="0" w:color="auto"/>
        <w:right w:val="none" w:sz="0" w:space="0" w:color="auto"/>
      </w:divBdr>
    </w:div>
    <w:div w:id="916282799">
      <w:bodyDiv w:val="1"/>
      <w:marLeft w:val="0"/>
      <w:marRight w:val="0"/>
      <w:marTop w:val="0"/>
      <w:marBottom w:val="0"/>
      <w:divBdr>
        <w:top w:val="none" w:sz="0" w:space="0" w:color="auto"/>
        <w:left w:val="none" w:sz="0" w:space="0" w:color="auto"/>
        <w:bottom w:val="none" w:sz="0" w:space="0" w:color="auto"/>
        <w:right w:val="none" w:sz="0" w:space="0" w:color="auto"/>
      </w:divBdr>
    </w:div>
    <w:div w:id="916475951">
      <w:bodyDiv w:val="1"/>
      <w:marLeft w:val="0"/>
      <w:marRight w:val="0"/>
      <w:marTop w:val="0"/>
      <w:marBottom w:val="0"/>
      <w:divBdr>
        <w:top w:val="none" w:sz="0" w:space="0" w:color="auto"/>
        <w:left w:val="none" w:sz="0" w:space="0" w:color="auto"/>
        <w:bottom w:val="none" w:sz="0" w:space="0" w:color="auto"/>
        <w:right w:val="none" w:sz="0" w:space="0" w:color="auto"/>
      </w:divBdr>
    </w:div>
    <w:div w:id="916478826">
      <w:bodyDiv w:val="1"/>
      <w:marLeft w:val="0"/>
      <w:marRight w:val="0"/>
      <w:marTop w:val="0"/>
      <w:marBottom w:val="0"/>
      <w:divBdr>
        <w:top w:val="none" w:sz="0" w:space="0" w:color="auto"/>
        <w:left w:val="none" w:sz="0" w:space="0" w:color="auto"/>
        <w:bottom w:val="none" w:sz="0" w:space="0" w:color="auto"/>
        <w:right w:val="none" w:sz="0" w:space="0" w:color="auto"/>
      </w:divBdr>
    </w:div>
    <w:div w:id="916521713">
      <w:bodyDiv w:val="1"/>
      <w:marLeft w:val="0"/>
      <w:marRight w:val="0"/>
      <w:marTop w:val="0"/>
      <w:marBottom w:val="0"/>
      <w:divBdr>
        <w:top w:val="none" w:sz="0" w:space="0" w:color="auto"/>
        <w:left w:val="none" w:sz="0" w:space="0" w:color="auto"/>
        <w:bottom w:val="none" w:sz="0" w:space="0" w:color="auto"/>
        <w:right w:val="none" w:sz="0" w:space="0" w:color="auto"/>
      </w:divBdr>
    </w:div>
    <w:div w:id="916524897">
      <w:bodyDiv w:val="1"/>
      <w:marLeft w:val="0"/>
      <w:marRight w:val="0"/>
      <w:marTop w:val="0"/>
      <w:marBottom w:val="0"/>
      <w:divBdr>
        <w:top w:val="none" w:sz="0" w:space="0" w:color="auto"/>
        <w:left w:val="none" w:sz="0" w:space="0" w:color="auto"/>
        <w:bottom w:val="none" w:sz="0" w:space="0" w:color="auto"/>
        <w:right w:val="none" w:sz="0" w:space="0" w:color="auto"/>
      </w:divBdr>
    </w:div>
    <w:div w:id="916594211">
      <w:bodyDiv w:val="1"/>
      <w:marLeft w:val="0"/>
      <w:marRight w:val="0"/>
      <w:marTop w:val="0"/>
      <w:marBottom w:val="0"/>
      <w:divBdr>
        <w:top w:val="none" w:sz="0" w:space="0" w:color="auto"/>
        <w:left w:val="none" w:sz="0" w:space="0" w:color="auto"/>
        <w:bottom w:val="none" w:sz="0" w:space="0" w:color="auto"/>
        <w:right w:val="none" w:sz="0" w:space="0" w:color="auto"/>
      </w:divBdr>
    </w:div>
    <w:div w:id="916747985">
      <w:bodyDiv w:val="1"/>
      <w:marLeft w:val="0"/>
      <w:marRight w:val="0"/>
      <w:marTop w:val="0"/>
      <w:marBottom w:val="0"/>
      <w:divBdr>
        <w:top w:val="none" w:sz="0" w:space="0" w:color="auto"/>
        <w:left w:val="none" w:sz="0" w:space="0" w:color="auto"/>
        <w:bottom w:val="none" w:sz="0" w:space="0" w:color="auto"/>
        <w:right w:val="none" w:sz="0" w:space="0" w:color="auto"/>
      </w:divBdr>
    </w:div>
    <w:div w:id="916788001">
      <w:bodyDiv w:val="1"/>
      <w:marLeft w:val="0"/>
      <w:marRight w:val="0"/>
      <w:marTop w:val="0"/>
      <w:marBottom w:val="0"/>
      <w:divBdr>
        <w:top w:val="none" w:sz="0" w:space="0" w:color="auto"/>
        <w:left w:val="none" w:sz="0" w:space="0" w:color="auto"/>
        <w:bottom w:val="none" w:sz="0" w:space="0" w:color="auto"/>
        <w:right w:val="none" w:sz="0" w:space="0" w:color="auto"/>
      </w:divBdr>
    </w:div>
    <w:div w:id="916789470">
      <w:bodyDiv w:val="1"/>
      <w:marLeft w:val="0"/>
      <w:marRight w:val="0"/>
      <w:marTop w:val="0"/>
      <w:marBottom w:val="0"/>
      <w:divBdr>
        <w:top w:val="none" w:sz="0" w:space="0" w:color="auto"/>
        <w:left w:val="none" w:sz="0" w:space="0" w:color="auto"/>
        <w:bottom w:val="none" w:sz="0" w:space="0" w:color="auto"/>
        <w:right w:val="none" w:sz="0" w:space="0" w:color="auto"/>
      </w:divBdr>
    </w:div>
    <w:div w:id="916861169">
      <w:bodyDiv w:val="1"/>
      <w:marLeft w:val="0"/>
      <w:marRight w:val="0"/>
      <w:marTop w:val="0"/>
      <w:marBottom w:val="0"/>
      <w:divBdr>
        <w:top w:val="none" w:sz="0" w:space="0" w:color="auto"/>
        <w:left w:val="none" w:sz="0" w:space="0" w:color="auto"/>
        <w:bottom w:val="none" w:sz="0" w:space="0" w:color="auto"/>
        <w:right w:val="none" w:sz="0" w:space="0" w:color="auto"/>
      </w:divBdr>
    </w:div>
    <w:div w:id="916935391">
      <w:bodyDiv w:val="1"/>
      <w:marLeft w:val="0"/>
      <w:marRight w:val="0"/>
      <w:marTop w:val="0"/>
      <w:marBottom w:val="0"/>
      <w:divBdr>
        <w:top w:val="none" w:sz="0" w:space="0" w:color="auto"/>
        <w:left w:val="none" w:sz="0" w:space="0" w:color="auto"/>
        <w:bottom w:val="none" w:sz="0" w:space="0" w:color="auto"/>
        <w:right w:val="none" w:sz="0" w:space="0" w:color="auto"/>
      </w:divBdr>
    </w:div>
    <w:div w:id="916939301">
      <w:bodyDiv w:val="1"/>
      <w:marLeft w:val="0"/>
      <w:marRight w:val="0"/>
      <w:marTop w:val="0"/>
      <w:marBottom w:val="0"/>
      <w:divBdr>
        <w:top w:val="none" w:sz="0" w:space="0" w:color="auto"/>
        <w:left w:val="none" w:sz="0" w:space="0" w:color="auto"/>
        <w:bottom w:val="none" w:sz="0" w:space="0" w:color="auto"/>
        <w:right w:val="none" w:sz="0" w:space="0" w:color="auto"/>
      </w:divBdr>
    </w:div>
    <w:div w:id="916982615">
      <w:bodyDiv w:val="1"/>
      <w:marLeft w:val="0"/>
      <w:marRight w:val="0"/>
      <w:marTop w:val="0"/>
      <w:marBottom w:val="0"/>
      <w:divBdr>
        <w:top w:val="none" w:sz="0" w:space="0" w:color="auto"/>
        <w:left w:val="none" w:sz="0" w:space="0" w:color="auto"/>
        <w:bottom w:val="none" w:sz="0" w:space="0" w:color="auto"/>
        <w:right w:val="none" w:sz="0" w:space="0" w:color="auto"/>
      </w:divBdr>
    </w:div>
    <w:div w:id="916984191">
      <w:bodyDiv w:val="1"/>
      <w:marLeft w:val="0"/>
      <w:marRight w:val="0"/>
      <w:marTop w:val="0"/>
      <w:marBottom w:val="0"/>
      <w:divBdr>
        <w:top w:val="none" w:sz="0" w:space="0" w:color="auto"/>
        <w:left w:val="none" w:sz="0" w:space="0" w:color="auto"/>
        <w:bottom w:val="none" w:sz="0" w:space="0" w:color="auto"/>
        <w:right w:val="none" w:sz="0" w:space="0" w:color="auto"/>
      </w:divBdr>
    </w:div>
    <w:div w:id="917054754">
      <w:bodyDiv w:val="1"/>
      <w:marLeft w:val="0"/>
      <w:marRight w:val="0"/>
      <w:marTop w:val="0"/>
      <w:marBottom w:val="0"/>
      <w:divBdr>
        <w:top w:val="none" w:sz="0" w:space="0" w:color="auto"/>
        <w:left w:val="none" w:sz="0" w:space="0" w:color="auto"/>
        <w:bottom w:val="none" w:sz="0" w:space="0" w:color="auto"/>
        <w:right w:val="none" w:sz="0" w:space="0" w:color="auto"/>
      </w:divBdr>
    </w:div>
    <w:div w:id="917061713">
      <w:bodyDiv w:val="1"/>
      <w:marLeft w:val="0"/>
      <w:marRight w:val="0"/>
      <w:marTop w:val="0"/>
      <w:marBottom w:val="0"/>
      <w:divBdr>
        <w:top w:val="none" w:sz="0" w:space="0" w:color="auto"/>
        <w:left w:val="none" w:sz="0" w:space="0" w:color="auto"/>
        <w:bottom w:val="none" w:sz="0" w:space="0" w:color="auto"/>
        <w:right w:val="none" w:sz="0" w:space="0" w:color="auto"/>
      </w:divBdr>
    </w:div>
    <w:div w:id="917062376">
      <w:bodyDiv w:val="1"/>
      <w:marLeft w:val="0"/>
      <w:marRight w:val="0"/>
      <w:marTop w:val="0"/>
      <w:marBottom w:val="0"/>
      <w:divBdr>
        <w:top w:val="none" w:sz="0" w:space="0" w:color="auto"/>
        <w:left w:val="none" w:sz="0" w:space="0" w:color="auto"/>
        <w:bottom w:val="none" w:sz="0" w:space="0" w:color="auto"/>
        <w:right w:val="none" w:sz="0" w:space="0" w:color="auto"/>
      </w:divBdr>
    </w:div>
    <w:div w:id="917134723">
      <w:bodyDiv w:val="1"/>
      <w:marLeft w:val="0"/>
      <w:marRight w:val="0"/>
      <w:marTop w:val="0"/>
      <w:marBottom w:val="0"/>
      <w:divBdr>
        <w:top w:val="none" w:sz="0" w:space="0" w:color="auto"/>
        <w:left w:val="none" w:sz="0" w:space="0" w:color="auto"/>
        <w:bottom w:val="none" w:sz="0" w:space="0" w:color="auto"/>
        <w:right w:val="none" w:sz="0" w:space="0" w:color="auto"/>
      </w:divBdr>
    </w:div>
    <w:div w:id="917246602">
      <w:bodyDiv w:val="1"/>
      <w:marLeft w:val="0"/>
      <w:marRight w:val="0"/>
      <w:marTop w:val="0"/>
      <w:marBottom w:val="0"/>
      <w:divBdr>
        <w:top w:val="none" w:sz="0" w:space="0" w:color="auto"/>
        <w:left w:val="none" w:sz="0" w:space="0" w:color="auto"/>
        <w:bottom w:val="none" w:sz="0" w:space="0" w:color="auto"/>
        <w:right w:val="none" w:sz="0" w:space="0" w:color="auto"/>
      </w:divBdr>
    </w:div>
    <w:div w:id="917253114">
      <w:bodyDiv w:val="1"/>
      <w:marLeft w:val="0"/>
      <w:marRight w:val="0"/>
      <w:marTop w:val="0"/>
      <w:marBottom w:val="0"/>
      <w:divBdr>
        <w:top w:val="none" w:sz="0" w:space="0" w:color="auto"/>
        <w:left w:val="none" w:sz="0" w:space="0" w:color="auto"/>
        <w:bottom w:val="none" w:sz="0" w:space="0" w:color="auto"/>
        <w:right w:val="none" w:sz="0" w:space="0" w:color="auto"/>
      </w:divBdr>
    </w:div>
    <w:div w:id="917444607">
      <w:bodyDiv w:val="1"/>
      <w:marLeft w:val="0"/>
      <w:marRight w:val="0"/>
      <w:marTop w:val="0"/>
      <w:marBottom w:val="0"/>
      <w:divBdr>
        <w:top w:val="none" w:sz="0" w:space="0" w:color="auto"/>
        <w:left w:val="none" w:sz="0" w:space="0" w:color="auto"/>
        <w:bottom w:val="none" w:sz="0" w:space="0" w:color="auto"/>
        <w:right w:val="none" w:sz="0" w:space="0" w:color="auto"/>
      </w:divBdr>
    </w:div>
    <w:div w:id="917448332">
      <w:bodyDiv w:val="1"/>
      <w:marLeft w:val="0"/>
      <w:marRight w:val="0"/>
      <w:marTop w:val="0"/>
      <w:marBottom w:val="0"/>
      <w:divBdr>
        <w:top w:val="none" w:sz="0" w:space="0" w:color="auto"/>
        <w:left w:val="none" w:sz="0" w:space="0" w:color="auto"/>
        <w:bottom w:val="none" w:sz="0" w:space="0" w:color="auto"/>
        <w:right w:val="none" w:sz="0" w:space="0" w:color="auto"/>
      </w:divBdr>
    </w:div>
    <w:div w:id="917594301">
      <w:bodyDiv w:val="1"/>
      <w:marLeft w:val="0"/>
      <w:marRight w:val="0"/>
      <w:marTop w:val="0"/>
      <w:marBottom w:val="0"/>
      <w:divBdr>
        <w:top w:val="none" w:sz="0" w:space="0" w:color="auto"/>
        <w:left w:val="none" w:sz="0" w:space="0" w:color="auto"/>
        <w:bottom w:val="none" w:sz="0" w:space="0" w:color="auto"/>
        <w:right w:val="none" w:sz="0" w:space="0" w:color="auto"/>
      </w:divBdr>
    </w:div>
    <w:div w:id="917597952">
      <w:bodyDiv w:val="1"/>
      <w:marLeft w:val="0"/>
      <w:marRight w:val="0"/>
      <w:marTop w:val="0"/>
      <w:marBottom w:val="0"/>
      <w:divBdr>
        <w:top w:val="none" w:sz="0" w:space="0" w:color="auto"/>
        <w:left w:val="none" w:sz="0" w:space="0" w:color="auto"/>
        <w:bottom w:val="none" w:sz="0" w:space="0" w:color="auto"/>
        <w:right w:val="none" w:sz="0" w:space="0" w:color="auto"/>
      </w:divBdr>
    </w:div>
    <w:div w:id="917637480">
      <w:bodyDiv w:val="1"/>
      <w:marLeft w:val="0"/>
      <w:marRight w:val="0"/>
      <w:marTop w:val="0"/>
      <w:marBottom w:val="0"/>
      <w:divBdr>
        <w:top w:val="none" w:sz="0" w:space="0" w:color="auto"/>
        <w:left w:val="none" w:sz="0" w:space="0" w:color="auto"/>
        <w:bottom w:val="none" w:sz="0" w:space="0" w:color="auto"/>
        <w:right w:val="none" w:sz="0" w:space="0" w:color="auto"/>
      </w:divBdr>
    </w:div>
    <w:div w:id="917714816">
      <w:bodyDiv w:val="1"/>
      <w:marLeft w:val="0"/>
      <w:marRight w:val="0"/>
      <w:marTop w:val="0"/>
      <w:marBottom w:val="0"/>
      <w:divBdr>
        <w:top w:val="none" w:sz="0" w:space="0" w:color="auto"/>
        <w:left w:val="none" w:sz="0" w:space="0" w:color="auto"/>
        <w:bottom w:val="none" w:sz="0" w:space="0" w:color="auto"/>
        <w:right w:val="none" w:sz="0" w:space="0" w:color="auto"/>
      </w:divBdr>
    </w:div>
    <w:div w:id="917903939">
      <w:bodyDiv w:val="1"/>
      <w:marLeft w:val="0"/>
      <w:marRight w:val="0"/>
      <w:marTop w:val="0"/>
      <w:marBottom w:val="0"/>
      <w:divBdr>
        <w:top w:val="none" w:sz="0" w:space="0" w:color="auto"/>
        <w:left w:val="none" w:sz="0" w:space="0" w:color="auto"/>
        <w:bottom w:val="none" w:sz="0" w:space="0" w:color="auto"/>
        <w:right w:val="none" w:sz="0" w:space="0" w:color="auto"/>
      </w:divBdr>
    </w:div>
    <w:div w:id="917906417">
      <w:bodyDiv w:val="1"/>
      <w:marLeft w:val="0"/>
      <w:marRight w:val="0"/>
      <w:marTop w:val="0"/>
      <w:marBottom w:val="0"/>
      <w:divBdr>
        <w:top w:val="none" w:sz="0" w:space="0" w:color="auto"/>
        <w:left w:val="none" w:sz="0" w:space="0" w:color="auto"/>
        <w:bottom w:val="none" w:sz="0" w:space="0" w:color="auto"/>
        <w:right w:val="none" w:sz="0" w:space="0" w:color="auto"/>
      </w:divBdr>
    </w:div>
    <w:div w:id="917910857">
      <w:bodyDiv w:val="1"/>
      <w:marLeft w:val="0"/>
      <w:marRight w:val="0"/>
      <w:marTop w:val="0"/>
      <w:marBottom w:val="0"/>
      <w:divBdr>
        <w:top w:val="none" w:sz="0" w:space="0" w:color="auto"/>
        <w:left w:val="none" w:sz="0" w:space="0" w:color="auto"/>
        <w:bottom w:val="none" w:sz="0" w:space="0" w:color="auto"/>
        <w:right w:val="none" w:sz="0" w:space="0" w:color="auto"/>
      </w:divBdr>
    </w:div>
    <w:div w:id="917976920">
      <w:bodyDiv w:val="1"/>
      <w:marLeft w:val="0"/>
      <w:marRight w:val="0"/>
      <w:marTop w:val="0"/>
      <w:marBottom w:val="0"/>
      <w:divBdr>
        <w:top w:val="none" w:sz="0" w:space="0" w:color="auto"/>
        <w:left w:val="none" w:sz="0" w:space="0" w:color="auto"/>
        <w:bottom w:val="none" w:sz="0" w:space="0" w:color="auto"/>
        <w:right w:val="none" w:sz="0" w:space="0" w:color="auto"/>
      </w:divBdr>
    </w:div>
    <w:div w:id="917983626">
      <w:bodyDiv w:val="1"/>
      <w:marLeft w:val="0"/>
      <w:marRight w:val="0"/>
      <w:marTop w:val="0"/>
      <w:marBottom w:val="0"/>
      <w:divBdr>
        <w:top w:val="none" w:sz="0" w:space="0" w:color="auto"/>
        <w:left w:val="none" w:sz="0" w:space="0" w:color="auto"/>
        <w:bottom w:val="none" w:sz="0" w:space="0" w:color="auto"/>
        <w:right w:val="none" w:sz="0" w:space="0" w:color="auto"/>
      </w:divBdr>
    </w:div>
    <w:div w:id="917984841">
      <w:bodyDiv w:val="1"/>
      <w:marLeft w:val="0"/>
      <w:marRight w:val="0"/>
      <w:marTop w:val="0"/>
      <w:marBottom w:val="0"/>
      <w:divBdr>
        <w:top w:val="none" w:sz="0" w:space="0" w:color="auto"/>
        <w:left w:val="none" w:sz="0" w:space="0" w:color="auto"/>
        <w:bottom w:val="none" w:sz="0" w:space="0" w:color="auto"/>
        <w:right w:val="none" w:sz="0" w:space="0" w:color="auto"/>
      </w:divBdr>
    </w:div>
    <w:div w:id="918060657">
      <w:bodyDiv w:val="1"/>
      <w:marLeft w:val="0"/>
      <w:marRight w:val="0"/>
      <w:marTop w:val="0"/>
      <w:marBottom w:val="0"/>
      <w:divBdr>
        <w:top w:val="none" w:sz="0" w:space="0" w:color="auto"/>
        <w:left w:val="none" w:sz="0" w:space="0" w:color="auto"/>
        <w:bottom w:val="none" w:sz="0" w:space="0" w:color="auto"/>
        <w:right w:val="none" w:sz="0" w:space="0" w:color="auto"/>
      </w:divBdr>
    </w:div>
    <w:div w:id="918173001">
      <w:bodyDiv w:val="1"/>
      <w:marLeft w:val="0"/>
      <w:marRight w:val="0"/>
      <w:marTop w:val="0"/>
      <w:marBottom w:val="0"/>
      <w:divBdr>
        <w:top w:val="none" w:sz="0" w:space="0" w:color="auto"/>
        <w:left w:val="none" w:sz="0" w:space="0" w:color="auto"/>
        <w:bottom w:val="none" w:sz="0" w:space="0" w:color="auto"/>
        <w:right w:val="none" w:sz="0" w:space="0" w:color="auto"/>
      </w:divBdr>
    </w:div>
    <w:div w:id="918177547">
      <w:bodyDiv w:val="1"/>
      <w:marLeft w:val="0"/>
      <w:marRight w:val="0"/>
      <w:marTop w:val="0"/>
      <w:marBottom w:val="0"/>
      <w:divBdr>
        <w:top w:val="none" w:sz="0" w:space="0" w:color="auto"/>
        <w:left w:val="none" w:sz="0" w:space="0" w:color="auto"/>
        <w:bottom w:val="none" w:sz="0" w:space="0" w:color="auto"/>
        <w:right w:val="none" w:sz="0" w:space="0" w:color="auto"/>
      </w:divBdr>
    </w:div>
    <w:div w:id="918248979">
      <w:bodyDiv w:val="1"/>
      <w:marLeft w:val="0"/>
      <w:marRight w:val="0"/>
      <w:marTop w:val="0"/>
      <w:marBottom w:val="0"/>
      <w:divBdr>
        <w:top w:val="none" w:sz="0" w:space="0" w:color="auto"/>
        <w:left w:val="none" w:sz="0" w:space="0" w:color="auto"/>
        <w:bottom w:val="none" w:sz="0" w:space="0" w:color="auto"/>
        <w:right w:val="none" w:sz="0" w:space="0" w:color="auto"/>
      </w:divBdr>
    </w:div>
    <w:div w:id="918250285">
      <w:bodyDiv w:val="1"/>
      <w:marLeft w:val="0"/>
      <w:marRight w:val="0"/>
      <w:marTop w:val="0"/>
      <w:marBottom w:val="0"/>
      <w:divBdr>
        <w:top w:val="none" w:sz="0" w:space="0" w:color="auto"/>
        <w:left w:val="none" w:sz="0" w:space="0" w:color="auto"/>
        <w:bottom w:val="none" w:sz="0" w:space="0" w:color="auto"/>
        <w:right w:val="none" w:sz="0" w:space="0" w:color="auto"/>
      </w:divBdr>
    </w:div>
    <w:div w:id="918514570">
      <w:bodyDiv w:val="1"/>
      <w:marLeft w:val="0"/>
      <w:marRight w:val="0"/>
      <w:marTop w:val="0"/>
      <w:marBottom w:val="0"/>
      <w:divBdr>
        <w:top w:val="none" w:sz="0" w:space="0" w:color="auto"/>
        <w:left w:val="none" w:sz="0" w:space="0" w:color="auto"/>
        <w:bottom w:val="none" w:sz="0" w:space="0" w:color="auto"/>
        <w:right w:val="none" w:sz="0" w:space="0" w:color="auto"/>
      </w:divBdr>
    </w:div>
    <w:div w:id="918514964">
      <w:bodyDiv w:val="1"/>
      <w:marLeft w:val="0"/>
      <w:marRight w:val="0"/>
      <w:marTop w:val="0"/>
      <w:marBottom w:val="0"/>
      <w:divBdr>
        <w:top w:val="none" w:sz="0" w:space="0" w:color="auto"/>
        <w:left w:val="none" w:sz="0" w:space="0" w:color="auto"/>
        <w:bottom w:val="none" w:sz="0" w:space="0" w:color="auto"/>
        <w:right w:val="none" w:sz="0" w:space="0" w:color="auto"/>
      </w:divBdr>
    </w:div>
    <w:div w:id="918556730">
      <w:bodyDiv w:val="1"/>
      <w:marLeft w:val="0"/>
      <w:marRight w:val="0"/>
      <w:marTop w:val="0"/>
      <w:marBottom w:val="0"/>
      <w:divBdr>
        <w:top w:val="none" w:sz="0" w:space="0" w:color="auto"/>
        <w:left w:val="none" w:sz="0" w:space="0" w:color="auto"/>
        <w:bottom w:val="none" w:sz="0" w:space="0" w:color="auto"/>
        <w:right w:val="none" w:sz="0" w:space="0" w:color="auto"/>
      </w:divBdr>
    </w:div>
    <w:div w:id="918558625">
      <w:bodyDiv w:val="1"/>
      <w:marLeft w:val="0"/>
      <w:marRight w:val="0"/>
      <w:marTop w:val="0"/>
      <w:marBottom w:val="0"/>
      <w:divBdr>
        <w:top w:val="none" w:sz="0" w:space="0" w:color="auto"/>
        <w:left w:val="none" w:sz="0" w:space="0" w:color="auto"/>
        <w:bottom w:val="none" w:sz="0" w:space="0" w:color="auto"/>
        <w:right w:val="none" w:sz="0" w:space="0" w:color="auto"/>
      </w:divBdr>
    </w:div>
    <w:div w:id="918561717">
      <w:bodyDiv w:val="1"/>
      <w:marLeft w:val="0"/>
      <w:marRight w:val="0"/>
      <w:marTop w:val="0"/>
      <w:marBottom w:val="0"/>
      <w:divBdr>
        <w:top w:val="none" w:sz="0" w:space="0" w:color="auto"/>
        <w:left w:val="none" w:sz="0" w:space="0" w:color="auto"/>
        <w:bottom w:val="none" w:sz="0" w:space="0" w:color="auto"/>
        <w:right w:val="none" w:sz="0" w:space="0" w:color="auto"/>
      </w:divBdr>
    </w:div>
    <w:div w:id="918633612">
      <w:bodyDiv w:val="1"/>
      <w:marLeft w:val="0"/>
      <w:marRight w:val="0"/>
      <w:marTop w:val="0"/>
      <w:marBottom w:val="0"/>
      <w:divBdr>
        <w:top w:val="none" w:sz="0" w:space="0" w:color="auto"/>
        <w:left w:val="none" w:sz="0" w:space="0" w:color="auto"/>
        <w:bottom w:val="none" w:sz="0" w:space="0" w:color="auto"/>
        <w:right w:val="none" w:sz="0" w:space="0" w:color="auto"/>
      </w:divBdr>
    </w:div>
    <w:div w:id="918709158">
      <w:bodyDiv w:val="1"/>
      <w:marLeft w:val="0"/>
      <w:marRight w:val="0"/>
      <w:marTop w:val="0"/>
      <w:marBottom w:val="0"/>
      <w:divBdr>
        <w:top w:val="none" w:sz="0" w:space="0" w:color="auto"/>
        <w:left w:val="none" w:sz="0" w:space="0" w:color="auto"/>
        <w:bottom w:val="none" w:sz="0" w:space="0" w:color="auto"/>
        <w:right w:val="none" w:sz="0" w:space="0" w:color="auto"/>
      </w:divBdr>
    </w:div>
    <w:div w:id="918709504">
      <w:bodyDiv w:val="1"/>
      <w:marLeft w:val="0"/>
      <w:marRight w:val="0"/>
      <w:marTop w:val="0"/>
      <w:marBottom w:val="0"/>
      <w:divBdr>
        <w:top w:val="none" w:sz="0" w:space="0" w:color="auto"/>
        <w:left w:val="none" w:sz="0" w:space="0" w:color="auto"/>
        <w:bottom w:val="none" w:sz="0" w:space="0" w:color="auto"/>
        <w:right w:val="none" w:sz="0" w:space="0" w:color="auto"/>
      </w:divBdr>
    </w:div>
    <w:div w:id="918714452">
      <w:bodyDiv w:val="1"/>
      <w:marLeft w:val="0"/>
      <w:marRight w:val="0"/>
      <w:marTop w:val="0"/>
      <w:marBottom w:val="0"/>
      <w:divBdr>
        <w:top w:val="none" w:sz="0" w:space="0" w:color="auto"/>
        <w:left w:val="none" w:sz="0" w:space="0" w:color="auto"/>
        <w:bottom w:val="none" w:sz="0" w:space="0" w:color="auto"/>
        <w:right w:val="none" w:sz="0" w:space="0" w:color="auto"/>
      </w:divBdr>
    </w:div>
    <w:div w:id="918827195">
      <w:bodyDiv w:val="1"/>
      <w:marLeft w:val="0"/>
      <w:marRight w:val="0"/>
      <w:marTop w:val="0"/>
      <w:marBottom w:val="0"/>
      <w:divBdr>
        <w:top w:val="none" w:sz="0" w:space="0" w:color="auto"/>
        <w:left w:val="none" w:sz="0" w:space="0" w:color="auto"/>
        <w:bottom w:val="none" w:sz="0" w:space="0" w:color="auto"/>
        <w:right w:val="none" w:sz="0" w:space="0" w:color="auto"/>
      </w:divBdr>
    </w:div>
    <w:div w:id="918830947">
      <w:bodyDiv w:val="1"/>
      <w:marLeft w:val="0"/>
      <w:marRight w:val="0"/>
      <w:marTop w:val="0"/>
      <w:marBottom w:val="0"/>
      <w:divBdr>
        <w:top w:val="none" w:sz="0" w:space="0" w:color="auto"/>
        <w:left w:val="none" w:sz="0" w:space="0" w:color="auto"/>
        <w:bottom w:val="none" w:sz="0" w:space="0" w:color="auto"/>
        <w:right w:val="none" w:sz="0" w:space="0" w:color="auto"/>
      </w:divBdr>
    </w:div>
    <w:div w:id="918904385">
      <w:bodyDiv w:val="1"/>
      <w:marLeft w:val="0"/>
      <w:marRight w:val="0"/>
      <w:marTop w:val="0"/>
      <w:marBottom w:val="0"/>
      <w:divBdr>
        <w:top w:val="none" w:sz="0" w:space="0" w:color="auto"/>
        <w:left w:val="none" w:sz="0" w:space="0" w:color="auto"/>
        <w:bottom w:val="none" w:sz="0" w:space="0" w:color="auto"/>
        <w:right w:val="none" w:sz="0" w:space="0" w:color="auto"/>
      </w:divBdr>
    </w:div>
    <w:div w:id="918905502">
      <w:bodyDiv w:val="1"/>
      <w:marLeft w:val="0"/>
      <w:marRight w:val="0"/>
      <w:marTop w:val="0"/>
      <w:marBottom w:val="0"/>
      <w:divBdr>
        <w:top w:val="none" w:sz="0" w:space="0" w:color="auto"/>
        <w:left w:val="none" w:sz="0" w:space="0" w:color="auto"/>
        <w:bottom w:val="none" w:sz="0" w:space="0" w:color="auto"/>
        <w:right w:val="none" w:sz="0" w:space="0" w:color="auto"/>
      </w:divBdr>
    </w:div>
    <w:div w:id="919023271">
      <w:bodyDiv w:val="1"/>
      <w:marLeft w:val="0"/>
      <w:marRight w:val="0"/>
      <w:marTop w:val="0"/>
      <w:marBottom w:val="0"/>
      <w:divBdr>
        <w:top w:val="none" w:sz="0" w:space="0" w:color="auto"/>
        <w:left w:val="none" w:sz="0" w:space="0" w:color="auto"/>
        <w:bottom w:val="none" w:sz="0" w:space="0" w:color="auto"/>
        <w:right w:val="none" w:sz="0" w:space="0" w:color="auto"/>
      </w:divBdr>
    </w:div>
    <w:div w:id="919291999">
      <w:bodyDiv w:val="1"/>
      <w:marLeft w:val="0"/>
      <w:marRight w:val="0"/>
      <w:marTop w:val="0"/>
      <w:marBottom w:val="0"/>
      <w:divBdr>
        <w:top w:val="none" w:sz="0" w:space="0" w:color="auto"/>
        <w:left w:val="none" w:sz="0" w:space="0" w:color="auto"/>
        <w:bottom w:val="none" w:sz="0" w:space="0" w:color="auto"/>
        <w:right w:val="none" w:sz="0" w:space="0" w:color="auto"/>
      </w:divBdr>
    </w:div>
    <w:div w:id="919293511">
      <w:bodyDiv w:val="1"/>
      <w:marLeft w:val="0"/>
      <w:marRight w:val="0"/>
      <w:marTop w:val="0"/>
      <w:marBottom w:val="0"/>
      <w:divBdr>
        <w:top w:val="none" w:sz="0" w:space="0" w:color="auto"/>
        <w:left w:val="none" w:sz="0" w:space="0" w:color="auto"/>
        <w:bottom w:val="none" w:sz="0" w:space="0" w:color="auto"/>
        <w:right w:val="none" w:sz="0" w:space="0" w:color="auto"/>
      </w:divBdr>
    </w:div>
    <w:div w:id="919295358">
      <w:bodyDiv w:val="1"/>
      <w:marLeft w:val="0"/>
      <w:marRight w:val="0"/>
      <w:marTop w:val="0"/>
      <w:marBottom w:val="0"/>
      <w:divBdr>
        <w:top w:val="none" w:sz="0" w:space="0" w:color="auto"/>
        <w:left w:val="none" w:sz="0" w:space="0" w:color="auto"/>
        <w:bottom w:val="none" w:sz="0" w:space="0" w:color="auto"/>
        <w:right w:val="none" w:sz="0" w:space="0" w:color="auto"/>
      </w:divBdr>
    </w:div>
    <w:div w:id="919364644">
      <w:bodyDiv w:val="1"/>
      <w:marLeft w:val="0"/>
      <w:marRight w:val="0"/>
      <w:marTop w:val="0"/>
      <w:marBottom w:val="0"/>
      <w:divBdr>
        <w:top w:val="none" w:sz="0" w:space="0" w:color="auto"/>
        <w:left w:val="none" w:sz="0" w:space="0" w:color="auto"/>
        <w:bottom w:val="none" w:sz="0" w:space="0" w:color="auto"/>
        <w:right w:val="none" w:sz="0" w:space="0" w:color="auto"/>
      </w:divBdr>
    </w:div>
    <w:div w:id="919557693">
      <w:bodyDiv w:val="1"/>
      <w:marLeft w:val="0"/>
      <w:marRight w:val="0"/>
      <w:marTop w:val="0"/>
      <w:marBottom w:val="0"/>
      <w:divBdr>
        <w:top w:val="none" w:sz="0" w:space="0" w:color="auto"/>
        <w:left w:val="none" w:sz="0" w:space="0" w:color="auto"/>
        <w:bottom w:val="none" w:sz="0" w:space="0" w:color="auto"/>
        <w:right w:val="none" w:sz="0" w:space="0" w:color="auto"/>
      </w:divBdr>
    </w:div>
    <w:div w:id="919681166">
      <w:bodyDiv w:val="1"/>
      <w:marLeft w:val="0"/>
      <w:marRight w:val="0"/>
      <w:marTop w:val="0"/>
      <w:marBottom w:val="0"/>
      <w:divBdr>
        <w:top w:val="none" w:sz="0" w:space="0" w:color="auto"/>
        <w:left w:val="none" w:sz="0" w:space="0" w:color="auto"/>
        <w:bottom w:val="none" w:sz="0" w:space="0" w:color="auto"/>
        <w:right w:val="none" w:sz="0" w:space="0" w:color="auto"/>
      </w:divBdr>
    </w:div>
    <w:div w:id="919756122">
      <w:bodyDiv w:val="1"/>
      <w:marLeft w:val="0"/>
      <w:marRight w:val="0"/>
      <w:marTop w:val="0"/>
      <w:marBottom w:val="0"/>
      <w:divBdr>
        <w:top w:val="none" w:sz="0" w:space="0" w:color="auto"/>
        <w:left w:val="none" w:sz="0" w:space="0" w:color="auto"/>
        <w:bottom w:val="none" w:sz="0" w:space="0" w:color="auto"/>
        <w:right w:val="none" w:sz="0" w:space="0" w:color="auto"/>
      </w:divBdr>
    </w:div>
    <w:div w:id="919799317">
      <w:bodyDiv w:val="1"/>
      <w:marLeft w:val="0"/>
      <w:marRight w:val="0"/>
      <w:marTop w:val="0"/>
      <w:marBottom w:val="0"/>
      <w:divBdr>
        <w:top w:val="none" w:sz="0" w:space="0" w:color="auto"/>
        <w:left w:val="none" w:sz="0" w:space="0" w:color="auto"/>
        <w:bottom w:val="none" w:sz="0" w:space="0" w:color="auto"/>
        <w:right w:val="none" w:sz="0" w:space="0" w:color="auto"/>
      </w:divBdr>
    </w:div>
    <w:div w:id="919951129">
      <w:bodyDiv w:val="1"/>
      <w:marLeft w:val="0"/>
      <w:marRight w:val="0"/>
      <w:marTop w:val="0"/>
      <w:marBottom w:val="0"/>
      <w:divBdr>
        <w:top w:val="none" w:sz="0" w:space="0" w:color="auto"/>
        <w:left w:val="none" w:sz="0" w:space="0" w:color="auto"/>
        <w:bottom w:val="none" w:sz="0" w:space="0" w:color="auto"/>
        <w:right w:val="none" w:sz="0" w:space="0" w:color="auto"/>
      </w:divBdr>
    </w:div>
    <w:div w:id="920066662">
      <w:bodyDiv w:val="1"/>
      <w:marLeft w:val="0"/>
      <w:marRight w:val="0"/>
      <w:marTop w:val="0"/>
      <w:marBottom w:val="0"/>
      <w:divBdr>
        <w:top w:val="none" w:sz="0" w:space="0" w:color="auto"/>
        <w:left w:val="none" w:sz="0" w:space="0" w:color="auto"/>
        <w:bottom w:val="none" w:sz="0" w:space="0" w:color="auto"/>
        <w:right w:val="none" w:sz="0" w:space="0" w:color="auto"/>
      </w:divBdr>
    </w:div>
    <w:div w:id="920068614">
      <w:bodyDiv w:val="1"/>
      <w:marLeft w:val="0"/>
      <w:marRight w:val="0"/>
      <w:marTop w:val="0"/>
      <w:marBottom w:val="0"/>
      <w:divBdr>
        <w:top w:val="none" w:sz="0" w:space="0" w:color="auto"/>
        <w:left w:val="none" w:sz="0" w:space="0" w:color="auto"/>
        <w:bottom w:val="none" w:sz="0" w:space="0" w:color="auto"/>
        <w:right w:val="none" w:sz="0" w:space="0" w:color="auto"/>
      </w:divBdr>
    </w:div>
    <w:div w:id="920256545">
      <w:bodyDiv w:val="1"/>
      <w:marLeft w:val="0"/>
      <w:marRight w:val="0"/>
      <w:marTop w:val="0"/>
      <w:marBottom w:val="0"/>
      <w:divBdr>
        <w:top w:val="none" w:sz="0" w:space="0" w:color="auto"/>
        <w:left w:val="none" w:sz="0" w:space="0" w:color="auto"/>
        <w:bottom w:val="none" w:sz="0" w:space="0" w:color="auto"/>
        <w:right w:val="none" w:sz="0" w:space="0" w:color="auto"/>
      </w:divBdr>
    </w:div>
    <w:div w:id="920408377">
      <w:bodyDiv w:val="1"/>
      <w:marLeft w:val="0"/>
      <w:marRight w:val="0"/>
      <w:marTop w:val="0"/>
      <w:marBottom w:val="0"/>
      <w:divBdr>
        <w:top w:val="none" w:sz="0" w:space="0" w:color="auto"/>
        <w:left w:val="none" w:sz="0" w:space="0" w:color="auto"/>
        <w:bottom w:val="none" w:sz="0" w:space="0" w:color="auto"/>
        <w:right w:val="none" w:sz="0" w:space="0" w:color="auto"/>
      </w:divBdr>
    </w:div>
    <w:div w:id="920453331">
      <w:bodyDiv w:val="1"/>
      <w:marLeft w:val="0"/>
      <w:marRight w:val="0"/>
      <w:marTop w:val="0"/>
      <w:marBottom w:val="0"/>
      <w:divBdr>
        <w:top w:val="none" w:sz="0" w:space="0" w:color="auto"/>
        <w:left w:val="none" w:sz="0" w:space="0" w:color="auto"/>
        <w:bottom w:val="none" w:sz="0" w:space="0" w:color="auto"/>
        <w:right w:val="none" w:sz="0" w:space="0" w:color="auto"/>
      </w:divBdr>
    </w:div>
    <w:div w:id="920673250">
      <w:bodyDiv w:val="1"/>
      <w:marLeft w:val="0"/>
      <w:marRight w:val="0"/>
      <w:marTop w:val="0"/>
      <w:marBottom w:val="0"/>
      <w:divBdr>
        <w:top w:val="none" w:sz="0" w:space="0" w:color="auto"/>
        <w:left w:val="none" w:sz="0" w:space="0" w:color="auto"/>
        <w:bottom w:val="none" w:sz="0" w:space="0" w:color="auto"/>
        <w:right w:val="none" w:sz="0" w:space="0" w:color="auto"/>
      </w:divBdr>
    </w:div>
    <w:div w:id="920677890">
      <w:bodyDiv w:val="1"/>
      <w:marLeft w:val="0"/>
      <w:marRight w:val="0"/>
      <w:marTop w:val="0"/>
      <w:marBottom w:val="0"/>
      <w:divBdr>
        <w:top w:val="none" w:sz="0" w:space="0" w:color="auto"/>
        <w:left w:val="none" w:sz="0" w:space="0" w:color="auto"/>
        <w:bottom w:val="none" w:sz="0" w:space="0" w:color="auto"/>
        <w:right w:val="none" w:sz="0" w:space="0" w:color="auto"/>
      </w:divBdr>
    </w:div>
    <w:div w:id="920678795">
      <w:bodyDiv w:val="1"/>
      <w:marLeft w:val="0"/>
      <w:marRight w:val="0"/>
      <w:marTop w:val="0"/>
      <w:marBottom w:val="0"/>
      <w:divBdr>
        <w:top w:val="none" w:sz="0" w:space="0" w:color="auto"/>
        <w:left w:val="none" w:sz="0" w:space="0" w:color="auto"/>
        <w:bottom w:val="none" w:sz="0" w:space="0" w:color="auto"/>
        <w:right w:val="none" w:sz="0" w:space="0" w:color="auto"/>
      </w:divBdr>
    </w:div>
    <w:div w:id="920943485">
      <w:bodyDiv w:val="1"/>
      <w:marLeft w:val="0"/>
      <w:marRight w:val="0"/>
      <w:marTop w:val="0"/>
      <w:marBottom w:val="0"/>
      <w:divBdr>
        <w:top w:val="none" w:sz="0" w:space="0" w:color="auto"/>
        <w:left w:val="none" w:sz="0" w:space="0" w:color="auto"/>
        <w:bottom w:val="none" w:sz="0" w:space="0" w:color="auto"/>
        <w:right w:val="none" w:sz="0" w:space="0" w:color="auto"/>
      </w:divBdr>
    </w:div>
    <w:div w:id="920993184">
      <w:bodyDiv w:val="1"/>
      <w:marLeft w:val="0"/>
      <w:marRight w:val="0"/>
      <w:marTop w:val="0"/>
      <w:marBottom w:val="0"/>
      <w:divBdr>
        <w:top w:val="none" w:sz="0" w:space="0" w:color="auto"/>
        <w:left w:val="none" w:sz="0" w:space="0" w:color="auto"/>
        <w:bottom w:val="none" w:sz="0" w:space="0" w:color="auto"/>
        <w:right w:val="none" w:sz="0" w:space="0" w:color="auto"/>
      </w:divBdr>
    </w:div>
    <w:div w:id="921060729">
      <w:bodyDiv w:val="1"/>
      <w:marLeft w:val="0"/>
      <w:marRight w:val="0"/>
      <w:marTop w:val="0"/>
      <w:marBottom w:val="0"/>
      <w:divBdr>
        <w:top w:val="none" w:sz="0" w:space="0" w:color="auto"/>
        <w:left w:val="none" w:sz="0" w:space="0" w:color="auto"/>
        <w:bottom w:val="none" w:sz="0" w:space="0" w:color="auto"/>
        <w:right w:val="none" w:sz="0" w:space="0" w:color="auto"/>
      </w:divBdr>
    </w:div>
    <w:div w:id="921060947">
      <w:bodyDiv w:val="1"/>
      <w:marLeft w:val="0"/>
      <w:marRight w:val="0"/>
      <w:marTop w:val="0"/>
      <w:marBottom w:val="0"/>
      <w:divBdr>
        <w:top w:val="none" w:sz="0" w:space="0" w:color="auto"/>
        <w:left w:val="none" w:sz="0" w:space="0" w:color="auto"/>
        <w:bottom w:val="none" w:sz="0" w:space="0" w:color="auto"/>
        <w:right w:val="none" w:sz="0" w:space="0" w:color="auto"/>
      </w:divBdr>
    </w:div>
    <w:div w:id="921063667">
      <w:bodyDiv w:val="1"/>
      <w:marLeft w:val="0"/>
      <w:marRight w:val="0"/>
      <w:marTop w:val="0"/>
      <w:marBottom w:val="0"/>
      <w:divBdr>
        <w:top w:val="none" w:sz="0" w:space="0" w:color="auto"/>
        <w:left w:val="none" w:sz="0" w:space="0" w:color="auto"/>
        <w:bottom w:val="none" w:sz="0" w:space="0" w:color="auto"/>
        <w:right w:val="none" w:sz="0" w:space="0" w:color="auto"/>
      </w:divBdr>
    </w:div>
    <w:div w:id="921135832">
      <w:bodyDiv w:val="1"/>
      <w:marLeft w:val="0"/>
      <w:marRight w:val="0"/>
      <w:marTop w:val="0"/>
      <w:marBottom w:val="0"/>
      <w:divBdr>
        <w:top w:val="none" w:sz="0" w:space="0" w:color="auto"/>
        <w:left w:val="none" w:sz="0" w:space="0" w:color="auto"/>
        <w:bottom w:val="none" w:sz="0" w:space="0" w:color="auto"/>
        <w:right w:val="none" w:sz="0" w:space="0" w:color="auto"/>
      </w:divBdr>
    </w:div>
    <w:div w:id="921141203">
      <w:bodyDiv w:val="1"/>
      <w:marLeft w:val="0"/>
      <w:marRight w:val="0"/>
      <w:marTop w:val="0"/>
      <w:marBottom w:val="0"/>
      <w:divBdr>
        <w:top w:val="none" w:sz="0" w:space="0" w:color="auto"/>
        <w:left w:val="none" w:sz="0" w:space="0" w:color="auto"/>
        <w:bottom w:val="none" w:sz="0" w:space="0" w:color="auto"/>
        <w:right w:val="none" w:sz="0" w:space="0" w:color="auto"/>
      </w:divBdr>
    </w:div>
    <w:div w:id="921259916">
      <w:bodyDiv w:val="1"/>
      <w:marLeft w:val="0"/>
      <w:marRight w:val="0"/>
      <w:marTop w:val="0"/>
      <w:marBottom w:val="0"/>
      <w:divBdr>
        <w:top w:val="none" w:sz="0" w:space="0" w:color="auto"/>
        <w:left w:val="none" w:sz="0" w:space="0" w:color="auto"/>
        <w:bottom w:val="none" w:sz="0" w:space="0" w:color="auto"/>
        <w:right w:val="none" w:sz="0" w:space="0" w:color="auto"/>
      </w:divBdr>
    </w:div>
    <w:div w:id="921260843">
      <w:bodyDiv w:val="1"/>
      <w:marLeft w:val="0"/>
      <w:marRight w:val="0"/>
      <w:marTop w:val="0"/>
      <w:marBottom w:val="0"/>
      <w:divBdr>
        <w:top w:val="none" w:sz="0" w:space="0" w:color="auto"/>
        <w:left w:val="none" w:sz="0" w:space="0" w:color="auto"/>
        <w:bottom w:val="none" w:sz="0" w:space="0" w:color="auto"/>
        <w:right w:val="none" w:sz="0" w:space="0" w:color="auto"/>
      </w:divBdr>
    </w:div>
    <w:div w:id="921334603">
      <w:bodyDiv w:val="1"/>
      <w:marLeft w:val="0"/>
      <w:marRight w:val="0"/>
      <w:marTop w:val="0"/>
      <w:marBottom w:val="0"/>
      <w:divBdr>
        <w:top w:val="none" w:sz="0" w:space="0" w:color="auto"/>
        <w:left w:val="none" w:sz="0" w:space="0" w:color="auto"/>
        <w:bottom w:val="none" w:sz="0" w:space="0" w:color="auto"/>
        <w:right w:val="none" w:sz="0" w:space="0" w:color="auto"/>
      </w:divBdr>
    </w:div>
    <w:div w:id="921646474">
      <w:bodyDiv w:val="1"/>
      <w:marLeft w:val="0"/>
      <w:marRight w:val="0"/>
      <w:marTop w:val="0"/>
      <w:marBottom w:val="0"/>
      <w:divBdr>
        <w:top w:val="none" w:sz="0" w:space="0" w:color="auto"/>
        <w:left w:val="none" w:sz="0" w:space="0" w:color="auto"/>
        <w:bottom w:val="none" w:sz="0" w:space="0" w:color="auto"/>
        <w:right w:val="none" w:sz="0" w:space="0" w:color="auto"/>
      </w:divBdr>
    </w:div>
    <w:div w:id="921721635">
      <w:bodyDiv w:val="1"/>
      <w:marLeft w:val="0"/>
      <w:marRight w:val="0"/>
      <w:marTop w:val="0"/>
      <w:marBottom w:val="0"/>
      <w:divBdr>
        <w:top w:val="none" w:sz="0" w:space="0" w:color="auto"/>
        <w:left w:val="none" w:sz="0" w:space="0" w:color="auto"/>
        <w:bottom w:val="none" w:sz="0" w:space="0" w:color="auto"/>
        <w:right w:val="none" w:sz="0" w:space="0" w:color="auto"/>
      </w:divBdr>
    </w:div>
    <w:div w:id="921794633">
      <w:bodyDiv w:val="1"/>
      <w:marLeft w:val="0"/>
      <w:marRight w:val="0"/>
      <w:marTop w:val="0"/>
      <w:marBottom w:val="0"/>
      <w:divBdr>
        <w:top w:val="none" w:sz="0" w:space="0" w:color="auto"/>
        <w:left w:val="none" w:sz="0" w:space="0" w:color="auto"/>
        <w:bottom w:val="none" w:sz="0" w:space="0" w:color="auto"/>
        <w:right w:val="none" w:sz="0" w:space="0" w:color="auto"/>
      </w:divBdr>
    </w:div>
    <w:div w:id="921838941">
      <w:bodyDiv w:val="1"/>
      <w:marLeft w:val="0"/>
      <w:marRight w:val="0"/>
      <w:marTop w:val="0"/>
      <w:marBottom w:val="0"/>
      <w:divBdr>
        <w:top w:val="none" w:sz="0" w:space="0" w:color="auto"/>
        <w:left w:val="none" w:sz="0" w:space="0" w:color="auto"/>
        <w:bottom w:val="none" w:sz="0" w:space="0" w:color="auto"/>
        <w:right w:val="none" w:sz="0" w:space="0" w:color="auto"/>
      </w:divBdr>
    </w:div>
    <w:div w:id="921914977">
      <w:bodyDiv w:val="1"/>
      <w:marLeft w:val="0"/>
      <w:marRight w:val="0"/>
      <w:marTop w:val="0"/>
      <w:marBottom w:val="0"/>
      <w:divBdr>
        <w:top w:val="none" w:sz="0" w:space="0" w:color="auto"/>
        <w:left w:val="none" w:sz="0" w:space="0" w:color="auto"/>
        <w:bottom w:val="none" w:sz="0" w:space="0" w:color="auto"/>
        <w:right w:val="none" w:sz="0" w:space="0" w:color="auto"/>
      </w:divBdr>
    </w:div>
    <w:div w:id="921993199">
      <w:bodyDiv w:val="1"/>
      <w:marLeft w:val="0"/>
      <w:marRight w:val="0"/>
      <w:marTop w:val="0"/>
      <w:marBottom w:val="0"/>
      <w:divBdr>
        <w:top w:val="none" w:sz="0" w:space="0" w:color="auto"/>
        <w:left w:val="none" w:sz="0" w:space="0" w:color="auto"/>
        <w:bottom w:val="none" w:sz="0" w:space="0" w:color="auto"/>
        <w:right w:val="none" w:sz="0" w:space="0" w:color="auto"/>
      </w:divBdr>
    </w:div>
    <w:div w:id="922026372">
      <w:bodyDiv w:val="1"/>
      <w:marLeft w:val="0"/>
      <w:marRight w:val="0"/>
      <w:marTop w:val="0"/>
      <w:marBottom w:val="0"/>
      <w:divBdr>
        <w:top w:val="none" w:sz="0" w:space="0" w:color="auto"/>
        <w:left w:val="none" w:sz="0" w:space="0" w:color="auto"/>
        <w:bottom w:val="none" w:sz="0" w:space="0" w:color="auto"/>
        <w:right w:val="none" w:sz="0" w:space="0" w:color="auto"/>
      </w:divBdr>
    </w:div>
    <w:div w:id="922027941">
      <w:bodyDiv w:val="1"/>
      <w:marLeft w:val="0"/>
      <w:marRight w:val="0"/>
      <w:marTop w:val="0"/>
      <w:marBottom w:val="0"/>
      <w:divBdr>
        <w:top w:val="none" w:sz="0" w:space="0" w:color="auto"/>
        <w:left w:val="none" w:sz="0" w:space="0" w:color="auto"/>
        <w:bottom w:val="none" w:sz="0" w:space="0" w:color="auto"/>
        <w:right w:val="none" w:sz="0" w:space="0" w:color="auto"/>
      </w:divBdr>
    </w:div>
    <w:div w:id="922105926">
      <w:bodyDiv w:val="1"/>
      <w:marLeft w:val="0"/>
      <w:marRight w:val="0"/>
      <w:marTop w:val="0"/>
      <w:marBottom w:val="0"/>
      <w:divBdr>
        <w:top w:val="none" w:sz="0" w:space="0" w:color="auto"/>
        <w:left w:val="none" w:sz="0" w:space="0" w:color="auto"/>
        <w:bottom w:val="none" w:sz="0" w:space="0" w:color="auto"/>
        <w:right w:val="none" w:sz="0" w:space="0" w:color="auto"/>
      </w:divBdr>
    </w:div>
    <w:div w:id="922110242">
      <w:bodyDiv w:val="1"/>
      <w:marLeft w:val="0"/>
      <w:marRight w:val="0"/>
      <w:marTop w:val="0"/>
      <w:marBottom w:val="0"/>
      <w:divBdr>
        <w:top w:val="none" w:sz="0" w:space="0" w:color="auto"/>
        <w:left w:val="none" w:sz="0" w:space="0" w:color="auto"/>
        <w:bottom w:val="none" w:sz="0" w:space="0" w:color="auto"/>
        <w:right w:val="none" w:sz="0" w:space="0" w:color="auto"/>
      </w:divBdr>
    </w:div>
    <w:div w:id="922223385">
      <w:bodyDiv w:val="1"/>
      <w:marLeft w:val="0"/>
      <w:marRight w:val="0"/>
      <w:marTop w:val="0"/>
      <w:marBottom w:val="0"/>
      <w:divBdr>
        <w:top w:val="none" w:sz="0" w:space="0" w:color="auto"/>
        <w:left w:val="none" w:sz="0" w:space="0" w:color="auto"/>
        <w:bottom w:val="none" w:sz="0" w:space="0" w:color="auto"/>
        <w:right w:val="none" w:sz="0" w:space="0" w:color="auto"/>
      </w:divBdr>
    </w:div>
    <w:div w:id="922229064">
      <w:bodyDiv w:val="1"/>
      <w:marLeft w:val="0"/>
      <w:marRight w:val="0"/>
      <w:marTop w:val="0"/>
      <w:marBottom w:val="0"/>
      <w:divBdr>
        <w:top w:val="none" w:sz="0" w:space="0" w:color="auto"/>
        <w:left w:val="none" w:sz="0" w:space="0" w:color="auto"/>
        <w:bottom w:val="none" w:sz="0" w:space="0" w:color="auto"/>
        <w:right w:val="none" w:sz="0" w:space="0" w:color="auto"/>
      </w:divBdr>
    </w:div>
    <w:div w:id="922375113">
      <w:bodyDiv w:val="1"/>
      <w:marLeft w:val="0"/>
      <w:marRight w:val="0"/>
      <w:marTop w:val="0"/>
      <w:marBottom w:val="0"/>
      <w:divBdr>
        <w:top w:val="none" w:sz="0" w:space="0" w:color="auto"/>
        <w:left w:val="none" w:sz="0" w:space="0" w:color="auto"/>
        <w:bottom w:val="none" w:sz="0" w:space="0" w:color="auto"/>
        <w:right w:val="none" w:sz="0" w:space="0" w:color="auto"/>
      </w:divBdr>
    </w:div>
    <w:div w:id="922377924">
      <w:bodyDiv w:val="1"/>
      <w:marLeft w:val="0"/>
      <w:marRight w:val="0"/>
      <w:marTop w:val="0"/>
      <w:marBottom w:val="0"/>
      <w:divBdr>
        <w:top w:val="none" w:sz="0" w:space="0" w:color="auto"/>
        <w:left w:val="none" w:sz="0" w:space="0" w:color="auto"/>
        <w:bottom w:val="none" w:sz="0" w:space="0" w:color="auto"/>
        <w:right w:val="none" w:sz="0" w:space="0" w:color="auto"/>
      </w:divBdr>
    </w:div>
    <w:div w:id="922490959">
      <w:bodyDiv w:val="1"/>
      <w:marLeft w:val="0"/>
      <w:marRight w:val="0"/>
      <w:marTop w:val="0"/>
      <w:marBottom w:val="0"/>
      <w:divBdr>
        <w:top w:val="none" w:sz="0" w:space="0" w:color="auto"/>
        <w:left w:val="none" w:sz="0" w:space="0" w:color="auto"/>
        <w:bottom w:val="none" w:sz="0" w:space="0" w:color="auto"/>
        <w:right w:val="none" w:sz="0" w:space="0" w:color="auto"/>
      </w:divBdr>
    </w:div>
    <w:div w:id="922565000">
      <w:bodyDiv w:val="1"/>
      <w:marLeft w:val="0"/>
      <w:marRight w:val="0"/>
      <w:marTop w:val="0"/>
      <w:marBottom w:val="0"/>
      <w:divBdr>
        <w:top w:val="none" w:sz="0" w:space="0" w:color="auto"/>
        <w:left w:val="none" w:sz="0" w:space="0" w:color="auto"/>
        <w:bottom w:val="none" w:sz="0" w:space="0" w:color="auto"/>
        <w:right w:val="none" w:sz="0" w:space="0" w:color="auto"/>
      </w:divBdr>
    </w:div>
    <w:div w:id="922568363">
      <w:bodyDiv w:val="1"/>
      <w:marLeft w:val="0"/>
      <w:marRight w:val="0"/>
      <w:marTop w:val="0"/>
      <w:marBottom w:val="0"/>
      <w:divBdr>
        <w:top w:val="none" w:sz="0" w:space="0" w:color="auto"/>
        <w:left w:val="none" w:sz="0" w:space="0" w:color="auto"/>
        <w:bottom w:val="none" w:sz="0" w:space="0" w:color="auto"/>
        <w:right w:val="none" w:sz="0" w:space="0" w:color="auto"/>
      </w:divBdr>
    </w:div>
    <w:div w:id="922642859">
      <w:bodyDiv w:val="1"/>
      <w:marLeft w:val="0"/>
      <w:marRight w:val="0"/>
      <w:marTop w:val="0"/>
      <w:marBottom w:val="0"/>
      <w:divBdr>
        <w:top w:val="none" w:sz="0" w:space="0" w:color="auto"/>
        <w:left w:val="none" w:sz="0" w:space="0" w:color="auto"/>
        <w:bottom w:val="none" w:sz="0" w:space="0" w:color="auto"/>
        <w:right w:val="none" w:sz="0" w:space="0" w:color="auto"/>
      </w:divBdr>
    </w:div>
    <w:div w:id="922644469">
      <w:bodyDiv w:val="1"/>
      <w:marLeft w:val="0"/>
      <w:marRight w:val="0"/>
      <w:marTop w:val="0"/>
      <w:marBottom w:val="0"/>
      <w:divBdr>
        <w:top w:val="none" w:sz="0" w:space="0" w:color="auto"/>
        <w:left w:val="none" w:sz="0" w:space="0" w:color="auto"/>
        <w:bottom w:val="none" w:sz="0" w:space="0" w:color="auto"/>
        <w:right w:val="none" w:sz="0" w:space="0" w:color="auto"/>
      </w:divBdr>
    </w:div>
    <w:div w:id="922690814">
      <w:bodyDiv w:val="1"/>
      <w:marLeft w:val="0"/>
      <w:marRight w:val="0"/>
      <w:marTop w:val="0"/>
      <w:marBottom w:val="0"/>
      <w:divBdr>
        <w:top w:val="none" w:sz="0" w:space="0" w:color="auto"/>
        <w:left w:val="none" w:sz="0" w:space="0" w:color="auto"/>
        <w:bottom w:val="none" w:sz="0" w:space="0" w:color="auto"/>
        <w:right w:val="none" w:sz="0" w:space="0" w:color="auto"/>
      </w:divBdr>
    </w:div>
    <w:div w:id="922758717">
      <w:bodyDiv w:val="1"/>
      <w:marLeft w:val="0"/>
      <w:marRight w:val="0"/>
      <w:marTop w:val="0"/>
      <w:marBottom w:val="0"/>
      <w:divBdr>
        <w:top w:val="none" w:sz="0" w:space="0" w:color="auto"/>
        <w:left w:val="none" w:sz="0" w:space="0" w:color="auto"/>
        <w:bottom w:val="none" w:sz="0" w:space="0" w:color="auto"/>
        <w:right w:val="none" w:sz="0" w:space="0" w:color="auto"/>
      </w:divBdr>
    </w:div>
    <w:div w:id="922764905">
      <w:bodyDiv w:val="1"/>
      <w:marLeft w:val="0"/>
      <w:marRight w:val="0"/>
      <w:marTop w:val="0"/>
      <w:marBottom w:val="0"/>
      <w:divBdr>
        <w:top w:val="none" w:sz="0" w:space="0" w:color="auto"/>
        <w:left w:val="none" w:sz="0" w:space="0" w:color="auto"/>
        <w:bottom w:val="none" w:sz="0" w:space="0" w:color="auto"/>
        <w:right w:val="none" w:sz="0" w:space="0" w:color="auto"/>
      </w:divBdr>
    </w:div>
    <w:div w:id="922833605">
      <w:bodyDiv w:val="1"/>
      <w:marLeft w:val="0"/>
      <w:marRight w:val="0"/>
      <w:marTop w:val="0"/>
      <w:marBottom w:val="0"/>
      <w:divBdr>
        <w:top w:val="none" w:sz="0" w:space="0" w:color="auto"/>
        <w:left w:val="none" w:sz="0" w:space="0" w:color="auto"/>
        <w:bottom w:val="none" w:sz="0" w:space="0" w:color="auto"/>
        <w:right w:val="none" w:sz="0" w:space="0" w:color="auto"/>
      </w:divBdr>
    </w:div>
    <w:div w:id="922837495">
      <w:bodyDiv w:val="1"/>
      <w:marLeft w:val="0"/>
      <w:marRight w:val="0"/>
      <w:marTop w:val="0"/>
      <w:marBottom w:val="0"/>
      <w:divBdr>
        <w:top w:val="none" w:sz="0" w:space="0" w:color="auto"/>
        <w:left w:val="none" w:sz="0" w:space="0" w:color="auto"/>
        <w:bottom w:val="none" w:sz="0" w:space="0" w:color="auto"/>
        <w:right w:val="none" w:sz="0" w:space="0" w:color="auto"/>
      </w:divBdr>
    </w:div>
    <w:div w:id="922837561">
      <w:bodyDiv w:val="1"/>
      <w:marLeft w:val="0"/>
      <w:marRight w:val="0"/>
      <w:marTop w:val="0"/>
      <w:marBottom w:val="0"/>
      <w:divBdr>
        <w:top w:val="none" w:sz="0" w:space="0" w:color="auto"/>
        <w:left w:val="none" w:sz="0" w:space="0" w:color="auto"/>
        <w:bottom w:val="none" w:sz="0" w:space="0" w:color="auto"/>
        <w:right w:val="none" w:sz="0" w:space="0" w:color="auto"/>
      </w:divBdr>
    </w:div>
    <w:div w:id="922838231">
      <w:bodyDiv w:val="1"/>
      <w:marLeft w:val="0"/>
      <w:marRight w:val="0"/>
      <w:marTop w:val="0"/>
      <w:marBottom w:val="0"/>
      <w:divBdr>
        <w:top w:val="none" w:sz="0" w:space="0" w:color="auto"/>
        <w:left w:val="none" w:sz="0" w:space="0" w:color="auto"/>
        <w:bottom w:val="none" w:sz="0" w:space="0" w:color="auto"/>
        <w:right w:val="none" w:sz="0" w:space="0" w:color="auto"/>
      </w:divBdr>
    </w:div>
    <w:div w:id="922840774">
      <w:bodyDiv w:val="1"/>
      <w:marLeft w:val="0"/>
      <w:marRight w:val="0"/>
      <w:marTop w:val="0"/>
      <w:marBottom w:val="0"/>
      <w:divBdr>
        <w:top w:val="none" w:sz="0" w:space="0" w:color="auto"/>
        <w:left w:val="none" w:sz="0" w:space="0" w:color="auto"/>
        <w:bottom w:val="none" w:sz="0" w:space="0" w:color="auto"/>
        <w:right w:val="none" w:sz="0" w:space="0" w:color="auto"/>
      </w:divBdr>
    </w:div>
    <w:div w:id="923028292">
      <w:bodyDiv w:val="1"/>
      <w:marLeft w:val="0"/>
      <w:marRight w:val="0"/>
      <w:marTop w:val="0"/>
      <w:marBottom w:val="0"/>
      <w:divBdr>
        <w:top w:val="none" w:sz="0" w:space="0" w:color="auto"/>
        <w:left w:val="none" w:sz="0" w:space="0" w:color="auto"/>
        <w:bottom w:val="none" w:sz="0" w:space="0" w:color="auto"/>
        <w:right w:val="none" w:sz="0" w:space="0" w:color="auto"/>
      </w:divBdr>
    </w:div>
    <w:div w:id="923028539">
      <w:bodyDiv w:val="1"/>
      <w:marLeft w:val="0"/>
      <w:marRight w:val="0"/>
      <w:marTop w:val="0"/>
      <w:marBottom w:val="0"/>
      <w:divBdr>
        <w:top w:val="none" w:sz="0" w:space="0" w:color="auto"/>
        <w:left w:val="none" w:sz="0" w:space="0" w:color="auto"/>
        <w:bottom w:val="none" w:sz="0" w:space="0" w:color="auto"/>
        <w:right w:val="none" w:sz="0" w:space="0" w:color="auto"/>
      </w:divBdr>
    </w:div>
    <w:div w:id="923302597">
      <w:bodyDiv w:val="1"/>
      <w:marLeft w:val="0"/>
      <w:marRight w:val="0"/>
      <w:marTop w:val="0"/>
      <w:marBottom w:val="0"/>
      <w:divBdr>
        <w:top w:val="none" w:sz="0" w:space="0" w:color="auto"/>
        <w:left w:val="none" w:sz="0" w:space="0" w:color="auto"/>
        <w:bottom w:val="none" w:sz="0" w:space="0" w:color="auto"/>
        <w:right w:val="none" w:sz="0" w:space="0" w:color="auto"/>
      </w:divBdr>
    </w:div>
    <w:div w:id="923302932">
      <w:bodyDiv w:val="1"/>
      <w:marLeft w:val="0"/>
      <w:marRight w:val="0"/>
      <w:marTop w:val="0"/>
      <w:marBottom w:val="0"/>
      <w:divBdr>
        <w:top w:val="none" w:sz="0" w:space="0" w:color="auto"/>
        <w:left w:val="none" w:sz="0" w:space="0" w:color="auto"/>
        <w:bottom w:val="none" w:sz="0" w:space="0" w:color="auto"/>
        <w:right w:val="none" w:sz="0" w:space="0" w:color="auto"/>
      </w:divBdr>
    </w:div>
    <w:div w:id="923337386">
      <w:bodyDiv w:val="1"/>
      <w:marLeft w:val="0"/>
      <w:marRight w:val="0"/>
      <w:marTop w:val="0"/>
      <w:marBottom w:val="0"/>
      <w:divBdr>
        <w:top w:val="none" w:sz="0" w:space="0" w:color="auto"/>
        <w:left w:val="none" w:sz="0" w:space="0" w:color="auto"/>
        <w:bottom w:val="none" w:sz="0" w:space="0" w:color="auto"/>
        <w:right w:val="none" w:sz="0" w:space="0" w:color="auto"/>
      </w:divBdr>
    </w:div>
    <w:div w:id="923415346">
      <w:bodyDiv w:val="1"/>
      <w:marLeft w:val="0"/>
      <w:marRight w:val="0"/>
      <w:marTop w:val="0"/>
      <w:marBottom w:val="0"/>
      <w:divBdr>
        <w:top w:val="none" w:sz="0" w:space="0" w:color="auto"/>
        <w:left w:val="none" w:sz="0" w:space="0" w:color="auto"/>
        <w:bottom w:val="none" w:sz="0" w:space="0" w:color="auto"/>
        <w:right w:val="none" w:sz="0" w:space="0" w:color="auto"/>
      </w:divBdr>
    </w:div>
    <w:div w:id="923607755">
      <w:bodyDiv w:val="1"/>
      <w:marLeft w:val="0"/>
      <w:marRight w:val="0"/>
      <w:marTop w:val="0"/>
      <w:marBottom w:val="0"/>
      <w:divBdr>
        <w:top w:val="none" w:sz="0" w:space="0" w:color="auto"/>
        <w:left w:val="none" w:sz="0" w:space="0" w:color="auto"/>
        <w:bottom w:val="none" w:sz="0" w:space="0" w:color="auto"/>
        <w:right w:val="none" w:sz="0" w:space="0" w:color="auto"/>
      </w:divBdr>
    </w:div>
    <w:div w:id="923877193">
      <w:bodyDiv w:val="1"/>
      <w:marLeft w:val="0"/>
      <w:marRight w:val="0"/>
      <w:marTop w:val="0"/>
      <w:marBottom w:val="0"/>
      <w:divBdr>
        <w:top w:val="none" w:sz="0" w:space="0" w:color="auto"/>
        <w:left w:val="none" w:sz="0" w:space="0" w:color="auto"/>
        <w:bottom w:val="none" w:sz="0" w:space="0" w:color="auto"/>
        <w:right w:val="none" w:sz="0" w:space="0" w:color="auto"/>
      </w:divBdr>
    </w:div>
    <w:div w:id="923878997">
      <w:bodyDiv w:val="1"/>
      <w:marLeft w:val="0"/>
      <w:marRight w:val="0"/>
      <w:marTop w:val="0"/>
      <w:marBottom w:val="0"/>
      <w:divBdr>
        <w:top w:val="none" w:sz="0" w:space="0" w:color="auto"/>
        <w:left w:val="none" w:sz="0" w:space="0" w:color="auto"/>
        <w:bottom w:val="none" w:sz="0" w:space="0" w:color="auto"/>
        <w:right w:val="none" w:sz="0" w:space="0" w:color="auto"/>
      </w:divBdr>
    </w:div>
    <w:div w:id="923879284">
      <w:bodyDiv w:val="1"/>
      <w:marLeft w:val="0"/>
      <w:marRight w:val="0"/>
      <w:marTop w:val="0"/>
      <w:marBottom w:val="0"/>
      <w:divBdr>
        <w:top w:val="none" w:sz="0" w:space="0" w:color="auto"/>
        <w:left w:val="none" w:sz="0" w:space="0" w:color="auto"/>
        <w:bottom w:val="none" w:sz="0" w:space="0" w:color="auto"/>
        <w:right w:val="none" w:sz="0" w:space="0" w:color="auto"/>
      </w:divBdr>
    </w:div>
    <w:div w:id="923997437">
      <w:bodyDiv w:val="1"/>
      <w:marLeft w:val="0"/>
      <w:marRight w:val="0"/>
      <w:marTop w:val="0"/>
      <w:marBottom w:val="0"/>
      <w:divBdr>
        <w:top w:val="none" w:sz="0" w:space="0" w:color="auto"/>
        <w:left w:val="none" w:sz="0" w:space="0" w:color="auto"/>
        <w:bottom w:val="none" w:sz="0" w:space="0" w:color="auto"/>
        <w:right w:val="none" w:sz="0" w:space="0" w:color="auto"/>
      </w:divBdr>
    </w:div>
    <w:div w:id="923997820">
      <w:bodyDiv w:val="1"/>
      <w:marLeft w:val="0"/>
      <w:marRight w:val="0"/>
      <w:marTop w:val="0"/>
      <w:marBottom w:val="0"/>
      <w:divBdr>
        <w:top w:val="none" w:sz="0" w:space="0" w:color="auto"/>
        <w:left w:val="none" w:sz="0" w:space="0" w:color="auto"/>
        <w:bottom w:val="none" w:sz="0" w:space="0" w:color="auto"/>
        <w:right w:val="none" w:sz="0" w:space="0" w:color="auto"/>
      </w:divBdr>
    </w:div>
    <w:div w:id="924148537">
      <w:bodyDiv w:val="1"/>
      <w:marLeft w:val="0"/>
      <w:marRight w:val="0"/>
      <w:marTop w:val="0"/>
      <w:marBottom w:val="0"/>
      <w:divBdr>
        <w:top w:val="none" w:sz="0" w:space="0" w:color="auto"/>
        <w:left w:val="none" w:sz="0" w:space="0" w:color="auto"/>
        <w:bottom w:val="none" w:sz="0" w:space="0" w:color="auto"/>
        <w:right w:val="none" w:sz="0" w:space="0" w:color="auto"/>
      </w:divBdr>
    </w:div>
    <w:div w:id="924149369">
      <w:bodyDiv w:val="1"/>
      <w:marLeft w:val="0"/>
      <w:marRight w:val="0"/>
      <w:marTop w:val="0"/>
      <w:marBottom w:val="0"/>
      <w:divBdr>
        <w:top w:val="none" w:sz="0" w:space="0" w:color="auto"/>
        <w:left w:val="none" w:sz="0" w:space="0" w:color="auto"/>
        <w:bottom w:val="none" w:sz="0" w:space="0" w:color="auto"/>
        <w:right w:val="none" w:sz="0" w:space="0" w:color="auto"/>
      </w:divBdr>
    </w:div>
    <w:div w:id="924269819">
      <w:bodyDiv w:val="1"/>
      <w:marLeft w:val="0"/>
      <w:marRight w:val="0"/>
      <w:marTop w:val="0"/>
      <w:marBottom w:val="0"/>
      <w:divBdr>
        <w:top w:val="none" w:sz="0" w:space="0" w:color="auto"/>
        <w:left w:val="none" w:sz="0" w:space="0" w:color="auto"/>
        <w:bottom w:val="none" w:sz="0" w:space="0" w:color="auto"/>
        <w:right w:val="none" w:sz="0" w:space="0" w:color="auto"/>
      </w:divBdr>
    </w:div>
    <w:div w:id="924456462">
      <w:bodyDiv w:val="1"/>
      <w:marLeft w:val="0"/>
      <w:marRight w:val="0"/>
      <w:marTop w:val="0"/>
      <w:marBottom w:val="0"/>
      <w:divBdr>
        <w:top w:val="none" w:sz="0" w:space="0" w:color="auto"/>
        <w:left w:val="none" w:sz="0" w:space="0" w:color="auto"/>
        <w:bottom w:val="none" w:sz="0" w:space="0" w:color="auto"/>
        <w:right w:val="none" w:sz="0" w:space="0" w:color="auto"/>
      </w:divBdr>
    </w:div>
    <w:div w:id="924458903">
      <w:bodyDiv w:val="1"/>
      <w:marLeft w:val="0"/>
      <w:marRight w:val="0"/>
      <w:marTop w:val="0"/>
      <w:marBottom w:val="0"/>
      <w:divBdr>
        <w:top w:val="none" w:sz="0" w:space="0" w:color="auto"/>
        <w:left w:val="none" w:sz="0" w:space="0" w:color="auto"/>
        <w:bottom w:val="none" w:sz="0" w:space="0" w:color="auto"/>
        <w:right w:val="none" w:sz="0" w:space="0" w:color="auto"/>
      </w:divBdr>
    </w:div>
    <w:div w:id="924649557">
      <w:bodyDiv w:val="1"/>
      <w:marLeft w:val="0"/>
      <w:marRight w:val="0"/>
      <w:marTop w:val="0"/>
      <w:marBottom w:val="0"/>
      <w:divBdr>
        <w:top w:val="none" w:sz="0" w:space="0" w:color="auto"/>
        <w:left w:val="none" w:sz="0" w:space="0" w:color="auto"/>
        <w:bottom w:val="none" w:sz="0" w:space="0" w:color="auto"/>
        <w:right w:val="none" w:sz="0" w:space="0" w:color="auto"/>
      </w:divBdr>
    </w:div>
    <w:div w:id="924656155">
      <w:bodyDiv w:val="1"/>
      <w:marLeft w:val="0"/>
      <w:marRight w:val="0"/>
      <w:marTop w:val="0"/>
      <w:marBottom w:val="0"/>
      <w:divBdr>
        <w:top w:val="none" w:sz="0" w:space="0" w:color="auto"/>
        <w:left w:val="none" w:sz="0" w:space="0" w:color="auto"/>
        <w:bottom w:val="none" w:sz="0" w:space="0" w:color="auto"/>
        <w:right w:val="none" w:sz="0" w:space="0" w:color="auto"/>
      </w:divBdr>
    </w:div>
    <w:div w:id="924656725">
      <w:bodyDiv w:val="1"/>
      <w:marLeft w:val="0"/>
      <w:marRight w:val="0"/>
      <w:marTop w:val="0"/>
      <w:marBottom w:val="0"/>
      <w:divBdr>
        <w:top w:val="none" w:sz="0" w:space="0" w:color="auto"/>
        <w:left w:val="none" w:sz="0" w:space="0" w:color="auto"/>
        <w:bottom w:val="none" w:sz="0" w:space="0" w:color="auto"/>
        <w:right w:val="none" w:sz="0" w:space="0" w:color="auto"/>
      </w:divBdr>
    </w:div>
    <w:div w:id="924731118">
      <w:bodyDiv w:val="1"/>
      <w:marLeft w:val="0"/>
      <w:marRight w:val="0"/>
      <w:marTop w:val="0"/>
      <w:marBottom w:val="0"/>
      <w:divBdr>
        <w:top w:val="none" w:sz="0" w:space="0" w:color="auto"/>
        <w:left w:val="none" w:sz="0" w:space="0" w:color="auto"/>
        <w:bottom w:val="none" w:sz="0" w:space="0" w:color="auto"/>
        <w:right w:val="none" w:sz="0" w:space="0" w:color="auto"/>
      </w:divBdr>
    </w:div>
    <w:div w:id="924802187">
      <w:bodyDiv w:val="1"/>
      <w:marLeft w:val="0"/>
      <w:marRight w:val="0"/>
      <w:marTop w:val="0"/>
      <w:marBottom w:val="0"/>
      <w:divBdr>
        <w:top w:val="none" w:sz="0" w:space="0" w:color="auto"/>
        <w:left w:val="none" w:sz="0" w:space="0" w:color="auto"/>
        <w:bottom w:val="none" w:sz="0" w:space="0" w:color="auto"/>
        <w:right w:val="none" w:sz="0" w:space="0" w:color="auto"/>
      </w:divBdr>
    </w:div>
    <w:div w:id="924802983">
      <w:bodyDiv w:val="1"/>
      <w:marLeft w:val="0"/>
      <w:marRight w:val="0"/>
      <w:marTop w:val="0"/>
      <w:marBottom w:val="0"/>
      <w:divBdr>
        <w:top w:val="none" w:sz="0" w:space="0" w:color="auto"/>
        <w:left w:val="none" w:sz="0" w:space="0" w:color="auto"/>
        <w:bottom w:val="none" w:sz="0" w:space="0" w:color="auto"/>
        <w:right w:val="none" w:sz="0" w:space="0" w:color="auto"/>
      </w:divBdr>
    </w:div>
    <w:div w:id="924919223">
      <w:bodyDiv w:val="1"/>
      <w:marLeft w:val="0"/>
      <w:marRight w:val="0"/>
      <w:marTop w:val="0"/>
      <w:marBottom w:val="0"/>
      <w:divBdr>
        <w:top w:val="none" w:sz="0" w:space="0" w:color="auto"/>
        <w:left w:val="none" w:sz="0" w:space="0" w:color="auto"/>
        <w:bottom w:val="none" w:sz="0" w:space="0" w:color="auto"/>
        <w:right w:val="none" w:sz="0" w:space="0" w:color="auto"/>
      </w:divBdr>
    </w:div>
    <w:div w:id="924995323">
      <w:bodyDiv w:val="1"/>
      <w:marLeft w:val="0"/>
      <w:marRight w:val="0"/>
      <w:marTop w:val="0"/>
      <w:marBottom w:val="0"/>
      <w:divBdr>
        <w:top w:val="none" w:sz="0" w:space="0" w:color="auto"/>
        <w:left w:val="none" w:sz="0" w:space="0" w:color="auto"/>
        <w:bottom w:val="none" w:sz="0" w:space="0" w:color="auto"/>
        <w:right w:val="none" w:sz="0" w:space="0" w:color="auto"/>
      </w:divBdr>
    </w:div>
    <w:div w:id="925040679">
      <w:bodyDiv w:val="1"/>
      <w:marLeft w:val="0"/>
      <w:marRight w:val="0"/>
      <w:marTop w:val="0"/>
      <w:marBottom w:val="0"/>
      <w:divBdr>
        <w:top w:val="none" w:sz="0" w:space="0" w:color="auto"/>
        <w:left w:val="none" w:sz="0" w:space="0" w:color="auto"/>
        <w:bottom w:val="none" w:sz="0" w:space="0" w:color="auto"/>
        <w:right w:val="none" w:sz="0" w:space="0" w:color="auto"/>
      </w:divBdr>
    </w:div>
    <w:div w:id="925041424">
      <w:bodyDiv w:val="1"/>
      <w:marLeft w:val="0"/>
      <w:marRight w:val="0"/>
      <w:marTop w:val="0"/>
      <w:marBottom w:val="0"/>
      <w:divBdr>
        <w:top w:val="none" w:sz="0" w:space="0" w:color="auto"/>
        <w:left w:val="none" w:sz="0" w:space="0" w:color="auto"/>
        <w:bottom w:val="none" w:sz="0" w:space="0" w:color="auto"/>
        <w:right w:val="none" w:sz="0" w:space="0" w:color="auto"/>
      </w:divBdr>
    </w:div>
    <w:div w:id="925043187">
      <w:bodyDiv w:val="1"/>
      <w:marLeft w:val="0"/>
      <w:marRight w:val="0"/>
      <w:marTop w:val="0"/>
      <w:marBottom w:val="0"/>
      <w:divBdr>
        <w:top w:val="none" w:sz="0" w:space="0" w:color="auto"/>
        <w:left w:val="none" w:sz="0" w:space="0" w:color="auto"/>
        <w:bottom w:val="none" w:sz="0" w:space="0" w:color="auto"/>
        <w:right w:val="none" w:sz="0" w:space="0" w:color="auto"/>
      </w:divBdr>
    </w:div>
    <w:div w:id="925070918">
      <w:bodyDiv w:val="1"/>
      <w:marLeft w:val="0"/>
      <w:marRight w:val="0"/>
      <w:marTop w:val="0"/>
      <w:marBottom w:val="0"/>
      <w:divBdr>
        <w:top w:val="none" w:sz="0" w:space="0" w:color="auto"/>
        <w:left w:val="none" w:sz="0" w:space="0" w:color="auto"/>
        <w:bottom w:val="none" w:sz="0" w:space="0" w:color="auto"/>
        <w:right w:val="none" w:sz="0" w:space="0" w:color="auto"/>
      </w:divBdr>
    </w:div>
    <w:div w:id="925072739">
      <w:bodyDiv w:val="1"/>
      <w:marLeft w:val="0"/>
      <w:marRight w:val="0"/>
      <w:marTop w:val="0"/>
      <w:marBottom w:val="0"/>
      <w:divBdr>
        <w:top w:val="none" w:sz="0" w:space="0" w:color="auto"/>
        <w:left w:val="none" w:sz="0" w:space="0" w:color="auto"/>
        <w:bottom w:val="none" w:sz="0" w:space="0" w:color="auto"/>
        <w:right w:val="none" w:sz="0" w:space="0" w:color="auto"/>
      </w:divBdr>
    </w:div>
    <w:div w:id="925073241">
      <w:bodyDiv w:val="1"/>
      <w:marLeft w:val="0"/>
      <w:marRight w:val="0"/>
      <w:marTop w:val="0"/>
      <w:marBottom w:val="0"/>
      <w:divBdr>
        <w:top w:val="none" w:sz="0" w:space="0" w:color="auto"/>
        <w:left w:val="none" w:sz="0" w:space="0" w:color="auto"/>
        <w:bottom w:val="none" w:sz="0" w:space="0" w:color="auto"/>
        <w:right w:val="none" w:sz="0" w:space="0" w:color="auto"/>
      </w:divBdr>
    </w:div>
    <w:div w:id="925111208">
      <w:bodyDiv w:val="1"/>
      <w:marLeft w:val="0"/>
      <w:marRight w:val="0"/>
      <w:marTop w:val="0"/>
      <w:marBottom w:val="0"/>
      <w:divBdr>
        <w:top w:val="none" w:sz="0" w:space="0" w:color="auto"/>
        <w:left w:val="none" w:sz="0" w:space="0" w:color="auto"/>
        <w:bottom w:val="none" w:sz="0" w:space="0" w:color="auto"/>
        <w:right w:val="none" w:sz="0" w:space="0" w:color="auto"/>
      </w:divBdr>
    </w:div>
    <w:div w:id="925262657">
      <w:bodyDiv w:val="1"/>
      <w:marLeft w:val="0"/>
      <w:marRight w:val="0"/>
      <w:marTop w:val="0"/>
      <w:marBottom w:val="0"/>
      <w:divBdr>
        <w:top w:val="none" w:sz="0" w:space="0" w:color="auto"/>
        <w:left w:val="none" w:sz="0" w:space="0" w:color="auto"/>
        <w:bottom w:val="none" w:sz="0" w:space="0" w:color="auto"/>
        <w:right w:val="none" w:sz="0" w:space="0" w:color="auto"/>
      </w:divBdr>
    </w:div>
    <w:div w:id="925383432">
      <w:bodyDiv w:val="1"/>
      <w:marLeft w:val="0"/>
      <w:marRight w:val="0"/>
      <w:marTop w:val="0"/>
      <w:marBottom w:val="0"/>
      <w:divBdr>
        <w:top w:val="none" w:sz="0" w:space="0" w:color="auto"/>
        <w:left w:val="none" w:sz="0" w:space="0" w:color="auto"/>
        <w:bottom w:val="none" w:sz="0" w:space="0" w:color="auto"/>
        <w:right w:val="none" w:sz="0" w:space="0" w:color="auto"/>
      </w:divBdr>
    </w:div>
    <w:div w:id="925461892">
      <w:bodyDiv w:val="1"/>
      <w:marLeft w:val="0"/>
      <w:marRight w:val="0"/>
      <w:marTop w:val="0"/>
      <w:marBottom w:val="0"/>
      <w:divBdr>
        <w:top w:val="none" w:sz="0" w:space="0" w:color="auto"/>
        <w:left w:val="none" w:sz="0" w:space="0" w:color="auto"/>
        <w:bottom w:val="none" w:sz="0" w:space="0" w:color="auto"/>
        <w:right w:val="none" w:sz="0" w:space="0" w:color="auto"/>
      </w:divBdr>
    </w:div>
    <w:div w:id="925529849">
      <w:bodyDiv w:val="1"/>
      <w:marLeft w:val="0"/>
      <w:marRight w:val="0"/>
      <w:marTop w:val="0"/>
      <w:marBottom w:val="0"/>
      <w:divBdr>
        <w:top w:val="none" w:sz="0" w:space="0" w:color="auto"/>
        <w:left w:val="none" w:sz="0" w:space="0" w:color="auto"/>
        <w:bottom w:val="none" w:sz="0" w:space="0" w:color="auto"/>
        <w:right w:val="none" w:sz="0" w:space="0" w:color="auto"/>
      </w:divBdr>
    </w:div>
    <w:div w:id="925571469">
      <w:bodyDiv w:val="1"/>
      <w:marLeft w:val="0"/>
      <w:marRight w:val="0"/>
      <w:marTop w:val="0"/>
      <w:marBottom w:val="0"/>
      <w:divBdr>
        <w:top w:val="none" w:sz="0" w:space="0" w:color="auto"/>
        <w:left w:val="none" w:sz="0" w:space="0" w:color="auto"/>
        <w:bottom w:val="none" w:sz="0" w:space="0" w:color="auto"/>
        <w:right w:val="none" w:sz="0" w:space="0" w:color="auto"/>
      </w:divBdr>
    </w:div>
    <w:div w:id="925575143">
      <w:bodyDiv w:val="1"/>
      <w:marLeft w:val="0"/>
      <w:marRight w:val="0"/>
      <w:marTop w:val="0"/>
      <w:marBottom w:val="0"/>
      <w:divBdr>
        <w:top w:val="none" w:sz="0" w:space="0" w:color="auto"/>
        <w:left w:val="none" w:sz="0" w:space="0" w:color="auto"/>
        <w:bottom w:val="none" w:sz="0" w:space="0" w:color="auto"/>
        <w:right w:val="none" w:sz="0" w:space="0" w:color="auto"/>
      </w:divBdr>
    </w:div>
    <w:div w:id="925698471">
      <w:bodyDiv w:val="1"/>
      <w:marLeft w:val="0"/>
      <w:marRight w:val="0"/>
      <w:marTop w:val="0"/>
      <w:marBottom w:val="0"/>
      <w:divBdr>
        <w:top w:val="none" w:sz="0" w:space="0" w:color="auto"/>
        <w:left w:val="none" w:sz="0" w:space="0" w:color="auto"/>
        <w:bottom w:val="none" w:sz="0" w:space="0" w:color="auto"/>
        <w:right w:val="none" w:sz="0" w:space="0" w:color="auto"/>
      </w:divBdr>
    </w:div>
    <w:div w:id="925767441">
      <w:bodyDiv w:val="1"/>
      <w:marLeft w:val="0"/>
      <w:marRight w:val="0"/>
      <w:marTop w:val="0"/>
      <w:marBottom w:val="0"/>
      <w:divBdr>
        <w:top w:val="none" w:sz="0" w:space="0" w:color="auto"/>
        <w:left w:val="none" w:sz="0" w:space="0" w:color="auto"/>
        <w:bottom w:val="none" w:sz="0" w:space="0" w:color="auto"/>
        <w:right w:val="none" w:sz="0" w:space="0" w:color="auto"/>
      </w:divBdr>
    </w:div>
    <w:div w:id="925773343">
      <w:bodyDiv w:val="1"/>
      <w:marLeft w:val="0"/>
      <w:marRight w:val="0"/>
      <w:marTop w:val="0"/>
      <w:marBottom w:val="0"/>
      <w:divBdr>
        <w:top w:val="none" w:sz="0" w:space="0" w:color="auto"/>
        <w:left w:val="none" w:sz="0" w:space="0" w:color="auto"/>
        <w:bottom w:val="none" w:sz="0" w:space="0" w:color="auto"/>
        <w:right w:val="none" w:sz="0" w:space="0" w:color="auto"/>
      </w:divBdr>
    </w:div>
    <w:div w:id="925840566">
      <w:bodyDiv w:val="1"/>
      <w:marLeft w:val="0"/>
      <w:marRight w:val="0"/>
      <w:marTop w:val="0"/>
      <w:marBottom w:val="0"/>
      <w:divBdr>
        <w:top w:val="none" w:sz="0" w:space="0" w:color="auto"/>
        <w:left w:val="none" w:sz="0" w:space="0" w:color="auto"/>
        <w:bottom w:val="none" w:sz="0" w:space="0" w:color="auto"/>
        <w:right w:val="none" w:sz="0" w:space="0" w:color="auto"/>
      </w:divBdr>
    </w:div>
    <w:div w:id="925841201">
      <w:bodyDiv w:val="1"/>
      <w:marLeft w:val="0"/>
      <w:marRight w:val="0"/>
      <w:marTop w:val="0"/>
      <w:marBottom w:val="0"/>
      <w:divBdr>
        <w:top w:val="none" w:sz="0" w:space="0" w:color="auto"/>
        <w:left w:val="none" w:sz="0" w:space="0" w:color="auto"/>
        <w:bottom w:val="none" w:sz="0" w:space="0" w:color="auto"/>
        <w:right w:val="none" w:sz="0" w:space="0" w:color="auto"/>
      </w:divBdr>
    </w:div>
    <w:div w:id="925919614">
      <w:bodyDiv w:val="1"/>
      <w:marLeft w:val="0"/>
      <w:marRight w:val="0"/>
      <w:marTop w:val="0"/>
      <w:marBottom w:val="0"/>
      <w:divBdr>
        <w:top w:val="none" w:sz="0" w:space="0" w:color="auto"/>
        <w:left w:val="none" w:sz="0" w:space="0" w:color="auto"/>
        <w:bottom w:val="none" w:sz="0" w:space="0" w:color="auto"/>
        <w:right w:val="none" w:sz="0" w:space="0" w:color="auto"/>
      </w:divBdr>
    </w:div>
    <w:div w:id="925920103">
      <w:bodyDiv w:val="1"/>
      <w:marLeft w:val="0"/>
      <w:marRight w:val="0"/>
      <w:marTop w:val="0"/>
      <w:marBottom w:val="0"/>
      <w:divBdr>
        <w:top w:val="none" w:sz="0" w:space="0" w:color="auto"/>
        <w:left w:val="none" w:sz="0" w:space="0" w:color="auto"/>
        <w:bottom w:val="none" w:sz="0" w:space="0" w:color="auto"/>
        <w:right w:val="none" w:sz="0" w:space="0" w:color="auto"/>
      </w:divBdr>
    </w:div>
    <w:div w:id="925960296">
      <w:bodyDiv w:val="1"/>
      <w:marLeft w:val="0"/>
      <w:marRight w:val="0"/>
      <w:marTop w:val="0"/>
      <w:marBottom w:val="0"/>
      <w:divBdr>
        <w:top w:val="none" w:sz="0" w:space="0" w:color="auto"/>
        <w:left w:val="none" w:sz="0" w:space="0" w:color="auto"/>
        <w:bottom w:val="none" w:sz="0" w:space="0" w:color="auto"/>
        <w:right w:val="none" w:sz="0" w:space="0" w:color="auto"/>
      </w:divBdr>
    </w:div>
    <w:div w:id="925961544">
      <w:bodyDiv w:val="1"/>
      <w:marLeft w:val="0"/>
      <w:marRight w:val="0"/>
      <w:marTop w:val="0"/>
      <w:marBottom w:val="0"/>
      <w:divBdr>
        <w:top w:val="none" w:sz="0" w:space="0" w:color="auto"/>
        <w:left w:val="none" w:sz="0" w:space="0" w:color="auto"/>
        <w:bottom w:val="none" w:sz="0" w:space="0" w:color="auto"/>
        <w:right w:val="none" w:sz="0" w:space="0" w:color="auto"/>
      </w:divBdr>
    </w:div>
    <w:div w:id="925966088">
      <w:bodyDiv w:val="1"/>
      <w:marLeft w:val="0"/>
      <w:marRight w:val="0"/>
      <w:marTop w:val="0"/>
      <w:marBottom w:val="0"/>
      <w:divBdr>
        <w:top w:val="none" w:sz="0" w:space="0" w:color="auto"/>
        <w:left w:val="none" w:sz="0" w:space="0" w:color="auto"/>
        <w:bottom w:val="none" w:sz="0" w:space="0" w:color="auto"/>
        <w:right w:val="none" w:sz="0" w:space="0" w:color="auto"/>
      </w:divBdr>
    </w:div>
    <w:div w:id="926037632">
      <w:bodyDiv w:val="1"/>
      <w:marLeft w:val="0"/>
      <w:marRight w:val="0"/>
      <w:marTop w:val="0"/>
      <w:marBottom w:val="0"/>
      <w:divBdr>
        <w:top w:val="none" w:sz="0" w:space="0" w:color="auto"/>
        <w:left w:val="none" w:sz="0" w:space="0" w:color="auto"/>
        <w:bottom w:val="none" w:sz="0" w:space="0" w:color="auto"/>
        <w:right w:val="none" w:sz="0" w:space="0" w:color="auto"/>
      </w:divBdr>
    </w:div>
    <w:div w:id="926038782">
      <w:bodyDiv w:val="1"/>
      <w:marLeft w:val="0"/>
      <w:marRight w:val="0"/>
      <w:marTop w:val="0"/>
      <w:marBottom w:val="0"/>
      <w:divBdr>
        <w:top w:val="none" w:sz="0" w:space="0" w:color="auto"/>
        <w:left w:val="none" w:sz="0" w:space="0" w:color="auto"/>
        <w:bottom w:val="none" w:sz="0" w:space="0" w:color="auto"/>
        <w:right w:val="none" w:sz="0" w:space="0" w:color="auto"/>
      </w:divBdr>
    </w:div>
    <w:div w:id="926306075">
      <w:bodyDiv w:val="1"/>
      <w:marLeft w:val="0"/>
      <w:marRight w:val="0"/>
      <w:marTop w:val="0"/>
      <w:marBottom w:val="0"/>
      <w:divBdr>
        <w:top w:val="none" w:sz="0" w:space="0" w:color="auto"/>
        <w:left w:val="none" w:sz="0" w:space="0" w:color="auto"/>
        <w:bottom w:val="none" w:sz="0" w:space="0" w:color="auto"/>
        <w:right w:val="none" w:sz="0" w:space="0" w:color="auto"/>
      </w:divBdr>
    </w:div>
    <w:div w:id="926307319">
      <w:bodyDiv w:val="1"/>
      <w:marLeft w:val="0"/>
      <w:marRight w:val="0"/>
      <w:marTop w:val="0"/>
      <w:marBottom w:val="0"/>
      <w:divBdr>
        <w:top w:val="none" w:sz="0" w:space="0" w:color="auto"/>
        <w:left w:val="none" w:sz="0" w:space="0" w:color="auto"/>
        <w:bottom w:val="none" w:sz="0" w:space="0" w:color="auto"/>
        <w:right w:val="none" w:sz="0" w:space="0" w:color="auto"/>
      </w:divBdr>
    </w:div>
    <w:div w:id="926382289">
      <w:bodyDiv w:val="1"/>
      <w:marLeft w:val="0"/>
      <w:marRight w:val="0"/>
      <w:marTop w:val="0"/>
      <w:marBottom w:val="0"/>
      <w:divBdr>
        <w:top w:val="none" w:sz="0" w:space="0" w:color="auto"/>
        <w:left w:val="none" w:sz="0" w:space="0" w:color="auto"/>
        <w:bottom w:val="none" w:sz="0" w:space="0" w:color="auto"/>
        <w:right w:val="none" w:sz="0" w:space="0" w:color="auto"/>
      </w:divBdr>
    </w:div>
    <w:div w:id="926420424">
      <w:bodyDiv w:val="1"/>
      <w:marLeft w:val="0"/>
      <w:marRight w:val="0"/>
      <w:marTop w:val="0"/>
      <w:marBottom w:val="0"/>
      <w:divBdr>
        <w:top w:val="none" w:sz="0" w:space="0" w:color="auto"/>
        <w:left w:val="none" w:sz="0" w:space="0" w:color="auto"/>
        <w:bottom w:val="none" w:sz="0" w:space="0" w:color="auto"/>
        <w:right w:val="none" w:sz="0" w:space="0" w:color="auto"/>
      </w:divBdr>
    </w:div>
    <w:div w:id="926425053">
      <w:bodyDiv w:val="1"/>
      <w:marLeft w:val="0"/>
      <w:marRight w:val="0"/>
      <w:marTop w:val="0"/>
      <w:marBottom w:val="0"/>
      <w:divBdr>
        <w:top w:val="none" w:sz="0" w:space="0" w:color="auto"/>
        <w:left w:val="none" w:sz="0" w:space="0" w:color="auto"/>
        <w:bottom w:val="none" w:sz="0" w:space="0" w:color="auto"/>
        <w:right w:val="none" w:sz="0" w:space="0" w:color="auto"/>
      </w:divBdr>
    </w:div>
    <w:div w:id="926497225">
      <w:bodyDiv w:val="1"/>
      <w:marLeft w:val="0"/>
      <w:marRight w:val="0"/>
      <w:marTop w:val="0"/>
      <w:marBottom w:val="0"/>
      <w:divBdr>
        <w:top w:val="none" w:sz="0" w:space="0" w:color="auto"/>
        <w:left w:val="none" w:sz="0" w:space="0" w:color="auto"/>
        <w:bottom w:val="none" w:sz="0" w:space="0" w:color="auto"/>
        <w:right w:val="none" w:sz="0" w:space="0" w:color="auto"/>
      </w:divBdr>
    </w:div>
    <w:div w:id="926576300">
      <w:bodyDiv w:val="1"/>
      <w:marLeft w:val="0"/>
      <w:marRight w:val="0"/>
      <w:marTop w:val="0"/>
      <w:marBottom w:val="0"/>
      <w:divBdr>
        <w:top w:val="none" w:sz="0" w:space="0" w:color="auto"/>
        <w:left w:val="none" w:sz="0" w:space="0" w:color="auto"/>
        <w:bottom w:val="none" w:sz="0" w:space="0" w:color="auto"/>
        <w:right w:val="none" w:sz="0" w:space="0" w:color="auto"/>
      </w:divBdr>
    </w:div>
    <w:div w:id="926579041">
      <w:bodyDiv w:val="1"/>
      <w:marLeft w:val="0"/>
      <w:marRight w:val="0"/>
      <w:marTop w:val="0"/>
      <w:marBottom w:val="0"/>
      <w:divBdr>
        <w:top w:val="none" w:sz="0" w:space="0" w:color="auto"/>
        <w:left w:val="none" w:sz="0" w:space="0" w:color="auto"/>
        <w:bottom w:val="none" w:sz="0" w:space="0" w:color="auto"/>
        <w:right w:val="none" w:sz="0" w:space="0" w:color="auto"/>
      </w:divBdr>
    </w:div>
    <w:div w:id="926692584">
      <w:bodyDiv w:val="1"/>
      <w:marLeft w:val="0"/>
      <w:marRight w:val="0"/>
      <w:marTop w:val="0"/>
      <w:marBottom w:val="0"/>
      <w:divBdr>
        <w:top w:val="none" w:sz="0" w:space="0" w:color="auto"/>
        <w:left w:val="none" w:sz="0" w:space="0" w:color="auto"/>
        <w:bottom w:val="none" w:sz="0" w:space="0" w:color="auto"/>
        <w:right w:val="none" w:sz="0" w:space="0" w:color="auto"/>
      </w:divBdr>
    </w:div>
    <w:div w:id="926767822">
      <w:bodyDiv w:val="1"/>
      <w:marLeft w:val="0"/>
      <w:marRight w:val="0"/>
      <w:marTop w:val="0"/>
      <w:marBottom w:val="0"/>
      <w:divBdr>
        <w:top w:val="none" w:sz="0" w:space="0" w:color="auto"/>
        <w:left w:val="none" w:sz="0" w:space="0" w:color="auto"/>
        <w:bottom w:val="none" w:sz="0" w:space="0" w:color="auto"/>
        <w:right w:val="none" w:sz="0" w:space="0" w:color="auto"/>
      </w:divBdr>
    </w:div>
    <w:div w:id="926964403">
      <w:bodyDiv w:val="1"/>
      <w:marLeft w:val="0"/>
      <w:marRight w:val="0"/>
      <w:marTop w:val="0"/>
      <w:marBottom w:val="0"/>
      <w:divBdr>
        <w:top w:val="none" w:sz="0" w:space="0" w:color="auto"/>
        <w:left w:val="none" w:sz="0" w:space="0" w:color="auto"/>
        <w:bottom w:val="none" w:sz="0" w:space="0" w:color="auto"/>
        <w:right w:val="none" w:sz="0" w:space="0" w:color="auto"/>
      </w:divBdr>
    </w:div>
    <w:div w:id="927076484">
      <w:bodyDiv w:val="1"/>
      <w:marLeft w:val="0"/>
      <w:marRight w:val="0"/>
      <w:marTop w:val="0"/>
      <w:marBottom w:val="0"/>
      <w:divBdr>
        <w:top w:val="none" w:sz="0" w:space="0" w:color="auto"/>
        <w:left w:val="none" w:sz="0" w:space="0" w:color="auto"/>
        <w:bottom w:val="none" w:sz="0" w:space="0" w:color="auto"/>
        <w:right w:val="none" w:sz="0" w:space="0" w:color="auto"/>
      </w:divBdr>
    </w:div>
    <w:div w:id="927150659">
      <w:bodyDiv w:val="1"/>
      <w:marLeft w:val="0"/>
      <w:marRight w:val="0"/>
      <w:marTop w:val="0"/>
      <w:marBottom w:val="0"/>
      <w:divBdr>
        <w:top w:val="none" w:sz="0" w:space="0" w:color="auto"/>
        <w:left w:val="none" w:sz="0" w:space="0" w:color="auto"/>
        <w:bottom w:val="none" w:sz="0" w:space="0" w:color="auto"/>
        <w:right w:val="none" w:sz="0" w:space="0" w:color="auto"/>
      </w:divBdr>
    </w:div>
    <w:div w:id="927152734">
      <w:bodyDiv w:val="1"/>
      <w:marLeft w:val="0"/>
      <w:marRight w:val="0"/>
      <w:marTop w:val="0"/>
      <w:marBottom w:val="0"/>
      <w:divBdr>
        <w:top w:val="none" w:sz="0" w:space="0" w:color="auto"/>
        <w:left w:val="none" w:sz="0" w:space="0" w:color="auto"/>
        <w:bottom w:val="none" w:sz="0" w:space="0" w:color="auto"/>
        <w:right w:val="none" w:sz="0" w:space="0" w:color="auto"/>
      </w:divBdr>
    </w:div>
    <w:div w:id="927226360">
      <w:bodyDiv w:val="1"/>
      <w:marLeft w:val="0"/>
      <w:marRight w:val="0"/>
      <w:marTop w:val="0"/>
      <w:marBottom w:val="0"/>
      <w:divBdr>
        <w:top w:val="none" w:sz="0" w:space="0" w:color="auto"/>
        <w:left w:val="none" w:sz="0" w:space="0" w:color="auto"/>
        <w:bottom w:val="none" w:sz="0" w:space="0" w:color="auto"/>
        <w:right w:val="none" w:sz="0" w:space="0" w:color="auto"/>
      </w:divBdr>
    </w:div>
    <w:div w:id="927277172">
      <w:bodyDiv w:val="1"/>
      <w:marLeft w:val="0"/>
      <w:marRight w:val="0"/>
      <w:marTop w:val="0"/>
      <w:marBottom w:val="0"/>
      <w:divBdr>
        <w:top w:val="none" w:sz="0" w:space="0" w:color="auto"/>
        <w:left w:val="none" w:sz="0" w:space="0" w:color="auto"/>
        <w:bottom w:val="none" w:sz="0" w:space="0" w:color="auto"/>
        <w:right w:val="none" w:sz="0" w:space="0" w:color="auto"/>
      </w:divBdr>
    </w:div>
    <w:div w:id="927424087">
      <w:bodyDiv w:val="1"/>
      <w:marLeft w:val="0"/>
      <w:marRight w:val="0"/>
      <w:marTop w:val="0"/>
      <w:marBottom w:val="0"/>
      <w:divBdr>
        <w:top w:val="none" w:sz="0" w:space="0" w:color="auto"/>
        <w:left w:val="none" w:sz="0" w:space="0" w:color="auto"/>
        <w:bottom w:val="none" w:sz="0" w:space="0" w:color="auto"/>
        <w:right w:val="none" w:sz="0" w:space="0" w:color="auto"/>
      </w:divBdr>
    </w:div>
    <w:div w:id="927498212">
      <w:bodyDiv w:val="1"/>
      <w:marLeft w:val="0"/>
      <w:marRight w:val="0"/>
      <w:marTop w:val="0"/>
      <w:marBottom w:val="0"/>
      <w:divBdr>
        <w:top w:val="none" w:sz="0" w:space="0" w:color="auto"/>
        <w:left w:val="none" w:sz="0" w:space="0" w:color="auto"/>
        <w:bottom w:val="none" w:sz="0" w:space="0" w:color="auto"/>
        <w:right w:val="none" w:sz="0" w:space="0" w:color="auto"/>
      </w:divBdr>
    </w:div>
    <w:div w:id="927690097">
      <w:bodyDiv w:val="1"/>
      <w:marLeft w:val="0"/>
      <w:marRight w:val="0"/>
      <w:marTop w:val="0"/>
      <w:marBottom w:val="0"/>
      <w:divBdr>
        <w:top w:val="none" w:sz="0" w:space="0" w:color="auto"/>
        <w:left w:val="none" w:sz="0" w:space="0" w:color="auto"/>
        <w:bottom w:val="none" w:sz="0" w:space="0" w:color="auto"/>
        <w:right w:val="none" w:sz="0" w:space="0" w:color="auto"/>
      </w:divBdr>
    </w:div>
    <w:div w:id="927809207">
      <w:bodyDiv w:val="1"/>
      <w:marLeft w:val="0"/>
      <w:marRight w:val="0"/>
      <w:marTop w:val="0"/>
      <w:marBottom w:val="0"/>
      <w:divBdr>
        <w:top w:val="none" w:sz="0" w:space="0" w:color="auto"/>
        <w:left w:val="none" w:sz="0" w:space="0" w:color="auto"/>
        <w:bottom w:val="none" w:sz="0" w:space="0" w:color="auto"/>
        <w:right w:val="none" w:sz="0" w:space="0" w:color="auto"/>
      </w:divBdr>
    </w:div>
    <w:div w:id="927887165">
      <w:bodyDiv w:val="1"/>
      <w:marLeft w:val="0"/>
      <w:marRight w:val="0"/>
      <w:marTop w:val="0"/>
      <w:marBottom w:val="0"/>
      <w:divBdr>
        <w:top w:val="none" w:sz="0" w:space="0" w:color="auto"/>
        <w:left w:val="none" w:sz="0" w:space="0" w:color="auto"/>
        <w:bottom w:val="none" w:sz="0" w:space="0" w:color="auto"/>
        <w:right w:val="none" w:sz="0" w:space="0" w:color="auto"/>
      </w:divBdr>
    </w:div>
    <w:div w:id="927929849">
      <w:bodyDiv w:val="1"/>
      <w:marLeft w:val="0"/>
      <w:marRight w:val="0"/>
      <w:marTop w:val="0"/>
      <w:marBottom w:val="0"/>
      <w:divBdr>
        <w:top w:val="none" w:sz="0" w:space="0" w:color="auto"/>
        <w:left w:val="none" w:sz="0" w:space="0" w:color="auto"/>
        <w:bottom w:val="none" w:sz="0" w:space="0" w:color="auto"/>
        <w:right w:val="none" w:sz="0" w:space="0" w:color="auto"/>
      </w:divBdr>
    </w:div>
    <w:div w:id="927931770">
      <w:bodyDiv w:val="1"/>
      <w:marLeft w:val="0"/>
      <w:marRight w:val="0"/>
      <w:marTop w:val="0"/>
      <w:marBottom w:val="0"/>
      <w:divBdr>
        <w:top w:val="none" w:sz="0" w:space="0" w:color="auto"/>
        <w:left w:val="none" w:sz="0" w:space="0" w:color="auto"/>
        <w:bottom w:val="none" w:sz="0" w:space="0" w:color="auto"/>
        <w:right w:val="none" w:sz="0" w:space="0" w:color="auto"/>
      </w:divBdr>
    </w:div>
    <w:div w:id="927956395">
      <w:bodyDiv w:val="1"/>
      <w:marLeft w:val="0"/>
      <w:marRight w:val="0"/>
      <w:marTop w:val="0"/>
      <w:marBottom w:val="0"/>
      <w:divBdr>
        <w:top w:val="none" w:sz="0" w:space="0" w:color="auto"/>
        <w:left w:val="none" w:sz="0" w:space="0" w:color="auto"/>
        <w:bottom w:val="none" w:sz="0" w:space="0" w:color="auto"/>
        <w:right w:val="none" w:sz="0" w:space="0" w:color="auto"/>
      </w:divBdr>
    </w:div>
    <w:div w:id="928007382">
      <w:bodyDiv w:val="1"/>
      <w:marLeft w:val="0"/>
      <w:marRight w:val="0"/>
      <w:marTop w:val="0"/>
      <w:marBottom w:val="0"/>
      <w:divBdr>
        <w:top w:val="none" w:sz="0" w:space="0" w:color="auto"/>
        <w:left w:val="none" w:sz="0" w:space="0" w:color="auto"/>
        <w:bottom w:val="none" w:sz="0" w:space="0" w:color="auto"/>
        <w:right w:val="none" w:sz="0" w:space="0" w:color="auto"/>
      </w:divBdr>
    </w:div>
    <w:div w:id="928079501">
      <w:bodyDiv w:val="1"/>
      <w:marLeft w:val="0"/>
      <w:marRight w:val="0"/>
      <w:marTop w:val="0"/>
      <w:marBottom w:val="0"/>
      <w:divBdr>
        <w:top w:val="none" w:sz="0" w:space="0" w:color="auto"/>
        <w:left w:val="none" w:sz="0" w:space="0" w:color="auto"/>
        <w:bottom w:val="none" w:sz="0" w:space="0" w:color="auto"/>
        <w:right w:val="none" w:sz="0" w:space="0" w:color="auto"/>
      </w:divBdr>
    </w:div>
    <w:div w:id="928275469">
      <w:bodyDiv w:val="1"/>
      <w:marLeft w:val="0"/>
      <w:marRight w:val="0"/>
      <w:marTop w:val="0"/>
      <w:marBottom w:val="0"/>
      <w:divBdr>
        <w:top w:val="none" w:sz="0" w:space="0" w:color="auto"/>
        <w:left w:val="none" w:sz="0" w:space="0" w:color="auto"/>
        <w:bottom w:val="none" w:sz="0" w:space="0" w:color="auto"/>
        <w:right w:val="none" w:sz="0" w:space="0" w:color="auto"/>
      </w:divBdr>
    </w:div>
    <w:div w:id="928348769">
      <w:bodyDiv w:val="1"/>
      <w:marLeft w:val="0"/>
      <w:marRight w:val="0"/>
      <w:marTop w:val="0"/>
      <w:marBottom w:val="0"/>
      <w:divBdr>
        <w:top w:val="none" w:sz="0" w:space="0" w:color="auto"/>
        <w:left w:val="none" w:sz="0" w:space="0" w:color="auto"/>
        <w:bottom w:val="none" w:sz="0" w:space="0" w:color="auto"/>
        <w:right w:val="none" w:sz="0" w:space="0" w:color="auto"/>
      </w:divBdr>
    </w:div>
    <w:div w:id="928468262">
      <w:bodyDiv w:val="1"/>
      <w:marLeft w:val="0"/>
      <w:marRight w:val="0"/>
      <w:marTop w:val="0"/>
      <w:marBottom w:val="0"/>
      <w:divBdr>
        <w:top w:val="none" w:sz="0" w:space="0" w:color="auto"/>
        <w:left w:val="none" w:sz="0" w:space="0" w:color="auto"/>
        <w:bottom w:val="none" w:sz="0" w:space="0" w:color="auto"/>
        <w:right w:val="none" w:sz="0" w:space="0" w:color="auto"/>
      </w:divBdr>
    </w:div>
    <w:div w:id="928612127">
      <w:bodyDiv w:val="1"/>
      <w:marLeft w:val="0"/>
      <w:marRight w:val="0"/>
      <w:marTop w:val="0"/>
      <w:marBottom w:val="0"/>
      <w:divBdr>
        <w:top w:val="none" w:sz="0" w:space="0" w:color="auto"/>
        <w:left w:val="none" w:sz="0" w:space="0" w:color="auto"/>
        <w:bottom w:val="none" w:sz="0" w:space="0" w:color="auto"/>
        <w:right w:val="none" w:sz="0" w:space="0" w:color="auto"/>
      </w:divBdr>
    </w:div>
    <w:div w:id="928612182">
      <w:bodyDiv w:val="1"/>
      <w:marLeft w:val="0"/>
      <w:marRight w:val="0"/>
      <w:marTop w:val="0"/>
      <w:marBottom w:val="0"/>
      <w:divBdr>
        <w:top w:val="none" w:sz="0" w:space="0" w:color="auto"/>
        <w:left w:val="none" w:sz="0" w:space="0" w:color="auto"/>
        <w:bottom w:val="none" w:sz="0" w:space="0" w:color="auto"/>
        <w:right w:val="none" w:sz="0" w:space="0" w:color="auto"/>
      </w:divBdr>
    </w:div>
    <w:div w:id="928654699">
      <w:bodyDiv w:val="1"/>
      <w:marLeft w:val="0"/>
      <w:marRight w:val="0"/>
      <w:marTop w:val="0"/>
      <w:marBottom w:val="0"/>
      <w:divBdr>
        <w:top w:val="none" w:sz="0" w:space="0" w:color="auto"/>
        <w:left w:val="none" w:sz="0" w:space="0" w:color="auto"/>
        <w:bottom w:val="none" w:sz="0" w:space="0" w:color="auto"/>
        <w:right w:val="none" w:sz="0" w:space="0" w:color="auto"/>
      </w:divBdr>
    </w:div>
    <w:div w:id="928658651">
      <w:bodyDiv w:val="1"/>
      <w:marLeft w:val="0"/>
      <w:marRight w:val="0"/>
      <w:marTop w:val="0"/>
      <w:marBottom w:val="0"/>
      <w:divBdr>
        <w:top w:val="none" w:sz="0" w:space="0" w:color="auto"/>
        <w:left w:val="none" w:sz="0" w:space="0" w:color="auto"/>
        <w:bottom w:val="none" w:sz="0" w:space="0" w:color="auto"/>
        <w:right w:val="none" w:sz="0" w:space="0" w:color="auto"/>
      </w:divBdr>
    </w:div>
    <w:div w:id="928663166">
      <w:bodyDiv w:val="1"/>
      <w:marLeft w:val="0"/>
      <w:marRight w:val="0"/>
      <w:marTop w:val="0"/>
      <w:marBottom w:val="0"/>
      <w:divBdr>
        <w:top w:val="none" w:sz="0" w:space="0" w:color="auto"/>
        <w:left w:val="none" w:sz="0" w:space="0" w:color="auto"/>
        <w:bottom w:val="none" w:sz="0" w:space="0" w:color="auto"/>
        <w:right w:val="none" w:sz="0" w:space="0" w:color="auto"/>
      </w:divBdr>
    </w:div>
    <w:div w:id="928732223">
      <w:bodyDiv w:val="1"/>
      <w:marLeft w:val="0"/>
      <w:marRight w:val="0"/>
      <w:marTop w:val="0"/>
      <w:marBottom w:val="0"/>
      <w:divBdr>
        <w:top w:val="none" w:sz="0" w:space="0" w:color="auto"/>
        <w:left w:val="none" w:sz="0" w:space="0" w:color="auto"/>
        <w:bottom w:val="none" w:sz="0" w:space="0" w:color="auto"/>
        <w:right w:val="none" w:sz="0" w:space="0" w:color="auto"/>
      </w:divBdr>
    </w:div>
    <w:div w:id="928733133">
      <w:bodyDiv w:val="1"/>
      <w:marLeft w:val="0"/>
      <w:marRight w:val="0"/>
      <w:marTop w:val="0"/>
      <w:marBottom w:val="0"/>
      <w:divBdr>
        <w:top w:val="none" w:sz="0" w:space="0" w:color="auto"/>
        <w:left w:val="none" w:sz="0" w:space="0" w:color="auto"/>
        <w:bottom w:val="none" w:sz="0" w:space="0" w:color="auto"/>
        <w:right w:val="none" w:sz="0" w:space="0" w:color="auto"/>
      </w:divBdr>
    </w:div>
    <w:div w:id="928738076">
      <w:bodyDiv w:val="1"/>
      <w:marLeft w:val="0"/>
      <w:marRight w:val="0"/>
      <w:marTop w:val="0"/>
      <w:marBottom w:val="0"/>
      <w:divBdr>
        <w:top w:val="none" w:sz="0" w:space="0" w:color="auto"/>
        <w:left w:val="none" w:sz="0" w:space="0" w:color="auto"/>
        <w:bottom w:val="none" w:sz="0" w:space="0" w:color="auto"/>
        <w:right w:val="none" w:sz="0" w:space="0" w:color="auto"/>
      </w:divBdr>
    </w:div>
    <w:div w:id="928780684">
      <w:bodyDiv w:val="1"/>
      <w:marLeft w:val="0"/>
      <w:marRight w:val="0"/>
      <w:marTop w:val="0"/>
      <w:marBottom w:val="0"/>
      <w:divBdr>
        <w:top w:val="none" w:sz="0" w:space="0" w:color="auto"/>
        <w:left w:val="none" w:sz="0" w:space="0" w:color="auto"/>
        <w:bottom w:val="none" w:sz="0" w:space="0" w:color="auto"/>
        <w:right w:val="none" w:sz="0" w:space="0" w:color="auto"/>
      </w:divBdr>
    </w:div>
    <w:div w:id="928923844">
      <w:bodyDiv w:val="1"/>
      <w:marLeft w:val="0"/>
      <w:marRight w:val="0"/>
      <w:marTop w:val="0"/>
      <w:marBottom w:val="0"/>
      <w:divBdr>
        <w:top w:val="none" w:sz="0" w:space="0" w:color="auto"/>
        <w:left w:val="none" w:sz="0" w:space="0" w:color="auto"/>
        <w:bottom w:val="none" w:sz="0" w:space="0" w:color="auto"/>
        <w:right w:val="none" w:sz="0" w:space="0" w:color="auto"/>
      </w:divBdr>
    </w:div>
    <w:div w:id="929005320">
      <w:bodyDiv w:val="1"/>
      <w:marLeft w:val="0"/>
      <w:marRight w:val="0"/>
      <w:marTop w:val="0"/>
      <w:marBottom w:val="0"/>
      <w:divBdr>
        <w:top w:val="none" w:sz="0" w:space="0" w:color="auto"/>
        <w:left w:val="none" w:sz="0" w:space="0" w:color="auto"/>
        <w:bottom w:val="none" w:sz="0" w:space="0" w:color="auto"/>
        <w:right w:val="none" w:sz="0" w:space="0" w:color="auto"/>
      </w:divBdr>
    </w:div>
    <w:div w:id="929045303">
      <w:bodyDiv w:val="1"/>
      <w:marLeft w:val="0"/>
      <w:marRight w:val="0"/>
      <w:marTop w:val="0"/>
      <w:marBottom w:val="0"/>
      <w:divBdr>
        <w:top w:val="none" w:sz="0" w:space="0" w:color="auto"/>
        <w:left w:val="none" w:sz="0" w:space="0" w:color="auto"/>
        <w:bottom w:val="none" w:sz="0" w:space="0" w:color="auto"/>
        <w:right w:val="none" w:sz="0" w:space="0" w:color="auto"/>
      </w:divBdr>
    </w:div>
    <w:div w:id="929045601">
      <w:bodyDiv w:val="1"/>
      <w:marLeft w:val="0"/>
      <w:marRight w:val="0"/>
      <w:marTop w:val="0"/>
      <w:marBottom w:val="0"/>
      <w:divBdr>
        <w:top w:val="none" w:sz="0" w:space="0" w:color="auto"/>
        <w:left w:val="none" w:sz="0" w:space="0" w:color="auto"/>
        <w:bottom w:val="none" w:sz="0" w:space="0" w:color="auto"/>
        <w:right w:val="none" w:sz="0" w:space="0" w:color="auto"/>
      </w:divBdr>
    </w:div>
    <w:div w:id="929046371">
      <w:bodyDiv w:val="1"/>
      <w:marLeft w:val="0"/>
      <w:marRight w:val="0"/>
      <w:marTop w:val="0"/>
      <w:marBottom w:val="0"/>
      <w:divBdr>
        <w:top w:val="none" w:sz="0" w:space="0" w:color="auto"/>
        <w:left w:val="none" w:sz="0" w:space="0" w:color="auto"/>
        <w:bottom w:val="none" w:sz="0" w:space="0" w:color="auto"/>
        <w:right w:val="none" w:sz="0" w:space="0" w:color="auto"/>
      </w:divBdr>
    </w:div>
    <w:div w:id="929124053">
      <w:bodyDiv w:val="1"/>
      <w:marLeft w:val="0"/>
      <w:marRight w:val="0"/>
      <w:marTop w:val="0"/>
      <w:marBottom w:val="0"/>
      <w:divBdr>
        <w:top w:val="none" w:sz="0" w:space="0" w:color="auto"/>
        <w:left w:val="none" w:sz="0" w:space="0" w:color="auto"/>
        <w:bottom w:val="none" w:sz="0" w:space="0" w:color="auto"/>
        <w:right w:val="none" w:sz="0" w:space="0" w:color="auto"/>
      </w:divBdr>
    </w:div>
    <w:div w:id="929195547">
      <w:bodyDiv w:val="1"/>
      <w:marLeft w:val="0"/>
      <w:marRight w:val="0"/>
      <w:marTop w:val="0"/>
      <w:marBottom w:val="0"/>
      <w:divBdr>
        <w:top w:val="none" w:sz="0" w:space="0" w:color="auto"/>
        <w:left w:val="none" w:sz="0" w:space="0" w:color="auto"/>
        <w:bottom w:val="none" w:sz="0" w:space="0" w:color="auto"/>
        <w:right w:val="none" w:sz="0" w:space="0" w:color="auto"/>
      </w:divBdr>
    </w:div>
    <w:div w:id="929239427">
      <w:bodyDiv w:val="1"/>
      <w:marLeft w:val="0"/>
      <w:marRight w:val="0"/>
      <w:marTop w:val="0"/>
      <w:marBottom w:val="0"/>
      <w:divBdr>
        <w:top w:val="none" w:sz="0" w:space="0" w:color="auto"/>
        <w:left w:val="none" w:sz="0" w:space="0" w:color="auto"/>
        <w:bottom w:val="none" w:sz="0" w:space="0" w:color="auto"/>
        <w:right w:val="none" w:sz="0" w:space="0" w:color="auto"/>
      </w:divBdr>
    </w:div>
    <w:div w:id="929241862">
      <w:bodyDiv w:val="1"/>
      <w:marLeft w:val="0"/>
      <w:marRight w:val="0"/>
      <w:marTop w:val="0"/>
      <w:marBottom w:val="0"/>
      <w:divBdr>
        <w:top w:val="none" w:sz="0" w:space="0" w:color="auto"/>
        <w:left w:val="none" w:sz="0" w:space="0" w:color="auto"/>
        <w:bottom w:val="none" w:sz="0" w:space="0" w:color="auto"/>
        <w:right w:val="none" w:sz="0" w:space="0" w:color="auto"/>
      </w:divBdr>
    </w:div>
    <w:div w:id="929243669">
      <w:bodyDiv w:val="1"/>
      <w:marLeft w:val="0"/>
      <w:marRight w:val="0"/>
      <w:marTop w:val="0"/>
      <w:marBottom w:val="0"/>
      <w:divBdr>
        <w:top w:val="none" w:sz="0" w:space="0" w:color="auto"/>
        <w:left w:val="none" w:sz="0" w:space="0" w:color="auto"/>
        <w:bottom w:val="none" w:sz="0" w:space="0" w:color="auto"/>
        <w:right w:val="none" w:sz="0" w:space="0" w:color="auto"/>
      </w:divBdr>
    </w:div>
    <w:div w:id="929266952">
      <w:bodyDiv w:val="1"/>
      <w:marLeft w:val="0"/>
      <w:marRight w:val="0"/>
      <w:marTop w:val="0"/>
      <w:marBottom w:val="0"/>
      <w:divBdr>
        <w:top w:val="none" w:sz="0" w:space="0" w:color="auto"/>
        <w:left w:val="none" w:sz="0" w:space="0" w:color="auto"/>
        <w:bottom w:val="none" w:sz="0" w:space="0" w:color="auto"/>
        <w:right w:val="none" w:sz="0" w:space="0" w:color="auto"/>
      </w:divBdr>
    </w:div>
    <w:div w:id="929315100">
      <w:bodyDiv w:val="1"/>
      <w:marLeft w:val="0"/>
      <w:marRight w:val="0"/>
      <w:marTop w:val="0"/>
      <w:marBottom w:val="0"/>
      <w:divBdr>
        <w:top w:val="none" w:sz="0" w:space="0" w:color="auto"/>
        <w:left w:val="none" w:sz="0" w:space="0" w:color="auto"/>
        <w:bottom w:val="none" w:sz="0" w:space="0" w:color="auto"/>
        <w:right w:val="none" w:sz="0" w:space="0" w:color="auto"/>
      </w:divBdr>
    </w:div>
    <w:div w:id="929317243">
      <w:bodyDiv w:val="1"/>
      <w:marLeft w:val="0"/>
      <w:marRight w:val="0"/>
      <w:marTop w:val="0"/>
      <w:marBottom w:val="0"/>
      <w:divBdr>
        <w:top w:val="none" w:sz="0" w:space="0" w:color="auto"/>
        <w:left w:val="none" w:sz="0" w:space="0" w:color="auto"/>
        <w:bottom w:val="none" w:sz="0" w:space="0" w:color="auto"/>
        <w:right w:val="none" w:sz="0" w:space="0" w:color="auto"/>
      </w:divBdr>
    </w:div>
    <w:div w:id="929433904">
      <w:bodyDiv w:val="1"/>
      <w:marLeft w:val="0"/>
      <w:marRight w:val="0"/>
      <w:marTop w:val="0"/>
      <w:marBottom w:val="0"/>
      <w:divBdr>
        <w:top w:val="none" w:sz="0" w:space="0" w:color="auto"/>
        <w:left w:val="none" w:sz="0" w:space="0" w:color="auto"/>
        <w:bottom w:val="none" w:sz="0" w:space="0" w:color="auto"/>
        <w:right w:val="none" w:sz="0" w:space="0" w:color="auto"/>
      </w:divBdr>
    </w:div>
    <w:div w:id="929503467">
      <w:bodyDiv w:val="1"/>
      <w:marLeft w:val="0"/>
      <w:marRight w:val="0"/>
      <w:marTop w:val="0"/>
      <w:marBottom w:val="0"/>
      <w:divBdr>
        <w:top w:val="none" w:sz="0" w:space="0" w:color="auto"/>
        <w:left w:val="none" w:sz="0" w:space="0" w:color="auto"/>
        <w:bottom w:val="none" w:sz="0" w:space="0" w:color="auto"/>
        <w:right w:val="none" w:sz="0" w:space="0" w:color="auto"/>
      </w:divBdr>
    </w:div>
    <w:div w:id="929509142">
      <w:bodyDiv w:val="1"/>
      <w:marLeft w:val="0"/>
      <w:marRight w:val="0"/>
      <w:marTop w:val="0"/>
      <w:marBottom w:val="0"/>
      <w:divBdr>
        <w:top w:val="none" w:sz="0" w:space="0" w:color="auto"/>
        <w:left w:val="none" w:sz="0" w:space="0" w:color="auto"/>
        <w:bottom w:val="none" w:sz="0" w:space="0" w:color="auto"/>
        <w:right w:val="none" w:sz="0" w:space="0" w:color="auto"/>
      </w:divBdr>
    </w:div>
    <w:div w:id="929700450">
      <w:bodyDiv w:val="1"/>
      <w:marLeft w:val="0"/>
      <w:marRight w:val="0"/>
      <w:marTop w:val="0"/>
      <w:marBottom w:val="0"/>
      <w:divBdr>
        <w:top w:val="none" w:sz="0" w:space="0" w:color="auto"/>
        <w:left w:val="none" w:sz="0" w:space="0" w:color="auto"/>
        <w:bottom w:val="none" w:sz="0" w:space="0" w:color="auto"/>
        <w:right w:val="none" w:sz="0" w:space="0" w:color="auto"/>
      </w:divBdr>
    </w:div>
    <w:div w:id="929772739">
      <w:bodyDiv w:val="1"/>
      <w:marLeft w:val="0"/>
      <w:marRight w:val="0"/>
      <w:marTop w:val="0"/>
      <w:marBottom w:val="0"/>
      <w:divBdr>
        <w:top w:val="none" w:sz="0" w:space="0" w:color="auto"/>
        <w:left w:val="none" w:sz="0" w:space="0" w:color="auto"/>
        <w:bottom w:val="none" w:sz="0" w:space="0" w:color="auto"/>
        <w:right w:val="none" w:sz="0" w:space="0" w:color="auto"/>
      </w:divBdr>
    </w:div>
    <w:div w:id="929853575">
      <w:bodyDiv w:val="1"/>
      <w:marLeft w:val="0"/>
      <w:marRight w:val="0"/>
      <w:marTop w:val="0"/>
      <w:marBottom w:val="0"/>
      <w:divBdr>
        <w:top w:val="none" w:sz="0" w:space="0" w:color="auto"/>
        <w:left w:val="none" w:sz="0" w:space="0" w:color="auto"/>
        <w:bottom w:val="none" w:sz="0" w:space="0" w:color="auto"/>
        <w:right w:val="none" w:sz="0" w:space="0" w:color="auto"/>
      </w:divBdr>
    </w:div>
    <w:div w:id="929890993">
      <w:bodyDiv w:val="1"/>
      <w:marLeft w:val="0"/>
      <w:marRight w:val="0"/>
      <w:marTop w:val="0"/>
      <w:marBottom w:val="0"/>
      <w:divBdr>
        <w:top w:val="none" w:sz="0" w:space="0" w:color="auto"/>
        <w:left w:val="none" w:sz="0" w:space="0" w:color="auto"/>
        <w:bottom w:val="none" w:sz="0" w:space="0" w:color="auto"/>
        <w:right w:val="none" w:sz="0" w:space="0" w:color="auto"/>
      </w:divBdr>
    </w:div>
    <w:div w:id="929895044">
      <w:bodyDiv w:val="1"/>
      <w:marLeft w:val="0"/>
      <w:marRight w:val="0"/>
      <w:marTop w:val="0"/>
      <w:marBottom w:val="0"/>
      <w:divBdr>
        <w:top w:val="none" w:sz="0" w:space="0" w:color="auto"/>
        <w:left w:val="none" w:sz="0" w:space="0" w:color="auto"/>
        <w:bottom w:val="none" w:sz="0" w:space="0" w:color="auto"/>
        <w:right w:val="none" w:sz="0" w:space="0" w:color="auto"/>
      </w:divBdr>
    </w:div>
    <w:div w:id="930041877">
      <w:bodyDiv w:val="1"/>
      <w:marLeft w:val="0"/>
      <w:marRight w:val="0"/>
      <w:marTop w:val="0"/>
      <w:marBottom w:val="0"/>
      <w:divBdr>
        <w:top w:val="none" w:sz="0" w:space="0" w:color="auto"/>
        <w:left w:val="none" w:sz="0" w:space="0" w:color="auto"/>
        <w:bottom w:val="none" w:sz="0" w:space="0" w:color="auto"/>
        <w:right w:val="none" w:sz="0" w:space="0" w:color="auto"/>
      </w:divBdr>
    </w:div>
    <w:div w:id="930043830">
      <w:bodyDiv w:val="1"/>
      <w:marLeft w:val="0"/>
      <w:marRight w:val="0"/>
      <w:marTop w:val="0"/>
      <w:marBottom w:val="0"/>
      <w:divBdr>
        <w:top w:val="none" w:sz="0" w:space="0" w:color="auto"/>
        <w:left w:val="none" w:sz="0" w:space="0" w:color="auto"/>
        <w:bottom w:val="none" w:sz="0" w:space="0" w:color="auto"/>
        <w:right w:val="none" w:sz="0" w:space="0" w:color="auto"/>
      </w:divBdr>
    </w:div>
    <w:div w:id="930045373">
      <w:bodyDiv w:val="1"/>
      <w:marLeft w:val="0"/>
      <w:marRight w:val="0"/>
      <w:marTop w:val="0"/>
      <w:marBottom w:val="0"/>
      <w:divBdr>
        <w:top w:val="none" w:sz="0" w:space="0" w:color="auto"/>
        <w:left w:val="none" w:sz="0" w:space="0" w:color="auto"/>
        <w:bottom w:val="none" w:sz="0" w:space="0" w:color="auto"/>
        <w:right w:val="none" w:sz="0" w:space="0" w:color="auto"/>
      </w:divBdr>
    </w:div>
    <w:div w:id="930116397">
      <w:bodyDiv w:val="1"/>
      <w:marLeft w:val="0"/>
      <w:marRight w:val="0"/>
      <w:marTop w:val="0"/>
      <w:marBottom w:val="0"/>
      <w:divBdr>
        <w:top w:val="none" w:sz="0" w:space="0" w:color="auto"/>
        <w:left w:val="none" w:sz="0" w:space="0" w:color="auto"/>
        <w:bottom w:val="none" w:sz="0" w:space="0" w:color="auto"/>
        <w:right w:val="none" w:sz="0" w:space="0" w:color="auto"/>
      </w:divBdr>
    </w:div>
    <w:div w:id="930161293">
      <w:bodyDiv w:val="1"/>
      <w:marLeft w:val="0"/>
      <w:marRight w:val="0"/>
      <w:marTop w:val="0"/>
      <w:marBottom w:val="0"/>
      <w:divBdr>
        <w:top w:val="none" w:sz="0" w:space="0" w:color="auto"/>
        <w:left w:val="none" w:sz="0" w:space="0" w:color="auto"/>
        <w:bottom w:val="none" w:sz="0" w:space="0" w:color="auto"/>
        <w:right w:val="none" w:sz="0" w:space="0" w:color="auto"/>
      </w:divBdr>
    </w:div>
    <w:div w:id="930162865">
      <w:bodyDiv w:val="1"/>
      <w:marLeft w:val="0"/>
      <w:marRight w:val="0"/>
      <w:marTop w:val="0"/>
      <w:marBottom w:val="0"/>
      <w:divBdr>
        <w:top w:val="none" w:sz="0" w:space="0" w:color="auto"/>
        <w:left w:val="none" w:sz="0" w:space="0" w:color="auto"/>
        <w:bottom w:val="none" w:sz="0" w:space="0" w:color="auto"/>
        <w:right w:val="none" w:sz="0" w:space="0" w:color="auto"/>
      </w:divBdr>
    </w:div>
    <w:div w:id="930233844">
      <w:bodyDiv w:val="1"/>
      <w:marLeft w:val="0"/>
      <w:marRight w:val="0"/>
      <w:marTop w:val="0"/>
      <w:marBottom w:val="0"/>
      <w:divBdr>
        <w:top w:val="none" w:sz="0" w:space="0" w:color="auto"/>
        <w:left w:val="none" w:sz="0" w:space="0" w:color="auto"/>
        <w:bottom w:val="none" w:sz="0" w:space="0" w:color="auto"/>
        <w:right w:val="none" w:sz="0" w:space="0" w:color="auto"/>
      </w:divBdr>
    </w:div>
    <w:div w:id="930240855">
      <w:bodyDiv w:val="1"/>
      <w:marLeft w:val="0"/>
      <w:marRight w:val="0"/>
      <w:marTop w:val="0"/>
      <w:marBottom w:val="0"/>
      <w:divBdr>
        <w:top w:val="none" w:sz="0" w:space="0" w:color="auto"/>
        <w:left w:val="none" w:sz="0" w:space="0" w:color="auto"/>
        <w:bottom w:val="none" w:sz="0" w:space="0" w:color="auto"/>
        <w:right w:val="none" w:sz="0" w:space="0" w:color="auto"/>
      </w:divBdr>
    </w:div>
    <w:div w:id="930360081">
      <w:bodyDiv w:val="1"/>
      <w:marLeft w:val="0"/>
      <w:marRight w:val="0"/>
      <w:marTop w:val="0"/>
      <w:marBottom w:val="0"/>
      <w:divBdr>
        <w:top w:val="none" w:sz="0" w:space="0" w:color="auto"/>
        <w:left w:val="none" w:sz="0" w:space="0" w:color="auto"/>
        <w:bottom w:val="none" w:sz="0" w:space="0" w:color="auto"/>
        <w:right w:val="none" w:sz="0" w:space="0" w:color="auto"/>
      </w:divBdr>
    </w:div>
    <w:div w:id="930431557">
      <w:bodyDiv w:val="1"/>
      <w:marLeft w:val="0"/>
      <w:marRight w:val="0"/>
      <w:marTop w:val="0"/>
      <w:marBottom w:val="0"/>
      <w:divBdr>
        <w:top w:val="none" w:sz="0" w:space="0" w:color="auto"/>
        <w:left w:val="none" w:sz="0" w:space="0" w:color="auto"/>
        <w:bottom w:val="none" w:sz="0" w:space="0" w:color="auto"/>
        <w:right w:val="none" w:sz="0" w:space="0" w:color="auto"/>
      </w:divBdr>
    </w:div>
    <w:div w:id="930435722">
      <w:bodyDiv w:val="1"/>
      <w:marLeft w:val="0"/>
      <w:marRight w:val="0"/>
      <w:marTop w:val="0"/>
      <w:marBottom w:val="0"/>
      <w:divBdr>
        <w:top w:val="none" w:sz="0" w:space="0" w:color="auto"/>
        <w:left w:val="none" w:sz="0" w:space="0" w:color="auto"/>
        <w:bottom w:val="none" w:sz="0" w:space="0" w:color="auto"/>
        <w:right w:val="none" w:sz="0" w:space="0" w:color="auto"/>
      </w:divBdr>
    </w:div>
    <w:div w:id="930504028">
      <w:bodyDiv w:val="1"/>
      <w:marLeft w:val="0"/>
      <w:marRight w:val="0"/>
      <w:marTop w:val="0"/>
      <w:marBottom w:val="0"/>
      <w:divBdr>
        <w:top w:val="none" w:sz="0" w:space="0" w:color="auto"/>
        <w:left w:val="none" w:sz="0" w:space="0" w:color="auto"/>
        <w:bottom w:val="none" w:sz="0" w:space="0" w:color="auto"/>
        <w:right w:val="none" w:sz="0" w:space="0" w:color="auto"/>
      </w:divBdr>
    </w:div>
    <w:div w:id="930506322">
      <w:bodyDiv w:val="1"/>
      <w:marLeft w:val="0"/>
      <w:marRight w:val="0"/>
      <w:marTop w:val="0"/>
      <w:marBottom w:val="0"/>
      <w:divBdr>
        <w:top w:val="none" w:sz="0" w:space="0" w:color="auto"/>
        <w:left w:val="none" w:sz="0" w:space="0" w:color="auto"/>
        <w:bottom w:val="none" w:sz="0" w:space="0" w:color="auto"/>
        <w:right w:val="none" w:sz="0" w:space="0" w:color="auto"/>
      </w:divBdr>
    </w:div>
    <w:div w:id="930622734">
      <w:bodyDiv w:val="1"/>
      <w:marLeft w:val="0"/>
      <w:marRight w:val="0"/>
      <w:marTop w:val="0"/>
      <w:marBottom w:val="0"/>
      <w:divBdr>
        <w:top w:val="none" w:sz="0" w:space="0" w:color="auto"/>
        <w:left w:val="none" w:sz="0" w:space="0" w:color="auto"/>
        <w:bottom w:val="none" w:sz="0" w:space="0" w:color="auto"/>
        <w:right w:val="none" w:sz="0" w:space="0" w:color="auto"/>
      </w:divBdr>
    </w:div>
    <w:div w:id="930696973">
      <w:bodyDiv w:val="1"/>
      <w:marLeft w:val="0"/>
      <w:marRight w:val="0"/>
      <w:marTop w:val="0"/>
      <w:marBottom w:val="0"/>
      <w:divBdr>
        <w:top w:val="none" w:sz="0" w:space="0" w:color="auto"/>
        <w:left w:val="none" w:sz="0" w:space="0" w:color="auto"/>
        <w:bottom w:val="none" w:sz="0" w:space="0" w:color="auto"/>
        <w:right w:val="none" w:sz="0" w:space="0" w:color="auto"/>
      </w:divBdr>
    </w:div>
    <w:div w:id="930698332">
      <w:bodyDiv w:val="1"/>
      <w:marLeft w:val="0"/>
      <w:marRight w:val="0"/>
      <w:marTop w:val="0"/>
      <w:marBottom w:val="0"/>
      <w:divBdr>
        <w:top w:val="none" w:sz="0" w:space="0" w:color="auto"/>
        <w:left w:val="none" w:sz="0" w:space="0" w:color="auto"/>
        <w:bottom w:val="none" w:sz="0" w:space="0" w:color="auto"/>
        <w:right w:val="none" w:sz="0" w:space="0" w:color="auto"/>
      </w:divBdr>
    </w:div>
    <w:div w:id="930744715">
      <w:bodyDiv w:val="1"/>
      <w:marLeft w:val="0"/>
      <w:marRight w:val="0"/>
      <w:marTop w:val="0"/>
      <w:marBottom w:val="0"/>
      <w:divBdr>
        <w:top w:val="none" w:sz="0" w:space="0" w:color="auto"/>
        <w:left w:val="none" w:sz="0" w:space="0" w:color="auto"/>
        <w:bottom w:val="none" w:sz="0" w:space="0" w:color="auto"/>
        <w:right w:val="none" w:sz="0" w:space="0" w:color="auto"/>
      </w:divBdr>
    </w:div>
    <w:div w:id="930817497">
      <w:bodyDiv w:val="1"/>
      <w:marLeft w:val="0"/>
      <w:marRight w:val="0"/>
      <w:marTop w:val="0"/>
      <w:marBottom w:val="0"/>
      <w:divBdr>
        <w:top w:val="none" w:sz="0" w:space="0" w:color="auto"/>
        <w:left w:val="none" w:sz="0" w:space="0" w:color="auto"/>
        <w:bottom w:val="none" w:sz="0" w:space="0" w:color="auto"/>
        <w:right w:val="none" w:sz="0" w:space="0" w:color="auto"/>
      </w:divBdr>
    </w:div>
    <w:div w:id="930889695">
      <w:bodyDiv w:val="1"/>
      <w:marLeft w:val="0"/>
      <w:marRight w:val="0"/>
      <w:marTop w:val="0"/>
      <w:marBottom w:val="0"/>
      <w:divBdr>
        <w:top w:val="none" w:sz="0" w:space="0" w:color="auto"/>
        <w:left w:val="none" w:sz="0" w:space="0" w:color="auto"/>
        <w:bottom w:val="none" w:sz="0" w:space="0" w:color="auto"/>
        <w:right w:val="none" w:sz="0" w:space="0" w:color="auto"/>
      </w:divBdr>
    </w:div>
    <w:div w:id="930891746">
      <w:bodyDiv w:val="1"/>
      <w:marLeft w:val="0"/>
      <w:marRight w:val="0"/>
      <w:marTop w:val="0"/>
      <w:marBottom w:val="0"/>
      <w:divBdr>
        <w:top w:val="none" w:sz="0" w:space="0" w:color="auto"/>
        <w:left w:val="none" w:sz="0" w:space="0" w:color="auto"/>
        <w:bottom w:val="none" w:sz="0" w:space="0" w:color="auto"/>
        <w:right w:val="none" w:sz="0" w:space="0" w:color="auto"/>
      </w:divBdr>
    </w:div>
    <w:div w:id="930892387">
      <w:bodyDiv w:val="1"/>
      <w:marLeft w:val="0"/>
      <w:marRight w:val="0"/>
      <w:marTop w:val="0"/>
      <w:marBottom w:val="0"/>
      <w:divBdr>
        <w:top w:val="none" w:sz="0" w:space="0" w:color="auto"/>
        <w:left w:val="none" w:sz="0" w:space="0" w:color="auto"/>
        <w:bottom w:val="none" w:sz="0" w:space="0" w:color="auto"/>
        <w:right w:val="none" w:sz="0" w:space="0" w:color="auto"/>
      </w:divBdr>
    </w:div>
    <w:div w:id="930895828">
      <w:bodyDiv w:val="1"/>
      <w:marLeft w:val="0"/>
      <w:marRight w:val="0"/>
      <w:marTop w:val="0"/>
      <w:marBottom w:val="0"/>
      <w:divBdr>
        <w:top w:val="none" w:sz="0" w:space="0" w:color="auto"/>
        <w:left w:val="none" w:sz="0" w:space="0" w:color="auto"/>
        <w:bottom w:val="none" w:sz="0" w:space="0" w:color="auto"/>
        <w:right w:val="none" w:sz="0" w:space="0" w:color="auto"/>
      </w:divBdr>
    </w:div>
    <w:div w:id="930940556">
      <w:bodyDiv w:val="1"/>
      <w:marLeft w:val="0"/>
      <w:marRight w:val="0"/>
      <w:marTop w:val="0"/>
      <w:marBottom w:val="0"/>
      <w:divBdr>
        <w:top w:val="none" w:sz="0" w:space="0" w:color="auto"/>
        <w:left w:val="none" w:sz="0" w:space="0" w:color="auto"/>
        <w:bottom w:val="none" w:sz="0" w:space="0" w:color="auto"/>
        <w:right w:val="none" w:sz="0" w:space="0" w:color="auto"/>
      </w:divBdr>
    </w:div>
    <w:div w:id="930966708">
      <w:bodyDiv w:val="1"/>
      <w:marLeft w:val="0"/>
      <w:marRight w:val="0"/>
      <w:marTop w:val="0"/>
      <w:marBottom w:val="0"/>
      <w:divBdr>
        <w:top w:val="none" w:sz="0" w:space="0" w:color="auto"/>
        <w:left w:val="none" w:sz="0" w:space="0" w:color="auto"/>
        <w:bottom w:val="none" w:sz="0" w:space="0" w:color="auto"/>
        <w:right w:val="none" w:sz="0" w:space="0" w:color="auto"/>
      </w:divBdr>
    </w:div>
    <w:div w:id="931008721">
      <w:bodyDiv w:val="1"/>
      <w:marLeft w:val="0"/>
      <w:marRight w:val="0"/>
      <w:marTop w:val="0"/>
      <w:marBottom w:val="0"/>
      <w:divBdr>
        <w:top w:val="none" w:sz="0" w:space="0" w:color="auto"/>
        <w:left w:val="none" w:sz="0" w:space="0" w:color="auto"/>
        <w:bottom w:val="none" w:sz="0" w:space="0" w:color="auto"/>
        <w:right w:val="none" w:sz="0" w:space="0" w:color="auto"/>
      </w:divBdr>
    </w:div>
    <w:div w:id="931013288">
      <w:bodyDiv w:val="1"/>
      <w:marLeft w:val="0"/>
      <w:marRight w:val="0"/>
      <w:marTop w:val="0"/>
      <w:marBottom w:val="0"/>
      <w:divBdr>
        <w:top w:val="none" w:sz="0" w:space="0" w:color="auto"/>
        <w:left w:val="none" w:sz="0" w:space="0" w:color="auto"/>
        <w:bottom w:val="none" w:sz="0" w:space="0" w:color="auto"/>
        <w:right w:val="none" w:sz="0" w:space="0" w:color="auto"/>
      </w:divBdr>
    </w:div>
    <w:div w:id="931082930">
      <w:bodyDiv w:val="1"/>
      <w:marLeft w:val="0"/>
      <w:marRight w:val="0"/>
      <w:marTop w:val="0"/>
      <w:marBottom w:val="0"/>
      <w:divBdr>
        <w:top w:val="none" w:sz="0" w:space="0" w:color="auto"/>
        <w:left w:val="none" w:sz="0" w:space="0" w:color="auto"/>
        <w:bottom w:val="none" w:sz="0" w:space="0" w:color="auto"/>
        <w:right w:val="none" w:sz="0" w:space="0" w:color="auto"/>
      </w:divBdr>
    </w:div>
    <w:div w:id="931084175">
      <w:bodyDiv w:val="1"/>
      <w:marLeft w:val="0"/>
      <w:marRight w:val="0"/>
      <w:marTop w:val="0"/>
      <w:marBottom w:val="0"/>
      <w:divBdr>
        <w:top w:val="none" w:sz="0" w:space="0" w:color="auto"/>
        <w:left w:val="none" w:sz="0" w:space="0" w:color="auto"/>
        <w:bottom w:val="none" w:sz="0" w:space="0" w:color="auto"/>
        <w:right w:val="none" w:sz="0" w:space="0" w:color="auto"/>
      </w:divBdr>
    </w:div>
    <w:div w:id="931201879">
      <w:bodyDiv w:val="1"/>
      <w:marLeft w:val="0"/>
      <w:marRight w:val="0"/>
      <w:marTop w:val="0"/>
      <w:marBottom w:val="0"/>
      <w:divBdr>
        <w:top w:val="none" w:sz="0" w:space="0" w:color="auto"/>
        <w:left w:val="none" w:sz="0" w:space="0" w:color="auto"/>
        <w:bottom w:val="none" w:sz="0" w:space="0" w:color="auto"/>
        <w:right w:val="none" w:sz="0" w:space="0" w:color="auto"/>
      </w:divBdr>
    </w:div>
    <w:div w:id="931206573">
      <w:bodyDiv w:val="1"/>
      <w:marLeft w:val="0"/>
      <w:marRight w:val="0"/>
      <w:marTop w:val="0"/>
      <w:marBottom w:val="0"/>
      <w:divBdr>
        <w:top w:val="none" w:sz="0" w:space="0" w:color="auto"/>
        <w:left w:val="none" w:sz="0" w:space="0" w:color="auto"/>
        <w:bottom w:val="none" w:sz="0" w:space="0" w:color="auto"/>
        <w:right w:val="none" w:sz="0" w:space="0" w:color="auto"/>
      </w:divBdr>
    </w:div>
    <w:div w:id="931233339">
      <w:bodyDiv w:val="1"/>
      <w:marLeft w:val="0"/>
      <w:marRight w:val="0"/>
      <w:marTop w:val="0"/>
      <w:marBottom w:val="0"/>
      <w:divBdr>
        <w:top w:val="none" w:sz="0" w:space="0" w:color="auto"/>
        <w:left w:val="none" w:sz="0" w:space="0" w:color="auto"/>
        <w:bottom w:val="none" w:sz="0" w:space="0" w:color="auto"/>
        <w:right w:val="none" w:sz="0" w:space="0" w:color="auto"/>
      </w:divBdr>
    </w:div>
    <w:div w:id="931284657">
      <w:bodyDiv w:val="1"/>
      <w:marLeft w:val="0"/>
      <w:marRight w:val="0"/>
      <w:marTop w:val="0"/>
      <w:marBottom w:val="0"/>
      <w:divBdr>
        <w:top w:val="none" w:sz="0" w:space="0" w:color="auto"/>
        <w:left w:val="none" w:sz="0" w:space="0" w:color="auto"/>
        <w:bottom w:val="none" w:sz="0" w:space="0" w:color="auto"/>
        <w:right w:val="none" w:sz="0" w:space="0" w:color="auto"/>
      </w:divBdr>
    </w:div>
    <w:div w:id="931351295">
      <w:bodyDiv w:val="1"/>
      <w:marLeft w:val="0"/>
      <w:marRight w:val="0"/>
      <w:marTop w:val="0"/>
      <w:marBottom w:val="0"/>
      <w:divBdr>
        <w:top w:val="none" w:sz="0" w:space="0" w:color="auto"/>
        <w:left w:val="none" w:sz="0" w:space="0" w:color="auto"/>
        <w:bottom w:val="none" w:sz="0" w:space="0" w:color="auto"/>
        <w:right w:val="none" w:sz="0" w:space="0" w:color="auto"/>
      </w:divBdr>
    </w:div>
    <w:div w:id="931354842">
      <w:bodyDiv w:val="1"/>
      <w:marLeft w:val="0"/>
      <w:marRight w:val="0"/>
      <w:marTop w:val="0"/>
      <w:marBottom w:val="0"/>
      <w:divBdr>
        <w:top w:val="none" w:sz="0" w:space="0" w:color="auto"/>
        <w:left w:val="none" w:sz="0" w:space="0" w:color="auto"/>
        <w:bottom w:val="none" w:sz="0" w:space="0" w:color="auto"/>
        <w:right w:val="none" w:sz="0" w:space="0" w:color="auto"/>
      </w:divBdr>
    </w:div>
    <w:div w:id="931471814">
      <w:bodyDiv w:val="1"/>
      <w:marLeft w:val="0"/>
      <w:marRight w:val="0"/>
      <w:marTop w:val="0"/>
      <w:marBottom w:val="0"/>
      <w:divBdr>
        <w:top w:val="none" w:sz="0" w:space="0" w:color="auto"/>
        <w:left w:val="none" w:sz="0" w:space="0" w:color="auto"/>
        <w:bottom w:val="none" w:sz="0" w:space="0" w:color="auto"/>
        <w:right w:val="none" w:sz="0" w:space="0" w:color="auto"/>
      </w:divBdr>
    </w:div>
    <w:div w:id="931544394">
      <w:bodyDiv w:val="1"/>
      <w:marLeft w:val="0"/>
      <w:marRight w:val="0"/>
      <w:marTop w:val="0"/>
      <w:marBottom w:val="0"/>
      <w:divBdr>
        <w:top w:val="none" w:sz="0" w:space="0" w:color="auto"/>
        <w:left w:val="none" w:sz="0" w:space="0" w:color="auto"/>
        <w:bottom w:val="none" w:sz="0" w:space="0" w:color="auto"/>
        <w:right w:val="none" w:sz="0" w:space="0" w:color="auto"/>
      </w:divBdr>
    </w:div>
    <w:div w:id="931547591">
      <w:bodyDiv w:val="1"/>
      <w:marLeft w:val="0"/>
      <w:marRight w:val="0"/>
      <w:marTop w:val="0"/>
      <w:marBottom w:val="0"/>
      <w:divBdr>
        <w:top w:val="none" w:sz="0" w:space="0" w:color="auto"/>
        <w:left w:val="none" w:sz="0" w:space="0" w:color="auto"/>
        <w:bottom w:val="none" w:sz="0" w:space="0" w:color="auto"/>
        <w:right w:val="none" w:sz="0" w:space="0" w:color="auto"/>
      </w:divBdr>
    </w:div>
    <w:div w:id="931861208">
      <w:bodyDiv w:val="1"/>
      <w:marLeft w:val="0"/>
      <w:marRight w:val="0"/>
      <w:marTop w:val="0"/>
      <w:marBottom w:val="0"/>
      <w:divBdr>
        <w:top w:val="none" w:sz="0" w:space="0" w:color="auto"/>
        <w:left w:val="none" w:sz="0" w:space="0" w:color="auto"/>
        <w:bottom w:val="none" w:sz="0" w:space="0" w:color="auto"/>
        <w:right w:val="none" w:sz="0" w:space="0" w:color="auto"/>
      </w:divBdr>
    </w:div>
    <w:div w:id="931862989">
      <w:bodyDiv w:val="1"/>
      <w:marLeft w:val="0"/>
      <w:marRight w:val="0"/>
      <w:marTop w:val="0"/>
      <w:marBottom w:val="0"/>
      <w:divBdr>
        <w:top w:val="none" w:sz="0" w:space="0" w:color="auto"/>
        <w:left w:val="none" w:sz="0" w:space="0" w:color="auto"/>
        <w:bottom w:val="none" w:sz="0" w:space="0" w:color="auto"/>
        <w:right w:val="none" w:sz="0" w:space="0" w:color="auto"/>
      </w:divBdr>
    </w:div>
    <w:div w:id="931940327">
      <w:bodyDiv w:val="1"/>
      <w:marLeft w:val="0"/>
      <w:marRight w:val="0"/>
      <w:marTop w:val="0"/>
      <w:marBottom w:val="0"/>
      <w:divBdr>
        <w:top w:val="none" w:sz="0" w:space="0" w:color="auto"/>
        <w:left w:val="none" w:sz="0" w:space="0" w:color="auto"/>
        <w:bottom w:val="none" w:sz="0" w:space="0" w:color="auto"/>
        <w:right w:val="none" w:sz="0" w:space="0" w:color="auto"/>
      </w:divBdr>
    </w:div>
    <w:div w:id="932007729">
      <w:bodyDiv w:val="1"/>
      <w:marLeft w:val="0"/>
      <w:marRight w:val="0"/>
      <w:marTop w:val="0"/>
      <w:marBottom w:val="0"/>
      <w:divBdr>
        <w:top w:val="none" w:sz="0" w:space="0" w:color="auto"/>
        <w:left w:val="none" w:sz="0" w:space="0" w:color="auto"/>
        <w:bottom w:val="none" w:sz="0" w:space="0" w:color="auto"/>
        <w:right w:val="none" w:sz="0" w:space="0" w:color="auto"/>
      </w:divBdr>
    </w:div>
    <w:div w:id="932008320">
      <w:bodyDiv w:val="1"/>
      <w:marLeft w:val="0"/>
      <w:marRight w:val="0"/>
      <w:marTop w:val="0"/>
      <w:marBottom w:val="0"/>
      <w:divBdr>
        <w:top w:val="none" w:sz="0" w:space="0" w:color="auto"/>
        <w:left w:val="none" w:sz="0" w:space="0" w:color="auto"/>
        <w:bottom w:val="none" w:sz="0" w:space="0" w:color="auto"/>
        <w:right w:val="none" w:sz="0" w:space="0" w:color="auto"/>
      </w:divBdr>
    </w:div>
    <w:div w:id="932011019">
      <w:bodyDiv w:val="1"/>
      <w:marLeft w:val="0"/>
      <w:marRight w:val="0"/>
      <w:marTop w:val="0"/>
      <w:marBottom w:val="0"/>
      <w:divBdr>
        <w:top w:val="none" w:sz="0" w:space="0" w:color="auto"/>
        <w:left w:val="none" w:sz="0" w:space="0" w:color="auto"/>
        <w:bottom w:val="none" w:sz="0" w:space="0" w:color="auto"/>
        <w:right w:val="none" w:sz="0" w:space="0" w:color="auto"/>
      </w:divBdr>
    </w:div>
    <w:div w:id="932083122">
      <w:bodyDiv w:val="1"/>
      <w:marLeft w:val="0"/>
      <w:marRight w:val="0"/>
      <w:marTop w:val="0"/>
      <w:marBottom w:val="0"/>
      <w:divBdr>
        <w:top w:val="none" w:sz="0" w:space="0" w:color="auto"/>
        <w:left w:val="none" w:sz="0" w:space="0" w:color="auto"/>
        <w:bottom w:val="none" w:sz="0" w:space="0" w:color="auto"/>
        <w:right w:val="none" w:sz="0" w:space="0" w:color="auto"/>
      </w:divBdr>
    </w:div>
    <w:div w:id="932249955">
      <w:bodyDiv w:val="1"/>
      <w:marLeft w:val="0"/>
      <w:marRight w:val="0"/>
      <w:marTop w:val="0"/>
      <w:marBottom w:val="0"/>
      <w:divBdr>
        <w:top w:val="none" w:sz="0" w:space="0" w:color="auto"/>
        <w:left w:val="none" w:sz="0" w:space="0" w:color="auto"/>
        <w:bottom w:val="none" w:sz="0" w:space="0" w:color="auto"/>
        <w:right w:val="none" w:sz="0" w:space="0" w:color="auto"/>
      </w:divBdr>
    </w:div>
    <w:div w:id="932277418">
      <w:bodyDiv w:val="1"/>
      <w:marLeft w:val="0"/>
      <w:marRight w:val="0"/>
      <w:marTop w:val="0"/>
      <w:marBottom w:val="0"/>
      <w:divBdr>
        <w:top w:val="none" w:sz="0" w:space="0" w:color="auto"/>
        <w:left w:val="none" w:sz="0" w:space="0" w:color="auto"/>
        <w:bottom w:val="none" w:sz="0" w:space="0" w:color="auto"/>
        <w:right w:val="none" w:sz="0" w:space="0" w:color="auto"/>
      </w:divBdr>
    </w:div>
    <w:div w:id="932280461">
      <w:bodyDiv w:val="1"/>
      <w:marLeft w:val="0"/>
      <w:marRight w:val="0"/>
      <w:marTop w:val="0"/>
      <w:marBottom w:val="0"/>
      <w:divBdr>
        <w:top w:val="none" w:sz="0" w:space="0" w:color="auto"/>
        <w:left w:val="none" w:sz="0" w:space="0" w:color="auto"/>
        <w:bottom w:val="none" w:sz="0" w:space="0" w:color="auto"/>
        <w:right w:val="none" w:sz="0" w:space="0" w:color="auto"/>
      </w:divBdr>
    </w:div>
    <w:div w:id="932476611">
      <w:bodyDiv w:val="1"/>
      <w:marLeft w:val="0"/>
      <w:marRight w:val="0"/>
      <w:marTop w:val="0"/>
      <w:marBottom w:val="0"/>
      <w:divBdr>
        <w:top w:val="none" w:sz="0" w:space="0" w:color="auto"/>
        <w:left w:val="none" w:sz="0" w:space="0" w:color="auto"/>
        <w:bottom w:val="none" w:sz="0" w:space="0" w:color="auto"/>
        <w:right w:val="none" w:sz="0" w:space="0" w:color="auto"/>
      </w:divBdr>
    </w:div>
    <w:div w:id="932515701">
      <w:bodyDiv w:val="1"/>
      <w:marLeft w:val="0"/>
      <w:marRight w:val="0"/>
      <w:marTop w:val="0"/>
      <w:marBottom w:val="0"/>
      <w:divBdr>
        <w:top w:val="none" w:sz="0" w:space="0" w:color="auto"/>
        <w:left w:val="none" w:sz="0" w:space="0" w:color="auto"/>
        <w:bottom w:val="none" w:sz="0" w:space="0" w:color="auto"/>
        <w:right w:val="none" w:sz="0" w:space="0" w:color="auto"/>
      </w:divBdr>
    </w:div>
    <w:div w:id="932711750">
      <w:bodyDiv w:val="1"/>
      <w:marLeft w:val="0"/>
      <w:marRight w:val="0"/>
      <w:marTop w:val="0"/>
      <w:marBottom w:val="0"/>
      <w:divBdr>
        <w:top w:val="none" w:sz="0" w:space="0" w:color="auto"/>
        <w:left w:val="none" w:sz="0" w:space="0" w:color="auto"/>
        <w:bottom w:val="none" w:sz="0" w:space="0" w:color="auto"/>
        <w:right w:val="none" w:sz="0" w:space="0" w:color="auto"/>
      </w:divBdr>
    </w:div>
    <w:div w:id="932780934">
      <w:bodyDiv w:val="1"/>
      <w:marLeft w:val="0"/>
      <w:marRight w:val="0"/>
      <w:marTop w:val="0"/>
      <w:marBottom w:val="0"/>
      <w:divBdr>
        <w:top w:val="none" w:sz="0" w:space="0" w:color="auto"/>
        <w:left w:val="none" w:sz="0" w:space="0" w:color="auto"/>
        <w:bottom w:val="none" w:sz="0" w:space="0" w:color="auto"/>
        <w:right w:val="none" w:sz="0" w:space="0" w:color="auto"/>
      </w:divBdr>
    </w:div>
    <w:div w:id="932782627">
      <w:bodyDiv w:val="1"/>
      <w:marLeft w:val="0"/>
      <w:marRight w:val="0"/>
      <w:marTop w:val="0"/>
      <w:marBottom w:val="0"/>
      <w:divBdr>
        <w:top w:val="none" w:sz="0" w:space="0" w:color="auto"/>
        <w:left w:val="none" w:sz="0" w:space="0" w:color="auto"/>
        <w:bottom w:val="none" w:sz="0" w:space="0" w:color="auto"/>
        <w:right w:val="none" w:sz="0" w:space="0" w:color="auto"/>
      </w:divBdr>
    </w:div>
    <w:div w:id="932931708">
      <w:bodyDiv w:val="1"/>
      <w:marLeft w:val="0"/>
      <w:marRight w:val="0"/>
      <w:marTop w:val="0"/>
      <w:marBottom w:val="0"/>
      <w:divBdr>
        <w:top w:val="none" w:sz="0" w:space="0" w:color="auto"/>
        <w:left w:val="none" w:sz="0" w:space="0" w:color="auto"/>
        <w:bottom w:val="none" w:sz="0" w:space="0" w:color="auto"/>
        <w:right w:val="none" w:sz="0" w:space="0" w:color="auto"/>
      </w:divBdr>
    </w:div>
    <w:div w:id="932934536">
      <w:bodyDiv w:val="1"/>
      <w:marLeft w:val="0"/>
      <w:marRight w:val="0"/>
      <w:marTop w:val="0"/>
      <w:marBottom w:val="0"/>
      <w:divBdr>
        <w:top w:val="none" w:sz="0" w:space="0" w:color="auto"/>
        <w:left w:val="none" w:sz="0" w:space="0" w:color="auto"/>
        <w:bottom w:val="none" w:sz="0" w:space="0" w:color="auto"/>
        <w:right w:val="none" w:sz="0" w:space="0" w:color="auto"/>
      </w:divBdr>
    </w:div>
    <w:div w:id="932974314">
      <w:bodyDiv w:val="1"/>
      <w:marLeft w:val="0"/>
      <w:marRight w:val="0"/>
      <w:marTop w:val="0"/>
      <w:marBottom w:val="0"/>
      <w:divBdr>
        <w:top w:val="none" w:sz="0" w:space="0" w:color="auto"/>
        <w:left w:val="none" w:sz="0" w:space="0" w:color="auto"/>
        <w:bottom w:val="none" w:sz="0" w:space="0" w:color="auto"/>
        <w:right w:val="none" w:sz="0" w:space="0" w:color="auto"/>
      </w:divBdr>
    </w:div>
    <w:div w:id="932980881">
      <w:bodyDiv w:val="1"/>
      <w:marLeft w:val="0"/>
      <w:marRight w:val="0"/>
      <w:marTop w:val="0"/>
      <w:marBottom w:val="0"/>
      <w:divBdr>
        <w:top w:val="none" w:sz="0" w:space="0" w:color="auto"/>
        <w:left w:val="none" w:sz="0" w:space="0" w:color="auto"/>
        <w:bottom w:val="none" w:sz="0" w:space="0" w:color="auto"/>
        <w:right w:val="none" w:sz="0" w:space="0" w:color="auto"/>
      </w:divBdr>
    </w:div>
    <w:div w:id="933055909">
      <w:bodyDiv w:val="1"/>
      <w:marLeft w:val="0"/>
      <w:marRight w:val="0"/>
      <w:marTop w:val="0"/>
      <w:marBottom w:val="0"/>
      <w:divBdr>
        <w:top w:val="none" w:sz="0" w:space="0" w:color="auto"/>
        <w:left w:val="none" w:sz="0" w:space="0" w:color="auto"/>
        <w:bottom w:val="none" w:sz="0" w:space="0" w:color="auto"/>
        <w:right w:val="none" w:sz="0" w:space="0" w:color="auto"/>
      </w:divBdr>
    </w:div>
    <w:div w:id="933124724">
      <w:bodyDiv w:val="1"/>
      <w:marLeft w:val="0"/>
      <w:marRight w:val="0"/>
      <w:marTop w:val="0"/>
      <w:marBottom w:val="0"/>
      <w:divBdr>
        <w:top w:val="none" w:sz="0" w:space="0" w:color="auto"/>
        <w:left w:val="none" w:sz="0" w:space="0" w:color="auto"/>
        <w:bottom w:val="none" w:sz="0" w:space="0" w:color="auto"/>
        <w:right w:val="none" w:sz="0" w:space="0" w:color="auto"/>
      </w:divBdr>
    </w:div>
    <w:div w:id="933130878">
      <w:bodyDiv w:val="1"/>
      <w:marLeft w:val="0"/>
      <w:marRight w:val="0"/>
      <w:marTop w:val="0"/>
      <w:marBottom w:val="0"/>
      <w:divBdr>
        <w:top w:val="none" w:sz="0" w:space="0" w:color="auto"/>
        <w:left w:val="none" w:sz="0" w:space="0" w:color="auto"/>
        <w:bottom w:val="none" w:sz="0" w:space="0" w:color="auto"/>
        <w:right w:val="none" w:sz="0" w:space="0" w:color="auto"/>
      </w:divBdr>
    </w:div>
    <w:div w:id="933199034">
      <w:bodyDiv w:val="1"/>
      <w:marLeft w:val="0"/>
      <w:marRight w:val="0"/>
      <w:marTop w:val="0"/>
      <w:marBottom w:val="0"/>
      <w:divBdr>
        <w:top w:val="none" w:sz="0" w:space="0" w:color="auto"/>
        <w:left w:val="none" w:sz="0" w:space="0" w:color="auto"/>
        <w:bottom w:val="none" w:sz="0" w:space="0" w:color="auto"/>
        <w:right w:val="none" w:sz="0" w:space="0" w:color="auto"/>
      </w:divBdr>
    </w:div>
    <w:div w:id="933365497">
      <w:bodyDiv w:val="1"/>
      <w:marLeft w:val="0"/>
      <w:marRight w:val="0"/>
      <w:marTop w:val="0"/>
      <w:marBottom w:val="0"/>
      <w:divBdr>
        <w:top w:val="none" w:sz="0" w:space="0" w:color="auto"/>
        <w:left w:val="none" w:sz="0" w:space="0" w:color="auto"/>
        <w:bottom w:val="none" w:sz="0" w:space="0" w:color="auto"/>
        <w:right w:val="none" w:sz="0" w:space="0" w:color="auto"/>
      </w:divBdr>
    </w:div>
    <w:div w:id="933392444">
      <w:bodyDiv w:val="1"/>
      <w:marLeft w:val="0"/>
      <w:marRight w:val="0"/>
      <w:marTop w:val="0"/>
      <w:marBottom w:val="0"/>
      <w:divBdr>
        <w:top w:val="none" w:sz="0" w:space="0" w:color="auto"/>
        <w:left w:val="none" w:sz="0" w:space="0" w:color="auto"/>
        <w:bottom w:val="none" w:sz="0" w:space="0" w:color="auto"/>
        <w:right w:val="none" w:sz="0" w:space="0" w:color="auto"/>
      </w:divBdr>
    </w:div>
    <w:div w:id="933394232">
      <w:bodyDiv w:val="1"/>
      <w:marLeft w:val="0"/>
      <w:marRight w:val="0"/>
      <w:marTop w:val="0"/>
      <w:marBottom w:val="0"/>
      <w:divBdr>
        <w:top w:val="none" w:sz="0" w:space="0" w:color="auto"/>
        <w:left w:val="none" w:sz="0" w:space="0" w:color="auto"/>
        <w:bottom w:val="none" w:sz="0" w:space="0" w:color="auto"/>
        <w:right w:val="none" w:sz="0" w:space="0" w:color="auto"/>
      </w:divBdr>
    </w:div>
    <w:div w:id="933434714">
      <w:bodyDiv w:val="1"/>
      <w:marLeft w:val="0"/>
      <w:marRight w:val="0"/>
      <w:marTop w:val="0"/>
      <w:marBottom w:val="0"/>
      <w:divBdr>
        <w:top w:val="none" w:sz="0" w:space="0" w:color="auto"/>
        <w:left w:val="none" w:sz="0" w:space="0" w:color="auto"/>
        <w:bottom w:val="none" w:sz="0" w:space="0" w:color="auto"/>
        <w:right w:val="none" w:sz="0" w:space="0" w:color="auto"/>
      </w:divBdr>
    </w:div>
    <w:div w:id="933438539">
      <w:bodyDiv w:val="1"/>
      <w:marLeft w:val="0"/>
      <w:marRight w:val="0"/>
      <w:marTop w:val="0"/>
      <w:marBottom w:val="0"/>
      <w:divBdr>
        <w:top w:val="none" w:sz="0" w:space="0" w:color="auto"/>
        <w:left w:val="none" w:sz="0" w:space="0" w:color="auto"/>
        <w:bottom w:val="none" w:sz="0" w:space="0" w:color="auto"/>
        <w:right w:val="none" w:sz="0" w:space="0" w:color="auto"/>
      </w:divBdr>
    </w:div>
    <w:div w:id="933443865">
      <w:bodyDiv w:val="1"/>
      <w:marLeft w:val="0"/>
      <w:marRight w:val="0"/>
      <w:marTop w:val="0"/>
      <w:marBottom w:val="0"/>
      <w:divBdr>
        <w:top w:val="none" w:sz="0" w:space="0" w:color="auto"/>
        <w:left w:val="none" w:sz="0" w:space="0" w:color="auto"/>
        <w:bottom w:val="none" w:sz="0" w:space="0" w:color="auto"/>
        <w:right w:val="none" w:sz="0" w:space="0" w:color="auto"/>
      </w:divBdr>
    </w:div>
    <w:div w:id="933589200">
      <w:bodyDiv w:val="1"/>
      <w:marLeft w:val="0"/>
      <w:marRight w:val="0"/>
      <w:marTop w:val="0"/>
      <w:marBottom w:val="0"/>
      <w:divBdr>
        <w:top w:val="none" w:sz="0" w:space="0" w:color="auto"/>
        <w:left w:val="none" w:sz="0" w:space="0" w:color="auto"/>
        <w:bottom w:val="none" w:sz="0" w:space="0" w:color="auto"/>
        <w:right w:val="none" w:sz="0" w:space="0" w:color="auto"/>
      </w:divBdr>
    </w:div>
    <w:div w:id="933634027">
      <w:bodyDiv w:val="1"/>
      <w:marLeft w:val="0"/>
      <w:marRight w:val="0"/>
      <w:marTop w:val="0"/>
      <w:marBottom w:val="0"/>
      <w:divBdr>
        <w:top w:val="none" w:sz="0" w:space="0" w:color="auto"/>
        <w:left w:val="none" w:sz="0" w:space="0" w:color="auto"/>
        <w:bottom w:val="none" w:sz="0" w:space="0" w:color="auto"/>
        <w:right w:val="none" w:sz="0" w:space="0" w:color="auto"/>
      </w:divBdr>
    </w:div>
    <w:div w:id="933636555">
      <w:bodyDiv w:val="1"/>
      <w:marLeft w:val="0"/>
      <w:marRight w:val="0"/>
      <w:marTop w:val="0"/>
      <w:marBottom w:val="0"/>
      <w:divBdr>
        <w:top w:val="none" w:sz="0" w:space="0" w:color="auto"/>
        <w:left w:val="none" w:sz="0" w:space="0" w:color="auto"/>
        <w:bottom w:val="none" w:sz="0" w:space="0" w:color="auto"/>
        <w:right w:val="none" w:sz="0" w:space="0" w:color="auto"/>
      </w:divBdr>
    </w:div>
    <w:div w:id="933780545">
      <w:bodyDiv w:val="1"/>
      <w:marLeft w:val="0"/>
      <w:marRight w:val="0"/>
      <w:marTop w:val="0"/>
      <w:marBottom w:val="0"/>
      <w:divBdr>
        <w:top w:val="none" w:sz="0" w:space="0" w:color="auto"/>
        <w:left w:val="none" w:sz="0" w:space="0" w:color="auto"/>
        <w:bottom w:val="none" w:sz="0" w:space="0" w:color="auto"/>
        <w:right w:val="none" w:sz="0" w:space="0" w:color="auto"/>
      </w:divBdr>
    </w:div>
    <w:div w:id="933826601">
      <w:bodyDiv w:val="1"/>
      <w:marLeft w:val="0"/>
      <w:marRight w:val="0"/>
      <w:marTop w:val="0"/>
      <w:marBottom w:val="0"/>
      <w:divBdr>
        <w:top w:val="none" w:sz="0" w:space="0" w:color="auto"/>
        <w:left w:val="none" w:sz="0" w:space="0" w:color="auto"/>
        <w:bottom w:val="none" w:sz="0" w:space="0" w:color="auto"/>
        <w:right w:val="none" w:sz="0" w:space="0" w:color="auto"/>
      </w:divBdr>
    </w:div>
    <w:div w:id="933981161">
      <w:bodyDiv w:val="1"/>
      <w:marLeft w:val="0"/>
      <w:marRight w:val="0"/>
      <w:marTop w:val="0"/>
      <w:marBottom w:val="0"/>
      <w:divBdr>
        <w:top w:val="none" w:sz="0" w:space="0" w:color="auto"/>
        <w:left w:val="none" w:sz="0" w:space="0" w:color="auto"/>
        <w:bottom w:val="none" w:sz="0" w:space="0" w:color="auto"/>
        <w:right w:val="none" w:sz="0" w:space="0" w:color="auto"/>
      </w:divBdr>
    </w:div>
    <w:div w:id="934050880">
      <w:bodyDiv w:val="1"/>
      <w:marLeft w:val="0"/>
      <w:marRight w:val="0"/>
      <w:marTop w:val="0"/>
      <w:marBottom w:val="0"/>
      <w:divBdr>
        <w:top w:val="none" w:sz="0" w:space="0" w:color="auto"/>
        <w:left w:val="none" w:sz="0" w:space="0" w:color="auto"/>
        <w:bottom w:val="none" w:sz="0" w:space="0" w:color="auto"/>
        <w:right w:val="none" w:sz="0" w:space="0" w:color="auto"/>
      </w:divBdr>
    </w:div>
    <w:div w:id="934241700">
      <w:bodyDiv w:val="1"/>
      <w:marLeft w:val="0"/>
      <w:marRight w:val="0"/>
      <w:marTop w:val="0"/>
      <w:marBottom w:val="0"/>
      <w:divBdr>
        <w:top w:val="none" w:sz="0" w:space="0" w:color="auto"/>
        <w:left w:val="none" w:sz="0" w:space="0" w:color="auto"/>
        <w:bottom w:val="none" w:sz="0" w:space="0" w:color="auto"/>
        <w:right w:val="none" w:sz="0" w:space="0" w:color="auto"/>
      </w:divBdr>
    </w:div>
    <w:div w:id="934248316">
      <w:bodyDiv w:val="1"/>
      <w:marLeft w:val="0"/>
      <w:marRight w:val="0"/>
      <w:marTop w:val="0"/>
      <w:marBottom w:val="0"/>
      <w:divBdr>
        <w:top w:val="none" w:sz="0" w:space="0" w:color="auto"/>
        <w:left w:val="none" w:sz="0" w:space="0" w:color="auto"/>
        <w:bottom w:val="none" w:sz="0" w:space="0" w:color="auto"/>
        <w:right w:val="none" w:sz="0" w:space="0" w:color="auto"/>
      </w:divBdr>
    </w:div>
    <w:div w:id="934434934">
      <w:bodyDiv w:val="1"/>
      <w:marLeft w:val="0"/>
      <w:marRight w:val="0"/>
      <w:marTop w:val="0"/>
      <w:marBottom w:val="0"/>
      <w:divBdr>
        <w:top w:val="none" w:sz="0" w:space="0" w:color="auto"/>
        <w:left w:val="none" w:sz="0" w:space="0" w:color="auto"/>
        <w:bottom w:val="none" w:sz="0" w:space="0" w:color="auto"/>
        <w:right w:val="none" w:sz="0" w:space="0" w:color="auto"/>
      </w:divBdr>
    </w:div>
    <w:div w:id="934435979">
      <w:bodyDiv w:val="1"/>
      <w:marLeft w:val="0"/>
      <w:marRight w:val="0"/>
      <w:marTop w:val="0"/>
      <w:marBottom w:val="0"/>
      <w:divBdr>
        <w:top w:val="none" w:sz="0" w:space="0" w:color="auto"/>
        <w:left w:val="none" w:sz="0" w:space="0" w:color="auto"/>
        <w:bottom w:val="none" w:sz="0" w:space="0" w:color="auto"/>
        <w:right w:val="none" w:sz="0" w:space="0" w:color="auto"/>
      </w:divBdr>
    </w:div>
    <w:div w:id="934558970">
      <w:bodyDiv w:val="1"/>
      <w:marLeft w:val="0"/>
      <w:marRight w:val="0"/>
      <w:marTop w:val="0"/>
      <w:marBottom w:val="0"/>
      <w:divBdr>
        <w:top w:val="none" w:sz="0" w:space="0" w:color="auto"/>
        <w:left w:val="none" w:sz="0" w:space="0" w:color="auto"/>
        <w:bottom w:val="none" w:sz="0" w:space="0" w:color="auto"/>
        <w:right w:val="none" w:sz="0" w:space="0" w:color="auto"/>
      </w:divBdr>
    </w:div>
    <w:div w:id="934629834">
      <w:bodyDiv w:val="1"/>
      <w:marLeft w:val="0"/>
      <w:marRight w:val="0"/>
      <w:marTop w:val="0"/>
      <w:marBottom w:val="0"/>
      <w:divBdr>
        <w:top w:val="none" w:sz="0" w:space="0" w:color="auto"/>
        <w:left w:val="none" w:sz="0" w:space="0" w:color="auto"/>
        <w:bottom w:val="none" w:sz="0" w:space="0" w:color="auto"/>
        <w:right w:val="none" w:sz="0" w:space="0" w:color="auto"/>
      </w:divBdr>
    </w:div>
    <w:div w:id="934675817">
      <w:bodyDiv w:val="1"/>
      <w:marLeft w:val="0"/>
      <w:marRight w:val="0"/>
      <w:marTop w:val="0"/>
      <w:marBottom w:val="0"/>
      <w:divBdr>
        <w:top w:val="none" w:sz="0" w:space="0" w:color="auto"/>
        <w:left w:val="none" w:sz="0" w:space="0" w:color="auto"/>
        <w:bottom w:val="none" w:sz="0" w:space="0" w:color="auto"/>
        <w:right w:val="none" w:sz="0" w:space="0" w:color="auto"/>
      </w:divBdr>
    </w:div>
    <w:div w:id="934748291">
      <w:bodyDiv w:val="1"/>
      <w:marLeft w:val="0"/>
      <w:marRight w:val="0"/>
      <w:marTop w:val="0"/>
      <w:marBottom w:val="0"/>
      <w:divBdr>
        <w:top w:val="none" w:sz="0" w:space="0" w:color="auto"/>
        <w:left w:val="none" w:sz="0" w:space="0" w:color="auto"/>
        <w:bottom w:val="none" w:sz="0" w:space="0" w:color="auto"/>
        <w:right w:val="none" w:sz="0" w:space="0" w:color="auto"/>
      </w:divBdr>
    </w:div>
    <w:div w:id="934823937">
      <w:bodyDiv w:val="1"/>
      <w:marLeft w:val="0"/>
      <w:marRight w:val="0"/>
      <w:marTop w:val="0"/>
      <w:marBottom w:val="0"/>
      <w:divBdr>
        <w:top w:val="none" w:sz="0" w:space="0" w:color="auto"/>
        <w:left w:val="none" w:sz="0" w:space="0" w:color="auto"/>
        <w:bottom w:val="none" w:sz="0" w:space="0" w:color="auto"/>
        <w:right w:val="none" w:sz="0" w:space="0" w:color="auto"/>
      </w:divBdr>
    </w:div>
    <w:div w:id="934824520">
      <w:bodyDiv w:val="1"/>
      <w:marLeft w:val="0"/>
      <w:marRight w:val="0"/>
      <w:marTop w:val="0"/>
      <w:marBottom w:val="0"/>
      <w:divBdr>
        <w:top w:val="none" w:sz="0" w:space="0" w:color="auto"/>
        <w:left w:val="none" w:sz="0" w:space="0" w:color="auto"/>
        <w:bottom w:val="none" w:sz="0" w:space="0" w:color="auto"/>
        <w:right w:val="none" w:sz="0" w:space="0" w:color="auto"/>
      </w:divBdr>
    </w:div>
    <w:div w:id="935016673">
      <w:bodyDiv w:val="1"/>
      <w:marLeft w:val="0"/>
      <w:marRight w:val="0"/>
      <w:marTop w:val="0"/>
      <w:marBottom w:val="0"/>
      <w:divBdr>
        <w:top w:val="none" w:sz="0" w:space="0" w:color="auto"/>
        <w:left w:val="none" w:sz="0" w:space="0" w:color="auto"/>
        <w:bottom w:val="none" w:sz="0" w:space="0" w:color="auto"/>
        <w:right w:val="none" w:sz="0" w:space="0" w:color="auto"/>
      </w:divBdr>
    </w:div>
    <w:div w:id="935138214">
      <w:bodyDiv w:val="1"/>
      <w:marLeft w:val="0"/>
      <w:marRight w:val="0"/>
      <w:marTop w:val="0"/>
      <w:marBottom w:val="0"/>
      <w:divBdr>
        <w:top w:val="none" w:sz="0" w:space="0" w:color="auto"/>
        <w:left w:val="none" w:sz="0" w:space="0" w:color="auto"/>
        <w:bottom w:val="none" w:sz="0" w:space="0" w:color="auto"/>
        <w:right w:val="none" w:sz="0" w:space="0" w:color="auto"/>
      </w:divBdr>
    </w:div>
    <w:div w:id="935215875">
      <w:bodyDiv w:val="1"/>
      <w:marLeft w:val="0"/>
      <w:marRight w:val="0"/>
      <w:marTop w:val="0"/>
      <w:marBottom w:val="0"/>
      <w:divBdr>
        <w:top w:val="none" w:sz="0" w:space="0" w:color="auto"/>
        <w:left w:val="none" w:sz="0" w:space="0" w:color="auto"/>
        <w:bottom w:val="none" w:sz="0" w:space="0" w:color="auto"/>
        <w:right w:val="none" w:sz="0" w:space="0" w:color="auto"/>
      </w:divBdr>
    </w:div>
    <w:div w:id="935285436">
      <w:bodyDiv w:val="1"/>
      <w:marLeft w:val="0"/>
      <w:marRight w:val="0"/>
      <w:marTop w:val="0"/>
      <w:marBottom w:val="0"/>
      <w:divBdr>
        <w:top w:val="none" w:sz="0" w:space="0" w:color="auto"/>
        <w:left w:val="none" w:sz="0" w:space="0" w:color="auto"/>
        <w:bottom w:val="none" w:sz="0" w:space="0" w:color="auto"/>
        <w:right w:val="none" w:sz="0" w:space="0" w:color="auto"/>
      </w:divBdr>
    </w:div>
    <w:div w:id="935334212">
      <w:bodyDiv w:val="1"/>
      <w:marLeft w:val="0"/>
      <w:marRight w:val="0"/>
      <w:marTop w:val="0"/>
      <w:marBottom w:val="0"/>
      <w:divBdr>
        <w:top w:val="none" w:sz="0" w:space="0" w:color="auto"/>
        <w:left w:val="none" w:sz="0" w:space="0" w:color="auto"/>
        <w:bottom w:val="none" w:sz="0" w:space="0" w:color="auto"/>
        <w:right w:val="none" w:sz="0" w:space="0" w:color="auto"/>
      </w:divBdr>
    </w:div>
    <w:div w:id="935404021">
      <w:bodyDiv w:val="1"/>
      <w:marLeft w:val="0"/>
      <w:marRight w:val="0"/>
      <w:marTop w:val="0"/>
      <w:marBottom w:val="0"/>
      <w:divBdr>
        <w:top w:val="none" w:sz="0" w:space="0" w:color="auto"/>
        <w:left w:val="none" w:sz="0" w:space="0" w:color="auto"/>
        <w:bottom w:val="none" w:sz="0" w:space="0" w:color="auto"/>
        <w:right w:val="none" w:sz="0" w:space="0" w:color="auto"/>
      </w:divBdr>
    </w:div>
    <w:div w:id="935595085">
      <w:bodyDiv w:val="1"/>
      <w:marLeft w:val="0"/>
      <w:marRight w:val="0"/>
      <w:marTop w:val="0"/>
      <w:marBottom w:val="0"/>
      <w:divBdr>
        <w:top w:val="none" w:sz="0" w:space="0" w:color="auto"/>
        <w:left w:val="none" w:sz="0" w:space="0" w:color="auto"/>
        <w:bottom w:val="none" w:sz="0" w:space="0" w:color="auto"/>
        <w:right w:val="none" w:sz="0" w:space="0" w:color="auto"/>
      </w:divBdr>
    </w:div>
    <w:div w:id="935745535">
      <w:bodyDiv w:val="1"/>
      <w:marLeft w:val="0"/>
      <w:marRight w:val="0"/>
      <w:marTop w:val="0"/>
      <w:marBottom w:val="0"/>
      <w:divBdr>
        <w:top w:val="none" w:sz="0" w:space="0" w:color="auto"/>
        <w:left w:val="none" w:sz="0" w:space="0" w:color="auto"/>
        <w:bottom w:val="none" w:sz="0" w:space="0" w:color="auto"/>
        <w:right w:val="none" w:sz="0" w:space="0" w:color="auto"/>
      </w:divBdr>
    </w:div>
    <w:div w:id="935750425">
      <w:bodyDiv w:val="1"/>
      <w:marLeft w:val="0"/>
      <w:marRight w:val="0"/>
      <w:marTop w:val="0"/>
      <w:marBottom w:val="0"/>
      <w:divBdr>
        <w:top w:val="none" w:sz="0" w:space="0" w:color="auto"/>
        <w:left w:val="none" w:sz="0" w:space="0" w:color="auto"/>
        <w:bottom w:val="none" w:sz="0" w:space="0" w:color="auto"/>
        <w:right w:val="none" w:sz="0" w:space="0" w:color="auto"/>
      </w:divBdr>
    </w:div>
    <w:div w:id="935795552">
      <w:bodyDiv w:val="1"/>
      <w:marLeft w:val="0"/>
      <w:marRight w:val="0"/>
      <w:marTop w:val="0"/>
      <w:marBottom w:val="0"/>
      <w:divBdr>
        <w:top w:val="none" w:sz="0" w:space="0" w:color="auto"/>
        <w:left w:val="none" w:sz="0" w:space="0" w:color="auto"/>
        <w:bottom w:val="none" w:sz="0" w:space="0" w:color="auto"/>
        <w:right w:val="none" w:sz="0" w:space="0" w:color="auto"/>
      </w:divBdr>
    </w:div>
    <w:div w:id="935867163">
      <w:bodyDiv w:val="1"/>
      <w:marLeft w:val="0"/>
      <w:marRight w:val="0"/>
      <w:marTop w:val="0"/>
      <w:marBottom w:val="0"/>
      <w:divBdr>
        <w:top w:val="none" w:sz="0" w:space="0" w:color="auto"/>
        <w:left w:val="none" w:sz="0" w:space="0" w:color="auto"/>
        <w:bottom w:val="none" w:sz="0" w:space="0" w:color="auto"/>
        <w:right w:val="none" w:sz="0" w:space="0" w:color="auto"/>
      </w:divBdr>
    </w:div>
    <w:div w:id="935870966">
      <w:bodyDiv w:val="1"/>
      <w:marLeft w:val="0"/>
      <w:marRight w:val="0"/>
      <w:marTop w:val="0"/>
      <w:marBottom w:val="0"/>
      <w:divBdr>
        <w:top w:val="none" w:sz="0" w:space="0" w:color="auto"/>
        <w:left w:val="none" w:sz="0" w:space="0" w:color="auto"/>
        <w:bottom w:val="none" w:sz="0" w:space="0" w:color="auto"/>
        <w:right w:val="none" w:sz="0" w:space="0" w:color="auto"/>
      </w:divBdr>
    </w:div>
    <w:div w:id="936017381">
      <w:bodyDiv w:val="1"/>
      <w:marLeft w:val="0"/>
      <w:marRight w:val="0"/>
      <w:marTop w:val="0"/>
      <w:marBottom w:val="0"/>
      <w:divBdr>
        <w:top w:val="none" w:sz="0" w:space="0" w:color="auto"/>
        <w:left w:val="none" w:sz="0" w:space="0" w:color="auto"/>
        <w:bottom w:val="none" w:sz="0" w:space="0" w:color="auto"/>
        <w:right w:val="none" w:sz="0" w:space="0" w:color="auto"/>
      </w:divBdr>
    </w:div>
    <w:div w:id="936065061">
      <w:bodyDiv w:val="1"/>
      <w:marLeft w:val="0"/>
      <w:marRight w:val="0"/>
      <w:marTop w:val="0"/>
      <w:marBottom w:val="0"/>
      <w:divBdr>
        <w:top w:val="none" w:sz="0" w:space="0" w:color="auto"/>
        <w:left w:val="none" w:sz="0" w:space="0" w:color="auto"/>
        <w:bottom w:val="none" w:sz="0" w:space="0" w:color="auto"/>
        <w:right w:val="none" w:sz="0" w:space="0" w:color="auto"/>
      </w:divBdr>
    </w:div>
    <w:div w:id="936407756">
      <w:bodyDiv w:val="1"/>
      <w:marLeft w:val="0"/>
      <w:marRight w:val="0"/>
      <w:marTop w:val="0"/>
      <w:marBottom w:val="0"/>
      <w:divBdr>
        <w:top w:val="none" w:sz="0" w:space="0" w:color="auto"/>
        <w:left w:val="none" w:sz="0" w:space="0" w:color="auto"/>
        <w:bottom w:val="none" w:sz="0" w:space="0" w:color="auto"/>
        <w:right w:val="none" w:sz="0" w:space="0" w:color="auto"/>
      </w:divBdr>
    </w:div>
    <w:div w:id="936520578">
      <w:bodyDiv w:val="1"/>
      <w:marLeft w:val="0"/>
      <w:marRight w:val="0"/>
      <w:marTop w:val="0"/>
      <w:marBottom w:val="0"/>
      <w:divBdr>
        <w:top w:val="none" w:sz="0" w:space="0" w:color="auto"/>
        <w:left w:val="none" w:sz="0" w:space="0" w:color="auto"/>
        <w:bottom w:val="none" w:sz="0" w:space="0" w:color="auto"/>
        <w:right w:val="none" w:sz="0" w:space="0" w:color="auto"/>
      </w:divBdr>
    </w:div>
    <w:div w:id="936601666">
      <w:bodyDiv w:val="1"/>
      <w:marLeft w:val="0"/>
      <w:marRight w:val="0"/>
      <w:marTop w:val="0"/>
      <w:marBottom w:val="0"/>
      <w:divBdr>
        <w:top w:val="none" w:sz="0" w:space="0" w:color="auto"/>
        <w:left w:val="none" w:sz="0" w:space="0" w:color="auto"/>
        <w:bottom w:val="none" w:sz="0" w:space="0" w:color="auto"/>
        <w:right w:val="none" w:sz="0" w:space="0" w:color="auto"/>
      </w:divBdr>
    </w:div>
    <w:div w:id="936786730">
      <w:bodyDiv w:val="1"/>
      <w:marLeft w:val="0"/>
      <w:marRight w:val="0"/>
      <w:marTop w:val="0"/>
      <w:marBottom w:val="0"/>
      <w:divBdr>
        <w:top w:val="none" w:sz="0" w:space="0" w:color="auto"/>
        <w:left w:val="none" w:sz="0" w:space="0" w:color="auto"/>
        <w:bottom w:val="none" w:sz="0" w:space="0" w:color="auto"/>
        <w:right w:val="none" w:sz="0" w:space="0" w:color="auto"/>
      </w:divBdr>
    </w:div>
    <w:div w:id="936906396">
      <w:bodyDiv w:val="1"/>
      <w:marLeft w:val="0"/>
      <w:marRight w:val="0"/>
      <w:marTop w:val="0"/>
      <w:marBottom w:val="0"/>
      <w:divBdr>
        <w:top w:val="none" w:sz="0" w:space="0" w:color="auto"/>
        <w:left w:val="none" w:sz="0" w:space="0" w:color="auto"/>
        <w:bottom w:val="none" w:sz="0" w:space="0" w:color="auto"/>
        <w:right w:val="none" w:sz="0" w:space="0" w:color="auto"/>
      </w:divBdr>
    </w:div>
    <w:div w:id="936909268">
      <w:bodyDiv w:val="1"/>
      <w:marLeft w:val="0"/>
      <w:marRight w:val="0"/>
      <w:marTop w:val="0"/>
      <w:marBottom w:val="0"/>
      <w:divBdr>
        <w:top w:val="none" w:sz="0" w:space="0" w:color="auto"/>
        <w:left w:val="none" w:sz="0" w:space="0" w:color="auto"/>
        <w:bottom w:val="none" w:sz="0" w:space="0" w:color="auto"/>
        <w:right w:val="none" w:sz="0" w:space="0" w:color="auto"/>
      </w:divBdr>
    </w:div>
    <w:div w:id="936981995">
      <w:bodyDiv w:val="1"/>
      <w:marLeft w:val="0"/>
      <w:marRight w:val="0"/>
      <w:marTop w:val="0"/>
      <w:marBottom w:val="0"/>
      <w:divBdr>
        <w:top w:val="none" w:sz="0" w:space="0" w:color="auto"/>
        <w:left w:val="none" w:sz="0" w:space="0" w:color="auto"/>
        <w:bottom w:val="none" w:sz="0" w:space="0" w:color="auto"/>
        <w:right w:val="none" w:sz="0" w:space="0" w:color="auto"/>
      </w:divBdr>
    </w:div>
    <w:div w:id="937061251">
      <w:bodyDiv w:val="1"/>
      <w:marLeft w:val="0"/>
      <w:marRight w:val="0"/>
      <w:marTop w:val="0"/>
      <w:marBottom w:val="0"/>
      <w:divBdr>
        <w:top w:val="none" w:sz="0" w:space="0" w:color="auto"/>
        <w:left w:val="none" w:sz="0" w:space="0" w:color="auto"/>
        <w:bottom w:val="none" w:sz="0" w:space="0" w:color="auto"/>
        <w:right w:val="none" w:sz="0" w:space="0" w:color="auto"/>
      </w:divBdr>
    </w:div>
    <w:div w:id="937061889">
      <w:bodyDiv w:val="1"/>
      <w:marLeft w:val="0"/>
      <w:marRight w:val="0"/>
      <w:marTop w:val="0"/>
      <w:marBottom w:val="0"/>
      <w:divBdr>
        <w:top w:val="none" w:sz="0" w:space="0" w:color="auto"/>
        <w:left w:val="none" w:sz="0" w:space="0" w:color="auto"/>
        <w:bottom w:val="none" w:sz="0" w:space="0" w:color="auto"/>
        <w:right w:val="none" w:sz="0" w:space="0" w:color="auto"/>
      </w:divBdr>
    </w:div>
    <w:div w:id="937064152">
      <w:bodyDiv w:val="1"/>
      <w:marLeft w:val="0"/>
      <w:marRight w:val="0"/>
      <w:marTop w:val="0"/>
      <w:marBottom w:val="0"/>
      <w:divBdr>
        <w:top w:val="none" w:sz="0" w:space="0" w:color="auto"/>
        <w:left w:val="none" w:sz="0" w:space="0" w:color="auto"/>
        <w:bottom w:val="none" w:sz="0" w:space="0" w:color="auto"/>
        <w:right w:val="none" w:sz="0" w:space="0" w:color="auto"/>
      </w:divBdr>
    </w:div>
    <w:div w:id="937174370">
      <w:bodyDiv w:val="1"/>
      <w:marLeft w:val="0"/>
      <w:marRight w:val="0"/>
      <w:marTop w:val="0"/>
      <w:marBottom w:val="0"/>
      <w:divBdr>
        <w:top w:val="none" w:sz="0" w:space="0" w:color="auto"/>
        <w:left w:val="none" w:sz="0" w:space="0" w:color="auto"/>
        <w:bottom w:val="none" w:sz="0" w:space="0" w:color="auto"/>
        <w:right w:val="none" w:sz="0" w:space="0" w:color="auto"/>
      </w:divBdr>
    </w:div>
    <w:div w:id="937253998">
      <w:bodyDiv w:val="1"/>
      <w:marLeft w:val="0"/>
      <w:marRight w:val="0"/>
      <w:marTop w:val="0"/>
      <w:marBottom w:val="0"/>
      <w:divBdr>
        <w:top w:val="none" w:sz="0" w:space="0" w:color="auto"/>
        <w:left w:val="none" w:sz="0" w:space="0" w:color="auto"/>
        <w:bottom w:val="none" w:sz="0" w:space="0" w:color="auto"/>
        <w:right w:val="none" w:sz="0" w:space="0" w:color="auto"/>
      </w:divBdr>
    </w:div>
    <w:div w:id="937327775">
      <w:bodyDiv w:val="1"/>
      <w:marLeft w:val="0"/>
      <w:marRight w:val="0"/>
      <w:marTop w:val="0"/>
      <w:marBottom w:val="0"/>
      <w:divBdr>
        <w:top w:val="none" w:sz="0" w:space="0" w:color="auto"/>
        <w:left w:val="none" w:sz="0" w:space="0" w:color="auto"/>
        <w:bottom w:val="none" w:sz="0" w:space="0" w:color="auto"/>
        <w:right w:val="none" w:sz="0" w:space="0" w:color="auto"/>
      </w:divBdr>
    </w:div>
    <w:div w:id="937369271">
      <w:bodyDiv w:val="1"/>
      <w:marLeft w:val="0"/>
      <w:marRight w:val="0"/>
      <w:marTop w:val="0"/>
      <w:marBottom w:val="0"/>
      <w:divBdr>
        <w:top w:val="none" w:sz="0" w:space="0" w:color="auto"/>
        <w:left w:val="none" w:sz="0" w:space="0" w:color="auto"/>
        <w:bottom w:val="none" w:sz="0" w:space="0" w:color="auto"/>
        <w:right w:val="none" w:sz="0" w:space="0" w:color="auto"/>
      </w:divBdr>
    </w:div>
    <w:div w:id="937443482">
      <w:bodyDiv w:val="1"/>
      <w:marLeft w:val="0"/>
      <w:marRight w:val="0"/>
      <w:marTop w:val="0"/>
      <w:marBottom w:val="0"/>
      <w:divBdr>
        <w:top w:val="none" w:sz="0" w:space="0" w:color="auto"/>
        <w:left w:val="none" w:sz="0" w:space="0" w:color="auto"/>
        <w:bottom w:val="none" w:sz="0" w:space="0" w:color="auto"/>
        <w:right w:val="none" w:sz="0" w:space="0" w:color="auto"/>
      </w:divBdr>
    </w:div>
    <w:div w:id="937517365">
      <w:bodyDiv w:val="1"/>
      <w:marLeft w:val="0"/>
      <w:marRight w:val="0"/>
      <w:marTop w:val="0"/>
      <w:marBottom w:val="0"/>
      <w:divBdr>
        <w:top w:val="none" w:sz="0" w:space="0" w:color="auto"/>
        <w:left w:val="none" w:sz="0" w:space="0" w:color="auto"/>
        <w:bottom w:val="none" w:sz="0" w:space="0" w:color="auto"/>
        <w:right w:val="none" w:sz="0" w:space="0" w:color="auto"/>
      </w:divBdr>
    </w:div>
    <w:div w:id="937562902">
      <w:bodyDiv w:val="1"/>
      <w:marLeft w:val="0"/>
      <w:marRight w:val="0"/>
      <w:marTop w:val="0"/>
      <w:marBottom w:val="0"/>
      <w:divBdr>
        <w:top w:val="none" w:sz="0" w:space="0" w:color="auto"/>
        <w:left w:val="none" w:sz="0" w:space="0" w:color="auto"/>
        <w:bottom w:val="none" w:sz="0" w:space="0" w:color="auto"/>
        <w:right w:val="none" w:sz="0" w:space="0" w:color="auto"/>
      </w:divBdr>
    </w:div>
    <w:div w:id="937758001">
      <w:bodyDiv w:val="1"/>
      <w:marLeft w:val="0"/>
      <w:marRight w:val="0"/>
      <w:marTop w:val="0"/>
      <w:marBottom w:val="0"/>
      <w:divBdr>
        <w:top w:val="none" w:sz="0" w:space="0" w:color="auto"/>
        <w:left w:val="none" w:sz="0" w:space="0" w:color="auto"/>
        <w:bottom w:val="none" w:sz="0" w:space="0" w:color="auto"/>
        <w:right w:val="none" w:sz="0" w:space="0" w:color="auto"/>
      </w:divBdr>
    </w:div>
    <w:div w:id="937829724">
      <w:bodyDiv w:val="1"/>
      <w:marLeft w:val="0"/>
      <w:marRight w:val="0"/>
      <w:marTop w:val="0"/>
      <w:marBottom w:val="0"/>
      <w:divBdr>
        <w:top w:val="none" w:sz="0" w:space="0" w:color="auto"/>
        <w:left w:val="none" w:sz="0" w:space="0" w:color="auto"/>
        <w:bottom w:val="none" w:sz="0" w:space="0" w:color="auto"/>
        <w:right w:val="none" w:sz="0" w:space="0" w:color="auto"/>
      </w:divBdr>
    </w:div>
    <w:div w:id="937831170">
      <w:bodyDiv w:val="1"/>
      <w:marLeft w:val="0"/>
      <w:marRight w:val="0"/>
      <w:marTop w:val="0"/>
      <w:marBottom w:val="0"/>
      <w:divBdr>
        <w:top w:val="none" w:sz="0" w:space="0" w:color="auto"/>
        <w:left w:val="none" w:sz="0" w:space="0" w:color="auto"/>
        <w:bottom w:val="none" w:sz="0" w:space="0" w:color="auto"/>
        <w:right w:val="none" w:sz="0" w:space="0" w:color="auto"/>
      </w:divBdr>
    </w:div>
    <w:div w:id="937951242">
      <w:bodyDiv w:val="1"/>
      <w:marLeft w:val="0"/>
      <w:marRight w:val="0"/>
      <w:marTop w:val="0"/>
      <w:marBottom w:val="0"/>
      <w:divBdr>
        <w:top w:val="none" w:sz="0" w:space="0" w:color="auto"/>
        <w:left w:val="none" w:sz="0" w:space="0" w:color="auto"/>
        <w:bottom w:val="none" w:sz="0" w:space="0" w:color="auto"/>
        <w:right w:val="none" w:sz="0" w:space="0" w:color="auto"/>
      </w:divBdr>
    </w:div>
    <w:div w:id="937954440">
      <w:bodyDiv w:val="1"/>
      <w:marLeft w:val="0"/>
      <w:marRight w:val="0"/>
      <w:marTop w:val="0"/>
      <w:marBottom w:val="0"/>
      <w:divBdr>
        <w:top w:val="none" w:sz="0" w:space="0" w:color="auto"/>
        <w:left w:val="none" w:sz="0" w:space="0" w:color="auto"/>
        <w:bottom w:val="none" w:sz="0" w:space="0" w:color="auto"/>
        <w:right w:val="none" w:sz="0" w:space="0" w:color="auto"/>
      </w:divBdr>
    </w:div>
    <w:div w:id="937980483">
      <w:bodyDiv w:val="1"/>
      <w:marLeft w:val="0"/>
      <w:marRight w:val="0"/>
      <w:marTop w:val="0"/>
      <w:marBottom w:val="0"/>
      <w:divBdr>
        <w:top w:val="none" w:sz="0" w:space="0" w:color="auto"/>
        <w:left w:val="none" w:sz="0" w:space="0" w:color="auto"/>
        <w:bottom w:val="none" w:sz="0" w:space="0" w:color="auto"/>
        <w:right w:val="none" w:sz="0" w:space="0" w:color="auto"/>
      </w:divBdr>
    </w:div>
    <w:div w:id="938219810">
      <w:bodyDiv w:val="1"/>
      <w:marLeft w:val="0"/>
      <w:marRight w:val="0"/>
      <w:marTop w:val="0"/>
      <w:marBottom w:val="0"/>
      <w:divBdr>
        <w:top w:val="none" w:sz="0" w:space="0" w:color="auto"/>
        <w:left w:val="none" w:sz="0" w:space="0" w:color="auto"/>
        <w:bottom w:val="none" w:sz="0" w:space="0" w:color="auto"/>
        <w:right w:val="none" w:sz="0" w:space="0" w:color="auto"/>
      </w:divBdr>
    </w:div>
    <w:div w:id="938369034">
      <w:bodyDiv w:val="1"/>
      <w:marLeft w:val="0"/>
      <w:marRight w:val="0"/>
      <w:marTop w:val="0"/>
      <w:marBottom w:val="0"/>
      <w:divBdr>
        <w:top w:val="none" w:sz="0" w:space="0" w:color="auto"/>
        <w:left w:val="none" w:sz="0" w:space="0" w:color="auto"/>
        <w:bottom w:val="none" w:sz="0" w:space="0" w:color="auto"/>
        <w:right w:val="none" w:sz="0" w:space="0" w:color="auto"/>
      </w:divBdr>
    </w:div>
    <w:div w:id="938410621">
      <w:bodyDiv w:val="1"/>
      <w:marLeft w:val="0"/>
      <w:marRight w:val="0"/>
      <w:marTop w:val="0"/>
      <w:marBottom w:val="0"/>
      <w:divBdr>
        <w:top w:val="none" w:sz="0" w:space="0" w:color="auto"/>
        <w:left w:val="none" w:sz="0" w:space="0" w:color="auto"/>
        <w:bottom w:val="none" w:sz="0" w:space="0" w:color="auto"/>
        <w:right w:val="none" w:sz="0" w:space="0" w:color="auto"/>
      </w:divBdr>
    </w:div>
    <w:div w:id="938415780">
      <w:bodyDiv w:val="1"/>
      <w:marLeft w:val="0"/>
      <w:marRight w:val="0"/>
      <w:marTop w:val="0"/>
      <w:marBottom w:val="0"/>
      <w:divBdr>
        <w:top w:val="none" w:sz="0" w:space="0" w:color="auto"/>
        <w:left w:val="none" w:sz="0" w:space="0" w:color="auto"/>
        <w:bottom w:val="none" w:sz="0" w:space="0" w:color="auto"/>
        <w:right w:val="none" w:sz="0" w:space="0" w:color="auto"/>
      </w:divBdr>
    </w:div>
    <w:div w:id="938487690">
      <w:bodyDiv w:val="1"/>
      <w:marLeft w:val="0"/>
      <w:marRight w:val="0"/>
      <w:marTop w:val="0"/>
      <w:marBottom w:val="0"/>
      <w:divBdr>
        <w:top w:val="none" w:sz="0" w:space="0" w:color="auto"/>
        <w:left w:val="none" w:sz="0" w:space="0" w:color="auto"/>
        <w:bottom w:val="none" w:sz="0" w:space="0" w:color="auto"/>
        <w:right w:val="none" w:sz="0" w:space="0" w:color="auto"/>
      </w:divBdr>
    </w:div>
    <w:div w:id="938487990">
      <w:bodyDiv w:val="1"/>
      <w:marLeft w:val="0"/>
      <w:marRight w:val="0"/>
      <w:marTop w:val="0"/>
      <w:marBottom w:val="0"/>
      <w:divBdr>
        <w:top w:val="none" w:sz="0" w:space="0" w:color="auto"/>
        <w:left w:val="none" w:sz="0" w:space="0" w:color="auto"/>
        <w:bottom w:val="none" w:sz="0" w:space="0" w:color="auto"/>
        <w:right w:val="none" w:sz="0" w:space="0" w:color="auto"/>
      </w:divBdr>
    </w:div>
    <w:div w:id="938608916">
      <w:bodyDiv w:val="1"/>
      <w:marLeft w:val="0"/>
      <w:marRight w:val="0"/>
      <w:marTop w:val="0"/>
      <w:marBottom w:val="0"/>
      <w:divBdr>
        <w:top w:val="none" w:sz="0" w:space="0" w:color="auto"/>
        <w:left w:val="none" w:sz="0" w:space="0" w:color="auto"/>
        <w:bottom w:val="none" w:sz="0" w:space="0" w:color="auto"/>
        <w:right w:val="none" w:sz="0" w:space="0" w:color="auto"/>
      </w:divBdr>
    </w:div>
    <w:div w:id="938682887">
      <w:bodyDiv w:val="1"/>
      <w:marLeft w:val="0"/>
      <w:marRight w:val="0"/>
      <w:marTop w:val="0"/>
      <w:marBottom w:val="0"/>
      <w:divBdr>
        <w:top w:val="none" w:sz="0" w:space="0" w:color="auto"/>
        <w:left w:val="none" w:sz="0" w:space="0" w:color="auto"/>
        <w:bottom w:val="none" w:sz="0" w:space="0" w:color="auto"/>
        <w:right w:val="none" w:sz="0" w:space="0" w:color="auto"/>
      </w:divBdr>
    </w:div>
    <w:div w:id="938685922">
      <w:bodyDiv w:val="1"/>
      <w:marLeft w:val="0"/>
      <w:marRight w:val="0"/>
      <w:marTop w:val="0"/>
      <w:marBottom w:val="0"/>
      <w:divBdr>
        <w:top w:val="none" w:sz="0" w:space="0" w:color="auto"/>
        <w:left w:val="none" w:sz="0" w:space="0" w:color="auto"/>
        <w:bottom w:val="none" w:sz="0" w:space="0" w:color="auto"/>
        <w:right w:val="none" w:sz="0" w:space="0" w:color="auto"/>
      </w:divBdr>
    </w:div>
    <w:div w:id="938756042">
      <w:bodyDiv w:val="1"/>
      <w:marLeft w:val="0"/>
      <w:marRight w:val="0"/>
      <w:marTop w:val="0"/>
      <w:marBottom w:val="0"/>
      <w:divBdr>
        <w:top w:val="none" w:sz="0" w:space="0" w:color="auto"/>
        <w:left w:val="none" w:sz="0" w:space="0" w:color="auto"/>
        <w:bottom w:val="none" w:sz="0" w:space="0" w:color="auto"/>
        <w:right w:val="none" w:sz="0" w:space="0" w:color="auto"/>
      </w:divBdr>
    </w:div>
    <w:div w:id="939024781">
      <w:bodyDiv w:val="1"/>
      <w:marLeft w:val="0"/>
      <w:marRight w:val="0"/>
      <w:marTop w:val="0"/>
      <w:marBottom w:val="0"/>
      <w:divBdr>
        <w:top w:val="none" w:sz="0" w:space="0" w:color="auto"/>
        <w:left w:val="none" w:sz="0" w:space="0" w:color="auto"/>
        <w:bottom w:val="none" w:sz="0" w:space="0" w:color="auto"/>
        <w:right w:val="none" w:sz="0" w:space="0" w:color="auto"/>
      </w:divBdr>
    </w:div>
    <w:div w:id="939096050">
      <w:bodyDiv w:val="1"/>
      <w:marLeft w:val="0"/>
      <w:marRight w:val="0"/>
      <w:marTop w:val="0"/>
      <w:marBottom w:val="0"/>
      <w:divBdr>
        <w:top w:val="none" w:sz="0" w:space="0" w:color="auto"/>
        <w:left w:val="none" w:sz="0" w:space="0" w:color="auto"/>
        <w:bottom w:val="none" w:sz="0" w:space="0" w:color="auto"/>
        <w:right w:val="none" w:sz="0" w:space="0" w:color="auto"/>
      </w:divBdr>
    </w:div>
    <w:div w:id="939289318">
      <w:bodyDiv w:val="1"/>
      <w:marLeft w:val="0"/>
      <w:marRight w:val="0"/>
      <w:marTop w:val="0"/>
      <w:marBottom w:val="0"/>
      <w:divBdr>
        <w:top w:val="none" w:sz="0" w:space="0" w:color="auto"/>
        <w:left w:val="none" w:sz="0" w:space="0" w:color="auto"/>
        <w:bottom w:val="none" w:sz="0" w:space="0" w:color="auto"/>
        <w:right w:val="none" w:sz="0" w:space="0" w:color="auto"/>
      </w:divBdr>
    </w:div>
    <w:div w:id="939291677">
      <w:bodyDiv w:val="1"/>
      <w:marLeft w:val="0"/>
      <w:marRight w:val="0"/>
      <w:marTop w:val="0"/>
      <w:marBottom w:val="0"/>
      <w:divBdr>
        <w:top w:val="none" w:sz="0" w:space="0" w:color="auto"/>
        <w:left w:val="none" w:sz="0" w:space="0" w:color="auto"/>
        <w:bottom w:val="none" w:sz="0" w:space="0" w:color="auto"/>
        <w:right w:val="none" w:sz="0" w:space="0" w:color="auto"/>
      </w:divBdr>
    </w:div>
    <w:div w:id="939414344">
      <w:bodyDiv w:val="1"/>
      <w:marLeft w:val="0"/>
      <w:marRight w:val="0"/>
      <w:marTop w:val="0"/>
      <w:marBottom w:val="0"/>
      <w:divBdr>
        <w:top w:val="none" w:sz="0" w:space="0" w:color="auto"/>
        <w:left w:val="none" w:sz="0" w:space="0" w:color="auto"/>
        <w:bottom w:val="none" w:sz="0" w:space="0" w:color="auto"/>
        <w:right w:val="none" w:sz="0" w:space="0" w:color="auto"/>
      </w:divBdr>
    </w:div>
    <w:div w:id="939414905">
      <w:bodyDiv w:val="1"/>
      <w:marLeft w:val="0"/>
      <w:marRight w:val="0"/>
      <w:marTop w:val="0"/>
      <w:marBottom w:val="0"/>
      <w:divBdr>
        <w:top w:val="none" w:sz="0" w:space="0" w:color="auto"/>
        <w:left w:val="none" w:sz="0" w:space="0" w:color="auto"/>
        <w:bottom w:val="none" w:sz="0" w:space="0" w:color="auto"/>
        <w:right w:val="none" w:sz="0" w:space="0" w:color="auto"/>
      </w:divBdr>
    </w:div>
    <w:div w:id="939528064">
      <w:bodyDiv w:val="1"/>
      <w:marLeft w:val="0"/>
      <w:marRight w:val="0"/>
      <w:marTop w:val="0"/>
      <w:marBottom w:val="0"/>
      <w:divBdr>
        <w:top w:val="none" w:sz="0" w:space="0" w:color="auto"/>
        <w:left w:val="none" w:sz="0" w:space="0" w:color="auto"/>
        <w:bottom w:val="none" w:sz="0" w:space="0" w:color="auto"/>
        <w:right w:val="none" w:sz="0" w:space="0" w:color="auto"/>
      </w:divBdr>
    </w:div>
    <w:div w:id="939603871">
      <w:bodyDiv w:val="1"/>
      <w:marLeft w:val="0"/>
      <w:marRight w:val="0"/>
      <w:marTop w:val="0"/>
      <w:marBottom w:val="0"/>
      <w:divBdr>
        <w:top w:val="none" w:sz="0" w:space="0" w:color="auto"/>
        <w:left w:val="none" w:sz="0" w:space="0" w:color="auto"/>
        <w:bottom w:val="none" w:sz="0" w:space="0" w:color="auto"/>
        <w:right w:val="none" w:sz="0" w:space="0" w:color="auto"/>
      </w:divBdr>
    </w:div>
    <w:div w:id="939607279">
      <w:bodyDiv w:val="1"/>
      <w:marLeft w:val="0"/>
      <w:marRight w:val="0"/>
      <w:marTop w:val="0"/>
      <w:marBottom w:val="0"/>
      <w:divBdr>
        <w:top w:val="none" w:sz="0" w:space="0" w:color="auto"/>
        <w:left w:val="none" w:sz="0" w:space="0" w:color="auto"/>
        <w:bottom w:val="none" w:sz="0" w:space="0" w:color="auto"/>
        <w:right w:val="none" w:sz="0" w:space="0" w:color="auto"/>
      </w:divBdr>
    </w:div>
    <w:div w:id="939727317">
      <w:bodyDiv w:val="1"/>
      <w:marLeft w:val="0"/>
      <w:marRight w:val="0"/>
      <w:marTop w:val="0"/>
      <w:marBottom w:val="0"/>
      <w:divBdr>
        <w:top w:val="none" w:sz="0" w:space="0" w:color="auto"/>
        <w:left w:val="none" w:sz="0" w:space="0" w:color="auto"/>
        <w:bottom w:val="none" w:sz="0" w:space="0" w:color="auto"/>
        <w:right w:val="none" w:sz="0" w:space="0" w:color="auto"/>
      </w:divBdr>
    </w:div>
    <w:div w:id="939795229">
      <w:bodyDiv w:val="1"/>
      <w:marLeft w:val="0"/>
      <w:marRight w:val="0"/>
      <w:marTop w:val="0"/>
      <w:marBottom w:val="0"/>
      <w:divBdr>
        <w:top w:val="none" w:sz="0" w:space="0" w:color="auto"/>
        <w:left w:val="none" w:sz="0" w:space="0" w:color="auto"/>
        <w:bottom w:val="none" w:sz="0" w:space="0" w:color="auto"/>
        <w:right w:val="none" w:sz="0" w:space="0" w:color="auto"/>
      </w:divBdr>
    </w:div>
    <w:div w:id="939797383">
      <w:bodyDiv w:val="1"/>
      <w:marLeft w:val="0"/>
      <w:marRight w:val="0"/>
      <w:marTop w:val="0"/>
      <w:marBottom w:val="0"/>
      <w:divBdr>
        <w:top w:val="none" w:sz="0" w:space="0" w:color="auto"/>
        <w:left w:val="none" w:sz="0" w:space="0" w:color="auto"/>
        <w:bottom w:val="none" w:sz="0" w:space="0" w:color="auto"/>
        <w:right w:val="none" w:sz="0" w:space="0" w:color="auto"/>
      </w:divBdr>
    </w:div>
    <w:div w:id="939920304">
      <w:bodyDiv w:val="1"/>
      <w:marLeft w:val="0"/>
      <w:marRight w:val="0"/>
      <w:marTop w:val="0"/>
      <w:marBottom w:val="0"/>
      <w:divBdr>
        <w:top w:val="none" w:sz="0" w:space="0" w:color="auto"/>
        <w:left w:val="none" w:sz="0" w:space="0" w:color="auto"/>
        <w:bottom w:val="none" w:sz="0" w:space="0" w:color="auto"/>
        <w:right w:val="none" w:sz="0" w:space="0" w:color="auto"/>
      </w:divBdr>
    </w:div>
    <w:div w:id="940067800">
      <w:bodyDiv w:val="1"/>
      <w:marLeft w:val="0"/>
      <w:marRight w:val="0"/>
      <w:marTop w:val="0"/>
      <w:marBottom w:val="0"/>
      <w:divBdr>
        <w:top w:val="none" w:sz="0" w:space="0" w:color="auto"/>
        <w:left w:val="none" w:sz="0" w:space="0" w:color="auto"/>
        <w:bottom w:val="none" w:sz="0" w:space="0" w:color="auto"/>
        <w:right w:val="none" w:sz="0" w:space="0" w:color="auto"/>
      </w:divBdr>
    </w:div>
    <w:div w:id="940143844">
      <w:bodyDiv w:val="1"/>
      <w:marLeft w:val="0"/>
      <w:marRight w:val="0"/>
      <w:marTop w:val="0"/>
      <w:marBottom w:val="0"/>
      <w:divBdr>
        <w:top w:val="none" w:sz="0" w:space="0" w:color="auto"/>
        <w:left w:val="none" w:sz="0" w:space="0" w:color="auto"/>
        <w:bottom w:val="none" w:sz="0" w:space="0" w:color="auto"/>
        <w:right w:val="none" w:sz="0" w:space="0" w:color="auto"/>
      </w:divBdr>
    </w:div>
    <w:div w:id="940335892">
      <w:bodyDiv w:val="1"/>
      <w:marLeft w:val="0"/>
      <w:marRight w:val="0"/>
      <w:marTop w:val="0"/>
      <w:marBottom w:val="0"/>
      <w:divBdr>
        <w:top w:val="none" w:sz="0" w:space="0" w:color="auto"/>
        <w:left w:val="none" w:sz="0" w:space="0" w:color="auto"/>
        <w:bottom w:val="none" w:sz="0" w:space="0" w:color="auto"/>
        <w:right w:val="none" w:sz="0" w:space="0" w:color="auto"/>
      </w:divBdr>
    </w:div>
    <w:div w:id="940336880">
      <w:bodyDiv w:val="1"/>
      <w:marLeft w:val="0"/>
      <w:marRight w:val="0"/>
      <w:marTop w:val="0"/>
      <w:marBottom w:val="0"/>
      <w:divBdr>
        <w:top w:val="none" w:sz="0" w:space="0" w:color="auto"/>
        <w:left w:val="none" w:sz="0" w:space="0" w:color="auto"/>
        <w:bottom w:val="none" w:sz="0" w:space="0" w:color="auto"/>
        <w:right w:val="none" w:sz="0" w:space="0" w:color="auto"/>
      </w:divBdr>
    </w:div>
    <w:div w:id="940376272">
      <w:bodyDiv w:val="1"/>
      <w:marLeft w:val="0"/>
      <w:marRight w:val="0"/>
      <w:marTop w:val="0"/>
      <w:marBottom w:val="0"/>
      <w:divBdr>
        <w:top w:val="none" w:sz="0" w:space="0" w:color="auto"/>
        <w:left w:val="none" w:sz="0" w:space="0" w:color="auto"/>
        <w:bottom w:val="none" w:sz="0" w:space="0" w:color="auto"/>
        <w:right w:val="none" w:sz="0" w:space="0" w:color="auto"/>
      </w:divBdr>
    </w:div>
    <w:div w:id="940377696">
      <w:bodyDiv w:val="1"/>
      <w:marLeft w:val="0"/>
      <w:marRight w:val="0"/>
      <w:marTop w:val="0"/>
      <w:marBottom w:val="0"/>
      <w:divBdr>
        <w:top w:val="none" w:sz="0" w:space="0" w:color="auto"/>
        <w:left w:val="none" w:sz="0" w:space="0" w:color="auto"/>
        <w:bottom w:val="none" w:sz="0" w:space="0" w:color="auto"/>
        <w:right w:val="none" w:sz="0" w:space="0" w:color="auto"/>
      </w:divBdr>
    </w:div>
    <w:div w:id="940647973">
      <w:bodyDiv w:val="1"/>
      <w:marLeft w:val="0"/>
      <w:marRight w:val="0"/>
      <w:marTop w:val="0"/>
      <w:marBottom w:val="0"/>
      <w:divBdr>
        <w:top w:val="none" w:sz="0" w:space="0" w:color="auto"/>
        <w:left w:val="none" w:sz="0" w:space="0" w:color="auto"/>
        <w:bottom w:val="none" w:sz="0" w:space="0" w:color="auto"/>
        <w:right w:val="none" w:sz="0" w:space="0" w:color="auto"/>
      </w:divBdr>
    </w:div>
    <w:div w:id="940721258">
      <w:bodyDiv w:val="1"/>
      <w:marLeft w:val="0"/>
      <w:marRight w:val="0"/>
      <w:marTop w:val="0"/>
      <w:marBottom w:val="0"/>
      <w:divBdr>
        <w:top w:val="none" w:sz="0" w:space="0" w:color="auto"/>
        <w:left w:val="none" w:sz="0" w:space="0" w:color="auto"/>
        <w:bottom w:val="none" w:sz="0" w:space="0" w:color="auto"/>
        <w:right w:val="none" w:sz="0" w:space="0" w:color="auto"/>
      </w:divBdr>
    </w:div>
    <w:div w:id="940725437">
      <w:bodyDiv w:val="1"/>
      <w:marLeft w:val="0"/>
      <w:marRight w:val="0"/>
      <w:marTop w:val="0"/>
      <w:marBottom w:val="0"/>
      <w:divBdr>
        <w:top w:val="none" w:sz="0" w:space="0" w:color="auto"/>
        <w:left w:val="none" w:sz="0" w:space="0" w:color="auto"/>
        <w:bottom w:val="none" w:sz="0" w:space="0" w:color="auto"/>
        <w:right w:val="none" w:sz="0" w:space="0" w:color="auto"/>
      </w:divBdr>
    </w:div>
    <w:div w:id="940800395">
      <w:bodyDiv w:val="1"/>
      <w:marLeft w:val="0"/>
      <w:marRight w:val="0"/>
      <w:marTop w:val="0"/>
      <w:marBottom w:val="0"/>
      <w:divBdr>
        <w:top w:val="none" w:sz="0" w:space="0" w:color="auto"/>
        <w:left w:val="none" w:sz="0" w:space="0" w:color="auto"/>
        <w:bottom w:val="none" w:sz="0" w:space="0" w:color="auto"/>
        <w:right w:val="none" w:sz="0" w:space="0" w:color="auto"/>
      </w:divBdr>
    </w:div>
    <w:div w:id="940843843">
      <w:bodyDiv w:val="1"/>
      <w:marLeft w:val="0"/>
      <w:marRight w:val="0"/>
      <w:marTop w:val="0"/>
      <w:marBottom w:val="0"/>
      <w:divBdr>
        <w:top w:val="none" w:sz="0" w:space="0" w:color="auto"/>
        <w:left w:val="none" w:sz="0" w:space="0" w:color="auto"/>
        <w:bottom w:val="none" w:sz="0" w:space="0" w:color="auto"/>
        <w:right w:val="none" w:sz="0" w:space="0" w:color="auto"/>
      </w:divBdr>
    </w:div>
    <w:div w:id="940844003">
      <w:bodyDiv w:val="1"/>
      <w:marLeft w:val="0"/>
      <w:marRight w:val="0"/>
      <w:marTop w:val="0"/>
      <w:marBottom w:val="0"/>
      <w:divBdr>
        <w:top w:val="none" w:sz="0" w:space="0" w:color="auto"/>
        <w:left w:val="none" w:sz="0" w:space="0" w:color="auto"/>
        <w:bottom w:val="none" w:sz="0" w:space="0" w:color="auto"/>
        <w:right w:val="none" w:sz="0" w:space="0" w:color="auto"/>
      </w:divBdr>
    </w:div>
    <w:div w:id="940916836">
      <w:bodyDiv w:val="1"/>
      <w:marLeft w:val="0"/>
      <w:marRight w:val="0"/>
      <w:marTop w:val="0"/>
      <w:marBottom w:val="0"/>
      <w:divBdr>
        <w:top w:val="none" w:sz="0" w:space="0" w:color="auto"/>
        <w:left w:val="none" w:sz="0" w:space="0" w:color="auto"/>
        <w:bottom w:val="none" w:sz="0" w:space="0" w:color="auto"/>
        <w:right w:val="none" w:sz="0" w:space="0" w:color="auto"/>
      </w:divBdr>
    </w:div>
    <w:div w:id="940917195">
      <w:bodyDiv w:val="1"/>
      <w:marLeft w:val="0"/>
      <w:marRight w:val="0"/>
      <w:marTop w:val="0"/>
      <w:marBottom w:val="0"/>
      <w:divBdr>
        <w:top w:val="none" w:sz="0" w:space="0" w:color="auto"/>
        <w:left w:val="none" w:sz="0" w:space="0" w:color="auto"/>
        <w:bottom w:val="none" w:sz="0" w:space="0" w:color="auto"/>
        <w:right w:val="none" w:sz="0" w:space="0" w:color="auto"/>
      </w:divBdr>
    </w:div>
    <w:div w:id="940986867">
      <w:bodyDiv w:val="1"/>
      <w:marLeft w:val="0"/>
      <w:marRight w:val="0"/>
      <w:marTop w:val="0"/>
      <w:marBottom w:val="0"/>
      <w:divBdr>
        <w:top w:val="none" w:sz="0" w:space="0" w:color="auto"/>
        <w:left w:val="none" w:sz="0" w:space="0" w:color="auto"/>
        <w:bottom w:val="none" w:sz="0" w:space="0" w:color="auto"/>
        <w:right w:val="none" w:sz="0" w:space="0" w:color="auto"/>
      </w:divBdr>
    </w:div>
    <w:div w:id="941063333">
      <w:bodyDiv w:val="1"/>
      <w:marLeft w:val="0"/>
      <w:marRight w:val="0"/>
      <w:marTop w:val="0"/>
      <w:marBottom w:val="0"/>
      <w:divBdr>
        <w:top w:val="none" w:sz="0" w:space="0" w:color="auto"/>
        <w:left w:val="none" w:sz="0" w:space="0" w:color="auto"/>
        <w:bottom w:val="none" w:sz="0" w:space="0" w:color="auto"/>
        <w:right w:val="none" w:sz="0" w:space="0" w:color="auto"/>
      </w:divBdr>
    </w:div>
    <w:div w:id="941106991">
      <w:bodyDiv w:val="1"/>
      <w:marLeft w:val="0"/>
      <w:marRight w:val="0"/>
      <w:marTop w:val="0"/>
      <w:marBottom w:val="0"/>
      <w:divBdr>
        <w:top w:val="none" w:sz="0" w:space="0" w:color="auto"/>
        <w:left w:val="none" w:sz="0" w:space="0" w:color="auto"/>
        <w:bottom w:val="none" w:sz="0" w:space="0" w:color="auto"/>
        <w:right w:val="none" w:sz="0" w:space="0" w:color="auto"/>
      </w:divBdr>
    </w:div>
    <w:div w:id="941186797">
      <w:bodyDiv w:val="1"/>
      <w:marLeft w:val="0"/>
      <w:marRight w:val="0"/>
      <w:marTop w:val="0"/>
      <w:marBottom w:val="0"/>
      <w:divBdr>
        <w:top w:val="none" w:sz="0" w:space="0" w:color="auto"/>
        <w:left w:val="none" w:sz="0" w:space="0" w:color="auto"/>
        <w:bottom w:val="none" w:sz="0" w:space="0" w:color="auto"/>
        <w:right w:val="none" w:sz="0" w:space="0" w:color="auto"/>
      </w:divBdr>
    </w:div>
    <w:div w:id="941228208">
      <w:bodyDiv w:val="1"/>
      <w:marLeft w:val="0"/>
      <w:marRight w:val="0"/>
      <w:marTop w:val="0"/>
      <w:marBottom w:val="0"/>
      <w:divBdr>
        <w:top w:val="none" w:sz="0" w:space="0" w:color="auto"/>
        <w:left w:val="none" w:sz="0" w:space="0" w:color="auto"/>
        <w:bottom w:val="none" w:sz="0" w:space="0" w:color="auto"/>
        <w:right w:val="none" w:sz="0" w:space="0" w:color="auto"/>
      </w:divBdr>
    </w:div>
    <w:div w:id="941255057">
      <w:bodyDiv w:val="1"/>
      <w:marLeft w:val="0"/>
      <w:marRight w:val="0"/>
      <w:marTop w:val="0"/>
      <w:marBottom w:val="0"/>
      <w:divBdr>
        <w:top w:val="none" w:sz="0" w:space="0" w:color="auto"/>
        <w:left w:val="none" w:sz="0" w:space="0" w:color="auto"/>
        <w:bottom w:val="none" w:sz="0" w:space="0" w:color="auto"/>
        <w:right w:val="none" w:sz="0" w:space="0" w:color="auto"/>
      </w:divBdr>
    </w:div>
    <w:div w:id="941257944">
      <w:bodyDiv w:val="1"/>
      <w:marLeft w:val="0"/>
      <w:marRight w:val="0"/>
      <w:marTop w:val="0"/>
      <w:marBottom w:val="0"/>
      <w:divBdr>
        <w:top w:val="none" w:sz="0" w:space="0" w:color="auto"/>
        <w:left w:val="none" w:sz="0" w:space="0" w:color="auto"/>
        <w:bottom w:val="none" w:sz="0" w:space="0" w:color="auto"/>
        <w:right w:val="none" w:sz="0" w:space="0" w:color="auto"/>
      </w:divBdr>
    </w:div>
    <w:div w:id="941259548">
      <w:bodyDiv w:val="1"/>
      <w:marLeft w:val="0"/>
      <w:marRight w:val="0"/>
      <w:marTop w:val="0"/>
      <w:marBottom w:val="0"/>
      <w:divBdr>
        <w:top w:val="none" w:sz="0" w:space="0" w:color="auto"/>
        <w:left w:val="none" w:sz="0" w:space="0" w:color="auto"/>
        <w:bottom w:val="none" w:sz="0" w:space="0" w:color="auto"/>
        <w:right w:val="none" w:sz="0" w:space="0" w:color="auto"/>
      </w:divBdr>
    </w:div>
    <w:div w:id="941302271">
      <w:bodyDiv w:val="1"/>
      <w:marLeft w:val="0"/>
      <w:marRight w:val="0"/>
      <w:marTop w:val="0"/>
      <w:marBottom w:val="0"/>
      <w:divBdr>
        <w:top w:val="none" w:sz="0" w:space="0" w:color="auto"/>
        <w:left w:val="none" w:sz="0" w:space="0" w:color="auto"/>
        <w:bottom w:val="none" w:sz="0" w:space="0" w:color="auto"/>
        <w:right w:val="none" w:sz="0" w:space="0" w:color="auto"/>
      </w:divBdr>
    </w:div>
    <w:div w:id="941302704">
      <w:bodyDiv w:val="1"/>
      <w:marLeft w:val="0"/>
      <w:marRight w:val="0"/>
      <w:marTop w:val="0"/>
      <w:marBottom w:val="0"/>
      <w:divBdr>
        <w:top w:val="none" w:sz="0" w:space="0" w:color="auto"/>
        <w:left w:val="none" w:sz="0" w:space="0" w:color="auto"/>
        <w:bottom w:val="none" w:sz="0" w:space="0" w:color="auto"/>
        <w:right w:val="none" w:sz="0" w:space="0" w:color="auto"/>
      </w:divBdr>
    </w:div>
    <w:div w:id="941305190">
      <w:bodyDiv w:val="1"/>
      <w:marLeft w:val="0"/>
      <w:marRight w:val="0"/>
      <w:marTop w:val="0"/>
      <w:marBottom w:val="0"/>
      <w:divBdr>
        <w:top w:val="none" w:sz="0" w:space="0" w:color="auto"/>
        <w:left w:val="none" w:sz="0" w:space="0" w:color="auto"/>
        <w:bottom w:val="none" w:sz="0" w:space="0" w:color="auto"/>
        <w:right w:val="none" w:sz="0" w:space="0" w:color="auto"/>
      </w:divBdr>
    </w:div>
    <w:div w:id="941373021">
      <w:bodyDiv w:val="1"/>
      <w:marLeft w:val="0"/>
      <w:marRight w:val="0"/>
      <w:marTop w:val="0"/>
      <w:marBottom w:val="0"/>
      <w:divBdr>
        <w:top w:val="none" w:sz="0" w:space="0" w:color="auto"/>
        <w:left w:val="none" w:sz="0" w:space="0" w:color="auto"/>
        <w:bottom w:val="none" w:sz="0" w:space="0" w:color="auto"/>
        <w:right w:val="none" w:sz="0" w:space="0" w:color="auto"/>
      </w:divBdr>
    </w:div>
    <w:div w:id="941377121">
      <w:bodyDiv w:val="1"/>
      <w:marLeft w:val="0"/>
      <w:marRight w:val="0"/>
      <w:marTop w:val="0"/>
      <w:marBottom w:val="0"/>
      <w:divBdr>
        <w:top w:val="none" w:sz="0" w:space="0" w:color="auto"/>
        <w:left w:val="none" w:sz="0" w:space="0" w:color="auto"/>
        <w:bottom w:val="none" w:sz="0" w:space="0" w:color="auto"/>
        <w:right w:val="none" w:sz="0" w:space="0" w:color="auto"/>
      </w:divBdr>
    </w:div>
    <w:div w:id="941378351">
      <w:bodyDiv w:val="1"/>
      <w:marLeft w:val="0"/>
      <w:marRight w:val="0"/>
      <w:marTop w:val="0"/>
      <w:marBottom w:val="0"/>
      <w:divBdr>
        <w:top w:val="none" w:sz="0" w:space="0" w:color="auto"/>
        <w:left w:val="none" w:sz="0" w:space="0" w:color="auto"/>
        <w:bottom w:val="none" w:sz="0" w:space="0" w:color="auto"/>
        <w:right w:val="none" w:sz="0" w:space="0" w:color="auto"/>
      </w:divBdr>
    </w:div>
    <w:div w:id="941380222">
      <w:bodyDiv w:val="1"/>
      <w:marLeft w:val="0"/>
      <w:marRight w:val="0"/>
      <w:marTop w:val="0"/>
      <w:marBottom w:val="0"/>
      <w:divBdr>
        <w:top w:val="none" w:sz="0" w:space="0" w:color="auto"/>
        <w:left w:val="none" w:sz="0" w:space="0" w:color="auto"/>
        <w:bottom w:val="none" w:sz="0" w:space="0" w:color="auto"/>
        <w:right w:val="none" w:sz="0" w:space="0" w:color="auto"/>
      </w:divBdr>
    </w:div>
    <w:div w:id="941455874">
      <w:bodyDiv w:val="1"/>
      <w:marLeft w:val="0"/>
      <w:marRight w:val="0"/>
      <w:marTop w:val="0"/>
      <w:marBottom w:val="0"/>
      <w:divBdr>
        <w:top w:val="none" w:sz="0" w:space="0" w:color="auto"/>
        <w:left w:val="none" w:sz="0" w:space="0" w:color="auto"/>
        <w:bottom w:val="none" w:sz="0" w:space="0" w:color="auto"/>
        <w:right w:val="none" w:sz="0" w:space="0" w:color="auto"/>
      </w:divBdr>
    </w:div>
    <w:div w:id="941457396">
      <w:bodyDiv w:val="1"/>
      <w:marLeft w:val="0"/>
      <w:marRight w:val="0"/>
      <w:marTop w:val="0"/>
      <w:marBottom w:val="0"/>
      <w:divBdr>
        <w:top w:val="none" w:sz="0" w:space="0" w:color="auto"/>
        <w:left w:val="none" w:sz="0" w:space="0" w:color="auto"/>
        <w:bottom w:val="none" w:sz="0" w:space="0" w:color="auto"/>
        <w:right w:val="none" w:sz="0" w:space="0" w:color="auto"/>
      </w:divBdr>
    </w:div>
    <w:div w:id="941495857">
      <w:bodyDiv w:val="1"/>
      <w:marLeft w:val="0"/>
      <w:marRight w:val="0"/>
      <w:marTop w:val="0"/>
      <w:marBottom w:val="0"/>
      <w:divBdr>
        <w:top w:val="none" w:sz="0" w:space="0" w:color="auto"/>
        <w:left w:val="none" w:sz="0" w:space="0" w:color="auto"/>
        <w:bottom w:val="none" w:sz="0" w:space="0" w:color="auto"/>
        <w:right w:val="none" w:sz="0" w:space="0" w:color="auto"/>
      </w:divBdr>
    </w:div>
    <w:div w:id="941575360">
      <w:bodyDiv w:val="1"/>
      <w:marLeft w:val="0"/>
      <w:marRight w:val="0"/>
      <w:marTop w:val="0"/>
      <w:marBottom w:val="0"/>
      <w:divBdr>
        <w:top w:val="none" w:sz="0" w:space="0" w:color="auto"/>
        <w:left w:val="none" w:sz="0" w:space="0" w:color="auto"/>
        <w:bottom w:val="none" w:sz="0" w:space="0" w:color="auto"/>
        <w:right w:val="none" w:sz="0" w:space="0" w:color="auto"/>
      </w:divBdr>
    </w:div>
    <w:div w:id="941646895">
      <w:bodyDiv w:val="1"/>
      <w:marLeft w:val="0"/>
      <w:marRight w:val="0"/>
      <w:marTop w:val="0"/>
      <w:marBottom w:val="0"/>
      <w:divBdr>
        <w:top w:val="none" w:sz="0" w:space="0" w:color="auto"/>
        <w:left w:val="none" w:sz="0" w:space="0" w:color="auto"/>
        <w:bottom w:val="none" w:sz="0" w:space="0" w:color="auto"/>
        <w:right w:val="none" w:sz="0" w:space="0" w:color="auto"/>
      </w:divBdr>
    </w:div>
    <w:div w:id="941650753">
      <w:bodyDiv w:val="1"/>
      <w:marLeft w:val="0"/>
      <w:marRight w:val="0"/>
      <w:marTop w:val="0"/>
      <w:marBottom w:val="0"/>
      <w:divBdr>
        <w:top w:val="none" w:sz="0" w:space="0" w:color="auto"/>
        <w:left w:val="none" w:sz="0" w:space="0" w:color="auto"/>
        <w:bottom w:val="none" w:sz="0" w:space="0" w:color="auto"/>
        <w:right w:val="none" w:sz="0" w:space="0" w:color="auto"/>
      </w:divBdr>
    </w:div>
    <w:div w:id="941651185">
      <w:bodyDiv w:val="1"/>
      <w:marLeft w:val="0"/>
      <w:marRight w:val="0"/>
      <w:marTop w:val="0"/>
      <w:marBottom w:val="0"/>
      <w:divBdr>
        <w:top w:val="none" w:sz="0" w:space="0" w:color="auto"/>
        <w:left w:val="none" w:sz="0" w:space="0" w:color="auto"/>
        <w:bottom w:val="none" w:sz="0" w:space="0" w:color="auto"/>
        <w:right w:val="none" w:sz="0" w:space="0" w:color="auto"/>
      </w:divBdr>
    </w:div>
    <w:div w:id="941693472">
      <w:bodyDiv w:val="1"/>
      <w:marLeft w:val="0"/>
      <w:marRight w:val="0"/>
      <w:marTop w:val="0"/>
      <w:marBottom w:val="0"/>
      <w:divBdr>
        <w:top w:val="none" w:sz="0" w:space="0" w:color="auto"/>
        <w:left w:val="none" w:sz="0" w:space="0" w:color="auto"/>
        <w:bottom w:val="none" w:sz="0" w:space="0" w:color="auto"/>
        <w:right w:val="none" w:sz="0" w:space="0" w:color="auto"/>
      </w:divBdr>
    </w:div>
    <w:div w:id="941762954">
      <w:bodyDiv w:val="1"/>
      <w:marLeft w:val="0"/>
      <w:marRight w:val="0"/>
      <w:marTop w:val="0"/>
      <w:marBottom w:val="0"/>
      <w:divBdr>
        <w:top w:val="none" w:sz="0" w:space="0" w:color="auto"/>
        <w:left w:val="none" w:sz="0" w:space="0" w:color="auto"/>
        <w:bottom w:val="none" w:sz="0" w:space="0" w:color="auto"/>
        <w:right w:val="none" w:sz="0" w:space="0" w:color="auto"/>
      </w:divBdr>
    </w:div>
    <w:div w:id="941763962">
      <w:bodyDiv w:val="1"/>
      <w:marLeft w:val="0"/>
      <w:marRight w:val="0"/>
      <w:marTop w:val="0"/>
      <w:marBottom w:val="0"/>
      <w:divBdr>
        <w:top w:val="none" w:sz="0" w:space="0" w:color="auto"/>
        <w:left w:val="none" w:sz="0" w:space="0" w:color="auto"/>
        <w:bottom w:val="none" w:sz="0" w:space="0" w:color="auto"/>
        <w:right w:val="none" w:sz="0" w:space="0" w:color="auto"/>
      </w:divBdr>
    </w:div>
    <w:div w:id="941768083">
      <w:bodyDiv w:val="1"/>
      <w:marLeft w:val="0"/>
      <w:marRight w:val="0"/>
      <w:marTop w:val="0"/>
      <w:marBottom w:val="0"/>
      <w:divBdr>
        <w:top w:val="none" w:sz="0" w:space="0" w:color="auto"/>
        <w:left w:val="none" w:sz="0" w:space="0" w:color="auto"/>
        <w:bottom w:val="none" w:sz="0" w:space="0" w:color="auto"/>
        <w:right w:val="none" w:sz="0" w:space="0" w:color="auto"/>
      </w:divBdr>
    </w:div>
    <w:div w:id="942033496">
      <w:bodyDiv w:val="1"/>
      <w:marLeft w:val="0"/>
      <w:marRight w:val="0"/>
      <w:marTop w:val="0"/>
      <w:marBottom w:val="0"/>
      <w:divBdr>
        <w:top w:val="none" w:sz="0" w:space="0" w:color="auto"/>
        <w:left w:val="none" w:sz="0" w:space="0" w:color="auto"/>
        <w:bottom w:val="none" w:sz="0" w:space="0" w:color="auto"/>
        <w:right w:val="none" w:sz="0" w:space="0" w:color="auto"/>
      </w:divBdr>
    </w:div>
    <w:div w:id="942036389">
      <w:bodyDiv w:val="1"/>
      <w:marLeft w:val="0"/>
      <w:marRight w:val="0"/>
      <w:marTop w:val="0"/>
      <w:marBottom w:val="0"/>
      <w:divBdr>
        <w:top w:val="none" w:sz="0" w:space="0" w:color="auto"/>
        <w:left w:val="none" w:sz="0" w:space="0" w:color="auto"/>
        <w:bottom w:val="none" w:sz="0" w:space="0" w:color="auto"/>
        <w:right w:val="none" w:sz="0" w:space="0" w:color="auto"/>
      </w:divBdr>
    </w:div>
    <w:div w:id="942150552">
      <w:bodyDiv w:val="1"/>
      <w:marLeft w:val="0"/>
      <w:marRight w:val="0"/>
      <w:marTop w:val="0"/>
      <w:marBottom w:val="0"/>
      <w:divBdr>
        <w:top w:val="none" w:sz="0" w:space="0" w:color="auto"/>
        <w:left w:val="none" w:sz="0" w:space="0" w:color="auto"/>
        <w:bottom w:val="none" w:sz="0" w:space="0" w:color="auto"/>
        <w:right w:val="none" w:sz="0" w:space="0" w:color="auto"/>
      </w:divBdr>
    </w:div>
    <w:div w:id="942152752">
      <w:bodyDiv w:val="1"/>
      <w:marLeft w:val="0"/>
      <w:marRight w:val="0"/>
      <w:marTop w:val="0"/>
      <w:marBottom w:val="0"/>
      <w:divBdr>
        <w:top w:val="none" w:sz="0" w:space="0" w:color="auto"/>
        <w:left w:val="none" w:sz="0" w:space="0" w:color="auto"/>
        <w:bottom w:val="none" w:sz="0" w:space="0" w:color="auto"/>
        <w:right w:val="none" w:sz="0" w:space="0" w:color="auto"/>
      </w:divBdr>
    </w:div>
    <w:div w:id="942154659">
      <w:bodyDiv w:val="1"/>
      <w:marLeft w:val="0"/>
      <w:marRight w:val="0"/>
      <w:marTop w:val="0"/>
      <w:marBottom w:val="0"/>
      <w:divBdr>
        <w:top w:val="none" w:sz="0" w:space="0" w:color="auto"/>
        <w:left w:val="none" w:sz="0" w:space="0" w:color="auto"/>
        <w:bottom w:val="none" w:sz="0" w:space="0" w:color="auto"/>
        <w:right w:val="none" w:sz="0" w:space="0" w:color="auto"/>
      </w:divBdr>
    </w:div>
    <w:div w:id="942155295">
      <w:bodyDiv w:val="1"/>
      <w:marLeft w:val="0"/>
      <w:marRight w:val="0"/>
      <w:marTop w:val="0"/>
      <w:marBottom w:val="0"/>
      <w:divBdr>
        <w:top w:val="none" w:sz="0" w:space="0" w:color="auto"/>
        <w:left w:val="none" w:sz="0" w:space="0" w:color="auto"/>
        <w:bottom w:val="none" w:sz="0" w:space="0" w:color="auto"/>
        <w:right w:val="none" w:sz="0" w:space="0" w:color="auto"/>
      </w:divBdr>
    </w:div>
    <w:div w:id="942297860">
      <w:bodyDiv w:val="1"/>
      <w:marLeft w:val="0"/>
      <w:marRight w:val="0"/>
      <w:marTop w:val="0"/>
      <w:marBottom w:val="0"/>
      <w:divBdr>
        <w:top w:val="none" w:sz="0" w:space="0" w:color="auto"/>
        <w:left w:val="none" w:sz="0" w:space="0" w:color="auto"/>
        <w:bottom w:val="none" w:sz="0" w:space="0" w:color="auto"/>
        <w:right w:val="none" w:sz="0" w:space="0" w:color="auto"/>
      </w:divBdr>
    </w:div>
    <w:div w:id="942299417">
      <w:bodyDiv w:val="1"/>
      <w:marLeft w:val="0"/>
      <w:marRight w:val="0"/>
      <w:marTop w:val="0"/>
      <w:marBottom w:val="0"/>
      <w:divBdr>
        <w:top w:val="none" w:sz="0" w:space="0" w:color="auto"/>
        <w:left w:val="none" w:sz="0" w:space="0" w:color="auto"/>
        <w:bottom w:val="none" w:sz="0" w:space="0" w:color="auto"/>
        <w:right w:val="none" w:sz="0" w:space="0" w:color="auto"/>
      </w:divBdr>
    </w:div>
    <w:div w:id="942305348">
      <w:bodyDiv w:val="1"/>
      <w:marLeft w:val="0"/>
      <w:marRight w:val="0"/>
      <w:marTop w:val="0"/>
      <w:marBottom w:val="0"/>
      <w:divBdr>
        <w:top w:val="none" w:sz="0" w:space="0" w:color="auto"/>
        <w:left w:val="none" w:sz="0" w:space="0" w:color="auto"/>
        <w:bottom w:val="none" w:sz="0" w:space="0" w:color="auto"/>
        <w:right w:val="none" w:sz="0" w:space="0" w:color="auto"/>
      </w:divBdr>
    </w:div>
    <w:div w:id="942343710">
      <w:bodyDiv w:val="1"/>
      <w:marLeft w:val="0"/>
      <w:marRight w:val="0"/>
      <w:marTop w:val="0"/>
      <w:marBottom w:val="0"/>
      <w:divBdr>
        <w:top w:val="none" w:sz="0" w:space="0" w:color="auto"/>
        <w:left w:val="none" w:sz="0" w:space="0" w:color="auto"/>
        <w:bottom w:val="none" w:sz="0" w:space="0" w:color="auto"/>
        <w:right w:val="none" w:sz="0" w:space="0" w:color="auto"/>
      </w:divBdr>
    </w:div>
    <w:div w:id="942345407">
      <w:bodyDiv w:val="1"/>
      <w:marLeft w:val="0"/>
      <w:marRight w:val="0"/>
      <w:marTop w:val="0"/>
      <w:marBottom w:val="0"/>
      <w:divBdr>
        <w:top w:val="none" w:sz="0" w:space="0" w:color="auto"/>
        <w:left w:val="none" w:sz="0" w:space="0" w:color="auto"/>
        <w:bottom w:val="none" w:sz="0" w:space="0" w:color="auto"/>
        <w:right w:val="none" w:sz="0" w:space="0" w:color="auto"/>
      </w:divBdr>
    </w:div>
    <w:div w:id="942374368">
      <w:bodyDiv w:val="1"/>
      <w:marLeft w:val="0"/>
      <w:marRight w:val="0"/>
      <w:marTop w:val="0"/>
      <w:marBottom w:val="0"/>
      <w:divBdr>
        <w:top w:val="none" w:sz="0" w:space="0" w:color="auto"/>
        <w:left w:val="none" w:sz="0" w:space="0" w:color="auto"/>
        <w:bottom w:val="none" w:sz="0" w:space="0" w:color="auto"/>
        <w:right w:val="none" w:sz="0" w:space="0" w:color="auto"/>
      </w:divBdr>
    </w:div>
    <w:div w:id="942421234">
      <w:bodyDiv w:val="1"/>
      <w:marLeft w:val="0"/>
      <w:marRight w:val="0"/>
      <w:marTop w:val="0"/>
      <w:marBottom w:val="0"/>
      <w:divBdr>
        <w:top w:val="none" w:sz="0" w:space="0" w:color="auto"/>
        <w:left w:val="none" w:sz="0" w:space="0" w:color="auto"/>
        <w:bottom w:val="none" w:sz="0" w:space="0" w:color="auto"/>
        <w:right w:val="none" w:sz="0" w:space="0" w:color="auto"/>
      </w:divBdr>
    </w:div>
    <w:div w:id="942615409">
      <w:bodyDiv w:val="1"/>
      <w:marLeft w:val="0"/>
      <w:marRight w:val="0"/>
      <w:marTop w:val="0"/>
      <w:marBottom w:val="0"/>
      <w:divBdr>
        <w:top w:val="none" w:sz="0" w:space="0" w:color="auto"/>
        <w:left w:val="none" w:sz="0" w:space="0" w:color="auto"/>
        <w:bottom w:val="none" w:sz="0" w:space="0" w:color="auto"/>
        <w:right w:val="none" w:sz="0" w:space="0" w:color="auto"/>
      </w:divBdr>
    </w:div>
    <w:div w:id="942760889">
      <w:bodyDiv w:val="1"/>
      <w:marLeft w:val="0"/>
      <w:marRight w:val="0"/>
      <w:marTop w:val="0"/>
      <w:marBottom w:val="0"/>
      <w:divBdr>
        <w:top w:val="none" w:sz="0" w:space="0" w:color="auto"/>
        <w:left w:val="none" w:sz="0" w:space="0" w:color="auto"/>
        <w:bottom w:val="none" w:sz="0" w:space="0" w:color="auto"/>
        <w:right w:val="none" w:sz="0" w:space="0" w:color="auto"/>
      </w:divBdr>
    </w:div>
    <w:div w:id="942761265">
      <w:bodyDiv w:val="1"/>
      <w:marLeft w:val="0"/>
      <w:marRight w:val="0"/>
      <w:marTop w:val="0"/>
      <w:marBottom w:val="0"/>
      <w:divBdr>
        <w:top w:val="none" w:sz="0" w:space="0" w:color="auto"/>
        <w:left w:val="none" w:sz="0" w:space="0" w:color="auto"/>
        <w:bottom w:val="none" w:sz="0" w:space="0" w:color="auto"/>
        <w:right w:val="none" w:sz="0" w:space="0" w:color="auto"/>
      </w:divBdr>
    </w:div>
    <w:div w:id="942806449">
      <w:bodyDiv w:val="1"/>
      <w:marLeft w:val="0"/>
      <w:marRight w:val="0"/>
      <w:marTop w:val="0"/>
      <w:marBottom w:val="0"/>
      <w:divBdr>
        <w:top w:val="none" w:sz="0" w:space="0" w:color="auto"/>
        <w:left w:val="none" w:sz="0" w:space="0" w:color="auto"/>
        <w:bottom w:val="none" w:sz="0" w:space="0" w:color="auto"/>
        <w:right w:val="none" w:sz="0" w:space="0" w:color="auto"/>
      </w:divBdr>
    </w:div>
    <w:div w:id="943197698">
      <w:bodyDiv w:val="1"/>
      <w:marLeft w:val="0"/>
      <w:marRight w:val="0"/>
      <w:marTop w:val="0"/>
      <w:marBottom w:val="0"/>
      <w:divBdr>
        <w:top w:val="none" w:sz="0" w:space="0" w:color="auto"/>
        <w:left w:val="none" w:sz="0" w:space="0" w:color="auto"/>
        <w:bottom w:val="none" w:sz="0" w:space="0" w:color="auto"/>
        <w:right w:val="none" w:sz="0" w:space="0" w:color="auto"/>
      </w:divBdr>
    </w:div>
    <w:div w:id="943221369">
      <w:bodyDiv w:val="1"/>
      <w:marLeft w:val="0"/>
      <w:marRight w:val="0"/>
      <w:marTop w:val="0"/>
      <w:marBottom w:val="0"/>
      <w:divBdr>
        <w:top w:val="none" w:sz="0" w:space="0" w:color="auto"/>
        <w:left w:val="none" w:sz="0" w:space="0" w:color="auto"/>
        <w:bottom w:val="none" w:sz="0" w:space="0" w:color="auto"/>
        <w:right w:val="none" w:sz="0" w:space="0" w:color="auto"/>
      </w:divBdr>
    </w:div>
    <w:div w:id="943264294">
      <w:bodyDiv w:val="1"/>
      <w:marLeft w:val="0"/>
      <w:marRight w:val="0"/>
      <w:marTop w:val="0"/>
      <w:marBottom w:val="0"/>
      <w:divBdr>
        <w:top w:val="none" w:sz="0" w:space="0" w:color="auto"/>
        <w:left w:val="none" w:sz="0" w:space="0" w:color="auto"/>
        <w:bottom w:val="none" w:sz="0" w:space="0" w:color="auto"/>
        <w:right w:val="none" w:sz="0" w:space="0" w:color="auto"/>
      </w:divBdr>
    </w:div>
    <w:div w:id="943266520">
      <w:bodyDiv w:val="1"/>
      <w:marLeft w:val="0"/>
      <w:marRight w:val="0"/>
      <w:marTop w:val="0"/>
      <w:marBottom w:val="0"/>
      <w:divBdr>
        <w:top w:val="none" w:sz="0" w:space="0" w:color="auto"/>
        <w:left w:val="none" w:sz="0" w:space="0" w:color="auto"/>
        <w:bottom w:val="none" w:sz="0" w:space="0" w:color="auto"/>
        <w:right w:val="none" w:sz="0" w:space="0" w:color="auto"/>
      </w:divBdr>
      <w:divsChild>
        <w:div w:id="3673486">
          <w:marLeft w:val="0"/>
          <w:marRight w:val="0"/>
          <w:marTop w:val="0"/>
          <w:marBottom w:val="0"/>
          <w:divBdr>
            <w:top w:val="none" w:sz="0" w:space="0" w:color="auto"/>
            <w:left w:val="none" w:sz="0" w:space="0" w:color="auto"/>
            <w:bottom w:val="none" w:sz="0" w:space="0" w:color="auto"/>
            <w:right w:val="none" w:sz="0" w:space="0" w:color="auto"/>
          </w:divBdr>
        </w:div>
        <w:div w:id="12802731">
          <w:marLeft w:val="0"/>
          <w:marRight w:val="0"/>
          <w:marTop w:val="0"/>
          <w:marBottom w:val="0"/>
          <w:divBdr>
            <w:top w:val="none" w:sz="0" w:space="0" w:color="auto"/>
            <w:left w:val="none" w:sz="0" w:space="0" w:color="auto"/>
            <w:bottom w:val="none" w:sz="0" w:space="0" w:color="auto"/>
            <w:right w:val="none" w:sz="0" w:space="0" w:color="auto"/>
          </w:divBdr>
        </w:div>
        <w:div w:id="27267174">
          <w:marLeft w:val="0"/>
          <w:marRight w:val="0"/>
          <w:marTop w:val="0"/>
          <w:marBottom w:val="0"/>
          <w:divBdr>
            <w:top w:val="none" w:sz="0" w:space="0" w:color="auto"/>
            <w:left w:val="none" w:sz="0" w:space="0" w:color="auto"/>
            <w:bottom w:val="none" w:sz="0" w:space="0" w:color="auto"/>
            <w:right w:val="none" w:sz="0" w:space="0" w:color="auto"/>
          </w:divBdr>
        </w:div>
        <w:div w:id="40833771">
          <w:marLeft w:val="0"/>
          <w:marRight w:val="0"/>
          <w:marTop w:val="0"/>
          <w:marBottom w:val="0"/>
          <w:divBdr>
            <w:top w:val="none" w:sz="0" w:space="0" w:color="auto"/>
            <w:left w:val="none" w:sz="0" w:space="0" w:color="auto"/>
            <w:bottom w:val="none" w:sz="0" w:space="0" w:color="auto"/>
            <w:right w:val="none" w:sz="0" w:space="0" w:color="auto"/>
          </w:divBdr>
        </w:div>
        <w:div w:id="48386646">
          <w:marLeft w:val="0"/>
          <w:marRight w:val="0"/>
          <w:marTop w:val="0"/>
          <w:marBottom w:val="0"/>
          <w:divBdr>
            <w:top w:val="none" w:sz="0" w:space="0" w:color="auto"/>
            <w:left w:val="none" w:sz="0" w:space="0" w:color="auto"/>
            <w:bottom w:val="none" w:sz="0" w:space="0" w:color="auto"/>
            <w:right w:val="none" w:sz="0" w:space="0" w:color="auto"/>
          </w:divBdr>
        </w:div>
        <w:div w:id="59446167">
          <w:marLeft w:val="0"/>
          <w:marRight w:val="0"/>
          <w:marTop w:val="0"/>
          <w:marBottom w:val="0"/>
          <w:divBdr>
            <w:top w:val="none" w:sz="0" w:space="0" w:color="auto"/>
            <w:left w:val="none" w:sz="0" w:space="0" w:color="auto"/>
            <w:bottom w:val="none" w:sz="0" w:space="0" w:color="auto"/>
            <w:right w:val="none" w:sz="0" w:space="0" w:color="auto"/>
          </w:divBdr>
        </w:div>
        <w:div w:id="68695127">
          <w:marLeft w:val="0"/>
          <w:marRight w:val="0"/>
          <w:marTop w:val="0"/>
          <w:marBottom w:val="0"/>
          <w:divBdr>
            <w:top w:val="none" w:sz="0" w:space="0" w:color="auto"/>
            <w:left w:val="none" w:sz="0" w:space="0" w:color="auto"/>
            <w:bottom w:val="none" w:sz="0" w:space="0" w:color="auto"/>
            <w:right w:val="none" w:sz="0" w:space="0" w:color="auto"/>
          </w:divBdr>
        </w:div>
        <w:div w:id="73282584">
          <w:marLeft w:val="0"/>
          <w:marRight w:val="0"/>
          <w:marTop w:val="0"/>
          <w:marBottom w:val="0"/>
          <w:divBdr>
            <w:top w:val="none" w:sz="0" w:space="0" w:color="auto"/>
            <w:left w:val="none" w:sz="0" w:space="0" w:color="auto"/>
            <w:bottom w:val="none" w:sz="0" w:space="0" w:color="auto"/>
            <w:right w:val="none" w:sz="0" w:space="0" w:color="auto"/>
          </w:divBdr>
        </w:div>
        <w:div w:id="88355851">
          <w:marLeft w:val="0"/>
          <w:marRight w:val="0"/>
          <w:marTop w:val="0"/>
          <w:marBottom w:val="0"/>
          <w:divBdr>
            <w:top w:val="none" w:sz="0" w:space="0" w:color="auto"/>
            <w:left w:val="none" w:sz="0" w:space="0" w:color="auto"/>
            <w:bottom w:val="none" w:sz="0" w:space="0" w:color="auto"/>
            <w:right w:val="none" w:sz="0" w:space="0" w:color="auto"/>
          </w:divBdr>
        </w:div>
        <w:div w:id="100419237">
          <w:marLeft w:val="0"/>
          <w:marRight w:val="0"/>
          <w:marTop w:val="0"/>
          <w:marBottom w:val="0"/>
          <w:divBdr>
            <w:top w:val="none" w:sz="0" w:space="0" w:color="auto"/>
            <w:left w:val="none" w:sz="0" w:space="0" w:color="auto"/>
            <w:bottom w:val="none" w:sz="0" w:space="0" w:color="auto"/>
            <w:right w:val="none" w:sz="0" w:space="0" w:color="auto"/>
          </w:divBdr>
        </w:div>
        <w:div w:id="116947958">
          <w:marLeft w:val="0"/>
          <w:marRight w:val="0"/>
          <w:marTop w:val="0"/>
          <w:marBottom w:val="0"/>
          <w:divBdr>
            <w:top w:val="none" w:sz="0" w:space="0" w:color="auto"/>
            <w:left w:val="none" w:sz="0" w:space="0" w:color="auto"/>
            <w:bottom w:val="none" w:sz="0" w:space="0" w:color="auto"/>
            <w:right w:val="none" w:sz="0" w:space="0" w:color="auto"/>
          </w:divBdr>
        </w:div>
        <w:div w:id="134032707">
          <w:marLeft w:val="0"/>
          <w:marRight w:val="0"/>
          <w:marTop w:val="0"/>
          <w:marBottom w:val="0"/>
          <w:divBdr>
            <w:top w:val="none" w:sz="0" w:space="0" w:color="auto"/>
            <w:left w:val="none" w:sz="0" w:space="0" w:color="auto"/>
            <w:bottom w:val="none" w:sz="0" w:space="0" w:color="auto"/>
            <w:right w:val="none" w:sz="0" w:space="0" w:color="auto"/>
          </w:divBdr>
        </w:div>
        <w:div w:id="145635429">
          <w:marLeft w:val="0"/>
          <w:marRight w:val="0"/>
          <w:marTop w:val="0"/>
          <w:marBottom w:val="0"/>
          <w:divBdr>
            <w:top w:val="none" w:sz="0" w:space="0" w:color="auto"/>
            <w:left w:val="none" w:sz="0" w:space="0" w:color="auto"/>
            <w:bottom w:val="none" w:sz="0" w:space="0" w:color="auto"/>
            <w:right w:val="none" w:sz="0" w:space="0" w:color="auto"/>
          </w:divBdr>
        </w:div>
        <w:div w:id="154035781">
          <w:marLeft w:val="0"/>
          <w:marRight w:val="0"/>
          <w:marTop w:val="0"/>
          <w:marBottom w:val="0"/>
          <w:divBdr>
            <w:top w:val="none" w:sz="0" w:space="0" w:color="auto"/>
            <w:left w:val="none" w:sz="0" w:space="0" w:color="auto"/>
            <w:bottom w:val="none" w:sz="0" w:space="0" w:color="auto"/>
            <w:right w:val="none" w:sz="0" w:space="0" w:color="auto"/>
          </w:divBdr>
        </w:div>
        <w:div w:id="163935710">
          <w:marLeft w:val="0"/>
          <w:marRight w:val="0"/>
          <w:marTop w:val="0"/>
          <w:marBottom w:val="0"/>
          <w:divBdr>
            <w:top w:val="none" w:sz="0" w:space="0" w:color="auto"/>
            <w:left w:val="none" w:sz="0" w:space="0" w:color="auto"/>
            <w:bottom w:val="none" w:sz="0" w:space="0" w:color="auto"/>
            <w:right w:val="none" w:sz="0" w:space="0" w:color="auto"/>
          </w:divBdr>
        </w:div>
        <w:div w:id="168568752">
          <w:marLeft w:val="0"/>
          <w:marRight w:val="0"/>
          <w:marTop w:val="0"/>
          <w:marBottom w:val="0"/>
          <w:divBdr>
            <w:top w:val="none" w:sz="0" w:space="0" w:color="auto"/>
            <w:left w:val="none" w:sz="0" w:space="0" w:color="auto"/>
            <w:bottom w:val="none" w:sz="0" w:space="0" w:color="auto"/>
            <w:right w:val="none" w:sz="0" w:space="0" w:color="auto"/>
          </w:divBdr>
        </w:div>
        <w:div w:id="183057052">
          <w:marLeft w:val="0"/>
          <w:marRight w:val="0"/>
          <w:marTop w:val="0"/>
          <w:marBottom w:val="0"/>
          <w:divBdr>
            <w:top w:val="none" w:sz="0" w:space="0" w:color="auto"/>
            <w:left w:val="none" w:sz="0" w:space="0" w:color="auto"/>
            <w:bottom w:val="none" w:sz="0" w:space="0" w:color="auto"/>
            <w:right w:val="none" w:sz="0" w:space="0" w:color="auto"/>
          </w:divBdr>
        </w:div>
        <w:div w:id="183713114">
          <w:marLeft w:val="0"/>
          <w:marRight w:val="0"/>
          <w:marTop w:val="0"/>
          <w:marBottom w:val="0"/>
          <w:divBdr>
            <w:top w:val="none" w:sz="0" w:space="0" w:color="auto"/>
            <w:left w:val="none" w:sz="0" w:space="0" w:color="auto"/>
            <w:bottom w:val="none" w:sz="0" w:space="0" w:color="auto"/>
            <w:right w:val="none" w:sz="0" w:space="0" w:color="auto"/>
          </w:divBdr>
        </w:div>
        <w:div w:id="204292424">
          <w:marLeft w:val="0"/>
          <w:marRight w:val="0"/>
          <w:marTop w:val="0"/>
          <w:marBottom w:val="0"/>
          <w:divBdr>
            <w:top w:val="none" w:sz="0" w:space="0" w:color="auto"/>
            <w:left w:val="none" w:sz="0" w:space="0" w:color="auto"/>
            <w:bottom w:val="none" w:sz="0" w:space="0" w:color="auto"/>
            <w:right w:val="none" w:sz="0" w:space="0" w:color="auto"/>
          </w:divBdr>
        </w:div>
        <w:div w:id="210194835">
          <w:marLeft w:val="0"/>
          <w:marRight w:val="0"/>
          <w:marTop w:val="0"/>
          <w:marBottom w:val="0"/>
          <w:divBdr>
            <w:top w:val="none" w:sz="0" w:space="0" w:color="auto"/>
            <w:left w:val="none" w:sz="0" w:space="0" w:color="auto"/>
            <w:bottom w:val="none" w:sz="0" w:space="0" w:color="auto"/>
            <w:right w:val="none" w:sz="0" w:space="0" w:color="auto"/>
          </w:divBdr>
        </w:div>
        <w:div w:id="219484921">
          <w:marLeft w:val="0"/>
          <w:marRight w:val="0"/>
          <w:marTop w:val="0"/>
          <w:marBottom w:val="0"/>
          <w:divBdr>
            <w:top w:val="none" w:sz="0" w:space="0" w:color="auto"/>
            <w:left w:val="none" w:sz="0" w:space="0" w:color="auto"/>
            <w:bottom w:val="none" w:sz="0" w:space="0" w:color="auto"/>
            <w:right w:val="none" w:sz="0" w:space="0" w:color="auto"/>
          </w:divBdr>
        </w:div>
        <w:div w:id="238910711">
          <w:marLeft w:val="0"/>
          <w:marRight w:val="0"/>
          <w:marTop w:val="0"/>
          <w:marBottom w:val="0"/>
          <w:divBdr>
            <w:top w:val="none" w:sz="0" w:space="0" w:color="auto"/>
            <w:left w:val="none" w:sz="0" w:space="0" w:color="auto"/>
            <w:bottom w:val="none" w:sz="0" w:space="0" w:color="auto"/>
            <w:right w:val="none" w:sz="0" w:space="0" w:color="auto"/>
          </w:divBdr>
        </w:div>
        <w:div w:id="240221183">
          <w:marLeft w:val="0"/>
          <w:marRight w:val="0"/>
          <w:marTop w:val="0"/>
          <w:marBottom w:val="0"/>
          <w:divBdr>
            <w:top w:val="none" w:sz="0" w:space="0" w:color="auto"/>
            <w:left w:val="none" w:sz="0" w:space="0" w:color="auto"/>
            <w:bottom w:val="none" w:sz="0" w:space="0" w:color="auto"/>
            <w:right w:val="none" w:sz="0" w:space="0" w:color="auto"/>
          </w:divBdr>
        </w:div>
        <w:div w:id="256788781">
          <w:marLeft w:val="0"/>
          <w:marRight w:val="0"/>
          <w:marTop w:val="0"/>
          <w:marBottom w:val="0"/>
          <w:divBdr>
            <w:top w:val="none" w:sz="0" w:space="0" w:color="auto"/>
            <w:left w:val="none" w:sz="0" w:space="0" w:color="auto"/>
            <w:bottom w:val="none" w:sz="0" w:space="0" w:color="auto"/>
            <w:right w:val="none" w:sz="0" w:space="0" w:color="auto"/>
          </w:divBdr>
        </w:div>
        <w:div w:id="260071660">
          <w:marLeft w:val="0"/>
          <w:marRight w:val="0"/>
          <w:marTop w:val="0"/>
          <w:marBottom w:val="0"/>
          <w:divBdr>
            <w:top w:val="none" w:sz="0" w:space="0" w:color="auto"/>
            <w:left w:val="none" w:sz="0" w:space="0" w:color="auto"/>
            <w:bottom w:val="none" w:sz="0" w:space="0" w:color="auto"/>
            <w:right w:val="none" w:sz="0" w:space="0" w:color="auto"/>
          </w:divBdr>
        </w:div>
        <w:div w:id="263343237">
          <w:marLeft w:val="0"/>
          <w:marRight w:val="0"/>
          <w:marTop w:val="0"/>
          <w:marBottom w:val="0"/>
          <w:divBdr>
            <w:top w:val="none" w:sz="0" w:space="0" w:color="auto"/>
            <w:left w:val="none" w:sz="0" w:space="0" w:color="auto"/>
            <w:bottom w:val="none" w:sz="0" w:space="0" w:color="auto"/>
            <w:right w:val="none" w:sz="0" w:space="0" w:color="auto"/>
          </w:divBdr>
        </w:div>
        <w:div w:id="265965107">
          <w:marLeft w:val="0"/>
          <w:marRight w:val="0"/>
          <w:marTop w:val="0"/>
          <w:marBottom w:val="0"/>
          <w:divBdr>
            <w:top w:val="none" w:sz="0" w:space="0" w:color="auto"/>
            <w:left w:val="none" w:sz="0" w:space="0" w:color="auto"/>
            <w:bottom w:val="none" w:sz="0" w:space="0" w:color="auto"/>
            <w:right w:val="none" w:sz="0" w:space="0" w:color="auto"/>
          </w:divBdr>
        </w:div>
        <w:div w:id="277025363">
          <w:marLeft w:val="0"/>
          <w:marRight w:val="0"/>
          <w:marTop w:val="0"/>
          <w:marBottom w:val="0"/>
          <w:divBdr>
            <w:top w:val="none" w:sz="0" w:space="0" w:color="auto"/>
            <w:left w:val="none" w:sz="0" w:space="0" w:color="auto"/>
            <w:bottom w:val="none" w:sz="0" w:space="0" w:color="auto"/>
            <w:right w:val="none" w:sz="0" w:space="0" w:color="auto"/>
          </w:divBdr>
        </w:div>
        <w:div w:id="277764000">
          <w:marLeft w:val="0"/>
          <w:marRight w:val="0"/>
          <w:marTop w:val="0"/>
          <w:marBottom w:val="0"/>
          <w:divBdr>
            <w:top w:val="none" w:sz="0" w:space="0" w:color="auto"/>
            <w:left w:val="none" w:sz="0" w:space="0" w:color="auto"/>
            <w:bottom w:val="none" w:sz="0" w:space="0" w:color="auto"/>
            <w:right w:val="none" w:sz="0" w:space="0" w:color="auto"/>
          </w:divBdr>
        </w:div>
        <w:div w:id="279264812">
          <w:marLeft w:val="0"/>
          <w:marRight w:val="0"/>
          <w:marTop w:val="0"/>
          <w:marBottom w:val="0"/>
          <w:divBdr>
            <w:top w:val="none" w:sz="0" w:space="0" w:color="auto"/>
            <w:left w:val="none" w:sz="0" w:space="0" w:color="auto"/>
            <w:bottom w:val="none" w:sz="0" w:space="0" w:color="auto"/>
            <w:right w:val="none" w:sz="0" w:space="0" w:color="auto"/>
          </w:divBdr>
        </w:div>
        <w:div w:id="287780156">
          <w:marLeft w:val="0"/>
          <w:marRight w:val="0"/>
          <w:marTop w:val="0"/>
          <w:marBottom w:val="0"/>
          <w:divBdr>
            <w:top w:val="none" w:sz="0" w:space="0" w:color="auto"/>
            <w:left w:val="none" w:sz="0" w:space="0" w:color="auto"/>
            <w:bottom w:val="none" w:sz="0" w:space="0" w:color="auto"/>
            <w:right w:val="none" w:sz="0" w:space="0" w:color="auto"/>
          </w:divBdr>
        </w:div>
        <w:div w:id="299463158">
          <w:marLeft w:val="0"/>
          <w:marRight w:val="0"/>
          <w:marTop w:val="0"/>
          <w:marBottom w:val="0"/>
          <w:divBdr>
            <w:top w:val="none" w:sz="0" w:space="0" w:color="auto"/>
            <w:left w:val="none" w:sz="0" w:space="0" w:color="auto"/>
            <w:bottom w:val="none" w:sz="0" w:space="0" w:color="auto"/>
            <w:right w:val="none" w:sz="0" w:space="0" w:color="auto"/>
          </w:divBdr>
        </w:div>
        <w:div w:id="329528990">
          <w:marLeft w:val="0"/>
          <w:marRight w:val="0"/>
          <w:marTop w:val="0"/>
          <w:marBottom w:val="0"/>
          <w:divBdr>
            <w:top w:val="none" w:sz="0" w:space="0" w:color="auto"/>
            <w:left w:val="none" w:sz="0" w:space="0" w:color="auto"/>
            <w:bottom w:val="none" w:sz="0" w:space="0" w:color="auto"/>
            <w:right w:val="none" w:sz="0" w:space="0" w:color="auto"/>
          </w:divBdr>
        </w:div>
        <w:div w:id="342708784">
          <w:marLeft w:val="0"/>
          <w:marRight w:val="0"/>
          <w:marTop w:val="0"/>
          <w:marBottom w:val="0"/>
          <w:divBdr>
            <w:top w:val="none" w:sz="0" w:space="0" w:color="auto"/>
            <w:left w:val="none" w:sz="0" w:space="0" w:color="auto"/>
            <w:bottom w:val="none" w:sz="0" w:space="0" w:color="auto"/>
            <w:right w:val="none" w:sz="0" w:space="0" w:color="auto"/>
          </w:divBdr>
        </w:div>
        <w:div w:id="344677512">
          <w:marLeft w:val="0"/>
          <w:marRight w:val="0"/>
          <w:marTop w:val="0"/>
          <w:marBottom w:val="0"/>
          <w:divBdr>
            <w:top w:val="none" w:sz="0" w:space="0" w:color="auto"/>
            <w:left w:val="none" w:sz="0" w:space="0" w:color="auto"/>
            <w:bottom w:val="none" w:sz="0" w:space="0" w:color="auto"/>
            <w:right w:val="none" w:sz="0" w:space="0" w:color="auto"/>
          </w:divBdr>
        </w:div>
        <w:div w:id="349062847">
          <w:marLeft w:val="0"/>
          <w:marRight w:val="0"/>
          <w:marTop w:val="0"/>
          <w:marBottom w:val="0"/>
          <w:divBdr>
            <w:top w:val="none" w:sz="0" w:space="0" w:color="auto"/>
            <w:left w:val="none" w:sz="0" w:space="0" w:color="auto"/>
            <w:bottom w:val="none" w:sz="0" w:space="0" w:color="auto"/>
            <w:right w:val="none" w:sz="0" w:space="0" w:color="auto"/>
          </w:divBdr>
        </w:div>
        <w:div w:id="353312402">
          <w:marLeft w:val="0"/>
          <w:marRight w:val="0"/>
          <w:marTop w:val="0"/>
          <w:marBottom w:val="0"/>
          <w:divBdr>
            <w:top w:val="none" w:sz="0" w:space="0" w:color="auto"/>
            <w:left w:val="none" w:sz="0" w:space="0" w:color="auto"/>
            <w:bottom w:val="none" w:sz="0" w:space="0" w:color="auto"/>
            <w:right w:val="none" w:sz="0" w:space="0" w:color="auto"/>
          </w:divBdr>
        </w:div>
        <w:div w:id="367024159">
          <w:marLeft w:val="0"/>
          <w:marRight w:val="0"/>
          <w:marTop w:val="0"/>
          <w:marBottom w:val="0"/>
          <w:divBdr>
            <w:top w:val="none" w:sz="0" w:space="0" w:color="auto"/>
            <w:left w:val="none" w:sz="0" w:space="0" w:color="auto"/>
            <w:bottom w:val="none" w:sz="0" w:space="0" w:color="auto"/>
            <w:right w:val="none" w:sz="0" w:space="0" w:color="auto"/>
          </w:divBdr>
        </w:div>
        <w:div w:id="373045115">
          <w:marLeft w:val="0"/>
          <w:marRight w:val="0"/>
          <w:marTop w:val="0"/>
          <w:marBottom w:val="0"/>
          <w:divBdr>
            <w:top w:val="none" w:sz="0" w:space="0" w:color="auto"/>
            <w:left w:val="none" w:sz="0" w:space="0" w:color="auto"/>
            <w:bottom w:val="none" w:sz="0" w:space="0" w:color="auto"/>
            <w:right w:val="none" w:sz="0" w:space="0" w:color="auto"/>
          </w:divBdr>
        </w:div>
        <w:div w:id="379986516">
          <w:marLeft w:val="0"/>
          <w:marRight w:val="0"/>
          <w:marTop w:val="0"/>
          <w:marBottom w:val="0"/>
          <w:divBdr>
            <w:top w:val="none" w:sz="0" w:space="0" w:color="auto"/>
            <w:left w:val="none" w:sz="0" w:space="0" w:color="auto"/>
            <w:bottom w:val="none" w:sz="0" w:space="0" w:color="auto"/>
            <w:right w:val="none" w:sz="0" w:space="0" w:color="auto"/>
          </w:divBdr>
        </w:div>
        <w:div w:id="389227126">
          <w:marLeft w:val="0"/>
          <w:marRight w:val="0"/>
          <w:marTop w:val="0"/>
          <w:marBottom w:val="0"/>
          <w:divBdr>
            <w:top w:val="none" w:sz="0" w:space="0" w:color="auto"/>
            <w:left w:val="none" w:sz="0" w:space="0" w:color="auto"/>
            <w:bottom w:val="none" w:sz="0" w:space="0" w:color="auto"/>
            <w:right w:val="none" w:sz="0" w:space="0" w:color="auto"/>
          </w:divBdr>
        </w:div>
        <w:div w:id="389695141">
          <w:marLeft w:val="0"/>
          <w:marRight w:val="0"/>
          <w:marTop w:val="0"/>
          <w:marBottom w:val="0"/>
          <w:divBdr>
            <w:top w:val="none" w:sz="0" w:space="0" w:color="auto"/>
            <w:left w:val="none" w:sz="0" w:space="0" w:color="auto"/>
            <w:bottom w:val="none" w:sz="0" w:space="0" w:color="auto"/>
            <w:right w:val="none" w:sz="0" w:space="0" w:color="auto"/>
          </w:divBdr>
        </w:div>
        <w:div w:id="391513638">
          <w:marLeft w:val="0"/>
          <w:marRight w:val="0"/>
          <w:marTop w:val="0"/>
          <w:marBottom w:val="0"/>
          <w:divBdr>
            <w:top w:val="none" w:sz="0" w:space="0" w:color="auto"/>
            <w:left w:val="none" w:sz="0" w:space="0" w:color="auto"/>
            <w:bottom w:val="none" w:sz="0" w:space="0" w:color="auto"/>
            <w:right w:val="none" w:sz="0" w:space="0" w:color="auto"/>
          </w:divBdr>
        </w:div>
        <w:div w:id="396901768">
          <w:marLeft w:val="0"/>
          <w:marRight w:val="0"/>
          <w:marTop w:val="0"/>
          <w:marBottom w:val="0"/>
          <w:divBdr>
            <w:top w:val="none" w:sz="0" w:space="0" w:color="auto"/>
            <w:left w:val="none" w:sz="0" w:space="0" w:color="auto"/>
            <w:bottom w:val="none" w:sz="0" w:space="0" w:color="auto"/>
            <w:right w:val="none" w:sz="0" w:space="0" w:color="auto"/>
          </w:divBdr>
        </w:div>
        <w:div w:id="397175235">
          <w:marLeft w:val="0"/>
          <w:marRight w:val="0"/>
          <w:marTop w:val="0"/>
          <w:marBottom w:val="0"/>
          <w:divBdr>
            <w:top w:val="none" w:sz="0" w:space="0" w:color="auto"/>
            <w:left w:val="none" w:sz="0" w:space="0" w:color="auto"/>
            <w:bottom w:val="none" w:sz="0" w:space="0" w:color="auto"/>
            <w:right w:val="none" w:sz="0" w:space="0" w:color="auto"/>
          </w:divBdr>
        </w:div>
        <w:div w:id="411197639">
          <w:marLeft w:val="0"/>
          <w:marRight w:val="0"/>
          <w:marTop w:val="0"/>
          <w:marBottom w:val="0"/>
          <w:divBdr>
            <w:top w:val="none" w:sz="0" w:space="0" w:color="auto"/>
            <w:left w:val="none" w:sz="0" w:space="0" w:color="auto"/>
            <w:bottom w:val="none" w:sz="0" w:space="0" w:color="auto"/>
            <w:right w:val="none" w:sz="0" w:space="0" w:color="auto"/>
          </w:divBdr>
        </w:div>
        <w:div w:id="449015047">
          <w:marLeft w:val="0"/>
          <w:marRight w:val="0"/>
          <w:marTop w:val="0"/>
          <w:marBottom w:val="0"/>
          <w:divBdr>
            <w:top w:val="none" w:sz="0" w:space="0" w:color="auto"/>
            <w:left w:val="none" w:sz="0" w:space="0" w:color="auto"/>
            <w:bottom w:val="none" w:sz="0" w:space="0" w:color="auto"/>
            <w:right w:val="none" w:sz="0" w:space="0" w:color="auto"/>
          </w:divBdr>
        </w:div>
        <w:div w:id="472870760">
          <w:marLeft w:val="0"/>
          <w:marRight w:val="0"/>
          <w:marTop w:val="0"/>
          <w:marBottom w:val="0"/>
          <w:divBdr>
            <w:top w:val="none" w:sz="0" w:space="0" w:color="auto"/>
            <w:left w:val="none" w:sz="0" w:space="0" w:color="auto"/>
            <w:bottom w:val="none" w:sz="0" w:space="0" w:color="auto"/>
            <w:right w:val="none" w:sz="0" w:space="0" w:color="auto"/>
          </w:divBdr>
        </w:div>
        <w:div w:id="481896904">
          <w:marLeft w:val="0"/>
          <w:marRight w:val="0"/>
          <w:marTop w:val="0"/>
          <w:marBottom w:val="0"/>
          <w:divBdr>
            <w:top w:val="none" w:sz="0" w:space="0" w:color="auto"/>
            <w:left w:val="none" w:sz="0" w:space="0" w:color="auto"/>
            <w:bottom w:val="none" w:sz="0" w:space="0" w:color="auto"/>
            <w:right w:val="none" w:sz="0" w:space="0" w:color="auto"/>
          </w:divBdr>
        </w:div>
        <w:div w:id="488060841">
          <w:marLeft w:val="0"/>
          <w:marRight w:val="0"/>
          <w:marTop w:val="0"/>
          <w:marBottom w:val="0"/>
          <w:divBdr>
            <w:top w:val="none" w:sz="0" w:space="0" w:color="auto"/>
            <w:left w:val="none" w:sz="0" w:space="0" w:color="auto"/>
            <w:bottom w:val="none" w:sz="0" w:space="0" w:color="auto"/>
            <w:right w:val="none" w:sz="0" w:space="0" w:color="auto"/>
          </w:divBdr>
        </w:div>
        <w:div w:id="492256102">
          <w:marLeft w:val="0"/>
          <w:marRight w:val="0"/>
          <w:marTop w:val="0"/>
          <w:marBottom w:val="0"/>
          <w:divBdr>
            <w:top w:val="none" w:sz="0" w:space="0" w:color="auto"/>
            <w:left w:val="none" w:sz="0" w:space="0" w:color="auto"/>
            <w:bottom w:val="none" w:sz="0" w:space="0" w:color="auto"/>
            <w:right w:val="none" w:sz="0" w:space="0" w:color="auto"/>
          </w:divBdr>
        </w:div>
        <w:div w:id="495918490">
          <w:marLeft w:val="0"/>
          <w:marRight w:val="0"/>
          <w:marTop w:val="0"/>
          <w:marBottom w:val="0"/>
          <w:divBdr>
            <w:top w:val="none" w:sz="0" w:space="0" w:color="auto"/>
            <w:left w:val="none" w:sz="0" w:space="0" w:color="auto"/>
            <w:bottom w:val="none" w:sz="0" w:space="0" w:color="auto"/>
            <w:right w:val="none" w:sz="0" w:space="0" w:color="auto"/>
          </w:divBdr>
        </w:div>
        <w:div w:id="497119000">
          <w:marLeft w:val="0"/>
          <w:marRight w:val="0"/>
          <w:marTop w:val="0"/>
          <w:marBottom w:val="0"/>
          <w:divBdr>
            <w:top w:val="none" w:sz="0" w:space="0" w:color="auto"/>
            <w:left w:val="none" w:sz="0" w:space="0" w:color="auto"/>
            <w:bottom w:val="none" w:sz="0" w:space="0" w:color="auto"/>
            <w:right w:val="none" w:sz="0" w:space="0" w:color="auto"/>
          </w:divBdr>
        </w:div>
        <w:div w:id="499126219">
          <w:marLeft w:val="0"/>
          <w:marRight w:val="0"/>
          <w:marTop w:val="0"/>
          <w:marBottom w:val="0"/>
          <w:divBdr>
            <w:top w:val="none" w:sz="0" w:space="0" w:color="auto"/>
            <w:left w:val="none" w:sz="0" w:space="0" w:color="auto"/>
            <w:bottom w:val="none" w:sz="0" w:space="0" w:color="auto"/>
            <w:right w:val="none" w:sz="0" w:space="0" w:color="auto"/>
          </w:divBdr>
        </w:div>
        <w:div w:id="544103970">
          <w:marLeft w:val="0"/>
          <w:marRight w:val="0"/>
          <w:marTop w:val="0"/>
          <w:marBottom w:val="0"/>
          <w:divBdr>
            <w:top w:val="none" w:sz="0" w:space="0" w:color="auto"/>
            <w:left w:val="none" w:sz="0" w:space="0" w:color="auto"/>
            <w:bottom w:val="none" w:sz="0" w:space="0" w:color="auto"/>
            <w:right w:val="none" w:sz="0" w:space="0" w:color="auto"/>
          </w:divBdr>
        </w:div>
        <w:div w:id="551814796">
          <w:marLeft w:val="0"/>
          <w:marRight w:val="0"/>
          <w:marTop w:val="0"/>
          <w:marBottom w:val="0"/>
          <w:divBdr>
            <w:top w:val="none" w:sz="0" w:space="0" w:color="auto"/>
            <w:left w:val="none" w:sz="0" w:space="0" w:color="auto"/>
            <w:bottom w:val="none" w:sz="0" w:space="0" w:color="auto"/>
            <w:right w:val="none" w:sz="0" w:space="0" w:color="auto"/>
          </w:divBdr>
        </w:div>
        <w:div w:id="554897522">
          <w:marLeft w:val="0"/>
          <w:marRight w:val="0"/>
          <w:marTop w:val="0"/>
          <w:marBottom w:val="0"/>
          <w:divBdr>
            <w:top w:val="none" w:sz="0" w:space="0" w:color="auto"/>
            <w:left w:val="none" w:sz="0" w:space="0" w:color="auto"/>
            <w:bottom w:val="none" w:sz="0" w:space="0" w:color="auto"/>
            <w:right w:val="none" w:sz="0" w:space="0" w:color="auto"/>
          </w:divBdr>
        </w:div>
        <w:div w:id="561714247">
          <w:marLeft w:val="0"/>
          <w:marRight w:val="0"/>
          <w:marTop w:val="0"/>
          <w:marBottom w:val="0"/>
          <w:divBdr>
            <w:top w:val="none" w:sz="0" w:space="0" w:color="auto"/>
            <w:left w:val="none" w:sz="0" w:space="0" w:color="auto"/>
            <w:bottom w:val="none" w:sz="0" w:space="0" w:color="auto"/>
            <w:right w:val="none" w:sz="0" w:space="0" w:color="auto"/>
          </w:divBdr>
        </w:div>
        <w:div w:id="563642351">
          <w:marLeft w:val="0"/>
          <w:marRight w:val="0"/>
          <w:marTop w:val="0"/>
          <w:marBottom w:val="0"/>
          <w:divBdr>
            <w:top w:val="none" w:sz="0" w:space="0" w:color="auto"/>
            <w:left w:val="none" w:sz="0" w:space="0" w:color="auto"/>
            <w:bottom w:val="none" w:sz="0" w:space="0" w:color="auto"/>
            <w:right w:val="none" w:sz="0" w:space="0" w:color="auto"/>
          </w:divBdr>
        </w:div>
        <w:div w:id="564992335">
          <w:marLeft w:val="0"/>
          <w:marRight w:val="0"/>
          <w:marTop w:val="0"/>
          <w:marBottom w:val="0"/>
          <w:divBdr>
            <w:top w:val="none" w:sz="0" w:space="0" w:color="auto"/>
            <w:left w:val="none" w:sz="0" w:space="0" w:color="auto"/>
            <w:bottom w:val="none" w:sz="0" w:space="0" w:color="auto"/>
            <w:right w:val="none" w:sz="0" w:space="0" w:color="auto"/>
          </w:divBdr>
        </w:div>
        <w:div w:id="571239606">
          <w:marLeft w:val="0"/>
          <w:marRight w:val="0"/>
          <w:marTop w:val="0"/>
          <w:marBottom w:val="0"/>
          <w:divBdr>
            <w:top w:val="none" w:sz="0" w:space="0" w:color="auto"/>
            <w:left w:val="none" w:sz="0" w:space="0" w:color="auto"/>
            <w:bottom w:val="none" w:sz="0" w:space="0" w:color="auto"/>
            <w:right w:val="none" w:sz="0" w:space="0" w:color="auto"/>
          </w:divBdr>
        </w:div>
        <w:div w:id="571963304">
          <w:marLeft w:val="0"/>
          <w:marRight w:val="0"/>
          <w:marTop w:val="0"/>
          <w:marBottom w:val="0"/>
          <w:divBdr>
            <w:top w:val="none" w:sz="0" w:space="0" w:color="auto"/>
            <w:left w:val="none" w:sz="0" w:space="0" w:color="auto"/>
            <w:bottom w:val="none" w:sz="0" w:space="0" w:color="auto"/>
            <w:right w:val="none" w:sz="0" w:space="0" w:color="auto"/>
          </w:divBdr>
        </w:div>
        <w:div w:id="608857209">
          <w:marLeft w:val="0"/>
          <w:marRight w:val="0"/>
          <w:marTop w:val="0"/>
          <w:marBottom w:val="0"/>
          <w:divBdr>
            <w:top w:val="none" w:sz="0" w:space="0" w:color="auto"/>
            <w:left w:val="none" w:sz="0" w:space="0" w:color="auto"/>
            <w:bottom w:val="none" w:sz="0" w:space="0" w:color="auto"/>
            <w:right w:val="none" w:sz="0" w:space="0" w:color="auto"/>
          </w:divBdr>
        </w:div>
        <w:div w:id="642006488">
          <w:marLeft w:val="0"/>
          <w:marRight w:val="0"/>
          <w:marTop w:val="0"/>
          <w:marBottom w:val="0"/>
          <w:divBdr>
            <w:top w:val="none" w:sz="0" w:space="0" w:color="auto"/>
            <w:left w:val="none" w:sz="0" w:space="0" w:color="auto"/>
            <w:bottom w:val="none" w:sz="0" w:space="0" w:color="auto"/>
            <w:right w:val="none" w:sz="0" w:space="0" w:color="auto"/>
          </w:divBdr>
        </w:div>
        <w:div w:id="654844462">
          <w:marLeft w:val="0"/>
          <w:marRight w:val="0"/>
          <w:marTop w:val="0"/>
          <w:marBottom w:val="0"/>
          <w:divBdr>
            <w:top w:val="none" w:sz="0" w:space="0" w:color="auto"/>
            <w:left w:val="none" w:sz="0" w:space="0" w:color="auto"/>
            <w:bottom w:val="none" w:sz="0" w:space="0" w:color="auto"/>
            <w:right w:val="none" w:sz="0" w:space="0" w:color="auto"/>
          </w:divBdr>
        </w:div>
        <w:div w:id="668481267">
          <w:marLeft w:val="0"/>
          <w:marRight w:val="0"/>
          <w:marTop w:val="0"/>
          <w:marBottom w:val="0"/>
          <w:divBdr>
            <w:top w:val="none" w:sz="0" w:space="0" w:color="auto"/>
            <w:left w:val="none" w:sz="0" w:space="0" w:color="auto"/>
            <w:bottom w:val="none" w:sz="0" w:space="0" w:color="auto"/>
            <w:right w:val="none" w:sz="0" w:space="0" w:color="auto"/>
          </w:divBdr>
        </w:div>
        <w:div w:id="674890281">
          <w:marLeft w:val="0"/>
          <w:marRight w:val="0"/>
          <w:marTop w:val="0"/>
          <w:marBottom w:val="0"/>
          <w:divBdr>
            <w:top w:val="none" w:sz="0" w:space="0" w:color="auto"/>
            <w:left w:val="none" w:sz="0" w:space="0" w:color="auto"/>
            <w:bottom w:val="none" w:sz="0" w:space="0" w:color="auto"/>
            <w:right w:val="none" w:sz="0" w:space="0" w:color="auto"/>
          </w:divBdr>
        </w:div>
        <w:div w:id="690645328">
          <w:marLeft w:val="0"/>
          <w:marRight w:val="0"/>
          <w:marTop w:val="0"/>
          <w:marBottom w:val="0"/>
          <w:divBdr>
            <w:top w:val="none" w:sz="0" w:space="0" w:color="auto"/>
            <w:left w:val="none" w:sz="0" w:space="0" w:color="auto"/>
            <w:bottom w:val="none" w:sz="0" w:space="0" w:color="auto"/>
            <w:right w:val="none" w:sz="0" w:space="0" w:color="auto"/>
          </w:divBdr>
        </w:div>
        <w:div w:id="691565252">
          <w:marLeft w:val="0"/>
          <w:marRight w:val="0"/>
          <w:marTop w:val="0"/>
          <w:marBottom w:val="0"/>
          <w:divBdr>
            <w:top w:val="none" w:sz="0" w:space="0" w:color="auto"/>
            <w:left w:val="none" w:sz="0" w:space="0" w:color="auto"/>
            <w:bottom w:val="none" w:sz="0" w:space="0" w:color="auto"/>
            <w:right w:val="none" w:sz="0" w:space="0" w:color="auto"/>
          </w:divBdr>
        </w:div>
        <w:div w:id="691803792">
          <w:marLeft w:val="0"/>
          <w:marRight w:val="0"/>
          <w:marTop w:val="0"/>
          <w:marBottom w:val="0"/>
          <w:divBdr>
            <w:top w:val="none" w:sz="0" w:space="0" w:color="auto"/>
            <w:left w:val="none" w:sz="0" w:space="0" w:color="auto"/>
            <w:bottom w:val="none" w:sz="0" w:space="0" w:color="auto"/>
            <w:right w:val="none" w:sz="0" w:space="0" w:color="auto"/>
          </w:divBdr>
        </w:div>
        <w:div w:id="699280450">
          <w:marLeft w:val="0"/>
          <w:marRight w:val="0"/>
          <w:marTop w:val="0"/>
          <w:marBottom w:val="0"/>
          <w:divBdr>
            <w:top w:val="none" w:sz="0" w:space="0" w:color="auto"/>
            <w:left w:val="none" w:sz="0" w:space="0" w:color="auto"/>
            <w:bottom w:val="none" w:sz="0" w:space="0" w:color="auto"/>
            <w:right w:val="none" w:sz="0" w:space="0" w:color="auto"/>
          </w:divBdr>
        </w:div>
        <w:div w:id="700085607">
          <w:marLeft w:val="0"/>
          <w:marRight w:val="0"/>
          <w:marTop w:val="0"/>
          <w:marBottom w:val="0"/>
          <w:divBdr>
            <w:top w:val="none" w:sz="0" w:space="0" w:color="auto"/>
            <w:left w:val="none" w:sz="0" w:space="0" w:color="auto"/>
            <w:bottom w:val="none" w:sz="0" w:space="0" w:color="auto"/>
            <w:right w:val="none" w:sz="0" w:space="0" w:color="auto"/>
          </w:divBdr>
        </w:div>
        <w:div w:id="706292544">
          <w:marLeft w:val="0"/>
          <w:marRight w:val="0"/>
          <w:marTop w:val="0"/>
          <w:marBottom w:val="0"/>
          <w:divBdr>
            <w:top w:val="none" w:sz="0" w:space="0" w:color="auto"/>
            <w:left w:val="none" w:sz="0" w:space="0" w:color="auto"/>
            <w:bottom w:val="none" w:sz="0" w:space="0" w:color="auto"/>
            <w:right w:val="none" w:sz="0" w:space="0" w:color="auto"/>
          </w:divBdr>
        </w:div>
        <w:div w:id="726415819">
          <w:marLeft w:val="0"/>
          <w:marRight w:val="0"/>
          <w:marTop w:val="0"/>
          <w:marBottom w:val="0"/>
          <w:divBdr>
            <w:top w:val="none" w:sz="0" w:space="0" w:color="auto"/>
            <w:left w:val="none" w:sz="0" w:space="0" w:color="auto"/>
            <w:bottom w:val="none" w:sz="0" w:space="0" w:color="auto"/>
            <w:right w:val="none" w:sz="0" w:space="0" w:color="auto"/>
          </w:divBdr>
        </w:div>
        <w:div w:id="747577331">
          <w:marLeft w:val="0"/>
          <w:marRight w:val="0"/>
          <w:marTop w:val="0"/>
          <w:marBottom w:val="0"/>
          <w:divBdr>
            <w:top w:val="none" w:sz="0" w:space="0" w:color="auto"/>
            <w:left w:val="none" w:sz="0" w:space="0" w:color="auto"/>
            <w:bottom w:val="none" w:sz="0" w:space="0" w:color="auto"/>
            <w:right w:val="none" w:sz="0" w:space="0" w:color="auto"/>
          </w:divBdr>
        </w:div>
        <w:div w:id="792210188">
          <w:marLeft w:val="0"/>
          <w:marRight w:val="0"/>
          <w:marTop w:val="0"/>
          <w:marBottom w:val="0"/>
          <w:divBdr>
            <w:top w:val="none" w:sz="0" w:space="0" w:color="auto"/>
            <w:left w:val="none" w:sz="0" w:space="0" w:color="auto"/>
            <w:bottom w:val="none" w:sz="0" w:space="0" w:color="auto"/>
            <w:right w:val="none" w:sz="0" w:space="0" w:color="auto"/>
          </w:divBdr>
        </w:div>
        <w:div w:id="796491638">
          <w:marLeft w:val="0"/>
          <w:marRight w:val="0"/>
          <w:marTop w:val="0"/>
          <w:marBottom w:val="0"/>
          <w:divBdr>
            <w:top w:val="none" w:sz="0" w:space="0" w:color="auto"/>
            <w:left w:val="none" w:sz="0" w:space="0" w:color="auto"/>
            <w:bottom w:val="none" w:sz="0" w:space="0" w:color="auto"/>
            <w:right w:val="none" w:sz="0" w:space="0" w:color="auto"/>
          </w:divBdr>
        </w:div>
        <w:div w:id="798184478">
          <w:marLeft w:val="0"/>
          <w:marRight w:val="0"/>
          <w:marTop w:val="0"/>
          <w:marBottom w:val="0"/>
          <w:divBdr>
            <w:top w:val="none" w:sz="0" w:space="0" w:color="auto"/>
            <w:left w:val="none" w:sz="0" w:space="0" w:color="auto"/>
            <w:bottom w:val="none" w:sz="0" w:space="0" w:color="auto"/>
            <w:right w:val="none" w:sz="0" w:space="0" w:color="auto"/>
          </w:divBdr>
        </w:div>
        <w:div w:id="858544131">
          <w:marLeft w:val="0"/>
          <w:marRight w:val="0"/>
          <w:marTop w:val="0"/>
          <w:marBottom w:val="0"/>
          <w:divBdr>
            <w:top w:val="none" w:sz="0" w:space="0" w:color="auto"/>
            <w:left w:val="none" w:sz="0" w:space="0" w:color="auto"/>
            <w:bottom w:val="none" w:sz="0" w:space="0" w:color="auto"/>
            <w:right w:val="none" w:sz="0" w:space="0" w:color="auto"/>
          </w:divBdr>
        </w:div>
        <w:div w:id="883981796">
          <w:marLeft w:val="0"/>
          <w:marRight w:val="0"/>
          <w:marTop w:val="0"/>
          <w:marBottom w:val="0"/>
          <w:divBdr>
            <w:top w:val="none" w:sz="0" w:space="0" w:color="auto"/>
            <w:left w:val="none" w:sz="0" w:space="0" w:color="auto"/>
            <w:bottom w:val="none" w:sz="0" w:space="0" w:color="auto"/>
            <w:right w:val="none" w:sz="0" w:space="0" w:color="auto"/>
          </w:divBdr>
        </w:div>
        <w:div w:id="891967348">
          <w:marLeft w:val="0"/>
          <w:marRight w:val="0"/>
          <w:marTop w:val="0"/>
          <w:marBottom w:val="0"/>
          <w:divBdr>
            <w:top w:val="none" w:sz="0" w:space="0" w:color="auto"/>
            <w:left w:val="none" w:sz="0" w:space="0" w:color="auto"/>
            <w:bottom w:val="none" w:sz="0" w:space="0" w:color="auto"/>
            <w:right w:val="none" w:sz="0" w:space="0" w:color="auto"/>
          </w:divBdr>
        </w:div>
        <w:div w:id="898856399">
          <w:marLeft w:val="0"/>
          <w:marRight w:val="0"/>
          <w:marTop w:val="0"/>
          <w:marBottom w:val="0"/>
          <w:divBdr>
            <w:top w:val="none" w:sz="0" w:space="0" w:color="auto"/>
            <w:left w:val="none" w:sz="0" w:space="0" w:color="auto"/>
            <w:bottom w:val="none" w:sz="0" w:space="0" w:color="auto"/>
            <w:right w:val="none" w:sz="0" w:space="0" w:color="auto"/>
          </w:divBdr>
        </w:div>
        <w:div w:id="912666032">
          <w:marLeft w:val="0"/>
          <w:marRight w:val="0"/>
          <w:marTop w:val="0"/>
          <w:marBottom w:val="0"/>
          <w:divBdr>
            <w:top w:val="none" w:sz="0" w:space="0" w:color="auto"/>
            <w:left w:val="none" w:sz="0" w:space="0" w:color="auto"/>
            <w:bottom w:val="none" w:sz="0" w:space="0" w:color="auto"/>
            <w:right w:val="none" w:sz="0" w:space="0" w:color="auto"/>
          </w:divBdr>
        </w:div>
        <w:div w:id="923222527">
          <w:marLeft w:val="0"/>
          <w:marRight w:val="0"/>
          <w:marTop w:val="0"/>
          <w:marBottom w:val="0"/>
          <w:divBdr>
            <w:top w:val="none" w:sz="0" w:space="0" w:color="auto"/>
            <w:left w:val="none" w:sz="0" w:space="0" w:color="auto"/>
            <w:bottom w:val="none" w:sz="0" w:space="0" w:color="auto"/>
            <w:right w:val="none" w:sz="0" w:space="0" w:color="auto"/>
          </w:divBdr>
        </w:div>
        <w:div w:id="930163604">
          <w:marLeft w:val="0"/>
          <w:marRight w:val="0"/>
          <w:marTop w:val="0"/>
          <w:marBottom w:val="0"/>
          <w:divBdr>
            <w:top w:val="none" w:sz="0" w:space="0" w:color="auto"/>
            <w:left w:val="none" w:sz="0" w:space="0" w:color="auto"/>
            <w:bottom w:val="none" w:sz="0" w:space="0" w:color="auto"/>
            <w:right w:val="none" w:sz="0" w:space="0" w:color="auto"/>
          </w:divBdr>
        </w:div>
        <w:div w:id="1026490440">
          <w:marLeft w:val="0"/>
          <w:marRight w:val="0"/>
          <w:marTop w:val="0"/>
          <w:marBottom w:val="0"/>
          <w:divBdr>
            <w:top w:val="none" w:sz="0" w:space="0" w:color="auto"/>
            <w:left w:val="none" w:sz="0" w:space="0" w:color="auto"/>
            <w:bottom w:val="none" w:sz="0" w:space="0" w:color="auto"/>
            <w:right w:val="none" w:sz="0" w:space="0" w:color="auto"/>
          </w:divBdr>
        </w:div>
        <w:div w:id="1036464834">
          <w:marLeft w:val="0"/>
          <w:marRight w:val="0"/>
          <w:marTop w:val="0"/>
          <w:marBottom w:val="0"/>
          <w:divBdr>
            <w:top w:val="none" w:sz="0" w:space="0" w:color="auto"/>
            <w:left w:val="none" w:sz="0" w:space="0" w:color="auto"/>
            <w:bottom w:val="none" w:sz="0" w:space="0" w:color="auto"/>
            <w:right w:val="none" w:sz="0" w:space="0" w:color="auto"/>
          </w:divBdr>
        </w:div>
        <w:div w:id="1067340601">
          <w:marLeft w:val="0"/>
          <w:marRight w:val="0"/>
          <w:marTop w:val="0"/>
          <w:marBottom w:val="0"/>
          <w:divBdr>
            <w:top w:val="none" w:sz="0" w:space="0" w:color="auto"/>
            <w:left w:val="none" w:sz="0" w:space="0" w:color="auto"/>
            <w:bottom w:val="none" w:sz="0" w:space="0" w:color="auto"/>
            <w:right w:val="none" w:sz="0" w:space="0" w:color="auto"/>
          </w:divBdr>
        </w:div>
        <w:div w:id="1082213190">
          <w:marLeft w:val="0"/>
          <w:marRight w:val="0"/>
          <w:marTop w:val="0"/>
          <w:marBottom w:val="0"/>
          <w:divBdr>
            <w:top w:val="none" w:sz="0" w:space="0" w:color="auto"/>
            <w:left w:val="none" w:sz="0" w:space="0" w:color="auto"/>
            <w:bottom w:val="none" w:sz="0" w:space="0" w:color="auto"/>
            <w:right w:val="none" w:sz="0" w:space="0" w:color="auto"/>
          </w:divBdr>
        </w:div>
        <w:div w:id="1103724175">
          <w:marLeft w:val="0"/>
          <w:marRight w:val="0"/>
          <w:marTop w:val="0"/>
          <w:marBottom w:val="0"/>
          <w:divBdr>
            <w:top w:val="none" w:sz="0" w:space="0" w:color="auto"/>
            <w:left w:val="none" w:sz="0" w:space="0" w:color="auto"/>
            <w:bottom w:val="none" w:sz="0" w:space="0" w:color="auto"/>
            <w:right w:val="none" w:sz="0" w:space="0" w:color="auto"/>
          </w:divBdr>
        </w:div>
        <w:div w:id="1120997995">
          <w:marLeft w:val="0"/>
          <w:marRight w:val="0"/>
          <w:marTop w:val="0"/>
          <w:marBottom w:val="0"/>
          <w:divBdr>
            <w:top w:val="none" w:sz="0" w:space="0" w:color="auto"/>
            <w:left w:val="none" w:sz="0" w:space="0" w:color="auto"/>
            <w:bottom w:val="none" w:sz="0" w:space="0" w:color="auto"/>
            <w:right w:val="none" w:sz="0" w:space="0" w:color="auto"/>
          </w:divBdr>
        </w:div>
        <w:div w:id="1144396933">
          <w:marLeft w:val="0"/>
          <w:marRight w:val="0"/>
          <w:marTop w:val="0"/>
          <w:marBottom w:val="0"/>
          <w:divBdr>
            <w:top w:val="none" w:sz="0" w:space="0" w:color="auto"/>
            <w:left w:val="none" w:sz="0" w:space="0" w:color="auto"/>
            <w:bottom w:val="none" w:sz="0" w:space="0" w:color="auto"/>
            <w:right w:val="none" w:sz="0" w:space="0" w:color="auto"/>
          </w:divBdr>
        </w:div>
        <w:div w:id="1144739385">
          <w:marLeft w:val="0"/>
          <w:marRight w:val="0"/>
          <w:marTop w:val="0"/>
          <w:marBottom w:val="0"/>
          <w:divBdr>
            <w:top w:val="none" w:sz="0" w:space="0" w:color="auto"/>
            <w:left w:val="none" w:sz="0" w:space="0" w:color="auto"/>
            <w:bottom w:val="none" w:sz="0" w:space="0" w:color="auto"/>
            <w:right w:val="none" w:sz="0" w:space="0" w:color="auto"/>
          </w:divBdr>
        </w:div>
        <w:div w:id="1155490977">
          <w:marLeft w:val="0"/>
          <w:marRight w:val="0"/>
          <w:marTop w:val="0"/>
          <w:marBottom w:val="0"/>
          <w:divBdr>
            <w:top w:val="none" w:sz="0" w:space="0" w:color="auto"/>
            <w:left w:val="none" w:sz="0" w:space="0" w:color="auto"/>
            <w:bottom w:val="none" w:sz="0" w:space="0" w:color="auto"/>
            <w:right w:val="none" w:sz="0" w:space="0" w:color="auto"/>
          </w:divBdr>
        </w:div>
        <w:div w:id="1195922138">
          <w:marLeft w:val="0"/>
          <w:marRight w:val="0"/>
          <w:marTop w:val="0"/>
          <w:marBottom w:val="0"/>
          <w:divBdr>
            <w:top w:val="none" w:sz="0" w:space="0" w:color="auto"/>
            <w:left w:val="none" w:sz="0" w:space="0" w:color="auto"/>
            <w:bottom w:val="none" w:sz="0" w:space="0" w:color="auto"/>
            <w:right w:val="none" w:sz="0" w:space="0" w:color="auto"/>
          </w:divBdr>
        </w:div>
        <w:div w:id="1202280568">
          <w:marLeft w:val="0"/>
          <w:marRight w:val="0"/>
          <w:marTop w:val="0"/>
          <w:marBottom w:val="0"/>
          <w:divBdr>
            <w:top w:val="none" w:sz="0" w:space="0" w:color="auto"/>
            <w:left w:val="none" w:sz="0" w:space="0" w:color="auto"/>
            <w:bottom w:val="none" w:sz="0" w:space="0" w:color="auto"/>
            <w:right w:val="none" w:sz="0" w:space="0" w:color="auto"/>
          </w:divBdr>
        </w:div>
        <w:div w:id="1204556534">
          <w:marLeft w:val="0"/>
          <w:marRight w:val="0"/>
          <w:marTop w:val="0"/>
          <w:marBottom w:val="0"/>
          <w:divBdr>
            <w:top w:val="none" w:sz="0" w:space="0" w:color="auto"/>
            <w:left w:val="none" w:sz="0" w:space="0" w:color="auto"/>
            <w:bottom w:val="none" w:sz="0" w:space="0" w:color="auto"/>
            <w:right w:val="none" w:sz="0" w:space="0" w:color="auto"/>
          </w:divBdr>
        </w:div>
        <w:div w:id="1209416016">
          <w:marLeft w:val="0"/>
          <w:marRight w:val="0"/>
          <w:marTop w:val="0"/>
          <w:marBottom w:val="0"/>
          <w:divBdr>
            <w:top w:val="none" w:sz="0" w:space="0" w:color="auto"/>
            <w:left w:val="none" w:sz="0" w:space="0" w:color="auto"/>
            <w:bottom w:val="none" w:sz="0" w:space="0" w:color="auto"/>
            <w:right w:val="none" w:sz="0" w:space="0" w:color="auto"/>
          </w:divBdr>
        </w:div>
        <w:div w:id="1211068647">
          <w:marLeft w:val="0"/>
          <w:marRight w:val="0"/>
          <w:marTop w:val="0"/>
          <w:marBottom w:val="0"/>
          <w:divBdr>
            <w:top w:val="none" w:sz="0" w:space="0" w:color="auto"/>
            <w:left w:val="none" w:sz="0" w:space="0" w:color="auto"/>
            <w:bottom w:val="none" w:sz="0" w:space="0" w:color="auto"/>
            <w:right w:val="none" w:sz="0" w:space="0" w:color="auto"/>
          </w:divBdr>
        </w:div>
        <w:div w:id="1223371523">
          <w:marLeft w:val="0"/>
          <w:marRight w:val="0"/>
          <w:marTop w:val="0"/>
          <w:marBottom w:val="0"/>
          <w:divBdr>
            <w:top w:val="none" w:sz="0" w:space="0" w:color="auto"/>
            <w:left w:val="none" w:sz="0" w:space="0" w:color="auto"/>
            <w:bottom w:val="none" w:sz="0" w:space="0" w:color="auto"/>
            <w:right w:val="none" w:sz="0" w:space="0" w:color="auto"/>
          </w:divBdr>
        </w:div>
        <w:div w:id="1229611026">
          <w:marLeft w:val="0"/>
          <w:marRight w:val="0"/>
          <w:marTop w:val="0"/>
          <w:marBottom w:val="0"/>
          <w:divBdr>
            <w:top w:val="none" w:sz="0" w:space="0" w:color="auto"/>
            <w:left w:val="none" w:sz="0" w:space="0" w:color="auto"/>
            <w:bottom w:val="none" w:sz="0" w:space="0" w:color="auto"/>
            <w:right w:val="none" w:sz="0" w:space="0" w:color="auto"/>
          </w:divBdr>
        </w:div>
        <w:div w:id="1244606632">
          <w:marLeft w:val="0"/>
          <w:marRight w:val="0"/>
          <w:marTop w:val="0"/>
          <w:marBottom w:val="0"/>
          <w:divBdr>
            <w:top w:val="none" w:sz="0" w:space="0" w:color="auto"/>
            <w:left w:val="none" w:sz="0" w:space="0" w:color="auto"/>
            <w:bottom w:val="none" w:sz="0" w:space="0" w:color="auto"/>
            <w:right w:val="none" w:sz="0" w:space="0" w:color="auto"/>
          </w:divBdr>
        </w:div>
        <w:div w:id="1244686983">
          <w:marLeft w:val="0"/>
          <w:marRight w:val="0"/>
          <w:marTop w:val="0"/>
          <w:marBottom w:val="0"/>
          <w:divBdr>
            <w:top w:val="none" w:sz="0" w:space="0" w:color="auto"/>
            <w:left w:val="none" w:sz="0" w:space="0" w:color="auto"/>
            <w:bottom w:val="none" w:sz="0" w:space="0" w:color="auto"/>
            <w:right w:val="none" w:sz="0" w:space="0" w:color="auto"/>
          </w:divBdr>
        </w:div>
        <w:div w:id="1291668708">
          <w:marLeft w:val="0"/>
          <w:marRight w:val="0"/>
          <w:marTop w:val="0"/>
          <w:marBottom w:val="0"/>
          <w:divBdr>
            <w:top w:val="none" w:sz="0" w:space="0" w:color="auto"/>
            <w:left w:val="none" w:sz="0" w:space="0" w:color="auto"/>
            <w:bottom w:val="none" w:sz="0" w:space="0" w:color="auto"/>
            <w:right w:val="none" w:sz="0" w:space="0" w:color="auto"/>
          </w:divBdr>
        </w:div>
        <w:div w:id="1306201395">
          <w:marLeft w:val="0"/>
          <w:marRight w:val="0"/>
          <w:marTop w:val="0"/>
          <w:marBottom w:val="0"/>
          <w:divBdr>
            <w:top w:val="none" w:sz="0" w:space="0" w:color="auto"/>
            <w:left w:val="none" w:sz="0" w:space="0" w:color="auto"/>
            <w:bottom w:val="none" w:sz="0" w:space="0" w:color="auto"/>
            <w:right w:val="none" w:sz="0" w:space="0" w:color="auto"/>
          </w:divBdr>
        </w:div>
        <w:div w:id="1309554929">
          <w:marLeft w:val="0"/>
          <w:marRight w:val="0"/>
          <w:marTop w:val="0"/>
          <w:marBottom w:val="0"/>
          <w:divBdr>
            <w:top w:val="none" w:sz="0" w:space="0" w:color="auto"/>
            <w:left w:val="none" w:sz="0" w:space="0" w:color="auto"/>
            <w:bottom w:val="none" w:sz="0" w:space="0" w:color="auto"/>
            <w:right w:val="none" w:sz="0" w:space="0" w:color="auto"/>
          </w:divBdr>
        </w:div>
        <w:div w:id="1317299774">
          <w:marLeft w:val="0"/>
          <w:marRight w:val="0"/>
          <w:marTop w:val="0"/>
          <w:marBottom w:val="0"/>
          <w:divBdr>
            <w:top w:val="none" w:sz="0" w:space="0" w:color="auto"/>
            <w:left w:val="none" w:sz="0" w:space="0" w:color="auto"/>
            <w:bottom w:val="none" w:sz="0" w:space="0" w:color="auto"/>
            <w:right w:val="none" w:sz="0" w:space="0" w:color="auto"/>
          </w:divBdr>
        </w:div>
        <w:div w:id="1326325338">
          <w:marLeft w:val="0"/>
          <w:marRight w:val="0"/>
          <w:marTop w:val="0"/>
          <w:marBottom w:val="0"/>
          <w:divBdr>
            <w:top w:val="none" w:sz="0" w:space="0" w:color="auto"/>
            <w:left w:val="none" w:sz="0" w:space="0" w:color="auto"/>
            <w:bottom w:val="none" w:sz="0" w:space="0" w:color="auto"/>
            <w:right w:val="none" w:sz="0" w:space="0" w:color="auto"/>
          </w:divBdr>
        </w:div>
        <w:div w:id="1331522538">
          <w:marLeft w:val="0"/>
          <w:marRight w:val="0"/>
          <w:marTop w:val="0"/>
          <w:marBottom w:val="0"/>
          <w:divBdr>
            <w:top w:val="none" w:sz="0" w:space="0" w:color="auto"/>
            <w:left w:val="none" w:sz="0" w:space="0" w:color="auto"/>
            <w:bottom w:val="none" w:sz="0" w:space="0" w:color="auto"/>
            <w:right w:val="none" w:sz="0" w:space="0" w:color="auto"/>
          </w:divBdr>
        </w:div>
        <w:div w:id="1334527216">
          <w:marLeft w:val="0"/>
          <w:marRight w:val="0"/>
          <w:marTop w:val="0"/>
          <w:marBottom w:val="0"/>
          <w:divBdr>
            <w:top w:val="none" w:sz="0" w:space="0" w:color="auto"/>
            <w:left w:val="none" w:sz="0" w:space="0" w:color="auto"/>
            <w:bottom w:val="none" w:sz="0" w:space="0" w:color="auto"/>
            <w:right w:val="none" w:sz="0" w:space="0" w:color="auto"/>
          </w:divBdr>
        </w:div>
        <w:div w:id="1334844750">
          <w:marLeft w:val="0"/>
          <w:marRight w:val="0"/>
          <w:marTop w:val="0"/>
          <w:marBottom w:val="0"/>
          <w:divBdr>
            <w:top w:val="none" w:sz="0" w:space="0" w:color="auto"/>
            <w:left w:val="none" w:sz="0" w:space="0" w:color="auto"/>
            <w:bottom w:val="none" w:sz="0" w:space="0" w:color="auto"/>
            <w:right w:val="none" w:sz="0" w:space="0" w:color="auto"/>
          </w:divBdr>
        </w:div>
        <w:div w:id="1386949451">
          <w:marLeft w:val="0"/>
          <w:marRight w:val="0"/>
          <w:marTop w:val="0"/>
          <w:marBottom w:val="0"/>
          <w:divBdr>
            <w:top w:val="none" w:sz="0" w:space="0" w:color="auto"/>
            <w:left w:val="none" w:sz="0" w:space="0" w:color="auto"/>
            <w:bottom w:val="none" w:sz="0" w:space="0" w:color="auto"/>
            <w:right w:val="none" w:sz="0" w:space="0" w:color="auto"/>
          </w:divBdr>
        </w:div>
        <w:div w:id="1387146838">
          <w:marLeft w:val="0"/>
          <w:marRight w:val="0"/>
          <w:marTop w:val="0"/>
          <w:marBottom w:val="0"/>
          <w:divBdr>
            <w:top w:val="none" w:sz="0" w:space="0" w:color="auto"/>
            <w:left w:val="none" w:sz="0" w:space="0" w:color="auto"/>
            <w:bottom w:val="none" w:sz="0" w:space="0" w:color="auto"/>
            <w:right w:val="none" w:sz="0" w:space="0" w:color="auto"/>
          </w:divBdr>
        </w:div>
        <w:div w:id="1388722187">
          <w:marLeft w:val="0"/>
          <w:marRight w:val="0"/>
          <w:marTop w:val="0"/>
          <w:marBottom w:val="0"/>
          <w:divBdr>
            <w:top w:val="none" w:sz="0" w:space="0" w:color="auto"/>
            <w:left w:val="none" w:sz="0" w:space="0" w:color="auto"/>
            <w:bottom w:val="none" w:sz="0" w:space="0" w:color="auto"/>
            <w:right w:val="none" w:sz="0" w:space="0" w:color="auto"/>
          </w:divBdr>
        </w:div>
        <w:div w:id="1421679287">
          <w:marLeft w:val="0"/>
          <w:marRight w:val="0"/>
          <w:marTop w:val="0"/>
          <w:marBottom w:val="0"/>
          <w:divBdr>
            <w:top w:val="none" w:sz="0" w:space="0" w:color="auto"/>
            <w:left w:val="none" w:sz="0" w:space="0" w:color="auto"/>
            <w:bottom w:val="none" w:sz="0" w:space="0" w:color="auto"/>
            <w:right w:val="none" w:sz="0" w:space="0" w:color="auto"/>
          </w:divBdr>
        </w:div>
        <w:div w:id="1426923910">
          <w:marLeft w:val="0"/>
          <w:marRight w:val="0"/>
          <w:marTop w:val="0"/>
          <w:marBottom w:val="0"/>
          <w:divBdr>
            <w:top w:val="none" w:sz="0" w:space="0" w:color="auto"/>
            <w:left w:val="none" w:sz="0" w:space="0" w:color="auto"/>
            <w:bottom w:val="none" w:sz="0" w:space="0" w:color="auto"/>
            <w:right w:val="none" w:sz="0" w:space="0" w:color="auto"/>
          </w:divBdr>
        </w:div>
        <w:div w:id="1435663988">
          <w:marLeft w:val="0"/>
          <w:marRight w:val="0"/>
          <w:marTop w:val="0"/>
          <w:marBottom w:val="0"/>
          <w:divBdr>
            <w:top w:val="none" w:sz="0" w:space="0" w:color="auto"/>
            <w:left w:val="none" w:sz="0" w:space="0" w:color="auto"/>
            <w:bottom w:val="none" w:sz="0" w:space="0" w:color="auto"/>
            <w:right w:val="none" w:sz="0" w:space="0" w:color="auto"/>
          </w:divBdr>
        </w:div>
        <w:div w:id="1445147406">
          <w:marLeft w:val="0"/>
          <w:marRight w:val="0"/>
          <w:marTop w:val="0"/>
          <w:marBottom w:val="0"/>
          <w:divBdr>
            <w:top w:val="none" w:sz="0" w:space="0" w:color="auto"/>
            <w:left w:val="none" w:sz="0" w:space="0" w:color="auto"/>
            <w:bottom w:val="none" w:sz="0" w:space="0" w:color="auto"/>
            <w:right w:val="none" w:sz="0" w:space="0" w:color="auto"/>
          </w:divBdr>
        </w:div>
        <w:div w:id="1451976188">
          <w:marLeft w:val="0"/>
          <w:marRight w:val="0"/>
          <w:marTop w:val="0"/>
          <w:marBottom w:val="0"/>
          <w:divBdr>
            <w:top w:val="none" w:sz="0" w:space="0" w:color="auto"/>
            <w:left w:val="none" w:sz="0" w:space="0" w:color="auto"/>
            <w:bottom w:val="none" w:sz="0" w:space="0" w:color="auto"/>
            <w:right w:val="none" w:sz="0" w:space="0" w:color="auto"/>
          </w:divBdr>
        </w:div>
        <w:div w:id="1453285986">
          <w:marLeft w:val="0"/>
          <w:marRight w:val="0"/>
          <w:marTop w:val="0"/>
          <w:marBottom w:val="0"/>
          <w:divBdr>
            <w:top w:val="none" w:sz="0" w:space="0" w:color="auto"/>
            <w:left w:val="none" w:sz="0" w:space="0" w:color="auto"/>
            <w:bottom w:val="none" w:sz="0" w:space="0" w:color="auto"/>
            <w:right w:val="none" w:sz="0" w:space="0" w:color="auto"/>
          </w:divBdr>
        </w:div>
        <w:div w:id="1454667528">
          <w:marLeft w:val="0"/>
          <w:marRight w:val="0"/>
          <w:marTop w:val="0"/>
          <w:marBottom w:val="0"/>
          <w:divBdr>
            <w:top w:val="none" w:sz="0" w:space="0" w:color="auto"/>
            <w:left w:val="none" w:sz="0" w:space="0" w:color="auto"/>
            <w:bottom w:val="none" w:sz="0" w:space="0" w:color="auto"/>
            <w:right w:val="none" w:sz="0" w:space="0" w:color="auto"/>
          </w:divBdr>
        </w:div>
        <w:div w:id="1468737291">
          <w:marLeft w:val="0"/>
          <w:marRight w:val="0"/>
          <w:marTop w:val="0"/>
          <w:marBottom w:val="0"/>
          <w:divBdr>
            <w:top w:val="none" w:sz="0" w:space="0" w:color="auto"/>
            <w:left w:val="none" w:sz="0" w:space="0" w:color="auto"/>
            <w:bottom w:val="none" w:sz="0" w:space="0" w:color="auto"/>
            <w:right w:val="none" w:sz="0" w:space="0" w:color="auto"/>
          </w:divBdr>
        </w:div>
        <w:div w:id="1471705773">
          <w:marLeft w:val="0"/>
          <w:marRight w:val="0"/>
          <w:marTop w:val="0"/>
          <w:marBottom w:val="0"/>
          <w:divBdr>
            <w:top w:val="none" w:sz="0" w:space="0" w:color="auto"/>
            <w:left w:val="none" w:sz="0" w:space="0" w:color="auto"/>
            <w:bottom w:val="none" w:sz="0" w:space="0" w:color="auto"/>
            <w:right w:val="none" w:sz="0" w:space="0" w:color="auto"/>
          </w:divBdr>
        </w:div>
        <w:div w:id="1493834232">
          <w:marLeft w:val="0"/>
          <w:marRight w:val="0"/>
          <w:marTop w:val="0"/>
          <w:marBottom w:val="0"/>
          <w:divBdr>
            <w:top w:val="none" w:sz="0" w:space="0" w:color="auto"/>
            <w:left w:val="none" w:sz="0" w:space="0" w:color="auto"/>
            <w:bottom w:val="none" w:sz="0" w:space="0" w:color="auto"/>
            <w:right w:val="none" w:sz="0" w:space="0" w:color="auto"/>
          </w:divBdr>
        </w:div>
        <w:div w:id="1494686052">
          <w:marLeft w:val="0"/>
          <w:marRight w:val="0"/>
          <w:marTop w:val="0"/>
          <w:marBottom w:val="0"/>
          <w:divBdr>
            <w:top w:val="none" w:sz="0" w:space="0" w:color="auto"/>
            <w:left w:val="none" w:sz="0" w:space="0" w:color="auto"/>
            <w:bottom w:val="none" w:sz="0" w:space="0" w:color="auto"/>
            <w:right w:val="none" w:sz="0" w:space="0" w:color="auto"/>
          </w:divBdr>
        </w:div>
        <w:div w:id="1501507032">
          <w:marLeft w:val="0"/>
          <w:marRight w:val="0"/>
          <w:marTop w:val="0"/>
          <w:marBottom w:val="0"/>
          <w:divBdr>
            <w:top w:val="none" w:sz="0" w:space="0" w:color="auto"/>
            <w:left w:val="none" w:sz="0" w:space="0" w:color="auto"/>
            <w:bottom w:val="none" w:sz="0" w:space="0" w:color="auto"/>
            <w:right w:val="none" w:sz="0" w:space="0" w:color="auto"/>
          </w:divBdr>
        </w:div>
        <w:div w:id="1561481204">
          <w:marLeft w:val="0"/>
          <w:marRight w:val="0"/>
          <w:marTop w:val="0"/>
          <w:marBottom w:val="0"/>
          <w:divBdr>
            <w:top w:val="none" w:sz="0" w:space="0" w:color="auto"/>
            <w:left w:val="none" w:sz="0" w:space="0" w:color="auto"/>
            <w:bottom w:val="none" w:sz="0" w:space="0" w:color="auto"/>
            <w:right w:val="none" w:sz="0" w:space="0" w:color="auto"/>
          </w:divBdr>
        </w:div>
        <w:div w:id="1570455522">
          <w:marLeft w:val="0"/>
          <w:marRight w:val="0"/>
          <w:marTop w:val="0"/>
          <w:marBottom w:val="0"/>
          <w:divBdr>
            <w:top w:val="none" w:sz="0" w:space="0" w:color="auto"/>
            <w:left w:val="none" w:sz="0" w:space="0" w:color="auto"/>
            <w:bottom w:val="none" w:sz="0" w:space="0" w:color="auto"/>
            <w:right w:val="none" w:sz="0" w:space="0" w:color="auto"/>
          </w:divBdr>
        </w:div>
        <w:div w:id="1590695904">
          <w:marLeft w:val="0"/>
          <w:marRight w:val="0"/>
          <w:marTop w:val="0"/>
          <w:marBottom w:val="0"/>
          <w:divBdr>
            <w:top w:val="none" w:sz="0" w:space="0" w:color="auto"/>
            <w:left w:val="none" w:sz="0" w:space="0" w:color="auto"/>
            <w:bottom w:val="none" w:sz="0" w:space="0" w:color="auto"/>
            <w:right w:val="none" w:sz="0" w:space="0" w:color="auto"/>
          </w:divBdr>
        </w:div>
        <w:div w:id="1605112700">
          <w:marLeft w:val="0"/>
          <w:marRight w:val="0"/>
          <w:marTop w:val="0"/>
          <w:marBottom w:val="0"/>
          <w:divBdr>
            <w:top w:val="none" w:sz="0" w:space="0" w:color="auto"/>
            <w:left w:val="none" w:sz="0" w:space="0" w:color="auto"/>
            <w:bottom w:val="none" w:sz="0" w:space="0" w:color="auto"/>
            <w:right w:val="none" w:sz="0" w:space="0" w:color="auto"/>
          </w:divBdr>
        </w:div>
        <w:div w:id="1618564213">
          <w:marLeft w:val="0"/>
          <w:marRight w:val="0"/>
          <w:marTop w:val="0"/>
          <w:marBottom w:val="0"/>
          <w:divBdr>
            <w:top w:val="none" w:sz="0" w:space="0" w:color="auto"/>
            <w:left w:val="none" w:sz="0" w:space="0" w:color="auto"/>
            <w:bottom w:val="none" w:sz="0" w:space="0" w:color="auto"/>
            <w:right w:val="none" w:sz="0" w:space="0" w:color="auto"/>
          </w:divBdr>
        </w:div>
        <w:div w:id="1622540678">
          <w:marLeft w:val="0"/>
          <w:marRight w:val="0"/>
          <w:marTop w:val="0"/>
          <w:marBottom w:val="0"/>
          <w:divBdr>
            <w:top w:val="none" w:sz="0" w:space="0" w:color="auto"/>
            <w:left w:val="none" w:sz="0" w:space="0" w:color="auto"/>
            <w:bottom w:val="none" w:sz="0" w:space="0" w:color="auto"/>
            <w:right w:val="none" w:sz="0" w:space="0" w:color="auto"/>
          </w:divBdr>
        </w:div>
        <w:div w:id="1628776295">
          <w:marLeft w:val="0"/>
          <w:marRight w:val="0"/>
          <w:marTop w:val="0"/>
          <w:marBottom w:val="0"/>
          <w:divBdr>
            <w:top w:val="none" w:sz="0" w:space="0" w:color="auto"/>
            <w:left w:val="none" w:sz="0" w:space="0" w:color="auto"/>
            <w:bottom w:val="none" w:sz="0" w:space="0" w:color="auto"/>
            <w:right w:val="none" w:sz="0" w:space="0" w:color="auto"/>
          </w:divBdr>
        </w:div>
        <w:div w:id="1659571320">
          <w:marLeft w:val="0"/>
          <w:marRight w:val="0"/>
          <w:marTop w:val="0"/>
          <w:marBottom w:val="0"/>
          <w:divBdr>
            <w:top w:val="none" w:sz="0" w:space="0" w:color="auto"/>
            <w:left w:val="none" w:sz="0" w:space="0" w:color="auto"/>
            <w:bottom w:val="none" w:sz="0" w:space="0" w:color="auto"/>
            <w:right w:val="none" w:sz="0" w:space="0" w:color="auto"/>
          </w:divBdr>
        </w:div>
        <w:div w:id="1673415532">
          <w:marLeft w:val="0"/>
          <w:marRight w:val="0"/>
          <w:marTop w:val="0"/>
          <w:marBottom w:val="0"/>
          <w:divBdr>
            <w:top w:val="none" w:sz="0" w:space="0" w:color="auto"/>
            <w:left w:val="none" w:sz="0" w:space="0" w:color="auto"/>
            <w:bottom w:val="none" w:sz="0" w:space="0" w:color="auto"/>
            <w:right w:val="none" w:sz="0" w:space="0" w:color="auto"/>
          </w:divBdr>
        </w:div>
        <w:div w:id="1674797376">
          <w:marLeft w:val="0"/>
          <w:marRight w:val="0"/>
          <w:marTop w:val="0"/>
          <w:marBottom w:val="0"/>
          <w:divBdr>
            <w:top w:val="none" w:sz="0" w:space="0" w:color="auto"/>
            <w:left w:val="none" w:sz="0" w:space="0" w:color="auto"/>
            <w:bottom w:val="none" w:sz="0" w:space="0" w:color="auto"/>
            <w:right w:val="none" w:sz="0" w:space="0" w:color="auto"/>
          </w:divBdr>
        </w:div>
        <w:div w:id="1679195291">
          <w:marLeft w:val="0"/>
          <w:marRight w:val="0"/>
          <w:marTop w:val="0"/>
          <w:marBottom w:val="0"/>
          <w:divBdr>
            <w:top w:val="none" w:sz="0" w:space="0" w:color="auto"/>
            <w:left w:val="none" w:sz="0" w:space="0" w:color="auto"/>
            <w:bottom w:val="none" w:sz="0" w:space="0" w:color="auto"/>
            <w:right w:val="none" w:sz="0" w:space="0" w:color="auto"/>
          </w:divBdr>
        </w:div>
        <w:div w:id="1684895106">
          <w:marLeft w:val="0"/>
          <w:marRight w:val="0"/>
          <w:marTop w:val="0"/>
          <w:marBottom w:val="0"/>
          <w:divBdr>
            <w:top w:val="none" w:sz="0" w:space="0" w:color="auto"/>
            <w:left w:val="none" w:sz="0" w:space="0" w:color="auto"/>
            <w:bottom w:val="none" w:sz="0" w:space="0" w:color="auto"/>
            <w:right w:val="none" w:sz="0" w:space="0" w:color="auto"/>
          </w:divBdr>
        </w:div>
        <w:div w:id="1695692644">
          <w:marLeft w:val="0"/>
          <w:marRight w:val="0"/>
          <w:marTop w:val="0"/>
          <w:marBottom w:val="0"/>
          <w:divBdr>
            <w:top w:val="none" w:sz="0" w:space="0" w:color="auto"/>
            <w:left w:val="none" w:sz="0" w:space="0" w:color="auto"/>
            <w:bottom w:val="none" w:sz="0" w:space="0" w:color="auto"/>
            <w:right w:val="none" w:sz="0" w:space="0" w:color="auto"/>
          </w:divBdr>
        </w:div>
        <w:div w:id="1714501791">
          <w:marLeft w:val="0"/>
          <w:marRight w:val="0"/>
          <w:marTop w:val="0"/>
          <w:marBottom w:val="0"/>
          <w:divBdr>
            <w:top w:val="none" w:sz="0" w:space="0" w:color="auto"/>
            <w:left w:val="none" w:sz="0" w:space="0" w:color="auto"/>
            <w:bottom w:val="none" w:sz="0" w:space="0" w:color="auto"/>
            <w:right w:val="none" w:sz="0" w:space="0" w:color="auto"/>
          </w:divBdr>
        </w:div>
        <w:div w:id="1717048804">
          <w:marLeft w:val="0"/>
          <w:marRight w:val="0"/>
          <w:marTop w:val="0"/>
          <w:marBottom w:val="0"/>
          <w:divBdr>
            <w:top w:val="none" w:sz="0" w:space="0" w:color="auto"/>
            <w:left w:val="none" w:sz="0" w:space="0" w:color="auto"/>
            <w:bottom w:val="none" w:sz="0" w:space="0" w:color="auto"/>
            <w:right w:val="none" w:sz="0" w:space="0" w:color="auto"/>
          </w:divBdr>
        </w:div>
        <w:div w:id="1731270764">
          <w:marLeft w:val="0"/>
          <w:marRight w:val="0"/>
          <w:marTop w:val="0"/>
          <w:marBottom w:val="0"/>
          <w:divBdr>
            <w:top w:val="none" w:sz="0" w:space="0" w:color="auto"/>
            <w:left w:val="none" w:sz="0" w:space="0" w:color="auto"/>
            <w:bottom w:val="none" w:sz="0" w:space="0" w:color="auto"/>
            <w:right w:val="none" w:sz="0" w:space="0" w:color="auto"/>
          </w:divBdr>
        </w:div>
        <w:div w:id="1742944573">
          <w:marLeft w:val="0"/>
          <w:marRight w:val="0"/>
          <w:marTop w:val="0"/>
          <w:marBottom w:val="0"/>
          <w:divBdr>
            <w:top w:val="none" w:sz="0" w:space="0" w:color="auto"/>
            <w:left w:val="none" w:sz="0" w:space="0" w:color="auto"/>
            <w:bottom w:val="none" w:sz="0" w:space="0" w:color="auto"/>
            <w:right w:val="none" w:sz="0" w:space="0" w:color="auto"/>
          </w:divBdr>
        </w:div>
        <w:div w:id="1774083076">
          <w:marLeft w:val="0"/>
          <w:marRight w:val="0"/>
          <w:marTop w:val="0"/>
          <w:marBottom w:val="0"/>
          <w:divBdr>
            <w:top w:val="none" w:sz="0" w:space="0" w:color="auto"/>
            <w:left w:val="none" w:sz="0" w:space="0" w:color="auto"/>
            <w:bottom w:val="none" w:sz="0" w:space="0" w:color="auto"/>
            <w:right w:val="none" w:sz="0" w:space="0" w:color="auto"/>
          </w:divBdr>
        </w:div>
        <w:div w:id="1774980660">
          <w:marLeft w:val="0"/>
          <w:marRight w:val="0"/>
          <w:marTop w:val="0"/>
          <w:marBottom w:val="0"/>
          <w:divBdr>
            <w:top w:val="none" w:sz="0" w:space="0" w:color="auto"/>
            <w:left w:val="none" w:sz="0" w:space="0" w:color="auto"/>
            <w:bottom w:val="none" w:sz="0" w:space="0" w:color="auto"/>
            <w:right w:val="none" w:sz="0" w:space="0" w:color="auto"/>
          </w:divBdr>
        </w:div>
        <w:div w:id="1783261941">
          <w:marLeft w:val="0"/>
          <w:marRight w:val="0"/>
          <w:marTop w:val="0"/>
          <w:marBottom w:val="0"/>
          <w:divBdr>
            <w:top w:val="none" w:sz="0" w:space="0" w:color="auto"/>
            <w:left w:val="none" w:sz="0" w:space="0" w:color="auto"/>
            <w:bottom w:val="none" w:sz="0" w:space="0" w:color="auto"/>
            <w:right w:val="none" w:sz="0" w:space="0" w:color="auto"/>
          </w:divBdr>
        </w:div>
        <w:div w:id="1786773629">
          <w:marLeft w:val="0"/>
          <w:marRight w:val="0"/>
          <w:marTop w:val="0"/>
          <w:marBottom w:val="0"/>
          <w:divBdr>
            <w:top w:val="none" w:sz="0" w:space="0" w:color="auto"/>
            <w:left w:val="none" w:sz="0" w:space="0" w:color="auto"/>
            <w:bottom w:val="none" w:sz="0" w:space="0" w:color="auto"/>
            <w:right w:val="none" w:sz="0" w:space="0" w:color="auto"/>
          </w:divBdr>
        </w:div>
        <w:div w:id="1854369928">
          <w:marLeft w:val="0"/>
          <w:marRight w:val="0"/>
          <w:marTop w:val="0"/>
          <w:marBottom w:val="0"/>
          <w:divBdr>
            <w:top w:val="none" w:sz="0" w:space="0" w:color="auto"/>
            <w:left w:val="none" w:sz="0" w:space="0" w:color="auto"/>
            <w:bottom w:val="none" w:sz="0" w:space="0" w:color="auto"/>
            <w:right w:val="none" w:sz="0" w:space="0" w:color="auto"/>
          </w:divBdr>
        </w:div>
        <w:div w:id="1871063935">
          <w:marLeft w:val="0"/>
          <w:marRight w:val="0"/>
          <w:marTop w:val="0"/>
          <w:marBottom w:val="0"/>
          <w:divBdr>
            <w:top w:val="none" w:sz="0" w:space="0" w:color="auto"/>
            <w:left w:val="none" w:sz="0" w:space="0" w:color="auto"/>
            <w:bottom w:val="none" w:sz="0" w:space="0" w:color="auto"/>
            <w:right w:val="none" w:sz="0" w:space="0" w:color="auto"/>
          </w:divBdr>
        </w:div>
        <w:div w:id="1888490099">
          <w:marLeft w:val="0"/>
          <w:marRight w:val="0"/>
          <w:marTop w:val="0"/>
          <w:marBottom w:val="0"/>
          <w:divBdr>
            <w:top w:val="none" w:sz="0" w:space="0" w:color="auto"/>
            <w:left w:val="none" w:sz="0" w:space="0" w:color="auto"/>
            <w:bottom w:val="none" w:sz="0" w:space="0" w:color="auto"/>
            <w:right w:val="none" w:sz="0" w:space="0" w:color="auto"/>
          </w:divBdr>
        </w:div>
        <w:div w:id="1900052099">
          <w:marLeft w:val="0"/>
          <w:marRight w:val="0"/>
          <w:marTop w:val="0"/>
          <w:marBottom w:val="0"/>
          <w:divBdr>
            <w:top w:val="none" w:sz="0" w:space="0" w:color="auto"/>
            <w:left w:val="none" w:sz="0" w:space="0" w:color="auto"/>
            <w:bottom w:val="none" w:sz="0" w:space="0" w:color="auto"/>
            <w:right w:val="none" w:sz="0" w:space="0" w:color="auto"/>
          </w:divBdr>
        </w:div>
        <w:div w:id="1901821542">
          <w:marLeft w:val="0"/>
          <w:marRight w:val="0"/>
          <w:marTop w:val="0"/>
          <w:marBottom w:val="0"/>
          <w:divBdr>
            <w:top w:val="none" w:sz="0" w:space="0" w:color="auto"/>
            <w:left w:val="none" w:sz="0" w:space="0" w:color="auto"/>
            <w:bottom w:val="none" w:sz="0" w:space="0" w:color="auto"/>
            <w:right w:val="none" w:sz="0" w:space="0" w:color="auto"/>
          </w:divBdr>
        </w:div>
        <w:div w:id="1905211658">
          <w:marLeft w:val="0"/>
          <w:marRight w:val="0"/>
          <w:marTop w:val="0"/>
          <w:marBottom w:val="0"/>
          <w:divBdr>
            <w:top w:val="none" w:sz="0" w:space="0" w:color="auto"/>
            <w:left w:val="none" w:sz="0" w:space="0" w:color="auto"/>
            <w:bottom w:val="none" w:sz="0" w:space="0" w:color="auto"/>
            <w:right w:val="none" w:sz="0" w:space="0" w:color="auto"/>
          </w:divBdr>
        </w:div>
        <w:div w:id="1915623920">
          <w:marLeft w:val="0"/>
          <w:marRight w:val="0"/>
          <w:marTop w:val="0"/>
          <w:marBottom w:val="0"/>
          <w:divBdr>
            <w:top w:val="none" w:sz="0" w:space="0" w:color="auto"/>
            <w:left w:val="none" w:sz="0" w:space="0" w:color="auto"/>
            <w:bottom w:val="none" w:sz="0" w:space="0" w:color="auto"/>
            <w:right w:val="none" w:sz="0" w:space="0" w:color="auto"/>
          </w:divBdr>
        </w:div>
        <w:div w:id="1923635769">
          <w:marLeft w:val="0"/>
          <w:marRight w:val="0"/>
          <w:marTop w:val="0"/>
          <w:marBottom w:val="0"/>
          <w:divBdr>
            <w:top w:val="none" w:sz="0" w:space="0" w:color="auto"/>
            <w:left w:val="none" w:sz="0" w:space="0" w:color="auto"/>
            <w:bottom w:val="none" w:sz="0" w:space="0" w:color="auto"/>
            <w:right w:val="none" w:sz="0" w:space="0" w:color="auto"/>
          </w:divBdr>
        </w:div>
        <w:div w:id="1948077539">
          <w:marLeft w:val="0"/>
          <w:marRight w:val="0"/>
          <w:marTop w:val="0"/>
          <w:marBottom w:val="0"/>
          <w:divBdr>
            <w:top w:val="none" w:sz="0" w:space="0" w:color="auto"/>
            <w:left w:val="none" w:sz="0" w:space="0" w:color="auto"/>
            <w:bottom w:val="none" w:sz="0" w:space="0" w:color="auto"/>
            <w:right w:val="none" w:sz="0" w:space="0" w:color="auto"/>
          </w:divBdr>
        </w:div>
        <w:div w:id="1952400146">
          <w:marLeft w:val="0"/>
          <w:marRight w:val="0"/>
          <w:marTop w:val="0"/>
          <w:marBottom w:val="0"/>
          <w:divBdr>
            <w:top w:val="none" w:sz="0" w:space="0" w:color="auto"/>
            <w:left w:val="none" w:sz="0" w:space="0" w:color="auto"/>
            <w:bottom w:val="none" w:sz="0" w:space="0" w:color="auto"/>
            <w:right w:val="none" w:sz="0" w:space="0" w:color="auto"/>
          </w:divBdr>
        </w:div>
        <w:div w:id="1985771500">
          <w:marLeft w:val="0"/>
          <w:marRight w:val="0"/>
          <w:marTop w:val="0"/>
          <w:marBottom w:val="0"/>
          <w:divBdr>
            <w:top w:val="none" w:sz="0" w:space="0" w:color="auto"/>
            <w:left w:val="none" w:sz="0" w:space="0" w:color="auto"/>
            <w:bottom w:val="none" w:sz="0" w:space="0" w:color="auto"/>
            <w:right w:val="none" w:sz="0" w:space="0" w:color="auto"/>
          </w:divBdr>
        </w:div>
        <w:div w:id="2016688143">
          <w:marLeft w:val="0"/>
          <w:marRight w:val="0"/>
          <w:marTop w:val="0"/>
          <w:marBottom w:val="0"/>
          <w:divBdr>
            <w:top w:val="none" w:sz="0" w:space="0" w:color="auto"/>
            <w:left w:val="none" w:sz="0" w:space="0" w:color="auto"/>
            <w:bottom w:val="none" w:sz="0" w:space="0" w:color="auto"/>
            <w:right w:val="none" w:sz="0" w:space="0" w:color="auto"/>
          </w:divBdr>
        </w:div>
        <w:div w:id="2021929037">
          <w:marLeft w:val="0"/>
          <w:marRight w:val="0"/>
          <w:marTop w:val="0"/>
          <w:marBottom w:val="0"/>
          <w:divBdr>
            <w:top w:val="none" w:sz="0" w:space="0" w:color="auto"/>
            <w:left w:val="none" w:sz="0" w:space="0" w:color="auto"/>
            <w:bottom w:val="none" w:sz="0" w:space="0" w:color="auto"/>
            <w:right w:val="none" w:sz="0" w:space="0" w:color="auto"/>
          </w:divBdr>
        </w:div>
        <w:div w:id="2028209408">
          <w:marLeft w:val="0"/>
          <w:marRight w:val="0"/>
          <w:marTop w:val="0"/>
          <w:marBottom w:val="0"/>
          <w:divBdr>
            <w:top w:val="none" w:sz="0" w:space="0" w:color="auto"/>
            <w:left w:val="none" w:sz="0" w:space="0" w:color="auto"/>
            <w:bottom w:val="none" w:sz="0" w:space="0" w:color="auto"/>
            <w:right w:val="none" w:sz="0" w:space="0" w:color="auto"/>
          </w:divBdr>
        </w:div>
      </w:divsChild>
    </w:div>
    <w:div w:id="943340413">
      <w:bodyDiv w:val="1"/>
      <w:marLeft w:val="0"/>
      <w:marRight w:val="0"/>
      <w:marTop w:val="0"/>
      <w:marBottom w:val="0"/>
      <w:divBdr>
        <w:top w:val="none" w:sz="0" w:space="0" w:color="auto"/>
        <w:left w:val="none" w:sz="0" w:space="0" w:color="auto"/>
        <w:bottom w:val="none" w:sz="0" w:space="0" w:color="auto"/>
        <w:right w:val="none" w:sz="0" w:space="0" w:color="auto"/>
      </w:divBdr>
    </w:div>
    <w:div w:id="943342356">
      <w:bodyDiv w:val="1"/>
      <w:marLeft w:val="0"/>
      <w:marRight w:val="0"/>
      <w:marTop w:val="0"/>
      <w:marBottom w:val="0"/>
      <w:divBdr>
        <w:top w:val="none" w:sz="0" w:space="0" w:color="auto"/>
        <w:left w:val="none" w:sz="0" w:space="0" w:color="auto"/>
        <w:bottom w:val="none" w:sz="0" w:space="0" w:color="auto"/>
        <w:right w:val="none" w:sz="0" w:space="0" w:color="auto"/>
      </w:divBdr>
    </w:div>
    <w:div w:id="943459009">
      <w:bodyDiv w:val="1"/>
      <w:marLeft w:val="0"/>
      <w:marRight w:val="0"/>
      <w:marTop w:val="0"/>
      <w:marBottom w:val="0"/>
      <w:divBdr>
        <w:top w:val="none" w:sz="0" w:space="0" w:color="auto"/>
        <w:left w:val="none" w:sz="0" w:space="0" w:color="auto"/>
        <w:bottom w:val="none" w:sz="0" w:space="0" w:color="auto"/>
        <w:right w:val="none" w:sz="0" w:space="0" w:color="auto"/>
      </w:divBdr>
    </w:div>
    <w:div w:id="943532240">
      <w:bodyDiv w:val="1"/>
      <w:marLeft w:val="0"/>
      <w:marRight w:val="0"/>
      <w:marTop w:val="0"/>
      <w:marBottom w:val="0"/>
      <w:divBdr>
        <w:top w:val="none" w:sz="0" w:space="0" w:color="auto"/>
        <w:left w:val="none" w:sz="0" w:space="0" w:color="auto"/>
        <w:bottom w:val="none" w:sz="0" w:space="0" w:color="auto"/>
        <w:right w:val="none" w:sz="0" w:space="0" w:color="auto"/>
      </w:divBdr>
    </w:div>
    <w:div w:id="943537103">
      <w:bodyDiv w:val="1"/>
      <w:marLeft w:val="0"/>
      <w:marRight w:val="0"/>
      <w:marTop w:val="0"/>
      <w:marBottom w:val="0"/>
      <w:divBdr>
        <w:top w:val="none" w:sz="0" w:space="0" w:color="auto"/>
        <w:left w:val="none" w:sz="0" w:space="0" w:color="auto"/>
        <w:bottom w:val="none" w:sz="0" w:space="0" w:color="auto"/>
        <w:right w:val="none" w:sz="0" w:space="0" w:color="auto"/>
      </w:divBdr>
    </w:div>
    <w:div w:id="943616154">
      <w:bodyDiv w:val="1"/>
      <w:marLeft w:val="0"/>
      <w:marRight w:val="0"/>
      <w:marTop w:val="0"/>
      <w:marBottom w:val="0"/>
      <w:divBdr>
        <w:top w:val="none" w:sz="0" w:space="0" w:color="auto"/>
        <w:left w:val="none" w:sz="0" w:space="0" w:color="auto"/>
        <w:bottom w:val="none" w:sz="0" w:space="0" w:color="auto"/>
        <w:right w:val="none" w:sz="0" w:space="0" w:color="auto"/>
      </w:divBdr>
    </w:div>
    <w:div w:id="943616642">
      <w:bodyDiv w:val="1"/>
      <w:marLeft w:val="0"/>
      <w:marRight w:val="0"/>
      <w:marTop w:val="0"/>
      <w:marBottom w:val="0"/>
      <w:divBdr>
        <w:top w:val="none" w:sz="0" w:space="0" w:color="auto"/>
        <w:left w:val="none" w:sz="0" w:space="0" w:color="auto"/>
        <w:bottom w:val="none" w:sz="0" w:space="0" w:color="auto"/>
        <w:right w:val="none" w:sz="0" w:space="0" w:color="auto"/>
      </w:divBdr>
    </w:div>
    <w:div w:id="943653963">
      <w:bodyDiv w:val="1"/>
      <w:marLeft w:val="0"/>
      <w:marRight w:val="0"/>
      <w:marTop w:val="0"/>
      <w:marBottom w:val="0"/>
      <w:divBdr>
        <w:top w:val="none" w:sz="0" w:space="0" w:color="auto"/>
        <w:left w:val="none" w:sz="0" w:space="0" w:color="auto"/>
        <w:bottom w:val="none" w:sz="0" w:space="0" w:color="auto"/>
        <w:right w:val="none" w:sz="0" w:space="0" w:color="auto"/>
      </w:divBdr>
    </w:div>
    <w:div w:id="943808037">
      <w:bodyDiv w:val="1"/>
      <w:marLeft w:val="0"/>
      <w:marRight w:val="0"/>
      <w:marTop w:val="0"/>
      <w:marBottom w:val="0"/>
      <w:divBdr>
        <w:top w:val="none" w:sz="0" w:space="0" w:color="auto"/>
        <w:left w:val="none" w:sz="0" w:space="0" w:color="auto"/>
        <w:bottom w:val="none" w:sz="0" w:space="0" w:color="auto"/>
        <w:right w:val="none" w:sz="0" w:space="0" w:color="auto"/>
      </w:divBdr>
    </w:div>
    <w:div w:id="943876714">
      <w:bodyDiv w:val="1"/>
      <w:marLeft w:val="0"/>
      <w:marRight w:val="0"/>
      <w:marTop w:val="0"/>
      <w:marBottom w:val="0"/>
      <w:divBdr>
        <w:top w:val="none" w:sz="0" w:space="0" w:color="auto"/>
        <w:left w:val="none" w:sz="0" w:space="0" w:color="auto"/>
        <w:bottom w:val="none" w:sz="0" w:space="0" w:color="auto"/>
        <w:right w:val="none" w:sz="0" w:space="0" w:color="auto"/>
      </w:divBdr>
    </w:div>
    <w:div w:id="944076774">
      <w:bodyDiv w:val="1"/>
      <w:marLeft w:val="0"/>
      <w:marRight w:val="0"/>
      <w:marTop w:val="0"/>
      <w:marBottom w:val="0"/>
      <w:divBdr>
        <w:top w:val="none" w:sz="0" w:space="0" w:color="auto"/>
        <w:left w:val="none" w:sz="0" w:space="0" w:color="auto"/>
        <w:bottom w:val="none" w:sz="0" w:space="0" w:color="auto"/>
        <w:right w:val="none" w:sz="0" w:space="0" w:color="auto"/>
      </w:divBdr>
    </w:div>
    <w:div w:id="944077413">
      <w:bodyDiv w:val="1"/>
      <w:marLeft w:val="0"/>
      <w:marRight w:val="0"/>
      <w:marTop w:val="0"/>
      <w:marBottom w:val="0"/>
      <w:divBdr>
        <w:top w:val="none" w:sz="0" w:space="0" w:color="auto"/>
        <w:left w:val="none" w:sz="0" w:space="0" w:color="auto"/>
        <w:bottom w:val="none" w:sz="0" w:space="0" w:color="auto"/>
        <w:right w:val="none" w:sz="0" w:space="0" w:color="auto"/>
      </w:divBdr>
    </w:div>
    <w:div w:id="944187745">
      <w:bodyDiv w:val="1"/>
      <w:marLeft w:val="0"/>
      <w:marRight w:val="0"/>
      <w:marTop w:val="0"/>
      <w:marBottom w:val="0"/>
      <w:divBdr>
        <w:top w:val="none" w:sz="0" w:space="0" w:color="auto"/>
        <w:left w:val="none" w:sz="0" w:space="0" w:color="auto"/>
        <w:bottom w:val="none" w:sz="0" w:space="0" w:color="auto"/>
        <w:right w:val="none" w:sz="0" w:space="0" w:color="auto"/>
      </w:divBdr>
    </w:div>
    <w:div w:id="944188969">
      <w:bodyDiv w:val="1"/>
      <w:marLeft w:val="0"/>
      <w:marRight w:val="0"/>
      <w:marTop w:val="0"/>
      <w:marBottom w:val="0"/>
      <w:divBdr>
        <w:top w:val="none" w:sz="0" w:space="0" w:color="auto"/>
        <w:left w:val="none" w:sz="0" w:space="0" w:color="auto"/>
        <w:bottom w:val="none" w:sz="0" w:space="0" w:color="auto"/>
        <w:right w:val="none" w:sz="0" w:space="0" w:color="auto"/>
      </w:divBdr>
    </w:div>
    <w:div w:id="944191646">
      <w:bodyDiv w:val="1"/>
      <w:marLeft w:val="0"/>
      <w:marRight w:val="0"/>
      <w:marTop w:val="0"/>
      <w:marBottom w:val="0"/>
      <w:divBdr>
        <w:top w:val="none" w:sz="0" w:space="0" w:color="auto"/>
        <w:left w:val="none" w:sz="0" w:space="0" w:color="auto"/>
        <w:bottom w:val="none" w:sz="0" w:space="0" w:color="auto"/>
        <w:right w:val="none" w:sz="0" w:space="0" w:color="auto"/>
      </w:divBdr>
    </w:div>
    <w:div w:id="944192453">
      <w:bodyDiv w:val="1"/>
      <w:marLeft w:val="0"/>
      <w:marRight w:val="0"/>
      <w:marTop w:val="0"/>
      <w:marBottom w:val="0"/>
      <w:divBdr>
        <w:top w:val="none" w:sz="0" w:space="0" w:color="auto"/>
        <w:left w:val="none" w:sz="0" w:space="0" w:color="auto"/>
        <w:bottom w:val="none" w:sz="0" w:space="0" w:color="auto"/>
        <w:right w:val="none" w:sz="0" w:space="0" w:color="auto"/>
      </w:divBdr>
    </w:div>
    <w:div w:id="944269040">
      <w:bodyDiv w:val="1"/>
      <w:marLeft w:val="0"/>
      <w:marRight w:val="0"/>
      <w:marTop w:val="0"/>
      <w:marBottom w:val="0"/>
      <w:divBdr>
        <w:top w:val="none" w:sz="0" w:space="0" w:color="auto"/>
        <w:left w:val="none" w:sz="0" w:space="0" w:color="auto"/>
        <w:bottom w:val="none" w:sz="0" w:space="0" w:color="auto"/>
        <w:right w:val="none" w:sz="0" w:space="0" w:color="auto"/>
      </w:divBdr>
    </w:div>
    <w:div w:id="944581859">
      <w:bodyDiv w:val="1"/>
      <w:marLeft w:val="0"/>
      <w:marRight w:val="0"/>
      <w:marTop w:val="0"/>
      <w:marBottom w:val="0"/>
      <w:divBdr>
        <w:top w:val="none" w:sz="0" w:space="0" w:color="auto"/>
        <w:left w:val="none" w:sz="0" w:space="0" w:color="auto"/>
        <w:bottom w:val="none" w:sz="0" w:space="0" w:color="auto"/>
        <w:right w:val="none" w:sz="0" w:space="0" w:color="auto"/>
      </w:divBdr>
    </w:div>
    <w:div w:id="944652947">
      <w:bodyDiv w:val="1"/>
      <w:marLeft w:val="0"/>
      <w:marRight w:val="0"/>
      <w:marTop w:val="0"/>
      <w:marBottom w:val="0"/>
      <w:divBdr>
        <w:top w:val="none" w:sz="0" w:space="0" w:color="auto"/>
        <w:left w:val="none" w:sz="0" w:space="0" w:color="auto"/>
        <w:bottom w:val="none" w:sz="0" w:space="0" w:color="auto"/>
        <w:right w:val="none" w:sz="0" w:space="0" w:color="auto"/>
      </w:divBdr>
    </w:div>
    <w:div w:id="944654012">
      <w:bodyDiv w:val="1"/>
      <w:marLeft w:val="0"/>
      <w:marRight w:val="0"/>
      <w:marTop w:val="0"/>
      <w:marBottom w:val="0"/>
      <w:divBdr>
        <w:top w:val="none" w:sz="0" w:space="0" w:color="auto"/>
        <w:left w:val="none" w:sz="0" w:space="0" w:color="auto"/>
        <w:bottom w:val="none" w:sz="0" w:space="0" w:color="auto"/>
        <w:right w:val="none" w:sz="0" w:space="0" w:color="auto"/>
      </w:divBdr>
    </w:div>
    <w:div w:id="944767739">
      <w:bodyDiv w:val="1"/>
      <w:marLeft w:val="0"/>
      <w:marRight w:val="0"/>
      <w:marTop w:val="0"/>
      <w:marBottom w:val="0"/>
      <w:divBdr>
        <w:top w:val="none" w:sz="0" w:space="0" w:color="auto"/>
        <w:left w:val="none" w:sz="0" w:space="0" w:color="auto"/>
        <w:bottom w:val="none" w:sz="0" w:space="0" w:color="auto"/>
        <w:right w:val="none" w:sz="0" w:space="0" w:color="auto"/>
      </w:divBdr>
    </w:div>
    <w:div w:id="944773055">
      <w:bodyDiv w:val="1"/>
      <w:marLeft w:val="0"/>
      <w:marRight w:val="0"/>
      <w:marTop w:val="0"/>
      <w:marBottom w:val="0"/>
      <w:divBdr>
        <w:top w:val="none" w:sz="0" w:space="0" w:color="auto"/>
        <w:left w:val="none" w:sz="0" w:space="0" w:color="auto"/>
        <w:bottom w:val="none" w:sz="0" w:space="0" w:color="auto"/>
        <w:right w:val="none" w:sz="0" w:space="0" w:color="auto"/>
      </w:divBdr>
    </w:div>
    <w:div w:id="944851613">
      <w:bodyDiv w:val="1"/>
      <w:marLeft w:val="0"/>
      <w:marRight w:val="0"/>
      <w:marTop w:val="0"/>
      <w:marBottom w:val="0"/>
      <w:divBdr>
        <w:top w:val="none" w:sz="0" w:space="0" w:color="auto"/>
        <w:left w:val="none" w:sz="0" w:space="0" w:color="auto"/>
        <w:bottom w:val="none" w:sz="0" w:space="0" w:color="auto"/>
        <w:right w:val="none" w:sz="0" w:space="0" w:color="auto"/>
      </w:divBdr>
    </w:div>
    <w:div w:id="945045141">
      <w:bodyDiv w:val="1"/>
      <w:marLeft w:val="0"/>
      <w:marRight w:val="0"/>
      <w:marTop w:val="0"/>
      <w:marBottom w:val="0"/>
      <w:divBdr>
        <w:top w:val="none" w:sz="0" w:space="0" w:color="auto"/>
        <w:left w:val="none" w:sz="0" w:space="0" w:color="auto"/>
        <w:bottom w:val="none" w:sz="0" w:space="0" w:color="auto"/>
        <w:right w:val="none" w:sz="0" w:space="0" w:color="auto"/>
      </w:divBdr>
    </w:div>
    <w:div w:id="945045548">
      <w:bodyDiv w:val="1"/>
      <w:marLeft w:val="0"/>
      <w:marRight w:val="0"/>
      <w:marTop w:val="0"/>
      <w:marBottom w:val="0"/>
      <w:divBdr>
        <w:top w:val="none" w:sz="0" w:space="0" w:color="auto"/>
        <w:left w:val="none" w:sz="0" w:space="0" w:color="auto"/>
        <w:bottom w:val="none" w:sz="0" w:space="0" w:color="auto"/>
        <w:right w:val="none" w:sz="0" w:space="0" w:color="auto"/>
      </w:divBdr>
    </w:div>
    <w:div w:id="945119385">
      <w:bodyDiv w:val="1"/>
      <w:marLeft w:val="0"/>
      <w:marRight w:val="0"/>
      <w:marTop w:val="0"/>
      <w:marBottom w:val="0"/>
      <w:divBdr>
        <w:top w:val="none" w:sz="0" w:space="0" w:color="auto"/>
        <w:left w:val="none" w:sz="0" w:space="0" w:color="auto"/>
        <w:bottom w:val="none" w:sz="0" w:space="0" w:color="auto"/>
        <w:right w:val="none" w:sz="0" w:space="0" w:color="auto"/>
      </w:divBdr>
    </w:div>
    <w:div w:id="945229461">
      <w:bodyDiv w:val="1"/>
      <w:marLeft w:val="0"/>
      <w:marRight w:val="0"/>
      <w:marTop w:val="0"/>
      <w:marBottom w:val="0"/>
      <w:divBdr>
        <w:top w:val="none" w:sz="0" w:space="0" w:color="auto"/>
        <w:left w:val="none" w:sz="0" w:space="0" w:color="auto"/>
        <w:bottom w:val="none" w:sz="0" w:space="0" w:color="auto"/>
        <w:right w:val="none" w:sz="0" w:space="0" w:color="auto"/>
      </w:divBdr>
    </w:div>
    <w:div w:id="945232119">
      <w:bodyDiv w:val="1"/>
      <w:marLeft w:val="0"/>
      <w:marRight w:val="0"/>
      <w:marTop w:val="0"/>
      <w:marBottom w:val="0"/>
      <w:divBdr>
        <w:top w:val="none" w:sz="0" w:space="0" w:color="auto"/>
        <w:left w:val="none" w:sz="0" w:space="0" w:color="auto"/>
        <w:bottom w:val="none" w:sz="0" w:space="0" w:color="auto"/>
        <w:right w:val="none" w:sz="0" w:space="0" w:color="auto"/>
      </w:divBdr>
    </w:div>
    <w:div w:id="945304957">
      <w:bodyDiv w:val="1"/>
      <w:marLeft w:val="0"/>
      <w:marRight w:val="0"/>
      <w:marTop w:val="0"/>
      <w:marBottom w:val="0"/>
      <w:divBdr>
        <w:top w:val="none" w:sz="0" w:space="0" w:color="auto"/>
        <w:left w:val="none" w:sz="0" w:space="0" w:color="auto"/>
        <w:bottom w:val="none" w:sz="0" w:space="0" w:color="auto"/>
        <w:right w:val="none" w:sz="0" w:space="0" w:color="auto"/>
      </w:divBdr>
    </w:div>
    <w:div w:id="945309299">
      <w:bodyDiv w:val="1"/>
      <w:marLeft w:val="0"/>
      <w:marRight w:val="0"/>
      <w:marTop w:val="0"/>
      <w:marBottom w:val="0"/>
      <w:divBdr>
        <w:top w:val="none" w:sz="0" w:space="0" w:color="auto"/>
        <w:left w:val="none" w:sz="0" w:space="0" w:color="auto"/>
        <w:bottom w:val="none" w:sz="0" w:space="0" w:color="auto"/>
        <w:right w:val="none" w:sz="0" w:space="0" w:color="auto"/>
      </w:divBdr>
    </w:div>
    <w:div w:id="945430559">
      <w:bodyDiv w:val="1"/>
      <w:marLeft w:val="0"/>
      <w:marRight w:val="0"/>
      <w:marTop w:val="0"/>
      <w:marBottom w:val="0"/>
      <w:divBdr>
        <w:top w:val="none" w:sz="0" w:space="0" w:color="auto"/>
        <w:left w:val="none" w:sz="0" w:space="0" w:color="auto"/>
        <w:bottom w:val="none" w:sz="0" w:space="0" w:color="auto"/>
        <w:right w:val="none" w:sz="0" w:space="0" w:color="auto"/>
      </w:divBdr>
    </w:div>
    <w:div w:id="945500521">
      <w:bodyDiv w:val="1"/>
      <w:marLeft w:val="0"/>
      <w:marRight w:val="0"/>
      <w:marTop w:val="0"/>
      <w:marBottom w:val="0"/>
      <w:divBdr>
        <w:top w:val="none" w:sz="0" w:space="0" w:color="auto"/>
        <w:left w:val="none" w:sz="0" w:space="0" w:color="auto"/>
        <w:bottom w:val="none" w:sz="0" w:space="0" w:color="auto"/>
        <w:right w:val="none" w:sz="0" w:space="0" w:color="auto"/>
      </w:divBdr>
    </w:div>
    <w:div w:id="945651285">
      <w:bodyDiv w:val="1"/>
      <w:marLeft w:val="0"/>
      <w:marRight w:val="0"/>
      <w:marTop w:val="0"/>
      <w:marBottom w:val="0"/>
      <w:divBdr>
        <w:top w:val="none" w:sz="0" w:space="0" w:color="auto"/>
        <w:left w:val="none" w:sz="0" w:space="0" w:color="auto"/>
        <w:bottom w:val="none" w:sz="0" w:space="0" w:color="auto"/>
        <w:right w:val="none" w:sz="0" w:space="0" w:color="auto"/>
      </w:divBdr>
    </w:div>
    <w:div w:id="945815947">
      <w:bodyDiv w:val="1"/>
      <w:marLeft w:val="0"/>
      <w:marRight w:val="0"/>
      <w:marTop w:val="0"/>
      <w:marBottom w:val="0"/>
      <w:divBdr>
        <w:top w:val="none" w:sz="0" w:space="0" w:color="auto"/>
        <w:left w:val="none" w:sz="0" w:space="0" w:color="auto"/>
        <w:bottom w:val="none" w:sz="0" w:space="0" w:color="auto"/>
        <w:right w:val="none" w:sz="0" w:space="0" w:color="auto"/>
      </w:divBdr>
    </w:div>
    <w:div w:id="945891079">
      <w:bodyDiv w:val="1"/>
      <w:marLeft w:val="0"/>
      <w:marRight w:val="0"/>
      <w:marTop w:val="0"/>
      <w:marBottom w:val="0"/>
      <w:divBdr>
        <w:top w:val="none" w:sz="0" w:space="0" w:color="auto"/>
        <w:left w:val="none" w:sz="0" w:space="0" w:color="auto"/>
        <w:bottom w:val="none" w:sz="0" w:space="0" w:color="auto"/>
        <w:right w:val="none" w:sz="0" w:space="0" w:color="auto"/>
      </w:divBdr>
    </w:div>
    <w:div w:id="945960707">
      <w:bodyDiv w:val="1"/>
      <w:marLeft w:val="0"/>
      <w:marRight w:val="0"/>
      <w:marTop w:val="0"/>
      <w:marBottom w:val="0"/>
      <w:divBdr>
        <w:top w:val="none" w:sz="0" w:space="0" w:color="auto"/>
        <w:left w:val="none" w:sz="0" w:space="0" w:color="auto"/>
        <w:bottom w:val="none" w:sz="0" w:space="0" w:color="auto"/>
        <w:right w:val="none" w:sz="0" w:space="0" w:color="auto"/>
      </w:divBdr>
    </w:div>
    <w:div w:id="945966635">
      <w:bodyDiv w:val="1"/>
      <w:marLeft w:val="0"/>
      <w:marRight w:val="0"/>
      <w:marTop w:val="0"/>
      <w:marBottom w:val="0"/>
      <w:divBdr>
        <w:top w:val="none" w:sz="0" w:space="0" w:color="auto"/>
        <w:left w:val="none" w:sz="0" w:space="0" w:color="auto"/>
        <w:bottom w:val="none" w:sz="0" w:space="0" w:color="auto"/>
        <w:right w:val="none" w:sz="0" w:space="0" w:color="auto"/>
      </w:divBdr>
    </w:div>
    <w:div w:id="946041304">
      <w:bodyDiv w:val="1"/>
      <w:marLeft w:val="0"/>
      <w:marRight w:val="0"/>
      <w:marTop w:val="0"/>
      <w:marBottom w:val="0"/>
      <w:divBdr>
        <w:top w:val="none" w:sz="0" w:space="0" w:color="auto"/>
        <w:left w:val="none" w:sz="0" w:space="0" w:color="auto"/>
        <w:bottom w:val="none" w:sz="0" w:space="0" w:color="auto"/>
        <w:right w:val="none" w:sz="0" w:space="0" w:color="auto"/>
      </w:divBdr>
    </w:div>
    <w:div w:id="946087243">
      <w:bodyDiv w:val="1"/>
      <w:marLeft w:val="0"/>
      <w:marRight w:val="0"/>
      <w:marTop w:val="0"/>
      <w:marBottom w:val="0"/>
      <w:divBdr>
        <w:top w:val="none" w:sz="0" w:space="0" w:color="auto"/>
        <w:left w:val="none" w:sz="0" w:space="0" w:color="auto"/>
        <w:bottom w:val="none" w:sz="0" w:space="0" w:color="auto"/>
        <w:right w:val="none" w:sz="0" w:space="0" w:color="auto"/>
      </w:divBdr>
    </w:div>
    <w:div w:id="946349957">
      <w:bodyDiv w:val="1"/>
      <w:marLeft w:val="0"/>
      <w:marRight w:val="0"/>
      <w:marTop w:val="0"/>
      <w:marBottom w:val="0"/>
      <w:divBdr>
        <w:top w:val="none" w:sz="0" w:space="0" w:color="auto"/>
        <w:left w:val="none" w:sz="0" w:space="0" w:color="auto"/>
        <w:bottom w:val="none" w:sz="0" w:space="0" w:color="auto"/>
        <w:right w:val="none" w:sz="0" w:space="0" w:color="auto"/>
      </w:divBdr>
    </w:div>
    <w:div w:id="946546668">
      <w:bodyDiv w:val="1"/>
      <w:marLeft w:val="0"/>
      <w:marRight w:val="0"/>
      <w:marTop w:val="0"/>
      <w:marBottom w:val="0"/>
      <w:divBdr>
        <w:top w:val="none" w:sz="0" w:space="0" w:color="auto"/>
        <w:left w:val="none" w:sz="0" w:space="0" w:color="auto"/>
        <w:bottom w:val="none" w:sz="0" w:space="0" w:color="auto"/>
        <w:right w:val="none" w:sz="0" w:space="0" w:color="auto"/>
      </w:divBdr>
    </w:div>
    <w:div w:id="946548615">
      <w:bodyDiv w:val="1"/>
      <w:marLeft w:val="0"/>
      <w:marRight w:val="0"/>
      <w:marTop w:val="0"/>
      <w:marBottom w:val="0"/>
      <w:divBdr>
        <w:top w:val="none" w:sz="0" w:space="0" w:color="auto"/>
        <w:left w:val="none" w:sz="0" w:space="0" w:color="auto"/>
        <w:bottom w:val="none" w:sz="0" w:space="0" w:color="auto"/>
        <w:right w:val="none" w:sz="0" w:space="0" w:color="auto"/>
      </w:divBdr>
    </w:div>
    <w:div w:id="946617549">
      <w:bodyDiv w:val="1"/>
      <w:marLeft w:val="0"/>
      <w:marRight w:val="0"/>
      <w:marTop w:val="0"/>
      <w:marBottom w:val="0"/>
      <w:divBdr>
        <w:top w:val="none" w:sz="0" w:space="0" w:color="auto"/>
        <w:left w:val="none" w:sz="0" w:space="0" w:color="auto"/>
        <w:bottom w:val="none" w:sz="0" w:space="0" w:color="auto"/>
        <w:right w:val="none" w:sz="0" w:space="0" w:color="auto"/>
      </w:divBdr>
    </w:div>
    <w:div w:id="946623217">
      <w:bodyDiv w:val="1"/>
      <w:marLeft w:val="0"/>
      <w:marRight w:val="0"/>
      <w:marTop w:val="0"/>
      <w:marBottom w:val="0"/>
      <w:divBdr>
        <w:top w:val="none" w:sz="0" w:space="0" w:color="auto"/>
        <w:left w:val="none" w:sz="0" w:space="0" w:color="auto"/>
        <w:bottom w:val="none" w:sz="0" w:space="0" w:color="auto"/>
        <w:right w:val="none" w:sz="0" w:space="0" w:color="auto"/>
      </w:divBdr>
    </w:div>
    <w:div w:id="946733116">
      <w:bodyDiv w:val="1"/>
      <w:marLeft w:val="0"/>
      <w:marRight w:val="0"/>
      <w:marTop w:val="0"/>
      <w:marBottom w:val="0"/>
      <w:divBdr>
        <w:top w:val="none" w:sz="0" w:space="0" w:color="auto"/>
        <w:left w:val="none" w:sz="0" w:space="0" w:color="auto"/>
        <w:bottom w:val="none" w:sz="0" w:space="0" w:color="auto"/>
        <w:right w:val="none" w:sz="0" w:space="0" w:color="auto"/>
      </w:divBdr>
    </w:div>
    <w:div w:id="946740428">
      <w:bodyDiv w:val="1"/>
      <w:marLeft w:val="0"/>
      <w:marRight w:val="0"/>
      <w:marTop w:val="0"/>
      <w:marBottom w:val="0"/>
      <w:divBdr>
        <w:top w:val="none" w:sz="0" w:space="0" w:color="auto"/>
        <w:left w:val="none" w:sz="0" w:space="0" w:color="auto"/>
        <w:bottom w:val="none" w:sz="0" w:space="0" w:color="auto"/>
        <w:right w:val="none" w:sz="0" w:space="0" w:color="auto"/>
      </w:divBdr>
    </w:div>
    <w:div w:id="946812973">
      <w:bodyDiv w:val="1"/>
      <w:marLeft w:val="0"/>
      <w:marRight w:val="0"/>
      <w:marTop w:val="0"/>
      <w:marBottom w:val="0"/>
      <w:divBdr>
        <w:top w:val="none" w:sz="0" w:space="0" w:color="auto"/>
        <w:left w:val="none" w:sz="0" w:space="0" w:color="auto"/>
        <w:bottom w:val="none" w:sz="0" w:space="0" w:color="auto"/>
        <w:right w:val="none" w:sz="0" w:space="0" w:color="auto"/>
      </w:divBdr>
    </w:div>
    <w:div w:id="946816903">
      <w:bodyDiv w:val="1"/>
      <w:marLeft w:val="0"/>
      <w:marRight w:val="0"/>
      <w:marTop w:val="0"/>
      <w:marBottom w:val="0"/>
      <w:divBdr>
        <w:top w:val="none" w:sz="0" w:space="0" w:color="auto"/>
        <w:left w:val="none" w:sz="0" w:space="0" w:color="auto"/>
        <w:bottom w:val="none" w:sz="0" w:space="0" w:color="auto"/>
        <w:right w:val="none" w:sz="0" w:space="0" w:color="auto"/>
      </w:divBdr>
    </w:div>
    <w:div w:id="947010753">
      <w:bodyDiv w:val="1"/>
      <w:marLeft w:val="0"/>
      <w:marRight w:val="0"/>
      <w:marTop w:val="0"/>
      <w:marBottom w:val="0"/>
      <w:divBdr>
        <w:top w:val="none" w:sz="0" w:space="0" w:color="auto"/>
        <w:left w:val="none" w:sz="0" w:space="0" w:color="auto"/>
        <w:bottom w:val="none" w:sz="0" w:space="0" w:color="auto"/>
        <w:right w:val="none" w:sz="0" w:space="0" w:color="auto"/>
      </w:divBdr>
    </w:div>
    <w:div w:id="947126331">
      <w:bodyDiv w:val="1"/>
      <w:marLeft w:val="0"/>
      <w:marRight w:val="0"/>
      <w:marTop w:val="0"/>
      <w:marBottom w:val="0"/>
      <w:divBdr>
        <w:top w:val="none" w:sz="0" w:space="0" w:color="auto"/>
        <w:left w:val="none" w:sz="0" w:space="0" w:color="auto"/>
        <w:bottom w:val="none" w:sz="0" w:space="0" w:color="auto"/>
        <w:right w:val="none" w:sz="0" w:space="0" w:color="auto"/>
      </w:divBdr>
    </w:div>
    <w:div w:id="947127101">
      <w:bodyDiv w:val="1"/>
      <w:marLeft w:val="0"/>
      <w:marRight w:val="0"/>
      <w:marTop w:val="0"/>
      <w:marBottom w:val="0"/>
      <w:divBdr>
        <w:top w:val="none" w:sz="0" w:space="0" w:color="auto"/>
        <w:left w:val="none" w:sz="0" w:space="0" w:color="auto"/>
        <w:bottom w:val="none" w:sz="0" w:space="0" w:color="auto"/>
        <w:right w:val="none" w:sz="0" w:space="0" w:color="auto"/>
      </w:divBdr>
    </w:div>
    <w:div w:id="947158719">
      <w:bodyDiv w:val="1"/>
      <w:marLeft w:val="0"/>
      <w:marRight w:val="0"/>
      <w:marTop w:val="0"/>
      <w:marBottom w:val="0"/>
      <w:divBdr>
        <w:top w:val="none" w:sz="0" w:space="0" w:color="auto"/>
        <w:left w:val="none" w:sz="0" w:space="0" w:color="auto"/>
        <w:bottom w:val="none" w:sz="0" w:space="0" w:color="auto"/>
        <w:right w:val="none" w:sz="0" w:space="0" w:color="auto"/>
      </w:divBdr>
    </w:div>
    <w:div w:id="947396001">
      <w:bodyDiv w:val="1"/>
      <w:marLeft w:val="0"/>
      <w:marRight w:val="0"/>
      <w:marTop w:val="0"/>
      <w:marBottom w:val="0"/>
      <w:divBdr>
        <w:top w:val="none" w:sz="0" w:space="0" w:color="auto"/>
        <w:left w:val="none" w:sz="0" w:space="0" w:color="auto"/>
        <w:bottom w:val="none" w:sz="0" w:space="0" w:color="auto"/>
        <w:right w:val="none" w:sz="0" w:space="0" w:color="auto"/>
      </w:divBdr>
    </w:div>
    <w:div w:id="947464996">
      <w:bodyDiv w:val="1"/>
      <w:marLeft w:val="0"/>
      <w:marRight w:val="0"/>
      <w:marTop w:val="0"/>
      <w:marBottom w:val="0"/>
      <w:divBdr>
        <w:top w:val="none" w:sz="0" w:space="0" w:color="auto"/>
        <w:left w:val="none" w:sz="0" w:space="0" w:color="auto"/>
        <w:bottom w:val="none" w:sz="0" w:space="0" w:color="auto"/>
        <w:right w:val="none" w:sz="0" w:space="0" w:color="auto"/>
      </w:divBdr>
    </w:div>
    <w:div w:id="947660264">
      <w:bodyDiv w:val="1"/>
      <w:marLeft w:val="0"/>
      <w:marRight w:val="0"/>
      <w:marTop w:val="0"/>
      <w:marBottom w:val="0"/>
      <w:divBdr>
        <w:top w:val="none" w:sz="0" w:space="0" w:color="auto"/>
        <w:left w:val="none" w:sz="0" w:space="0" w:color="auto"/>
        <w:bottom w:val="none" w:sz="0" w:space="0" w:color="auto"/>
        <w:right w:val="none" w:sz="0" w:space="0" w:color="auto"/>
      </w:divBdr>
    </w:div>
    <w:div w:id="947660792">
      <w:bodyDiv w:val="1"/>
      <w:marLeft w:val="0"/>
      <w:marRight w:val="0"/>
      <w:marTop w:val="0"/>
      <w:marBottom w:val="0"/>
      <w:divBdr>
        <w:top w:val="none" w:sz="0" w:space="0" w:color="auto"/>
        <w:left w:val="none" w:sz="0" w:space="0" w:color="auto"/>
        <w:bottom w:val="none" w:sz="0" w:space="0" w:color="auto"/>
        <w:right w:val="none" w:sz="0" w:space="0" w:color="auto"/>
      </w:divBdr>
    </w:div>
    <w:div w:id="947663433">
      <w:bodyDiv w:val="1"/>
      <w:marLeft w:val="0"/>
      <w:marRight w:val="0"/>
      <w:marTop w:val="0"/>
      <w:marBottom w:val="0"/>
      <w:divBdr>
        <w:top w:val="none" w:sz="0" w:space="0" w:color="auto"/>
        <w:left w:val="none" w:sz="0" w:space="0" w:color="auto"/>
        <w:bottom w:val="none" w:sz="0" w:space="0" w:color="auto"/>
        <w:right w:val="none" w:sz="0" w:space="0" w:color="auto"/>
      </w:divBdr>
    </w:div>
    <w:div w:id="947934174">
      <w:bodyDiv w:val="1"/>
      <w:marLeft w:val="0"/>
      <w:marRight w:val="0"/>
      <w:marTop w:val="0"/>
      <w:marBottom w:val="0"/>
      <w:divBdr>
        <w:top w:val="none" w:sz="0" w:space="0" w:color="auto"/>
        <w:left w:val="none" w:sz="0" w:space="0" w:color="auto"/>
        <w:bottom w:val="none" w:sz="0" w:space="0" w:color="auto"/>
        <w:right w:val="none" w:sz="0" w:space="0" w:color="auto"/>
      </w:divBdr>
    </w:div>
    <w:div w:id="948003691">
      <w:bodyDiv w:val="1"/>
      <w:marLeft w:val="0"/>
      <w:marRight w:val="0"/>
      <w:marTop w:val="0"/>
      <w:marBottom w:val="0"/>
      <w:divBdr>
        <w:top w:val="none" w:sz="0" w:space="0" w:color="auto"/>
        <w:left w:val="none" w:sz="0" w:space="0" w:color="auto"/>
        <w:bottom w:val="none" w:sz="0" w:space="0" w:color="auto"/>
        <w:right w:val="none" w:sz="0" w:space="0" w:color="auto"/>
      </w:divBdr>
    </w:div>
    <w:div w:id="948050358">
      <w:bodyDiv w:val="1"/>
      <w:marLeft w:val="0"/>
      <w:marRight w:val="0"/>
      <w:marTop w:val="0"/>
      <w:marBottom w:val="0"/>
      <w:divBdr>
        <w:top w:val="none" w:sz="0" w:space="0" w:color="auto"/>
        <w:left w:val="none" w:sz="0" w:space="0" w:color="auto"/>
        <w:bottom w:val="none" w:sz="0" w:space="0" w:color="auto"/>
        <w:right w:val="none" w:sz="0" w:space="0" w:color="auto"/>
      </w:divBdr>
    </w:div>
    <w:div w:id="948119989">
      <w:bodyDiv w:val="1"/>
      <w:marLeft w:val="0"/>
      <w:marRight w:val="0"/>
      <w:marTop w:val="0"/>
      <w:marBottom w:val="0"/>
      <w:divBdr>
        <w:top w:val="none" w:sz="0" w:space="0" w:color="auto"/>
        <w:left w:val="none" w:sz="0" w:space="0" w:color="auto"/>
        <w:bottom w:val="none" w:sz="0" w:space="0" w:color="auto"/>
        <w:right w:val="none" w:sz="0" w:space="0" w:color="auto"/>
      </w:divBdr>
    </w:div>
    <w:div w:id="948122544">
      <w:bodyDiv w:val="1"/>
      <w:marLeft w:val="0"/>
      <w:marRight w:val="0"/>
      <w:marTop w:val="0"/>
      <w:marBottom w:val="0"/>
      <w:divBdr>
        <w:top w:val="none" w:sz="0" w:space="0" w:color="auto"/>
        <w:left w:val="none" w:sz="0" w:space="0" w:color="auto"/>
        <w:bottom w:val="none" w:sz="0" w:space="0" w:color="auto"/>
        <w:right w:val="none" w:sz="0" w:space="0" w:color="auto"/>
      </w:divBdr>
    </w:div>
    <w:div w:id="948128130">
      <w:bodyDiv w:val="1"/>
      <w:marLeft w:val="0"/>
      <w:marRight w:val="0"/>
      <w:marTop w:val="0"/>
      <w:marBottom w:val="0"/>
      <w:divBdr>
        <w:top w:val="none" w:sz="0" w:space="0" w:color="auto"/>
        <w:left w:val="none" w:sz="0" w:space="0" w:color="auto"/>
        <w:bottom w:val="none" w:sz="0" w:space="0" w:color="auto"/>
        <w:right w:val="none" w:sz="0" w:space="0" w:color="auto"/>
      </w:divBdr>
    </w:div>
    <w:div w:id="948318787">
      <w:bodyDiv w:val="1"/>
      <w:marLeft w:val="0"/>
      <w:marRight w:val="0"/>
      <w:marTop w:val="0"/>
      <w:marBottom w:val="0"/>
      <w:divBdr>
        <w:top w:val="none" w:sz="0" w:space="0" w:color="auto"/>
        <w:left w:val="none" w:sz="0" w:space="0" w:color="auto"/>
        <w:bottom w:val="none" w:sz="0" w:space="0" w:color="auto"/>
        <w:right w:val="none" w:sz="0" w:space="0" w:color="auto"/>
      </w:divBdr>
    </w:div>
    <w:div w:id="948391513">
      <w:bodyDiv w:val="1"/>
      <w:marLeft w:val="0"/>
      <w:marRight w:val="0"/>
      <w:marTop w:val="0"/>
      <w:marBottom w:val="0"/>
      <w:divBdr>
        <w:top w:val="none" w:sz="0" w:space="0" w:color="auto"/>
        <w:left w:val="none" w:sz="0" w:space="0" w:color="auto"/>
        <w:bottom w:val="none" w:sz="0" w:space="0" w:color="auto"/>
        <w:right w:val="none" w:sz="0" w:space="0" w:color="auto"/>
      </w:divBdr>
    </w:div>
    <w:div w:id="948393129">
      <w:bodyDiv w:val="1"/>
      <w:marLeft w:val="0"/>
      <w:marRight w:val="0"/>
      <w:marTop w:val="0"/>
      <w:marBottom w:val="0"/>
      <w:divBdr>
        <w:top w:val="none" w:sz="0" w:space="0" w:color="auto"/>
        <w:left w:val="none" w:sz="0" w:space="0" w:color="auto"/>
        <w:bottom w:val="none" w:sz="0" w:space="0" w:color="auto"/>
        <w:right w:val="none" w:sz="0" w:space="0" w:color="auto"/>
      </w:divBdr>
    </w:div>
    <w:div w:id="948393334">
      <w:bodyDiv w:val="1"/>
      <w:marLeft w:val="0"/>
      <w:marRight w:val="0"/>
      <w:marTop w:val="0"/>
      <w:marBottom w:val="0"/>
      <w:divBdr>
        <w:top w:val="none" w:sz="0" w:space="0" w:color="auto"/>
        <w:left w:val="none" w:sz="0" w:space="0" w:color="auto"/>
        <w:bottom w:val="none" w:sz="0" w:space="0" w:color="auto"/>
        <w:right w:val="none" w:sz="0" w:space="0" w:color="auto"/>
      </w:divBdr>
    </w:div>
    <w:div w:id="948397310">
      <w:bodyDiv w:val="1"/>
      <w:marLeft w:val="0"/>
      <w:marRight w:val="0"/>
      <w:marTop w:val="0"/>
      <w:marBottom w:val="0"/>
      <w:divBdr>
        <w:top w:val="none" w:sz="0" w:space="0" w:color="auto"/>
        <w:left w:val="none" w:sz="0" w:space="0" w:color="auto"/>
        <w:bottom w:val="none" w:sz="0" w:space="0" w:color="auto"/>
        <w:right w:val="none" w:sz="0" w:space="0" w:color="auto"/>
      </w:divBdr>
    </w:div>
    <w:div w:id="948464159">
      <w:bodyDiv w:val="1"/>
      <w:marLeft w:val="0"/>
      <w:marRight w:val="0"/>
      <w:marTop w:val="0"/>
      <w:marBottom w:val="0"/>
      <w:divBdr>
        <w:top w:val="none" w:sz="0" w:space="0" w:color="auto"/>
        <w:left w:val="none" w:sz="0" w:space="0" w:color="auto"/>
        <w:bottom w:val="none" w:sz="0" w:space="0" w:color="auto"/>
        <w:right w:val="none" w:sz="0" w:space="0" w:color="auto"/>
      </w:divBdr>
    </w:div>
    <w:div w:id="948464892">
      <w:bodyDiv w:val="1"/>
      <w:marLeft w:val="0"/>
      <w:marRight w:val="0"/>
      <w:marTop w:val="0"/>
      <w:marBottom w:val="0"/>
      <w:divBdr>
        <w:top w:val="none" w:sz="0" w:space="0" w:color="auto"/>
        <w:left w:val="none" w:sz="0" w:space="0" w:color="auto"/>
        <w:bottom w:val="none" w:sz="0" w:space="0" w:color="auto"/>
        <w:right w:val="none" w:sz="0" w:space="0" w:color="auto"/>
      </w:divBdr>
    </w:div>
    <w:div w:id="948782417">
      <w:bodyDiv w:val="1"/>
      <w:marLeft w:val="0"/>
      <w:marRight w:val="0"/>
      <w:marTop w:val="0"/>
      <w:marBottom w:val="0"/>
      <w:divBdr>
        <w:top w:val="none" w:sz="0" w:space="0" w:color="auto"/>
        <w:left w:val="none" w:sz="0" w:space="0" w:color="auto"/>
        <w:bottom w:val="none" w:sz="0" w:space="0" w:color="auto"/>
        <w:right w:val="none" w:sz="0" w:space="0" w:color="auto"/>
      </w:divBdr>
    </w:div>
    <w:div w:id="948856826">
      <w:bodyDiv w:val="1"/>
      <w:marLeft w:val="0"/>
      <w:marRight w:val="0"/>
      <w:marTop w:val="0"/>
      <w:marBottom w:val="0"/>
      <w:divBdr>
        <w:top w:val="none" w:sz="0" w:space="0" w:color="auto"/>
        <w:left w:val="none" w:sz="0" w:space="0" w:color="auto"/>
        <w:bottom w:val="none" w:sz="0" w:space="0" w:color="auto"/>
        <w:right w:val="none" w:sz="0" w:space="0" w:color="auto"/>
      </w:divBdr>
    </w:div>
    <w:div w:id="948896944">
      <w:bodyDiv w:val="1"/>
      <w:marLeft w:val="0"/>
      <w:marRight w:val="0"/>
      <w:marTop w:val="0"/>
      <w:marBottom w:val="0"/>
      <w:divBdr>
        <w:top w:val="none" w:sz="0" w:space="0" w:color="auto"/>
        <w:left w:val="none" w:sz="0" w:space="0" w:color="auto"/>
        <w:bottom w:val="none" w:sz="0" w:space="0" w:color="auto"/>
        <w:right w:val="none" w:sz="0" w:space="0" w:color="auto"/>
      </w:divBdr>
    </w:div>
    <w:div w:id="949043876">
      <w:bodyDiv w:val="1"/>
      <w:marLeft w:val="0"/>
      <w:marRight w:val="0"/>
      <w:marTop w:val="0"/>
      <w:marBottom w:val="0"/>
      <w:divBdr>
        <w:top w:val="none" w:sz="0" w:space="0" w:color="auto"/>
        <w:left w:val="none" w:sz="0" w:space="0" w:color="auto"/>
        <w:bottom w:val="none" w:sz="0" w:space="0" w:color="auto"/>
        <w:right w:val="none" w:sz="0" w:space="0" w:color="auto"/>
      </w:divBdr>
    </w:div>
    <w:div w:id="949093032">
      <w:bodyDiv w:val="1"/>
      <w:marLeft w:val="0"/>
      <w:marRight w:val="0"/>
      <w:marTop w:val="0"/>
      <w:marBottom w:val="0"/>
      <w:divBdr>
        <w:top w:val="none" w:sz="0" w:space="0" w:color="auto"/>
        <w:left w:val="none" w:sz="0" w:space="0" w:color="auto"/>
        <w:bottom w:val="none" w:sz="0" w:space="0" w:color="auto"/>
        <w:right w:val="none" w:sz="0" w:space="0" w:color="auto"/>
      </w:divBdr>
    </w:div>
    <w:div w:id="949118439">
      <w:bodyDiv w:val="1"/>
      <w:marLeft w:val="0"/>
      <w:marRight w:val="0"/>
      <w:marTop w:val="0"/>
      <w:marBottom w:val="0"/>
      <w:divBdr>
        <w:top w:val="none" w:sz="0" w:space="0" w:color="auto"/>
        <w:left w:val="none" w:sz="0" w:space="0" w:color="auto"/>
        <w:bottom w:val="none" w:sz="0" w:space="0" w:color="auto"/>
        <w:right w:val="none" w:sz="0" w:space="0" w:color="auto"/>
      </w:divBdr>
    </w:div>
    <w:div w:id="949243066">
      <w:bodyDiv w:val="1"/>
      <w:marLeft w:val="0"/>
      <w:marRight w:val="0"/>
      <w:marTop w:val="0"/>
      <w:marBottom w:val="0"/>
      <w:divBdr>
        <w:top w:val="none" w:sz="0" w:space="0" w:color="auto"/>
        <w:left w:val="none" w:sz="0" w:space="0" w:color="auto"/>
        <w:bottom w:val="none" w:sz="0" w:space="0" w:color="auto"/>
        <w:right w:val="none" w:sz="0" w:space="0" w:color="auto"/>
      </w:divBdr>
    </w:div>
    <w:div w:id="949317879">
      <w:bodyDiv w:val="1"/>
      <w:marLeft w:val="0"/>
      <w:marRight w:val="0"/>
      <w:marTop w:val="0"/>
      <w:marBottom w:val="0"/>
      <w:divBdr>
        <w:top w:val="none" w:sz="0" w:space="0" w:color="auto"/>
        <w:left w:val="none" w:sz="0" w:space="0" w:color="auto"/>
        <w:bottom w:val="none" w:sz="0" w:space="0" w:color="auto"/>
        <w:right w:val="none" w:sz="0" w:space="0" w:color="auto"/>
      </w:divBdr>
    </w:div>
    <w:div w:id="949505874">
      <w:bodyDiv w:val="1"/>
      <w:marLeft w:val="0"/>
      <w:marRight w:val="0"/>
      <w:marTop w:val="0"/>
      <w:marBottom w:val="0"/>
      <w:divBdr>
        <w:top w:val="none" w:sz="0" w:space="0" w:color="auto"/>
        <w:left w:val="none" w:sz="0" w:space="0" w:color="auto"/>
        <w:bottom w:val="none" w:sz="0" w:space="0" w:color="auto"/>
        <w:right w:val="none" w:sz="0" w:space="0" w:color="auto"/>
      </w:divBdr>
    </w:div>
    <w:div w:id="949551238">
      <w:bodyDiv w:val="1"/>
      <w:marLeft w:val="0"/>
      <w:marRight w:val="0"/>
      <w:marTop w:val="0"/>
      <w:marBottom w:val="0"/>
      <w:divBdr>
        <w:top w:val="none" w:sz="0" w:space="0" w:color="auto"/>
        <w:left w:val="none" w:sz="0" w:space="0" w:color="auto"/>
        <w:bottom w:val="none" w:sz="0" w:space="0" w:color="auto"/>
        <w:right w:val="none" w:sz="0" w:space="0" w:color="auto"/>
      </w:divBdr>
    </w:div>
    <w:div w:id="949582205">
      <w:bodyDiv w:val="1"/>
      <w:marLeft w:val="0"/>
      <w:marRight w:val="0"/>
      <w:marTop w:val="0"/>
      <w:marBottom w:val="0"/>
      <w:divBdr>
        <w:top w:val="none" w:sz="0" w:space="0" w:color="auto"/>
        <w:left w:val="none" w:sz="0" w:space="0" w:color="auto"/>
        <w:bottom w:val="none" w:sz="0" w:space="0" w:color="auto"/>
        <w:right w:val="none" w:sz="0" w:space="0" w:color="auto"/>
      </w:divBdr>
    </w:div>
    <w:div w:id="949583789">
      <w:bodyDiv w:val="1"/>
      <w:marLeft w:val="0"/>
      <w:marRight w:val="0"/>
      <w:marTop w:val="0"/>
      <w:marBottom w:val="0"/>
      <w:divBdr>
        <w:top w:val="none" w:sz="0" w:space="0" w:color="auto"/>
        <w:left w:val="none" w:sz="0" w:space="0" w:color="auto"/>
        <w:bottom w:val="none" w:sz="0" w:space="0" w:color="auto"/>
        <w:right w:val="none" w:sz="0" w:space="0" w:color="auto"/>
      </w:divBdr>
    </w:div>
    <w:div w:id="949625660">
      <w:bodyDiv w:val="1"/>
      <w:marLeft w:val="0"/>
      <w:marRight w:val="0"/>
      <w:marTop w:val="0"/>
      <w:marBottom w:val="0"/>
      <w:divBdr>
        <w:top w:val="none" w:sz="0" w:space="0" w:color="auto"/>
        <w:left w:val="none" w:sz="0" w:space="0" w:color="auto"/>
        <w:bottom w:val="none" w:sz="0" w:space="0" w:color="auto"/>
        <w:right w:val="none" w:sz="0" w:space="0" w:color="auto"/>
      </w:divBdr>
    </w:div>
    <w:div w:id="949632379">
      <w:bodyDiv w:val="1"/>
      <w:marLeft w:val="0"/>
      <w:marRight w:val="0"/>
      <w:marTop w:val="0"/>
      <w:marBottom w:val="0"/>
      <w:divBdr>
        <w:top w:val="none" w:sz="0" w:space="0" w:color="auto"/>
        <w:left w:val="none" w:sz="0" w:space="0" w:color="auto"/>
        <w:bottom w:val="none" w:sz="0" w:space="0" w:color="auto"/>
        <w:right w:val="none" w:sz="0" w:space="0" w:color="auto"/>
      </w:divBdr>
    </w:div>
    <w:div w:id="949700169">
      <w:bodyDiv w:val="1"/>
      <w:marLeft w:val="0"/>
      <w:marRight w:val="0"/>
      <w:marTop w:val="0"/>
      <w:marBottom w:val="0"/>
      <w:divBdr>
        <w:top w:val="none" w:sz="0" w:space="0" w:color="auto"/>
        <w:left w:val="none" w:sz="0" w:space="0" w:color="auto"/>
        <w:bottom w:val="none" w:sz="0" w:space="0" w:color="auto"/>
        <w:right w:val="none" w:sz="0" w:space="0" w:color="auto"/>
      </w:divBdr>
    </w:div>
    <w:div w:id="949700763">
      <w:bodyDiv w:val="1"/>
      <w:marLeft w:val="0"/>
      <w:marRight w:val="0"/>
      <w:marTop w:val="0"/>
      <w:marBottom w:val="0"/>
      <w:divBdr>
        <w:top w:val="none" w:sz="0" w:space="0" w:color="auto"/>
        <w:left w:val="none" w:sz="0" w:space="0" w:color="auto"/>
        <w:bottom w:val="none" w:sz="0" w:space="0" w:color="auto"/>
        <w:right w:val="none" w:sz="0" w:space="0" w:color="auto"/>
      </w:divBdr>
    </w:div>
    <w:div w:id="949819063">
      <w:bodyDiv w:val="1"/>
      <w:marLeft w:val="0"/>
      <w:marRight w:val="0"/>
      <w:marTop w:val="0"/>
      <w:marBottom w:val="0"/>
      <w:divBdr>
        <w:top w:val="none" w:sz="0" w:space="0" w:color="auto"/>
        <w:left w:val="none" w:sz="0" w:space="0" w:color="auto"/>
        <w:bottom w:val="none" w:sz="0" w:space="0" w:color="auto"/>
        <w:right w:val="none" w:sz="0" w:space="0" w:color="auto"/>
      </w:divBdr>
    </w:div>
    <w:div w:id="949898698">
      <w:bodyDiv w:val="1"/>
      <w:marLeft w:val="0"/>
      <w:marRight w:val="0"/>
      <w:marTop w:val="0"/>
      <w:marBottom w:val="0"/>
      <w:divBdr>
        <w:top w:val="none" w:sz="0" w:space="0" w:color="auto"/>
        <w:left w:val="none" w:sz="0" w:space="0" w:color="auto"/>
        <w:bottom w:val="none" w:sz="0" w:space="0" w:color="auto"/>
        <w:right w:val="none" w:sz="0" w:space="0" w:color="auto"/>
      </w:divBdr>
    </w:div>
    <w:div w:id="950018754">
      <w:bodyDiv w:val="1"/>
      <w:marLeft w:val="0"/>
      <w:marRight w:val="0"/>
      <w:marTop w:val="0"/>
      <w:marBottom w:val="0"/>
      <w:divBdr>
        <w:top w:val="none" w:sz="0" w:space="0" w:color="auto"/>
        <w:left w:val="none" w:sz="0" w:space="0" w:color="auto"/>
        <w:bottom w:val="none" w:sz="0" w:space="0" w:color="auto"/>
        <w:right w:val="none" w:sz="0" w:space="0" w:color="auto"/>
      </w:divBdr>
    </w:div>
    <w:div w:id="950093878">
      <w:bodyDiv w:val="1"/>
      <w:marLeft w:val="0"/>
      <w:marRight w:val="0"/>
      <w:marTop w:val="0"/>
      <w:marBottom w:val="0"/>
      <w:divBdr>
        <w:top w:val="none" w:sz="0" w:space="0" w:color="auto"/>
        <w:left w:val="none" w:sz="0" w:space="0" w:color="auto"/>
        <w:bottom w:val="none" w:sz="0" w:space="0" w:color="auto"/>
        <w:right w:val="none" w:sz="0" w:space="0" w:color="auto"/>
      </w:divBdr>
    </w:div>
    <w:div w:id="950166415">
      <w:bodyDiv w:val="1"/>
      <w:marLeft w:val="0"/>
      <w:marRight w:val="0"/>
      <w:marTop w:val="0"/>
      <w:marBottom w:val="0"/>
      <w:divBdr>
        <w:top w:val="none" w:sz="0" w:space="0" w:color="auto"/>
        <w:left w:val="none" w:sz="0" w:space="0" w:color="auto"/>
        <w:bottom w:val="none" w:sz="0" w:space="0" w:color="auto"/>
        <w:right w:val="none" w:sz="0" w:space="0" w:color="auto"/>
      </w:divBdr>
    </w:div>
    <w:div w:id="950207923">
      <w:bodyDiv w:val="1"/>
      <w:marLeft w:val="0"/>
      <w:marRight w:val="0"/>
      <w:marTop w:val="0"/>
      <w:marBottom w:val="0"/>
      <w:divBdr>
        <w:top w:val="none" w:sz="0" w:space="0" w:color="auto"/>
        <w:left w:val="none" w:sz="0" w:space="0" w:color="auto"/>
        <w:bottom w:val="none" w:sz="0" w:space="0" w:color="auto"/>
        <w:right w:val="none" w:sz="0" w:space="0" w:color="auto"/>
      </w:divBdr>
    </w:div>
    <w:div w:id="950209019">
      <w:bodyDiv w:val="1"/>
      <w:marLeft w:val="0"/>
      <w:marRight w:val="0"/>
      <w:marTop w:val="0"/>
      <w:marBottom w:val="0"/>
      <w:divBdr>
        <w:top w:val="none" w:sz="0" w:space="0" w:color="auto"/>
        <w:left w:val="none" w:sz="0" w:space="0" w:color="auto"/>
        <w:bottom w:val="none" w:sz="0" w:space="0" w:color="auto"/>
        <w:right w:val="none" w:sz="0" w:space="0" w:color="auto"/>
      </w:divBdr>
    </w:div>
    <w:div w:id="950432115">
      <w:bodyDiv w:val="1"/>
      <w:marLeft w:val="0"/>
      <w:marRight w:val="0"/>
      <w:marTop w:val="0"/>
      <w:marBottom w:val="0"/>
      <w:divBdr>
        <w:top w:val="none" w:sz="0" w:space="0" w:color="auto"/>
        <w:left w:val="none" w:sz="0" w:space="0" w:color="auto"/>
        <w:bottom w:val="none" w:sz="0" w:space="0" w:color="auto"/>
        <w:right w:val="none" w:sz="0" w:space="0" w:color="auto"/>
      </w:divBdr>
    </w:div>
    <w:div w:id="950434172">
      <w:bodyDiv w:val="1"/>
      <w:marLeft w:val="0"/>
      <w:marRight w:val="0"/>
      <w:marTop w:val="0"/>
      <w:marBottom w:val="0"/>
      <w:divBdr>
        <w:top w:val="none" w:sz="0" w:space="0" w:color="auto"/>
        <w:left w:val="none" w:sz="0" w:space="0" w:color="auto"/>
        <w:bottom w:val="none" w:sz="0" w:space="0" w:color="auto"/>
        <w:right w:val="none" w:sz="0" w:space="0" w:color="auto"/>
      </w:divBdr>
    </w:div>
    <w:div w:id="950434762">
      <w:bodyDiv w:val="1"/>
      <w:marLeft w:val="0"/>
      <w:marRight w:val="0"/>
      <w:marTop w:val="0"/>
      <w:marBottom w:val="0"/>
      <w:divBdr>
        <w:top w:val="none" w:sz="0" w:space="0" w:color="auto"/>
        <w:left w:val="none" w:sz="0" w:space="0" w:color="auto"/>
        <w:bottom w:val="none" w:sz="0" w:space="0" w:color="auto"/>
        <w:right w:val="none" w:sz="0" w:space="0" w:color="auto"/>
      </w:divBdr>
    </w:div>
    <w:div w:id="950475925">
      <w:bodyDiv w:val="1"/>
      <w:marLeft w:val="0"/>
      <w:marRight w:val="0"/>
      <w:marTop w:val="0"/>
      <w:marBottom w:val="0"/>
      <w:divBdr>
        <w:top w:val="none" w:sz="0" w:space="0" w:color="auto"/>
        <w:left w:val="none" w:sz="0" w:space="0" w:color="auto"/>
        <w:bottom w:val="none" w:sz="0" w:space="0" w:color="auto"/>
        <w:right w:val="none" w:sz="0" w:space="0" w:color="auto"/>
      </w:divBdr>
    </w:div>
    <w:div w:id="950625905">
      <w:bodyDiv w:val="1"/>
      <w:marLeft w:val="0"/>
      <w:marRight w:val="0"/>
      <w:marTop w:val="0"/>
      <w:marBottom w:val="0"/>
      <w:divBdr>
        <w:top w:val="none" w:sz="0" w:space="0" w:color="auto"/>
        <w:left w:val="none" w:sz="0" w:space="0" w:color="auto"/>
        <w:bottom w:val="none" w:sz="0" w:space="0" w:color="auto"/>
        <w:right w:val="none" w:sz="0" w:space="0" w:color="auto"/>
      </w:divBdr>
    </w:div>
    <w:div w:id="950627353">
      <w:bodyDiv w:val="1"/>
      <w:marLeft w:val="0"/>
      <w:marRight w:val="0"/>
      <w:marTop w:val="0"/>
      <w:marBottom w:val="0"/>
      <w:divBdr>
        <w:top w:val="none" w:sz="0" w:space="0" w:color="auto"/>
        <w:left w:val="none" w:sz="0" w:space="0" w:color="auto"/>
        <w:bottom w:val="none" w:sz="0" w:space="0" w:color="auto"/>
        <w:right w:val="none" w:sz="0" w:space="0" w:color="auto"/>
      </w:divBdr>
    </w:div>
    <w:div w:id="950629132">
      <w:bodyDiv w:val="1"/>
      <w:marLeft w:val="0"/>
      <w:marRight w:val="0"/>
      <w:marTop w:val="0"/>
      <w:marBottom w:val="0"/>
      <w:divBdr>
        <w:top w:val="none" w:sz="0" w:space="0" w:color="auto"/>
        <w:left w:val="none" w:sz="0" w:space="0" w:color="auto"/>
        <w:bottom w:val="none" w:sz="0" w:space="0" w:color="auto"/>
        <w:right w:val="none" w:sz="0" w:space="0" w:color="auto"/>
      </w:divBdr>
    </w:div>
    <w:div w:id="950740047">
      <w:bodyDiv w:val="1"/>
      <w:marLeft w:val="0"/>
      <w:marRight w:val="0"/>
      <w:marTop w:val="0"/>
      <w:marBottom w:val="0"/>
      <w:divBdr>
        <w:top w:val="none" w:sz="0" w:space="0" w:color="auto"/>
        <w:left w:val="none" w:sz="0" w:space="0" w:color="auto"/>
        <w:bottom w:val="none" w:sz="0" w:space="0" w:color="auto"/>
        <w:right w:val="none" w:sz="0" w:space="0" w:color="auto"/>
      </w:divBdr>
    </w:div>
    <w:div w:id="950741914">
      <w:bodyDiv w:val="1"/>
      <w:marLeft w:val="0"/>
      <w:marRight w:val="0"/>
      <w:marTop w:val="0"/>
      <w:marBottom w:val="0"/>
      <w:divBdr>
        <w:top w:val="none" w:sz="0" w:space="0" w:color="auto"/>
        <w:left w:val="none" w:sz="0" w:space="0" w:color="auto"/>
        <w:bottom w:val="none" w:sz="0" w:space="0" w:color="auto"/>
        <w:right w:val="none" w:sz="0" w:space="0" w:color="auto"/>
      </w:divBdr>
    </w:div>
    <w:div w:id="950816010">
      <w:bodyDiv w:val="1"/>
      <w:marLeft w:val="0"/>
      <w:marRight w:val="0"/>
      <w:marTop w:val="0"/>
      <w:marBottom w:val="0"/>
      <w:divBdr>
        <w:top w:val="none" w:sz="0" w:space="0" w:color="auto"/>
        <w:left w:val="none" w:sz="0" w:space="0" w:color="auto"/>
        <w:bottom w:val="none" w:sz="0" w:space="0" w:color="auto"/>
        <w:right w:val="none" w:sz="0" w:space="0" w:color="auto"/>
      </w:divBdr>
    </w:div>
    <w:div w:id="950939490">
      <w:bodyDiv w:val="1"/>
      <w:marLeft w:val="0"/>
      <w:marRight w:val="0"/>
      <w:marTop w:val="0"/>
      <w:marBottom w:val="0"/>
      <w:divBdr>
        <w:top w:val="none" w:sz="0" w:space="0" w:color="auto"/>
        <w:left w:val="none" w:sz="0" w:space="0" w:color="auto"/>
        <w:bottom w:val="none" w:sz="0" w:space="0" w:color="auto"/>
        <w:right w:val="none" w:sz="0" w:space="0" w:color="auto"/>
      </w:divBdr>
    </w:div>
    <w:div w:id="950941851">
      <w:bodyDiv w:val="1"/>
      <w:marLeft w:val="0"/>
      <w:marRight w:val="0"/>
      <w:marTop w:val="0"/>
      <w:marBottom w:val="0"/>
      <w:divBdr>
        <w:top w:val="none" w:sz="0" w:space="0" w:color="auto"/>
        <w:left w:val="none" w:sz="0" w:space="0" w:color="auto"/>
        <w:bottom w:val="none" w:sz="0" w:space="0" w:color="auto"/>
        <w:right w:val="none" w:sz="0" w:space="0" w:color="auto"/>
      </w:divBdr>
    </w:div>
    <w:div w:id="951009090">
      <w:bodyDiv w:val="1"/>
      <w:marLeft w:val="0"/>
      <w:marRight w:val="0"/>
      <w:marTop w:val="0"/>
      <w:marBottom w:val="0"/>
      <w:divBdr>
        <w:top w:val="none" w:sz="0" w:space="0" w:color="auto"/>
        <w:left w:val="none" w:sz="0" w:space="0" w:color="auto"/>
        <w:bottom w:val="none" w:sz="0" w:space="0" w:color="auto"/>
        <w:right w:val="none" w:sz="0" w:space="0" w:color="auto"/>
      </w:divBdr>
    </w:div>
    <w:div w:id="951324268">
      <w:bodyDiv w:val="1"/>
      <w:marLeft w:val="0"/>
      <w:marRight w:val="0"/>
      <w:marTop w:val="0"/>
      <w:marBottom w:val="0"/>
      <w:divBdr>
        <w:top w:val="none" w:sz="0" w:space="0" w:color="auto"/>
        <w:left w:val="none" w:sz="0" w:space="0" w:color="auto"/>
        <w:bottom w:val="none" w:sz="0" w:space="0" w:color="auto"/>
        <w:right w:val="none" w:sz="0" w:space="0" w:color="auto"/>
      </w:divBdr>
    </w:div>
    <w:div w:id="951470750">
      <w:bodyDiv w:val="1"/>
      <w:marLeft w:val="0"/>
      <w:marRight w:val="0"/>
      <w:marTop w:val="0"/>
      <w:marBottom w:val="0"/>
      <w:divBdr>
        <w:top w:val="none" w:sz="0" w:space="0" w:color="auto"/>
        <w:left w:val="none" w:sz="0" w:space="0" w:color="auto"/>
        <w:bottom w:val="none" w:sz="0" w:space="0" w:color="auto"/>
        <w:right w:val="none" w:sz="0" w:space="0" w:color="auto"/>
      </w:divBdr>
    </w:div>
    <w:div w:id="951476662">
      <w:bodyDiv w:val="1"/>
      <w:marLeft w:val="0"/>
      <w:marRight w:val="0"/>
      <w:marTop w:val="0"/>
      <w:marBottom w:val="0"/>
      <w:divBdr>
        <w:top w:val="none" w:sz="0" w:space="0" w:color="auto"/>
        <w:left w:val="none" w:sz="0" w:space="0" w:color="auto"/>
        <w:bottom w:val="none" w:sz="0" w:space="0" w:color="auto"/>
        <w:right w:val="none" w:sz="0" w:space="0" w:color="auto"/>
      </w:divBdr>
    </w:div>
    <w:div w:id="951547639">
      <w:bodyDiv w:val="1"/>
      <w:marLeft w:val="0"/>
      <w:marRight w:val="0"/>
      <w:marTop w:val="0"/>
      <w:marBottom w:val="0"/>
      <w:divBdr>
        <w:top w:val="none" w:sz="0" w:space="0" w:color="auto"/>
        <w:left w:val="none" w:sz="0" w:space="0" w:color="auto"/>
        <w:bottom w:val="none" w:sz="0" w:space="0" w:color="auto"/>
        <w:right w:val="none" w:sz="0" w:space="0" w:color="auto"/>
      </w:divBdr>
    </w:div>
    <w:div w:id="951592914">
      <w:bodyDiv w:val="1"/>
      <w:marLeft w:val="0"/>
      <w:marRight w:val="0"/>
      <w:marTop w:val="0"/>
      <w:marBottom w:val="0"/>
      <w:divBdr>
        <w:top w:val="none" w:sz="0" w:space="0" w:color="auto"/>
        <w:left w:val="none" w:sz="0" w:space="0" w:color="auto"/>
        <w:bottom w:val="none" w:sz="0" w:space="0" w:color="auto"/>
        <w:right w:val="none" w:sz="0" w:space="0" w:color="auto"/>
      </w:divBdr>
    </w:div>
    <w:div w:id="951670900">
      <w:bodyDiv w:val="1"/>
      <w:marLeft w:val="0"/>
      <w:marRight w:val="0"/>
      <w:marTop w:val="0"/>
      <w:marBottom w:val="0"/>
      <w:divBdr>
        <w:top w:val="none" w:sz="0" w:space="0" w:color="auto"/>
        <w:left w:val="none" w:sz="0" w:space="0" w:color="auto"/>
        <w:bottom w:val="none" w:sz="0" w:space="0" w:color="auto"/>
        <w:right w:val="none" w:sz="0" w:space="0" w:color="auto"/>
      </w:divBdr>
    </w:div>
    <w:div w:id="951741677">
      <w:bodyDiv w:val="1"/>
      <w:marLeft w:val="0"/>
      <w:marRight w:val="0"/>
      <w:marTop w:val="0"/>
      <w:marBottom w:val="0"/>
      <w:divBdr>
        <w:top w:val="none" w:sz="0" w:space="0" w:color="auto"/>
        <w:left w:val="none" w:sz="0" w:space="0" w:color="auto"/>
        <w:bottom w:val="none" w:sz="0" w:space="0" w:color="auto"/>
        <w:right w:val="none" w:sz="0" w:space="0" w:color="auto"/>
      </w:divBdr>
    </w:div>
    <w:div w:id="951742075">
      <w:bodyDiv w:val="1"/>
      <w:marLeft w:val="0"/>
      <w:marRight w:val="0"/>
      <w:marTop w:val="0"/>
      <w:marBottom w:val="0"/>
      <w:divBdr>
        <w:top w:val="none" w:sz="0" w:space="0" w:color="auto"/>
        <w:left w:val="none" w:sz="0" w:space="0" w:color="auto"/>
        <w:bottom w:val="none" w:sz="0" w:space="0" w:color="auto"/>
        <w:right w:val="none" w:sz="0" w:space="0" w:color="auto"/>
      </w:divBdr>
    </w:div>
    <w:div w:id="951861469">
      <w:bodyDiv w:val="1"/>
      <w:marLeft w:val="0"/>
      <w:marRight w:val="0"/>
      <w:marTop w:val="0"/>
      <w:marBottom w:val="0"/>
      <w:divBdr>
        <w:top w:val="none" w:sz="0" w:space="0" w:color="auto"/>
        <w:left w:val="none" w:sz="0" w:space="0" w:color="auto"/>
        <w:bottom w:val="none" w:sz="0" w:space="0" w:color="auto"/>
        <w:right w:val="none" w:sz="0" w:space="0" w:color="auto"/>
      </w:divBdr>
    </w:div>
    <w:div w:id="951981681">
      <w:bodyDiv w:val="1"/>
      <w:marLeft w:val="0"/>
      <w:marRight w:val="0"/>
      <w:marTop w:val="0"/>
      <w:marBottom w:val="0"/>
      <w:divBdr>
        <w:top w:val="none" w:sz="0" w:space="0" w:color="auto"/>
        <w:left w:val="none" w:sz="0" w:space="0" w:color="auto"/>
        <w:bottom w:val="none" w:sz="0" w:space="0" w:color="auto"/>
        <w:right w:val="none" w:sz="0" w:space="0" w:color="auto"/>
      </w:divBdr>
    </w:div>
    <w:div w:id="951983245">
      <w:bodyDiv w:val="1"/>
      <w:marLeft w:val="0"/>
      <w:marRight w:val="0"/>
      <w:marTop w:val="0"/>
      <w:marBottom w:val="0"/>
      <w:divBdr>
        <w:top w:val="none" w:sz="0" w:space="0" w:color="auto"/>
        <w:left w:val="none" w:sz="0" w:space="0" w:color="auto"/>
        <w:bottom w:val="none" w:sz="0" w:space="0" w:color="auto"/>
        <w:right w:val="none" w:sz="0" w:space="0" w:color="auto"/>
      </w:divBdr>
    </w:div>
    <w:div w:id="951983514">
      <w:bodyDiv w:val="1"/>
      <w:marLeft w:val="0"/>
      <w:marRight w:val="0"/>
      <w:marTop w:val="0"/>
      <w:marBottom w:val="0"/>
      <w:divBdr>
        <w:top w:val="none" w:sz="0" w:space="0" w:color="auto"/>
        <w:left w:val="none" w:sz="0" w:space="0" w:color="auto"/>
        <w:bottom w:val="none" w:sz="0" w:space="0" w:color="auto"/>
        <w:right w:val="none" w:sz="0" w:space="0" w:color="auto"/>
      </w:divBdr>
    </w:div>
    <w:div w:id="952060312">
      <w:bodyDiv w:val="1"/>
      <w:marLeft w:val="0"/>
      <w:marRight w:val="0"/>
      <w:marTop w:val="0"/>
      <w:marBottom w:val="0"/>
      <w:divBdr>
        <w:top w:val="none" w:sz="0" w:space="0" w:color="auto"/>
        <w:left w:val="none" w:sz="0" w:space="0" w:color="auto"/>
        <w:bottom w:val="none" w:sz="0" w:space="0" w:color="auto"/>
        <w:right w:val="none" w:sz="0" w:space="0" w:color="auto"/>
      </w:divBdr>
    </w:div>
    <w:div w:id="952173459">
      <w:bodyDiv w:val="1"/>
      <w:marLeft w:val="0"/>
      <w:marRight w:val="0"/>
      <w:marTop w:val="0"/>
      <w:marBottom w:val="0"/>
      <w:divBdr>
        <w:top w:val="none" w:sz="0" w:space="0" w:color="auto"/>
        <w:left w:val="none" w:sz="0" w:space="0" w:color="auto"/>
        <w:bottom w:val="none" w:sz="0" w:space="0" w:color="auto"/>
        <w:right w:val="none" w:sz="0" w:space="0" w:color="auto"/>
      </w:divBdr>
    </w:div>
    <w:div w:id="952319622">
      <w:bodyDiv w:val="1"/>
      <w:marLeft w:val="0"/>
      <w:marRight w:val="0"/>
      <w:marTop w:val="0"/>
      <w:marBottom w:val="0"/>
      <w:divBdr>
        <w:top w:val="none" w:sz="0" w:space="0" w:color="auto"/>
        <w:left w:val="none" w:sz="0" w:space="0" w:color="auto"/>
        <w:bottom w:val="none" w:sz="0" w:space="0" w:color="auto"/>
        <w:right w:val="none" w:sz="0" w:space="0" w:color="auto"/>
      </w:divBdr>
    </w:div>
    <w:div w:id="952319958">
      <w:bodyDiv w:val="1"/>
      <w:marLeft w:val="0"/>
      <w:marRight w:val="0"/>
      <w:marTop w:val="0"/>
      <w:marBottom w:val="0"/>
      <w:divBdr>
        <w:top w:val="none" w:sz="0" w:space="0" w:color="auto"/>
        <w:left w:val="none" w:sz="0" w:space="0" w:color="auto"/>
        <w:bottom w:val="none" w:sz="0" w:space="0" w:color="auto"/>
        <w:right w:val="none" w:sz="0" w:space="0" w:color="auto"/>
      </w:divBdr>
    </w:div>
    <w:div w:id="952320186">
      <w:bodyDiv w:val="1"/>
      <w:marLeft w:val="0"/>
      <w:marRight w:val="0"/>
      <w:marTop w:val="0"/>
      <w:marBottom w:val="0"/>
      <w:divBdr>
        <w:top w:val="none" w:sz="0" w:space="0" w:color="auto"/>
        <w:left w:val="none" w:sz="0" w:space="0" w:color="auto"/>
        <w:bottom w:val="none" w:sz="0" w:space="0" w:color="auto"/>
        <w:right w:val="none" w:sz="0" w:space="0" w:color="auto"/>
      </w:divBdr>
    </w:div>
    <w:div w:id="952395331">
      <w:bodyDiv w:val="1"/>
      <w:marLeft w:val="0"/>
      <w:marRight w:val="0"/>
      <w:marTop w:val="0"/>
      <w:marBottom w:val="0"/>
      <w:divBdr>
        <w:top w:val="none" w:sz="0" w:space="0" w:color="auto"/>
        <w:left w:val="none" w:sz="0" w:space="0" w:color="auto"/>
        <w:bottom w:val="none" w:sz="0" w:space="0" w:color="auto"/>
        <w:right w:val="none" w:sz="0" w:space="0" w:color="auto"/>
      </w:divBdr>
    </w:div>
    <w:div w:id="952588516">
      <w:bodyDiv w:val="1"/>
      <w:marLeft w:val="0"/>
      <w:marRight w:val="0"/>
      <w:marTop w:val="0"/>
      <w:marBottom w:val="0"/>
      <w:divBdr>
        <w:top w:val="none" w:sz="0" w:space="0" w:color="auto"/>
        <w:left w:val="none" w:sz="0" w:space="0" w:color="auto"/>
        <w:bottom w:val="none" w:sz="0" w:space="0" w:color="auto"/>
        <w:right w:val="none" w:sz="0" w:space="0" w:color="auto"/>
      </w:divBdr>
    </w:div>
    <w:div w:id="953171643">
      <w:bodyDiv w:val="1"/>
      <w:marLeft w:val="0"/>
      <w:marRight w:val="0"/>
      <w:marTop w:val="0"/>
      <w:marBottom w:val="0"/>
      <w:divBdr>
        <w:top w:val="none" w:sz="0" w:space="0" w:color="auto"/>
        <w:left w:val="none" w:sz="0" w:space="0" w:color="auto"/>
        <w:bottom w:val="none" w:sz="0" w:space="0" w:color="auto"/>
        <w:right w:val="none" w:sz="0" w:space="0" w:color="auto"/>
      </w:divBdr>
    </w:div>
    <w:div w:id="953175616">
      <w:bodyDiv w:val="1"/>
      <w:marLeft w:val="0"/>
      <w:marRight w:val="0"/>
      <w:marTop w:val="0"/>
      <w:marBottom w:val="0"/>
      <w:divBdr>
        <w:top w:val="none" w:sz="0" w:space="0" w:color="auto"/>
        <w:left w:val="none" w:sz="0" w:space="0" w:color="auto"/>
        <w:bottom w:val="none" w:sz="0" w:space="0" w:color="auto"/>
        <w:right w:val="none" w:sz="0" w:space="0" w:color="auto"/>
      </w:divBdr>
    </w:div>
    <w:div w:id="953176966">
      <w:bodyDiv w:val="1"/>
      <w:marLeft w:val="0"/>
      <w:marRight w:val="0"/>
      <w:marTop w:val="0"/>
      <w:marBottom w:val="0"/>
      <w:divBdr>
        <w:top w:val="none" w:sz="0" w:space="0" w:color="auto"/>
        <w:left w:val="none" w:sz="0" w:space="0" w:color="auto"/>
        <w:bottom w:val="none" w:sz="0" w:space="0" w:color="auto"/>
        <w:right w:val="none" w:sz="0" w:space="0" w:color="auto"/>
      </w:divBdr>
    </w:div>
    <w:div w:id="953287361">
      <w:bodyDiv w:val="1"/>
      <w:marLeft w:val="0"/>
      <w:marRight w:val="0"/>
      <w:marTop w:val="0"/>
      <w:marBottom w:val="0"/>
      <w:divBdr>
        <w:top w:val="none" w:sz="0" w:space="0" w:color="auto"/>
        <w:left w:val="none" w:sz="0" w:space="0" w:color="auto"/>
        <w:bottom w:val="none" w:sz="0" w:space="0" w:color="auto"/>
        <w:right w:val="none" w:sz="0" w:space="0" w:color="auto"/>
      </w:divBdr>
    </w:div>
    <w:div w:id="953363661">
      <w:bodyDiv w:val="1"/>
      <w:marLeft w:val="0"/>
      <w:marRight w:val="0"/>
      <w:marTop w:val="0"/>
      <w:marBottom w:val="0"/>
      <w:divBdr>
        <w:top w:val="none" w:sz="0" w:space="0" w:color="auto"/>
        <w:left w:val="none" w:sz="0" w:space="0" w:color="auto"/>
        <w:bottom w:val="none" w:sz="0" w:space="0" w:color="auto"/>
        <w:right w:val="none" w:sz="0" w:space="0" w:color="auto"/>
      </w:divBdr>
    </w:div>
    <w:div w:id="953370680">
      <w:bodyDiv w:val="1"/>
      <w:marLeft w:val="0"/>
      <w:marRight w:val="0"/>
      <w:marTop w:val="0"/>
      <w:marBottom w:val="0"/>
      <w:divBdr>
        <w:top w:val="none" w:sz="0" w:space="0" w:color="auto"/>
        <w:left w:val="none" w:sz="0" w:space="0" w:color="auto"/>
        <w:bottom w:val="none" w:sz="0" w:space="0" w:color="auto"/>
        <w:right w:val="none" w:sz="0" w:space="0" w:color="auto"/>
      </w:divBdr>
    </w:div>
    <w:div w:id="953441510">
      <w:bodyDiv w:val="1"/>
      <w:marLeft w:val="0"/>
      <w:marRight w:val="0"/>
      <w:marTop w:val="0"/>
      <w:marBottom w:val="0"/>
      <w:divBdr>
        <w:top w:val="none" w:sz="0" w:space="0" w:color="auto"/>
        <w:left w:val="none" w:sz="0" w:space="0" w:color="auto"/>
        <w:bottom w:val="none" w:sz="0" w:space="0" w:color="auto"/>
        <w:right w:val="none" w:sz="0" w:space="0" w:color="auto"/>
      </w:divBdr>
    </w:div>
    <w:div w:id="953488644">
      <w:bodyDiv w:val="1"/>
      <w:marLeft w:val="0"/>
      <w:marRight w:val="0"/>
      <w:marTop w:val="0"/>
      <w:marBottom w:val="0"/>
      <w:divBdr>
        <w:top w:val="none" w:sz="0" w:space="0" w:color="auto"/>
        <w:left w:val="none" w:sz="0" w:space="0" w:color="auto"/>
        <w:bottom w:val="none" w:sz="0" w:space="0" w:color="auto"/>
        <w:right w:val="none" w:sz="0" w:space="0" w:color="auto"/>
      </w:divBdr>
    </w:div>
    <w:div w:id="953513526">
      <w:bodyDiv w:val="1"/>
      <w:marLeft w:val="0"/>
      <w:marRight w:val="0"/>
      <w:marTop w:val="0"/>
      <w:marBottom w:val="0"/>
      <w:divBdr>
        <w:top w:val="none" w:sz="0" w:space="0" w:color="auto"/>
        <w:left w:val="none" w:sz="0" w:space="0" w:color="auto"/>
        <w:bottom w:val="none" w:sz="0" w:space="0" w:color="auto"/>
        <w:right w:val="none" w:sz="0" w:space="0" w:color="auto"/>
      </w:divBdr>
    </w:div>
    <w:div w:id="953515848">
      <w:bodyDiv w:val="1"/>
      <w:marLeft w:val="0"/>
      <w:marRight w:val="0"/>
      <w:marTop w:val="0"/>
      <w:marBottom w:val="0"/>
      <w:divBdr>
        <w:top w:val="none" w:sz="0" w:space="0" w:color="auto"/>
        <w:left w:val="none" w:sz="0" w:space="0" w:color="auto"/>
        <w:bottom w:val="none" w:sz="0" w:space="0" w:color="auto"/>
        <w:right w:val="none" w:sz="0" w:space="0" w:color="auto"/>
      </w:divBdr>
    </w:div>
    <w:div w:id="953633366">
      <w:bodyDiv w:val="1"/>
      <w:marLeft w:val="0"/>
      <w:marRight w:val="0"/>
      <w:marTop w:val="0"/>
      <w:marBottom w:val="0"/>
      <w:divBdr>
        <w:top w:val="none" w:sz="0" w:space="0" w:color="auto"/>
        <w:left w:val="none" w:sz="0" w:space="0" w:color="auto"/>
        <w:bottom w:val="none" w:sz="0" w:space="0" w:color="auto"/>
        <w:right w:val="none" w:sz="0" w:space="0" w:color="auto"/>
      </w:divBdr>
    </w:div>
    <w:div w:id="953825564">
      <w:bodyDiv w:val="1"/>
      <w:marLeft w:val="0"/>
      <w:marRight w:val="0"/>
      <w:marTop w:val="0"/>
      <w:marBottom w:val="0"/>
      <w:divBdr>
        <w:top w:val="none" w:sz="0" w:space="0" w:color="auto"/>
        <w:left w:val="none" w:sz="0" w:space="0" w:color="auto"/>
        <w:bottom w:val="none" w:sz="0" w:space="0" w:color="auto"/>
        <w:right w:val="none" w:sz="0" w:space="0" w:color="auto"/>
      </w:divBdr>
    </w:div>
    <w:div w:id="953830907">
      <w:bodyDiv w:val="1"/>
      <w:marLeft w:val="0"/>
      <w:marRight w:val="0"/>
      <w:marTop w:val="0"/>
      <w:marBottom w:val="0"/>
      <w:divBdr>
        <w:top w:val="none" w:sz="0" w:space="0" w:color="auto"/>
        <w:left w:val="none" w:sz="0" w:space="0" w:color="auto"/>
        <w:bottom w:val="none" w:sz="0" w:space="0" w:color="auto"/>
        <w:right w:val="none" w:sz="0" w:space="0" w:color="auto"/>
      </w:divBdr>
    </w:div>
    <w:div w:id="953832863">
      <w:bodyDiv w:val="1"/>
      <w:marLeft w:val="0"/>
      <w:marRight w:val="0"/>
      <w:marTop w:val="0"/>
      <w:marBottom w:val="0"/>
      <w:divBdr>
        <w:top w:val="none" w:sz="0" w:space="0" w:color="auto"/>
        <w:left w:val="none" w:sz="0" w:space="0" w:color="auto"/>
        <w:bottom w:val="none" w:sz="0" w:space="0" w:color="auto"/>
        <w:right w:val="none" w:sz="0" w:space="0" w:color="auto"/>
      </w:divBdr>
    </w:div>
    <w:div w:id="953943151">
      <w:bodyDiv w:val="1"/>
      <w:marLeft w:val="0"/>
      <w:marRight w:val="0"/>
      <w:marTop w:val="0"/>
      <w:marBottom w:val="0"/>
      <w:divBdr>
        <w:top w:val="none" w:sz="0" w:space="0" w:color="auto"/>
        <w:left w:val="none" w:sz="0" w:space="0" w:color="auto"/>
        <w:bottom w:val="none" w:sz="0" w:space="0" w:color="auto"/>
        <w:right w:val="none" w:sz="0" w:space="0" w:color="auto"/>
      </w:divBdr>
    </w:div>
    <w:div w:id="954171139">
      <w:bodyDiv w:val="1"/>
      <w:marLeft w:val="0"/>
      <w:marRight w:val="0"/>
      <w:marTop w:val="0"/>
      <w:marBottom w:val="0"/>
      <w:divBdr>
        <w:top w:val="none" w:sz="0" w:space="0" w:color="auto"/>
        <w:left w:val="none" w:sz="0" w:space="0" w:color="auto"/>
        <w:bottom w:val="none" w:sz="0" w:space="0" w:color="auto"/>
        <w:right w:val="none" w:sz="0" w:space="0" w:color="auto"/>
      </w:divBdr>
    </w:div>
    <w:div w:id="954213329">
      <w:bodyDiv w:val="1"/>
      <w:marLeft w:val="0"/>
      <w:marRight w:val="0"/>
      <w:marTop w:val="0"/>
      <w:marBottom w:val="0"/>
      <w:divBdr>
        <w:top w:val="none" w:sz="0" w:space="0" w:color="auto"/>
        <w:left w:val="none" w:sz="0" w:space="0" w:color="auto"/>
        <w:bottom w:val="none" w:sz="0" w:space="0" w:color="auto"/>
        <w:right w:val="none" w:sz="0" w:space="0" w:color="auto"/>
      </w:divBdr>
    </w:div>
    <w:div w:id="954365264">
      <w:bodyDiv w:val="1"/>
      <w:marLeft w:val="0"/>
      <w:marRight w:val="0"/>
      <w:marTop w:val="0"/>
      <w:marBottom w:val="0"/>
      <w:divBdr>
        <w:top w:val="none" w:sz="0" w:space="0" w:color="auto"/>
        <w:left w:val="none" w:sz="0" w:space="0" w:color="auto"/>
        <w:bottom w:val="none" w:sz="0" w:space="0" w:color="auto"/>
        <w:right w:val="none" w:sz="0" w:space="0" w:color="auto"/>
      </w:divBdr>
    </w:div>
    <w:div w:id="954366828">
      <w:bodyDiv w:val="1"/>
      <w:marLeft w:val="0"/>
      <w:marRight w:val="0"/>
      <w:marTop w:val="0"/>
      <w:marBottom w:val="0"/>
      <w:divBdr>
        <w:top w:val="none" w:sz="0" w:space="0" w:color="auto"/>
        <w:left w:val="none" w:sz="0" w:space="0" w:color="auto"/>
        <w:bottom w:val="none" w:sz="0" w:space="0" w:color="auto"/>
        <w:right w:val="none" w:sz="0" w:space="0" w:color="auto"/>
      </w:divBdr>
    </w:div>
    <w:div w:id="954406539">
      <w:bodyDiv w:val="1"/>
      <w:marLeft w:val="0"/>
      <w:marRight w:val="0"/>
      <w:marTop w:val="0"/>
      <w:marBottom w:val="0"/>
      <w:divBdr>
        <w:top w:val="none" w:sz="0" w:space="0" w:color="auto"/>
        <w:left w:val="none" w:sz="0" w:space="0" w:color="auto"/>
        <w:bottom w:val="none" w:sz="0" w:space="0" w:color="auto"/>
        <w:right w:val="none" w:sz="0" w:space="0" w:color="auto"/>
      </w:divBdr>
    </w:div>
    <w:div w:id="954479630">
      <w:bodyDiv w:val="1"/>
      <w:marLeft w:val="0"/>
      <w:marRight w:val="0"/>
      <w:marTop w:val="0"/>
      <w:marBottom w:val="0"/>
      <w:divBdr>
        <w:top w:val="none" w:sz="0" w:space="0" w:color="auto"/>
        <w:left w:val="none" w:sz="0" w:space="0" w:color="auto"/>
        <w:bottom w:val="none" w:sz="0" w:space="0" w:color="auto"/>
        <w:right w:val="none" w:sz="0" w:space="0" w:color="auto"/>
      </w:divBdr>
    </w:div>
    <w:div w:id="954482847">
      <w:bodyDiv w:val="1"/>
      <w:marLeft w:val="0"/>
      <w:marRight w:val="0"/>
      <w:marTop w:val="0"/>
      <w:marBottom w:val="0"/>
      <w:divBdr>
        <w:top w:val="none" w:sz="0" w:space="0" w:color="auto"/>
        <w:left w:val="none" w:sz="0" w:space="0" w:color="auto"/>
        <w:bottom w:val="none" w:sz="0" w:space="0" w:color="auto"/>
        <w:right w:val="none" w:sz="0" w:space="0" w:color="auto"/>
      </w:divBdr>
    </w:div>
    <w:div w:id="954483575">
      <w:bodyDiv w:val="1"/>
      <w:marLeft w:val="0"/>
      <w:marRight w:val="0"/>
      <w:marTop w:val="0"/>
      <w:marBottom w:val="0"/>
      <w:divBdr>
        <w:top w:val="none" w:sz="0" w:space="0" w:color="auto"/>
        <w:left w:val="none" w:sz="0" w:space="0" w:color="auto"/>
        <w:bottom w:val="none" w:sz="0" w:space="0" w:color="auto"/>
        <w:right w:val="none" w:sz="0" w:space="0" w:color="auto"/>
      </w:divBdr>
    </w:div>
    <w:div w:id="954560793">
      <w:bodyDiv w:val="1"/>
      <w:marLeft w:val="0"/>
      <w:marRight w:val="0"/>
      <w:marTop w:val="0"/>
      <w:marBottom w:val="0"/>
      <w:divBdr>
        <w:top w:val="none" w:sz="0" w:space="0" w:color="auto"/>
        <w:left w:val="none" w:sz="0" w:space="0" w:color="auto"/>
        <w:bottom w:val="none" w:sz="0" w:space="0" w:color="auto"/>
        <w:right w:val="none" w:sz="0" w:space="0" w:color="auto"/>
      </w:divBdr>
    </w:div>
    <w:div w:id="954563003">
      <w:bodyDiv w:val="1"/>
      <w:marLeft w:val="0"/>
      <w:marRight w:val="0"/>
      <w:marTop w:val="0"/>
      <w:marBottom w:val="0"/>
      <w:divBdr>
        <w:top w:val="none" w:sz="0" w:space="0" w:color="auto"/>
        <w:left w:val="none" w:sz="0" w:space="0" w:color="auto"/>
        <w:bottom w:val="none" w:sz="0" w:space="0" w:color="auto"/>
        <w:right w:val="none" w:sz="0" w:space="0" w:color="auto"/>
      </w:divBdr>
    </w:div>
    <w:div w:id="954602248">
      <w:bodyDiv w:val="1"/>
      <w:marLeft w:val="0"/>
      <w:marRight w:val="0"/>
      <w:marTop w:val="0"/>
      <w:marBottom w:val="0"/>
      <w:divBdr>
        <w:top w:val="none" w:sz="0" w:space="0" w:color="auto"/>
        <w:left w:val="none" w:sz="0" w:space="0" w:color="auto"/>
        <w:bottom w:val="none" w:sz="0" w:space="0" w:color="auto"/>
        <w:right w:val="none" w:sz="0" w:space="0" w:color="auto"/>
      </w:divBdr>
    </w:div>
    <w:div w:id="954603293">
      <w:bodyDiv w:val="1"/>
      <w:marLeft w:val="0"/>
      <w:marRight w:val="0"/>
      <w:marTop w:val="0"/>
      <w:marBottom w:val="0"/>
      <w:divBdr>
        <w:top w:val="none" w:sz="0" w:space="0" w:color="auto"/>
        <w:left w:val="none" w:sz="0" w:space="0" w:color="auto"/>
        <w:bottom w:val="none" w:sz="0" w:space="0" w:color="auto"/>
        <w:right w:val="none" w:sz="0" w:space="0" w:color="auto"/>
      </w:divBdr>
    </w:div>
    <w:div w:id="954865027">
      <w:bodyDiv w:val="1"/>
      <w:marLeft w:val="0"/>
      <w:marRight w:val="0"/>
      <w:marTop w:val="0"/>
      <w:marBottom w:val="0"/>
      <w:divBdr>
        <w:top w:val="none" w:sz="0" w:space="0" w:color="auto"/>
        <w:left w:val="none" w:sz="0" w:space="0" w:color="auto"/>
        <w:bottom w:val="none" w:sz="0" w:space="0" w:color="auto"/>
        <w:right w:val="none" w:sz="0" w:space="0" w:color="auto"/>
      </w:divBdr>
    </w:div>
    <w:div w:id="954866772">
      <w:bodyDiv w:val="1"/>
      <w:marLeft w:val="0"/>
      <w:marRight w:val="0"/>
      <w:marTop w:val="0"/>
      <w:marBottom w:val="0"/>
      <w:divBdr>
        <w:top w:val="none" w:sz="0" w:space="0" w:color="auto"/>
        <w:left w:val="none" w:sz="0" w:space="0" w:color="auto"/>
        <w:bottom w:val="none" w:sz="0" w:space="0" w:color="auto"/>
        <w:right w:val="none" w:sz="0" w:space="0" w:color="auto"/>
      </w:divBdr>
    </w:div>
    <w:div w:id="954941379">
      <w:bodyDiv w:val="1"/>
      <w:marLeft w:val="0"/>
      <w:marRight w:val="0"/>
      <w:marTop w:val="0"/>
      <w:marBottom w:val="0"/>
      <w:divBdr>
        <w:top w:val="none" w:sz="0" w:space="0" w:color="auto"/>
        <w:left w:val="none" w:sz="0" w:space="0" w:color="auto"/>
        <w:bottom w:val="none" w:sz="0" w:space="0" w:color="auto"/>
        <w:right w:val="none" w:sz="0" w:space="0" w:color="auto"/>
      </w:divBdr>
    </w:div>
    <w:div w:id="954945076">
      <w:bodyDiv w:val="1"/>
      <w:marLeft w:val="0"/>
      <w:marRight w:val="0"/>
      <w:marTop w:val="0"/>
      <w:marBottom w:val="0"/>
      <w:divBdr>
        <w:top w:val="none" w:sz="0" w:space="0" w:color="auto"/>
        <w:left w:val="none" w:sz="0" w:space="0" w:color="auto"/>
        <w:bottom w:val="none" w:sz="0" w:space="0" w:color="auto"/>
        <w:right w:val="none" w:sz="0" w:space="0" w:color="auto"/>
      </w:divBdr>
    </w:div>
    <w:div w:id="954991884">
      <w:bodyDiv w:val="1"/>
      <w:marLeft w:val="0"/>
      <w:marRight w:val="0"/>
      <w:marTop w:val="0"/>
      <w:marBottom w:val="0"/>
      <w:divBdr>
        <w:top w:val="none" w:sz="0" w:space="0" w:color="auto"/>
        <w:left w:val="none" w:sz="0" w:space="0" w:color="auto"/>
        <w:bottom w:val="none" w:sz="0" w:space="0" w:color="auto"/>
        <w:right w:val="none" w:sz="0" w:space="0" w:color="auto"/>
      </w:divBdr>
    </w:div>
    <w:div w:id="955019910">
      <w:bodyDiv w:val="1"/>
      <w:marLeft w:val="0"/>
      <w:marRight w:val="0"/>
      <w:marTop w:val="0"/>
      <w:marBottom w:val="0"/>
      <w:divBdr>
        <w:top w:val="none" w:sz="0" w:space="0" w:color="auto"/>
        <w:left w:val="none" w:sz="0" w:space="0" w:color="auto"/>
        <w:bottom w:val="none" w:sz="0" w:space="0" w:color="auto"/>
        <w:right w:val="none" w:sz="0" w:space="0" w:color="auto"/>
      </w:divBdr>
    </w:div>
    <w:div w:id="955214213">
      <w:bodyDiv w:val="1"/>
      <w:marLeft w:val="0"/>
      <w:marRight w:val="0"/>
      <w:marTop w:val="0"/>
      <w:marBottom w:val="0"/>
      <w:divBdr>
        <w:top w:val="none" w:sz="0" w:space="0" w:color="auto"/>
        <w:left w:val="none" w:sz="0" w:space="0" w:color="auto"/>
        <w:bottom w:val="none" w:sz="0" w:space="0" w:color="auto"/>
        <w:right w:val="none" w:sz="0" w:space="0" w:color="auto"/>
      </w:divBdr>
    </w:div>
    <w:div w:id="955258183">
      <w:bodyDiv w:val="1"/>
      <w:marLeft w:val="0"/>
      <w:marRight w:val="0"/>
      <w:marTop w:val="0"/>
      <w:marBottom w:val="0"/>
      <w:divBdr>
        <w:top w:val="none" w:sz="0" w:space="0" w:color="auto"/>
        <w:left w:val="none" w:sz="0" w:space="0" w:color="auto"/>
        <w:bottom w:val="none" w:sz="0" w:space="0" w:color="auto"/>
        <w:right w:val="none" w:sz="0" w:space="0" w:color="auto"/>
      </w:divBdr>
    </w:div>
    <w:div w:id="955327108">
      <w:bodyDiv w:val="1"/>
      <w:marLeft w:val="0"/>
      <w:marRight w:val="0"/>
      <w:marTop w:val="0"/>
      <w:marBottom w:val="0"/>
      <w:divBdr>
        <w:top w:val="none" w:sz="0" w:space="0" w:color="auto"/>
        <w:left w:val="none" w:sz="0" w:space="0" w:color="auto"/>
        <w:bottom w:val="none" w:sz="0" w:space="0" w:color="auto"/>
        <w:right w:val="none" w:sz="0" w:space="0" w:color="auto"/>
      </w:divBdr>
    </w:div>
    <w:div w:id="955403894">
      <w:bodyDiv w:val="1"/>
      <w:marLeft w:val="0"/>
      <w:marRight w:val="0"/>
      <w:marTop w:val="0"/>
      <w:marBottom w:val="0"/>
      <w:divBdr>
        <w:top w:val="none" w:sz="0" w:space="0" w:color="auto"/>
        <w:left w:val="none" w:sz="0" w:space="0" w:color="auto"/>
        <w:bottom w:val="none" w:sz="0" w:space="0" w:color="auto"/>
        <w:right w:val="none" w:sz="0" w:space="0" w:color="auto"/>
      </w:divBdr>
    </w:div>
    <w:div w:id="955646055">
      <w:bodyDiv w:val="1"/>
      <w:marLeft w:val="0"/>
      <w:marRight w:val="0"/>
      <w:marTop w:val="0"/>
      <w:marBottom w:val="0"/>
      <w:divBdr>
        <w:top w:val="none" w:sz="0" w:space="0" w:color="auto"/>
        <w:left w:val="none" w:sz="0" w:space="0" w:color="auto"/>
        <w:bottom w:val="none" w:sz="0" w:space="0" w:color="auto"/>
        <w:right w:val="none" w:sz="0" w:space="0" w:color="auto"/>
      </w:divBdr>
    </w:div>
    <w:div w:id="955714188">
      <w:bodyDiv w:val="1"/>
      <w:marLeft w:val="0"/>
      <w:marRight w:val="0"/>
      <w:marTop w:val="0"/>
      <w:marBottom w:val="0"/>
      <w:divBdr>
        <w:top w:val="none" w:sz="0" w:space="0" w:color="auto"/>
        <w:left w:val="none" w:sz="0" w:space="0" w:color="auto"/>
        <w:bottom w:val="none" w:sz="0" w:space="0" w:color="auto"/>
        <w:right w:val="none" w:sz="0" w:space="0" w:color="auto"/>
      </w:divBdr>
    </w:div>
    <w:div w:id="955716413">
      <w:bodyDiv w:val="1"/>
      <w:marLeft w:val="0"/>
      <w:marRight w:val="0"/>
      <w:marTop w:val="0"/>
      <w:marBottom w:val="0"/>
      <w:divBdr>
        <w:top w:val="none" w:sz="0" w:space="0" w:color="auto"/>
        <w:left w:val="none" w:sz="0" w:space="0" w:color="auto"/>
        <w:bottom w:val="none" w:sz="0" w:space="0" w:color="auto"/>
        <w:right w:val="none" w:sz="0" w:space="0" w:color="auto"/>
      </w:divBdr>
    </w:div>
    <w:div w:id="955723009">
      <w:bodyDiv w:val="1"/>
      <w:marLeft w:val="0"/>
      <w:marRight w:val="0"/>
      <w:marTop w:val="0"/>
      <w:marBottom w:val="0"/>
      <w:divBdr>
        <w:top w:val="none" w:sz="0" w:space="0" w:color="auto"/>
        <w:left w:val="none" w:sz="0" w:space="0" w:color="auto"/>
        <w:bottom w:val="none" w:sz="0" w:space="0" w:color="auto"/>
        <w:right w:val="none" w:sz="0" w:space="0" w:color="auto"/>
      </w:divBdr>
    </w:div>
    <w:div w:id="955798251">
      <w:bodyDiv w:val="1"/>
      <w:marLeft w:val="0"/>
      <w:marRight w:val="0"/>
      <w:marTop w:val="0"/>
      <w:marBottom w:val="0"/>
      <w:divBdr>
        <w:top w:val="none" w:sz="0" w:space="0" w:color="auto"/>
        <w:left w:val="none" w:sz="0" w:space="0" w:color="auto"/>
        <w:bottom w:val="none" w:sz="0" w:space="0" w:color="auto"/>
        <w:right w:val="none" w:sz="0" w:space="0" w:color="auto"/>
      </w:divBdr>
    </w:div>
    <w:div w:id="955864865">
      <w:bodyDiv w:val="1"/>
      <w:marLeft w:val="0"/>
      <w:marRight w:val="0"/>
      <w:marTop w:val="0"/>
      <w:marBottom w:val="0"/>
      <w:divBdr>
        <w:top w:val="none" w:sz="0" w:space="0" w:color="auto"/>
        <w:left w:val="none" w:sz="0" w:space="0" w:color="auto"/>
        <w:bottom w:val="none" w:sz="0" w:space="0" w:color="auto"/>
        <w:right w:val="none" w:sz="0" w:space="0" w:color="auto"/>
      </w:divBdr>
    </w:div>
    <w:div w:id="955865597">
      <w:bodyDiv w:val="1"/>
      <w:marLeft w:val="0"/>
      <w:marRight w:val="0"/>
      <w:marTop w:val="0"/>
      <w:marBottom w:val="0"/>
      <w:divBdr>
        <w:top w:val="none" w:sz="0" w:space="0" w:color="auto"/>
        <w:left w:val="none" w:sz="0" w:space="0" w:color="auto"/>
        <w:bottom w:val="none" w:sz="0" w:space="0" w:color="auto"/>
        <w:right w:val="none" w:sz="0" w:space="0" w:color="auto"/>
      </w:divBdr>
    </w:div>
    <w:div w:id="955982417">
      <w:bodyDiv w:val="1"/>
      <w:marLeft w:val="0"/>
      <w:marRight w:val="0"/>
      <w:marTop w:val="0"/>
      <w:marBottom w:val="0"/>
      <w:divBdr>
        <w:top w:val="none" w:sz="0" w:space="0" w:color="auto"/>
        <w:left w:val="none" w:sz="0" w:space="0" w:color="auto"/>
        <w:bottom w:val="none" w:sz="0" w:space="0" w:color="auto"/>
        <w:right w:val="none" w:sz="0" w:space="0" w:color="auto"/>
      </w:divBdr>
    </w:div>
    <w:div w:id="955988274">
      <w:bodyDiv w:val="1"/>
      <w:marLeft w:val="0"/>
      <w:marRight w:val="0"/>
      <w:marTop w:val="0"/>
      <w:marBottom w:val="0"/>
      <w:divBdr>
        <w:top w:val="none" w:sz="0" w:space="0" w:color="auto"/>
        <w:left w:val="none" w:sz="0" w:space="0" w:color="auto"/>
        <w:bottom w:val="none" w:sz="0" w:space="0" w:color="auto"/>
        <w:right w:val="none" w:sz="0" w:space="0" w:color="auto"/>
      </w:divBdr>
    </w:div>
    <w:div w:id="956058872">
      <w:bodyDiv w:val="1"/>
      <w:marLeft w:val="0"/>
      <w:marRight w:val="0"/>
      <w:marTop w:val="0"/>
      <w:marBottom w:val="0"/>
      <w:divBdr>
        <w:top w:val="none" w:sz="0" w:space="0" w:color="auto"/>
        <w:left w:val="none" w:sz="0" w:space="0" w:color="auto"/>
        <w:bottom w:val="none" w:sz="0" w:space="0" w:color="auto"/>
        <w:right w:val="none" w:sz="0" w:space="0" w:color="auto"/>
      </w:divBdr>
    </w:div>
    <w:div w:id="956061817">
      <w:bodyDiv w:val="1"/>
      <w:marLeft w:val="0"/>
      <w:marRight w:val="0"/>
      <w:marTop w:val="0"/>
      <w:marBottom w:val="0"/>
      <w:divBdr>
        <w:top w:val="none" w:sz="0" w:space="0" w:color="auto"/>
        <w:left w:val="none" w:sz="0" w:space="0" w:color="auto"/>
        <w:bottom w:val="none" w:sz="0" w:space="0" w:color="auto"/>
        <w:right w:val="none" w:sz="0" w:space="0" w:color="auto"/>
      </w:divBdr>
    </w:div>
    <w:div w:id="956179632">
      <w:bodyDiv w:val="1"/>
      <w:marLeft w:val="0"/>
      <w:marRight w:val="0"/>
      <w:marTop w:val="0"/>
      <w:marBottom w:val="0"/>
      <w:divBdr>
        <w:top w:val="none" w:sz="0" w:space="0" w:color="auto"/>
        <w:left w:val="none" w:sz="0" w:space="0" w:color="auto"/>
        <w:bottom w:val="none" w:sz="0" w:space="0" w:color="auto"/>
        <w:right w:val="none" w:sz="0" w:space="0" w:color="auto"/>
      </w:divBdr>
    </w:div>
    <w:div w:id="956180241">
      <w:bodyDiv w:val="1"/>
      <w:marLeft w:val="0"/>
      <w:marRight w:val="0"/>
      <w:marTop w:val="0"/>
      <w:marBottom w:val="0"/>
      <w:divBdr>
        <w:top w:val="none" w:sz="0" w:space="0" w:color="auto"/>
        <w:left w:val="none" w:sz="0" w:space="0" w:color="auto"/>
        <w:bottom w:val="none" w:sz="0" w:space="0" w:color="auto"/>
        <w:right w:val="none" w:sz="0" w:space="0" w:color="auto"/>
      </w:divBdr>
    </w:div>
    <w:div w:id="956180493">
      <w:bodyDiv w:val="1"/>
      <w:marLeft w:val="0"/>
      <w:marRight w:val="0"/>
      <w:marTop w:val="0"/>
      <w:marBottom w:val="0"/>
      <w:divBdr>
        <w:top w:val="none" w:sz="0" w:space="0" w:color="auto"/>
        <w:left w:val="none" w:sz="0" w:space="0" w:color="auto"/>
        <w:bottom w:val="none" w:sz="0" w:space="0" w:color="auto"/>
        <w:right w:val="none" w:sz="0" w:space="0" w:color="auto"/>
      </w:divBdr>
    </w:div>
    <w:div w:id="956373044">
      <w:bodyDiv w:val="1"/>
      <w:marLeft w:val="0"/>
      <w:marRight w:val="0"/>
      <w:marTop w:val="0"/>
      <w:marBottom w:val="0"/>
      <w:divBdr>
        <w:top w:val="none" w:sz="0" w:space="0" w:color="auto"/>
        <w:left w:val="none" w:sz="0" w:space="0" w:color="auto"/>
        <w:bottom w:val="none" w:sz="0" w:space="0" w:color="auto"/>
        <w:right w:val="none" w:sz="0" w:space="0" w:color="auto"/>
      </w:divBdr>
    </w:div>
    <w:div w:id="956374225">
      <w:bodyDiv w:val="1"/>
      <w:marLeft w:val="0"/>
      <w:marRight w:val="0"/>
      <w:marTop w:val="0"/>
      <w:marBottom w:val="0"/>
      <w:divBdr>
        <w:top w:val="none" w:sz="0" w:space="0" w:color="auto"/>
        <w:left w:val="none" w:sz="0" w:space="0" w:color="auto"/>
        <w:bottom w:val="none" w:sz="0" w:space="0" w:color="auto"/>
        <w:right w:val="none" w:sz="0" w:space="0" w:color="auto"/>
      </w:divBdr>
    </w:div>
    <w:div w:id="956447086">
      <w:bodyDiv w:val="1"/>
      <w:marLeft w:val="0"/>
      <w:marRight w:val="0"/>
      <w:marTop w:val="0"/>
      <w:marBottom w:val="0"/>
      <w:divBdr>
        <w:top w:val="none" w:sz="0" w:space="0" w:color="auto"/>
        <w:left w:val="none" w:sz="0" w:space="0" w:color="auto"/>
        <w:bottom w:val="none" w:sz="0" w:space="0" w:color="auto"/>
        <w:right w:val="none" w:sz="0" w:space="0" w:color="auto"/>
      </w:divBdr>
    </w:div>
    <w:div w:id="956524145">
      <w:bodyDiv w:val="1"/>
      <w:marLeft w:val="0"/>
      <w:marRight w:val="0"/>
      <w:marTop w:val="0"/>
      <w:marBottom w:val="0"/>
      <w:divBdr>
        <w:top w:val="none" w:sz="0" w:space="0" w:color="auto"/>
        <w:left w:val="none" w:sz="0" w:space="0" w:color="auto"/>
        <w:bottom w:val="none" w:sz="0" w:space="0" w:color="auto"/>
        <w:right w:val="none" w:sz="0" w:space="0" w:color="auto"/>
      </w:divBdr>
    </w:div>
    <w:div w:id="956566550">
      <w:bodyDiv w:val="1"/>
      <w:marLeft w:val="0"/>
      <w:marRight w:val="0"/>
      <w:marTop w:val="0"/>
      <w:marBottom w:val="0"/>
      <w:divBdr>
        <w:top w:val="none" w:sz="0" w:space="0" w:color="auto"/>
        <w:left w:val="none" w:sz="0" w:space="0" w:color="auto"/>
        <w:bottom w:val="none" w:sz="0" w:space="0" w:color="auto"/>
        <w:right w:val="none" w:sz="0" w:space="0" w:color="auto"/>
      </w:divBdr>
    </w:div>
    <w:div w:id="956570801">
      <w:bodyDiv w:val="1"/>
      <w:marLeft w:val="0"/>
      <w:marRight w:val="0"/>
      <w:marTop w:val="0"/>
      <w:marBottom w:val="0"/>
      <w:divBdr>
        <w:top w:val="none" w:sz="0" w:space="0" w:color="auto"/>
        <w:left w:val="none" w:sz="0" w:space="0" w:color="auto"/>
        <w:bottom w:val="none" w:sz="0" w:space="0" w:color="auto"/>
        <w:right w:val="none" w:sz="0" w:space="0" w:color="auto"/>
      </w:divBdr>
    </w:div>
    <w:div w:id="956791963">
      <w:bodyDiv w:val="1"/>
      <w:marLeft w:val="0"/>
      <w:marRight w:val="0"/>
      <w:marTop w:val="0"/>
      <w:marBottom w:val="0"/>
      <w:divBdr>
        <w:top w:val="none" w:sz="0" w:space="0" w:color="auto"/>
        <w:left w:val="none" w:sz="0" w:space="0" w:color="auto"/>
        <w:bottom w:val="none" w:sz="0" w:space="0" w:color="auto"/>
        <w:right w:val="none" w:sz="0" w:space="0" w:color="auto"/>
      </w:divBdr>
    </w:div>
    <w:div w:id="956834756">
      <w:bodyDiv w:val="1"/>
      <w:marLeft w:val="0"/>
      <w:marRight w:val="0"/>
      <w:marTop w:val="0"/>
      <w:marBottom w:val="0"/>
      <w:divBdr>
        <w:top w:val="none" w:sz="0" w:space="0" w:color="auto"/>
        <w:left w:val="none" w:sz="0" w:space="0" w:color="auto"/>
        <w:bottom w:val="none" w:sz="0" w:space="0" w:color="auto"/>
        <w:right w:val="none" w:sz="0" w:space="0" w:color="auto"/>
      </w:divBdr>
    </w:div>
    <w:div w:id="956987384">
      <w:bodyDiv w:val="1"/>
      <w:marLeft w:val="0"/>
      <w:marRight w:val="0"/>
      <w:marTop w:val="0"/>
      <w:marBottom w:val="0"/>
      <w:divBdr>
        <w:top w:val="none" w:sz="0" w:space="0" w:color="auto"/>
        <w:left w:val="none" w:sz="0" w:space="0" w:color="auto"/>
        <w:bottom w:val="none" w:sz="0" w:space="0" w:color="auto"/>
        <w:right w:val="none" w:sz="0" w:space="0" w:color="auto"/>
      </w:divBdr>
    </w:div>
    <w:div w:id="956988054">
      <w:bodyDiv w:val="1"/>
      <w:marLeft w:val="0"/>
      <w:marRight w:val="0"/>
      <w:marTop w:val="0"/>
      <w:marBottom w:val="0"/>
      <w:divBdr>
        <w:top w:val="none" w:sz="0" w:space="0" w:color="auto"/>
        <w:left w:val="none" w:sz="0" w:space="0" w:color="auto"/>
        <w:bottom w:val="none" w:sz="0" w:space="0" w:color="auto"/>
        <w:right w:val="none" w:sz="0" w:space="0" w:color="auto"/>
      </w:divBdr>
    </w:div>
    <w:div w:id="957032808">
      <w:bodyDiv w:val="1"/>
      <w:marLeft w:val="0"/>
      <w:marRight w:val="0"/>
      <w:marTop w:val="0"/>
      <w:marBottom w:val="0"/>
      <w:divBdr>
        <w:top w:val="none" w:sz="0" w:space="0" w:color="auto"/>
        <w:left w:val="none" w:sz="0" w:space="0" w:color="auto"/>
        <w:bottom w:val="none" w:sz="0" w:space="0" w:color="auto"/>
        <w:right w:val="none" w:sz="0" w:space="0" w:color="auto"/>
      </w:divBdr>
    </w:div>
    <w:div w:id="957104061">
      <w:bodyDiv w:val="1"/>
      <w:marLeft w:val="0"/>
      <w:marRight w:val="0"/>
      <w:marTop w:val="0"/>
      <w:marBottom w:val="0"/>
      <w:divBdr>
        <w:top w:val="none" w:sz="0" w:space="0" w:color="auto"/>
        <w:left w:val="none" w:sz="0" w:space="0" w:color="auto"/>
        <w:bottom w:val="none" w:sz="0" w:space="0" w:color="auto"/>
        <w:right w:val="none" w:sz="0" w:space="0" w:color="auto"/>
      </w:divBdr>
    </w:div>
    <w:div w:id="957104741">
      <w:bodyDiv w:val="1"/>
      <w:marLeft w:val="0"/>
      <w:marRight w:val="0"/>
      <w:marTop w:val="0"/>
      <w:marBottom w:val="0"/>
      <w:divBdr>
        <w:top w:val="none" w:sz="0" w:space="0" w:color="auto"/>
        <w:left w:val="none" w:sz="0" w:space="0" w:color="auto"/>
        <w:bottom w:val="none" w:sz="0" w:space="0" w:color="auto"/>
        <w:right w:val="none" w:sz="0" w:space="0" w:color="auto"/>
      </w:divBdr>
    </w:div>
    <w:div w:id="957107049">
      <w:bodyDiv w:val="1"/>
      <w:marLeft w:val="0"/>
      <w:marRight w:val="0"/>
      <w:marTop w:val="0"/>
      <w:marBottom w:val="0"/>
      <w:divBdr>
        <w:top w:val="none" w:sz="0" w:space="0" w:color="auto"/>
        <w:left w:val="none" w:sz="0" w:space="0" w:color="auto"/>
        <w:bottom w:val="none" w:sz="0" w:space="0" w:color="auto"/>
        <w:right w:val="none" w:sz="0" w:space="0" w:color="auto"/>
      </w:divBdr>
    </w:div>
    <w:div w:id="957107792">
      <w:bodyDiv w:val="1"/>
      <w:marLeft w:val="0"/>
      <w:marRight w:val="0"/>
      <w:marTop w:val="0"/>
      <w:marBottom w:val="0"/>
      <w:divBdr>
        <w:top w:val="none" w:sz="0" w:space="0" w:color="auto"/>
        <w:left w:val="none" w:sz="0" w:space="0" w:color="auto"/>
        <w:bottom w:val="none" w:sz="0" w:space="0" w:color="auto"/>
        <w:right w:val="none" w:sz="0" w:space="0" w:color="auto"/>
      </w:divBdr>
    </w:div>
    <w:div w:id="957184550">
      <w:bodyDiv w:val="1"/>
      <w:marLeft w:val="0"/>
      <w:marRight w:val="0"/>
      <w:marTop w:val="0"/>
      <w:marBottom w:val="0"/>
      <w:divBdr>
        <w:top w:val="none" w:sz="0" w:space="0" w:color="auto"/>
        <w:left w:val="none" w:sz="0" w:space="0" w:color="auto"/>
        <w:bottom w:val="none" w:sz="0" w:space="0" w:color="auto"/>
        <w:right w:val="none" w:sz="0" w:space="0" w:color="auto"/>
      </w:divBdr>
    </w:div>
    <w:div w:id="957223387">
      <w:bodyDiv w:val="1"/>
      <w:marLeft w:val="0"/>
      <w:marRight w:val="0"/>
      <w:marTop w:val="0"/>
      <w:marBottom w:val="0"/>
      <w:divBdr>
        <w:top w:val="none" w:sz="0" w:space="0" w:color="auto"/>
        <w:left w:val="none" w:sz="0" w:space="0" w:color="auto"/>
        <w:bottom w:val="none" w:sz="0" w:space="0" w:color="auto"/>
        <w:right w:val="none" w:sz="0" w:space="0" w:color="auto"/>
      </w:divBdr>
    </w:div>
    <w:div w:id="957302491">
      <w:bodyDiv w:val="1"/>
      <w:marLeft w:val="0"/>
      <w:marRight w:val="0"/>
      <w:marTop w:val="0"/>
      <w:marBottom w:val="0"/>
      <w:divBdr>
        <w:top w:val="none" w:sz="0" w:space="0" w:color="auto"/>
        <w:left w:val="none" w:sz="0" w:space="0" w:color="auto"/>
        <w:bottom w:val="none" w:sz="0" w:space="0" w:color="auto"/>
        <w:right w:val="none" w:sz="0" w:space="0" w:color="auto"/>
      </w:divBdr>
    </w:div>
    <w:div w:id="957419637">
      <w:bodyDiv w:val="1"/>
      <w:marLeft w:val="0"/>
      <w:marRight w:val="0"/>
      <w:marTop w:val="0"/>
      <w:marBottom w:val="0"/>
      <w:divBdr>
        <w:top w:val="none" w:sz="0" w:space="0" w:color="auto"/>
        <w:left w:val="none" w:sz="0" w:space="0" w:color="auto"/>
        <w:bottom w:val="none" w:sz="0" w:space="0" w:color="auto"/>
        <w:right w:val="none" w:sz="0" w:space="0" w:color="auto"/>
      </w:divBdr>
    </w:div>
    <w:div w:id="957446230">
      <w:bodyDiv w:val="1"/>
      <w:marLeft w:val="0"/>
      <w:marRight w:val="0"/>
      <w:marTop w:val="0"/>
      <w:marBottom w:val="0"/>
      <w:divBdr>
        <w:top w:val="none" w:sz="0" w:space="0" w:color="auto"/>
        <w:left w:val="none" w:sz="0" w:space="0" w:color="auto"/>
        <w:bottom w:val="none" w:sz="0" w:space="0" w:color="auto"/>
        <w:right w:val="none" w:sz="0" w:space="0" w:color="auto"/>
      </w:divBdr>
    </w:div>
    <w:div w:id="957490486">
      <w:bodyDiv w:val="1"/>
      <w:marLeft w:val="0"/>
      <w:marRight w:val="0"/>
      <w:marTop w:val="0"/>
      <w:marBottom w:val="0"/>
      <w:divBdr>
        <w:top w:val="none" w:sz="0" w:space="0" w:color="auto"/>
        <w:left w:val="none" w:sz="0" w:space="0" w:color="auto"/>
        <w:bottom w:val="none" w:sz="0" w:space="0" w:color="auto"/>
        <w:right w:val="none" w:sz="0" w:space="0" w:color="auto"/>
      </w:divBdr>
    </w:div>
    <w:div w:id="957491075">
      <w:bodyDiv w:val="1"/>
      <w:marLeft w:val="0"/>
      <w:marRight w:val="0"/>
      <w:marTop w:val="0"/>
      <w:marBottom w:val="0"/>
      <w:divBdr>
        <w:top w:val="none" w:sz="0" w:space="0" w:color="auto"/>
        <w:left w:val="none" w:sz="0" w:space="0" w:color="auto"/>
        <w:bottom w:val="none" w:sz="0" w:space="0" w:color="auto"/>
        <w:right w:val="none" w:sz="0" w:space="0" w:color="auto"/>
      </w:divBdr>
    </w:div>
    <w:div w:id="957566721">
      <w:bodyDiv w:val="1"/>
      <w:marLeft w:val="0"/>
      <w:marRight w:val="0"/>
      <w:marTop w:val="0"/>
      <w:marBottom w:val="0"/>
      <w:divBdr>
        <w:top w:val="none" w:sz="0" w:space="0" w:color="auto"/>
        <w:left w:val="none" w:sz="0" w:space="0" w:color="auto"/>
        <w:bottom w:val="none" w:sz="0" w:space="0" w:color="auto"/>
        <w:right w:val="none" w:sz="0" w:space="0" w:color="auto"/>
      </w:divBdr>
    </w:div>
    <w:div w:id="957567666">
      <w:bodyDiv w:val="1"/>
      <w:marLeft w:val="0"/>
      <w:marRight w:val="0"/>
      <w:marTop w:val="0"/>
      <w:marBottom w:val="0"/>
      <w:divBdr>
        <w:top w:val="none" w:sz="0" w:space="0" w:color="auto"/>
        <w:left w:val="none" w:sz="0" w:space="0" w:color="auto"/>
        <w:bottom w:val="none" w:sz="0" w:space="0" w:color="auto"/>
        <w:right w:val="none" w:sz="0" w:space="0" w:color="auto"/>
      </w:divBdr>
    </w:div>
    <w:div w:id="957569931">
      <w:bodyDiv w:val="1"/>
      <w:marLeft w:val="0"/>
      <w:marRight w:val="0"/>
      <w:marTop w:val="0"/>
      <w:marBottom w:val="0"/>
      <w:divBdr>
        <w:top w:val="none" w:sz="0" w:space="0" w:color="auto"/>
        <w:left w:val="none" w:sz="0" w:space="0" w:color="auto"/>
        <w:bottom w:val="none" w:sz="0" w:space="0" w:color="auto"/>
        <w:right w:val="none" w:sz="0" w:space="0" w:color="auto"/>
      </w:divBdr>
    </w:div>
    <w:div w:id="957570231">
      <w:bodyDiv w:val="1"/>
      <w:marLeft w:val="0"/>
      <w:marRight w:val="0"/>
      <w:marTop w:val="0"/>
      <w:marBottom w:val="0"/>
      <w:divBdr>
        <w:top w:val="none" w:sz="0" w:space="0" w:color="auto"/>
        <w:left w:val="none" w:sz="0" w:space="0" w:color="auto"/>
        <w:bottom w:val="none" w:sz="0" w:space="0" w:color="auto"/>
        <w:right w:val="none" w:sz="0" w:space="0" w:color="auto"/>
      </w:divBdr>
    </w:div>
    <w:div w:id="957639336">
      <w:bodyDiv w:val="1"/>
      <w:marLeft w:val="0"/>
      <w:marRight w:val="0"/>
      <w:marTop w:val="0"/>
      <w:marBottom w:val="0"/>
      <w:divBdr>
        <w:top w:val="none" w:sz="0" w:space="0" w:color="auto"/>
        <w:left w:val="none" w:sz="0" w:space="0" w:color="auto"/>
        <w:bottom w:val="none" w:sz="0" w:space="0" w:color="auto"/>
        <w:right w:val="none" w:sz="0" w:space="0" w:color="auto"/>
      </w:divBdr>
    </w:div>
    <w:div w:id="957831737">
      <w:bodyDiv w:val="1"/>
      <w:marLeft w:val="0"/>
      <w:marRight w:val="0"/>
      <w:marTop w:val="0"/>
      <w:marBottom w:val="0"/>
      <w:divBdr>
        <w:top w:val="none" w:sz="0" w:space="0" w:color="auto"/>
        <w:left w:val="none" w:sz="0" w:space="0" w:color="auto"/>
        <w:bottom w:val="none" w:sz="0" w:space="0" w:color="auto"/>
        <w:right w:val="none" w:sz="0" w:space="0" w:color="auto"/>
      </w:divBdr>
    </w:div>
    <w:div w:id="957832183">
      <w:bodyDiv w:val="1"/>
      <w:marLeft w:val="0"/>
      <w:marRight w:val="0"/>
      <w:marTop w:val="0"/>
      <w:marBottom w:val="0"/>
      <w:divBdr>
        <w:top w:val="none" w:sz="0" w:space="0" w:color="auto"/>
        <w:left w:val="none" w:sz="0" w:space="0" w:color="auto"/>
        <w:bottom w:val="none" w:sz="0" w:space="0" w:color="auto"/>
        <w:right w:val="none" w:sz="0" w:space="0" w:color="auto"/>
      </w:divBdr>
    </w:div>
    <w:div w:id="957949601">
      <w:bodyDiv w:val="1"/>
      <w:marLeft w:val="0"/>
      <w:marRight w:val="0"/>
      <w:marTop w:val="0"/>
      <w:marBottom w:val="0"/>
      <w:divBdr>
        <w:top w:val="none" w:sz="0" w:space="0" w:color="auto"/>
        <w:left w:val="none" w:sz="0" w:space="0" w:color="auto"/>
        <w:bottom w:val="none" w:sz="0" w:space="0" w:color="auto"/>
        <w:right w:val="none" w:sz="0" w:space="0" w:color="auto"/>
      </w:divBdr>
    </w:div>
    <w:div w:id="958024133">
      <w:bodyDiv w:val="1"/>
      <w:marLeft w:val="0"/>
      <w:marRight w:val="0"/>
      <w:marTop w:val="0"/>
      <w:marBottom w:val="0"/>
      <w:divBdr>
        <w:top w:val="none" w:sz="0" w:space="0" w:color="auto"/>
        <w:left w:val="none" w:sz="0" w:space="0" w:color="auto"/>
        <w:bottom w:val="none" w:sz="0" w:space="0" w:color="auto"/>
        <w:right w:val="none" w:sz="0" w:space="0" w:color="auto"/>
      </w:divBdr>
    </w:div>
    <w:div w:id="958025397">
      <w:bodyDiv w:val="1"/>
      <w:marLeft w:val="0"/>
      <w:marRight w:val="0"/>
      <w:marTop w:val="0"/>
      <w:marBottom w:val="0"/>
      <w:divBdr>
        <w:top w:val="none" w:sz="0" w:space="0" w:color="auto"/>
        <w:left w:val="none" w:sz="0" w:space="0" w:color="auto"/>
        <w:bottom w:val="none" w:sz="0" w:space="0" w:color="auto"/>
        <w:right w:val="none" w:sz="0" w:space="0" w:color="auto"/>
      </w:divBdr>
    </w:div>
    <w:div w:id="958073138">
      <w:bodyDiv w:val="1"/>
      <w:marLeft w:val="0"/>
      <w:marRight w:val="0"/>
      <w:marTop w:val="0"/>
      <w:marBottom w:val="0"/>
      <w:divBdr>
        <w:top w:val="none" w:sz="0" w:space="0" w:color="auto"/>
        <w:left w:val="none" w:sz="0" w:space="0" w:color="auto"/>
        <w:bottom w:val="none" w:sz="0" w:space="0" w:color="auto"/>
        <w:right w:val="none" w:sz="0" w:space="0" w:color="auto"/>
      </w:divBdr>
    </w:div>
    <w:div w:id="958142660">
      <w:bodyDiv w:val="1"/>
      <w:marLeft w:val="0"/>
      <w:marRight w:val="0"/>
      <w:marTop w:val="0"/>
      <w:marBottom w:val="0"/>
      <w:divBdr>
        <w:top w:val="none" w:sz="0" w:space="0" w:color="auto"/>
        <w:left w:val="none" w:sz="0" w:space="0" w:color="auto"/>
        <w:bottom w:val="none" w:sz="0" w:space="0" w:color="auto"/>
        <w:right w:val="none" w:sz="0" w:space="0" w:color="auto"/>
      </w:divBdr>
    </w:div>
    <w:div w:id="958219664">
      <w:bodyDiv w:val="1"/>
      <w:marLeft w:val="0"/>
      <w:marRight w:val="0"/>
      <w:marTop w:val="0"/>
      <w:marBottom w:val="0"/>
      <w:divBdr>
        <w:top w:val="none" w:sz="0" w:space="0" w:color="auto"/>
        <w:left w:val="none" w:sz="0" w:space="0" w:color="auto"/>
        <w:bottom w:val="none" w:sz="0" w:space="0" w:color="auto"/>
        <w:right w:val="none" w:sz="0" w:space="0" w:color="auto"/>
      </w:divBdr>
    </w:div>
    <w:div w:id="958220869">
      <w:bodyDiv w:val="1"/>
      <w:marLeft w:val="0"/>
      <w:marRight w:val="0"/>
      <w:marTop w:val="0"/>
      <w:marBottom w:val="0"/>
      <w:divBdr>
        <w:top w:val="none" w:sz="0" w:space="0" w:color="auto"/>
        <w:left w:val="none" w:sz="0" w:space="0" w:color="auto"/>
        <w:bottom w:val="none" w:sz="0" w:space="0" w:color="auto"/>
        <w:right w:val="none" w:sz="0" w:space="0" w:color="auto"/>
      </w:divBdr>
    </w:div>
    <w:div w:id="958225216">
      <w:bodyDiv w:val="1"/>
      <w:marLeft w:val="0"/>
      <w:marRight w:val="0"/>
      <w:marTop w:val="0"/>
      <w:marBottom w:val="0"/>
      <w:divBdr>
        <w:top w:val="none" w:sz="0" w:space="0" w:color="auto"/>
        <w:left w:val="none" w:sz="0" w:space="0" w:color="auto"/>
        <w:bottom w:val="none" w:sz="0" w:space="0" w:color="auto"/>
        <w:right w:val="none" w:sz="0" w:space="0" w:color="auto"/>
      </w:divBdr>
    </w:div>
    <w:div w:id="958417518">
      <w:bodyDiv w:val="1"/>
      <w:marLeft w:val="0"/>
      <w:marRight w:val="0"/>
      <w:marTop w:val="0"/>
      <w:marBottom w:val="0"/>
      <w:divBdr>
        <w:top w:val="none" w:sz="0" w:space="0" w:color="auto"/>
        <w:left w:val="none" w:sz="0" w:space="0" w:color="auto"/>
        <w:bottom w:val="none" w:sz="0" w:space="0" w:color="auto"/>
        <w:right w:val="none" w:sz="0" w:space="0" w:color="auto"/>
      </w:divBdr>
    </w:div>
    <w:div w:id="958488390">
      <w:bodyDiv w:val="1"/>
      <w:marLeft w:val="0"/>
      <w:marRight w:val="0"/>
      <w:marTop w:val="0"/>
      <w:marBottom w:val="0"/>
      <w:divBdr>
        <w:top w:val="none" w:sz="0" w:space="0" w:color="auto"/>
        <w:left w:val="none" w:sz="0" w:space="0" w:color="auto"/>
        <w:bottom w:val="none" w:sz="0" w:space="0" w:color="auto"/>
        <w:right w:val="none" w:sz="0" w:space="0" w:color="auto"/>
      </w:divBdr>
    </w:div>
    <w:div w:id="958489973">
      <w:bodyDiv w:val="1"/>
      <w:marLeft w:val="0"/>
      <w:marRight w:val="0"/>
      <w:marTop w:val="0"/>
      <w:marBottom w:val="0"/>
      <w:divBdr>
        <w:top w:val="none" w:sz="0" w:space="0" w:color="auto"/>
        <w:left w:val="none" w:sz="0" w:space="0" w:color="auto"/>
        <w:bottom w:val="none" w:sz="0" w:space="0" w:color="auto"/>
        <w:right w:val="none" w:sz="0" w:space="0" w:color="auto"/>
      </w:divBdr>
    </w:div>
    <w:div w:id="958494794">
      <w:bodyDiv w:val="1"/>
      <w:marLeft w:val="0"/>
      <w:marRight w:val="0"/>
      <w:marTop w:val="0"/>
      <w:marBottom w:val="0"/>
      <w:divBdr>
        <w:top w:val="none" w:sz="0" w:space="0" w:color="auto"/>
        <w:left w:val="none" w:sz="0" w:space="0" w:color="auto"/>
        <w:bottom w:val="none" w:sz="0" w:space="0" w:color="auto"/>
        <w:right w:val="none" w:sz="0" w:space="0" w:color="auto"/>
      </w:divBdr>
    </w:div>
    <w:div w:id="958756700">
      <w:bodyDiv w:val="1"/>
      <w:marLeft w:val="0"/>
      <w:marRight w:val="0"/>
      <w:marTop w:val="0"/>
      <w:marBottom w:val="0"/>
      <w:divBdr>
        <w:top w:val="none" w:sz="0" w:space="0" w:color="auto"/>
        <w:left w:val="none" w:sz="0" w:space="0" w:color="auto"/>
        <w:bottom w:val="none" w:sz="0" w:space="0" w:color="auto"/>
        <w:right w:val="none" w:sz="0" w:space="0" w:color="auto"/>
      </w:divBdr>
    </w:div>
    <w:div w:id="958801262">
      <w:bodyDiv w:val="1"/>
      <w:marLeft w:val="0"/>
      <w:marRight w:val="0"/>
      <w:marTop w:val="0"/>
      <w:marBottom w:val="0"/>
      <w:divBdr>
        <w:top w:val="none" w:sz="0" w:space="0" w:color="auto"/>
        <w:left w:val="none" w:sz="0" w:space="0" w:color="auto"/>
        <w:bottom w:val="none" w:sz="0" w:space="0" w:color="auto"/>
        <w:right w:val="none" w:sz="0" w:space="0" w:color="auto"/>
      </w:divBdr>
    </w:div>
    <w:div w:id="958801848">
      <w:bodyDiv w:val="1"/>
      <w:marLeft w:val="0"/>
      <w:marRight w:val="0"/>
      <w:marTop w:val="0"/>
      <w:marBottom w:val="0"/>
      <w:divBdr>
        <w:top w:val="none" w:sz="0" w:space="0" w:color="auto"/>
        <w:left w:val="none" w:sz="0" w:space="0" w:color="auto"/>
        <w:bottom w:val="none" w:sz="0" w:space="0" w:color="auto"/>
        <w:right w:val="none" w:sz="0" w:space="0" w:color="auto"/>
      </w:divBdr>
    </w:div>
    <w:div w:id="958805880">
      <w:bodyDiv w:val="1"/>
      <w:marLeft w:val="0"/>
      <w:marRight w:val="0"/>
      <w:marTop w:val="0"/>
      <w:marBottom w:val="0"/>
      <w:divBdr>
        <w:top w:val="none" w:sz="0" w:space="0" w:color="auto"/>
        <w:left w:val="none" w:sz="0" w:space="0" w:color="auto"/>
        <w:bottom w:val="none" w:sz="0" w:space="0" w:color="auto"/>
        <w:right w:val="none" w:sz="0" w:space="0" w:color="auto"/>
      </w:divBdr>
    </w:div>
    <w:div w:id="958948264">
      <w:bodyDiv w:val="1"/>
      <w:marLeft w:val="0"/>
      <w:marRight w:val="0"/>
      <w:marTop w:val="0"/>
      <w:marBottom w:val="0"/>
      <w:divBdr>
        <w:top w:val="none" w:sz="0" w:space="0" w:color="auto"/>
        <w:left w:val="none" w:sz="0" w:space="0" w:color="auto"/>
        <w:bottom w:val="none" w:sz="0" w:space="0" w:color="auto"/>
        <w:right w:val="none" w:sz="0" w:space="0" w:color="auto"/>
      </w:divBdr>
    </w:div>
    <w:div w:id="958953189">
      <w:bodyDiv w:val="1"/>
      <w:marLeft w:val="0"/>
      <w:marRight w:val="0"/>
      <w:marTop w:val="0"/>
      <w:marBottom w:val="0"/>
      <w:divBdr>
        <w:top w:val="none" w:sz="0" w:space="0" w:color="auto"/>
        <w:left w:val="none" w:sz="0" w:space="0" w:color="auto"/>
        <w:bottom w:val="none" w:sz="0" w:space="0" w:color="auto"/>
        <w:right w:val="none" w:sz="0" w:space="0" w:color="auto"/>
      </w:divBdr>
    </w:div>
    <w:div w:id="959149185">
      <w:bodyDiv w:val="1"/>
      <w:marLeft w:val="0"/>
      <w:marRight w:val="0"/>
      <w:marTop w:val="0"/>
      <w:marBottom w:val="0"/>
      <w:divBdr>
        <w:top w:val="none" w:sz="0" w:space="0" w:color="auto"/>
        <w:left w:val="none" w:sz="0" w:space="0" w:color="auto"/>
        <w:bottom w:val="none" w:sz="0" w:space="0" w:color="auto"/>
        <w:right w:val="none" w:sz="0" w:space="0" w:color="auto"/>
      </w:divBdr>
    </w:div>
    <w:div w:id="959185093">
      <w:bodyDiv w:val="1"/>
      <w:marLeft w:val="0"/>
      <w:marRight w:val="0"/>
      <w:marTop w:val="0"/>
      <w:marBottom w:val="0"/>
      <w:divBdr>
        <w:top w:val="none" w:sz="0" w:space="0" w:color="auto"/>
        <w:left w:val="none" w:sz="0" w:space="0" w:color="auto"/>
        <w:bottom w:val="none" w:sz="0" w:space="0" w:color="auto"/>
        <w:right w:val="none" w:sz="0" w:space="0" w:color="auto"/>
      </w:divBdr>
    </w:div>
    <w:div w:id="959217166">
      <w:bodyDiv w:val="1"/>
      <w:marLeft w:val="0"/>
      <w:marRight w:val="0"/>
      <w:marTop w:val="0"/>
      <w:marBottom w:val="0"/>
      <w:divBdr>
        <w:top w:val="none" w:sz="0" w:space="0" w:color="auto"/>
        <w:left w:val="none" w:sz="0" w:space="0" w:color="auto"/>
        <w:bottom w:val="none" w:sz="0" w:space="0" w:color="auto"/>
        <w:right w:val="none" w:sz="0" w:space="0" w:color="auto"/>
      </w:divBdr>
    </w:div>
    <w:div w:id="959261608">
      <w:bodyDiv w:val="1"/>
      <w:marLeft w:val="0"/>
      <w:marRight w:val="0"/>
      <w:marTop w:val="0"/>
      <w:marBottom w:val="0"/>
      <w:divBdr>
        <w:top w:val="none" w:sz="0" w:space="0" w:color="auto"/>
        <w:left w:val="none" w:sz="0" w:space="0" w:color="auto"/>
        <w:bottom w:val="none" w:sz="0" w:space="0" w:color="auto"/>
        <w:right w:val="none" w:sz="0" w:space="0" w:color="auto"/>
      </w:divBdr>
    </w:div>
    <w:div w:id="959412241">
      <w:bodyDiv w:val="1"/>
      <w:marLeft w:val="0"/>
      <w:marRight w:val="0"/>
      <w:marTop w:val="0"/>
      <w:marBottom w:val="0"/>
      <w:divBdr>
        <w:top w:val="none" w:sz="0" w:space="0" w:color="auto"/>
        <w:left w:val="none" w:sz="0" w:space="0" w:color="auto"/>
        <w:bottom w:val="none" w:sz="0" w:space="0" w:color="auto"/>
        <w:right w:val="none" w:sz="0" w:space="0" w:color="auto"/>
      </w:divBdr>
    </w:div>
    <w:div w:id="959529255">
      <w:bodyDiv w:val="1"/>
      <w:marLeft w:val="0"/>
      <w:marRight w:val="0"/>
      <w:marTop w:val="0"/>
      <w:marBottom w:val="0"/>
      <w:divBdr>
        <w:top w:val="none" w:sz="0" w:space="0" w:color="auto"/>
        <w:left w:val="none" w:sz="0" w:space="0" w:color="auto"/>
        <w:bottom w:val="none" w:sz="0" w:space="0" w:color="auto"/>
        <w:right w:val="none" w:sz="0" w:space="0" w:color="auto"/>
      </w:divBdr>
    </w:div>
    <w:div w:id="959605286">
      <w:bodyDiv w:val="1"/>
      <w:marLeft w:val="0"/>
      <w:marRight w:val="0"/>
      <w:marTop w:val="0"/>
      <w:marBottom w:val="0"/>
      <w:divBdr>
        <w:top w:val="none" w:sz="0" w:space="0" w:color="auto"/>
        <w:left w:val="none" w:sz="0" w:space="0" w:color="auto"/>
        <w:bottom w:val="none" w:sz="0" w:space="0" w:color="auto"/>
        <w:right w:val="none" w:sz="0" w:space="0" w:color="auto"/>
      </w:divBdr>
    </w:div>
    <w:div w:id="959651067">
      <w:bodyDiv w:val="1"/>
      <w:marLeft w:val="0"/>
      <w:marRight w:val="0"/>
      <w:marTop w:val="0"/>
      <w:marBottom w:val="0"/>
      <w:divBdr>
        <w:top w:val="none" w:sz="0" w:space="0" w:color="auto"/>
        <w:left w:val="none" w:sz="0" w:space="0" w:color="auto"/>
        <w:bottom w:val="none" w:sz="0" w:space="0" w:color="auto"/>
        <w:right w:val="none" w:sz="0" w:space="0" w:color="auto"/>
      </w:divBdr>
    </w:div>
    <w:div w:id="959652274">
      <w:bodyDiv w:val="1"/>
      <w:marLeft w:val="0"/>
      <w:marRight w:val="0"/>
      <w:marTop w:val="0"/>
      <w:marBottom w:val="0"/>
      <w:divBdr>
        <w:top w:val="none" w:sz="0" w:space="0" w:color="auto"/>
        <w:left w:val="none" w:sz="0" w:space="0" w:color="auto"/>
        <w:bottom w:val="none" w:sz="0" w:space="0" w:color="auto"/>
        <w:right w:val="none" w:sz="0" w:space="0" w:color="auto"/>
      </w:divBdr>
    </w:div>
    <w:div w:id="959727052">
      <w:bodyDiv w:val="1"/>
      <w:marLeft w:val="0"/>
      <w:marRight w:val="0"/>
      <w:marTop w:val="0"/>
      <w:marBottom w:val="0"/>
      <w:divBdr>
        <w:top w:val="none" w:sz="0" w:space="0" w:color="auto"/>
        <w:left w:val="none" w:sz="0" w:space="0" w:color="auto"/>
        <w:bottom w:val="none" w:sz="0" w:space="0" w:color="auto"/>
        <w:right w:val="none" w:sz="0" w:space="0" w:color="auto"/>
      </w:divBdr>
    </w:div>
    <w:div w:id="959796284">
      <w:bodyDiv w:val="1"/>
      <w:marLeft w:val="0"/>
      <w:marRight w:val="0"/>
      <w:marTop w:val="0"/>
      <w:marBottom w:val="0"/>
      <w:divBdr>
        <w:top w:val="none" w:sz="0" w:space="0" w:color="auto"/>
        <w:left w:val="none" w:sz="0" w:space="0" w:color="auto"/>
        <w:bottom w:val="none" w:sz="0" w:space="0" w:color="auto"/>
        <w:right w:val="none" w:sz="0" w:space="0" w:color="auto"/>
      </w:divBdr>
    </w:div>
    <w:div w:id="959915987">
      <w:bodyDiv w:val="1"/>
      <w:marLeft w:val="0"/>
      <w:marRight w:val="0"/>
      <w:marTop w:val="0"/>
      <w:marBottom w:val="0"/>
      <w:divBdr>
        <w:top w:val="none" w:sz="0" w:space="0" w:color="auto"/>
        <w:left w:val="none" w:sz="0" w:space="0" w:color="auto"/>
        <w:bottom w:val="none" w:sz="0" w:space="0" w:color="auto"/>
        <w:right w:val="none" w:sz="0" w:space="0" w:color="auto"/>
      </w:divBdr>
    </w:div>
    <w:div w:id="959994720">
      <w:bodyDiv w:val="1"/>
      <w:marLeft w:val="0"/>
      <w:marRight w:val="0"/>
      <w:marTop w:val="0"/>
      <w:marBottom w:val="0"/>
      <w:divBdr>
        <w:top w:val="none" w:sz="0" w:space="0" w:color="auto"/>
        <w:left w:val="none" w:sz="0" w:space="0" w:color="auto"/>
        <w:bottom w:val="none" w:sz="0" w:space="0" w:color="auto"/>
        <w:right w:val="none" w:sz="0" w:space="0" w:color="auto"/>
      </w:divBdr>
    </w:div>
    <w:div w:id="959997331">
      <w:bodyDiv w:val="1"/>
      <w:marLeft w:val="0"/>
      <w:marRight w:val="0"/>
      <w:marTop w:val="0"/>
      <w:marBottom w:val="0"/>
      <w:divBdr>
        <w:top w:val="none" w:sz="0" w:space="0" w:color="auto"/>
        <w:left w:val="none" w:sz="0" w:space="0" w:color="auto"/>
        <w:bottom w:val="none" w:sz="0" w:space="0" w:color="auto"/>
        <w:right w:val="none" w:sz="0" w:space="0" w:color="auto"/>
      </w:divBdr>
    </w:div>
    <w:div w:id="960037731">
      <w:bodyDiv w:val="1"/>
      <w:marLeft w:val="0"/>
      <w:marRight w:val="0"/>
      <w:marTop w:val="0"/>
      <w:marBottom w:val="0"/>
      <w:divBdr>
        <w:top w:val="none" w:sz="0" w:space="0" w:color="auto"/>
        <w:left w:val="none" w:sz="0" w:space="0" w:color="auto"/>
        <w:bottom w:val="none" w:sz="0" w:space="0" w:color="auto"/>
        <w:right w:val="none" w:sz="0" w:space="0" w:color="auto"/>
      </w:divBdr>
    </w:div>
    <w:div w:id="960108157">
      <w:bodyDiv w:val="1"/>
      <w:marLeft w:val="0"/>
      <w:marRight w:val="0"/>
      <w:marTop w:val="0"/>
      <w:marBottom w:val="0"/>
      <w:divBdr>
        <w:top w:val="none" w:sz="0" w:space="0" w:color="auto"/>
        <w:left w:val="none" w:sz="0" w:space="0" w:color="auto"/>
        <w:bottom w:val="none" w:sz="0" w:space="0" w:color="auto"/>
        <w:right w:val="none" w:sz="0" w:space="0" w:color="auto"/>
      </w:divBdr>
    </w:div>
    <w:div w:id="960263374">
      <w:bodyDiv w:val="1"/>
      <w:marLeft w:val="0"/>
      <w:marRight w:val="0"/>
      <w:marTop w:val="0"/>
      <w:marBottom w:val="0"/>
      <w:divBdr>
        <w:top w:val="none" w:sz="0" w:space="0" w:color="auto"/>
        <w:left w:val="none" w:sz="0" w:space="0" w:color="auto"/>
        <w:bottom w:val="none" w:sz="0" w:space="0" w:color="auto"/>
        <w:right w:val="none" w:sz="0" w:space="0" w:color="auto"/>
      </w:divBdr>
    </w:div>
    <w:div w:id="960301765">
      <w:bodyDiv w:val="1"/>
      <w:marLeft w:val="0"/>
      <w:marRight w:val="0"/>
      <w:marTop w:val="0"/>
      <w:marBottom w:val="0"/>
      <w:divBdr>
        <w:top w:val="none" w:sz="0" w:space="0" w:color="auto"/>
        <w:left w:val="none" w:sz="0" w:space="0" w:color="auto"/>
        <w:bottom w:val="none" w:sz="0" w:space="0" w:color="auto"/>
        <w:right w:val="none" w:sz="0" w:space="0" w:color="auto"/>
      </w:divBdr>
    </w:div>
    <w:div w:id="960303215">
      <w:bodyDiv w:val="1"/>
      <w:marLeft w:val="0"/>
      <w:marRight w:val="0"/>
      <w:marTop w:val="0"/>
      <w:marBottom w:val="0"/>
      <w:divBdr>
        <w:top w:val="none" w:sz="0" w:space="0" w:color="auto"/>
        <w:left w:val="none" w:sz="0" w:space="0" w:color="auto"/>
        <w:bottom w:val="none" w:sz="0" w:space="0" w:color="auto"/>
        <w:right w:val="none" w:sz="0" w:space="0" w:color="auto"/>
      </w:divBdr>
    </w:div>
    <w:div w:id="960309151">
      <w:bodyDiv w:val="1"/>
      <w:marLeft w:val="0"/>
      <w:marRight w:val="0"/>
      <w:marTop w:val="0"/>
      <w:marBottom w:val="0"/>
      <w:divBdr>
        <w:top w:val="none" w:sz="0" w:space="0" w:color="auto"/>
        <w:left w:val="none" w:sz="0" w:space="0" w:color="auto"/>
        <w:bottom w:val="none" w:sz="0" w:space="0" w:color="auto"/>
        <w:right w:val="none" w:sz="0" w:space="0" w:color="auto"/>
      </w:divBdr>
    </w:div>
    <w:div w:id="960378947">
      <w:bodyDiv w:val="1"/>
      <w:marLeft w:val="0"/>
      <w:marRight w:val="0"/>
      <w:marTop w:val="0"/>
      <w:marBottom w:val="0"/>
      <w:divBdr>
        <w:top w:val="none" w:sz="0" w:space="0" w:color="auto"/>
        <w:left w:val="none" w:sz="0" w:space="0" w:color="auto"/>
        <w:bottom w:val="none" w:sz="0" w:space="0" w:color="auto"/>
        <w:right w:val="none" w:sz="0" w:space="0" w:color="auto"/>
      </w:divBdr>
    </w:div>
    <w:div w:id="960452775">
      <w:bodyDiv w:val="1"/>
      <w:marLeft w:val="0"/>
      <w:marRight w:val="0"/>
      <w:marTop w:val="0"/>
      <w:marBottom w:val="0"/>
      <w:divBdr>
        <w:top w:val="none" w:sz="0" w:space="0" w:color="auto"/>
        <w:left w:val="none" w:sz="0" w:space="0" w:color="auto"/>
        <w:bottom w:val="none" w:sz="0" w:space="0" w:color="auto"/>
        <w:right w:val="none" w:sz="0" w:space="0" w:color="auto"/>
      </w:divBdr>
    </w:div>
    <w:div w:id="960459281">
      <w:bodyDiv w:val="1"/>
      <w:marLeft w:val="0"/>
      <w:marRight w:val="0"/>
      <w:marTop w:val="0"/>
      <w:marBottom w:val="0"/>
      <w:divBdr>
        <w:top w:val="none" w:sz="0" w:space="0" w:color="auto"/>
        <w:left w:val="none" w:sz="0" w:space="0" w:color="auto"/>
        <w:bottom w:val="none" w:sz="0" w:space="0" w:color="auto"/>
        <w:right w:val="none" w:sz="0" w:space="0" w:color="auto"/>
      </w:divBdr>
    </w:div>
    <w:div w:id="960499115">
      <w:bodyDiv w:val="1"/>
      <w:marLeft w:val="0"/>
      <w:marRight w:val="0"/>
      <w:marTop w:val="0"/>
      <w:marBottom w:val="0"/>
      <w:divBdr>
        <w:top w:val="none" w:sz="0" w:space="0" w:color="auto"/>
        <w:left w:val="none" w:sz="0" w:space="0" w:color="auto"/>
        <w:bottom w:val="none" w:sz="0" w:space="0" w:color="auto"/>
        <w:right w:val="none" w:sz="0" w:space="0" w:color="auto"/>
      </w:divBdr>
    </w:div>
    <w:div w:id="960499557">
      <w:bodyDiv w:val="1"/>
      <w:marLeft w:val="0"/>
      <w:marRight w:val="0"/>
      <w:marTop w:val="0"/>
      <w:marBottom w:val="0"/>
      <w:divBdr>
        <w:top w:val="none" w:sz="0" w:space="0" w:color="auto"/>
        <w:left w:val="none" w:sz="0" w:space="0" w:color="auto"/>
        <w:bottom w:val="none" w:sz="0" w:space="0" w:color="auto"/>
        <w:right w:val="none" w:sz="0" w:space="0" w:color="auto"/>
      </w:divBdr>
    </w:div>
    <w:div w:id="960527858">
      <w:bodyDiv w:val="1"/>
      <w:marLeft w:val="0"/>
      <w:marRight w:val="0"/>
      <w:marTop w:val="0"/>
      <w:marBottom w:val="0"/>
      <w:divBdr>
        <w:top w:val="none" w:sz="0" w:space="0" w:color="auto"/>
        <w:left w:val="none" w:sz="0" w:space="0" w:color="auto"/>
        <w:bottom w:val="none" w:sz="0" w:space="0" w:color="auto"/>
        <w:right w:val="none" w:sz="0" w:space="0" w:color="auto"/>
      </w:divBdr>
    </w:div>
    <w:div w:id="960569606">
      <w:bodyDiv w:val="1"/>
      <w:marLeft w:val="0"/>
      <w:marRight w:val="0"/>
      <w:marTop w:val="0"/>
      <w:marBottom w:val="0"/>
      <w:divBdr>
        <w:top w:val="none" w:sz="0" w:space="0" w:color="auto"/>
        <w:left w:val="none" w:sz="0" w:space="0" w:color="auto"/>
        <w:bottom w:val="none" w:sz="0" w:space="0" w:color="auto"/>
        <w:right w:val="none" w:sz="0" w:space="0" w:color="auto"/>
      </w:divBdr>
    </w:div>
    <w:div w:id="960571930">
      <w:bodyDiv w:val="1"/>
      <w:marLeft w:val="0"/>
      <w:marRight w:val="0"/>
      <w:marTop w:val="0"/>
      <w:marBottom w:val="0"/>
      <w:divBdr>
        <w:top w:val="none" w:sz="0" w:space="0" w:color="auto"/>
        <w:left w:val="none" w:sz="0" w:space="0" w:color="auto"/>
        <w:bottom w:val="none" w:sz="0" w:space="0" w:color="auto"/>
        <w:right w:val="none" w:sz="0" w:space="0" w:color="auto"/>
      </w:divBdr>
    </w:div>
    <w:div w:id="960694217">
      <w:bodyDiv w:val="1"/>
      <w:marLeft w:val="0"/>
      <w:marRight w:val="0"/>
      <w:marTop w:val="0"/>
      <w:marBottom w:val="0"/>
      <w:divBdr>
        <w:top w:val="none" w:sz="0" w:space="0" w:color="auto"/>
        <w:left w:val="none" w:sz="0" w:space="0" w:color="auto"/>
        <w:bottom w:val="none" w:sz="0" w:space="0" w:color="auto"/>
        <w:right w:val="none" w:sz="0" w:space="0" w:color="auto"/>
      </w:divBdr>
    </w:div>
    <w:div w:id="960767554">
      <w:bodyDiv w:val="1"/>
      <w:marLeft w:val="0"/>
      <w:marRight w:val="0"/>
      <w:marTop w:val="0"/>
      <w:marBottom w:val="0"/>
      <w:divBdr>
        <w:top w:val="none" w:sz="0" w:space="0" w:color="auto"/>
        <w:left w:val="none" w:sz="0" w:space="0" w:color="auto"/>
        <w:bottom w:val="none" w:sz="0" w:space="0" w:color="auto"/>
        <w:right w:val="none" w:sz="0" w:space="0" w:color="auto"/>
      </w:divBdr>
    </w:div>
    <w:div w:id="960889330">
      <w:bodyDiv w:val="1"/>
      <w:marLeft w:val="0"/>
      <w:marRight w:val="0"/>
      <w:marTop w:val="0"/>
      <w:marBottom w:val="0"/>
      <w:divBdr>
        <w:top w:val="none" w:sz="0" w:space="0" w:color="auto"/>
        <w:left w:val="none" w:sz="0" w:space="0" w:color="auto"/>
        <w:bottom w:val="none" w:sz="0" w:space="0" w:color="auto"/>
        <w:right w:val="none" w:sz="0" w:space="0" w:color="auto"/>
      </w:divBdr>
    </w:div>
    <w:div w:id="961106412">
      <w:bodyDiv w:val="1"/>
      <w:marLeft w:val="0"/>
      <w:marRight w:val="0"/>
      <w:marTop w:val="0"/>
      <w:marBottom w:val="0"/>
      <w:divBdr>
        <w:top w:val="none" w:sz="0" w:space="0" w:color="auto"/>
        <w:left w:val="none" w:sz="0" w:space="0" w:color="auto"/>
        <w:bottom w:val="none" w:sz="0" w:space="0" w:color="auto"/>
        <w:right w:val="none" w:sz="0" w:space="0" w:color="auto"/>
      </w:divBdr>
    </w:div>
    <w:div w:id="961110072">
      <w:bodyDiv w:val="1"/>
      <w:marLeft w:val="0"/>
      <w:marRight w:val="0"/>
      <w:marTop w:val="0"/>
      <w:marBottom w:val="0"/>
      <w:divBdr>
        <w:top w:val="none" w:sz="0" w:space="0" w:color="auto"/>
        <w:left w:val="none" w:sz="0" w:space="0" w:color="auto"/>
        <w:bottom w:val="none" w:sz="0" w:space="0" w:color="auto"/>
        <w:right w:val="none" w:sz="0" w:space="0" w:color="auto"/>
      </w:divBdr>
    </w:div>
    <w:div w:id="961157749">
      <w:bodyDiv w:val="1"/>
      <w:marLeft w:val="0"/>
      <w:marRight w:val="0"/>
      <w:marTop w:val="0"/>
      <w:marBottom w:val="0"/>
      <w:divBdr>
        <w:top w:val="none" w:sz="0" w:space="0" w:color="auto"/>
        <w:left w:val="none" w:sz="0" w:space="0" w:color="auto"/>
        <w:bottom w:val="none" w:sz="0" w:space="0" w:color="auto"/>
        <w:right w:val="none" w:sz="0" w:space="0" w:color="auto"/>
      </w:divBdr>
    </w:div>
    <w:div w:id="961183662">
      <w:bodyDiv w:val="1"/>
      <w:marLeft w:val="0"/>
      <w:marRight w:val="0"/>
      <w:marTop w:val="0"/>
      <w:marBottom w:val="0"/>
      <w:divBdr>
        <w:top w:val="none" w:sz="0" w:space="0" w:color="auto"/>
        <w:left w:val="none" w:sz="0" w:space="0" w:color="auto"/>
        <w:bottom w:val="none" w:sz="0" w:space="0" w:color="auto"/>
        <w:right w:val="none" w:sz="0" w:space="0" w:color="auto"/>
      </w:divBdr>
    </w:div>
    <w:div w:id="961224776">
      <w:bodyDiv w:val="1"/>
      <w:marLeft w:val="0"/>
      <w:marRight w:val="0"/>
      <w:marTop w:val="0"/>
      <w:marBottom w:val="0"/>
      <w:divBdr>
        <w:top w:val="none" w:sz="0" w:space="0" w:color="auto"/>
        <w:left w:val="none" w:sz="0" w:space="0" w:color="auto"/>
        <w:bottom w:val="none" w:sz="0" w:space="0" w:color="auto"/>
        <w:right w:val="none" w:sz="0" w:space="0" w:color="auto"/>
      </w:divBdr>
    </w:div>
    <w:div w:id="961304364">
      <w:bodyDiv w:val="1"/>
      <w:marLeft w:val="0"/>
      <w:marRight w:val="0"/>
      <w:marTop w:val="0"/>
      <w:marBottom w:val="0"/>
      <w:divBdr>
        <w:top w:val="none" w:sz="0" w:space="0" w:color="auto"/>
        <w:left w:val="none" w:sz="0" w:space="0" w:color="auto"/>
        <w:bottom w:val="none" w:sz="0" w:space="0" w:color="auto"/>
        <w:right w:val="none" w:sz="0" w:space="0" w:color="auto"/>
      </w:divBdr>
    </w:div>
    <w:div w:id="961304743">
      <w:bodyDiv w:val="1"/>
      <w:marLeft w:val="0"/>
      <w:marRight w:val="0"/>
      <w:marTop w:val="0"/>
      <w:marBottom w:val="0"/>
      <w:divBdr>
        <w:top w:val="none" w:sz="0" w:space="0" w:color="auto"/>
        <w:left w:val="none" w:sz="0" w:space="0" w:color="auto"/>
        <w:bottom w:val="none" w:sz="0" w:space="0" w:color="auto"/>
        <w:right w:val="none" w:sz="0" w:space="0" w:color="auto"/>
      </w:divBdr>
    </w:div>
    <w:div w:id="961306761">
      <w:bodyDiv w:val="1"/>
      <w:marLeft w:val="0"/>
      <w:marRight w:val="0"/>
      <w:marTop w:val="0"/>
      <w:marBottom w:val="0"/>
      <w:divBdr>
        <w:top w:val="none" w:sz="0" w:space="0" w:color="auto"/>
        <w:left w:val="none" w:sz="0" w:space="0" w:color="auto"/>
        <w:bottom w:val="none" w:sz="0" w:space="0" w:color="auto"/>
        <w:right w:val="none" w:sz="0" w:space="0" w:color="auto"/>
      </w:divBdr>
    </w:div>
    <w:div w:id="961376488">
      <w:bodyDiv w:val="1"/>
      <w:marLeft w:val="0"/>
      <w:marRight w:val="0"/>
      <w:marTop w:val="0"/>
      <w:marBottom w:val="0"/>
      <w:divBdr>
        <w:top w:val="none" w:sz="0" w:space="0" w:color="auto"/>
        <w:left w:val="none" w:sz="0" w:space="0" w:color="auto"/>
        <w:bottom w:val="none" w:sz="0" w:space="0" w:color="auto"/>
        <w:right w:val="none" w:sz="0" w:space="0" w:color="auto"/>
      </w:divBdr>
    </w:div>
    <w:div w:id="961498861">
      <w:bodyDiv w:val="1"/>
      <w:marLeft w:val="0"/>
      <w:marRight w:val="0"/>
      <w:marTop w:val="0"/>
      <w:marBottom w:val="0"/>
      <w:divBdr>
        <w:top w:val="none" w:sz="0" w:space="0" w:color="auto"/>
        <w:left w:val="none" w:sz="0" w:space="0" w:color="auto"/>
        <w:bottom w:val="none" w:sz="0" w:space="0" w:color="auto"/>
        <w:right w:val="none" w:sz="0" w:space="0" w:color="auto"/>
      </w:divBdr>
    </w:div>
    <w:div w:id="961544629">
      <w:bodyDiv w:val="1"/>
      <w:marLeft w:val="0"/>
      <w:marRight w:val="0"/>
      <w:marTop w:val="0"/>
      <w:marBottom w:val="0"/>
      <w:divBdr>
        <w:top w:val="none" w:sz="0" w:space="0" w:color="auto"/>
        <w:left w:val="none" w:sz="0" w:space="0" w:color="auto"/>
        <w:bottom w:val="none" w:sz="0" w:space="0" w:color="auto"/>
        <w:right w:val="none" w:sz="0" w:space="0" w:color="auto"/>
      </w:divBdr>
    </w:div>
    <w:div w:id="961572609">
      <w:bodyDiv w:val="1"/>
      <w:marLeft w:val="0"/>
      <w:marRight w:val="0"/>
      <w:marTop w:val="0"/>
      <w:marBottom w:val="0"/>
      <w:divBdr>
        <w:top w:val="none" w:sz="0" w:space="0" w:color="auto"/>
        <w:left w:val="none" w:sz="0" w:space="0" w:color="auto"/>
        <w:bottom w:val="none" w:sz="0" w:space="0" w:color="auto"/>
        <w:right w:val="none" w:sz="0" w:space="0" w:color="auto"/>
      </w:divBdr>
    </w:div>
    <w:div w:id="961612824">
      <w:bodyDiv w:val="1"/>
      <w:marLeft w:val="0"/>
      <w:marRight w:val="0"/>
      <w:marTop w:val="0"/>
      <w:marBottom w:val="0"/>
      <w:divBdr>
        <w:top w:val="none" w:sz="0" w:space="0" w:color="auto"/>
        <w:left w:val="none" w:sz="0" w:space="0" w:color="auto"/>
        <w:bottom w:val="none" w:sz="0" w:space="0" w:color="auto"/>
        <w:right w:val="none" w:sz="0" w:space="0" w:color="auto"/>
      </w:divBdr>
    </w:div>
    <w:div w:id="961686390">
      <w:bodyDiv w:val="1"/>
      <w:marLeft w:val="0"/>
      <w:marRight w:val="0"/>
      <w:marTop w:val="0"/>
      <w:marBottom w:val="0"/>
      <w:divBdr>
        <w:top w:val="none" w:sz="0" w:space="0" w:color="auto"/>
        <w:left w:val="none" w:sz="0" w:space="0" w:color="auto"/>
        <w:bottom w:val="none" w:sz="0" w:space="0" w:color="auto"/>
        <w:right w:val="none" w:sz="0" w:space="0" w:color="auto"/>
      </w:divBdr>
    </w:div>
    <w:div w:id="961962163">
      <w:bodyDiv w:val="1"/>
      <w:marLeft w:val="0"/>
      <w:marRight w:val="0"/>
      <w:marTop w:val="0"/>
      <w:marBottom w:val="0"/>
      <w:divBdr>
        <w:top w:val="none" w:sz="0" w:space="0" w:color="auto"/>
        <w:left w:val="none" w:sz="0" w:space="0" w:color="auto"/>
        <w:bottom w:val="none" w:sz="0" w:space="0" w:color="auto"/>
        <w:right w:val="none" w:sz="0" w:space="0" w:color="auto"/>
      </w:divBdr>
    </w:div>
    <w:div w:id="961963053">
      <w:bodyDiv w:val="1"/>
      <w:marLeft w:val="0"/>
      <w:marRight w:val="0"/>
      <w:marTop w:val="0"/>
      <w:marBottom w:val="0"/>
      <w:divBdr>
        <w:top w:val="none" w:sz="0" w:space="0" w:color="auto"/>
        <w:left w:val="none" w:sz="0" w:space="0" w:color="auto"/>
        <w:bottom w:val="none" w:sz="0" w:space="0" w:color="auto"/>
        <w:right w:val="none" w:sz="0" w:space="0" w:color="auto"/>
      </w:divBdr>
    </w:div>
    <w:div w:id="962005176">
      <w:bodyDiv w:val="1"/>
      <w:marLeft w:val="0"/>
      <w:marRight w:val="0"/>
      <w:marTop w:val="0"/>
      <w:marBottom w:val="0"/>
      <w:divBdr>
        <w:top w:val="none" w:sz="0" w:space="0" w:color="auto"/>
        <w:left w:val="none" w:sz="0" w:space="0" w:color="auto"/>
        <w:bottom w:val="none" w:sz="0" w:space="0" w:color="auto"/>
        <w:right w:val="none" w:sz="0" w:space="0" w:color="auto"/>
      </w:divBdr>
    </w:div>
    <w:div w:id="962032606">
      <w:bodyDiv w:val="1"/>
      <w:marLeft w:val="0"/>
      <w:marRight w:val="0"/>
      <w:marTop w:val="0"/>
      <w:marBottom w:val="0"/>
      <w:divBdr>
        <w:top w:val="none" w:sz="0" w:space="0" w:color="auto"/>
        <w:left w:val="none" w:sz="0" w:space="0" w:color="auto"/>
        <w:bottom w:val="none" w:sz="0" w:space="0" w:color="auto"/>
        <w:right w:val="none" w:sz="0" w:space="0" w:color="auto"/>
      </w:divBdr>
    </w:div>
    <w:div w:id="962152680">
      <w:bodyDiv w:val="1"/>
      <w:marLeft w:val="0"/>
      <w:marRight w:val="0"/>
      <w:marTop w:val="0"/>
      <w:marBottom w:val="0"/>
      <w:divBdr>
        <w:top w:val="none" w:sz="0" w:space="0" w:color="auto"/>
        <w:left w:val="none" w:sz="0" w:space="0" w:color="auto"/>
        <w:bottom w:val="none" w:sz="0" w:space="0" w:color="auto"/>
        <w:right w:val="none" w:sz="0" w:space="0" w:color="auto"/>
      </w:divBdr>
    </w:div>
    <w:div w:id="962200511">
      <w:bodyDiv w:val="1"/>
      <w:marLeft w:val="0"/>
      <w:marRight w:val="0"/>
      <w:marTop w:val="0"/>
      <w:marBottom w:val="0"/>
      <w:divBdr>
        <w:top w:val="none" w:sz="0" w:space="0" w:color="auto"/>
        <w:left w:val="none" w:sz="0" w:space="0" w:color="auto"/>
        <w:bottom w:val="none" w:sz="0" w:space="0" w:color="auto"/>
        <w:right w:val="none" w:sz="0" w:space="0" w:color="auto"/>
      </w:divBdr>
    </w:div>
    <w:div w:id="962224983">
      <w:bodyDiv w:val="1"/>
      <w:marLeft w:val="0"/>
      <w:marRight w:val="0"/>
      <w:marTop w:val="0"/>
      <w:marBottom w:val="0"/>
      <w:divBdr>
        <w:top w:val="none" w:sz="0" w:space="0" w:color="auto"/>
        <w:left w:val="none" w:sz="0" w:space="0" w:color="auto"/>
        <w:bottom w:val="none" w:sz="0" w:space="0" w:color="auto"/>
        <w:right w:val="none" w:sz="0" w:space="0" w:color="auto"/>
      </w:divBdr>
    </w:div>
    <w:div w:id="962226877">
      <w:bodyDiv w:val="1"/>
      <w:marLeft w:val="0"/>
      <w:marRight w:val="0"/>
      <w:marTop w:val="0"/>
      <w:marBottom w:val="0"/>
      <w:divBdr>
        <w:top w:val="none" w:sz="0" w:space="0" w:color="auto"/>
        <w:left w:val="none" w:sz="0" w:space="0" w:color="auto"/>
        <w:bottom w:val="none" w:sz="0" w:space="0" w:color="auto"/>
        <w:right w:val="none" w:sz="0" w:space="0" w:color="auto"/>
      </w:divBdr>
    </w:div>
    <w:div w:id="962271871">
      <w:bodyDiv w:val="1"/>
      <w:marLeft w:val="0"/>
      <w:marRight w:val="0"/>
      <w:marTop w:val="0"/>
      <w:marBottom w:val="0"/>
      <w:divBdr>
        <w:top w:val="none" w:sz="0" w:space="0" w:color="auto"/>
        <w:left w:val="none" w:sz="0" w:space="0" w:color="auto"/>
        <w:bottom w:val="none" w:sz="0" w:space="0" w:color="auto"/>
        <w:right w:val="none" w:sz="0" w:space="0" w:color="auto"/>
      </w:divBdr>
    </w:div>
    <w:div w:id="962272004">
      <w:bodyDiv w:val="1"/>
      <w:marLeft w:val="0"/>
      <w:marRight w:val="0"/>
      <w:marTop w:val="0"/>
      <w:marBottom w:val="0"/>
      <w:divBdr>
        <w:top w:val="none" w:sz="0" w:space="0" w:color="auto"/>
        <w:left w:val="none" w:sz="0" w:space="0" w:color="auto"/>
        <w:bottom w:val="none" w:sz="0" w:space="0" w:color="auto"/>
        <w:right w:val="none" w:sz="0" w:space="0" w:color="auto"/>
      </w:divBdr>
    </w:div>
    <w:div w:id="962417542">
      <w:bodyDiv w:val="1"/>
      <w:marLeft w:val="0"/>
      <w:marRight w:val="0"/>
      <w:marTop w:val="0"/>
      <w:marBottom w:val="0"/>
      <w:divBdr>
        <w:top w:val="none" w:sz="0" w:space="0" w:color="auto"/>
        <w:left w:val="none" w:sz="0" w:space="0" w:color="auto"/>
        <w:bottom w:val="none" w:sz="0" w:space="0" w:color="auto"/>
        <w:right w:val="none" w:sz="0" w:space="0" w:color="auto"/>
      </w:divBdr>
    </w:div>
    <w:div w:id="962419449">
      <w:bodyDiv w:val="1"/>
      <w:marLeft w:val="0"/>
      <w:marRight w:val="0"/>
      <w:marTop w:val="0"/>
      <w:marBottom w:val="0"/>
      <w:divBdr>
        <w:top w:val="none" w:sz="0" w:space="0" w:color="auto"/>
        <w:left w:val="none" w:sz="0" w:space="0" w:color="auto"/>
        <w:bottom w:val="none" w:sz="0" w:space="0" w:color="auto"/>
        <w:right w:val="none" w:sz="0" w:space="0" w:color="auto"/>
      </w:divBdr>
    </w:div>
    <w:div w:id="962466348">
      <w:bodyDiv w:val="1"/>
      <w:marLeft w:val="0"/>
      <w:marRight w:val="0"/>
      <w:marTop w:val="0"/>
      <w:marBottom w:val="0"/>
      <w:divBdr>
        <w:top w:val="none" w:sz="0" w:space="0" w:color="auto"/>
        <w:left w:val="none" w:sz="0" w:space="0" w:color="auto"/>
        <w:bottom w:val="none" w:sz="0" w:space="0" w:color="auto"/>
        <w:right w:val="none" w:sz="0" w:space="0" w:color="auto"/>
      </w:divBdr>
    </w:div>
    <w:div w:id="962544164">
      <w:bodyDiv w:val="1"/>
      <w:marLeft w:val="0"/>
      <w:marRight w:val="0"/>
      <w:marTop w:val="0"/>
      <w:marBottom w:val="0"/>
      <w:divBdr>
        <w:top w:val="none" w:sz="0" w:space="0" w:color="auto"/>
        <w:left w:val="none" w:sz="0" w:space="0" w:color="auto"/>
        <w:bottom w:val="none" w:sz="0" w:space="0" w:color="auto"/>
        <w:right w:val="none" w:sz="0" w:space="0" w:color="auto"/>
      </w:divBdr>
    </w:div>
    <w:div w:id="962614977">
      <w:bodyDiv w:val="1"/>
      <w:marLeft w:val="0"/>
      <w:marRight w:val="0"/>
      <w:marTop w:val="0"/>
      <w:marBottom w:val="0"/>
      <w:divBdr>
        <w:top w:val="none" w:sz="0" w:space="0" w:color="auto"/>
        <w:left w:val="none" w:sz="0" w:space="0" w:color="auto"/>
        <w:bottom w:val="none" w:sz="0" w:space="0" w:color="auto"/>
        <w:right w:val="none" w:sz="0" w:space="0" w:color="auto"/>
      </w:divBdr>
    </w:div>
    <w:div w:id="963079321">
      <w:bodyDiv w:val="1"/>
      <w:marLeft w:val="0"/>
      <w:marRight w:val="0"/>
      <w:marTop w:val="0"/>
      <w:marBottom w:val="0"/>
      <w:divBdr>
        <w:top w:val="none" w:sz="0" w:space="0" w:color="auto"/>
        <w:left w:val="none" w:sz="0" w:space="0" w:color="auto"/>
        <w:bottom w:val="none" w:sz="0" w:space="0" w:color="auto"/>
        <w:right w:val="none" w:sz="0" w:space="0" w:color="auto"/>
      </w:divBdr>
    </w:div>
    <w:div w:id="963117572">
      <w:bodyDiv w:val="1"/>
      <w:marLeft w:val="0"/>
      <w:marRight w:val="0"/>
      <w:marTop w:val="0"/>
      <w:marBottom w:val="0"/>
      <w:divBdr>
        <w:top w:val="none" w:sz="0" w:space="0" w:color="auto"/>
        <w:left w:val="none" w:sz="0" w:space="0" w:color="auto"/>
        <w:bottom w:val="none" w:sz="0" w:space="0" w:color="auto"/>
        <w:right w:val="none" w:sz="0" w:space="0" w:color="auto"/>
      </w:divBdr>
    </w:div>
    <w:div w:id="963192310">
      <w:bodyDiv w:val="1"/>
      <w:marLeft w:val="0"/>
      <w:marRight w:val="0"/>
      <w:marTop w:val="0"/>
      <w:marBottom w:val="0"/>
      <w:divBdr>
        <w:top w:val="none" w:sz="0" w:space="0" w:color="auto"/>
        <w:left w:val="none" w:sz="0" w:space="0" w:color="auto"/>
        <w:bottom w:val="none" w:sz="0" w:space="0" w:color="auto"/>
        <w:right w:val="none" w:sz="0" w:space="0" w:color="auto"/>
      </w:divBdr>
    </w:div>
    <w:div w:id="963199630">
      <w:bodyDiv w:val="1"/>
      <w:marLeft w:val="0"/>
      <w:marRight w:val="0"/>
      <w:marTop w:val="0"/>
      <w:marBottom w:val="0"/>
      <w:divBdr>
        <w:top w:val="none" w:sz="0" w:space="0" w:color="auto"/>
        <w:left w:val="none" w:sz="0" w:space="0" w:color="auto"/>
        <w:bottom w:val="none" w:sz="0" w:space="0" w:color="auto"/>
        <w:right w:val="none" w:sz="0" w:space="0" w:color="auto"/>
      </w:divBdr>
    </w:div>
    <w:div w:id="963265480">
      <w:bodyDiv w:val="1"/>
      <w:marLeft w:val="0"/>
      <w:marRight w:val="0"/>
      <w:marTop w:val="0"/>
      <w:marBottom w:val="0"/>
      <w:divBdr>
        <w:top w:val="none" w:sz="0" w:space="0" w:color="auto"/>
        <w:left w:val="none" w:sz="0" w:space="0" w:color="auto"/>
        <w:bottom w:val="none" w:sz="0" w:space="0" w:color="auto"/>
        <w:right w:val="none" w:sz="0" w:space="0" w:color="auto"/>
      </w:divBdr>
    </w:div>
    <w:div w:id="963314208">
      <w:bodyDiv w:val="1"/>
      <w:marLeft w:val="0"/>
      <w:marRight w:val="0"/>
      <w:marTop w:val="0"/>
      <w:marBottom w:val="0"/>
      <w:divBdr>
        <w:top w:val="none" w:sz="0" w:space="0" w:color="auto"/>
        <w:left w:val="none" w:sz="0" w:space="0" w:color="auto"/>
        <w:bottom w:val="none" w:sz="0" w:space="0" w:color="auto"/>
        <w:right w:val="none" w:sz="0" w:space="0" w:color="auto"/>
      </w:divBdr>
    </w:div>
    <w:div w:id="963388064">
      <w:bodyDiv w:val="1"/>
      <w:marLeft w:val="0"/>
      <w:marRight w:val="0"/>
      <w:marTop w:val="0"/>
      <w:marBottom w:val="0"/>
      <w:divBdr>
        <w:top w:val="none" w:sz="0" w:space="0" w:color="auto"/>
        <w:left w:val="none" w:sz="0" w:space="0" w:color="auto"/>
        <w:bottom w:val="none" w:sz="0" w:space="0" w:color="auto"/>
        <w:right w:val="none" w:sz="0" w:space="0" w:color="auto"/>
      </w:divBdr>
    </w:div>
    <w:div w:id="963731050">
      <w:bodyDiv w:val="1"/>
      <w:marLeft w:val="0"/>
      <w:marRight w:val="0"/>
      <w:marTop w:val="0"/>
      <w:marBottom w:val="0"/>
      <w:divBdr>
        <w:top w:val="none" w:sz="0" w:space="0" w:color="auto"/>
        <w:left w:val="none" w:sz="0" w:space="0" w:color="auto"/>
        <w:bottom w:val="none" w:sz="0" w:space="0" w:color="auto"/>
        <w:right w:val="none" w:sz="0" w:space="0" w:color="auto"/>
      </w:divBdr>
    </w:div>
    <w:div w:id="963973076">
      <w:bodyDiv w:val="1"/>
      <w:marLeft w:val="0"/>
      <w:marRight w:val="0"/>
      <w:marTop w:val="0"/>
      <w:marBottom w:val="0"/>
      <w:divBdr>
        <w:top w:val="none" w:sz="0" w:space="0" w:color="auto"/>
        <w:left w:val="none" w:sz="0" w:space="0" w:color="auto"/>
        <w:bottom w:val="none" w:sz="0" w:space="0" w:color="auto"/>
        <w:right w:val="none" w:sz="0" w:space="0" w:color="auto"/>
      </w:divBdr>
    </w:div>
    <w:div w:id="963998950">
      <w:bodyDiv w:val="1"/>
      <w:marLeft w:val="0"/>
      <w:marRight w:val="0"/>
      <w:marTop w:val="0"/>
      <w:marBottom w:val="0"/>
      <w:divBdr>
        <w:top w:val="none" w:sz="0" w:space="0" w:color="auto"/>
        <w:left w:val="none" w:sz="0" w:space="0" w:color="auto"/>
        <w:bottom w:val="none" w:sz="0" w:space="0" w:color="auto"/>
        <w:right w:val="none" w:sz="0" w:space="0" w:color="auto"/>
      </w:divBdr>
    </w:div>
    <w:div w:id="963999172">
      <w:bodyDiv w:val="1"/>
      <w:marLeft w:val="0"/>
      <w:marRight w:val="0"/>
      <w:marTop w:val="0"/>
      <w:marBottom w:val="0"/>
      <w:divBdr>
        <w:top w:val="none" w:sz="0" w:space="0" w:color="auto"/>
        <w:left w:val="none" w:sz="0" w:space="0" w:color="auto"/>
        <w:bottom w:val="none" w:sz="0" w:space="0" w:color="auto"/>
        <w:right w:val="none" w:sz="0" w:space="0" w:color="auto"/>
      </w:divBdr>
    </w:div>
    <w:div w:id="964000130">
      <w:bodyDiv w:val="1"/>
      <w:marLeft w:val="0"/>
      <w:marRight w:val="0"/>
      <w:marTop w:val="0"/>
      <w:marBottom w:val="0"/>
      <w:divBdr>
        <w:top w:val="none" w:sz="0" w:space="0" w:color="auto"/>
        <w:left w:val="none" w:sz="0" w:space="0" w:color="auto"/>
        <w:bottom w:val="none" w:sz="0" w:space="0" w:color="auto"/>
        <w:right w:val="none" w:sz="0" w:space="0" w:color="auto"/>
      </w:divBdr>
    </w:div>
    <w:div w:id="964120506">
      <w:bodyDiv w:val="1"/>
      <w:marLeft w:val="0"/>
      <w:marRight w:val="0"/>
      <w:marTop w:val="0"/>
      <w:marBottom w:val="0"/>
      <w:divBdr>
        <w:top w:val="none" w:sz="0" w:space="0" w:color="auto"/>
        <w:left w:val="none" w:sz="0" w:space="0" w:color="auto"/>
        <w:bottom w:val="none" w:sz="0" w:space="0" w:color="auto"/>
        <w:right w:val="none" w:sz="0" w:space="0" w:color="auto"/>
      </w:divBdr>
    </w:div>
    <w:div w:id="964192761">
      <w:bodyDiv w:val="1"/>
      <w:marLeft w:val="0"/>
      <w:marRight w:val="0"/>
      <w:marTop w:val="0"/>
      <w:marBottom w:val="0"/>
      <w:divBdr>
        <w:top w:val="none" w:sz="0" w:space="0" w:color="auto"/>
        <w:left w:val="none" w:sz="0" w:space="0" w:color="auto"/>
        <w:bottom w:val="none" w:sz="0" w:space="0" w:color="auto"/>
        <w:right w:val="none" w:sz="0" w:space="0" w:color="auto"/>
      </w:divBdr>
    </w:div>
    <w:div w:id="964238160">
      <w:bodyDiv w:val="1"/>
      <w:marLeft w:val="0"/>
      <w:marRight w:val="0"/>
      <w:marTop w:val="0"/>
      <w:marBottom w:val="0"/>
      <w:divBdr>
        <w:top w:val="none" w:sz="0" w:space="0" w:color="auto"/>
        <w:left w:val="none" w:sz="0" w:space="0" w:color="auto"/>
        <w:bottom w:val="none" w:sz="0" w:space="0" w:color="auto"/>
        <w:right w:val="none" w:sz="0" w:space="0" w:color="auto"/>
      </w:divBdr>
    </w:div>
    <w:div w:id="964241296">
      <w:bodyDiv w:val="1"/>
      <w:marLeft w:val="0"/>
      <w:marRight w:val="0"/>
      <w:marTop w:val="0"/>
      <w:marBottom w:val="0"/>
      <w:divBdr>
        <w:top w:val="none" w:sz="0" w:space="0" w:color="auto"/>
        <w:left w:val="none" w:sz="0" w:space="0" w:color="auto"/>
        <w:bottom w:val="none" w:sz="0" w:space="0" w:color="auto"/>
        <w:right w:val="none" w:sz="0" w:space="0" w:color="auto"/>
      </w:divBdr>
    </w:div>
    <w:div w:id="964385172">
      <w:bodyDiv w:val="1"/>
      <w:marLeft w:val="0"/>
      <w:marRight w:val="0"/>
      <w:marTop w:val="0"/>
      <w:marBottom w:val="0"/>
      <w:divBdr>
        <w:top w:val="none" w:sz="0" w:space="0" w:color="auto"/>
        <w:left w:val="none" w:sz="0" w:space="0" w:color="auto"/>
        <w:bottom w:val="none" w:sz="0" w:space="0" w:color="auto"/>
        <w:right w:val="none" w:sz="0" w:space="0" w:color="auto"/>
      </w:divBdr>
    </w:div>
    <w:div w:id="964387706">
      <w:bodyDiv w:val="1"/>
      <w:marLeft w:val="0"/>
      <w:marRight w:val="0"/>
      <w:marTop w:val="0"/>
      <w:marBottom w:val="0"/>
      <w:divBdr>
        <w:top w:val="none" w:sz="0" w:space="0" w:color="auto"/>
        <w:left w:val="none" w:sz="0" w:space="0" w:color="auto"/>
        <w:bottom w:val="none" w:sz="0" w:space="0" w:color="auto"/>
        <w:right w:val="none" w:sz="0" w:space="0" w:color="auto"/>
      </w:divBdr>
    </w:div>
    <w:div w:id="964431874">
      <w:bodyDiv w:val="1"/>
      <w:marLeft w:val="0"/>
      <w:marRight w:val="0"/>
      <w:marTop w:val="0"/>
      <w:marBottom w:val="0"/>
      <w:divBdr>
        <w:top w:val="none" w:sz="0" w:space="0" w:color="auto"/>
        <w:left w:val="none" w:sz="0" w:space="0" w:color="auto"/>
        <w:bottom w:val="none" w:sz="0" w:space="0" w:color="auto"/>
        <w:right w:val="none" w:sz="0" w:space="0" w:color="auto"/>
      </w:divBdr>
    </w:div>
    <w:div w:id="964432634">
      <w:bodyDiv w:val="1"/>
      <w:marLeft w:val="0"/>
      <w:marRight w:val="0"/>
      <w:marTop w:val="0"/>
      <w:marBottom w:val="0"/>
      <w:divBdr>
        <w:top w:val="none" w:sz="0" w:space="0" w:color="auto"/>
        <w:left w:val="none" w:sz="0" w:space="0" w:color="auto"/>
        <w:bottom w:val="none" w:sz="0" w:space="0" w:color="auto"/>
        <w:right w:val="none" w:sz="0" w:space="0" w:color="auto"/>
      </w:divBdr>
    </w:div>
    <w:div w:id="964505892">
      <w:bodyDiv w:val="1"/>
      <w:marLeft w:val="0"/>
      <w:marRight w:val="0"/>
      <w:marTop w:val="0"/>
      <w:marBottom w:val="0"/>
      <w:divBdr>
        <w:top w:val="none" w:sz="0" w:space="0" w:color="auto"/>
        <w:left w:val="none" w:sz="0" w:space="0" w:color="auto"/>
        <w:bottom w:val="none" w:sz="0" w:space="0" w:color="auto"/>
        <w:right w:val="none" w:sz="0" w:space="0" w:color="auto"/>
      </w:divBdr>
    </w:div>
    <w:div w:id="964507327">
      <w:bodyDiv w:val="1"/>
      <w:marLeft w:val="0"/>
      <w:marRight w:val="0"/>
      <w:marTop w:val="0"/>
      <w:marBottom w:val="0"/>
      <w:divBdr>
        <w:top w:val="none" w:sz="0" w:space="0" w:color="auto"/>
        <w:left w:val="none" w:sz="0" w:space="0" w:color="auto"/>
        <w:bottom w:val="none" w:sz="0" w:space="0" w:color="auto"/>
        <w:right w:val="none" w:sz="0" w:space="0" w:color="auto"/>
      </w:divBdr>
    </w:div>
    <w:div w:id="964508347">
      <w:bodyDiv w:val="1"/>
      <w:marLeft w:val="0"/>
      <w:marRight w:val="0"/>
      <w:marTop w:val="0"/>
      <w:marBottom w:val="0"/>
      <w:divBdr>
        <w:top w:val="none" w:sz="0" w:space="0" w:color="auto"/>
        <w:left w:val="none" w:sz="0" w:space="0" w:color="auto"/>
        <w:bottom w:val="none" w:sz="0" w:space="0" w:color="auto"/>
        <w:right w:val="none" w:sz="0" w:space="0" w:color="auto"/>
      </w:divBdr>
    </w:div>
    <w:div w:id="964652921">
      <w:bodyDiv w:val="1"/>
      <w:marLeft w:val="0"/>
      <w:marRight w:val="0"/>
      <w:marTop w:val="0"/>
      <w:marBottom w:val="0"/>
      <w:divBdr>
        <w:top w:val="none" w:sz="0" w:space="0" w:color="auto"/>
        <w:left w:val="none" w:sz="0" w:space="0" w:color="auto"/>
        <w:bottom w:val="none" w:sz="0" w:space="0" w:color="auto"/>
        <w:right w:val="none" w:sz="0" w:space="0" w:color="auto"/>
      </w:divBdr>
    </w:div>
    <w:div w:id="964696234">
      <w:bodyDiv w:val="1"/>
      <w:marLeft w:val="0"/>
      <w:marRight w:val="0"/>
      <w:marTop w:val="0"/>
      <w:marBottom w:val="0"/>
      <w:divBdr>
        <w:top w:val="none" w:sz="0" w:space="0" w:color="auto"/>
        <w:left w:val="none" w:sz="0" w:space="0" w:color="auto"/>
        <w:bottom w:val="none" w:sz="0" w:space="0" w:color="auto"/>
        <w:right w:val="none" w:sz="0" w:space="0" w:color="auto"/>
      </w:divBdr>
    </w:div>
    <w:div w:id="964699723">
      <w:bodyDiv w:val="1"/>
      <w:marLeft w:val="0"/>
      <w:marRight w:val="0"/>
      <w:marTop w:val="0"/>
      <w:marBottom w:val="0"/>
      <w:divBdr>
        <w:top w:val="none" w:sz="0" w:space="0" w:color="auto"/>
        <w:left w:val="none" w:sz="0" w:space="0" w:color="auto"/>
        <w:bottom w:val="none" w:sz="0" w:space="0" w:color="auto"/>
        <w:right w:val="none" w:sz="0" w:space="0" w:color="auto"/>
      </w:divBdr>
    </w:div>
    <w:div w:id="964702960">
      <w:bodyDiv w:val="1"/>
      <w:marLeft w:val="0"/>
      <w:marRight w:val="0"/>
      <w:marTop w:val="0"/>
      <w:marBottom w:val="0"/>
      <w:divBdr>
        <w:top w:val="none" w:sz="0" w:space="0" w:color="auto"/>
        <w:left w:val="none" w:sz="0" w:space="0" w:color="auto"/>
        <w:bottom w:val="none" w:sz="0" w:space="0" w:color="auto"/>
        <w:right w:val="none" w:sz="0" w:space="0" w:color="auto"/>
      </w:divBdr>
    </w:div>
    <w:div w:id="964771686">
      <w:bodyDiv w:val="1"/>
      <w:marLeft w:val="0"/>
      <w:marRight w:val="0"/>
      <w:marTop w:val="0"/>
      <w:marBottom w:val="0"/>
      <w:divBdr>
        <w:top w:val="none" w:sz="0" w:space="0" w:color="auto"/>
        <w:left w:val="none" w:sz="0" w:space="0" w:color="auto"/>
        <w:bottom w:val="none" w:sz="0" w:space="0" w:color="auto"/>
        <w:right w:val="none" w:sz="0" w:space="0" w:color="auto"/>
      </w:divBdr>
    </w:div>
    <w:div w:id="964845476">
      <w:bodyDiv w:val="1"/>
      <w:marLeft w:val="0"/>
      <w:marRight w:val="0"/>
      <w:marTop w:val="0"/>
      <w:marBottom w:val="0"/>
      <w:divBdr>
        <w:top w:val="none" w:sz="0" w:space="0" w:color="auto"/>
        <w:left w:val="none" w:sz="0" w:space="0" w:color="auto"/>
        <w:bottom w:val="none" w:sz="0" w:space="0" w:color="auto"/>
        <w:right w:val="none" w:sz="0" w:space="0" w:color="auto"/>
      </w:divBdr>
    </w:div>
    <w:div w:id="964896582">
      <w:bodyDiv w:val="1"/>
      <w:marLeft w:val="0"/>
      <w:marRight w:val="0"/>
      <w:marTop w:val="0"/>
      <w:marBottom w:val="0"/>
      <w:divBdr>
        <w:top w:val="none" w:sz="0" w:space="0" w:color="auto"/>
        <w:left w:val="none" w:sz="0" w:space="0" w:color="auto"/>
        <w:bottom w:val="none" w:sz="0" w:space="0" w:color="auto"/>
        <w:right w:val="none" w:sz="0" w:space="0" w:color="auto"/>
      </w:divBdr>
    </w:div>
    <w:div w:id="965038565">
      <w:bodyDiv w:val="1"/>
      <w:marLeft w:val="0"/>
      <w:marRight w:val="0"/>
      <w:marTop w:val="0"/>
      <w:marBottom w:val="0"/>
      <w:divBdr>
        <w:top w:val="none" w:sz="0" w:space="0" w:color="auto"/>
        <w:left w:val="none" w:sz="0" w:space="0" w:color="auto"/>
        <w:bottom w:val="none" w:sz="0" w:space="0" w:color="auto"/>
        <w:right w:val="none" w:sz="0" w:space="0" w:color="auto"/>
      </w:divBdr>
    </w:div>
    <w:div w:id="965046804">
      <w:bodyDiv w:val="1"/>
      <w:marLeft w:val="0"/>
      <w:marRight w:val="0"/>
      <w:marTop w:val="0"/>
      <w:marBottom w:val="0"/>
      <w:divBdr>
        <w:top w:val="none" w:sz="0" w:space="0" w:color="auto"/>
        <w:left w:val="none" w:sz="0" w:space="0" w:color="auto"/>
        <w:bottom w:val="none" w:sz="0" w:space="0" w:color="auto"/>
        <w:right w:val="none" w:sz="0" w:space="0" w:color="auto"/>
      </w:divBdr>
    </w:div>
    <w:div w:id="965084923">
      <w:bodyDiv w:val="1"/>
      <w:marLeft w:val="0"/>
      <w:marRight w:val="0"/>
      <w:marTop w:val="0"/>
      <w:marBottom w:val="0"/>
      <w:divBdr>
        <w:top w:val="none" w:sz="0" w:space="0" w:color="auto"/>
        <w:left w:val="none" w:sz="0" w:space="0" w:color="auto"/>
        <w:bottom w:val="none" w:sz="0" w:space="0" w:color="auto"/>
        <w:right w:val="none" w:sz="0" w:space="0" w:color="auto"/>
      </w:divBdr>
    </w:div>
    <w:div w:id="965307008">
      <w:bodyDiv w:val="1"/>
      <w:marLeft w:val="0"/>
      <w:marRight w:val="0"/>
      <w:marTop w:val="0"/>
      <w:marBottom w:val="0"/>
      <w:divBdr>
        <w:top w:val="none" w:sz="0" w:space="0" w:color="auto"/>
        <w:left w:val="none" w:sz="0" w:space="0" w:color="auto"/>
        <w:bottom w:val="none" w:sz="0" w:space="0" w:color="auto"/>
        <w:right w:val="none" w:sz="0" w:space="0" w:color="auto"/>
      </w:divBdr>
    </w:div>
    <w:div w:id="965354875">
      <w:bodyDiv w:val="1"/>
      <w:marLeft w:val="0"/>
      <w:marRight w:val="0"/>
      <w:marTop w:val="0"/>
      <w:marBottom w:val="0"/>
      <w:divBdr>
        <w:top w:val="none" w:sz="0" w:space="0" w:color="auto"/>
        <w:left w:val="none" w:sz="0" w:space="0" w:color="auto"/>
        <w:bottom w:val="none" w:sz="0" w:space="0" w:color="auto"/>
        <w:right w:val="none" w:sz="0" w:space="0" w:color="auto"/>
      </w:divBdr>
    </w:div>
    <w:div w:id="965355763">
      <w:bodyDiv w:val="1"/>
      <w:marLeft w:val="0"/>
      <w:marRight w:val="0"/>
      <w:marTop w:val="0"/>
      <w:marBottom w:val="0"/>
      <w:divBdr>
        <w:top w:val="none" w:sz="0" w:space="0" w:color="auto"/>
        <w:left w:val="none" w:sz="0" w:space="0" w:color="auto"/>
        <w:bottom w:val="none" w:sz="0" w:space="0" w:color="auto"/>
        <w:right w:val="none" w:sz="0" w:space="0" w:color="auto"/>
      </w:divBdr>
    </w:div>
    <w:div w:id="965430177">
      <w:bodyDiv w:val="1"/>
      <w:marLeft w:val="0"/>
      <w:marRight w:val="0"/>
      <w:marTop w:val="0"/>
      <w:marBottom w:val="0"/>
      <w:divBdr>
        <w:top w:val="none" w:sz="0" w:space="0" w:color="auto"/>
        <w:left w:val="none" w:sz="0" w:space="0" w:color="auto"/>
        <w:bottom w:val="none" w:sz="0" w:space="0" w:color="auto"/>
        <w:right w:val="none" w:sz="0" w:space="0" w:color="auto"/>
      </w:divBdr>
    </w:div>
    <w:div w:id="965431589">
      <w:bodyDiv w:val="1"/>
      <w:marLeft w:val="0"/>
      <w:marRight w:val="0"/>
      <w:marTop w:val="0"/>
      <w:marBottom w:val="0"/>
      <w:divBdr>
        <w:top w:val="none" w:sz="0" w:space="0" w:color="auto"/>
        <w:left w:val="none" w:sz="0" w:space="0" w:color="auto"/>
        <w:bottom w:val="none" w:sz="0" w:space="0" w:color="auto"/>
        <w:right w:val="none" w:sz="0" w:space="0" w:color="auto"/>
      </w:divBdr>
    </w:div>
    <w:div w:id="965503019">
      <w:bodyDiv w:val="1"/>
      <w:marLeft w:val="0"/>
      <w:marRight w:val="0"/>
      <w:marTop w:val="0"/>
      <w:marBottom w:val="0"/>
      <w:divBdr>
        <w:top w:val="none" w:sz="0" w:space="0" w:color="auto"/>
        <w:left w:val="none" w:sz="0" w:space="0" w:color="auto"/>
        <w:bottom w:val="none" w:sz="0" w:space="0" w:color="auto"/>
        <w:right w:val="none" w:sz="0" w:space="0" w:color="auto"/>
      </w:divBdr>
    </w:div>
    <w:div w:id="965738919">
      <w:bodyDiv w:val="1"/>
      <w:marLeft w:val="0"/>
      <w:marRight w:val="0"/>
      <w:marTop w:val="0"/>
      <w:marBottom w:val="0"/>
      <w:divBdr>
        <w:top w:val="none" w:sz="0" w:space="0" w:color="auto"/>
        <w:left w:val="none" w:sz="0" w:space="0" w:color="auto"/>
        <w:bottom w:val="none" w:sz="0" w:space="0" w:color="auto"/>
        <w:right w:val="none" w:sz="0" w:space="0" w:color="auto"/>
      </w:divBdr>
    </w:div>
    <w:div w:id="965770622">
      <w:bodyDiv w:val="1"/>
      <w:marLeft w:val="0"/>
      <w:marRight w:val="0"/>
      <w:marTop w:val="0"/>
      <w:marBottom w:val="0"/>
      <w:divBdr>
        <w:top w:val="none" w:sz="0" w:space="0" w:color="auto"/>
        <w:left w:val="none" w:sz="0" w:space="0" w:color="auto"/>
        <w:bottom w:val="none" w:sz="0" w:space="0" w:color="auto"/>
        <w:right w:val="none" w:sz="0" w:space="0" w:color="auto"/>
      </w:divBdr>
    </w:div>
    <w:div w:id="965894351">
      <w:bodyDiv w:val="1"/>
      <w:marLeft w:val="0"/>
      <w:marRight w:val="0"/>
      <w:marTop w:val="0"/>
      <w:marBottom w:val="0"/>
      <w:divBdr>
        <w:top w:val="none" w:sz="0" w:space="0" w:color="auto"/>
        <w:left w:val="none" w:sz="0" w:space="0" w:color="auto"/>
        <w:bottom w:val="none" w:sz="0" w:space="0" w:color="auto"/>
        <w:right w:val="none" w:sz="0" w:space="0" w:color="auto"/>
      </w:divBdr>
    </w:div>
    <w:div w:id="966200072">
      <w:bodyDiv w:val="1"/>
      <w:marLeft w:val="0"/>
      <w:marRight w:val="0"/>
      <w:marTop w:val="0"/>
      <w:marBottom w:val="0"/>
      <w:divBdr>
        <w:top w:val="none" w:sz="0" w:space="0" w:color="auto"/>
        <w:left w:val="none" w:sz="0" w:space="0" w:color="auto"/>
        <w:bottom w:val="none" w:sz="0" w:space="0" w:color="auto"/>
        <w:right w:val="none" w:sz="0" w:space="0" w:color="auto"/>
      </w:divBdr>
    </w:div>
    <w:div w:id="966273615">
      <w:bodyDiv w:val="1"/>
      <w:marLeft w:val="0"/>
      <w:marRight w:val="0"/>
      <w:marTop w:val="0"/>
      <w:marBottom w:val="0"/>
      <w:divBdr>
        <w:top w:val="none" w:sz="0" w:space="0" w:color="auto"/>
        <w:left w:val="none" w:sz="0" w:space="0" w:color="auto"/>
        <w:bottom w:val="none" w:sz="0" w:space="0" w:color="auto"/>
        <w:right w:val="none" w:sz="0" w:space="0" w:color="auto"/>
      </w:divBdr>
    </w:div>
    <w:div w:id="966274583">
      <w:bodyDiv w:val="1"/>
      <w:marLeft w:val="0"/>
      <w:marRight w:val="0"/>
      <w:marTop w:val="0"/>
      <w:marBottom w:val="0"/>
      <w:divBdr>
        <w:top w:val="none" w:sz="0" w:space="0" w:color="auto"/>
        <w:left w:val="none" w:sz="0" w:space="0" w:color="auto"/>
        <w:bottom w:val="none" w:sz="0" w:space="0" w:color="auto"/>
        <w:right w:val="none" w:sz="0" w:space="0" w:color="auto"/>
      </w:divBdr>
    </w:div>
    <w:div w:id="966278892">
      <w:bodyDiv w:val="1"/>
      <w:marLeft w:val="0"/>
      <w:marRight w:val="0"/>
      <w:marTop w:val="0"/>
      <w:marBottom w:val="0"/>
      <w:divBdr>
        <w:top w:val="none" w:sz="0" w:space="0" w:color="auto"/>
        <w:left w:val="none" w:sz="0" w:space="0" w:color="auto"/>
        <w:bottom w:val="none" w:sz="0" w:space="0" w:color="auto"/>
        <w:right w:val="none" w:sz="0" w:space="0" w:color="auto"/>
      </w:divBdr>
    </w:div>
    <w:div w:id="966348644">
      <w:bodyDiv w:val="1"/>
      <w:marLeft w:val="0"/>
      <w:marRight w:val="0"/>
      <w:marTop w:val="0"/>
      <w:marBottom w:val="0"/>
      <w:divBdr>
        <w:top w:val="none" w:sz="0" w:space="0" w:color="auto"/>
        <w:left w:val="none" w:sz="0" w:space="0" w:color="auto"/>
        <w:bottom w:val="none" w:sz="0" w:space="0" w:color="auto"/>
        <w:right w:val="none" w:sz="0" w:space="0" w:color="auto"/>
      </w:divBdr>
    </w:div>
    <w:div w:id="966349876">
      <w:bodyDiv w:val="1"/>
      <w:marLeft w:val="0"/>
      <w:marRight w:val="0"/>
      <w:marTop w:val="0"/>
      <w:marBottom w:val="0"/>
      <w:divBdr>
        <w:top w:val="none" w:sz="0" w:space="0" w:color="auto"/>
        <w:left w:val="none" w:sz="0" w:space="0" w:color="auto"/>
        <w:bottom w:val="none" w:sz="0" w:space="0" w:color="auto"/>
        <w:right w:val="none" w:sz="0" w:space="0" w:color="auto"/>
      </w:divBdr>
    </w:div>
    <w:div w:id="966350411">
      <w:bodyDiv w:val="1"/>
      <w:marLeft w:val="0"/>
      <w:marRight w:val="0"/>
      <w:marTop w:val="0"/>
      <w:marBottom w:val="0"/>
      <w:divBdr>
        <w:top w:val="none" w:sz="0" w:space="0" w:color="auto"/>
        <w:left w:val="none" w:sz="0" w:space="0" w:color="auto"/>
        <w:bottom w:val="none" w:sz="0" w:space="0" w:color="auto"/>
        <w:right w:val="none" w:sz="0" w:space="0" w:color="auto"/>
      </w:divBdr>
    </w:div>
    <w:div w:id="966355713">
      <w:bodyDiv w:val="1"/>
      <w:marLeft w:val="0"/>
      <w:marRight w:val="0"/>
      <w:marTop w:val="0"/>
      <w:marBottom w:val="0"/>
      <w:divBdr>
        <w:top w:val="none" w:sz="0" w:space="0" w:color="auto"/>
        <w:left w:val="none" w:sz="0" w:space="0" w:color="auto"/>
        <w:bottom w:val="none" w:sz="0" w:space="0" w:color="auto"/>
        <w:right w:val="none" w:sz="0" w:space="0" w:color="auto"/>
      </w:divBdr>
    </w:div>
    <w:div w:id="966358097">
      <w:bodyDiv w:val="1"/>
      <w:marLeft w:val="0"/>
      <w:marRight w:val="0"/>
      <w:marTop w:val="0"/>
      <w:marBottom w:val="0"/>
      <w:divBdr>
        <w:top w:val="none" w:sz="0" w:space="0" w:color="auto"/>
        <w:left w:val="none" w:sz="0" w:space="0" w:color="auto"/>
        <w:bottom w:val="none" w:sz="0" w:space="0" w:color="auto"/>
        <w:right w:val="none" w:sz="0" w:space="0" w:color="auto"/>
      </w:divBdr>
    </w:div>
    <w:div w:id="966397517">
      <w:bodyDiv w:val="1"/>
      <w:marLeft w:val="0"/>
      <w:marRight w:val="0"/>
      <w:marTop w:val="0"/>
      <w:marBottom w:val="0"/>
      <w:divBdr>
        <w:top w:val="none" w:sz="0" w:space="0" w:color="auto"/>
        <w:left w:val="none" w:sz="0" w:space="0" w:color="auto"/>
        <w:bottom w:val="none" w:sz="0" w:space="0" w:color="auto"/>
        <w:right w:val="none" w:sz="0" w:space="0" w:color="auto"/>
      </w:divBdr>
    </w:div>
    <w:div w:id="966400900">
      <w:bodyDiv w:val="1"/>
      <w:marLeft w:val="0"/>
      <w:marRight w:val="0"/>
      <w:marTop w:val="0"/>
      <w:marBottom w:val="0"/>
      <w:divBdr>
        <w:top w:val="none" w:sz="0" w:space="0" w:color="auto"/>
        <w:left w:val="none" w:sz="0" w:space="0" w:color="auto"/>
        <w:bottom w:val="none" w:sz="0" w:space="0" w:color="auto"/>
        <w:right w:val="none" w:sz="0" w:space="0" w:color="auto"/>
      </w:divBdr>
    </w:div>
    <w:div w:id="966470024">
      <w:bodyDiv w:val="1"/>
      <w:marLeft w:val="0"/>
      <w:marRight w:val="0"/>
      <w:marTop w:val="0"/>
      <w:marBottom w:val="0"/>
      <w:divBdr>
        <w:top w:val="none" w:sz="0" w:space="0" w:color="auto"/>
        <w:left w:val="none" w:sz="0" w:space="0" w:color="auto"/>
        <w:bottom w:val="none" w:sz="0" w:space="0" w:color="auto"/>
        <w:right w:val="none" w:sz="0" w:space="0" w:color="auto"/>
      </w:divBdr>
    </w:div>
    <w:div w:id="966547809">
      <w:bodyDiv w:val="1"/>
      <w:marLeft w:val="0"/>
      <w:marRight w:val="0"/>
      <w:marTop w:val="0"/>
      <w:marBottom w:val="0"/>
      <w:divBdr>
        <w:top w:val="none" w:sz="0" w:space="0" w:color="auto"/>
        <w:left w:val="none" w:sz="0" w:space="0" w:color="auto"/>
        <w:bottom w:val="none" w:sz="0" w:space="0" w:color="auto"/>
        <w:right w:val="none" w:sz="0" w:space="0" w:color="auto"/>
      </w:divBdr>
    </w:div>
    <w:div w:id="966665373">
      <w:bodyDiv w:val="1"/>
      <w:marLeft w:val="0"/>
      <w:marRight w:val="0"/>
      <w:marTop w:val="0"/>
      <w:marBottom w:val="0"/>
      <w:divBdr>
        <w:top w:val="none" w:sz="0" w:space="0" w:color="auto"/>
        <w:left w:val="none" w:sz="0" w:space="0" w:color="auto"/>
        <w:bottom w:val="none" w:sz="0" w:space="0" w:color="auto"/>
        <w:right w:val="none" w:sz="0" w:space="0" w:color="auto"/>
      </w:divBdr>
    </w:div>
    <w:div w:id="966736479">
      <w:bodyDiv w:val="1"/>
      <w:marLeft w:val="0"/>
      <w:marRight w:val="0"/>
      <w:marTop w:val="0"/>
      <w:marBottom w:val="0"/>
      <w:divBdr>
        <w:top w:val="none" w:sz="0" w:space="0" w:color="auto"/>
        <w:left w:val="none" w:sz="0" w:space="0" w:color="auto"/>
        <w:bottom w:val="none" w:sz="0" w:space="0" w:color="auto"/>
        <w:right w:val="none" w:sz="0" w:space="0" w:color="auto"/>
      </w:divBdr>
    </w:div>
    <w:div w:id="966741619">
      <w:bodyDiv w:val="1"/>
      <w:marLeft w:val="0"/>
      <w:marRight w:val="0"/>
      <w:marTop w:val="0"/>
      <w:marBottom w:val="0"/>
      <w:divBdr>
        <w:top w:val="none" w:sz="0" w:space="0" w:color="auto"/>
        <w:left w:val="none" w:sz="0" w:space="0" w:color="auto"/>
        <w:bottom w:val="none" w:sz="0" w:space="0" w:color="auto"/>
        <w:right w:val="none" w:sz="0" w:space="0" w:color="auto"/>
      </w:divBdr>
    </w:div>
    <w:div w:id="967006494">
      <w:bodyDiv w:val="1"/>
      <w:marLeft w:val="0"/>
      <w:marRight w:val="0"/>
      <w:marTop w:val="0"/>
      <w:marBottom w:val="0"/>
      <w:divBdr>
        <w:top w:val="none" w:sz="0" w:space="0" w:color="auto"/>
        <w:left w:val="none" w:sz="0" w:space="0" w:color="auto"/>
        <w:bottom w:val="none" w:sz="0" w:space="0" w:color="auto"/>
        <w:right w:val="none" w:sz="0" w:space="0" w:color="auto"/>
      </w:divBdr>
    </w:div>
    <w:div w:id="967009759">
      <w:bodyDiv w:val="1"/>
      <w:marLeft w:val="0"/>
      <w:marRight w:val="0"/>
      <w:marTop w:val="0"/>
      <w:marBottom w:val="0"/>
      <w:divBdr>
        <w:top w:val="none" w:sz="0" w:space="0" w:color="auto"/>
        <w:left w:val="none" w:sz="0" w:space="0" w:color="auto"/>
        <w:bottom w:val="none" w:sz="0" w:space="0" w:color="auto"/>
        <w:right w:val="none" w:sz="0" w:space="0" w:color="auto"/>
      </w:divBdr>
    </w:div>
    <w:div w:id="967010440">
      <w:bodyDiv w:val="1"/>
      <w:marLeft w:val="0"/>
      <w:marRight w:val="0"/>
      <w:marTop w:val="0"/>
      <w:marBottom w:val="0"/>
      <w:divBdr>
        <w:top w:val="none" w:sz="0" w:space="0" w:color="auto"/>
        <w:left w:val="none" w:sz="0" w:space="0" w:color="auto"/>
        <w:bottom w:val="none" w:sz="0" w:space="0" w:color="auto"/>
        <w:right w:val="none" w:sz="0" w:space="0" w:color="auto"/>
      </w:divBdr>
    </w:div>
    <w:div w:id="967398402">
      <w:bodyDiv w:val="1"/>
      <w:marLeft w:val="0"/>
      <w:marRight w:val="0"/>
      <w:marTop w:val="0"/>
      <w:marBottom w:val="0"/>
      <w:divBdr>
        <w:top w:val="none" w:sz="0" w:space="0" w:color="auto"/>
        <w:left w:val="none" w:sz="0" w:space="0" w:color="auto"/>
        <w:bottom w:val="none" w:sz="0" w:space="0" w:color="auto"/>
        <w:right w:val="none" w:sz="0" w:space="0" w:color="auto"/>
      </w:divBdr>
    </w:div>
    <w:div w:id="967861869">
      <w:bodyDiv w:val="1"/>
      <w:marLeft w:val="0"/>
      <w:marRight w:val="0"/>
      <w:marTop w:val="0"/>
      <w:marBottom w:val="0"/>
      <w:divBdr>
        <w:top w:val="none" w:sz="0" w:space="0" w:color="auto"/>
        <w:left w:val="none" w:sz="0" w:space="0" w:color="auto"/>
        <w:bottom w:val="none" w:sz="0" w:space="0" w:color="auto"/>
        <w:right w:val="none" w:sz="0" w:space="0" w:color="auto"/>
      </w:divBdr>
    </w:div>
    <w:div w:id="967929092">
      <w:bodyDiv w:val="1"/>
      <w:marLeft w:val="0"/>
      <w:marRight w:val="0"/>
      <w:marTop w:val="0"/>
      <w:marBottom w:val="0"/>
      <w:divBdr>
        <w:top w:val="none" w:sz="0" w:space="0" w:color="auto"/>
        <w:left w:val="none" w:sz="0" w:space="0" w:color="auto"/>
        <w:bottom w:val="none" w:sz="0" w:space="0" w:color="auto"/>
        <w:right w:val="none" w:sz="0" w:space="0" w:color="auto"/>
      </w:divBdr>
    </w:div>
    <w:div w:id="967929807">
      <w:bodyDiv w:val="1"/>
      <w:marLeft w:val="0"/>
      <w:marRight w:val="0"/>
      <w:marTop w:val="0"/>
      <w:marBottom w:val="0"/>
      <w:divBdr>
        <w:top w:val="none" w:sz="0" w:space="0" w:color="auto"/>
        <w:left w:val="none" w:sz="0" w:space="0" w:color="auto"/>
        <w:bottom w:val="none" w:sz="0" w:space="0" w:color="auto"/>
        <w:right w:val="none" w:sz="0" w:space="0" w:color="auto"/>
      </w:divBdr>
    </w:div>
    <w:div w:id="967971411">
      <w:bodyDiv w:val="1"/>
      <w:marLeft w:val="0"/>
      <w:marRight w:val="0"/>
      <w:marTop w:val="0"/>
      <w:marBottom w:val="0"/>
      <w:divBdr>
        <w:top w:val="none" w:sz="0" w:space="0" w:color="auto"/>
        <w:left w:val="none" w:sz="0" w:space="0" w:color="auto"/>
        <w:bottom w:val="none" w:sz="0" w:space="0" w:color="auto"/>
        <w:right w:val="none" w:sz="0" w:space="0" w:color="auto"/>
      </w:divBdr>
    </w:div>
    <w:div w:id="968055348">
      <w:bodyDiv w:val="1"/>
      <w:marLeft w:val="0"/>
      <w:marRight w:val="0"/>
      <w:marTop w:val="0"/>
      <w:marBottom w:val="0"/>
      <w:divBdr>
        <w:top w:val="none" w:sz="0" w:space="0" w:color="auto"/>
        <w:left w:val="none" w:sz="0" w:space="0" w:color="auto"/>
        <w:bottom w:val="none" w:sz="0" w:space="0" w:color="auto"/>
        <w:right w:val="none" w:sz="0" w:space="0" w:color="auto"/>
      </w:divBdr>
    </w:div>
    <w:div w:id="968124004">
      <w:bodyDiv w:val="1"/>
      <w:marLeft w:val="0"/>
      <w:marRight w:val="0"/>
      <w:marTop w:val="0"/>
      <w:marBottom w:val="0"/>
      <w:divBdr>
        <w:top w:val="none" w:sz="0" w:space="0" w:color="auto"/>
        <w:left w:val="none" w:sz="0" w:space="0" w:color="auto"/>
        <w:bottom w:val="none" w:sz="0" w:space="0" w:color="auto"/>
        <w:right w:val="none" w:sz="0" w:space="0" w:color="auto"/>
      </w:divBdr>
    </w:div>
    <w:div w:id="968163727">
      <w:bodyDiv w:val="1"/>
      <w:marLeft w:val="0"/>
      <w:marRight w:val="0"/>
      <w:marTop w:val="0"/>
      <w:marBottom w:val="0"/>
      <w:divBdr>
        <w:top w:val="none" w:sz="0" w:space="0" w:color="auto"/>
        <w:left w:val="none" w:sz="0" w:space="0" w:color="auto"/>
        <w:bottom w:val="none" w:sz="0" w:space="0" w:color="auto"/>
        <w:right w:val="none" w:sz="0" w:space="0" w:color="auto"/>
      </w:divBdr>
    </w:div>
    <w:div w:id="968318718">
      <w:bodyDiv w:val="1"/>
      <w:marLeft w:val="0"/>
      <w:marRight w:val="0"/>
      <w:marTop w:val="0"/>
      <w:marBottom w:val="0"/>
      <w:divBdr>
        <w:top w:val="none" w:sz="0" w:space="0" w:color="auto"/>
        <w:left w:val="none" w:sz="0" w:space="0" w:color="auto"/>
        <w:bottom w:val="none" w:sz="0" w:space="0" w:color="auto"/>
        <w:right w:val="none" w:sz="0" w:space="0" w:color="auto"/>
      </w:divBdr>
    </w:div>
    <w:div w:id="968365620">
      <w:bodyDiv w:val="1"/>
      <w:marLeft w:val="0"/>
      <w:marRight w:val="0"/>
      <w:marTop w:val="0"/>
      <w:marBottom w:val="0"/>
      <w:divBdr>
        <w:top w:val="none" w:sz="0" w:space="0" w:color="auto"/>
        <w:left w:val="none" w:sz="0" w:space="0" w:color="auto"/>
        <w:bottom w:val="none" w:sz="0" w:space="0" w:color="auto"/>
        <w:right w:val="none" w:sz="0" w:space="0" w:color="auto"/>
      </w:divBdr>
    </w:div>
    <w:div w:id="968434362">
      <w:bodyDiv w:val="1"/>
      <w:marLeft w:val="0"/>
      <w:marRight w:val="0"/>
      <w:marTop w:val="0"/>
      <w:marBottom w:val="0"/>
      <w:divBdr>
        <w:top w:val="none" w:sz="0" w:space="0" w:color="auto"/>
        <w:left w:val="none" w:sz="0" w:space="0" w:color="auto"/>
        <w:bottom w:val="none" w:sz="0" w:space="0" w:color="auto"/>
        <w:right w:val="none" w:sz="0" w:space="0" w:color="auto"/>
      </w:divBdr>
    </w:div>
    <w:div w:id="968440031">
      <w:bodyDiv w:val="1"/>
      <w:marLeft w:val="0"/>
      <w:marRight w:val="0"/>
      <w:marTop w:val="0"/>
      <w:marBottom w:val="0"/>
      <w:divBdr>
        <w:top w:val="none" w:sz="0" w:space="0" w:color="auto"/>
        <w:left w:val="none" w:sz="0" w:space="0" w:color="auto"/>
        <w:bottom w:val="none" w:sz="0" w:space="0" w:color="auto"/>
        <w:right w:val="none" w:sz="0" w:space="0" w:color="auto"/>
      </w:divBdr>
    </w:div>
    <w:div w:id="968516353">
      <w:bodyDiv w:val="1"/>
      <w:marLeft w:val="0"/>
      <w:marRight w:val="0"/>
      <w:marTop w:val="0"/>
      <w:marBottom w:val="0"/>
      <w:divBdr>
        <w:top w:val="none" w:sz="0" w:space="0" w:color="auto"/>
        <w:left w:val="none" w:sz="0" w:space="0" w:color="auto"/>
        <w:bottom w:val="none" w:sz="0" w:space="0" w:color="auto"/>
        <w:right w:val="none" w:sz="0" w:space="0" w:color="auto"/>
      </w:divBdr>
    </w:div>
    <w:div w:id="968630659">
      <w:bodyDiv w:val="1"/>
      <w:marLeft w:val="0"/>
      <w:marRight w:val="0"/>
      <w:marTop w:val="0"/>
      <w:marBottom w:val="0"/>
      <w:divBdr>
        <w:top w:val="none" w:sz="0" w:space="0" w:color="auto"/>
        <w:left w:val="none" w:sz="0" w:space="0" w:color="auto"/>
        <w:bottom w:val="none" w:sz="0" w:space="0" w:color="auto"/>
        <w:right w:val="none" w:sz="0" w:space="0" w:color="auto"/>
      </w:divBdr>
    </w:div>
    <w:div w:id="968778035">
      <w:bodyDiv w:val="1"/>
      <w:marLeft w:val="0"/>
      <w:marRight w:val="0"/>
      <w:marTop w:val="0"/>
      <w:marBottom w:val="0"/>
      <w:divBdr>
        <w:top w:val="none" w:sz="0" w:space="0" w:color="auto"/>
        <w:left w:val="none" w:sz="0" w:space="0" w:color="auto"/>
        <w:bottom w:val="none" w:sz="0" w:space="0" w:color="auto"/>
        <w:right w:val="none" w:sz="0" w:space="0" w:color="auto"/>
      </w:divBdr>
    </w:div>
    <w:div w:id="968780491">
      <w:bodyDiv w:val="1"/>
      <w:marLeft w:val="0"/>
      <w:marRight w:val="0"/>
      <w:marTop w:val="0"/>
      <w:marBottom w:val="0"/>
      <w:divBdr>
        <w:top w:val="none" w:sz="0" w:space="0" w:color="auto"/>
        <w:left w:val="none" w:sz="0" w:space="0" w:color="auto"/>
        <w:bottom w:val="none" w:sz="0" w:space="0" w:color="auto"/>
        <w:right w:val="none" w:sz="0" w:space="0" w:color="auto"/>
      </w:divBdr>
    </w:div>
    <w:div w:id="968782430">
      <w:bodyDiv w:val="1"/>
      <w:marLeft w:val="0"/>
      <w:marRight w:val="0"/>
      <w:marTop w:val="0"/>
      <w:marBottom w:val="0"/>
      <w:divBdr>
        <w:top w:val="none" w:sz="0" w:space="0" w:color="auto"/>
        <w:left w:val="none" w:sz="0" w:space="0" w:color="auto"/>
        <w:bottom w:val="none" w:sz="0" w:space="0" w:color="auto"/>
        <w:right w:val="none" w:sz="0" w:space="0" w:color="auto"/>
      </w:divBdr>
    </w:div>
    <w:div w:id="968894897">
      <w:bodyDiv w:val="1"/>
      <w:marLeft w:val="0"/>
      <w:marRight w:val="0"/>
      <w:marTop w:val="0"/>
      <w:marBottom w:val="0"/>
      <w:divBdr>
        <w:top w:val="none" w:sz="0" w:space="0" w:color="auto"/>
        <w:left w:val="none" w:sz="0" w:space="0" w:color="auto"/>
        <w:bottom w:val="none" w:sz="0" w:space="0" w:color="auto"/>
        <w:right w:val="none" w:sz="0" w:space="0" w:color="auto"/>
      </w:divBdr>
    </w:div>
    <w:div w:id="968897186">
      <w:bodyDiv w:val="1"/>
      <w:marLeft w:val="0"/>
      <w:marRight w:val="0"/>
      <w:marTop w:val="0"/>
      <w:marBottom w:val="0"/>
      <w:divBdr>
        <w:top w:val="none" w:sz="0" w:space="0" w:color="auto"/>
        <w:left w:val="none" w:sz="0" w:space="0" w:color="auto"/>
        <w:bottom w:val="none" w:sz="0" w:space="0" w:color="auto"/>
        <w:right w:val="none" w:sz="0" w:space="0" w:color="auto"/>
      </w:divBdr>
    </w:div>
    <w:div w:id="968898005">
      <w:bodyDiv w:val="1"/>
      <w:marLeft w:val="0"/>
      <w:marRight w:val="0"/>
      <w:marTop w:val="0"/>
      <w:marBottom w:val="0"/>
      <w:divBdr>
        <w:top w:val="none" w:sz="0" w:space="0" w:color="auto"/>
        <w:left w:val="none" w:sz="0" w:space="0" w:color="auto"/>
        <w:bottom w:val="none" w:sz="0" w:space="0" w:color="auto"/>
        <w:right w:val="none" w:sz="0" w:space="0" w:color="auto"/>
      </w:divBdr>
    </w:div>
    <w:div w:id="968971752">
      <w:bodyDiv w:val="1"/>
      <w:marLeft w:val="0"/>
      <w:marRight w:val="0"/>
      <w:marTop w:val="0"/>
      <w:marBottom w:val="0"/>
      <w:divBdr>
        <w:top w:val="none" w:sz="0" w:space="0" w:color="auto"/>
        <w:left w:val="none" w:sz="0" w:space="0" w:color="auto"/>
        <w:bottom w:val="none" w:sz="0" w:space="0" w:color="auto"/>
        <w:right w:val="none" w:sz="0" w:space="0" w:color="auto"/>
      </w:divBdr>
    </w:div>
    <w:div w:id="968971962">
      <w:bodyDiv w:val="1"/>
      <w:marLeft w:val="0"/>
      <w:marRight w:val="0"/>
      <w:marTop w:val="0"/>
      <w:marBottom w:val="0"/>
      <w:divBdr>
        <w:top w:val="none" w:sz="0" w:space="0" w:color="auto"/>
        <w:left w:val="none" w:sz="0" w:space="0" w:color="auto"/>
        <w:bottom w:val="none" w:sz="0" w:space="0" w:color="auto"/>
        <w:right w:val="none" w:sz="0" w:space="0" w:color="auto"/>
      </w:divBdr>
    </w:div>
    <w:div w:id="968974157">
      <w:bodyDiv w:val="1"/>
      <w:marLeft w:val="0"/>
      <w:marRight w:val="0"/>
      <w:marTop w:val="0"/>
      <w:marBottom w:val="0"/>
      <w:divBdr>
        <w:top w:val="none" w:sz="0" w:space="0" w:color="auto"/>
        <w:left w:val="none" w:sz="0" w:space="0" w:color="auto"/>
        <w:bottom w:val="none" w:sz="0" w:space="0" w:color="auto"/>
        <w:right w:val="none" w:sz="0" w:space="0" w:color="auto"/>
      </w:divBdr>
    </w:div>
    <w:div w:id="968977172">
      <w:bodyDiv w:val="1"/>
      <w:marLeft w:val="0"/>
      <w:marRight w:val="0"/>
      <w:marTop w:val="0"/>
      <w:marBottom w:val="0"/>
      <w:divBdr>
        <w:top w:val="none" w:sz="0" w:space="0" w:color="auto"/>
        <w:left w:val="none" w:sz="0" w:space="0" w:color="auto"/>
        <w:bottom w:val="none" w:sz="0" w:space="0" w:color="auto"/>
        <w:right w:val="none" w:sz="0" w:space="0" w:color="auto"/>
      </w:divBdr>
    </w:div>
    <w:div w:id="968977656">
      <w:bodyDiv w:val="1"/>
      <w:marLeft w:val="0"/>
      <w:marRight w:val="0"/>
      <w:marTop w:val="0"/>
      <w:marBottom w:val="0"/>
      <w:divBdr>
        <w:top w:val="none" w:sz="0" w:space="0" w:color="auto"/>
        <w:left w:val="none" w:sz="0" w:space="0" w:color="auto"/>
        <w:bottom w:val="none" w:sz="0" w:space="0" w:color="auto"/>
        <w:right w:val="none" w:sz="0" w:space="0" w:color="auto"/>
      </w:divBdr>
    </w:div>
    <w:div w:id="969019850">
      <w:bodyDiv w:val="1"/>
      <w:marLeft w:val="0"/>
      <w:marRight w:val="0"/>
      <w:marTop w:val="0"/>
      <w:marBottom w:val="0"/>
      <w:divBdr>
        <w:top w:val="none" w:sz="0" w:space="0" w:color="auto"/>
        <w:left w:val="none" w:sz="0" w:space="0" w:color="auto"/>
        <w:bottom w:val="none" w:sz="0" w:space="0" w:color="auto"/>
        <w:right w:val="none" w:sz="0" w:space="0" w:color="auto"/>
      </w:divBdr>
    </w:div>
    <w:div w:id="969090445">
      <w:bodyDiv w:val="1"/>
      <w:marLeft w:val="0"/>
      <w:marRight w:val="0"/>
      <w:marTop w:val="0"/>
      <w:marBottom w:val="0"/>
      <w:divBdr>
        <w:top w:val="none" w:sz="0" w:space="0" w:color="auto"/>
        <w:left w:val="none" w:sz="0" w:space="0" w:color="auto"/>
        <w:bottom w:val="none" w:sz="0" w:space="0" w:color="auto"/>
        <w:right w:val="none" w:sz="0" w:space="0" w:color="auto"/>
      </w:divBdr>
    </w:div>
    <w:div w:id="969095965">
      <w:bodyDiv w:val="1"/>
      <w:marLeft w:val="0"/>
      <w:marRight w:val="0"/>
      <w:marTop w:val="0"/>
      <w:marBottom w:val="0"/>
      <w:divBdr>
        <w:top w:val="none" w:sz="0" w:space="0" w:color="auto"/>
        <w:left w:val="none" w:sz="0" w:space="0" w:color="auto"/>
        <w:bottom w:val="none" w:sz="0" w:space="0" w:color="auto"/>
        <w:right w:val="none" w:sz="0" w:space="0" w:color="auto"/>
      </w:divBdr>
    </w:div>
    <w:div w:id="969172282">
      <w:bodyDiv w:val="1"/>
      <w:marLeft w:val="0"/>
      <w:marRight w:val="0"/>
      <w:marTop w:val="0"/>
      <w:marBottom w:val="0"/>
      <w:divBdr>
        <w:top w:val="none" w:sz="0" w:space="0" w:color="auto"/>
        <w:left w:val="none" w:sz="0" w:space="0" w:color="auto"/>
        <w:bottom w:val="none" w:sz="0" w:space="0" w:color="auto"/>
        <w:right w:val="none" w:sz="0" w:space="0" w:color="auto"/>
      </w:divBdr>
    </w:div>
    <w:div w:id="969240350">
      <w:bodyDiv w:val="1"/>
      <w:marLeft w:val="0"/>
      <w:marRight w:val="0"/>
      <w:marTop w:val="0"/>
      <w:marBottom w:val="0"/>
      <w:divBdr>
        <w:top w:val="none" w:sz="0" w:space="0" w:color="auto"/>
        <w:left w:val="none" w:sz="0" w:space="0" w:color="auto"/>
        <w:bottom w:val="none" w:sz="0" w:space="0" w:color="auto"/>
        <w:right w:val="none" w:sz="0" w:space="0" w:color="auto"/>
      </w:divBdr>
    </w:div>
    <w:div w:id="969285771">
      <w:bodyDiv w:val="1"/>
      <w:marLeft w:val="0"/>
      <w:marRight w:val="0"/>
      <w:marTop w:val="0"/>
      <w:marBottom w:val="0"/>
      <w:divBdr>
        <w:top w:val="none" w:sz="0" w:space="0" w:color="auto"/>
        <w:left w:val="none" w:sz="0" w:space="0" w:color="auto"/>
        <w:bottom w:val="none" w:sz="0" w:space="0" w:color="auto"/>
        <w:right w:val="none" w:sz="0" w:space="0" w:color="auto"/>
      </w:divBdr>
    </w:div>
    <w:div w:id="969286949">
      <w:bodyDiv w:val="1"/>
      <w:marLeft w:val="0"/>
      <w:marRight w:val="0"/>
      <w:marTop w:val="0"/>
      <w:marBottom w:val="0"/>
      <w:divBdr>
        <w:top w:val="none" w:sz="0" w:space="0" w:color="auto"/>
        <w:left w:val="none" w:sz="0" w:space="0" w:color="auto"/>
        <w:bottom w:val="none" w:sz="0" w:space="0" w:color="auto"/>
        <w:right w:val="none" w:sz="0" w:space="0" w:color="auto"/>
      </w:divBdr>
    </w:div>
    <w:div w:id="969552861">
      <w:bodyDiv w:val="1"/>
      <w:marLeft w:val="0"/>
      <w:marRight w:val="0"/>
      <w:marTop w:val="0"/>
      <w:marBottom w:val="0"/>
      <w:divBdr>
        <w:top w:val="none" w:sz="0" w:space="0" w:color="auto"/>
        <w:left w:val="none" w:sz="0" w:space="0" w:color="auto"/>
        <w:bottom w:val="none" w:sz="0" w:space="0" w:color="auto"/>
        <w:right w:val="none" w:sz="0" w:space="0" w:color="auto"/>
      </w:divBdr>
    </w:div>
    <w:div w:id="969675511">
      <w:bodyDiv w:val="1"/>
      <w:marLeft w:val="0"/>
      <w:marRight w:val="0"/>
      <w:marTop w:val="0"/>
      <w:marBottom w:val="0"/>
      <w:divBdr>
        <w:top w:val="none" w:sz="0" w:space="0" w:color="auto"/>
        <w:left w:val="none" w:sz="0" w:space="0" w:color="auto"/>
        <w:bottom w:val="none" w:sz="0" w:space="0" w:color="auto"/>
        <w:right w:val="none" w:sz="0" w:space="0" w:color="auto"/>
      </w:divBdr>
    </w:div>
    <w:div w:id="969745805">
      <w:bodyDiv w:val="1"/>
      <w:marLeft w:val="0"/>
      <w:marRight w:val="0"/>
      <w:marTop w:val="0"/>
      <w:marBottom w:val="0"/>
      <w:divBdr>
        <w:top w:val="none" w:sz="0" w:space="0" w:color="auto"/>
        <w:left w:val="none" w:sz="0" w:space="0" w:color="auto"/>
        <w:bottom w:val="none" w:sz="0" w:space="0" w:color="auto"/>
        <w:right w:val="none" w:sz="0" w:space="0" w:color="auto"/>
      </w:divBdr>
    </w:div>
    <w:div w:id="969899054">
      <w:bodyDiv w:val="1"/>
      <w:marLeft w:val="0"/>
      <w:marRight w:val="0"/>
      <w:marTop w:val="0"/>
      <w:marBottom w:val="0"/>
      <w:divBdr>
        <w:top w:val="none" w:sz="0" w:space="0" w:color="auto"/>
        <w:left w:val="none" w:sz="0" w:space="0" w:color="auto"/>
        <w:bottom w:val="none" w:sz="0" w:space="0" w:color="auto"/>
        <w:right w:val="none" w:sz="0" w:space="0" w:color="auto"/>
      </w:divBdr>
    </w:div>
    <w:div w:id="969942987">
      <w:bodyDiv w:val="1"/>
      <w:marLeft w:val="0"/>
      <w:marRight w:val="0"/>
      <w:marTop w:val="0"/>
      <w:marBottom w:val="0"/>
      <w:divBdr>
        <w:top w:val="none" w:sz="0" w:space="0" w:color="auto"/>
        <w:left w:val="none" w:sz="0" w:space="0" w:color="auto"/>
        <w:bottom w:val="none" w:sz="0" w:space="0" w:color="auto"/>
        <w:right w:val="none" w:sz="0" w:space="0" w:color="auto"/>
      </w:divBdr>
    </w:div>
    <w:div w:id="970088165">
      <w:bodyDiv w:val="1"/>
      <w:marLeft w:val="0"/>
      <w:marRight w:val="0"/>
      <w:marTop w:val="0"/>
      <w:marBottom w:val="0"/>
      <w:divBdr>
        <w:top w:val="none" w:sz="0" w:space="0" w:color="auto"/>
        <w:left w:val="none" w:sz="0" w:space="0" w:color="auto"/>
        <w:bottom w:val="none" w:sz="0" w:space="0" w:color="auto"/>
        <w:right w:val="none" w:sz="0" w:space="0" w:color="auto"/>
      </w:divBdr>
    </w:div>
    <w:div w:id="970091042">
      <w:bodyDiv w:val="1"/>
      <w:marLeft w:val="0"/>
      <w:marRight w:val="0"/>
      <w:marTop w:val="0"/>
      <w:marBottom w:val="0"/>
      <w:divBdr>
        <w:top w:val="none" w:sz="0" w:space="0" w:color="auto"/>
        <w:left w:val="none" w:sz="0" w:space="0" w:color="auto"/>
        <w:bottom w:val="none" w:sz="0" w:space="0" w:color="auto"/>
        <w:right w:val="none" w:sz="0" w:space="0" w:color="auto"/>
      </w:divBdr>
    </w:div>
    <w:div w:id="970091297">
      <w:bodyDiv w:val="1"/>
      <w:marLeft w:val="0"/>
      <w:marRight w:val="0"/>
      <w:marTop w:val="0"/>
      <w:marBottom w:val="0"/>
      <w:divBdr>
        <w:top w:val="none" w:sz="0" w:space="0" w:color="auto"/>
        <w:left w:val="none" w:sz="0" w:space="0" w:color="auto"/>
        <w:bottom w:val="none" w:sz="0" w:space="0" w:color="auto"/>
        <w:right w:val="none" w:sz="0" w:space="0" w:color="auto"/>
      </w:divBdr>
    </w:div>
    <w:div w:id="970288655">
      <w:bodyDiv w:val="1"/>
      <w:marLeft w:val="0"/>
      <w:marRight w:val="0"/>
      <w:marTop w:val="0"/>
      <w:marBottom w:val="0"/>
      <w:divBdr>
        <w:top w:val="none" w:sz="0" w:space="0" w:color="auto"/>
        <w:left w:val="none" w:sz="0" w:space="0" w:color="auto"/>
        <w:bottom w:val="none" w:sz="0" w:space="0" w:color="auto"/>
        <w:right w:val="none" w:sz="0" w:space="0" w:color="auto"/>
      </w:divBdr>
    </w:div>
    <w:div w:id="970289268">
      <w:bodyDiv w:val="1"/>
      <w:marLeft w:val="0"/>
      <w:marRight w:val="0"/>
      <w:marTop w:val="0"/>
      <w:marBottom w:val="0"/>
      <w:divBdr>
        <w:top w:val="none" w:sz="0" w:space="0" w:color="auto"/>
        <w:left w:val="none" w:sz="0" w:space="0" w:color="auto"/>
        <w:bottom w:val="none" w:sz="0" w:space="0" w:color="auto"/>
        <w:right w:val="none" w:sz="0" w:space="0" w:color="auto"/>
      </w:divBdr>
    </w:div>
    <w:div w:id="970407253">
      <w:bodyDiv w:val="1"/>
      <w:marLeft w:val="0"/>
      <w:marRight w:val="0"/>
      <w:marTop w:val="0"/>
      <w:marBottom w:val="0"/>
      <w:divBdr>
        <w:top w:val="none" w:sz="0" w:space="0" w:color="auto"/>
        <w:left w:val="none" w:sz="0" w:space="0" w:color="auto"/>
        <w:bottom w:val="none" w:sz="0" w:space="0" w:color="auto"/>
        <w:right w:val="none" w:sz="0" w:space="0" w:color="auto"/>
      </w:divBdr>
    </w:div>
    <w:div w:id="970524401">
      <w:bodyDiv w:val="1"/>
      <w:marLeft w:val="0"/>
      <w:marRight w:val="0"/>
      <w:marTop w:val="0"/>
      <w:marBottom w:val="0"/>
      <w:divBdr>
        <w:top w:val="none" w:sz="0" w:space="0" w:color="auto"/>
        <w:left w:val="none" w:sz="0" w:space="0" w:color="auto"/>
        <w:bottom w:val="none" w:sz="0" w:space="0" w:color="auto"/>
        <w:right w:val="none" w:sz="0" w:space="0" w:color="auto"/>
      </w:divBdr>
    </w:div>
    <w:div w:id="970553982">
      <w:bodyDiv w:val="1"/>
      <w:marLeft w:val="0"/>
      <w:marRight w:val="0"/>
      <w:marTop w:val="0"/>
      <w:marBottom w:val="0"/>
      <w:divBdr>
        <w:top w:val="none" w:sz="0" w:space="0" w:color="auto"/>
        <w:left w:val="none" w:sz="0" w:space="0" w:color="auto"/>
        <w:bottom w:val="none" w:sz="0" w:space="0" w:color="auto"/>
        <w:right w:val="none" w:sz="0" w:space="0" w:color="auto"/>
      </w:divBdr>
    </w:div>
    <w:div w:id="970594314">
      <w:bodyDiv w:val="1"/>
      <w:marLeft w:val="0"/>
      <w:marRight w:val="0"/>
      <w:marTop w:val="0"/>
      <w:marBottom w:val="0"/>
      <w:divBdr>
        <w:top w:val="none" w:sz="0" w:space="0" w:color="auto"/>
        <w:left w:val="none" w:sz="0" w:space="0" w:color="auto"/>
        <w:bottom w:val="none" w:sz="0" w:space="0" w:color="auto"/>
        <w:right w:val="none" w:sz="0" w:space="0" w:color="auto"/>
      </w:divBdr>
    </w:div>
    <w:div w:id="970595758">
      <w:bodyDiv w:val="1"/>
      <w:marLeft w:val="0"/>
      <w:marRight w:val="0"/>
      <w:marTop w:val="0"/>
      <w:marBottom w:val="0"/>
      <w:divBdr>
        <w:top w:val="none" w:sz="0" w:space="0" w:color="auto"/>
        <w:left w:val="none" w:sz="0" w:space="0" w:color="auto"/>
        <w:bottom w:val="none" w:sz="0" w:space="0" w:color="auto"/>
        <w:right w:val="none" w:sz="0" w:space="0" w:color="auto"/>
      </w:divBdr>
    </w:div>
    <w:div w:id="970671879">
      <w:bodyDiv w:val="1"/>
      <w:marLeft w:val="0"/>
      <w:marRight w:val="0"/>
      <w:marTop w:val="0"/>
      <w:marBottom w:val="0"/>
      <w:divBdr>
        <w:top w:val="none" w:sz="0" w:space="0" w:color="auto"/>
        <w:left w:val="none" w:sz="0" w:space="0" w:color="auto"/>
        <w:bottom w:val="none" w:sz="0" w:space="0" w:color="auto"/>
        <w:right w:val="none" w:sz="0" w:space="0" w:color="auto"/>
      </w:divBdr>
    </w:div>
    <w:div w:id="970744149">
      <w:bodyDiv w:val="1"/>
      <w:marLeft w:val="0"/>
      <w:marRight w:val="0"/>
      <w:marTop w:val="0"/>
      <w:marBottom w:val="0"/>
      <w:divBdr>
        <w:top w:val="none" w:sz="0" w:space="0" w:color="auto"/>
        <w:left w:val="none" w:sz="0" w:space="0" w:color="auto"/>
        <w:bottom w:val="none" w:sz="0" w:space="0" w:color="auto"/>
        <w:right w:val="none" w:sz="0" w:space="0" w:color="auto"/>
      </w:divBdr>
    </w:div>
    <w:div w:id="970790369">
      <w:bodyDiv w:val="1"/>
      <w:marLeft w:val="0"/>
      <w:marRight w:val="0"/>
      <w:marTop w:val="0"/>
      <w:marBottom w:val="0"/>
      <w:divBdr>
        <w:top w:val="none" w:sz="0" w:space="0" w:color="auto"/>
        <w:left w:val="none" w:sz="0" w:space="0" w:color="auto"/>
        <w:bottom w:val="none" w:sz="0" w:space="0" w:color="auto"/>
        <w:right w:val="none" w:sz="0" w:space="0" w:color="auto"/>
      </w:divBdr>
    </w:div>
    <w:div w:id="970791907">
      <w:bodyDiv w:val="1"/>
      <w:marLeft w:val="0"/>
      <w:marRight w:val="0"/>
      <w:marTop w:val="0"/>
      <w:marBottom w:val="0"/>
      <w:divBdr>
        <w:top w:val="none" w:sz="0" w:space="0" w:color="auto"/>
        <w:left w:val="none" w:sz="0" w:space="0" w:color="auto"/>
        <w:bottom w:val="none" w:sz="0" w:space="0" w:color="auto"/>
        <w:right w:val="none" w:sz="0" w:space="0" w:color="auto"/>
      </w:divBdr>
    </w:div>
    <w:div w:id="970860311">
      <w:bodyDiv w:val="1"/>
      <w:marLeft w:val="0"/>
      <w:marRight w:val="0"/>
      <w:marTop w:val="0"/>
      <w:marBottom w:val="0"/>
      <w:divBdr>
        <w:top w:val="none" w:sz="0" w:space="0" w:color="auto"/>
        <w:left w:val="none" w:sz="0" w:space="0" w:color="auto"/>
        <w:bottom w:val="none" w:sz="0" w:space="0" w:color="auto"/>
        <w:right w:val="none" w:sz="0" w:space="0" w:color="auto"/>
      </w:divBdr>
    </w:div>
    <w:div w:id="970867383">
      <w:bodyDiv w:val="1"/>
      <w:marLeft w:val="0"/>
      <w:marRight w:val="0"/>
      <w:marTop w:val="0"/>
      <w:marBottom w:val="0"/>
      <w:divBdr>
        <w:top w:val="none" w:sz="0" w:space="0" w:color="auto"/>
        <w:left w:val="none" w:sz="0" w:space="0" w:color="auto"/>
        <w:bottom w:val="none" w:sz="0" w:space="0" w:color="auto"/>
        <w:right w:val="none" w:sz="0" w:space="0" w:color="auto"/>
      </w:divBdr>
    </w:div>
    <w:div w:id="970937546">
      <w:bodyDiv w:val="1"/>
      <w:marLeft w:val="0"/>
      <w:marRight w:val="0"/>
      <w:marTop w:val="0"/>
      <w:marBottom w:val="0"/>
      <w:divBdr>
        <w:top w:val="none" w:sz="0" w:space="0" w:color="auto"/>
        <w:left w:val="none" w:sz="0" w:space="0" w:color="auto"/>
        <w:bottom w:val="none" w:sz="0" w:space="0" w:color="auto"/>
        <w:right w:val="none" w:sz="0" w:space="0" w:color="auto"/>
      </w:divBdr>
    </w:div>
    <w:div w:id="970937989">
      <w:bodyDiv w:val="1"/>
      <w:marLeft w:val="0"/>
      <w:marRight w:val="0"/>
      <w:marTop w:val="0"/>
      <w:marBottom w:val="0"/>
      <w:divBdr>
        <w:top w:val="none" w:sz="0" w:space="0" w:color="auto"/>
        <w:left w:val="none" w:sz="0" w:space="0" w:color="auto"/>
        <w:bottom w:val="none" w:sz="0" w:space="0" w:color="auto"/>
        <w:right w:val="none" w:sz="0" w:space="0" w:color="auto"/>
      </w:divBdr>
    </w:div>
    <w:div w:id="970985389">
      <w:bodyDiv w:val="1"/>
      <w:marLeft w:val="0"/>
      <w:marRight w:val="0"/>
      <w:marTop w:val="0"/>
      <w:marBottom w:val="0"/>
      <w:divBdr>
        <w:top w:val="none" w:sz="0" w:space="0" w:color="auto"/>
        <w:left w:val="none" w:sz="0" w:space="0" w:color="auto"/>
        <w:bottom w:val="none" w:sz="0" w:space="0" w:color="auto"/>
        <w:right w:val="none" w:sz="0" w:space="0" w:color="auto"/>
      </w:divBdr>
    </w:div>
    <w:div w:id="971055658">
      <w:bodyDiv w:val="1"/>
      <w:marLeft w:val="0"/>
      <w:marRight w:val="0"/>
      <w:marTop w:val="0"/>
      <w:marBottom w:val="0"/>
      <w:divBdr>
        <w:top w:val="none" w:sz="0" w:space="0" w:color="auto"/>
        <w:left w:val="none" w:sz="0" w:space="0" w:color="auto"/>
        <w:bottom w:val="none" w:sz="0" w:space="0" w:color="auto"/>
        <w:right w:val="none" w:sz="0" w:space="0" w:color="auto"/>
      </w:divBdr>
    </w:div>
    <w:div w:id="971135663">
      <w:bodyDiv w:val="1"/>
      <w:marLeft w:val="0"/>
      <w:marRight w:val="0"/>
      <w:marTop w:val="0"/>
      <w:marBottom w:val="0"/>
      <w:divBdr>
        <w:top w:val="none" w:sz="0" w:space="0" w:color="auto"/>
        <w:left w:val="none" w:sz="0" w:space="0" w:color="auto"/>
        <w:bottom w:val="none" w:sz="0" w:space="0" w:color="auto"/>
        <w:right w:val="none" w:sz="0" w:space="0" w:color="auto"/>
      </w:divBdr>
    </w:div>
    <w:div w:id="971256229">
      <w:bodyDiv w:val="1"/>
      <w:marLeft w:val="0"/>
      <w:marRight w:val="0"/>
      <w:marTop w:val="0"/>
      <w:marBottom w:val="0"/>
      <w:divBdr>
        <w:top w:val="none" w:sz="0" w:space="0" w:color="auto"/>
        <w:left w:val="none" w:sz="0" w:space="0" w:color="auto"/>
        <w:bottom w:val="none" w:sz="0" w:space="0" w:color="auto"/>
        <w:right w:val="none" w:sz="0" w:space="0" w:color="auto"/>
      </w:divBdr>
    </w:div>
    <w:div w:id="971329449">
      <w:bodyDiv w:val="1"/>
      <w:marLeft w:val="0"/>
      <w:marRight w:val="0"/>
      <w:marTop w:val="0"/>
      <w:marBottom w:val="0"/>
      <w:divBdr>
        <w:top w:val="none" w:sz="0" w:space="0" w:color="auto"/>
        <w:left w:val="none" w:sz="0" w:space="0" w:color="auto"/>
        <w:bottom w:val="none" w:sz="0" w:space="0" w:color="auto"/>
        <w:right w:val="none" w:sz="0" w:space="0" w:color="auto"/>
      </w:divBdr>
    </w:div>
    <w:div w:id="971590841">
      <w:bodyDiv w:val="1"/>
      <w:marLeft w:val="0"/>
      <w:marRight w:val="0"/>
      <w:marTop w:val="0"/>
      <w:marBottom w:val="0"/>
      <w:divBdr>
        <w:top w:val="none" w:sz="0" w:space="0" w:color="auto"/>
        <w:left w:val="none" w:sz="0" w:space="0" w:color="auto"/>
        <w:bottom w:val="none" w:sz="0" w:space="0" w:color="auto"/>
        <w:right w:val="none" w:sz="0" w:space="0" w:color="auto"/>
      </w:divBdr>
    </w:div>
    <w:div w:id="971787079">
      <w:bodyDiv w:val="1"/>
      <w:marLeft w:val="0"/>
      <w:marRight w:val="0"/>
      <w:marTop w:val="0"/>
      <w:marBottom w:val="0"/>
      <w:divBdr>
        <w:top w:val="none" w:sz="0" w:space="0" w:color="auto"/>
        <w:left w:val="none" w:sz="0" w:space="0" w:color="auto"/>
        <w:bottom w:val="none" w:sz="0" w:space="0" w:color="auto"/>
        <w:right w:val="none" w:sz="0" w:space="0" w:color="auto"/>
      </w:divBdr>
    </w:div>
    <w:div w:id="971864288">
      <w:bodyDiv w:val="1"/>
      <w:marLeft w:val="0"/>
      <w:marRight w:val="0"/>
      <w:marTop w:val="0"/>
      <w:marBottom w:val="0"/>
      <w:divBdr>
        <w:top w:val="none" w:sz="0" w:space="0" w:color="auto"/>
        <w:left w:val="none" w:sz="0" w:space="0" w:color="auto"/>
        <w:bottom w:val="none" w:sz="0" w:space="0" w:color="auto"/>
        <w:right w:val="none" w:sz="0" w:space="0" w:color="auto"/>
      </w:divBdr>
    </w:div>
    <w:div w:id="971979043">
      <w:bodyDiv w:val="1"/>
      <w:marLeft w:val="0"/>
      <w:marRight w:val="0"/>
      <w:marTop w:val="0"/>
      <w:marBottom w:val="0"/>
      <w:divBdr>
        <w:top w:val="none" w:sz="0" w:space="0" w:color="auto"/>
        <w:left w:val="none" w:sz="0" w:space="0" w:color="auto"/>
        <w:bottom w:val="none" w:sz="0" w:space="0" w:color="auto"/>
        <w:right w:val="none" w:sz="0" w:space="0" w:color="auto"/>
      </w:divBdr>
    </w:div>
    <w:div w:id="972323298">
      <w:bodyDiv w:val="1"/>
      <w:marLeft w:val="0"/>
      <w:marRight w:val="0"/>
      <w:marTop w:val="0"/>
      <w:marBottom w:val="0"/>
      <w:divBdr>
        <w:top w:val="none" w:sz="0" w:space="0" w:color="auto"/>
        <w:left w:val="none" w:sz="0" w:space="0" w:color="auto"/>
        <w:bottom w:val="none" w:sz="0" w:space="0" w:color="auto"/>
        <w:right w:val="none" w:sz="0" w:space="0" w:color="auto"/>
      </w:divBdr>
    </w:div>
    <w:div w:id="972324749">
      <w:bodyDiv w:val="1"/>
      <w:marLeft w:val="0"/>
      <w:marRight w:val="0"/>
      <w:marTop w:val="0"/>
      <w:marBottom w:val="0"/>
      <w:divBdr>
        <w:top w:val="none" w:sz="0" w:space="0" w:color="auto"/>
        <w:left w:val="none" w:sz="0" w:space="0" w:color="auto"/>
        <w:bottom w:val="none" w:sz="0" w:space="0" w:color="auto"/>
        <w:right w:val="none" w:sz="0" w:space="0" w:color="auto"/>
      </w:divBdr>
    </w:div>
    <w:div w:id="972447339">
      <w:bodyDiv w:val="1"/>
      <w:marLeft w:val="0"/>
      <w:marRight w:val="0"/>
      <w:marTop w:val="0"/>
      <w:marBottom w:val="0"/>
      <w:divBdr>
        <w:top w:val="none" w:sz="0" w:space="0" w:color="auto"/>
        <w:left w:val="none" w:sz="0" w:space="0" w:color="auto"/>
        <w:bottom w:val="none" w:sz="0" w:space="0" w:color="auto"/>
        <w:right w:val="none" w:sz="0" w:space="0" w:color="auto"/>
      </w:divBdr>
    </w:div>
    <w:div w:id="972448856">
      <w:bodyDiv w:val="1"/>
      <w:marLeft w:val="0"/>
      <w:marRight w:val="0"/>
      <w:marTop w:val="0"/>
      <w:marBottom w:val="0"/>
      <w:divBdr>
        <w:top w:val="none" w:sz="0" w:space="0" w:color="auto"/>
        <w:left w:val="none" w:sz="0" w:space="0" w:color="auto"/>
        <w:bottom w:val="none" w:sz="0" w:space="0" w:color="auto"/>
        <w:right w:val="none" w:sz="0" w:space="0" w:color="auto"/>
      </w:divBdr>
    </w:div>
    <w:div w:id="972515512">
      <w:bodyDiv w:val="1"/>
      <w:marLeft w:val="0"/>
      <w:marRight w:val="0"/>
      <w:marTop w:val="0"/>
      <w:marBottom w:val="0"/>
      <w:divBdr>
        <w:top w:val="none" w:sz="0" w:space="0" w:color="auto"/>
        <w:left w:val="none" w:sz="0" w:space="0" w:color="auto"/>
        <w:bottom w:val="none" w:sz="0" w:space="0" w:color="auto"/>
        <w:right w:val="none" w:sz="0" w:space="0" w:color="auto"/>
      </w:divBdr>
    </w:div>
    <w:div w:id="972641481">
      <w:bodyDiv w:val="1"/>
      <w:marLeft w:val="0"/>
      <w:marRight w:val="0"/>
      <w:marTop w:val="0"/>
      <w:marBottom w:val="0"/>
      <w:divBdr>
        <w:top w:val="none" w:sz="0" w:space="0" w:color="auto"/>
        <w:left w:val="none" w:sz="0" w:space="0" w:color="auto"/>
        <w:bottom w:val="none" w:sz="0" w:space="0" w:color="auto"/>
        <w:right w:val="none" w:sz="0" w:space="0" w:color="auto"/>
      </w:divBdr>
    </w:div>
    <w:div w:id="972711370">
      <w:bodyDiv w:val="1"/>
      <w:marLeft w:val="0"/>
      <w:marRight w:val="0"/>
      <w:marTop w:val="0"/>
      <w:marBottom w:val="0"/>
      <w:divBdr>
        <w:top w:val="none" w:sz="0" w:space="0" w:color="auto"/>
        <w:left w:val="none" w:sz="0" w:space="0" w:color="auto"/>
        <w:bottom w:val="none" w:sz="0" w:space="0" w:color="auto"/>
        <w:right w:val="none" w:sz="0" w:space="0" w:color="auto"/>
      </w:divBdr>
    </w:div>
    <w:div w:id="972758682">
      <w:bodyDiv w:val="1"/>
      <w:marLeft w:val="0"/>
      <w:marRight w:val="0"/>
      <w:marTop w:val="0"/>
      <w:marBottom w:val="0"/>
      <w:divBdr>
        <w:top w:val="none" w:sz="0" w:space="0" w:color="auto"/>
        <w:left w:val="none" w:sz="0" w:space="0" w:color="auto"/>
        <w:bottom w:val="none" w:sz="0" w:space="0" w:color="auto"/>
        <w:right w:val="none" w:sz="0" w:space="0" w:color="auto"/>
      </w:divBdr>
    </w:div>
    <w:div w:id="973099866">
      <w:bodyDiv w:val="1"/>
      <w:marLeft w:val="0"/>
      <w:marRight w:val="0"/>
      <w:marTop w:val="0"/>
      <w:marBottom w:val="0"/>
      <w:divBdr>
        <w:top w:val="none" w:sz="0" w:space="0" w:color="auto"/>
        <w:left w:val="none" w:sz="0" w:space="0" w:color="auto"/>
        <w:bottom w:val="none" w:sz="0" w:space="0" w:color="auto"/>
        <w:right w:val="none" w:sz="0" w:space="0" w:color="auto"/>
      </w:divBdr>
    </w:div>
    <w:div w:id="973172411">
      <w:bodyDiv w:val="1"/>
      <w:marLeft w:val="0"/>
      <w:marRight w:val="0"/>
      <w:marTop w:val="0"/>
      <w:marBottom w:val="0"/>
      <w:divBdr>
        <w:top w:val="none" w:sz="0" w:space="0" w:color="auto"/>
        <w:left w:val="none" w:sz="0" w:space="0" w:color="auto"/>
        <w:bottom w:val="none" w:sz="0" w:space="0" w:color="auto"/>
        <w:right w:val="none" w:sz="0" w:space="0" w:color="auto"/>
      </w:divBdr>
    </w:div>
    <w:div w:id="973173986">
      <w:bodyDiv w:val="1"/>
      <w:marLeft w:val="0"/>
      <w:marRight w:val="0"/>
      <w:marTop w:val="0"/>
      <w:marBottom w:val="0"/>
      <w:divBdr>
        <w:top w:val="none" w:sz="0" w:space="0" w:color="auto"/>
        <w:left w:val="none" w:sz="0" w:space="0" w:color="auto"/>
        <w:bottom w:val="none" w:sz="0" w:space="0" w:color="auto"/>
        <w:right w:val="none" w:sz="0" w:space="0" w:color="auto"/>
      </w:divBdr>
    </w:div>
    <w:div w:id="973216967">
      <w:bodyDiv w:val="1"/>
      <w:marLeft w:val="0"/>
      <w:marRight w:val="0"/>
      <w:marTop w:val="0"/>
      <w:marBottom w:val="0"/>
      <w:divBdr>
        <w:top w:val="none" w:sz="0" w:space="0" w:color="auto"/>
        <w:left w:val="none" w:sz="0" w:space="0" w:color="auto"/>
        <w:bottom w:val="none" w:sz="0" w:space="0" w:color="auto"/>
        <w:right w:val="none" w:sz="0" w:space="0" w:color="auto"/>
      </w:divBdr>
    </w:div>
    <w:div w:id="973220641">
      <w:bodyDiv w:val="1"/>
      <w:marLeft w:val="0"/>
      <w:marRight w:val="0"/>
      <w:marTop w:val="0"/>
      <w:marBottom w:val="0"/>
      <w:divBdr>
        <w:top w:val="none" w:sz="0" w:space="0" w:color="auto"/>
        <w:left w:val="none" w:sz="0" w:space="0" w:color="auto"/>
        <w:bottom w:val="none" w:sz="0" w:space="0" w:color="auto"/>
        <w:right w:val="none" w:sz="0" w:space="0" w:color="auto"/>
      </w:divBdr>
    </w:div>
    <w:div w:id="973289744">
      <w:bodyDiv w:val="1"/>
      <w:marLeft w:val="0"/>
      <w:marRight w:val="0"/>
      <w:marTop w:val="0"/>
      <w:marBottom w:val="0"/>
      <w:divBdr>
        <w:top w:val="none" w:sz="0" w:space="0" w:color="auto"/>
        <w:left w:val="none" w:sz="0" w:space="0" w:color="auto"/>
        <w:bottom w:val="none" w:sz="0" w:space="0" w:color="auto"/>
        <w:right w:val="none" w:sz="0" w:space="0" w:color="auto"/>
      </w:divBdr>
    </w:div>
    <w:div w:id="973291024">
      <w:bodyDiv w:val="1"/>
      <w:marLeft w:val="0"/>
      <w:marRight w:val="0"/>
      <w:marTop w:val="0"/>
      <w:marBottom w:val="0"/>
      <w:divBdr>
        <w:top w:val="none" w:sz="0" w:space="0" w:color="auto"/>
        <w:left w:val="none" w:sz="0" w:space="0" w:color="auto"/>
        <w:bottom w:val="none" w:sz="0" w:space="0" w:color="auto"/>
        <w:right w:val="none" w:sz="0" w:space="0" w:color="auto"/>
      </w:divBdr>
    </w:div>
    <w:div w:id="973367208">
      <w:bodyDiv w:val="1"/>
      <w:marLeft w:val="0"/>
      <w:marRight w:val="0"/>
      <w:marTop w:val="0"/>
      <w:marBottom w:val="0"/>
      <w:divBdr>
        <w:top w:val="none" w:sz="0" w:space="0" w:color="auto"/>
        <w:left w:val="none" w:sz="0" w:space="0" w:color="auto"/>
        <w:bottom w:val="none" w:sz="0" w:space="0" w:color="auto"/>
        <w:right w:val="none" w:sz="0" w:space="0" w:color="auto"/>
      </w:divBdr>
    </w:div>
    <w:div w:id="973487566">
      <w:bodyDiv w:val="1"/>
      <w:marLeft w:val="0"/>
      <w:marRight w:val="0"/>
      <w:marTop w:val="0"/>
      <w:marBottom w:val="0"/>
      <w:divBdr>
        <w:top w:val="none" w:sz="0" w:space="0" w:color="auto"/>
        <w:left w:val="none" w:sz="0" w:space="0" w:color="auto"/>
        <w:bottom w:val="none" w:sz="0" w:space="0" w:color="auto"/>
        <w:right w:val="none" w:sz="0" w:space="0" w:color="auto"/>
      </w:divBdr>
    </w:div>
    <w:div w:id="973490771">
      <w:bodyDiv w:val="1"/>
      <w:marLeft w:val="0"/>
      <w:marRight w:val="0"/>
      <w:marTop w:val="0"/>
      <w:marBottom w:val="0"/>
      <w:divBdr>
        <w:top w:val="none" w:sz="0" w:space="0" w:color="auto"/>
        <w:left w:val="none" w:sz="0" w:space="0" w:color="auto"/>
        <w:bottom w:val="none" w:sz="0" w:space="0" w:color="auto"/>
        <w:right w:val="none" w:sz="0" w:space="0" w:color="auto"/>
      </w:divBdr>
    </w:div>
    <w:div w:id="973558976">
      <w:bodyDiv w:val="1"/>
      <w:marLeft w:val="0"/>
      <w:marRight w:val="0"/>
      <w:marTop w:val="0"/>
      <w:marBottom w:val="0"/>
      <w:divBdr>
        <w:top w:val="none" w:sz="0" w:space="0" w:color="auto"/>
        <w:left w:val="none" w:sz="0" w:space="0" w:color="auto"/>
        <w:bottom w:val="none" w:sz="0" w:space="0" w:color="auto"/>
        <w:right w:val="none" w:sz="0" w:space="0" w:color="auto"/>
      </w:divBdr>
    </w:div>
    <w:div w:id="973563607">
      <w:bodyDiv w:val="1"/>
      <w:marLeft w:val="0"/>
      <w:marRight w:val="0"/>
      <w:marTop w:val="0"/>
      <w:marBottom w:val="0"/>
      <w:divBdr>
        <w:top w:val="none" w:sz="0" w:space="0" w:color="auto"/>
        <w:left w:val="none" w:sz="0" w:space="0" w:color="auto"/>
        <w:bottom w:val="none" w:sz="0" w:space="0" w:color="auto"/>
        <w:right w:val="none" w:sz="0" w:space="0" w:color="auto"/>
      </w:divBdr>
    </w:div>
    <w:div w:id="973633107">
      <w:bodyDiv w:val="1"/>
      <w:marLeft w:val="0"/>
      <w:marRight w:val="0"/>
      <w:marTop w:val="0"/>
      <w:marBottom w:val="0"/>
      <w:divBdr>
        <w:top w:val="none" w:sz="0" w:space="0" w:color="auto"/>
        <w:left w:val="none" w:sz="0" w:space="0" w:color="auto"/>
        <w:bottom w:val="none" w:sz="0" w:space="0" w:color="auto"/>
        <w:right w:val="none" w:sz="0" w:space="0" w:color="auto"/>
      </w:divBdr>
    </w:div>
    <w:div w:id="973675259">
      <w:bodyDiv w:val="1"/>
      <w:marLeft w:val="0"/>
      <w:marRight w:val="0"/>
      <w:marTop w:val="0"/>
      <w:marBottom w:val="0"/>
      <w:divBdr>
        <w:top w:val="none" w:sz="0" w:space="0" w:color="auto"/>
        <w:left w:val="none" w:sz="0" w:space="0" w:color="auto"/>
        <w:bottom w:val="none" w:sz="0" w:space="0" w:color="auto"/>
        <w:right w:val="none" w:sz="0" w:space="0" w:color="auto"/>
      </w:divBdr>
    </w:div>
    <w:div w:id="973681311">
      <w:bodyDiv w:val="1"/>
      <w:marLeft w:val="0"/>
      <w:marRight w:val="0"/>
      <w:marTop w:val="0"/>
      <w:marBottom w:val="0"/>
      <w:divBdr>
        <w:top w:val="none" w:sz="0" w:space="0" w:color="auto"/>
        <w:left w:val="none" w:sz="0" w:space="0" w:color="auto"/>
        <w:bottom w:val="none" w:sz="0" w:space="0" w:color="auto"/>
        <w:right w:val="none" w:sz="0" w:space="0" w:color="auto"/>
      </w:divBdr>
    </w:div>
    <w:div w:id="973753000">
      <w:bodyDiv w:val="1"/>
      <w:marLeft w:val="0"/>
      <w:marRight w:val="0"/>
      <w:marTop w:val="0"/>
      <w:marBottom w:val="0"/>
      <w:divBdr>
        <w:top w:val="none" w:sz="0" w:space="0" w:color="auto"/>
        <w:left w:val="none" w:sz="0" w:space="0" w:color="auto"/>
        <w:bottom w:val="none" w:sz="0" w:space="0" w:color="auto"/>
        <w:right w:val="none" w:sz="0" w:space="0" w:color="auto"/>
      </w:divBdr>
    </w:div>
    <w:div w:id="973757616">
      <w:bodyDiv w:val="1"/>
      <w:marLeft w:val="0"/>
      <w:marRight w:val="0"/>
      <w:marTop w:val="0"/>
      <w:marBottom w:val="0"/>
      <w:divBdr>
        <w:top w:val="none" w:sz="0" w:space="0" w:color="auto"/>
        <w:left w:val="none" w:sz="0" w:space="0" w:color="auto"/>
        <w:bottom w:val="none" w:sz="0" w:space="0" w:color="auto"/>
        <w:right w:val="none" w:sz="0" w:space="0" w:color="auto"/>
      </w:divBdr>
    </w:div>
    <w:div w:id="973871842">
      <w:bodyDiv w:val="1"/>
      <w:marLeft w:val="0"/>
      <w:marRight w:val="0"/>
      <w:marTop w:val="0"/>
      <w:marBottom w:val="0"/>
      <w:divBdr>
        <w:top w:val="none" w:sz="0" w:space="0" w:color="auto"/>
        <w:left w:val="none" w:sz="0" w:space="0" w:color="auto"/>
        <w:bottom w:val="none" w:sz="0" w:space="0" w:color="auto"/>
        <w:right w:val="none" w:sz="0" w:space="0" w:color="auto"/>
      </w:divBdr>
    </w:div>
    <w:div w:id="973945401">
      <w:bodyDiv w:val="1"/>
      <w:marLeft w:val="0"/>
      <w:marRight w:val="0"/>
      <w:marTop w:val="0"/>
      <w:marBottom w:val="0"/>
      <w:divBdr>
        <w:top w:val="none" w:sz="0" w:space="0" w:color="auto"/>
        <w:left w:val="none" w:sz="0" w:space="0" w:color="auto"/>
        <w:bottom w:val="none" w:sz="0" w:space="0" w:color="auto"/>
        <w:right w:val="none" w:sz="0" w:space="0" w:color="auto"/>
      </w:divBdr>
    </w:div>
    <w:div w:id="974021259">
      <w:bodyDiv w:val="1"/>
      <w:marLeft w:val="0"/>
      <w:marRight w:val="0"/>
      <w:marTop w:val="0"/>
      <w:marBottom w:val="0"/>
      <w:divBdr>
        <w:top w:val="none" w:sz="0" w:space="0" w:color="auto"/>
        <w:left w:val="none" w:sz="0" w:space="0" w:color="auto"/>
        <w:bottom w:val="none" w:sz="0" w:space="0" w:color="auto"/>
        <w:right w:val="none" w:sz="0" w:space="0" w:color="auto"/>
      </w:divBdr>
    </w:div>
    <w:div w:id="974027757">
      <w:bodyDiv w:val="1"/>
      <w:marLeft w:val="0"/>
      <w:marRight w:val="0"/>
      <w:marTop w:val="0"/>
      <w:marBottom w:val="0"/>
      <w:divBdr>
        <w:top w:val="none" w:sz="0" w:space="0" w:color="auto"/>
        <w:left w:val="none" w:sz="0" w:space="0" w:color="auto"/>
        <w:bottom w:val="none" w:sz="0" w:space="0" w:color="auto"/>
        <w:right w:val="none" w:sz="0" w:space="0" w:color="auto"/>
      </w:divBdr>
    </w:div>
    <w:div w:id="974094157">
      <w:bodyDiv w:val="1"/>
      <w:marLeft w:val="0"/>
      <w:marRight w:val="0"/>
      <w:marTop w:val="0"/>
      <w:marBottom w:val="0"/>
      <w:divBdr>
        <w:top w:val="none" w:sz="0" w:space="0" w:color="auto"/>
        <w:left w:val="none" w:sz="0" w:space="0" w:color="auto"/>
        <w:bottom w:val="none" w:sz="0" w:space="0" w:color="auto"/>
        <w:right w:val="none" w:sz="0" w:space="0" w:color="auto"/>
      </w:divBdr>
    </w:div>
    <w:div w:id="974218007">
      <w:bodyDiv w:val="1"/>
      <w:marLeft w:val="0"/>
      <w:marRight w:val="0"/>
      <w:marTop w:val="0"/>
      <w:marBottom w:val="0"/>
      <w:divBdr>
        <w:top w:val="none" w:sz="0" w:space="0" w:color="auto"/>
        <w:left w:val="none" w:sz="0" w:space="0" w:color="auto"/>
        <w:bottom w:val="none" w:sz="0" w:space="0" w:color="auto"/>
        <w:right w:val="none" w:sz="0" w:space="0" w:color="auto"/>
      </w:divBdr>
    </w:div>
    <w:div w:id="974263606">
      <w:bodyDiv w:val="1"/>
      <w:marLeft w:val="0"/>
      <w:marRight w:val="0"/>
      <w:marTop w:val="0"/>
      <w:marBottom w:val="0"/>
      <w:divBdr>
        <w:top w:val="none" w:sz="0" w:space="0" w:color="auto"/>
        <w:left w:val="none" w:sz="0" w:space="0" w:color="auto"/>
        <w:bottom w:val="none" w:sz="0" w:space="0" w:color="auto"/>
        <w:right w:val="none" w:sz="0" w:space="0" w:color="auto"/>
      </w:divBdr>
    </w:div>
    <w:div w:id="974330788">
      <w:bodyDiv w:val="1"/>
      <w:marLeft w:val="0"/>
      <w:marRight w:val="0"/>
      <w:marTop w:val="0"/>
      <w:marBottom w:val="0"/>
      <w:divBdr>
        <w:top w:val="none" w:sz="0" w:space="0" w:color="auto"/>
        <w:left w:val="none" w:sz="0" w:space="0" w:color="auto"/>
        <w:bottom w:val="none" w:sz="0" w:space="0" w:color="auto"/>
        <w:right w:val="none" w:sz="0" w:space="0" w:color="auto"/>
      </w:divBdr>
    </w:div>
    <w:div w:id="974338896">
      <w:bodyDiv w:val="1"/>
      <w:marLeft w:val="0"/>
      <w:marRight w:val="0"/>
      <w:marTop w:val="0"/>
      <w:marBottom w:val="0"/>
      <w:divBdr>
        <w:top w:val="none" w:sz="0" w:space="0" w:color="auto"/>
        <w:left w:val="none" w:sz="0" w:space="0" w:color="auto"/>
        <w:bottom w:val="none" w:sz="0" w:space="0" w:color="auto"/>
        <w:right w:val="none" w:sz="0" w:space="0" w:color="auto"/>
      </w:divBdr>
    </w:div>
    <w:div w:id="974408893">
      <w:bodyDiv w:val="1"/>
      <w:marLeft w:val="0"/>
      <w:marRight w:val="0"/>
      <w:marTop w:val="0"/>
      <w:marBottom w:val="0"/>
      <w:divBdr>
        <w:top w:val="none" w:sz="0" w:space="0" w:color="auto"/>
        <w:left w:val="none" w:sz="0" w:space="0" w:color="auto"/>
        <w:bottom w:val="none" w:sz="0" w:space="0" w:color="auto"/>
        <w:right w:val="none" w:sz="0" w:space="0" w:color="auto"/>
      </w:divBdr>
    </w:div>
    <w:div w:id="974456530">
      <w:bodyDiv w:val="1"/>
      <w:marLeft w:val="0"/>
      <w:marRight w:val="0"/>
      <w:marTop w:val="0"/>
      <w:marBottom w:val="0"/>
      <w:divBdr>
        <w:top w:val="none" w:sz="0" w:space="0" w:color="auto"/>
        <w:left w:val="none" w:sz="0" w:space="0" w:color="auto"/>
        <w:bottom w:val="none" w:sz="0" w:space="0" w:color="auto"/>
        <w:right w:val="none" w:sz="0" w:space="0" w:color="auto"/>
      </w:divBdr>
    </w:div>
    <w:div w:id="974481005">
      <w:bodyDiv w:val="1"/>
      <w:marLeft w:val="0"/>
      <w:marRight w:val="0"/>
      <w:marTop w:val="0"/>
      <w:marBottom w:val="0"/>
      <w:divBdr>
        <w:top w:val="none" w:sz="0" w:space="0" w:color="auto"/>
        <w:left w:val="none" w:sz="0" w:space="0" w:color="auto"/>
        <w:bottom w:val="none" w:sz="0" w:space="0" w:color="auto"/>
        <w:right w:val="none" w:sz="0" w:space="0" w:color="auto"/>
      </w:divBdr>
    </w:div>
    <w:div w:id="974484706">
      <w:bodyDiv w:val="1"/>
      <w:marLeft w:val="0"/>
      <w:marRight w:val="0"/>
      <w:marTop w:val="0"/>
      <w:marBottom w:val="0"/>
      <w:divBdr>
        <w:top w:val="none" w:sz="0" w:space="0" w:color="auto"/>
        <w:left w:val="none" w:sz="0" w:space="0" w:color="auto"/>
        <w:bottom w:val="none" w:sz="0" w:space="0" w:color="auto"/>
        <w:right w:val="none" w:sz="0" w:space="0" w:color="auto"/>
      </w:divBdr>
    </w:div>
    <w:div w:id="974603535">
      <w:bodyDiv w:val="1"/>
      <w:marLeft w:val="0"/>
      <w:marRight w:val="0"/>
      <w:marTop w:val="0"/>
      <w:marBottom w:val="0"/>
      <w:divBdr>
        <w:top w:val="none" w:sz="0" w:space="0" w:color="auto"/>
        <w:left w:val="none" w:sz="0" w:space="0" w:color="auto"/>
        <w:bottom w:val="none" w:sz="0" w:space="0" w:color="auto"/>
        <w:right w:val="none" w:sz="0" w:space="0" w:color="auto"/>
      </w:divBdr>
    </w:div>
    <w:div w:id="974721880">
      <w:bodyDiv w:val="1"/>
      <w:marLeft w:val="0"/>
      <w:marRight w:val="0"/>
      <w:marTop w:val="0"/>
      <w:marBottom w:val="0"/>
      <w:divBdr>
        <w:top w:val="none" w:sz="0" w:space="0" w:color="auto"/>
        <w:left w:val="none" w:sz="0" w:space="0" w:color="auto"/>
        <w:bottom w:val="none" w:sz="0" w:space="0" w:color="auto"/>
        <w:right w:val="none" w:sz="0" w:space="0" w:color="auto"/>
      </w:divBdr>
    </w:div>
    <w:div w:id="974723411">
      <w:bodyDiv w:val="1"/>
      <w:marLeft w:val="0"/>
      <w:marRight w:val="0"/>
      <w:marTop w:val="0"/>
      <w:marBottom w:val="0"/>
      <w:divBdr>
        <w:top w:val="none" w:sz="0" w:space="0" w:color="auto"/>
        <w:left w:val="none" w:sz="0" w:space="0" w:color="auto"/>
        <w:bottom w:val="none" w:sz="0" w:space="0" w:color="auto"/>
        <w:right w:val="none" w:sz="0" w:space="0" w:color="auto"/>
      </w:divBdr>
    </w:div>
    <w:div w:id="974794485">
      <w:bodyDiv w:val="1"/>
      <w:marLeft w:val="0"/>
      <w:marRight w:val="0"/>
      <w:marTop w:val="0"/>
      <w:marBottom w:val="0"/>
      <w:divBdr>
        <w:top w:val="none" w:sz="0" w:space="0" w:color="auto"/>
        <w:left w:val="none" w:sz="0" w:space="0" w:color="auto"/>
        <w:bottom w:val="none" w:sz="0" w:space="0" w:color="auto"/>
        <w:right w:val="none" w:sz="0" w:space="0" w:color="auto"/>
      </w:divBdr>
    </w:div>
    <w:div w:id="974876769">
      <w:bodyDiv w:val="1"/>
      <w:marLeft w:val="0"/>
      <w:marRight w:val="0"/>
      <w:marTop w:val="0"/>
      <w:marBottom w:val="0"/>
      <w:divBdr>
        <w:top w:val="none" w:sz="0" w:space="0" w:color="auto"/>
        <w:left w:val="none" w:sz="0" w:space="0" w:color="auto"/>
        <w:bottom w:val="none" w:sz="0" w:space="0" w:color="auto"/>
        <w:right w:val="none" w:sz="0" w:space="0" w:color="auto"/>
      </w:divBdr>
    </w:div>
    <w:div w:id="974915870">
      <w:bodyDiv w:val="1"/>
      <w:marLeft w:val="0"/>
      <w:marRight w:val="0"/>
      <w:marTop w:val="0"/>
      <w:marBottom w:val="0"/>
      <w:divBdr>
        <w:top w:val="none" w:sz="0" w:space="0" w:color="auto"/>
        <w:left w:val="none" w:sz="0" w:space="0" w:color="auto"/>
        <w:bottom w:val="none" w:sz="0" w:space="0" w:color="auto"/>
        <w:right w:val="none" w:sz="0" w:space="0" w:color="auto"/>
      </w:divBdr>
    </w:div>
    <w:div w:id="975062497">
      <w:bodyDiv w:val="1"/>
      <w:marLeft w:val="0"/>
      <w:marRight w:val="0"/>
      <w:marTop w:val="0"/>
      <w:marBottom w:val="0"/>
      <w:divBdr>
        <w:top w:val="none" w:sz="0" w:space="0" w:color="auto"/>
        <w:left w:val="none" w:sz="0" w:space="0" w:color="auto"/>
        <w:bottom w:val="none" w:sz="0" w:space="0" w:color="auto"/>
        <w:right w:val="none" w:sz="0" w:space="0" w:color="auto"/>
      </w:divBdr>
    </w:div>
    <w:div w:id="975180909">
      <w:bodyDiv w:val="1"/>
      <w:marLeft w:val="0"/>
      <w:marRight w:val="0"/>
      <w:marTop w:val="0"/>
      <w:marBottom w:val="0"/>
      <w:divBdr>
        <w:top w:val="none" w:sz="0" w:space="0" w:color="auto"/>
        <w:left w:val="none" w:sz="0" w:space="0" w:color="auto"/>
        <w:bottom w:val="none" w:sz="0" w:space="0" w:color="auto"/>
        <w:right w:val="none" w:sz="0" w:space="0" w:color="auto"/>
      </w:divBdr>
    </w:div>
    <w:div w:id="975187833">
      <w:bodyDiv w:val="1"/>
      <w:marLeft w:val="0"/>
      <w:marRight w:val="0"/>
      <w:marTop w:val="0"/>
      <w:marBottom w:val="0"/>
      <w:divBdr>
        <w:top w:val="none" w:sz="0" w:space="0" w:color="auto"/>
        <w:left w:val="none" w:sz="0" w:space="0" w:color="auto"/>
        <w:bottom w:val="none" w:sz="0" w:space="0" w:color="auto"/>
        <w:right w:val="none" w:sz="0" w:space="0" w:color="auto"/>
      </w:divBdr>
    </w:div>
    <w:div w:id="975261390">
      <w:bodyDiv w:val="1"/>
      <w:marLeft w:val="0"/>
      <w:marRight w:val="0"/>
      <w:marTop w:val="0"/>
      <w:marBottom w:val="0"/>
      <w:divBdr>
        <w:top w:val="none" w:sz="0" w:space="0" w:color="auto"/>
        <w:left w:val="none" w:sz="0" w:space="0" w:color="auto"/>
        <w:bottom w:val="none" w:sz="0" w:space="0" w:color="auto"/>
        <w:right w:val="none" w:sz="0" w:space="0" w:color="auto"/>
      </w:divBdr>
    </w:div>
    <w:div w:id="975262379">
      <w:bodyDiv w:val="1"/>
      <w:marLeft w:val="0"/>
      <w:marRight w:val="0"/>
      <w:marTop w:val="0"/>
      <w:marBottom w:val="0"/>
      <w:divBdr>
        <w:top w:val="none" w:sz="0" w:space="0" w:color="auto"/>
        <w:left w:val="none" w:sz="0" w:space="0" w:color="auto"/>
        <w:bottom w:val="none" w:sz="0" w:space="0" w:color="auto"/>
        <w:right w:val="none" w:sz="0" w:space="0" w:color="auto"/>
      </w:divBdr>
    </w:div>
    <w:div w:id="975337553">
      <w:bodyDiv w:val="1"/>
      <w:marLeft w:val="0"/>
      <w:marRight w:val="0"/>
      <w:marTop w:val="0"/>
      <w:marBottom w:val="0"/>
      <w:divBdr>
        <w:top w:val="none" w:sz="0" w:space="0" w:color="auto"/>
        <w:left w:val="none" w:sz="0" w:space="0" w:color="auto"/>
        <w:bottom w:val="none" w:sz="0" w:space="0" w:color="auto"/>
        <w:right w:val="none" w:sz="0" w:space="0" w:color="auto"/>
      </w:divBdr>
    </w:div>
    <w:div w:id="975377533">
      <w:bodyDiv w:val="1"/>
      <w:marLeft w:val="0"/>
      <w:marRight w:val="0"/>
      <w:marTop w:val="0"/>
      <w:marBottom w:val="0"/>
      <w:divBdr>
        <w:top w:val="none" w:sz="0" w:space="0" w:color="auto"/>
        <w:left w:val="none" w:sz="0" w:space="0" w:color="auto"/>
        <w:bottom w:val="none" w:sz="0" w:space="0" w:color="auto"/>
        <w:right w:val="none" w:sz="0" w:space="0" w:color="auto"/>
      </w:divBdr>
    </w:div>
    <w:div w:id="975378304">
      <w:bodyDiv w:val="1"/>
      <w:marLeft w:val="0"/>
      <w:marRight w:val="0"/>
      <w:marTop w:val="0"/>
      <w:marBottom w:val="0"/>
      <w:divBdr>
        <w:top w:val="none" w:sz="0" w:space="0" w:color="auto"/>
        <w:left w:val="none" w:sz="0" w:space="0" w:color="auto"/>
        <w:bottom w:val="none" w:sz="0" w:space="0" w:color="auto"/>
        <w:right w:val="none" w:sz="0" w:space="0" w:color="auto"/>
      </w:divBdr>
    </w:div>
    <w:div w:id="975450624">
      <w:bodyDiv w:val="1"/>
      <w:marLeft w:val="0"/>
      <w:marRight w:val="0"/>
      <w:marTop w:val="0"/>
      <w:marBottom w:val="0"/>
      <w:divBdr>
        <w:top w:val="none" w:sz="0" w:space="0" w:color="auto"/>
        <w:left w:val="none" w:sz="0" w:space="0" w:color="auto"/>
        <w:bottom w:val="none" w:sz="0" w:space="0" w:color="auto"/>
        <w:right w:val="none" w:sz="0" w:space="0" w:color="auto"/>
      </w:divBdr>
    </w:div>
    <w:div w:id="975531508">
      <w:bodyDiv w:val="1"/>
      <w:marLeft w:val="0"/>
      <w:marRight w:val="0"/>
      <w:marTop w:val="0"/>
      <w:marBottom w:val="0"/>
      <w:divBdr>
        <w:top w:val="none" w:sz="0" w:space="0" w:color="auto"/>
        <w:left w:val="none" w:sz="0" w:space="0" w:color="auto"/>
        <w:bottom w:val="none" w:sz="0" w:space="0" w:color="auto"/>
        <w:right w:val="none" w:sz="0" w:space="0" w:color="auto"/>
      </w:divBdr>
    </w:div>
    <w:div w:id="975571045">
      <w:bodyDiv w:val="1"/>
      <w:marLeft w:val="0"/>
      <w:marRight w:val="0"/>
      <w:marTop w:val="0"/>
      <w:marBottom w:val="0"/>
      <w:divBdr>
        <w:top w:val="none" w:sz="0" w:space="0" w:color="auto"/>
        <w:left w:val="none" w:sz="0" w:space="0" w:color="auto"/>
        <w:bottom w:val="none" w:sz="0" w:space="0" w:color="auto"/>
        <w:right w:val="none" w:sz="0" w:space="0" w:color="auto"/>
      </w:divBdr>
    </w:div>
    <w:div w:id="975767810">
      <w:bodyDiv w:val="1"/>
      <w:marLeft w:val="0"/>
      <w:marRight w:val="0"/>
      <w:marTop w:val="0"/>
      <w:marBottom w:val="0"/>
      <w:divBdr>
        <w:top w:val="none" w:sz="0" w:space="0" w:color="auto"/>
        <w:left w:val="none" w:sz="0" w:space="0" w:color="auto"/>
        <w:bottom w:val="none" w:sz="0" w:space="0" w:color="auto"/>
        <w:right w:val="none" w:sz="0" w:space="0" w:color="auto"/>
      </w:divBdr>
    </w:div>
    <w:div w:id="975793194">
      <w:bodyDiv w:val="1"/>
      <w:marLeft w:val="0"/>
      <w:marRight w:val="0"/>
      <w:marTop w:val="0"/>
      <w:marBottom w:val="0"/>
      <w:divBdr>
        <w:top w:val="none" w:sz="0" w:space="0" w:color="auto"/>
        <w:left w:val="none" w:sz="0" w:space="0" w:color="auto"/>
        <w:bottom w:val="none" w:sz="0" w:space="0" w:color="auto"/>
        <w:right w:val="none" w:sz="0" w:space="0" w:color="auto"/>
      </w:divBdr>
    </w:div>
    <w:div w:id="975796618">
      <w:bodyDiv w:val="1"/>
      <w:marLeft w:val="0"/>
      <w:marRight w:val="0"/>
      <w:marTop w:val="0"/>
      <w:marBottom w:val="0"/>
      <w:divBdr>
        <w:top w:val="none" w:sz="0" w:space="0" w:color="auto"/>
        <w:left w:val="none" w:sz="0" w:space="0" w:color="auto"/>
        <w:bottom w:val="none" w:sz="0" w:space="0" w:color="auto"/>
        <w:right w:val="none" w:sz="0" w:space="0" w:color="auto"/>
      </w:divBdr>
    </w:div>
    <w:div w:id="975912416">
      <w:bodyDiv w:val="1"/>
      <w:marLeft w:val="0"/>
      <w:marRight w:val="0"/>
      <w:marTop w:val="0"/>
      <w:marBottom w:val="0"/>
      <w:divBdr>
        <w:top w:val="none" w:sz="0" w:space="0" w:color="auto"/>
        <w:left w:val="none" w:sz="0" w:space="0" w:color="auto"/>
        <w:bottom w:val="none" w:sz="0" w:space="0" w:color="auto"/>
        <w:right w:val="none" w:sz="0" w:space="0" w:color="auto"/>
      </w:divBdr>
    </w:div>
    <w:div w:id="976107767">
      <w:bodyDiv w:val="1"/>
      <w:marLeft w:val="0"/>
      <w:marRight w:val="0"/>
      <w:marTop w:val="0"/>
      <w:marBottom w:val="0"/>
      <w:divBdr>
        <w:top w:val="none" w:sz="0" w:space="0" w:color="auto"/>
        <w:left w:val="none" w:sz="0" w:space="0" w:color="auto"/>
        <w:bottom w:val="none" w:sz="0" w:space="0" w:color="auto"/>
        <w:right w:val="none" w:sz="0" w:space="0" w:color="auto"/>
      </w:divBdr>
    </w:div>
    <w:div w:id="976108428">
      <w:bodyDiv w:val="1"/>
      <w:marLeft w:val="0"/>
      <w:marRight w:val="0"/>
      <w:marTop w:val="0"/>
      <w:marBottom w:val="0"/>
      <w:divBdr>
        <w:top w:val="none" w:sz="0" w:space="0" w:color="auto"/>
        <w:left w:val="none" w:sz="0" w:space="0" w:color="auto"/>
        <w:bottom w:val="none" w:sz="0" w:space="0" w:color="auto"/>
        <w:right w:val="none" w:sz="0" w:space="0" w:color="auto"/>
      </w:divBdr>
    </w:div>
    <w:div w:id="976186149">
      <w:bodyDiv w:val="1"/>
      <w:marLeft w:val="0"/>
      <w:marRight w:val="0"/>
      <w:marTop w:val="0"/>
      <w:marBottom w:val="0"/>
      <w:divBdr>
        <w:top w:val="none" w:sz="0" w:space="0" w:color="auto"/>
        <w:left w:val="none" w:sz="0" w:space="0" w:color="auto"/>
        <w:bottom w:val="none" w:sz="0" w:space="0" w:color="auto"/>
        <w:right w:val="none" w:sz="0" w:space="0" w:color="auto"/>
      </w:divBdr>
    </w:div>
    <w:div w:id="976256444">
      <w:bodyDiv w:val="1"/>
      <w:marLeft w:val="0"/>
      <w:marRight w:val="0"/>
      <w:marTop w:val="0"/>
      <w:marBottom w:val="0"/>
      <w:divBdr>
        <w:top w:val="none" w:sz="0" w:space="0" w:color="auto"/>
        <w:left w:val="none" w:sz="0" w:space="0" w:color="auto"/>
        <w:bottom w:val="none" w:sz="0" w:space="0" w:color="auto"/>
        <w:right w:val="none" w:sz="0" w:space="0" w:color="auto"/>
      </w:divBdr>
    </w:div>
    <w:div w:id="976372129">
      <w:bodyDiv w:val="1"/>
      <w:marLeft w:val="0"/>
      <w:marRight w:val="0"/>
      <w:marTop w:val="0"/>
      <w:marBottom w:val="0"/>
      <w:divBdr>
        <w:top w:val="none" w:sz="0" w:space="0" w:color="auto"/>
        <w:left w:val="none" w:sz="0" w:space="0" w:color="auto"/>
        <w:bottom w:val="none" w:sz="0" w:space="0" w:color="auto"/>
        <w:right w:val="none" w:sz="0" w:space="0" w:color="auto"/>
      </w:divBdr>
    </w:div>
    <w:div w:id="976376987">
      <w:bodyDiv w:val="1"/>
      <w:marLeft w:val="0"/>
      <w:marRight w:val="0"/>
      <w:marTop w:val="0"/>
      <w:marBottom w:val="0"/>
      <w:divBdr>
        <w:top w:val="none" w:sz="0" w:space="0" w:color="auto"/>
        <w:left w:val="none" w:sz="0" w:space="0" w:color="auto"/>
        <w:bottom w:val="none" w:sz="0" w:space="0" w:color="auto"/>
        <w:right w:val="none" w:sz="0" w:space="0" w:color="auto"/>
      </w:divBdr>
    </w:div>
    <w:div w:id="976421591">
      <w:bodyDiv w:val="1"/>
      <w:marLeft w:val="0"/>
      <w:marRight w:val="0"/>
      <w:marTop w:val="0"/>
      <w:marBottom w:val="0"/>
      <w:divBdr>
        <w:top w:val="none" w:sz="0" w:space="0" w:color="auto"/>
        <w:left w:val="none" w:sz="0" w:space="0" w:color="auto"/>
        <w:bottom w:val="none" w:sz="0" w:space="0" w:color="auto"/>
        <w:right w:val="none" w:sz="0" w:space="0" w:color="auto"/>
      </w:divBdr>
    </w:div>
    <w:div w:id="976491334">
      <w:bodyDiv w:val="1"/>
      <w:marLeft w:val="0"/>
      <w:marRight w:val="0"/>
      <w:marTop w:val="0"/>
      <w:marBottom w:val="0"/>
      <w:divBdr>
        <w:top w:val="none" w:sz="0" w:space="0" w:color="auto"/>
        <w:left w:val="none" w:sz="0" w:space="0" w:color="auto"/>
        <w:bottom w:val="none" w:sz="0" w:space="0" w:color="auto"/>
        <w:right w:val="none" w:sz="0" w:space="0" w:color="auto"/>
      </w:divBdr>
    </w:div>
    <w:div w:id="976565336">
      <w:bodyDiv w:val="1"/>
      <w:marLeft w:val="0"/>
      <w:marRight w:val="0"/>
      <w:marTop w:val="0"/>
      <w:marBottom w:val="0"/>
      <w:divBdr>
        <w:top w:val="none" w:sz="0" w:space="0" w:color="auto"/>
        <w:left w:val="none" w:sz="0" w:space="0" w:color="auto"/>
        <w:bottom w:val="none" w:sz="0" w:space="0" w:color="auto"/>
        <w:right w:val="none" w:sz="0" w:space="0" w:color="auto"/>
      </w:divBdr>
    </w:div>
    <w:div w:id="976573783">
      <w:bodyDiv w:val="1"/>
      <w:marLeft w:val="0"/>
      <w:marRight w:val="0"/>
      <w:marTop w:val="0"/>
      <w:marBottom w:val="0"/>
      <w:divBdr>
        <w:top w:val="none" w:sz="0" w:space="0" w:color="auto"/>
        <w:left w:val="none" w:sz="0" w:space="0" w:color="auto"/>
        <w:bottom w:val="none" w:sz="0" w:space="0" w:color="auto"/>
        <w:right w:val="none" w:sz="0" w:space="0" w:color="auto"/>
      </w:divBdr>
    </w:div>
    <w:div w:id="976762279">
      <w:bodyDiv w:val="1"/>
      <w:marLeft w:val="0"/>
      <w:marRight w:val="0"/>
      <w:marTop w:val="0"/>
      <w:marBottom w:val="0"/>
      <w:divBdr>
        <w:top w:val="none" w:sz="0" w:space="0" w:color="auto"/>
        <w:left w:val="none" w:sz="0" w:space="0" w:color="auto"/>
        <w:bottom w:val="none" w:sz="0" w:space="0" w:color="auto"/>
        <w:right w:val="none" w:sz="0" w:space="0" w:color="auto"/>
      </w:divBdr>
    </w:div>
    <w:div w:id="976835823">
      <w:bodyDiv w:val="1"/>
      <w:marLeft w:val="0"/>
      <w:marRight w:val="0"/>
      <w:marTop w:val="0"/>
      <w:marBottom w:val="0"/>
      <w:divBdr>
        <w:top w:val="none" w:sz="0" w:space="0" w:color="auto"/>
        <w:left w:val="none" w:sz="0" w:space="0" w:color="auto"/>
        <w:bottom w:val="none" w:sz="0" w:space="0" w:color="auto"/>
        <w:right w:val="none" w:sz="0" w:space="0" w:color="auto"/>
      </w:divBdr>
    </w:div>
    <w:div w:id="976881584">
      <w:bodyDiv w:val="1"/>
      <w:marLeft w:val="0"/>
      <w:marRight w:val="0"/>
      <w:marTop w:val="0"/>
      <w:marBottom w:val="0"/>
      <w:divBdr>
        <w:top w:val="none" w:sz="0" w:space="0" w:color="auto"/>
        <w:left w:val="none" w:sz="0" w:space="0" w:color="auto"/>
        <w:bottom w:val="none" w:sz="0" w:space="0" w:color="auto"/>
        <w:right w:val="none" w:sz="0" w:space="0" w:color="auto"/>
      </w:divBdr>
    </w:div>
    <w:div w:id="977030058">
      <w:bodyDiv w:val="1"/>
      <w:marLeft w:val="0"/>
      <w:marRight w:val="0"/>
      <w:marTop w:val="0"/>
      <w:marBottom w:val="0"/>
      <w:divBdr>
        <w:top w:val="none" w:sz="0" w:space="0" w:color="auto"/>
        <w:left w:val="none" w:sz="0" w:space="0" w:color="auto"/>
        <w:bottom w:val="none" w:sz="0" w:space="0" w:color="auto"/>
        <w:right w:val="none" w:sz="0" w:space="0" w:color="auto"/>
      </w:divBdr>
    </w:div>
    <w:div w:id="977032210">
      <w:bodyDiv w:val="1"/>
      <w:marLeft w:val="0"/>
      <w:marRight w:val="0"/>
      <w:marTop w:val="0"/>
      <w:marBottom w:val="0"/>
      <w:divBdr>
        <w:top w:val="none" w:sz="0" w:space="0" w:color="auto"/>
        <w:left w:val="none" w:sz="0" w:space="0" w:color="auto"/>
        <w:bottom w:val="none" w:sz="0" w:space="0" w:color="auto"/>
        <w:right w:val="none" w:sz="0" w:space="0" w:color="auto"/>
      </w:divBdr>
    </w:div>
    <w:div w:id="977102977">
      <w:bodyDiv w:val="1"/>
      <w:marLeft w:val="0"/>
      <w:marRight w:val="0"/>
      <w:marTop w:val="0"/>
      <w:marBottom w:val="0"/>
      <w:divBdr>
        <w:top w:val="none" w:sz="0" w:space="0" w:color="auto"/>
        <w:left w:val="none" w:sz="0" w:space="0" w:color="auto"/>
        <w:bottom w:val="none" w:sz="0" w:space="0" w:color="auto"/>
        <w:right w:val="none" w:sz="0" w:space="0" w:color="auto"/>
      </w:divBdr>
    </w:div>
    <w:div w:id="977105722">
      <w:bodyDiv w:val="1"/>
      <w:marLeft w:val="0"/>
      <w:marRight w:val="0"/>
      <w:marTop w:val="0"/>
      <w:marBottom w:val="0"/>
      <w:divBdr>
        <w:top w:val="none" w:sz="0" w:space="0" w:color="auto"/>
        <w:left w:val="none" w:sz="0" w:space="0" w:color="auto"/>
        <w:bottom w:val="none" w:sz="0" w:space="0" w:color="auto"/>
        <w:right w:val="none" w:sz="0" w:space="0" w:color="auto"/>
      </w:divBdr>
    </w:div>
    <w:div w:id="977151095">
      <w:bodyDiv w:val="1"/>
      <w:marLeft w:val="0"/>
      <w:marRight w:val="0"/>
      <w:marTop w:val="0"/>
      <w:marBottom w:val="0"/>
      <w:divBdr>
        <w:top w:val="none" w:sz="0" w:space="0" w:color="auto"/>
        <w:left w:val="none" w:sz="0" w:space="0" w:color="auto"/>
        <w:bottom w:val="none" w:sz="0" w:space="0" w:color="auto"/>
        <w:right w:val="none" w:sz="0" w:space="0" w:color="auto"/>
      </w:divBdr>
    </w:div>
    <w:div w:id="977151413">
      <w:bodyDiv w:val="1"/>
      <w:marLeft w:val="0"/>
      <w:marRight w:val="0"/>
      <w:marTop w:val="0"/>
      <w:marBottom w:val="0"/>
      <w:divBdr>
        <w:top w:val="none" w:sz="0" w:space="0" w:color="auto"/>
        <w:left w:val="none" w:sz="0" w:space="0" w:color="auto"/>
        <w:bottom w:val="none" w:sz="0" w:space="0" w:color="auto"/>
        <w:right w:val="none" w:sz="0" w:space="0" w:color="auto"/>
      </w:divBdr>
    </w:div>
    <w:div w:id="977151689">
      <w:bodyDiv w:val="1"/>
      <w:marLeft w:val="0"/>
      <w:marRight w:val="0"/>
      <w:marTop w:val="0"/>
      <w:marBottom w:val="0"/>
      <w:divBdr>
        <w:top w:val="none" w:sz="0" w:space="0" w:color="auto"/>
        <w:left w:val="none" w:sz="0" w:space="0" w:color="auto"/>
        <w:bottom w:val="none" w:sz="0" w:space="0" w:color="auto"/>
        <w:right w:val="none" w:sz="0" w:space="0" w:color="auto"/>
      </w:divBdr>
    </w:div>
    <w:div w:id="977152325">
      <w:bodyDiv w:val="1"/>
      <w:marLeft w:val="0"/>
      <w:marRight w:val="0"/>
      <w:marTop w:val="0"/>
      <w:marBottom w:val="0"/>
      <w:divBdr>
        <w:top w:val="none" w:sz="0" w:space="0" w:color="auto"/>
        <w:left w:val="none" w:sz="0" w:space="0" w:color="auto"/>
        <w:bottom w:val="none" w:sz="0" w:space="0" w:color="auto"/>
        <w:right w:val="none" w:sz="0" w:space="0" w:color="auto"/>
      </w:divBdr>
    </w:div>
    <w:div w:id="977223011">
      <w:bodyDiv w:val="1"/>
      <w:marLeft w:val="0"/>
      <w:marRight w:val="0"/>
      <w:marTop w:val="0"/>
      <w:marBottom w:val="0"/>
      <w:divBdr>
        <w:top w:val="none" w:sz="0" w:space="0" w:color="auto"/>
        <w:left w:val="none" w:sz="0" w:space="0" w:color="auto"/>
        <w:bottom w:val="none" w:sz="0" w:space="0" w:color="auto"/>
        <w:right w:val="none" w:sz="0" w:space="0" w:color="auto"/>
      </w:divBdr>
    </w:div>
    <w:div w:id="977418296">
      <w:bodyDiv w:val="1"/>
      <w:marLeft w:val="0"/>
      <w:marRight w:val="0"/>
      <w:marTop w:val="0"/>
      <w:marBottom w:val="0"/>
      <w:divBdr>
        <w:top w:val="none" w:sz="0" w:space="0" w:color="auto"/>
        <w:left w:val="none" w:sz="0" w:space="0" w:color="auto"/>
        <w:bottom w:val="none" w:sz="0" w:space="0" w:color="auto"/>
        <w:right w:val="none" w:sz="0" w:space="0" w:color="auto"/>
      </w:divBdr>
    </w:div>
    <w:div w:id="977490102">
      <w:bodyDiv w:val="1"/>
      <w:marLeft w:val="0"/>
      <w:marRight w:val="0"/>
      <w:marTop w:val="0"/>
      <w:marBottom w:val="0"/>
      <w:divBdr>
        <w:top w:val="none" w:sz="0" w:space="0" w:color="auto"/>
        <w:left w:val="none" w:sz="0" w:space="0" w:color="auto"/>
        <w:bottom w:val="none" w:sz="0" w:space="0" w:color="auto"/>
        <w:right w:val="none" w:sz="0" w:space="0" w:color="auto"/>
      </w:divBdr>
    </w:div>
    <w:div w:id="977538785">
      <w:bodyDiv w:val="1"/>
      <w:marLeft w:val="0"/>
      <w:marRight w:val="0"/>
      <w:marTop w:val="0"/>
      <w:marBottom w:val="0"/>
      <w:divBdr>
        <w:top w:val="none" w:sz="0" w:space="0" w:color="auto"/>
        <w:left w:val="none" w:sz="0" w:space="0" w:color="auto"/>
        <w:bottom w:val="none" w:sz="0" w:space="0" w:color="auto"/>
        <w:right w:val="none" w:sz="0" w:space="0" w:color="auto"/>
      </w:divBdr>
    </w:div>
    <w:div w:id="977565039">
      <w:bodyDiv w:val="1"/>
      <w:marLeft w:val="0"/>
      <w:marRight w:val="0"/>
      <w:marTop w:val="0"/>
      <w:marBottom w:val="0"/>
      <w:divBdr>
        <w:top w:val="none" w:sz="0" w:space="0" w:color="auto"/>
        <w:left w:val="none" w:sz="0" w:space="0" w:color="auto"/>
        <w:bottom w:val="none" w:sz="0" w:space="0" w:color="auto"/>
        <w:right w:val="none" w:sz="0" w:space="0" w:color="auto"/>
      </w:divBdr>
    </w:div>
    <w:div w:id="977606858">
      <w:bodyDiv w:val="1"/>
      <w:marLeft w:val="0"/>
      <w:marRight w:val="0"/>
      <w:marTop w:val="0"/>
      <w:marBottom w:val="0"/>
      <w:divBdr>
        <w:top w:val="none" w:sz="0" w:space="0" w:color="auto"/>
        <w:left w:val="none" w:sz="0" w:space="0" w:color="auto"/>
        <w:bottom w:val="none" w:sz="0" w:space="0" w:color="auto"/>
        <w:right w:val="none" w:sz="0" w:space="0" w:color="auto"/>
      </w:divBdr>
    </w:div>
    <w:div w:id="977681801">
      <w:bodyDiv w:val="1"/>
      <w:marLeft w:val="0"/>
      <w:marRight w:val="0"/>
      <w:marTop w:val="0"/>
      <w:marBottom w:val="0"/>
      <w:divBdr>
        <w:top w:val="none" w:sz="0" w:space="0" w:color="auto"/>
        <w:left w:val="none" w:sz="0" w:space="0" w:color="auto"/>
        <w:bottom w:val="none" w:sz="0" w:space="0" w:color="auto"/>
        <w:right w:val="none" w:sz="0" w:space="0" w:color="auto"/>
      </w:divBdr>
    </w:div>
    <w:div w:id="977686138">
      <w:bodyDiv w:val="1"/>
      <w:marLeft w:val="0"/>
      <w:marRight w:val="0"/>
      <w:marTop w:val="0"/>
      <w:marBottom w:val="0"/>
      <w:divBdr>
        <w:top w:val="none" w:sz="0" w:space="0" w:color="auto"/>
        <w:left w:val="none" w:sz="0" w:space="0" w:color="auto"/>
        <w:bottom w:val="none" w:sz="0" w:space="0" w:color="auto"/>
        <w:right w:val="none" w:sz="0" w:space="0" w:color="auto"/>
      </w:divBdr>
    </w:div>
    <w:div w:id="977687445">
      <w:bodyDiv w:val="1"/>
      <w:marLeft w:val="0"/>
      <w:marRight w:val="0"/>
      <w:marTop w:val="0"/>
      <w:marBottom w:val="0"/>
      <w:divBdr>
        <w:top w:val="none" w:sz="0" w:space="0" w:color="auto"/>
        <w:left w:val="none" w:sz="0" w:space="0" w:color="auto"/>
        <w:bottom w:val="none" w:sz="0" w:space="0" w:color="auto"/>
        <w:right w:val="none" w:sz="0" w:space="0" w:color="auto"/>
      </w:divBdr>
    </w:div>
    <w:div w:id="977881032">
      <w:bodyDiv w:val="1"/>
      <w:marLeft w:val="0"/>
      <w:marRight w:val="0"/>
      <w:marTop w:val="0"/>
      <w:marBottom w:val="0"/>
      <w:divBdr>
        <w:top w:val="none" w:sz="0" w:space="0" w:color="auto"/>
        <w:left w:val="none" w:sz="0" w:space="0" w:color="auto"/>
        <w:bottom w:val="none" w:sz="0" w:space="0" w:color="auto"/>
        <w:right w:val="none" w:sz="0" w:space="0" w:color="auto"/>
      </w:divBdr>
    </w:div>
    <w:div w:id="977881766">
      <w:bodyDiv w:val="1"/>
      <w:marLeft w:val="0"/>
      <w:marRight w:val="0"/>
      <w:marTop w:val="0"/>
      <w:marBottom w:val="0"/>
      <w:divBdr>
        <w:top w:val="none" w:sz="0" w:space="0" w:color="auto"/>
        <w:left w:val="none" w:sz="0" w:space="0" w:color="auto"/>
        <w:bottom w:val="none" w:sz="0" w:space="0" w:color="auto"/>
        <w:right w:val="none" w:sz="0" w:space="0" w:color="auto"/>
      </w:divBdr>
    </w:div>
    <w:div w:id="978194494">
      <w:bodyDiv w:val="1"/>
      <w:marLeft w:val="0"/>
      <w:marRight w:val="0"/>
      <w:marTop w:val="0"/>
      <w:marBottom w:val="0"/>
      <w:divBdr>
        <w:top w:val="none" w:sz="0" w:space="0" w:color="auto"/>
        <w:left w:val="none" w:sz="0" w:space="0" w:color="auto"/>
        <w:bottom w:val="none" w:sz="0" w:space="0" w:color="auto"/>
        <w:right w:val="none" w:sz="0" w:space="0" w:color="auto"/>
      </w:divBdr>
    </w:div>
    <w:div w:id="978266890">
      <w:bodyDiv w:val="1"/>
      <w:marLeft w:val="0"/>
      <w:marRight w:val="0"/>
      <w:marTop w:val="0"/>
      <w:marBottom w:val="0"/>
      <w:divBdr>
        <w:top w:val="none" w:sz="0" w:space="0" w:color="auto"/>
        <w:left w:val="none" w:sz="0" w:space="0" w:color="auto"/>
        <w:bottom w:val="none" w:sz="0" w:space="0" w:color="auto"/>
        <w:right w:val="none" w:sz="0" w:space="0" w:color="auto"/>
      </w:divBdr>
    </w:div>
    <w:div w:id="978338242">
      <w:bodyDiv w:val="1"/>
      <w:marLeft w:val="0"/>
      <w:marRight w:val="0"/>
      <w:marTop w:val="0"/>
      <w:marBottom w:val="0"/>
      <w:divBdr>
        <w:top w:val="none" w:sz="0" w:space="0" w:color="auto"/>
        <w:left w:val="none" w:sz="0" w:space="0" w:color="auto"/>
        <w:bottom w:val="none" w:sz="0" w:space="0" w:color="auto"/>
        <w:right w:val="none" w:sz="0" w:space="0" w:color="auto"/>
      </w:divBdr>
    </w:div>
    <w:div w:id="978342157">
      <w:bodyDiv w:val="1"/>
      <w:marLeft w:val="0"/>
      <w:marRight w:val="0"/>
      <w:marTop w:val="0"/>
      <w:marBottom w:val="0"/>
      <w:divBdr>
        <w:top w:val="none" w:sz="0" w:space="0" w:color="auto"/>
        <w:left w:val="none" w:sz="0" w:space="0" w:color="auto"/>
        <w:bottom w:val="none" w:sz="0" w:space="0" w:color="auto"/>
        <w:right w:val="none" w:sz="0" w:space="0" w:color="auto"/>
      </w:divBdr>
    </w:div>
    <w:div w:id="978343754">
      <w:bodyDiv w:val="1"/>
      <w:marLeft w:val="0"/>
      <w:marRight w:val="0"/>
      <w:marTop w:val="0"/>
      <w:marBottom w:val="0"/>
      <w:divBdr>
        <w:top w:val="none" w:sz="0" w:space="0" w:color="auto"/>
        <w:left w:val="none" w:sz="0" w:space="0" w:color="auto"/>
        <w:bottom w:val="none" w:sz="0" w:space="0" w:color="auto"/>
        <w:right w:val="none" w:sz="0" w:space="0" w:color="auto"/>
      </w:divBdr>
    </w:div>
    <w:div w:id="978458328">
      <w:bodyDiv w:val="1"/>
      <w:marLeft w:val="0"/>
      <w:marRight w:val="0"/>
      <w:marTop w:val="0"/>
      <w:marBottom w:val="0"/>
      <w:divBdr>
        <w:top w:val="none" w:sz="0" w:space="0" w:color="auto"/>
        <w:left w:val="none" w:sz="0" w:space="0" w:color="auto"/>
        <w:bottom w:val="none" w:sz="0" w:space="0" w:color="auto"/>
        <w:right w:val="none" w:sz="0" w:space="0" w:color="auto"/>
      </w:divBdr>
    </w:div>
    <w:div w:id="978463040">
      <w:bodyDiv w:val="1"/>
      <w:marLeft w:val="0"/>
      <w:marRight w:val="0"/>
      <w:marTop w:val="0"/>
      <w:marBottom w:val="0"/>
      <w:divBdr>
        <w:top w:val="none" w:sz="0" w:space="0" w:color="auto"/>
        <w:left w:val="none" w:sz="0" w:space="0" w:color="auto"/>
        <w:bottom w:val="none" w:sz="0" w:space="0" w:color="auto"/>
        <w:right w:val="none" w:sz="0" w:space="0" w:color="auto"/>
      </w:divBdr>
    </w:div>
    <w:div w:id="978537727">
      <w:bodyDiv w:val="1"/>
      <w:marLeft w:val="0"/>
      <w:marRight w:val="0"/>
      <w:marTop w:val="0"/>
      <w:marBottom w:val="0"/>
      <w:divBdr>
        <w:top w:val="none" w:sz="0" w:space="0" w:color="auto"/>
        <w:left w:val="none" w:sz="0" w:space="0" w:color="auto"/>
        <w:bottom w:val="none" w:sz="0" w:space="0" w:color="auto"/>
        <w:right w:val="none" w:sz="0" w:space="0" w:color="auto"/>
      </w:divBdr>
    </w:div>
    <w:div w:id="978610176">
      <w:bodyDiv w:val="1"/>
      <w:marLeft w:val="0"/>
      <w:marRight w:val="0"/>
      <w:marTop w:val="0"/>
      <w:marBottom w:val="0"/>
      <w:divBdr>
        <w:top w:val="none" w:sz="0" w:space="0" w:color="auto"/>
        <w:left w:val="none" w:sz="0" w:space="0" w:color="auto"/>
        <w:bottom w:val="none" w:sz="0" w:space="0" w:color="auto"/>
        <w:right w:val="none" w:sz="0" w:space="0" w:color="auto"/>
      </w:divBdr>
    </w:div>
    <w:div w:id="978650448">
      <w:bodyDiv w:val="1"/>
      <w:marLeft w:val="0"/>
      <w:marRight w:val="0"/>
      <w:marTop w:val="0"/>
      <w:marBottom w:val="0"/>
      <w:divBdr>
        <w:top w:val="none" w:sz="0" w:space="0" w:color="auto"/>
        <w:left w:val="none" w:sz="0" w:space="0" w:color="auto"/>
        <w:bottom w:val="none" w:sz="0" w:space="0" w:color="auto"/>
        <w:right w:val="none" w:sz="0" w:space="0" w:color="auto"/>
      </w:divBdr>
    </w:div>
    <w:div w:id="978650504">
      <w:bodyDiv w:val="1"/>
      <w:marLeft w:val="0"/>
      <w:marRight w:val="0"/>
      <w:marTop w:val="0"/>
      <w:marBottom w:val="0"/>
      <w:divBdr>
        <w:top w:val="none" w:sz="0" w:space="0" w:color="auto"/>
        <w:left w:val="none" w:sz="0" w:space="0" w:color="auto"/>
        <w:bottom w:val="none" w:sz="0" w:space="0" w:color="auto"/>
        <w:right w:val="none" w:sz="0" w:space="0" w:color="auto"/>
      </w:divBdr>
    </w:div>
    <w:div w:id="978732806">
      <w:bodyDiv w:val="1"/>
      <w:marLeft w:val="0"/>
      <w:marRight w:val="0"/>
      <w:marTop w:val="0"/>
      <w:marBottom w:val="0"/>
      <w:divBdr>
        <w:top w:val="none" w:sz="0" w:space="0" w:color="auto"/>
        <w:left w:val="none" w:sz="0" w:space="0" w:color="auto"/>
        <w:bottom w:val="none" w:sz="0" w:space="0" w:color="auto"/>
        <w:right w:val="none" w:sz="0" w:space="0" w:color="auto"/>
      </w:divBdr>
    </w:div>
    <w:div w:id="978805060">
      <w:bodyDiv w:val="1"/>
      <w:marLeft w:val="0"/>
      <w:marRight w:val="0"/>
      <w:marTop w:val="0"/>
      <w:marBottom w:val="0"/>
      <w:divBdr>
        <w:top w:val="none" w:sz="0" w:space="0" w:color="auto"/>
        <w:left w:val="none" w:sz="0" w:space="0" w:color="auto"/>
        <w:bottom w:val="none" w:sz="0" w:space="0" w:color="auto"/>
        <w:right w:val="none" w:sz="0" w:space="0" w:color="auto"/>
      </w:divBdr>
    </w:div>
    <w:div w:id="978806156">
      <w:bodyDiv w:val="1"/>
      <w:marLeft w:val="0"/>
      <w:marRight w:val="0"/>
      <w:marTop w:val="0"/>
      <w:marBottom w:val="0"/>
      <w:divBdr>
        <w:top w:val="none" w:sz="0" w:space="0" w:color="auto"/>
        <w:left w:val="none" w:sz="0" w:space="0" w:color="auto"/>
        <w:bottom w:val="none" w:sz="0" w:space="0" w:color="auto"/>
        <w:right w:val="none" w:sz="0" w:space="0" w:color="auto"/>
      </w:divBdr>
    </w:div>
    <w:div w:id="978877503">
      <w:bodyDiv w:val="1"/>
      <w:marLeft w:val="0"/>
      <w:marRight w:val="0"/>
      <w:marTop w:val="0"/>
      <w:marBottom w:val="0"/>
      <w:divBdr>
        <w:top w:val="none" w:sz="0" w:space="0" w:color="auto"/>
        <w:left w:val="none" w:sz="0" w:space="0" w:color="auto"/>
        <w:bottom w:val="none" w:sz="0" w:space="0" w:color="auto"/>
        <w:right w:val="none" w:sz="0" w:space="0" w:color="auto"/>
      </w:divBdr>
    </w:div>
    <w:div w:id="978919225">
      <w:bodyDiv w:val="1"/>
      <w:marLeft w:val="0"/>
      <w:marRight w:val="0"/>
      <w:marTop w:val="0"/>
      <w:marBottom w:val="0"/>
      <w:divBdr>
        <w:top w:val="none" w:sz="0" w:space="0" w:color="auto"/>
        <w:left w:val="none" w:sz="0" w:space="0" w:color="auto"/>
        <w:bottom w:val="none" w:sz="0" w:space="0" w:color="auto"/>
        <w:right w:val="none" w:sz="0" w:space="0" w:color="auto"/>
      </w:divBdr>
    </w:div>
    <w:div w:id="978993032">
      <w:bodyDiv w:val="1"/>
      <w:marLeft w:val="0"/>
      <w:marRight w:val="0"/>
      <w:marTop w:val="0"/>
      <w:marBottom w:val="0"/>
      <w:divBdr>
        <w:top w:val="none" w:sz="0" w:space="0" w:color="auto"/>
        <w:left w:val="none" w:sz="0" w:space="0" w:color="auto"/>
        <w:bottom w:val="none" w:sz="0" w:space="0" w:color="auto"/>
        <w:right w:val="none" w:sz="0" w:space="0" w:color="auto"/>
      </w:divBdr>
    </w:div>
    <w:div w:id="979194699">
      <w:bodyDiv w:val="1"/>
      <w:marLeft w:val="0"/>
      <w:marRight w:val="0"/>
      <w:marTop w:val="0"/>
      <w:marBottom w:val="0"/>
      <w:divBdr>
        <w:top w:val="none" w:sz="0" w:space="0" w:color="auto"/>
        <w:left w:val="none" w:sz="0" w:space="0" w:color="auto"/>
        <w:bottom w:val="none" w:sz="0" w:space="0" w:color="auto"/>
        <w:right w:val="none" w:sz="0" w:space="0" w:color="auto"/>
      </w:divBdr>
    </w:div>
    <w:div w:id="979305344">
      <w:bodyDiv w:val="1"/>
      <w:marLeft w:val="0"/>
      <w:marRight w:val="0"/>
      <w:marTop w:val="0"/>
      <w:marBottom w:val="0"/>
      <w:divBdr>
        <w:top w:val="none" w:sz="0" w:space="0" w:color="auto"/>
        <w:left w:val="none" w:sz="0" w:space="0" w:color="auto"/>
        <w:bottom w:val="none" w:sz="0" w:space="0" w:color="auto"/>
        <w:right w:val="none" w:sz="0" w:space="0" w:color="auto"/>
      </w:divBdr>
    </w:div>
    <w:div w:id="979312568">
      <w:bodyDiv w:val="1"/>
      <w:marLeft w:val="0"/>
      <w:marRight w:val="0"/>
      <w:marTop w:val="0"/>
      <w:marBottom w:val="0"/>
      <w:divBdr>
        <w:top w:val="none" w:sz="0" w:space="0" w:color="auto"/>
        <w:left w:val="none" w:sz="0" w:space="0" w:color="auto"/>
        <w:bottom w:val="none" w:sz="0" w:space="0" w:color="auto"/>
        <w:right w:val="none" w:sz="0" w:space="0" w:color="auto"/>
      </w:divBdr>
    </w:div>
    <w:div w:id="979381926">
      <w:bodyDiv w:val="1"/>
      <w:marLeft w:val="0"/>
      <w:marRight w:val="0"/>
      <w:marTop w:val="0"/>
      <w:marBottom w:val="0"/>
      <w:divBdr>
        <w:top w:val="none" w:sz="0" w:space="0" w:color="auto"/>
        <w:left w:val="none" w:sz="0" w:space="0" w:color="auto"/>
        <w:bottom w:val="none" w:sz="0" w:space="0" w:color="auto"/>
        <w:right w:val="none" w:sz="0" w:space="0" w:color="auto"/>
      </w:divBdr>
    </w:div>
    <w:div w:id="979386775">
      <w:bodyDiv w:val="1"/>
      <w:marLeft w:val="0"/>
      <w:marRight w:val="0"/>
      <w:marTop w:val="0"/>
      <w:marBottom w:val="0"/>
      <w:divBdr>
        <w:top w:val="none" w:sz="0" w:space="0" w:color="auto"/>
        <w:left w:val="none" w:sz="0" w:space="0" w:color="auto"/>
        <w:bottom w:val="none" w:sz="0" w:space="0" w:color="auto"/>
        <w:right w:val="none" w:sz="0" w:space="0" w:color="auto"/>
      </w:divBdr>
    </w:div>
    <w:div w:id="979387689">
      <w:bodyDiv w:val="1"/>
      <w:marLeft w:val="0"/>
      <w:marRight w:val="0"/>
      <w:marTop w:val="0"/>
      <w:marBottom w:val="0"/>
      <w:divBdr>
        <w:top w:val="none" w:sz="0" w:space="0" w:color="auto"/>
        <w:left w:val="none" w:sz="0" w:space="0" w:color="auto"/>
        <w:bottom w:val="none" w:sz="0" w:space="0" w:color="auto"/>
        <w:right w:val="none" w:sz="0" w:space="0" w:color="auto"/>
      </w:divBdr>
    </w:div>
    <w:div w:id="979455550">
      <w:bodyDiv w:val="1"/>
      <w:marLeft w:val="0"/>
      <w:marRight w:val="0"/>
      <w:marTop w:val="0"/>
      <w:marBottom w:val="0"/>
      <w:divBdr>
        <w:top w:val="none" w:sz="0" w:space="0" w:color="auto"/>
        <w:left w:val="none" w:sz="0" w:space="0" w:color="auto"/>
        <w:bottom w:val="none" w:sz="0" w:space="0" w:color="auto"/>
        <w:right w:val="none" w:sz="0" w:space="0" w:color="auto"/>
      </w:divBdr>
    </w:div>
    <w:div w:id="979505731">
      <w:bodyDiv w:val="1"/>
      <w:marLeft w:val="0"/>
      <w:marRight w:val="0"/>
      <w:marTop w:val="0"/>
      <w:marBottom w:val="0"/>
      <w:divBdr>
        <w:top w:val="none" w:sz="0" w:space="0" w:color="auto"/>
        <w:left w:val="none" w:sz="0" w:space="0" w:color="auto"/>
        <w:bottom w:val="none" w:sz="0" w:space="0" w:color="auto"/>
        <w:right w:val="none" w:sz="0" w:space="0" w:color="auto"/>
      </w:divBdr>
    </w:div>
    <w:div w:id="979533277">
      <w:bodyDiv w:val="1"/>
      <w:marLeft w:val="0"/>
      <w:marRight w:val="0"/>
      <w:marTop w:val="0"/>
      <w:marBottom w:val="0"/>
      <w:divBdr>
        <w:top w:val="none" w:sz="0" w:space="0" w:color="auto"/>
        <w:left w:val="none" w:sz="0" w:space="0" w:color="auto"/>
        <w:bottom w:val="none" w:sz="0" w:space="0" w:color="auto"/>
        <w:right w:val="none" w:sz="0" w:space="0" w:color="auto"/>
      </w:divBdr>
    </w:div>
    <w:div w:id="979727077">
      <w:bodyDiv w:val="1"/>
      <w:marLeft w:val="0"/>
      <w:marRight w:val="0"/>
      <w:marTop w:val="0"/>
      <w:marBottom w:val="0"/>
      <w:divBdr>
        <w:top w:val="none" w:sz="0" w:space="0" w:color="auto"/>
        <w:left w:val="none" w:sz="0" w:space="0" w:color="auto"/>
        <w:bottom w:val="none" w:sz="0" w:space="0" w:color="auto"/>
        <w:right w:val="none" w:sz="0" w:space="0" w:color="auto"/>
      </w:divBdr>
    </w:div>
    <w:div w:id="979766548">
      <w:bodyDiv w:val="1"/>
      <w:marLeft w:val="0"/>
      <w:marRight w:val="0"/>
      <w:marTop w:val="0"/>
      <w:marBottom w:val="0"/>
      <w:divBdr>
        <w:top w:val="none" w:sz="0" w:space="0" w:color="auto"/>
        <w:left w:val="none" w:sz="0" w:space="0" w:color="auto"/>
        <w:bottom w:val="none" w:sz="0" w:space="0" w:color="auto"/>
        <w:right w:val="none" w:sz="0" w:space="0" w:color="auto"/>
      </w:divBdr>
    </w:div>
    <w:div w:id="979768203">
      <w:bodyDiv w:val="1"/>
      <w:marLeft w:val="0"/>
      <w:marRight w:val="0"/>
      <w:marTop w:val="0"/>
      <w:marBottom w:val="0"/>
      <w:divBdr>
        <w:top w:val="none" w:sz="0" w:space="0" w:color="auto"/>
        <w:left w:val="none" w:sz="0" w:space="0" w:color="auto"/>
        <w:bottom w:val="none" w:sz="0" w:space="0" w:color="auto"/>
        <w:right w:val="none" w:sz="0" w:space="0" w:color="auto"/>
      </w:divBdr>
    </w:div>
    <w:div w:id="979773506">
      <w:bodyDiv w:val="1"/>
      <w:marLeft w:val="0"/>
      <w:marRight w:val="0"/>
      <w:marTop w:val="0"/>
      <w:marBottom w:val="0"/>
      <w:divBdr>
        <w:top w:val="none" w:sz="0" w:space="0" w:color="auto"/>
        <w:left w:val="none" w:sz="0" w:space="0" w:color="auto"/>
        <w:bottom w:val="none" w:sz="0" w:space="0" w:color="auto"/>
        <w:right w:val="none" w:sz="0" w:space="0" w:color="auto"/>
      </w:divBdr>
    </w:div>
    <w:div w:id="980110425">
      <w:bodyDiv w:val="1"/>
      <w:marLeft w:val="0"/>
      <w:marRight w:val="0"/>
      <w:marTop w:val="0"/>
      <w:marBottom w:val="0"/>
      <w:divBdr>
        <w:top w:val="none" w:sz="0" w:space="0" w:color="auto"/>
        <w:left w:val="none" w:sz="0" w:space="0" w:color="auto"/>
        <w:bottom w:val="none" w:sz="0" w:space="0" w:color="auto"/>
        <w:right w:val="none" w:sz="0" w:space="0" w:color="auto"/>
      </w:divBdr>
    </w:div>
    <w:div w:id="980110983">
      <w:bodyDiv w:val="1"/>
      <w:marLeft w:val="0"/>
      <w:marRight w:val="0"/>
      <w:marTop w:val="0"/>
      <w:marBottom w:val="0"/>
      <w:divBdr>
        <w:top w:val="none" w:sz="0" w:space="0" w:color="auto"/>
        <w:left w:val="none" w:sz="0" w:space="0" w:color="auto"/>
        <w:bottom w:val="none" w:sz="0" w:space="0" w:color="auto"/>
        <w:right w:val="none" w:sz="0" w:space="0" w:color="auto"/>
      </w:divBdr>
    </w:div>
    <w:div w:id="980311359">
      <w:bodyDiv w:val="1"/>
      <w:marLeft w:val="0"/>
      <w:marRight w:val="0"/>
      <w:marTop w:val="0"/>
      <w:marBottom w:val="0"/>
      <w:divBdr>
        <w:top w:val="none" w:sz="0" w:space="0" w:color="auto"/>
        <w:left w:val="none" w:sz="0" w:space="0" w:color="auto"/>
        <w:bottom w:val="none" w:sz="0" w:space="0" w:color="auto"/>
        <w:right w:val="none" w:sz="0" w:space="0" w:color="auto"/>
      </w:divBdr>
    </w:div>
    <w:div w:id="980426534">
      <w:bodyDiv w:val="1"/>
      <w:marLeft w:val="0"/>
      <w:marRight w:val="0"/>
      <w:marTop w:val="0"/>
      <w:marBottom w:val="0"/>
      <w:divBdr>
        <w:top w:val="none" w:sz="0" w:space="0" w:color="auto"/>
        <w:left w:val="none" w:sz="0" w:space="0" w:color="auto"/>
        <w:bottom w:val="none" w:sz="0" w:space="0" w:color="auto"/>
        <w:right w:val="none" w:sz="0" w:space="0" w:color="auto"/>
      </w:divBdr>
    </w:div>
    <w:div w:id="980427321">
      <w:bodyDiv w:val="1"/>
      <w:marLeft w:val="0"/>
      <w:marRight w:val="0"/>
      <w:marTop w:val="0"/>
      <w:marBottom w:val="0"/>
      <w:divBdr>
        <w:top w:val="none" w:sz="0" w:space="0" w:color="auto"/>
        <w:left w:val="none" w:sz="0" w:space="0" w:color="auto"/>
        <w:bottom w:val="none" w:sz="0" w:space="0" w:color="auto"/>
        <w:right w:val="none" w:sz="0" w:space="0" w:color="auto"/>
      </w:divBdr>
    </w:div>
    <w:div w:id="980502198">
      <w:bodyDiv w:val="1"/>
      <w:marLeft w:val="0"/>
      <w:marRight w:val="0"/>
      <w:marTop w:val="0"/>
      <w:marBottom w:val="0"/>
      <w:divBdr>
        <w:top w:val="none" w:sz="0" w:space="0" w:color="auto"/>
        <w:left w:val="none" w:sz="0" w:space="0" w:color="auto"/>
        <w:bottom w:val="none" w:sz="0" w:space="0" w:color="auto"/>
        <w:right w:val="none" w:sz="0" w:space="0" w:color="auto"/>
      </w:divBdr>
    </w:div>
    <w:div w:id="980502639">
      <w:bodyDiv w:val="1"/>
      <w:marLeft w:val="0"/>
      <w:marRight w:val="0"/>
      <w:marTop w:val="0"/>
      <w:marBottom w:val="0"/>
      <w:divBdr>
        <w:top w:val="none" w:sz="0" w:space="0" w:color="auto"/>
        <w:left w:val="none" w:sz="0" w:space="0" w:color="auto"/>
        <w:bottom w:val="none" w:sz="0" w:space="0" w:color="auto"/>
        <w:right w:val="none" w:sz="0" w:space="0" w:color="auto"/>
      </w:divBdr>
    </w:div>
    <w:div w:id="980504146">
      <w:bodyDiv w:val="1"/>
      <w:marLeft w:val="0"/>
      <w:marRight w:val="0"/>
      <w:marTop w:val="0"/>
      <w:marBottom w:val="0"/>
      <w:divBdr>
        <w:top w:val="none" w:sz="0" w:space="0" w:color="auto"/>
        <w:left w:val="none" w:sz="0" w:space="0" w:color="auto"/>
        <w:bottom w:val="none" w:sz="0" w:space="0" w:color="auto"/>
        <w:right w:val="none" w:sz="0" w:space="0" w:color="auto"/>
      </w:divBdr>
    </w:div>
    <w:div w:id="980576698">
      <w:bodyDiv w:val="1"/>
      <w:marLeft w:val="0"/>
      <w:marRight w:val="0"/>
      <w:marTop w:val="0"/>
      <w:marBottom w:val="0"/>
      <w:divBdr>
        <w:top w:val="none" w:sz="0" w:space="0" w:color="auto"/>
        <w:left w:val="none" w:sz="0" w:space="0" w:color="auto"/>
        <w:bottom w:val="none" w:sz="0" w:space="0" w:color="auto"/>
        <w:right w:val="none" w:sz="0" w:space="0" w:color="auto"/>
      </w:divBdr>
    </w:div>
    <w:div w:id="980885036">
      <w:bodyDiv w:val="1"/>
      <w:marLeft w:val="0"/>
      <w:marRight w:val="0"/>
      <w:marTop w:val="0"/>
      <w:marBottom w:val="0"/>
      <w:divBdr>
        <w:top w:val="none" w:sz="0" w:space="0" w:color="auto"/>
        <w:left w:val="none" w:sz="0" w:space="0" w:color="auto"/>
        <w:bottom w:val="none" w:sz="0" w:space="0" w:color="auto"/>
        <w:right w:val="none" w:sz="0" w:space="0" w:color="auto"/>
      </w:divBdr>
    </w:div>
    <w:div w:id="980885856">
      <w:bodyDiv w:val="1"/>
      <w:marLeft w:val="0"/>
      <w:marRight w:val="0"/>
      <w:marTop w:val="0"/>
      <w:marBottom w:val="0"/>
      <w:divBdr>
        <w:top w:val="none" w:sz="0" w:space="0" w:color="auto"/>
        <w:left w:val="none" w:sz="0" w:space="0" w:color="auto"/>
        <w:bottom w:val="none" w:sz="0" w:space="0" w:color="auto"/>
        <w:right w:val="none" w:sz="0" w:space="0" w:color="auto"/>
      </w:divBdr>
    </w:div>
    <w:div w:id="981038068">
      <w:bodyDiv w:val="1"/>
      <w:marLeft w:val="0"/>
      <w:marRight w:val="0"/>
      <w:marTop w:val="0"/>
      <w:marBottom w:val="0"/>
      <w:divBdr>
        <w:top w:val="none" w:sz="0" w:space="0" w:color="auto"/>
        <w:left w:val="none" w:sz="0" w:space="0" w:color="auto"/>
        <w:bottom w:val="none" w:sz="0" w:space="0" w:color="auto"/>
        <w:right w:val="none" w:sz="0" w:space="0" w:color="auto"/>
      </w:divBdr>
    </w:div>
    <w:div w:id="981040386">
      <w:bodyDiv w:val="1"/>
      <w:marLeft w:val="0"/>
      <w:marRight w:val="0"/>
      <w:marTop w:val="0"/>
      <w:marBottom w:val="0"/>
      <w:divBdr>
        <w:top w:val="none" w:sz="0" w:space="0" w:color="auto"/>
        <w:left w:val="none" w:sz="0" w:space="0" w:color="auto"/>
        <w:bottom w:val="none" w:sz="0" w:space="0" w:color="auto"/>
        <w:right w:val="none" w:sz="0" w:space="0" w:color="auto"/>
      </w:divBdr>
    </w:div>
    <w:div w:id="981081965">
      <w:bodyDiv w:val="1"/>
      <w:marLeft w:val="0"/>
      <w:marRight w:val="0"/>
      <w:marTop w:val="0"/>
      <w:marBottom w:val="0"/>
      <w:divBdr>
        <w:top w:val="none" w:sz="0" w:space="0" w:color="auto"/>
        <w:left w:val="none" w:sz="0" w:space="0" w:color="auto"/>
        <w:bottom w:val="none" w:sz="0" w:space="0" w:color="auto"/>
        <w:right w:val="none" w:sz="0" w:space="0" w:color="auto"/>
      </w:divBdr>
    </w:div>
    <w:div w:id="981083675">
      <w:bodyDiv w:val="1"/>
      <w:marLeft w:val="0"/>
      <w:marRight w:val="0"/>
      <w:marTop w:val="0"/>
      <w:marBottom w:val="0"/>
      <w:divBdr>
        <w:top w:val="none" w:sz="0" w:space="0" w:color="auto"/>
        <w:left w:val="none" w:sz="0" w:space="0" w:color="auto"/>
        <w:bottom w:val="none" w:sz="0" w:space="0" w:color="auto"/>
        <w:right w:val="none" w:sz="0" w:space="0" w:color="auto"/>
      </w:divBdr>
    </w:div>
    <w:div w:id="981084497">
      <w:bodyDiv w:val="1"/>
      <w:marLeft w:val="0"/>
      <w:marRight w:val="0"/>
      <w:marTop w:val="0"/>
      <w:marBottom w:val="0"/>
      <w:divBdr>
        <w:top w:val="none" w:sz="0" w:space="0" w:color="auto"/>
        <w:left w:val="none" w:sz="0" w:space="0" w:color="auto"/>
        <w:bottom w:val="none" w:sz="0" w:space="0" w:color="auto"/>
        <w:right w:val="none" w:sz="0" w:space="0" w:color="auto"/>
      </w:divBdr>
    </w:div>
    <w:div w:id="981226499">
      <w:bodyDiv w:val="1"/>
      <w:marLeft w:val="0"/>
      <w:marRight w:val="0"/>
      <w:marTop w:val="0"/>
      <w:marBottom w:val="0"/>
      <w:divBdr>
        <w:top w:val="none" w:sz="0" w:space="0" w:color="auto"/>
        <w:left w:val="none" w:sz="0" w:space="0" w:color="auto"/>
        <w:bottom w:val="none" w:sz="0" w:space="0" w:color="auto"/>
        <w:right w:val="none" w:sz="0" w:space="0" w:color="auto"/>
      </w:divBdr>
    </w:div>
    <w:div w:id="981275489">
      <w:bodyDiv w:val="1"/>
      <w:marLeft w:val="0"/>
      <w:marRight w:val="0"/>
      <w:marTop w:val="0"/>
      <w:marBottom w:val="0"/>
      <w:divBdr>
        <w:top w:val="none" w:sz="0" w:space="0" w:color="auto"/>
        <w:left w:val="none" w:sz="0" w:space="0" w:color="auto"/>
        <w:bottom w:val="none" w:sz="0" w:space="0" w:color="auto"/>
        <w:right w:val="none" w:sz="0" w:space="0" w:color="auto"/>
      </w:divBdr>
    </w:div>
    <w:div w:id="981347854">
      <w:bodyDiv w:val="1"/>
      <w:marLeft w:val="0"/>
      <w:marRight w:val="0"/>
      <w:marTop w:val="0"/>
      <w:marBottom w:val="0"/>
      <w:divBdr>
        <w:top w:val="none" w:sz="0" w:space="0" w:color="auto"/>
        <w:left w:val="none" w:sz="0" w:space="0" w:color="auto"/>
        <w:bottom w:val="none" w:sz="0" w:space="0" w:color="auto"/>
        <w:right w:val="none" w:sz="0" w:space="0" w:color="auto"/>
      </w:divBdr>
    </w:div>
    <w:div w:id="981352590">
      <w:bodyDiv w:val="1"/>
      <w:marLeft w:val="0"/>
      <w:marRight w:val="0"/>
      <w:marTop w:val="0"/>
      <w:marBottom w:val="0"/>
      <w:divBdr>
        <w:top w:val="none" w:sz="0" w:space="0" w:color="auto"/>
        <w:left w:val="none" w:sz="0" w:space="0" w:color="auto"/>
        <w:bottom w:val="none" w:sz="0" w:space="0" w:color="auto"/>
        <w:right w:val="none" w:sz="0" w:space="0" w:color="auto"/>
      </w:divBdr>
    </w:div>
    <w:div w:id="981498306">
      <w:bodyDiv w:val="1"/>
      <w:marLeft w:val="0"/>
      <w:marRight w:val="0"/>
      <w:marTop w:val="0"/>
      <w:marBottom w:val="0"/>
      <w:divBdr>
        <w:top w:val="none" w:sz="0" w:space="0" w:color="auto"/>
        <w:left w:val="none" w:sz="0" w:space="0" w:color="auto"/>
        <w:bottom w:val="none" w:sz="0" w:space="0" w:color="auto"/>
        <w:right w:val="none" w:sz="0" w:space="0" w:color="auto"/>
      </w:divBdr>
    </w:div>
    <w:div w:id="981614230">
      <w:bodyDiv w:val="1"/>
      <w:marLeft w:val="0"/>
      <w:marRight w:val="0"/>
      <w:marTop w:val="0"/>
      <w:marBottom w:val="0"/>
      <w:divBdr>
        <w:top w:val="none" w:sz="0" w:space="0" w:color="auto"/>
        <w:left w:val="none" w:sz="0" w:space="0" w:color="auto"/>
        <w:bottom w:val="none" w:sz="0" w:space="0" w:color="auto"/>
        <w:right w:val="none" w:sz="0" w:space="0" w:color="auto"/>
      </w:divBdr>
    </w:div>
    <w:div w:id="981615792">
      <w:bodyDiv w:val="1"/>
      <w:marLeft w:val="0"/>
      <w:marRight w:val="0"/>
      <w:marTop w:val="0"/>
      <w:marBottom w:val="0"/>
      <w:divBdr>
        <w:top w:val="none" w:sz="0" w:space="0" w:color="auto"/>
        <w:left w:val="none" w:sz="0" w:space="0" w:color="auto"/>
        <w:bottom w:val="none" w:sz="0" w:space="0" w:color="auto"/>
        <w:right w:val="none" w:sz="0" w:space="0" w:color="auto"/>
      </w:divBdr>
    </w:div>
    <w:div w:id="981618021">
      <w:bodyDiv w:val="1"/>
      <w:marLeft w:val="0"/>
      <w:marRight w:val="0"/>
      <w:marTop w:val="0"/>
      <w:marBottom w:val="0"/>
      <w:divBdr>
        <w:top w:val="none" w:sz="0" w:space="0" w:color="auto"/>
        <w:left w:val="none" w:sz="0" w:space="0" w:color="auto"/>
        <w:bottom w:val="none" w:sz="0" w:space="0" w:color="auto"/>
        <w:right w:val="none" w:sz="0" w:space="0" w:color="auto"/>
      </w:divBdr>
    </w:div>
    <w:div w:id="981664306">
      <w:bodyDiv w:val="1"/>
      <w:marLeft w:val="0"/>
      <w:marRight w:val="0"/>
      <w:marTop w:val="0"/>
      <w:marBottom w:val="0"/>
      <w:divBdr>
        <w:top w:val="none" w:sz="0" w:space="0" w:color="auto"/>
        <w:left w:val="none" w:sz="0" w:space="0" w:color="auto"/>
        <w:bottom w:val="none" w:sz="0" w:space="0" w:color="auto"/>
        <w:right w:val="none" w:sz="0" w:space="0" w:color="auto"/>
      </w:divBdr>
    </w:div>
    <w:div w:id="981693476">
      <w:bodyDiv w:val="1"/>
      <w:marLeft w:val="0"/>
      <w:marRight w:val="0"/>
      <w:marTop w:val="0"/>
      <w:marBottom w:val="0"/>
      <w:divBdr>
        <w:top w:val="none" w:sz="0" w:space="0" w:color="auto"/>
        <w:left w:val="none" w:sz="0" w:space="0" w:color="auto"/>
        <w:bottom w:val="none" w:sz="0" w:space="0" w:color="auto"/>
        <w:right w:val="none" w:sz="0" w:space="0" w:color="auto"/>
      </w:divBdr>
    </w:div>
    <w:div w:id="981882821">
      <w:bodyDiv w:val="1"/>
      <w:marLeft w:val="0"/>
      <w:marRight w:val="0"/>
      <w:marTop w:val="0"/>
      <w:marBottom w:val="0"/>
      <w:divBdr>
        <w:top w:val="none" w:sz="0" w:space="0" w:color="auto"/>
        <w:left w:val="none" w:sz="0" w:space="0" w:color="auto"/>
        <w:bottom w:val="none" w:sz="0" w:space="0" w:color="auto"/>
        <w:right w:val="none" w:sz="0" w:space="0" w:color="auto"/>
      </w:divBdr>
    </w:div>
    <w:div w:id="981889886">
      <w:bodyDiv w:val="1"/>
      <w:marLeft w:val="0"/>
      <w:marRight w:val="0"/>
      <w:marTop w:val="0"/>
      <w:marBottom w:val="0"/>
      <w:divBdr>
        <w:top w:val="none" w:sz="0" w:space="0" w:color="auto"/>
        <w:left w:val="none" w:sz="0" w:space="0" w:color="auto"/>
        <w:bottom w:val="none" w:sz="0" w:space="0" w:color="auto"/>
        <w:right w:val="none" w:sz="0" w:space="0" w:color="auto"/>
      </w:divBdr>
    </w:div>
    <w:div w:id="981927082">
      <w:bodyDiv w:val="1"/>
      <w:marLeft w:val="0"/>
      <w:marRight w:val="0"/>
      <w:marTop w:val="0"/>
      <w:marBottom w:val="0"/>
      <w:divBdr>
        <w:top w:val="none" w:sz="0" w:space="0" w:color="auto"/>
        <w:left w:val="none" w:sz="0" w:space="0" w:color="auto"/>
        <w:bottom w:val="none" w:sz="0" w:space="0" w:color="auto"/>
        <w:right w:val="none" w:sz="0" w:space="0" w:color="auto"/>
      </w:divBdr>
    </w:div>
    <w:div w:id="981958030">
      <w:bodyDiv w:val="1"/>
      <w:marLeft w:val="0"/>
      <w:marRight w:val="0"/>
      <w:marTop w:val="0"/>
      <w:marBottom w:val="0"/>
      <w:divBdr>
        <w:top w:val="none" w:sz="0" w:space="0" w:color="auto"/>
        <w:left w:val="none" w:sz="0" w:space="0" w:color="auto"/>
        <w:bottom w:val="none" w:sz="0" w:space="0" w:color="auto"/>
        <w:right w:val="none" w:sz="0" w:space="0" w:color="auto"/>
      </w:divBdr>
    </w:div>
    <w:div w:id="982000786">
      <w:bodyDiv w:val="1"/>
      <w:marLeft w:val="0"/>
      <w:marRight w:val="0"/>
      <w:marTop w:val="0"/>
      <w:marBottom w:val="0"/>
      <w:divBdr>
        <w:top w:val="none" w:sz="0" w:space="0" w:color="auto"/>
        <w:left w:val="none" w:sz="0" w:space="0" w:color="auto"/>
        <w:bottom w:val="none" w:sz="0" w:space="0" w:color="auto"/>
        <w:right w:val="none" w:sz="0" w:space="0" w:color="auto"/>
      </w:divBdr>
    </w:div>
    <w:div w:id="982077392">
      <w:bodyDiv w:val="1"/>
      <w:marLeft w:val="0"/>
      <w:marRight w:val="0"/>
      <w:marTop w:val="0"/>
      <w:marBottom w:val="0"/>
      <w:divBdr>
        <w:top w:val="none" w:sz="0" w:space="0" w:color="auto"/>
        <w:left w:val="none" w:sz="0" w:space="0" w:color="auto"/>
        <w:bottom w:val="none" w:sz="0" w:space="0" w:color="auto"/>
        <w:right w:val="none" w:sz="0" w:space="0" w:color="auto"/>
      </w:divBdr>
    </w:div>
    <w:div w:id="982126138">
      <w:bodyDiv w:val="1"/>
      <w:marLeft w:val="0"/>
      <w:marRight w:val="0"/>
      <w:marTop w:val="0"/>
      <w:marBottom w:val="0"/>
      <w:divBdr>
        <w:top w:val="none" w:sz="0" w:space="0" w:color="auto"/>
        <w:left w:val="none" w:sz="0" w:space="0" w:color="auto"/>
        <w:bottom w:val="none" w:sz="0" w:space="0" w:color="auto"/>
        <w:right w:val="none" w:sz="0" w:space="0" w:color="auto"/>
      </w:divBdr>
    </w:div>
    <w:div w:id="982200536">
      <w:bodyDiv w:val="1"/>
      <w:marLeft w:val="0"/>
      <w:marRight w:val="0"/>
      <w:marTop w:val="0"/>
      <w:marBottom w:val="0"/>
      <w:divBdr>
        <w:top w:val="none" w:sz="0" w:space="0" w:color="auto"/>
        <w:left w:val="none" w:sz="0" w:space="0" w:color="auto"/>
        <w:bottom w:val="none" w:sz="0" w:space="0" w:color="auto"/>
        <w:right w:val="none" w:sz="0" w:space="0" w:color="auto"/>
      </w:divBdr>
    </w:div>
    <w:div w:id="982272780">
      <w:bodyDiv w:val="1"/>
      <w:marLeft w:val="0"/>
      <w:marRight w:val="0"/>
      <w:marTop w:val="0"/>
      <w:marBottom w:val="0"/>
      <w:divBdr>
        <w:top w:val="none" w:sz="0" w:space="0" w:color="auto"/>
        <w:left w:val="none" w:sz="0" w:space="0" w:color="auto"/>
        <w:bottom w:val="none" w:sz="0" w:space="0" w:color="auto"/>
        <w:right w:val="none" w:sz="0" w:space="0" w:color="auto"/>
      </w:divBdr>
    </w:div>
    <w:div w:id="982348811">
      <w:bodyDiv w:val="1"/>
      <w:marLeft w:val="0"/>
      <w:marRight w:val="0"/>
      <w:marTop w:val="0"/>
      <w:marBottom w:val="0"/>
      <w:divBdr>
        <w:top w:val="none" w:sz="0" w:space="0" w:color="auto"/>
        <w:left w:val="none" w:sz="0" w:space="0" w:color="auto"/>
        <w:bottom w:val="none" w:sz="0" w:space="0" w:color="auto"/>
        <w:right w:val="none" w:sz="0" w:space="0" w:color="auto"/>
      </w:divBdr>
    </w:div>
    <w:div w:id="982662452">
      <w:bodyDiv w:val="1"/>
      <w:marLeft w:val="0"/>
      <w:marRight w:val="0"/>
      <w:marTop w:val="0"/>
      <w:marBottom w:val="0"/>
      <w:divBdr>
        <w:top w:val="none" w:sz="0" w:space="0" w:color="auto"/>
        <w:left w:val="none" w:sz="0" w:space="0" w:color="auto"/>
        <w:bottom w:val="none" w:sz="0" w:space="0" w:color="auto"/>
        <w:right w:val="none" w:sz="0" w:space="0" w:color="auto"/>
      </w:divBdr>
    </w:div>
    <w:div w:id="982731361">
      <w:bodyDiv w:val="1"/>
      <w:marLeft w:val="0"/>
      <w:marRight w:val="0"/>
      <w:marTop w:val="0"/>
      <w:marBottom w:val="0"/>
      <w:divBdr>
        <w:top w:val="none" w:sz="0" w:space="0" w:color="auto"/>
        <w:left w:val="none" w:sz="0" w:space="0" w:color="auto"/>
        <w:bottom w:val="none" w:sz="0" w:space="0" w:color="auto"/>
        <w:right w:val="none" w:sz="0" w:space="0" w:color="auto"/>
      </w:divBdr>
    </w:div>
    <w:div w:id="982737741">
      <w:bodyDiv w:val="1"/>
      <w:marLeft w:val="0"/>
      <w:marRight w:val="0"/>
      <w:marTop w:val="0"/>
      <w:marBottom w:val="0"/>
      <w:divBdr>
        <w:top w:val="none" w:sz="0" w:space="0" w:color="auto"/>
        <w:left w:val="none" w:sz="0" w:space="0" w:color="auto"/>
        <w:bottom w:val="none" w:sz="0" w:space="0" w:color="auto"/>
        <w:right w:val="none" w:sz="0" w:space="0" w:color="auto"/>
      </w:divBdr>
    </w:div>
    <w:div w:id="982857389">
      <w:bodyDiv w:val="1"/>
      <w:marLeft w:val="0"/>
      <w:marRight w:val="0"/>
      <w:marTop w:val="0"/>
      <w:marBottom w:val="0"/>
      <w:divBdr>
        <w:top w:val="none" w:sz="0" w:space="0" w:color="auto"/>
        <w:left w:val="none" w:sz="0" w:space="0" w:color="auto"/>
        <w:bottom w:val="none" w:sz="0" w:space="0" w:color="auto"/>
        <w:right w:val="none" w:sz="0" w:space="0" w:color="auto"/>
      </w:divBdr>
    </w:div>
    <w:div w:id="982929131">
      <w:bodyDiv w:val="1"/>
      <w:marLeft w:val="0"/>
      <w:marRight w:val="0"/>
      <w:marTop w:val="0"/>
      <w:marBottom w:val="0"/>
      <w:divBdr>
        <w:top w:val="none" w:sz="0" w:space="0" w:color="auto"/>
        <w:left w:val="none" w:sz="0" w:space="0" w:color="auto"/>
        <w:bottom w:val="none" w:sz="0" w:space="0" w:color="auto"/>
        <w:right w:val="none" w:sz="0" w:space="0" w:color="auto"/>
      </w:divBdr>
    </w:div>
    <w:div w:id="982930833">
      <w:bodyDiv w:val="1"/>
      <w:marLeft w:val="0"/>
      <w:marRight w:val="0"/>
      <w:marTop w:val="0"/>
      <w:marBottom w:val="0"/>
      <w:divBdr>
        <w:top w:val="none" w:sz="0" w:space="0" w:color="auto"/>
        <w:left w:val="none" w:sz="0" w:space="0" w:color="auto"/>
        <w:bottom w:val="none" w:sz="0" w:space="0" w:color="auto"/>
        <w:right w:val="none" w:sz="0" w:space="0" w:color="auto"/>
      </w:divBdr>
    </w:div>
    <w:div w:id="983004067">
      <w:bodyDiv w:val="1"/>
      <w:marLeft w:val="0"/>
      <w:marRight w:val="0"/>
      <w:marTop w:val="0"/>
      <w:marBottom w:val="0"/>
      <w:divBdr>
        <w:top w:val="none" w:sz="0" w:space="0" w:color="auto"/>
        <w:left w:val="none" w:sz="0" w:space="0" w:color="auto"/>
        <w:bottom w:val="none" w:sz="0" w:space="0" w:color="auto"/>
        <w:right w:val="none" w:sz="0" w:space="0" w:color="auto"/>
      </w:divBdr>
    </w:div>
    <w:div w:id="983126310">
      <w:bodyDiv w:val="1"/>
      <w:marLeft w:val="0"/>
      <w:marRight w:val="0"/>
      <w:marTop w:val="0"/>
      <w:marBottom w:val="0"/>
      <w:divBdr>
        <w:top w:val="none" w:sz="0" w:space="0" w:color="auto"/>
        <w:left w:val="none" w:sz="0" w:space="0" w:color="auto"/>
        <w:bottom w:val="none" w:sz="0" w:space="0" w:color="auto"/>
        <w:right w:val="none" w:sz="0" w:space="0" w:color="auto"/>
      </w:divBdr>
    </w:div>
    <w:div w:id="983195335">
      <w:bodyDiv w:val="1"/>
      <w:marLeft w:val="0"/>
      <w:marRight w:val="0"/>
      <w:marTop w:val="0"/>
      <w:marBottom w:val="0"/>
      <w:divBdr>
        <w:top w:val="none" w:sz="0" w:space="0" w:color="auto"/>
        <w:left w:val="none" w:sz="0" w:space="0" w:color="auto"/>
        <w:bottom w:val="none" w:sz="0" w:space="0" w:color="auto"/>
        <w:right w:val="none" w:sz="0" w:space="0" w:color="auto"/>
      </w:divBdr>
    </w:div>
    <w:div w:id="983197606">
      <w:bodyDiv w:val="1"/>
      <w:marLeft w:val="0"/>
      <w:marRight w:val="0"/>
      <w:marTop w:val="0"/>
      <w:marBottom w:val="0"/>
      <w:divBdr>
        <w:top w:val="none" w:sz="0" w:space="0" w:color="auto"/>
        <w:left w:val="none" w:sz="0" w:space="0" w:color="auto"/>
        <w:bottom w:val="none" w:sz="0" w:space="0" w:color="auto"/>
        <w:right w:val="none" w:sz="0" w:space="0" w:color="auto"/>
      </w:divBdr>
    </w:div>
    <w:div w:id="983237260">
      <w:bodyDiv w:val="1"/>
      <w:marLeft w:val="0"/>
      <w:marRight w:val="0"/>
      <w:marTop w:val="0"/>
      <w:marBottom w:val="0"/>
      <w:divBdr>
        <w:top w:val="none" w:sz="0" w:space="0" w:color="auto"/>
        <w:left w:val="none" w:sz="0" w:space="0" w:color="auto"/>
        <w:bottom w:val="none" w:sz="0" w:space="0" w:color="auto"/>
        <w:right w:val="none" w:sz="0" w:space="0" w:color="auto"/>
      </w:divBdr>
    </w:div>
    <w:div w:id="983241440">
      <w:bodyDiv w:val="1"/>
      <w:marLeft w:val="0"/>
      <w:marRight w:val="0"/>
      <w:marTop w:val="0"/>
      <w:marBottom w:val="0"/>
      <w:divBdr>
        <w:top w:val="none" w:sz="0" w:space="0" w:color="auto"/>
        <w:left w:val="none" w:sz="0" w:space="0" w:color="auto"/>
        <w:bottom w:val="none" w:sz="0" w:space="0" w:color="auto"/>
        <w:right w:val="none" w:sz="0" w:space="0" w:color="auto"/>
      </w:divBdr>
    </w:div>
    <w:div w:id="983316775">
      <w:bodyDiv w:val="1"/>
      <w:marLeft w:val="0"/>
      <w:marRight w:val="0"/>
      <w:marTop w:val="0"/>
      <w:marBottom w:val="0"/>
      <w:divBdr>
        <w:top w:val="none" w:sz="0" w:space="0" w:color="auto"/>
        <w:left w:val="none" w:sz="0" w:space="0" w:color="auto"/>
        <w:bottom w:val="none" w:sz="0" w:space="0" w:color="auto"/>
        <w:right w:val="none" w:sz="0" w:space="0" w:color="auto"/>
      </w:divBdr>
    </w:div>
    <w:div w:id="983465331">
      <w:bodyDiv w:val="1"/>
      <w:marLeft w:val="0"/>
      <w:marRight w:val="0"/>
      <w:marTop w:val="0"/>
      <w:marBottom w:val="0"/>
      <w:divBdr>
        <w:top w:val="none" w:sz="0" w:space="0" w:color="auto"/>
        <w:left w:val="none" w:sz="0" w:space="0" w:color="auto"/>
        <w:bottom w:val="none" w:sz="0" w:space="0" w:color="auto"/>
        <w:right w:val="none" w:sz="0" w:space="0" w:color="auto"/>
      </w:divBdr>
    </w:div>
    <w:div w:id="983506689">
      <w:bodyDiv w:val="1"/>
      <w:marLeft w:val="0"/>
      <w:marRight w:val="0"/>
      <w:marTop w:val="0"/>
      <w:marBottom w:val="0"/>
      <w:divBdr>
        <w:top w:val="none" w:sz="0" w:space="0" w:color="auto"/>
        <w:left w:val="none" w:sz="0" w:space="0" w:color="auto"/>
        <w:bottom w:val="none" w:sz="0" w:space="0" w:color="auto"/>
        <w:right w:val="none" w:sz="0" w:space="0" w:color="auto"/>
      </w:divBdr>
    </w:div>
    <w:div w:id="983507642">
      <w:bodyDiv w:val="1"/>
      <w:marLeft w:val="0"/>
      <w:marRight w:val="0"/>
      <w:marTop w:val="0"/>
      <w:marBottom w:val="0"/>
      <w:divBdr>
        <w:top w:val="none" w:sz="0" w:space="0" w:color="auto"/>
        <w:left w:val="none" w:sz="0" w:space="0" w:color="auto"/>
        <w:bottom w:val="none" w:sz="0" w:space="0" w:color="auto"/>
        <w:right w:val="none" w:sz="0" w:space="0" w:color="auto"/>
      </w:divBdr>
    </w:div>
    <w:div w:id="983582085">
      <w:bodyDiv w:val="1"/>
      <w:marLeft w:val="0"/>
      <w:marRight w:val="0"/>
      <w:marTop w:val="0"/>
      <w:marBottom w:val="0"/>
      <w:divBdr>
        <w:top w:val="none" w:sz="0" w:space="0" w:color="auto"/>
        <w:left w:val="none" w:sz="0" w:space="0" w:color="auto"/>
        <w:bottom w:val="none" w:sz="0" w:space="0" w:color="auto"/>
        <w:right w:val="none" w:sz="0" w:space="0" w:color="auto"/>
      </w:divBdr>
    </w:div>
    <w:div w:id="983585407">
      <w:bodyDiv w:val="1"/>
      <w:marLeft w:val="0"/>
      <w:marRight w:val="0"/>
      <w:marTop w:val="0"/>
      <w:marBottom w:val="0"/>
      <w:divBdr>
        <w:top w:val="none" w:sz="0" w:space="0" w:color="auto"/>
        <w:left w:val="none" w:sz="0" w:space="0" w:color="auto"/>
        <w:bottom w:val="none" w:sz="0" w:space="0" w:color="auto"/>
        <w:right w:val="none" w:sz="0" w:space="0" w:color="auto"/>
      </w:divBdr>
    </w:div>
    <w:div w:id="983585556">
      <w:bodyDiv w:val="1"/>
      <w:marLeft w:val="0"/>
      <w:marRight w:val="0"/>
      <w:marTop w:val="0"/>
      <w:marBottom w:val="0"/>
      <w:divBdr>
        <w:top w:val="none" w:sz="0" w:space="0" w:color="auto"/>
        <w:left w:val="none" w:sz="0" w:space="0" w:color="auto"/>
        <w:bottom w:val="none" w:sz="0" w:space="0" w:color="auto"/>
        <w:right w:val="none" w:sz="0" w:space="0" w:color="auto"/>
      </w:divBdr>
    </w:div>
    <w:div w:id="983660297">
      <w:bodyDiv w:val="1"/>
      <w:marLeft w:val="0"/>
      <w:marRight w:val="0"/>
      <w:marTop w:val="0"/>
      <w:marBottom w:val="0"/>
      <w:divBdr>
        <w:top w:val="none" w:sz="0" w:space="0" w:color="auto"/>
        <w:left w:val="none" w:sz="0" w:space="0" w:color="auto"/>
        <w:bottom w:val="none" w:sz="0" w:space="0" w:color="auto"/>
        <w:right w:val="none" w:sz="0" w:space="0" w:color="auto"/>
      </w:divBdr>
    </w:div>
    <w:div w:id="983781475">
      <w:bodyDiv w:val="1"/>
      <w:marLeft w:val="0"/>
      <w:marRight w:val="0"/>
      <w:marTop w:val="0"/>
      <w:marBottom w:val="0"/>
      <w:divBdr>
        <w:top w:val="none" w:sz="0" w:space="0" w:color="auto"/>
        <w:left w:val="none" w:sz="0" w:space="0" w:color="auto"/>
        <w:bottom w:val="none" w:sz="0" w:space="0" w:color="auto"/>
        <w:right w:val="none" w:sz="0" w:space="0" w:color="auto"/>
      </w:divBdr>
    </w:div>
    <w:div w:id="983781757">
      <w:bodyDiv w:val="1"/>
      <w:marLeft w:val="0"/>
      <w:marRight w:val="0"/>
      <w:marTop w:val="0"/>
      <w:marBottom w:val="0"/>
      <w:divBdr>
        <w:top w:val="none" w:sz="0" w:space="0" w:color="auto"/>
        <w:left w:val="none" w:sz="0" w:space="0" w:color="auto"/>
        <w:bottom w:val="none" w:sz="0" w:space="0" w:color="auto"/>
        <w:right w:val="none" w:sz="0" w:space="0" w:color="auto"/>
      </w:divBdr>
    </w:div>
    <w:div w:id="983856536">
      <w:bodyDiv w:val="1"/>
      <w:marLeft w:val="0"/>
      <w:marRight w:val="0"/>
      <w:marTop w:val="0"/>
      <w:marBottom w:val="0"/>
      <w:divBdr>
        <w:top w:val="none" w:sz="0" w:space="0" w:color="auto"/>
        <w:left w:val="none" w:sz="0" w:space="0" w:color="auto"/>
        <w:bottom w:val="none" w:sz="0" w:space="0" w:color="auto"/>
        <w:right w:val="none" w:sz="0" w:space="0" w:color="auto"/>
      </w:divBdr>
    </w:div>
    <w:div w:id="983894185">
      <w:bodyDiv w:val="1"/>
      <w:marLeft w:val="0"/>
      <w:marRight w:val="0"/>
      <w:marTop w:val="0"/>
      <w:marBottom w:val="0"/>
      <w:divBdr>
        <w:top w:val="none" w:sz="0" w:space="0" w:color="auto"/>
        <w:left w:val="none" w:sz="0" w:space="0" w:color="auto"/>
        <w:bottom w:val="none" w:sz="0" w:space="0" w:color="auto"/>
        <w:right w:val="none" w:sz="0" w:space="0" w:color="auto"/>
      </w:divBdr>
    </w:div>
    <w:div w:id="983896612">
      <w:bodyDiv w:val="1"/>
      <w:marLeft w:val="0"/>
      <w:marRight w:val="0"/>
      <w:marTop w:val="0"/>
      <w:marBottom w:val="0"/>
      <w:divBdr>
        <w:top w:val="none" w:sz="0" w:space="0" w:color="auto"/>
        <w:left w:val="none" w:sz="0" w:space="0" w:color="auto"/>
        <w:bottom w:val="none" w:sz="0" w:space="0" w:color="auto"/>
        <w:right w:val="none" w:sz="0" w:space="0" w:color="auto"/>
      </w:divBdr>
    </w:div>
    <w:div w:id="983973688">
      <w:bodyDiv w:val="1"/>
      <w:marLeft w:val="0"/>
      <w:marRight w:val="0"/>
      <w:marTop w:val="0"/>
      <w:marBottom w:val="0"/>
      <w:divBdr>
        <w:top w:val="none" w:sz="0" w:space="0" w:color="auto"/>
        <w:left w:val="none" w:sz="0" w:space="0" w:color="auto"/>
        <w:bottom w:val="none" w:sz="0" w:space="0" w:color="auto"/>
        <w:right w:val="none" w:sz="0" w:space="0" w:color="auto"/>
      </w:divBdr>
    </w:div>
    <w:div w:id="983974201">
      <w:bodyDiv w:val="1"/>
      <w:marLeft w:val="0"/>
      <w:marRight w:val="0"/>
      <w:marTop w:val="0"/>
      <w:marBottom w:val="0"/>
      <w:divBdr>
        <w:top w:val="none" w:sz="0" w:space="0" w:color="auto"/>
        <w:left w:val="none" w:sz="0" w:space="0" w:color="auto"/>
        <w:bottom w:val="none" w:sz="0" w:space="0" w:color="auto"/>
        <w:right w:val="none" w:sz="0" w:space="0" w:color="auto"/>
      </w:divBdr>
    </w:div>
    <w:div w:id="984092694">
      <w:bodyDiv w:val="1"/>
      <w:marLeft w:val="0"/>
      <w:marRight w:val="0"/>
      <w:marTop w:val="0"/>
      <w:marBottom w:val="0"/>
      <w:divBdr>
        <w:top w:val="none" w:sz="0" w:space="0" w:color="auto"/>
        <w:left w:val="none" w:sz="0" w:space="0" w:color="auto"/>
        <w:bottom w:val="none" w:sz="0" w:space="0" w:color="auto"/>
        <w:right w:val="none" w:sz="0" w:space="0" w:color="auto"/>
      </w:divBdr>
    </w:div>
    <w:div w:id="984117713">
      <w:bodyDiv w:val="1"/>
      <w:marLeft w:val="0"/>
      <w:marRight w:val="0"/>
      <w:marTop w:val="0"/>
      <w:marBottom w:val="0"/>
      <w:divBdr>
        <w:top w:val="none" w:sz="0" w:space="0" w:color="auto"/>
        <w:left w:val="none" w:sz="0" w:space="0" w:color="auto"/>
        <w:bottom w:val="none" w:sz="0" w:space="0" w:color="auto"/>
        <w:right w:val="none" w:sz="0" w:space="0" w:color="auto"/>
      </w:divBdr>
    </w:div>
    <w:div w:id="984164597">
      <w:bodyDiv w:val="1"/>
      <w:marLeft w:val="0"/>
      <w:marRight w:val="0"/>
      <w:marTop w:val="0"/>
      <w:marBottom w:val="0"/>
      <w:divBdr>
        <w:top w:val="none" w:sz="0" w:space="0" w:color="auto"/>
        <w:left w:val="none" w:sz="0" w:space="0" w:color="auto"/>
        <w:bottom w:val="none" w:sz="0" w:space="0" w:color="auto"/>
        <w:right w:val="none" w:sz="0" w:space="0" w:color="auto"/>
      </w:divBdr>
    </w:div>
    <w:div w:id="984316151">
      <w:bodyDiv w:val="1"/>
      <w:marLeft w:val="0"/>
      <w:marRight w:val="0"/>
      <w:marTop w:val="0"/>
      <w:marBottom w:val="0"/>
      <w:divBdr>
        <w:top w:val="none" w:sz="0" w:space="0" w:color="auto"/>
        <w:left w:val="none" w:sz="0" w:space="0" w:color="auto"/>
        <w:bottom w:val="none" w:sz="0" w:space="0" w:color="auto"/>
        <w:right w:val="none" w:sz="0" w:space="0" w:color="auto"/>
      </w:divBdr>
    </w:div>
    <w:div w:id="984625295">
      <w:bodyDiv w:val="1"/>
      <w:marLeft w:val="0"/>
      <w:marRight w:val="0"/>
      <w:marTop w:val="0"/>
      <w:marBottom w:val="0"/>
      <w:divBdr>
        <w:top w:val="none" w:sz="0" w:space="0" w:color="auto"/>
        <w:left w:val="none" w:sz="0" w:space="0" w:color="auto"/>
        <w:bottom w:val="none" w:sz="0" w:space="0" w:color="auto"/>
        <w:right w:val="none" w:sz="0" w:space="0" w:color="auto"/>
      </w:divBdr>
      <w:divsChild>
        <w:div w:id="44070168">
          <w:marLeft w:val="0"/>
          <w:marRight w:val="0"/>
          <w:marTop w:val="0"/>
          <w:marBottom w:val="0"/>
          <w:divBdr>
            <w:top w:val="none" w:sz="0" w:space="0" w:color="auto"/>
            <w:left w:val="none" w:sz="0" w:space="0" w:color="auto"/>
            <w:bottom w:val="none" w:sz="0" w:space="0" w:color="auto"/>
            <w:right w:val="none" w:sz="0" w:space="0" w:color="auto"/>
          </w:divBdr>
        </w:div>
        <w:div w:id="45182247">
          <w:marLeft w:val="0"/>
          <w:marRight w:val="0"/>
          <w:marTop w:val="0"/>
          <w:marBottom w:val="0"/>
          <w:divBdr>
            <w:top w:val="none" w:sz="0" w:space="0" w:color="auto"/>
            <w:left w:val="none" w:sz="0" w:space="0" w:color="auto"/>
            <w:bottom w:val="none" w:sz="0" w:space="0" w:color="auto"/>
            <w:right w:val="none" w:sz="0" w:space="0" w:color="auto"/>
          </w:divBdr>
        </w:div>
        <w:div w:id="58947192">
          <w:marLeft w:val="0"/>
          <w:marRight w:val="0"/>
          <w:marTop w:val="0"/>
          <w:marBottom w:val="0"/>
          <w:divBdr>
            <w:top w:val="none" w:sz="0" w:space="0" w:color="auto"/>
            <w:left w:val="none" w:sz="0" w:space="0" w:color="auto"/>
            <w:bottom w:val="none" w:sz="0" w:space="0" w:color="auto"/>
            <w:right w:val="none" w:sz="0" w:space="0" w:color="auto"/>
          </w:divBdr>
        </w:div>
        <w:div w:id="64181180">
          <w:marLeft w:val="0"/>
          <w:marRight w:val="0"/>
          <w:marTop w:val="0"/>
          <w:marBottom w:val="0"/>
          <w:divBdr>
            <w:top w:val="none" w:sz="0" w:space="0" w:color="auto"/>
            <w:left w:val="none" w:sz="0" w:space="0" w:color="auto"/>
            <w:bottom w:val="none" w:sz="0" w:space="0" w:color="auto"/>
            <w:right w:val="none" w:sz="0" w:space="0" w:color="auto"/>
          </w:divBdr>
        </w:div>
        <w:div w:id="65500547">
          <w:marLeft w:val="0"/>
          <w:marRight w:val="0"/>
          <w:marTop w:val="0"/>
          <w:marBottom w:val="0"/>
          <w:divBdr>
            <w:top w:val="none" w:sz="0" w:space="0" w:color="auto"/>
            <w:left w:val="none" w:sz="0" w:space="0" w:color="auto"/>
            <w:bottom w:val="none" w:sz="0" w:space="0" w:color="auto"/>
            <w:right w:val="none" w:sz="0" w:space="0" w:color="auto"/>
          </w:divBdr>
        </w:div>
        <w:div w:id="68231757">
          <w:marLeft w:val="0"/>
          <w:marRight w:val="0"/>
          <w:marTop w:val="0"/>
          <w:marBottom w:val="0"/>
          <w:divBdr>
            <w:top w:val="none" w:sz="0" w:space="0" w:color="auto"/>
            <w:left w:val="none" w:sz="0" w:space="0" w:color="auto"/>
            <w:bottom w:val="none" w:sz="0" w:space="0" w:color="auto"/>
            <w:right w:val="none" w:sz="0" w:space="0" w:color="auto"/>
          </w:divBdr>
        </w:div>
        <w:div w:id="76754672">
          <w:marLeft w:val="0"/>
          <w:marRight w:val="0"/>
          <w:marTop w:val="0"/>
          <w:marBottom w:val="0"/>
          <w:divBdr>
            <w:top w:val="none" w:sz="0" w:space="0" w:color="auto"/>
            <w:left w:val="none" w:sz="0" w:space="0" w:color="auto"/>
            <w:bottom w:val="none" w:sz="0" w:space="0" w:color="auto"/>
            <w:right w:val="none" w:sz="0" w:space="0" w:color="auto"/>
          </w:divBdr>
        </w:div>
        <w:div w:id="76756230">
          <w:marLeft w:val="0"/>
          <w:marRight w:val="0"/>
          <w:marTop w:val="0"/>
          <w:marBottom w:val="0"/>
          <w:divBdr>
            <w:top w:val="none" w:sz="0" w:space="0" w:color="auto"/>
            <w:left w:val="none" w:sz="0" w:space="0" w:color="auto"/>
            <w:bottom w:val="none" w:sz="0" w:space="0" w:color="auto"/>
            <w:right w:val="none" w:sz="0" w:space="0" w:color="auto"/>
          </w:divBdr>
        </w:div>
        <w:div w:id="84346757">
          <w:marLeft w:val="0"/>
          <w:marRight w:val="0"/>
          <w:marTop w:val="0"/>
          <w:marBottom w:val="0"/>
          <w:divBdr>
            <w:top w:val="none" w:sz="0" w:space="0" w:color="auto"/>
            <w:left w:val="none" w:sz="0" w:space="0" w:color="auto"/>
            <w:bottom w:val="none" w:sz="0" w:space="0" w:color="auto"/>
            <w:right w:val="none" w:sz="0" w:space="0" w:color="auto"/>
          </w:divBdr>
        </w:div>
        <w:div w:id="86050193">
          <w:marLeft w:val="0"/>
          <w:marRight w:val="0"/>
          <w:marTop w:val="0"/>
          <w:marBottom w:val="0"/>
          <w:divBdr>
            <w:top w:val="none" w:sz="0" w:space="0" w:color="auto"/>
            <w:left w:val="none" w:sz="0" w:space="0" w:color="auto"/>
            <w:bottom w:val="none" w:sz="0" w:space="0" w:color="auto"/>
            <w:right w:val="none" w:sz="0" w:space="0" w:color="auto"/>
          </w:divBdr>
        </w:div>
        <w:div w:id="105779556">
          <w:marLeft w:val="0"/>
          <w:marRight w:val="0"/>
          <w:marTop w:val="0"/>
          <w:marBottom w:val="0"/>
          <w:divBdr>
            <w:top w:val="none" w:sz="0" w:space="0" w:color="auto"/>
            <w:left w:val="none" w:sz="0" w:space="0" w:color="auto"/>
            <w:bottom w:val="none" w:sz="0" w:space="0" w:color="auto"/>
            <w:right w:val="none" w:sz="0" w:space="0" w:color="auto"/>
          </w:divBdr>
        </w:div>
        <w:div w:id="124934585">
          <w:marLeft w:val="0"/>
          <w:marRight w:val="0"/>
          <w:marTop w:val="0"/>
          <w:marBottom w:val="0"/>
          <w:divBdr>
            <w:top w:val="none" w:sz="0" w:space="0" w:color="auto"/>
            <w:left w:val="none" w:sz="0" w:space="0" w:color="auto"/>
            <w:bottom w:val="none" w:sz="0" w:space="0" w:color="auto"/>
            <w:right w:val="none" w:sz="0" w:space="0" w:color="auto"/>
          </w:divBdr>
        </w:div>
        <w:div w:id="138349322">
          <w:marLeft w:val="0"/>
          <w:marRight w:val="0"/>
          <w:marTop w:val="0"/>
          <w:marBottom w:val="0"/>
          <w:divBdr>
            <w:top w:val="none" w:sz="0" w:space="0" w:color="auto"/>
            <w:left w:val="none" w:sz="0" w:space="0" w:color="auto"/>
            <w:bottom w:val="none" w:sz="0" w:space="0" w:color="auto"/>
            <w:right w:val="none" w:sz="0" w:space="0" w:color="auto"/>
          </w:divBdr>
        </w:div>
        <w:div w:id="142047589">
          <w:marLeft w:val="0"/>
          <w:marRight w:val="0"/>
          <w:marTop w:val="0"/>
          <w:marBottom w:val="0"/>
          <w:divBdr>
            <w:top w:val="none" w:sz="0" w:space="0" w:color="auto"/>
            <w:left w:val="none" w:sz="0" w:space="0" w:color="auto"/>
            <w:bottom w:val="none" w:sz="0" w:space="0" w:color="auto"/>
            <w:right w:val="none" w:sz="0" w:space="0" w:color="auto"/>
          </w:divBdr>
        </w:div>
        <w:div w:id="143937320">
          <w:marLeft w:val="0"/>
          <w:marRight w:val="0"/>
          <w:marTop w:val="0"/>
          <w:marBottom w:val="0"/>
          <w:divBdr>
            <w:top w:val="none" w:sz="0" w:space="0" w:color="auto"/>
            <w:left w:val="none" w:sz="0" w:space="0" w:color="auto"/>
            <w:bottom w:val="none" w:sz="0" w:space="0" w:color="auto"/>
            <w:right w:val="none" w:sz="0" w:space="0" w:color="auto"/>
          </w:divBdr>
        </w:div>
        <w:div w:id="144591488">
          <w:marLeft w:val="0"/>
          <w:marRight w:val="0"/>
          <w:marTop w:val="0"/>
          <w:marBottom w:val="0"/>
          <w:divBdr>
            <w:top w:val="none" w:sz="0" w:space="0" w:color="auto"/>
            <w:left w:val="none" w:sz="0" w:space="0" w:color="auto"/>
            <w:bottom w:val="none" w:sz="0" w:space="0" w:color="auto"/>
            <w:right w:val="none" w:sz="0" w:space="0" w:color="auto"/>
          </w:divBdr>
        </w:div>
        <w:div w:id="155461552">
          <w:marLeft w:val="0"/>
          <w:marRight w:val="0"/>
          <w:marTop w:val="0"/>
          <w:marBottom w:val="0"/>
          <w:divBdr>
            <w:top w:val="none" w:sz="0" w:space="0" w:color="auto"/>
            <w:left w:val="none" w:sz="0" w:space="0" w:color="auto"/>
            <w:bottom w:val="none" w:sz="0" w:space="0" w:color="auto"/>
            <w:right w:val="none" w:sz="0" w:space="0" w:color="auto"/>
          </w:divBdr>
        </w:div>
        <w:div w:id="157507091">
          <w:marLeft w:val="0"/>
          <w:marRight w:val="0"/>
          <w:marTop w:val="0"/>
          <w:marBottom w:val="0"/>
          <w:divBdr>
            <w:top w:val="none" w:sz="0" w:space="0" w:color="auto"/>
            <w:left w:val="none" w:sz="0" w:space="0" w:color="auto"/>
            <w:bottom w:val="none" w:sz="0" w:space="0" w:color="auto"/>
            <w:right w:val="none" w:sz="0" w:space="0" w:color="auto"/>
          </w:divBdr>
        </w:div>
        <w:div w:id="161431079">
          <w:marLeft w:val="0"/>
          <w:marRight w:val="0"/>
          <w:marTop w:val="0"/>
          <w:marBottom w:val="0"/>
          <w:divBdr>
            <w:top w:val="none" w:sz="0" w:space="0" w:color="auto"/>
            <w:left w:val="none" w:sz="0" w:space="0" w:color="auto"/>
            <w:bottom w:val="none" w:sz="0" w:space="0" w:color="auto"/>
            <w:right w:val="none" w:sz="0" w:space="0" w:color="auto"/>
          </w:divBdr>
        </w:div>
        <w:div w:id="179046191">
          <w:marLeft w:val="0"/>
          <w:marRight w:val="0"/>
          <w:marTop w:val="0"/>
          <w:marBottom w:val="0"/>
          <w:divBdr>
            <w:top w:val="none" w:sz="0" w:space="0" w:color="auto"/>
            <w:left w:val="none" w:sz="0" w:space="0" w:color="auto"/>
            <w:bottom w:val="none" w:sz="0" w:space="0" w:color="auto"/>
            <w:right w:val="none" w:sz="0" w:space="0" w:color="auto"/>
          </w:divBdr>
        </w:div>
        <w:div w:id="180362981">
          <w:marLeft w:val="0"/>
          <w:marRight w:val="0"/>
          <w:marTop w:val="0"/>
          <w:marBottom w:val="0"/>
          <w:divBdr>
            <w:top w:val="none" w:sz="0" w:space="0" w:color="auto"/>
            <w:left w:val="none" w:sz="0" w:space="0" w:color="auto"/>
            <w:bottom w:val="none" w:sz="0" w:space="0" w:color="auto"/>
            <w:right w:val="none" w:sz="0" w:space="0" w:color="auto"/>
          </w:divBdr>
        </w:div>
        <w:div w:id="183447484">
          <w:marLeft w:val="0"/>
          <w:marRight w:val="0"/>
          <w:marTop w:val="0"/>
          <w:marBottom w:val="0"/>
          <w:divBdr>
            <w:top w:val="none" w:sz="0" w:space="0" w:color="auto"/>
            <w:left w:val="none" w:sz="0" w:space="0" w:color="auto"/>
            <w:bottom w:val="none" w:sz="0" w:space="0" w:color="auto"/>
            <w:right w:val="none" w:sz="0" w:space="0" w:color="auto"/>
          </w:divBdr>
        </w:div>
        <w:div w:id="208223039">
          <w:marLeft w:val="0"/>
          <w:marRight w:val="0"/>
          <w:marTop w:val="0"/>
          <w:marBottom w:val="0"/>
          <w:divBdr>
            <w:top w:val="none" w:sz="0" w:space="0" w:color="auto"/>
            <w:left w:val="none" w:sz="0" w:space="0" w:color="auto"/>
            <w:bottom w:val="none" w:sz="0" w:space="0" w:color="auto"/>
            <w:right w:val="none" w:sz="0" w:space="0" w:color="auto"/>
          </w:divBdr>
        </w:div>
        <w:div w:id="213742000">
          <w:marLeft w:val="0"/>
          <w:marRight w:val="0"/>
          <w:marTop w:val="0"/>
          <w:marBottom w:val="0"/>
          <w:divBdr>
            <w:top w:val="none" w:sz="0" w:space="0" w:color="auto"/>
            <w:left w:val="none" w:sz="0" w:space="0" w:color="auto"/>
            <w:bottom w:val="none" w:sz="0" w:space="0" w:color="auto"/>
            <w:right w:val="none" w:sz="0" w:space="0" w:color="auto"/>
          </w:divBdr>
        </w:div>
        <w:div w:id="224336380">
          <w:marLeft w:val="0"/>
          <w:marRight w:val="0"/>
          <w:marTop w:val="0"/>
          <w:marBottom w:val="0"/>
          <w:divBdr>
            <w:top w:val="none" w:sz="0" w:space="0" w:color="auto"/>
            <w:left w:val="none" w:sz="0" w:space="0" w:color="auto"/>
            <w:bottom w:val="none" w:sz="0" w:space="0" w:color="auto"/>
            <w:right w:val="none" w:sz="0" w:space="0" w:color="auto"/>
          </w:divBdr>
        </w:div>
        <w:div w:id="248737706">
          <w:marLeft w:val="0"/>
          <w:marRight w:val="0"/>
          <w:marTop w:val="0"/>
          <w:marBottom w:val="0"/>
          <w:divBdr>
            <w:top w:val="none" w:sz="0" w:space="0" w:color="auto"/>
            <w:left w:val="none" w:sz="0" w:space="0" w:color="auto"/>
            <w:bottom w:val="none" w:sz="0" w:space="0" w:color="auto"/>
            <w:right w:val="none" w:sz="0" w:space="0" w:color="auto"/>
          </w:divBdr>
        </w:div>
        <w:div w:id="264535805">
          <w:marLeft w:val="0"/>
          <w:marRight w:val="0"/>
          <w:marTop w:val="0"/>
          <w:marBottom w:val="0"/>
          <w:divBdr>
            <w:top w:val="none" w:sz="0" w:space="0" w:color="auto"/>
            <w:left w:val="none" w:sz="0" w:space="0" w:color="auto"/>
            <w:bottom w:val="none" w:sz="0" w:space="0" w:color="auto"/>
            <w:right w:val="none" w:sz="0" w:space="0" w:color="auto"/>
          </w:divBdr>
        </w:div>
        <w:div w:id="281346334">
          <w:marLeft w:val="0"/>
          <w:marRight w:val="0"/>
          <w:marTop w:val="0"/>
          <w:marBottom w:val="0"/>
          <w:divBdr>
            <w:top w:val="none" w:sz="0" w:space="0" w:color="auto"/>
            <w:left w:val="none" w:sz="0" w:space="0" w:color="auto"/>
            <w:bottom w:val="none" w:sz="0" w:space="0" w:color="auto"/>
            <w:right w:val="none" w:sz="0" w:space="0" w:color="auto"/>
          </w:divBdr>
        </w:div>
        <w:div w:id="282811226">
          <w:marLeft w:val="0"/>
          <w:marRight w:val="0"/>
          <w:marTop w:val="0"/>
          <w:marBottom w:val="0"/>
          <w:divBdr>
            <w:top w:val="none" w:sz="0" w:space="0" w:color="auto"/>
            <w:left w:val="none" w:sz="0" w:space="0" w:color="auto"/>
            <w:bottom w:val="none" w:sz="0" w:space="0" w:color="auto"/>
            <w:right w:val="none" w:sz="0" w:space="0" w:color="auto"/>
          </w:divBdr>
        </w:div>
        <w:div w:id="290795030">
          <w:marLeft w:val="0"/>
          <w:marRight w:val="0"/>
          <w:marTop w:val="0"/>
          <w:marBottom w:val="0"/>
          <w:divBdr>
            <w:top w:val="none" w:sz="0" w:space="0" w:color="auto"/>
            <w:left w:val="none" w:sz="0" w:space="0" w:color="auto"/>
            <w:bottom w:val="none" w:sz="0" w:space="0" w:color="auto"/>
            <w:right w:val="none" w:sz="0" w:space="0" w:color="auto"/>
          </w:divBdr>
        </w:div>
        <w:div w:id="301204514">
          <w:marLeft w:val="0"/>
          <w:marRight w:val="0"/>
          <w:marTop w:val="0"/>
          <w:marBottom w:val="0"/>
          <w:divBdr>
            <w:top w:val="none" w:sz="0" w:space="0" w:color="auto"/>
            <w:left w:val="none" w:sz="0" w:space="0" w:color="auto"/>
            <w:bottom w:val="none" w:sz="0" w:space="0" w:color="auto"/>
            <w:right w:val="none" w:sz="0" w:space="0" w:color="auto"/>
          </w:divBdr>
        </w:div>
        <w:div w:id="306471366">
          <w:marLeft w:val="0"/>
          <w:marRight w:val="0"/>
          <w:marTop w:val="0"/>
          <w:marBottom w:val="0"/>
          <w:divBdr>
            <w:top w:val="none" w:sz="0" w:space="0" w:color="auto"/>
            <w:left w:val="none" w:sz="0" w:space="0" w:color="auto"/>
            <w:bottom w:val="none" w:sz="0" w:space="0" w:color="auto"/>
            <w:right w:val="none" w:sz="0" w:space="0" w:color="auto"/>
          </w:divBdr>
        </w:div>
        <w:div w:id="306862054">
          <w:marLeft w:val="0"/>
          <w:marRight w:val="0"/>
          <w:marTop w:val="0"/>
          <w:marBottom w:val="0"/>
          <w:divBdr>
            <w:top w:val="none" w:sz="0" w:space="0" w:color="auto"/>
            <w:left w:val="none" w:sz="0" w:space="0" w:color="auto"/>
            <w:bottom w:val="none" w:sz="0" w:space="0" w:color="auto"/>
            <w:right w:val="none" w:sz="0" w:space="0" w:color="auto"/>
          </w:divBdr>
        </w:div>
        <w:div w:id="307130640">
          <w:marLeft w:val="0"/>
          <w:marRight w:val="0"/>
          <w:marTop w:val="0"/>
          <w:marBottom w:val="0"/>
          <w:divBdr>
            <w:top w:val="none" w:sz="0" w:space="0" w:color="auto"/>
            <w:left w:val="none" w:sz="0" w:space="0" w:color="auto"/>
            <w:bottom w:val="none" w:sz="0" w:space="0" w:color="auto"/>
            <w:right w:val="none" w:sz="0" w:space="0" w:color="auto"/>
          </w:divBdr>
        </w:div>
        <w:div w:id="322248351">
          <w:marLeft w:val="0"/>
          <w:marRight w:val="0"/>
          <w:marTop w:val="0"/>
          <w:marBottom w:val="0"/>
          <w:divBdr>
            <w:top w:val="none" w:sz="0" w:space="0" w:color="auto"/>
            <w:left w:val="none" w:sz="0" w:space="0" w:color="auto"/>
            <w:bottom w:val="none" w:sz="0" w:space="0" w:color="auto"/>
            <w:right w:val="none" w:sz="0" w:space="0" w:color="auto"/>
          </w:divBdr>
        </w:div>
        <w:div w:id="332150364">
          <w:marLeft w:val="0"/>
          <w:marRight w:val="0"/>
          <w:marTop w:val="0"/>
          <w:marBottom w:val="0"/>
          <w:divBdr>
            <w:top w:val="none" w:sz="0" w:space="0" w:color="auto"/>
            <w:left w:val="none" w:sz="0" w:space="0" w:color="auto"/>
            <w:bottom w:val="none" w:sz="0" w:space="0" w:color="auto"/>
            <w:right w:val="none" w:sz="0" w:space="0" w:color="auto"/>
          </w:divBdr>
        </w:div>
        <w:div w:id="336543575">
          <w:marLeft w:val="0"/>
          <w:marRight w:val="0"/>
          <w:marTop w:val="0"/>
          <w:marBottom w:val="0"/>
          <w:divBdr>
            <w:top w:val="none" w:sz="0" w:space="0" w:color="auto"/>
            <w:left w:val="none" w:sz="0" w:space="0" w:color="auto"/>
            <w:bottom w:val="none" w:sz="0" w:space="0" w:color="auto"/>
            <w:right w:val="none" w:sz="0" w:space="0" w:color="auto"/>
          </w:divBdr>
        </w:div>
        <w:div w:id="338629043">
          <w:marLeft w:val="0"/>
          <w:marRight w:val="0"/>
          <w:marTop w:val="0"/>
          <w:marBottom w:val="0"/>
          <w:divBdr>
            <w:top w:val="none" w:sz="0" w:space="0" w:color="auto"/>
            <w:left w:val="none" w:sz="0" w:space="0" w:color="auto"/>
            <w:bottom w:val="none" w:sz="0" w:space="0" w:color="auto"/>
            <w:right w:val="none" w:sz="0" w:space="0" w:color="auto"/>
          </w:divBdr>
        </w:div>
        <w:div w:id="377357336">
          <w:marLeft w:val="0"/>
          <w:marRight w:val="0"/>
          <w:marTop w:val="0"/>
          <w:marBottom w:val="0"/>
          <w:divBdr>
            <w:top w:val="none" w:sz="0" w:space="0" w:color="auto"/>
            <w:left w:val="none" w:sz="0" w:space="0" w:color="auto"/>
            <w:bottom w:val="none" w:sz="0" w:space="0" w:color="auto"/>
            <w:right w:val="none" w:sz="0" w:space="0" w:color="auto"/>
          </w:divBdr>
        </w:div>
        <w:div w:id="381448317">
          <w:marLeft w:val="0"/>
          <w:marRight w:val="0"/>
          <w:marTop w:val="0"/>
          <w:marBottom w:val="0"/>
          <w:divBdr>
            <w:top w:val="none" w:sz="0" w:space="0" w:color="auto"/>
            <w:left w:val="none" w:sz="0" w:space="0" w:color="auto"/>
            <w:bottom w:val="none" w:sz="0" w:space="0" w:color="auto"/>
            <w:right w:val="none" w:sz="0" w:space="0" w:color="auto"/>
          </w:divBdr>
        </w:div>
        <w:div w:id="384333293">
          <w:marLeft w:val="0"/>
          <w:marRight w:val="0"/>
          <w:marTop w:val="0"/>
          <w:marBottom w:val="0"/>
          <w:divBdr>
            <w:top w:val="none" w:sz="0" w:space="0" w:color="auto"/>
            <w:left w:val="none" w:sz="0" w:space="0" w:color="auto"/>
            <w:bottom w:val="none" w:sz="0" w:space="0" w:color="auto"/>
            <w:right w:val="none" w:sz="0" w:space="0" w:color="auto"/>
          </w:divBdr>
        </w:div>
        <w:div w:id="387653387">
          <w:marLeft w:val="0"/>
          <w:marRight w:val="0"/>
          <w:marTop w:val="0"/>
          <w:marBottom w:val="0"/>
          <w:divBdr>
            <w:top w:val="none" w:sz="0" w:space="0" w:color="auto"/>
            <w:left w:val="none" w:sz="0" w:space="0" w:color="auto"/>
            <w:bottom w:val="none" w:sz="0" w:space="0" w:color="auto"/>
            <w:right w:val="none" w:sz="0" w:space="0" w:color="auto"/>
          </w:divBdr>
        </w:div>
        <w:div w:id="416445043">
          <w:marLeft w:val="0"/>
          <w:marRight w:val="0"/>
          <w:marTop w:val="0"/>
          <w:marBottom w:val="0"/>
          <w:divBdr>
            <w:top w:val="none" w:sz="0" w:space="0" w:color="auto"/>
            <w:left w:val="none" w:sz="0" w:space="0" w:color="auto"/>
            <w:bottom w:val="none" w:sz="0" w:space="0" w:color="auto"/>
            <w:right w:val="none" w:sz="0" w:space="0" w:color="auto"/>
          </w:divBdr>
        </w:div>
        <w:div w:id="442304154">
          <w:marLeft w:val="0"/>
          <w:marRight w:val="0"/>
          <w:marTop w:val="0"/>
          <w:marBottom w:val="0"/>
          <w:divBdr>
            <w:top w:val="none" w:sz="0" w:space="0" w:color="auto"/>
            <w:left w:val="none" w:sz="0" w:space="0" w:color="auto"/>
            <w:bottom w:val="none" w:sz="0" w:space="0" w:color="auto"/>
            <w:right w:val="none" w:sz="0" w:space="0" w:color="auto"/>
          </w:divBdr>
        </w:div>
        <w:div w:id="442383082">
          <w:marLeft w:val="0"/>
          <w:marRight w:val="0"/>
          <w:marTop w:val="0"/>
          <w:marBottom w:val="0"/>
          <w:divBdr>
            <w:top w:val="none" w:sz="0" w:space="0" w:color="auto"/>
            <w:left w:val="none" w:sz="0" w:space="0" w:color="auto"/>
            <w:bottom w:val="none" w:sz="0" w:space="0" w:color="auto"/>
            <w:right w:val="none" w:sz="0" w:space="0" w:color="auto"/>
          </w:divBdr>
        </w:div>
        <w:div w:id="475070511">
          <w:marLeft w:val="0"/>
          <w:marRight w:val="0"/>
          <w:marTop w:val="0"/>
          <w:marBottom w:val="0"/>
          <w:divBdr>
            <w:top w:val="none" w:sz="0" w:space="0" w:color="auto"/>
            <w:left w:val="none" w:sz="0" w:space="0" w:color="auto"/>
            <w:bottom w:val="none" w:sz="0" w:space="0" w:color="auto"/>
            <w:right w:val="none" w:sz="0" w:space="0" w:color="auto"/>
          </w:divBdr>
        </w:div>
        <w:div w:id="500313903">
          <w:marLeft w:val="0"/>
          <w:marRight w:val="0"/>
          <w:marTop w:val="0"/>
          <w:marBottom w:val="0"/>
          <w:divBdr>
            <w:top w:val="none" w:sz="0" w:space="0" w:color="auto"/>
            <w:left w:val="none" w:sz="0" w:space="0" w:color="auto"/>
            <w:bottom w:val="none" w:sz="0" w:space="0" w:color="auto"/>
            <w:right w:val="none" w:sz="0" w:space="0" w:color="auto"/>
          </w:divBdr>
        </w:div>
        <w:div w:id="501966246">
          <w:marLeft w:val="0"/>
          <w:marRight w:val="0"/>
          <w:marTop w:val="0"/>
          <w:marBottom w:val="0"/>
          <w:divBdr>
            <w:top w:val="none" w:sz="0" w:space="0" w:color="auto"/>
            <w:left w:val="none" w:sz="0" w:space="0" w:color="auto"/>
            <w:bottom w:val="none" w:sz="0" w:space="0" w:color="auto"/>
            <w:right w:val="none" w:sz="0" w:space="0" w:color="auto"/>
          </w:divBdr>
        </w:div>
        <w:div w:id="520627301">
          <w:marLeft w:val="0"/>
          <w:marRight w:val="0"/>
          <w:marTop w:val="0"/>
          <w:marBottom w:val="0"/>
          <w:divBdr>
            <w:top w:val="none" w:sz="0" w:space="0" w:color="auto"/>
            <w:left w:val="none" w:sz="0" w:space="0" w:color="auto"/>
            <w:bottom w:val="none" w:sz="0" w:space="0" w:color="auto"/>
            <w:right w:val="none" w:sz="0" w:space="0" w:color="auto"/>
          </w:divBdr>
        </w:div>
        <w:div w:id="524174342">
          <w:marLeft w:val="0"/>
          <w:marRight w:val="0"/>
          <w:marTop w:val="0"/>
          <w:marBottom w:val="0"/>
          <w:divBdr>
            <w:top w:val="none" w:sz="0" w:space="0" w:color="auto"/>
            <w:left w:val="none" w:sz="0" w:space="0" w:color="auto"/>
            <w:bottom w:val="none" w:sz="0" w:space="0" w:color="auto"/>
            <w:right w:val="none" w:sz="0" w:space="0" w:color="auto"/>
          </w:divBdr>
        </w:div>
        <w:div w:id="528760295">
          <w:marLeft w:val="0"/>
          <w:marRight w:val="0"/>
          <w:marTop w:val="0"/>
          <w:marBottom w:val="0"/>
          <w:divBdr>
            <w:top w:val="none" w:sz="0" w:space="0" w:color="auto"/>
            <w:left w:val="none" w:sz="0" w:space="0" w:color="auto"/>
            <w:bottom w:val="none" w:sz="0" w:space="0" w:color="auto"/>
            <w:right w:val="none" w:sz="0" w:space="0" w:color="auto"/>
          </w:divBdr>
        </w:div>
        <w:div w:id="545262727">
          <w:marLeft w:val="0"/>
          <w:marRight w:val="0"/>
          <w:marTop w:val="0"/>
          <w:marBottom w:val="0"/>
          <w:divBdr>
            <w:top w:val="none" w:sz="0" w:space="0" w:color="auto"/>
            <w:left w:val="none" w:sz="0" w:space="0" w:color="auto"/>
            <w:bottom w:val="none" w:sz="0" w:space="0" w:color="auto"/>
            <w:right w:val="none" w:sz="0" w:space="0" w:color="auto"/>
          </w:divBdr>
        </w:div>
        <w:div w:id="562182722">
          <w:marLeft w:val="0"/>
          <w:marRight w:val="0"/>
          <w:marTop w:val="0"/>
          <w:marBottom w:val="0"/>
          <w:divBdr>
            <w:top w:val="none" w:sz="0" w:space="0" w:color="auto"/>
            <w:left w:val="none" w:sz="0" w:space="0" w:color="auto"/>
            <w:bottom w:val="none" w:sz="0" w:space="0" w:color="auto"/>
            <w:right w:val="none" w:sz="0" w:space="0" w:color="auto"/>
          </w:divBdr>
        </w:div>
        <w:div w:id="584648125">
          <w:marLeft w:val="0"/>
          <w:marRight w:val="0"/>
          <w:marTop w:val="0"/>
          <w:marBottom w:val="0"/>
          <w:divBdr>
            <w:top w:val="none" w:sz="0" w:space="0" w:color="auto"/>
            <w:left w:val="none" w:sz="0" w:space="0" w:color="auto"/>
            <w:bottom w:val="none" w:sz="0" w:space="0" w:color="auto"/>
            <w:right w:val="none" w:sz="0" w:space="0" w:color="auto"/>
          </w:divBdr>
        </w:div>
        <w:div w:id="585462674">
          <w:marLeft w:val="0"/>
          <w:marRight w:val="0"/>
          <w:marTop w:val="0"/>
          <w:marBottom w:val="0"/>
          <w:divBdr>
            <w:top w:val="none" w:sz="0" w:space="0" w:color="auto"/>
            <w:left w:val="none" w:sz="0" w:space="0" w:color="auto"/>
            <w:bottom w:val="none" w:sz="0" w:space="0" w:color="auto"/>
            <w:right w:val="none" w:sz="0" w:space="0" w:color="auto"/>
          </w:divBdr>
        </w:div>
        <w:div w:id="601568164">
          <w:marLeft w:val="0"/>
          <w:marRight w:val="0"/>
          <w:marTop w:val="0"/>
          <w:marBottom w:val="0"/>
          <w:divBdr>
            <w:top w:val="none" w:sz="0" w:space="0" w:color="auto"/>
            <w:left w:val="none" w:sz="0" w:space="0" w:color="auto"/>
            <w:bottom w:val="none" w:sz="0" w:space="0" w:color="auto"/>
            <w:right w:val="none" w:sz="0" w:space="0" w:color="auto"/>
          </w:divBdr>
        </w:div>
        <w:div w:id="639455043">
          <w:marLeft w:val="0"/>
          <w:marRight w:val="0"/>
          <w:marTop w:val="0"/>
          <w:marBottom w:val="0"/>
          <w:divBdr>
            <w:top w:val="none" w:sz="0" w:space="0" w:color="auto"/>
            <w:left w:val="none" w:sz="0" w:space="0" w:color="auto"/>
            <w:bottom w:val="none" w:sz="0" w:space="0" w:color="auto"/>
            <w:right w:val="none" w:sz="0" w:space="0" w:color="auto"/>
          </w:divBdr>
        </w:div>
        <w:div w:id="653098438">
          <w:marLeft w:val="0"/>
          <w:marRight w:val="0"/>
          <w:marTop w:val="0"/>
          <w:marBottom w:val="0"/>
          <w:divBdr>
            <w:top w:val="none" w:sz="0" w:space="0" w:color="auto"/>
            <w:left w:val="none" w:sz="0" w:space="0" w:color="auto"/>
            <w:bottom w:val="none" w:sz="0" w:space="0" w:color="auto"/>
            <w:right w:val="none" w:sz="0" w:space="0" w:color="auto"/>
          </w:divBdr>
        </w:div>
        <w:div w:id="662659818">
          <w:marLeft w:val="0"/>
          <w:marRight w:val="0"/>
          <w:marTop w:val="0"/>
          <w:marBottom w:val="0"/>
          <w:divBdr>
            <w:top w:val="none" w:sz="0" w:space="0" w:color="auto"/>
            <w:left w:val="none" w:sz="0" w:space="0" w:color="auto"/>
            <w:bottom w:val="none" w:sz="0" w:space="0" w:color="auto"/>
            <w:right w:val="none" w:sz="0" w:space="0" w:color="auto"/>
          </w:divBdr>
        </w:div>
        <w:div w:id="665208102">
          <w:marLeft w:val="0"/>
          <w:marRight w:val="0"/>
          <w:marTop w:val="0"/>
          <w:marBottom w:val="0"/>
          <w:divBdr>
            <w:top w:val="none" w:sz="0" w:space="0" w:color="auto"/>
            <w:left w:val="none" w:sz="0" w:space="0" w:color="auto"/>
            <w:bottom w:val="none" w:sz="0" w:space="0" w:color="auto"/>
            <w:right w:val="none" w:sz="0" w:space="0" w:color="auto"/>
          </w:divBdr>
        </w:div>
        <w:div w:id="666204776">
          <w:marLeft w:val="0"/>
          <w:marRight w:val="0"/>
          <w:marTop w:val="0"/>
          <w:marBottom w:val="0"/>
          <w:divBdr>
            <w:top w:val="none" w:sz="0" w:space="0" w:color="auto"/>
            <w:left w:val="none" w:sz="0" w:space="0" w:color="auto"/>
            <w:bottom w:val="none" w:sz="0" w:space="0" w:color="auto"/>
            <w:right w:val="none" w:sz="0" w:space="0" w:color="auto"/>
          </w:divBdr>
        </w:div>
        <w:div w:id="672882949">
          <w:marLeft w:val="0"/>
          <w:marRight w:val="0"/>
          <w:marTop w:val="0"/>
          <w:marBottom w:val="0"/>
          <w:divBdr>
            <w:top w:val="none" w:sz="0" w:space="0" w:color="auto"/>
            <w:left w:val="none" w:sz="0" w:space="0" w:color="auto"/>
            <w:bottom w:val="none" w:sz="0" w:space="0" w:color="auto"/>
            <w:right w:val="none" w:sz="0" w:space="0" w:color="auto"/>
          </w:divBdr>
        </w:div>
        <w:div w:id="674529215">
          <w:marLeft w:val="0"/>
          <w:marRight w:val="0"/>
          <w:marTop w:val="0"/>
          <w:marBottom w:val="0"/>
          <w:divBdr>
            <w:top w:val="none" w:sz="0" w:space="0" w:color="auto"/>
            <w:left w:val="none" w:sz="0" w:space="0" w:color="auto"/>
            <w:bottom w:val="none" w:sz="0" w:space="0" w:color="auto"/>
            <w:right w:val="none" w:sz="0" w:space="0" w:color="auto"/>
          </w:divBdr>
        </w:div>
        <w:div w:id="682127900">
          <w:marLeft w:val="0"/>
          <w:marRight w:val="0"/>
          <w:marTop w:val="0"/>
          <w:marBottom w:val="0"/>
          <w:divBdr>
            <w:top w:val="none" w:sz="0" w:space="0" w:color="auto"/>
            <w:left w:val="none" w:sz="0" w:space="0" w:color="auto"/>
            <w:bottom w:val="none" w:sz="0" w:space="0" w:color="auto"/>
            <w:right w:val="none" w:sz="0" w:space="0" w:color="auto"/>
          </w:divBdr>
        </w:div>
        <w:div w:id="702364738">
          <w:marLeft w:val="0"/>
          <w:marRight w:val="0"/>
          <w:marTop w:val="0"/>
          <w:marBottom w:val="0"/>
          <w:divBdr>
            <w:top w:val="none" w:sz="0" w:space="0" w:color="auto"/>
            <w:left w:val="none" w:sz="0" w:space="0" w:color="auto"/>
            <w:bottom w:val="none" w:sz="0" w:space="0" w:color="auto"/>
            <w:right w:val="none" w:sz="0" w:space="0" w:color="auto"/>
          </w:divBdr>
        </w:div>
        <w:div w:id="713583174">
          <w:marLeft w:val="0"/>
          <w:marRight w:val="0"/>
          <w:marTop w:val="0"/>
          <w:marBottom w:val="0"/>
          <w:divBdr>
            <w:top w:val="none" w:sz="0" w:space="0" w:color="auto"/>
            <w:left w:val="none" w:sz="0" w:space="0" w:color="auto"/>
            <w:bottom w:val="none" w:sz="0" w:space="0" w:color="auto"/>
            <w:right w:val="none" w:sz="0" w:space="0" w:color="auto"/>
          </w:divBdr>
        </w:div>
        <w:div w:id="717440656">
          <w:marLeft w:val="0"/>
          <w:marRight w:val="0"/>
          <w:marTop w:val="0"/>
          <w:marBottom w:val="0"/>
          <w:divBdr>
            <w:top w:val="none" w:sz="0" w:space="0" w:color="auto"/>
            <w:left w:val="none" w:sz="0" w:space="0" w:color="auto"/>
            <w:bottom w:val="none" w:sz="0" w:space="0" w:color="auto"/>
            <w:right w:val="none" w:sz="0" w:space="0" w:color="auto"/>
          </w:divBdr>
        </w:div>
        <w:div w:id="743260287">
          <w:marLeft w:val="0"/>
          <w:marRight w:val="0"/>
          <w:marTop w:val="0"/>
          <w:marBottom w:val="0"/>
          <w:divBdr>
            <w:top w:val="none" w:sz="0" w:space="0" w:color="auto"/>
            <w:left w:val="none" w:sz="0" w:space="0" w:color="auto"/>
            <w:bottom w:val="none" w:sz="0" w:space="0" w:color="auto"/>
            <w:right w:val="none" w:sz="0" w:space="0" w:color="auto"/>
          </w:divBdr>
        </w:div>
        <w:div w:id="744843662">
          <w:marLeft w:val="0"/>
          <w:marRight w:val="0"/>
          <w:marTop w:val="0"/>
          <w:marBottom w:val="0"/>
          <w:divBdr>
            <w:top w:val="none" w:sz="0" w:space="0" w:color="auto"/>
            <w:left w:val="none" w:sz="0" w:space="0" w:color="auto"/>
            <w:bottom w:val="none" w:sz="0" w:space="0" w:color="auto"/>
            <w:right w:val="none" w:sz="0" w:space="0" w:color="auto"/>
          </w:divBdr>
        </w:div>
        <w:div w:id="760756185">
          <w:marLeft w:val="0"/>
          <w:marRight w:val="0"/>
          <w:marTop w:val="0"/>
          <w:marBottom w:val="0"/>
          <w:divBdr>
            <w:top w:val="none" w:sz="0" w:space="0" w:color="auto"/>
            <w:left w:val="none" w:sz="0" w:space="0" w:color="auto"/>
            <w:bottom w:val="none" w:sz="0" w:space="0" w:color="auto"/>
            <w:right w:val="none" w:sz="0" w:space="0" w:color="auto"/>
          </w:divBdr>
        </w:div>
        <w:div w:id="767192267">
          <w:marLeft w:val="0"/>
          <w:marRight w:val="0"/>
          <w:marTop w:val="0"/>
          <w:marBottom w:val="0"/>
          <w:divBdr>
            <w:top w:val="none" w:sz="0" w:space="0" w:color="auto"/>
            <w:left w:val="none" w:sz="0" w:space="0" w:color="auto"/>
            <w:bottom w:val="none" w:sz="0" w:space="0" w:color="auto"/>
            <w:right w:val="none" w:sz="0" w:space="0" w:color="auto"/>
          </w:divBdr>
        </w:div>
        <w:div w:id="772629907">
          <w:marLeft w:val="0"/>
          <w:marRight w:val="0"/>
          <w:marTop w:val="0"/>
          <w:marBottom w:val="0"/>
          <w:divBdr>
            <w:top w:val="none" w:sz="0" w:space="0" w:color="auto"/>
            <w:left w:val="none" w:sz="0" w:space="0" w:color="auto"/>
            <w:bottom w:val="none" w:sz="0" w:space="0" w:color="auto"/>
            <w:right w:val="none" w:sz="0" w:space="0" w:color="auto"/>
          </w:divBdr>
        </w:div>
        <w:div w:id="782115116">
          <w:marLeft w:val="0"/>
          <w:marRight w:val="0"/>
          <w:marTop w:val="0"/>
          <w:marBottom w:val="0"/>
          <w:divBdr>
            <w:top w:val="none" w:sz="0" w:space="0" w:color="auto"/>
            <w:left w:val="none" w:sz="0" w:space="0" w:color="auto"/>
            <w:bottom w:val="none" w:sz="0" w:space="0" w:color="auto"/>
            <w:right w:val="none" w:sz="0" w:space="0" w:color="auto"/>
          </w:divBdr>
        </w:div>
        <w:div w:id="784813677">
          <w:marLeft w:val="0"/>
          <w:marRight w:val="0"/>
          <w:marTop w:val="0"/>
          <w:marBottom w:val="0"/>
          <w:divBdr>
            <w:top w:val="none" w:sz="0" w:space="0" w:color="auto"/>
            <w:left w:val="none" w:sz="0" w:space="0" w:color="auto"/>
            <w:bottom w:val="none" w:sz="0" w:space="0" w:color="auto"/>
            <w:right w:val="none" w:sz="0" w:space="0" w:color="auto"/>
          </w:divBdr>
        </w:div>
        <w:div w:id="808012809">
          <w:marLeft w:val="0"/>
          <w:marRight w:val="0"/>
          <w:marTop w:val="0"/>
          <w:marBottom w:val="0"/>
          <w:divBdr>
            <w:top w:val="none" w:sz="0" w:space="0" w:color="auto"/>
            <w:left w:val="none" w:sz="0" w:space="0" w:color="auto"/>
            <w:bottom w:val="none" w:sz="0" w:space="0" w:color="auto"/>
            <w:right w:val="none" w:sz="0" w:space="0" w:color="auto"/>
          </w:divBdr>
        </w:div>
        <w:div w:id="832263631">
          <w:marLeft w:val="0"/>
          <w:marRight w:val="0"/>
          <w:marTop w:val="0"/>
          <w:marBottom w:val="0"/>
          <w:divBdr>
            <w:top w:val="none" w:sz="0" w:space="0" w:color="auto"/>
            <w:left w:val="none" w:sz="0" w:space="0" w:color="auto"/>
            <w:bottom w:val="none" w:sz="0" w:space="0" w:color="auto"/>
            <w:right w:val="none" w:sz="0" w:space="0" w:color="auto"/>
          </w:divBdr>
        </w:div>
        <w:div w:id="850948815">
          <w:marLeft w:val="0"/>
          <w:marRight w:val="0"/>
          <w:marTop w:val="0"/>
          <w:marBottom w:val="0"/>
          <w:divBdr>
            <w:top w:val="none" w:sz="0" w:space="0" w:color="auto"/>
            <w:left w:val="none" w:sz="0" w:space="0" w:color="auto"/>
            <w:bottom w:val="none" w:sz="0" w:space="0" w:color="auto"/>
            <w:right w:val="none" w:sz="0" w:space="0" w:color="auto"/>
          </w:divBdr>
        </w:div>
        <w:div w:id="872307983">
          <w:marLeft w:val="0"/>
          <w:marRight w:val="0"/>
          <w:marTop w:val="0"/>
          <w:marBottom w:val="0"/>
          <w:divBdr>
            <w:top w:val="none" w:sz="0" w:space="0" w:color="auto"/>
            <w:left w:val="none" w:sz="0" w:space="0" w:color="auto"/>
            <w:bottom w:val="none" w:sz="0" w:space="0" w:color="auto"/>
            <w:right w:val="none" w:sz="0" w:space="0" w:color="auto"/>
          </w:divBdr>
        </w:div>
        <w:div w:id="880896155">
          <w:marLeft w:val="0"/>
          <w:marRight w:val="0"/>
          <w:marTop w:val="0"/>
          <w:marBottom w:val="0"/>
          <w:divBdr>
            <w:top w:val="none" w:sz="0" w:space="0" w:color="auto"/>
            <w:left w:val="none" w:sz="0" w:space="0" w:color="auto"/>
            <w:bottom w:val="none" w:sz="0" w:space="0" w:color="auto"/>
            <w:right w:val="none" w:sz="0" w:space="0" w:color="auto"/>
          </w:divBdr>
        </w:div>
        <w:div w:id="886795925">
          <w:marLeft w:val="0"/>
          <w:marRight w:val="0"/>
          <w:marTop w:val="0"/>
          <w:marBottom w:val="0"/>
          <w:divBdr>
            <w:top w:val="none" w:sz="0" w:space="0" w:color="auto"/>
            <w:left w:val="none" w:sz="0" w:space="0" w:color="auto"/>
            <w:bottom w:val="none" w:sz="0" w:space="0" w:color="auto"/>
            <w:right w:val="none" w:sz="0" w:space="0" w:color="auto"/>
          </w:divBdr>
        </w:div>
        <w:div w:id="901478040">
          <w:marLeft w:val="0"/>
          <w:marRight w:val="0"/>
          <w:marTop w:val="0"/>
          <w:marBottom w:val="0"/>
          <w:divBdr>
            <w:top w:val="none" w:sz="0" w:space="0" w:color="auto"/>
            <w:left w:val="none" w:sz="0" w:space="0" w:color="auto"/>
            <w:bottom w:val="none" w:sz="0" w:space="0" w:color="auto"/>
            <w:right w:val="none" w:sz="0" w:space="0" w:color="auto"/>
          </w:divBdr>
        </w:div>
        <w:div w:id="904922443">
          <w:marLeft w:val="0"/>
          <w:marRight w:val="0"/>
          <w:marTop w:val="0"/>
          <w:marBottom w:val="0"/>
          <w:divBdr>
            <w:top w:val="none" w:sz="0" w:space="0" w:color="auto"/>
            <w:left w:val="none" w:sz="0" w:space="0" w:color="auto"/>
            <w:bottom w:val="none" w:sz="0" w:space="0" w:color="auto"/>
            <w:right w:val="none" w:sz="0" w:space="0" w:color="auto"/>
          </w:divBdr>
        </w:div>
        <w:div w:id="914896845">
          <w:marLeft w:val="0"/>
          <w:marRight w:val="0"/>
          <w:marTop w:val="0"/>
          <w:marBottom w:val="0"/>
          <w:divBdr>
            <w:top w:val="none" w:sz="0" w:space="0" w:color="auto"/>
            <w:left w:val="none" w:sz="0" w:space="0" w:color="auto"/>
            <w:bottom w:val="none" w:sz="0" w:space="0" w:color="auto"/>
            <w:right w:val="none" w:sz="0" w:space="0" w:color="auto"/>
          </w:divBdr>
        </w:div>
        <w:div w:id="929965890">
          <w:marLeft w:val="0"/>
          <w:marRight w:val="0"/>
          <w:marTop w:val="0"/>
          <w:marBottom w:val="0"/>
          <w:divBdr>
            <w:top w:val="none" w:sz="0" w:space="0" w:color="auto"/>
            <w:left w:val="none" w:sz="0" w:space="0" w:color="auto"/>
            <w:bottom w:val="none" w:sz="0" w:space="0" w:color="auto"/>
            <w:right w:val="none" w:sz="0" w:space="0" w:color="auto"/>
          </w:divBdr>
        </w:div>
        <w:div w:id="945692499">
          <w:marLeft w:val="0"/>
          <w:marRight w:val="0"/>
          <w:marTop w:val="0"/>
          <w:marBottom w:val="0"/>
          <w:divBdr>
            <w:top w:val="none" w:sz="0" w:space="0" w:color="auto"/>
            <w:left w:val="none" w:sz="0" w:space="0" w:color="auto"/>
            <w:bottom w:val="none" w:sz="0" w:space="0" w:color="auto"/>
            <w:right w:val="none" w:sz="0" w:space="0" w:color="auto"/>
          </w:divBdr>
        </w:div>
        <w:div w:id="975573847">
          <w:marLeft w:val="0"/>
          <w:marRight w:val="0"/>
          <w:marTop w:val="0"/>
          <w:marBottom w:val="0"/>
          <w:divBdr>
            <w:top w:val="none" w:sz="0" w:space="0" w:color="auto"/>
            <w:left w:val="none" w:sz="0" w:space="0" w:color="auto"/>
            <w:bottom w:val="none" w:sz="0" w:space="0" w:color="auto"/>
            <w:right w:val="none" w:sz="0" w:space="0" w:color="auto"/>
          </w:divBdr>
        </w:div>
        <w:div w:id="999430282">
          <w:marLeft w:val="0"/>
          <w:marRight w:val="0"/>
          <w:marTop w:val="0"/>
          <w:marBottom w:val="0"/>
          <w:divBdr>
            <w:top w:val="none" w:sz="0" w:space="0" w:color="auto"/>
            <w:left w:val="none" w:sz="0" w:space="0" w:color="auto"/>
            <w:bottom w:val="none" w:sz="0" w:space="0" w:color="auto"/>
            <w:right w:val="none" w:sz="0" w:space="0" w:color="auto"/>
          </w:divBdr>
        </w:div>
        <w:div w:id="1008022278">
          <w:marLeft w:val="0"/>
          <w:marRight w:val="0"/>
          <w:marTop w:val="0"/>
          <w:marBottom w:val="0"/>
          <w:divBdr>
            <w:top w:val="none" w:sz="0" w:space="0" w:color="auto"/>
            <w:left w:val="none" w:sz="0" w:space="0" w:color="auto"/>
            <w:bottom w:val="none" w:sz="0" w:space="0" w:color="auto"/>
            <w:right w:val="none" w:sz="0" w:space="0" w:color="auto"/>
          </w:divBdr>
        </w:div>
        <w:div w:id="1030035030">
          <w:marLeft w:val="0"/>
          <w:marRight w:val="0"/>
          <w:marTop w:val="0"/>
          <w:marBottom w:val="0"/>
          <w:divBdr>
            <w:top w:val="none" w:sz="0" w:space="0" w:color="auto"/>
            <w:left w:val="none" w:sz="0" w:space="0" w:color="auto"/>
            <w:bottom w:val="none" w:sz="0" w:space="0" w:color="auto"/>
            <w:right w:val="none" w:sz="0" w:space="0" w:color="auto"/>
          </w:divBdr>
        </w:div>
        <w:div w:id="1035816646">
          <w:marLeft w:val="0"/>
          <w:marRight w:val="0"/>
          <w:marTop w:val="0"/>
          <w:marBottom w:val="0"/>
          <w:divBdr>
            <w:top w:val="none" w:sz="0" w:space="0" w:color="auto"/>
            <w:left w:val="none" w:sz="0" w:space="0" w:color="auto"/>
            <w:bottom w:val="none" w:sz="0" w:space="0" w:color="auto"/>
            <w:right w:val="none" w:sz="0" w:space="0" w:color="auto"/>
          </w:divBdr>
        </w:div>
        <w:div w:id="1036927900">
          <w:marLeft w:val="0"/>
          <w:marRight w:val="0"/>
          <w:marTop w:val="0"/>
          <w:marBottom w:val="0"/>
          <w:divBdr>
            <w:top w:val="none" w:sz="0" w:space="0" w:color="auto"/>
            <w:left w:val="none" w:sz="0" w:space="0" w:color="auto"/>
            <w:bottom w:val="none" w:sz="0" w:space="0" w:color="auto"/>
            <w:right w:val="none" w:sz="0" w:space="0" w:color="auto"/>
          </w:divBdr>
        </w:div>
        <w:div w:id="1039742003">
          <w:marLeft w:val="0"/>
          <w:marRight w:val="0"/>
          <w:marTop w:val="0"/>
          <w:marBottom w:val="0"/>
          <w:divBdr>
            <w:top w:val="none" w:sz="0" w:space="0" w:color="auto"/>
            <w:left w:val="none" w:sz="0" w:space="0" w:color="auto"/>
            <w:bottom w:val="none" w:sz="0" w:space="0" w:color="auto"/>
            <w:right w:val="none" w:sz="0" w:space="0" w:color="auto"/>
          </w:divBdr>
        </w:div>
        <w:div w:id="1047492396">
          <w:marLeft w:val="0"/>
          <w:marRight w:val="0"/>
          <w:marTop w:val="0"/>
          <w:marBottom w:val="0"/>
          <w:divBdr>
            <w:top w:val="none" w:sz="0" w:space="0" w:color="auto"/>
            <w:left w:val="none" w:sz="0" w:space="0" w:color="auto"/>
            <w:bottom w:val="none" w:sz="0" w:space="0" w:color="auto"/>
            <w:right w:val="none" w:sz="0" w:space="0" w:color="auto"/>
          </w:divBdr>
        </w:div>
        <w:div w:id="1055741723">
          <w:marLeft w:val="0"/>
          <w:marRight w:val="0"/>
          <w:marTop w:val="0"/>
          <w:marBottom w:val="0"/>
          <w:divBdr>
            <w:top w:val="none" w:sz="0" w:space="0" w:color="auto"/>
            <w:left w:val="none" w:sz="0" w:space="0" w:color="auto"/>
            <w:bottom w:val="none" w:sz="0" w:space="0" w:color="auto"/>
            <w:right w:val="none" w:sz="0" w:space="0" w:color="auto"/>
          </w:divBdr>
        </w:div>
        <w:div w:id="1068572853">
          <w:marLeft w:val="0"/>
          <w:marRight w:val="0"/>
          <w:marTop w:val="0"/>
          <w:marBottom w:val="0"/>
          <w:divBdr>
            <w:top w:val="none" w:sz="0" w:space="0" w:color="auto"/>
            <w:left w:val="none" w:sz="0" w:space="0" w:color="auto"/>
            <w:bottom w:val="none" w:sz="0" w:space="0" w:color="auto"/>
            <w:right w:val="none" w:sz="0" w:space="0" w:color="auto"/>
          </w:divBdr>
        </w:div>
        <w:div w:id="1069114728">
          <w:marLeft w:val="0"/>
          <w:marRight w:val="0"/>
          <w:marTop w:val="0"/>
          <w:marBottom w:val="0"/>
          <w:divBdr>
            <w:top w:val="none" w:sz="0" w:space="0" w:color="auto"/>
            <w:left w:val="none" w:sz="0" w:space="0" w:color="auto"/>
            <w:bottom w:val="none" w:sz="0" w:space="0" w:color="auto"/>
            <w:right w:val="none" w:sz="0" w:space="0" w:color="auto"/>
          </w:divBdr>
        </w:div>
        <w:div w:id="1070233834">
          <w:marLeft w:val="0"/>
          <w:marRight w:val="0"/>
          <w:marTop w:val="0"/>
          <w:marBottom w:val="0"/>
          <w:divBdr>
            <w:top w:val="none" w:sz="0" w:space="0" w:color="auto"/>
            <w:left w:val="none" w:sz="0" w:space="0" w:color="auto"/>
            <w:bottom w:val="none" w:sz="0" w:space="0" w:color="auto"/>
            <w:right w:val="none" w:sz="0" w:space="0" w:color="auto"/>
          </w:divBdr>
        </w:div>
        <w:div w:id="1091774370">
          <w:marLeft w:val="0"/>
          <w:marRight w:val="0"/>
          <w:marTop w:val="0"/>
          <w:marBottom w:val="0"/>
          <w:divBdr>
            <w:top w:val="none" w:sz="0" w:space="0" w:color="auto"/>
            <w:left w:val="none" w:sz="0" w:space="0" w:color="auto"/>
            <w:bottom w:val="none" w:sz="0" w:space="0" w:color="auto"/>
            <w:right w:val="none" w:sz="0" w:space="0" w:color="auto"/>
          </w:divBdr>
        </w:div>
        <w:div w:id="1106462613">
          <w:marLeft w:val="0"/>
          <w:marRight w:val="0"/>
          <w:marTop w:val="0"/>
          <w:marBottom w:val="0"/>
          <w:divBdr>
            <w:top w:val="none" w:sz="0" w:space="0" w:color="auto"/>
            <w:left w:val="none" w:sz="0" w:space="0" w:color="auto"/>
            <w:bottom w:val="none" w:sz="0" w:space="0" w:color="auto"/>
            <w:right w:val="none" w:sz="0" w:space="0" w:color="auto"/>
          </w:divBdr>
        </w:div>
        <w:div w:id="1120496161">
          <w:marLeft w:val="0"/>
          <w:marRight w:val="0"/>
          <w:marTop w:val="0"/>
          <w:marBottom w:val="0"/>
          <w:divBdr>
            <w:top w:val="none" w:sz="0" w:space="0" w:color="auto"/>
            <w:left w:val="none" w:sz="0" w:space="0" w:color="auto"/>
            <w:bottom w:val="none" w:sz="0" w:space="0" w:color="auto"/>
            <w:right w:val="none" w:sz="0" w:space="0" w:color="auto"/>
          </w:divBdr>
        </w:div>
        <w:div w:id="1125545227">
          <w:marLeft w:val="0"/>
          <w:marRight w:val="0"/>
          <w:marTop w:val="0"/>
          <w:marBottom w:val="0"/>
          <w:divBdr>
            <w:top w:val="none" w:sz="0" w:space="0" w:color="auto"/>
            <w:left w:val="none" w:sz="0" w:space="0" w:color="auto"/>
            <w:bottom w:val="none" w:sz="0" w:space="0" w:color="auto"/>
            <w:right w:val="none" w:sz="0" w:space="0" w:color="auto"/>
          </w:divBdr>
        </w:div>
        <w:div w:id="1134642886">
          <w:marLeft w:val="0"/>
          <w:marRight w:val="0"/>
          <w:marTop w:val="0"/>
          <w:marBottom w:val="0"/>
          <w:divBdr>
            <w:top w:val="none" w:sz="0" w:space="0" w:color="auto"/>
            <w:left w:val="none" w:sz="0" w:space="0" w:color="auto"/>
            <w:bottom w:val="none" w:sz="0" w:space="0" w:color="auto"/>
            <w:right w:val="none" w:sz="0" w:space="0" w:color="auto"/>
          </w:divBdr>
        </w:div>
        <w:div w:id="1145271524">
          <w:marLeft w:val="0"/>
          <w:marRight w:val="0"/>
          <w:marTop w:val="0"/>
          <w:marBottom w:val="0"/>
          <w:divBdr>
            <w:top w:val="none" w:sz="0" w:space="0" w:color="auto"/>
            <w:left w:val="none" w:sz="0" w:space="0" w:color="auto"/>
            <w:bottom w:val="none" w:sz="0" w:space="0" w:color="auto"/>
            <w:right w:val="none" w:sz="0" w:space="0" w:color="auto"/>
          </w:divBdr>
        </w:div>
        <w:div w:id="1155295643">
          <w:marLeft w:val="0"/>
          <w:marRight w:val="0"/>
          <w:marTop w:val="0"/>
          <w:marBottom w:val="0"/>
          <w:divBdr>
            <w:top w:val="none" w:sz="0" w:space="0" w:color="auto"/>
            <w:left w:val="none" w:sz="0" w:space="0" w:color="auto"/>
            <w:bottom w:val="none" w:sz="0" w:space="0" w:color="auto"/>
            <w:right w:val="none" w:sz="0" w:space="0" w:color="auto"/>
          </w:divBdr>
        </w:div>
        <w:div w:id="1162087498">
          <w:marLeft w:val="0"/>
          <w:marRight w:val="0"/>
          <w:marTop w:val="0"/>
          <w:marBottom w:val="0"/>
          <w:divBdr>
            <w:top w:val="none" w:sz="0" w:space="0" w:color="auto"/>
            <w:left w:val="none" w:sz="0" w:space="0" w:color="auto"/>
            <w:bottom w:val="none" w:sz="0" w:space="0" w:color="auto"/>
            <w:right w:val="none" w:sz="0" w:space="0" w:color="auto"/>
          </w:divBdr>
        </w:div>
        <w:div w:id="1166093449">
          <w:marLeft w:val="0"/>
          <w:marRight w:val="0"/>
          <w:marTop w:val="0"/>
          <w:marBottom w:val="0"/>
          <w:divBdr>
            <w:top w:val="none" w:sz="0" w:space="0" w:color="auto"/>
            <w:left w:val="none" w:sz="0" w:space="0" w:color="auto"/>
            <w:bottom w:val="none" w:sz="0" w:space="0" w:color="auto"/>
            <w:right w:val="none" w:sz="0" w:space="0" w:color="auto"/>
          </w:divBdr>
        </w:div>
        <w:div w:id="1176648440">
          <w:marLeft w:val="0"/>
          <w:marRight w:val="0"/>
          <w:marTop w:val="0"/>
          <w:marBottom w:val="0"/>
          <w:divBdr>
            <w:top w:val="none" w:sz="0" w:space="0" w:color="auto"/>
            <w:left w:val="none" w:sz="0" w:space="0" w:color="auto"/>
            <w:bottom w:val="none" w:sz="0" w:space="0" w:color="auto"/>
            <w:right w:val="none" w:sz="0" w:space="0" w:color="auto"/>
          </w:divBdr>
        </w:div>
        <w:div w:id="1203862570">
          <w:marLeft w:val="0"/>
          <w:marRight w:val="0"/>
          <w:marTop w:val="0"/>
          <w:marBottom w:val="0"/>
          <w:divBdr>
            <w:top w:val="none" w:sz="0" w:space="0" w:color="auto"/>
            <w:left w:val="none" w:sz="0" w:space="0" w:color="auto"/>
            <w:bottom w:val="none" w:sz="0" w:space="0" w:color="auto"/>
            <w:right w:val="none" w:sz="0" w:space="0" w:color="auto"/>
          </w:divBdr>
        </w:div>
        <w:div w:id="1209340301">
          <w:marLeft w:val="0"/>
          <w:marRight w:val="0"/>
          <w:marTop w:val="0"/>
          <w:marBottom w:val="0"/>
          <w:divBdr>
            <w:top w:val="none" w:sz="0" w:space="0" w:color="auto"/>
            <w:left w:val="none" w:sz="0" w:space="0" w:color="auto"/>
            <w:bottom w:val="none" w:sz="0" w:space="0" w:color="auto"/>
            <w:right w:val="none" w:sz="0" w:space="0" w:color="auto"/>
          </w:divBdr>
        </w:div>
        <w:div w:id="1209876399">
          <w:marLeft w:val="0"/>
          <w:marRight w:val="0"/>
          <w:marTop w:val="0"/>
          <w:marBottom w:val="0"/>
          <w:divBdr>
            <w:top w:val="none" w:sz="0" w:space="0" w:color="auto"/>
            <w:left w:val="none" w:sz="0" w:space="0" w:color="auto"/>
            <w:bottom w:val="none" w:sz="0" w:space="0" w:color="auto"/>
            <w:right w:val="none" w:sz="0" w:space="0" w:color="auto"/>
          </w:divBdr>
        </w:div>
        <w:div w:id="1219394525">
          <w:marLeft w:val="0"/>
          <w:marRight w:val="0"/>
          <w:marTop w:val="0"/>
          <w:marBottom w:val="0"/>
          <w:divBdr>
            <w:top w:val="none" w:sz="0" w:space="0" w:color="auto"/>
            <w:left w:val="none" w:sz="0" w:space="0" w:color="auto"/>
            <w:bottom w:val="none" w:sz="0" w:space="0" w:color="auto"/>
            <w:right w:val="none" w:sz="0" w:space="0" w:color="auto"/>
          </w:divBdr>
        </w:div>
        <w:div w:id="1239175772">
          <w:marLeft w:val="0"/>
          <w:marRight w:val="0"/>
          <w:marTop w:val="0"/>
          <w:marBottom w:val="0"/>
          <w:divBdr>
            <w:top w:val="none" w:sz="0" w:space="0" w:color="auto"/>
            <w:left w:val="none" w:sz="0" w:space="0" w:color="auto"/>
            <w:bottom w:val="none" w:sz="0" w:space="0" w:color="auto"/>
            <w:right w:val="none" w:sz="0" w:space="0" w:color="auto"/>
          </w:divBdr>
        </w:div>
        <w:div w:id="1242175091">
          <w:marLeft w:val="0"/>
          <w:marRight w:val="0"/>
          <w:marTop w:val="0"/>
          <w:marBottom w:val="0"/>
          <w:divBdr>
            <w:top w:val="none" w:sz="0" w:space="0" w:color="auto"/>
            <w:left w:val="none" w:sz="0" w:space="0" w:color="auto"/>
            <w:bottom w:val="none" w:sz="0" w:space="0" w:color="auto"/>
            <w:right w:val="none" w:sz="0" w:space="0" w:color="auto"/>
          </w:divBdr>
        </w:div>
        <w:div w:id="1253853748">
          <w:marLeft w:val="0"/>
          <w:marRight w:val="0"/>
          <w:marTop w:val="0"/>
          <w:marBottom w:val="0"/>
          <w:divBdr>
            <w:top w:val="none" w:sz="0" w:space="0" w:color="auto"/>
            <w:left w:val="none" w:sz="0" w:space="0" w:color="auto"/>
            <w:bottom w:val="none" w:sz="0" w:space="0" w:color="auto"/>
            <w:right w:val="none" w:sz="0" w:space="0" w:color="auto"/>
          </w:divBdr>
        </w:div>
        <w:div w:id="1255090883">
          <w:marLeft w:val="0"/>
          <w:marRight w:val="0"/>
          <w:marTop w:val="0"/>
          <w:marBottom w:val="0"/>
          <w:divBdr>
            <w:top w:val="none" w:sz="0" w:space="0" w:color="auto"/>
            <w:left w:val="none" w:sz="0" w:space="0" w:color="auto"/>
            <w:bottom w:val="none" w:sz="0" w:space="0" w:color="auto"/>
            <w:right w:val="none" w:sz="0" w:space="0" w:color="auto"/>
          </w:divBdr>
        </w:div>
        <w:div w:id="1272785345">
          <w:marLeft w:val="0"/>
          <w:marRight w:val="0"/>
          <w:marTop w:val="0"/>
          <w:marBottom w:val="0"/>
          <w:divBdr>
            <w:top w:val="none" w:sz="0" w:space="0" w:color="auto"/>
            <w:left w:val="none" w:sz="0" w:space="0" w:color="auto"/>
            <w:bottom w:val="none" w:sz="0" w:space="0" w:color="auto"/>
            <w:right w:val="none" w:sz="0" w:space="0" w:color="auto"/>
          </w:divBdr>
        </w:div>
        <w:div w:id="1276979951">
          <w:marLeft w:val="0"/>
          <w:marRight w:val="0"/>
          <w:marTop w:val="0"/>
          <w:marBottom w:val="0"/>
          <w:divBdr>
            <w:top w:val="none" w:sz="0" w:space="0" w:color="auto"/>
            <w:left w:val="none" w:sz="0" w:space="0" w:color="auto"/>
            <w:bottom w:val="none" w:sz="0" w:space="0" w:color="auto"/>
            <w:right w:val="none" w:sz="0" w:space="0" w:color="auto"/>
          </w:divBdr>
        </w:div>
        <w:div w:id="1283147555">
          <w:marLeft w:val="0"/>
          <w:marRight w:val="0"/>
          <w:marTop w:val="0"/>
          <w:marBottom w:val="0"/>
          <w:divBdr>
            <w:top w:val="none" w:sz="0" w:space="0" w:color="auto"/>
            <w:left w:val="none" w:sz="0" w:space="0" w:color="auto"/>
            <w:bottom w:val="none" w:sz="0" w:space="0" w:color="auto"/>
            <w:right w:val="none" w:sz="0" w:space="0" w:color="auto"/>
          </w:divBdr>
        </w:div>
        <w:div w:id="1303734726">
          <w:marLeft w:val="0"/>
          <w:marRight w:val="0"/>
          <w:marTop w:val="0"/>
          <w:marBottom w:val="0"/>
          <w:divBdr>
            <w:top w:val="none" w:sz="0" w:space="0" w:color="auto"/>
            <w:left w:val="none" w:sz="0" w:space="0" w:color="auto"/>
            <w:bottom w:val="none" w:sz="0" w:space="0" w:color="auto"/>
            <w:right w:val="none" w:sz="0" w:space="0" w:color="auto"/>
          </w:divBdr>
        </w:div>
        <w:div w:id="1304236451">
          <w:marLeft w:val="0"/>
          <w:marRight w:val="0"/>
          <w:marTop w:val="0"/>
          <w:marBottom w:val="0"/>
          <w:divBdr>
            <w:top w:val="none" w:sz="0" w:space="0" w:color="auto"/>
            <w:left w:val="none" w:sz="0" w:space="0" w:color="auto"/>
            <w:bottom w:val="none" w:sz="0" w:space="0" w:color="auto"/>
            <w:right w:val="none" w:sz="0" w:space="0" w:color="auto"/>
          </w:divBdr>
        </w:div>
        <w:div w:id="1320426174">
          <w:marLeft w:val="0"/>
          <w:marRight w:val="0"/>
          <w:marTop w:val="0"/>
          <w:marBottom w:val="0"/>
          <w:divBdr>
            <w:top w:val="none" w:sz="0" w:space="0" w:color="auto"/>
            <w:left w:val="none" w:sz="0" w:space="0" w:color="auto"/>
            <w:bottom w:val="none" w:sz="0" w:space="0" w:color="auto"/>
            <w:right w:val="none" w:sz="0" w:space="0" w:color="auto"/>
          </w:divBdr>
        </w:div>
        <w:div w:id="1332373149">
          <w:marLeft w:val="0"/>
          <w:marRight w:val="0"/>
          <w:marTop w:val="0"/>
          <w:marBottom w:val="0"/>
          <w:divBdr>
            <w:top w:val="none" w:sz="0" w:space="0" w:color="auto"/>
            <w:left w:val="none" w:sz="0" w:space="0" w:color="auto"/>
            <w:bottom w:val="none" w:sz="0" w:space="0" w:color="auto"/>
            <w:right w:val="none" w:sz="0" w:space="0" w:color="auto"/>
          </w:divBdr>
        </w:div>
        <w:div w:id="1336107897">
          <w:marLeft w:val="0"/>
          <w:marRight w:val="0"/>
          <w:marTop w:val="0"/>
          <w:marBottom w:val="0"/>
          <w:divBdr>
            <w:top w:val="none" w:sz="0" w:space="0" w:color="auto"/>
            <w:left w:val="none" w:sz="0" w:space="0" w:color="auto"/>
            <w:bottom w:val="none" w:sz="0" w:space="0" w:color="auto"/>
            <w:right w:val="none" w:sz="0" w:space="0" w:color="auto"/>
          </w:divBdr>
        </w:div>
        <w:div w:id="1364670317">
          <w:marLeft w:val="0"/>
          <w:marRight w:val="0"/>
          <w:marTop w:val="0"/>
          <w:marBottom w:val="0"/>
          <w:divBdr>
            <w:top w:val="none" w:sz="0" w:space="0" w:color="auto"/>
            <w:left w:val="none" w:sz="0" w:space="0" w:color="auto"/>
            <w:bottom w:val="none" w:sz="0" w:space="0" w:color="auto"/>
            <w:right w:val="none" w:sz="0" w:space="0" w:color="auto"/>
          </w:divBdr>
        </w:div>
        <w:div w:id="1371153721">
          <w:marLeft w:val="0"/>
          <w:marRight w:val="0"/>
          <w:marTop w:val="0"/>
          <w:marBottom w:val="0"/>
          <w:divBdr>
            <w:top w:val="none" w:sz="0" w:space="0" w:color="auto"/>
            <w:left w:val="none" w:sz="0" w:space="0" w:color="auto"/>
            <w:bottom w:val="none" w:sz="0" w:space="0" w:color="auto"/>
            <w:right w:val="none" w:sz="0" w:space="0" w:color="auto"/>
          </w:divBdr>
        </w:div>
        <w:div w:id="1375884175">
          <w:marLeft w:val="0"/>
          <w:marRight w:val="0"/>
          <w:marTop w:val="0"/>
          <w:marBottom w:val="0"/>
          <w:divBdr>
            <w:top w:val="none" w:sz="0" w:space="0" w:color="auto"/>
            <w:left w:val="none" w:sz="0" w:space="0" w:color="auto"/>
            <w:bottom w:val="none" w:sz="0" w:space="0" w:color="auto"/>
            <w:right w:val="none" w:sz="0" w:space="0" w:color="auto"/>
          </w:divBdr>
        </w:div>
        <w:div w:id="1382241257">
          <w:marLeft w:val="0"/>
          <w:marRight w:val="0"/>
          <w:marTop w:val="0"/>
          <w:marBottom w:val="0"/>
          <w:divBdr>
            <w:top w:val="none" w:sz="0" w:space="0" w:color="auto"/>
            <w:left w:val="none" w:sz="0" w:space="0" w:color="auto"/>
            <w:bottom w:val="none" w:sz="0" w:space="0" w:color="auto"/>
            <w:right w:val="none" w:sz="0" w:space="0" w:color="auto"/>
          </w:divBdr>
        </w:div>
        <w:div w:id="1382439572">
          <w:marLeft w:val="0"/>
          <w:marRight w:val="0"/>
          <w:marTop w:val="0"/>
          <w:marBottom w:val="0"/>
          <w:divBdr>
            <w:top w:val="none" w:sz="0" w:space="0" w:color="auto"/>
            <w:left w:val="none" w:sz="0" w:space="0" w:color="auto"/>
            <w:bottom w:val="none" w:sz="0" w:space="0" w:color="auto"/>
            <w:right w:val="none" w:sz="0" w:space="0" w:color="auto"/>
          </w:divBdr>
        </w:div>
        <w:div w:id="1399476895">
          <w:marLeft w:val="0"/>
          <w:marRight w:val="0"/>
          <w:marTop w:val="0"/>
          <w:marBottom w:val="0"/>
          <w:divBdr>
            <w:top w:val="none" w:sz="0" w:space="0" w:color="auto"/>
            <w:left w:val="none" w:sz="0" w:space="0" w:color="auto"/>
            <w:bottom w:val="none" w:sz="0" w:space="0" w:color="auto"/>
            <w:right w:val="none" w:sz="0" w:space="0" w:color="auto"/>
          </w:divBdr>
        </w:div>
        <w:div w:id="1407267439">
          <w:marLeft w:val="0"/>
          <w:marRight w:val="0"/>
          <w:marTop w:val="0"/>
          <w:marBottom w:val="0"/>
          <w:divBdr>
            <w:top w:val="none" w:sz="0" w:space="0" w:color="auto"/>
            <w:left w:val="none" w:sz="0" w:space="0" w:color="auto"/>
            <w:bottom w:val="none" w:sz="0" w:space="0" w:color="auto"/>
            <w:right w:val="none" w:sz="0" w:space="0" w:color="auto"/>
          </w:divBdr>
        </w:div>
        <w:div w:id="1413042549">
          <w:marLeft w:val="0"/>
          <w:marRight w:val="0"/>
          <w:marTop w:val="0"/>
          <w:marBottom w:val="0"/>
          <w:divBdr>
            <w:top w:val="none" w:sz="0" w:space="0" w:color="auto"/>
            <w:left w:val="none" w:sz="0" w:space="0" w:color="auto"/>
            <w:bottom w:val="none" w:sz="0" w:space="0" w:color="auto"/>
            <w:right w:val="none" w:sz="0" w:space="0" w:color="auto"/>
          </w:divBdr>
        </w:div>
        <w:div w:id="1422793275">
          <w:marLeft w:val="0"/>
          <w:marRight w:val="0"/>
          <w:marTop w:val="0"/>
          <w:marBottom w:val="0"/>
          <w:divBdr>
            <w:top w:val="none" w:sz="0" w:space="0" w:color="auto"/>
            <w:left w:val="none" w:sz="0" w:space="0" w:color="auto"/>
            <w:bottom w:val="none" w:sz="0" w:space="0" w:color="auto"/>
            <w:right w:val="none" w:sz="0" w:space="0" w:color="auto"/>
          </w:divBdr>
        </w:div>
        <w:div w:id="1429738883">
          <w:marLeft w:val="0"/>
          <w:marRight w:val="0"/>
          <w:marTop w:val="0"/>
          <w:marBottom w:val="0"/>
          <w:divBdr>
            <w:top w:val="none" w:sz="0" w:space="0" w:color="auto"/>
            <w:left w:val="none" w:sz="0" w:space="0" w:color="auto"/>
            <w:bottom w:val="none" w:sz="0" w:space="0" w:color="auto"/>
            <w:right w:val="none" w:sz="0" w:space="0" w:color="auto"/>
          </w:divBdr>
        </w:div>
        <w:div w:id="1465731005">
          <w:marLeft w:val="0"/>
          <w:marRight w:val="0"/>
          <w:marTop w:val="0"/>
          <w:marBottom w:val="0"/>
          <w:divBdr>
            <w:top w:val="none" w:sz="0" w:space="0" w:color="auto"/>
            <w:left w:val="none" w:sz="0" w:space="0" w:color="auto"/>
            <w:bottom w:val="none" w:sz="0" w:space="0" w:color="auto"/>
            <w:right w:val="none" w:sz="0" w:space="0" w:color="auto"/>
          </w:divBdr>
        </w:div>
        <w:div w:id="1476413024">
          <w:marLeft w:val="0"/>
          <w:marRight w:val="0"/>
          <w:marTop w:val="0"/>
          <w:marBottom w:val="0"/>
          <w:divBdr>
            <w:top w:val="none" w:sz="0" w:space="0" w:color="auto"/>
            <w:left w:val="none" w:sz="0" w:space="0" w:color="auto"/>
            <w:bottom w:val="none" w:sz="0" w:space="0" w:color="auto"/>
            <w:right w:val="none" w:sz="0" w:space="0" w:color="auto"/>
          </w:divBdr>
        </w:div>
        <w:div w:id="1478573388">
          <w:marLeft w:val="0"/>
          <w:marRight w:val="0"/>
          <w:marTop w:val="0"/>
          <w:marBottom w:val="0"/>
          <w:divBdr>
            <w:top w:val="none" w:sz="0" w:space="0" w:color="auto"/>
            <w:left w:val="none" w:sz="0" w:space="0" w:color="auto"/>
            <w:bottom w:val="none" w:sz="0" w:space="0" w:color="auto"/>
            <w:right w:val="none" w:sz="0" w:space="0" w:color="auto"/>
          </w:divBdr>
        </w:div>
        <w:div w:id="1490904104">
          <w:marLeft w:val="0"/>
          <w:marRight w:val="0"/>
          <w:marTop w:val="0"/>
          <w:marBottom w:val="0"/>
          <w:divBdr>
            <w:top w:val="none" w:sz="0" w:space="0" w:color="auto"/>
            <w:left w:val="none" w:sz="0" w:space="0" w:color="auto"/>
            <w:bottom w:val="none" w:sz="0" w:space="0" w:color="auto"/>
            <w:right w:val="none" w:sz="0" w:space="0" w:color="auto"/>
          </w:divBdr>
        </w:div>
        <w:div w:id="1519588420">
          <w:marLeft w:val="0"/>
          <w:marRight w:val="0"/>
          <w:marTop w:val="0"/>
          <w:marBottom w:val="0"/>
          <w:divBdr>
            <w:top w:val="none" w:sz="0" w:space="0" w:color="auto"/>
            <w:left w:val="none" w:sz="0" w:space="0" w:color="auto"/>
            <w:bottom w:val="none" w:sz="0" w:space="0" w:color="auto"/>
            <w:right w:val="none" w:sz="0" w:space="0" w:color="auto"/>
          </w:divBdr>
        </w:div>
        <w:div w:id="1538467566">
          <w:marLeft w:val="0"/>
          <w:marRight w:val="0"/>
          <w:marTop w:val="0"/>
          <w:marBottom w:val="0"/>
          <w:divBdr>
            <w:top w:val="none" w:sz="0" w:space="0" w:color="auto"/>
            <w:left w:val="none" w:sz="0" w:space="0" w:color="auto"/>
            <w:bottom w:val="none" w:sz="0" w:space="0" w:color="auto"/>
            <w:right w:val="none" w:sz="0" w:space="0" w:color="auto"/>
          </w:divBdr>
        </w:div>
        <w:div w:id="1552881166">
          <w:marLeft w:val="0"/>
          <w:marRight w:val="0"/>
          <w:marTop w:val="0"/>
          <w:marBottom w:val="0"/>
          <w:divBdr>
            <w:top w:val="none" w:sz="0" w:space="0" w:color="auto"/>
            <w:left w:val="none" w:sz="0" w:space="0" w:color="auto"/>
            <w:bottom w:val="none" w:sz="0" w:space="0" w:color="auto"/>
            <w:right w:val="none" w:sz="0" w:space="0" w:color="auto"/>
          </w:divBdr>
        </w:div>
        <w:div w:id="1599831576">
          <w:marLeft w:val="0"/>
          <w:marRight w:val="0"/>
          <w:marTop w:val="0"/>
          <w:marBottom w:val="0"/>
          <w:divBdr>
            <w:top w:val="none" w:sz="0" w:space="0" w:color="auto"/>
            <w:left w:val="none" w:sz="0" w:space="0" w:color="auto"/>
            <w:bottom w:val="none" w:sz="0" w:space="0" w:color="auto"/>
            <w:right w:val="none" w:sz="0" w:space="0" w:color="auto"/>
          </w:divBdr>
        </w:div>
        <w:div w:id="1622153711">
          <w:marLeft w:val="0"/>
          <w:marRight w:val="0"/>
          <w:marTop w:val="0"/>
          <w:marBottom w:val="0"/>
          <w:divBdr>
            <w:top w:val="none" w:sz="0" w:space="0" w:color="auto"/>
            <w:left w:val="none" w:sz="0" w:space="0" w:color="auto"/>
            <w:bottom w:val="none" w:sz="0" w:space="0" w:color="auto"/>
            <w:right w:val="none" w:sz="0" w:space="0" w:color="auto"/>
          </w:divBdr>
        </w:div>
        <w:div w:id="1657998986">
          <w:marLeft w:val="0"/>
          <w:marRight w:val="0"/>
          <w:marTop w:val="0"/>
          <w:marBottom w:val="0"/>
          <w:divBdr>
            <w:top w:val="none" w:sz="0" w:space="0" w:color="auto"/>
            <w:left w:val="none" w:sz="0" w:space="0" w:color="auto"/>
            <w:bottom w:val="none" w:sz="0" w:space="0" w:color="auto"/>
            <w:right w:val="none" w:sz="0" w:space="0" w:color="auto"/>
          </w:divBdr>
        </w:div>
        <w:div w:id="1687631276">
          <w:marLeft w:val="0"/>
          <w:marRight w:val="0"/>
          <w:marTop w:val="0"/>
          <w:marBottom w:val="0"/>
          <w:divBdr>
            <w:top w:val="none" w:sz="0" w:space="0" w:color="auto"/>
            <w:left w:val="none" w:sz="0" w:space="0" w:color="auto"/>
            <w:bottom w:val="none" w:sz="0" w:space="0" w:color="auto"/>
            <w:right w:val="none" w:sz="0" w:space="0" w:color="auto"/>
          </w:divBdr>
        </w:div>
        <w:div w:id="1696536791">
          <w:marLeft w:val="0"/>
          <w:marRight w:val="0"/>
          <w:marTop w:val="0"/>
          <w:marBottom w:val="0"/>
          <w:divBdr>
            <w:top w:val="none" w:sz="0" w:space="0" w:color="auto"/>
            <w:left w:val="none" w:sz="0" w:space="0" w:color="auto"/>
            <w:bottom w:val="none" w:sz="0" w:space="0" w:color="auto"/>
            <w:right w:val="none" w:sz="0" w:space="0" w:color="auto"/>
          </w:divBdr>
        </w:div>
        <w:div w:id="1699157494">
          <w:marLeft w:val="0"/>
          <w:marRight w:val="0"/>
          <w:marTop w:val="0"/>
          <w:marBottom w:val="0"/>
          <w:divBdr>
            <w:top w:val="none" w:sz="0" w:space="0" w:color="auto"/>
            <w:left w:val="none" w:sz="0" w:space="0" w:color="auto"/>
            <w:bottom w:val="none" w:sz="0" w:space="0" w:color="auto"/>
            <w:right w:val="none" w:sz="0" w:space="0" w:color="auto"/>
          </w:divBdr>
        </w:div>
        <w:div w:id="1713574628">
          <w:marLeft w:val="0"/>
          <w:marRight w:val="0"/>
          <w:marTop w:val="0"/>
          <w:marBottom w:val="0"/>
          <w:divBdr>
            <w:top w:val="none" w:sz="0" w:space="0" w:color="auto"/>
            <w:left w:val="none" w:sz="0" w:space="0" w:color="auto"/>
            <w:bottom w:val="none" w:sz="0" w:space="0" w:color="auto"/>
            <w:right w:val="none" w:sz="0" w:space="0" w:color="auto"/>
          </w:divBdr>
        </w:div>
        <w:div w:id="1745639203">
          <w:marLeft w:val="0"/>
          <w:marRight w:val="0"/>
          <w:marTop w:val="0"/>
          <w:marBottom w:val="0"/>
          <w:divBdr>
            <w:top w:val="none" w:sz="0" w:space="0" w:color="auto"/>
            <w:left w:val="none" w:sz="0" w:space="0" w:color="auto"/>
            <w:bottom w:val="none" w:sz="0" w:space="0" w:color="auto"/>
            <w:right w:val="none" w:sz="0" w:space="0" w:color="auto"/>
          </w:divBdr>
        </w:div>
        <w:div w:id="1747846705">
          <w:marLeft w:val="0"/>
          <w:marRight w:val="0"/>
          <w:marTop w:val="0"/>
          <w:marBottom w:val="0"/>
          <w:divBdr>
            <w:top w:val="none" w:sz="0" w:space="0" w:color="auto"/>
            <w:left w:val="none" w:sz="0" w:space="0" w:color="auto"/>
            <w:bottom w:val="none" w:sz="0" w:space="0" w:color="auto"/>
            <w:right w:val="none" w:sz="0" w:space="0" w:color="auto"/>
          </w:divBdr>
        </w:div>
        <w:div w:id="1750032783">
          <w:marLeft w:val="0"/>
          <w:marRight w:val="0"/>
          <w:marTop w:val="0"/>
          <w:marBottom w:val="0"/>
          <w:divBdr>
            <w:top w:val="none" w:sz="0" w:space="0" w:color="auto"/>
            <w:left w:val="none" w:sz="0" w:space="0" w:color="auto"/>
            <w:bottom w:val="none" w:sz="0" w:space="0" w:color="auto"/>
            <w:right w:val="none" w:sz="0" w:space="0" w:color="auto"/>
          </w:divBdr>
        </w:div>
        <w:div w:id="1809591535">
          <w:marLeft w:val="0"/>
          <w:marRight w:val="0"/>
          <w:marTop w:val="0"/>
          <w:marBottom w:val="0"/>
          <w:divBdr>
            <w:top w:val="none" w:sz="0" w:space="0" w:color="auto"/>
            <w:left w:val="none" w:sz="0" w:space="0" w:color="auto"/>
            <w:bottom w:val="none" w:sz="0" w:space="0" w:color="auto"/>
            <w:right w:val="none" w:sz="0" w:space="0" w:color="auto"/>
          </w:divBdr>
        </w:div>
        <w:div w:id="1824351058">
          <w:marLeft w:val="0"/>
          <w:marRight w:val="0"/>
          <w:marTop w:val="0"/>
          <w:marBottom w:val="0"/>
          <w:divBdr>
            <w:top w:val="none" w:sz="0" w:space="0" w:color="auto"/>
            <w:left w:val="none" w:sz="0" w:space="0" w:color="auto"/>
            <w:bottom w:val="none" w:sz="0" w:space="0" w:color="auto"/>
            <w:right w:val="none" w:sz="0" w:space="0" w:color="auto"/>
          </w:divBdr>
        </w:div>
        <w:div w:id="1828670554">
          <w:marLeft w:val="0"/>
          <w:marRight w:val="0"/>
          <w:marTop w:val="0"/>
          <w:marBottom w:val="0"/>
          <w:divBdr>
            <w:top w:val="none" w:sz="0" w:space="0" w:color="auto"/>
            <w:left w:val="none" w:sz="0" w:space="0" w:color="auto"/>
            <w:bottom w:val="none" w:sz="0" w:space="0" w:color="auto"/>
            <w:right w:val="none" w:sz="0" w:space="0" w:color="auto"/>
          </w:divBdr>
        </w:div>
        <w:div w:id="1828863429">
          <w:marLeft w:val="0"/>
          <w:marRight w:val="0"/>
          <w:marTop w:val="0"/>
          <w:marBottom w:val="0"/>
          <w:divBdr>
            <w:top w:val="none" w:sz="0" w:space="0" w:color="auto"/>
            <w:left w:val="none" w:sz="0" w:space="0" w:color="auto"/>
            <w:bottom w:val="none" w:sz="0" w:space="0" w:color="auto"/>
            <w:right w:val="none" w:sz="0" w:space="0" w:color="auto"/>
          </w:divBdr>
        </w:div>
        <w:div w:id="1841236066">
          <w:marLeft w:val="0"/>
          <w:marRight w:val="0"/>
          <w:marTop w:val="0"/>
          <w:marBottom w:val="0"/>
          <w:divBdr>
            <w:top w:val="none" w:sz="0" w:space="0" w:color="auto"/>
            <w:left w:val="none" w:sz="0" w:space="0" w:color="auto"/>
            <w:bottom w:val="none" w:sz="0" w:space="0" w:color="auto"/>
            <w:right w:val="none" w:sz="0" w:space="0" w:color="auto"/>
          </w:divBdr>
        </w:div>
        <w:div w:id="1871340206">
          <w:marLeft w:val="0"/>
          <w:marRight w:val="0"/>
          <w:marTop w:val="0"/>
          <w:marBottom w:val="0"/>
          <w:divBdr>
            <w:top w:val="none" w:sz="0" w:space="0" w:color="auto"/>
            <w:left w:val="none" w:sz="0" w:space="0" w:color="auto"/>
            <w:bottom w:val="none" w:sz="0" w:space="0" w:color="auto"/>
            <w:right w:val="none" w:sz="0" w:space="0" w:color="auto"/>
          </w:divBdr>
        </w:div>
        <w:div w:id="1881700854">
          <w:marLeft w:val="0"/>
          <w:marRight w:val="0"/>
          <w:marTop w:val="0"/>
          <w:marBottom w:val="0"/>
          <w:divBdr>
            <w:top w:val="none" w:sz="0" w:space="0" w:color="auto"/>
            <w:left w:val="none" w:sz="0" w:space="0" w:color="auto"/>
            <w:bottom w:val="none" w:sz="0" w:space="0" w:color="auto"/>
            <w:right w:val="none" w:sz="0" w:space="0" w:color="auto"/>
          </w:divBdr>
        </w:div>
        <w:div w:id="1898976275">
          <w:marLeft w:val="0"/>
          <w:marRight w:val="0"/>
          <w:marTop w:val="0"/>
          <w:marBottom w:val="0"/>
          <w:divBdr>
            <w:top w:val="none" w:sz="0" w:space="0" w:color="auto"/>
            <w:left w:val="none" w:sz="0" w:space="0" w:color="auto"/>
            <w:bottom w:val="none" w:sz="0" w:space="0" w:color="auto"/>
            <w:right w:val="none" w:sz="0" w:space="0" w:color="auto"/>
          </w:divBdr>
        </w:div>
        <w:div w:id="1902985599">
          <w:marLeft w:val="0"/>
          <w:marRight w:val="0"/>
          <w:marTop w:val="0"/>
          <w:marBottom w:val="0"/>
          <w:divBdr>
            <w:top w:val="none" w:sz="0" w:space="0" w:color="auto"/>
            <w:left w:val="none" w:sz="0" w:space="0" w:color="auto"/>
            <w:bottom w:val="none" w:sz="0" w:space="0" w:color="auto"/>
            <w:right w:val="none" w:sz="0" w:space="0" w:color="auto"/>
          </w:divBdr>
        </w:div>
        <w:div w:id="1932928579">
          <w:marLeft w:val="0"/>
          <w:marRight w:val="0"/>
          <w:marTop w:val="0"/>
          <w:marBottom w:val="0"/>
          <w:divBdr>
            <w:top w:val="none" w:sz="0" w:space="0" w:color="auto"/>
            <w:left w:val="none" w:sz="0" w:space="0" w:color="auto"/>
            <w:bottom w:val="none" w:sz="0" w:space="0" w:color="auto"/>
            <w:right w:val="none" w:sz="0" w:space="0" w:color="auto"/>
          </w:divBdr>
        </w:div>
        <w:div w:id="1946157211">
          <w:marLeft w:val="0"/>
          <w:marRight w:val="0"/>
          <w:marTop w:val="0"/>
          <w:marBottom w:val="0"/>
          <w:divBdr>
            <w:top w:val="none" w:sz="0" w:space="0" w:color="auto"/>
            <w:left w:val="none" w:sz="0" w:space="0" w:color="auto"/>
            <w:bottom w:val="none" w:sz="0" w:space="0" w:color="auto"/>
            <w:right w:val="none" w:sz="0" w:space="0" w:color="auto"/>
          </w:divBdr>
        </w:div>
        <w:div w:id="1953856618">
          <w:marLeft w:val="0"/>
          <w:marRight w:val="0"/>
          <w:marTop w:val="0"/>
          <w:marBottom w:val="0"/>
          <w:divBdr>
            <w:top w:val="none" w:sz="0" w:space="0" w:color="auto"/>
            <w:left w:val="none" w:sz="0" w:space="0" w:color="auto"/>
            <w:bottom w:val="none" w:sz="0" w:space="0" w:color="auto"/>
            <w:right w:val="none" w:sz="0" w:space="0" w:color="auto"/>
          </w:divBdr>
        </w:div>
        <w:div w:id="1963530721">
          <w:marLeft w:val="0"/>
          <w:marRight w:val="0"/>
          <w:marTop w:val="0"/>
          <w:marBottom w:val="0"/>
          <w:divBdr>
            <w:top w:val="none" w:sz="0" w:space="0" w:color="auto"/>
            <w:left w:val="none" w:sz="0" w:space="0" w:color="auto"/>
            <w:bottom w:val="none" w:sz="0" w:space="0" w:color="auto"/>
            <w:right w:val="none" w:sz="0" w:space="0" w:color="auto"/>
          </w:divBdr>
        </w:div>
        <w:div w:id="1970087055">
          <w:marLeft w:val="0"/>
          <w:marRight w:val="0"/>
          <w:marTop w:val="0"/>
          <w:marBottom w:val="0"/>
          <w:divBdr>
            <w:top w:val="none" w:sz="0" w:space="0" w:color="auto"/>
            <w:left w:val="none" w:sz="0" w:space="0" w:color="auto"/>
            <w:bottom w:val="none" w:sz="0" w:space="0" w:color="auto"/>
            <w:right w:val="none" w:sz="0" w:space="0" w:color="auto"/>
          </w:divBdr>
        </w:div>
        <w:div w:id="1983850052">
          <w:marLeft w:val="0"/>
          <w:marRight w:val="0"/>
          <w:marTop w:val="0"/>
          <w:marBottom w:val="0"/>
          <w:divBdr>
            <w:top w:val="none" w:sz="0" w:space="0" w:color="auto"/>
            <w:left w:val="none" w:sz="0" w:space="0" w:color="auto"/>
            <w:bottom w:val="none" w:sz="0" w:space="0" w:color="auto"/>
            <w:right w:val="none" w:sz="0" w:space="0" w:color="auto"/>
          </w:divBdr>
        </w:div>
        <w:div w:id="1984574816">
          <w:marLeft w:val="0"/>
          <w:marRight w:val="0"/>
          <w:marTop w:val="0"/>
          <w:marBottom w:val="0"/>
          <w:divBdr>
            <w:top w:val="none" w:sz="0" w:space="0" w:color="auto"/>
            <w:left w:val="none" w:sz="0" w:space="0" w:color="auto"/>
            <w:bottom w:val="none" w:sz="0" w:space="0" w:color="auto"/>
            <w:right w:val="none" w:sz="0" w:space="0" w:color="auto"/>
          </w:divBdr>
        </w:div>
        <w:div w:id="1997487807">
          <w:marLeft w:val="0"/>
          <w:marRight w:val="0"/>
          <w:marTop w:val="0"/>
          <w:marBottom w:val="0"/>
          <w:divBdr>
            <w:top w:val="none" w:sz="0" w:space="0" w:color="auto"/>
            <w:left w:val="none" w:sz="0" w:space="0" w:color="auto"/>
            <w:bottom w:val="none" w:sz="0" w:space="0" w:color="auto"/>
            <w:right w:val="none" w:sz="0" w:space="0" w:color="auto"/>
          </w:divBdr>
        </w:div>
        <w:div w:id="2015767245">
          <w:marLeft w:val="0"/>
          <w:marRight w:val="0"/>
          <w:marTop w:val="0"/>
          <w:marBottom w:val="0"/>
          <w:divBdr>
            <w:top w:val="none" w:sz="0" w:space="0" w:color="auto"/>
            <w:left w:val="none" w:sz="0" w:space="0" w:color="auto"/>
            <w:bottom w:val="none" w:sz="0" w:space="0" w:color="auto"/>
            <w:right w:val="none" w:sz="0" w:space="0" w:color="auto"/>
          </w:divBdr>
        </w:div>
      </w:divsChild>
    </w:div>
    <w:div w:id="984628647">
      <w:bodyDiv w:val="1"/>
      <w:marLeft w:val="0"/>
      <w:marRight w:val="0"/>
      <w:marTop w:val="0"/>
      <w:marBottom w:val="0"/>
      <w:divBdr>
        <w:top w:val="none" w:sz="0" w:space="0" w:color="auto"/>
        <w:left w:val="none" w:sz="0" w:space="0" w:color="auto"/>
        <w:bottom w:val="none" w:sz="0" w:space="0" w:color="auto"/>
        <w:right w:val="none" w:sz="0" w:space="0" w:color="auto"/>
      </w:divBdr>
    </w:div>
    <w:div w:id="984629718">
      <w:bodyDiv w:val="1"/>
      <w:marLeft w:val="0"/>
      <w:marRight w:val="0"/>
      <w:marTop w:val="0"/>
      <w:marBottom w:val="0"/>
      <w:divBdr>
        <w:top w:val="none" w:sz="0" w:space="0" w:color="auto"/>
        <w:left w:val="none" w:sz="0" w:space="0" w:color="auto"/>
        <w:bottom w:val="none" w:sz="0" w:space="0" w:color="auto"/>
        <w:right w:val="none" w:sz="0" w:space="0" w:color="auto"/>
      </w:divBdr>
    </w:div>
    <w:div w:id="984700484">
      <w:bodyDiv w:val="1"/>
      <w:marLeft w:val="0"/>
      <w:marRight w:val="0"/>
      <w:marTop w:val="0"/>
      <w:marBottom w:val="0"/>
      <w:divBdr>
        <w:top w:val="none" w:sz="0" w:space="0" w:color="auto"/>
        <w:left w:val="none" w:sz="0" w:space="0" w:color="auto"/>
        <w:bottom w:val="none" w:sz="0" w:space="0" w:color="auto"/>
        <w:right w:val="none" w:sz="0" w:space="0" w:color="auto"/>
      </w:divBdr>
    </w:div>
    <w:div w:id="984745727">
      <w:bodyDiv w:val="1"/>
      <w:marLeft w:val="0"/>
      <w:marRight w:val="0"/>
      <w:marTop w:val="0"/>
      <w:marBottom w:val="0"/>
      <w:divBdr>
        <w:top w:val="none" w:sz="0" w:space="0" w:color="auto"/>
        <w:left w:val="none" w:sz="0" w:space="0" w:color="auto"/>
        <w:bottom w:val="none" w:sz="0" w:space="0" w:color="auto"/>
        <w:right w:val="none" w:sz="0" w:space="0" w:color="auto"/>
      </w:divBdr>
    </w:div>
    <w:div w:id="984747498">
      <w:bodyDiv w:val="1"/>
      <w:marLeft w:val="0"/>
      <w:marRight w:val="0"/>
      <w:marTop w:val="0"/>
      <w:marBottom w:val="0"/>
      <w:divBdr>
        <w:top w:val="none" w:sz="0" w:space="0" w:color="auto"/>
        <w:left w:val="none" w:sz="0" w:space="0" w:color="auto"/>
        <w:bottom w:val="none" w:sz="0" w:space="0" w:color="auto"/>
        <w:right w:val="none" w:sz="0" w:space="0" w:color="auto"/>
      </w:divBdr>
    </w:div>
    <w:div w:id="984967945">
      <w:bodyDiv w:val="1"/>
      <w:marLeft w:val="0"/>
      <w:marRight w:val="0"/>
      <w:marTop w:val="0"/>
      <w:marBottom w:val="0"/>
      <w:divBdr>
        <w:top w:val="none" w:sz="0" w:space="0" w:color="auto"/>
        <w:left w:val="none" w:sz="0" w:space="0" w:color="auto"/>
        <w:bottom w:val="none" w:sz="0" w:space="0" w:color="auto"/>
        <w:right w:val="none" w:sz="0" w:space="0" w:color="auto"/>
      </w:divBdr>
    </w:div>
    <w:div w:id="985010069">
      <w:bodyDiv w:val="1"/>
      <w:marLeft w:val="0"/>
      <w:marRight w:val="0"/>
      <w:marTop w:val="0"/>
      <w:marBottom w:val="0"/>
      <w:divBdr>
        <w:top w:val="none" w:sz="0" w:space="0" w:color="auto"/>
        <w:left w:val="none" w:sz="0" w:space="0" w:color="auto"/>
        <w:bottom w:val="none" w:sz="0" w:space="0" w:color="auto"/>
        <w:right w:val="none" w:sz="0" w:space="0" w:color="auto"/>
      </w:divBdr>
    </w:div>
    <w:div w:id="985014113">
      <w:bodyDiv w:val="1"/>
      <w:marLeft w:val="0"/>
      <w:marRight w:val="0"/>
      <w:marTop w:val="0"/>
      <w:marBottom w:val="0"/>
      <w:divBdr>
        <w:top w:val="none" w:sz="0" w:space="0" w:color="auto"/>
        <w:left w:val="none" w:sz="0" w:space="0" w:color="auto"/>
        <w:bottom w:val="none" w:sz="0" w:space="0" w:color="auto"/>
        <w:right w:val="none" w:sz="0" w:space="0" w:color="auto"/>
      </w:divBdr>
    </w:div>
    <w:div w:id="985083363">
      <w:bodyDiv w:val="1"/>
      <w:marLeft w:val="0"/>
      <w:marRight w:val="0"/>
      <w:marTop w:val="0"/>
      <w:marBottom w:val="0"/>
      <w:divBdr>
        <w:top w:val="none" w:sz="0" w:space="0" w:color="auto"/>
        <w:left w:val="none" w:sz="0" w:space="0" w:color="auto"/>
        <w:bottom w:val="none" w:sz="0" w:space="0" w:color="auto"/>
        <w:right w:val="none" w:sz="0" w:space="0" w:color="auto"/>
      </w:divBdr>
    </w:div>
    <w:div w:id="985161672">
      <w:bodyDiv w:val="1"/>
      <w:marLeft w:val="0"/>
      <w:marRight w:val="0"/>
      <w:marTop w:val="0"/>
      <w:marBottom w:val="0"/>
      <w:divBdr>
        <w:top w:val="none" w:sz="0" w:space="0" w:color="auto"/>
        <w:left w:val="none" w:sz="0" w:space="0" w:color="auto"/>
        <w:bottom w:val="none" w:sz="0" w:space="0" w:color="auto"/>
        <w:right w:val="none" w:sz="0" w:space="0" w:color="auto"/>
      </w:divBdr>
    </w:div>
    <w:div w:id="985277621">
      <w:bodyDiv w:val="1"/>
      <w:marLeft w:val="0"/>
      <w:marRight w:val="0"/>
      <w:marTop w:val="0"/>
      <w:marBottom w:val="0"/>
      <w:divBdr>
        <w:top w:val="none" w:sz="0" w:space="0" w:color="auto"/>
        <w:left w:val="none" w:sz="0" w:space="0" w:color="auto"/>
        <w:bottom w:val="none" w:sz="0" w:space="0" w:color="auto"/>
        <w:right w:val="none" w:sz="0" w:space="0" w:color="auto"/>
      </w:divBdr>
    </w:div>
    <w:div w:id="985280416">
      <w:bodyDiv w:val="1"/>
      <w:marLeft w:val="0"/>
      <w:marRight w:val="0"/>
      <w:marTop w:val="0"/>
      <w:marBottom w:val="0"/>
      <w:divBdr>
        <w:top w:val="none" w:sz="0" w:space="0" w:color="auto"/>
        <w:left w:val="none" w:sz="0" w:space="0" w:color="auto"/>
        <w:bottom w:val="none" w:sz="0" w:space="0" w:color="auto"/>
        <w:right w:val="none" w:sz="0" w:space="0" w:color="auto"/>
      </w:divBdr>
    </w:div>
    <w:div w:id="985280673">
      <w:bodyDiv w:val="1"/>
      <w:marLeft w:val="0"/>
      <w:marRight w:val="0"/>
      <w:marTop w:val="0"/>
      <w:marBottom w:val="0"/>
      <w:divBdr>
        <w:top w:val="none" w:sz="0" w:space="0" w:color="auto"/>
        <w:left w:val="none" w:sz="0" w:space="0" w:color="auto"/>
        <w:bottom w:val="none" w:sz="0" w:space="0" w:color="auto"/>
        <w:right w:val="none" w:sz="0" w:space="0" w:color="auto"/>
      </w:divBdr>
    </w:div>
    <w:div w:id="985472717">
      <w:bodyDiv w:val="1"/>
      <w:marLeft w:val="0"/>
      <w:marRight w:val="0"/>
      <w:marTop w:val="0"/>
      <w:marBottom w:val="0"/>
      <w:divBdr>
        <w:top w:val="none" w:sz="0" w:space="0" w:color="auto"/>
        <w:left w:val="none" w:sz="0" w:space="0" w:color="auto"/>
        <w:bottom w:val="none" w:sz="0" w:space="0" w:color="auto"/>
        <w:right w:val="none" w:sz="0" w:space="0" w:color="auto"/>
      </w:divBdr>
    </w:div>
    <w:div w:id="985596649">
      <w:bodyDiv w:val="1"/>
      <w:marLeft w:val="0"/>
      <w:marRight w:val="0"/>
      <w:marTop w:val="0"/>
      <w:marBottom w:val="0"/>
      <w:divBdr>
        <w:top w:val="none" w:sz="0" w:space="0" w:color="auto"/>
        <w:left w:val="none" w:sz="0" w:space="0" w:color="auto"/>
        <w:bottom w:val="none" w:sz="0" w:space="0" w:color="auto"/>
        <w:right w:val="none" w:sz="0" w:space="0" w:color="auto"/>
      </w:divBdr>
    </w:div>
    <w:div w:id="985662852">
      <w:bodyDiv w:val="1"/>
      <w:marLeft w:val="0"/>
      <w:marRight w:val="0"/>
      <w:marTop w:val="0"/>
      <w:marBottom w:val="0"/>
      <w:divBdr>
        <w:top w:val="none" w:sz="0" w:space="0" w:color="auto"/>
        <w:left w:val="none" w:sz="0" w:space="0" w:color="auto"/>
        <w:bottom w:val="none" w:sz="0" w:space="0" w:color="auto"/>
        <w:right w:val="none" w:sz="0" w:space="0" w:color="auto"/>
      </w:divBdr>
    </w:div>
    <w:div w:id="985665051">
      <w:bodyDiv w:val="1"/>
      <w:marLeft w:val="0"/>
      <w:marRight w:val="0"/>
      <w:marTop w:val="0"/>
      <w:marBottom w:val="0"/>
      <w:divBdr>
        <w:top w:val="none" w:sz="0" w:space="0" w:color="auto"/>
        <w:left w:val="none" w:sz="0" w:space="0" w:color="auto"/>
        <w:bottom w:val="none" w:sz="0" w:space="0" w:color="auto"/>
        <w:right w:val="none" w:sz="0" w:space="0" w:color="auto"/>
      </w:divBdr>
    </w:div>
    <w:div w:id="985741791">
      <w:bodyDiv w:val="1"/>
      <w:marLeft w:val="0"/>
      <w:marRight w:val="0"/>
      <w:marTop w:val="0"/>
      <w:marBottom w:val="0"/>
      <w:divBdr>
        <w:top w:val="none" w:sz="0" w:space="0" w:color="auto"/>
        <w:left w:val="none" w:sz="0" w:space="0" w:color="auto"/>
        <w:bottom w:val="none" w:sz="0" w:space="0" w:color="auto"/>
        <w:right w:val="none" w:sz="0" w:space="0" w:color="auto"/>
      </w:divBdr>
    </w:div>
    <w:div w:id="985819085">
      <w:bodyDiv w:val="1"/>
      <w:marLeft w:val="0"/>
      <w:marRight w:val="0"/>
      <w:marTop w:val="0"/>
      <w:marBottom w:val="0"/>
      <w:divBdr>
        <w:top w:val="none" w:sz="0" w:space="0" w:color="auto"/>
        <w:left w:val="none" w:sz="0" w:space="0" w:color="auto"/>
        <w:bottom w:val="none" w:sz="0" w:space="0" w:color="auto"/>
        <w:right w:val="none" w:sz="0" w:space="0" w:color="auto"/>
      </w:divBdr>
    </w:div>
    <w:div w:id="985861733">
      <w:bodyDiv w:val="1"/>
      <w:marLeft w:val="0"/>
      <w:marRight w:val="0"/>
      <w:marTop w:val="0"/>
      <w:marBottom w:val="0"/>
      <w:divBdr>
        <w:top w:val="none" w:sz="0" w:space="0" w:color="auto"/>
        <w:left w:val="none" w:sz="0" w:space="0" w:color="auto"/>
        <w:bottom w:val="none" w:sz="0" w:space="0" w:color="auto"/>
        <w:right w:val="none" w:sz="0" w:space="0" w:color="auto"/>
      </w:divBdr>
    </w:div>
    <w:div w:id="986276319">
      <w:bodyDiv w:val="1"/>
      <w:marLeft w:val="0"/>
      <w:marRight w:val="0"/>
      <w:marTop w:val="0"/>
      <w:marBottom w:val="0"/>
      <w:divBdr>
        <w:top w:val="none" w:sz="0" w:space="0" w:color="auto"/>
        <w:left w:val="none" w:sz="0" w:space="0" w:color="auto"/>
        <w:bottom w:val="none" w:sz="0" w:space="0" w:color="auto"/>
        <w:right w:val="none" w:sz="0" w:space="0" w:color="auto"/>
      </w:divBdr>
    </w:div>
    <w:div w:id="986276532">
      <w:bodyDiv w:val="1"/>
      <w:marLeft w:val="0"/>
      <w:marRight w:val="0"/>
      <w:marTop w:val="0"/>
      <w:marBottom w:val="0"/>
      <w:divBdr>
        <w:top w:val="none" w:sz="0" w:space="0" w:color="auto"/>
        <w:left w:val="none" w:sz="0" w:space="0" w:color="auto"/>
        <w:bottom w:val="none" w:sz="0" w:space="0" w:color="auto"/>
        <w:right w:val="none" w:sz="0" w:space="0" w:color="auto"/>
      </w:divBdr>
    </w:div>
    <w:div w:id="986319815">
      <w:bodyDiv w:val="1"/>
      <w:marLeft w:val="0"/>
      <w:marRight w:val="0"/>
      <w:marTop w:val="0"/>
      <w:marBottom w:val="0"/>
      <w:divBdr>
        <w:top w:val="none" w:sz="0" w:space="0" w:color="auto"/>
        <w:left w:val="none" w:sz="0" w:space="0" w:color="auto"/>
        <w:bottom w:val="none" w:sz="0" w:space="0" w:color="auto"/>
        <w:right w:val="none" w:sz="0" w:space="0" w:color="auto"/>
      </w:divBdr>
    </w:div>
    <w:div w:id="986399060">
      <w:bodyDiv w:val="1"/>
      <w:marLeft w:val="0"/>
      <w:marRight w:val="0"/>
      <w:marTop w:val="0"/>
      <w:marBottom w:val="0"/>
      <w:divBdr>
        <w:top w:val="none" w:sz="0" w:space="0" w:color="auto"/>
        <w:left w:val="none" w:sz="0" w:space="0" w:color="auto"/>
        <w:bottom w:val="none" w:sz="0" w:space="0" w:color="auto"/>
        <w:right w:val="none" w:sz="0" w:space="0" w:color="auto"/>
      </w:divBdr>
    </w:div>
    <w:div w:id="986516715">
      <w:bodyDiv w:val="1"/>
      <w:marLeft w:val="0"/>
      <w:marRight w:val="0"/>
      <w:marTop w:val="0"/>
      <w:marBottom w:val="0"/>
      <w:divBdr>
        <w:top w:val="none" w:sz="0" w:space="0" w:color="auto"/>
        <w:left w:val="none" w:sz="0" w:space="0" w:color="auto"/>
        <w:bottom w:val="none" w:sz="0" w:space="0" w:color="auto"/>
        <w:right w:val="none" w:sz="0" w:space="0" w:color="auto"/>
      </w:divBdr>
    </w:div>
    <w:div w:id="986590115">
      <w:bodyDiv w:val="1"/>
      <w:marLeft w:val="0"/>
      <w:marRight w:val="0"/>
      <w:marTop w:val="0"/>
      <w:marBottom w:val="0"/>
      <w:divBdr>
        <w:top w:val="none" w:sz="0" w:space="0" w:color="auto"/>
        <w:left w:val="none" w:sz="0" w:space="0" w:color="auto"/>
        <w:bottom w:val="none" w:sz="0" w:space="0" w:color="auto"/>
        <w:right w:val="none" w:sz="0" w:space="0" w:color="auto"/>
      </w:divBdr>
    </w:div>
    <w:div w:id="986787032">
      <w:bodyDiv w:val="1"/>
      <w:marLeft w:val="0"/>
      <w:marRight w:val="0"/>
      <w:marTop w:val="0"/>
      <w:marBottom w:val="0"/>
      <w:divBdr>
        <w:top w:val="none" w:sz="0" w:space="0" w:color="auto"/>
        <w:left w:val="none" w:sz="0" w:space="0" w:color="auto"/>
        <w:bottom w:val="none" w:sz="0" w:space="0" w:color="auto"/>
        <w:right w:val="none" w:sz="0" w:space="0" w:color="auto"/>
      </w:divBdr>
    </w:div>
    <w:div w:id="986975146">
      <w:bodyDiv w:val="1"/>
      <w:marLeft w:val="0"/>
      <w:marRight w:val="0"/>
      <w:marTop w:val="0"/>
      <w:marBottom w:val="0"/>
      <w:divBdr>
        <w:top w:val="none" w:sz="0" w:space="0" w:color="auto"/>
        <w:left w:val="none" w:sz="0" w:space="0" w:color="auto"/>
        <w:bottom w:val="none" w:sz="0" w:space="0" w:color="auto"/>
        <w:right w:val="none" w:sz="0" w:space="0" w:color="auto"/>
      </w:divBdr>
    </w:div>
    <w:div w:id="986976971">
      <w:bodyDiv w:val="1"/>
      <w:marLeft w:val="0"/>
      <w:marRight w:val="0"/>
      <w:marTop w:val="0"/>
      <w:marBottom w:val="0"/>
      <w:divBdr>
        <w:top w:val="none" w:sz="0" w:space="0" w:color="auto"/>
        <w:left w:val="none" w:sz="0" w:space="0" w:color="auto"/>
        <w:bottom w:val="none" w:sz="0" w:space="0" w:color="auto"/>
        <w:right w:val="none" w:sz="0" w:space="0" w:color="auto"/>
      </w:divBdr>
    </w:div>
    <w:div w:id="986980203">
      <w:bodyDiv w:val="1"/>
      <w:marLeft w:val="0"/>
      <w:marRight w:val="0"/>
      <w:marTop w:val="0"/>
      <w:marBottom w:val="0"/>
      <w:divBdr>
        <w:top w:val="none" w:sz="0" w:space="0" w:color="auto"/>
        <w:left w:val="none" w:sz="0" w:space="0" w:color="auto"/>
        <w:bottom w:val="none" w:sz="0" w:space="0" w:color="auto"/>
        <w:right w:val="none" w:sz="0" w:space="0" w:color="auto"/>
      </w:divBdr>
    </w:div>
    <w:div w:id="987050149">
      <w:bodyDiv w:val="1"/>
      <w:marLeft w:val="0"/>
      <w:marRight w:val="0"/>
      <w:marTop w:val="0"/>
      <w:marBottom w:val="0"/>
      <w:divBdr>
        <w:top w:val="none" w:sz="0" w:space="0" w:color="auto"/>
        <w:left w:val="none" w:sz="0" w:space="0" w:color="auto"/>
        <w:bottom w:val="none" w:sz="0" w:space="0" w:color="auto"/>
        <w:right w:val="none" w:sz="0" w:space="0" w:color="auto"/>
      </w:divBdr>
    </w:div>
    <w:div w:id="987056206">
      <w:bodyDiv w:val="1"/>
      <w:marLeft w:val="0"/>
      <w:marRight w:val="0"/>
      <w:marTop w:val="0"/>
      <w:marBottom w:val="0"/>
      <w:divBdr>
        <w:top w:val="none" w:sz="0" w:space="0" w:color="auto"/>
        <w:left w:val="none" w:sz="0" w:space="0" w:color="auto"/>
        <w:bottom w:val="none" w:sz="0" w:space="0" w:color="auto"/>
        <w:right w:val="none" w:sz="0" w:space="0" w:color="auto"/>
      </w:divBdr>
    </w:div>
    <w:div w:id="987057239">
      <w:bodyDiv w:val="1"/>
      <w:marLeft w:val="0"/>
      <w:marRight w:val="0"/>
      <w:marTop w:val="0"/>
      <w:marBottom w:val="0"/>
      <w:divBdr>
        <w:top w:val="none" w:sz="0" w:space="0" w:color="auto"/>
        <w:left w:val="none" w:sz="0" w:space="0" w:color="auto"/>
        <w:bottom w:val="none" w:sz="0" w:space="0" w:color="auto"/>
        <w:right w:val="none" w:sz="0" w:space="0" w:color="auto"/>
      </w:divBdr>
    </w:div>
    <w:div w:id="987168985">
      <w:bodyDiv w:val="1"/>
      <w:marLeft w:val="0"/>
      <w:marRight w:val="0"/>
      <w:marTop w:val="0"/>
      <w:marBottom w:val="0"/>
      <w:divBdr>
        <w:top w:val="none" w:sz="0" w:space="0" w:color="auto"/>
        <w:left w:val="none" w:sz="0" w:space="0" w:color="auto"/>
        <w:bottom w:val="none" w:sz="0" w:space="0" w:color="auto"/>
        <w:right w:val="none" w:sz="0" w:space="0" w:color="auto"/>
      </w:divBdr>
    </w:div>
    <w:div w:id="987176064">
      <w:bodyDiv w:val="1"/>
      <w:marLeft w:val="0"/>
      <w:marRight w:val="0"/>
      <w:marTop w:val="0"/>
      <w:marBottom w:val="0"/>
      <w:divBdr>
        <w:top w:val="none" w:sz="0" w:space="0" w:color="auto"/>
        <w:left w:val="none" w:sz="0" w:space="0" w:color="auto"/>
        <w:bottom w:val="none" w:sz="0" w:space="0" w:color="auto"/>
        <w:right w:val="none" w:sz="0" w:space="0" w:color="auto"/>
      </w:divBdr>
    </w:div>
    <w:div w:id="987248253">
      <w:bodyDiv w:val="1"/>
      <w:marLeft w:val="0"/>
      <w:marRight w:val="0"/>
      <w:marTop w:val="0"/>
      <w:marBottom w:val="0"/>
      <w:divBdr>
        <w:top w:val="none" w:sz="0" w:space="0" w:color="auto"/>
        <w:left w:val="none" w:sz="0" w:space="0" w:color="auto"/>
        <w:bottom w:val="none" w:sz="0" w:space="0" w:color="auto"/>
        <w:right w:val="none" w:sz="0" w:space="0" w:color="auto"/>
      </w:divBdr>
    </w:div>
    <w:div w:id="987322848">
      <w:bodyDiv w:val="1"/>
      <w:marLeft w:val="0"/>
      <w:marRight w:val="0"/>
      <w:marTop w:val="0"/>
      <w:marBottom w:val="0"/>
      <w:divBdr>
        <w:top w:val="none" w:sz="0" w:space="0" w:color="auto"/>
        <w:left w:val="none" w:sz="0" w:space="0" w:color="auto"/>
        <w:bottom w:val="none" w:sz="0" w:space="0" w:color="auto"/>
        <w:right w:val="none" w:sz="0" w:space="0" w:color="auto"/>
      </w:divBdr>
    </w:div>
    <w:div w:id="987368838">
      <w:bodyDiv w:val="1"/>
      <w:marLeft w:val="0"/>
      <w:marRight w:val="0"/>
      <w:marTop w:val="0"/>
      <w:marBottom w:val="0"/>
      <w:divBdr>
        <w:top w:val="none" w:sz="0" w:space="0" w:color="auto"/>
        <w:left w:val="none" w:sz="0" w:space="0" w:color="auto"/>
        <w:bottom w:val="none" w:sz="0" w:space="0" w:color="auto"/>
        <w:right w:val="none" w:sz="0" w:space="0" w:color="auto"/>
      </w:divBdr>
    </w:div>
    <w:div w:id="987439374">
      <w:bodyDiv w:val="1"/>
      <w:marLeft w:val="0"/>
      <w:marRight w:val="0"/>
      <w:marTop w:val="0"/>
      <w:marBottom w:val="0"/>
      <w:divBdr>
        <w:top w:val="none" w:sz="0" w:space="0" w:color="auto"/>
        <w:left w:val="none" w:sz="0" w:space="0" w:color="auto"/>
        <w:bottom w:val="none" w:sz="0" w:space="0" w:color="auto"/>
        <w:right w:val="none" w:sz="0" w:space="0" w:color="auto"/>
      </w:divBdr>
    </w:div>
    <w:div w:id="987635349">
      <w:bodyDiv w:val="1"/>
      <w:marLeft w:val="0"/>
      <w:marRight w:val="0"/>
      <w:marTop w:val="0"/>
      <w:marBottom w:val="0"/>
      <w:divBdr>
        <w:top w:val="none" w:sz="0" w:space="0" w:color="auto"/>
        <w:left w:val="none" w:sz="0" w:space="0" w:color="auto"/>
        <w:bottom w:val="none" w:sz="0" w:space="0" w:color="auto"/>
        <w:right w:val="none" w:sz="0" w:space="0" w:color="auto"/>
      </w:divBdr>
    </w:div>
    <w:div w:id="987637115">
      <w:bodyDiv w:val="1"/>
      <w:marLeft w:val="0"/>
      <w:marRight w:val="0"/>
      <w:marTop w:val="0"/>
      <w:marBottom w:val="0"/>
      <w:divBdr>
        <w:top w:val="none" w:sz="0" w:space="0" w:color="auto"/>
        <w:left w:val="none" w:sz="0" w:space="0" w:color="auto"/>
        <w:bottom w:val="none" w:sz="0" w:space="0" w:color="auto"/>
        <w:right w:val="none" w:sz="0" w:space="0" w:color="auto"/>
      </w:divBdr>
    </w:div>
    <w:div w:id="987788084">
      <w:bodyDiv w:val="1"/>
      <w:marLeft w:val="0"/>
      <w:marRight w:val="0"/>
      <w:marTop w:val="0"/>
      <w:marBottom w:val="0"/>
      <w:divBdr>
        <w:top w:val="none" w:sz="0" w:space="0" w:color="auto"/>
        <w:left w:val="none" w:sz="0" w:space="0" w:color="auto"/>
        <w:bottom w:val="none" w:sz="0" w:space="0" w:color="auto"/>
        <w:right w:val="none" w:sz="0" w:space="0" w:color="auto"/>
      </w:divBdr>
    </w:div>
    <w:div w:id="987828939">
      <w:bodyDiv w:val="1"/>
      <w:marLeft w:val="0"/>
      <w:marRight w:val="0"/>
      <w:marTop w:val="0"/>
      <w:marBottom w:val="0"/>
      <w:divBdr>
        <w:top w:val="none" w:sz="0" w:space="0" w:color="auto"/>
        <w:left w:val="none" w:sz="0" w:space="0" w:color="auto"/>
        <w:bottom w:val="none" w:sz="0" w:space="0" w:color="auto"/>
        <w:right w:val="none" w:sz="0" w:space="0" w:color="auto"/>
      </w:divBdr>
    </w:div>
    <w:div w:id="987897542">
      <w:bodyDiv w:val="1"/>
      <w:marLeft w:val="0"/>
      <w:marRight w:val="0"/>
      <w:marTop w:val="0"/>
      <w:marBottom w:val="0"/>
      <w:divBdr>
        <w:top w:val="none" w:sz="0" w:space="0" w:color="auto"/>
        <w:left w:val="none" w:sz="0" w:space="0" w:color="auto"/>
        <w:bottom w:val="none" w:sz="0" w:space="0" w:color="auto"/>
        <w:right w:val="none" w:sz="0" w:space="0" w:color="auto"/>
      </w:divBdr>
    </w:div>
    <w:div w:id="987973039">
      <w:bodyDiv w:val="1"/>
      <w:marLeft w:val="0"/>
      <w:marRight w:val="0"/>
      <w:marTop w:val="0"/>
      <w:marBottom w:val="0"/>
      <w:divBdr>
        <w:top w:val="none" w:sz="0" w:space="0" w:color="auto"/>
        <w:left w:val="none" w:sz="0" w:space="0" w:color="auto"/>
        <w:bottom w:val="none" w:sz="0" w:space="0" w:color="auto"/>
        <w:right w:val="none" w:sz="0" w:space="0" w:color="auto"/>
      </w:divBdr>
    </w:div>
    <w:div w:id="987977036">
      <w:bodyDiv w:val="1"/>
      <w:marLeft w:val="0"/>
      <w:marRight w:val="0"/>
      <w:marTop w:val="0"/>
      <w:marBottom w:val="0"/>
      <w:divBdr>
        <w:top w:val="none" w:sz="0" w:space="0" w:color="auto"/>
        <w:left w:val="none" w:sz="0" w:space="0" w:color="auto"/>
        <w:bottom w:val="none" w:sz="0" w:space="0" w:color="auto"/>
        <w:right w:val="none" w:sz="0" w:space="0" w:color="auto"/>
      </w:divBdr>
    </w:div>
    <w:div w:id="988020845">
      <w:bodyDiv w:val="1"/>
      <w:marLeft w:val="0"/>
      <w:marRight w:val="0"/>
      <w:marTop w:val="0"/>
      <w:marBottom w:val="0"/>
      <w:divBdr>
        <w:top w:val="none" w:sz="0" w:space="0" w:color="auto"/>
        <w:left w:val="none" w:sz="0" w:space="0" w:color="auto"/>
        <w:bottom w:val="none" w:sz="0" w:space="0" w:color="auto"/>
        <w:right w:val="none" w:sz="0" w:space="0" w:color="auto"/>
      </w:divBdr>
    </w:div>
    <w:div w:id="988051438">
      <w:bodyDiv w:val="1"/>
      <w:marLeft w:val="0"/>
      <w:marRight w:val="0"/>
      <w:marTop w:val="0"/>
      <w:marBottom w:val="0"/>
      <w:divBdr>
        <w:top w:val="none" w:sz="0" w:space="0" w:color="auto"/>
        <w:left w:val="none" w:sz="0" w:space="0" w:color="auto"/>
        <w:bottom w:val="none" w:sz="0" w:space="0" w:color="auto"/>
        <w:right w:val="none" w:sz="0" w:space="0" w:color="auto"/>
      </w:divBdr>
    </w:div>
    <w:div w:id="988168461">
      <w:bodyDiv w:val="1"/>
      <w:marLeft w:val="0"/>
      <w:marRight w:val="0"/>
      <w:marTop w:val="0"/>
      <w:marBottom w:val="0"/>
      <w:divBdr>
        <w:top w:val="none" w:sz="0" w:space="0" w:color="auto"/>
        <w:left w:val="none" w:sz="0" w:space="0" w:color="auto"/>
        <w:bottom w:val="none" w:sz="0" w:space="0" w:color="auto"/>
        <w:right w:val="none" w:sz="0" w:space="0" w:color="auto"/>
      </w:divBdr>
    </w:div>
    <w:div w:id="988174030">
      <w:bodyDiv w:val="1"/>
      <w:marLeft w:val="0"/>
      <w:marRight w:val="0"/>
      <w:marTop w:val="0"/>
      <w:marBottom w:val="0"/>
      <w:divBdr>
        <w:top w:val="none" w:sz="0" w:space="0" w:color="auto"/>
        <w:left w:val="none" w:sz="0" w:space="0" w:color="auto"/>
        <w:bottom w:val="none" w:sz="0" w:space="0" w:color="auto"/>
        <w:right w:val="none" w:sz="0" w:space="0" w:color="auto"/>
      </w:divBdr>
    </w:div>
    <w:div w:id="988290142">
      <w:bodyDiv w:val="1"/>
      <w:marLeft w:val="0"/>
      <w:marRight w:val="0"/>
      <w:marTop w:val="0"/>
      <w:marBottom w:val="0"/>
      <w:divBdr>
        <w:top w:val="none" w:sz="0" w:space="0" w:color="auto"/>
        <w:left w:val="none" w:sz="0" w:space="0" w:color="auto"/>
        <w:bottom w:val="none" w:sz="0" w:space="0" w:color="auto"/>
        <w:right w:val="none" w:sz="0" w:space="0" w:color="auto"/>
      </w:divBdr>
    </w:div>
    <w:div w:id="988553064">
      <w:bodyDiv w:val="1"/>
      <w:marLeft w:val="0"/>
      <w:marRight w:val="0"/>
      <w:marTop w:val="0"/>
      <w:marBottom w:val="0"/>
      <w:divBdr>
        <w:top w:val="none" w:sz="0" w:space="0" w:color="auto"/>
        <w:left w:val="none" w:sz="0" w:space="0" w:color="auto"/>
        <w:bottom w:val="none" w:sz="0" w:space="0" w:color="auto"/>
        <w:right w:val="none" w:sz="0" w:space="0" w:color="auto"/>
      </w:divBdr>
    </w:div>
    <w:div w:id="988633639">
      <w:bodyDiv w:val="1"/>
      <w:marLeft w:val="0"/>
      <w:marRight w:val="0"/>
      <w:marTop w:val="0"/>
      <w:marBottom w:val="0"/>
      <w:divBdr>
        <w:top w:val="none" w:sz="0" w:space="0" w:color="auto"/>
        <w:left w:val="none" w:sz="0" w:space="0" w:color="auto"/>
        <w:bottom w:val="none" w:sz="0" w:space="0" w:color="auto"/>
        <w:right w:val="none" w:sz="0" w:space="0" w:color="auto"/>
      </w:divBdr>
    </w:div>
    <w:div w:id="988636369">
      <w:bodyDiv w:val="1"/>
      <w:marLeft w:val="0"/>
      <w:marRight w:val="0"/>
      <w:marTop w:val="0"/>
      <w:marBottom w:val="0"/>
      <w:divBdr>
        <w:top w:val="none" w:sz="0" w:space="0" w:color="auto"/>
        <w:left w:val="none" w:sz="0" w:space="0" w:color="auto"/>
        <w:bottom w:val="none" w:sz="0" w:space="0" w:color="auto"/>
        <w:right w:val="none" w:sz="0" w:space="0" w:color="auto"/>
      </w:divBdr>
    </w:div>
    <w:div w:id="988705734">
      <w:bodyDiv w:val="1"/>
      <w:marLeft w:val="0"/>
      <w:marRight w:val="0"/>
      <w:marTop w:val="0"/>
      <w:marBottom w:val="0"/>
      <w:divBdr>
        <w:top w:val="none" w:sz="0" w:space="0" w:color="auto"/>
        <w:left w:val="none" w:sz="0" w:space="0" w:color="auto"/>
        <w:bottom w:val="none" w:sz="0" w:space="0" w:color="auto"/>
        <w:right w:val="none" w:sz="0" w:space="0" w:color="auto"/>
      </w:divBdr>
    </w:div>
    <w:div w:id="988749323">
      <w:bodyDiv w:val="1"/>
      <w:marLeft w:val="0"/>
      <w:marRight w:val="0"/>
      <w:marTop w:val="0"/>
      <w:marBottom w:val="0"/>
      <w:divBdr>
        <w:top w:val="none" w:sz="0" w:space="0" w:color="auto"/>
        <w:left w:val="none" w:sz="0" w:space="0" w:color="auto"/>
        <w:bottom w:val="none" w:sz="0" w:space="0" w:color="auto"/>
        <w:right w:val="none" w:sz="0" w:space="0" w:color="auto"/>
      </w:divBdr>
    </w:div>
    <w:div w:id="988754806">
      <w:bodyDiv w:val="1"/>
      <w:marLeft w:val="0"/>
      <w:marRight w:val="0"/>
      <w:marTop w:val="0"/>
      <w:marBottom w:val="0"/>
      <w:divBdr>
        <w:top w:val="none" w:sz="0" w:space="0" w:color="auto"/>
        <w:left w:val="none" w:sz="0" w:space="0" w:color="auto"/>
        <w:bottom w:val="none" w:sz="0" w:space="0" w:color="auto"/>
        <w:right w:val="none" w:sz="0" w:space="0" w:color="auto"/>
      </w:divBdr>
    </w:div>
    <w:div w:id="988828589">
      <w:bodyDiv w:val="1"/>
      <w:marLeft w:val="0"/>
      <w:marRight w:val="0"/>
      <w:marTop w:val="0"/>
      <w:marBottom w:val="0"/>
      <w:divBdr>
        <w:top w:val="none" w:sz="0" w:space="0" w:color="auto"/>
        <w:left w:val="none" w:sz="0" w:space="0" w:color="auto"/>
        <w:bottom w:val="none" w:sz="0" w:space="0" w:color="auto"/>
        <w:right w:val="none" w:sz="0" w:space="0" w:color="auto"/>
      </w:divBdr>
    </w:div>
    <w:div w:id="988900041">
      <w:bodyDiv w:val="1"/>
      <w:marLeft w:val="0"/>
      <w:marRight w:val="0"/>
      <w:marTop w:val="0"/>
      <w:marBottom w:val="0"/>
      <w:divBdr>
        <w:top w:val="none" w:sz="0" w:space="0" w:color="auto"/>
        <w:left w:val="none" w:sz="0" w:space="0" w:color="auto"/>
        <w:bottom w:val="none" w:sz="0" w:space="0" w:color="auto"/>
        <w:right w:val="none" w:sz="0" w:space="0" w:color="auto"/>
      </w:divBdr>
    </w:div>
    <w:div w:id="988902603">
      <w:bodyDiv w:val="1"/>
      <w:marLeft w:val="0"/>
      <w:marRight w:val="0"/>
      <w:marTop w:val="0"/>
      <w:marBottom w:val="0"/>
      <w:divBdr>
        <w:top w:val="none" w:sz="0" w:space="0" w:color="auto"/>
        <w:left w:val="none" w:sz="0" w:space="0" w:color="auto"/>
        <w:bottom w:val="none" w:sz="0" w:space="0" w:color="auto"/>
        <w:right w:val="none" w:sz="0" w:space="0" w:color="auto"/>
      </w:divBdr>
    </w:div>
    <w:div w:id="988943396">
      <w:bodyDiv w:val="1"/>
      <w:marLeft w:val="0"/>
      <w:marRight w:val="0"/>
      <w:marTop w:val="0"/>
      <w:marBottom w:val="0"/>
      <w:divBdr>
        <w:top w:val="none" w:sz="0" w:space="0" w:color="auto"/>
        <w:left w:val="none" w:sz="0" w:space="0" w:color="auto"/>
        <w:bottom w:val="none" w:sz="0" w:space="0" w:color="auto"/>
        <w:right w:val="none" w:sz="0" w:space="0" w:color="auto"/>
      </w:divBdr>
    </w:div>
    <w:div w:id="989141635">
      <w:bodyDiv w:val="1"/>
      <w:marLeft w:val="0"/>
      <w:marRight w:val="0"/>
      <w:marTop w:val="0"/>
      <w:marBottom w:val="0"/>
      <w:divBdr>
        <w:top w:val="none" w:sz="0" w:space="0" w:color="auto"/>
        <w:left w:val="none" w:sz="0" w:space="0" w:color="auto"/>
        <w:bottom w:val="none" w:sz="0" w:space="0" w:color="auto"/>
        <w:right w:val="none" w:sz="0" w:space="0" w:color="auto"/>
      </w:divBdr>
    </w:div>
    <w:div w:id="989331669">
      <w:bodyDiv w:val="1"/>
      <w:marLeft w:val="0"/>
      <w:marRight w:val="0"/>
      <w:marTop w:val="0"/>
      <w:marBottom w:val="0"/>
      <w:divBdr>
        <w:top w:val="none" w:sz="0" w:space="0" w:color="auto"/>
        <w:left w:val="none" w:sz="0" w:space="0" w:color="auto"/>
        <w:bottom w:val="none" w:sz="0" w:space="0" w:color="auto"/>
        <w:right w:val="none" w:sz="0" w:space="0" w:color="auto"/>
      </w:divBdr>
    </w:div>
    <w:div w:id="989406373">
      <w:bodyDiv w:val="1"/>
      <w:marLeft w:val="0"/>
      <w:marRight w:val="0"/>
      <w:marTop w:val="0"/>
      <w:marBottom w:val="0"/>
      <w:divBdr>
        <w:top w:val="none" w:sz="0" w:space="0" w:color="auto"/>
        <w:left w:val="none" w:sz="0" w:space="0" w:color="auto"/>
        <w:bottom w:val="none" w:sz="0" w:space="0" w:color="auto"/>
        <w:right w:val="none" w:sz="0" w:space="0" w:color="auto"/>
      </w:divBdr>
    </w:div>
    <w:div w:id="989406499">
      <w:bodyDiv w:val="1"/>
      <w:marLeft w:val="0"/>
      <w:marRight w:val="0"/>
      <w:marTop w:val="0"/>
      <w:marBottom w:val="0"/>
      <w:divBdr>
        <w:top w:val="none" w:sz="0" w:space="0" w:color="auto"/>
        <w:left w:val="none" w:sz="0" w:space="0" w:color="auto"/>
        <w:bottom w:val="none" w:sz="0" w:space="0" w:color="auto"/>
        <w:right w:val="none" w:sz="0" w:space="0" w:color="auto"/>
      </w:divBdr>
    </w:div>
    <w:div w:id="989484384">
      <w:bodyDiv w:val="1"/>
      <w:marLeft w:val="0"/>
      <w:marRight w:val="0"/>
      <w:marTop w:val="0"/>
      <w:marBottom w:val="0"/>
      <w:divBdr>
        <w:top w:val="none" w:sz="0" w:space="0" w:color="auto"/>
        <w:left w:val="none" w:sz="0" w:space="0" w:color="auto"/>
        <w:bottom w:val="none" w:sz="0" w:space="0" w:color="auto"/>
        <w:right w:val="none" w:sz="0" w:space="0" w:color="auto"/>
      </w:divBdr>
    </w:div>
    <w:div w:id="989551688">
      <w:bodyDiv w:val="1"/>
      <w:marLeft w:val="0"/>
      <w:marRight w:val="0"/>
      <w:marTop w:val="0"/>
      <w:marBottom w:val="0"/>
      <w:divBdr>
        <w:top w:val="none" w:sz="0" w:space="0" w:color="auto"/>
        <w:left w:val="none" w:sz="0" w:space="0" w:color="auto"/>
        <w:bottom w:val="none" w:sz="0" w:space="0" w:color="auto"/>
        <w:right w:val="none" w:sz="0" w:space="0" w:color="auto"/>
      </w:divBdr>
    </w:div>
    <w:div w:id="989595261">
      <w:bodyDiv w:val="1"/>
      <w:marLeft w:val="0"/>
      <w:marRight w:val="0"/>
      <w:marTop w:val="0"/>
      <w:marBottom w:val="0"/>
      <w:divBdr>
        <w:top w:val="none" w:sz="0" w:space="0" w:color="auto"/>
        <w:left w:val="none" w:sz="0" w:space="0" w:color="auto"/>
        <w:bottom w:val="none" w:sz="0" w:space="0" w:color="auto"/>
        <w:right w:val="none" w:sz="0" w:space="0" w:color="auto"/>
      </w:divBdr>
    </w:div>
    <w:div w:id="989599448">
      <w:bodyDiv w:val="1"/>
      <w:marLeft w:val="0"/>
      <w:marRight w:val="0"/>
      <w:marTop w:val="0"/>
      <w:marBottom w:val="0"/>
      <w:divBdr>
        <w:top w:val="none" w:sz="0" w:space="0" w:color="auto"/>
        <w:left w:val="none" w:sz="0" w:space="0" w:color="auto"/>
        <w:bottom w:val="none" w:sz="0" w:space="0" w:color="auto"/>
        <w:right w:val="none" w:sz="0" w:space="0" w:color="auto"/>
      </w:divBdr>
    </w:div>
    <w:div w:id="989671399">
      <w:bodyDiv w:val="1"/>
      <w:marLeft w:val="0"/>
      <w:marRight w:val="0"/>
      <w:marTop w:val="0"/>
      <w:marBottom w:val="0"/>
      <w:divBdr>
        <w:top w:val="none" w:sz="0" w:space="0" w:color="auto"/>
        <w:left w:val="none" w:sz="0" w:space="0" w:color="auto"/>
        <w:bottom w:val="none" w:sz="0" w:space="0" w:color="auto"/>
        <w:right w:val="none" w:sz="0" w:space="0" w:color="auto"/>
      </w:divBdr>
    </w:div>
    <w:div w:id="989750960">
      <w:bodyDiv w:val="1"/>
      <w:marLeft w:val="0"/>
      <w:marRight w:val="0"/>
      <w:marTop w:val="0"/>
      <w:marBottom w:val="0"/>
      <w:divBdr>
        <w:top w:val="none" w:sz="0" w:space="0" w:color="auto"/>
        <w:left w:val="none" w:sz="0" w:space="0" w:color="auto"/>
        <w:bottom w:val="none" w:sz="0" w:space="0" w:color="auto"/>
        <w:right w:val="none" w:sz="0" w:space="0" w:color="auto"/>
      </w:divBdr>
    </w:div>
    <w:div w:id="989796379">
      <w:bodyDiv w:val="1"/>
      <w:marLeft w:val="0"/>
      <w:marRight w:val="0"/>
      <w:marTop w:val="0"/>
      <w:marBottom w:val="0"/>
      <w:divBdr>
        <w:top w:val="none" w:sz="0" w:space="0" w:color="auto"/>
        <w:left w:val="none" w:sz="0" w:space="0" w:color="auto"/>
        <w:bottom w:val="none" w:sz="0" w:space="0" w:color="auto"/>
        <w:right w:val="none" w:sz="0" w:space="0" w:color="auto"/>
      </w:divBdr>
    </w:div>
    <w:div w:id="989868031">
      <w:bodyDiv w:val="1"/>
      <w:marLeft w:val="0"/>
      <w:marRight w:val="0"/>
      <w:marTop w:val="0"/>
      <w:marBottom w:val="0"/>
      <w:divBdr>
        <w:top w:val="none" w:sz="0" w:space="0" w:color="auto"/>
        <w:left w:val="none" w:sz="0" w:space="0" w:color="auto"/>
        <w:bottom w:val="none" w:sz="0" w:space="0" w:color="auto"/>
        <w:right w:val="none" w:sz="0" w:space="0" w:color="auto"/>
      </w:divBdr>
    </w:div>
    <w:div w:id="989868491">
      <w:bodyDiv w:val="1"/>
      <w:marLeft w:val="0"/>
      <w:marRight w:val="0"/>
      <w:marTop w:val="0"/>
      <w:marBottom w:val="0"/>
      <w:divBdr>
        <w:top w:val="none" w:sz="0" w:space="0" w:color="auto"/>
        <w:left w:val="none" w:sz="0" w:space="0" w:color="auto"/>
        <w:bottom w:val="none" w:sz="0" w:space="0" w:color="auto"/>
        <w:right w:val="none" w:sz="0" w:space="0" w:color="auto"/>
      </w:divBdr>
    </w:div>
    <w:div w:id="989989075">
      <w:bodyDiv w:val="1"/>
      <w:marLeft w:val="0"/>
      <w:marRight w:val="0"/>
      <w:marTop w:val="0"/>
      <w:marBottom w:val="0"/>
      <w:divBdr>
        <w:top w:val="none" w:sz="0" w:space="0" w:color="auto"/>
        <w:left w:val="none" w:sz="0" w:space="0" w:color="auto"/>
        <w:bottom w:val="none" w:sz="0" w:space="0" w:color="auto"/>
        <w:right w:val="none" w:sz="0" w:space="0" w:color="auto"/>
      </w:divBdr>
    </w:div>
    <w:div w:id="990065223">
      <w:bodyDiv w:val="1"/>
      <w:marLeft w:val="0"/>
      <w:marRight w:val="0"/>
      <w:marTop w:val="0"/>
      <w:marBottom w:val="0"/>
      <w:divBdr>
        <w:top w:val="none" w:sz="0" w:space="0" w:color="auto"/>
        <w:left w:val="none" w:sz="0" w:space="0" w:color="auto"/>
        <w:bottom w:val="none" w:sz="0" w:space="0" w:color="auto"/>
        <w:right w:val="none" w:sz="0" w:space="0" w:color="auto"/>
      </w:divBdr>
    </w:div>
    <w:div w:id="990134984">
      <w:bodyDiv w:val="1"/>
      <w:marLeft w:val="0"/>
      <w:marRight w:val="0"/>
      <w:marTop w:val="0"/>
      <w:marBottom w:val="0"/>
      <w:divBdr>
        <w:top w:val="none" w:sz="0" w:space="0" w:color="auto"/>
        <w:left w:val="none" w:sz="0" w:space="0" w:color="auto"/>
        <w:bottom w:val="none" w:sz="0" w:space="0" w:color="auto"/>
        <w:right w:val="none" w:sz="0" w:space="0" w:color="auto"/>
      </w:divBdr>
    </w:div>
    <w:div w:id="990135542">
      <w:bodyDiv w:val="1"/>
      <w:marLeft w:val="0"/>
      <w:marRight w:val="0"/>
      <w:marTop w:val="0"/>
      <w:marBottom w:val="0"/>
      <w:divBdr>
        <w:top w:val="none" w:sz="0" w:space="0" w:color="auto"/>
        <w:left w:val="none" w:sz="0" w:space="0" w:color="auto"/>
        <w:bottom w:val="none" w:sz="0" w:space="0" w:color="auto"/>
        <w:right w:val="none" w:sz="0" w:space="0" w:color="auto"/>
      </w:divBdr>
    </w:div>
    <w:div w:id="990214144">
      <w:bodyDiv w:val="1"/>
      <w:marLeft w:val="0"/>
      <w:marRight w:val="0"/>
      <w:marTop w:val="0"/>
      <w:marBottom w:val="0"/>
      <w:divBdr>
        <w:top w:val="none" w:sz="0" w:space="0" w:color="auto"/>
        <w:left w:val="none" w:sz="0" w:space="0" w:color="auto"/>
        <w:bottom w:val="none" w:sz="0" w:space="0" w:color="auto"/>
        <w:right w:val="none" w:sz="0" w:space="0" w:color="auto"/>
      </w:divBdr>
    </w:div>
    <w:div w:id="990400198">
      <w:bodyDiv w:val="1"/>
      <w:marLeft w:val="0"/>
      <w:marRight w:val="0"/>
      <w:marTop w:val="0"/>
      <w:marBottom w:val="0"/>
      <w:divBdr>
        <w:top w:val="none" w:sz="0" w:space="0" w:color="auto"/>
        <w:left w:val="none" w:sz="0" w:space="0" w:color="auto"/>
        <w:bottom w:val="none" w:sz="0" w:space="0" w:color="auto"/>
        <w:right w:val="none" w:sz="0" w:space="0" w:color="auto"/>
      </w:divBdr>
    </w:div>
    <w:div w:id="990401512">
      <w:bodyDiv w:val="1"/>
      <w:marLeft w:val="0"/>
      <w:marRight w:val="0"/>
      <w:marTop w:val="0"/>
      <w:marBottom w:val="0"/>
      <w:divBdr>
        <w:top w:val="none" w:sz="0" w:space="0" w:color="auto"/>
        <w:left w:val="none" w:sz="0" w:space="0" w:color="auto"/>
        <w:bottom w:val="none" w:sz="0" w:space="0" w:color="auto"/>
        <w:right w:val="none" w:sz="0" w:space="0" w:color="auto"/>
      </w:divBdr>
    </w:div>
    <w:div w:id="990476305">
      <w:bodyDiv w:val="1"/>
      <w:marLeft w:val="0"/>
      <w:marRight w:val="0"/>
      <w:marTop w:val="0"/>
      <w:marBottom w:val="0"/>
      <w:divBdr>
        <w:top w:val="none" w:sz="0" w:space="0" w:color="auto"/>
        <w:left w:val="none" w:sz="0" w:space="0" w:color="auto"/>
        <w:bottom w:val="none" w:sz="0" w:space="0" w:color="auto"/>
        <w:right w:val="none" w:sz="0" w:space="0" w:color="auto"/>
      </w:divBdr>
    </w:div>
    <w:div w:id="990523931">
      <w:bodyDiv w:val="1"/>
      <w:marLeft w:val="0"/>
      <w:marRight w:val="0"/>
      <w:marTop w:val="0"/>
      <w:marBottom w:val="0"/>
      <w:divBdr>
        <w:top w:val="none" w:sz="0" w:space="0" w:color="auto"/>
        <w:left w:val="none" w:sz="0" w:space="0" w:color="auto"/>
        <w:bottom w:val="none" w:sz="0" w:space="0" w:color="auto"/>
        <w:right w:val="none" w:sz="0" w:space="0" w:color="auto"/>
      </w:divBdr>
    </w:div>
    <w:div w:id="990524883">
      <w:bodyDiv w:val="1"/>
      <w:marLeft w:val="0"/>
      <w:marRight w:val="0"/>
      <w:marTop w:val="0"/>
      <w:marBottom w:val="0"/>
      <w:divBdr>
        <w:top w:val="none" w:sz="0" w:space="0" w:color="auto"/>
        <w:left w:val="none" w:sz="0" w:space="0" w:color="auto"/>
        <w:bottom w:val="none" w:sz="0" w:space="0" w:color="auto"/>
        <w:right w:val="none" w:sz="0" w:space="0" w:color="auto"/>
      </w:divBdr>
    </w:div>
    <w:div w:id="990527747">
      <w:bodyDiv w:val="1"/>
      <w:marLeft w:val="0"/>
      <w:marRight w:val="0"/>
      <w:marTop w:val="0"/>
      <w:marBottom w:val="0"/>
      <w:divBdr>
        <w:top w:val="none" w:sz="0" w:space="0" w:color="auto"/>
        <w:left w:val="none" w:sz="0" w:space="0" w:color="auto"/>
        <w:bottom w:val="none" w:sz="0" w:space="0" w:color="auto"/>
        <w:right w:val="none" w:sz="0" w:space="0" w:color="auto"/>
      </w:divBdr>
    </w:div>
    <w:div w:id="990595077">
      <w:bodyDiv w:val="1"/>
      <w:marLeft w:val="0"/>
      <w:marRight w:val="0"/>
      <w:marTop w:val="0"/>
      <w:marBottom w:val="0"/>
      <w:divBdr>
        <w:top w:val="none" w:sz="0" w:space="0" w:color="auto"/>
        <w:left w:val="none" w:sz="0" w:space="0" w:color="auto"/>
        <w:bottom w:val="none" w:sz="0" w:space="0" w:color="auto"/>
        <w:right w:val="none" w:sz="0" w:space="0" w:color="auto"/>
      </w:divBdr>
    </w:div>
    <w:div w:id="990864437">
      <w:bodyDiv w:val="1"/>
      <w:marLeft w:val="0"/>
      <w:marRight w:val="0"/>
      <w:marTop w:val="0"/>
      <w:marBottom w:val="0"/>
      <w:divBdr>
        <w:top w:val="none" w:sz="0" w:space="0" w:color="auto"/>
        <w:left w:val="none" w:sz="0" w:space="0" w:color="auto"/>
        <w:bottom w:val="none" w:sz="0" w:space="0" w:color="auto"/>
        <w:right w:val="none" w:sz="0" w:space="0" w:color="auto"/>
      </w:divBdr>
    </w:div>
    <w:div w:id="990986887">
      <w:bodyDiv w:val="1"/>
      <w:marLeft w:val="0"/>
      <w:marRight w:val="0"/>
      <w:marTop w:val="0"/>
      <w:marBottom w:val="0"/>
      <w:divBdr>
        <w:top w:val="none" w:sz="0" w:space="0" w:color="auto"/>
        <w:left w:val="none" w:sz="0" w:space="0" w:color="auto"/>
        <w:bottom w:val="none" w:sz="0" w:space="0" w:color="auto"/>
        <w:right w:val="none" w:sz="0" w:space="0" w:color="auto"/>
      </w:divBdr>
    </w:div>
    <w:div w:id="991064828">
      <w:bodyDiv w:val="1"/>
      <w:marLeft w:val="0"/>
      <w:marRight w:val="0"/>
      <w:marTop w:val="0"/>
      <w:marBottom w:val="0"/>
      <w:divBdr>
        <w:top w:val="none" w:sz="0" w:space="0" w:color="auto"/>
        <w:left w:val="none" w:sz="0" w:space="0" w:color="auto"/>
        <w:bottom w:val="none" w:sz="0" w:space="0" w:color="auto"/>
        <w:right w:val="none" w:sz="0" w:space="0" w:color="auto"/>
      </w:divBdr>
    </w:div>
    <w:div w:id="991102664">
      <w:bodyDiv w:val="1"/>
      <w:marLeft w:val="0"/>
      <w:marRight w:val="0"/>
      <w:marTop w:val="0"/>
      <w:marBottom w:val="0"/>
      <w:divBdr>
        <w:top w:val="none" w:sz="0" w:space="0" w:color="auto"/>
        <w:left w:val="none" w:sz="0" w:space="0" w:color="auto"/>
        <w:bottom w:val="none" w:sz="0" w:space="0" w:color="auto"/>
        <w:right w:val="none" w:sz="0" w:space="0" w:color="auto"/>
      </w:divBdr>
    </w:div>
    <w:div w:id="991179027">
      <w:bodyDiv w:val="1"/>
      <w:marLeft w:val="0"/>
      <w:marRight w:val="0"/>
      <w:marTop w:val="0"/>
      <w:marBottom w:val="0"/>
      <w:divBdr>
        <w:top w:val="none" w:sz="0" w:space="0" w:color="auto"/>
        <w:left w:val="none" w:sz="0" w:space="0" w:color="auto"/>
        <w:bottom w:val="none" w:sz="0" w:space="0" w:color="auto"/>
        <w:right w:val="none" w:sz="0" w:space="0" w:color="auto"/>
      </w:divBdr>
    </w:div>
    <w:div w:id="991183190">
      <w:bodyDiv w:val="1"/>
      <w:marLeft w:val="0"/>
      <w:marRight w:val="0"/>
      <w:marTop w:val="0"/>
      <w:marBottom w:val="0"/>
      <w:divBdr>
        <w:top w:val="none" w:sz="0" w:space="0" w:color="auto"/>
        <w:left w:val="none" w:sz="0" w:space="0" w:color="auto"/>
        <w:bottom w:val="none" w:sz="0" w:space="0" w:color="auto"/>
        <w:right w:val="none" w:sz="0" w:space="0" w:color="auto"/>
      </w:divBdr>
    </w:div>
    <w:div w:id="991300209">
      <w:bodyDiv w:val="1"/>
      <w:marLeft w:val="0"/>
      <w:marRight w:val="0"/>
      <w:marTop w:val="0"/>
      <w:marBottom w:val="0"/>
      <w:divBdr>
        <w:top w:val="none" w:sz="0" w:space="0" w:color="auto"/>
        <w:left w:val="none" w:sz="0" w:space="0" w:color="auto"/>
        <w:bottom w:val="none" w:sz="0" w:space="0" w:color="auto"/>
        <w:right w:val="none" w:sz="0" w:space="0" w:color="auto"/>
      </w:divBdr>
    </w:div>
    <w:div w:id="991370561">
      <w:bodyDiv w:val="1"/>
      <w:marLeft w:val="0"/>
      <w:marRight w:val="0"/>
      <w:marTop w:val="0"/>
      <w:marBottom w:val="0"/>
      <w:divBdr>
        <w:top w:val="none" w:sz="0" w:space="0" w:color="auto"/>
        <w:left w:val="none" w:sz="0" w:space="0" w:color="auto"/>
        <w:bottom w:val="none" w:sz="0" w:space="0" w:color="auto"/>
        <w:right w:val="none" w:sz="0" w:space="0" w:color="auto"/>
      </w:divBdr>
    </w:div>
    <w:div w:id="991371059">
      <w:bodyDiv w:val="1"/>
      <w:marLeft w:val="0"/>
      <w:marRight w:val="0"/>
      <w:marTop w:val="0"/>
      <w:marBottom w:val="0"/>
      <w:divBdr>
        <w:top w:val="none" w:sz="0" w:space="0" w:color="auto"/>
        <w:left w:val="none" w:sz="0" w:space="0" w:color="auto"/>
        <w:bottom w:val="none" w:sz="0" w:space="0" w:color="auto"/>
        <w:right w:val="none" w:sz="0" w:space="0" w:color="auto"/>
      </w:divBdr>
    </w:div>
    <w:div w:id="991520332">
      <w:bodyDiv w:val="1"/>
      <w:marLeft w:val="0"/>
      <w:marRight w:val="0"/>
      <w:marTop w:val="0"/>
      <w:marBottom w:val="0"/>
      <w:divBdr>
        <w:top w:val="none" w:sz="0" w:space="0" w:color="auto"/>
        <w:left w:val="none" w:sz="0" w:space="0" w:color="auto"/>
        <w:bottom w:val="none" w:sz="0" w:space="0" w:color="auto"/>
        <w:right w:val="none" w:sz="0" w:space="0" w:color="auto"/>
      </w:divBdr>
    </w:div>
    <w:div w:id="991526613">
      <w:bodyDiv w:val="1"/>
      <w:marLeft w:val="0"/>
      <w:marRight w:val="0"/>
      <w:marTop w:val="0"/>
      <w:marBottom w:val="0"/>
      <w:divBdr>
        <w:top w:val="none" w:sz="0" w:space="0" w:color="auto"/>
        <w:left w:val="none" w:sz="0" w:space="0" w:color="auto"/>
        <w:bottom w:val="none" w:sz="0" w:space="0" w:color="auto"/>
        <w:right w:val="none" w:sz="0" w:space="0" w:color="auto"/>
      </w:divBdr>
    </w:div>
    <w:div w:id="991561962">
      <w:bodyDiv w:val="1"/>
      <w:marLeft w:val="0"/>
      <w:marRight w:val="0"/>
      <w:marTop w:val="0"/>
      <w:marBottom w:val="0"/>
      <w:divBdr>
        <w:top w:val="none" w:sz="0" w:space="0" w:color="auto"/>
        <w:left w:val="none" w:sz="0" w:space="0" w:color="auto"/>
        <w:bottom w:val="none" w:sz="0" w:space="0" w:color="auto"/>
        <w:right w:val="none" w:sz="0" w:space="0" w:color="auto"/>
      </w:divBdr>
    </w:div>
    <w:div w:id="991711140">
      <w:bodyDiv w:val="1"/>
      <w:marLeft w:val="0"/>
      <w:marRight w:val="0"/>
      <w:marTop w:val="0"/>
      <w:marBottom w:val="0"/>
      <w:divBdr>
        <w:top w:val="none" w:sz="0" w:space="0" w:color="auto"/>
        <w:left w:val="none" w:sz="0" w:space="0" w:color="auto"/>
        <w:bottom w:val="none" w:sz="0" w:space="0" w:color="auto"/>
        <w:right w:val="none" w:sz="0" w:space="0" w:color="auto"/>
      </w:divBdr>
    </w:div>
    <w:div w:id="991831422">
      <w:bodyDiv w:val="1"/>
      <w:marLeft w:val="0"/>
      <w:marRight w:val="0"/>
      <w:marTop w:val="0"/>
      <w:marBottom w:val="0"/>
      <w:divBdr>
        <w:top w:val="none" w:sz="0" w:space="0" w:color="auto"/>
        <w:left w:val="none" w:sz="0" w:space="0" w:color="auto"/>
        <w:bottom w:val="none" w:sz="0" w:space="0" w:color="auto"/>
        <w:right w:val="none" w:sz="0" w:space="0" w:color="auto"/>
      </w:divBdr>
    </w:div>
    <w:div w:id="991833428">
      <w:bodyDiv w:val="1"/>
      <w:marLeft w:val="0"/>
      <w:marRight w:val="0"/>
      <w:marTop w:val="0"/>
      <w:marBottom w:val="0"/>
      <w:divBdr>
        <w:top w:val="none" w:sz="0" w:space="0" w:color="auto"/>
        <w:left w:val="none" w:sz="0" w:space="0" w:color="auto"/>
        <w:bottom w:val="none" w:sz="0" w:space="0" w:color="auto"/>
        <w:right w:val="none" w:sz="0" w:space="0" w:color="auto"/>
      </w:divBdr>
    </w:div>
    <w:div w:id="991837060">
      <w:bodyDiv w:val="1"/>
      <w:marLeft w:val="0"/>
      <w:marRight w:val="0"/>
      <w:marTop w:val="0"/>
      <w:marBottom w:val="0"/>
      <w:divBdr>
        <w:top w:val="none" w:sz="0" w:space="0" w:color="auto"/>
        <w:left w:val="none" w:sz="0" w:space="0" w:color="auto"/>
        <w:bottom w:val="none" w:sz="0" w:space="0" w:color="auto"/>
        <w:right w:val="none" w:sz="0" w:space="0" w:color="auto"/>
      </w:divBdr>
    </w:div>
    <w:div w:id="991980960">
      <w:bodyDiv w:val="1"/>
      <w:marLeft w:val="0"/>
      <w:marRight w:val="0"/>
      <w:marTop w:val="0"/>
      <w:marBottom w:val="0"/>
      <w:divBdr>
        <w:top w:val="none" w:sz="0" w:space="0" w:color="auto"/>
        <w:left w:val="none" w:sz="0" w:space="0" w:color="auto"/>
        <w:bottom w:val="none" w:sz="0" w:space="0" w:color="auto"/>
        <w:right w:val="none" w:sz="0" w:space="0" w:color="auto"/>
      </w:divBdr>
    </w:div>
    <w:div w:id="991982655">
      <w:bodyDiv w:val="1"/>
      <w:marLeft w:val="0"/>
      <w:marRight w:val="0"/>
      <w:marTop w:val="0"/>
      <w:marBottom w:val="0"/>
      <w:divBdr>
        <w:top w:val="none" w:sz="0" w:space="0" w:color="auto"/>
        <w:left w:val="none" w:sz="0" w:space="0" w:color="auto"/>
        <w:bottom w:val="none" w:sz="0" w:space="0" w:color="auto"/>
        <w:right w:val="none" w:sz="0" w:space="0" w:color="auto"/>
      </w:divBdr>
    </w:div>
    <w:div w:id="992023712">
      <w:bodyDiv w:val="1"/>
      <w:marLeft w:val="0"/>
      <w:marRight w:val="0"/>
      <w:marTop w:val="0"/>
      <w:marBottom w:val="0"/>
      <w:divBdr>
        <w:top w:val="none" w:sz="0" w:space="0" w:color="auto"/>
        <w:left w:val="none" w:sz="0" w:space="0" w:color="auto"/>
        <w:bottom w:val="none" w:sz="0" w:space="0" w:color="auto"/>
        <w:right w:val="none" w:sz="0" w:space="0" w:color="auto"/>
      </w:divBdr>
    </w:div>
    <w:div w:id="992024430">
      <w:bodyDiv w:val="1"/>
      <w:marLeft w:val="0"/>
      <w:marRight w:val="0"/>
      <w:marTop w:val="0"/>
      <w:marBottom w:val="0"/>
      <w:divBdr>
        <w:top w:val="none" w:sz="0" w:space="0" w:color="auto"/>
        <w:left w:val="none" w:sz="0" w:space="0" w:color="auto"/>
        <w:bottom w:val="none" w:sz="0" w:space="0" w:color="auto"/>
        <w:right w:val="none" w:sz="0" w:space="0" w:color="auto"/>
      </w:divBdr>
    </w:div>
    <w:div w:id="992173095">
      <w:bodyDiv w:val="1"/>
      <w:marLeft w:val="0"/>
      <w:marRight w:val="0"/>
      <w:marTop w:val="0"/>
      <w:marBottom w:val="0"/>
      <w:divBdr>
        <w:top w:val="none" w:sz="0" w:space="0" w:color="auto"/>
        <w:left w:val="none" w:sz="0" w:space="0" w:color="auto"/>
        <w:bottom w:val="none" w:sz="0" w:space="0" w:color="auto"/>
        <w:right w:val="none" w:sz="0" w:space="0" w:color="auto"/>
      </w:divBdr>
    </w:div>
    <w:div w:id="992174553">
      <w:bodyDiv w:val="1"/>
      <w:marLeft w:val="0"/>
      <w:marRight w:val="0"/>
      <w:marTop w:val="0"/>
      <w:marBottom w:val="0"/>
      <w:divBdr>
        <w:top w:val="none" w:sz="0" w:space="0" w:color="auto"/>
        <w:left w:val="none" w:sz="0" w:space="0" w:color="auto"/>
        <w:bottom w:val="none" w:sz="0" w:space="0" w:color="auto"/>
        <w:right w:val="none" w:sz="0" w:space="0" w:color="auto"/>
      </w:divBdr>
    </w:div>
    <w:div w:id="992176417">
      <w:bodyDiv w:val="1"/>
      <w:marLeft w:val="0"/>
      <w:marRight w:val="0"/>
      <w:marTop w:val="0"/>
      <w:marBottom w:val="0"/>
      <w:divBdr>
        <w:top w:val="none" w:sz="0" w:space="0" w:color="auto"/>
        <w:left w:val="none" w:sz="0" w:space="0" w:color="auto"/>
        <w:bottom w:val="none" w:sz="0" w:space="0" w:color="auto"/>
        <w:right w:val="none" w:sz="0" w:space="0" w:color="auto"/>
      </w:divBdr>
    </w:div>
    <w:div w:id="992177795">
      <w:bodyDiv w:val="1"/>
      <w:marLeft w:val="0"/>
      <w:marRight w:val="0"/>
      <w:marTop w:val="0"/>
      <w:marBottom w:val="0"/>
      <w:divBdr>
        <w:top w:val="none" w:sz="0" w:space="0" w:color="auto"/>
        <w:left w:val="none" w:sz="0" w:space="0" w:color="auto"/>
        <w:bottom w:val="none" w:sz="0" w:space="0" w:color="auto"/>
        <w:right w:val="none" w:sz="0" w:space="0" w:color="auto"/>
      </w:divBdr>
    </w:div>
    <w:div w:id="992291653">
      <w:bodyDiv w:val="1"/>
      <w:marLeft w:val="0"/>
      <w:marRight w:val="0"/>
      <w:marTop w:val="0"/>
      <w:marBottom w:val="0"/>
      <w:divBdr>
        <w:top w:val="none" w:sz="0" w:space="0" w:color="auto"/>
        <w:left w:val="none" w:sz="0" w:space="0" w:color="auto"/>
        <w:bottom w:val="none" w:sz="0" w:space="0" w:color="auto"/>
        <w:right w:val="none" w:sz="0" w:space="0" w:color="auto"/>
      </w:divBdr>
    </w:div>
    <w:div w:id="992374781">
      <w:bodyDiv w:val="1"/>
      <w:marLeft w:val="0"/>
      <w:marRight w:val="0"/>
      <w:marTop w:val="0"/>
      <w:marBottom w:val="0"/>
      <w:divBdr>
        <w:top w:val="none" w:sz="0" w:space="0" w:color="auto"/>
        <w:left w:val="none" w:sz="0" w:space="0" w:color="auto"/>
        <w:bottom w:val="none" w:sz="0" w:space="0" w:color="auto"/>
        <w:right w:val="none" w:sz="0" w:space="0" w:color="auto"/>
      </w:divBdr>
    </w:div>
    <w:div w:id="992562538">
      <w:bodyDiv w:val="1"/>
      <w:marLeft w:val="0"/>
      <w:marRight w:val="0"/>
      <w:marTop w:val="0"/>
      <w:marBottom w:val="0"/>
      <w:divBdr>
        <w:top w:val="none" w:sz="0" w:space="0" w:color="auto"/>
        <w:left w:val="none" w:sz="0" w:space="0" w:color="auto"/>
        <w:bottom w:val="none" w:sz="0" w:space="0" w:color="auto"/>
        <w:right w:val="none" w:sz="0" w:space="0" w:color="auto"/>
      </w:divBdr>
    </w:div>
    <w:div w:id="992564957">
      <w:bodyDiv w:val="1"/>
      <w:marLeft w:val="0"/>
      <w:marRight w:val="0"/>
      <w:marTop w:val="0"/>
      <w:marBottom w:val="0"/>
      <w:divBdr>
        <w:top w:val="none" w:sz="0" w:space="0" w:color="auto"/>
        <w:left w:val="none" w:sz="0" w:space="0" w:color="auto"/>
        <w:bottom w:val="none" w:sz="0" w:space="0" w:color="auto"/>
        <w:right w:val="none" w:sz="0" w:space="0" w:color="auto"/>
      </w:divBdr>
    </w:div>
    <w:div w:id="992568487">
      <w:bodyDiv w:val="1"/>
      <w:marLeft w:val="0"/>
      <w:marRight w:val="0"/>
      <w:marTop w:val="0"/>
      <w:marBottom w:val="0"/>
      <w:divBdr>
        <w:top w:val="none" w:sz="0" w:space="0" w:color="auto"/>
        <w:left w:val="none" w:sz="0" w:space="0" w:color="auto"/>
        <w:bottom w:val="none" w:sz="0" w:space="0" w:color="auto"/>
        <w:right w:val="none" w:sz="0" w:space="0" w:color="auto"/>
      </w:divBdr>
    </w:div>
    <w:div w:id="992946242">
      <w:bodyDiv w:val="1"/>
      <w:marLeft w:val="0"/>
      <w:marRight w:val="0"/>
      <w:marTop w:val="0"/>
      <w:marBottom w:val="0"/>
      <w:divBdr>
        <w:top w:val="none" w:sz="0" w:space="0" w:color="auto"/>
        <w:left w:val="none" w:sz="0" w:space="0" w:color="auto"/>
        <w:bottom w:val="none" w:sz="0" w:space="0" w:color="auto"/>
        <w:right w:val="none" w:sz="0" w:space="0" w:color="auto"/>
      </w:divBdr>
    </w:div>
    <w:div w:id="993071183">
      <w:bodyDiv w:val="1"/>
      <w:marLeft w:val="0"/>
      <w:marRight w:val="0"/>
      <w:marTop w:val="0"/>
      <w:marBottom w:val="0"/>
      <w:divBdr>
        <w:top w:val="none" w:sz="0" w:space="0" w:color="auto"/>
        <w:left w:val="none" w:sz="0" w:space="0" w:color="auto"/>
        <w:bottom w:val="none" w:sz="0" w:space="0" w:color="auto"/>
        <w:right w:val="none" w:sz="0" w:space="0" w:color="auto"/>
      </w:divBdr>
    </w:div>
    <w:div w:id="993292239">
      <w:bodyDiv w:val="1"/>
      <w:marLeft w:val="0"/>
      <w:marRight w:val="0"/>
      <w:marTop w:val="0"/>
      <w:marBottom w:val="0"/>
      <w:divBdr>
        <w:top w:val="none" w:sz="0" w:space="0" w:color="auto"/>
        <w:left w:val="none" w:sz="0" w:space="0" w:color="auto"/>
        <w:bottom w:val="none" w:sz="0" w:space="0" w:color="auto"/>
        <w:right w:val="none" w:sz="0" w:space="0" w:color="auto"/>
      </w:divBdr>
    </w:div>
    <w:div w:id="993414203">
      <w:bodyDiv w:val="1"/>
      <w:marLeft w:val="0"/>
      <w:marRight w:val="0"/>
      <w:marTop w:val="0"/>
      <w:marBottom w:val="0"/>
      <w:divBdr>
        <w:top w:val="none" w:sz="0" w:space="0" w:color="auto"/>
        <w:left w:val="none" w:sz="0" w:space="0" w:color="auto"/>
        <w:bottom w:val="none" w:sz="0" w:space="0" w:color="auto"/>
        <w:right w:val="none" w:sz="0" w:space="0" w:color="auto"/>
      </w:divBdr>
    </w:div>
    <w:div w:id="993484094">
      <w:bodyDiv w:val="1"/>
      <w:marLeft w:val="0"/>
      <w:marRight w:val="0"/>
      <w:marTop w:val="0"/>
      <w:marBottom w:val="0"/>
      <w:divBdr>
        <w:top w:val="none" w:sz="0" w:space="0" w:color="auto"/>
        <w:left w:val="none" w:sz="0" w:space="0" w:color="auto"/>
        <w:bottom w:val="none" w:sz="0" w:space="0" w:color="auto"/>
        <w:right w:val="none" w:sz="0" w:space="0" w:color="auto"/>
      </w:divBdr>
    </w:div>
    <w:div w:id="993486923">
      <w:bodyDiv w:val="1"/>
      <w:marLeft w:val="0"/>
      <w:marRight w:val="0"/>
      <w:marTop w:val="0"/>
      <w:marBottom w:val="0"/>
      <w:divBdr>
        <w:top w:val="none" w:sz="0" w:space="0" w:color="auto"/>
        <w:left w:val="none" w:sz="0" w:space="0" w:color="auto"/>
        <w:bottom w:val="none" w:sz="0" w:space="0" w:color="auto"/>
        <w:right w:val="none" w:sz="0" w:space="0" w:color="auto"/>
      </w:divBdr>
    </w:div>
    <w:div w:id="993492094">
      <w:bodyDiv w:val="1"/>
      <w:marLeft w:val="0"/>
      <w:marRight w:val="0"/>
      <w:marTop w:val="0"/>
      <w:marBottom w:val="0"/>
      <w:divBdr>
        <w:top w:val="none" w:sz="0" w:space="0" w:color="auto"/>
        <w:left w:val="none" w:sz="0" w:space="0" w:color="auto"/>
        <w:bottom w:val="none" w:sz="0" w:space="0" w:color="auto"/>
        <w:right w:val="none" w:sz="0" w:space="0" w:color="auto"/>
      </w:divBdr>
    </w:div>
    <w:div w:id="993603630">
      <w:bodyDiv w:val="1"/>
      <w:marLeft w:val="0"/>
      <w:marRight w:val="0"/>
      <w:marTop w:val="0"/>
      <w:marBottom w:val="0"/>
      <w:divBdr>
        <w:top w:val="none" w:sz="0" w:space="0" w:color="auto"/>
        <w:left w:val="none" w:sz="0" w:space="0" w:color="auto"/>
        <w:bottom w:val="none" w:sz="0" w:space="0" w:color="auto"/>
        <w:right w:val="none" w:sz="0" w:space="0" w:color="auto"/>
      </w:divBdr>
    </w:div>
    <w:div w:id="993605624">
      <w:bodyDiv w:val="1"/>
      <w:marLeft w:val="0"/>
      <w:marRight w:val="0"/>
      <w:marTop w:val="0"/>
      <w:marBottom w:val="0"/>
      <w:divBdr>
        <w:top w:val="none" w:sz="0" w:space="0" w:color="auto"/>
        <w:left w:val="none" w:sz="0" w:space="0" w:color="auto"/>
        <w:bottom w:val="none" w:sz="0" w:space="0" w:color="auto"/>
        <w:right w:val="none" w:sz="0" w:space="0" w:color="auto"/>
      </w:divBdr>
    </w:div>
    <w:div w:id="993722733">
      <w:bodyDiv w:val="1"/>
      <w:marLeft w:val="0"/>
      <w:marRight w:val="0"/>
      <w:marTop w:val="0"/>
      <w:marBottom w:val="0"/>
      <w:divBdr>
        <w:top w:val="none" w:sz="0" w:space="0" w:color="auto"/>
        <w:left w:val="none" w:sz="0" w:space="0" w:color="auto"/>
        <w:bottom w:val="none" w:sz="0" w:space="0" w:color="auto"/>
        <w:right w:val="none" w:sz="0" w:space="0" w:color="auto"/>
      </w:divBdr>
    </w:div>
    <w:div w:id="993872036">
      <w:bodyDiv w:val="1"/>
      <w:marLeft w:val="0"/>
      <w:marRight w:val="0"/>
      <w:marTop w:val="0"/>
      <w:marBottom w:val="0"/>
      <w:divBdr>
        <w:top w:val="none" w:sz="0" w:space="0" w:color="auto"/>
        <w:left w:val="none" w:sz="0" w:space="0" w:color="auto"/>
        <w:bottom w:val="none" w:sz="0" w:space="0" w:color="auto"/>
        <w:right w:val="none" w:sz="0" w:space="0" w:color="auto"/>
      </w:divBdr>
    </w:div>
    <w:div w:id="993872051">
      <w:bodyDiv w:val="1"/>
      <w:marLeft w:val="0"/>
      <w:marRight w:val="0"/>
      <w:marTop w:val="0"/>
      <w:marBottom w:val="0"/>
      <w:divBdr>
        <w:top w:val="none" w:sz="0" w:space="0" w:color="auto"/>
        <w:left w:val="none" w:sz="0" w:space="0" w:color="auto"/>
        <w:bottom w:val="none" w:sz="0" w:space="0" w:color="auto"/>
        <w:right w:val="none" w:sz="0" w:space="0" w:color="auto"/>
      </w:divBdr>
    </w:div>
    <w:div w:id="993878043">
      <w:bodyDiv w:val="1"/>
      <w:marLeft w:val="0"/>
      <w:marRight w:val="0"/>
      <w:marTop w:val="0"/>
      <w:marBottom w:val="0"/>
      <w:divBdr>
        <w:top w:val="none" w:sz="0" w:space="0" w:color="auto"/>
        <w:left w:val="none" w:sz="0" w:space="0" w:color="auto"/>
        <w:bottom w:val="none" w:sz="0" w:space="0" w:color="auto"/>
        <w:right w:val="none" w:sz="0" w:space="0" w:color="auto"/>
      </w:divBdr>
    </w:div>
    <w:div w:id="994063942">
      <w:bodyDiv w:val="1"/>
      <w:marLeft w:val="0"/>
      <w:marRight w:val="0"/>
      <w:marTop w:val="0"/>
      <w:marBottom w:val="0"/>
      <w:divBdr>
        <w:top w:val="none" w:sz="0" w:space="0" w:color="auto"/>
        <w:left w:val="none" w:sz="0" w:space="0" w:color="auto"/>
        <w:bottom w:val="none" w:sz="0" w:space="0" w:color="auto"/>
        <w:right w:val="none" w:sz="0" w:space="0" w:color="auto"/>
      </w:divBdr>
    </w:div>
    <w:div w:id="994066005">
      <w:bodyDiv w:val="1"/>
      <w:marLeft w:val="0"/>
      <w:marRight w:val="0"/>
      <w:marTop w:val="0"/>
      <w:marBottom w:val="0"/>
      <w:divBdr>
        <w:top w:val="none" w:sz="0" w:space="0" w:color="auto"/>
        <w:left w:val="none" w:sz="0" w:space="0" w:color="auto"/>
        <w:bottom w:val="none" w:sz="0" w:space="0" w:color="auto"/>
        <w:right w:val="none" w:sz="0" w:space="0" w:color="auto"/>
      </w:divBdr>
    </w:div>
    <w:div w:id="994070026">
      <w:bodyDiv w:val="1"/>
      <w:marLeft w:val="0"/>
      <w:marRight w:val="0"/>
      <w:marTop w:val="0"/>
      <w:marBottom w:val="0"/>
      <w:divBdr>
        <w:top w:val="none" w:sz="0" w:space="0" w:color="auto"/>
        <w:left w:val="none" w:sz="0" w:space="0" w:color="auto"/>
        <w:bottom w:val="none" w:sz="0" w:space="0" w:color="auto"/>
        <w:right w:val="none" w:sz="0" w:space="0" w:color="auto"/>
      </w:divBdr>
    </w:div>
    <w:div w:id="994070302">
      <w:bodyDiv w:val="1"/>
      <w:marLeft w:val="0"/>
      <w:marRight w:val="0"/>
      <w:marTop w:val="0"/>
      <w:marBottom w:val="0"/>
      <w:divBdr>
        <w:top w:val="none" w:sz="0" w:space="0" w:color="auto"/>
        <w:left w:val="none" w:sz="0" w:space="0" w:color="auto"/>
        <w:bottom w:val="none" w:sz="0" w:space="0" w:color="auto"/>
        <w:right w:val="none" w:sz="0" w:space="0" w:color="auto"/>
      </w:divBdr>
    </w:div>
    <w:div w:id="994140969">
      <w:bodyDiv w:val="1"/>
      <w:marLeft w:val="0"/>
      <w:marRight w:val="0"/>
      <w:marTop w:val="0"/>
      <w:marBottom w:val="0"/>
      <w:divBdr>
        <w:top w:val="none" w:sz="0" w:space="0" w:color="auto"/>
        <w:left w:val="none" w:sz="0" w:space="0" w:color="auto"/>
        <w:bottom w:val="none" w:sz="0" w:space="0" w:color="auto"/>
        <w:right w:val="none" w:sz="0" w:space="0" w:color="auto"/>
      </w:divBdr>
    </w:div>
    <w:div w:id="994265389">
      <w:bodyDiv w:val="1"/>
      <w:marLeft w:val="0"/>
      <w:marRight w:val="0"/>
      <w:marTop w:val="0"/>
      <w:marBottom w:val="0"/>
      <w:divBdr>
        <w:top w:val="none" w:sz="0" w:space="0" w:color="auto"/>
        <w:left w:val="none" w:sz="0" w:space="0" w:color="auto"/>
        <w:bottom w:val="none" w:sz="0" w:space="0" w:color="auto"/>
        <w:right w:val="none" w:sz="0" w:space="0" w:color="auto"/>
      </w:divBdr>
    </w:div>
    <w:div w:id="994334551">
      <w:bodyDiv w:val="1"/>
      <w:marLeft w:val="0"/>
      <w:marRight w:val="0"/>
      <w:marTop w:val="0"/>
      <w:marBottom w:val="0"/>
      <w:divBdr>
        <w:top w:val="none" w:sz="0" w:space="0" w:color="auto"/>
        <w:left w:val="none" w:sz="0" w:space="0" w:color="auto"/>
        <w:bottom w:val="none" w:sz="0" w:space="0" w:color="auto"/>
        <w:right w:val="none" w:sz="0" w:space="0" w:color="auto"/>
      </w:divBdr>
    </w:div>
    <w:div w:id="994334886">
      <w:bodyDiv w:val="1"/>
      <w:marLeft w:val="0"/>
      <w:marRight w:val="0"/>
      <w:marTop w:val="0"/>
      <w:marBottom w:val="0"/>
      <w:divBdr>
        <w:top w:val="none" w:sz="0" w:space="0" w:color="auto"/>
        <w:left w:val="none" w:sz="0" w:space="0" w:color="auto"/>
        <w:bottom w:val="none" w:sz="0" w:space="0" w:color="auto"/>
        <w:right w:val="none" w:sz="0" w:space="0" w:color="auto"/>
      </w:divBdr>
    </w:div>
    <w:div w:id="994378591">
      <w:bodyDiv w:val="1"/>
      <w:marLeft w:val="0"/>
      <w:marRight w:val="0"/>
      <w:marTop w:val="0"/>
      <w:marBottom w:val="0"/>
      <w:divBdr>
        <w:top w:val="none" w:sz="0" w:space="0" w:color="auto"/>
        <w:left w:val="none" w:sz="0" w:space="0" w:color="auto"/>
        <w:bottom w:val="none" w:sz="0" w:space="0" w:color="auto"/>
        <w:right w:val="none" w:sz="0" w:space="0" w:color="auto"/>
      </w:divBdr>
    </w:div>
    <w:div w:id="994379049">
      <w:bodyDiv w:val="1"/>
      <w:marLeft w:val="0"/>
      <w:marRight w:val="0"/>
      <w:marTop w:val="0"/>
      <w:marBottom w:val="0"/>
      <w:divBdr>
        <w:top w:val="none" w:sz="0" w:space="0" w:color="auto"/>
        <w:left w:val="none" w:sz="0" w:space="0" w:color="auto"/>
        <w:bottom w:val="none" w:sz="0" w:space="0" w:color="auto"/>
        <w:right w:val="none" w:sz="0" w:space="0" w:color="auto"/>
      </w:divBdr>
    </w:div>
    <w:div w:id="994379081">
      <w:bodyDiv w:val="1"/>
      <w:marLeft w:val="0"/>
      <w:marRight w:val="0"/>
      <w:marTop w:val="0"/>
      <w:marBottom w:val="0"/>
      <w:divBdr>
        <w:top w:val="none" w:sz="0" w:space="0" w:color="auto"/>
        <w:left w:val="none" w:sz="0" w:space="0" w:color="auto"/>
        <w:bottom w:val="none" w:sz="0" w:space="0" w:color="auto"/>
        <w:right w:val="none" w:sz="0" w:space="0" w:color="auto"/>
      </w:divBdr>
    </w:div>
    <w:div w:id="994384014">
      <w:bodyDiv w:val="1"/>
      <w:marLeft w:val="0"/>
      <w:marRight w:val="0"/>
      <w:marTop w:val="0"/>
      <w:marBottom w:val="0"/>
      <w:divBdr>
        <w:top w:val="none" w:sz="0" w:space="0" w:color="auto"/>
        <w:left w:val="none" w:sz="0" w:space="0" w:color="auto"/>
        <w:bottom w:val="none" w:sz="0" w:space="0" w:color="auto"/>
        <w:right w:val="none" w:sz="0" w:space="0" w:color="auto"/>
      </w:divBdr>
    </w:div>
    <w:div w:id="994450599">
      <w:bodyDiv w:val="1"/>
      <w:marLeft w:val="0"/>
      <w:marRight w:val="0"/>
      <w:marTop w:val="0"/>
      <w:marBottom w:val="0"/>
      <w:divBdr>
        <w:top w:val="none" w:sz="0" w:space="0" w:color="auto"/>
        <w:left w:val="none" w:sz="0" w:space="0" w:color="auto"/>
        <w:bottom w:val="none" w:sz="0" w:space="0" w:color="auto"/>
        <w:right w:val="none" w:sz="0" w:space="0" w:color="auto"/>
      </w:divBdr>
    </w:div>
    <w:div w:id="994533808">
      <w:bodyDiv w:val="1"/>
      <w:marLeft w:val="0"/>
      <w:marRight w:val="0"/>
      <w:marTop w:val="0"/>
      <w:marBottom w:val="0"/>
      <w:divBdr>
        <w:top w:val="none" w:sz="0" w:space="0" w:color="auto"/>
        <w:left w:val="none" w:sz="0" w:space="0" w:color="auto"/>
        <w:bottom w:val="none" w:sz="0" w:space="0" w:color="auto"/>
        <w:right w:val="none" w:sz="0" w:space="0" w:color="auto"/>
      </w:divBdr>
    </w:div>
    <w:div w:id="994601885">
      <w:bodyDiv w:val="1"/>
      <w:marLeft w:val="0"/>
      <w:marRight w:val="0"/>
      <w:marTop w:val="0"/>
      <w:marBottom w:val="0"/>
      <w:divBdr>
        <w:top w:val="none" w:sz="0" w:space="0" w:color="auto"/>
        <w:left w:val="none" w:sz="0" w:space="0" w:color="auto"/>
        <w:bottom w:val="none" w:sz="0" w:space="0" w:color="auto"/>
        <w:right w:val="none" w:sz="0" w:space="0" w:color="auto"/>
      </w:divBdr>
    </w:div>
    <w:div w:id="994602483">
      <w:bodyDiv w:val="1"/>
      <w:marLeft w:val="0"/>
      <w:marRight w:val="0"/>
      <w:marTop w:val="0"/>
      <w:marBottom w:val="0"/>
      <w:divBdr>
        <w:top w:val="none" w:sz="0" w:space="0" w:color="auto"/>
        <w:left w:val="none" w:sz="0" w:space="0" w:color="auto"/>
        <w:bottom w:val="none" w:sz="0" w:space="0" w:color="auto"/>
        <w:right w:val="none" w:sz="0" w:space="0" w:color="auto"/>
      </w:divBdr>
    </w:div>
    <w:div w:id="994648116">
      <w:bodyDiv w:val="1"/>
      <w:marLeft w:val="0"/>
      <w:marRight w:val="0"/>
      <w:marTop w:val="0"/>
      <w:marBottom w:val="0"/>
      <w:divBdr>
        <w:top w:val="none" w:sz="0" w:space="0" w:color="auto"/>
        <w:left w:val="none" w:sz="0" w:space="0" w:color="auto"/>
        <w:bottom w:val="none" w:sz="0" w:space="0" w:color="auto"/>
        <w:right w:val="none" w:sz="0" w:space="0" w:color="auto"/>
      </w:divBdr>
    </w:div>
    <w:div w:id="994725501">
      <w:bodyDiv w:val="1"/>
      <w:marLeft w:val="0"/>
      <w:marRight w:val="0"/>
      <w:marTop w:val="0"/>
      <w:marBottom w:val="0"/>
      <w:divBdr>
        <w:top w:val="none" w:sz="0" w:space="0" w:color="auto"/>
        <w:left w:val="none" w:sz="0" w:space="0" w:color="auto"/>
        <w:bottom w:val="none" w:sz="0" w:space="0" w:color="auto"/>
        <w:right w:val="none" w:sz="0" w:space="0" w:color="auto"/>
      </w:divBdr>
    </w:div>
    <w:div w:id="994798269">
      <w:bodyDiv w:val="1"/>
      <w:marLeft w:val="0"/>
      <w:marRight w:val="0"/>
      <w:marTop w:val="0"/>
      <w:marBottom w:val="0"/>
      <w:divBdr>
        <w:top w:val="none" w:sz="0" w:space="0" w:color="auto"/>
        <w:left w:val="none" w:sz="0" w:space="0" w:color="auto"/>
        <w:bottom w:val="none" w:sz="0" w:space="0" w:color="auto"/>
        <w:right w:val="none" w:sz="0" w:space="0" w:color="auto"/>
      </w:divBdr>
    </w:div>
    <w:div w:id="994840065">
      <w:bodyDiv w:val="1"/>
      <w:marLeft w:val="0"/>
      <w:marRight w:val="0"/>
      <w:marTop w:val="0"/>
      <w:marBottom w:val="0"/>
      <w:divBdr>
        <w:top w:val="none" w:sz="0" w:space="0" w:color="auto"/>
        <w:left w:val="none" w:sz="0" w:space="0" w:color="auto"/>
        <w:bottom w:val="none" w:sz="0" w:space="0" w:color="auto"/>
        <w:right w:val="none" w:sz="0" w:space="0" w:color="auto"/>
      </w:divBdr>
    </w:div>
    <w:div w:id="994841453">
      <w:bodyDiv w:val="1"/>
      <w:marLeft w:val="0"/>
      <w:marRight w:val="0"/>
      <w:marTop w:val="0"/>
      <w:marBottom w:val="0"/>
      <w:divBdr>
        <w:top w:val="none" w:sz="0" w:space="0" w:color="auto"/>
        <w:left w:val="none" w:sz="0" w:space="0" w:color="auto"/>
        <w:bottom w:val="none" w:sz="0" w:space="0" w:color="auto"/>
        <w:right w:val="none" w:sz="0" w:space="0" w:color="auto"/>
      </w:divBdr>
    </w:div>
    <w:div w:id="995110728">
      <w:bodyDiv w:val="1"/>
      <w:marLeft w:val="0"/>
      <w:marRight w:val="0"/>
      <w:marTop w:val="0"/>
      <w:marBottom w:val="0"/>
      <w:divBdr>
        <w:top w:val="none" w:sz="0" w:space="0" w:color="auto"/>
        <w:left w:val="none" w:sz="0" w:space="0" w:color="auto"/>
        <w:bottom w:val="none" w:sz="0" w:space="0" w:color="auto"/>
        <w:right w:val="none" w:sz="0" w:space="0" w:color="auto"/>
      </w:divBdr>
    </w:div>
    <w:div w:id="995184943">
      <w:bodyDiv w:val="1"/>
      <w:marLeft w:val="0"/>
      <w:marRight w:val="0"/>
      <w:marTop w:val="0"/>
      <w:marBottom w:val="0"/>
      <w:divBdr>
        <w:top w:val="none" w:sz="0" w:space="0" w:color="auto"/>
        <w:left w:val="none" w:sz="0" w:space="0" w:color="auto"/>
        <w:bottom w:val="none" w:sz="0" w:space="0" w:color="auto"/>
        <w:right w:val="none" w:sz="0" w:space="0" w:color="auto"/>
      </w:divBdr>
    </w:div>
    <w:div w:id="995259991">
      <w:bodyDiv w:val="1"/>
      <w:marLeft w:val="0"/>
      <w:marRight w:val="0"/>
      <w:marTop w:val="0"/>
      <w:marBottom w:val="0"/>
      <w:divBdr>
        <w:top w:val="none" w:sz="0" w:space="0" w:color="auto"/>
        <w:left w:val="none" w:sz="0" w:space="0" w:color="auto"/>
        <w:bottom w:val="none" w:sz="0" w:space="0" w:color="auto"/>
        <w:right w:val="none" w:sz="0" w:space="0" w:color="auto"/>
      </w:divBdr>
    </w:div>
    <w:div w:id="995302902">
      <w:bodyDiv w:val="1"/>
      <w:marLeft w:val="0"/>
      <w:marRight w:val="0"/>
      <w:marTop w:val="0"/>
      <w:marBottom w:val="0"/>
      <w:divBdr>
        <w:top w:val="none" w:sz="0" w:space="0" w:color="auto"/>
        <w:left w:val="none" w:sz="0" w:space="0" w:color="auto"/>
        <w:bottom w:val="none" w:sz="0" w:space="0" w:color="auto"/>
        <w:right w:val="none" w:sz="0" w:space="0" w:color="auto"/>
      </w:divBdr>
    </w:div>
    <w:div w:id="995378125">
      <w:bodyDiv w:val="1"/>
      <w:marLeft w:val="0"/>
      <w:marRight w:val="0"/>
      <w:marTop w:val="0"/>
      <w:marBottom w:val="0"/>
      <w:divBdr>
        <w:top w:val="none" w:sz="0" w:space="0" w:color="auto"/>
        <w:left w:val="none" w:sz="0" w:space="0" w:color="auto"/>
        <w:bottom w:val="none" w:sz="0" w:space="0" w:color="auto"/>
        <w:right w:val="none" w:sz="0" w:space="0" w:color="auto"/>
      </w:divBdr>
    </w:div>
    <w:div w:id="995570623">
      <w:bodyDiv w:val="1"/>
      <w:marLeft w:val="0"/>
      <w:marRight w:val="0"/>
      <w:marTop w:val="0"/>
      <w:marBottom w:val="0"/>
      <w:divBdr>
        <w:top w:val="none" w:sz="0" w:space="0" w:color="auto"/>
        <w:left w:val="none" w:sz="0" w:space="0" w:color="auto"/>
        <w:bottom w:val="none" w:sz="0" w:space="0" w:color="auto"/>
        <w:right w:val="none" w:sz="0" w:space="0" w:color="auto"/>
      </w:divBdr>
    </w:div>
    <w:div w:id="995574292">
      <w:bodyDiv w:val="1"/>
      <w:marLeft w:val="0"/>
      <w:marRight w:val="0"/>
      <w:marTop w:val="0"/>
      <w:marBottom w:val="0"/>
      <w:divBdr>
        <w:top w:val="none" w:sz="0" w:space="0" w:color="auto"/>
        <w:left w:val="none" w:sz="0" w:space="0" w:color="auto"/>
        <w:bottom w:val="none" w:sz="0" w:space="0" w:color="auto"/>
        <w:right w:val="none" w:sz="0" w:space="0" w:color="auto"/>
      </w:divBdr>
    </w:div>
    <w:div w:id="995576019">
      <w:bodyDiv w:val="1"/>
      <w:marLeft w:val="0"/>
      <w:marRight w:val="0"/>
      <w:marTop w:val="0"/>
      <w:marBottom w:val="0"/>
      <w:divBdr>
        <w:top w:val="none" w:sz="0" w:space="0" w:color="auto"/>
        <w:left w:val="none" w:sz="0" w:space="0" w:color="auto"/>
        <w:bottom w:val="none" w:sz="0" w:space="0" w:color="auto"/>
        <w:right w:val="none" w:sz="0" w:space="0" w:color="auto"/>
      </w:divBdr>
    </w:div>
    <w:div w:id="995646157">
      <w:bodyDiv w:val="1"/>
      <w:marLeft w:val="0"/>
      <w:marRight w:val="0"/>
      <w:marTop w:val="0"/>
      <w:marBottom w:val="0"/>
      <w:divBdr>
        <w:top w:val="none" w:sz="0" w:space="0" w:color="auto"/>
        <w:left w:val="none" w:sz="0" w:space="0" w:color="auto"/>
        <w:bottom w:val="none" w:sz="0" w:space="0" w:color="auto"/>
        <w:right w:val="none" w:sz="0" w:space="0" w:color="auto"/>
      </w:divBdr>
    </w:div>
    <w:div w:id="995689567">
      <w:bodyDiv w:val="1"/>
      <w:marLeft w:val="0"/>
      <w:marRight w:val="0"/>
      <w:marTop w:val="0"/>
      <w:marBottom w:val="0"/>
      <w:divBdr>
        <w:top w:val="none" w:sz="0" w:space="0" w:color="auto"/>
        <w:left w:val="none" w:sz="0" w:space="0" w:color="auto"/>
        <w:bottom w:val="none" w:sz="0" w:space="0" w:color="auto"/>
        <w:right w:val="none" w:sz="0" w:space="0" w:color="auto"/>
      </w:divBdr>
    </w:div>
    <w:div w:id="995911280">
      <w:bodyDiv w:val="1"/>
      <w:marLeft w:val="0"/>
      <w:marRight w:val="0"/>
      <w:marTop w:val="0"/>
      <w:marBottom w:val="0"/>
      <w:divBdr>
        <w:top w:val="none" w:sz="0" w:space="0" w:color="auto"/>
        <w:left w:val="none" w:sz="0" w:space="0" w:color="auto"/>
        <w:bottom w:val="none" w:sz="0" w:space="0" w:color="auto"/>
        <w:right w:val="none" w:sz="0" w:space="0" w:color="auto"/>
      </w:divBdr>
    </w:div>
    <w:div w:id="995956748">
      <w:bodyDiv w:val="1"/>
      <w:marLeft w:val="0"/>
      <w:marRight w:val="0"/>
      <w:marTop w:val="0"/>
      <w:marBottom w:val="0"/>
      <w:divBdr>
        <w:top w:val="none" w:sz="0" w:space="0" w:color="auto"/>
        <w:left w:val="none" w:sz="0" w:space="0" w:color="auto"/>
        <w:bottom w:val="none" w:sz="0" w:space="0" w:color="auto"/>
        <w:right w:val="none" w:sz="0" w:space="0" w:color="auto"/>
      </w:divBdr>
    </w:div>
    <w:div w:id="996033186">
      <w:bodyDiv w:val="1"/>
      <w:marLeft w:val="0"/>
      <w:marRight w:val="0"/>
      <w:marTop w:val="0"/>
      <w:marBottom w:val="0"/>
      <w:divBdr>
        <w:top w:val="none" w:sz="0" w:space="0" w:color="auto"/>
        <w:left w:val="none" w:sz="0" w:space="0" w:color="auto"/>
        <w:bottom w:val="none" w:sz="0" w:space="0" w:color="auto"/>
        <w:right w:val="none" w:sz="0" w:space="0" w:color="auto"/>
      </w:divBdr>
    </w:div>
    <w:div w:id="996106368">
      <w:bodyDiv w:val="1"/>
      <w:marLeft w:val="0"/>
      <w:marRight w:val="0"/>
      <w:marTop w:val="0"/>
      <w:marBottom w:val="0"/>
      <w:divBdr>
        <w:top w:val="none" w:sz="0" w:space="0" w:color="auto"/>
        <w:left w:val="none" w:sz="0" w:space="0" w:color="auto"/>
        <w:bottom w:val="none" w:sz="0" w:space="0" w:color="auto"/>
        <w:right w:val="none" w:sz="0" w:space="0" w:color="auto"/>
      </w:divBdr>
    </w:div>
    <w:div w:id="996108668">
      <w:bodyDiv w:val="1"/>
      <w:marLeft w:val="0"/>
      <w:marRight w:val="0"/>
      <w:marTop w:val="0"/>
      <w:marBottom w:val="0"/>
      <w:divBdr>
        <w:top w:val="none" w:sz="0" w:space="0" w:color="auto"/>
        <w:left w:val="none" w:sz="0" w:space="0" w:color="auto"/>
        <w:bottom w:val="none" w:sz="0" w:space="0" w:color="auto"/>
        <w:right w:val="none" w:sz="0" w:space="0" w:color="auto"/>
      </w:divBdr>
    </w:div>
    <w:div w:id="996111862">
      <w:bodyDiv w:val="1"/>
      <w:marLeft w:val="0"/>
      <w:marRight w:val="0"/>
      <w:marTop w:val="0"/>
      <w:marBottom w:val="0"/>
      <w:divBdr>
        <w:top w:val="none" w:sz="0" w:space="0" w:color="auto"/>
        <w:left w:val="none" w:sz="0" w:space="0" w:color="auto"/>
        <w:bottom w:val="none" w:sz="0" w:space="0" w:color="auto"/>
        <w:right w:val="none" w:sz="0" w:space="0" w:color="auto"/>
      </w:divBdr>
    </w:div>
    <w:div w:id="996151249">
      <w:bodyDiv w:val="1"/>
      <w:marLeft w:val="0"/>
      <w:marRight w:val="0"/>
      <w:marTop w:val="0"/>
      <w:marBottom w:val="0"/>
      <w:divBdr>
        <w:top w:val="none" w:sz="0" w:space="0" w:color="auto"/>
        <w:left w:val="none" w:sz="0" w:space="0" w:color="auto"/>
        <w:bottom w:val="none" w:sz="0" w:space="0" w:color="auto"/>
        <w:right w:val="none" w:sz="0" w:space="0" w:color="auto"/>
      </w:divBdr>
    </w:div>
    <w:div w:id="996303259">
      <w:bodyDiv w:val="1"/>
      <w:marLeft w:val="0"/>
      <w:marRight w:val="0"/>
      <w:marTop w:val="0"/>
      <w:marBottom w:val="0"/>
      <w:divBdr>
        <w:top w:val="none" w:sz="0" w:space="0" w:color="auto"/>
        <w:left w:val="none" w:sz="0" w:space="0" w:color="auto"/>
        <w:bottom w:val="none" w:sz="0" w:space="0" w:color="auto"/>
        <w:right w:val="none" w:sz="0" w:space="0" w:color="auto"/>
      </w:divBdr>
    </w:div>
    <w:div w:id="996346087">
      <w:bodyDiv w:val="1"/>
      <w:marLeft w:val="0"/>
      <w:marRight w:val="0"/>
      <w:marTop w:val="0"/>
      <w:marBottom w:val="0"/>
      <w:divBdr>
        <w:top w:val="none" w:sz="0" w:space="0" w:color="auto"/>
        <w:left w:val="none" w:sz="0" w:space="0" w:color="auto"/>
        <w:bottom w:val="none" w:sz="0" w:space="0" w:color="auto"/>
        <w:right w:val="none" w:sz="0" w:space="0" w:color="auto"/>
      </w:divBdr>
    </w:div>
    <w:div w:id="996417011">
      <w:bodyDiv w:val="1"/>
      <w:marLeft w:val="0"/>
      <w:marRight w:val="0"/>
      <w:marTop w:val="0"/>
      <w:marBottom w:val="0"/>
      <w:divBdr>
        <w:top w:val="none" w:sz="0" w:space="0" w:color="auto"/>
        <w:left w:val="none" w:sz="0" w:space="0" w:color="auto"/>
        <w:bottom w:val="none" w:sz="0" w:space="0" w:color="auto"/>
        <w:right w:val="none" w:sz="0" w:space="0" w:color="auto"/>
      </w:divBdr>
    </w:div>
    <w:div w:id="996491770">
      <w:bodyDiv w:val="1"/>
      <w:marLeft w:val="0"/>
      <w:marRight w:val="0"/>
      <w:marTop w:val="0"/>
      <w:marBottom w:val="0"/>
      <w:divBdr>
        <w:top w:val="none" w:sz="0" w:space="0" w:color="auto"/>
        <w:left w:val="none" w:sz="0" w:space="0" w:color="auto"/>
        <w:bottom w:val="none" w:sz="0" w:space="0" w:color="auto"/>
        <w:right w:val="none" w:sz="0" w:space="0" w:color="auto"/>
      </w:divBdr>
    </w:div>
    <w:div w:id="996492109">
      <w:bodyDiv w:val="1"/>
      <w:marLeft w:val="0"/>
      <w:marRight w:val="0"/>
      <w:marTop w:val="0"/>
      <w:marBottom w:val="0"/>
      <w:divBdr>
        <w:top w:val="none" w:sz="0" w:space="0" w:color="auto"/>
        <w:left w:val="none" w:sz="0" w:space="0" w:color="auto"/>
        <w:bottom w:val="none" w:sz="0" w:space="0" w:color="auto"/>
        <w:right w:val="none" w:sz="0" w:space="0" w:color="auto"/>
      </w:divBdr>
    </w:div>
    <w:div w:id="996541507">
      <w:bodyDiv w:val="1"/>
      <w:marLeft w:val="0"/>
      <w:marRight w:val="0"/>
      <w:marTop w:val="0"/>
      <w:marBottom w:val="0"/>
      <w:divBdr>
        <w:top w:val="none" w:sz="0" w:space="0" w:color="auto"/>
        <w:left w:val="none" w:sz="0" w:space="0" w:color="auto"/>
        <w:bottom w:val="none" w:sz="0" w:space="0" w:color="auto"/>
        <w:right w:val="none" w:sz="0" w:space="0" w:color="auto"/>
      </w:divBdr>
    </w:div>
    <w:div w:id="996615239">
      <w:bodyDiv w:val="1"/>
      <w:marLeft w:val="0"/>
      <w:marRight w:val="0"/>
      <w:marTop w:val="0"/>
      <w:marBottom w:val="0"/>
      <w:divBdr>
        <w:top w:val="none" w:sz="0" w:space="0" w:color="auto"/>
        <w:left w:val="none" w:sz="0" w:space="0" w:color="auto"/>
        <w:bottom w:val="none" w:sz="0" w:space="0" w:color="auto"/>
        <w:right w:val="none" w:sz="0" w:space="0" w:color="auto"/>
      </w:divBdr>
    </w:div>
    <w:div w:id="996685977">
      <w:bodyDiv w:val="1"/>
      <w:marLeft w:val="0"/>
      <w:marRight w:val="0"/>
      <w:marTop w:val="0"/>
      <w:marBottom w:val="0"/>
      <w:divBdr>
        <w:top w:val="none" w:sz="0" w:space="0" w:color="auto"/>
        <w:left w:val="none" w:sz="0" w:space="0" w:color="auto"/>
        <w:bottom w:val="none" w:sz="0" w:space="0" w:color="auto"/>
        <w:right w:val="none" w:sz="0" w:space="0" w:color="auto"/>
      </w:divBdr>
    </w:div>
    <w:div w:id="996760716">
      <w:bodyDiv w:val="1"/>
      <w:marLeft w:val="0"/>
      <w:marRight w:val="0"/>
      <w:marTop w:val="0"/>
      <w:marBottom w:val="0"/>
      <w:divBdr>
        <w:top w:val="none" w:sz="0" w:space="0" w:color="auto"/>
        <w:left w:val="none" w:sz="0" w:space="0" w:color="auto"/>
        <w:bottom w:val="none" w:sz="0" w:space="0" w:color="auto"/>
        <w:right w:val="none" w:sz="0" w:space="0" w:color="auto"/>
      </w:divBdr>
    </w:div>
    <w:div w:id="996957417">
      <w:bodyDiv w:val="1"/>
      <w:marLeft w:val="0"/>
      <w:marRight w:val="0"/>
      <w:marTop w:val="0"/>
      <w:marBottom w:val="0"/>
      <w:divBdr>
        <w:top w:val="none" w:sz="0" w:space="0" w:color="auto"/>
        <w:left w:val="none" w:sz="0" w:space="0" w:color="auto"/>
        <w:bottom w:val="none" w:sz="0" w:space="0" w:color="auto"/>
        <w:right w:val="none" w:sz="0" w:space="0" w:color="auto"/>
      </w:divBdr>
    </w:div>
    <w:div w:id="997073290">
      <w:bodyDiv w:val="1"/>
      <w:marLeft w:val="0"/>
      <w:marRight w:val="0"/>
      <w:marTop w:val="0"/>
      <w:marBottom w:val="0"/>
      <w:divBdr>
        <w:top w:val="none" w:sz="0" w:space="0" w:color="auto"/>
        <w:left w:val="none" w:sz="0" w:space="0" w:color="auto"/>
        <w:bottom w:val="none" w:sz="0" w:space="0" w:color="auto"/>
        <w:right w:val="none" w:sz="0" w:space="0" w:color="auto"/>
      </w:divBdr>
    </w:div>
    <w:div w:id="997080559">
      <w:bodyDiv w:val="1"/>
      <w:marLeft w:val="0"/>
      <w:marRight w:val="0"/>
      <w:marTop w:val="0"/>
      <w:marBottom w:val="0"/>
      <w:divBdr>
        <w:top w:val="none" w:sz="0" w:space="0" w:color="auto"/>
        <w:left w:val="none" w:sz="0" w:space="0" w:color="auto"/>
        <w:bottom w:val="none" w:sz="0" w:space="0" w:color="auto"/>
        <w:right w:val="none" w:sz="0" w:space="0" w:color="auto"/>
      </w:divBdr>
    </w:div>
    <w:div w:id="997148502">
      <w:bodyDiv w:val="1"/>
      <w:marLeft w:val="0"/>
      <w:marRight w:val="0"/>
      <w:marTop w:val="0"/>
      <w:marBottom w:val="0"/>
      <w:divBdr>
        <w:top w:val="none" w:sz="0" w:space="0" w:color="auto"/>
        <w:left w:val="none" w:sz="0" w:space="0" w:color="auto"/>
        <w:bottom w:val="none" w:sz="0" w:space="0" w:color="auto"/>
        <w:right w:val="none" w:sz="0" w:space="0" w:color="auto"/>
      </w:divBdr>
    </w:div>
    <w:div w:id="997154471">
      <w:bodyDiv w:val="1"/>
      <w:marLeft w:val="0"/>
      <w:marRight w:val="0"/>
      <w:marTop w:val="0"/>
      <w:marBottom w:val="0"/>
      <w:divBdr>
        <w:top w:val="none" w:sz="0" w:space="0" w:color="auto"/>
        <w:left w:val="none" w:sz="0" w:space="0" w:color="auto"/>
        <w:bottom w:val="none" w:sz="0" w:space="0" w:color="auto"/>
        <w:right w:val="none" w:sz="0" w:space="0" w:color="auto"/>
      </w:divBdr>
    </w:div>
    <w:div w:id="997347090">
      <w:bodyDiv w:val="1"/>
      <w:marLeft w:val="0"/>
      <w:marRight w:val="0"/>
      <w:marTop w:val="0"/>
      <w:marBottom w:val="0"/>
      <w:divBdr>
        <w:top w:val="none" w:sz="0" w:space="0" w:color="auto"/>
        <w:left w:val="none" w:sz="0" w:space="0" w:color="auto"/>
        <w:bottom w:val="none" w:sz="0" w:space="0" w:color="auto"/>
        <w:right w:val="none" w:sz="0" w:space="0" w:color="auto"/>
      </w:divBdr>
    </w:div>
    <w:div w:id="997416043">
      <w:bodyDiv w:val="1"/>
      <w:marLeft w:val="0"/>
      <w:marRight w:val="0"/>
      <w:marTop w:val="0"/>
      <w:marBottom w:val="0"/>
      <w:divBdr>
        <w:top w:val="none" w:sz="0" w:space="0" w:color="auto"/>
        <w:left w:val="none" w:sz="0" w:space="0" w:color="auto"/>
        <w:bottom w:val="none" w:sz="0" w:space="0" w:color="auto"/>
        <w:right w:val="none" w:sz="0" w:space="0" w:color="auto"/>
      </w:divBdr>
    </w:div>
    <w:div w:id="997462950">
      <w:bodyDiv w:val="1"/>
      <w:marLeft w:val="0"/>
      <w:marRight w:val="0"/>
      <w:marTop w:val="0"/>
      <w:marBottom w:val="0"/>
      <w:divBdr>
        <w:top w:val="none" w:sz="0" w:space="0" w:color="auto"/>
        <w:left w:val="none" w:sz="0" w:space="0" w:color="auto"/>
        <w:bottom w:val="none" w:sz="0" w:space="0" w:color="auto"/>
        <w:right w:val="none" w:sz="0" w:space="0" w:color="auto"/>
      </w:divBdr>
    </w:div>
    <w:div w:id="997611566">
      <w:bodyDiv w:val="1"/>
      <w:marLeft w:val="0"/>
      <w:marRight w:val="0"/>
      <w:marTop w:val="0"/>
      <w:marBottom w:val="0"/>
      <w:divBdr>
        <w:top w:val="none" w:sz="0" w:space="0" w:color="auto"/>
        <w:left w:val="none" w:sz="0" w:space="0" w:color="auto"/>
        <w:bottom w:val="none" w:sz="0" w:space="0" w:color="auto"/>
        <w:right w:val="none" w:sz="0" w:space="0" w:color="auto"/>
      </w:divBdr>
    </w:div>
    <w:div w:id="997614620">
      <w:bodyDiv w:val="1"/>
      <w:marLeft w:val="0"/>
      <w:marRight w:val="0"/>
      <w:marTop w:val="0"/>
      <w:marBottom w:val="0"/>
      <w:divBdr>
        <w:top w:val="none" w:sz="0" w:space="0" w:color="auto"/>
        <w:left w:val="none" w:sz="0" w:space="0" w:color="auto"/>
        <w:bottom w:val="none" w:sz="0" w:space="0" w:color="auto"/>
        <w:right w:val="none" w:sz="0" w:space="0" w:color="auto"/>
      </w:divBdr>
    </w:div>
    <w:div w:id="997659064">
      <w:bodyDiv w:val="1"/>
      <w:marLeft w:val="0"/>
      <w:marRight w:val="0"/>
      <w:marTop w:val="0"/>
      <w:marBottom w:val="0"/>
      <w:divBdr>
        <w:top w:val="none" w:sz="0" w:space="0" w:color="auto"/>
        <w:left w:val="none" w:sz="0" w:space="0" w:color="auto"/>
        <w:bottom w:val="none" w:sz="0" w:space="0" w:color="auto"/>
        <w:right w:val="none" w:sz="0" w:space="0" w:color="auto"/>
      </w:divBdr>
    </w:div>
    <w:div w:id="997729450">
      <w:bodyDiv w:val="1"/>
      <w:marLeft w:val="0"/>
      <w:marRight w:val="0"/>
      <w:marTop w:val="0"/>
      <w:marBottom w:val="0"/>
      <w:divBdr>
        <w:top w:val="none" w:sz="0" w:space="0" w:color="auto"/>
        <w:left w:val="none" w:sz="0" w:space="0" w:color="auto"/>
        <w:bottom w:val="none" w:sz="0" w:space="0" w:color="auto"/>
        <w:right w:val="none" w:sz="0" w:space="0" w:color="auto"/>
      </w:divBdr>
    </w:div>
    <w:div w:id="997803855">
      <w:bodyDiv w:val="1"/>
      <w:marLeft w:val="0"/>
      <w:marRight w:val="0"/>
      <w:marTop w:val="0"/>
      <w:marBottom w:val="0"/>
      <w:divBdr>
        <w:top w:val="none" w:sz="0" w:space="0" w:color="auto"/>
        <w:left w:val="none" w:sz="0" w:space="0" w:color="auto"/>
        <w:bottom w:val="none" w:sz="0" w:space="0" w:color="auto"/>
        <w:right w:val="none" w:sz="0" w:space="0" w:color="auto"/>
      </w:divBdr>
    </w:div>
    <w:div w:id="997805960">
      <w:bodyDiv w:val="1"/>
      <w:marLeft w:val="0"/>
      <w:marRight w:val="0"/>
      <w:marTop w:val="0"/>
      <w:marBottom w:val="0"/>
      <w:divBdr>
        <w:top w:val="none" w:sz="0" w:space="0" w:color="auto"/>
        <w:left w:val="none" w:sz="0" w:space="0" w:color="auto"/>
        <w:bottom w:val="none" w:sz="0" w:space="0" w:color="auto"/>
        <w:right w:val="none" w:sz="0" w:space="0" w:color="auto"/>
      </w:divBdr>
    </w:div>
    <w:div w:id="997810340">
      <w:bodyDiv w:val="1"/>
      <w:marLeft w:val="0"/>
      <w:marRight w:val="0"/>
      <w:marTop w:val="0"/>
      <w:marBottom w:val="0"/>
      <w:divBdr>
        <w:top w:val="none" w:sz="0" w:space="0" w:color="auto"/>
        <w:left w:val="none" w:sz="0" w:space="0" w:color="auto"/>
        <w:bottom w:val="none" w:sz="0" w:space="0" w:color="auto"/>
        <w:right w:val="none" w:sz="0" w:space="0" w:color="auto"/>
      </w:divBdr>
    </w:div>
    <w:div w:id="998075723">
      <w:bodyDiv w:val="1"/>
      <w:marLeft w:val="0"/>
      <w:marRight w:val="0"/>
      <w:marTop w:val="0"/>
      <w:marBottom w:val="0"/>
      <w:divBdr>
        <w:top w:val="none" w:sz="0" w:space="0" w:color="auto"/>
        <w:left w:val="none" w:sz="0" w:space="0" w:color="auto"/>
        <w:bottom w:val="none" w:sz="0" w:space="0" w:color="auto"/>
        <w:right w:val="none" w:sz="0" w:space="0" w:color="auto"/>
      </w:divBdr>
    </w:div>
    <w:div w:id="998192051">
      <w:bodyDiv w:val="1"/>
      <w:marLeft w:val="0"/>
      <w:marRight w:val="0"/>
      <w:marTop w:val="0"/>
      <w:marBottom w:val="0"/>
      <w:divBdr>
        <w:top w:val="none" w:sz="0" w:space="0" w:color="auto"/>
        <w:left w:val="none" w:sz="0" w:space="0" w:color="auto"/>
        <w:bottom w:val="none" w:sz="0" w:space="0" w:color="auto"/>
        <w:right w:val="none" w:sz="0" w:space="0" w:color="auto"/>
      </w:divBdr>
    </w:div>
    <w:div w:id="998311248">
      <w:bodyDiv w:val="1"/>
      <w:marLeft w:val="0"/>
      <w:marRight w:val="0"/>
      <w:marTop w:val="0"/>
      <w:marBottom w:val="0"/>
      <w:divBdr>
        <w:top w:val="none" w:sz="0" w:space="0" w:color="auto"/>
        <w:left w:val="none" w:sz="0" w:space="0" w:color="auto"/>
        <w:bottom w:val="none" w:sz="0" w:space="0" w:color="auto"/>
        <w:right w:val="none" w:sz="0" w:space="0" w:color="auto"/>
      </w:divBdr>
    </w:div>
    <w:div w:id="998313607">
      <w:bodyDiv w:val="1"/>
      <w:marLeft w:val="0"/>
      <w:marRight w:val="0"/>
      <w:marTop w:val="0"/>
      <w:marBottom w:val="0"/>
      <w:divBdr>
        <w:top w:val="none" w:sz="0" w:space="0" w:color="auto"/>
        <w:left w:val="none" w:sz="0" w:space="0" w:color="auto"/>
        <w:bottom w:val="none" w:sz="0" w:space="0" w:color="auto"/>
        <w:right w:val="none" w:sz="0" w:space="0" w:color="auto"/>
      </w:divBdr>
    </w:div>
    <w:div w:id="998313966">
      <w:bodyDiv w:val="1"/>
      <w:marLeft w:val="0"/>
      <w:marRight w:val="0"/>
      <w:marTop w:val="0"/>
      <w:marBottom w:val="0"/>
      <w:divBdr>
        <w:top w:val="none" w:sz="0" w:space="0" w:color="auto"/>
        <w:left w:val="none" w:sz="0" w:space="0" w:color="auto"/>
        <w:bottom w:val="none" w:sz="0" w:space="0" w:color="auto"/>
        <w:right w:val="none" w:sz="0" w:space="0" w:color="auto"/>
      </w:divBdr>
    </w:div>
    <w:div w:id="998314296">
      <w:bodyDiv w:val="1"/>
      <w:marLeft w:val="0"/>
      <w:marRight w:val="0"/>
      <w:marTop w:val="0"/>
      <w:marBottom w:val="0"/>
      <w:divBdr>
        <w:top w:val="none" w:sz="0" w:space="0" w:color="auto"/>
        <w:left w:val="none" w:sz="0" w:space="0" w:color="auto"/>
        <w:bottom w:val="none" w:sz="0" w:space="0" w:color="auto"/>
        <w:right w:val="none" w:sz="0" w:space="0" w:color="auto"/>
      </w:divBdr>
    </w:div>
    <w:div w:id="998459987">
      <w:bodyDiv w:val="1"/>
      <w:marLeft w:val="0"/>
      <w:marRight w:val="0"/>
      <w:marTop w:val="0"/>
      <w:marBottom w:val="0"/>
      <w:divBdr>
        <w:top w:val="none" w:sz="0" w:space="0" w:color="auto"/>
        <w:left w:val="none" w:sz="0" w:space="0" w:color="auto"/>
        <w:bottom w:val="none" w:sz="0" w:space="0" w:color="auto"/>
        <w:right w:val="none" w:sz="0" w:space="0" w:color="auto"/>
      </w:divBdr>
    </w:div>
    <w:div w:id="998729015">
      <w:bodyDiv w:val="1"/>
      <w:marLeft w:val="0"/>
      <w:marRight w:val="0"/>
      <w:marTop w:val="0"/>
      <w:marBottom w:val="0"/>
      <w:divBdr>
        <w:top w:val="none" w:sz="0" w:space="0" w:color="auto"/>
        <w:left w:val="none" w:sz="0" w:space="0" w:color="auto"/>
        <w:bottom w:val="none" w:sz="0" w:space="0" w:color="auto"/>
        <w:right w:val="none" w:sz="0" w:space="0" w:color="auto"/>
      </w:divBdr>
    </w:div>
    <w:div w:id="998776154">
      <w:bodyDiv w:val="1"/>
      <w:marLeft w:val="0"/>
      <w:marRight w:val="0"/>
      <w:marTop w:val="0"/>
      <w:marBottom w:val="0"/>
      <w:divBdr>
        <w:top w:val="none" w:sz="0" w:space="0" w:color="auto"/>
        <w:left w:val="none" w:sz="0" w:space="0" w:color="auto"/>
        <w:bottom w:val="none" w:sz="0" w:space="0" w:color="auto"/>
        <w:right w:val="none" w:sz="0" w:space="0" w:color="auto"/>
      </w:divBdr>
    </w:div>
    <w:div w:id="998927130">
      <w:bodyDiv w:val="1"/>
      <w:marLeft w:val="0"/>
      <w:marRight w:val="0"/>
      <w:marTop w:val="0"/>
      <w:marBottom w:val="0"/>
      <w:divBdr>
        <w:top w:val="none" w:sz="0" w:space="0" w:color="auto"/>
        <w:left w:val="none" w:sz="0" w:space="0" w:color="auto"/>
        <w:bottom w:val="none" w:sz="0" w:space="0" w:color="auto"/>
        <w:right w:val="none" w:sz="0" w:space="0" w:color="auto"/>
      </w:divBdr>
    </w:div>
    <w:div w:id="998966630">
      <w:bodyDiv w:val="1"/>
      <w:marLeft w:val="0"/>
      <w:marRight w:val="0"/>
      <w:marTop w:val="0"/>
      <w:marBottom w:val="0"/>
      <w:divBdr>
        <w:top w:val="none" w:sz="0" w:space="0" w:color="auto"/>
        <w:left w:val="none" w:sz="0" w:space="0" w:color="auto"/>
        <w:bottom w:val="none" w:sz="0" w:space="0" w:color="auto"/>
        <w:right w:val="none" w:sz="0" w:space="0" w:color="auto"/>
      </w:divBdr>
    </w:div>
    <w:div w:id="999037667">
      <w:bodyDiv w:val="1"/>
      <w:marLeft w:val="0"/>
      <w:marRight w:val="0"/>
      <w:marTop w:val="0"/>
      <w:marBottom w:val="0"/>
      <w:divBdr>
        <w:top w:val="none" w:sz="0" w:space="0" w:color="auto"/>
        <w:left w:val="none" w:sz="0" w:space="0" w:color="auto"/>
        <w:bottom w:val="none" w:sz="0" w:space="0" w:color="auto"/>
        <w:right w:val="none" w:sz="0" w:space="0" w:color="auto"/>
      </w:divBdr>
    </w:div>
    <w:div w:id="999039056">
      <w:bodyDiv w:val="1"/>
      <w:marLeft w:val="0"/>
      <w:marRight w:val="0"/>
      <w:marTop w:val="0"/>
      <w:marBottom w:val="0"/>
      <w:divBdr>
        <w:top w:val="none" w:sz="0" w:space="0" w:color="auto"/>
        <w:left w:val="none" w:sz="0" w:space="0" w:color="auto"/>
        <w:bottom w:val="none" w:sz="0" w:space="0" w:color="auto"/>
        <w:right w:val="none" w:sz="0" w:space="0" w:color="auto"/>
      </w:divBdr>
    </w:div>
    <w:div w:id="999238856">
      <w:bodyDiv w:val="1"/>
      <w:marLeft w:val="0"/>
      <w:marRight w:val="0"/>
      <w:marTop w:val="0"/>
      <w:marBottom w:val="0"/>
      <w:divBdr>
        <w:top w:val="none" w:sz="0" w:space="0" w:color="auto"/>
        <w:left w:val="none" w:sz="0" w:space="0" w:color="auto"/>
        <w:bottom w:val="none" w:sz="0" w:space="0" w:color="auto"/>
        <w:right w:val="none" w:sz="0" w:space="0" w:color="auto"/>
      </w:divBdr>
    </w:div>
    <w:div w:id="999315036">
      <w:bodyDiv w:val="1"/>
      <w:marLeft w:val="0"/>
      <w:marRight w:val="0"/>
      <w:marTop w:val="0"/>
      <w:marBottom w:val="0"/>
      <w:divBdr>
        <w:top w:val="none" w:sz="0" w:space="0" w:color="auto"/>
        <w:left w:val="none" w:sz="0" w:space="0" w:color="auto"/>
        <w:bottom w:val="none" w:sz="0" w:space="0" w:color="auto"/>
        <w:right w:val="none" w:sz="0" w:space="0" w:color="auto"/>
      </w:divBdr>
    </w:div>
    <w:div w:id="999382445">
      <w:bodyDiv w:val="1"/>
      <w:marLeft w:val="0"/>
      <w:marRight w:val="0"/>
      <w:marTop w:val="0"/>
      <w:marBottom w:val="0"/>
      <w:divBdr>
        <w:top w:val="none" w:sz="0" w:space="0" w:color="auto"/>
        <w:left w:val="none" w:sz="0" w:space="0" w:color="auto"/>
        <w:bottom w:val="none" w:sz="0" w:space="0" w:color="auto"/>
        <w:right w:val="none" w:sz="0" w:space="0" w:color="auto"/>
      </w:divBdr>
    </w:div>
    <w:div w:id="999431136">
      <w:bodyDiv w:val="1"/>
      <w:marLeft w:val="0"/>
      <w:marRight w:val="0"/>
      <w:marTop w:val="0"/>
      <w:marBottom w:val="0"/>
      <w:divBdr>
        <w:top w:val="none" w:sz="0" w:space="0" w:color="auto"/>
        <w:left w:val="none" w:sz="0" w:space="0" w:color="auto"/>
        <w:bottom w:val="none" w:sz="0" w:space="0" w:color="auto"/>
        <w:right w:val="none" w:sz="0" w:space="0" w:color="auto"/>
      </w:divBdr>
    </w:div>
    <w:div w:id="999579155">
      <w:bodyDiv w:val="1"/>
      <w:marLeft w:val="0"/>
      <w:marRight w:val="0"/>
      <w:marTop w:val="0"/>
      <w:marBottom w:val="0"/>
      <w:divBdr>
        <w:top w:val="none" w:sz="0" w:space="0" w:color="auto"/>
        <w:left w:val="none" w:sz="0" w:space="0" w:color="auto"/>
        <w:bottom w:val="none" w:sz="0" w:space="0" w:color="auto"/>
        <w:right w:val="none" w:sz="0" w:space="0" w:color="auto"/>
      </w:divBdr>
    </w:div>
    <w:div w:id="999581094">
      <w:bodyDiv w:val="1"/>
      <w:marLeft w:val="0"/>
      <w:marRight w:val="0"/>
      <w:marTop w:val="0"/>
      <w:marBottom w:val="0"/>
      <w:divBdr>
        <w:top w:val="none" w:sz="0" w:space="0" w:color="auto"/>
        <w:left w:val="none" w:sz="0" w:space="0" w:color="auto"/>
        <w:bottom w:val="none" w:sz="0" w:space="0" w:color="auto"/>
        <w:right w:val="none" w:sz="0" w:space="0" w:color="auto"/>
      </w:divBdr>
    </w:div>
    <w:div w:id="999623092">
      <w:bodyDiv w:val="1"/>
      <w:marLeft w:val="0"/>
      <w:marRight w:val="0"/>
      <w:marTop w:val="0"/>
      <w:marBottom w:val="0"/>
      <w:divBdr>
        <w:top w:val="none" w:sz="0" w:space="0" w:color="auto"/>
        <w:left w:val="none" w:sz="0" w:space="0" w:color="auto"/>
        <w:bottom w:val="none" w:sz="0" w:space="0" w:color="auto"/>
        <w:right w:val="none" w:sz="0" w:space="0" w:color="auto"/>
      </w:divBdr>
    </w:div>
    <w:div w:id="999623334">
      <w:bodyDiv w:val="1"/>
      <w:marLeft w:val="0"/>
      <w:marRight w:val="0"/>
      <w:marTop w:val="0"/>
      <w:marBottom w:val="0"/>
      <w:divBdr>
        <w:top w:val="none" w:sz="0" w:space="0" w:color="auto"/>
        <w:left w:val="none" w:sz="0" w:space="0" w:color="auto"/>
        <w:bottom w:val="none" w:sz="0" w:space="0" w:color="auto"/>
        <w:right w:val="none" w:sz="0" w:space="0" w:color="auto"/>
      </w:divBdr>
    </w:div>
    <w:div w:id="999700098">
      <w:bodyDiv w:val="1"/>
      <w:marLeft w:val="0"/>
      <w:marRight w:val="0"/>
      <w:marTop w:val="0"/>
      <w:marBottom w:val="0"/>
      <w:divBdr>
        <w:top w:val="none" w:sz="0" w:space="0" w:color="auto"/>
        <w:left w:val="none" w:sz="0" w:space="0" w:color="auto"/>
        <w:bottom w:val="none" w:sz="0" w:space="0" w:color="auto"/>
        <w:right w:val="none" w:sz="0" w:space="0" w:color="auto"/>
      </w:divBdr>
    </w:div>
    <w:div w:id="999846105">
      <w:bodyDiv w:val="1"/>
      <w:marLeft w:val="0"/>
      <w:marRight w:val="0"/>
      <w:marTop w:val="0"/>
      <w:marBottom w:val="0"/>
      <w:divBdr>
        <w:top w:val="none" w:sz="0" w:space="0" w:color="auto"/>
        <w:left w:val="none" w:sz="0" w:space="0" w:color="auto"/>
        <w:bottom w:val="none" w:sz="0" w:space="0" w:color="auto"/>
        <w:right w:val="none" w:sz="0" w:space="0" w:color="auto"/>
      </w:divBdr>
    </w:div>
    <w:div w:id="999847103">
      <w:bodyDiv w:val="1"/>
      <w:marLeft w:val="0"/>
      <w:marRight w:val="0"/>
      <w:marTop w:val="0"/>
      <w:marBottom w:val="0"/>
      <w:divBdr>
        <w:top w:val="none" w:sz="0" w:space="0" w:color="auto"/>
        <w:left w:val="none" w:sz="0" w:space="0" w:color="auto"/>
        <w:bottom w:val="none" w:sz="0" w:space="0" w:color="auto"/>
        <w:right w:val="none" w:sz="0" w:space="0" w:color="auto"/>
      </w:divBdr>
    </w:div>
    <w:div w:id="999888586">
      <w:bodyDiv w:val="1"/>
      <w:marLeft w:val="0"/>
      <w:marRight w:val="0"/>
      <w:marTop w:val="0"/>
      <w:marBottom w:val="0"/>
      <w:divBdr>
        <w:top w:val="none" w:sz="0" w:space="0" w:color="auto"/>
        <w:left w:val="none" w:sz="0" w:space="0" w:color="auto"/>
        <w:bottom w:val="none" w:sz="0" w:space="0" w:color="auto"/>
        <w:right w:val="none" w:sz="0" w:space="0" w:color="auto"/>
      </w:divBdr>
    </w:div>
    <w:div w:id="999889061">
      <w:bodyDiv w:val="1"/>
      <w:marLeft w:val="0"/>
      <w:marRight w:val="0"/>
      <w:marTop w:val="0"/>
      <w:marBottom w:val="0"/>
      <w:divBdr>
        <w:top w:val="none" w:sz="0" w:space="0" w:color="auto"/>
        <w:left w:val="none" w:sz="0" w:space="0" w:color="auto"/>
        <w:bottom w:val="none" w:sz="0" w:space="0" w:color="auto"/>
        <w:right w:val="none" w:sz="0" w:space="0" w:color="auto"/>
      </w:divBdr>
    </w:div>
    <w:div w:id="999961926">
      <w:bodyDiv w:val="1"/>
      <w:marLeft w:val="0"/>
      <w:marRight w:val="0"/>
      <w:marTop w:val="0"/>
      <w:marBottom w:val="0"/>
      <w:divBdr>
        <w:top w:val="none" w:sz="0" w:space="0" w:color="auto"/>
        <w:left w:val="none" w:sz="0" w:space="0" w:color="auto"/>
        <w:bottom w:val="none" w:sz="0" w:space="0" w:color="auto"/>
        <w:right w:val="none" w:sz="0" w:space="0" w:color="auto"/>
      </w:divBdr>
    </w:div>
    <w:div w:id="1000079823">
      <w:bodyDiv w:val="1"/>
      <w:marLeft w:val="0"/>
      <w:marRight w:val="0"/>
      <w:marTop w:val="0"/>
      <w:marBottom w:val="0"/>
      <w:divBdr>
        <w:top w:val="none" w:sz="0" w:space="0" w:color="auto"/>
        <w:left w:val="none" w:sz="0" w:space="0" w:color="auto"/>
        <w:bottom w:val="none" w:sz="0" w:space="0" w:color="auto"/>
        <w:right w:val="none" w:sz="0" w:space="0" w:color="auto"/>
      </w:divBdr>
    </w:div>
    <w:div w:id="1000160030">
      <w:bodyDiv w:val="1"/>
      <w:marLeft w:val="0"/>
      <w:marRight w:val="0"/>
      <w:marTop w:val="0"/>
      <w:marBottom w:val="0"/>
      <w:divBdr>
        <w:top w:val="none" w:sz="0" w:space="0" w:color="auto"/>
        <w:left w:val="none" w:sz="0" w:space="0" w:color="auto"/>
        <w:bottom w:val="none" w:sz="0" w:space="0" w:color="auto"/>
        <w:right w:val="none" w:sz="0" w:space="0" w:color="auto"/>
      </w:divBdr>
    </w:div>
    <w:div w:id="1000163197">
      <w:bodyDiv w:val="1"/>
      <w:marLeft w:val="0"/>
      <w:marRight w:val="0"/>
      <w:marTop w:val="0"/>
      <w:marBottom w:val="0"/>
      <w:divBdr>
        <w:top w:val="none" w:sz="0" w:space="0" w:color="auto"/>
        <w:left w:val="none" w:sz="0" w:space="0" w:color="auto"/>
        <w:bottom w:val="none" w:sz="0" w:space="0" w:color="auto"/>
        <w:right w:val="none" w:sz="0" w:space="0" w:color="auto"/>
      </w:divBdr>
    </w:div>
    <w:div w:id="1000236467">
      <w:bodyDiv w:val="1"/>
      <w:marLeft w:val="0"/>
      <w:marRight w:val="0"/>
      <w:marTop w:val="0"/>
      <w:marBottom w:val="0"/>
      <w:divBdr>
        <w:top w:val="none" w:sz="0" w:space="0" w:color="auto"/>
        <w:left w:val="none" w:sz="0" w:space="0" w:color="auto"/>
        <w:bottom w:val="none" w:sz="0" w:space="0" w:color="auto"/>
        <w:right w:val="none" w:sz="0" w:space="0" w:color="auto"/>
      </w:divBdr>
    </w:div>
    <w:div w:id="1000304856">
      <w:bodyDiv w:val="1"/>
      <w:marLeft w:val="0"/>
      <w:marRight w:val="0"/>
      <w:marTop w:val="0"/>
      <w:marBottom w:val="0"/>
      <w:divBdr>
        <w:top w:val="none" w:sz="0" w:space="0" w:color="auto"/>
        <w:left w:val="none" w:sz="0" w:space="0" w:color="auto"/>
        <w:bottom w:val="none" w:sz="0" w:space="0" w:color="auto"/>
        <w:right w:val="none" w:sz="0" w:space="0" w:color="auto"/>
      </w:divBdr>
    </w:div>
    <w:div w:id="1000347541">
      <w:bodyDiv w:val="1"/>
      <w:marLeft w:val="0"/>
      <w:marRight w:val="0"/>
      <w:marTop w:val="0"/>
      <w:marBottom w:val="0"/>
      <w:divBdr>
        <w:top w:val="none" w:sz="0" w:space="0" w:color="auto"/>
        <w:left w:val="none" w:sz="0" w:space="0" w:color="auto"/>
        <w:bottom w:val="none" w:sz="0" w:space="0" w:color="auto"/>
        <w:right w:val="none" w:sz="0" w:space="0" w:color="auto"/>
      </w:divBdr>
    </w:div>
    <w:div w:id="1000425877">
      <w:bodyDiv w:val="1"/>
      <w:marLeft w:val="0"/>
      <w:marRight w:val="0"/>
      <w:marTop w:val="0"/>
      <w:marBottom w:val="0"/>
      <w:divBdr>
        <w:top w:val="none" w:sz="0" w:space="0" w:color="auto"/>
        <w:left w:val="none" w:sz="0" w:space="0" w:color="auto"/>
        <w:bottom w:val="none" w:sz="0" w:space="0" w:color="auto"/>
        <w:right w:val="none" w:sz="0" w:space="0" w:color="auto"/>
      </w:divBdr>
    </w:div>
    <w:div w:id="1000473024">
      <w:bodyDiv w:val="1"/>
      <w:marLeft w:val="0"/>
      <w:marRight w:val="0"/>
      <w:marTop w:val="0"/>
      <w:marBottom w:val="0"/>
      <w:divBdr>
        <w:top w:val="none" w:sz="0" w:space="0" w:color="auto"/>
        <w:left w:val="none" w:sz="0" w:space="0" w:color="auto"/>
        <w:bottom w:val="none" w:sz="0" w:space="0" w:color="auto"/>
        <w:right w:val="none" w:sz="0" w:space="0" w:color="auto"/>
      </w:divBdr>
    </w:div>
    <w:div w:id="1000500491">
      <w:bodyDiv w:val="1"/>
      <w:marLeft w:val="0"/>
      <w:marRight w:val="0"/>
      <w:marTop w:val="0"/>
      <w:marBottom w:val="0"/>
      <w:divBdr>
        <w:top w:val="none" w:sz="0" w:space="0" w:color="auto"/>
        <w:left w:val="none" w:sz="0" w:space="0" w:color="auto"/>
        <w:bottom w:val="none" w:sz="0" w:space="0" w:color="auto"/>
        <w:right w:val="none" w:sz="0" w:space="0" w:color="auto"/>
      </w:divBdr>
    </w:div>
    <w:div w:id="1000502181">
      <w:bodyDiv w:val="1"/>
      <w:marLeft w:val="0"/>
      <w:marRight w:val="0"/>
      <w:marTop w:val="0"/>
      <w:marBottom w:val="0"/>
      <w:divBdr>
        <w:top w:val="none" w:sz="0" w:space="0" w:color="auto"/>
        <w:left w:val="none" w:sz="0" w:space="0" w:color="auto"/>
        <w:bottom w:val="none" w:sz="0" w:space="0" w:color="auto"/>
        <w:right w:val="none" w:sz="0" w:space="0" w:color="auto"/>
      </w:divBdr>
    </w:div>
    <w:div w:id="1000700567">
      <w:bodyDiv w:val="1"/>
      <w:marLeft w:val="0"/>
      <w:marRight w:val="0"/>
      <w:marTop w:val="0"/>
      <w:marBottom w:val="0"/>
      <w:divBdr>
        <w:top w:val="none" w:sz="0" w:space="0" w:color="auto"/>
        <w:left w:val="none" w:sz="0" w:space="0" w:color="auto"/>
        <w:bottom w:val="none" w:sz="0" w:space="0" w:color="auto"/>
        <w:right w:val="none" w:sz="0" w:space="0" w:color="auto"/>
      </w:divBdr>
    </w:div>
    <w:div w:id="1000809858">
      <w:bodyDiv w:val="1"/>
      <w:marLeft w:val="0"/>
      <w:marRight w:val="0"/>
      <w:marTop w:val="0"/>
      <w:marBottom w:val="0"/>
      <w:divBdr>
        <w:top w:val="none" w:sz="0" w:space="0" w:color="auto"/>
        <w:left w:val="none" w:sz="0" w:space="0" w:color="auto"/>
        <w:bottom w:val="none" w:sz="0" w:space="0" w:color="auto"/>
        <w:right w:val="none" w:sz="0" w:space="0" w:color="auto"/>
      </w:divBdr>
    </w:div>
    <w:div w:id="1000811378">
      <w:bodyDiv w:val="1"/>
      <w:marLeft w:val="0"/>
      <w:marRight w:val="0"/>
      <w:marTop w:val="0"/>
      <w:marBottom w:val="0"/>
      <w:divBdr>
        <w:top w:val="none" w:sz="0" w:space="0" w:color="auto"/>
        <w:left w:val="none" w:sz="0" w:space="0" w:color="auto"/>
        <w:bottom w:val="none" w:sz="0" w:space="0" w:color="auto"/>
        <w:right w:val="none" w:sz="0" w:space="0" w:color="auto"/>
      </w:divBdr>
    </w:div>
    <w:div w:id="1000888719">
      <w:bodyDiv w:val="1"/>
      <w:marLeft w:val="0"/>
      <w:marRight w:val="0"/>
      <w:marTop w:val="0"/>
      <w:marBottom w:val="0"/>
      <w:divBdr>
        <w:top w:val="none" w:sz="0" w:space="0" w:color="auto"/>
        <w:left w:val="none" w:sz="0" w:space="0" w:color="auto"/>
        <w:bottom w:val="none" w:sz="0" w:space="0" w:color="auto"/>
        <w:right w:val="none" w:sz="0" w:space="0" w:color="auto"/>
      </w:divBdr>
    </w:div>
    <w:div w:id="1000934232">
      <w:bodyDiv w:val="1"/>
      <w:marLeft w:val="0"/>
      <w:marRight w:val="0"/>
      <w:marTop w:val="0"/>
      <w:marBottom w:val="0"/>
      <w:divBdr>
        <w:top w:val="none" w:sz="0" w:space="0" w:color="auto"/>
        <w:left w:val="none" w:sz="0" w:space="0" w:color="auto"/>
        <w:bottom w:val="none" w:sz="0" w:space="0" w:color="auto"/>
        <w:right w:val="none" w:sz="0" w:space="0" w:color="auto"/>
      </w:divBdr>
    </w:div>
    <w:div w:id="1001002532">
      <w:bodyDiv w:val="1"/>
      <w:marLeft w:val="0"/>
      <w:marRight w:val="0"/>
      <w:marTop w:val="0"/>
      <w:marBottom w:val="0"/>
      <w:divBdr>
        <w:top w:val="none" w:sz="0" w:space="0" w:color="auto"/>
        <w:left w:val="none" w:sz="0" w:space="0" w:color="auto"/>
        <w:bottom w:val="none" w:sz="0" w:space="0" w:color="auto"/>
        <w:right w:val="none" w:sz="0" w:space="0" w:color="auto"/>
      </w:divBdr>
    </w:div>
    <w:div w:id="1001005726">
      <w:bodyDiv w:val="1"/>
      <w:marLeft w:val="0"/>
      <w:marRight w:val="0"/>
      <w:marTop w:val="0"/>
      <w:marBottom w:val="0"/>
      <w:divBdr>
        <w:top w:val="none" w:sz="0" w:space="0" w:color="auto"/>
        <w:left w:val="none" w:sz="0" w:space="0" w:color="auto"/>
        <w:bottom w:val="none" w:sz="0" w:space="0" w:color="auto"/>
        <w:right w:val="none" w:sz="0" w:space="0" w:color="auto"/>
      </w:divBdr>
    </w:div>
    <w:div w:id="1001012211">
      <w:bodyDiv w:val="1"/>
      <w:marLeft w:val="0"/>
      <w:marRight w:val="0"/>
      <w:marTop w:val="0"/>
      <w:marBottom w:val="0"/>
      <w:divBdr>
        <w:top w:val="none" w:sz="0" w:space="0" w:color="auto"/>
        <w:left w:val="none" w:sz="0" w:space="0" w:color="auto"/>
        <w:bottom w:val="none" w:sz="0" w:space="0" w:color="auto"/>
        <w:right w:val="none" w:sz="0" w:space="0" w:color="auto"/>
      </w:divBdr>
    </w:div>
    <w:div w:id="1001080816">
      <w:bodyDiv w:val="1"/>
      <w:marLeft w:val="0"/>
      <w:marRight w:val="0"/>
      <w:marTop w:val="0"/>
      <w:marBottom w:val="0"/>
      <w:divBdr>
        <w:top w:val="none" w:sz="0" w:space="0" w:color="auto"/>
        <w:left w:val="none" w:sz="0" w:space="0" w:color="auto"/>
        <w:bottom w:val="none" w:sz="0" w:space="0" w:color="auto"/>
        <w:right w:val="none" w:sz="0" w:space="0" w:color="auto"/>
      </w:divBdr>
    </w:div>
    <w:div w:id="1001197310">
      <w:bodyDiv w:val="1"/>
      <w:marLeft w:val="0"/>
      <w:marRight w:val="0"/>
      <w:marTop w:val="0"/>
      <w:marBottom w:val="0"/>
      <w:divBdr>
        <w:top w:val="none" w:sz="0" w:space="0" w:color="auto"/>
        <w:left w:val="none" w:sz="0" w:space="0" w:color="auto"/>
        <w:bottom w:val="none" w:sz="0" w:space="0" w:color="auto"/>
        <w:right w:val="none" w:sz="0" w:space="0" w:color="auto"/>
      </w:divBdr>
    </w:div>
    <w:div w:id="1001274341">
      <w:bodyDiv w:val="1"/>
      <w:marLeft w:val="0"/>
      <w:marRight w:val="0"/>
      <w:marTop w:val="0"/>
      <w:marBottom w:val="0"/>
      <w:divBdr>
        <w:top w:val="none" w:sz="0" w:space="0" w:color="auto"/>
        <w:left w:val="none" w:sz="0" w:space="0" w:color="auto"/>
        <w:bottom w:val="none" w:sz="0" w:space="0" w:color="auto"/>
        <w:right w:val="none" w:sz="0" w:space="0" w:color="auto"/>
      </w:divBdr>
    </w:div>
    <w:div w:id="1001280078">
      <w:bodyDiv w:val="1"/>
      <w:marLeft w:val="0"/>
      <w:marRight w:val="0"/>
      <w:marTop w:val="0"/>
      <w:marBottom w:val="0"/>
      <w:divBdr>
        <w:top w:val="none" w:sz="0" w:space="0" w:color="auto"/>
        <w:left w:val="none" w:sz="0" w:space="0" w:color="auto"/>
        <w:bottom w:val="none" w:sz="0" w:space="0" w:color="auto"/>
        <w:right w:val="none" w:sz="0" w:space="0" w:color="auto"/>
      </w:divBdr>
    </w:div>
    <w:div w:id="1001393980">
      <w:bodyDiv w:val="1"/>
      <w:marLeft w:val="0"/>
      <w:marRight w:val="0"/>
      <w:marTop w:val="0"/>
      <w:marBottom w:val="0"/>
      <w:divBdr>
        <w:top w:val="none" w:sz="0" w:space="0" w:color="auto"/>
        <w:left w:val="none" w:sz="0" w:space="0" w:color="auto"/>
        <w:bottom w:val="none" w:sz="0" w:space="0" w:color="auto"/>
        <w:right w:val="none" w:sz="0" w:space="0" w:color="auto"/>
      </w:divBdr>
    </w:div>
    <w:div w:id="1001396522">
      <w:bodyDiv w:val="1"/>
      <w:marLeft w:val="0"/>
      <w:marRight w:val="0"/>
      <w:marTop w:val="0"/>
      <w:marBottom w:val="0"/>
      <w:divBdr>
        <w:top w:val="none" w:sz="0" w:space="0" w:color="auto"/>
        <w:left w:val="none" w:sz="0" w:space="0" w:color="auto"/>
        <w:bottom w:val="none" w:sz="0" w:space="0" w:color="auto"/>
        <w:right w:val="none" w:sz="0" w:space="0" w:color="auto"/>
      </w:divBdr>
    </w:div>
    <w:div w:id="1001397993">
      <w:bodyDiv w:val="1"/>
      <w:marLeft w:val="0"/>
      <w:marRight w:val="0"/>
      <w:marTop w:val="0"/>
      <w:marBottom w:val="0"/>
      <w:divBdr>
        <w:top w:val="none" w:sz="0" w:space="0" w:color="auto"/>
        <w:left w:val="none" w:sz="0" w:space="0" w:color="auto"/>
        <w:bottom w:val="none" w:sz="0" w:space="0" w:color="auto"/>
        <w:right w:val="none" w:sz="0" w:space="0" w:color="auto"/>
      </w:divBdr>
    </w:div>
    <w:div w:id="1001474063">
      <w:bodyDiv w:val="1"/>
      <w:marLeft w:val="0"/>
      <w:marRight w:val="0"/>
      <w:marTop w:val="0"/>
      <w:marBottom w:val="0"/>
      <w:divBdr>
        <w:top w:val="none" w:sz="0" w:space="0" w:color="auto"/>
        <w:left w:val="none" w:sz="0" w:space="0" w:color="auto"/>
        <w:bottom w:val="none" w:sz="0" w:space="0" w:color="auto"/>
        <w:right w:val="none" w:sz="0" w:space="0" w:color="auto"/>
      </w:divBdr>
    </w:div>
    <w:div w:id="1001542948">
      <w:bodyDiv w:val="1"/>
      <w:marLeft w:val="0"/>
      <w:marRight w:val="0"/>
      <w:marTop w:val="0"/>
      <w:marBottom w:val="0"/>
      <w:divBdr>
        <w:top w:val="none" w:sz="0" w:space="0" w:color="auto"/>
        <w:left w:val="none" w:sz="0" w:space="0" w:color="auto"/>
        <w:bottom w:val="none" w:sz="0" w:space="0" w:color="auto"/>
        <w:right w:val="none" w:sz="0" w:space="0" w:color="auto"/>
      </w:divBdr>
    </w:div>
    <w:div w:id="1001545282">
      <w:bodyDiv w:val="1"/>
      <w:marLeft w:val="0"/>
      <w:marRight w:val="0"/>
      <w:marTop w:val="0"/>
      <w:marBottom w:val="0"/>
      <w:divBdr>
        <w:top w:val="none" w:sz="0" w:space="0" w:color="auto"/>
        <w:left w:val="none" w:sz="0" w:space="0" w:color="auto"/>
        <w:bottom w:val="none" w:sz="0" w:space="0" w:color="auto"/>
        <w:right w:val="none" w:sz="0" w:space="0" w:color="auto"/>
      </w:divBdr>
    </w:div>
    <w:div w:id="1001741779">
      <w:bodyDiv w:val="1"/>
      <w:marLeft w:val="0"/>
      <w:marRight w:val="0"/>
      <w:marTop w:val="0"/>
      <w:marBottom w:val="0"/>
      <w:divBdr>
        <w:top w:val="none" w:sz="0" w:space="0" w:color="auto"/>
        <w:left w:val="none" w:sz="0" w:space="0" w:color="auto"/>
        <w:bottom w:val="none" w:sz="0" w:space="0" w:color="auto"/>
        <w:right w:val="none" w:sz="0" w:space="0" w:color="auto"/>
      </w:divBdr>
    </w:div>
    <w:div w:id="1001814216">
      <w:bodyDiv w:val="1"/>
      <w:marLeft w:val="0"/>
      <w:marRight w:val="0"/>
      <w:marTop w:val="0"/>
      <w:marBottom w:val="0"/>
      <w:divBdr>
        <w:top w:val="none" w:sz="0" w:space="0" w:color="auto"/>
        <w:left w:val="none" w:sz="0" w:space="0" w:color="auto"/>
        <w:bottom w:val="none" w:sz="0" w:space="0" w:color="auto"/>
        <w:right w:val="none" w:sz="0" w:space="0" w:color="auto"/>
      </w:divBdr>
    </w:div>
    <w:div w:id="1001858373">
      <w:bodyDiv w:val="1"/>
      <w:marLeft w:val="0"/>
      <w:marRight w:val="0"/>
      <w:marTop w:val="0"/>
      <w:marBottom w:val="0"/>
      <w:divBdr>
        <w:top w:val="none" w:sz="0" w:space="0" w:color="auto"/>
        <w:left w:val="none" w:sz="0" w:space="0" w:color="auto"/>
        <w:bottom w:val="none" w:sz="0" w:space="0" w:color="auto"/>
        <w:right w:val="none" w:sz="0" w:space="0" w:color="auto"/>
      </w:divBdr>
    </w:div>
    <w:div w:id="1002050609">
      <w:bodyDiv w:val="1"/>
      <w:marLeft w:val="0"/>
      <w:marRight w:val="0"/>
      <w:marTop w:val="0"/>
      <w:marBottom w:val="0"/>
      <w:divBdr>
        <w:top w:val="none" w:sz="0" w:space="0" w:color="auto"/>
        <w:left w:val="none" w:sz="0" w:space="0" w:color="auto"/>
        <w:bottom w:val="none" w:sz="0" w:space="0" w:color="auto"/>
        <w:right w:val="none" w:sz="0" w:space="0" w:color="auto"/>
      </w:divBdr>
    </w:div>
    <w:div w:id="1002243250">
      <w:bodyDiv w:val="1"/>
      <w:marLeft w:val="0"/>
      <w:marRight w:val="0"/>
      <w:marTop w:val="0"/>
      <w:marBottom w:val="0"/>
      <w:divBdr>
        <w:top w:val="none" w:sz="0" w:space="0" w:color="auto"/>
        <w:left w:val="none" w:sz="0" w:space="0" w:color="auto"/>
        <w:bottom w:val="none" w:sz="0" w:space="0" w:color="auto"/>
        <w:right w:val="none" w:sz="0" w:space="0" w:color="auto"/>
      </w:divBdr>
    </w:div>
    <w:div w:id="1002244547">
      <w:bodyDiv w:val="1"/>
      <w:marLeft w:val="0"/>
      <w:marRight w:val="0"/>
      <w:marTop w:val="0"/>
      <w:marBottom w:val="0"/>
      <w:divBdr>
        <w:top w:val="none" w:sz="0" w:space="0" w:color="auto"/>
        <w:left w:val="none" w:sz="0" w:space="0" w:color="auto"/>
        <w:bottom w:val="none" w:sz="0" w:space="0" w:color="auto"/>
        <w:right w:val="none" w:sz="0" w:space="0" w:color="auto"/>
      </w:divBdr>
    </w:div>
    <w:div w:id="1002388328">
      <w:bodyDiv w:val="1"/>
      <w:marLeft w:val="0"/>
      <w:marRight w:val="0"/>
      <w:marTop w:val="0"/>
      <w:marBottom w:val="0"/>
      <w:divBdr>
        <w:top w:val="none" w:sz="0" w:space="0" w:color="auto"/>
        <w:left w:val="none" w:sz="0" w:space="0" w:color="auto"/>
        <w:bottom w:val="none" w:sz="0" w:space="0" w:color="auto"/>
        <w:right w:val="none" w:sz="0" w:space="0" w:color="auto"/>
      </w:divBdr>
    </w:div>
    <w:div w:id="1002664121">
      <w:bodyDiv w:val="1"/>
      <w:marLeft w:val="0"/>
      <w:marRight w:val="0"/>
      <w:marTop w:val="0"/>
      <w:marBottom w:val="0"/>
      <w:divBdr>
        <w:top w:val="none" w:sz="0" w:space="0" w:color="auto"/>
        <w:left w:val="none" w:sz="0" w:space="0" w:color="auto"/>
        <w:bottom w:val="none" w:sz="0" w:space="0" w:color="auto"/>
        <w:right w:val="none" w:sz="0" w:space="0" w:color="auto"/>
      </w:divBdr>
    </w:div>
    <w:div w:id="1002779291">
      <w:bodyDiv w:val="1"/>
      <w:marLeft w:val="0"/>
      <w:marRight w:val="0"/>
      <w:marTop w:val="0"/>
      <w:marBottom w:val="0"/>
      <w:divBdr>
        <w:top w:val="none" w:sz="0" w:space="0" w:color="auto"/>
        <w:left w:val="none" w:sz="0" w:space="0" w:color="auto"/>
        <w:bottom w:val="none" w:sz="0" w:space="0" w:color="auto"/>
        <w:right w:val="none" w:sz="0" w:space="0" w:color="auto"/>
      </w:divBdr>
    </w:div>
    <w:div w:id="1002859235">
      <w:bodyDiv w:val="1"/>
      <w:marLeft w:val="0"/>
      <w:marRight w:val="0"/>
      <w:marTop w:val="0"/>
      <w:marBottom w:val="0"/>
      <w:divBdr>
        <w:top w:val="none" w:sz="0" w:space="0" w:color="auto"/>
        <w:left w:val="none" w:sz="0" w:space="0" w:color="auto"/>
        <w:bottom w:val="none" w:sz="0" w:space="0" w:color="auto"/>
        <w:right w:val="none" w:sz="0" w:space="0" w:color="auto"/>
      </w:divBdr>
    </w:div>
    <w:div w:id="1002898192">
      <w:bodyDiv w:val="1"/>
      <w:marLeft w:val="0"/>
      <w:marRight w:val="0"/>
      <w:marTop w:val="0"/>
      <w:marBottom w:val="0"/>
      <w:divBdr>
        <w:top w:val="none" w:sz="0" w:space="0" w:color="auto"/>
        <w:left w:val="none" w:sz="0" w:space="0" w:color="auto"/>
        <w:bottom w:val="none" w:sz="0" w:space="0" w:color="auto"/>
        <w:right w:val="none" w:sz="0" w:space="0" w:color="auto"/>
      </w:divBdr>
    </w:div>
    <w:div w:id="1002929698">
      <w:bodyDiv w:val="1"/>
      <w:marLeft w:val="0"/>
      <w:marRight w:val="0"/>
      <w:marTop w:val="0"/>
      <w:marBottom w:val="0"/>
      <w:divBdr>
        <w:top w:val="none" w:sz="0" w:space="0" w:color="auto"/>
        <w:left w:val="none" w:sz="0" w:space="0" w:color="auto"/>
        <w:bottom w:val="none" w:sz="0" w:space="0" w:color="auto"/>
        <w:right w:val="none" w:sz="0" w:space="0" w:color="auto"/>
      </w:divBdr>
    </w:div>
    <w:div w:id="1002977488">
      <w:bodyDiv w:val="1"/>
      <w:marLeft w:val="0"/>
      <w:marRight w:val="0"/>
      <w:marTop w:val="0"/>
      <w:marBottom w:val="0"/>
      <w:divBdr>
        <w:top w:val="none" w:sz="0" w:space="0" w:color="auto"/>
        <w:left w:val="none" w:sz="0" w:space="0" w:color="auto"/>
        <w:bottom w:val="none" w:sz="0" w:space="0" w:color="auto"/>
        <w:right w:val="none" w:sz="0" w:space="0" w:color="auto"/>
      </w:divBdr>
    </w:div>
    <w:div w:id="1003049499">
      <w:bodyDiv w:val="1"/>
      <w:marLeft w:val="0"/>
      <w:marRight w:val="0"/>
      <w:marTop w:val="0"/>
      <w:marBottom w:val="0"/>
      <w:divBdr>
        <w:top w:val="none" w:sz="0" w:space="0" w:color="auto"/>
        <w:left w:val="none" w:sz="0" w:space="0" w:color="auto"/>
        <w:bottom w:val="none" w:sz="0" w:space="0" w:color="auto"/>
        <w:right w:val="none" w:sz="0" w:space="0" w:color="auto"/>
      </w:divBdr>
    </w:div>
    <w:div w:id="1003126243">
      <w:bodyDiv w:val="1"/>
      <w:marLeft w:val="0"/>
      <w:marRight w:val="0"/>
      <w:marTop w:val="0"/>
      <w:marBottom w:val="0"/>
      <w:divBdr>
        <w:top w:val="none" w:sz="0" w:space="0" w:color="auto"/>
        <w:left w:val="none" w:sz="0" w:space="0" w:color="auto"/>
        <w:bottom w:val="none" w:sz="0" w:space="0" w:color="auto"/>
        <w:right w:val="none" w:sz="0" w:space="0" w:color="auto"/>
      </w:divBdr>
    </w:div>
    <w:div w:id="1003167097">
      <w:bodyDiv w:val="1"/>
      <w:marLeft w:val="0"/>
      <w:marRight w:val="0"/>
      <w:marTop w:val="0"/>
      <w:marBottom w:val="0"/>
      <w:divBdr>
        <w:top w:val="none" w:sz="0" w:space="0" w:color="auto"/>
        <w:left w:val="none" w:sz="0" w:space="0" w:color="auto"/>
        <w:bottom w:val="none" w:sz="0" w:space="0" w:color="auto"/>
        <w:right w:val="none" w:sz="0" w:space="0" w:color="auto"/>
      </w:divBdr>
    </w:div>
    <w:div w:id="1003169932">
      <w:bodyDiv w:val="1"/>
      <w:marLeft w:val="0"/>
      <w:marRight w:val="0"/>
      <w:marTop w:val="0"/>
      <w:marBottom w:val="0"/>
      <w:divBdr>
        <w:top w:val="none" w:sz="0" w:space="0" w:color="auto"/>
        <w:left w:val="none" w:sz="0" w:space="0" w:color="auto"/>
        <w:bottom w:val="none" w:sz="0" w:space="0" w:color="auto"/>
        <w:right w:val="none" w:sz="0" w:space="0" w:color="auto"/>
      </w:divBdr>
    </w:div>
    <w:div w:id="1003243079">
      <w:bodyDiv w:val="1"/>
      <w:marLeft w:val="0"/>
      <w:marRight w:val="0"/>
      <w:marTop w:val="0"/>
      <w:marBottom w:val="0"/>
      <w:divBdr>
        <w:top w:val="none" w:sz="0" w:space="0" w:color="auto"/>
        <w:left w:val="none" w:sz="0" w:space="0" w:color="auto"/>
        <w:bottom w:val="none" w:sz="0" w:space="0" w:color="auto"/>
        <w:right w:val="none" w:sz="0" w:space="0" w:color="auto"/>
      </w:divBdr>
    </w:div>
    <w:div w:id="1003314028">
      <w:bodyDiv w:val="1"/>
      <w:marLeft w:val="0"/>
      <w:marRight w:val="0"/>
      <w:marTop w:val="0"/>
      <w:marBottom w:val="0"/>
      <w:divBdr>
        <w:top w:val="none" w:sz="0" w:space="0" w:color="auto"/>
        <w:left w:val="none" w:sz="0" w:space="0" w:color="auto"/>
        <w:bottom w:val="none" w:sz="0" w:space="0" w:color="auto"/>
        <w:right w:val="none" w:sz="0" w:space="0" w:color="auto"/>
      </w:divBdr>
    </w:div>
    <w:div w:id="1003320816">
      <w:bodyDiv w:val="1"/>
      <w:marLeft w:val="0"/>
      <w:marRight w:val="0"/>
      <w:marTop w:val="0"/>
      <w:marBottom w:val="0"/>
      <w:divBdr>
        <w:top w:val="none" w:sz="0" w:space="0" w:color="auto"/>
        <w:left w:val="none" w:sz="0" w:space="0" w:color="auto"/>
        <w:bottom w:val="none" w:sz="0" w:space="0" w:color="auto"/>
        <w:right w:val="none" w:sz="0" w:space="0" w:color="auto"/>
      </w:divBdr>
    </w:div>
    <w:div w:id="1003321531">
      <w:bodyDiv w:val="1"/>
      <w:marLeft w:val="0"/>
      <w:marRight w:val="0"/>
      <w:marTop w:val="0"/>
      <w:marBottom w:val="0"/>
      <w:divBdr>
        <w:top w:val="none" w:sz="0" w:space="0" w:color="auto"/>
        <w:left w:val="none" w:sz="0" w:space="0" w:color="auto"/>
        <w:bottom w:val="none" w:sz="0" w:space="0" w:color="auto"/>
        <w:right w:val="none" w:sz="0" w:space="0" w:color="auto"/>
      </w:divBdr>
    </w:div>
    <w:div w:id="1003361193">
      <w:bodyDiv w:val="1"/>
      <w:marLeft w:val="0"/>
      <w:marRight w:val="0"/>
      <w:marTop w:val="0"/>
      <w:marBottom w:val="0"/>
      <w:divBdr>
        <w:top w:val="none" w:sz="0" w:space="0" w:color="auto"/>
        <w:left w:val="none" w:sz="0" w:space="0" w:color="auto"/>
        <w:bottom w:val="none" w:sz="0" w:space="0" w:color="auto"/>
        <w:right w:val="none" w:sz="0" w:space="0" w:color="auto"/>
      </w:divBdr>
    </w:div>
    <w:div w:id="1003436711">
      <w:bodyDiv w:val="1"/>
      <w:marLeft w:val="0"/>
      <w:marRight w:val="0"/>
      <w:marTop w:val="0"/>
      <w:marBottom w:val="0"/>
      <w:divBdr>
        <w:top w:val="none" w:sz="0" w:space="0" w:color="auto"/>
        <w:left w:val="none" w:sz="0" w:space="0" w:color="auto"/>
        <w:bottom w:val="none" w:sz="0" w:space="0" w:color="auto"/>
        <w:right w:val="none" w:sz="0" w:space="0" w:color="auto"/>
      </w:divBdr>
    </w:div>
    <w:div w:id="1003439736">
      <w:bodyDiv w:val="1"/>
      <w:marLeft w:val="0"/>
      <w:marRight w:val="0"/>
      <w:marTop w:val="0"/>
      <w:marBottom w:val="0"/>
      <w:divBdr>
        <w:top w:val="none" w:sz="0" w:space="0" w:color="auto"/>
        <w:left w:val="none" w:sz="0" w:space="0" w:color="auto"/>
        <w:bottom w:val="none" w:sz="0" w:space="0" w:color="auto"/>
        <w:right w:val="none" w:sz="0" w:space="0" w:color="auto"/>
      </w:divBdr>
    </w:div>
    <w:div w:id="1003511333">
      <w:bodyDiv w:val="1"/>
      <w:marLeft w:val="0"/>
      <w:marRight w:val="0"/>
      <w:marTop w:val="0"/>
      <w:marBottom w:val="0"/>
      <w:divBdr>
        <w:top w:val="none" w:sz="0" w:space="0" w:color="auto"/>
        <w:left w:val="none" w:sz="0" w:space="0" w:color="auto"/>
        <w:bottom w:val="none" w:sz="0" w:space="0" w:color="auto"/>
        <w:right w:val="none" w:sz="0" w:space="0" w:color="auto"/>
      </w:divBdr>
    </w:div>
    <w:div w:id="1003630140">
      <w:bodyDiv w:val="1"/>
      <w:marLeft w:val="0"/>
      <w:marRight w:val="0"/>
      <w:marTop w:val="0"/>
      <w:marBottom w:val="0"/>
      <w:divBdr>
        <w:top w:val="none" w:sz="0" w:space="0" w:color="auto"/>
        <w:left w:val="none" w:sz="0" w:space="0" w:color="auto"/>
        <w:bottom w:val="none" w:sz="0" w:space="0" w:color="auto"/>
        <w:right w:val="none" w:sz="0" w:space="0" w:color="auto"/>
      </w:divBdr>
    </w:div>
    <w:div w:id="1003701746">
      <w:bodyDiv w:val="1"/>
      <w:marLeft w:val="0"/>
      <w:marRight w:val="0"/>
      <w:marTop w:val="0"/>
      <w:marBottom w:val="0"/>
      <w:divBdr>
        <w:top w:val="none" w:sz="0" w:space="0" w:color="auto"/>
        <w:left w:val="none" w:sz="0" w:space="0" w:color="auto"/>
        <w:bottom w:val="none" w:sz="0" w:space="0" w:color="auto"/>
        <w:right w:val="none" w:sz="0" w:space="0" w:color="auto"/>
      </w:divBdr>
    </w:div>
    <w:div w:id="1003707871">
      <w:bodyDiv w:val="1"/>
      <w:marLeft w:val="0"/>
      <w:marRight w:val="0"/>
      <w:marTop w:val="0"/>
      <w:marBottom w:val="0"/>
      <w:divBdr>
        <w:top w:val="none" w:sz="0" w:space="0" w:color="auto"/>
        <w:left w:val="none" w:sz="0" w:space="0" w:color="auto"/>
        <w:bottom w:val="none" w:sz="0" w:space="0" w:color="auto"/>
        <w:right w:val="none" w:sz="0" w:space="0" w:color="auto"/>
      </w:divBdr>
    </w:div>
    <w:div w:id="1003708179">
      <w:bodyDiv w:val="1"/>
      <w:marLeft w:val="0"/>
      <w:marRight w:val="0"/>
      <w:marTop w:val="0"/>
      <w:marBottom w:val="0"/>
      <w:divBdr>
        <w:top w:val="none" w:sz="0" w:space="0" w:color="auto"/>
        <w:left w:val="none" w:sz="0" w:space="0" w:color="auto"/>
        <w:bottom w:val="none" w:sz="0" w:space="0" w:color="auto"/>
        <w:right w:val="none" w:sz="0" w:space="0" w:color="auto"/>
      </w:divBdr>
    </w:div>
    <w:div w:id="1003781447">
      <w:bodyDiv w:val="1"/>
      <w:marLeft w:val="0"/>
      <w:marRight w:val="0"/>
      <w:marTop w:val="0"/>
      <w:marBottom w:val="0"/>
      <w:divBdr>
        <w:top w:val="none" w:sz="0" w:space="0" w:color="auto"/>
        <w:left w:val="none" w:sz="0" w:space="0" w:color="auto"/>
        <w:bottom w:val="none" w:sz="0" w:space="0" w:color="auto"/>
        <w:right w:val="none" w:sz="0" w:space="0" w:color="auto"/>
      </w:divBdr>
    </w:div>
    <w:div w:id="1003821048">
      <w:bodyDiv w:val="1"/>
      <w:marLeft w:val="0"/>
      <w:marRight w:val="0"/>
      <w:marTop w:val="0"/>
      <w:marBottom w:val="0"/>
      <w:divBdr>
        <w:top w:val="none" w:sz="0" w:space="0" w:color="auto"/>
        <w:left w:val="none" w:sz="0" w:space="0" w:color="auto"/>
        <w:bottom w:val="none" w:sz="0" w:space="0" w:color="auto"/>
        <w:right w:val="none" w:sz="0" w:space="0" w:color="auto"/>
      </w:divBdr>
    </w:div>
    <w:div w:id="1003826340">
      <w:bodyDiv w:val="1"/>
      <w:marLeft w:val="0"/>
      <w:marRight w:val="0"/>
      <w:marTop w:val="0"/>
      <w:marBottom w:val="0"/>
      <w:divBdr>
        <w:top w:val="none" w:sz="0" w:space="0" w:color="auto"/>
        <w:left w:val="none" w:sz="0" w:space="0" w:color="auto"/>
        <w:bottom w:val="none" w:sz="0" w:space="0" w:color="auto"/>
        <w:right w:val="none" w:sz="0" w:space="0" w:color="auto"/>
      </w:divBdr>
    </w:div>
    <w:div w:id="1003971056">
      <w:bodyDiv w:val="1"/>
      <w:marLeft w:val="0"/>
      <w:marRight w:val="0"/>
      <w:marTop w:val="0"/>
      <w:marBottom w:val="0"/>
      <w:divBdr>
        <w:top w:val="none" w:sz="0" w:space="0" w:color="auto"/>
        <w:left w:val="none" w:sz="0" w:space="0" w:color="auto"/>
        <w:bottom w:val="none" w:sz="0" w:space="0" w:color="auto"/>
        <w:right w:val="none" w:sz="0" w:space="0" w:color="auto"/>
      </w:divBdr>
    </w:div>
    <w:div w:id="1003971848">
      <w:bodyDiv w:val="1"/>
      <w:marLeft w:val="0"/>
      <w:marRight w:val="0"/>
      <w:marTop w:val="0"/>
      <w:marBottom w:val="0"/>
      <w:divBdr>
        <w:top w:val="none" w:sz="0" w:space="0" w:color="auto"/>
        <w:left w:val="none" w:sz="0" w:space="0" w:color="auto"/>
        <w:bottom w:val="none" w:sz="0" w:space="0" w:color="auto"/>
        <w:right w:val="none" w:sz="0" w:space="0" w:color="auto"/>
      </w:divBdr>
    </w:div>
    <w:div w:id="1003976267">
      <w:bodyDiv w:val="1"/>
      <w:marLeft w:val="0"/>
      <w:marRight w:val="0"/>
      <w:marTop w:val="0"/>
      <w:marBottom w:val="0"/>
      <w:divBdr>
        <w:top w:val="none" w:sz="0" w:space="0" w:color="auto"/>
        <w:left w:val="none" w:sz="0" w:space="0" w:color="auto"/>
        <w:bottom w:val="none" w:sz="0" w:space="0" w:color="auto"/>
        <w:right w:val="none" w:sz="0" w:space="0" w:color="auto"/>
      </w:divBdr>
    </w:div>
    <w:div w:id="1004013252">
      <w:bodyDiv w:val="1"/>
      <w:marLeft w:val="0"/>
      <w:marRight w:val="0"/>
      <w:marTop w:val="0"/>
      <w:marBottom w:val="0"/>
      <w:divBdr>
        <w:top w:val="none" w:sz="0" w:space="0" w:color="auto"/>
        <w:left w:val="none" w:sz="0" w:space="0" w:color="auto"/>
        <w:bottom w:val="none" w:sz="0" w:space="0" w:color="auto"/>
        <w:right w:val="none" w:sz="0" w:space="0" w:color="auto"/>
      </w:divBdr>
    </w:div>
    <w:div w:id="1004016945">
      <w:bodyDiv w:val="1"/>
      <w:marLeft w:val="0"/>
      <w:marRight w:val="0"/>
      <w:marTop w:val="0"/>
      <w:marBottom w:val="0"/>
      <w:divBdr>
        <w:top w:val="none" w:sz="0" w:space="0" w:color="auto"/>
        <w:left w:val="none" w:sz="0" w:space="0" w:color="auto"/>
        <w:bottom w:val="none" w:sz="0" w:space="0" w:color="auto"/>
        <w:right w:val="none" w:sz="0" w:space="0" w:color="auto"/>
      </w:divBdr>
    </w:div>
    <w:div w:id="1004087334">
      <w:bodyDiv w:val="1"/>
      <w:marLeft w:val="0"/>
      <w:marRight w:val="0"/>
      <w:marTop w:val="0"/>
      <w:marBottom w:val="0"/>
      <w:divBdr>
        <w:top w:val="none" w:sz="0" w:space="0" w:color="auto"/>
        <w:left w:val="none" w:sz="0" w:space="0" w:color="auto"/>
        <w:bottom w:val="none" w:sz="0" w:space="0" w:color="auto"/>
        <w:right w:val="none" w:sz="0" w:space="0" w:color="auto"/>
      </w:divBdr>
    </w:div>
    <w:div w:id="1004090132">
      <w:bodyDiv w:val="1"/>
      <w:marLeft w:val="0"/>
      <w:marRight w:val="0"/>
      <w:marTop w:val="0"/>
      <w:marBottom w:val="0"/>
      <w:divBdr>
        <w:top w:val="none" w:sz="0" w:space="0" w:color="auto"/>
        <w:left w:val="none" w:sz="0" w:space="0" w:color="auto"/>
        <w:bottom w:val="none" w:sz="0" w:space="0" w:color="auto"/>
        <w:right w:val="none" w:sz="0" w:space="0" w:color="auto"/>
      </w:divBdr>
    </w:div>
    <w:div w:id="1004091423">
      <w:bodyDiv w:val="1"/>
      <w:marLeft w:val="0"/>
      <w:marRight w:val="0"/>
      <w:marTop w:val="0"/>
      <w:marBottom w:val="0"/>
      <w:divBdr>
        <w:top w:val="none" w:sz="0" w:space="0" w:color="auto"/>
        <w:left w:val="none" w:sz="0" w:space="0" w:color="auto"/>
        <w:bottom w:val="none" w:sz="0" w:space="0" w:color="auto"/>
        <w:right w:val="none" w:sz="0" w:space="0" w:color="auto"/>
      </w:divBdr>
    </w:div>
    <w:div w:id="1004168993">
      <w:bodyDiv w:val="1"/>
      <w:marLeft w:val="0"/>
      <w:marRight w:val="0"/>
      <w:marTop w:val="0"/>
      <w:marBottom w:val="0"/>
      <w:divBdr>
        <w:top w:val="none" w:sz="0" w:space="0" w:color="auto"/>
        <w:left w:val="none" w:sz="0" w:space="0" w:color="auto"/>
        <w:bottom w:val="none" w:sz="0" w:space="0" w:color="auto"/>
        <w:right w:val="none" w:sz="0" w:space="0" w:color="auto"/>
      </w:divBdr>
    </w:div>
    <w:div w:id="1004355804">
      <w:bodyDiv w:val="1"/>
      <w:marLeft w:val="0"/>
      <w:marRight w:val="0"/>
      <w:marTop w:val="0"/>
      <w:marBottom w:val="0"/>
      <w:divBdr>
        <w:top w:val="none" w:sz="0" w:space="0" w:color="auto"/>
        <w:left w:val="none" w:sz="0" w:space="0" w:color="auto"/>
        <w:bottom w:val="none" w:sz="0" w:space="0" w:color="auto"/>
        <w:right w:val="none" w:sz="0" w:space="0" w:color="auto"/>
      </w:divBdr>
    </w:div>
    <w:div w:id="1004430304">
      <w:bodyDiv w:val="1"/>
      <w:marLeft w:val="0"/>
      <w:marRight w:val="0"/>
      <w:marTop w:val="0"/>
      <w:marBottom w:val="0"/>
      <w:divBdr>
        <w:top w:val="none" w:sz="0" w:space="0" w:color="auto"/>
        <w:left w:val="none" w:sz="0" w:space="0" w:color="auto"/>
        <w:bottom w:val="none" w:sz="0" w:space="0" w:color="auto"/>
        <w:right w:val="none" w:sz="0" w:space="0" w:color="auto"/>
      </w:divBdr>
    </w:div>
    <w:div w:id="1004476767">
      <w:bodyDiv w:val="1"/>
      <w:marLeft w:val="0"/>
      <w:marRight w:val="0"/>
      <w:marTop w:val="0"/>
      <w:marBottom w:val="0"/>
      <w:divBdr>
        <w:top w:val="none" w:sz="0" w:space="0" w:color="auto"/>
        <w:left w:val="none" w:sz="0" w:space="0" w:color="auto"/>
        <w:bottom w:val="none" w:sz="0" w:space="0" w:color="auto"/>
        <w:right w:val="none" w:sz="0" w:space="0" w:color="auto"/>
      </w:divBdr>
    </w:div>
    <w:div w:id="1004627084">
      <w:bodyDiv w:val="1"/>
      <w:marLeft w:val="0"/>
      <w:marRight w:val="0"/>
      <w:marTop w:val="0"/>
      <w:marBottom w:val="0"/>
      <w:divBdr>
        <w:top w:val="none" w:sz="0" w:space="0" w:color="auto"/>
        <w:left w:val="none" w:sz="0" w:space="0" w:color="auto"/>
        <w:bottom w:val="none" w:sz="0" w:space="0" w:color="auto"/>
        <w:right w:val="none" w:sz="0" w:space="0" w:color="auto"/>
      </w:divBdr>
    </w:div>
    <w:div w:id="1004749826">
      <w:bodyDiv w:val="1"/>
      <w:marLeft w:val="0"/>
      <w:marRight w:val="0"/>
      <w:marTop w:val="0"/>
      <w:marBottom w:val="0"/>
      <w:divBdr>
        <w:top w:val="none" w:sz="0" w:space="0" w:color="auto"/>
        <w:left w:val="none" w:sz="0" w:space="0" w:color="auto"/>
        <w:bottom w:val="none" w:sz="0" w:space="0" w:color="auto"/>
        <w:right w:val="none" w:sz="0" w:space="0" w:color="auto"/>
      </w:divBdr>
    </w:div>
    <w:div w:id="1005018353">
      <w:bodyDiv w:val="1"/>
      <w:marLeft w:val="0"/>
      <w:marRight w:val="0"/>
      <w:marTop w:val="0"/>
      <w:marBottom w:val="0"/>
      <w:divBdr>
        <w:top w:val="none" w:sz="0" w:space="0" w:color="auto"/>
        <w:left w:val="none" w:sz="0" w:space="0" w:color="auto"/>
        <w:bottom w:val="none" w:sz="0" w:space="0" w:color="auto"/>
        <w:right w:val="none" w:sz="0" w:space="0" w:color="auto"/>
      </w:divBdr>
    </w:div>
    <w:div w:id="1005092533">
      <w:bodyDiv w:val="1"/>
      <w:marLeft w:val="0"/>
      <w:marRight w:val="0"/>
      <w:marTop w:val="0"/>
      <w:marBottom w:val="0"/>
      <w:divBdr>
        <w:top w:val="none" w:sz="0" w:space="0" w:color="auto"/>
        <w:left w:val="none" w:sz="0" w:space="0" w:color="auto"/>
        <w:bottom w:val="none" w:sz="0" w:space="0" w:color="auto"/>
        <w:right w:val="none" w:sz="0" w:space="0" w:color="auto"/>
      </w:divBdr>
    </w:div>
    <w:div w:id="1005131541">
      <w:bodyDiv w:val="1"/>
      <w:marLeft w:val="0"/>
      <w:marRight w:val="0"/>
      <w:marTop w:val="0"/>
      <w:marBottom w:val="0"/>
      <w:divBdr>
        <w:top w:val="none" w:sz="0" w:space="0" w:color="auto"/>
        <w:left w:val="none" w:sz="0" w:space="0" w:color="auto"/>
        <w:bottom w:val="none" w:sz="0" w:space="0" w:color="auto"/>
        <w:right w:val="none" w:sz="0" w:space="0" w:color="auto"/>
      </w:divBdr>
    </w:div>
    <w:div w:id="1005135387">
      <w:bodyDiv w:val="1"/>
      <w:marLeft w:val="0"/>
      <w:marRight w:val="0"/>
      <w:marTop w:val="0"/>
      <w:marBottom w:val="0"/>
      <w:divBdr>
        <w:top w:val="none" w:sz="0" w:space="0" w:color="auto"/>
        <w:left w:val="none" w:sz="0" w:space="0" w:color="auto"/>
        <w:bottom w:val="none" w:sz="0" w:space="0" w:color="auto"/>
        <w:right w:val="none" w:sz="0" w:space="0" w:color="auto"/>
      </w:divBdr>
    </w:div>
    <w:div w:id="1005208444">
      <w:bodyDiv w:val="1"/>
      <w:marLeft w:val="0"/>
      <w:marRight w:val="0"/>
      <w:marTop w:val="0"/>
      <w:marBottom w:val="0"/>
      <w:divBdr>
        <w:top w:val="none" w:sz="0" w:space="0" w:color="auto"/>
        <w:left w:val="none" w:sz="0" w:space="0" w:color="auto"/>
        <w:bottom w:val="none" w:sz="0" w:space="0" w:color="auto"/>
        <w:right w:val="none" w:sz="0" w:space="0" w:color="auto"/>
      </w:divBdr>
    </w:div>
    <w:div w:id="1005282768">
      <w:bodyDiv w:val="1"/>
      <w:marLeft w:val="0"/>
      <w:marRight w:val="0"/>
      <w:marTop w:val="0"/>
      <w:marBottom w:val="0"/>
      <w:divBdr>
        <w:top w:val="none" w:sz="0" w:space="0" w:color="auto"/>
        <w:left w:val="none" w:sz="0" w:space="0" w:color="auto"/>
        <w:bottom w:val="none" w:sz="0" w:space="0" w:color="auto"/>
        <w:right w:val="none" w:sz="0" w:space="0" w:color="auto"/>
      </w:divBdr>
    </w:div>
    <w:div w:id="1005475872">
      <w:bodyDiv w:val="1"/>
      <w:marLeft w:val="0"/>
      <w:marRight w:val="0"/>
      <w:marTop w:val="0"/>
      <w:marBottom w:val="0"/>
      <w:divBdr>
        <w:top w:val="none" w:sz="0" w:space="0" w:color="auto"/>
        <w:left w:val="none" w:sz="0" w:space="0" w:color="auto"/>
        <w:bottom w:val="none" w:sz="0" w:space="0" w:color="auto"/>
        <w:right w:val="none" w:sz="0" w:space="0" w:color="auto"/>
      </w:divBdr>
    </w:div>
    <w:div w:id="1005480824">
      <w:bodyDiv w:val="1"/>
      <w:marLeft w:val="0"/>
      <w:marRight w:val="0"/>
      <w:marTop w:val="0"/>
      <w:marBottom w:val="0"/>
      <w:divBdr>
        <w:top w:val="none" w:sz="0" w:space="0" w:color="auto"/>
        <w:left w:val="none" w:sz="0" w:space="0" w:color="auto"/>
        <w:bottom w:val="none" w:sz="0" w:space="0" w:color="auto"/>
        <w:right w:val="none" w:sz="0" w:space="0" w:color="auto"/>
      </w:divBdr>
    </w:div>
    <w:div w:id="1005521593">
      <w:bodyDiv w:val="1"/>
      <w:marLeft w:val="0"/>
      <w:marRight w:val="0"/>
      <w:marTop w:val="0"/>
      <w:marBottom w:val="0"/>
      <w:divBdr>
        <w:top w:val="none" w:sz="0" w:space="0" w:color="auto"/>
        <w:left w:val="none" w:sz="0" w:space="0" w:color="auto"/>
        <w:bottom w:val="none" w:sz="0" w:space="0" w:color="auto"/>
        <w:right w:val="none" w:sz="0" w:space="0" w:color="auto"/>
      </w:divBdr>
    </w:div>
    <w:div w:id="1005596389">
      <w:bodyDiv w:val="1"/>
      <w:marLeft w:val="0"/>
      <w:marRight w:val="0"/>
      <w:marTop w:val="0"/>
      <w:marBottom w:val="0"/>
      <w:divBdr>
        <w:top w:val="none" w:sz="0" w:space="0" w:color="auto"/>
        <w:left w:val="none" w:sz="0" w:space="0" w:color="auto"/>
        <w:bottom w:val="none" w:sz="0" w:space="0" w:color="auto"/>
        <w:right w:val="none" w:sz="0" w:space="0" w:color="auto"/>
      </w:divBdr>
    </w:div>
    <w:div w:id="1005598747">
      <w:bodyDiv w:val="1"/>
      <w:marLeft w:val="0"/>
      <w:marRight w:val="0"/>
      <w:marTop w:val="0"/>
      <w:marBottom w:val="0"/>
      <w:divBdr>
        <w:top w:val="none" w:sz="0" w:space="0" w:color="auto"/>
        <w:left w:val="none" w:sz="0" w:space="0" w:color="auto"/>
        <w:bottom w:val="none" w:sz="0" w:space="0" w:color="auto"/>
        <w:right w:val="none" w:sz="0" w:space="0" w:color="auto"/>
      </w:divBdr>
    </w:div>
    <w:div w:id="1005747108">
      <w:bodyDiv w:val="1"/>
      <w:marLeft w:val="0"/>
      <w:marRight w:val="0"/>
      <w:marTop w:val="0"/>
      <w:marBottom w:val="0"/>
      <w:divBdr>
        <w:top w:val="none" w:sz="0" w:space="0" w:color="auto"/>
        <w:left w:val="none" w:sz="0" w:space="0" w:color="auto"/>
        <w:bottom w:val="none" w:sz="0" w:space="0" w:color="auto"/>
        <w:right w:val="none" w:sz="0" w:space="0" w:color="auto"/>
      </w:divBdr>
    </w:div>
    <w:div w:id="1005863756">
      <w:bodyDiv w:val="1"/>
      <w:marLeft w:val="0"/>
      <w:marRight w:val="0"/>
      <w:marTop w:val="0"/>
      <w:marBottom w:val="0"/>
      <w:divBdr>
        <w:top w:val="none" w:sz="0" w:space="0" w:color="auto"/>
        <w:left w:val="none" w:sz="0" w:space="0" w:color="auto"/>
        <w:bottom w:val="none" w:sz="0" w:space="0" w:color="auto"/>
        <w:right w:val="none" w:sz="0" w:space="0" w:color="auto"/>
      </w:divBdr>
    </w:div>
    <w:div w:id="1005936309">
      <w:bodyDiv w:val="1"/>
      <w:marLeft w:val="0"/>
      <w:marRight w:val="0"/>
      <w:marTop w:val="0"/>
      <w:marBottom w:val="0"/>
      <w:divBdr>
        <w:top w:val="none" w:sz="0" w:space="0" w:color="auto"/>
        <w:left w:val="none" w:sz="0" w:space="0" w:color="auto"/>
        <w:bottom w:val="none" w:sz="0" w:space="0" w:color="auto"/>
        <w:right w:val="none" w:sz="0" w:space="0" w:color="auto"/>
      </w:divBdr>
    </w:div>
    <w:div w:id="1005978516">
      <w:bodyDiv w:val="1"/>
      <w:marLeft w:val="0"/>
      <w:marRight w:val="0"/>
      <w:marTop w:val="0"/>
      <w:marBottom w:val="0"/>
      <w:divBdr>
        <w:top w:val="none" w:sz="0" w:space="0" w:color="auto"/>
        <w:left w:val="none" w:sz="0" w:space="0" w:color="auto"/>
        <w:bottom w:val="none" w:sz="0" w:space="0" w:color="auto"/>
        <w:right w:val="none" w:sz="0" w:space="0" w:color="auto"/>
      </w:divBdr>
    </w:div>
    <w:div w:id="1006395590">
      <w:bodyDiv w:val="1"/>
      <w:marLeft w:val="0"/>
      <w:marRight w:val="0"/>
      <w:marTop w:val="0"/>
      <w:marBottom w:val="0"/>
      <w:divBdr>
        <w:top w:val="none" w:sz="0" w:space="0" w:color="auto"/>
        <w:left w:val="none" w:sz="0" w:space="0" w:color="auto"/>
        <w:bottom w:val="none" w:sz="0" w:space="0" w:color="auto"/>
        <w:right w:val="none" w:sz="0" w:space="0" w:color="auto"/>
      </w:divBdr>
    </w:div>
    <w:div w:id="1006443109">
      <w:bodyDiv w:val="1"/>
      <w:marLeft w:val="0"/>
      <w:marRight w:val="0"/>
      <w:marTop w:val="0"/>
      <w:marBottom w:val="0"/>
      <w:divBdr>
        <w:top w:val="none" w:sz="0" w:space="0" w:color="auto"/>
        <w:left w:val="none" w:sz="0" w:space="0" w:color="auto"/>
        <w:bottom w:val="none" w:sz="0" w:space="0" w:color="auto"/>
        <w:right w:val="none" w:sz="0" w:space="0" w:color="auto"/>
      </w:divBdr>
    </w:div>
    <w:div w:id="1006518091">
      <w:bodyDiv w:val="1"/>
      <w:marLeft w:val="0"/>
      <w:marRight w:val="0"/>
      <w:marTop w:val="0"/>
      <w:marBottom w:val="0"/>
      <w:divBdr>
        <w:top w:val="none" w:sz="0" w:space="0" w:color="auto"/>
        <w:left w:val="none" w:sz="0" w:space="0" w:color="auto"/>
        <w:bottom w:val="none" w:sz="0" w:space="0" w:color="auto"/>
        <w:right w:val="none" w:sz="0" w:space="0" w:color="auto"/>
      </w:divBdr>
    </w:div>
    <w:div w:id="1006598383">
      <w:bodyDiv w:val="1"/>
      <w:marLeft w:val="0"/>
      <w:marRight w:val="0"/>
      <w:marTop w:val="0"/>
      <w:marBottom w:val="0"/>
      <w:divBdr>
        <w:top w:val="none" w:sz="0" w:space="0" w:color="auto"/>
        <w:left w:val="none" w:sz="0" w:space="0" w:color="auto"/>
        <w:bottom w:val="none" w:sz="0" w:space="0" w:color="auto"/>
        <w:right w:val="none" w:sz="0" w:space="0" w:color="auto"/>
      </w:divBdr>
    </w:div>
    <w:div w:id="1006664704">
      <w:bodyDiv w:val="1"/>
      <w:marLeft w:val="0"/>
      <w:marRight w:val="0"/>
      <w:marTop w:val="0"/>
      <w:marBottom w:val="0"/>
      <w:divBdr>
        <w:top w:val="none" w:sz="0" w:space="0" w:color="auto"/>
        <w:left w:val="none" w:sz="0" w:space="0" w:color="auto"/>
        <w:bottom w:val="none" w:sz="0" w:space="0" w:color="auto"/>
        <w:right w:val="none" w:sz="0" w:space="0" w:color="auto"/>
      </w:divBdr>
    </w:div>
    <w:div w:id="1006833303">
      <w:bodyDiv w:val="1"/>
      <w:marLeft w:val="0"/>
      <w:marRight w:val="0"/>
      <w:marTop w:val="0"/>
      <w:marBottom w:val="0"/>
      <w:divBdr>
        <w:top w:val="none" w:sz="0" w:space="0" w:color="auto"/>
        <w:left w:val="none" w:sz="0" w:space="0" w:color="auto"/>
        <w:bottom w:val="none" w:sz="0" w:space="0" w:color="auto"/>
        <w:right w:val="none" w:sz="0" w:space="0" w:color="auto"/>
      </w:divBdr>
    </w:div>
    <w:div w:id="1006984679">
      <w:bodyDiv w:val="1"/>
      <w:marLeft w:val="0"/>
      <w:marRight w:val="0"/>
      <w:marTop w:val="0"/>
      <w:marBottom w:val="0"/>
      <w:divBdr>
        <w:top w:val="none" w:sz="0" w:space="0" w:color="auto"/>
        <w:left w:val="none" w:sz="0" w:space="0" w:color="auto"/>
        <w:bottom w:val="none" w:sz="0" w:space="0" w:color="auto"/>
        <w:right w:val="none" w:sz="0" w:space="0" w:color="auto"/>
      </w:divBdr>
    </w:div>
    <w:div w:id="1007320830">
      <w:bodyDiv w:val="1"/>
      <w:marLeft w:val="0"/>
      <w:marRight w:val="0"/>
      <w:marTop w:val="0"/>
      <w:marBottom w:val="0"/>
      <w:divBdr>
        <w:top w:val="none" w:sz="0" w:space="0" w:color="auto"/>
        <w:left w:val="none" w:sz="0" w:space="0" w:color="auto"/>
        <w:bottom w:val="none" w:sz="0" w:space="0" w:color="auto"/>
        <w:right w:val="none" w:sz="0" w:space="0" w:color="auto"/>
      </w:divBdr>
    </w:div>
    <w:div w:id="1007515878">
      <w:bodyDiv w:val="1"/>
      <w:marLeft w:val="0"/>
      <w:marRight w:val="0"/>
      <w:marTop w:val="0"/>
      <w:marBottom w:val="0"/>
      <w:divBdr>
        <w:top w:val="none" w:sz="0" w:space="0" w:color="auto"/>
        <w:left w:val="none" w:sz="0" w:space="0" w:color="auto"/>
        <w:bottom w:val="none" w:sz="0" w:space="0" w:color="auto"/>
        <w:right w:val="none" w:sz="0" w:space="0" w:color="auto"/>
      </w:divBdr>
    </w:div>
    <w:div w:id="1007517041">
      <w:bodyDiv w:val="1"/>
      <w:marLeft w:val="0"/>
      <w:marRight w:val="0"/>
      <w:marTop w:val="0"/>
      <w:marBottom w:val="0"/>
      <w:divBdr>
        <w:top w:val="none" w:sz="0" w:space="0" w:color="auto"/>
        <w:left w:val="none" w:sz="0" w:space="0" w:color="auto"/>
        <w:bottom w:val="none" w:sz="0" w:space="0" w:color="auto"/>
        <w:right w:val="none" w:sz="0" w:space="0" w:color="auto"/>
      </w:divBdr>
    </w:div>
    <w:div w:id="1007556413">
      <w:bodyDiv w:val="1"/>
      <w:marLeft w:val="0"/>
      <w:marRight w:val="0"/>
      <w:marTop w:val="0"/>
      <w:marBottom w:val="0"/>
      <w:divBdr>
        <w:top w:val="none" w:sz="0" w:space="0" w:color="auto"/>
        <w:left w:val="none" w:sz="0" w:space="0" w:color="auto"/>
        <w:bottom w:val="none" w:sz="0" w:space="0" w:color="auto"/>
        <w:right w:val="none" w:sz="0" w:space="0" w:color="auto"/>
      </w:divBdr>
    </w:div>
    <w:div w:id="1007557311">
      <w:bodyDiv w:val="1"/>
      <w:marLeft w:val="0"/>
      <w:marRight w:val="0"/>
      <w:marTop w:val="0"/>
      <w:marBottom w:val="0"/>
      <w:divBdr>
        <w:top w:val="none" w:sz="0" w:space="0" w:color="auto"/>
        <w:left w:val="none" w:sz="0" w:space="0" w:color="auto"/>
        <w:bottom w:val="none" w:sz="0" w:space="0" w:color="auto"/>
        <w:right w:val="none" w:sz="0" w:space="0" w:color="auto"/>
      </w:divBdr>
    </w:div>
    <w:div w:id="1007562930">
      <w:bodyDiv w:val="1"/>
      <w:marLeft w:val="0"/>
      <w:marRight w:val="0"/>
      <w:marTop w:val="0"/>
      <w:marBottom w:val="0"/>
      <w:divBdr>
        <w:top w:val="none" w:sz="0" w:space="0" w:color="auto"/>
        <w:left w:val="none" w:sz="0" w:space="0" w:color="auto"/>
        <w:bottom w:val="none" w:sz="0" w:space="0" w:color="auto"/>
        <w:right w:val="none" w:sz="0" w:space="0" w:color="auto"/>
      </w:divBdr>
    </w:div>
    <w:div w:id="1007636323">
      <w:bodyDiv w:val="1"/>
      <w:marLeft w:val="0"/>
      <w:marRight w:val="0"/>
      <w:marTop w:val="0"/>
      <w:marBottom w:val="0"/>
      <w:divBdr>
        <w:top w:val="none" w:sz="0" w:space="0" w:color="auto"/>
        <w:left w:val="none" w:sz="0" w:space="0" w:color="auto"/>
        <w:bottom w:val="none" w:sz="0" w:space="0" w:color="auto"/>
        <w:right w:val="none" w:sz="0" w:space="0" w:color="auto"/>
      </w:divBdr>
    </w:div>
    <w:div w:id="1007707589">
      <w:bodyDiv w:val="1"/>
      <w:marLeft w:val="0"/>
      <w:marRight w:val="0"/>
      <w:marTop w:val="0"/>
      <w:marBottom w:val="0"/>
      <w:divBdr>
        <w:top w:val="none" w:sz="0" w:space="0" w:color="auto"/>
        <w:left w:val="none" w:sz="0" w:space="0" w:color="auto"/>
        <w:bottom w:val="none" w:sz="0" w:space="0" w:color="auto"/>
        <w:right w:val="none" w:sz="0" w:space="0" w:color="auto"/>
      </w:divBdr>
    </w:div>
    <w:div w:id="1007826132">
      <w:bodyDiv w:val="1"/>
      <w:marLeft w:val="0"/>
      <w:marRight w:val="0"/>
      <w:marTop w:val="0"/>
      <w:marBottom w:val="0"/>
      <w:divBdr>
        <w:top w:val="none" w:sz="0" w:space="0" w:color="auto"/>
        <w:left w:val="none" w:sz="0" w:space="0" w:color="auto"/>
        <w:bottom w:val="none" w:sz="0" w:space="0" w:color="auto"/>
        <w:right w:val="none" w:sz="0" w:space="0" w:color="auto"/>
      </w:divBdr>
    </w:div>
    <w:div w:id="1008023036">
      <w:bodyDiv w:val="1"/>
      <w:marLeft w:val="0"/>
      <w:marRight w:val="0"/>
      <w:marTop w:val="0"/>
      <w:marBottom w:val="0"/>
      <w:divBdr>
        <w:top w:val="none" w:sz="0" w:space="0" w:color="auto"/>
        <w:left w:val="none" w:sz="0" w:space="0" w:color="auto"/>
        <w:bottom w:val="none" w:sz="0" w:space="0" w:color="auto"/>
        <w:right w:val="none" w:sz="0" w:space="0" w:color="auto"/>
      </w:divBdr>
    </w:div>
    <w:div w:id="1008024792">
      <w:bodyDiv w:val="1"/>
      <w:marLeft w:val="0"/>
      <w:marRight w:val="0"/>
      <w:marTop w:val="0"/>
      <w:marBottom w:val="0"/>
      <w:divBdr>
        <w:top w:val="none" w:sz="0" w:space="0" w:color="auto"/>
        <w:left w:val="none" w:sz="0" w:space="0" w:color="auto"/>
        <w:bottom w:val="none" w:sz="0" w:space="0" w:color="auto"/>
        <w:right w:val="none" w:sz="0" w:space="0" w:color="auto"/>
      </w:divBdr>
    </w:div>
    <w:div w:id="1008095435">
      <w:bodyDiv w:val="1"/>
      <w:marLeft w:val="0"/>
      <w:marRight w:val="0"/>
      <w:marTop w:val="0"/>
      <w:marBottom w:val="0"/>
      <w:divBdr>
        <w:top w:val="none" w:sz="0" w:space="0" w:color="auto"/>
        <w:left w:val="none" w:sz="0" w:space="0" w:color="auto"/>
        <w:bottom w:val="none" w:sz="0" w:space="0" w:color="auto"/>
        <w:right w:val="none" w:sz="0" w:space="0" w:color="auto"/>
      </w:divBdr>
    </w:div>
    <w:div w:id="1008096349">
      <w:bodyDiv w:val="1"/>
      <w:marLeft w:val="0"/>
      <w:marRight w:val="0"/>
      <w:marTop w:val="0"/>
      <w:marBottom w:val="0"/>
      <w:divBdr>
        <w:top w:val="none" w:sz="0" w:space="0" w:color="auto"/>
        <w:left w:val="none" w:sz="0" w:space="0" w:color="auto"/>
        <w:bottom w:val="none" w:sz="0" w:space="0" w:color="auto"/>
        <w:right w:val="none" w:sz="0" w:space="0" w:color="auto"/>
      </w:divBdr>
    </w:div>
    <w:div w:id="1008143321">
      <w:bodyDiv w:val="1"/>
      <w:marLeft w:val="0"/>
      <w:marRight w:val="0"/>
      <w:marTop w:val="0"/>
      <w:marBottom w:val="0"/>
      <w:divBdr>
        <w:top w:val="none" w:sz="0" w:space="0" w:color="auto"/>
        <w:left w:val="none" w:sz="0" w:space="0" w:color="auto"/>
        <w:bottom w:val="none" w:sz="0" w:space="0" w:color="auto"/>
        <w:right w:val="none" w:sz="0" w:space="0" w:color="auto"/>
      </w:divBdr>
    </w:div>
    <w:div w:id="1008167876">
      <w:bodyDiv w:val="1"/>
      <w:marLeft w:val="0"/>
      <w:marRight w:val="0"/>
      <w:marTop w:val="0"/>
      <w:marBottom w:val="0"/>
      <w:divBdr>
        <w:top w:val="none" w:sz="0" w:space="0" w:color="auto"/>
        <w:left w:val="none" w:sz="0" w:space="0" w:color="auto"/>
        <w:bottom w:val="none" w:sz="0" w:space="0" w:color="auto"/>
        <w:right w:val="none" w:sz="0" w:space="0" w:color="auto"/>
      </w:divBdr>
    </w:div>
    <w:div w:id="1008601097">
      <w:bodyDiv w:val="1"/>
      <w:marLeft w:val="0"/>
      <w:marRight w:val="0"/>
      <w:marTop w:val="0"/>
      <w:marBottom w:val="0"/>
      <w:divBdr>
        <w:top w:val="none" w:sz="0" w:space="0" w:color="auto"/>
        <w:left w:val="none" w:sz="0" w:space="0" w:color="auto"/>
        <w:bottom w:val="none" w:sz="0" w:space="0" w:color="auto"/>
        <w:right w:val="none" w:sz="0" w:space="0" w:color="auto"/>
      </w:divBdr>
    </w:div>
    <w:div w:id="1008630680">
      <w:bodyDiv w:val="1"/>
      <w:marLeft w:val="0"/>
      <w:marRight w:val="0"/>
      <w:marTop w:val="0"/>
      <w:marBottom w:val="0"/>
      <w:divBdr>
        <w:top w:val="none" w:sz="0" w:space="0" w:color="auto"/>
        <w:left w:val="none" w:sz="0" w:space="0" w:color="auto"/>
        <w:bottom w:val="none" w:sz="0" w:space="0" w:color="auto"/>
        <w:right w:val="none" w:sz="0" w:space="0" w:color="auto"/>
      </w:divBdr>
    </w:div>
    <w:div w:id="1008678320">
      <w:bodyDiv w:val="1"/>
      <w:marLeft w:val="0"/>
      <w:marRight w:val="0"/>
      <w:marTop w:val="0"/>
      <w:marBottom w:val="0"/>
      <w:divBdr>
        <w:top w:val="none" w:sz="0" w:space="0" w:color="auto"/>
        <w:left w:val="none" w:sz="0" w:space="0" w:color="auto"/>
        <w:bottom w:val="none" w:sz="0" w:space="0" w:color="auto"/>
        <w:right w:val="none" w:sz="0" w:space="0" w:color="auto"/>
      </w:divBdr>
    </w:div>
    <w:div w:id="1008678919">
      <w:bodyDiv w:val="1"/>
      <w:marLeft w:val="0"/>
      <w:marRight w:val="0"/>
      <w:marTop w:val="0"/>
      <w:marBottom w:val="0"/>
      <w:divBdr>
        <w:top w:val="none" w:sz="0" w:space="0" w:color="auto"/>
        <w:left w:val="none" w:sz="0" w:space="0" w:color="auto"/>
        <w:bottom w:val="none" w:sz="0" w:space="0" w:color="auto"/>
        <w:right w:val="none" w:sz="0" w:space="0" w:color="auto"/>
      </w:divBdr>
    </w:div>
    <w:div w:id="1008756298">
      <w:bodyDiv w:val="1"/>
      <w:marLeft w:val="0"/>
      <w:marRight w:val="0"/>
      <w:marTop w:val="0"/>
      <w:marBottom w:val="0"/>
      <w:divBdr>
        <w:top w:val="none" w:sz="0" w:space="0" w:color="auto"/>
        <w:left w:val="none" w:sz="0" w:space="0" w:color="auto"/>
        <w:bottom w:val="none" w:sz="0" w:space="0" w:color="auto"/>
        <w:right w:val="none" w:sz="0" w:space="0" w:color="auto"/>
      </w:divBdr>
    </w:div>
    <w:div w:id="1008796811">
      <w:bodyDiv w:val="1"/>
      <w:marLeft w:val="0"/>
      <w:marRight w:val="0"/>
      <w:marTop w:val="0"/>
      <w:marBottom w:val="0"/>
      <w:divBdr>
        <w:top w:val="none" w:sz="0" w:space="0" w:color="auto"/>
        <w:left w:val="none" w:sz="0" w:space="0" w:color="auto"/>
        <w:bottom w:val="none" w:sz="0" w:space="0" w:color="auto"/>
        <w:right w:val="none" w:sz="0" w:space="0" w:color="auto"/>
      </w:divBdr>
    </w:div>
    <w:div w:id="1008942416">
      <w:bodyDiv w:val="1"/>
      <w:marLeft w:val="0"/>
      <w:marRight w:val="0"/>
      <w:marTop w:val="0"/>
      <w:marBottom w:val="0"/>
      <w:divBdr>
        <w:top w:val="none" w:sz="0" w:space="0" w:color="auto"/>
        <w:left w:val="none" w:sz="0" w:space="0" w:color="auto"/>
        <w:bottom w:val="none" w:sz="0" w:space="0" w:color="auto"/>
        <w:right w:val="none" w:sz="0" w:space="0" w:color="auto"/>
      </w:divBdr>
    </w:div>
    <w:div w:id="1008945940">
      <w:bodyDiv w:val="1"/>
      <w:marLeft w:val="0"/>
      <w:marRight w:val="0"/>
      <w:marTop w:val="0"/>
      <w:marBottom w:val="0"/>
      <w:divBdr>
        <w:top w:val="none" w:sz="0" w:space="0" w:color="auto"/>
        <w:left w:val="none" w:sz="0" w:space="0" w:color="auto"/>
        <w:bottom w:val="none" w:sz="0" w:space="0" w:color="auto"/>
        <w:right w:val="none" w:sz="0" w:space="0" w:color="auto"/>
      </w:divBdr>
    </w:div>
    <w:div w:id="1009060691">
      <w:bodyDiv w:val="1"/>
      <w:marLeft w:val="0"/>
      <w:marRight w:val="0"/>
      <w:marTop w:val="0"/>
      <w:marBottom w:val="0"/>
      <w:divBdr>
        <w:top w:val="none" w:sz="0" w:space="0" w:color="auto"/>
        <w:left w:val="none" w:sz="0" w:space="0" w:color="auto"/>
        <w:bottom w:val="none" w:sz="0" w:space="0" w:color="auto"/>
        <w:right w:val="none" w:sz="0" w:space="0" w:color="auto"/>
      </w:divBdr>
    </w:div>
    <w:div w:id="1009135503">
      <w:bodyDiv w:val="1"/>
      <w:marLeft w:val="0"/>
      <w:marRight w:val="0"/>
      <w:marTop w:val="0"/>
      <w:marBottom w:val="0"/>
      <w:divBdr>
        <w:top w:val="none" w:sz="0" w:space="0" w:color="auto"/>
        <w:left w:val="none" w:sz="0" w:space="0" w:color="auto"/>
        <w:bottom w:val="none" w:sz="0" w:space="0" w:color="auto"/>
        <w:right w:val="none" w:sz="0" w:space="0" w:color="auto"/>
      </w:divBdr>
    </w:div>
    <w:div w:id="1009410186">
      <w:bodyDiv w:val="1"/>
      <w:marLeft w:val="0"/>
      <w:marRight w:val="0"/>
      <w:marTop w:val="0"/>
      <w:marBottom w:val="0"/>
      <w:divBdr>
        <w:top w:val="none" w:sz="0" w:space="0" w:color="auto"/>
        <w:left w:val="none" w:sz="0" w:space="0" w:color="auto"/>
        <w:bottom w:val="none" w:sz="0" w:space="0" w:color="auto"/>
        <w:right w:val="none" w:sz="0" w:space="0" w:color="auto"/>
      </w:divBdr>
    </w:div>
    <w:div w:id="1009454305">
      <w:bodyDiv w:val="1"/>
      <w:marLeft w:val="0"/>
      <w:marRight w:val="0"/>
      <w:marTop w:val="0"/>
      <w:marBottom w:val="0"/>
      <w:divBdr>
        <w:top w:val="none" w:sz="0" w:space="0" w:color="auto"/>
        <w:left w:val="none" w:sz="0" w:space="0" w:color="auto"/>
        <w:bottom w:val="none" w:sz="0" w:space="0" w:color="auto"/>
        <w:right w:val="none" w:sz="0" w:space="0" w:color="auto"/>
      </w:divBdr>
    </w:div>
    <w:div w:id="1009603784">
      <w:bodyDiv w:val="1"/>
      <w:marLeft w:val="0"/>
      <w:marRight w:val="0"/>
      <w:marTop w:val="0"/>
      <w:marBottom w:val="0"/>
      <w:divBdr>
        <w:top w:val="none" w:sz="0" w:space="0" w:color="auto"/>
        <w:left w:val="none" w:sz="0" w:space="0" w:color="auto"/>
        <w:bottom w:val="none" w:sz="0" w:space="0" w:color="auto"/>
        <w:right w:val="none" w:sz="0" w:space="0" w:color="auto"/>
      </w:divBdr>
    </w:div>
    <w:div w:id="1009606084">
      <w:bodyDiv w:val="1"/>
      <w:marLeft w:val="0"/>
      <w:marRight w:val="0"/>
      <w:marTop w:val="0"/>
      <w:marBottom w:val="0"/>
      <w:divBdr>
        <w:top w:val="none" w:sz="0" w:space="0" w:color="auto"/>
        <w:left w:val="none" w:sz="0" w:space="0" w:color="auto"/>
        <w:bottom w:val="none" w:sz="0" w:space="0" w:color="auto"/>
        <w:right w:val="none" w:sz="0" w:space="0" w:color="auto"/>
      </w:divBdr>
    </w:div>
    <w:div w:id="1009717211">
      <w:bodyDiv w:val="1"/>
      <w:marLeft w:val="0"/>
      <w:marRight w:val="0"/>
      <w:marTop w:val="0"/>
      <w:marBottom w:val="0"/>
      <w:divBdr>
        <w:top w:val="none" w:sz="0" w:space="0" w:color="auto"/>
        <w:left w:val="none" w:sz="0" w:space="0" w:color="auto"/>
        <w:bottom w:val="none" w:sz="0" w:space="0" w:color="auto"/>
        <w:right w:val="none" w:sz="0" w:space="0" w:color="auto"/>
      </w:divBdr>
    </w:div>
    <w:div w:id="1009718691">
      <w:bodyDiv w:val="1"/>
      <w:marLeft w:val="0"/>
      <w:marRight w:val="0"/>
      <w:marTop w:val="0"/>
      <w:marBottom w:val="0"/>
      <w:divBdr>
        <w:top w:val="none" w:sz="0" w:space="0" w:color="auto"/>
        <w:left w:val="none" w:sz="0" w:space="0" w:color="auto"/>
        <w:bottom w:val="none" w:sz="0" w:space="0" w:color="auto"/>
        <w:right w:val="none" w:sz="0" w:space="0" w:color="auto"/>
      </w:divBdr>
    </w:div>
    <w:div w:id="1009718765">
      <w:bodyDiv w:val="1"/>
      <w:marLeft w:val="0"/>
      <w:marRight w:val="0"/>
      <w:marTop w:val="0"/>
      <w:marBottom w:val="0"/>
      <w:divBdr>
        <w:top w:val="none" w:sz="0" w:space="0" w:color="auto"/>
        <w:left w:val="none" w:sz="0" w:space="0" w:color="auto"/>
        <w:bottom w:val="none" w:sz="0" w:space="0" w:color="auto"/>
        <w:right w:val="none" w:sz="0" w:space="0" w:color="auto"/>
      </w:divBdr>
    </w:div>
    <w:div w:id="1009722984">
      <w:bodyDiv w:val="1"/>
      <w:marLeft w:val="0"/>
      <w:marRight w:val="0"/>
      <w:marTop w:val="0"/>
      <w:marBottom w:val="0"/>
      <w:divBdr>
        <w:top w:val="none" w:sz="0" w:space="0" w:color="auto"/>
        <w:left w:val="none" w:sz="0" w:space="0" w:color="auto"/>
        <w:bottom w:val="none" w:sz="0" w:space="0" w:color="auto"/>
        <w:right w:val="none" w:sz="0" w:space="0" w:color="auto"/>
      </w:divBdr>
    </w:div>
    <w:div w:id="1009872978">
      <w:bodyDiv w:val="1"/>
      <w:marLeft w:val="0"/>
      <w:marRight w:val="0"/>
      <w:marTop w:val="0"/>
      <w:marBottom w:val="0"/>
      <w:divBdr>
        <w:top w:val="none" w:sz="0" w:space="0" w:color="auto"/>
        <w:left w:val="none" w:sz="0" w:space="0" w:color="auto"/>
        <w:bottom w:val="none" w:sz="0" w:space="0" w:color="auto"/>
        <w:right w:val="none" w:sz="0" w:space="0" w:color="auto"/>
      </w:divBdr>
    </w:div>
    <w:div w:id="1009991767">
      <w:bodyDiv w:val="1"/>
      <w:marLeft w:val="0"/>
      <w:marRight w:val="0"/>
      <w:marTop w:val="0"/>
      <w:marBottom w:val="0"/>
      <w:divBdr>
        <w:top w:val="none" w:sz="0" w:space="0" w:color="auto"/>
        <w:left w:val="none" w:sz="0" w:space="0" w:color="auto"/>
        <w:bottom w:val="none" w:sz="0" w:space="0" w:color="auto"/>
        <w:right w:val="none" w:sz="0" w:space="0" w:color="auto"/>
      </w:divBdr>
    </w:div>
    <w:div w:id="1010257364">
      <w:bodyDiv w:val="1"/>
      <w:marLeft w:val="0"/>
      <w:marRight w:val="0"/>
      <w:marTop w:val="0"/>
      <w:marBottom w:val="0"/>
      <w:divBdr>
        <w:top w:val="none" w:sz="0" w:space="0" w:color="auto"/>
        <w:left w:val="none" w:sz="0" w:space="0" w:color="auto"/>
        <w:bottom w:val="none" w:sz="0" w:space="0" w:color="auto"/>
        <w:right w:val="none" w:sz="0" w:space="0" w:color="auto"/>
      </w:divBdr>
    </w:div>
    <w:div w:id="1010303287">
      <w:bodyDiv w:val="1"/>
      <w:marLeft w:val="0"/>
      <w:marRight w:val="0"/>
      <w:marTop w:val="0"/>
      <w:marBottom w:val="0"/>
      <w:divBdr>
        <w:top w:val="none" w:sz="0" w:space="0" w:color="auto"/>
        <w:left w:val="none" w:sz="0" w:space="0" w:color="auto"/>
        <w:bottom w:val="none" w:sz="0" w:space="0" w:color="auto"/>
        <w:right w:val="none" w:sz="0" w:space="0" w:color="auto"/>
      </w:divBdr>
    </w:div>
    <w:div w:id="1010327089">
      <w:bodyDiv w:val="1"/>
      <w:marLeft w:val="0"/>
      <w:marRight w:val="0"/>
      <w:marTop w:val="0"/>
      <w:marBottom w:val="0"/>
      <w:divBdr>
        <w:top w:val="none" w:sz="0" w:space="0" w:color="auto"/>
        <w:left w:val="none" w:sz="0" w:space="0" w:color="auto"/>
        <w:bottom w:val="none" w:sz="0" w:space="0" w:color="auto"/>
        <w:right w:val="none" w:sz="0" w:space="0" w:color="auto"/>
      </w:divBdr>
    </w:div>
    <w:div w:id="1010327159">
      <w:bodyDiv w:val="1"/>
      <w:marLeft w:val="0"/>
      <w:marRight w:val="0"/>
      <w:marTop w:val="0"/>
      <w:marBottom w:val="0"/>
      <w:divBdr>
        <w:top w:val="none" w:sz="0" w:space="0" w:color="auto"/>
        <w:left w:val="none" w:sz="0" w:space="0" w:color="auto"/>
        <w:bottom w:val="none" w:sz="0" w:space="0" w:color="auto"/>
        <w:right w:val="none" w:sz="0" w:space="0" w:color="auto"/>
      </w:divBdr>
    </w:div>
    <w:div w:id="1010332487">
      <w:bodyDiv w:val="1"/>
      <w:marLeft w:val="0"/>
      <w:marRight w:val="0"/>
      <w:marTop w:val="0"/>
      <w:marBottom w:val="0"/>
      <w:divBdr>
        <w:top w:val="none" w:sz="0" w:space="0" w:color="auto"/>
        <w:left w:val="none" w:sz="0" w:space="0" w:color="auto"/>
        <w:bottom w:val="none" w:sz="0" w:space="0" w:color="auto"/>
        <w:right w:val="none" w:sz="0" w:space="0" w:color="auto"/>
      </w:divBdr>
    </w:div>
    <w:div w:id="1010378570">
      <w:bodyDiv w:val="1"/>
      <w:marLeft w:val="0"/>
      <w:marRight w:val="0"/>
      <w:marTop w:val="0"/>
      <w:marBottom w:val="0"/>
      <w:divBdr>
        <w:top w:val="none" w:sz="0" w:space="0" w:color="auto"/>
        <w:left w:val="none" w:sz="0" w:space="0" w:color="auto"/>
        <w:bottom w:val="none" w:sz="0" w:space="0" w:color="auto"/>
        <w:right w:val="none" w:sz="0" w:space="0" w:color="auto"/>
      </w:divBdr>
    </w:div>
    <w:div w:id="1010446815">
      <w:bodyDiv w:val="1"/>
      <w:marLeft w:val="0"/>
      <w:marRight w:val="0"/>
      <w:marTop w:val="0"/>
      <w:marBottom w:val="0"/>
      <w:divBdr>
        <w:top w:val="none" w:sz="0" w:space="0" w:color="auto"/>
        <w:left w:val="none" w:sz="0" w:space="0" w:color="auto"/>
        <w:bottom w:val="none" w:sz="0" w:space="0" w:color="auto"/>
        <w:right w:val="none" w:sz="0" w:space="0" w:color="auto"/>
      </w:divBdr>
    </w:div>
    <w:div w:id="1010718543">
      <w:bodyDiv w:val="1"/>
      <w:marLeft w:val="0"/>
      <w:marRight w:val="0"/>
      <w:marTop w:val="0"/>
      <w:marBottom w:val="0"/>
      <w:divBdr>
        <w:top w:val="none" w:sz="0" w:space="0" w:color="auto"/>
        <w:left w:val="none" w:sz="0" w:space="0" w:color="auto"/>
        <w:bottom w:val="none" w:sz="0" w:space="0" w:color="auto"/>
        <w:right w:val="none" w:sz="0" w:space="0" w:color="auto"/>
      </w:divBdr>
    </w:div>
    <w:div w:id="1010723093">
      <w:bodyDiv w:val="1"/>
      <w:marLeft w:val="0"/>
      <w:marRight w:val="0"/>
      <w:marTop w:val="0"/>
      <w:marBottom w:val="0"/>
      <w:divBdr>
        <w:top w:val="none" w:sz="0" w:space="0" w:color="auto"/>
        <w:left w:val="none" w:sz="0" w:space="0" w:color="auto"/>
        <w:bottom w:val="none" w:sz="0" w:space="0" w:color="auto"/>
        <w:right w:val="none" w:sz="0" w:space="0" w:color="auto"/>
      </w:divBdr>
    </w:div>
    <w:div w:id="1010762831">
      <w:bodyDiv w:val="1"/>
      <w:marLeft w:val="0"/>
      <w:marRight w:val="0"/>
      <w:marTop w:val="0"/>
      <w:marBottom w:val="0"/>
      <w:divBdr>
        <w:top w:val="none" w:sz="0" w:space="0" w:color="auto"/>
        <w:left w:val="none" w:sz="0" w:space="0" w:color="auto"/>
        <w:bottom w:val="none" w:sz="0" w:space="0" w:color="auto"/>
        <w:right w:val="none" w:sz="0" w:space="0" w:color="auto"/>
      </w:divBdr>
    </w:div>
    <w:div w:id="1010764340">
      <w:bodyDiv w:val="1"/>
      <w:marLeft w:val="0"/>
      <w:marRight w:val="0"/>
      <w:marTop w:val="0"/>
      <w:marBottom w:val="0"/>
      <w:divBdr>
        <w:top w:val="none" w:sz="0" w:space="0" w:color="auto"/>
        <w:left w:val="none" w:sz="0" w:space="0" w:color="auto"/>
        <w:bottom w:val="none" w:sz="0" w:space="0" w:color="auto"/>
        <w:right w:val="none" w:sz="0" w:space="0" w:color="auto"/>
      </w:divBdr>
    </w:div>
    <w:div w:id="1010990272">
      <w:bodyDiv w:val="1"/>
      <w:marLeft w:val="0"/>
      <w:marRight w:val="0"/>
      <w:marTop w:val="0"/>
      <w:marBottom w:val="0"/>
      <w:divBdr>
        <w:top w:val="none" w:sz="0" w:space="0" w:color="auto"/>
        <w:left w:val="none" w:sz="0" w:space="0" w:color="auto"/>
        <w:bottom w:val="none" w:sz="0" w:space="0" w:color="auto"/>
        <w:right w:val="none" w:sz="0" w:space="0" w:color="auto"/>
      </w:divBdr>
    </w:div>
    <w:div w:id="1011031622">
      <w:bodyDiv w:val="1"/>
      <w:marLeft w:val="0"/>
      <w:marRight w:val="0"/>
      <w:marTop w:val="0"/>
      <w:marBottom w:val="0"/>
      <w:divBdr>
        <w:top w:val="none" w:sz="0" w:space="0" w:color="auto"/>
        <w:left w:val="none" w:sz="0" w:space="0" w:color="auto"/>
        <w:bottom w:val="none" w:sz="0" w:space="0" w:color="auto"/>
        <w:right w:val="none" w:sz="0" w:space="0" w:color="auto"/>
      </w:divBdr>
    </w:div>
    <w:div w:id="1011299801">
      <w:bodyDiv w:val="1"/>
      <w:marLeft w:val="0"/>
      <w:marRight w:val="0"/>
      <w:marTop w:val="0"/>
      <w:marBottom w:val="0"/>
      <w:divBdr>
        <w:top w:val="none" w:sz="0" w:space="0" w:color="auto"/>
        <w:left w:val="none" w:sz="0" w:space="0" w:color="auto"/>
        <w:bottom w:val="none" w:sz="0" w:space="0" w:color="auto"/>
        <w:right w:val="none" w:sz="0" w:space="0" w:color="auto"/>
      </w:divBdr>
    </w:div>
    <w:div w:id="1011302239">
      <w:bodyDiv w:val="1"/>
      <w:marLeft w:val="0"/>
      <w:marRight w:val="0"/>
      <w:marTop w:val="0"/>
      <w:marBottom w:val="0"/>
      <w:divBdr>
        <w:top w:val="none" w:sz="0" w:space="0" w:color="auto"/>
        <w:left w:val="none" w:sz="0" w:space="0" w:color="auto"/>
        <w:bottom w:val="none" w:sz="0" w:space="0" w:color="auto"/>
        <w:right w:val="none" w:sz="0" w:space="0" w:color="auto"/>
      </w:divBdr>
    </w:div>
    <w:div w:id="1011374244">
      <w:bodyDiv w:val="1"/>
      <w:marLeft w:val="0"/>
      <w:marRight w:val="0"/>
      <w:marTop w:val="0"/>
      <w:marBottom w:val="0"/>
      <w:divBdr>
        <w:top w:val="none" w:sz="0" w:space="0" w:color="auto"/>
        <w:left w:val="none" w:sz="0" w:space="0" w:color="auto"/>
        <w:bottom w:val="none" w:sz="0" w:space="0" w:color="auto"/>
        <w:right w:val="none" w:sz="0" w:space="0" w:color="auto"/>
      </w:divBdr>
    </w:div>
    <w:div w:id="1011445515">
      <w:bodyDiv w:val="1"/>
      <w:marLeft w:val="0"/>
      <w:marRight w:val="0"/>
      <w:marTop w:val="0"/>
      <w:marBottom w:val="0"/>
      <w:divBdr>
        <w:top w:val="none" w:sz="0" w:space="0" w:color="auto"/>
        <w:left w:val="none" w:sz="0" w:space="0" w:color="auto"/>
        <w:bottom w:val="none" w:sz="0" w:space="0" w:color="auto"/>
        <w:right w:val="none" w:sz="0" w:space="0" w:color="auto"/>
      </w:divBdr>
    </w:div>
    <w:div w:id="1011487807">
      <w:bodyDiv w:val="1"/>
      <w:marLeft w:val="0"/>
      <w:marRight w:val="0"/>
      <w:marTop w:val="0"/>
      <w:marBottom w:val="0"/>
      <w:divBdr>
        <w:top w:val="none" w:sz="0" w:space="0" w:color="auto"/>
        <w:left w:val="none" w:sz="0" w:space="0" w:color="auto"/>
        <w:bottom w:val="none" w:sz="0" w:space="0" w:color="auto"/>
        <w:right w:val="none" w:sz="0" w:space="0" w:color="auto"/>
      </w:divBdr>
    </w:div>
    <w:div w:id="1011639923">
      <w:bodyDiv w:val="1"/>
      <w:marLeft w:val="0"/>
      <w:marRight w:val="0"/>
      <w:marTop w:val="0"/>
      <w:marBottom w:val="0"/>
      <w:divBdr>
        <w:top w:val="none" w:sz="0" w:space="0" w:color="auto"/>
        <w:left w:val="none" w:sz="0" w:space="0" w:color="auto"/>
        <w:bottom w:val="none" w:sz="0" w:space="0" w:color="auto"/>
        <w:right w:val="none" w:sz="0" w:space="0" w:color="auto"/>
      </w:divBdr>
    </w:div>
    <w:div w:id="1011645319">
      <w:bodyDiv w:val="1"/>
      <w:marLeft w:val="0"/>
      <w:marRight w:val="0"/>
      <w:marTop w:val="0"/>
      <w:marBottom w:val="0"/>
      <w:divBdr>
        <w:top w:val="none" w:sz="0" w:space="0" w:color="auto"/>
        <w:left w:val="none" w:sz="0" w:space="0" w:color="auto"/>
        <w:bottom w:val="none" w:sz="0" w:space="0" w:color="auto"/>
        <w:right w:val="none" w:sz="0" w:space="0" w:color="auto"/>
      </w:divBdr>
    </w:div>
    <w:div w:id="1011764710">
      <w:bodyDiv w:val="1"/>
      <w:marLeft w:val="0"/>
      <w:marRight w:val="0"/>
      <w:marTop w:val="0"/>
      <w:marBottom w:val="0"/>
      <w:divBdr>
        <w:top w:val="none" w:sz="0" w:space="0" w:color="auto"/>
        <w:left w:val="none" w:sz="0" w:space="0" w:color="auto"/>
        <w:bottom w:val="none" w:sz="0" w:space="0" w:color="auto"/>
        <w:right w:val="none" w:sz="0" w:space="0" w:color="auto"/>
      </w:divBdr>
    </w:div>
    <w:div w:id="1011832629">
      <w:bodyDiv w:val="1"/>
      <w:marLeft w:val="0"/>
      <w:marRight w:val="0"/>
      <w:marTop w:val="0"/>
      <w:marBottom w:val="0"/>
      <w:divBdr>
        <w:top w:val="none" w:sz="0" w:space="0" w:color="auto"/>
        <w:left w:val="none" w:sz="0" w:space="0" w:color="auto"/>
        <w:bottom w:val="none" w:sz="0" w:space="0" w:color="auto"/>
        <w:right w:val="none" w:sz="0" w:space="0" w:color="auto"/>
      </w:divBdr>
    </w:div>
    <w:div w:id="1011957047">
      <w:bodyDiv w:val="1"/>
      <w:marLeft w:val="0"/>
      <w:marRight w:val="0"/>
      <w:marTop w:val="0"/>
      <w:marBottom w:val="0"/>
      <w:divBdr>
        <w:top w:val="none" w:sz="0" w:space="0" w:color="auto"/>
        <w:left w:val="none" w:sz="0" w:space="0" w:color="auto"/>
        <w:bottom w:val="none" w:sz="0" w:space="0" w:color="auto"/>
        <w:right w:val="none" w:sz="0" w:space="0" w:color="auto"/>
      </w:divBdr>
    </w:div>
    <w:div w:id="1011957709">
      <w:bodyDiv w:val="1"/>
      <w:marLeft w:val="0"/>
      <w:marRight w:val="0"/>
      <w:marTop w:val="0"/>
      <w:marBottom w:val="0"/>
      <w:divBdr>
        <w:top w:val="none" w:sz="0" w:space="0" w:color="auto"/>
        <w:left w:val="none" w:sz="0" w:space="0" w:color="auto"/>
        <w:bottom w:val="none" w:sz="0" w:space="0" w:color="auto"/>
        <w:right w:val="none" w:sz="0" w:space="0" w:color="auto"/>
      </w:divBdr>
    </w:div>
    <w:div w:id="1012024134">
      <w:bodyDiv w:val="1"/>
      <w:marLeft w:val="0"/>
      <w:marRight w:val="0"/>
      <w:marTop w:val="0"/>
      <w:marBottom w:val="0"/>
      <w:divBdr>
        <w:top w:val="none" w:sz="0" w:space="0" w:color="auto"/>
        <w:left w:val="none" w:sz="0" w:space="0" w:color="auto"/>
        <w:bottom w:val="none" w:sz="0" w:space="0" w:color="auto"/>
        <w:right w:val="none" w:sz="0" w:space="0" w:color="auto"/>
      </w:divBdr>
    </w:div>
    <w:div w:id="1012145697">
      <w:bodyDiv w:val="1"/>
      <w:marLeft w:val="0"/>
      <w:marRight w:val="0"/>
      <w:marTop w:val="0"/>
      <w:marBottom w:val="0"/>
      <w:divBdr>
        <w:top w:val="none" w:sz="0" w:space="0" w:color="auto"/>
        <w:left w:val="none" w:sz="0" w:space="0" w:color="auto"/>
        <w:bottom w:val="none" w:sz="0" w:space="0" w:color="auto"/>
        <w:right w:val="none" w:sz="0" w:space="0" w:color="auto"/>
      </w:divBdr>
    </w:div>
    <w:div w:id="1012221913">
      <w:bodyDiv w:val="1"/>
      <w:marLeft w:val="0"/>
      <w:marRight w:val="0"/>
      <w:marTop w:val="0"/>
      <w:marBottom w:val="0"/>
      <w:divBdr>
        <w:top w:val="none" w:sz="0" w:space="0" w:color="auto"/>
        <w:left w:val="none" w:sz="0" w:space="0" w:color="auto"/>
        <w:bottom w:val="none" w:sz="0" w:space="0" w:color="auto"/>
        <w:right w:val="none" w:sz="0" w:space="0" w:color="auto"/>
      </w:divBdr>
    </w:div>
    <w:div w:id="1012344389">
      <w:bodyDiv w:val="1"/>
      <w:marLeft w:val="0"/>
      <w:marRight w:val="0"/>
      <w:marTop w:val="0"/>
      <w:marBottom w:val="0"/>
      <w:divBdr>
        <w:top w:val="none" w:sz="0" w:space="0" w:color="auto"/>
        <w:left w:val="none" w:sz="0" w:space="0" w:color="auto"/>
        <w:bottom w:val="none" w:sz="0" w:space="0" w:color="auto"/>
        <w:right w:val="none" w:sz="0" w:space="0" w:color="auto"/>
      </w:divBdr>
    </w:div>
    <w:div w:id="1012417230">
      <w:bodyDiv w:val="1"/>
      <w:marLeft w:val="0"/>
      <w:marRight w:val="0"/>
      <w:marTop w:val="0"/>
      <w:marBottom w:val="0"/>
      <w:divBdr>
        <w:top w:val="none" w:sz="0" w:space="0" w:color="auto"/>
        <w:left w:val="none" w:sz="0" w:space="0" w:color="auto"/>
        <w:bottom w:val="none" w:sz="0" w:space="0" w:color="auto"/>
        <w:right w:val="none" w:sz="0" w:space="0" w:color="auto"/>
      </w:divBdr>
    </w:div>
    <w:div w:id="1012491986">
      <w:bodyDiv w:val="1"/>
      <w:marLeft w:val="0"/>
      <w:marRight w:val="0"/>
      <w:marTop w:val="0"/>
      <w:marBottom w:val="0"/>
      <w:divBdr>
        <w:top w:val="none" w:sz="0" w:space="0" w:color="auto"/>
        <w:left w:val="none" w:sz="0" w:space="0" w:color="auto"/>
        <w:bottom w:val="none" w:sz="0" w:space="0" w:color="auto"/>
        <w:right w:val="none" w:sz="0" w:space="0" w:color="auto"/>
      </w:divBdr>
    </w:div>
    <w:div w:id="1012532620">
      <w:bodyDiv w:val="1"/>
      <w:marLeft w:val="0"/>
      <w:marRight w:val="0"/>
      <w:marTop w:val="0"/>
      <w:marBottom w:val="0"/>
      <w:divBdr>
        <w:top w:val="none" w:sz="0" w:space="0" w:color="auto"/>
        <w:left w:val="none" w:sz="0" w:space="0" w:color="auto"/>
        <w:bottom w:val="none" w:sz="0" w:space="0" w:color="auto"/>
        <w:right w:val="none" w:sz="0" w:space="0" w:color="auto"/>
      </w:divBdr>
    </w:div>
    <w:div w:id="1012730441">
      <w:bodyDiv w:val="1"/>
      <w:marLeft w:val="0"/>
      <w:marRight w:val="0"/>
      <w:marTop w:val="0"/>
      <w:marBottom w:val="0"/>
      <w:divBdr>
        <w:top w:val="none" w:sz="0" w:space="0" w:color="auto"/>
        <w:left w:val="none" w:sz="0" w:space="0" w:color="auto"/>
        <w:bottom w:val="none" w:sz="0" w:space="0" w:color="auto"/>
        <w:right w:val="none" w:sz="0" w:space="0" w:color="auto"/>
      </w:divBdr>
    </w:div>
    <w:div w:id="1012755852">
      <w:bodyDiv w:val="1"/>
      <w:marLeft w:val="0"/>
      <w:marRight w:val="0"/>
      <w:marTop w:val="0"/>
      <w:marBottom w:val="0"/>
      <w:divBdr>
        <w:top w:val="none" w:sz="0" w:space="0" w:color="auto"/>
        <w:left w:val="none" w:sz="0" w:space="0" w:color="auto"/>
        <w:bottom w:val="none" w:sz="0" w:space="0" w:color="auto"/>
        <w:right w:val="none" w:sz="0" w:space="0" w:color="auto"/>
      </w:divBdr>
    </w:div>
    <w:div w:id="1012758483">
      <w:bodyDiv w:val="1"/>
      <w:marLeft w:val="0"/>
      <w:marRight w:val="0"/>
      <w:marTop w:val="0"/>
      <w:marBottom w:val="0"/>
      <w:divBdr>
        <w:top w:val="none" w:sz="0" w:space="0" w:color="auto"/>
        <w:left w:val="none" w:sz="0" w:space="0" w:color="auto"/>
        <w:bottom w:val="none" w:sz="0" w:space="0" w:color="auto"/>
        <w:right w:val="none" w:sz="0" w:space="0" w:color="auto"/>
      </w:divBdr>
    </w:div>
    <w:div w:id="1012797775">
      <w:bodyDiv w:val="1"/>
      <w:marLeft w:val="0"/>
      <w:marRight w:val="0"/>
      <w:marTop w:val="0"/>
      <w:marBottom w:val="0"/>
      <w:divBdr>
        <w:top w:val="none" w:sz="0" w:space="0" w:color="auto"/>
        <w:left w:val="none" w:sz="0" w:space="0" w:color="auto"/>
        <w:bottom w:val="none" w:sz="0" w:space="0" w:color="auto"/>
        <w:right w:val="none" w:sz="0" w:space="0" w:color="auto"/>
      </w:divBdr>
    </w:div>
    <w:div w:id="1012802516">
      <w:bodyDiv w:val="1"/>
      <w:marLeft w:val="0"/>
      <w:marRight w:val="0"/>
      <w:marTop w:val="0"/>
      <w:marBottom w:val="0"/>
      <w:divBdr>
        <w:top w:val="none" w:sz="0" w:space="0" w:color="auto"/>
        <w:left w:val="none" w:sz="0" w:space="0" w:color="auto"/>
        <w:bottom w:val="none" w:sz="0" w:space="0" w:color="auto"/>
        <w:right w:val="none" w:sz="0" w:space="0" w:color="auto"/>
      </w:divBdr>
    </w:div>
    <w:div w:id="1012956134">
      <w:bodyDiv w:val="1"/>
      <w:marLeft w:val="0"/>
      <w:marRight w:val="0"/>
      <w:marTop w:val="0"/>
      <w:marBottom w:val="0"/>
      <w:divBdr>
        <w:top w:val="none" w:sz="0" w:space="0" w:color="auto"/>
        <w:left w:val="none" w:sz="0" w:space="0" w:color="auto"/>
        <w:bottom w:val="none" w:sz="0" w:space="0" w:color="auto"/>
        <w:right w:val="none" w:sz="0" w:space="0" w:color="auto"/>
      </w:divBdr>
    </w:div>
    <w:div w:id="1012956439">
      <w:bodyDiv w:val="1"/>
      <w:marLeft w:val="0"/>
      <w:marRight w:val="0"/>
      <w:marTop w:val="0"/>
      <w:marBottom w:val="0"/>
      <w:divBdr>
        <w:top w:val="none" w:sz="0" w:space="0" w:color="auto"/>
        <w:left w:val="none" w:sz="0" w:space="0" w:color="auto"/>
        <w:bottom w:val="none" w:sz="0" w:space="0" w:color="auto"/>
        <w:right w:val="none" w:sz="0" w:space="0" w:color="auto"/>
      </w:divBdr>
    </w:div>
    <w:div w:id="1013144405">
      <w:bodyDiv w:val="1"/>
      <w:marLeft w:val="0"/>
      <w:marRight w:val="0"/>
      <w:marTop w:val="0"/>
      <w:marBottom w:val="0"/>
      <w:divBdr>
        <w:top w:val="none" w:sz="0" w:space="0" w:color="auto"/>
        <w:left w:val="none" w:sz="0" w:space="0" w:color="auto"/>
        <w:bottom w:val="none" w:sz="0" w:space="0" w:color="auto"/>
        <w:right w:val="none" w:sz="0" w:space="0" w:color="auto"/>
      </w:divBdr>
    </w:div>
    <w:div w:id="1013190126">
      <w:bodyDiv w:val="1"/>
      <w:marLeft w:val="0"/>
      <w:marRight w:val="0"/>
      <w:marTop w:val="0"/>
      <w:marBottom w:val="0"/>
      <w:divBdr>
        <w:top w:val="none" w:sz="0" w:space="0" w:color="auto"/>
        <w:left w:val="none" w:sz="0" w:space="0" w:color="auto"/>
        <w:bottom w:val="none" w:sz="0" w:space="0" w:color="auto"/>
        <w:right w:val="none" w:sz="0" w:space="0" w:color="auto"/>
      </w:divBdr>
    </w:div>
    <w:div w:id="1013191833">
      <w:bodyDiv w:val="1"/>
      <w:marLeft w:val="0"/>
      <w:marRight w:val="0"/>
      <w:marTop w:val="0"/>
      <w:marBottom w:val="0"/>
      <w:divBdr>
        <w:top w:val="none" w:sz="0" w:space="0" w:color="auto"/>
        <w:left w:val="none" w:sz="0" w:space="0" w:color="auto"/>
        <w:bottom w:val="none" w:sz="0" w:space="0" w:color="auto"/>
        <w:right w:val="none" w:sz="0" w:space="0" w:color="auto"/>
      </w:divBdr>
    </w:div>
    <w:div w:id="1013267523">
      <w:bodyDiv w:val="1"/>
      <w:marLeft w:val="0"/>
      <w:marRight w:val="0"/>
      <w:marTop w:val="0"/>
      <w:marBottom w:val="0"/>
      <w:divBdr>
        <w:top w:val="none" w:sz="0" w:space="0" w:color="auto"/>
        <w:left w:val="none" w:sz="0" w:space="0" w:color="auto"/>
        <w:bottom w:val="none" w:sz="0" w:space="0" w:color="auto"/>
        <w:right w:val="none" w:sz="0" w:space="0" w:color="auto"/>
      </w:divBdr>
    </w:div>
    <w:div w:id="1013455647">
      <w:bodyDiv w:val="1"/>
      <w:marLeft w:val="0"/>
      <w:marRight w:val="0"/>
      <w:marTop w:val="0"/>
      <w:marBottom w:val="0"/>
      <w:divBdr>
        <w:top w:val="none" w:sz="0" w:space="0" w:color="auto"/>
        <w:left w:val="none" w:sz="0" w:space="0" w:color="auto"/>
        <w:bottom w:val="none" w:sz="0" w:space="0" w:color="auto"/>
        <w:right w:val="none" w:sz="0" w:space="0" w:color="auto"/>
      </w:divBdr>
    </w:div>
    <w:div w:id="1013458014">
      <w:bodyDiv w:val="1"/>
      <w:marLeft w:val="0"/>
      <w:marRight w:val="0"/>
      <w:marTop w:val="0"/>
      <w:marBottom w:val="0"/>
      <w:divBdr>
        <w:top w:val="none" w:sz="0" w:space="0" w:color="auto"/>
        <w:left w:val="none" w:sz="0" w:space="0" w:color="auto"/>
        <w:bottom w:val="none" w:sz="0" w:space="0" w:color="auto"/>
        <w:right w:val="none" w:sz="0" w:space="0" w:color="auto"/>
      </w:divBdr>
    </w:div>
    <w:div w:id="1013529755">
      <w:bodyDiv w:val="1"/>
      <w:marLeft w:val="0"/>
      <w:marRight w:val="0"/>
      <w:marTop w:val="0"/>
      <w:marBottom w:val="0"/>
      <w:divBdr>
        <w:top w:val="none" w:sz="0" w:space="0" w:color="auto"/>
        <w:left w:val="none" w:sz="0" w:space="0" w:color="auto"/>
        <w:bottom w:val="none" w:sz="0" w:space="0" w:color="auto"/>
        <w:right w:val="none" w:sz="0" w:space="0" w:color="auto"/>
      </w:divBdr>
    </w:div>
    <w:div w:id="1013605729">
      <w:bodyDiv w:val="1"/>
      <w:marLeft w:val="0"/>
      <w:marRight w:val="0"/>
      <w:marTop w:val="0"/>
      <w:marBottom w:val="0"/>
      <w:divBdr>
        <w:top w:val="none" w:sz="0" w:space="0" w:color="auto"/>
        <w:left w:val="none" w:sz="0" w:space="0" w:color="auto"/>
        <w:bottom w:val="none" w:sz="0" w:space="0" w:color="auto"/>
        <w:right w:val="none" w:sz="0" w:space="0" w:color="auto"/>
      </w:divBdr>
    </w:div>
    <w:div w:id="1013611145">
      <w:bodyDiv w:val="1"/>
      <w:marLeft w:val="0"/>
      <w:marRight w:val="0"/>
      <w:marTop w:val="0"/>
      <w:marBottom w:val="0"/>
      <w:divBdr>
        <w:top w:val="none" w:sz="0" w:space="0" w:color="auto"/>
        <w:left w:val="none" w:sz="0" w:space="0" w:color="auto"/>
        <w:bottom w:val="none" w:sz="0" w:space="0" w:color="auto"/>
        <w:right w:val="none" w:sz="0" w:space="0" w:color="auto"/>
      </w:divBdr>
    </w:div>
    <w:div w:id="1013654334">
      <w:bodyDiv w:val="1"/>
      <w:marLeft w:val="0"/>
      <w:marRight w:val="0"/>
      <w:marTop w:val="0"/>
      <w:marBottom w:val="0"/>
      <w:divBdr>
        <w:top w:val="none" w:sz="0" w:space="0" w:color="auto"/>
        <w:left w:val="none" w:sz="0" w:space="0" w:color="auto"/>
        <w:bottom w:val="none" w:sz="0" w:space="0" w:color="auto"/>
        <w:right w:val="none" w:sz="0" w:space="0" w:color="auto"/>
      </w:divBdr>
    </w:div>
    <w:div w:id="1013797240">
      <w:bodyDiv w:val="1"/>
      <w:marLeft w:val="0"/>
      <w:marRight w:val="0"/>
      <w:marTop w:val="0"/>
      <w:marBottom w:val="0"/>
      <w:divBdr>
        <w:top w:val="none" w:sz="0" w:space="0" w:color="auto"/>
        <w:left w:val="none" w:sz="0" w:space="0" w:color="auto"/>
        <w:bottom w:val="none" w:sz="0" w:space="0" w:color="auto"/>
        <w:right w:val="none" w:sz="0" w:space="0" w:color="auto"/>
      </w:divBdr>
    </w:div>
    <w:div w:id="1013801523">
      <w:bodyDiv w:val="1"/>
      <w:marLeft w:val="0"/>
      <w:marRight w:val="0"/>
      <w:marTop w:val="0"/>
      <w:marBottom w:val="0"/>
      <w:divBdr>
        <w:top w:val="none" w:sz="0" w:space="0" w:color="auto"/>
        <w:left w:val="none" w:sz="0" w:space="0" w:color="auto"/>
        <w:bottom w:val="none" w:sz="0" w:space="0" w:color="auto"/>
        <w:right w:val="none" w:sz="0" w:space="0" w:color="auto"/>
      </w:divBdr>
    </w:div>
    <w:div w:id="1013844247">
      <w:bodyDiv w:val="1"/>
      <w:marLeft w:val="0"/>
      <w:marRight w:val="0"/>
      <w:marTop w:val="0"/>
      <w:marBottom w:val="0"/>
      <w:divBdr>
        <w:top w:val="none" w:sz="0" w:space="0" w:color="auto"/>
        <w:left w:val="none" w:sz="0" w:space="0" w:color="auto"/>
        <w:bottom w:val="none" w:sz="0" w:space="0" w:color="auto"/>
        <w:right w:val="none" w:sz="0" w:space="0" w:color="auto"/>
      </w:divBdr>
    </w:div>
    <w:div w:id="1013848524">
      <w:bodyDiv w:val="1"/>
      <w:marLeft w:val="0"/>
      <w:marRight w:val="0"/>
      <w:marTop w:val="0"/>
      <w:marBottom w:val="0"/>
      <w:divBdr>
        <w:top w:val="none" w:sz="0" w:space="0" w:color="auto"/>
        <w:left w:val="none" w:sz="0" w:space="0" w:color="auto"/>
        <w:bottom w:val="none" w:sz="0" w:space="0" w:color="auto"/>
        <w:right w:val="none" w:sz="0" w:space="0" w:color="auto"/>
      </w:divBdr>
    </w:div>
    <w:div w:id="1013914853">
      <w:bodyDiv w:val="1"/>
      <w:marLeft w:val="0"/>
      <w:marRight w:val="0"/>
      <w:marTop w:val="0"/>
      <w:marBottom w:val="0"/>
      <w:divBdr>
        <w:top w:val="none" w:sz="0" w:space="0" w:color="auto"/>
        <w:left w:val="none" w:sz="0" w:space="0" w:color="auto"/>
        <w:bottom w:val="none" w:sz="0" w:space="0" w:color="auto"/>
        <w:right w:val="none" w:sz="0" w:space="0" w:color="auto"/>
      </w:divBdr>
    </w:div>
    <w:div w:id="1013920161">
      <w:bodyDiv w:val="1"/>
      <w:marLeft w:val="0"/>
      <w:marRight w:val="0"/>
      <w:marTop w:val="0"/>
      <w:marBottom w:val="0"/>
      <w:divBdr>
        <w:top w:val="none" w:sz="0" w:space="0" w:color="auto"/>
        <w:left w:val="none" w:sz="0" w:space="0" w:color="auto"/>
        <w:bottom w:val="none" w:sz="0" w:space="0" w:color="auto"/>
        <w:right w:val="none" w:sz="0" w:space="0" w:color="auto"/>
      </w:divBdr>
    </w:div>
    <w:div w:id="1013920487">
      <w:bodyDiv w:val="1"/>
      <w:marLeft w:val="0"/>
      <w:marRight w:val="0"/>
      <w:marTop w:val="0"/>
      <w:marBottom w:val="0"/>
      <w:divBdr>
        <w:top w:val="none" w:sz="0" w:space="0" w:color="auto"/>
        <w:left w:val="none" w:sz="0" w:space="0" w:color="auto"/>
        <w:bottom w:val="none" w:sz="0" w:space="0" w:color="auto"/>
        <w:right w:val="none" w:sz="0" w:space="0" w:color="auto"/>
      </w:divBdr>
    </w:div>
    <w:div w:id="1013990966">
      <w:bodyDiv w:val="1"/>
      <w:marLeft w:val="0"/>
      <w:marRight w:val="0"/>
      <w:marTop w:val="0"/>
      <w:marBottom w:val="0"/>
      <w:divBdr>
        <w:top w:val="none" w:sz="0" w:space="0" w:color="auto"/>
        <w:left w:val="none" w:sz="0" w:space="0" w:color="auto"/>
        <w:bottom w:val="none" w:sz="0" w:space="0" w:color="auto"/>
        <w:right w:val="none" w:sz="0" w:space="0" w:color="auto"/>
      </w:divBdr>
    </w:div>
    <w:div w:id="1013992777">
      <w:bodyDiv w:val="1"/>
      <w:marLeft w:val="0"/>
      <w:marRight w:val="0"/>
      <w:marTop w:val="0"/>
      <w:marBottom w:val="0"/>
      <w:divBdr>
        <w:top w:val="none" w:sz="0" w:space="0" w:color="auto"/>
        <w:left w:val="none" w:sz="0" w:space="0" w:color="auto"/>
        <w:bottom w:val="none" w:sz="0" w:space="0" w:color="auto"/>
        <w:right w:val="none" w:sz="0" w:space="0" w:color="auto"/>
      </w:divBdr>
    </w:div>
    <w:div w:id="1014041943">
      <w:bodyDiv w:val="1"/>
      <w:marLeft w:val="0"/>
      <w:marRight w:val="0"/>
      <w:marTop w:val="0"/>
      <w:marBottom w:val="0"/>
      <w:divBdr>
        <w:top w:val="none" w:sz="0" w:space="0" w:color="auto"/>
        <w:left w:val="none" w:sz="0" w:space="0" w:color="auto"/>
        <w:bottom w:val="none" w:sz="0" w:space="0" w:color="auto"/>
        <w:right w:val="none" w:sz="0" w:space="0" w:color="auto"/>
      </w:divBdr>
    </w:div>
    <w:div w:id="1014110105">
      <w:bodyDiv w:val="1"/>
      <w:marLeft w:val="0"/>
      <w:marRight w:val="0"/>
      <w:marTop w:val="0"/>
      <w:marBottom w:val="0"/>
      <w:divBdr>
        <w:top w:val="none" w:sz="0" w:space="0" w:color="auto"/>
        <w:left w:val="none" w:sz="0" w:space="0" w:color="auto"/>
        <w:bottom w:val="none" w:sz="0" w:space="0" w:color="auto"/>
        <w:right w:val="none" w:sz="0" w:space="0" w:color="auto"/>
      </w:divBdr>
    </w:div>
    <w:div w:id="1014117328">
      <w:bodyDiv w:val="1"/>
      <w:marLeft w:val="0"/>
      <w:marRight w:val="0"/>
      <w:marTop w:val="0"/>
      <w:marBottom w:val="0"/>
      <w:divBdr>
        <w:top w:val="none" w:sz="0" w:space="0" w:color="auto"/>
        <w:left w:val="none" w:sz="0" w:space="0" w:color="auto"/>
        <w:bottom w:val="none" w:sz="0" w:space="0" w:color="auto"/>
        <w:right w:val="none" w:sz="0" w:space="0" w:color="auto"/>
      </w:divBdr>
    </w:div>
    <w:div w:id="1014302503">
      <w:bodyDiv w:val="1"/>
      <w:marLeft w:val="0"/>
      <w:marRight w:val="0"/>
      <w:marTop w:val="0"/>
      <w:marBottom w:val="0"/>
      <w:divBdr>
        <w:top w:val="none" w:sz="0" w:space="0" w:color="auto"/>
        <w:left w:val="none" w:sz="0" w:space="0" w:color="auto"/>
        <w:bottom w:val="none" w:sz="0" w:space="0" w:color="auto"/>
        <w:right w:val="none" w:sz="0" w:space="0" w:color="auto"/>
      </w:divBdr>
    </w:div>
    <w:div w:id="1014307595">
      <w:bodyDiv w:val="1"/>
      <w:marLeft w:val="0"/>
      <w:marRight w:val="0"/>
      <w:marTop w:val="0"/>
      <w:marBottom w:val="0"/>
      <w:divBdr>
        <w:top w:val="none" w:sz="0" w:space="0" w:color="auto"/>
        <w:left w:val="none" w:sz="0" w:space="0" w:color="auto"/>
        <w:bottom w:val="none" w:sz="0" w:space="0" w:color="auto"/>
        <w:right w:val="none" w:sz="0" w:space="0" w:color="auto"/>
      </w:divBdr>
    </w:div>
    <w:div w:id="1014376890">
      <w:bodyDiv w:val="1"/>
      <w:marLeft w:val="0"/>
      <w:marRight w:val="0"/>
      <w:marTop w:val="0"/>
      <w:marBottom w:val="0"/>
      <w:divBdr>
        <w:top w:val="none" w:sz="0" w:space="0" w:color="auto"/>
        <w:left w:val="none" w:sz="0" w:space="0" w:color="auto"/>
        <w:bottom w:val="none" w:sz="0" w:space="0" w:color="auto"/>
        <w:right w:val="none" w:sz="0" w:space="0" w:color="auto"/>
      </w:divBdr>
    </w:div>
    <w:div w:id="1014528605">
      <w:bodyDiv w:val="1"/>
      <w:marLeft w:val="0"/>
      <w:marRight w:val="0"/>
      <w:marTop w:val="0"/>
      <w:marBottom w:val="0"/>
      <w:divBdr>
        <w:top w:val="none" w:sz="0" w:space="0" w:color="auto"/>
        <w:left w:val="none" w:sz="0" w:space="0" w:color="auto"/>
        <w:bottom w:val="none" w:sz="0" w:space="0" w:color="auto"/>
        <w:right w:val="none" w:sz="0" w:space="0" w:color="auto"/>
      </w:divBdr>
    </w:div>
    <w:div w:id="1014578699">
      <w:bodyDiv w:val="1"/>
      <w:marLeft w:val="0"/>
      <w:marRight w:val="0"/>
      <w:marTop w:val="0"/>
      <w:marBottom w:val="0"/>
      <w:divBdr>
        <w:top w:val="none" w:sz="0" w:space="0" w:color="auto"/>
        <w:left w:val="none" w:sz="0" w:space="0" w:color="auto"/>
        <w:bottom w:val="none" w:sz="0" w:space="0" w:color="auto"/>
        <w:right w:val="none" w:sz="0" w:space="0" w:color="auto"/>
      </w:divBdr>
    </w:div>
    <w:div w:id="1014653750">
      <w:bodyDiv w:val="1"/>
      <w:marLeft w:val="0"/>
      <w:marRight w:val="0"/>
      <w:marTop w:val="0"/>
      <w:marBottom w:val="0"/>
      <w:divBdr>
        <w:top w:val="none" w:sz="0" w:space="0" w:color="auto"/>
        <w:left w:val="none" w:sz="0" w:space="0" w:color="auto"/>
        <w:bottom w:val="none" w:sz="0" w:space="0" w:color="auto"/>
        <w:right w:val="none" w:sz="0" w:space="0" w:color="auto"/>
      </w:divBdr>
    </w:div>
    <w:div w:id="1014695999">
      <w:bodyDiv w:val="1"/>
      <w:marLeft w:val="0"/>
      <w:marRight w:val="0"/>
      <w:marTop w:val="0"/>
      <w:marBottom w:val="0"/>
      <w:divBdr>
        <w:top w:val="none" w:sz="0" w:space="0" w:color="auto"/>
        <w:left w:val="none" w:sz="0" w:space="0" w:color="auto"/>
        <w:bottom w:val="none" w:sz="0" w:space="0" w:color="auto"/>
        <w:right w:val="none" w:sz="0" w:space="0" w:color="auto"/>
      </w:divBdr>
    </w:div>
    <w:div w:id="1014768118">
      <w:bodyDiv w:val="1"/>
      <w:marLeft w:val="0"/>
      <w:marRight w:val="0"/>
      <w:marTop w:val="0"/>
      <w:marBottom w:val="0"/>
      <w:divBdr>
        <w:top w:val="none" w:sz="0" w:space="0" w:color="auto"/>
        <w:left w:val="none" w:sz="0" w:space="0" w:color="auto"/>
        <w:bottom w:val="none" w:sz="0" w:space="0" w:color="auto"/>
        <w:right w:val="none" w:sz="0" w:space="0" w:color="auto"/>
      </w:divBdr>
    </w:div>
    <w:div w:id="1014844719">
      <w:bodyDiv w:val="1"/>
      <w:marLeft w:val="0"/>
      <w:marRight w:val="0"/>
      <w:marTop w:val="0"/>
      <w:marBottom w:val="0"/>
      <w:divBdr>
        <w:top w:val="none" w:sz="0" w:space="0" w:color="auto"/>
        <w:left w:val="none" w:sz="0" w:space="0" w:color="auto"/>
        <w:bottom w:val="none" w:sz="0" w:space="0" w:color="auto"/>
        <w:right w:val="none" w:sz="0" w:space="0" w:color="auto"/>
      </w:divBdr>
    </w:div>
    <w:div w:id="1014914752">
      <w:bodyDiv w:val="1"/>
      <w:marLeft w:val="0"/>
      <w:marRight w:val="0"/>
      <w:marTop w:val="0"/>
      <w:marBottom w:val="0"/>
      <w:divBdr>
        <w:top w:val="none" w:sz="0" w:space="0" w:color="auto"/>
        <w:left w:val="none" w:sz="0" w:space="0" w:color="auto"/>
        <w:bottom w:val="none" w:sz="0" w:space="0" w:color="auto"/>
        <w:right w:val="none" w:sz="0" w:space="0" w:color="auto"/>
      </w:divBdr>
    </w:div>
    <w:div w:id="1014960268">
      <w:bodyDiv w:val="1"/>
      <w:marLeft w:val="0"/>
      <w:marRight w:val="0"/>
      <w:marTop w:val="0"/>
      <w:marBottom w:val="0"/>
      <w:divBdr>
        <w:top w:val="none" w:sz="0" w:space="0" w:color="auto"/>
        <w:left w:val="none" w:sz="0" w:space="0" w:color="auto"/>
        <w:bottom w:val="none" w:sz="0" w:space="0" w:color="auto"/>
        <w:right w:val="none" w:sz="0" w:space="0" w:color="auto"/>
      </w:divBdr>
    </w:div>
    <w:div w:id="1015035415">
      <w:bodyDiv w:val="1"/>
      <w:marLeft w:val="0"/>
      <w:marRight w:val="0"/>
      <w:marTop w:val="0"/>
      <w:marBottom w:val="0"/>
      <w:divBdr>
        <w:top w:val="none" w:sz="0" w:space="0" w:color="auto"/>
        <w:left w:val="none" w:sz="0" w:space="0" w:color="auto"/>
        <w:bottom w:val="none" w:sz="0" w:space="0" w:color="auto"/>
        <w:right w:val="none" w:sz="0" w:space="0" w:color="auto"/>
      </w:divBdr>
    </w:div>
    <w:div w:id="1015112027">
      <w:bodyDiv w:val="1"/>
      <w:marLeft w:val="0"/>
      <w:marRight w:val="0"/>
      <w:marTop w:val="0"/>
      <w:marBottom w:val="0"/>
      <w:divBdr>
        <w:top w:val="none" w:sz="0" w:space="0" w:color="auto"/>
        <w:left w:val="none" w:sz="0" w:space="0" w:color="auto"/>
        <w:bottom w:val="none" w:sz="0" w:space="0" w:color="auto"/>
        <w:right w:val="none" w:sz="0" w:space="0" w:color="auto"/>
      </w:divBdr>
    </w:div>
    <w:div w:id="1015302502">
      <w:bodyDiv w:val="1"/>
      <w:marLeft w:val="0"/>
      <w:marRight w:val="0"/>
      <w:marTop w:val="0"/>
      <w:marBottom w:val="0"/>
      <w:divBdr>
        <w:top w:val="none" w:sz="0" w:space="0" w:color="auto"/>
        <w:left w:val="none" w:sz="0" w:space="0" w:color="auto"/>
        <w:bottom w:val="none" w:sz="0" w:space="0" w:color="auto"/>
        <w:right w:val="none" w:sz="0" w:space="0" w:color="auto"/>
      </w:divBdr>
    </w:div>
    <w:div w:id="1015379186">
      <w:bodyDiv w:val="1"/>
      <w:marLeft w:val="0"/>
      <w:marRight w:val="0"/>
      <w:marTop w:val="0"/>
      <w:marBottom w:val="0"/>
      <w:divBdr>
        <w:top w:val="none" w:sz="0" w:space="0" w:color="auto"/>
        <w:left w:val="none" w:sz="0" w:space="0" w:color="auto"/>
        <w:bottom w:val="none" w:sz="0" w:space="0" w:color="auto"/>
        <w:right w:val="none" w:sz="0" w:space="0" w:color="auto"/>
      </w:divBdr>
    </w:div>
    <w:div w:id="1015499752">
      <w:bodyDiv w:val="1"/>
      <w:marLeft w:val="0"/>
      <w:marRight w:val="0"/>
      <w:marTop w:val="0"/>
      <w:marBottom w:val="0"/>
      <w:divBdr>
        <w:top w:val="none" w:sz="0" w:space="0" w:color="auto"/>
        <w:left w:val="none" w:sz="0" w:space="0" w:color="auto"/>
        <w:bottom w:val="none" w:sz="0" w:space="0" w:color="auto"/>
        <w:right w:val="none" w:sz="0" w:space="0" w:color="auto"/>
      </w:divBdr>
    </w:div>
    <w:div w:id="1015501568">
      <w:bodyDiv w:val="1"/>
      <w:marLeft w:val="0"/>
      <w:marRight w:val="0"/>
      <w:marTop w:val="0"/>
      <w:marBottom w:val="0"/>
      <w:divBdr>
        <w:top w:val="none" w:sz="0" w:space="0" w:color="auto"/>
        <w:left w:val="none" w:sz="0" w:space="0" w:color="auto"/>
        <w:bottom w:val="none" w:sz="0" w:space="0" w:color="auto"/>
        <w:right w:val="none" w:sz="0" w:space="0" w:color="auto"/>
      </w:divBdr>
    </w:div>
    <w:div w:id="1015578282">
      <w:bodyDiv w:val="1"/>
      <w:marLeft w:val="0"/>
      <w:marRight w:val="0"/>
      <w:marTop w:val="0"/>
      <w:marBottom w:val="0"/>
      <w:divBdr>
        <w:top w:val="none" w:sz="0" w:space="0" w:color="auto"/>
        <w:left w:val="none" w:sz="0" w:space="0" w:color="auto"/>
        <w:bottom w:val="none" w:sz="0" w:space="0" w:color="auto"/>
        <w:right w:val="none" w:sz="0" w:space="0" w:color="auto"/>
      </w:divBdr>
    </w:div>
    <w:div w:id="1015611992">
      <w:bodyDiv w:val="1"/>
      <w:marLeft w:val="0"/>
      <w:marRight w:val="0"/>
      <w:marTop w:val="0"/>
      <w:marBottom w:val="0"/>
      <w:divBdr>
        <w:top w:val="none" w:sz="0" w:space="0" w:color="auto"/>
        <w:left w:val="none" w:sz="0" w:space="0" w:color="auto"/>
        <w:bottom w:val="none" w:sz="0" w:space="0" w:color="auto"/>
        <w:right w:val="none" w:sz="0" w:space="0" w:color="auto"/>
      </w:divBdr>
    </w:div>
    <w:div w:id="1015617188">
      <w:bodyDiv w:val="1"/>
      <w:marLeft w:val="0"/>
      <w:marRight w:val="0"/>
      <w:marTop w:val="0"/>
      <w:marBottom w:val="0"/>
      <w:divBdr>
        <w:top w:val="none" w:sz="0" w:space="0" w:color="auto"/>
        <w:left w:val="none" w:sz="0" w:space="0" w:color="auto"/>
        <w:bottom w:val="none" w:sz="0" w:space="0" w:color="auto"/>
        <w:right w:val="none" w:sz="0" w:space="0" w:color="auto"/>
      </w:divBdr>
    </w:div>
    <w:div w:id="1015620257">
      <w:bodyDiv w:val="1"/>
      <w:marLeft w:val="0"/>
      <w:marRight w:val="0"/>
      <w:marTop w:val="0"/>
      <w:marBottom w:val="0"/>
      <w:divBdr>
        <w:top w:val="none" w:sz="0" w:space="0" w:color="auto"/>
        <w:left w:val="none" w:sz="0" w:space="0" w:color="auto"/>
        <w:bottom w:val="none" w:sz="0" w:space="0" w:color="auto"/>
        <w:right w:val="none" w:sz="0" w:space="0" w:color="auto"/>
      </w:divBdr>
    </w:div>
    <w:div w:id="1015690118">
      <w:bodyDiv w:val="1"/>
      <w:marLeft w:val="0"/>
      <w:marRight w:val="0"/>
      <w:marTop w:val="0"/>
      <w:marBottom w:val="0"/>
      <w:divBdr>
        <w:top w:val="none" w:sz="0" w:space="0" w:color="auto"/>
        <w:left w:val="none" w:sz="0" w:space="0" w:color="auto"/>
        <w:bottom w:val="none" w:sz="0" w:space="0" w:color="auto"/>
        <w:right w:val="none" w:sz="0" w:space="0" w:color="auto"/>
      </w:divBdr>
    </w:div>
    <w:div w:id="1015694097">
      <w:bodyDiv w:val="1"/>
      <w:marLeft w:val="0"/>
      <w:marRight w:val="0"/>
      <w:marTop w:val="0"/>
      <w:marBottom w:val="0"/>
      <w:divBdr>
        <w:top w:val="none" w:sz="0" w:space="0" w:color="auto"/>
        <w:left w:val="none" w:sz="0" w:space="0" w:color="auto"/>
        <w:bottom w:val="none" w:sz="0" w:space="0" w:color="auto"/>
        <w:right w:val="none" w:sz="0" w:space="0" w:color="auto"/>
      </w:divBdr>
    </w:div>
    <w:div w:id="1015695381">
      <w:bodyDiv w:val="1"/>
      <w:marLeft w:val="0"/>
      <w:marRight w:val="0"/>
      <w:marTop w:val="0"/>
      <w:marBottom w:val="0"/>
      <w:divBdr>
        <w:top w:val="none" w:sz="0" w:space="0" w:color="auto"/>
        <w:left w:val="none" w:sz="0" w:space="0" w:color="auto"/>
        <w:bottom w:val="none" w:sz="0" w:space="0" w:color="auto"/>
        <w:right w:val="none" w:sz="0" w:space="0" w:color="auto"/>
      </w:divBdr>
    </w:div>
    <w:div w:id="1015763337">
      <w:bodyDiv w:val="1"/>
      <w:marLeft w:val="0"/>
      <w:marRight w:val="0"/>
      <w:marTop w:val="0"/>
      <w:marBottom w:val="0"/>
      <w:divBdr>
        <w:top w:val="none" w:sz="0" w:space="0" w:color="auto"/>
        <w:left w:val="none" w:sz="0" w:space="0" w:color="auto"/>
        <w:bottom w:val="none" w:sz="0" w:space="0" w:color="auto"/>
        <w:right w:val="none" w:sz="0" w:space="0" w:color="auto"/>
      </w:divBdr>
    </w:div>
    <w:div w:id="1015764954">
      <w:bodyDiv w:val="1"/>
      <w:marLeft w:val="0"/>
      <w:marRight w:val="0"/>
      <w:marTop w:val="0"/>
      <w:marBottom w:val="0"/>
      <w:divBdr>
        <w:top w:val="none" w:sz="0" w:space="0" w:color="auto"/>
        <w:left w:val="none" w:sz="0" w:space="0" w:color="auto"/>
        <w:bottom w:val="none" w:sz="0" w:space="0" w:color="auto"/>
        <w:right w:val="none" w:sz="0" w:space="0" w:color="auto"/>
      </w:divBdr>
    </w:div>
    <w:div w:id="1015886179">
      <w:bodyDiv w:val="1"/>
      <w:marLeft w:val="0"/>
      <w:marRight w:val="0"/>
      <w:marTop w:val="0"/>
      <w:marBottom w:val="0"/>
      <w:divBdr>
        <w:top w:val="none" w:sz="0" w:space="0" w:color="auto"/>
        <w:left w:val="none" w:sz="0" w:space="0" w:color="auto"/>
        <w:bottom w:val="none" w:sz="0" w:space="0" w:color="auto"/>
        <w:right w:val="none" w:sz="0" w:space="0" w:color="auto"/>
      </w:divBdr>
    </w:div>
    <w:div w:id="1015958947">
      <w:bodyDiv w:val="1"/>
      <w:marLeft w:val="0"/>
      <w:marRight w:val="0"/>
      <w:marTop w:val="0"/>
      <w:marBottom w:val="0"/>
      <w:divBdr>
        <w:top w:val="none" w:sz="0" w:space="0" w:color="auto"/>
        <w:left w:val="none" w:sz="0" w:space="0" w:color="auto"/>
        <w:bottom w:val="none" w:sz="0" w:space="0" w:color="auto"/>
        <w:right w:val="none" w:sz="0" w:space="0" w:color="auto"/>
      </w:divBdr>
    </w:div>
    <w:div w:id="1015964448">
      <w:bodyDiv w:val="1"/>
      <w:marLeft w:val="0"/>
      <w:marRight w:val="0"/>
      <w:marTop w:val="0"/>
      <w:marBottom w:val="0"/>
      <w:divBdr>
        <w:top w:val="none" w:sz="0" w:space="0" w:color="auto"/>
        <w:left w:val="none" w:sz="0" w:space="0" w:color="auto"/>
        <w:bottom w:val="none" w:sz="0" w:space="0" w:color="auto"/>
        <w:right w:val="none" w:sz="0" w:space="0" w:color="auto"/>
      </w:divBdr>
    </w:div>
    <w:div w:id="1016006309">
      <w:bodyDiv w:val="1"/>
      <w:marLeft w:val="0"/>
      <w:marRight w:val="0"/>
      <w:marTop w:val="0"/>
      <w:marBottom w:val="0"/>
      <w:divBdr>
        <w:top w:val="none" w:sz="0" w:space="0" w:color="auto"/>
        <w:left w:val="none" w:sz="0" w:space="0" w:color="auto"/>
        <w:bottom w:val="none" w:sz="0" w:space="0" w:color="auto"/>
        <w:right w:val="none" w:sz="0" w:space="0" w:color="auto"/>
      </w:divBdr>
    </w:div>
    <w:div w:id="1016035367">
      <w:bodyDiv w:val="1"/>
      <w:marLeft w:val="0"/>
      <w:marRight w:val="0"/>
      <w:marTop w:val="0"/>
      <w:marBottom w:val="0"/>
      <w:divBdr>
        <w:top w:val="none" w:sz="0" w:space="0" w:color="auto"/>
        <w:left w:val="none" w:sz="0" w:space="0" w:color="auto"/>
        <w:bottom w:val="none" w:sz="0" w:space="0" w:color="auto"/>
        <w:right w:val="none" w:sz="0" w:space="0" w:color="auto"/>
      </w:divBdr>
    </w:div>
    <w:div w:id="1016231999">
      <w:bodyDiv w:val="1"/>
      <w:marLeft w:val="0"/>
      <w:marRight w:val="0"/>
      <w:marTop w:val="0"/>
      <w:marBottom w:val="0"/>
      <w:divBdr>
        <w:top w:val="none" w:sz="0" w:space="0" w:color="auto"/>
        <w:left w:val="none" w:sz="0" w:space="0" w:color="auto"/>
        <w:bottom w:val="none" w:sz="0" w:space="0" w:color="auto"/>
        <w:right w:val="none" w:sz="0" w:space="0" w:color="auto"/>
      </w:divBdr>
    </w:div>
    <w:div w:id="1016268061">
      <w:bodyDiv w:val="1"/>
      <w:marLeft w:val="0"/>
      <w:marRight w:val="0"/>
      <w:marTop w:val="0"/>
      <w:marBottom w:val="0"/>
      <w:divBdr>
        <w:top w:val="none" w:sz="0" w:space="0" w:color="auto"/>
        <w:left w:val="none" w:sz="0" w:space="0" w:color="auto"/>
        <w:bottom w:val="none" w:sz="0" w:space="0" w:color="auto"/>
        <w:right w:val="none" w:sz="0" w:space="0" w:color="auto"/>
      </w:divBdr>
    </w:div>
    <w:div w:id="1016418645">
      <w:bodyDiv w:val="1"/>
      <w:marLeft w:val="0"/>
      <w:marRight w:val="0"/>
      <w:marTop w:val="0"/>
      <w:marBottom w:val="0"/>
      <w:divBdr>
        <w:top w:val="none" w:sz="0" w:space="0" w:color="auto"/>
        <w:left w:val="none" w:sz="0" w:space="0" w:color="auto"/>
        <w:bottom w:val="none" w:sz="0" w:space="0" w:color="auto"/>
        <w:right w:val="none" w:sz="0" w:space="0" w:color="auto"/>
      </w:divBdr>
    </w:div>
    <w:div w:id="1016466294">
      <w:bodyDiv w:val="1"/>
      <w:marLeft w:val="0"/>
      <w:marRight w:val="0"/>
      <w:marTop w:val="0"/>
      <w:marBottom w:val="0"/>
      <w:divBdr>
        <w:top w:val="none" w:sz="0" w:space="0" w:color="auto"/>
        <w:left w:val="none" w:sz="0" w:space="0" w:color="auto"/>
        <w:bottom w:val="none" w:sz="0" w:space="0" w:color="auto"/>
        <w:right w:val="none" w:sz="0" w:space="0" w:color="auto"/>
      </w:divBdr>
    </w:div>
    <w:div w:id="1016494110">
      <w:bodyDiv w:val="1"/>
      <w:marLeft w:val="0"/>
      <w:marRight w:val="0"/>
      <w:marTop w:val="0"/>
      <w:marBottom w:val="0"/>
      <w:divBdr>
        <w:top w:val="none" w:sz="0" w:space="0" w:color="auto"/>
        <w:left w:val="none" w:sz="0" w:space="0" w:color="auto"/>
        <w:bottom w:val="none" w:sz="0" w:space="0" w:color="auto"/>
        <w:right w:val="none" w:sz="0" w:space="0" w:color="auto"/>
      </w:divBdr>
    </w:div>
    <w:div w:id="1016535864">
      <w:bodyDiv w:val="1"/>
      <w:marLeft w:val="0"/>
      <w:marRight w:val="0"/>
      <w:marTop w:val="0"/>
      <w:marBottom w:val="0"/>
      <w:divBdr>
        <w:top w:val="none" w:sz="0" w:space="0" w:color="auto"/>
        <w:left w:val="none" w:sz="0" w:space="0" w:color="auto"/>
        <w:bottom w:val="none" w:sz="0" w:space="0" w:color="auto"/>
        <w:right w:val="none" w:sz="0" w:space="0" w:color="auto"/>
      </w:divBdr>
    </w:div>
    <w:div w:id="1016542665">
      <w:bodyDiv w:val="1"/>
      <w:marLeft w:val="0"/>
      <w:marRight w:val="0"/>
      <w:marTop w:val="0"/>
      <w:marBottom w:val="0"/>
      <w:divBdr>
        <w:top w:val="none" w:sz="0" w:space="0" w:color="auto"/>
        <w:left w:val="none" w:sz="0" w:space="0" w:color="auto"/>
        <w:bottom w:val="none" w:sz="0" w:space="0" w:color="auto"/>
        <w:right w:val="none" w:sz="0" w:space="0" w:color="auto"/>
      </w:divBdr>
    </w:div>
    <w:div w:id="1016690844">
      <w:bodyDiv w:val="1"/>
      <w:marLeft w:val="0"/>
      <w:marRight w:val="0"/>
      <w:marTop w:val="0"/>
      <w:marBottom w:val="0"/>
      <w:divBdr>
        <w:top w:val="none" w:sz="0" w:space="0" w:color="auto"/>
        <w:left w:val="none" w:sz="0" w:space="0" w:color="auto"/>
        <w:bottom w:val="none" w:sz="0" w:space="0" w:color="auto"/>
        <w:right w:val="none" w:sz="0" w:space="0" w:color="auto"/>
      </w:divBdr>
    </w:div>
    <w:div w:id="1016804535">
      <w:bodyDiv w:val="1"/>
      <w:marLeft w:val="0"/>
      <w:marRight w:val="0"/>
      <w:marTop w:val="0"/>
      <w:marBottom w:val="0"/>
      <w:divBdr>
        <w:top w:val="none" w:sz="0" w:space="0" w:color="auto"/>
        <w:left w:val="none" w:sz="0" w:space="0" w:color="auto"/>
        <w:bottom w:val="none" w:sz="0" w:space="0" w:color="auto"/>
        <w:right w:val="none" w:sz="0" w:space="0" w:color="auto"/>
      </w:divBdr>
    </w:div>
    <w:div w:id="1016809982">
      <w:bodyDiv w:val="1"/>
      <w:marLeft w:val="0"/>
      <w:marRight w:val="0"/>
      <w:marTop w:val="0"/>
      <w:marBottom w:val="0"/>
      <w:divBdr>
        <w:top w:val="none" w:sz="0" w:space="0" w:color="auto"/>
        <w:left w:val="none" w:sz="0" w:space="0" w:color="auto"/>
        <w:bottom w:val="none" w:sz="0" w:space="0" w:color="auto"/>
        <w:right w:val="none" w:sz="0" w:space="0" w:color="auto"/>
      </w:divBdr>
    </w:div>
    <w:div w:id="1016881508">
      <w:bodyDiv w:val="1"/>
      <w:marLeft w:val="0"/>
      <w:marRight w:val="0"/>
      <w:marTop w:val="0"/>
      <w:marBottom w:val="0"/>
      <w:divBdr>
        <w:top w:val="none" w:sz="0" w:space="0" w:color="auto"/>
        <w:left w:val="none" w:sz="0" w:space="0" w:color="auto"/>
        <w:bottom w:val="none" w:sz="0" w:space="0" w:color="auto"/>
        <w:right w:val="none" w:sz="0" w:space="0" w:color="auto"/>
      </w:divBdr>
    </w:div>
    <w:div w:id="1016883248">
      <w:bodyDiv w:val="1"/>
      <w:marLeft w:val="0"/>
      <w:marRight w:val="0"/>
      <w:marTop w:val="0"/>
      <w:marBottom w:val="0"/>
      <w:divBdr>
        <w:top w:val="none" w:sz="0" w:space="0" w:color="auto"/>
        <w:left w:val="none" w:sz="0" w:space="0" w:color="auto"/>
        <w:bottom w:val="none" w:sz="0" w:space="0" w:color="auto"/>
        <w:right w:val="none" w:sz="0" w:space="0" w:color="auto"/>
      </w:divBdr>
    </w:div>
    <w:div w:id="1016889044">
      <w:bodyDiv w:val="1"/>
      <w:marLeft w:val="0"/>
      <w:marRight w:val="0"/>
      <w:marTop w:val="0"/>
      <w:marBottom w:val="0"/>
      <w:divBdr>
        <w:top w:val="none" w:sz="0" w:space="0" w:color="auto"/>
        <w:left w:val="none" w:sz="0" w:space="0" w:color="auto"/>
        <w:bottom w:val="none" w:sz="0" w:space="0" w:color="auto"/>
        <w:right w:val="none" w:sz="0" w:space="0" w:color="auto"/>
      </w:divBdr>
    </w:div>
    <w:div w:id="1016924259">
      <w:bodyDiv w:val="1"/>
      <w:marLeft w:val="0"/>
      <w:marRight w:val="0"/>
      <w:marTop w:val="0"/>
      <w:marBottom w:val="0"/>
      <w:divBdr>
        <w:top w:val="none" w:sz="0" w:space="0" w:color="auto"/>
        <w:left w:val="none" w:sz="0" w:space="0" w:color="auto"/>
        <w:bottom w:val="none" w:sz="0" w:space="0" w:color="auto"/>
        <w:right w:val="none" w:sz="0" w:space="0" w:color="auto"/>
      </w:divBdr>
    </w:div>
    <w:div w:id="1017075003">
      <w:bodyDiv w:val="1"/>
      <w:marLeft w:val="0"/>
      <w:marRight w:val="0"/>
      <w:marTop w:val="0"/>
      <w:marBottom w:val="0"/>
      <w:divBdr>
        <w:top w:val="none" w:sz="0" w:space="0" w:color="auto"/>
        <w:left w:val="none" w:sz="0" w:space="0" w:color="auto"/>
        <w:bottom w:val="none" w:sz="0" w:space="0" w:color="auto"/>
        <w:right w:val="none" w:sz="0" w:space="0" w:color="auto"/>
      </w:divBdr>
    </w:div>
    <w:div w:id="1017077609">
      <w:bodyDiv w:val="1"/>
      <w:marLeft w:val="0"/>
      <w:marRight w:val="0"/>
      <w:marTop w:val="0"/>
      <w:marBottom w:val="0"/>
      <w:divBdr>
        <w:top w:val="none" w:sz="0" w:space="0" w:color="auto"/>
        <w:left w:val="none" w:sz="0" w:space="0" w:color="auto"/>
        <w:bottom w:val="none" w:sz="0" w:space="0" w:color="auto"/>
        <w:right w:val="none" w:sz="0" w:space="0" w:color="auto"/>
      </w:divBdr>
    </w:div>
    <w:div w:id="1017120448">
      <w:bodyDiv w:val="1"/>
      <w:marLeft w:val="0"/>
      <w:marRight w:val="0"/>
      <w:marTop w:val="0"/>
      <w:marBottom w:val="0"/>
      <w:divBdr>
        <w:top w:val="none" w:sz="0" w:space="0" w:color="auto"/>
        <w:left w:val="none" w:sz="0" w:space="0" w:color="auto"/>
        <w:bottom w:val="none" w:sz="0" w:space="0" w:color="auto"/>
        <w:right w:val="none" w:sz="0" w:space="0" w:color="auto"/>
      </w:divBdr>
    </w:div>
    <w:div w:id="1017193806">
      <w:bodyDiv w:val="1"/>
      <w:marLeft w:val="0"/>
      <w:marRight w:val="0"/>
      <w:marTop w:val="0"/>
      <w:marBottom w:val="0"/>
      <w:divBdr>
        <w:top w:val="none" w:sz="0" w:space="0" w:color="auto"/>
        <w:left w:val="none" w:sz="0" w:space="0" w:color="auto"/>
        <w:bottom w:val="none" w:sz="0" w:space="0" w:color="auto"/>
        <w:right w:val="none" w:sz="0" w:space="0" w:color="auto"/>
      </w:divBdr>
    </w:div>
    <w:div w:id="1017200278">
      <w:bodyDiv w:val="1"/>
      <w:marLeft w:val="0"/>
      <w:marRight w:val="0"/>
      <w:marTop w:val="0"/>
      <w:marBottom w:val="0"/>
      <w:divBdr>
        <w:top w:val="none" w:sz="0" w:space="0" w:color="auto"/>
        <w:left w:val="none" w:sz="0" w:space="0" w:color="auto"/>
        <w:bottom w:val="none" w:sz="0" w:space="0" w:color="auto"/>
        <w:right w:val="none" w:sz="0" w:space="0" w:color="auto"/>
      </w:divBdr>
    </w:div>
    <w:div w:id="1017275915">
      <w:bodyDiv w:val="1"/>
      <w:marLeft w:val="0"/>
      <w:marRight w:val="0"/>
      <w:marTop w:val="0"/>
      <w:marBottom w:val="0"/>
      <w:divBdr>
        <w:top w:val="none" w:sz="0" w:space="0" w:color="auto"/>
        <w:left w:val="none" w:sz="0" w:space="0" w:color="auto"/>
        <w:bottom w:val="none" w:sz="0" w:space="0" w:color="auto"/>
        <w:right w:val="none" w:sz="0" w:space="0" w:color="auto"/>
      </w:divBdr>
    </w:div>
    <w:div w:id="1017343701">
      <w:bodyDiv w:val="1"/>
      <w:marLeft w:val="0"/>
      <w:marRight w:val="0"/>
      <w:marTop w:val="0"/>
      <w:marBottom w:val="0"/>
      <w:divBdr>
        <w:top w:val="none" w:sz="0" w:space="0" w:color="auto"/>
        <w:left w:val="none" w:sz="0" w:space="0" w:color="auto"/>
        <w:bottom w:val="none" w:sz="0" w:space="0" w:color="auto"/>
        <w:right w:val="none" w:sz="0" w:space="0" w:color="auto"/>
      </w:divBdr>
    </w:div>
    <w:div w:id="1017384808">
      <w:bodyDiv w:val="1"/>
      <w:marLeft w:val="0"/>
      <w:marRight w:val="0"/>
      <w:marTop w:val="0"/>
      <w:marBottom w:val="0"/>
      <w:divBdr>
        <w:top w:val="none" w:sz="0" w:space="0" w:color="auto"/>
        <w:left w:val="none" w:sz="0" w:space="0" w:color="auto"/>
        <w:bottom w:val="none" w:sz="0" w:space="0" w:color="auto"/>
        <w:right w:val="none" w:sz="0" w:space="0" w:color="auto"/>
      </w:divBdr>
    </w:div>
    <w:div w:id="1017384931">
      <w:bodyDiv w:val="1"/>
      <w:marLeft w:val="0"/>
      <w:marRight w:val="0"/>
      <w:marTop w:val="0"/>
      <w:marBottom w:val="0"/>
      <w:divBdr>
        <w:top w:val="none" w:sz="0" w:space="0" w:color="auto"/>
        <w:left w:val="none" w:sz="0" w:space="0" w:color="auto"/>
        <w:bottom w:val="none" w:sz="0" w:space="0" w:color="auto"/>
        <w:right w:val="none" w:sz="0" w:space="0" w:color="auto"/>
      </w:divBdr>
    </w:div>
    <w:div w:id="1017388694">
      <w:bodyDiv w:val="1"/>
      <w:marLeft w:val="0"/>
      <w:marRight w:val="0"/>
      <w:marTop w:val="0"/>
      <w:marBottom w:val="0"/>
      <w:divBdr>
        <w:top w:val="none" w:sz="0" w:space="0" w:color="auto"/>
        <w:left w:val="none" w:sz="0" w:space="0" w:color="auto"/>
        <w:bottom w:val="none" w:sz="0" w:space="0" w:color="auto"/>
        <w:right w:val="none" w:sz="0" w:space="0" w:color="auto"/>
      </w:divBdr>
    </w:div>
    <w:div w:id="1017539665">
      <w:bodyDiv w:val="1"/>
      <w:marLeft w:val="0"/>
      <w:marRight w:val="0"/>
      <w:marTop w:val="0"/>
      <w:marBottom w:val="0"/>
      <w:divBdr>
        <w:top w:val="none" w:sz="0" w:space="0" w:color="auto"/>
        <w:left w:val="none" w:sz="0" w:space="0" w:color="auto"/>
        <w:bottom w:val="none" w:sz="0" w:space="0" w:color="auto"/>
        <w:right w:val="none" w:sz="0" w:space="0" w:color="auto"/>
      </w:divBdr>
    </w:div>
    <w:div w:id="1017541193">
      <w:bodyDiv w:val="1"/>
      <w:marLeft w:val="0"/>
      <w:marRight w:val="0"/>
      <w:marTop w:val="0"/>
      <w:marBottom w:val="0"/>
      <w:divBdr>
        <w:top w:val="none" w:sz="0" w:space="0" w:color="auto"/>
        <w:left w:val="none" w:sz="0" w:space="0" w:color="auto"/>
        <w:bottom w:val="none" w:sz="0" w:space="0" w:color="auto"/>
        <w:right w:val="none" w:sz="0" w:space="0" w:color="auto"/>
      </w:divBdr>
    </w:div>
    <w:div w:id="1017581648">
      <w:bodyDiv w:val="1"/>
      <w:marLeft w:val="0"/>
      <w:marRight w:val="0"/>
      <w:marTop w:val="0"/>
      <w:marBottom w:val="0"/>
      <w:divBdr>
        <w:top w:val="none" w:sz="0" w:space="0" w:color="auto"/>
        <w:left w:val="none" w:sz="0" w:space="0" w:color="auto"/>
        <w:bottom w:val="none" w:sz="0" w:space="0" w:color="auto"/>
        <w:right w:val="none" w:sz="0" w:space="0" w:color="auto"/>
      </w:divBdr>
    </w:div>
    <w:div w:id="1017653481">
      <w:bodyDiv w:val="1"/>
      <w:marLeft w:val="0"/>
      <w:marRight w:val="0"/>
      <w:marTop w:val="0"/>
      <w:marBottom w:val="0"/>
      <w:divBdr>
        <w:top w:val="none" w:sz="0" w:space="0" w:color="auto"/>
        <w:left w:val="none" w:sz="0" w:space="0" w:color="auto"/>
        <w:bottom w:val="none" w:sz="0" w:space="0" w:color="auto"/>
        <w:right w:val="none" w:sz="0" w:space="0" w:color="auto"/>
      </w:divBdr>
    </w:div>
    <w:div w:id="1017654712">
      <w:bodyDiv w:val="1"/>
      <w:marLeft w:val="0"/>
      <w:marRight w:val="0"/>
      <w:marTop w:val="0"/>
      <w:marBottom w:val="0"/>
      <w:divBdr>
        <w:top w:val="none" w:sz="0" w:space="0" w:color="auto"/>
        <w:left w:val="none" w:sz="0" w:space="0" w:color="auto"/>
        <w:bottom w:val="none" w:sz="0" w:space="0" w:color="auto"/>
        <w:right w:val="none" w:sz="0" w:space="0" w:color="auto"/>
      </w:divBdr>
    </w:div>
    <w:div w:id="1017657218">
      <w:bodyDiv w:val="1"/>
      <w:marLeft w:val="0"/>
      <w:marRight w:val="0"/>
      <w:marTop w:val="0"/>
      <w:marBottom w:val="0"/>
      <w:divBdr>
        <w:top w:val="none" w:sz="0" w:space="0" w:color="auto"/>
        <w:left w:val="none" w:sz="0" w:space="0" w:color="auto"/>
        <w:bottom w:val="none" w:sz="0" w:space="0" w:color="auto"/>
        <w:right w:val="none" w:sz="0" w:space="0" w:color="auto"/>
      </w:divBdr>
    </w:div>
    <w:div w:id="1017728739">
      <w:bodyDiv w:val="1"/>
      <w:marLeft w:val="0"/>
      <w:marRight w:val="0"/>
      <w:marTop w:val="0"/>
      <w:marBottom w:val="0"/>
      <w:divBdr>
        <w:top w:val="none" w:sz="0" w:space="0" w:color="auto"/>
        <w:left w:val="none" w:sz="0" w:space="0" w:color="auto"/>
        <w:bottom w:val="none" w:sz="0" w:space="0" w:color="auto"/>
        <w:right w:val="none" w:sz="0" w:space="0" w:color="auto"/>
      </w:divBdr>
    </w:div>
    <w:div w:id="1017847941">
      <w:bodyDiv w:val="1"/>
      <w:marLeft w:val="0"/>
      <w:marRight w:val="0"/>
      <w:marTop w:val="0"/>
      <w:marBottom w:val="0"/>
      <w:divBdr>
        <w:top w:val="none" w:sz="0" w:space="0" w:color="auto"/>
        <w:left w:val="none" w:sz="0" w:space="0" w:color="auto"/>
        <w:bottom w:val="none" w:sz="0" w:space="0" w:color="auto"/>
        <w:right w:val="none" w:sz="0" w:space="0" w:color="auto"/>
      </w:divBdr>
    </w:div>
    <w:div w:id="1017851410">
      <w:bodyDiv w:val="1"/>
      <w:marLeft w:val="0"/>
      <w:marRight w:val="0"/>
      <w:marTop w:val="0"/>
      <w:marBottom w:val="0"/>
      <w:divBdr>
        <w:top w:val="none" w:sz="0" w:space="0" w:color="auto"/>
        <w:left w:val="none" w:sz="0" w:space="0" w:color="auto"/>
        <w:bottom w:val="none" w:sz="0" w:space="0" w:color="auto"/>
        <w:right w:val="none" w:sz="0" w:space="0" w:color="auto"/>
      </w:divBdr>
    </w:div>
    <w:div w:id="1017923356">
      <w:bodyDiv w:val="1"/>
      <w:marLeft w:val="0"/>
      <w:marRight w:val="0"/>
      <w:marTop w:val="0"/>
      <w:marBottom w:val="0"/>
      <w:divBdr>
        <w:top w:val="none" w:sz="0" w:space="0" w:color="auto"/>
        <w:left w:val="none" w:sz="0" w:space="0" w:color="auto"/>
        <w:bottom w:val="none" w:sz="0" w:space="0" w:color="auto"/>
        <w:right w:val="none" w:sz="0" w:space="0" w:color="auto"/>
      </w:divBdr>
    </w:div>
    <w:div w:id="1017925906">
      <w:bodyDiv w:val="1"/>
      <w:marLeft w:val="0"/>
      <w:marRight w:val="0"/>
      <w:marTop w:val="0"/>
      <w:marBottom w:val="0"/>
      <w:divBdr>
        <w:top w:val="none" w:sz="0" w:space="0" w:color="auto"/>
        <w:left w:val="none" w:sz="0" w:space="0" w:color="auto"/>
        <w:bottom w:val="none" w:sz="0" w:space="0" w:color="auto"/>
        <w:right w:val="none" w:sz="0" w:space="0" w:color="auto"/>
      </w:divBdr>
    </w:div>
    <w:div w:id="1018041967">
      <w:bodyDiv w:val="1"/>
      <w:marLeft w:val="0"/>
      <w:marRight w:val="0"/>
      <w:marTop w:val="0"/>
      <w:marBottom w:val="0"/>
      <w:divBdr>
        <w:top w:val="none" w:sz="0" w:space="0" w:color="auto"/>
        <w:left w:val="none" w:sz="0" w:space="0" w:color="auto"/>
        <w:bottom w:val="none" w:sz="0" w:space="0" w:color="auto"/>
        <w:right w:val="none" w:sz="0" w:space="0" w:color="auto"/>
      </w:divBdr>
    </w:div>
    <w:div w:id="1018045172">
      <w:bodyDiv w:val="1"/>
      <w:marLeft w:val="0"/>
      <w:marRight w:val="0"/>
      <w:marTop w:val="0"/>
      <w:marBottom w:val="0"/>
      <w:divBdr>
        <w:top w:val="none" w:sz="0" w:space="0" w:color="auto"/>
        <w:left w:val="none" w:sz="0" w:space="0" w:color="auto"/>
        <w:bottom w:val="none" w:sz="0" w:space="0" w:color="auto"/>
        <w:right w:val="none" w:sz="0" w:space="0" w:color="auto"/>
      </w:divBdr>
    </w:div>
    <w:div w:id="1018117137">
      <w:bodyDiv w:val="1"/>
      <w:marLeft w:val="0"/>
      <w:marRight w:val="0"/>
      <w:marTop w:val="0"/>
      <w:marBottom w:val="0"/>
      <w:divBdr>
        <w:top w:val="none" w:sz="0" w:space="0" w:color="auto"/>
        <w:left w:val="none" w:sz="0" w:space="0" w:color="auto"/>
        <w:bottom w:val="none" w:sz="0" w:space="0" w:color="auto"/>
        <w:right w:val="none" w:sz="0" w:space="0" w:color="auto"/>
      </w:divBdr>
    </w:div>
    <w:div w:id="1018117945">
      <w:bodyDiv w:val="1"/>
      <w:marLeft w:val="0"/>
      <w:marRight w:val="0"/>
      <w:marTop w:val="0"/>
      <w:marBottom w:val="0"/>
      <w:divBdr>
        <w:top w:val="none" w:sz="0" w:space="0" w:color="auto"/>
        <w:left w:val="none" w:sz="0" w:space="0" w:color="auto"/>
        <w:bottom w:val="none" w:sz="0" w:space="0" w:color="auto"/>
        <w:right w:val="none" w:sz="0" w:space="0" w:color="auto"/>
      </w:divBdr>
    </w:div>
    <w:div w:id="1018122835">
      <w:bodyDiv w:val="1"/>
      <w:marLeft w:val="0"/>
      <w:marRight w:val="0"/>
      <w:marTop w:val="0"/>
      <w:marBottom w:val="0"/>
      <w:divBdr>
        <w:top w:val="none" w:sz="0" w:space="0" w:color="auto"/>
        <w:left w:val="none" w:sz="0" w:space="0" w:color="auto"/>
        <w:bottom w:val="none" w:sz="0" w:space="0" w:color="auto"/>
        <w:right w:val="none" w:sz="0" w:space="0" w:color="auto"/>
      </w:divBdr>
    </w:div>
    <w:div w:id="1018388135">
      <w:bodyDiv w:val="1"/>
      <w:marLeft w:val="0"/>
      <w:marRight w:val="0"/>
      <w:marTop w:val="0"/>
      <w:marBottom w:val="0"/>
      <w:divBdr>
        <w:top w:val="none" w:sz="0" w:space="0" w:color="auto"/>
        <w:left w:val="none" w:sz="0" w:space="0" w:color="auto"/>
        <w:bottom w:val="none" w:sz="0" w:space="0" w:color="auto"/>
        <w:right w:val="none" w:sz="0" w:space="0" w:color="auto"/>
      </w:divBdr>
    </w:div>
    <w:div w:id="1018460255">
      <w:bodyDiv w:val="1"/>
      <w:marLeft w:val="0"/>
      <w:marRight w:val="0"/>
      <w:marTop w:val="0"/>
      <w:marBottom w:val="0"/>
      <w:divBdr>
        <w:top w:val="none" w:sz="0" w:space="0" w:color="auto"/>
        <w:left w:val="none" w:sz="0" w:space="0" w:color="auto"/>
        <w:bottom w:val="none" w:sz="0" w:space="0" w:color="auto"/>
        <w:right w:val="none" w:sz="0" w:space="0" w:color="auto"/>
      </w:divBdr>
    </w:div>
    <w:div w:id="1018460706">
      <w:bodyDiv w:val="1"/>
      <w:marLeft w:val="0"/>
      <w:marRight w:val="0"/>
      <w:marTop w:val="0"/>
      <w:marBottom w:val="0"/>
      <w:divBdr>
        <w:top w:val="none" w:sz="0" w:space="0" w:color="auto"/>
        <w:left w:val="none" w:sz="0" w:space="0" w:color="auto"/>
        <w:bottom w:val="none" w:sz="0" w:space="0" w:color="auto"/>
        <w:right w:val="none" w:sz="0" w:space="0" w:color="auto"/>
      </w:divBdr>
    </w:div>
    <w:div w:id="1018505465">
      <w:bodyDiv w:val="1"/>
      <w:marLeft w:val="0"/>
      <w:marRight w:val="0"/>
      <w:marTop w:val="0"/>
      <w:marBottom w:val="0"/>
      <w:divBdr>
        <w:top w:val="none" w:sz="0" w:space="0" w:color="auto"/>
        <w:left w:val="none" w:sz="0" w:space="0" w:color="auto"/>
        <w:bottom w:val="none" w:sz="0" w:space="0" w:color="auto"/>
        <w:right w:val="none" w:sz="0" w:space="0" w:color="auto"/>
      </w:divBdr>
    </w:div>
    <w:div w:id="1018508774">
      <w:bodyDiv w:val="1"/>
      <w:marLeft w:val="0"/>
      <w:marRight w:val="0"/>
      <w:marTop w:val="0"/>
      <w:marBottom w:val="0"/>
      <w:divBdr>
        <w:top w:val="none" w:sz="0" w:space="0" w:color="auto"/>
        <w:left w:val="none" w:sz="0" w:space="0" w:color="auto"/>
        <w:bottom w:val="none" w:sz="0" w:space="0" w:color="auto"/>
        <w:right w:val="none" w:sz="0" w:space="0" w:color="auto"/>
      </w:divBdr>
    </w:div>
    <w:div w:id="1018627210">
      <w:bodyDiv w:val="1"/>
      <w:marLeft w:val="0"/>
      <w:marRight w:val="0"/>
      <w:marTop w:val="0"/>
      <w:marBottom w:val="0"/>
      <w:divBdr>
        <w:top w:val="none" w:sz="0" w:space="0" w:color="auto"/>
        <w:left w:val="none" w:sz="0" w:space="0" w:color="auto"/>
        <w:bottom w:val="none" w:sz="0" w:space="0" w:color="auto"/>
        <w:right w:val="none" w:sz="0" w:space="0" w:color="auto"/>
      </w:divBdr>
    </w:div>
    <w:div w:id="1018777871">
      <w:bodyDiv w:val="1"/>
      <w:marLeft w:val="0"/>
      <w:marRight w:val="0"/>
      <w:marTop w:val="0"/>
      <w:marBottom w:val="0"/>
      <w:divBdr>
        <w:top w:val="none" w:sz="0" w:space="0" w:color="auto"/>
        <w:left w:val="none" w:sz="0" w:space="0" w:color="auto"/>
        <w:bottom w:val="none" w:sz="0" w:space="0" w:color="auto"/>
        <w:right w:val="none" w:sz="0" w:space="0" w:color="auto"/>
      </w:divBdr>
    </w:div>
    <w:div w:id="1018848236">
      <w:bodyDiv w:val="1"/>
      <w:marLeft w:val="0"/>
      <w:marRight w:val="0"/>
      <w:marTop w:val="0"/>
      <w:marBottom w:val="0"/>
      <w:divBdr>
        <w:top w:val="none" w:sz="0" w:space="0" w:color="auto"/>
        <w:left w:val="none" w:sz="0" w:space="0" w:color="auto"/>
        <w:bottom w:val="none" w:sz="0" w:space="0" w:color="auto"/>
        <w:right w:val="none" w:sz="0" w:space="0" w:color="auto"/>
      </w:divBdr>
    </w:div>
    <w:div w:id="1019088476">
      <w:bodyDiv w:val="1"/>
      <w:marLeft w:val="0"/>
      <w:marRight w:val="0"/>
      <w:marTop w:val="0"/>
      <w:marBottom w:val="0"/>
      <w:divBdr>
        <w:top w:val="none" w:sz="0" w:space="0" w:color="auto"/>
        <w:left w:val="none" w:sz="0" w:space="0" w:color="auto"/>
        <w:bottom w:val="none" w:sz="0" w:space="0" w:color="auto"/>
        <w:right w:val="none" w:sz="0" w:space="0" w:color="auto"/>
      </w:divBdr>
    </w:div>
    <w:div w:id="1019090525">
      <w:bodyDiv w:val="1"/>
      <w:marLeft w:val="0"/>
      <w:marRight w:val="0"/>
      <w:marTop w:val="0"/>
      <w:marBottom w:val="0"/>
      <w:divBdr>
        <w:top w:val="none" w:sz="0" w:space="0" w:color="auto"/>
        <w:left w:val="none" w:sz="0" w:space="0" w:color="auto"/>
        <w:bottom w:val="none" w:sz="0" w:space="0" w:color="auto"/>
        <w:right w:val="none" w:sz="0" w:space="0" w:color="auto"/>
      </w:divBdr>
    </w:div>
    <w:div w:id="1019162218">
      <w:bodyDiv w:val="1"/>
      <w:marLeft w:val="0"/>
      <w:marRight w:val="0"/>
      <w:marTop w:val="0"/>
      <w:marBottom w:val="0"/>
      <w:divBdr>
        <w:top w:val="none" w:sz="0" w:space="0" w:color="auto"/>
        <w:left w:val="none" w:sz="0" w:space="0" w:color="auto"/>
        <w:bottom w:val="none" w:sz="0" w:space="0" w:color="auto"/>
        <w:right w:val="none" w:sz="0" w:space="0" w:color="auto"/>
      </w:divBdr>
    </w:div>
    <w:div w:id="1019357003">
      <w:bodyDiv w:val="1"/>
      <w:marLeft w:val="0"/>
      <w:marRight w:val="0"/>
      <w:marTop w:val="0"/>
      <w:marBottom w:val="0"/>
      <w:divBdr>
        <w:top w:val="none" w:sz="0" w:space="0" w:color="auto"/>
        <w:left w:val="none" w:sz="0" w:space="0" w:color="auto"/>
        <w:bottom w:val="none" w:sz="0" w:space="0" w:color="auto"/>
        <w:right w:val="none" w:sz="0" w:space="0" w:color="auto"/>
      </w:divBdr>
    </w:div>
    <w:div w:id="1019508307">
      <w:bodyDiv w:val="1"/>
      <w:marLeft w:val="0"/>
      <w:marRight w:val="0"/>
      <w:marTop w:val="0"/>
      <w:marBottom w:val="0"/>
      <w:divBdr>
        <w:top w:val="none" w:sz="0" w:space="0" w:color="auto"/>
        <w:left w:val="none" w:sz="0" w:space="0" w:color="auto"/>
        <w:bottom w:val="none" w:sz="0" w:space="0" w:color="auto"/>
        <w:right w:val="none" w:sz="0" w:space="0" w:color="auto"/>
      </w:divBdr>
    </w:div>
    <w:div w:id="1019552719">
      <w:bodyDiv w:val="1"/>
      <w:marLeft w:val="0"/>
      <w:marRight w:val="0"/>
      <w:marTop w:val="0"/>
      <w:marBottom w:val="0"/>
      <w:divBdr>
        <w:top w:val="none" w:sz="0" w:space="0" w:color="auto"/>
        <w:left w:val="none" w:sz="0" w:space="0" w:color="auto"/>
        <w:bottom w:val="none" w:sz="0" w:space="0" w:color="auto"/>
        <w:right w:val="none" w:sz="0" w:space="0" w:color="auto"/>
      </w:divBdr>
    </w:div>
    <w:div w:id="1019623327">
      <w:bodyDiv w:val="1"/>
      <w:marLeft w:val="0"/>
      <w:marRight w:val="0"/>
      <w:marTop w:val="0"/>
      <w:marBottom w:val="0"/>
      <w:divBdr>
        <w:top w:val="none" w:sz="0" w:space="0" w:color="auto"/>
        <w:left w:val="none" w:sz="0" w:space="0" w:color="auto"/>
        <w:bottom w:val="none" w:sz="0" w:space="0" w:color="auto"/>
        <w:right w:val="none" w:sz="0" w:space="0" w:color="auto"/>
      </w:divBdr>
    </w:div>
    <w:div w:id="1019624700">
      <w:bodyDiv w:val="1"/>
      <w:marLeft w:val="0"/>
      <w:marRight w:val="0"/>
      <w:marTop w:val="0"/>
      <w:marBottom w:val="0"/>
      <w:divBdr>
        <w:top w:val="none" w:sz="0" w:space="0" w:color="auto"/>
        <w:left w:val="none" w:sz="0" w:space="0" w:color="auto"/>
        <w:bottom w:val="none" w:sz="0" w:space="0" w:color="auto"/>
        <w:right w:val="none" w:sz="0" w:space="0" w:color="auto"/>
      </w:divBdr>
    </w:div>
    <w:div w:id="1019624885">
      <w:bodyDiv w:val="1"/>
      <w:marLeft w:val="0"/>
      <w:marRight w:val="0"/>
      <w:marTop w:val="0"/>
      <w:marBottom w:val="0"/>
      <w:divBdr>
        <w:top w:val="none" w:sz="0" w:space="0" w:color="auto"/>
        <w:left w:val="none" w:sz="0" w:space="0" w:color="auto"/>
        <w:bottom w:val="none" w:sz="0" w:space="0" w:color="auto"/>
        <w:right w:val="none" w:sz="0" w:space="0" w:color="auto"/>
      </w:divBdr>
    </w:div>
    <w:div w:id="1019702841">
      <w:bodyDiv w:val="1"/>
      <w:marLeft w:val="0"/>
      <w:marRight w:val="0"/>
      <w:marTop w:val="0"/>
      <w:marBottom w:val="0"/>
      <w:divBdr>
        <w:top w:val="none" w:sz="0" w:space="0" w:color="auto"/>
        <w:left w:val="none" w:sz="0" w:space="0" w:color="auto"/>
        <w:bottom w:val="none" w:sz="0" w:space="0" w:color="auto"/>
        <w:right w:val="none" w:sz="0" w:space="0" w:color="auto"/>
      </w:divBdr>
    </w:div>
    <w:div w:id="1019744597">
      <w:bodyDiv w:val="1"/>
      <w:marLeft w:val="0"/>
      <w:marRight w:val="0"/>
      <w:marTop w:val="0"/>
      <w:marBottom w:val="0"/>
      <w:divBdr>
        <w:top w:val="none" w:sz="0" w:space="0" w:color="auto"/>
        <w:left w:val="none" w:sz="0" w:space="0" w:color="auto"/>
        <w:bottom w:val="none" w:sz="0" w:space="0" w:color="auto"/>
        <w:right w:val="none" w:sz="0" w:space="0" w:color="auto"/>
      </w:divBdr>
    </w:div>
    <w:div w:id="1019814083">
      <w:bodyDiv w:val="1"/>
      <w:marLeft w:val="0"/>
      <w:marRight w:val="0"/>
      <w:marTop w:val="0"/>
      <w:marBottom w:val="0"/>
      <w:divBdr>
        <w:top w:val="none" w:sz="0" w:space="0" w:color="auto"/>
        <w:left w:val="none" w:sz="0" w:space="0" w:color="auto"/>
        <w:bottom w:val="none" w:sz="0" w:space="0" w:color="auto"/>
        <w:right w:val="none" w:sz="0" w:space="0" w:color="auto"/>
      </w:divBdr>
    </w:div>
    <w:div w:id="1019963092">
      <w:bodyDiv w:val="1"/>
      <w:marLeft w:val="0"/>
      <w:marRight w:val="0"/>
      <w:marTop w:val="0"/>
      <w:marBottom w:val="0"/>
      <w:divBdr>
        <w:top w:val="none" w:sz="0" w:space="0" w:color="auto"/>
        <w:left w:val="none" w:sz="0" w:space="0" w:color="auto"/>
        <w:bottom w:val="none" w:sz="0" w:space="0" w:color="auto"/>
        <w:right w:val="none" w:sz="0" w:space="0" w:color="auto"/>
      </w:divBdr>
    </w:div>
    <w:div w:id="1020080845">
      <w:bodyDiv w:val="1"/>
      <w:marLeft w:val="0"/>
      <w:marRight w:val="0"/>
      <w:marTop w:val="0"/>
      <w:marBottom w:val="0"/>
      <w:divBdr>
        <w:top w:val="none" w:sz="0" w:space="0" w:color="auto"/>
        <w:left w:val="none" w:sz="0" w:space="0" w:color="auto"/>
        <w:bottom w:val="none" w:sz="0" w:space="0" w:color="auto"/>
        <w:right w:val="none" w:sz="0" w:space="0" w:color="auto"/>
      </w:divBdr>
    </w:div>
    <w:div w:id="1020088005">
      <w:bodyDiv w:val="1"/>
      <w:marLeft w:val="0"/>
      <w:marRight w:val="0"/>
      <w:marTop w:val="0"/>
      <w:marBottom w:val="0"/>
      <w:divBdr>
        <w:top w:val="none" w:sz="0" w:space="0" w:color="auto"/>
        <w:left w:val="none" w:sz="0" w:space="0" w:color="auto"/>
        <w:bottom w:val="none" w:sz="0" w:space="0" w:color="auto"/>
        <w:right w:val="none" w:sz="0" w:space="0" w:color="auto"/>
      </w:divBdr>
    </w:div>
    <w:div w:id="1020161428">
      <w:bodyDiv w:val="1"/>
      <w:marLeft w:val="0"/>
      <w:marRight w:val="0"/>
      <w:marTop w:val="0"/>
      <w:marBottom w:val="0"/>
      <w:divBdr>
        <w:top w:val="none" w:sz="0" w:space="0" w:color="auto"/>
        <w:left w:val="none" w:sz="0" w:space="0" w:color="auto"/>
        <w:bottom w:val="none" w:sz="0" w:space="0" w:color="auto"/>
        <w:right w:val="none" w:sz="0" w:space="0" w:color="auto"/>
      </w:divBdr>
    </w:div>
    <w:div w:id="1020203836">
      <w:bodyDiv w:val="1"/>
      <w:marLeft w:val="0"/>
      <w:marRight w:val="0"/>
      <w:marTop w:val="0"/>
      <w:marBottom w:val="0"/>
      <w:divBdr>
        <w:top w:val="none" w:sz="0" w:space="0" w:color="auto"/>
        <w:left w:val="none" w:sz="0" w:space="0" w:color="auto"/>
        <w:bottom w:val="none" w:sz="0" w:space="0" w:color="auto"/>
        <w:right w:val="none" w:sz="0" w:space="0" w:color="auto"/>
      </w:divBdr>
    </w:div>
    <w:div w:id="1020206887">
      <w:bodyDiv w:val="1"/>
      <w:marLeft w:val="0"/>
      <w:marRight w:val="0"/>
      <w:marTop w:val="0"/>
      <w:marBottom w:val="0"/>
      <w:divBdr>
        <w:top w:val="none" w:sz="0" w:space="0" w:color="auto"/>
        <w:left w:val="none" w:sz="0" w:space="0" w:color="auto"/>
        <w:bottom w:val="none" w:sz="0" w:space="0" w:color="auto"/>
        <w:right w:val="none" w:sz="0" w:space="0" w:color="auto"/>
      </w:divBdr>
    </w:div>
    <w:div w:id="1020275623">
      <w:bodyDiv w:val="1"/>
      <w:marLeft w:val="0"/>
      <w:marRight w:val="0"/>
      <w:marTop w:val="0"/>
      <w:marBottom w:val="0"/>
      <w:divBdr>
        <w:top w:val="none" w:sz="0" w:space="0" w:color="auto"/>
        <w:left w:val="none" w:sz="0" w:space="0" w:color="auto"/>
        <w:bottom w:val="none" w:sz="0" w:space="0" w:color="auto"/>
        <w:right w:val="none" w:sz="0" w:space="0" w:color="auto"/>
      </w:divBdr>
    </w:div>
    <w:div w:id="1020278227">
      <w:bodyDiv w:val="1"/>
      <w:marLeft w:val="0"/>
      <w:marRight w:val="0"/>
      <w:marTop w:val="0"/>
      <w:marBottom w:val="0"/>
      <w:divBdr>
        <w:top w:val="none" w:sz="0" w:space="0" w:color="auto"/>
        <w:left w:val="none" w:sz="0" w:space="0" w:color="auto"/>
        <w:bottom w:val="none" w:sz="0" w:space="0" w:color="auto"/>
        <w:right w:val="none" w:sz="0" w:space="0" w:color="auto"/>
      </w:divBdr>
    </w:div>
    <w:div w:id="1020397623">
      <w:bodyDiv w:val="1"/>
      <w:marLeft w:val="0"/>
      <w:marRight w:val="0"/>
      <w:marTop w:val="0"/>
      <w:marBottom w:val="0"/>
      <w:divBdr>
        <w:top w:val="none" w:sz="0" w:space="0" w:color="auto"/>
        <w:left w:val="none" w:sz="0" w:space="0" w:color="auto"/>
        <w:bottom w:val="none" w:sz="0" w:space="0" w:color="auto"/>
        <w:right w:val="none" w:sz="0" w:space="0" w:color="auto"/>
      </w:divBdr>
    </w:div>
    <w:div w:id="1020548027">
      <w:bodyDiv w:val="1"/>
      <w:marLeft w:val="0"/>
      <w:marRight w:val="0"/>
      <w:marTop w:val="0"/>
      <w:marBottom w:val="0"/>
      <w:divBdr>
        <w:top w:val="none" w:sz="0" w:space="0" w:color="auto"/>
        <w:left w:val="none" w:sz="0" w:space="0" w:color="auto"/>
        <w:bottom w:val="none" w:sz="0" w:space="0" w:color="auto"/>
        <w:right w:val="none" w:sz="0" w:space="0" w:color="auto"/>
      </w:divBdr>
    </w:div>
    <w:div w:id="1020550458">
      <w:bodyDiv w:val="1"/>
      <w:marLeft w:val="0"/>
      <w:marRight w:val="0"/>
      <w:marTop w:val="0"/>
      <w:marBottom w:val="0"/>
      <w:divBdr>
        <w:top w:val="none" w:sz="0" w:space="0" w:color="auto"/>
        <w:left w:val="none" w:sz="0" w:space="0" w:color="auto"/>
        <w:bottom w:val="none" w:sz="0" w:space="0" w:color="auto"/>
        <w:right w:val="none" w:sz="0" w:space="0" w:color="auto"/>
      </w:divBdr>
    </w:div>
    <w:div w:id="1020618084">
      <w:bodyDiv w:val="1"/>
      <w:marLeft w:val="0"/>
      <w:marRight w:val="0"/>
      <w:marTop w:val="0"/>
      <w:marBottom w:val="0"/>
      <w:divBdr>
        <w:top w:val="none" w:sz="0" w:space="0" w:color="auto"/>
        <w:left w:val="none" w:sz="0" w:space="0" w:color="auto"/>
        <w:bottom w:val="none" w:sz="0" w:space="0" w:color="auto"/>
        <w:right w:val="none" w:sz="0" w:space="0" w:color="auto"/>
      </w:divBdr>
    </w:div>
    <w:div w:id="1020857858">
      <w:bodyDiv w:val="1"/>
      <w:marLeft w:val="0"/>
      <w:marRight w:val="0"/>
      <w:marTop w:val="0"/>
      <w:marBottom w:val="0"/>
      <w:divBdr>
        <w:top w:val="none" w:sz="0" w:space="0" w:color="auto"/>
        <w:left w:val="none" w:sz="0" w:space="0" w:color="auto"/>
        <w:bottom w:val="none" w:sz="0" w:space="0" w:color="auto"/>
        <w:right w:val="none" w:sz="0" w:space="0" w:color="auto"/>
      </w:divBdr>
    </w:div>
    <w:div w:id="1021055679">
      <w:bodyDiv w:val="1"/>
      <w:marLeft w:val="0"/>
      <w:marRight w:val="0"/>
      <w:marTop w:val="0"/>
      <w:marBottom w:val="0"/>
      <w:divBdr>
        <w:top w:val="none" w:sz="0" w:space="0" w:color="auto"/>
        <w:left w:val="none" w:sz="0" w:space="0" w:color="auto"/>
        <w:bottom w:val="none" w:sz="0" w:space="0" w:color="auto"/>
        <w:right w:val="none" w:sz="0" w:space="0" w:color="auto"/>
      </w:divBdr>
    </w:div>
    <w:div w:id="1021125040">
      <w:bodyDiv w:val="1"/>
      <w:marLeft w:val="0"/>
      <w:marRight w:val="0"/>
      <w:marTop w:val="0"/>
      <w:marBottom w:val="0"/>
      <w:divBdr>
        <w:top w:val="none" w:sz="0" w:space="0" w:color="auto"/>
        <w:left w:val="none" w:sz="0" w:space="0" w:color="auto"/>
        <w:bottom w:val="none" w:sz="0" w:space="0" w:color="auto"/>
        <w:right w:val="none" w:sz="0" w:space="0" w:color="auto"/>
      </w:divBdr>
    </w:div>
    <w:div w:id="1021127566">
      <w:bodyDiv w:val="1"/>
      <w:marLeft w:val="0"/>
      <w:marRight w:val="0"/>
      <w:marTop w:val="0"/>
      <w:marBottom w:val="0"/>
      <w:divBdr>
        <w:top w:val="none" w:sz="0" w:space="0" w:color="auto"/>
        <w:left w:val="none" w:sz="0" w:space="0" w:color="auto"/>
        <w:bottom w:val="none" w:sz="0" w:space="0" w:color="auto"/>
        <w:right w:val="none" w:sz="0" w:space="0" w:color="auto"/>
      </w:divBdr>
    </w:div>
    <w:div w:id="1021199532">
      <w:bodyDiv w:val="1"/>
      <w:marLeft w:val="0"/>
      <w:marRight w:val="0"/>
      <w:marTop w:val="0"/>
      <w:marBottom w:val="0"/>
      <w:divBdr>
        <w:top w:val="none" w:sz="0" w:space="0" w:color="auto"/>
        <w:left w:val="none" w:sz="0" w:space="0" w:color="auto"/>
        <w:bottom w:val="none" w:sz="0" w:space="0" w:color="auto"/>
        <w:right w:val="none" w:sz="0" w:space="0" w:color="auto"/>
      </w:divBdr>
    </w:div>
    <w:div w:id="1021323727">
      <w:bodyDiv w:val="1"/>
      <w:marLeft w:val="0"/>
      <w:marRight w:val="0"/>
      <w:marTop w:val="0"/>
      <w:marBottom w:val="0"/>
      <w:divBdr>
        <w:top w:val="none" w:sz="0" w:space="0" w:color="auto"/>
        <w:left w:val="none" w:sz="0" w:space="0" w:color="auto"/>
        <w:bottom w:val="none" w:sz="0" w:space="0" w:color="auto"/>
        <w:right w:val="none" w:sz="0" w:space="0" w:color="auto"/>
      </w:divBdr>
    </w:div>
    <w:div w:id="1021399166">
      <w:bodyDiv w:val="1"/>
      <w:marLeft w:val="0"/>
      <w:marRight w:val="0"/>
      <w:marTop w:val="0"/>
      <w:marBottom w:val="0"/>
      <w:divBdr>
        <w:top w:val="none" w:sz="0" w:space="0" w:color="auto"/>
        <w:left w:val="none" w:sz="0" w:space="0" w:color="auto"/>
        <w:bottom w:val="none" w:sz="0" w:space="0" w:color="auto"/>
        <w:right w:val="none" w:sz="0" w:space="0" w:color="auto"/>
      </w:divBdr>
    </w:div>
    <w:div w:id="1021467155">
      <w:bodyDiv w:val="1"/>
      <w:marLeft w:val="0"/>
      <w:marRight w:val="0"/>
      <w:marTop w:val="0"/>
      <w:marBottom w:val="0"/>
      <w:divBdr>
        <w:top w:val="none" w:sz="0" w:space="0" w:color="auto"/>
        <w:left w:val="none" w:sz="0" w:space="0" w:color="auto"/>
        <w:bottom w:val="none" w:sz="0" w:space="0" w:color="auto"/>
        <w:right w:val="none" w:sz="0" w:space="0" w:color="auto"/>
      </w:divBdr>
    </w:div>
    <w:div w:id="1021471228">
      <w:bodyDiv w:val="1"/>
      <w:marLeft w:val="0"/>
      <w:marRight w:val="0"/>
      <w:marTop w:val="0"/>
      <w:marBottom w:val="0"/>
      <w:divBdr>
        <w:top w:val="none" w:sz="0" w:space="0" w:color="auto"/>
        <w:left w:val="none" w:sz="0" w:space="0" w:color="auto"/>
        <w:bottom w:val="none" w:sz="0" w:space="0" w:color="auto"/>
        <w:right w:val="none" w:sz="0" w:space="0" w:color="auto"/>
      </w:divBdr>
    </w:div>
    <w:div w:id="1021475897">
      <w:bodyDiv w:val="1"/>
      <w:marLeft w:val="0"/>
      <w:marRight w:val="0"/>
      <w:marTop w:val="0"/>
      <w:marBottom w:val="0"/>
      <w:divBdr>
        <w:top w:val="none" w:sz="0" w:space="0" w:color="auto"/>
        <w:left w:val="none" w:sz="0" w:space="0" w:color="auto"/>
        <w:bottom w:val="none" w:sz="0" w:space="0" w:color="auto"/>
        <w:right w:val="none" w:sz="0" w:space="0" w:color="auto"/>
      </w:divBdr>
    </w:div>
    <w:div w:id="1021664438">
      <w:bodyDiv w:val="1"/>
      <w:marLeft w:val="0"/>
      <w:marRight w:val="0"/>
      <w:marTop w:val="0"/>
      <w:marBottom w:val="0"/>
      <w:divBdr>
        <w:top w:val="none" w:sz="0" w:space="0" w:color="auto"/>
        <w:left w:val="none" w:sz="0" w:space="0" w:color="auto"/>
        <w:bottom w:val="none" w:sz="0" w:space="0" w:color="auto"/>
        <w:right w:val="none" w:sz="0" w:space="0" w:color="auto"/>
      </w:divBdr>
    </w:div>
    <w:div w:id="1021780010">
      <w:bodyDiv w:val="1"/>
      <w:marLeft w:val="0"/>
      <w:marRight w:val="0"/>
      <w:marTop w:val="0"/>
      <w:marBottom w:val="0"/>
      <w:divBdr>
        <w:top w:val="none" w:sz="0" w:space="0" w:color="auto"/>
        <w:left w:val="none" w:sz="0" w:space="0" w:color="auto"/>
        <w:bottom w:val="none" w:sz="0" w:space="0" w:color="auto"/>
        <w:right w:val="none" w:sz="0" w:space="0" w:color="auto"/>
      </w:divBdr>
    </w:div>
    <w:div w:id="1021783685">
      <w:bodyDiv w:val="1"/>
      <w:marLeft w:val="0"/>
      <w:marRight w:val="0"/>
      <w:marTop w:val="0"/>
      <w:marBottom w:val="0"/>
      <w:divBdr>
        <w:top w:val="none" w:sz="0" w:space="0" w:color="auto"/>
        <w:left w:val="none" w:sz="0" w:space="0" w:color="auto"/>
        <w:bottom w:val="none" w:sz="0" w:space="0" w:color="auto"/>
        <w:right w:val="none" w:sz="0" w:space="0" w:color="auto"/>
      </w:divBdr>
    </w:div>
    <w:div w:id="1021858797">
      <w:bodyDiv w:val="1"/>
      <w:marLeft w:val="0"/>
      <w:marRight w:val="0"/>
      <w:marTop w:val="0"/>
      <w:marBottom w:val="0"/>
      <w:divBdr>
        <w:top w:val="none" w:sz="0" w:space="0" w:color="auto"/>
        <w:left w:val="none" w:sz="0" w:space="0" w:color="auto"/>
        <w:bottom w:val="none" w:sz="0" w:space="0" w:color="auto"/>
        <w:right w:val="none" w:sz="0" w:space="0" w:color="auto"/>
      </w:divBdr>
    </w:div>
    <w:div w:id="1021859484">
      <w:bodyDiv w:val="1"/>
      <w:marLeft w:val="0"/>
      <w:marRight w:val="0"/>
      <w:marTop w:val="0"/>
      <w:marBottom w:val="0"/>
      <w:divBdr>
        <w:top w:val="none" w:sz="0" w:space="0" w:color="auto"/>
        <w:left w:val="none" w:sz="0" w:space="0" w:color="auto"/>
        <w:bottom w:val="none" w:sz="0" w:space="0" w:color="auto"/>
        <w:right w:val="none" w:sz="0" w:space="0" w:color="auto"/>
      </w:divBdr>
    </w:div>
    <w:div w:id="1021860815">
      <w:bodyDiv w:val="1"/>
      <w:marLeft w:val="0"/>
      <w:marRight w:val="0"/>
      <w:marTop w:val="0"/>
      <w:marBottom w:val="0"/>
      <w:divBdr>
        <w:top w:val="none" w:sz="0" w:space="0" w:color="auto"/>
        <w:left w:val="none" w:sz="0" w:space="0" w:color="auto"/>
        <w:bottom w:val="none" w:sz="0" w:space="0" w:color="auto"/>
        <w:right w:val="none" w:sz="0" w:space="0" w:color="auto"/>
      </w:divBdr>
    </w:div>
    <w:div w:id="1021903982">
      <w:bodyDiv w:val="1"/>
      <w:marLeft w:val="0"/>
      <w:marRight w:val="0"/>
      <w:marTop w:val="0"/>
      <w:marBottom w:val="0"/>
      <w:divBdr>
        <w:top w:val="none" w:sz="0" w:space="0" w:color="auto"/>
        <w:left w:val="none" w:sz="0" w:space="0" w:color="auto"/>
        <w:bottom w:val="none" w:sz="0" w:space="0" w:color="auto"/>
        <w:right w:val="none" w:sz="0" w:space="0" w:color="auto"/>
      </w:divBdr>
    </w:div>
    <w:div w:id="1021905191">
      <w:bodyDiv w:val="1"/>
      <w:marLeft w:val="0"/>
      <w:marRight w:val="0"/>
      <w:marTop w:val="0"/>
      <w:marBottom w:val="0"/>
      <w:divBdr>
        <w:top w:val="none" w:sz="0" w:space="0" w:color="auto"/>
        <w:left w:val="none" w:sz="0" w:space="0" w:color="auto"/>
        <w:bottom w:val="none" w:sz="0" w:space="0" w:color="auto"/>
        <w:right w:val="none" w:sz="0" w:space="0" w:color="auto"/>
      </w:divBdr>
    </w:div>
    <w:div w:id="1021929182">
      <w:bodyDiv w:val="1"/>
      <w:marLeft w:val="0"/>
      <w:marRight w:val="0"/>
      <w:marTop w:val="0"/>
      <w:marBottom w:val="0"/>
      <w:divBdr>
        <w:top w:val="none" w:sz="0" w:space="0" w:color="auto"/>
        <w:left w:val="none" w:sz="0" w:space="0" w:color="auto"/>
        <w:bottom w:val="none" w:sz="0" w:space="0" w:color="auto"/>
        <w:right w:val="none" w:sz="0" w:space="0" w:color="auto"/>
      </w:divBdr>
    </w:div>
    <w:div w:id="1021934369">
      <w:bodyDiv w:val="1"/>
      <w:marLeft w:val="0"/>
      <w:marRight w:val="0"/>
      <w:marTop w:val="0"/>
      <w:marBottom w:val="0"/>
      <w:divBdr>
        <w:top w:val="none" w:sz="0" w:space="0" w:color="auto"/>
        <w:left w:val="none" w:sz="0" w:space="0" w:color="auto"/>
        <w:bottom w:val="none" w:sz="0" w:space="0" w:color="auto"/>
        <w:right w:val="none" w:sz="0" w:space="0" w:color="auto"/>
      </w:divBdr>
    </w:div>
    <w:div w:id="1022126805">
      <w:bodyDiv w:val="1"/>
      <w:marLeft w:val="0"/>
      <w:marRight w:val="0"/>
      <w:marTop w:val="0"/>
      <w:marBottom w:val="0"/>
      <w:divBdr>
        <w:top w:val="none" w:sz="0" w:space="0" w:color="auto"/>
        <w:left w:val="none" w:sz="0" w:space="0" w:color="auto"/>
        <w:bottom w:val="none" w:sz="0" w:space="0" w:color="auto"/>
        <w:right w:val="none" w:sz="0" w:space="0" w:color="auto"/>
      </w:divBdr>
    </w:div>
    <w:div w:id="1022127344">
      <w:bodyDiv w:val="1"/>
      <w:marLeft w:val="0"/>
      <w:marRight w:val="0"/>
      <w:marTop w:val="0"/>
      <w:marBottom w:val="0"/>
      <w:divBdr>
        <w:top w:val="none" w:sz="0" w:space="0" w:color="auto"/>
        <w:left w:val="none" w:sz="0" w:space="0" w:color="auto"/>
        <w:bottom w:val="none" w:sz="0" w:space="0" w:color="auto"/>
        <w:right w:val="none" w:sz="0" w:space="0" w:color="auto"/>
      </w:divBdr>
    </w:div>
    <w:div w:id="1022241217">
      <w:bodyDiv w:val="1"/>
      <w:marLeft w:val="0"/>
      <w:marRight w:val="0"/>
      <w:marTop w:val="0"/>
      <w:marBottom w:val="0"/>
      <w:divBdr>
        <w:top w:val="none" w:sz="0" w:space="0" w:color="auto"/>
        <w:left w:val="none" w:sz="0" w:space="0" w:color="auto"/>
        <w:bottom w:val="none" w:sz="0" w:space="0" w:color="auto"/>
        <w:right w:val="none" w:sz="0" w:space="0" w:color="auto"/>
      </w:divBdr>
    </w:div>
    <w:div w:id="1022248189">
      <w:bodyDiv w:val="1"/>
      <w:marLeft w:val="0"/>
      <w:marRight w:val="0"/>
      <w:marTop w:val="0"/>
      <w:marBottom w:val="0"/>
      <w:divBdr>
        <w:top w:val="none" w:sz="0" w:space="0" w:color="auto"/>
        <w:left w:val="none" w:sz="0" w:space="0" w:color="auto"/>
        <w:bottom w:val="none" w:sz="0" w:space="0" w:color="auto"/>
        <w:right w:val="none" w:sz="0" w:space="0" w:color="auto"/>
      </w:divBdr>
    </w:div>
    <w:div w:id="1022316191">
      <w:bodyDiv w:val="1"/>
      <w:marLeft w:val="0"/>
      <w:marRight w:val="0"/>
      <w:marTop w:val="0"/>
      <w:marBottom w:val="0"/>
      <w:divBdr>
        <w:top w:val="none" w:sz="0" w:space="0" w:color="auto"/>
        <w:left w:val="none" w:sz="0" w:space="0" w:color="auto"/>
        <w:bottom w:val="none" w:sz="0" w:space="0" w:color="auto"/>
        <w:right w:val="none" w:sz="0" w:space="0" w:color="auto"/>
      </w:divBdr>
    </w:div>
    <w:div w:id="1022321895">
      <w:bodyDiv w:val="1"/>
      <w:marLeft w:val="0"/>
      <w:marRight w:val="0"/>
      <w:marTop w:val="0"/>
      <w:marBottom w:val="0"/>
      <w:divBdr>
        <w:top w:val="none" w:sz="0" w:space="0" w:color="auto"/>
        <w:left w:val="none" w:sz="0" w:space="0" w:color="auto"/>
        <w:bottom w:val="none" w:sz="0" w:space="0" w:color="auto"/>
        <w:right w:val="none" w:sz="0" w:space="0" w:color="auto"/>
      </w:divBdr>
    </w:div>
    <w:div w:id="1022391209">
      <w:bodyDiv w:val="1"/>
      <w:marLeft w:val="0"/>
      <w:marRight w:val="0"/>
      <w:marTop w:val="0"/>
      <w:marBottom w:val="0"/>
      <w:divBdr>
        <w:top w:val="none" w:sz="0" w:space="0" w:color="auto"/>
        <w:left w:val="none" w:sz="0" w:space="0" w:color="auto"/>
        <w:bottom w:val="none" w:sz="0" w:space="0" w:color="auto"/>
        <w:right w:val="none" w:sz="0" w:space="0" w:color="auto"/>
      </w:divBdr>
    </w:div>
    <w:div w:id="1022440080">
      <w:bodyDiv w:val="1"/>
      <w:marLeft w:val="0"/>
      <w:marRight w:val="0"/>
      <w:marTop w:val="0"/>
      <w:marBottom w:val="0"/>
      <w:divBdr>
        <w:top w:val="none" w:sz="0" w:space="0" w:color="auto"/>
        <w:left w:val="none" w:sz="0" w:space="0" w:color="auto"/>
        <w:bottom w:val="none" w:sz="0" w:space="0" w:color="auto"/>
        <w:right w:val="none" w:sz="0" w:space="0" w:color="auto"/>
      </w:divBdr>
    </w:div>
    <w:div w:id="1022509916">
      <w:bodyDiv w:val="1"/>
      <w:marLeft w:val="0"/>
      <w:marRight w:val="0"/>
      <w:marTop w:val="0"/>
      <w:marBottom w:val="0"/>
      <w:divBdr>
        <w:top w:val="none" w:sz="0" w:space="0" w:color="auto"/>
        <w:left w:val="none" w:sz="0" w:space="0" w:color="auto"/>
        <w:bottom w:val="none" w:sz="0" w:space="0" w:color="auto"/>
        <w:right w:val="none" w:sz="0" w:space="0" w:color="auto"/>
      </w:divBdr>
    </w:div>
    <w:div w:id="1022634165">
      <w:bodyDiv w:val="1"/>
      <w:marLeft w:val="0"/>
      <w:marRight w:val="0"/>
      <w:marTop w:val="0"/>
      <w:marBottom w:val="0"/>
      <w:divBdr>
        <w:top w:val="none" w:sz="0" w:space="0" w:color="auto"/>
        <w:left w:val="none" w:sz="0" w:space="0" w:color="auto"/>
        <w:bottom w:val="none" w:sz="0" w:space="0" w:color="auto"/>
        <w:right w:val="none" w:sz="0" w:space="0" w:color="auto"/>
      </w:divBdr>
    </w:div>
    <w:div w:id="1022704555">
      <w:bodyDiv w:val="1"/>
      <w:marLeft w:val="0"/>
      <w:marRight w:val="0"/>
      <w:marTop w:val="0"/>
      <w:marBottom w:val="0"/>
      <w:divBdr>
        <w:top w:val="none" w:sz="0" w:space="0" w:color="auto"/>
        <w:left w:val="none" w:sz="0" w:space="0" w:color="auto"/>
        <w:bottom w:val="none" w:sz="0" w:space="0" w:color="auto"/>
        <w:right w:val="none" w:sz="0" w:space="0" w:color="auto"/>
      </w:divBdr>
    </w:div>
    <w:div w:id="1022902361">
      <w:bodyDiv w:val="1"/>
      <w:marLeft w:val="0"/>
      <w:marRight w:val="0"/>
      <w:marTop w:val="0"/>
      <w:marBottom w:val="0"/>
      <w:divBdr>
        <w:top w:val="none" w:sz="0" w:space="0" w:color="auto"/>
        <w:left w:val="none" w:sz="0" w:space="0" w:color="auto"/>
        <w:bottom w:val="none" w:sz="0" w:space="0" w:color="auto"/>
        <w:right w:val="none" w:sz="0" w:space="0" w:color="auto"/>
      </w:divBdr>
    </w:div>
    <w:div w:id="1023017051">
      <w:bodyDiv w:val="1"/>
      <w:marLeft w:val="0"/>
      <w:marRight w:val="0"/>
      <w:marTop w:val="0"/>
      <w:marBottom w:val="0"/>
      <w:divBdr>
        <w:top w:val="none" w:sz="0" w:space="0" w:color="auto"/>
        <w:left w:val="none" w:sz="0" w:space="0" w:color="auto"/>
        <w:bottom w:val="none" w:sz="0" w:space="0" w:color="auto"/>
        <w:right w:val="none" w:sz="0" w:space="0" w:color="auto"/>
      </w:divBdr>
    </w:div>
    <w:div w:id="1023166714">
      <w:bodyDiv w:val="1"/>
      <w:marLeft w:val="0"/>
      <w:marRight w:val="0"/>
      <w:marTop w:val="0"/>
      <w:marBottom w:val="0"/>
      <w:divBdr>
        <w:top w:val="none" w:sz="0" w:space="0" w:color="auto"/>
        <w:left w:val="none" w:sz="0" w:space="0" w:color="auto"/>
        <w:bottom w:val="none" w:sz="0" w:space="0" w:color="auto"/>
        <w:right w:val="none" w:sz="0" w:space="0" w:color="auto"/>
      </w:divBdr>
    </w:div>
    <w:div w:id="1023358663">
      <w:bodyDiv w:val="1"/>
      <w:marLeft w:val="0"/>
      <w:marRight w:val="0"/>
      <w:marTop w:val="0"/>
      <w:marBottom w:val="0"/>
      <w:divBdr>
        <w:top w:val="none" w:sz="0" w:space="0" w:color="auto"/>
        <w:left w:val="none" w:sz="0" w:space="0" w:color="auto"/>
        <w:bottom w:val="none" w:sz="0" w:space="0" w:color="auto"/>
        <w:right w:val="none" w:sz="0" w:space="0" w:color="auto"/>
      </w:divBdr>
    </w:div>
    <w:div w:id="1023365055">
      <w:bodyDiv w:val="1"/>
      <w:marLeft w:val="0"/>
      <w:marRight w:val="0"/>
      <w:marTop w:val="0"/>
      <w:marBottom w:val="0"/>
      <w:divBdr>
        <w:top w:val="none" w:sz="0" w:space="0" w:color="auto"/>
        <w:left w:val="none" w:sz="0" w:space="0" w:color="auto"/>
        <w:bottom w:val="none" w:sz="0" w:space="0" w:color="auto"/>
        <w:right w:val="none" w:sz="0" w:space="0" w:color="auto"/>
      </w:divBdr>
    </w:div>
    <w:div w:id="1023365739">
      <w:bodyDiv w:val="1"/>
      <w:marLeft w:val="0"/>
      <w:marRight w:val="0"/>
      <w:marTop w:val="0"/>
      <w:marBottom w:val="0"/>
      <w:divBdr>
        <w:top w:val="none" w:sz="0" w:space="0" w:color="auto"/>
        <w:left w:val="none" w:sz="0" w:space="0" w:color="auto"/>
        <w:bottom w:val="none" w:sz="0" w:space="0" w:color="auto"/>
        <w:right w:val="none" w:sz="0" w:space="0" w:color="auto"/>
      </w:divBdr>
    </w:div>
    <w:div w:id="1023555666">
      <w:bodyDiv w:val="1"/>
      <w:marLeft w:val="0"/>
      <w:marRight w:val="0"/>
      <w:marTop w:val="0"/>
      <w:marBottom w:val="0"/>
      <w:divBdr>
        <w:top w:val="none" w:sz="0" w:space="0" w:color="auto"/>
        <w:left w:val="none" w:sz="0" w:space="0" w:color="auto"/>
        <w:bottom w:val="none" w:sz="0" w:space="0" w:color="auto"/>
        <w:right w:val="none" w:sz="0" w:space="0" w:color="auto"/>
      </w:divBdr>
    </w:div>
    <w:div w:id="1023631220">
      <w:bodyDiv w:val="1"/>
      <w:marLeft w:val="0"/>
      <w:marRight w:val="0"/>
      <w:marTop w:val="0"/>
      <w:marBottom w:val="0"/>
      <w:divBdr>
        <w:top w:val="none" w:sz="0" w:space="0" w:color="auto"/>
        <w:left w:val="none" w:sz="0" w:space="0" w:color="auto"/>
        <w:bottom w:val="none" w:sz="0" w:space="0" w:color="auto"/>
        <w:right w:val="none" w:sz="0" w:space="0" w:color="auto"/>
      </w:divBdr>
    </w:div>
    <w:div w:id="1023635184">
      <w:bodyDiv w:val="1"/>
      <w:marLeft w:val="0"/>
      <w:marRight w:val="0"/>
      <w:marTop w:val="0"/>
      <w:marBottom w:val="0"/>
      <w:divBdr>
        <w:top w:val="none" w:sz="0" w:space="0" w:color="auto"/>
        <w:left w:val="none" w:sz="0" w:space="0" w:color="auto"/>
        <w:bottom w:val="none" w:sz="0" w:space="0" w:color="auto"/>
        <w:right w:val="none" w:sz="0" w:space="0" w:color="auto"/>
      </w:divBdr>
    </w:div>
    <w:div w:id="1023938318">
      <w:bodyDiv w:val="1"/>
      <w:marLeft w:val="0"/>
      <w:marRight w:val="0"/>
      <w:marTop w:val="0"/>
      <w:marBottom w:val="0"/>
      <w:divBdr>
        <w:top w:val="none" w:sz="0" w:space="0" w:color="auto"/>
        <w:left w:val="none" w:sz="0" w:space="0" w:color="auto"/>
        <w:bottom w:val="none" w:sz="0" w:space="0" w:color="auto"/>
        <w:right w:val="none" w:sz="0" w:space="0" w:color="auto"/>
      </w:divBdr>
    </w:div>
    <w:div w:id="1024094167">
      <w:bodyDiv w:val="1"/>
      <w:marLeft w:val="0"/>
      <w:marRight w:val="0"/>
      <w:marTop w:val="0"/>
      <w:marBottom w:val="0"/>
      <w:divBdr>
        <w:top w:val="none" w:sz="0" w:space="0" w:color="auto"/>
        <w:left w:val="none" w:sz="0" w:space="0" w:color="auto"/>
        <w:bottom w:val="none" w:sz="0" w:space="0" w:color="auto"/>
        <w:right w:val="none" w:sz="0" w:space="0" w:color="auto"/>
      </w:divBdr>
    </w:div>
    <w:div w:id="1024097093">
      <w:bodyDiv w:val="1"/>
      <w:marLeft w:val="0"/>
      <w:marRight w:val="0"/>
      <w:marTop w:val="0"/>
      <w:marBottom w:val="0"/>
      <w:divBdr>
        <w:top w:val="none" w:sz="0" w:space="0" w:color="auto"/>
        <w:left w:val="none" w:sz="0" w:space="0" w:color="auto"/>
        <w:bottom w:val="none" w:sz="0" w:space="0" w:color="auto"/>
        <w:right w:val="none" w:sz="0" w:space="0" w:color="auto"/>
      </w:divBdr>
    </w:div>
    <w:div w:id="1024205868">
      <w:bodyDiv w:val="1"/>
      <w:marLeft w:val="0"/>
      <w:marRight w:val="0"/>
      <w:marTop w:val="0"/>
      <w:marBottom w:val="0"/>
      <w:divBdr>
        <w:top w:val="none" w:sz="0" w:space="0" w:color="auto"/>
        <w:left w:val="none" w:sz="0" w:space="0" w:color="auto"/>
        <w:bottom w:val="none" w:sz="0" w:space="0" w:color="auto"/>
        <w:right w:val="none" w:sz="0" w:space="0" w:color="auto"/>
      </w:divBdr>
    </w:div>
    <w:div w:id="1024211230">
      <w:bodyDiv w:val="1"/>
      <w:marLeft w:val="0"/>
      <w:marRight w:val="0"/>
      <w:marTop w:val="0"/>
      <w:marBottom w:val="0"/>
      <w:divBdr>
        <w:top w:val="none" w:sz="0" w:space="0" w:color="auto"/>
        <w:left w:val="none" w:sz="0" w:space="0" w:color="auto"/>
        <w:bottom w:val="none" w:sz="0" w:space="0" w:color="auto"/>
        <w:right w:val="none" w:sz="0" w:space="0" w:color="auto"/>
      </w:divBdr>
    </w:div>
    <w:div w:id="1024329952">
      <w:bodyDiv w:val="1"/>
      <w:marLeft w:val="0"/>
      <w:marRight w:val="0"/>
      <w:marTop w:val="0"/>
      <w:marBottom w:val="0"/>
      <w:divBdr>
        <w:top w:val="none" w:sz="0" w:space="0" w:color="auto"/>
        <w:left w:val="none" w:sz="0" w:space="0" w:color="auto"/>
        <w:bottom w:val="none" w:sz="0" w:space="0" w:color="auto"/>
        <w:right w:val="none" w:sz="0" w:space="0" w:color="auto"/>
      </w:divBdr>
    </w:div>
    <w:div w:id="1024330442">
      <w:bodyDiv w:val="1"/>
      <w:marLeft w:val="0"/>
      <w:marRight w:val="0"/>
      <w:marTop w:val="0"/>
      <w:marBottom w:val="0"/>
      <w:divBdr>
        <w:top w:val="none" w:sz="0" w:space="0" w:color="auto"/>
        <w:left w:val="none" w:sz="0" w:space="0" w:color="auto"/>
        <w:bottom w:val="none" w:sz="0" w:space="0" w:color="auto"/>
        <w:right w:val="none" w:sz="0" w:space="0" w:color="auto"/>
      </w:divBdr>
    </w:div>
    <w:div w:id="1024480575">
      <w:bodyDiv w:val="1"/>
      <w:marLeft w:val="0"/>
      <w:marRight w:val="0"/>
      <w:marTop w:val="0"/>
      <w:marBottom w:val="0"/>
      <w:divBdr>
        <w:top w:val="none" w:sz="0" w:space="0" w:color="auto"/>
        <w:left w:val="none" w:sz="0" w:space="0" w:color="auto"/>
        <w:bottom w:val="none" w:sz="0" w:space="0" w:color="auto"/>
        <w:right w:val="none" w:sz="0" w:space="0" w:color="auto"/>
      </w:divBdr>
    </w:div>
    <w:div w:id="1024551984">
      <w:bodyDiv w:val="1"/>
      <w:marLeft w:val="0"/>
      <w:marRight w:val="0"/>
      <w:marTop w:val="0"/>
      <w:marBottom w:val="0"/>
      <w:divBdr>
        <w:top w:val="none" w:sz="0" w:space="0" w:color="auto"/>
        <w:left w:val="none" w:sz="0" w:space="0" w:color="auto"/>
        <w:bottom w:val="none" w:sz="0" w:space="0" w:color="auto"/>
        <w:right w:val="none" w:sz="0" w:space="0" w:color="auto"/>
      </w:divBdr>
    </w:div>
    <w:div w:id="1024747907">
      <w:bodyDiv w:val="1"/>
      <w:marLeft w:val="0"/>
      <w:marRight w:val="0"/>
      <w:marTop w:val="0"/>
      <w:marBottom w:val="0"/>
      <w:divBdr>
        <w:top w:val="none" w:sz="0" w:space="0" w:color="auto"/>
        <w:left w:val="none" w:sz="0" w:space="0" w:color="auto"/>
        <w:bottom w:val="none" w:sz="0" w:space="0" w:color="auto"/>
        <w:right w:val="none" w:sz="0" w:space="0" w:color="auto"/>
      </w:divBdr>
    </w:div>
    <w:div w:id="1024749436">
      <w:bodyDiv w:val="1"/>
      <w:marLeft w:val="0"/>
      <w:marRight w:val="0"/>
      <w:marTop w:val="0"/>
      <w:marBottom w:val="0"/>
      <w:divBdr>
        <w:top w:val="none" w:sz="0" w:space="0" w:color="auto"/>
        <w:left w:val="none" w:sz="0" w:space="0" w:color="auto"/>
        <w:bottom w:val="none" w:sz="0" w:space="0" w:color="auto"/>
        <w:right w:val="none" w:sz="0" w:space="0" w:color="auto"/>
      </w:divBdr>
    </w:div>
    <w:div w:id="1024750417">
      <w:bodyDiv w:val="1"/>
      <w:marLeft w:val="0"/>
      <w:marRight w:val="0"/>
      <w:marTop w:val="0"/>
      <w:marBottom w:val="0"/>
      <w:divBdr>
        <w:top w:val="none" w:sz="0" w:space="0" w:color="auto"/>
        <w:left w:val="none" w:sz="0" w:space="0" w:color="auto"/>
        <w:bottom w:val="none" w:sz="0" w:space="0" w:color="auto"/>
        <w:right w:val="none" w:sz="0" w:space="0" w:color="auto"/>
      </w:divBdr>
    </w:div>
    <w:div w:id="1024791687">
      <w:bodyDiv w:val="1"/>
      <w:marLeft w:val="0"/>
      <w:marRight w:val="0"/>
      <w:marTop w:val="0"/>
      <w:marBottom w:val="0"/>
      <w:divBdr>
        <w:top w:val="none" w:sz="0" w:space="0" w:color="auto"/>
        <w:left w:val="none" w:sz="0" w:space="0" w:color="auto"/>
        <w:bottom w:val="none" w:sz="0" w:space="0" w:color="auto"/>
        <w:right w:val="none" w:sz="0" w:space="0" w:color="auto"/>
      </w:divBdr>
    </w:div>
    <w:div w:id="1024938067">
      <w:bodyDiv w:val="1"/>
      <w:marLeft w:val="0"/>
      <w:marRight w:val="0"/>
      <w:marTop w:val="0"/>
      <w:marBottom w:val="0"/>
      <w:divBdr>
        <w:top w:val="none" w:sz="0" w:space="0" w:color="auto"/>
        <w:left w:val="none" w:sz="0" w:space="0" w:color="auto"/>
        <w:bottom w:val="none" w:sz="0" w:space="0" w:color="auto"/>
        <w:right w:val="none" w:sz="0" w:space="0" w:color="auto"/>
      </w:divBdr>
    </w:div>
    <w:div w:id="1024938496">
      <w:bodyDiv w:val="1"/>
      <w:marLeft w:val="0"/>
      <w:marRight w:val="0"/>
      <w:marTop w:val="0"/>
      <w:marBottom w:val="0"/>
      <w:divBdr>
        <w:top w:val="none" w:sz="0" w:space="0" w:color="auto"/>
        <w:left w:val="none" w:sz="0" w:space="0" w:color="auto"/>
        <w:bottom w:val="none" w:sz="0" w:space="0" w:color="auto"/>
        <w:right w:val="none" w:sz="0" w:space="0" w:color="auto"/>
      </w:divBdr>
    </w:div>
    <w:div w:id="1025210379">
      <w:bodyDiv w:val="1"/>
      <w:marLeft w:val="0"/>
      <w:marRight w:val="0"/>
      <w:marTop w:val="0"/>
      <w:marBottom w:val="0"/>
      <w:divBdr>
        <w:top w:val="none" w:sz="0" w:space="0" w:color="auto"/>
        <w:left w:val="none" w:sz="0" w:space="0" w:color="auto"/>
        <w:bottom w:val="none" w:sz="0" w:space="0" w:color="auto"/>
        <w:right w:val="none" w:sz="0" w:space="0" w:color="auto"/>
      </w:divBdr>
    </w:div>
    <w:div w:id="1025211974">
      <w:bodyDiv w:val="1"/>
      <w:marLeft w:val="0"/>
      <w:marRight w:val="0"/>
      <w:marTop w:val="0"/>
      <w:marBottom w:val="0"/>
      <w:divBdr>
        <w:top w:val="none" w:sz="0" w:space="0" w:color="auto"/>
        <w:left w:val="none" w:sz="0" w:space="0" w:color="auto"/>
        <w:bottom w:val="none" w:sz="0" w:space="0" w:color="auto"/>
        <w:right w:val="none" w:sz="0" w:space="0" w:color="auto"/>
      </w:divBdr>
    </w:div>
    <w:div w:id="1025252380">
      <w:bodyDiv w:val="1"/>
      <w:marLeft w:val="0"/>
      <w:marRight w:val="0"/>
      <w:marTop w:val="0"/>
      <w:marBottom w:val="0"/>
      <w:divBdr>
        <w:top w:val="none" w:sz="0" w:space="0" w:color="auto"/>
        <w:left w:val="none" w:sz="0" w:space="0" w:color="auto"/>
        <w:bottom w:val="none" w:sz="0" w:space="0" w:color="auto"/>
        <w:right w:val="none" w:sz="0" w:space="0" w:color="auto"/>
      </w:divBdr>
    </w:div>
    <w:div w:id="1025598234">
      <w:bodyDiv w:val="1"/>
      <w:marLeft w:val="0"/>
      <w:marRight w:val="0"/>
      <w:marTop w:val="0"/>
      <w:marBottom w:val="0"/>
      <w:divBdr>
        <w:top w:val="none" w:sz="0" w:space="0" w:color="auto"/>
        <w:left w:val="none" w:sz="0" w:space="0" w:color="auto"/>
        <w:bottom w:val="none" w:sz="0" w:space="0" w:color="auto"/>
        <w:right w:val="none" w:sz="0" w:space="0" w:color="auto"/>
      </w:divBdr>
    </w:div>
    <w:div w:id="1025669616">
      <w:bodyDiv w:val="1"/>
      <w:marLeft w:val="0"/>
      <w:marRight w:val="0"/>
      <w:marTop w:val="0"/>
      <w:marBottom w:val="0"/>
      <w:divBdr>
        <w:top w:val="none" w:sz="0" w:space="0" w:color="auto"/>
        <w:left w:val="none" w:sz="0" w:space="0" w:color="auto"/>
        <w:bottom w:val="none" w:sz="0" w:space="0" w:color="auto"/>
        <w:right w:val="none" w:sz="0" w:space="0" w:color="auto"/>
      </w:divBdr>
    </w:div>
    <w:div w:id="1025712239">
      <w:bodyDiv w:val="1"/>
      <w:marLeft w:val="0"/>
      <w:marRight w:val="0"/>
      <w:marTop w:val="0"/>
      <w:marBottom w:val="0"/>
      <w:divBdr>
        <w:top w:val="none" w:sz="0" w:space="0" w:color="auto"/>
        <w:left w:val="none" w:sz="0" w:space="0" w:color="auto"/>
        <w:bottom w:val="none" w:sz="0" w:space="0" w:color="auto"/>
        <w:right w:val="none" w:sz="0" w:space="0" w:color="auto"/>
      </w:divBdr>
    </w:div>
    <w:div w:id="1025784914">
      <w:bodyDiv w:val="1"/>
      <w:marLeft w:val="0"/>
      <w:marRight w:val="0"/>
      <w:marTop w:val="0"/>
      <w:marBottom w:val="0"/>
      <w:divBdr>
        <w:top w:val="none" w:sz="0" w:space="0" w:color="auto"/>
        <w:left w:val="none" w:sz="0" w:space="0" w:color="auto"/>
        <w:bottom w:val="none" w:sz="0" w:space="0" w:color="auto"/>
        <w:right w:val="none" w:sz="0" w:space="0" w:color="auto"/>
      </w:divBdr>
    </w:div>
    <w:div w:id="1025793704">
      <w:bodyDiv w:val="1"/>
      <w:marLeft w:val="0"/>
      <w:marRight w:val="0"/>
      <w:marTop w:val="0"/>
      <w:marBottom w:val="0"/>
      <w:divBdr>
        <w:top w:val="none" w:sz="0" w:space="0" w:color="auto"/>
        <w:left w:val="none" w:sz="0" w:space="0" w:color="auto"/>
        <w:bottom w:val="none" w:sz="0" w:space="0" w:color="auto"/>
        <w:right w:val="none" w:sz="0" w:space="0" w:color="auto"/>
      </w:divBdr>
    </w:div>
    <w:div w:id="1025794504">
      <w:bodyDiv w:val="1"/>
      <w:marLeft w:val="0"/>
      <w:marRight w:val="0"/>
      <w:marTop w:val="0"/>
      <w:marBottom w:val="0"/>
      <w:divBdr>
        <w:top w:val="none" w:sz="0" w:space="0" w:color="auto"/>
        <w:left w:val="none" w:sz="0" w:space="0" w:color="auto"/>
        <w:bottom w:val="none" w:sz="0" w:space="0" w:color="auto"/>
        <w:right w:val="none" w:sz="0" w:space="0" w:color="auto"/>
      </w:divBdr>
    </w:div>
    <w:div w:id="1025863844">
      <w:bodyDiv w:val="1"/>
      <w:marLeft w:val="0"/>
      <w:marRight w:val="0"/>
      <w:marTop w:val="0"/>
      <w:marBottom w:val="0"/>
      <w:divBdr>
        <w:top w:val="none" w:sz="0" w:space="0" w:color="auto"/>
        <w:left w:val="none" w:sz="0" w:space="0" w:color="auto"/>
        <w:bottom w:val="none" w:sz="0" w:space="0" w:color="auto"/>
        <w:right w:val="none" w:sz="0" w:space="0" w:color="auto"/>
      </w:divBdr>
    </w:div>
    <w:div w:id="1025904958">
      <w:bodyDiv w:val="1"/>
      <w:marLeft w:val="0"/>
      <w:marRight w:val="0"/>
      <w:marTop w:val="0"/>
      <w:marBottom w:val="0"/>
      <w:divBdr>
        <w:top w:val="none" w:sz="0" w:space="0" w:color="auto"/>
        <w:left w:val="none" w:sz="0" w:space="0" w:color="auto"/>
        <w:bottom w:val="none" w:sz="0" w:space="0" w:color="auto"/>
        <w:right w:val="none" w:sz="0" w:space="0" w:color="auto"/>
      </w:divBdr>
    </w:div>
    <w:div w:id="1025905580">
      <w:bodyDiv w:val="1"/>
      <w:marLeft w:val="0"/>
      <w:marRight w:val="0"/>
      <w:marTop w:val="0"/>
      <w:marBottom w:val="0"/>
      <w:divBdr>
        <w:top w:val="none" w:sz="0" w:space="0" w:color="auto"/>
        <w:left w:val="none" w:sz="0" w:space="0" w:color="auto"/>
        <w:bottom w:val="none" w:sz="0" w:space="0" w:color="auto"/>
        <w:right w:val="none" w:sz="0" w:space="0" w:color="auto"/>
      </w:divBdr>
    </w:div>
    <w:div w:id="1025905642">
      <w:bodyDiv w:val="1"/>
      <w:marLeft w:val="0"/>
      <w:marRight w:val="0"/>
      <w:marTop w:val="0"/>
      <w:marBottom w:val="0"/>
      <w:divBdr>
        <w:top w:val="none" w:sz="0" w:space="0" w:color="auto"/>
        <w:left w:val="none" w:sz="0" w:space="0" w:color="auto"/>
        <w:bottom w:val="none" w:sz="0" w:space="0" w:color="auto"/>
        <w:right w:val="none" w:sz="0" w:space="0" w:color="auto"/>
      </w:divBdr>
    </w:div>
    <w:div w:id="1026059881">
      <w:bodyDiv w:val="1"/>
      <w:marLeft w:val="0"/>
      <w:marRight w:val="0"/>
      <w:marTop w:val="0"/>
      <w:marBottom w:val="0"/>
      <w:divBdr>
        <w:top w:val="none" w:sz="0" w:space="0" w:color="auto"/>
        <w:left w:val="none" w:sz="0" w:space="0" w:color="auto"/>
        <w:bottom w:val="none" w:sz="0" w:space="0" w:color="auto"/>
        <w:right w:val="none" w:sz="0" w:space="0" w:color="auto"/>
      </w:divBdr>
    </w:div>
    <w:div w:id="1026100648">
      <w:bodyDiv w:val="1"/>
      <w:marLeft w:val="0"/>
      <w:marRight w:val="0"/>
      <w:marTop w:val="0"/>
      <w:marBottom w:val="0"/>
      <w:divBdr>
        <w:top w:val="none" w:sz="0" w:space="0" w:color="auto"/>
        <w:left w:val="none" w:sz="0" w:space="0" w:color="auto"/>
        <w:bottom w:val="none" w:sz="0" w:space="0" w:color="auto"/>
        <w:right w:val="none" w:sz="0" w:space="0" w:color="auto"/>
      </w:divBdr>
    </w:div>
    <w:div w:id="1026101962">
      <w:bodyDiv w:val="1"/>
      <w:marLeft w:val="0"/>
      <w:marRight w:val="0"/>
      <w:marTop w:val="0"/>
      <w:marBottom w:val="0"/>
      <w:divBdr>
        <w:top w:val="none" w:sz="0" w:space="0" w:color="auto"/>
        <w:left w:val="none" w:sz="0" w:space="0" w:color="auto"/>
        <w:bottom w:val="none" w:sz="0" w:space="0" w:color="auto"/>
        <w:right w:val="none" w:sz="0" w:space="0" w:color="auto"/>
      </w:divBdr>
    </w:div>
    <w:div w:id="1026104386">
      <w:bodyDiv w:val="1"/>
      <w:marLeft w:val="0"/>
      <w:marRight w:val="0"/>
      <w:marTop w:val="0"/>
      <w:marBottom w:val="0"/>
      <w:divBdr>
        <w:top w:val="none" w:sz="0" w:space="0" w:color="auto"/>
        <w:left w:val="none" w:sz="0" w:space="0" w:color="auto"/>
        <w:bottom w:val="none" w:sz="0" w:space="0" w:color="auto"/>
        <w:right w:val="none" w:sz="0" w:space="0" w:color="auto"/>
      </w:divBdr>
    </w:div>
    <w:div w:id="1026174222">
      <w:bodyDiv w:val="1"/>
      <w:marLeft w:val="0"/>
      <w:marRight w:val="0"/>
      <w:marTop w:val="0"/>
      <w:marBottom w:val="0"/>
      <w:divBdr>
        <w:top w:val="none" w:sz="0" w:space="0" w:color="auto"/>
        <w:left w:val="none" w:sz="0" w:space="0" w:color="auto"/>
        <w:bottom w:val="none" w:sz="0" w:space="0" w:color="auto"/>
        <w:right w:val="none" w:sz="0" w:space="0" w:color="auto"/>
      </w:divBdr>
    </w:div>
    <w:div w:id="1026174806">
      <w:bodyDiv w:val="1"/>
      <w:marLeft w:val="0"/>
      <w:marRight w:val="0"/>
      <w:marTop w:val="0"/>
      <w:marBottom w:val="0"/>
      <w:divBdr>
        <w:top w:val="none" w:sz="0" w:space="0" w:color="auto"/>
        <w:left w:val="none" w:sz="0" w:space="0" w:color="auto"/>
        <w:bottom w:val="none" w:sz="0" w:space="0" w:color="auto"/>
        <w:right w:val="none" w:sz="0" w:space="0" w:color="auto"/>
      </w:divBdr>
    </w:div>
    <w:div w:id="1026176045">
      <w:bodyDiv w:val="1"/>
      <w:marLeft w:val="0"/>
      <w:marRight w:val="0"/>
      <w:marTop w:val="0"/>
      <w:marBottom w:val="0"/>
      <w:divBdr>
        <w:top w:val="none" w:sz="0" w:space="0" w:color="auto"/>
        <w:left w:val="none" w:sz="0" w:space="0" w:color="auto"/>
        <w:bottom w:val="none" w:sz="0" w:space="0" w:color="auto"/>
        <w:right w:val="none" w:sz="0" w:space="0" w:color="auto"/>
      </w:divBdr>
    </w:div>
    <w:div w:id="1026449047">
      <w:bodyDiv w:val="1"/>
      <w:marLeft w:val="0"/>
      <w:marRight w:val="0"/>
      <w:marTop w:val="0"/>
      <w:marBottom w:val="0"/>
      <w:divBdr>
        <w:top w:val="none" w:sz="0" w:space="0" w:color="auto"/>
        <w:left w:val="none" w:sz="0" w:space="0" w:color="auto"/>
        <w:bottom w:val="none" w:sz="0" w:space="0" w:color="auto"/>
        <w:right w:val="none" w:sz="0" w:space="0" w:color="auto"/>
      </w:divBdr>
    </w:div>
    <w:div w:id="1026449287">
      <w:bodyDiv w:val="1"/>
      <w:marLeft w:val="0"/>
      <w:marRight w:val="0"/>
      <w:marTop w:val="0"/>
      <w:marBottom w:val="0"/>
      <w:divBdr>
        <w:top w:val="none" w:sz="0" w:space="0" w:color="auto"/>
        <w:left w:val="none" w:sz="0" w:space="0" w:color="auto"/>
        <w:bottom w:val="none" w:sz="0" w:space="0" w:color="auto"/>
        <w:right w:val="none" w:sz="0" w:space="0" w:color="auto"/>
      </w:divBdr>
    </w:div>
    <w:div w:id="1026561588">
      <w:bodyDiv w:val="1"/>
      <w:marLeft w:val="0"/>
      <w:marRight w:val="0"/>
      <w:marTop w:val="0"/>
      <w:marBottom w:val="0"/>
      <w:divBdr>
        <w:top w:val="none" w:sz="0" w:space="0" w:color="auto"/>
        <w:left w:val="none" w:sz="0" w:space="0" w:color="auto"/>
        <w:bottom w:val="none" w:sz="0" w:space="0" w:color="auto"/>
        <w:right w:val="none" w:sz="0" w:space="0" w:color="auto"/>
      </w:divBdr>
    </w:div>
    <w:div w:id="1026566367">
      <w:bodyDiv w:val="1"/>
      <w:marLeft w:val="0"/>
      <w:marRight w:val="0"/>
      <w:marTop w:val="0"/>
      <w:marBottom w:val="0"/>
      <w:divBdr>
        <w:top w:val="none" w:sz="0" w:space="0" w:color="auto"/>
        <w:left w:val="none" w:sz="0" w:space="0" w:color="auto"/>
        <w:bottom w:val="none" w:sz="0" w:space="0" w:color="auto"/>
        <w:right w:val="none" w:sz="0" w:space="0" w:color="auto"/>
      </w:divBdr>
    </w:div>
    <w:div w:id="1026642835">
      <w:bodyDiv w:val="1"/>
      <w:marLeft w:val="0"/>
      <w:marRight w:val="0"/>
      <w:marTop w:val="0"/>
      <w:marBottom w:val="0"/>
      <w:divBdr>
        <w:top w:val="none" w:sz="0" w:space="0" w:color="auto"/>
        <w:left w:val="none" w:sz="0" w:space="0" w:color="auto"/>
        <w:bottom w:val="none" w:sz="0" w:space="0" w:color="auto"/>
        <w:right w:val="none" w:sz="0" w:space="0" w:color="auto"/>
      </w:divBdr>
    </w:div>
    <w:div w:id="1026760699">
      <w:bodyDiv w:val="1"/>
      <w:marLeft w:val="0"/>
      <w:marRight w:val="0"/>
      <w:marTop w:val="0"/>
      <w:marBottom w:val="0"/>
      <w:divBdr>
        <w:top w:val="none" w:sz="0" w:space="0" w:color="auto"/>
        <w:left w:val="none" w:sz="0" w:space="0" w:color="auto"/>
        <w:bottom w:val="none" w:sz="0" w:space="0" w:color="auto"/>
        <w:right w:val="none" w:sz="0" w:space="0" w:color="auto"/>
      </w:divBdr>
    </w:div>
    <w:div w:id="1026828900">
      <w:bodyDiv w:val="1"/>
      <w:marLeft w:val="0"/>
      <w:marRight w:val="0"/>
      <w:marTop w:val="0"/>
      <w:marBottom w:val="0"/>
      <w:divBdr>
        <w:top w:val="none" w:sz="0" w:space="0" w:color="auto"/>
        <w:left w:val="none" w:sz="0" w:space="0" w:color="auto"/>
        <w:bottom w:val="none" w:sz="0" w:space="0" w:color="auto"/>
        <w:right w:val="none" w:sz="0" w:space="0" w:color="auto"/>
      </w:divBdr>
    </w:div>
    <w:div w:id="1026831774">
      <w:bodyDiv w:val="1"/>
      <w:marLeft w:val="0"/>
      <w:marRight w:val="0"/>
      <w:marTop w:val="0"/>
      <w:marBottom w:val="0"/>
      <w:divBdr>
        <w:top w:val="none" w:sz="0" w:space="0" w:color="auto"/>
        <w:left w:val="none" w:sz="0" w:space="0" w:color="auto"/>
        <w:bottom w:val="none" w:sz="0" w:space="0" w:color="auto"/>
        <w:right w:val="none" w:sz="0" w:space="0" w:color="auto"/>
      </w:divBdr>
    </w:div>
    <w:div w:id="1026832314">
      <w:bodyDiv w:val="1"/>
      <w:marLeft w:val="0"/>
      <w:marRight w:val="0"/>
      <w:marTop w:val="0"/>
      <w:marBottom w:val="0"/>
      <w:divBdr>
        <w:top w:val="none" w:sz="0" w:space="0" w:color="auto"/>
        <w:left w:val="none" w:sz="0" w:space="0" w:color="auto"/>
        <w:bottom w:val="none" w:sz="0" w:space="0" w:color="auto"/>
        <w:right w:val="none" w:sz="0" w:space="0" w:color="auto"/>
      </w:divBdr>
    </w:div>
    <w:div w:id="1026907654">
      <w:bodyDiv w:val="1"/>
      <w:marLeft w:val="0"/>
      <w:marRight w:val="0"/>
      <w:marTop w:val="0"/>
      <w:marBottom w:val="0"/>
      <w:divBdr>
        <w:top w:val="none" w:sz="0" w:space="0" w:color="auto"/>
        <w:left w:val="none" w:sz="0" w:space="0" w:color="auto"/>
        <w:bottom w:val="none" w:sz="0" w:space="0" w:color="auto"/>
        <w:right w:val="none" w:sz="0" w:space="0" w:color="auto"/>
      </w:divBdr>
    </w:div>
    <w:div w:id="1026911153">
      <w:bodyDiv w:val="1"/>
      <w:marLeft w:val="0"/>
      <w:marRight w:val="0"/>
      <w:marTop w:val="0"/>
      <w:marBottom w:val="0"/>
      <w:divBdr>
        <w:top w:val="none" w:sz="0" w:space="0" w:color="auto"/>
        <w:left w:val="none" w:sz="0" w:space="0" w:color="auto"/>
        <w:bottom w:val="none" w:sz="0" w:space="0" w:color="auto"/>
        <w:right w:val="none" w:sz="0" w:space="0" w:color="auto"/>
      </w:divBdr>
    </w:div>
    <w:div w:id="1026951930">
      <w:bodyDiv w:val="1"/>
      <w:marLeft w:val="0"/>
      <w:marRight w:val="0"/>
      <w:marTop w:val="0"/>
      <w:marBottom w:val="0"/>
      <w:divBdr>
        <w:top w:val="none" w:sz="0" w:space="0" w:color="auto"/>
        <w:left w:val="none" w:sz="0" w:space="0" w:color="auto"/>
        <w:bottom w:val="none" w:sz="0" w:space="0" w:color="auto"/>
        <w:right w:val="none" w:sz="0" w:space="0" w:color="auto"/>
      </w:divBdr>
    </w:div>
    <w:div w:id="1026980274">
      <w:bodyDiv w:val="1"/>
      <w:marLeft w:val="0"/>
      <w:marRight w:val="0"/>
      <w:marTop w:val="0"/>
      <w:marBottom w:val="0"/>
      <w:divBdr>
        <w:top w:val="none" w:sz="0" w:space="0" w:color="auto"/>
        <w:left w:val="none" w:sz="0" w:space="0" w:color="auto"/>
        <w:bottom w:val="none" w:sz="0" w:space="0" w:color="auto"/>
        <w:right w:val="none" w:sz="0" w:space="0" w:color="auto"/>
      </w:divBdr>
    </w:div>
    <w:div w:id="1027027251">
      <w:bodyDiv w:val="1"/>
      <w:marLeft w:val="0"/>
      <w:marRight w:val="0"/>
      <w:marTop w:val="0"/>
      <w:marBottom w:val="0"/>
      <w:divBdr>
        <w:top w:val="none" w:sz="0" w:space="0" w:color="auto"/>
        <w:left w:val="none" w:sz="0" w:space="0" w:color="auto"/>
        <w:bottom w:val="none" w:sz="0" w:space="0" w:color="auto"/>
        <w:right w:val="none" w:sz="0" w:space="0" w:color="auto"/>
      </w:divBdr>
    </w:div>
    <w:div w:id="1027146959">
      <w:bodyDiv w:val="1"/>
      <w:marLeft w:val="0"/>
      <w:marRight w:val="0"/>
      <w:marTop w:val="0"/>
      <w:marBottom w:val="0"/>
      <w:divBdr>
        <w:top w:val="none" w:sz="0" w:space="0" w:color="auto"/>
        <w:left w:val="none" w:sz="0" w:space="0" w:color="auto"/>
        <w:bottom w:val="none" w:sz="0" w:space="0" w:color="auto"/>
        <w:right w:val="none" w:sz="0" w:space="0" w:color="auto"/>
      </w:divBdr>
    </w:div>
    <w:div w:id="1027218102">
      <w:bodyDiv w:val="1"/>
      <w:marLeft w:val="0"/>
      <w:marRight w:val="0"/>
      <w:marTop w:val="0"/>
      <w:marBottom w:val="0"/>
      <w:divBdr>
        <w:top w:val="none" w:sz="0" w:space="0" w:color="auto"/>
        <w:left w:val="none" w:sz="0" w:space="0" w:color="auto"/>
        <w:bottom w:val="none" w:sz="0" w:space="0" w:color="auto"/>
        <w:right w:val="none" w:sz="0" w:space="0" w:color="auto"/>
      </w:divBdr>
    </w:div>
    <w:div w:id="1027219802">
      <w:bodyDiv w:val="1"/>
      <w:marLeft w:val="0"/>
      <w:marRight w:val="0"/>
      <w:marTop w:val="0"/>
      <w:marBottom w:val="0"/>
      <w:divBdr>
        <w:top w:val="none" w:sz="0" w:space="0" w:color="auto"/>
        <w:left w:val="none" w:sz="0" w:space="0" w:color="auto"/>
        <w:bottom w:val="none" w:sz="0" w:space="0" w:color="auto"/>
        <w:right w:val="none" w:sz="0" w:space="0" w:color="auto"/>
      </w:divBdr>
    </w:div>
    <w:div w:id="1027293246">
      <w:bodyDiv w:val="1"/>
      <w:marLeft w:val="0"/>
      <w:marRight w:val="0"/>
      <w:marTop w:val="0"/>
      <w:marBottom w:val="0"/>
      <w:divBdr>
        <w:top w:val="none" w:sz="0" w:space="0" w:color="auto"/>
        <w:left w:val="none" w:sz="0" w:space="0" w:color="auto"/>
        <w:bottom w:val="none" w:sz="0" w:space="0" w:color="auto"/>
        <w:right w:val="none" w:sz="0" w:space="0" w:color="auto"/>
      </w:divBdr>
    </w:div>
    <w:div w:id="1027365692">
      <w:bodyDiv w:val="1"/>
      <w:marLeft w:val="0"/>
      <w:marRight w:val="0"/>
      <w:marTop w:val="0"/>
      <w:marBottom w:val="0"/>
      <w:divBdr>
        <w:top w:val="none" w:sz="0" w:space="0" w:color="auto"/>
        <w:left w:val="none" w:sz="0" w:space="0" w:color="auto"/>
        <w:bottom w:val="none" w:sz="0" w:space="0" w:color="auto"/>
        <w:right w:val="none" w:sz="0" w:space="0" w:color="auto"/>
      </w:divBdr>
    </w:div>
    <w:div w:id="1027373206">
      <w:bodyDiv w:val="1"/>
      <w:marLeft w:val="0"/>
      <w:marRight w:val="0"/>
      <w:marTop w:val="0"/>
      <w:marBottom w:val="0"/>
      <w:divBdr>
        <w:top w:val="none" w:sz="0" w:space="0" w:color="auto"/>
        <w:left w:val="none" w:sz="0" w:space="0" w:color="auto"/>
        <w:bottom w:val="none" w:sz="0" w:space="0" w:color="auto"/>
        <w:right w:val="none" w:sz="0" w:space="0" w:color="auto"/>
      </w:divBdr>
    </w:div>
    <w:div w:id="1027415185">
      <w:bodyDiv w:val="1"/>
      <w:marLeft w:val="0"/>
      <w:marRight w:val="0"/>
      <w:marTop w:val="0"/>
      <w:marBottom w:val="0"/>
      <w:divBdr>
        <w:top w:val="none" w:sz="0" w:space="0" w:color="auto"/>
        <w:left w:val="none" w:sz="0" w:space="0" w:color="auto"/>
        <w:bottom w:val="none" w:sz="0" w:space="0" w:color="auto"/>
        <w:right w:val="none" w:sz="0" w:space="0" w:color="auto"/>
      </w:divBdr>
    </w:div>
    <w:div w:id="1027487542">
      <w:bodyDiv w:val="1"/>
      <w:marLeft w:val="0"/>
      <w:marRight w:val="0"/>
      <w:marTop w:val="0"/>
      <w:marBottom w:val="0"/>
      <w:divBdr>
        <w:top w:val="none" w:sz="0" w:space="0" w:color="auto"/>
        <w:left w:val="none" w:sz="0" w:space="0" w:color="auto"/>
        <w:bottom w:val="none" w:sz="0" w:space="0" w:color="auto"/>
        <w:right w:val="none" w:sz="0" w:space="0" w:color="auto"/>
      </w:divBdr>
    </w:div>
    <w:div w:id="1027633180">
      <w:bodyDiv w:val="1"/>
      <w:marLeft w:val="0"/>
      <w:marRight w:val="0"/>
      <w:marTop w:val="0"/>
      <w:marBottom w:val="0"/>
      <w:divBdr>
        <w:top w:val="none" w:sz="0" w:space="0" w:color="auto"/>
        <w:left w:val="none" w:sz="0" w:space="0" w:color="auto"/>
        <w:bottom w:val="none" w:sz="0" w:space="0" w:color="auto"/>
        <w:right w:val="none" w:sz="0" w:space="0" w:color="auto"/>
      </w:divBdr>
    </w:div>
    <w:div w:id="1027755776">
      <w:bodyDiv w:val="1"/>
      <w:marLeft w:val="0"/>
      <w:marRight w:val="0"/>
      <w:marTop w:val="0"/>
      <w:marBottom w:val="0"/>
      <w:divBdr>
        <w:top w:val="none" w:sz="0" w:space="0" w:color="auto"/>
        <w:left w:val="none" w:sz="0" w:space="0" w:color="auto"/>
        <w:bottom w:val="none" w:sz="0" w:space="0" w:color="auto"/>
        <w:right w:val="none" w:sz="0" w:space="0" w:color="auto"/>
      </w:divBdr>
    </w:div>
    <w:div w:id="1027869221">
      <w:bodyDiv w:val="1"/>
      <w:marLeft w:val="0"/>
      <w:marRight w:val="0"/>
      <w:marTop w:val="0"/>
      <w:marBottom w:val="0"/>
      <w:divBdr>
        <w:top w:val="none" w:sz="0" w:space="0" w:color="auto"/>
        <w:left w:val="none" w:sz="0" w:space="0" w:color="auto"/>
        <w:bottom w:val="none" w:sz="0" w:space="0" w:color="auto"/>
        <w:right w:val="none" w:sz="0" w:space="0" w:color="auto"/>
      </w:divBdr>
    </w:div>
    <w:div w:id="1027948814">
      <w:bodyDiv w:val="1"/>
      <w:marLeft w:val="0"/>
      <w:marRight w:val="0"/>
      <w:marTop w:val="0"/>
      <w:marBottom w:val="0"/>
      <w:divBdr>
        <w:top w:val="none" w:sz="0" w:space="0" w:color="auto"/>
        <w:left w:val="none" w:sz="0" w:space="0" w:color="auto"/>
        <w:bottom w:val="none" w:sz="0" w:space="0" w:color="auto"/>
        <w:right w:val="none" w:sz="0" w:space="0" w:color="auto"/>
      </w:divBdr>
    </w:div>
    <w:div w:id="1028019460">
      <w:bodyDiv w:val="1"/>
      <w:marLeft w:val="0"/>
      <w:marRight w:val="0"/>
      <w:marTop w:val="0"/>
      <w:marBottom w:val="0"/>
      <w:divBdr>
        <w:top w:val="none" w:sz="0" w:space="0" w:color="auto"/>
        <w:left w:val="none" w:sz="0" w:space="0" w:color="auto"/>
        <w:bottom w:val="none" w:sz="0" w:space="0" w:color="auto"/>
        <w:right w:val="none" w:sz="0" w:space="0" w:color="auto"/>
      </w:divBdr>
    </w:div>
    <w:div w:id="1028022555">
      <w:bodyDiv w:val="1"/>
      <w:marLeft w:val="0"/>
      <w:marRight w:val="0"/>
      <w:marTop w:val="0"/>
      <w:marBottom w:val="0"/>
      <w:divBdr>
        <w:top w:val="none" w:sz="0" w:space="0" w:color="auto"/>
        <w:left w:val="none" w:sz="0" w:space="0" w:color="auto"/>
        <w:bottom w:val="none" w:sz="0" w:space="0" w:color="auto"/>
        <w:right w:val="none" w:sz="0" w:space="0" w:color="auto"/>
      </w:divBdr>
    </w:div>
    <w:div w:id="1028066930">
      <w:bodyDiv w:val="1"/>
      <w:marLeft w:val="0"/>
      <w:marRight w:val="0"/>
      <w:marTop w:val="0"/>
      <w:marBottom w:val="0"/>
      <w:divBdr>
        <w:top w:val="none" w:sz="0" w:space="0" w:color="auto"/>
        <w:left w:val="none" w:sz="0" w:space="0" w:color="auto"/>
        <w:bottom w:val="none" w:sz="0" w:space="0" w:color="auto"/>
        <w:right w:val="none" w:sz="0" w:space="0" w:color="auto"/>
      </w:divBdr>
    </w:div>
    <w:div w:id="1028142993">
      <w:bodyDiv w:val="1"/>
      <w:marLeft w:val="0"/>
      <w:marRight w:val="0"/>
      <w:marTop w:val="0"/>
      <w:marBottom w:val="0"/>
      <w:divBdr>
        <w:top w:val="none" w:sz="0" w:space="0" w:color="auto"/>
        <w:left w:val="none" w:sz="0" w:space="0" w:color="auto"/>
        <w:bottom w:val="none" w:sz="0" w:space="0" w:color="auto"/>
        <w:right w:val="none" w:sz="0" w:space="0" w:color="auto"/>
      </w:divBdr>
    </w:div>
    <w:div w:id="1028146495">
      <w:bodyDiv w:val="1"/>
      <w:marLeft w:val="0"/>
      <w:marRight w:val="0"/>
      <w:marTop w:val="0"/>
      <w:marBottom w:val="0"/>
      <w:divBdr>
        <w:top w:val="none" w:sz="0" w:space="0" w:color="auto"/>
        <w:left w:val="none" w:sz="0" w:space="0" w:color="auto"/>
        <w:bottom w:val="none" w:sz="0" w:space="0" w:color="auto"/>
        <w:right w:val="none" w:sz="0" w:space="0" w:color="auto"/>
      </w:divBdr>
    </w:div>
    <w:div w:id="1028212787">
      <w:bodyDiv w:val="1"/>
      <w:marLeft w:val="0"/>
      <w:marRight w:val="0"/>
      <w:marTop w:val="0"/>
      <w:marBottom w:val="0"/>
      <w:divBdr>
        <w:top w:val="none" w:sz="0" w:space="0" w:color="auto"/>
        <w:left w:val="none" w:sz="0" w:space="0" w:color="auto"/>
        <w:bottom w:val="none" w:sz="0" w:space="0" w:color="auto"/>
        <w:right w:val="none" w:sz="0" w:space="0" w:color="auto"/>
      </w:divBdr>
    </w:div>
    <w:div w:id="1028217004">
      <w:bodyDiv w:val="1"/>
      <w:marLeft w:val="0"/>
      <w:marRight w:val="0"/>
      <w:marTop w:val="0"/>
      <w:marBottom w:val="0"/>
      <w:divBdr>
        <w:top w:val="none" w:sz="0" w:space="0" w:color="auto"/>
        <w:left w:val="none" w:sz="0" w:space="0" w:color="auto"/>
        <w:bottom w:val="none" w:sz="0" w:space="0" w:color="auto"/>
        <w:right w:val="none" w:sz="0" w:space="0" w:color="auto"/>
      </w:divBdr>
    </w:div>
    <w:div w:id="1028218596">
      <w:bodyDiv w:val="1"/>
      <w:marLeft w:val="0"/>
      <w:marRight w:val="0"/>
      <w:marTop w:val="0"/>
      <w:marBottom w:val="0"/>
      <w:divBdr>
        <w:top w:val="none" w:sz="0" w:space="0" w:color="auto"/>
        <w:left w:val="none" w:sz="0" w:space="0" w:color="auto"/>
        <w:bottom w:val="none" w:sz="0" w:space="0" w:color="auto"/>
        <w:right w:val="none" w:sz="0" w:space="0" w:color="auto"/>
      </w:divBdr>
    </w:div>
    <w:div w:id="1028290092">
      <w:bodyDiv w:val="1"/>
      <w:marLeft w:val="0"/>
      <w:marRight w:val="0"/>
      <w:marTop w:val="0"/>
      <w:marBottom w:val="0"/>
      <w:divBdr>
        <w:top w:val="none" w:sz="0" w:space="0" w:color="auto"/>
        <w:left w:val="none" w:sz="0" w:space="0" w:color="auto"/>
        <w:bottom w:val="none" w:sz="0" w:space="0" w:color="auto"/>
        <w:right w:val="none" w:sz="0" w:space="0" w:color="auto"/>
      </w:divBdr>
    </w:div>
    <w:div w:id="1028332139">
      <w:bodyDiv w:val="1"/>
      <w:marLeft w:val="0"/>
      <w:marRight w:val="0"/>
      <w:marTop w:val="0"/>
      <w:marBottom w:val="0"/>
      <w:divBdr>
        <w:top w:val="none" w:sz="0" w:space="0" w:color="auto"/>
        <w:left w:val="none" w:sz="0" w:space="0" w:color="auto"/>
        <w:bottom w:val="none" w:sz="0" w:space="0" w:color="auto"/>
        <w:right w:val="none" w:sz="0" w:space="0" w:color="auto"/>
      </w:divBdr>
    </w:div>
    <w:div w:id="1028414707">
      <w:bodyDiv w:val="1"/>
      <w:marLeft w:val="0"/>
      <w:marRight w:val="0"/>
      <w:marTop w:val="0"/>
      <w:marBottom w:val="0"/>
      <w:divBdr>
        <w:top w:val="none" w:sz="0" w:space="0" w:color="auto"/>
        <w:left w:val="none" w:sz="0" w:space="0" w:color="auto"/>
        <w:bottom w:val="none" w:sz="0" w:space="0" w:color="auto"/>
        <w:right w:val="none" w:sz="0" w:space="0" w:color="auto"/>
      </w:divBdr>
    </w:div>
    <w:div w:id="1028481234">
      <w:bodyDiv w:val="1"/>
      <w:marLeft w:val="0"/>
      <w:marRight w:val="0"/>
      <w:marTop w:val="0"/>
      <w:marBottom w:val="0"/>
      <w:divBdr>
        <w:top w:val="none" w:sz="0" w:space="0" w:color="auto"/>
        <w:left w:val="none" w:sz="0" w:space="0" w:color="auto"/>
        <w:bottom w:val="none" w:sz="0" w:space="0" w:color="auto"/>
        <w:right w:val="none" w:sz="0" w:space="0" w:color="auto"/>
      </w:divBdr>
    </w:div>
    <w:div w:id="1028524514">
      <w:bodyDiv w:val="1"/>
      <w:marLeft w:val="0"/>
      <w:marRight w:val="0"/>
      <w:marTop w:val="0"/>
      <w:marBottom w:val="0"/>
      <w:divBdr>
        <w:top w:val="none" w:sz="0" w:space="0" w:color="auto"/>
        <w:left w:val="none" w:sz="0" w:space="0" w:color="auto"/>
        <w:bottom w:val="none" w:sz="0" w:space="0" w:color="auto"/>
        <w:right w:val="none" w:sz="0" w:space="0" w:color="auto"/>
      </w:divBdr>
    </w:div>
    <w:div w:id="1028527253">
      <w:bodyDiv w:val="1"/>
      <w:marLeft w:val="0"/>
      <w:marRight w:val="0"/>
      <w:marTop w:val="0"/>
      <w:marBottom w:val="0"/>
      <w:divBdr>
        <w:top w:val="none" w:sz="0" w:space="0" w:color="auto"/>
        <w:left w:val="none" w:sz="0" w:space="0" w:color="auto"/>
        <w:bottom w:val="none" w:sz="0" w:space="0" w:color="auto"/>
        <w:right w:val="none" w:sz="0" w:space="0" w:color="auto"/>
      </w:divBdr>
    </w:div>
    <w:div w:id="1028605316">
      <w:bodyDiv w:val="1"/>
      <w:marLeft w:val="0"/>
      <w:marRight w:val="0"/>
      <w:marTop w:val="0"/>
      <w:marBottom w:val="0"/>
      <w:divBdr>
        <w:top w:val="none" w:sz="0" w:space="0" w:color="auto"/>
        <w:left w:val="none" w:sz="0" w:space="0" w:color="auto"/>
        <w:bottom w:val="none" w:sz="0" w:space="0" w:color="auto"/>
        <w:right w:val="none" w:sz="0" w:space="0" w:color="auto"/>
      </w:divBdr>
    </w:div>
    <w:div w:id="1028680218">
      <w:bodyDiv w:val="1"/>
      <w:marLeft w:val="0"/>
      <w:marRight w:val="0"/>
      <w:marTop w:val="0"/>
      <w:marBottom w:val="0"/>
      <w:divBdr>
        <w:top w:val="none" w:sz="0" w:space="0" w:color="auto"/>
        <w:left w:val="none" w:sz="0" w:space="0" w:color="auto"/>
        <w:bottom w:val="none" w:sz="0" w:space="0" w:color="auto"/>
        <w:right w:val="none" w:sz="0" w:space="0" w:color="auto"/>
      </w:divBdr>
    </w:div>
    <w:div w:id="1028793295">
      <w:bodyDiv w:val="1"/>
      <w:marLeft w:val="0"/>
      <w:marRight w:val="0"/>
      <w:marTop w:val="0"/>
      <w:marBottom w:val="0"/>
      <w:divBdr>
        <w:top w:val="none" w:sz="0" w:space="0" w:color="auto"/>
        <w:left w:val="none" w:sz="0" w:space="0" w:color="auto"/>
        <w:bottom w:val="none" w:sz="0" w:space="0" w:color="auto"/>
        <w:right w:val="none" w:sz="0" w:space="0" w:color="auto"/>
      </w:divBdr>
    </w:div>
    <w:div w:id="1028987870">
      <w:bodyDiv w:val="1"/>
      <w:marLeft w:val="0"/>
      <w:marRight w:val="0"/>
      <w:marTop w:val="0"/>
      <w:marBottom w:val="0"/>
      <w:divBdr>
        <w:top w:val="none" w:sz="0" w:space="0" w:color="auto"/>
        <w:left w:val="none" w:sz="0" w:space="0" w:color="auto"/>
        <w:bottom w:val="none" w:sz="0" w:space="0" w:color="auto"/>
        <w:right w:val="none" w:sz="0" w:space="0" w:color="auto"/>
      </w:divBdr>
    </w:div>
    <w:div w:id="1028991591">
      <w:bodyDiv w:val="1"/>
      <w:marLeft w:val="0"/>
      <w:marRight w:val="0"/>
      <w:marTop w:val="0"/>
      <w:marBottom w:val="0"/>
      <w:divBdr>
        <w:top w:val="none" w:sz="0" w:space="0" w:color="auto"/>
        <w:left w:val="none" w:sz="0" w:space="0" w:color="auto"/>
        <w:bottom w:val="none" w:sz="0" w:space="0" w:color="auto"/>
        <w:right w:val="none" w:sz="0" w:space="0" w:color="auto"/>
      </w:divBdr>
    </w:div>
    <w:div w:id="1029070451">
      <w:bodyDiv w:val="1"/>
      <w:marLeft w:val="0"/>
      <w:marRight w:val="0"/>
      <w:marTop w:val="0"/>
      <w:marBottom w:val="0"/>
      <w:divBdr>
        <w:top w:val="none" w:sz="0" w:space="0" w:color="auto"/>
        <w:left w:val="none" w:sz="0" w:space="0" w:color="auto"/>
        <w:bottom w:val="none" w:sz="0" w:space="0" w:color="auto"/>
        <w:right w:val="none" w:sz="0" w:space="0" w:color="auto"/>
      </w:divBdr>
    </w:div>
    <w:div w:id="1029140048">
      <w:bodyDiv w:val="1"/>
      <w:marLeft w:val="0"/>
      <w:marRight w:val="0"/>
      <w:marTop w:val="0"/>
      <w:marBottom w:val="0"/>
      <w:divBdr>
        <w:top w:val="none" w:sz="0" w:space="0" w:color="auto"/>
        <w:left w:val="none" w:sz="0" w:space="0" w:color="auto"/>
        <w:bottom w:val="none" w:sz="0" w:space="0" w:color="auto"/>
        <w:right w:val="none" w:sz="0" w:space="0" w:color="auto"/>
      </w:divBdr>
    </w:div>
    <w:div w:id="1029141895">
      <w:bodyDiv w:val="1"/>
      <w:marLeft w:val="0"/>
      <w:marRight w:val="0"/>
      <w:marTop w:val="0"/>
      <w:marBottom w:val="0"/>
      <w:divBdr>
        <w:top w:val="none" w:sz="0" w:space="0" w:color="auto"/>
        <w:left w:val="none" w:sz="0" w:space="0" w:color="auto"/>
        <w:bottom w:val="none" w:sz="0" w:space="0" w:color="auto"/>
        <w:right w:val="none" w:sz="0" w:space="0" w:color="auto"/>
      </w:divBdr>
    </w:div>
    <w:div w:id="1029254364">
      <w:bodyDiv w:val="1"/>
      <w:marLeft w:val="0"/>
      <w:marRight w:val="0"/>
      <w:marTop w:val="0"/>
      <w:marBottom w:val="0"/>
      <w:divBdr>
        <w:top w:val="none" w:sz="0" w:space="0" w:color="auto"/>
        <w:left w:val="none" w:sz="0" w:space="0" w:color="auto"/>
        <w:bottom w:val="none" w:sz="0" w:space="0" w:color="auto"/>
        <w:right w:val="none" w:sz="0" w:space="0" w:color="auto"/>
      </w:divBdr>
    </w:div>
    <w:div w:id="1029255895">
      <w:bodyDiv w:val="1"/>
      <w:marLeft w:val="0"/>
      <w:marRight w:val="0"/>
      <w:marTop w:val="0"/>
      <w:marBottom w:val="0"/>
      <w:divBdr>
        <w:top w:val="none" w:sz="0" w:space="0" w:color="auto"/>
        <w:left w:val="none" w:sz="0" w:space="0" w:color="auto"/>
        <w:bottom w:val="none" w:sz="0" w:space="0" w:color="auto"/>
        <w:right w:val="none" w:sz="0" w:space="0" w:color="auto"/>
      </w:divBdr>
    </w:div>
    <w:div w:id="1029263106">
      <w:bodyDiv w:val="1"/>
      <w:marLeft w:val="0"/>
      <w:marRight w:val="0"/>
      <w:marTop w:val="0"/>
      <w:marBottom w:val="0"/>
      <w:divBdr>
        <w:top w:val="none" w:sz="0" w:space="0" w:color="auto"/>
        <w:left w:val="none" w:sz="0" w:space="0" w:color="auto"/>
        <w:bottom w:val="none" w:sz="0" w:space="0" w:color="auto"/>
        <w:right w:val="none" w:sz="0" w:space="0" w:color="auto"/>
      </w:divBdr>
    </w:div>
    <w:div w:id="1029449020">
      <w:bodyDiv w:val="1"/>
      <w:marLeft w:val="0"/>
      <w:marRight w:val="0"/>
      <w:marTop w:val="0"/>
      <w:marBottom w:val="0"/>
      <w:divBdr>
        <w:top w:val="none" w:sz="0" w:space="0" w:color="auto"/>
        <w:left w:val="none" w:sz="0" w:space="0" w:color="auto"/>
        <w:bottom w:val="none" w:sz="0" w:space="0" w:color="auto"/>
        <w:right w:val="none" w:sz="0" w:space="0" w:color="auto"/>
      </w:divBdr>
    </w:div>
    <w:div w:id="1029449129">
      <w:bodyDiv w:val="1"/>
      <w:marLeft w:val="0"/>
      <w:marRight w:val="0"/>
      <w:marTop w:val="0"/>
      <w:marBottom w:val="0"/>
      <w:divBdr>
        <w:top w:val="none" w:sz="0" w:space="0" w:color="auto"/>
        <w:left w:val="none" w:sz="0" w:space="0" w:color="auto"/>
        <w:bottom w:val="none" w:sz="0" w:space="0" w:color="auto"/>
        <w:right w:val="none" w:sz="0" w:space="0" w:color="auto"/>
      </w:divBdr>
    </w:div>
    <w:div w:id="1029450913">
      <w:bodyDiv w:val="1"/>
      <w:marLeft w:val="0"/>
      <w:marRight w:val="0"/>
      <w:marTop w:val="0"/>
      <w:marBottom w:val="0"/>
      <w:divBdr>
        <w:top w:val="none" w:sz="0" w:space="0" w:color="auto"/>
        <w:left w:val="none" w:sz="0" w:space="0" w:color="auto"/>
        <w:bottom w:val="none" w:sz="0" w:space="0" w:color="auto"/>
        <w:right w:val="none" w:sz="0" w:space="0" w:color="auto"/>
      </w:divBdr>
    </w:div>
    <w:div w:id="1029526408">
      <w:bodyDiv w:val="1"/>
      <w:marLeft w:val="0"/>
      <w:marRight w:val="0"/>
      <w:marTop w:val="0"/>
      <w:marBottom w:val="0"/>
      <w:divBdr>
        <w:top w:val="none" w:sz="0" w:space="0" w:color="auto"/>
        <w:left w:val="none" w:sz="0" w:space="0" w:color="auto"/>
        <w:bottom w:val="none" w:sz="0" w:space="0" w:color="auto"/>
        <w:right w:val="none" w:sz="0" w:space="0" w:color="auto"/>
      </w:divBdr>
    </w:div>
    <w:div w:id="1029530903">
      <w:bodyDiv w:val="1"/>
      <w:marLeft w:val="0"/>
      <w:marRight w:val="0"/>
      <w:marTop w:val="0"/>
      <w:marBottom w:val="0"/>
      <w:divBdr>
        <w:top w:val="none" w:sz="0" w:space="0" w:color="auto"/>
        <w:left w:val="none" w:sz="0" w:space="0" w:color="auto"/>
        <w:bottom w:val="none" w:sz="0" w:space="0" w:color="auto"/>
        <w:right w:val="none" w:sz="0" w:space="0" w:color="auto"/>
      </w:divBdr>
    </w:div>
    <w:div w:id="1029574497">
      <w:bodyDiv w:val="1"/>
      <w:marLeft w:val="0"/>
      <w:marRight w:val="0"/>
      <w:marTop w:val="0"/>
      <w:marBottom w:val="0"/>
      <w:divBdr>
        <w:top w:val="none" w:sz="0" w:space="0" w:color="auto"/>
        <w:left w:val="none" w:sz="0" w:space="0" w:color="auto"/>
        <w:bottom w:val="none" w:sz="0" w:space="0" w:color="auto"/>
        <w:right w:val="none" w:sz="0" w:space="0" w:color="auto"/>
      </w:divBdr>
    </w:div>
    <w:div w:id="1029601808">
      <w:bodyDiv w:val="1"/>
      <w:marLeft w:val="0"/>
      <w:marRight w:val="0"/>
      <w:marTop w:val="0"/>
      <w:marBottom w:val="0"/>
      <w:divBdr>
        <w:top w:val="none" w:sz="0" w:space="0" w:color="auto"/>
        <w:left w:val="none" w:sz="0" w:space="0" w:color="auto"/>
        <w:bottom w:val="none" w:sz="0" w:space="0" w:color="auto"/>
        <w:right w:val="none" w:sz="0" w:space="0" w:color="auto"/>
      </w:divBdr>
    </w:div>
    <w:div w:id="1029643191">
      <w:bodyDiv w:val="1"/>
      <w:marLeft w:val="0"/>
      <w:marRight w:val="0"/>
      <w:marTop w:val="0"/>
      <w:marBottom w:val="0"/>
      <w:divBdr>
        <w:top w:val="none" w:sz="0" w:space="0" w:color="auto"/>
        <w:left w:val="none" w:sz="0" w:space="0" w:color="auto"/>
        <w:bottom w:val="none" w:sz="0" w:space="0" w:color="auto"/>
        <w:right w:val="none" w:sz="0" w:space="0" w:color="auto"/>
      </w:divBdr>
    </w:div>
    <w:div w:id="1029719629">
      <w:bodyDiv w:val="1"/>
      <w:marLeft w:val="0"/>
      <w:marRight w:val="0"/>
      <w:marTop w:val="0"/>
      <w:marBottom w:val="0"/>
      <w:divBdr>
        <w:top w:val="none" w:sz="0" w:space="0" w:color="auto"/>
        <w:left w:val="none" w:sz="0" w:space="0" w:color="auto"/>
        <w:bottom w:val="none" w:sz="0" w:space="0" w:color="auto"/>
        <w:right w:val="none" w:sz="0" w:space="0" w:color="auto"/>
      </w:divBdr>
    </w:div>
    <w:div w:id="1029798671">
      <w:bodyDiv w:val="1"/>
      <w:marLeft w:val="0"/>
      <w:marRight w:val="0"/>
      <w:marTop w:val="0"/>
      <w:marBottom w:val="0"/>
      <w:divBdr>
        <w:top w:val="none" w:sz="0" w:space="0" w:color="auto"/>
        <w:left w:val="none" w:sz="0" w:space="0" w:color="auto"/>
        <w:bottom w:val="none" w:sz="0" w:space="0" w:color="auto"/>
        <w:right w:val="none" w:sz="0" w:space="0" w:color="auto"/>
      </w:divBdr>
    </w:div>
    <w:div w:id="1029842862">
      <w:bodyDiv w:val="1"/>
      <w:marLeft w:val="0"/>
      <w:marRight w:val="0"/>
      <w:marTop w:val="0"/>
      <w:marBottom w:val="0"/>
      <w:divBdr>
        <w:top w:val="none" w:sz="0" w:space="0" w:color="auto"/>
        <w:left w:val="none" w:sz="0" w:space="0" w:color="auto"/>
        <w:bottom w:val="none" w:sz="0" w:space="0" w:color="auto"/>
        <w:right w:val="none" w:sz="0" w:space="0" w:color="auto"/>
      </w:divBdr>
    </w:div>
    <w:div w:id="1029912375">
      <w:bodyDiv w:val="1"/>
      <w:marLeft w:val="0"/>
      <w:marRight w:val="0"/>
      <w:marTop w:val="0"/>
      <w:marBottom w:val="0"/>
      <w:divBdr>
        <w:top w:val="none" w:sz="0" w:space="0" w:color="auto"/>
        <w:left w:val="none" w:sz="0" w:space="0" w:color="auto"/>
        <w:bottom w:val="none" w:sz="0" w:space="0" w:color="auto"/>
        <w:right w:val="none" w:sz="0" w:space="0" w:color="auto"/>
      </w:divBdr>
    </w:div>
    <w:div w:id="1029987095">
      <w:bodyDiv w:val="1"/>
      <w:marLeft w:val="0"/>
      <w:marRight w:val="0"/>
      <w:marTop w:val="0"/>
      <w:marBottom w:val="0"/>
      <w:divBdr>
        <w:top w:val="none" w:sz="0" w:space="0" w:color="auto"/>
        <w:left w:val="none" w:sz="0" w:space="0" w:color="auto"/>
        <w:bottom w:val="none" w:sz="0" w:space="0" w:color="auto"/>
        <w:right w:val="none" w:sz="0" w:space="0" w:color="auto"/>
      </w:divBdr>
    </w:div>
    <w:div w:id="1029992112">
      <w:bodyDiv w:val="1"/>
      <w:marLeft w:val="0"/>
      <w:marRight w:val="0"/>
      <w:marTop w:val="0"/>
      <w:marBottom w:val="0"/>
      <w:divBdr>
        <w:top w:val="none" w:sz="0" w:space="0" w:color="auto"/>
        <w:left w:val="none" w:sz="0" w:space="0" w:color="auto"/>
        <w:bottom w:val="none" w:sz="0" w:space="0" w:color="auto"/>
        <w:right w:val="none" w:sz="0" w:space="0" w:color="auto"/>
      </w:divBdr>
    </w:div>
    <w:div w:id="1030034758">
      <w:bodyDiv w:val="1"/>
      <w:marLeft w:val="0"/>
      <w:marRight w:val="0"/>
      <w:marTop w:val="0"/>
      <w:marBottom w:val="0"/>
      <w:divBdr>
        <w:top w:val="none" w:sz="0" w:space="0" w:color="auto"/>
        <w:left w:val="none" w:sz="0" w:space="0" w:color="auto"/>
        <w:bottom w:val="none" w:sz="0" w:space="0" w:color="auto"/>
        <w:right w:val="none" w:sz="0" w:space="0" w:color="auto"/>
      </w:divBdr>
    </w:div>
    <w:div w:id="1030107446">
      <w:bodyDiv w:val="1"/>
      <w:marLeft w:val="0"/>
      <w:marRight w:val="0"/>
      <w:marTop w:val="0"/>
      <w:marBottom w:val="0"/>
      <w:divBdr>
        <w:top w:val="none" w:sz="0" w:space="0" w:color="auto"/>
        <w:left w:val="none" w:sz="0" w:space="0" w:color="auto"/>
        <w:bottom w:val="none" w:sz="0" w:space="0" w:color="auto"/>
        <w:right w:val="none" w:sz="0" w:space="0" w:color="auto"/>
      </w:divBdr>
    </w:div>
    <w:div w:id="1030230221">
      <w:bodyDiv w:val="1"/>
      <w:marLeft w:val="0"/>
      <w:marRight w:val="0"/>
      <w:marTop w:val="0"/>
      <w:marBottom w:val="0"/>
      <w:divBdr>
        <w:top w:val="none" w:sz="0" w:space="0" w:color="auto"/>
        <w:left w:val="none" w:sz="0" w:space="0" w:color="auto"/>
        <w:bottom w:val="none" w:sz="0" w:space="0" w:color="auto"/>
        <w:right w:val="none" w:sz="0" w:space="0" w:color="auto"/>
      </w:divBdr>
    </w:div>
    <w:div w:id="1030301180">
      <w:bodyDiv w:val="1"/>
      <w:marLeft w:val="0"/>
      <w:marRight w:val="0"/>
      <w:marTop w:val="0"/>
      <w:marBottom w:val="0"/>
      <w:divBdr>
        <w:top w:val="none" w:sz="0" w:space="0" w:color="auto"/>
        <w:left w:val="none" w:sz="0" w:space="0" w:color="auto"/>
        <w:bottom w:val="none" w:sz="0" w:space="0" w:color="auto"/>
        <w:right w:val="none" w:sz="0" w:space="0" w:color="auto"/>
      </w:divBdr>
    </w:div>
    <w:div w:id="1030301905">
      <w:bodyDiv w:val="1"/>
      <w:marLeft w:val="0"/>
      <w:marRight w:val="0"/>
      <w:marTop w:val="0"/>
      <w:marBottom w:val="0"/>
      <w:divBdr>
        <w:top w:val="none" w:sz="0" w:space="0" w:color="auto"/>
        <w:left w:val="none" w:sz="0" w:space="0" w:color="auto"/>
        <w:bottom w:val="none" w:sz="0" w:space="0" w:color="auto"/>
        <w:right w:val="none" w:sz="0" w:space="0" w:color="auto"/>
      </w:divBdr>
    </w:div>
    <w:div w:id="1030305504">
      <w:bodyDiv w:val="1"/>
      <w:marLeft w:val="0"/>
      <w:marRight w:val="0"/>
      <w:marTop w:val="0"/>
      <w:marBottom w:val="0"/>
      <w:divBdr>
        <w:top w:val="none" w:sz="0" w:space="0" w:color="auto"/>
        <w:left w:val="none" w:sz="0" w:space="0" w:color="auto"/>
        <w:bottom w:val="none" w:sz="0" w:space="0" w:color="auto"/>
        <w:right w:val="none" w:sz="0" w:space="0" w:color="auto"/>
      </w:divBdr>
    </w:div>
    <w:div w:id="1030378315">
      <w:bodyDiv w:val="1"/>
      <w:marLeft w:val="0"/>
      <w:marRight w:val="0"/>
      <w:marTop w:val="0"/>
      <w:marBottom w:val="0"/>
      <w:divBdr>
        <w:top w:val="none" w:sz="0" w:space="0" w:color="auto"/>
        <w:left w:val="none" w:sz="0" w:space="0" w:color="auto"/>
        <w:bottom w:val="none" w:sz="0" w:space="0" w:color="auto"/>
        <w:right w:val="none" w:sz="0" w:space="0" w:color="auto"/>
      </w:divBdr>
    </w:div>
    <w:div w:id="1030454068">
      <w:bodyDiv w:val="1"/>
      <w:marLeft w:val="0"/>
      <w:marRight w:val="0"/>
      <w:marTop w:val="0"/>
      <w:marBottom w:val="0"/>
      <w:divBdr>
        <w:top w:val="none" w:sz="0" w:space="0" w:color="auto"/>
        <w:left w:val="none" w:sz="0" w:space="0" w:color="auto"/>
        <w:bottom w:val="none" w:sz="0" w:space="0" w:color="auto"/>
        <w:right w:val="none" w:sz="0" w:space="0" w:color="auto"/>
      </w:divBdr>
    </w:div>
    <w:div w:id="1030491574">
      <w:bodyDiv w:val="1"/>
      <w:marLeft w:val="0"/>
      <w:marRight w:val="0"/>
      <w:marTop w:val="0"/>
      <w:marBottom w:val="0"/>
      <w:divBdr>
        <w:top w:val="none" w:sz="0" w:space="0" w:color="auto"/>
        <w:left w:val="none" w:sz="0" w:space="0" w:color="auto"/>
        <w:bottom w:val="none" w:sz="0" w:space="0" w:color="auto"/>
        <w:right w:val="none" w:sz="0" w:space="0" w:color="auto"/>
      </w:divBdr>
    </w:div>
    <w:div w:id="1030684703">
      <w:bodyDiv w:val="1"/>
      <w:marLeft w:val="0"/>
      <w:marRight w:val="0"/>
      <w:marTop w:val="0"/>
      <w:marBottom w:val="0"/>
      <w:divBdr>
        <w:top w:val="none" w:sz="0" w:space="0" w:color="auto"/>
        <w:left w:val="none" w:sz="0" w:space="0" w:color="auto"/>
        <w:bottom w:val="none" w:sz="0" w:space="0" w:color="auto"/>
        <w:right w:val="none" w:sz="0" w:space="0" w:color="auto"/>
      </w:divBdr>
    </w:div>
    <w:div w:id="1030840462">
      <w:bodyDiv w:val="1"/>
      <w:marLeft w:val="0"/>
      <w:marRight w:val="0"/>
      <w:marTop w:val="0"/>
      <w:marBottom w:val="0"/>
      <w:divBdr>
        <w:top w:val="none" w:sz="0" w:space="0" w:color="auto"/>
        <w:left w:val="none" w:sz="0" w:space="0" w:color="auto"/>
        <w:bottom w:val="none" w:sz="0" w:space="0" w:color="auto"/>
        <w:right w:val="none" w:sz="0" w:space="0" w:color="auto"/>
      </w:divBdr>
    </w:div>
    <w:div w:id="1030954621">
      <w:bodyDiv w:val="1"/>
      <w:marLeft w:val="0"/>
      <w:marRight w:val="0"/>
      <w:marTop w:val="0"/>
      <w:marBottom w:val="0"/>
      <w:divBdr>
        <w:top w:val="none" w:sz="0" w:space="0" w:color="auto"/>
        <w:left w:val="none" w:sz="0" w:space="0" w:color="auto"/>
        <w:bottom w:val="none" w:sz="0" w:space="0" w:color="auto"/>
        <w:right w:val="none" w:sz="0" w:space="0" w:color="auto"/>
      </w:divBdr>
    </w:div>
    <w:div w:id="1030958845">
      <w:bodyDiv w:val="1"/>
      <w:marLeft w:val="0"/>
      <w:marRight w:val="0"/>
      <w:marTop w:val="0"/>
      <w:marBottom w:val="0"/>
      <w:divBdr>
        <w:top w:val="none" w:sz="0" w:space="0" w:color="auto"/>
        <w:left w:val="none" w:sz="0" w:space="0" w:color="auto"/>
        <w:bottom w:val="none" w:sz="0" w:space="0" w:color="auto"/>
        <w:right w:val="none" w:sz="0" w:space="0" w:color="auto"/>
      </w:divBdr>
    </w:div>
    <w:div w:id="1031031041">
      <w:bodyDiv w:val="1"/>
      <w:marLeft w:val="0"/>
      <w:marRight w:val="0"/>
      <w:marTop w:val="0"/>
      <w:marBottom w:val="0"/>
      <w:divBdr>
        <w:top w:val="none" w:sz="0" w:space="0" w:color="auto"/>
        <w:left w:val="none" w:sz="0" w:space="0" w:color="auto"/>
        <w:bottom w:val="none" w:sz="0" w:space="0" w:color="auto"/>
        <w:right w:val="none" w:sz="0" w:space="0" w:color="auto"/>
      </w:divBdr>
    </w:div>
    <w:div w:id="1031110579">
      <w:bodyDiv w:val="1"/>
      <w:marLeft w:val="0"/>
      <w:marRight w:val="0"/>
      <w:marTop w:val="0"/>
      <w:marBottom w:val="0"/>
      <w:divBdr>
        <w:top w:val="none" w:sz="0" w:space="0" w:color="auto"/>
        <w:left w:val="none" w:sz="0" w:space="0" w:color="auto"/>
        <w:bottom w:val="none" w:sz="0" w:space="0" w:color="auto"/>
        <w:right w:val="none" w:sz="0" w:space="0" w:color="auto"/>
      </w:divBdr>
    </w:div>
    <w:div w:id="1031223530">
      <w:bodyDiv w:val="1"/>
      <w:marLeft w:val="0"/>
      <w:marRight w:val="0"/>
      <w:marTop w:val="0"/>
      <w:marBottom w:val="0"/>
      <w:divBdr>
        <w:top w:val="none" w:sz="0" w:space="0" w:color="auto"/>
        <w:left w:val="none" w:sz="0" w:space="0" w:color="auto"/>
        <w:bottom w:val="none" w:sz="0" w:space="0" w:color="auto"/>
        <w:right w:val="none" w:sz="0" w:space="0" w:color="auto"/>
      </w:divBdr>
    </w:div>
    <w:div w:id="1031340053">
      <w:bodyDiv w:val="1"/>
      <w:marLeft w:val="0"/>
      <w:marRight w:val="0"/>
      <w:marTop w:val="0"/>
      <w:marBottom w:val="0"/>
      <w:divBdr>
        <w:top w:val="none" w:sz="0" w:space="0" w:color="auto"/>
        <w:left w:val="none" w:sz="0" w:space="0" w:color="auto"/>
        <w:bottom w:val="none" w:sz="0" w:space="0" w:color="auto"/>
        <w:right w:val="none" w:sz="0" w:space="0" w:color="auto"/>
      </w:divBdr>
    </w:div>
    <w:div w:id="1031341751">
      <w:bodyDiv w:val="1"/>
      <w:marLeft w:val="0"/>
      <w:marRight w:val="0"/>
      <w:marTop w:val="0"/>
      <w:marBottom w:val="0"/>
      <w:divBdr>
        <w:top w:val="none" w:sz="0" w:space="0" w:color="auto"/>
        <w:left w:val="none" w:sz="0" w:space="0" w:color="auto"/>
        <w:bottom w:val="none" w:sz="0" w:space="0" w:color="auto"/>
        <w:right w:val="none" w:sz="0" w:space="0" w:color="auto"/>
      </w:divBdr>
    </w:div>
    <w:div w:id="1031346792">
      <w:bodyDiv w:val="1"/>
      <w:marLeft w:val="0"/>
      <w:marRight w:val="0"/>
      <w:marTop w:val="0"/>
      <w:marBottom w:val="0"/>
      <w:divBdr>
        <w:top w:val="none" w:sz="0" w:space="0" w:color="auto"/>
        <w:left w:val="none" w:sz="0" w:space="0" w:color="auto"/>
        <w:bottom w:val="none" w:sz="0" w:space="0" w:color="auto"/>
        <w:right w:val="none" w:sz="0" w:space="0" w:color="auto"/>
      </w:divBdr>
    </w:div>
    <w:div w:id="1031417310">
      <w:bodyDiv w:val="1"/>
      <w:marLeft w:val="0"/>
      <w:marRight w:val="0"/>
      <w:marTop w:val="0"/>
      <w:marBottom w:val="0"/>
      <w:divBdr>
        <w:top w:val="none" w:sz="0" w:space="0" w:color="auto"/>
        <w:left w:val="none" w:sz="0" w:space="0" w:color="auto"/>
        <w:bottom w:val="none" w:sz="0" w:space="0" w:color="auto"/>
        <w:right w:val="none" w:sz="0" w:space="0" w:color="auto"/>
      </w:divBdr>
    </w:div>
    <w:div w:id="1031565417">
      <w:bodyDiv w:val="1"/>
      <w:marLeft w:val="0"/>
      <w:marRight w:val="0"/>
      <w:marTop w:val="0"/>
      <w:marBottom w:val="0"/>
      <w:divBdr>
        <w:top w:val="none" w:sz="0" w:space="0" w:color="auto"/>
        <w:left w:val="none" w:sz="0" w:space="0" w:color="auto"/>
        <w:bottom w:val="none" w:sz="0" w:space="0" w:color="auto"/>
        <w:right w:val="none" w:sz="0" w:space="0" w:color="auto"/>
      </w:divBdr>
    </w:div>
    <w:div w:id="1031611196">
      <w:bodyDiv w:val="1"/>
      <w:marLeft w:val="0"/>
      <w:marRight w:val="0"/>
      <w:marTop w:val="0"/>
      <w:marBottom w:val="0"/>
      <w:divBdr>
        <w:top w:val="none" w:sz="0" w:space="0" w:color="auto"/>
        <w:left w:val="none" w:sz="0" w:space="0" w:color="auto"/>
        <w:bottom w:val="none" w:sz="0" w:space="0" w:color="auto"/>
        <w:right w:val="none" w:sz="0" w:space="0" w:color="auto"/>
      </w:divBdr>
    </w:div>
    <w:div w:id="1031614040">
      <w:bodyDiv w:val="1"/>
      <w:marLeft w:val="0"/>
      <w:marRight w:val="0"/>
      <w:marTop w:val="0"/>
      <w:marBottom w:val="0"/>
      <w:divBdr>
        <w:top w:val="none" w:sz="0" w:space="0" w:color="auto"/>
        <w:left w:val="none" w:sz="0" w:space="0" w:color="auto"/>
        <w:bottom w:val="none" w:sz="0" w:space="0" w:color="auto"/>
        <w:right w:val="none" w:sz="0" w:space="0" w:color="auto"/>
      </w:divBdr>
    </w:div>
    <w:div w:id="1031880297">
      <w:bodyDiv w:val="1"/>
      <w:marLeft w:val="0"/>
      <w:marRight w:val="0"/>
      <w:marTop w:val="0"/>
      <w:marBottom w:val="0"/>
      <w:divBdr>
        <w:top w:val="none" w:sz="0" w:space="0" w:color="auto"/>
        <w:left w:val="none" w:sz="0" w:space="0" w:color="auto"/>
        <w:bottom w:val="none" w:sz="0" w:space="0" w:color="auto"/>
        <w:right w:val="none" w:sz="0" w:space="0" w:color="auto"/>
      </w:divBdr>
    </w:div>
    <w:div w:id="1032072739">
      <w:bodyDiv w:val="1"/>
      <w:marLeft w:val="0"/>
      <w:marRight w:val="0"/>
      <w:marTop w:val="0"/>
      <w:marBottom w:val="0"/>
      <w:divBdr>
        <w:top w:val="none" w:sz="0" w:space="0" w:color="auto"/>
        <w:left w:val="none" w:sz="0" w:space="0" w:color="auto"/>
        <w:bottom w:val="none" w:sz="0" w:space="0" w:color="auto"/>
        <w:right w:val="none" w:sz="0" w:space="0" w:color="auto"/>
      </w:divBdr>
    </w:div>
    <w:div w:id="1032076739">
      <w:bodyDiv w:val="1"/>
      <w:marLeft w:val="0"/>
      <w:marRight w:val="0"/>
      <w:marTop w:val="0"/>
      <w:marBottom w:val="0"/>
      <w:divBdr>
        <w:top w:val="none" w:sz="0" w:space="0" w:color="auto"/>
        <w:left w:val="none" w:sz="0" w:space="0" w:color="auto"/>
        <w:bottom w:val="none" w:sz="0" w:space="0" w:color="auto"/>
        <w:right w:val="none" w:sz="0" w:space="0" w:color="auto"/>
      </w:divBdr>
    </w:div>
    <w:div w:id="1032076872">
      <w:bodyDiv w:val="1"/>
      <w:marLeft w:val="0"/>
      <w:marRight w:val="0"/>
      <w:marTop w:val="0"/>
      <w:marBottom w:val="0"/>
      <w:divBdr>
        <w:top w:val="none" w:sz="0" w:space="0" w:color="auto"/>
        <w:left w:val="none" w:sz="0" w:space="0" w:color="auto"/>
        <w:bottom w:val="none" w:sz="0" w:space="0" w:color="auto"/>
        <w:right w:val="none" w:sz="0" w:space="0" w:color="auto"/>
      </w:divBdr>
    </w:div>
    <w:div w:id="1032145173">
      <w:bodyDiv w:val="1"/>
      <w:marLeft w:val="0"/>
      <w:marRight w:val="0"/>
      <w:marTop w:val="0"/>
      <w:marBottom w:val="0"/>
      <w:divBdr>
        <w:top w:val="none" w:sz="0" w:space="0" w:color="auto"/>
        <w:left w:val="none" w:sz="0" w:space="0" w:color="auto"/>
        <w:bottom w:val="none" w:sz="0" w:space="0" w:color="auto"/>
        <w:right w:val="none" w:sz="0" w:space="0" w:color="auto"/>
      </w:divBdr>
    </w:div>
    <w:div w:id="1032419308">
      <w:bodyDiv w:val="1"/>
      <w:marLeft w:val="0"/>
      <w:marRight w:val="0"/>
      <w:marTop w:val="0"/>
      <w:marBottom w:val="0"/>
      <w:divBdr>
        <w:top w:val="none" w:sz="0" w:space="0" w:color="auto"/>
        <w:left w:val="none" w:sz="0" w:space="0" w:color="auto"/>
        <w:bottom w:val="none" w:sz="0" w:space="0" w:color="auto"/>
        <w:right w:val="none" w:sz="0" w:space="0" w:color="auto"/>
      </w:divBdr>
    </w:div>
    <w:div w:id="1032457583">
      <w:bodyDiv w:val="1"/>
      <w:marLeft w:val="0"/>
      <w:marRight w:val="0"/>
      <w:marTop w:val="0"/>
      <w:marBottom w:val="0"/>
      <w:divBdr>
        <w:top w:val="none" w:sz="0" w:space="0" w:color="auto"/>
        <w:left w:val="none" w:sz="0" w:space="0" w:color="auto"/>
        <w:bottom w:val="none" w:sz="0" w:space="0" w:color="auto"/>
        <w:right w:val="none" w:sz="0" w:space="0" w:color="auto"/>
      </w:divBdr>
    </w:div>
    <w:div w:id="1032461530">
      <w:bodyDiv w:val="1"/>
      <w:marLeft w:val="0"/>
      <w:marRight w:val="0"/>
      <w:marTop w:val="0"/>
      <w:marBottom w:val="0"/>
      <w:divBdr>
        <w:top w:val="none" w:sz="0" w:space="0" w:color="auto"/>
        <w:left w:val="none" w:sz="0" w:space="0" w:color="auto"/>
        <w:bottom w:val="none" w:sz="0" w:space="0" w:color="auto"/>
        <w:right w:val="none" w:sz="0" w:space="0" w:color="auto"/>
      </w:divBdr>
    </w:div>
    <w:div w:id="1032533186">
      <w:bodyDiv w:val="1"/>
      <w:marLeft w:val="0"/>
      <w:marRight w:val="0"/>
      <w:marTop w:val="0"/>
      <w:marBottom w:val="0"/>
      <w:divBdr>
        <w:top w:val="none" w:sz="0" w:space="0" w:color="auto"/>
        <w:left w:val="none" w:sz="0" w:space="0" w:color="auto"/>
        <w:bottom w:val="none" w:sz="0" w:space="0" w:color="auto"/>
        <w:right w:val="none" w:sz="0" w:space="0" w:color="auto"/>
      </w:divBdr>
    </w:div>
    <w:div w:id="1032535866">
      <w:bodyDiv w:val="1"/>
      <w:marLeft w:val="0"/>
      <w:marRight w:val="0"/>
      <w:marTop w:val="0"/>
      <w:marBottom w:val="0"/>
      <w:divBdr>
        <w:top w:val="none" w:sz="0" w:space="0" w:color="auto"/>
        <w:left w:val="none" w:sz="0" w:space="0" w:color="auto"/>
        <w:bottom w:val="none" w:sz="0" w:space="0" w:color="auto"/>
        <w:right w:val="none" w:sz="0" w:space="0" w:color="auto"/>
      </w:divBdr>
    </w:div>
    <w:div w:id="1032607056">
      <w:bodyDiv w:val="1"/>
      <w:marLeft w:val="0"/>
      <w:marRight w:val="0"/>
      <w:marTop w:val="0"/>
      <w:marBottom w:val="0"/>
      <w:divBdr>
        <w:top w:val="none" w:sz="0" w:space="0" w:color="auto"/>
        <w:left w:val="none" w:sz="0" w:space="0" w:color="auto"/>
        <w:bottom w:val="none" w:sz="0" w:space="0" w:color="auto"/>
        <w:right w:val="none" w:sz="0" w:space="0" w:color="auto"/>
      </w:divBdr>
    </w:div>
    <w:div w:id="1032615254">
      <w:bodyDiv w:val="1"/>
      <w:marLeft w:val="0"/>
      <w:marRight w:val="0"/>
      <w:marTop w:val="0"/>
      <w:marBottom w:val="0"/>
      <w:divBdr>
        <w:top w:val="none" w:sz="0" w:space="0" w:color="auto"/>
        <w:left w:val="none" w:sz="0" w:space="0" w:color="auto"/>
        <w:bottom w:val="none" w:sz="0" w:space="0" w:color="auto"/>
        <w:right w:val="none" w:sz="0" w:space="0" w:color="auto"/>
      </w:divBdr>
    </w:div>
    <w:div w:id="1032681504">
      <w:bodyDiv w:val="1"/>
      <w:marLeft w:val="0"/>
      <w:marRight w:val="0"/>
      <w:marTop w:val="0"/>
      <w:marBottom w:val="0"/>
      <w:divBdr>
        <w:top w:val="none" w:sz="0" w:space="0" w:color="auto"/>
        <w:left w:val="none" w:sz="0" w:space="0" w:color="auto"/>
        <w:bottom w:val="none" w:sz="0" w:space="0" w:color="auto"/>
        <w:right w:val="none" w:sz="0" w:space="0" w:color="auto"/>
      </w:divBdr>
    </w:div>
    <w:div w:id="1032728974">
      <w:bodyDiv w:val="1"/>
      <w:marLeft w:val="0"/>
      <w:marRight w:val="0"/>
      <w:marTop w:val="0"/>
      <w:marBottom w:val="0"/>
      <w:divBdr>
        <w:top w:val="none" w:sz="0" w:space="0" w:color="auto"/>
        <w:left w:val="none" w:sz="0" w:space="0" w:color="auto"/>
        <w:bottom w:val="none" w:sz="0" w:space="0" w:color="auto"/>
        <w:right w:val="none" w:sz="0" w:space="0" w:color="auto"/>
      </w:divBdr>
    </w:div>
    <w:div w:id="1032730575">
      <w:bodyDiv w:val="1"/>
      <w:marLeft w:val="0"/>
      <w:marRight w:val="0"/>
      <w:marTop w:val="0"/>
      <w:marBottom w:val="0"/>
      <w:divBdr>
        <w:top w:val="none" w:sz="0" w:space="0" w:color="auto"/>
        <w:left w:val="none" w:sz="0" w:space="0" w:color="auto"/>
        <w:bottom w:val="none" w:sz="0" w:space="0" w:color="auto"/>
        <w:right w:val="none" w:sz="0" w:space="0" w:color="auto"/>
      </w:divBdr>
    </w:div>
    <w:div w:id="1032920294">
      <w:bodyDiv w:val="1"/>
      <w:marLeft w:val="0"/>
      <w:marRight w:val="0"/>
      <w:marTop w:val="0"/>
      <w:marBottom w:val="0"/>
      <w:divBdr>
        <w:top w:val="none" w:sz="0" w:space="0" w:color="auto"/>
        <w:left w:val="none" w:sz="0" w:space="0" w:color="auto"/>
        <w:bottom w:val="none" w:sz="0" w:space="0" w:color="auto"/>
        <w:right w:val="none" w:sz="0" w:space="0" w:color="auto"/>
      </w:divBdr>
    </w:div>
    <w:div w:id="1032993098">
      <w:bodyDiv w:val="1"/>
      <w:marLeft w:val="0"/>
      <w:marRight w:val="0"/>
      <w:marTop w:val="0"/>
      <w:marBottom w:val="0"/>
      <w:divBdr>
        <w:top w:val="none" w:sz="0" w:space="0" w:color="auto"/>
        <w:left w:val="none" w:sz="0" w:space="0" w:color="auto"/>
        <w:bottom w:val="none" w:sz="0" w:space="0" w:color="auto"/>
        <w:right w:val="none" w:sz="0" w:space="0" w:color="auto"/>
      </w:divBdr>
    </w:div>
    <w:div w:id="1032994117">
      <w:bodyDiv w:val="1"/>
      <w:marLeft w:val="0"/>
      <w:marRight w:val="0"/>
      <w:marTop w:val="0"/>
      <w:marBottom w:val="0"/>
      <w:divBdr>
        <w:top w:val="none" w:sz="0" w:space="0" w:color="auto"/>
        <w:left w:val="none" w:sz="0" w:space="0" w:color="auto"/>
        <w:bottom w:val="none" w:sz="0" w:space="0" w:color="auto"/>
        <w:right w:val="none" w:sz="0" w:space="0" w:color="auto"/>
      </w:divBdr>
    </w:div>
    <w:div w:id="1033000246">
      <w:bodyDiv w:val="1"/>
      <w:marLeft w:val="0"/>
      <w:marRight w:val="0"/>
      <w:marTop w:val="0"/>
      <w:marBottom w:val="0"/>
      <w:divBdr>
        <w:top w:val="none" w:sz="0" w:space="0" w:color="auto"/>
        <w:left w:val="none" w:sz="0" w:space="0" w:color="auto"/>
        <w:bottom w:val="none" w:sz="0" w:space="0" w:color="auto"/>
        <w:right w:val="none" w:sz="0" w:space="0" w:color="auto"/>
      </w:divBdr>
    </w:div>
    <w:div w:id="1033074378">
      <w:bodyDiv w:val="1"/>
      <w:marLeft w:val="0"/>
      <w:marRight w:val="0"/>
      <w:marTop w:val="0"/>
      <w:marBottom w:val="0"/>
      <w:divBdr>
        <w:top w:val="none" w:sz="0" w:space="0" w:color="auto"/>
        <w:left w:val="none" w:sz="0" w:space="0" w:color="auto"/>
        <w:bottom w:val="none" w:sz="0" w:space="0" w:color="auto"/>
        <w:right w:val="none" w:sz="0" w:space="0" w:color="auto"/>
      </w:divBdr>
    </w:div>
    <w:div w:id="1033113004">
      <w:bodyDiv w:val="1"/>
      <w:marLeft w:val="0"/>
      <w:marRight w:val="0"/>
      <w:marTop w:val="0"/>
      <w:marBottom w:val="0"/>
      <w:divBdr>
        <w:top w:val="none" w:sz="0" w:space="0" w:color="auto"/>
        <w:left w:val="none" w:sz="0" w:space="0" w:color="auto"/>
        <w:bottom w:val="none" w:sz="0" w:space="0" w:color="auto"/>
        <w:right w:val="none" w:sz="0" w:space="0" w:color="auto"/>
      </w:divBdr>
    </w:div>
    <w:div w:id="1033114040">
      <w:bodyDiv w:val="1"/>
      <w:marLeft w:val="0"/>
      <w:marRight w:val="0"/>
      <w:marTop w:val="0"/>
      <w:marBottom w:val="0"/>
      <w:divBdr>
        <w:top w:val="none" w:sz="0" w:space="0" w:color="auto"/>
        <w:left w:val="none" w:sz="0" w:space="0" w:color="auto"/>
        <w:bottom w:val="none" w:sz="0" w:space="0" w:color="auto"/>
        <w:right w:val="none" w:sz="0" w:space="0" w:color="auto"/>
      </w:divBdr>
    </w:div>
    <w:div w:id="1033116644">
      <w:bodyDiv w:val="1"/>
      <w:marLeft w:val="0"/>
      <w:marRight w:val="0"/>
      <w:marTop w:val="0"/>
      <w:marBottom w:val="0"/>
      <w:divBdr>
        <w:top w:val="none" w:sz="0" w:space="0" w:color="auto"/>
        <w:left w:val="none" w:sz="0" w:space="0" w:color="auto"/>
        <w:bottom w:val="none" w:sz="0" w:space="0" w:color="auto"/>
        <w:right w:val="none" w:sz="0" w:space="0" w:color="auto"/>
      </w:divBdr>
    </w:div>
    <w:div w:id="1033117715">
      <w:bodyDiv w:val="1"/>
      <w:marLeft w:val="0"/>
      <w:marRight w:val="0"/>
      <w:marTop w:val="0"/>
      <w:marBottom w:val="0"/>
      <w:divBdr>
        <w:top w:val="none" w:sz="0" w:space="0" w:color="auto"/>
        <w:left w:val="none" w:sz="0" w:space="0" w:color="auto"/>
        <w:bottom w:val="none" w:sz="0" w:space="0" w:color="auto"/>
        <w:right w:val="none" w:sz="0" w:space="0" w:color="auto"/>
      </w:divBdr>
    </w:div>
    <w:div w:id="1033308065">
      <w:bodyDiv w:val="1"/>
      <w:marLeft w:val="0"/>
      <w:marRight w:val="0"/>
      <w:marTop w:val="0"/>
      <w:marBottom w:val="0"/>
      <w:divBdr>
        <w:top w:val="none" w:sz="0" w:space="0" w:color="auto"/>
        <w:left w:val="none" w:sz="0" w:space="0" w:color="auto"/>
        <w:bottom w:val="none" w:sz="0" w:space="0" w:color="auto"/>
        <w:right w:val="none" w:sz="0" w:space="0" w:color="auto"/>
      </w:divBdr>
    </w:div>
    <w:div w:id="1033380520">
      <w:bodyDiv w:val="1"/>
      <w:marLeft w:val="0"/>
      <w:marRight w:val="0"/>
      <w:marTop w:val="0"/>
      <w:marBottom w:val="0"/>
      <w:divBdr>
        <w:top w:val="none" w:sz="0" w:space="0" w:color="auto"/>
        <w:left w:val="none" w:sz="0" w:space="0" w:color="auto"/>
        <w:bottom w:val="none" w:sz="0" w:space="0" w:color="auto"/>
        <w:right w:val="none" w:sz="0" w:space="0" w:color="auto"/>
      </w:divBdr>
    </w:div>
    <w:div w:id="1033456871">
      <w:bodyDiv w:val="1"/>
      <w:marLeft w:val="0"/>
      <w:marRight w:val="0"/>
      <w:marTop w:val="0"/>
      <w:marBottom w:val="0"/>
      <w:divBdr>
        <w:top w:val="none" w:sz="0" w:space="0" w:color="auto"/>
        <w:left w:val="none" w:sz="0" w:space="0" w:color="auto"/>
        <w:bottom w:val="none" w:sz="0" w:space="0" w:color="auto"/>
        <w:right w:val="none" w:sz="0" w:space="0" w:color="auto"/>
      </w:divBdr>
    </w:div>
    <w:div w:id="1033456940">
      <w:bodyDiv w:val="1"/>
      <w:marLeft w:val="0"/>
      <w:marRight w:val="0"/>
      <w:marTop w:val="0"/>
      <w:marBottom w:val="0"/>
      <w:divBdr>
        <w:top w:val="none" w:sz="0" w:space="0" w:color="auto"/>
        <w:left w:val="none" w:sz="0" w:space="0" w:color="auto"/>
        <w:bottom w:val="none" w:sz="0" w:space="0" w:color="auto"/>
        <w:right w:val="none" w:sz="0" w:space="0" w:color="auto"/>
      </w:divBdr>
    </w:div>
    <w:div w:id="1033574485">
      <w:bodyDiv w:val="1"/>
      <w:marLeft w:val="0"/>
      <w:marRight w:val="0"/>
      <w:marTop w:val="0"/>
      <w:marBottom w:val="0"/>
      <w:divBdr>
        <w:top w:val="none" w:sz="0" w:space="0" w:color="auto"/>
        <w:left w:val="none" w:sz="0" w:space="0" w:color="auto"/>
        <w:bottom w:val="none" w:sz="0" w:space="0" w:color="auto"/>
        <w:right w:val="none" w:sz="0" w:space="0" w:color="auto"/>
      </w:divBdr>
    </w:div>
    <w:div w:id="1033649532">
      <w:bodyDiv w:val="1"/>
      <w:marLeft w:val="0"/>
      <w:marRight w:val="0"/>
      <w:marTop w:val="0"/>
      <w:marBottom w:val="0"/>
      <w:divBdr>
        <w:top w:val="none" w:sz="0" w:space="0" w:color="auto"/>
        <w:left w:val="none" w:sz="0" w:space="0" w:color="auto"/>
        <w:bottom w:val="none" w:sz="0" w:space="0" w:color="auto"/>
        <w:right w:val="none" w:sz="0" w:space="0" w:color="auto"/>
      </w:divBdr>
    </w:div>
    <w:div w:id="1033774465">
      <w:bodyDiv w:val="1"/>
      <w:marLeft w:val="0"/>
      <w:marRight w:val="0"/>
      <w:marTop w:val="0"/>
      <w:marBottom w:val="0"/>
      <w:divBdr>
        <w:top w:val="none" w:sz="0" w:space="0" w:color="auto"/>
        <w:left w:val="none" w:sz="0" w:space="0" w:color="auto"/>
        <w:bottom w:val="none" w:sz="0" w:space="0" w:color="auto"/>
        <w:right w:val="none" w:sz="0" w:space="0" w:color="auto"/>
      </w:divBdr>
    </w:div>
    <w:div w:id="1033850694">
      <w:bodyDiv w:val="1"/>
      <w:marLeft w:val="0"/>
      <w:marRight w:val="0"/>
      <w:marTop w:val="0"/>
      <w:marBottom w:val="0"/>
      <w:divBdr>
        <w:top w:val="none" w:sz="0" w:space="0" w:color="auto"/>
        <w:left w:val="none" w:sz="0" w:space="0" w:color="auto"/>
        <w:bottom w:val="none" w:sz="0" w:space="0" w:color="auto"/>
        <w:right w:val="none" w:sz="0" w:space="0" w:color="auto"/>
      </w:divBdr>
    </w:div>
    <w:div w:id="1033920102">
      <w:bodyDiv w:val="1"/>
      <w:marLeft w:val="0"/>
      <w:marRight w:val="0"/>
      <w:marTop w:val="0"/>
      <w:marBottom w:val="0"/>
      <w:divBdr>
        <w:top w:val="none" w:sz="0" w:space="0" w:color="auto"/>
        <w:left w:val="none" w:sz="0" w:space="0" w:color="auto"/>
        <w:bottom w:val="none" w:sz="0" w:space="0" w:color="auto"/>
        <w:right w:val="none" w:sz="0" w:space="0" w:color="auto"/>
      </w:divBdr>
    </w:div>
    <w:div w:id="1034042727">
      <w:bodyDiv w:val="1"/>
      <w:marLeft w:val="0"/>
      <w:marRight w:val="0"/>
      <w:marTop w:val="0"/>
      <w:marBottom w:val="0"/>
      <w:divBdr>
        <w:top w:val="none" w:sz="0" w:space="0" w:color="auto"/>
        <w:left w:val="none" w:sz="0" w:space="0" w:color="auto"/>
        <w:bottom w:val="none" w:sz="0" w:space="0" w:color="auto"/>
        <w:right w:val="none" w:sz="0" w:space="0" w:color="auto"/>
      </w:divBdr>
    </w:div>
    <w:div w:id="1034110848">
      <w:bodyDiv w:val="1"/>
      <w:marLeft w:val="0"/>
      <w:marRight w:val="0"/>
      <w:marTop w:val="0"/>
      <w:marBottom w:val="0"/>
      <w:divBdr>
        <w:top w:val="none" w:sz="0" w:space="0" w:color="auto"/>
        <w:left w:val="none" w:sz="0" w:space="0" w:color="auto"/>
        <w:bottom w:val="none" w:sz="0" w:space="0" w:color="auto"/>
        <w:right w:val="none" w:sz="0" w:space="0" w:color="auto"/>
      </w:divBdr>
    </w:div>
    <w:div w:id="1034118226">
      <w:bodyDiv w:val="1"/>
      <w:marLeft w:val="0"/>
      <w:marRight w:val="0"/>
      <w:marTop w:val="0"/>
      <w:marBottom w:val="0"/>
      <w:divBdr>
        <w:top w:val="none" w:sz="0" w:space="0" w:color="auto"/>
        <w:left w:val="none" w:sz="0" w:space="0" w:color="auto"/>
        <w:bottom w:val="none" w:sz="0" w:space="0" w:color="auto"/>
        <w:right w:val="none" w:sz="0" w:space="0" w:color="auto"/>
      </w:divBdr>
    </w:div>
    <w:div w:id="1034230579">
      <w:bodyDiv w:val="1"/>
      <w:marLeft w:val="0"/>
      <w:marRight w:val="0"/>
      <w:marTop w:val="0"/>
      <w:marBottom w:val="0"/>
      <w:divBdr>
        <w:top w:val="none" w:sz="0" w:space="0" w:color="auto"/>
        <w:left w:val="none" w:sz="0" w:space="0" w:color="auto"/>
        <w:bottom w:val="none" w:sz="0" w:space="0" w:color="auto"/>
        <w:right w:val="none" w:sz="0" w:space="0" w:color="auto"/>
      </w:divBdr>
    </w:div>
    <w:div w:id="1034235936">
      <w:bodyDiv w:val="1"/>
      <w:marLeft w:val="0"/>
      <w:marRight w:val="0"/>
      <w:marTop w:val="0"/>
      <w:marBottom w:val="0"/>
      <w:divBdr>
        <w:top w:val="none" w:sz="0" w:space="0" w:color="auto"/>
        <w:left w:val="none" w:sz="0" w:space="0" w:color="auto"/>
        <w:bottom w:val="none" w:sz="0" w:space="0" w:color="auto"/>
        <w:right w:val="none" w:sz="0" w:space="0" w:color="auto"/>
      </w:divBdr>
    </w:div>
    <w:div w:id="1034379188">
      <w:bodyDiv w:val="1"/>
      <w:marLeft w:val="0"/>
      <w:marRight w:val="0"/>
      <w:marTop w:val="0"/>
      <w:marBottom w:val="0"/>
      <w:divBdr>
        <w:top w:val="none" w:sz="0" w:space="0" w:color="auto"/>
        <w:left w:val="none" w:sz="0" w:space="0" w:color="auto"/>
        <w:bottom w:val="none" w:sz="0" w:space="0" w:color="auto"/>
        <w:right w:val="none" w:sz="0" w:space="0" w:color="auto"/>
      </w:divBdr>
    </w:div>
    <w:div w:id="1034384475">
      <w:bodyDiv w:val="1"/>
      <w:marLeft w:val="0"/>
      <w:marRight w:val="0"/>
      <w:marTop w:val="0"/>
      <w:marBottom w:val="0"/>
      <w:divBdr>
        <w:top w:val="none" w:sz="0" w:space="0" w:color="auto"/>
        <w:left w:val="none" w:sz="0" w:space="0" w:color="auto"/>
        <w:bottom w:val="none" w:sz="0" w:space="0" w:color="auto"/>
        <w:right w:val="none" w:sz="0" w:space="0" w:color="auto"/>
      </w:divBdr>
    </w:div>
    <w:div w:id="1034499140">
      <w:bodyDiv w:val="1"/>
      <w:marLeft w:val="0"/>
      <w:marRight w:val="0"/>
      <w:marTop w:val="0"/>
      <w:marBottom w:val="0"/>
      <w:divBdr>
        <w:top w:val="none" w:sz="0" w:space="0" w:color="auto"/>
        <w:left w:val="none" w:sz="0" w:space="0" w:color="auto"/>
        <w:bottom w:val="none" w:sz="0" w:space="0" w:color="auto"/>
        <w:right w:val="none" w:sz="0" w:space="0" w:color="auto"/>
      </w:divBdr>
    </w:div>
    <w:div w:id="1034572562">
      <w:bodyDiv w:val="1"/>
      <w:marLeft w:val="0"/>
      <w:marRight w:val="0"/>
      <w:marTop w:val="0"/>
      <w:marBottom w:val="0"/>
      <w:divBdr>
        <w:top w:val="none" w:sz="0" w:space="0" w:color="auto"/>
        <w:left w:val="none" w:sz="0" w:space="0" w:color="auto"/>
        <w:bottom w:val="none" w:sz="0" w:space="0" w:color="auto"/>
        <w:right w:val="none" w:sz="0" w:space="0" w:color="auto"/>
      </w:divBdr>
    </w:div>
    <w:div w:id="1034575191">
      <w:bodyDiv w:val="1"/>
      <w:marLeft w:val="0"/>
      <w:marRight w:val="0"/>
      <w:marTop w:val="0"/>
      <w:marBottom w:val="0"/>
      <w:divBdr>
        <w:top w:val="none" w:sz="0" w:space="0" w:color="auto"/>
        <w:left w:val="none" w:sz="0" w:space="0" w:color="auto"/>
        <w:bottom w:val="none" w:sz="0" w:space="0" w:color="auto"/>
        <w:right w:val="none" w:sz="0" w:space="0" w:color="auto"/>
      </w:divBdr>
    </w:div>
    <w:div w:id="1034580815">
      <w:bodyDiv w:val="1"/>
      <w:marLeft w:val="0"/>
      <w:marRight w:val="0"/>
      <w:marTop w:val="0"/>
      <w:marBottom w:val="0"/>
      <w:divBdr>
        <w:top w:val="none" w:sz="0" w:space="0" w:color="auto"/>
        <w:left w:val="none" w:sz="0" w:space="0" w:color="auto"/>
        <w:bottom w:val="none" w:sz="0" w:space="0" w:color="auto"/>
        <w:right w:val="none" w:sz="0" w:space="0" w:color="auto"/>
      </w:divBdr>
    </w:div>
    <w:div w:id="1034616932">
      <w:bodyDiv w:val="1"/>
      <w:marLeft w:val="0"/>
      <w:marRight w:val="0"/>
      <w:marTop w:val="0"/>
      <w:marBottom w:val="0"/>
      <w:divBdr>
        <w:top w:val="none" w:sz="0" w:space="0" w:color="auto"/>
        <w:left w:val="none" w:sz="0" w:space="0" w:color="auto"/>
        <w:bottom w:val="none" w:sz="0" w:space="0" w:color="auto"/>
        <w:right w:val="none" w:sz="0" w:space="0" w:color="auto"/>
      </w:divBdr>
    </w:div>
    <w:div w:id="1034623388">
      <w:bodyDiv w:val="1"/>
      <w:marLeft w:val="0"/>
      <w:marRight w:val="0"/>
      <w:marTop w:val="0"/>
      <w:marBottom w:val="0"/>
      <w:divBdr>
        <w:top w:val="none" w:sz="0" w:space="0" w:color="auto"/>
        <w:left w:val="none" w:sz="0" w:space="0" w:color="auto"/>
        <w:bottom w:val="none" w:sz="0" w:space="0" w:color="auto"/>
        <w:right w:val="none" w:sz="0" w:space="0" w:color="auto"/>
      </w:divBdr>
    </w:div>
    <w:div w:id="1034696319">
      <w:bodyDiv w:val="1"/>
      <w:marLeft w:val="0"/>
      <w:marRight w:val="0"/>
      <w:marTop w:val="0"/>
      <w:marBottom w:val="0"/>
      <w:divBdr>
        <w:top w:val="none" w:sz="0" w:space="0" w:color="auto"/>
        <w:left w:val="none" w:sz="0" w:space="0" w:color="auto"/>
        <w:bottom w:val="none" w:sz="0" w:space="0" w:color="auto"/>
        <w:right w:val="none" w:sz="0" w:space="0" w:color="auto"/>
      </w:divBdr>
    </w:div>
    <w:div w:id="1034891019">
      <w:bodyDiv w:val="1"/>
      <w:marLeft w:val="0"/>
      <w:marRight w:val="0"/>
      <w:marTop w:val="0"/>
      <w:marBottom w:val="0"/>
      <w:divBdr>
        <w:top w:val="none" w:sz="0" w:space="0" w:color="auto"/>
        <w:left w:val="none" w:sz="0" w:space="0" w:color="auto"/>
        <w:bottom w:val="none" w:sz="0" w:space="0" w:color="auto"/>
        <w:right w:val="none" w:sz="0" w:space="0" w:color="auto"/>
      </w:divBdr>
    </w:div>
    <w:div w:id="1035076547">
      <w:bodyDiv w:val="1"/>
      <w:marLeft w:val="0"/>
      <w:marRight w:val="0"/>
      <w:marTop w:val="0"/>
      <w:marBottom w:val="0"/>
      <w:divBdr>
        <w:top w:val="none" w:sz="0" w:space="0" w:color="auto"/>
        <w:left w:val="none" w:sz="0" w:space="0" w:color="auto"/>
        <w:bottom w:val="none" w:sz="0" w:space="0" w:color="auto"/>
        <w:right w:val="none" w:sz="0" w:space="0" w:color="auto"/>
      </w:divBdr>
    </w:div>
    <w:div w:id="1035076591">
      <w:bodyDiv w:val="1"/>
      <w:marLeft w:val="0"/>
      <w:marRight w:val="0"/>
      <w:marTop w:val="0"/>
      <w:marBottom w:val="0"/>
      <w:divBdr>
        <w:top w:val="none" w:sz="0" w:space="0" w:color="auto"/>
        <w:left w:val="none" w:sz="0" w:space="0" w:color="auto"/>
        <w:bottom w:val="none" w:sz="0" w:space="0" w:color="auto"/>
        <w:right w:val="none" w:sz="0" w:space="0" w:color="auto"/>
      </w:divBdr>
    </w:div>
    <w:div w:id="1035077537">
      <w:bodyDiv w:val="1"/>
      <w:marLeft w:val="0"/>
      <w:marRight w:val="0"/>
      <w:marTop w:val="0"/>
      <w:marBottom w:val="0"/>
      <w:divBdr>
        <w:top w:val="none" w:sz="0" w:space="0" w:color="auto"/>
        <w:left w:val="none" w:sz="0" w:space="0" w:color="auto"/>
        <w:bottom w:val="none" w:sz="0" w:space="0" w:color="auto"/>
        <w:right w:val="none" w:sz="0" w:space="0" w:color="auto"/>
      </w:divBdr>
    </w:div>
    <w:div w:id="1035154420">
      <w:bodyDiv w:val="1"/>
      <w:marLeft w:val="0"/>
      <w:marRight w:val="0"/>
      <w:marTop w:val="0"/>
      <w:marBottom w:val="0"/>
      <w:divBdr>
        <w:top w:val="none" w:sz="0" w:space="0" w:color="auto"/>
        <w:left w:val="none" w:sz="0" w:space="0" w:color="auto"/>
        <w:bottom w:val="none" w:sz="0" w:space="0" w:color="auto"/>
        <w:right w:val="none" w:sz="0" w:space="0" w:color="auto"/>
      </w:divBdr>
    </w:div>
    <w:div w:id="1035158488">
      <w:bodyDiv w:val="1"/>
      <w:marLeft w:val="0"/>
      <w:marRight w:val="0"/>
      <w:marTop w:val="0"/>
      <w:marBottom w:val="0"/>
      <w:divBdr>
        <w:top w:val="none" w:sz="0" w:space="0" w:color="auto"/>
        <w:left w:val="none" w:sz="0" w:space="0" w:color="auto"/>
        <w:bottom w:val="none" w:sz="0" w:space="0" w:color="auto"/>
        <w:right w:val="none" w:sz="0" w:space="0" w:color="auto"/>
      </w:divBdr>
    </w:div>
    <w:div w:id="1035160433">
      <w:bodyDiv w:val="1"/>
      <w:marLeft w:val="0"/>
      <w:marRight w:val="0"/>
      <w:marTop w:val="0"/>
      <w:marBottom w:val="0"/>
      <w:divBdr>
        <w:top w:val="none" w:sz="0" w:space="0" w:color="auto"/>
        <w:left w:val="none" w:sz="0" w:space="0" w:color="auto"/>
        <w:bottom w:val="none" w:sz="0" w:space="0" w:color="auto"/>
        <w:right w:val="none" w:sz="0" w:space="0" w:color="auto"/>
      </w:divBdr>
    </w:div>
    <w:div w:id="1035233502">
      <w:bodyDiv w:val="1"/>
      <w:marLeft w:val="0"/>
      <w:marRight w:val="0"/>
      <w:marTop w:val="0"/>
      <w:marBottom w:val="0"/>
      <w:divBdr>
        <w:top w:val="none" w:sz="0" w:space="0" w:color="auto"/>
        <w:left w:val="none" w:sz="0" w:space="0" w:color="auto"/>
        <w:bottom w:val="none" w:sz="0" w:space="0" w:color="auto"/>
        <w:right w:val="none" w:sz="0" w:space="0" w:color="auto"/>
      </w:divBdr>
    </w:div>
    <w:div w:id="1035350422">
      <w:bodyDiv w:val="1"/>
      <w:marLeft w:val="0"/>
      <w:marRight w:val="0"/>
      <w:marTop w:val="0"/>
      <w:marBottom w:val="0"/>
      <w:divBdr>
        <w:top w:val="none" w:sz="0" w:space="0" w:color="auto"/>
        <w:left w:val="none" w:sz="0" w:space="0" w:color="auto"/>
        <w:bottom w:val="none" w:sz="0" w:space="0" w:color="auto"/>
        <w:right w:val="none" w:sz="0" w:space="0" w:color="auto"/>
      </w:divBdr>
    </w:div>
    <w:div w:id="1035428589">
      <w:bodyDiv w:val="1"/>
      <w:marLeft w:val="0"/>
      <w:marRight w:val="0"/>
      <w:marTop w:val="0"/>
      <w:marBottom w:val="0"/>
      <w:divBdr>
        <w:top w:val="none" w:sz="0" w:space="0" w:color="auto"/>
        <w:left w:val="none" w:sz="0" w:space="0" w:color="auto"/>
        <w:bottom w:val="none" w:sz="0" w:space="0" w:color="auto"/>
        <w:right w:val="none" w:sz="0" w:space="0" w:color="auto"/>
      </w:divBdr>
    </w:div>
    <w:div w:id="1035496879">
      <w:bodyDiv w:val="1"/>
      <w:marLeft w:val="0"/>
      <w:marRight w:val="0"/>
      <w:marTop w:val="0"/>
      <w:marBottom w:val="0"/>
      <w:divBdr>
        <w:top w:val="none" w:sz="0" w:space="0" w:color="auto"/>
        <w:left w:val="none" w:sz="0" w:space="0" w:color="auto"/>
        <w:bottom w:val="none" w:sz="0" w:space="0" w:color="auto"/>
        <w:right w:val="none" w:sz="0" w:space="0" w:color="auto"/>
      </w:divBdr>
    </w:div>
    <w:div w:id="1035497961">
      <w:bodyDiv w:val="1"/>
      <w:marLeft w:val="0"/>
      <w:marRight w:val="0"/>
      <w:marTop w:val="0"/>
      <w:marBottom w:val="0"/>
      <w:divBdr>
        <w:top w:val="none" w:sz="0" w:space="0" w:color="auto"/>
        <w:left w:val="none" w:sz="0" w:space="0" w:color="auto"/>
        <w:bottom w:val="none" w:sz="0" w:space="0" w:color="auto"/>
        <w:right w:val="none" w:sz="0" w:space="0" w:color="auto"/>
      </w:divBdr>
    </w:div>
    <w:div w:id="1035499727">
      <w:bodyDiv w:val="1"/>
      <w:marLeft w:val="0"/>
      <w:marRight w:val="0"/>
      <w:marTop w:val="0"/>
      <w:marBottom w:val="0"/>
      <w:divBdr>
        <w:top w:val="none" w:sz="0" w:space="0" w:color="auto"/>
        <w:left w:val="none" w:sz="0" w:space="0" w:color="auto"/>
        <w:bottom w:val="none" w:sz="0" w:space="0" w:color="auto"/>
        <w:right w:val="none" w:sz="0" w:space="0" w:color="auto"/>
      </w:divBdr>
    </w:div>
    <w:div w:id="1035538399">
      <w:bodyDiv w:val="1"/>
      <w:marLeft w:val="0"/>
      <w:marRight w:val="0"/>
      <w:marTop w:val="0"/>
      <w:marBottom w:val="0"/>
      <w:divBdr>
        <w:top w:val="none" w:sz="0" w:space="0" w:color="auto"/>
        <w:left w:val="none" w:sz="0" w:space="0" w:color="auto"/>
        <w:bottom w:val="none" w:sz="0" w:space="0" w:color="auto"/>
        <w:right w:val="none" w:sz="0" w:space="0" w:color="auto"/>
      </w:divBdr>
    </w:div>
    <w:div w:id="1035544147">
      <w:bodyDiv w:val="1"/>
      <w:marLeft w:val="0"/>
      <w:marRight w:val="0"/>
      <w:marTop w:val="0"/>
      <w:marBottom w:val="0"/>
      <w:divBdr>
        <w:top w:val="none" w:sz="0" w:space="0" w:color="auto"/>
        <w:left w:val="none" w:sz="0" w:space="0" w:color="auto"/>
        <w:bottom w:val="none" w:sz="0" w:space="0" w:color="auto"/>
        <w:right w:val="none" w:sz="0" w:space="0" w:color="auto"/>
      </w:divBdr>
    </w:div>
    <w:div w:id="1035615887">
      <w:bodyDiv w:val="1"/>
      <w:marLeft w:val="0"/>
      <w:marRight w:val="0"/>
      <w:marTop w:val="0"/>
      <w:marBottom w:val="0"/>
      <w:divBdr>
        <w:top w:val="none" w:sz="0" w:space="0" w:color="auto"/>
        <w:left w:val="none" w:sz="0" w:space="0" w:color="auto"/>
        <w:bottom w:val="none" w:sz="0" w:space="0" w:color="auto"/>
        <w:right w:val="none" w:sz="0" w:space="0" w:color="auto"/>
      </w:divBdr>
    </w:div>
    <w:div w:id="1035622803">
      <w:bodyDiv w:val="1"/>
      <w:marLeft w:val="0"/>
      <w:marRight w:val="0"/>
      <w:marTop w:val="0"/>
      <w:marBottom w:val="0"/>
      <w:divBdr>
        <w:top w:val="none" w:sz="0" w:space="0" w:color="auto"/>
        <w:left w:val="none" w:sz="0" w:space="0" w:color="auto"/>
        <w:bottom w:val="none" w:sz="0" w:space="0" w:color="auto"/>
        <w:right w:val="none" w:sz="0" w:space="0" w:color="auto"/>
      </w:divBdr>
    </w:div>
    <w:div w:id="1035739966">
      <w:bodyDiv w:val="1"/>
      <w:marLeft w:val="0"/>
      <w:marRight w:val="0"/>
      <w:marTop w:val="0"/>
      <w:marBottom w:val="0"/>
      <w:divBdr>
        <w:top w:val="none" w:sz="0" w:space="0" w:color="auto"/>
        <w:left w:val="none" w:sz="0" w:space="0" w:color="auto"/>
        <w:bottom w:val="none" w:sz="0" w:space="0" w:color="auto"/>
        <w:right w:val="none" w:sz="0" w:space="0" w:color="auto"/>
      </w:divBdr>
    </w:div>
    <w:div w:id="1035740712">
      <w:bodyDiv w:val="1"/>
      <w:marLeft w:val="0"/>
      <w:marRight w:val="0"/>
      <w:marTop w:val="0"/>
      <w:marBottom w:val="0"/>
      <w:divBdr>
        <w:top w:val="none" w:sz="0" w:space="0" w:color="auto"/>
        <w:left w:val="none" w:sz="0" w:space="0" w:color="auto"/>
        <w:bottom w:val="none" w:sz="0" w:space="0" w:color="auto"/>
        <w:right w:val="none" w:sz="0" w:space="0" w:color="auto"/>
      </w:divBdr>
    </w:div>
    <w:div w:id="1035808725">
      <w:bodyDiv w:val="1"/>
      <w:marLeft w:val="0"/>
      <w:marRight w:val="0"/>
      <w:marTop w:val="0"/>
      <w:marBottom w:val="0"/>
      <w:divBdr>
        <w:top w:val="none" w:sz="0" w:space="0" w:color="auto"/>
        <w:left w:val="none" w:sz="0" w:space="0" w:color="auto"/>
        <w:bottom w:val="none" w:sz="0" w:space="0" w:color="auto"/>
        <w:right w:val="none" w:sz="0" w:space="0" w:color="auto"/>
      </w:divBdr>
    </w:div>
    <w:div w:id="1035809437">
      <w:bodyDiv w:val="1"/>
      <w:marLeft w:val="0"/>
      <w:marRight w:val="0"/>
      <w:marTop w:val="0"/>
      <w:marBottom w:val="0"/>
      <w:divBdr>
        <w:top w:val="none" w:sz="0" w:space="0" w:color="auto"/>
        <w:left w:val="none" w:sz="0" w:space="0" w:color="auto"/>
        <w:bottom w:val="none" w:sz="0" w:space="0" w:color="auto"/>
        <w:right w:val="none" w:sz="0" w:space="0" w:color="auto"/>
      </w:divBdr>
    </w:div>
    <w:div w:id="1035884757">
      <w:bodyDiv w:val="1"/>
      <w:marLeft w:val="0"/>
      <w:marRight w:val="0"/>
      <w:marTop w:val="0"/>
      <w:marBottom w:val="0"/>
      <w:divBdr>
        <w:top w:val="none" w:sz="0" w:space="0" w:color="auto"/>
        <w:left w:val="none" w:sz="0" w:space="0" w:color="auto"/>
        <w:bottom w:val="none" w:sz="0" w:space="0" w:color="auto"/>
        <w:right w:val="none" w:sz="0" w:space="0" w:color="auto"/>
      </w:divBdr>
    </w:div>
    <w:div w:id="1035928424">
      <w:bodyDiv w:val="1"/>
      <w:marLeft w:val="0"/>
      <w:marRight w:val="0"/>
      <w:marTop w:val="0"/>
      <w:marBottom w:val="0"/>
      <w:divBdr>
        <w:top w:val="none" w:sz="0" w:space="0" w:color="auto"/>
        <w:left w:val="none" w:sz="0" w:space="0" w:color="auto"/>
        <w:bottom w:val="none" w:sz="0" w:space="0" w:color="auto"/>
        <w:right w:val="none" w:sz="0" w:space="0" w:color="auto"/>
      </w:divBdr>
    </w:div>
    <w:div w:id="1035928566">
      <w:bodyDiv w:val="1"/>
      <w:marLeft w:val="0"/>
      <w:marRight w:val="0"/>
      <w:marTop w:val="0"/>
      <w:marBottom w:val="0"/>
      <w:divBdr>
        <w:top w:val="none" w:sz="0" w:space="0" w:color="auto"/>
        <w:left w:val="none" w:sz="0" w:space="0" w:color="auto"/>
        <w:bottom w:val="none" w:sz="0" w:space="0" w:color="auto"/>
        <w:right w:val="none" w:sz="0" w:space="0" w:color="auto"/>
      </w:divBdr>
    </w:div>
    <w:div w:id="1035930748">
      <w:bodyDiv w:val="1"/>
      <w:marLeft w:val="0"/>
      <w:marRight w:val="0"/>
      <w:marTop w:val="0"/>
      <w:marBottom w:val="0"/>
      <w:divBdr>
        <w:top w:val="none" w:sz="0" w:space="0" w:color="auto"/>
        <w:left w:val="none" w:sz="0" w:space="0" w:color="auto"/>
        <w:bottom w:val="none" w:sz="0" w:space="0" w:color="auto"/>
        <w:right w:val="none" w:sz="0" w:space="0" w:color="auto"/>
      </w:divBdr>
    </w:div>
    <w:div w:id="1035959397">
      <w:bodyDiv w:val="1"/>
      <w:marLeft w:val="0"/>
      <w:marRight w:val="0"/>
      <w:marTop w:val="0"/>
      <w:marBottom w:val="0"/>
      <w:divBdr>
        <w:top w:val="none" w:sz="0" w:space="0" w:color="auto"/>
        <w:left w:val="none" w:sz="0" w:space="0" w:color="auto"/>
        <w:bottom w:val="none" w:sz="0" w:space="0" w:color="auto"/>
        <w:right w:val="none" w:sz="0" w:space="0" w:color="auto"/>
      </w:divBdr>
    </w:div>
    <w:div w:id="1036080637">
      <w:bodyDiv w:val="1"/>
      <w:marLeft w:val="0"/>
      <w:marRight w:val="0"/>
      <w:marTop w:val="0"/>
      <w:marBottom w:val="0"/>
      <w:divBdr>
        <w:top w:val="none" w:sz="0" w:space="0" w:color="auto"/>
        <w:left w:val="none" w:sz="0" w:space="0" w:color="auto"/>
        <w:bottom w:val="none" w:sz="0" w:space="0" w:color="auto"/>
        <w:right w:val="none" w:sz="0" w:space="0" w:color="auto"/>
      </w:divBdr>
    </w:div>
    <w:div w:id="1036125828">
      <w:bodyDiv w:val="1"/>
      <w:marLeft w:val="0"/>
      <w:marRight w:val="0"/>
      <w:marTop w:val="0"/>
      <w:marBottom w:val="0"/>
      <w:divBdr>
        <w:top w:val="none" w:sz="0" w:space="0" w:color="auto"/>
        <w:left w:val="none" w:sz="0" w:space="0" w:color="auto"/>
        <w:bottom w:val="none" w:sz="0" w:space="0" w:color="auto"/>
        <w:right w:val="none" w:sz="0" w:space="0" w:color="auto"/>
      </w:divBdr>
    </w:div>
    <w:div w:id="1036269293">
      <w:bodyDiv w:val="1"/>
      <w:marLeft w:val="0"/>
      <w:marRight w:val="0"/>
      <w:marTop w:val="0"/>
      <w:marBottom w:val="0"/>
      <w:divBdr>
        <w:top w:val="none" w:sz="0" w:space="0" w:color="auto"/>
        <w:left w:val="none" w:sz="0" w:space="0" w:color="auto"/>
        <w:bottom w:val="none" w:sz="0" w:space="0" w:color="auto"/>
        <w:right w:val="none" w:sz="0" w:space="0" w:color="auto"/>
      </w:divBdr>
    </w:div>
    <w:div w:id="1036270050">
      <w:bodyDiv w:val="1"/>
      <w:marLeft w:val="0"/>
      <w:marRight w:val="0"/>
      <w:marTop w:val="0"/>
      <w:marBottom w:val="0"/>
      <w:divBdr>
        <w:top w:val="none" w:sz="0" w:space="0" w:color="auto"/>
        <w:left w:val="none" w:sz="0" w:space="0" w:color="auto"/>
        <w:bottom w:val="none" w:sz="0" w:space="0" w:color="auto"/>
        <w:right w:val="none" w:sz="0" w:space="0" w:color="auto"/>
      </w:divBdr>
    </w:div>
    <w:div w:id="1036278345">
      <w:bodyDiv w:val="1"/>
      <w:marLeft w:val="0"/>
      <w:marRight w:val="0"/>
      <w:marTop w:val="0"/>
      <w:marBottom w:val="0"/>
      <w:divBdr>
        <w:top w:val="none" w:sz="0" w:space="0" w:color="auto"/>
        <w:left w:val="none" w:sz="0" w:space="0" w:color="auto"/>
        <w:bottom w:val="none" w:sz="0" w:space="0" w:color="auto"/>
        <w:right w:val="none" w:sz="0" w:space="0" w:color="auto"/>
      </w:divBdr>
    </w:div>
    <w:div w:id="1036388375">
      <w:bodyDiv w:val="1"/>
      <w:marLeft w:val="0"/>
      <w:marRight w:val="0"/>
      <w:marTop w:val="0"/>
      <w:marBottom w:val="0"/>
      <w:divBdr>
        <w:top w:val="none" w:sz="0" w:space="0" w:color="auto"/>
        <w:left w:val="none" w:sz="0" w:space="0" w:color="auto"/>
        <w:bottom w:val="none" w:sz="0" w:space="0" w:color="auto"/>
        <w:right w:val="none" w:sz="0" w:space="0" w:color="auto"/>
      </w:divBdr>
    </w:div>
    <w:div w:id="1036539467">
      <w:bodyDiv w:val="1"/>
      <w:marLeft w:val="0"/>
      <w:marRight w:val="0"/>
      <w:marTop w:val="0"/>
      <w:marBottom w:val="0"/>
      <w:divBdr>
        <w:top w:val="none" w:sz="0" w:space="0" w:color="auto"/>
        <w:left w:val="none" w:sz="0" w:space="0" w:color="auto"/>
        <w:bottom w:val="none" w:sz="0" w:space="0" w:color="auto"/>
        <w:right w:val="none" w:sz="0" w:space="0" w:color="auto"/>
      </w:divBdr>
    </w:div>
    <w:div w:id="1036542452">
      <w:bodyDiv w:val="1"/>
      <w:marLeft w:val="0"/>
      <w:marRight w:val="0"/>
      <w:marTop w:val="0"/>
      <w:marBottom w:val="0"/>
      <w:divBdr>
        <w:top w:val="none" w:sz="0" w:space="0" w:color="auto"/>
        <w:left w:val="none" w:sz="0" w:space="0" w:color="auto"/>
        <w:bottom w:val="none" w:sz="0" w:space="0" w:color="auto"/>
        <w:right w:val="none" w:sz="0" w:space="0" w:color="auto"/>
      </w:divBdr>
    </w:div>
    <w:div w:id="1036662425">
      <w:bodyDiv w:val="1"/>
      <w:marLeft w:val="0"/>
      <w:marRight w:val="0"/>
      <w:marTop w:val="0"/>
      <w:marBottom w:val="0"/>
      <w:divBdr>
        <w:top w:val="none" w:sz="0" w:space="0" w:color="auto"/>
        <w:left w:val="none" w:sz="0" w:space="0" w:color="auto"/>
        <w:bottom w:val="none" w:sz="0" w:space="0" w:color="auto"/>
        <w:right w:val="none" w:sz="0" w:space="0" w:color="auto"/>
      </w:divBdr>
    </w:div>
    <w:div w:id="1036664382">
      <w:bodyDiv w:val="1"/>
      <w:marLeft w:val="0"/>
      <w:marRight w:val="0"/>
      <w:marTop w:val="0"/>
      <w:marBottom w:val="0"/>
      <w:divBdr>
        <w:top w:val="none" w:sz="0" w:space="0" w:color="auto"/>
        <w:left w:val="none" w:sz="0" w:space="0" w:color="auto"/>
        <w:bottom w:val="none" w:sz="0" w:space="0" w:color="auto"/>
        <w:right w:val="none" w:sz="0" w:space="0" w:color="auto"/>
      </w:divBdr>
    </w:div>
    <w:div w:id="1036732918">
      <w:bodyDiv w:val="1"/>
      <w:marLeft w:val="0"/>
      <w:marRight w:val="0"/>
      <w:marTop w:val="0"/>
      <w:marBottom w:val="0"/>
      <w:divBdr>
        <w:top w:val="none" w:sz="0" w:space="0" w:color="auto"/>
        <w:left w:val="none" w:sz="0" w:space="0" w:color="auto"/>
        <w:bottom w:val="none" w:sz="0" w:space="0" w:color="auto"/>
        <w:right w:val="none" w:sz="0" w:space="0" w:color="auto"/>
      </w:divBdr>
    </w:div>
    <w:div w:id="1036735706">
      <w:bodyDiv w:val="1"/>
      <w:marLeft w:val="0"/>
      <w:marRight w:val="0"/>
      <w:marTop w:val="0"/>
      <w:marBottom w:val="0"/>
      <w:divBdr>
        <w:top w:val="none" w:sz="0" w:space="0" w:color="auto"/>
        <w:left w:val="none" w:sz="0" w:space="0" w:color="auto"/>
        <w:bottom w:val="none" w:sz="0" w:space="0" w:color="auto"/>
        <w:right w:val="none" w:sz="0" w:space="0" w:color="auto"/>
      </w:divBdr>
    </w:div>
    <w:div w:id="1036737306">
      <w:bodyDiv w:val="1"/>
      <w:marLeft w:val="0"/>
      <w:marRight w:val="0"/>
      <w:marTop w:val="0"/>
      <w:marBottom w:val="0"/>
      <w:divBdr>
        <w:top w:val="none" w:sz="0" w:space="0" w:color="auto"/>
        <w:left w:val="none" w:sz="0" w:space="0" w:color="auto"/>
        <w:bottom w:val="none" w:sz="0" w:space="0" w:color="auto"/>
        <w:right w:val="none" w:sz="0" w:space="0" w:color="auto"/>
      </w:divBdr>
    </w:div>
    <w:div w:id="1036854065">
      <w:bodyDiv w:val="1"/>
      <w:marLeft w:val="0"/>
      <w:marRight w:val="0"/>
      <w:marTop w:val="0"/>
      <w:marBottom w:val="0"/>
      <w:divBdr>
        <w:top w:val="none" w:sz="0" w:space="0" w:color="auto"/>
        <w:left w:val="none" w:sz="0" w:space="0" w:color="auto"/>
        <w:bottom w:val="none" w:sz="0" w:space="0" w:color="auto"/>
        <w:right w:val="none" w:sz="0" w:space="0" w:color="auto"/>
      </w:divBdr>
    </w:div>
    <w:div w:id="1037003751">
      <w:bodyDiv w:val="1"/>
      <w:marLeft w:val="0"/>
      <w:marRight w:val="0"/>
      <w:marTop w:val="0"/>
      <w:marBottom w:val="0"/>
      <w:divBdr>
        <w:top w:val="none" w:sz="0" w:space="0" w:color="auto"/>
        <w:left w:val="none" w:sz="0" w:space="0" w:color="auto"/>
        <w:bottom w:val="none" w:sz="0" w:space="0" w:color="auto"/>
        <w:right w:val="none" w:sz="0" w:space="0" w:color="auto"/>
      </w:divBdr>
    </w:div>
    <w:div w:id="1037008297">
      <w:bodyDiv w:val="1"/>
      <w:marLeft w:val="0"/>
      <w:marRight w:val="0"/>
      <w:marTop w:val="0"/>
      <w:marBottom w:val="0"/>
      <w:divBdr>
        <w:top w:val="none" w:sz="0" w:space="0" w:color="auto"/>
        <w:left w:val="none" w:sz="0" w:space="0" w:color="auto"/>
        <w:bottom w:val="none" w:sz="0" w:space="0" w:color="auto"/>
        <w:right w:val="none" w:sz="0" w:space="0" w:color="auto"/>
      </w:divBdr>
    </w:div>
    <w:div w:id="1037048286">
      <w:bodyDiv w:val="1"/>
      <w:marLeft w:val="0"/>
      <w:marRight w:val="0"/>
      <w:marTop w:val="0"/>
      <w:marBottom w:val="0"/>
      <w:divBdr>
        <w:top w:val="none" w:sz="0" w:space="0" w:color="auto"/>
        <w:left w:val="none" w:sz="0" w:space="0" w:color="auto"/>
        <w:bottom w:val="none" w:sz="0" w:space="0" w:color="auto"/>
        <w:right w:val="none" w:sz="0" w:space="0" w:color="auto"/>
      </w:divBdr>
    </w:div>
    <w:div w:id="1037048357">
      <w:bodyDiv w:val="1"/>
      <w:marLeft w:val="0"/>
      <w:marRight w:val="0"/>
      <w:marTop w:val="0"/>
      <w:marBottom w:val="0"/>
      <w:divBdr>
        <w:top w:val="none" w:sz="0" w:space="0" w:color="auto"/>
        <w:left w:val="none" w:sz="0" w:space="0" w:color="auto"/>
        <w:bottom w:val="none" w:sz="0" w:space="0" w:color="auto"/>
        <w:right w:val="none" w:sz="0" w:space="0" w:color="auto"/>
      </w:divBdr>
    </w:div>
    <w:div w:id="1037123401">
      <w:bodyDiv w:val="1"/>
      <w:marLeft w:val="0"/>
      <w:marRight w:val="0"/>
      <w:marTop w:val="0"/>
      <w:marBottom w:val="0"/>
      <w:divBdr>
        <w:top w:val="none" w:sz="0" w:space="0" w:color="auto"/>
        <w:left w:val="none" w:sz="0" w:space="0" w:color="auto"/>
        <w:bottom w:val="none" w:sz="0" w:space="0" w:color="auto"/>
        <w:right w:val="none" w:sz="0" w:space="0" w:color="auto"/>
      </w:divBdr>
    </w:div>
    <w:div w:id="1037124366">
      <w:bodyDiv w:val="1"/>
      <w:marLeft w:val="0"/>
      <w:marRight w:val="0"/>
      <w:marTop w:val="0"/>
      <w:marBottom w:val="0"/>
      <w:divBdr>
        <w:top w:val="none" w:sz="0" w:space="0" w:color="auto"/>
        <w:left w:val="none" w:sz="0" w:space="0" w:color="auto"/>
        <w:bottom w:val="none" w:sz="0" w:space="0" w:color="auto"/>
        <w:right w:val="none" w:sz="0" w:space="0" w:color="auto"/>
      </w:divBdr>
    </w:div>
    <w:div w:id="1037198850">
      <w:bodyDiv w:val="1"/>
      <w:marLeft w:val="0"/>
      <w:marRight w:val="0"/>
      <w:marTop w:val="0"/>
      <w:marBottom w:val="0"/>
      <w:divBdr>
        <w:top w:val="none" w:sz="0" w:space="0" w:color="auto"/>
        <w:left w:val="none" w:sz="0" w:space="0" w:color="auto"/>
        <w:bottom w:val="none" w:sz="0" w:space="0" w:color="auto"/>
        <w:right w:val="none" w:sz="0" w:space="0" w:color="auto"/>
      </w:divBdr>
    </w:div>
    <w:div w:id="1037317376">
      <w:bodyDiv w:val="1"/>
      <w:marLeft w:val="0"/>
      <w:marRight w:val="0"/>
      <w:marTop w:val="0"/>
      <w:marBottom w:val="0"/>
      <w:divBdr>
        <w:top w:val="none" w:sz="0" w:space="0" w:color="auto"/>
        <w:left w:val="none" w:sz="0" w:space="0" w:color="auto"/>
        <w:bottom w:val="none" w:sz="0" w:space="0" w:color="auto"/>
        <w:right w:val="none" w:sz="0" w:space="0" w:color="auto"/>
      </w:divBdr>
    </w:div>
    <w:div w:id="1037464798">
      <w:bodyDiv w:val="1"/>
      <w:marLeft w:val="0"/>
      <w:marRight w:val="0"/>
      <w:marTop w:val="0"/>
      <w:marBottom w:val="0"/>
      <w:divBdr>
        <w:top w:val="none" w:sz="0" w:space="0" w:color="auto"/>
        <w:left w:val="none" w:sz="0" w:space="0" w:color="auto"/>
        <w:bottom w:val="none" w:sz="0" w:space="0" w:color="auto"/>
        <w:right w:val="none" w:sz="0" w:space="0" w:color="auto"/>
      </w:divBdr>
    </w:div>
    <w:div w:id="1037506310">
      <w:bodyDiv w:val="1"/>
      <w:marLeft w:val="0"/>
      <w:marRight w:val="0"/>
      <w:marTop w:val="0"/>
      <w:marBottom w:val="0"/>
      <w:divBdr>
        <w:top w:val="none" w:sz="0" w:space="0" w:color="auto"/>
        <w:left w:val="none" w:sz="0" w:space="0" w:color="auto"/>
        <w:bottom w:val="none" w:sz="0" w:space="0" w:color="auto"/>
        <w:right w:val="none" w:sz="0" w:space="0" w:color="auto"/>
      </w:divBdr>
    </w:div>
    <w:div w:id="1037512920">
      <w:bodyDiv w:val="1"/>
      <w:marLeft w:val="0"/>
      <w:marRight w:val="0"/>
      <w:marTop w:val="0"/>
      <w:marBottom w:val="0"/>
      <w:divBdr>
        <w:top w:val="none" w:sz="0" w:space="0" w:color="auto"/>
        <w:left w:val="none" w:sz="0" w:space="0" w:color="auto"/>
        <w:bottom w:val="none" w:sz="0" w:space="0" w:color="auto"/>
        <w:right w:val="none" w:sz="0" w:space="0" w:color="auto"/>
      </w:divBdr>
    </w:div>
    <w:div w:id="1037513970">
      <w:bodyDiv w:val="1"/>
      <w:marLeft w:val="0"/>
      <w:marRight w:val="0"/>
      <w:marTop w:val="0"/>
      <w:marBottom w:val="0"/>
      <w:divBdr>
        <w:top w:val="none" w:sz="0" w:space="0" w:color="auto"/>
        <w:left w:val="none" w:sz="0" w:space="0" w:color="auto"/>
        <w:bottom w:val="none" w:sz="0" w:space="0" w:color="auto"/>
        <w:right w:val="none" w:sz="0" w:space="0" w:color="auto"/>
      </w:divBdr>
    </w:div>
    <w:div w:id="1037660934">
      <w:bodyDiv w:val="1"/>
      <w:marLeft w:val="0"/>
      <w:marRight w:val="0"/>
      <w:marTop w:val="0"/>
      <w:marBottom w:val="0"/>
      <w:divBdr>
        <w:top w:val="none" w:sz="0" w:space="0" w:color="auto"/>
        <w:left w:val="none" w:sz="0" w:space="0" w:color="auto"/>
        <w:bottom w:val="none" w:sz="0" w:space="0" w:color="auto"/>
        <w:right w:val="none" w:sz="0" w:space="0" w:color="auto"/>
      </w:divBdr>
    </w:div>
    <w:div w:id="1037848909">
      <w:bodyDiv w:val="1"/>
      <w:marLeft w:val="0"/>
      <w:marRight w:val="0"/>
      <w:marTop w:val="0"/>
      <w:marBottom w:val="0"/>
      <w:divBdr>
        <w:top w:val="none" w:sz="0" w:space="0" w:color="auto"/>
        <w:left w:val="none" w:sz="0" w:space="0" w:color="auto"/>
        <w:bottom w:val="none" w:sz="0" w:space="0" w:color="auto"/>
        <w:right w:val="none" w:sz="0" w:space="0" w:color="auto"/>
      </w:divBdr>
    </w:div>
    <w:div w:id="1037856160">
      <w:bodyDiv w:val="1"/>
      <w:marLeft w:val="0"/>
      <w:marRight w:val="0"/>
      <w:marTop w:val="0"/>
      <w:marBottom w:val="0"/>
      <w:divBdr>
        <w:top w:val="none" w:sz="0" w:space="0" w:color="auto"/>
        <w:left w:val="none" w:sz="0" w:space="0" w:color="auto"/>
        <w:bottom w:val="none" w:sz="0" w:space="0" w:color="auto"/>
        <w:right w:val="none" w:sz="0" w:space="0" w:color="auto"/>
      </w:divBdr>
    </w:div>
    <w:div w:id="1037970494">
      <w:bodyDiv w:val="1"/>
      <w:marLeft w:val="0"/>
      <w:marRight w:val="0"/>
      <w:marTop w:val="0"/>
      <w:marBottom w:val="0"/>
      <w:divBdr>
        <w:top w:val="none" w:sz="0" w:space="0" w:color="auto"/>
        <w:left w:val="none" w:sz="0" w:space="0" w:color="auto"/>
        <w:bottom w:val="none" w:sz="0" w:space="0" w:color="auto"/>
        <w:right w:val="none" w:sz="0" w:space="0" w:color="auto"/>
      </w:divBdr>
    </w:div>
    <w:div w:id="1038045703">
      <w:bodyDiv w:val="1"/>
      <w:marLeft w:val="0"/>
      <w:marRight w:val="0"/>
      <w:marTop w:val="0"/>
      <w:marBottom w:val="0"/>
      <w:divBdr>
        <w:top w:val="none" w:sz="0" w:space="0" w:color="auto"/>
        <w:left w:val="none" w:sz="0" w:space="0" w:color="auto"/>
        <w:bottom w:val="none" w:sz="0" w:space="0" w:color="auto"/>
        <w:right w:val="none" w:sz="0" w:space="0" w:color="auto"/>
      </w:divBdr>
    </w:div>
    <w:div w:id="1038046392">
      <w:bodyDiv w:val="1"/>
      <w:marLeft w:val="0"/>
      <w:marRight w:val="0"/>
      <w:marTop w:val="0"/>
      <w:marBottom w:val="0"/>
      <w:divBdr>
        <w:top w:val="none" w:sz="0" w:space="0" w:color="auto"/>
        <w:left w:val="none" w:sz="0" w:space="0" w:color="auto"/>
        <w:bottom w:val="none" w:sz="0" w:space="0" w:color="auto"/>
        <w:right w:val="none" w:sz="0" w:space="0" w:color="auto"/>
      </w:divBdr>
    </w:div>
    <w:div w:id="1038048386">
      <w:bodyDiv w:val="1"/>
      <w:marLeft w:val="0"/>
      <w:marRight w:val="0"/>
      <w:marTop w:val="0"/>
      <w:marBottom w:val="0"/>
      <w:divBdr>
        <w:top w:val="none" w:sz="0" w:space="0" w:color="auto"/>
        <w:left w:val="none" w:sz="0" w:space="0" w:color="auto"/>
        <w:bottom w:val="none" w:sz="0" w:space="0" w:color="auto"/>
        <w:right w:val="none" w:sz="0" w:space="0" w:color="auto"/>
      </w:divBdr>
    </w:div>
    <w:div w:id="1038161104">
      <w:bodyDiv w:val="1"/>
      <w:marLeft w:val="0"/>
      <w:marRight w:val="0"/>
      <w:marTop w:val="0"/>
      <w:marBottom w:val="0"/>
      <w:divBdr>
        <w:top w:val="none" w:sz="0" w:space="0" w:color="auto"/>
        <w:left w:val="none" w:sz="0" w:space="0" w:color="auto"/>
        <w:bottom w:val="none" w:sz="0" w:space="0" w:color="auto"/>
        <w:right w:val="none" w:sz="0" w:space="0" w:color="auto"/>
      </w:divBdr>
    </w:div>
    <w:div w:id="1038235738">
      <w:bodyDiv w:val="1"/>
      <w:marLeft w:val="0"/>
      <w:marRight w:val="0"/>
      <w:marTop w:val="0"/>
      <w:marBottom w:val="0"/>
      <w:divBdr>
        <w:top w:val="none" w:sz="0" w:space="0" w:color="auto"/>
        <w:left w:val="none" w:sz="0" w:space="0" w:color="auto"/>
        <w:bottom w:val="none" w:sz="0" w:space="0" w:color="auto"/>
        <w:right w:val="none" w:sz="0" w:space="0" w:color="auto"/>
      </w:divBdr>
    </w:div>
    <w:div w:id="1038236494">
      <w:bodyDiv w:val="1"/>
      <w:marLeft w:val="0"/>
      <w:marRight w:val="0"/>
      <w:marTop w:val="0"/>
      <w:marBottom w:val="0"/>
      <w:divBdr>
        <w:top w:val="none" w:sz="0" w:space="0" w:color="auto"/>
        <w:left w:val="none" w:sz="0" w:space="0" w:color="auto"/>
        <w:bottom w:val="none" w:sz="0" w:space="0" w:color="auto"/>
        <w:right w:val="none" w:sz="0" w:space="0" w:color="auto"/>
      </w:divBdr>
    </w:div>
    <w:div w:id="1038317046">
      <w:bodyDiv w:val="1"/>
      <w:marLeft w:val="0"/>
      <w:marRight w:val="0"/>
      <w:marTop w:val="0"/>
      <w:marBottom w:val="0"/>
      <w:divBdr>
        <w:top w:val="none" w:sz="0" w:space="0" w:color="auto"/>
        <w:left w:val="none" w:sz="0" w:space="0" w:color="auto"/>
        <w:bottom w:val="none" w:sz="0" w:space="0" w:color="auto"/>
        <w:right w:val="none" w:sz="0" w:space="0" w:color="auto"/>
      </w:divBdr>
    </w:div>
    <w:div w:id="1038430570">
      <w:bodyDiv w:val="1"/>
      <w:marLeft w:val="0"/>
      <w:marRight w:val="0"/>
      <w:marTop w:val="0"/>
      <w:marBottom w:val="0"/>
      <w:divBdr>
        <w:top w:val="none" w:sz="0" w:space="0" w:color="auto"/>
        <w:left w:val="none" w:sz="0" w:space="0" w:color="auto"/>
        <w:bottom w:val="none" w:sz="0" w:space="0" w:color="auto"/>
        <w:right w:val="none" w:sz="0" w:space="0" w:color="auto"/>
      </w:divBdr>
    </w:div>
    <w:div w:id="1038431023">
      <w:bodyDiv w:val="1"/>
      <w:marLeft w:val="0"/>
      <w:marRight w:val="0"/>
      <w:marTop w:val="0"/>
      <w:marBottom w:val="0"/>
      <w:divBdr>
        <w:top w:val="none" w:sz="0" w:space="0" w:color="auto"/>
        <w:left w:val="none" w:sz="0" w:space="0" w:color="auto"/>
        <w:bottom w:val="none" w:sz="0" w:space="0" w:color="auto"/>
        <w:right w:val="none" w:sz="0" w:space="0" w:color="auto"/>
      </w:divBdr>
    </w:div>
    <w:div w:id="1038506933">
      <w:bodyDiv w:val="1"/>
      <w:marLeft w:val="0"/>
      <w:marRight w:val="0"/>
      <w:marTop w:val="0"/>
      <w:marBottom w:val="0"/>
      <w:divBdr>
        <w:top w:val="none" w:sz="0" w:space="0" w:color="auto"/>
        <w:left w:val="none" w:sz="0" w:space="0" w:color="auto"/>
        <w:bottom w:val="none" w:sz="0" w:space="0" w:color="auto"/>
        <w:right w:val="none" w:sz="0" w:space="0" w:color="auto"/>
      </w:divBdr>
    </w:div>
    <w:div w:id="1038509316">
      <w:bodyDiv w:val="1"/>
      <w:marLeft w:val="0"/>
      <w:marRight w:val="0"/>
      <w:marTop w:val="0"/>
      <w:marBottom w:val="0"/>
      <w:divBdr>
        <w:top w:val="none" w:sz="0" w:space="0" w:color="auto"/>
        <w:left w:val="none" w:sz="0" w:space="0" w:color="auto"/>
        <w:bottom w:val="none" w:sz="0" w:space="0" w:color="auto"/>
        <w:right w:val="none" w:sz="0" w:space="0" w:color="auto"/>
      </w:divBdr>
    </w:div>
    <w:div w:id="1038509758">
      <w:bodyDiv w:val="1"/>
      <w:marLeft w:val="0"/>
      <w:marRight w:val="0"/>
      <w:marTop w:val="0"/>
      <w:marBottom w:val="0"/>
      <w:divBdr>
        <w:top w:val="none" w:sz="0" w:space="0" w:color="auto"/>
        <w:left w:val="none" w:sz="0" w:space="0" w:color="auto"/>
        <w:bottom w:val="none" w:sz="0" w:space="0" w:color="auto"/>
        <w:right w:val="none" w:sz="0" w:space="0" w:color="auto"/>
      </w:divBdr>
    </w:div>
    <w:div w:id="1038581528">
      <w:bodyDiv w:val="1"/>
      <w:marLeft w:val="0"/>
      <w:marRight w:val="0"/>
      <w:marTop w:val="0"/>
      <w:marBottom w:val="0"/>
      <w:divBdr>
        <w:top w:val="none" w:sz="0" w:space="0" w:color="auto"/>
        <w:left w:val="none" w:sz="0" w:space="0" w:color="auto"/>
        <w:bottom w:val="none" w:sz="0" w:space="0" w:color="auto"/>
        <w:right w:val="none" w:sz="0" w:space="0" w:color="auto"/>
      </w:divBdr>
    </w:div>
    <w:div w:id="1038630048">
      <w:bodyDiv w:val="1"/>
      <w:marLeft w:val="0"/>
      <w:marRight w:val="0"/>
      <w:marTop w:val="0"/>
      <w:marBottom w:val="0"/>
      <w:divBdr>
        <w:top w:val="none" w:sz="0" w:space="0" w:color="auto"/>
        <w:left w:val="none" w:sz="0" w:space="0" w:color="auto"/>
        <w:bottom w:val="none" w:sz="0" w:space="0" w:color="auto"/>
        <w:right w:val="none" w:sz="0" w:space="0" w:color="auto"/>
      </w:divBdr>
    </w:div>
    <w:div w:id="1038702790">
      <w:bodyDiv w:val="1"/>
      <w:marLeft w:val="0"/>
      <w:marRight w:val="0"/>
      <w:marTop w:val="0"/>
      <w:marBottom w:val="0"/>
      <w:divBdr>
        <w:top w:val="none" w:sz="0" w:space="0" w:color="auto"/>
        <w:left w:val="none" w:sz="0" w:space="0" w:color="auto"/>
        <w:bottom w:val="none" w:sz="0" w:space="0" w:color="auto"/>
        <w:right w:val="none" w:sz="0" w:space="0" w:color="auto"/>
      </w:divBdr>
    </w:div>
    <w:div w:id="1038748068">
      <w:bodyDiv w:val="1"/>
      <w:marLeft w:val="0"/>
      <w:marRight w:val="0"/>
      <w:marTop w:val="0"/>
      <w:marBottom w:val="0"/>
      <w:divBdr>
        <w:top w:val="none" w:sz="0" w:space="0" w:color="auto"/>
        <w:left w:val="none" w:sz="0" w:space="0" w:color="auto"/>
        <w:bottom w:val="none" w:sz="0" w:space="0" w:color="auto"/>
        <w:right w:val="none" w:sz="0" w:space="0" w:color="auto"/>
      </w:divBdr>
    </w:div>
    <w:div w:id="1038966325">
      <w:bodyDiv w:val="1"/>
      <w:marLeft w:val="0"/>
      <w:marRight w:val="0"/>
      <w:marTop w:val="0"/>
      <w:marBottom w:val="0"/>
      <w:divBdr>
        <w:top w:val="none" w:sz="0" w:space="0" w:color="auto"/>
        <w:left w:val="none" w:sz="0" w:space="0" w:color="auto"/>
        <w:bottom w:val="none" w:sz="0" w:space="0" w:color="auto"/>
        <w:right w:val="none" w:sz="0" w:space="0" w:color="auto"/>
      </w:divBdr>
    </w:div>
    <w:div w:id="1038972847">
      <w:bodyDiv w:val="1"/>
      <w:marLeft w:val="0"/>
      <w:marRight w:val="0"/>
      <w:marTop w:val="0"/>
      <w:marBottom w:val="0"/>
      <w:divBdr>
        <w:top w:val="none" w:sz="0" w:space="0" w:color="auto"/>
        <w:left w:val="none" w:sz="0" w:space="0" w:color="auto"/>
        <w:bottom w:val="none" w:sz="0" w:space="0" w:color="auto"/>
        <w:right w:val="none" w:sz="0" w:space="0" w:color="auto"/>
      </w:divBdr>
    </w:div>
    <w:div w:id="1039015381">
      <w:bodyDiv w:val="1"/>
      <w:marLeft w:val="0"/>
      <w:marRight w:val="0"/>
      <w:marTop w:val="0"/>
      <w:marBottom w:val="0"/>
      <w:divBdr>
        <w:top w:val="none" w:sz="0" w:space="0" w:color="auto"/>
        <w:left w:val="none" w:sz="0" w:space="0" w:color="auto"/>
        <w:bottom w:val="none" w:sz="0" w:space="0" w:color="auto"/>
        <w:right w:val="none" w:sz="0" w:space="0" w:color="auto"/>
      </w:divBdr>
    </w:div>
    <w:div w:id="1039161389">
      <w:bodyDiv w:val="1"/>
      <w:marLeft w:val="0"/>
      <w:marRight w:val="0"/>
      <w:marTop w:val="0"/>
      <w:marBottom w:val="0"/>
      <w:divBdr>
        <w:top w:val="none" w:sz="0" w:space="0" w:color="auto"/>
        <w:left w:val="none" w:sz="0" w:space="0" w:color="auto"/>
        <w:bottom w:val="none" w:sz="0" w:space="0" w:color="auto"/>
        <w:right w:val="none" w:sz="0" w:space="0" w:color="auto"/>
      </w:divBdr>
    </w:div>
    <w:div w:id="1039209039">
      <w:bodyDiv w:val="1"/>
      <w:marLeft w:val="0"/>
      <w:marRight w:val="0"/>
      <w:marTop w:val="0"/>
      <w:marBottom w:val="0"/>
      <w:divBdr>
        <w:top w:val="none" w:sz="0" w:space="0" w:color="auto"/>
        <w:left w:val="none" w:sz="0" w:space="0" w:color="auto"/>
        <w:bottom w:val="none" w:sz="0" w:space="0" w:color="auto"/>
        <w:right w:val="none" w:sz="0" w:space="0" w:color="auto"/>
      </w:divBdr>
    </w:div>
    <w:div w:id="1039278963">
      <w:bodyDiv w:val="1"/>
      <w:marLeft w:val="0"/>
      <w:marRight w:val="0"/>
      <w:marTop w:val="0"/>
      <w:marBottom w:val="0"/>
      <w:divBdr>
        <w:top w:val="none" w:sz="0" w:space="0" w:color="auto"/>
        <w:left w:val="none" w:sz="0" w:space="0" w:color="auto"/>
        <w:bottom w:val="none" w:sz="0" w:space="0" w:color="auto"/>
        <w:right w:val="none" w:sz="0" w:space="0" w:color="auto"/>
      </w:divBdr>
    </w:div>
    <w:div w:id="1039281467">
      <w:bodyDiv w:val="1"/>
      <w:marLeft w:val="0"/>
      <w:marRight w:val="0"/>
      <w:marTop w:val="0"/>
      <w:marBottom w:val="0"/>
      <w:divBdr>
        <w:top w:val="none" w:sz="0" w:space="0" w:color="auto"/>
        <w:left w:val="none" w:sz="0" w:space="0" w:color="auto"/>
        <w:bottom w:val="none" w:sz="0" w:space="0" w:color="auto"/>
        <w:right w:val="none" w:sz="0" w:space="0" w:color="auto"/>
      </w:divBdr>
    </w:div>
    <w:div w:id="1039285769">
      <w:bodyDiv w:val="1"/>
      <w:marLeft w:val="0"/>
      <w:marRight w:val="0"/>
      <w:marTop w:val="0"/>
      <w:marBottom w:val="0"/>
      <w:divBdr>
        <w:top w:val="none" w:sz="0" w:space="0" w:color="auto"/>
        <w:left w:val="none" w:sz="0" w:space="0" w:color="auto"/>
        <w:bottom w:val="none" w:sz="0" w:space="0" w:color="auto"/>
        <w:right w:val="none" w:sz="0" w:space="0" w:color="auto"/>
      </w:divBdr>
    </w:div>
    <w:div w:id="1039356794">
      <w:bodyDiv w:val="1"/>
      <w:marLeft w:val="0"/>
      <w:marRight w:val="0"/>
      <w:marTop w:val="0"/>
      <w:marBottom w:val="0"/>
      <w:divBdr>
        <w:top w:val="none" w:sz="0" w:space="0" w:color="auto"/>
        <w:left w:val="none" w:sz="0" w:space="0" w:color="auto"/>
        <w:bottom w:val="none" w:sz="0" w:space="0" w:color="auto"/>
        <w:right w:val="none" w:sz="0" w:space="0" w:color="auto"/>
      </w:divBdr>
    </w:div>
    <w:div w:id="1039402285">
      <w:bodyDiv w:val="1"/>
      <w:marLeft w:val="0"/>
      <w:marRight w:val="0"/>
      <w:marTop w:val="0"/>
      <w:marBottom w:val="0"/>
      <w:divBdr>
        <w:top w:val="none" w:sz="0" w:space="0" w:color="auto"/>
        <w:left w:val="none" w:sz="0" w:space="0" w:color="auto"/>
        <w:bottom w:val="none" w:sz="0" w:space="0" w:color="auto"/>
        <w:right w:val="none" w:sz="0" w:space="0" w:color="auto"/>
      </w:divBdr>
    </w:div>
    <w:div w:id="1039404222">
      <w:bodyDiv w:val="1"/>
      <w:marLeft w:val="0"/>
      <w:marRight w:val="0"/>
      <w:marTop w:val="0"/>
      <w:marBottom w:val="0"/>
      <w:divBdr>
        <w:top w:val="none" w:sz="0" w:space="0" w:color="auto"/>
        <w:left w:val="none" w:sz="0" w:space="0" w:color="auto"/>
        <w:bottom w:val="none" w:sz="0" w:space="0" w:color="auto"/>
        <w:right w:val="none" w:sz="0" w:space="0" w:color="auto"/>
      </w:divBdr>
    </w:div>
    <w:div w:id="1039472022">
      <w:bodyDiv w:val="1"/>
      <w:marLeft w:val="0"/>
      <w:marRight w:val="0"/>
      <w:marTop w:val="0"/>
      <w:marBottom w:val="0"/>
      <w:divBdr>
        <w:top w:val="none" w:sz="0" w:space="0" w:color="auto"/>
        <w:left w:val="none" w:sz="0" w:space="0" w:color="auto"/>
        <w:bottom w:val="none" w:sz="0" w:space="0" w:color="auto"/>
        <w:right w:val="none" w:sz="0" w:space="0" w:color="auto"/>
      </w:divBdr>
    </w:div>
    <w:div w:id="1039476160">
      <w:bodyDiv w:val="1"/>
      <w:marLeft w:val="0"/>
      <w:marRight w:val="0"/>
      <w:marTop w:val="0"/>
      <w:marBottom w:val="0"/>
      <w:divBdr>
        <w:top w:val="none" w:sz="0" w:space="0" w:color="auto"/>
        <w:left w:val="none" w:sz="0" w:space="0" w:color="auto"/>
        <w:bottom w:val="none" w:sz="0" w:space="0" w:color="auto"/>
        <w:right w:val="none" w:sz="0" w:space="0" w:color="auto"/>
      </w:divBdr>
    </w:div>
    <w:div w:id="1039548322">
      <w:bodyDiv w:val="1"/>
      <w:marLeft w:val="0"/>
      <w:marRight w:val="0"/>
      <w:marTop w:val="0"/>
      <w:marBottom w:val="0"/>
      <w:divBdr>
        <w:top w:val="none" w:sz="0" w:space="0" w:color="auto"/>
        <w:left w:val="none" w:sz="0" w:space="0" w:color="auto"/>
        <w:bottom w:val="none" w:sz="0" w:space="0" w:color="auto"/>
        <w:right w:val="none" w:sz="0" w:space="0" w:color="auto"/>
      </w:divBdr>
    </w:div>
    <w:div w:id="1039550071">
      <w:bodyDiv w:val="1"/>
      <w:marLeft w:val="0"/>
      <w:marRight w:val="0"/>
      <w:marTop w:val="0"/>
      <w:marBottom w:val="0"/>
      <w:divBdr>
        <w:top w:val="none" w:sz="0" w:space="0" w:color="auto"/>
        <w:left w:val="none" w:sz="0" w:space="0" w:color="auto"/>
        <w:bottom w:val="none" w:sz="0" w:space="0" w:color="auto"/>
        <w:right w:val="none" w:sz="0" w:space="0" w:color="auto"/>
      </w:divBdr>
    </w:div>
    <w:div w:id="1039620859">
      <w:bodyDiv w:val="1"/>
      <w:marLeft w:val="0"/>
      <w:marRight w:val="0"/>
      <w:marTop w:val="0"/>
      <w:marBottom w:val="0"/>
      <w:divBdr>
        <w:top w:val="none" w:sz="0" w:space="0" w:color="auto"/>
        <w:left w:val="none" w:sz="0" w:space="0" w:color="auto"/>
        <w:bottom w:val="none" w:sz="0" w:space="0" w:color="auto"/>
        <w:right w:val="none" w:sz="0" w:space="0" w:color="auto"/>
      </w:divBdr>
    </w:div>
    <w:div w:id="1039627622">
      <w:bodyDiv w:val="1"/>
      <w:marLeft w:val="0"/>
      <w:marRight w:val="0"/>
      <w:marTop w:val="0"/>
      <w:marBottom w:val="0"/>
      <w:divBdr>
        <w:top w:val="none" w:sz="0" w:space="0" w:color="auto"/>
        <w:left w:val="none" w:sz="0" w:space="0" w:color="auto"/>
        <w:bottom w:val="none" w:sz="0" w:space="0" w:color="auto"/>
        <w:right w:val="none" w:sz="0" w:space="0" w:color="auto"/>
      </w:divBdr>
    </w:div>
    <w:div w:id="1039667808">
      <w:bodyDiv w:val="1"/>
      <w:marLeft w:val="0"/>
      <w:marRight w:val="0"/>
      <w:marTop w:val="0"/>
      <w:marBottom w:val="0"/>
      <w:divBdr>
        <w:top w:val="none" w:sz="0" w:space="0" w:color="auto"/>
        <w:left w:val="none" w:sz="0" w:space="0" w:color="auto"/>
        <w:bottom w:val="none" w:sz="0" w:space="0" w:color="auto"/>
        <w:right w:val="none" w:sz="0" w:space="0" w:color="auto"/>
      </w:divBdr>
    </w:div>
    <w:div w:id="1039669648">
      <w:bodyDiv w:val="1"/>
      <w:marLeft w:val="0"/>
      <w:marRight w:val="0"/>
      <w:marTop w:val="0"/>
      <w:marBottom w:val="0"/>
      <w:divBdr>
        <w:top w:val="none" w:sz="0" w:space="0" w:color="auto"/>
        <w:left w:val="none" w:sz="0" w:space="0" w:color="auto"/>
        <w:bottom w:val="none" w:sz="0" w:space="0" w:color="auto"/>
        <w:right w:val="none" w:sz="0" w:space="0" w:color="auto"/>
      </w:divBdr>
    </w:div>
    <w:div w:id="1039746761">
      <w:bodyDiv w:val="1"/>
      <w:marLeft w:val="0"/>
      <w:marRight w:val="0"/>
      <w:marTop w:val="0"/>
      <w:marBottom w:val="0"/>
      <w:divBdr>
        <w:top w:val="none" w:sz="0" w:space="0" w:color="auto"/>
        <w:left w:val="none" w:sz="0" w:space="0" w:color="auto"/>
        <w:bottom w:val="none" w:sz="0" w:space="0" w:color="auto"/>
        <w:right w:val="none" w:sz="0" w:space="0" w:color="auto"/>
      </w:divBdr>
    </w:div>
    <w:div w:id="1039814245">
      <w:bodyDiv w:val="1"/>
      <w:marLeft w:val="0"/>
      <w:marRight w:val="0"/>
      <w:marTop w:val="0"/>
      <w:marBottom w:val="0"/>
      <w:divBdr>
        <w:top w:val="none" w:sz="0" w:space="0" w:color="auto"/>
        <w:left w:val="none" w:sz="0" w:space="0" w:color="auto"/>
        <w:bottom w:val="none" w:sz="0" w:space="0" w:color="auto"/>
        <w:right w:val="none" w:sz="0" w:space="0" w:color="auto"/>
      </w:divBdr>
    </w:div>
    <w:div w:id="1039815923">
      <w:bodyDiv w:val="1"/>
      <w:marLeft w:val="0"/>
      <w:marRight w:val="0"/>
      <w:marTop w:val="0"/>
      <w:marBottom w:val="0"/>
      <w:divBdr>
        <w:top w:val="none" w:sz="0" w:space="0" w:color="auto"/>
        <w:left w:val="none" w:sz="0" w:space="0" w:color="auto"/>
        <w:bottom w:val="none" w:sz="0" w:space="0" w:color="auto"/>
        <w:right w:val="none" w:sz="0" w:space="0" w:color="auto"/>
      </w:divBdr>
    </w:div>
    <w:div w:id="1039820613">
      <w:bodyDiv w:val="1"/>
      <w:marLeft w:val="0"/>
      <w:marRight w:val="0"/>
      <w:marTop w:val="0"/>
      <w:marBottom w:val="0"/>
      <w:divBdr>
        <w:top w:val="none" w:sz="0" w:space="0" w:color="auto"/>
        <w:left w:val="none" w:sz="0" w:space="0" w:color="auto"/>
        <w:bottom w:val="none" w:sz="0" w:space="0" w:color="auto"/>
        <w:right w:val="none" w:sz="0" w:space="0" w:color="auto"/>
      </w:divBdr>
    </w:div>
    <w:div w:id="1040009301">
      <w:bodyDiv w:val="1"/>
      <w:marLeft w:val="0"/>
      <w:marRight w:val="0"/>
      <w:marTop w:val="0"/>
      <w:marBottom w:val="0"/>
      <w:divBdr>
        <w:top w:val="none" w:sz="0" w:space="0" w:color="auto"/>
        <w:left w:val="none" w:sz="0" w:space="0" w:color="auto"/>
        <w:bottom w:val="none" w:sz="0" w:space="0" w:color="auto"/>
        <w:right w:val="none" w:sz="0" w:space="0" w:color="auto"/>
      </w:divBdr>
    </w:div>
    <w:div w:id="1040059234">
      <w:bodyDiv w:val="1"/>
      <w:marLeft w:val="0"/>
      <w:marRight w:val="0"/>
      <w:marTop w:val="0"/>
      <w:marBottom w:val="0"/>
      <w:divBdr>
        <w:top w:val="none" w:sz="0" w:space="0" w:color="auto"/>
        <w:left w:val="none" w:sz="0" w:space="0" w:color="auto"/>
        <w:bottom w:val="none" w:sz="0" w:space="0" w:color="auto"/>
        <w:right w:val="none" w:sz="0" w:space="0" w:color="auto"/>
      </w:divBdr>
    </w:div>
    <w:div w:id="1040086407">
      <w:bodyDiv w:val="1"/>
      <w:marLeft w:val="0"/>
      <w:marRight w:val="0"/>
      <w:marTop w:val="0"/>
      <w:marBottom w:val="0"/>
      <w:divBdr>
        <w:top w:val="none" w:sz="0" w:space="0" w:color="auto"/>
        <w:left w:val="none" w:sz="0" w:space="0" w:color="auto"/>
        <w:bottom w:val="none" w:sz="0" w:space="0" w:color="auto"/>
        <w:right w:val="none" w:sz="0" w:space="0" w:color="auto"/>
      </w:divBdr>
    </w:div>
    <w:div w:id="1040131581">
      <w:bodyDiv w:val="1"/>
      <w:marLeft w:val="0"/>
      <w:marRight w:val="0"/>
      <w:marTop w:val="0"/>
      <w:marBottom w:val="0"/>
      <w:divBdr>
        <w:top w:val="none" w:sz="0" w:space="0" w:color="auto"/>
        <w:left w:val="none" w:sz="0" w:space="0" w:color="auto"/>
        <w:bottom w:val="none" w:sz="0" w:space="0" w:color="auto"/>
        <w:right w:val="none" w:sz="0" w:space="0" w:color="auto"/>
      </w:divBdr>
    </w:div>
    <w:div w:id="1040204067">
      <w:bodyDiv w:val="1"/>
      <w:marLeft w:val="0"/>
      <w:marRight w:val="0"/>
      <w:marTop w:val="0"/>
      <w:marBottom w:val="0"/>
      <w:divBdr>
        <w:top w:val="none" w:sz="0" w:space="0" w:color="auto"/>
        <w:left w:val="none" w:sz="0" w:space="0" w:color="auto"/>
        <w:bottom w:val="none" w:sz="0" w:space="0" w:color="auto"/>
        <w:right w:val="none" w:sz="0" w:space="0" w:color="auto"/>
      </w:divBdr>
    </w:div>
    <w:div w:id="1040284776">
      <w:bodyDiv w:val="1"/>
      <w:marLeft w:val="0"/>
      <w:marRight w:val="0"/>
      <w:marTop w:val="0"/>
      <w:marBottom w:val="0"/>
      <w:divBdr>
        <w:top w:val="none" w:sz="0" w:space="0" w:color="auto"/>
        <w:left w:val="none" w:sz="0" w:space="0" w:color="auto"/>
        <w:bottom w:val="none" w:sz="0" w:space="0" w:color="auto"/>
        <w:right w:val="none" w:sz="0" w:space="0" w:color="auto"/>
      </w:divBdr>
    </w:div>
    <w:div w:id="1040319150">
      <w:bodyDiv w:val="1"/>
      <w:marLeft w:val="0"/>
      <w:marRight w:val="0"/>
      <w:marTop w:val="0"/>
      <w:marBottom w:val="0"/>
      <w:divBdr>
        <w:top w:val="none" w:sz="0" w:space="0" w:color="auto"/>
        <w:left w:val="none" w:sz="0" w:space="0" w:color="auto"/>
        <w:bottom w:val="none" w:sz="0" w:space="0" w:color="auto"/>
        <w:right w:val="none" w:sz="0" w:space="0" w:color="auto"/>
      </w:divBdr>
    </w:div>
    <w:div w:id="1040400250">
      <w:bodyDiv w:val="1"/>
      <w:marLeft w:val="0"/>
      <w:marRight w:val="0"/>
      <w:marTop w:val="0"/>
      <w:marBottom w:val="0"/>
      <w:divBdr>
        <w:top w:val="none" w:sz="0" w:space="0" w:color="auto"/>
        <w:left w:val="none" w:sz="0" w:space="0" w:color="auto"/>
        <w:bottom w:val="none" w:sz="0" w:space="0" w:color="auto"/>
        <w:right w:val="none" w:sz="0" w:space="0" w:color="auto"/>
      </w:divBdr>
    </w:div>
    <w:div w:id="1040402347">
      <w:bodyDiv w:val="1"/>
      <w:marLeft w:val="0"/>
      <w:marRight w:val="0"/>
      <w:marTop w:val="0"/>
      <w:marBottom w:val="0"/>
      <w:divBdr>
        <w:top w:val="none" w:sz="0" w:space="0" w:color="auto"/>
        <w:left w:val="none" w:sz="0" w:space="0" w:color="auto"/>
        <w:bottom w:val="none" w:sz="0" w:space="0" w:color="auto"/>
        <w:right w:val="none" w:sz="0" w:space="0" w:color="auto"/>
      </w:divBdr>
    </w:div>
    <w:div w:id="1040473975">
      <w:bodyDiv w:val="1"/>
      <w:marLeft w:val="0"/>
      <w:marRight w:val="0"/>
      <w:marTop w:val="0"/>
      <w:marBottom w:val="0"/>
      <w:divBdr>
        <w:top w:val="none" w:sz="0" w:space="0" w:color="auto"/>
        <w:left w:val="none" w:sz="0" w:space="0" w:color="auto"/>
        <w:bottom w:val="none" w:sz="0" w:space="0" w:color="auto"/>
        <w:right w:val="none" w:sz="0" w:space="0" w:color="auto"/>
      </w:divBdr>
    </w:div>
    <w:div w:id="1040517904">
      <w:bodyDiv w:val="1"/>
      <w:marLeft w:val="0"/>
      <w:marRight w:val="0"/>
      <w:marTop w:val="0"/>
      <w:marBottom w:val="0"/>
      <w:divBdr>
        <w:top w:val="none" w:sz="0" w:space="0" w:color="auto"/>
        <w:left w:val="none" w:sz="0" w:space="0" w:color="auto"/>
        <w:bottom w:val="none" w:sz="0" w:space="0" w:color="auto"/>
        <w:right w:val="none" w:sz="0" w:space="0" w:color="auto"/>
      </w:divBdr>
    </w:div>
    <w:div w:id="1040519419">
      <w:bodyDiv w:val="1"/>
      <w:marLeft w:val="0"/>
      <w:marRight w:val="0"/>
      <w:marTop w:val="0"/>
      <w:marBottom w:val="0"/>
      <w:divBdr>
        <w:top w:val="none" w:sz="0" w:space="0" w:color="auto"/>
        <w:left w:val="none" w:sz="0" w:space="0" w:color="auto"/>
        <w:bottom w:val="none" w:sz="0" w:space="0" w:color="auto"/>
        <w:right w:val="none" w:sz="0" w:space="0" w:color="auto"/>
      </w:divBdr>
    </w:div>
    <w:div w:id="1040738729">
      <w:bodyDiv w:val="1"/>
      <w:marLeft w:val="0"/>
      <w:marRight w:val="0"/>
      <w:marTop w:val="0"/>
      <w:marBottom w:val="0"/>
      <w:divBdr>
        <w:top w:val="none" w:sz="0" w:space="0" w:color="auto"/>
        <w:left w:val="none" w:sz="0" w:space="0" w:color="auto"/>
        <w:bottom w:val="none" w:sz="0" w:space="0" w:color="auto"/>
        <w:right w:val="none" w:sz="0" w:space="0" w:color="auto"/>
      </w:divBdr>
    </w:div>
    <w:div w:id="1040743541">
      <w:bodyDiv w:val="1"/>
      <w:marLeft w:val="0"/>
      <w:marRight w:val="0"/>
      <w:marTop w:val="0"/>
      <w:marBottom w:val="0"/>
      <w:divBdr>
        <w:top w:val="none" w:sz="0" w:space="0" w:color="auto"/>
        <w:left w:val="none" w:sz="0" w:space="0" w:color="auto"/>
        <w:bottom w:val="none" w:sz="0" w:space="0" w:color="auto"/>
        <w:right w:val="none" w:sz="0" w:space="0" w:color="auto"/>
      </w:divBdr>
    </w:div>
    <w:div w:id="1040789855">
      <w:bodyDiv w:val="1"/>
      <w:marLeft w:val="0"/>
      <w:marRight w:val="0"/>
      <w:marTop w:val="0"/>
      <w:marBottom w:val="0"/>
      <w:divBdr>
        <w:top w:val="none" w:sz="0" w:space="0" w:color="auto"/>
        <w:left w:val="none" w:sz="0" w:space="0" w:color="auto"/>
        <w:bottom w:val="none" w:sz="0" w:space="0" w:color="auto"/>
        <w:right w:val="none" w:sz="0" w:space="0" w:color="auto"/>
      </w:divBdr>
    </w:div>
    <w:div w:id="1040856565">
      <w:bodyDiv w:val="1"/>
      <w:marLeft w:val="0"/>
      <w:marRight w:val="0"/>
      <w:marTop w:val="0"/>
      <w:marBottom w:val="0"/>
      <w:divBdr>
        <w:top w:val="none" w:sz="0" w:space="0" w:color="auto"/>
        <w:left w:val="none" w:sz="0" w:space="0" w:color="auto"/>
        <w:bottom w:val="none" w:sz="0" w:space="0" w:color="auto"/>
        <w:right w:val="none" w:sz="0" w:space="0" w:color="auto"/>
      </w:divBdr>
    </w:div>
    <w:div w:id="1040863575">
      <w:bodyDiv w:val="1"/>
      <w:marLeft w:val="0"/>
      <w:marRight w:val="0"/>
      <w:marTop w:val="0"/>
      <w:marBottom w:val="0"/>
      <w:divBdr>
        <w:top w:val="none" w:sz="0" w:space="0" w:color="auto"/>
        <w:left w:val="none" w:sz="0" w:space="0" w:color="auto"/>
        <w:bottom w:val="none" w:sz="0" w:space="0" w:color="auto"/>
        <w:right w:val="none" w:sz="0" w:space="0" w:color="auto"/>
      </w:divBdr>
    </w:div>
    <w:div w:id="1040864552">
      <w:bodyDiv w:val="1"/>
      <w:marLeft w:val="0"/>
      <w:marRight w:val="0"/>
      <w:marTop w:val="0"/>
      <w:marBottom w:val="0"/>
      <w:divBdr>
        <w:top w:val="none" w:sz="0" w:space="0" w:color="auto"/>
        <w:left w:val="none" w:sz="0" w:space="0" w:color="auto"/>
        <w:bottom w:val="none" w:sz="0" w:space="0" w:color="auto"/>
        <w:right w:val="none" w:sz="0" w:space="0" w:color="auto"/>
      </w:divBdr>
    </w:div>
    <w:div w:id="1040974190">
      <w:bodyDiv w:val="1"/>
      <w:marLeft w:val="0"/>
      <w:marRight w:val="0"/>
      <w:marTop w:val="0"/>
      <w:marBottom w:val="0"/>
      <w:divBdr>
        <w:top w:val="none" w:sz="0" w:space="0" w:color="auto"/>
        <w:left w:val="none" w:sz="0" w:space="0" w:color="auto"/>
        <w:bottom w:val="none" w:sz="0" w:space="0" w:color="auto"/>
        <w:right w:val="none" w:sz="0" w:space="0" w:color="auto"/>
      </w:divBdr>
    </w:div>
    <w:div w:id="1041051371">
      <w:bodyDiv w:val="1"/>
      <w:marLeft w:val="0"/>
      <w:marRight w:val="0"/>
      <w:marTop w:val="0"/>
      <w:marBottom w:val="0"/>
      <w:divBdr>
        <w:top w:val="none" w:sz="0" w:space="0" w:color="auto"/>
        <w:left w:val="none" w:sz="0" w:space="0" w:color="auto"/>
        <w:bottom w:val="none" w:sz="0" w:space="0" w:color="auto"/>
        <w:right w:val="none" w:sz="0" w:space="0" w:color="auto"/>
      </w:divBdr>
    </w:div>
    <w:div w:id="1041125557">
      <w:bodyDiv w:val="1"/>
      <w:marLeft w:val="0"/>
      <w:marRight w:val="0"/>
      <w:marTop w:val="0"/>
      <w:marBottom w:val="0"/>
      <w:divBdr>
        <w:top w:val="none" w:sz="0" w:space="0" w:color="auto"/>
        <w:left w:val="none" w:sz="0" w:space="0" w:color="auto"/>
        <w:bottom w:val="none" w:sz="0" w:space="0" w:color="auto"/>
        <w:right w:val="none" w:sz="0" w:space="0" w:color="auto"/>
      </w:divBdr>
    </w:div>
    <w:div w:id="1041176539">
      <w:bodyDiv w:val="1"/>
      <w:marLeft w:val="0"/>
      <w:marRight w:val="0"/>
      <w:marTop w:val="0"/>
      <w:marBottom w:val="0"/>
      <w:divBdr>
        <w:top w:val="none" w:sz="0" w:space="0" w:color="auto"/>
        <w:left w:val="none" w:sz="0" w:space="0" w:color="auto"/>
        <w:bottom w:val="none" w:sz="0" w:space="0" w:color="auto"/>
        <w:right w:val="none" w:sz="0" w:space="0" w:color="auto"/>
      </w:divBdr>
    </w:div>
    <w:div w:id="1041251405">
      <w:bodyDiv w:val="1"/>
      <w:marLeft w:val="0"/>
      <w:marRight w:val="0"/>
      <w:marTop w:val="0"/>
      <w:marBottom w:val="0"/>
      <w:divBdr>
        <w:top w:val="none" w:sz="0" w:space="0" w:color="auto"/>
        <w:left w:val="none" w:sz="0" w:space="0" w:color="auto"/>
        <w:bottom w:val="none" w:sz="0" w:space="0" w:color="auto"/>
        <w:right w:val="none" w:sz="0" w:space="0" w:color="auto"/>
      </w:divBdr>
    </w:div>
    <w:div w:id="1041321493">
      <w:bodyDiv w:val="1"/>
      <w:marLeft w:val="0"/>
      <w:marRight w:val="0"/>
      <w:marTop w:val="0"/>
      <w:marBottom w:val="0"/>
      <w:divBdr>
        <w:top w:val="none" w:sz="0" w:space="0" w:color="auto"/>
        <w:left w:val="none" w:sz="0" w:space="0" w:color="auto"/>
        <w:bottom w:val="none" w:sz="0" w:space="0" w:color="auto"/>
        <w:right w:val="none" w:sz="0" w:space="0" w:color="auto"/>
      </w:divBdr>
    </w:div>
    <w:div w:id="1041321621">
      <w:bodyDiv w:val="1"/>
      <w:marLeft w:val="0"/>
      <w:marRight w:val="0"/>
      <w:marTop w:val="0"/>
      <w:marBottom w:val="0"/>
      <w:divBdr>
        <w:top w:val="none" w:sz="0" w:space="0" w:color="auto"/>
        <w:left w:val="none" w:sz="0" w:space="0" w:color="auto"/>
        <w:bottom w:val="none" w:sz="0" w:space="0" w:color="auto"/>
        <w:right w:val="none" w:sz="0" w:space="0" w:color="auto"/>
      </w:divBdr>
    </w:div>
    <w:div w:id="1041322588">
      <w:bodyDiv w:val="1"/>
      <w:marLeft w:val="0"/>
      <w:marRight w:val="0"/>
      <w:marTop w:val="0"/>
      <w:marBottom w:val="0"/>
      <w:divBdr>
        <w:top w:val="none" w:sz="0" w:space="0" w:color="auto"/>
        <w:left w:val="none" w:sz="0" w:space="0" w:color="auto"/>
        <w:bottom w:val="none" w:sz="0" w:space="0" w:color="auto"/>
        <w:right w:val="none" w:sz="0" w:space="0" w:color="auto"/>
      </w:divBdr>
    </w:div>
    <w:div w:id="1041326620">
      <w:bodyDiv w:val="1"/>
      <w:marLeft w:val="0"/>
      <w:marRight w:val="0"/>
      <w:marTop w:val="0"/>
      <w:marBottom w:val="0"/>
      <w:divBdr>
        <w:top w:val="none" w:sz="0" w:space="0" w:color="auto"/>
        <w:left w:val="none" w:sz="0" w:space="0" w:color="auto"/>
        <w:bottom w:val="none" w:sz="0" w:space="0" w:color="auto"/>
        <w:right w:val="none" w:sz="0" w:space="0" w:color="auto"/>
      </w:divBdr>
    </w:div>
    <w:div w:id="1041396429">
      <w:bodyDiv w:val="1"/>
      <w:marLeft w:val="0"/>
      <w:marRight w:val="0"/>
      <w:marTop w:val="0"/>
      <w:marBottom w:val="0"/>
      <w:divBdr>
        <w:top w:val="none" w:sz="0" w:space="0" w:color="auto"/>
        <w:left w:val="none" w:sz="0" w:space="0" w:color="auto"/>
        <w:bottom w:val="none" w:sz="0" w:space="0" w:color="auto"/>
        <w:right w:val="none" w:sz="0" w:space="0" w:color="auto"/>
      </w:divBdr>
    </w:div>
    <w:div w:id="1041440880">
      <w:bodyDiv w:val="1"/>
      <w:marLeft w:val="0"/>
      <w:marRight w:val="0"/>
      <w:marTop w:val="0"/>
      <w:marBottom w:val="0"/>
      <w:divBdr>
        <w:top w:val="none" w:sz="0" w:space="0" w:color="auto"/>
        <w:left w:val="none" w:sz="0" w:space="0" w:color="auto"/>
        <w:bottom w:val="none" w:sz="0" w:space="0" w:color="auto"/>
        <w:right w:val="none" w:sz="0" w:space="0" w:color="auto"/>
      </w:divBdr>
    </w:div>
    <w:div w:id="1041513162">
      <w:bodyDiv w:val="1"/>
      <w:marLeft w:val="0"/>
      <w:marRight w:val="0"/>
      <w:marTop w:val="0"/>
      <w:marBottom w:val="0"/>
      <w:divBdr>
        <w:top w:val="none" w:sz="0" w:space="0" w:color="auto"/>
        <w:left w:val="none" w:sz="0" w:space="0" w:color="auto"/>
        <w:bottom w:val="none" w:sz="0" w:space="0" w:color="auto"/>
        <w:right w:val="none" w:sz="0" w:space="0" w:color="auto"/>
      </w:divBdr>
    </w:div>
    <w:div w:id="1041589757">
      <w:bodyDiv w:val="1"/>
      <w:marLeft w:val="0"/>
      <w:marRight w:val="0"/>
      <w:marTop w:val="0"/>
      <w:marBottom w:val="0"/>
      <w:divBdr>
        <w:top w:val="none" w:sz="0" w:space="0" w:color="auto"/>
        <w:left w:val="none" w:sz="0" w:space="0" w:color="auto"/>
        <w:bottom w:val="none" w:sz="0" w:space="0" w:color="auto"/>
        <w:right w:val="none" w:sz="0" w:space="0" w:color="auto"/>
      </w:divBdr>
    </w:div>
    <w:div w:id="1041635543">
      <w:bodyDiv w:val="1"/>
      <w:marLeft w:val="0"/>
      <w:marRight w:val="0"/>
      <w:marTop w:val="0"/>
      <w:marBottom w:val="0"/>
      <w:divBdr>
        <w:top w:val="none" w:sz="0" w:space="0" w:color="auto"/>
        <w:left w:val="none" w:sz="0" w:space="0" w:color="auto"/>
        <w:bottom w:val="none" w:sz="0" w:space="0" w:color="auto"/>
        <w:right w:val="none" w:sz="0" w:space="0" w:color="auto"/>
      </w:divBdr>
    </w:div>
    <w:div w:id="1041708104">
      <w:bodyDiv w:val="1"/>
      <w:marLeft w:val="0"/>
      <w:marRight w:val="0"/>
      <w:marTop w:val="0"/>
      <w:marBottom w:val="0"/>
      <w:divBdr>
        <w:top w:val="none" w:sz="0" w:space="0" w:color="auto"/>
        <w:left w:val="none" w:sz="0" w:space="0" w:color="auto"/>
        <w:bottom w:val="none" w:sz="0" w:space="0" w:color="auto"/>
        <w:right w:val="none" w:sz="0" w:space="0" w:color="auto"/>
      </w:divBdr>
    </w:div>
    <w:div w:id="1041711332">
      <w:bodyDiv w:val="1"/>
      <w:marLeft w:val="0"/>
      <w:marRight w:val="0"/>
      <w:marTop w:val="0"/>
      <w:marBottom w:val="0"/>
      <w:divBdr>
        <w:top w:val="none" w:sz="0" w:space="0" w:color="auto"/>
        <w:left w:val="none" w:sz="0" w:space="0" w:color="auto"/>
        <w:bottom w:val="none" w:sz="0" w:space="0" w:color="auto"/>
        <w:right w:val="none" w:sz="0" w:space="0" w:color="auto"/>
      </w:divBdr>
    </w:div>
    <w:div w:id="1041711384">
      <w:bodyDiv w:val="1"/>
      <w:marLeft w:val="0"/>
      <w:marRight w:val="0"/>
      <w:marTop w:val="0"/>
      <w:marBottom w:val="0"/>
      <w:divBdr>
        <w:top w:val="none" w:sz="0" w:space="0" w:color="auto"/>
        <w:left w:val="none" w:sz="0" w:space="0" w:color="auto"/>
        <w:bottom w:val="none" w:sz="0" w:space="0" w:color="auto"/>
        <w:right w:val="none" w:sz="0" w:space="0" w:color="auto"/>
      </w:divBdr>
    </w:div>
    <w:div w:id="1041779838">
      <w:bodyDiv w:val="1"/>
      <w:marLeft w:val="0"/>
      <w:marRight w:val="0"/>
      <w:marTop w:val="0"/>
      <w:marBottom w:val="0"/>
      <w:divBdr>
        <w:top w:val="none" w:sz="0" w:space="0" w:color="auto"/>
        <w:left w:val="none" w:sz="0" w:space="0" w:color="auto"/>
        <w:bottom w:val="none" w:sz="0" w:space="0" w:color="auto"/>
        <w:right w:val="none" w:sz="0" w:space="0" w:color="auto"/>
      </w:divBdr>
    </w:div>
    <w:div w:id="1041783007">
      <w:bodyDiv w:val="1"/>
      <w:marLeft w:val="0"/>
      <w:marRight w:val="0"/>
      <w:marTop w:val="0"/>
      <w:marBottom w:val="0"/>
      <w:divBdr>
        <w:top w:val="none" w:sz="0" w:space="0" w:color="auto"/>
        <w:left w:val="none" w:sz="0" w:space="0" w:color="auto"/>
        <w:bottom w:val="none" w:sz="0" w:space="0" w:color="auto"/>
        <w:right w:val="none" w:sz="0" w:space="0" w:color="auto"/>
      </w:divBdr>
    </w:div>
    <w:div w:id="1041855524">
      <w:bodyDiv w:val="1"/>
      <w:marLeft w:val="0"/>
      <w:marRight w:val="0"/>
      <w:marTop w:val="0"/>
      <w:marBottom w:val="0"/>
      <w:divBdr>
        <w:top w:val="none" w:sz="0" w:space="0" w:color="auto"/>
        <w:left w:val="none" w:sz="0" w:space="0" w:color="auto"/>
        <w:bottom w:val="none" w:sz="0" w:space="0" w:color="auto"/>
        <w:right w:val="none" w:sz="0" w:space="0" w:color="auto"/>
      </w:divBdr>
    </w:div>
    <w:div w:id="1041858242">
      <w:bodyDiv w:val="1"/>
      <w:marLeft w:val="0"/>
      <w:marRight w:val="0"/>
      <w:marTop w:val="0"/>
      <w:marBottom w:val="0"/>
      <w:divBdr>
        <w:top w:val="none" w:sz="0" w:space="0" w:color="auto"/>
        <w:left w:val="none" w:sz="0" w:space="0" w:color="auto"/>
        <w:bottom w:val="none" w:sz="0" w:space="0" w:color="auto"/>
        <w:right w:val="none" w:sz="0" w:space="0" w:color="auto"/>
      </w:divBdr>
    </w:div>
    <w:div w:id="1042054969">
      <w:bodyDiv w:val="1"/>
      <w:marLeft w:val="0"/>
      <w:marRight w:val="0"/>
      <w:marTop w:val="0"/>
      <w:marBottom w:val="0"/>
      <w:divBdr>
        <w:top w:val="none" w:sz="0" w:space="0" w:color="auto"/>
        <w:left w:val="none" w:sz="0" w:space="0" w:color="auto"/>
        <w:bottom w:val="none" w:sz="0" w:space="0" w:color="auto"/>
        <w:right w:val="none" w:sz="0" w:space="0" w:color="auto"/>
      </w:divBdr>
    </w:div>
    <w:div w:id="1042097191">
      <w:bodyDiv w:val="1"/>
      <w:marLeft w:val="0"/>
      <w:marRight w:val="0"/>
      <w:marTop w:val="0"/>
      <w:marBottom w:val="0"/>
      <w:divBdr>
        <w:top w:val="none" w:sz="0" w:space="0" w:color="auto"/>
        <w:left w:val="none" w:sz="0" w:space="0" w:color="auto"/>
        <w:bottom w:val="none" w:sz="0" w:space="0" w:color="auto"/>
        <w:right w:val="none" w:sz="0" w:space="0" w:color="auto"/>
      </w:divBdr>
    </w:div>
    <w:div w:id="1042287166">
      <w:bodyDiv w:val="1"/>
      <w:marLeft w:val="0"/>
      <w:marRight w:val="0"/>
      <w:marTop w:val="0"/>
      <w:marBottom w:val="0"/>
      <w:divBdr>
        <w:top w:val="none" w:sz="0" w:space="0" w:color="auto"/>
        <w:left w:val="none" w:sz="0" w:space="0" w:color="auto"/>
        <w:bottom w:val="none" w:sz="0" w:space="0" w:color="auto"/>
        <w:right w:val="none" w:sz="0" w:space="0" w:color="auto"/>
      </w:divBdr>
    </w:div>
    <w:div w:id="1042288795">
      <w:bodyDiv w:val="1"/>
      <w:marLeft w:val="0"/>
      <w:marRight w:val="0"/>
      <w:marTop w:val="0"/>
      <w:marBottom w:val="0"/>
      <w:divBdr>
        <w:top w:val="none" w:sz="0" w:space="0" w:color="auto"/>
        <w:left w:val="none" w:sz="0" w:space="0" w:color="auto"/>
        <w:bottom w:val="none" w:sz="0" w:space="0" w:color="auto"/>
        <w:right w:val="none" w:sz="0" w:space="0" w:color="auto"/>
      </w:divBdr>
    </w:div>
    <w:div w:id="1042363059">
      <w:bodyDiv w:val="1"/>
      <w:marLeft w:val="0"/>
      <w:marRight w:val="0"/>
      <w:marTop w:val="0"/>
      <w:marBottom w:val="0"/>
      <w:divBdr>
        <w:top w:val="none" w:sz="0" w:space="0" w:color="auto"/>
        <w:left w:val="none" w:sz="0" w:space="0" w:color="auto"/>
        <w:bottom w:val="none" w:sz="0" w:space="0" w:color="auto"/>
        <w:right w:val="none" w:sz="0" w:space="0" w:color="auto"/>
      </w:divBdr>
    </w:div>
    <w:div w:id="1042364336">
      <w:bodyDiv w:val="1"/>
      <w:marLeft w:val="0"/>
      <w:marRight w:val="0"/>
      <w:marTop w:val="0"/>
      <w:marBottom w:val="0"/>
      <w:divBdr>
        <w:top w:val="none" w:sz="0" w:space="0" w:color="auto"/>
        <w:left w:val="none" w:sz="0" w:space="0" w:color="auto"/>
        <w:bottom w:val="none" w:sz="0" w:space="0" w:color="auto"/>
        <w:right w:val="none" w:sz="0" w:space="0" w:color="auto"/>
      </w:divBdr>
    </w:div>
    <w:div w:id="1042367652">
      <w:bodyDiv w:val="1"/>
      <w:marLeft w:val="0"/>
      <w:marRight w:val="0"/>
      <w:marTop w:val="0"/>
      <w:marBottom w:val="0"/>
      <w:divBdr>
        <w:top w:val="none" w:sz="0" w:space="0" w:color="auto"/>
        <w:left w:val="none" w:sz="0" w:space="0" w:color="auto"/>
        <w:bottom w:val="none" w:sz="0" w:space="0" w:color="auto"/>
        <w:right w:val="none" w:sz="0" w:space="0" w:color="auto"/>
      </w:divBdr>
    </w:div>
    <w:div w:id="1042368953">
      <w:bodyDiv w:val="1"/>
      <w:marLeft w:val="0"/>
      <w:marRight w:val="0"/>
      <w:marTop w:val="0"/>
      <w:marBottom w:val="0"/>
      <w:divBdr>
        <w:top w:val="none" w:sz="0" w:space="0" w:color="auto"/>
        <w:left w:val="none" w:sz="0" w:space="0" w:color="auto"/>
        <w:bottom w:val="none" w:sz="0" w:space="0" w:color="auto"/>
        <w:right w:val="none" w:sz="0" w:space="0" w:color="auto"/>
      </w:divBdr>
    </w:div>
    <w:div w:id="1042443326">
      <w:bodyDiv w:val="1"/>
      <w:marLeft w:val="0"/>
      <w:marRight w:val="0"/>
      <w:marTop w:val="0"/>
      <w:marBottom w:val="0"/>
      <w:divBdr>
        <w:top w:val="none" w:sz="0" w:space="0" w:color="auto"/>
        <w:left w:val="none" w:sz="0" w:space="0" w:color="auto"/>
        <w:bottom w:val="none" w:sz="0" w:space="0" w:color="auto"/>
        <w:right w:val="none" w:sz="0" w:space="0" w:color="auto"/>
      </w:divBdr>
    </w:div>
    <w:div w:id="1042443872">
      <w:bodyDiv w:val="1"/>
      <w:marLeft w:val="0"/>
      <w:marRight w:val="0"/>
      <w:marTop w:val="0"/>
      <w:marBottom w:val="0"/>
      <w:divBdr>
        <w:top w:val="none" w:sz="0" w:space="0" w:color="auto"/>
        <w:left w:val="none" w:sz="0" w:space="0" w:color="auto"/>
        <w:bottom w:val="none" w:sz="0" w:space="0" w:color="auto"/>
        <w:right w:val="none" w:sz="0" w:space="0" w:color="auto"/>
      </w:divBdr>
    </w:div>
    <w:div w:id="1042560700">
      <w:bodyDiv w:val="1"/>
      <w:marLeft w:val="0"/>
      <w:marRight w:val="0"/>
      <w:marTop w:val="0"/>
      <w:marBottom w:val="0"/>
      <w:divBdr>
        <w:top w:val="none" w:sz="0" w:space="0" w:color="auto"/>
        <w:left w:val="none" w:sz="0" w:space="0" w:color="auto"/>
        <w:bottom w:val="none" w:sz="0" w:space="0" w:color="auto"/>
        <w:right w:val="none" w:sz="0" w:space="0" w:color="auto"/>
      </w:divBdr>
    </w:div>
    <w:div w:id="1042631908">
      <w:bodyDiv w:val="1"/>
      <w:marLeft w:val="0"/>
      <w:marRight w:val="0"/>
      <w:marTop w:val="0"/>
      <w:marBottom w:val="0"/>
      <w:divBdr>
        <w:top w:val="none" w:sz="0" w:space="0" w:color="auto"/>
        <w:left w:val="none" w:sz="0" w:space="0" w:color="auto"/>
        <w:bottom w:val="none" w:sz="0" w:space="0" w:color="auto"/>
        <w:right w:val="none" w:sz="0" w:space="0" w:color="auto"/>
      </w:divBdr>
    </w:div>
    <w:div w:id="1042709002">
      <w:bodyDiv w:val="1"/>
      <w:marLeft w:val="0"/>
      <w:marRight w:val="0"/>
      <w:marTop w:val="0"/>
      <w:marBottom w:val="0"/>
      <w:divBdr>
        <w:top w:val="none" w:sz="0" w:space="0" w:color="auto"/>
        <w:left w:val="none" w:sz="0" w:space="0" w:color="auto"/>
        <w:bottom w:val="none" w:sz="0" w:space="0" w:color="auto"/>
        <w:right w:val="none" w:sz="0" w:space="0" w:color="auto"/>
      </w:divBdr>
    </w:div>
    <w:div w:id="1042753386">
      <w:bodyDiv w:val="1"/>
      <w:marLeft w:val="0"/>
      <w:marRight w:val="0"/>
      <w:marTop w:val="0"/>
      <w:marBottom w:val="0"/>
      <w:divBdr>
        <w:top w:val="none" w:sz="0" w:space="0" w:color="auto"/>
        <w:left w:val="none" w:sz="0" w:space="0" w:color="auto"/>
        <w:bottom w:val="none" w:sz="0" w:space="0" w:color="auto"/>
        <w:right w:val="none" w:sz="0" w:space="0" w:color="auto"/>
      </w:divBdr>
    </w:div>
    <w:div w:id="1042753981">
      <w:bodyDiv w:val="1"/>
      <w:marLeft w:val="0"/>
      <w:marRight w:val="0"/>
      <w:marTop w:val="0"/>
      <w:marBottom w:val="0"/>
      <w:divBdr>
        <w:top w:val="none" w:sz="0" w:space="0" w:color="auto"/>
        <w:left w:val="none" w:sz="0" w:space="0" w:color="auto"/>
        <w:bottom w:val="none" w:sz="0" w:space="0" w:color="auto"/>
        <w:right w:val="none" w:sz="0" w:space="0" w:color="auto"/>
      </w:divBdr>
    </w:div>
    <w:div w:id="1042831232">
      <w:bodyDiv w:val="1"/>
      <w:marLeft w:val="0"/>
      <w:marRight w:val="0"/>
      <w:marTop w:val="0"/>
      <w:marBottom w:val="0"/>
      <w:divBdr>
        <w:top w:val="none" w:sz="0" w:space="0" w:color="auto"/>
        <w:left w:val="none" w:sz="0" w:space="0" w:color="auto"/>
        <w:bottom w:val="none" w:sz="0" w:space="0" w:color="auto"/>
        <w:right w:val="none" w:sz="0" w:space="0" w:color="auto"/>
      </w:divBdr>
    </w:div>
    <w:div w:id="1042902324">
      <w:bodyDiv w:val="1"/>
      <w:marLeft w:val="0"/>
      <w:marRight w:val="0"/>
      <w:marTop w:val="0"/>
      <w:marBottom w:val="0"/>
      <w:divBdr>
        <w:top w:val="none" w:sz="0" w:space="0" w:color="auto"/>
        <w:left w:val="none" w:sz="0" w:space="0" w:color="auto"/>
        <w:bottom w:val="none" w:sz="0" w:space="0" w:color="auto"/>
        <w:right w:val="none" w:sz="0" w:space="0" w:color="auto"/>
      </w:divBdr>
    </w:div>
    <w:div w:id="1042945956">
      <w:bodyDiv w:val="1"/>
      <w:marLeft w:val="0"/>
      <w:marRight w:val="0"/>
      <w:marTop w:val="0"/>
      <w:marBottom w:val="0"/>
      <w:divBdr>
        <w:top w:val="none" w:sz="0" w:space="0" w:color="auto"/>
        <w:left w:val="none" w:sz="0" w:space="0" w:color="auto"/>
        <w:bottom w:val="none" w:sz="0" w:space="0" w:color="auto"/>
        <w:right w:val="none" w:sz="0" w:space="0" w:color="auto"/>
      </w:divBdr>
    </w:div>
    <w:div w:id="1043015322">
      <w:bodyDiv w:val="1"/>
      <w:marLeft w:val="0"/>
      <w:marRight w:val="0"/>
      <w:marTop w:val="0"/>
      <w:marBottom w:val="0"/>
      <w:divBdr>
        <w:top w:val="none" w:sz="0" w:space="0" w:color="auto"/>
        <w:left w:val="none" w:sz="0" w:space="0" w:color="auto"/>
        <w:bottom w:val="none" w:sz="0" w:space="0" w:color="auto"/>
        <w:right w:val="none" w:sz="0" w:space="0" w:color="auto"/>
      </w:divBdr>
    </w:div>
    <w:div w:id="1043024702">
      <w:bodyDiv w:val="1"/>
      <w:marLeft w:val="0"/>
      <w:marRight w:val="0"/>
      <w:marTop w:val="0"/>
      <w:marBottom w:val="0"/>
      <w:divBdr>
        <w:top w:val="none" w:sz="0" w:space="0" w:color="auto"/>
        <w:left w:val="none" w:sz="0" w:space="0" w:color="auto"/>
        <w:bottom w:val="none" w:sz="0" w:space="0" w:color="auto"/>
        <w:right w:val="none" w:sz="0" w:space="0" w:color="auto"/>
      </w:divBdr>
    </w:div>
    <w:div w:id="1043141744">
      <w:bodyDiv w:val="1"/>
      <w:marLeft w:val="0"/>
      <w:marRight w:val="0"/>
      <w:marTop w:val="0"/>
      <w:marBottom w:val="0"/>
      <w:divBdr>
        <w:top w:val="none" w:sz="0" w:space="0" w:color="auto"/>
        <w:left w:val="none" w:sz="0" w:space="0" w:color="auto"/>
        <w:bottom w:val="none" w:sz="0" w:space="0" w:color="auto"/>
        <w:right w:val="none" w:sz="0" w:space="0" w:color="auto"/>
      </w:divBdr>
    </w:div>
    <w:div w:id="1043291279">
      <w:bodyDiv w:val="1"/>
      <w:marLeft w:val="0"/>
      <w:marRight w:val="0"/>
      <w:marTop w:val="0"/>
      <w:marBottom w:val="0"/>
      <w:divBdr>
        <w:top w:val="none" w:sz="0" w:space="0" w:color="auto"/>
        <w:left w:val="none" w:sz="0" w:space="0" w:color="auto"/>
        <w:bottom w:val="none" w:sz="0" w:space="0" w:color="auto"/>
        <w:right w:val="none" w:sz="0" w:space="0" w:color="auto"/>
      </w:divBdr>
    </w:div>
    <w:div w:id="1043484910">
      <w:bodyDiv w:val="1"/>
      <w:marLeft w:val="0"/>
      <w:marRight w:val="0"/>
      <w:marTop w:val="0"/>
      <w:marBottom w:val="0"/>
      <w:divBdr>
        <w:top w:val="none" w:sz="0" w:space="0" w:color="auto"/>
        <w:left w:val="none" w:sz="0" w:space="0" w:color="auto"/>
        <w:bottom w:val="none" w:sz="0" w:space="0" w:color="auto"/>
        <w:right w:val="none" w:sz="0" w:space="0" w:color="auto"/>
      </w:divBdr>
    </w:div>
    <w:div w:id="1043600550">
      <w:bodyDiv w:val="1"/>
      <w:marLeft w:val="0"/>
      <w:marRight w:val="0"/>
      <w:marTop w:val="0"/>
      <w:marBottom w:val="0"/>
      <w:divBdr>
        <w:top w:val="none" w:sz="0" w:space="0" w:color="auto"/>
        <w:left w:val="none" w:sz="0" w:space="0" w:color="auto"/>
        <w:bottom w:val="none" w:sz="0" w:space="0" w:color="auto"/>
        <w:right w:val="none" w:sz="0" w:space="0" w:color="auto"/>
      </w:divBdr>
    </w:div>
    <w:div w:id="1043627796">
      <w:bodyDiv w:val="1"/>
      <w:marLeft w:val="0"/>
      <w:marRight w:val="0"/>
      <w:marTop w:val="0"/>
      <w:marBottom w:val="0"/>
      <w:divBdr>
        <w:top w:val="none" w:sz="0" w:space="0" w:color="auto"/>
        <w:left w:val="none" w:sz="0" w:space="0" w:color="auto"/>
        <w:bottom w:val="none" w:sz="0" w:space="0" w:color="auto"/>
        <w:right w:val="none" w:sz="0" w:space="0" w:color="auto"/>
      </w:divBdr>
    </w:div>
    <w:div w:id="1043671737">
      <w:bodyDiv w:val="1"/>
      <w:marLeft w:val="0"/>
      <w:marRight w:val="0"/>
      <w:marTop w:val="0"/>
      <w:marBottom w:val="0"/>
      <w:divBdr>
        <w:top w:val="none" w:sz="0" w:space="0" w:color="auto"/>
        <w:left w:val="none" w:sz="0" w:space="0" w:color="auto"/>
        <w:bottom w:val="none" w:sz="0" w:space="0" w:color="auto"/>
        <w:right w:val="none" w:sz="0" w:space="0" w:color="auto"/>
      </w:divBdr>
    </w:div>
    <w:div w:id="1043750547">
      <w:bodyDiv w:val="1"/>
      <w:marLeft w:val="0"/>
      <w:marRight w:val="0"/>
      <w:marTop w:val="0"/>
      <w:marBottom w:val="0"/>
      <w:divBdr>
        <w:top w:val="none" w:sz="0" w:space="0" w:color="auto"/>
        <w:left w:val="none" w:sz="0" w:space="0" w:color="auto"/>
        <w:bottom w:val="none" w:sz="0" w:space="0" w:color="auto"/>
        <w:right w:val="none" w:sz="0" w:space="0" w:color="auto"/>
      </w:divBdr>
    </w:div>
    <w:div w:id="1043796759">
      <w:bodyDiv w:val="1"/>
      <w:marLeft w:val="0"/>
      <w:marRight w:val="0"/>
      <w:marTop w:val="0"/>
      <w:marBottom w:val="0"/>
      <w:divBdr>
        <w:top w:val="none" w:sz="0" w:space="0" w:color="auto"/>
        <w:left w:val="none" w:sz="0" w:space="0" w:color="auto"/>
        <w:bottom w:val="none" w:sz="0" w:space="0" w:color="auto"/>
        <w:right w:val="none" w:sz="0" w:space="0" w:color="auto"/>
      </w:divBdr>
    </w:div>
    <w:div w:id="1043823116">
      <w:bodyDiv w:val="1"/>
      <w:marLeft w:val="0"/>
      <w:marRight w:val="0"/>
      <w:marTop w:val="0"/>
      <w:marBottom w:val="0"/>
      <w:divBdr>
        <w:top w:val="none" w:sz="0" w:space="0" w:color="auto"/>
        <w:left w:val="none" w:sz="0" w:space="0" w:color="auto"/>
        <w:bottom w:val="none" w:sz="0" w:space="0" w:color="auto"/>
        <w:right w:val="none" w:sz="0" w:space="0" w:color="auto"/>
      </w:divBdr>
    </w:div>
    <w:div w:id="1043870798">
      <w:bodyDiv w:val="1"/>
      <w:marLeft w:val="0"/>
      <w:marRight w:val="0"/>
      <w:marTop w:val="0"/>
      <w:marBottom w:val="0"/>
      <w:divBdr>
        <w:top w:val="none" w:sz="0" w:space="0" w:color="auto"/>
        <w:left w:val="none" w:sz="0" w:space="0" w:color="auto"/>
        <w:bottom w:val="none" w:sz="0" w:space="0" w:color="auto"/>
        <w:right w:val="none" w:sz="0" w:space="0" w:color="auto"/>
      </w:divBdr>
    </w:div>
    <w:div w:id="1043872480">
      <w:bodyDiv w:val="1"/>
      <w:marLeft w:val="0"/>
      <w:marRight w:val="0"/>
      <w:marTop w:val="0"/>
      <w:marBottom w:val="0"/>
      <w:divBdr>
        <w:top w:val="none" w:sz="0" w:space="0" w:color="auto"/>
        <w:left w:val="none" w:sz="0" w:space="0" w:color="auto"/>
        <w:bottom w:val="none" w:sz="0" w:space="0" w:color="auto"/>
        <w:right w:val="none" w:sz="0" w:space="0" w:color="auto"/>
      </w:divBdr>
    </w:div>
    <w:div w:id="1043947450">
      <w:bodyDiv w:val="1"/>
      <w:marLeft w:val="0"/>
      <w:marRight w:val="0"/>
      <w:marTop w:val="0"/>
      <w:marBottom w:val="0"/>
      <w:divBdr>
        <w:top w:val="none" w:sz="0" w:space="0" w:color="auto"/>
        <w:left w:val="none" w:sz="0" w:space="0" w:color="auto"/>
        <w:bottom w:val="none" w:sz="0" w:space="0" w:color="auto"/>
        <w:right w:val="none" w:sz="0" w:space="0" w:color="auto"/>
      </w:divBdr>
    </w:div>
    <w:div w:id="1044215128">
      <w:bodyDiv w:val="1"/>
      <w:marLeft w:val="0"/>
      <w:marRight w:val="0"/>
      <w:marTop w:val="0"/>
      <w:marBottom w:val="0"/>
      <w:divBdr>
        <w:top w:val="none" w:sz="0" w:space="0" w:color="auto"/>
        <w:left w:val="none" w:sz="0" w:space="0" w:color="auto"/>
        <w:bottom w:val="none" w:sz="0" w:space="0" w:color="auto"/>
        <w:right w:val="none" w:sz="0" w:space="0" w:color="auto"/>
      </w:divBdr>
    </w:div>
    <w:div w:id="1044251901">
      <w:bodyDiv w:val="1"/>
      <w:marLeft w:val="0"/>
      <w:marRight w:val="0"/>
      <w:marTop w:val="0"/>
      <w:marBottom w:val="0"/>
      <w:divBdr>
        <w:top w:val="none" w:sz="0" w:space="0" w:color="auto"/>
        <w:left w:val="none" w:sz="0" w:space="0" w:color="auto"/>
        <w:bottom w:val="none" w:sz="0" w:space="0" w:color="auto"/>
        <w:right w:val="none" w:sz="0" w:space="0" w:color="auto"/>
      </w:divBdr>
    </w:div>
    <w:div w:id="1044329885">
      <w:bodyDiv w:val="1"/>
      <w:marLeft w:val="0"/>
      <w:marRight w:val="0"/>
      <w:marTop w:val="0"/>
      <w:marBottom w:val="0"/>
      <w:divBdr>
        <w:top w:val="none" w:sz="0" w:space="0" w:color="auto"/>
        <w:left w:val="none" w:sz="0" w:space="0" w:color="auto"/>
        <w:bottom w:val="none" w:sz="0" w:space="0" w:color="auto"/>
        <w:right w:val="none" w:sz="0" w:space="0" w:color="auto"/>
      </w:divBdr>
    </w:div>
    <w:div w:id="1044405052">
      <w:bodyDiv w:val="1"/>
      <w:marLeft w:val="0"/>
      <w:marRight w:val="0"/>
      <w:marTop w:val="0"/>
      <w:marBottom w:val="0"/>
      <w:divBdr>
        <w:top w:val="none" w:sz="0" w:space="0" w:color="auto"/>
        <w:left w:val="none" w:sz="0" w:space="0" w:color="auto"/>
        <w:bottom w:val="none" w:sz="0" w:space="0" w:color="auto"/>
        <w:right w:val="none" w:sz="0" w:space="0" w:color="auto"/>
      </w:divBdr>
    </w:div>
    <w:div w:id="1044595552">
      <w:bodyDiv w:val="1"/>
      <w:marLeft w:val="0"/>
      <w:marRight w:val="0"/>
      <w:marTop w:val="0"/>
      <w:marBottom w:val="0"/>
      <w:divBdr>
        <w:top w:val="none" w:sz="0" w:space="0" w:color="auto"/>
        <w:left w:val="none" w:sz="0" w:space="0" w:color="auto"/>
        <w:bottom w:val="none" w:sz="0" w:space="0" w:color="auto"/>
        <w:right w:val="none" w:sz="0" w:space="0" w:color="auto"/>
      </w:divBdr>
    </w:div>
    <w:div w:id="1044597052">
      <w:bodyDiv w:val="1"/>
      <w:marLeft w:val="0"/>
      <w:marRight w:val="0"/>
      <w:marTop w:val="0"/>
      <w:marBottom w:val="0"/>
      <w:divBdr>
        <w:top w:val="none" w:sz="0" w:space="0" w:color="auto"/>
        <w:left w:val="none" w:sz="0" w:space="0" w:color="auto"/>
        <w:bottom w:val="none" w:sz="0" w:space="0" w:color="auto"/>
        <w:right w:val="none" w:sz="0" w:space="0" w:color="auto"/>
      </w:divBdr>
    </w:div>
    <w:div w:id="1044602698">
      <w:bodyDiv w:val="1"/>
      <w:marLeft w:val="0"/>
      <w:marRight w:val="0"/>
      <w:marTop w:val="0"/>
      <w:marBottom w:val="0"/>
      <w:divBdr>
        <w:top w:val="none" w:sz="0" w:space="0" w:color="auto"/>
        <w:left w:val="none" w:sz="0" w:space="0" w:color="auto"/>
        <w:bottom w:val="none" w:sz="0" w:space="0" w:color="auto"/>
        <w:right w:val="none" w:sz="0" w:space="0" w:color="auto"/>
      </w:divBdr>
    </w:div>
    <w:div w:id="1044602917">
      <w:bodyDiv w:val="1"/>
      <w:marLeft w:val="0"/>
      <w:marRight w:val="0"/>
      <w:marTop w:val="0"/>
      <w:marBottom w:val="0"/>
      <w:divBdr>
        <w:top w:val="none" w:sz="0" w:space="0" w:color="auto"/>
        <w:left w:val="none" w:sz="0" w:space="0" w:color="auto"/>
        <w:bottom w:val="none" w:sz="0" w:space="0" w:color="auto"/>
        <w:right w:val="none" w:sz="0" w:space="0" w:color="auto"/>
      </w:divBdr>
    </w:div>
    <w:div w:id="1044676209">
      <w:bodyDiv w:val="1"/>
      <w:marLeft w:val="0"/>
      <w:marRight w:val="0"/>
      <w:marTop w:val="0"/>
      <w:marBottom w:val="0"/>
      <w:divBdr>
        <w:top w:val="none" w:sz="0" w:space="0" w:color="auto"/>
        <w:left w:val="none" w:sz="0" w:space="0" w:color="auto"/>
        <w:bottom w:val="none" w:sz="0" w:space="0" w:color="auto"/>
        <w:right w:val="none" w:sz="0" w:space="0" w:color="auto"/>
      </w:divBdr>
    </w:div>
    <w:div w:id="1044792346">
      <w:bodyDiv w:val="1"/>
      <w:marLeft w:val="0"/>
      <w:marRight w:val="0"/>
      <w:marTop w:val="0"/>
      <w:marBottom w:val="0"/>
      <w:divBdr>
        <w:top w:val="none" w:sz="0" w:space="0" w:color="auto"/>
        <w:left w:val="none" w:sz="0" w:space="0" w:color="auto"/>
        <w:bottom w:val="none" w:sz="0" w:space="0" w:color="auto"/>
        <w:right w:val="none" w:sz="0" w:space="0" w:color="auto"/>
      </w:divBdr>
    </w:div>
    <w:div w:id="1044866171">
      <w:bodyDiv w:val="1"/>
      <w:marLeft w:val="0"/>
      <w:marRight w:val="0"/>
      <w:marTop w:val="0"/>
      <w:marBottom w:val="0"/>
      <w:divBdr>
        <w:top w:val="none" w:sz="0" w:space="0" w:color="auto"/>
        <w:left w:val="none" w:sz="0" w:space="0" w:color="auto"/>
        <w:bottom w:val="none" w:sz="0" w:space="0" w:color="auto"/>
        <w:right w:val="none" w:sz="0" w:space="0" w:color="auto"/>
      </w:divBdr>
    </w:div>
    <w:div w:id="1044871238">
      <w:bodyDiv w:val="1"/>
      <w:marLeft w:val="0"/>
      <w:marRight w:val="0"/>
      <w:marTop w:val="0"/>
      <w:marBottom w:val="0"/>
      <w:divBdr>
        <w:top w:val="none" w:sz="0" w:space="0" w:color="auto"/>
        <w:left w:val="none" w:sz="0" w:space="0" w:color="auto"/>
        <w:bottom w:val="none" w:sz="0" w:space="0" w:color="auto"/>
        <w:right w:val="none" w:sz="0" w:space="0" w:color="auto"/>
      </w:divBdr>
    </w:div>
    <w:div w:id="1044913835">
      <w:bodyDiv w:val="1"/>
      <w:marLeft w:val="0"/>
      <w:marRight w:val="0"/>
      <w:marTop w:val="0"/>
      <w:marBottom w:val="0"/>
      <w:divBdr>
        <w:top w:val="none" w:sz="0" w:space="0" w:color="auto"/>
        <w:left w:val="none" w:sz="0" w:space="0" w:color="auto"/>
        <w:bottom w:val="none" w:sz="0" w:space="0" w:color="auto"/>
        <w:right w:val="none" w:sz="0" w:space="0" w:color="auto"/>
      </w:divBdr>
    </w:div>
    <w:div w:id="1044982444">
      <w:bodyDiv w:val="1"/>
      <w:marLeft w:val="0"/>
      <w:marRight w:val="0"/>
      <w:marTop w:val="0"/>
      <w:marBottom w:val="0"/>
      <w:divBdr>
        <w:top w:val="none" w:sz="0" w:space="0" w:color="auto"/>
        <w:left w:val="none" w:sz="0" w:space="0" w:color="auto"/>
        <w:bottom w:val="none" w:sz="0" w:space="0" w:color="auto"/>
        <w:right w:val="none" w:sz="0" w:space="0" w:color="auto"/>
      </w:divBdr>
    </w:div>
    <w:div w:id="1045064129">
      <w:bodyDiv w:val="1"/>
      <w:marLeft w:val="0"/>
      <w:marRight w:val="0"/>
      <w:marTop w:val="0"/>
      <w:marBottom w:val="0"/>
      <w:divBdr>
        <w:top w:val="none" w:sz="0" w:space="0" w:color="auto"/>
        <w:left w:val="none" w:sz="0" w:space="0" w:color="auto"/>
        <w:bottom w:val="none" w:sz="0" w:space="0" w:color="auto"/>
        <w:right w:val="none" w:sz="0" w:space="0" w:color="auto"/>
      </w:divBdr>
    </w:div>
    <w:div w:id="1045133936">
      <w:bodyDiv w:val="1"/>
      <w:marLeft w:val="0"/>
      <w:marRight w:val="0"/>
      <w:marTop w:val="0"/>
      <w:marBottom w:val="0"/>
      <w:divBdr>
        <w:top w:val="none" w:sz="0" w:space="0" w:color="auto"/>
        <w:left w:val="none" w:sz="0" w:space="0" w:color="auto"/>
        <w:bottom w:val="none" w:sz="0" w:space="0" w:color="auto"/>
        <w:right w:val="none" w:sz="0" w:space="0" w:color="auto"/>
      </w:divBdr>
    </w:div>
    <w:div w:id="1045175203">
      <w:bodyDiv w:val="1"/>
      <w:marLeft w:val="0"/>
      <w:marRight w:val="0"/>
      <w:marTop w:val="0"/>
      <w:marBottom w:val="0"/>
      <w:divBdr>
        <w:top w:val="none" w:sz="0" w:space="0" w:color="auto"/>
        <w:left w:val="none" w:sz="0" w:space="0" w:color="auto"/>
        <w:bottom w:val="none" w:sz="0" w:space="0" w:color="auto"/>
        <w:right w:val="none" w:sz="0" w:space="0" w:color="auto"/>
      </w:divBdr>
    </w:div>
    <w:div w:id="1045254507">
      <w:bodyDiv w:val="1"/>
      <w:marLeft w:val="0"/>
      <w:marRight w:val="0"/>
      <w:marTop w:val="0"/>
      <w:marBottom w:val="0"/>
      <w:divBdr>
        <w:top w:val="none" w:sz="0" w:space="0" w:color="auto"/>
        <w:left w:val="none" w:sz="0" w:space="0" w:color="auto"/>
        <w:bottom w:val="none" w:sz="0" w:space="0" w:color="auto"/>
        <w:right w:val="none" w:sz="0" w:space="0" w:color="auto"/>
      </w:divBdr>
    </w:div>
    <w:div w:id="1045326160">
      <w:bodyDiv w:val="1"/>
      <w:marLeft w:val="0"/>
      <w:marRight w:val="0"/>
      <w:marTop w:val="0"/>
      <w:marBottom w:val="0"/>
      <w:divBdr>
        <w:top w:val="none" w:sz="0" w:space="0" w:color="auto"/>
        <w:left w:val="none" w:sz="0" w:space="0" w:color="auto"/>
        <w:bottom w:val="none" w:sz="0" w:space="0" w:color="auto"/>
        <w:right w:val="none" w:sz="0" w:space="0" w:color="auto"/>
      </w:divBdr>
    </w:div>
    <w:div w:id="1045368641">
      <w:bodyDiv w:val="1"/>
      <w:marLeft w:val="0"/>
      <w:marRight w:val="0"/>
      <w:marTop w:val="0"/>
      <w:marBottom w:val="0"/>
      <w:divBdr>
        <w:top w:val="none" w:sz="0" w:space="0" w:color="auto"/>
        <w:left w:val="none" w:sz="0" w:space="0" w:color="auto"/>
        <w:bottom w:val="none" w:sz="0" w:space="0" w:color="auto"/>
        <w:right w:val="none" w:sz="0" w:space="0" w:color="auto"/>
      </w:divBdr>
    </w:div>
    <w:div w:id="1045376105">
      <w:bodyDiv w:val="1"/>
      <w:marLeft w:val="0"/>
      <w:marRight w:val="0"/>
      <w:marTop w:val="0"/>
      <w:marBottom w:val="0"/>
      <w:divBdr>
        <w:top w:val="none" w:sz="0" w:space="0" w:color="auto"/>
        <w:left w:val="none" w:sz="0" w:space="0" w:color="auto"/>
        <w:bottom w:val="none" w:sz="0" w:space="0" w:color="auto"/>
        <w:right w:val="none" w:sz="0" w:space="0" w:color="auto"/>
      </w:divBdr>
    </w:div>
    <w:div w:id="1045447447">
      <w:bodyDiv w:val="1"/>
      <w:marLeft w:val="0"/>
      <w:marRight w:val="0"/>
      <w:marTop w:val="0"/>
      <w:marBottom w:val="0"/>
      <w:divBdr>
        <w:top w:val="none" w:sz="0" w:space="0" w:color="auto"/>
        <w:left w:val="none" w:sz="0" w:space="0" w:color="auto"/>
        <w:bottom w:val="none" w:sz="0" w:space="0" w:color="auto"/>
        <w:right w:val="none" w:sz="0" w:space="0" w:color="auto"/>
      </w:divBdr>
    </w:div>
    <w:div w:id="1045527502">
      <w:bodyDiv w:val="1"/>
      <w:marLeft w:val="0"/>
      <w:marRight w:val="0"/>
      <w:marTop w:val="0"/>
      <w:marBottom w:val="0"/>
      <w:divBdr>
        <w:top w:val="none" w:sz="0" w:space="0" w:color="auto"/>
        <w:left w:val="none" w:sz="0" w:space="0" w:color="auto"/>
        <w:bottom w:val="none" w:sz="0" w:space="0" w:color="auto"/>
        <w:right w:val="none" w:sz="0" w:space="0" w:color="auto"/>
      </w:divBdr>
    </w:div>
    <w:div w:id="1045569868">
      <w:bodyDiv w:val="1"/>
      <w:marLeft w:val="0"/>
      <w:marRight w:val="0"/>
      <w:marTop w:val="0"/>
      <w:marBottom w:val="0"/>
      <w:divBdr>
        <w:top w:val="none" w:sz="0" w:space="0" w:color="auto"/>
        <w:left w:val="none" w:sz="0" w:space="0" w:color="auto"/>
        <w:bottom w:val="none" w:sz="0" w:space="0" w:color="auto"/>
        <w:right w:val="none" w:sz="0" w:space="0" w:color="auto"/>
      </w:divBdr>
    </w:div>
    <w:div w:id="1045637924">
      <w:bodyDiv w:val="1"/>
      <w:marLeft w:val="0"/>
      <w:marRight w:val="0"/>
      <w:marTop w:val="0"/>
      <w:marBottom w:val="0"/>
      <w:divBdr>
        <w:top w:val="none" w:sz="0" w:space="0" w:color="auto"/>
        <w:left w:val="none" w:sz="0" w:space="0" w:color="auto"/>
        <w:bottom w:val="none" w:sz="0" w:space="0" w:color="auto"/>
        <w:right w:val="none" w:sz="0" w:space="0" w:color="auto"/>
      </w:divBdr>
    </w:div>
    <w:div w:id="1045717917">
      <w:bodyDiv w:val="1"/>
      <w:marLeft w:val="0"/>
      <w:marRight w:val="0"/>
      <w:marTop w:val="0"/>
      <w:marBottom w:val="0"/>
      <w:divBdr>
        <w:top w:val="none" w:sz="0" w:space="0" w:color="auto"/>
        <w:left w:val="none" w:sz="0" w:space="0" w:color="auto"/>
        <w:bottom w:val="none" w:sz="0" w:space="0" w:color="auto"/>
        <w:right w:val="none" w:sz="0" w:space="0" w:color="auto"/>
      </w:divBdr>
    </w:div>
    <w:div w:id="1045762641">
      <w:bodyDiv w:val="1"/>
      <w:marLeft w:val="0"/>
      <w:marRight w:val="0"/>
      <w:marTop w:val="0"/>
      <w:marBottom w:val="0"/>
      <w:divBdr>
        <w:top w:val="none" w:sz="0" w:space="0" w:color="auto"/>
        <w:left w:val="none" w:sz="0" w:space="0" w:color="auto"/>
        <w:bottom w:val="none" w:sz="0" w:space="0" w:color="auto"/>
        <w:right w:val="none" w:sz="0" w:space="0" w:color="auto"/>
      </w:divBdr>
    </w:div>
    <w:div w:id="1045787516">
      <w:bodyDiv w:val="1"/>
      <w:marLeft w:val="0"/>
      <w:marRight w:val="0"/>
      <w:marTop w:val="0"/>
      <w:marBottom w:val="0"/>
      <w:divBdr>
        <w:top w:val="none" w:sz="0" w:space="0" w:color="auto"/>
        <w:left w:val="none" w:sz="0" w:space="0" w:color="auto"/>
        <w:bottom w:val="none" w:sz="0" w:space="0" w:color="auto"/>
        <w:right w:val="none" w:sz="0" w:space="0" w:color="auto"/>
      </w:divBdr>
    </w:div>
    <w:div w:id="1045836528">
      <w:bodyDiv w:val="1"/>
      <w:marLeft w:val="0"/>
      <w:marRight w:val="0"/>
      <w:marTop w:val="0"/>
      <w:marBottom w:val="0"/>
      <w:divBdr>
        <w:top w:val="none" w:sz="0" w:space="0" w:color="auto"/>
        <w:left w:val="none" w:sz="0" w:space="0" w:color="auto"/>
        <w:bottom w:val="none" w:sz="0" w:space="0" w:color="auto"/>
        <w:right w:val="none" w:sz="0" w:space="0" w:color="auto"/>
      </w:divBdr>
    </w:div>
    <w:div w:id="1045907445">
      <w:bodyDiv w:val="1"/>
      <w:marLeft w:val="0"/>
      <w:marRight w:val="0"/>
      <w:marTop w:val="0"/>
      <w:marBottom w:val="0"/>
      <w:divBdr>
        <w:top w:val="none" w:sz="0" w:space="0" w:color="auto"/>
        <w:left w:val="none" w:sz="0" w:space="0" w:color="auto"/>
        <w:bottom w:val="none" w:sz="0" w:space="0" w:color="auto"/>
        <w:right w:val="none" w:sz="0" w:space="0" w:color="auto"/>
      </w:divBdr>
    </w:div>
    <w:div w:id="1045984282">
      <w:bodyDiv w:val="1"/>
      <w:marLeft w:val="0"/>
      <w:marRight w:val="0"/>
      <w:marTop w:val="0"/>
      <w:marBottom w:val="0"/>
      <w:divBdr>
        <w:top w:val="none" w:sz="0" w:space="0" w:color="auto"/>
        <w:left w:val="none" w:sz="0" w:space="0" w:color="auto"/>
        <w:bottom w:val="none" w:sz="0" w:space="0" w:color="auto"/>
        <w:right w:val="none" w:sz="0" w:space="0" w:color="auto"/>
      </w:divBdr>
    </w:div>
    <w:div w:id="1046100700">
      <w:bodyDiv w:val="1"/>
      <w:marLeft w:val="0"/>
      <w:marRight w:val="0"/>
      <w:marTop w:val="0"/>
      <w:marBottom w:val="0"/>
      <w:divBdr>
        <w:top w:val="none" w:sz="0" w:space="0" w:color="auto"/>
        <w:left w:val="none" w:sz="0" w:space="0" w:color="auto"/>
        <w:bottom w:val="none" w:sz="0" w:space="0" w:color="auto"/>
        <w:right w:val="none" w:sz="0" w:space="0" w:color="auto"/>
      </w:divBdr>
    </w:div>
    <w:div w:id="1046102919">
      <w:bodyDiv w:val="1"/>
      <w:marLeft w:val="0"/>
      <w:marRight w:val="0"/>
      <w:marTop w:val="0"/>
      <w:marBottom w:val="0"/>
      <w:divBdr>
        <w:top w:val="none" w:sz="0" w:space="0" w:color="auto"/>
        <w:left w:val="none" w:sz="0" w:space="0" w:color="auto"/>
        <w:bottom w:val="none" w:sz="0" w:space="0" w:color="auto"/>
        <w:right w:val="none" w:sz="0" w:space="0" w:color="auto"/>
      </w:divBdr>
    </w:div>
    <w:div w:id="1046104708">
      <w:bodyDiv w:val="1"/>
      <w:marLeft w:val="0"/>
      <w:marRight w:val="0"/>
      <w:marTop w:val="0"/>
      <w:marBottom w:val="0"/>
      <w:divBdr>
        <w:top w:val="none" w:sz="0" w:space="0" w:color="auto"/>
        <w:left w:val="none" w:sz="0" w:space="0" w:color="auto"/>
        <w:bottom w:val="none" w:sz="0" w:space="0" w:color="auto"/>
        <w:right w:val="none" w:sz="0" w:space="0" w:color="auto"/>
      </w:divBdr>
    </w:div>
    <w:div w:id="1046180515">
      <w:bodyDiv w:val="1"/>
      <w:marLeft w:val="0"/>
      <w:marRight w:val="0"/>
      <w:marTop w:val="0"/>
      <w:marBottom w:val="0"/>
      <w:divBdr>
        <w:top w:val="none" w:sz="0" w:space="0" w:color="auto"/>
        <w:left w:val="none" w:sz="0" w:space="0" w:color="auto"/>
        <w:bottom w:val="none" w:sz="0" w:space="0" w:color="auto"/>
        <w:right w:val="none" w:sz="0" w:space="0" w:color="auto"/>
      </w:divBdr>
    </w:div>
    <w:div w:id="1046221985">
      <w:bodyDiv w:val="1"/>
      <w:marLeft w:val="0"/>
      <w:marRight w:val="0"/>
      <w:marTop w:val="0"/>
      <w:marBottom w:val="0"/>
      <w:divBdr>
        <w:top w:val="none" w:sz="0" w:space="0" w:color="auto"/>
        <w:left w:val="none" w:sz="0" w:space="0" w:color="auto"/>
        <w:bottom w:val="none" w:sz="0" w:space="0" w:color="auto"/>
        <w:right w:val="none" w:sz="0" w:space="0" w:color="auto"/>
      </w:divBdr>
    </w:div>
    <w:div w:id="1046224087">
      <w:bodyDiv w:val="1"/>
      <w:marLeft w:val="0"/>
      <w:marRight w:val="0"/>
      <w:marTop w:val="0"/>
      <w:marBottom w:val="0"/>
      <w:divBdr>
        <w:top w:val="none" w:sz="0" w:space="0" w:color="auto"/>
        <w:left w:val="none" w:sz="0" w:space="0" w:color="auto"/>
        <w:bottom w:val="none" w:sz="0" w:space="0" w:color="auto"/>
        <w:right w:val="none" w:sz="0" w:space="0" w:color="auto"/>
      </w:divBdr>
    </w:div>
    <w:div w:id="1046291629">
      <w:bodyDiv w:val="1"/>
      <w:marLeft w:val="0"/>
      <w:marRight w:val="0"/>
      <w:marTop w:val="0"/>
      <w:marBottom w:val="0"/>
      <w:divBdr>
        <w:top w:val="none" w:sz="0" w:space="0" w:color="auto"/>
        <w:left w:val="none" w:sz="0" w:space="0" w:color="auto"/>
        <w:bottom w:val="none" w:sz="0" w:space="0" w:color="auto"/>
        <w:right w:val="none" w:sz="0" w:space="0" w:color="auto"/>
      </w:divBdr>
    </w:div>
    <w:div w:id="1046292782">
      <w:bodyDiv w:val="1"/>
      <w:marLeft w:val="0"/>
      <w:marRight w:val="0"/>
      <w:marTop w:val="0"/>
      <w:marBottom w:val="0"/>
      <w:divBdr>
        <w:top w:val="none" w:sz="0" w:space="0" w:color="auto"/>
        <w:left w:val="none" w:sz="0" w:space="0" w:color="auto"/>
        <w:bottom w:val="none" w:sz="0" w:space="0" w:color="auto"/>
        <w:right w:val="none" w:sz="0" w:space="0" w:color="auto"/>
      </w:divBdr>
    </w:div>
    <w:div w:id="1046300004">
      <w:bodyDiv w:val="1"/>
      <w:marLeft w:val="0"/>
      <w:marRight w:val="0"/>
      <w:marTop w:val="0"/>
      <w:marBottom w:val="0"/>
      <w:divBdr>
        <w:top w:val="none" w:sz="0" w:space="0" w:color="auto"/>
        <w:left w:val="none" w:sz="0" w:space="0" w:color="auto"/>
        <w:bottom w:val="none" w:sz="0" w:space="0" w:color="auto"/>
        <w:right w:val="none" w:sz="0" w:space="0" w:color="auto"/>
      </w:divBdr>
    </w:div>
    <w:div w:id="1046493680">
      <w:bodyDiv w:val="1"/>
      <w:marLeft w:val="0"/>
      <w:marRight w:val="0"/>
      <w:marTop w:val="0"/>
      <w:marBottom w:val="0"/>
      <w:divBdr>
        <w:top w:val="none" w:sz="0" w:space="0" w:color="auto"/>
        <w:left w:val="none" w:sz="0" w:space="0" w:color="auto"/>
        <w:bottom w:val="none" w:sz="0" w:space="0" w:color="auto"/>
        <w:right w:val="none" w:sz="0" w:space="0" w:color="auto"/>
      </w:divBdr>
    </w:div>
    <w:div w:id="1046685991">
      <w:bodyDiv w:val="1"/>
      <w:marLeft w:val="0"/>
      <w:marRight w:val="0"/>
      <w:marTop w:val="0"/>
      <w:marBottom w:val="0"/>
      <w:divBdr>
        <w:top w:val="none" w:sz="0" w:space="0" w:color="auto"/>
        <w:left w:val="none" w:sz="0" w:space="0" w:color="auto"/>
        <w:bottom w:val="none" w:sz="0" w:space="0" w:color="auto"/>
        <w:right w:val="none" w:sz="0" w:space="0" w:color="auto"/>
      </w:divBdr>
    </w:div>
    <w:div w:id="1046872987">
      <w:bodyDiv w:val="1"/>
      <w:marLeft w:val="0"/>
      <w:marRight w:val="0"/>
      <w:marTop w:val="0"/>
      <w:marBottom w:val="0"/>
      <w:divBdr>
        <w:top w:val="none" w:sz="0" w:space="0" w:color="auto"/>
        <w:left w:val="none" w:sz="0" w:space="0" w:color="auto"/>
        <w:bottom w:val="none" w:sz="0" w:space="0" w:color="auto"/>
        <w:right w:val="none" w:sz="0" w:space="0" w:color="auto"/>
      </w:divBdr>
    </w:div>
    <w:div w:id="1047026012">
      <w:bodyDiv w:val="1"/>
      <w:marLeft w:val="0"/>
      <w:marRight w:val="0"/>
      <w:marTop w:val="0"/>
      <w:marBottom w:val="0"/>
      <w:divBdr>
        <w:top w:val="none" w:sz="0" w:space="0" w:color="auto"/>
        <w:left w:val="none" w:sz="0" w:space="0" w:color="auto"/>
        <w:bottom w:val="none" w:sz="0" w:space="0" w:color="auto"/>
        <w:right w:val="none" w:sz="0" w:space="0" w:color="auto"/>
      </w:divBdr>
    </w:div>
    <w:div w:id="1047030041">
      <w:bodyDiv w:val="1"/>
      <w:marLeft w:val="0"/>
      <w:marRight w:val="0"/>
      <w:marTop w:val="0"/>
      <w:marBottom w:val="0"/>
      <w:divBdr>
        <w:top w:val="none" w:sz="0" w:space="0" w:color="auto"/>
        <w:left w:val="none" w:sz="0" w:space="0" w:color="auto"/>
        <w:bottom w:val="none" w:sz="0" w:space="0" w:color="auto"/>
        <w:right w:val="none" w:sz="0" w:space="0" w:color="auto"/>
      </w:divBdr>
    </w:div>
    <w:div w:id="1047031038">
      <w:bodyDiv w:val="1"/>
      <w:marLeft w:val="0"/>
      <w:marRight w:val="0"/>
      <w:marTop w:val="0"/>
      <w:marBottom w:val="0"/>
      <w:divBdr>
        <w:top w:val="none" w:sz="0" w:space="0" w:color="auto"/>
        <w:left w:val="none" w:sz="0" w:space="0" w:color="auto"/>
        <w:bottom w:val="none" w:sz="0" w:space="0" w:color="auto"/>
        <w:right w:val="none" w:sz="0" w:space="0" w:color="auto"/>
      </w:divBdr>
    </w:div>
    <w:div w:id="1047098827">
      <w:bodyDiv w:val="1"/>
      <w:marLeft w:val="0"/>
      <w:marRight w:val="0"/>
      <w:marTop w:val="0"/>
      <w:marBottom w:val="0"/>
      <w:divBdr>
        <w:top w:val="none" w:sz="0" w:space="0" w:color="auto"/>
        <w:left w:val="none" w:sz="0" w:space="0" w:color="auto"/>
        <w:bottom w:val="none" w:sz="0" w:space="0" w:color="auto"/>
        <w:right w:val="none" w:sz="0" w:space="0" w:color="auto"/>
      </w:divBdr>
    </w:div>
    <w:div w:id="1047144323">
      <w:bodyDiv w:val="1"/>
      <w:marLeft w:val="0"/>
      <w:marRight w:val="0"/>
      <w:marTop w:val="0"/>
      <w:marBottom w:val="0"/>
      <w:divBdr>
        <w:top w:val="none" w:sz="0" w:space="0" w:color="auto"/>
        <w:left w:val="none" w:sz="0" w:space="0" w:color="auto"/>
        <w:bottom w:val="none" w:sz="0" w:space="0" w:color="auto"/>
        <w:right w:val="none" w:sz="0" w:space="0" w:color="auto"/>
      </w:divBdr>
    </w:div>
    <w:div w:id="1047146565">
      <w:bodyDiv w:val="1"/>
      <w:marLeft w:val="0"/>
      <w:marRight w:val="0"/>
      <w:marTop w:val="0"/>
      <w:marBottom w:val="0"/>
      <w:divBdr>
        <w:top w:val="none" w:sz="0" w:space="0" w:color="auto"/>
        <w:left w:val="none" w:sz="0" w:space="0" w:color="auto"/>
        <w:bottom w:val="none" w:sz="0" w:space="0" w:color="auto"/>
        <w:right w:val="none" w:sz="0" w:space="0" w:color="auto"/>
      </w:divBdr>
    </w:div>
    <w:div w:id="1047291301">
      <w:bodyDiv w:val="1"/>
      <w:marLeft w:val="0"/>
      <w:marRight w:val="0"/>
      <w:marTop w:val="0"/>
      <w:marBottom w:val="0"/>
      <w:divBdr>
        <w:top w:val="none" w:sz="0" w:space="0" w:color="auto"/>
        <w:left w:val="none" w:sz="0" w:space="0" w:color="auto"/>
        <w:bottom w:val="none" w:sz="0" w:space="0" w:color="auto"/>
        <w:right w:val="none" w:sz="0" w:space="0" w:color="auto"/>
      </w:divBdr>
    </w:div>
    <w:div w:id="1047292898">
      <w:bodyDiv w:val="1"/>
      <w:marLeft w:val="0"/>
      <w:marRight w:val="0"/>
      <w:marTop w:val="0"/>
      <w:marBottom w:val="0"/>
      <w:divBdr>
        <w:top w:val="none" w:sz="0" w:space="0" w:color="auto"/>
        <w:left w:val="none" w:sz="0" w:space="0" w:color="auto"/>
        <w:bottom w:val="none" w:sz="0" w:space="0" w:color="auto"/>
        <w:right w:val="none" w:sz="0" w:space="0" w:color="auto"/>
      </w:divBdr>
    </w:div>
    <w:div w:id="1047296498">
      <w:bodyDiv w:val="1"/>
      <w:marLeft w:val="0"/>
      <w:marRight w:val="0"/>
      <w:marTop w:val="0"/>
      <w:marBottom w:val="0"/>
      <w:divBdr>
        <w:top w:val="none" w:sz="0" w:space="0" w:color="auto"/>
        <w:left w:val="none" w:sz="0" w:space="0" w:color="auto"/>
        <w:bottom w:val="none" w:sz="0" w:space="0" w:color="auto"/>
        <w:right w:val="none" w:sz="0" w:space="0" w:color="auto"/>
      </w:divBdr>
    </w:div>
    <w:div w:id="1047335853">
      <w:bodyDiv w:val="1"/>
      <w:marLeft w:val="0"/>
      <w:marRight w:val="0"/>
      <w:marTop w:val="0"/>
      <w:marBottom w:val="0"/>
      <w:divBdr>
        <w:top w:val="none" w:sz="0" w:space="0" w:color="auto"/>
        <w:left w:val="none" w:sz="0" w:space="0" w:color="auto"/>
        <w:bottom w:val="none" w:sz="0" w:space="0" w:color="auto"/>
        <w:right w:val="none" w:sz="0" w:space="0" w:color="auto"/>
      </w:divBdr>
    </w:div>
    <w:div w:id="1047486395">
      <w:bodyDiv w:val="1"/>
      <w:marLeft w:val="0"/>
      <w:marRight w:val="0"/>
      <w:marTop w:val="0"/>
      <w:marBottom w:val="0"/>
      <w:divBdr>
        <w:top w:val="none" w:sz="0" w:space="0" w:color="auto"/>
        <w:left w:val="none" w:sz="0" w:space="0" w:color="auto"/>
        <w:bottom w:val="none" w:sz="0" w:space="0" w:color="auto"/>
        <w:right w:val="none" w:sz="0" w:space="0" w:color="auto"/>
      </w:divBdr>
    </w:div>
    <w:div w:id="1047533783">
      <w:bodyDiv w:val="1"/>
      <w:marLeft w:val="0"/>
      <w:marRight w:val="0"/>
      <w:marTop w:val="0"/>
      <w:marBottom w:val="0"/>
      <w:divBdr>
        <w:top w:val="none" w:sz="0" w:space="0" w:color="auto"/>
        <w:left w:val="none" w:sz="0" w:space="0" w:color="auto"/>
        <w:bottom w:val="none" w:sz="0" w:space="0" w:color="auto"/>
        <w:right w:val="none" w:sz="0" w:space="0" w:color="auto"/>
      </w:divBdr>
    </w:div>
    <w:div w:id="1047681563">
      <w:bodyDiv w:val="1"/>
      <w:marLeft w:val="0"/>
      <w:marRight w:val="0"/>
      <w:marTop w:val="0"/>
      <w:marBottom w:val="0"/>
      <w:divBdr>
        <w:top w:val="none" w:sz="0" w:space="0" w:color="auto"/>
        <w:left w:val="none" w:sz="0" w:space="0" w:color="auto"/>
        <w:bottom w:val="none" w:sz="0" w:space="0" w:color="auto"/>
        <w:right w:val="none" w:sz="0" w:space="0" w:color="auto"/>
      </w:divBdr>
    </w:div>
    <w:div w:id="1047684577">
      <w:bodyDiv w:val="1"/>
      <w:marLeft w:val="0"/>
      <w:marRight w:val="0"/>
      <w:marTop w:val="0"/>
      <w:marBottom w:val="0"/>
      <w:divBdr>
        <w:top w:val="none" w:sz="0" w:space="0" w:color="auto"/>
        <w:left w:val="none" w:sz="0" w:space="0" w:color="auto"/>
        <w:bottom w:val="none" w:sz="0" w:space="0" w:color="auto"/>
        <w:right w:val="none" w:sz="0" w:space="0" w:color="auto"/>
      </w:divBdr>
    </w:div>
    <w:div w:id="1047753461">
      <w:bodyDiv w:val="1"/>
      <w:marLeft w:val="0"/>
      <w:marRight w:val="0"/>
      <w:marTop w:val="0"/>
      <w:marBottom w:val="0"/>
      <w:divBdr>
        <w:top w:val="none" w:sz="0" w:space="0" w:color="auto"/>
        <w:left w:val="none" w:sz="0" w:space="0" w:color="auto"/>
        <w:bottom w:val="none" w:sz="0" w:space="0" w:color="auto"/>
        <w:right w:val="none" w:sz="0" w:space="0" w:color="auto"/>
      </w:divBdr>
    </w:div>
    <w:div w:id="1047802162">
      <w:bodyDiv w:val="1"/>
      <w:marLeft w:val="0"/>
      <w:marRight w:val="0"/>
      <w:marTop w:val="0"/>
      <w:marBottom w:val="0"/>
      <w:divBdr>
        <w:top w:val="none" w:sz="0" w:space="0" w:color="auto"/>
        <w:left w:val="none" w:sz="0" w:space="0" w:color="auto"/>
        <w:bottom w:val="none" w:sz="0" w:space="0" w:color="auto"/>
        <w:right w:val="none" w:sz="0" w:space="0" w:color="auto"/>
      </w:divBdr>
    </w:div>
    <w:div w:id="1047871487">
      <w:bodyDiv w:val="1"/>
      <w:marLeft w:val="0"/>
      <w:marRight w:val="0"/>
      <w:marTop w:val="0"/>
      <w:marBottom w:val="0"/>
      <w:divBdr>
        <w:top w:val="none" w:sz="0" w:space="0" w:color="auto"/>
        <w:left w:val="none" w:sz="0" w:space="0" w:color="auto"/>
        <w:bottom w:val="none" w:sz="0" w:space="0" w:color="auto"/>
        <w:right w:val="none" w:sz="0" w:space="0" w:color="auto"/>
      </w:divBdr>
    </w:div>
    <w:div w:id="1047949265">
      <w:bodyDiv w:val="1"/>
      <w:marLeft w:val="0"/>
      <w:marRight w:val="0"/>
      <w:marTop w:val="0"/>
      <w:marBottom w:val="0"/>
      <w:divBdr>
        <w:top w:val="none" w:sz="0" w:space="0" w:color="auto"/>
        <w:left w:val="none" w:sz="0" w:space="0" w:color="auto"/>
        <w:bottom w:val="none" w:sz="0" w:space="0" w:color="auto"/>
        <w:right w:val="none" w:sz="0" w:space="0" w:color="auto"/>
      </w:divBdr>
    </w:div>
    <w:div w:id="1048066125">
      <w:bodyDiv w:val="1"/>
      <w:marLeft w:val="0"/>
      <w:marRight w:val="0"/>
      <w:marTop w:val="0"/>
      <w:marBottom w:val="0"/>
      <w:divBdr>
        <w:top w:val="none" w:sz="0" w:space="0" w:color="auto"/>
        <w:left w:val="none" w:sz="0" w:space="0" w:color="auto"/>
        <w:bottom w:val="none" w:sz="0" w:space="0" w:color="auto"/>
        <w:right w:val="none" w:sz="0" w:space="0" w:color="auto"/>
      </w:divBdr>
    </w:div>
    <w:div w:id="1048185460">
      <w:bodyDiv w:val="1"/>
      <w:marLeft w:val="0"/>
      <w:marRight w:val="0"/>
      <w:marTop w:val="0"/>
      <w:marBottom w:val="0"/>
      <w:divBdr>
        <w:top w:val="none" w:sz="0" w:space="0" w:color="auto"/>
        <w:left w:val="none" w:sz="0" w:space="0" w:color="auto"/>
        <w:bottom w:val="none" w:sz="0" w:space="0" w:color="auto"/>
        <w:right w:val="none" w:sz="0" w:space="0" w:color="auto"/>
      </w:divBdr>
    </w:div>
    <w:div w:id="1048257442">
      <w:bodyDiv w:val="1"/>
      <w:marLeft w:val="0"/>
      <w:marRight w:val="0"/>
      <w:marTop w:val="0"/>
      <w:marBottom w:val="0"/>
      <w:divBdr>
        <w:top w:val="none" w:sz="0" w:space="0" w:color="auto"/>
        <w:left w:val="none" w:sz="0" w:space="0" w:color="auto"/>
        <w:bottom w:val="none" w:sz="0" w:space="0" w:color="auto"/>
        <w:right w:val="none" w:sz="0" w:space="0" w:color="auto"/>
      </w:divBdr>
    </w:div>
    <w:div w:id="1048334608">
      <w:bodyDiv w:val="1"/>
      <w:marLeft w:val="0"/>
      <w:marRight w:val="0"/>
      <w:marTop w:val="0"/>
      <w:marBottom w:val="0"/>
      <w:divBdr>
        <w:top w:val="none" w:sz="0" w:space="0" w:color="auto"/>
        <w:left w:val="none" w:sz="0" w:space="0" w:color="auto"/>
        <w:bottom w:val="none" w:sz="0" w:space="0" w:color="auto"/>
        <w:right w:val="none" w:sz="0" w:space="0" w:color="auto"/>
      </w:divBdr>
    </w:div>
    <w:div w:id="1048383313">
      <w:bodyDiv w:val="1"/>
      <w:marLeft w:val="0"/>
      <w:marRight w:val="0"/>
      <w:marTop w:val="0"/>
      <w:marBottom w:val="0"/>
      <w:divBdr>
        <w:top w:val="none" w:sz="0" w:space="0" w:color="auto"/>
        <w:left w:val="none" w:sz="0" w:space="0" w:color="auto"/>
        <w:bottom w:val="none" w:sz="0" w:space="0" w:color="auto"/>
        <w:right w:val="none" w:sz="0" w:space="0" w:color="auto"/>
      </w:divBdr>
    </w:div>
    <w:div w:id="1048456321">
      <w:bodyDiv w:val="1"/>
      <w:marLeft w:val="0"/>
      <w:marRight w:val="0"/>
      <w:marTop w:val="0"/>
      <w:marBottom w:val="0"/>
      <w:divBdr>
        <w:top w:val="none" w:sz="0" w:space="0" w:color="auto"/>
        <w:left w:val="none" w:sz="0" w:space="0" w:color="auto"/>
        <w:bottom w:val="none" w:sz="0" w:space="0" w:color="auto"/>
        <w:right w:val="none" w:sz="0" w:space="0" w:color="auto"/>
      </w:divBdr>
    </w:div>
    <w:div w:id="1048457688">
      <w:bodyDiv w:val="1"/>
      <w:marLeft w:val="0"/>
      <w:marRight w:val="0"/>
      <w:marTop w:val="0"/>
      <w:marBottom w:val="0"/>
      <w:divBdr>
        <w:top w:val="none" w:sz="0" w:space="0" w:color="auto"/>
        <w:left w:val="none" w:sz="0" w:space="0" w:color="auto"/>
        <w:bottom w:val="none" w:sz="0" w:space="0" w:color="auto"/>
        <w:right w:val="none" w:sz="0" w:space="0" w:color="auto"/>
      </w:divBdr>
    </w:div>
    <w:div w:id="1048530079">
      <w:bodyDiv w:val="1"/>
      <w:marLeft w:val="0"/>
      <w:marRight w:val="0"/>
      <w:marTop w:val="0"/>
      <w:marBottom w:val="0"/>
      <w:divBdr>
        <w:top w:val="none" w:sz="0" w:space="0" w:color="auto"/>
        <w:left w:val="none" w:sz="0" w:space="0" w:color="auto"/>
        <w:bottom w:val="none" w:sz="0" w:space="0" w:color="auto"/>
        <w:right w:val="none" w:sz="0" w:space="0" w:color="auto"/>
      </w:divBdr>
    </w:div>
    <w:div w:id="1048601670">
      <w:bodyDiv w:val="1"/>
      <w:marLeft w:val="0"/>
      <w:marRight w:val="0"/>
      <w:marTop w:val="0"/>
      <w:marBottom w:val="0"/>
      <w:divBdr>
        <w:top w:val="none" w:sz="0" w:space="0" w:color="auto"/>
        <w:left w:val="none" w:sz="0" w:space="0" w:color="auto"/>
        <w:bottom w:val="none" w:sz="0" w:space="0" w:color="auto"/>
        <w:right w:val="none" w:sz="0" w:space="0" w:color="auto"/>
      </w:divBdr>
    </w:div>
    <w:div w:id="1048721333">
      <w:bodyDiv w:val="1"/>
      <w:marLeft w:val="0"/>
      <w:marRight w:val="0"/>
      <w:marTop w:val="0"/>
      <w:marBottom w:val="0"/>
      <w:divBdr>
        <w:top w:val="none" w:sz="0" w:space="0" w:color="auto"/>
        <w:left w:val="none" w:sz="0" w:space="0" w:color="auto"/>
        <w:bottom w:val="none" w:sz="0" w:space="0" w:color="auto"/>
        <w:right w:val="none" w:sz="0" w:space="0" w:color="auto"/>
      </w:divBdr>
    </w:div>
    <w:div w:id="1048728863">
      <w:bodyDiv w:val="1"/>
      <w:marLeft w:val="0"/>
      <w:marRight w:val="0"/>
      <w:marTop w:val="0"/>
      <w:marBottom w:val="0"/>
      <w:divBdr>
        <w:top w:val="none" w:sz="0" w:space="0" w:color="auto"/>
        <w:left w:val="none" w:sz="0" w:space="0" w:color="auto"/>
        <w:bottom w:val="none" w:sz="0" w:space="0" w:color="auto"/>
        <w:right w:val="none" w:sz="0" w:space="0" w:color="auto"/>
      </w:divBdr>
    </w:div>
    <w:div w:id="1048797487">
      <w:bodyDiv w:val="1"/>
      <w:marLeft w:val="0"/>
      <w:marRight w:val="0"/>
      <w:marTop w:val="0"/>
      <w:marBottom w:val="0"/>
      <w:divBdr>
        <w:top w:val="none" w:sz="0" w:space="0" w:color="auto"/>
        <w:left w:val="none" w:sz="0" w:space="0" w:color="auto"/>
        <w:bottom w:val="none" w:sz="0" w:space="0" w:color="auto"/>
        <w:right w:val="none" w:sz="0" w:space="0" w:color="auto"/>
      </w:divBdr>
    </w:div>
    <w:div w:id="1048804057">
      <w:bodyDiv w:val="1"/>
      <w:marLeft w:val="0"/>
      <w:marRight w:val="0"/>
      <w:marTop w:val="0"/>
      <w:marBottom w:val="0"/>
      <w:divBdr>
        <w:top w:val="none" w:sz="0" w:space="0" w:color="auto"/>
        <w:left w:val="none" w:sz="0" w:space="0" w:color="auto"/>
        <w:bottom w:val="none" w:sz="0" w:space="0" w:color="auto"/>
        <w:right w:val="none" w:sz="0" w:space="0" w:color="auto"/>
      </w:divBdr>
    </w:div>
    <w:div w:id="1048845107">
      <w:bodyDiv w:val="1"/>
      <w:marLeft w:val="0"/>
      <w:marRight w:val="0"/>
      <w:marTop w:val="0"/>
      <w:marBottom w:val="0"/>
      <w:divBdr>
        <w:top w:val="none" w:sz="0" w:space="0" w:color="auto"/>
        <w:left w:val="none" w:sz="0" w:space="0" w:color="auto"/>
        <w:bottom w:val="none" w:sz="0" w:space="0" w:color="auto"/>
        <w:right w:val="none" w:sz="0" w:space="0" w:color="auto"/>
      </w:divBdr>
    </w:div>
    <w:div w:id="1048916352">
      <w:bodyDiv w:val="1"/>
      <w:marLeft w:val="0"/>
      <w:marRight w:val="0"/>
      <w:marTop w:val="0"/>
      <w:marBottom w:val="0"/>
      <w:divBdr>
        <w:top w:val="none" w:sz="0" w:space="0" w:color="auto"/>
        <w:left w:val="none" w:sz="0" w:space="0" w:color="auto"/>
        <w:bottom w:val="none" w:sz="0" w:space="0" w:color="auto"/>
        <w:right w:val="none" w:sz="0" w:space="0" w:color="auto"/>
      </w:divBdr>
    </w:div>
    <w:div w:id="1048921217">
      <w:bodyDiv w:val="1"/>
      <w:marLeft w:val="0"/>
      <w:marRight w:val="0"/>
      <w:marTop w:val="0"/>
      <w:marBottom w:val="0"/>
      <w:divBdr>
        <w:top w:val="none" w:sz="0" w:space="0" w:color="auto"/>
        <w:left w:val="none" w:sz="0" w:space="0" w:color="auto"/>
        <w:bottom w:val="none" w:sz="0" w:space="0" w:color="auto"/>
        <w:right w:val="none" w:sz="0" w:space="0" w:color="auto"/>
      </w:divBdr>
    </w:div>
    <w:div w:id="1048988777">
      <w:bodyDiv w:val="1"/>
      <w:marLeft w:val="0"/>
      <w:marRight w:val="0"/>
      <w:marTop w:val="0"/>
      <w:marBottom w:val="0"/>
      <w:divBdr>
        <w:top w:val="none" w:sz="0" w:space="0" w:color="auto"/>
        <w:left w:val="none" w:sz="0" w:space="0" w:color="auto"/>
        <w:bottom w:val="none" w:sz="0" w:space="0" w:color="auto"/>
        <w:right w:val="none" w:sz="0" w:space="0" w:color="auto"/>
      </w:divBdr>
    </w:div>
    <w:div w:id="1049037685">
      <w:bodyDiv w:val="1"/>
      <w:marLeft w:val="0"/>
      <w:marRight w:val="0"/>
      <w:marTop w:val="0"/>
      <w:marBottom w:val="0"/>
      <w:divBdr>
        <w:top w:val="none" w:sz="0" w:space="0" w:color="auto"/>
        <w:left w:val="none" w:sz="0" w:space="0" w:color="auto"/>
        <w:bottom w:val="none" w:sz="0" w:space="0" w:color="auto"/>
        <w:right w:val="none" w:sz="0" w:space="0" w:color="auto"/>
      </w:divBdr>
    </w:div>
    <w:div w:id="1049039630">
      <w:bodyDiv w:val="1"/>
      <w:marLeft w:val="0"/>
      <w:marRight w:val="0"/>
      <w:marTop w:val="0"/>
      <w:marBottom w:val="0"/>
      <w:divBdr>
        <w:top w:val="none" w:sz="0" w:space="0" w:color="auto"/>
        <w:left w:val="none" w:sz="0" w:space="0" w:color="auto"/>
        <w:bottom w:val="none" w:sz="0" w:space="0" w:color="auto"/>
        <w:right w:val="none" w:sz="0" w:space="0" w:color="auto"/>
      </w:divBdr>
    </w:div>
    <w:div w:id="1049454787">
      <w:bodyDiv w:val="1"/>
      <w:marLeft w:val="0"/>
      <w:marRight w:val="0"/>
      <w:marTop w:val="0"/>
      <w:marBottom w:val="0"/>
      <w:divBdr>
        <w:top w:val="none" w:sz="0" w:space="0" w:color="auto"/>
        <w:left w:val="none" w:sz="0" w:space="0" w:color="auto"/>
        <w:bottom w:val="none" w:sz="0" w:space="0" w:color="auto"/>
        <w:right w:val="none" w:sz="0" w:space="0" w:color="auto"/>
      </w:divBdr>
    </w:div>
    <w:div w:id="1049456629">
      <w:bodyDiv w:val="1"/>
      <w:marLeft w:val="0"/>
      <w:marRight w:val="0"/>
      <w:marTop w:val="0"/>
      <w:marBottom w:val="0"/>
      <w:divBdr>
        <w:top w:val="none" w:sz="0" w:space="0" w:color="auto"/>
        <w:left w:val="none" w:sz="0" w:space="0" w:color="auto"/>
        <w:bottom w:val="none" w:sz="0" w:space="0" w:color="auto"/>
        <w:right w:val="none" w:sz="0" w:space="0" w:color="auto"/>
      </w:divBdr>
    </w:div>
    <w:div w:id="1049526179">
      <w:bodyDiv w:val="1"/>
      <w:marLeft w:val="0"/>
      <w:marRight w:val="0"/>
      <w:marTop w:val="0"/>
      <w:marBottom w:val="0"/>
      <w:divBdr>
        <w:top w:val="none" w:sz="0" w:space="0" w:color="auto"/>
        <w:left w:val="none" w:sz="0" w:space="0" w:color="auto"/>
        <w:bottom w:val="none" w:sz="0" w:space="0" w:color="auto"/>
        <w:right w:val="none" w:sz="0" w:space="0" w:color="auto"/>
      </w:divBdr>
    </w:div>
    <w:div w:id="1049575526">
      <w:bodyDiv w:val="1"/>
      <w:marLeft w:val="0"/>
      <w:marRight w:val="0"/>
      <w:marTop w:val="0"/>
      <w:marBottom w:val="0"/>
      <w:divBdr>
        <w:top w:val="none" w:sz="0" w:space="0" w:color="auto"/>
        <w:left w:val="none" w:sz="0" w:space="0" w:color="auto"/>
        <w:bottom w:val="none" w:sz="0" w:space="0" w:color="auto"/>
        <w:right w:val="none" w:sz="0" w:space="0" w:color="auto"/>
      </w:divBdr>
    </w:div>
    <w:div w:id="1049644203">
      <w:bodyDiv w:val="1"/>
      <w:marLeft w:val="0"/>
      <w:marRight w:val="0"/>
      <w:marTop w:val="0"/>
      <w:marBottom w:val="0"/>
      <w:divBdr>
        <w:top w:val="none" w:sz="0" w:space="0" w:color="auto"/>
        <w:left w:val="none" w:sz="0" w:space="0" w:color="auto"/>
        <w:bottom w:val="none" w:sz="0" w:space="0" w:color="auto"/>
        <w:right w:val="none" w:sz="0" w:space="0" w:color="auto"/>
      </w:divBdr>
    </w:div>
    <w:div w:id="1049644751">
      <w:bodyDiv w:val="1"/>
      <w:marLeft w:val="0"/>
      <w:marRight w:val="0"/>
      <w:marTop w:val="0"/>
      <w:marBottom w:val="0"/>
      <w:divBdr>
        <w:top w:val="none" w:sz="0" w:space="0" w:color="auto"/>
        <w:left w:val="none" w:sz="0" w:space="0" w:color="auto"/>
        <w:bottom w:val="none" w:sz="0" w:space="0" w:color="auto"/>
        <w:right w:val="none" w:sz="0" w:space="0" w:color="auto"/>
      </w:divBdr>
    </w:div>
    <w:div w:id="1049695413">
      <w:bodyDiv w:val="1"/>
      <w:marLeft w:val="0"/>
      <w:marRight w:val="0"/>
      <w:marTop w:val="0"/>
      <w:marBottom w:val="0"/>
      <w:divBdr>
        <w:top w:val="none" w:sz="0" w:space="0" w:color="auto"/>
        <w:left w:val="none" w:sz="0" w:space="0" w:color="auto"/>
        <w:bottom w:val="none" w:sz="0" w:space="0" w:color="auto"/>
        <w:right w:val="none" w:sz="0" w:space="0" w:color="auto"/>
      </w:divBdr>
    </w:div>
    <w:div w:id="1049720089">
      <w:bodyDiv w:val="1"/>
      <w:marLeft w:val="0"/>
      <w:marRight w:val="0"/>
      <w:marTop w:val="0"/>
      <w:marBottom w:val="0"/>
      <w:divBdr>
        <w:top w:val="none" w:sz="0" w:space="0" w:color="auto"/>
        <w:left w:val="none" w:sz="0" w:space="0" w:color="auto"/>
        <w:bottom w:val="none" w:sz="0" w:space="0" w:color="auto"/>
        <w:right w:val="none" w:sz="0" w:space="0" w:color="auto"/>
      </w:divBdr>
    </w:div>
    <w:div w:id="1049761390">
      <w:bodyDiv w:val="1"/>
      <w:marLeft w:val="0"/>
      <w:marRight w:val="0"/>
      <w:marTop w:val="0"/>
      <w:marBottom w:val="0"/>
      <w:divBdr>
        <w:top w:val="none" w:sz="0" w:space="0" w:color="auto"/>
        <w:left w:val="none" w:sz="0" w:space="0" w:color="auto"/>
        <w:bottom w:val="none" w:sz="0" w:space="0" w:color="auto"/>
        <w:right w:val="none" w:sz="0" w:space="0" w:color="auto"/>
      </w:divBdr>
    </w:div>
    <w:div w:id="1049769801">
      <w:bodyDiv w:val="1"/>
      <w:marLeft w:val="0"/>
      <w:marRight w:val="0"/>
      <w:marTop w:val="0"/>
      <w:marBottom w:val="0"/>
      <w:divBdr>
        <w:top w:val="none" w:sz="0" w:space="0" w:color="auto"/>
        <w:left w:val="none" w:sz="0" w:space="0" w:color="auto"/>
        <w:bottom w:val="none" w:sz="0" w:space="0" w:color="auto"/>
        <w:right w:val="none" w:sz="0" w:space="0" w:color="auto"/>
      </w:divBdr>
    </w:div>
    <w:div w:id="1049845114">
      <w:bodyDiv w:val="1"/>
      <w:marLeft w:val="0"/>
      <w:marRight w:val="0"/>
      <w:marTop w:val="0"/>
      <w:marBottom w:val="0"/>
      <w:divBdr>
        <w:top w:val="none" w:sz="0" w:space="0" w:color="auto"/>
        <w:left w:val="none" w:sz="0" w:space="0" w:color="auto"/>
        <w:bottom w:val="none" w:sz="0" w:space="0" w:color="auto"/>
        <w:right w:val="none" w:sz="0" w:space="0" w:color="auto"/>
      </w:divBdr>
    </w:div>
    <w:div w:id="1049916334">
      <w:bodyDiv w:val="1"/>
      <w:marLeft w:val="0"/>
      <w:marRight w:val="0"/>
      <w:marTop w:val="0"/>
      <w:marBottom w:val="0"/>
      <w:divBdr>
        <w:top w:val="none" w:sz="0" w:space="0" w:color="auto"/>
        <w:left w:val="none" w:sz="0" w:space="0" w:color="auto"/>
        <w:bottom w:val="none" w:sz="0" w:space="0" w:color="auto"/>
        <w:right w:val="none" w:sz="0" w:space="0" w:color="auto"/>
      </w:divBdr>
    </w:div>
    <w:div w:id="1049918284">
      <w:bodyDiv w:val="1"/>
      <w:marLeft w:val="0"/>
      <w:marRight w:val="0"/>
      <w:marTop w:val="0"/>
      <w:marBottom w:val="0"/>
      <w:divBdr>
        <w:top w:val="none" w:sz="0" w:space="0" w:color="auto"/>
        <w:left w:val="none" w:sz="0" w:space="0" w:color="auto"/>
        <w:bottom w:val="none" w:sz="0" w:space="0" w:color="auto"/>
        <w:right w:val="none" w:sz="0" w:space="0" w:color="auto"/>
      </w:divBdr>
    </w:div>
    <w:div w:id="1049956109">
      <w:bodyDiv w:val="1"/>
      <w:marLeft w:val="0"/>
      <w:marRight w:val="0"/>
      <w:marTop w:val="0"/>
      <w:marBottom w:val="0"/>
      <w:divBdr>
        <w:top w:val="none" w:sz="0" w:space="0" w:color="auto"/>
        <w:left w:val="none" w:sz="0" w:space="0" w:color="auto"/>
        <w:bottom w:val="none" w:sz="0" w:space="0" w:color="auto"/>
        <w:right w:val="none" w:sz="0" w:space="0" w:color="auto"/>
      </w:divBdr>
    </w:div>
    <w:div w:id="1050105382">
      <w:bodyDiv w:val="1"/>
      <w:marLeft w:val="0"/>
      <w:marRight w:val="0"/>
      <w:marTop w:val="0"/>
      <w:marBottom w:val="0"/>
      <w:divBdr>
        <w:top w:val="none" w:sz="0" w:space="0" w:color="auto"/>
        <w:left w:val="none" w:sz="0" w:space="0" w:color="auto"/>
        <w:bottom w:val="none" w:sz="0" w:space="0" w:color="auto"/>
        <w:right w:val="none" w:sz="0" w:space="0" w:color="auto"/>
      </w:divBdr>
    </w:div>
    <w:div w:id="1050154191">
      <w:bodyDiv w:val="1"/>
      <w:marLeft w:val="0"/>
      <w:marRight w:val="0"/>
      <w:marTop w:val="0"/>
      <w:marBottom w:val="0"/>
      <w:divBdr>
        <w:top w:val="none" w:sz="0" w:space="0" w:color="auto"/>
        <w:left w:val="none" w:sz="0" w:space="0" w:color="auto"/>
        <w:bottom w:val="none" w:sz="0" w:space="0" w:color="auto"/>
        <w:right w:val="none" w:sz="0" w:space="0" w:color="auto"/>
      </w:divBdr>
    </w:div>
    <w:div w:id="1050500007">
      <w:bodyDiv w:val="1"/>
      <w:marLeft w:val="0"/>
      <w:marRight w:val="0"/>
      <w:marTop w:val="0"/>
      <w:marBottom w:val="0"/>
      <w:divBdr>
        <w:top w:val="none" w:sz="0" w:space="0" w:color="auto"/>
        <w:left w:val="none" w:sz="0" w:space="0" w:color="auto"/>
        <w:bottom w:val="none" w:sz="0" w:space="0" w:color="auto"/>
        <w:right w:val="none" w:sz="0" w:space="0" w:color="auto"/>
      </w:divBdr>
    </w:div>
    <w:div w:id="1050568317">
      <w:bodyDiv w:val="1"/>
      <w:marLeft w:val="0"/>
      <w:marRight w:val="0"/>
      <w:marTop w:val="0"/>
      <w:marBottom w:val="0"/>
      <w:divBdr>
        <w:top w:val="none" w:sz="0" w:space="0" w:color="auto"/>
        <w:left w:val="none" w:sz="0" w:space="0" w:color="auto"/>
        <w:bottom w:val="none" w:sz="0" w:space="0" w:color="auto"/>
        <w:right w:val="none" w:sz="0" w:space="0" w:color="auto"/>
      </w:divBdr>
    </w:div>
    <w:div w:id="1050614733">
      <w:bodyDiv w:val="1"/>
      <w:marLeft w:val="0"/>
      <w:marRight w:val="0"/>
      <w:marTop w:val="0"/>
      <w:marBottom w:val="0"/>
      <w:divBdr>
        <w:top w:val="none" w:sz="0" w:space="0" w:color="auto"/>
        <w:left w:val="none" w:sz="0" w:space="0" w:color="auto"/>
        <w:bottom w:val="none" w:sz="0" w:space="0" w:color="auto"/>
        <w:right w:val="none" w:sz="0" w:space="0" w:color="auto"/>
      </w:divBdr>
    </w:div>
    <w:div w:id="1050768739">
      <w:bodyDiv w:val="1"/>
      <w:marLeft w:val="0"/>
      <w:marRight w:val="0"/>
      <w:marTop w:val="0"/>
      <w:marBottom w:val="0"/>
      <w:divBdr>
        <w:top w:val="none" w:sz="0" w:space="0" w:color="auto"/>
        <w:left w:val="none" w:sz="0" w:space="0" w:color="auto"/>
        <w:bottom w:val="none" w:sz="0" w:space="0" w:color="auto"/>
        <w:right w:val="none" w:sz="0" w:space="0" w:color="auto"/>
      </w:divBdr>
    </w:div>
    <w:div w:id="1050804581">
      <w:bodyDiv w:val="1"/>
      <w:marLeft w:val="0"/>
      <w:marRight w:val="0"/>
      <w:marTop w:val="0"/>
      <w:marBottom w:val="0"/>
      <w:divBdr>
        <w:top w:val="none" w:sz="0" w:space="0" w:color="auto"/>
        <w:left w:val="none" w:sz="0" w:space="0" w:color="auto"/>
        <w:bottom w:val="none" w:sz="0" w:space="0" w:color="auto"/>
        <w:right w:val="none" w:sz="0" w:space="0" w:color="auto"/>
      </w:divBdr>
    </w:div>
    <w:div w:id="1050960878">
      <w:bodyDiv w:val="1"/>
      <w:marLeft w:val="0"/>
      <w:marRight w:val="0"/>
      <w:marTop w:val="0"/>
      <w:marBottom w:val="0"/>
      <w:divBdr>
        <w:top w:val="none" w:sz="0" w:space="0" w:color="auto"/>
        <w:left w:val="none" w:sz="0" w:space="0" w:color="auto"/>
        <w:bottom w:val="none" w:sz="0" w:space="0" w:color="auto"/>
        <w:right w:val="none" w:sz="0" w:space="0" w:color="auto"/>
      </w:divBdr>
    </w:div>
    <w:div w:id="1051079778">
      <w:bodyDiv w:val="1"/>
      <w:marLeft w:val="0"/>
      <w:marRight w:val="0"/>
      <w:marTop w:val="0"/>
      <w:marBottom w:val="0"/>
      <w:divBdr>
        <w:top w:val="none" w:sz="0" w:space="0" w:color="auto"/>
        <w:left w:val="none" w:sz="0" w:space="0" w:color="auto"/>
        <w:bottom w:val="none" w:sz="0" w:space="0" w:color="auto"/>
        <w:right w:val="none" w:sz="0" w:space="0" w:color="auto"/>
      </w:divBdr>
    </w:div>
    <w:div w:id="1051226778">
      <w:bodyDiv w:val="1"/>
      <w:marLeft w:val="0"/>
      <w:marRight w:val="0"/>
      <w:marTop w:val="0"/>
      <w:marBottom w:val="0"/>
      <w:divBdr>
        <w:top w:val="none" w:sz="0" w:space="0" w:color="auto"/>
        <w:left w:val="none" w:sz="0" w:space="0" w:color="auto"/>
        <w:bottom w:val="none" w:sz="0" w:space="0" w:color="auto"/>
        <w:right w:val="none" w:sz="0" w:space="0" w:color="auto"/>
      </w:divBdr>
    </w:div>
    <w:div w:id="1051417357">
      <w:bodyDiv w:val="1"/>
      <w:marLeft w:val="0"/>
      <w:marRight w:val="0"/>
      <w:marTop w:val="0"/>
      <w:marBottom w:val="0"/>
      <w:divBdr>
        <w:top w:val="none" w:sz="0" w:space="0" w:color="auto"/>
        <w:left w:val="none" w:sz="0" w:space="0" w:color="auto"/>
        <w:bottom w:val="none" w:sz="0" w:space="0" w:color="auto"/>
        <w:right w:val="none" w:sz="0" w:space="0" w:color="auto"/>
      </w:divBdr>
    </w:div>
    <w:div w:id="1051423341">
      <w:bodyDiv w:val="1"/>
      <w:marLeft w:val="0"/>
      <w:marRight w:val="0"/>
      <w:marTop w:val="0"/>
      <w:marBottom w:val="0"/>
      <w:divBdr>
        <w:top w:val="none" w:sz="0" w:space="0" w:color="auto"/>
        <w:left w:val="none" w:sz="0" w:space="0" w:color="auto"/>
        <w:bottom w:val="none" w:sz="0" w:space="0" w:color="auto"/>
        <w:right w:val="none" w:sz="0" w:space="0" w:color="auto"/>
      </w:divBdr>
    </w:div>
    <w:div w:id="1051462912">
      <w:bodyDiv w:val="1"/>
      <w:marLeft w:val="0"/>
      <w:marRight w:val="0"/>
      <w:marTop w:val="0"/>
      <w:marBottom w:val="0"/>
      <w:divBdr>
        <w:top w:val="none" w:sz="0" w:space="0" w:color="auto"/>
        <w:left w:val="none" w:sz="0" w:space="0" w:color="auto"/>
        <w:bottom w:val="none" w:sz="0" w:space="0" w:color="auto"/>
        <w:right w:val="none" w:sz="0" w:space="0" w:color="auto"/>
      </w:divBdr>
    </w:div>
    <w:div w:id="1051463322">
      <w:bodyDiv w:val="1"/>
      <w:marLeft w:val="0"/>
      <w:marRight w:val="0"/>
      <w:marTop w:val="0"/>
      <w:marBottom w:val="0"/>
      <w:divBdr>
        <w:top w:val="none" w:sz="0" w:space="0" w:color="auto"/>
        <w:left w:val="none" w:sz="0" w:space="0" w:color="auto"/>
        <w:bottom w:val="none" w:sz="0" w:space="0" w:color="auto"/>
        <w:right w:val="none" w:sz="0" w:space="0" w:color="auto"/>
      </w:divBdr>
    </w:div>
    <w:div w:id="1051465498">
      <w:bodyDiv w:val="1"/>
      <w:marLeft w:val="0"/>
      <w:marRight w:val="0"/>
      <w:marTop w:val="0"/>
      <w:marBottom w:val="0"/>
      <w:divBdr>
        <w:top w:val="none" w:sz="0" w:space="0" w:color="auto"/>
        <w:left w:val="none" w:sz="0" w:space="0" w:color="auto"/>
        <w:bottom w:val="none" w:sz="0" w:space="0" w:color="auto"/>
        <w:right w:val="none" w:sz="0" w:space="0" w:color="auto"/>
      </w:divBdr>
    </w:div>
    <w:div w:id="1051686097">
      <w:bodyDiv w:val="1"/>
      <w:marLeft w:val="0"/>
      <w:marRight w:val="0"/>
      <w:marTop w:val="0"/>
      <w:marBottom w:val="0"/>
      <w:divBdr>
        <w:top w:val="none" w:sz="0" w:space="0" w:color="auto"/>
        <w:left w:val="none" w:sz="0" w:space="0" w:color="auto"/>
        <w:bottom w:val="none" w:sz="0" w:space="0" w:color="auto"/>
        <w:right w:val="none" w:sz="0" w:space="0" w:color="auto"/>
      </w:divBdr>
    </w:div>
    <w:div w:id="1051922359">
      <w:bodyDiv w:val="1"/>
      <w:marLeft w:val="0"/>
      <w:marRight w:val="0"/>
      <w:marTop w:val="0"/>
      <w:marBottom w:val="0"/>
      <w:divBdr>
        <w:top w:val="none" w:sz="0" w:space="0" w:color="auto"/>
        <w:left w:val="none" w:sz="0" w:space="0" w:color="auto"/>
        <w:bottom w:val="none" w:sz="0" w:space="0" w:color="auto"/>
        <w:right w:val="none" w:sz="0" w:space="0" w:color="auto"/>
      </w:divBdr>
    </w:div>
    <w:div w:id="1051927360">
      <w:bodyDiv w:val="1"/>
      <w:marLeft w:val="0"/>
      <w:marRight w:val="0"/>
      <w:marTop w:val="0"/>
      <w:marBottom w:val="0"/>
      <w:divBdr>
        <w:top w:val="none" w:sz="0" w:space="0" w:color="auto"/>
        <w:left w:val="none" w:sz="0" w:space="0" w:color="auto"/>
        <w:bottom w:val="none" w:sz="0" w:space="0" w:color="auto"/>
        <w:right w:val="none" w:sz="0" w:space="0" w:color="auto"/>
      </w:divBdr>
    </w:div>
    <w:div w:id="1052002886">
      <w:bodyDiv w:val="1"/>
      <w:marLeft w:val="0"/>
      <w:marRight w:val="0"/>
      <w:marTop w:val="0"/>
      <w:marBottom w:val="0"/>
      <w:divBdr>
        <w:top w:val="none" w:sz="0" w:space="0" w:color="auto"/>
        <w:left w:val="none" w:sz="0" w:space="0" w:color="auto"/>
        <w:bottom w:val="none" w:sz="0" w:space="0" w:color="auto"/>
        <w:right w:val="none" w:sz="0" w:space="0" w:color="auto"/>
      </w:divBdr>
    </w:div>
    <w:div w:id="1052074573">
      <w:bodyDiv w:val="1"/>
      <w:marLeft w:val="0"/>
      <w:marRight w:val="0"/>
      <w:marTop w:val="0"/>
      <w:marBottom w:val="0"/>
      <w:divBdr>
        <w:top w:val="none" w:sz="0" w:space="0" w:color="auto"/>
        <w:left w:val="none" w:sz="0" w:space="0" w:color="auto"/>
        <w:bottom w:val="none" w:sz="0" w:space="0" w:color="auto"/>
        <w:right w:val="none" w:sz="0" w:space="0" w:color="auto"/>
      </w:divBdr>
    </w:div>
    <w:div w:id="1052190381">
      <w:bodyDiv w:val="1"/>
      <w:marLeft w:val="0"/>
      <w:marRight w:val="0"/>
      <w:marTop w:val="0"/>
      <w:marBottom w:val="0"/>
      <w:divBdr>
        <w:top w:val="none" w:sz="0" w:space="0" w:color="auto"/>
        <w:left w:val="none" w:sz="0" w:space="0" w:color="auto"/>
        <w:bottom w:val="none" w:sz="0" w:space="0" w:color="auto"/>
        <w:right w:val="none" w:sz="0" w:space="0" w:color="auto"/>
      </w:divBdr>
    </w:div>
    <w:div w:id="1052385988">
      <w:bodyDiv w:val="1"/>
      <w:marLeft w:val="0"/>
      <w:marRight w:val="0"/>
      <w:marTop w:val="0"/>
      <w:marBottom w:val="0"/>
      <w:divBdr>
        <w:top w:val="none" w:sz="0" w:space="0" w:color="auto"/>
        <w:left w:val="none" w:sz="0" w:space="0" w:color="auto"/>
        <w:bottom w:val="none" w:sz="0" w:space="0" w:color="auto"/>
        <w:right w:val="none" w:sz="0" w:space="0" w:color="auto"/>
      </w:divBdr>
    </w:div>
    <w:div w:id="1052536696">
      <w:bodyDiv w:val="1"/>
      <w:marLeft w:val="0"/>
      <w:marRight w:val="0"/>
      <w:marTop w:val="0"/>
      <w:marBottom w:val="0"/>
      <w:divBdr>
        <w:top w:val="none" w:sz="0" w:space="0" w:color="auto"/>
        <w:left w:val="none" w:sz="0" w:space="0" w:color="auto"/>
        <w:bottom w:val="none" w:sz="0" w:space="0" w:color="auto"/>
        <w:right w:val="none" w:sz="0" w:space="0" w:color="auto"/>
      </w:divBdr>
    </w:div>
    <w:div w:id="1052537591">
      <w:bodyDiv w:val="1"/>
      <w:marLeft w:val="0"/>
      <w:marRight w:val="0"/>
      <w:marTop w:val="0"/>
      <w:marBottom w:val="0"/>
      <w:divBdr>
        <w:top w:val="none" w:sz="0" w:space="0" w:color="auto"/>
        <w:left w:val="none" w:sz="0" w:space="0" w:color="auto"/>
        <w:bottom w:val="none" w:sz="0" w:space="0" w:color="auto"/>
        <w:right w:val="none" w:sz="0" w:space="0" w:color="auto"/>
      </w:divBdr>
    </w:div>
    <w:div w:id="1052537631">
      <w:bodyDiv w:val="1"/>
      <w:marLeft w:val="0"/>
      <w:marRight w:val="0"/>
      <w:marTop w:val="0"/>
      <w:marBottom w:val="0"/>
      <w:divBdr>
        <w:top w:val="none" w:sz="0" w:space="0" w:color="auto"/>
        <w:left w:val="none" w:sz="0" w:space="0" w:color="auto"/>
        <w:bottom w:val="none" w:sz="0" w:space="0" w:color="auto"/>
        <w:right w:val="none" w:sz="0" w:space="0" w:color="auto"/>
      </w:divBdr>
    </w:div>
    <w:div w:id="1052655353">
      <w:bodyDiv w:val="1"/>
      <w:marLeft w:val="0"/>
      <w:marRight w:val="0"/>
      <w:marTop w:val="0"/>
      <w:marBottom w:val="0"/>
      <w:divBdr>
        <w:top w:val="none" w:sz="0" w:space="0" w:color="auto"/>
        <w:left w:val="none" w:sz="0" w:space="0" w:color="auto"/>
        <w:bottom w:val="none" w:sz="0" w:space="0" w:color="auto"/>
        <w:right w:val="none" w:sz="0" w:space="0" w:color="auto"/>
      </w:divBdr>
    </w:div>
    <w:div w:id="1052735787">
      <w:bodyDiv w:val="1"/>
      <w:marLeft w:val="0"/>
      <w:marRight w:val="0"/>
      <w:marTop w:val="0"/>
      <w:marBottom w:val="0"/>
      <w:divBdr>
        <w:top w:val="none" w:sz="0" w:space="0" w:color="auto"/>
        <w:left w:val="none" w:sz="0" w:space="0" w:color="auto"/>
        <w:bottom w:val="none" w:sz="0" w:space="0" w:color="auto"/>
        <w:right w:val="none" w:sz="0" w:space="0" w:color="auto"/>
      </w:divBdr>
    </w:div>
    <w:div w:id="1052772905">
      <w:bodyDiv w:val="1"/>
      <w:marLeft w:val="0"/>
      <w:marRight w:val="0"/>
      <w:marTop w:val="0"/>
      <w:marBottom w:val="0"/>
      <w:divBdr>
        <w:top w:val="none" w:sz="0" w:space="0" w:color="auto"/>
        <w:left w:val="none" w:sz="0" w:space="0" w:color="auto"/>
        <w:bottom w:val="none" w:sz="0" w:space="0" w:color="auto"/>
        <w:right w:val="none" w:sz="0" w:space="0" w:color="auto"/>
      </w:divBdr>
    </w:div>
    <w:div w:id="1052845959">
      <w:bodyDiv w:val="1"/>
      <w:marLeft w:val="0"/>
      <w:marRight w:val="0"/>
      <w:marTop w:val="0"/>
      <w:marBottom w:val="0"/>
      <w:divBdr>
        <w:top w:val="none" w:sz="0" w:space="0" w:color="auto"/>
        <w:left w:val="none" w:sz="0" w:space="0" w:color="auto"/>
        <w:bottom w:val="none" w:sz="0" w:space="0" w:color="auto"/>
        <w:right w:val="none" w:sz="0" w:space="0" w:color="auto"/>
      </w:divBdr>
    </w:div>
    <w:div w:id="1052998041">
      <w:bodyDiv w:val="1"/>
      <w:marLeft w:val="0"/>
      <w:marRight w:val="0"/>
      <w:marTop w:val="0"/>
      <w:marBottom w:val="0"/>
      <w:divBdr>
        <w:top w:val="none" w:sz="0" w:space="0" w:color="auto"/>
        <w:left w:val="none" w:sz="0" w:space="0" w:color="auto"/>
        <w:bottom w:val="none" w:sz="0" w:space="0" w:color="auto"/>
        <w:right w:val="none" w:sz="0" w:space="0" w:color="auto"/>
      </w:divBdr>
    </w:div>
    <w:div w:id="1052998187">
      <w:bodyDiv w:val="1"/>
      <w:marLeft w:val="0"/>
      <w:marRight w:val="0"/>
      <w:marTop w:val="0"/>
      <w:marBottom w:val="0"/>
      <w:divBdr>
        <w:top w:val="none" w:sz="0" w:space="0" w:color="auto"/>
        <w:left w:val="none" w:sz="0" w:space="0" w:color="auto"/>
        <w:bottom w:val="none" w:sz="0" w:space="0" w:color="auto"/>
        <w:right w:val="none" w:sz="0" w:space="0" w:color="auto"/>
      </w:divBdr>
    </w:div>
    <w:div w:id="1052998386">
      <w:bodyDiv w:val="1"/>
      <w:marLeft w:val="0"/>
      <w:marRight w:val="0"/>
      <w:marTop w:val="0"/>
      <w:marBottom w:val="0"/>
      <w:divBdr>
        <w:top w:val="none" w:sz="0" w:space="0" w:color="auto"/>
        <w:left w:val="none" w:sz="0" w:space="0" w:color="auto"/>
        <w:bottom w:val="none" w:sz="0" w:space="0" w:color="auto"/>
        <w:right w:val="none" w:sz="0" w:space="0" w:color="auto"/>
      </w:divBdr>
    </w:div>
    <w:div w:id="1053039675">
      <w:bodyDiv w:val="1"/>
      <w:marLeft w:val="0"/>
      <w:marRight w:val="0"/>
      <w:marTop w:val="0"/>
      <w:marBottom w:val="0"/>
      <w:divBdr>
        <w:top w:val="none" w:sz="0" w:space="0" w:color="auto"/>
        <w:left w:val="none" w:sz="0" w:space="0" w:color="auto"/>
        <w:bottom w:val="none" w:sz="0" w:space="0" w:color="auto"/>
        <w:right w:val="none" w:sz="0" w:space="0" w:color="auto"/>
      </w:divBdr>
    </w:div>
    <w:div w:id="1053044725">
      <w:bodyDiv w:val="1"/>
      <w:marLeft w:val="0"/>
      <w:marRight w:val="0"/>
      <w:marTop w:val="0"/>
      <w:marBottom w:val="0"/>
      <w:divBdr>
        <w:top w:val="none" w:sz="0" w:space="0" w:color="auto"/>
        <w:left w:val="none" w:sz="0" w:space="0" w:color="auto"/>
        <w:bottom w:val="none" w:sz="0" w:space="0" w:color="auto"/>
        <w:right w:val="none" w:sz="0" w:space="0" w:color="auto"/>
      </w:divBdr>
    </w:div>
    <w:div w:id="1053121361">
      <w:bodyDiv w:val="1"/>
      <w:marLeft w:val="0"/>
      <w:marRight w:val="0"/>
      <w:marTop w:val="0"/>
      <w:marBottom w:val="0"/>
      <w:divBdr>
        <w:top w:val="none" w:sz="0" w:space="0" w:color="auto"/>
        <w:left w:val="none" w:sz="0" w:space="0" w:color="auto"/>
        <w:bottom w:val="none" w:sz="0" w:space="0" w:color="auto"/>
        <w:right w:val="none" w:sz="0" w:space="0" w:color="auto"/>
      </w:divBdr>
    </w:div>
    <w:div w:id="1053163952">
      <w:bodyDiv w:val="1"/>
      <w:marLeft w:val="0"/>
      <w:marRight w:val="0"/>
      <w:marTop w:val="0"/>
      <w:marBottom w:val="0"/>
      <w:divBdr>
        <w:top w:val="none" w:sz="0" w:space="0" w:color="auto"/>
        <w:left w:val="none" w:sz="0" w:space="0" w:color="auto"/>
        <w:bottom w:val="none" w:sz="0" w:space="0" w:color="auto"/>
        <w:right w:val="none" w:sz="0" w:space="0" w:color="auto"/>
      </w:divBdr>
    </w:div>
    <w:div w:id="1053240385">
      <w:bodyDiv w:val="1"/>
      <w:marLeft w:val="0"/>
      <w:marRight w:val="0"/>
      <w:marTop w:val="0"/>
      <w:marBottom w:val="0"/>
      <w:divBdr>
        <w:top w:val="none" w:sz="0" w:space="0" w:color="auto"/>
        <w:left w:val="none" w:sz="0" w:space="0" w:color="auto"/>
        <w:bottom w:val="none" w:sz="0" w:space="0" w:color="auto"/>
        <w:right w:val="none" w:sz="0" w:space="0" w:color="auto"/>
      </w:divBdr>
    </w:div>
    <w:div w:id="1053383309">
      <w:bodyDiv w:val="1"/>
      <w:marLeft w:val="0"/>
      <w:marRight w:val="0"/>
      <w:marTop w:val="0"/>
      <w:marBottom w:val="0"/>
      <w:divBdr>
        <w:top w:val="none" w:sz="0" w:space="0" w:color="auto"/>
        <w:left w:val="none" w:sz="0" w:space="0" w:color="auto"/>
        <w:bottom w:val="none" w:sz="0" w:space="0" w:color="auto"/>
        <w:right w:val="none" w:sz="0" w:space="0" w:color="auto"/>
      </w:divBdr>
    </w:div>
    <w:div w:id="1053389421">
      <w:bodyDiv w:val="1"/>
      <w:marLeft w:val="0"/>
      <w:marRight w:val="0"/>
      <w:marTop w:val="0"/>
      <w:marBottom w:val="0"/>
      <w:divBdr>
        <w:top w:val="none" w:sz="0" w:space="0" w:color="auto"/>
        <w:left w:val="none" w:sz="0" w:space="0" w:color="auto"/>
        <w:bottom w:val="none" w:sz="0" w:space="0" w:color="auto"/>
        <w:right w:val="none" w:sz="0" w:space="0" w:color="auto"/>
      </w:divBdr>
    </w:div>
    <w:div w:id="1053457703">
      <w:bodyDiv w:val="1"/>
      <w:marLeft w:val="0"/>
      <w:marRight w:val="0"/>
      <w:marTop w:val="0"/>
      <w:marBottom w:val="0"/>
      <w:divBdr>
        <w:top w:val="none" w:sz="0" w:space="0" w:color="auto"/>
        <w:left w:val="none" w:sz="0" w:space="0" w:color="auto"/>
        <w:bottom w:val="none" w:sz="0" w:space="0" w:color="auto"/>
        <w:right w:val="none" w:sz="0" w:space="0" w:color="auto"/>
      </w:divBdr>
    </w:div>
    <w:div w:id="1053508578">
      <w:bodyDiv w:val="1"/>
      <w:marLeft w:val="0"/>
      <w:marRight w:val="0"/>
      <w:marTop w:val="0"/>
      <w:marBottom w:val="0"/>
      <w:divBdr>
        <w:top w:val="none" w:sz="0" w:space="0" w:color="auto"/>
        <w:left w:val="none" w:sz="0" w:space="0" w:color="auto"/>
        <w:bottom w:val="none" w:sz="0" w:space="0" w:color="auto"/>
        <w:right w:val="none" w:sz="0" w:space="0" w:color="auto"/>
      </w:divBdr>
    </w:div>
    <w:div w:id="1053577700">
      <w:bodyDiv w:val="1"/>
      <w:marLeft w:val="0"/>
      <w:marRight w:val="0"/>
      <w:marTop w:val="0"/>
      <w:marBottom w:val="0"/>
      <w:divBdr>
        <w:top w:val="none" w:sz="0" w:space="0" w:color="auto"/>
        <w:left w:val="none" w:sz="0" w:space="0" w:color="auto"/>
        <w:bottom w:val="none" w:sz="0" w:space="0" w:color="auto"/>
        <w:right w:val="none" w:sz="0" w:space="0" w:color="auto"/>
      </w:divBdr>
    </w:div>
    <w:div w:id="1053577850">
      <w:bodyDiv w:val="1"/>
      <w:marLeft w:val="0"/>
      <w:marRight w:val="0"/>
      <w:marTop w:val="0"/>
      <w:marBottom w:val="0"/>
      <w:divBdr>
        <w:top w:val="none" w:sz="0" w:space="0" w:color="auto"/>
        <w:left w:val="none" w:sz="0" w:space="0" w:color="auto"/>
        <w:bottom w:val="none" w:sz="0" w:space="0" w:color="auto"/>
        <w:right w:val="none" w:sz="0" w:space="0" w:color="auto"/>
      </w:divBdr>
    </w:div>
    <w:div w:id="1053581174">
      <w:bodyDiv w:val="1"/>
      <w:marLeft w:val="0"/>
      <w:marRight w:val="0"/>
      <w:marTop w:val="0"/>
      <w:marBottom w:val="0"/>
      <w:divBdr>
        <w:top w:val="none" w:sz="0" w:space="0" w:color="auto"/>
        <w:left w:val="none" w:sz="0" w:space="0" w:color="auto"/>
        <w:bottom w:val="none" w:sz="0" w:space="0" w:color="auto"/>
        <w:right w:val="none" w:sz="0" w:space="0" w:color="auto"/>
      </w:divBdr>
    </w:div>
    <w:div w:id="1053581256">
      <w:bodyDiv w:val="1"/>
      <w:marLeft w:val="0"/>
      <w:marRight w:val="0"/>
      <w:marTop w:val="0"/>
      <w:marBottom w:val="0"/>
      <w:divBdr>
        <w:top w:val="none" w:sz="0" w:space="0" w:color="auto"/>
        <w:left w:val="none" w:sz="0" w:space="0" w:color="auto"/>
        <w:bottom w:val="none" w:sz="0" w:space="0" w:color="auto"/>
        <w:right w:val="none" w:sz="0" w:space="0" w:color="auto"/>
      </w:divBdr>
    </w:div>
    <w:div w:id="1053847465">
      <w:bodyDiv w:val="1"/>
      <w:marLeft w:val="0"/>
      <w:marRight w:val="0"/>
      <w:marTop w:val="0"/>
      <w:marBottom w:val="0"/>
      <w:divBdr>
        <w:top w:val="none" w:sz="0" w:space="0" w:color="auto"/>
        <w:left w:val="none" w:sz="0" w:space="0" w:color="auto"/>
        <w:bottom w:val="none" w:sz="0" w:space="0" w:color="auto"/>
        <w:right w:val="none" w:sz="0" w:space="0" w:color="auto"/>
      </w:divBdr>
    </w:div>
    <w:div w:id="1053888454">
      <w:bodyDiv w:val="1"/>
      <w:marLeft w:val="0"/>
      <w:marRight w:val="0"/>
      <w:marTop w:val="0"/>
      <w:marBottom w:val="0"/>
      <w:divBdr>
        <w:top w:val="none" w:sz="0" w:space="0" w:color="auto"/>
        <w:left w:val="none" w:sz="0" w:space="0" w:color="auto"/>
        <w:bottom w:val="none" w:sz="0" w:space="0" w:color="auto"/>
        <w:right w:val="none" w:sz="0" w:space="0" w:color="auto"/>
      </w:divBdr>
    </w:div>
    <w:div w:id="1054040703">
      <w:bodyDiv w:val="1"/>
      <w:marLeft w:val="0"/>
      <w:marRight w:val="0"/>
      <w:marTop w:val="0"/>
      <w:marBottom w:val="0"/>
      <w:divBdr>
        <w:top w:val="none" w:sz="0" w:space="0" w:color="auto"/>
        <w:left w:val="none" w:sz="0" w:space="0" w:color="auto"/>
        <w:bottom w:val="none" w:sz="0" w:space="0" w:color="auto"/>
        <w:right w:val="none" w:sz="0" w:space="0" w:color="auto"/>
      </w:divBdr>
    </w:div>
    <w:div w:id="1054042457">
      <w:bodyDiv w:val="1"/>
      <w:marLeft w:val="0"/>
      <w:marRight w:val="0"/>
      <w:marTop w:val="0"/>
      <w:marBottom w:val="0"/>
      <w:divBdr>
        <w:top w:val="none" w:sz="0" w:space="0" w:color="auto"/>
        <w:left w:val="none" w:sz="0" w:space="0" w:color="auto"/>
        <w:bottom w:val="none" w:sz="0" w:space="0" w:color="auto"/>
        <w:right w:val="none" w:sz="0" w:space="0" w:color="auto"/>
      </w:divBdr>
    </w:div>
    <w:div w:id="1054234119">
      <w:bodyDiv w:val="1"/>
      <w:marLeft w:val="0"/>
      <w:marRight w:val="0"/>
      <w:marTop w:val="0"/>
      <w:marBottom w:val="0"/>
      <w:divBdr>
        <w:top w:val="none" w:sz="0" w:space="0" w:color="auto"/>
        <w:left w:val="none" w:sz="0" w:space="0" w:color="auto"/>
        <w:bottom w:val="none" w:sz="0" w:space="0" w:color="auto"/>
        <w:right w:val="none" w:sz="0" w:space="0" w:color="auto"/>
      </w:divBdr>
    </w:div>
    <w:div w:id="1054282047">
      <w:bodyDiv w:val="1"/>
      <w:marLeft w:val="0"/>
      <w:marRight w:val="0"/>
      <w:marTop w:val="0"/>
      <w:marBottom w:val="0"/>
      <w:divBdr>
        <w:top w:val="none" w:sz="0" w:space="0" w:color="auto"/>
        <w:left w:val="none" w:sz="0" w:space="0" w:color="auto"/>
        <w:bottom w:val="none" w:sz="0" w:space="0" w:color="auto"/>
        <w:right w:val="none" w:sz="0" w:space="0" w:color="auto"/>
      </w:divBdr>
    </w:div>
    <w:div w:id="1054305674">
      <w:bodyDiv w:val="1"/>
      <w:marLeft w:val="0"/>
      <w:marRight w:val="0"/>
      <w:marTop w:val="0"/>
      <w:marBottom w:val="0"/>
      <w:divBdr>
        <w:top w:val="none" w:sz="0" w:space="0" w:color="auto"/>
        <w:left w:val="none" w:sz="0" w:space="0" w:color="auto"/>
        <w:bottom w:val="none" w:sz="0" w:space="0" w:color="auto"/>
        <w:right w:val="none" w:sz="0" w:space="0" w:color="auto"/>
      </w:divBdr>
    </w:div>
    <w:div w:id="1054542155">
      <w:bodyDiv w:val="1"/>
      <w:marLeft w:val="0"/>
      <w:marRight w:val="0"/>
      <w:marTop w:val="0"/>
      <w:marBottom w:val="0"/>
      <w:divBdr>
        <w:top w:val="none" w:sz="0" w:space="0" w:color="auto"/>
        <w:left w:val="none" w:sz="0" w:space="0" w:color="auto"/>
        <w:bottom w:val="none" w:sz="0" w:space="0" w:color="auto"/>
        <w:right w:val="none" w:sz="0" w:space="0" w:color="auto"/>
      </w:divBdr>
    </w:div>
    <w:div w:id="1054548265">
      <w:bodyDiv w:val="1"/>
      <w:marLeft w:val="0"/>
      <w:marRight w:val="0"/>
      <w:marTop w:val="0"/>
      <w:marBottom w:val="0"/>
      <w:divBdr>
        <w:top w:val="none" w:sz="0" w:space="0" w:color="auto"/>
        <w:left w:val="none" w:sz="0" w:space="0" w:color="auto"/>
        <w:bottom w:val="none" w:sz="0" w:space="0" w:color="auto"/>
        <w:right w:val="none" w:sz="0" w:space="0" w:color="auto"/>
      </w:divBdr>
    </w:div>
    <w:div w:id="1054622323">
      <w:bodyDiv w:val="1"/>
      <w:marLeft w:val="0"/>
      <w:marRight w:val="0"/>
      <w:marTop w:val="0"/>
      <w:marBottom w:val="0"/>
      <w:divBdr>
        <w:top w:val="none" w:sz="0" w:space="0" w:color="auto"/>
        <w:left w:val="none" w:sz="0" w:space="0" w:color="auto"/>
        <w:bottom w:val="none" w:sz="0" w:space="0" w:color="auto"/>
        <w:right w:val="none" w:sz="0" w:space="0" w:color="auto"/>
      </w:divBdr>
    </w:div>
    <w:div w:id="1054692029">
      <w:bodyDiv w:val="1"/>
      <w:marLeft w:val="0"/>
      <w:marRight w:val="0"/>
      <w:marTop w:val="0"/>
      <w:marBottom w:val="0"/>
      <w:divBdr>
        <w:top w:val="none" w:sz="0" w:space="0" w:color="auto"/>
        <w:left w:val="none" w:sz="0" w:space="0" w:color="auto"/>
        <w:bottom w:val="none" w:sz="0" w:space="0" w:color="auto"/>
        <w:right w:val="none" w:sz="0" w:space="0" w:color="auto"/>
      </w:divBdr>
    </w:div>
    <w:div w:id="1054816014">
      <w:bodyDiv w:val="1"/>
      <w:marLeft w:val="0"/>
      <w:marRight w:val="0"/>
      <w:marTop w:val="0"/>
      <w:marBottom w:val="0"/>
      <w:divBdr>
        <w:top w:val="none" w:sz="0" w:space="0" w:color="auto"/>
        <w:left w:val="none" w:sz="0" w:space="0" w:color="auto"/>
        <w:bottom w:val="none" w:sz="0" w:space="0" w:color="auto"/>
        <w:right w:val="none" w:sz="0" w:space="0" w:color="auto"/>
      </w:divBdr>
    </w:div>
    <w:div w:id="1054894503">
      <w:bodyDiv w:val="1"/>
      <w:marLeft w:val="0"/>
      <w:marRight w:val="0"/>
      <w:marTop w:val="0"/>
      <w:marBottom w:val="0"/>
      <w:divBdr>
        <w:top w:val="none" w:sz="0" w:space="0" w:color="auto"/>
        <w:left w:val="none" w:sz="0" w:space="0" w:color="auto"/>
        <w:bottom w:val="none" w:sz="0" w:space="0" w:color="auto"/>
        <w:right w:val="none" w:sz="0" w:space="0" w:color="auto"/>
      </w:divBdr>
    </w:div>
    <w:div w:id="1055004291">
      <w:bodyDiv w:val="1"/>
      <w:marLeft w:val="0"/>
      <w:marRight w:val="0"/>
      <w:marTop w:val="0"/>
      <w:marBottom w:val="0"/>
      <w:divBdr>
        <w:top w:val="none" w:sz="0" w:space="0" w:color="auto"/>
        <w:left w:val="none" w:sz="0" w:space="0" w:color="auto"/>
        <w:bottom w:val="none" w:sz="0" w:space="0" w:color="auto"/>
        <w:right w:val="none" w:sz="0" w:space="0" w:color="auto"/>
      </w:divBdr>
    </w:div>
    <w:div w:id="1055007482">
      <w:bodyDiv w:val="1"/>
      <w:marLeft w:val="0"/>
      <w:marRight w:val="0"/>
      <w:marTop w:val="0"/>
      <w:marBottom w:val="0"/>
      <w:divBdr>
        <w:top w:val="none" w:sz="0" w:space="0" w:color="auto"/>
        <w:left w:val="none" w:sz="0" w:space="0" w:color="auto"/>
        <w:bottom w:val="none" w:sz="0" w:space="0" w:color="auto"/>
        <w:right w:val="none" w:sz="0" w:space="0" w:color="auto"/>
      </w:divBdr>
    </w:div>
    <w:div w:id="1055012698">
      <w:bodyDiv w:val="1"/>
      <w:marLeft w:val="0"/>
      <w:marRight w:val="0"/>
      <w:marTop w:val="0"/>
      <w:marBottom w:val="0"/>
      <w:divBdr>
        <w:top w:val="none" w:sz="0" w:space="0" w:color="auto"/>
        <w:left w:val="none" w:sz="0" w:space="0" w:color="auto"/>
        <w:bottom w:val="none" w:sz="0" w:space="0" w:color="auto"/>
        <w:right w:val="none" w:sz="0" w:space="0" w:color="auto"/>
      </w:divBdr>
    </w:div>
    <w:div w:id="1055158495">
      <w:bodyDiv w:val="1"/>
      <w:marLeft w:val="0"/>
      <w:marRight w:val="0"/>
      <w:marTop w:val="0"/>
      <w:marBottom w:val="0"/>
      <w:divBdr>
        <w:top w:val="none" w:sz="0" w:space="0" w:color="auto"/>
        <w:left w:val="none" w:sz="0" w:space="0" w:color="auto"/>
        <w:bottom w:val="none" w:sz="0" w:space="0" w:color="auto"/>
        <w:right w:val="none" w:sz="0" w:space="0" w:color="auto"/>
      </w:divBdr>
    </w:div>
    <w:div w:id="1055278109">
      <w:bodyDiv w:val="1"/>
      <w:marLeft w:val="0"/>
      <w:marRight w:val="0"/>
      <w:marTop w:val="0"/>
      <w:marBottom w:val="0"/>
      <w:divBdr>
        <w:top w:val="none" w:sz="0" w:space="0" w:color="auto"/>
        <w:left w:val="none" w:sz="0" w:space="0" w:color="auto"/>
        <w:bottom w:val="none" w:sz="0" w:space="0" w:color="auto"/>
        <w:right w:val="none" w:sz="0" w:space="0" w:color="auto"/>
      </w:divBdr>
    </w:div>
    <w:div w:id="1055280855">
      <w:bodyDiv w:val="1"/>
      <w:marLeft w:val="0"/>
      <w:marRight w:val="0"/>
      <w:marTop w:val="0"/>
      <w:marBottom w:val="0"/>
      <w:divBdr>
        <w:top w:val="none" w:sz="0" w:space="0" w:color="auto"/>
        <w:left w:val="none" w:sz="0" w:space="0" w:color="auto"/>
        <w:bottom w:val="none" w:sz="0" w:space="0" w:color="auto"/>
        <w:right w:val="none" w:sz="0" w:space="0" w:color="auto"/>
      </w:divBdr>
    </w:div>
    <w:div w:id="1055349083">
      <w:bodyDiv w:val="1"/>
      <w:marLeft w:val="0"/>
      <w:marRight w:val="0"/>
      <w:marTop w:val="0"/>
      <w:marBottom w:val="0"/>
      <w:divBdr>
        <w:top w:val="none" w:sz="0" w:space="0" w:color="auto"/>
        <w:left w:val="none" w:sz="0" w:space="0" w:color="auto"/>
        <w:bottom w:val="none" w:sz="0" w:space="0" w:color="auto"/>
        <w:right w:val="none" w:sz="0" w:space="0" w:color="auto"/>
      </w:divBdr>
    </w:div>
    <w:div w:id="1055349478">
      <w:bodyDiv w:val="1"/>
      <w:marLeft w:val="0"/>
      <w:marRight w:val="0"/>
      <w:marTop w:val="0"/>
      <w:marBottom w:val="0"/>
      <w:divBdr>
        <w:top w:val="none" w:sz="0" w:space="0" w:color="auto"/>
        <w:left w:val="none" w:sz="0" w:space="0" w:color="auto"/>
        <w:bottom w:val="none" w:sz="0" w:space="0" w:color="auto"/>
        <w:right w:val="none" w:sz="0" w:space="0" w:color="auto"/>
      </w:divBdr>
    </w:div>
    <w:div w:id="1055397509">
      <w:bodyDiv w:val="1"/>
      <w:marLeft w:val="0"/>
      <w:marRight w:val="0"/>
      <w:marTop w:val="0"/>
      <w:marBottom w:val="0"/>
      <w:divBdr>
        <w:top w:val="none" w:sz="0" w:space="0" w:color="auto"/>
        <w:left w:val="none" w:sz="0" w:space="0" w:color="auto"/>
        <w:bottom w:val="none" w:sz="0" w:space="0" w:color="auto"/>
        <w:right w:val="none" w:sz="0" w:space="0" w:color="auto"/>
      </w:divBdr>
    </w:div>
    <w:div w:id="1055472058">
      <w:bodyDiv w:val="1"/>
      <w:marLeft w:val="0"/>
      <w:marRight w:val="0"/>
      <w:marTop w:val="0"/>
      <w:marBottom w:val="0"/>
      <w:divBdr>
        <w:top w:val="none" w:sz="0" w:space="0" w:color="auto"/>
        <w:left w:val="none" w:sz="0" w:space="0" w:color="auto"/>
        <w:bottom w:val="none" w:sz="0" w:space="0" w:color="auto"/>
        <w:right w:val="none" w:sz="0" w:space="0" w:color="auto"/>
      </w:divBdr>
    </w:div>
    <w:div w:id="1055547467">
      <w:bodyDiv w:val="1"/>
      <w:marLeft w:val="0"/>
      <w:marRight w:val="0"/>
      <w:marTop w:val="0"/>
      <w:marBottom w:val="0"/>
      <w:divBdr>
        <w:top w:val="none" w:sz="0" w:space="0" w:color="auto"/>
        <w:left w:val="none" w:sz="0" w:space="0" w:color="auto"/>
        <w:bottom w:val="none" w:sz="0" w:space="0" w:color="auto"/>
        <w:right w:val="none" w:sz="0" w:space="0" w:color="auto"/>
      </w:divBdr>
    </w:div>
    <w:div w:id="1055617935">
      <w:bodyDiv w:val="1"/>
      <w:marLeft w:val="0"/>
      <w:marRight w:val="0"/>
      <w:marTop w:val="0"/>
      <w:marBottom w:val="0"/>
      <w:divBdr>
        <w:top w:val="none" w:sz="0" w:space="0" w:color="auto"/>
        <w:left w:val="none" w:sz="0" w:space="0" w:color="auto"/>
        <w:bottom w:val="none" w:sz="0" w:space="0" w:color="auto"/>
        <w:right w:val="none" w:sz="0" w:space="0" w:color="auto"/>
      </w:divBdr>
    </w:div>
    <w:div w:id="1055667512">
      <w:bodyDiv w:val="1"/>
      <w:marLeft w:val="0"/>
      <w:marRight w:val="0"/>
      <w:marTop w:val="0"/>
      <w:marBottom w:val="0"/>
      <w:divBdr>
        <w:top w:val="none" w:sz="0" w:space="0" w:color="auto"/>
        <w:left w:val="none" w:sz="0" w:space="0" w:color="auto"/>
        <w:bottom w:val="none" w:sz="0" w:space="0" w:color="auto"/>
        <w:right w:val="none" w:sz="0" w:space="0" w:color="auto"/>
      </w:divBdr>
    </w:div>
    <w:div w:id="1055738015">
      <w:bodyDiv w:val="1"/>
      <w:marLeft w:val="0"/>
      <w:marRight w:val="0"/>
      <w:marTop w:val="0"/>
      <w:marBottom w:val="0"/>
      <w:divBdr>
        <w:top w:val="none" w:sz="0" w:space="0" w:color="auto"/>
        <w:left w:val="none" w:sz="0" w:space="0" w:color="auto"/>
        <w:bottom w:val="none" w:sz="0" w:space="0" w:color="auto"/>
        <w:right w:val="none" w:sz="0" w:space="0" w:color="auto"/>
      </w:divBdr>
    </w:div>
    <w:div w:id="1055738978">
      <w:bodyDiv w:val="1"/>
      <w:marLeft w:val="0"/>
      <w:marRight w:val="0"/>
      <w:marTop w:val="0"/>
      <w:marBottom w:val="0"/>
      <w:divBdr>
        <w:top w:val="none" w:sz="0" w:space="0" w:color="auto"/>
        <w:left w:val="none" w:sz="0" w:space="0" w:color="auto"/>
        <w:bottom w:val="none" w:sz="0" w:space="0" w:color="auto"/>
        <w:right w:val="none" w:sz="0" w:space="0" w:color="auto"/>
      </w:divBdr>
    </w:div>
    <w:div w:id="1055740523">
      <w:bodyDiv w:val="1"/>
      <w:marLeft w:val="0"/>
      <w:marRight w:val="0"/>
      <w:marTop w:val="0"/>
      <w:marBottom w:val="0"/>
      <w:divBdr>
        <w:top w:val="none" w:sz="0" w:space="0" w:color="auto"/>
        <w:left w:val="none" w:sz="0" w:space="0" w:color="auto"/>
        <w:bottom w:val="none" w:sz="0" w:space="0" w:color="auto"/>
        <w:right w:val="none" w:sz="0" w:space="0" w:color="auto"/>
      </w:divBdr>
    </w:div>
    <w:div w:id="1055810487">
      <w:bodyDiv w:val="1"/>
      <w:marLeft w:val="0"/>
      <w:marRight w:val="0"/>
      <w:marTop w:val="0"/>
      <w:marBottom w:val="0"/>
      <w:divBdr>
        <w:top w:val="none" w:sz="0" w:space="0" w:color="auto"/>
        <w:left w:val="none" w:sz="0" w:space="0" w:color="auto"/>
        <w:bottom w:val="none" w:sz="0" w:space="0" w:color="auto"/>
        <w:right w:val="none" w:sz="0" w:space="0" w:color="auto"/>
      </w:divBdr>
    </w:div>
    <w:div w:id="1055811602">
      <w:bodyDiv w:val="1"/>
      <w:marLeft w:val="0"/>
      <w:marRight w:val="0"/>
      <w:marTop w:val="0"/>
      <w:marBottom w:val="0"/>
      <w:divBdr>
        <w:top w:val="none" w:sz="0" w:space="0" w:color="auto"/>
        <w:left w:val="none" w:sz="0" w:space="0" w:color="auto"/>
        <w:bottom w:val="none" w:sz="0" w:space="0" w:color="auto"/>
        <w:right w:val="none" w:sz="0" w:space="0" w:color="auto"/>
      </w:divBdr>
    </w:div>
    <w:div w:id="1055813568">
      <w:bodyDiv w:val="1"/>
      <w:marLeft w:val="0"/>
      <w:marRight w:val="0"/>
      <w:marTop w:val="0"/>
      <w:marBottom w:val="0"/>
      <w:divBdr>
        <w:top w:val="none" w:sz="0" w:space="0" w:color="auto"/>
        <w:left w:val="none" w:sz="0" w:space="0" w:color="auto"/>
        <w:bottom w:val="none" w:sz="0" w:space="0" w:color="auto"/>
        <w:right w:val="none" w:sz="0" w:space="0" w:color="auto"/>
      </w:divBdr>
    </w:div>
    <w:div w:id="1055932397">
      <w:bodyDiv w:val="1"/>
      <w:marLeft w:val="0"/>
      <w:marRight w:val="0"/>
      <w:marTop w:val="0"/>
      <w:marBottom w:val="0"/>
      <w:divBdr>
        <w:top w:val="none" w:sz="0" w:space="0" w:color="auto"/>
        <w:left w:val="none" w:sz="0" w:space="0" w:color="auto"/>
        <w:bottom w:val="none" w:sz="0" w:space="0" w:color="auto"/>
        <w:right w:val="none" w:sz="0" w:space="0" w:color="auto"/>
      </w:divBdr>
    </w:div>
    <w:div w:id="1056047114">
      <w:bodyDiv w:val="1"/>
      <w:marLeft w:val="0"/>
      <w:marRight w:val="0"/>
      <w:marTop w:val="0"/>
      <w:marBottom w:val="0"/>
      <w:divBdr>
        <w:top w:val="none" w:sz="0" w:space="0" w:color="auto"/>
        <w:left w:val="none" w:sz="0" w:space="0" w:color="auto"/>
        <w:bottom w:val="none" w:sz="0" w:space="0" w:color="auto"/>
        <w:right w:val="none" w:sz="0" w:space="0" w:color="auto"/>
      </w:divBdr>
    </w:div>
    <w:div w:id="1056047324">
      <w:bodyDiv w:val="1"/>
      <w:marLeft w:val="0"/>
      <w:marRight w:val="0"/>
      <w:marTop w:val="0"/>
      <w:marBottom w:val="0"/>
      <w:divBdr>
        <w:top w:val="none" w:sz="0" w:space="0" w:color="auto"/>
        <w:left w:val="none" w:sz="0" w:space="0" w:color="auto"/>
        <w:bottom w:val="none" w:sz="0" w:space="0" w:color="auto"/>
        <w:right w:val="none" w:sz="0" w:space="0" w:color="auto"/>
      </w:divBdr>
    </w:div>
    <w:div w:id="1056048058">
      <w:bodyDiv w:val="1"/>
      <w:marLeft w:val="0"/>
      <w:marRight w:val="0"/>
      <w:marTop w:val="0"/>
      <w:marBottom w:val="0"/>
      <w:divBdr>
        <w:top w:val="none" w:sz="0" w:space="0" w:color="auto"/>
        <w:left w:val="none" w:sz="0" w:space="0" w:color="auto"/>
        <w:bottom w:val="none" w:sz="0" w:space="0" w:color="auto"/>
        <w:right w:val="none" w:sz="0" w:space="0" w:color="auto"/>
      </w:divBdr>
    </w:div>
    <w:div w:id="1056079458">
      <w:bodyDiv w:val="1"/>
      <w:marLeft w:val="0"/>
      <w:marRight w:val="0"/>
      <w:marTop w:val="0"/>
      <w:marBottom w:val="0"/>
      <w:divBdr>
        <w:top w:val="none" w:sz="0" w:space="0" w:color="auto"/>
        <w:left w:val="none" w:sz="0" w:space="0" w:color="auto"/>
        <w:bottom w:val="none" w:sz="0" w:space="0" w:color="auto"/>
        <w:right w:val="none" w:sz="0" w:space="0" w:color="auto"/>
      </w:divBdr>
    </w:div>
    <w:div w:id="1056199063">
      <w:bodyDiv w:val="1"/>
      <w:marLeft w:val="0"/>
      <w:marRight w:val="0"/>
      <w:marTop w:val="0"/>
      <w:marBottom w:val="0"/>
      <w:divBdr>
        <w:top w:val="none" w:sz="0" w:space="0" w:color="auto"/>
        <w:left w:val="none" w:sz="0" w:space="0" w:color="auto"/>
        <w:bottom w:val="none" w:sz="0" w:space="0" w:color="auto"/>
        <w:right w:val="none" w:sz="0" w:space="0" w:color="auto"/>
      </w:divBdr>
    </w:div>
    <w:div w:id="1056245390">
      <w:bodyDiv w:val="1"/>
      <w:marLeft w:val="0"/>
      <w:marRight w:val="0"/>
      <w:marTop w:val="0"/>
      <w:marBottom w:val="0"/>
      <w:divBdr>
        <w:top w:val="none" w:sz="0" w:space="0" w:color="auto"/>
        <w:left w:val="none" w:sz="0" w:space="0" w:color="auto"/>
        <w:bottom w:val="none" w:sz="0" w:space="0" w:color="auto"/>
        <w:right w:val="none" w:sz="0" w:space="0" w:color="auto"/>
      </w:divBdr>
    </w:div>
    <w:div w:id="1056322143">
      <w:bodyDiv w:val="1"/>
      <w:marLeft w:val="0"/>
      <w:marRight w:val="0"/>
      <w:marTop w:val="0"/>
      <w:marBottom w:val="0"/>
      <w:divBdr>
        <w:top w:val="none" w:sz="0" w:space="0" w:color="auto"/>
        <w:left w:val="none" w:sz="0" w:space="0" w:color="auto"/>
        <w:bottom w:val="none" w:sz="0" w:space="0" w:color="auto"/>
        <w:right w:val="none" w:sz="0" w:space="0" w:color="auto"/>
      </w:divBdr>
    </w:div>
    <w:div w:id="1056393495">
      <w:bodyDiv w:val="1"/>
      <w:marLeft w:val="0"/>
      <w:marRight w:val="0"/>
      <w:marTop w:val="0"/>
      <w:marBottom w:val="0"/>
      <w:divBdr>
        <w:top w:val="none" w:sz="0" w:space="0" w:color="auto"/>
        <w:left w:val="none" w:sz="0" w:space="0" w:color="auto"/>
        <w:bottom w:val="none" w:sz="0" w:space="0" w:color="auto"/>
        <w:right w:val="none" w:sz="0" w:space="0" w:color="auto"/>
      </w:divBdr>
    </w:div>
    <w:div w:id="1056507517">
      <w:bodyDiv w:val="1"/>
      <w:marLeft w:val="0"/>
      <w:marRight w:val="0"/>
      <w:marTop w:val="0"/>
      <w:marBottom w:val="0"/>
      <w:divBdr>
        <w:top w:val="none" w:sz="0" w:space="0" w:color="auto"/>
        <w:left w:val="none" w:sz="0" w:space="0" w:color="auto"/>
        <w:bottom w:val="none" w:sz="0" w:space="0" w:color="auto"/>
        <w:right w:val="none" w:sz="0" w:space="0" w:color="auto"/>
      </w:divBdr>
    </w:div>
    <w:div w:id="1056514850">
      <w:bodyDiv w:val="1"/>
      <w:marLeft w:val="0"/>
      <w:marRight w:val="0"/>
      <w:marTop w:val="0"/>
      <w:marBottom w:val="0"/>
      <w:divBdr>
        <w:top w:val="none" w:sz="0" w:space="0" w:color="auto"/>
        <w:left w:val="none" w:sz="0" w:space="0" w:color="auto"/>
        <w:bottom w:val="none" w:sz="0" w:space="0" w:color="auto"/>
        <w:right w:val="none" w:sz="0" w:space="0" w:color="auto"/>
      </w:divBdr>
    </w:div>
    <w:div w:id="1056588001">
      <w:bodyDiv w:val="1"/>
      <w:marLeft w:val="0"/>
      <w:marRight w:val="0"/>
      <w:marTop w:val="0"/>
      <w:marBottom w:val="0"/>
      <w:divBdr>
        <w:top w:val="none" w:sz="0" w:space="0" w:color="auto"/>
        <w:left w:val="none" w:sz="0" w:space="0" w:color="auto"/>
        <w:bottom w:val="none" w:sz="0" w:space="0" w:color="auto"/>
        <w:right w:val="none" w:sz="0" w:space="0" w:color="auto"/>
      </w:divBdr>
    </w:div>
    <w:div w:id="1056590410">
      <w:bodyDiv w:val="1"/>
      <w:marLeft w:val="0"/>
      <w:marRight w:val="0"/>
      <w:marTop w:val="0"/>
      <w:marBottom w:val="0"/>
      <w:divBdr>
        <w:top w:val="none" w:sz="0" w:space="0" w:color="auto"/>
        <w:left w:val="none" w:sz="0" w:space="0" w:color="auto"/>
        <w:bottom w:val="none" w:sz="0" w:space="0" w:color="auto"/>
        <w:right w:val="none" w:sz="0" w:space="0" w:color="auto"/>
      </w:divBdr>
    </w:div>
    <w:div w:id="1056708714">
      <w:bodyDiv w:val="1"/>
      <w:marLeft w:val="0"/>
      <w:marRight w:val="0"/>
      <w:marTop w:val="0"/>
      <w:marBottom w:val="0"/>
      <w:divBdr>
        <w:top w:val="none" w:sz="0" w:space="0" w:color="auto"/>
        <w:left w:val="none" w:sz="0" w:space="0" w:color="auto"/>
        <w:bottom w:val="none" w:sz="0" w:space="0" w:color="auto"/>
        <w:right w:val="none" w:sz="0" w:space="0" w:color="auto"/>
      </w:divBdr>
    </w:div>
    <w:div w:id="1056971893">
      <w:bodyDiv w:val="1"/>
      <w:marLeft w:val="0"/>
      <w:marRight w:val="0"/>
      <w:marTop w:val="0"/>
      <w:marBottom w:val="0"/>
      <w:divBdr>
        <w:top w:val="none" w:sz="0" w:space="0" w:color="auto"/>
        <w:left w:val="none" w:sz="0" w:space="0" w:color="auto"/>
        <w:bottom w:val="none" w:sz="0" w:space="0" w:color="auto"/>
        <w:right w:val="none" w:sz="0" w:space="0" w:color="auto"/>
      </w:divBdr>
    </w:div>
    <w:div w:id="1057047315">
      <w:bodyDiv w:val="1"/>
      <w:marLeft w:val="0"/>
      <w:marRight w:val="0"/>
      <w:marTop w:val="0"/>
      <w:marBottom w:val="0"/>
      <w:divBdr>
        <w:top w:val="none" w:sz="0" w:space="0" w:color="auto"/>
        <w:left w:val="none" w:sz="0" w:space="0" w:color="auto"/>
        <w:bottom w:val="none" w:sz="0" w:space="0" w:color="auto"/>
        <w:right w:val="none" w:sz="0" w:space="0" w:color="auto"/>
      </w:divBdr>
    </w:div>
    <w:div w:id="1057054035">
      <w:bodyDiv w:val="1"/>
      <w:marLeft w:val="0"/>
      <w:marRight w:val="0"/>
      <w:marTop w:val="0"/>
      <w:marBottom w:val="0"/>
      <w:divBdr>
        <w:top w:val="none" w:sz="0" w:space="0" w:color="auto"/>
        <w:left w:val="none" w:sz="0" w:space="0" w:color="auto"/>
        <w:bottom w:val="none" w:sz="0" w:space="0" w:color="auto"/>
        <w:right w:val="none" w:sz="0" w:space="0" w:color="auto"/>
      </w:divBdr>
    </w:div>
    <w:div w:id="1057121432">
      <w:bodyDiv w:val="1"/>
      <w:marLeft w:val="0"/>
      <w:marRight w:val="0"/>
      <w:marTop w:val="0"/>
      <w:marBottom w:val="0"/>
      <w:divBdr>
        <w:top w:val="none" w:sz="0" w:space="0" w:color="auto"/>
        <w:left w:val="none" w:sz="0" w:space="0" w:color="auto"/>
        <w:bottom w:val="none" w:sz="0" w:space="0" w:color="auto"/>
        <w:right w:val="none" w:sz="0" w:space="0" w:color="auto"/>
      </w:divBdr>
    </w:div>
    <w:div w:id="1057239294">
      <w:bodyDiv w:val="1"/>
      <w:marLeft w:val="0"/>
      <w:marRight w:val="0"/>
      <w:marTop w:val="0"/>
      <w:marBottom w:val="0"/>
      <w:divBdr>
        <w:top w:val="none" w:sz="0" w:space="0" w:color="auto"/>
        <w:left w:val="none" w:sz="0" w:space="0" w:color="auto"/>
        <w:bottom w:val="none" w:sz="0" w:space="0" w:color="auto"/>
        <w:right w:val="none" w:sz="0" w:space="0" w:color="auto"/>
      </w:divBdr>
    </w:div>
    <w:div w:id="1057241903">
      <w:bodyDiv w:val="1"/>
      <w:marLeft w:val="0"/>
      <w:marRight w:val="0"/>
      <w:marTop w:val="0"/>
      <w:marBottom w:val="0"/>
      <w:divBdr>
        <w:top w:val="none" w:sz="0" w:space="0" w:color="auto"/>
        <w:left w:val="none" w:sz="0" w:space="0" w:color="auto"/>
        <w:bottom w:val="none" w:sz="0" w:space="0" w:color="auto"/>
        <w:right w:val="none" w:sz="0" w:space="0" w:color="auto"/>
      </w:divBdr>
    </w:div>
    <w:div w:id="1057316645">
      <w:bodyDiv w:val="1"/>
      <w:marLeft w:val="0"/>
      <w:marRight w:val="0"/>
      <w:marTop w:val="0"/>
      <w:marBottom w:val="0"/>
      <w:divBdr>
        <w:top w:val="none" w:sz="0" w:space="0" w:color="auto"/>
        <w:left w:val="none" w:sz="0" w:space="0" w:color="auto"/>
        <w:bottom w:val="none" w:sz="0" w:space="0" w:color="auto"/>
        <w:right w:val="none" w:sz="0" w:space="0" w:color="auto"/>
      </w:divBdr>
    </w:div>
    <w:div w:id="1057363465">
      <w:bodyDiv w:val="1"/>
      <w:marLeft w:val="0"/>
      <w:marRight w:val="0"/>
      <w:marTop w:val="0"/>
      <w:marBottom w:val="0"/>
      <w:divBdr>
        <w:top w:val="none" w:sz="0" w:space="0" w:color="auto"/>
        <w:left w:val="none" w:sz="0" w:space="0" w:color="auto"/>
        <w:bottom w:val="none" w:sz="0" w:space="0" w:color="auto"/>
        <w:right w:val="none" w:sz="0" w:space="0" w:color="auto"/>
      </w:divBdr>
    </w:div>
    <w:div w:id="1057364926">
      <w:bodyDiv w:val="1"/>
      <w:marLeft w:val="0"/>
      <w:marRight w:val="0"/>
      <w:marTop w:val="0"/>
      <w:marBottom w:val="0"/>
      <w:divBdr>
        <w:top w:val="none" w:sz="0" w:space="0" w:color="auto"/>
        <w:left w:val="none" w:sz="0" w:space="0" w:color="auto"/>
        <w:bottom w:val="none" w:sz="0" w:space="0" w:color="auto"/>
        <w:right w:val="none" w:sz="0" w:space="0" w:color="auto"/>
      </w:divBdr>
    </w:div>
    <w:div w:id="1057390535">
      <w:bodyDiv w:val="1"/>
      <w:marLeft w:val="0"/>
      <w:marRight w:val="0"/>
      <w:marTop w:val="0"/>
      <w:marBottom w:val="0"/>
      <w:divBdr>
        <w:top w:val="none" w:sz="0" w:space="0" w:color="auto"/>
        <w:left w:val="none" w:sz="0" w:space="0" w:color="auto"/>
        <w:bottom w:val="none" w:sz="0" w:space="0" w:color="auto"/>
        <w:right w:val="none" w:sz="0" w:space="0" w:color="auto"/>
      </w:divBdr>
    </w:div>
    <w:div w:id="1057558472">
      <w:bodyDiv w:val="1"/>
      <w:marLeft w:val="0"/>
      <w:marRight w:val="0"/>
      <w:marTop w:val="0"/>
      <w:marBottom w:val="0"/>
      <w:divBdr>
        <w:top w:val="none" w:sz="0" w:space="0" w:color="auto"/>
        <w:left w:val="none" w:sz="0" w:space="0" w:color="auto"/>
        <w:bottom w:val="none" w:sz="0" w:space="0" w:color="auto"/>
        <w:right w:val="none" w:sz="0" w:space="0" w:color="auto"/>
      </w:divBdr>
    </w:div>
    <w:div w:id="1057586931">
      <w:bodyDiv w:val="1"/>
      <w:marLeft w:val="0"/>
      <w:marRight w:val="0"/>
      <w:marTop w:val="0"/>
      <w:marBottom w:val="0"/>
      <w:divBdr>
        <w:top w:val="none" w:sz="0" w:space="0" w:color="auto"/>
        <w:left w:val="none" w:sz="0" w:space="0" w:color="auto"/>
        <w:bottom w:val="none" w:sz="0" w:space="0" w:color="auto"/>
        <w:right w:val="none" w:sz="0" w:space="0" w:color="auto"/>
      </w:divBdr>
    </w:div>
    <w:div w:id="1057625138">
      <w:bodyDiv w:val="1"/>
      <w:marLeft w:val="0"/>
      <w:marRight w:val="0"/>
      <w:marTop w:val="0"/>
      <w:marBottom w:val="0"/>
      <w:divBdr>
        <w:top w:val="none" w:sz="0" w:space="0" w:color="auto"/>
        <w:left w:val="none" w:sz="0" w:space="0" w:color="auto"/>
        <w:bottom w:val="none" w:sz="0" w:space="0" w:color="auto"/>
        <w:right w:val="none" w:sz="0" w:space="0" w:color="auto"/>
      </w:divBdr>
    </w:div>
    <w:div w:id="1057625576">
      <w:bodyDiv w:val="1"/>
      <w:marLeft w:val="0"/>
      <w:marRight w:val="0"/>
      <w:marTop w:val="0"/>
      <w:marBottom w:val="0"/>
      <w:divBdr>
        <w:top w:val="none" w:sz="0" w:space="0" w:color="auto"/>
        <w:left w:val="none" w:sz="0" w:space="0" w:color="auto"/>
        <w:bottom w:val="none" w:sz="0" w:space="0" w:color="auto"/>
        <w:right w:val="none" w:sz="0" w:space="0" w:color="auto"/>
      </w:divBdr>
    </w:div>
    <w:div w:id="1057632608">
      <w:bodyDiv w:val="1"/>
      <w:marLeft w:val="0"/>
      <w:marRight w:val="0"/>
      <w:marTop w:val="0"/>
      <w:marBottom w:val="0"/>
      <w:divBdr>
        <w:top w:val="none" w:sz="0" w:space="0" w:color="auto"/>
        <w:left w:val="none" w:sz="0" w:space="0" w:color="auto"/>
        <w:bottom w:val="none" w:sz="0" w:space="0" w:color="auto"/>
        <w:right w:val="none" w:sz="0" w:space="0" w:color="auto"/>
      </w:divBdr>
    </w:div>
    <w:div w:id="1057781785">
      <w:bodyDiv w:val="1"/>
      <w:marLeft w:val="0"/>
      <w:marRight w:val="0"/>
      <w:marTop w:val="0"/>
      <w:marBottom w:val="0"/>
      <w:divBdr>
        <w:top w:val="none" w:sz="0" w:space="0" w:color="auto"/>
        <w:left w:val="none" w:sz="0" w:space="0" w:color="auto"/>
        <w:bottom w:val="none" w:sz="0" w:space="0" w:color="auto"/>
        <w:right w:val="none" w:sz="0" w:space="0" w:color="auto"/>
      </w:divBdr>
    </w:div>
    <w:div w:id="1057896607">
      <w:bodyDiv w:val="1"/>
      <w:marLeft w:val="0"/>
      <w:marRight w:val="0"/>
      <w:marTop w:val="0"/>
      <w:marBottom w:val="0"/>
      <w:divBdr>
        <w:top w:val="none" w:sz="0" w:space="0" w:color="auto"/>
        <w:left w:val="none" w:sz="0" w:space="0" w:color="auto"/>
        <w:bottom w:val="none" w:sz="0" w:space="0" w:color="auto"/>
        <w:right w:val="none" w:sz="0" w:space="0" w:color="auto"/>
      </w:divBdr>
    </w:div>
    <w:div w:id="1057897414">
      <w:bodyDiv w:val="1"/>
      <w:marLeft w:val="0"/>
      <w:marRight w:val="0"/>
      <w:marTop w:val="0"/>
      <w:marBottom w:val="0"/>
      <w:divBdr>
        <w:top w:val="none" w:sz="0" w:space="0" w:color="auto"/>
        <w:left w:val="none" w:sz="0" w:space="0" w:color="auto"/>
        <w:bottom w:val="none" w:sz="0" w:space="0" w:color="auto"/>
        <w:right w:val="none" w:sz="0" w:space="0" w:color="auto"/>
      </w:divBdr>
    </w:div>
    <w:div w:id="1057900939">
      <w:bodyDiv w:val="1"/>
      <w:marLeft w:val="0"/>
      <w:marRight w:val="0"/>
      <w:marTop w:val="0"/>
      <w:marBottom w:val="0"/>
      <w:divBdr>
        <w:top w:val="none" w:sz="0" w:space="0" w:color="auto"/>
        <w:left w:val="none" w:sz="0" w:space="0" w:color="auto"/>
        <w:bottom w:val="none" w:sz="0" w:space="0" w:color="auto"/>
        <w:right w:val="none" w:sz="0" w:space="0" w:color="auto"/>
      </w:divBdr>
    </w:div>
    <w:div w:id="1057969563">
      <w:bodyDiv w:val="1"/>
      <w:marLeft w:val="0"/>
      <w:marRight w:val="0"/>
      <w:marTop w:val="0"/>
      <w:marBottom w:val="0"/>
      <w:divBdr>
        <w:top w:val="none" w:sz="0" w:space="0" w:color="auto"/>
        <w:left w:val="none" w:sz="0" w:space="0" w:color="auto"/>
        <w:bottom w:val="none" w:sz="0" w:space="0" w:color="auto"/>
        <w:right w:val="none" w:sz="0" w:space="0" w:color="auto"/>
      </w:divBdr>
    </w:div>
    <w:div w:id="1058043724">
      <w:bodyDiv w:val="1"/>
      <w:marLeft w:val="0"/>
      <w:marRight w:val="0"/>
      <w:marTop w:val="0"/>
      <w:marBottom w:val="0"/>
      <w:divBdr>
        <w:top w:val="none" w:sz="0" w:space="0" w:color="auto"/>
        <w:left w:val="none" w:sz="0" w:space="0" w:color="auto"/>
        <w:bottom w:val="none" w:sz="0" w:space="0" w:color="auto"/>
        <w:right w:val="none" w:sz="0" w:space="0" w:color="auto"/>
      </w:divBdr>
    </w:div>
    <w:div w:id="1058169178">
      <w:bodyDiv w:val="1"/>
      <w:marLeft w:val="0"/>
      <w:marRight w:val="0"/>
      <w:marTop w:val="0"/>
      <w:marBottom w:val="0"/>
      <w:divBdr>
        <w:top w:val="none" w:sz="0" w:space="0" w:color="auto"/>
        <w:left w:val="none" w:sz="0" w:space="0" w:color="auto"/>
        <w:bottom w:val="none" w:sz="0" w:space="0" w:color="auto"/>
        <w:right w:val="none" w:sz="0" w:space="0" w:color="auto"/>
      </w:divBdr>
    </w:div>
    <w:div w:id="1058288746">
      <w:bodyDiv w:val="1"/>
      <w:marLeft w:val="0"/>
      <w:marRight w:val="0"/>
      <w:marTop w:val="0"/>
      <w:marBottom w:val="0"/>
      <w:divBdr>
        <w:top w:val="none" w:sz="0" w:space="0" w:color="auto"/>
        <w:left w:val="none" w:sz="0" w:space="0" w:color="auto"/>
        <w:bottom w:val="none" w:sz="0" w:space="0" w:color="auto"/>
        <w:right w:val="none" w:sz="0" w:space="0" w:color="auto"/>
      </w:divBdr>
    </w:div>
    <w:div w:id="1058357624">
      <w:bodyDiv w:val="1"/>
      <w:marLeft w:val="0"/>
      <w:marRight w:val="0"/>
      <w:marTop w:val="0"/>
      <w:marBottom w:val="0"/>
      <w:divBdr>
        <w:top w:val="none" w:sz="0" w:space="0" w:color="auto"/>
        <w:left w:val="none" w:sz="0" w:space="0" w:color="auto"/>
        <w:bottom w:val="none" w:sz="0" w:space="0" w:color="auto"/>
        <w:right w:val="none" w:sz="0" w:space="0" w:color="auto"/>
      </w:divBdr>
    </w:div>
    <w:div w:id="1058433759">
      <w:bodyDiv w:val="1"/>
      <w:marLeft w:val="0"/>
      <w:marRight w:val="0"/>
      <w:marTop w:val="0"/>
      <w:marBottom w:val="0"/>
      <w:divBdr>
        <w:top w:val="none" w:sz="0" w:space="0" w:color="auto"/>
        <w:left w:val="none" w:sz="0" w:space="0" w:color="auto"/>
        <w:bottom w:val="none" w:sz="0" w:space="0" w:color="auto"/>
        <w:right w:val="none" w:sz="0" w:space="0" w:color="auto"/>
      </w:divBdr>
    </w:div>
    <w:div w:id="1058550319">
      <w:bodyDiv w:val="1"/>
      <w:marLeft w:val="0"/>
      <w:marRight w:val="0"/>
      <w:marTop w:val="0"/>
      <w:marBottom w:val="0"/>
      <w:divBdr>
        <w:top w:val="none" w:sz="0" w:space="0" w:color="auto"/>
        <w:left w:val="none" w:sz="0" w:space="0" w:color="auto"/>
        <w:bottom w:val="none" w:sz="0" w:space="0" w:color="auto"/>
        <w:right w:val="none" w:sz="0" w:space="0" w:color="auto"/>
      </w:divBdr>
    </w:div>
    <w:div w:id="1058557768">
      <w:bodyDiv w:val="1"/>
      <w:marLeft w:val="0"/>
      <w:marRight w:val="0"/>
      <w:marTop w:val="0"/>
      <w:marBottom w:val="0"/>
      <w:divBdr>
        <w:top w:val="none" w:sz="0" w:space="0" w:color="auto"/>
        <w:left w:val="none" w:sz="0" w:space="0" w:color="auto"/>
        <w:bottom w:val="none" w:sz="0" w:space="0" w:color="auto"/>
        <w:right w:val="none" w:sz="0" w:space="0" w:color="auto"/>
      </w:divBdr>
    </w:div>
    <w:div w:id="1058625561">
      <w:bodyDiv w:val="1"/>
      <w:marLeft w:val="0"/>
      <w:marRight w:val="0"/>
      <w:marTop w:val="0"/>
      <w:marBottom w:val="0"/>
      <w:divBdr>
        <w:top w:val="none" w:sz="0" w:space="0" w:color="auto"/>
        <w:left w:val="none" w:sz="0" w:space="0" w:color="auto"/>
        <w:bottom w:val="none" w:sz="0" w:space="0" w:color="auto"/>
        <w:right w:val="none" w:sz="0" w:space="0" w:color="auto"/>
      </w:divBdr>
    </w:div>
    <w:div w:id="1058629185">
      <w:bodyDiv w:val="1"/>
      <w:marLeft w:val="0"/>
      <w:marRight w:val="0"/>
      <w:marTop w:val="0"/>
      <w:marBottom w:val="0"/>
      <w:divBdr>
        <w:top w:val="none" w:sz="0" w:space="0" w:color="auto"/>
        <w:left w:val="none" w:sz="0" w:space="0" w:color="auto"/>
        <w:bottom w:val="none" w:sz="0" w:space="0" w:color="auto"/>
        <w:right w:val="none" w:sz="0" w:space="0" w:color="auto"/>
      </w:divBdr>
    </w:div>
    <w:div w:id="1058748441">
      <w:bodyDiv w:val="1"/>
      <w:marLeft w:val="0"/>
      <w:marRight w:val="0"/>
      <w:marTop w:val="0"/>
      <w:marBottom w:val="0"/>
      <w:divBdr>
        <w:top w:val="none" w:sz="0" w:space="0" w:color="auto"/>
        <w:left w:val="none" w:sz="0" w:space="0" w:color="auto"/>
        <w:bottom w:val="none" w:sz="0" w:space="0" w:color="auto"/>
        <w:right w:val="none" w:sz="0" w:space="0" w:color="auto"/>
      </w:divBdr>
    </w:div>
    <w:div w:id="1058819693">
      <w:bodyDiv w:val="1"/>
      <w:marLeft w:val="0"/>
      <w:marRight w:val="0"/>
      <w:marTop w:val="0"/>
      <w:marBottom w:val="0"/>
      <w:divBdr>
        <w:top w:val="none" w:sz="0" w:space="0" w:color="auto"/>
        <w:left w:val="none" w:sz="0" w:space="0" w:color="auto"/>
        <w:bottom w:val="none" w:sz="0" w:space="0" w:color="auto"/>
        <w:right w:val="none" w:sz="0" w:space="0" w:color="auto"/>
      </w:divBdr>
    </w:div>
    <w:div w:id="1058868891">
      <w:bodyDiv w:val="1"/>
      <w:marLeft w:val="0"/>
      <w:marRight w:val="0"/>
      <w:marTop w:val="0"/>
      <w:marBottom w:val="0"/>
      <w:divBdr>
        <w:top w:val="none" w:sz="0" w:space="0" w:color="auto"/>
        <w:left w:val="none" w:sz="0" w:space="0" w:color="auto"/>
        <w:bottom w:val="none" w:sz="0" w:space="0" w:color="auto"/>
        <w:right w:val="none" w:sz="0" w:space="0" w:color="auto"/>
      </w:divBdr>
    </w:div>
    <w:div w:id="1059011847">
      <w:bodyDiv w:val="1"/>
      <w:marLeft w:val="0"/>
      <w:marRight w:val="0"/>
      <w:marTop w:val="0"/>
      <w:marBottom w:val="0"/>
      <w:divBdr>
        <w:top w:val="none" w:sz="0" w:space="0" w:color="auto"/>
        <w:left w:val="none" w:sz="0" w:space="0" w:color="auto"/>
        <w:bottom w:val="none" w:sz="0" w:space="0" w:color="auto"/>
        <w:right w:val="none" w:sz="0" w:space="0" w:color="auto"/>
      </w:divBdr>
    </w:div>
    <w:div w:id="1059019639">
      <w:bodyDiv w:val="1"/>
      <w:marLeft w:val="0"/>
      <w:marRight w:val="0"/>
      <w:marTop w:val="0"/>
      <w:marBottom w:val="0"/>
      <w:divBdr>
        <w:top w:val="none" w:sz="0" w:space="0" w:color="auto"/>
        <w:left w:val="none" w:sz="0" w:space="0" w:color="auto"/>
        <w:bottom w:val="none" w:sz="0" w:space="0" w:color="auto"/>
        <w:right w:val="none" w:sz="0" w:space="0" w:color="auto"/>
      </w:divBdr>
    </w:div>
    <w:div w:id="1059087351">
      <w:bodyDiv w:val="1"/>
      <w:marLeft w:val="0"/>
      <w:marRight w:val="0"/>
      <w:marTop w:val="0"/>
      <w:marBottom w:val="0"/>
      <w:divBdr>
        <w:top w:val="none" w:sz="0" w:space="0" w:color="auto"/>
        <w:left w:val="none" w:sz="0" w:space="0" w:color="auto"/>
        <w:bottom w:val="none" w:sz="0" w:space="0" w:color="auto"/>
        <w:right w:val="none" w:sz="0" w:space="0" w:color="auto"/>
      </w:divBdr>
    </w:div>
    <w:div w:id="1059130488">
      <w:bodyDiv w:val="1"/>
      <w:marLeft w:val="0"/>
      <w:marRight w:val="0"/>
      <w:marTop w:val="0"/>
      <w:marBottom w:val="0"/>
      <w:divBdr>
        <w:top w:val="none" w:sz="0" w:space="0" w:color="auto"/>
        <w:left w:val="none" w:sz="0" w:space="0" w:color="auto"/>
        <w:bottom w:val="none" w:sz="0" w:space="0" w:color="auto"/>
        <w:right w:val="none" w:sz="0" w:space="0" w:color="auto"/>
      </w:divBdr>
    </w:div>
    <w:div w:id="1059134029">
      <w:bodyDiv w:val="1"/>
      <w:marLeft w:val="0"/>
      <w:marRight w:val="0"/>
      <w:marTop w:val="0"/>
      <w:marBottom w:val="0"/>
      <w:divBdr>
        <w:top w:val="none" w:sz="0" w:space="0" w:color="auto"/>
        <w:left w:val="none" w:sz="0" w:space="0" w:color="auto"/>
        <w:bottom w:val="none" w:sz="0" w:space="0" w:color="auto"/>
        <w:right w:val="none" w:sz="0" w:space="0" w:color="auto"/>
      </w:divBdr>
    </w:div>
    <w:div w:id="1059135370">
      <w:bodyDiv w:val="1"/>
      <w:marLeft w:val="0"/>
      <w:marRight w:val="0"/>
      <w:marTop w:val="0"/>
      <w:marBottom w:val="0"/>
      <w:divBdr>
        <w:top w:val="none" w:sz="0" w:space="0" w:color="auto"/>
        <w:left w:val="none" w:sz="0" w:space="0" w:color="auto"/>
        <w:bottom w:val="none" w:sz="0" w:space="0" w:color="auto"/>
        <w:right w:val="none" w:sz="0" w:space="0" w:color="auto"/>
      </w:divBdr>
    </w:div>
    <w:div w:id="1059136681">
      <w:bodyDiv w:val="1"/>
      <w:marLeft w:val="0"/>
      <w:marRight w:val="0"/>
      <w:marTop w:val="0"/>
      <w:marBottom w:val="0"/>
      <w:divBdr>
        <w:top w:val="none" w:sz="0" w:space="0" w:color="auto"/>
        <w:left w:val="none" w:sz="0" w:space="0" w:color="auto"/>
        <w:bottom w:val="none" w:sz="0" w:space="0" w:color="auto"/>
        <w:right w:val="none" w:sz="0" w:space="0" w:color="auto"/>
      </w:divBdr>
    </w:div>
    <w:div w:id="1059137054">
      <w:bodyDiv w:val="1"/>
      <w:marLeft w:val="0"/>
      <w:marRight w:val="0"/>
      <w:marTop w:val="0"/>
      <w:marBottom w:val="0"/>
      <w:divBdr>
        <w:top w:val="none" w:sz="0" w:space="0" w:color="auto"/>
        <w:left w:val="none" w:sz="0" w:space="0" w:color="auto"/>
        <w:bottom w:val="none" w:sz="0" w:space="0" w:color="auto"/>
        <w:right w:val="none" w:sz="0" w:space="0" w:color="auto"/>
      </w:divBdr>
    </w:div>
    <w:div w:id="1059286022">
      <w:bodyDiv w:val="1"/>
      <w:marLeft w:val="0"/>
      <w:marRight w:val="0"/>
      <w:marTop w:val="0"/>
      <w:marBottom w:val="0"/>
      <w:divBdr>
        <w:top w:val="none" w:sz="0" w:space="0" w:color="auto"/>
        <w:left w:val="none" w:sz="0" w:space="0" w:color="auto"/>
        <w:bottom w:val="none" w:sz="0" w:space="0" w:color="auto"/>
        <w:right w:val="none" w:sz="0" w:space="0" w:color="auto"/>
      </w:divBdr>
    </w:div>
    <w:div w:id="1059324408">
      <w:bodyDiv w:val="1"/>
      <w:marLeft w:val="0"/>
      <w:marRight w:val="0"/>
      <w:marTop w:val="0"/>
      <w:marBottom w:val="0"/>
      <w:divBdr>
        <w:top w:val="none" w:sz="0" w:space="0" w:color="auto"/>
        <w:left w:val="none" w:sz="0" w:space="0" w:color="auto"/>
        <w:bottom w:val="none" w:sz="0" w:space="0" w:color="auto"/>
        <w:right w:val="none" w:sz="0" w:space="0" w:color="auto"/>
      </w:divBdr>
    </w:div>
    <w:div w:id="1059400896">
      <w:bodyDiv w:val="1"/>
      <w:marLeft w:val="0"/>
      <w:marRight w:val="0"/>
      <w:marTop w:val="0"/>
      <w:marBottom w:val="0"/>
      <w:divBdr>
        <w:top w:val="none" w:sz="0" w:space="0" w:color="auto"/>
        <w:left w:val="none" w:sz="0" w:space="0" w:color="auto"/>
        <w:bottom w:val="none" w:sz="0" w:space="0" w:color="auto"/>
        <w:right w:val="none" w:sz="0" w:space="0" w:color="auto"/>
      </w:divBdr>
    </w:div>
    <w:div w:id="1059404211">
      <w:bodyDiv w:val="1"/>
      <w:marLeft w:val="0"/>
      <w:marRight w:val="0"/>
      <w:marTop w:val="0"/>
      <w:marBottom w:val="0"/>
      <w:divBdr>
        <w:top w:val="none" w:sz="0" w:space="0" w:color="auto"/>
        <w:left w:val="none" w:sz="0" w:space="0" w:color="auto"/>
        <w:bottom w:val="none" w:sz="0" w:space="0" w:color="auto"/>
        <w:right w:val="none" w:sz="0" w:space="0" w:color="auto"/>
      </w:divBdr>
    </w:div>
    <w:div w:id="1059666962">
      <w:bodyDiv w:val="1"/>
      <w:marLeft w:val="0"/>
      <w:marRight w:val="0"/>
      <w:marTop w:val="0"/>
      <w:marBottom w:val="0"/>
      <w:divBdr>
        <w:top w:val="none" w:sz="0" w:space="0" w:color="auto"/>
        <w:left w:val="none" w:sz="0" w:space="0" w:color="auto"/>
        <w:bottom w:val="none" w:sz="0" w:space="0" w:color="auto"/>
        <w:right w:val="none" w:sz="0" w:space="0" w:color="auto"/>
      </w:divBdr>
    </w:div>
    <w:div w:id="1059668148">
      <w:bodyDiv w:val="1"/>
      <w:marLeft w:val="0"/>
      <w:marRight w:val="0"/>
      <w:marTop w:val="0"/>
      <w:marBottom w:val="0"/>
      <w:divBdr>
        <w:top w:val="none" w:sz="0" w:space="0" w:color="auto"/>
        <w:left w:val="none" w:sz="0" w:space="0" w:color="auto"/>
        <w:bottom w:val="none" w:sz="0" w:space="0" w:color="auto"/>
        <w:right w:val="none" w:sz="0" w:space="0" w:color="auto"/>
      </w:divBdr>
    </w:div>
    <w:div w:id="1059784912">
      <w:bodyDiv w:val="1"/>
      <w:marLeft w:val="0"/>
      <w:marRight w:val="0"/>
      <w:marTop w:val="0"/>
      <w:marBottom w:val="0"/>
      <w:divBdr>
        <w:top w:val="none" w:sz="0" w:space="0" w:color="auto"/>
        <w:left w:val="none" w:sz="0" w:space="0" w:color="auto"/>
        <w:bottom w:val="none" w:sz="0" w:space="0" w:color="auto"/>
        <w:right w:val="none" w:sz="0" w:space="0" w:color="auto"/>
      </w:divBdr>
    </w:div>
    <w:div w:id="1059985384">
      <w:bodyDiv w:val="1"/>
      <w:marLeft w:val="0"/>
      <w:marRight w:val="0"/>
      <w:marTop w:val="0"/>
      <w:marBottom w:val="0"/>
      <w:divBdr>
        <w:top w:val="none" w:sz="0" w:space="0" w:color="auto"/>
        <w:left w:val="none" w:sz="0" w:space="0" w:color="auto"/>
        <w:bottom w:val="none" w:sz="0" w:space="0" w:color="auto"/>
        <w:right w:val="none" w:sz="0" w:space="0" w:color="auto"/>
      </w:divBdr>
    </w:div>
    <w:div w:id="1060052065">
      <w:bodyDiv w:val="1"/>
      <w:marLeft w:val="0"/>
      <w:marRight w:val="0"/>
      <w:marTop w:val="0"/>
      <w:marBottom w:val="0"/>
      <w:divBdr>
        <w:top w:val="none" w:sz="0" w:space="0" w:color="auto"/>
        <w:left w:val="none" w:sz="0" w:space="0" w:color="auto"/>
        <w:bottom w:val="none" w:sz="0" w:space="0" w:color="auto"/>
        <w:right w:val="none" w:sz="0" w:space="0" w:color="auto"/>
      </w:divBdr>
    </w:div>
    <w:div w:id="1060176504">
      <w:bodyDiv w:val="1"/>
      <w:marLeft w:val="0"/>
      <w:marRight w:val="0"/>
      <w:marTop w:val="0"/>
      <w:marBottom w:val="0"/>
      <w:divBdr>
        <w:top w:val="none" w:sz="0" w:space="0" w:color="auto"/>
        <w:left w:val="none" w:sz="0" w:space="0" w:color="auto"/>
        <w:bottom w:val="none" w:sz="0" w:space="0" w:color="auto"/>
        <w:right w:val="none" w:sz="0" w:space="0" w:color="auto"/>
      </w:divBdr>
    </w:div>
    <w:div w:id="1060207973">
      <w:bodyDiv w:val="1"/>
      <w:marLeft w:val="0"/>
      <w:marRight w:val="0"/>
      <w:marTop w:val="0"/>
      <w:marBottom w:val="0"/>
      <w:divBdr>
        <w:top w:val="none" w:sz="0" w:space="0" w:color="auto"/>
        <w:left w:val="none" w:sz="0" w:space="0" w:color="auto"/>
        <w:bottom w:val="none" w:sz="0" w:space="0" w:color="auto"/>
        <w:right w:val="none" w:sz="0" w:space="0" w:color="auto"/>
      </w:divBdr>
    </w:div>
    <w:div w:id="1060324637">
      <w:bodyDiv w:val="1"/>
      <w:marLeft w:val="0"/>
      <w:marRight w:val="0"/>
      <w:marTop w:val="0"/>
      <w:marBottom w:val="0"/>
      <w:divBdr>
        <w:top w:val="none" w:sz="0" w:space="0" w:color="auto"/>
        <w:left w:val="none" w:sz="0" w:space="0" w:color="auto"/>
        <w:bottom w:val="none" w:sz="0" w:space="0" w:color="auto"/>
        <w:right w:val="none" w:sz="0" w:space="0" w:color="auto"/>
      </w:divBdr>
    </w:div>
    <w:div w:id="1060326360">
      <w:bodyDiv w:val="1"/>
      <w:marLeft w:val="0"/>
      <w:marRight w:val="0"/>
      <w:marTop w:val="0"/>
      <w:marBottom w:val="0"/>
      <w:divBdr>
        <w:top w:val="none" w:sz="0" w:space="0" w:color="auto"/>
        <w:left w:val="none" w:sz="0" w:space="0" w:color="auto"/>
        <w:bottom w:val="none" w:sz="0" w:space="0" w:color="auto"/>
        <w:right w:val="none" w:sz="0" w:space="0" w:color="auto"/>
      </w:divBdr>
    </w:div>
    <w:div w:id="1060329033">
      <w:bodyDiv w:val="1"/>
      <w:marLeft w:val="0"/>
      <w:marRight w:val="0"/>
      <w:marTop w:val="0"/>
      <w:marBottom w:val="0"/>
      <w:divBdr>
        <w:top w:val="none" w:sz="0" w:space="0" w:color="auto"/>
        <w:left w:val="none" w:sz="0" w:space="0" w:color="auto"/>
        <w:bottom w:val="none" w:sz="0" w:space="0" w:color="auto"/>
        <w:right w:val="none" w:sz="0" w:space="0" w:color="auto"/>
      </w:divBdr>
    </w:div>
    <w:div w:id="1060397911">
      <w:bodyDiv w:val="1"/>
      <w:marLeft w:val="0"/>
      <w:marRight w:val="0"/>
      <w:marTop w:val="0"/>
      <w:marBottom w:val="0"/>
      <w:divBdr>
        <w:top w:val="none" w:sz="0" w:space="0" w:color="auto"/>
        <w:left w:val="none" w:sz="0" w:space="0" w:color="auto"/>
        <w:bottom w:val="none" w:sz="0" w:space="0" w:color="auto"/>
        <w:right w:val="none" w:sz="0" w:space="0" w:color="auto"/>
      </w:divBdr>
    </w:div>
    <w:div w:id="1060399992">
      <w:bodyDiv w:val="1"/>
      <w:marLeft w:val="0"/>
      <w:marRight w:val="0"/>
      <w:marTop w:val="0"/>
      <w:marBottom w:val="0"/>
      <w:divBdr>
        <w:top w:val="none" w:sz="0" w:space="0" w:color="auto"/>
        <w:left w:val="none" w:sz="0" w:space="0" w:color="auto"/>
        <w:bottom w:val="none" w:sz="0" w:space="0" w:color="auto"/>
        <w:right w:val="none" w:sz="0" w:space="0" w:color="auto"/>
      </w:divBdr>
    </w:div>
    <w:div w:id="1060404869">
      <w:bodyDiv w:val="1"/>
      <w:marLeft w:val="0"/>
      <w:marRight w:val="0"/>
      <w:marTop w:val="0"/>
      <w:marBottom w:val="0"/>
      <w:divBdr>
        <w:top w:val="none" w:sz="0" w:space="0" w:color="auto"/>
        <w:left w:val="none" w:sz="0" w:space="0" w:color="auto"/>
        <w:bottom w:val="none" w:sz="0" w:space="0" w:color="auto"/>
        <w:right w:val="none" w:sz="0" w:space="0" w:color="auto"/>
      </w:divBdr>
    </w:div>
    <w:div w:id="1060440604">
      <w:bodyDiv w:val="1"/>
      <w:marLeft w:val="0"/>
      <w:marRight w:val="0"/>
      <w:marTop w:val="0"/>
      <w:marBottom w:val="0"/>
      <w:divBdr>
        <w:top w:val="none" w:sz="0" w:space="0" w:color="auto"/>
        <w:left w:val="none" w:sz="0" w:space="0" w:color="auto"/>
        <w:bottom w:val="none" w:sz="0" w:space="0" w:color="auto"/>
        <w:right w:val="none" w:sz="0" w:space="0" w:color="auto"/>
      </w:divBdr>
    </w:div>
    <w:div w:id="1060447272">
      <w:bodyDiv w:val="1"/>
      <w:marLeft w:val="0"/>
      <w:marRight w:val="0"/>
      <w:marTop w:val="0"/>
      <w:marBottom w:val="0"/>
      <w:divBdr>
        <w:top w:val="none" w:sz="0" w:space="0" w:color="auto"/>
        <w:left w:val="none" w:sz="0" w:space="0" w:color="auto"/>
        <w:bottom w:val="none" w:sz="0" w:space="0" w:color="auto"/>
        <w:right w:val="none" w:sz="0" w:space="0" w:color="auto"/>
      </w:divBdr>
    </w:div>
    <w:div w:id="1060590225">
      <w:bodyDiv w:val="1"/>
      <w:marLeft w:val="0"/>
      <w:marRight w:val="0"/>
      <w:marTop w:val="0"/>
      <w:marBottom w:val="0"/>
      <w:divBdr>
        <w:top w:val="none" w:sz="0" w:space="0" w:color="auto"/>
        <w:left w:val="none" w:sz="0" w:space="0" w:color="auto"/>
        <w:bottom w:val="none" w:sz="0" w:space="0" w:color="auto"/>
        <w:right w:val="none" w:sz="0" w:space="0" w:color="auto"/>
      </w:divBdr>
    </w:div>
    <w:div w:id="1060592053">
      <w:bodyDiv w:val="1"/>
      <w:marLeft w:val="0"/>
      <w:marRight w:val="0"/>
      <w:marTop w:val="0"/>
      <w:marBottom w:val="0"/>
      <w:divBdr>
        <w:top w:val="none" w:sz="0" w:space="0" w:color="auto"/>
        <w:left w:val="none" w:sz="0" w:space="0" w:color="auto"/>
        <w:bottom w:val="none" w:sz="0" w:space="0" w:color="auto"/>
        <w:right w:val="none" w:sz="0" w:space="0" w:color="auto"/>
      </w:divBdr>
    </w:div>
    <w:div w:id="1060790295">
      <w:bodyDiv w:val="1"/>
      <w:marLeft w:val="0"/>
      <w:marRight w:val="0"/>
      <w:marTop w:val="0"/>
      <w:marBottom w:val="0"/>
      <w:divBdr>
        <w:top w:val="none" w:sz="0" w:space="0" w:color="auto"/>
        <w:left w:val="none" w:sz="0" w:space="0" w:color="auto"/>
        <w:bottom w:val="none" w:sz="0" w:space="0" w:color="auto"/>
        <w:right w:val="none" w:sz="0" w:space="0" w:color="auto"/>
      </w:divBdr>
    </w:div>
    <w:div w:id="1060858906">
      <w:bodyDiv w:val="1"/>
      <w:marLeft w:val="0"/>
      <w:marRight w:val="0"/>
      <w:marTop w:val="0"/>
      <w:marBottom w:val="0"/>
      <w:divBdr>
        <w:top w:val="none" w:sz="0" w:space="0" w:color="auto"/>
        <w:left w:val="none" w:sz="0" w:space="0" w:color="auto"/>
        <w:bottom w:val="none" w:sz="0" w:space="0" w:color="auto"/>
        <w:right w:val="none" w:sz="0" w:space="0" w:color="auto"/>
      </w:divBdr>
    </w:div>
    <w:div w:id="1060904356">
      <w:bodyDiv w:val="1"/>
      <w:marLeft w:val="0"/>
      <w:marRight w:val="0"/>
      <w:marTop w:val="0"/>
      <w:marBottom w:val="0"/>
      <w:divBdr>
        <w:top w:val="none" w:sz="0" w:space="0" w:color="auto"/>
        <w:left w:val="none" w:sz="0" w:space="0" w:color="auto"/>
        <w:bottom w:val="none" w:sz="0" w:space="0" w:color="auto"/>
        <w:right w:val="none" w:sz="0" w:space="0" w:color="auto"/>
      </w:divBdr>
    </w:div>
    <w:div w:id="1060906144">
      <w:bodyDiv w:val="1"/>
      <w:marLeft w:val="0"/>
      <w:marRight w:val="0"/>
      <w:marTop w:val="0"/>
      <w:marBottom w:val="0"/>
      <w:divBdr>
        <w:top w:val="none" w:sz="0" w:space="0" w:color="auto"/>
        <w:left w:val="none" w:sz="0" w:space="0" w:color="auto"/>
        <w:bottom w:val="none" w:sz="0" w:space="0" w:color="auto"/>
        <w:right w:val="none" w:sz="0" w:space="0" w:color="auto"/>
      </w:divBdr>
    </w:div>
    <w:div w:id="1060982804">
      <w:bodyDiv w:val="1"/>
      <w:marLeft w:val="0"/>
      <w:marRight w:val="0"/>
      <w:marTop w:val="0"/>
      <w:marBottom w:val="0"/>
      <w:divBdr>
        <w:top w:val="none" w:sz="0" w:space="0" w:color="auto"/>
        <w:left w:val="none" w:sz="0" w:space="0" w:color="auto"/>
        <w:bottom w:val="none" w:sz="0" w:space="0" w:color="auto"/>
        <w:right w:val="none" w:sz="0" w:space="0" w:color="auto"/>
      </w:divBdr>
    </w:div>
    <w:div w:id="1061052036">
      <w:bodyDiv w:val="1"/>
      <w:marLeft w:val="0"/>
      <w:marRight w:val="0"/>
      <w:marTop w:val="0"/>
      <w:marBottom w:val="0"/>
      <w:divBdr>
        <w:top w:val="none" w:sz="0" w:space="0" w:color="auto"/>
        <w:left w:val="none" w:sz="0" w:space="0" w:color="auto"/>
        <w:bottom w:val="none" w:sz="0" w:space="0" w:color="auto"/>
        <w:right w:val="none" w:sz="0" w:space="0" w:color="auto"/>
      </w:divBdr>
    </w:div>
    <w:div w:id="1061052751">
      <w:bodyDiv w:val="1"/>
      <w:marLeft w:val="0"/>
      <w:marRight w:val="0"/>
      <w:marTop w:val="0"/>
      <w:marBottom w:val="0"/>
      <w:divBdr>
        <w:top w:val="none" w:sz="0" w:space="0" w:color="auto"/>
        <w:left w:val="none" w:sz="0" w:space="0" w:color="auto"/>
        <w:bottom w:val="none" w:sz="0" w:space="0" w:color="auto"/>
        <w:right w:val="none" w:sz="0" w:space="0" w:color="auto"/>
      </w:divBdr>
    </w:div>
    <w:div w:id="1061058100">
      <w:bodyDiv w:val="1"/>
      <w:marLeft w:val="0"/>
      <w:marRight w:val="0"/>
      <w:marTop w:val="0"/>
      <w:marBottom w:val="0"/>
      <w:divBdr>
        <w:top w:val="none" w:sz="0" w:space="0" w:color="auto"/>
        <w:left w:val="none" w:sz="0" w:space="0" w:color="auto"/>
        <w:bottom w:val="none" w:sz="0" w:space="0" w:color="auto"/>
        <w:right w:val="none" w:sz="0" w:space="0" w:color="auto"/>
      </w:divBdr>
    </w:div>
    <w:div w:id="1061169525">
      <w:bodyDiv w:val="1"/>
      <w:marLeft w:val="0"/>
      <w:marRight w:val="0"/>
      <w:marTop w:val="0"/>
      <w:marBottom w:val="0"/>
      <w:divBdr>
        <w:top w:val="none" w:sz="0" w:space="0" w:color="auto"/>
        <w:left w:val="none" w:sz="0" w:space="0" w:color="auto"/>
        <w:bottom w:val="none" w:sz="0" w:space="0" w:color="auto"/>
        <w:right w:val="none" w:sz="0" w:space="0" w:color="auto"/>
      </w:divBdr>
    </w:div>
    <w:div w:id="1061440197">
      <w:bodyDiv w:val="1"/>
      <w:marLeft w:val="0"/>
      <w:marRight w:val="0"/>
      <w:marTop w:val="0"/>
      <w:marBottom w:val="0"/>
      <w:divBdr>
        <w:top w:val="none" w:sz="0" w:space="0" w:color="auto"/>
        <w:left w:val="none" w:sz="0" w:space="0" w:color="auto"/>
        <w:bottom w:val="none" w:sz="0" w:space="0" w:color="auto"/>
        <w:right w:val="none" w:sz="0" w:space="0" w:color="auto"/>
      </w:divBdr>
    </w:div>
    <w:div w:id="1061440695">
      <w:bodyDiv w:val="1"/>
      <w:marLeft w:val="0"/>
      <w:marRight w:val="0"/>
      <w:marTop w:val="0"/>
      <w:marBottom w:val="0"/>
      <w:divBdr>
        <w:top w:val="none" w:sz="0" w:space="0" w:color="auto"/>
        <w:left w:val="none" w:sz="0" w:space="0" w:color="auto"/>
        <w:bottom w:val="none" w:sz="0" w:space="0" w:color="auto"/>
        <w:right w:val="none" w:sz="0" w:space="0" w:color="auto"/>
      </w:divBdr>
    </w:div>
    <w:div w:id="1061713625">
      <w:bodyDiv w:val="1"/>
      <w:marLeft w:val="0"/>
      <w:marRight w:val="0"/>
      <w:marTop w:val="0"/>
      <w:marBottom w:val="0"/>
      <w:divBdr>
        <w:top w:val="none" w:sz="0" w:space="0" w:color="auto"/>
        <w:left w:val="none" w:sz="0" w:space="0" w:color="auto"/>
        <w:bottom w:val="none" w:sz="0" w:space="0" w:color="auto"/>
        <w:right w:val="none" w:sz="0" w:space="0" w:color="auto"/>
      </w:divBdr>
    </w:div>
    <w:div w:id="1061750188">
      <w:bodyDiv w:val="1"/>
      <w:marLeft w:val="0"/>
      <w:marRight w:val="0"/>
      <w:marTop w:val="0"/>
      <w:marBottom w:val="0"/>
      <w:divBdr>
        <w:top w:val="none" w:sz="0" w:space="0" w:color="auto"/>
        <w:left w:val="none" w:sz="0" w:space="0" w:color="auto"/>
        <w:bottom w:val="none" w:sz="0" w:space="0" w:color="auto"/>
        <w:right w:val="none" w:sz="0" w:space="0" w:color="auto"/>
      </w:divBdr>
    </w:div>
    <w:div w:id="1061754037">
      <w:bodyDiv w:val="1"/>
      <w:marLeft w:val="0"/>
      <w:marRight w:val="0"/>
      <w:marTop w:val="0"/>
      <w:marBottom w:val="0"/>
      <w:divBdr>
        <w:top w:val="none" w:sz="0" w:space="0" w:color="auto"/>
        <w:left w:val="none" w:sz="0" w:space="0" w:color="auto"/>
        <w:bottom w:val="none" w:sz="0" w:space="0" w:color="auto"/>
        <w:right w:val="none" w:sz="0" w:space="0" w:color="auto"/>
      </w:divBdr>
    </w:div>
    <w:div w:id="1061754413">
      <w:bodyDiv w:val="1"/>
      <w:marLeft w:val="0"/>
      <w:marRight w:val="0"/>
      <w:marTop w:val="0"/>
      <w:marBottom w:val="0"/>
      <w:divBdr>
        <w:top w:val="none" w:sz="0" w:space="0" w:color="auto"/>
        <w:left w:val="none" w:sz="0" w:space="0" w:color="auto"/>
        <w:bottom w:val="none" w:sz="0" w:space="0" w:color="auto"/>
        <w:right w:val="none" w:sz="0" w:space="0" w:color="auto"/>
      </w:divBdr>
    </w:div>
    <w:div w:id="1061755157">
      <w:bodyDiv w:val="1"/>
      <w:marLeft w:val="0"/>
      <w:marRight w:val="0"/>
      <w:marTop w:val="0"/>
      <w:marBottom w:val="0"/>
      <w:divBdr>
        <w:top w:val="none" w:sz="0" w:space="0" w:color="auto"/>
        <w:left w:val="none" w:sz="0" w:space="0" w:color="auto"/>
        <w:bottom w:val="none" w:sz="0" w:space="0" w:color="auto"/>
        <w:right w:val="none" w:sz="0" w:space="0" w:color="auto"/>
      </w:divBdr>
    </w:div>
    <w:div w:id="1061755373">
      <w:bodyDiv w:val="1"/>
      <w:marLeft w:val="0"/>
      <w:marRight w:val="0"/>
      <w:marTop w:val="0"/>
      <w:marBottom w:val="0"/>
      <w:divBdr>
        <w:top w:val="none" w:sz="0" w:space="0" w:color="auto"/>
        <w:left w:val="none" w:sz="0" w:space="0" w:color="auto"/>
        <w:bottom w:val="none" w:sz="0" w:space="0" w:color="auto"/>
        <w:right w:val="none" w:sz="0" w:space="0" w:color="auto"/>
      </w:divBdr>
    </w:div>
    <w:div w:id="1061756590">
      <w:bodyDiv w:val="1"/>
      <w:marLeft w:val="0"/>
      <w:marRight w:val="0"/>
      <w:marTop w:val="0"/>
      <w:marBottom w:val="0"/>
      <w:divBdr>
        <w:top w:val="none" w:sz="0" w:space="0" w:color="auto"/>
        <w:left w:val="none" w:sz="0" w:space="0" w:color="auto"/>
        <w:bottom w:val="none" w:sz="0" w:space="0" w:color="auto"/>
        <w:right w:val="none" w:sz="0" w:space="0" w:color="auto"/>
      </w:divBdr>
    </w:div>
    <w:div w:id="1061825588">
      <w:bodyDiv w:val="1"/>
      <w:marLeft w:val="0"/>
      <w:marRight w:val="0"/>
      <w:marTop w:val="0"/>
      <w:marBottom w:val="0"/>
      <w:divBdr>
        <w:top w:val="none" w:sz="0" w:space="0" w:color="auto"/>
        <w:left w:val="none" w:sz="0" w:space="0" w:color="auto"/>
        <w:bottom w:val="none" w:sz="0" w:space="0" w:color="auto"/>
        <w:right w:val="none" w:sz="0" w:space="0" w:color="auto"/>
      </w:divBdr>
    </w:div>
    <w:div w:id="1062097814">
      <w:bodyDiv w:val="1"/>
      <w:marLeft w:val="0"/>
      <w:marRight w:val="0"/>
      <w:marTop w:val="0"/>
      <w:marBottom w:val="0"/>
      <w:divBdr>
        <w:top w:val="none" w:sz="0" w:space="0" w:color="auto"/>
        <w:left w:val="none" w:sz="0" w:space="0" w:color="auto"/>
        <w:bottom w:val="none" w:sz="0" w:space="0" w:color="auto"/>
        <w:right w:val="none" w:sz="0" w:space="0" w:color="auto"/>
      </w:divBdr>
    </w:div>
    <w:div w:id="1062101747">
      <w:bodyDiv w:val="1"/>
      <w:marLeft w:val="0"/>
      <w:marRight w:val="0"/>
      <w:marTop w:val="0"/>
      <w:marBottom w:val="0"/>
      <w:divBdr>
        <w:top w:val="none" w:sz="0" w:space="0" w:color="auto"/>
        <w:left w:val="none" w:sz="0" w:space="0" w:color="auto"/>
        <w:bottom w:val="none" w:sz="0" w:space="0" w:color="auto"/>
        <w:right w:val="none" w:sz="0" w:space="0" w:color="auto"/>
      </w:divBdr>
    </w:div>
    <w:div w:id="1062102506">
      <w:bodyDiv w:val="1"/>
      <w:marLeft w:val="0"/>
      <w:marRight w:val="0"/>
      <w:marTop w:val="0"/>
      <w:marBottom w:val="0"/>
      <w:divBdr>
        <w:top w:val="none" w:sz="0" w:space="0" w:color="auto"/>
        <w:left w:val="none" w:sz="0" w:space="0" w:color="auto"/>
        <w:bottom w:val="none" w:sz="0" w:space="0" w:color="auto"/>
        <w:right w:val="none" w:sz="0" w:space="0" w:color="auto"/>
      </w:divBdr>
    </w:div>
    <w:div w:id="1062169382">
      <w:bodyDiv w:val="1"/>
      <w:marLeft w:val="0"/>
      <w:marRight w:val="0"/>
      <w:marTop w:val="0"/>
      <w:marBottom w:val="0"/>
      <w:divBdr>
        <w:top w:val="none" w:sz="0" w:space="0" w:color="auto"/>
        <w:left w:val="none" w:sz="0" w:space="0" w:color="auto"/>
        <w:bottom w:val="none" w:sz="0" w:space="0" w:color="auto"/>
        <w:right w:val="none" w:sz="0" w:space="0" w:color="auto"/>
      </w:divBdr>
    </w:div>
    <w:div w:id="1062219168">
      <w:bodyDiv w:val="1"/>
      <w:marLeft w:val="0"/>
      <w:marRight w:val="0"/>
      <w:marTop w:val="0"/>
      <w:marBottom w:val="0"/>
      <w:divBdr>
        <w:top w:val="none" w:sz="0" w:space="0" w:color="auto"/>
        <w:left w:val="none" w:sz="0" w:space="0" w:color="auto"/>
        <w:bottom w:val="none" w:sz="0" w:space="0" w:color="auto"/>
        <w:right w:val="none" w:sz="0" w:space="0" w:color="auto"/>
      </w:divBdr>
    </w:div>
    <w:div w:id="1062365283">
      <w:bodyDiv w:val="1"/>
      <w:marLeft w:val="0"/>
      <w:marRight w:val="0"/>
      <w:marTop w:val="0"/>
      <w:marBottom w:val="0"/>
      <w:divBdr>
        <w:top w:val="none" w:sz="0" w:space="0" w:color="auto"/>
        <w:left w:val="none" w:sz="0" w:space="0" w:color="auto"/>
        <w:bottom w:val="none" w:sz="0" w:space="0" w:color="auto"/>
        <w:right w:val="none" w:sz="0" w:space="0" w:color="auto"/>
      </w:divBdr>
    </w:div>
    <w:div w:id="1062485032">
      <w:bodyDiv w:val="1"/>
      <w:marLeft w:val="0"/>
      <w:marRight w:val="0"/>
      <w:marTop w:val="0"/>
      <w:marBottom w:val="0"/>
      <w:divBdr>
        <w:top w:val="none" w:sz="0" w:space="0" w:color="auto"/>
        <w:left w:val="none" w:sz="0" w:space="0" w:color="auto"/>
        <w:bottom w:val="none" w:sz="0" w:space="0" w:color="auto"/>
        <w:right w:val="none" w:sz="0" w:space="0" w:color="auto"/>
      </w:divBdr>
    </w:div>
    <w:div w:id="1062487244">
      <w:bodyDiv w:val="1"/>
      <w:marLeft w:val="0"/>
      <w:marRight w:val="0"/>
      <w:marTop w:val="0"/>
      <w:marBottom w:val="0"/>
      <w:divBdr>
        <w:top w:val="none" w:sz="0" w:space="0" w:color="auto"/>
        <w:left w:val="none" w:sz="0" w:space="0" w:color="auto"/>
        <w:bottom w:val="none" w:sz="0" w:space="0" w:color="auto"/>
        <w:right w:val="none" w:sz="0" w:space="0" w:color="auto"/>
      </w:divBdr>
    </w:div>
    <w:div w:id="1062488796">
      <w:bodyDiv w:val="1"/>
      <w:marLeft w:val="0"/>
      <w:marRight w:val="0"/>
      <w:marTop w:val="0"/>
      <w:marBottom w:val="0"/>
      <w:divBdr>
        <w:top w:val="none" w:sz="0" w:space="0" w:color="auto"/>
        <w:left w:val="none" w:sz="0" w:space="0" w:color="auto"/>
        <w:bottom w:val="none" w:sz="0" w:space="0" w:color="auto"/>
        <w:right w:val="none" w:sz="0" w:space="0" w:color="auto"/>
      </w:divBdr>
    </w:div>
    <w:div w:id="1062753587">
      <w:bodyDiv w:val="1"/>
      <w:marLeft w:val="0"/>
      <w:marRight w:val="0"/>
      <w:marTop w:val="0"/>
      <w:marBottom w:val="0"/>
      <w:divBdr>
        <w:top w:val="none" w:sz="0" w:space="0" w:color="auto"/>
        <w:left w:val="none" w:sz="0" w:space="0" w:color="auto"/>
        <w:bottom w:val="none" w:sz="0" w:space="0" w:color="auto"/>
        <w:right w:val="none" w:sz="0" w:space="0" w:color="auto"/>
      </w:divBdr>
    </w:div>
    <w:div w:id="1062825117">
      <w:bodyDiv w:val="1"/>
      <w:marLeft w:val="0"/>
      <w:marRight w:val="0"/>
      <w:marTop w:val="0"/>
      <w:marBottom w:val="0"/>
      <w:divBdr>
        <w:top w:val="none" w:sz="0" w:space="0" w:color="auto"/>
        <w:left w:val="none" w:sz="0" w:space="0" w:color="auto"/>
        <w:bottom w:val="none" w:sz="0" w:space="0" w:color="auto"/>
        <w:right w:val="none" w:sz="0" w:space="0" w:color="auto"/>
      </w:divBdr>
    </w:div>
    <w:div w:id="1062827037">
      <w:bodyDiv w:val="1"/>
      <w:marLeft w:val="0"/>
      <w:marRight w:val="0"/>
      <w:marTop w:val="0"/>
      <w:marBottom w:val="0"/>
      <w:divBdr>
        <w:top w:val="none" w:sz="0" w:space="0" w:color="auto"/>
        <w:left w:val="none" w:sz="0" w:space="0" w:color="auto"/>
        <w:bottom w:val="none" w:sz="0" w:space="0" w:color="auto"/>
        <w:right w:val="none" w:sz="0" w:space="0" w:color="auto"/>
      </w:divBdr>
    </w:div>
    <w:div w:id="1062867248">
      <w:bodyDiv w:val="1"/>
      <w:marLeft w:val="0"/>
      <w:marRight w:val="0"/>
      <w:marTop w:val="0"/>
      <w:marBottom w:val="0"/>
      <w:divBdr>
        <w:top w:val="none" w:sz="0" w:space="0" w:color="auto"/>
        <w:left w:val="none" w:sz="0" w:space="0" w:color="auto"/>
        <w:bottom w:val="none" w:sz="0" w:space="0" w:color="auto"/>
        <w:right w:val="none" w:sz="0" w:space="0" w:color="auto"/>
      </w:divBdr>
    </w:div>
    <w:div w:id="1062868591">
      <w:bodyDiv w:val="1"/>
      <w:marLeft w:val="0"/>
      <w:marRight w:val="0"/>
      <w:marTop w:val="0"/>
      <w:marBottom w:val="0"/>
      <w:divBdr>
        <w:top w:val="none" w:sz="0" w:space="0" w:color="auto"/>
        <w:left w:val="none" w:sz="0" w:space="0" w:color="auto"/>
        <w:bottom w:val="none" w:sz="0" w:space="0" w:color="auto"/>
        <w:right w:val="none" w:sz="0" w:space="0" w:color="auto"/>
      </w:divBdr>
    </w:div>
    <w:div w:id="1063019292">
      <w:bodyDiv w:val="1"/>
      <w:marLeft w:val="0"/>
      <w:marRight w:val="0"/>
      <w:marTop w:val="0"/>
      <w:marBottom w:val="0"/>
      <w:divBdr>
        <w:top w:val="none" w:sz="0" w:space="0" w:color="auto"/>
        <w:left w:val="none" w:sz="0" w:space="0" w:color="auto"/>
        <w:bottom w:val="none" w:sz="0" w:space="0" w:color="auto"/>
        <w:right w:val="none" w:sz="0" w:space="0" w:color="auto"/>
      </w:divBdr>
    </w:div>
    <w:div w:id="1063026026">
      <w:bodyDiv w:val="1"/>
      <w:marLeft w:val="0"/>
      <w:marRight w:val="0"/>
      <w:marTop w:val="0"/>
      <w:marBottom w:val="0"/>
      <w:divBdr>
        <w:top w:val="none" w:sz="0" w:space="0" w:color="auto"/>
        <w:left w:val="none" w:sz="0" w:space="0" w:color="auto"/>
        <w:bottom w:val="none" w:sz="0" w:space="0" w:color="auto"/>
        <w:right w:val="none" w:sz="0" w:space="0" w:color="auto"/>
      </w:divBdr>
    </w:div>
    <w:div w:id="1063069269">
      <w:bodyDiv w:val="1"/>
      <w:marLeft w:val="0"/>
      <w:marRight w:val="0"/>
      <w:marTop w:val="0"/>
      <w:marBottom w:val="0"/>
      <w:divBdr>
        <w:top w:val="none" w:sz="0" w:space="0" w:color="auto"/>
        <w:left w:val="none" w:sz="0" w:space="0" w:color="auto"/>
        <w:bottom w:val="none" w:sz="0" w:space="0" w:color="auto"/>
        <w:right w:val="none" w:sz="0" w:space="0" w:color="auto"/>
      </w:divBdr>
    </w:div>
    <w:div w:id="1063142365">
      <w:bodyDiv w:val="1"/>
      <w:marLeft w:val="0"/>
      <w:marRight w:val="0"/>
      <w:marTop w:val="0"/>
      <w:marBottom w:val="0"/>
      <w:divBdr>
        <w:top w:val="none" w:sz="0" w:space="0" w:color="auto"/>
        <w:left w:val="none" w:sz="0" w:space="0" w:color="auto"/>
        <w:bottom w:val="none" w:sz="0" w:space="0" w:color="auto"/>
        <w:right w:val="none" w:sz="0" w:space="0" w:color="auto"/>
      </w:divBdr>
    </w:div>
    <w:div w:id="1063262069">
      <w:bodyDiv w:val="1"/>
      <w:marLeft w:val="0"/>
      <w:marRight w:val="0"/>
      <w:marTop w:val="0"/>
      <w:marBottom w:val="0"/>
      <w:divBdr>
        <w:top w:val="none" w:sz="0" w:space="0" w:color="auto"/>
        <w:left w:val="none" w:sz="0" w:space="0" w:color="auto"/>
        <w:bottom w:val="none" w:sz="0" w:space="0" w:color="auto"/>
        <w:right w:val="none" w:sz="0" w:space="0" w:color="auto"/>
      </w:divBdr>
    </w:div>
    <w:div w:id="1063408014">
      <w:bodyDiv w:val="1"/>
      <w:marLeft w:val="0"/>
      <w:marRight w:val="0"/>
      <w:marTop w:val="0"/>
      <w:marBottom w:val="0"/>
      <w:divBdr>
        <w:top w:val="none" w:sz="0" w:space="0" w:color="auto"/>
        <w:left w:val="none" w:sz="0" w:space="0" w:color="auto"/>
        <w:bottom w:val="none" w:sz="0" w:space="0" w:color="auto"/>
        <w:right w:val="none" w:sz="0" w:space="0" w:color="auto"/>
      </w:divBdr>
    </w:div>
    <w:div w:id="1063452847">
      <w:bodyDiv w:val="1"/>
      <w:marLeft w:val="0"/>
      <w:marRight w:val="0"/>
      <w:marTop w:val="0"/>
      <w:marBottom w:val="0"/>
      <w:divBdr>
        <w:top w:val="none" w:sz="0" w:space="0" w:color="auto"/>
        <w:left w:val="none" w:sz="0" w:space="0" w:color="auto"/>
        <w:bottom w:val="none" w:sz="0" w:space="0" w:color="auto"/>
        <w:right w:val="none" w:sz="0" w:space="0" w:color="auto"/>
      </w:divBdr>
    </w:div>
    <w:div w:id="1063604438">
      <w:bodyDiv w:val="1"/>
      <w:marLeft w:val="0"/>
      <w:marRight w:val="0"/>
      <w:marTop w:val="0"/>
      <w:marBottom w:val="0"/>
      <w:divBdr>
        <w:top w:val="none" w:sz="0" w:space="0" w:color="auto"/>
        <w:left w:val="none" w:sz="0" w:space="0" w:color="auto"/>
        <w:bottom w:val="none" w:sz="0" w:space="0" w:color="auto"/>
        <w:right w:val="none" w:sz="0" w:space="0" w:color="auto"/>
      </w:divBdr>
    </w:div>
    <w:div w:id="1063606378">
      <w:bodyDiv w:val="1"/>
      <w:marLeft w:val="0"/>
      <w:marRight w:val="0"/>
      <w:marTop w:val="0"/>
      <w:marBottom w:val="0"/>
      <w:divBdr>
        <w:top w:val="none" w:sz="0" w:space="0" w:color="auto"/>
        <w:left w:val="none" w:sz="0" w:space="0" w:color="auto"/>
        <w:bottom w:val="none" w:sz="0" w:space="0" w:color="auto"/>
        <w:right w:val="none" w:sz="0" w:space="0" w:color="auto"/>
      </w:divBdr>
    </w:div>
    <w:div w:id="1063717772">
      <w:bodyDiv w:val="1"/>
      <w:marLeft w:val="0"/>
      <w:marRight w:val="0"/>
      <w:marTop w:val="0"/>
      <w:marBottom w:val="0"/>
      <w:divBdr>
        <w:top w:val="none" w:sz="0" w:space="0" w:color="auto"/>
        <w:left w:val="none" w:sz="0" w:space="0" w:color="auto"/>
        <w:bottom w:val="none" w:sz="0" w:space="0" w:color="auto"/>
        <w:right w:val="none" w:sz="0" w:space="0" w:color="auto"/>
      </w:divBdr>
    </w:div>
    <w:div w:id="1063718830">
      <w:bodyDiv w:val="1"/>
      <w:marLeft w:val="0"/>
      <w:marRight w:val="0"/>
      <w:marTop w:val="0"/>
      <w:marBottom w:val="0"/>
      <w:divBdr>
        <w:top w:val="none" w:sz="0" w:space="0" w:color="auto"/>
        <w:left w:val="none" w:sz="0" w:space="0" w:color="auto"/>
        <w:bottom w:val="none" w:sz="0" w:space="0" w:color="auto"/>
        <w:right w:val="none" w:sz="0" w:space="0" w:color="auto"/>
      </w:divBdr>
    </w:div>
    <w:div w:id="1063795461">
      <w:bodyDiv w:val="1"/>
      <w:marLeft w:val="0"/>
      <w:marRight w:val="0"/>
      <w:marTop w:val="0"/>
      <w:marBottom w:val="0"/>
      <w:divBdr>
        <w:top w:val="none" w:sz="0" w:space="0" w:color="auto"/>
        <w:left w:val="none" w:sz="0" w:space="0" w:color="auto"/>
        <w:bottom w:val="none" w:sz="0" w:space="0" w:color="auto"/>
        <w:right w:val="none" w:sz="0" w:space="0" w:color="auto"/>
      </w:divBdr>
    </w:div>
    <w:div w:id="1063875215">
      <w:bodyDiv w:val="1"/>
      <w:marLeft w:val="0"/>
      <w:marRight w:val="0"/>
      <w:marTop w:val="0"/>
      <w:marBottom w:val="0"/>
      <w:divBdr>
        <w:top w:val="none" w:sz="0" w:space="0" w:color="auto"/>
        <w:left w:val="none" w:sz="0" w:space="0" w:color="auto"/>
        <w:bottom w:val="none" w:sz="0" w:space="0" w:color="auto"/>
        <w:right w:val="none" w:sz="0" w:space="0" w:color="auto"/>
      </w:divBdr>
    </w:div>
    <w:div w:id="1063987717">
      <w:bodyDiv w:val="1"/>
      <w:marLeft w:val="0"/>
      <w:marRight w:val="0"/>
      <w:marTop w:val="0"/>
      <w:marBottom w:val="0"/>
      <w:divBdr>
        <w:top w:val="none" w:sz="0" w:space="0" w:color="auto"/>
        <w:left w:val="none" w:sz="0" w:space="0" w:color="auto"/>
        <w:bottom w:val="none" w:sz="0" w:space="0" w:color="auto"/>
        <w:right w:val="none" w:sz="0" w:space="0" w:color="auto"/>
      </w:divBdr>
    </w:div>
    <w:div w:id="1064062078">
      <w:bodyDiv w:val="1"/>
      <w:marLeft w:val="0"/>
      <w:marRight w:val="0"/>
      <w:marTop w:val="0"/>
      <w:marBottom w:val="0"/>
      <w:divBdr>
        <w:top w:val="none" w:sz="0" w:space="0" w:color="auto"/>
        <w:left w:val="none" w:sz="0" w:space="0" w:color="auto"/>
        <w:bottom w:val="none" w:sz="0" w:space="0" w:color="auto"/>
        <w:right w:val="none" w:sz="0" w:space="0" w:color="auto"/>
      </w:divBdr>
    </w:div>
    <w:div w:id="1064068543">
      <w:bodyDiv w:val="1"/>
      <w:marLeft w:val="0"/>
      <w:marRight w:val="0"/>
      <w:marTop w:val="0"/>
      <w:marBottom w:val="0"/>
      <w:divBdr>
        <w:top w:val="none" w:sz="0" w:space="0" w:color="auto"/>
        <w:left w:val="none" w:sz="0" w:space="0" w:color="auto"/>
        <w:bottom w:val="none" w:sz="0" w:space="0" w:color="auto"/>
        <w:right w:val="none" w:sz="0" w:space="0" w:color="auto"/>
      </w:divBdr>
    </w:div>
    <w:div w:id="1064182881">
      <w:bodyDiv w:val="1"/>
      <w:marLeft w:val="0"/>
      <w:marRight w:val="0"/>
      <w:marTop w:val="0"/>
      <w:marBottom w:val="0"/>
      <w:divBdr>
        <w:top w:val="none" w:sz="0" w:space="0" w:color="auto"/>
        <w:left w:val="none" w:sz="0" w:space="0" w:color="auto"/>
        <w:bottom w:val="none" w:sz="0" w:space="0" w:color="auto"/>
        <w:right w:val="none" w:sz="0" w:space="0" w:color="auto"/>
      </w:divBdr>
    </w:div>
    <w:div w:id="1064252540">
      <w:bodyDiv w:val="1"/>
      <w:marLeft w:val="0"/>
      <w:marRight w:val="0"/>
      <w:marTop w:val="0"/>
      <w:marBottom w:val="0"/>
      <w:divBdr>
        <w:top w:val="none" w:sz="0" w:space="0" w:color="auto"/>
        <w:left w:val="none" w:sz="0" w:space="0" w:color="auto"/>
        <w:bottom w:val="none" w:sz="0" w:space="0" w:color="auto"/>
        <w:right w:val="none" w:sz="0" w:space="0" w:color="auto"/>
      </w:divBdr>
    </w:div>
    <w:div w:id="1064259818">
      <w:bodyDiv w:val="1"/>
      <w:marLeft w:val="0"/>
      <w:marRight w:val="0"/>
      <w:marTop w:val="0"/>
      <w:marBottom w:val="0"/>
      <w:divBdr>
        <w:top w:val="none" w:sz="0" w:space="0" w:color="auto"/>
        <w:left w:val="none" w:sz="0" w:space="0" w:color="auto"/>
        <w:bottom w:val="none" w:sz="0" w:space="0" w:color="auto"/>
        <w:right w:val="none" w:sz="0" w:space="0" w:color="auto"/>
      </w:divBdr>
    </w:div>
    <w:div w:id="1064260045">
      <w:bodyDiv w:val="1"/>
      <w:marLeft w:val="0"/>
      <w:marRight w:val="0"/>
      <w:marTop w:val="0"/>
      <w:marBottom w:val="0"/>
      <w:divBdr>
        <w:top w:val="none" w:sz="0" w:space="0" w:color="auto"/>
        <w:left w:val="none" w:sz="0" w:space="0" w:color="auto"/>
        <w:bottom w:val="none" w:sz="0" w:space="0" w:color="auto"/>
        <w:right w:val="none" w:sz="0" w:space="0" w:color="auto"/>
      </w:divBdr>
    </w:div>
    <w:div w:id="1064260148">
      <w:bodyDiv w:val="1"/>
      <w:marLeft w:val="0"/>
      <w:marRight w:val="0"/>
      <w:marTop w:val="0"/>
      <w:marBottom w:val="0"/>
      <w:divBdr>
        <w:top w:val="none" w:sz="0" w:space="0" w:color="auto"/>
        <w:left w:val="none" w:sz="0" w:space="0" w:color="auto"/>
        <w:bottom w:val="none" w:sz="0" w:space="0" w:color="auto"/>
        <w:right w:val="none" w:sz="0" w:space="0" w:color="auto"/>
      </w:divBdr>
    </w:div>
    <w:div w:id="1064261217">
      <w:bodyDiv w:val="1"/>
      <w:marLeft w:val="0"/>
      <w:marRight w:val="0"/>
      <w:marTop w:val="0"/>
      <w:marBottom w:val="0"/>
      <w:divBdr>
        <w:top w:val="none" w:sz="0" w:space="0" w:color="auto"/>
        <w:left w:val="none" w:sz="0" w:space="0" w:color="auto"/>
        <w:bottom w:val="none" w:sz="0" w:space="0" w:color="auto"/>
        <w:right w:val="none" w:sz="0" w:space="0" w:color="auto"/>
      </w:divBdr>
    </w:div>
    <w:div w:id="1064330984">
      <w:bodyDiv w:val="1"/>
      <w:marLeft w:val="0"/>
      <w:marRight w:val="0"/>
      <w:marTop w:val="0"/>
      <w:marBottom w:val="0"/>
      <w:divBdr>
        <w:top w:val="none" w:sz="0" w:space="0" w:color="auto"/>
        <w:left w:val="none" w:sz="0" w:space="0" w:color="auto"/>
        <w:bottom w:val="none" w:sz="0" w:space="0" w:color="auto"/>
        <w:right w:val="none" w:sz="0" w:space="0" w:color="auto"/>
      </w:divBdr>
    </w:div>
    <w:div w:id="1064333372">
      <w:bodyDiv w:val="1"/>
      <w:marLeft w:val="0"/>
      <w:marRight w:val="0"/>
      <w:marTop w:val="0"/>
      <w:marBottom w:val="0"/>
      <w:divBdr>
        <w:top w:val="none" w:sz="0" w:space="0" w:color="auto"/>
        <w:left w:val="none" w:sz="0" w:space="0" w:color="auto"/>
        <w:bottom w:val="none" w:sz="0" w:space="0" w:color="auto"/>
        <w:right w:val="none" w:sz="0" w:space="0" w:color="auto"/>
      </w:divBdr>
    </w:div>
    <w:div w:id="1064373972">
      <w:bodyDiv w:val="1"/>
      <w:marLeft w:val="0"/>
      <w:marRight w:val="0"/>
      <w:marTop w:val="0"/>
      <w:marBottom w:val="0"/>
      <w:divBdr>
        <w:top w:val="none" w:sz="0" w:space="0" w:color="auto"/>
        <w:left w:val="none" w:sz="0" w:space="0" w:color="auto"/>
        <w:bottom w:val="none" w:sz="0" w:space="0" w:color="auto"/>
        <w:right w:val="none" w:sz="0" w:space="0" w:color="auto"/>
      </w:divBdr>
    </w:div>
    <w:div w:id="1064449936">
      <w:bodyDiv w:val="1"/>
      <w:marLeft w:val="0"/>
      <w:marRight w:val="0"/>
      <w:marTop w:val="0"/>
      <w:marBottom w:val="0"/>
      <w:divBdr>
        <w:top w:val="none" w:sz="0" w:space="0" w:color="auto"/>
        <w:left w:val="none" w:sz="0" w:space="0" w:color="auto"/>
        <w:bottom w:val="none" w:sz="0" w:space="0" w:color="auto"/>
        <w:right w:val="none" w:sz="0" w:space="0" w:color="auto"/>
      </w:divBdr>
    </w:div>
    <w:div w:id="1064646313">
      <w:bodyDiv w:val="1"/>
      <w:marLeft w:val="0"/>
      <w:marRight w:val="0"/>
      <w:marTop w:val="0"/>
      <w:marBottom w:val="0"/>
      <w:divBdr>
        <w:top w:val="none" w:sz="0" w:space="0" w:color="auto"/>
        <w:left w:val="none" w:sz="0" w:space="0" w:color="auto"/>
        <w:bottom w:val="none" w:sz="0" w:space="0" w:color="auto"/>
        <w:right w:val="none" w:sz="0" w:space="0" w:color="auto"/>
      </w:divBdr>
    </w:div>
    <w:div w:id="1064794881">
      <w:bodyDiv w:val="1"/>
      <w:marLeft w:val="0"/>
      <w:marRight w:val="0"/>
      <w:marTop w:val="0"/>
      <w:marBottom w:val="0"/>
      <w:divBdr>
        <w:top w:val="none" w:sz="0" w:space="0" w:color="auto"/>
        <w:left w:val="none" w:sz="0" w:space="0" w:color="auto"/>
        <w:bottom w:val="none" w:sz="0" w:space="0" w:color="auto"/>
        <w:right w:val="none" w:sz="0" w:space="0" w:color="auto"/>
      </w:divBdr>
    </w:div>
    <w:div w:id="1064832618">
      <w:bodyDiv w:val="1"/>
      <w:marLeft w:val="0"/>
      <w:marRight w:val="0"/>
      <w:marTop w:val="0"/>
      <w:marBottom w:val="0"/>
      <w:divBdr>
        <w:top w:val="none" w:sz="0" w:space="0" w:color="auto"/>
        <w:left w:val="none" w:sz="0" w:space="0" w:color="auto"/>
        <w:bottom w:val="none" w:sz="0" w:space="0" w:color="auto"/>
        <w:right w:val="none" w:sz="0" w:space="0" w:color="auto"/>
      </w:divBdr>
    </w:div>
    <w:div w:id="1065030019">
      <w:bodyDiv w:val="1"/>
      <w:marLeft w:val="0"/>
      <w:marRight w:val="0"/>
      <w:marTop w:val="0"/>
      <w:marBottom w:val="0"/>
      <w:divBdr>
        <w:top w:val="none" w:sz="0" w:space="0" w:color="auto"/>
        <w:left w:val="none" w:sz="0" w:space="0" w:color="auto"/>
        <w:bottom w:val="none" w:sz="0" w:space="0" w:color="auto"/>
        <w:right w:val="none" w:sz="0" w:space="0" w:color="auto"/>
      </w:divBdr>
    </w:div>
    <w:div w:id="1065103522">
      <w:bodyDiv w:val="1"/>
      <w:marLeft w:val="0"/>
      <w:marRight w:val="0"/>
      <w:marTop w:val="0"/>
      <w:marBottom w:val="0"/>
      <w:divBdr>
        <w:top w:val="none" w:sz="0" w:space="0" w:color="auto"/>
        <w:left w:val="none" w:sz="0" w:space="0" w:color="auto"/>
        <w:bottom w:val="none" w:sz="0" w:space="0" w:color="auto"/>
        <w:right w:val="none" w:sz="0" w:space="0" w:color="auto"/>
      </w:divBdr>
    </w:div>
    <w:div w:id="1065106251">
      <w:bodyDiv w:val="1"/>
      <w:marLeft w:val="0"/>
      <w:marRight w:val="0"/>
      <w:marTop w:val="0"/>
      <w:marBottom w:val="0"/>
      <w:divBdr>
        <w:top w:val="none" w:sz="0" w:space="0" w:color="auto"/>
        <w:left w:val="none" w:sz="0" w:space="0" w:color="auto"/>
        <w:bottom w:val="none" w:sz="0" w:space="0" w:color="auto"/>
        <w:right w:val="none" w:sz="0" w:space="0" w:color="auto"/>
      </w:divBdr>
    </w:div>
    <w:div w:id="1065182948">
      <w:bodyDiv w:val="1"/>
      <w:marLeft w:val="0"/>
      <w:marRight w:val="0"/>
      <w:marTop w:val="0"/>
      <w:marBottom w:val="0"/>
      <w:divBdr>
        <w:top w:val="none" w:sz="0" w:space="0" w:color="auto"/>
        <w:left w:val="none" w:sz="0" w:space="0" w:color="auto"/>
        <w:bottom w:val="none" w:sz="0" w:space="0" w:color="auto"/>
        <w:right w:val="none" w:sz="0" w:space="0" w:color="auto"/>
      </w:divBdr>
    </w:div>
    <w:div w:id="1065223503">
      <w:bodyDiv w:val="1"/>
      <w:marLeft w:val="0"/>
      <w:marRight w:val="0"/>
      <w:marTop w:val="0"/>
      <w:marBottom w:val="0"/>
      <w:divBdr>
        <w:top w:val="none" w:sz="0" w:space="0" w:color="auto"/>
        <w:left w:val="none" w:sz="0" w:space="0" w:color="auto"/>
        <w:bottom w:val="none" w:sz="0" w:space="0" w:color="auto"/>
        <w:right w:val="none" w:sz="0" w:space="0" w:color="auto"/>
      </w:divBdr>
    </w:div>
    <w:div w:id="1065225348">
      <w:bodyDiv w:val="1"/>
      <w:marLeft w:val="0"/>
      <w:marRight w:val="0"/>
      <w:marTop w:val="0"/>
      <w:marBottom w:val="0"/>
      <w:divBdr>
        <w:top w:val="none" w:sz="0" w:space="0" w:color="auto"/>
        <w:left w:val="none" w:sz="0" w:space="0" w:color="auto"/>
        <w:bottom w:val="none" w:sz="0" w:space="0" w:color="auto"/>
        <w:right w:val="none" w:sz="0" w:space="0" w:color="auto"/>
      </w:divBdr>
    </w:div>
    <w:div w:id="1065254207">
      <w:bodyDiv w:val="1"/>
      <w:marLeft w:val="0"/>
      <w:marRight w:val="0"/>
      <w:marTop w:val="0"/>
      <w:marBottom w:val="0"/>
      <w:divBdr>
        <w:top w:val="none" w:sz="0" w:space="0" w:color="auto"/>
        <w:left w:val="none" w:sz="0" w:space="0" w:color="auto"/>
        <w:bottom w:val="none" w:sz="0" w:space="0" w:color="auto"/>
        <w:right w:val="none" w:sz="0" w:space="0" w:color="auto"/>
      </w:divBdr>
    </w:div>
    <w:div w:id="1065254255">
      <w:bodyDiv w:val="1"/>
      <w:marLeft w:val="0"/>
      <w:marRight w:val="0"/>
      <w:marTop w:val="0"/>
      <w:marBottom w:val="0"/>
      <w:divBdr>
        <w:top w:val="none" w:sz="0" w:space="0" w:color="auto"/>
        <w:left w:val="none" w:sz="0" w:space="0" w:color="auto"/>
        <w:bottom w:val="none" w:sz="0" w:space="0" w:color="auto"/>
        <w:right w:val="none" w:sz="0" w:space="0" w:color="auto"/>
      </w:divBdr>
    </w:div>
    <w:div w:id="1065296995">
      <w:bodyDiv w:val="1"/>
      <w:marLeft w:val="0"/>
      <w:marRight w:val="0"/>
      <w:marTop w:val="0"/>
      <w:marBottom w:val="0"/>
      <w:divBdr>
        <w:top w:val="none" w:sz="0" w:space="0" w:color="auto"/>
        <w:left w:val="none" w:sz="0" w:space="0" w:color="auto"/>
        <w:bottom w:val="none" w:sz="0" w:space="0" w:color="auto"/>
        <w:right w:val="none" w:sz="0" w:space="0" w:color="auto"/>
      </w:divBdr>
    </w:div>
    <w:div w:id="1065377115">
      <w:bodyDiv w:val="1"/>
      <w:marLeft w:val="0"/>
      <w:marRight w:val="0"/>
      <w:marTop w:val="0"/>
      <w:marBottom w:val="0"/>
      <w:divBdr>
        <w:top w:val="none" w:sz="0" w:space="0" w:color="auto"/>
        <w:left w:val="none" w:sz="0" w:space="0" w:color="auto"/>
        <w:bottom w:val="none" w:sz="0" w:space="0" w:color="auto"/>
        <w:right w:val="none" w:sz="0" w:space="0" w:color="auto"/>
      </w:divBdr>
    </w:div>
    <w:div w:id="1065418855">
      <w:bodyDiv w:val="1"/>
      <w:marLeft w:val="0"/>
      <w:marRight w:val="0"/>
      <w:marTop w:val="0"/>
      <w:marBottom w:val="0"/>
      <w:divBdr>
        <w:top w:val="none" w:sz="0" w:space="0" w:color="auto"/>
        <w:left w:val="none" w:sz="0" w:space="0" w:color="auto"/>
        <w:bottom w:val="none" w:sz="0" w:space="0" w:color="auto"/>
        <w:right w:val="none" w:sz="0" w:space="0" w:color="auto"/>
      </w:divBdr>
    </w:div>
    <w:div w:id="1065446830">
      <w:bodyDiv w:val="1"/>
      <w:marLeft w:val="0"/>
      <w:marRight w:val="0"/>
      <w:marTop w:val="0"/>
      <w:marBottom w:val="0"/>
      <w:divBdr>
        <w:top w:val="none" w:sz="0" w:space="0" w:color="auto"/>
        <w:left w:val="none" w:sz="0" w:space="0" w:color="auto"/>
        <w:bottom w:val="none" w:sz="0" w:space="0" w:color="auto"/>
        <w:right w:val="none" w:sz="0" w:space="0" w:color="auto"/>
      </w:divBdr>
    </w:div>
    <w:div w:id="1065566100">
      <w:bodyDiv w:val="1"/>
      <w:marLeft w:val="0"/>
      <w:marRight w:val="0"/>
      <w:marTop w:val="0"/>
      <w:marBottom w:val="0"/>
      <w:divBdr>
        <w:top w:val="none" w:sz="0" w:space="0" w:color="auto"/>
        <w:left w:val="none" w:sz="0" w:space="0" w:color="auto"/>
        <w:bottom w:val="none" w:sz="0" w:space="0" w:color="auto"/>
        <w:right w:val="none" w:sz="0" w:space="0" w:color="auto"/>
      </w:divBdr>
    </w:div>
    <w:div w:id="1065572586">
      <w:bodyDiv w:val="1"/>
      <w:marLeft w:val="0"/>
      <w:marRight w:val="0"/>
      <w:marTop w:val="0"/>
      <w:marBottom w:val="0"/>
      <w:divBdr>
        <w:top w:val="none" w:sz="0" w:space="0" w:color="auto"/>
        <w:left w:val="none" w:sz="0" w:space="0" w:color="auto"/>
        <w:bottom w:val="none" w:sz="0" w:space="0" w:color="auto"/>
        <w:right w:val="none" w:sz="0" w:space="0" w:color="auto"/>
      </w:divBdr>
    </w:div>
    <w:div w:id="1065642830">
      <w:bodyDiv w:val="1"/>
      <w:marLeft w:val="0"/>
      <w:marRight w:val="0"/>
      <w:marTop w:val="0"/>
      <w:marBottom w:val="0"/>
      <w:divBdr>
        <w:top w:val="none" w:sz="0" w:space="0" w:color="auto"/>
        <w:left w:val="none" w:sz="0" w:space="0" w:color="auto"/>
        <w:bottom w:val="none" w:sz="0" w:space="0" w:color="auto"/>
        <w:right w:val="none" w:sz="0" w:space="0" w:color="auto"/>
      </w:divBdr>
    </w:div>
    <w:div w:id="1065644611">
      <w:bodyDiv w:val="1"/>
      <w:marLeft w:val="0"/>
      <w:marRight w:val="0"/>
      <w:marTop w:val="0"/>
      <w:marBottom w:val="0"/>
      <w:divBdr>
        <w:top w:val="none" w:sz="0" w:space="0" w:color="auto"/>
        <w:left w:val="none" w:sz="0" w:space="0" w:color="auto"/>
        <w:bottom w:val="none" w:sz="0" w:space="0" w:color="auto"/>
        <w:right w:val="none" w:sz="0" w:space="0" w:color="auto"/>
      </w:divBdr>
    </w:div>
    <w:div w:id="1065685024">
      <w:bodyDiv w:val="1"/>
      <w:marLeft w:val="0"/>
      <w:marRight w:val="0"/>
      <w:marTop w:val="0"/>
      <w:marBottom w:val="0"/>
      <w:divBdr>
        <w:top w:val="none" w:sz="0" w:space="0" w:color="auto"/>
        <w:left w:val="none" w:sz="0" w:space="0" w:color="auto"/>
        <w:bottom w:val="none" w:sz="0" w:space="0" w:color="auto"/>
        <w:right w:val="none" w:sz="0" w:space="0" w:color="auto"/>
      </w:divBdr>
    </w:div>
    <w:div w:id="1065757031">
      <w:bodyDiv w:val="1"/>
      <w:marLeft w:val="0"/>
      <w:marRight w:val="0"/>
      <w:marTop w:val="0"/>
      <w:marBottom w:val="0"/>
      <w:divBdr>
        <w:top w:val="none" w:sz="0" w:space="0" w:color="auto"/>
        <w:left w:val="none" w:sz="0" w:space="0" w:color="auto"/>
        <w:bottom w:val="none" w:sz="0" w:space="0" w:color="auto"/>
        <w:right w:val="none" w:sz="0" w:space="0" w:color="auto"/>
      </w:divBdr>
    </w:div>
    <w:div w:id="1065757468">
      <w:bodyDiv w:val="1"/>
      <w:marLeft w:val="0"/>
      <w:marRight w:val="0"/>
      <w:marTop w:val="0"/>
      <w:marBottom w:val="0"/>
      <w:divBdr>
        <w:top w:val="none" w:sz="0" w:space="0" w:color="auto"/>
        <w:left w:val="none" w:sz="0" w:space="0" w:color="auto"/>
        <w:bottom w:val="none" w:sz="0" w:space="0" w:color="auto"/>
        <w:right w:val="none" w:sz="0" w:space="0" w:color="auto"/>
      </w:divBdr>
    </w:div>
    <w:div w:id="1065758503">
      <w:bodyDiv w:val="1"/>
      <w:marLeft w:val="0"/>
      <w:marRight w:val="0"/>
      <w:marTop w:val="0"/>
      <w:marBottom w:val="0"/>
      <w:divBdr>
        <w:top w:val="none" w:sz="0" w:space="0" w:color="auto"/>
        <w:left w:val="none" w:sz="0" w:space="0" w:color="auto"/>
        <w:bottom w:val="none" w:sz="0" w:space="0" w:color="auto"/>
        <w:right w:val="none" w:sz="0" w:space="0" w:color="auto"/>
      </w:divBdr>
    </w:div>
    <w:div w:id="1065831987">
      <w:bodyDiv w:val="1"/>
      <w:marLeft w:val="0"/>
      <w:marRight w:val="0"/>
      <w:marTop w:val="0"/>
      <w:marBottom w:val="0"/>
      <w:divBdr>
        <w:top w:val="none" w:sz="0" w:space="0" w:color="auto"/>
        <w:left w:val="none" w:sz="0" w:space="0" w:color="auto"/>
        <w:bottom w:val="none" w:sz="0" w:space="0" w:color="auto"/>
        <w:right w:val="none" w:sz="0" w:space="0" w:color="auto"/>
      </w:divBdr>
    </w:div>
    <w:div w:id="1065837940">
      <w:bodyDiv w:val="1"/>
      <w:marLeft w:val="0"/>
      <w:marRight w:val="0"/>
      <w:marTop w:val="0"/>
      <w:marBottom w:val="0"/>
      <w:divBdr>
        <w:top w:val="none" w:sz="0" w:space="0" w:color="auto"/>
        <w:left w:val="none" w:sz="0" w:space="0" w:color="auto"/>
        <w:bottom w:val="none" w:sz="0" w:space="0" w:color="auto"/>
        <w:right w:val="none" w:sz="0" w:space="0" w:color="auto"/>
      </w:divBdr>
    </w:div>
    <w:div w:id="1065907731">
      <w:bodyDiv w:val="1"/>
      <w:marLeft w:val="0"/>
      <w:marRight w:val="0"/>
      <w:marTop w:val="0"/>
      <w:marBottom w:val="0"/>
      <w:divBdr>
        <w:top w:val="none" w:sz="0" w:space="0" w:color="auto"/>
        <w:left w:val="none" w:sz="0" w:space="0" w:color="auto"/>
        <w:bottom w:val="none" w:sz="0" w:space="0" w:color="auto"/>
        <w:right w:val="none" w:sz="0" w:space="0" w:color="auto"/>
      </w:divBdr>
    </w:div>
    <w:div w:id="1065958523">
      <w:bodyDiv w:val="1"/>
      <w:marLeft w:val="0"/>
      <w:marRight w:val="0"/>
      <w:marTop w:val="0"/>
      <w:marBottom w:val="0"/>
      <w:divBdr>
        <w:top w:val="none" w:sz="0" w:space="0" w:color="auto"/>
        <w:left w:val="none" w:sz="0" w:space="0" w:color="auto"/>
        <w:bottom w:val="none" w:sz="0" w:space="0" w:color="auto"/>
        <w:right w:val="none" w:sz="0" w:space="0" w:color="auto"/>
      </w:divBdr>
    </w:div>
    <w:div w:id="1065958540">
      <w:bodyDiv w:val="1"/>
      <w:marLeft w:val="0"/>
      <w:marRight w:val="0"/>
      <w:marTop w:val="0"/>
      <w:marBottom w:val="0"/>
      <w:divBdr>
        <w:top w:val="none" w:sz="0" w:space="0" w:color="auto"/>
        <w:left w:val="none" w:sz="0" w:space="0" w:color="auto"/>
        <w:bottom w:val="none" w:sz="0" w:space="0" w:color="auto"/>
        <w:right w:val="none" w:sz="0" w:space="0" w:color="auto"/>
      </w:divBdr>
    </w:div>
    <w:div w:id="1066076013">
      <w:bodyDiv w:val="1"/>
      <w:marLeft w:val="0"/>
      <w:marRight w:val="0"/>
      <w:marTop w:val="0"/>
      <w:marBottom w:val="0"/>
      <w:divBdr>
        <w:top w:val="none" w:sz="0" w:space="0" w:color="auto"/>
        <w:left w:val="none" w:sz="0" w:space="0" w:color="auto"/>
        <w:bottom w:val="none" w:sz="0" w:space="0" w:color="auto"/>
        <w:right w:val="none" w:sz="0" w:space="0" w:color="auto"/>
      </w:divBdr>
    </w:div>
    <w:div w:id="1066146069">
      <w:bodyDiv w:val="1"/>
      <w:marLeft w:val="0"/>
      <w:marRight w:val="0"/>
      <w:marTop w:val="0"/>
      <w:marBottom w:val="0"/>
      <w:divBdr>
        <w:top w:val="none" w:sz="0" w:space="0" w:color="auto"/>
        <w:left w:val="none" w:sz="0" w:space="0" w:color="auto"/>
        <w:bottom w:val="none" w:sz="0" w:space="0" w:color="auto"/>
        <w:right w:val="none" w:sz="0" w:space="0" w:color="auto"/>
      </w:divBdr>
    </w:div>
    <w:div w:id="1066219280">
      <w:bodyDiv w:val="1"/>
      <w:marLeft w:val="0"/>
      <w:marRight w:val="0"/>
      <w:marTop w:val="0"/>
      <w:marBottom w:val="0"/>
      <w:divBdr>
        <w:top w:val="none" w:sz="0" w:space="0" w:color="auto"/>
        <w:left w:val="none" w:sz="0" w:space="0" w:color="auto"/>
        <w:bottom w:val="none" w:sz="0" w:space="0" w:color="auto"/>
        <w:right w:val="none" w:sz="0" w:space="0" w:color="auto"/>
      </w:divBdr>
    </w:div>
    <w:div w:id="1066223019">
      <w:bodyDiv w:val="1"/>
      <w:marLeft w:val="0"/>
      <w:marRight w:val="0"/>
      <w:marTop w:val="0"/>
      <w:marBottom w:val="0"/>
      <w:divBdr>
        <w:top w:val="none" w:sz="0" w:space="0" w:color="auto"/>
        <w:left w:val="none" w:sz="0" w:space="0" w:color="auto"/>
        <w:bottom w:val="none" w:sz="0" w:space="0" w:color="auto"/>
        <w:right w:val="none" w:sz="0" w:space="0" w:color="auto"/>
      </w:divBdr>
    </w:div>
    <w:div w:id="1066223948">
      <w:bodyDiv w:val="1"/>
      <w:marLeft w:val="0"/>
      <w:marRight w:val="0"/>
      <w:marTop w:val="0"/>
      <w:marBottom w:val="0"/>
      <w:divBdr>
        <w:top w:val="none" w:sz="0" w:space="0" w:color="auto"/>
        <w:left w:val="none" w:sz="0" w:space="0" w:color="auto"/>
        <w:bottom w:val="none" w:sz="0" w:space="0" w:color="auto"/>
        <w:right w:val="none" w:sz="0" w:space="0" w:color="auto"/>
      </w:divBdr>
    </w:div>
    <w:div w:id="1066224764">
      <w:bodyDiv w:val="1"/>
      <w:marLeft w:val="0"/>
      <w:marRight w:val="0"/>
      <w:marTop w:val="0"/>
      <w:marBottom w:val="0"/>
      <w:divBdr>
        <w:top w:val="none" w:sz="0" w:space="0" w:color="auto"/>
        <w:left w:val="none" w:sz="0" w:space="0" w:color="auto"/>
        <w:bottom w:val="none" w:sz="0" w:space="0" w:color="auto"/>
        <w:right w:val="none" w:sz="0" w:space="0" w:color="auto"/>
      </w:divBdr>
    </w:div>
    <w:div w:id="1066298677">
      <w:bodyDiv w:val="1"/>
      <w:marLeft w:val="0"/>
      <w:marRight w:val="0"/>
      <w:marTop w:val="0"/>
      <w:marBottom w:val="0"/>
      <w:divBdr>
        <w:top w:val="none" w:sz="0" w:space="0" w:color="auto"/>
        <w:left w:val="none" w:sz="0" w:space="0" w:color="auto"/>
        <w:bottom w:val="none" w:sz="0" w:space="0" w:color="auto"/>
        <w:right w:val="none" w:sz="0" w:space="0" w:color="auto"/>
      </w:divBdr>
    </w:div>
    <w:div w:id="1066300374">
      <w:bodyDiv w:val="1"/>
      <w:marLeft w:val="0"/>
      <w:marRight w:val="0"/>
      <w:marTop w:val="0"/>
      <w:marBottom w:val="0"/>
      <w:divBdr>
        <w:top w:val="none" w:sz="0" w:space="0" w:color="auto"/>
        <w:left w:val="none" w:sz="0" w:space="0" w:color="auto"/>
        <w:bottom w:val="none" w:sz="0" w:space="0" w:color="auto"/>
        <w:right w:val="none" w:sz="0" w:space="0" w:color="auto"/>
      </w:divBdr>
    </w:div>
    <w:div w:id="1066340899">
      <w:bodyDiv w:val="1"/>
      <w:marLeft w:val="0"/>
      <w:marRight w:val="0"/>
      <w:marTop w:val="0"/>
      <w:marBottom w:val="0"/>
      <w:divBdr>
        <w:top w:val="none" w:sz="0" w:space="0" w:color="auto"/>
        <w:left w:val="none" w:sz="0" w:space="0" w:color="auto"/>
        <w:bottom w:val="none" w:sz="0" w:space="0" w:color="auto"/>
        <w:right w:val="none" w:sz="0" w:space="0" w:color="auto"/>
      </w:divBdr>
    </w:div>
    <w:div w:id="1066492479">
      <w:bodyDiv w:val="1"/>
      <w:marLeft w:val="0"/>
      <w:marRight w:val="0"/>
      <w:marTop w:val="0"/>
      <w:marBottom w:val="0"/>
      <w:divBdr>
        <w:top w:val="none" w:sz="0" w:space="0" w:color="auto"/>
        <w:left w:val="none" w:sz="0" w:space="0" w:color="auto"/>
        <w:bottom w:val="none" w:sz="0" w:space="0" w:color="auto"/>
        <w:right w:val="none" w:sz="0" w:space="0" w:color="auto"/>
      </w:divBdr>
    </w:div>
    <w:div w:id="1066534940">
      <w:bodyDiv w:val="1"/>
      <w:marLeft w:val="0"/>
      <w:marRight w:val="0"/>
      <w:marTop w:val="0"/>
      <w:marBottom w:val="0"/>
      <w:divBdr>
        <w:top w:val="none" w:sz="0" w:space="0" w:color="auto"/>
        <w:left w:val="none" w:sz="0" w:space="0" w:color="auto"/>
        <w:bottom w:val="none" w:sz="0" w:space="0" w:color="auto"/>
        <w:right w:val="none" w:sz="0" w:space="0" w:color="auto"/>
      </w:divBdr>
    </w:div>
    <w:div w:id="1066536238">
      <w:bodyDiv w:val="1"/>
      <w:marLeft w:val="0"/>
      <w:marRight w:val="0"/>
      <w:marTop w:val="0"/>
      <w:marBottom w:val="0"/>
      <w:divBdr>
        <w:top w:val="none" w:sz="0" w:space="0" w:color="auto"/>
        <w:left w:val="none" w:sz="0" w:space="0" w:color="auto"/>
        <w:bottom w:val="none" w:sz="0" w:space="0" w:color="auto"/>
        <w:right w:val="none" w:sz="0" w:space="0" w:color="auto"/>
      </w:divBdr>
    </w:div>
    <w:div w:id="1066537400">
      <w:bodyDiv w:val="1"/>
      <w:marLeft w:val="0"/>
      <w:marRight w:val="0"/>
      <w:marTop w:val="0"/>
      <w:marBottom w:val="0"/>
      <w:divBdr>
        <w:top w:val="none" w:sz="0" w:space="0" w:color="auto"/>
        <w:left w:val="none" w:sz="0" w:space="0" w:color="auto"/>
        <w:bottom w:val="none" w:sz="0" w:space="0" w:color="auto"/>
        <w:right w:val="none" w:sz="0" w:space="0" w:color="auto"/>
      </w:divBdr>
    </w:div>
    <w:div w:id="1066609499">
      <w:bodyDiv w:val="1"/>
      <w:marLeft w:val="0"/>
      <w:marRight w:val="0"/>
      <w:marTop w:val="0"/>
      <w:marBottom w:val="0"/>
      <w:divBdr>
        <w:top w:val="none" w:sz="0" w:space="0" w:color="auto"/>
        <w:left w:val="none" w:sz="0" w:space="0" w:color="auto"/>
        <w:bottom w:val="none" w:sz="0" w:space="0" w:color="auto"/>
        <w:right w:val="none" w:sz="0" w:space="0" w:color="auto"/>
      </w:divBdr>
    </w:div>
    <w:div w:id="1066681147">
      <w:bodyDiv w:val="1"/>
      <w:marLeft w:val="0"/>
      <w:marRight w:val="0"/>
      <w:marTop w:val="0"/>
      <w:marBottom w:val="0"/>
      <w:divBdr>
        <w:top w:val="none" w:sz="0" w:space="0" w:color="auto"/>
        <w:left w:val="none" w:sz="0" w:space="0" w:color="auto"/>
        <w:bottom w:val="none" w:sz="0" w:space="0" w:color="auto"/>
        <w:right w:val="none" w:sz="0" w:space="0" w:color="auto"/>
      </w:divBdr>
    </w:div>
    <w:div w:id="1066683748">
      <w:bodyDiv w:val="1"/>
      <w:marLeft w:val="0"/>
      <w:marRight w:val="0"/>
      <w:marTop w:val="0"/>
      <w:marBottom w:val="0"/>
      <w:divBdr>
        <w:top w:val="none" w:sz="0" w:space="0" w:color="auto"/>
        <w:left w:val="none" w:sz="0" w:space="0" w:color="auto"/>
        <w:bottom w:val="none" w:sz="0" w:space="0" w:color="auto"/>
        <w:right w:val="none" w:sz="0" w:space="0" w:color="auto"/>
      </w:divBdr>
    </w:div>
    <w:div w:id="1066730614">
      <w:bodyDiv w:val="1"/>
      <w:marLeft w:val="0"/>
      <w:marRight w:val="0"/>
      <w:marTop w:val="0"/>
      <w:marBottom w:val="0"/>
      <w:divBdr>
        <w:top w:val="none" w:sz="0" w:space="0" w:color="auto"/>
        <w:left w:val="none" w:sz="0" w:space="0" w:color="auto"/>
        <w:bottom w:val="none" w:sz="0" w:space="0" w:color="auto"/>
        <w:right w:val="none" w:sz="0" w:space="0" w:color="auto"/>
      </w:divBdr>
    </w:div>
    <w:div w:id="1066875147">
      <w:bodyDiv w:val="1"/>
      <w:marLeft w:val="0"/>
      <w:marRight w:val="0"/>
      <w:marTop w:val="0"/>
      <w:marBottom w:val="0"/>
      <w:divBdr>
        <w:top w:val="none" w:sz="0" w:space="0" w:color="auto"/>
        <w:left w:val="none" w:sz="0" w:space="0" w:color="auto"/>
        <w:bottom w:val="none" w:sz="0" w:space="0" w:color="auto"/>
        <w:right w:val="none" w:sz="0" w:space="0" w:color="auto"/>
      </w:divBdr>
    </w:div>
    <w:div w:id="1066875165">
      <w:bodyDiv w:val="1"/>
      <w:marLeft w:val="0"/>
      <w:marRight w:val="0"/>
      <w:marTop w:val="0"/>
      <w:marBottom w:val="0"/>
      <w:divBdr>
        <w:top w:val="none" w:sz="0" w:space="0" w:color="auto"/>
        <w:left w:val="none" w:sz="0" w:space="0" w:color="auto"/>
        <w:bottom w:val="none" w:sz="0" w:space="0" w:color="auto"/>
        <w:right w:val="none" w:sz="0" w:space="0" w:color="auto"/>
      </w:divBdr>
    </w:div>
    <w:div w:id="1066956900">
      <w:bodyDiv w:val="1"/>
      <w:marLeft w:val="0"/>
      <w:marRight w:val="0"/>
      <w:marTop w:val="0"/>
      <w:marBottom w:val="0"/>
      <w:divBdr>
        <w:top w:val="none" w:sz="0" w:space="0" w:color="auto"/>
        <w:left w:val="none" w:sz="0" w:space="0" w:color="auto"/>
        <w:bottom w:val="none" w:sz="0" w:space="0" w:color="auto"/>
        <w:right w:val="none" w:sz="0" w:space="0" w:color="auto"/>
      </w:divBdr>
    </w:div>
    <w:div w:id="1066997536">
      <w:bodyDiv w:val="1"/>
      <w:marLeft w:val="0"/>
      <w:marRight w:val="0"/>
      <w:marTop w:val="0"/>
      <w:marBottom w:val="0"/>
      <w:divBdr>
        <w:top w:val="none" w:sz="0" w:space="0" w:color="auto"/>
        <w:left w:val="none" w:sz="0" w:space="0" w:color="auto"/>
        <w:bottom w:val="none" w:sz="0" w:space="0" w:color="auto"/>
        <w:right w:val="none" w:sz="0" w:space="0" w:color="auto"/>
      </w:divBdr>
    </w:div>
    <w:div w:id="1067145061">
      <w:bodyDiv w:val="1"/>
      <w:marLeft w:val="0"/>
      <w:marRight w:val="0"/>
      <w:marTop w:val="0"/>
      <w:marBottom w:val="0"/>
      <w:divBdr>
        <w:top w:val="none" w:sz="0" w:space="0" w:color="auto"/>
        <w:left w:val="none" w:sz="0" w:space="0" w:color="auto"/>
        <w:bottom w:val="none" w:sz="0" w:space="0" w:color="auto"/>
        <w:right w:val="none" w:sz="0" w:space="0" w:color="auto"/>
      </w:divBdr>
    </w:div>
    <w:div w:id="1067267195">
      <w:bodyDiv w:val="1"/>
      <w:marLeft w:val="0"/>
      <w:marRight w:val="0"/>
      <w:marTop w:val="0"/>
      <w:marBottom w:val="0"/>
      <w:divBdr>
        <w:top w:val="none" w:sz="0" w:space="0" w:color="auto"/>
        <w:left w:val="none" w:sz="0" w:space="0" w:color="auto"/>
        <w:bottom w:val="none" w:sz="0" w:space="0" w:color="auto"/>
        <w:right w:val="none" w:sz="0" w:space="0" w:color="auto"/>
      </w:divBdr>
    </w:div>
    <w:div w:id="1067340330">
      <w:bodyDiv w:val="1"/>
      <w:marLeft w:val="0"/>
      <w:marRight w:val="0"/>
      <w:marTop w:val="0"/>
      <w:marBottom w:val="0"/>
      <w:divBdr>
        <w:top w:val="none" w:sz="0" w:space="0" w:color="auto"/>
        <w:left w:val="none" w:sz="0" w:space="0" w:color="auto"/>
        <w:bottom w:val="none" w:sz="0" w:space="0" w:color="auto"/>
        <w:right w:val="none" w:sz="0" w:space="0" w:color="auto"/>
      </w:divBdr>
    </w:div>
    <w:div w:id="1067341895">
      <w:bodyDiv w:val="1"/>
      <w:marLeft w:val="0"/>
      <w:marRight w:val="0"/>
      <w:marTop w:val="0"/>
      <w:marBottom w:val="0"/>
      <w:divBdr>
        <w:top w:val="none" w:sz="0" w:space="0" w:color="auto"/>
        <w:left w:val="none" w:sz="0" w:space="0" w:color="auto"/>
        <w:bottom w:val="none" w:sz="0" w:space="0" w:color="auto"/>
        <w:right w:val="none" w:sz="0" w:space="0" w:color="auto"/>
      </w:divBdr>
    </w:div>
    <w:div w:id="1067344019">
      <w:bodyDiv w:val="1"/>
      <w:marLeft w:val="0"/>
      <w:marRight w:val="0"/>
      <w:marTop w:val="0"/>
      <w:marBottom w:val="0"/>
      <w:divBdr>
        <w:top w:val="none" w:sz="0" w:space="0" w:color="auto"/>
        <w:left w:val="none" w:sz="0" w:space="0" w:color="auto"/>
        <w:bottom w:val="none" w:sz="0" w:space="0" w:color="auto"/>
        <w:right w:val="none" w:sz="0" w:space="0" w:color="auto"/>
      </w:divBdr>
    </w:div>
    <w:div w:id="1067385060">
      <w:bodyDiv w:val="1"/>
      <w:marLeft w:val="0"/>
      <w:marRight w:val="0"/>
      <w:marTop w:val="0"/>
      <w:marBottom w:val="0"/>
      <w:divBdr>
        <w:top w:val="none" w:sz="0" w:space="0" w:color="auto"/>
        <w:left w:val="none" w:sz="0" w:space="0" w:color="auto"/>
        <w:bottom w:val="none" w:sz="0" w:space="0" w:color="auto"/>
        <w:right w:val="none" w:sz="0" w:space="0" w:color="auto"/>
      </w:divBdr>
    </w:div>
    <w:div w:id="1067411154">
      <w:bodyDiv w:val="1"/>
      <w:marLeft w:val="0"/>
      <w:marRight w:val="0"/>
      <w:marTop w:val="0"/>
      <w:marBottom w:val="0"/>
      <w:divBdr>
        <w:top w:val="none" w:sz="0" w:space="0" w:color="auto"/>
        <w:left w:val="none" w:sz="0" w:space="0" w:color="auto"/>
        <w:bottom w:val="none" w:sz="0" w:space="0" w:color="auto"/>
        <w:right w:val="none" w:sz="0" w:space="0" w:color="auto"/>
      </w:divBdr>
    </w:div>
    <w:div w:id="1067612127">
      <w:bodyDiv w:val="1"/>
      <w:marLeft w:val="0"/>
      <w:marRight w:val="0"/>
      <w:marTop w:val="0"/>
      <w:marBottom w:val="0"/>
      <w:divBdr>
        <w:top w:val="none" w:sz="0" w:space="0" w:color="auto"/>
        <w:left w:val="none" w:sz="0" w:space="0" w:color="auto"/>
        <w:bottom w:val="none" w:sz="0" w:space="0" w:color="auto"/>
        <w:right w:val="none" w:sz="0" w:space="0" w:color="auto"/>
      </w:divBdr>
    </w:div>
    <w:div w:id="1067612724">
      <w:bodyDiv w:val="1"/>
      <w:marLeft w:val="0"/>
      <w:marRight w:val="0"/>
      <w:marTop w:val="0"/>
      <w:marBottom w:val="0"/>
      <w:divBdr>
        <w:top w:val="none" w:sz="0" w:space="0" w:color="auto"/>
        <w:left w:val="none" w:sz="0" w:space="0" w:color="auto"/>
        <w:bottom w:val="none" w:sz="0" w:space="0" w:color="auto"/>
        <w:right w:val="none" w:sz="0" w:space="0" w:color="auto"/>
      </w:divBdr>
    </w:div>
    <w:div w:id="1067648831">
      <w:bodyDiv w:val="1"/>
      <w:marLeft w:val="0"/>
      <w:marRight w:val="0"/>
      <w:marTop w:val="0"/>
      <w:marBottom w:val="0"/>
      <w:divBdr>
        <w:top w:val="none" w:sz="0" w:space="0" w:color="auto"/>
        <w:left w:val="none" w:sz="0" w:space="0" w:color="auto"/>
        <w:bottom w:val="none" w:sz="0" w:space="0" w:color="auto"/>
        <w:right w:val="none" w:sz="0" w:space="0" w:color="auto"/>
      </w:divBdr>
    </w:div>
    <w:div w:id="1067654894">
      <w:bodyDiv w:val="1"/>
      <w:marLeft w:val="0"/>
      <w:marRight w:val="0"/>
      <w:marTop w:val="0"/>
      <w:marBottom w:val="0"/>
      <w:divBdr>
        <w:top w:val="none" w:sz="0" w:space="0" w:color="auto"/>
        <w:left w:val="none" w:sz="0" w:space="0" w:color="auto"/>
        <w:bottom w:val="none" w:sz="0" w:space="0" w:color="auto"/>
        <w:right w:val="none" w:sz="0" w:space="0" w:color="auto"/>
      </w:divBdr>
    </w:div>
    <w:div w:id="1067920977">
      <w:bodyDiv w:val="1"/>
      <w:marLeft w:val="0"/>
      <w:marRight w:val="0"/>
      <w:marTop w:val="0"/>
      <w:marBottom w:val="0"/>
      <w:divBdr>
        <w:top w:val="none" w:sz="0" w:space="0" w:color="auto"/>
        <w:left w:val="none" w:sz="0" w:space="0" w:color="auto"/>
        <w:bottom w:val="none" w:sz="0" w:space="0" w:color="auto"/>
        <w:right w:val="none" w:sz="0" w:space="0" w:color="auto"/>
      </w:divBdr>
    </w:div>
    <w:div w:id="1067998309">
      <w:bodyDiv w:val="1"/>
      <w:marLeft w:val="0"/>
      <w:marRight w:val="0"/>
      <w:marTop w:val="0"/>
      <w:marBottom w:val="0"/>
      <w:divBdr>
        <w:top w:val="none" w:sz="0" w:space="0" w:color="auto"/>
        <w:left w:val="none" w:sz="0" w:space="0" w:color="auto"/>
        <w:bottom w:val="none" w:sz="0" w:space="0" w:color="auto"/>
        <w:right w:val="none" w:sz="0" w:space="0" w:color="auto"/>
      </w:divBdr>
    </w:div>
    <w:div w:id="1068041961">
      <w:bodyDiv w:val="1"/>
      <w:marLeft w:val="0"/>
      <w:marRight w:val="0"/>
      <w:marTop w:val="0"/>
      <w:marBottom w:val="0"/>
      <w:divBdr>
        <w:top w:val="none" w:sz="0" w:space="0" w:color="auto"/>
        <w:left w:val="none" w:sz="0" w:space="0" w:color="auto"/>
        <w:bottom w:val="none" w:sz="0" w:space="0" w:color="auto"/>
        <w:right w:val="none" w:sz="0" w:space="0" w:color="auto"/>
      </w:divBdr>
    </w:div>
    <w:div w:id="1068108622">
      <w:bodyDiv w:val="1"/>
      <w:marLeft w:val="0"/>
      <w:marRight w:val="0"/>
      <w:marTop w:val="0"/>
      <w:marBottom w:val="0"/>
      <w:divBdr>
        <w:top w:val="none" w:sz="0" w:space="0" w:color="auto"/>
        <w:left w:val="none" w:sz="0" w:space="0" w:color="auto"/>
        <w:bottom w:val="none" w:sz="0" w:space="0" w:color="auto"/>
        <w:right w:val="none" w:sz="0" w:space="0" w:color="auto"/>
      </w:divBdr>
    </w:div>
    <w:div w:id="1068111141">
      <w:bodyDiv w:val="1"/>
      <w:marLeft w:val="0"/>
      <w:marRight w:val="0"/>
      <w:marTop w:val="0"/>
      <w:marBottom w:val="0"/>
      <w:divBdr>
        <w:top w:val="none" w:sz="0" w:space="0" w:color="auto"/>
        <w:left w:val="none" w:sz="0" w:space="0" w:color="auto"/>
        <w:bottom w:val="none" w:sz="0" w:space="0" w:color="auto"/>
        <w:right w:val="none" w:sz="0" w:space="0" w:color="auto"/>
      </w:divBdr>
    </w:div>
    <w:div w:id="1068113472">
      <w:bodyDiv w:val="1"/>
      <w:marLeft w:val="0"/>
      <w:marRight w:val="0"/>
      <w:marTop w:val="0"/>
      <w:marBottom w:val="0"/>
      <w:divBdr>
        <w:top w:val="none" w:sz="0" w:space="0" w:color="auto"/>
        <w:left w:val="none" w:sz="0" w:space="0" w:color="auto"/>
        <w:bottom w:val="none" w:sz="0" w:space="0" w:color="auto"/>
        <w:right w:val="none" w:sz="0" w:space="0" w:color="auto"/>
      </w:divBdr>
    </w:div>
    <w:div w:id="1068117147">
      <w:bodyDiv w:val="1"/>
      <w:marLeft w:val="0"/>
      <w:marRight w:val="0"/>
      <w:marTop w:val="0"/>
      <w:marBottom w:val="0"/>
      <w:divBdr>
        <w:top w:val="none" w:sz="0" w:space="0" w:color="auto"/>
        <w:left w:val="none" w:sz="0" w:space="0" w:color="auto"/>
        <w:bottom w:val="none" w:sz="0" w:space="0" w:color="auto"/>
        <w:right w:val="none" w:sz="0" w:space="0" w:color="auto"/>
      </w:divBdr>
    </w:div>
    <w:div w:id="1068118121">
      <w:bodyDiv w:val="1"/>
      <w:marLeft w:val="0"/>
      <w:marRight w:val="0"/>
      <w:marTop w:val="0"/>
      <w:marBottom w:val="0"/>
      <w:divBdr>
        <w:top w:val="none" w:sz="0" w:space="0" w:color="auto"/>
        <w:left w:val="none" w:sz="0" w:space="0" w:color="auto"/>
        <w:bottom w:val="none" w:sz="0" w:space="0" w:color="auto"/>
        <w:right w:val="none" w:sz="0" w:space="0" w:color="auto"/>
      </w:divBdr>
    </w:div>
    <w:div w:id="1068260889">
      <w:bodyDiv w:val="1"/>
      <w:marLeft w:val="0"/>
      <w:marRight w:val="0"/>
      <w:marTop w:val="0"/>
      <w:marBottom w:val="0"/>
      <w:divBdr>
        <w:top w:val="none" w:sz="0" w:space="0" w:color="auto"/>
        <w:left w:val="none" w:sz="0" w:space="0" w:color="auto"/>
        <w:bottom w:val="none" w:sz="0" w:space="0" w:color="auto"/>
        <w:right w:val="none" w:sz="0" w:space="0" w:color="auto"/>
      </w:divBdr>
    </w:div>
    <w:div w:id="1068309368">
      <w:bodyDiv w:val="1"/>
      <w:marLeft w:val="0"/>
      <w:marRight w:val="0"/>
      <w:marTop w:val="0"/>
      <w:marBottom w:val="0"/>
      <w:divBdr>
        <w:top w:val="none" w:sz="0" w:space="0" w:color="auto"/>
        <w:left w:val="none" w:sz="0" w:space="0" w:color="auto"/>
        <w:bottom w:val="none" w:sz="0" w:space="0" w:color="auto"/>
        <w:right w:val="none" w:sz="0" w:space="0" w:color="auto"/>
      </w:divBdr>
    </w:div>
    <w:div w:id="1068377928">
      <w:bodyDiv w:val="1"/>
      <w:marLeft w:val="0"/>
      <w:marRight w:val="0"/>
      <w:marTop w:val="0"/>
      <w:marBottom w:val="0"/>
      <w:divBdr>
        <w:top w:val="none" w:sz="0" w:space="0" w:color="auto"/>
        <w:left w:val="none" w:sz="0" w:space="0" w:color="auto"/>
        <w:bottom w:val="none" w:sz="0" w:space="0" w:color="auto"/>
        <w:right w:val="none" w:sz="0" w:space="0" w:color="auto"/>
      </w:divBdr>
    </w:div>
    <w:div w:id="1068386269">
      <w:bodyDiv w:val="1"/>
      <w:marLeft w:val="0"/>
      <w:marRight w:val="0"/>
      <w:marTop w:val="0"/>
      <w:marBottom w:val="0"/>
      <w:divBdr>
        <w:top w:val="none" w:sz="0" w:space="0" w:color="auto"/>
        <w:left w:val="none" w:sz="0" w:space="0" w:color="auto"/>
        <w:bottom w:val="none" w:sz="0" w:space="0" w:color="auto"/>
        <w:right w:val="none" w:sz="0" w:space="0" w:color="auto"/>
      </w:divBdr>
    </w:div>
    <w:div w:id="1068502814">
      <w:bodyDiv w:val="1"/>
      <w:marLeft w:val="0"/>
      <w:marRight w:val="0"/>
      <w:marTop w:val="0"/>
      <w:marBottom w:val="0"/>
      <w:divBdr>
        <w:top w:val="none" w:sz="0" w:space="0" w:color="auto"/>
        <w:left w:val="none" w:sz="0" w:space="0" w:color="auto"/>
        <w:bottom w:val="none" w:sz="0" w:space="0" w:color="auto"/>
        <w:right w:val="none" w:sz="0" w:space="0" w:color="auto"/>
      </w:divBdr>
    </w:div>
    <w:div w:id="1068573469">
      <w:bodyDiv w:val="1"/>
      <w:marLeft w:val="0"/>
      <w:marRight w:val="0"/>
      <w:marTop w:val="0"/>
      <w:marBottom w:val="0"/>
      <w:divBdr>
        <w:top w:val="none" w:sz="0" w:space="0" w:color="auto"/>
        <w:left w:val="none" w:sz="0" w:space="0" w:color="auto"/>
        <w:bottom w:val="none" w:sz="0" w:space="0" w:color="auto"/>
        <w:right w:val="none" w:sz="0" w:space="0" w:color="auto"/>
      </w:divBdr>
    </w:div>
    <w:div w:id="1068698174">
      <w:bodyDiv w:val="1"/>
      <w:marLeft w:val="0"/>
      <w:marRight w:val="0"/>
      <w:marTop w:val="0"/>
      <w:marBottom w:val="0"/>
      <w:divBdr>
        <w:top w:val="none" w:sz="0" w:space="0" w:color="auto"/>
        <w:left w:val="none" w:sz="0" w:space="0" w:color="auto"/>
        <w:bottom w:val="none" w:sz="0" w:space="0" w:color="auto"/>
        <w:right w:val="none" w:sz="0" w:space="0" w:color="auto"/>
      </w:divBdr>
    </w:div>
    <w:div w:id="1068726463">
      <w:bodyDiv w:val="1"/>
      <w:marLeft w:val="0"/>
      <w:marRight w:val="0"/>
      <w:marTop w:val="0"/>
      <w:marBottom w:val="0"/>
      <w:divBdr>
        <w:top w:val="none" w:sz="0" w:space="0" w:color="auto"/>
        <w:left w:val="none" w:sz="0" w:space="0" w:color="auto"/>
        <w:bottom w:val="none" w:sz="0" w:space="0" w:color="auto"/>
        <w:right w:val="none" w:sz="0" w:space="0" w:color="auto"/>
      </w:divBdr>
    </w:div>
    <w:div w:id="1068772560">
      <w:bodyDiv w:val="1"/>
      <w:marLeft w:val="0"/>
      <w:marRight w:val="0"/>
      <w:marTop w:val="0"/>
      <w:marBottom w:val="0"/>
      <w:divBdr>
        <w:top w:val="none" w:sz="0" w:space="0" w:color="auto"/>
        <w:left w:val="none" w:sz="0" w:space="0" w:color="auto"/>
        <w:bottom w:val="none" w:sz="0" w:space="0" w:color="auto"/>
        <w:right w:val="none" w:sz="0" w:space="0" w:color="auto"/>
      </w:divBdr>
    </w:div>
    <w:div w:id="1068844406">
      <w:bodyDiv w:val="1"/>
      <w:marLeft w:val="0"/>
      <w:marRight w:val="0"/>
      <w:marTop w:val="0"/>
      <w:marBottom w:val="0"/>
      <w:divBdr>
        <w:top w:val="none" w:sz="0" w:space="0" w:color="auto"/>
        <w:left w:val="none" w:sz="0" w:space="0" w:color="auto"/>
        <w:bottom w:val="none" w:sz="0" w:space="0" w:color="auto"/>
        <w:right w:val="none" w:sz="0" w:space="0" w:color="auto"/>
      </w:divBdr>
    </w:div>
    <w:div w:id="1068847206">
      <w:bodyDiv w:val="1"/>
      <w:marLeft w:val="0"/>
      <w:marRight w:val="0"/>
      <w:marTop w:val="0"/>
      <w:marBottom w:val="0"/>
      <w:divBdr>
        <w:top w:val="none" w:sz="0" w:space="0" w:color="auto"/>
        <w:left w:val="none" w:sz="0" w:space="0" w:color="auto"/>
        <w:bottom w:val="none" w:sz="0" w:space="0" w:color="auto"/>
        <w:right w:val="none" w:sz="0" w:space="0" w:color="auto"/>
      </w:divBdr>
    </w:div>
    <w:div w:id="1069041881">
      <w:bodyDiv w:val="1"/>
      <w:marLeft w:val="0"/>
      <w:marRight w:val="0"/>
      <w:marTop w:val="0"/>
      <w:marBottom w:val="0"/>
      <w:divBdr>
        <w:top w:val="none" w:sz="0" w:space="0" w:color="auto"/>
        <w:left w:val="none" w:sz="0" w:space="0" w:color="auto"/>
        <w:bottom w:val="none" w:sz="0" w:space="0" w:color="auto"/>
        <w:right w:val="none" w:sz="0" w:space="0" w:color="auto"/>
      </w:divBdr>
    </w:div>
    <w:div w:id="1069231241">
      <w:bodyDiv w:val="1"/>
      <w:marLeft w:val="0"/>
      <w:marRight w:val="0"/>
      <w:marTop w:val="0"/>
      <w:marBottom w:val="0"/>
      <w:divBdr>
        <w:top w:val="none" w:sz="0" w:space="0" w:color="auto"/>
        <w:left w:val="none" w:sz="0" w:space="0" w:color="auto"/>
        <w:bottom w:val="none" w:sz="0" w:space="0" w:color="auto"/>
        <w:right w:val="none" w:sz="0" w:space="0" w:color="auto"/>
      </w:divBdr>
    </w:div>
    <w:div w:id="1069310588">
      <w:bodyDiv w:val="1"/>
      <w:marLeft w:val="0"/>
      <w:marRight w:val="0"/>
      <w:marTop w:val="0"/>
      <w:marBottom w:val="0"/>
      <w:divBdr>
        <w:top w:val="none" w:sz="0" w:space="0" w:color="auto"/>
        <w:left w:val="none" w:sz="0" w:space="0" w:color="auto"/>
        <w:bottom w:val="none" w:sz="0" w:space="0" w:color="auto"/>
        <w:right w:val="none" w:sz="0" w:space="0" w:color="auto"/>
      </w:divBdr>
    </w:div>
    <w:div w:id="1069381622">
      <w:bodyDiv w:val="1"/>
      <w:marLeft w:val="0"/>
      <w:marRight w:val="0"/>
      <w:marTop w:val="0"/>
      <w:marBottom w:val="0"/>
      <w:divBdr>
        <w:top w:val="none" w:sz="0" w:space="0" w:color="auto"/>
        <w:left w:val="none" w:sz="0" w:space="0" w:color="auto"/>
        <w:bottom w:val="none" w:sz="0" w:space="0" w:color="auto"/>
        <w:right w:val="none" w:sz="0" w:space="0" w:color="auto"/>
      </w:divBdr>
    </w:div>
    <w:div w:id="1069615924">
      <w:bodyDiv w:val="1"/>
      <w:marLeft w:val="0"/>
      <w:marRight w:val="0"/>
      <w:marTop w:val="0"/>
      <w:marBottom w:val="0"/>
      <w:divBdr>
        <w:top w:val="none" w:sz="0" w:space="0" w:color="auto"/>
        <w:left w:val="none" w:sz="0" w:space="0" w:color="auto"/>
        <w:bottom w:val="none" w:sz="0" w:space="0" w:color="auto"/>
        <w:right w:val="none" w:sz="0" w:space="0" w:color="auto"/>
      </w:divBdr>
    </w:div>
    <w:div w:id="1069691145">
      <w:bodyDiv w:val="1"/>
      <w:marLeft w:val="0"/>
      <w:marRight w:val="0"/>
      <w:marTop w:val="0"/>
      <w:marBottom w:val="0"/>
      <w:divBdr>
        <w:top w:val="none" w:sz="0" w:space="0" w:color="auto"/>
        <w:left w:val="none" w:sz="0" w:space="0" w:color="auto"/>
        <w:bottom w:val="none" w:sz="0" w:space="0" w:color="auto"/>
        <w:right w:val="none" w:sz="0" w:space="0" w:color="auto"/>
      </w:divBdr>
    </w:div>
    <w:div w:id="1069696841">
      <w:bodyDiv w:val="1"/>
      <w:marLeft w:val="0"/>
      <w:marRight w:val="0"/>
      <w:marTop w:val="0"/>
      <w:marBottom w:val="0"/>
      <w:divBdr>
        <w:top w:val="none" w:sz="0" w:space="0" w:color="auto"/>
        <w:left w:val="none" w:sz="0" w:space="0" w:color="auto"/>
        <w:bottom w:val="none" w:sz="0" w:space="0" w:color="auto"/>
        <w:right w:val="none" w:sz="0" w:space="0" w:color="auto"/>
      </w:divBdr>
    </w:div>
    <w:div w:id="1069959352">
      <w:bodyDiv w:val="1"/>
      <w:marLeft w:val="0"/>
      <w:marRight w:val="0"/>
      <w:marTop w:val="0"/>
      <w:marBottom w:val="0"/>
      <w:divBdr>
        <w:top w:val="none" w:sz="0" w:space="0" w:color="auto"/>
        <w:left w:val="none" w:sz="0" w:space="0" w:color="auto"/>
        <w:bottom w:val="none" w:sz="0" w:space="0" w:color="auto"/>
        <w:right w:val="none" w:sz="0" w:space="0" w:color="auto"/>
      </w:divBdr>
    </w:div>
    <w:div w:id="1069964305">
      <w:bodyDiv w:val="1"/>
      <w:marLeft w:val="0"/>
      <w:marRight w:val="0"/>
      <w:marTop w:val="0"/>
      <w:marBottom w:val="0"/>
      <w:divBdr>
        <w:top w:val="none" w:sz="0" w:space="0" w:color="auto"/>
        <w:left w:val="none" w:sz="0" w:space="0" w:color="auto"/>
        <w:bottom w:val="none" w:sz="0" w:space="0" w:color="auto"/>
        <w:right w:val="none" w:sz="0" w:space="0" w:color="auto"/>
      </w:divBdr>
    </w:div>
    <w:div w:id="1069966124">
      <w:bodyDiv w:val="1"/>
      <w:marLeft w:val="0"/>
      <w:marRight w:val="0"/>
      <w:marTop w:val="0"/>
      <w:marBottom w:val="0"/>
      <w:divBdr>
        <w:top w:val="none" w:sz="0" w:space="0" w:color="auto"/>
        <w:left w:val="none" w:sz="0" w:space="0" w:color="auto"/>
        <w:bottom w:val="none" w:sz="0" w:space="0" w:color="auto"/>
        <w:right w:val="none" w:sz="0" w:space="0" w:color="auto"/>
      </w:divBdr>
    </w:div>
    <w:div w:id="1070008193">
      <w:bodyDiv w:val="1"/>
      <w:marLeft w:val="0"/>
      <w:marRight w:val="0"/>
      <w:marTop w:val="0"/>
      <w:marBottom w:val="0"/>
      <w:divBdr>
        <w:top w:val="none" w:sz="0" w:space="0" w:color="auto"/>
        <w:left w:val="none" w:sz="0" w:space="0" w:color="auto"/>
        <w:bottom w:val="none" w:sz="0" w:space="0" w:color="auto"/>
        <w:right w:val="none" w:sz="0" w:space="0" w:color="auto"/>
      </w:divBdr>
    </w:div>
    <w:div w:id="1070008751">
      <w:bodyDiv w:val="1"/>
      <w:marLeft w:val="0"/>
      <w:marRight w:val="0"/>
      <w:marTop w:val="0"/>
      <w:marBottom w:val="0"/>
      <w:divBdr>
        <w:top w:val="none" w:sz="0" w:space="0" w:color="auto"/>
        <w:left w:val="none" w:sz="0" w:space="0" w:color="auto"/>
        <w:bottom w:val="none" w:sz="0" w:space="0" w:color="auto"/>
        <w:right w:val="none" w:sz="0" w:space="0" w:color="auto"/>
      </w:divBdr>
    </w:div>
    <w:div w:id="1070271918">
      <w:bodyDiv w:val="1"/>
      <w:marLeft w:val="0"/>
      <w:marRight w:val="0"/>
      <w:marTop w:val="0"/>
      <w:marBottom w:val="0"/>
      <w:divBdr>
        <w:top w:val="none" w:sz="0" w:space="0" w:color="auto"/>
        <w:left w:val="none" w:sz="0" w:space="0" w:color="auto"/>
        <w:bottom w:val="none" w:sz="0" w:space="0" w:color="auto"/>
        <w:right w:val="none" w:sz="0" w:space="0" w:color="auto"/>
      </w:divBdr>
    </w:div>
    <w:div w:id="1070277118">
      <w:bodyDiv w:val="1"/>
      <w:marLeft w:val="0"/>
      <w:marRight w:val="0"/>
      <w:marTop w:val="0"/>
      <w:marBottom w:val="0"/>
      <w:divBdr>
        <w:top w:val="none" w:sz="0" w:space="0" w:color="auto"/>
        <w:left w:val="none" w:sz="0" w:space="0" w:color="auto"/>
        <w:bottom w:val="none" w:sz="0" w:space="0" w:color="auto"/>
        <w:right w:val="none" w:sz="0" w:space="0" w:color="auto"/>
      </w:divBdr>
    </w:div>
    <w:div w:id="1070350512">
      <w:bodyDiv w:val="1"/>
      <w:marLeft w:val="0"/>
      <w:marRight w:val="0"/>
      <w:marTop w:val="0"/>
      <w:marBottom w:val="0"/>
      <w:divBdr>
        <w:top w:val="none" w:sz="0" w:space="0" w:color="auto"/>
        <w:left w:val="none" w:sz="0" w:space="0" w:color="auto"/>
        <w:bottom w:val="none" w:sz="0" w:space="0" w:color="auto"/>
        <w:right w:val="none" w:sz="0" w:space="0" w:color="auto"/>
      </w:divBdr>
    </w:div>
    <w:div w:id="1070419096">
      <w:bodyDiv w:val="1"/>
      <w:marLeft w:val="0"/>
      <w:marRight w:val="0"/>
      <w:marTop w:val="0"/>
      <w:marBottom w:val="0"/>
      <w:divBdr>
        <w:top w:val="none" w:sz="0" w:space="0" w:color="auto"/>
        <w:left w:val="none" w:sz="0" w:space="0" w:color="auto"/>
        <w:bottom w:val="none" w:sz="0" w:space="0" w:color="auto"/>
        <w:right w:val="none" w:sz="0" w:space="0" w:color="auto"/>
      </w:divBdr>
    </w:div>
    <w:div w:id="1070421743">
      <w:bodyDiv w:val="1"/>
      <w:marLeft w:val="0"/>
      <w:marRight w:val="0"/>
      <w:marTop w:val="0"/>
      <w:marBottom w:val="0"/>
      <w:divBdr>
        <w:top w:val="none" w:sz="0" w:space="0" w:color="auto"/>
        <w:left w:val="none" w:sz="0" w:space="0" w:color="auto"/>
        <w:bottom w:val="none" w:sz="0" w:space="0" w:color="auto"/>
        <w:right w:val="none" w:sz="0" w:space="0" w:color="auto"/>
      </w:divBdr>
    </w:div>
    <w:div w:id="1070427647">
      <w:bodyDiv w:val="1"/>
      <w:marLeft w:val="0"/>
      <w:marRight w:val="0"/>
      <w:marTop w:val="0"/>
      <w:marBottom w:val="0"/>
      <w:divBdr>
        <w:top w:val="none" w:sz="0" w:space="0" w:color="auto"/>
        <w:left w:val="none" w:sz="0" w:space="0" w:color="auto"/>
        <w:bottom w:val="none" w:sz="0" w:space="0" w:color="auto"/>
        <w:right w:val="none" w:sz="0" w:space="0" w:color="auto"/>
      </w:divBdr>
    </w:div>
    <w:div w:id="1070470254">
      <w:bodyDiv w:val="1"/>
      <w:marLeft w:val="0"/>
      <w:marRight w:val="0"/>
      <w:marTop w:val="0"/>
      <w:marBottom w:val="0"/>
      <w:divBdr>
        <w:top w:val="none" w:sz="0" w:space="0" w:color="auto"/>
        <w:left w:val="none" w:sz="0" w:space="0" w:color="auto"/>
        <w:bottom w:val="none" w:sz="0" w:space="0" w:color="auto"/>
        <w:right w:val="none" w:sz="0" w:space="0" w:color="auto"/>
      </w:divBdr>
    </w:div>
    <w:div w:id="1070539538">
      <w:bodyDiv w:val="1"/>
      <w:marLeft w:val="0"/>
      <w:marRight w:val="0"/>
      <w:marTop w:val="0"/>
      <w:marBottom w:val="0"/>
      <w:divBdr>
        <w:top w:val="none" w:sz="0" w:space="0" w:color="auto"/>
        <w:left w:val="none" w:sz="0" w:space="0" w:color="auto"/>
        <w:bottom w:val="none" w:sz="0" w:space="0" w:color="auto"/>
        <w:right w:val="none" w:sz="0" w:space="0" w:color="auto"/>
      </w:divBdr>
    </w:div>
    <w:div w:id="1070739005">
      <w:bodyDiv w:val="1"/>
      <w:marLeft w:val="0"/>
      <w:marRight w:val="0"/>
      <w:marTop w:val="0"/>
      <w:marBottom w:val="0"/>
      <w:divBdr>
        <w:top w:val="none" w:sz="0" w:space="0" w:color="auto"/>
        <w:left w:val="none" w:sz="0" w:space="0" w:color="auto"/>
        <w:bottom w:val="none" w:sz="0" w:space="0" w:color="auto"/>
        <w:right w:val="none" w:sz="0" w:space="0" w:color="auto"/>
      </w:divBdr>
    </w:div>
    <w:div w:id="1070809394">
      <w:bodyDiv w:val="1"/>
      <w:marLeft w:val="0"/>
      <w:marRight w:val="0"/>
      <w:marTop w:val="0"/>
      <w:marBottom w:val="0"/>
      <w:divBdr>
        <w:top w:val="none" w:sz="0" w:space="0" w:color="auto"/>
        <w:left w:val="none" w:sz="0" w:space="0" w:color="auto"/>
        <w:bottom w:val="none" w:sz="0" w:space="0" w:color="auto"/>
        <w:right w:val="none" w:sz="0" w:space="0" w:color="auto"/>
      </w:divBdr>
    </w:div>
    <w:div w:id="1070882832">
      <w:bodyDiv w:val="1"/>
      <w:marLeft w:val="0"/>
      <w:marRight w:val="0"/>
      <w:marTop w:val="0"/>
      <w:marBottom w:val="0"/>
      <w:divBdr>
        <w:top w:val="none" w:sz="0" w:space="0" w:color="auto"/>
        <w:left w:val="none" w:sz="0" w:space="0" w:color="auto"/>
        <w:bottom w:val="none" w:sz="0" w:space="0" w:color="auto"/>
        <w:right w:val="none" w:sz="0" w:space="0" w:color="auto"/>
      </w:divBdr>
    </w:div>
    <w:div w:id="1071152142">
      <w:bodyDiv w:val="1"/>
      <w:marLeft w:val="0"/>
      <w:marRight w:val="0"/>
      <w:marTop w:val="0"/>
      <w:marBottom w:val="0"/>
      <w:divBdr>
        <w:top w:val="none" w:sz="0" w:space="0" w:color="auto"/>
        <w:left w:val="none" w:sz="0" w:space="0" w:color="auto"/>
        <w:bottom w:val="none" w:sz="0" w:space="0" w:color="auto"/>
        <w:right w:val="none" w:sz="0" w:space="0" w:color="auto"/>
      </w:divBdr>
    </w:div>
    <w:div w:id="1071273697">
      <w:bodyDiv w:val="1"/>
      <w:marLeft w:val="0"/>
      <w:marRight w:val="0"/>
      <w:marTop w:val="0"/>
      <w:marBottom w:val="0"/>
      <w:divBdr>
        <w:top w:val="none" w:sz="0" w:space="0" w:color="auto"/>
        <w:left w:val="none" w:sz="0" w:space="0" w:color="auto"/>
        <w:bottom w:val="none" w:sz="0" w:space="0" w:color="auto"/>
        <w:right w:val="none" w:sz="0" w:space="0" w:color="auto"/>
      </w:divBdr>
    </w:div>
    <w:div w:id="1071318571">
      <w:bodyDiv w:val="1"/>
      <w:marLeft w:val="0"/>
      <w:marRight w:val="0"/>
      <w:marTop w:val="0"/>
      <w:marBottom w:val="0"/>
      <w:divBdr>
        <w:top w:val="none" w:sz="0" w:space="0" w:color="auto"/>
        <w:left w:val="none" w:sz="0" w:space="0" w:color="auto"/>
        <w:bottom w:val="none" w:sz="0" w:space="0" w:color="auto"/>
        <w:right w:val="none" w:sz="0" w:space="0" w:color="auto"/>
      </w:divBdr>
    </w:div>
    <w:div w:id="1071393340">
      <w:bodyDiv w:val="1"/>
      <w:marLeft w:val="0"/>
      <w:marRight w:val="0"/>
      <w:marTop w:val="0"/>
      <w:marBottom w:val="0"/>
      <w:divBdr>
        <w:top w:val="none" w:sz="0" w:space="0" w:color="auto"/>
        <w:left w:val="none" w:sz="0" w:space="0" w:color="auto"/>
        <w:bottom w:val="none" w:sz="0" w:space="0" w:color="auto"/>
        <w:right w:val="none" w:sz="0" w:space="0" w:color="auto"/>
      </w:divBdr>
    </w:div>
    <w:div w:id="1071460302">
      <w:bodyDiv w:val="1"/>
      <w:marLeft w:val="0"/>
      <w:marRight w:val="0"/>
      <w:marTop w:val="0"/>
      <w:marBottom w:val="0"/>
      <w:divBdr>
        <w:top w:val="none" w:sz="0" w:space="0" w:color="auto"/>
        <w:left w:val="none" w:sz="0" w:space="0" w:color="auto"/>
        <w:bottom w:val="none" w:sz="0" w:space="0" w:color="auto"/>
        <w:right w:val="none" w:sz="0" w:space="0" w:color="auto"/>
      </w:divBdr>
    </w:div>
    <w:div w:id="1071464057">
      <w:bodyDiv w:val="1"/>
      <w:marLeft w:val="0"/>
      <w:marRight w:val="0"/>
      <w:marTop w:val="0"/>
      <w:marBottom w:val="0"/>
      <w:divBdr>
        <w:top w:val="none" w:sz="0" w:space="0" w:color="auto"/>
        <w:left w:val="none" w:sz="0" w:space="0" w:color="auto"/>
        <w:bottom w:val="none" w:sz="0" w:space="0" w:color="auto"/>
        <w:right w:val="none" w:sz="0" w:space="0" w:color="auto"/>
      </w:divBdr>
    </w:div>
    <w:div w:id="1071542156">
      <w:bodyDiv w:val="1"/>
      <w:marLeft w:val="0"/>
      <w:marRight w:val="0"/>
      <w:marTop w:val="0"/>
      <w:marBottom w:val="0"/>
      <w:divBdr>
        <w:top w:val="none" w:sz="0" w:space="0" w:color="auto"/>
        <w:left w:val="none" w:sz="0" w:space="0" w:color="auto"/>
        <w:bottom w:val="none" w:sz="0" w:space="0" w:color="auto"/>
        <w:right w:val="none" w:sz="0" w:space="0" w:color="auto"/>
      </w:divBdr>
    </w:div>
    <w:div w:id="1071586221">
      <w:bodyDiv w:val="1"/>
      <w:marLeft w:val="0"/>
      <w:marRight w:val="0"/>
      <w:marTop w:val="0"/>
      <w:marBottom w:val="0"/>
      <w:divBdr>
        <w:top w:val="none" w:sz="0" w:space="0" w:color="auto"/>
        <w:left w:val="none" w:sz="0" w:space="0" w:color="auto"/>
        <w:bottom w:val="none" w:sz="0" w:space="0" w:color="auto"/>
        <w:right w:val="none" w:sz="0" w:space="0" w:color="auto"/>
      </w:divBdr>
    </w:div>
    <w:div w:id="1071658905">
      <w:bodyDiv w:val="1"/>
      <w:marLeft w:val="0"/>
      <w:marRight w:val="0"/>
      <w:marTop w:val="0"/>
      <w:marBottom w:val="0"/>
      <w:divBdr>
        <w:top w:val="none" w:sz="0" w:space="0" w:color="auto"/>
        <w:left w:val="none" w:sz="0" w:space="0" w:color="auto"/>
        <w:bottom w:val="none" w:sz="0" w:space="0" w:color="auto"/>
        <w:right w:val="none" w:sz="0" w:space="0" w:color="auto"/>
      </w:divBdr>
    </w:div>
    <w:div w:id="1071660075">
      <w:bodyDiv w:val="1"/>
      <w:marLeft w:val="0"/>
      <w:marRight w:val="0"/>
      <w:marTop w:val="0"/>
      <w:marBottom w:val="0"/>
      <w:divBdr>
        <w:top w:val="none" w:sz="0" w:space="0" w:color="auto"/>
        <w:left w:val="none" w:sz="0" w:space="0" w:color="auto"/>
        <w:bottom w:val="none" w:sz="0" w:space="0" w:color="auto"/>
        <w:right w:val="none" w:sz="0" w:space="0" w:color="auto"/>
      </w:divBdr>
    </w:div>
    <w:div w:id="1071662746">
      <w:bodyDiv w:val="1"/>
      <w:marLeft w:val="0"/>
      <w:marRight w:val="0"/>
      <w:marTop w:val="0"/>
      <w:marBottom w:val="0"/>
      <w:divBdr>
        <w:top w:val="none" w:sz="0" w:space="0" w:color="auto"/>
        <w:left w:val="none" w:sz="0" w:space="0" w:color="auto"/>
        <w:bottom w:val="none" w:sz="0" w:space="0" w:color="auto"/>
        <w:right w:val="none" w:sz="0" w:space="0" w:color="auto"/>
      </w:divBdr>
    </w:div>
    <w:div w:id="1071730119">
      <w:bodyDiv w:val="1"/>
      <w:marLeft w:val="0"/>
      <w:marRight w:val="0"/>
      <w:marTop w:val="0"/>
      <w:marBottom w:val="0"/>
      <w:divBdr>
        <w:top w:val="none" w:sz="0" w:space="0" w:color="auto"/>
        <w:left w:val="none" w:sz="0" w:space="0" w:color="auto"/>
        <w:bottom w:val="none" w:sz="0" w:space="0" w:color="auto"/>
        <w:right w:val="none" w:sz="0" w:space="0" w:color="auto"/>
      </w:divBdr>
    </w:div>
    <w:div w:id="1071732053">
      <w:bodyDiv w:val="1"/>
      <w:marLeft w:val="0"/>
      <w:marRight w:val="0"/>
      <w:marTop w:val="0"/>
      <w:marBottom w:val="0"/>
      <w:divBdr>
        <w:top w:val="none" w:sz="0" w:space="0" w:color="auto"/>
        <w:left w:val="none" w:sz="0" w:space="0" w:color="auto"/>
        <w:bottom w:val="none" w:sz="0" w:space="0" w:color="auto"/>
        <w:right w:val="none" w:sz="0" w:space="0" w:color="auto"/>
      </w:divBdr>
    </w:div>
    <w:div w:id="1071807385">
      <w:bodyDiv w:val="1"/>
      <w:marLeft w:val="0"/>
      <w:marRight w:val="0"/>
      <w:marTop w:val="0"/>
      <w:marBottom w:val="0"/>
      <w:divBdr>
        <w:top w:val="none" w:sz="0" w:space="0" w:color="auto"/>
        <w:left w:val="none" w:sz="0" w:space="0" w:color="auto"/>
        <w:bottom w:val="none" w:sz="0" w:space="0" w:color="auto"/>
        <w:right w:val="none" w:sz="0" w:space="0" w:color="auto"/>
      </w:divBdr>
    </w:div>
    <w:div w:id="1071853495">
      <w:bodyDiv w:val="1"/>
      <w:marLeft w:val="0"/>
      <w:marRight w:val="0"/>
      <w:marTop w:val="0"/>
      <w:marBottom w:val="0"/>
      <w:divBdr>
        <w:top w:val="none" w:sz="0" w:space="0" w:color="auto"/>
        <w:left w:val="none" w:sz="0" w:space="0" w:color="auto"/>
        <w:bottom w:val="none" w:sz="0" w:space="0" w:color="auto"/>
        <w:right w:val="none" w:sz="0" w:space="0" w:color="auto"/>
      </w:divBdr>
    </w:div>
    <w:div w:id="1071998329">
      <w:bodyDiv w:val="1"/>
      <w:marLeft w:val="0"/>
      <w:marRight w:val="0"/>
      <w:marTop w:val="0"/>
      <w:marBottom w:val="0"/>
      <w:divBdr>
        <w:top w:val="none" w:sz="0" w:space="0" w:color="auto"/>
        <w:left w:val="none" w:sz="0" w:space="0" w:color="auto"/>
        <w:bottom w:val="none" w:sz="0" w:space="0" w:color="auto"/>
        <w:right w:val="none" w:sz="0" w:space="0" w:color="auto"/>
      </w:divBdr>
    </w:div>
    <w:div w:id="1072004690">
      <w:bodyDiv w:val="1"/>
      <w:marLeft w:val="0"/>
      <w:marRight w:val="0"/>
      <w:marTop w:val="0"/>
      <w:marBottom w:val="0"/>
      <w:divBdr>
        <w:top w:val="none" w:sz="0" w:space="0" w:color="auto"/>
        <w:left w:val="none" w:sz="0" w:space="0" w:color="auto"/>
        <w:bottom w:val="none" w:sz="0" w:space="0" w:color="auto"/>
        <w:right w:val="none" w:sz="0" w:space="0" w:color="auto"/>
      </w:divBdr>
    </w:div>
    <w:div w:id="1072042664">
      <w:bodyDiv w:val="1"/>
      <w:marLeft w:val="0"/>
      <w:marRight w:val="0"/>
      <w:marTop w:val="0"/>
      <w:marBottom w:val="0"/>
      <w:divBdr>
        <w:top w:val="none" w:sz="0" w:space="0" w:color="auto"/>
        <w:left w:val="none" w:sz="0" w:space="0" w:color="auto"/>
        <w:bottom w:val="none" w:sz="0" w:space="0" w:color="auto"/>
        <w:right w:val="none" w:sz="0" w:space="0" w:color="auto"/>
      </w:divBdr>
    </w:div>
    <w:div w:id="1072122078">
      <w:bodyDiv w:val="1"/>
      <w:marLeft w:val="0"/>
      <w:marRight w:val="0"/>
      <w:marTop w:val="0"/>
      <w:marBottom w:val="0"/>
      <w:divBdr>
        <w:top w:val="none" w:sz="0" w:space="0" w:color="auto"/>
        <w:left w:val="none" w:sz="0" w:space="0" w:color="auto"/>
        <w:bottom w:val="none" w:sz="0" w:space="0" w:color="auto"/>
        <w:right w:val="none" w:sz="0" w:space="0" w:color="auto"/>
      </w:divBdr>
    </w:div>
    <w:div w:id="1072197566">
      <w:bodyDiv w:val="1"/>
      <w:marLeft w:val="0"/>
      <w:marRight w:val="0"/>
      <w:marTop w:val="0"/>
      <w:marBottom w:val="0"/>
      <w:divBdr>
        <w:top w:val="none" w:sz="0" w:space="0" w:color="auto"/>
        <w:left w:val="none" w:sz="0" w:space="0" w:color="auto"/>
        <w:bottom w:val="none" w:sz="0" w:space="0" w:color="auto"/>
        <w:right w:val="none" w:sz="0" w:space="0" w:color="auto"/>
      </w:divBdr>
    </w:div>
    <w:div w:id="1072242638">
      <w:bodyDiv w:val="1"/>
      <w:marLeft w:val="0"/>
      <w:marRight w:val="0"/>
      <w:marTop w:val="0"/>
      <w:marBottom w:val="0"/>
      <w:divBdr>
        <w:top w:val="none" w:sz="0" w:space="0" w:color="auto"/>
        <w:left w:val="none" w:sz="0" w:space="0" w:color="auto"/>
        <w:bottom w:val="none" w:sz="0" w:space="0" w:color="auto"/>
        <w:right w:val="none" w:sz="0" w:space="0" w:color="auto"/>
      </w:divBdr>
    </w:div>
    <w:div w:id="1072311252">
      <w:bodyDiv w:val="1"/>
      <w:marLeft w:val="0"/>
      <w:marRight w:val="0"/>
      <w:marTop w:val="0"/>
      <w:marBottom w:val="0"/>
      <w:divBdr>
        <w:top w:val="none" w:sz="0" w:space="0" w:color="auto"/>
        <w:left w:val="none" w:sz="0" w:space="0" w:color="auto"/>
        <w:bottom w:val="none" w:sz="0" w:space="0" w:color="auto"/>
        <w:right w:val="none" w:sz="0" w:space="0" w:color="auto"/>
      </w:divBdr>
    </w:div>
    <w:div w:id="1072653523">
      <w:bodyDiv w:val="1"/>
      <w:marLeft w:val="0"/>
      <w:marRight w:val="0"/>
      <w:marTop w:val="0"/>
      <w:marBottom w:val="0"/>
      <w:divBdr>
        <w:top w:val="none" w:sz="0" w:space="0" w:color="auto"/>
        <w:left w:val="none" w:sz="0" w:space="0" w:color="auto"/>
        <w:bottom w:val="none" w:sz="0" w:space="0" w:color="auto"/>
        <w:right w:val="none" w:sz="0" w:space="0" w:color="auto"/>
      </w:divBdr>
    </w:div>
    <w:div w:id="1072653794">
      <w:bodyDiv w:val="1"/>
      <w:marLeft w:val="0"/>
      <w:marRight w:val="0"/>
      <w:marTop w:val="0"/>
      <w:marBottom w:val="0"/>
      <w:divBdr>
        <w:top w:val="none" w:sz="0" w:space="0" w:color="auto"/>
        <w:left w:val="none" w:sz="0" w:space="0" w:color="auto"/>
        <w:bottom w:val="none" w:sz="0" w:space="0" w:color="auto"/>
        <w:right w:val="none" w:sz="0" w:space="0" w:color="auto"/>
      </w:divBdr>
    </w:div>
    <w:div w:id="1072702428">
      <w:bodyDiv w:val="1"/>
      <w:marLeft w:val="0"/>
      <w:marRight w:val="0"/>
      <w:marTop w:val="0"/>
      <w:marBottom w:val="0"/>
      <w:divBdr>
        <w:top w:val="none" w:sz="0" w:space="0" w:color="auto"/>
        <w:left w:val="none" w:sz="0" w:space="0" w:color="auto"/>
        <w:bottom w:val="none" w:sz="0" w:space="0" w:color="auto"/>
        <w:right w:val="none" w:sz="0" w:space="0" w:color="auto"/>
      </w:divBdr>
    </w:div>
    <w:div w:id="1072771879">
      <w:bodyDiv w:val="1"/>
      <w:marLeft w:val="0"/>
      <w:marRight w:val="0"/>
      <w:marTop w:val="0"/>
      <w:marBottom w:val="0"/>
      <w:divBdr>
        <w:top w:val="none" w:sz="0" w:space="0" w:color="auto"/>
        <w:left w:val="none" w:sz="0" w:space="0" w:color="auto"/>
        <w:bottom w:val="none" w:sz="0" w:space="0" w:color="auto"/>
        <w:right w:val="none" w:sz="0" w:space="0" w:color="auto"/>
      </w:divBdr>
    </w:div>
    <w:div w:id="1072780143">
      <w:bodyDiv w:val="1"/>
      <w:marLeft w:val="0"/>
      <w:marRight w:val="0"/>
      <w:marTop w:val="0"/>
      <w:marBottom w:val="0"/>
      <w:divBdr>
        <w:top w:val="none" w:sz="0" w:space="0" w:color="auto"/>
        <w:left w:val="none" w:sz="0" w:space="0" w:color="auto"/>
        <w:bottom w:val="none" w:sz="0" w:space="0" w:color="auto"/>
        <w:right w:val="none" w:sz="0" w:space="0" w:color="auto"/>
      </w:divBdr>
    </w:div>
    <w:div w:id="1072852885">
      <w:bodyDiv w:val="1"/>
      <w:marLeft w:val="0"/>
      <w:marRight w:val="0"/>
      <w:marTop w:val="0"/>
      <w:marBottom w:val="0"/>
      <w:divBdr>
        <w:top w:val="none" w:sz="0" w:space="0" w:color="auto"/>
        <w:left w:val="none" w:sz="0" w:space="0" w:color="auto"/>
        <w:bottom w:val="none" w:sz="0" w:space="0" w:color="auto"/>
        <w:right w:val="none" w:sz="0" w:space="0" w:color="auto"/>
      </w:divBdr>
    </w:div>
    <w:div w:id="1072898062">
      <w:bodyDiv w:val="1"/>
      <w:marLeft w:val="0"/>
      <w:marRight w:val="0"/>
      <w:marTop w:val="0"/>
      <w:marBottom w:val="0"/>
      <w:divBdr>
        <w:top w:val="none" w:sz="0" w:space="0" w:color="auto"/>
        <w:left w:val="none" w:sz="0" w:space="0" w:color="auto"/>
        <w:bottom w:val="none" w:sz="0" w:space="0" w:color="auto"/>
        <w:right w:val="none" w:sz="0" w:space="0" w:color="auto"/>
      </w:divBdr>
    </w:div>
    <w:div w:id="1072898239">
      <w:bodyDiv w:val="1"/>
      <w:marLeft w:val="0"/>
      <w:marRight w:val="0"/>
      <w:marTop w:val="0"/>
      <w:marBottom w:val="0"/>
      <w:divBdr>
        <w:top w:val="none" w:sz="0" w:space="0" w:color="auto"/>
        <w:left w:val="none" w:sz="0" w:space="0" w:color="auto"/>
        <w:bottom w:val="none" w:sz="0" w:space="0" w:color="auto"/>
        <w:right w:val="none" w:sz="0" w:space="0" w:color="auto"/>
      </w:divBdr>
    </w:div>
    <w:div w:id="1073039960">
      <w:bodyDiv w:val="1"/>
      <w:marLeft w:val="0"/>
      <w:marRight w:val="0"/>
      <w:marTop w:val="0"/>
      <w:marBottom w:val="0"/>
      <w:divBdr>
        <w:top w:val="none" w:sz="0" w:space="0" w:color="auto"/>
        <w:left w:val="none" w:sz="0" w:space="0" w:color="auto"/>
        <w:bottom w:val="none" w:sz="0" w:space="0" w:color="auto"/>
        <w:right w:val="none" w:sz="0" w:space="0" w:color="auto"/>
      </w:divBdr>
    </w:div>
    <w:div w:id="1073043998">
      <w:bodyDiv w:val="1"/>
      <w:marLeft w:val="0"/>
      <w:marRight w:val="0"/>
      <w:marTop w:val="0"/>
      <w:marBottom w:val="0"/>
      <w:divBdr>
        <w:top w:val="none" w:sz="0" w:space="0" w:color="auto"/>
        <w:left w:val="none" w:sz="0" w:space="0" w:color="auto"/>
        <w:bottom w:val="none" w:sz="0" w:space="0" w:color="auto"/>
        <w:right w:val="none" w:sz="0" w:space="0" w:color="auto"/>
      </w:divBdr>
    </w:div>
    <w:div w:id="1073047769">
      <w:bodyDiv w:val="1"/>
      <w:marLeft w:val="0"/>
      <w:marRight w:val="0"/>
      <w:marTop w:val="0"/>
      <w:marBottom w:val="0"/>
      <w:divBdr>
        <w:top w:val="none" w:sz="0" w:space="0" w:color="auto"/>
        <w:left w:val="none" w:sz="0" w:space="0" w:color="auto"/>
        <w:bottom w:val="none" w:sz="0" w:space="0" w:color="auto"/>
        <w:right w:val="none" w:sz="0" w:space="0" w:color="auto"/>
      </w:divBdr>
    </w:div>
    <w:div w:id="1073047911">
      <w:bodyDiv w:val="1"/>
      <w:marLeft w:val="0"/>
      <w:marRight w:val="0"/>
      <w:marTop w:val="0"/>
      <w:marBottom w:val="0"/>
      <w:divBdr>
        <w:top w:val="none" w:sz="0" w:space="0" w:color="auto"/>
        <w:left w:val="none" w:sz="0" w:space="0" w:color="auto"/>
        <w:bottom w:val="none" w:sz="0" w:space="0" w:color="auto"/>
        <w:right w:val="none" w:sz="0" w:space="0" w:color="auto"/>
      </w:divBdr>
    </w:div>
    <w:div w:id="1073088852">
      <w:bodyDiv w:val="1"/>
      <w:marLeft w:val="0"/>
      <w:marRight w:val="0"/>
      <w:marTop w:val="0"/>
      <w:marBottom w:val="0"/>
      <w:divBdr>
        <w:top w:val="none" w:sz="0" w:space="0" w:color="auto"/>
        <w:left w:val="none" w:sz="0" w:space="0" w:color="auto"/>
        <w:bottom w:val="none" w:sz="0" w:space="0" w:color="auto"/>
        <w:right w:val="none" w:sz="0" w:space="0" w:color="auto"/>
      </w:divBdr>
    </w:div>
    <w:div w:id="1073158805">
      <w:bodyDiv w:val="1"/>
      <w:marLeft w:val="0"/>
      <w:marRight w:val="0"/>
      <w:marTop w:val="0"/>
      <w:marBottom w:val="0"/>
      <w:divBdr>
        <w:top w:val="none" w:sz="0" w:space="0" w:color="auto"/>
        <w:left w:val="none" w:sz="0" w:space="0" w:color="auto"/>
        <w:bottom w:val="none" w:sz="0" w:space="0" w:color="auto"/>
        <w:right w:val="none" w:sz="0" w:space="0" w:color="auto"/>
      </w:divBdr>
    </w:div>
    <w:div w:id="1073159814">
      <w:bodyDiv w:val="1"/>
      <w:marLeft w:val="0"/>
      <w:marRight w:val="0"/>
      <w:marTop w:val="0"/>
      <w:marBottom w:val="0"/>
      <w:divBdr>
        <w:top w:val="none" w:sz="0" w:space="0" w:color="auto"/>
        <w:left w:val="none" w:sz="0" w:space="0" w:color="auto"/>
        <w:bottom w:val="none" w:sz="0" w:space="0" w:color="auto"/>
        <w:right w:val="none" w:sz="0" w:space="0" w:color="auto"/>
      </w:divBdr>
    </w:div>
    <w:div w:id="1073284756">
      <w:bodyDiv w:val="1"/>
      <w:marLeft w:val="0"/>
      <w:marRight w:val="0"/>
      <w:marTop w:val="0"/>
      <w:marBottom w:val="0"/>
      <w:divBdr>
        <w:top w:val="none" w:sz="0" w:space="0" w:color="auto"/>
        <w:left w:val="none" w:sz="0" w:space="0" w:color="auto"/>
        <w:bottom w:val="none" w:sz="0" w:space="0" w:color="auto"/>
        <w:right w:val="none" w:sz="0" w:space="0" w:color="auto"/>
      </w:divBdr>
    </w:div>
    <w:div w:id="1073360180">
      <w:bodyDiv w:val="1"/>
      <w:marLeft w:val="0"/>
      <w:marRight w:val="0"/>
      <w:marTop w:val="0"/>
      <w:marBottom w:val="0"/>
      <w:divBdr>
        <w:top w:val="none" w:sz="0" w:space="0" w:color="auto"/>
        <w:left w:val="none" w:sz="0" w:space="0" w:color="auto"/>
        <w:bottom w:val="none" w:sz="0" w:space="0" w:color="auto"/>
        <w:right w:val="none" w:sz="0" w:space="0" w:color="auto"/>
      </w:divBdr>
    </w:div>
    <w:div w:id="1073428604">
      <w:bodyDiv w:val="1"/>
      <w:marLeft w:val="0"/>
      <w:marRight w:val="0"/>
      <w:marTop w:val="0"/>
      <w:marBottom w:val="0"/>
      <w:divBdr>
        <w:top w:val="none" w:sz="0" w:space="0" w:color="auto"/>
        <w:left w:val="none" w:sz="0" w:space="0" w:color="auto"/>
        <w:bottom w:val="none" w:sz="0" w:space="0" w:color="auto"/>
        <w:right w:val="none" w:sz="0" w:space="0" w:color="auto"/>
      </w:divBdr>
    </w:div>
    <w:div w:id="1073547675">
      <w:bodyDiv w:val="1"/>
      <w:marLeft w:val="0"/>
      <w:marRight w:val="0"/>
      <w:marTop w:val="0"/>
      <w:marBottom w:val="0"/>
      <w:divBdr>
        <w:top w:val="none" w:sz="0" w:space="0" w:color="auto"/>
        <w:left w:val="none" w:sz="0" w:space="0" w:color="auto"/>
        <w:bottom w:val="none" w:sz="0" w:space="0" w:color="auto"/>
        <w:right w:val="none" w:sz="0" w:space="0" w:color="auto"/>
      </w:divBdr>
    </w:div>
    <w:div w:id="1073552438">
      <w:bodyDiv w:val="1"/>
      <w:marLeft w:val="0"/>
      <w:marRight w:val="0"/>
      <w:marTop w:val="0"/>
      <w:marBottom w:val="0"/>
      <w:divBdr>
        <w:top w:val="none" w:sz="0" w:space="0" w:color="auto"/>
        <w:left w:val="none" w:sz="0" w:space="0" w:color="auto"/>
        <w:bottom w:val="none" w:sz="0" w:space="0" w:color="auto"/>
        <w:right w:val="none" w:sz="0" w:space="0" w:color="auto"/>
      </w:divBdr>
    </w:div>
    <w:div w:id="1073622517">
      <w:bodyDiv w:val="1"/>
      <w:marLeft w:val="0"/>
      <w:marRight w:val="0"/>
      <w:marTop w:val="0"/>
      <w:marBottom w:val="0"/>
      <w:divBdr>
        <w:top w:val="none" w:sz="0" w:space="0" w:color="auto"/>
        <w:left w:val="none" w:sz="0" w:space="0" w:color="auto"/>
        <w:bottom w:val="none" w:sz="0" w:space="0" w:color="auto"/>
        <w:right w:val="none" w:sz="0" w:space="0" w:color="auto"/>
      </w:divBdr>
    </w:div>
    <w:div w:id="1073701414">
      <w:bodyDiv w:val="1"/>
      <w:marLeft w:val="0"/>
      <w:marRight w:val="0"/>
      <w:marTop w:val="0"/>
      <w:marBottom w:val="0"/>
      <w:divBdr>
        <w:top w:val="none" w:sz="0" w:space="0" w:color="auto"/>
        <w:left w:val="none" w:sz="0" w:space="0" w:color="auto"/>
        <w:bottom w:val="none" w:sz="0" w:space="0" w:color="auto"/>
        <w:right w:val="none" w:sz="0" w:space="0" w:color="auto"/>
      </w:divBdr>
    </w:div>
    <w:div w:id="1073742353">
      <w:bodyDiv w:val="1"/>
      <w:marLeft w:val="0"/>
      <w:marRight w:val="0"/>
      <w:marTop w:val="0"/>
      <w:marBottom w:val="0"/>
      <w:divBdr>
        <w:top w:val="none" w:sz="0" w:space="0" w:color="auto"/>
        <w:left w:val="none" w:sz="0" w:space="0" w:color="auto"/>
        <w:bottom w:val="none" w:sz="0" w:space="0" w:color="auto"/>
        <w:right w:val="none" w:sz="0" w:space="0" w:color="auto"/>
      </w:divBdr>
    </w:div>
    <w:div w:id="1073822061">
      <w:bodyDiv w:val="1"/>
      <w:marLeft w:val="0"/>
      <w:marRight w:val="0"/>
      <w:marTop w:val="0"/>
      <w:marBottom w:val="0"/>
      <w:divBdr>
        <w:top w:val="none" w:sz="0" w:space="0" w:color="auto"/>
        <w:left w:val="none" w:sz="0" w:space="0" w:color="auto"/>
        <w:bottom w:val="none" w:sz="0" w:space="0" w:color="auto"/>
        <w:right w:val="none" w:sz="0" w:space="0" w:color="auto"/>
      </w:divBdr>
    </w:div>
    <w:div w:id="1073890110">
      <w:bodyDiv w:val="1"/>
      <w:marLeft w:val="0"/>
      <w:marRight w:val="0"/>
      <w:marTop w:val="0"/>
      <w:marBottom w:val="0"/>
      <w:divBdr>
        <w:top w:val="none" w:sz="0" w:space="0" w:color="auto"/>
        <w:left w:val="none" w:sz="0" w:space="0" w:color="auto"/>
        <w:bottom w:val="none" w:sz="0" w:space="0" w:color="auto"/>
        <w:right w:val="none" w:sz="0" w:space="0" w:color="auto"/>
      </w:divBdr>
    </w:div>
    <w:div w:id="1073963516">
      <w:bodyDiv w:val="1"/>
      <w:marLeft w:val="0"/>
      <w:marRight w:val="0"/>
      <w:marTop w:val="0"/>
      <w:marBottom w:val="0"/>
      <w:divBdr>
        <w:top w:val="none" w:sz="0" w:space="0" w:color="auto"/>
        <w:left w:val="none" w:sz="0" w:space="0" w:color="auto"/>
        <w:bottom w:val="none" w:sz="0" w:space="0" w:color="auto"/>
        <w:right w:val="none" w:sz="0" w:space="0" w:color="auto"/>
      </w:divBdr>
    </w:div>
    <w:div w:id="1073965806">
      <w:bodyDiv w:val="1"/>
      <w:marLeft w:val="0"/>
      <w:marRight w:val="0"/>
      <w:marTop w:val="0"/>
      <w:marBottom w:val="0"/>
      <w:divBdr>
        <w:top w:val="none" w:sz="0" w:space="0" w:color="auto"/>
        <w:left w:val="none" w:sz="0" w:space="0" w:color="auto"/>
        <w:bottom w:val="none" w:sz="0" w:space="0" w:color="auto"/>
        <w:right w:val="none" w:sz="0" w:space="0" w:color="auto"/>
      </w:divBdr>
    </w:div>
    <w:div w:id="1074006693">
      <w:bodyDiv w:val="1"/>
      <w:marLeft w:val="0"/>
      <w:marRight w:val="0"/>
      <w:marTop w:val="0"/>
      <w:marBottom w:val="0"/>
      <w:divBdr>
        <w:top w:val="none" w:sz="0" w:space="0" w:color="auto"/>
        <w:left w:val="none" w:sz="0" w:space="0" w:color="auto"/>
        <w:bottom w:val="none" w:sz="0" w:space="0" w:color="auto"/>
        <w:right w:val="none" w:sz="0" w:space="0" w:color="auto"/>
      </w:divBdr>
    </w:div>
    <w:div w:id="1074204918">
      <w:bodyDiv w:val="1"/>
      <w:marLeft w:val="0"/>
      <w:marRight w:val="0"/>
      <w:marTop w:val="0"/>
      <w:marBottom w:val="0"/>
      <w:divBdr>
        <w:top w:val="none" w:sz="0" w:space="0" w:color="auto"/>
        <w:left w:val="none" w:sz="0" w:space="0" w:color="auto"/>
        <w:bottom w:val="none" w:sz="0" w:space="0" w:color="auto"/>
        <w:right w:val="none" w:sz="0" w:space="0" w:color="auto"/>
      </w:divBdr>
    </w:div>
    <w:div w:id="1074208065">
      <w:bodyDiv w:val="1"/>
      <w:marLeft w:val="0"/>
      <w:marRight w:val="0"/>
      <w:marTop w:val="0"/>
      <w:marBottom w:val="0"/>
      <w:divBdr>
        <w:top w:val="none" w:sz="0" w:space="0" w:color="auto"/>
        <w:left w:val="none" w:sz="0" w:space="0" w:color="auto"/>
        <w:bottom w:val="none" w:sz="0" w:space="0" w:color="auto"/>
        <w:right w:val="none" w:sz="0" w:space="0" w:color="auto"/>
      </w:divBdr>
    </w:div>
    <w:div w:id="1074473028">
      <w:bodyDiv w:val="1"/>
      <w:marLeft w:val="0"/>
      <w:marRight w:val="0"/>
      <w:marTop w:val="0"/>
      <w:marBottom w:val="0"/>
      <w:divBdr>
        <w:top w:val="none" w:sz="0" w:space="0" w:color="auto"/>
        <w:left w:val="none" w:sz="0" w:space="0" w:color="auto"/>
        <w:bottom w:val="none" w:sz="0" w:space="0" w:color="auto"/>
        <w:right w:val="none" w:sz="0" w:space="0" w:color="auto"/>
      </w:divBdr>
    </w:div>
    <w:div w:id="1074546042">
      <w:bodyDiv w:val="1"/>
      <w:marLeft w:val="0"/>
      <w:marRight w:val="0"/>
      <w:marTop w:val="0"/>
      <w:marBottom w:val="0"/>
      <w:divBdr>
        <w:top w:val="none" w:sz="0" w:space="0" w:color="auto"/>
        <w:left w:val="none" w:sz="0" w:space="0" w:color="auto"/>
        <w:bottom w:val="none" w:sz="0" w:space="0" w:color="auto"/>
        <w:right w:val="none" w:sz="0" w:space="0" w:color="auto"/>
      </w:divBdr>
    </w:div>
    <w:div w:id="1074621989">
      <w:bodyDiv w:val="1"/>
      <w:marLeft w:val="0"/>
      <w:marRight w:val="0"/>
      <w:marTop w:val="0"/>
      <w:marBottom w:val="0"/>
      <w:divBdr>
        <w:top w:val="none" w:sz="0" w:space="0" w:color="auto"/>
        <w:left w:val="none" w:sz="0" w:space="0" w:color="auto"/>
        <w:bottom w:val="none" w:sz="0" w:space="0" w:color="auto"/>
        <w:right w:val="none" w:sz="0" w:space="0" w:color="auto"/>
      </w:divBdr>
    </w:div>
    <w:div w:id="1074622245">
      <w:bodyDiv w:val="1"/>
      <w:marLeft w:val="0"/>
      <w:marRight w:val="0"/>
      <w:marTop w:val="0"/>
      <w:marBottom w:val="0"/>
      <w:divBdr>
        <w:top w:val="none" w:sz="0" w:space="0" w:color="auto"/>
        <w:left w:val="none" w:sz="0" w:space="0" w:color="auto"/>
        <w:bottom w:val="none" w:sz="0" w:space="0" w:color="auto"/>
        <w:right w:val="none" w:sz="0" w:space="0" w:color="auto"/>
      </w:divBdr>
    </w:div>
    <w:div w:id="1074667096">
      <w:bodyDiv w:val="1"/>
      <w:marLeft w:val="0"/>
      <w:marRight w:val="0"/>
      <w:marTop w:val="0"/>
      <w:marBottom w:val="0"/>
      <w:divBdr>
        <w:top w:val="none" w:sz="0" w:space="0" w:color="auto"/>
        <w:left w:val="none" w:sz="0" w:space="0" w:color="auto"/>
        <w:bottom w:val="none" w:sz="0" w:space="0" w:color="auto"/>
        <w:right w:val="none" w:sz="0" w:space="0" w:color="auto"/>
      </w:divBdr>
    </w:div>
    <w:div w:id="1074669233">
      <w:bodyDiv w:val="1"/>
      <w:marLeft w:val="0"/>
      <w:marRight w:val="0"/>
      <w:marTop w:val="0"/>
      <w:marBottom w:val="0"/>
      <w:divBdr>
        <w:top w:val="none" w:sz="0" w:space="0" w:color="auto"/>
        <w:left w:val="none" w:sz="0" w:space="0" w:color="auto"/>
        <w:bottom w:val="none" w:sz="0" w:space="0" w:color="auto"/>
        <w:right w:val="none" w:sz="0" w:space="0" w:color="auto"/>
      </w:divBdr>
    </w:div>
    <w:div w:id="1074813172">
      <w:bodyDiv w:val="1"/>
      <w:marLeft w:val="0"/>
      <w:marRight w:val="0"/>
      <w:marTop w:val="0"/>
      <w:marBottom w:val="0"/>
      <w:divBdr>
        <w:top w:val="none" w:sz="0" w:space="0" w:color="auto"/>
        <w:left w:val="none" w:sz="0" w:space="0" w:color="auto"/>
        <w:bottom w:val="none" w:sz="0" w:space="0" w:color="auto"/>
        <w:right w:val="none" w:sz="0" w:space="0" w:color="auto"/>
      </w:divBdr>
    </w:div>
    <w:div w:id="1074817890">
      <w:bodyDiv w:val="1"/>
      <w:marLeft w:val="0"/>
      <w:marRight w:val="0"/>
      <w:marTop w:val="0"/>
      <w:marBottom w:val="0"/>
      <w:divBdr>
        <w:top w:val="none" w:sz="0" w:space="0" w:color="auto"/>
        <w:left w:val="none" w:sz="0" w:space="0" w:color="auto"/>
        <w:bottom w:val="none" w:sz="0" w:space="0" w:color="auto"/>
        <w:right w:val="none" w:sz="0" w:space="0" w:color="auto"/>
      </w:divBdr>
    </w:div>
    <w:div w:id="1074930871">
      <w:bodyDiv w:val="1"/>
      <w:marLeft w:val="0"/>
      <w:marRight w:val="0"/>
      <w:marTop w:val="0"/>
      <w:marBottom w:val="0"/>
      <w:divBdr>
        <w:top w:val="none" w:sz="0" w:space="0" w:color="auto"/>
        <w:left w:val="none" w:sz="0" w:space="0" w:color="auto"/>
        <w:bottom w:val="none" w:sz="0" w:space="0" w:color="auto"/>
        <w:right w:val="none" w:sz="0" w:space="0" w:color="auto"/>
      </w:divBdr>
    </w:div>
    <w:div w:id="1074936287">
      <w:bodyDiv w:val="1"/>
      <w:marLeft w:val="0"/>
      <w:marRight w:val="0"/>
      <w:marTop w:val="0"/>
      <w:marBottom w:val="0"/>
      <w:divBdr>
        <w:top w:val="none" w:sz="0" w:space="0" w:color="auto"/>
        <w:left w:val="none" w:sz="0" w:space="0" w:color="auto"/>
        <w:bottom w:val="none" w:sz="0" w:space="0" w:color="auto"/>
        <w:right w:val="none" w:sz="0" w:space="0" w:color="auto"/>
      </w:divBdr>
    </w:div>
    <w:div w:id="1075052827">
      <w:bodyDiv w:val="1"/>
      <w:marLeft w:val="0"/>
      <w:marRight w:val="0"/>
      <w:marTop w:val="0"/>
      <w:marBottom w:val="0"/>
      <w:divBdr>
        <w:top w:val="none" w:sz="0" w:space="0" w:color="auto"/>
        <w:left w:val="none" w:sz="0" w:space="0" w:color="auto"/>
        <w:bottom w:val="none" w:sz="0" w:space="0" w:color="auto"/>
        <w:right w:val="none" w:sz="0" w:space="0" w:color="auto"/>
      </w:divBdr>
    </w:div>
    <w:div w:id="1075202393">
      <w:bodyDiv w:val="1"/>
      <w:marLeft w:val="0"/>
      <w:marRight w:val="0"/>
      <w:marTop w:val="0"/>
      <w:marBottom w:val="0"/>
      <w:divBdr>
        <w:top w:val="none" w:sz="0" w:space="0" w:color="auto"/>
        <w:left w:val="none" w:sz="0" w:space="0" w:color="auto"/>
        <w:bottom w:val="none" w:sz="0" w:space="0" w:color="auto"/>
        <w:right w:val="none" w:sz="0" w:space="0" w:color="auto"/>
      </w:divBdr>
    </w:div>
    <w:div w:id="1075279420">
      <w:bodyDiv w:val="1"/>
      <w:marLeft w:val="0"/>
      <w:marRight w:val="0"/>
      <w:marTop w:val="0"/>
      <w:marBottom w:val="0"/>
      <w:divBdr>
        <w:top w:val="none" w:sz="0" w:space="0" w:color="auto"/>
        <w:left w:val="none" w:sz="0" w:space="0" w:color="auto"/>
        <w:bottom w:val="none" w:sz="0" w:space="0" w:color="auto"/>
        <w:right w:val="none" w:sz="0" w:space="0" w:color="auto"/>
      </w:divBdr>
    </w:div>
    <w:div w:id="1075396664">
      <w:bodyDiv w:val="1"/>
      <w:marLeft w:val="0"/>
      <w:marRight w:val="0"/>
      <w:marTop w:val="0"/>
      <w:marBottom w:val="0"/>
      <w:divBdr>
        <w:top w:val="none" w:sz="0" w:space="0" w:color="auto"/>
        <w:left w:val="none" w:sz="0" w:space="0" w:color="auto"/>
        <w:bottom w:val="none" w:sz="0" w:space="0" w:color="auto"/>
        <w:right w:val="none" w:sz="0" w:space="0" w:color="auto"/>
      </w:divBdr>
    </w:div>
    <w:div w:id="1075543100">
      <w:bodyDiv w:val="1"/>
      <w:marLeft w:val="0"/>
      <w:marRight w:val="0"/>
      <w:marTop w:val="0"/>
      <w:marBottom w:val="0"/>
      <w:divBdr>
        <w:top w:val="none" w:sz="0" w:space="0" w:color="auto"/>
        <w:left w:val="none" w:sz="0" w:space="0" w:color="auto"/>
        <w:bottom w:val="none" w:sz="0" w:space="0" w:color="auto"/>
        <w:right w:val="none" w:sz="0" w:space="0" w:color="auto"/>
      </w:divBdr>
    </w:div>
    <w:div w:id="1075543825">
      <w:bodyDiv w:val="1"/>
      <w:marLeft w:val="0"/>
      <w:marRight w:val="0"/>
      <w:marTop w:val="0"/>
      <w:marBottom w:val="0"/>
      <w:divBdr>
        <w:top w:val="none" w:sz="0" w:space="0" w:color="auto"/>
        <w:left w:val="none" w:sz="0" w:space="0" w:color="auto"/>
        <w:bottom w:val="none" w:sz="0" w:space="0" w:color="auto"/>
        <w:right w:val="none" w:sz="0" w:space="0" w:color="auto"/>
      </w:divBdr>
    </w:div>
    <w:div w:id="1075667149">
      <w:bodyDiv w:val="1"/>
      <w:marLeft w:val="0"/>
      <w:marRight w:val="0"/>
      <w:marTop w:val="0"/>
      <w:marBottom w:val="0"/>
      <w:divBdr>
        <w:top w:val="none" w:sz="0" w:space="0" w:color="auto"/>
        <w:left w:val="none" w:sz="0" w:space="0" w:color="auto"/>
        <w:bottom w:val="none" w:sz="0" w:space="0" w:color="auto"/>
        <w:right w:val="none" w:sz="0" w:space="0" w:color="auto"/>
      </w:divBdr>
    </w:div>
    <w:div w:id="1075737241">
      <w:bodyDiv w:val="1"/>
      <w:marLeft w:val="0"/>
      <w:marRight w:val="0"/>
      <w:marTop w:val="0"/>
      <w:marBottom w:val="0"/>
      <w:divBdr>
        <w:top w:val="none" w:sz="0" w:space="0" w:color="auto"/>
        <w:left w:val="none" w:sz="0" w:space="0" w:color="auto"/>
        <w:bottom w:val="none" w:sz="0" w:space="0" w:color="auto"/>
        <w:right w:val="none" w:sz="0" w:space="0" w:color="auto"/>
      </w:divBdr>
    </w:div>
    <w:div w:id="1075780523">
      <w:bodyDiv w:val="1"/>
      <w:marLeft w:val="0"/>
      <w:marRight w:val="0"/>
      <w:marTop w:val="0"/>
      <w:marBottom w:val="0"/>
      <w:divBdr>
        <w:top w:val="none" w:sz="0" w:space="0" w:color="auto"/>
        <w:left w:val="none" w:sz="0" w:space="0" w:color="auto"/>
        <w:bottom w:val="none" w:sz="0" w:space="0" w:color="auto"/>
        <w:right w:val="none" w:sz="0" w:space="0" w:color="auto"/>
      </w:divBdr>
    </w:div>
    <w:div w:id="1075783565">
      <w:bodyDiv w:val="1"/>
      <w:marLeft w:val="0"/>
      <w:marRight w:val="0"/>
      <w:marTop w:val="0"/>
      <w:marBottom w:val="0"/>
      <w:divBdr>
        <w:top w:val="none" w:sz="0" w:space="0" w:color="auto"/>
        <w:left w:val="none" w:sz="0" w:space="0" w:color="auto"/>
        <w:bottom w:val="none" w:sz="0" w:space="0" w:color="auto"/>
        <w:right w:val="none" w:sz="0" w:space="0" w:color="auto"/>
      </w:divBdr>
    </w:div>
    <w:div w:id="1075787667">
      <w:bodyDiv w:val="1"/>
      <w:marLeft w:val="0"/>
      <w:marRight w:val="0"/>
      <w:marTop w:val="0"/>
      <w:marBottom w:val="0"/>
      <w:divBdr>
        <w:top w:val="none" w:sz="0" w:space="0" w:color="auto"/>
        <w:left w:val="none" w:sz="0" w:space="0" w:color="auto"/>
        <w:bottom w:val="none" w:sz="0" w:space="0" w:color="auto"/>
        <w:right w:val="none" w:sz="0" w:space="0" w:color="auto"/>
      </w:divBdr>
    </w:div>
    <w:div w:id="1075862945">
      <w:bodyDiv w:val="1"/>
      <w:marLeft w:val="0"/>
      <w:marRight w:val="0"/>
      <w:marTop w:val="0"/>
      <w:marBottom w:val="0"/>
      <w:divBdr>
        <w:top w:val="none" w:sz="0" w:space="0" w:color="auto"/>
        <w:left w:val="none" w:sz="0" w:space="0" w:color="auto"/>
        <w:bottom w:val="none" w:sz="0" w:space="0" w:color="auto"/>
        <w:right w:val="none" w:sz="0" w:space="0" w:color="auto"/>
      </w:divBdr>
    </w:div>
    <w:div w:id="1075863007">
      <w:bodyDiv w:val="1"/>
      <w:marLeft w:val="0"/>
      <w:marRight w:val="0"/>
      <w:marTop w:val="0"/>
      <w:marBottom w:val="0"/>
      <w:divBdr>
        <w:top w:val="none" w:sz="0" w:space="0" w:color="auto"/>
        <w:left w:val="none" w:sz="0" w:space="0" w:color="auto"/>
        <w:bottom w:val="none" w:sz="0" w:space="0" w:color="auto"/>
        <w:right w:val="none" w:sz="0" w:space="0" w:color="auto"/>
      </w:divBdr>
    </w:div>
    <w:div w:id="1075935661">
      <w:bodyDiv w:val="1"/>
      <w:marLeft w:val="0"/>
      <w:marRight w:val="0"/>
      <w:marTop w:val="0"/>
      <w:marBottom w:val="0"/>
      <w:divBdr>
        <w:top w:val="none" w:sz="0" w:space="0" w:color="auto"/>
        <w:left w:val="none" w:sz="0" w:space="0" w:color="auto"/>
        <w:bottom w:val="none" w:sz="0" w:space="0" w:color="auto"/>
        <w:right w:val="none" w:sz="0" w:space="0" w:color="auto"/>
      </w:divBdr>
    </w:div>
    <w:div w:id="1076125727">
      <w:bodyDiv w:val="1"/>
      <w:marLeft w:val="0"/>
      <w:marRight w:val="0"/>
      <w:marTop w:val="0"/>
      <w:marBottom w:val="0"/>
      <w:divBdr>
        <w:top w:val="none" w:sz="0" w:space="0" w:color="auto"/>
        <w:left w:val="none" w:sz="0" w:space="0" w:color="auto"/>
        <w:bottom w:val="none" w:sz="0" w:space="0" w:color="auto"/>
        <w:right w:val="none" w:sz="0" w:space="0" w:color="auto"/>
      </w:divBdr>
    </w:div>
    <w:div w:id="1076318718">
      <w:bodyDiv w:val="1"/>
      <w:marLeft w:val="0"/>
      <w:marRight w:val="0"/>
      <w:marTop w:val="0"/>
      <w:marBottom w:val="0"/>
      <w:divBdr>
        <w:top w:val="none" w:sz="0" w:space="0" w:color="auto"/>
        <w:left w:val="none" w:sz="0" w:space="0" w:color="auto"/>
        <w:bottom w:val="none" w:sz="0" w:space="0" w:color="auto"/>
        <w:right w:val="none" w:sz="0" w:space="0" w:color="auto"/>
      </w:divBdr>
    </w:div>
    <w:div w:id="1076324251">
      <w:bodyDiv w:val="1"/>
      <w:marLeft w:val="0"/>
      <w:marRight w:val="0"/>
      <w:marTop w:val="0"/>
      <w:marBottom w:val="0"/>
      <w:divBdr>
        <w:top w:val="none" w:sz="0" w:space="0" w:color="auto"/>
        <w:left w:val="none" w:sz="0" w:space="0" w:color="auto"/>
        <w:bottom w:val="none" w:sz="0" w:space="0" w:color="auto"/>
        <w:right w:val="none" w:sz="0" w:space="0" w:color="auto"/>
      </w:divBdr>
    </w:div>
    <w:div w:id="1076364953">
      <w:bodyDiv w:val="1"/>
      <w:marLeft w:val="0"/>
      <w:marRight w:val="0"/>
      <w:marTop w:val="0"/>
      <w:marBottom w:val="0"/>
      <w:divBdr>
        <w:top w:val="none" w:sz="0" w:space="0" w:color="auto"/>
        <w:left w:val="none" w:sz="0" w:space="0" w:color="auto"/>
        <w:bottom w:val="none" w:sz="0" w:space="0" w:color="auto"/>
        <w:right w:val="none" w:sz="0" w:space="0" w:color="auto"/>
      </w:divBdr>
    </w:div>
    <w:div w:id="1076392453">
      <w:bodyDiv w:val="1"/>
      <w:marLeft w:val="0"/>
      <w:marRight w:val="0"/>
      <w:marTop w:val="0"/>
      <w:marBottom w:val="0"/>
      <w:divBdr>
        <w:top w:val="none" w:sz="0" w:space="0" w:color="auto"/>
        <w:left w:val="none" w:sz="0" w:space="0" w:color="auto"/>
        <w:bottom w:val="none" w:sz="0" w:space="0" w:color="auto"/>
        <w:right w:val="none" w:sz="0" w:space="0" w:color="auto"/>
      </w:divBdr>
    </w:div>
    <w:div w:id="1076516698">
      <w:bodyDiv w:val="1"/>
      <w:marLeft w:val="0"/>
      <w:marRight w:val="0"/>
      <w:marTop w:val="0"/>
      <w:marBottom w:val="0"/>
      <w:divBdr>
        <w:top w:val="none" w:sz="0" w:space="0" w:color="auto"/>
        <w:left w:val="none" w:sz="0" w:space="0" w:color="auto"/>
        <w:bottom w:val="none" w:sz="0" w:space="0" w:color="auto"/>
        <w:right w:val="none" w:sz="0" w:space="0" w:color="auto"/>
      </w:divBdr>
    </w:div>
    <w:div w:id="1076559971">
      <w:bodyDiv w:val="1"/>
      <w:marLeft w:val="0"/>
      <w:marRight w:val="0"/>
      <w:marTop w:val="0"/>
      <w:marBottom w:val="0"/>
      <w:divBdr>
        <w:top w:val="none" w:sz="0" w:space="0" w:color="auto"/>
        <w:left w:val="none" w:sz="0" w:space="0" w:color="auto"/>
        <w:bottom w:val="none" w:sz="0" w:space="0" w:color="auto"/>
        <w:right w:val="none" w:sz="0" w:space="0" w:color="auto"/>
      </w:divBdr>
    </w:div>
    <w:div w:id="1076560131">
      <w:bodyDiv w:val="1"/>
      <w:marLeft w:val="0"/>
      <w:marRight w:val="0"/>
      <w:marTop w:val="0"/>
      <w:marBottom w:val="0"/>
      <w:divBdr>
        <w:top w:val="none" w:sz="0" w:space="0" w:color="auto"/>
        <w:left w:val="none" w:sz="0" w:space="0" w:color="auto"/>
        <w:bottom w:val="none" w:sz="0" w:space="0" w:color="auto"/>
        <w:right w:val="none" w:sz="0" w:space="0" w:color="auto"/>
      </w:divBdr>
    </w:div>
    <w:div w:id="1076630585">
      <w:bodyDiv w:val="1"/>
      <w:marLeft w:val="0"/>
      <w:marRight w:val="0"/>
      <w:marTop w:val="0"/>
      <w:marBottom w:val="0"/>
      <w:divBdr>
        <w:top w:val="none" w:sz="0" w:space="0" w:color="auto"/>
        <w:left w:val="none" w:sz="0" w:space="0" w:color="auto"/>
        <w:bottom w:val="none" w:sz="0" w:space="0" w:color="auto"/>
        <w:right w:val="none" w:sz="0" w:space="0" w:color="auto"/>
      </w:divBdr>
    </w:div>
    <w:div w:id="1076703173">
      <w:bodyDiv w:val="1"/>
      <w:marLeft w:val="0"/>
      <w:marRight w:val="0"/>
      <w:marTop w:val="0"/>
      <w:marBottom w:val="0"/>
      <w:divBdr>
        <w:top w:val="none" w:sz="0" w:space="0" w:color="auto"/>
        <w:left w:val="none" w:sz="0" w:space="0" w:color="auto"/>
        <w:bottom w:val="none" w:sz="0" w:space="0" w:color="auto"/>
        <w:right w:val="none" w:sz="0" w:space="0" w:color="auto"/>
      </w:divBdr>
    </w:div>
    <w:div w:id="1076785800">
      <w:bodyDiv w:val="1"/>
      <w:marLeft w:val="0"/>
      <w:marRight w:val="0"/>
      <w:marTop w:val="0"/>
      <w:marBottom w:val="0"/>
      <w:divBdr>
        <w:top w:val="none" w:sz="0" w:space="0" w:color="auto"/>
        <w:left w:val="none" w:sz="0" w:space="0" w:color="auto"/>
        <w:bottom w:val="none" w:sz="0" w:space="0" w:color="auto"/>
        <w:right w:val="none" w:sz="0" w:space="0" w:color="auto"/>
      </w:divBdr>
    </w:div>
    <w:div w:id="1076787005">
      <w:bodyDiv w:val="1"/>
      <w:marLeft w:val="0"/>
      <w:marRight w:val="0"/>
      <w:marTop w:val="0"/>
      <w:marBottom w:val="0"/>
      <w:divBdr>
        <w:top w:val="none" w:sz="0" w:space="0" w:color="auto"/>
        <w:left w:val="none" w:sz="0" w:space="0" w:color="auto"/>
        <w:bottom w:val="none" w:sz="0" w:space="0" w:color="auto"/>
        <w:right w:val="none" w:sz="0" w:space="0" w:color="auto"/>
      </w:divBdr>
    </w:div>
    <w:div w:id="1076904615">
      <w:bodyDiv w:val="1"/>
      <w:marLeft w:val="0"/>
      <w:marRight w:val="0"/>
      <w:marTop w:val="0"/>
      <w:marBottom w:val="0"/>
      <w:divBdr>
        <w:top w:val="none" w:sz="0" w:space="0" w:color="auto"/>
        <w:left w:val="none" w:sz="0" w:space="0" w:color="auto"/>
        <w:bottom w:val="none" w:sz="0" w:space="0" w:color="auto"/>
        <w:right w:val="none" w:sz="0" w:space="0" w:color="auto"/>
      </w:divBdr>
    </w:div>
    <w:div w:id="1077046531">
      <w:bodyDiv w:val="1"/>
      <w:marLeft w:val="0"/>
      <w:marRight w:val="0"/>
      <w:marTop w:val="0"/>
      <w:marBottom w:val="0"/>
      <w:divBdr>
        <w:top w:val="none" w:sz="0" w:space="0" w:color="auto"/>
        <w:left w:val="none" w:sz="0" w:space="0" w:color="auto"/>
        <w:bottom w:val="none" w:sz="0" w:space="0" w:color="auto"/>
        <w:right w:val="none" w:sz="0" w:space="0" w:color="auto"/>
      </w:divBdr>
    </w:div>
    <w:div w:id="1077048902">
      <w:bodyDiv w:val="1"/>
      <w:marLeft w:val="0"/>
      <w:marRight w:val="0"/>
      <w:marTop w:val="0"/>
      <w:marBottom w:val="0"/>
      <w:divBdr>
        <w:top w:val="none" w:sz="0" w:space="0" w:color="auto"/>
        <w:left w:val="none" w:sz="0" w:space="0" w:color="auto"/>
        <w:bottom w:val="none" w:sz="0" w:space="0" w:color="auto"/>
        <w:right w:val="none" w:sz="0" w:space="0" w:color="auto"/>
      </w:divBdr>
    </w:div>
    <w:div w:id="1077050004">
      <w:bodyDiv w:val="1"/>
      <w:marLeft w:val="0"/>
      <w:marRight w:val="0"/>
      <w:marTop w:val="0"/>
      <w:marBottom w:val="0"/>
      <w:divBdr>
        <w:top w:val="none" w:sz="0" w:space="0" w:color="auto"/>
        <w:left w:val="none" w:sz="0" w:space="0" w:color="auto"/>
        <w:bottom w:val="none" w:sz="0" w:space="0" w:color="auto"/>
        <w:right w:val="none" w:sz="0" w:space="0" w:color="auto"/>
      </w:divBdr>
    </w:div>
    <w:div w:id="1077166771">
      <w:bodyDiv w:val="1"/>
      <w:marLeft w:val="0"/>
      <w:marRight w:val="0"/>
      <w:marTop w:val="0"/>
      <w:marBottom w:val="0"/>
      <w:divBdr>
        <w:top w:val="none" w:sz="0" w:space="0" w:color="auto"/>
        <w:left w:val="none" w:sz="0" w:space="0" w:color="auto"/>
        <w:bottom w:val="none" w:sz="0" w:space="0" w:color="auto"/>
        <w:right w:val="none" w:sz="0" w:space="0" w:color="auto"/>
      </w:divBdr>
    </w:div>
    <w:div w:id="1077169851">
      <w:bodyDiv w:val="1"/>
      <w:marLeft w:val="0"/>
      <w:marRight w:val="0"/>
      <w:marTop w:val="0"/>
      <w:marBottom w:val="0"/>
      <w:divBdr>
        <w:top w:val="none" w:sz="0" w:space="0" w:color="auto"/>
        <w:left w:val="none" w:sz="0" w:space="0" w:color="auto"/>
        <w:bottom w:val="none" w:sz="0" w:space="0" w:color="auto"/>
        <w:right w:val="none" w:sz="0" w:space="0" w:color="auto"/>
      </w:divBdr>
    </w:div>
    <w:div w:id="1077173509">
      <w:bodyDiv w:val="1"/>
      <w:marLeft w:val="0"/>
      <w:marRight w:val="0"/>
      <w:marTop w:val="0"/>
      <w:marBottom w:val="0"/>
      <w:divBdr>
        <w:top w:val="none" w:sz="0" w:space="0" w:color="auto"/>
        <w:left w:val="none" w:sz="0" w:space="0" w:color="auto"/>
        <w:bottom w:val="none" w:sz="0" w:space="0" w:color="auto"/>
        <w:right w:val="none" w:sz="0" w:space="0" w:color="auto"/>
      </w:divBdr>
    </w:div>
    <w:div w:id="1077241016">
      <w:bodyDiv w:val="1"/>
      <w:marLeft w:val="0"/>
      <w:marRight w:val="0"/>
      <w:marTop w:val="0"/>
      <w:marBottom w:val="0"/>
      <w:divBdr>
        <w:top w:val="none" w:sz="0" w:space="0" w:color="auto"/>
        <w:left w:val="none" w:sz="0" w:space="0" w:color="auto"/>
        <w:bottom w:val="none" w:sz="0" w:space="0" w:color="auto"/>
        <w:right w:val="none" w:sz="0" w:space="0" w:color="auto"/>
      </w:divBdr>
    </w:div>
    <w:div w:id="1077242778">
      <w:bodyDiv w:val="1"/>
      <w:marLeft w:val="0"/>
      <w:marRight w:val="0"/>
      <w:marTop w:val="0"/>
      <w:marBottom w:val="0"/>
      <w:divBdr>
        <w:top w:val="none" w:sz="0" w:space="0" w:color="auto"/>
        <w:left w:val="none" w:sz="0" w:space="0" w:color="auto"/>
        <w:bottom w:val="none" w:sz="0" w:space="0" w:color="auto"/>
        <w:right w:val="none" w:sz="0" w:space="0" w:color="auto"/>
      </w:divBdr>
    </w:div>
    <w:div w:id="1077245452">
      <w:bodyDiv w:val="1"/>
      <w:marLeft w:val="0"/>
      <w:marRight w:val="0"/>
      <w:marTop w:val="0"/>
      <w:marBottom w:val="0"/>
      <w:divBdr>
        <w:top w:val="none" w:sz="0" w:space="0" w:color="auto"/>
        <w:left w:val="none" w:sz="0" w:space="0" w:color="auto"/>
        <w:bottom w:val="none" w:sz="0" w:space="0" w:color="auto"/>
        <w:right w:val="none" w:sz="0" w:space="0" w:color="auto"/>
      </w:divBdr>
    </w:div>
    <w:div w:id="1077246233">
      <w:bodyDiv w:val="1"/>
      <w:marLeft w:val="0"/>
      <w:marRight w:val="0"/>
      <w:marTop w:val="0"/>
      <w:marBottom w:val="0"/>
      <w:divBdr>
        <w:top w:val="none" w:sz="0" w:space="0" w:color="auto"/>
        <w:left w:val="none" w:sz="0" w:space="0" w:color="auto"/>
        <w:bottom w:val="none" w:sz="0" w:space="0" w:color="auto"/>
        <w:right w:val="none" w:sz="0" w:space="0" w:color="auto"/>
      </w:divBdr>
    </w:div>
    <w:div w:id="1077247921">
      <w:bodyDiv w:val="1"/>
      <w:marLeft w:val="0"/>
      <w:marRight w:val="0"/>
      <w:marTop w:val="0"/>
      <w:marBottom w:val="0"/>
      <w:divBdr>
        <w:top w:val="none" w:sz="0" w:space="0" w:color="auto"/>
        <w:left w:val="none" w:sz="0" w:space="0" w:color="auto"/>
        <w:bottom w:val="none" w:sz="0" w:space="0" w:color="auto"/>
        <w:right w:val="none" w:sz="0" w:space="0" w:color="auto"/>
      </w:divBdr>
    </w:div>
    <w:div w:id="1077285909">
      <w:bodyDiv w:val="1"/>
      <w:marLeft w:val="0"/>
      <w:marRight w:val="0"/>
      <w:marTop w:val="0"/>
      <w:marBottom w:val="0"/>
      <w:divBdr>
        <w:top w:val="none" w:sz="0" w:space="0" w:color="auto"/>
        <w:left w:val="none" w:sz="0" w:space="0" w:color="auto"/>
        <w:bottom w:val="none" w:sz="0" w:space="0" w:color="auto"/>
        <w:right w:val="none" w:sz="0" w:space="0" w:color="auto"/>
      </w:divBdr>
    </w:div>
    <w:div w:id="1077365439">
      <w:bodyDiv w:val="1"/>
      <w:marLeft w:val="0"/>
      <w:marRight w:val="0"/>
      <w:marTop w:val="0"/>
      <w:marBottom w:val="0"/>
      <w:divBdr>
        <w:top w:val="none" w:sz="0" w:space="0" w:color="auto"/>
        <w:left w:val="none" w:sz="0" w:space="0" w:color="auto"/>
        <w:bottom w:val="none" w:sz="0" w:space="0" w:color="auto"/>
        <w:right w:val="none" w:sz="0" w:space="0" w:color="auto"/>
      </w:divBdr>
    </w:div>
    <w:div w:id="1077483302">
      <w:bodyDiv w:val="1"/>
      <w:marLeft w:val="0"/>
      <w:marRight w:val="0"/>
      <w:marTop w:val="0"/>
      <w:marBottom w:val="0"/>
      <w:divBdr>
        <w:top w:val="none" w:sz="0" w:space="0" w:color="auto"/>
        <w:left w:val="none" w:sz="0" w:space="0" w:color="auto"/>
        <w:bottom w:val="none" w:sz="0" w:space="0" w:color="auto"/>
        <w:right w:val="none" w:sz="0" w:space="0" w:color="auto"/>
      </w:divBdr>
    </w:div>
    <w:div w:id="1077635341">
      <w:bodyDiv w:val="1"/>
      <w:marLeft w:val="0"/>
      <w:marRight w:val="0"/>
      <w:marTop w:val="0"/>
      <w:marBottom w:val="0"/>
      <w:divBdr>
        <w:top w:val="none" w:sz="0" w:space="0" w:color="auto"/>
        <w:left w:val="none" w:sz="0" w:space="0" w:color="auto"/>
        <w:bottom w:val="none" w:sz="0" w:space="0" w:color="auto"/>
        <w:right w:val="none" w:sz="0" w:space="0" w:color="auto"/>
      </w:divBdr>
    </w:div>
    <w:div w:id="1077749601">
      <w:bodyDiv w:val="1"/>
      <w:marLeft w:val="0"/>
      <w:marRight w:val="0"/>
      <w:marTop w:val="0"/>
      <w:marBottom w:val="0"/>
      <w:divBdr>
        <w:top w:val="none" w:sz="0" w:space="0" w:color="auto"/>
        <w:left w:val="none" w:sz="0" w:space="0" w:color="auto"/>
        <w:bottom w:val="none" w:sz="0" w:space="0" w:color="auto"/>
        <w:right w:val="none" w:sz="0" w:space="0" w:color="auto"/>
      </w:divBdr>
    </w:div>
    <w:div w:id="1077898931">
      <w:bodyDiv w:val="1"/>
      <w:marLeft w:val="0"/>
      <w:marRight w:val="0"/>
      <w:marTop w:val="0"/>
      <w:marBottom w:val="0"/>
      <w:divBdr>
        <w:top w:val="none" w:sz="0" w:space="0" w:color="auto"/>
        <w:left w:val="none" w:sz="0" w:space="0" w:color="auto"/>
        <w:bottom w:val="none" w:sz="0" w:space="0" w:color="auto"/>
        <w:right w:val="none" w:sz="0" w:space="0" w:color="auto"/>
      </w:divBdr>
    </w:div>
    <w:div w:id="1078137605">
      <w:bodyDiv w:val="1"/>
      <w:marLeft w:val="0"/>
      <w:marRight w:val="0"/>
      <w:marTop w:val="0"/>
      <w:marBottom w:val="0"/>
      <w:divBdr>
        <w:top w:val="none" w:sz="0" w:space="0" w:color="auto"/>
        <w:left w:val="none" w:sz="0" w:space="0" w:color="auto"/>
        <w:bottom w:val="none" w:sz="0" w:space="0" w:color="auto"/>
        <w:right w:val="none" w:sz="0" w:space="0" w:color="auto"/>
      </w:divBdr>
    </w:div>
    <w:div w:id="1078208394">
      <w:bodyDiv w:val="1"/>
      <w:marLeft w:val="0"/>
      <w:marRight w:val="0"/>
      <w:marTop w:val="0"/>
      <w:marBottom w:val="0"/>
      <w:divBdr>
        <w:top w:val="none" w:sz="0" w:space="0" w:color="auto"/>
        <w:left w:val="none" w:sz="0" w:space="0" w:color="auto"/>
        <w:bottom w:val="none" w:sz="0" w:space="0" w:color="auto"/>
        <w:right w:val="none" w:sz="0" w:space="0" w:color="auto"/>
      </w:divBdr>
    </w:div>
    <w:div w:id="1078215392">
      <w:bodyDiv w:val="1"/>
      <w:marLeft w:val="0"/>
      <w:marRight w:val="0"/>
      <w:marTop w:val="0"/>
      <w:marBottom w:val="0"/>
      <w:divBdr>
        <w:top w:val="none" w:sz="0" w:space="0" w:color="auto"/>
        <w:left w:val="none" w:sz="0" w:space="0" w:color="auto"/>
        <w:bottom w:val="none" w:sz="0" w:space="0" w:color="auto"/>
        <w:right w:val="none" w:sz="0" w:space="0" w:color="auto"/>
      </w:divBdr>
    </w:div>
    <w:div w:id="1078330969">
      <w:bodyDiv w:val="1"/>
      <w:marLeft w:val="0"/>
      <w:marRight w:val="0"/>
      <w:marTop w:val="0"/>
      <w:marBottom w:val="0"/>
      <w:divBdr>
        <w:top w:val="none" w:sz="0" w:space="0" w:color="auto"/>
        <w:left w:val="none" w:sz="0" w:space="0" w:color="auto"/>
        <w:bottom w:val="none" w:sz="0" w:space="0" w:color="auto"/>
        <w:right w:val="none" w:sz="0" w:space="0" w:color="auto"/>
      </w:divBdr>
    </w:div>
    <w:div w:id="1078359169">
      <w:bodyDiv w:val="1"/>
      <w:marLeft w:val="0"/>
      <w:marRight w:val="0"/>
      <w:marTop w:val="0"/>
      <w:marBottom w:val="0"/>
      <w:divBdr>
        <w:top w:val="none" w:sz="0" w:space="0" w:color="auto"/>
        <w:left w:val="none" w:sz="0" w:space="0" w:color="auto"/>
        <w:bottom w:val="none" w:sz="0" w:space="0" w:color="auto"/>
        <w:right w:val="none" w:sz="0" w:space="0" w:color="auto"/>
      </w:divBdr>
    </w:div>
    <w:div w:id="1078402644">
      <w:bodyDiv w:val="1"/>
      <w:marLeft w:val="0"/>
      <w:marRight w:val="0"/>
      <w:marTop w:val="0"/>
      <w:marBottom w:val="0"/>
      <w:divBdr>
        <w:top w:val="none" w:sz="0" w:space="0" w:color="auto"/>
        <w:left w:val="none" w:sz="0" w:space="0" w:color="auto"/>
        <w:bottom w:val="none" w:sz="0" w:space="0" w:color="auto"/>
        <w:right w:val="none" w:sz="0" w:space="0" w:color="auto"/>
      </w:divBdr>
    </w:div>
    <w:div w:id="1078406969">
      <w:bodyDiv w:val="1"/>
      <w:marLeft w:val="0"/>
      <w:marRight w:val="0"/>
      <w:marTop w:val="0"/>
      <w:marBottom w:val="0"/>
      <w:divBdr>
        <w:top w:val="none" w:sz="0" w:space="0" w:color="auto"/>
        <w:left w:val="none" w:sz="0" w:space="0" w:color="auto"/>
        <w:bottom w:val="none" w:sz="0" w:space="0" w:color="auto"/>
        <w:right w:val="none" w:sz="0" w:space="0" w:color="auto"/>
      </w:divBdr>
    </w:div>
    <w:div w:id="1078477494">
      <w:bodyDiv w:val="1"/>
      <w:marLeft w:val="0"/>
      <w:marRight w:val="0"/>
      <w:marTop w:val="0"/>
      <w:marBottom w:val="0"/>
      <w:divBdr>
        <w:top w:val="none" w:sz="0" w:space="0" w:color="auto"/>
        <w:left w:val="none" w:sz="0" w:space="0" w:color="auto"/>
        <w:bottom w:val="none" w:sz="0" w:space="0" w:color="auto"/>
        <w:right w:val="none" w:sz="0" w:space="0" w:color="auto"/>
      </w:divBdr>
    </w:div>
    <w:div w:id="1078477738">
      <w:bodyDiv w:val="1"/>
      <w:marLeft w:val="0"/>
      <w:marRight w:val="0"/>
      <w:marTop w:val="0"/>
      <w:marBottom w:val="0"/>
      <w:divBdr>
        <w:top w:val="none" w:sz="0" w:space="0" w:color="auto"/>
        <w:left w:val="none" w:sz="0" w:space="0" w:color="auto"/>
        <w:bottom w:val="none" w:sz="0" w:space="0" w:color="auto"/>
        <w:right w:val="none" w:sz="0" w:space="0" w:color="auto"/>
      </w:divBdr>
    </w:div>
    <w:div w:id="1078527132">
      <w:bodyDiv w:val="1"/>
      <w:marLeft w:val="0"/>
      <w:marRight w:val="0"/>
      <w:marTop w:val="0"/>
      <w:marBottom w:val="0"/>
      <w:divBdr>
        <w:top w:val="none" w:sz="0" w:space="0" w:color="auto"/>
        <w:left w:val="none" w:sz="0" w:space="0" w:color="auto"/>
        <w:bottom w:val="none" w:sz="0" w:space="0" w:color="auto"/>
        <w:right w:val="none" w:sz="0" w:space="0" w:color="auto"/>
      </w:divBdr>
    </w:div>
    <w:div w:id="1078552168">
      <w:bodyDiv w:val="1"/>
      <w:marLeft w:val="0"/>
      <w:marRight w:val="0"/>
      <w:marTop w:val="0"/>
      <w:marBottom w:val="0"/>
      <w:divBdr>
        <w:top w:val="none" w:sz="0" w:space="0" w:color="auto"/>
        <w:left w:val="none" w:sz="0" w:space="0" w:color="auto"/>
        <w:bottom w:val="none" w:sz="0" w:space="0" w:color="auto"/>
        <w:right w:val="none" w:sz="0" w:space="0" w:color="auto"/>
      </w:divBdr>
    </w:div>
    <w:div w:id="1078594185">
      <w:bodyDiv w:val="1"/>
      <w:marLeft w:val="0"/>
      <w:marRight w:val="0"/>
      <w:marTop w:val="0"/>
      <w:marBottom w:val="0"/>
      <w:divBdr>
        <w:top w:val="none" w:sz="0" w:space="0" w:color="auto"/>
        <w:left w:val="none" w:sz="0" w:space="0" w:color="auto"/>
        <w:bottom w:val="none" w:sz="0" w:space="0" w:color="auto"/>
        <w:right w:val="none" w:sz="0" w:space="0" w:color="auto"/>
      </w:divBdr>
    </w:div>
    <w:div w:id="1078671289">
      <w:bodyDiv w:val="1"/>
      <w:marLeft w:val="0"/>
      <w:marRight w:val="0"/>
      <w:marTop w:val="0"/>
      <w:marBottom w:val="0"/>
      <w:divBdr>
        <w:top w:val="none" w:sz="0" w:space="0" w:color="auto"/>
        <w:left w:val="none" w:sz="0" w:space="0" w:color="auto"/>
        <w:bottom w:val="none" w:sz="0" w:space="0" w:color="auto"/>
        <w:right w:val="none" w:sz="0" w:space="0" w:color="auto"/>
      </w:divBdr>
    </w:div>
    <w:div w:id="1078675404">
      <w:bodyDiv w:val="1"/>
      <w:marLeft w:val="0"/>
      <w:marRight w:val="0"/>
      <w:marTop w:val="0"/>
      <w:marBottom w:val="0"/>
      <w:divBdr>
        <w:top w:val="none" w:sz="0" w:space="0" w:color="auto"/>
        <w:left w:val="none" w:sz="0" w:space="0" w:color="auto"/>
        <w:bottom w:val="none" w:sz="0" w:space="0" w:color="auto"/>
        <w:right w:val="none" w:sz="0" w:space="0" w:color="auto"/>
      </w:divBdr>
    </w:div>
    <w:div w:id="1078744187">
      <w:bodyDiv w:val="1"/>
      <w:marLeft w:val="0"/>
      <w:marRight w:val="0"/>
      <w:marTop w:val="0"/>
      <w:marBottom w:val="0"/>
      <w:divBdr>
        <w:top w:val="none" w:sz="0" w:space="0" w:color="auto"/>
        <w:left w:val="none" w:sz="0" w:space="0" w:color="auto"/>
        <w:bottom w:val="none" w:sz="0" w:space="0" w:color="auto"/>
        <w:right w:val="none" w:sz="0" w:space="0" w:color="auto"/>
      </w:divBdr>
    </w:div>
    <w:div w:id="1078870234">
      <w:bodyDiv w:val="1"/>
      <w:marLeft w:val="0"/>
      <w:marRight w:val="0"/>
      <w:marTop w:val="0"/>
      <w:marBottom w:val="0"/>
      <w:divBdr>
        <w:top w:val="none" w:sz="0" w:space="0" w:color="auto"/>
        <w:left w:val="none" w:sz="0" w:space="0" w:color="auto"/>
        <w:bottom w:val="none" w:sz="0" w:space="0" w:color="auto"/>
        <w:right w:val="none" w:sz="0" w:space="0" w:color="auto"/>
      </w:divBdr>
    </w:div>
    <w:div w:id="1078943821">
      <w:bodyDiv w:val="1"/>
      <w:marLeft w:val="0"/>
      <w:marRight w:val="0"/>
      <w:marTop w:val="0"/>
      <w:marBottom w:val="0"/>
      <w:divBdr>
        <w:top w:val="none" w:sz="0" w:space="0" w:color="auto"/>
        <w:left w:val="none" w:sz="0" w:space="0" w:color="auto"/>
        <w:bottom w:val="none" w:sz="0" w:space="0" w:color="auto"/>
        <w:right w:val="none" w:sz="0" w:space="0" w:color="auto"/>
      </w:divBdr>
    </w:div>
    <w:div w:id="1079055345">
      <w:bodyDiv w:val="1"/>
      <w:marLeft w:val="0"/>
      <w:marRight w:val="0"/>
      <w:marTop w:val="0"/>
      <w:marBottom w:val="0"/>
      <w:divBdr>
        <w:top w:val="none" w:sz="0" w:space="0" w:color="auto"/>
        <w:left w:val="none" w:sz="0" w:space="0" w:color="auto"/>
        <w:bottom w:val="none" w:sz="0" w:space="0" w:color="auto"/>
        <w:right w:val="none" w:sz="0" w:space="0" w:color="auto"/>
      </w:divBdr>
    </w:div>
    <w:div w:id="1079058837">
      <w:bodyDiv w:val="1"/>
      <w:marLeft w:val="0"/>
      <w:marRight w:val="0"/>
      <w:marTop w:val="0"/>
      <w:marBottom w:val="0"/>
      <w:divBdr>
        <w:top w:val="none" w:sz="0" w:space="0" w:color="auto"/>
        <w:left w:val="none" w:sz="0" w:space="0" w:color="auto"/>
        <w:bottom w:val="none" w:sz="0" w:space="0" w:color="auto"/>
        <w:right w:val="none" w:sz="0" w:space="0" w:color="auto"/>
      </w:divBdr>
    </w:div>
    <w:div w:id="1079250992">
      <w:bodyDiv w:val="1"/>
      <w:marLeft w:val="0"/>
      <w:marRight w:val="0"/>
      <w:marTop w:val="0"/>
      <w:marBottom w:val="0"/>
      <w:divBdr>
        <w:top w:val="none" w:sz="0" w:space="0" w:color="auto"/>
        <w:left w:val="none" w:sz="0" w:space="0" w:color="auto"/>
        <w:bottom w:val="none" w:sz="0" w:space="0" w:color="auto"/>
        <w:right w:val="none" w:sz="0" w:space="0" w:color="auto"/>
      </w:divBdr>
    </w:div>
    <w:div w:id="1079252334">
      <w:bodyDiv w:val="1"/>
      <w:marLeft w:val="0"/>
      <w:marRight w:val="0"/>
      <w:marTop w:val="0"/>
      <w:marBottom w:val="0"/>
      <w:divBdr>
        <w:top w:val="none" w:sz="0" w:space="0" w:color="auto"/>
        <w:left w:val="none" w:sz="0" w:space="0" w:color="auto"/>
        <w:bottom w:val="none" w:sz="0" w:space="0" w:color="auto"/>
        <w:right w:val="none" w:sz="0" w:space="0" w:color="auto"/>
      </w:divBdr>
    </w:div>
    <w:div w:id="1079329174">
      <w:bodyDiv w:val="1"/>
      <w:marLeft w:val="0"/>
      <w:marRight w:val="0"/>
      <w:marTop w:val="0"/>
      <w:marBottom w:val="0"/>
      <w:divBdr>
        <w:top w:val="none" w:sz="0" w:space="0" w:color="auto"/>
        <w:left w:val="none" w:sz="0" w:space="0" w:color="auto"/>
        <w:bottom w:val="none" w:sz="0" w:space="0" w:color="auto"/>
        <w:right w:val="none" w:sz="0" w:space="0" w:color="auto"/>
      </w:divBdr>
    </w:div>
    <w:div w:id="1079332887">
      <w:bodyDiv w:val="1"/>
      <w:marLeft w:val="0"/>
      <w:marRight w:val="0"/>
      <w:marTop w:val="0"/>
      <w:marBottom w:val="0"/>
      <w:divBdr>
        <w:top w:val="none" w:sz="0" w:space="0" w:color="auto"/>
        <w:left w:val="none" w:sz="0" w:space="0" w:color="auto"/>
        <w:bottom w:val="none" w:sz="0" w:space="0" w:color="auto"/>
        <w:right w:val="none" w:sz="0" w:space="0" w:color="auto"/>
      </w:divBdr>
    </w:div>
    <w:div w:id="1079448739">
      <w:bodyDiv w:val="1"/>
      <w:marLeft w:val="0"/>
      <w:marRight w:val="0"/>
      <w:marTop w:val="0"/>
      <w:marBottom w:val="0"/>
      <w:divBdr>
        <w:top w:val="none" w:sz="0" w:space="0" w:color="auto"/>
        <w:left w:val="none" w:sz="0" w:space="0" w:color="auto"/>
        <w:bottom w:val="none" w:sz="0" w:space="0" w:color="auto"/>
        <w:right w:val="none" w:sz="0" w:space="0" w:color="auto"/>
      </w:divBdr>
    </w:div>
    <w:div w:id="1079594167">
      <w:bodyDiv w:val="1"/>
      <w:marLeft w:val="0"/>
      <w:marRight w:val="0"/>
      <w:marTop w:val="0"/>
      <w:marBottom w:val="0"/>
      <w:divBdr>
        <w:top w:val="none" w:sz="0" w:space="0" w:color="auto"/>
        <w:left w:val="none" w:sz="0" w:space="0" w:color="auto"/>
        <w:bottom w:val="none" w:sz="0" w:space="0" w:color="auto"/>
        <w:right w:val="none" w:sz="0" w:space="0" w:color="auto"/>
      </w:divBdr>
    </w:div>
    <w:div w:id="1079643746">
      <w:bodyDiv w:val="1"/>
      <w:marLeft w:val="0"/>
      <w:marRight w:val="0"/>
      <w:marTop w:val="0"/>
      <w:marBottom w:val="0"/>
      <w:divBdr>
        <w:top w:val="none" w:sz="0" w:space="0" w:color="auto"/>
        <w:left w:val="none" w:sz="0" w:space="0" w:color="auto"/>
        <w:bottom w:val="none" w:sz="0" w:space="0" w:color="auto"/>
        <w:right w:val="none" w:sz="0" w:space="0" w:color="auto"/>
      </w:divBdr>
    </w:div>
    <w:div w:id="1079711259">
      <w:bodyDiv w:val="1"/>
      <w:marLeft w:val="0"/>
      <w:marRight w:val="0"/>
      <w:marTop w:val="0"/>
      <w:marBottom w:val="0"/>
      <w:divBdr>
        <w:top w:val="none" w:sz="0" w:space="0" w:color="auto"/>
        <w:left w:val="none" w:sz="0" w:space="0" w:color="auto"/>
        <w:bottom w:val="none" w:sz="0" w:space="0" w:color="auto"/>
        <w:right w:val="none" w:sz="0" w:space="0" w:color="auto"/>
      </w:divBdr>
    </w:div>
    <w:div w:id="1079716861">
      <w:bodyDiv w:val="1"/>
      <w:marLeft w:val="0"/>
      <w:marRight w:val="0"/>
      <w:marTop w:val="0"/>
      <w:marBottom w:val="0"/>
      <w:divBdr>
        <w:top w:val="none" w:sz="0" w:space="0" w:color="auto"/>
        <w:left w:val="none" w:sz="0" w:space="0" w:color="auto"/>
        <w:bottom w:val="none" w:sz="0" w:space="0" w:color="auto"/>
        <w:right w:val="none" w:sz="0" w:space="0" w:color="auto"/>
      </w:divBdr>
    </w:div>
    <w:div w:id="1079790232">
      <w:bodyDiv w:val="1"/>
      <w:marLeft w:val="0"/>
      <w:marRight w:val="0"/>
      <w:marTop w:val="0"/>
      <w:marBottom w:val="0"/>
      <w:divBdr>
        <w:top w:val="none" w:sz="0" w:space="0" w:color="auto"/>
        <w:left w:val="none" w:sz="0" w:space="0" w:color="auto"/>
        <w:bottom w:val="none" w:sz="0" w:space="0" w:color="auto"/>
        <w:right w:val="none" w:sz="0" w:space="0" w:color="auto"/>
      </w:divBdr>
    </w:div>
    <w:div w:id="1079861003">
      <w:bodyDiv w:val="1"/>
      <w:marLeft w:val="0"/>
      <w:marRight w:val="0"/>
      <w:marTop w:val="0"/>
      <w:marBottom w:val="0"/>
      <w:divBdr>
        <w:top w:val="none" w:sz="0" w:space="0" w:color="auto"/>
        <w:left w:val="none" w:sz="0" w:space="0" w:color="auto"/>
        <w:bottom w:val="none" w:sz="0" w:space="0" w:color="auto"/>
        <w:right w:val="none" w:sz="0" w:space="0" w:color="auto"/>
      </w:divBdr>
    </w:div>
    <w:div w:id="1079866117">
      <w:bodyDiv w:val="1"/>
      <w:marLeft w:val="0"/>
      <w:marRight w:val="0"/>
      <w:marTop w:val="0"/>
      <w:marBottom w:val="0"/>
      <w:divBdr>
        <w:top w:val="none" w:sz="0" w:space="0" w:color="auto"/>
        <w:left w:val="none" w:sz="0" w:space="0" w:color="auto"/>
        <w:bottom w:val="none" w:sz="0" w:space="0" w:color="auto"/>
        <w:right w:val="none" w:sz="0" w:space="0" w:color="auto"/>
      </w:divBdr>
    </w:div>
    <w:div w:id="1080099710">
      <w:bodyDiv w:val="1"/>
      <w:marLeft w:val="0"/>
      <w:marRight w:val="0"/>
      <w:marTop w:val="0"/>
      <w:marBottom w:val="0"/>
      <w:divBdr>
        <w:top w:val="none" w:sz="0" w:space="0" w:color="auto"/>
        <w:left w:val="none" w:sz="0" w:space="0" w:color="auto"/>
        <w:bottom w:val="none" w:sz="0" w:space="0" w:color="auto"/>
        <w:right w:val="none" w:sz="0" w:space="0" w:color="auto"/>
      </w:divBdr>
    </w:div>
    <w:div w:id="1080131449">
      <w:bodyDiv w:val="1"/>
      <w:marLeft w:val="0"/>
      <w:marRight w:val="0"/>
      <w:marTop w:val="0"/>
      <w:marBottom w:val="0"/>
      <w:divBdr>
        <w:top w:val="none" w:sz="0" w:space="0" w:color="auto"/>
        <w:left w:val="none" w:sz="0" w:space="0" w:color="auto"/>
        <w:bottom w:val="none" w:sz="0" w:space="0" w:color="auto"/>
        <w:right w:val="none" w:sz="0" w:space="0" w:color="auto"/>
      </w:divBdr>
    </w:div>
    <w:div w:id="1080177168">
      <w:bodyDiv w:val="1"/>
      <w:marLeft w:val="0"/>
      <w:marRight w:val="0"/>
      <w:marTop w:val="0"/>
      <w:marBottom w:val="0"/>
      <w:divBdr>
        <w:top w:val="none" w:sz="0" w:space="0" w:color="auto"/>
        <w:left w:val="none" w:sz="0" w:space="0" w:color="auto"/>
        <w:bottom w:val="none" w:sz="0" w:space="0" w:color="auto"/>
        <w:right w:val="none" w:sz="0" w:space="0" w:color="auto"/>
      </w:divBdr>
    </w:div>
    <w:div w:id="1080371754">
      <w:bodyDiv w:val="1"/>
      <w:marLeft w:val="0"/>
      <w:marRight w:val="0"/>
      <w:marTop w:val="0"/>
      <w:marBottom w:val="0"/>
      <w:divBdr>
        <w:top w:val="none" w:sz="0" w:space="0" w:color="auto"/>
        <w:left w:val="none" w:sz="0" w:space="0" w:color="auto"/>
        <w:bottom w:val="none" w:sz="0" w:space="0" w:color="auto"/>
        <w:right w:val="none" w:sz="0" w:space="0" w:color="auto"/>
      </w:divBdr>
    </w:div>
    <w:div w:id="1080371820">
      <w:bodyDiv w:val="1"/>
      <w:marLeft w:val="0"/>
      <w:marRight w:val="0"/>
      <w:marTop w:val="0"/>
      <w:marBottom w:val="0"/>
      <w:divBdr>
        <w:top w:val="none" w:sz="0" w:space="0" w:color="auto"/>
        <w:left w:val="none" w:sz="0" w:space="0" w:color="auto"/>
        <w:bottom w:val="none" w:sz="0" w:space="0" w:color="auto"/>
        <w:right w:val="none" w:sz="0" w:space="0" w:color="auto"/>
      </w:divBdr>
    </w:div>
    <w:div w:id="1080444295">
      <w:bodyDiv w:val="1"/>
      <w:marLeft w:val="0"/>
      <w:marRight w:val="0"/>
      <w:marTop w:val="0"/>
      <w:marBottom w:val="0"/>
      <w:divBdr>
        <w:top w:val="none" w:sz="0" w:space="0" w:color="auto"/>
        <w:left w:val="none" w:sz="0" w:space="0" w:color="auto"/>
        <w:bottom w:val="none" w:sz="0" w:space="0" w:color="auto"/>
        <w:right w:val="none" w:sz="0" w:space="0" w:color="auto"/>
      </w:divBdr>
    </w:div>
    <w:div w:id="1080522385">
      <w:bodyDiv w:val="1"/>
      <w:marLeft w:val="0"/>
      <w:marRight w:val="0"/>
      <w:marTop w:val="0"/>
      <w:marBottom w:val="0"/>
      <w:divBdr>
        <w:top w:val="none" w:sz="0" w:space="0" w:color="auto"/>
        <w:left w:val="none" w:sz="0" w:space="0" w:color="auto"/>
        <w:bottom w:val="none" w:sz="0" w:space="0" w:color="auto"/>
        <w:right w:val="none" w:sz="0" w:space="0" w:color="auto"/>
      </w:divBdr>
    </w:div>
    <w:div w:id="1080561128">
      <w:bodyDiv w:val="1"/>
      <w:marLeft w:val="0"/>
      <w:marRight w:val="0"/>
      <w:marTop w:val="0"/>
      <w:marBottom w:val="0"/>
      <w:divBdr>
        <w:top w:val="none" w:sz="0" w:space="0" w:color="auto"/>
        <w:left w:val="none" w:sz="0" w:space="0" w:color="auto"/>
        <w:bottom w:val="none" w:sz="0" w:space="0" w:color="auto"/>
        <w:right w:val="none" w:sz="0" w:space="0" w:color="auto"/>
      </w:divBdr>
    </w:div>
    <w:div w:id="1080568274">
      <w:bodyDiv w:val="1"/>
      <w:marLeft w:val="0"/>
      <w:marRight w:val="0"/>
      <w:marTop w:val="0"/>
      <w:marBottom w:val="0"/>
      <w:divBdr>
        <w:top w:val="none" w:sz="0" w:space="0" w:color="auto"/>
        <w:left w:val="none" w:sz="0" w:space="0" w:color="auto"/>
        <w:bottom w:val="none" w:sz="0" w:space="0" w:color="auto"/>
        <w:right w:val="none" w:sz="0" w:space="0" w:color="auto"/>
      </w:divBdr>
    </w:div>
    <w:div w:id="1080902882">
      <w:bodyDiv w:val="1"/>
      <w:marLeft w:val="0"/>
      <w:marRight w:val="0"/>
      <w:marTop w:val="0"/>
      <w:marBottom w:val="0"/>
      <w:divBdr>
        <w:top w:val="none" w:sz="0" w:space="0" w:color="auto"/>
        <w:left w:val="none" w:sz="0" w:space="0" w:color="auto"/>
        <w:bottom w:val="none" w:sz="0" w:space="0" w:color="auto"/>
        <w:right w:val="none" w:sz="0" w:space="0" w:color="auto"/>
      </w:divBdr>
    </w:div>
    <w:div w:id="1081028866">
      <w:bodyDiv w:val="1"/>
      <w:marLeft w:val="0"/>
      <w:marRight w:val="0"/>
      <w:marTop w:val="0"/>
      <w:marBottom w:val="0"/>
      <w:divBdr>
        <w:top w:val="none" w:sz="0" w:space="0" w:color="auto"/>
        <w:left w:val="none" w:sz="0" w:space="0" w:color="auto"/>
        <w:bottom w:val="none" w:sz="0" w:space="0" w:color="auto"/>
        <w:right w:val="none" w:sz="0" w:space="0" w:color="auto"/>
      </w:divBdr>
    </w:div>
    <w:div w:id="1081029933">
      <w:bodyDiv w:val="1"/>
      <w:marLeft w:val="0"/>
      <w:marRight w:val="0"/>
      <w:marTop w:val="0"/>
      <w:marBottom w:val="0"/>
      <w:divBdr>
        <w:top w:val="none" w:sz="0" w:space="0" w:color="auto"/>
        <w:left w:val="none" w:sz="0" w:space="0" w:color="auto"/>
        <w:bottom w:val="none" w:sz="0" w:space="0" w:color="auto"/>
        <w:right w:val="none" w:sz="0" w:space="0" w:color="auto"/>
      </w:divBdr>
    </w:div>
    <w:div w:id="1081365257">
      <w:bodyDiv w:val="1"/>
      <w:marLeft w:val="0"/>
      <w:marRight w:val="0"/>
      <w:marTop w:val="0"/>
      <w:marBottom w:val="0"/>
      <w:divBdr>
        <w:top w:val="none" w:sz="0" w:space="0" w:color="auto"/>
        <w:left w:val="none" w:sz="0" w:space="0" w:color="auto"/>
        <w:bottom w:val="none" w:sz="0" w:space="0" w:color="auto"/>
        <w:right w:val="none" w:sz="0" w:space="0" w:color="auto"/>
      </w:divBdr>
    </w:div>
    <w:div w:id="1081367026">
      <w:bodyDiv w:val="1"/>
      <w:marLeft w:val="0"/>
      <w:marRight w:val="0"/>
      <w:marTop w:val="0"/>
      <w:marBottom w:val="0"/>
      <w:divBdr>
        <w:top w:val="none" w:sz="0" w:space="0" w:color="auto"/>
        <w:left w:val="none" w:sz="0" w:space="0" w:color="auto"/>
        <w:bottom w:val="none" w:sz="0" w:space="0" w:color="auto"/>
        <w:right w:val="none" w:sz="0" w:space="0" w:color="auto"/>
      </w:divBdr>
    </w:div>
    <w:div w:id="1081414571">
      <w:bodyDiv w:val="1"/>
      <w:marLeft w:val="0"/>
      <w:marRight w:val="0"/>
      <w:marTop w:val="0"/>
      <w:marBottom w:val="0"/>
      <w:divBdr>
        <w:top w:val="none" w:sz="0" w:space="0" w:color="auto"/>
        <w:left w:val="none" w:sz="0" w:space="0" w:color="auto"/>
        <w:bottom w:val="none" w:sz="0" w:space="0" w:color="auto"/>
        <w:right w:val="none" w:sz="0" w:space="0" w:color="auto"/>
      </w:divBdr>
    </w:div>
    <w:div w:id="1081558725">
      <w:bodyDiv w:val="1"/>
      <w:marLeft w:val="0"/>
      <w:marRight w:val="0"/>
      <w:marTop w:val="0"/>
      <w:marBottom w:val="0"/>
      <w:divBdr>
        <w:top w:val="none" w:sz="0" w:space="0" w:color="auto"/>
        <w:left w:val="none" w:sz="0" w:space="0" w:color="auto"/>
        <w:bottom w:val="none" w:sz="0" w:space="0" w:color="auto"/>
        <w:right w:val="none" w:sz="0" w:space="0" w:color="auto"/>
      </w:divBdr>
    </w:div>
    <w:div w:id="1081607498">
      <w:bodyDiv w:val="1"/>
      <w:marLeft w:val="0"/>
      <w:marRight w:val="0"/>
      <w:marTop w:val="0"/>
      <w:marBottom w:val="0"/>
      <w:divBdr>
        <w:top w:val="none" w:sz="0" w:space="0" w:color="auto"/>
        <w:left w:val="none" w:sz="0" w:space="0" w:color="auto"/>
        <w:bottom w:val="none" w:sz="0" w:space="0" w:color="auto"/>
        <w:right w:val="none" w:sz="0" w:space="0" w:color="auto"/>
      </w:divBdr>
    </w:div>
    <w:div w:id="1081637301">
      <w:bodyDiv w:val="1"/>
      <w:marLeft w:val="0"/>
      <w:marRight w:val="0"/>
      <w:marTop w:val="0"/>
      <w:marBottom w:val="0"/>
      <w:divBdr>
        <w:top w:val="none" w:sz="0" w:space="0" w:color="auto"/>
        <w:left w:val="none" w:sz="0" w:space="0" w:color="auto"/>
        <w:bottom w:val="none" w:sz="0" w:space="0" w:color="auto"/>
        <w:right w:val="none" w:sz="0" w:space="0" w:color="auto"/>
      </w:divBdr>
    </w:div>
    <w:div w:id="1081758200">
      <w:bodyDiv w:val="1"/>
      <w:marLeft w:val="0"/>
      <w:marRight w:val="0"/>
      <w:marTop w:val="0"/>
      <w:marBottom w:val="0"/>
      <w:divBdr>
        <w:top w:val="none" w:sz="0" w:space="0" w:color="auto"/>
        <w:left w:val="none" w:sz="0" w:space="0" w:color="auto"/>
        <w:bottom w:val="none" w:sz="0" w:space="0" w:color="auto"/>
        <w:right w:val="none" w:sz="0" w:space="0" w:color="auto"/>
      </w:divBdr>
    </w:div>
    <w:div w:id="1081758758">
      <w:bodyDiv w:val="1"/>
      <w:marLeft w:val="0"/>
      <w:marRight w:val="0"/>
      <w:marTop w:val="0"/>
      <w:marBottom w:val="0"/>
      <w:divBdr>
        <w:top w:val="none" w:sz="0" w:space="0" w:color="auto"/>
        <w:left w:val="none" w:sz="0" w:space="0" w:color="auto"/>
        <w:bottom w:val="none" w:sz="0" w:space="0" w:color="auto"/>
        <w:right w:val="none" w:sz="0" w:space="0" w:color="auto"/>
      </w:divBdr>
    </w:div>
    <w:div w:id="1081870856">
      <w:bodyDiv w:val="1"/>
      <w:marLeft w:val="0"/>
      <w:marRight w:val="0"/>
      <w:marTop w:val="0"/>
      <w:marBottom w:val="0"/>
      <w:divBdr>
        <w:top w:val="none" w:sz="0" w:space="0" w:color="auto"/>
        <w:left w:val="none" w:sz="0" w:space="0" w:color="auto"/>
        <w:bottom w:val="none" w:sz="0" w:space="0" w:color="auto"/>
        <w:right w:val="none" w:sz="0" w:space="0" w:color="auto"/>
      </w:divBdr>
    </w:div>
    <w:div w:id="1081872290">
      <w:bodyDiv w:val="1"/>
      <w:marLeft w:val="0"/>
      <w:marRight w:val="0"/>
      <w:marTop w:val="0"/>
      <w:marBottom w:val="0"/>
      <w:divBdr>
        <w:top w:val="none" w:sz="0" w:space="0" w:color="auto"/>
        <w:left w:val="none" w:sz="0" w:space="0" w:color="auto"/>
        <w:bottom w:val="none" w:sz="0" w:space="0" w:color="auto"/>
        <w:right w:val="none" w:sz="0" w:space="0" w:color="auto"/>
      </w:divBdr>
    </w:div>
    <w:div w:id="1081873422">
      <w:bodyDiv w:val="1"/>
      <w:marLeft w:val="0"/>
      <w:marRight w:val="0"/>
      <w:marTop w:val="0"/>
      <w:marBottom w:val="0"/>
      <w:divBdr>
        <w:top w:val="none" w:sz="0" w:space="0" w:color="auto"/>
        <w:left w:val="none" w:sz="0" w:space="0" w:color="auto"/>
        <w:bottom w:val="none" w:sz="0" w:space="0" w:color="auto"/>
        <w:right w:val="none" w:sz="0" w:space="0" w:color="auto"/>
      </w:divBdr>
    </w:div>
    <w:div w:id="1081945691">
      <w:bodyDiv w:val="1"/>
      <w:marLeft w:val="0"/>
      <w:marRight w:val="0"/>
      <w:marTop w:val="0"/>
      <w:marBottom w:val="0"/>
      <w:divBdr>
        <w:top w:val="none" w:sz="0" w:space="0" w:color="auto"/>
        <w:left w:val="none" w:sz="0" w:space="0" w:color="auto"/>
        <w:bottom w:val="none" w:sz="0" w:space="0" w:color="auto"/>
        <w:right w:val="none" w:sz="0" w:space="0" w:color="auto"/>
      </w:divBdr>
    </w:div>
    <w:div w:id="1082022657">
      <w:bodyDiv w:val="1"/>
      <w:marLeft w:val="0"/>
      <w:marRight w:val="0"/>
      <w:marTop w:val="0"/>
      <w:marBottom w:val="0"/>
      <w:divBdr>
        <w:top w:val="none" w:sz="0" w:space="0" w:color="auto"/>
        <w:left w:val="none" w:sz="0" w:space="0" w:color="auto"/>
        <w:bottom w:val="none" w:sz="0" w:space="0" w:color="auto"/>
        <w:right w:val="none" w:sz="0" w:space="0" w:color="auto"/>
      </w:divBdr>
    </w:div>
    <w:div w:id="1082070522">
      <w:bodyDiv w:val="1"/>
      <w:marLeft w:val="0"/>
      <w:marRight w:val="0"/>
      <w:marTop w:val="0"/>
      <w:marBottom w:val="0"/>
      <w:divBdr>
        <w:top w:val="none" w:sz="0" w:space="0" w:color="auto"/>
        <w:left w:val="none" w:sz="0" w:space="0" w:color="auto"/>
        <w:bottom w:val="none" w:sz="0" w:space="0" w:color="auto"/>
        <w:right w:val="none" w:sz="0" w:space="0" w:color="auto"/>
      </w:divBdr>
    </w:div>
    <w:div w:id="1082095628">
      <w:bodyDiv w:val="1"/>
      <w:marLeft w:val="0"/>
      <w:marRight w:val="0"/>
      <w:marTop w:val="0"/>
      <w:marBottom w:val="0"/>
      <w:divBdr>
        <w:top w:val="none" w:sz="0" w:space="0" w:color="auto"/>
        <w:left w:val="none" w:sz="0" w:space="0" w:color="auto"/>
        <w:bottom w:val="none" w:sz="0" w:space="0" w:color="auto"/>
        <w:right w:val="none" w:sz="0" w:space="0" w:color="auto"/>
      </w:divBdr>
    </w:div>
    <w:div w:id="1082264409">
      <w:bodyDiv w:val="1"/>
      <w:marLeft w:val="0"/>
      <w:marRight w:val="0"/>
      <w:marTop w:val="0"/>
      <w:marBottom w:val="0"/>
      <w:divBdr>
        <w:top w:val="none" w:sz="0" w:space="0" w:color="auto"/>
        <w:left w:val="none" w:sz="0" w:space="0" w:color="auto"/>
        <w:bottom w:val="none" w:sz="0" w:space="0" w:color="auto"/>
        <w:right w:val="none" w:sz="0" w:space="0" w:color="auto"/>
      </w:divBdr>
    </w:div>
    <w:div w:id="1082333227">
      <w:bodyDiv w:val="1"/>
      <w:marLeft w:val="0"/>
      <w:marRight w:val="0"/>
      <w:marTop w:val="0"/>
      <w:marBottom w:val="0"/>
      <w:divBdr>
        <w:top w:val="none" w:sz="0" w:space="0" w:color="auto"/>
        <w:left w:val="none" w:sz="0" w:space="0" w:color="auto"/>
        <w:bottom w:val="none" w:sz="0" w:space="0" w:color="auto"/>
        <w:right w:val="none" w:sz="0" w:space="0" w:color="auto"/>
      </w:divBdr>
    </w:div>
    <w:div w:id="1082408512">
      <w:bodyDiv w:val="1"/>
      <w:marLeft w:val="0"/>
      <w:marRight w:val="0"/>
      <w:marTop w:val="0"/>
      <w:marBottom w:val="0"/>
      <w:divBdr>
        <w:top w:val="none" w:sz="0" w:space="0" w:color="auto"/>
        <w:left w:val="none" w:sz="0" w:space="0" w:color="auto"/>
        <w:bottom w:val="none" w:sz="0" w:space="0" w:color="auto"/>
        <w:right w:val="none" w:sz="0" w:space="0" w:color="auto"/>
      </w:divBdr>
    </w:div>
    <w:div w:id="1082458867">
      <w:bodyDiv w:val="1"/>
      <w:marLeft w:val="0"/>
      <w:marRight w:val="0"/>
      <w:marTop w:val="0"/>
      <w:marBottom w:val="0"/>
      <w:divBdr>
        <w:top w:val="none" w:sz="0" w:space="0" w:color="auto"/>
        <w:left w:val="none" w:sz="0" w:space="0" w:color="auto"/>
        <w:bottom w:val="none" w:sz="0" w:space="0" w:color="auto"/>
        <w:right w:val="none" w:sz="0" w:space="0" w:color="auto"/>
      </w:divBdr>
    </w:div>
    <w:div w:id="1082530386">
      <w:bodyDiv w:val="1"/>
      <w:marLeft w:val="0"/>
      <w:marRight w:val="0"/>
      <w:marTop w:val="0"/>
      <w:marBottom w:val="0"/>
      <w:divBdr>
        <w:top w:val="none" w:sz="0" w:space="0" w:color="auto"/>
        <w:left w:val="none" w:sz="0" w:space="0" w:color="auto"/>
        <w:bottom w:val="none" w:sz="0" w:space="0" w:color="auto"/>
        <w:right w:val="none" w:sz="0" w:space="0" w:color="auto"/>
      </w:divBdr>
    </w:div>
    <w:div w:id="1082530837">
      <w:bodyDiv w:val="1"/>
      <w:marLeft w:val="0"/>
      <w:marRight w:val="0"/>
      <w:marTop w:val="0"/>
      <w:marBottom w:val="0"/>
      <w:divBdr>
        <w:top w:val="none" w:sz="0" w:space="0" w:color="auto"/>
        <w:left w:val="none" w:sz="0" w:space="0" w:color="auto"/>
        <w:bottom w:val="none" w:sz="0" w:space="0" w:color="auto"/>
        <w:right w:val="none" w:sz="0" w:space="0" w:color="auto"/>
      </w:divBdr>
    </w:div>
    <w:div w:id="1082532568">
      <w:bodyDiv w:val="1"/>
      <w:marLeft w:val="0"/>
      <w:marRight w:val="0"/>
      <w:marTop w:val="0"/>
      <w:marBottom w:val="0"/>
      <w:divBdr>
        <w:top w:val="none" w:sz="0" w:space="0" w:color="auto"/>
        <w:left w:val="none" w:sz="0" w:space="0" w:color="auto"/>
        <w:bottom w:val="none" w:sz="0" w:space="0" w:color="auto"/>
        <w:right w:val="none" w:sz="0" w:space="0" w:color="auto"/>
      </w:divBdr>
    </w:div>
    <w:div w:id="1082601070">
      <w:bodyDiv w:val="1"/>
      <w:marLeft w:val="0"/>
      <w:marRight w:val="0"/>
      <w:marTop w:val="0"/>
      <w:marBottom w:val="0"/>
      <w:divBdr>
        <w:top w:val="none" w:sz="0" w:space="0" w:color="auto"/>
        <w:left w:val="none" w:sz="0" w:space="0" w:color="auto"/>
        <w:bottom w:val="none" w:sz="0" w:space="0" w:color="auto"/>
        <w:right w:val="none" w:sz="0" w:space="0" w:color="auto"/>
      </w:divBdr>
    </w:div>
    <w:div w:id="1082726970">
      <w:bodyDiv w:val="1"/>
      <w:marLeft w:val="0"/>
      <w:marRight w:val="0"/>
      <w:marTop w:val="0"/>
      <w:marBottom w:val="0"/>
      <w:divBdr>
        <w:top w:val="none" w:sz="0" w:space="0" w:color="auto"/>
        <w:left w:val="none" w:sz="0" w:space="0" w:color="auto"/>
        <w:bottom w:val="none" w:sz="0" w:space="0" w:color="auto"/>
        <w:right w:val="none" w:sz="0" w:space="0" w:color="auto"/>
      </w:divBdr>
    </w:div>
    <w:div w:id="1082797195">
      <w:bodyDiv w:val="1"/>
      <w:marLeft w:val="0"/>
      <w:marRight w:val="0"/>
      <w:marTop w:val="0"/>
      <w:marBottom w:val="0"/>
      <w:divBdr>
        <w:top w:val="none" w:sz="0" w:space="0" w:color="auto"/>
        <w:left w:val="none" w:sz="0" w:space="0" w:color="auto"/>
        <w:bottom w:val="none" w:sz="0" w:space="0" w:color="auto"/>
        <w:right w:val="none" w:sz="0" w:space="0" w:color="auto"/>
      </w:divBdr>
    </w:div>
    <w:div w:id="1082800957">
      <w:bodyDiv w:val="1"/>
      <w:marLeft w:val="0"/>
      <w:marRight w:val="0"/>
      <w:marTop w:val="0"/>
      <w:marBottom w:val="0"/>
      <w:divBdr>
        <w:top w:val="none" w:sz="0" w:space="0" w:color="auto"/>
        <w:left w:val="none" w:sz="0" w:space="0" w:color="auto"/>
        <w:bottom w:val="none" w:sz="0" w:space="0" w:color="auto"/>
        <w:right w:val="none" w:sz="0" w:space="0" w:color="auto"/>
      </w:divBdr>
    </w:div>
    <w:div w:id="1082801097">
      <w:bodyDiv w:val="1"/>
      <w:marLeft w:val="0"/>
      <w:marRight w:val="0"/>
      <w:marTop w:val="0"/>
      <w:marBottom w:val="0"/>
      <w:divBdr>
        <w:top w:val="none" w:sz="0" w:space="0" w:color="auto"/>
        <w:left w:val="none" w:sz="0" w:space="0" w:color="auto"/>
        <w:bottom w:val="none" w:sz="0" w:space="0" w:color="auto"/>
        <w:right w:val="none" w:sz="0" w:space="0" w:color="auto"/>
      </w:divBdr>
    </w:div>
    <w:div w:id="1082986469">
      <w:bodyDiv w:val="1"/>
      <w:marLeft w:val="0"/>
      <w:marRight w:val="0"/>
      <w:marTop w:val="0"/>
      <w:marBottom w:val="0"/>
      <w:divBdr>
        <w:top w:val="none" w:sz="0" w:space="0" w:color="auto"/>
        <w:left w:val="none" w:sz="0" w:space="0" w:color="auto"/>
        <w:bottom w:val="none" w:sz="0" w:space="0" w:color="auto"/>
        <w:right w:val="none" w:sz="0" w:space="0" w:color="auto"/>
      </w:divBdr>
    </w:div>
    <w:div w:id="1082995479">
      <w:bodyDiv w:val="1"/>
      <w:marLeft w:val="0"/>
      <w:marRight w:val="0"/>
      <w:marTop w:val="0"/>
      <w:marBottom w:val="0"/>
      <w:divBdr>
        <w:top w:val="none" w:sz="0" w:space="0" w:color="auto"/>
        <w:left w:val="none" w:sz="0" w:space="0" w:color="auto"/>
        <w:bottom w:val="none" w:sz="0" w:space="0" w:color="auto"/>
        <w:right w:val="none" w:sz="0" w:space="0" w:color="auto"/>
      </w:divBdr>
    </w:div>
    <w:div w:id="1083068346">
      <w:bodyDiv w:val="1"/>
      <w:marLeft w:val="0"/>
      <w:marRight w:val="0"/>
      <w:marTop w:val="0"/>
      <w:marBottom w:val="0"/>
      <w:divBdr>
        <w:top w:val="none" w:sz="0" w:space="0" w:color="auto"/>
        <w:left w:val="none" w:sz="0" w:space="0" w:color="auto"/>
        <w:bottom w:val="none" w:sz="0" w:space="0" w:color="auto"/>
        <w:right w:val="none" w:sz="0" w:space="0" w:color="auto"/>
      </w:divBdr>
    </w:div>
    <w:div w:id="1083144832">
      <w:bodyDiv w:val="1"/>
      <w:marLeft w:val="0"/>
      <w:marRight w:val="0"/>
      <w:marTop w:val="0"/>
      <w:marBottom w:val="0"/>
      <w:divBdr>
        <w:top w:val="none" w:sz="0" w:space="0" w:color="auto"/>
        <w:left w:val="none" w:sz="0" w:space="0" w:color="auto"/>
        <w:bottom w:val="none" w:sz="0" w:space="0" w:color="auto"/>
        <w:right w:val="none" w:sz="0" w:space="0" w:color="auto"/>
      </w:divBdr>
    </w:div>
    <w:div w:id="1083188044">
      <w:bodyDiv w:val="1"/>
      <w:marLeft w:val="0"/>
      <w:marRight w:val="0"/>
      <w:marTop w:val="0"/>
      <w:marBottom w:val="0"/>
      <w:divBdr>
        <w:top w:val="none" w:sz="0" w:space="0" w:color="auto"/>
        <w:left w:val="none" w:sz="0" w:space="0" w:color="auto"/>
        <w:bottom w:val="none" w:sz="0" w:space="0" w:color="auto"/>
        <w:right w:val="none" w:sz="0" w:space="0" w:color="auto"/>
      </w:divBdr>
    </w:div>
    <w:div w:id="1083262297">
      <w:bodyDiv w:val="1"/>
      <w:marLeft w:val="0"/>
      <w:marRight w:val="0"/>
      <w:marTop w:val="0"/>
      <w:marBottom w:val="0"/>
      <w:divBdr>
        <w:top w:val="none" w:sz="0" w:space="0" w:color="auto"/>
        <w:left w:val="none" w:sz="0" w:space="0" w:color="auto"/>
        <w:bottom w:val="none" w:sz="0" w:space="0" w:color="auto"/>
        <w:right w:val="none" w:sz="0" w:space="0" w:color="auto"/>
      </w:divBdr>
    </w:div>
    <w:div w:id="1083262588">
      <w:bodyDiv w:val="1"/>
      <w:marLeft w:val="0"/>
      <w:marRight w:val="0"/>
      <w:marTop w:val="0"/>
      <w:marBottom w:val="0"/>
      <w:divBdr>
        <w:top w:val="none" w:sz="0" w:space="0" w:color="auto"/>
        <w:left w:val="none" w:sz="0" w:space="0" w:color="auto"/>
        <w:bottom w:val="none" w:sz="0" w:space="0" w:color="auto"/>
        <w:right w:val="none" w:sz="0" w:space="0" w:color="auto"/>
      </w:divBdr>
    </w:div>
    <w:div w:id="1083331687">
      <w:bodyDiv w:val="1"/>
      <w:marLeft w:val="0"/>
      <w:marRight w:val="0"/>
      <w:marTop w:val="0"/>
      <w:marBottom w:val="0"/>
      <w:divBdr>
        <w:top w:val="none" w:sz="0" w:space="0" w:color="auto"/>
        <w:left w:val="none" w:sz="0" w:space="0" w:color="auto"/>
        <w:bottom w:val="none" w:sz="0" w:space="0" w:color="auto"/>
        <w:right w:val="none" w:sz="0" w:space="0" w:color="auto"/>
      </w:divBdr>
    </w:div>
    <w:div w:id="1083339021">
      <w:bodyDiv w:val="1"/>
      <w:marLeft w:val="0"/>
      <w:marRight w:val="0"/>
      <w:marTop w:val="0"/>
      <w:marBottom w:val="0"/>
      <w:divBdr>
        <w:top w:val="none" w:sz="0" w:space="0" w:color="auto"/>
        <w:left w:val="none" w:sz="0" w:space="0" w:color="auto"/>
        <w:bottom w:val="none" w:sz="0" w:space="0" w:color="auto"/>
        <w:right w:val="none" w:sz="0" w:space="0" w:color="auto"/>
      </w:divBdr>
    </w:div>
    <w:div w:id="1083380648">
      <w:bodyDiv w:val="1"/>
      <w:marLeft w:val="0"/>
      <w:marRight w:val="0"/>
      <w:marTop w:val="0"/>
      <w:marBottom w:val="0"/>
      <w:divBdr>
        <w:top w:val="none" w:sz="0" w:space="0" w:color="auto"/>
        <w:left w:val="none" w:sz="0" w:space="0" w:color="auto"/>
        <w:bottom w:val="none" w:sz="0" w:space="0" w:color="auto"/>
        <w:right w:val="none" w:sz="0" w:space="0" w:color="auto"/>
      </w:divBdr>
    </w:div>
    <w:div w:id="1083451109">
      <w:bodyDiv w:val="1"/>
      <w:marLeft w:val="0"/>
      <w:marRight w:val="0"/>
      <w:marTop w:val="0"/>
      <w:marBottom w:val="0"/>
      <w:divBdr>
        <w:top w:val="none" w:sz="0" w:space="0" w:color="auto"/>
        <w:left w:val="none" w:sz="0" w:space="0" w:color="auto"/>
        <w:bottom w:val="none" w:sz="0" w:space="0" w:color="auto"/>
        <w:right w:val="none" w:sz="0" w:space="0" w:color="auto"/>
      </w:divBdr>
    </w:div>
    <w:div w:id="1083451723">
      <w:bodyDiv w:val="1"/>
      <w:marLeft w:val="0"/>
      <w:marRight w:val="0"/>
      <w:marTop w:val="0"/>
      <w:marBottom w:val="0"/>
      <w:divBdr>
        <w:top w:val="none" w:sz="0" w:space="0" w:color="auto"/>
        <w:left w:val="none" w:sz="0" w:space="0" w:color="auto"/>
        <w:bottom w:val="none" w:sz="0" w:space="0" w:color="auto"/>
        <w:right w:val="none" w:sz="0" w:space="0" w:color="auto"/>
      </w:divBdr>
    </w:div>
    <w:div w:id="1083523906">
      <w:bodyDiv w:val="1"/>
      <w:marLeft w:val="0"/>
      <w:marRight w:val="0"/>
      <w:marTop w:val="0"/>
      <w:marBottom w:val="0"/>
      <w:divBdr>
        <w:top w:val="none" w:sz="0" w:space="0" w:color="auto"/>
        <w:left w:val="none" w:sz="0" w:space="0" w:color="auto"/>
        <w:bottom w:val="none" w:sz="0" w:space="0" w:color="auto"/>
        <w:right w:val="none" w:sz="0" w:space="0" w:color="auto"/>
      </w:divBdr>
    </w:div>
    <w:div w:id="1083529180">
      <w:bodyDiv w:val="1"/>
      <w:marLeft w:val="0"/>
      <w:marRight w:val="0"/>
      <w:marTop w:val="0"/>
      <w:marBottom w:val="0"/>
      <w:divBdr>
        <w:top w:val="none" w:sz="0" w:space="0" w:color="auto"/>
        <w:left w:val="none" w:sz="0" w:space="0" w:color="auto"/>
        <w:bottom w:val="none" w:sz="0" w:space="0" w:color="auto"/>
        <w:right w:val="none" w:sz="0" w:space="0" w:color="auto"/>
      </w:divBdr>
    </w:div>
    <w:div w:id="1083600273">
      <w:bodyDiv w:val="1"/>
      <w:marLeft w:val="0"/>
      <w:marRight w:val="0"/>
      <w:marTop w:val="0"/>
      <w:marBottom w:val="0"/>
      <w:divBdr>
        <w:top w:val="none" w:sz="0" w:space="0" w:color="auto"/>
        <w:left w:val="none" w:sz="0" w:space="0" w:color="auto"/>
        <w:bottom w:val="none" w:sz="0" w:space="0" w:color="auto"/>
        <w:right w:val="none" w:sz="0" w:space="0" w:color="auto"/>
      </w:divBdr>
    </w:div>
    <w:div w:id="1083602519">
      <w:bodyDiv w:val="1"/>
      <w:marLeft w:val="0"/>
      <w:marRight w:val="0"/>
      <w:marTop w:val="0"/>
      <w:marBottom w:val="0"/>
      <w:divBdr>
        <w:top w:val="none" w:sz="0" w:space="0" w:color="auto"/>
        <w:left w:val="none" w:sz="0" w:space="0" w:color="auto"/>
        <w:bottom w:val="none" w:sz="0" w:space="0" w:color="auto"/>
        <w:right w:val="none" w:sz="0" w:space="0" w:color="auto"/>
      </w:divBdr>
    </w:div>
    <w:div w:id="1083718925">
      <w:bodyDiv w:val="1"/>
      <w:marLeft w:val="0"/>
      <w:marRight w:val="0"/>
      <w:marTop w:val="0"/>
      <w:marBottom w:val="0"/>
      <w:divBdr>
        <w:top w:val="none" w:sz="0" w:space="0" w:color="auto"/>
        <w:left w:val="none" w:sz="0" w:space="0" w:color="auto"/>
        <w:bottom w:val="none" w:sz="0" w:space="0" w:color="auto"/>
        <w:right w:val="none" w:sz="0" w:space="0" w:color="auto"/>
      </w:divBdr>
    </w:div>
    <w:div w:id="1083800824">
      <w:bodyDiv w:val="1"/>
      <w:marLeft w:val="0"/>
      <w:marRight w:val="0"/>
      <w:marTop w:val="0"/>
      <w:marBottom w:val="0"/>
      <w:divBdr>
        <w:top w:val="none" w:sz="0" w:space="0" w:color="auto"/>
        <w:left w:val="none" w:sz="0" w:space="0" w:color="auto"/>
        <w:bottom w:val="none" w:sz="0" w:space="0" w:color="auto"/>
        <w:right w:val="none" w:sz="0" w:space="0" w:color="auto"/>
      </w:divBdr>
    </w:div>
    <w:div w:id="1083994331">
      <w:bodyDiv w:val="1"/>
      <w:marLeft w:val="0"/>
      <w:marRight w:val="0"/>
      <w:marTop w:val="0"/>
      <w:marBottom w:val="0"/>
      <w:divBdr>
        <w:top w:val="none" w:sz="0" w:space="0" w:color="auto"/>
        <w:left w:val="none" w:sz="0" w:space="0" w:color="auto"/>
        <w:bottom w:val="none" w:sz="0" w:space="0" w:color="auto"/>
        <w:right w:val="none" w:sz="0" w:space="0" w:color="auto"/>
      </w:divBdr>
    </w:div>
    <w:div w:id="1084061528">
      <w:bodyDiv w:val="1"/>
      <w:marLeft w:val="0"/>
      <w:marRight w:val="0"/>
      <w:marTop w:val="0"/>
      <w:marBottom w:val="0"/>
      <w:divBdr>
        <w:top w:val="none" w:sz="0" w:space="0" w:color="auto"/>
        <w:left w:val="none" w:sz="0" w:space="0" w:color="auto"/>
        <w:bottom w:val="none" w:sz="0" w:space="0" w:color="auto"/>
        <w:right w:val="none" w:sz="0" w:space="0" w:color="auto"/>
      </w:divBdr>
    </w:div>
    <w:div w:id="1084063439">
      <w:bodyDiv w:val="1"/>
      <w:marLeft w:val="0"/>
      <w:marRight w:val="0"/>
      <w:marTop w:val="0"/>
      <w:marBottom w:val="0"/>
      <w:divBdr>
        <w:top w:val="none" w:sz="0" w:space="0" w:color="auto"/>
        <w:left w:val="none" w:sz="0" w:space="0" w:color="auto"/>
        <w:bottom w:val="none" w:sz="0" w:space="0" w:color="auto"/>
        <w:right w:val="none" w:sz="0" w:space="0" w:color="auto"/>
      </w:divBdr>
    </w:div>
    <w:div w:id="1084182270">
      <w:bodyDiv w:val="1"/>
      <w:marLeft w:val="0"/>
      <w:marRight w:val="0"/>
      <w:marTop w:val="0"/>
      <w:marBottom w:val="0"/>
      <w:divBdr>
        <w:top w:val="none" w:sz="0" w:space="0" w:color="auto"/>
        <w:left w:val="none" w:sz="0" w:space="0" w:color="auto"/>
        <w:bottom w:val="none" w:sz="0" w:space="0" w:color="auto"/>
        <w:right w:val="none" w:sz="0" w:space="0" w:color="auto"/>
      </w:divBdr>
    </w:div>
    <w:div w:id="1084230787">
      <w:bodyDiv w:val="1"/>
      <w:marLeft w:val="0"/>
      <w:marRight w:val="0"/>
      <w:marTop w:val="0"/>
      <w:marBottom w:val="0"/>
      <w:divBdr>
        <w:top w:val="none" w:sz="0" w:space="0" w:color="auto"/>
        <w:left w:val="none" w:sz="0" w:space="0" w:color="auto"/>
        <w:bottom w:val="none" w:sz="0" w:space="0" w:color="auto"/>
        <w:right w:val="none" w:sz="0" w:space="0" w:color="auto"/>
      </w:divBdr>
    </w:div>
    <w:div w:id="1084299008">
      <w:bodyDiv w:val="1"/>
      <w:marLeft w:val="0"/>
      <w:marRight w:val="0"/>
      <w:marTop w:val="0"/>
      <w:marBottom w:val="0"/>
      <w:divBdr>
        <w:top w:val="none" w:sz="0" w:space="0" w:color="auto"/>
        <w:left w:val="none" w:sz="0" w:space="0" w:color="auto"/>
        <w:bottom w:val="none" w:sz="0" w:space="0" w:color="auto"/>
        <w:right w:val="none" w:sz="0" w:space="0" w:color="auto"/>
      </w:divBdr>
    </w:div>
    <w:div w:id="1084299237">
      <w:bodyDiv w:val="1"/>
      <w:marLeft w:val="0"/>
      <w:marRight w:val="0"/>
      <w:marTop w:val="0"/>
      <w:marBottom w:val="0"/>
      <w:divBdr>
        <w:top w:val="none" w:sz="0" w:space="0" w:color="auto"/>
        <w:left w:val="none" w:sz="0" w:space="0" w:color="auto"/>
        <w:bottom w:val="none" w:sz="0" w:space="0" w:color="auto"/>
        <w:right w:val="none" w:sz="0" w:space="0" w:color="auto"/>
      </w:divBdr>
    </w:div>
    <w:div w:id="1084375039">
      <w:bodyDiv w:val="1"/>
      <w:marLeft w:val="0"/>
      <w:marRight w:val="0"/>
      <w:marTop w:val="0"/>
      <w:marBottom w:val="0"/>
      <w:divBdr>
        <w:top w:val="none" w:sz="0" w:space="0" w:color="auto"/>
        <w:left w:val="none" w:sz="0" w:space="0" w:color="auto"/>
        <w:bottom w:val="none" w:sz="0" w:space="0" w:color="auto"/>
        <w:right w:val="none" w:sz="0" w:space="0" w:color="auto"/>
      </w:divBdr>
    </w:div>
    <w:div w:id="1084381724">
      <w:bodyDiv w:val="1"/>
      <w:marLeft w:val="0"/>
      <w:marRight w:val="0"/>
      <w:marTop w:val="0"/>
      <w:marBottom w:val="0"/>
      <w:divBdr>
        <w:top w:val="none" w:sz="0" w:space="0" w:color="auto"/>
        <w:left w:val="none" w:sz="0" w:space="0" w:color="auto"/>
        <w:bottom w:val="none" w:sz="0" w:space="0" w:color="auto"/>
        <w:right w:val="none" w:sz="0" w:space="0" w:color="auto"/>
      </w:divBdr>
    </w:div>
    <w:div w:id="1084455114">
      <w:bodyDiv w:val="1"/>
      <w:marLeft w:val="0"/>
      <w:marRight w:val="0"/>
      <w:marTop w:val="0"/>
      <w:marBottom w:val="0"/>
      <w:divBdr>
        <w:top w:val="none" w:sz="0" w:space="0" w:color="auto"/>
        <w:left w:val="none" w:sz="0" w:space="0" w:color="auto"/>
        <w:bottom w:val="none" w:sz="0" w:space="0" w:color="auto"/>
        <w:right w:val="none" w:sz="0" w:space="0" w:color="auto"/>
      </w:divBdr>
    </w:div>
    <w:div w:id="1084497304">
      <w:bodyDiv w:val="1"/>
      <w:marLeft w:val="0"/>
      <w:marRight w:val="0"/>
      <w:marTop w:val="0"/>
      <w:marBottom w:val="0"/>
      <w:divBdr>
        <w:top w:val="none" w:sz="0" w:space="0" w:color="auto"/>
        <w:left w:val="none" w:sz="0" w:space="0" w:color="auto"/>
        <w:bottom w:val="none" w:sz="0" w:space="0" w:color="auto"/>
        <w:right w:val="none" w:sz="0" w:space="0" w:color="auto"/>
      </w:divBdr>
    </w:div>
    <w:div w:id="1084691161">
      <w:bodyDiv w:val="1"/>
      <w:marLeft w:val="0"/>
      <w:marRight w:val="0"/>
      <w:marTop w:val="0"/>
      <w:marBottom w:val="0"/>
      <w:divBdr>
        <w:top w:val="none" w:sz="0" w:space="0" w:color="auto"/>
        <w:left w:val="none" w:sz="0" w:space="0" w:color="auto"/>
        <w:bottom w:val="none" w:sz="0" w:space="0" w:color="auto"/>
        <w:right w:val="none" w:sz="0" w:space="0" w:color="auto"/>
      </w:divBdr>
    </w:div>
    <w:div w:id="1084759511">
      <w:bodyDiv w:val="1"/>
      <w:marLeft w:val="0"/>
      <w:marRight w:val="0"/>
      <w:marTop w:val="0"/>
      <w:marBottom w:val="0"/>
      <w:divBdr>
        <w:top w:val="none" w:sz="0" w:space="0" w:color="auto"/>
        <w:left w:val="none" w:sz="0" w:space="0" w:color="auto"/>
        <w:bottom w:val="none" w:sz="0" w:space="0" w:color="auto"/>
        <w:right w:val="none" w:sz="0" w:space="0" w:color="auto"/>
      </w:divBdr>
    </w:div>
    <w:div w:id="1084760782">
      <w:bodyDiv w:val="1"/>
      <w:marLeft w:val="0"/>
      <w:marRight w:val="0"/>
      <w:marTop w:val="0"/>
      <w:marBottom w:val="0"/>
      <w:divBdr>
        <w:top w:val="none" w:sz="0" w:space="0" w:color="auto"/>
        <w:left w:val="none" w:sz="0" w:space="0" w:color="auto"/>
        <w:bottom w:val="none" w:sz="0" w:space="0" w:color="auto"/>
        <w:right w:val="none" w:sz="0" w:space="0" w:color="auto"/>
      </w:divBdr>
    </w:div>
    <w:div w:id="1084763874">
      <w:bodyDiv w:val="1"/>
      <w:marLeft w:val="0"/>
      <w:marRight w:val="0"/>
      <w:marTop w:val="0"/>
      <w:marBottom w:val="0"/>
      <w:divBdr>
        <w:top w:val="none" w:sz="0" w:space="0" w:color="auto"/>
        <w:left w:val="none" w:sz="0" w:space="0" w:color="auto"/>
        <w:bottom w:val="none" w:sz="0" w:space="0" w:color="auto"/>
        <w:right w:val="none" w:sz="0" w:space="0" w:color="auto"/>
      </w:divBdr>
    </w:div>
    <w:div w:id="1084834263">
      <w:bodyDiv w:val="1"/>
      <w:marLeft w:val="0"/>
      <w:marRight w:val="0"/>
      <w:marTop w:val="0"/>
      <w:marBottom w:val="0"/>
      <w:divBdr>
        <w:top w:val="none" w:sz="0" w:space="0" w:color="auto"/>
        <w:left w:val="none" w:sz="0" w:space="0" w:color="auto"/>
        <w:bottom w:val="none" w:sz="0" w:space="0" w:color="auto"/>
        <w:right w:val="none" w:sz="0" w:space="0" w:color="auto"/>
      </w:divBdr>
    </w:div>
    <w:div w:id="1084843117">
      <w:bodyDiv w:val="1"/>
      <w:marLeft w:val="0"/>
      <w:marRight w:val="0"/>
      <w:marTop w:val="0"/>
      <w:marBottom w:val="0"/>
      <w:divBdr>
        <w:top w:val="none" w:sz="0" w:space="0" w:color="auto"/>
        <w:left w:val="none" w:sz="0" w:space="0" w:color="auto"/>
        <w:bottom w:val="none" w:sz="0" w:space="0" w:color="auto"/>
        <w:right w:val="none" w:sz="0" w:space="0" w:color="auto"/>
      </w:divBdr>
    </w:div>
    <w:div w:id="1084883799">
      <w:bodyDiv w:val="1"/>
      <w:marLeft w:val="0"/>
      <w:marRight w:val="0"/>
      <w:marTop w:val="0"/>
      <w:marBottom w:val="0"/>
      <w:divBdr>
        <w:top w:val="none" w:sz="0" w:space="0" w:color="auto"/>
        <w:left w:val="none" w:sz="0" w:space="0" w:color="auto"/>
        <w:bottom w:val="none" w:sz="0" w:space="0" w:color="auto"/>
        <w:right w:val="none" w:sz="0" w:space="0" w:color="auto"/>
      </w:divBdr>
    </w:div>
    <w:div w:id="1084914315">
      <w:bodyDiv w:val="1"/>
      <w:marLeft w:val="0"/>
      <w:marRight w:val="0"/>
      <w:marTop w:val="0"/>
      <w:marBottom w:val="0"/>
      <w:divBdr>
        <w:top w:val="none" w:sz="0" w:space="0" w:color="auto"/>
        <w:left w:val="none" w:sz="0" w:space="0" w:color="auto"/>
        <w:bottom w:val="none" w:sz="0" w:space="0" w:color="auto"/>
        <w:right w:val="none" w:sz="0" w:space="0" w:color="auto"/>
      </w:divBdr>
    </w:div>
    <w:div w:id="1085028369">
      <w:bodyDiv w:val="1"/>
      <w:marLeft w:val="0"/>
      <w:marRight w:val="0"/>
      <w:marTop w:val="0"/>
      <w:marBottom w:val="0"/>
      <w:divBdr>
        <w:top w:val="none" w:sz="0" w:space="0" w:color="auto"/>
        <w:left w:val="none" w:sz="0" w:space="0" w:color="auto"/>
        <w:bottom w:val="none" w:sz="0" w:space="0" w:color="auto"/>
        <w:right w:val="none" w:sz="0" w:space="0" w:color="auto"/>
      </w:divBdr>
    </w:div>
    <w:div w:id="1085032470">
      <w:bodyDiv w:val="1"/>
      <w:marLeft w:val="0"/>
      <w:marRight w:val="0"/>
      <w:marTop w:val="0"/>
      <w:marBottom w:val="0"/>
      <w:divBdr>
        <w:top w:val="none" w:sz="0" w:space="0" w:color="auto"/>
        <w:left w:val="none" w:sz="0" w:space="0" w:color="auto"/>
        <w:bottom w:val="none" w:sz="0" w:space="0" w:color="auto"/>
        <w:right w:val="none" w:sz="0" w:space="0" w:color="auto"/>
      </w:divBdr>
    </w:div>
    <w:div w:id="1085154251">
      <w:bodyDiv w:val="1"/>
      <w:marLeft w:val="0"/>
      <w:marRight w:val="0"/>
      <w:marTop w:val="0"/>
      <w:marBottom w:val="0"/>
      <w:divBdr>
        <w:top w:val="none" w:sz="0" w:space="0" w:color="auto"/>
        <w:left w:val="none" w:sz="0" w:space="0" w:color="auto"/>
        <w:bottom w:val="none" w:sz="0" w:space="0" w:color="auto"/>
        <w:right w:val="none" w:sz="0" w:space="0" w:color="auto"/>
      </w:divBdr>
    </w:div>
    <w:div w:id="1085229366">
      <w:bodyDiv w:val="1"/>
      <w:marLeft w:val="0"/>
      <w:marRight w:val="0"/>
      <w:marTop w:val="0"/>
      <w:marBottom w:val="0"/>
      <w:divBdr>
        <w:top w:val="none" w:sz="0" w:space="0" w:color="auto"/>
        <w:left w:val="none" w:sz="0" w:space="0" w:color="auto"/>
        <w:bottom w:val="none" w:sz="0" w:space="0" w:color="auto"/>
        <w:right w:val="none" w:sz="0" w:space="0" w:color="auto"/>
      </w:divBdr>
    </w:div>
    <w:div w:id="1085299730">
      <w:bodyDiv w:val="1"/>
      <w:marLeft w:val="0"/>
      <w:marRight w:val="0"/>
      <w:marTop w:val="0"/>
      <w:marBottom w:val="0"/>
      <w:divBdr>
        <w:top w:val="none" w:sz="0" w:space="0" w:color="auto"/>
        <w:left w:val="none" w:sz="0" w:space="0" w:color="auto"/>
        <w:bottom w:val="none" w:sz="0" w:space="0" w:color="auto"/>
        <w:right w:val="none" w:sz="0" w:space="0" w:color="auto"/>
      </w:divBdr>
    </w:div>
    <w:div w:id="1085303908">
      <w:bodyDiv w:val="1"/>
      <w:marLeft w:val="0"/>
      <w:marRight w:val="0"/>
      <w:marTop w:val="0"/>
      <w:marBottom w:val="0"/>
      <w:divBdr>
        <w:top w:val="none" w:sz="0" w:space="0" w:color="auto"/>
        <w:left w:val="none" w:sz="0" w:space="0" w:color="auto"/>
        <w:bottom w:val="none" w:sz="0" w:space="0" w:color="auto"/>
        <w:right w:val="none" w:sz="0" w:space="0" w:color="auto"/>
      </w:divBdr>
    </w:div>
    <w:div w:id="1085304956">
      <w:bodyDiv w:val="1"/>
      <w:marLeft w:val="0"/>
      <w:marRight w:val="0"/>
      <w:marTop w:val="0"/>
      <w:marBottom w:val="0"/>
      <w:divBdr>
        <w:top w:val="none" w:sz="0" w:space="0" w:color="auto"/>
        <w:left w:val="none" w:sz="0" w:space="0" w:color="auto"/>
        <w:bottom w:val="none" w:sz="0" w:space="0" w:color="auto"/>
        <w:right w:val="none" w:sz="0" w:space="0" w:color="auto"/>
      </w:divBdr>
    </w:div>
    <w:div w:id="1085305339">
      <w:bodyDiv w:val="1"/>
      <w:marLeft w:val="0"/>
      <w:marRight w:val="0"/>
      <w:marTop w:val="0"/>
      <w:marBottom w:val="0"/>
      <w:divBdr>
        <w:top w:val="none" w:sz="0" w:space="0" w:color="auto"/>
        <w:left w:val="none" w:sz="0" w:space="0" w:color="auto"/>
        <w:bottom w:val="none" w:sz="0" w:space="0" w:color="auto"/>
        <w:right w:val="none" w:sz="0" w:space="0" w:color="auto"/>
      </w:divBdr>
    </w:div>
    <w:div w:id="1085305498">
      <w:bodyDiv w:val="1"/>
      <w:marLeft w:val="0"/>
      <w:marRight w:val="0"/>
      <w:marTop w:val="0"/>
      <w:marBottom w:val="0"/>
      <w:divBdr>
        <w:top w:val="none" w:sz="0" w:space="0" w:color="auto"/>
        <w:left w:val="none" w:sz="0" w:space="0" w:color="auto"/>
        <w:bottom w:val="none" w:sz="0" w:space="0" w:color="auto"/>
        <w:right w:val="none" w:sz="0" w:space="0" w:color="auto"/>
      </w:divBdr>
    </w:div>
    <w:div w:id="1085345739">
      <w:bodyDiv w:val="1"/>
      <w:marLeft w:val="0"/>
      <w:marRight w:val="0"/>
      <w:marTop w:val="0"/>
      <w:marBottom w:val="0"/>
      <w:divBdr>
        <w:top w:val="none" w:sz="0" w:space="0" w:color="auto"/>
        <w:left w:val="none" w:sz="0" w:space="0" w:color="auto"/>
        <w:bottom w:val="none" w:sz="0" w:space="0" w:color="auto"/>
        <w:right w:val="none" w:sz="0" w:space="0" w:color="auto"/>
      </w:divBdr>
    </w:div>
    <w:div w:id="1085347252">
      <w:bodyDiv w:val="1"/>
      <w:marLeft w:val="0"/>
      <w:marRight w:val="0"/>
      <w:marTop w:val="0"/>
      <w:marBottom w:val="0"/>
      <w:divBdr>
        <w:top w:val="none" w:sz="0" w:space="0" w:color="auto"/>
        <w:left w:val="none" w:sz="0" w:space="0" w:color="auto"/>
        <w:bottom w:val="none" w:sz="0" w:space="0" w:color="auto"/>
        <w:right w:val="none" w:sz="0" w:space="0" w:color="auto"/>
      </w:divBdr>
    </w:div>
    <w:div w:id="1085416917">
      <w:bodyDiv w:val="1"/>
      <w:marLeft w:val="0"/>
      <w:marRight w:val="0"/>
      <w:marTop w:val="0"/>
      <w:marBottom w:val="0"/>
      <w:divBdr>
        <w:top w:val="none" w:sz="0" w:space="0" w:color="auto"/>
        <w:left w:val="none" w:sz="0" w:space="0" w:color="auto"/>
        <w:bottom w:val="none" w:sz="0" w:space="0" w:color="auto"/>
        <w:right w:val="none" w:sz="0" w:space="0" w:color="auto"/>
      </w:divBdr>
    </w:div>
    <w:div w:id="1085490379">
      <w:bodyDiv w:val="1"/>
      <w:marLeft w:val="0"/>
      <w:marRight w:val="0"/>
      <w:marTop w:val="0"/>
      <w:marBottom w:val="0"/>
      <w:divBdr>
        <w:top w:val="none" w:sz="0" w:space="0" w:color="auto"/>
        <w:left w:val="none" w:sz="0" w:space="0" w:color="auto"/>
        <w:bottom w:val="none" w:sz="0" w:space="0" w:color="auto"/>
        <w:right w:val="none" w:sz="0" w:space="0" w:color="auto"/>
      </w:divBdr>
    </w:div>
    <w:div w:id="1085565285">
      <w:bodyDiv w:val="1"/>
      <w:marLeft w:val="0"/>
      <w:marRight w:val="0"/>
      <w:marTop w:val="0"/>
      <w:marBottom w:val="0"/>
      <w:divBdr>
        <w:top w:val="none" w:sz="0" w:space="0" w:color="auto"/>
        <w:left w:val="none" w:sz="0" w:space="0" w:color="auto"/>
        <w:bottom w:val="none" w:sz="0" w:space="0" w:color="auto"/>
        <w:right w:val="none" w:sz="0" w:space="0" w:color="auto"/>
      </w:divBdr>
    </w:div>
    <w:div w:id="1085692592">
      <w:bodyDiv w:val="1"/>
      <w:marLeft w:val="0"/>
      <w:marRight w:val="0"/>
      <w:marTop w:val="0"/>
      <w:marBottom w:val="0"/>
      <w:divBdr>
        <w:top w:val="none" w:sz="0" w:space="0" w:color="auto"/>
        <w:left w:val="none" w:sz="0" w:space="0" w:color="auto"/>
        <w:bottom w:val="none" w:sz="0" w:space="0" w:color="auto"/>
        <w:right w:val="none" w:sz="0" w:space="0" w:color="auto"/>
      </w:divBdr>
    </w:div>
    <w:div w:id="1085762058">
      <w:bodyDiv w:val="1"/>
      <w:marLeft w:val="0"/>
      <w:marRight w:val="0"/>
      <w:marTop w:val="0"/>
      <w:marBottom w:val="0"/>
      <w:divBdr>
        <w:top w:val="none" w:sz="0" w:space="0" w:color="auto"/>
        <w:left w:val="none" w:sz="0" w:space="0" w:color="auto"/>
        <w:bottom w:val="none" w:sz="0" w:space="0" w:color="auto"/>
        <w:right w:val="none" w:sz="0" w:space="0" w:color="auto"/>
      </w:divBdr>
    </w:div>
    <w:div w:id="1085801349">
      <w:bodyDiv w:val="1"/>
      <w:marLeft w:val="0"/>
      <w:marRight w:val="0"/>
      <w:marTop w:val="0"/>
      <w:marBottom w:val="0"/>
      <w:divBdr>
        <w:top w:val="none" w:sz="0" w:space="0" w:color="auto"/>
        <w:left w:val="none" w:sz="0" w:space="0" w:color="auto"/>
        <w:bottom w:val="none" w:sz="0" w:space="0" w:color="auto"/>
        <w:right w:val="none" w:sz="0" w:space="0" w:color="auto"/>
      </w:divBdr>
    </w:div>
    <w:div w:id="1085808825">
      <w:bodyDiv w:val="1"/>
      <w:marLeft w:val="0"/>
      <w:marRight w:val="0"/>
      <w:marTop w:val="0"/>
      <w:marBottom w:val="0"/>
      <w:divBdr>
        <w:top w:val="none" w:sz="0" w:space="0" w:color="auto"/>
        <w:left w:val="none" w:sz="0" w:space="0" w:color="auto"/>
        <w:bottom w:val="none" w:sz="0" w:space="0" w:color="auto"/>
        <w:right w:val="none" w:sz="0" w:space="0" w:color="auto"/>
      </w:divBdr>
    </w:div>
    <w:div w:id="1085881184">
      <w:bodyDiv w:val="1"/>
      <w:marLeft w:val="0"/>
      <w:marRight w:val="0"/>
      <w:marTop w:val="0"/>
      <w:marBottom w:val="0"/>
      <w:divBdr>
        <w:top w:val="none" w:sz="0" w:space="0" w:color="auto"/>
        <w:left w:val="none" w:sz="0" w:space="0" w:color="auto"/>
        <w:bottom w:val="none" w:sz="0" w:space="0" w:color="auto"/>
        <w:right w:val="none" w:sz="0" w:space="0" w:color="auto"/>
      </w:divBdr>
    </w:div>
    <w:div w:id="1085881311">
      <w:bodyDiv w:val="1"/>
      <w:marLeft w:val="0"/>
      <w:marRight w:val="0"/>
      <w:marTop w:val="0"/>
      <w:marBottom w:val="0"/>
      <w:divBdr>
        <w:top w:val="none" w:sz="0" w:space="0" w:color="auto"/>
        <w:left w:val="none" w:sz="0" w:space="0" w:color="auto"/>
        <w:bottom w:val="none" w:sz="0" w:space="0" w:color="auto"/>
        <w:right w:val="none" w:sz="0" w:space="0" w:color="auto"/>
      </w:divBdr>
    </w:div>
    <w:div w:id="1085952403">
      <w:bodyDiv w:val="1"/>
      <w:marLeft w:val="0"/>
      <w:marRight w:val="0"/>
      <w:marTop w:val="0"/>
      <w:marBottom w:val="0"/>
      <w:divBdr>
        <w:top w:val="none" w:sz="0" w:space="0" w:color="auto"/>
        <w:left w:val="none" w:sz="0" w:space="0" w:color="auto"/>
        <w:bottom w:val="none" w:sz="0" w:space="0" w:color="auto"/>
        <w:right w:val="none" w:sz="0" w:space="0" w:color="auto"/>
      </w:divBdr>
    </w:div>
    <w:div w:id="1086001725">
      <w:bodyDiv w:val="1"/>
      <w:marLeft w:val="0"/>
      <w:marRight w:val="0"/>
      <w:marTop w:val="0"/>
      <w:marBottom w:val="0"/>
      <w:divBdr>
        <w:top w:val="none" w:sz="0" w:space="0" w:color="auto"/>
        <w:left w:val="none" w:sz="0" w:space="0" w:color="auto"/>
        <w:bottom w:val="none" w:sz="0" w:space="0" w:color="auto"/>
        <w:right w:val="none" w:sz="0" w:space="0" w:color="auto"/>
      </w:divBdr>
    </w:div>
    <w:div w:id="1086073672">
      <w:bodyDiv w:val="1"/>
      <w:marLeft w:val="0"/>
      <w:marRight w:val="0"/>
      <w:marTop w:val="0"/>
      <w:marBottom w:val="0"/>
      <w:divBdr>
        <w:top w:val="none" w:sz="0" w:space="0" w:color="auto"/>
        <w:left w:val="none" w:sz="0" w:space="0" w:color="auto"/>
        <w:bottom w:val="none" w:sz="0" w:space="0" w:color="auto"/>
        <w:right w:val="none" w:sz="0" w:space="0" w:color="auto"/>
      </w:divBdr>
    </w:div>
    <w:div w:id="1086144806">
      <w:bodyDiv w:val="1"/>
      <w:marLeft w:val="0"/>
      <w:marRight w:val="0"/>
      <w:marTop w:val="0"/>
      <w:marBottom w:val="0"/>
      <w:divBdr>
        <w:top w:val="none" w:sz="0" w:space="0" w:color="auto"/>
        <w:left w:val="none" w:sz="0" w:space="0" w:color="auto"/>
        <w:bottom w:val="none" w:sz="0" w:space="0" w:color="auto"/>
        <w:right w:val="none" w:sz="0" w:space="0" w:color="auto"/>
      </w:divBdr>
    </w:div>
    <w:div w:id="1086195913">
      <w:bodyDiv w:val="1"/>
      <w:marLeft w:val="0"/>
      <w:marRight w:val="0"/>
      <w:marTop w:val="0"/>
      <w:marBottom w:val="0"/>
      <w:divBdr>
        <w:top w:val="none" w:sz="0" w:space="0" w:color="auto"/>
        <w:left w:val="none" w:sz="0" w:space="0" w:color="auto"/>
        <w:bottom w:val="none" w:sz="0" w:space="0" w:color="auto"/>
        <w:right w:val="none" w:sz="0" w:space="0" w:color="auto"/>
      </w:divBdr>
    </w:div>
    <w:div w:id="1086534942">
      <w:bodyDiv w:val="1"/>
      <w:marLeft w:val="0"/>
      <w:marRight w:val="0"/>
      <w:marTop w:val="0"/>
      <w:marBottom w:val="0"/>
      <w:divBdr>
        <w:top w:val="none" w:sz="0" w:space="0" w:color="auto"/>
        <w:left w:val="none" w:sz="0" w:space="0" w:color="auto"/>
        <w:bottom w:val="none" w:sz="0" w:space="0" w:color="auto"/>
        <w:right w:val="none" w:sz="0" w:space="0" w:color="auto"/>
      </w:divBdr>
    </w:div>
    <w:div w:id="1086539082">
      <w:bodyDiv w:val="1"/>
      <w:marLeft w:val="0"/>
      <w:marRight w:val="0"/>
      <w:marTop w:val="0"/>
      <w:marBottom w:val="0"/>
      <w:divBdr>
        <w:top w:val="none" w:sz="0" w:space="0" w:color="auto"/>
        <w:left w:val="none" w:sz="0" w:space="0" w:color="auto"/>
        <w:bottom w:val="none" w:sz="0" w:space="0" w:color="auto"/>
        <w:right w:val="none" w:sz="0" w:space="0" w:color="auto"/>
      </w:divBdr>
    </w:div>
    <w:div w:id="1086540460">
      <w:bodyDiv w:val="1"/>
      <w:marLeft w:val="0"/>
      <w:marRight w:val="0"/>
      <w:marTop w:val="0"/>
      <w:marBottom w:val="0"/>
      <w:divBdr>
        <w:top w:val="none" w:sz="0" w:space="0" w:color="auto"/>
        <w:left w:val="none" w:sz="0" w:space="0" w:color="auto"/>
        <w:bottom w:val="none" w:sz="0" w:space="0" w:color="auto"/>
        <w:right w:val="none" w:sz="0" w:space="0" w:color="auto"/>
      </w:divBdr>
    </w:div>
    <w:div w:id="1086800631">
      <w:bodyDiv w:val="1"/>
      <w:marLeft w:val="0"/>
      <w:marRight w:val="0"/>
      <w:marTop w:val="0"/>
      <w:marBottom w:val="0"/>
      <w:divBdr>
        <w:top w:val="none" w:sz="0" w:space="0" w:color="auto"/>
        <w:left w:val="none" w:sz="0" w:space="0" w:color="auto"/>
        <w:bottom w:val="none" w:sz="0" w:space="0" w:color="auto"/>
        <w:right w:val="none" w:sz="0" w:space="0" w:color="auto"/>
      </w:divBdr>
    </w:div>
    <w:div w:id="1086809634">
      <w:bodyDiv w:val="1"/>
      <w:marLeft w:val="0"/>
      <w:marRight w:val="0"/>
      <w:marTop w:val="0"/>
      <w:marBottom w:val="0"/>
      <w:divBdr>
        <w:top w:val="none" w:sz="0" w:space="0" w:color="auto"/>
        <w:left w:val="none" w:sz="0" w:space="0" w:color="auto"/>
        <w:bottom w:val="none" w:sz="0" w:space="0" w:color="auto"/>
        <w:right w:val="none" w:sz="0" w:space="0" w:color="auto"/>
      </w:divBdr>
    </w:div>
    <w:div w:id="1086919321">
      <w:bodyDiv w:val="1"/>
      <w:marLeft w:val="0"/>
      <w:marRight w:val="0"/>
      <w:marTop w:val="0"/>
      <w:marBottom w:val="0"/>
      <w:divBdr>
        <w:top w:val="none" w:sz="0" w:space="0" w:color="auto"/>
        <w:left w:val="none" w:sz="0" w:space="0" w:color="auto"/>
        <w:bottom w:val="none" w:sz="0" w:space="0" w:color="auto"/>
        <w:right w:val="none" w:sz="0" w:space="0" w:color="auto"/>
      </w:divBdr>
    </w:div>
    <w:div w:id="1086924641">
      <w:bodyDiv w:val="1"/>
      <w:marLeft w:val="0"/>
      <w:marRight w:val="0"/>
      <w:marTop w:val="0"/>
      <w:marBottom w:val="0"/>
      <w:divBdr>
        <w:top w:val="none" w:sz="0" w:space="0" w:color="auto"/>
        <w:left w:val="none" w:sz="0" w:space="0" w:color="auto"/>
        <w:bottom w:val="none" w:sz="0" w:space="0" w:color="auto"/>
        <w:right w:val="none" w:sz="0" w:space="0" w:color="auto"/>
      </w:divBdr>
    </w:div>
    <w:div w:id="1087001215">
      <w:bodyDiv w:val="1"/>
      <w:marLeft w:val="0"/>
      <w:marRight w:val="0"/>
      <w:marTop w:val="0"/>
      <w:marBottom w:val="0"/>
      <w:divBdr>
        <w:top w:val="none" w:sz="0" w:space="0" w:color="auto"/>
        <w:left w:val="none" w:sz="0" w:space="0" w:color="auto"/>
        <w:bottom w:val="none" w:sz="0" w:space="0" w:color="auto"/>
        <w:right w:val="none" w:sz="0" w:space="0" w:color="auto"/>
      </w:divBdr>
    </w:div>
    <w:div w:id="1087068933">
      <w:bodyDiv w:val="1"/>
      <w:marLeft w:val="0"/>
      <w:marRight w:val="0"/>
      <w:marTop w:val="0"/>
      <w:marBottom w:val="0"/>
      <w:divBdr>
        <w:top w:val="none" w:sz="0" w:space="0" w:color="auto"/>
        <w:left w:val="none" w:sz="0" w:space="0" w:color="auto"/>
        <w:bottom w:val="none" w:sz="0" w:space="0" w:color="auto"/>
        <w:right w:val="none" w:sz="0" w:space="0" w:color="auto"/>
      </w:divBdr>
    </w:div>
    <w:div w:id="1087076188">
      <w:bodyDiv w:val="1"/>
      <w:marLeft w:val="0"/>
      <w:marRight w:val="0"/>
      <w:marTop w:val="0"/>
      <w:marBottom w:val="0"/>
      <w:divBdr>
        <w:top w:val="none" w:sz="0" w:space="0" w:color="auto"/>
        <w:left w:val="none" w:sz="0" w:space="0" w:color="auto"/>
        <w:bottom w:val="none" w:sz="0" w:space="0" w:color="auto"/>
        <w:right w:val="none" w:sz="0" w:space="0" w:color="auto"/>
      </w:divBdr>
    </w:div>
    <w:div w:id="1087186850">
      <w:bodyDiv w:val="1"/>
      <w:marLeft w:val="0"/>
      <w:marRight w:val="0"/>
      <w:marTop w:val="0"/>
      <w:marBottom w:val="0"/>
      <w:divBdr>
        <w:top w:val="none" w:sz="0" w:space="0" w:color="auto"/>
        <w:left w:val="none" w:sz="0" w:space="0" w:color="auto"/>
        <w:bottom w:val="none" w:sz="0" w:space="0" w:color="auto"/>
        <w:right w:val="none" w:sz="0" w:space="0" w:color="auto"/>
      </w:divBdr>
    </w:div>
    <w:div w:id="1087267116">
      <w:bodyDiv w:val="1"/>
      <w:marLeft w:val="0"/>
      <w:marRight w:val="0"/>
      <w:marTop w:val="0"/>
      <w:marBottom w:val="0"/>
      <w:divBdr>
        <w:top w:val="none" w:sz="0" w:space="0" w:color="auto"/>
        <w:left w:val="none" w:sz="0" w:space="0" w:color="auto"/>
        <w:bottom w:val="none" w:sz="0" w:space="0" w:color="auto"/>
        <w:right w:val="none" w:sz="0" w:space="0" w:color="auto"/>
      </w:divBdr>
    </w:div>
    <w:div w:id="1087309731">
      <w:bodyDiv w:val="1"/>
      <w:marLeft w:val="0"/>
      <w:marRight w:val="0"/>
      <w:marTop w:val="0"/>
      <w:marBottom w:val="0"/>
      <w:divBdr>
        <w:top w:val="none" w:sz="0" w:space="0" w:color="auto"/>
        <w:left w:val="none" w:sz="0" w:space="0" w:color="auto"/>
        <w:bottom w:val="none" w:sz="0" w:space="0" w:color="auto"/>
        <w:right w:val="none" w:sz="0" w:space="0" w:color="auto"/>
      </w:divBdr>
    </w:div>
    <w:div w:id="1087313137">
      <w:bodyDiv w:val="1"/>
      <w:marLeft w:val="0"/>
      <w:marRight w:val="0"/>
      <w:marTop w:val="0"/>
      <w:marBottom w:val="0"/>
      <w:divBdr>
        <w:top w:val="none" w:sz="0" w:space="0" w:color="auto"/>
        <w:left w:val="none" w:sz="0" w:space="0" w:color="auto"/>
        <w:bottom w:val="none" w:sz="0" w:space="0" w:color="auto"/>
        <w:right w:val="none" w:sz="0" w:space="0" w:color="auto"/>
      </w:divBdr>
    </w:div>
    <w:div w:id="1087505925">
      <w:bodyDiv w:val="1"/>
      <w:marLeft w:val="0"/>
      <w:marRight w:val="0"/>
      <w:marTop w:val="0"/>
      <w:marBottom w:val="0"/>
      <w:divBdr>
        <w:top w:val="none" w:sz="0" w:space="0" w:color="auto"/>
        <w:left w:val="none" w:sz="0" w:space="0" w:color="auto"/>
        <w:bottom w:val="none" w:sz="0" w:space="0" w:color="auto"/>
        <w:right w:val="none" w:sz="0" w:space="0" w:color="auto"/>
      </w:divBdr>
    </w:div>
    <w:div w:id="1087576284">
      <w:bodyDiv w:val="1"/>
      <w:marLeft w:val="0"/>
      <w:marRight w:val="0"/>
      <w:marTop w:val="0"/>
      <w:marBottom w:val="0"/>
      <w:divBdr>
        <w:top w:val="none" w:sz="0" w:space="0" w:color="auto"/>
        <w:left w:val="none" w:sz="0" w:space="0" w:color="auto"/>
        <w:bottom w:val="none" w:sz="0" w:space="0" w:color="auto"/>
        <w:right w:val="none" w:sz="0" w:space="0" w:color="auto"/>
      </w:divBdr>
    </w:div>
    <w:div w:id="1087577024">
      <w:bodyDiv w:val="1"/>
      <w:marLeft w:val="0"/>
      <w:marRight w:val="0"/>
      <w:marTop w:val="0"/>
      <w:marBottom w:val="0"/>
      <w:divBdr>
        <w:top w:val="none" w:sz="0" w:space="0" w:color="auto"/>
        <w:left w:val="none" w:sz="0" w:space="0" w:color="auto"/>
        <w:bottom w:val="none" w:sz="0" w:space="0" w:color="auto"/>
        <w:right w:val="none" w:sz="0" w:space="0" w:color="auto"/>
      </w:divBdr>
    </w:div>
    <w:div w:id="1087770226">
      <w:bodyDiv w:val="1"/>
      <w:marLeft w:val="0"/>
      <w:marRight w:val="0"/>
      <w:marTop w:val="0"/>
      <w:marBottom w:val="0"/>
      <w:divBdr>
        <w:top w:val="none" w:sz="0" w:space="0" w:color="auto"/>
        <w:left w:val="none" w:sz="0" w:space="0" w:color="auto"/>
        <w:bottom w:val="none" w:sz="0" w:space="0" w:color="auto"/>
        <w:right w:val="none" w:sz="0" w:space="0" w:color="auto"/>
      </w:divBdr>
    </w:div>
    <w:div w:id="1087770754">
      <w:bodyDiv w:val="1"/>
      <w:marLeft w:val="0"/>
      <w:marRight w:val="0"/>
      <w:marTop w:val="0"/>
      <w:marBottom w:val="0"/>
      <w:divBdr>
        <w:top w:val="none" w:sz="0" w:space="0" w:color="auto"/>
        <w:left w:val="none" w:sz="0" w:space="0" w:color="auto"/>
        <w:bottom w:val="none" w:sz="0" w:space="0" w:color="auto"/>
        <w:right w:val="none" w:sz="0" w:space="0" w:color="auto"/>
      </w:divBdr>
    </w:div>
    <w:div w:id="1087848597">
      <w:bodyDiv w:val="1"/>
      <w:marLeft w:val="0"/>
      <w:marRight w:val="0"/>
      <w:marTop w:val="0"/>
      <w:marBottom w:val="0"/>
      <w:divBdr>
        <w:top w:val="none" w:sz="0" w:space="0" w:color="auto"/>
        <w:left w:val="none" w:sz="0" w:space="0" w:color="auto"/>
        <w:bottom w:val="none" w:sz="0" w:space="0" w:color="auto"/>
        <w:right w:val="none" w:sz="0" w:space="0" w:color="auto"/>
      </w:divBdr>
    </w:div>
    <w:div w:id="1087922960">
      <w:bodyDiv w:val="1"/>
      <w:marLeft w:val="0"/>
      <w:marRight w:val="0"/>
      <w:marTop w:val="0"/>
      <w:marBottom w:val="0"/>
      <w:divBdr>
        <w:top w:val="none" w:sz="0" w:space="0" w:color="auto"/>
        <w:left w:val="none" w:sz="0" w:space="0" w:color="auto"/>
        <w:bottom w:val="none" w:sz="0" w:space="0" w:color="auto"/>
        <w:right w:val="none" w:sz="0" w:space="0" w:color="auto"/>
      </w:divBdr>
    </w:div>
    <w:div w:id="1087964330">
      <w:bodyDiv w:val="1"/>
      <w:marLeft w:val="0"/>
      <w:marRight w:val="0"/>
      <w:marTop w:val="0"/>
      <w:marBottom w:val="0"/>
      <w:divBdr>
        <w:top w:val="none" w:sz="0" w:space="0" w:color="auto"/>
        <w:left w:val="none" w:sz="0" w:space="0" w:color="auto"/>
        <w:bottom w:val="none" w:sz="0" w:space="0" w:color="auto"/>
        <w:right w:val="none" w:sz="0" w:space="0" w:color="auto"/>
      </w:divBdr>
    </w:div>
    <w:div w:id="1087968540">
      <w:bodyDiv w:val="1"/>
      <w:marLeft w:val="0"/>
      <w:marRight w:val="0"/>
      <w:marTop w:val="0"/>
      <w:marBottom w:val="0"/>
      <w:divBdr>
        <w:top w:val="none" w:sz="0" w:space="0" w:color="auto"/>
        <w:left w:val="none" w:sz="0" w:space="0" w:color="auto"/>
        <w:bottom w:val="none" w:sz="0" w:space="0" w:color="auto"/>
        <w:right w:val="none" w:sz="0" w:space="0" w:color="auto"/>
      </w:divBdr>
    </w:div>
    <w:div w:id="1087994213">
      <w:bodyDiv w:val="1"/>
      <w:marLeft w:val="0"/>
      <w:marRight w:val="0"/>
      <w:marTop w:val="0"/>
      <w:marBottom w:val="0"/>
      <w:divBdr>
        <w:top w:val="none" w:sz="0" w:space="0" w:color="auto"/>
        <w:left w:val="none" w:sz="0" w:space="0" w:color="auto"/>
        <w:bottom w:val="none" w:sz="0" w:space="0" w:color="auto"/>
        <w:right w:val="none" w:sz="0" w:space="0" w:color="auto"/>
      </w:divBdr>
    </w:div>
    <w:div w:id="1088115216">
      <w:bodyDiv w:val="1"/>
      <w:marLeft w:val="0"/>
      <w:marRight w:val="0"/>
      <w:marTop w:val="0"/>
      <w:marBottom w:val="0"/>
      <w:divBdr>
        <w:top w:val="none" w:sz="0" w:space="0" w:color="auto"/>
        <w:left w:val="none" w:sz="0" w:space="0" w:color="auto"/>
        <w:bottom w:val="none" w:sz="0" w:space="0" w:color="auto"/>
        <w:right w:val="none" w:sz="0" w:space="0" w:color="auto"/>
      </w:divBdr>
    </w:div>
    <w:div w:id="1088118007">
      <w:bodyDiv w:val="1"/>
      <w:marLeft w:val="0"/>
      <w:marRight w:val="0"/>
      <w:marTop w:val="0"/>
      <w:marBottom w:val="0"/>
      <w:divBdr>
        <w:top w:val="none" w:sz="0" w:space="0" w:color="auto"/>
        <w:left w:val="none" w:sz="0" w:space="0" w:color="auto"/>
        <w:bottom w:val="none" w:sz="0" w:space="0" w:color="auto"/>
        <w:right w:val="none" w:sz="0" w:space="0" w:color="auto"/>
      </w:divBdr>
    </w:div>
    <w:div w:id="1088230239">
      <w:bodyDiv w:val="1"/>
      <w:marLeft w:val="0"/>
      <w:marRight w:val="0"/>
      <w:marTop w:val="0"/>
      <w:marBottom w:val="0"/>
      <w:divBdr>
        <w:top w:val="none" w:sz="0" w:space="0" w:color="auto"/>
        <w:left w:val="none" w:sz="0" w:space="0" w:color="auto"/>
        <w:bottom w:val="none" w:sz="0" w:space="0" w:color="auto"/>
        <w:right w:val="none" w:sz="0" w:space="0" w:color="auto"/>
      </w:divBdr>
    </w:div>
    <w:div w:id="1088230252">
      <w:bodyDiv w:val="1"/>
      <w:marLeft w:val="0"/>
      <w:marRight w:val="0"/>
      <w:marTop w:val="0"/>
      <w:marBottom w:val="0"/>
      <w:divBdr>
        <w:top w:val="none" w:sz="0" w:space="0" w:color="auto"/>
        <w:left w:val="none" w:sz="0" w:space="0" w:color="auto"/>
        <w:bottom w:val="none" w:sz="0" w:space="0" w:color="auto"/>
        <w:right w:val="none" w:sz="0" w:space="0" w:color="auto"/>
      </w:divBdr>
    </w:div>
    <w:div w:id="1088312843">
      <w:bodyDiv w:val="1"/>
      <w:marLeft w:val="0"/>
      <w:marRight w:val="0"/>
      <w:marTop w:val="0"/>
      <w:marBottom w:val="0"/>
      <w:divBdr>
        <w:top w:val="none" w:sz="0" w:space="0" w:color="auto"/>
        <w:left w:val="none" w:sz="0" w:space="0" w:color="auto"/>
        <w:bottom w:val="none" w:sz="0" w:space="0" w:color="auto"/>
        <w:right w:val="none" w:sz="0" w:space="0" w:color="auto"/>
      </w:divBdr>
    </w:div>
    <w:div w:id="1088423109">
      <w:bodyDiv w:val="1"/>
      <w:marLeft w:val="0"/>
      <w:marRight w:val="0"/>
      <w:marTop w:val="0"/>
      <w:marBottom w:val="0"/>
      <w:divBdr>
        <w:top w:val="none" w:sz="0" w:space="0" w:color="auto"/>
        <w:left w:val="none" w:sz="0" w:space="0" w:color="auto"/>
        <w:bottom w:val="none" w:sz="0" w:space="0" w:color="auto"/>
        <w:right w:val="none" w:sz="0" w:space="0" w:color="auto"/>
      </w:divBdr>
    </w:div>
    <w:div w:id="1088429239">
      <w:bodyDiv w:val="1"/>
      <w:marLeft w:val="0"/>
      <w:marRight w:val="0"/>
      <w:marTop w:val="0"/>
      <w:marBottom w:val="0"/>
      <w:divBdr>
        <w:top w:val="none" w:sz="0" w:space="0" w:color="auto"/>
        <w:left w:val="none" w:sz="0" w:space="0" w:color="auto"/>
        <w:bottom w:val="none" w:sz="0" w:space="0" w:color="auto"/>
        <w:right w:val="none" w:sz="0" w:space="0" w:color="auto"/>
      </w:divBdr>
    </w:div>
    <w:div w:id="1088431415">
      <w:bodyDiv w:val="1"/>
      <w:marLeft w:val="0"/>
      <w:marRight w:val="0"/>
      <w:marTop w:val="0"/>
      <w:marBottom w:val="0"/>
      <w:divBdr>
        <w:top w:val="none" w:sz="0" w:space="0" w:color="auto"/>
        <w:left w:val="none" w:sz="0" w:space="0" w:color="auto"/>
        <w:bottom w:val="none" w:sz="0" w:space="0" w:color="auto"/>
        <w:right w:val="none" w:sz="0" w:space="0" w:color="auto"/>
      </w:divBdr>
    </w:div>
    <w:div w:id="1088649855">
      <w:bodyDiv w:val="1"/>
      <w:marLeft w:val="0"/>
      <w:marRight w:val="0"/>
      <w:marTop w:val="0"/>
      <w:marBottom w:val="0"/>
      <w:divBdr>
        <w:top w:val="none" w:sz="0" w:space="0" w:color="auto"/>
        <w:left w:val="none" w:sz="0" w:space="0" w:color="auto"/>
        <w:bottom w:val="none" w:sz="0" w:space="0" w:color="auto"/>
        <w:right w:val="none" w:sz="0" w:space="0" w:color="auto"/>
      </w:divBdr>
    </w:div>
    <w:div w:id="1088650699">
      <w:bodyDiv w:val="1"/>
      <w:marLeft w:val="0"/>
      <w:marRight w:val="0"/>
      <w:marTop w:val="0"/>
      <w:marBottom w:val="0"/>
      <w:divBdr>
        <w:top w:val="none" w:sz="0" w:space="0" w:color="auto"/>
        <w:left w:val="none" w:sz="0" w:space="0" w:color="auto"/>
        <w:bottom w:val="none" w:sz="0" w:space="0" w:color="auto"/>
        <w:right w:val="none" w:sz="0" w:space="0" w:color="auto"/>
      </w:divBdr>
    </w:div>
    <w:div w:id="1088847203">
      <w:bodyDiv w:val="1"/>
      <w:marLeft w:val="0"/>
      <w:marRight w:val="0"/>
      <w:marTop w:val="0"/>
      <w:marBottom w:val="0"/>
      <w:divBdr>
        <w:top w:val="none" w:sz="0" w:space="0" w:color="auto"/>
        <w:left w:val="none" w:sz="0" w:space="0" w:color="auto"/>
        <w:bottom w:val="none" w:sz="0" w:space="0" w:color="auto"/>
        <w:right w:val="none" w:sz="0" w:space="0" w:color="auto"/>
      </w:divBdr>
    </w:div>
    <w:div w:id="1088886088">
      <w:bodyDiv w:val="1"/>
      <w:marLeft w:val="0"/>
      <w:marRight w:val="0"/>
      <w:marTop w:val="0"/>
      <w:marBottom w:val="0"/>
      <w:divBdr>
        <w:top w:val="none" w:sz="0" w:space="0" w:color="auto"/>
        <w:left w:val="none" w:sz="0" w:space="0" w:color="auto"/>
        <w:bottom w:val="none" w:sz="0" w:space="0" w:color="auto"/>
        <w:right w:val="none" w:sz="0" w:space="0" w:color="auto"/>
      </w:divBdr>
    </w:div>
    <w:div w:id="1088966234">
      <w:bodyDiv w:val="1"/>
      <w:marLeft w:val="0"/>
      <w:marRight w:val="0"/>
      <w:marTop w:val="0"/>
      <w:marBottom w:val="0"/>
      <w:divBdr>
        <w:top w:val="none" w:sz="0" w:space="0" w:color="auto"/>
        <w:left w:val="none" w:sz="0" w:space="0" w:color="auto"/>
        <w:bottom w:val="none" w:sz="0" w:space="0" w:color="auto"/>
        <w:right w:val="none" w:sz="0" w:space="0" w:color="auto"/>
      </w:divBdr>
    </w:div>
    <w:div w:id="1088967696">
      <w:bodyDiv w:val="1"/>
      <w:marLeft w:val="0"/>
      <w:marRight w:val="0"/>
      <w:marTop w:val="0"/>
      <w:marBottom w:val="0"/>
      <w:divBdr>
        <w:top w:val="none" w:sz="0" w:space="0" w:color="auto"/>
        <w:left w:val="none" w:sz="0" w:space="0" w:color="auto"/>
        <w:bottom w:val="none" w:sz="0" w:space="0" w:color="auto"/>
        <w:right w:val="none" w:sz="0" w:space="0" w:color="auto"/>
      </w:divBdr>
    </w:div>
    <w:div w:id="1089040169">
      <w:bodyDiv w:val="1"/>
      <w:marLeft w:val="0"/>
      <w:marRight w:val="0"/>
      <w:marTop w:val="0"/>
      <w:marBottom w:val="0"/>
      <w:divBdr>
        <w:top w:val="none" w:sz="0" w:space="0" w:color="auto"/>
        <w:left w:val="none" w:sz="0" w:space="0" w:color="auto"/>
        <w:bottom w:val="none" w:sz="0" w:space="0" w:color="auto"/>
        <w:right w:val="none" w:sz="0" w:space="0" w:color="auto"/>
      </w:divBdr>
    </w:div>
    <w:div w:id="1089042780">
      <w:bodyDiv w:val="1"/>
      <w:marLeft w:val="0"/>
      <w:marRight w:val="0"/>
      <w:marTop w:val="0"/>
      <w:marBottom w:val="0"/>
      <w:divBdr>
        <w:top w:val="none" w:sz="0" w:space="0" w:color="auto"/>
        <w:left w:val="none" w:sz="0" w:space="0" w:color="auto"/>
        <w:bottom w:val="none" w:sz="0" w:space="0" w:color="auto"/>
        <w:right w:val="none" w:sz="0" w:space="0" w:color="auto"/>
      </w:divBdr>
    </w:div>
    <w:div w:id="1089043860">
      <w:bodyDiv w:val="1"/>
      <w:marLeft w:val="0"/>
      <w:marRight w:val="0"/>
      <w:marTop w:val="0"/>
      <w:marBottom w:val="0"/>
      <w:divBdr>
        <w:top w:val="none" w:sz="0" w:space="0" w:color="auto"/>
        <w:left w:val="none" w:sz="0" w:space="0" w:color="auto"/>
        <w:bottom w:val="none" w:sz="0" w:space="0" w:color="auto"/>
        <w:right w:val="none" w:sz="0" w:space="0" w:color="auto"/>
      </w:divBdr>
    </w:div>
    <w:div w:id="1089086631">
      <w:bodyDiv w:val="1"/>
      <w:marLeft w:val="0"/>
      <w:marRight w:val="0"/>
      <w:marTop w:val="0"/>
      <w:marBottom w:val="0"/>
      <w:divBdr>
        <w:top w:val="none" w:sz="0" w:space="0" w:color="auto"/>
        <w:left w:val="none" w:sz="0" w:space="0" w:color="auto"/>
        <w:bottom w:val="none" w:sz="0" w:space="0" w:color="auto"/>
        <w:right w:val="none" w:sz="0" w:space="0" w:color="auto"/>
      </w:divBdr>
    </w:div>
    <w:div w:id="1089153950">
      <w:bodyDiv w:val="1"/>
      <w:marLeft w:val="0"/>
      <w:marRight w:val="0"/>
      <w:marTop w:val="0"/>
      <w:marBottom w:val="0"/>
      <w:divBdr>
        <w:top w:val="none" w:sz="0" w:space="0" w:color="auto"/>
        <w:left w:val="none" w:sz="0" w:space="0" w:color="auto"/>
        <w:bottom w:val="none" w:sz="0" w:space="0" w:color="auto"/>
        <w:right w:val="none" w:sz="0" w:space="0" w:color="auto"/>
      </w:divBdr>
    </w:div>
    <w:div w:id="1089156429">
      <w:bodyDiv w:val="1"/>
      <w:marLeft w:val="0"/>
      <w:marRight w:val="0"/>
      <w:marTop w:val="0"/>
      <w:marBottom w:val="0"/>
      <w:divBdr>
        <w:top w:val="none" w:sz="0" w:space="0" w:color="auto"/>
        <w:left w:val="none" w:sz="0" w:space="0" w:color="auto"/>
        <w:bottom w:val="none" w:sz="0" w:space="0" w:color="auto"/>
        <w:right w:val="none" w:sz="0" w:space="0" w:color="auto"/>
      </w:divBdr>
    </w:div>
    <w:div w:id="1089156713">
      <w:bodyDiv w:val="1"/>
      <w:marLeft w:val="0"/>
      <w:marRight w:val="0"/>
      <w:marTop w:val="0"/>
      <w:marBottom w:val="0"/>
      <w:divBdr>
        <w:top w:val="none" w:sz="0" w:space="0" w:color="auto"/>
        <w:left w:val="none" w:sz="0" w:space="0" w:color="auto"/>
        <w:bottom w:val="none" w:sz="0" w:space="0" w:color="auto"/>
        <w:right w:val="none" w:sz="0" w:space="0" w:color="auto"/>
      </w:divBdr>
    </w:div>
    <w:div w:id="1089162286">
      <w:bodyDiv w:val="1"/>
      <w:marLeft w:val="0"/>
      <w:marRight w:val="0"/>
      <w:marTop w:val="0"/>
      <w:marBottom w:val="0"/>
      <w:divBdr>
        <w:top w:val="none" w:sz="0" w:space="0" w:color="auto"/>
        <w:left w:val="none" w:sz="0" w:space="0" w:color="auto"/>
        <w:bottom w:val="none" w:sz="0" w:space="0" w:color="auto"/>
        <w:right w:val="none" w:sz="0" w:space="0" w:color="auto"/>
      </w:divBdr>
    </w:div>
    <w:div w:id="1089231358">
      <w:bodyDiv w:val="1"/>
      <w:marLeft w:val="0"/>
      <w:marRight w:val="0"/>
      <w:marTop w:val="0"/>
      <w:marBottom w:val="0"/>
      <w:divBdr>
        <w:top w:val="none" w:sz="0" w:space="0" w:color="auto"/>
        <w:left w:val="none" w:sz="0" w:space="0" w:color="auto"/>
        <w:bottom w:val="none" w:sz="0" w:space="0" w:color="auto"/>
        <w:right w:val="none" w:sz="0" w:space="0" w:color="auto"/>
      </w:divBdr>
    </w:div>
    <w:div w:id="1089352548">
      <w:bodyDiv w:val="1"/>
      <w:marLeft w:val="0"/>
      <w:marRight w:val="0"/>
      <w:marTop w:val="0"/>
      <w:marBottom w:val="0"/>
      <w:divBdr>
        <w:top w:val="none" w:sz="0" w:space="0" w:color="auto"/>
        <w:left w:val="none" w:sz="0" w:space="0" w:color="auto"/>
        <w:bottom w:val="none" w:sz="0" w:space="0" w:color="auto"/>
        <w:right w:val="none" w:sz="0" w:space="0" w:color="auto"/>
      </w:divBdr>
    </w:div>
    <w:div w:id="1089424527">
      <w:bodyDiv w:val="1"/>
      <w:marLeft w:val="0"/>
      <w:marRight w:val="0"/>
      <w:marTop w:val="0"/>
      <w:marBottom w:val="0"/>
      <w:divBdr>
        <w:top w:val="none" w:sz="0" w:space="0" w:color="auto"/>
        <w:left w:val="none" w:sz="0" w:space="0" w:color="auto"/>
        <w:bottom w:val="none" w:sz="0" w:space="0" w:color="auto"/>
        <w:right w:val="none" w:sz="0" w:space="0" w:color="auto"/>
      </w:divBdr>
    </w:div>
    <w:div w:id="1089472829">
      <w:bodyDiv w:val="1"/>
      <w:marLeft w:val="0"/>
      <w:marRight w:val="0"/>
      <w:marTop w:val="0"/>
      <w:marBottom w:val="0"/>
      <w:divBdr>
        <w:top w:val="none" w:sz="0" w:space="0" w:color="auto"/>
        <w:left w:val="none" w:sz="0" w:space="0" w:color="auto"/>
        <w:bottom w:val="none" w:sz="0" w:space="0" w:color="auto"/>
        <w:right w:val="none" w:sz="0" w:space="0" w:color="auto"/>
      </w:divBdr>
    </w:div>
    <w:div w:id="1089500578">
      <w:bodyDiv w:val="1"/>
      <w:marLeft w:val="0"/>
      <w:marRight w:val="0"/>
      <w:marTop w:val="0"/>
      <w:marBottom w:val="0"/>
      <w:divBdr>
        <w:top w:val="none" w:sz="0" w:space="0" w:color="auto"/>
        <w:left w:val="none" w:sz="0" w:space="0" w:color="auto"/>
        <w:bottom w:val="none" w:sz="0" w:space="0" w:color="auto"/>
        <w:right w:val="none" w:sz="0" w:space="0" w:color="auto"/>
      </w:divBdr>
    </w:div>
    <w:div w:id="1089542051">
      <w:bodyDiv w:val="1"/>
      <w:marLeft w:val="0"/>
      <w:marRight w:val="0"/>
      <w:marTop w:val="0"/>
      <w:marBottom w:val="0"/>
      <w:divBdr>
        <w:top w:val="none" w:sz="0" w:space="0" w:color="auto"/>
        <w:left w:val="none" w:sz="0" w:space="0" w:color="auto"/>
        <w:bottom w:val="none" w:sz="0" w:space="0" w:color="auto"/>
        <w:right w:val="none" w:sz="0" w:space="0" w:color="auto"/>
      </w:divBdr>
    </w:div>
    <w:div w:id="1089548718">
      <w:bodyDiv w:val="1"/>
      <w:marLeft w:val="0"/>
      <w:marRight w:val="0"/>
      <w:marTop w:val="0"/>
      <w:marBottom w:val="0"/>
      <w:divBdr>
        <w:top w:val="none" w:sz="0" w:space="0" w:color="auto"/>
        <w:left w:val="none" w:sz="0" w:space="0" w:color="auto"/>
        <w:bottom w:val="none" w:sz="0" w:space="0" w:color="auto"/>
        <w:right w:val="none" w:sz="0" w:space="0" w:color="auto"/>
      </w:divBdr>
    </w:div>
    <w:div w:id="1089624071">
      <w:bodyDiv w:val="1"/>
      <w:marLeft w:val="0"/>
      <w:marRight w:val="0"/>
      <w:marTop w:val="0"/>
      <w:marBottom w:val="0"/>
      <w:divBdr>
        <w:top w:val="none" w:sz="0" w:space="0" w:color="auto"/>
        <w:left w:val="none" w:sz="0" w:space="0" w:color="auto"/>
        <w:bottom w:val="none" w:sz="0" w:space="0" w:color="auto"/>
        <w:right w:val="none" w:sz="0" w:space="0" w:color="auto"/>
      </w:divBdr>
    </w:div>
    <w:div w:id="1089741534">
      <w:bodyDiv w:val="1"/>
      <w:marLeft w:val="0"/>
      <w:marRight w:val="0"/>
      <w:marTop w:val="0"/>
      <w:marBottom w:val="0"/>
      <w:divBdr>
        <w:top w:val="none" w:sz="0" w:space="0" w:color="auto"/>
        <w:left w:val="none" w:sz="0" w:space="0" w:color="auto"/>
        <w:bottom w:val="none" w:sz="0" w:space="0" w:color="auto"/>
        <w:right w:val="none" w:sz="0" w:space="0" w:color="auto"/>
      </w:divBdr>
    </w:div>
    <w:div w:id="1089816379">
      <w:bodyDiv w:val="1"/>
      <w:marLeft w:val="0"/>
      <w:marRight w:val="0"/>
      <w:marTop w:val="0"/>
      <w:marBottom w:val="0"/>
      <w:divBdr>
        <w:top w:val="none" w:sz="0" w:space="0" w:color="auto"/>
        <w:left w:val="none" w:sz="0" w:space="0" w:color="auto"/>
        <w:bottom w:val="none" w:sz="0" w:space="0" w:color="auto"/>
        <w:right w:val="none" w:sz="0" w:space="0" w:color="auto"/>
      </w:divBdr>
    </w:div>
    <w:div w:id="1089888110">
      <w:bodyDiv w:val="1"/>
      <w:marLeft w:val="0"/>
      <w:marRight w:val="0"/>
      <w:marTop w:val="0"/>
      <w:marBottom w:val="0"/>
      <w:divBdr>
        <w:top w:val="none" w:sz="0" w:space="0" w:color="auto"/>
        <w:left w:val="none" w:sz="0" w:space="0" w:color="auto"/>
        <w:bottom w:val="none" w:sz="0" w:space="0" w:color="auto"/>
        <w:right w:val="none" w:sz="0" w:space="0" w:color="auto"/>
      </w:divBdr>
    </w:div>
    <w:div w:id="1089891213">
      <w:bodyDiv w:val="1"/>
      <w:marLeft w:val="0"/>
      <w:marRight w:val="0"/>
      <w:marTop w:val="0"/>
      <w:marBottom w:val="0"/>
      <w:divBdr>
        <w:top w:val="none" w:sz="0" w:space="0" w:color="auto"/>
        <w:left w:val="none" w:sz="0" w:space="0" w:color="auto"/>
        <w:bottom w:val="none" w:sz="0" w:space="0" w:color="auto"/>
        <w:right w:val="none" w:sz="0" w:space="0" w:color="auto"/>
      </w:divBdr>
    </w:div>
    <w:div w:id="1089959804">
      <w:bodyDiv w:val="1"/>
      <w:marLeft w:val="0"/>
      <w:marRight w:val="0"/>
      <w:marTop w:val="0"/>
      <w:marBottom w:val="0"/>
      <w:divBdr>
        <w:top w:val="none" w:sz="0" w:space="0" w:color="auto"/>
        <w:left w:val="none" w:sz="0" w:space="0" w:color="auto"/>
        <w:bottom w:val="none" w:sz="0" w:space="0" w:color="auto"/>
        <w:right w:val="none" w:sz="0" w:space="0" w:color="auto"/>
      </w:divBdr>
    </w:div>
    <w:div w:id="1090005822">
      <w:bodyDiv w:val="1"/>
      <w:marLeft w:val="0"/>
      <w:marRight w:val="0"/>
      <w:marTop w:val="0"/>
      <w:marBottom w:val="0"/>
      <w:divBdr>
        <w:top w:val="none" w:sz="0" w:space="0" w:color="auto"/>
        <w:left w:val="none" w:sz="0" w:space="0" w:color="auto"/>
        <w:bottom w:val="none" w:sz="0" w:space="0" w:color="auto"/>
        <w:right w:val="none" w:sz="0" w:space="0" w:color="auto"/>
      </w:divBdr>
    </w:div>
    <w:div w:id="1090156024">
      <w:bodyDiv w:val="1"/>
      <w:marLeft w:val="0"/>
      <w:marRight w:val="0"/>
      <w:marTop w:val="0"/>
      <w:marBottom w:val="0"/>
      <w:divBdr>
        <w:top w:val="none" w:sz="0" w:space="0" w:color="auto"/>
        <w:left w:val="none" w:sz="0" w:space="0" w:color="auto"/>
        <w:bottom w:val="none" w:sz="0" w:space="0" w:color="auto"/>
        <w:right w:val="none" w:sz="0" w:space="0" w:color="auto"/>
      </w:divBdr>
    </w:div>
    <w:div w:id="1090196578">
      <w:bodyDiv w:val="1"/>
      <w:marLeft w:val="0"/>
      <w:marRight w:val="0"/>
      <w:marTop w:val="0"/>
      <w:marBottom w:val="0"/>
      <w:divBdr>
        <w:top w:val="none" w:sz="0" w:space="0" w:color="auto"/>
        <w:left w:val="none" w:sz="0" w:space="0" w:color="auto"/>
        <w:bottom w:val="none" w:sz="0" w:space="0" w:color="auto"/>
        <w:right w:val="none" w:sz="0" w:space="0" w:color="auto"/>
      </w:divBdr>
    </w:div>
    <w:div w:id="1090197805">
      <w:bodyDiv w:val="1"/>
      <w:marLeft w:val="0"/>
      <w:marRight w:val="0"/>
      <w:marTop w:val="0"/>
      <w:marBottom w:val="0"/>
      <w:divBdr>
        <w:top w:val="none" w:sz="0" w:space="0" w:color="auto"/>
        <w:left w:val="none" w:sz="0" w:space="0" w:color="auto"/>
        <w:bottom w:val="none" w:sz="0" w:space="0" w:color="auto"/>
        <w:right w:val="none" w:sz="0" w:space="0" w:color="auto"/>
      </w:divBdr>
    </w:div>
    <w:div w:id="1090270074">
      <w:bodyDiv w:val="1"/>
      <w:marLeft w:val="0"/>
      <w:marRight w:val="0"/>
      <w:marTop w:val="0"/>
      <w:marBottom w:val="0"/>
      <w:divBdr>
        <w:top w:val="none" w:sz="0" w:space="0" w:color="auto"/>
        <w:left w:val="none" w:sz="0" w:space="0" w:color="auto"/>
        <w:bottom w:val="none" w:sz="0" w:space="0" w:color="auto"/>
        <w:right w:val="none" w:sz="0" w:space="0" w:color="auto"/>
      </w:divBdr>
    </w:div>
    <w:div w:id="1090348277">
      <w:bodyDiv w:val="1"/>
      <w:marLeft w:val="0"/>
      <w:marRight w:val="0"/>
      <w:marTop w:val="0"/>
      <w:marBottom w:val="0"/>
      <w:divBdr>
        <w:top w:val="none" w:sz="0" w:space="0" w:color="auto"/>
        <w:left w:val="none" w:sz="0" w:space="0" w:color="auto"/>
        <w:bottom w:val="none" w:sz="0" w:space="0" w:color="auto"/>
        <w:right w:val="none" w:sz="0" w:space="0" w:color="auto"/>
      </w:divBdr>
    </w:div>
    <w:div w:id="1090590199">
      <w:bodyDiv w:val="1"/>
      <w:marLeft w:val="0"/>
      <w:marRight w:val="0"/>
      <w:marTop w:val="0"/>
      <w:marBottom w:val="0"/>
      <w:divBdr>
        <w:top w:val="none" w:sz="0" w:space="0" w:color="auto"/>
        <w:left w:val="none" w:sz="0" w:space="0" w:color="auto"/>
        <w:bottom w:val="none" w:sz="0" w:space="0" w:color="auto"/>
        <w:right w:val="none" w:sz="0" w:space="0" w:color="auto"/>
      </w:divBdr>
    </w:div>
    <w:div w:id="1090925734">
      <w:bodyDiv w:val="1"/>
      <w:marLeft w:val="0"/>
      <w:marRight w:val="0"/>
      <w:marTop w:val="0"/>
      <w:marBottom w:val="0"/>
      <w:divBdr>
        <w:top w:val="none" w:sz="0" w:space="0" w:color="auto"/>
        <w:left w:val="none" w:sz="0" w:space="0" w:color="auto"/>
        <w:bottom w:val="none" w:sz="0" w:space="0" w:color="auto"/>
        <w:right w:val="none" w:sz="0" w:space="0" w:color="auto"/>
      </w:divBdr>
    </w:div>
    <w:div w:id="1090925949">
      <w:bodyDiv w:val="1"/>
      <w:marLeft w:val="0"/>
      <w:marRight w:val="0"/>
      <w:marTop w:val="0"/>
      <w:marBottom w:val="0"/>
      <w:divBdr>
        <w:top w:val="none" w:sz="0" w:space="0" w:color="auto"/>
        <w:left w:val="none" w:sz="0" w:space="0" w:color="auto"/>
        <w:bottom w:val="none" w:sz="0" w:space="0" w:color="auto"/>
        <w:right w:val="none" w:sz="0" w:space="0" w:color="auto"/>
      </w:divBdr>
    </w:div>
    <w:div w:id="1091007807">
      <w:bodyDiv w:val="1"/>
      <w:marLeft w:val="0"/>
      <w:marRight w:val="0"/>
      <w:marTop w:val="0"/>
      <w:marBottom w:val="0"/>
      <w:divBdr>
        <w:top w:val="none" w:sz="0" w:space="0" w:color="auto"/>
        <w:left w:val="none" w:sz="0" w:space="0" w:color="auto"/>
        <w:bottom w:val="none" w:sz="0" w:space="0" w:color="auto"/>
        <w:right w:val="none" w:sz="0" w:space="0" w:color="auto"/>
      </w:divBdr>
    </w:div>
    <w:div w:id="1091007900">
      <w:bodyDiv w:val="1"/>
      <w:marLeft w:val="0"/>
      <w:marRight w:val="0"/>
      <w:marTop w:val="0"/>
      <w:marBottom w:val="0"/>
      <w:divBdr>
        <w:top w:val="none" w:sz="0" w:space="0" w:color="auto"/>
        <w:left w:val="none" w:sz="0" w:space="0" w:color="auto"/>
        <w:bottom w:val="none" w:sz="0" w:space="0" w:color="auto"/>
        <w:right w:val="none" w:sz="0" w:space="0" w:color="auto"/>
      </w:divBdr>
    </w:div>
    <w:div w:id="1091195092">
      <w:bodyDiv w:val="1"/>
      <w:marLeft w:val="0"/>
      <w:marRight w:val="0"/>
      <w:marTop w:val="0"/>
      <w:marBottom w:val="0"/>
      <w:divBdr>
        <w:top w:val="none" w:sz="0" w:space="0" w:color="auto"/>
        <w:left w:val="none" w:sz="0" w:space="0" w:color="auto"/>
        <w:bottom w:val="none" w:sz="0" w:space="0" w:color="auto"/>
        <w:right w:val="none" w:sz="0" w:space="0" w:color="auto"/>
      </w:divBdr>
    </w:div>
    <w:div w:id="1091197148">
      <w:bodyDiv w:val="1"/>
      <w:marLeft w:val="0"/>
      <w:marRight w:val="0"/>
      <w:marTop w:val="0"/>
      <w:marBottom w:val="0"/>
      <w:divBdr>
        <w:top w:val="none" w:sz="0" w:space="0" w:color="auto"/>
        <w:left w:val="none" w:sz="0" w:space="0" w:color="auto"/>
        <w:bottom w:val="none" w:sz="0" w:space="0" w:color="auto"/>
        <w:right w:val="none" w:sz="0" w:space="0" w:color="auto"/>
      </w:divBdr>
    </w:div>
    <w:div w:id="1091200663">
      <w:bodyDiv w:val="1"/>
      <w:marLeft w:val="0"/>
      <w:marRight w:val="0"/>
      <w:marTop w:val="0"/>
      <w:marBottom w:val="0"/>
      <w:divBdr>
        <w:top w:val="none" w:sz="0" w:space="0" w:color="auto"/>
        <w:left w:val="none" w:sz="0" w:space="0" w:color="auto"/>
        <w:bottom w:val="none" w:sz="0" w:space="0" w:color="auto"/>
        <w:right w:val="none" w:sz="0" w:space="0" w:color="auto"/>
      </w:divBdr>
    </w:div>
    <w:div w:id="1091245339">
      <w:bodyDiv w:val="1"/>
      <w:marLeft w:val="0"/>
      <w:marRight w:val="0"/>
      <w:marTop w:val="0"/>
      <w:marBottom w:val="0"/>
      <w:divBdr>
        <w:top w:val="none" w:sz="0" w:space="0" w:color="auto"/>
        <w:left w:val="none" w:sz="0" w:space="0" w:color="auto"/>
        <w:bottom w:val="none" w:sz="0" w:space="0" w:color="auto"/>
        <w:right w:val="none" w:sz="0" w:space="0" w:color="auto"/>
      </w:divBdr>
    </w:div>
    <w:div w:id="1091317617">
      <w:bodyDiv w:val="1"/>
      <w:marLeft w:val="0"/>
      <w:marRight w:val="0"/>
      <w:marTop w:val="0"/>
      <w:marBottom w:val="0"/>
      <w:divBdr>
        <w:top w:val="none" w:sz="0" w:space="0" w:color="auto"/>
        <w:left w:val="none" w:sz="0" w:space="0" w:color="auto"/>
        <w:bottom w:val="none" w:sz="0" w:space="0" w:color="auto"/>
        <w:right w:val="none" w:sz="0" w:space="0" w:color="auto"/>
      </w:divBdr>
    </w:div>
    <w:div w:id="1091467005">
      <w:bodyDiv w:val="1"/>
      <w:marLeft w:val="0"/>
      <w:marRight w:val="0"/>
      <w:marTop w:val="0"/>
      <w:marBottom w:val="0"/>
      <w:divBdr>
        <w:top w:val="none" w:sz="0" w:space="0" w:color="auto"/>
        <w:left w:val="none" w:sz="0" w:space="0" w:color="auto"/>
        <w:bottom w:val="none" w:sz="0" w:space="0" w:color="auto"/>
        <w:right w:val="none" w:sz="0" w:space="0" w:color="auto"/>
      </w:divBdr>
    </w:div>
    <w:div w:id="1091583364">
      <w:bodyDiv w:val="1"/>
      <w:marLeft w:val="0"/>
      <w:marRight w:val="0"/>
      <w:marTop w:val="0"/>
      <w:marBottom w:val="0"/>
      <w:divBdr>
        <w:top w:val="none" w:sz="0" w:space="0" w:color="auto"/>
        <w:left w:val="none" w:sz="0" w:space="0" w:color="auto"/>
        <w:bottom w:val="none" w:sz="0" w:space="0" w:color="auto"/>
        <w:right w:val="none" w:sz="0" w:space="0" w:color="auto"/>
      </w:divBdr>
    </w:div>
    <w:div w:id="1091584077">
      <w:bodyDiv w:val="1"/>
      <w:marLeft w:val="0"/>
      <w:marRight w:val="0"/>
      <w:marTop w:val="0"/>
      <w:marBottom w:val="0"/>
      <w:divBdr>
        <w:top w:val="none" w:sz="0" w:space="0" w:color="auto"/>
        <w:left w:val="none" w:sz="0" w:space="0" w:color="auto"/>
        <w:bottom w:val="none" w:sz="0" w:space="0" w:color="auto"/>
        <w:right w:val="none" w:sz="0" w:space="0" w:color="auto"/>
      </w:divBdr>
    </w:div>
    <w:div w:id="1091773899">
      <w:bodyDiv w:val="1"/>
      <w:marLeft w:val="0"/>
      <w:marRight w:val="0"/>
      <w:marTop w:val="0"/>
      <w:marBottom w:val="0"/>
      <w:divBdr>
        <w:top w:val="none" w:sz="0" w:space="0" w:color="auto"/>
        <w:left w:val="none" w:sz="0" w:space="0" w:color="auto"/>
        <w:bottom w:val="none" w:sz="0" w:space="0" w:color="auto"/>
        <w:right w:val="none" w:sz="0" w:space="0" w:color="auto"/>
      </w:divBdr>
    </w:div>
    <w:div w:id="1091777505">
      <w:bodyDiv w:val="1"/>
      <w:marLeft w:val="0"/>
      <w:marRight w:val="0"/>
      <w:marTop w:val="0"/>
      <w:marBottom w:val="0"/>
      <w:divBdr>
        <w:top w:val="none" w:sz="0" w:space="0" w:color="auto"/>
        <w:left w:val="none" w:sz="0" w:space="0" w:color="auto"/>
        <w:bottom w:val="none" w:sz="0" w:space="0" w:color="auto"/>
        <w:right w:val="none" w:sz="0" w:space="0" w:color="auto"/>
      </w:divBdr>
    </w:div>
    <w:div w:id="1091780736">
      <w:bodyDiv w:val="1"/>
      <w:marLeft w:val="0"/>
      <w:marRight w:val="0"/>
      <w:marTop w:val="0"/>
      <w:marBottom w:val="0"/>
      <w:divBdr>
        <w:top w:val="none" w:sz="0" w:space="0" w:color="auto"/>
        <w:left w:val="none" w:sz="0" w:space="0" w:color="auto"/>
        <w:bottom w:val="none" w:sz="0" w:space="0" w:color="auto"/>
        <w:right w:val="none" w:sz="0" w:space="0" w:color="auto"/>
      </w:divBdr>
    </w:div>
    <w:div w:id="1091850122">
      <w:bodyDiv w:val="1"/>
      <w:marLeft w:val="0"/>
      <w:marRight w:val="0"/>
      <w:marTop w:val="0"/>
      <w:marBottom w:val="0"/>
      <w:divBdr>
        <w:top w:val="none" w:sz="0" w:space="0" w:color="auto"/>
        <w:left w:val="none" w:sz="0" w:space="0" w:color="auto"/>
        <w:bottom w:val="none" w:sz="0" w:space="0" w:color="auto"/>
        <w:right w:val="none" w:sz="0" w:space="0" w:color="auto"/>
      </w:divBdr>
    </w:div>
    <w:div w:id="1091974357">
      <w:bodyDiv w:val="1"/>
      <w:marLeft w:val="0"/>
      <w:marRight w:val="0"/>
      <w:marTop w:val="0"/>
      <w:marBottom w:val="0"/>
      <w:divBdr>
        <w:top w:val="none" w:sz="0" w:space="0" w:color="auto"/>
        <w:left w:val="none" w:sz="0" w:space="0" w:color="auto"/>
        <w:bottom w:val="none" w:sz="0" w:space="0" w:color="auto"/>
        <w:right w:val="none" w:sz="0" w:space="0" w:color="auto"/>
      </w:divBdr>
    </w:div>
    <w:div w:id="1092043389">
      <w:bodyDiv w:val="1"/>
      <w:marLeft w:val="0"/>
      <w:marRight w:val="0"/>
      <w:marTop w:val="0"/>
      <w:marBottom w:val="0"/>
      <w:divBdr>
        <w:top w:val="none" w:sz="0" w:space="0" w:color="auto"/>
        <w:left w:val="none" w:sz="0" w:space="0" w:color="auto"/>
        <w:bottom w:val="none" w:sz="0" w:space="0" w:color="auto"/>
        <w:right w:val="none" w:sz="0" w:space="0" w:color="auto"/>
      </w:divBdr>
    </w:div>
    <w:div w:id="1092047511">
      <w:bodyDiv w:val="1"/>
      <w:marLeft w:val="0"/>
      <w:marRight w:val="0"/>
      <w:marTop w:val="0"/>
      <w:marBottom w:val="0"/>
      <w:divBdr>
        <w:top w:val="none" w:sz="0" w:space="0" w:color="auto"/>
        <w:left w:val="none" w:sz="0" w:space="0" w:color="auto"/>
        <w:bottom w:val="none" w:sz="0" w:space="0" w:color="auto"/>
        <w:right w:val="none" w:sz="0" w:space="0" w:color="auto"/>
      </w:divBdr>
    </w:div>
    <w:div w:id="1092161741">
      <w:bodyDiv w:val="1"/>
      <w:marLeft w:val="0"/>
      <w:marRight w:val="0"/>
      <w:marTop w:val="0"/>
      <w:marBottom w:val="0"/>
      <w:divBdr>
        <w:top w:val="none" w:sz="0" w:space="0" w:color="auto"/>
        <w:left w:val="none" w:sz="0" w:space="0" w:color="auto"/>
        <w:bottom w:val="none" w:sz="0" w:space="0" w:color="auto"/>
        <w:right w:val="none" w:sz="0" w:space="0" w:color="auto"/>
      </w:divBdr>
    </w:div>
    <w:div w:id="1092317991">
      <w:bodyDiv w:val="1"/>
      <w:marLeft w:val="0"/>
      <w:marRight w:val="0"/>
      <w:marTop w:val="0"/>
      <w:marBottom w:val="0"/>
      <w:divBdr>
        <w:top w:val="none" w:sz="0" w:space="0" w:color="auto"/>
        <w:left w:val="none" w:sz="0" w:space="0" w:color="auto"/>
        <w:bottom w:val="none" w:sz="0" w:space="0" w:color="auto"/>
        <w:right w:val="none" w:sz="0" w:space="0" w:color="auto"/>
      </w:divBdr>
    </w:div>
    <w:div w:id="1092319128">
      <w:bodyDiv w:val="1"/>
      <w:marLeft w:val="0"/>
      <w:marRight w:val="0"/>
      <w:marTop w:val="0"/>
      <w:marBottom w:val="0"/>
      <w:divBdr>
        <w:top w:val="none" w:sz="0" w:space="0" w:color="auto"/>
        <w:left w:val="none" w:sz="0" w:space="0" w:color="auto"/>
        <w:bottom w:val="none" w:sz="0" w:space="0" w:color="auto"/>
        <w:right w:val="none" w:sz="0" w:space="0" w:color="auto"/>
      </w:divBdr>
    </w:div>
    <w:div w:id="1092354248">
      <w:bodyDiv w:val="1"/>
      <w:marLeft w:val="0"/>
      <w:marRight w:val="0"/>
      <w:marTop w:val="0"/>
      <w:marBottom w:val="0"/>
      <w:divBdr>
        <w:top w:val="none" w:sz="0" w:space="0" w:color="auto"/>
        <w:left w:val="none" w:sz="0" w:space="0" w:color="auto"/>
        <w:bottom w:val="none" w:sz="0" w:space="0" w:color="auto"/>
        <w:right w:val="none" w:sz="0" w:space="0" w:color="auto"/>
      </w:divBdr>
    </w:div>
    <w:div w:id="1092510176">
      <w:bodyDiv w:val="1"/>
      <w:marLeft w:val="0"/>
      <w:marRight w:val="0"/>
      <w:marTop w:val="0"/>
      <w:marBottom w:val="0"/>
      <w:divBdr>
        <w:top w:val="none" w:sz="0" w:space="0" w:color="auto"/>
        <w:left w:val="none" w:sz="0" w:space="0" w:color="auto"/>
        <w:bottom w:val="none" w:sz="0" w:space="0" w:color="auto"/>
        <w:right w:val="none" w:sz="0" w:space="0" w:color="auto"/>
      </w:divBdr>
    </w:div>
    <w:div w:id="1092556146">
      <w:bodyDiv w:val="1"/>
      <w:marLeft w:val="0"/>
      <w:marRight w:val="0"/>
      <w:marTop w:val="0"/>
      <w:marBottom w:val="0"/>
      <w:divBdr>
        <w:top w:val="none" w:sz="0" w:space="0" w:color="auto"/>
        <w:left w:val="none" w:sz="0" w:space="0" w:color="auto"/>
        <w:bottom w:val="none" w:sz="0" w:space="0" w:color="auto"/>
        <w:right w:val="none" w:sz="0" w:space="0" w:color="auto"/>
      </w:divBdr>
    </w:div>
    <w:div w:id="1092626487">
      <w:bodyDiv w:val="1"/>
      <w:marLeft w:val="0"/>
      <w:marRight w:val="0"/>
      <w:marTop w:val="0"/>
      <w:marBottom w:val="0"/>
      <w:divBdr>
        <w:top w:val="none" w:sz="0" w:space="0" w:color="auto"/>
        <w:left w:val="none" w:sz="0" w:space="0" w:color="auto"/>
        <w:bottom w:val="none" w:sz="0" w:space="0" w:color="auto"/>
        <w:right w:val="none" w:sz="0" w:space="0" w:color="auto"/>
      </w:divBdr>
    </w:div>
    <w:div w:id="1092773539">
      <w:bodyDiv w:val="1"/>
      <w:marLeft w:val="0"/>
      <w:marRight w:val="0"/>
      <w:marTop w:val="0"/>
      <w:marBottom w:val="0"/>
      <w:divBdr>
        <w:top w:val="none" w:sz="0" w:space="0" w:color="auto"/>
        <w:left w:val="none" w:sz="0" w:space="0" w:color="auto"/>
        <w:bottom w:val="none" w:sz="0" w:space="0" w:color="auto"/>
        <w:right w:val="none" w:sz="0" w:space="0" w:color="auto"/>
      </w:divBdr>
    </w:div>
    <w:div w:id="1092773707">
      <w:bodyDiv w:val="1"/>
      <w:marLeft w:val="0"/>
      <w:marRight w:val="0"/>
      <w:marTop w:val="0"/>
      <w:marBottom w:val="0"/>
      <w:divBdr>
        <w:top w:val="none" w:sz="0" w:space="0" w:color="auto"/>
        <w:left w:val="none" w:sz="0" w:space="0" w:color="auto"/>
        <w:bottom w:val="none" w:sz="0" w:space="0" w:color="auto"/>
        <w:right w:val="none" w:sz="0" w:space="0" w:color="auto"/>
      </w:divBdr>
    </w:div>
    <w:div w:id="1092819007">
      <w:bodyDiv w:val="1"/>
      <w:marLeft w:val="0"/>
      <w:marRight w:val="0"/>
      <w:marTop w:val="0"/>
      <w:marBottom w:val="0"/>
      <w:divBdr>
        <w:top w:val="none" w:sz="0" w:space="0" w:color="auto"/>
        <w:left w:val="none" w:sz="0" w:space="0" w:color="auto"/>
        <w:bottom w:val="none" w:sz="0" w:space="0" w:color="auto"/>
        <w:right w:val="none" w:sz="0" w:space="0" w:color="auto"/>
      </w:divBdr>
    </w:div>
    <w:div w:id="1092891440">
      <w:bodyDiv w:val="1"/>
      <w:marLeft w:val="0"/>
      <w:marRight w:val="0"/>
      <w:marTop w:val="0"/>
      <w:marBottom w:val="0"/>
      <w:divBdr>
        <w:top w:val="none" w:sz="0" w:space="0" w:color="auto"/>
        <w:left w:val="none" w:sz="0" w:space="0" w:color="auto"/>
        <w:bottom w:val="none" w:sz="0" w:space="0" w:color="auto"/>
        <w:right w:val="none" w:sz="0" w:space="0" w:color="auto"/>
      </w:divBdr>
    </w:div>
    <w:div w:id="1092899902">
      <w:bodyDiv w:val="1"/>
      <w:marLeft w:val="0"/>
      <w:marRight w:val="0"/>
      <w:marTop w:val="0"/>
      <w:marBottom w:val="0"/>
      <w:divBdr>
        <w:top w:val="none" w:sz="0" w:space="0" w:color="auto"/>
        <w:left w:val="none" w:sz="0" w:space="0" w:color="auto"/>
        <w:bottom w:val="none" w:sz="0" w:space="0" w:color="auto"/>
        <w:right w:val="none" w:sz="0" w:space="0" w:color="auto"/>
      </w:divBdr>
    </w:div>
    <w:div w:id="1092900486">
      <w:bodyDiv w:val="1"/>
      <w:marLeft w:val="0"/>
      <w:marRight w:val="0"/>
      <w:marTop w:val="0"/>
      <w:marBottom w:val="0"/>
      <w:divBdr>
        <w:top w:val="none" w:sz="0" w:space="0" w:color="auto"/>
        <w:left w:val="none" w:sz="0" w:space="0" w:color="auto"/>
        <w:bottom w:val="none" w:sz="0" w:space="0" w:color="auto"/>
        <w:right w:val="none" w:sz="0" w:space="0" w:color="auto"/>
      </w:divBdr>
    </w:div>
    <w:div w:id="1092968158">
      <w:bodyDiv w:val="1"/>
      <w:marLeft w:val="0"/>
      <w:marRight w:val="0"/>
      <w:marTop w:val="0"/>
      <w:marBottom w:val="0"/>
      <w:divBdr>
        <w:top w:val="none" w:sz="0" w:space="0" w:color="auto"/>
        <w:left w:val="none" w:sz="0" w:space="0" w:color="auto"/>
        <w:bottom w:val="none" w:sz="0" w:space="0" w:color="auto"/>
        <w:right w:val="none" w:sz="0" w:space="0" w:color="auto"/>
      </w:divBdr>
    </w:div>
    <w:div w:id="1092974107">
      <w:bodyDiv w:val="1"/>
      <w:marLeft w:val="0"/>
      <w:marRight w:val="0"/>
      <w:marTop w:val="0"/>
      <w:marBottom w:val="0"/>
      <w:divBdr>
        <w:top w:val="none" w:sz="0" w:space="0" w:color="auto"/>
        <w:left w:val="none" w:sz="0" w:space="0" w:color="auto"/>
        <w:bottom w:val="none" w:sz="0" w:space="0" w:color="auto"/>
        <w:right w:val="none" w:sz="0" w:space="0" w:color="auto"/>
      </w:divBdr>
    </w:div>
    <w:div w:id="1093017599">
      <w:bodyDiv w:val="1"/>
      <w:marLeft w:val="0"/>
      <w:marRight w:val="0"/>
      <w:marTop w:val="0"/>
      <w:marBottom w:val="0"/>
      <w:divBdr>
        <w:top w:val="none" w:sz="0" w:space="0" w:color="auto"/>
        <w:left w:val="none" w:sz="0" w:space="0" w:color="auto"/>
        <w:bottom w:val="none" w:sz="0" w:space="0" w:color="auto"/>
        <w:right w:val="none" w:sz="0" w:space="0" w:color="auto"/>
      </w:divBdr>
    </w:div>
    <w:div w:id="1093041953">
      <w:bodyDiv w:val="1"/>
      <w:marLeft w:val="0"/>
      <w:marRight w:val="0"/>
      <w:marTop w:val="0"/>
      <w:marBottom w:val="0"/>
      <w:divBdr>
        <w:top w:val="none" w:sz="0" w:space="0" w:color="auto"/>
        <w:left w:val="none" w:sz="0" w:space="0" w:color="auto"/>
        <w:bottom w:val="none" w:sz="0" w:space="0" w:color="auto"/>
        <w:right w:val="none" w:sz="0" w:space="0" w:color="auto"/>
      </w:divBdr>
    </w:div>
    <w:div w:id="1093164033">
      <w:bodyDiv w:val="1"/>
      <w:marLeft w:val="0"/>
      <w:marRight w:val="0"/>
      <w:marTop w:val="0"/>
      <w:marBottom w:val="0"/>
      <w:divBdr>
        <w:top w:val="none" w:sz="0" w:space="0" w:color="auto"/>
        <w:left w:val="none" w:sz="0" w:space="0" w:color="auto"/>
        <w:bottom w:val="none" w:sz="0" w:space="0" w:color="auto"/>
        <w:right w:val="none" w:sz="0" w:space="0" w:color="auto"/>
      </w:divBdr>
    </w:div>
    <w:div w:id="1093279298">
      <w:bodyDiv w:val="1"/>
      <w:marLeft w:val="0"/>
      <w:marRight w:val="0"/>
      <w:marTop w:val="0"/>
      <w:marBottom w:val="0"/>
      <w:divBdr>
        <w:top w:val="none" w:sz="0" w:space="0" w:color="auto"/>
        <w:left w:val="none" w:sz="0" w:space="0" w:color="auto"/>
        <w:bottom w:val="none" w:sz="0" w:space="0" w:color="auto"/>
        <w:right w:val="none" w:sz="0" w:space="0" w:color="auto"/>
      </w:divBdr>
    </w:div>
    <w:div w:id="1093286652">
      <w:bodyDiv w:val="1"/>
      <w:marLeft w:val="0"/>
      <w:marRight w:val="0"/>
      <w:marTop w:val="0"/>
      <w:marBottom w:val="0"/>
      <w:divBdr>
        <w:top w:val="none" w:sz="0" w:space="0" w:color="auto"/>
        <w:left w:val="none" w:sz="0" w:space="0" w:color="auto"/>
        <w:bottom w:val="none" w:sz="0" w:space="0" w:color="auto"/>
        <w:right w:val="none" w:sz="0" w:space="0" w:color="auto"/>
      </w:divBdr>
    </w:div>
    <w:div w:id="1093353287">
      <w:bodyDiv w:val="1"/>
      <w:marLeft w:val="0"/>
      <w:marRight w:val="0"/>
      <w:marTop w:val="0"/>
      <w:marBottom w:val="0"/>
      <w:divBdr>
        <w:top w:val="none" w:sz="0" w:space="0" w:color="auto"/>
        <w:left w:val="none" w:sz="0" w:space="0" w:color="auto"/>
        <w:bottom w:val="none" w:sz="0" w:space="0" w:color="auto"/>
        <w:right w:val="none" w:sz="0" w:space="0" w:color="auto"/>
      </w:divBdr>
    </w:div>
    <w:div w:id="1093356580">
      <w:bodyDiv w:val="1"/>
      <w:marLeft w:val="0"/>
      <w:marRight w:val="0"/>
      <w:marTop w:val="0"/>
      <w:marBottom w:val="0"/>
      <w:divBdr>
        <w:top w:val="none" w:sz="0" w:space="0" w:color="auto"/>
        <w:left w:val="none" w:sz="0" w:space="0" w:color="auto"/>
        <w:bottom w:val="none" w:sz="0" w:space="0" w:color="auto"/>
        <w:right w:val="none" w:sz="0" w:space="0" w:color="auto"/>
      </w:divBdr>
    </w:div>
    <w:div w:id="1093548479">
      <w:bodyDiv w:val="1"/>
      <w:marLeft w:val="0"/>
      <w:marRight w:val="0"/>
      <w:marTop w:val="0"/>
      <w:marBottom w:val="0"/>
      <w:divBdr>
        <w:top w:val="none" w:sz="0" w:space="0" w:color="auto"/>
        <w:left w:val="none" w:sz="0" w:space="0" w:color="auto"/>
        <w:bottom w:val="none" w:sz="0" w:space="0" w:color="auto"/>
        <w:right w:val="none" w:sz="0" w:space="0" w:color="auto"/>
      </w:divBdr>
    </w:div>
    <w:div w:id="1093551594">
      <w:bodyDiv w:val="1"/>
      <w:marLeft w:val="0"/>
      <w:marRight w:val="0"/>
      <w:marTop w:val="0"/>
      <w:marBottom w:val="0"/>
      <w:divBdr>
        <w:top w:val="none" w:sz="0" w:space="0" w:color="auto"/>
        <w:left w:val="none" w:sz="0" w:space="0" w:color="auto"/>
        <w:bottom w:val="none" w:sz="0" w:space="0" w:color="auto"/>
        <w:right w:val="none" w:sz="0" w:space="0" w:color="auto"/>
      </w:divBdr>
    </w:div>
    <w:div w:id="1093741948">
      <w:bodyDiv w:val="1"/>
      <w:marLeft w:val="0"/>
      <w:marRight w:val="0"/>
      <w:marTop w:val="0"/>
      <w:marBottom w:val="0"/>
      <w:divBdr>
        <w:top w:val="none" w:sz="0" w:space="0" w:color="auto"/>
        <w:left w:val="none" w:sz="0" w:space="0" w:color="auto"/>
        <w:bottom w:val="none" w:sz="0" w:space="0" w:color="auto"/>
        <w:right w:val="none" w:sz="0" w:space="0" w:color="auto"/>
      </w:divBdr>
    </w:div>
    <w:div w:id="1093748677">
      <w:bodyDiv w:val="1"/>
      <w:marLeft w:val="0"/>
      <w:marRight w:val="0"/>
      <w:marTop w:val="0"/>
      <w:marBottom w:val="0"/>
      <w:divBdr>
        <w:top w:val="none" w:sz="0" w:space="0" w:color="auto"/>
        <w:left w:val="none" w:sz="0" w:space="0" w:color="auto"/>
        <w:bottom w:val="none" w:sz="0" w:space="0" w:color="auto"/>
        <w:right w:val="none" w:sz="0" w:space="0" w:color="auto"/>
      </w:divBdr>
    </w:div>
    <w:div w:id="1093821982">
      <w:bodyDiv w:val="1"/>
      <w:marLeft w:val="0"/>
      <w:marRight w:val="0"/>
      <w:marTop w:val="0"/>
      <w:marBottom w:val="0"/>
      <w:divBdr>
        <w:top w:val="none" w:sz="0" w:space="0" w:color="auto"/>
        <w:left w:val="none" w:sz="0" w:space="0" w:color="auto"/>
        <w:bottom w:val="none" w:sz="0" w:space="0" w:color="auto"/>
        <w:right w:val="none" w:sz="0" w:space="0" w:color="auto"/>
      </w:divBdr>
    </w:div>
    <w:div w:id="1093934599">
      <w:bodyDiv w:val="1"/>
      <w:marLeft w:val="0"/>
      <w:marRight w:val="0"/>
      <w:marTop w:val="0"/>
      <w:marBottom w:val="0"/>
      <w:divBdr>
        <w:top w:val="none" w:sz="0" w:space="0" w:color="auto"/>
        <w:left w:val="none" w:sz="0" w:space="0" w:color="auto"/>
        <w:bottom w:val="none" w:sz="0" w:space="0" w:color="auto"/>
        <w:right w:val="none" w:sz="0" w:space="0" w:color="auto"/>
      </w:divBdr>
    </w:div>
    <w:div w:id="1093942022">
      <w:bodyDiv w:val="1"/>
      <w:marLeft w:val="0"/>
      <w:marRight w:val="0"/>
      <w:marTop w:val="0"/>
      <w:marBottom w:val="0"/>
      <w:divBdr>
        <w:top w:val="none" w:sz="0" w:space="0" w:color="auto"/>
        <w:left w:val="none" w:sz="0" w:space="0" w:color="auto"/>
        <w:bottom w:val="none" w:sz="0" w:space="0" w:color="auto"/>
        <w:right w:val="none" w:sz="0" w:space="0" w:color="auto"/>
      </w:divBdr>
    </w:div>
    <w:div w:id="1094008906">
      <w:bodyDiv w:val="1"/>
      <w:marLeft w:val="0"/>
      <w:marRight w:val="0"/>
      <w:marTop w:val="0"/>
      <w:marBottom w:val="0"/>
      <w:divBdr>
        <w:top w:val="none" w:sz="0" w:space="0" w:color="auto"/>
        <w:left w:val="none" w:sz="0" w:space="0" w:color="auto"/>
        <w:bottom w:val="none" w:sz="0" w:space="0" w:color="auto"/>
        <w:right w:val="none" w:sz="0" w:space="0" w:color="auto"/>
      </w:divBdr>
    </w:div>
    <w:div w:id="1094085421">
      <w:bodyDiv w:val="1"/>
      <w:marLeft w:val="0"/>
      <w:marRight w:val="0"/>
      <w:marTop w:val="0"/>
      <w:marBottom w:val="0"/>
      <w:divBdr>
        <w:top w:val="none" w:sz="0" w:space="0" w:color="auto"/>
        <w:left w:val="none" w:sz="0" w:space="0" w:color="auto"/>
        <w:bottom w:val="none" w:sz="0" w:space="0" w:color="auto"/>
        <w:right w:val="none" w:sz="0" w:space="0" w:color="auto"/>
      </w:divBdr>
    </w:div>
    <w:div w:id="1094204719">
      <w:bodyDiv w:val="1"/>
      <w:marLeft w:val="0"/>
      <w:marRight w:val="0"/>
      <w:marTop w:val="0"/>
      <w:marBottom w:val="0"/>
      <w:divBdr>
        <w:top w:val="none" w:sz="0" w:space="0" w:color="auto"/>
        <w:left w:val="none" w:sz="0" w:space="0" w:color="auto"/>
        <w:bottom w:val="none" w:sz="0" w:space="0" w:color="auto"/>
        <w:right w:val="none" w:sz="0" w:space="0" w:color="auto"/>
      </w:divBdr>
    </w:div>
    <w:div w:id="1094207261">
      <w:bodyDiv w:val="1"/>
      <w:marLeft w:val="0"/>
      <w:marRight w:val="0"/>
      <w:marTop w:val="0"/>
      <w:marBottom w:val="0"/>
      <w:divBdr>
        <w:top w:val="none" w:sz="0" w:space="0" w:color="auto"/>
        <w:left w:val="none" w:sz="0" w:space="0" w:color="auto"/>
        <w:bottom w:val="none" w:sz="0" w:space="0" w:color="auto"/>
        <w:right w:val="none" w:sz="0" w:space="0" w:color="auto"/>
      </w:divBdr>
    </w:div>
    <w:div w:id="1094280231">
      <w:bodyDiv w:val="1"/>
      <w:marLeft w:val="0"/>
      <w:marRight w:val="0"/>
      <w:marTop w:val="0"/>
      <w:marBottom w:val="0"/>
      <w:divBdr>
        <w:top w:val="none" w:sz="0" w:space="0" w:color="auto"/>
        <w:left w:val="none" w:sz="0" w:space="0" w:color="auto"/>
        <w:bottom w:val="none" w:sz="0" w:space="0" w:color="auto"/>
        <w:right w:val="none" w:sz="0" w:space="0" w:color="auto"/>
      </w:divBdr>
    </w:div>
    <w:div w:id="1094280468">
      <w:bodyDiv w:val="1"/>
      <w:marLeft w:val="0"/>
      <w:marRight w:val="0"/>
      <w:marTop w:val="0"/>
      <w:marBottom w:val="0"/>
      <w:divBdr>
        <w:top w:val="none" w:sz="0" w:space="0" w:color="auto"/>
        <w:left w:val="none" w:sz="0" w:space="0" w:color="auto"/>
        <w:bottom w:val="none" w:sz="0" w:space="0" w:color="auto"/>
        <w:right w:val="none" w:sz="0" w:space="0" w:color="auto"/>
      </w:divBdr>
    </w:div>
    <w:div w:id="1094396396">
      <w:bodyDiv w:val="1"/>
      <w:marLeft w:val="0"/>
      <w:marRight w:val="0"/>
      <w:marTop w:val="0"/>
      <w:marBottom w:val="0"/>
      <w:divBdr>
        <w:top w:val="none" w:sz="0" w:space="0" w:color="auto"/>
        <w:left w:val="none" w:sz="0" w:space="0" w:color="auto"/>
        <w:bottom w:val="none" w:sz="0" w:space="0" w:color="auto"/>
        <w:right w:val="none" w:sz="0" w:space="0" w:color="auto"/>
      </w:divBdr>
    </w:div>
    <w:div w:id="1094521209">
      <w:bodyDiv w:val="1"/>
      <w:marLeft w:val="0"/>
      <w:marRight w:val="0"/>
      <w:marTop w:val="0"/>
      <w:marBottom w:val="0"/>
      <w:divBdr>
        <w:top w:val="none" w:sz="0" w:space="0" w:color="auto"/>
        <w:left w:val="none" w:sz="0" w:space="0" w:color="auto"/>
        <w:bottom w:val="none" w:sz="0" w:space="0" w:color="auto"/>
        <w:right w:val="none" w:sz="0" w:space="0" w:color="auto"/>
      </w:divBdr>
    </w:div>
    <w:div w:id="1094549263">
      <w:bodyDiv w:val="1"/>
      <w:marLeft w:val="0"/>
      <w:marRight w:val="0"/>
      <w:marTop w:val="0"/>
      <w:marBottom w:val="0"/>
      <w:divBdr>
        <w:top w:val="none" w:sz="0" w:space="0" w:color="auto"/>
        <w:left w:val="none" w:sz="0" w:space="0" w:color="auto"/>
        <w:bottom w:val="none" w:sz="0" w:space="0" w:color="auto"/>
        <w:right w:val="none" w:sz="0" w:space="0" w:color="auto"/>
      </w:divBdr>
    </w:div>
    <w:div w:id="1094588719">
      <w:bodyDiv w:val="1"/>
      <w:marLeft w:val="0"/>
      <w:marRight w:val="0"/>
      <w:marTop w:val="0"/>
      <w:marBottom w:val="0"/>
      <w:divBdr>
        <w:top w:val="none" w:sz="0" w:space="0" w:color="auto"/>
        <w:left w:val="none" w:sz="0" w:space="0" w:color="auto"/>
        <w:bottom w:val="none" w:sz="0" w:space="0" w:color="auto"/>
        <w:right w:val="none" w:sz="0" w:space="0" w:color="auto"/>
      </w:divBdr>
    </w:div>
    <w:div w:id="1094933761">
      <w:bodyDiv w:val="1"/>
      <w:marLeft w:val="0"/>
      <w:marRight w:val="0"/>
      <w:marTop w:val="0"/>
      <w:marBottom w:val="0"/>
      <w:divBdr>
        <w:top w:val="none" w:sz="0" w:space="0" w:color="auto"/>
        <w:left w:val="none" w:sz="0" w:space="0" w:color="auto"/>
        <w:bottom w:val="none" w:sz="0" w:space="0" w:color="auto"/>
        <w:right w:val="none" w:sz="0" w:space="0" w:color="auto"/>
      </w:divBdr>
    </w:div>
    <w:div w:id="1094941648">
      <w:bodyDiv w:val="1"/>
      <w:marLeft w:val="0"/>
      <w:marRight w:val="0"/>
      <w:marTop w:val="0"/>
      <w:marBottom w:val="0"/>
      <w:divBdr>
        <w:top w:val="none" w:sz="0" w:space="0" w:color="auto"/>
        <w:left w:val="none" w:sz="0" w:space="0" w:color="auto"/>
        <w:bottom w:val="none" w:sz="0" w:space="0" w:color="auto"/>
        <w:right w:val="none" w:sz="0" w:space="0" w:color="auto"/>
      </w:divBdr>
    </w:div>
    <w:div w:id="1094978458">
      <w:bodyDiv w:val="1"/>
      <w:marLeft w:val="0"/>
      <w:marRight w:val="0"/>
      <w:marTop w:val="0"/>
      <w:marBottom w:val="0"/>
      <w:divBdr>
        <w:top w:val="none" w:sz="0" w:space="0" w:color="auto"/>
        <w:left w:val="none" w:sz="0" w:space="0" w:color="auto"/>
        <w:bottom w:val="none" w:sz="0" w:space="0" w:color="auto"/>
        <w:right w:val="none" w:sz="0" w:space="0" w:color="auto"/>
      </w:divBdr>
    </w:div>
    <w:div w:id="1094978932">
      <w:bodyDiv w:val="1"/>
      <w:marLeft w:val="0"/>
      <w:marRight w:val="0"/>
      <w:marTop w:val="0"/>
      <w:marBottom w:val="0"/>
      <w:divBdr>
        <w:top w:val="none" w:sz="0" w:space="0" w:color="auto"/>
        <w:left w:val="none" w:sz="0" w:space="0" w:color="auto"/>
        <w:bottom w:val="none" w:sz="0" w:space="0" w:color="auto"/>
        <w:right w:val="none" w:sz="0" w:space="0" w:color="auto"/>
      </w:divBdr>
    </w:div>
    <w:div w:id="1095049941">
      <w:bodyDiv w:val="1"/>
      <w:marLeft w:val="0"/>
      <w:marRight w:val="0"/>
      <w:marTop w:val="0"/>
      <w:marBottom w:val="0"/>
      <w:divBdr>
        <w:top w:val="none" w:sz="0" w:space="0" w:color="auto"/>
        <w:left w:val="none" w:sz="0" w:space="0" w:color="auto"/>
        <w:bottom w:val="none" w:sz="0" w:space="0" w:color="auto"/>
        <w:right w:val="none" w:sz="0" w:space="0" w:color="auto"/>
      </w:divBdr>
    </w:div>
    <w:div w:id="1095052242">
      <w:bodyDiv w:val="1"/>
      <w:marLeft w:val="0"/>
      <w:marRight w:val="0"/>
      <w:marTop w:val="0"/>
      <w:marBottom w:val="0"/>
      <w:divBdr>
        <w:top w:val="none" w:sz="0" w:space="0" w:color="auto"/>
        <w:left w:val="none" w:sz="0" w:space="0" w:color="auto"/>
        <w:bottom w:val="none" w:sz="0" w:space="0" w:color="auto"/>
        <w:right w:val="none" w:sz="0" w:space="0" w:color="auto"/>
      </w:divBdr>
    </w:div>
    <w:div w:id="1095055030">
      <w:bodyDiv w:val="1"/>
      <w:marLeft w:val="0"/>
      <w:marRight w:val="0"/>
      <w:marTop w:val="0"/>
      <w:marBottom w:val="0"/>
      <w:divBdr>
        <w:top w:val="none" w:sz="0" w:space="0" w:color="auto"/>
        <w:left w:val="none" w:sz="0" w:space="0" w:color="auto"/>
        <w:bottom w:val="none" w:sz="0" w:space="0" w:color="auto"/>
        <w:right w:val="none" w:sz="0" w:space="0" w:color="auto"/>
      </w:divBdr>
    </w:div>
    <w:div w:id="1095129343">
      <w:bodyDiv w:val="1"/>
      <w:marLeft w:val="0"/>
      <w:marRight w:val="0"/>
      <w:marTop w:val="0"/>
      <w:marBottom w:val="0"/>
      <w:divBdr>
        <w:top w:val="none" w:sz="0" w:space="0" w:color="auto"/>
        <w:left w:val="none" w:sz="0" w:space="0" w:color="auto"/>
        <w:bottom w:val="none" w:sz="0" w:space="0" w:color="auto"/>
        <w:right w:val="none" w:sz="0" w:space="0" w:color="auto"/>
      </w:divBdr>
    </w:div>
    <w:div w:id="1095201409">
      <w:bodyDiv w:val="1"/>
      <w:marLeft w:val="0"/>
      <w:marRight w:val="0"/>
      <w:marTop w:val="0"/>
      <w:marBottom w:val="0"/>
      <w:divBdr>
        <w:top w:val="none" w:sz="0" w:space="0" w:color="auto"/>
        <w:left w:val="none" w:sz="0" w:space="0" w:color="auto"/>
        <w:bottom w:val="none" w:sz="0" w:space="0" w:color="auto"/>
        <w:right w:val="none" w:sz="0" w:space="0" w:color="auto"/>
      </w:divBdr>
    </w:div>
    <w:div w:id="1095245837">
      <w:bodyDiv w:val="1"/>
      <w:marLeft w:val="0"/>
      <w:marRight w:val="0"/>
      <w:marTop w:val="0"/>
      <w:marBottom w:val="0"/>
      <w:divBdr>
        <w:top w:val="none" w:sz="0" w:space="0" w:color="auto"/>
        <w:left w:val="none" w:sz="0" w:space="0" w:color="auto"/>
        <w:bottom w:val="none" w:sz="0" w:space="0" w:color="auto"/>
        <w:right w:val="none" w:sz="0" w:space="0" w:color="auto"/>
      </w:divBdr>
    </w:div>
    <w:div w:id="1095249091">
      <w:bodyDiv w:val="1"/>
      <w:marLeft w:val="0"/>
      <w:marRight w:val="0"/>
      <w:marTop w:val="0"/>
      <w:marBottom w:val="0"/>
      <w:divBdr>
        <w:top w:val="none" w:sz="0" w:space="0" w:color="auto"/>
        <w:left w:val="none" w:sz="0" w:space="0" w:color="auto"/>
        <w:bottom w:val="none" w:sz="0" w:space="0" w:color="auto"/>
        <w:right w:val="none" w:sz="0" w:space="0" w:color="auto"/>
      </w:divBdr>
    </w:div>
    <w:div w:id="1095252801">
      <w:bodyDiv w:val="1"/>
      <w:marLeft w:val="0"/>
      <w:marRight w:val="0"/>
      <w:marTop w:val="0"/>
      <w:marBottom w:val="0"/>
      <w:divBdr>
        <w:top w:val="none" w:sz="0" w:space="0" w:color="auto"/>
        <w:left w:val="none" w:sz="0" w:space="0" w:color="auto"/>
        <w:bottom w:val="none" w:sz="0" w:space="0" w:color="auto"/>
        <w:right w:val="none" w:sz="0" w:space="0" w:color="auto"/>
      </w:divBdr>
    </w:div>
    <w:div w:id="1095319650">
      <w:bodyDiv w:val="1"/>
      <w:marLeft w:val="0"/>
      <w:marRight w:val="0"/>
      <w:marTop w:val="0"/>
      <w:marBottom w:val="0"/>
      <w:divBdr>
        <w:top w:val="none" w:sz="0" w:space="0" w:color="auto"/>
        <w:left w:val="none" w:sz="0" w:space="0" w:color="auto"/>
        <w:bottom w:val="none" w:sz="0" w:space="0" w:color="auto"/>
        <w:right w:val="none" w:sz="0" w:space="0" w:color="auto"/>
      </w:divBdr>
    </w:div>
    <w:div w:id="1095321206">
      <w:bodyDiv w:val="1"/>
      <w:marLeft w:val="0"/>
      <w:marRight w:val="0"/>
      <w:marTop w:val="0"/>
      <w:marBottom w:val="0"/>
      <w:divBdr>
        <w:top w:val="none" w:sz="0" w:space="0" w:color="auto"/>
        <w:left w:val="none" w:sz="0" w:space="0" w:color="auto"/>
        <w:bottom w:val="none" w:sz="0" w:space="0" w:color="auto"/>
        <w:right w:val="none" w:sz="0" w:space="0" w:color="auto"/>
      </w:divBdr>
      <w:divsChild>
        <w:div w:id="18052797">
          <w:marLeft w:val="0"/>
          <w:marRight w:val="0"/>
          <w:marTop w:val="0"/>
          <w:marBottom w:val="0"/>
          <w:divBdr>
            <w:top w:val="none" w:sz="0" w:space="0" w:color="auto"/>
            <w:left w:val="none" w:sz="0" w:space="0" w:color="auto"/>
            <w:bottom w:val="none" w:sz="0" w:space="0" w:color="auto"/>
            <w:right w:val="none" w:sz="0" w:space="0" w:color="auto"/>
          </w:divBdr>
        </w:div>
        <w:div w:id="33313302">
          <w:marLeft w:val="0"/>
          <w:marRight w:val="0"/>
          <w:marTop w:val="0"/>
          <w:marBottom w:val="0"/>
          <w:divBdr>
            <w:top w:val="none" w:sz="0" w:space="0" w:color="auto"/>
            <w:left w:val="none" w:sz="0" w:space="0" w:color="auto"/>
            <w:bottom w:val="none" w:sz="0" w:space="0" w:color="auto"/>
            <w:right w:val="none" w:sz="0" w:space="0" w:color="auto"/>
          </w:divBdr>
        </w:div>
        <w:div w:id="36396115">
          <w:marLeft w:val="0"/>
          <w:marRight w:val="0"/>
          <w:marTop w:val="0"/>
          <w:marBottom w:val="0"/>
          <w:divBdr>
            <w:top w:val="none" w:sz="0" w:space="0" w:color="auto"/>
            <w:left w:val="none" w:sz="0" w:space="0" w:color="auto"/>
            <w:bottom w:val="none" w:sz="0" w:space="0" w:color="auto"/>
            <w:right w:val="none" w:sz="0" w:space="0" w:color="auto"/>
          </w:divBdr>
        </w:div>
        <w:div w:id="40639639">
          <w:marLeft w:val="0"/>
          <w:marRight w:val="0"/>
          <w:marTop w:val="0"/>
          <w:marBottom w:val="0"/>
          <w:divBdr>
            <w:top w:val="none" w:sz="0" w:space="0" w:color="auto"/>
            <w:left w:val="none" w:sz="0" w:space="0" w:color="auto"/>
            <w:bottom w:val="none" w:sz="0" w:space="0" w:color="auto"/>
            <w:right w:val="none" w:sz="0" w:space="0" w:color="auto"/>
          </w:divBdr>
        </w:div>
        <w:div w:id="51584787">
          <w:marLeft w:val="0"/>
          <w:marRight w:val="0"/>
          <w:marTop w:val="0"/>
          <w:marBottom w:val="0"/>
          <w:divBdr>
            <w:top w:val="none" w:sz="0" w:space="0" w:color="auto"/>
            <w:left w:val="none" w:sz="0" w:space="0" w:color="auto"/>
            <w:bottom w:val="none" w:sz="0" w:space="0" w:color="auto"/>
            <w:right w:val="none" w:sz="0" w:space="0" w:color="auto"/>
          </w:divBdr>
        </w:div>
        <w:div w:id="51663584">
          <w:marLeft w:val="0"/>
          <w:marRight w:val="0"/>
          <w:marTop w:val="0"/>
          <w:marBottom w:val="0"/>
          <w:divBdr>
            <w:top w:val="none" w:sz="0" w:space="0" w:color="auto"/>
            <w:left w:val="none" w:sz="0" w:space="0" w:color="auto"/>
            <w:bottom w:val="none" w:sz="0" w:space="0" w:color="auto"/>
            <w:right w:val="none" w:sz="0" w:space="0" w:color="auto"/>
          </w:divBdr>
        </w:div>
        <w:div w:id="67968419">
          <w:marLeft w:val="0"/>
          <w:marRight w:val="0"/>
          <w:marTop w:val="0"/>
          <w:marBottom w:val="0"/>
          <w:divBdr>
            <w:top w:val="none" w:sz="0" w:space="0" w:color="auto"/>
            <w:left w:val="none" w:sz="0" w:space="0" w:color="auto"/>
            <w:bottom w:val="none" w:sz="0" w:space="0" w:color="auto"/>
            <w:right w:val="none" w:sz="0" w:space="0" w:color="auto"/>
          </w:divBdr>
        </w:div>
        <w:div w:id="73089584">
          <w:marLeft w:val="0"/>
          <w:marRight w:val="0"/>
          <w:marTop w:val="0"/>
          <w:marBottom w:val="0"/>
          <w:divBdr>
            <w:top w:val="none" w:sz="0" w:space="0" w:color="auto"/>
            <w:left w:val="none" w:sz="0" w:space="0" w:color="auto"/>
            <w:bottom w:val="none" w:sz="0" w:space="0" w:color="auto"/>
            <w:right w:val="none" w:sz="0" w:space="0" w:color="auto"/>
          </w:divBdr>
        </w:div>
        <w:div w:id="74400858">
          <w:marLeft w:val="0"/>
          <w:marRight w:val="0"/>
          <w:marTop w:val="0"/>
          <w:marBottom w:val="0"/>
          <w:divBdr>
            <w:top w:val="none" w:sz="0" w:space="0" w:color="auto"/>
            <w:left w:val="none" w:sz="0" w:space="0" w:color="auto"/>
            <w:bottom w:val="none" w:sz="0" w:space="0" w:color="auto"/>
            <w:right w:val="none" w:sz="0" w:space="0" w:color="auto"/>
          </w:divBdr>
        </w:div>
        <w:div w:id="102724262">
          <w:marLeft w:val="0"/>
          <w:marRight w:val="0"/>
          <w:marTop w:val="0"/>
          <w:marBottom w:val="0"/>
          <w:divBdr>
            <w:top w:val="none" w:sz="0" w:space="0" w:color="auto"/>
            <w:left w:val="none" w:sz="0" w:space="0" w:color="auto"/>
            <w:bottom w:val="none" w:sz="0" w:space="0" w:color="auto"/>
            <w:right w:val="none" w:sz="0" w:space="0" w:color="auto"/>
          </w:divBdr>
        </w:div>
        <w:div w:id="111020227">
          <w:marLeft w:val="0"/>
          <w:marRight w:val="0"/>
          <w:marTop w:val="0"/>
          <w:marBottom w:val="0"/>
          <w:divBdr>
            <w:top w:val="none" w:sz="0" w:space="0" w:color="auto"/>
            <w:left w:val="none" w:sz="0" w:space="0" w:color="auto"/>
            <w:bottom w:val="none" w:sz="0" w:space="0" w:color="auto"/>
            <w:right w:val="none" w:sz="0" w:space="0" w:color="auto"/>
          </w:divBdr>
        </w:div>
        <w:div w:id="114640570">
          <w:marLeft w:val="0"/>
          <w:marRight w:val="0"/>
          <w:marTop w:val="0"/>
          <w:marBottom w:val="0"/>
          <w:divBdr>
            <w:top w:val="none" w:sz="0" w:space="0" w:color="auto"/>
            <w:left w:val="none" w:sz="0" w:space="0" w:color="auto"/>
            <w:bottom w:val="none" w:sz="0" w:space="0" w:color="auto"/>
            <w:right w:val="none" w:sz="0" w:space="0" w:color="auto"/>
          </w:divBdr>
        </w:div>
        <w:div w:id="134376789">
          <w:marLeft w:val="0"/>
          <w:marRight w:val="0"/>
          <w:marTop w:val="0"/>
          <w:marBottom w:val="0"/>
          <w:divBdr>
            <w:top w:val="none" w:sz="0" w:space="0" w:color="auto"/>
            <w:left w:val="none" w:sz="0" w:space="0" w:color="auto"/>
            <w:bottom w:val="none" w:sz="0" w:space="0" w:color="auto"/>
            <w:right w:val="none" w:sz="0" w:space="0" w:color="auto"/>
          </w:divBdr>
        </w:div>
        <w:div w:id="170024340">
          <w:marLeft w:val="0"/>
          <w:marRight w:val="0"/>
          <w:marTop w:val="0"/>
          <w:marBottom w:val="0"/>
          <w:divBdr>
            <w:top w:val="none" w:sz="0" w:space="0" w:color="auto"/>
            <w:left w:val="none" w:sz="0" w:space="0" w:color="auto"/>
            <w:bottom w:val="none" w:sz="0" w:space="0" w:color="auto"/>
            <w:right w:val="none" w:sz="0" w:space="0" w:color="auto"/>
          </w:divBdr>
        </w:div>
        <w:div w:id="170534290">
          <w:marLeft w:val="0"/>
          <w:marRight w:val="0"/>
          <w:marTop w:val="0"/>
          <w:marBottom w:val="0"/>
          <w:divBdr>
            <w:top w:val="none" w:sz="0" w:space="0" w:color="auto"/>
            <w:left w:val="none" w:sz="0" w:space="0" w:color="auto"/>
            <w:bottom w:val="none" w:sz="0" w:space="0" w:color="auto"/>
            <w:right w:val="none" w:sz="0" w:space="0" w:color="auto"/>
          </w:divBdr>
        </w:div>
        <w:div w:id="171267477">
          <w:marLeft w:val="0"/>
          <w:marRight w:val="0"/>
          <w:marTop w:val="0"/>
          <w:marBottom w:val="0"/>
          <w:divBdr>
            <w:top w:val="none" w:sz="0" w:space="0" w:color="auto"/>
            <w:left w:val="none" w:sz="0" w:space="0" w:color="auto"/>
            <w:bottom w:val="none" w:sz="0" w:space="0" w:color="auto"/>
            <w:right w:val="none" w:sz="0" w:space="0" w:color="auto"/>
          </w:divBdr>
        </w:div>
        <w:div w:id="171840704">
          <w:marLeft w:val="0"/>
          <w:marRight w:val="0"/>
          <w:marTop w:val="0"/>
          <w:marBottom w:val="0"/>
          <w:divBdr>
            <w:top w:val="none" w:sz="0" w:space="0" w:color="auto"/>
            <w:left w:val="none" w:sz="0" w:space="0" w:color="auto"/>
            <w:bottom w:val="none" w:sz="0" w:space="0" w:color="auto"/>
            <w:right w:val="none" w:sz="0" w:space="0" w:color="auto"/>
          </w:divBdr>
        </w:div>
        <w:div w:id="183322796">
          <w:marLeft w:val="0"/>
          <w:marRight w:val="0"/>
          <w:marTop w:val="0"/>
          <w:marBottom w:val="0"/>
          <w:divBdr>
            <w:top w:val="none" w:sz="0" w:space="0" w:color="auto"/>
            <w:left w:val="none" w:sz="0" w:space="0" w:color="auto"/>
            <w:bottom w:val="none" w:sz="0" w:space="0" w:color="auto"/>
            <w:right w:val="none" w:sz="0" w:space="0" w:color="auto"/>
          </w:divBdr>
        </w:div>
        <w:div w:id="196353789">
          <w:marLeft w:val="0"/>
          <w:marRight w:val="0"/>
          <w:marTop w:val="0"/>
          <w:marBottom w:val="0"/>
          <w:divBdr>
            <w:top w:val="none" w:sz="0" w:space="0" w:color="auto"/>
            <w:left w:val="none" w:sz="0" w:space="0" w:color="auto"/>
            <w:bottom w:val="none" w:sz="0" w:space="0" w:color="auto"/>
            <w:right w:val="none" w:sz="0" w:space="0" w:color="auto"/>
          </w:divBdr>
        </w:div>
        <w:div w:id="200822142">
          <w:marLeft w:val="0"/>
          <w:marRight w:val="0"/>
          <w:marTop w:val="0"/>
          <w:marBottom w:val="0"/>
          <w:divBdr>
            <w:top w:val="none" w:sz="0" w:space="0" w:color="auto"/>
            <w:left w:val="none" w:sz="0" w:space="0" w:color="auto"/>
            <w:bottom w:val="none" w:sz="0" w:space="0" w:color="auto"/>
            <w:right w:val="none" w:sz="0" w:space="0" w:color="auto"/>
          </w:divBdr>
        </w:div>
        <w:div w:id="202451973">
          <w:marLeft w:val="0"/>
          <w:marRight w:val="0"/>
          <w:marTop w:val="0"/>
          <w:marBottom w:val="0"/>
          <w:divBdr>
            <w:top w:val="none" w:sz="0" w:space="0" w:color="auto"/>
            <w:left w:val="none" w:sz="0" w:space="0" w:color="auto"/>
            <w:bottom w:val="none" w:sz="0" w:space="0" w:color="auto"/>
            <w:right w:val="none" w:sz="0" w:space="0" w:color="auto"/>
          </w:divBdr>
        </w:div>
        <w:div w:id="205063576">
          <w:marLeft w:val="0"/>
          <w:marRight w:val="0"/>
          <w:marTop w:val="0"/>
          <w:marBottom w:val="0"/>
          <w:divBdr>
            <w:top w:val="none" w:sz="0" w:space="0" w:color="auto"/>
            <w:left w:val="none" w:sz="0" w:space="0" w:color="auto"/>
            <w:bottom w:val="none" w:sz="0" w:space="0" w:color="auto"/>
            <w:right w:val="none" w:sz="0" w:space="0" w:color="auto"/>
          </w:divBdr>
        </w:div>
        <w:div w:id="206258413">
          <w:marLeft w:val="0"/>
          <w:marRight w:val="0"/>
          <w:marTop w:val="0"/>
          <w:marBottom w:val="0"/>
          <w:divBdr>
            <w:top w:val="none" w:sz="0" w:space="0" w:color="auto"/>
            <w:left w:val="none" w:sz="0" w:space="0" w:color="auto"/>
            <w:bottom w:val="none" w:sz="0" w:space="0" w:color="auto"/>
            <w:right w:val="none" w:sz="0" w:space="0" w:color="auto"/>
          </w:divBdr>
        </w:div>
        <w:div w:id="231045195">
          <w:marLeft w:val="0"/>
          <w:marRight w:val="0"/>
          <w:marTop w:val="0"/>
          <w:marBottom w:val="0"/>
          <w:divBdr>
            <w:top w:val="none" w:sz="0" w:space="0" w:color="auto"/>
            <w:left w:val="none" w:sz="0" w:space="0" w:color="auto"/>
            <w:bottom w:val="none" w:sz="0" w:space="0" w:color="auto"/>
            <w:right w:val="none" w:sz="0" w:space="0" w:color="auto"/>
          </w:divBdr>
        </w:div>
        <w:div w:id="237522935">
          <w:marLeft w:val="0"/>
          <w:marRight w:val="0"/>
          <w:marTop w:val="0"/>
          <w:marBottom w:val="0"/>
          <w:divBdr>
            <w:top w:val="none" w:sz="0" w:space="0" w:color="auto"/>
            <w:left w:val="none" w:sz="0" w:space="0" w:color="auto"/>
            <w:bottom w:val="none" w:sz="0" w:space="0" w:color="auto"/>
            <w:right w:val="none" w:sz="0" w:space="0" w:color="auto"/>
          </w:divBdr>
        </w:div>
        <w:div w:id="274021629">
          <w:marLeft w:val="0"/>
          <w:marRight w:val="0"/>
          <w:marTop w:val="0"/>
          <w:marBottom w:val="0"/>
          <w:divBdr>
            <w:top w:val="none" w:sz="0" w:space="0" w:color="auto"/>
            <w:left w:val="none" w:sz="0" w:space="0" w:color="auto"/>
            <w:bottom w:val="none" w:sz="0" w:space="0" w:color="auto"/>
            <w:right w:val="none" w:sz="0" w:space="0" w:color="auto"/>
          </w:divBdr>
        </w:div>
        <w:div w:id="294677849">
          <w:marLeft w:val="0"/>
          <w:marRight w:val="0"/>
          <w:marTop w:val="0"/>
          <w:marBottom w:val="0"/>
          <w:divBdr>
            <w:top w:val="none" w:sz="0" w:space="0" w:color="auto"/>
            <w:left w:val="none" w:sz="0" w:space="0" w:color="auto"/>
            <w:bottom w:val="none" w:sz="0" w:space="0" w:color="auto"/>
            <w:right w:val="none" w:sz="0" w:space="0" w:color="auto"/>
          </w:divBdr>
        </w:div>
        <w:div w:id="316882093">
          <w:marLeft w:val="0"/>
          <w:marRight w:val="0"/>
          <w:marTop w:val="0"/>
          <w:marBottom w:val="0"/>
          <w:divBdr>
            <w:top w:val="none" w:sz="0" w:space="0" w:color="auto"/>
            <w:left w:val="none" w:sz="0" w:space="0" w:color="auto"/>
            <w:bottom w:val="none" w:sz="0" w:space="0" w:color="auto"/>
            <w:right w:val="none" w:sz="0" w:space="0" w:color="auto"/>
          </w:divBdr>
        </w:div>
        <w:div w:id="320080323">
          <w:marLeft w:val="0"/>
          <w:marRight w:val="0"/>
          <w:marTop w:val="0"/>
          <w:marBottom w:val="0"/>
          <w:divBdr>
            <w:top w:val="none" w:sz="0" w:space="0" w:color="auto"/>
            <w:left w:val="none" w:sz="0" w:space="0" w:color="auto"/>
            <w:bottom w:val="none" w:sz="0" w:space="0" w:color="auto"/>
            <w:right w:val="none" w:sz="0" w:space="0" w:color="auto"/>
          </w:divBdr>
        </w:div>
        <w:div w:id="326444462">
          <w:marLeft w:val="0"/>
          <w:marRight w:val="0"/>
          <w:marTop w:val="0"/>
          <w:marBottom w:val="0"/>
          <w:divBdr>
            <w:top w:val="none" w:sz="0" w:space="0" w:color="auto"/>
            <w:left w:val="none" w:sz="0" w:space="0" w:color="auto"/>
            <w:bottom w:val="none" w:sz="0" w:space="0" w:color="auto"/>
            <w:right w:val="none" w:sz="0" w:space="0" w:color="auto"/>
          </w:divBdr>
        </w:div>
        <w:div w:id="341443007">
          <w:marLeft w:val="0"/>
          <w:marRight w:val="0"/>
          <w:marTop w:val="0"/>
          <w:marBottom w:val="0"/>
          <w:divBdr>
            <w:top w:val="none" w:sz="0" w:space="0" w:color="auto"/>
            <w:left w:val="none" w:sz="0" w:space="0" w:color="auto"/>
            <w:bottom w:val="none" w:sz="0" w:space="0" w:color="auto"/>
            <w:right w:val="none" w:sz="0" w:space="0" w:color="auto"/>
          </w:divBdr>
        </w:div>
        <w:div w:id="342363351">
          <w:marLeft w:val="0"/>
          <w:marRight w:val="0"/>
          <w:marTop w:val="0"/>
          <w:marBottom w:val="0"/>
          <w:divBdr>
            <w:top w:val="none" w:sz="0" w:space="0" w:color="auto"/>
            <w:left w:val="none" w:sz="0" w:space="0" w:color="auto"/>
            <w:bottom w:val="none" w:sz="0" w:space="0" w:color="auto"/>
            <w:right w:val="none" w:sz="0" w:space="0" w:color="auto"/>
          </w:divBdr>
        </w:div>
        <w:div w:id="343478644">
          <w:marLeft w:val="0"/>
          <w:marRight w:val="0"/>
          <w:marTop w:val="0"/>
          <w:marBottom w:val="0"/>
          <w:divBdr>
            <w:top w:val="none" w:sz="0" w:space="0" w:color="auto"/>
            <w:left w:val="none" w:sz="0" w:space="0" w:color="auto"/>
            <w:bottom w:val="none" w:sz="0" w:space="0" w:color="auto"/>
            <w:right w:val="none" w:sz="0" w:space="0" w:color="auto"/>
          </w:divBdr>
        </w:div>
        <w:div w:id="352264119">
          <w:marLeft w:val="0"/>
          <w:marRight w:val="0"/>
          <w:marTop w:val="0"/>
          <w:marBottom w:val="0"/>
          <w:divBdr>
            <w:top w:val="none" w:sz="0" w:space="0" w:color="auto"/>
            <w:left w:val="none" w:sz="0" w:space="0" w:color="auto"/>
            <w:bottom w:val="none" w:sz="0" w:space="0" w:color="auto"/>
            <w:right w:val="none" w:sz="0" w:space="0" w:color="auto"/>
          </w:divBdr>
        </w:div>
        <w:div w:id="359355741">
          <w:marLeft w:val="0"/>
          <w:marRight w:val="0"/>
          <w:marTop w:val="0"/>
          <w:marBottom w:val="0"/>
          <w:divBdr>
            <w:top w:val="none" w:sz="0" w:space="0" w:color="auto"/>
            <w:left w:val="none" w:sz="0" w:space="0" w:color="auto"/>
            <w:bottom w:val="none" w:sz="0" w:space="0" w:color="auto"/>
            <w:right w:val="none" w:sz="0" w:space="0" w:color="auto"/>
          </w:divBdr>
        </w:div>
        <w:div w:id="365519516">
          <w:marLeft w:val="0"/>
          <w:marRight w:val="0"/>
          <w:marTop w:val="0"/>
          <w:marBottom w:val="0"/>
          <w:divBdr>
            <w:top w:val="none" w:sz="0" w:space="0" w:color="auto"/>
            <w:left w:val="none" w:sz="0" w:space="0" w:color="auto"/>
            <w:bottom w:val="none" w:sz="0" w:space="0" w:color="auto"/>
            <w:right w:val="none" w:sz="0" w:space="0" w:color="auto"/>
          </w:divBdr>
        </w:div>
        <w:div w:id="382221801">
          <w:marLeft w:val="0"/>
          <w:marRight w:val="0"/>
          <w:marTop w:val="0"/>
          <w:marBottom w:val="0"/>
          <w:divBdr>
            <w:top w:val="none" w:sz="0" w:space="0" w:color="auto"/>
            <w:left w:val="none" w:sz="0" w:space="0" w:color="auto"/>
            <w:bottom w:val="none" w:sz="0" w:space="0" w:color="auto"/>
            <w:right w:val="none" w:sz="0" w:space="0" w:color="auto"/>
          </w:divBdr>
        </w:div>
        <w:div w:id="407962617">
          <w:marLeft w:val="0"/>
          <w:marRight w:val="0"/>
          <w:marTop w:val="0"/>
          <w:marBottom w:val="0"/>
          <w:divBdr>
            <w:top w:val="none" w:sz="0" w:space="0" w:color="auto"/>
            <w:left w:val="none" w:sz="0" w:space="0" w:color="auto"/>
            <w:bottom w:val="none" w:sz="0" w:space="0" w:color="auto"/>
            <w:right w:val="none" w:sz="0" w:space="0" w:color="auto"/>
          </w:divBdr>
        </w:div>
        <w:div w:id="438792907">
          <w:marLeft w:val="0"/>
          <w:marRight w:val="0"/>
          <w:marTop w:val="0"/>
          <w:marBottom w:val="0"/>
          <w:divBdr>
            <w:top w:val="none" w:sz="0" w:space="0" w:color="auto"/>
            <w:left w:val="none" w:sz="0" w:space="0" w:color="auto"/>
            <w:bottom w:val="none" w:sz="0" w:space="0" w:color="auto"/>
            <w:right w:val="none" w:sz="0" w:space="0" w:color="auto"/>
          </w:divBdr>
        </w:div>
        <w:div w:id="485708050">
          <w:marLeft w:val="0"/>
          <w:marRight w:val="0"/>
          <w:marTop w:val="0"/>
          <w:marBottom w:val="0"/>
          <w:divBdr>
            <w:top w:val="none" w:sz="0" w:space="0" w:color="auto"/>
            <w:left w:val="none" w:sz="0" w:space="0" w:color="auto"/>
            <w:bottom w:val="none" w:sz="0" w:space="0" w:color="auto"/>
            <w:right w:val="none" w:sz="0" w:space="0" w:color="auto"/>
          </w:divBdr>
        </w:div>
        <w:div w:id="488644231">
          <w:marLeft w:val="0"/>
          <w:marRight w:val="0"/>
          <w:marTop w:val="0"/>
          <w:marBottom w:val="0"/>
          <w:divBdr>
            <w:top w:val="none" w:sz="0" w:space="0" w:color="auto"/>
            <w:left w:val="none" w:sz="0" w:space="0" w:color="auto"/>
            <w:bottom w:val="none" w:sz="0" w:space="0" w:color="auto"/>
            <w:right w:val="none" w:sz="0" w:space="0" w:color="auto"/>
          </w:divBdr>
        </w:div>
        <w:div w:id="512688258">
          <w:marLeft w:val="0"/>
          <w:marRight w:val="0"/>
          <w:marTop w:val="0"/>
          <w:marBottom w:val="0"/>
          <w:divBdr>
            <w:top w:val="none" w:sz="0" w:space="0" w:color="auto"/>
            <w:left w:val="none" w:sz="0" w:space="0" w:color="auto"/>
            <w:bottom w:val="none" w:sz="0" w:space="0" w:color="auto"/>
            <w:right w:val="none" w:sz="0" w:space="0" w:color="auto"/>
          </w:divBdr>
        </w:div>
        <w:div w:id="513812275">
          <w:marLeft w:val="0"/>
          <w:marRight w:val="0"/>
          <w:marTop w:val="0"/>
          <w:marBottom w:val="0"/>
          <w:divBdr>
            <w:top w:val="none" w:sz="0" w:space="0" w:color="auto"/>
            <w:left w:val="none" w:sz="0" w:space="0" w:color="auto"/>
            <w:bottom w:val="none" w:sz="0" w:space="0" w:color="auto"/>
            <w:right w:val="none" w:sz="0" w:space="0" w:color="auto"/>
          </w:divBdr>
        </w:div>
        <w:div w:id="519969615">
          <w:marLeft w:val="0"/>
          <w:marRight w:val="0"/>
          <w:marTop w:val="0"/>
          <w:marBottom w:val="0"/>
          <w:divBdr>
            <w:top w:val="none" w:sz="0" w:space="0" w:color="auto"/>
            <w:left w:val="none" w:sz="0" w:space="0" w:color="auto"/>
            <w:bottom w:val="none" w:sz="0" w:space="0" w:color="auto"/>
            <w:right w:val="none" w:sz="0" w:space="0" w:color="auto"/>
          </w:divBdr>
        </w:div>
        <w:div w:id="560485780">
          <w:marLeft w:val="0"/>
          <w:marRight w:val="0"/>
          <w:marTop w:val="0"/>
          <w:marBottom w:val="0"/>
          <w:divBdr>
            <w:top w:val="none" w:sz="0" w:space="0" w:color="auto"/>
            <w:left w:val="none" w:sz="0" w:space="0" w:color="auto"/>
            <w:bottom w:val="none" w:sz="0" w:space="0" w:color="auto"/>
            <w:right w:val="none" w:sz="0" w:space="0" w:color="auto"/>
          </w:divBdr>
        </w:div>
        <w:div w:id="582296858">
          <w:marLeft w:val="0"/>
          <w:marRight w:val="0"/>
          <w:marTop w:val="0"/>
          <w:marBottom w:val="0"/>
          <w:divBdr>
            <w:top w:val="none" w:sz="0" w:space="0" w:color="auto"/>
            <w:left w:val="none" w:sz="0" w:space="0" w:color="auto"/>
            <w:bottom w:val="none" w:sz="0" w:space="0" w:color="auto"/>
            <w:right w:val="none" w:sz="0" w:space="0" w:color="auto"/>
          </w:divBdr>
        </w:div>
        <w:div w:id="586305587">
          <w:marLeft w:val="0"/>
          <w:marRight w:val="0"/>
          <w:marTop w:val="0"/>
          <w:marBottom w:val="0"/>
          <w:divBdr>
            <w:top w:val="none" w:sz="0" w:space="0" w:color="auto"/>
            <w:left w:val="none" w:sz="0" w:space="0" w:color="auto"/>
            <w:bottom w:val="none" w:sz="0" w:space="0" w:color="auto"/>
            <w:right w:val="none" w:sz="0" w:space="0" w:color="auto"/>
          </w:divBdr>
        </w:div>
        <w:div w:id="623973122">
          <w:marLeft w:val="0"/>
          <w:marRight w:val="0"/>
          <w:marTop w:val="0"/>
          <w:marBottom w:val="0"/>
          <w:divBdr>
            <w:top w:val="none" w:sz="0" w:space="0" w:color="auto"/>
            <w:left w:val="none" w:sz="0" w:space="0" w:color="auto"/>
            <w:bottom w:val="none" w:sz="0" w:space="0" w:color="auto"/>
            <w:right w:val="none" w:sz="0" w:space="0" w:color="auto"/>
          </w:divBdr>
        </w:div>
        <w:div w:id="633874338">
          <w:marLeft w:val="0"/>
          <w:marRight w:val="0"/>
          <w:marTop w:val="0"/>
          <w:marBottom w:val="0"/>
          <w:divBdr>
            <w:top w:val="none" w:sz="0" w:space="0" w:color="auto"/>
            <w:left w:val="none" w:sz="0" w:space="0" w:color="auto"/>
            <w:bottom w:val="none" w:sz="0" w:space="0" w:color="auto"/>
            <w:right w:val="none" w:sz="0" w:space="0" w:color="auto"/>
          </w:divBdr>
        </w:div>
        <w:div w:id="634875663">
          <w:marLeft w:val="0"/>
          <w:marRight w:val="0"/>
          <w:marTop w:val="0"/>
          <w:marBottom w:val="0"/>
          <w:divBdr>
            <w:top w:val="none" w:sz="0" w:space="0" w:color="auto"/>
            <w:left w:val="none" w:sz="0" w:space="0" w:color="auto"/>
            <w:bottom w:val="none" w:sz="0" w:space="0" w:color="auto"/>
            <w:right w:val="none" w:sz="0" w:space="0" w:color="auto"/>
          </w:divBdr>
        </w:div>
        <w:div w:id="634913655">
          <w:marLeft w:val="0"/>
          <w:marRight w:val="0"/>
          <w:marTop w:val="0"/>
          <w:marBottom w:val="0"/>
          <w:divBdr>
            <w:top w:val="none" w:sz="0" w:space="0" w:color="auto"/>
            <w:left w:val="none" w:sz="0" w:space="0" w:color="auto"/>
            <w:bottom w:val="none" w:sz="0" w:space="0" w:color="auto"/>
            <w:right w:val="none" w:sz="0" w:space="0" w:color="auto"/>
          </w:divBdr>
        </w:div>
        <w:div w:id="634987265">
          <w:marLeft w:val="0"/>
          <w:marRight w:val="0"/>
          <w:marTop w:val="0"/>
          <w:marBottom w:val="0"/>
          <w:divBdr>
            <w:top w:val="none" w:sz="0" w:space="0" w:color="auto"/>
            <w:left w:val="none" w:sz="0" w:space="0" w:color="auto"/>
            <w:bottom w:val="none" w:sz="0" w:space="0" w:color="auto"/>
            <w:right w:val="none" w:sz="0" w:space="0" w:color="auto"/>
          </w:divBdr>
        </w:div>
        <w:div w:id="657658888">
          <w:marLeft w:val="0"/>
          <w:marRight w:val="0"/>
          <w:marTop w:val="0"/>
          <w:marBottom w:val="0"/>
          <w:divBdr>
            <w:top w:val="none" w:sz="0" w:space="0" w:color="auto"/>
            <w:left w:val="none" w:sz="0" w:space="0" w:color="auto"/>
            <w:bottom w:val="none" w:sz="0" w:space="0" w:color="auto"/>
            <w:right w:val="none" w:sz="0" w:space="0" w:color="auto"/>
          </w:divBdr>
        </w:div>
        <w:div w:id="657811268">
          <w:marLeft w:val="0"/>
          <w:marRight w:val="0"/>
          <w:marTop w:val="0"/>
          <w:marBottom w:val="0"/>
          <w:divBdr>
            <w:top w:val="none" w:sz="0" w:space="0" w:color="auto"/>
            <w:left w:val="none" w:sz="0" w:space="0" w:color="auto"/>
            <w:bottom w:val="none" w:sz="0" w:space="0" w:color="auto"/>
            <w:right w:val="none" w:sz="0" w:space="0" w:color="auto"/>
          </w:divBdr>
        </w:div>
        <w:div w:id="658536975">
          <w:marLeft w:val="0"/>
          <w:marRight w:val="0"/>
          <w:marTop w:val="0"/>
          <w:marBottom w:val="0"/>
          <w:divBdr>
            <w:top w:val="none" w:sz="0" w:space="0" w:color="auto"/>
            <w:left w:val="none" w:sz="0" w:space="0" w:color="auto"/>
            <w:bottom w:val="none" w:sz="0" w:space="0" w:color="auto"/>
            <w:right w:val="none" w:sz="0" w:space="0" w:color="auto"/>
          </w:divBdr>
        </w:div>
        <w:div w:id="665934933">
          <w:marLeft w:val="0"/>
          <w:marRight w:val="0"/>
          <w:marTop w:val="0"/>
          <w:marBottom w:val="0"/>
          <w:divBdr>
            <w:top w:val="none" w:sz="0" w:space="0" w:color="auto"/>
            <w:left w:val="none" w:sz="0" w:space="0" w:color="auto"/>
            <w:bottom w:val="none" w:sz="0" w:space="0" w:color="auto"/>
            <w:right w:val="none" w:sz="0" w:space="0" w:color="auto"/>
          </w:divBdr>
        </w:div>
        <w:div w:id="667757471">
          <w:marLeft w:val="0"/>
          <w:marRight w:val="0"/>
          <w:marTop w:val="0"/>
          <w:marBottom w:val="0"/>
          <w:divBdr>
            <w:top w:val="none" w:sz="0" w:space="0" w:color="auto"/>
            <w:left w:val="none" w:sz="0" w:space="0" w:color="auto"/>
            <w:bottom w:val="none" w:sz="0" w:space="0" w:color="auto"/>
            <w:right w:val="none" w:sz="0" w:space="0" w:color="auto"/>
          </w:divBdr>
        </w:div>
        <w:div w:id="673535389">
          <w:marLeft w:val="0"/>
          <w:marRight w:val="0"/>
          <w:marTop w:val="0"/>
          <w:marBottom w:val="0"/>
          <w:divBdr>
            <w:top w:val="none" w:sz="0" w:space="0" w:color="auto"/>
            <w:left w:val="none" w:sz="0" w:space="0" w:color="auto"/>
            <w:bottom w:val="none" w:sz="0" w:space="0" w:color="auto"/>
            <w:right w:val="none" w:sz="0" w:space="0" w:color="auto"/>
          </w:divBdr>
        </w:div>
        <w:div w:id="673605156">
          <w:marLeft w:val="0"/>
          <w:marRight w:val="0"/>
          <w:marTop w:val="0"/>
          <w:marBottom w:val="0"/>
          <w:divBdr>
            <w:top w:val="none" w:sz="0" w:space="0" w:color="auto"/>
            <w:left w:val="none" w:sz="0" w:space="0" w:color="auto"/>
            <w:bottom w:val="none" w:sz="0" w:space="0" w:color="auto"/>
            <w:right w:val="none" w:sz="0" w:space="0" w:color="auto"/>
          </w:divBdr>
        </w:div>
        <w:div w:id="696779108">
          <w:marLeft w:val="0"/>
          <w:marRight w:val="0"/>
          <w:marTop w:val="0"/>
          <w:marBottom w:val="0"/>
          <w:divBdr>
            <w:top w:val="none" w:sz="0" w:space="0" w:color="auto"/>
            <w:left w:val="none" w:sz="0" w:space="0" w:color="auto"/>
            <w:bottom w:val="none" w:sz="0" w:space="0" w:color="auto"/>
            <w:right w:val="none" w:sz="0" w:space="0" w:color="auto"/>
          </w:divBdr>
        </w:div>
        <w:div w:id="710888317">
          <w:marLeft w:val="0"/>
          <w:marRight w:val="0"/>
          <w:marTop w:val="0"/>
          <w:marBottom w:val="0"/>
          <w:divBdr>
            <w:top w:val="none" w:sz="0" w:space="0" w:color="auto"/>
            <w:left w:val="none" w:sz="0" w:space="0" w:color="auto"/>
            <w:bottom w:val="none" w:sz="0" w:space="0" w:color="auto"/>
            <w:right w:val="none" w:sz="0" w:space="0" w:color="auto"/>
          </w:divBdr>
        </w:div>
        <w:div w:id="711927874">
          <w:marLeft w:val="0"/>
          <w:marRight w:val="0"/>
          <w:marTop w:val="0"/>
          <w:marBottom w:val="0"/>
          <w:divBdr>
            <w:top w:val="none" w:sz="0" w:space="0" w:color="auto"/>
            <w:left w:val="none" w:sz="0" w:space="0" w:color="auto"/>
            <w:bottom w:val="none" w:sz="0" w:space="0" w:color="auto"/>
            <w:right w:val="none" w:sz="0" w:space="0" w:color="auto"/>
          </w:divBdr>
        </w:div>
        <w:div w:id="724335910">
          <w:marLeft w:val="0"/>
          <w:marRight w:val="0"/>
          <w:marTop w:val="0"/>
          <w:marBottom w:val="0"/>
          <w:divBdr>
            <w:top w:val="none" w:sz="0" w:space="0" w:color="auto"/>
            <w:left w:val="none" w:sz="0" w:space="0" w:color="auto"/>
            <w:bottom w:val="none" w:sz="0" w:space="0" w:color="auto"/>
            <w:right w:val="none" w:sz="0" w:space="0" w:color="auto"/>
          </w:divBdr>
        </w:div>
        <w:div w:id="742337499">
          <w:marLeft w:val="0"/>
          <w:marRight w:val="0"/>
          <w:marTop w:val="0"/>
          <w:marBottom w:val="0"/>
          <w:divBdr>
            <w:top w:val="none" w:sz="0" w:space="0" w:color="auto"/>
            <w:left w:val="none" w:sz="0" w:space="0" w:color="auto"/>
            <w:bottom w:val="none" w:sz="0" w:space="0" w:color="auto"/>
            <w:right w:val="none" w:sz="0" w:space="0" w:color="auto"/>
          </w:divBdr>
        </w:div>
        <w:div w:id="742721044">
          <w:marLeft w:val="0"/>
          <w:marRight w:val="0"/>
          <w:marTop w:val="0"/>
          <w:marBottom w:val="0"/>
          <w:divBdr>
            <w:top w:val="none" w:sz="0" w:space="0" w:color="auto"/>
            <w:left w:val="none" w:sz="0" w:space="0" w:color="auto"/>
            <w:bottom w:val="none" w:sz="0" w:space="0" w:color="auto"/>
            <w:right w:val="none" w:sz="0" w:space="0" w:color="auto"/>
          </w:divBdr>
        </w:div>
        <w:div w:id="751004570">
          <w:marLeft w:val="0"/>
          <w:marRight w:val="0"/>
          <w:marTop w:val="0"/>
          <w:marBottom w:val="0"/>
          <w:divBdr>
            <w:top w:val="none" w:sz="0" w:space="0" w:color="auto"/>
            <w:left w:val="none" w:sz="0" w:space="0" w:color="auto"/>
            <w:bottom w:val="none" w:sz="0" w:space="0" w:color="auto"/>
            <w:right w:val="none" w:sz="0" w:space="0" w:color="auto"/>
          </w:divBdr>
        </w:div>
        <w:div w:id="753357826">
          <w:marLeft w:val="0"/>
          <w:marRight w:val="0"/>
          <w:marTop w:val="0"/>
          <w:marBottom w:val="0"/>
          <w:divBdr>
            <w:top w:val="none" w:sz="0" w:space="0" w:color="auto"/>
            <w:left w:val="none" w:sz="0" w:space="0" w:color="auto"/>
            <w:bottom w:val="none" w:sz="0" w:space="0" w:color="auto"/>
            <w:right w:val="none" w:sz="0" w:space="0" w:color="auto"/>
          </w:divBdr>
        </w:div>
        <w:div w:id="783883154">
          <w:marLeft w:val="0"/>
          <w:marRight w:val="0"/>
          <w:marTop w:val="0"/>
          <w:marBottom w:val="0"/>
          <w:divBdr>
            <w:top w:val="none" w:sz="0" w:space="0" w:color="auto"/>
            <w:left w:val="none" w:sz="0" w:space="0" w:color="auto"/>
            <w:bottom w:val="none" w:sz="0" w:space="0" w:color="auto"/>
            <w:right w:val="none" w:sz="0" w:space="0" w:color="auto"/>
          </w:divBdr>
        </w:div>
        <w:div w:id="824584555">
          <w:marLeft w:val="0"/>
          <w:marRight w:val="0"/>
          <w:marTop w:val="0"/>
          <w:marBottom w:val="0"/>
          <w:divBdr>
            <w:top w:val="none" w:sz="0" w:space="0" w:color="auto"/>
            <w:left w:val="none" w:sz="0" w:space="0" w:color="auto"/>
            <w:bottom w:val="none" w:sz="0" w:space="0" w:color="auto"/>
            <w:right w:val="none" w:sz="0" w:space="0" w:color="auto"/>
          </w:divBdr>
        </w:div>
        <w:div w:id="831523640">
          <w:marLeft w:val="0"/>
          <w:marRight w:val="0"/>
          <w:marTop w:val="0"/>
          <w:marBottom w:val="0"/>
          <w:divBdr>
            <w:top w:val="none" w:sz="0" w:space="0" w:color="auto"/>
            <w:left w:val="none" w:sz="0" w:space="0" w:color="auto"/>
            <w:bottom w:val="none" w:sz="0" w:space="0" w:color="auto"/>
            <w:right w:val="none" w:sz="0" w:space="0" w:color="auto"/>
          </w:divBdr>
        </w:div>
        <w:div w:id="844780357">
          <w:marLeft w:val="0"/>
          <w:marRight w:val="0"/>
          <w:marTop w:val="0"/>
          <w:marBottom w:val="0"/>
          <w:divBdr>
            <w:top w:val="none" w:sz="0" w:space="0" w:color="auto"/>
            <w:left w:val="none" w:sz="0" w:space="0" w:color="auto"/>
            <w:bottom w:val="none" w:sz="0" w:space="0" w:color="auto"/>
            <w:right w:val="none" w:sz="0" w:space="0" w:color="auto"/>
          </w:divBdr>
        </w:div>
        <w:div w:id="879393718">
          <w:marLeft w:val="0"/>
          <w:marRight w:val="0"/>
          <w:marTop w:val="0"/>
          <w:marBottom w:val="0"/>
          <w:divBdr>
            <w:top w:val="none" w:sz="0" w:space="0" w:color="auto"/>
            <w:left w:val="none" w:sz="0" w:space="0" w:color="auto"/>
            <w:bottom w:val="none" w:sz="0" w:space="0" w:color="auto"/>
            <w:right w:val="none" w:sz="0" w:space="0" w:color="auto"/>
          </w:divBdr>
        </w:div>
        <w:div w:id="895506211">
          <w:marLeft w:val="0"/>
          <w:marRight w:val="0"/>
          <w:marTop w:val="0"/>
          <w:marBottom w:val="0"/>
          <w:divBdr>
            <w:top w:val="none" w:sz="0" w:space="0" w:color="auto"/>
            <w:left w:val="none" w:sz="0" w:space="0" w:color="auto"/>
            <w:bottom w:val="none" w:sz="0" w:space="0" w:color="auto"/>
            <w:right w:val="none" w:sz="0" w:space="0" w:color="auto"/>
          </w:divBdr>
        </w:div>
        <w:div w:id="899638263">
          <w:marLeft w:val="0"/>
          <w:marRight w:val="0"/>
          <w:marTop w:val="0"/>
          <w:marBottom w:val="0"/>
          <w:divBdr>
            <w:top w:val="none" w:sz="0" w:space="0" w:color="auto"/>
            <w:left w:val="none" w:sz="0" w:space="0" w:color="auto"/>
            <w:bottom w:val="none" w:sz="0" w:space="0" w:color="auto"/>
            <w:right w:val="none" w:sz="0" w:space="0" w:color="auto"/>
          </w:divBdr>
        </w:div>
        <w:div w:id="903222396">
          <w:marLeft w:val="0"/>
          <w:marRight w:val="0"/>
          <w:marTop w:val="0"/>
          <w:marBottom w:val="0"/>
          <w:divBdr>
            <w:top w:val="none" w:sz="0" w:space="0" w:color="auto"/>
            <w:left w:val="none" w:sz="0" w:space="0" w:color="auto"/>
            <w:bottom w:val="none" w:sz="0" w:space="0" w:color="auto"/>
            <w:right w:val="none" w:sz="0" w:space="0" w:color="auto"/>
          </w:divBdr>
        </w:div>
        <w:div w:id="912087563">
          <w:marLeft w:val="0"/>
          <w:marRight w:val="0"/>
          <w:marTop w:val="0"/>
          <w:marBottom w:val="0"/>
          <w:divBdr>
            <w:top w:val="none" w:sz="0" w:space="0" w:color="auto"/>
            <w:left w:val="none" w:sz="0" w:space="0" w:color="auto"/>
            <w:bottom w:val="none" w:sz="0" w:space="0" w:color="auto"/>
            <w:right w:val="none" w:sz="0" w:space="0" w:color="auto"/>
          </w:divBdr>
        </w:div>
        <w:div w:id="942305092">
          <w:marLeft w:val="0"/>
          <w:marRight w:val="0"/>
          <w:marTop w:val="0"/>
          <w:marBottom w:val="0"/>
          <w:divBdr>
            <w:top w:val="none" w:sz="0" w:space="0" w:color="auto"/>
            <w:left w:val="none" w:sz="0" w:space="0" w:color="auto"/>
            <w:bottom w:val="none" w:sz="0" w:space="0" w:color="auto"/>
            <w:right w:val="none" w:sz="0" w:space="0" w:color="auto"/>
          </w:divBdr>
        </w:div>
        <w:div w:id="953050732">
          <w:marLeft w:val="0"/>
          <w:marRight w:val="0"/>
          <w:marTop w:val="0"/>
          <w:marBottom w:val="0"/>
          <w:divBdr>
            <w:top w:val="none" w:sz="0" w:space="0" w:color="auto"/>
            <w:left w:val="none" w:sz="0" w:space="0" w:color="auto"/>
            <w:bottom w:val="none" w:sz="0" w:space="0" w:color="auto"/>
            <w:right w:val="none" w:sz="0" w:space="0" w:color="auto"/>
          </w:divBdr>
        </w:div>
        <w:div w:id="976059758">
          <w:marLeft w:val="0"/>
          <w:marRight w:val="0"/>
          <w:marTop w:val="0"/>
          <w:marBottom w:val="0"/>
          <w:divBdr>
            <w:top w:val="none" w:sz="0" w:space="0" w:color="auto"/>
            <w:left w:val="none" w:sz="0" w:space="0" w:color="auto"/>
            <w:bottom w:val="none" w:sz="0" w:space="0" w:color="auto"/>
            <w:right w:val="none" w:sz="0" w:space="0" w:color="auto"/>
          </w:divBdr>
        </w:div>
        <w:div w:id="981930497">
          <w:marLeft w:val="0"/>
          <w:marRight w:val="0"/>
          <w:marTop w:val="0"/>
          <w:marBottom w:val="0"/>
          <w:divBdr>
            <w:top w:val="none" w:sz="0" w:space="0" w:color="auto"/>
            <w:left w:val="none" w:sz="0" w:space="0" w:color="auto"/>
            <w:bottom w:val="none" w:sz="0" w:space="0" w:color="auto"/>
            <w:right w:val="none" w:sz="0" w:space="0" w:color="auto"/>
          </w:divBdr>
        </w:div>
        <w:div w:id="998114881">
          <w:marLeft w:val="0"/>
          <w:marRight w:val="0"/>
          <w:marTop w:val="0"/>
          <w:marBottom w:val="0"/>
          <w:divBdr>
            <w:top w:val="none" w:sz="0" w:space="0" w:color="auto"/>
            <w:left w:val="none" w:sz="0" w:space="0" w:color="auto"/>
            <w:bottom w:val="none" w:sz="0" w:space="0" w:color="auto"/>
            <w:right w:val="none" w:sz="0" w:space="0" w:color="auto"/>
          </w:divBdr>
        </w:div>
        <w:div w:id="1001591532">
          <w:marLeft w:val="0"/>
          <w:marRight w:val="0"/>
          <w:marTop w:val="0"/>
          <w:marBottom w:val="0"/>
          <w:divBdr>
            <w:top w:val="none" w:sz="0" w:space="0" w:color="auto"/>
            <w:left w:val="none" w:sz="0" w:space="0" w:color="auto"/>
            <w:bottom w:val="none" w:sz="0" w:space="0" w:color="auto"/>
            <w:right w:val="none" w:sz="0" w:space="0" w:color="auto"/>
          </w:divBdr>
        </w:div>
        <w:div w:id="1027875914">
          <w:marLeft w:val="0"/>
          <w:marRight w:val="0"/>
          <w:marTop w:val="0"/>
          <w:marBottom w:val="0"/>
          <w:divBdr>
            <w:top w:val="none" w:sz="0" w:space="0" w:color="auto"/>
            <w:left w:val="none" w:sz="0" w:space="0" w:color="auto"/>
            <w:bottom w:val="none" w:sz="0" w:space="0" w:color="auto"/>
            <w:right w:val="none" w:sz="0" w:space="0" w:color="auto"/>
          </w:divBdr>
        </w:div>
        <w:div w:id="1030641800">
          <w:marLeft w:val="0"/>
          <w:marRight w:val="0"/>
          <w:marTop w:val="0"/>
          <w:marBottom w:val="0"/>
          <w:divBdr>
            <w:top w:val="none" w:sz="0" w:space="0" w:color="auto"/>
            <w:left w:val="none" w:sz="0" w:space="0" w:color="auto"/>
            <w:bottom w:val="none" w:sz="0" w:space="0" w:color="auto"/>
            <w:right w:val="none" w:sz="0" w:space="0" w:color="auto"/>
          </w:divBdr>
        </w:div>
        <w:div w:id="1032917691">
          <w:marLeft w:val="0"/>
          <w:marRight w:val="0"/>
          <w:marTop w:val="0"/>
          <w:marBottom w:val="0"/>
          <w:divBdr>
            <w:top w:val="none" w:sz="0" w:space="0" w:color="auto"/>
            <w:left w:val="none" w:sz="0" w:space="0" w:color="auto"/>
            <w:bottom w:val="none" w:sz="0" w:space="0" w:color="auto"/>
            <w:right w:val="none" w:sz="0" w:space="0" w:color="auto"/>
          </w:divBdr>
        </w:div>
        <w:div w:id="1047411332">
          <w:marLeft w:val="0"/>
          <w:marRight w:val="0"/>
          <w:marTop w:val="0"/>
          <w:marBottom w:val="0"/>
          <w:divBdr>
            <w:top w:val="none" w:sz="0" w:space="0" w:color="auto"/>
            <w:left w:val="none" w:sz="0" w:space="0" w:color="auto"/>
            <w:bottom w:val="none" w:sz="0" w:space="0" w:color="auto"/>
            <w:right w:val="none" w:sz="0" w:space="0" w:color="auto"/>
          </w:divBdr>
        </w:div>
        <w:div w:id="1054546146">
          <w:marLeft w:val="0"/>
          <w:marRight w:val="0"/>
          <w:marTop w:val="0"/>
          <w:marBottom w:val="0"/>
          <w:divBdr>
            <w:top w:val="none" w:sz="0" w:space="0" w:color="auto"/>
            <w:left w:val="none" w:sz="0" w:space="0" w:color="auto"/>
            <w:bottom w:val="none" w:sz="0" w:space="0" w:color="auto"/>
            <w:right w:val="none" w:sz="0" w:space="0" w:color="auto"/>
          </w:divBdr>
        </w:div>
        <w:div w:id="1059595576">
          <w:marLeft w:val="0"/>
          <w:marRight w:val="0"/>
          <w:marTop w:val="0"/>
          <w:marBottom w:val="0"/>
          <w:divBdr>
            <w:top w:val="none" w:sz="0" w:space="0" w:color="auto"/>
            <w:left w:val="none" w:sz="0" w:space="0" w:color="auto"/>
            <w:bottom w:val="none" w:sz="0" w:space="0" w:color="auto"/>
            <w:right w:val="none" w:sz="0" w:space="0" w:color="auto"/>
          </w:divBdr>
        </w:div>
        <w:div w:id="1061514405">
          <w:marLeft w:val="0"/>
          <w:marRight w:val="0"/>
          <w:marTop w:val="0"/>
          <w:marBottom w:val="0"/>
          <w:divBdr>
            <w:top w:val="none" w:sz="0" w:space="0" w:color="auto"/>
            <w:left w:val="none" w:sz="0" w:space="0" w:color="auto"/>
            <w:bottom w:val="none" w:sz="0" w:space="0" w:color="auto"/>
            <w:right w:val="none" w:sz="0" w:space="0" w:color="auto"/>
          </w:divBdr>
        </w:div>
        <w:div w:id="1069420002">
          <w:marLeft w:val="0"/>
          <w:marRight w:val="0"/>
          <w:marTop w:val="0"/>
          <w:marBottom w:val="0"/>
          <w:divBdr>
            <w:top w:val="none" w:sz="0" w:space="0" w:color="auto"/>
            <w:left w:val="none" w:sz="0" w:space="0" w:color="auto"/>
            <w:bottom w:val="none" w:sz="0" w:space="0" w:color="auto"/>
            <w:right w:val="none" w:sz="0" w:space="0" w:color="auto"/>
          </w:divBdr>
        </w:div>
        <w:div w:id="1071541574">
          <w:marLeft w:val="0"/>
          <w:marRight w:val="0"/>
          <w:marTop w:val="0"/>
          <w:marBottom w:val="0"/>
          <w:divBdr>
            <w:top w:val="none" w:sz="0" w:space="0" w:color="auto"/>
            <w:left w:val="none" w:sz="0" w:space="0" w:color="auto"/>
            <w:bottom w:val="none" w:sz="0" w:space="0" w:color="auto"/>
            <w:right w:val="none" w:sz="0" w:space="0" w:color="auto"/>
          </w:divBdr>
        </w:div>
        <w:div w:id="1076973997">
          <w:marLeft w:val="0"/>
          <w:marRight w:val="0"/>
          <w:marTop w:val="0"/>
          <w:marBottom w:val="0"/>
          <w:divBdr>
            <w:top w:val="none" w:sz="0" w:space="0" w:color="auto"/>
            <w:left w:val="none" w:sz="0" w:space="0" w:color="auto"/>
            <w:bottom w:val="none" w:sz="0" w:space="0" w:color="auto"/>
            <w:right w:val="none" w:sz="0" w:space="0" w:color="auto"/>
          </w:divBdr>
        </w:div>
        <w:div w:id="1080520454">
          <w:marLeft w:val="0"/>
          <w:marRight w:val="0"/>
          <w:marTop w:val="0"/>
          <w:marBottom w:val="0"/>
          <w:divBdr>
            <w:top w:val="none" w:sz="0" w:space="0" w:color="auto"/>
            <w:left w:val="none" w:sz="0" w:space="0" w:color="auto"/>
            <w:bottom w:val="none" w:sz="0" w:space="0" w:color="auto"/>
            <w:right w:val="none" w:sz="0" w:space="0" w:color="auto"/>
          </w:divBdr>
        </w:div>
        <w:div w:id="1081492142">
          <w:marLeft w:val="0"/>
          <w:marRight w:val="0"/>
          <w:marTop w:val="0"/>
          <w:marBottom w:val="0"/>
          <w:divBdr>
            <w:top w:val="none" w:sz="0" w:space="0" w:color="auto"/>
            <w:left w:val="none" w:sz="0" w:space="0" w:color="auto"/>
            <w:bottom w:val="none" w:sz="0" w:space="0" w:color="auto"/>
            <w:right w:val="none" w:sz="0" w:space="0" w:color="auto"/>
          </w:divBdr>
        </w:div>
        <w:div w:id="1095320697">
          <w:marLeft w:val="0"/>
          <w:marRight w:val="0"/>
          <w:marTop w:val="0"/>
          <w:marBottom w:val="0"/>
          <w:divBdr>
            <w:top w:val="none" w:sz="0" w:space="0" w:color="auto"/>
            <w:left w:val="none" w:sz="0" w:space="0" w:color="auto"/>
            <w:bottom w:val="none" w:sz="0" w:space="0" w:color="auto"/>
            <w:right w:val="none" w:sz="0" w:space="0" w:color="auto"/>
          </w:divBdr>
        </w:div>
        <w:div w:id="1096049302">
          <w:marLeft w:val="0"/>
          <w:marRight w:val="0"/>
          <w:marTop w:val="0"/>
          <w:marBottom w:val="0"/>
          <w:divBdr>
            <w:top w:val="none" w:sz="0" w:space="0" w:color="auto"/>
            <w:left w:val="none" w:sz="0" w:space="0" w:color="auto"/>
            <w:bottom w:val="none" w:sz="0" w:space="0" w:color="auto"/>
            <w:right w:val="none" w:sz="0" w:space="0" w:color="auto"/>
          </w:divBdr>
        </w:div>
        <w:div w:id="1098793067">
          <w:marLeft w:val="0"/>
          <w:marRight w:val="0"/>
          <w:marTop w:val="0"/>
          <w:marBottom w:val="0"/>
          <w:divBdr>
            <w:top w:val="none" w:sz="0" w:space="0" w:color="auto"/>
            <w:left w:val="none" w:sz="0" w:space="0" w:color="auto"/>
            <w:bottom w:val="none" w:sz="0" w:space="0" w:color="auto"/>
            <w:right w:val="none" w:sz="0" w:space="0" w:color="auto"/>
          </w:divBdr>
        </w:div>
        <w:div w:id="1164587032">
          <w:marLeft w:val="0"/>
          <w:marRight w:val="0"/>
          <w:marTop w:val="0"/>
          <w:marBottom w:val="0"/>
          <w:divBdr>
            <w:top w:val="none" w:sz="0" w:space="0" w:color="auto"/>
            <w:left w:val="none" w:sz="0" w:space="0" w:color="auto"/>
            <w:bottom w:val="none" w:sz="0" w:space="0" w:color="auto"/>
            <w:right w:val="none" w:sz="0" w:space="0" w:color="auto"/>
          </w:divBdr>
        </w:div>
        <w:div w:id="1176773895">
          <w:marLeft w:val="0"/>
          <w:marRight w:val="0"/>
          <w:marTop w:val="0"/>
          <w:marBottom w:val="0"/>
          <w:divBdr>
            <w:top w:val="none" w:sz="0" w:space="0" w:color="auto"/>
            <w:left w:val="none" w:sz="0" w:space="0" w:color="auto"/>
            <w:bottom w:val="none" w:sz="0" w:space="0" w:color="auto"/>
            <w:right w:val="none" w:sz="0" w:space="0" w:color="auto"/>
          </w:divBdr>
        </w:div>
        <w:div w:id="1177383320">
          <w:marLeft w:val="0"/>
          <w:marRight w:val="0"/>
          <w:marTop w:val="0"/>
          <w:marBottom w:val="0"/>
          <w:divBdr>
            <w:top w:val="none" w:sz="0" w:space="0" w:color="auto"/>
            <w:left w:val="none" w:sz="0" w:space="0" w:color="auto"/>
            <w:bottom w:val="none" w:sz="0" w:space="0" w:color="auto"/>
            <w:right w:val="none" w:sz="0" w:space="0" w:color="auto"/>
          </w:divBdr>
        </w:div>
        <w:div w:id="1220746353">
          <w:marLeft w:val="0"/>
          <w:marRight w:val="0"/>
          <w:marTop w:val="0"/>
          <w:marBottom w:val="0"/>
          <w:divBdr>
            <w:top w:val="none" w:sz="0" w:space="0" w:color="auto"/>
            <w:left w:val="none" w:sz="0" w:space="0" w:color="auto"/>
            <w:bottom w:val="none" w:sz="0" w:space="0" w:color="auto"/>
            <w:right w:val="none" w:sz="0" w:space="0" w:color="auto"/>
          </w:divBdr>
        </w:div>
        <w:div w:id="1231035570">
          <w:marLeft w:val="0"/>
          <w:marRight w:val="0"/>
          <w:marTop w:val="0"/>
          <w:marBottom w:val="0"/>
          <w:divBdr>
            <w:top w:val="none" w:sz="0" w:space="0" w:color="auto"/>
            <w:left w:val="none" w:sz="0" w:space="0" w:color="auto"/>
            <w:bottom w:val="none" w:sz="0" w:space="0" w:color="auto"/>
            <w:right w:val="none" w:sz="0" w:space="0" w:color="auto"/>
          </w:divBdr>
        </w:div>
        <w:div w:id="1252735932">
          <w:marLeft w:val="0"/>
          <w:marRight w:val="0"/>
          <w:marTop w:val="0"/>
          <w:marBottom w:val="0"/>
          <w:divBdr>
            <w:top w:val="none" w:sz="0" w:space="0" w:color="auto"/>
            <w:left w:val="none" w:sz="0" w:space="0" w:color="auto"/>
            <w:bottom w:val="none" w:sz="0" w:space="0" w:color="auto"/>
            <w:right w:val="none" w:sz="0" w:space="0" w:color="auto"/>
          </w:divBdr>
        </w:div>
        <w:div w:id="1254389964">
          <w:marLeft w:val="0"/>
          <w:marRight w:val="0"/>
          <w:marTop w:val="0"/>
          <w:marBottom w:val="0"/>
          <w:divBdr>
            <w:top w:val="none" w:sz="0" w:space="0" w:color="auto"/>
            <w:left w:val="none" w:sz="0" w:space="0" w:color="auto"/>
            <w:bottom w:val="none" w:sz="0" w:space="0" w:color="auto"/>
            <w:right w:val="none" w:sz="0" w:space="0" w:color="auto"/>
          </w:divBdr>
        </w:div>
        <w:div w:id="1283999922">
          <w:marLeft w:val="0"/>
          <w:marRight w:val="0"/>
          <w:marTop w:val="0"/>
          <w:marBottom w:val="0"/>
          <w:divBdr>
            <w:top w:val="none" w:sz="0" w:space="0" w:color="auto"/>
            <w:left w:val="none" w:sz="0" w:space="0" w:color="auto"/>
            <w:bottom w:val="none" w:sz="0" w:space="0" w:color="auto"/>
            <w:right w:val="none" w:sz="0" w:space="0" w:color="auto"/>
          </w:divBdr>
        </w:div>
        <w:div w:id="1289504583">
          <w:marLeft w:val="0"/>
          <w:marRight w:val="0"/>
          <w:marTop w:val="0"/>
          <w:marBottom w:val="0"/>
          <w:divBdr>
            <w:top w:val="none" w:sz="0" w:space="0" w:color="auto"/>
            <w:left w:val="none" w:sz="0" w:space="0" w:color="auto"/>
            <w:bottom w:val="none" w:sz="0" w:space="0" w:color="auto"/>
            <w:right w:val="none" w:sz="0" w:space="0" w:color="auto"/>
          </w:divBdr>
        </w:div>
        <w:div w:id="1293096651">
          <w:marLeft w:val="0"/>
          <w:marRight w:val="0"/>
          <w:marTop w:val="0"/>
          <w:marBottom w:val="0"/>
          <w:divBdr>
            <w:top w:val="none" w:sz="0" w:space="0" w:color="auto"/>
            <w:left w:val="none" w:sz="0" w:space="0" w:color="auto"/>
            <w:bottom w:val="none" w:sz="0" w:space="0" w:color="auto"/>
            <w:right w:val="none" w:sz="0" w:space="0" w:color="auto"/>
          </w:divBdr>
        </w:div>
        <w:div w:id="1330138296">
          <w:marLeft w:val="0"/>
          <w:marRight w:val="0"/>
          <w:marTop w:val="0"/>
          <w:marBottom w:val="0"/>
          <w:divBdr>
            <w:top w:val="none" w:sz="0" w:space="0" w:color="auto"/>
            <w:left w:val="none" w:sz="0" w:space="0" w:color="auto"/>
            <w:bottom w:val="none" w:sz="0" w:space="0" w:color="auto"/>
            <w:right w:val="none" w:sz="0" w:space="0" w:color="auto"/>
          </w:divBdr>
        </w:div>
        <w:div w:id="1352991884">
          <w:marLeft w:val="0"/>
          <w:marRight w:val="0"/>
          <w:marTop w:val="0"/>
          <w:marBottom w:val="0"/>
          <w:divBdr>
            <w:top w:val="none" w:sz="0" w:space="0" w:color="auto"/>
            <w:left w:val="none" w:sz="0" w:space="0" w:color="auto"/>
            <w:bottom w:val="none" w:sz="0" w:space="0" w:color="auto"/>
            <w:right w:val="none" w:sz="0" w:space="0" w:color="auto"/>
          </w:divBdr>
        </w:div>
        <w:div w:id="1385249525">
          <w:marLeft w:val="0"/>
          <w:marRight w:val="0"/>
          <w:marTop w:val="0"/>
          <w:marBottom w:val="0"/>
          <w:divBdr>
            <w:top w:val="none" w:sz="0" w:space="0" w:color="auto"/>
            <w:left w:val="none" w:sz="0" w:space="0" w:color="auto"/>
            <w:bottom w:val="none" w:sz="0" w:space="0" w:color="auto"/>
            <w:right w:val="none" w:sz="0" w:space="0" w:color="auto"/>
          </w:divBdr>
        </w:div>
        <w:div w:id="1456751658">
          <w:marLeft w:val="0"/>
          <w:marRight w:val="0"/>
          <w:marTop w:val="0"/>
          <w:marBottom w:val="0"/>
          <w:divBdr>
            <w:top w:val="none" w:sz="0" w:space="0" w:color="auto"/>
            <w:left w:val="none" w:sz="0" w:space="0" w:color="auto"/>
            <w:bottom w:val="none" w:sz="0" w:space="0" w:color="auto"/>
            <w:right w:val="none" w:sz="0" w:space="0" w:color="auto"/>
          </w:divBdr>
        </w:div>
        <w:div w:id="1477145147">
          <w:marLeft w:val="0"/>
          <w:marRight w:val="0"/>
          <w:marTop w:val="0"/>
          <w:marBottom w:val="0"/>
          <w:divBdr>
            <w:top w:val="none" w:sz="0" w:space="0" w:color="auto"/>
            <w:left w:val="none" w:sz="0" w:space="0" w:color="auto"/>
            <w:bottom w:val="none" w:sz="0" w:space="0" w:color="auto"/>
            <w:right w:val="none" w:sz="0" w:space="0" w:color="auto"/>
          </w:divBdr>
        </w:div>
        <w:div w:id="1487353589">
          <w:marLeft w:val="0"/>
          <w:marRight w:val="0"/>
          <w:marTop w:val="0"/>
          <w:marBottom w:val="0"/>
          <w:divBdr>
            <w:top w:val="none" w:sz="0" w:space="0" w:color="auto"/>
            <w:left w:val="none" w:sz="0" w:space="0" w:color="auto"/>
            <w:bottom w:val="none" w:sz="0" w:space="0" w:color="auto"/>
            <w:right w:val="none" w:sz="0" w:space="0" w:color="auto"/>
          </w:divBdr>
        </w:div>
        <w:div w:id="1502701563">
          <w:marLeft w:val="0"/>
          <w:marRight w:val="0"/>
          <w:marTop w:val="0"/>
          <w:marBottom w:val="0"/>
          <w:divBdr>
            <w:top w:val="none" w:sz="0" w:space="0" w:color="auto"/>
            <w:left w:val="none" w:sz="0" w:space="0" w:color="auto"/>
            <w:bottom w:val="none" w:sz="0" w:space="0" w:color="auto"/>
            <w:right w:val="none" w:sz="0" w:space="0" w:color="auto"/>
          </w:divBdr>
        </w:div>
        <w:div w:id="1503274480">
          <w:marLeft w:val="0"/>
          <w:marRight w:val="0"/>
          <w:marTop w:val="0"/>
          <w:marBottom w:val="0"/>
          <w:divBdr>
            <w:top w:val="none" w:sz="0" w:space="0" w:color="auto"/>
            <w:left w:val="none" w:sz="0" w:space="0" w:color="auto"/>
            <w:bottom w:val="none" w:sz="0" w:space="0" w:color="auto"/>
            <w:right w:val="none" w:sz="0" w:space="0" w:color="auto"/>
          </w:divBdr>
        </w:div>
        <w:div w:id="1505052806">
          <w:marLeft w:val="0"/>
          <w:marRight w:val="0"/>
          <w:marTop w:val="0"/>
          <w:marBottom w:val="0"/>
          <w:divBdr>
            <w:top w:val="none" w:sz="0" w:space="0" w:color="auto"/>
            <w:left w:val="none" w:sz="0" w:space="0" w:color="auto"/>
            <w:bottom w:val="none" w:sz="0" w:space="0" w:color="auto"/>
            <w:right w:val="none" w:sz="0" w:space="0" w:color="auto"/>
          </w:divBdr>
        </w:div>
        <w:div w:id="1519152698">
          <w:marLeft w:val="0"/>
          <w:marRight w:val="0"/>
          <w:marTop w:val="0"/>
          <w:marBottom w:val="0"/>
          <w:divBdr>
            <w:top w:val="none" w:sz="0" w:space="0" w:color="auto"/>
            <w:left w:val="none" w:sz="0" w:space="0" w:color="auto"/>
            <w:bottom w:val="none" w:sz="0" w:space="0" w:color="auto"/>
            <w:right w:val="none" w:sz="0" w:space="0" w:color="auto"/>
          </w:divBdr>
        </w:div>
        <w:div w:id="1521702728">
          <w:marLeft w:val="0"/>
          <w:marRight w:val="0"/>
          <w:marTop w:val="0"/>
          <w:marBottom w:val="0"/>
          <w:divBdr>
            <w:top w:val="none" w:sz="0" w:space="0" w:color="auto"/>
            <w:left w:val="none" w:sz="0" w:space="0" w:color="auto"/>
            <w:bottom w:val="none" w:sz="0" w:space="0" w:color="auto"/>
            <w:right w:val="none" w:sz="0" w:space="0" w:color="auto"/>
          </w:divBdr>
        </w:div>
        <w:div w:id="1557622644">
          <w:marLeft w:val="0"/>
          <w:marRight w:val="0"/>
          <w:marTop w:val="0"/>
          <w:marBottom w:val="0"/>
          <w:divBdr>
            <w:top w:val="none" w:sz="0" w:space="0" w:color="auto"/>
            <w:left w:val="none" w:sz="0" w:space="0" w:color="auto"/>
            <w:bottom w:val="none" w:sz="0" w:space="0" w:color="auto"/>
            <w:right w:val="none" w:sz="0" w:space="0" w:color="auto"/>
          </w:divBdr>
        </w:div>
        <w:div w:id="1571232888">
          <w:marLeft w:val="0"/>
          <w:marRight w:val="0"/>
          <w:marTop w:val="0"/>
          <w:marBottom w:val="0"/>
          <w:divBdr>
            <w:top w:val="none" w:sz="0" w:space="0" w:color="auto"/>
            <w:left w:val="none" w:sz="0" w:space="0" w:color="auto"/>
            <w:bottom w:val="none" w:sz="0" w:space="0" w:color="auto"/>
            <w:right w:val="none" w:sz="0" w:space="0" w:color="auto"/>
          </w:divBdr>
        </w:div>
        <w:div w:id="1599096780">
          <w:marLeft w:val="0"/>
          <w:marRight w:val="0"/>
          <w:marTop w:val="0"/>
          <w:marBottom w:val="0"/>
          <w:divBdr>
            <w:top w:val="none" w:sz="0" w:space="0" w:color="auto"/>
            <w:left w:val="none" w:sz="0" w:space="0" w:color="auto"/>
            <w:bottom w:val="none" w:sz="0" w:space="0" w:color="auto"/>
            <w:right w:val="none" w:sz="0" w:space="0" w:color="auto"/>
          </w:divBdr>
        </w:div>
        <w:div w:id="1601177991">
          <w:marLeft w:val="0"/>
          <w:marRight w:val="0"/>
          <w:marTop w:val="0"/>
          <w:marBottom w:val="0"/>
          <w:divBdr>
            <w:top w:val="none" w:sz="0" w:space="0" w:color="auto"/>
            <w:left w:val="none" w:sz="0" w:space="0" w:color="auto"/>
            <w:bottom w:val="none" w:sz="0" w:space="0" w:color="auto"/>
            <w:right w:val="none" w:sz="0" w:space="0" w:color="auto"/>
          </w:divBdr>
        </w:div>
        <w:div w:id="1601913353">
          <w:marLeft w:val="0"/>
          <w:marRight w:val="0"/>
          <w:marTop w:val="0"/>
          <w:marBottom w:val="0"/>
          <w:divBdr>
            <w:top w:val="none" w:sz="0" w:space="0" w:color="auto"/>
            <w:left w:val="none" w:sz="0" w:space="0" w:color="auto"/>
            <w:bottom w:val="none" w:sz="0" w:space="0" w:color="auto"/>
            <w:right w:val="none" w:sz="0" w:space="0" w:color="auto"/>
          </w:divBdr>
        </w:div>
        <w:div w:id="1607499336">
          <w:marLeft w:val="0"/>
          <w:marRight w:val="0"/>
          <w:marTop w:val="0"/>
          <w:marBottom w:val="0"/>
          <w:divBdr>
            <w:top w:val="none" w:sz="0" w:space="0" w:color="auto"/>
            <w:left w:val="none" w:sz="0" w:space="0" w:color="auto"/>
            <w:bottom w:val="none" w:sz="0" w:space="0" w:color="auto"/>
            <w:right w:val="none" w:sz="0" w:space="0" w:color="auto"/>
          </w:divBdr>
        </w:div>
        <w:div w:id="1622154444">
          <w:marLeft w:val="0"/>
          <w:marRight w:val="0"/>
          <w:marTop w:val="0"/>
          <w:marBottom w:val="0"/>
          <w:divBdr>
            <w:top w:val="none" w:sz="0" w:space="0" w:color="auto"/>
            <w:left w:val="none" w:sz="0" w:space="0" w:color="auto"/>
            <w:bottom w:val="none" w:sz="0" w:space="0" w:color="auto"/>
            <w:right w:val="none" w:sz="0" w:space="0" w:color="auto"/>
          </w:divBdr>
        </w:div>
        <w:div w:id="1652756822">
          <w:marLeft w:val="0"/>
          <w:marRight w:val="0"/>
          <w:marTop w:val="0"/>
          <w:marBottom w:val="0"/>
          <w:divBdr>
            <w:top w:val="none" w:sz="0" w:space="0" w:color="auto"/>
            <w:left w:val="none" w:sz="0" w:space="0" w:color="auto"/>
            <w:bottom w:val="none" w:sz="0" w:space="0" w:color="auto"/>
            <w:right w:val="none" w:sz="0" w:space="0" w:color="auto"/>
          </w:divBdr>
        </w:div>
        <w:div w:id="1671641539">
          <w:marLeft w:val="0"/>
          <w:marRight w:val="0"/>
          <w:marTop w:val="0"/>
          <w:marBottom w:val="0"/>
          <w:divBdr>
            <w:top w:val="none" w:sz="0" w:space="0" w:color="auto"/>
            <w:left w:val="none" w:sz="0" w:space="0" w:color="auto"/>
            <w:bottom w:val="none" w:sz="0" w:space="0" w:color="auto"/>
            <w:right w:val="none" w:sz="0" w:space="0" w:color="auto"/>
          </w:divBdr>
        </w:div>
        <w:div w:id="1671758548">
          <w:marLeft w:val="0"/>
          <w:marRight w:val="0"/>
          <w:marTop w:val="0"/>
          <w:marBottom w:val="0"/>
          <w:divBdr>
            <w:top w:val="none" w:sz="0" w:space="0" w:color="auto"/>
            <w:left w:val="none" w:sz="0" w:space="0" w:color="auto"/>
            <w:bottom w:val="none" w:sz="0" w:space="0" w:color="auto"/>
            <w:right w:val="none" w:sz="0" w:space="0" w:color="auto"/>
          </w:divBdr>
        </w:div>
        <w:div w:id="1687368170">
          <w:marLeft w:val="0"/>
          <w:marRight w:val="0"/>
          <w:marTop w:val="0"/>
          <w:marBottom w:val="0"/>
          <w:divBdr>
            <w:top w:val="none" w:sz="0" w:space="0" w:color="auto"/>
            <w:left w:val="none" w:sz="0" w:space="0" w:color="auto"/>
            <w:bottom w:val="none" w:sz="0" w:space="0" w:color="auto"/>
            <w:right w:val="none" w:sz="0" w:space="0" w:color="auto"/>
          </w:divBdr>
        </w:div>
        <w:div w:id="1691565980">
          <w:marLeft w:val="0"/>
          <w:marRight w:val="0"/>
          <w:marTop w:val="0"/>
          <w:marBottom w:val="0"/>
          <w:divBdr>
            <w:top w:val="none" w:sz="0" w:space="0" w:color="auto"/>
            <w:left w:val="none" w:sz="0" w:space="0" w:color="auto"/>
            <w:bottom w:val="none" w:sz="0" w:space="0" w:color="auto"/>
            <w:right w:val="none" w:sz="0" w:space="0" w:color="auto"/>
          </w:divBdr>
        </w:div>
        <w:div w:id="1697852311">
          <w:marLeft w:val="0"/>
          <w:marRight w:val="0"/>
          <w:marTop w:val="0"/>
          <w:marBottom w:val="0"/>
          <w:divBdr>
            <w:top w:val="none" w:sz="0" w:space="0" w:color="auto"/>
            <w:left w:val="none" w:sz="0" w:space="0" w:color="auto"/>
            <w:bottom w:val="none" w:sz="0" w:space="0" w:color="auto"/>
            <w:right w:val="none" w:sz="0" w:space="0" w:color="auto"/>
          </w:divBdr>
        </w:div>
        <w:div w:id="1712270621">
          <w:marLeft w:val="0"/>
          <w:marRight w:val="0"/>
          <w:marTop w:val="0"/>
          <w:marBottom w:val="0"/>
          <w:divBdr>
            <w:top w:val="none" w:sz="0" w:space="0" w:color="auto"/>
            <w:left w:val="none" w:sz="0" w:space="0" w:color="auto"/>
            <w:bottom w:val="none" w:sz="0" w:space="0" w:color="auto"/>
            <w:right w:val="none" w:sz="0" w:space="0" w:color="auto"/>
          </w:divBdr>
        </w:div>
        <w:div w:id="1734304175">
          <w:marLeft w:val="0"/>
          <w:marRight w:val="0"/>
          <w:marTop w:val="0"/>
          <w:marBottom w:val="0"/>
          <w:divBdr>
            <w:top w:val="none" w:sz="0" w:space="0" w:color="auto"/>
            <w:left w:val="none" w:sz="0" w:space="0" w:color="auto"/>
            <w:bottom w:val="none" w:sz="0" w:space="0" w:color="auto"/>
            <w:right w:val="none" w:sz="0" w:space="0" w:color="auto"/>
          </w:divBdr>
        </w:div>
        <w:div w:id="1754931330">
          <w:marLeft w:val="0"/>
          <w:marRight w:val="0"/>
          <w:marTop w:val="0"/>
          <w:marBottom w:val="0"/>
          <w:divBdr>
            <w:top w:val="none" w:sz="0" w:space="0" w:color="auto"/>
            <w:left w:val="none" w:sz="0" w:space="0" w:color="auto"/>
            <w:bottom w:val="none" w:sz="0" w:space="0" w:color="auto"/>
            <w:right w:val="none" w:sz="0" w:space="0" w:color="auto"/>
          </w:divBdr>
        </w:div>
        <w:div w:id="1769429416">
          <w:marLeft w:val="0"/>
          <w:marRight w:val="0"/>
          <w:marTop w:val="0"/>
          <w:marBottom w:val="0"/>
          <w:divBdr>
            <w:top w:val="none" w:sz="0" w:space="0" w:color="auto"/>
            <w:left w:val="none" w:sz="0" w:space="0" w:color="auto"/>
            <w:bottom w:val="none" w:sz="0" w:space="0" w:color="auto"/>
            <w:right w:val="none" w:sz="0" w:space="0" w:color="auto"/>
          </w:divBdr>
        </w:div>
        <w:div w:id="1774663551">
          <w:marLeft w:val="0"/>
          <w:marRight w:val="0"/>
          <w:marTop w:val="0"/>
          <w:marBottom w:val="0"/>
          <w:divBdr>
            <w:top w:val="none" w:sz="0" w:space="0" w:color="auto"/>
            <w:left w:val="none" w:sz="0" w:space="0" w:color="auto"/>
            <w:bottom w:val="none" w:sz="0" w:space="0" w:color="auto"/>
            <w:right w:val="none" w:sz="0" w:space="0" w:color="auto"/>
          </w:divBdr>
        </w:div>
        <w:div w:id="1776899236">
          <w:marLeft w:val="0"/>
          <w:marRight w:val="0"/>
          <w:marTop w:val="0"/>
          <w:marBottom w:val="0"/>
          <w:divBdr>
            <w:top w:val="none" w:sz="0" w:space="0" w:color="auto"/>
            <w:left w:val="none" w:sz="0" w:space="0" w:color="auto"/>
            <w:bottom w:val="none" w:sz="0" w:space="0" w:color="auto"/>
            <w:right w:val="none" w:sz="0" w:space="0" w:color="auto"/>
          </w:divBdr>
        </w:div>
        <w:div w:id="1787114381">
          <w:marLeft w:val="0"/>
          <w:marRight w:val="0"/>
          <w:marTop w:val="0"/>
          <w:marBottom w:val="0"/>
          <w:divBdr>
            <w:top w:val="none" w:sz="0" w:space="0" w:color="auto"/>
            <w:left w:val="none" w:sz="0" w:space="0" w:color="auto"/>
            <w:bottom w:val="none" w:sz="0" w:space="0" w:color="auto"/>
            <w:right w:val="none" w:sz="0" w:space="0" w:color="auto"/>
          </w:divBdr>
        </w:div>
        <w:div w:id="1798572749">
          <w:marLeft w:val="0"/>
          <w:marRight w:val="0"/>
          <w:marTop w:val="0"/>
          <w:marBottom w:val="0"/>
          <w:divBdr>
            <w:top w:val="none" w:sz="0" w:space="0" w:color="auto"/>
            <w:left w:val="none" w:sz="0" w:space="0" w:color="auto"/>
            <w:bottom w:val="none" w:sz="0" w:space="0" w:color="auto"/>
            <w:right w:val="none" w:sz="0" w:space="0" w:color="auto"/>
          </w:divBdr>
        </w:div>
        <w:div w:id="1802067281">
          <w:marLeft w:val="0"/>
          <w:marRight w:val="0"/>
          <w:marTop w:val="0"/>
          <w:marBottom w:val="0"/>
          <w:divBdr>
            <w:top w:val="none" w:sz="0" w:space="0" w:color="auto"/>
            <w:left w:val="none" w:sz="0" w:space="0" w:color="auto"/>
            <w:bottom w:val="none" w:sz="0" w:space="0" w:color="auto"/>
            <w:right w:val="none" w:sz="0" w:space="0" w:color="auto"/>
          </w:divBdr>
        </w:div>
        <w:div w:id="1805459805">
          <w:marLeft w:val="0"/>
          <w:marRight w:val="0"/>
          <w:marTop w:val="0"/>
          <w:marBottom w:val="0"/>
          <w:divBdr>
            <w:top w:val="none" w:sz="0" w:space="0" w:color="auto"/>
            <w:left w:val="none" w:sz="0" w:space="0" w:color="auto"/>
            <w:bottom w:val="none" w:sz="0" w:space="0" w:color="auto"/>
            <w:right w:val="none" w:sz="0" w:space="0" w:color="auto"/>
          </w:divBdr>
        </w:div>
        <w:div w:id="1805849032">
          <w:marLeft w:val="0"/>
          <w:marRight w:val="0"/>
          <w:marTop w:val="0"/>
          <w:marBottom w:val="0"/>
          <w:divBdr>
            <w:top w:val="none" w:sz="0" w:space="0" w:color="auto"/>
            <w:left w:val="none" w:sz="0" w:space="0" w:color="auto"/>
            <w:bottom w:val="none" w:sz="0" w:space="0" w:color="auto"/>
            <w:right w:val="none" w:sz="0" w:space="0" w:color="auto"/>
          </w:divBdr>
        </w:div>
        <w:div w:id="1843276027">
          <w:marLeft w:val="0"/>
          <w:marRight w:val="0"/>
          <w:marTop w:val="0"/>
          <w:marBottom w:val="0"/>
          <w:divBdr>
            <w:top w:val="none" w:sz="0" w:space="0" w:color="auto"/>
            <w:left w:val="none" w:sz="0" w:space="0" w:color="auto"/>
            <w:bottom w:val="none" w:sz="0" w:space="0" w:color="auto"/>
            <w:right w:val="none" w:sz="0" w:space="0" w:color="auto"/>
          </w:divBdr>
        </w:div>
        <w:div w:id="1862284340">
          <w:marLeft w:val="0"/>
          <w:marRight w:val="0"/>
          <w:marTop w:val="0"/>
          <w:marBottom w:val="0"/>
          <w:divBdr>
            <w:top w:val="none" w:sz="0" w:space="0" w:color="auto"/>
            <w:left w:val="none" w:sz="0" w:space="0" w:color="auto"/>
            <w:bottom w:val="none" w:sz="0" w:space="0" w:color="auto"/>
            <w:right w:val="none" w:sz="0" w:space="0" w:color="auto"/>
          </w:divBdr>
        </w:div>
        <w:div w:id="1873573713">
          <w:marLeft w:val="0"/>
          <w:marRight w:val="0"/>
          <w:marTop w:val="0"/>
          <w:marBottom w:val="0"/>
          <w:divBdr>
            <w:top w:val="none" w:sz="0" w:space="0" w:color="auto"/>
            <w:left w:val="none" w:sz="0" w:space="0" w:color="auto"/>
            <w:bottom w:val="none" w:sz="0" w:space="0" w:color="auto"/>
            <w:right w:val="none" w:sz="0" w:space="0" w:color="auto"/>
          </w:divBdr>
        </w:div>
        <w:div w:id="1873836560">
          <w:marLeft w:val="0"/>
          <w:marRight w:val="0"/>
          <w:marTop w:val="0"/>
          <w:marBottom w:val="0"/>
          <w:divBdr>
            <w:top w:val="none" w:sz="0" w:space="0" w:color="auto"/>
            <w:left w:val="none" w:sz="0" w:space="0" w:color="auto"/>
            <w:bottom w:val="none" w:sz="0" w:space="0" w:color="auto"/>
            <w:right w:val="none" w:sz="0" w:space="0" w:color="auto"/>
          </w:divBdr>
        </w:div>
        <w:div w:id="1901790553">
          <w:marLeft w:val="0"/>
          <w:marRight w:val="0"/>
          <w:marTop w:val="0"/>
          <w:marBottom w:val="0"/>
          <w:divBdr>
            <w:top w:val="none" w:sz="0" w:space="0" w:color="auto"/>
            <w:left w:val="none" w:sz="0" w:space="0" w:color="auto"/>
            <w:bottom w:val="none" w:sz="0" w:space="0" w:color="auto"/>
            <w:right w:val="none" w:sz="0" w:space="0" w:color="auto"/>
          </w:divBdr>
        </w:div>
        <w:div w:id="1914966559">
          <w:marLeft w:val="0"/>
          <w:marRight w:val="0"/>
          <w:marTop w:val="0"/>
          <w:marBottom w:val="0"/>
          <w:divBdr>
            <w:top w:val="none" w:sz="0" w:space="0" w:color="auto"/>
            <w:left w:val="none" w:sz="0" w:space="0" w:color="auto"/>
            <w:bottom w:val="none" w:sz="0" w:space="0" w:color="auto"/>
            <w:right w:val="none" w:sz="0" w:space="0" w:color="auto"/>
          </w:divBdr>
        </w:div>
        <w:div w:id="1916743524">
          <w:marLeft w:val="0"/>
          <w:marRight w:val="0"/>
          <w:marTop w:val="0"/>
          <w:marBottom w:val="0"/>
          <w:divBdr>
            <w:top w:val="none" w:sz="0" w:space="0" w:color="auto"/>
            <w:left w:val="none" w:sz="0" w:space="0" w:color="auto"/>
            <w:bottom w:val="none" w:sz="0" w:space="0" w:color="auto"/>
            <w:right w:val="none" w:sz="0" w:space="0" w:color="auto"/>
          </w:divBdr>
        </w:div>
        <w:div w:id="1917284411">
          <w:marLeft w:val="0"/>
          <w:marRight w:val="0"/>
          <w:marTop w:val="0"/>
          <w:marBottom w:val="0"/>
          <w:divBdr>
            <w:top w:val="none" w:sz="0" w:space="0" w:color="auto"/>
            <w:left w:val="none" w:sz="0" w:space="0" w:color="auto"/>
            <w:bottom w:val="none" w:sz="0" w:space="0" w:color="auto"/>
            <w:right w:val="none" w:sz="0" w:space="0" w:color="auto"/>
          </w:divBdr>
        </w:div>
        <w:div w:id="1941906596">
          <w:marLeft w:val="0"/>
          <w:marRight w:val="0"/>
          <w:marTop w:val="0"/>
          <w:marBottom w:val="0"/>
          <w:divBdr>
            <w:top w:val="none" w:sz="0" w:space="0" w:color="auto"/>
            <w:left w:val="none" w:sz="0" w:space="0" w:color="auto"/>
            <w:bottom w:val="none" w:sz="0" w:space="0" w:color="auto"/>
            <w:right w:val="none" w:sz="0" w:space="0" w:color="auto"/>
          </w:divBdr>
        </w:div>
        <w:div w:id="1945306995">
          <w:marLeft w:val="0"/>
          <w:marRight w:val="0"/>
          <w:marTop w:val="0"/>
          <w:marBottom w:val="0"/>
          <w:divBdr>
            <w:top w:val="none" w:sz="0" w:space="0" w:color="auto"/>
            <w:left w:val="none" w:sz="0" w:space="0" w:color="auto"/>
            <w:bottom w:val="none" w:sz="0" w:space="0" w:color="auto"/>
            <w:right w:val="none" w:sz="0" w:space="0" w:color="auto"/>
          </w:divBdr>
        </w:div>
        <w:div w:id="1945454809">
          <w:marLeft w:val="0"/>
          <w:marRight w:val="0"/>
          <w:marTop w:val="0"/>
          <w:marBottom w:val="0"/>
          <w:divBdr>
            <w:top w:val="none" w:sz="0" w:space="0" w:color="auto"/>
            <w:left w:val="none" w:sz="0" w:space="0" w:color="auto"/>
            <w:bottom w:val="none" w:sz="0" w:space="0" w:color="auto"/>
            <w:right w:val="none" w:sz="0" w:space="0" w:color="auto"/>
          </w:divBdr>
        </w:div>
        <w:div w:id="1946886284">
          <w:marLeft w:val="0"/>
          <w:marRight w:val="0"/>
          <w:marTop w:val="0"/>
          <w:marBottom w:val="0"/>
          <w:divBdr>
            <w:top w:val="none" w:sz="0" w:space="0" w:color="auto"/>
            <w:left w:val="none" w:sz="0" w:space="0" w:color="auto"/>
            <w:bottom w:val="none" w:sz="0" w:space="0" w:color="auto"/>
            <w:right w:val="none" w:sz="0" w:space="0" w:color="auto"/>
          </w:divBdr>
        </w:div>
        <w:div w:id="1955743721">
          <w:marLeft w:val="0"/>
          <w:marRight w:val="0"/>
          <w:marTop w:val="0"/>
          <w:marBottom w:val="0"/>
          <w:divBdr>
            <w:top w:val="none" w:sz="0" w:space="0" w:color="auto"/>
            <w:left w:val="none" w:sz="0" w:space="0" w:color="auto"/>
            <w:bottom w:val="none" w:sz="0" w:space="0" w:color="auto"/>
            <w:right w:val="none" w:sz="0" w:space="0" w:color="auto"/>
          </w:divBdr>
        </w:div>
        <w:div w:id="1958680837">
          <w:marLeft w:val="0"/>
          <w:marRight w:val="0"/>
          <w:marTop w:val="0"/>
          <w:marBottom w:val="0"/>
          <w:divBdr>
            <w:top w:val="none" w:sz="0" w:space="0" w:color="auto"/>
            <w:left w:val="none" w:sz="0" w:space="0" w:color="auto"/>
            <w:bottom w:val="none" w:sz="0" w:space="0" w:color="auto"/>
            <w:right w:val="none" w:sz="0" w:space="0" w:color="auto"/>
          </w:divBdr>
        </w:div>
        <w:div w:id="1961374490">
          <w:marLeft w:val="0"/>
          <w:marRight w:val="0"/>
          <w:marTop w:val="0"/>
          <w:marBottom w:val="0"/>
          <w:divBdr>
            <w:top w:val="none" w:sz="0" w:space="0" w:color="auto"/>
            <w:left w:val="none" w:sz="0" w:space="0" w:color="auto"/>
            <w:bottom w:val="none" w:sz="0" w:space="0" w:color="auto"/>
            <w:right w:val="none" w:sz="0" w:space="0" w:color="auto"/>
          </w:divBdr>
        </w:div>
        <w:div w:id="1963733443">
          <w:marLeft w:val="0"/>
          <w:marRight w:val="0"/>
          <w:marTop w:val="0"/>
          <w:marBottom w:val="0"/>
          <w:divBdr>
            <w:top w:val="none" w:sz="0" w:space="0" w:color="auto"/>
            <w:left w:val="none" w:sz="0" w:space="0" w:color="auto"/>
            <w:bottom w:val="none" w:sz="0" w:space="0" w:color="auto"/>
            <w:right w:val="none" w:sz="0" w:space="0" w:color="auto"/>
          </w:divBdr>
        </w:div>
        <w:div w:id="1968126862">
          <w:marLeft w:val="0"/>
          <w:marRight w:val="0"/>
          <w:marTop w:val="0"/>
          <w:marBottom w:val="0"/>
          <w:divBdr>
            <w:top w:val="none" w:sz="0" w:space="0" w:color="auto"/>
            <w:left w:val="none" w:sz="0" w:space="0" w:color="auto"/>
            <w:bottom w:val="none" w:sz="0" w:space="0" w:color="auto"/>
            <w:right w:val="none" w:sz="0" w:space="0" w:color="auto"/>
          </w:divBdr>
        </w:div>
        <w:div w:id="1970889924">
          <w:marLeft w:val="0"/>
          <w:marRight w:val="0"/>
          <w:marTop w:val="0"/>
          <w:marBottom w:val="0"/>
          <w:divBdr>
            <w:top w:val="none" w:sz="0" w:space="0" w:color="auto"/>
            <w:left w:val="none" w:sz="0" w:space="0" w:color="auto"/>
            <w:bottom w:val="none" w:sz="0" w:space="0" w:color="auto"/>
            <w:right w:val="none" w:sz="0" w:space="0" w:color="auto"/>
          </w:divBdr>
        </w:div>
        <w:div w:id="1980761731">
          <w:marLeft w:val="0"/>
          <w:marRight w:val="0"/>
          <w:marTop w:val="0"/>
          <w:marBottom w:val="0"/>
          <w:divBdr>
            <w:top w:val="none" w:sz="0" w:space="0" w:color="auto"/>
            <w:left w:val="none" w:sz="0" w:space="0" w:color="auto"/>
            <w:bottom w:val="none" w:sz="0" w:space="0" w:color="auto"/>
            <w:right w:val="none" w:sz="0" w:space="0" w:color="auto"/>
          </w:divBdr>
        </w:div>
        <w:div w:id="1987128018">
          <w:marLeft w:val="0"/>
          <w:marRight w:val="0"/>
          <w:marTop w:val="0"/>
          <w:marBottom w:val="0"/>
          <w:divBdr>
            <w:top w:val="none" w:sz="0" w:space="0" w:color="auto"/>
            <w:left w:val="none" w:sz="0" w:space="0" w:color="auto"/>
            <w:bottom w:val="none" w:sz="0" w:space="0" w:color="auto"/>
            <w:right w:val="none" w:sz="0" w:space="0" w:color="auto"/>
          </w:divBdr>
        </w:div>
        <w:div w:id="1992950378">
          <w:marLeft w:val="0"/>
          <w:marRight w:val="0"/>
          <w:marTop w:val="0"/>
          <w:marBottom w:val="0"/>
          <w:divBdr>
            <w:top w:val="none" w:sz="0" w:space="0" w:color="auto"/>
            <w:left w:val="none" w:sz="0" w:space="0" w:color="auto"/>
            <w:bottom w:val="none" w:sz="0" w:space="0" w:color="auto"/>
            <w:right w:val="none" w:sz="0" w:space="0" w:color="auto"/>
          </w:divBdr>
        </w:div>
        <w:div w:id="2008551864">
          <w:marLeft w:val="0"/>
          <w:marRight w:val="0"/>
          <w:marTop w:val="0"/>
          <w:marBottom w:val="0"/>
          <w:divBdr>
            <w:top w:val="none" w:sz="0" w:space="0" w:color="auto"/>
            <w:left w:val="none" w:sz="0" w:space="0" w:color="auto"/>
            <w:bottom w:val="none" w:sz="0" w:space="0" w:color="auto"/>
            <w:right w:val="none" w:sz="0" w:space="0" w:color="auto"/>
          </w:divBdr>
        </w:div>
      </w:divsChild>
    </w:div>
    <w:div w:id="1095323000">
      <w:bodyDiv w:val="1"/>
      <w:marLeft w:val="0"/>
      <w:marRight w:val="0"/>
      <w:marTop w:val="0"/>
      <w:marBottom w:val="0"/>
      <w:divBdr>
        <w:top w:val="none" w:sz="0" w:space="0" w:color="auto"/>
        <w:left w:val="none" w:sz="0" w:space="0" w:color="auto"/>
        <w:bottom w:val="none" w:sz="0" w:space="0" w:color="auto"/>
        <w:right w:val="none" w:sz="0" w:space="0" w:color="auto"/>
      </w:divBdr>
    </w:div>
    <w:div w:id="1095442213">
      <w:bodyDiv w:val="1"/>
      <w:marLeft w:val="0"/>
      <w:marRight w:val="0"/>
      <w:marTop w:val="0"/>
      <w:marBottom w:val="0"/>
      <w:divBdr>
        <w:top w:val="none" w:sz="0" w:space="0" w:color="auto"/>
        <w:left w:val="none" w:sz="0" w:space="0" w:color="auto"/>
        <w:bottom w:val="none" w:sz="0" w:space="0" w:color="auto"/>
        <w:right w:val="none" w:sz="0" w:space="0" w:color="auto"/>
      </w:divBdr>
    </w:div>
    <w:div w:id="1095446131">
      <w:bodyDiv w:val="1"/>
      <w:marLeft w:val="0"/>
      <w:marRight w:val="0"/>
      <w:marTop w:val="0"/>
      <w:marBottom w:val="0"/>
      <w:divBdr>
        <w:top w:val="none" w:sz="0" w:space="0" w:color="auto"/>
        <w:left w:val="none" w:sz="0" w:space="0" w:color="auto"/>
        <w:bottom w:val="none" w:sz="0" w:space="0" w:color="auto"/>
        <w:right w:val="none" w:sz="0" w:space="0" w:color="auto"/>
      </w:divBdr>
    </w:div>
    <w:div w:id="1095519939">
      <w:bodyDiv w:val="1"/>
      <w:marLeft w:val="0"/>
      <w:marRight w:val="0"/>
      <w:marTop w:val="0"/>
      <w:marBottom w:val="0"/>
      <w:divBdr>
        <w:top w:val="none" w:sz="0" w:space="0" w:color="auto"/>
        <w:left w:val="none" w:sz="0" w:space="0" w:color="auto"/>
        <w:bottom w:val="none" w:sz="0" w:space="0" w:color="auto"/>
        <w:right w:val="none" w:sz="0" w:space="0" w:color="auto"/>
      </w:divBdr>
    </w:div>
    <w:div w:id="1095520156">
      <w:bodyDiv w:val="1"/>
      <w:marLeft w:val="0"/>
      <w:marRight w:val="0"/>
      <w:marTop w:val="0"/>
      <w:marBottom w:val="0"/>
      <w:divBdr>
        <w:top w:val="none" w:sz="0" w:space="0" w:color="auto"/>
        <w:left w:val="none" w:sz="0" w:space="0" w:color="auto"/>
        <w:bottom w:val="none" w:sz="0" w:space="0" w:color="auto"/>
        <w:right w:val="none" w:sz="0" w:space="0" w:color="auto"/>
      </w:divBdr>
    </w:div>
    <w:div w:id="1095832417">
      <w:bodyDiv w:val="1"/>
      <w:marLeft w:val="0"/>
      <w:marRight w:val="0"/>
      <w:marTop w:val="0"/>
      <w:marBottom w:val="0"/>
      <w:divBdr>
        <w:top w:val="none" w:sz="0" w:space="0" w:color="auto"/>
        <w:left w:val="none" w:sz="0" w:space="0" w:color="auto"/>
        <w:bottom w:val="none" w:sz="0" w:space="0" w:color="auto"/>
        <w:right w:val="none" w:sz="0" w:space="0" w:color="auto"/>
      </w:divBdr>
    </w:div>
    <w:div w:id="1095976347">
      <w:bodyDiv w:val="1"/>
      <w:marLeft w:val="0"/>
      <w:marRight w:val="0"/>
      <w:marTop w:val="0"/>
      <w:marBottom w:val="0"/>
      <w:divBdr>
        <w:top w:val="none" w:sz="0" w:space="0" w:color="auto"/>
        <w:left w:val="none" w:sz="0" w:space="0" w:color="auto"/>
        <w:bottom w:val="none" w:sz="0" w:space="0" w:color="auto"/>
        <w:right w:val="none" w:sz="0" w:space="0" w:color="auto"/>
      </w:divBdr>
    </w:div>
    <w:div w:id="1096055622">
      <w:bodyDiv w:val="1"/>
      <w:marLeft w:val="0"/>
      <w:marRight w:val="0"/>
      <w:marTop w:val="0"/>
      <w:marBottom w:val="0"/>
      <w:divBdr>
        <w:top w:val="none" w:sz="0" w:space="0" w:color="auto"/>
        <w:left w:val="none" w:sz="0" w:space="0" w:color="auto"/>
        <w:bottom w:val="none" w:sz="0" w:space="0" w:color="auto"/>
        <w:right w:val="none" w:sz="0" w:space="0" w:color="auto"/>
      </w:divBdr>
    </w:div>
    <w:div w:id="1096169059">
      <w:bodyDiv w:val="1"/>
      <w:marLeft w:val="0"/>
      <w:marRight w:val="0"/>
      <w:marTop w:val="0"/>
      <w:marBottom w:val="0"/>
      <w:divBdr>
        <w:top w:val="none" w:sz="0" w:space="0" w:color="auto"/>
        <w:left w:val="none" w:sz="0" w:space="0" w:color="auto"/>
        <w:bottom w:val="none" w:sz="0" w:space="0" w:color="auto"/>
        <w:right w:val="none" w:sz="0" w:space="0" w:color="auto"/>
      </w:divBdr>
    </w:div>
    <w:div w:id="1096173809">
      <w:bodyDiv w:val="1"/>
      <w:marLeft w:val="0"/>
      <w:marRight w:val="0"/>
      <w:marTop w:val="0"/>
      <w:marBottom w:val="0"/>
      <w:divBdr>
        <w:top w:val="none" w:sz="0" w:space="0" w:color="auto"/>
        <w:left w:val="none" w:sz="0" w:space="0" w:color="auto"/>
        <w:bottom w:val="none" w:sz="0" w:space="0" w:color="auto"/>
        <w:right w:val="none" w:sz="0" w:space="0" w:color="auto"/>
      </w:divBdr>
    </w:div>
    <w:div w:id="1096247742">
      <w:bodyDiv w:val="1"/>
      <w:marLeft w:val="0"/>
      <w:marRight w:val="0"/>
      <w:marTop w:val="0"/>
      <w:marBottom w:val="0"/>
      <w:divBdr>
        <w:top w:val="none" w:sz="0" w:space="0" w:color="auto"/>
        <w:left w:val="none" w:sz="0" w:space="0" w:color="auto"/>
        <w:bottom w:val="none" w:sz="0" w:space="0" w:color="auto"/>
        <w:right w:val="none" w:sz="0" w:space="0" w:color="auto"/>
      </w:divBdr>
    </w:div>
    <w:div w:id="1096249486">
      <w:bodyDiv w:val="1"/>
      <w:marLeft w:val="0"/>
      <w:marRight w:val="0"/>
      <w:marTop w:val="0"/>
      <w:marBottom w:val="0"/>
      <w:divBdr>
        <w:top w:val="none" w:sz="0" w:space="0" w:color="auto"/>
        <w:left w:val="none" w:sz="0" w:space="0" w:color="auto"/>
        <w:bottom w:val="none" w:sz="0" w:space="0" w:color="auto"/>
        <w:right w:val="none" w:sz="0" w:space="0" w:color="auto"/>
      </w:divBdr>
    </w:div>
    <w:div w:id="1096286333">
      <w:bodyDiv w:val="1"/>
      <w:marLeft w:val="0"/>
      <w:marRight w:val="0"/>
      <w:marTop w:val="0"/>
      <w:marBottom w:val="0"/>
      <w:divBdr>
        <w:top w:val="none" w:sz="0" w:space="0" w:color="auto"/>
        <w:left w:val="none" w:sz="0" w:space="0" w:color="auto"/>
        <w:bottom w:val="none" w:sz="0" w:space="0" w:color="auto"/>
        <w:right w:val="none" w:sz="0" w:space="0" w:color="auto"/>
      </w:divBdr>
    </w:div>
    <w:div w:id="1096629636">
      <w:bodyDiv w:val="1"/>
      <w:marLeft w:val="0"/>
      <w:marRight w:val="0"/>
      <w:marTop w:val="0"/>
      <w:marBottom w:val="0"/>
      <w:divBdr>
        <w:top w:val="none" w:sz="0" w:space="0" w:color="auto"/>
        <w:left w:val="none" w:sz="0" w:space="0" w:color="auto"/>
        <w:bottom w:val="none" w:sz="0" w:space="0" w:color="auto"/>
        <w:right w:val="none" w:sz="0" w:space="0" w:color="auto"/>
      </w:divBdr>
    </w:div>
    <w:div w:id="1096633644">
      <w:bodyDiv w:val="1"/>
      <w:marLeft w:val="0"/>
      <w:marRight w:val="0"/>
      <w:marTop w:val="0"/>
      <w:marBottom w:val="0"/>
      <w:divBdr>
        <w:top w:val="none" w:sz="0" w:space="0" w:color="auto"/>
        <w:left w:val="none" w:sz="0" w:space="0" w:color="auto"/>
        <w:bottom w:val="none" w:sz="0" w:space="0" w:color="auto"/>
        <w:right w:val="none" w:sz="0" w:space="0" w:color="auto"/>
      </w:divBdr>
    </w:div>
    <w:div w:id="1096637737">
      <w:bodyDiv w:val="1"/>
      <w:marLeft w:val="0"/>
      <w:marRight w:val="0"/>
      <w:marTop w:val="0"/>
      <w:marBottom w:val="0"/>
      <w:divBdr>
        <w:top w:val="none" w:sz="0" w:space="0" w:color="auto"/>
        <w:left w:val="none" w:sz="0" w:space="0" w:color="auto"/>
        <w:bottom w:val="none" w:sz="0" w:space="0" w:color="auto"/>
        <w:right w:val="none" w:sz="0" w:space="0" w:color="auto"/>
      </w:divBdr>
    </w:div>
    <w:div w:id="1096753577">
      <w:bodyDiv w:val="1"/>
      <w:marLeft w:val="0"/>
      <w:marRight w:val="0"/>
      <w:marTop w:val="0"/>
      <w:marBottom w:val="0"/>
      <w:divBdr>
        <w:top w:val="none" w:sz="0" w:space="0" w:color="auto"/>
        <w:left w:val="none" w:sz="0" w:space="0" w:color="auto"/>
        <w:bottom w:val="none" w:sz="0" w:space="0" w:color="auto"/>
        <w:right w:val="none" w:sz="0" w:space="0" w:color="auto"/>
      </w:divBdr>
    </w:div>
    <w:div w:id="1096755778">
      <w:bodyDiv w:val="1"/>
      <w:marLeft w:val="0"/>
      <w:marRight w:val="0"/>
      <w:marTop w:val="0"/>
      <w:marBottom w:val="0"/>
      <w:divBdr>
        <w:top w:val="none" w:sz="0" w:space="0" w:color="auto"/>
        <w:left w:val="none" w:sz="0" w:space="0" w:color="auto"/>
        <w:bottom w:val="none" w:sz="0" w:space="0" w:color="auto"/>
        <w:right w:val="none" w:sz="0" w:space="0" w:color="auto"/>
      </w:divBdr>
    </w:div>
    <w:div w:id="1096822552">
      <w:bodyDiv w:val="1"/>
      <w:marLeft w:val="0"/>
      <w:marRight w:val="0"/>
      <w:marTop w:val="0"/>
      <w:marBottom w:val="0"/>
      <w:divBdr>
        <w:top w:val="none" w:sz="0" w:space="0" w:color="auto"/>
        <w:left w:val="none" w:sz="0" w:space="0" w:color="auto"/>
        <w:bottom w:val="none" w:sz="0" w:space="0" w:color="auto"/>
        <w:right w:val="none" w:sz="0" w:space="0" w:color="auto"/>
      </w:divBdr>
    </w:div>
    <w:div w:id="1096907235">
      <w:bodyDiv w:val="1"/>
      <w:marLeft w:val="0"/>
      <w:marRight w:val="0"/>
      <w:marTop w:val="0"/>
      <w:marBottom w:val="0"/>
      <w:divBdr>
        <w:top w:val="none" w:sz="0" w:space="0" w:color="auto"/>
        <w:left w:val="none" w:sz="0" w:space="0" w:color="auto"/>
        <w:bottom w:val="none" w:sz="0" w:space="0" w:color="auto"/>
        <w:right w:val="none" w:sz="0" w:space="0" w:color="auto"/>
      </w:divBdr>
    </w:div>
    <w:div w:id="1096973603">
      <w:bodyDiv w:val="1"/>
      <w:marLeft w:val="0"/>
      <w:marRight w:val="0"/>
      <w:marTop w:val="0"/>
      <w:marBottom w:val="0"/>
      <w:divBdr>
        <w:top w:val="none" w:sz="0" w:space="0" w:color="auto"/>
        <w:left w:val="none" w:sz="0" w:space="0" w:color="auto"/>
        <w:bottom w:val="none" w:sz="0" w:space="0" w:color="auto"/>
        <w:right w:val="none" w:sz="0" w:space="0" w:color="auto"/>
      </w:divBdr>
    </w:div>
    <w:div w:id="1097212529">
      <w:bodyDiv w:val="1"/>
      <w:marLeft w:val="0"/>
      <w:marRight w:val="0"/>
      <w:marTop w:val="0"/>
      <w:marBottom w:val="0"/>
      <w:divBdr>
        <w:top w:val="none" w:sz="0" w:space="0" w:color="auto"/>
        <w:left w:val="none" w:sz="0" w:space="0" w:color="auto"/>
        <w:bottom w:val="none" w:sz="0" w:space="0" w:color="auto"/>
        <w:right w:val="none" w:sz="0" w:space="0" w:color="auto"/>
      </w:divBdr>
    </w:div>
    <w:div w:id="1097216847">
      <w:bodyDiv w:val="1"/>
      <w:marLeft w:val="0"/>
      <w:marRight w:val="0"/>
      <w:marTop w:val="0"/>
      <w:marBottom w:val="0"/>
      <w:divBdr>
        <w:top w:val="none" w:sz="0" w:space="0" w:color="auto"/>
        <w:left w:val="none" w:sz="0" w:space="0" w:color="auto"/>
        <w:bottom w:val="none" w:sz="0" w:space="0" w:color="auto"/>
        <w:right w:val="none" w:sz="0" w:space="0" w:color="auto"/>
      </w:divBdr>
    </w:div>
    <w:div w:id="1097289499">
      <w:bodyDiv w:val="1"/>
      <w:marLeft w:val="0"/>
      <w:marRight w:val="0"/>
      <w:marTop w:val="0"/>
      <w:marBottom w:val="0"/>
      <w:divBdr>
        <w:top w:val="none" w:sz="0" w:space="0" w:color="auto"/>
        <w:left w:val="none" w:sz="0" w:space="0" w:color="auto"/>
        <w:bottom w:val="none" w:sz="0" w:space="0" w:color="auto"/>
        <w:right w:val="none" w:sz="0" w:space="0" w:color="auto"/>
      </w:divBdr>
    </w:div>
    <w:div w:id="1097336026">
      <w:bodyDiv w:val="1"/>
      <w:marLeft w:val="0"/>
      <w:marRight w:val="0"/>
      <w:marTop w:val="0"/>
      <w:marBottom w:val="0"/>
      <w:divBdr>
        <w:top w:val="none" w:sz="0" w:space="0" w:color="auto"/>
        <w:left w:val="none" w:sz="0" w:space="0" w:color="auto"/>
        <w:bottom w:val="none" w:sz="0" w:space="0" w:color="auto"/>
        <w:right w:val="none" w:sz="0" w:space="0" w:color="auto"/>
      </w:divBdr>
    </w:div>
    <w:div w:id="1097362968">
      <w:bodyDiv w:val="1"/>
      <w:marLeft w:val="0"/>
      <w:marRight w:val="0"/>
      <w:marTop w:val="0"/>
      <w:marBottom w:val="0"/>
      <w:divBdr>
        <w:top w:val="none" w:sz="0" w:space="0" w:color="auto"/>
        <w:left w:val="none" w:sz="0" w:space="0" w:color="auto"/>
        <w:bottom w:val="none" w:sz="0" w:space="0" w:color="auto"/>
        <w:right w:val="none" w:sz="0" w:space="0" w:color="auto"/>
      </w:divBdr>
    </w:div>
    <w:div w:id="1097364736">
      <w:bodyDiv w:val="1"/>
      <w:marLeft w:val="0"/>
      <w:marRight w:val="0"/>
      <w:marTop w:val="0"/>
      <w:marBottom w:val="0"/>
      <w:divBdr>
        <w:top w:val="none" w:sz="0" w:space="0" w:color="auto"/>
        <w:left w:val="none" w:sz="0" w:space="0" w:color="auto"/>
        <w:bottom w:val="none" w:sz="0" w:space="0" w:color="auto"/>
        <w:right w:val="none" w:sz="0" w:space="0" w:color="auto"/>
      </w:divBdr>
    </w:div>
    <w:div w:id="1097404772">
      <w:bodyDiv w:val="1"/>
      <w:marLeft w:val="0"/>
      <w:marRight w:val="0"/>
      <w:marTop w:val="0"/>
      <w:marBottom w:val="0"/>
      <w:divBdr>
        <w:top w:val="none" w:sz="0" w:space="0" w:color="auto"/>
        <w:left w:val="none" w:sz="0" w:space="0" w:color="auto"/>
        <w:bottom w:val="none" w:sz="0" w:space="0" w:color="auto"/>
        <w:right w:val="none" w:sz="0" w:space="0" w:color="auto"/>
      </w:divBdr>
    </w:div>
    <w:div w:id="1097406008">
      <w:bodyDiv w:val="1"/>
      <w:marLeft w:val="0"/>
      <w:marRight w:val="0"/>
      <w:marTop w:val="0"/>
      <w:marBottom w:val="0"/>
      <w:divBdr>
        <w:top w:val="none" w:sz="0" w:space="0" w:color="auto"/>
        <w:left w:val="none" w:sz="0" w:space="0" w:color="auto"/>
        <w:bottom w:val="none" w:sz="0" w:space="0" w:color="auto"/>
        <w:right w:val="none" w:sz="0" w:space="0" w:color="auto"/>
      </w:divBdr>
    </w:div>
    <w:div w:id="1097679876">
      <w:bodyDiv w:val="1"/>
      <w:marLeft w:val="0"/>
      <w:marRight w:val="0"/>
      <w:marTop w:val="0"/>
      <w:marBottom w:val="0"/>
      <w:divBdr>
        <w:top w:val="none" w:sz="0" w:space="0" w:color="auto"/>
        <w:left w:val="none" w:sz="0" w:space="0" w:color="auto"/>
        <w:bottom w:val="none" w:sz="0" w:space="0" w:color="auto"/>
        <w:right w:val="none" w:sz="0" w:space="0" w:color="auto"/>
      </w:divBdr>
    </w:div>
    <w:div w:id="1097755249">
      <w:bodyDiv w:val="1"/>
      <w:marLeft w:val="0"/>
      <w:marRight w:val="0"/>
      <w:marTop w:val="0"/>
      <w:marBottom w:val="0"/>
      <w:divBdr>
        <w:top w:val="none" w:sz="0" w:space="0" w:color="auto"/>
        <w:left w:val="none" w:sz="0" w:space="0" w:color="auto"/>
        <w:bottom w:val="none" w:sz="0" w:space="0" w:color="auto"/>
        <w:right w:val="none" w:sz="0" w:space="0" w:color="auto"/>
      </w:divBdr>
    </w:div>
    <w:div w:id="1097822744">
      <w:bodyDiv w:val="1"/>
      <w:marLeft w:val="0"/>
      <w:marRight w:val="0"/>
      <w:marTop w:val="0"/>
      <w:marBottom w:val="0"/>
      <w:divBdr>
        <w:top w:val="none" w:sz="0" w:space="0" w:color="auto"/>
        <w:left w:val="none" w:sz="0" w:space="0" w:color="auto"/>
        <w:bottom w:val="none" w:sz="0" w:space="0" w:color="auto"/>
        <w:right w:val="none" w:sz="0" w:space="0" w:color="auto"/>
      </w:divBdr>
    </w:div>
    <w:div w:id="1097822894">
      <w:bodyDiv w:val="1"/>
      <w:marLeft w:val="0"/>
      <w:marRight w:val="0"/>
      <w:marTop w:val="0"/>
      <w:marBottom w:val="0"/>
      <w:divBdr>
        <w:top w:val="none" w:sz="0" w:space="0" w:color="auto"/>
        <w:left w:val="none" w:sz="0" w:space="0" w:color="auto"/>
        <w:bottom w:val="none" w:sz="0" w:space="0" w:color="auto"/>
        <w:right w:val="none" w:sz="0" w:space="0" w:color="auto"/>
      </w:divBdr>
    </w:div>
    <w:div w:id="1097866509">
      <w:bodyDiv w:val="1"/>
      <w:marLeft w:val="0"/>
      <w:marRight w:val="0"/>
      <w:marTop w:val="0"/>
      <w:marBottom w:val="0"/>
      <w:divBdr>
        <w:top w:val="none" w:sz="0" w:space="0" w:color="auto"/>
        <w:left w:val="none" w:sz="0" w:space="0" w:color="auto"/>
        <w:bottom w:val="none" w:sz="0" w:space="0" w:color="auto"/>
        <w:right w:val="none" w:sz="0" w:space="0" w:color="auto"/>
      </w:divBdr>
    </w:div>
    <w:div w:id="1097943691">
      <w:bodyDiv w:val="1"/>
      <w:marLeft w:val="0"/>
      <w:marRight w:val="0"/>
      <w:marTop w:val="0"/>
      <w:marBottom w:val="0"/>
      <w:divBdr>
        <w:top w:val="none" w:sz="0" w:space="0" w:color="auto"/>
        <w:left w:val="none" w:sz="0" w:space="0" w:color="auto"/>
        <w:bottom w:val="none" w:sz="0" w:space="0" w:color="auto"/>
        <w:right w:val="none" w:sz="0" w:space="0" w:color="auto"/>
      </w:divBdr>
    </w:div>
    <w:div w:id="1098064072">
      <w:bodyDiv w:val="1"/>
      <w:marLeft w:val="0"/>
      <w:marRight w:val="0"/>
      <w:marTop w:val="0"/>
      <w:marBottom w:val="0"/>
      <w:divBdr>
        <w:top w:val="none" w:sz="0" w:space="0" w:color="auto"/>
        <w:left w:val="none" w:sz="0" w:space="0" w:color="auto"/>
        <w:bottom w:val="none" w:sz="0" w:space="0" w:color="auto"/>
        <w:right w:val="none" w:sz="0" w:space="0" w:color="auto"/>
      </w:divBdr>
    </w:div>
    <w:div w:id="1098066461">
      <w:bodyDiv w:val="1"/>
      <w:marLeft w:val="0"/>
      <w:marRight w:val="0"/>
      <w:marTop w:val="0"/>
      <w:marBottom w:val="0"/>
      <w:divBdr>
        <w:top w:val="none" w:sz="0" w:space="0" w:color="auto"/>
        <w:left w:val="none" w:sz="0" w:space="0" w:color="auto"/>
        <w:bottom w:val="none" w:sz="0" w:space="0" w:color="auto"/>
        <w:right w:val="none" w:sz="0" w:space="0" w:color="auto"/>
      </w:divBdr>
    </w:div>
    <w:div w:id="1098135652">
      <w:bodyDiv w:val="1"/>
      <w:marLeft w:val="0"/>
      <w:marRight w:val="0"/>
      <w:marTop w:val="0"/>
      <w:marBottom w:val="0"/>
      <w:divBdr>
        <w:top w:val="none" w:sz="0" w:space="0" w:color="auto"/>
        <w:left w:val="none" w:sz="0" w:space="0" w:color="auto"/>
        <w:bottom w:val="none" w:sz="0" w:space="0" w:color="auto"/>
        <w:right w:val="none" w:sz="0" w:space="0" w:color="auto"/>
      </w:divBdr>
    </w:div>
    <w:div w:id="1098136818">
      <w:bodyDiv w:val="1"/>
      <w:marLeft w:val="0"/>
      <w:marRight w:val="0"/>
      <w:marTop w:val="0"/>
      <w:marBottom w:val="0"/>
      <w:divBdr>
        <w:top w:val="none" w:sz="0" w:space="0" w:color="auto"/>
        <w:left w:val="none" w:sz="0" w:space="0" w:color="auto"/>
        <w:bottom w:val="none" w:sz="0" w:space="0" w:color="auto"/>
        <w:right w:val="none" w:sz="0" w:space="0" w:color="auto"/>
      </w:divBdr>
    </w:div>
    <w:div w:id="1098284503">
      <w:bodyDiv w:val="1"/>
      <w:marLeft w:val="0"/>
      <w:marRight w:val="0"/>
      <w:marTop w:val="0"/>
      <w:marBottom w:val="0"/>
      <w:divBdr>
        <w:top w:val="none" w:sz="0" w:space="0" w:color="auto"/>
        <w:left w:val="none" w:sz="0" w:space="0" w:color="auto"/>
        <w:bottom w:val="none" w:sz="0" w:space="0" w:color="auto"/>
        <w:right w:val="none" w:sz="0" w:space="0" w:color="auto"/>
      </w:divBdr>
    </w:div>
    <w:div w:id="1098405692">
      <w:bodyDiv w:val="1"/>
      <w:marLeft w:val="0"/>
      <w:marRight w:val="0"/>
      <w:marTop w:val="0"/>
      <w:marBottom w:val="0"/>
      <w:divBdr>
        <w:top w:val="none" w:sz="0" w:space="0" w:color="auto"/>
        <w:left w:val="none" w:sz="0" w:space="0" w:color="auto"/>
        <w:bottom w:val="none" w:sz="0" w:space="0" w:color="auto"/>
        <w:right w:val="none" w:sz="0" w:space="0" w:color="auto"/>
      </w:divBdr>
    </w:div>
    <w:div w:id="1098406713">
      <w:bodyDiv w:val="1"/>
      <w:marLeft w:val="0"/>
      <w:marRight w:val="0"/>
      <w:marTop w:val="0"/>
      <w:marBottom w:val="0"/>
      <w:divBdr>
        <w:top w:val="none" w:sz="0" w:space="0" w:color="auto"/>
        <w:left w:val="none" w:sz="0" w:space="0" w:color="auto"/>
        <w:bottom w:val="none" w:sz="0" w:space="0" w:color="auto"/>
        <w:right w:val="none" w:sz="0" w:space="0" w:color="auto"/>
      </w:divBdr>
    </w:div>
    <w:div w:id="1098520777">
      <w:bodyDiv w:val="1"/>
      <w:marLeft w:val="0"/>
      <w:marRight w:val="0"/>
      <w:marTop w:val="0"/>
      <w:marBottom w:val="0"/>
      <w:divBdr>
        <w:top w:val="none" w:sz="0" w:space="0" w:color="auto"/>
        <w:left w:val="none" w:sz="0" w:space="0" w:color="auto"/>
        <w:bottom w:val="none" w:sz="0" w:space="0" w:color="auto"/>
        <w:right w:val="none" w:sz="0" w:space="0" w:color="auto"/>
      </w:divBdr>
    </w:div>
    <w:div w:id="1098598858">
      <w:bodyDiv w:val="1"/>
      <w:marLeft w:val="0"/>
      <w:marRight w:val="0"/>
      <w:marTop w:val="0"/>
      <w:marBottom w:val="0"/>
      <w:divBdr>
        <w:top w:val="none" w:sz="0" w:space="0" w:color="auto"/>
        <w:left w:val="none" w:sz="0" w:space="0" w:color="auto"/>
        <w:bottom w:val="none" w:sz="0" w:space="0" w:color="auto"/>
        <w:right w:val="none" w:sz="0" w:space="0" w:color="auto"/>
      </w:divBdr>
    </w:div>
    <w:div w:id="1098719981">
      <w:bodyDiv w:val="1"/>
      <w:marLeft w:val="0"/>
      <w:marRight w:val="0"/>
      <w:marTop w:val="0"/>
      <w:marBottom w:val="0"/>
      <w:divBdr>
        <w:top w:val="none" w:sz="0" w:space="0" w:color="auto"/>
        <w:left w:val="none" w:sz="0" w:space="0" w:color="auto"/>
        <w:bottom w:val="none" w:sz="0" w:space="0" w:color="auto"/>
        <w:right w:val="none" w:sz="0" w:space="0" w:color="auto"/>
      </w:divBdr>
    </w:div>
    <w:div w:id="1098720070">
      <w:bodyDiv w:val="1"/>
      <w:marLeft w:val="0"/>
      <w:marRight w:val="0"/>
      <w:marTop w:val="0"/>
      <w:marBottom w:val="0"/>
      <w:divBdr>
        <w:top w:val="none" w:sz="0" w:space="0" w:color="auto"/>
        <w:left w:val="none" w:sz="0" w:space="0" w:color="auto"/>
        <w:bottom w:val="none" w:sz="0" w:space="0" w:color="auto"/>
        <w:right w:val="none" w:sz="0" w:space="0" w:color="auto"/>
      </w:divBdr>
    </w:div>
    <w:div w:id="1098789397">
      <w:bodyDiv w:val="1"/>
      <w:marLeft w:val="0"/>
      <w:marRight w:val="0"/>
      <w:marTop w:val="0"/>
      <w:marBottom w:val="0"/>
      <w:divBdr>
        <w:top w:val="none" w:sz="0" w:space="0" w:color="auto"/>
        <w:left w:val="none" w:sz="0" w:space="0" w:color="auto"/>
        <w:bottom w:val="none" w:sz="0" w:space="0" w:color="auto"/>
        <w:right w:val="none" w:sz="0" w:space="0" w:color="auto"/>
      </w:divBdr>
    </w:div>
    <w:div w:id="1098915979">
      <w:bodyDiv w:val="1"/>
      <w:marLeft w:val="0"/>
      <w:marRight w:val="0"/>
      <w:marTop w:val="0"/>
      <w:marBottom w:val="0"/>
      <w:divBdr>
        <w:top w:val="none" w:sz="0" w:space="0" w:color="auto"/>
        <w:left w:val="none" w:sz="0" w:space="0" w:color="auto"/>
        <w:bottom w:val="none" w:sz="0" w:space="0" w:color="auto"/>
        <w:right w:val="none" w:sz="0" w:space="0" w:color="auto"/>
      </w:divBdr>
    </w:div>
    <w:div w:id="1098986738">
      <w:bodyDiv w:val="1"/>
      <w:marLeft w:val="0"/>
      <w:marRight w:val="0"/>
      <w:marTop w:val="0"/>
      <w:marBottom w:val="0"/>
      <w:divBdr>
        <w:top w:val="none" w:sz="0" w:space="0" w:color="auto"/>
        <w:left w:val="none" w:sz="0" w:space="0" w:color="auto"/>
        <w:bottom w:val="none" w:sz="0" w:space="0" w:color="auto"/>
        <w:right w:val="none" w:sz="0" w:space="0" w:color="auto"/>
      </w:divBdr>
    </w:div>
    <w:div w:id="1099064280">
      <w:bodyDiv w:val="1"/>
      <w:marLeft w:val="0"/>
      <w:marRight w:val="0"/>
      <w:marTop w:val="0"/>
      <w:marBottom w:val="0"/>
      <w:divBdr>
        <w:top w:val="none" w:sz="0" w:space="0" w:color="auto"/>
        <w:left w:val="none" w:sz="0" w:space="0" w:color="auto"/>
        <w:bottom w:val="none" w:sz="0" w:space="0" w:color="auto"/>
        <w:right w:val="none" w:sz="0" w:space="0" w:color="auto"/>
      </w:divBdr>
    </w:div>
    <w:div w:id="1099178989">
      <w:bodyDiv w:val="1"/>
      <w:marLeft w:val="0"/>
      <w:marRight w:val="0"/>
      <w:marTop w:val="0"/>
      <w:marBottom w:val="0"/>
      <w:divBdr>
        <w:top w:val="none" w:sz="0" w:space="0" w:color="auto"/>
        <w:left w:val="none" w:sz="0" w:space="0" w:color="auto"/>
        <w:bottom w:val="none" w:sz="0" w:space="0" w:color="auto"/>
        <w:right w:val="none" w:sz="0" w:space="0" w:color="auto"/>
      </w:divBdr>
    </w:div>
    <w:div w:id="1099183059">
      <w:bodyDiv w:val="1"/>
      <w:marLeft w:val="0"/>
      <w:marRight w:val="0"/>
      <w:marTop w:val="0"/>
      <w:marBottom w:val="0"/>
      <w:divBdr>
        <w:top w:val="none" w:sz="0" w:space="0" w:color="auto"/>
        <w:left w:val="none" w:sz="0" w:space="0" w:color="auto"/>
        <w:bottom w:val="none" w:sz="0" w:space="0" w:color="auto"/>
        <w:right w:val="none" w:sz="0" w:space="0" w:color="auto"/>
      </w:divBdr>
    </w:div>
    <w:div w:id="1099250441">
      <w:bodyDiv w:val="1"/>
      <w:marLeft w:val="0"/>
      <w:marRight w:val="0"/>
      <w:marTop w:val="0"/>
      <w:marBottom w:val="0"/>
      <w:divBdr>
        <w:top w:val="none" w:sz="0" w:space="0" w:color="auto"/>
        <w:left w:val="none" w:sz="0" w:space="0" w:color="auto"/>
        <w:bottom w:val="none" w:sz="0" w:space="0" w:color="auto"/>
        <w:right w:val="none" w:sz="0" w:space="0" w:color="auto"/>
      </w:divBdr>
    </w:div>
    <w:div w:id="1099254384">
      <w:bodyDiv w:val="1"/>
      <w:marLeft w:val="0"/>
      <w:marRight w:val="0"/>
      <w:marTop w:val="0"/>
      <w:marBottom w:val="0"/>
      <w:divBdr>
        <w:top w:val="none" w:sz="0" w:space="0" w:color="auto"/>
        <w:left w:val="none" w:sz="0" w:space="0" w:color="auto"/>
        <w:bottom w:val="none" w:sz="0" w:space="0" w:color="auto"/>
        <w:right w:val="none" w:sz="0" w:space="0" w:color="auto"/>
      </w:divBdr>
    </w:div>
    <w:div w:id="1099256906">
      <w:bodyDiv w:val="1"/>
      <w:marLeft w:val="0"/>
      <w:marRight w:val="0"/>
      <w:marTop w:val="0"/>
      <w:marBottom w:val="0"/>
      <w:divBdr>
        <w:top w:val="none" w:sz="0" w:space="0" w:color="auto"/>
        <w:left w:val="none" w:sz="0" w:space="0" w:color="auto"/>
        <w:bottom w:val="none" w:sz="0" w:space="0" w:color="auto"/>
        <w:right w:val="none" w:sz="0" w:space="0" w:color="auto"/>
      </w:divBdr>
    </w:div>
    <w:div w:id="1099328533">
      <w:bodyDiv w:val="1"/>
      <w:marLeft w:val="0"/>
      <w:marRight w:val="0"/>
      <w:marTop w:val="0"/>
      <w:marBottom w:val="0"/>
      <w:divBdr>
        <w:top w:val="none" w:sz="0" w:space="0" w:color="auto"/>
        <w:left w:val="none" w:sz="0" w:space="0" w:color="auto"/>
        <w:bottom w:val="none" w:sz="0" w:space="0" w:color="auto"/>
        <w:right w:val="none" w:sz="0" w:space="0" w:color="auto"/>
      </w:divBdr>
    </w:div>
    <w:div w:id="1099332271">
      <w:bodyDiv w:val="1"/>
      <w:marLeft w:val="0"/>
      <w:marRight w:val="0"/>
      <w:marTop w:val="0"/>
      <w:marBottom w:val="0"/>
      <w:divBdr>
        <w:top w:val="none" w:sz="0" w:space="0" w:color="auto"/>
        <w:left w:val="none" w:sz="0" w:space="0" w:color="auto"/>
        <w:bottom w:val="none" w:sz="0" w:space="0" w:color="auto"/>
        <w:right w:val="none" w:sz="0" w:space="0" w:color="auto"/>
      </w:divBdr>
    </w:div>
    <w:div w:id="1099375376">
      <w:bodyDiv w:val="1"/>
      <w:marLeft w:val="0"/>
      <w:marRight w:val="0"/>
      <w:marTop w:val="0"/>
      <w:marBottom w:val="0"/>
      <w:divBdr>
        <w:top w:val="none" w:sz="0" w:space="0" w:color="auto"/>
        <w:left w:val="none" w:sz="0" w:space="0" w:color="auto"/>
        <w:bottom w:val="none" w:sz="0" w:space="0" w:color="auto"/>
        <w:right w:val="none" w:sz="0" w:space="0" w:color="auto"/>
      </w:divBdr>
    </w:div>
    <w:div w:id="1099521449">
      <w:bodyDiv w:val="1"/>
      <w:marLeft w:val="0"/>
      <w:marRight w:val="0"/>
      <w:marTop w:val="0"/>
      <w:marBottom w:val="0"/>
      <w:divBdr>
        <w:top w:val="none" w:sz="0" w:space="0" w:color="auto"/>
        <w:left w:val="none" w:sz="0" w:space="0" w:color="auto"/>
        <w:bottom w:val="none" w:sz="0" w:space="0" w:color="auto"/>
        <w:right w:val="none" w:sz="0" w:space="0" w:color="auto"/>
      </w:divBdr>
    </w:div>
    <w:div w:id="1099527130">
      <w:bodyDiv w:val="1"/>
      <w:marLeft w:val="0"/>
      <w:marRight w:val="0"/>
      <w:marTop w:val="0"/>
      <w:marBottom w:val="0"/>
      <w:divBdr>
        <w:top w:val="none" w:sz="0" w:space="0" w:color="auto"/>
        <w:left w:val="none" w:sz="0" w:space="0" w:color="auto"/>
        <w:bottom w:val="none" w:sz="0" w:space="0" w:color="auto"/>
        <w:right w:val="none" w:sz="0" w:space="0" w:color="auto"/>
      </w:divBdr>
    </w:div>
    <w:div w:id="1099594638">
      <w:bodyDiv w:val="1"/>
      <w:marLeft w:val="0"/>
      <w:marRight w:val="0"/>
      <w:marTop w:val="0"/>
      <w:marBottom w:val="0"/>
      <w:divBdr>
        <w:top w:val="none" w:sz="0" w:space="0" w:color="auto"/>
        <w:left w:val="none" w:sz="0" w:space="0" w:color="auto"/>
        <w:bottom w:val="none" w:sz="0" w:space="0" w:color="auto"/>
        <w:right w:val="none" w:sz="0" w:space="0" w:color="auto"/>
      </w:divBdr>
    </w:div>
    <w:div w:id="1099594815">
      <w:bodyDiv w:val="1"/>
      <w:marLeft w:val="0"/>
      <w:marRight w:val="0"/>
      <w:marTop w:val="0"/>
      <w:marBottom w:val="0"/>
      <w:divBdr>
        <w:top w:val="none" w:sz="0" w:space="0" w:color="auto"/>
        <w:left w:val="none" w:sz="0" w:space="0" w:color="auto"/>
        <w:bottom w:val="none" w:sz="0" w:space="0" w:color="auto"/>
        <w:right w:val="none" w:sz="0" w:space="0" w:color="auto"/>
      </w:divBdr>
    </w:div>
    <w:div w:id="1099645713">
      <w:bodyDiv w:val="1"/>
      <w:marLeft w:val="0"/>
      <w:marRight w:val="0"/>
      <w:marTop w:val="0"/>
      <w:marBottom w:val="0"/>
      <w:divBdr>
        <w:top w:val="none" w:sz="0" w:space="0" w:color="auto"/>
        <w:left w:val="none" w:sz="0" w:space="0" w:color="auto"/>
        <w:bottom w:val="none" w:sz="0" w:space="0" w:color="auto"/>
        <w:right w:val="none" w:sz="0" w:space="0" w:color="auto"/>
      </w:divBdr>
    </w:div>
    <w:div w:id="1099716825">
      <w:bodyDiv w:val="1"/>
      <w:marLeft w:val="0"/>
      <w:marRight w:val="0"/>
      <w:marTop w:val="0"/>
      <w:marBottom w:val="0"/>
      <w:divBdr>
        <w:top w:val="none" w:sz="0" w:space="0" w:color="auto"/>
        <w:left w:val="none" w:sz="0" w:space="0" w:color="auto"/>
        <w:bottom w:val="none" w:sz="0" w:space="0" w:color="auto"/>
        <w:right w:val="none" w:sz="0" w:space="0" w:color="auto"/>
      </w:divBdr>
    </w:div>
    <w:div w:id="1099957197">
      <w:bodyDiv w:val="1"/>
      <w:marLeft w:val="0"/>
      <w:marRight w:val="0"/>
      <w:marTop w:val="0"/>
      <w:marBottom w:val="0"/>
      <w:divBdr>
        <w:top w:val="none" w:sz="0" w:space="0" w:color="auto"/>
        <w:left w:val="none" w:sz="0" w:space="0" w:color="auto"/>
        <w:bottom w:val="none" w:sz="0" w:space="0" w:color="auto"/>
        <w:right w:val="none" w:sz="0" w:space="0" w:color="auto"/>
      </w:divBdr>
    </w:div>
    <w:div w:id="1099982475">
      <w:bodyDiv w:val="1"/>
      <w:marLeft w:val="0"/>
      <w:marRight w:val="0"/>
      <w:marTop w:val="0"/>
      <w:marBottom w:val="0"/>
      <w:divBdr>
        <w:top w:val="none" w:sz="0" w:space="0" w:color="auto"/>
        <w:left w:val="none" w:sz="0" w:space="0" w:color="auto"/>
        <w:bottom w:val="none" w:sz="0" w:space="0" w:color="auto"/>
        <w:right w:val="none" w:sz="0" w:space="0" w:color="auto"/>
      </w:divBdr>
    </w:div>
    <w:div w:id="1099983606">
      <w:bodyDiv w:val="1"/>
      <w:marLeft w:val="0"/>
      <w:marRight w:val="0"/>
      <w:marTop w:val="0"/>
      <w:marBottom w:val="0"/>
      <w:divBdr>
        <w:top w:val="none" w:sz="0" w:space="0" w:color="auto"/>
        <w:left w:val="none" w:sz="0" w:space="0" w:color="auto"/>
        <w:bottom w:val="none" w:sz="0" w:space="0" w:color="auto"/>
        <w:right w:val="none" w:sz="0" w:space="0" w:color="auto"/>
      </w:divBdr>
    </w:div>
    <w:div w:id="1099984961">
      <w:bodyDiv w:val="1"/>
      <w:marLeft w:val="0"/>
      <w:marRight w:val="0"/>
      <w:marTop w:val="0"/>
      <w:marBottom w:val="0"/>
      <w:divBdr>
        <w:top w:val="none" w:sz="0" w:space="0" w:color="auto"/>
        <w:left w:val="none" w:sz="0" w:space="0" w:color="auto"/>
        <w:bottom w:val="none" w:sz="0" w:space="0" w:color="auto"/>
        <w:right w:val="none" w:sz="0" w:space="0" w:color="auto"/>
      </w:divBdr>
    </w:div>
    <w:div w:id="1100104560">
      <w:bodyDiv w:val="1"/>
      <w:marLeft w:val="0"/>
      <w:marRight w:val="0"/>
      <w:marTop w:val="0"/>
      <w:marBottom w:val="0"/>
      <w:divBdr>
        <w:top w:val="none" w:sz="0" w:space="0" w:color="auto"/>
        <w:left w:val="none" w:sz="0" w:space="0" w:color="auto"/>
        <w:bottom w:val="none" w:sz="0" w:space="0" w:color="auto"/>
        <w:right w:val="none" w:sz="0" w:space="0" w:color="auto"/>
      </w:divBdr>
    </w:div>
    <w:div w:id="1100175883">
      <w:bodyDiv w:val="1"/>
      <w:marLeft w:val="0"/>
      <w:marRight w:val="0"/>
      <w:marTop w:val="0"/>
      <w:marBottom w:val="0"/>
      <w:divBdr>
        <w:top w:val="none" w:sz="0" w:space="0" w:color="auto"/>
        <w:left w:val="none" w:sz="0" w:space="0" w:color="auto"/>
        <w:bottom w:val="none" w:sz="0" w:space="0" w:color="auto"/>
        <w:right w:val="none" w:sz="0" w:space="0" w:color="auto"/>
      </w:divBdr>
    </w:div>
    <w:div w:id="1100299477">
      <w:bodyDiv w:val="1"/>
      <w:marLeft w:val="0"/>
      <w:marRight w:val="0"/>
      <w:marTop w:val="0"/>
      <w:marBottom w:val="0"/>
      <w:divBdr>
        <w:top w:val="none" w:sz="0" w:space="0" w:color="auto"/>
        <w:left w:val="none" w:sz="0" w:space="0" w:color="auto"/>
        <w:bottom w:val="none" w:sz="0" w:space="0" w:color="auto"/>
        <w:right w:val="none" w:sz="0" w:space="0" w:color="auto"/>
      </w:divBdr>
    </w:div>
    <w:div w:id="1100488024">
      <w:bodyDiv w:val="1"/>
      <w:marLeft w:val="0"/>
      <w:marRight w:val="0"/>
      <w:marTop w:val="0"/>
      <w:marBottom w:val="0"/>
      <w:divBdr>
        <w:top w:val="none" w:sz="0" w:space="0" w:color="auto"/>
        <w:left w:val="none" w:sz="0" w:space="0" w:color="auto"/>
        <w:bottom w:val="none" w:sz="0" w:space="0" w:color="auto"/>
        <w:right w:val="none" w:sz="0" w:space="0" w:color="auto"/>
      </w:divBdr>
    </w:div>
    <w:div w:id="1100563882">
      <w:bodyDiv w:val="1"/>
      <w:marLeft w:val="0"/>
      <w:marRight w:val="0"/>
      <w:marTop w:val="0"/>
      <w:marBottom w:val="0"/>
      <w:divBdr>
        <w:top w:val="none" w:sz="0" w:space="0" w:color="auto"/>
        <w:left w:val="none" w:sz="0" w:space="0" w:color="auto"/>
        <w:bottom w:val="none" w:sz="0" w:space="0" w:color="auto"/>
        <w:right w:val="none" w:sz="0" w:space="0" w:color="auto"/>
      </w:divBdr>
    </w:div>
    <w:div w:id="1100567967">
      <w:bodyDiv w:val="1"/>
      <w:marLeft w:val="0"/>
      <w:marRight w:val="0"/>
      <w:marTop w:val="0"/>
      <w:marBottom w:val="0"/>
      <w:divBdr>
        <w:top w:val="none" w:sz="0" w:space="0" w:color="auto"/>
        <w:left w:val="none" w:sz="0" w:space="0" w:color="auto"/>
        <w:bottom w:val="none" w:sz="0" w:space="0" w:color="auto"/>
        <w:right w:val="none" w:sz="0" w:space="0" w:color="auto"/>
      </w:divBdr>
    </w:div>
    <w:div w:id="1100681950">
      <w:bodyDiv w:val="1"/>
      <w:marLeft w:val="0"/>
      <w:marRight w:val="0"/>
      <w:marTop w:val="0"/>
      <w:marBottom w:val="0"/>
      <w:divBdr>
        <w:top w:val="none" w:sz="0" w:space="0" w:color="auto"/>
        <w:left w:val="none" w:sz="0" w:space="0" w:color="auto"/>
        <w:bottom w:val="none" w:sz="0" w:space="0" w:color="auto"/>
        <w:right w:val="none" w:sz="0" w:space="0" w:color="auto"/>
      </w:divBdr>
    </w:div>
    <w:div w:id="1100684651">
      <w:bodyDiv w:val="1"/>
      <w:marLeft w:val="0"/>
      <w:marRight w:val="0"/>
      <w:marTop w:val="0"/>
      <w:marBottom w:val="0"/>
      <w:divBdr>
        <w:top w:val="none" w:sz="0" w:space="0" w:color="auto"/>
        <w:left w:val="none" w:sz="0" w:space="0" w:color="auto"/>
        <w:bottom w:val="none" w:sz="0" w:space="0" w:color="auto"/>
        <w:right w:val="none" w:sz="0" w:space="0" w:color="auto"/>
      </w:divBdr>
    </w:div>
    <w:div w:id="1100838705">
      <w:bodyDiv w:val="1"/>
      <w:marLeft w:val="0"/>
      <w:marRight w:val="0"/>
      <w:marTop w:val="0"/>
      <w:marBottom w:val="0"/>
      <w:divBdr>
        <w:top w:val="none" w:sz="0" w:space="0" w:color="auto"/>
        <w:left w:val="none" w:sz="0" w:space="0" w:color="auto"/>
        <w:bottom w:val="none" w:sz="0" w:space="0" w:color="auto"/>
        <w:right w:val="none" w:sz="0" w:space="0" w:color="auto"/>
      </w:divBdr>
    </w:div>
    <w:div w:id="1100905480">
      <w:bodyDiv w:val="1"/>
      <w:marLeft w:val="0"/>
      <w:marRight w:val="0"/>
      <w:marTop w:val="0"/>
      <w:marBottom w:val="0"/>
      <w:divBdr>
        <w:top w:val="none" w:sz="0" w:space="0" w:color="auto"/>
        <w:left w:val="none" w:sz="0" w:space="0" w:color="auto"/>
        <w:bottom w:val="none" w:sz="0" w:space="0" w:color="auto"/>
        <w:right w:val="none" w:sz="0" w:space="0" w:color="auto"/>
      </w:divBdr>
    </w:div>
    <w:div w:id="1100905615">
      <w:bodyDiv w:val="1"/>
      <w:marLeft w:val="0"/>
      <w:marRight w:val="0"/>
      <w:marTop w:val="0"/>
      <w:marBottom w:val="0"/>
      <w:divBdr>
        <w:top w:val="none" w:sz="0" w:space="0" w:color="auto"/>
        <w:left w:val="none" w:sz="0" w:space="0" w:color="auto"/>
        <w:bottom w:val="none" w:sz="0" w:space="0" w:color="auto"/>
        <w:right w:val="none" w:sz="0" w:space="0" w:color="auto"/>
      </w:divBdr>
    </w:div>
    <w:div w:id="1100948822">
      <w:bodyDiv w:val="1"/>
      <w:marLeft w:val="0"/>
      <w:marRight w:val="0"/>
      <w:marTop w:val="0"/>
      <w:marBottom w:val="0"/>
      <w:divBdr>
        <w:top w:val="none" w:sz="0" w:space="0" w:color="auto"/>
        <w:left w:val="none" w:sz="0" w:space="0" w:color="auto"/>
        <w:bottom w:val="none" w:sz="0" w:space="0" w:color="auto"/>
        <w:right w:val="none" w:sz="0" w:space="0" w:color="auto"/>
      </w:divBdr>
    </w:div>
    <w:div w:id="1101031048">
      <w:bodyDiv w:val="1"/>
      <w:marLeft w:val="0"/>
      <w:marRight w:val="0"/>
      <w:marTop w:val="0"/>
      <w:marBottom w:val="0"/>
      <w:divBdr>
        <w:top w:val="none" w:sz="0" w:space="0" w:color="auto"/>
        <w:left w:val="none" w:sz="0" w:space="0" w:color="auto"/>
        <w:bottom w:val="none" w:sz="0" w:space="0" w:color="auto"/>
        <w:right w:val="none" w:sz="0" w:space="0" w:color="auto"/>
      </w:divBdr>
    </w:div>
    <w:div w:id="1101031844">
      <w:bodyDiv w:val="1"/>
      <w:marLeft w:val="0"/>
      <w:marRight w:val="0"/>
      <w:marTop w:val="0"/>
      <w:marBottom w:val="0"/>
      <w:divBdr>
        <w:top w:val="none" w:sz="0" w:space="0" w:color="auto"/>
        <w:left w:val="none" w:sz="0" w:space="0" w:color="auto"/>
        <w:bottom w:val="none" w:sz="0" w:space="0" w:color="auto"/>
        <w:right w:val="none" w:sz="0" w:space="0" w:color="auto"/>
      </w:divBdr>
    </w:div>
    <w:div w:id="1101073325">
      <w:bodyDiv w:val="1"/>
      <w:marLeft w:val="0"/>
      <w:marRight w:val="0"/>
      <w:marTop w:val="0"/>
      <w:marBottom w:val="0"/>
      <w:divBdr>
        <w:top w:val="none" w:sz="0" w:space="0" w:color="auto"/>
        <w:left w:val="none" w:sz="0" w:space="0" w:color="auto"/>
        <w:bottom w:val="none" w:sz="0" w:space="0" w:color="auto"/>
        <w:right w:val="none" w:sz="0" w:space="0" w:color="auto"/>
      </w:divBdr>
    </w:div>
    <w:div w:id="1101074701">
      <w:bodyDiv w:val="1"/>
      <w:marLeft w:val="0"/>
      <w:marRight w:val="0"/>
      <w:marTop w:val="0"/>
      <w:marBottom w:val="0"/>
      <w:divBdr>
        <w:top w:val="none" w:sz="0" w:space="0" w:color="auto"/>
        <w:left w:val="none" w:sz="0" w:space="0" w:color="auto"/>
        <w:bottom w:val="none" w:sz="0" w:space="0" w:color="auto"/>
        <w:right w:val="none" w:sz="0" w:space="0" w:color="auto"/>
      </w:divBdr>
    </w:div>
    <w:div w:id="1101140802">
      <w:bodyDiv w:val="1"/>
      <w:marLeft w:val="0"/>
      <w:marRight w:val="0"/>
      <w:marTop w:val="0"/>
      <w:marBottom w:val="0"/>
      <w:divBdr>
        <w:top w:val="none" w:sz="0" w:space="0" w:color="auto"/>
        <w:left w:val="none" w:sz="0" w:space="0" w:color="auto"/>
        <w:bottom w:val="none" w:sz="0" w:space="0" w:color="auto"/>
        <w:right w:val="none" w:sz="0" w:space="0" w:color="auto"/>
      </w:divBdr>
    </w:div>
    <w:div w:id="1101293041">
      <w:bodyDiv w:val="1"/>
      <w:marLeft w:val="0"/>
      <w:marRight w:val="0"/>
      <w:marTop w:val="0"/>
      <w:marBottom w:val="0"/>
      <w:divBdr>
        <w:top w:val="none" w:sz="0" w:space="0" w:color="auto"/>
        <w:left w:val="none" w:sz="0" w:space="0" w:color="auto"/>
        <w:bottom w:val="none" w:sz="0" w:space="0" w:color="auto"/>
        <w:right w:val="none" w:sz="0" w:space="0" w:color="auto"/>
      </w:divBdr>
    </w:div>
    <w:div w:id="1101336046">
      <w:bodyDiv w:val="1"/>
      <w:marLeft w:val="0"/>
      <w:marRight w:val="0"/>
      <w:marTop w:val="0"/>
      <w:marBottom w:val="0"/>
      <w:divBdr>
        <w:top w:val="none" w:sz="0" w:space="0" w:color="auto"/>
        <w:left w:val="none" w:sz="0" w:space="0" w:color="auto"/>
        <w:bottom w:val="none" w:sz="0" w:space="0" w:color="auto"/>
        <w:right w:val="none" w:sz="0" w:space="0" w:color="auto"/>
      </w:divBdr>
    </w:div>
    <w:div w:id="1101485866">
      <w:bodyDiv w:val="1"/>
      <w:marLeft w:val="0"/>
      <w:marRight w:val="0"/>
      <w:marTop w:val="0"/>
      <w:marBottom w:val="0"/>
      <w:divBdr>
        <w:top w:val="none" w:sz="0" w:space="0" w:color="auto"/>
        <w:left w:val="none" w:sz="0" w:space="0" w:color="auto"/>
        <w:bottom w:val="none" w:sz="0" w:space="0" w:color="auto"/>
        <w:right w:val="none" w:sz="0" w:space="0" w:color="auto"/>
      </w:divBdr>
    </w:div>
    <w:div w:id="1101533816">
      <w:bodyDiv w:val="1"/>
      <w:marLeft w:val="0"/>
      <w:marRight w:val="0"/>
      <w:marTop w:val="0"/>
      <w:marBottom w:val="0"/>
      <w:divBdr>
        <w:top w:val="none" w:sz="0" w:space="0" w:color="auto"/>
        <w:left w:val="none" w:sz="0" w:space="0" w:color="auto"/>
        <w:bottom w:val="none" w:sz="0" w:space="0" w:color="auto"/>
        <w:right w:val="none" w:sz="0" w:space="0" w:color="auto"/>
      </w:divBdr>
    </w:div>
    <w:div w:id="1101606143">
      <w:bodyDiv w:val="1"/>
      <w:marLeft w:val="0"/>
      <w:marRight w:val="0"/>
      <w:marTop w:val="0"/>
      <w:marBottom w:val="0"/>
      <w:divBdr>
        <w:top w:val="none" w:sz="0" w:space="0" w:color="auto"/>
        <w:left w:val="none" w:sz="0" w:space="0" w:color="auto"/>
        <w:bottom w:val="none" w:sz="0" w:space="0" w:color="auto"/>
        <w:right w:val="none" w:sz="0" w:space="0" w:color="auto"/>
      </w:divBdr>
    </w:div>
    <w:div w:id="1101607163">
      <w:bodyDiv w:val="1"/>
      <w:marLeft w:val="0"/>
      <w:marRight w:val="0"/>
      <w:marTop w:val="0"/>
      <w:marBottom w:val="0"/>
      <w:divBdr>
        <w:top w:val="none" w:sz="0" w:space="0" w:color="auto"/>
        <w:left w:val="none" w:sz="0" w:space="0" w:color="auto"/>
        <w:bottom w:val="none" w:sz="0" w:space="0" w:color="auto"/>
        <w:right w:val="none" w:sz="0" w:space="0" w:color="auto"/>
      </w:divBdr>
    </w:div>
    <w:div w:id="1101680983">
      <w:bodyDiv w:val="1"/>
      <w:marLeft w:val="0"/>
      <w:marRight w:val="0"/>
      <w:marTop w:val="0"/>
      <w:marBottom w:val="0"/>
      <w:divBdr>
        <w:top w:val="none" w:sz="0" w:space="0" w:color="auto"/>
        <w:left w:val="none" w:sz="0" w:space="0" w:color="auto"/>
        <w:bottom w:val="none" w:sz="0" w:space="0" w:color="auto"/>
        <w:right w:val="none" w:sz="0" w:space="0" w:color="auto"/>
      </w:divBdr>
    </w:div>
    <w:div w:id="1101946740">
      <w:bodyDiv w:val="1"/>
      <w:marLeft w:val="0"/>
      <w:marRight w:val="0"/>
      <w:marTop w:val="0"/>
      <w:marBottom w:val="0"/>
      <w:divBdr>
        <w:top w:val="none" w:sz="0" w:space="0" w:color="auto"/>
        <w:left w:val="none" w:sz="0" w:space="0" w:color="auto"/>
        <w:bottom w:val="none" w:sz="0" w:space="0" w:color="auto"/>
        <w:right w:val="none" w:sz="0" w:space="0" w:color="auto"/>
      </w:divBdr>
    </w:div>
    <w:div w:id="1101952179">
      <w:bodyDiv w:val="1"/>
      <w:marLeft w:val="0"/>
      <w:marRight w:val="0"/>
      <w:marTop w:val="0"/>
      <w:marBottom w:val="0"/>
      <w:divBdr>
        <w:top w:val="none" w:sz="0" w:space="0" w:color="auto"/>
        <w:left w:val="none" w:sz="0" w:space="0" w:color="auto"/>
        <w:bottom w:val="none" w:sz="0" w:space="0" w:color="auto"/>
        <w:right w:val="none" w:sz="0" w:space="0" w:color="auto"/>
      </w:divBdr>
    </w:div>
    <w:div w:id="1101998399">
      <w:bodyDiv w:val="1"/>
      <w:marLeft w:val="0"/>
      <w:marRight w:val="0"/>
      <w:marTop w:val="0"/>
      <w:marBottom w:val="0"/>
      <w:divBdr>
        <w:top w:val="none" w:sz="0" w:space="0" w:color="auto"/>
        <w:left w:val="none" w:sz="0" w:space="0" w:color="auto"/>
        <w:bottom w:val="none" w:sz="0" w:space="0" w:color="auto"/>
        <w:right w:val="none" w:sz="0" w:space="0" w:color="auto"/>
      </w:divBdr>
    </w:div>
    <w:div w:id="1102144682">
      <w:bodyDiv w:val="1"/>
      <w:marLeft w:val="0"/>
      <w:marRight w:val="0"/>
      <w:marTop w:val="0"/>
      <w:marBottom w:val="0"/>
      <w:divBdr>
        <w:top w:val="none" w:sz="0" w:space="0" w:color="auto"/>
        <w:left w:val="none" w:sz="0" w:space="0" w:color="auto"/>
        <w:bottom w:val="none" w:sz="0" w:space="0" w:color="auto"/>
        <w:right w:val="none" w:sz="0" w:space="0" w:color="auto"/>
      </w:divBdr>
    </w:div>
    <w:div w:id="1102191089">
      <w:bodyDiv w:val="1"/>
      <w:marLeft w:val="0"/>
      <w:marRight w:val="0"/>
      <w:marTop w:val="0"/>
      <w:marBottom w:val="0"/>
      <w:divBdr>
        <w:top w:val="none" w:sz="0" w:space="0" w:color="auto"/>
        <w:left w:val="none" w:sz="0" w:space="0" w:color="auto"/>
        <w:bottom w:val="none" w:sz="0" w:space="0" w:color="auto"/>
        <w:right w:val="none" w:sz="0" w:space="0" w:color="auto"/>
      </w:divBdr>
    </w:div>
    <w:div w:id="1102191811">
      <w:bodyDiv w:val="1"/>
      <w:marLeft w:val="0"/>
      <w:marRight w:val="0"/>
      <w:marTop w:val="0"/>
      <w:marBottom w:val="0"/>
      <w:divBdr>
        <w:top w:val="none" w:sz="0" w:space="0" w:color="auto"/>
        <w:left w:val="none" w:sz="0" w:space="0" w:color="auto"/>
        <w:bottom w:val="none" w:sz="0" w:space="0" w:color="auto"/>
        <w:right w:val="none" w:sz="0" w:space="0" w:color="auto"/>
      </w:divBdr>
    </w:div>
    <w:div w:id="1102260320">
      <w:bodyDiv w:val="1"/>
      <w:marLeft w:val="0"/>
      <w:marRight w:val="0"/>
      <w:marTop w:val="0"/>
      <w:marBottom w:val="0"/>
      <w:divBdr>
        <w:top w:val="none" w:sz="0" w:space="0" w:color="auto"/>
        <w:left w:val="none" w:sz="0" w:space="0" w:color="auto"/>
        <w:bottom w:val="none" w:sz="0" w:space="0" w:color="auto"/>
        <w:right w:val="none" w:sz="0" w:space="0" w:color="auto"/>
      </w:divBdr>
    </w:div>
    <w:div w:id="1102262238">
      <w:bodyDiv w:val="1"/>
      <w:marLeft w:val="0"/>
      <w:marRight w:val="0"/>
      <w:marTop w:val="0"/>
      <w:marBottom w:val="0"/>
      <w:divBdr>
        <w:top w:val="none" w:sz="0" w:space="0" w:color="auto"/>
        <w:left w:val="none" w:sz="0" w:space="0" w:color="auto"/>
        <w:bottom w:val="none" w:sz="0" w:space="0" w:color="auto"/>
        <w:right w:val="none" w:sz="0" w:space="0" w:color="auto"/>
      </w:divBdr>
    </w:div>
    <w:div w:id="1102262545">
      <w:bodyDiv w:val="1"/>
      <w:marLeft w:val="0"/>
      <w:marRight w:val="0"/>
      <w:marTop w:val="0"/>
      <w:marBottom w:val="0"/>
      <w:divBdr>
        <w:top w:val="none" w:sz="0" w:space="0" w:color="auto"/>
        <w:left w:val="none" w:sz="0" w:space="0" w:color="auto"/>
        <w:bottom w:val="none" w:sz="0" w:space="0" w:color="auto"/>
        <w:right w:val="none" w:sz="0" w:space="0" w:color="auto"/>
      </w:divBdr>
    </w:div>
    <w:div w:id="1102384444">
      <w:bodyDiv w:val="1"/>
      <w:marLeft w:val="0"/>
      <w:marRight w:val="0"/>
      <w:marTop w:val="0"/>
      <w:marBottom w:val="0"/>
      <w:divBdr>
        <w:top w:val="none" w:sz="0" w:space="0" w:color="auto"/>
        <w:left w:val="none" w:sz="0" w:space="0" w:color="auto"/>
        <w:bottom w:val="none" w:sz="0" w:space="0" w:color="auto"/>
        <w:right w:val="none" w:sz="0" w:space="0" w:color="auto"/>
      </w:divBdr>
    </w:div>
    <w:div w:id="1102384825">
      <w:bodyDiv w:val="1"/>
      <w:marLeft w:val="0"/>
      <w:marRight w:val="0"/>
      <w:marTop w:val="0"/>
      <w:marBottom w:val="0"/>
      <w:divBdr>
        <w:top w:val="none" w:sz="0" w:space="0" w:color="auto"/>
        <w:left w:val="none" w:sz="0" w:space="0" w:color="auto"/>
        <w:bottom w:val="none" w:sz="0" w:space="0" w:color="auto"/>
        <w:right w:val="none" w:sz="0" w:space="0" w:color="auto"/>
      </w:divBdr>
    </w:div>
    <w:div w:id="1102408805">
      <w:bodyDiv w:val="1"/>
      <w:marLeft w:val="0"/>
      <w:marRight w:val="0"/>
      <w:marTop w:val="0"/>
      <w:marBottom w:val="0"/>
      <w:divBdr>
        <w:top w:val="none" w:sz="0" w:space="0" w:color="auto"/>
        <w:left w:val="none" w:sz="0" w:space="0" w:color="auto"/>
        <w:bottom w:val="none" w:sz="0" w:space="0" w:color="auto"/>
        <w:right w:val="none" w:sz="0" w:space="0" w:color="auto"/>
      </w:divBdr>
    </w:div>
    <w:div w:id="1102409599">
      <w:bodyDiv w:val="1"/>
      <w:marLeft w:val="0"/>
      <w:marRight w:val="0"/>
      <w:marTop w:val="0"/>
      <w:marBottom w:val="0"/>
      <w:divBdr>
        <w:top w:val="none" w:sz="0" w:space="0" w:color="auto"/>
        <w:left w:val="none" w:sz="0" w:space="0" w:color="auto"/>
        <w:bottom w:val="none" w:sz="0" w:space="0" w:color="auto"/>
        <w:right w:val="none" w:sz="0" w:space="0" w:color="auto"/>
      </w:divBdr>
    </w:div>
    <w:div w:id="1102413196">
      <w:bodyDiv w:val="1"/>
      <w:marLeft w:val="0"/>
      <w:marRight w:val="0"/>
      <w:marTop w:val="0"/>
      <w:marBottom w:val="0"/>
      <w:divBdr>
        <w:top w:val="none" w:sz="0" w:space="0" w:color="auto"/>
        <w:left w:val="none" w:sz="0" w:space="0" w:color="auto"/>
        <w:bottom w:val="none" w:sz="0" w:space="0" w:color="auto"/>
        <w:right w:val="none" w:sz="0" w:space="0" w:color="auto"/>
      </w:divBdr>
    </w:div>
    <w:div w:id="1102454713">
      <w:bodyDiv w:val="1"/>
      <w:marLeft w:val="0"/>
      <w:marRight w:val="0"/>
      <w:marTop w:val="0"/>
      <w:marBottom w:val="0"/>
      <w:divBdr>
        <w:top w:val="none" w:sz="0" w:space="0" w:color="auto"/>
        <w:left w:val="none" w:sz="0" w:space="0" w:color="auto"/>
        <w:bottom w:val="none" w:sz="0" w:space="0" w:color="auto"/>
        <w:right w:val="none" w:sz="0" w:space="0" w:color="auto"/>
      </w:divBdr>
    </w:div>
    <w:div w:id="1102457628">
      <w:bodyDiv w:val="1"/>
      <w:marLeft w:val="0"/>
      <w:marRight w:val="0"/>
      <w:marTop w:val="0"/>
      <w:marBottom w:val="0"/>
      <w:divBdr>
        <w:top w:val="none" w:sz="0" w:space="0" w:color="auto"/>
        <w:left w:val="none" w:sz="0" w:space="0" w:color="auto"/>
        <w:bottom w:val="none" w:sz="0" w:space="0" w:color="auto"/>
        <w:right w:val="none" w:sz="0" w:space="0" w:color="auto"/>
      </w:divBdr>
    </w:div>
    <w:div w:id="1102530150">
      <w:bodyDiv w:val="1"/>
      <w:marLeft w:val="0"/>
      <w:marRight w:val="0"/>
      <w:marTop w:val="0"/>
      <w:marBottom w:val="0"/>
      <w:divBdr>
        <w:top w:val="none" w:sz="0" w:space="0" w:color="auto"/>
        <w:left w:val="none" w:sz="0" w:space="0" w:color="auto"/>
        <w:bottom w:val="none" w:sz="0" w:space="0" w:color="auto"/>
        <w:right w:val="none" w:sz="0" w:space="0" w:color="auto"/>
      </w:divBdr>
    </w:div>
    <w:div w:id="1102531873">
      <w:bodyDiv w:val="1"/>
      <w:marLeft w:val="0"/>
      <w:marRight w:val="0"/>
      <w:marTop w:val="0"/>
      <w:marBottom w:val="0"/>
      <w:divBdr>
        <w:top w:val="none" w:sz="0" w:space="0" w:color="auto"/>
        <w:left w:val="none" w:sz="0" w:space="0" w:color="auto"/>
        <w:bottom w:val="none" w:sz="0" w:space="0" w:color="auto"/>
        <w:right w:val="none" w:sz="0" w:space="0" w:color="auto"/>
      </w:divBdr>
    </w:div>
    <w:div w:id="1102533066">
      <w:bodyDiv w:val="1"/>
      <w:marLeft w:val="0"/>
      <w:marRight w:val="0"/>
      <w:marTop w:val="0"/>
      <w:marBottom w:val="0"/>
      <w:divBdr>
        <w:top w:val="none" w:sz="0" w:space="0" w:color="auto"/>
        <w:left w:val="none" w:sz="0" w:space="0" w:color="auto"/>
        <w:bottom w:val="none" w:sz="0" w:space="0" w:color="auto"/>
        <w:right w:val="none" w:sz="0" w:space="0" w:color="auto"/>
      </w:divBdr>
    </w:div>
    <w:div w:id="1102534842">
      <w:bodyDiv w:val="1"/>
      <w:marLeft w:val="0"/>
      <w:marRight w:val="0"/>
      <w:marTop w:val="0"/>
      <w:marBottom w:val="0"/>
      <w:divBdr>
        <w:top w:val="none" w:sz="0" w:space="0" w:color="auto"/>
        <w:left w:val="none" w:sz="0" w:space="0" w:color="auto"/>
        <w:bottom w:val="none" w:sz="0" w:space="0" w:color="auto"/>
        <w:right w:val="none" w:sz="0" w:space="0" w:color="auto"/>
      </w:divBdr>
    </w:div>
    <w:div w:id="1102647648">
      <w:bodyDiv w:val="1"/>
      <w:marLeft w:val="0"/>
      <w:marRight w:val="0"/>
      <w:marTop w:val="0"/>
      <w:marBottom w:val="0"/>
      <w:divBdr>
        <w:top w:val="none" w:sz="0" w:space="0" w:color="auto"/>
        <w:left w:val="none" w:sz="0" w:space="0" w:color="auto"/>
        <w:bottom w:val="none" w:sz="0" w:space="0" w:color="auto"/>
        <w:right w:val="none" w:sz="0" w:space="0" w:color="auto"/>
      </w:divBdr>
    </w:div>
    <w:div w:id="1102649859">
      <w:bodyDiv w:val="1"/>
      <w:marLeft w:val="0"/>
      <w:marRight w:val="0"/>
      <w:marTop w:val="0"/>
      <w:marBottom w:val="0"/>
      <w:divBdr>
        <w:top w:val="none" w:sz="0" w:space="0" w:color="auto"/>
        <w:left w:val="none" w:sz="0" w:space="0" w:color="auto"/>
        <w:bottom w:val="none" w:sz="0" w:space="0" w:color="auto"/>
        <w:right w:val="none" w:sz="0" w:space="0" w:color="auto"/>
      </w:divBdr>
    </w:div>
    <w:div w:id="1102916770">
      <w:bodyDiv w:val="1"/>
      <w:marLeft w:val="0"/>
      <w:marRight w:val="0"/>
      <w:marTop w:val="0"/>
      <w:marBottom w:val="0"/>
      <w:divBdr>
        <w:top w:val="none" w:sz="0" w:space="0" w:color="auto"/>
        <w:left w:val="none" w:sz="0" w:space="0" w:color="auto"/>
        <w:bottom w:val="none" w:sz="0" w:space="0" w:color="auto"/>
        <w:right w:val="none" w:sz="0" w:space="0" w:color="auto"/>
      </w:divBdr>
    </w:div>
    <w:div w:id="1103040087">
      <w:bodyDiv w:val="1"/>
      <w:marLeft w:val="0"/>
      <w:marRight w:val="0"/>
      <w:marTop w:val="0"/>
      <w:marBottom w:val="0"/>
      <w:divBdr>
        <w:top w:val="none" w:sz="0" w:space="0" w:color="auto"/>
        <w:left w:val="none" w:sz="0" w:space="0" w:color="auto"/>
        <w:bottom w:val="none" w:sz="0" w:space="0" w:color="auto"/>
        <w:right w:val="none" w:sz="0" w:space="0" w:color="auto"/>
      </w:divBdr>
    </w:div>
    <w:div w:id="1103257656">
      <w:bodyDiv w:val="1"/>
      <w:marLeft w:val="0"/>
      <w:marRight w:val="0"/>
      <w:marTop w:val="0"/>
      <w:marBottom w:val="0"/>
      <w:divBdr>
        <w:top w:val="none" w:sz="0" w:space="0" w:color="auto"/>
        <w:left w:val="none" w:sz="0" w:space="0" w:color="auto"/>
        <w:bottom w:val="none" w:sz="0" w:space="0" w:color="auto"/>
        <w:right w:val="none" w:sz="0" w:space="0" w:color="auto"/>
      </w:divBdr>
    </w:div>
    <w:div w:id="1103452677">
      <w:bodyDiv w:val="1"/>
      <w:marLeft w:val="0"/>
      <w:marRight w:val="0"/>
      <w:marTop w:val="0"/>
      <w:marBottom w:val="0"/>
      <w:divBdr>
        <w:top w:val="none" w:sz="0" w:space="0" w:color="auto"/>
        <w:left w:val="none" w:sz="0" w:space="0" w:color="auto"/>
        <w:bottom w:val="none" w:sz="0" w:space="0" w:color="auto"/>
        <w:right w:val="none" w:sz="0" w:space="0" w:color="auto"/>
      </w:divBdr>
    </w:div>
    <w:div w:id="1103576781">
      <w:bodyDiv w:val="1"/>
      <w:marLeft w:val="0"/>
      <w:marRight w:val="0"/>
      <w:marTop w:val="0"/>
      <w:marBottom w:val="0"/>
      <w:divBdr>
        <w:top w:val="none" w:sz="0" w:space="0" w:color="auto"/>
        <w:left w:val="none" w:sz="0" w:space="0" w:color="auto"/>
        <w:bottom w:val="none" w:sz="0" w:space="0" w:color="auto"/>
        <w:right w:val="none" w:sz="0" w:space="0" w:color="auto"/>
      </w:divBdr>
    </w:div>
    <w:div w:id="1103645046">
      <w:bodyDiv w:val="1"/>
      <w:marLeft w:val="0"/>
      <w:marRight w:val="0"/>
      <w:marTop w:val="0"/>
      <w:marBottom w:val="0"/>
      <w:divBdr>
        <w:top w:val="none" w:sz="0" w:space="0" w:color="auto"/>
        <w:left w:val="none" w:sz="0" w:space="0" w:color="auto"/>
        <w:bottom w:val="none" w:sz="0" w:space="0" w:color="auto"/>
        <w:right w:val="none" w:sz="0" w:space="0" w:color="auto"/>
      </w:divBdr>
    </w:div>
    <w:div w:id="1103651592">
      <w:bodyDiv w:val="1"/>
      <w:marLeft w:val="0"/>
      <w:marRight w:val="0"/>
      <w:marTop w:val="0"/>
      <w:marBottom w:val="0"/>
      <w:divBdr>
        <w:top w:val="none" w:sz="0" w:space="0" w:color="auto"/>
        <w:left w:val="none" w:sz="0" w:space="0" w:color="auto"/>
        <w:bottom w:val="none" w:sz="0" w:space="0" w:color="auto"/>
        <w:right w:val="none" w:sz="0" w:space="0" w:color="auto"/>
      </w:divBdr>
    </w:div>
    <w:div w:id="1103692608">
      <w:bodyDiv w:val="1"/>
      <w:marLeft w:val="0"/>
      <w:marRight w:val="0"/>
      <w:marTop w:val="0"/>
      <w:marBottom w:val="0"/>
      <w:divBdr>
        <w:top w:val="none" w:sz="0" w:space="0" w:color="auto"/>
        <w:left w:val="none" w:sz="0" w:space="0" w:color="auto"/>
        <w:bottom w:val="none" w:sz="0" w:space="0" w:color="auto"/>
        <w:right w:val="none" w:sz="0" w:space="0" w:color="auto"/>
      </w:divBdr>
    </w:div>
    <w:div w:id="1103839866">
      <w:bodyDiv w:val="1"/>
      <w:marLeft w:val="0"/>
      <w:marRight w:val="0"/>
      <w:marTop w:val="0"/>
      <w:marBottom w:val="0"/>
      <w:divBdr>
        <w:top w:val="none" w:sz="0" w:space="0" w:color="auto"/>
        <w:left w:val="none" w:sz="0" w:space="0" w:color="auto"/>
        <w:bottom w:val="none" w:sz="0" w:space="0" w:color="auto"/>
        <w:right w:val="none" w:sz="0" w:space="0" w:color="auto"/>
      </w:divBdr>
    </w:div>
    <w:div w:id="1103915941">
      <w:bodyDiv w:val="1"/>
      <w:marLeft w:val="0"/>
      <w:marRight w:val="0"/>
      <w:marTop w:val="0"/>
      <w:marBottom w:val="0"/>
      <w:divBdr>
        <w:top w:val="none" w:sz="0" w:space="0" w:color="auto"/>
        <w:left w:val="none" w:sz="0" w:space="0" w:color="auto"/>
        <w:bottom w:val="none" w:sz="0" w:space="0" w:color="auto"/>
        <w:right w:val="none" w:sz="0" w:space="0" w:color="auto"/>
      </w:divBdr>
    </w:div>
    <w:div w:id="1103919232">
      <w:bodyDiv w:val="1"/>
      <w:marLeft w:val="0"/>
      <w:marRight w:val="0"/>
      <w:marTop w:val="0"/>
      <w:marBottom w:val="0"/>
      <w:divBdr>
        <w:top w:val="none" w:sz="0" w:space="0" w:color="auto"/>
        <w:left w:val="none" w:sz="0" w:space="0" w:color="auto"/>
        <w:bottom w:val="none" w:sz="0" w:space="0" w:color="auto"/>
        <w:right w:val="none" w:sz="0" w:space="0" w:color="auto"/>
      </w:divBdr>
    </w:div>
    <w:div w:id="1103956130">
      <w:bodyDiv w:val="1"/>
      <w:marLeft w:val="0"/>
      <w:marRight w:val="0"/>
      <w:marTop w:val="0"/>
      <w:marBottom w:val="0"/>
      <w:divBdr>
        <w:top w:val="none" w:sz="0" w:space="0" w:color="auto"/>
        <w:left w:val="none" w:sz="0" w:space="0" w:color="auto"/>
        <w:bottom w:val="none" w:sz="0" w:space="0" w:color="auto"/>
        <w:right w:val="none" w:sz="0" w:space="0" w:color="auto"/>
      </w:divBdr>
    </w:div>
    <w:div w:id="1104035194">
      <w:bodyDiv w:val="1"/>
      <w:marLeft w:val="0"/>
      <w:marRight w:val="0"/>
      <w:marTop w:val="0"/>
      <w:marBottom w:val="0"/>
      <w:divBdr>
        <w:top w:val="none" w:sz="0" w:space="0" w:color="auto"/>
        <w:left w:val="none" w:sz="0" w:space="0" w:color="auto"/>
        <w:bottom w:val="none" w:sz="0" w:space="0" w:color="auto"/>
        <w:right w:val="none" w:sz="0" w:space="0" w:color="auto"/>
      </w:divBdr>
    </w:div>
    <w:div w:id="1104155641">
      <w:bodyDiv w:val="1"/>
      <w:marLeft w:val="0"/>
      <w:marRight w:val="0"/>
      <w:marTop w:val="0"/>
      <w:marBottom w:val="0"/>
      <w:divBdr>
        <w:top w:val="none" w:sz="0" w:space="0" w:color="auto"/>
        <w:left w:val="none" w:sz="0" w:space="0" w:color="auto"/>
        <w:bottom w:val="none" w:sz="0" w:space="0" w:color="auto"/>
        <w:right w:val="none" w:sz="0" w:space="0" w:color="auto"/>
      </w:divBdr>
    </w:div>
    <w:div w:id="1104233451">
      <w:bodyDiv w:val="1"/>
      <w:marLeft w:val="0"/>
      <w:marRight w:val="0"/>
      <w:marTop w:val="0"/>
      <w:marBottom w:val="0"/>
      <w:divBdr>
        <w:top w:val="none" w:sz="0" w:space="0" w:color="auto"/>
        <w:left w:val="none" w:sz="0" w:space="0" w:color="auto"/>
        <w:bottom w:val="none" w:sz="0" w:space="0" w:color="auto"/>
        <w:right w:val="none" w:sz="0" w:space="0" w:color="auto"/>
      </w:divBdr>
    </w:div>
    <w:div w:id="1104349518">
      <w:bodyDiv w:val="1"/>
      <w:marLeft w:val="0"/>
      <w:marRight w:val="0"/>
      <w:marTop w:val="0"/>
      <w:marBottom w:val="0"/>
      <w:divBdr>
        <w:top w:val="none" w:sz="0" w:space="0" w:color="auto"/>
        <w:left w:val="none" w:sz="0" w:space="0" w:color="auto"/>
        <w:bottom w:val="none" w:sz="0" w:space="0" w:color="auto"/>
        <w:right w:val="none" w:sz="0" w:space="0" w:color="auto"/>
      </w:divBdr>
    </w:div>
    <w:div w:id="1104378958">
      <w:bodyDiv w:val="1"/>
      <w:marLeft w:val="0"/>
      <w:marRight w:val="0"/>
      <w:marTop w:val="0"/>
      <w:marBottom w:val="0"/>
      <w:divBdr>
        <w:top w:val="none" w:sz="0" w:space="0" w:color="auto"/>
        <w:left w:val="none" w:sz="0" w:space="0" w:color="auto"/>
        <w:bottom w:val="none" w:sz="0" w:space="0" w:color="auto"/>
        <w:right w:val="none" w:sz="0" w:space="0" w:color="auto"/>
      </w:divBdr>
    </w:div>
    <w:div w:id="1104417911">
      <w:bodyDiv w:val="1"/>
      <w:marLeft w:val="0"/>
      <w:marRight w:val="0"/>
      <w:marTop w:val="0"/>
      <w:marBottom w:val="0"/>
      <w:divBdr>
        <w:top w:val="none" w:sz="0" w:space="0" w:color="auto"/>
        <w:left w:val="none" w:sz="0" w:space="0" w:color="auto"/>
        <w:bottom w:val="none" w:sz="0" w:space="0" w:color="auto"/>
        <w:right w:val="none" w:sz="0" w:space="0" w:color="auto"/>
      </w:divBdr>
    </w:div>
    <w:div w:id="1104423593">
      <w:bodyDiv w:val="1"/>
      <w:marLeft w:val="0"/>
      <w:marRight w:val="0"/>
      <w:marTop w:val="0"/>
      <w:marBottom w:val="0"/>
      <w:divBdr>
        <w:top w:val="none" w:sz="0" w:space="0" w:color="auto"/>
        <w:left w:val="none" w:sz="0" w:space="0" w:color="auto"/>
        <w:bottom w:val="none" w:sz="0" w:space="0" w:color="auto"/>
        <w:right w:val="none" w:sz="0" w:space="0" w:color="auto"/>
      </w:divBdr>
    </w:div>
    <w:div w:id="1104568583">
      <w:bodyDiv w:val="1"/>
      <w:marLeft w:val="0"/>
      <w:marRight w:val="0"/>
      <w:marTop w:val="0"/>
      <w:marBottom w:val="0"/>
      <w:divBdr>
        <w:top w:val="none" w:sz="0" w:space="0" w:color="auto"/>
        <w:left w:val="none" w:sz="0" w:space="0" w:color="auto"/>
        <w:bottom w:val="none" w:sz="0" w:space="0" w:color="auto"/>
        <w:right w:val="none" w:sz="0" w:space="0" w:color="auto"/>
      </w:divBdr>
    </w:div>
    <w:div w:id="1104613643">
      <w:bodyDiv w:val="1"/>
      <w:marLeft w:val="0"/>
      <w:marRight w:val="0"/>
      <w:marTop w:val="0"/>
      <w:marBottom w:val="0"/>
      <w:divBdr>
        <w:top w:val="none" w:sz="0" w:space="0" w:color="auto"/>
        <w:left w:val="none" w:sz="0" w:space="0" w:color="auto"/>
        <w:bottom w:val="none" w:sz="0" w:space="0" w:color="auto"/>
        <w:right w:val="none" w:sz="0" w:space="0" w:color="auto"/>
      </w:divBdr>
    </w:div>
    <w:div w:id="1104686071">
      <w:bodyDiv w:val="1"/>
      <w:marLeft w:val="0"/>
      <w:marRight w:val="0"/>
      <w:marTop w:val="0"/>
      <w:marBottom w:val="0"/>
      <w:divBdr>
        <w:top w:val="none" w:sz="0" w:space="0" w:color="auto"/>
        <w:left w:val="none" w:sz="0" w:space="0" w:color="auto"/>
        <w:bottom w:val="none" w:sz="0" w:space="0" w:color="auto"/>
        <w:right w:val="none" w:sz="0" w:space="0" w:color="auto"/>
      </w:divBdr>
    </w:div>
    <w:div w:id="1104765063">
      <w:bodyDiv w:val="1"/>
      <w:marLeft w:val="0"/>
      <w:marRight w:val="0"/>
      <w:marTop w:val="0"/>
      <w:marBottom w:val="0"/>
      <w:divBdr>
        <w:top w:val="none" w:sz="0" w:space="0" w:color="auto"/>
        <w:left w:val="none" w:sz="0" w:space="0" w:color="auto"/>
        <w:bottom w:val="none" w:sz="0" w:space="0" w:color="auto"/>
        <w:right w:val="none" w:sz="0" w:space="0" w:color="auto"/>
      </w:divBdr>
    </w:div>
    <w:div w:id="1104836639">
      <w:bodyDiv w:val="1"/>
      <w:marLeft w:val="0"/>
      <w:marRight w:val="0"/>
      <w:marTop w:val="0"/>
      <w:marBottom w:val="0"/>
      <w:divBdr>
        <w:top w:val="none" w:sz="0" w:space="0" w:color="auto"/>
        <w:left w:val="none" w:sz="0" w:space="0" w:color="auto"/>
        <w:bottom w:val="none" w:sz="0" w:space="0" w:color="auto"/>
        <w:right w:val="none" w:sz="0" w:space="0" w:color="auto"/>
      </w:divBdr>
    </w:div>
    <w:div w:id="1104882460">
      <w:bodyDiv w:val="1"/>
      <w:marLeft w:val="0"/>
      <w:marRight w:val="0"/>
      <w:marTop w:val="0"/>
      <w:marBottom w:val="0"/>
      <w:divBdr>
        <w:top w:val="none" w:sz="0" w:space="0" w:color="auto"/>
        <w:left w:val="none" w:sz="0" w:space="0" w:color="auto"/>
        <w:bottom w:val="none" w:sz="0" w:space="0" w:color="auto"/>
        <w:right w:val="none" w:sz="0" w:space="0" w:color="auto"/>
      </w:divBdr>
    </w:div>
    <w:div w:id="1104885544">
      <w:bodyDiv w:val="1"/>
      <w:marLeft w:val="0"/>
      <w:marRight w:val="0"/>
      <w:marTop w:val="0"/>
      <w:marBottom w:val="0"/>
      <w:divBdr>
        <w:top w:val="none" w:sz="0" w:space="0" w:color="auto"/>
        <w:left w:val="none" w:sz="0" w:space="0" w:color="auto"/>
        <w:bottom w:val="none" w:sz="0" w:space="0" w:color="auto"/>
        <w:right w:val="none" w:sz="0" w:space="0" w:color="auto"/>
      </w:divBdr>
    </w:div>
    <w:div w:id="1104961209">
      <w:bodyDiv w:val="1"/>
      <w:marLeft w:val="0"/>
      <w:marRight w:val="0"/>
      <w:marTop w:val="0"/>
      <w:marBottom w:val="0"/>
      <w:divBdr>
        <w:top w:val="none" w:sz="0" w:space="0" w:color="auto"/>
        <w:left w:val="none" w:sz="0" w:space="0" w:color="auto"/>
        <w:bottom w:val="none" w:sz="0" w:space="0" w:color="auto"/>
        <w:right w:val="none" w:sz="0" w:space="0" w:color="auto"/>
      </w:divBdr>
    </w:div>
    <w:div w:id="1104963316">
      <w:bodyDiv w:val="1"/>
      <w:marLeft w:val="0"/>
      <w:marRight w:val="0"/>
      <w:marTop w:val="0"/>
      <w:marBottom w:val="0"/>
      <w:divBdr>
        <w:top w:val="none" w:sz="0" w:space="0" w:color="auto"/>
        <w:left w:val="none" w:sz="0" w:space="0" w:color="auto"/>
        <w:bottom w:val="none" w:sz="0" w:space="0" w:color="auto"/>
        <w:right w:val="none" w:sz="0" w:space="0" w:color="auto"/>
      </w:divBdr>
    </w:div>
    <w:div w:id="1105029742">
      <w:bodyDiv w:val="1"/>
      <w:marLeft w:val="0"/>
      <w:marRight w:val="0"/>
      <w:marTop w:val="0"/>
      <w:marBottom w:val="0"/>
      <w:divBdr>
        <w:top w:val="none" w:sz="0" w:space="0" w:color="auto"/>
        <w:left w:val="none" w:sz="0" w:space="0" w:color="auto"/>
        <w:bottom w:val="none" w:sz="0" w:space="0" w:color="auto"/>
        <w:right w:val="none" w:sz="0" w:space="0" w:color="auto"/>
      </w:divBdr>
    </w:div>
    <w:div w:id="1105275052">
      <w:bodyDiv w:val="1"/>
      <w:marLeft w:val="0"/>
      <w:marRight w:val="0"/>
      <w:marTop w:val="0"/>
      <w:marBottom w:val="0"/>
      <w:divBdr>
        <w:top w:val="none" w:sz="0" w:space="0" w:color="auto"/>
        <w:left w:val="none" w:sz="0" w:space="0" w:color="auto"/>
        <w:bottom w:val="none" w:sz="0" w:space="0" w:color="auto"/>
        <w:right w:val="none" w:sz="0" w:space="0" w:color="auto"/>
      </w:divBdr>
    </w:div>
    <w:div w:id="1105416366">
      <w:bodyDiv w:val="1"/>
      <w:marLeft w:val="0"/>
      <w:marRight w:val="0"/>
      <w:marTop w:val="0"/>
      <w:marBottom w:val="0"/>
      <w:divBdr>
        <w:top w:val="none" w:sz="0" w:space="0" w:color="auto"/>
        <w:left w:val="none" w:sz="0" w:space="0" w:color="auto"/>
        <w:bottom w:val="none" w:sz="0" w:space="0" w:color="auto"/>
        <w:right w:val="none" w:sz="0" w:space="0" w:color="auto"/>
      </w:divBdr>
    </w:div>
    <w:div w:id="1105420556">
      <w:bodyDiv w:val="1"/>
      <w:marLeft w:val="0"/>
      <w:marRight w:val="0"/>
      <w:marTop w:val="0"/>
      <w:marBottom w:val="0"/>
      <w:divBdr>
        <w:top w:val="none" w:sz="0" w:space="0" w:color="auto"/>
        <w:left w:val="none" w:sz="0" w:space="0" w:color="auto"/>
        <w:bottom w:val="none" w:sz="0" w:space="0" w:color="auto"/>
        <w:right w:val="none" w:sz="0" w:space="0" w:color="auto"/>
      </w:divBdr>
    </w:div>
    <w:div w:id="1105421906">
      <w:bodyDiv w:val="1"/>
      <w:marLeft w:val="0"/>
      <w:marRight w:val="0"/>
      <w:marTop w:val="0"/>
      <w:marBottom w:val="0"/>
      <w:divBdr>
        <w:top w:val="none" w:sz="0" w:space="0" w:color="auto"/>
        <w:left w:val="none" w:sz="0" w:space="0" w:color="auto"/>
        <w:bottom w:val="none" w:sz="0" w:space="0" w:color="auto"/>
        <w:right w:val="none" w:sz="0" w:space="0" w:color="auto"/>
      </w:divBdr>
    </w:div>
    <w:div w:id="1105421945">
      <w:bodyDiv w:val="1"/>
      <w:marLeft w:val="0"/>
      <w:marRight w:val="0"/>
      <w:marTop w:val="0"/>
      <w:marBottom w:val="0"/>
      <w:divBdr>
        <w:top w:val="none" w:sz="0" w:space="0" w:color="auto"/>
        <w:left w:val="none" w:sz="0" w:space="0" w:color="auto"/>
        <w:bottom w:val="none" w:sz="0" w:space="0" w:color="auto"/>
        <w:right w:val="none" w:sz="0" w:space="0" w:color="auto"/>
      </w:divBdr>
    </w:div>
    <w:div w:id="1105612812">
      <w:bodyDiv w:val="1"/>
      <w:marLeft w:val="0"/>
      <w:marRight w:val="0"/>
      <w:marTop w:val="0"/>
      <w:marBottom w:val="0"/>
      <w:divBdr>
        <w:top w:val="none" w:sz="0" w:space="0" w:color="auto"/>
        <w:left w:val="none" w:sz="0" w:space="0" w:color="auto"/>
        <w:bottom w:val="none" w:sz="0" w:space="0" w:color="auto"/>
        <w:right w:val="none" w:sz="0" w:space="0" w:color="auto"/>
      </w:divBdr>
    </w:div>
    <w:div w:id="1105688320">
      <w:bodyDiv w:val="1"/>
      <w:marLeft w:val="0"/>
      <w:marRight w:val="0"/>
      <w:marTop w:val="0"/>
      <w:marBottom w:val="0"/>
      <w:divBdr>
        <w:top w:val="none" w:sz="0" w:space="0" w:color="auto"/>
        <w:left w:val="none" w:sz="0" w:space="0" w:color="auto"/>
        <w:bottom w:val="none" w:sz="0" w:space="0" w:color="auto"/>
        <w:right w:val="none" w:sz="0" w:space="0" w:color="auto"/>
      </w:divBdr>
    </w:div>
    <w:div w:id="1105737181">
      <w:bodyDiv w:val="1"/>
      <w:marLeft w:val="0"/>
      <w:marRight w:val="0"/>
      <w:marTop w:val="0"/>
      <w:marBottom w:val="0"/>
      <w:divBdr>
        <w:top w:val="none" w:sz="0" w:space="0" w:color="auto"/>
        <w:left w:val="none" w:sz="0" w:space="0" w:color="auto"/>
        <w:bottom w:val="none" w:sz="0" w:space="0" w:color="auto"/>
        <w:right w:val="none" w:sz="0" w:space="0" w:color="auto"/>
      </w:divBdr>
    </w:div>
    <w:div w:id="1105807619">
      <w:bodyDiv w:val="1"/>
      <w:marLeft w:val="0"/>
      <w:marRight w:val="0"/>
      <w:marTop w:val="0"/>
      <w:marBottom w:val="0"/>
      <w:divBdr>
        <w:top w:val="none" w:sz="0" w:space="0" w:color="auto"/>
        <w:left w:val="none" w:sz="0" w:space="0" w:color="auto"/>
        <w:bottom w:val="none" w:sz="0" w:space="0" w:color="auto"/>
        <w:right w:val="none" w:sz="0" w:space="0" w:color="auto"/>
      </w:divBdr>
    </w:div>
    <w:div w:id="1105808134">
      <w:bodyDiv w:val="1"/>
      <w:marLeft w:val="0"/>
      <w:marRight w:val="0"/>
      <w:marTop w:val="0"/>
      <w:marBottom w:val="0"/>
      <w:divBdr>
        <w:top w:val="none" w:sz="0" w:space="0" w:color="auto"/>
        <w:left w:val="none" w:sz="0" w:space="0" w:color="auto"/>
        <w:bottom w:val="none" w:sz="0" w:space="0" w:color="auto"/>
        <w:right w:val="none" w:sz="0" w:space="0" w:color="auto"/>
      </w:divBdr>
    </w:div>
    <w:div w:id="1105811177">
      <w:bodyDiv w:val="1"/>
      <w:marLeft w:val="0"/>
      <w:marRight w:val="0"/>
      <w:marTop w:val="0"/>
      <w:marBottom w:val="0"/>
      <w:divBdr>
        <w:top w:val="none" w:sz="0" w:space="0" w:color="auto"/>
        <w:left w:val="none" w:sz="0" w:space="0" w:color="auto"/>
        <w:bottom w:val="none" w:sz="0" w:space="0" w:color="auto"/>
        <w:right w:val="none" w:sz="0" w:space="0" w:color="auto"/>
      </w:divBdr>
    </w:div>
    <w:div w:id="1105881489">
      <w:bodyDiv w:val="1"/>
      <w:marLeft w:val="0"/>
      <w:marRight w:val="0"/>
      <w:marTop w:val="0"/>
      <w:marBottom w:val="0"/>
      <w:divBdr>
        <w:top w:val="none" w:sz="0" w:space="0" w:color="auto"/>
        <w:left w:val="none" w:sz="0" w:space="0" w:color="auto"/>
        <w:bottom w:val="none" w:sz="0" w:space="0" w:color="auto"/>
        <w:right w:val="none" w:sz="0" w:space="0" w:color="auto"/>
      </w:divBdr>
    </w:div>
    <w:div w:id="1105884815">
      <w:bodyDiv w:val="1"/>
      <w:marLeft w:val="0"/>
      <w:marRight w:val="0"/>
      <w:marTop w:val="0"/>
      <w:marBottom w:val="0"/>
      <w:divBdr>
        <w:top w:val="none" w:sz="0" w:space="0" w:color="auto"/>
        <w:left w:val="none" w:sz="0" w:space="0" w:color="auto"/>
        <w:bottom w:val="none" w:sz="0" w:space="0" w:color="auto"/>
        <w:right w:val="none" w:sz="0" w:space="0" w:color="auto"/>
      </w:divBdr>
    </w:div>
    <w:div w:id="1105885122">
      <w:bodyDiv w:val="1"/>
      <w:marLeft w:val="0"/>
      <w:marRight w:val="0"/>
      <w:marTop w:val="0"/>
      <w:marBottom w:val="0"/>
      <w:divBdr>
        <w:top w:val="none" w:sz="0" w:space="0" w:color="auto"/>
        <w:left w:val="none" w:sz="0" w:space="0" w:color="auto"/>
        <w:bottom w:val="none" w:sz="0" w:space="0" w:color="auto"/>
        <w:right w:val="none" w:sz="0" w:space="0" w:color="auto"/>
      </w:divBdr>
    </w:div>
    <w:div w:id="1105886981">
      <w:bodyDiv w:val="1"/>
      <w:marLeft w:val="0"/>
      <w:marRight w:val="0"/>
      <w:marTop w:val="0"/>
      <w:marBottom w:val="0"/>
      <w:divBdr>
        <w:top w:val="none" w:sz="0" w:space="0" w:color="auto"/>
        <w:left w:val="none" w:sz="0" w:space="0" w:color="auto"/>
        <w:bottom w:val="none" w:sz="0" w:space="0" w:color="auto"/>
        <w:right w:val="none" w:sz="0" w:space="0" w:color="auto"/>
      </w:divBdr>
    </w:div>
    <w:div w:id="1106001771">
      <w:bodyDiv w:val="1"/>
      <w:marLeft w:val="0"/>
      <w:marRight w:val="0"/>
      <w:marTop w:val="0"/>
      <w:marBottom w:val="0"/>
      <w:divBdr>
        <w:top w:val="none" w:sz="0" w:space="0" w:color="auto"/>
        <w:left w:val="none" w:sz="0" w:space="0" w:color="auto"/>
        <w:bottom w:val="none" w:sz="0" w:space="0" w:color="auto"/>
        <w:right w:val="none" w:sz="0" w:space="0" w:color="auto"/>
      </w:divBdr>
    </w:div>
    <w:div w:id="1106073484">
      <w:bodyDiv w:val="1"/>
      <w:marLeft w:val="0"/>
      <w:marRight w:val="0"/>
      <w:marTop w:val="0"/>
      <w:marBottom w:val="0"/>
      <w:divBdr>
        <w:top w:val="none" w:sz="0" w:space="0" w:color="auto"/>
        <w:left w:val="none" w:sz="0" w:space="0" w:color="auto"/>
        <w:bottom w:val="none" w:sz="0" w:space="0" w:color="auto"/>
        <w:right w:val="none" w:sz="0" w:space="0" w:color="auto"/>
      </w:divBdr>
    </w:div>
    <w:div w:id="1106120800">
      <w:bodyDiv w:val="1"/>
      <w:marLeft w:val="0"/>
      <w:marRight w:val="0"/>
      <w:marTop w:val="0"/>
      <w:marBottom w:val="0"/>
      <w:divBdr>
        <w:top w:val="none" w:sz="0" w:space="0" w:color="auto"/>
        <w:left w:val="none" w:sz="0" w:space="0" w:color="auto"/>
        <w:bottom w:val="none" w:sz="0" w:space="0" w:color="auto"/>
        <w:right w:val="none" w:sz="0" w:space="0" w:color="auto"/>
      </w:divBdr>
    </w:div>
    <w:div w:id="1106271613">
      <w:bodyDiv w:val="1"/>
      <w:marLeft w:val="0"/>
      <w:marRight w:val="0"/>
      <w:marTop w:val="0"/>
      <w:marBottom w:val="0"/>
      <w:divBdr>
        <w:top w:val="none" w:sz="0" w:space="0" w:color="auto"/>
        <w:left w:val="none" w:sz="0" w:space="0" w:color="auto"/>
        <w:bottom w:val="none" w:sz="0" w:space="0" w:color="auto"/>
        <w:right w:val="none" w:sz="0" w:space="0" w:color="auto"/>
      </w:divBdr>
    </w:div>
    <w:div w:id="1106313857">
      <w:bodyDiv w:val="1"/>
      <w:marLeft w:val="0"/>
      <w:marRight w:val="0"/>
      <w:marTop w:val="0"/>
      <w:marBottom w:val="0"/>
      <w:divBdr>
        <w:top w:val="none" w:sz="0" w:space="0" w:color="auto"/>
        <w:left w:val="none" w:sz="0" w:space="0" w:color="auto"/>
        <w:bottom w:val="none" w:sz="0" w:space="0" w:color="auto"/>
        <w:right w:val="none" w:sz="0" w:space="0" w:color="auto"/>
      </w:divBdr>
    </w:div>
    <w:div w:id="1106345277">
      <w:bodyDiv w:val="1"/>
      <w:marLeft w:val="0"/>
      <w:marRight w:val="0"/>
      <w:marTop w:val="0"/>
      <w:marBottom w:val="0"/>
      <w:divBdr>
        <w:top w:val="none" w:sz="0" w:space="0" w:color="auto"/>
        <w:left w:val="none" w:sz="0" w:space="0" w:color="auto"/>
        <w:bottom w:val="none" w:sz="0" w:space="0" w:color="auto"/>
        <w:right w:val="none" w:sz="0" w:space="0" w:color="auto"/>
      </w:divBdr>
    </w:div>
    <w:div w:id="1106391768">
      <w:bodyDiv w:val="1"/>
      <w:marLeft w:val="0"/>
      <w:marRight w:val="0"/>
      <w:marTop w:val="0"/>
      <w:marBottom w:val="0"/>
      <w:divBdr>
        <w:top w:val="none" w:sz="0" w:space="0" w:color="auto"/>
        <w:left w:val="none" w:sz="0" w:space="0" w:color="auto"/>
        <w:bottom w:val="none" w:sz="0" w:space="0" w:color="auto"/>
        <w:right w:val="none" w:sz="0" w:space="0" w:color="auto"/>
      </w:divBdr>
    </w:div>
    <w:div w:id="1106534467">
      <w:bodyDiv w:val="1"/>
      <w:marLeft w:val="0"/>
      <w:marRight w:val="0"/>
      <w:marTop w:val="0"/>
      <w:marBottom w:val="0"/>
      <w:divBdr>
        <w:top w:val="none" w:sz="0" w:space="0" w:color="auto"/>
        <w:left w:val="none" w:sz="0" w:space="0" w:color="auto"/>
        <w:bottom w:val="none" w:sz="0" w:space="0" w:color="auto"/>
        <w:right w:val="none" w:sz="0" w:space="0" w:color="auto"/>
      </w:divBdr>
    </w:div>
    <w:div w:id="1106537397">
      <w:bodyDiv w:val="1"/>
      <w:marLeft w:val="0"/>
      <w:marRight w:val="0"/>
      <w:marTop w:val="0"/>
      <w:marBottom w:val="0"/>
      <w:divBdr>
        <w:top w:val="none" w:sz="0" w:space="0" w:color="auto"/>
        <w:left w:val="none" w:sz="0" w:space="0" w:color="auto"/>
        <w:bottom w:val="none" w:sz="0" w:space="0" w:color="auto"/>
        <w:right w:val="none" w:sz="0" w:space="0" w:color="auto"/>
      </w:divBdr>
    </w:div>
    <w:div w:id="1106581182">
      <w:bodyDiv w:val="1"/>
      <w:marLeft w:val="0"/>
      <w:marRight w:val="0"/>
      <w:marTop w:val="0"/>
      <w:marBottom w:val="0"/>
      <w:divBdr>
        <w:top w:val="none" w:sz="0" w:space="0" w:color="auto"/>
        <w:left w:val="none" w:sz="0" w:space="0" w:color="auto"/>
        <w:bottom w:val="none" w:sz="0" w:space="0" w:color="auto"/>
        <w:right w:val="none" w:sz="0" w:space="0" w:color="auto"/>
      </w:divBdr>
    </w:div>
    <w:div w:id="1106585692">
      <w:bodyDiv w:val="1"/>
      <w:marLeft w:val="0"/>
      <w:marRight w:val="0"/>
      <w:marTop w:val="0"/>
      <w:marBottom w:val="0"/>
      <w:divBdr>
        <w:top w:val="none" w:sz="0" w:space="0" w:color="auto"/>
        <w:left w:val="none" w:sz="0" w:space="0" w:color="auto"/>
        <w:bottom w:val="none" w:sz="0" w:space="0" w:color="auto"/>
        <w:right w:val="none" w:sz="0" w:space="0" w:color="auto"/>
      </w:divBdr>
    </w:div>
    <w:div w:id="1106655445">
      <w:bodyDiv w:val="1"/>
      <w:marLeft w:val="0"/>
      <w:marRight w:val="0"/>
      <w:marTop w:val="0"/>
      <w:marBottom w:val="0"/>
      <w:divBdr>
        <w:top w:val="none" w:sz="0" w:space="0" w:color="auto"/>
        <w:left w:val="none" w:sz="0" w:space="0" w:color="auto"/>
        <w:bottom w:val="none" w:sz="0" w:space="0" w:color="auto"/>
        <w:right w:val="none" w:sz="0" w:space="0" w:color="auto"/>
      </w:divBdr>
    </w:div>
    <w:div w:id="1106660509">
      <w:bodyDiv w:val="1"/>
      <w:marLeft w:val="0"/>
      <w:marRight w:val="0"/>
      <w:marTop w:val="0"/>
      <w:marBottom w:val="0"/>
      <w:divBdr>
        <w:top w:val="none" w:sz="0" w:space="0" w:color="auto"/>
        <w:left w:val="none" w:sz="0" w:space="0" w:color="auto"/>
        <w:bottom w:val="none" w:sz="0" w:space="0" w:color="auto"/>
        <w:right w:val="none" w:sz="0" w:space="0" w:color="auto"/>
      </w:divBdr>
    </w:div>
    <w:div w:id="1106730390">
      <w:bodyDiv w:val="1"/>
      <w:marLeft w:val="0"/>
      <w:marRight w:val="0"/>
      <w:marTop w:val="0"/>
      <w:marBottom w:val="0"/>
      <w:divBdr>
        <w:top w:val="none" w:sz="0" w:space="0" w:color="auto"/>
        <w:left w:val="none" w:sz="0" w:space="0" w:color="auto"/>
        <w:bottom w:val="none" w:sz="0" w:space="0" w:color="auto"/>
        <w:right w:val="none" w:sz="0" w:space="0" w:color="auto"/>
      </w:divBdr>
    </w:div>
    <w:div w:id="1106847440">
      <w:bodyDiv w:val="1"/>
      <w:marLeft w:val="0"/>
      <w:marRight w:val="0"/>
      <w:marTop w:val="0"/>
      <w:marBottom w:val="0"/>
      <w:divBdr>
        <w:top w:val="none" w:sz="0" w:space="0" w:color="auto"/>
        <w:left w:val="none" w:sz="0" w:space="0" w:color="auto"/>
        <w:bottom w:val="none" w:sz="0" w:space="0" w:color="auto"/>
        <w:right w:val="none" w:sz="0" w:space="0" w:color="auto"/>
      </w:divBdr>
    </w:div>
    <w:div w:id="1107047390">
      <w:bodyDiv w:val="1"/>
      <w:marLeft w:val="0"/>
      <w:marRight w:val="0"/>
      <w:marTop w:val="0"/>
      <w:marBottom w:val="0"/>
      <w:divBdr>
        <w:top w:val="none" w:sz="0" w:space="0" w:color="auto"/>
        <w:left w:val="none" w:sz="0" w:space="0" w:color="auto"/>
        <w:bottom w:val="none" w:sz="0" w:space="0" w:color="auto"/>
        <w:right w:val="none" w:sz="0" w:space="0" w:color="auto"/>
      </w:divBdr>
    </w:div>
    <w:div w:id="1107193080">
      <w:bodyDiv w:val="1"/>
      <w:marLeft w:val="0"/>
      <w:marRight w:val="0"/>
      <w:marTop w:val="0"/>
      <w:marBottom w:val="0"/>
      <w:divBdr>
        <w:top w:val="none" w:sz="0" w:space="0" w:color="auto"/>
        <w:left w:val="none" w:sz="0" w:space="0" w:color="auto"/>
        <w:bottom w:val="none" w:sz="0" w:space="0" w:color="auto"/>
        <w:right w:val="none" w:sz="0" w:space="0" w:color="auto"/>
      </w:divBdr>
    </w:div>
    <w:div w:id="1107311341">
      <w:bodyDiv w:val="1"/>
      <w:marLeft w:val="0"/>
      <w:marRight w:val="0"/>
      <w:marTop w:val="0"/>
      <w:marBottom w:val="0"/>
      <w:divBdr>
        <w:top w:val="none" w:sz="0" w:space="0" w:color="auto"/>
        <w:left w:val="none" w:sz="0" w:space="0" w:color="auto"/>
        <w:bottom w:val="none" w:sz="0" w:space="0" w:color="auto"/>
        <w:right w:val="none" w:sz="0" w:space="0" w:color="auto"/>
      </w:divBdr>
    </w:div>
    <w:div w:id="1107428702">
      <w:bodyDiv w:val="1"/>
      <w:marLeft w:val="0"/>
      <w:marRight w:val="0"/>
      <w:marTop w:val="0"/>
      <w:marBottom w:val="0"/>
      <w:divBdr>
        <w:top w:val="none" w:sz="0" w:space="0" w:color="auto"/>
        <w:left w:val="none" w:sz="0" w:space="0" w:color="auto"/>
        <w:bottom w:val="none" w:sz="0" w:space="0" w:color="auto"/>
        <w:right w:val="none" w:sz="0" w:space="0" w:color="auto"/>
      </w:divBdr>
    </w:div>
    <w:div w:id="1107434254">
      <w:bodyDiv w:val="1"/>
      <w:marLeft w:val="0"/>
      <w:marRight w:val="0"/>
      <w:marTop w:val="0"/>
      <w:marBottom w:val="0"/>
      <w:divBdr>
        <w:top w:val="none" w:sz="0" w:space="0" w:color="auto"/>
        <w:left w:val="none" w:sz="0" w:space="0" w:color="auto"/>
        <w:bottom w:val="none" w:sz="0" w:space="0" w:color="auto"/>
        <w:right w:val="none" w:sz="0" w:space="0" w:color="auto"/>
      </w:divBdr>
    </w:div>
    <w:div w:id="1107581377">
      <w:bodyDiv w:val="1"/>
      <w:marLeft w:val="0"/>
      <w:marRight w:val="0"/>
      <w:marTop w:val="0"/>
      <w:marBottom w:val="0"/>
      <w:divBdr>
        <w:top w:val="none" w:sz="0" w:space="0" w:color="auto"/>
        <w:left w:val="none" w:sz="0" w:space="0" w:color="auto"/>
        <w:bottom w:val="none" w:sz="0" w:space="0" w:color="auto"/>
        <w:right w:val="none" w:sz="0" w:space="0" w:color="auto"/>
      </w:divBdr>
    </w:div>
    <w:div w:id="1107583568">
      <w:bodyDiv w:val="1"/>
      <w:marLeft w:val="0"/>
      <w:marRight w:val="0"/>
      <w:marTop w:val="0"/>
      <w:marBottom w:val="0"/>
      <w:divBdr>
        <w:top w:val="none" w:sz="0" w:space="0" w:color="auto"/>
        <w:left w:val="none" w:sz="0" w:space="0" w:color="auto"/>
        <w:bottom w:val="none" w:sz="0" w:space="0" w:color="auto"/>
        <w:right w:val="none" w:sz="0" w:space="0" w:color="auto"/>
      </w:divBdr>
    </w:div>
    <w:div w:id="1107626339">
      <w:bodyDiv w:val="1"/>
      <w:marLeft w:val="0"/>
      <w:marRight w:val="0"/>
      <w:marTop w:val="0"/>
      <w:marBottom w:val="0"/>
      <w:divBdr>
        <w:top w:val="none" w:sz="0" w:space="0" w:color="auto"/>
        <w:left w:val="none" w:sz="0" w:space="0" w:color="auto"/>
        <w:bottom w:val="none" w:sz="0" w:space="0" w:color="auto"/>
        <w:right w:val="none" w:sz="0" w:space="0" w:color="auto"/>
      </w:divBdr>
    </w:div>
    <w:div w:id="1107653238">
      <w:bodyDiv w:val="1"/>
      <w:marLeft w:val="0"/>
      <w:marRight w:val="0"/>
      <w:marTop w:val="0"/>
      <w:marBottom w:val="0"/>
      <w:divBdr>
        <w:top w:val="none" w:sz="0" w:space="0" w:color="auto"/>
        <w:left w:val="none" w:sz="0" w:space="0" w:color="auto"/>
        <w:bottom w:val="none" w:sz="0" w:space="0" w:color="auto"/>
        <w:right w:val="none" w:sz="0" w:space="0" w:color="auto"/>
      </w:divBdr>
    </w:div>
    <w:div w:id="1107771589">
      <w:bodyDiv w:val="1"/>
      <w:marLeft w:val="0"/>
      <w:marRight w:val="0"/>
      <w:marTop w:val="0"/>
      <w:marBottom w:val="0"/>
      <w:divBdr>
        <w:top w:val="none" w:sz="0" w:space="0" w:color="auto"/>
        <w:left w:val="none" w:sz="0" w:space="0" w:color="auto"/>
        <w:bottom w:val="none" w:sz="0" w:space="0" w:color="auto"/>
        <w:right w:val="none" w:sz="0" w:space="0" w:color="auto"/>
      </w:divBdr>
    </w:div>
    <w:div w:id="1107775857">
      <w:bodyDiv w:val="1"/>
      <w:marLeft w:val="0"/>
      <w:marRight w:val="0"/>
      <w:marTop w:val="0"/>
      <w:marBottom w:val="0"/>
      <w:divBdr>
        <w:top w:val="none" w:sz="0" w:space="0" w:color="auto"/>
        <w:left w:val="none" w:sz="0" w:space="0" w:color="auto"/>
        <w:bottom w:val="none" w:sz="0" w:space="0" w:color="auto"/>
        <w:right w:val="none" w:sz="0" w:space="0" w:color="auto"/>
      </w:divBdr>
    </w:div>
    <w:div w:id="1107848779">
      <w:bodyDiv w:val="1"/>
      <w:marLeft w:val="0"/>
      <w:marRight w:val="0"/>
      <w:marTop w:val="0"/>
      <w:marBottom w:val="0"/>
      <w:divBdr>
        <w:top w:val="none" w:sz="0" w:space="0" w:color="auto"/>
        <w:left w:val="none" w:sz="0" w:space="0" w:color="auto"/>
        <w:bottom w:val="none" w:sz="0" w:space="0" w:color="auto"/>
        <w:right w:val="none" w:sz="0" w:space="0" w:color="auto"/>
      </w:divBdr>
    </w:div>
    <w:div w:id="1107849524">
      <w:bodyDiv w:val="1"/>
      <w:marLeft w:val="0"/>
      <w:marRight w:val="0"/>
      <w:marTop w:val="0"/>
      <w:marBottom w:val="0"/>
      <w:divBdr>
        <w:top w:val="none" w:sz="0" w:space="0" w:color="auto"/>
        <w:left w:val="none" w:sz="0" w:space="0" w:color="auto"/>
        <w:bottom w:val="none" w:sz="0" w:space="0" w:color="auto"/>
        <w:right w:val="none" w:sz="0" w:space="0" w:color="auto"/>
      </w:divBdr>
    </w:div>
    <w:div w:id="1107965429">
      <w:bodyDiv w:val="1"/>
      <w:marLeft w:val="0"/>
      <w:marRight w:val="0"/>
      <w:marTop w:val="0"/>
      <w:marBottom w:val="0"/>
      <w:divBdr>
        <w:top w:val="none" w:sz="0" w:space="0" w:color="auto"/>
        <w:left w:val="none" w:sz="0" w:space="0" w:color="auto"/>
        <w:bottom w:val="none" w:sz="0" w:space="0" w:color="auto"/>
        <w:right w:val="none" w:sz="0" w:space="0" w:color="auto"/>
      </w:divBdr>
    </w:div>
    <w:div w:id="1108041824">
      <w:bodyDiv w:val="1"/>
      <w:marLeft w:val="0"/>
      <w:marRight w:val="0"/>
      <w:marTop w:val="0"/>
      <w:marBottom w:val="0"/>
      <w:divBdr>
        <w:top w:val="none" w:sz="0" w:space="0" w:color="auto"/>
        <w:left w:val="none" w:sz="0" w:space="0" w:color="auto"/>
        <w:bottom w:val="none" w:sz="0" w:space="0" w:color="auto"/>
        <w:right w:val="none" w:sz="0" w:space="0" w:color="auto"/>
      </w:divBdr>
    </w:div>
    <w:div w:id="1108156150">
      <w:bodyDiv w:val="1"/>
      <w:marLeft w:val="0"/>
      <w:marRight w:val="0"/>
      <w:marTop w:val="0"/>
      <w:marBottom w:val="0"/>
      <w:divBdr>
        <w:top w:val="none" w:sz="0" w:space="0" w:color="auto"/>
        <w:left w:val="none" w:sz="0" w:space="0" w:color="auto"/>
        <w:bottom w:val="none" w:sz="0" w:space="0" w:color="auto"/>
        <w:right w:val="none" w:sz="0" w:space="0" w:color="auto"/>
      </w:divBdr>
    </w:div>
    <w:div w:id="1108234705">
      <w:bodyDiv w:val="1"/>
      <w:marLeft w:val="0"/>
      <w:marRight w:val="0"/>
      <w:marTop w:val="0"/>
      <w:marBottom w:val="0"/>
      <w:divBdr>
        <w:top w:val="none" w:sz="0" w:space="0" w:color="auto"/>
        <w:left w:val="none" w:sz="0" w:space="0" w:color="auto"/>
        <w:bottom w:val="none" w:sz="0" w:space="0" w:color="auto"/>
        <w:right w:val="none" w:sz="0" w:space="0" w:color="auto"/>
      </w:divBdr>
    </w:div>
    <w:div w:id="1108352448">
      <w:bodyDiv w:val="1"/>
      <w:marLeft w:val="0"/>
      <w:marRight w:val="0"/>
      <w:marTop w:val="0"/>
      <w:marBottom w:val="0"/>
      <w:divBdr>
        <w:top w:val="none" w:sz="0" w:space="0" w:color="auto"/>
        <w:left w:val="none" w:sz="0" w:space="0" w:color="auto"/>
        <w:bottom w:val="none" w:sz="0" w:space="0" w:color="auto"/>
        <w:right w:val="none" w:sz="0" w:space="0" w:color="auto"/>
      </w:divBdr>
    </w:div>
    <w:div w:id="1108500791">
      <w:bodyDiv w:val="1"/>
      <w:marLeft w:val="0"/>
      <w:marRight w:val="0"/>
      <w:marTop w:val="0"/>
      <w:marBottom w:val="0"/>
      <w:divBdr>
        <w:top w:val="none" w:sz="0" w:space="0" w:color="auto"/>
        <w:left w:val="none" w:sz="0" w:space="0" w:color="auto"/>
        <w:bottom w:val="none" w:sz="0" w:space="0" w:color="auto"/>
        <w:right w:val="none" w:sz="0" w:space="0" w:color="auto"/>
      </w:divBdr>
    </w:div>
    <w:div w:id="1108504899">
      <w:bodyDiv w:val="1"/>
      <w:marLeft w:val="0"/>
      <w:marRight w:val="0"/>
      <w:marTop w:val="0"/>
      <w:marBottom w:val="0"/>
      <w:divBdr>
        <w:top w:val="none" w:sz="0" w:space="0" w:color="auto"/>
        <w:left w:val="none" w:sz="0" w:space="0" w:color="auto"/>
        <w:bottom w:val="none" w:sz="0" w:space="0" w:color="auto"/>
        <w:right w:val="none" w:sz="0" w:space="0" w:color="auto"/>
      </w:divBdr>
    </w:div>
    <w:div w:id="1108508367">
      <w:bodyDiv w:val="1"/>
      <w:marLeft w:val="0"/>
      <w:marRight w:val="0"/>
      <w:marTop w:val="0"/>
      <w:marBottom w:val="0"/>
      <w:divBdr>
        <w:top w:val="none" w:sz="0" w:space="0" w:color="auto"/>
        <w:left w:val="none" w:sz="0" w:space="0" w:color="auto"/>
        <w:bottom w:val="none" w:sz="0" w:space="0" w:color="auto"/>
        <w:right w:val="none" w:sz="0" w:space="0" w:color="auto"/>
      </w:divBdr>
    </w:div>
    <w:div w:id="1108543153">
      <w:bodyDiv w:val="1"/>
      <w:marLeft w:val="0"/>
      <w:marRight w:val="0"/>
      <w:marTop w:val="0"/>
      <w:marBottom w:val="0"/>
      <w:divBdr>
        <w:top w:val="none" w:sz="0" w:space="0" w:color="auto"/>
        <w:left w:val="none" w:sz="0" w:space="0" w:color="auto"/>
        <w:bottom w:val="none" w:sz="0" w:space="0" w:color="auto"/>
        <w:right w:val="none" w:sz="0" w:space="0" w:color="auto"/>
      </w:divBdr>
    </w:div>
    <w:div w:id="1108545324">
      <w:bodyDiv w:val="1"/>
      <w:marLeft w:val="0"/>
      <w:marRight w:val="0"/>
      <w:marTop w:val="0"/>
      <w:marBottom w:val="0"/>
      <w:divBdr>
        <w:top w:val="none" w:sz="0" w:space="0" w:color="auto"/>
        <w:left w:val="none" w:sz="0" w:space="0" w:color="auto"/>
        <w:bottom w:val="none" w:sz="0" w:space="0" w:color="auto"/>
        <w:right w:val="none" w:sz="0" w:space="0" w:color="auto"/>
      </w:divBdr>
    </w:div>
    <w:div w:id="1108545745">
      <w:bodyDiv w:val="1"/>
      <w:marLeft w:val="0"/>
      <w:marRight w:val="0"/>
      <w:marTop w:val="0"/>
      <w:marBottom w:val="0"/>
      <w:divBdr>
        <w:top w:val="none" w:sz="0" w:space="0" w:color="auto"/>
        <w:left w:val="none" w:sz="0" w:space="0" w:color="auto"/>
        <w:bottom w:val="none" w:sz="0" w:space="0" w:color="auto"/>
        <w:right w:val="none" w:sz="0" w:space="0" w:color="auto"/>
      </w:divBdr>
    </w:div>
    <w:div w:id="1108742775">
      <w:bodyDiv w:val="1"/>
      <w:marLeft w:val="0"/>
      <w:marRight w:val="0"/>
      <w:marTop w:val="0"/>
      <w:marBottom w:val="0"/>
      <w:divBdr>
        <w:top w:val="none" w:sz="0" w:space="0" w:color="auto"/>
        <w:left w:val="none" w:sz="0" w:space="0" w:color="auto"/>
        <w:bottom w:val="none" w:sz="0" w:space="0" w:color="auto"/>
        <w:right w:val="none" w:sz="0" w:space="0" w:color="auto"/>
      </w:divBdr>
    </w:div>
    <w:div w:id="1108885994">
      <w:bodyDiv w:val="1"/>
      <w:marLeft w:val="0"/>
      <w:marRight w:val="0"/>
      <w:marTop w:val="0"/>
      <w:marBottom w:val="0"/>
      <w:divBdr>
        <w:top w:val="none" w:sz="0" w:space="0" w:color="auto"/>
        <w:left w:val="none" w:sz="0" w:space="0" w:color="auto"/>
        <w:bottom w:val="none" w:sz="0" w:space="0" w:color="auto"/>
        <w:right w:val="none" w:sz="0" w:space="0" w:color="auto"/>
      </w:divBdr>
    </w:div>
    <w:div w:id="1108962540">
      <w:bodyDiv w:val="1"/>
      <w:marLeft w:val="0"/>
      <w:marRight w:val="0"/>
      <w:marTop w:val="0"/>
      <w:marBottom w:val="0"/>
      <w:divBdr>
        <w:top w:val="none" w:sz="0" w:space="0" w:color="auto"/>
        <w:left w:val="none" w:sz="0" w:space="0" w:color="auto"/>
        <w:bottom w:val="none" w:sz="0" w:space="0" w:color="auto"/>
        <w:right w:val="none" w:sz="0" w:space="0" w:color="auto"/>
      </w:divBdr>
    </w:div>
    <w:div w:id="1109006482">
      <w:bodyDiv w:val="1"/>
      <w:marLeft w:val="0"/>
      <w:marRight w:val="0"/>
      <w:marTop w:val="0"/>
      <w:marBottom w:val="0"/>
      <w:divBdr>
        <w:top w:val="none" w:sz="0" w:space="0" w:color="auto"/>
        <w:left w:val="none" w:sz="0" w:space="0" w:color="auto"/>
        <w:bottom w:val="none" w:sz="0" w:space="0" w:color="auto"/>
        <w:right w:val="none" w:sz="0" w:space="0" w:color="auto"/>
      </w:divBdr>
    </w:div>
    <w:div w:id="1109007009">
      <w:bodyDiv w:val="1"/>
      <w:marLeft w:val="0"/>
      <w:marRight w:val="0"/>
      <w:marTop w:val="0"/>
      <w:marBottom w:val="0"/>
      <w:divBdr>
        <w:top w:val="none" w:sz="0" w:space="0" w:color="auto"/>
        <w:left w:val="none" w:sz="0" w:space="0" w:color="auto"/>
        <w:bottom w:val="none" w:sz="0" w:space="0" w:color="auto"/>
        <w:right w:val="none" w:sz="0" w:space="0" w:color="auto"/>
      </w:divBdr>
    </w:div>
    <w:div w:id="1109008576">
      <w:bodyDiv w:val="1"/>
      <w:marLeft w:val="0"/>
      <w:marRight w:val="0"/>
      <w:marTop w:val="0"/>
      <w:marBottom w:val="0"/>
      <w:divBdr>
        <w:top w:val="none" w:sz="0" w:space="0" w:color="auto"/>
        <w:left w:val="none" w:sz="0" w:space="0" w:color="auto"/>
        <w:bottom w:val="none" w:sz="0" w:space="0" w:color="auto"/>
        <w:right w:val="none" w:sz="0" w:space="0" w:color="auto"/>
      </w:divBdr>
    </w:div>
    <w:div w:id="1109009554">
      <w:bodyDiv w:val="1"/>
      <w:marLeft w:val="0"/>
      <w:marRight w:val="0"/>
      <w:marTop w:val="0"/>
      <w:marBottom w:val="0"/>
      <w:divBdr>
        <w:top w:val="none" w:sz="0" w:space="0" w:color="auto"/>
        <w:left w:val="none" w:sz="0" w:space="0" w:color="auto"/>
        <w:bottom w:val="none" w:sz="0" w:space="0" w:color="auto"/>
        <w:right w:val="none" w:sz="0" w:space="0" w:color="auto"/>
      </w:divBdr>
    </w:div>
    <w:div w:id="1109080187">
      <w:bodyDiv w:val="1"/>
      <w:marLeft w:val="0"/>
      <w:marRight w:val="0"/>
      <w:marTop w:val="0"/>
      <w:marBottom w:val="0"/>
      <w:divBdr>
        <w:top w:val="none" w:sz="0" w:space="0" w:color="auto"/>
        <w:left w:val="none" w:sz="0" w:space="0" w:color="auto"/>
        <w:bottom w:val="none" w:sz="0" w:space="0" w:color="auto"/>
        <w:right w:val="none" w:sz="0" w:space="0" w:color="auto"/>
      </w:divBdr>
    </w:div>
    <w:div w:id="1109155022">
      <w:bodyDiv w:val="1"/>
      <w:marLeft w:val="0"/>
      <w:marRight w:val="0"/>
      <w:marTop w:val="0"/>
      <w:marBottom w:val="0"/>
      <w:divBdr>
        <w:top w:val="none" w:sz="0" w:space="0" w:color="auto"/>
        <w:left w:val="none" w:sz="0" w:space="0" w:color="auto"/>
        <w:bottom w:val="none" w:sz="0" w:space="0" w:color="auto"/>
        <w:right w:val="none" w:sz="0" w:space="0" w:color="auto"/>
      </w:divBdr>
    </w:div>
    <w:div w:id="1109161632">
      <w:bodyDiv w:val="1"/>
      <w:marLeft w:val="0"/>
      <w:marRight w:val="0"/>
      <w:marTop w:val="0"/>
      <w:marBottom w:val="0"/>
      <w:divBdr>
        <w:top w:val="none" w:sz="0" w:space="0" w:color="auto"/>
        <w:left w:val="none" w:sz="0" w:space="0" w:color="auto"/>
        <w:bottom w:val="none" w:sz="0" w:space="0" w:color="auto"/>
        <w:right w:val="none" w:sz="0" w:space="0" w:color="auto"/>
      </w:divBdr>
    </w:div>
    <w:div w:id="1109350888">
      <w:bodyDiv w:val="1"/>
      <w:marLeft w:val="0"/>
      <w:marRight w:val="0"/>
      <w:marTop w:val="0"/>
      <w:marBottom w:val="0"/>
      <w:divBdr>
        <w:top w:val="none" w:sz="0" w:space="0" w:color="auto"/>
        <w:left w:val="none" w:sz="0" w:space="0" w:color="auto"/>
        <w:bottom w:val="none" w:sz="0" w:space="0" w:color="auto"/>
        <w:right w:val="none" w:sz="0" w:space="0" w:color="auto"/>
      </w:divBdr>
    </w:div>
    <w:div w:id="1109353536">
      <w:bodyDiv w:val="1"/>
      <w:marLeft w:val="0"/>
      <w:marRight w:val="0"/>
      <w:marTop w:val="0"/>
      <w:marBottom w:val="0"/>
      <w:divBdr>
        <w:top w:val="none" w:sz="0" w:space="0" w:color="auto"/>
        <w:left w:val="none" w:sz="0" w:space="0" w:color="auto"/>
        <w:bottom w:val="none" w:sz="0" w:space="0" w:color="auto"/>
        <w:right w:val="none" w:sz="0" w:space="0" w:color="auto"/>
      </w:divBdr>
    </w:div>
    <w:div w:id="1109353854">
      <w:bodyDiv w:val="1"/>
      <w:marLeft w:val="0"/>
      <w:marRight w:val="0"/>
      <w:marTop w:val="0"/>
      <w:marBottom w:val="0"/>
      <w:divBdr>
        <w:top w:val="none" w:sz="0" w:space="0" w:color="auto"/>
        <w:left w:val="none" w:sz="0" w:space="0" w:color="auto"/>
        <w:bottom w:val="none" w:sz="0" w:space="0" w:color="auto"/>
        <w:right w:val="none" w:sz="0" w:space="0" w:color="auto"/>
      </w:divBdr>
    </w:div>
    <w:div w:id="1109395205">
      <w:bodyDiv w:val="1"/>
      <w:marLeft w:val="0"/>
      <w:marRight w:val="0"/>
      <w:marTop w:val="0"/>
      <w:marBottom w:val="0"/>
      <w:divBdr>
        <w:top w:val="none" w:sz="0" w:space="0" w:color="auto"/>
        <w:left w:val="none" w:sz="0" w:space="0" w:color="auto"/>
        <w:bottom w:val="none" w:sz="0" w:space="0" w:color="auto"/>
        <w:right w:val="none" w:sz="0" w:space="0" w:color="auto"/>
      </w:divBdr>
    </w:div>
    <w:div w:id="1109400095">
      <w:bodyDiv w:val="1"/>
      <w:marLeft w:val="0"/>
      <w:marRight w:val="0"/>
      <w:marTop w:val="0"/>
      <w:marBottom w:val="0"/>
      <w:divBdr>
        <w:top w:val="none" w:sz="0" w:space="0" w:color="auto"/>
        <w:left w:val="none" w:sz="0" w:space="0" w:color="auto"/>
        <w:bottom w:val="none" w:sz="0" w:space="0" w:color="auto"/>
        <w:right w:val="none" w:sz="0" w:space="0" w:color="auto"/>
      </w:divBdr>
    </w:div>
    <w:div w:id="1109475313">
      <w:bodyDiv w:val="1"/>
      <w:marLeft w:val="0"/>
      <w:marRight w:val="0"/>
      <w:marTop w:val="0"/>
      <w:marBottom w:val="0"/>
      <w:divBdr>
        <w:top w:val="none" w:sz="0" w:space="0" w:color="auto"/>
        <w:left w:val="none" w:sz="0" w:space="0" w:color="auto"/>
        <w:bottom w:val="none" w:sz="0" w:space="0" w:color="auto"/>
        <w:right w:val="none" w:sz="0" w:space="0" w:color="auto"/>
      </w:divBdr>
    </w:div>
    <w:div w:id="1109548739">
      <w:bodyDiv w:val="1"/>
      <w:marLeft w:val="0"/>
      <w:marRight w:val="0"/>
      <w:marTop w:val="0"/>
      <w:marBottom w:val="0"/>
      <w:divBdr>
        <w:top w:val="none" w:sz="0" w:space="0" w:color="auto"/>
        <w:left w:val="none" w:sz="0" w:space="0" w:color="auto"/>
        <w:bottom w:val="none" w:sz="0" w:space="0" w:color="auto"/>
        <w:right w:val="none" w:sz="0" w:space="0" w:color="auto"/>
      </w:divBdr>
    </w:div>
    <w:div w:id="1109593421">
      <w:bodyDiv w:val="1"/>
      <w:marLeft w:val="0"/>
      <w:marRight w:val="0"/>
      <w:marTop w:val="0"/>
      <w:marBottom w:val="0"/>
      <w:divBdr>
        <w:top w:val="none" w:sz="0" w:space="0" w:color="auto"/>
        <w:left w:val="none" w:sz="0" w:space="0" w:color="auto"/>
        <w:bottom w:val="none" w:sz="0" w:space="0" w:color="auto"/>
        <w:right w:val="none" w:sz="0" w:space="0" w:color="auto"/>
      </w:divBdr>
    </w:div>
    <w:div w:id="1109815127">
      <w:bodyDiv w:val="1"/>
      <w:marLeft w:val="0"/>
      <w:marRight w:val="0"/>
      <w:marTop w:val="0"/>
      <w:marBottom w:val="0"/>
      <w:divBdr>
        <w:top w:val="none" w:sz="0" w:space="0" w:color="auto"/>
        <w:left w:val="none" w:sz="0" w:space="0" w:color="auto"/>
        <w:bottom w:val="none" w:sz="0" w:space="0" w:color="auto"/>
        <w:right w:val="none" w:sz="0" w:space="0" w:color="auto"/>
      </w:divBdr>
    </w:div>
    <w:div w:id="1109815220">
      <w:bodyDiv w:val="1"/>
      <w:marLeft w:val="0"/>
      <w:marRight w:val="0"/>
      <w:marTop w:val="0"/>
      <w:marBottom w:val="0"/>
      <w:divBdr>
        <w:top w:val="none" w:sz="0" w:space="0" w:color="auto"/>
        <w:left w:val="none" w:sz="0" w:space="0" w:color="auto"/>
        <w:bottom w:val="none" w:sz="0" w:space="0" w:color="auto"/>
        <w:right w:val="none" w:sz="0" w:space="0" w:color="auto"/>
      </w:divBdr>
    </w:div>
    <w:div w:id="1109931284">
      <w:bodyDiv w:val="1"/>
      <w:marLeft w:val="0"/>
      <w:marRight w:val="0"/>
      <w:marTop w:val="0"/>
      <w:marBottom w:val="0"/>
      <w:divBdr>
        <w:top w:val="none" w:sz="0" w:space="0" w:color="auto"/>
        <w:left w:val="none" w:sz="0" w:space="0" w:color="auto"/>
        <w:bottom w:val="none" w:sz="0" w:space="0" w:color="auto"/>
        <w:right w:val="none" w:sz="0" w:space="0" w:color="auto"/>
      </w:divBdr>
    </w:div>
    <w:div w:id="1109936465">
      <w:bodyDiv w:val="1"/>
      <w:marLeft w:val="0"/>
      <w:marRight w:val="0"/>
      <w:marTop w:val="0"/>
      <w:marBottom w:val="0"/>
      <w:divBdr>
        <w:top w:val="none" w:sz="0" w:space="0" w:color="auto"/>
        <w:left w:val="none" w:sz="0" w:space="0" w:color="auto"/>
        <w:bottom w:val="none" w:sz="0" w:space="0" w:color="auto"/>
        <w:right w:val="none" w:sz="0" w:space="0" w:color="auto"/>
      </w:divBdr>
    </w:div>
    <w:div w:id="1110007032">
      <w:bodyDiv w:val="1"/>
      <w:marLeft w:val="0"/>
      <w:marRight w:val="0"/>
      <w:marTop w:val="0"/>
      <w:marBottom w:val="0"/>
      <w:divBdr>
        <w:top w:val="none" w:sz="0" w:space="0" w:color="auto"/>
        <w:left w:val="none" w:sz="0" w:space="0" w:color="auto"/>
        <w:bottom w:val="none" w:sz="0" w:space="0" w:color="auto"/>
        <w:right w:val="none" w:sz="0" w:space="0" w:color="auto"/>
      </w:divBdr>
    </w:div>
    <w:div w:id="1110049400">
      <w:bodyDiv w:val="1"/>
      <w:marLeft w:val="0"/>
      <w:marRight w:val="0"/>
      <w:marTop w:val="0"/>
      <w:marBottom w:val="0"/>
      <w:divBdr>
        <w:top w:val="none" w:sz="0" w:space="0" w:color="auto"/>
        <w:left w:val="none" w:sz="0" w:space="0" w:color="auto"/>
        <w:bottom w:val="none" w:sz="0" w:space="0" w:color="auto"/>
        <w:right w:val="none" w:sz="0" w:space="0" w:color="auto"/>
      </w:divBdr>
    </w:div>
    <w:div w:id="1110054843">
      <w:bodyDiv w:val="1"/>
      <w:marLeft w:val="0"/>
      <w:marRight w:val="0"/>
      <w:marTop w:val="0"/>
      <w:marBottom w:val="0"/>
      <w:divBdr>
        <w:top w:val="none" w:sz="0" w:space="0" w:color="auto"/>
        <w:left w:val="none" w:sz="0" w:space="0" w:color="auto"/>
        <w:bottom w:val="none" w:sz="0" w:space="0" w:color="auto"/>
        <w:right w:val="none" w:sz="0" w:space="0" w:color="auto"/>
      </w:divBdr>
    </w:div>
    <w:div w:id="1110078593">
      <w:bodyDiv w:val="1"/>
      <w:marLeft w:val="0"/>
      <w:marRight w:val="0"/>
      <w:marTop w:val="0"/>
      <w:marBottom w:val="0"/>
      <w:divBdr>
        <w:top w:val="none" w:sz="0" w:space="0" w:color="auto"/>
        <w:left w:val="none" w:sz="0" w:space="0" w:color="auto"/>
        <w:bottom w:val="none" w:sz="0" w:space="0" w:color="auto"/>
        <w:right w:val="none" w:sz="0" w:space="0" w:color="auto"/>
      </w:divBdr>
    </w:div>
    <w:div w:id="1110080922">
      <w:bodyDiv w:val="1"/>
      <w:marLeft w:val="0"/>
      <w:marRight w:val="0"/>
      <w:marTop w:val="0"/>
      <w:marBottom w:val="0"/>
      <w:divBdr>
        <w:top w:val="none" w:sz="0" w:space="0" w:color="auto"/>
        <w:left w:val="none" w:sz="0" w:space="0" w:color="auto"/>
        <w:bottom w:val="none" w:sz="0" w:space="0" w:color="auto"/>
        <w:right w:val="none" w:sz="0" w:space="0" w:color="auto"/>
      </w:divBdr>
    </w:div>
    <w:div w:id="1110196564">
      <w:bodyDiv w:val="1"/>
      <w:marLeft w:val="0"/>
      <w:marRight w:val="0"/>
      <w:marTop w:val="0"/>
      <w:marBottom w:val="0"/>
      <w:divBdr>
        <w:top w:val="none" w:sz="0" w:space="0" w:color="auto"/>
        <w:left w:val="none" w:sz="0" w:space="0" w:color="auto"/>
        <w:bottom w:val="none" w:sz="0" w:space="0" w:color="auto"/>
        <w:right w:val="none" w:sz="0" w:space="0" w:color="auto"/>
      </w:divBdr>
    </w:div>
    <w:div w:id="1110199804">
      <w:bodyDiv w:val="1"/>
      <w:marLeft w:val="0"/>
      <w:marRight w:val="0"/>
      <w:marTop w:val="0"/>
      <w:marBottom w:val="0"/>
      <w:divBdr>
        <w:top w:val="none" w:sz="0" w:space="0" w:color="auto"/>
        <w:left w:val="none" w:sz="0" w:space="0" w:color="auto"/>
        <w:bottom w:val="none" w:sz="0" w:space="0" w:color="auto"/>
        <w:right w:val="none" w:sz="0" w:space="0" w:color="auto"/>
      </w:divBdr>
    </w:div>
    <w:div w:id="1110205130">
      <w:bodyDiv w:val="1"/>
      <w:marLeft w:val="0"/>
      <w:marRight w:val="0"/>
      <w:marTop w:val="0"/>
      <w:marBottom w:val="0"/>
      <w:divBdr>
        <w:top w:val="none" w:sz="0" w:space="0" w:color="auto"/>
        <w:left w:val="none" w:sz="0" w:space="0" w:color="auto"/>
        <w:bottom w:val="none" w:sz="0" w:space="0" w:color="auto"/>
        <w:right w:val="none" w:sz="0" w:space="0" w:color="auto"/>
      </w:divBdr>
    </w:div>
    <w:div w:id="1110275710">
      <w:bodyDiv w:val="1"/>
      <w:marLeft w:val="0"/>
      <w:marRight w:val="0"/>
      <w:marTop w:val="0"/>
      <w:marBottom w:val="0"/>
      <w:divBdr>
        <w:top w:val="none" w:sz="0" w:space="0" w:color="auto"/>
        <w:left w:val="none" w:sz="0" w:space="0" w:color="auto"/>
        <w:bottom w:val="none" w:sz="0" w:space="0" w:color="auto"/>
        <w:right w:val="none" w:sz="0" w:space="0" w:color="auto"/>
      </w:divBdr>
    </w:div>
    <w:div w:id="1110394212">
      <w:bodyDiv w:val="1"/>
      <w:marLeft w:val="0"/>
      <w:marRight w:val="0"/>
      <w:marTop w:val="0"/>
      <w:marBottom w:val="0"/>
      <w:divBdr>
        <w:top w:val="none" w:sz="0" w:space="0" w:color="auto"/>
        <w:left w:val="none" w:sz="0" w:space="0" w:color="auto"/>
        <w:bottom w:val="none" w:sz="0" w:space="0" w:color="auto"/>
        <w:right w:val="none" w:sz="0" w:space="0" w:color="auto"/>
      </w:divBdr>
    </w:div>
    <w:div w:id="1110508083">
      <w:bodyDiv w:val="1"/>
      <w:marLeft w:val="0"/>
      <w:marRight w:val="0"/>
      <w:marTop w:val="0"/>
      <w:marBottom w:val="0"/>
      <w:divBdr>
        <w:top w:val="none" w:sz="0" w:space="0" w:color="auto"/>
        <w:left w:val="none" w:sz="0" w:space="0" w:color="auto"/>
        <w:bottom w:val="none" w:sz="0" w:space="0" w:color="auto"/>
        <w:right w:val="none" w:sz="0" w:space="0" w:color="auto"/>
      </w:divBdr>
    </w:div>
    <w:div w:id="1110508696">
      <w:bodyDiv w:val="1"/>
      <w:marLeft w:val="0"/>
      <w:marRight w:val="0"/>
      <w:marTop w:val="0"/>
      <w:marBottom w:val="0"/>
      <w:divBdr>
        <w:top w:val="none" w:sz="0" w:space="0" w:color="auto"/>
        <w:left w:val="none" w:sz="0" w:space="0" w:color="auto"/>
        <w:bottom w:val="none" w:sz="0" w:space="0" w:color="auto"/>
        <w:right w:val="none" w:sz="0" w:space="0" w:color="auto"/>
      </w:divBdr>
    </w:div>
    <w:div w:id="1110660946">
      <w:bodyDiv w:val="1"/>
      <w:marLeft w:val="0"/>
      <w:marRight w:val="0"/>
      <w:marTop w:val="0"/>
      <w:marBottom w:val="0"/>
      <w:divBdr>
        <w:top w:val="none" w:sz="0" w:space="0" w:color="auto"/>
        <w:left w:val="none" w:sz="0" w:space="0" w:color="auto"/>
        <w:bottom w:val="none" w:sz="0" w:space="0" w:color="auto"/>
        <w:right w:val="none" w:sz="0" w:space="0" w:color="auto"/>
      </w:divBdr>
    </w:div>
    <w:div w:id="1110666034">
      <w:bodyDiv w:val="1"/>
      <w:marLeft w:val="0"/>
      <w:marRight w:val="0"/>
      <w:marTop w:val="0"/>
      <w:marBottom w:val="0"/>
      <w:divBdr>
        <w:top w:val="none" w:sz="0" w:space="0" w:color="auto"/>
        <w:left w:val="none" w:sz="0" w:space="0" w:color="auto"/>
        <w:bottom w:val="none" w:sz="0" w:space="0" w:color="auto"/>
        <w:right w:val="none" w:sz="0" w:space="0" w:color="auto"/>
      </w:divBdr>
    </w:div>
    <w:div w:id="1110668056">
      <w:bodyDiv w:val="1"/>
      <w:marLeft w:val="0"/>
      <w:marRight w:val="0"/>
      <w:marTop w:val="0"/>
      <w:marBottom w:val="0"/>
      <w:divBdr>
        <w:top w:val="none" w:sz="0" w:space="0" w:color="auto"/>
        <w:left w:val="none" w:sz="0" w:space="0" w:color="auto"/>
        <w:bottom w:val="none" w:sz="0" w:space="0" w:color="auto"/>
        <w:right w:val="none" w:sz="0" w:space="0" w:color="auto"/>
      </w:divBdr>
    </w:div>
    <w:div w:id="1110928584">
      <w:bodyDiv w:val="1"/>
      <w:marLeft w:val="0"/>
      <w:marRight w:val="0"/>
      <w:marTop w:val="0"/>
      <w:marBottom w:val="0"/>
      <w:divBdr>
        <w:top w:val="none" w:sz="0" w:space="0" w:color="auto"/>
        <w:left w:val="none" w:sz="0" w:space="0" w:color="auto"/>
        <w:bottom w:val="none" w:sz="0" w:space="0" w:color="auto"/>
        <w:right w:val="none" w:sz="0" w:space="0" w:color="auto"/>
      </w:divBdr>
    </w:div>
    <w:div w:id="1110970843">
      <w:bodyDiv w:val="1"/>
      <w:marLeft w:val="0"/>
      <w:marRight w:val="0"/>
      <w:marTop w:val="0"/>
      <w:marBottom w:val="0"/>
      <w:divBdr>
        <w:top w:val="none" w:sz="0" w:space="0" w:color="auto"/>
        <w:left w:val="none" w:sz="0" w:space="0" w:color="auto"/>
        <w:bottom w:val="none" w:sz="0" w:space="0" w:color="auto"/>
        <w:right w:val="none" w:sz="0" w:space="0" w:color="auto"/>
      </w:divBdr>
    </w:div>
    <w:div w:id="1111048798">
      <w:bodyDiv w:val="1"/>
      <w:marLeft w:val="0"/>
      <w:marRight w:val="0"/>
      <w:marTop w:val="0"/>
      <w:marBottom w:val="0"/>
      <w:divBdr>
        <w:top w:val="none" w:sz="0" w:space="0" w:color="auto"/>
        <w:left w:val="none" w:sz="0" w:space="0" w:color="auto"/>
        <w:bottom w:val="none" w:sz="0" w:space="0" w:color="auto"/>
        <w:right w:val="none" w:sz="0" w:space="0" w:color="auto"/>
      </w:divBdr>
    </w:div>
    <w:div w:id="1111123386">
      <w:bodyDiv w:val="1"/>
      <w:marLeft w:val="0"/>
      <w:marRight w:val="0"/>
      <w:marTop w:val="0"/>
      <w:marBottom w:val="0"/>
      <w:divBdr>
        <w:top w:val="none" w:sz="0" w:space="0" w:color="auto"/>
        <w:left w:val="none" w:sz="0" w:space="0" w:color="auto"/>
        <w:bottom w:val="none" w:sz="0" w:space="0" w:color="auto"/>
        <w:right w:val="none" w:sz="0" w:space="0" w:color="auto"/>
      </w:divBdr>
    </w:div>
    <w:div w:id="1111169634">
      <w:bodyDiv w:val="1"/>
      <w:marLeft w:val="0"/>
      <w:marRight w:val="0"/>
      <w:marTop w:val="0"/>
      <w:marBottom w:val="0"/>
      <w:divBdr>
        <w:top w:val="none" w:sz="0" w:space="0" w:color="auto"/>
        <w:left w:val="none" w:sz="0" w:space="0" w:color="auto"/>
        <w:bottom w:val="none" w:sz="0" w:space="0" w:color="auto"/>
        <w:right w:val="none" w:sz="0" w:space="0" w:color="auto"/>
      </w:divBdr>
    </w:div>
    <w:div w:id="1111247766">
      <w:bodyDiv w:val="1"/>
      <w:marLeft w:val="0"/>
      <w:marRight w:val="0"/>
      <w:marTop w:val="0"/>
      <w:marBottom w:val="0"/>
      <w:divBdr>
        <w:top w:val="none" w:sz="0" w:space="0" w:color="auto"/>
        <w:left w:val="none" w:sz="0" w:space="0" w:color="auto"/>
        <w:bottom w:val="none" w:sz="0" w:space="0" w:color="auto"/>
        <w:right w:val="none" w:sz="0" w:space="0" w:color="auto"/>
      </w:divBdr>
    </w:div>
    <w:div w:id="1111315094">
      <w:bodyDiv w:val="1"/>
      <w:marLeft w:val="0"/>
      <w:marRight w:val="0"/>
      <w:marTop w:val="0"/>
      <w:marBottom w:val="0"/>
      <w:divBdr>
        <w:top w:val="none" w:sz="0" w:space="0" w:color="auto"/>
        <w:left w:val="none" w:sz="0" w:space="0" w:color="auto"/>
        <w:bottom w:val="none" w:sz="0" w:space="0" w:color="auto"/>
        <w:right w:val="none" w:sz="0" w:space="0" w:color="auto"/>
      </w:divBdr>
    </w:div>
    <w:div w:id="1111316634">
      <w:bodyDiv w:val="1"/>
      <w:marLeft w:val="0"/>
      <w:marRight w:val="0"/>
      <w:marTop w:val="0"/>
      <w:marBottom w:val="0"/>
      <w:divBdr>
        <w:top w:val="none" w:sz="0" w:space="0" w:color="auto"/>
        <w:left w:val="none" w:sz="0" w:space="0" w:color="auto"/>
        <w:bottom w:val="none" w:sz="0" w:space="0" w:color="auto"/>
        <w:right w:val="none" w:sz="0" w:space="0" w:color="auto"/>
      </w:divBdr>
    </w:div>
    <w:div w:id="1111316706">
      <w:bodyDiv w:val="1"/>
      <w:marLeft w:val="0"/>
      <w:marRight w:val="0"/>
      <w:marTop w:val="0"/>
      <w:marBottom w:val="0"/>
      <w:divBdr>
        <w:top w:val="none" w:sz="0" w:space="0" w:color="auto"/>
        <w:left w:val="none" w:sz="0" w:space="0" w:color="auto"/>
        <w:bottom w:val="none" w:sz="0" w:space="0" w:color="auto"/>
        <w:right w:val="none" w:sz="0" w:space="0" w:color="auto"/>
      </w:divBdr>
    </w:div>
    <w:div w:id="1111780861">
      <w:bodyDiv w:val="1"/>
      <w:marLeft w:val="0"/>
      <w:marRight w:val="0"/>
      <w:marTop w:val="0"/>
      <w:marBottom w:val="0"/>
      <w:divBdr>
        <w:top w:val="none" w:sz="0" w:space="0" w:color="auto"/>
        <w:left w:val="none" w:sz="0" w:space="0" w:color="auto"/>
        <w:bottom w:val="none" w:sz="0" w:space="0" w:color="auto"/>
        <w:right w:val="none" w:sz="0" w:space="0" w:color="auto"/>
      </w:divBdr>
    </w:div>
    <w:div w:id="1111782605">
      <w:bodyDiv w:val="1"/>
      <w:marLeft w:val="0"/>
      <w:marRight w:val="0"/>
      <w:marTop w:val="0"/>
      <w:marBottom w:val="0"/>
      <w:divBdr>
        <w:top w:val="none" w:sz="0" w:space="0" w:color="auto"/>
        <w:left w:val="none" w:sz="0" w:space="0" w:color="auto"/>
        <w:bottom w:val="none" w:sz="0" w:space="0" w:color="auto"/>
        <w:right w:val="none" w:sz="0" w:space="0" w:color="auto"/>
      </w:divBdr>
    </w:div>
    <w:div w:id="1111820948">
      <w:bodyDiv w:val="1"/>
      <w:marLeft w:val="0"/>
      <w:marRight w:val="0"/>
      <w:marTop w:val="0"/>
      <w:marBottom w:val="0"/>
      <w:divBdr>
        <w:top w:val="none" w:sz="0" w:space="0" w:color="auto"/>
        <w:left w:val="none" w:sz="0" w:space="0" w:color="auto"/>
        <w:bottom w:val="none" w:sz="0" w:space="0" w:color="auto"/>
        <w:right w:val="none" w:sz="0" w:space="0" w:color="auto"/>
      </w:divBdr>
    </w:div>
    <w:div w:id="1111899879">
      <w:bodyDiv w:val="1"/>
      <w:marLeft w:val="0"/>
      <w:marRight w:val="0"/>
      <w:marTop w:val="0"/>
      <w:marBottom w:val="0"/>
      <w:divBdr>
        <w:top w:val="none" w:sz="0" w:space="0" w:color="auto"/>
        <w:left w:val="none" w:sz="0" w:space="0" w:color="auto"/>
        <w:bottom w:val="none" w:sz="0" w:space="0" w:color="auto"/>
        <w:right w:val="none" w:sz="0" w:space="0" w:color="auto"/>
      </w:divBdr>
    </w:div>
    <w:div w:id="1111899979">
      <w:bodyDiv w:val="1"/>
      <w:marLeft w:val="0"/>
      <w:marRight w:val="0"/>
      <w:marTop w:val="0"/>
      <w:marBottom w:val="0"/>
      <w:divBdr>
        <w:top w:val="none" w:sz="0" w:space="0" w:color="auto"/>
        <w:left w:val="none" w:sz="0" w:space="0" w:color="auto"/>
        <w:bottom w:val="none" w:sz="0" w:space="0" w:color="auto"/>
        <w:right w:val="none" w:sz="0" w:space="0" w:color="auto"/>
      </w:divBdr>
    </w:div>
    <w:div w:id="1112165094">
      <w:bodyDiv w:val="1"/>
      <w:marLeft w:val="0"/>
      <w:marRight w:val="0"/>
      <w:marTop w:val="0"/>
      <w:marBottom w:val="0"/>
      <w:divBdr>
        <w:top w:val="none" w:sz="0" w:space="0" w:color="auto"/>
        <w:left w:val="none" w:sz="0" w:space="0" w:color="auto"/>
        <w:bottom w:val="none" w:sz="0" w:space="0" w:color="auto"/>
        <w:right w:val="none" w:sz="0" w:space="0" w:color="auto"/>
      </w:divBdr>
    </w:div>
    <w:div w:id="1112238479">
      <w:bodyDiv w:val="1"/>
      <w:marLeft w:val="0"/>
      <w:marRight w:val="0"/>
      <w:marTop w:val="0"/>
      <w:marBottom w:val="0"/>
      <w:divBdr>
        <w:top w:val="none" w:sz="0" w:space="0" w:color="auto"/>
        <w:left w:val="none" w:sz="0" w:space="0" w:color="auto"/>
        <w:bottom w:val="none" w:sz="0" w:space="0" w:color="auto"/>
        <w:right w:val="none" w:sz="0" w:space="0" w:color="auto"/>
      </w:divBdr>
    </w:div>
    <w:div w:id="1112239917">
      <w:bodyDiv w:val="1"/>
      <w:marLeft w:val="0"/>
      <w:marRight w:val="0"/>
      <w:marTop w:val="0"/>
      <w:marBottom w:val="0"/>
      <w:divBdr>
        <w:top w:val="none" w:sz="0" w:space="0" w:color="auto"/>
        <w:left w:val="none" w:sz="0" w:space="0" w:color="auto"/>
        <w:bottom w:val="none" w:sz="0" w:space="0" w:color="auto"/>
        <w:right w:val="none" w:sz="0" w:space="0" w:color="auto"/>
      </w:divBdr>
    </w:div>
    <w:div w:id="1112281277">
      <w:bodyDiv w:val="1"/>
      <w:marLeft w:val="0"/>
      <w:marRight w:val="0"/>
      <w:marTop w:val="0"/>
      <w:marBottom w:val="0"/>
      <w:divBdr>
        <w:top w:val="none" w:sz="0" w:space="0" w:color="auto"/>
        <w:left w:val="none" w:sz="0" w:space="0" w:color="auto"/>
        <w:bottom w:val="none" w:sz="0" w:space="0" w:color="auto"/>
        <w:right w:val="none" w:sz="0" w:space="0" w:color="auto"/>
      </w:divBdr>
    </w:div>
    <w:div w:id="1112363449">
      <w:bodyDiv w:val="1"/>
      <w:marLeft w:val="0"/>
      <w:marRight w:val="0"/>
      <w:marTop w:val="0"/>
      <w:marBottom w:val="0"/>
      <w:divBdr>
        <w:top w:val="none" w:sz="0" w:space="0" w:color="auto"/>
        <w:left w:val="none" w:sz="0" w:space="0" w:color="auto"/>
        <w:bottom w:val="none" w:sz="0" w:space="0" w:color="auto"/>
        <w:right w:val="none" w:sz="0" w:space="0" w:color="auto"/>
      </w:divBdr>
    </w:div>
    <w:div w:id="1112363748">
      <w:bodyDiv w:val="1"/>
      <w:marLeft w:val="0"/>
      <w:marRight w:val="0"/>
      <w:marTop w:val="0"/>
      <w:marBottom w:val="0"/>
      <w:divBdr>
        <w:top w:val="none" w:sz="0" w:space="0" w:color="auto"/>
        <w:left w:val="none" w:sz="0" w:space="0" w:color="auto"/>
        <w:bottom w:val="none" w:sz="0" w:space="0" w:color="auto"/>
        <w:right w:val="none" w:sz="0" w:space="0" w:color="auto"/>
      </w:divBdr>
    </w:div>
    <w:div w:id="1112435334">
      <w:bodyDiv w:val="1"/>
      <w:marLeft w:val="0"/>
      <w:marRight w:val="0"/>
      <w:marTop w:val="0"/>
      <w:marBottom w:val="0"/>
      <w:divBdr>
        <w:top w:val="none" w:sz="0" w:space="0" w:color="auto"/>
        <w:left w:val="none" w:sz="0" w:space="0" w:color="auto"/>
        <w:bottom w:val="none" w:sz="0" w:space="0" w:color="auto"/>
        <w:right w:val="none" w:sz="0" w:space="0" w:color="auto"/>
      </w:divBdr>
    </w:div>
    <w:div w:id="1112436974">
      <w:bodyDiv w:val="1"/>
      <w:marLeft w:val="0"/>
      <w:marRight w:val="0"/>
      <w:marTop w:val="0"/>
      <w:marBottom w:val="0"/>
      <w:divBdr>
        <w:top w:val="none" w:sz="0" w:space="0" w:color="auto"/>
        <w:left w:val="none" w:sz="0" w:space="0" w:color="auto"/>
        <w:bottom w:val="none" w:sz="0" w:space="0" w:color="auto"/>
        <w:right w:val="none" w:sz="0" w:space="0" w:color="auto"/>
      </w:divBdr>
    </w:div>
    <w:div w:id="1112482490">
      <w:bodyDiv w:val="1"/>
      <w:marLeft w:val="0"/>
      <w:marRight w:val="0"/>
      <w:marTop w:val="0"/>
      <w:marBottom w:val="0"/>
      <w:divBdr>
        <w:top w:val="none" w:sz="0" w:space="0" w:color="auto"/>
        <w:left w:val="none" w:sz="0" w:space="0" w:color="auto"/>
        <w:bottom w:val="none" w:sz="0" w:space="0" w:color="auto"/>
        <w:right w:val="none" w:sz="0" w:space="0" w:color="auto"/>
      </w:divBdr>
    </w:div>
    <w:div w:id="1112555198">
      <w:bodyDiv w:val="1"/>
      <w:marLeft w:val="0"/>
      <w:marRight w:val="0"/>
      <w:marTop w:val="0"/>
      <w:marBottom w:val="0"/>
      <w:divBdr>
        <w:top w:val="none" w:sz="0" w:space="0" w:color="auto"/>
        <w:left w:val="none" w:sz="0" w:space="0" w:color="auto"/>
        <w:bottom w:val="none" w:sz="0" w:space="0" w:color="auto"/>
        <w:right w:val="none" w:sz="0" w:space="0" w:color="auto"/>
      </w:divBdr>
    </w:div>
    <w:div w:id="1112627899">
      <w:bodyDiv w:val="1"/>
      <w:marLeft w:val="0"/>
      <w:marRight w:val="0"/>
      <w:marTop w:val="0"/>
      <w:marBottom w:val="0"/>
      <w:divBdr>
        <w:top w:val="none" w:sz="0" w:space="0" w:color="auto"/>
        <w:left w:val="none" w:sz="0" w:space="0" w:color="auto"/>
        <w:bottom w:val="none" w:sz="0" w:space="0" w:color="auto"/>
        <w:right w:val="none" w:sz="0" w:space="0" w:color="auto"/>
      </w:divBdr>
    </w:div>
    <w:div w:id="1112629571">
      <w:bodyDiv w:val="1"/>
      <w:marLeft w:val="0"/>
      <w:marRight w:val="0"/>
      <w:marTop w:val="0"/>
      <w:marBottom w:val="0"/>
      <w:divBdr>
        <w:top w:val="none" w:sz="0" w:space="0" w:color="auto"/>
        <w:left w:val="none" w:sz="0" w:space="0" w:color="auto"/>
        <w:bottom w:val="none" w:sz="0" w:space="0" w:color="auto"/>
        <w:right w:val="none" w:sz="0" w:space="0" w:color="auto"/>
      </w:divBdr>
    </w:div>
    <w:div w:id="1112671563">
      <w:bodyDiv w:val="1"/>
      <w:marLeft w:val="0"/>
      <w:marRight w:val="0"/>
      <w:marTop w:val="0"/>
      <w:marBottom w:val="0"/>
      <w:divBdr>
        <w:top w:val="none" w:sz="0" w:space="0" w:color="auto"/>
        <w:left w:val="none" w:sz="0" w:space="0" w:color="auto"/>
        <w:bottom w:val="none" w:sz="0" w:space="0" w:color="auto"/>
        <w:right w:val="none" w:sz="0" w:space="0" w:color="auto"/>
      </w:divBdr>
    </w:div>
    <w:div w:id="1112702400">
      <w:bodyDiv w:val="1"/>
      <w:marLeft w:val="0"/>
      <w:marRight w:val="0"/>
      <w:marTop w:val="0"/>
      <w:marBottom w:val="0"/>
      <w:divBdr>
        <w:top w:val="none" w:sz="0" w:space="0" w:color="auto"/>
        <w:left w:val="none" w:sz="0" w:space="0" w:color="auto"/>
        <w:bottom w:val="none" w:sz="0" w:space="0" w:color="auto"/>
        <w:right w:val="none" w:sz="0" w:space="0" w:color="auto"/>
      </w:divBdr>
    </w:div>
    <w:div w:id="1112744467">
      <w:bodyDiv w:val="1"/>
      <w:marLeft w:val="0"/>
      <w:marRight w:val="0"/>
      <w:marTop w:val="0"/>
      <w:marBottom w:val="0"/>
      <w:divBdr>
        <w:top w:val="none" w:sz="0" w:space="0" w:color="auto"/>
        <w:left w:val="none" w:sz="0" w:space="0" w:color="auto"/>
        <w:bottom w:val="none" w:sz="0" w:space="0" w:color="auto"/>
        <w:right w:val="none" w:sz="0" w:space="0" w:color="auto"/>
      </w:divBdr>
    </w:div>
    <w:div w:id="1112748771">
      <w:bodyDiv w:val="1"/>
      <w:marLeft w:val="0"/>
      <w:marRight w:val="0"/>
      <w:marTop w:val="0"/>
      <w:marBottom w:val="0"/>
      <w:divBdr>
        <w:top w:val="none" w:sz="0" w:space="0" w:color="auto"/>
        <w:left w:val="none" w:sz="0" w:space="0" w:color="auto"/>
        <w:bottom w:val="none" w:sz="0" w:space="0" w:color="auto"/>
        <w:right w:val="none" w:sz="0" w:space="0" w:color="auto"/>
      </w:divBdr>
    </w:div>
    <w:div w:id="1112819959">
      <w:bodyDiv w:val="1"/>
      <w:marLeft w:val="0"/>
      <w:marRight w:val="0"/>
      <w:marTop w:val="0"/>
      <w:marBottom w:val="0"/>
      <w:divBdr>
        <w:top w:val="none" w:sz="0" w:space="0" w:color="auto"/>
        <w:left w:val="none" w:sz="0" w:space="0" w:color="auto"/>
        <w:bottom w:val="none" w:sz="0" w:space="0" w:color="auto"/>
        <w:right w:val="none" w:sz="0" w:space="0" w:color="auto"/>
      </w:divBdr>
    </w:div>
    <w:div w:id="1112869738">
      <w:bodyDiv w:val="1"/>
      <w:marLeft w:val="0"/>
      <w:marRight w:val="0"/>
      <w:marTop w:val="0"/>
      <w:marBottom w:val="0"/>
      <w:divBdr>
        <w:top w:val="none" w:sz="0" w:space="0" w:color="auto"/>
        <w:left w:val="none" w:sz="0" w:space="0" w:color="auto"/>
        <w:bottom w:val="none" w:sz="0" w:space="0" w:color="auto"/>
        <w:right w:val="none" w:sz="0" w:space="0" w:color="auto"/>
      </w:divBdr>
    </w:div>
    <w:div w:id="1112892999">
      <w:bodyDiv w:val="1"/>
      <w:marLeft w:val="0"/>
      <w:marRight w:val="0"/>
      <w:marTop w:val="0"/>
      <w:marBottom w:val="0"/>
      <w:divBdr>
        <w:top w:val="none" w:sz="0" w:space="0" w:color="auto"/>
        <w:left w:val="none" w:sz="0" w:space="0" w:color="auto"/>
        <w:bottom w:val="none" w:sz="0" w:space="0" w:color="auto"/>
        <w:right w:val="none" w:sz="0" w:space="0" w:color="auto"/>
      </w:divBdr>
    </w:div>
    <w:div w:id="1112895316">
      <w:bodyDiv w:val="1"/>
      <w:marLeft w:val="0"/>
      <w:marRight w:val="0"/>
      <w:marTop w:val="0"/>
      <w:marBottom w:val="0"/>
      <w:divBdr>
        <w:top w:val="none" w:sz="0" w:space="0" w:color="auto"/>
        <w:left w:val="none" w:sz="0" w:space="0" w:color="auto"/>
        <w:bottom w:val="none" w:sz="0" w:space="0" w:color="auto"/>
        <w:right w:val="none" w:sz="0" w:space="0" w:color="auto"/>
      </w:divBdr>
    </w:div>
    <w:div w:id="1112937121">
      <w:bodyDiv w:val="1"/>
      <w:marLeft w:val="0"/>
      <w:marRight w:val="0"/>
      <w:marTop w:val="0"/>
      <w:marBottom w:val="0"/>
      <w:divBdr>
        <w:top w:val="none" w:sz="0" w:space="0" w:color="auto"/>
        <w:left w:val="none" w:sz="0" w:space="0" w:color="auto"/>
        <w:bottom w:val="none" w:sz="0" w:space="0" w:color="auto"/>
        <w:right w:val="none" w:sz="0" w:space="0" w:color="auto"/>
      </w:divBdr>
    </w:div>
    <w:div w:id="1112939991">
      <w:bodyDiv w:val="1"/>
      <w:marLeft w:val="0"/>
      <w:marRight w:val="0"/>
      <w:marTop w:val="0"/>
      <w:marBottom w:val="0"/>
      <w:divBdr>
        <w:top w:val="none" w:sz="0" w:space="0" w:color="auto"/>
        <w:left w:val="none" w:sz="0" w:space="0" w:color="auto"/>
        <w:bottom w:val="none" w:sz="0" w:space="0" w:color="auto"/>
        <w:right w:val="none" w:sz="0" w:space="0" w:color="auto"/>
      </w:divBdr>
    </w:div>
    <w:div w:id="1113011045">
      <w:bodyDiv w:val="1"/>
      <w:marLeft w:val="0"/>
      <w:marRight w:val="0"/>
      <w:marTop w:val="0"/>
      <w:marBottom w:val="0"/>
      <w:divBdr>
        <w:top w:val="none" w:sz="0" w:space="0" w:color="auto"/>
        <w:left w:val="none" w:sz="0" w:space="0" w:color="auto"/>
        <w:bottom w:val="none" w:sz="0" w:space="0" w:color="auto"/>
        <w:right w:val="none" w:sz="0" w:space="0" w:color="auto"/>
      </w:divBdr>
    </w:div>
    <w:div w:id="1113013908">
      <w:bodyDiv w:val="1"/>
      <w:marLeft w:val="0"/>
      <w:marRight w:val="0"/>
      <w:marTop w:val="0"/>
      <w:marBottom w:val="0"/>
      <w:divBdr>
        <w:top w:val="none" w:sz="0" w:space="0" w:color="auto"/>
        <w:left w:val="none" w:sz="0" w:space="0" w:color="auto"/>
        <w:bottom w:val="none" w:sz="0" w:space="0" w:color="auto"/>
        <w:right w:val="none" w:sz="0" w:space="0" w:color="auto"/>
      </w:divBdr>
    </w:div>
    <w:div w:id="1113017380">
      <w:bodyDiv w:val="1"/>
      <w:marLeft w:val="0"/>
      <w:marRight w:val="0"/>
      <w:marTop w:val="0"/>
      <w:marBottom w:val="0"/>
      <w:divBdr>
        <w:top w:val="none" w:sz="0" w:space="0" w:color="auto"/>
        <w:left w:val="none" w:sz="0" w:space="0" w:color="auto"/>
        <w:bottom w:val="none" w:sz="0" w:space="0" w:color="auto"/>
        <w:right w:val="none" w:sz="0" w:space="0" w:color="auto"/>
      </w:divBdr>
    </w:div>
    <w:div w:id="1113282662">
      <w:bodyDiv w:val="1"/>
      <w:marLeft w:val="0"/>
      <w:marRight w:val="0"/>
      <w:marTop w:val="0"/>
      <w:marBottom w:val="0"/>
      <w:divBdr>
        <w:top w:val="none" w:sz="0" w:space="0" w:color="auto"/>
        <w:left w:val="none" w:sz="0" w:space="0" w:color="auto"/>
        <w:bottom w:val="none" w:sz="0" w:space="0" w:color="auto"/>
        <w:right w:val="none" w:sz="0" w:space="0" w:color="auto"/>
      </w:divBdr>
    </w:div>
    <w:div w:id="1113397728">
      <w:bodyDiv w:val="1"/>
      <w:marLeft w:val="0"/>
      <w:marRight w:val="0"/>
      <w:marTop w:val="0"/>
      <w:marBottom w:val="0"/>
      <w:divBdr>
        <w:top w:val="none" w:sz="0" w:space="0" w:color="auto"/>
        <w:left w:val="none" w:sz="0" w:space="0" w:color="auto"/>
        <w:bottom w:val="none" w:sz="0" w:space="0" w:color="auto"/>
        <w:right w:val="none" w:sz="0" w:space="0" w:color="auto"/>
      </w:divBdr>
    </w:div>
    <w:div w:id="1113401277">
      <w:bodyDiv w:val="1"/>
      <w:marLeft w:val="0"/>
      <w:marRight w:val="0"/>
      <w:marTop w:val="0"/>
      <w:marBottom w:val="0"/>
      <w:divBdr>
        <w:top w:val="none" w:sz="0" w:space="0" w:color="auto"/>
        <w:left w:val="none" w:sz="0" w:space="0" w:color="auto"/>
        <w:bottom w:val="none" w:sz="0" w:space="0" w:color="auto"/>
        <w:right w:val="none" w:sz="0" w:space="0" w:color="auto"/>
      </w:divBdr>
    </w:div>
    <w:div w:id="1113473899">
      <w:bodyDiv w:val="1"/>
      <w:marLeft w:val="0"/>
      <w:marRight w:val="0"/>
      <w:marTop w:val="0"/>
      <w:marBottom w:val="0"/>
      <w:divBdr>
        <w:top w:val="none" w:sz="0" w:space="0" w:color="auto"/>
        <w:left w:val="none" w:sz="0" w:space="0" w:color="auto"/>
        <w:bottom w:val="none" w:sz="0" w:space="0" w:color="auto"/>
        <w:right w:val="none" w:sz="0" w:space="0" w:color="auto"/>
      </w:divBdr>
    </w:div>
    <w:div w:id="1113481597">
      <w:bodyDiv w:val="1"/>
      <w:marLeft w:val="0"/>
      <w:marRight w:val="0"/>
      <w:marTop w:val="0"/>
      <w:marBottom w:val="0"/>
      <w:divBdr>
        <w:top w:val="none" w:sz="0" w:space="0" w:color="auto"/>
        <w:left w:val="none" w:sz="0" w:space="0" w:color="auto"/>
        <w:bottom w:val="none" w:sz="0" w:space="0" w:color="auto"/>
        <w:right w:val="none" w:sz="0" w:space="0" w:color="auto"/>
      </w:divBdr>
    </w:div>
    <w:div w:id="1113522812">
      <w:bodyDiv w:val="1"/>
      <w:marLeft w:val="0"/>
      <w:marRight w:val="0"/>
      <w:marTop w:val="0"/>
      <w:marBottom w:val="0"/>
      <w:divBdr>
        <w:top w:val="none" w:sz="0" w:space="0" w:color="auto"/>
        <w:left w:val="none" w:sz="0" w:space="0" w:color="auto"/>
        <w:bottom w:val="none" w:sz="0" w:space="0" w:color="auto"/>
        <w:right w:val="none" w:sz="0" w:space="0" w:color="auto"/>
      </w:divBdr>
    </w:div>
    <w:div w:id="1113548889">
      <w:bodyDiv w:val="1"/>
      <w:marLeft w:val="0"/>
      <w:marRight w:val="0"/>
      <w:marTop w:val="0"/>
      <w:marBottom w:val="0"/>
      <w:divBdr>
        <w:top w:val="none" w:sz="0" w:space="0" w:color="auto"/>
        <w:left w:val="none" w:sz="0" w:space="0" w:color="auto"/>
        <w:bottom w:val="none" w:sz="0" w:space="0" w:color="auto"/>
        <w:right w:val="none" w:sz="0" w:space="0" w:color="auto"/>
      </w:divBdr>
    </w:div>
    <w:div w:id="1113741683">
      <w:bodyDiv w:val="1"/>
      <w:marLeft w:val="0"/>
      <w:marRight w:val="0"/>
      <w:marTop w:val="0"/>
      <w:marBottom w:val="0"/>
      <w:divBdr>
        <w:top w:val="none" w:sz="0" w:space="0" w:color="auto"/>
        <w:left w:val="none" w:sz="0" w:space="0" w:color="auto"/>
        <w:bottom w:val="none" w:sz="0" w:space="0" w:color="auto"/>
        <w:right w:val="none" w:sz="0" w:space="0" w:color="auto"/>
      </w:divBdr>
    </w:div>
    <w:div w:id="1113793045">
      <w:bodyDiv w:val="1"/>
      <w:marLeft w:val="0"/>
      <w:marRight w:val="0"/>
      <w:marTop w:val="0"/>
      <w:marBottom w:val="0"/>
      <w:divBdr>
        <w:top w:val="none" w:sz="0" w:space="0" w:color="auto"/>
        <w:left w:val="none" w:sz="0" w:space="0" w:color="auto"/>
        <w:bottom w:val="none" w:sz="0" w:space="0" w:color="auto"/>
        <w:right w:val="none" w:sz="0" w:space="0" w:color="auto"/>
      </w:divBdr>
    </w:div>
    <w:div w:id="1113941501">
      <w:bodyDiv w:val="1"/>
      <w:marLeft w:val="0"/>
      <w:marRight w:val="0"/>
      <w:marTop w:val="0"/>
      <w:marBottom w:val="0"/>
      <w:divBdr>
        <w:top w:val="none" w:sz="0" w:space="0" w:color="auto"/>
        <w:left w:val="none" w:sz="0" w:space="0" w:color="auto"/>
        <w:bottom w:val="none" w:sz="0" w:space="0" w:color="auto"/>
        <w:right w:val="none" w:sz="0" w:space="0" w:color="auto"/>
      </w:divBdr>
    </w:div>
    <w:div w:id="1113944070">
      <w:bodyDiv w:val="1"/>
      <w:marLeft w:val="0"/>
      <w:marRight w:val="0"/>
      <w:marTop w:val="0"/>
      <w:marBottom w:val="0"/>
      <w:divBdr>
        <w:top w:val="none" w:sz="0" w:space="0" w:color="auto"/>
        <w:left w:val="none" w:sz="0" w:space="0" w:color="auto"/>
        <w:bottom w:val="none" w:sz="0" w:space="0" w:color="auto"/>
        <w:right w:val="none" w:sz="0" w:space="0" w:color="auto"/>
      </w:divBdr>
    </w:div>
    <w:div w:id="1114056903">
      <w:bodyDiv w:val="1"/>
      <w:marLeft w:val="0"/>
      <w:marRight w:val="0"/>
      <w:marTop w:val="0"/>
      <w:marBottom w:val="0"/>
      <w:divBdr>
        <w:top w:val="none" w:sz="0" w:space="0" w:color="auto"/>
        <w:left w:val="none" w:sz="0" w:space="0" w:color="auto"/>
        <w:bottom w:val="none" w:sz="0" w:space="0" w:color="auto"/>
        <w:right w:val="none" w:sz="0" w:space="0" w:color="auto"/>
      </w:divBdr>
    </w:div>
    <w:div w:id="1114057806">
      <w:bodyDiv w:val="1"/>
      <w:marLeft w:val="0"/>
      <w:marRight w:val="0"/>
      <w:marTop w:val="0"/>
      <w:marBottom w:val="0"/>
      <w:divBdr>
        <w:top w:val="none" w:sz="0" w:space="0" w:color="auto"/>
        <w:left w:val="none" w:sz="0" w:space="0" w:color="auto"/>
        <w:bottom w:val="none" w:sz="0" w:space="0" w:color="auto"/>
        <w:right w:val="none" w:sz="0" w:space="0" w:color="auto"/>
      </w:divBdr>
    </w:div>
    <w:div w:id="1114130569">
      <w:bodyDiv w:val="1"/>
      <w:marLeft w:val="0"/>
      <w:marRight w:val="0"/>
      <w:marTop w:val="0"/>
      <w:marBottom w:val="0"/>
      <w:divBdr>
        <w:top w:val="none" w:sz="0" w:space="0" w:color="auto"/>
        <w:left w:val="none" w:sz="0" w:space="0" w:color="auto"/>
        <w:bottom w:val="none" w:sz="0" w:space="0" w:color="auto"/>
        <w:right w:val="none" w:sz="0" w:space="0" w:color="auto"/>
      </w:divBdr>
    </w:div>
    <w:div w:id="1114133715">
      <w:bodyDiv w:val="1"/>
      <w:marLeft w:val="0"/>
      <w:marRight w:val="0"/>
      <w:marTop w:val="0"/>
      <w:marBottom w:val="0"/>
      <w:divBdr>
        <w:top w:val="none" w:sz="0" w:space="0" w:color="auto"/>
        <w:left w:val="none" w:sz="0" w:space="0" w:color="auto"/>
        <w:bottom w:val="none" w:sz="0" w:space="0" w:color="auto"/>
        <w:right w:val="none" w:sz="0" w:space="0" w:color="auto"/>
      </w:divBdr>
    </w:div>
    <w:div w:id="1114209492">
      <w:bodyDiv w:val="1"/>
      <w:marLeft w:val="0"/>
      <w:marRight w:val="0"/>
      <w:marTop w:val="0"/>
      <w:marBottom w:val="0"/>
      <w:divBdr>
        <w:top w:val="none" w:sz="0" w:space="0" w:color="auto"/>
        <w:left w:val="none" w:sz="0" w:space="0" w:color="auto"/>
        <w:bottom w:val="none" w:sz="0" w:space="0" w:color="auto"/>
        <w:right w:val="none" w:sz="0" w:space="0" w:color="auto"/>
      </w:divBdr>
    </w:div>
    <w:div w:id="1114209972">
      <w:bodyDiv w:val="1"/>
      <w:marLeft w:val="0"/>
      <w:marRight w:val="0"/>
      <w:marTop w:val="0"/>
      <w:marBottom w:val="0"/>
      <w:divBdr>
        <w:top w:val="none" w:sz="0" w:space="0" w:color="auto"/>
        <w:left w:val="none" w:sz="0" w:space="0" w:color="auto"/>
        <w:bottom w:val="none" w:sz="0" w:space="0" w:color="auto"/>
        <w:right w:val="none" w:sz="0" w:space="0" w:color="auto"/>
      </w:divBdr>
    </w:div>
    <w:div w:id="1114331152">
      <w:bodyDiv w:val="1"/>
      <w:marLeft w:val="0"/>
      <w:marRight w:val="0"/>
      <w:marTop w:val="0"/>
      <w:marBottom w:val="0"/>
      <w:divBdr>
        <w:top w:val="none" w:sz="0" w:space="0" w:color="auto"/>
        <w:left w:val="none" w:sz="0" w:space="0" w:color="auto"/>
        <w:bottom w:val="none" w:sz="0" w:space="0" w:color="auto"/>
        <w:right w:val="none" w:sz="0" w:space="0" w:color="auto"/>
      </w:divBdr>
    </w:div>
    <w:div w:id="1114400855">
      <w:bodyDiv w:val="1"/>
      <w:marLeft w:val="0"/>
      <w:marRight w:val="0"/>
      <w:marTop w:val="0"/>
      <w:marBottom w:val="0"/>
      <w:divBdr>
        <w:top w:val="none" w:sz="0" w:space="0" w:color="auto"/>
        <w:left w:val="none" w:sz="0" w:space="0" w:color="auto"/>
        <w:bottom w:val="none" w:sz="0" w:space="0" w:color="auto"/>
        <w:right w:val="none" w:sz="0" w:space="0" w:color="auto"/>
      </w:divBdr>
    </w:div>
    <w:div w:id="1114445044">
      <w:bodyDiv w:val="1"/>
      <w:marLeft w:val="0"/>
      <w:marRight w:val="0"/>
      <w:marTop w:val="0"/>
      <w:marBottom w:val="0"/>
      <w:divBdr>
        <w:top w:val="none" w:sz="0" w:space="0" w:color="auto"/>
        <w:left w:val="none" w:sz="0" w:space="0" w:color="auto"/>
        <w:bottom w:val="none" w:sz="0" w:space="0" w:color="auto"/>
        <w:right w:val="none" w:sz="0" w:space="0" w:color="auto"/>
      </w:divBdr>
    </w:div>
    <w:div w:id="1114446889">
      <w:bodyDiv w:val="1"/>
      <w:marLeft w:val="0"/>
      <w:marRight w:val="0"/>
      <w:marTop w:val="0"/>
      <w:marBottom w:val="0"/>
      <w:divBdr>
        <w:top w:val="none" w:sz="0" w:space="0" w:color="auto"/>
        <w:left w:val="none" w:sz="0" w:space="0" w:color="auto"/>
        <w:bottom w:val="none" w:sz="0" w:space="0" w:color="auto"/>
        <w:right w:val="none" w:sz="0" w:space="0" w:color="auto"/>
      </w:divBdr>
    </w:div>
    <w:div w:id="1114518113">
      <w:bodyDiv w:val="1"/>
      <w:marLeft w:val="0"/>
      <w:marRight w:val="0"/>
      <w:marTop w:val="0"/>
      <w:marBottom w:val="0"/>
      <w:divBdr>
        <w:top w:val="none" w:sz="0" w:space="0" w:color="auto"/>
        <w:left w:val="none" w:sz="0" w:space="0" w:color="auto"/>
        <w:bottom w:val="none" w:sz="0" w:space="0" w:color="auto"/>
        <w:right w:val="none" w:sz="0" w:space="0" w:color="auto"/>
      </w:divBdr>
    </w:div>
    <w:div w:id="1114518773">
      <w:bodyDiv w:val="1"/>
      <w:marLeft w:val="0"/>
      <w:marRight w:val="0"/>
      <w:marTop w:val="0"/>
      <w:marBottom w:val="0"/>
      <w:divBdr>
        <w:top w:val="none" w:sz="0" w:space="0" w:color="auto"/>
        <w:left w:val="none" w:sz="0" w:space="0" w:color="auto"/>
        <w:bottom w:val="none" w:sz="0" w:space="0" w:color="auto"/>
        <w:right w:val="none" w:sz="0" w:space="0" w:color="auto"/>
      </w:divBdr>
    </w:div>
    <w:div w:id="1114520701">
      <w:bodyDiv w:val="1"/>
      <w:marLeft w:val="0"/>
      <w:marRight w:val="0"/>
      <w:marTop w:val="0"/>
      <w:marBottom w:val="0"/>
      <w:divBdr>
        <w:top w:val="none" w:sz="0" w:space="0" w:color="auto"/>
        <w:left w:val="none" w:sz="0" w:space="0" w:color="auto"/>
        <w:bottom w:val="none" w:sz="0" w:space="0" w:color="auto"/>
        <w:right w:val="none" w:sz="0" w:space="0" w:color="auto"/>
      </w:divBdr>
    </w:div>
    <w:div w:id="1114598887">
      <w:bodyDiv w:val="1"/>
      <w:marLeft w:val="0"/>
      <w:marRight w:val="0"/>
      <w:marTop w:val="0"/>
      <w:marBottom w:val="0"/>
      <w:divBdr>
        <w:top w:val="none" w:sz="0" w:space="0" w:color="auto"/>
        <w:left w:val="none" w:sz="0" w:space="0" w:color="auto"/>
        <w:bottom w:val="none" w:sz="0" w:space="0" w:color="auto"/>
        <w:right w:val="none" w:sz="0" w:space="0" w:color="auto"/>
      </w:divBdr>
    </w:div>
    <w:div w:id="1114668039">
      <w:bodyDiv w:val="1"/>
      <w:marLeft w:val="0"/>
      <w:marRight w:val="0"/>
      <w:marTop w:val="0"/>
      <w:marBottom w:val="0"/>
      <w:divBdr>
        <w:top w:val="none" w:sz="0" w:space="0" w:color="auto"/>
        <w:left w:val="none" w:sz="0" w:space="0" w:color="auto"/>
        <w:bottom w:val="none" w:sz="0" w:space="0" w:color="auto"/>
        <w:right w:val="none" w:sz="0" w:space="0" w:color="auto"/>
      </w:divBdr>
    </w:div>
    <w:div w:id="1114786866">
      <w:bodyDiv w:val="1"/>
      <w:marLeft w:val="0"/>
      <w:marRight w:val="0"/>
      <w:marTop w:val="0"/>
      <w:marBottom w:val="0"/>
      <w:divBdr>
        <w:top w:val="none" w:sz="0" w:space="0" w:color="auto"/>
        <w:left w:val="none" w:sz="0" w:space="0" w:color="auto"/>
        <w:bottom w:val="none" w:sz="0" w:space="0" w:color="auto"/>
        <w:right w:val="none" w:sz="0" w:space="0" w:color="auto"/>
      </w:divBdr>
    </w:div>
    <w:div w:id="1114787900">
      <w:bodyDiv w:val="1"/>
      <w:marLeft w:val="0"/>
      <w:marRight w:val="0"/>
      <w:marTop w:val="0"/>
      <w:marBottom w:val="0"/>
      <w:divBdr>
        <w:top w:val="none" w:sz="0" w:space="0" w:color="auto"/>
        <w:left w:val="none" w:sz="0" w:space="0" w:color="auto"/>
        <w:bottom w:val="none" w:sz="0" w:space="0" w:color="auto"/>
        <w:right w:val="none" w:sz="0" w:space="0" w:color="auto"/>
      </w:divBdr>
    </w:div>
    <w:div w:id="1114788006">
      <w:bodyDiv w:val="1"/>
      <w:marLeft w:val="0"/>
      <w:marRight w:val="0"/>
      <w:marTop w:val="0"/>
      <w:marBottom w:val="0"/>
      <w:divBdr>
        <w:top w:val="none" w:sz="0" w:space="0" w:color="auto"/>
        <w:left w:val="none" w:sz="0" w:space="0" w:color="auto"/>
        <w:bottom w:val="none" w:sz="0" w:space="0" w:color="auto"/>
        <w:right w:val="none" w:sz="0" w:space="0" w:color="auto"/>
      </w:divBdr>
    </w:div>
    <w:div w:id="1114790410">
      <w:bodyDiv w:val="1"/>
      <w:marLeft w:val="0"/>
      <w:marRight w:val="0"/>
      <w:marTop w:val="0"/>
      <w:marBottom w:val="0"/>
      <w:divBdr>
        <w:top w:val="none" w:sz="0" w:space="0" w:color="auto"/>
        <w:left w:val="none" w:sz="0" w:space="0" w:color="auto"/>
        <w:bottom w:val="none" w:sz="0" w:space="0" w:color="auto"/>
        <w:right w:val="none" w:sz="0" w:space="0" w:color="auto"/>
      </w:divBdr>
    </w:div>
    <w:div w:id="1115053749">
      <w:bodyDiv w:val="1"/>
      <w:marLeft w:val="0"/>
      <w:marRight w:val="0"/>
      <w:marTop w:val="0"/>
      <w:marBottom w:val="0"/>
      <w:divBdr>
        <w:top w:val="none" w:sz="0" w:space="0" w:color="auto"/>
        <w:left w:val="none" w:sz="0" w:space="0" w:color="auto"/>
        <w:bottom w:val="none" w:sz="0" w:space="0" w:color="auto"/>
        <w:right w:val="none" w:sz="0" w:space="0" w:color="auto"/>
      </w:divBdr>
    </w:div>
    <w:div w:id="1115061330">
      <w:bodyDiv w:val="1"/>
      <w:marLeft w:val="0"/>
      <w:marRight w:val="0"/>
      <w:marTop w:val="0"/>
      <w:marBottom w:val="0"/>
      <w:divBdr>
        <w:top w:val="none" w:sz="0" w:space="0" w:color="auto"/>
        <w:left w:val="none" w:sz="0" w:space="0" w:color="auto"/>
        <w:bottom w:val="none" w:sz="0" w:space="0" w:color="auto"/>
        <w:right w:val="none" w:sz="0" w:space="0" w:color="auto"/>
      </w:divBdr>
    </w:div>
    <w:div w:id="1115096579">
      <w:bodyDiv w:val="1"/>
      <w:marLeft w:val="0"/>
      <w:marRight w:val="0"/>
      <w:marTop w:val="0"/>
      <w:marBottom w:val="0"/>
      <w:divBdr>
        <w:top w:val="none" w:sz="0" w:space="0" w:color="auto"/>
        <w:left w:val="none" w:sz="0" w:space="0" w:color="auto"/>
        <w:bottom w:val="none" w:sz="0" w:space="0" w:color="auto"/>
        <w:right w:val="none" w:sz="0" w:space="0" w:color="auto"/>
      </w:divBdr>
    </w:div>
    <w:div w:id="1115247855">
      <w:bodyDiv w:val="1"/>
      <w:marLeft w:val="0"/>
      <w:marRight w:val="0"/>
      <w:marTop w:val="0"/>
      <w:marBottom w:val="0"/>
      <w:divBdr>
        <w:top w:val="none" w:sz="0" w:space="0" w:color="auto"/>
        <w:left w:val="none" w:sz="0" w:space="0" w:color="auto"/>
        <w:bottom w:val="none" w:sz="0" w:space="0" w:color="auto"/>
        <w:right w:val="none" w:sz="0" w:space="0" w:color="auto"/>
      </w:divBdr>
    </w:div>
    <w:div w:id="1115441479">
      <w:bodyDiv w:val="1"/>
      <w:marLeft w:val="0"/>
      <w:marRight w:val="0"/>
      <w:marTop w:val="0"/>
      <w:marBottom w:val="0"/>
      <w:divBdr>
        <w:top w:val="none" w:sz="0" w:space="0" w:color="auto"/>
        <w:left w:val="none" w:sz="0" w:space="0" w:color="auto"/>
        <w:bottom w:val="none" w:sz="0" w:space="0" w:color="auto"/>
        <w:right w:val="none" w:sz="0" w:space="0" w:color="auto"/>
      </w:divBdr>
    </w:div>
    <w:div w:id="1115490898">
      <w:bodyDiv w:val="1"/>
      <w:marLeft w:val="0"/>
      <w:marRight w:val="0"/>
      <w:marTop w:val="0"/>
      <w:marBottom w:val="0"/>
      <w:divBdr>
        <w:top w:val="none" w:sz="0" w:space="0" w:color="auto"/>
        <w:left w:val="none" w:sz="0" w:space="0" w:color="auto"/>
        <w:bottom w:val="none" w:sz="0" w:space="0" w:color="auto"/>
        <w:right w:val="none" w:sz="0" w:space="0" w:color="auto"/>
      </w:divBdr>
    </w:div>
    <w:div w:id="1115635631">
      <w:bodyDiv w:val="1"/>
      <w:marLeft w:val="0"/>
      <w:marRight w:val="0"/>
      <w:marTop w:val="0"/>
      <w:marBottom w:val="0"/>
      <w:divBdr>
        <w:top w:val="none" w:sz="0" w:space="0" w:color="auto"/>
        <w:left w:val="none" w:sz="0" w:space="0" w:color="auto"/>
        <w:bottom w:val="none" w:sz="0" w:space="0" w:color="auto"/>
        <w:right w:val="none" w:sz="0" w:space="0" w:color="auto"/>
      </w:divBdr>
    </w:div>
    <w:div w:id="1115711297">
      <w:bodyDiv w:val="1"/>
      <w:marLeft w:val="0"/>
      <w:marRight w:val="0"/>
      <w:marTop w:val="0"/>
      <w:marBottom w:val="0"/>
      <w:divBdr>
        <w:top w:val="none" w:sz="0" w:space="0" w:color="auto"/>
        <w:left w:val="none" w:sz="0" w:space="0" w:color="auto"/>
        <w:bottom w:val="none" w:sz="0" w:space="0" w:color="auto"/>
        <w:right w:val="none" w:sz="0" w:space="0" w:color="auto"/>
      </w:divBdr>
    </w:div>
    <w:div w:id="1115757237">
      <w:bodyDiv w:val="1"/>
      <w:marLeft w:val="0"/>
      <w:marRight w:val="0"/>
      <w:marTop w:val="0"/>
      <w:marBottom w:val="0"/>
      <w:divBdr>
        <w:top w:val="none" w:sz="0" w:space="0" w:color="auto"/>
        <w:left w:val="none" w:sz="0" w:space="0" w:color="auto"/>
        <w:bottom w:val="none" w:sz="0" w:space="0" w:color="auto"/>
        <w:right w:val="none" w:sz="0" w:space="0" w:color="auto"/>
      </w:divBdr>
    </w:div>
    <w:div w:id="1115826451">
      <w:bodyDiv w:val="1"/>
      <w:marLeft w:val="0"/>
      <w:marRight w:val="0"/>
      <w:marTop w:val="0"/>
      <w:marBottom w:val="0"/>
      <w:divBdr>
        <w:top w:val="none" w:sz="0" w:space="0" w:color="auto"/>
        <w:left w:val="none" w:sz="0" w:space="0" w:color="auto"/>
        <w:bottom w:val="none" w:sz="0" w:space="0" w:color="auto"/>
        <w:right w:val="none" w:sz="0" w:space="0" w:color="auto"/>
      </w:divBdr>
    </w:div>
    <w:div w:id="1116018705">
      <w:bodyDiv w:val="1"/>
      <w:marLeft w:val="0"/>
      <w:marRight w:val="0"/>
      <w:marTop w:val="0"/>
      <w:marBottom w:val="0"/>
      <w:divBdr>
        <w:top w:val="none" w:sz="0" w:space="0" w:color="auto"/>
        <w:left w:val="none" w:sz="0" w:space="0" w:color="auto"/>
        <w:bottom w:val="none" w:sz="0" w:space="0" w:color="auto"/>
        <w:right w:val="none" w:sz="0" w:space="0" w:color="auto"/>
      </w:divBdr>
    </w:div>
    <w:div w:id="1116019627">
      <w:bodyDiv w:val="1"/>
      <w:marLeft w:val="0"/>
      <w:marRight w:val="0"/>
      <w:marTop w:val="0"/>
      <w:marBottom w:val="0"/>
      <w:divBdr>
        <w:top w:val="none" w:sz="0" w:space="0" w:color="auto"/>
        <w:left w:val="none" w:sz="0" w:space="0" w:color="auto"/>
        <w:bottom w:val="none" w:sz="0" w:space="0" w:color="auto"/>
        <w:right w:val="none" w:sz="0" w:space="0" w:color="auto"/>
      </w:divBdr>
    </w:div>
    <w:div w:id="1116100868">
      <w:bodyDiv w:val="1"/>
      <w:marLeft w:val="0"/>
      <w:marRight w:val="0"/>
      <w:marTop w:val="0"/>
      <w:marBottom w:val="0"/>
      <w:divBdr>
        <w:top w:val="none" w:sz="0" w:space="0" w:color="auto"/>
        <w:left w:val="none" w:sz="0" w:space="0" w:color="auto"/>
        <w:bottom w:val="none" w:sz="0" w:space="0" w:color="auto"/>
        <w:right w:val="none" w:sz="0" w:space="0" w:color="auto"/>
      </w:divBdr>
    </w:div>
    <w:div w:id="1116171145">
      <w:bodyDiv w:val="1"/>
      <w:marLeft w:val="0"/>
      <w:marRight w:val="0"/>
      <w:marTop w:val="0"/>
      <w:marBottom w:val="0"/>
      <w:divBdr>
        <w:top w:val="none" w:sz="0" w:space="0" w:color="auto"/>
        <w:left w:val="none" w:sz="0" w:space="0" w:color="auto"/>
        <w:bottom w:val="none" w:sz="0" w:space="0" w:color="auto"/>
        <w:right w:val="none" w:sz="0" w:space="0" w:color="auto"/>
      </w:divBdr>
    </w:div>
    <w:div w:id="1116171517">
      <w:bodyDiv w:val="1"/>
      <w:marLeft w:val="0"/>
      <w:marRight w:val="0"/>
      <w:marTop w:val="0"/>
      <w:marBottom w:val="0"/>
      <w:divBdr>
        <w:top w:val="none" w:sz="0" w:space="0" w:color="auto"/>
        <w:left w:val="none" w:sz="0" w:space="0" w:color="auto"/>
        <w:bottom w:val="none" w:sz="0" w:space="0" w:color="auto"/>
        <w:right w:val="none" w:sz="0" w:space="0" w:color="auto"/>
      </w:divBdr>
    </w:div>
    <w:div w:id="1116213094">
      <w:bodyDiv w:val="1"/>
      <w:marLeft w:val="0"/>
      <w:marRight w:val="0"/>
      <w:marTop w:val="0"/>
      <w:marBottom w:val="0"/>
      <w:divBdr>
        <w:top w:val="none" w:sz="0" w:space="0" w:color="auto"/>
        <w:left w:val="none" w:sz="0" w:space="0" w:color="auto"/>
        <w:bottom w:val="none" w:sz="0" w:space="0" w:color="auto"/>
        <w:right w:val="none" w:sz="0" w:space="0" w:color="auto"/>
      </w:divBdr>
    </w:div>
    <w:div w:id="1116220834">
      <w:bodyDiv w:val="1"/>
      <w:marLeft w:val="0"/>
      <w:marRight w:val="0"/>
      <w:marTop w:val="0"/>
      <w:marBottom w:val="0"/>
      <w:divBdr>
        <w:top w:val="none" w:sz="0" w:space="0" w:color="auto"/>
        <w:left w:val="none" w:sz="0" w:space="0" w:color="auto"/>
        <w:bottom w:val="none" w:sz="0" w:space="0" w:color="auto"/>
        <w:right w:val="none" w:sz="0" w:space="0" w:color="auto"/>
      </w:divBdr>
    </w:div>
    <w:div w:id="1116221002">
      <w:bodyDiv w:val="1"/>
      <w:marLeft w:val="0"/>
      <w:marRight w:val="0"/>
      <w:marTop w:val="0"/>
      <w:marBottom w:val="0"/>
      <w:divBdr>
        <w:top w:val="none" w:sz="0" w:space="0" w:color="auto"/>
        <w:left w:val="none" w:sz="0" w:space="0" w:color="auto"/>
        <w:bottom w:val="none" w:sz="0" w:space="0" w:color="auto"/>
        <w:right w:val="none" w:sz="0" w:space="0" w:color="auto"/>
      </w:divBdr>
    </w:div>
    <w:div w:id="1116288002">
      <w:bodyDiv w:val="1"/>
      <w:marLeft w:val="0"/>
      <w:marRight w:val="0"/>
      <w:marTop w:val="0"/>
      <w:marBottom w:val="0"/>
      <w:divBdr>
        <w:top w:val="none" w:sz="0" w:space="0" w:color="auto"/>
        <w:left w:val="none" w:sz="0" w:space="0" w:color="auto"/>
        <w:bottom w:val="none" w:sz="0" w:space="0" w:color="auto"/>
        <w:right w:val="none" w:sz="0" w:space="0" w:color="auto"/>
      </w:divBdr>
    </w:div>
    <w:div w:id="1116293911">
      <w:bodyDiv w:val="1"/>
      <w:marLeft w:val="0"/>
      <w:marRight w:val="0"/>
      <w:marTop w:val="0"/>
      <w:marBottom w:val="0"/>
      <w:divBdr>
        <w:top w:val="none" w:sz="0" w:space="0" w:color="auto"/>
        <w:left w:val="none" w:sz="0" w:space="0" w:color="auto"/>
        <w:bottom w:val="none" w:sz="0" w:space="0" w:color="auto"/>
        <w:right w:val="none" w:sz="0" w:space="0" w:color="auto"/>
      </w:divBdr>
    </w:div>
    <w:div w:id="1116370288">
      <w:bodyDiv w:val="1"/>
      <w:marLeft w:val="0"/>
      <w:marRight w:val="0"/>
      <w:marTop w:val="0"/>
      <w:marBottom w:val="0"/>
      <w:divBdr>
        <w:top w:val="none" w:sz="0" w:space="0" w:color="auto"/>
        <w:left w:val="none" w:sz="0" w:space="0" w:color="auto"/>
        <w:bottom w:val="none" w:sz="0" w:space="0" w:color="auto"/>
        <w:right w:val="none" w:sz="0" w:space="0" w:color="auto"/>
      </w:divBdr>
    </w:div>
    <w:div w:id="1116409164">
      <w:bodyDiv w:val="1"/>
      <w:marLeft w:val="0"/>
      <w:marRight w:val="0"/>
      <w:marTop w:val="0"/>
      <w:marBottom w:val="0"/>
      <w:divBdr>
        <w:top w:val="none" w:sz="0" w:space="0" w:color="auto"/>
        <w:left w:val="none" w:sz="0" w:space="0" w:color="auto"/>
        <w:bottom w:val="none" w:sz="0" w:space="0" w:color="auto"/>
        <w:right w:val="none" w:sz="0" w:space="0" w:color="auto"/>
      </w:divBdr>
    </w:div>
    <w:div w:id="1116559504">
      <w:bodyDiv w:val="1"/>
      <w:marLeft w:val="0"/>
      <w:marRight w:val="0"/>
      <w:marTop w:val="0"/>
      <w:marBottom w:val="0"/>
      <w:divBdr>
        <w:top w:val="none" w:sz="0" w:space="0" w:color="auto"/>
        <w:left w:val="none" w:sz="0" w:space="0" w:color="auto"/>
        <w:bottom w:val="none" w:sz="0" w:space="0" w:color="auto"/>
        <w:right w:val="none" w:sz="0" w:space="0" w:color="auto"/>
      </w:divBdr>
    </w:div>
    <w:div w:id="1116754106">
      <w:bodyDiv w:val="1"/>
      <w:marLeft w:val="0"/>
      <w:marRight w:val="0"/>
      <w:marTop w:val="0"/>
      <w:marBottom w:val="0"/>
      <w:divBdr>
        <w:top w:val="none" w:sz="0" w:space="0" w:color="auto"/>
        <w:left w:val="none" w:sz="0" w:space="0" w:color="auto"/>
        <w:bottom w:val="none" w:sz="0" w:space="0" w:color="auto"/>
        <w:right w:val="none" w:sz="0" w:space="0" w:color="auto"/>
      </w:divBdr>
    </w:div>
    <w:div w:id="1116800432">
      <w:bodyDiv w:val="1"/>
      <w:marLeft w:val="0"/>
      <w:marRight w:val="0"/>
      <w:marTop w:val="0"/>
      <w:marBottom w:val="0"/>
      <w:divBdr>
        <w:top w:val="none" w:sz="0" w:space="0" w:color="auto"/>
        <w:left w:val="none" w:sz="0" w:space="0" w:color="auto"/>
        <w:bottom w:val="none" w:sz="0" w:space="0" w:color="auto"/>
        <w:right w:val="none" w:sz="0" w:space="0" w:color="auto"/>
      </w:divBdr>
    </w:div>
    <w:div w:id="1116868209">
      <w:bodyDiv w:val="1"/>
      <w:marLeft w:val="0"/>
      <w:marRight w:val="0"/>
      <w:marTop w:val="0"/>
      <w:marBottom w:val="0"/>
      <w:divBdr>
        <w:top w:val="none" w:sz="0" w:space="0" w:color="auto"/>
        <w:left w:val="none" w:sz="0" w:space="0" w:color="auto"/>
        <w:bottom w:val="none" w:sz="0" w:space="0" w:color="auto"/>
        <w:right w:val="none" w:sz="0" w:space="0" w:color="auto"/>
      </w:divBdr>
    </w:div>
    <w:div w:id="1116869072">
      <w:bodyDiv w:val="1"/>
      <w:marLeft w:val="0"/>
      <w:marRight w:val="0"/>
      <w:marTop w:val="0"/>
      <w:marBottom w:val="0"/>
      <w:divBdr>
        <w:top w:val="none" w:sz="0" w:space="0" w:color="auto"/>
        <w:left w:val="none" w:sz="0" w:space="0" w:color="auto"/>
        <w:bottom w:val="none" w:sz="0" w:space="0" w:color="auto"/>
        <w:right w:val="none" w:sz="0" w:space="0" w:color="auto"/>
      </w:divBdr>
    </w:div>
    <w:div w:id="1116870041">
      <w:bodyDiv w:val="1"/>
      <w:marLeft w:val="0"/>
      <w:marRight w:val="0"/>
      <w:marTop w:val="0"/>
      <w:marBottom w:val="0"/>
      <w:divBdr>
        <w:top w:val="none" w:sz="0" w:space="0" w:color="auto"/>
        <w:left w:val="none" w:sz="0" w:space="0" w:color="auto"/>
        <w:bottom w:val="none" w:sz="0" w:space="0" w:color="auto"/>
        <w:right w:val="none" w:sz="0" w:space="0" w:color="auto"/>
      </w:divBdr>
    </w:div>
    <w:div w:id="1116950094">
      <w:bodyDiv w:val="1"/>
      <w:marLeft w:val="0"/>
      <w:marRight w:val="0"/>
      <w:marTop w:val="0"/>
      <w:marBottom w:val="0"/>
      <w:divBdr>
        <w:top w:val="none" w:sz="0" w:space="0" w:color="auto"/>
        <w:left w:val="none" w:sz="0" w:space="0" w:color="auto"/>
        <w:bottom w:val="none" w:sz="0" w:space="0" w:color="auto"/>
        <w:right w:val="none" w:sz="0" w:space="0" w:color="auto"/>
      </w:divBdr>
    </w:div>
    <w:div w:id="1117063308">
      <w:bodyDiv w:val="1"/>
      <w:marLeft w:val="0"/>
      <w:marRight w:val="0"/>
      <w:marTop w:val="0"/>
      <w:marBottom w:val="0"/>
      <w:divBdr>
        <w:top w:val="none" w:sz="0" w:space="0" w:color="auto"/>
        <w:left w:val="none" w:sz="0" w:space="0" w:color="auto"/>
        <w:bottom w:val="none" w:sz="0" w:space="0" w:color="auto"/>
        <w:right w:val="none" w:sz="0" w:space="0" w:color="auto"/>
      </w:divBdr>
    </w:div>
    <w:div w:id="1117213705">
      <w:bodyDiv w:val="1"/>
      <w:marLeft w:val="0"/>
      <w:marRight w:val="0"/>
      <w:marTop w:val="0"/>
      <w:marBottom w:val="0"/>
      <w:divBdr>
        <w:top w:val="none" w:sz="0" w:space="0" w:color="auto"/>
        <w:left w:val="none" w:sz="0" w:space="0" w:color="auto"/>
        <w:bottom w:val="none" w:sz="0" w:space="0" w:color="auto"/>
        <w:right w:val="none" w:sz="0" w:space="0" w:color="auto"/>
      </w:divBdr>
    </w:div>
    <w:div w:id="1117215288">
      <w:bodyDiv w:val="1"/>
      <w:marLeft w:val="0"/>
      <w:marRight w:val="0"/>
      <w:marTop w:val="0"/>
      <w:marBottom w:val="0"/>
      <w:divBdr>
        <w:top w:val="none" w:sz="0" w:space="0" w:color="auto"/>
        <w:left w:val="none" w:sz="0" w:space="0" w:color="auto"/>
        <w:bottom w:val="none" w:sz="0" w:space="0" w:color="auto"/>
        <w:right w:val="none" w:sz="0" w:space="0" w:color="auto"/>
      </w:divBdr>
    </w:div>
    <w:div w:id="1117258955">
      <w:bodyDiv w:val="1"/>
      <w:marLeft w:val="0"/>
      <w:marRight w:val="0"/>
      <w:marTop w:val="0"/>
      <w:marBottom w:val="0"/>
      <w:divBdr>
        <w:top w:val="none" w:sz="0" w:space="0" w:color="auto"/>
        <w:left w:val="none" w:sz="0" w:space="0" w:color="auto"/>
        <w:bottom w:val="none" w:sz="0" w:space="0" w:color="auto"/>
        <w:right w:val="none" w:sz="0" w:space="0" w:color="auto"/>
      </w:divBdr>
    </w:div>
    <w:div w:id="1117262944">
      <w:bodyDiv w:val="1"/>
      <w:marLeft w:val="0"/>
      <w:marRight w:val="0"/>
      <w:marTop w:val="0"/>
      <w:marBottom w:val="0"/>
      <w:divBdr>
        <w:top w:val="none" w:sz="0" w:space="0" w:color="auto"/>
        <w:left w:val="none" w:sz="0" w:space="0" w:color="auto"/>
        <w:bottom w:val="none" w:sz="0" w:space="0" w:color="auto"/>
        <w:right w:val="none" w:sz="0" w:space="0" w:color="auto"/>
      </w:divBdr>
    </w:div>
    <w:div w:id="1117338645">
      <w:bodyDiv w:val="1"/>
      <w:marLeft w:val="0"/>
      <w:marRight w:val="0"/>
      <w:marTop w:val="0"/>
      <w:marBottom w:val="0"/>
      <w:divBdr>
        <w:top w:val="none" w:sz="0" w:space="0" w:color="auto"/>
        <w:left w:val="none" w:sz="0" w:space="0" w:color="auto"/>
        <w:bottom w:val="none" w:sz="0" w:space="0" w:color="auto"/>
        <w:right w:val="none" w:sz="0" w:space="0" w:color="auto"/>
      </w:divBdr>
    </w:div>
    <w:div w:id="1117603888">
      <w:bodyDiv w:val="1"/>
      <w:marLeft w:val="0"/>
      <w:marRight w:val="0"/>
      <w:marTop w:val="0"/>
      <w:marBottom w:val="0"/>
      <w:divBdr>
        <w:top w:val="none" w:sz="0" w:space="0" w:color="auto"/>
        <w:left w:val="none" w:sz="0" w:space="0" w:color="auto"/>
        <w:bottom w:val="none" w:sz="0" w:space="0" w:color="auto"/>
        <w:right w:val="none" w:sz="0" w:space="0" w:color="auto"/>
      </w:divBdr>
    </w:div>
    <w:div w:id="1117607255">
      <w:bodyDiv w:val="1"/>
      <w:marLeft w:val="0"/>
      <w:marRight w:val="0"/>
      <w:marTop w:val="0"/>
      <w:marBottom w:val="0"/>
      <w:divBdr>
        <w:top w:val="none" w:sz="0" w:space="0" w:color="auto"/>
        <w:left w:val="none" w:sz="0" w:space="0" w:color="auto"/>
        <w:bottom w:val="none" w:sz="0" w:space="0" w:color="auto"/>
        <w:right w:val="none" w:sz="0" w:space="0" w:color="auto"/>
      </w:divBdr>
    </w:div>
    <w:div w:id="1117675487">
      <w:bodyDiv w:val="1"/>
      <w:marLeft w:val="0"/>
      <w:marRight w:val="0"/>
      <w:marTop w:val="0"/>
      <w:marBottom w:val="0"/>
      <w:divBdr>
        <w:top w:val="none" w:sz="0" w:space="0" w:color="auto"/>
        <w:left w:val="none" w:sz="0" w:space="0" w:color="auto"/>
        <w:bottom w:val="none" w:sz="0" w:space="0" w:color="auto"/>
        <w:right w:val="none" w:sz="0" w:space="0" w:color="auto"/>
      </w:divBdr>
    </w:div>
    <w:div w:id="1117794066">
      <w:bodyDiv w:val="1"/>
      <w:marLeft w:val="0"/>
      <w:marRight w:val="0"/>
      <w:marTop w:val="0"/>
      <w:marBottom w:val="0"/>
      <w:divBdr>
        <w:top w:val="none" w:sz="0" w:space="0" w:color="auto"/>
        <w:left w:val="none" w:sz="0" w:space="0" w:color="auto"/>
        <w:bottom w:val="none" w:sz="0" w:space="0" w:color="auto"/>
        <w:right w:val="none" w:sz="0" w:space="0" w:color="auto"/>
      </w:divBdr>
    </w:div>
    <w:div w:id="1117800546">
      <w:bodyDiv w:val="1"/>
      <w:marLeft w:val="0"/>
      <w:marRight w:val="0"/>
      <w:marTop w:val="0"/>
      <w:marBottom w:val="0"/>
      <w:divBdr>
        <w:top w:val="none" w:sz="0" w:space="0" w:color="auto"/>
        <w:left w:val="none" w:sz="0" w:space="0" w:color="auto"/>
        <w:bottom w:val="none" w:sz="0" w:space="0" w:color="auto"/>
        <w:right w:val="none" w:sz="0" w:space="0" w:color="auto"/>
      </w:divBdr>
    </w:div>
    <w:div w:id="1117867829">
      <w:bodyDiv w:val="1"/>
      <w:marLeft w:val="0"/>
      <w:marRight w:val="0"/>
      <w:marTop w:val="0"/>
      <w:marBottom w:val="0"/>
      <w:divBdr>
        <w:top w:val="none" w:sz="0" w:space="0" w:color="auto"/>
        <w:left w:val="none" w:sz="0" w:space="0" w:color="auto"/>
        <w:bottom w:val="none" w:sz="0" w:space="0" w:color="auto"/>
        <w:right w:val="none" w:sz="0" w:space="0" w:color="auto"/>
      </w:divBdr>
    </w:div>
    <w:div w:id="1117870926">
      <w:bodyDiv w:val="1"/>
      <w:marLeft w:val="0"/>
      <w:marRight w:val="0"/>
      <w:marTop w:val="0"/>
      <w:marBottom w:val="0"/>
      <w:divBdr>
        <w:top w:val="none" w:sz="0" w:space="0" w:color="auto"/>
        <w:left w:val="none" w:sz="0" w:space="0" w:color="auto"/>
        <w:bottom w:val="none" w:sz="0" w:space="0" w:color="auto"/>
        <w:right w:val="none" w:sz="0" w:space="0" w:color="auto"/>
      </w:divBdr>
    </w:div>
    <w:div w:id="1117987473">
      <w:bodyDiv w:val="1"/>
      <w:marLeft w:val="0"/>
      <w:marRight w:val="0"/>
      <w:marTop w:val="0"/>
      <w:marBottom w:val="0"/>
      <w:divBdr>
        <w:top w:val="none" w:sz="0" w:space="0" w:color="auto"/>
        <w:left w:val="none" w:sz="0" w:space="0" w:color="auto"/>
        <w:bottom w:val="none" w:sz="0" w:space="0" w:color="auto"/>
        <w:right w:val="none" w:sz="0" w:space="0" w:color="auto"/>
      </w:divBdr>
    </w:div>
    <w:div w:id="1117993185">
      <w:bodyDiv w:val="1"/>
      <w:marLeft w:val="0"/>
      <w:marRight w:val="0"/>
      <w:marTop w:val="0"/>
      <w:marBottom w:val="0"/>
      <w:divBdr>
        <w:top w:val="none" w:sz="0" w:space="0" w:color="auto"/>
        <w:left w:val="none" w:sz="0" w:space="0" w:color="auto"/>
        <w:bottom w:val="none" w:sz="0" w:space="0" w:color="auto"/>
        <w:right w:val="none" w:sz="0" w:space="0" w:color="auto"/>
      </w:divBdr>
    </w:div>
    <w:div w:id="1118064381">
      <w:bodyDiv w:val="1"/>
      <w:marLeft w:val="0"/>
      <w:marRight w:val="0"/>
      <w:marTop w:val="0"/>
      <w:marBottom w:val="0"/>
      <w:divBdr>
        <w:top w:val="none" w:sz="0" w:space="0" w:color="auto"/>
        <w:left w:val="none" w:sz="0" w:space="0" w:color="auto"/>
        <w:bottom w:val="none" w:sz="0" w:space="0" w:color="auto"/>
        <w:right w:val="none" w:sz="0" w:space="0" w:color="auto"/>
      </w:divBdr>
    </w:div>
    <w:div w:id="1118067368">
      <w:bodyDiv w:val="1"/>
      <w:marLeft w:val="0"/>
      <w:marRight w:val="0"/>
      <w:marTop w:val="0"/>
      <w:marBottom w:val="0"/>
      <w:divBdr>
        <w:top w:val="none" w:sz="0" w:space="0" w:color="auto"/>
        <w:left w:val="none" w:sz="0" w:space="0" w:color="auto"/>
        <w:bottom w:val="none" w:sz="0" w:space="0" w:color="auto"/>
        <w:right w:val="none" w:sz="0" w:space="0" w:color="auto"/>
      </w:divBdr>
    </w:div>
    <w:div w:id="1118183908">
      <w:bodyDiv w:val="1"/>
      <w:marLeft w:val="0"/>
      <w:marRight w:val="0"/>
      <w:marTop w:val="0"/>
      <w:marBottom w:val="0"/>
      <w:divBdr>
        <w:top w:val="none" w:sz="0" w:space="0" w:color="auto"/>
        <w:left w:val="none" w:sz="0" w:space="0" w:color="auto"/>
        <w:bottom w:val="none" w:sz="0" w:space="0" w:color="auto"/>
        <w:right w:val="none" w:sz="0" w:space="0" w:color="auto"/>
      </w:divBdr>
    </w:div>
    <w:div w:id="1118253414">
      <w:bodyDiv w:val="1"/>
      <w:marLeft w:val="0"/>
      <w:marRight w:val="0"/>
      <w:marTop w:val="0"/>
      <w:marBottom w:val="0"/>
      <w:divBdr>
        <w:top w:val="none" w:sz="0" w:space="0" w:color="auto"/>
        <w:left w:val="none" w:sz="0" w:space="0" w:color="auto"/>
        <w:bottom w:val="none" w:sz="0" w:space="0" w:color="auto"/>
        <w:right w:val="none" w:sz="0" w:space="0" w:color="auto"/>
      </w:divBdr>
    </w:div>
    <w:div w:id="1118329596">
      <w:bodyDiv w:val="1"/>
      <w:marLeft w:val="0"/>
      <w:marRight w:val="0"/>
      <w:marTop w:val="0"/>
      <w:marBottom w:val="0"/>
      <w:divBdr>
        <w:top w:val="none" w:sz="0" w:space="0" w:color="auto"/>
        <w:left w:val="none" w:sz="0" w:space="0" w:color="auto"/>
        <w:bottom w:val="none" w:sz="0" w:space="0" w:color="auto"/>
        <w:right w:val="none" w:sz="0" w:space="0" w:color="auto"/>
      </w:divBdr>
    </w:div>
    <w:div w:id="1118330166">
      <w:bodyDiv w:val="1"/>
      <w:marLeft w:val="0"/>
      <w:marRight w:val="0"/>
      <w:marTop w:val="0"/>
      <w:marBottom w:val="0"/>
      <w:divBdr>
        <w:top w:val="none" w:sz="0" w:space="0" w:color="auto"/>
        <w:left w:val="none" w:sz="0" w:space="0" w:color="auto"/>
        <w:bottom w:val="none" w:sz="0" w:space="0" w:color="auto"/>
        <w:right w:val="none" w:sz="0" w:space="0" w:color="auto"/>
      </w:divBdr>
    </w:div>
    <w:div w:id="1118451100">
      <w:bodyDiv w:val="1"/>
      <w:marLeft w:val="0"/>
      <w:marRight w:val="0"/>
      <w:marTop w:val="0"/>
      <w:marBottom w:val="0"/>
      <w:divBdr>
        <w:top w:val="none" w:sz="0" w:space="0" w:color="auto"/>
        <w:left w:val="none" w:sz="0" w:space="0" w:color="auto"/>
        <w:bottom w:val="none" w:sz="0" w:space="0" w:color="auto"/>
        <w:right w:val="none" w:sz="0" w:space="0" w:color="auto"/>
      </w:divBdr>
    </w:div>
    <w:div w:id="1118527388">
      <w:bodyDiv w:val="1"/>
      <w:marLeft w:val="0"/>
      <w:marRight w:val="0"/>
      <w:marTop w:val="0"/>
      <w:marBottom w:val="0"/>
      <w:divBdr>
        <w:top w:val="none" w:sz="0" w:space="0" w:color="auto"/>
        <w:left w:val="none" w:sz="0" w:space="0" w:color="auto"/>
        <w:bottom w:val="none" w:sz="0" w:space="0" w:color="auto"/>
        <w:right w:val="none" w:sz="0" w:space="0" w:color="auto"/>
      </w:divBdr>
    </w:div>
    <w:div w:id="1118570309">
      <w:bodyDiv w:val="1"/>
      <w:marLeft w:val="0"/>
      <w:marRight w:val="0"/>
      <w:marTop w:val="0"/>
      <w:marBottom w:val="0"/>
      <w:divBdr>
        <w:top w:val="none" w:sz="0" w:space="0" w:color="auto"/>
        <w:left w:val="none" w:sz="0" w:space="0" w:color="auto"/>
        <w:bottom w:val="none" w:sz="0" w:space="0" w:color="auto"/>
        <w:right w:val="none" w:sz="0" w:space="0" w:color="auto"/>
      </w:divBdr>
    </w:div>
    <w:div w:id="1118648621">
      <w:bodyDiv w:val="1"/>
      <w:marLeft w:val="0"/>
      <w:marRight w:val="0"/>
      <w:marTop w:val="0"/>
      <w:marBottom w:val="0"/>
      <w:divBdr>
        <w:top w:val="none" w:sz="0" w:space="0" w:color="auto"/>
        <w:left w:val="none" w:sz="0" w:space="0" w:color="auto"/>
        <w:bottom w:val="none" w:sz="0" w:space="0" w:color="auto"/>
        <w:right w:val="none" w:sz="0" w:space="0" w:color="auto"/>
      </w:divBdr>
    </w:div>
    <w:div w:id="1118722709">
      <w:bodyDiv w:val="1"/>
      <w:marLeft w:val="0"/>
      <w:marRight w:val="0"/>
      <w:marTop w:val="0"/>
      <w:marBottom w:val="0"/>
      <w:divBdr>
        <w:top w:val="none" w:sz="0" w:space="0" w:color="auto"/>
        <w:left w:val="none" w:sz="0" w:space="0" w:color="auto"/>
        <w:bottom w:val="none" w:sz="0" w:space="0" w:color="auto"/>
        <w:right w:val="none" w:sz="0" w:space="0" w:color="auto"/>
      </w:divBdr>
    </w:div>
    <w:div w:id="1118724233">
      <w:bodyDiv w:val="1"/>
      <w:marLeft w:val="0"/>
      <w:marRight w:val="0"/>
      <w:marTop w:val="0"/>
      <w:marBottom w:val="0"/>
      <w:divBdr>
        <w:top w:val="none" w:sz="0" w:space="0" w:color="auto"/>
        <w:left w:val="none" w:sz="0" w:space="0" w:color="auto"/>
        <w:bottom w:val="none" w:sz="0" w:space="0" w:color="auto"/>
        <w:right w:val="none" w:sz="0" w:space="0" w:color="auto"/>
      </w:divBdr>
    </w:div>
    <w:div w:id="1118837278">
      <w:bodyDiv w:val="1"/>
      <w:marLeft w:val="0"/>
      <w:marRight w:val="0"/>
      <w:marTop w:val="0"/>
      <w:marBottom w:val="0"/>
      <w:divBdr>
        <w:top w:val="none" w:sz="0" w:space="0" w:color="auto"/>
        <w:left w:val="none" w:sz="0" w:space="0" w:color="auto"/>
        <w:bottom w:val="none" w:sz="0" w:space="0" w:color="auto"/>
        <w:right w:val="none" w:sz="0" w:space="0" w:color="auto"/>
      </w:divBdr>
    </w:div>
    <w:div w:id="1118911297">
      <w:bodyDiv w:val="1"/>
      <w:marLeft w:val="0"/>
      <w:marRight w:val="0"/>
      <w:marTop w:val="0"/>
      <w:marBottom w:val="0"/>
      <w:divBdr>
        <w:top w:val="none" w:sz="0" w:space="0" w:color="auto"/>
        <w:left w:val="none" w:sz="0" w:space="0" w:color="auto"/>
        <w:bottom w:val="none" w:sz="0" w:space="0" w:color="auto"/>
        <w:right w:val="none" w:sz="0" w:space="0" w:color="auto"/>
      </w:divBdr>
    </w:div>
    <w:div w:id="1118914383">
      <w:bodyDiv w:val="1"/>
      <w:marLeft w:val="0"/>
      <w:marRight w:val="0"/>
      <w:marTop w:val="0"/>
      <w:marBottom w:val="0"/>
      <w:divBdr>
        <w:top w:val="none" w:sz="0" w:space="0" w:color="auto"/>
        <w:left w:val="none" w:sz="0" w:space="0" w:color="auto"/>
        <w:bottom w:val="none" w:sz="0" w:space="0" w:color="auto"/>
        <w:right w:val="none" w:sz="0" w:space="0" w:color="auto"/>
      </w:divBdr>
    </w:div>
    <w:div w:id="1118991454">
      <w:bodyDiv w:val="1"/>
      <w:marLeft w:val="0"/>
      <w:marRight w:val="0"/>
      <w:marTop w:val="0"/>
      <w:marBottom w:val="0"/>
      <w:divBdr>
        <w:top w:val="none" w:sz="0" w:space="0" w:color="auto"/>
        <w:left w:val="none" w:sz="0" w:space="0" w:color="auto"/>
        <w:bottom w:val="none" w:sz="0" w:space="0" w:color="auto"/>
        <w:right w:val="none" w:sz="0" w:space="0" w:color="auto"/>
      </w:divBdr>
    </w:div>
    <w:div w:id="1119032830">
      <w:bodyDiv w:val="1"/>
      <w:marLeft w:val="0"/>
      <w:marRight w:val="0"/>
      <w:marTop w:val="0"/>
      <w:marBottom w:val="0"/>
      <w:divBdr>
        <w:top w:val="none" w:sz="0" w:space="0" w:color="auto"/>
        <w:left w:val="none" w:sz="0" w:space="0" w:color="auto"/>
        <w:bottom w:val="none" w:sz="0" w:space="0" w:color="auto"/>
        <w:right w:val="none" w:sz="0" w:space="0" w:color="auto"/>
      </w:divBdr>
    </w:div>
    <w:div w:id="1119103250">
      <w:bodyDiv w:val="1"/>
      <w:marLeft w:val="0"/>
      <w:marRight w:val="0"/>
      <w:marTop w:val="0"/>
      <w:marBottom w:val="0"/>
      <w:divBdr>
        <w:top w:val="none" w:sz="0" w:space="0" w:color="auto"/>
        <w:left w:val="none" w:sz="0" w:space="0" w:color="auto"/>
        <w:bottom w:val="none" w:sz="0" w:space="0" w:color="auto"/>
        <w:right w:val="none" w:sz="0" w:space="0" w:color="auto"/>
      </w:divBdr>
    </w:div>
    <w:div w:id="1119110958">
      <w:bodyDiv w:val="1"/>
      <w:marLeft w:val="0"/>
      <w:marRight w:val="0"/>
      <w:marTop w:val="0"/>
      <w:marBottom w:val="0"/>
      <w:divBdr>
        <w:top w:val="none" w:sz="0" w:space="0" w:color="auto"/>
        <w:left w:val="none" w:sz="0" w:space="0" w:color="auto"/>
        <w:bottom w:val="none" w:sz="0" w:space="0" w:color="auto"/>
        <w:right w:val="none" w:sz="0" w:space="0" w:color="auto"/>
      </w:divBdr>
    </w:div>
    <w:div w:id="1119177042">
      <w:bodyDiv w:val="1"/>
      <w:marLeft w:val="0"/>
      <w:marRight w:val="0"/>
      <w:marTop w:val="0"/>
      <w:marBottom w:val="0"/>
      <w:divBdr>
        <w:top w:val="none" w:sz="0" w:space="0" w:color="auto"/>
        <w:left w:val="none" w:sz="0" w:space="0" w:color="auto"/>
        <w:bottom w:val="none" w:sz="0" w:space="0" w:color="auto"/>
        <w:right w:val="none" w:sz="0" w:space="0" w:color="auto"/>
      </w:divBdr>
    </w:div>
    <w:div w:id="1119181454">
      <w:bodyDiv w:val="1"/>
      <w:marLeft w:val="0"/>
      <w:marRight w:val="0"/>
      <w:marTop w:val="0"/>
      <w:marBottom w:val="0"/>
      <w:divBdr>
        <w:top w:val="none" w:sz="0" w:space="0" w:color="auto"/>
        <w:left w:val="none" w:sz="0" w:space="0" w:color="auto"/>
        <w:bottom w:val="none" w:sz="0" w:space="0" w:color="auto"/>
        <w:right w:val="none" w:sz="0" w:space="0" w:color="auto"/>
      </w:divBdr>
    </w:div>
    <w:div w:id="1119183060">
      <w:bodyDiv w:val="1"/>
      <w:marLeft w:val="0"/>
      <w:marRight w:val="0"/>
      <w:marTop w:val="0"/>
      <w:marBottom w:val="0"/>
      <w:divBdr>
        <w:top w:val="none" w:sz="0" w:space="0" w:color="auto"/>
        <w:left w:val="none" w:sz="0" w:space="0" w:color="auto"/>
        <w:bottom w:val="none" w:sz="0" w:space="0" w:color="auto"/>
        <w:right w:val="none" w:sz="0" w:space="0" w:color="auto"/>
      </w:divBdr>
    </w:div>
    <w:div w:id="1119226777">
      <w:bodyDiv w:val="1"/>
      <w:marLeft w:val="0"/>
      <w:marRight w:val="0"/>
      <w:marTop w:val="0"/>
      <w:marBottom w:val="0"/>
      <w:divBdr>
        <w:top w:val="none" w:sz="0" w:space="0" w:color="auto"/>
        <w:left w:val="none" w:sz="0" w:space="0" w:color="auto"/>
        <w:bottom w:val="none" w:sz="0" w:space="0" w:color="auto"/>
        <w:right w:val="none" w:sz="0" w:space="0" w:color="auto"/>
      </w:divBdr>
    </w:div>
    <w:div w:id="1119254493">
      <w:bodyDiv w:val="1"/>
      <w:marLeft w:val="0"/>
      <w:marRight w:val="0"/>
      <w:marTop w:val="0"/>
      <w:marBottom w:val="0"/>
      <w:divBdr>
        <w:top w:val="none" w:sz="0" w:space="0" w:color="auto"/>
        <w:left w:val="none" w:sz="0" w:space="0" w:color="auto"/>
        <w:bottom w:val="none" w:sz="0" w:space="0" w:color="auto"/>
        <w:right w:val="none" w:sz="0" w:space="0" w:color="auto"/>
      </w:divBdr>
    </w:div>
    <w:div w:id="1119255281">
      <w:bodyDiv w:val="1"/>
      <w:marLeft w:val="0"/>
      <w:marRight w:val="0"/>
      <w:marTop w:val="0"/>
      <w:marBottom w:val="0"/>
      <w:divBdr>
        <w:top w:val="none" w:sz="0" w:space="0" w:color="auto"/>
        <w:left w:val="none" w:sz="0" w:space="0" w:color="auto"/>
        <w:bottom w:val="none" w:sz="0" w:space="0" w:color="auto"/>
        <w:right w:val="none" w:sz="0" w:space="0" w:color="auto"/>
      </w:divBdr>
    </w:div>
    <w:div w:id="1119299846">
      <w:bodyDiv w:val="1"/>
      <w:marLeft w:val="0"/>
      <w:marRight w:val="0"/>
      <w:marTop w:val="0"/>
      <w:marBottom w:val="0"/>
      <w:divBdr>
        <w:top w:val="none" w:sz="0" w:space="0" w:color="auto"/>
        <w:left w:val="none" w:sz="0" w:space="0" w:color="auto"/>
        <w:bottom w:val="none" w:sz="0" w:space="0" w:color="auto"/>
        <w:right w:val="none" w:sz="0" w:space="0" w:color="auto"/>
      </w:divBdr>
    </w:div>
    <w:div w:id="1119376137">
      <w:bodyDiv w:val="1"/>
      <w:marLeft w:val="0"/>
      <w:marRight w:val="0"/>
      <w:marTop w:val="0"/>
      <w:marBottom w:val="0"/>
      <w:divBdr>
        <w:top w:val="none" w:sz="0" w:space="0" w:color="auto"/>
        <w:left w:val="none" w:sz="0" w:space="0" w:color="auto"/>
        <w:bottom w:val="none" w:sz="0" w:space="0" w:color="auto"/>
        <w:right w:val="none" w:sz="0" w:space="0" w:color="auto"/>
      </w:divBdr>
    </w:div>
    <w:div w:id="1119446145">
      <w:bodyDiv w:val="1"/>
      <w:marLeft w:val="0"/>
      <w:marRight w:val="0"/>
      <w:marTop w:val="0"/>
      <w:marBottom w:val="0"/>
      <w:divBdr>
        <w:top w:val="none" w:sz="0" w:space="0" w:color="auto"/>
        <w:left w:val="none" w:sz="0" w:space="0" w:color="auto"/>
        <w:bottom w:val="none" w:sz="0" w:space="0" w:color="auto"/>
        <w:right w:val="none" w:sz="0" w:space="0" w:color="auto"/>
      </w:divBdr>
    </w:div>
    <w:div w:id="1119452065">
      <w:bodyDiv w:val="1"/>
      <w:marLeft w:val="0"/>
      <w:marRight w:val="0"/>
      <w:marTop w:val="0"/>
      <w:marBottom w:val="0"/>
      <w:divBdr>
        <w:top w:val="none" w:sz="0" w:space="0" w:color="auto"/>
        <w:left w:val="none" w:sz="0" w:space="0" w:color="auto"/>
        <w:bottom w:val="none" w:sz="0" w:space="0" w:color="auto"/>
        <w:right w:val="none" w:sz="0" w:space="0" w:color="auto"/>
      </w:divBdr>
    </w:div>
    <w:div w:id="1119496430">
      <w:bodyDiv w:val="1"/>
      <w:marLeft w:val="0"/>
      <w:marRight w:val="0"/>
      <w:marTop w:val="0"/>
      <w:marBottom w:val="0"/>
      <w:divBdr>
        <w:top w:val="none" w:sz="0" w:space="0" w:color="auto"/>
        <w:left w:val="none" w:sz="0" w:space="0" w:color="auto"/>
        <w:bottom w:val="none" w:sz="0" w:space="0" w:color="auto"/>
        <w:right w:val="none" w:sz="0" w:space="0" w:color="auto"/>
      </w:divBdr>
    </w:div>
    <w:div w:id="1119497670">
      <w:bodyDiv w:val="1"/>
      <w:marLeft w:val="0"/>
      <w:marRight w:val="0"/>
      <w:marTop w:val="0"/>
      <w:marBottom w:val="0"/>
      <w:divBdr>
        <w:top w:val="none" w:sz="0" w:space="0" w:color="auto"/>
        <w:left w:val="none" w:sz="0" w:space="0" w:color="auto"/>
        <w:bottom w:val="none" w:sz="0" w:space="0" w:color="auto"/>
        <w:right w:val="none" w:sz="0" w:space="0" w:color="auto"/>
      </w:divBdr>
    </w:div>
    <w:div w:id="1119564246">
      <w:bodyDiv w:val="1"/>
      <w:marLeft w:val="0"/>
      <w:marRight w:val="0"/>
      <w:marTop w:val="0"/>
      <w:marBottom w:val="0"/>
      <w:divBdr>
        <w:top w:val="none" w:sz="0" w:space="0" w:color="auto"/>
        <w:left w:val="none" w:sz="0" w:space="0" w:color="auto"/>
        <w:bottom w:val="none" w:sz="0" w:space="0" w:color="auto"/>
        <w:right w:val="none" w:sz="0" w:space="0" w:color="auto"/>
      </w:divBdr>
    </w:div>
    <w:div w:id="1119757561">
      <w:bodyDiv w:val="1"/>
      <w:marLeft w:val="0"/>
      <w:marRight w:val="0"/>
      <w:marTop w:val="0"/>
      <w:marBottom w:val="0"/>
      <w:divBdr>
        <w:top w:val="none" w:sz="0" w:space="0" w:color="auto"/>
        <w:left w:val="none" w:sz="0" w:space="0" w:color="auto"/>
        <w:bottom w:val="none" w:sz="0" w:space="0" w:color="auto"/>
        <w:right w:val="none" w:sz="0" w:space="0" w:color="auto"/>
      </w:divBdr>
    </w:div>
    <w:div w:id="1119759326">
      <w:bodyDiv w:val="1"/>
      <w:marLeft w:val="0"/>
      <w:marRight w:val="0"/>
      <w:marTop w:val="0"/>
      <w:marBottom w:val="0"/>
      <w:divBdr>
        <w:top w:val="none" w:sz="0" w:space="0" w:color="auto"/>
        <w:left w:val="none" w:sz="0" w:space="0" w:color="auto"/>
        <w:bottom w:val="none" w:sz="0" w:space="0" w:color="auto"/>
        <w:right w:val="none" w:sz="0" w:space="0" w:color="auto"/>
      </w:divBdr>
    </w:div>
    <w:div w:id="1119880037">
      <w:bodyDiv w:val="1"/>
      <w:marLeft w:val="0"/>
      <w:marRight w:val="0"/>
      <w:marTop w:val="0"/>
      <w:marBottom w:val="0"/>
      <w:divBdr>
        <w:top w:val="none" w:sz="0" w:space="0" w:color="auto"/>
        <w:left w:val="none" w:sz="0" w:space="0" w:color="auto"/>
        <w:bottom w:val="none" w:sz="0" w:space="0" w:color="auto"/>
        <w:right w:val="none" w:sz="0" w:space="0" w:color="auto"/>
      </w:divBdr>
    </w:div>
    <w:div w:id="1119952402">
      <w:bodyDiv w:val="1"/>
      <w:marLeft w:val="0"/>
      <w:marRight w:val="0"/>
      <w:marTop w:val="0"/>
      <w:marBottom w:val="0"/>
      <w:divBdr>
        <w:top w:val="none" w:sz="0" w:space="0" w:color="auto"/>
        <w:left w:val="none" w:sz="0" w:space="0" w:color="auto"/>
        <w:bottom w:val="none" w:sz="0" w:space="0" w:color="auto"/>
        <w:right w:val="none" w:sz="0" w:space="0" w:color="auto"/>
      </w:divBdr>
    </w:div>
    <w:div w:id="1119954197">
      <w:bodyDiv w:val="1"/>
      <w:marLeft w:val="0"/>
      <w:marRight w:val="0"/>
      <w:marTop w:val="0"/>
      <w:marBottom w:val="0"/>
      <w:divBdr>
        <w:top w:val="none" w:sz="0" w:space="0" w:color="auto"/>
        <w:left w:val="none" w:sz="0" w:space="0" w:color="auto"/>
        <w:bottom w:val="none" w:sz="0" w:space="0" w:color="auto"/>
        <w:right w:val="none" w:sz="0" w:space="0" w:color="auto"/>
      </w:divBdr>
    </w:div>
    <w:div w:id="1119957388">
      <w:bodyDiv w:val="1"/>
      <w:marLeft w:val="0"/>
      <w:marRight w:val="0"/>
      <w:marTop w:val="0"/>
      <w:marBottom w:val="0"/>
      <w:divBdr>
        <w:top w:val="none" w:sz="0" w:space="0" w:color="auto"/>
        <w:left w:val="none" w:sz="0" w:space="0" w:color="auto"/>
        <w:bottom w:val="none" w:sz="0" w:space="0" w:color="auto"/>
        <w:right w:val="none" w:sz="0" w:space="0" w:color="auto"/>
      </w:divBdr>
    </w:div>
    <w:div w:id="1120032380">
      <w:bodyDiv w:val="1"/>
      <w:marLeft w:val="0"/>
      <w:marRight w:val="0"/>
      <w:marTop w:val="0"/>
      <w:marBottom w:val="0"/>
      <w:divBdr>
        <w:top w:val="none" w:sz="0" w:space="0" w:color="auto"/>
        <w:left w:val="none" w:sz="0" w:space="0" w:color="auto"/>
        <w:bottom w:val="none" w:sz="0" w:space="0" w:color="auto"/>
        <w:right w:val="none" w:sz="0" w:space="0" w:color="auto"/>
      </w:divBdr>
    </w:div>
    <w:div w:id="1120033323">
      <w:bodyDiv w:val="1"/>
      <w:marLeft w:val="0"/>
      <w:marRight w:val="0"/>
      <w:marTop w:val="0"/>
      <w:marBottom w:val="0"/>
      <w:divBdr>
        <w:top w:val="none" w:sz="0" w:space="0" w:color="auto"/>
        <w:left w:val="none" w:sz="0" w:space="0" w:color="auto"/>
        <w:bottom w:val="none" w:sz="0" w:space="0" w:color="auto"/>
        <w:right w:val="none" w:sz="0" w:space="0" w:color="auto"/>
      </w:divBdr>
    </w:div>
    <w:div w:id="1120102657">
      <w:bodyDiv w:val="1"/>
      <w:marLeft w:val="0"/>
      <w:marRight w:val="0"/>
      <w:marTop w:val="0"/>
      <w:marBottom w:val="0"/>
      <w:divBdr>
        <w:top w:val="none" w:sz="0" w:space="0" w:color="auto"/>
        <w:left w:val="none" w:sz="0" w:space="0" w:color="auto"/>
        <w:bottom w:val="none" w:sz="0" w:space="0" w:color="auto"/>
        <w:right w:val="none" w:sz="0" w:space="0" w:color="auto"/>
      </w:divBdr>
    </w:div>
    <w:div w:id="1120107729">
      <w:bodyDiv w:val="1"/>
      <w:marLeft w:val="0"/>
      <w:marRight w:val="0"/>
      <w:marTop w:val="0"/>
      <w:marBottom w:val="0"/>
      <w:divBdr>
        <w:top w:val="none" w:sz="0" w:space="0" w:color="auto"/>
        <w:left w:val="none" w:sz="0" w:space="0" w:color="auto"/>
        <w:bottom w:val="none" w:sz="0" w:space="0" w:color="auto"/>
        <w:right w:val="none" w:sz="0" w:space="0" w:color="auto"/>
      </w:divBdr>
    </w:div>
    <w:div w:id="1120295276">
      <w:bodyDiv w:val="1"/>
      <w:marLeft w:val="0"/>
      <w:marRight w:val="0"/>
      <w:marTop w:val="0"/>
      <w:marBottom w:val="0"/>
      <w:divBdr>
        <w:top w:val="none" w:sz="0" w:space="0" w:color="auto"/>
        <w:left w:val="none" w:sz="0" w:space="0" w:color="auto"/>
        <w:bottom w:val="none" w:sz="0" w:space="0" w:color="auto"/>
        <w:right w:val="none" w:sz="0" w:space="0" w:color="auto"/>
      </w:divBdr>
    </w:div>
    <w:div w:id="1120295653">
      <w:bodyDiv w:val="1"/>
      <w:marLeft w:val="0"/>
      <w:marRight w:val="0"/>
      <w:marTop w:val="0"/>
      <w:marBottom w:val="0"/>
      <w:divBdr>
        <w:top w:val="none" w:sz="0" w:space="0" w:color="auto"/>
        <w:left w:val="none" w:sz="0" w:space="0" w:color="auto"/>
        <w:bottom w:val="none" w:sz="0" w:space="0" w:color="auto"/>
        <w:right w:val="none" w:sz="0" w:space="0" w:color="auto"/>
      </w:divBdr>
    </w:div>
    <w:div w:id="1120298750">
      <w:bodyDiv w:val="1"/>
      <w:marLeft w:val="0"/>
      <w:marRight w:val="0"/>
      <w:marTop w:val="0"/>
      <w:marBottom w:val="0"/>
      <w:divBdr>
        <w:top w:val="none" w:sz="0" w:space="0" w:color="auto"/>
        <w:left w:val="none" w:sz="0" w:space="0" w:color="auto"/>
        <w:bottom w:val="none" w:sz="0" w:space="0" w:color="auto"/>
        <w:right w:val="none" w:sz="0" w:space="0" w:color="auto"/>
      </w:divBdr>
    </w:div>
    <w:div w:id="1120303111">
      <w:bodyDiv w:val="1"/>
      <w:marLeft w:val="0"/>
      <w:marRight w:val="0"/>
      <w:marTop w:val="0"/>
      <w:marBottom w:val="0"/>
      <w:divBdr>
        <w:top w:val="none" w:sz="0" w:space="0" w:color="auto"/>
        <w:left w:val="none" w:sz="0" w:space="0" w:color="auto"/>
        <w:bottom w:val="none" w:sz="0" w:space="0" w:color="auto"/>
        <w:right w:val="none" w:sz="0" w:space="0" w:color="auto"/>
      </w:divBdr>
    </w:div>
    <w:div w:id="1120341932">
      <w:bodyDiv w:val="1"/>
      <w:marLeft w:val="0"/>
      <w:marRight w:val="0"/>
      <w:marTop w:val="0"/>
      <w:marBottom w:val="0"/>
      <w:divBdr>
        <w:top w:val="none" w:sz="0" w:space="0" w:color="auto"/>
        <w:left w:val="none" w:sz="0" w:space="0" w:color="auto"/>
        <w:bottom w:val="none" w:sz="0" w:space="0" w:color="auto"/>
        <w:right w:val="none" w:sz="0" w:space="0" w:color="auto"/>
      </w:divBdr>
    </w:div>
    <w:div w:id="1120418674">
      <w:bodyDiv w:val="1"/>
      <w:marLeft w:val="0"/>
      <w:marRight w:val="0"/>
      <w:marTop w:val="0"/>
      <w:marBottom w:val="0"/>
      <w:divBdr>
        <w:top w:val="none" w:sz="0" w:space="0" w:color="auto"/>
        <w:left w:val="none" w:sz="0" w:space="0" w:color="auto"/>
        <w:bottom w:val="none" w:sz="0" w:space="0" w:color="auto"/>
        <w:right w:val="none" w:sz="0" w:space="0" w:color="auto"/>
      </w:divBdr>
    </w:div>
    <w:div w:id="1120538695">
      <w:bodyDiv w:val="1"/>
      <w:marLeft w:val="0"/>
      <w:marRight w:val="0"/>
      <w:marTop w:val="0"/>
      <w:marBottom w:val="0"/>
      <w:divBdr>
        <w:top w:val="none" w:sz="0" w:space="0" w:color="auto"/>
        <w:left w:val="none" w:sz="0" w:space="0" w:color="auto"/>
        <w:bottom w:val="none" w:sz="0" w:space="0" w:color="auto"/>
        <w:right w:val="none" w:sz="0" w:space="0" w:color="auto"/>
      </w:divBdr>
    </w:div>
    <w:div w:id="1120608344">
      <w:bodyDiv w:val="1"/>
      <w:marLeft w:val="0"/>
      <w:marRight w:val="0"/>
      <w:marTop w:val="0"/>
      <w:marBottom w:val="0"/>
      <w:divBdr>
        <w:top w:val="none" w:sz="0" w:space="0" w:color="auto"/>
        <w:left w:val="none" w:sz="0" w:space="0" w:color="auto"/>
        <w:bottom w:val="none" w:sz="0" w:space="0" w:color="auto"/>
        <w:right w:val="none" w:sz="0" w:space="0" w:color="auto"/>
      </w:divBdr>
    </w:div>
    <w:div w:id="1120689725">
      <w:bodyDiv w:val="1"/>
      <w:marLeft w:val="0"/>
      <w:marRight w:val="0"/>
      <w:marTop w:val="0"/>
      <w:marBottom w:val="0"/>
      <w:divBdr>
        <w:top w:val="none" w:sz="0" w:space="0" w:color="auto"/>
        <w:left w:val="none" w:sz="0" w:space="0" w:color="auto"/>
        <w:bottom w:val="none" w:sz="0" w:space="0" w:color="auto"/>
        <w:right w:val="none" w:sz="0" w:space="0" w:color="auto"/>
      </w:divBdr>
    </w:div>
    <w:div w:id="1120759218">
      <w:bodyDiv w:val="1"/>
      <w:marLeft w:val="0"/>
      <w:marRight w:val="0"/>
      <w:marTop w:val="0"/>
      <w:marBottom w:val="0"/>
      <w:divBdr>
        <w:top w:val="none" w:sz="0" w:space="0" w:color="auto"/>
        <w:left w:val="none" w:sz="0" w:space="0" w:color="auto"/>
        <w:bottom w:val="none" w:sz="0" w:space="0" w:color="auto"/>
        <w:right w:val="none" w:sz="0" w:space="0" w:color="auto"/>
      </w:divBdr>
    </w:div>
    <w:div w:id="1120881514">
      <w:bodyDiv w:val="1"/>
      <w:marLeft w:val="0"/>
      <w:marRight w:val="0"/>
      <w:marTop w:val="0"/>
      <w:marBottom w:val="0"/>
      <w:divBdr>
        <w:top w:val="none" w:sz="0" w:space="0" w:color="auto"/>
        <w:left w:val="none" w:sz="0" w:space="0" w:color="auto"/>
        <w:bottom w:val="none" w:sz="0" w:space="0" w:color="auto"/>
        <w:right w:val="none" w:sz="0" w:space="0" w:color="auto"/>
      </w:divBdr>
    </w:div>
    <w:div w:id="1120883779">
      <w:bodyDiv w:val="1"/>
      <w:marLeft w:val="0"/>
      <w:marRight w:val="0"/>
      <w:marTop w:val="0"/>
      <w:marBottom w:val="0"/>
      <w:divBdr>
        <w:top w:val="none" w:sz="0" w:space="0" w:color="auto"/>
        <w:left w:val="none" w:sz="0" w:space="0" w:color="auto"/>
        <w:bottom w:val="none" w:sz="0" w:space="0" w:color="auto"/>
        <w:right w:val="none" w:sz="0" w:space="0" w:color="auto"/>
      </w:divBdr>
    </w:div>
    <w:div w:id="1120996431">
      <w:bodyDiv w:val="1"/>
      <w:marLeft w:val="0"/>
      <w:marRight w:val="0"/>
      <w:marTop w:val="0"/>
      <w:marBottom w:val="0"/>
      <w:divBdr>
        <w:top w:val="none" w:sz="0" w:space="0" w:color="auto"/>
        <w:left w:val="none" w:sz="0" w:space="0" w:color="auto"/>
        <w:bottom w:val="none" w:sz="0" w:space="0" w:color="auto"/>
        <w:right w:val="none" w:sz="0" w:space="0" w:color="auto"/>
      </w:divBdr>
    </w:div>
    <w:div w:id="1121001679">
      <w:bodyDiv w:val="1"/>
      <w:marLeft w:val="0"/>
      <w:marRight w:val="0"/>
      <w:marTop w:val="0"/>
      <w:marBottom w:val="0"/>
      <w:divBdr>
        <w:top w:val="none" w:sz="0" w:space="0" w:color="auto"/>
        <w:left w:val="none" w:sz="0" w:space="0" w:color="auto"/>
        <w:bottom w:val="none" w:sz="0" w:space="0" w:color="auto"/>
        <w:right w:val="none" w:sz="0" w:space="0" w:color="auto"/>
      </w:divBdr>
    </w:div>
    <w:div w:id="1121071412">
      <w:bodyDiv w:val="1"/>
      <w:marLeft w:val="0"/>
      <w:marRight w:val="0"/>
      <w:marTop w:val="0"/>
      <w:marBottom w:val="0"/>
      <w:divBdr>
        <w:top w:val="none" w:sz="0" w:space="0" w:color="auto"/>
        <w:left w:val="none" w:sz="0" w:space="0" w:color="auto"/>
        <w:bottom w:val="none" w:sz="0" w:space="0" w:color="auto"/>
        <w:right w:val="none" w:sz="0" w:space="0" w:color="auto"/>
      </w:divBdr>
    </w:div>
    <w:div w:id="1121074152">
      <w:bodyDiv w:val="1"/>
      <w:marLeft w:val="0"/>
      <w:marRight w:val="0"/>
      <w:marTop w:val="0"/>
      <w:marBottom w:val="0"/>
      <w:divBdr>
        <w:top w:val="none" w:sz="0" w:space="0" w:color="auto"/>
        <w:left w:val="none" w:sz="0" w:space="0" w:color="auto"/>
        <w:bottom w:val="none" w:sz="0" w:space="0" w:color="auto"/>
        <w:right w:val="none" w:sz="0" w:space="0" w:color="auto"/>
      </w:divBdr>
    </w:div>
    <w:div w:id="1121150047">
      <w:bodyDiv w:val="1"/>
      <w:marLeft w:val="0"/>
      <w:marRight w:val="0"/>
      <w:marTop w:val="0"/>
      <w:marBottom w:val="0"/>
      <w:divBdr>
        <w:top w:val="none" w:sz="0" w:space="0" w:color="auto"/>
        <w:left w:val="none" w:sz="0" w:space="0" w:color="auto"/>
        <w:bottom w:val="none" w:sz="0" w:space="0" w:color="auto"/>
        <w:right w:val="none" w:sz="0" w:space="0" w:color="auto"/>
      </w:divBdr>
    </w:div>
    <w:div w:id="1121192964">
      <w:bodyDiv w:val="1"/>
      <w:marLeft w:val="0"/>
      <w:marRight w:val="0"/>
      <w:marTop w:val="0"/>
      <w:marBottom w:val="0"/>
      <w:divBdr>
        <w:top w:val="none" w:sz="0" w:space="0" w:color="auto"/>
        <w:left w:val="none" w:sz="0" w:space="0" w:color="auto"/>
        <w:bottom w:val="none" w:sz="0" w:space="0" w:color="auto"/>
        <w:right w:val="none" w:sz="0" w:space="0" w:color="auto"/>
      </w:divBdr>
    </w:div>
    <w:div w:id="1121220572">
      <w:bodyDiv w:val="1"/>
      <w:marLeft w:val="0"/>
      <w:marRight w:val="0"/>
      <w:marTop w:val="0"/>
      <w:marBottom w:val="0"/>
      <w:divBdr>
        <w:top w:val="none" w:sz="0" w:space="0" w:color="auto"/>
        <w:left w:val="none" w:sz="0" w:space="0" w:color="auto"/>
        <w:bottom w:val="none" w:sz="0" w:space="0" w:color="auto"/>
        <w:right w:val="none" w:sz="0" w:space="0" w:color="auto"/>
      </w:divBdr>
    </w:div>
    <w:div w:id="1121341959">
      <w:bodyDiv w:val="1"/>
      <w:marLeft w:val="0"/>
      <w:marRight w:val="0"/>
      <w:marTop w:val="0"/>
      <w:marBottom w:val="0"/>
      <w:divBdr>
        <w:top w:val="none" w:sz="0" w:space="0" w:color="auto"/>
        <w:left w:val="none" w:sz="0" w:space="0" w:color="auto"/>
        <w:bottom w:val="none" w:sz="0" w:space="0" w:color="auto"/>
        <w:right w:val="none" w:sz="0" w:space="0" w:color="auto"/>
      </w:divBdr>
    </w:div>
    <w:div w:id="1121454507">
      <w:bodyDiv w:val="1"/>
      <w:marLeft w:val="0"/>
      <w:marRight w:val="0"/>
      <w:marTop w:val="0"/>
      <w:marBottom w:val="0"/>
      <w:divBdr>
        <w:top w:val="none" w:sz="0" w:space="0" w:color="auto"/>
        <w:left w:val="none" w:sz="0" w:space="0" w:color="auto"/>
        <w:bottom w:val="none" w:sz="0" w:space="0" w:color="auto"/>
        <w:right w:val="none" w:sz="0" w:space="0" w:color="auto"/>
      </w:divBdr>
    </w:div>
    <w:div w:id="1121921094">
      <w:bodyDiv w:val="1"/>
      <w:marLeft w:val="0"/>
      <w:marRight w:val="0"/>
      <w:marTop w:val="0"/>
      <w:marBottom w:val="0"/>
      <w:divBdr>
        <w:top w:val="none" w:sz="0" w:space="0" w:color="auto"/>
        <w:left w:val="none" w:sz="0" w:space="0" w:color="auto"/>
        <w:bottom w:val="none" w:sz="0" w:space="0" w:color="auto"/>
        <w:right w:val="none" w:sz="0" w:space="0" w:color="auto"/>
      </w:divBdr>
    </w:div>
    <w:div w:id="1121925263">
      <w:bodyDiv w:val="1"/>
      <w:marLeft w:val="0"/>
      <w:marRight w:val="0"/>
      <w:marTop w:val="0"/>
      <w:marBottom w:val="0"/>
      <w:divBdr>
        <w:top w:val="none" w:sz="0" w:space="0" w:color="auto"/>
        <w:left w:val="none" w:sz="0" w:space="0" w:color="auto"/>
        <w:bottom w:val="none" w:sz="0" w:space="0" w:color="auto"/>
        <w:right w:val="none" w:sz="0" w:space="0" w:color="auto"/>
      </w:divBdr>
    </w:div>
    <w:div w:id="1122069944">
      <w:bodyDiv w:val="1"/>
      <w:marLeft w:val="0"/>
      <w:marRight w:val="0"/>
      <w:marTop w:val="0"/>
      <w:marBottom w:val="0"/>
      <w:divBdr>
        <w:top w:val="none" w:sz="0" w:space="0" w:color="auto"/>
        <w:left w:val="none" w:sz="0" w:space="0" w:color="auto"/>
        <w:bottom w:val="none" w:sz="0" w:space="0" w:color="auto"/>
        <w:right w:val="none" w:sz="0" w:space="0" w:color="auto"/>
      </w:divBdr>
    </w:div>
    <w:div w:id="1122118740">
      <w:bodyDiv w:val="1"/>
      <w:marLeft w:val="0"/>
      <w:marRight w:val="0"/>
      <w:marTop w:val="0"/>
      <w:marBottom w:val="0"/>
      <w:divBdr>
        <w:top w:val="none" w:sz="0" w:space="0" w:color="auto"/>
        <w:left w:val="none" w:sz="0" w:space="0" w:color="auto"/>
        <w:bottom w:val="none" w:sz="0" w:space="0" w:color="auto"/>
        <w:right w:val="none" w:sz="0" w:space="0" w:color="auto"/>
      </w:divBdr>
    </w:div>
    <w:div w:id="1122380493">
      <w:bodyDiv w:val="1"/>
      <w:marLeft w:val="0"/>
      <w:marRight w:val="0"/>
      <w:marTop w:val="0"/>
      <w:marBottom w:val="0"/>
      <w:divBdr>
        <w:top w:val="none" w:sz="0" w:space="0" w:color="auto"/>
        <w:left w:val="none" w:sz="0" w:space="0" w:color="auto"/>
        <w:bottom w:val="none" w:sz="0" w:space="0" w:color="auto"/>
        <w:right w:val="none" w:sz="0" w:space="0" w:color="auto"/>
      </w:divBdr>
    </w:div>
    <w:div w:id="1122380750">
      <w:bodyDiv w:val="1"/>
      <w:marLeft w:val="0"/>
      <w:marRight w:val="0"/>
      <w:marTop w:val="0"/>
      <w:marBottom w:val="0"/>
      <w:divBdr>
        <w:top w:val="none" w:sz="0" w:space="0" w:color="auto"/>
        <w:left w:val="none" w:sz="0" w:space="0" w:color="auto"/>
        <w:bottom w:val="none" w:sz="0" w:space="0" w:color="auto"/>
        <w:right w:val="none" w:sz="0" w:space="0" w:color="auto"/>
      </w:divBdr>
    </w:div>
    <w:div w:id="1122382855">
      <w:bodyDiv w:val="1"/>
      <w:marLeft w:val="0"/>
      <w:marRight w:val="0"/>
      <w:marTop w:val="0"/>
      <w:marBottom w:val="0"/>
      <w:divBdr>
        <w:top w:val="none" w:sz="0" w:space="0" w:color="auto"/>
        <w:left w:val="none" w:sz="0" w:space="0" w:color="auto"/>
        <w:bottom w:val="none" w:sz="0" w:space="0" w:color="auto"/>
        <w:right w:val="none" w:sz="0" w:space="0" w:color="auto"/>
      </w:divBdr>
    </w:div>
    <w:div w:id="1122532906">
      <w:bodyDiv w:val="1"/>
      <w:marLeft w:val="0"/>
      <w:marRight w:val="0"/>
      <w:marTop w:val="0"/>
      <w:marBottom w:val="0"/>
      <w:divBdr>
        <w:top w:val="none" w:sz="0" w:space="0" w:color="auto"/>
        <w:left w:val="none" w:sz="0" w:space="0" w:color="auto"/>
        <w:bottom w:val="none" w:sz="0" w:space="0" w:color="auto"/>
        <w:right w:val="none" w:sz="0" w:space="0" w:color="auto"/>
      </w:divBdr>
    </w:div>
    <w:div w:id="1122574379">
      <w:bodyDiv w:val="1"/>
      <w:marLeft w:val="0"/>
      <w:marRight w:val="0"/>
      <w:marTop w:val="0"/>
      <w:marBottom w:val="0"/>
      <w:divBdr>
        <w:top w:val="none" w:sz="0" w:space="0" w:color="auto"/>
        <w:left w:val="none" w:sz="0" w:space="0" w:color="auto"/>
        <w:bottom w:val="none" w:sz="0" w:space="0" w:color="auto"/>
        <w:right w:val="none" w:sz="0" w:space="0" w:color="auto"/>
      </w:divBdr>
    </w:div>
    <w:div w:id="1122722819">
      <w:bodyDiv w:val="1"/>
      <w:marLeft w:val="0"/>
      <w:marRight w:val="0"/>
      <w:marTop w:val="0"/>
      <w:marBottom w:val="0"/>
      <w:divBdr>
        <w:top w:val="none" w:sz="0" w:space="0" w:color="auto"/>
        <w:left w:val="none" w:sz="0" w:space="0" w:color="auto"/>
        <w:bottom w:val="none" w:sz="0" w:space="0" w:color="auto"/>
        <w:right w:val="none" w:sz="0" w:space="0" w:color="auto"/>
      </w:divBdr>
    </w:div>
    <w:div w:id="1122723107">
      <w:bodyDiv w:val="1"/>
      <w:marLeft w:val="0"/>
      <w:marRight w:val="0"/>
      <w:marTop w:val="0"/>
      <w:marBottom w:val="0"/>
      <w:divBdr>
        <w:top w:val="none" w:sz="0" w:space="0" w:color="auto"/>
        <w:left w:val="none" w:sz="0" w:space="0" w:color="auto"/>
        <w:bottom w:val="none" w:sz="0" w:space="0" w:color="auto"/>
        <w:right w:val="none" w:sz="0" w:space="0" w:color="auto"/>
      </w:divBdr>
    </w:div>
    <w:div w:id="1122725797">
      <w:bodyDiv w:val="1"/>
      <w:marLeft w:val="0"/>
      <w:marRight w:val="0"/>
      <w:marTop w:val="0"/>
      <w:marBottom w:val="0"/>
      <w:divBdr>
        <w:top w:val="none" w:sz="0" w:space="0" w:color="auto"/>
        <w:left w:val="none" w:sz="0" w:space="0" w:color="auto"/>
        <w:bottom w:val="none" w:sz="0" w:space="0" w:color="auto"/>
        <w:right w:val="none" w:sz="0" w:space="0" w:color="auto"/>
      </w:divBdr>
    </w:div>
    <w:div w:id="1122766105">
      <w:bodyDiv w:val="1"/>
      <w:marLeft w:val="0"/>
      <w:marRight w:val="0"/>
      <w:marTop w:val="0"/>
      <w:marBottom w:val="0"/>
      <w:divBdr>
        <w:top w:val="none" w:sz="0" w:space="0" w:color="auto"/>
        <w:left w:val="none" w:sz="0" w:space="0" w:color="auto"/>
        <w:bottom w:val="none" w:sz="0" w:space="0" w:color="auto"/>
        <w:right w:val="none" w:sz="0" w:space="0" w:color="auto"/>
      </w:divBdr>
    </w:div>
    <w:div w:id="1122842845">
      <w:bodyDiv w:val="1"/>
      <w:marLeft w:val="0"/>
      <w:marRight w:val="0"/>
      <w:marTop w:val="0"/>
      <w:marBottom w:val="0"/>
      <w:divBdr>
        <w:top w:val="none" w:sz="0" w:space="0" w:color="auto"/>
        <w:left w:val="none" w:sz="0" w:space="0" w:color="auto"/>
        <w:bottom w:val="none" w:sz="0" w:space="0" w:color="auto"/>
        <w:right w:val="none" w:sz="0" w:space="0" w:color="auto"/>
      </w:divBdr>
    </w:div>
    <w:div w:id="1122843170">
      <w:bodyDiv w:val="1"/>
      <w:marLeft w:val="0"/>
      <w:marRight w:val="0"/>
      <w:marTop w:val="0"/>
      <w:marBottom w:val="0"/>
      <w:divBdr>
        <w:top w:val="none" w:sz="0" w:space="0" w:color="auto"/>
        <w:left w:val="none" w:sz="0" w:space="0" w:color="auto"/>
        <w:bottom w:val="none" w:sz="0" w:space="0" w:color="auto"/>
        <w:right w:val="none" w:sz="0" w:space="0" w:color="auto"/>
      </w:divBdr>
    </w:div>
    <w:div w:id="1122844342">
      <w:bodyDiv w:val="1"/>
      <w:marLeft w:val="0"/>
      <w:marRight w:val="0"/>
      <w:marTop w:val="0"/>
      <w:marBottom w:val="0"/>
      <w:divBdr>
        <w:top w:val="none" w:sz="0" w:space="0" w:color="auto"/>
        <w:left w:val="none" w:sz="0" w:space="0" w:color="auto"/>
        <w:bottom w:val="none" w:sz="0" w:space="0" w:color="auto"/>
        <w:right w:val="none" w:sz="0" w:space="0" w:color="auto"/>
      </w:divBdr>
    </w:div>
    <w:div w:id="1122963357">
      <w:bodyDiv w:val="1"/>
      <w:marLeft w:val="0"/>
      <w:marRight w:val="0"/>
      <w:marTop w:val="0"/>
      <w:marBottom w:val="0"/>
      <w:divBdr>
        <w:top w:val="none" w:sz="0" w:space="0" w:color="auto"/>
        <w:left w:val="none" w:sz="0" w:space="0" w:color="auto"/>
        <w:bottom w:val="none" w:sz="0" w:space="0" w:color="auto"/>
        <w:right w:val="none" w:sz="0" w:space="0" w:color="auto"/>
      </w:divBdr>
    </w:div>
    <w:div w:id="1123040412">
      <w:bodyDiv w:val="1"/>
      <w:marLeft w:val="0"/>
      <w:marRight w:val="0"/>
      <w:marTop w:val="0"/>
      <w:marBottom w:val="0"/>
      <w:divBdr>
        <w:top w:val="none" w:sz="0" w:space="0" w:color="auto"/>
        <w:left w:val="none" w:sz="0" w:space="0" w:color="auto"/>
        <w:bottom w:val="none" w:sz="0" w:space="0" w:color="auto"/>
        <w:right w:val="none" w:sz="0" w:space="0" w:color="auto"/>
      </w:divBdr>
    </w:div>
    <w:div w:id="1123042883">
      <w:bodyDiv w:val="1"/>
      <w:marLeft w:val="0"/>
      <w:marRight w:val="0"/>
      <w:marTop w:val="0"/>
      <w:marBottom w:val="0"/>
      <w:divBdr>
        <w:top w:val="none" w:sz="0" w:space="0" w:color="auto"/>
        <w:left w:val="none" w:sz="0" w:space="0" w:color="auto"/>
        <w:bottom w:val="none" w:sz="0" w:space="0" w:color="auto"/>
        <w:right w:val="none" w:sz="0" w:space="0" w:color="auto"/>
      </w:divBdr>
    </w:div>
    <w:div w:id="1123157207">
      <w:bodyDiv w:val="1"/>
      <w:marLeft w:val="0"/>
      <w:marRight w:val="0"/>
      <w:marTop w:val="0"/>
      <w:marBottom w:val="0"/>
      <w:divBdr>
        <w:top w:val="none" w:sz="0" w:space="0" w:color="auto"/>
        <w:left w:val="none" w:sz="0" w:space="0" w:color="auto"/>
        <w:bottom w:val="none" w:sz="0" w:space="0" w:color="auto"/>
        <w:right w:val="none" w:sz="0" w:space="0" w:color="auto"/>
      </w:divBdr>
    </w:div>
    <w:div w:id="1123188314">
      <w:bodyDiv w:val="1"/>
      <w:marLeft w:val="0"/>
      <w:marRight w:val="0"/>
      <w:marTop w:val="0"/>
      <w:marBottom w:val="0"/>
      <w:divBdr>
        <w:top w:val="none" w:sz="0" w:space="0" w:color="auto"/>
        <w:left w:val="none" w:sz="0" w:space="0" w:color="auto"/>
        <w:bottom w:val="none" w:sz="0" w:space="0" w:color="auto"/>
        <w:right w:val="none" w:sz="0" w:space="0" w:color="auto"/>
      </w:divBdr>
    </w:div>
    <w:div w:id="1123226512">
      <w:bodyDiv w:val="1"/>
      <w:marLeft w:val="0"/>
      <w:marRight w:val="0"/>
      <w:marTop w:val="0"/>
      <w:marBottom w:val="0"/>
      <w:divBdr>
        <w:top w:val="none" w:sz="0" w:space="0" w:color="auto"/>
        <w:left w:val="none" w:sz="0" w:space="0" w:color="auto"/>
        <w:bottom w:val="none" w:sz="0" w:space="0" w:color="auto"/>
        <w:right w:val="none" w:sz="0" w:space="0" w:color="auto"/>
      </w:divBdr>
    </w:div>
    <w:div w:id="1123383010">
      <w:bodyDiv w:val="1"/>
      <w:marLeft w:val="0"/>
      <w:marRight w:val="0"/>
      <w:marTop w:val="0"/>
      <w:marBottom w:val="0"/>
      <w:divBdr>
        <w:top w:val="none" w:sz="0" w:space="0" w:color="auto"/>
        <w:left w:val="none" w:sz="0" w:space="0" w:color="auto"/>
        <w:bottom w:val="none" w:sz="0" w:space="0" w:color="auto"/>
        <w:right w:val="none" w:sz="0" w:space="0" w:color="auto"/>
      </w:divBdr>
    </w:div>
    <w:div w:id="1123577302">
      <w:bodyDiv w:val="1"/>
      <w:marLeft w:val="0"/>
      <w:marRight w:val="0"/>
      <w:marTop w:val="0"/>
      <w:marBottom w:val="0"/>
      <w:divBdr>
        <w:top w:val="none" w:sz="0" w:space="0" w:color="auto"/>
        <w:left w:val="none" w:sz="0" w:space="0" w:color="auto"/>
        <w:bottom w:val="none" w:sz="0" w:space="0" w:color="auto"/>
        <w:right w:val="none" w:sz="0" w:space="0" w:color="auto"/>
      </w:divBdr>
    </w:div>
    <w:div w:id="1123691960">
      <w:bodyDiv w:val="1"/>
      <w:marLeft w:val="0"/>
      <w:marRight w:val="0"/>
      <w:marTop w:val="0"/>
      <w:marBottom w:val="0"/>
      <w:divBdr>
        <w:top w:val="none" w:sz="0" w:space="0" w:color="auto"/>
        <w:left w:val="none" w:sz="0" w:space="0" w:color="auto"/>
        <w:bottom w:val="none" w:sz="0" w:space="0" w:color="auto"/>
        <w:right w:val="none" w:sz="0" w:space="0" w:color="auto"/>
      </w:divBdr>
    </w:div>
    <w:div w:id="1123766147">
      <w:bodyDiv w:val="1"/>
      <w:marLeft w:val="0"/>
      <w:marRight w:val="0"/>
      <w:marTop w:val="0"/>
      <w:marBottom w:val="0"/>
      <w:divBdr>
        <w:top w:val="none" w:sz="0" w:space="0" w:color="auto"/>
        <w:left w:val="none" w:sz="0" w:space="0" w:color="auto"/>
        <w:bottom w:val="none" w:sz="0" w:space="0" w:color="auto"/>
        <w:right w:val="none" w:sz="0" w:space="0" w:color="auto"/>
      </w:divBdr>
    </w:div>
    <w:div w:id="1123766563">
      <w:bodyDiv w:val="1"/>
      <w:marLeft w:val="0"/>
      <w:marRight w:val="0"/>
      <w:marTop w:val="0"/>
      <w:marBottom w:val="0"/>
      <w:divBdr>
        <w:top w:val="none" w:sz="0" w:space="0" w:color="auto"/>
        <w:left w:val="none" w:sz="0" w:space="0" w:color="auto"/>
        <w:bottom w:val="none" w:sz="0" w:space="0" w:color="auto"/>
        <w:right w:val="none" w:sz="0" w:space="0" w:color="auto"/>
      </w:divBdr>
    </w:div>
    <w:div w:id="1123769811">
      <w:bodyDiv w:val="1"/>
      <w:marLeft w:val="0"/>
      <w:marRight w:val="0"/>
      <w:marTop w:val="0"/>
      <w:marBottom w:val="0"/>
      <w:divBdr>
        <w:top w:val="none" w:sz="0" w:space="0" w:color="auto"/>
        <w:left w:val="none" w:sz="0" w:space="0" w:color="auto"/>
        <w:bottom w:val="none" w:sz="0" w:space="0" w:color="auto"/>
        <w:right w:val="none" w:sz="0" w:space="0" w:color="auto"/>
      </w:divBdr>
    </w:div>
    <w:div w:id="1123957371">
      <w:bodyDiv w:val="1"/>
      <w:marLeft w:val="0"/>
      <w:marRight w:val="0"/>
      <w:marTop w:val="0"/>
      <w:marBottom w:val="0"/>
      <w:divBdr>
        <w:top w:val="none" w:sz="0" w:space="0" w:color="auto"/>
        <w:left w:val="none" w:sz="0" w:space="0" w:color="auto"/>
        <w:bottom w:val="none" w:sz="0" w:space="0" w:color="auto"/>
        <w:right w:val="none" w:sz="0" w:space="0" w:color="auto"/>
      </w:divBdr>
    </w:div>
    <w:div w:id="1123962944">
      <w:bodyDiv w:val="1"/>
      <w:marLeft w:val="0"/>
      <w:marRight w:val="0"/>
      <w:marTop w:val="0"/>
      <w:marBottom w:val="0"/>
      <w:divBdr>
        <w:top w:val="none" w:sz="0" w:space="0" w:color="auto"/>
        <w:left w:val="none" w:sz="0" w:space="0" w:color="auto"/>
        <w:bottom w:val="none" w:sz="0" w:space="0" w:color="auto"/>
        <w:right w:val="none" w:sz="0" w:space="0" w:color="auto"/>
      </w:divBdr>
    </w:div>
    <w:div w:id="1124075208">
      <w:bodyDiv w:val="1"/>
      <w:marLeft w:val="0"/>
      <w:marRight w:val="0"/>
      <w:marTop w:val="0"/>
      <w:marBottom w:val="0"/>
      <w:divBdr>
        <w:top w:val="none" w:sz="0" w:space="0" w:color="auto"/>
        <w:left w:val="none" w:sz="0" w:space="0" w:color="auto"/>
        <w:bottom w:val="none" w:sz="0" w:space="0" w:color="auto"/>
        <w:right w:val="none" w:sz="0" w:space="0" w:color="auto"/>
      </w:divBdr>
    </w:div>
    <w:div w:id="1124075491">
      <w:bodyDiv w:val="1"/>
      <w:marLeft w:val="0"/>
      <w:marRight w:val="0"/>
      <w:marTop w:val="0"/>
      <w:marBottom w:val="0"/>
      <w:divBdr>
        <w:top w:val="none" w:sz="0" w:space="0" w:color="auto"/>
        <w:left w:val="none" w:sz="0" w:space="0" w:color="auto"/>
        <w:bottom w:val="none" w:sz="0" w:space="0" w:color="auto"/>
        <w:right w:val="none" w:sz="0" w:space="0" w:color="auto"/>
      </w:divBdr>
    </w:div>
    <w:div w:id="1124160102">
      <w:bodyDiv w:val="1"/>
      <w:marLeft w:val="0"/>
      <w:marRight w:val="0"/>
      <w:marTop w:val="0"/>
      <w:marBottom w:val="0"/>
      <w:divBdr>
        <w:top w:val="none" w:sz="0" w:space="0" w:color="auto"/>
        <w:left w:val="none" w:sz="0" w:space="0" w:color="auto"/>
        <w:bottom w:val="none" w:sz="0" w:space="0" w:color="auto"/>
        <w:right w:val="none" w:sz="0" w:space="0" w:color="auto"/>
      </w:divBdr>
    </w:div>
    <w:div w:id="1124226238">
      <w:bodyDiv w:val="1"/>
      <w:marLeft w:val="0"/>
      <w:marRight w:val="0"/>
      <w:marTop w:val="0"/>
      <w:marBottom w:val="0"/>
      <w:divBdr>
        <w:top w:val="none" w:sz="0" w:space="0" w:color="auto"/>
        <w:left w:val="none" w:sz="0" w:space="0" w:color="auto"/>
        <w:bottom w:val="none" w:sz="0" w:space="0" w:color="auto"/>
        <w:right w:val="none" w:sz="0" w:space="0" w:color="auto"/>
      </w:divBdr>
    </w:div>
    <w:div w:id="1124229799">
      <w:bodyDiv w:val="1"/>
      <w:marLeft w:val="0"/>
      <w:marRight w:val="0"/>
      <w:marTop w:val="0"/>
      <w:marBottom w:val="0"/>
      <w:divBdr>
        <w:top w:val="none" w:sz="0" w:space="0" w:color="auto"/>
        <w:left w:val="none" w:sz="0" w:space="0" w:color="auto"/>
        <w:bottom w:val="none" w:sz="0" w:space="0" w:color="auto"/>
        <w:right w:val="none" w:sz="0" w:space="0" w:color="auto"/>
      </w:divBdr>
    </w:div>
    <w:div w:id="1124231795">
      <w:bodyDiv w:val="1"/>
      <w:marLeft w:val="0"/>
      <w:marRight w:val="0"/>
      <w:marTop w:val="0"/>
      <w:marBottom w:val="0"/>
      <w:divBdr>
        <w:top w:val="none" w:sz="0" w:space="0" w:color="auto"/>
        <w:left w:val="none" w:sz="0" w:space="0" w:color="auto"/>
        <w:bottom w:val="none" w:sz="0" w:space="0" w:color="auto"/>
        <w:right w:val="none" w:sz="0" w:space="0" w:color="auto"/>
      </w:divBdr>
    </w:div>
    <w:div w:id="1124273980">
      <w:bodyDiv w:val="1"/>
      <w:marLeft w:val="0"/>
      <w:marRight w:val="0"/>
      <w:marTop w:val="0"/>
      <w:marBottom w:val="0"/>
      <w:divBdr>
        <w:top w:val="none" w:sz="0" w:space="0" w:color="auto"/>
        <w:left w:val="none" w:sz="0" w:space="0" w:color="auto"/>
        <w:bottom w:val="none" w:sz="0" w:space="0" w:color="auto"/>
        <w:right w:val="none" w:sz="0" w:space="0" w:color="auto"/>
      </w:divBdr>
    </w:div>
    <w:div w:id="1124301278">
      <w:bodyDiv w:val="1"/>
      <w:marLeft w:val="0"/>
      <w:marRight w:val="0"/>
      <w:marTop w:val="0"/>
      <w:marBottom w:val="0"/>
      <w:divBdr>
        <w:top w:val="none" w:sz="0" w:space="0" w:color="auto"/>
        <w:left w:val="none" w:sz="0" w:space="0" w:color="auto"/>
        <w:bottom w:val="none" w:sz="0" w:space="0" w:color="auto"/>
        <w:right w:val="none" w:sz="0" w:space="0" w:color="auto"/>
      </w:divBdr>
    </w:div>
    <w:div w:id="1124420438">
      <w:bodyDiv w:val="1"/>
      <w:marLeft w:val="0"/>
      <w:marRight w:val="0"/>
      <w:marTop w:val="0"/>
      <w:marBottom w:val="0"/>
      <w:divBdr>
        <w:top w:val="none" w:sz="0" w:space="0" w:color="auto"/>
        <w:left w:val="none" w:sz="0" w:space="0" w:color="auto"/>
        <w:bottom w:val="none" w:sz="0" w:space="0" w:color="auto"/>
        <w:right w:val="none" w:sz="0" w:space="0" w:color="auto"/>
      </w:divBdr>
    </w:div>
    <w:div w:id="1124467849">
      <w:bodyDiv w:val="1"/>
      <w:marLeft w:val="0"/>
      <w:marRight w:val="0"/>
      <w:marTop w:val="0"/>
      <w:marBottom w:val="0"/>
      <w:divBdr>
        <w:top w:val="none" w:sz="0" w:space="0" w:color="auto"/>
        <w:left w:val="none" w:sz="0" w:space="0" w:color="auto"/>
        <w:bottom w:val="none" w:sz="0" w:space="0" w:color="auto"/>
        <w:right w:val="none" w:sz="0" w:space="0" w:color="auto"/>
      </w:divBdr>
    </w:div>
    <w:div w:id="1124469596">
      <w:bodyDiv w:val="1"/>
      <w:marLeft w:val="0"/>
      <w:marRight w:val="0"/>
      <w:marTop w:val="0"/>
      <w:marBottom w:val="0"/>
      <w:divBdr>
        <w:top w:val="none" w:sz="0" w:space="0" w:color="auto"/>
        <w:left w:val="none" w:sz="0" w:space="0" w:color="auto"/>
        <w:bottom w:val="none" w:sz="0" w:space="0" w:color="auto"/>
        <w:right w:val="none" w:sz="0" w:space="0" w:color="auto"/>
      </w:divBdr>
    </w:div>
    <w:div w:id="1124495477">
      <w:bodyDiv w:val="1"/>
      <w:marLeft w:val="0"/>
      <w:marRight w:val="0"/>
      <w:marTop w:val="0"/>
      <w:marBottom w:val="0"/>
      <w:divBdr>
        <w:top w:val="none" w:sz="0" w:space="0" w:color="auto"/>
        <w:left w:val="none" w:sz="0" w:space="0" w:color="auto"/>
        <w:bottom w:val="none" w:sz="0" w:space="0" w:color="auto"/>
        <w:right w:val="none" w:sz="0" w:space="0" w:color="auto"/>
      </w:divBdr>
    </w:div>
    <w:div w:id="1124497339">
      <w:bodyDiv w:val="1"/>
      <w:marLeft w:val="0"/>
      <w:marRight w:val="0"/>
      <w:marTop w:val="0"/>
      <w:marBottom w:val="0"/>
      <w:divBdr>
        <w:top w:val="none" w:sz="0" w:space="0" w:color="auto"/>
        <w:left w:val="none" w:sz="0" w:space="0" w:color="auto"/>
        <w:bottom w:val="none" w:sz="0" w:space="0" w:color="auto"/>
        <w:right w:val="none" w:sz="0" w:space="0" w:color="auto"/>
      </w:divBdr>
    </w:div>
    <w:div w:id="1124614483">
      <w:bodyDiv w:val="1"/>
      <w:marLeft w:val="0"/>
      <w:marRight w:val="0"/>
      <w:marTop w:val="0"/>
      <w:marBottom w:val="0"/>
      <w:divBdr>
        <w:top w:val="none" w:sz="0" w:space="0" w:color="auto"/>
        <w:left w:val="none" w:sz="0" w:space="0" w:color="auto"/>
        <w:bottom w:val="none" w:sz="0" w:space="0" w:color="auto"/>
        <w:right w:val="none" w:sz="0" w:space="0" w:color="auto"/>
      </w:divBdr>
    </w:div>
    <w:div w:id="1124614680">
      <w:bodyDiv w:val="1"/>
      <w:marLeft w:val="0"/>
      <w:marRight w:val="0"/>
      <w:marTop w:val="0"/>
      <w:marBottom w:val="0"/>
      <w:divBdr>
        <w:top w:val="none" w:sz="0" w:space="0" w:color="auto"/>
        <w:left w:val="none" w:sz="0" w:space="0" w:color="auto"/>
        <w:bottom w:val="none" w:sz="0" w:space="0" w:color="auto"/>
        <w:right w:val="none" w:sz="0" w:space="0" w:color="auto"/>
      </w:divBdr>
    </w:div>
    <w:div w:id="1124890544">
      <w:bodyDiv w:val="1"/>
      <w:marLeft w:val="0"/>
      <w:marRight w:val="0"/>
      <w:marTop w:val="0"/>
      <w:marBottom w:val="0"/>
      <w:divBdr>
        <w:top w:val="none" w:sz="0" w:space="0" w:color="auto"/>
        <w:left w:val="none" w:sz="0" w:space="0" w:color="auto"/>
        <w:bottom w:val="none" w:sz="0" w:space="0" w:color="auto"/>
        <w:right w:val="none" w:sz="0" w:space="0" w:color="auto"/>
      </w:divBdr>
    </w:div>
    <w:div w:id="1124931550">
      <w:bodyDiv w:val="1"/>
      <w:marLeft w:val="0"/>
      <w:marRight w:val="0"/>
      <w:marTop w:val="0"/>
      <w:marBottom w:val="0"/>
      <w:divBdr>
        <w:top w:val="none" w:sz="0" w:space="0" w:color="auto"/>
        <w:left w:val="none" w:sz="0" w:space="0" w:color="auto"/>
        <w:bottom w:val="none" w:sz="0" w:space="0" w:color="auto"/>
        <w:right w:val="none" w:sz="0" w:space="0" w:color="auto"/>
      </w:divBdr>
    </w:div>
    <w:div w:id="1125001110">
      <w:bodyDiv w:val="1"/>
      <w:marLeft w:val="0"/>
      <w:marRight w:val="0"/>
      <w:marTop w:val="0"/>
      <w:marBottom w:val="0"/>
      <w:divBdr>
        <w:top w:val="none" w:sz="0" w:space="0" w:color="auto"/>
        <w:left w:val="none" w:sz="0" w:space="0" w:color="auto"/>
        <w:bottom w:val="none" w:sz="0" w:space="0" w:color="auto"/>
        <w:right w:val="none" w:sz="0" w:space="0" w:color="auto"/>
      </w:divBdr>
    </w:div>
    <w:div w:id="1125083215">
      <w:bodyDiv w:val="1"/>
      <w:marLeft w:val="0"/>
      <w:marRight w:val="0"/>
      <w:marTop w:val="0"/>
      <w:marBottom w:val="0"/>
      <w:divBdr>
        <w:top w:val="none" w:sz="0" w:space="0" w:color="auto"/>
        <w:left w:val="none" w:sz="0" w:space="0" w:color="auto"/>
        <w:bottom w:val="none" w:sz="0" w:space="0" w:color="auto"/>
        <w:right w:val="none" w:sz="0" w:space="0" w:color="auto"/>
      </w:divBdr>
    </w:div>
    <w:div w:id="1125192382">
      <w:bodyDiv w:val="1"/>
      <w:marLeft w:val="0"/>
      <w:marRight w:val="0"/>
      <w:marTop w:val="0"/>
      <w:marBottom w:val="0"/>
      <w:divBdr>
        <w:top w:val="none" w:sz="0" w:space="0" w:color="auto"/>
        <w:left w:val="none" w:sz="0" w:space="0" w:color="auto"/>
        <w:bottom w:val="none" w:sz="0" w:space="0" w:color="auto"/>
        <w:right w:val="none" w:sz="0" w:space="0" w:color="auto"/>
      </w:divBdr>
    </w:div>
    <w:div w:id="1125268381">
      <w:bodyDiv w:val="1"/>
      <w:marLeft w:val="0"/>
      <w:marRight w:val="0"/>
      <w:marTop w:val="0"/>
      <w:marBottom w:val="0"/>
      <w:divBdr>
        <w:top w:val="none" w:sz="0" w:space="0" w:color="auto"/>
        <w:left w:val="none" w:sz="0" w:space="0" w:color="auto"/>
        <w:bottom w:val="none" w:sz="0" w:space="0" w:color="auto"/>
        <w:right w:val="none" w:sz="0" w:space="0" w:color="auto"/>
      </w:divBdr>
    </w:div>
    <w:div w:id="1125272634">
      <w:bodyDiv w:val="1"/>
      <w:marLeft w:val="0"/>
      <w:marRight w:val="0"/>
      <w:marTop w:val="0"/>
      <w:marBottom w:val="0"/>
      <w:divBdr>
        <w:top w:val="none" w:sz="0" w:space="0" w:color="auto"/>
        <w:left w:val="none" w:sz="0" w:space="0" w:color="auto"/>
        <w:bottom w:val="none" w:sz="0" w:space="0" w:color="auto"/>
        <w:right w:val="none" w:sz="0" w:space="0" w:color="auto"/>
      </w:divBdr>
    </w:div>
    <w:div w:id="1125273834">
      <w:bodyDiv w:val="1"/>
      <w:marLeft w:val="0"/>
      <w:marRight w:val="0"/>
      <w:marTop w:val="0"/>
      <w:marBottom w:val="0"/>
      <w:divBdr>
        <w:top w:val="none" w:sz="0" w:space="0" w:color="auto"/>
        <w:left w:val="none" w:sz="0" w:space="0" w:color="auto"/>
        <w:bottom w:val="none" w:sz="0" w:space="0" w:color="auto"/>
        <w:right w:val="none" w:sz="0" w:space="0" w:color="auto"/>
      </w:divBdr>
    </w:div>
    <w:div w:id="1125349303">
      <w:bodyDiv w:val="1"/>
      <w:marLeft w:val="0"/>
      <w:marRight w:val="0"/>
      <w:marTop w:val="0"/>
      <w:marBottom w:val="0"/>
      <w:divBdr>
        <w:top w:val="none" w:sz="0" w:space="0" w:color="auto"/>
        <w:left w:val="none" w:sz="0" w:space="0" w:color="auto"/>
        <w:bottom w:val="none" w:sz="0" w:space="0" w:color="auto"/>
        <w:right w:val="none" w:sz="0" w:space="0" w:color="auto"/>
      </w:divBdr>
    </w:div>
    <w:div w:id="1125463631">
      <w:bodyDiv w:val="1"/>
      <w:marLeft w:val="0"/>
      <w:marRight w:val="0"/>
      <w:marTop w:val="0"/>
      <w:marBottom w:val="0"/>
      <w:divBdr>
        <w:top w:val="none" w:sz="0" w:space="0" w:color="auto"/>
        <w:left w:val="none" w:sz="0" w:space="0" w:color="auto"/>
        <w:bottom w:val="none" w:sz="0" w:space="0" w:color="auto"/>
        <w:right w:val="none" w:sz="0" w:space="0" w:color="auto"/>
      </w:divBdr>
    </w:div>
    <w:div w:id="1125581720">
      <w:bodyDiv w:val="1"/>
      <w:marLeft w:val="0"/>
      <w:marRight w:val="0"/>
      <w:marTop w:val="0"/>
      <w:marBottom w:val="0"/>
      <w:divBdr>
        <w:top w:val="none" w:sz="0" w:space="0" w:color="auto"/>
        <w:left w:val="none" w:sz="0" w:space="0" w:color="auto"/>
        <w:bottom w:val="none" w:sz="0" w:space="0" w:color="auto"/>
        <w:right w:val="none" w:sz="0" w:space="0" w:color="auto"/>
      </w:divBdr>
    </w:div>
    <w:div w:id="1125612143">
      <w:bodyDiv w:val="1"/>
      <w:marLeft w:val="0"/>
      <w:marRight w:val="0"/>
      <w:marTop w:val="0"/>
      <w:marBottom w:val="0"/>
      <w:divBdr>
        <w:top w:val="none" w:sz="0" w:space="0" w:color="auto"/>
        <w:left w:val="none" w:sz="0" w:space="0" w:color="auto"/>
        <w:bottom w:val="none" w:sz="0" w:space="0" w:color="auto"/>
        <w:right w:val="none" w:sz="0" w:space="0" w:color="auto"/>
      </w:divBdr>
    </w:div>
    <w:div w:id="1125613052">
      <w:bodyDiv w:val="1"/>
      <w:marLeft w:val="0"/>
      <w:marRight w:val="0"/>
      <w:marTop w:val="0"/>
      <w:marBottom w:val="0"/>
      <w:divBdr>
        <w:top w:val="none" w:sz="0" w:space="0" w:color="auto"/>
        <w:left w:val="none" w:sz="0" w:space="0" w:color="auto"/>
        <w:bottom w:val="none" w:sz="0" w:space="0" w:color="auto"/>
        <w:right w:val="none" w:sz="0" w:space="0" w:color="auto"/>
      </w:divBdr>
    </w:div>
    <w:div w:id="1125654659">
      <w:bodyDiv w:val="1"/>
      <w:marLeft w:val="0"/>
      <w:marRight w:val="0"/>
      <w:marTop w:val="0"/>
      <w:marBottom w:val="0"/>
      <w:divBdr>
        <w:top w:val="none" w:sz="0" w:space="0" w:color="auto"/>
        <w:left w:val="none" w:sz="0" w:space="0" w:color="auto"/>
        <w:bottom w:val="none" w:sz="0" w:space="0" w:color="auto"/>
        <w:right w:val="none" w:sz="0" w:space="0" w:color="auto"/>
      </w:divBdr>
    </w:div>
    <w:div w:id="1125733998">
      <w:bodyDiv w:val="1"/>
      <w:marLeft w:val="0"/>
      <w:marRight w:val="0"/>
      <w:marTop w:val="0"/>
      <w:marBottom w:val="0"/>
      <w:divBdr>
        <w:top w:val="none" w:sz="0" w:space="0" w:color="auto"/>
        <w:left w:val="none" w:sz="0" w:space="0" w:color="auto"/>
        <w:bottom w:val="none" w:sz="0" w:space="0" w:color="auto"/>
        <w:right w:val="none" w:sz="0" w:space="0" w:color="auto"/>
      </w:divBdr>
    </w:div>
    <w:div w:id="1125734267">
      <w:bodyDiv w:val="1"/>
      <w:marLeft w:val="0"/>
      <w:marRight w:val="0"/>
      <w:marTop w:val="0"/>
      <w:marBottom w:val="0"/>
      <w:divBdr>
        <w:top w:val="none" w:sz="0" w:space="0" w:color="auto"/>
        <w:left w:val="none" w:sz="0" w:space="0" w:color="auto"/>
        <w:bottom w:val="none" w:sz="0" w:space="0" w:color="auto"/>
        <w:right w:val="none" w:sz="0" w:space="0" w:color="auto"/>
      </w:divBdr>
    </w:div>
    <w:div w:id="1125735783">
      <w:bodyDiv w:val="1"/>
      <w:marLeft w:val="0"/>
      <w:marRight w:val="0"/>
      <w:marTop w:val="0"/>
      <w:marBottom w:val="0"/>
      <w:divBdr>
        <w:top w:val="none" w:sz="0" w:space="0" w:color="auto"/>
        <w:left w:val="none" w:sz="0" w:space="0" w:color="auto"/>
        <w:bottom w:val="none" w:sz="0" w:space="0" w:color="auto"/>
        <w:right w:val="none" w:sz="0" w:space="0" w:color="auto"/>
      </w:divBdr>
    </w:div>
    <w:div w:id="1125736160">
      <w:bodyDiv w:val="1"/>
      <w:marLeft w:val="0"/>
      <w:marRight w:val="0"/>
      <w:marTop w:val="0"/>
      <w:marBottom w:val="0"/>
      <w:divBdr>
        <w:top w:val="none" w:sz="0" w:space="0" w:color="auto"/>
        <w:left w:val="none" w:sz="0" w:space="0" w:color="auto"/>
        <w:bottom w:val="none" w:sz="0" w:space="0" w:color="auto"/>
        <w:right w:val="none" w:sz="0" w:space="0" w:color="auto"/>
      </w:divBdr>
    </w:div>
    <w:div w:id="1125737102">
      <w:bodyDiv w:val="1"/>
      <w:marLeft w:val="0"/>
      <w:marRight w:val="0"/>
      <w:marTop w:val="0"/>
      <w:marBottom w:val="0"/>
      <w:divBdr>
        <w:top w:val="none" w:sz="0" w:space="0" w:color="auto"/>
        <w:left w:val="none" w:sz="0" w:space="0" w:color="auto"/>
        <w:bottom w:val="none" w:sz="0" w:space="0" w:color="auto"/>
        <w:right w:val="none" w:sz="0" w:space="0" w:color="auto"/>
      </w:divBdr>
    </w:div>
    <w:div w:id="1125805264">
      <w:bodyDiv w:val="1"/>
      <w:marLeft w:val="0"/>
      <w:marRight w:val="0"/>
      <w:marTop w:val="0"/>
      <w:marBottom w:val="0"/>
      <w:divBdr>
        <w:top w:val="none" w:sz="0" w:space="0" w:color="auto"/>
        <w:left w:val="none" w:sz="0" w:space="0" w:color="auto"/>
        <w:bottom w:val="none" w:sz="0" w:space="0" w:color="auto"/>
        <w:right w:val="none" w:sz="0" w:space="0" w:color="auto"/>
      </w:divBdr>
    </w:div>
    <w:div w:id="1125847685">
      <w:bodyDiv w:val="1"/>
      <w:marLeft w:val="0"/>
      <w:marRight w:val="0"/>
      <w:marTop w:val="0"/>
      <w:marBottom w:val="0"/>
      <w:divBdr>
        <w:top w:val="none" w:sz="0" w:space="0" w:color="auto"/>
        <w:left w:val="none" w:sz="0" w:space="0" w:color="auto"/>
        <w:bottom w:val="none" w:sz="0" w:space="0" w:color="auto"/>
        <w:right w:val="none" w:sz="0" w:space="0" w:color="auto"/>
      </w:divBdr>
    </w:div>
    <w:div w:id="1126046267">
      <w:bodyDiv w:val="1"/>
      <w:marLeft w:val="0"/>
      <w:marRight w:val="0"/>
      <w:marTop w:val="0"/>
      <w:marBottom w:val="0"/>
      <w:divBdr>
        <w:top w:val="none" w:sz="0" w:space="0" w:color="auto"/>
        <w:left w:val="none" w:sz="0" w:space="0" w:color="auto"/>
        <w:bottom w:val="none" w:sz="0" w:space="0" w:color="auto"/>
        <w:right w:val="none" w:sz="0" w:space="0" w:color="auto"/>
      </w:divBdr>
    </w:div>
    <w:div w:id="1126047381">
      <w:bodyDiv w:val="1"/>
      <w:marLeft w:val="0"/>
      <w:marRight w:val="0"/>
      <w:marTop w:val="0"/>
      <w:marBottom w:val="0"/>
      <w:divBdr>
        <w:top w:val="none" w:sz="0" w:space="0" w:color="auto"/>
        <w:left w:val="none" w:sz="0" w:space="0" w:color="auto"/>
        <w:bottom w:val="none" w:sz="0" w:space="0" w:color="auto"/>
        <w:right w:val="none" w:sz="0" w:space="0" w:color="auto"/>
      </w:divBdr>
    </w:div>
    <w:div w:id="1126048164">
      <w:bodyDiv w:val="1"/>
      <w:marLeft w:val="0"/>
      <w:marRight w:val="0"/>
      <w:marTop w:val="0"/>
      <w:marBottom w:val="0"/>
      <w:divBdr>
        <w:top w:val="none" w:sz="0" w:space="0" w:color="auto"/>
        <w:left w:val="none" w:sz="0" w:space="0" w:color="auto"/>
        <w:bottom w:val="none" w:sz="0" w:space="0" w:color="auto"/>
        <w:right w:val="none" w:sz="0" w:space="0" w:color="auto"/>
      </w:divBdr>
    </w:div>
    <w:div w:id="1126050469">
      <w:bodyDiv w:val="1"/>
      <w:marLeft w:val="0"/>
      <w:marRight w:val="0"/>
      <w:marTop w:val="0"/>
      <w:marBottom w:val="0"/>
      <w:divBdr>
        <w:top w:val="none" w:sz="0" w:space="0" w:color="auto"/>
        <w:left w:val="none" w:sz="0" w:space="0" w:color="auto"/>
        <w:bottom w:val="none" w:sz="0" w:space="0" w:color="auto"/>
        <w:right w:val="none" w:sz="0" w:space="0" w:color="auto"/>
      </w:divBdr>
    </w:div>
    <w:div w:id="1126240397">
      <w:bodyDiv w:val="1"/>
      <w:marLeft w:val="0"/>
      <w:marRight w:val="0"/>
      <w:marTop w:val="0"/>
      <w:marBottom w:val="0"/>
      <w:divBdr>
        <w:top w:val="none" w:sz="0" w:space="0" w:color="auto"/>
        <w:left w:val="none" w:sz="0" w:space="0" w:color="auto"/>
        <w:bottom w:val="none" w:sz="0" w:space="0" w:color="auto"/>
        <w:right w:val="none" w:sz="0" w:space="0" w:color="auto"/>
      </w:divBdr>
    </w:div>
    <w:div w:id="1126242475">
      <w:bodyDiv w:val="1"/>
      <w:marLeft w:val="0"/>
      <w:marRight w:val="0"/>
      <w:marTop w:val="0"/>
      <w:marBottom w:val="0"/>
      <w:divBdr>
        <w:top w:val="none" w:sz="0" w:space="0" w:color="auto"/>
        <w:left w:val="none" w:sz="0" w:space="0" w:color="auto"/>
        <w:bottom w:val="none" w:sz="0" w:space="0" w:color="auto"/>
        <w:right w:val="none" w:sz="0" w:space="0" w:color="auto"/>
      </w:divBdr>
    </w:div>
    <w:div w:id="1126313896">
      <w:bodyDiv w:val="1"/>
      <w:marLeft w:val="0"/>
      <w:marRight w:val="0"/>
      <w:marTop w:val="0"/>
      <w:marBottom w:val="0"/>
      <w:divBdr>
        <w:top w:val="none" w:sz="0" w:space="0" w:color="auto"/>
        <w:left w:val="none" w:sz="0" w:space="0" w:color="auto"/>
        <w:bottom w:val="none" w:sz="0" w:space="0" w:color="auto"/>
        <w:right w:val="none" w:sz="0" w:space="0" w:color="auto"/>
      </w:divBdr>
    </w:div>
    <w:div w:id="1126391044">
      <w:bodyDiv w:val="1"/>
      <w:marLeft w:val="0"/>
      <w:marRight w:val="0"/>
      <w:marTop w:val="0"/>
      <w:marBottom w:val="0"/>
      <w:divBdr>
        <w:top w:val="none" w:sz="0" w:space="0" w:color="auto"/>
        <w:left w:val="none" w:sz="0" w:space="0" w:color="auto"/>
        <w:bottom w:val="none" w:sz="0" w:space="0" w:color="auto"/>
        <w:right w:val="none" w:sz="0" w:space="0" w:color="auto"/>
      </w:divBdr>
    </w:div>
    <w:div w:id="1126393695">
      <w:bodyDiv w:val="1"/>
      <w:marLeft w:val="0"/>
      <w:marRight w:val="0"/>
      <w:marTop w:val="0"/>
      <w:marBottom w:val="0"/>
      <w:divBdr>
        <w:top w:val="none" w:sz="0" w:space="0" w:color="auto"/>
        <w:left w:val="none" w:sz="0" w:space="0" w:color="auto"/>
        <w:bottom w:val="none" w:sz="0" w:space="0" w:color="auto"/>
        <w:right w:val="none" w:sz="0" w:space="0" w:color="auto"/>
      </w:divBdr>
    </w:div>
    <w:div w:id="1126507768">
      <w:bodyDiv w:val="1"/>
      <w:marLeft w:val="0"/>
      <w:marRight w:val="0"/>
      <w:marTop w:val="0"/>
      <w:marBottom w:val="0"/>
      <w:divBdr>
        <w:top w:val="none" w:sz="0" w:space="0" w:color="auto"/>
        <w:left w:val="none" w:sz="0" w:space="0" w:color="auto"/>
        <w:bottom w:val="none" w:sz="0" w:space="0" w:color="auto"/>
        <w:right w:val="none" w:sz="0" w:space="0" w:color="auto"/>
      </w:divBdr>
    </w:div>
    <w:div w:id="1126585699">
      <w:bodyDiv w:val="1"/>
      <w:marLeft w:val="0"/>
      <w:marRight w:val="0"/>
      <w:marTop w:val="0"/>
      <w:marBottom w:val="0"/>
      <w:divBdr>
        <w:top w:val="none" w:sz="0" w:space="0" w:color="auto"/>
        <w:left w:val="none" w:sz="0" w:space="0" w:color="auto"/>
        <w:bottom w:val="none" w:sz="0" w:space="0" w:color="auto"/>
        <w:right w:val="none" w:sz="0" w:space="0" w:color="auto"/>
      </w:divBdr>
    </w:div>
    <w:div w:id="1126658789">
      <w:bodyDiv w:val="1"/>
      <w:marLeft w:val="0"/>
      <w:marRight w:val="0"/>
      <w:marTop w:val="0"/>
      <w:marBottom w:val="0"/>
      <w:divBdr>
        <w:top w:val="none" w:sz="0" w:space="0" w:color="auto"/>
        <w:left w:val="none" w:sz="0" w:space="0" w:color="auto"/>
        <w:bottom w:val="none" w:sz="0" w:space="0" w:color="auto"/>
        <w:right w:val="none" w:sz="0" w:space="0" w:color="auto"/>
      </w:divBdr>
    </w:div>
    <w:div w:id="1126847309">
      <w:bodyDiv w:val="1"/>
      <w:marLeft w:val="0"/>
      <w:marRight w:val="0"/>
      <w:marTop w:val="0"/>
      <w:marBottom w:val="0"/>
      <w:divBdr>
        <w:top w:val="none" w:sz="0" w:space="0" w:color="auto"/>
        <w:left w:val="none" w:sz="0" w:space="0" w:color="auto"/>
        <w:bottom w:val="none" w:sz="0" w:space="0" w:color="auto"/>
        <w:right w:val="none" w:sz="0" w:space="0" w:color="auto"/>
      </w:divBdr>
    </w:div>
    <w:div w:id="1126896006">
      <w:bodyDiv w:val="1"/>
      <w:marLeft w:val="0"/>
      <w:marRight w:val="0"/>
      <w:marTop w:val="0"/>
      <w:marBottom w:val="0"/>
      <w:divBdr>
        <w:top w:val="none" w:sz="0" w:space="0" w:color="auto"/>
        <w:left w:val="none" w:sz="0" w:space="0" w:color="auto"/>
        <w:bottom w:val="none" w:sz="0" w:space="0" w:color="auto"/>
        <w:right w:val="none" w:sz="0" w:space="0" w:color="auto"/>
      </w:divBdr>
    </w:div>
    <w:div w:id="1126896813">
      <w:bodyDiv w:val="1"/>
      <w:marLeft w:val="0"/>
      <w:marRight w:val="0"/>
      <w:marTop w:val="0"/>
      <w:marBottom w:val="0"/>
      <w:divBdr>
        <w:top w:val="none" w:sz="0" w:space="0" w:color="auto"/>
        <w:left w:val="none" w:sz="0" w:space="0" w:color="auto"/>
        <w:bottom w:val="none" w:sz="0" w:space="0" w:color="auto"/>
        <w:right w:val="none" w:sz="0" w:space="0" w:color="auto"/>
      </w:divBdr>
    </w:div>
    <w:div w:id="1126898416">
      <w:bodyDiv w:val="1"/>
      <w:marLeft w:val="0"/>
      <w:marRight w:val="0"/>
      <w:marTop w:val="0"/>
      <w:marBottom w:val="0"/>
      <w:divBdr>
        <w:top w:val="none" w:sz="0" w:space="0" w:color="auto"/>
        <w:left w:val="none" w:sz="0" w:space="0" w:color="auto"/>
        <w:bottom w:val="none" w:sz="0" w:space="0" w:color="auto"/>
        <w:right w:val="none" w:sz="0" w:space="0" w:color="auto"/>
      </w:divBdr>
    </w:div>
    <w:div w:id="1126923006">
      <w:bodyDiv w:val="1"/>
      <w:marLeft w:val="0"/>
      <w:marRight w:val="0"/>
      <w:marTop w:val="0"/>
      <w:marBottom w:val="0"/>
      <w:divBdr>
        <w:top w:val="none" w:sz="0" w:space="0" w:color="auto"/>
        <w:left w:val="none" w:sz="0" w:space="0" w:color="auto"/>
        <w:bottom w:val="none" w:sz="0" w:space="0" w:color="auto"/>
        <w:right w:val="none" w:sz="0" w:space="0" w:color="auto"/>
      </w:divBdr>
    </w:div>
    <w:div w:id="1126968522">
      <w:bodyDiv w:val="1"/>
      <w:marLeft w:val="0"/>
      <w:marRight w:val="0"/>
      <w:marTop w:val="0"/>
      <w:marBottom w:val="0"/>
      <w:divBdr>
        <w:top w:val="none" w:sz="0" w:space="0" w:color="auto"/>
        <w:left w:val="none" w:sz="0" w:space="0" w:color="auto"/>
        <w:bottom w:val="none" w:sz="0" w:space="0" w:color="auto"/>
        <w:right w:val="none" w:sz="0" w:space="0" w:color="auto"/>
      </w:divBdr>
    </w:div>
    <w:div w:id="1126974396">
      <w:bodyDiv w:val="1"/>
      <w:marLeft w:val="0"/>
      <w:marRight w:val="0"/>
      <w:marTop w:val="0"/>
      <w:marBottom w:val="0"/>
      <w:divBdr>
        <w:top w:val="none" w:sz="0" w:space="0" w:color="auto"/>
        <w:left w:val="none" w:sz="0" w:space="0" w:color="auto"/>
        <w:bottom w:val="none" w:sz="0" w:space="0" w:color="auto"/>
        <w:right w:val="none" w:sz="0" w:space="0" w:color="auto"/>
      </w:divBdr>
    </w:div>
    <w:div w:id="1127089683">
      <w:bodyDiv w:val="1"/>
      <w:marLeft w:val="0"/>
      <w:marRight w:val="0"/>
      <w:marTop w:val="0"/>
      <w:marBottom w:val="0"/>
      <w:divBdr>
        <w:top w:val="none" w:sz="0" w:space="0" w:color="auto"/>
        <w:left w:val="none" w:sz="0" w:space="0" w:color="auto"/>
        <w:bottom w:val="none" w:sz="0" w:space="0" w:color="auto"/>
        <w:right w:val="none" w:sz="0" w:space="0" w:color="auto"/>
      </w:divBdr>
    </w:div>
    <w:div w:id="1127120055">
      <w:bodyDiv w:val="1"/>
      <w:marLeft w:val="0"/>
      <w:marRight w:val="0"/>
      <w:marTop w:val="0"/>
      <w:marBottom w:val="0"/>
      <w:divBdr>
        <w:top w:val="none" w:sz="0" w:space="0" w:color="auto"/>
        <w:left w:val="none" w:sz="0" w:space="0" w:color="auto"/>
        <w:bottom w:val="none" w:sz="0" w:space="0" w:color="auto"/>
        <w:right w:val="none" w:sz="0" w:space="0" w:color="auto"/>
      </w:divBdr>
    </w:div>
    <w:div w:id="1127163213">
      <w:bodyDiv w:val="1"/>
      <w:marLeft w:val="0"/>
      <w:marRight w:val="0"/>
      <w:marTop w:val="0"/>
      <w:marBottom w:val="0"/>
      <w:divBdr>
        <w:top w:val="none" w:sz="0" w:space="0" w:color="auto"/>
        <w:left w:val="none" w:sz="0" w:space="0" w:color="auto"/>
        <w:bottom w:val="none" w:sz="0" w:space="0" w:color="auto"/>
        <w:right w:val="none" w:sz="0" w:space="0" w:color="auto"/>
      </w:divBdr>
    </w:div>
    <w:div w:id="1127233666">
      <w:bodyDiv w:val="1"/>
      <w:marLeft w:val="0"/>
      <w:marRight w:val="0"/>
      <w:marTop w:val="0"/>
      <w:marBottom w:val="0"/>
      <w:divBdr>
        <w:top w:val="none" w:sz="0" w:space="0" w:color="auto"/>
        <w:left w:val="none" w:sz="0" w:space="0" w:color="auto"/>
        <w:bottom w:val="none" w:sz="0" w:space="0" w:color="auto"/>
        <w:right w:val="none" w:sz="0" w:space="0" w:color="auto"/>
      </w:divBdr>
    </w:div>
    <w:div w:id="1127285744">
      <w:bodyDiv w:val="1"/>
      <w:marLeft w:val="0"/>
      <w:marRight w:val="0"/>
      <w:marTop w:val="0"/>
      <w:marBottom w:val="0"/>
      <w:divBdr>
        <w:top w:val="none" w:sz="0" w:space="0" w:color="auto"/>
        <w:left w:val="none" w:sz="0" w:space="0" w:color="auto"/>
        <w:bottom w:val="none" w:sz="0" w:space="0" w:color="auto"/>
        <w:right w:val="none" w:sz="0" w:space="0" w:color="auto"/>
      </w:divBdr>
    </w:div>
    <w:div w:id="1127309362">
      <w:bodyDiv w:val="1"/>
      <w:marLeft w:val="0"/>
      <w:marRight w:val="0"/>
      <w:marTop w:val="0"/>
      <w:marBottom w:val="0"/>
      <w:divBdr>
        <w:top w:val="none" w:sz="0" w:space="0" w:color="auto"/>
        <w:left w:val="none" w:sz="0" w:space="0" w:color="auto"/>
        <w:bottom w:val="none" w:sz="0" w:space="0" w:color="auto"/>
        <w:right w:val="none" w:sz="0" w:space="0" w:color="auto"/>
      </w:divBdr>
    </w:div>
    <w:div w:id="1127353726">
      <w:bodyDiv w:val="1"/>
      <w:marLeft w:val="0"/>
      <w:marRight w:val="0"/>
      <w:marTop w:val="0"/>
      <w:marBottom w:val="0"/>
      <w:divBdr>
        <w:top w:val="none" w:sz="0" w:space="0" w:color="auto"/>
        <w:left w:val="none" w:sz="0" w:space="0" w:color="auto"/>
        <w:bottom w:val="none" w:sz="0" w:space="0" w:color="auto"/>
        <w:right w:val="none" w:sz="0" w:space="0" w:color="auto"/>
      </w:divBdr>
    </w:div>
    <w:div w:id="1127360373">
      <w:bodyDiv w:val="1"/>
      <w:marLeft w:val="0"/>
      <w:marRight w:val="0"/>
      <w:marTop w:val="0"/>
      <w:marBottom w:val="0"/>
      <w:divBdr>
        <w:top w:val="none" w:sz="0" w:space="0" w:color="auto"/>
        <w:left w:val="none" w:sz="0" w:space="0" w:color="auto"/>
        <w:bottom w:val="none" w:sz="0" w:space="0" w:color="auto"/>
        <w:right w:val="none" w:sz="0" w:space="0" w:color="auto"/>
      </w:divBdr>
    </w:div>
    <w:div w:id="1127361203">
      <w:bodyDiv w:val="1"/>
      <w:marLeft w:val="0"/>
      <w:marRight w:val="0"/>
      <w:marTop w:val="0"/>
      <w:marBottom w:val="0"/>
      <w:divBdr>
        <w:top w:val="none" w:sz="0" w:space="0" w:color="auto"/>
        <w:left w:val="none" w:sz="0" w:space="0" w:color="auto"/>
        <w:bottom w:val="none" w:sz="0" w:space="0" w:color="auto"/>
        <w:right w:val="none" w:sz="0" w:space="0" w:color="auto"/>
      </w:divBdr>
    </w:div>
    <w:div w:id="1127433942">
      <w:bodyDiv w:val="1"/>
      <w:marLeft w:val="0"/>
      <w:marRight w:val="0"/>
      <w:marTop w:val="0"/>
      <w:marBottom w:val="0"/>
      <w:divBdr>
        <w:top w:val="none" w:sz="0" w:space="0" w:color="auto"/>
        <w:left w:val="none" w:sz="0" w:space="0" w:color="auto"/>
        <w:bottom w:val="none" w:sz="0" w:space="0" w:color="auto"/>
        <w:right w:val="none" w:sz="0" w:space="0" w:color="auto"/>
      </w:divBdr>
    </w:div>
    <w:div w:id="1127505310">
      <w:bodyDiv w:val="1"/>
      <w:marLeft w:val="0"/>
      <w:marRight w:val="0"/>
      <w:marTop w:val="0"/>
      <w:marBottom w:val="0"/>
      <w:divBdr>
        <w:top w:val="none" w:sz="0" w:space="0" w:color="auto"/>
        <w:left w:val="none" w:sz="0" w:space="0" w:color="auto"/>
        <w:bottom w:val="none" w:sz="0" w:space="0" w:color="auto"/>
        <w:right w:val="none" w:sz="0" w:space="0" w:color="auto"/>
      </w:divBdr>
    </w:div>
    <w:div w:id="1127578246">
      <w:bodyDiv w:val="1"/>
      <w:marLeft w:val="0"/>
      <w:marRight w:val="0"/>
      <w:marTop w:val="0"/>
      <w:marBottom w:val="0"/>
      <w:divBdr>
        <w:top w:val="none" w:sz="0" w:space="0" w:color="auto"/>
        <w:left w:val="none" w:sz="0" w:space="0" w:color="auto"/>
        <w:bottom w:val="none" w:sz="0" w:space="0" w:color="auto"/>
        <w:right w:val="none" w:sz="0" w:space="0" w:color="auto"/>
      </w:divBdr>
    </w:div>
    <w:div w:id="1127703234">
      <w:bodyDiv w:val="1"/>
      <w:marLeft w:val="0"/>
      <w:marRight w:val="0"/>
      <w:marTop w:val="0"/>
      <w:marBottom w:val="0"/>
      <w:divBdr>
        <w:top w:val="none" w:sz="0" w:space="0" w:color="auto"/>
        <w:left w:val="none" w:sz="0" w:space="0" w:color="auto"/>
        <w:bottom w:val="none" w:sz="0" w:space="0" w:color="auto"/>
        <w:right w:val="none" w:sz="0" w:space="0" w:color="auto"/>
      </w:divBdr>
    </w:div>
    <w:div w:id="1127746966">
      <w:bodyDiv w:val="1"/>
      <w:marLeft w:val="0"/>
      <w:marRight w:val="0"/>
      <w:marTop w:val="0"/>
      <w:marBottom w:val="0"/>
      <w:divBdr>
        <w:top w:val="none" w:sz="0" w:space="0" w:color="auto"/>
        <w:left w:val="none" w:sz="0" w:space="0" w:color="auto"/>
        <w:bottom w:val="none" w:sz="0" w:space="0" w:color="auto"/>
        <w:right w:val="none" w:sz="0" w:space="0" w:color="auto"/>
      </w:divBdr>
    </w:div>
    <w:div w:id="1127747330">
      <w:bodyDiv w:val="1"/>
      <w:marLeft w:val="0"/>
      <w:marRight w:val="0"/>
      <w:marTop w:val="0"/>
      <w:marBottom w:val="0"/>
      <w:divBdr>
        <w:top w:val="none" w:sz="0" w:space="0" w:color="auto"/>
        <w:left w:val="none" w:sz="0" w:space="0" w:color="auto"/>
        <w:bottom w:val="none" w:sz="0" w:space="0" w:color="auto"/>
        <w:right w:val="none" w:sz="0" w:space="0" w:color="auto"/>
      </w:divBdr>
    </w:div>
    <w:div w:id="1127747595">
      <w:bodyDiv w:val="1"/>
      <w:marLeft w:val="0"/>
      <w:marRight w:val="0"/>
      <w:marTop w:val="0"/>
      <w:marBottom w:val="0"/>
      <w:divBdr>
        <w:top w:val="none" w:sz="0" w:space="0" w:color="auto"/>
        <w:left w:val="none" w:sz="0" w:space="0" w:color="auto"/>
        <w:bottom w:val="none" w:sz="0" w:space="0" w:color="auto"/>
        <w:right w:val="none" w:sz="0" w:space="0" w:color="auto"/>
      </w:divBdr>
    </w:div>
    <w:div w:id="1127818343">
      <w:bodyDiv w:val="1"/>
      <w:marLeft w:val="0"/>
      <w:marRight w:val="0"/>
      <w:marTop w:val="0"/>
      <w:marBottom w:val="0"/>
      <w:divBdr>
        <w:top w:val="none" w:sz="0" w:space="0" w:color="auto"/>
        <w:left w:val="none" w:sz="0" w:space="0" w:color="auto"/>
        <w:bottom w:val="none" w:sz="0" w:space="0" w:color="auto"/>
        <w:right w:val="none" w:sz="0" w:space="0" w:color="auto"/>
      </w:divBdr>
    </w:div>
    <w:div w:id="1127888902">
      <w:bodyDiv w:val="1"/>
      <w:marLeft w:val="0"/>
      <w:marRight w:val="0"/>
      <w:marTop w:val="0"/>
      <w:marBottom w:val="0"/>
      <w:divBdr>
        <w:top w:val="none" w:sz="0" w:space="0" w:color="auto"/>
        <w:left w:val="none" w:sz="0" w:space="0" w:color="auto"/>
        <w:bottom w:val="none" w:sz="0" w:space="0" w:color="auto"/>
        <w:right w:val="none" w:sz="0" w:space="0" w:color="auto"/>
      </w:divBdr>
    </w:div>
    <w:div w:id="1127892792">
      <w:bodyDiv w:val="1"/>
      <w:marLeft w:val="0"/>
      <w:marRight w:val="0"/>
      <w:marTop w:val="0"/>
      <w:marBottom w:val="0"/>
      <w:divBdr>
        <w:top w:val="none" w:sz="0" w:space="0" w:color="auto"/>
        <w:left w:val="none" w:sz="0" w:space="0" w:color="auto"/>
        <w:bottom w:val="none" w:sz="0" w:space="0" w:color="auto"/>
        <w:right w:val="none" w:sz="0" w:space="0" w:color="auto"/>
      </w:divBdr>
    </w:div>
    <w:div w:id="1127896896">
      <w:bodyDiv w:val="1"/>
      <w:marLeft w:val="0"/>
      <w:marRight w:val="0"/>
      <w:marTop w:val="0"/>
      <w:marBottom w:val="0"/>
      <w:divBdr>
        <w:top w:val="none" w:sz="0" w:space="0" w:color="auto"/>
        <w:left w:val="none" w:sz="0" w:space="0" w:color="auto"/>
        <w:bottom w:val="none" w:sz="0" w:space="0" w:color="auto"/>
        <w:right w:val="none" w:sz="0" w:space="0" w:color="auto"/>
      </w:divBdr>
    </w:div>
    <w:div w:id="1127964105">
      <w:bodyDiv w:val="1"/>
      <w:marLeft w:val="0"/>
      <w:marRight w:val="0"/>
      <w:marTop w:val="0"/>
      <w:marBottom w:val="0"/>
      <w:divBdr>
        <w:top w:val="none" w:sz="0" w:space="0" w:color="auto"/>
        <w:left w:val="none" w:sz="0" w:space="0" w:color="auto"/>
        <w:bottom w:val="none" w:sz="0" w:space="0" w:color="auto"/>
        <w:right w:val="none" w:sz="0" w:space="0" w:color="auto"/>
      </w:divBdr>
    </w:div>
    <w:div w:id="1128006881">
      <w:bodyDiv w:val="1"/>
      <w:marLeft w:val="0"/>
      <w:marRight w:val="0"/>
      <w:marTop w:val="0"/>
      <w:marBottom w:val="0"/>
      <w:divBdr>
        <w:top w:val="none" w:sz="0" w:space="0" w:color="auto"/>
        <w:left w:val="none" w:sz="0" w:space="0" w:color="auto"/>
        <w:bottom w:val="none" w:sz="0" w:space="0" w:color="auto"/>
        <w:right w:val="none" w:sz="0" w:space="0" w:color="auto"/>
      </w:divBdr>
    </w:div>
    <w:div w:id="1128010903">
      <w:bodyDiv w:val="1"/>
      <w:marLeft w:val="0"/>
      <w:marRight w:val="0"/>
      <w:marTop w:val="0"/>
      <w:marBottom w:val="0"/>
      <w:divBdr>
        <w:top w:val="none" w:sz="0" w:space="0" w:color="auto"/>
        <w:left w:val="none" w:sz="0" w:space="0" w:color="auto"/>
        <w:bottom w:val="none" w:sz="0" w:space="0" w:color="auto"/>
        <w:right w:val="none" w:sz="0" w:space="0" w:color="auto"/>
      </w:divBdr>
    </w:div>
    <w:div w:id="1128089112">
      <w:bodyDiv w:val="1"/>
      <w:marLeft w:val="0"/>
      <w:marRight w:val="0"/>
      <w:marTop w:val="0"/>
      <w:marBottom w:val="0"/>
      <w:divBdr>
        <w:top w:val="none" w:sz="0" w:space="0" w:color="auto"/>
        <w:left w:val="none" w:sz="0" w:space="0" w:color="auto"/>
        <w:bottom w:val="none" w:sz="0" w:space="0" w:color="auto"/>
        <w:right w:val="none" w:sz="0" w:space="0" w:color="auto"/>
      </w:divBdr>
    </w:div>
    <w:div w:id="1128163799">
      <w:bodyDiv w:val="1"/>
      <w:marLeft w:val="0"/>
      <w:marRight w:val="0"/>
      <w:marTop w:val="0"/>
      <w:marBottom w:val="0"/>
      <w:divBdr>
        <w:top w:val="none" w:sz="0" w:space="0" w:color="auto"/>
        <w:left w:val="none" w:sz="0" w:space="0" w:color="auto"/>
        <w:bottom w:val="none" w:sz="0" w:space="0" w:color="auto"/>
        <w:right w:val="none" w:sz="0" w:space="0" w:color="auto"/>
      </w:divBdr>
    </w:div>
    <w:div w:id="1128165879">
      <w:bodyDiv w:val="1"/>
      <w:marLeft w:val="0"/>
      <w:marRight w:val="0"/>
      <w:marTop w:val="0"/>
      <w:marBottom w:val="0"/>
      <w:divBdr>
        <w:top w:val="none" w:sz="0" w:space="0" w:color="auto"/>
        <w:left w:val="none" w:sz="0" w:space="0" w:color="auto"/>
        <w:bottom w:val="none" w:sz="0" w:space="0" w:color="auto"/>
        <w:right w:val="none" w:sz="0" w:space="0" w:color="auto"/>
      </w:divBdr>
    </w:div>
    <w:div w:id="1128350903">
      <w:bodyDiv w:val="1"/>
      <w:marLeft w:val="0"/>
      <w:marRight w:val="0"/>
      <w:marTop w:val="0"/>
      <w:marBottom w:val="0"/>
      <w:divBdr>
        <w:top w:val="none" w:sz="0" w:space="0" w:color="auto"/>
        <w:left w:val="none" w:sz="0" w:space="0" w:color="auto"/>
        <w:bottom w:val="none" w:sz="0" w:space="0" w:color="auto"/>
        <w:right w:val="none" w:sz="0" w:space="0" w:color="auto"/>
      </w:divBdr>
    </w:div>
    <w:div w:id="1128359498">
      <w:bodyDiv w:val="1"/>
      <w:marLeft w:val="0"/>
      <w:marRight w:val="0"/>
      <w:marTop w:val="0"/>
      <w:marBottom w:val="0"/>
      <w:divBdr>
        <w:top w:val="none" w:sz="0" w:space="0" w:color="auto"/>
        <w:left w:val="none" w:sz="0" w:space="0" w:color="auto"/>
        <w:bottom w:val="none" w:sz="0" w:space="0" w:color="auto"/>
        <w:right w:val="none" w:sz="0" w:space="0" w:color="auto"/>
      </w:divBdr>
    </w:div>
    <w:div w:id="1128401068">
      <w:bodyDiv w:val="1"/>
      <w:marLeft w:val="0"/>
      <w:marRight w:val="0"/>
      <w:marTop w:val="0"/>
      <w:marBottom w:val="0"/>
      <w:divBdr>
        <w:top w:val="none" w:sz="0" w:space="0" w:color="auto"/>
        <w:left w:val="none" w:sz="0" w:space="0" w:color="auto"/>
        <w:bottom w:val="none" w:sz="0" w:space="0" w:color="auto"/>
        <w:right w:val="none" w:sz="0" w:space="0" w:color="auto"/>
      </w:divBdr>
    </w:div>
    <w:div w:id="1128622584">
      <w:bodyDiv w:val="1"/>
      <w:marLeft w:val="0"/>
      <w:marRight w:val="0"/>
      <w:marTop w:val="0"/>
      <w:marBottom w:val="0"/>
      <w:divBdr>
        <w:top w:val="none" w:sz="0" w:space="0" w:color="auto"/>
        <w:left w:val="none" w:sz="0" w:space="0" w:color="auto"/>
        <w:bottom w:val="none" w:sz="0" w:space="0" w:color="auto"/>
        <w:right w:val="none" w:sz="0" w:space="0" w:color="auto"/>
      </w:divBdr>
    </w:div>
    <w:div w:id="1128669649">
      <w:bodyDiv w:val="1"/>
      <w:marLeft w:val="0"/>
      <w:marRight w:val="0"/>
      <w:marTop w:val="0"/>
      <w:marBottom w:val="0"/>
      <w:divBdr>
        <w:top w:val="none" w:sz="0" w:space="0" w:color="auto"/>
        <w:left w:val="none" w:sz="0" w:space="0" w:color="auto"/>
        <w:bottom w:val="none" w:sz="0" w:space="0" w:color="auto"/>
        <w:right w:val="none" w:sz="0" w:space="0" w:color="auto"/>
      </w:divBdr>
    </w:div>
    <w:div w:id="1128739329">
      <w:bodyDiv w:val="1"/>
      <w:marLeft w:val="0"/>
      <w:marRight w:val="0"/>
      <w:marTop w:val="0"/>
      <w:marBottom w:val="0"/>
      <w:divBdr>
        <w:top w:val="none" w:sz="0" w:space="0" w:color="auto"/>
        <w:left w:val="none" w:sz="0" w:space="0" w:color="auto"/>
        <w:bottom w:val="none" w:sz="0" w:space="0" w:color="auto"/>
        <w:right w:val="none" w:sz="0" w:space="0" w:color="auto"/>
      </w:divBdr>
    </w:div>
    <w:div w:id="1128742999">
      <w:bodyDiv w:val="1"/>
      <w:marLeft w:val="0"/>
      <w:marRight w:val="0"/>
      <w:marTop w:val="0"/>
      <w:marBottom w:val="0"/>
      <w:divBdr>
        <w:top w:val="none" w:sz="0" w:space="0" w:color="auto"/>
        <w:left w:val="none" w:sz="0" w:space="0" w:color="auto"/>
        <w:bottom w:val="none" w:sz="0" w:space="0" w:color="auto"/>
        <w:right w:val="none" w:sz="0" w:space="0" w:color="auto"/>
      </w:divBdr>
    </w:div>
    <w:div w:id="1128858371">
      <w:bodyDiv w:val="1"/>
      <w:marLeft w:val="0"/>
      <w:marRight w:val="0"/>
      <w:marTop w:val="0"/>
      <w:marBottom w:val="0"/>
      <w:divBdr>
        <w:top w:val="none" w:sz="0" w:space="0" w:color="auto"/>
        <w:left w:val="none" w:sz="0" w:space="0" w:color="auto"/>
        <w:bottom w:val="none" w:sz="0" w:space="0" w:color="auto"/>
        <w:right w:val="none" w:sz="0" w:space="0" w:color="auto"/>
      </w:divBdr>
    </w:div>
    <w:div w:id="1129056997">
      <w:bodyDiv w:val="1"/>
      <w:marLeft w:val="0"/>
      <w:marRight w:val="0"/>
      <w:marTop w:val="0"/>
      <w:marBottom w:val="0"/>
      <w:divBdr>
        <w:top w:val="none" w:sz="0" w:space="0" w:color="auto"/>
        <w:left w:val="none" w:sz="0" w:space="0" w:color="auto"/>
        <w:bottom w:val="none" w:sz="0" w:space="0" w:color="auto"/>
        <w:right w:val="none" w:sz="0" w:space="0" w:color="auto"/>
      </w:divBdr>
    </w:div>
    <w:div w:id="1129274963">
      <w:bodyDiv w:val="1"/>
      <w:marLeft w:val="0"/>
      <w:marRight w:val="0"/>
      <w:marTop w:val="0"/>
      <w:marBottom w:val="0"/>
      <w:divBdr>
        <w:top w:val="none" w:sz="0" w:space="0" w:color="auto"/>
        <w:left w:val="none" w:sz="0" w:space="0" w:color="auto"/>
        <w:bottom w:val="none" w:sz="0" w:space="0" w:color="auto"/>
        <w:right w:val="none" w:sz="0" w:space="0" w:color="auto"/>
      </w:divBdr>
    </w:div>
    <w:div w:id="1129317324">
      <w:bodyDiv w:val="1"/>
      <w:marLeft w:val="0"/>
      <w:marRight w:val="0"/>
      <w:marTop w:val="0"/>
      <w:marBottom w:val="0"/>
      <w:divBdr>
        <w:top w:val="none" w:sz="0" w:space="0" w:color="auto"/>
        <w:left w:val="none" w:sz="0" w:space="0" w:color="auto"/>
        <w:bottom w:val="none" w:sz="0" w:space="0" w:color="auto"/>
        <w:right w:val="none" w:sz="0" w:space="0" w:color="auto"/>
      </w:divBdr>
    </w:div>
    <w:div w:id="1129324696">
      <w:bodyDiv w:val="1"/>
      <w:marLeft w:val="0"/>
      <w:marRight w:val="0"/>
      <w:marTop w:val="0"/>
      <w:marBottom w:val="0"/>
      <w:divBdr>
        <w:top w:val="none" w:sz="0" w:space="0" w:color="auto"/>
        <w:left w:val="none" w:sz="0" w:space="0" w:color="auto"/>
        <w:bottom w:val="none" w:sz="0" w:space="0" w:color="auto"/>
        <w:right w:val="none" w:sz="0" w:space="0" w:color="auto"/>
      </w:divBdr>
    </w:div>
    <w:div w:id="1129397534">
      <w:bodyDiv w:val="1"/>
      <w:marLeft w:val="0"/>
      <w:marRight w:val="0"/>
      <w:marTop w:val="0"/>
      <w:marBottom w:val="0"/>
      <w:divBdr>
        <w:top w:val="none" w:sz="0" w:space="0" w:color="auto"/>
        <w:left w:val="none" w:sz="0" w:space="0" w:color="auto"/>
        <w:bottom w:val="none" w:sz="0" w:space="0" w:color="auto"/>
        <w:right w:val="none" w:sz="0" w:space="0" w:color="auto"/>
      </w:divBdr>
    </w:div>
    <w:div w:id="1129544635">
      <w:bodyDiv w:val="1"/>
      <w:marLeft w:val="0"/>
      <w:marRight w:val="0"/>
      <w:marTop w:val="0"/>
      <w:marBottom w:val="0"/>
      <w:divBdr>
        <w:top w:val="none" w:sz="0" w:space="0" w:color="auto"/>
        <w:left w:val="none" w:sz="0" w:space="0" w:color="auto"/>
        <w:bottom w:val="none" w:sz="0" w:space="0" w:color="auto"/>
        <w:right w:val="none" w:sz="0" w:space="0" w:color="auto"/>
      </w:divBdr>
    </w:div>
    <w:div w:id="1129591048">
      <w:bodyDiv w:val="1"/>
      <w:marLeft w:val="0"/>
      <w:marRight w:val="0"/>
      <w:marTop w:val="0"/>
      <w:marBottom w:val="0"/>
      <w:divBdr>
        <w:top w:val="none" w:sz="0" w:space="0" w:color="auto"/>
        <w:left w:val="none" w:sz="0" w:space="0" w:color="auto"/>
        <w:bottom w:val="none" w:sz="0" w:space="0" w:color="auto"/>
        <w:right w:val="none" w:sz="0" w:space="0" w:color="auto"/>
      </w:divBdr>
    </w:div>
    <w:div w:id="1129857804">
      <w:bodyDiv w:val="1"/>
      <w:marLeft w:val="0"/>
      <w:marRight w:val="0"/>
      <w:marTop w:val="0"/>
      <w:marBottom w:val="0"/>
      <w:divBdr>
        <w:top w:val="none" w:sz="0" w:space="0" w:color="auto"/>
        <w:left w:val="none" w:sz="0" w:space="0" w:color="auto"/>
        <w:bottom w:val="none" w:sz="0" w:space="0" w:color="auto"/>
        <w:right w:val="none" w:sz="0" w:space="0" w:color="auto"/>
      </w:divBdr>
    </w:div>
    <w:div w:id="1129860614">
      <w:bodyDiv w:val="1"/>
      <w:marLeft w:val="0"/>
      <w:marRight w:val="0"/>
      <w:marTop w:val="0"/>
      <w:marBottom w:val="0"/>
      <w:divBdr>
        <w:top w:val="none" w:sz="0" w:space="0" w:color="auto"/>
        <w:left w:val="none" w:sz="0" w:space="0" w:color="auto"/>
        <w:bottom w:val="none" w:sz="0" w:space="0" w:color="auto"/>
        <w:right w:val="none" w:sz="0" w:space="0" w:color="auto"/>
      </w:divBdr>
    </w:div>
    <w:div w:id="1129863874">
      <w:bodyDiv w:val="1"/>
      <w:marLeft w:val="0"/>
      <w:marRight w:val="0"/>
      <w:marTop w:val="0"/>
      <w:marBottom w:val="0"/>
      <w:divBdr>
        <w:top w:val="none" w:sz="0" w:space="0" w:color="auto"/>
        <w:left w:val="none" w:sz="0" w:space="0" w:color="auto"/>
        <w:bottom w:val="none" w:sz="0" w:space="0" w:color="auto"/>
        <w:right w:val="none" w:sz="0" w:space="0" w:color="auto"/>
      </w:divBdr>
    </w:div>
    <w:div w:id="1129936827">
      <w:bodyDiv w:val="1"/>
      <w:marLeft w:val="0"/>
      <w:marRight w:val="0"/>
      <w:marTop w:val="0"/>
      <w:marBottom w:val="0"/>
      <w:divBdr>
        <w:top w:val="none" w:sz="0" w:space="0" w:color="auto"/>
        <w:left w:val="none" w:sz="0" w:space="0" w:color="auto"/>
        <w:bottom w:val="none" w:sz="0" w:space="0" w:color="auto"/>
        <w:right w:val="none" w:sz="0" w:space="0" w:color="auto"/>
      </w:divBdr>
    </w:div>
    <w:div w:id="1129977957">
      <w:bodyDiv w:val="1"/>
      <w:marLeft w:val="0"/>
      <w:marRight w:val="0"/>
      <w:marTop w:val="0"/>
      <w:marBottom w:val="0"/>
      <w:divBdr>
        <w:top w:val="none" w:sz="0" w:space="0" w:color="auto"/>
        <w:left w:val="none" w:sz="0" w:space="0" w:color="auto"/>
        <w:bottom w:val="none" w:sz="0" w:space="0" w:color="auto"/>
        <w:right w:val="none" w:sz="0" w:space="0" w:color="auto"/>
      </w:divBdr>
    </w:div>
    <w:div w:id="1129979817">
      <w:bodyDiv w:val="1"/>
      <w:marLeft w:val="0"/>
      <w:marRight w:val="0"/>
      <w:marTop w:val="0"/>
      <w:marBottom w:val="0"/>
      <w:divBdr>
        <w:top w:val="none" w:sz="0" w:space="0" w:color="auto"/>
        <w:left w:val="none" w:sz="0" w:space="0" w:color="auto"/>
        <w:bottom w:val="none" w:sz="0" w:space="0" w:color="auto"/>
        <w:right w:val="none" w:sz="0" w:space="0" w:color="auto"/>
      </w:divBdr>
    </w:div>
    <w:div w:id="1130053112">
      <w:bodyDiv w:val="1"/>
      <w:marLeft w:val="0"/>
      <w:marRight w:val="0"/>
      <w:marTop w:val="0"/>
      <w:marBottom w:val="0"/>
      <w:divBdr>
        <w:top w:val="none" w:sz="0" w:space="0" w:color="auto"/>
        <w:left w:val="none" w:sz="0" w:space="0" w:color="auto"/>
        <w:bottom w:val="none" w:sz="0" w:space="0" w:color="auto"/>
        <w:right w:val="none" w:sz="0" w:space="0" w:color="auto"/>
      </w:divBdr>
    </w:div>
    <w:div w:id="1130170661">
      <w:bodyDiv w:val="1"/>
      <w:marLeft w:val="0"/>
      <w:marRight w:val="0"/>
      <w:marTop w:val="0"/>
      <w:marBottom w:val="0"/>
      <w:divBdr>
        <w:top w:val="none" w:sz="0" w:space="0" w:color="auto"/>
        <w:left w:val="none" w:sz="0" w:space="0" w:color="auto"/>
        <w:bottom w:val="none" w:sz="0" w:space="0" w:color="auto"/>
        <w:right w:val="none" w:sz="0" w:space="0" w:color="auto"/>
      </w:divBdr>
    </w:div>
    <w:div w:id="1130200728">
      <w:bodyDiv w:val="1"/>
      <w:marLeft w:val="0"/>
      <w:marRight w:val="0"/>
      <w:marTop w:val="0"/>
      <w:marBottom w:val="0"/>
      <w:divBdr>
        <w:top w:val="none" w:sz="0" w:space="0" w:color="auto"/>
        <w:left w:val="none" w:sz="0" w:space="0" w:color="auto"/>
        <w:bottom w:val="none" w:sz="0" w:space="0" w:color="auto"/>
        <w:right w:val="none" w:sz="0" w:space="0" w:color="auto"/>
      </w:divBdr>
    </w:div>
    <w:div w:id="1130246055">
      <w:bodyDiv w:val="1"/>
      <w:marLeft w:val="0"/>
      <w:marRight w:val="0"/>
      <w:marTop w:val="0"/>
      <w:marBottom w:val="0"/>
      <w:divBdr>
        <w:top w:val="none" w:sz="0" w:space="0" w:color="auto"/>
        <w:left w:val="none" w:sz="0" w:space="0" w:color="auto"/>
        <w:bottom w:val="none" w:sz="0" w:space="0" w:color="auto"/>
        <w:right w:val="none" w:sz="0" w:space="0" w:color="auto"/>
      </w:divBdr>
    </w:div>
    <w:div w:id="1130248058">
      <w:bodyDiv w:val="1"/>
      <w:marLeft w:val="0"/>
      <w:marRight w:val="0"/>
      <w:marTop w:val="0"/>
      <w:marBottom w:val="0"/>
      <w:divBdr>
        <w:top w:val="none" w:sz="0" w:space="0" w:color="auto"/>
        <w:left w:val="none" w:sz="0" w:space="0" w:color="auto"/>
        <w:bottom w:val="none" w:sz="0" w:space="0" w:color="auto"/>
        <w:right w:val="none" w:sz="0" w:space="0" w:color="auto"/>
      </w:divBdr>
    </w:div>
    <w:div w:id="1130434926">
      <w:bodyDiv w:val="1"/>
      <w:marLeft w:val="0"/>
      <w:marRight w:val="0"/>
      <w:marTop w:val="0"/>
      <w:marBottom w:val="0"/>
      <w:divBdr>
        <w:top w:val="none" w:sz="0" w:space="0" w:color="auto"/>
        <w:left w:val="none" w:sz="0" w:space="0" w:color="auto"/>
        <w:bottom w:val="none" w:sz="0" w:space="0" w:color="auto"/>
        <w:right w:val="none" w:sz="0" w:space="0" w:color="auto"/>
      </w:divBdr>
    </w:div>
    <w:div w:id="1130587997">
      <w:bodyDiv w:val="1"/>
      <w:marLeft w:val="0"/>
      <w:marRight w:val="0"/>
      <w:marTop w:val="0"/>
      <w:marBottom w:val="0"/>
      <w:divBdr>
        <w:top w:val="none" w:sz="0" w:space="0" w:color="auto"/>
        <w:left w:val="none" w:sz="0" w:space="0" w:color="auto"/>
        <w:bottom w:val="none" w:sz="0" w:space="0" w:color="auto"/>
        <w:right w:val="none" w:sz="0" w:space="0" w:color="auto"/>
      </w:divBdr>
    </w:div>
    <w:div w:id="1130592616">
      <w:bodyDiv w:val="1"/>
      <w:marLeft w:val="0"/>
      <w:marRight w:val="0"/>
      <w:marTop w:val="0"/>
      <w:marBottom w:val="0"/>
      <w:divBdr>
        <w:top w:val="none" w:sz="0" w:space="0" w:color="auto"/>
        <w:left w:val="none" w:sz="0" w:space="0" w:color="auto"/>
        <w:bottom w:val="none" w:sz="0" w:space="0" w:color="auto"/>
        <w:right w:val="none" w:sz="0" w:space="0" w:color="auto"/>
      </w:divBdr>
    </w:div>
    <w:div w:id="1130830439">
      <w:bodyDiv w:val="1"/>
      <w:marLeft w:val="0"/>
      <w:marRight w:val="0"/>
      <w:marTop w:val="0"/>
      <w:marBottom w:val="0"/>
      <w:divBdr>
        <w:top w:val="none" w:sz="0" w:space="0" w:color="auto"/>
        <w:left w:val="none" w:sz="0" w:space="0" w:color="auto"/>
        <w:bottom w:val="none" w:sz="0" w:space="0" w:color="auto"/>
        <w:right w:val="none" w:sz="0" w:space="0" w:color="auto"/>
      </w:divBdr>
    </w:div>
    <w:div w:id="1130897001">
      <w:bodyDiv w:val="1"/>
      <w:marLeft w:val="0"/>
      <w:marRight w:val="0"/>
      <w:marTop w:val="0"/>
      <w:marBottom w:val="0"/>
      <w:divBdr>
        <w:top w:val="none" w:sz="0" w:space="0" w:color="auto"/>
        <w:left w:val="none" w:sz="0" w:space="0" w:color="auto"/>
        <w:bottom w:val="none" w:sz="0" w:space="0" w:color="auto"/>
        <w:right w:val="none" w:sz="0" w:space="0" w:color="auto"/>
      </w:divBdr>
    </w:div>
    <w:div w:id="1131020692">
      <w:bodyDiv w:val="1"/>
      <w:marLeft w:val="0"/>
      <w:marRight w:val="0"/>
      <w:marTop w:val="0"/>
      <w:marBottom w:val="0"/>
      <w:divBdr>
        <w:top w:val="none" w:sz="0" w:space="0" w:color="auto"/>
        <w:left w:val="none" w:sz="0" w:space="0" w:color="auto"/>
        <w:bottom w:val="none" w:sz="0" w:space="0" w:color="auto"/>
        <w:right w:val="none" w:sz="0" w:space="0" w:color="auto"/>
      </w:divBdr>
    </w:div>
    <w:div w:id="1131023024">
      <w:bodyDiv w:val="1"/>
      <w:marLeft w:val="0"/>
      <w:marRight w:val="0"/>
      <w:marTop w:val="0"/>
      <w:marBottom w:val="0"/>
      <w:divBdr>
        <w:top w:val="none" w:sz="0" w:space="0" w:color="auto"/>
        <w:left w:val="none" w:sz="0" w:space="0" w:color="auto"/>
        <w:bottom w:val="none" w:sz="0" w:space="0" w:color="auto"/>
        <w:right w:val="none" w:sz="0" w:space="0" w:color="auto"/>
      </w:divBdr>
    </w:div>
    <w:div w:id="1131048800">
      <w:bodyDiv w:val="1"/>
      <w:marLeft w:val="0"/>
      <w:marRight w:val="0"/>
      <w:marTop w:val="0"/>
      <w:marBottom w:val="0"/>
      <w:divBdr>
        <w:top w:val="none" w:sz="0" w:space="0" w:color="auto"/>
        <w:left w:val="none" w:sz="0" w:space="0" w:color="auto"/>
        <w:bottom w:val="none" w:sz="0" w:space="0" w:color="auto"/>
        <w:right w:val="none" w:sz="0" w:space="0" w:color="auto"/>
      </w:divBdr>
    </w:div>
    <w:div w:id="1131099328">
      <w:bodyDiv w:val="1"/>
      <w:marLeft w:val="0"/>
      <w:marRight w:val="0"/>
      <w:marTop w:val="0"/>
      <w:marBottom w:val="0"/>
      <w:divBdr>
        <w:top w:val="none" w:sz="0" w:space="0" w:color="auto"/>
        <w:left w:val="none" w:sz="0" w:space="0" w:color="auto"/>
        <w:bottom w:val="none" w:sz="0" w:space="0" w:color="auto"/>
        <w:right w:val="none" w:sz="0" w:space="0" w:color="auto"/>
      </w:divBdr>
    </w:div>
    <w:div w:id="1131242938">
      <w:bodyDiv w:val="1"/>
      <w:marLeft w:val="0"/>
      <w:marRight w:val="0"/>
      <w:marTop w:val="0"/>
      <w:marBottom w:val="0"/>
      <w:divBdr>
        <w:top w:val="none" w:sz="0" w:space="0" w:color="auto"/>
        <w:left w:val="none" w:sz="0" w:space="0" w:color="auto"/>
        <w:bottom w:val="none" w:sz="0" w:space="0" w:color="auto"/>
        <w:right w:val="none" w:sz="0" w:space="0" w:color="auto"/>
      </w:divBdr>
    </w:div>
    <w:div w:id="1131363153">
      <w:bodyDiv w:val="1"/>
      <w:marLeft w:val="0"/>
      <w:marRight w:val="0"/>
      <w:marTop w:val="0"/>
      <w:marBottom w:val="0"/>
      <w:divBdr>
        <w:top w:val="none" w:sz="0" w:space="0" w:color="auto"/>
        <w:left w:val="none" w:sz="0" w:space="0" w:color="auto"/>
        <w:bottom w:val="none" w:sz="0" w:space="0" w:color="auto"/>
        <w:right w:val="none" w:sz="0" w:space="0" w:color="auto"/>
      </w:divBdr>
    </w:div>
    <w:div w:id="1131440657">
      <w:bodyDiv w:val="1"/>
      <w:marLeft w:val="0"/>
      <w:marRight w:val="0"/>
      <w:marTop w:val="0"/>
      <w:marBottom w:val="0"/>
      <w:divBdr>
        <w:top w:val="none" w:sz="0" w:space="0" w:color="auto"/>
        <w:left w:val="none" w:sz="0" w:space="0" w:color="auto"/>
        <w:bottom w:val="none" w:sz="0" w:space="0" w:color="auto"/>
        <w:right w:val="none" w:sz="0" w:space="0" w:color="auto"/>
      </w:divBdr>
    </w:div>
    <w:div w:id="1131555925">
      <w:bodyDiv w:val="1"/>
      <w:marLeft w:val="0"/>
      <w:marRight w:val="0"/>
      <w:marTop w:val="0"/>
      <w:marBottom w:val="0"/>
      <w:divBdr>
        <w:top w:val="none" w:sz="0" w:space="0" w:color="auto"/>
        <w:left w:val="none" w:sz="0" w:space="0" w:color="auto"/>
        <w:bottom w:val="none" w:sz="0" w:space="0" w:color="auto"/>
        <w:right w:val="none" w:sz="0" w:space="0" w:color="auto"/>
      </w:divBdr>
    </w:div>
    <w:div w:id="1131559889">
      <w:bodyDiv w:val="1"/>
      <w:marLeft w:val="0"/>
      <w:marRight w:val="0"/>
      <w:marTop w:val="0"/>
      <w:marBottom w:val="0"/>
      <w:divBdr>
        <w:top w:val="none" w:sz="0" w:space="0" w:color="auto"/>
        <w:left w:val="none" w:sz="0" w:space="0" w:color="auto"/>
        <w:bottom w:val="none" w:sz="0" w:space="0" w:color="auto"/>
        <w:right w:val="none" w:sz="0" w:space="0" w:color="auto"/>
      </w:divBdr>
    </w:div>
    <w:div w:id="1131822554">
      <w:bodyDiv w:val="1"/>
      <w:marLeft w:val="0"/>
      <w:marRight w:val="0"/>
      <w:marTop w:val="0"/>
      <w:marBottom w:val="0"/>
      <w:divBdr>
        <w:top w:val="none" w:sz="0" w:space="0" w:color="auto"/>
        <w:left w:val="none" w:sz="0" w:space="0" w:color="auto"/>
        <w:bottom w:val="none" w:sz="0" w:space="0" w:color="auto"/>
        <w:right w:val="none" w:sz="0" w:space="0" w:color="auto"/>
      </w:divBdr>
    </w:div>
    <w:div w:id="1131823300">
      <w:bodyDiv w:val="1"/>
      <w:marLeft w:val="0"/>
      <w:marRight w:val="0"/>
      <w:marTop w:val="0"/>
      <w:marBottom w:val="0"/>
      <w:divBdr>
        <w:top w:val="none" w:sz="0" w:space="0" w:color="auto"/>
        <w:left w:val="none" w:sz="0" w:space="0" w:color="auto"/>
        <w:bottom w:val="none" w:sz="0" w:space="0" w:color="auto"/>
        <w:right w:val="none" w:sz="0" w:space="0" w:color="auto"/>
      </w:divBdr>
    </w:div>
    <w:div w:id="1131946008">
      <w:bodyDiv w:val="1"/>
      <w:marLeft w:val="0"/>
      <w:marRight w:val="0"/>
      <w:marTop w:val="0"/>
      <w:marBottom w:val="0"/>
      <w:divBdr>
        <w:top w:val="none" w:sz="0" w:space="0" w:color="auto"/>
        <w:left w:val="none" w:sz="0" w:space="0" w:color="auto"/>
        <w:bottom w:val="none" w:sz="0" w:space="0" w:color="auto"/>
        <w:right w:val="none" w:sz="0" w:space="0" w:color="auto"/>
      </w:divBdr>
    </w:div>
    <w:div w:id="1132090881">
      <w:bodyDiv w:val="1"/>
      <w:marLeft w:val="0"/>
      <w:marRight w:val="0"/>
      <w:marTop w:val="0"/>
      <w:marBottom w:val="0"/>
      <w:divBdr>
        <w:top w:val="none" w:sz="0" w:space="0" w:color="auto"/>
        <w:left w:val="none" w:sz="0" w:space="0" w:color="auto"/>
        <w:bottom w:val="none" w:sz="0" w:space="0" w:color="auto"/>
        <w:right w:val="none" w:sz="0" w:space="0" w:color="auto"/>
      </w:divBdr>
    </w:div>
    <w:div w:id="1132138069">
      <w:bodyDiv w:val="1"/>
      <w:marLeft w:val="0"/>
      <w:marRight w:val="0"/>
      <w:marTop w:val="0"/>
      <w:marBottom w:val="0"/>
      <w:divBdr>
        <w:top w:val="none" w:sz="0" w:space="0" w:color="auto"/>
        <w:left w:val="none" w:sz="0" w:space="0" w:color="auto"/>
        <w:bottom w:val="none" w:sz="0" w:space="0" w:color="auto"/>
        <w:right w:val="none" w:sz="0" w:space="0" w:color="auto"/>
      </w:divBdr>
    </w:div>
    <w:div w:id="1132210729">
      <w:bodyDiv w:val="1"/>
      <w:marLeft w:val="0"/>
      <w:marRight w:val="0"/>
      <w:marTop w:val="0"/>
      <w:marBottom w:val="0"/>
      <w:divBdr>
        <w:top w:val="none" w:sz="0" w:space="0" w:color="auto"/>
        <w:left w:val="none" w:sz="0" w:space="0" w:color="auto"/>
        <w:bottom w:val="none" w:sz="0" w:space="0" w:color="auto"/>
        <w:right w:val="none" w:sz="0" w:space="0" w:color="auto"/>
      </w:divBdr>
    </w:div>
    <w:div w:id="1132215052">
      <w:bodyDiv w:val="1"/>
      <w:marLeft w:val="0"/>
      <w:marRight w:val="0"/>
      <w:marTop w:val="0"/>
      <w:marBottom w:val="0"/>
      <w:divBdr>
        <w:top w:val="none" w:sz="0" w:space="0" w:color="auto"/>
        <w:left w:val="none" w:sz="0" w:space="0" w:color="auto"/>
        <w:bottom w:val="none" w:sz="0" w:space="0" w:color="auto"/>
        <w:right w:val="none" w:sz="0" w:space="0" w:color="auto"/>
      </w:divBdr>
    </w:div>
    <w:div w:id="1132333413">
      <w:bodyDiv w:val="1"/>
      <w:marLeft w:val="0"/>
      <w:marRight w:val="0"/>
      <w:marTop w:val="0"/>
      <w:marBottom w:val="0"/>
      <w:divBdr>
        <w:top w:val="none" w:sz="0" w:space="0" w:color="auto"/>
        <w:left w:val="none" w:sz="0" w:space="0" w:color="auto"/>
        <w:bottom w:val="none" w:sz="0" w:space="0" w:color="auto"/>
        <w:right w:val="none" w:sz="0" w:space="0" w:color="auto"/>
      </w:divBdr>
    </w:div>
    <w:div w:id="1132333850">
      <w:bodyDiv w:val="1"/>
      <w:marLeft w:val="0"/>
      <w:marRight w:val="0"/>
      <w:marTop w:val="0"/>
      <w:marBottom w:val="0"/>
      <w:divBdr>
        <w:top w:val="none" w:sz="0" w:space="0" w:color="auto"/>
        <w:left w:val="none" w:sz="0" w:space="0" w:color="auto"/>
        <w:bottom w:val="none" w:sz="0" w:space="0" w:color="auto"/>
        <w:right w:val="none" w:sz="0" w:space="0" w:color="auto"/>
      </w:divBdr>
    </w:div>
    <w:div w:id="1132400988">
      <w:bodyDiv w:val="1"/>
      <w:marLeft w:val="0"/>
      <w:marRight w:val="0"/>
      <w:marTop w:val="0"/>
      <w:marBottom w:val="0"/>
      <w:divBdr>
        <w:top w:val="none" w:sz="0" w:space="0" w:color="auto"/>
        <w:left w:val="none" w:sz="0" w:space="0" w:color="auto"/>
        <w:bottom w:val="none" w:sz="0" w:space="0" w:color="auto"/>
        <w:right w:val="none" w:sz="0" w:space="0" w:color="auto"/>
      </w:divBdr>
    </w:div>
    <w:div w:id="1132405707">
      <w:bodyDiv w:val="1"/>
      <w:marLeft w:val="0"/>
      <w:marRight w:val="0"/>
      <w:marTop w:val="0"/>
      <w:marBottom w:val="0"/>
      <w:divBdr>
        <w:top w:val="none" w:sz="0" w:space="0" w:color="auto"/>
        <w:left w:val="none" w:sz="0" w:space="0" w:color="auto"/>
        <w:bottom w:val="none" w:sz="0" w:space="0" w:color="auto"/>
        <w:right w:val="none" w:sz="0" w:space="0" w:color="auto"/>
      </w:divBdr>
    </w:div>
    <w:div w:id="1132476751">
      <w:bodyDiv w:val="1"/>
      <w:marLeft w:val="0"/>
      <w:marRight w:val="0"/>
      <w:marTop w:val="0"/>
      <w:marBottom w:val="0"/>
      <w:divBdr>
        <w:top w:val="none" w:sz="0" w:space="0" w:color="auto"/>
        <w:left w:val="none" w:sz="0" w:space="0" w:color="auto"/>
        <w:bottom w:val="none" w:sz="0" w:space="0" w:color="auto"/>
        <w:right w:val="none" w:sz="0" w:space="0" w:color="auto"/>
      </w:divBdr>
    </w:div>
    <w:div w:id="1132478295">
      <w:bodyDiv w:val="1"/>
      <w:marLeft w:val="0"/>
      <w:marRight w:val="0"/>
      <w:marTop w:val="0"/>
      <w:marBottom w:val="0"/>
      <w:divBdr>
        <w:top w:val="none" w:sz="0" w:space="0" w:color="auto"/>
        <w:left w:val="none" w:sz="0" w:space="0" w:color="auto"/>
        <w:bottom w:val="none" w:sz="0" w:space="0" w:color="auto"/>
        <w:right w:val="none" w:sz="0" w:space="0" w:color="auto"/>
      </w:divBdr>
    </w:div>
    <w:div w:id="1132484344">
      <w:bodyDiv w:val="1"/>
      <w:marLeft w:val="0"/>
      <w:marRight w:val="0"/>
      <w:marTop w:val="0"/>
      <w:marBottom w:val="0"/>
      <w:divBdr>
        <w:top w:val="none" w:sz="0" w:space="0" w:color="auto"/>
        <w:left w:val="none" w:sz="0" w:space="0" w:color="auto"/>
        <w:bottom w:val="none" w:sz="0" w:space="0" w:color="auto"/>
        <w:right w:val="none" w:sz="0" w:space="0" w:color="auto"/>
      </w:divBdr>
    </w:div>
    <w:div w:id="1132556971">
      <w:bodyDiv w:val="1"/>
      <w:marLeft w:val="0"/>
      <w:marRight w:val="0"/>
      <w:marTop w:val="0"/>
      <w:marBottom w:val="0"/>
      <w:divBdr>
        <w:top w:val="none" w:sz="0" w:space="0" w:color="auto"/>
        <w:left w:val="none" w:sz="0" w:space="0" w:color="auto"/>
        <w:bottom w:val="none" w:sz="0" w:space="0" w:color="auto"/>
        <w:right w:val="none" w:sz="0" w:space="0" w:color="auto"/>
      </w:divBdr>
    </w:div>
    <w:div w:id="1132556996">
      <w:bodyDiv w:val="1"/>
      <w:marLeft w:val="0"/>
      <w:marRight w:val="0"/>
      <w:marTop w:val="0"/>
      <w:marBottom w:val="0"/>
      <w:divBdr>
        <w:top w:val="none" w:sz="0" w:space="0" w:color="auto"/>
        <w:left w:val="none" w:sz="0" w:space="0" w:color="auto"/>
        <w:bottom w:val="none" w:sz="0" w:space="0" w:color="auto"/>
        <w:right w:val="none" w:sz="0" w:space="0" w:color="auto"/>
      </w:divBdr>
    </w:div>
    <w:div w:id="1132595873">
      <w:bodyDiv w:val="1"/>
      <w:marLeft w:val="0"/>
      <w:marRight w:val="0"/>
      <w:marTop w:val="0"/>
      <w:marBottom w:val="0"/>
      <w:divBdr>
        <w:top w:val="none" w:sz="0" w:space="0" w:color="auto"/>
        <w:left w:val="none" w:sz="0" w:space="0" w:color="auto"/>
        <w:bottom w:val="none" w:sz="0" w:space="0" w:color="auto"/>
        <w:right w:val="none" w:sz="0" w:space="0" w:color="auto"/>
      </w:divBdr>
    </w:div>
    <w:div w:id="1132597965">
      <w:bodyDiv w:val="1"/>
      <w:marLeft w:val="0"/>
      <w:marRight w:val="0"/>
      <w:marTop w:val="0"/>
      <w:marBottom w:val="0"/>
      <w:divBdr>
        <w:top w:val="none" w:sz="0" w:space="0" w:color="auto"/>
        <w:left w:val="none" w:sz="0" w:space="0" w:color="auto"/>
        <w:bottom w:val="none" w:sz="0" w:space="0" w:color="auto"/>
        <w:right w:val="none" w:sz="0" w:space="0" w:color="auto"/>
      </w:divBdr>
    </w:div>
    <w:div w:id="1132599059">
      <w:bodyDiv w:val="1"/>
      <w:marLeft w:val="0"/>
      <w:marRight w:val="0"/>
      <w:marTop w:val="0"/>
      <w:marBottom w:val="0"/>
      <w:divBdr>
        <w:top w:val="none" w:sz="0" w:space="0" w:color="auto"/>
        <w:left w:val="none" w:sz="0" w:space="0" w:color="auto"/>
        <w:bottom w:val="none" w:sz="0" w:space="0" w:color="auto"/>
        <w:right w:val="none" w:sz="0" w:space="0" w:color="auto"/>
      </w:divBdr>
    </w:div>
    <w:div w:id="1132671623">
      <w:bodyDiv w:val="1"/>
      <w:marLeft w:val="0"/>
      <w:marRight w:val="0"/>
      <w:marTop w:val="0"/>
      <w:marBottom w:val="0"/>
      <w:divBdr>
        <w:top w:val="none" w:sz="0" w:space="0" w:color="auto"/>
        <w:left w:val="none" w:sz="0" w:space="0" w:color="auto"/>
        <w:bottom w:val="none" w:sz="0" w:space="0" w:color="auto"/>
        <w:right w:val="none" w:sz="0" w:space="0" w:color="auto"/>
      </w:divBdr>
    </w:div>
    <w:div w:id="1132744920">
      <w:bodyDiv w:val="1"/>
      <w:marLeft w:val="0"/>
      <w:marRight w:val="0"/>
      <w:marTop w:val="0"/>
      <w:marBottom w:val="0"/>
      <w:divBdr>
        <w:top w:val="none" w:sz="0" w:space="0" w:color="auto"/>
        <w:left w:val="none" w:sz="0" w:space="0" w:color="auto"/>
        <w:bottom w:val="none" w:sz="0" w:space="0" w:color="auto"/>
        <w:right w:val="none" w:sz="0" w:space="0" w:color="auto"/>
      </w:divBdr>
    </w:div>
    <w:div w:id="1132752410">
      <w:bodyDiv w:val="1"/>
      <w:marLeft w:val="0"/>
      <w:marRight w:val="0"/>
      <w:marTop w:val="0"/>
      <w:marBottom w:val="0"/>
      <w:divBdr>
        <w:top w:val="none" w:sz="0" w:space="0" w:color="auto"/>
        <w:left w:val="none" w:sz="0" w:space="0" w:color="auto"/>
        <w:bottom w:val="none" w:sz="0" w:space="0" w:color="auto"/>
        <w:right w:val="none" w:sz="0" w:space="0" w:color="auto"/>
      </w:divBdr>
    </w:div>
    <w:div w:id="1132753712">
      <w:bodyDiv w:val="1"/>
      <w:marLeft w:val="0"/>
      <w:marRight w:val="0"/>
      <w:marTop w:val="0"/>
      <w:marBottom w:val="0"/>
      <w:divBdr>
        <w:top w:val="none" w:sz="0" w:space="0" w:color="auto"/>
        <w:left w:val="none" w:sz="0" w:space="0" w:color="auto"/>
        <w:bottom w:val="none" w:sz="0" w:space="0" w:color="auto"/>
        <w:right w:val="none" w:sz="0" w:space="0" w:color="auto"/>
      </w:divBdr>
    </w:div>
    <w:div w:id="1132791747">
      <w:bodyDiv w:val="1"/>
      <w:marLeft w:val="0"/>
      <w:marRight w:val="0"/>
      <w:marTop w:val="0"/>
      <w:marBottom w:val="0"/>
      <w:divBdr>
        <w:top w:val="none" w:sz="0" w:space="0" w:color="auto"/>
        <w:left w:val="none" w:sz="0" w:space="0" w:color="auto"/>
        <w:bottom w:val="none" w:sz="0" w:space="0" w:color="auto"/>
        <w:right w:val="none" w:sz="0" w:space="0" w:color="auto"/>
      </w:divBdr>
    </w:div>
    <w:div w:id="1132863072">
      <w:bodyDiv w:val="1"/>
      <w:marLeft w:val="0"/>
      <w:marRight w:val="0"/>
      <w:marTop w:val="0"/>
      <w:marBottom w:val="0"/>
      <w:divBdr>
        <w:top w:val="none" w:sz="0" w:space="0" w:color="auto"/>
        <w:left w:val="none" w:sz="0" w:space="0" w:color="auto"/>
        <w:bottom w:val="none" w:sz="0" w:space="0" w:color="auto"/>
        <w:right w:val="none" w:sz="0" w:space="0" w:color="auto"/>
      </w:divBdr>
    </w:div>
    <w:div w:id="1133014496">
      <w:bodyDiv w:val="1"/>
      <w:marLeft w:val="0"/>
      <w:marRight w:val="0"/>
      <w:marTop w:val="0"/>
      <w:marBottom w:val="0"/>
      <w:divBdr>
        <w:top w:val="none" w:sz="0" w:space="0" w:color="auto"/>
        <w:left w:val="none" w:sz="0" w:space="0" w:color="auto"/>
        <w:bottom w:val="none" w:sz="0" w:space="0" w:color="auto"/>
        <w:right w:val="none" w:sz="0" w:space="0" w:color="auto"/>
      </w:divBdr>
    </w:div>
    <w:div w:id="1133137031">
      <w:bodyDiv w:val="1"/>
      <w:marLeft w:val="0"/>
      <w:marRight w:val="0"/>
      <w:marTop w:val="0"/>
      <w:marBottom w:val="0"/>
      <w:divBdr>
        <w:top w:val="none" w:sz="0" w:space="0" w:color="auto"/>
        <w:left w:val="none" w:sz="0" w:space="0" w:color="auto"/>
        <w:bottom w:val="none" w:sz="0" w:space="0" w:color="auto"/>
        <w:right w:val="none" w:sz="0" w:space="0" w:color="auto"/>
      </w:divBdr>
    </w:div>
    <w:div w:id="1133249909">
      <w:bodyDiv w:val="1"/>
      <w:marLeft w:val="0"/>
      <w:marRight w:val="0"/>
      <w:marTop w:val="0"/>
      <w:marBottom w:val="0"/>
      <w:divBdr>
        <w:top w:val="none" w:sz="0" w:space="0" w:color="auto"/>
        <w:left w:val="none" w:sz="0" w:space="0" w:color="auto"/>
        <w:bottom w:val="none" w:sz="0" w:space="0" w:color="auto"/>
        <w:right w:val="none" w:sz="0" w:space="0" w:color="auto"/>
      </w:divBdr>
    </w:div>
    <w:div w:id="1133332917">
      <w:bodyDiv w:val="1"/>
      <w:marLeft w:val="0"/>
      <w:marRight w:val="0"/>
      <w:marTop w:val="0"/>
      <w:marBottom w:val="0"/>
      <w:divBdr>
        <w:top w:val="none" w:sz="0" w:space="0" w:color="auto"/>
        <w:left w:val="none" w:sz="0" w:space="0" w:color="auto"/>
        <w:bottom w:val="none" w:sz="0" w:space="0" w:color="auto"/>
        <w:right w:val="none" w:sz="0" w:space="0" w:color="auto"/>
      </w:divBdr>
    </w:div>
    <w:div w:id="1133446323">
      <w:bodyDiv w:val="1"/>
      <w:marLeft w:val="0"/>
      <w:marRight w:val="0"/>
      <w:marTop w:val="0"/>
      <w:marBottom w:val="0"/>
      <w:divBdr>
        <w:top w:val="none" w:sz="0" w:space="0" w:color="auto"/>
        <w:left w:val="none" w:sz="0" w:space="0" w:color="auto"/>
        <w:bottom w:val="none" w:sz="0" w:space="0" w:color="auto"/>
        <w:right w:val="none" w:sz="0" w:space="0" w:color="auto"/>
      </w:divBdr>
    </w:div>
    <w:div w:id="1133447665">
      <w:bodyDiv w:val="1"/>
      <w:marLeft w:val="0"/>
      <w:marRight w:val="0"/>
      <w:marTop w:val="0"/>
      <w:marBottom w:val="0"/>
      <w:divBdr>
        <w:top w:val="none" w:sz="0" w:space="0" w:color="auto"/>
        <w:left w:val="none" w:sz="0" w:space="0" w:color="auto"/>
        <w:bottom w:val="none" w:sz="0" w:space="0" w:color="auto"/>
        <w:right w:val="none" w:sz="0" w:space="0" w:color="auto"/>
      </w:divBdr>
    </w:div>
    <w:div w:id="1133598407">
      <w:bodyDiv w:val="1"/>
      <w:marLeft w:val="0"/>
      <w:marRight w:val="0"/>
      <w:marTop w:val="0"/>
      <w:marBottom w:val="0"/>
      <w:divBdr>
        <w:top w:val="none" w:sz="0" w:space="0" w:color="auto"/>
        <w:left w:val="none" w:sz="0" w:space="0" w:color="auto"/>
        <w:bottom w:val="none" w:sz="0" w:space="0" w:color="auto"/>
        <w:right w:val="none" w:sz="0" w:space="0" w:color="auto"/>
      </w:divBdr>
    </w:div>
    <w:div w:id="1133717324">
      <w:bodyDiv w:val="1"/>
      <w:marLeft w:val="0"/>
      <w:marRight w:val="0"/>
      <w:marTop w:val="0"/>
      <w:marBottom w:val="0"/>
      <w:divBdr>
        <w:top w:val="none" w:sz="0" w:space="0" w:color="auto"/>
        <w:left w:val="none" w:sz="0" w:space="0" w:color="auto"/>
        <w:bottom w:val="none" w:sz="0" w:space="0" w:color="auto"/>
        <w:right w:val="none" w:sz="0" w:space="0" w:color="auto"/>
      </w:divBdr>
    </w:div>
    <w:div w:id="1133717404">
      <w:bodyDiv w:val="1"/>
      <w:marLeft w:val="0"/>
      <w:marRight w:val="0"/>
      <w:marTop w:val="0"/>
      <w:marBottom w:val="0"/>
      <w:divBdr>
        <w:top w:val="none" w:sz="0" w:space="0" w:color="auto"/>
        <w:left w:val="none" w:sz="0" w:space="0" w:color="auto"/>
        <w:bottom w:val="none" w:sz="0" w:space="0" w:color="auto"/>
        <w:right w:val="none" w:sz="0" w:space="0" w:color="auto"/>
      </w:divBdr>
    </w:div>
    <w:div w:id="1133719630">
      <w:bodyDiv w:val="1"/>
      <w:marLeft w:val="0"/>
      <w:marRight w:val="0"/>
      <w:marTop w:val="0"/>
      <w:marBottom w:val="0"/>
      <w:divBdr>
        <w:top w:val="none" w:sz="0" w:space="0" w:color="auto"/>
        <w:left w:val="none" w:sz="0" w:space="0" w:color="auto"/>
        <w:bottom w:val="none" w:sz="0" w:space="0" w:color="auto"/>
        <w:right w:val="none" w:sz="0" w:space="0" w:color="auto"/>
      </w:divBdr>
    </w:div>
    <w:div w:id="1133793104">
      <w:bodyDiv w:val="1"/>
      <w:marLeft w:val="0"/>
      <w:marRight w:val="0"/>
      <w:marTop w:val="0"/>
      <w:marBottom w:val="0"/>
      <w:divBdr>
        <w:top w:val="none" w:sz="0" w:space="0" w:color="auto"/>
        <w:left w:val="none" w:sz="0" w:space="0" w:color="auto"/>
        <w:bottom w:val="none" w:sz="0" w:space="0" w:color="auto"/>
        <w:right w:val="none" w:sz="0" w:space="0" w:color="auto"/>
      </w:divBdr>
    </w:div>
    <w:div w:id="1133864688">
      <w:bodyDiv w:val="1"/>
      <w:marLeft w:val="0"/>
      <w:marRight w:val="0"/>
      <w:marTop w:val="0"/>
      <w:marBottom w:val="0"/>
      <w:divBdr>
        <w:top w:val="none" w:sz="0" w:space="0" w:color="auto"/>
        <w:left w:val="none" w:sz="0" w:space="0" w:color="auto"/>
        <w:bottom w:val="none" w:sz="0" w:space="0" w:color="auto"/>
        <w:right w:val="none" w:sz="0" w:space="0" w:color="auto"/>
      </w:divBdr>
    </w:div>
    <w:div w:id="1133870098">
      <w:bodyDiv w:val="1"/>
      <w:marLeft w:val="0"/>
      <w:marRight w:val="0"/>
      <w:marTop w:val="0"/>
      <w:marBottom w:val="0"/>
      <w:divBdr>
        <w:top w:val="none" w:sz="0" w:space="0" w:color="auto"/>
        <w:left w:val="none" w:sz="0" w:space="0" w:color="auto"/>
        <w:bottom w:val="none" w:sz="0" w:space="0" w:color="auto"/>
        <w:right w:val="none" w:sz="0" w:space="0" w:color="auto"/>
      </w:divBdr>
    </w:div>
    <w:div w:id="1133904111">
      <w:bodyDiv w:val="1"/>
      <w:marLeft w:val="0"/>
      <w:marRight w:val="0"/>
      <w:marTop w:val="0"/>
      <w:marBottom w:val="0"/>
      <w:divBdr>
        <w:top w:val="none" w:sz="0" w:space="0" w:color="auto"/>
        <w:left w:val="none" w:sz="0" w:space="0" w:color="auto"/>
        <w:bottom w:val="none" w:sz="0" w:space="0" w:color="auto"/>
        <w:right w:val="none" w:sz="0" w:space="0" w:color="auto"/>
      </w:divBdr>
    </w:div>
    <w:div w:id="1134254319">
      <w:bodyDiv w:val="1"/>
      <w:marLeft w:val="0"/>
      <w:marRight w:val="0"/>
      <w:marTop w:val="0"/>
      <w:marBottom w:val="0"/>
      <w:divBdr>
        <w:top w:val="none" w:sz="0" w:space="0" w:color="auto"/>
        <w:left w:val="none" w:sz="0" w:space="0" w:color="auto"/>
        <w:bottom w:val="none" w:sz="0" w:space="0" w:color="auto"/>
        <w:right w:val="none" w:sz="0" w:space="0" w:color="auto"/>
      </w:divBdr>
    </w:div>
    <w:div w:id="1134254839">
      <w:bodyDiv w:val="1"/>
      <w:marLeft w:val="0"/>
      <w:marRight w:val="0"/>
      <w:marTop w:val="0"/>
      <w:marBottom w:val="0"/>
      <w:divBdr>
        <w:top w:val="none" w:sz="0" w:space="0" w:color="auto"/>
        <w:left w:val="none" w:sz="0" w:space="0" w:color="auto"/>
        <w:bottom w:val="none" w:sz="0" w:space="0" w:color="auto"/>
        <w:right w:val="none" w:sz="0" w:space="0" w:color="auto"/>
      </w:divBdr>
    </w:div>
    <w:div w:id="1134298028">
      <w:bodyDiv w:val="1"/>
      <w:marLeft w:val="0"/>
      <w:marRight w:val="0"/>
      <w:marTop w:val="0"/>
      <w:marBottom w:val="0"/>
      <w:divBdr>
        <w:top w:val="none" w:sz="0" w:space="0" w:color="auto"/>
        <w:left w:val="none" w:sz="0" w:space="0" w:color="auto"/>
        <w:bottom w:val="none" w:sz="0" w:space="0" w:color="auto"/>
        <w:right w:val="none" w:sz="0" w:space="0" w:color="auto"/>
      </w:divBdr>
    </w:div>
    <w:div w:id="1134300060">
      <w:bodyDiv w:val="1"/>
      <w:marLeft w:val="0"/>
      <w:marRight w:val="0"/>
      <w:marTop w:val="0"/>
      <w:marBottom w:val="0"/>
      <w:divBdr>
        <w:top w:val="none" w:sz="0" w:space="0" w:color="auto"/>
        <w:left w:val="none" w:sz="0" w:space="0" w:color="auto"/>
        <w:bottom w:val="none" w:sz="0" w:space="0" w:color="auto"/>
        <w:right w:val="none" w:sz="0" w:space="0" w:color="auto"/>
      </w:divBdr>
    </w:div>
    <w:div w:id="1134444721">
      <w:bodyDiv w:val="1"/>
      <w:marLeft w:val="0"/>
      <w:marRight w:val="0"/>
      <w:marTop w:val="0"/>
      <w:marBottom w:val="0"/>
      <w:divBdr>
        <w:top w:val="none" w:sz="0" w:space="0" w:color="auto"/>
        <w:left w:val="none" w:sz="0" w:space="0" w:color="auto"/>
        <w:bottom w:val="none" w:sz="0" w:space="0" w:color="auto"/>
        <w:right w:val="none" w:sz="0" w:space="0" w:color="auto"/>
      </w:divBdr>
    </w:div>
    <w:div w:id="1134562478">
      <w:bodyDiv w:val="1"/>
      <w:marLeft w:val="0"/>
      <w:marRight w:val="0"/>
      <w:marTop w:val="0"/>
      <w:marBottom w:val="0"/>
      <w:divBdr>
        <w:top w:val="none" w:sz="0" w:space="0" w:color="auto"/>
        <w:left w:val="none" w:sz="0" w:space="0" w:color="auto"/>
        <w:bottom w:val="none" w:sz="0" w:space="0" w:color="auto"/>
        <w:right w:val="none" w:sz="0" w:space="0" w:color="auto"/>
      </w:divBdr>
    </w:div>
    <w:div w:id="1134568677">
      <w:bodyDiv w:val="1"/>
      <w:marLeft w:val="0"/>
      <w:marRight w:val="0"/>
      <w:marTop w:val="0"/>
      <w:marBottom w:val="0"/>
      <w:divBdr>
        <w:top w:val="none" w:sz="0" w:space="0" w:color="auto"/>
        <w:left w:val="none" w:sz="0" w:space="0" w:color="auto"/>
        <w:bottom w:val="none" w:sz="0" w:space="0" w:color="auto"/>
        <w:right w:val="none" w:sz="0" w:space="0" w:color="auto"/>
      </w:divBdr>
    </w:div>
    <w:div w:id="1134637251">
      <w:bodyDiv w:val="1"/>
      <w:marLeft w:val="0"/>
      <w:marRight w:val="0"/>
      <w:marTop w:val="0"/>
      <w:marBottom w:val="0"/>
      <w:divBdr>
        <w:top w:val="none" w:sz="0" w:space="0" w:color="auto"/>
        <w:left w:val="none" w:sz="0" w:space="0" w:color="auto"/>
        <w:bottom w:val="none" w:sz="0" w:space="0" w:color="auto"/>
        <w:right w:val="none" w:sz="0" w:space="0" w:color="auto"/>
      </w:divBdr>
    </w:div>
    <w:div w:id="1134713454">
      <w:bodyDiv w:val="1"/>
      <w:marLeft w:val="0"/>
      <w:marRight w:val="0"/>
      <w:marTop w:val="0"/>
      <w:marBottom w:val="0"/>
      <w:divBdr>
        <w:top w:val="none" w:sz="0" w:space="0" w:color="auto"/>
        <w:left w:val="none" w:sz="0" w:space="0" w:color="auto"/>
        <w:bottom w:val="none" w:sz="0" w:space="0" w:color="auto"/>
        <w:right w:val="none" w:sz="0" w:space="0" w:color="auto"/>
      </w:divBdr>
    </w:div>
    <w:div w:id="1134717751">
      <w:bodyDiv w:val="1"/>
      <w:marLeft w:val="0"/>
      <w:marRight w:val="0"/>
      <w:marTop w:val="0"/>
      <w:marBottom w:val="0"/>
      <w:divBdr>
        <w:top w:val="none" w:sz="0" w:space="0" w:color="auto"/>
        <w:left w:val="none" w:sz="0" w:space="0" w:color="auto"/>
        <w:bottom w:val="none" w:sz="0" w:space="0" w:color="auto"/>
        <w:right w:val="none" w:sz="0" w:space="0" w:color="auto"/>
      </w:divBdr>
    </w:div>
    <w:div w:id="1134758758">
      <w:bodyDiv w:val="1"/>
      <w:marLeft w:val="0"/>
      <w:marRight w:val="0"/>
      <w:marTop w:val="0"/>
      <w:marBottom w:val="0"/>
      <w:divBdr>
        <w:top w:val="none" w:sz="0" w:space="0" w:color="auto"/>
        <w:left w:val="none" w:sz="0" w:space="0" w:color="auto"/>
        <w:bottom w:val="none" w:sz="0" w:space="0" w:color="auto"/>
        <w:right w:val="none" w:sz="0" w:space="0" w:color="auto"/>
      </w:divBdr>
    </w:div>
    <w:div w:id="1134760523">
      <w:bodyDiv w:val="1"/>
      <w:marLeft w:val="0"/>
      <w:marRight w:val="0"/>
      <w:marTop w:val="0"/>
      <w:marBottom w:val="0"/>
      <w:divBdr>
        <w:top w:val="none" w:sz="0" w:space="0" w:color="auto"/>
        <w:left w:val="none" w:sz="0" w:space="0" w:color="auto"/>
        <w:bottom w:val="none" w:sz="0" w:space="0" w:color="auto"/>
        <w:right w:val="none" w:sz="0" w:space="0" w:color="auto"/>
      </w:divBdr>
    </w:div>
    <w:div w:id="1134830300">
      <w:bodyDiv w:val="1"/>
      <w:marLeft w:val="0"/>
      <w:marRight w:val="0"/>
      <w:marTop w:val="0"/>
      <w:marBottom w:val="0"/>
      <w:divBdr>
        <w:top w:val="none" w:sz="0" w:space="0" w:color="auto"/>
        <w:left w:val="none" w:sz="0" w:space="0" w:color="auto"/>
        <w:bottom w:val="none" w:sz="0" w:space="0" w:color="auto"/>
        <w:right w:val="none" w:sz="0" w:space="0" w:color="auto"/>
      </w:divBdr>
    </w:div>
    <w:div w:id="1134834125">
      <w:bodyDiv w:val="1"/>
      <w:marLeft w:val="0"/>
      <w:marRight w:val="0"/>
      <w:marTop w:val="0"/>
      <w:marBottom w:val="0"/>
      <w:divBdr>
        <w:top w:val="none" w:sz="0" w:space="0" w:color="auto"/>
        <w:left w:val="none" w:sz="0" w:space="0" w:color="auto"/>
        <w:bottom w:val="none" w:sz="0" w:space="0" w:color="auto"/>
        <w:right w:val="none" w:sz="0" w:space="0" w:color="auto"/>
      </w:divBdr>
    </w:div>
    <w:div w:id="1134908930">
      <w:bodyDiv w:val="1"/>
      <w:marLeft w:val="0"/>
      <w:marRight w:val="0"/>
      <w:marTop w:val="0"/>
      <w:marBottom w:val="0"/>
      <w:divBdr>
        <w:top w:val="none" w:sz="0" w:space="0" w:color="auto"/>
        <w:left w:val="none" w:sz="0" w:space="0" w:color="auto"/>
        <w:bottom w:val="none" w:sz="0" w:space="0" w:color="auto"/>
        <w:right w:val="none" w:sz="0" w:space="0" w:color="auto"/>
      </w:divBdr>
    </w:div>
    <w:div w:id="1134984294">
      <w:bodyDiv w:val="1"/>
      <w:marLeft w:val="0"/>
      <w:marRight w:val="0"/>
      <w:marTop w:val="0"/>
      <w:marBottom w:val="0"/>
      <w:divBdr>
        <w:top w:val="none" w:sz="0" w:space="0" w:color="auto"/>
        <w:left w:val="none" w:sz="0" w:space="0" w:color="auto"/>
        <w:bottom w:val="none" w:sz="0" w:space="0" w:color="auto"/>
        <w:right w:val="none" w:sz="0" w:space="0" w:color="auto"/>
      </w:divBdr>
    </w:div>
    <w:div w:id="1135029468">
      <w:bodyDiv w:val="1"/>
      <w:marLeft w:val="0"/>
      <w:marRight w:val="0"/>
      <w:marTop w:val="0"/>
      <w:marBottom w:val="0"/>
      <w:divBdr>
        <w:top w:val="none" w:sz="0" w:space="0" w:color="auto"/>
        <w:left w:val="none" w:sz="0" w:space="0" w:color="auto"/>
        <w:bottom w:val="none" w:sz="0" w:space="0" w:color="auto"/>
        <w:right w:val="none" w:sz="0" w:space="0" w:color="auto"/>
      </w:divBdr>
    </w:div>
    <w:div w:id="1135100467">
      <w:bodyDiv w:val="1"/>
      <w:marLeft w:val="0"/>
      <w:marRight w:val="0"/>
      <w:marTop w:val="0"/>
      <w:marBottom w:val="0"/>
      <w:divBdr>
        <w:top w:val="none" w:sz="0" w:space="0" w:color="auto"/>
        <w:left w:val="none" w:sz="0" w:space="0" w:color="auto"/>
        <w:bottom w:val="none" w:sz="0" w:space="0" w:color="auto"/>
        <w:right w:val="none" w:sz="0" w:space="0" w:color="auto"/>
      </w:divBdr>
    </w:div>
    <w:div w:id="1135413223">
      <w:bodyDiv w:val="1"/>
      <w:marLeft w:val="0"/>
      <w:marRight w:val="0"/>
      <w:marTop w:val="0"/>
      <w:marBottom w:val="0"/>
      <w:divBdr>
        <w:top w:val="none" w:sz="0" w:space="0" w:color="auto"/>
        <w:left w:val="none" w:sz="0" w:space="0" w:color="auto"/>
        <w:bottom w:val="none" w:sz="0" w:space="0" w:color="auto"/>
        <w:right w:val="none" w:sz="0" w:space="0" w:color="auto"/>
      </w:divBdr>
    </w:div>
    <w:div w:id="1135485605">
      <w:bodyDiv w:val="1"/>
      <w:marLeft w:val="0"/>
      <w:marRight w:val="0"/>
      <w:marTop w:val="0"/>
      <w:marBottom w:val="0"/>
      <w:divBdr>
        <w:top w:val="none" w:sz="0" w:space="0" w:color="auto"/>
        <w:left w:val="none" w:sz="0" w:space="0" w:color="auto"/>
        <w:bottom w:val="none" w:sz="0" w:space="0" w:color="auto"/>
        <w:right w:val="none" w:sz="0" w:space="0" w:color="auto"/>
      </w:divBdr>
    </w:div>
    <w:div w:id="1135487372">
      <w:bodyDiv w:val="1"/>
      <w:marLeft w:val="0"/>
      <w:marRight w:val="0"/>
      <w:marTop w:val="0"/>
      <w:marBottom w:val="0"/>
      <w:divBdr>
        <w:top w:val="none" w:sz="0" w:space="0" w:color="auto"/>
        <w:left w:val="none" w:sz="0" w:space="0" w:color="auto"/>
        <w:bottom w:val="none" w:sz="0" w:space="0" w:color="auto"/>
        <w:right w:val="none" w:sz="0" w:space="0" w:color="auto"/>
      </w:divBdr>
    </w:div>
    <w:div w:id="1135488604">
      <w:bodyDiv w:val="1"/>
      <w:marLeft w:val="0"/>
      <w:marRight w:val="0"/>
      <w:marTop w:val="0"/>
      <w:marBottom w:val="0"/>
      <w:divBdr>
        <w:top w:val="none" w:sz="0" w:space="0" w:color="auto"/>
        <w:left w:val="none" w:sz="0" w:space="0" w:color="auto"/>
        <w:bottom w:val="none" w:sz="0" w:space="0" w:color="auto"/>
        <w:right w:val="none" w:sz="0" w:space="0" w:color="auto"/>
      </w:divBdr>
    </w:div>
    <w:div w:id="1135492596">
      <w:bodyDiv w:val="1"/>
      <w:marLeft w:val="0"/>
      <w:marRight w:val="0"/>
      <w:marTop w:val="0"/>
      <w:marBottom w:val="0"/>
      <w:divBdr>
        <w:top w:val="none" w:sz="0" w:space="0" w:color="auto"/>
        <w:left w:val="none" w:sz="0" w:space="0" w:color="auto"/>
        <w:bottom w:val="none" w:sz="0" w:space="0" w:color="auto"/>
        <w:right w:val="none" w:sz="0" w:space="0" w:color="auto"/>
      </w:divBdr>
    </w:div>
    <w:div w:id="1135558777">
      <w:bodyDiv w:val="1"/>
      <w:marLeft w:val="0"/>
      <w:marRight w:val="0"/>
      <w:marTop w:val="0"/>
      <w:marBottom w:val="0"/>
      <w:divBdr>
        <w:top w:val="none" w:sz="0" w:space="0" w:color="auto"/>
        <w:left w:val="none" w:sz="0" w:space="0" w:color="auto"/>
        <w:bottom w:val="none" w:sz="0" w:space="0" w:color="auto"/>
        <w:right w:val="none" w:sz="0" w:space="0" w:color="auto"/>
      </w:divBdr>
    </w:div>
    <w:div w:id="1135610215">
      <w:bodyDiv w:val="1"/>
      <w:marLeft w:val="0"/>
      <w:marRight w:val="0"/>
      <w:marTop w:val="0"/>
      <w:marBottom w:val="0"/>
      <w:divBdr>
        <w:top w:val="none" w:sz="0" w:space="0" w:color="auto"/>
        <w:left w:val="none" w:sz="0" w:space="0" w:color="auto"/>
        <w:bottom w:val="none" w:sz="0" w:space="0" w:color="auto"/>
        <w:right w:val="none" w:sz="0" w:space="0" w:color="auto"/>
      </w:divBdr>
    </w:div>
    <w:div w:id="1135610363">
      <w:bodyDiv w:val="1"/>
      <w:marLeft w:val="0"/>
      <w:marRight w:val="0"/>
      <w:marTop w:val="0"/>
      <w:marBottom w:val="0"/>
      <w:divBdr>
        <w:top w:val="none" w:sz="0" w:space="0" w:color="auto"/>
        <w:left w:val="none" w:sz="0" w:space="0" w:color="auto"/>
        <w:bottom w:val="none" w:sz="0" w:space="0" w:color="auto"/>
        <w:right w:val="none" w:sz="0" w:space="0" w:color="auto"/>
      </w:divBdr>
    </w:div>
    <w:div w:id="1135635774">
      <w:bodyDiv w:val="1"/>
      <w:marLeft w:val="0"/>
      <w:marRight w:val="0"/>
      <w:marTop w:val="0"/>
      <w:marBottom w:val="0"/>
      <w:divBdr>
        <w:top w:val="none" w:sz="0" w:space="0" w:color="auto"/>
        <w:left w:val="none" w:sz="0" w:space="0" w:color="auto"/>
        <w:bottom w:val="none" w:sz="0" w:space="0" w:color="auto"/>
        <w:right w:val="none" w:sz="0" w:space="0" w:color="auto"/>
      </w:divBdr>
    </w:div>
    <w:div w:id="1135636696">
      <w:bodyDiv w:val="1"/>
      <w:marLeft w:val="0"/>
      <w:marRight w:val="0"/>
      <w:marTop w:val="0"/>
      <w:marBottom w:val="0"/>
      <w:divBdr>
        <w:top w:val="none" w:sz="0" w:space="0" w:color="auto"/>
        <w:left w:val="none" w:sz="0" w:space="0" w:color="auto"/>
        <w:bottom w:val="none" w:sz="0" w:space="0" w:color="auto"/>
        <w:right w:val="none" w:sz="0" w:space="0" w:color="auto"/>
      </w:divBdr>
    </w:div>
    <w:div w:id="1135831901">
      <w:bodyDiv w:val="1"/>
      <w:marLeft w:val="0"/>
      <w:marRight w:val="0"/>
      <w:marTop w:val="0"/>
      <w:marBottom w:val="0"/>
      <w:divBdr>
        <w:top w:val="none" w:sz="0" w:space="0" w:color="auto"/>
        <w:left w:val="none" w:sz="0" w:space="0" w:color="auto"/>
        <w:bottom w:val="none" w:sz="0" w:space="0" w:color="auto"/>
        <w:right w:val="none" w:sz="0" w:space="0" w:color="auto"/>
      </w:divBdr>
    </w:div>
    <w:div w:id="1135833174">
      <w:bodyDiv w:val="1"/>
      <w:marLeft w:val="0"/>
      <w:marRight w:val="0"/>
      <w:marTop w:val="0"/>
      <w:marBottom w:val="0"/>
      <w:divBdr>
        <w:top w:val="none" w:sz="0" w:space="0" w:color="auto"/>
        <w:left w:val="none" w:sz="0" w:space="0" w:color="auto"/>
        <w:bottom w:val="none" w:sz="0" w:space="0" w:color="auto"/>
        <w:right w:val="none" w:sz="0" w:space="0" w:color="auto"/>
      </w:divBdr>
    </w:div>
    <w:div w:id="1135835816">
      <w:bodyDiv w:val="1"/>
      <w:marLeft w:val="0"/>
      <w:marRight w:val="0"/>
      <w:marTop w:val="0"/>
      <w:marBottom w:val="0"/>
      <w:divBdr>
        <w:top w:val="none" w:sz="0" w:space="0" w:color="auto"/>
        <w:left w:val="none" w:sz="0" w:space="0" w:color="auto"/>
        <w:bottom w:val="none" w:sz="0" w:space="0" w:color="auto"/>
        <w:right w:val="none" w:sz="0" w:space="0" w:color="auto"/>
      </w:divBdr>
    </w:div>
    <w:div w:id="1135873013">
      <w:bodyDiv w:val="1"/>
      <w:marLeft w:val="0"/>
      <w:marRight w:val="0"/>
      <w:marTop w:val="0"/>
      <w:marBottom w:val="0"/>
      <w:divBdr>
        <w:top w:val="none" w:sz="0" w:space="0" w:color="auto"/>
        <w:left w:val="none" w:sz="0" w:space="0" w:color="auto"/>
        <w:bottom w:val="none" w:sz="0" w:space="0" w:color="auto"/>
        <w:right w:val="none" w:sz="0" w:space="0" w:color="auto"/>
      </w:divBdr>
    </w:div>
    <w:div w:id="1135953474">
      <w:bodyDiv w:val="1"/>
      <w:marLeft w:val="0"/>
      <w:marRight w:val="0"/>
      <w:marTop w:val="0"/>
      <w:marBottom w:val="0"/>
      <w:divBdr>
        <w:top w:val="none" w:sz="0" w:space="0" w:color="auto"/>
        <w:left w:val="none" w:sz="0" w:space="0" w:color="auto"/>
        <w:bottom w:val="none" w:sz="0" w:space="0" w:color="auto"/>
        <w:right w:val="none" w:sz="0" w:space="0" w:color="auto"/>
      </w:divBdr>
    </w:div>
    <w:div w:id="1136144047">
      <w:bodyDiv w:val="1"/>
      <w:marLeft w:val="0"/>
      <w:marRight w:val="0"/>
      <w:marTop w:val="0"/>
      <w:marBottom w:val="0"/>
      <w:divBdr>
        <w:top w:val="none" w:sz="0" w:space="0" w:color="auto"/>
        <w:left w:val="none" w:sz="0" w:space="0" w:color="auto"/>
        <w:bottom w:val="none" w:sz="0" w:space="0" w:color="auto"/>
        <w:right w:val="none" w:sz="0" w:space="0" w:color="auto"/>
      </w:divBdr>
    </w:div>
    <w:div w:id="1136490580">
      <w:bodyDiv w:val="1"/>
      <w:marLeft w:val="0"/>
      <w:marRight w:val="0"/>
      <w:marTop w:val="0"/>
      <w:marBottom w:val="0"/>
      <w:divBdr>
        <w:top w:val="none" w:sz="0" w:space="0" w:color="auto"/>
        <w:left w:val="none" w:sz="0" w:space="0" w:color="auto"/>
        <w:bottom w:val="none" w:sz="0" w:space="0" w:color="auto"/>
        <w:right w:val="none" w:sz="0" w:space="0" w:color="auto"/>
      </w:divBdr>
    </w:div>
    <w:div w:id="1136532432">
      <w:bodyDiv w:val="1"/>
      <w:marLeft w:val="0"/>
      <w:marRight w:val="0"/>
      <w:marTop w:val="0"/>
      <w:marBottom w:val="0"/>
      <w:divBdr>
        <w:top w:val="none" w:sz="0" w:space="0" w:color="auto"/>
        <w:left w:val="none" w:sz="0" w:space="0" w:color="auto"/>
        <w:bottom w:val="none" w:sz="0" w:space="0" w:color="auto"/>
        <w:right w:val="none" w:sz="0" w:space="0" w:color="auto"/>
      </w:divBdr>
    </w:div>
    <w:div w:id="1136534416">
      <w:bodyDiv w:val="1"/>
      <w:marLeft w:val="0"/>
      <w:marRight w:val="0"/>
      <w:marTop w:val="0"/>
      <w:marBottom w:val="0"/>
      <w:divBdr>
        <w:top w:val="none" w:sz="0" w:space="0" w:color="auto"/>
        <w:left w:val="none" w:sz="0" w:space="0" w:color="auto"/>
        <w:bottom w:val="none" w:sz="0" w:space="0" w:color="auto"/>
        <w:right w:val="none" w:sz="0" w:space="0" w:color="auto"/>
      </w:divBdr>
    </w:div>
    <w:div w:id="1136602503">
      <w:bodyDiv w:val="1"/>
      <w:marLeft w:val="0"/>
      <w:marRight w:val="0"/>
      <w:marTop w:val="0"/>
      <w:marBottom w:val="0"/>
      <w:divBdr>
        <w:top w:val="none" w:sz="0" w:space="0" w:color="auto"/>
        <w:left w:val="none" w:sz="0" w:space="0" w:color="auto"/>
        <w:bottom w:val="none" w:sz="0" w:space="0" w:color="auto"/>
        <w:right w:val="none" w:sz="0" w:space="0" w:color="auto"/>
      </w:divBdr>
    </w:div>
    <w:div w:id="1136676938">
      <w:bodyDiv w:val="1"/>
      <w:marLeft w:val="0"/>
      <w:marRight w:val="0"/>
      <w:marTop w:val="0"/>
      <w:marBottom w:val="0"/>
      <w:divBdr>
        <w:top w:val="none" w:sz="0" w:space="0" w:color="auto"/>
        <w:left w:val="none" w:sz="0" w:space="0" w:color="auto"/>
        <w:bottom w:val="none" w:sz="0" w:space="0" w:color="auto"/>
        <w:right w:val="none" w:sz="0" w:space="0" w:color="auto"/>
      </w:divBdr>
    </w:div>
    <w:div w:id="1136728189">
      <w:bodyDiv w:val="1"/>
      <w:marLeft w:val="0"/>
      <w:marRight w:val="0"/>
      <w:marTop w:val="0"/>
      <w:marBottom w:val="0"/>
      <w:divBdr>
        <w:top w:val="none" w:sz="0" w:space="0" w:color="auto"/>
        <w:left w:val="none" w:sz="0" w:space="0" w:color="auto"/>
        <w:bottom w:val="none" w:sz="0" w:space="0" w:color="auto"/>
        <w:right w:val="none" w:sz="0" w:space="0" w:color="auto"/>
      </w:divBdr>
    </w:div>
    <w:div w:id="1136753042">
      <w:bodyDiv w:val="1"/>
      <w:marLeft w:val="0"/>
      <w:marRight w:val="0"/>
      <w:marTop w:val="0"/>
      <w:marBottom w:val="0"/>
      <w:divBdr>
        <w:top w:val="none" w:sz="0" w:space="0" w:color="auto"/>
        <w:left w:val="none" w:sz="0" w:space="0" w:color="auto"/>
        <w:bottom w:val="none" w:sz="0" w:space="0" w:color="auto"/>
        <w:right w:val="none" w:sz="0" w:space="0" w:color="auto"/>
      </w:divBdr>
    </w:div>
    <w:div w:id="1136797261">
      <w:bodyDiv w:val="1"/>
      <w:marLeft w:val="0"/>
      <w:marRight w:val="0"/>
      <w:marTop w:val="0"/>
      <w:marBottom w:val="0"/>
      <w:divBdr>
        <w:top w:val="none" w:sz="0" w:space="0" w:color="auto"/>
        <w:left w:val="none" w:sz="0" w:space="0" w:color="auto"/>
        <w:bottom w:val="none" w:sz="0" w:space="0" w:color="auto"/>
        <w:right w:val="none" w:sz="0" w:space="0" w:color="auto"/>
      </w:divBdr>
    </w:div>
    <w:div w:id="1136797567">
      <w:bodyDiv w:val="1"/>
      <w:marLeft w:val="0"/>
      <w:marRight w:val="0"/>
      <w:marTop w:val="0"/>
      <w:marBottom w:val="0"/>
      <w:divBdr>
        <w:top w:val="none" w:sz="0" w:space="0" w:color="auto"/>
        <w:left w:val="none" w:sz="0" w:space="0" w:color="auto"/>
        <w:bottom w:val="none" w:sz="0" w:space="0" w:color="auto"/>
        <w:right w:val="none" w:sz="0" w:space="0" w:color="auto"/>
      </w:divBdr>
    </w:div>
    <w:div w:id="1136800791">
      <w:bodyDiv w:val="1"/>
      <w:marLeft w:val="0"/>
      <w:marRight w:val="0"/>
      <w:marTop w:val="0"/>
      <w:marBottom w:val="0"/>
      <w:divBdr>
        <w:top w:val="none" w:sz="0" w:space="0" w:color="auto"/>
        <w:left w:val="none" w:sz="0" w:space="0" w:color="auto"/>
        <w:bottom w:val="none" w:sz="0" w:space="0" w:color="auto"/>
        <w:right w:val="none" w:sz="0" w:space="0" w:color="auto"/>
      </w:divBdr>
    </w:div>
    <w:div w:id="1136948327">
      <w:bodyDiv w:val="1"/>
      <w:marLeft w:val="0"/>
      <w:marRight w:val="0"/>
      <w:marTop w:val="0"/>
      <w:marBottom w:val="0"/>
      <w:divBdr>
        <w:top w:val="none" w:sz="0" w:space="0" w:color="auto"/>
        <w:left w:val="none" w:sz="0" w:space="0" w:color="auto"/>
        <w:bottom w:val="none" w:sz="0" w:space="0" w:color="auto"/>
        <w:right w:val="none" w:sz="0" w:space="0" w:color="auto"/>
      </w:divBdr>
    </w:div>
    <w:div w:id="1136949991">
      <w:bodyDiv w:val="1"/>
      <w:marLeft w:val="0"/>
      <w:marRight w:val="0"/>
      <w:marTop w:val="0"/>
      <w:marBottom w:val="0"/>
      <w:divBdr>
        <w:top w:val="none" w:sz="0" w:space="0" w:color="auto"/>
        <w:left w:val="none" w:sz="0" w:space="0" w:color="auto"/>
        <w:bottom w:val="none" w:sz="0" w:space="0" w:color="auto"/>
        <w:right w:val="none" w:sz="0" w:space="0" w:color="auto"/>
      </w:divBdr>
    </w:div>
    <w:div w:id="1137067831">
      <w:bodyDiv w:val="1"/>
      <w:marLeft w:val="0"/>
      <w:marRight w:val="0"/>
      <w:marTop w:val="0"/>
      <w:marBottom w:val="0"/>
      <w:divBdr>
        <w:top w:val="none" w:sz="0" w:space="0" w:color="auto"/>
        <w:left w:val="none" w:sz="0" w:space="0" w:color="auto"/>
        <w:bottom w:val="none" w:sz="0" w:space="0" w:color="auto"/>
        <w:right w:val="none" w:sz="0" w:space="0" w:color="auto"/>
      </w:divBdr>
    </w:div>
    <w:div w:id="1137067977">
      <w:bodyDiv w:val="1"/>
      <w:marLeft w:val="0"/>
      <w:marRight w:val="0"/>
      <w:marTop w:val="0"/>
      <w:marBottom w:val="0"/>
      <w:divBdr>
        <w:top w:val="none" w:sz="0" w:space="0" w:color="auto"/>
        <w:left w:val="none" w:sz="0" w:space="0" w:color="auto"/>
        <w:bottom w:val="none" w:sz="0" w:space="0" w:color="auto"/>
        <w:right w:val="none" w:sz="0" w:space="0" w:color="auto"/>
      </w:divBdr>
    </w:div>
    <w:div w:id="1137071293">
      <w:bodyDiv w:val="1"/>
      <w:marLeft w:val="0"/>
      <w:marRight w:val="0"/>
      <w:marTop w:val="0"/>
      <w:marBottom w:val="0"/>
      <w:divBdr>
        <w:top w:val="none" w:sz="0" w:space="0" w:color="auto"/>
        <w:left w:val="none" w:sz="0" w:space="0" w:color="auto"/>
        <w:bottom w:val="none" w:sz="0" w:space="0" w:color="auto"/>
        <w:right w:val="none" w:sz="0" w:space="0" w:color="auto"/>
      </w:divBdr>
    </w:div>
    <w:div w:id="1137143753">
      <w:bodyDiv w:val="1"/>
      <w:marLeft w:val="0"/>
      <w:marRight w:val="0"/>
      <w:marTop w:val="0"/>
      <w:marBottom w:val="0"/>
      <w:divBdr>
        <w:top w:val="none" w:sz="0" w:space="0" w:color="auto"/>
        <w:left w:val="none" w:sz="0" w:space="0" w:color="auto"/>
        <w:bottom w:val="none" w:sz="0" w:space="0" w:color="auto"/>
        <w:right w:val="none" w:sz="0" w:space="0" w:color="auto"/>
      </w:divBdr>
    </w:div>
    <w:div w:id="1137258161">
      <w:bodyDiv w:val="1"/>
      <w:marLeft w:val="0"/>
      <w:marRight w:val="0"/>
      <w:marTop w:val="0"/>
      <w:marBottom w:val="0"/>
      <w:divBdr>
        <w:top w:val="none" w:sz="0" w:space="0" w:color="auto"/>
        <w:left w:val="none" w:sz="0" w:space="0" w:color="auto"/>
        <w:bottom w:val="none" w:sz="0" w:space="0" w:color="auto"/>
        <w:right w:val="none" w:sz="0" w:space="0" w:color="auto"/>
      </w:divBdr>
    </w:div>
    <w:div w:id="1137334538">
      <w:bodyDiv w:val="1"/>
      <w:marLeft w:val="0"/>
      <w:marRight w:val="0"/>
      <w:marTop w:val="0"/>
      <w:marBottom w:val="0"/>
      <w:divBdr>
        <w:top w:val="none" w:sz="0" w:space="0" w:color="auto"/>
        <w:left w:val="none" w:sz="0" w:space="0" w:color="auto"/>
        <w:bottom w:val="none" w:sz="0" w:space="0" w:color="auto"/>
        <w:right w:val="none" w:sz="0" w:space="0" w:color="auto"/>
      </w:divBdr>
    </w:div>
    <w:div w:id="1137339074">
      <w:bodyDiv w:val="1"/>
      <w:marLeft w:val="0"/>
      <w:marRight w:val="0"/>
      <w:marTop w:val="0"/>
      <w:marBottom w:val="0"/>
      <w:divBdr>
        <w:top w:val="none" w:sz="0" w:space="0" w:color="auto"/>
        <w:left w:val="none" w:sz="0" w:space="0" w:color="auto"/>
        <w:bottom w:val="none" w:sz="0" w:space="0" w:color="auto"/>
        <w:right w:val="none" w:sz="0" w:space="0" w:color="auto"/>
      </w:divBdr>
    </w:div>
    <w:div w:id="1137452316">
      <w:bodyDiv w:val="1"/>
      <w:marLeft w:val="0"/>
      <w:marRight w:val="0"/>
      <w:marTop w:val="0"/>
      <w:marBottom w:val="0"/>
      <w:divBdr>
        <w:top w:val="none" w:sz="0" w:space="0" w:color="auto"/>
        <w:left w:val="none" w:sz="0" w:space="0" w:color="auto"/>
        <w:bottom w:val="none" w:sz="0" w:space="0" w:color="auto"/>
        <w:right w:val="none" w:sz="0" w:space="0" w:color="auto"/>
      </w:divBdr>
    </w:div>
    <w:div w:id="1137452893">
      <w:bodyDiv w:val="1"/>
      <w:marLeft w:val="0"/>
      <w:marRight w:val="0"/>
      <w:marTop w:val="0"/>
      <w:marBottom w:val="0"/>
      <w:divBdr>
        <w:top w:val="none" w:sz="0" w:space="0" w:color="auto"/>
        <w:left w:val="none" w:sz="0" w:space="0" w:color="auto"/>
        <w:bottom w:val="none" w:sz="0" w:space="0" w:color="auto"/>
        <w:right w:val="none" w:sz="0" w:space="0" w:color="auto"/>
      </w:divBdr>
    </w:div>
    <w:div w:id="1137531971">
      <w:bodyDiv w:val="1"/>
      <w:marLeft w:val="0"/>
      <w:marRight w:val="0"/>
      <w:marTop w:val="0"/>
      <w:marBottom w:val="0"/>
      <w:divBdr>
        <w:top w:val="none" w:sz="0" w:space="0" w:color="auto"/>
        <w:left w:val="none" w:sz="0" w:space="0" w:color="auto"/>
        <w:bottom w:val="none" w:sz="0" w:space="0" w:color="auto"/>
        <w:right w:val="none" w:sz="0" w:space="0" w:color="auto"/>
      </w:divBdr>
    </w:div>
    <w:div w:id="1137533616">
      <w:bodyDiv w:val="1"/>
      <w:marLeft w:val="0"/>
      <w:marRight w:val="0"/>
      <w:marTop w:val="0"/>
      <w:marBottom w:val="0"/>
      <w:divBdr>
        <w:top w:val="none" w:sz="0" w:space="0" w:color="auto"/>
        <w:left w:val="none" w:sz="0" w:space="0" w:color="auto"/>
        <w:bottom w:val="none" w:sz="0" w:space="0" w:color="auto"/>
        <w:right w:val="none" w:sz="0" w:space="0" w:color="auto"/>
      </w:divBdr>
    </w:div>
    <w:div w:id="1137575846">
      <w:bodyDiv w:val="1"/>
      <w:marLeft w:val="0"/>
      <w:marRight w:val="0"/>
      <w:marTop w:val="0"/>
      <w:marBottom w:val="0"/>
      <w:divBdr>
        <w:top w:val="none" w:sz="0" w:space="0" w:color="auto"/>
        <w:left w:val="none" w:sz="0" w:space="0" w:color="auto"/>
        <w:bottom w:val="none" w:sz="0" w:space="0" w:color="auto"/>
        <w:right w:val="none" w:sz="0" w:space="0" w:color="auto"/>
      </w:divBdr>
    </w:div>
    <w:div w:id="1137604654">
      <w:bodyDiv w:val="1"/>
      <w:marLeft w:val="0"/>
      <w:marRight w:val="0"/>
      <w:marTop w:val="0"/>
      <w:marBottom w:val="0"/>
      <w:divBdr>
        <w:top w:val="none" w:sz="0" w:space="0" w:color="auto"/>
        <w:left w:val="none" w:sz="0" w:space="0" w:color="auto"/>
        <w:bottom w:val="none" w:sz="0" w:space="0" w:color="auto"/>
        <w:right w:val="none" w:sz="0" w:space="0" w:color="auto"/>
      </w:divBdr>
    </w:div>
    <w:div w:id="1137646014">
      <w:bodyDiv w:val="1"/>
      <w:marLeft w:val="0"/>
      <w:marRight w:val="0"/>
      <w:marTop w:val="0"/>
      <w:marBottom w:val="0"/>
      <w:divBdr>
        <w:top w:val="none" w:sz="0" w:space="0" w:color="auto"/>
        <w:left w:val="none" w:sz="0" w:space="0" w:color="auto"/>
        <w:bottom w:val="none" w:sz="0" w:space="0" w:color="auto"/>
        <w:right w:val="none" w:sz="0" w:space="0" w:color="auto"/>
      </w:divBdr>
    </w:div>
    <w:div w:id="1137646139">
      <w:bodyDiv w:val="1"/>
      <w:marLeft w:val="0"/>
      <w:marRight w:val="0"/>
      <w:marTop w:val="0"/>
      <w:marBottom w:val="0"/>
      <w:divBdr>
        <w:top w:val="none" w:sz="0" w:space="0" w:color="auto"/>
        <w:left w:val="none" w:sz="0" w:space="0" w:color="auto"/>
        <w:bottom w:val="none" w:sz="0" w:space="0" w:color="auto"/>
        <w:right w:val="none" w:sz="0" w:space="0" w:color="auto"/>
      </w:divBdr>
    </w:div>
    <w:div w:id="1137801872">
      <w:bodyDiv w:val="1"/>
      <w:marLeft w:val="0"/>
      <w:marRight w:val="0"/>
      <w:marTop w:val="0"/>
      <w:marBottom w:val="0"/>
      <w:divBdr>
        <w:top w:val="none" w:sz="0" w:space="0" w:color="auto"/>
        <w:left w:val="none" w:sz="0" w:space="0" w:color="auto"/>
        <w:bottom w:val="none" w:sz="0" w:space="0" w:color="auto"/>
        <w:right w:val="none" w:sz="0" w:space="0" w:color="auto"/>
      </w:divBdr>
    </w:div>
    <w:div w:id="1137838978">
      <w:bodyDiv w:val="1"/>
      <w:marLeft w:val="0"/>
      <w:marRight w:val="0"/>
      <w:marTop w:val="0"/>
      <w:marBottom w:val="0"/>
      <w:divBdr>
        <w:top w:val="none" w:sz="0" w:space="0" w:color="auto"/>
        <w:left w:val="none" w:sz="0" w:space="0" w:color="auto"/>
        <w:bottom w:val="none" w:sz="0" w:space="0" w:color="auto"/>
        <w:right w:val="none" w:sz="0" w:space="0" w:color="auto"/>
      </w:divBdr>
    </w:div>
    <w:div w:id="1137844298">
      <w:bodyDiv w:val="1"/>
      <w:marLeft w:val="0"/>
      <w:marRight w:val="0"/>
      <w:marTop w:val="0"/>
      <w:marBottom w:val="0"/>
      <w:divBdr>
        <w:top w:val="none" w:sz="0" w:space="0" w:color="auto"/>
        <w:left w:val="none" w:sz="0" w:space="0" w:color="auto"/>
        <w:bottom w:val="none" w:sz="0" w:space="0" w:color="auto"/>
        <w:right w:val="none" w:sz="0" w:space="0" w:color="auto"/>
      </w:divBdr>
    </w:div>
    <w:div w:id="1137990708">
      <w:bodyDiv w:val="1"/>
      <w:marLeft w:val="0"/>
      <w:marRight w:val="0"/>
      <w:marTop w:val="0"/>
      <w:marBottom w:val="0"/>
      <w:divBdr>
        <w:top w:val="none" w:sz="0" w:space="0" w:color="auto"/>
        <w:left w:val="none" w:sz="0" w:space="0" w:color="auto"/>
        <w:bottom w:val="none" w:sz="0" w:space="0" w:color="auto"/>
        <w:right w:val="none" w:sz="0" w:space="0" w:color="auto"/>
      </w:divBdr>
    </w:div>
    <w:div w:id="1137993230">
      <w:bodyDiv w:val="1"/>
      <w:marLeft w:val="0"/>
      <w:marRight w:val="0"/>
      <w:marTop w:val="0"/>
      <w:marBottom w:val="0"/>
      <w:divBdr>
        <w:top w:val="none" w:sz="0" w:space="0" w:color="auto"/>
        <w:left w:val="none" w:sz="0" w:space="0" w:color="auto"/>
        <w:bottom w:val="none" w:sz="0" w:space="0" w:color="auto"/>
        <w:right w:val="none" w:sz="0" w:space="0" w:color="auto"/>
      </w:divBdr>
    </w:div>
    <w:div w:id="1137993620">
      <w:bodyDiv w:val="1"/>
      <w:marLeft w:val="0"/>
      <w:marRight w:val="0"/>
      <w:marTop w:val="0"/>
      <w:marBottom w:val="0"/>
      <w:divBdr>
        <w:top w:val="none" w:sz="0" w:space="0" w:color="auto"/>
        <w:left w:val="none" w:sz="0" w:space="0" w:color="auto"/>
        <w:bottom w:val="none" w:sz="0" w:space="0" w:color="auto"/>
        <w:right w:val="none" w:sz="0" w:space="0" w:color="auto"/>
      </w:divBdr>
    </w:div>
    <w:div w:id="1138112954">
      <w:bodyDiv w:val="1"/>
      <w:marLeft w:val="0"/>
      <w:marRight w:val="0"/>
      <w:marTop w:val="0"/>
      <w:marBottom w:val="0"/>
      <w:divBdr>
        <w:top w:val="none" w:sz="0" w:space="0" w:color="auto"/>
        <w:left w:val="none" w:sz="0" w:space="0" w:color="auto"/>
        <w:bottom w:val="none" w:sz="0" w:space="0" w:color="auto"/>
        <w:right w:val="none" w:sz="0" w:space="0" w:color="auto"/>
      </w:divBdr>
    </w:div>
    <w:div w:id="1138256843">
      <w:bodyDiv w:val="1"/>
      <w:marLeft w:val="0"/>
      <w:marRight w:val="0"/>
      <w:marTop w:val="0"/>
      <w:marBottom w:val="0"/>
      <w:divBdr>
        <w:top w:val="none" w:sz="0" w:space="0" w:color="auto"/>
        <w:left w:val="none" w:sz="0" w:space="0" w:color="auto"/>
        <w:bottom w:val="none" w:sz="0" w:space="0" w:color="auto"/>
        <w:right w:val="none" w:sz="0" w:space="0" w:color="auto"/>
      </w:divBdr>
    </w:div>
    <w:div w:id="1138373930">
      <w:bodyDiv w:val="1"/>
      <w:marLeft w:val="0"/>
      <w:marRight w:val="0"/>
      <w:marTop w:val="0"/>
      <w:marBottom w:val="0"/>
      <w:divBdr>
        <w:top w:val="none" w:sz="0" w:space="0" w:color="auto"/>
        <w:left w:val="none" w:sz="0" w:space="0" w:color="auto"/>
        <w:bottom w:val="none" w:sz="0" w:space="0" w:color="auto"/>
        <w:right w:val="none" w:sz="0" w:space="0" w:color="auto"/>
      </w:divBdr>
    </w:div>
    <w:div w:id="1138455298">
      <w:bodyDiv w:val="1"/>
      <w:marLeft w:val="0"/>
      <w:marRight w:val="0"/>
      <w:marTop w:val="0"/>
      <w:marBottom w:val="0"/>
      <w:divBdr>
        <w:top w:val="none" w:sz="0" w:space="0" w:color="auto"/>
        <w:left w:val="none" w:sz="0" w:space="0" w:color="auto"/>
        <w:bottom w:val="none" w:sz="0" w:space="0" w:color="auto"/>
        <w:right w:val="none" w:sz="0" w:space="0" w:color="auto"/>
      </w:divBdr>
    </w:div>
    <w:div w:id="1138495460">
      <w:bodyDiv w:val="1"/>
      <w:marLeft w:val="0"/>
      <w:marRight w:val="0"/>
      <w:marTop w:val="0"/>
      <w:marBottom w:val="0"/>
      <w:divBdr>
        <w:top w:val="none" w:sz="0" w:space="0" w:color="auto"/>
        <w:left w:val="none" w:sz="0" w:space="0" w:color="auto"/>
        <w:bottom w:val="none" w:sz="0" w:space="0" w:color="auto"/>
        <w:right w:val="none" w:sz="0" w:space="0" w:color="auto"/>
      </w:divBdr>
    </w:div>
    <w:div w:id="1138570705">
      <w:bodyDiv w:val="1"/>
      <w:marLeft w:val="0"/>
      <w:marRight w:val="0"/>
      <w:marTop w:val="0"/>
      <w:marBottom w:val="0"/>
      <w:divBdr>
        <w:top w:val="none" w:sz="0" w:space="0" w:color="auto"/>
        <w:left w:val="none" w:sz="0" w:space="0" w:color="auto"/>
        <w:bottom w:val="none" w:sz="0" w:space="0" w:color="auto"/>
        <w:right w:val="none" w:sz="0" w:space="0" w:color="auto"/>
      </w:divBdr>
    </w:div>
    <w:div w:id="1138572165">
      <w:bodyDiv w:val="1"/>
      <w:marLeft w:val="0"/>
      <w:marRight w:val="0"/>
      <w:marTop w:val="0"/>
      <w:marBottom w:val="0"/>
      <w:divBdr>
        <w:top w:val="none" w:sz="0" w:space="0" w:color="auto"/>
        <w:left w:val="none" w:sz="0" w:space="0" w:color="auto"/>
        <w:bottom w:val="none" w:sz="0" w:space="0" w:color="auto"/>
        <w:right w:val="none" w:sz="0" w:space="0" w:color="auto"/>
      </w:divBdr>
    </w:div>
    <w:div w:id="1138691905">
      <w:bodyDiv w:val="1"/>
      <w:marLeft w:val="0"/>
      <w:marRight w:val="0"/>
      <w:marTop w:val="0"/>
      <w:marBottom w:val="0"/>
      <w:divBdr>
        <w:top w:val="none" w:sz="0" w:space="0" w:color="auto"/>
        <w:left w:val="none" w:sz="0" w:space="0" w:color="auto"/>
        <w:bottom w:val="none" w:sz="0" w:space="0" w:color="auto"/>
        <w:right w:val="none" w:sz="0" w:space="0" w:color="auto"/>
      </w:divBdr>
    </w:div>
    <w:div w:id="1138764569">
      <w:bodyDiv w:val="1"/>
      <w:marLeft w:val="0"/>
      <w:marRight w:val="0"/>
      <w:marTop w:val="0"/>
      <w:marBottom w:val="0"/>
      <w:divBdr>
        <w:top w:val="none" w:sz="0" w:space="0" w:color="auto"/>
        <w:left w:val="none" w:sz="0" w:space="0" w:color="auto"/>
        <w:bottom w:val="none" w:sz="0" w:space="0" w:color="auto"/>
        <w:right w:val="none" w:sz="0" w:space="0" w:color="auto"/>
      </w:divBdr>
    </w:div>
    <w:div w:id="1138955402">
      <w:bodyDiv w:val="1"/>
      <w:marLeft w:val="0"/>
      <w:marRight w:val="0"/>
      <w:marTop w:val="0"/>
      <w:marBottom w:val="0"/>
      <w:divBdr>
        <w:top w:val="none" w:sz="0" w:space="0" w:color="auto"/>
        <w:left w:val="none" w:sz="0" w:space="0" w:color="auto"/>
        <w:bottom w:val="none" w:sz="0" w:space="0" w:color="auto"/>
        <w:right w:val="none" w:sz="0" w:space="0" w:color="auto"/>
      </w:divBdr>
    </w:div>
    <w:div w:id="1139104397">
      <w:bodyDiv w:val="1"/>
      <w:marLeft w:val="0"/>
      <w:marRight w:val="0"/>
      <w:marTop w:val="0"/>
      <w:marBottom w:val="0"/>
      <w:divBdr>
        <w:top w:val="none" w:sz="0" w:space="0" w:color="auto"/>
        <w:left w:val="none" w:sz="0" w:space="0" w:color="auto"/>
        <w:bottom w:val="none" w:sz="0" w:space="0" w:color="auto"/>
        <w:right w:val="none" w:sz="0" w:space="0" w:color="auto"/>
      </w:divBdr>
    </w:div>
    <w:div w:id="1139152536">
      <w:bodyDiv w:val="1"/>
      <w:marLeft w:val="0"/>
      <w:marRight w:val="0"/>
      <w:marTop w:val="0"/>
      <w:marBottom w:val="0"/>
      <w:divBdr>
        <w:top w:val="none" w:sz="0" w:space="0" w:color="auto"/>
        <w:left w:val="none" w:sz="0" w:space="0" w:color="auto"/>
        <w:bottom w:val="none" w:sz="0" w:space="0" w:color="auto"/>
        <w:right w:val="none" w:sz="0" w:space="0" w:color="auto"/>
      </w:divBdr>
    </w:div>
    <w:div w:id="1139344871">
      <w:bodyDiv w:val="1"/>
      <w:marLeft w:val="0"/>
      <w:marRight w:val="0"/>
      <w:marTop w:val="0"/>
      <w:marBottom w:val="0"/>
      <w:divBdr>
        <w:top w:val="none" w:sz="0" w:space="0" w:color="auto"/>
        <w:left w:val="none" w:sz="0" w:space="0" w:color="auto"/>
        <w:bottom w:val="none" w:sz="0" w:space="0" w:color="auto"/>
        <w:right w:val="none" w:sz="0" w:space="0" w:color="auto"/>
      </w:divBdr>
    </w:div>
    <w:div w:id="1139348388">
      <w:bodyDiv w:val="1"/>
      <w:marLeft w:val="0"/>
      <w:marRight w:val="0"/>
      <w:marTop w:val="0"/>
      <w:marBottom w:val="0"/>
      <w:divBdr>
        <w:top w:val="none" w:sz="0" w:space="0" w:color="auto"/>
        <w:left w:val="none" w:sz="0" w:space="0" w:color="auto"/>
        <w:bottom w:val="none" w:sz="0" w:space="0" w:color="auto"/>
        <w:right w:val="none" w:sz="0" w:space="0" w:color="auto"/>
      </w:divBdr>
    </w:div>
    <w:div w:id="1139418580">
      <w:bodyDiv w:val="1"/>
      <w:marLeft w:val="0"/>
      <w:marRight w:val="0"/>
      <w:marTop w:val="0"/>
      <w:marBottom w:val="0"/>
      <w:divBdr>
        <w:top w:val="none" w:sz="0" w:space="0" w:color="auto"/>
        <w:left w:val="none" w:sz="0" w:space="0" w:color="auto"/>
        <w:bottom w:val="none" w:sz="0" w:space="0" w:color="auto"/>
        <w:right w:val="none" w:sz="0" w:space="0" w:color="auto"/>
      </w:divBdr>
    </w:div>
    <w:div w:id="1139422415">
      <w:bodyDiv w:val="1"/>
      <w:marLeft w:val="0"/>
      <w:marRight w:val="0"/>
      <w:marTop w:val="0"/>
      <w:marBottom w:val="0"/>
      <w:divBdr>
        <w:top w:val="none" w:sz="0" w:space="0" w:color="auto"/>
        <w:left w:val="none" w:sz="0" w:space="0" w:color="auto"/>
        <w:bottom w:val="none" w:sz="0" w:space="0" w:color="auto"/>
        <w:right w:val="none" w:sz="0" w:space="0" w:color="auto"/>
      </w:divBdr>
    </w:div>
    <w:div w:id="1139423428">
      <w:bodyDiv w:val="1"/>
      <w:marLeft w:val="0"/>
      <w:marRight w:val="0"/>
      <w:marTop w:val="0"/>
      <w:marBottom w:val="0"/>
      <w:divBdr>
        <w:top w:val="none" w:sz="0" w:space="0" w:color="auto"/>
        <w:left w:val="none" w:sz="0" w:space="0" w:color="auto"/>
        <w:bottom w:val="none" w:sz="0" w:space="0" w:color="auto"/>
        <w:right w:val="none" w:sz="0" w:space="0" w:color="auto"/>
      </w:divBdr>
    </w:div>
    <w:div w:id="1139497736">
      <w:bodyDiv w:val="1"/>
      <w:marLeft w:val="0"/>
      <w:marRight w:val="0"/>
      <w:marTop w:val="0"/>
      <w:marBottom w:val="0"/>
      <w:divBdr>
        <w:top w:val="none" w:sz="0" w:space="0" w:color="auto"/>
        <w:left w:val="none" w:sz="0" w:space="0" w:color="auto"/>
        <w:bottom w:val="none" w:sz="0" w:space="0" w:color="auto"/>
        <w:right w:val="none" w:sz="0" w:space="0" w:color="auto"/>
      </w:divBdr>
    </w:div>
    <w:div w:id="1139611935">
      <w:bodyDiv w:val="1"/>
      <w:marLeft w:val="0"/>
      <w:marRight w:val="0"/>
      <w:marTop w:val="0"/>
      <w:marBottom w:val="0"/>
      <w:divBdr>
        <w:top w:val="none" w:sz="0" w:space="0" w:color="auto"/>
        <w:left w:val="none" w:sz="0" w:space="0" w:color="auto"/>
        <w:bottom w:val="none" w:sz="0" w:space="0" w:color="auto"/>
        <w:right w:val="none" w:sz="0" w:space="0" w:color="auto"/>
      </w:divBdr>
    </w:div>
    <w:div w:id="1139879985">
      <w:bodyDiv w:val="1"/>
      <w:marLeft w:val="0"/>
      <w:marRight w:val="0"/>
      <w:marTop w:val="0"/>
      <w:marBottom w:val="0"/>
      <w:divBdr>
        <w:top w:val="none" w:sz="0" w:space="0" w:color="auto"/>
        <w:left w:val="none" w:sz="0" w:space="0" w:color="auto"/>
        <w:bottom w:val="none" w:sz="0" w:space="0" w:color="auto"/>
        <w:right w:val="none" w:sz="0" w:space="0" w:color="auto"/>
      </w:divBdr>
    </w:div>
    <w:div w:id="1139955859">
      <w:bodyDiv w:val="1"/>
      <w:marLeft w:val="0"/>
      <w:marRight w:val="0"/>
      <w:marTop w:val="0"/>
      <w:marBottom w:val="0"/>
      <w:divBdr>
        <w:top w:val="none" w:sz="0" w:space="0" w:color="auto"/>
        <w:left w:val="none" w:sz="0" w:space="0" w:color="auto"/>
        <w:bottom w:val="none" w:sz="0" w:space="0" w:color="auto"/>
        <w:right w:val="none" w:sz="0" w:space="0" w:color="auto"/>
      </w:divBdr>
    </w:div>
    <w:div w:id="1140002267">
      <w:bodyDiv w:val="1"/>
      <w:marLeft w:val="0"/>
      <w:marRight w:val="0"/>
      <w:marTop w:val="0"/>
      <w:marBottom w:val="0"/>
      <w:divBdr>
        <w:top w:val="none" w:sz="0" w:space="0" w:color="auto"/>
        <w:left w:val="none" w:sz="0" w:space="0" w:color="auto"/>
        <w:bottom w:val="none" w:sz="0" w:space="0" w:color="auto"/>
        <w:right w:val="none" w:sz="0" w:space="0" w:color="auto"/>
      </w:divBdr>
    </w:div>
    <w:div w:id="1140028531">
      <w:bodyDiv w:val="1"/>
      <w:marLeft w:val="0"/>
      <w:marRight w:val="0"/>
      <w:marTop w:val="0"/>
      <w:marBottom w:val="0"/>
      <w:divBdr>
        <w:top w:val="none" w:sz="0" w:space="0" w:color="auto"/>
        <w:left w:val="none" w:sz="0" w:space="0" w:color="auto"/>
        <w:bottom w:val="none" w:sz="0" w:space="0" w:color="auto"/>
        <w:right w:val="none" w:sz="0" w:space="0" w:color="auto"/>
      </w:divBdr>
    </w:div>
    <w:div w:id="1140149608">
      <w:bodyDiv w:val="1"/>
      <w:marLeft w:val="0"/>
      <w:marRight w:val="0"/>
      <w:marTop w:val="0"/>
      <w:marBottom w:val="0"/>
      <w:divBdr>
        <w:top w:val="none" w:sz="0" w:space="0" w:color="auto"/>
        <w:left w:val="none" w:sz="0" w:space="0" w:color="auto"/>
        <w:bottom w:val="none" w:sz="0" w:space="0" w:color="auto"/>
        <w:right w:val="none" w:sz="0" w:space="0" w:color="auto"/>
      </w:divBdr>
    </w:div>
    <w:div w:id="1140227147">
      <w:bodyDiv w:val="1"/>
      <w:marLeft w:val="0"/>
      <w:marRight w:val="0"/>
      <w:marTop w:val="0"/>
      <w:marBottom w:val="0"/>
      <w:divBdr>
        <w:top w:val="none" w:sz="0" w:space="0" w:color="auto"/>
        <w:left w:val="none" w:sz="0" w:space="0" w:color="auto"/>
        <w:bottom w:val="none" w:sz="0" w:space="0" w:color="auto"/>
        <w:right w:val="none" w:sz="0" w:space="0" w:color="auto"/>
      </w:divBdr>
    </w:div>
    <w:div w:id="1140271471">
      <w:bodyDiv w:val="1"/>
      <w:marLeft w:val="0"/>
      <w:marRight w:val="0"/>
      <w:marTop w:val="0"/>
      <w:marBottom w:val="0"/>
      <w:divBdr>
        <w:top w:val="none" w:sz="0" w:space="0" w:color="auto"/>
        <w:left w:val="none" w:sz="0" w:space="0" w:color="auto"/>
        <w:bottom w:val="none" w:sz="0" w:space="0" w:color="auto"/>
        <w:right w:val="none" w:sz="0" w:space="0" w:color="auto"/>
      </w:divBdr>
    </w:div>
    <w:div w:id="1140339535">
      <w:bodyDiv w:val="1"/>
      <w:marLeft w:val="0"/>
      <w:marRight w:val="0"/>
      <w:marTop w:val="0"/>
      <w:marBottom w:val="0"/>
      <w:divBdr>
        <w:top w:val="none" w:sz="0" w:space="0" w:color="auto"/>
        <w:left w:val="none" w:sz="0" w:space="0" w:color="auto"/>
        <w:bottom w:val="none" w:sz="0" w:space="0" w:color="auto"/>
        <w:right w:val="none" w:sz="0" w:space="0" w:color="auto"/>
      </w:divBdr>
    </w:div>
    <w:div w:id="1140415531">
      <w:bodyDiv w:val="1"/>
      <w:marLeft w:val="0"/>
      <w:marRight w:val="0"/>
      <w:marTop w:val="0"/>
      <w:marBottom w:val="0"/>
      <w:divBdr>
        <w:top w:val="none" w:sz="0" w:space="0" w:color="auto"/>
        <w:left w:val="none" w:sz="0" w:space="0" w:color="auto"/>
        <w:bottom w:val="none" w:sz="0" w:space="0" w:color="auto"/>
        <w:right w:val="none" w:sz="0" w:space="0" w:color="auto"/>
      </w:divBdr>
    </w:div>
    <w:div w:id="1140458680">
      <w:bodyDiv w:val="1"/>
      <w:marLeft w:val="0"/>
      <w:marRight w:val="0"/>
      <w:marTop w:val="0"/>
      <w:marBottom w:val="0"/>
      <w:divBdr>
        <w:top w:val="none" w:sz="0" w:space="0" w:color="auto"/>
        <w:left w:val="none" w:sz="0" w:space="0" w:color="auto"/>
        <w:bottom w:val="none" w:sz="0" w:space="0" w:color="auto"/>
        <w:right w:val="none" w:sz="0" w:space="0" w:color="auto"/>
      </w:divBdr>
    </w:div>
    <w:div w:id="1140658302">
      <w:bodyDiv w:val="1"/>
      <w:marLeft w:val="0"/>
      <w:marRight w:val="0"/>
      <w:marTop w:val="0"/>
      <w:marBottom w:val="0"/>
      <w:divBdr>
        <w:top w:val="none" w:sz="0" w:space="0" w:color="auto"/>
        <w:left w:val="none" w:sz="0" w:space="0" w:color="auto"/>
        <w:bottom w:val="none" w:sz="0" w:space="0" w:color="auto"/>
        <w:right w:val="none" w:sz="0" w:space="0" w:color="auto"/>
      </w:divBdr>
    </w:div>
    <w:div w:id="1140729730">
      <w:bodyDiv w:val="1"/>
      <w:marLeft w:val="0"/>
      <w:marRight w:val="0"/>
      <w:marTop w:val="0"/>
      <w:marBottom w:val="0"/>
      <w:divBdr>
        <w:top w:val="none" w:sz="0" w:space="0" w:color="auto"/>
        <w:left w:val="none" w:sz="0" w:space="0" w:color="auto"/>
        <w:bottom w:val="none" w:sz="0" w:space="0" w:color="auto"/>
        <w:right w:val="none" w:sz="0" w:space="0" w:color="auto"/>
      </w:divBdr>
    </w:div>
    <w:div w:id="1140882680">
      <w:bodyDiv w:val="1"/>
      <w:marLeft w:val="0"/>
      <w:marRight w:val="0"/>
      <w:marTop w:val="0"/>
      <w:marBottom w:val="0"/>
      <w:divBdr>
        <w:top w:val="none" w:sz="0" w:space="0" w:color="auto"/>
        <w:left w:val="none" w:sz="0" w:space="0" w:color="auto"/>
        <w:bottom w:val="none" w:sz="0" w:space="0" w:color="auto"/>
        <w:right w:val="none" w:sz="0" w:space="0" w:color="auto"/>
      </w:divBdr>
    </w:div>
    <w:div w:id="1140927217">
      <w:bodyDiv w:val="1"/>
      <w:marLeft w:val="0"/>
      <w:marRight w:val="0"/>
      <w:marTop w:val="0"/>
      <w:marBottom w:val="0"/>
      <w:divBdr>
        <w:top w:val="none" w:sz="0" w:space="0" w:color="auto"/>
        <w:left w:val="none" w:sz="0" w:space="0" w:color="auto"/>
        <w:bottom w:val="none" w:sz="0" w:space="0" w:color="auto"/>
        <w:right w:val="none" w:sz="0" w:space="0" w:color="auto"/>
      </w:divBdr>
    </w:div>
    <w:div w:id="1141077985">
      <w:bodyDiv w:val="1"/>
      <w:marLeft w:val="0"/>
      <w:marRight w:val="0"/>
      <w:marTop w:val="0"/>
      <w:marBottom w:val="0"/>
      <w:divBdr>
        <w:top w:val="none" w:sz="0" w:space="0" w:color="auto"/>
        <w:left w:val="none" w:sz="0" w:space="0" w:color="auto"/>
        <w:bottom w:val="none" w:sz="0" w:space="0" w:color="auto"/>
        <w:right w:val="none" w:sz="0" w:space="0" w:color="auto"/>
      </w:divBdr>
    </w:div>
    <w:div w:id="1141113577">
      <w:bodyDiv w:val="1"/>
      <w:marLeft w:val="0"/>
      <w:marRight w:val="0"/>
      <w:marTop w:val="0"/>
      <w:marBottom w:val="0"/>
      <w:divBdr>
        <w:top w:val="none" w:sz="0" w:space="0" w:color="auto"/>
        <w:left w:val="none" w:sz="0" w:space="0" w:color="auto"/>
        <w:bottom w:val="none" w:sz="0" w:space="0" w:color="auto"/>
        <w:right w:val="none" w:sz="0" w:space="0" w:color="auto"/>
      </w:divBdr>
    </w:div>
    <w:div w:id="1141196558">
      <w:bodyDiv w:val="1"/>
      <w:marLeft w:val="0"/>
      <w:marRight w:val="0"/>
      <w:marTop w:val="0"/>
      <w:marBottom w:val="0"/>
      <w:divBdr>
        <w:top w:val="none" w:sz="0" w:space="0" w:color="auto"/>
        <w:left w:val="none" w:sz="0" w:space="0" w:color="auto"/>
        <w:bottom w:val="none" w:sz="0" w:space="0" w:color="auto"/>
        <w:right w:val="none" w:sz="0" w:space="0" w:color="auto"/>
      </w:divBdr>
    </w:div>
    <w:div w:id="1141312802">
      <w:bodyDiv w:val="1"/>
      <w:marLeft w:val="0"/>
      <w:marRight w:val="0"/>
      <w:marTop w:val="0"/>
      <w:marBottom w:val="0"/>
      <w:divBdr>
        <w:top w:val="none" w:sz="0" w:space="0" w:color="auto"/>
        <w:left w:val="none" w:sz="0" w:space="0" w:color="auto"/>
        <w:bottom w:val="none" w:sz="0" w:space="0" w:color="auto"/>
        <w:right w:val="none" w:sz="0" w:space="0" w:color="auto"/>
      </w:divBdr>
    </w:div>
    <w:div w:id="1141313112">
      <w:bodyDiv w:val="1"/>
      <w:marLeft w:val="0"/>
      <w:marRight w:val="0"/>
      <w:marTop w:val="0"/>
      <w:marBottom w:val="0"/>
      <w:divBdr>
        <w:top w:val="none" w:sz="0" w:space="0" w:color="auto"/>
        <w:left w:val="none" w:sz="0" w:space="0" w:color="auto"/>
        <w:bottom w:val="none" w:sz="0" w:space="0" w:color="auto"/>
        <w:right w:val="none" w:sz="0" w:space="0" w:color="auto"/>
      </w:divBdr>
    </w:div>
    <w:div w:id="1141340523">
      <w:bodyDiv w:val="1"/>
      <w:marLeft w:val="0"/>
      <w:marRight w:val="0"/>
      <w:marTop w:val="0"/>
      <w:marBottom w:val="0"/>
      <w:divBdr>
        <w:top w:val="none" w:sz="0" w:space="0" w:color="auto"/>
        <w:left w:val="none" w:sz="0" w:space="0" w:color="auto"/>
        <w:bottom w:val="none" w:sz="0" w:space="0" w:color="auto"/>
        <w:right w:val="none" w:sz="0" w:space="0" w:color="auto"/>
      </w:divBdr>
    </w:div>
    <w:div w:id="1141651291">
      <w:bodyDiv w:val="1"/>
      <w:marLeft w:val="0"/>
      <w:marRight w:val="0"/>
      <w:marTop w:val="0"/>
      <w:marBottom w:val="0"/>
      <w:divBdr>
        <w:top w:val="none" w:sz="0" w:space="0" w:color="auto"/>
        <w:left w:val="none" w:sz="0" w:space="0" w:color="auto"/>
        <w:bottom w:val="none" w:sz="0" w:space="0" w:color="auto"/>
        <w:right w:val="none" w:sz="0" w:space="0" w:color="auto"/>
      </w:divBdr>
    </w:div>
    <w:div w:id="1141728330">
      <w:bodyDiv w:val="1"/>
      <w:marLeft w:val="0"/>
      <w:marRight w:val="0"/>
      <w:marTop w:val="0"/>
      <w:marBottom w:val="0"/>
      <w:divBdr>
        <w:top w:val="none" w:sz="0" w:space="0" w:color="auto"/>
        <w:left w:val="none" w:sz="0" w:space="0" w:color="auto"/>
        <w:bottom w:val="none" w:sz="0" w:space="0" w:color="auto"/>
        <w:right w:val="none" w:sz="0" w:space="0" w:color="auto"/>
      </w:divBdr>
    </w:div>
    <w:div w:id="1141927039">
      <w:bodyDiv w:val="1"/>
      <w:marLeft w:val="0"/>
      <w:marRight w:val="0"/>
      <w:marTop w:val="0"/>
      <w:marBottom w:val="0"/>
      <w:divBdr>
        <w:top w:val="none" w:sz="0" w:space="0" w:color="auto"/>
        <w:left w:val="none" w:sz="0" w:space="0" w:color="auto"/>
        <w:bottom w:val="none" w:sz="0" w:space="0" w:color="auto"/>
        <w:right w:val="none" w:sz="0" w:space="0" w:color="auto"/>
      </w:divBdr>
    </w:div>
    <w:div w:id="1142044480">
      <w:bodyDiv w:val="1"/>
      <w:marLeft w:val="0"/>
      <w:marRight w:val="0"/>
      <w:marTop w:val="0"/>
      <w:marBottom w:val="0"/>
      <w:divBdr>
        <w:top w:val="none" w:sz="0" w:space="0" w:color="auto"/>
        <w:left w:val="none" w:sz="0" w:space="0" w:color="auto"/>
        <w:bottom w:val="none" w:sz="0" w:space="0" w:color="auto"/>
        <w:right w:val="none" w:sz="0" w:space="0" w:color="auto"/>
      </w:divBdr>
    </w:div>
    <w:div w:id="1142113798">
      <w:bodyDiv w:val="1"/>
      <w:marLeft w:val="0"/>
      <w:marRight w:val="0"/>
      <w:marTop w:val="0"/>
      <w:marBottom w:val="0"/>
      <w:divBdr>
        <w:top w:val="none" w:sz="0" w:space="0" w:color="auto"/>
        <w:left w:val="none" w:sz="0" w:space="0" w:color="auto"/>
        <w:bottom w:val="none" w:sz="0" w:space="0" w:color="auto"/>
        <w:right w:val="none" w:sz="0" w:space="0" w:color="auto"/>
      </w:divBdr>
    </w:div>
    <w:div w:id="1142309316">
      <w:bodyDiv w:val="1"/>
      <w:marLeft w:val="0"/>
      <w:marRight w:val="0"/>
      <w:marTop w:val="0"/>
      <w:marBottom w:val="0"/>
      <w:divBdr>
        <w:top w:val="none" w:sz="0" w:space="0" w:color="auto"/>
        <w:left w:val="none" w:sz="0" w:space="0" w:color="auto"/>
        <w:bottom w:val="none" w:sz="0" w:space="0" w:color="auto"/>
        <w:right w:val="none" w:sz="0" w:space="0" w:color="auto"/>
      </w:divBdr>
    </w:div>
    <w:div w:id="1142313418">
      <w:bodyDiv w:val="1"/>
      <w:marLeft w:val="0"/>
      <w:marRight w:val="0"/>
      <w:marTop w:val="0"/>
      <w:marBottom w:val="0"/>
      <w:divBdr>
        <w:top w:val="none" w:sz="0" w:space="0" w:color="auto"/>
        <w:left w:val="none" w:sz="0" w:space="0" w:color="auto"/>
        <w:bottom w:val="none" w:sz="0" w:space="0" w:color="auto"/>
        <w:right w:val="none" w:sz="0" w:space="0" w:color="auto"/>
      </w:divBdr>
    </w:div>
    <w:div w:id="1142386491">
      <w:bodyDiv w:val="1"/>
      <w:marLeft w:val="0"/>
      <w:marRight w:val="0"/>
      <w:marTop w:val="0"/>
      <w:marBottom w:val="0"/>
      <w:divBdr>
        <w:top w:val="none" w:sz="0" w:space="0" w:color="auto"/>
        <w:left w:val="none" w:sz="0" w:space="0" w:color="auto"/>
        <w:bottom w:val="none" w:sz="0" w:space="0" w:color="auto"/>
        <w:right w:val="none" w:sz="0" w:space="0" w:color="auto"/>
      </w:divBdr>
    </w:div>
    <w:div w:id="1142430528">
      <w:bodyDiv w:val="1"/>
      <w:marLeft w:val="0"/>
      <w:marRight w:val="0"/>
      <w:marTop w:val="0"/>
      <w:marBottom w:val="0"/>
      <w:divBdr>
        <w:top w:val="none" w:sz="0" w:space="0" w:color="auto"/>
        <w:left w:val="none" w:sz="0" w:space="0" w:color="auto"/>
        <w:bottom w:val="none" w:sz="0" w:space="0" w:color="auto"/>
        <w:right w:val="none" w:sz="0" w:space="0" w:color="auto"/>
      </w:divBdr>
    </w:div>
    <w:div w:id="1142498212">
      <w:bodyDiv w:val="1"/>
      <w:marLeft w:val="0"/>
      <w:marRight w:val="0"/>
      <w:marTop w:val="0"/>
      <w:marBottom w:val="0"/>
      <w:divBdr>
        <w:top w:val="none" w:sz="0" w:space="0" w:color="auto"/>
        <w:left w:val="none" w:sz="0" w:space="0" w:color="auto"/>
        <w:bottom w:val="none" w:sz="0" w:space="0" w:color="auto"/>
        <w:right w:val="none" w:sz="0" w:space="0" w:color="auto"/>
      </w:divBdr>
    </w:div>
    <w:div w:id="1142501490">
      <w:bodyDiv w:val="1"/>
      <w:marLeft w:val="0"/>
      <w:marRight w:val="0"/>
      <w:marTop w:val="0"/>
      <w:marBottom w:val="0"/>
      <w:divBdr>
        <w:top w:val="none" w:sz="0" w:space="0" w:color="auto"/>
        <w:left w:val="none" w:sz="0" w:space="0" w:color="auto"/>
        <w:bottom w:val="none" w:sz="0" w:space="0" w:color="auto"/>
        <w:right w:val="none" w:sz="0" w:space="0" w:color="auto"/>
      </w:divBdr>
    </w:div>
    <w:div w:id="1142620171">
      <w:bodyDiv w:val="1"/>
      <w:marLeft w:val="0"/>
      <w:marRight w:val="0"/>
      <w:marTop w:val="0"/>
      <w:marBottom w:val="0"/>
      <w:divBdr>
        <w:top w:val="none" w:sz="0" w:space="0" w:color="auto"/>
        <w:left w:val="none" w:sz="0" w:space="0" w:color="auto"/>
        <w:bottom w:val="none" w:sz="0" w:space="0" w:color="auto"/>
        <w:right w:val="none" w:sz="0" w:space="0" w:color="auto"/>
      </w:divBdr>
    </w:div>
    <w:div w:id="1142697111">
      <w:bodyDiv w:val="1"/>
      <w:marLeft w:val="0"/>
      <w:marRight w:val="0"/>
      <w:marTop w:val="0"/>
      <w:marBottom w:val="0"/>
      <w:divBdr>
        <w:top w:val="none" w:sz="0" w:space="0" w:color="auto"/>
        <w:left w:val="none" w:sz="0" w:space="0" w:color="auto"/>
        <w:bottom w:val="none" w:sz="0" w:space="0" w:color="auto"/>
        <w:right w:val="none" w:sz="0" w:space="0" w:color="auto"/>
      </w:divBdr>
    </w:div>
    <w:div w:id="1142772969">
      <w:bodyDiv w:val="1"/>
      <w:marLeft w:val="0"/>
      <w:marRight w:val="0"/>
      <w:marTop w:val="0"/>
      <w:marBottom w:val="0"/>
      <w:divBdr>
        <w:top w:val="none" w:sz="0" w:space="0" w:color="auto"/>
        <w:left w:val="none" w:sz="0" w:space="0" w:color="auto"/>
        <w:bottom w:val="none" w:sz="0" w:space="0" w:color="auto"/>
        <w:right w:val="none" w:sz="0" w:space="0" w:color="auto"/>
      </w:divBdr>
    </w:div>
    <w:div w:id="1142775241">
      <w:bodyDiv w:val="1"/>
      <w:marLeft w:val="0"/>
      <w:marRight w:val="0"/>
      <w:marTop w:val="0"/>
      <w:marBottom w:val="0"/>
      <w:divBdr>
        <w:top w:val="none" w:sz="0" w:space="0" w:color="auto"/>
        <w:left w:val="none" w:sz="0" w:space="0" w:color="auto"/>
        <w:bottom w:val="none" w:sz="0" w:space="0" w:color="auto"/>
        <w:right w:val="none" w:sz="0" w:space="0" w:color="auto"/>
      </w:divBdr>
    </w:div>
    <w:div w:id="1142891431">
      <w:bodyDiv w:val="1"/>
      <w:marLeft w:val="0"/>
      <w:marRight w:val="0"/>
      <w:marTop w:val="0"/>
      <w:marBottom w:val="0"/>
      <w:divBdr>
        <w:top w:val="none" w:sz="0" w:space="0" w:color="auto"/>
        <w:left w:val="none" w:sz="0" w:space="0" w:color="auto"/>
        <w:bottom w:val="none" w:sz="0" w:space="0" w:color="auto"/>
        <w:right w:val="none" w:sz="0" w:space="0" w:color="auto"/>
      </w:divBdr>
    </w:div>
    <w:div w:id="1142893143">
      <w:bodyDiv w:val="1"/>
      <w:marLeft w:val="0"/>
      <w:marRight w:val="0"/>
      <w:marTop w:val="0"/>
      <w:marBottom w:val="0"/>
      <w:divBdr>
        <w:top w:val="none" w:sz="0" w:space="0" w:color="auto"/>
        <w:left w:val="none" w:sz="0" w:space="0" w:color="auto"/>
        <w:bottom w:val="none" w:sz="0" w:space="0" w:color="auto"/>
        <w:right w:val="none" w:sz="0" w:space="0" w:color="auto"/>
      </w:divBdr>
    </w:div>
    <w:div w:id="1143162550">
      <w:bodyDiv w:val="1"/>
      <w:marLeft w:val="0"/>
      <w:marRight w:val="0"/>
      <w:marTop w:val="0"/>
      <w:marBottom w:val="0"/>
      <w:divBdr>
        <w:top w:val="none" w:sz="0" w:space="0" w:color="auto"/>
        <w:left w:val="none" w:sz="0" w:space="0" w:color="auto"/>
        <w:bottom w:val="none" w:sz="0" w:space="0" w:color="auto"/>
        <w:right w:val="none" w:sz="0" w:space="0" w:color="auto"/>
      </w:divBdr>
    </w:div>
    <w:div w:id="1143278913">
      <w:bodyDiv w:val="1"/>
      <w:marLeft w:val="0"/>
      <w:marRight w:val="0"/>
      <w:marTop w:val="0"/>
      <w:marBottom w:val="0"/>
      <w:divBdr>
        <w:top w:val="none" w:sz="0" w:space="0" w:color="auto"/>
        <w:left w:val="none" w:sz="0" w:space="0" w:color="auto"/>
        <w:bottom w:val="none" w:sz="0" w:space="0" w:color="auto"/>
        <w:right w:val="none" w:sz="0" w:space="0" w:color="auto"/>
      </w:divBdr>
    </w:div>
    <w:div w:id="1143308065">
      <w:bodyDiv w:val="1"/>
      <w:marLeft w:val="0"/>
      <w:marRight w:val="0"/>
      <w:marTop w:val="0"/>
      <w:marBottom w:val="0"/>
      <w:divBdr>
        <w:top w:val="none" w:sz="0" w:space="0" w:color="auto"/>
        <w:left w:val="none" w:sz="0" w:space="0" w:color="auto"/>
        <w:bottom w:val="none" w:sz="0" w:space="0" w:color="auto"/>
        <w:right w:val="none" w:sz="0" w:space="0" w:color="auto"/>
      </w:divBdr>
    </w:div>
    <w:div w:id="1143423667">
      <w:bodyDiv w:val="1"/>
      <w:marLeft w:val="0"/>
      <w:marRight w:val="0"/>
      <w:marTop w:val="0"/>
      <w:marBottom w:val="0"/>
      <w:divBdr>
        <w:top w:val="none" w:sz="0" w:space="0" w:color="auto"/>
        <w:left w:val="none" w:sz="0" w:space="0" w:color="auto"/>
        <w:bottom w:val="none" w:sz="0" w:space="0" w:color="auto"/>
        <w:right w:val="none" w:sz="0" w:space="0" w:color="auto"/>
      </w:divBdr>
    </w:div>
    <w:div w:id="1143426393">
      <w:bodyDiv w:val="1"/>
      <w:marLeft w:val="0"/>
      <w:marRight w:val="0"/>
      <w:marTop w:val="0"/>
      <w:marBottom w:val="0"/>
      <w:divBdr>
        <w:top w:val="none" w:sz="0" w:space="0" w:color="auto"/>
        <w:left w:val="none" w:sz="0" w:space="0" w:color="auto"/>
        <w:bottom w:val="none" w:sz="0" w:space="0" w:color="auto"/>
        <w:right w:val="none" w:sz="0" w:space="0" w:color="auto"/>
      </w:divBdr>
    </w:div>
    <w:div w:id="1143694736">
      <w:bodyDiv w:val="1"/>
      <w:marLeft w:val="0"/>
      <w:marRight w:val="0"/>
      <w:marTop w:val="0"/>
      <w:marBottom w:val="0"/>
      <w:divBdr>
        <w:top w:val="none" w:sz="0" w:space="0" w:color="auto"/>
        <w:left w:val="none" w:sz="0" w:space="0" w:color="auto"/>
        <w:bottom w:val="none" w:sz="0" w:space="0" w:color="auto"/>
        <w:right w:val="none" w:sz="0" w:space="0" w:color="auto"/>
      </w:divBdr>
    </w:div>
    <w:div w:id="1143809499">
      <w:bodyDiv w:val="1"/>
      <w:marLeft w:val="0"/>
      <w:marRight w:val="0"/>
      <w:marTop w:val="0"/>
      <w:marBottom w:val="0"/>
      <w:divBdr>
        <w:top w:val="none" w:sz="0" w:space="0" w:color="auto"/>
        <w:left w:val="none" w:sz="0" w:space="0" w:color="auto"/>
        <w:bottom w:val="none" w:sz="0" w:space="0" w:color="auto"/>
        <w:right w:val="none" w:sz="0" w:space="0" w:color="auto"/>
      </w:divBdr>
    </w:div>
    <w:div w:id="1143934279">
      <w:bodyDiv w:val="1"/>
      <w:marLeft w:val="0"/>
      <w:marRight w:val="0"/>
      <w:marTop w:val="0"/>
      <w:marBottom w:val="0"/>
      <w:divBdr>
        <w:top w:val="none" w:sz="0" w:space="0" w:color="auto"/>
        <w:left w:val="none" w:sz="0" w:space="0" w:color="auto"/>
        <w:bottom w:val="none" w:sz="0" w:space="0" w:color="auto"/>
        <w:right w:val="none" w:sz="0" w:space="0" w:color="auto"/>
      </w:divBdr>
    </w:div>
    <w:div w:id="1143934608">
      <w:bodyDiv w:val="1"/>
      <w:marLeft w:val="0"/>
      <w:marRight w:val="0"/>
      <w:marTop w:val="0"/>
      <w:marBottom w:val="0"/>
      <w:divBdr>
        <w:top w:val="none" w:sz="0" w:space="0" w:color="auto"/>
        <w:left w:val="none" w:sz="0" w:space="0" w:color="auto"/>
        <w:bottom w:val="none" w:sz="0" w:space="0" w:color="auto"/>
        <w:right w:val="none" w:sz="0" w:space="0" w:color="auto"/>
      </w:divBdr>
    </w:div>
    <w:div w:id="1144003892">
      <w:bodyDiv w:val="1"/>
      <w:marLeft w:val="0"/>
      <w:marRight w:val="0"/>
      <w:marTop w:val="0"/>
      <w:marBottom w:val="0"/>
      <w:divBdr>
        <w:top w:val="none" w:sz="0" w:space="0" w:color="auto"/>
        <w:left w:val="none" w:sz="0" w:space="0" w:color="auto"/>
        <w:bottom w:val="none" w:sz="0" w:space="0" w:color="auto"/>
        <w:right w:val="none" w:sz="0" w:space="0" w:color="auto"/>
      </w:divBdr>
    </w:div>
    <w:div w:id="1144156102">
      <w:bodyDiv w:val="1"/>
      <w:marLeft w:val="0"/>
      <w:marRight w:val="0"/>
      <w:marTop w:val="0"/>
      <w:marBottom w:val="0"/>
      <w:divBdr>
        <w:top w:val="none" w:sz="0" w:space="0" w:color="auto"/>
        <w:left w:val="none" w:sz="0" w:space="0" w:color="auto"/>
        <w:bottom w:val="none" w:sz="0" w:space="0" w:color="auto"/>
        <w:right w:val="none" w:sz="0" w:space="0" w:color="auto"/>
      </w:divBdr>
    </w:div>
    <w:div w:id="1144203150">
      <w:bodyDiv w:val="1"/>
      <w:marLeft w:val="0"/>
      <w:marRight w:val="0"/>
      <w:marTop w:val="0"/>
      <w:marBottom w:val="0"/>
      <w:divBdr>
        <w:top w:val="none" w:sz="0" w:space="0" w:color="auto"/>
        <w:left w:val="none" w:sz="0" w:space="0" w:color="auto"/>
        <w:bottom w:val="none" w:sz="0" w:space="0" w:color="auto"/>
        <w:right w:val="none" w:sz="0" w:space="0" w:color="auto"/>
      </w:divBdr>
    </w:div>
    <w:div w:id="1144270543">
      <w:bodyDiv w:val="1"/>
      <w:marLeft w:val="0"/>
      <w:marRight w:val="0"/>
      <w:marTop w:val="0"/>
      <w:marBottom w:val="0"/>
      <w:divBdr>
        <w:top w:val="none" w:sz="0" w:space="0" w:color="auto"/>
        <w:left w:val="none" w:sz="0" w:space="0" w:color="auto"/>
        <w:bottom w:val="none" w:sz="0" w:space="0" w:color="auto"/>
        <w:right w:val="none" w:sz="0" w:space="0" w:color="auto"/>
      </w:divBdr>
    </w:div>
    <w:div w:id="1144275169">
      <w:bodyDiv w:val="1"/>
      <w:marLeft w:val="0"/>
      <w:marRight w:val="0"/>
      <w:marTop w:val="0"/>
      <w:marBottom w:val="0"/>
      <w:divBdr>
        <w:top w:val="none" w:sz="0" w:space="0" w:color="auto"/>
        <w:left w:val="none" w:sz="0" w:space="0" w:color="auto"/>
        <w:bottom w:val="none" w:sz="0" w:space="0" w:color="auto"/>
        <w:right w:val="none" w:sz="0" w:space="0" w:color="auto"/>
      </w:divBdr>
    </w:div>
    <w:div w:id="1144397548">
      <w:bodyDiv w:val="1"/>
      <w:marLeft w:val="0"/>
      <w:marRight w:val="0"/>
      <w:marTop w:val="0"/>
      <w:marBottom w:val="0"/>
      <w:divBdr>
        <w:top w:val="none" w:sz="0" w:space="0" w:color="auto"/>
        <w:left w:val="none" w:sz="0" w:space="0" w:color="auto"/>
        <w:bottom w:val="none" w:sz="0" w:space="0" w:color="auto"/>
        <w:right w:val="none" w:sz="0" w:space="0" w:color="auto"/>
      </w:divBdr>
    </w:div>
    <w:div w:id="1144467097">
      <w:bodyDiv w:val="1"/>
      <w:marLeft w:val="0"/>
      <w:marRight w:val="0"/>
      <w:marTop w:val="0"/>
      <w:marBottom w:val="0"/>
      <w:divBdr>
        <w:top w:val="none" w:sz="0" w:space="0" w:color="auto"/>
        <w:left w:val="none" w:sz="0" w:space="0" w:color="auto"/>
        <w:bottom w:val="none" w:sz="0" w:space="0" w:color="auto"/>
        <w:right w:val="none" w:sz="0" w:space="0" w:color="auto"/>
      </w:divBdr>
    </w:div>
    <w:div w:id="1144614520">
      <w:bodyDiv w:val="1"/>
      <w:marLeft w:val="0"/>
      <w:marRight w:val="0"/>
      <w:marTop w:val="0"/>
      <w:marBottom w:val="0"/>
      <w:divBdr>
        <w:top w:val="none" w:sz="0" w:space="0" w:color="auto"/>
        <w:left w:val="none" w:sz="0" w:space="0" w:color="auto"/>
        <w:bottom w:val="none" w:sz="0" w:space="0" w:color="auto"/>
        <w:right w:val="none" w:sz="0" w:space="0" w:color="auto"/>
      </w:divBdr>
    </w:div>
    <w:div w:id="1144616075">
      <w:bodyDiv w:val="1"/>
      <w:marLeft w:val="0"/>
      <w:marRight w:val="0"/>
      <w:marTop w:val="0"/>
      <w:marBottom w:val="0"/>
      <w:divBdr>
        <w:top w:val="none" w:sz="0" w:space="0" w:color="auto"/>
        <w:left w:val="none" w:sz="0" w:space="0" w:color="auto"/>
        <w:bottom w:val="none" w:sz="0" w:space="0" w:color="auto"/>
        <w:right w:val="none" w:sz="0" w:space="0" w:color="auto"/>
      </w:divBdr>
    </w:div>
    <w:div w:id="1144664741">
      <w:bodyDiv w:val="1"/>
      <w:marLeft w:val="0"/>
      <w:marRight w:val="0"/>
      <w:marTop w:val="0"/>
      <w:marBottom w:val="0"/>
      <w:divBdr>
        <w:top w:val="none" w:sz="0" w:space="0" w:color="auto"/>
        <w:left w:val="none" w:sz="0" w:space="0" w:color="auto"/>
        <w:bottom w:val="none" w:sz="0" w:space="0" w:color="auto"/>
        <w:right w:val="none" w:sz="0" w:space="0" w:color="auto"/>
      </w:divBdr>
    </w:div>
    <w:div w:id="1144783814">
      <w:bodyDiv w:val="1"/>
      <w:marLeft w:val="0"/>
      <w:marRight w:val="0"/>
      <w:marTop w:val="0"/>
      <w:marBottom w:val="0"/>
      <w:divBdr>
        <w:top w:val="none" w:sz="0" w:space="0" w:color="auto"/>
        <w:left w:val="none" w:sz="0" w:space="0" w:color="auto"/>
        <w:bottom w:val="none" w:sz="0" w:space="0" w:color="auto"/>
        <w:right w:val="none" w:sz="0" w:space="0" w:color="auto"/>
      </w:divBdr>
    </w:div>
    <w:div w:id="1145197872">
      <w:bodyDiv w:val="1"/>
      <w:marLeft w:val="0"/>
      <w:marRight w:val="0"/>
      <w:marTop w:val="0"/>
      <w:marBottom w:val="0"/>
      <w:divBdr>
        <w:top w:val="none" w:sz="0" w:space="0" w:color="auto"/>
        <w:left w:val="none" w:sz="0" w:space="0" w:color="auto"/>
        <w:bottom w:val="none" w:sz="0" w:space="0" w:color="auto"/>
        <w:right w:val="none" w:sz="0" w:space="0" w:color="auto"/>
      </w:divBdr>
    </w:div>
    <w:div w:id="1145203404">
      <w:bodyDiv w:val="1"/>
      <w:marLeft w:val="0"/>
      <w:marRight w:val="0"/>
      <w:marTop w:val="0"/>
      <w:marBottom w:val="0"/>
      <w:divBdr>
        <w:top w:val="none" w:sz="0" w:space="0" w:color="auto"/>
        <w:left w:val="none" w:sz="0" w:space="0" w:color="auto"/>
        <w:bottom w:val="none" w:sz="0" w:space="0" w:color="auto"/>
        <w:right w:val="none" w:sz="0" w:space="0" w:color="auto"/>
      </w:divBdr>
    </w:div>
    <w:div w:id="1145273721">
      <w:bodyDiv w:val="1"/>
      <w:marLeft w:val="0"/>
      <w:marRight w:val="0"/>
      <w:marTop w:val="0"/>
      <w:marBottom w:val="0"/>
      <w:divBdr>
        <w:top w:val="none" w:sz="0" w:space="0" w:color="auto"/>
        <w:left w:val="none" w:sz="0" w:space="0" w:color="auto"/>
        <w:bottom w:val="none" w:sz="0" w:space="0" w:color="auto"/>
        <w:right w:val="none" w:sz="0" w:space="0" w:color="auto"/>
      </w:divBdr>
    </w:div>
    <w:div w:id="1145317175">
      <w:bodyDiv w:val="1"/>
      <w:marLeft w:val="0"/>
      <w:marRight w:val="0"/>
      <w:marTop w:val="0"/>
      <w:marBottom w:val="0"/>
      <w:divBdr>
        <w:top w:val="none" w:sz="0" w:space="0" w:color="auto"/>
        <w:left w:val="none" w:sz="0" w:space="0" w:color="auto"/>
        <w:bottom w:val="none" w:sz="0" w:space="0" w:color="auto"/>
        <w:right w:val="none" w:sz="0" w:space="0" w:color="auto"/>
      </w:divBdr>
    </w:div>
    <w:div w:id="1145466943">
      <w:bodyDiv w:val="1"/>
      <w:marLeft w:val="0"/>
      <w:marRight w:val="0"/>
      <w:marTop w:val="0"/>
      <w:marBottom w:val="0"/>
      <w:divBdr>
        <w:top w:val="none" w:sz="0" w:space="0" w:color="auto"/>
        <w:left w:val="none" w:sz="0" w:space="0" w:color="auto"/>
        <w:bottom w:val="none" w:sz="0" w:space="0" w:color="auto"/>
        <w:right w:val="none" w:sz="0" w:space="0" w:color="auto"/>
      </w:divBdr>
    </w:div>
    <w:div w:id="1145469230">
      <w:bodyDiv w:val="1"/>
      <w:marLeft w:val="0"/>
      <w:marRight w:val="0"/>
      <w:marTop w:val="0"/>
      <w:marBottom w:val="0"/>
      <w:divBdr>
        <w:top w:val="none" w:sz="0" w:space="0" w:color="auto"/>
        <w:left w:val="none" w:sz="0" w:space="0" w:color="auto"/>
        <w:bottom w:val="none" w:sz="0" w:space="0" w:color="auto"/>
        <w:right w:val="none" w:sz="0" w:space="0" w:color="auto"/>
      </w:divBdr>
    </w:div>
    <w:div w:id="1145469893">
      <w:bodyDiv w:val="1"/>
      <w:marLeft w:val="0"/>
      <w:marRight w:val="0"/>
      <w:marTop w:val="0"/>
      <w:marBottom w:val="0"/>
      <w:divBdr>
        <w:top w:val="none" w:sz="0" w:space="0" w:color="auto"/>
        <w:left w:val="none" w:sz="0" w:space="0" w:color="auto"/>
        <w:bottom w:val="none" w:sz="0" w:space="0" w:color="auto"/>
        <w:right w:val="none" w:sz="0" w:space="0" w:color="auto"/>
      </w:divBdr>
    </w:div>
    <w:div w:id="1145506244">
      <w:bodyDiv w:val="1"/>
      <w:marLeft w:val="0"/>
      <w:marRight w:val="0"/>
      <w:marTop w:val="0"/>
      <w:marBottom w:val="0"/>
      <w:divBdr>
        <w:top w:val="none" w:sz="0" w:space="0" w:color="auto"/>
        <w:left w:val="none" w:sz="0" w:space="0" w:color="auto"/>
        <w:bottom w:val="none" w:sz="0" w:space="0" w:color="auto"/>
        <w:right w:val="none" w:sz="0" w:space="0" w:color="auto"/>
      </w:divBdr>
    </w:div>
    <w:div w:id="1145584358">
      <w:bodyDiv w:val="1"/>
      <w:marLeft w:val="0"/>
      <w:marRight w:val="0"/>
      <w:marTop w:val="0"/>
      <w:marBottom w:val="0"/>
      <w:divBdr>
        <w:top w:val="none" w:sz="0" w:space="0" w:color="auto"/>
        <w:left w:val="none" w:sz="0" w:space="0" w:color="auto"/>
        <w:bottom w:val="none" w:sz="0" w:space="0" w:color="auto"/>
        <w:right w:val="none" w:sz="0" w:space="0" w:color="auto"/>
      </w:divBdr>
    </w:div>
    <w:div w:id="1145661236">
      <w:bodyDiv w:val="1"/>
      <w:marLeft w:val="0"/>
      <w:marRight w:val="0"/>
      <w:marTop w:val="0"/>
      <w:marBottom w:val="0"/>
      <w:divBdr>
        <w:top w:val="none" w:sz="0" w:space="0" w:color="auto"/>
        <w:left w:val="none" w:sz="0" w:space="0" w:color="auto"/>
        <w:bottom w:val="none" w:sz="0" w:space="0" w:color="auto"/>
        <w:right w:val="none" w:sz="0" w:space="0" w:color="auto"/>
      </w:divBdr>
    </w:div>
    <w:div w:id="1145706803">
      <w:bodyDiv w:val="1"/>
      <w:marLeft w:val="0"/>
      <w:marRight w:val="0"/>
      <w:marTop w:val="0"/>
      <w:marBottom w:val="0"/>
      <w:divBdr>
        <w:top w:val="none" w:sz="0" w:space="0" w:color="auto"/>
        <w:left w:val="none" w:sz="0" w:space="0" w:color="auto"/>
        <w:bottom w:val="none" w:sz="0" w:space="0" w:color="auto"/>
        <w:right w:val="none" w:sz="0" w:space="0" w:color="auto"/>
      </w:divBdr>
    </w:div>
    <w:div w:id="1145708096">
      <w:bodyDiv w:val="1"/>
      <w:marLeft w:val="0"/>
      <w:marRight w:val="0"/>
      <w:marTop w:val="0"/>
      <w:marBottom w:val="0"/>
      <w:divBdr>
        <w:top w:val="none" w:sz="0" w:space="0" w:color="auto"/>
        <w:left w:val="none" w:sz="0" w:space="0" w:color="auto"/>
        <w:bottom w:val="none" w:sz="0" w:space="0" w:color="auto"/>
        <w:right w:val="none" w:sz="0" w:space="0" w:color="auto"/>
      </w:divBdr>
    </w:div>
    <w:div w:id="1145783842">
      <w:bodyDiv w:val="1"/>
      <w:marLeft w:val="0"/>
      <w:marRight w:val="0"/>
      <w:marTop w:val="0"/>
      <w:marBottom w:val="0"/>
      <w:divBdr>
        <w:top w:val="none" w:sz="0" w:space="0" w:color="auto"/>
        <w:left w:val="none" w:sz="0" w:space="0" w:color="auto"/>
        <w:bottom w:val="none" w:sz="0" w:space="0" w:color="auto"/>
        <w:right w:val="none" w:sz="0" w:space="0" w:color="auto"/>
      </w:divBdr>
    </w:div>
    <w:div w:id="1145854705">
      <w:bodyDiv w:val="1"/>
      <w:marLeft w:val="0"/>
      <w:marRight w:val="0"/>
      <w:marTop w:val="0"/>
      <w:marBottom w:val="0"/>
      <w:divBdr>
        <w:top w:val="none" w:sz="0" w:space="0" w:color="auto"/>
        <w:left w:val="none" w:sz="0" w:space="0" w:color="auto"/>
        <w:bottom w:val="none" w:sz="0" w:space="0" w:color="auto"/>
        <w:right w:val="none" w:sz="0" w:space="0" w:color="auto"/>
      </w:divBdr>
    </w:div>
    <w:div w:id="1145968112">
      <w:bodyDiv w:val="1"/>
      <w:marLeft w:val="0"/>
      <w:marRight w:val="0"/>
      <w:marTop w:val="0"/>
      <w:marBottom w:val="0"/>
      <w:divBdr>
        <w:top w:val="none" w:sz="0" w:space="0" w:color="auto"/>
        <w:left w:val="none" w:sz="0" w:space="0" w:color="auto"/>
        <w:bottom w:val="none" w:sz="0" w:space="0" w:color="auto"/>
        <w:right w:val="none" w:sz="0" w:space="0" w:color="auto"/>
      </w:divBdr>
    </w:div>
    <w:div w:id="1145971344">
      <w:bodyDiv w:val="1"/>
      <w:marLeft w:val="0"/>
      <w:marRight w:val="0"/>
      <w:marTop w:val="0"/>
      <w:marBottom w:val="0"/>
      <w:divBdr>
        <w:top w:val="none" w:sz="0" w:space="0" w:color="auto"/>
        <w:left w:val="none" w:sz="0" w:space="0" w:color="auto"/>
        <w:bottom w:val="none" w:sz="0" w:space="0" w:color="auto"/>
        <w:right w:val="none" w:sz="0" w:space="0" w:color="auto"/>
      </w:divBdr>
    </w:div>
    <w:div w:id="1146048668">
      <w:bodyDiv w:val="1"/>
      <w:marLeft w:val="0"/>
      <w:marRight w:val="0"/>
      <w:marTop w:val="0"/>
      <w:marBottom w:val="0"/>
      <w:divBdr>
        <w:top w:val="none" w:sz="0" w:space="0" w:color="auto"/>
        <w:left w:val="none" w:sz="0" w:space="0" w:color="auto"/>
        <w:bottom w:val="none" w:sz="0" w:space="0" w:color="auto"/>
        <w:right w:val="none" w:sz="0" w:space="0" w:color="auto"/>
      </w:divBdr>
    </w:div>
    <w:div w:id="1146094970">
      <w:bodyDiv w:val="1"/>
      <w:marLeft w:val="0"/>
      <w:marRight w:val="0"/>
      <w:marTop w:val="0"/>
      <w:marBottom w:val="0"/>
      <w:divBdr>
        <w:top w:val="none" w:sz="0" w:space="0" w:color="auto"/>
        <w:left w:val="none" w:sz="0" w:space="0" w:color="auto"/>
        <w:bottom w:val="none" w:sz="0" w:space="0" w:color="auto"/>
        <w:right w:val="none" w:sz="0" w:space="0" w:color="auto"/>
      </w:divBdr>
    </w:div>
    <w:div w:id="1146165635">
      <w:bodyDiv w:val="1"/>
      <w:marLeft w:val="0"/>
      <w:marRight w:val="0"/>
      <w:marTop w:val="0"/>
      <w:marBottom w:val="0"/>
      <w:divBdr>
        <w:top w:val="none" w:sz="0" w:space="0" w:color="auto"/>
        <w:left w:val="none" w:sz="0" w:space="0" w:color="auto"/>
        <w:bottom w:val="none" w:sz="0" w:space="0" w:color="auto"/>
        <w:right w:val="none" w:sz="0" w:space="0" w:color="auto"/>
      </w:divBdr>
    </w:div>
    <w:div w:id="1146168116">
      <w:bodyDiv w:val="1"/>
      <w:marLeft w:val="0"/>
      <w:marRight w:val="0"/>
      <w:marTop w:val="0"/>
      <w:marBottom w:val="0"/>
      <w:divBdr>
        <w:top w:val="none" w:sz="0" w:space="0" w:color="auto"/>
        <w:left w:val="none" w:sz="0" w:space="0" w:color="auto"/>
        <w:bottom w:val="none" w:sz="0" w:space="0" w:color="auto"/>
        <w:right w:val="none" w:sz="0" w:space="0" w:color="auto"/>
      </w:divBdr>
    </w:div>
    <w:div w:id="1146239371">
      <w:bodyDiv w:val="1"/>
      <w:marLeft w:val="0"/>
      <w:marRight w:val="0"/>
      <w:marTop w:val="0"/>
      <w:marBottom w:val="0"/>
      <w:divBdr>
        <w:top w:val="none" w:sz="0" w:space="0" w:color="auto"/>
        <w:left w:val="none" w:sz="0" w:space="0" w:color="auto"/>
        <w:bottom w:val="none" w:sz="0" w:space="0" w:color="auto"/>
        <w:right w:val="none" w:sz="0" w:space="0" w:color="auto"/>
      </w:divBdr>
    </w:div>
    <w:div w:id="1146318236">
      <w:bodyDiv w:val="1"/>
      <w:marLeft w:val="0"/>
      <w:marRight w:val="0"/>
      <w:marTop w:val="0"/>
      <w:marBottom w:val="0"/>
      <w:divBdr>
        <w:top w:val="none" w:sz="0" w:space="0" w:color="auto"/>
        <w:left w:val="none" w:sz="0" w:space="0" w:color="auto"/>
        <w:bottom w:val="none" w:sz="0" w:space="0" w:color="auto"/>
        <w:right w:val="none" w:sz="0" w:space="0" w:color="auto"/>
      </w:divBdr>
    </w:div>
    <w:div w:id="1146821032">
      <w:bodyDiv w:val="1"/>
      <w:marLeft w:val="0"/>
      <w:marRight w:val="0"/>
      <w:marTop w:val="0"/>
      <w:marBottom w:val="0"/>
      <w:divBdr>
        <w:top w:val="none" w:sz="0" w:space="0" w:color="auto"/>
        <w:left w:val="none" w:sz="0" w:space="0" w:color="auto"/>
        <w:bottom w:val="none" w:sz="0" w:space="0" w:color="auto"/>
        <w:right w:val="none" w:sz="0" w:space="0" w:color="auto"/>
      </w:divBdr>
    </w:div>
    <w:div w:id="1146892260">
      <w:bodyDiv w:val="1"/>
      <w:marLeft w:val="0"/>
      <w:marRight w:val="0"/>
      <w:marTop w:val="0"/>
      <w:marBottom w:val="0"/>
      <w:divBdr>
        <w:top w:val="none" w:sz="0" w:space="0" w:color="auto"/>
        <w:left w:val="none" w:sz="0" w:space="0" w:color="auto"/>
        <w:bottom w:val="none" w:sz="0" w:space="0" w:color="auto"/>
        <w:right w:val="none" w:sz="0" w:space="0" w:color="auto"/>
      </w:divBdr>
    </w:div>
    <w:div w:id="1146894211">
      <w:bodyDiv w:val="1"/>
      <w:marLeft w:val="0"/>
      <w:marRight w:val="0"/>
      <w:marTop w:val="0"/>
      <w:marBottom w:val="0"/>
      <w:divBdr>
        <w:top w:val="none" w:sz="0" w:space="0" w:color="auto"/>
        <w:left w:val="none" w:sz="0" w:space="0" w:color="auto"/>
        <w:bottom w:val="none" w:sz="0" w:space="0" w:color="auto"/>
        <w:right w:val="none" w:sz="0" w:space="0" w:color="auto"/>
      </w:divBdr>
    </w:div>
    <w:div w:id="1147085533">
      <w:bodyDiv w:val="1"/>
      <w:marLeft w:val="0"/>
      <w:marRight w:val="0"/>
      <w:marTop w:val="0"/>
      <w:marBottom w:val="0"/>
      <w:divBdr>
        <w:top w:val="none" w:sz="0" w:space="0" w:color="auto"/>
        <w:left w:val="none" w:sz="0" w:space="0" w:color="auto"/>
        <w:bottom w:val="none" w:sz="0" w:space="0" w:color="auto"/>
        <w:right w:val="none" w:sz="0" w:space="0" w:color="auto"/>
      </w:divBdr>
    </w:div>
    <w:div w:id="1147092402">
      <w:bodyDiv w:val="1"/>
      <w:marLeft w:val="0"/>
      <w:marRight w:val="0"/>
      <w:marTop w:val="0"/>
      <w:marBottom w:val="0"/>
      <w:divBdr>
        <w:top w:val="none" w:sz="0" w:space="0" w:color="auto"/>
        <w:left w:val="none" w:sz="0" w:space="0" w:color="auto"/>
        <w:bottom w:val="none" w:sz="0" w:space="0" w:color="auto"/>
        <w:right w:val="none" w:sz="0" w:space="0" w:color="auto"/>
      </w:divBdr>
    </w:div>
    <w:div w:id="1147208542">
      <w:bodyDiv w:val="1"/>
      <w:marLeft w:val="0"/>
      <w:marRight w:val="0"/>
      <w:marTop w:val="0"/>
      <w:marBottom w:val="0"/>
      <w:divBdr>
        <w:top w:val="none" w:sz="0" w:space="0" w:color="auto"/>
        <w:left w:val="none" w:sz="0" w:space="0" w:color="auto"/>
        <w:bottom w:val="none" w:sz="0" w:space="0" w:color="auto"/>
        <w:right w:val="none" w:sz="0" w:space="0" w:color="auto"/>
      </w:divBdr>
    </w:div>
    <w:div w:id="1147235538">
      <w:bodyDiv w:val="1"/>
      <w:marLeft w:val="0"/>
      <w:marRight w:val="0"/>
      <w:marTop w:val="0"/>
      <w:marBottom w:val="0"/>
      <w:divBdr>
        <w:top w:val="none" w:sz="0" w:space="0" w:color="auto"/>
        <w:left w:val="none" w:sz="0" w:space="0" w:color="auto"/>
        <w:bottom w:val="none" w:sz="0" w:space="0" w:color="auto"/>
        <w:right w:val="none" w:sz="0" w:space="0" w:color="auto"/>
      </w:divBdr>
    </w:div>
    <w:div w:id="1147278932">
      <w:bodyDiv w:val="1"/>
      <w:marLeft w:val="0"/>
      <w:marRight w:val="0"/>
      <w:marTop w:val="0"/>
      <w:marBottom w:val="0"/>
      <w:divBdr>
        <w:top w:val="none" w:sz="0" w:space="0" w:color="auto"/>
        <w:left w:val="none" w:sz="0" w:space="0" w:color="auto"/>
        <w:bottom w:val="none" w:sz="0" w:space="0" w:color="auto"/>
        <w:right w:val="none" w:sz="0" w:space="0" w:color="auto"/>
      </w:divBdr>
    </w:div>
    <w:div w:id="1147282152">
      <w:bodyDiv w:val="1"/>
      <w:marLeft w:val="0"/>
      <w:marRight w:val="0"/>
      <w:marTop w:val="0"/>
      <w:marBottom w:val="0"/>
      <w:divBdr>
        <w:top w:val="none" w:sz="0" w:space="0" w:color="auto"/>
        <w:left w:val="none" w:sz="0" w:space="0" w:color="auto"/>
        <w:bottom w:val="none" w:sz="0" w:space="0" w:color="auto"/>
        <w:right w:val="none" w:sz="0" w:space="0" w:color="auto"/>
      </w:divBdr>
    </w:div>
    <w:div w:id="1147282465">
      <w:bodyDiv w:val="1"/>
      <w:marLeft w:val="0"/>
      <w:marRight w:val="0"/>
      <w:marTop w:val="0"/>
      <w:marBottom w:val="0"/>
      <w:divBdr>
        <w:top w:val="none" w:sz="0" w:space="0" w:color="auto"/>
        <w:left w:val="none" w:sz="0" w:space="0" w:color="auto"/>
        <w:bottom w:val="none" w:sz="0" w:space="0" w:color="auto"/>
        <w:right w:val="none" w:sz="0" w:space="0" w:color="auto"/>
      </w:divBdr>
    </w:div>
    <w:div w:id="1147435185">
      <w:bodyDiv w:val="1"/>
      <w:marLeft w:val="0"/>
      <w:marRight w:val="0"/>
      <w:marTop w:val="0"/>
      <w:marBottom w:val="0"/>
      <w:divBdr>
        <w:top w:val="none" w:sz="0" w:space="0" w:color="auto"/>
        <w:left w:val="none" w:sz="0" w:space="0" w:color="auto"/>
        <w:bottom w:val="none" w:sz="0" w:space="0" w:color="auto"/>
        <w:right w:val="none" w:sz="0" w:space="0" w:color="auto"/>
      </w:divBdr>
    </w:div>
    <w:div w:id="1147435795">
      <w:bodyDiv w:val="1"/>
      <w:marLeft w:val="0"/>
      <w:marRight w:val="0"/>
      <w:marTop w:val="0"/>
      <w:marBottom w:val="0"/>
      <w:divBdr>
        <w:top w:val="none" w:sz="0" w:space="0" w:color="auto"/>
        <w:left w:val="none" w:sz="0" w:space="0" w:color="auto"/>
        <w:bottom w:val="none" w:sz="0" w:space="0" w:color="auto"/>
        <w:right w:val="none" w:sz="0" w:space="0" w:color="auto"/>
      </w:divBdr>
    </w:div>
    <w:div w:id="1147436480">
      <w:bodyDiv w:val="1"/>
      <w:marLeft w:val="0"/>
      <w:marRight w:val="0"/>
      <w:marTop w:val="0"/>
      <w:marBottom w:val="0"/>
      <w:divBdr>
        <w:top w:val="none" w:sz="0" w:space="0" w:color="auto"/>
        <w:left w:val="none" w:sz="0" w:space="0" w:color="auto"/>
        <w:bottom w:val="none" w:sz="0" w:space="0" w:color="auto"/>
        <w:right w:val="none" w:sz="0" w:space="0" w:color="auto"/>
      </w:divBdr>
    </w:div>
    <w:div w:id="1147471658">
      <w:bodyDiv w:val="1"/>
      <w:marLeft w:val="0"/>
      <w:marRight w:val="0"/>
      <w:marTop w:val="0"/>
      <w:marBottom w:val="0"/>
      <w:divBdr>
        <w:top w:val="none" w:sz="0" w:space="0" w:color="auto"/>
        <w:left w:val="none" w:sz="0" w:space="0" w:color="auto"/>
        <w:bottom w:val="none" w:sz="0" w:space="0" w:color="auto"/>
        <w:right w:val="none" w:sz="0" w:space="0" w:color="auto"/>
      </w:divBdr>
    </w:div>
    <w:div w:id="1147546792">
      <w:bodyDiv w:val="1"/>
      <w:marLeft w:val="0"/>
      <w:marRight w:val="0"/>
      <w:marTop w:val="0"/>
      <w:marBottom w:val="0"/>
      <w:divBdr>
        <w:top w:val="none" w:sz="0" w:space="0" w:color="auto"/>
        <w:left w:val="none" w:sz="0" w:space="0" w:color="auto"/>
        <w:bottom w:val="none" w:sz="0" w:space="0" w:color="auto"/>
        <w:right w:val="none" w:sz="0" w:space="0" w:color="auto"/>
      </w:divBdr>
    </w:div>
    <w:div w:id="1147549628">
      <w:bodyDiv w:val="1"/>
      <w:marLeft w:val="0"/>
      <w:marRight w:val="0"/>
      <w:marTop w:val="0"/>
      <w:marBottom w:val="0"/>
      <w:divBdr>
        <w:top w:val="none" w:sz="0" w:space="0" w:color="auto"/>
        <w:left w:val="none" w:sz="0" w:space="0" w:color="auto"/>
        <w:bottom w:val="none" w:sz="0" w:space="0" w:color="auto"/>
        <w:right w:val="none" w:sz="0" w:space="0" w:color="auto"/>
      </w:divBdr>
    </w:div>
    <w:div w:id="1147625295">
      <w:bodyDiv w:val="1"/>
      <w:marLeft w:val="0"/>
      <w:marRight w:val="0"/>
      <w:marTop w:val="0"/>
      <w:marBottom w:val="0"/>
      <w:divBdr>
        <w:top w:val="none" w:sz="0" w:space="0" w:color="auto"/>
        <w:left w:val="none" w:sz="0" w:space="0" w:color="auto"/>
        <w:bottom w:val="none" w:sz="0" w:space="0" w:color="auto"/>
        <w:right w:val="none" w:sz="0" w:space="0" w:color="auto"/>
      </w:divBdr>
    </w:div>
    <w:div w:id="1147630796">
      <w:bodyDiv w:val="1"/>
      <w:marLeft w:val="0"/>
      <w:marRight w:val="0"/>
      <w:marTop w:val="0"/>
      <w:marBottom w:val="0"/>
      <w:divBdr>
        <w:top w:val="none" w:sz="0" w:space="0" w:color="auto"/>
        <w:left w:val="none" w:sz="0" w:space="0" w:color="auto"/>
        <w:bottom w:val="none" w:sz="0" w:space="0" w:color="auto"/>
        <w:right w:val="none" w:sz="0" w:space="0" w:color="auto"/>
      </w:divBdr>
    </w:div>
    <w:div w:id="1147669590">
      <w:bodyDiv w:val="1"/>
      <w:marLeft w:val="0"/>
      <w:marRight w:val="0"/>
      <w:marTop w:val="0"/>
      <w:marBottom w:val="0"/>
      <w:divBdr>
        <w:top w:val="none" w:sz="0" w:space="0" w:color="auto"/>
        <w:left w:val="none" w:sz="0" w:space="0" w:color="auto"/>
        <w:bottom w:val="none" w:sz="0" w:space="0" w:color="auto"/>
        <w:right w:val="none" w:sz="0" w:space="0" w:color="auto"/>
      </w:divBdr>
    </w:div>
    <w:div w:id="1147671362">
      <w:bodyDiv w:val="1"/>
      <w:marLeft w:val="0"/>
      <w:marRight w:val="0"/>
      <w:marTop w:val="0"/>
      <w:marBottom w:val="0"/>
      <w:divBdr>
        <w:top w:val="none" w:sz="0" w:space="0" w:color="auto"/>
        <w:left w:val="none" w:sz="0" w:space="0" w:color="auto"/>
        <w:bottom w:val="none" w:sz="0" w:space="0" w:color="auto"/>
        <w:right w:val="none" w:sz="0" w:space="0" w:color="auto"/>
      </w:divBdr>
    </w:div>
    <w:div w:id="1147744333">
      <w:bodyDiv w:val="1"/>
      <w:marLeft w:val="0"/>
      <w:marRight w:val="0"/>
      <w:marTop w:val="0"/>
      <w:marBottom w:val="0"/>
      <w:divBdr>
        <w:top w:val="none" w:sz="0" w:space="0" w:color="auto"/>
        <w:left w:val="none" w:sz="0" w:space="0" w:color="auto"/>
        <w:bottom w:val="none" w:sz="0" w:space="0" w:color="auto"/>
        <w:right w:val="none" w:sz="0" w:space="0" w:color="auto"/>
      </w:divBdr>
    </w:div>
    <w:div w:id="1147748071">
      <w:bodyDiv w:val="1"/>
      <w:marLeft w:val="0"/>
      <w:marRight w:val="0"/>
      <w:marTop w:val="0"/>
      <w:marBottom w:val="0"/>
      <w:divBdr>
        <w:top w:val="none" w:sz="0" w:space="0" w:color="auto"/>
        <w:left w:val="none" w:sz="0" w:space="0" w:color="auto"/>
        <w:bottom w:val="none" w:sz="0" w:space="0" w:color="auto"/>
        <w:right w:val="none" w:sz="0" w:space="0" w:color="auto"/>
      </w:divBdr>
    </w:div>
    <w:div w:id="1147820831">
      <w:bodyDiv w:val="1"/>
      <w:marLeft w:val="0"/>
      <w:marRight w:val="0"/>
      <w:marTop w:val="0"/>
      <w:marBottom w:val="0"/>
      <w:divBdr>
        <w:top w:val="none" w:sz="0" w:space="0" w:color="auto"/>
        <w:left w:val="none" w:sz="0" w:space="0" w:color="auto"/>
        <w:bottom w:val="none" w:sz="0" w:space="0" w:color="auto"/>
        <w:right w:val="none" w:sz="0" w:space="0" w:color="auto"/>
      </w:divBdr>
    </w:div>
    <w:div w:id="1147891184">
      <w:bodyDiv w:val="1"/>
      <w:marLeft w:val="0"/>
      <w:marRight w:val="0"/>
      <w:marTop w:val="0"/>
      <w:marBottom w:val="0"/>
      <w:divBdr>
        <w:top w:val="none" w:sz="0" w:space="0" w:color="auto"/>
        <w:left w:val="none" w:sz="0" w:space="0" w:color="auto"/>
        <w:bottom w:val="none" w:sz="0" w:space="0" w:color="auto"/>
        <w:right w:val="none" w:sz="0" w:space="0" w:color="auto"/>
      </w:divBdr>
    </w:div>
    <w:div w:id="1148012820">
      <w:bodyDiv w:val="1"/>
      <w:marLeft w:val="0"/>
      <w:marRight w:val="0"/>
      <w:marTop w:val="0"/>
      <w:marBottom w:val="0"/>
      <w:divBdr>
        <w:top w:val="none" w:sz="0" w:space="0" w:color="auto"/>
        <w:left w:val="none" w:sz="0" w:space="0" w:color="auto"/>
        <w:bottom w:val="none" w:sz="0" w:space="0" w:color="auto"/>
        <w:right w:val="none" w:sz="0" w:space="0" w:color="auto"/>
      </w:divBdr>
    </w:div>
    <w:div w:id="1148015366">
      <w:bodyDiv w:val="1"/>
      <w:marLeft w:val="0"/>
      <w:marRight w:val="0"/>
      <w:marTop w:val="0"/>
      <w:marBottom w:val="0"/>
      <w:divBdr>
        <w:top w:val="none" w:sz="0" w:space="0" w:color="auto"/>
        <w:left w:val="none" w:sz="0" w:space="0" w:color="auto"/>
        <w:bottom w:val="none" w:sz="0" w:space="0" w:color="auto"/>
        <w:right w:val="none" w:sz="0" w:space="0" w:color="auto"/>
      </w:divBdr>
    </w:div>
    <w:div w:id="1148127169">
      <w:bodyDiv w:val="1"/>
      <w:marLeft w:val="0"/>
      <w:marRight w:val="0"/>
      <w:marTop w:val="0"/>
      <w:marBottom w:val="0"/>
      <w:divBdr>
        <w:top w:val="none" w:sz="0" w:space="0" w:color="auto"/>
        <w:left w:val="none" w:sz="0" w:space="0" w:color="auto"/>
        <w:bottom w:val="none" w:sz="0" w:space="0" w:color="auto"/>
        <w:right w:val="none" w:sz="0" w:space="0" w:color="auto"/>
      </w:divBdr>
    </w:div>
    <w:div w:id="1148130926">
      <w:bodyDiv w:val="1"/>
      <w:marLeft w:val="0"/>
      <w:marRight w:val="0"/>
      <w:marTop w:val="0"/>
      <w:marBottom w:val="0"/>
      <w:divBdr>
        <w:top w:val="none" w:sz="0" w:space="0" w:color="auto"/>
        <w:left w:val="none" w:sz="0" w:space="0" w:color="auto"/>
        <w:bottom w:val="none" w:sz="0" w:space="0" w:color="auto"/>
        <w:right w:val="none" w:sz="0" w:space="0" w:color="auto"/>
      </w:divBdr>
    </w:div>
    <w:div w:id="1148135567">
      <w:bodyDiv w:val="1"/>
      <w:marLeft w:val="0"/>
      <w:marRight w:val="0"/>
      <w:marTop w:val="0"/>
      <w:marBottom w:val="0"/>
      <w:divBdr>
        <w:top w:val="none" w:sz="0" w:space="0" w:color="auto"/>
        <w:left w:val="none" w:sz="0" w:space="0" w:color="auto"/>
        <w:bottom w:val="none" w:sz="0" w:space="0" w:color="auto"/>
        <w:right w:val="none" w:sz="0" w:space="0" w:color="auto"/>
      </w:divBdr>
    </w:div>
    <w:div w:id="1148397072">
      <w:bodyDiv w:val="1"/>
      <w:marLeft w:val="0"/>
      <w:marRight w:val="0"/>
      <w:marTop w:val="0"/>
      <w:marBottom w:val="0"/>
      <w:divBdr>
        <w:top w:val="none" w:sz="0" w:space="0" w:color="auto"/>
        <w:left w:val="none" w:sz="0" w:space="0" w:color="auto"/>
        <w:bottom w:val="none" w:sz="0" w:space="0" w:color="auto"/>
        <w:right w:val="none" w:sz="0" w:space="0" w:color="auto"/>
      </w:divBdr>
    </w:div>
    <w:div w:id="1148480414">
      <w:bodyDiv w:val="1"/>
      <w:marLeft w:val="0"/>
      <w:marRight w:val="0"/>
      <w:marTop w:val="0"/>
      <w:marBottom w:val="0"/>
      <w:divBdr>
        <w:top w:val="none" w:sz="0" w:space="0" w:color="auto"/>
        <w:left w:val="none" w:sz="0" w:space="0" w:color="auto"/>
        <w:bottom w:val="none" w:sz="0" w:space="0" w:color="auto"/>
        <w:right w:val="none" w:sz="0" w:space="0" w:color="auto"/>
      </w:divBdr>
    </w:div>
    <w:div w:id="1148519892">
      <w:bodyDiv w:val="1"/>
      <w:marLeft w:val="0"/>
      <w:marRight w:val="0"/>
      <w:marTop w:val="0"/>
      <w:marBottom w:val="0"/>
      <w:divBdr>
        <w:top w:val="none" w:sz="0" w:space="0" w:color="auto"/>
        <w:left w:val="none" w:sz="0" w:space="0" w:color="auto"/>
        <w:bottom w:val="none" w:sz="0" w:space="0" w:color="auto"/>
        <w:right w:val="none" w:sz="0" w:space="0" w:color="auto"/>
      </w:divBdr>
    </w:div>
    <w:div w:id="1148521715">
      <w:bodyDiv w:val="1"/>
      <w:marLeft w:val="0"/>
      <w:marRight w:val="0"/>
      <w:marTop w:val="0"/>
      <w:marBottom w:val="0"/>
      <w:divBdr>
        <w:top w:val="none" w:sz="0" w:space="0" w:color="auto"/>
        <w:left w:val="none" w:sz="0" w:space="0" w:color="auto"/>
        <w:bottom w:val="none" w:sz="0" w:space="0" w:color="auto"/>
        <w:right w:val="none" w:sz="0" w:space="0" w:color="auto"/>
      </w:divBdr>
    </w:div>
    <w:div w:id="1148670169">
      <w:bodyDiv w:val="1"/>
      <w:marLeft w:val="0"/>
      <w:marRight w:val="0"/>
      <w:marTop w:val="0"/>
      <w:marBottom w:val="0"/>
      <w:divBdr>
        <w:top w:val="none" w:sz="0" w:space="0" w:color="auto"/>
        <w:left w:val="none" w:sz="0" w:space="0" w:color="auto"/>
        <w:bottom w:val="none" w:sz="0" w:space="0" w:color="auto"/>
        <w:right w:val="none" w:sz="0" w:space="0" w:color="auto"/>
      </w:divBdr>
    </w:div>
    <w:div w:id="1148742790">
      <w:bodyDiv w:val="1"/>
      <w:marLeft w:val="0"/>
      <w:marRight w:val="0"/>
      <w:marTop w:val="0"/>
      <w:marBottom w:val="0"/>
      <w:divBdr>
        <w:top w:val="none" w:sz="0" w:space="0" w:color="auto"/>
        <w:left w:val="none" w:sz="0" w:space="0" w:color="auto"/>
        <w:bottom w:val="none" w:sz="0" w:space="0" w:color="auto"/>
        <w:right w:val="none" w:sz="0" w:space="0" w:color="auto"/>
      </w:divBdr>
    </w:div>
    <w:div w:id="1148745275">
      <w:bodyDiv w:val="1"/>
      <w:marLeft w:val="0"/>
      <w:marRight w:val="0"/>
      <w:marTop w:val="0"/>
      <w:marBottom w:val="0"/>
      <w:divBdr>
        <w:top w:val="none" w:sz="0" w:space="0" w:color="auto"/>
        <w:left w:val="none" w:sz="0" w:space="0" w:color="auto"/>
        <w:bottom w:val="none" w:sz="0" w:space="0" w:color="auto"/>
        <w:right w:val="none" w:sz="0" w:space="0" w:color="auto"/>
      </w:divBdr>
    </w:div>
    <w:div w:id="1148788053">
      <w:bodyDiv w:val="1"/>
      <w:marLeft w:val="0"/>
      <w:marRight w:val="0"/>
      <w:marTop w:val="0"/>
      <w:marBottom w:val="0"/>
      <w:divBdr>
        <w:top w:val="none" w:sz="0" w:space="0" w:color="auto"/>
        <w:left w:val="none" w:sz="0" w:space="0" w:color="auto"/>
        <w:bottom w:val="none" w:sz="0" w:space="0" w:color="auto"/>
        <w:right w:val="none" w:sz="0" w:space="0" w:color="auto"/>
      </w:divBdr>
    </w:div>
    <w:div w:id="1148982485">
      <w:bodyDiv w:val="1"/>
      <w:marLeft w:val="0"/>
      <w:marRight w:val="0"/>
      <w:marTop w:val="0"/>
      <w:marBottom w:val="0"/>
      <w:divBdr>
        <w:top w:val="none" w:sz="0" w:space="0" w:color="auto"/>
        <w:left w:val="none" w:sz="0" w:space="0" w:color="auto"/>
        <w:bottom w:val="none" w:sz="0" w:space="0" w:color="auto"/>
        <w:right w:val="none" w:sz="0" w:space="0" w:color="auto"/>
      </w:divBdr>
    </w:div>
    <w:div w:id="1149054291">
      <w:bodyDiv w:val="1"/>
      <w:marLeft w:val="0"/>
      <w:marRight w:val="0"/>
      <w:marTop w:val="0"/>
      <w:marBottom w:val="0"/>
      <w:divBdr>
        <w:top w:val="none" w:sz="0" w:space="0" w:color="auto"/>
        <w:left w:val="none" w:sz="0" w:space="0" w:color="auto"/>
        <w:bottom w:val="none" w:sz="0" w:space="0" w:color="auto"/>
        <w:right w:val="none" w:sz="0" w:space="0" w:color="auto"/>
      </w:divBdr>
    </w:div>
    <w:div w:id="1149058309">
      <w:bodyDiv w:val="1"/>
      <w:marLeft w:val="0"/>
      <w:marRight w:val="0"/>
      <w:marTop w:val="0"/>
      <w:marBottom w:val="0"/>
      <w:divBdr>
        <w:top w:val="none" w:sz="0" w:space="0" w:color="auto"/>
        <w:left w:val="none" w:sz="0" w:space="0" w:color="auto"/>
        <w:bottom w:val="none" w:sz="0" w:space="0" w:color="auto"/>
        <w:right w:val="none" w:sz="0" w:space="0" w:color="auto"/>
      </w:divBdr>
    </w:div>
    <w:div w:id="1149131072">
      <w:bodyDiv w:val="1"/>
      <w:marLeft w:val="0"/>
      <w:marRight w:val="0"/>
      <w:marTop w:val="0"/>
      <w:marBottom w:val="0"/>
      <w:divBdr>
        <w:top w:val="none" w:sz="0" w:space="0" w:color="auto"/>
        <w:left w:val="none" w:sz="0" w:space="0" w:color="auto"/>
        <w:bottom w:val="none" w:sz="0" w:space="0" w:color="auto"/>
        <w:right w:val="none" w:sz="0" w:space="0" w:color="auto"/>
      </w:divBdr>
    </w:div>
    <w:div w:id="1149135328">
      <w:bodyDiv w:val="1"/>
      <w:marLeft w:val="0"/>
      <w:marRight w:val="0"/>
      <w:marTop w:val="0"/>
      <w:marBottom w:val="0"/>
      <w:divBdr>
        <w:top w:val="none" w:sz="0" w:space="0" w:color="auto"/>
        <w:left w:val="none" w:sz="0" w:space="0" w:color="auto"/>
        <w:bottom w:val="none" w:sz="0" w:space="0" w:color="auto"/>
        <w:right w:val="none" w:sz="0" w:space="0" w:color="auto"/>
      </w:divBdr>
    </w:div>
    <w:div w:id="1149205312">
      <w:bodyDiv w:val="1"/>
      <w:marLeft w:val="0"/>
      <w:marRight w:val="0"/>
      <w:marTop w:val="0"/>
      <w:marBottom w:val="0"/>
      <w:divBdr>
        <w:top w:val="none" w:sz="0" w:space="0" w:color="auto"/>
        <w:left w:val="none" w:sz="0" w:space="0" w:color="auto"/>
        <w:bottom w:val="none" w:sz="0" w:space="0" w:color="auto"/>
        <w:right w:val="none" w:sz="0" w:space="0" w:color="auto"/>
      </w:divBdr>
    </w:div>
    <w:div w:id="1149243987">
      <w:bodyDiv w:val="1"/>
      <w:marLeft w:val="0"/>
      <w:marRight w:val="0"/>
      <w:marTop w:val="0"/>
      <w:marBottom w:val="0"/>
      <w:divBdr>
        <w:top w:val="none" w:sz="0" w:space="0" w:color="auto"/>
        <w:left w:val="none" w:sz="0" w:space="0" w:color="auto"/>
        <w:bottom w:val="none" w:sz="0" w:space="0" w:color="auto"/>
        <w:right w:val="none" w:sz="0" w:space="0" w:color="auto"/>
      </w:divBdr>
    </w:div>
    <w:div w:id="1149402589">
      <w:bodyDiv w:val="1"/>
      <w:marLeft w:val="0"/>
      <w:marRight w:val="0"/>
      <w:marTop w:val="0"/>
      <w:marBottom w:val="0"/>
      <w:divBdr>
        <w:top w:val="none" w:sz="0" w:space="0" w:color="auto"/>
        <w:left w:val="none" w:sz="0" w:space="0" w:color="auto"/>
        <w:bottom w:val="none" w:sz="0" w:space="0" w:color="auto"/>
        <w:right w:val="none" w:sz="0" w:space="0" w:color="auto"/>
      </w:divBdr>
    </w:div>
    <w:div w:id="1149438936">
      <w:bodyDiv w:val="1"/>
      <w:marLeft w:val="0"/>
      <w:marRight w:val="0"/>
      <w:marTop w:val="0"/>
      <w:marBottom w:val="0"/>
      <w:divBdr>
        <w:top w:val="none" w:sz="0" w:space="0" w:color="auto"/>
        <w:left w:val="none" w:sz="0" w:space="0" w:color="auto"/>
        <w:bottom w:val="none" w:sz="0" w:space="0" w:color="auto"/>
        <w:right w:val="none" w:sz="0" w:space="0" w:color="auto"/>
      </w:divBdr>
    </w:div>
    <w:div w:id="1149446199">
      <w:bodyDiv w:val="1"/>
      <w:marLeft w:val="0"/>
      <w:marRight w:val="0"/>
      <w:marTop w:val="0"/>
      <w:marBottom w:val="0"/>
      <w:divBdr>
        <w:top w:val="none" w:sz="0" w:space="0" w:color="auto"/>
        <w:left w:val="none" w:sz="0" w:space="0" w:color="auto"/>
        <w:bottom w:val="none" w:sz="0" w:space="0" w:color="auto"/>
        <w:right w:val="none" w:sz="0" w:space="0" w:color="auto"/>
      </w:divBdr>
    </w:div>
    <w:div w:id="1149517616">
      <w:bodyDiv w:val="1"/>
      <w:marLeft w:val="0"/>
      <w:marRight w:val="0"/>
      <w:marTop w:val="0"/>
      <w:marBottom w:val="0"/>
      <w:divBdr>
        <w:top w:val="none" w:sz="0" w:space="0" w:color="auto"/>
        <w:left w:val="none" w:sz="0" w:space="0" w:color="auto"/>
        <w:bottom w:val="none" w:sz="0" w:space="0" w:color="auto"/>
        <w:right w:val="none" w:sz="0" w:space="0" w:color="auto"/>
      </w:divBdr>
    </w:div>
    <w:div w:id="1149588467">
      <w:bodyDiv w:val="1"/>
      <w:marLeft w:val="0"/>
      <w:marRight w:val="0"/>
      <w:marTop w:val="0"/>
      <w:marBottom w:val="0"/>
      <w:divBdr>
        <w:top w:val="none" w:sz="0" w:space="0" w:color="auto"/>
        <w:left w:val="none" w:sz="0" w:space="0" w:color="auto"/>
        <w:bottom w:val="none" w:sz="0" w:space="0" w:color="auto"/>
        <w:right w:val="none" w:sz="0" w:space="0" w:color="auto"/>
      </w:divBdr>
    </w:div>
    <w:div w:id="1149592618">
      <w:bodyDiv w:val="1"/>
      <w:marLeft w:val="0"/>
      <w:marRight w:val="0"/>
      <w:marTop w:val="0"/>
      <w:marBottom w:val="0"/>
      <w:divBdr>
        <w:top w:val="none" w:sz="0" w:space="0" w:color="auto"/>
        <w:left w:val="none" w:sz="0" w:space="0" w:color="auto"/>
        <w:bottom w:val="none" w:sz="0" w:space="0" w:color="auto"/>
        <w:right w:val="none" w:sz="0" w:space="0" w:color="auto"/>
      </w:divBdr>
    </w:div>
    <w:div w:id="1149597231">
      <w:bodyDiv w:val="1"/>
      <w:marLeft w:val="0"/>
      <w:marRight w:val="0"/>
      <w:marTop w:val="0"/>
      <w:marBottom w:val="0"/>
      <w:divBdr>
        <w:top w:val="none" w:sz="0" w:space="0" w:color="auto"/>
        <w:left w:val="none" w:sz="0" w:space="0" w:color="auto"/>
        <w:bottom w:val="none" w:sz="0" w:space="0" w:color="auto"/>
        <w:right w:val="none" w:sz="0" w:space="0" w:color="auto"/>
      </w:divBdr>
    </w:div>
    <w:div w:id="1149787713">
      <w:bodyDiv w:val="1"/>
      <w:marLeft w:val="0"/>
      <w:marRight w:val="0"/>
      <w:marTop w:val="0"/>
      <w:marBottom w:val="0"/>
      <w:divBdr>
        <w:top w:val="none" w:sz="0" w:space="0" w:color="auto"/>
        <w:left w:val="none" w:sz="0" w:space="0" w:color="auto"/>
        <w:bottom w:val="none" w:sz="0" w:space="0" w:color="auto"/>
        <w:right w:val="none" w:sz="0" w:space="0" w:color="auto"/>
      </w:divBdr>
    </w:div>
    <w:div w:id="1149833654">
      <w:bodyDiv w:val="1"/>
      <w:marLeft w:val="0"/>
      <w:marRight w:val="0"/>
      <w:marTop w:val="0"/>
      <w:marBottom w:val="0"/>
      <w:divBdr>
        <w:top w:val="none" w:sz="0" w:space="0" w:color="auto"/>
        <w:left w:val="none" w:sz="0" w:space="0" w:color="auto"/>
        <w:bottom w:val="none" w:sz="0" w:space="0" w:color="auto"/>
        <w:right w:val="none" w:sz="0" w:space="0" w:color="auto"/>
      </w:divBdr>
    </w:div>
    <w:div w:id="1149860203">
      <w:bodyDiv w:val="1"/>
      <w:marLeft w:val="0"/>
      <w:marRight w:val="0"/>
      <w:marTop w:val="0"/>
      <w:marBottom w:val="0"/>
      <w:divBdr>
        <w:top w:val="none" w:sz="0" w:space="0" w:color="auto"/>
        <w:left w:val="none" w:sz="0" w:space="0" w:color="auto"/>
        <w:bottom w:val="none" w:sz="0" w:space="0" w:color="auto"/>
        <w:right w:val="none" w:sz="0" w:space="0" w:color="auto"/>
      </w:divBdr>
    </w:div>
    <w:div w:id="1149906099">
      <w:bodyDiv w:val="1"/>
      <w:marLeft w:val="0"/>
      <w:marRight w:val="0"/>
      <w:marTop w:val="0"/>
      <w:marBottom w:val="0"/>
      <w:divBdr>
        <w:top w:val="none" w:sz="0" w:space="0" w:color="auto"/>
        <w:left w:val="none" w:sz="0" w:space="0" w:color="auto"/>
        <w:bottom w:val="none" w:sz="0" w:space="0" w:color="auto"/>
        <w:right w:val="none" w:sz="0" w:space="0" w:color="auto"/>
      </w:divBdr>
    </w:div>
    <w:div w:id="1149906635">
      <w:bodyDiv w:val="1"/>
      <w:marLeft w:val="0"/>
      <w:marRight w:val="0"/>
      <w:marTop w:val="0"/>
      <w:marBottom w:val="0"/>
      <w:divBdr>
        <w:top w:val="none" w:sz="0" w:space="0" w:color="auto"/>
        <w:left w:val="none" w:sz="0" w:space="0" w:color="auto"/>
        <w:bottom w:val="none" w:sz="0" w:space="0" w:color="auto"/>
        <w:right w:val="none" w:sz="0" w:space="0" w:color="auto"/>
      </w:divBdr>
    </w:div>
    <w:div w:id="1149907051">
      <w:bodyDiv w:val="1"/>
      <w:marLeft w:val="0"/>
      <w:marRight w:val="0"/>
      <w:marTop w:val="0"/>
      <w:marBottom w:val="0"/>
      <w:divBdr>
        <w:top w:val="none" w:sz="0" w:space="0" w:color="auto"/>
        <w:left w:val="none" w:sz="0" w:space="0" w:color="auto"/>
        <w:bottom w:val="none" w:sz="0" w:space="0" w:color="auto"/>
        <w:right w:val="none" w:sz="0" w:space="0" w:color="auto"/>
      </w:divBdr>
    </w:div>
    <w:div w:id="1150055111">
      <w:bodyDiv w:val="1"/>
      <w:marLeft w:val="0"/>
      <w:marRight w:val="0"/>
      <w:marTop w:val="0"/>
      <w:marBottom w:val="0"/>
      <w:divBdr>
        <w:top w:val="none" w:sz="0" w:space="0" w:color="auto"/>
        <w:left w:val="none" w:sz="0" w:space="0" w:color="auto"/>
        <w:bottom w:val="none" w:sz="0" w:space="0" w:color="auto"/>
        <w:right w:val="none" w:sz="0" w:space="0" w:color="auto"/>
      </w:divBdr>
    </w:div>
    <w:div w:id="1150169268">
      <w:bodyDiv w:val="1"/>
      <w:marLeft w:val="0"/>
      <w:marRight w:val="0"/>
      <w:marTop w:val="0"/>
      <w:marBottom w:val="0"/>
      <w:divBdr>
        <w:top w:val="none" w:sz="0" w:space="0" w:color="auto"/>
        <w:left w:val="none" w:sz="0" w:space="0" w:color="auto"/>
        <w:bottom w:val="none" w:sz="0" w:space="0" w:color="auto"/>
        <w:right w:val="none" w:sz="0" w:space="0" w:color="auto"/>
      </w:divBdr>
    </w:div>
    <w:div w:id="1150252382">
      <w:bodyDiv w:val="1"/>
      <w:marLeft w:val="0"/>
      <w:marRight w:val="0"/>
      <w:marTop w:val="0"/>
      <w:marBottom w:val="0"/>
      <w:divBdr>
        <w:top w:val="none" w:sz="0" w:space="0" w:color="auto"/>
        <w:left w:val="none" w:sz="0" w:space="0" w:color="auto"/>
        <w:bottom w:val="none" w:sz="0" w:space="0" w:color="auto"/>
        <w:right w:val="none" w:sz="0" w:space="0" w:color="auto"/>
      </w:divBdr>
    </w:div>
    <w:div w:id="1150369485">
      <w:bodyDiv w:val="1"/>
      <w:marLeft w:val="0"/>
      <w:marRight w:val="0"/>
      <w:marTop w:val="0"/>
      <w:marBottom w:val="0"/>
      <w:divBdr>
        <w:top w:val="none" w:sz="0" w:space="0" w:color="auto"/>
        <w:left w:val="none" w:sz="0" w:space="0" w:color="auto"/>
        <w:bottom w:val="none" w:sz="0" w:space="0" w:color="auto"/>
        <w:right w:val="none" w:sz="0" w:space="0" w:color="auto"/>
      </w:divBdr>
    </w:div>
    <w:div w:id="1150488482">
      <w:bodyDiv w:val="1"/>
      <w:marLeft w:val="0"/>
      <w:marRight w:val="0"/>
      <w:marTop w:val="0"/>
      <w:marBottom w:val="0"/>
      <w:divBdr>
        <w:top w:val="none" w:sz="0" w:space="0" w:color="auto"/>
        <w:left w:val="none" w:sz="0" w:space="0" w:color="auto"/>
        <w:bottom w:val="none" w:sz="0" w:space="0" w:color="auto"/>
        <w:right w:val="none" w:sz="0" w:space="0" w:color="auto"/>
      </w:divBdr>
    </w:div>
    <w:div w:id="1150632018">
      <w:bodyDiv w:val="1"/>
      <w:marLeft w:val="0"/>
      <w:marRight w:val="0"/>
      <w:marTop w:val="0"/>
      <w:marBottom w:val="0"/>
      <w:divBdr>
        <w:top w:val="none" w:sz="0" w:space="0" w:color="auto"/>
        <w:left w:val="none" w:sz="0" w:space="0" w:color="auto"/>
        <w:bottom w:val="none" w:sz="0" w:space="0" w:color="auto"/>
        <w:right w:val="none" w:sz="0" w:space="0" w:color="auto"/>
      </w:divBdr>
    </w:div>
    <w:div w:id="1150635267">
      <w:bodyDiv w:val="1"/>
      <w:marLeft w:val="0"/>
      <w:marRight w:val="0"/>
      <w:marTop w:val="0"/>
      <w:marBottom w:val="0"/>
      <w:divBdr>
        <w:top w:val="none" w:sz="0" w:space="0" w:color="auto"/>
        <w:left w:val="none" w:sz="0" w:space="0" w:color="auto"/>
        <w:bottom w:val="none" w:sz="0" w:space="0" w:color="auto"/>
        <w:right w:val="none" w:sz="0" w:space="0" w:color="auto"/>
      </w:divBdr>
    </w:div>
    <w:div w:id="1150681319">
      <w:bodyDiv w:val="1"/>
      <w:marLeft w:val="0"/>
      <w:marRight w:val="0"/>
      <w:marTop w:val="0"/>
      <w:marBottom w:val="0"/>
      <w:divBdr>
        <w:top w:val="none" w:sz="0" w:space="0" w:color="auto"/>
        <w:left w:val="none" w:sz="0" w:space="0" w:color="auto"/>
        <w:bottom w:val="none" w:sz="0" w:space="0" w:color="auto"/>
        <w:right w:val="none" w:sz="0" w:space="0" w:color="auto"/>
      </w:divBdr>
    </w:div>
    <w:div w:id="1150828337">
      <w:bodyDiv w:val="1"/>
      <w:marLeft w:val="0"/>
      <w:marRight w:val="0"/>
      <w:marTop w:val="0"/>
      <w:marBottom w:val="0"/>
      <w:divBdr>
        <w:top w:val="none" w:sz="0" w:space="0" w:color="auto"/>
        <w:left w:val="none" w:sz="0" w:space="0" w:color="auto"/>
        <w:bottom w:val="none" w:sz="0" w:space="0" w:color="auto"/>
        <w:right w:val="none" w:sz="0" w:space="0" w:color="auto"/>
      </w:divBdr>
    </w:div>
    <w:div w:id="1150832534">
      <w:bodyDiv w:val="1"/>
      <w:marLeft w:val="0"/>
      <w:marRight w:val="0"/>
      <w:marTop w:val="0"/>
      <w:marBottom w:val="0"/>
      <w:divBdr>
        <w:top w:val="none" w:sz="0" w:space="0" w:color="auto"/>
        <w:left w:val="none" w:sz="0" w:space="0" w:color="auto"/>
        <w:bottom w:val="none" w:sz="0" w:space="0" w:color="auto"/>
        <w:right w:val="none" w:sz="0" w:space="0" w:color="auto"/>
      </w:divBdr>
    </w:div>
    <w:div w:id="1150901256">
      <w:bodyDiv w:val="1"/>
      <w:marLeft w:val="0"/>
      <w:marRight w:val="0"/>
      <w:marTop w:val="0"/>
      <w:marBottom w:val="0"/>
      <w:divBdr>
        <w:top w:val="none" w:sz="0" w:space="0" w:color="auto"/>
        <w:left w:val="none" w:sz="0" w:space="0" w:color="auto"/>
        <w:bottom w:val="none" w:sz="0" w:space="0" w:color="auto"/>
        <w:right w:val="none" w:sz="0" w:space="0" w:color="auto"/>
      </w:divBdr>
    </w:div>
    <w:div w:id="1151026158">
      <w:bodyDiv w:val="1"/>
      <w:marLeft w:val="0"/>
      <w:marRight w:val="0"/>
      <w:marTop w:val="0"/>
      <w:marBottom w:val="0"/>
      <w:divBdr>
        <w:top w:val="none" w:sz="0" w:space="0" w:color="auto"/>
        <w:left w:val="none" w:sz="0" w:space="0" w:color="auto"/>
        <w:bottom w:val="none" w:sz="0" w:space="0" w:color="auto"/>
        <w:right w:val="none" w:sz="0" w:space="0" w:color="auto"/>
      </w:divBdr>
    </w:div>
    <w:div w:id="1151141706">
      <w:bodyDiv w:val="1"/>
      <w:marLeft w:val="0"/>
      <w:marRight w:val="0"/>
      <w:marTop w:val="0"/>
      <w:marBottom w:val="0"/>
      <w:divBdr>
        <w:top w:val="none" w:sz="0" w:space="0" w:color="auto"/>
        <w:left w:val="none" w:sz="0" w:space="0" w:color="auto"/>
        <w:bottom w:val="none" w:sz="0" w:space="0" w:color="auto"/>
        <w:right w:val="none" w:sz="0" w:space="0" w:color="auto"/>
      </w:divBdr>
    </w:div>
    <w:div w:id="1151143603">
      <w:bodyDiv w:val="1"/>
      <w:marLeft w:val="0"/>
      <w:marRight w:val="0"/>
      <w:marTop w:val="0"/>
      <w:marBottom w:val="0"/>
      <w:divBdr>
        <w:top w:val="none" w:sz="0" w:space="0" w:color="auto"/>
        <w:left w:val="none" w:sz="0" w:space="0" w:color="auto"/>
        <w:bottom w:val="none" w:sz="0" w:space="0" w:color="auto"/>
        <w:right w:val="none" w:sz="0" w:space="0" w:color="auto"/>
      </w:divBdr>
    </w:div>
    <w:div w:id="1151403692">
      <w:bodyDiv w:val="1"/>
      <w:marLeft w:val="0"/>
      <w:marRight w:val="0"/>
      <w:marTop w:val="0"/>
      <w:marBottom w:val="0"/>
      <w:divBdr>
        <w:top w:val="none" w:sz="0" w:space="0" w:color="auto"/>
        <w:left w:val="none" w:sz="0" w:space="0" w:color="auto"/>
        <w:bottom w:val="none" w:sz="0" w:space="0" w:color="auto"/>
        <w:right w:val="none" w:sz="0" w:space="0" w:color="auto"/>
      </w:divBdr>
    </w:div>
    <w:div w:id="1151407582">
      <w:bodyDiv w:val="1"/>
      <w:marLeft w:val="0"/>
      <w:marRight w:val="0"/>
      <w:marTop w:val="0"/>
      <w:marBottom w:val="0"/>
      <w:divBdr>
        <w:top w:val="none" w:sz="0" w:space="0" w:color="auto"/>
        <w:left w:val="none" w:sz="0" w:space="0" w:color="auto"/>
        <w:bottom w:val="none" w:sz="0" w:space="0" w:color="auto"/>
        <w:right w:val="none" w:sz="0" w:space="0" w:color="auto"/>
      </w:divBdr>
    </w:div>
    <w:div w:id="1151555830">
      <w:bodyDiv w:val="1"/>
      <w:marLeft w:val="0"/>
      <w:marRight w:val="0"/>
      <w:marTop w:val="0"/>
      <w:marBottom w:val="0"/>
      <w:divBdr>
        <w:top w:val="none" w:sz="0" w:space="0" w:color="auto"/>
        <w:left w:val="none" w:sz="0" w:space="0" w:color="auto"/>
        <w:bottom w:val="none" w:sz="0" w:space="0" w:color="auto"/>
        <w:right w:val="none" w:sz="0" w:space="0" w:color="auto"/>
      </w:divBdr>
    </w:div>
    <w:div w:id="1151559611">
      <w:bodyDiv w:val="1"/>
      <w:marLeft w:val="0"/>
      <w:marRight w:val="0"/>
      <w:marTop w:val="0"/>
      <w:marBottom w:val="0"/>
      <w:divBdr>
        <w:top w:val="none" w:sz="0" w:space="0" w:color="auto"/>
        <w:left w:val="none" w:sz="0" w:space="0" w:color="auto"/>
        <w:bottom w:val="none" w:sz="0" w:space="0" w:color="auto"/>
        <w:right w:val="none" w:sz="0" w:space="0" w:color="auto"/>
      </w:divBdr>
    </w:div>
    <w:div w:id="1151561860">
      <w:bodyDiv w:val="1"/>
      <w:marLeft w:val="0"/>
      <w:marRight w:val="0"/>
      <w:marTop w:val="0"/>
      <w:marBottom w:val="0"/>
      <w:divBdr>
        <w:top w:val="none" w:sz="0" w:space="0" w:color="auto"/>
        <w:left w:val="none" w:sz="0" w:space="0" w:color="auto"/>
        <w:bottom w:val="none" w:sz="0" w:space="0" w:color="auto"/>
        <w:right w:val="none" w:sz="0" w:space="0" w:color="auto"/>
      </w:divBdr>
    </w:div>
    <w:div w:id="1151601029">
      <w:bodyDiv w:val="1"/>
      <w:marLeft w:val="0"/>
      <w:marRight w:val="0"/>
      <w:marTop w:val="0"/>
      <w:marBottom w:val="0"/>
      <w:divBdr>
        <w:top w:val="none" w:sz="0" w:space="0" w:color="auto"/>
        <w:left w:val="none" w:sz="0" w:space="0" w:color="auto"/>
        <w:bottom w:val="none" w:sz="0" w:space="0" w:color="auto"/>
        <w:right w:val="none" w:sz="0" w:space="0" w:color="auto"/>
      </w:divBdr>
    </w:div>
    <w:div w:id="1151681324">
      <w:bodyDiv w:val="1"/>
      <w:marLeft w:val="0"/>
      <w:marRight w:val="0"/>
      <w:marTop w:val="0"/>
      <w:marBottom w:val="0"/>
      <w:divBdr>
        <w:top w:val="none" w:sz="0" w:space="0" w:color="auto"/>
        <w:left w:val="none" w:sz="0" w:space="0" w:color="auto"/>
        <w:bottom w:val="none" w:sz="0" w:space="0" w:color="auto"/>
        <w:right w:val="none" w:sz="0" w:space="0" w:color="auto"/>
      </w:divBdr>
    </w:div>
    <w:div w:id="1151753421">
      <w:bodyDiv w:val="1"/>
      <w:marLeft w:val="0"/>
      <w:marRight w:val="0"/>
      <w:marTop w:val="0"/>
      <w:marBottom w:val="0"/>
      <w:divBdr>
        <w:top w:val="none" w:sz="0" w:space="0" w:color="auto"/>
        <w:left w:val="none" w:sz="0" w:space="0" w:color="auto"/>
        <w:bottom w:val="none" w:sz="0" w:space="0" w:color="auto"/>
        <w:right w:val="none" w:sz="0" w:space="0" w:color="auto"/>
      </w:divBdr>
    </w:div>
    <w:div w:id="1151868209">
      <w:bodyDiv w:val="1"/>
      <w:marLeft w:val="0"/>
      <w:marRight w:val="0"/>
      <w:marTop w:val="0"/>
      <w:marBottom w:val="0"/>
      <w:divBdr>
        <w:top w:val="none" w:sz="0" w:space="0" w:color="auto"/>
        <w:left w:val="none" w:sz="0" w:space="0" w:color="auto"/>
        <w:bottom w:val="none" w:sz="0" w:space="0" w:color="auto"/>
        <w:right w:val="none" w:sz="0" w:space="0" w:color="auto"/>
      </w:divBdr>
    </w:div>
    <w:div w:id="1151940450">
      <w:bodyDiv w:val="1"/>
      <w:marLeft w:val="0"/>
      <w:marRight w:val="0"/>
      <w:marTop w:val="0"/>
      <w:marBottom w:val="0"/>
      <w:divBdr>
        <w:top w:val="none" w:sz="0" w:space="0" w:color="auto"/>
        <w:left w:val="none" w:sz="0" w:space="0" w:color="auto"/>
        <w:bottom w:val="none" w:sz="0" w:space="0" w:color="auto"/>
        <w:right w:val="none" w:sz="0" w:space="0" w:color="auto"/>
      </w:divBdr>
    </w:div>
    <w:div w:id="1152023875">
      <w:bodyDiv w:val="1"/>
      <w:marLeft w:val="0"/>
      <w:marRight w:val="0"/>
      <w:marTop w:val="0"/>
      <w:marBottom w:val="0"/>
      <w:divBdr>
        <w:top w:val="none" w:sz="0" w:space="0" w:color="auto"/>
        <w:left w:val="none" w:sz="0" w:space="0" w:color="auto"/>
        <w:bottom w:val="none" w:sz="0" w:space="0" w:color="auto"/>
        <w:right w:val="none" w:sz="0" w:space="0" w:color="auto"/>
      </w:divBdr>
    </w:div>
    <w:div w:id="1152063001">
      <w:bodyDiv w:val="1"/>
      <w:marLeft w:val="0"/>
      <w:marRight w:val="0"/>
      <w:marTop w:val="0"/>
      <w:marBottom w:val="0"/>
      <w:divBdr>
        <w:top w:val="none" w:sz="0" w:space="0" w:color="auto"/>
        <w:left w:val="none" w:sz="0" w:space="0" w:color="auto"/>
        <w:bottom w:val="none" w:sz="0" w:space="0" w:color="auto"/>
        <w:right w:val="none" w:sz="0" w:space="0" w:color="auto"/>
      </w:divBdr>
    </w:div>
    <w:div w:id="1152134107">
      <w:bodyDiv w:val="1"/>
      <w:marLeft w:val="0"/>
      <w:marRight w:val="0"/>
      <w:marTop w:val="0"/>
      <w:marBottom w:val="0"/>
      <w:divBdr>
        <w:top w:val="none" w:sz="0" w:space="0" w:color="auto"/>
        <w:left w:val="none" w:sz="0" w:space="0" w:color="auto"/>
        <w:bottom w:val="none" w:sz="0" w:space="0" w:color="auto"/>
        <w:right w:val="none" w:sz="0" w:space="0" w:color="auto"/>
      </w:divBdr>
    </w:div>
    <w:div w:id="1152257352">
      <w:bodyDiv w:val="1"/>
      <w:marLeft w:val="0"/>
      <w:marRight w:val="0"/>
      <w:marTop w:val="0"/>
      <w:marBottom w:val="0"/>
      <w:divBdr>
        <w:top w:val="none" w:sz="0" w:space="0" w:color="auto"/>
        <w:left w:val="none" w:sz="0" w:space="0" w:color="auto"/>
        <w:bottom w:val="none" w:sz="0" w:space="0" w:color="auto"/>
        <w:right w:val="none" w:sz="0" w:space="0" w:color="auto"/>
      </w:divBdr>
    </w:div>
    <w:div w:id="1152260397">
      <w:bodyDiv w:val="1"/>
      <w:marLeft w:val="0"/>
      <w:marRight w:val="0"/>
      <w:marTop w:val="0"/>
      <w:marBottom w:val="0"/>
      <w:divBdr>
        <w:top w:val="none" w:sz="0" w:space="0" w:color="auto"/>
        <w:left w:val="none" w:sz="0" w:space="0" w:color="auto"/>
        <w:bottom w:val="none" w:sz="0" w:space="0" w:color="auto"/>
        <w:right w:val="none" w:sz="0" w:space="0" w:color="auto"/>
      </w:divBdr>
    </w:div>
    <w:div w:id="1152329285">
      <w:bodyDiv w:val="1"/>
      <w:marLeft w:val="0"/>
      <w:marRight w:val="0"/>
      <w:marTop w:val="0"/>
      <w:marBottom w:val="0"/>
      <w:divBdr>
        <w:top w:val="none" w:sz="0" w:space="0" w:color="auto"/>
        <w:left w:val="none" w:sz="0" w:space="0" w:color="auto"/>
        <w:bottom w:val="none" w:sz="0" w:space="0" w:color="auto"/>
        <w:right w:val="none" w:sz="0" w:space="0" w:color="auto"/>
      </w:divBdr>
    </w:div>
    <w:div w:id="1152332502">
      <w:bodyDiv w:val="1"/>
      <w:marLeft w:val="0"/>
      <w:marRight w:val="0"/>
      <w:marTop w:val="0"/>
      <w:marBottom w:val="0"/>
      <w:divBdr>
        <w:top w:val="none" w:sz="0" w:space="0" w:color="auto"/>
        <w:left w:val="none" w:sz="0" w:space="0" w:color="auto"/>
        <w:bottom w:val="none" w:sz="0" w:space="0" w:color="auto"/>
        <w:right w:val="none" w:sz="0" w:space="0" w:color="auto"/>
      </w:divBdr>
    </w:div>
    <w:div w:id="1152402342">
      <w:bodyDiv w:val="1"/>
      <w:marLeft w:val="0"/>
      <w:marRight w:val="0"/>
      <w:marTop w:val="0"/>
      <w:marBottom w:val="0"/>
      <w:divBdr>
        <w:top w:val="none" w:sz="0" w:space="0" w:color="auto"/>
        <w:left w:val="none" w:sz="0" w:space="0" w:color="auto"/>
        <w:bottom w:val="none" w:sz="0" w:space="0" w:color="auto"/>
        <w:right w:val="none" w:sz="0" w:space="0" w:color="auto"/>
      </w:divBdr>
    </w:div>
    <w:div w:id="1152403245">
      <w:bodyDiv w:val="1"/>
      <w:marLeft w:val="0"/>
      <w:marRight w:val="0"/>
      <w:marTop w:val="0"/>
      <w:marBottom w:val="0"/>
      <w:divBdr>
        <w:top w:val="none" w:sz="0" w:space="0" w:color="auto"/>
        <w:left w:val="none" w:sz="0" w:space="0" w:color="auto"/>
        <w:bottom w:val="none" w:sz="0" w:space="0" w:color="auto"/>
        <w:right w:val="none" w:sz="0" w:space="0" w:color="auto"/>
      </w:divBdr>
    </w:div>
    <w:div w:id="1152674142">
      <w:bodyDiv w:val="1"/>
      <w:marLeft w:val="0"/>
      <w:marRight w:val="0"/>
      <w:marTop w:val="0"/>
      <w:marBottom w:val="0"/>
      <w:divBdr>
        <w:top w:val="none" w:sz="0" w:space="0" w:color="auto"/>
        <w:left w:val="none" w:sz="0" w:space="0" w:color="auto"/>
        <w:bottom w:val="none" w:sz="0" w:space="0" w:color="auto"/>
        <w:right w:val="none" w:sz="0" w:space="0" w:color="auto"/>
      </w:divBdr>
    </w:div>
    <w:div w:id="1152718701">
      <w:bodyDiv w:val="1"/>
      <w:marLeft w:val="0"/>
      <w:marRight w:val="0"/>
      <w:marTop w:val="0"/>
      <w:marBottom w:val="0"/>
      <w:divBdr>
        <w:top w:val="none" w:sz="0" w:space="0" w:color="auto"/>
        <w:left w:val="none" w:sz="0" w:space="0" w:color="auto"/>
        <w:bottom w:val="none" w:sz="0" w:space="0" w:color="auto"/>
        <w:right w:val="none" w:sz="0" w:space="0" w:color="auto"/>
      </w:divBdr>
    </w:div>
    <w:div w:id="1152793506">
      <w:bodyDiv w:val="1"/>
      <w:marLeft w:val="0"/>
      <w:marRight w:val="0"/>
      <w:marTop w:val="0"/>
      <w:marBottom w:val="0"/>
      <w:divBdr>
        <w:top w:val="none" w:sz="0" w:space="0" w:color="auto"/>
        <w:left w:val="none" w:sz="0" w:space="0" w:color="auto"/>
        <w:bottom w:val="none" w:sz="0" w:space="0" w:color="auto"/>
        <w:right w:val="none" w:sz="0" w:space="0" w:color="auto"/>
      </w:divBdr>
    </w:div>
    <w:div w:id="1152866822">
      <w:bodyDiv w:val="1"/>
      <w:marLeft w:val="0"/>
      <w:marRight w:val="0"/>
      <w:marTop w:val="0"/>
      <w:marBottom w:val="0"/>
      <w:divBdr>
        <w:top w:val="none" w:sz="0" w:space="0" w:color="auto"/>
        <w:left w:val="none" w:sz="0" w:space="0" w:color="auto"/>
        <w:bottom w:val="none" w:sz="0" w:space="0" w:color="auto"/>
        <w:right w:val="none" w:sz="0" w:space="0" w:color="auto"/>
      </w:divBdr>
    </w:div>
    <w:div w:id="1152868005">
      <w:bodyDiv w:val="1"/>
      <w:marLeft w:val="0"/>
      <w:marRight w:val="0"/>
      <w:marTop w:val="0"/>
      <w:marBottom w:val="0"/>
      <w:divBdr>
        <w:top w:val="none" w:sz="0" w:space="0" w:color="auto"/>
        <w:left w:val="none" w:sz="0" w:space="0" w:color="auto"/>
        <w:bottom w:val="none" w:sz="0" w:space="0" w:color="auto"/>
        <w:right w:val="none" w:sz="0" w:space="0" w:color="auto"/>
      </w:divBdr>
    </w:div>
    <w:div w:id="1153065344">
      <w:bodyDiv w:val="1"/>
      <w:marLeft w:val="0"/>
      <w:marRight w:val="0"/>
      <w:marTop w:val="0"/>
      <w:marBottom w:val="0"/>
      <w:divBdr>
        <w:top w:val="none" w:sz="0" w:space="0" w:color="auto"/>
        <w:left w:val="none" w:sz="0" w:space="0" w:color="auto"/>
        <w:bottom w:val="none" w:sz="0" w:space="0" w:color="auto"/>
        <w:right w:val="none" w:sz="0" w:space="0" w:color="auto"/>
      </w:divBdr>
    </w:div>
    <w:div w:id="1153373941">
      <w:bodyDiv w:val="1"/>
      <w:marLeft w:val="0"/>
      <w:marRight w:val="0"/>
      <w:marTop w:val="0"/>
      <w:marBottom w:val="0"/>
      <w:divBdr>
        <w:top w:val="none" w:sz="0" w:space="0" w:color="auto"/>
        <w:left w:val="none" w:sz="0" w:space="0" w:color="auto"/>
        <w:bottom w:val="none" w:sz="0" w:space="0" w:color="auto"/>
        <w:right w:val="none" w:sz="0" w:space="0" w:color="auto"/>
      </w:divBdr>
    </w:div>
    <w:div w:id="1153446312">
      <w:bodyDiv w:val="1"/>
      <w:marLeft w:val="0"/>
      <w:marRight w:val="0"/>
      <w:marTop w:val="0"/>
      <w:marBottom w:val="0"/>
      <w:divBdr>
        <w:top w:val="none" w:sz="0" w:space="0" w:color="auto"/>
        <w:left w:val="none" w:sz="0" w:space="0" w:color="auto"/>
        <w:bottom w:val="none" w:sz="0" w:space="0" w:color="auto"/>
        <w:right w:val="none" w:sz="0" w:space="0" w:color="auto"/>
      </w:divBdr>
    </w:div>
    <w:div w:id="1153566956">
      <w:bodyDiv w:val="1"/>
      <w:marLeft w:val="0"/>
      <w:marRight w:val="0"/>
      <w:marTop w:val="0"/>
      <w:marBottom w:val="0"/>
      <w:divBdr>
        <w:top w:val="none" w:sz="0" w:space="0" w:color="auto"/>
        <w:left w:val="none" w:sz="0" w:space="0" w:color="auto"/>
        <w:bottom w:val="none" w:sz="0" w:space="0" w:color="auto"/>
        <w:right w:val="none" w:sz="0" w:space="0" w:color="auto"/>
      </w:divBdr>
    </w:div>
    <w:div w:id="1153713230">
      <w:bodyDiv w:val="1"/>
      <w:marLeft w:val="0"/>
      <w:marRight w:val="0"/>
      <w:marTop w:val="0"/>
      <w:marBottom w:val="0"/>
      <w:divBdr>
        <w:top w:val="none" w:sz="0" w:space="0" w:color="auto"/>
        <w:left w:val="none" w:sz="0" w:space="0" w:color="auto"/>
        <w:bottom w:val="none" w:sz="0" w:space="0" w:color="auto"/>
        <w:right w:val="none" w:sz="0" w:space="0" w:color="auto"/>
      </w:divBdr>
    </w:div>
    <w:div w:id="1153713971">
      <w:bodyDiv w:val="1"/>
      <w:marLeft w:val="0"/>
      <w:marRight w:val="0"/>
      <w:marTop w:val="0"/>
      <w:marBottom w:val="0"/>
      <w:divBdr>
        <w:top w:val="none" w:sz="0" w:space="0" w:color="auto"/>
        <w:left w:val="none" w:sz="0" w:space="0" w:color="auto"/>
        <w:bottom w:val="none" w:sz="0" w:space="0" w:color="auto"/>
        <w:right w:val="none" w:sz="0" w:space="0" w:color="auto"/>
      </w:divBdr>
    </w:div>
    <w:div w:id="1153791679">
      <w:bodyDiv w:val="1"/>
      <w:marLeft w:val="0"/>
      <w:marRight w:val="0"/>
      <w:marTop w:val="0"/>
      <w:marBottom w:val="0"/>
      <w:divBdr>
        <w:top w:val="none" w:sz="0" w:space="0" w:color="auto"/>
        <w:left w:val="none" w:sz="0" w:space="0" w:color="auto"/>
        <w:bottom w:val="none" w:sz="0" w:space="0" w:color="auto"/>
        <w:right w:val="none" w:sz="0" w:space="0" w:color="auto"/>
      </w:divBdr>
    </w:div>
    <w:div w:id="1153839535">
      <w:bodyDiv w:val="1"/>
      <w:marLeft w:val="0"/>
      <w:marRight w:val="0"/>
      <w:marTop w:val="0"/>
      <w:marBottom w:val="0"/>
      <w:divBdr>
        <w:top w:val="none" w:sz="0" w:space="0" w:color="auto"/>
        <w:left w:val="none" w:sz="0" w:space="0" w:color="auto"/>
        <w:bottom w:val="none" w:sz="0" w:space="0" w:color="auto"/>
        <w:right w:val="none" w:sz="0" w:space="0" w:color="auto"/>
      </w:divBdr>
    </w:div>
    <w:div w:id="1153912230">
      <w:bodyDiv w:val="1"/>
      <w:marLeft w:val="0"/>
      <w:marRight w:val="0"/>
      <w:marTop w:val="0"/>
      <w:marBottom w:val="0"/>
      <w:divBdr>
        <w:top w:val="none" w:sz="0" w:space="0" w:color="auto"/>
        <w:left w:val="none" w:sz="0" w:space="0" w:color="auto"/>
        <w:bottom w:val="none" w:sz="0" w:space="0" w:color="auto"/>
        <w:right w:val="none" w:sz="0" w:space="0" w:color="auto"/>
      </w:divBdr>
    </w:div>
    <w:div w:id="1154100492">
      <w:bodyDiv w:val="1"/>
      <w:marLeft w:val="0"/>
      <w:marRight w:val="0"/>
      <w:marTop w:val="0"/>
      <w:marBottom w:val="0"/>
      <w:divBdr>
        <w:top w:val="none" w:sz="0" w:space="0" w:color="auto"/>
        <w:left w:val="none" w:sz="0" w:space="0" w:color="auto"/>
        <w:bottom w:val="none" w:sz="0" w:space="0" w:color="auto"/>
        <w:right w:val="none" w:sz="0" w:space="0" w:color="auto"/>
      </w:divBdr>
    </w:div>
    <w:div w:id="1154175100">
      <w:bodyDiv w:val="1"/>
      <w:marLeft w:val="0"/>
      <w:marRight w:val="0"/>
      <w:marTop w:val="0"/>
      <w:marBottom w:val="0"/>
      <w:divBdr>
        <w:top w:val="none" w:sz="0" w:space="0" w:color="auto"/>
        <w:left w:val="none" w:sz="0" w:space="0" w:color="auto"/>
        <w:bottom w:val="none" w:sz="0" w:space="0" w:color="auto"/>
        <w:right w:val="none" w:sz="0" w:space="0" w:color="auto"/>
      </w:divBdr>
    </w:div>
    <w:div w:id="1154182838">
      <w:bodyDiv w:val="1"/>
      <w:marLeft w:val="0"/>
      <w:marRight w:val="0"/>
      <w:marTop w:val="0"/>
      <w:marBottom w:val="0"/>
      <w:divBdr>
        <w:top w:val="none" w:sz="0" w:space="0" w:color="auto"/>
        <w:left w:val="none" w:sz="0" w:space="0" w:color="auto"/>
        <w:bottom w:val="none" w:sz="0" w:space="0" w:color="auto"/>
        <w:right w:val="none" w:sz="0" w:space="0" w:color="auto"/>
      </w:divBdr>
    </w:div>
    <w:div w:id="1154295060">
      <w:bodyDiv w:val="1"/>
      <w:marLeft w:val="0"/>
      <w:marRight w:val="0"/>
      <w:marTop w:val="0"/>
      <w:marBottom w:val="0"/>
      <w:divBdr>
        <w:top w:val="none" w:sz="0" w:space="0" w:color="auto"/>
        <w:left w:val="none" w:sz="0" w:space="0" w:color="auto"/>
        <w:bottom w:val="none" w:sz="0" w:space="0" w:color="auto"/>
        <w:right w:val="none" w:sz="0" w:space="0" w:color="auto"/>
      </w:divBdr>
    </w:div>
    <w:div w:id="1154377071">
      <w:bodyDiv w:val="1"/>
      <w:marLeft w:val="0"/>
      <w:marRight w:val="0"/>
      <w:marTop w:val="0"/>
      <w:marBottom w:val="0"/>
      <w:divBdr>
        <w:top w:val="none" w:sz="0" w:space="0" w:color="auto"/>
        <w:left w:val="none" w:sz="0" w:space="0" w:color="auto"/>
        <w:bottom w:val="none" w:sz="0" w:space="0" w:color="auto"/>
        <w:right w:val="none" w:sz="0" w:space="0" w:color="auto"/>
      </w:divBdr>
    </w:div>
    <w:div w:id="1154377406">
      <w:bodyDiv w:val="1"/>
      <w:marLeft w:val="0"/>
      <w:marRight w:val="0"/>
      <w:marTop w:val="0"/>
      <w:marBottom w:val="0"/>
      <w:divBdr>
        <w:top w:val="none" w:sz="0" w:space="0" w:color="auto"/>
        <w:left w:val="none" w:sz="0" w:space="0" w:color="auto"/>
        <w:bottom w:val="none" w:sz="0" w:space="0" w:color="auto"/>
        <w:right w:val="none" w:sz="0" w:space="0" w:color="auto"/>
      </w:divBdr>
    </w:div>
    <w:div w:id="1154417229">
      <w:bodyDiv w:val="1"/>
      <w:marLeft w:val="0"/>
      <w:marRight w:val="0"/>
      <w:marTop w:val="0"/>
      <w:marBottom w:val="0"/>
      <w:divBdr>
        <w:top w:val="none" w:sz="0" w:space="0" w:color="auto"/>
        <w:left w:val="none" w:sz="0" w:space="0" w:color="auto"/>
        <w:bottom w:val="none" w:sz="0" w:space="0" w:color="auto"/>
        <w:right w:val="none" w:sz="0" w:space="0" w:color="auto"/>
      </w:divBdr>
    </w:div>
    <w:div w:id="1154420030">
      <w:bodyDiv w:val="1"/>
      <w:marLeft w:val="0"/>
      <w:marRight w:val="0"/>
      <w:marTop w:val="0"/>
      <w:marBottom w:val="0"/>
      <w:divBdr>
        <w:top w:val="none" w:sz="0" w:space="0" w:color="auto"/>
        <w:left w:val="none" w:sz="0" w:space="0" w:color="auto"/>
        <w:bottom w:val="none" w:sz="0" w:space="0" w:color="auto"/>
        <w:right w:val="none" w:sz="0" w:space="0" w:color="auto"/>
      </w:divBdr>
    </w:div>
    <w:div w:id="1154448568">
      <w:bodyDiv w:val="1"/>
      <w:marLeft w:val="0"/>
      <w:marRight w:val="0"/>
      <w:marTop w:val="0"/>
      <w:marBottom w:val="0"/>
      <w:divBdr>
        <w:top w:val="none" w:sz="0" w:space="0" w:color="auto"/>
        <w:left w:val="none" w:sz="0" w:space="0" w:color="auto"/>
        <w:bottom w:val="none" w:sz="0" w:space="0" w:color="auto"/>
        <w:right w:val="none" w:sz="0" w:space="0" w:color="auto"/>
      </w:divBdr>
    </w:div>
    <w:div w:id="1154569645">
      <w:bodyDiv w:val="1"/>
      <w:marLeft w:val="0"/>
      <w:marRight w:val="0"/>
      <w:marTop w:val="0"/>
      <w:marBottom w:val="0"/>
      <w:divBdr>
        <w:top w:val="none" w:sz="0" w:space="0" w:color="auto"/>
        <w:left w:val="none" w:sz="0" w:space="0" w:color="auto"/>
        <w:bottom w:val="none" w:sz="0" w:space="0" w:color="auto"/>
        <w:right w:val="none" w:sz="0" w:space="0" w:color="auto"/>
      </w:divBdr>
    </w:div>
    <w:div w:id="1154643148">
      <w:bodyDiv w:val="1"/>
      <w:marLeft w:val="0"/>
      <w:marRight w:val="0"/>
      <w:marTop w:val="0"/>
      <w:marBottom w:val="0"/>
      <w:divBdr>
        <w:top w:val="none" w:sz="0" w:space="0" w:color="auto"/>
        <w:left w:val="none" w:sz="0" w:space="0" w:color="auto"/>
        <w:bottom w:val="none" w:sz="0" w:space="0" w:color="auto"/>
        <w:right w:val="none" w:sz="0" w:space="0" w:color="auto"/>
      </w:divBdr>
    </w:div>
    <w:div w:id="1154681795">
      <w:bodyDiv w:val="1"/>
      <w:marLeft w:val="0"/>
      <w:marRight w:val="0"/>
      <w:marTop w:val="0"/>
      <w:marBottom w:val="0"/>
      <w:divBdr>
        <w:top w:val="none" w:sz="0" w:space="0" w:color="auto"/>
        <w:left w:val="none" w:sz="0" w:space="0" w:color="auto"/>
        <w:bottom w:val="none" w:sz="0" w:space="0" w:color="auto"/>
        <w:right w:val="none" w:sz="0" w:space="0" w:color="auto"/>
      </w:divBdr>
    </w:div>
    <w:div w:id="1154686084">
      <w:bodyDiv w:val="1"/>
      <w:marLeft w:val="0"/>
      <w:marRight w:val="0"/>
      <w:marTop w:val="0"/>
      <w:marBottom w:val="0"/>
      <w:divBdr>
        <w:top w:val="none" w:sz="0" w:space="0" w:color="auto"/>
        <w:left w:val="none" w:sz="0" w:space="0" w:color="auto"/>
        <w:bottom w:val="none" w:sz="0" w:space="0" w:color="auto"/>
        <w:right w:val="none" w:sz="0" w:space="0" w:color="auto"/>
      </w:divBdr>
    </w:div>
    <w:div w:id="1154759392">
      <w:bodyDiv w:val="1"/>
      <w:marLeft w:val="0"/>
      <w:marRight w:val="0"/>
      <w:marTop w:val="0"/>
      <w:marBottom w:val="0"/>
      <w:divBdr>
        <w:top w:val="none" w:sz="0" w:space="0" w:color="auto"/>
        <w:left w:val="none" w:sz="0" w:space="0" w:color="auto"/>
        <w:bottom w:val="none" w:sz="0" w:space="0" w:color="auto"/>
        <w:right w:val="none" w:sz="0" w:space="0" w:color="auto"/>
      </w:divBdr>
    </w:div>
    <w:div w:id="1154949533">
      <w:bodyDiv w:val="1"/>
      <w:marLeft w:val="0"/>
      <w:marRight w:val="0"/>
      <w:marTop w:val="0"/>
      <w:marBottom w:val="0"/>
      <w:divBdr>
        <w:top w:val="none" w:sz="0" w:space="0" w:color="auto"/>
        <w:left w:val="none" w:sz="0" w:space="0" w:color="auto"/>
        <w:bottom w:val="none" w:sz="0" w:space="0" w:color="auto"/>
        <w:right w:val="none" w:sz="0" w:space="0" w:color="auto"/>
      </w:divBdr>
    </w:div>
    <w:div w:id="1154951328">
      <w:bodyDiv w:val="1"/>
      <w:marLeft w:val="0"/>
      <w:marRight w:val="0"/>
      <w:marTop w:val="0"/>
      <w:marBottom w:val="0"/>
      <w:divBdr>
        <w:top w:val="none" w:sz="0" w:space="0" w:color="auto"/>
        <w:left w:val="none" w:sz="0" w:space="0" w:color="auto"/>
        <w:bottom w:val="none" w:sz="0" w:space="0" w:color="auto"/>
        <w:right w:val="none" w:sz="0" w:space="0" w:color="auto"/>
      </w:divBdr>
    </w:div>
    <w:div w:id="1155103066">
      <w:bodyDiv w:val="1"/>
      <w:marLeft w:val="0"/>
      <w:marRight w:val="0"/>
      <w:marTop w:val="0"/>
      <w:marBottom w:val="0"/>
      <w:divBdr>
        <w:top w:val="none" w:sz="0" w:space="0" w:color="auto"/>
        <w:left w:val="none" w:sz="0" w:space="0" w:color="auto"/>
        <w:bottom w:val="none" w:sz="0" w:space="0" w:color="auto"/>
        <w:right w:val="none" w:sz="0" w:space="0" w:color="auto"/>
      </w:divBdr>
    </w:div>
    <w:div w:id="1155103682">
      <w:bodyDiv w:val="1"/>
      <w:marLeft w:val="0"/>
      <w:marRight w:val="0"/>
      <w:marTop w:val="0"/>
      <w:marBottom w:val="0"/>
      <w:divBdr>
        <w:top w:val="none" w:sz="0" w:space="0" w:color="auto"/>
        <w:left w:val="none" w:sz="0" w:space="0" w:color="auto"/>
        <w:bottom w:val="none" w:sz="0" w:space="0" w:color="auto"/>
        <w:right w:val="none" w:sz="0" w:space="0" w:color="auto"/>
      </w:divBdr>
    </w:div>
    <w:div w:id="1155145263">
      <w:bodyDiv w:val="1"/>
      <w:marLeft w:val="0"/>
      <w:marRight w:val="0"/>
      <w:marTop w:val="0"/>
      <w:marBottom w:val="0"/>
      <w:divBdr>
        <w:top w:val="none" w:sz="0" w:space="0" w:color="auto"/>
        <w:left w:val="none" w:sz="0" w:space="0" w:color="auto"/>
        <w:bottom w:val="none" w:sz="0" w:space="0" w:color="auto"/>
        <w:right w:val="none" w:sz="0" w:space="0" w:color="auto"/>
      </w:divBdr>
    </w:div>
    <w:div w:id="1155268937">
      <w:bodyDiv w:val="1"/>
      <w:marLeft w:val="0"/>
      <w:marRight w:val="0"/>
      <w:marTop w:val="0"/>
      <w:marBottom w:val="0"/>
      <w:divBdr>
        <w:top w:val="none" w:sz="0" w:space="0" w:color="auto"/>
        <w:left w:val="none" w:sz="0" w:space="0" w:color="auto"/>
        <w:bottom w:val="none" w:sz="0" w:space="0" w:color="auto"/>
        <w:right w:val="none" w:sz="0" w:space="0" w:color="auto"/>
      </w:divBdr>
    </w:div>
    <w:div w:id="1155295311">
      <w:bodyDiv w:val="1"/>
      <w:marLeft w:val="0"/>
      <w:marRight w:val="0"/>
      <w:marTop w:val="0"/>
      <w:marBottom w:val="0"/>
      <w:divBdr>
        <w:top w:val="none" w:sz="0" w:space="0" w:color="auto"/>
        <w:left w:val="none" w:sz="0" w:space="0" w:color="auto"/>
        <w:bottom w:val="none" w:sz="0" w:space="0" w:color="auto"/>
        <w:right w:val="none" w:sz="0" w:space="0" w:color="auto"/>
      </w:divBdr>
    </w:div>
    <w:div w:id="1155299379">
      <w:bodyDiv w:val="1"/>
      <w:marLeft w:val="0"/>
      <w:marRight w:val="0"/>
      <w:marTop w:val="0"/>
      <w:marBottom w:val="0"/>
      <w:divBdr>
        <w:top w:val="none" w:sz="0" w:space="0" w:color="auto"/>
        <w:left w:val="none" w:sz="0" w:space="0" w:color="auto"/>
        <w:bottom w:val="none" w:sz="0" w:space="0" w:color="auto"/>
        <w:right w:val="none" w:sz="0" w:space="0" w:color="auto"/>
      </w:divBdr>
    </w:div>
    <w:div w:id="1155337005">
      <w:bodyDiv w:val="1"/>
      <w:marLeft w:val="0"/>
      <w:marRight w:val="0"/>
      <w:marTop w:val="0"/>
      <w:marBottom w:val="0"/>
      <w:divBdr>
        <w:top w:val="none" w:sz="0" w:space="0" w:color="auto"/>
        <w:left w:val="none" w:sz="0" w:space="0" w:color="auto"/>
        <w:bottom w:val="none" w:sz="0" w:space="0" w:color="auto"/>
        <w:right w:val="none" w:sz="0" w:space="0" w:color="auto"/>
      </w:divBdr>
    </w:div>
    <w:div w:id="1155411362">
      <w:bodyDiv w:val="1"/>
      <w:marLeft w:val="0"/>
      <w:marRight w:val="0"/>
      <w:marTop w:val="0"/>
      <w:marBottom w:val="0"/>
      <w:divBdr>
        <w:top w:val="none" w:sz="0" w:space="0" w:color="auto"/>
        <w:left w:val="none" w:sz="0" w:space="0" w:color="auto"/>
        <w:bottom w:val="none" w:sz="0" w:space="0" w:color="auto"/>
        <w:right w:val="none" w:sz="0" w:space="0" w:color="auto"/>
      </w:divBdr>
    </w:div>
    <w:div w:id="1155418737">
      <w:bodyDiv w:val="1"/>
      <w:marLeft w:val="0"/>
      <w:marRight w:val="0"/>
      <w:marTop w:val="0"/>
      <w:marBottom w:val="0"/>
      <w:divBdr>
        <w:top w:val="none" w:sz="0" w:space="0" w:color="auto"/>
        <w:left w:val="none" w:sz="0" w:space="0" w:color="auto"/>
        <w:bottom w:val="none" w:sz="0" w:space="0" w:color="auto"/>
        <w:right w:val="none" w:sz="0" w:space="0" w:color="auto"/>
      </w:divBdr>
    </w:div>
    <w:div w:id="1155563082">
      <w:bodyDiv w:val="1"/>
      <w:marLeft w:val="0"/>
      <w:marRight w:val="0"/>
      <w:marTop w:val="0"/>
      <w:marBottom w:val="0"/>
      <w:divBdr>
        <w:top w:val="none" w:sz="0" w:space="0" w:color="auto"/>
        <w:left w:val="none" w:sz="0" w:space="0" w:color="auto"/>
        <w:bottom w:val="none" w:sz="0" w:space="0" w:color="auto"/>
        <w:right w:val="none" w:sz="0" w:space="0" w:color="auto"/>
      </w:divBdr>
    </w:div>
    <w:div w:id="1155688012">
      <w:bodyDiv w:val="1"/>
      <w:marLeft w:val="0"/>
      <w:marRight w:val="0"/>
      <w:marTop w:val="0"/>
      <w:marBottom w:val="0"/>
      <w:divBdr>
        <w:top w:val="none" w:sz="0" w:space="0" w:color="auto"/>
        <w:left w:val="none" w:sz="0" w:space="0" w:color="auto"/>
        <w:bottom w:val="none" w:sz="0" w:space="0" w:color="auto"/>
        <w:right w:val="none" w:sz="0" w:space="0" w:color="auto"/>
      </w:divBdr>
    </w:div>
    <w:div w:id="1155754365">
      <w:bodyDiv w:val="1"/>
      <w:marLeft w:val="0"/>
      <w:marRight w:val="0"/>
      <w:marTop w:val="0"/>
      <w:marBottom w:val="0"/>
      <w:divBdr>
        <w:top w:val="none" w:sz="0" w:space="0" w:color="auto"/>
        <w:left w:val="none" w:sz="0" w:space="0" w:color="auto"/>
        <w:bottom w:val="none" w:sz="0" w:space="0" w:color="auto"/>
        <w:right w:val="none" w:sz="0" w:space="0" w:color="auto"/>
      </w:divBdr>
    </w:div>
    <w:div w:id="1155754882">
      <w:bodyDiv w:val="1"/>
      <w:marLeft w:val="0"/>
      <w:marRight w:val="0"/>
      <w:marTop w:val="0"/>
      <w:marBottom w:val="0"/>
      <w:divBdr>
        <w:top w:val="none" w:sz="0" w:space="0" w:color="auto"/>
        <w:left w:val="none" w:sz="0" w:space="0" w:color="auto"/>
        <w:bottom w:val="none" w:sz="0" w:space="0" w:color="auto"/>
        <w:right w:val="none" w:sz="0" w:space="0" w:color="auto"/>
      </w:divBdr>
    </w:div>
    <w:div w:id="1155800514">
      <w:bodyDiv w:val="1"/>
      <w:marLeft w:val="0"/>
      <w:marRight w:val="0"/>
      <w:marTop w:val="0"/>
      <w:marBottom w:val="0"/>
      <w:divBdr>
        <w:top w:val="none" w:sz="0" w:space="0" w:color="auto"/>
        <w:left w:val="none" w:sz="0" w:space="0" w:color="auto"/>
        <w:bottom w:val="none" w:sz="0" w:space="0" w:color="auto"/>
        <w:right w:val="none" w:sz="0" w:space="0" w:color="auto"/>
      </w:divBdr>
    </w:div>
    <w:div w:id="1155805233">
      <w:bodyDiv w:val="1"/>
      <w:marLeft w:val="0"/>
      <w:marRight w:val="0"/>
      <w:marTop w:val="0"/>
      <w:marBottom w:val="0"/>
      <w:divBdr>
        <w:top w:val="none" w:sz="0" w:space="0" w:color="auto"/>
        <w:left w:val="none" w:sz="0" w:space="0" w:color="auto"/>
        <w:bottom w:val="none" w:sz="0" w:space="0" w:color="auto"/>
        <w:right w:val="none" w:sz="0" w:space="0" w:color="auto"/>
      </w:divBdr>
    </w:div>
    <w:div w:id="1155872140">
      <w:bodyDiv w:val="1"/>
      <w:marLeft w:val="0"/>
      <w:marRight w:val="0"/>
      <w:marTop w:val="0"/>
      <w:marBottom w:val="0"/>
      <w:divBdr>
        <w:top w:val="none" w:sz="0" w:space="0" w:color="auto"/>
        <w:left w:val="none" w:sz="0" w:space="0" w:color="auto"/>
        <w:bottom w:val="none" w:sz="0" w:space="0" w:color="auto"/>
        <w:right w:val="none" w:sz="0" w:space="0" w:color="auto"/>
      </w:divBdr>
    </w:div>
    <w:div w:id="1155874243">
      <w:bodyDiv w:val="1"/>
      <w:marLeft w:val="0"/>
      <w:marRight w:val="0"/>
      <w:marTop w:val="0"/>
      <w:marBottom w:val="0"/>
      <w:divBdr>
        <w:top w:val="none" w:sz="0" w:space="0" w:color="auto"/>
        <w:left w:val="none" w:sz="0" w:space="0" w:color="auto"/>
        <w:bottom w:val="none" w:sz="0" w:space="0" w:color="auto"/>
        <w:right w:val="none" w:sz="0" w:space="0" w:color="auto"/>
      </w:divBdr>
    </w:div>
    <w:div w:id="1155993759">
      <w:bodyDiv w:val="1"/>
      <w:marLeft w:val="0"/>
      <w:marRight w:val="0"/>
      <w:marTop w:val="0"/>
      <w:marBottom w:val="0"/>
      <w:divBdr>
        <w:top w:val="none" w:sz="0" w:space="0" w:color="auto"/>
        <w:left w:val="none" w:sz="0" w:space="0" w:color="auto"/>
        <w:bottom w:val="none" w:sz="0" w:space="0" w:color="auto"/>
        <w:right w:val="none" w:sz="0" w:space="0" w:color="auto"/>
      </w:divBdr>
    </w:div>
    <w:div w:id="1155997042">
      <w:bodyDiv w:val="1"/>
      <w:marLeft w:val="0"/>
      <w:marRight w:val="0"/>
      <w:marTop w:val="0"/>
      <w:marBottom w:val="0"/>
      <w:divBdr>
        <w:top w:val="none" w:sz="0" w:space="0" w:color="auto"/>
        <w:left w:val="none" w:sz="0" w:space="0" w:color="auto"/>
        <w:bottom w:val="none" w:sz="0" w:space="0" w:color="auto"/>
        <w:right w:val="none" w:sz="0" w:space="0" w:color="auto"/>
      </w:divBdr>
    </w:div>
    <w:div w:id="1156072653">
      <w:bodyDiv w:val="1"/>
      <w:marLeft w:val="0"/>
      <w:marRight w:val="0"/>
      <w:marTop w:val="0"/>
      <w:marBottom w:val="0"/>
      <w:divBdr>
        <w:top w:val="none" w:sz="0" w:space="0" w:color="auto"/>
        <w:left w:val="none" w:sz="0" w:space="0" w:color="auto"/>
        <w:bottom w:val="none" w:sz="0" w:space="0" w:color="auto"/>
        <w:right w:val="none" w:sz="0" w:space="0" w:color="auto"/>
      </w:divBdr>
    </w:div>
    <w:div w:id="1156149016">
      <w:bodyDiv w:val="1"/>
      <w:marLeft w:val="0"/>
      <w:marRight w:val="0"/>
      <w:marTop w:val="0"/>
      <w:marBottom w:val="0"/>
      <w:divBdr>
        <w:top w:val="none" w:sz="0" w:space="0" w:color="auto"/>
        <w:left w:val="none" w:sz="0" w:space="0" w:color="auto"/>
        <w:bottom w:val="none" w:sz="0" w:space="0" w:color="auto"/>
        <w:right w:val="none" w:sz="0" w:space="0" w:color="auto"/>
      </w:divBdr>
    </w:div>
    <w:div w:id="1156266447">
      <w:bodyDiv w:val="1"/>
      <w:marLeft w:val="0"/>
      <w:marRight w:val="0"/>
      <w:marTop w:val="0"/>
      <w:marBottom w:val="0"/>
      <w:divBdr>
        <w:top w:val="none" w:sz="0" w:space="0" w:color="auto"/>
        <w:left w:val="none" w:sz="0" w:space="0" w:color="auto"/>
        <w:bottom w:val="none" w:sz="0" w:space="0" w:color="auto"/>
        <w:right w:val="none" w:sz="0" w:space="0" w:color="auto"/>
      </w:divBdr>
    </w:div>
    <w:div w:id="1156337226">
      <w:bodyDiv w:val="1"/>
      <w:marLeft w:val="0"/>
      <w:marRight w:val="0"/>
      <w:marTop w:val="0"/>
      <w:marBottom w:val="0"/>
      <w:divBdr>
        <w:top w:val="none" w:sz="0" w:space="0" w:color="auto"/>
        <w:left w:val="none" w:sz="0" w:space="0" w:color="auto"/>
        <w:bottom w:val="none" w:sz="0" w:space="0" w:color="auto"/>
        <w:right w:val="none" w:sz="0" w:space="0" w:color="auto"/>
      </w:divBdr>
    </w:div>
    <w:div w:id="1156341294">
      <w:bodyDiv w:val="1"/>
      <w:marLeft w:val="0"/>
      <w:marRight w:val="0"/>
      <w:marTop w:val="0"/>
      <w:marBottom w:val="0"/>
      <w:divBdr>
        <w:top w:val="none" w:sz="0" w:space="0" w:color="auto"/>
        <w:left w:val="none" w:sz="0" w:space="0" w:color="auto"/>
        <w:bottom w:val="none" w:sz="0" w:space="0" w:color="auto"/>
        <w:right w:val="none" w:sz="0" w:space="0" w:color="auto"/>
      </w:divBdr>
    </w:div>
    <w:div w:id="1156410283">
      <w:bodyDiv w:val="1"/>
      <w:marLeft w:val="0"/>
      <w:marRight w:val="0"/>
      <w:marTop w:val="0"/>
      <w:marBottom w:val="0"/>
      <w:divBdr>
        <w:top w:val="none" w:sz="0" w:space="0" w:color="auto"/>
        <w:left w:val="none" w:sz="0" w:space="0" w:color="auto"/>
        <w:bottom w:val="none" w:sz="0" w:space="0" w:color="auto"/>
        <w:right w:val="none" w:sz="0" w:space="0" w:color="auto"/>
      </w:divBdr>
    </w:div>
    <w:div w:id="1156413935">
      <w:bodyDiv w:val="1"/>
      <w:marLeft w:val="0"/>
      <w:marRight w:val="0"/>
      <w:marTop w:val="0"/>
      <w:marBottom w:val="0"/>
      <w:divBdr>
        <w:top w:val="none" w:sz="0" w:space="0" w:color="auto"/>
        <w:left w:val="none" w:sz="0" w:space="0" w:color="auto"/>
        <w:bottom w:val="none" w:sz="0" w:space="0" w:color="auto"/>
        <w:right w:val="none" w:sz="0" w:space="0" w:color="auto"/>
      </w:divBdr>
    </w:div>
    <w:div w:id="1156456940">
      <w:bodyDiv w:val="1"/>
      <w:marLeft w:val="0"/>
      <w:marRight w:val="0"/>
      <w:marTop w:val="0"/>
      <w:marBottom w:val="0"/>
      <w:divBdr>
        <w:top w:val="none" w:sz="0" w:space="0" w:color="auto"/>
        <w:left w:val="none" w:sz="0" w:space="0" w:color="auto"/>
        <w:bottom w:val="none" w:sz="0" w:space="0" w:color="auto"/>
        <w:right w:val="none" w:sz="0" w:space="0" w:color="auto"/>
      </w:divBdr>
    </w:div>
    <w:div w:id="1156536588">
      <w:bodyDiv w:val="1"/>
      <w:marLeft w:val="0"/>
      <w:marRight w:val="0"/>
      <w:marTop w:val="0"/>
      <w:marBottom w:val="0"/>
      <w:divBdr>
        <w:top w:val="none" w:sz="0" w:space="0" w:color="auto"/>
        <w:left w:val="none" w:sz="0" w:space="0" w:color="auto"/>
        <w:bottom w:val="none" w:sz="0" w:space="0" w:color="auto"/>
        <w:right w:val="none" w:sz="0" w:space="0" w:color="auto"/>
      </w:divBdr>
    </w:div>
    <w:div w:id="1156608354">
      <w:bodyDiv w:val="1"/>
      <w:marLeft w:val="0"/>
      <w:marRight w:val="0"/>
      <w:marTop w:val="0"/>
      <w:marBottom w:val="0"/>
      <w:divBdr>
        <w:top w:val="none" w:sz="0" w:space="0" w:color="auto"/>
        <w:left w:val="none" w:sz="0" w:space="0" w:color="auto"/>
        <w:bottom w:val="none" w:sz="0" w:space="0" w:color="auto"/>
        <w:right w:val="none" w:sz="0" w:space="0" w:color="auto"/>
      </w:divBdr>
    </w:div>
    <w:div w:id="1156649792">
      <w:bodyDiv w:val="1"/>
      <w:marLeft w:val="0"/>
      <w:marRight w:val="0"/>
      <w:marTop w:val="0"/>
      <w:marBottom w:val="0"/>
      <w:divBdr>
        <w:top w:val="none" w:sz="0" w:space="0" w:color="auto"/>
        <w:left w:val="none" w:sz="0" w:space="0" w:color="auto"/>
        <w:bottom w:val="none" w:sz="0" w:space="0" w:color="auto"/>
        <w:right w:val="none" w:sz="0" w:space="0" w:color="auto"/>
      </w:divBdr>
    </w:div>
    <w:div w:id="1156724377">
      <w:bodyDiv w:val="1"/>
      <w:marLeft w:val="0"/>
      <w:marRight w:val="0"/>
      <w:marTop w:val="0"/>
      <w:marBottom w:val="0"/>
      <w:divBdr>
        <w:top w:val="none" w:sz="0" w:space="0" w:color="auto"/>
        <w:left w:val="none" w:sz="0" w:space="0" w:color="auto"/>
        <w:bottom w:val="none" w:sz="0" w:space="0" w:color="auto"/>
        <w:right w:val="none" w:sz="0" w:space="0" w:color="auto"/>
      </w:divBdr>
    </w:div>
    <w:div w:id="1156800306">
      <w:bodyDiv w:val="1"/>
      <w:marLeft w:val="0"/>
      <w:marRight w:val="0"/>
      <w:marTop w:val="0"/>
      <w:marBottom w:val="0"/>
      <w:divBdr>
        <w:top w:val="none" w:sz="0" w:space="0" w:color="auto"/>
        <w:left w:val="none" w:sz="0" w:space="0" w:color="auto"/>
        <w:bottom w:val="none" w:sz="0" w:space="0" w:color="auto"/>
        <w:right w:val="none" w:sz="0" w:space="0" w:color="auto"/>
      </w:divBdr>
    </w:div>
    <w:div w:id="1156804201">
      <w:bodyDiv w:val="1"/>
      <w:marLeft w:val="0"/>
      <w:marRight w:val="0"/>
      <w:marTop w:val="0"/>
      <w:marBottom w:val="0"/>
      <w:divBdr>
        <w:top w:val="none" w:sz="0" w:space="0" w:color="auto"/>
        <w:left w:val="none" w:sz="0" w:space="0" w:color="auto"/>
        <w:bottom w:val="none" w:sz="0" w:space="0" w:color="auto"/>
        <w:right w:val="none" w:sz="0" w:space="0" w:color="auto"/>
      </w:divBdr>
    </w:div>
    <w:div w:id="1157308047">
      <w:bodyDiv w:val="1"/>
      <w:marLeft w:val="0"/>
      <w:marRight w:val="0"/>
      <w:marTop w:val="0"/>
      <w:marBottom w:val="0"/>
      <w:divBdr>
        <w:top w:val="none" w:sz="0" w:space="0" w:color="auto"/>
        <w:left w:val="none" w:sz="0" w:space="0" w:color="auto"/>
        <w:bottom w:val="none" w:sz="0" w:space="0" w:color="auto"/>
        <w:right w:val="none" w:sz="0" w:space="0" w:color="auto"/>
      </w:divBdr>
    </w:div>
    <w:div w:id="1157377413">
      <w:bodyDiv w:val="1"/>
      <w:marLeft w:val="0"/>
      <w:marRight w:val="0"/>
      <w:marTop w:val="0"/>
      <w:marBottom w:val="0"/>
      <w:divBdr>
        <w:top w:val="none" w:sz="0" w:space="0" w:color="auto"/>
        <w:left w:val="none" w:sz="0" w:space="0" w:color="auto"/>
        <w:bottom w:val="none" w:sz="0" w:space="0" w:color="auto"/>
        <w:right w:val="none" w:sz="0" w:space="0" w:color="auto"/>
      </w:divBdr>
    </w:div>
    <w:div w:id="1157378250">
      <w:bodyDiv w:val="1"/>
      <w:marLeft w:val="0"/>
      <w:marRight w:val="0"/>
      <w:marTop w:val="0"/>
      <w:marBottom w:val="0"/>
      <w:divBdr>
        <w:top w:val="none" w:sz="0" w:space="0" w:color="auto"/>
        <w:left w:val="none" w:sz="0" w:space="0" w:color="auto"/>
        <w:bottom w:val="none" w:sz="0" w:space="0" w:color="auto"/>
        <w:right w:val="none" w:sz="0" w:space="0" w:color="auto"/>
      </w:divBdr>
    </w:div>
    <w:div w:id="1157452753">
      <w:bodyDiv w:val="1"/>
      <w:marLeft w:val="0"/>
      <w:marRight w:val="0"/>
      <w:marTop w:val="0"/>
      <w:marBottom w:val="0"/>
      <w:divBdr>
        <w:top w:val="none" w:sz="0" w:space="0" w:color="auto"/>
        <w:left w:val="none" w:sz="0" w:space="0" w:color="auto"/>
        <w:bottom w:val="none" w:sz="0" w:space="0" w:color="auto"/>
        <w:right w:val="none" w:sz="0" w:space="0" w:color="auto"/>
      </w:divBdr>
    </w:div>
    <w:div w:id="1157459735">
      <w:bodyDiv w:val="1"/>
      <w:marLeft w:val="0"/>
      <w:marRight w:val="0"/>
      <w:marTop w:val="0"/>
      <w:marBottom w:val="0"/>
      <w:divBdr>
        <w:top w:val="none" w:sz="0" w:space="0" w:color="auto"/>
        <w:left w:val="none" w:sz="0" w:space="0" w:color="auto"/>
        <w:bottom w:val="none" w:sz="0" w:space="0" w:color="auto"/>
        <w:right w:val="none" w:sz="0" w:space="0" w:color="auto"/>
      </w:divBdr>
    </w:div>
    <w:div w:id="1157500358">
      <w:bodyDiv w:val="1"/>
      <w:marLeft w:val="0"/>
      <w:marRight w:val="0"/>
      <w:marTop w:val="0"/>
      <w:marBottom w:val="0"/>
      <w:divBdr>
        <w:top w:val="none" w:sz="0" w:space="0" w:color="auto"/>
        <w:left w:val="none" w:sz="0" w:space="0" w:color="auto"/>
        <w:bottom w:val="none" w:sz="0" w:space="0" w:color="auto"/>
        <w:right w:val="none" w:sz="0" w:space="0" w:color="auto"/>
      </w:divBdr>
    </w:div>
    <w:div w:id="1157653603">
      <w:bodyDiv w:val="1"/>
      <w:marLeft w:val="0"/>
      <w:marRight w:val="0"/>
      <w:marTop w:val="0"/>
      <w:marBottom w:val="0"/>
      <w:divBdr>
        <w:top w:val="none" w:sz="0" w:space="0" w:color="auto"/>
        <w:left w:val="none" w:sz="0" w:space="0" w:color="auto"/>
        <w:bottom w:val="none" w:sz="0" w:space="0" w:color="auto"/>
        <w:right w:val="none" w:sz="0" w:space="0" w:color="auto"/>
      </w:divBdr>
    </w:div>
    <w:div w:id="1157723013">
      <w:bodyDiv w:val="1"/>
      <w:marLeft w:val="0"/>
      <w:marRight w:val="0"/>
      <w:marTop w:val="0"/>
      <w:marBottom w:val="0"/>
      <w:divBdr>
        <w:top w:val="none" w:sz="0" w:space="0" w:color="auto"/>
        <w:left w:val="none" w:sz="0" w:space="0" w:color="auto"/>
        <w:bottom w:val="none" w:sz="0" w:space="0" w:color="auto"/>
        <w:right w:val="none" w:sz="0" w:space="0" w:color="auto"/>
      </w:divBdr>
    </w:div>
    <w:div w:id="1158031496">
      <w:bodyDiv w:val="1"/>
      <w:marLeft w:val="0"/>
      <w:marRight w:val="0"/>
      <w:marTop w:val="0"/>
      <w:marBottom w:val="0"/>
      <w:divBdr>
        <w:top w:val="none" w:sz="0" w:space="0" w:color="auto"/>
        <w:left w:val="none" w:sz="0" w:space="0" w:color="auto"/>
        <w:bottom w:val="none" w:sz="0" w:space="0" w:color="auto"/>
        <w:right w:val="none" w:sz="0" w:space="0" w:color="auto"/>
      </w:divBdr>
    </w:div>
    <w:div w:id="1158031621">
      <w:bodyDiv w:val="1"/>
      <w:marLeft w:val="0"/>
      <w:marRight w:val="0"/>
      <w:marTop w:val="0"/>
      <w:marBottom w:val="0"/>
      <w:divBdr>
        <w:top w:val="none" w:sz="0" w:space="0" w:color="auto"/>
        <w:left w:val="none" w:sz="0" w:space="0" w:color="auto"/>
        <w:bottom w:val="none" w:sz="0" w:space="0" w:color="auto"/>
        <w:right w:val="none" w:sz="0" w:space="0" w:color="auto"/>
      </w:divBdr>
    </w:div>
    <w:div w:id="1158038346">
      <w:bodyDiv w:val="1"/>
      <w:marLeft w:val="0"/>
      <w:marRight w:val="0"/>
      <w:marTop w:val="0"/>
      <w:marBottom w:val="0"/>
      <w:divBdr>
        <w:top w:val="none" w:sz="0" w:space="0" w:color="auto"/>
        <w:left w:val="none" w:sz="0" w:space="0" w:color="auto"/>
        <w:bottom w:val="none" w:sz="0" w:space="0" w:color="auto"/>
        <w:right w:val="none" w:sz="0" w:space="0" w:color="auto"/>
      </w:divBdr>
    </w:div>
    <w:div w:id="1158306410">
      <w:bodyDiv w:val="1"/>
      <w:marLeft w:val="0"/>
      <w:marRight w:val="0"/>
      <w:marTop w:val="0"/>
      <w:marBottom w:val="0"/>
      <w:divBdr>
        <w:top w:val="none" w:sz="0" w:space="0" w:color="auto"/>
        <w:left w:val="none" w:sz="0" w:space="0" w:color="auto"/>
        <w:bottom w:val="none" w:sz="0" w:space="0" w:color="auto"/>
        <w:right w:val="none" w:sz="0" w:space="0" w:color="auto"/>
      </w:divBdr>
    </w:div>
    <w:div w:id="1158349066">
      <w:bodyDiv w:val="1"/>
      <w:marLeft w:val="0"/>
      <w:marRight w:val="0"/>
      <w:marTop w:val="0"/>
      <w:marBottom w:val="0"/>
      <w:divBdr>
        <w:top w:val="none" w:sz="0" w:space="0" w:color="auto"/>
        <w:left w:val="none" w:sz="0" w:space="0" w:color="auto"/>
        <w:bottom w:val="none" w:sz="0" w:space="0" w:color="auto"/>
        <w:right w:val="none" w:sz="0" w:space="0" w:color="auto"/>
      </w:divBdr>
    </w:div>
    <w:div w:id="1158422371">
      <w:bodyDiv w:val="1"/>
      <w:marLeft w:val="0"/>
      <w:marRight w:val="0"/>
      <w:marTop w:val="0"/>
      <w:marBottom w:val="0"/>
      <w:divBdr>
        <w:top w:val="none" w:sz="0" w:space="0" w:color="auto"/>
        <w:left w:val="none" w:sz="0" w:space="0" w:color="auto"/>
        <w:bottom w:val="none" w:sz="0" w:space="0" w:color="auto"/>
        <w:right w:val="none" w:sz="0" w:space="0" w:color="auto"/>
      </w:divBdr>
    </w:div>
    <w:div w:id="1158494506">
      <w:bodyDiv w:val="1"/>
      <w:marLeft w:val="0"/>
      <w:marRight w:val="0"/>
      <w:marTop w:val="0"/>
      <w:marBottom w:val="0"/>
      <w:divBdr>
        <w:top w:val="none" w:sz="0" w:space="0" w:color="auto"/>
        <w:left w:val="none" w:sz="0" w:space="0" w:color="auto"/>
        <w:bottom w:val="none" w:sz="0" w:space="0" w:color="auto"/>
        <w:right w:val="none" w:sz="0" w:space="0" w:color="auto"/>
      </w:divBdr>
    </w:div>
    <w:div w:id="1158614095">
      <w:bodyDiv w:val="1"/>
      <w:marLeft w:val="0"/>
      <w:marRight w:val="0"/>
      <w:marTop w:val="0"/>
      <w:marBottom w:val="0"/>
      <w:divBdr>
        <w:top w:val="none" w:sz="0" w:space="0" w:color="auto"/>
        <w:left w:val="none" w:sz="0" w:space="0" w:color="auto"/>
        <w:bottom w:val="none" w:sz="0" w:space="0" w:color="auto"/>
        <w:right w:val="none" w:sz="0" w:space="0" w:color="auto"/>
      </w:divBdr>
    </w:div>
    <w:div w:id="1158615523">
      <w:bodyDiv w:val="1"/>
      <w:marLeft w:val="0"/>
      <w:marRight w:val="0"/>
      <w:marTop w:val="0"/>
      <w:marBottom w:val="0"/>
      <w:divBdr>
        <w:top w:val="none" w:sz="0" w:space="0" w:color="auto"/>
        <w:left w:val="none" w:sz="0" w:space="0" w:color="auto"/>
        <w:bottom w:val="none" w:sz="0" w:space="0" w:color="auto"/>
        <w:right w:val="none" w:sz="0" w:space="0" w:color="auto"/>
      </w:divBdr>
    </w:div>
    <w:div w:id="1158691165">
      <w:bodyDiv w:val="1"/>
      <w:marLeft w:val="0"/>
      <w:marRight w:val="0"/>
      <w:marTop w:val="0"/>
      <w:marBottom w:val="0"/>
      <w:divBdr>
        <w:top w:val="none" w:sz="0" w:space="0" w:color="auto"/>
        <w:left w:val="none" w:sz="0" w:space="0" w:color="auto"/>
        <w:bottom w:val="none" w:sz="0" w:space="0" w:color="auto"/>
        <w:right w:val="none" w:sz="0" w:space="0" w:color="auto"/>
      </w:divBdr>
    </w:div>
    <w:div w:id="1158881755">
      <w:bodyDiv w:val="1"/>
      <w:marLeft w:val="0"/>
      <w:marRight w:val="0"/>
      <w:marTop w:val="0"/>
      <w:marBottom w:val="0"/>
      <w:divBdr>
        <w:top w:val="none" w:sz="0" w:space="0" w:color="auto"/>
        <w:left w:val="none" w:sz="0" w:space="0" w:color="auto"/>
        <w:bottom w:val="none" w:sz="0" w:space="0" w:color="auto"/>
        <w:right w:val="none" w:sz="0" w:space="0" w:color="auto"/>
      </w:divBdr>
    </w:div>
    <w:div w:id="1158884381">
      <w:bodyDiv w:val="1"/>
      <w:marLeft w:val="0"/>
      <w:marRight w:val="0"/>
      <w:marTop w:val="0"/>
      <w:marBottom w:val="0"/>
      <w:divBdr>
        <w:top w:val="none" w:sz="0" w:space="0" w:color="auto"/>
        <w:left w:val="none" w:sz="0" w:space="0" w:color="auto"/>
        <w:bottom w:val="none" w:sz="0" w:space="0" w:color="auto"/>
        <w:right w:val="none" w:sz="0" w:space="0" w:color="auto"/>
      </w:divBdr>
    </w:div>
    <w:div w:id="1158884570">
      <w:bodyDiv w:val="1"/>
      <w:marLeft w:val="0"/>
      <w:marRight w:val="0"/>
      <w:marTop w:val="0"/>
      <w:marBottom w:val="0"/>
      <w:divBdr>
        <w:top w:val="none" w:sz="0" w:space="0" w:color="auto"/>
        <w:left w:val="none" w:sz="0" w:space="0" w:color="auto"/>
        <w:bottom w:val="none" w:sz="0" w:space="0" w:color="auto"/>
        <w:right w:val="none" w:sz="0" w:space="0" w:color="auto"/>
      </w:divBdr>
    </w:div>
    <w:div w:id="1158884853">
      <w:bodyDiv w:val="1"/>
      <w:marLeft w:val="0"/>
      <w:marRight w:val="0"/>
      <w:marTop w:val="0"/>
      <w:marBottom w:val="0"/>
      <w:divBdr>
        <w:top w:val="none" w:sz="0" w:space="0" w:color="auto"/>
        <w:left w:val="none" w:sz="0" w:space="0" w:color="auto"/>
        <w:bottom w:val="none" w:sz="0" w:space="0" w:color="auto"/>
        <w:right w:val="none" w:sz="0" w:space="0" w:color="auto"/>
      </w:divBdr>
    </w:div>
    <w:div w:id="1158964611">
      <w:bodyDiv w:val="1"/>
      <w:marLeft w:val="0"/>
      <w:marRight w:val="0"/>
      <w:marTop w:val="0"/>
      <w:marBottom w:val="0"/>
      <w:divBdr>
        <w:top w:val="none" w:sz="0" w:space="0" w:color="auto"/>
        <w:left w:val="none" w:sz="0" w:space="0" w:color="auto"/>
        <w:bottom w:val="none" w:sz="0" w:space="0" w:color="auto"/>
        <w:right w:val="none" w:sz="0" w:space="0" w:color="auto"/>
      </w:divBdr>
    </w:div>
    <w:div w:id="1159033286">
      <w:bodyDiv w:val="1"/>
      <w:marLeft w:val="0"/>
      <w:marRight w:val="0"/>
      <w:marTop w:val="0"/>
      <w:marBottom w:val="0"/>
      <w:divBdr>
        <w:top w:val="none" w:sz="0" w:space="0" w:color="auto"/>
        <w:left w:val="none" w:sz="0" w:space="0" w:color="auto"/>
        <w:bottom w:val="none" w:sz="0" w:space="0" w:color="auto"/>
        <w:right w:val="none" w:sz="0" w:space="0" w:color="auto"/>
      </w:divBdr>
    </w:div>
    <w:div w:id="1159073748">
      <w:bodyDiv w:val="1"/>
      <w:marLeft w:val="0"/>
      <w:marRight w:val="0"/>
      <w:marTop w:val="0"/>
      <w:marBottom w:val="0"/>
      <w:divBdr>
        <w:top w:val="none" w:sz="0" w:space="0" w:color="auto"/>
        <w:left w:val="none" w:sz="0" w:space="0" w:color="auto"/>
        <w:bottom w:val="none" w:sz="0" w:space="0" w:color="auto"/>
        <w:right w:val="none" w:sz="0" w:space="0" w:color="auto"/>
      </w:divBdr>
    </w:div>
    <w:div w:id="1159148775">
      <w:bodyDiv w:val="1"/>
      <w:marLeft w:val="0"/>
      <w:marRight w:val="0"/>
      <w:marTop w:val="0"/>
      <w:marBottom w:val="0"/>
      <w:divBdr>
        <w:top w:val="none" w:sz="0" w:space="0" w:color="auto"/>
        <w:left w:val="none" w:sz="0" w:space="0" w:color="auto"/>
        <w:bottom w:val="none" w:sz="0" w:space="0" w:color="auto"/>
        <w:right w:val="none" w:sz="0" w:space="0" w:color="auto"/>
      </w:divBdr>
    </w:div>
    <w:div w:id="1159155182">
      <w:bodyDiv w:val="1"/>
      <w:marLeft w:val="0"/>
      <w:marRight w:val="0"/>
      <w:marTop w:val="0"/>
      <w:marBottom w:val="0"/>
      <w:divBdr>
        <w:top w:val="none" w:sz="0" w:space="0" w:color="auto"/>
        <w:left w:val="none" w:sz="0" w:space="0" w:color="auto"/>
        <w:bottom w:val="none" w:sz="0" w:space="0" w:color="auto"/>
        <w:right w:val="none" w:sz="0" w:space="0" w:color="auto"/>
      </w:divBdr>
    </w:div>
    <w:div w:id="1159224505">
      <w:bodyDiv w:val="1"/>
      <w:marLeft w:val="0"/>
      <w:marRight w:val="0"/>
      <w:marTop w:val="0"/>
      <w:marBottom w:val="0"/>
      <w:divBdr>
        <w:top w:val="none" w:sz="0" w:space="0" w:color="auto"/>
        <w:left w:val="none" w:sz="0" w:space="0" w:color="auto"/>
        <w:bottom w:val="none" w:sz="0" w:space="0" w:color="auto"/>
        <w:right w:val="none" w:sz="0" w:space="0" w:color="auto"/>
      </w:divBdr>
    </w:div>
    <w:div w:id="1159231392">
      <w:bodyDiv w:val="1"/>
      <w:marLeft w:val="0"/>
      <w:marRight w:val="0"/>
      <w:marTop w:val="0"/>
      <w:marBottom w:val="0"/>
      <w:divBdr>
        <w:top w:val="none" w:sz="0" w:space="0" w:color="auto"/>
        <w:left w:val="none" w:sz="0" w:space="0" w:color="auto"/>
        <w:bottom w:val="none" w:sz="0" w:space="0" w:color="auto"/>
        <w:right w:val="none" w:sz="0" w:space="0" w:color="auto"/>
      </w:divBdr>
    </w:div>
    <w:div w:id="1159233396">
      <w:bodyDiv w:val="1"/>
      <w:marLeft w:val="0"/>
      <w:marRight w:val="0"/>
      <w:marTop w:val="0"/>
      <w:marBottom w:val="0"/>
      <w:divBdr>
        <w:top w:val="none" w:sz="0" w:space="0" w:color="auto"/>
        <w:left w:val="none" w:sz="0" w:space="0" w:color="auto"/>
        <w:bottom w:val="none" w:sz="0" w:space="0" w:color="auto"/>
        <w:right w:val="none" w:sz="0" w:space="0" w:color="auto"/>
      </w:divBdr>
    </w:div>
    <w:div w:id="1159267860">
      <w:bodyDiv w:val="1"/>
      <w:marLeft w:val="0"/>
      <w:marRight w:val="0"/>
      <w:marTop w:val="0"/>
      <w:marBottom w:val="0"/>
      <w:divBdr>
        <w:top w:val="none" w:sz="0" w:space="0" w:color="auto"/>
        <w:left w:val="none" w:sz="0" w:space="0" w:color="auto"/>
        <w:bottom w:val="none" w:sz="0" w:space="0" w:color="auto"/>
        <w:right w:val="none" w:sz="0" w:space="0" w:color="auto"/>
      </w:divBdr>
    </w:div>
    <w:div w:id="1159423037">
      <w:bodyDiv w:val="1"/>
      <w:marLeft w:val="0"/>
      <w:marRight w:val="0"/>
      <w:marTop w:val="0"/>
      <w:marBottom w:val="0"/>
      <w:divBdr>
        <w:top w:val="none" w:sz="0" w:space="0" w:color="auto"/>
        <w:left w:val="none" w:sz="0" w:space="0" w:color="auto"/>
        <w:bottom w:val="none" w:sz="0" w:space="0" w:color="auto"/>
        <w:right w:val="none" w:sz="0" w:space="0" w:color="auto"/>
      </w:divBdr>
    </w:div>
    <w:div w:id="1159465486">
      <w:bodyDiv w:val="1"/>
      <w:marLeft w:val="0"/>
      <w:marRight w:val="0"/>
      <w:marTop w:val="0"/>
      <w:marBottom w:val="0"/>
      <w:divBdr>
        <w:top w:val="none" w:sz="0" w:space="0" w:color="auto"/>
        <w:left w:val="none" w:sz="0" w:space="0" w:color="auto"/>
        <w:bottom w:val="none" w:sz="0" w:space="0" w:color="auto"/>
        <w:right w:val="none" w:sz="0" w:space="0" w:color="auto"/>
      </w:divBdr>
    </w:div>
    <w:div w:id="1159539111">
      <w:bodyDiv w:val="1"/>
      <w:marLeft w:val="0"/>
      <w:marRight w:val="0"/>
      <w:marTop w:val="0"/>
      <w:marBottom w:val="0"/>
      <w:divBdr>
        <w:top w:val="none" w:sz="0" w:space="0" w:color="auto"/>
        <w:left w:val="none" w:sz="0" w:space="0" w:color="auto"/>
        <w:bottom w:val="none" w:sz="0" w:space="0" w:color="auto"/>
        <w:right w:val="none" w:sz="0" w:space="0" w:color="auto"/>
      </w:divBdr>
    </w:div>
    <w:div w:id="1159543330">
      <w:bodyDiv w:val="1"/>
      <w:marLeft w:val="0"/>
      <w:marRight w:val="0"/>
      <w:marTop w:val="0"/>
      <w:marBottom w:val="0"/>
      <w:divBdr>
        <w:top w:val="none" w:sz="0" w:space="0" w:color="auto"/>
        <w:left w:val="none" w:sz="0" w:space="0" w:color="auto"/>
        <w:bottom w:val="none" w:sz="0" w:space="0" w:color="auto"/>
        <w:right w:val="none" w:sz="0" w:space="0" w:color="auto"/>
      </w:divBdr>
    </w:div>
    <w:div w:id="1159805479">
      <w:bodyDiv w:val="1"/>
      <w:marLeft w:val="0"/>
      <w:marRight w:val="0"/>
      <w:marTop w:val="0"/>
      <w:marBottom w:val="0"/>
      <w:divBdr>
        <w:top w:val="none" w:sz="0" w:space="0" w:color="auto"/>
        <w:left w:val="none" w:sz="0" w:space="0" w:color="auto"/>
        <w:bottom w:val="none" w:sz="0" w:space="0" w:color="auto"/>
        <w:right w:val="none" w:sz="0" w:space="0" w:color="auto"/>
      </w:divBdr>
    </w:div>
    <w:div w:id="1159924511">
      <w:bodyDiv w:val="1"/>
      <w:marLeft w:val="0"/>
      <w:marRight w:val="0"/>
      <w:marTop w:val="0"/>
      <w:marBottom w:val="0"/>
      <w:divBdr>
        <w:top w:val="none" w:sz="0" w:space="0" w:color="auto"/>
        <w:left w:val="none" w:sz="0" w:space="0" w:color="auto"/>
        <w:bottom w:val="none" w:sz="0" w:space="0" w:color="auto"/>
        <w:right w:val="none" w:sz="0" w:space="0" w:color="auto"/>
      </w:divBdr>
    </w:div>
    <w:div w:id="1159998623">
      <w:bodyDiv w:val="1"/>
      <w:marLeft w:val="0"/>
      <w:marRight w:val="0"/>
      <w:marTop w:val="0"/>
      <w:marBottom w:val="0"/>
      <w:divBdr>
        <w:top w:val="none" w:sz="0" w:space="0" w:color="auto"/>
        <w:left w:val="none" w:sz="0" w:space="0" w:color="auto"/>
        <w:bottom w:val="none" w:sz="0" w:space="0" w:color="auto"/>
        <w:right w:val="none" w:sz="0" w:space="0" w:color="auto"/>
      </w:divBdr>
    </w:div>
    <w:div w:id="1160075773">
      <w:bodyDiv w:val="1"/>
      <w:marLeft w:val="0"/>
      <w:marRight w:val="0"/>
      <w:marTop w:val="0"/>
      <w:marBottom w:val="0"/>
      <w:divBdr>
        <w:top w:val="none" w:sz="0" w:space="0" w:color="auto"/>
        <w:left w:val="none" w:sz="0" w:space="0" w:color="auto"/>
        <w:bottom w:val="none" w:sz="0" w:space="0" w:color="auto"/>
        <w:right w:val="none" w:sz="0" w:space="0" w:color="auto"/>
      </w:divBdr>
    </w:div>
    <w:div w:id="1160194757">
      <w:bodyDiv w:val="1"/>
      <w:marLeft w:val="0"/>
      <w:marRight w:val="0"/>
      <w:marTop w:val="0"/>
      <w:marBottom w:val="0"/>
      <w:divBdr>
        <w:top w:val="none" w:sz="0" w:space="0" w:color="auto"/>
        <w:left w:val="none" w:sz="0" w:space="0" w:color="auto"/>
        <w:bottom w:val="none" w:sz="0" w:space="0" w:color="auto"/>
        <w:right w:val="none" w:sz="0" w:space="0" w:color="auto"/>
      </w:divBdr>
    </w:div>
    <w:div w:id="1160197228">
      <w:bodyDiv w:val="1"/>
      <w:marLeft w:val="0"/>
      <w:marRight w:val="0"/>
      <w:marTop w:val="0"/>
      <w:marBottom w:val="0"/>
      <w:divBdr>
        <w:top w:val="none" w:sz="0" w:space="0" w:color="auto"/>
        <w:left w:val="none" w:sz="0" w:space="0" w:color="auto"/>
        <w:bottom w:val="none" w:sz="0" w:space="0" w:color="auto"/>
        <w:right w:val="none" w:sz="0" w:space="0" w:color="auto"/>
      </w:divBdr>
    </w:div>
    <w:div w:id="1160387457">
      <w:bodyDiv w:val="1"/>
      <w:marLeft w:val="0"/>
      <w:marRight w:val="0"/>
      <w:marTop w:val="0"/>
      <w:marBottom w:val="0"/>
      <w:divBdr>
        <w:top w:val="none" w:sz="0" w:space="0" w:color="auto"/>
        <w:left w:val="none" w:sz="0" w:space="0" w:color="auto"/>
        <w:bottom w:val="none" w:sz="0" w:space="0" w:color="auto"/>
        <w:right w:val="none" w:sz="0" w:space="0" w:color="auto"/>
      </w:divBdr>
    </w:div>
    <w:div w:id="1160536394">
      <w:bodyDiv w:val="1"/>
      <w:marLeft w:val="0"/>
      <w:marRight w:val="0"/>
      <w:marTop w:val="0"/>
      <w:marBottom w:val="0"/>
      <w:divBdr>
        <w:top w:val="none" w:sz="0" w:space="0" w:color="auto"/>
        <w:left w:val="none" w:sz="0" w:space="0" w:color="auto"/>
        <w:bottom w:val="none" w:sz="0" w:space="0" w:color="auto"/>
        <w:right w:val="none" w:sz="0" w:space="0" w:color="auto"/>
      </w:divBdr>
    </w:div>
    <w:div w:id="1160580348">
      <w:bodyDiv w:val="1"/>
      <w:marLeft w:val="0"/>
      <w:marRight w:val="0"/>
      <w:marTop w:val="0"/>
      <w:marBottom w:val="0"/>
      <w:divBdr>
        <w:top w:val="none" w:sz="0" w:space="0" w:color="auto"/>
        <w:left w:val="none" w:sz="0" w:space="0" w:color="auto"/>
        <w:bottom w:val="none" w:sz="0" w:space="0" w:color="auto"/>
        <w:right w:val="none" w:sz="0" w:space="0" w:color="auto"/>
      </w:divBdr>
    </w:div>
    <w:div w:id="1160581440">
      <w:bodyDiv w:val="1"/>
      <w:marLeft w:val="0"/>
      <w:marRight w:val="0"/>
      <w:marTop w:val="0"/>
      <w:marBottom w:val="0"/>
      <w:divBdr>
        <w:top w:val="none" w:sz="0" w:space="0" w:color="auto"/>
        <w:left w:val="none" w:sz="0" w:space="0" w:color="auto"/>
        <w:bottom w:val="none" w:sz="0" w:space="0" w:color="auto"/>
        <w:right w:val="none" w:sz="0" w:space="0" w:color="auto"/>
      </w:divBdr>
    </w:div>
    <w:div w:id="1160734587">
      <w:bodyDiv w:val="1"/>
      <w:marLeft w:val="0"/>
      <w:marRight w:val="0"/>
      <w:marTop w:val="0"/>
      <w:marBottom w:val="0"/>
      <w:divBdr>
        <w:top w:val="none" w:sz="0" w:space="0" w:color="auto"/>
        <w:left w:val="none" w:sz="0" w:space="0" w:color="auto"/>
        <w:bottom w:val="none" w:sz="0" w:space="0" w:color="auto"/>
        <w:right w:val="none" w:sz="0" w:space="0" w:color="auto"/>
      </w:divBdr>
    </w:div>
    <w:div w:id="1160779795">
      <w:bodyDiv w:val="1"/>
      <w:marLeft w:val="0"/>
      <w:marRight w:val="0"/>
      <w:marTop w:val="0"/>
      <w:marBottom w:val="0"/>
      <w:divBdr>
        <w:top w:val="none" w:sz="0" w:space="0" w:color="auto"/>
        <w:left w:val="none" w:sz="0" w:space="0" w:color="auto"/>
        <w:bottom w:val="none" w:sz="0" w:space="0" w:color="auto"/>
        <w:right w:val="none" w:sz="0" w:space="0" w:color="auto"/>
      </w:divBdr>
    </w:div>
    <w:div w:id="1160920882">
      <w:bodyDiv w:val="1"/>
      <w:marLeft w:val="0"/>
      <w:marRight w:val="0"/>
      <w:marTop w:val="0"/>
      <w:marBottom w:val="0"/>
      <w:divBdr>
        <w:top w:val="none" w:sz="0" w:space="0" w:color="auto"/>
        <w:left w:val="none" w:sz="0" w:space="0" w:color="auto"/>
        <w:bottom w:val="none" w:sz="0" w:space="0" w:color="auto"/>
        <w:right w:val="none" w:sz="0" w:space="0" w:color="auto"/>
      </w:divBdr>
    </w:div>
    <w:div w:id="1161241701">
      <w:bodyDiv w:val="1"/>
      <w:marLeft w:val="0"/>
      <w:marRight w:val="0"/>
      <w:marTop w:val="0"/>
      <w:marBottom w:val="0"/>
      <w:divBdr>
        <w:top w:val="none" w:sz="0" w:space="0" w:color="auto"/>
        <w:left w:val="none" w:sz="0" w:space="0" w:color="auto"/>
        <w:bottom w:val="none" w:sz="0" w:space="0" w:color="auto"/>
        <w:right w:val="none" w:sz="0" w:space="0" w:color="auto"/>
      </w:divBdr>
    </w:div>
    <w:div w:id="1161311149">
      <w:bodyDiv w:val="1"/>
      <w:marLeft w:val="0"/>
      <w:marRight w:val="0"/>
      <w:marTop w:val="0"/>
      <w:marBottom w:val="0"/>
      <w:divBdr>
        <w:top w:val="none" w:sz="0" w:space="0" w:color="auto"/>
        <w:left w:val="none" w:sz="0" w:space="0" w:color="auto"/>
        <w:bottom w:val="none" w:sz="0" w:space="0" w:color="auto"/>
        <w:right w:val="none" w:sz="0" w:space="0" w:color="auto"/>
      </w:divBdr>
    </w:div>
    <w:div w:id="1161316615">
      <w:bodyDiv w:val="1"/>
      <w:marLeft w:val="0"/>
      <w:marRight w:val="0"/>
      <w:marTop w:val="0"/>
      <w:marBottom w:val="0"/>
      <w:divBdr>
        <w:top w:val="none" w:sz="0" w:space="0" w:color="auto"/>
        <w:left w:val="none" w:sz="0" w:space="0" w:color="auto"/>
        <w:bottom w:val="none" w:sz="0" w:space="0" w:color="auto"/>
        <w:right w:val="none" w:sz="0" w:space="0" w:color="auto"/>
      </w:divBdr>
    </w:div>
    <w:div w:id="1161385954">
      <w:bodyDiv w:val="1"/>
      <w:marLeft w:val="0"/>
      <w:marRight w:val="0"/>
      <w:marTop w:val="0"/>
      <w:marBottom w:val="0"/>
      <w:divBdr>
        <w:top w:val="none" w:sz="0" w:space="0" w:color="auto"/>
        <w:left w:val="none" w:sz="0" w:space="0" w:color="auto"/>
        <w:bottom w:val="none" w:sz="0" w:space="0" w:color="auto"/>
        <w:right w:val="none" w:sz="0" w:space="0" w:color="auto"/>
      </w:divBdr>
    </w:div>
    <w:div w:id="1161391262">
      <w:bodyDiv w:val="1"/>
      <w:marLeft w:val="0"/>
      <w:marRight w:val="0"/>
      <w:marTop w:val="0"/>
      <w:marBottom w:val="0"/>
      <w:divBdr>
        <w:top w:val="none" w:sz="0" w:space="0" w:color="auto"/>
        <w:left w:val="none" w:sz="0" w:space="0" w:color="auto"/>
        <w:bottom w:val="none" w:sz="0" w:space="0" w:color="auto"/>
        <w:right w:val="none" w:sz="0" w:space="0" w:color="auto"/>
      </w:divBdr>
    </w:div>
    <w:div w:id="1161392354">
      <w:bodyDiv w:val="1"/>
      <w:marLeft w:val="0"/>
      <w:marRight w:val="0"/>
      <w:marTop w:val="0"/>
      <w:marBottom w:val="0"/>
      <w:divBdr>
        <w:top w:val="none" w:sz="0" w:space="0" w:color="auto"/>
        <w:left w:val="none" w:sz="0" w:space="0" w:color="auto"/>
        <w:bottom w:val="none" w:sz="0" w:space="0" w:color="auto"/>
        <w:right w:val="none" w:sz="0" w:space="0" w:color="auto"/>
      </w:divBdr>
    </w:div>
    <w:div w:id="1161509840">
      <w:bodyDiv w:val="1"/>
      <w:marLeft w:val="0"/>
      <w:marRight w:val="0"/>
      <w:marTop w:val="0"/>
      <w:marBottom w:val="0"/>
      <w:divBdr>
        <w:top w:val="none" w:sz="0" w:space="0" w:color="auto"/>
        <w:left w:val="none" w:sz="0" w:space="0" w:color="auto"/>
        <w:bottom w:val="none" w:sz="0" w:space="0" w:color="auto"/>
        <w:right w:val="none" w:sz="0" w:space="0" w:color="auto"/>
      </w:divBdr>
    </w:div>
    <w:div w:id="1161580797">
      <w:bodyDiv w:val="1"/>
      <w:marLeft w:val="0"/>
      <w:marRight w:val="0"/>
      <w:marTop w:val="0"/>
      <w:marBottom w:val="0"/>
      <w:divBdr>
        <w:top w:val="none" w:sz="0" w:space="0" w:color="auto"/>
        <w:left w:val="none" w:sz="0" w:space="0" w:color="auto"/>
        <w:bottom w:val="none" w:sz="0" w:space="0" w:color="auto"/>
        <w:right w:val="none" w:sz="0" w:space="0" w:color="auto"/>
      </w:divBdr>
    </w:div>
    <w:div w:id="1161582903">
      <w:bodyDiv w:val="1"/>
      <w:marLeft w:val="0"/>
      <w:marRight w:val="0"/>
      <w:marTop w:val="0"/>
      <w:marBottom w:val="0"/>
      <w:divBdr>
        <w:top w:val="none" w:sz="0" w:space="0" w:color="auto"/>
        <w:left w:val="none" w:sz="0" w:space="0" w:color="auto"/>
        <w:bottom w:val="none" w:sz="0" w:space="0" w:color="auto"/>
        <w:right w:val="none" w:sz="0" w:space="0" w:color="auto"/>
      </w:divBdr>
    </w:div>
    <w:div w:id="1161627013">
      <w:bodyDiv w:val="1"/>
      <w:marLeft w:val="0"/>
      <w:marRight w:val="0"/>
      <w:marTop w:val="0"/>
      <w:marBottom w:val="0"/>
      <w:divBdr>
        <w:top w:val="none" w:sz="0" w:space="0" w:color="auto"/>
        <w:left w:val="none" w:sz="0" w:space="0" w:color="auto"/>
        <w:bottom w:val="none" w:sz="0" w:space="0" w:color="auto"/>
        <w:right w:val="none" w:sz="0" w:space="0" w:color="auto"/>
      </w:divBdr>
    </w:div>
    <w:div w:id="1161889423">
      <w:bodyDiv w:val="1"/>
      <w:marLeft w:val="0"/>
      <w:marRight w:val="0"/>
      <w:marTop w:val="0"/>
      <w:marBottom w:val="0"/>
      <w:divBdr>
        <w:top w:val="none" w:sz="0" w:space="0" w:color="auto"/>
        <w:left w:val="none" w:sz="0" w:space="0" w:color="auto"/>
        <w:bottom w:val="none" w:sz="0" w:space="0" w:color="auto"/>
        <w:right w:val="none" w:sz="0" w:space="0" w:color="auto"/>
      </w:divBdr>
    </w:div>
    <w:div w:id="1161890081">
      <w:bodyDiv w:val="1"/>
      <w:marLeft w:val="0"/>
      <w:marRight w:val="0"/>
      <w:marTop w:val="0"/>
      <w:marBottom w:val="0"/>
      <w:divBdr>
        <w:top w:val="none" w:sz="0" w:space="0" w:color="auto"/>
        <w:left w:val="none" w:sz="0" w:space="0" w:color="auto"/>
        <w:bottom w:val="none" w:sz="0" w:space="0" w:color="auto"/>
        <w:right w:val="none" w:sz="0" w:space="0" w:color="auto"/>
      </w:divBdr>
    </w:div>
    <w:div w:id="1161964506">
      <w:bodyDiv w:val="1"/>
      <w:marLeft w:val="0"/>
      <w:marRight w:val="0"/>
      <w:marTop w:val="0"/>
      <w:marBottom w:val="0"/>
      <w:divBdr>
        <w:top w:val="none" w:sz="0" w:space="0" w:color="auto"/>
        <w:left w:val="none" w:sz="0" w:space="0" w:color="auto"/>
        <w:bottom w:val="none" w:sz="0" w:space="0" w:color="auto"/>
        <w:right w:val="none" w:sz="0" w:space="0" w:color="auto"/>
      </w:divBdr>
    </w:div>
    <w:div w:id="1161967882">
      <w:bodyDiv w:val="1"/>
      <w:marLeft w:val="0"/>
      <w:marRight w:val="0"/>
      <w:marTop w:val="0"/>
      <w:marBottom w:val="0"/>
      <w:divBdr>
        <w:top w:val="none" w:sz="0" w:space="0" w:color="auto"/>
        <w:left w:val="none" w:sz="0" w:space="0" w:color="auto"/>
        <w:bottom w:val="none" w:sz="0" w:space="0" w:color="auto"/>
        <w:right w:val="none" w:sz="0" w:space="0" w:color="auto"/>
      </w:divBdr>
    </w:div>
    <w:div w:id="1162088001">
      <w:bodyDiv w:val="1"/>
      <w:marLeft w:val="0"/>
      <w:marRight w:val="0"/>
      <w:marTop w:val="0"/>
      <w:marBottom w:val="0"/>
      <w:divBdr>
        <w:top w:val="none" w:sz="0" w:space="0" w:color="auto"/>
        <w:left w:val="none" w:sz="0" w:space="0" w:color="auto"/>
        <w:bottom w:val="none" w:sz="0" w:space="0" w:color="auto"/>
        <w:right w:val="none" w:sz="0" w:space="0" w:color="auto"/>
      </w:divBdr>
    </w:div>
    <w:div w:id="1162088870">
      <w:bodyDiv w:val="1"/>
      <w:marLeft w:val="0"/>
      <w:marRight w:val="0"/>
      <w:marTop w:val="0"/>
      <w:marBottom w:val="0"/>
      <w:divBdr>
        <w:top w:val="none" w:sz="0" w:space="0" w:color="auto"/>
        <w:left w:val="none" w:sz="0" w:space="0" w:color="auto"/>
        <w:bottom w:val="none" w:sz="0" w:space="0" w:color="auto"/>
        <w:right w:val="none" w:sz="0" w:space="0" w:color="auto"/>
      </w:divBdr>
    </w:div>
    <w:div w:id="1162157595">
      <w:bodyDiv w:val="1"/>
      <w:marLeft w:val="0"/>
      <w:marRight w:val="0"/>
      <w:marTop w:val="0"/>
      <w:marBottom w:val="0"/>
      <w:divBdr>
        <w:top w:val="none" w:sz="0" w:space="0" w:color="auto"/>
        <w:left w:val="none" w:sz="0" w:space="0" w:color="auto"/>
        <w:bottom w:val="none" w:sz="0" w:space="0" w:color="auto"/>
        <w:right w:val="none" w:sz="0" w:space="0" w:color="auto"/>
      </w:divBdr>
    </w:div>
    <w:div w:id="1162158569">
      <w:bodyDiv w:val="1"/>
      <w:marLeft w:val="0"/>
      <w:marRight w:val="0"/>
      <w:marTop w:val="0"/>
      <w:marBottom w:val="0"/>
      <w:divBdr>
        <w:top w:val="none" w:sz="0" w:space="0" w:color="auto"/>
        <w:left w:val="none" w:sz="0" w:space="0" w:color="auto"/>
        <w:bottom w:val="none" w:sz="0" w:space="0" w:color="auto"/>
        <w:right w:val="none" w:sz="0" w:space="0" w:color="auto"/>
      </w:divBdr>
    </w:div>
    <w:div w:id="1162232989">
      <w:bodyDiv w:val="1"/>
      <w:marLeft w:val="0"/>
      <w:marRight w:val="0"/>
      <w:marTop w:val="0"/>
      <w:marBottom w:val="0"/>
      <w:divBdr>
        <w:top w:val="none" w:sz="0" w:space="0" w:color="auto"/>
        <w:left w:val="none" w:sz="0" w:space="0" w:color="auto"/>
        <w:bottom w:val="none" w:sz="0" w:space="0" w:color="auto"/>
        <w:right w:val="none" w:sz="0" w:space="0" w:color="auto"/>
      </w:divBdr>
    </w:div>
    <w:div w:id="1162307260">
      <w:bodyDiv w:val="1"/>
      <w:marLeft w:val="0"/>
      <w:marRight w:val="0"/>
      <w:marTop w:val="0"/>
      <w:marBottom w:val="0"/>
      <w:divBdr>
        <w:top w:val="none" w:sz="0" w:space="0" w:color="auto"/>
        <w:left w:val="none" w:sz="0" w:space="0" w:color="auto"/>
        <w:bottom w:val="none" w:sz="0" w:space="0" w:color="auto"/>
        <w:right w:val="none" w:sz="0" w:space="0" w:color="auto"/>
      </w:divBdr>
    </w:div>
    <w:div w:id="1162350086">
      <w:bodyDiv w:val="1"/>
      <w:marLeft w:val="0"/>
      <w:marRight w:val="0"/>
      <w:marTop w:val="0"/>
      <w:marBottom w:val="0"/>
      <w:divBdr>
        <w:top w:val="none" w:sz="0" w:space="0" w:color="auto"/>
        <w:left w:val="none" w:sz="0" w:space="0" w:color="auto"/>
        <w:bottom w:val="none" w:sz="0" w:space="0" w:color="auto"/>
        <w:right w:val="none" w:sz="0" w:space="0" w:color="auto"/>
      </w:divBdr>
    </w:div>
    <w:div w:id="1162354118">
      <w:bodyDiv w:val="1"/>
      <w:marLeft w:val="0"/>
      <w:marRight w:val="0"/>
      <w:marTop w:val="0"/>
      <w:marBottom w:val="0"/>
      <w:divBdr>
        <w:top w:val="none" w:sz="0" w:space="0" w:color="auto"/>
        <w:left w:val="none" w:sz="0" w:space="0" w:color="auto"/>
        <w:bottom w:val="none" w:sz="0" w:space="0" w:color="auto"/>
        <w:right w:val="none" w:sz="0" w:space="0" w:color="auto"/>
      </w:divBdr>
    </w:div>
    <w:div w:id="1162355467">
      <w:bodyDiv w:val="1"/>
      <w:marLeft w:val="0"/>
      <w:marRight w:val="0"/>
      <w:marTop w:val="0"/>
      <w:marBottom w:val="0"/>
      <w:divBdr>
        <w:top w:val="none" w:sz="0" w:space="0" w:color="auto"/>
        <w:left w:val="none" w:sz="0" w:space="0" w:color="auto"/>
        <w:bottom w:val="none" w:sz="0" w:space="0" w:color="auto"/>
        <w:right w:val="none" w:sz="0" w:space="0" w:color="auto"/>
      </w:divBdr>
    </w:div>
    <w:div w:id="1162357931">
      <w:bodyDiv w:val="1"/>
      <w:marLeft w:val="0"/>
      <w:marRight w:val="0"/>
      <w:marTop w:val="0"/>
      <w:marBottom w:val="0"/>
      <w:divBdr>
        <w:top w:val="none" w:sz="0" w:space="0" w:color="auto"/>
        <w:left w:val="none" w:sz="0" w:space="0" w:color="auto"/>
        <w:bottom w:val="none" w:sz="0" w:space="0" w:color="auto"/>
        <w:right w:val="none" w:sz="0" w:space="0" w:color="auto"/>
      </w:divBdr>
    </w:div>
    <w:div w:id="1162546256">
      <w:bodyDiv w:val="1"/>
      <w:marLeft w:val="0"/>
      <w:marRight w:val="0"/>
      <w:marTop w:val="0"/>
      <w:marBottom w:val="0"/>
      <w:divBdr>
        <w:top w:val="none" w:sz="0" w:space="0" w:color="auto"/>
        <w:left w:val="none" w:sz="0" w:space="0" w:color="auto"/>
        <w:bottom w:val="none" w:sz="0" w:space="0" w:color="auto"/>
        <w:right w:val="none" w:sz="0" w:space="0" w:color="auto"/>
      </w:divBdr>
    </w:div>
    <w:div w:id="1162621677">
      <w:bodyDiv w:val="1"/>
      <w:marLeft w:val="0"/>
      <w:marRight w:val="0"/>
      <w:marTop w:val="0"/>
      <w:marBottom w:val="0"/>
      <w:divBdr>
        <w:top w:val="none" w:sz="0" w:space="0" w:color="auto"/>
        <w:left w:val="none" w:sz="0" w:space="0" w:color="auto"/>
        <w:bottom w:val="none" w:sz="0" w:space="0" w:color="auto"/>
        <w:right w:val="none" w:sz="0" w:space="0" w:color="auto"/>
      </w:divBdr>
    </w:div>
    <w:div w:id="1162701616">
      <w:bodyDiv w:val="1"/>
      <w:marLeft w:val="0"/>
      <w:marRight w:val="0"/>
      <w:marTop w:val="0"/>
      <w:marBottom w:val="0"/>
      <w:divBdr>
        <w:top w:val="none" w:sz="0" w:space="0" w:color="auto"/>
        <w:left w:val="none" w:sz="0" w:space="0" w:color="auto"/>
        <w:bottom w:val="none" w:sz="0" w:space="0" w:color="auto"/>
        <w:right w:val="none" w:sz="0" w:space="0" w:color="auto"/>
      </w:divBdr>
    </w:div>
    <w:div w:id="1162769137">
      <w:bodyDiv w:val="1"/>
      <w:marLeft w:val="0"/>
      <w:marRight w:val="0"/>
      <w:marTop w:val="0"/>
      <w:marBottom w:val="0"/>
      <w:divBdr>
        <w:top w:val="none" w:sz="0" w:space="0" w:color="auto"/>
        <w:left w:val="none" w:sz="0" w:space="0" w:color="auto"/>
        <w:bottom w:val="none" w:sz="0" w:space="0" w:color="auto"/>
        <w:right w:val="none" w:sz="0" w:space="0" w:color="auto"/>
      </w:divBdr>
    </w:div>
    <w:div w:id="1162819695">
      <w:bodyDiv w:val="1"/>
      <w:marLeft w:val="0"/>
      <w:marRight w:val="0"/>
      <w:marTop w:val="0"/>
      <w:marBottom w:val="0"/>
      <w:divBdr>
        <w:top w:val="none" w:sz="0" w:space="0" w:color="auto"/>
        <w:left w:val="none" w:sz="0" w:space="0" w:color="auto"/>
        <w:bottom w:val="none" w:sz="0" w:space="0" w:color="auto"/>
        <w:right w:val="none" w:sz="0" w:space="0" w:color="auto"/>
      </w:divBdr>
    </w:div>
    <w:div w:id="1163010534">
      <w:bodyDiv w:val="1"/>
      <w:marLeft w:val="0"/>
      <w:marRight w:val="0"/>
      <w:marTop w:val="0"/>
      <w:marBottom w:val="0"/>
      <w:divBdr>
        <w:top w:val="none" w:sz="0" w:space="0" w:color="auto"/>
        <w:left w:val="none" w:sz="0" w:space="0" w:color="auto"/>
        <w:bottom w:val="none" w:sz="0" w:space="0" w:color="auto"/>
        <w:right w:val="none" w:sz="0" w:space="0" w:color="auto"/>
      </w:divBdr>
    </w:div>
    <w:div w:id="1163013950">
      <w:bodyDiv w:val="1"/>
      <w:marLeft w:val="0"/>
      <w:marRight w:val="0"/>
      <w:marTop w:val="0"/>
      <w:marBottom w:val="0"/>
      <w:divBdr>
        <w:top w:val="none" w:sz="0" w:space="0" w:color="auto"/>
        <w:left w:val="none" w:sz="0" w:space="0" w:color="auto"/>
        <w:bottom w:val="none" w:sz="0" w:space="0" w:color="auto"/>
        <w:right w:val="none" w:sz="0" w:space="0" w:color="auto"/>
      </w:divBdr>
    </w:div>
    <w:div w:id="1163086065">
      <w:bodyDiv w:val="1"/>
      <w:marLeft w:val="0"/>
      <w:marRight w:val="0"/>
      <w:marTop w:val="0"/>
      <w:marBottom w:val="0"/>
      <w:divBdr>
        <w:top w:val="none" w:sz="0" w:space="0" w:color="auto"/>
        <w:left w:val="none" w:sz="0" w:space="0" w:color="auto"/>
        <w:bottom w:val="none" w:sz="0" w:space="0" w:color="auto"/>
        <w:right w:val="none" w:sz="0" w:space="0" w:color="auto"/>
      </w:divBdr>
    </w:div>
    <w:div w:id="1163088283">
      <w:bodyDiv w:val="1"/>
      <w:marLeft w:val="0"/>
      <w:marRight w:val="0"/>
      <w:marTop w:val="0"/>
      <w:marBottom w:val="0"/>
      <w:divBdr>
        <w:top w:val="none" w:sz="0" w:space="0" w:color="auto"/>
        <w:left w:val="none" w:sz="0" w:space="0" w:color="auto"/>
        <w:bottom w:val="none" w:sz="0" w:space="0" w:color="auto"/>
        <w:right w:val="none" w:sz="0" w:space="0" w:color="auto"/>
      </w:divBdr>
    </w:div>
    <w:div w:id="1163088401">
      <w:bodyDiv w:val="1"/>
      <w:marLeft w:val="0"/>
      <w:marRight w:val="0"/>
      <w:marTop w:val="0"/>
      <w:marBottom w:val="0"/>
      <w:divBdr>
        <w:top w:val="none" w:sz="0" w:space="0" w:color="auto"/>
        <w:left w:val="none" w:sz="0" w:space="0" w:color="auto"/>
        <w:bottom w:val="none" w:sz="0" w:space="0" w:color="auto"/>
        <w:right w:val="none" w:sz="0" w:space="0" w:color="auto"/>
      </w:divBdr>
    </w:div>
    <w:div w:id="1163231142">
      <w:bodyDiv w:val="1"/>
      <w:marLeft w:val="0"/>
      <w:marRight w:val="0"/>
      <w:marTop w:val="0"/>
      <w:marBottom w:val="0"/>
      <w:divBdr>
        <w:top w:val="none" w:sz="0" w:space="0" w:color="auto"/>
        <w:left w:val="none" w:sz="0" w:space="0" w:color="auto"/>
        <w:bottom w:val="none" w:sz="0" w:space="0" w:color="auto"/>
        <w:right w:val="none" w:sz="0" w:space="0" w:color="auto"/>
      </w:divBdr>
    </w:div>
    <w:div w:id="1163396679">
      <w:bodyDiv w:val="1"/>
      <w:marLeft w:val="0"/>
      <w:marRight w:val="0"/>
      <w:marTop w:val="0"/>
      <w:marBottom w:val="0"/>
      <w:divBdr>
        <w:top w:val="none" w:sz="0" w:space="0" w:color="auto"/>
        <w:left w:val="none" w:sz="0" w:space="0" w:color="auto"/>
        <w:bottom w:val="none" w:sz="0" w:space="0" w:color="auto"/>
        <w:right w:val="none" w:sz="0" w:space="0" w:color="auto"/>
      </w:divBdr>
    </w:div>
    <w:div w:id="1163426518">
      <w:bodyDiv w:val="1"/>
      <w:marLeft w:val="0"/>
      <w:marRight w:val="0"/>
      <w:marTop w:val="0"/>
      <w:marBottom w:val="0"/>
      <w:divBdr>
        <w:top w:val="none" w:sz="0" w:space="0" w:color="auto"/>
        <w:left w:val="none" w:sz="0" w:space="0" w:color="auto"/>
        <w:bottom w:val="none" w:sz="0" w:space="0" w:color="auto"/>
        <w:right w:val="none" w:sz="0" w:space="0" w:color="auto"/>
      </w:divBdr>
    </w:div>
    <w:div w:id="1163470798">
      <w:bodyDiv w:val="1"/>
      <w:marLeft w:val="0"/>
      <w:marRight w:val="0"/>
      <w:marTop w:val="0"/>
      <w:marBottom w:val="0"/>
      <w:divBdr>
        <w:top w:val="none" w:sz="0" w:space="0" w:color="auto"/>
        <w:left w:val="none" w:sz="0" w:space="0" w:color="auto"/>
        <w:bottom w:val="none" w:sz="0" w:space="0" w:color="auto"/>
        <w:right w:val="none" w:sz="0" w:space="0" w:color="auto"/>
      </w:divBdr>
    </w:div>
    <w:div w:id="1163471579">
      <w:bodyDiv w:val="1"/>
      <w:marLeft w:val="0"/>
      <w:marRight w:val="0"/>
      <w:marTop w:val="0"/>
      <w:marBottom w:val="0"/>
      <w:divBdr>
        <w:top w:val="none" w:sz="0" w:space="0" w:color="auto"/>
        <w:left w:val="none" w:sz="0" w:space="0" w:color="auto"/>
        <w:bottom w:val="none" w:sz="0" w:space="0" w:color="auto"/>
        <w:right w:val="none" w:sz="0" w:space="0" w:color="auto"/>
      </w:divBdr>
    </w:div>
    <w:div w:id="1163547383">
      <w:bodyDiv w:val="1"/>
      <w:marLeft w:val="0"/>
      <w:marRight w:val="0"/>
      <w:marTop w:val="0"/>
      <w:marBottom w:val="0"/>
      <w:divBdr>
        <w:top w:val="none" w:sz="0" w:space="0" w:color="auto"/>
        <w:left w:val="none" w:sz="0" w:space="0" w:color="auto"/>
        <w:bottom w:val="none" w:sz="0" w:space="0" w:color="auto"/>
        <w:right w:val="none" w:sz="0" w:space="0" w:color="auto"/>
      </w:divBdr>
    </w:div>
    <w:div w:id="1163620969">
      <w:bodyDiv w:val="1"/>
      <w:marLeft w:val="0"/>
      <w:marRight w:val="0"/>
      <w:marTop w:val="0"/>
      <w:marBottom w:val="0"/>
      <w:divBdr>
        <w:top w:val="none" w:sz="0" w:space="0" w:color="auto"/>
        <w:left w:val="none" w:sz="0" w:space="0" w:color="auto"/>
        <w:bottom w:val="none" w:sz="0" w:space="0" w:color="auto"/>
        <w:right w:val="none" w:sz="0" w:space="0" w:color="auto"/>
      </w:divBdr>
    </w:div>
    <w:div w:id="1163667146">
      <w:bodyDiv w:val="1"/>
      <w:marLeft w:val="0"/>
      <w:marRight w:val="0"/>
      <w:marTop w:val="0"/>
      <w:marBottom w:val="0"/>
      <w:divBdr>
        <w:top w:val="none" w:sz="0" w:space="0" w:color="auto"/>
        <w:left w:val="none" w:sz="0" w:space="0" w:color="auto"/>
        <w:bottom w:val="none" w:sz="0" w:space="0" w:color="auto"/>
        <w:right w:val="none" w:sz="0" w:space="0" w:color="auto"/>
      </w:divBdr>
    </w:div>
    <w:div w:id="1163736054">
      <w:bodyDiv w:val="1"/>
      <w:marLeft w:val="0"/>
      <w:marRight w:val="0"/>
      <w:marTop w:val="0"/>
      <w:marBottom w:val="0"/>
      <w:divBdr>
        <w:top w:val="none" w:sz="0" w:space="0" w:color="auto"/>
        <w:left w:val="none" w:sz="0" w:space="0" w:color="auto"/>
        <w:bottom w:val="none" w:sz="0" w:space="0" w:color="auto"/>
        <w:right w:val="none" w:sz="0" w:space="0" w:color="auto"/>
      </w:divBdr>
    </w:div>
    <w:div w:id="1163819633">
      <w:bodyDiv w:val="1"/>
      <w:marLeft w:val="0"/>
      <w:marRight w:val="0"/>
      <w:marTop w:val="0"/>
      <w:marBottom w:val="0"/>
      <w:divBdr>
        <w:top w:val="none" w:sz="0" w:space="0" w:color="auto"/>
        <w:left w:val="none" w:sz="0" w:space="0" w:color="auto"/>
        <w:bottom w:val="none" w:sz="0" w:space="0" w:color="auto"/>
        <w:right w:val="none" w:sz="0" w:space="0" w:color="auto"/>
      </w:divBdr>
    </w:div>
    <w:div w:id="1163858541">
      <w:bodyDiv w:val="1"/>
      <w:marLeft w:val="0"/>
      <w:marRight w:val="0"/>
      <w:marTop w:val="0"/>
      <w:marBottom w:val="0"/>
      <w:divBdr>
        <w:top w:val="none" w:sz="0" w:space="0" w:color="auto"/>
        <w:left w:val="none" w:sz="0" w:space="0" w:color="auto"/>
        <w:bottom w:val="none" w:sz="0" w:space="0" w:color="auto"/>
        <w:right w:val="none" w:sz="0" w:space="0" w:color="auto"/>
      </w:divBdr>
    </w:div>
    <w:div w:id="1163932893">
      <w:bodyDiv w:val="1"/>
      <w:marLeft w:val="0"/>
      <w:marRight w:val="0"/>
      <w:marTop w:val="0"/>
      <w:marBottom w:val="0"/>
      <w:divBdr>
        <w:top w:val="none" w:sz="0" w:space="0" w:color="auto"/>
        <w:left w:val="none" w:sz="0" w:space="0" w:color="auto"/>
        <w:bottom w:val="none" w:sz="0" w:space="0" w:color="auto"/>
        <w:right w:val="none" w:sz="0" w:space="0" w:color="auto"/>
      </w:divBdr>
    </w:div>
    <w:div w:id="1163937162">
      <w:bodyDiv w:val="1"/>
      <w:marLeft w:val="0"/>
      <w:marRight w:val="0"/>
      <w:marTop w:val="0"/>
      <w:marBottom w:val="0"/>
      <w:divBdr>
        <w:top w:val="none" w:sz="0" w:space="0" w:color="auto"/>
        <w:left w:val="none" w:sz="0" w:space="0" w:color="auto"/>
        <w:bottom w:val="none" w:sz="0" w:space="0" w:color="auto"/>
        <w:right w:val="none" w:sz="0" w:space="0" w:color="auto"/>
      </w:divBdr>
    </w:div>
    <w:div w:id="1164009980">
      <w:bodyDiv w:val="1"/>
      <w:marLeft w:val="0"/>
      <w:marRight w:val="0"/>
      <w:marTop w:val="0"/>
      <w:marBottom w:val="0"/>
      <w:divBdr>
        <w:top w:val="none" w:sz="0" w:space="0" w:color="auto"/>
        <w:left w:val="none" w:sz="0" w:space="0" w:color="auto"/>
        <w:bottom w:val="none" w:sz="0" w:space="0" w:color="auto"/>
        <w:right w:val="none" w:sz="0" w:space="0" w:color="auto"/>
      </w:divBdr>
    </w:div>
    <w:div w:id="1164051779">
      <w:bodyDiv w:val="1"/>
      <w:marLeft w:val="0"/>
      <w:marRight w:val="0"/>
      <w:marTop w:val="0"/>
      <w:marBottom w:val="0"/>
      <w:divBdr>
        <w:top w:val="none" w:sz="0" w:space="0" w:color="auto"/>
        <w:left w:val="none" w:sz="0" w:space="0" w:color="auto"/>
        <w:bottom w:val="none" w:sz="0" w:space="0" w:color="auto"/>
        <w:right w:val="none" w:sz="0" w:space="0" w:color="auto"/>
      </w:divBdr>
    </w:div>
    <w:div w:id="1164127832">
      <w:bodyDiv w:val="1"/>
      <w:marLeft w:val="0"/>
      <w:marRight w:val="0"/>
      <w:marTop w:val="0"/>
      <w:marBottom w:val="0"/>
      <w:divBdr>
        <w:top w:val="none" w:sz="0" w:space="0" w:color="auto"/>
        <w:left w:val="none" w:sz="0" w:space="0" w:color="auto"/>
        <w:bottom w:val="none" w:sz="0" w:space="0" w:color="auto"/>
        <w:right w:val="none" w:sz="0" w:space="0" w:color="auto"/>
      </w:divBdr>
    </w:div>
    <w:div w:id="1164247631">
      <w:bodyDiv w:val="1"/>
      <w:marLeft w:val="0"/>
      <w:marRight w:val="0"/>
      <w:marTop w:val="0"/>
      <w:marBottom w:val="0"/>
      <w:divBdr>
        <w:top w:val="none" w:sz="0" w:space="0" w:color="auto"/>
        <w:left w:val="none" w:sz="0" w:space="0" w:color="auto"/>
        <w:bottom w:val="none" w:sz="0" w:space="0" w:color="auto"/>
        <w:right w:val="none" w:sz="0" w:space="0" w:color="auto"/>
      </w:divBdr>
    </w:div>
    <w:div w:id="1164396996">
      <w:bodyDiv w:val="1"/>
      <w:marLeft w:val="0"/>
      <w:marRight w:val="0"/>
      <w:marTop w:val="0"/>
      <w:marBottom w:val="0"/>
      <w:divBdr>
        <w:top w:val="none" w:sz="0" w:space="0" w:color="auto"/>
        <w:left w:val="none" w:sz="0" w:space="0" w:color="auto"/>
        <w:bottom w:val="none" w:sz="0" w:space="0" w:color="auto"/>
        <w:right w:val="none" w:sz="0" w:space="0" w:color="auto"/>
      </w:divBdr>
    </w:div>
    <w:div w:id="1164398698">
      <w:bodyDiv w:val="1"/>
      <w:marLeft w:val="0"/>
      <w:marRight w:val="0"/>
      <w:marTop w:val="0"/>
      <w:marBottom w:val="0"/>
      <w:divBdr>
        <w:top w:val="none" w:sz="0" w:space="0" w:color="auto"/>
        <w:left w:val="none" w:sz="0" w:space="0" w:color="auto"/>
        <w:bottom w:val="none" w:sz="0" w:space="0" w:color="auto"/>
        <w:right w:val="none" w:sz="0" w:space="0" w:color="auto"/>
      </w:divBdr>
    </w:div>
    <w:div w:id="1164705798">
      <w:bodyDiv w:val="1"/>
      <w:marLeft w:val="0"/>
      <w:marRight w:val="0"/>
      <w:marTop w:val="0"/>
      <w:marBottom w:val="0"/>
      <w:divBdr>
        <w:top w:val="none" w:sz="0" w:space="0" w:color="auto"/>
        <w:left w:val="none" w:sz="0" w:space="0" w:color="auto"/>
        <w:bottom w:val="none" w:sz="0" w:space="0" w:color="auto"/>
        <w:right w:val="none" w:sz="0" w:space="0" w:color="auto"/>
      </w:divBdr>
    </w:div>
    <w:div w:id="1164706838">
      <w:bodyDiv w:val="1"/>
      <w:marLeft w:val="0"/>
      <w:marRight w:val="0"/>
      <w:marTop w:val="0"/>
      <w:marBottom w:val="0"/>
      <w:divBdr>
        <w:top w:val="none" w:sz="0" w:space="0" w:color="auto"/>
        <w:left w:val="none" w:sz="0" w:space="0" w:color="auto"/>
        <w:bottom w:val="none" w:sz="0" w:space="0" w:color="auto"/>
        <w:right w:val="none" w:sz="0" w:space="0" w:color="auto"/>
      </w:divBdr>
    </w:div>
    <w:div w:id="1164777360">
      <w:bodyDiv w:val="1"/>
      <w:marLeft w:val="0"/>
      <w:marRight w:val="0"/>
      <w:marTop w:val="0"/>
      <w:marBottom w:val="0"/>
      <w:divBdr>
        <w:top w:val="none" w:sz="0" w:space="0" w:color="auto"/>
        <w:left w:val="none" w:sz="0" w:space="0" w:color="auto"/>
        <w:bottom w:val="none" w:sz="0" w:space="0" w:color="auto"/>
        <w:right w:val="none" w:sz="0" w:space="0" w:color="auto"/>
      </w:divBdr>
    </w:div>
    <w:div w:id="1164860472">
      <w:bodyDiv w:val="1"/>
      <w:marLeft w:val="0"/>
      <w:marRight w:val="0"/>
      <w:marTop w:val="0"/>
      <w:marBottom w:val="0"/>
      <w:divBdr>
        <w:top w:val="none" w:sz="0" w:space="0" w:color="auto"/>
        <w:left w:val="none" w:sz="0" w:space="0" w:color="auto"/>
        <w:bottom w:val="none" w:sz="0" w:space="0" w:color="auto"/>
        <w:right w:val="none" w:sz="0" w:space="0" w:color="auto"/>
      </w:divBdr>
    </w:div>
    <w:div w:id="1165165322">
      <w:bodyDiv w:val="1"/>
      <w:marLeft w:val="0"/>
      <w:marRight w:val="0"/>
      <w:marTop w:val="0"/>
      <w:marBottom w:val="0"/>
      <w:divBdr>
        <w:top w:val="none" w:sz="0" w:space="0" w:color="auto"/>
        <w:left w:val="none" w:sz="0" w:space="0" w:color="auto"/>
        <w:bottom w:val="none" w:sz="0" w:space="0" w:color="auto"/>
        <w:right w:val="none" w:sz="0" w:space="0" w:color="auto"/>
      </w:divBdr>
    </w:div>
    <w:div w:id="1165435911">
      <w:bodyDiv w:val="1"/>
      <w:marLeft w:val="0"/>
      <w:marRight w:val="0"/>
      <w:marTop w:val="0"/>
      <w:marBottom w:val="0"/>
      <w:divBdr>
        <w:top w:val="none" w:sz="0" w:space="0" w:color="auto"/>
        <w:left w:val="none" w:sz="0" w:space="0" w:color="auto"/>
        <w:bottom w:val="none" w:sz="0" w:space="0" w:color="auto"/>
        <w:right w:val="none" w:sz="0" w:space="0" w:color="auto"/>
      </w:divBdr>
    </w:div>
    <w:div w:id="1165440918">
      <w:bodyDiv w:val="1"/>
      <w:marLeft w:val="0"/>
      <w:marRight w:val="0"/>
      <w:marTop w:val="0"/>
      <w:marBottom w:val="0"/>
      <w:divBdr>
        <w:top w:val="none" w:sz="0" w:space="0" w:color="auto"/>
        <w:left w:val="none" w:sz="0" w:space="0" w:color="auto"/>
        <w:bottom w:val="none" w:sz="0" w:space="0" w:color="auto"/>
        <w:right w:val="none" w:sz="0" w:space="0" w:color="auto"/>
      </w:divBdr>
    </w:div>
    <w:div w:id="1165557984">
      <w:bodyDiv w:val="1"/>
      <w:marLeft w:val="0"/>
      <w:marRight w:val="0"/>
      <w:marTop w:val="0"/>
      <w:marBottom w:val="0"/>
      <w:divBdr>
        <w:top w:val="none" w:sz="0" w:space="0" w:color="auto"/>
        <w:left w:val="none" w:sz="0" w:space="0" w:color="auto"/>
        <w:bottom w:val="none" w:sz="0" w:space="0" w:color="auto"/>
        <w:right w:val="none" w:sz="0" w:space="0" w:color="auto"/>
      </w:divBdr>
    </w:div>
    <w:div w:id="1165583222">
      <w:bodyDiv w:val="1"/>
      <w:marLeft w:val="0"/>
      <w:marRight w:val="0"/>
      <w:marTop w:val="0"/>
      <w:marBottom w:val="0"/>
      <w:divBdr>
        <w:top w:val="none" w:sz="0" w:space="0" w:color="auto"/>
        <w:left w:val="none" w:sz="0" w:space="0" w:color="auto"/>
        <w:bottom w:val="none" w:sz="0" w:space="0" w:color="auto"/>
        <w:right w:val="none" w:sz="0" w:space="0" w:color="auto"/>
      </w:divBdr>
    </w:div>
    <w:div w:id="1165627191">
      <w:bodyDiv w:val="1"/>
      <w:marLeft w:val="0"/>
      <w:marRight w:val="0"/>
      <w:marTop w:val="0"/>
      <w:marBottom w:val="0"/>
      <w:divBdr>
        <w:top w:val="none" w:sz="0" w:space="0" w:color="auto"/>
        <w:left w:val="none" w:sz="0" w:space="0" w:color="auto"/>
        <w:bottom w:val="none" w:sz="0" w:space="0" w:color="auto"/>
        <w:right w:val="none" w:sz="0" w:space="0" w:color="auto"/>
      </w:divBdr>
    </w:div>
    <w:div w:id="1165709070">
      <w:bodyDiv w:val="1"/>
      <w:marLeft w:val="0"/>
      <w:marRight w:val="0"/>
      <w:marTop w:val="0"/>
      <w:marBottom w:val="0"/>
      <w:divBdr>
        <w:top w:val="none" w:sz="0" w:space="0" w:color="auto"/>
        <w:left w:val="none" w:sz="0" w:space="0" w:color="auto"/>
        <w:bottom w:val="none" w:sz="0" w:space="0" w:color="auto"/>
        <w:right w:val="none" w:sz="0" w:space="0" w:color="auto"/>
      </w:divBdr>
    </w:div>
    <w:div w:id="1165778268">
      <w:bodyDiv w:val="1"/>
      <w:marLeft w:val="0"/>
      <w:marRight w:val="0"/>
      <w:marTop w:val="0"/>
      <w:marBottom w:val="0"/>
      <w:divBdr>
        <w:top w:val="none" w:sz="0" w:space="0" w:color="auto"/>
        <w:left w:val="none" w:sz="0" w:space="0" w:color="auto"/>
        <w:bottom w:val="none" w:sz="0" w:space="0" w:color="auto"/>
        <w:right w:val="none" w:sz="0" w:space="0" w:color="auto"/>
      </w:divBdr>
    </w:div>
    <w:div w:id="1165827209">
      <w:bodyDiv w:val="1"/>
      <w:marLeft w:val="0"/>
      <w:marRight w:val="0"/>
      <w:marTop w:val="0"/>
      <w:marBottom w:val="0"/>
      <w:divBdr>
        <w:top w:val="none" w:sz="0" w:space="0" w:color="auto"/>
        <w:left w:val="none" w:sz="0" w:space="0" w:color="auto"/>
        <w:bottom w:val="none" w:sz="0" w:space="0" w:color="auto"/>
        <w:right w:val="none" w:sz="0" w:space="0" w:color="auto"/>
      </w:divBdr>
    </w:div>
    <w:div w:id="1165827702">
      <w:bodyDiv w:val="1"/>
      <w:marLeft w:val="0"/>
      <w:marRight w:val="0"/>
      <w:marTop w:val="0"/>
      <w:marBottom w:val="0"/>
      <w:divBdr>
        <w:top w:val="none" w:sz="0" w:space="0" w:color="auto"/>
        <w:left w:val="none" w:sz="0" w:space="0" w:color="auto"/>
        <w:bottom w:val="none" w:sz="0" w:space="0" w:color="auto"/>
        <w:right w:val="none" w:sz="0" w:space="0" w:color="auto"/>
      </w:divBdr>
    </w:div>
    <w:div w:id="1165974696">
      <w:bodyDiv w:val="1"/>
      <w:marLeft w:val="0"/>
      <w:marRight w:val="0"/>
      <w:marTop w:val="0"/>
      <w:marBottom w:val="0"/>
      <w:divBdr>
        <w:top w:val="none" w:sz="0" w:space="0" w:color="auto"/>
        <w:left w:val="none" w:sz="0" w:space="0" w:color="auto"/>
        <w:bottom w:val="none" w:sz="0" w:space="0" w:color="auto"/>
        <w:right w:val="none" w:sz="0" w:space="0" w:color="auto"/>
      </w:divBdr>
    </w:div>
    <w:div w:id="1166017758">
      <w:bodyDiv w:val="1"/>
      <w:marLeft w:val="0"/>
      <w:marRight w:val="0"/>
      <w:marTop w:val="0"/>
      <w:marBottom w:val="0"/>
      <w:divBdr>
        <w:top w:val="none" w:sz="0" w:space="0" w:color="auto"/>
        <w:left w:val="none" w:sz="0" w:space="0" w:color="auto"/>
        <w:bottom w:val="none" w:sz="0" w:space="0" w:color="auto"/>
        <w:right w:val="none" w:sz="0" w:space="0" w:color="auto"/>
      </w:divBdr>
    </w:div>
    <w:div w:id="1166045038">
      <w:bodyDiv w:val="1"/>
      <w:marLeft w:val="0"/>
      <w:marRight w:val="0"/>
      <w:marTop w:val="0"/>
      <w:marBottom w:val="0"/>
      <w:divBdr>
        <w:top w:val="none" w:sz="0" w:space="0" w:color="auto"/>
        <w:left w:val="none" w:sz="0" w:space="0" w:color="auto"/>
        <w:bottom w:val="none" w:sz="0" w:space="0" w:color="auto"/>
        <w:right w:val="none" w:sz="0" w:space="0" w:color="auto"/>
      </w:divBdr>
    </w:div>
    <w:div w:id="1166169121">
      <w:bodyDiv w:val="1"/>
      <w:marLeft w:val="0"/>
      <w:marRight w:val="0"/>
      <w:marTop w:val="0"/>
      <w:marBottom w:val="0"/>
      <w:divBdr>
        <w:top w:val="none" w:sz="0" w:space="0" w:color="auto"/>
        <w:left w:val="none" w:sz="0" w:space="0" w:color="auto"/>
        <w:bottom w:val="none" w:sz="0" w:space="0" w:color="auto"/>
        <w:right w:val="none" w:sz="0" w:space="0" w:color="auto"/>
      </w:divBdr>
    </w:div>
    <w:div w:id="1166435283">
      <w:bodyDiv w:val="1"/>
      <w:marLeft w:val="0"/>
      <w:marRight w:val="0"/>
      <w:marTop w:val="0"/>
      <w:marBottom w:val="0"/>
      <w:divBdr>
        <w:top w:val="none" w:sz="0" w:space="0" w:color="auto"/>
        <w:left w:val="none" w:sz="0" w:space="0" w:color="auto"/>
        <w:bottom w:val="none" w:sz="0" w:space="0" w:color="auto"/>
        <w:right w:val="none" w:sz="0" w:space="0" w:color="auto"/>
      </w:divBdr>
    </w:div>
    <w:div w:id="1166478027">
      <w:bodyDiv w:val="1"/>
      <w:marLeft w:val="0"/>
      <w:marRight w:val="0"/>
      <w:marTop w:val="0"/>
      <w:marBottom w:val="0"/>
      <w:divBdr>
        <w:top w:val="none" w:sz="0" w:space="0" w:color="auto"/>
        <w:left w:val="none" w:sz="0" w:space="0" w:color="auto"/>
        <w:bottom w:val="none" w:sz="0" w:space="0" w:color="auto"/>
        <w:right w:val="none" w:sz="0" w:space="0" w:color="auto"/>
      </w:divBdr>
    </w:div>
    <w:div w:id="1166553510">
      <w:bodyDiv w:val="1"/>
      <w:marLeft w:val="0"/>
      <w:marRight w:val="0"/>
      <w:marTop w:val="0"/>
      <w:marBottom w:val="0"/>
      <w:divBdr>
        <w:top w:val="none" w:sz="0" w:space="0" w:color="auto"/>
        <w:left w:val="none" w:sz="0" w:space="0" w:color="auto"/>
        <w:bottom w:val="none" w:sz="0" w:space="0" w:color="auto"/>
        <w:right w:val="none" w:sz="0" w:space="0" w:color="auto"/>
      </w:divBdr>
    </w:div>
    <w:div w:id="1166700606">
      <w:bodyDiv w:val="1"/>
      <w:marLeft w:val="0"/>
      <w:marRight w:val="0"/>
      <w:marTop w:val="0"/>
      <w:marBottom w:val="0"/>
      <w:divBdr>
        <w:top w:val="none" w:sz="0" w:space="0" w:color="auto"/>
        <w:left w:val="none" w:sz="0" w:space="0" w:color="auto"/>
        <w:bottom w:val="none" w:sz="0" w:space="0" w:color="auto"/>
        <w:right w:val="none" w:sz="0" w:space="0" w:color="auto"/>
      </w:divBdr>
    </w:div>
    <w:div w:id="1166824736">
      <w:bodyDiv w:val="1"/>
      <w:marLeft w:val="0"/>
      <w:marRight w:val="0"/>
      <w:marTop w:val="0"/>
      <w:marBottom w:val="0"/>
      <w:divBdr>
        <w:top w:val="none" w:sz="0" w:space="0" w:color="auto"/>
        <w:left w:val="none" w:sz="0" w:space="0" w:color="auto"/>
        <w:bottom w:val="none" w:sz="0" w:space="0" w:color="auto"/>
        <w:right w:val="none" w:sz="0" w:space="0" w:color="auto"/>
      </w:divBdr>
    </w:div>
    <w:div w:id="1166828029">
      <w:bodyDiv w:val="1"/>
      <w:marLeft w:val="0"/>
      <w:marRight w:val="0"/>
      <w:marTop w:val="0"/>
      <w:marBottom w:val="0"/>
      <w:divBdr>
        <w:top w:val="none" w:sz="0" w:space="0" w:color="auto"/>
        <w:left w:val="none" w:sz="0" w:space="0" w:color="auto"/>
        <w:bottom w:val="none" w:sz="0" w:space="0" w:color="auto"/>
        <w:right w:val="none" w:sz="0" w:space="0" w:color="auto"/>
      </w:divBdr>
    </w:div>
    <w:div w:id="1166941740">
      <w:bodyDiv w:val="1"/>
      <w:marLeft w:val="0"/>
      <w:marRight w:val="0"/>
      <w:marTop w:val="0"/>
      <w:marBottom w:val="0"/>
      <w:divBdr>
        <w:top w:val="none" w:sz="0" w:space="0" w:color="auto"/>
        <w:left w:val="none" w:sz="0" w:space="0" w:color="auto"/>
        <w:bottom w:val="none" w:sz="0" w:space="0" w:color="auto"/>
        <w:right w:val="none" w:sz="0" w:space="0" w:color="auto"/>
      </w:divBdr>
    </w:div>
    <w:div w:id="1167138663">
      <w:bodyDiv w:val="1"/>
      <w:marLeft w:val="0"/>
      <w:marRight w:val="0"/>
      <w:marTop w:val="0"/>
      <w:marBottom w:val="0"/>
      <w:divBdr>
        <w:top w:val="none" w:sz="0" w:space="0" w:color="auto"/>
        <w:left w:val="none" w:sz="0" w:space="0" w:color="auto"/>
        <w:bottom w:val="none" w:sz="0" w:space="0" w:color="auto"/>
        <w:right w:val="none" w:sz="0" w:space="0" w:color="auto"/>
      </w:divBdr>
    </w:div>
    <w:div w:id="1167162464">
      <w:bodyDiv w:val="1"/>
      <w:marLeft w:val="0"/>
      <w:marRight w:val="0"/>
      <w:marTop w:val="0"/>
      <w:marBottom w:val="0"/>
      <w:divBdr>
        <w:top w:val="none" w:sz="0" w:space="0" w:color="auto"/>
        <w:left w:val="none" w:sz="0" w:space="0" w:color="auto"/>
        <w:bottom w:val="none" w:sz="0" w:space="0" w:color="auto"/>
        <w:right w:val="none" w:sz="0" w:space="0" w:color="auto"/>
      </w:divBdr>
    </w:div>
    <w:div w:id="1167357509">
      <w:bodyDiv w:val="1"/>
      <w:marLeft w:val="0"/>
      <w:marRight w:val="0"/>
      <w:marTop w:val="0"/>
      <w:marBottom w:val="0"/>
      <w:divBdr>
        <w:top w:val="none" w:sz="0" w:space="0" w:color="auto"/>
        <w:left w:val="none" w:sz="0" w:space="0" w:color="auto"/>
        <w:bottom w:val="none" w:sz="0" w:space="0" w:color="auto"/>
        <w:right w:val="none" w:sz="0" w:space="0" w:color="auto"/>
      </w:divBdr>
    </w:div>
    <w:div w:id="1167402814">
      <w:bodyDiv w:val="1"/>
      <w:marLeft w:val="0"/>
      <w:marRight w:val="0"/>
      <w:marTop w:val="0"/>
      <w:marBottom w:val="0"/>
      <w:divBdr>
        <w:top w:val="none" w:sz="0" w:space="0" w:color="auto"/>
        <w:left w:val="none" w:sz="0" w:space="0" w:color="auto"/>
        <w:bottom w:val="none" w:sz="0" w:space="0" w:color="auto"/>
        <w:right w:val="none" w:sz="0" w:space="0" w:color="auto"/>
      </w:divBdr>
    </w:div>
    <w:div w:id="1167406574">
      <w:bodyDiv w:val="1"/>
      <w:marLeft w:val="0"/>
      <w:marRight w:val="0"/>
      <w:marTop w:val="0"/>
      <w:marBottom w:val="0"/>
      <w:divBdr>
        <w:top w:val="none" w:sz="0" w:space="0" w:color="auto"/>
        <w:left w:val="none" w:sz="0" w:space="0" w:color="auto"/>
        <w:bottom w:val="none" w:sz="0" w:space="0" w:color="auto"/>
        <w:right w:val="none" w:sz="0" w:space="0" w:color="auto"/>
      </w:divBdr>
    </w:div>
    <w:div w:id="1167480729">
      <w:bodyDiv w:val="1"/>
      <w:marLeft w:val="0"/>
      <w:marRight w:val="0"/>
      <w:marTop w:val="0"/>
      <w:marBottom w:val="0"/>
      <w:divBdr>
        <w:top w:val="none" w:sz="0" w:space="0" w:color="auto"/>
        <w:left w:val="none" w:sz="0" w:space="0" w:color="auto"/>
        <w:bottom w:val="none" w:sz="0" w:space="0" w:color="auto"/>
        <w:right w:val="none" w:sz="0" w:space="0" w:color="auto"/>
      </w:divBdr>
    </w:div>
    <w:div w:id="1167667095">
      <w:bodyDiv w:val="1"/>
      <w:marLeft w:val="0"/>
      <w:marRight w:val="0"/>
      <w:marTop w:val="0"/>
      <w:marBottom w:val="0"/>
      <w:divBdr>
        <w:top w:val="none" w:sz="0" w:space="0" w:color="auto"/>
        <w:left w:val="none" w:sz="0" w:space="0" w:color="auto"/>
        <w:bottom w:val="none" w:sz="0" w:space="0" w:color="auto"/>
        <w:right w:val="none" w:sz="0" w:space="0" w:color="auto"/>
      </w:divBdr>
    </w:div>
    <w:div w:id="1167676087">
      <w:bodyDiv w:val="1"/>
      <w:marLeft w:val="0"/>
      <w:marRight w:val="0"/>
      <w:marTop w:val="0"/>
      <w:marBottom w:val="0"/>
      <w:divBdr>
        <w:top w:val="none" w:sz="0" w:space="0" w:color="auto"/>
        <w:left w:val="none" w:sz="0" w:space="0" w:color="auto"/>
        <w:bottom w:val="none" w:sz="0" w:space="0" w:color="auto"/>
        <w:right w:val="none" w:sz="0" w:space="0" w:color="auto"/>
      </w:divBdr>
    </w:div>
    <w:div w:id="1167860755">
      <w:bodyDiv w:val="1"/>
      <w:marLeft w:val="0"/>
      <w:marRight w:val="0"/>
      <w:marTop w:val="0"/>
      <w:marBottom w:val="0"/>
      <w:divBdr>
        <w:top w:val="none" w:sz="0" w:space="0" w:color="auto"/>
        <w:left w:val="none" w:sz="0" w:space="0" w:color="auto"/>
        <w:bottom w:val="none" w:sz="0" w:space="0" w:color="auto"/>
        <w:right w:val="none" w:sz="0" w:space="0" w:color="auto"/>
      </w:divBdr>
    </w:div>
    <w:div w:id="1167865071">
      <w:bodyDiv w:val="1"/>
      <w:marLeft w:val="0"/>
      <w:marRight w:val="0"/>
      <w:marTop w:val="0"/>
      <w:marBottom w:val="0"/>
      <w:divBdr>
        <w:top w:val="none" w:sz="0" w:space="0" w:color="auto"/>
        <w:left w:val="none" w:sz="0" w:space="0" w:color="auto"/>
        <w:bottom w:val="none" w:sz="0" w:space="0" w:color="auto"/>
        <w:right w:val="none" w:sz="0" w:space="0" w:color="auto"/>
      </w:divBdr>
    </w:div>
    <w:div w:id="1167939438">
      <w:bodyDiv w:val="1"/>
      <w:marLeft w:val="0"/>
      <w:marRight w:val="0"/>
      <w:marTop w:val="0"/>
      <w:marBottom w:val="0"/>
      <w:divBdr>
        <w:top w:val="none" w:sz="0" w:space="0" w:color="auto"/>
        <w:left w:val="none" w:sz="0" w:space="0" w:color="auto"/>
        <w:bottom w:val="none" w:sz="0" w:space="0" w:color="auto"/>
        <w:right w:val="none" w:sz="0" w:space="0" w:color="auto"/>
      </w:divBdr>
    </w:div>
    <w:div w:id="1167987543">
      <w:bodyDiv w:val="1"/>
      <w:marLeft w:val="0"/>
      <w:marRight w:val="0"/>
      <w:marTop w:val="0"/>
      <w:marBottom w:val="0"/>
      <w:divBdr>
        <w:top w:val="none" w:sz="0" w:space="0" w:color="auto"/>
        <w:left w:val="none" w:sz="0" w:space="0" w:color="auto"/>
        <w:bottom w:val="none" w:sz="0" w:space="0" w:color="auto"/>
        <w:right w:val="none" w:sz="0" w:space="0" w:color="auto"/>
      </w:divBdr>
    </w:div>
    <w:div w:id="1168059365">
      <w:bodyDiv w:val="1"/>
      <w:marLeft w:val="0"/>
      <w:marRight w:val="0"/>
      <w:marTop w:val="0"/>
      <w:marBottom w:val="0"/>
      <w:divBdr>
        <w:top w:val="none" w:sz="0" w:space="0" w:color="auto"/>
        <w:left w:val="none" w:sz="0" w:space="0" w:color="auto"/>
        <w:bottom w:val="none" w:sz="0" w:space="0" w:color="auto"/>
        <w:right w:val="none" w:sz="0" w:space="0" w:color="auto"/>
      </w:divBdr>
    </w:div>
    <w:div w:id="1168137291">
      <w:bodyDiv w:val="1"/>
      <w:marLeft w:val="0"/>
      <w:marRight w:val="0"/>
      <w:marTop w:val="0"/>
      <w:marBottom w:val="0"/>
      <w:divBdr>
        <w:top w:val="none" w:sz="0" w:space="0" w:color="auto"/>
        <w:left w:val="none" w:sz="0" w:space="0" w:color="auto"/>
        <w:bottom w:val="none" w:sz="0" w:space="0" w:color="auto"/>
        <w:right w:val="none" w:sz="0" w:space="0" w:color="auto"/>
      </w:divBdr>
    </w:div>
    <w:div w:id="1168327006">
      <w:bodyDiv w:val="1"/>
      <w:marLeft w:val="0"/>
      <w:marRight w:val="0"/>
      <w:marTop w:val="0"/>
      <w:marBottom w:val="0"/>
      <w:divBdr>
        <w:top w:val="none" w:sz="0" w:space="0" w:color="auto"/>
        <w:left w:val="none" w:sz="0" w:space="0" w:color="auto"/>
        <w:bottom w:val="none" w:sz="0" w:space="0" w:color="auto"/>
        <w:right w:val="none" w:sz="0" w:space="0" w:color="auto"/>
      </w:divBdr>
    </w:div>
    <w:div w:id="1168399167">
      <w:bodyDiv w:val="1"/>
      <w:marLeft w:val="0"/>
      <w:marRight w:val="0"/>
      <w:marTop w:val="0"/>
      <w:marBottom w:val="0"/>
      <w:divBdr>
        <w:top w:val="none" w:sz="0" w:space="0" w:color="auto"/>
        <w:left w:val="none" w:sz="0" w:space="0" w:color="auto"/>
        <w:bottom w:val="none" w:sz="0" w:space="0" w:color="auto"/>
        <w:right w:val="none" w:sz="0" w:space="0" w:color="auto"/>
      </w:divBdr>
    </w:div>
    <w:div w:id="1168404379">
      <w:bodyDiv w:val="1"/>
      <w:marLeft w:val="0"/>
      <w:marRight w:val="0"/>
      <w:marTop w:val="0"/>
      <w:marBottom w:val="0"/>
      <w:divBdr>
        <w:top w:val="none" w:sz="0" w:space="0" w:color="auto"/>
        <w:left w:val="none" w:sz="0" w:space="0" w:color="auto"/>
        <w:bottom w:val="none" w:sz="0" w:space="0" w:color="auto"/>
        <w:right w:val="none" w:sz="0" w:space="0" w:color="auto"/>
      </w:divBdr>
    </w:div>
    <w:div w:id="1168441463">
      <w:bodyDiv w:val="1"/>
      <w:marLeft w:val="0"/>
      <w:marRight w:val="0"/>
      <w:marTop w:val="0"/>
      <w:marBottom w:val="0"/>
      <w:divBdr>
        <w:top w:val="none" w:sz="0" w:space="0" w:color="auto"/>
        <w:left w:val="none" w:sz="0" w:space="0" w:color="auto"/>
        <w:bottom w:val="none" w:sz="0" w:space="0" w:color="auto"/>
        <w:right w:val="none" w:sz="0" w:space="0" w:color="auto"/>
      </w:divBdr>
    </w:div>
    <w:div w:id="1168445287">
      <w:bodyDiv w:val="1"/>
      <w:marLeft w:val="0"/>
      <w:marRight w:val="0"/>
      <w:marTop w:val="0"/>
      <w:marBottom w:val="0"/>
      <w:divBdr>
        <w:top w:val="none" w:sz="0" w:space="0" w:color="auto"/>
        <w:left w:val="none" w:sz="0" w:space="0" w:color="auto"/>
        <w:bottom w:val="none" w:sz="0" w:space="0" w:color="auto"/>
        <w:right w:val="none" w:sz="0" w:space="0" w:color="auto"/>
      </w:divBdr>
    </w:div>
    <w:div w:id="1168521619">
      <w:bodyDiv w:val="1"/>
      <w:marLeft w:val="0"/>
      <w:marRight w:val="0"/>
      <w:marTop w:val="0"/>
      <w:marBottom w:val="0"/>
      <w:divBdr>
        <w:top w:val="none" w:sz="0" w:space="0" w:color="auto"/>
        <w:left w:val="none" w:sz="0" w:space="0" w:color="auto"/>
        <w:bottom w:val="none" w:sz="0" w:space="0" w:color="auto"/>
        <w:right w:val="none" w:sz="0" w:space="0" w:color="auto"/>
      </w:divBdr>
    </w:div>
    <w:div w:id="1168597553">
      <w:bodyDiv w:val="1"/>
      <w:marLeft w:val="0"/>
      <w:marRight w:val="0"/>
      <w:marTop w:val="0"/>
      <w:marBottom w:val="0"/>
      <w:divBdr>
        <w:top w:val="none" w:sz="0" w:space="0" w:color="auto"/>
        <w:left w:val="none" w:sz="0" w:space="0" w:color="auto"/>
        <w:bottom w:val="none" w:sz="0" w:space="0" w:color="auto"/>
        <w:right w:val="none" w:sz="0" w:space="0" w:color="auto"/>
      </w:divBdr>
    </w:div>
    <w:div w:id="1168640486">
      <w:bodyDiv w:val="1"/>
      <w:marLeft w:val="0"/>
      <w:marRight w:val="0"/>
      <w:marTop w:val="0"/>
      <w:marBottom w:val="0"/>
      <w:divBdr>
        <w:top w:val="none" w:sz="0" w:space="0" w:color="auto"/>
        <w:left w:val="none" w:sz="0" w:space="0" w:color="auto"/>
        <w:bottom w:val="none" w:sz="0" w:space="0" w:color="auto"/>
        <w:right w:val="none" w:sz="0" w:space="0" w:color="auto"/>
      </w:divBdr>
    </w:div>
    <w:div w:id="1168669503">
      <w:bodyDiv w:val="1"/>
      <w:marLeft w:val="0"/>
      <w:marRight w:val="0"/>
      <w:marTop w:val="0"/>
      <w:marBottom w:val="0"/>
      <w:divBdr>
        <w:top w:val="none" w:sz="0" w:space="0" w:color="auto"/>
        <w:left w:val="none" w:sz="0" w:space="0" w:color="auto"/>
        <w:bottom w:val="none" w:sz="0" w:space="0" w:color="auto"/>
        <w:right w:val="none" w:sz="0" w:space="0" w:color="auto"/>
      </w:divBdr>
    </w:div>
    <w:div w:id="1168670416">
      <w:bodyDiv w:val="1"/>
      <w:marLeft w:val="0"/>
      <w:marRight w:val="0"/>
      <w:marTop w:val="0"/>
      <w:marBottom w:val="0"/>
      <w:divBdr>
        <w:top w:val="none" w:sz="0" w:space="0" w:color="auto"/>
        <w:left w:val="none" w:sz="0" w:space="0" w:color="auto"/>
        <w:bottom w:val="none" w:sz="0" w:space="0" w:color="auto"/>
        <w:right w:val="none" w:sz="0" w:space="0" w:color="auto"/>
      </w:divBdr>
    </w:div>
    <w:div w:id="1168713015">
      <w:bodyDiv w:val="1"/>
      <w:marLeft w:val="0"/>
      <w:marRight w:val="0"/>
      <w:marTop w:val="0"/>
      <w:marBottom w:val="0"/>
      <w:divBdr>
        <w:top w:val="none" w:sz="0" w:space="0" w:color="auto"/>
        <w:left w:val="none" w:sz="0" w:space="0" w:color="auto"/>
        <w:bottom w:val="none" w:sz="0" w:space="0" w:color="auto"/>
        <w:right w:val="none" w:sz="0" w:space="0" w:color="auto"/>
      </w:divBdr>
    </w:div>
    <w:div w:id="1168717529">
      <w:bodyDiv w:val="1"/>
      <w:marLeft w:val="0"/>
      <w:marRight w:val="0"/>
      <w:marTop w:val="0"/>
      <w:marBottom w:val="0"/>
      <w:divBdr>
        <w:top w:val="none" w:sz="0" w:space="0" w:color="auto"/>
        <w:left w:val="none" w:sz="0" w:space="0" w:color="auto"/>
        <w:bottom w:val="none" w:sz="0" w:space="0" w:color="auto"/>
        <w:right w:val="none" w:sz="0" w:space="0" w:color="auto"/>
      </w:divBdr>
    </w:div>
    <w:div w:id="1168784160">
      <w:bodyDiv w:val="1"/>
      <w:marLeft w:val="0"/>
      <w:marRight w:val="0"/>
      <w:marTop w:val="0"/>
      <w:marBottom w:val="0"/>
      <w:divBdr>
        <w:top w:val="none" w:sz="0" w:space="0" w:color="auto"/>
        <w:left w:val="none" w:sz="0" w:space="0" w:color="auto"/>
        <w:bottom w:val="none" w:sz="0" w:space="0" w:color="auto"/>
        <w:right w:val="none" w:sz="0" w:space="0" w:color="auto"/>
      </w:divBdr>
    </w:div>
    <w:div w:id="1168791466">
      <w:bodyDiv w:val="1"/>
      <w:marLeft w:val="0"/>
      <w:marRight w:val="0"/>
      <w:marTop w:val="0"/>
      <w:marBottom w:val="0"/>
      <w:divBdr>
        <w:top w:val="none" w:sz="0" w:space="0" w:color="auto"/>
        <w:left w:val="none" w:sz="0" w:space="0" w:color="auto"/>
        <w:bottom w:val="none" w:sz="0" w:space="0" w:color="auto"/>
        <w:right w:val="none" w:sz="0" w:space="0" w:color="auto"/>
      </w:divBdr>
    </w:div>
    <w:div w:id="1168792530">
      <w:bodyDiv w:val="1"/>
      <w:marLeft w:val="0"/>
      <w:marRight w:val="0"/>
      <w:marTop w:val="0"/>
      <w:marBottom w:val="0"/>
      <w:divBdr>
        <w:top w:val="none" w:sz="0" w:space="0" w:color="auto"/>
        <w:left w:val="none" w:sz="0" w:space="0" w:color="auto"/>
        <w:bottom w:val="none" w:sz="0" w:space="0" w:color="auto"/>
        <w:right w:val="none" w:sz="0" w:space="0" w:color="auto"/>
      </w:divBdr>
    </w:div>
    <w:div w:id="1168866905">
      <w:bodyDiv w:val="1"/>
      <w:marLeft w:val="0"/>
      <w:marRight w:val="0"/>
      <w:marTop w:val="0"/>
      <w:marBottom w:val="0"/>
      <w:divBdr>
        <w:top w:val="none" w:sz="0" w:space="0" w:color="auto"/>
        <w:left w:val="none" w:sz="0" w:space="0" w:color="auto"/>
        <w:bottom w:val="none" w:sz="0" w:space="0" w:color="auto"/>
        <w:right w:val="none" w:sz="0" w:space="0" w:color="auto"/>
      </w:divBdr>
    </w:div>
    <w:div w:id="1168867190">
      <w:bodyDiv w:val="1"/>
      <w:marLeft w:val="0"/>
      <w:marRight w:val="0"/>
      <w:marTop w:val="0"/>
      <w:marBottom w:val="0"/>
      <w:divBdr>
        <w:top w:val="none" w:sz="0" w:space="0" w:color="auto"/>
        <w:left w:val="none" w:sz="0" w:space="0" w:color="auto"/>
        <w:bottom w:val="none" w:sz="0" w:space="0" w:color="auto"/>
        <w:right w:val="none" w:sz="0" w:space="0" w:color="auto"/>
      </w:divBdr>
    </w:div>
    <w:div w:id="1168904971">
      <w:bodyDiv w:val="1"/>
      <w:marLeft w:val="0"/>
      <w:marRight w:val="0"/>
      <w:marTop w:val="0"/>
      <w:marBottom w:val="0"/>
      <w:divBdr>
        <w:top w:val="none" w:sz="0" w:space="0" w:color="auto"/>
        <w:left w:val="none" w:sz="0" w:space="0" w:color="auto"/>
        <w:bottom w:val="none" w:sz="0" w:space="0" w:color="auto"/>
        <w:right w:val="none" w:sz="0" w:space="0" w:color="auto"/>
      </w:divBdr>
    </w:div>
    <w:div w:id="1169174407">
      <w:bodyDiv w:val="1"/>
      <w:marLeft w:val="0"/>
      <w:marRight w:val="0"/>
      <w:marTop w:val="0"/>
      <w:marBottom w:val="0"/>
      <w:divBdr>
        <w:top w:val="none" w:sz="0" w:space="0" w:color="auto"/>
        <w:left w:val="none" w:sz="0" w:space="0" w:color="auto"/>
        <w:bottom w:val="none" w:sz="0" w:space="0" w:color="auto"/>
        <w:right w:val="none" w:sz="0" w:space="0" w:color="auto"/>
      </w:divBdr>
    </w:div>
    <w:div w:id="1169251378">
      <w:bodyDiv w:val="1"/>
      <w:marLeft w:val="0"/>
      <w:marRight w:val="0"/>
      <w:marTop w:val="0"/>
      <w:marBottom w:val="0"/>
      <w:divBdr>
        <w:top w:val="none" w:sz="0" w:space="0" w:color="auto"/>
        <w:left w:val="none" w:sz="0" w:space="0" w:color="auto"/>
        <w:bottom w:val="none" w:sz="0" w:space="0" w:color="auto"/>
        <w:right w:val="none" w:sz="0" w:space="0" w:color="auto"/>
      </w:divBdr>
    </w:div>
    <w:div w:id="1169324309">
      <w:bodyDiv w:val="1"/>
      <w:marLeft w:val="0"/>
      <w:marRight w:val="0"/>
      <w:marTop w:val="0"/>
      <w:marBottom w:val="0"/>
      <w:divBdr>
        <w:top w:val="none" w:sz="0" w:space="0" w:color="auto"/>
        <w:left w:val="none" w:sz="0" w:space="0" w:color="auto"/>
        <w:bottom w:val="none" w:sz="0" w:space="0" w:color="auto"/>
        <w:right w:val="none" w:sz="0" w:space="0" w:color="auto"/>
      </w:divBdr>
    </w:div>
    <w:div w:id="1169365124">
      <w:bodyDiv w:val="1"/>
      <w:marLeft w:val="0"/>
      <w:marRight w:val="0"/>
      <w:marTop w:val="0"/>
      <w:marBottom w:val="0"/>
      <w:divBdr>
        <w:top w:val="none" w:sz="0" w:space="0" w:color="auto"/>
        <w:left w:val="none" w:sz="0" w:space="0" w:color="auto"/>
        <w:bottom w:val="none" w:sz="0" w:space="0" w:color="auto"/>
        <w:right w:val="none" w:sz="0" w:space="0" w:color="auto"/>
      </w:divBdr>
    </w:div>
    <w:div w:id="1169367799">
      <w:bodyDiv w:val="1"/>
      <w:marLeft w:val="0"/>
      <w:marRight w:val="0"/>
      <w:marTop w:val="0"/>
      <w:marBottom w:val="0"/>
      <w:divBdr>
        <w:top w:val="none" w:sz="0" w:space="0" w:color="auto"/>
        <w:left w:val="none" w:sz="0" w:space="0" w:color="auto"/>
        <w:bottom w:val="none" w:sz="0" w:space="0" w:color="auto"/>
        <w:right w:val="none" w:sz="0" w:space="0" w:color="auto"/>
      </w:divBdr>
    </w:div>
    <w:div w:id="1169441137">
      <w:bodyDiv w:val="1"/>
      <w:marLeft w:val="0"/>
      <w:marRight w:val="0"/>
      <w:marTop w:val="0"/>
      <w:marBottom w:val="0"/>
      <w:divBdr>
        <w:top w:val="none" w:sz="0" w:space="0" w:color="auto"/>
        <w:left w:val="none" w:sz="0" w:space="0" w:color="auto"/>
        <w:bottom w:val="none" w:sz="0" w:space="0" w:color="auto"/>
        <w:right w:val="none" w:sz="0" w:space="0" w:color="auto"/>
      </w:divBdr>
    </w:div>
    <w:div w:id="1169446569">
      <w:bodyDiv w:val="1"/>
      <w:marLeft w:val="0"/>
      <w:marRight w:val="0"/>
      <w:marTop w:val="0"/>
      <w:marBottom w:val="0"/>
      <w:divBdr>
        <w:top w:val="none" w:sz="0" w:space="0" w:color="auto"/>
        <w:left w:val="none" w:sz="0" w:space="0" w:color="auto"/>
        <w:bottom w:val="none" w:sz="0" w:space="0" w:color="auto"/>
        <w:right w:val="none" w:sz="0" w:space="0" w:color="auto"/>
      </w:divBdr>
    </w:div>
    <w:div w:id="1169448597">
      <w:bodyDiv w:val="1"/>
      <w:marLeft w:val="0"/>
      <w:marRight w:val="0"/>
      <w:marTop w:val="0"/>
      <w:marBottom w:val="0"/>
      <w:divBdr>
        <w:top w:val="none" w:sz="0" w:space="0" w:color="auto"/>
        <w:left w:val="none" w:sz="0" w:space="0" w:color="auto"/>
        <w:bottom w:val="none" w:sz="0" w:space="0" w:color="auto"/>
        <w:right w:val="none" w:sz="0" w:space="0" w:color="auto"/>
      </w:divBdr>
    </w:div>
    <w:div w:id="1169516577">
      <w:bodyDiv w:val="1"/>
      <w:marLeft w:val="0"/>
      <w:marRight w:val="0"/>
      <w:marTop w:val="0"/>
      <w:marBottom w:val="0"/>
      <w:divBdr>
        <w:top w:val="none" w:sz="0" w:space="0" w:color="auto"/>
        <w:left w:val="none" w:sz="0" w:space="0" w:color="auto"/>
        <w:bottom w:val="none" w:sz="0" w:space="0" w:color="auto"/>
        <w:right w:val="none" w:sz="0" w:space="0" w:color="auto"/>
      </w:divBdr>
    </w:div>
    <w:div w:id="1169519223">
      <w:bodyDiv w:val="1"/>
      <w:marLeft w:val="0"/>
      <w:marRight w:val="0"/>
      <w:marTop w:val="0"/>
      <w:marBottom w:val="0"/>
      <w:divBdr>
        <w:top w:val="none" w:sz="0" w:space="0" w:color="auto"/>
        <w:left w:val="none" w:sz="0" w:space="0" w:color="auto"/>
        <w:bottom w:val="none" w:sz="0" w:space="0" w:color="auto"/>
        <w:right w:val="none" w:sz="0" w:space="0" w:color="auto"/>
      </w:divBdr>
    </w:div>
    <w:div w:id="1169561841">
      <w:bodyDiv w:val="1"/>
      <w:marLeft w:val="0"/>
      <w:marRight w:val="0"/>
      <w:marTop w:val="0"/>
      <w:marBottom w:val="0"/>
      <w:divBdr>
        <w:top w:val="none" w:sz="0" w:space="0" w:color="auto"/>
        <w:left w:val="none" w:sz="0" w:space="0" w:color="auto"/>
        <w:bottom w:val="none" w:sz="0" w:space="0" w:color="auto"/>
        <w:right w:val="none" w:sz="0" w:space="0" w:color="auto"/>
      </w:divBdr>
    </w:div>
    <w:div w:id="1169561902">
      <w:bodyDiv w:val="1"/>
      <w:marLeft w:val="0"/>
      <w:marRight w:val="0"/>
      <w:marTop w:val="0"/>
      <w:marBottom w:val="0"/>
      <w:divBdr>
        <w:top w:val="none" w:sz="0" w:space="0" w:color="auto"/>
        <w:left w:val="none" w:sz="0" w:space="0" w:color="auto"/>
        <w:bottom w:val="none" w:sz="0" w:space="0" w:color="auto"/>
        <w:right w:val="none" w:sz="0" w:space="0" w:color="auto"/>
      </w:divBdr>
    </w:div>
    <w:div w:id="1169563796">
      <w:bodyDiv w:val="1"/>
      <w:marLeft w:val="0"/>
      <w:marRight w:val="0"/>
      <w:marTop w:val="0"/>
      <w:marBottom w:val="0"/>
      <w:divBdr>
        <w:top w:val="none" w:sz="0" w:space="0" w:color="auto"/>
        <w:left w:val="none" w:sz="0" w:space="0" w:color="auto"/>
        <w:bottom w:val="none" w:sz="0" w:space="0" w:color="auto"/>
        <w:right w:val="none" w:sz="0" w:space="0" w:color="auto"/>
      </w:divBdr>
    </w:div>
    <w:div w:id="1169635917">
      <w:bodyDiv w:val="1"/>
      <w:marLeft w:val="0"/>
      <w:marRight w:val="0"/>
      <w:marTop w:val="0"/>
      <w:marBottom w:val="0"/>
      <w:divBdr>
        <w:top w:val="none" w:sz="0" w:space="0" w:color="auto"/>
        <w:left w:val="none" w:sz="0" w:space="0" w:color="auto"/>
        <w:bottom w:val="none" w:sz="0" w:space="0" w:color="auto"/>
        <w:right w:val="none" w:sz="0" w:space="0" w:color="auto"/>
      </w:divBdr>
    </w:div>
    <w:div w:id="1169637576">
      <w:bodyDiv w:val="1"/>
      <w:marLeft w:val="0"/>
      <w:marRight w:val="0"/>
      <w:marTop w:val="0"/>
      <w:marBottom w:val="0"/>
      <w:divBdr>
        <w:top w:val="none" w:sz="0" w:space="0" w:color="auto"/>
        <w:left w:val="none" w:sz="0" w:space="0" w:color="auto"/>
        <w:bottom w:val="none" w:sz="0" w:space="0" w:color="auto"/>
        <w:right w:val="none" w:sz="0" w:space="0" w:color="auto"/>
      </w:divBdr>
    </w:div>
    <w:div w:id="1169711385">
      <w:bodyDiv w:val="1"/>
      <w:marLeft w:val="0"/>
      <w:marRight w:val="0"/>
      <w:marTop w:val="0"/>
      <w:marBottom w:val="0"/>
      <w:divBdr>
        <w:top w:val="none" w:sz="0" w:space="0" w:color="auto"/>
        <w:left w:val="none" w:sz="0" w:space="0" w:color="auto"/>
        <w:bottom w:val="none" w:sz="0" w:space="0" w:color="auto"/>
        <w:right w:val="none" w:sz="0" w:space="0" w:color="auto"/>
      </w:divBdr>
    </w:div>
    <w:div w:id="1169950487">
      <w:bodyDiv w:val="1"/>
      <w:marLeft w:val="0"/>
      <w:marRight w:val="0"/>
      <w:marTop w:val="0"/>
      <w:marBottom w:val="0"/>
      <w:divBdr>
        <w:top w:val="none" w:sz="0" w:space="0" w:color="auto"/>
        <w:left w:val="none" w:sz="0" w:space="0" w:color="auto"/>
        <w:bottom w:val="none" w:sz="0" w:space="0" w:color="auto"/>
        <w:right w:val="none" w:sz="0" w:space="0" w:color="auto"/>
      </w:divBdr>
    </w:div>
    <w:div w:id="1169953414">
      <w:bodyDiv w:val="1"/>
      <w:marLeft w:val="0"/>
      <w:marRight w:val="0"/>
      <w:marTop w:val="0"/>
      <w:marBottom w:val="0"/>
      <w:divBdr>
        <w:top w:val="none" w:sz="0" w:space="0" w:color="auto"/>
        <w:left w:val="none" w:sz="0" w:space="0" w:color="auto"/>
        <w:bottom w:val="none" w:sz="0" w:space="0" w:color="auto"/>
        <w:right w:val="none" w:sz="0" w:space="0" w:color="auto"/>
      </w:divBdr>
    </w:div>
    <w:div w:id="1169977503">
      <w:bodyDiv w:val="1"/>
      <w:marLeft w:val="0"/>
      <w:marRight w:val="0"/>
      <w:marTop w:val="0"/>
      <w:marBottom w:val="0"/>
      <w:divBdr>
        <w:top w:val="none" w:sz="0" w:space="0" w:color="auto"/>
        <w:left w:val="none" w:sz="0" w:space="0" w:color="auto"/>
        <w:bottom w:val="none" w:sz="0" w:space="0" w:color="auto"/>
        <w:right w:val="none" w:sz="0" w:space="0" w:color="auto"/>
      </w:divBdr>
    </w:div>
    <w:div w:id="1170026687">
      <w:bodyDiv w:val="1"/>
      <w:marLeft w:val="0"/>
      <w:marRight w:val="0"/>
      <w:marTop w:val="0"/>
      <w:marBottom w:val="0"/>
      <w:divBdr>
        <w:top w:val="none" w:sz="0" w:space="0" w:color="auto"/>
        <w:left w:val="none" w:sz="0" w:space="0" w:color="auto"/>
        <w:bottom w:val="none" w:sz="0" w:space="0" w:color="auto"/>
        <w:right w:val="none" w:sz="0" w:space="0" w:color="auto"/>
      </w:divBdr>
    </w:div>
    <w:div w:id="1170173413">
      <w:bodyDiv w:val="1"/>
      <w:marLeft w:val="0"/>
      <w:marRight w:val="0"/>
      <w:marTop w:val="0"/>
      <w:marBottom w:val="0"/>
      <w:divBdr>
        <w:top w:val="none" w:sz="0" w:space="0" w:color="auto"/>
        <w:left w:val="none" w:sz="0" w:space="0" w:color="auto"/>
        <w:bottom w:val="none" w:sz="0" w:space="0" w:color="auto"/>
        <w:right w:val="none" w:sz="0" w:space="0" w:color="auto"/>
      </w:divBdr>
    </w:div>
    <w:div w:id="1170294131">
      <w:bodyDiv w:val="1"/>
      <w:marLeft w:val="0"/>
      <w:marRight w:val="0"/>
      <w:marTop w:val="0"/>
      <w:marBottom w:val="0"/>
      <w:divBdr>
        <w:top w:val="none" w:sz="0" w:space="0" w:color="auto"/>
        <w:left w:val="none" w:sz="0" w:space="0" w:color="auto"/>
        <w:bottom w:val="none" w:sz="0" w:space="0" w:color="auto"/>
        <w:right w:val="none" w:sz="0" w:space="0" w:color="auto"/>
      </w:divBdr>
    </w:div>
    <w:div w:id="1170365385">
      <w:bodyDiv w:val="1"/>
      <w:marLeft w:val="0"/>
      <w:marRight w:val="0"/>
      <w:marTop w:val="0"/>
      <w:marBottom w:val="0"/>
      <w:divBdr>
        <w:top w:val="none" w:sz="0" w:space="0" w:color="auto"/>
        <w:left w:val="none" w:sz="0" w:space="0" w:color="auto"/>
        <w:bottom w:val="none" w:sz="0" w:space="0" w:color="auto"/>
        <w:right w:val="none" w:sz="0" w:space="0" w:color="auto"/>
      </w:divBdr>
    </w:div>
    <w:div w:id="1170407582">
      <w:bodyDiv w:val="1"/>
      <w:marLeft w:val="0"/>
      <w:marRight w:val="0"/>
      <w:marTop w:val="0"/>
      <w:marBottom w:val="0"/>
      <w:divBdr>
        <w:top w:val="none" w:sz="0" w:space="0" w:color="auto"/>
        <w:left w:val="none" w:sz="0" w:space="0" w:color="auto"/>
        <w:bottom w:val="none" w:sz="0" w:space="0" w:color="auto"/>
        <w:right w:val="none" w:sz="0" w:space="0" w:color="auto"/>
      </w:divBdr>
    </w:div>
    <w:div w:id="1170485352">
      <w:bodyDiv w:val="1"/>
      <w:marLeft w:val="0"/>
      <w:marRight w:val="0"/>
      <w:marTop w:val="0"/>
      <w:marBottom w:val="0"/>
      <w:divBdr>
        <w:top w:val="none" w:sz="0" w:space="0" w:color="auto"/>
        <w:left w:val="none" w:sz="0" w:space="0" w:color="auto"/>
        <w:bottom w:val="none" w:sz="0" w:space="0" w:color="auto"/>
        <w:right w:val="none" w:sz="0" w:space="0" w:color="auto"/>
      </w:divBdr>
    </w:div>
    <w:div w:id="1170557192">
      <w:bodyDiv w:val="1"/>
      <w:marLeft w:val="0"/>
      <w:marRight w:val="0"/>
      <w:marTop w:val="0"/>
      <w:marBottom w:val="0"/>
      <w:divBdr>
        <w:top w:val="none" w:sz="0" w:space="0" w:color="auto"/>
        <w:left w:val="none" w:sz="0" w:space="0" w:color="auto"/>
        <w:bottom w:val="none" w:sz="0" w:space="0" w:color="auto"/>
        <w:right w:val="none" w:sz="0" w:space="0" w:color="auto"/>
      </w:divBdr>
    </w:div>
    <w:div w:id="1170606429">
      <w:bodyDiv w:val="1"/>
      <w:marLeft w:val="0"/>
      <w:marRight w:val="0"/>
      <w:marTop w:val="0"/>
      <w:marBottom w:val="0"/>
      <w:divBdr>
        <w:top w:val="none" w:sz="0" w:space="0" w:color="auto"/>
        <w:left w:val="none" w:sz="0" w:space="0" w:color="auto"/>
        <w:bottom w:val="none" w:sz="0" w:space="0" w:color="auto"/>
        <w:right w:val="none" w:sz="0" w:space="0" w:color="auto"/>
      </w:divBdr>
    </w:div>
    <w:div w:id="1170873097">
      <w:bodyDiv w:val="1"/>
      <w:marLeft w:val="0"/>
      <w:marRight w:val="0"/>
      <w:marTop w:val="0"/>
      <w:marBottom w:val="0"/>
      <w:divBdr>
        <w:top w:val="none" w:sz="0" w:space="0" w:color="auto"/>
        <w:left w:val="none" w:sz="0" w:space="0" w:color="auto"/>
        <w:bottom w:val="none" w:sz="0" w:space="0" w:color="auto"/>
        <w:right w:val="none" w:sz="0" w:space="0" w:color="auto"/>
      </w:divBdr>
    </w:div>
    <w:div w:id="1170875044">
      <w:bodyDiv w:val="1"/>
      <w:marLeft w:val="0"/>
      <w:marRight w:val="0"/>
      <w:marTop w:val="0"/>
      <w:marBottom w:val="0"/>
      <w:divBdr>
        <w:top w:val="none" w:sz="0" w:space="0" w:color="auto"/>
        <w:left w:val="none" w:sz="0" w:space="0" w:color="auto"/>
        <w:bottom w:val="none" w:sz="0" w:space="0" w:color="auto"/>
        <w:right w:val="none" w:sz="0" w:space="0" w:color="auto"/>
      </w:divBdr>
    </w:div>
    <w:div w:id="1170948672">
      <w:bodyDiv w:val="1"/>
      <w:marLeft w:val="0"/>
      <w:marRight w:val="0"/>
      <w:marTop w:val="0"/>
      <w:marBottom w:val="0"/>
      <w:divBdr>
        <w:top w:val="none" w:sz="0" w:space="0" w:color="auto"/>
        <w:left w:val="none" w:sz="0" w:space="0" w:color="auto"/>
        <w:bottom w:val="none" w:sz="0" w:space="0" w:color="auto"/>
        <w:right w:val="none" w:sz="0" w:space="0" w:color="auto"/>
      </w:divBdr>
    </w:div>
    <w:div w:id="1171020568">
      <w:bodyDiv w:val="1"/>
      <w:marLeft w:val="0"/>
      <w:marRight w:val="0"/>
      <w:marTop w:val="0"/>
      <w:marBottom w:val="0"/>
      <w:divBdr>
        <w:top w:val="none" w:sz="0" w:space="0" w:color="auto"/>
        <w:left w:val="none" w:sz="0" w:space="0" w:color="auto"/>
        <w:bottom w:val="none" w:sz="0" w:space="0" w:color="auto"/>
        <w:right w:val="none" w:sz="0" w:space="0" w:color="auto"/>
      </w:divBdr>
    </w:div>
    <w:div w:id="1171215951">
      <w:bodyDiv w:val="1"/>
      <w:marLeft w:val="0"/>
      <w:marRight w:val="0"/>
      <w:marTop w:val="0"/>
      <w:marBottom w:val="0"/>
      <w:divBdr>
        <w:top w:val="none" w:sz="0" w:space="0" w:color="auto"/>
        <w:left w:val="none" w:sz="0" w:space="0" w:color="auto"/>
        <w:bottom w:val="none" w:sz="0" w:space="0" w:color="auto"/>
        <w:right w:val="none" w:sz="0" w:space="0" w:color="auto"/>
      </w:divBdr>
    </w:div>
    <w:div w:id="1171220972">
      <w:bodyDiv w:val="1"/>
      <w:marLeft w:val="0"/>
      <w:marRight w:val="0"/>
      <w:marTop w:val="0"/>
      <w:marBottom w:val="0"/>
      <w:divBdr>
        <w:top w:val="none" w:sz="0" w:space="0" w:color="auto"/>
        <w:left w:val="none" w:sz="0" w:space="0" w:color="auto"/>
        <w:bottom w:val="none" w:sz="0" w:space="0" w:color="auto"/>
        <w:right w:val="none" w:sz="0" w:space="0" w:color="auto"/>
      </w:divBdr>
    </w:div>
    <w:div w:id="1171221326">
      <w:bodyDiv w:val="1"/>
      <w:marLeft w:val="0"/>
      <w:marRight w:val="0"/>
      <w:marTop w:val="0"/>
      <w:marBottom w:val="0"/>
      <w:divBdr>
        <w:top w:val="none" w:sz="0" w:space="0" w:color="auto"/>
        <w:left w:val="none" w:sz="0" w:space="0" w:color="auto"/>
        <w:bottom w:val="none" w:sz="0" w:space="0" w:color="auto"/>
        <w:right w:val="none" w:sz="0" w:space="0" w:color="auto"/>
      </w:divBdr>
    </w:div>
    <w:div w:id="1171288480">
      <w:bodyDiv w:val="1"/>
      <w:marLeft w:val="0"/>
      <w:marRight w:val="0"/>
      <w:marTop w:val="0"/>
      <w:marBottom w:val="0"/>
      <w:divBdr>
        <w:top w:val="none" w:sz="0" w:space="0" w:color="auto"/>
        <w:left w:val="none" w:sz="0" w:space="0" w:color="auto"/>
        <w:bottom w:val="none" w:sz="0" w:space="0" w:color="auto"/>
        <w:right w:val="none" w:sz="0" w:space="0" w:color="auto"/>
      </w:divBdr>
    </w:div>
    <w:div w:id="1171337220">
      <w:bodyDiv w:val="1"/>
      <w:marLeft w:val="0"/>
      <w:marRight w:val="0"/>
      <w:marTop w:val="0"/>
      <w:marBottom w:val="0"/>
      <w:divBdr>
        <w:top w:val="none" w:sz="0" w:space="0" w:color="auto"/>
        <w:left w:val="none" w:sz="0" w:space="0" w:color="auto"/>
        <w:bottom w:val="none" w:sz="0" w:space="0" w:color="auto"/>
        <w:right w:val="none" w:sz="0" w:space="0" w:color="auto"/>
      </w:divBdr>
    </w:div>
    <w:div w:id="1171456756">
      <w:bodyDiv w:val="1"/>
      <w:marLeft w:val="0"/>
      <w:marRight w:val="0"/>
      <w:marTop w:val="0"/>
      <w:marBottom w:val="0"/>
      <w:divBdr>
        <w:top w:val="none" w:sz="0" w:space="0" w:color="auto"/>
        <w:left w:val="none" w:sz="0" w:space="0" w:color="auto"/>
        <w:bottom w:val="none" w:sz="0" w:space="0" w:color="auto"/>
        <w:right w:val="none" w:sz="0" w:space="0" w:color="auto"/>
      </w:divBdr>
    </w:div>
    <w:div w:id="1171484003">
      <w:bodyDiv w:val="1"/>
      <w:marLeft w:val="0"/>
      <w:marRight w:val="0"/>
      <w:marTop w:val="0"/>
      <w:marBottom w:val="0"/>
      <w:divBdr>
        <w:top w:val="none" w:sz="0" w:space="0" w:color="auto"/>
        <w:left w:val="none" w:sz="0" w:space="0" w:color="auto"/>
        <w:bottom w:val="none" w:sz="0" w:space="0" w:color="auto"/>
        <w:right w:val="none" w:sz="0" w:space="0" w:color="auto"/>
      </w:divBdr>
    </w:div>
    <w:div w:id="1171484229">
      <w:bodyDiv w:val="1"/>
      <w:marLeft w:val="0"/>
      <w:marRight w:val="0"/>
      <w:marTop w:val="0"/>
      <w:marBottom w:val="0"/>
      <w:divBdr>
        <w:top w:val="none" w:sz="0" w:space="0" w:color="auto"/>
        <w:left w:val="none" w:sz="0" w:space="0" w:color="auto"/>
        <w:bottom w:val="none" w:sz="0" w:space="0" w:color="auto"/>
        <w:right w:val="none" w:sz="0" w:space="0" w:color="auto"/>
      </w:divBdr>
    </w:div>
    <w:div w:id="1171525332">
      <w:bodyDiv w:val="1"/>
      <w:marLeft w:val="0"/>
      <w:marRight w:val="0"/>
      <w:marTop w:val="0"/>
      <w:marBottom w:val="0"/>
      <w:divBdr>
        <w:top w:val="none" w:sz="0" w:space="0" w:color="auto"/>
        <w:left w:val="none" w:sz="0" w:space="0" w:color="auto"/>
        <w:bottom w:val="none" w:sz="0" w:space="0" w:color="auto"/>
        <w:right w:val="none" w:sz="0" w:space="0" w:color="auto"/>
      </w:divBdr>
    </w:div>
    <w:div w:id="1171673820">
      <w:bodyDiv w:val="1"/>
      <w:marLeft w:val="0"/>
      <w:marRight w:val="0"/>
      <w:marTop w:val="0"/>
      <w:marBottom w:val="0"/>
      <w:divBdr>
        <w:top w:val="none" w:sz="0" w:space="0" w:color="auto"/>
        <w:left w:val="none" w:sz="0" w:space="0" w:color="auto"/>
        <w:bottom w:val="none" w:sz="0" w:space="0" w:color="auto"/>
        <w:right w:val="none" w:sz="0" w:space="0" w:color="auto"/>
      </w:divBdr>
    </w:div>
    <w:div w:id="1171681309">
      <w:bodyDiv w:val="1"/>
      <w:marLeft w:val="0"/>
      <w:marRight w:val="0"/>
      <w:marTop w:val="0"/>
      <w:marBottom w:val="0"/>
      <w:divBdr>
        <w:top w:val="none" w:sz="0" w:space="0" w:color="auto"/>
        <w:left w:val="none" w:sz="0" w:space="0" w:color="auto"/>
        <w:bottom w:val="none" w:sz="0" w:space="0" w:color="auto"/>
        <w:right w:val="none" w:sz="0" w:space="0" w:color="auto"/>
      </w:divBdr>
    </w:div>
    <w:div w:id="1171682316">
      <w:bodyDiv w:val="1"/>
      <w:marLeft w:val="0"/>
      <w:marRight w:val="0"/>
      <w:marTop w:val="0"/>
      <w:marBottom w:val="0"/>
      <w:divBdr>
        <w:top w:val="none" w:sz="0" w:space="0" w:color="auto"/>
        <w:left w:val="none" w:sz="0" w:space="0" w:color="auto"/>
        <w:bottom w:val="none" w:sz="0" w:space="0" w:color="auto"/>
        <w:right w:val="none" w:sz="0" w:space="0" w:color="auto"/>
      </w:divBdr>
    </w:div>
    <w:div w:id="1171683126">
      <w:bodyDiv w:val="1"/>
      <w:marLeft w:val="0"/>
      <w:marRight w:val="0"/>
      <w:marTop w:val="0"/>
      <w:marBottom w:val="0"/>
      <w:divBdr>
        <w:top w:val="none" w:sz="0" w:space="0" w:color="auto"/>
        <w:left w:val="none" w:sz="0" w:space="0" w:color="auto"/>
        <w:bottom w:val="none" w:sz="0" w:space="0" w:color="auto"/>
        <w:right w:val="none" w:sz="0" w:space="0" w:color="auto"/>
      </w:divBdr>
    </w:div>
    <w:div w:id="1171875950">
      <w:bodyDiv w:val="1"/>
      <w:marLeft w:val="0"/>
      <w:marRight w:val="0"/>
      <w:marTop w:val="0"/>
      <w:marBottom w:val="0"/>
      <w:divBdr>
        <w:top w:val="none" w:sz="0" w:space="0" w:color="auto"/>
        <w:left w:val="none" w:sz="0" w:space="0" w:color="auto"/>
        <w:bottom w:val="none" w:sz="0" w:space="0" w:color="auto"/>
        <w:right w:val="none" w:sz="0" w:space="0" w:color="auto"/>
      </w:divBdr>
    </w:div>
    <w:div w:id="1171946664">
      <w:bodyDiv w:val="1"/>
      <w:marLeft w:val="0"/>
      <w:marRight w:val="0"/>
      <w:marTop w:val="0"/>
      <w:marBottom w:val="0"/>
      <w:divBdr>
        <w:top w:val="none" w:sz="0" w:space="0" w:color="auto"/>
        <w:left w:val="none" w:sz="0" w:space="0" w:color="auto"/>
        <w:bottom w:val="none" w:sz="0" w:space="0" w:color="auto"/>
        <w:right w:val="none" w:sz="0" w:space="0" w:color="auto"/>
      </w:divBdr>
    </w:div>
    <w:div w:id="1171989785">
      <w:bodyDiv w:val="1"/>
      <w:marLeft w:val="0"/>
      <w:marRight w:val="0"/>
      <w:marTop w:val="0"/>
      <w:marBottom w:val="0"/>
      <w:divBdr>
        <w:top w:val="none" w:sz="0" w:space="0" w:color="auto"/>
        <w:left w:val="none" w:sz="0" w:space="0" w:color="auto"/>
        <w:bottom w:val="none" w:sz="0" w:space="0" w:color="auto"/>
        <w:right w:val="none" w:sz="0" w:space="0" w:color="auto"/>
      </w:divBdr>
    </w:div>
    <w:div w:id="1172060934">
      <w:bodyDiv w:val="1"/>
      <w:marLeft w:val="0"/>
      <w:marRight w:val="0"/>
      <w:marTop w:val="0"/>
      <w:marBottom w:val="0"/>
      <w:divBdr>
        <w:top w:val="none" w:sz="0" w:space="0" w:color="auto"/>
        <w:left w:val="none" w:sz="0" w:space="0" w:color="auto"/>
        <w:bottom w:val="none" w:sz="0" w:space="0" w:color="auto"/>
        <w:right w:val="none" w:sz="0" w:space="0" w:color="auto"/>
      </w:divBdr>
    </w:div>
    <w:div w:id="1172065595">
      <w:bodyDiv w:val="1"/>
      <w:marLeft w:val="0"/>
      <w:marRight w:val="0"/>
      <w:marTop w:val="0"/>
      <w:marBottom w:val="0"/>
      <w:divBdr>
        <w:top w:val="none" w:sz="0" w:space="0" w:color="auto"/>
        <w:left w:val="none" w:sz="0" w:space="0" w:color="auto"/>
        <w:bottom w:val="none" w:sz="0" w:space="0" w:color="auto"/>
        <w:right w:val="none" w:sz="0" w:space="0" w:color="auto"/>
      </w:divBdr>
    </w:div>
    <w:div w:id="1172066209">
      <w:bodyDiv w:val="1"/>
      <w:marLeft w:val="0"/>
      <w:marRight w:val="0"/>
      <w:marTop w:val="0"/>
      <w:marBottom w:val="0"/>
      <w:divBdr>
        <w:top w:val="none" w:sz="0" w:space="0" w:color="auto"/>
        <w:left w:val="none" w:sz="0" w:space="0" w:color="auto"/>
        <w:bottom w:val="none" w:sz="0" w:space="0" w:color="auto"/>
        <w:right w:val="none" w:sz="0" w:space="0" w:color="auto"/>
      </w:divBdr>
    </w:div>
    <w:div w:id="1172258779">
      <w:bodyDiv w:val="1"/>
      <w:marLeft w:val="0"/>
      <w:marRight w:val="0"/>
      <w:marTop w:val="0"/>
      <w:marBottom w:val="0"/>
      <w:divBdr>
        <w:top w:val="none" w:sz="0" w:space="0" w:color="auto"/>
        <w:left w:val="none" w:sz="0" w:space="0" w:color="auto"/>
        <w:bottom w:val="none" w:sz="0" w:space="0" w:color="auto"/>
        <w:right w:val="none" w:sz="0" w:space="0" w:color="auto"/>
      </w:divBdr>
    </w:div>
    <w:div w:id="1172600451">
      <w:bodyDiv w:val="1"/>
      <w:marLeft w:val="0"/>
      <w:marRight w:val="0"/>
      <w:marTop w:val="0"/>
      <w:marBottom w:val="0"/>
      <w:divBdr>
        <w:top w:val="none" w:sz="0" w:space="0" w:color="auto"/>
        <w:left w:val="none" w:sz="0" w:space="0" w:color="auto"/>
        <w:bottom w:val="none" w:sz="0" w:space="0" w:color="auto"/>
        <w:right w:val="none" w:sz="0" w:space="0" w:color="auto"/>
      </w:divBdr>
    </w:div>
    <w:div w:id="1172795066">
      <w:bodyDiv w:val="1"/>
      <w:marLeft w:val="0"/>
      <w:marRight w:val="0"/>
      <w:marTop w:val="0"/>
      <w:marBottom w:val="0"/>
      <w:divBdr>
        <w:top w:val="none" w:sz="0" w:space="0" w:color="auto"/>
        <w:left w:val="none" w:sz="0" w:space="0" w:color="auto"/>
        <w:bottom w:val="none" w:sz="0" w:space="0" w:color="auto"/>
        <w:right w:val="none" w:sz="0" w:space="0" w:color="auto"/>
      </w:divBdr>
    </w:div>
    <w:div w:id="1172915141">
      <w:bodyDiv w:val="1"/>
      <w:marLeft w:val="0"/>
      <w:marRight w:val="0"/>
      <w:marTop w:val="0"/>
      <w:marBottom w:val="0"/>
      <w:divBdr>
        <w:top w:val="none" w:sz="0" w:space="0" w:color="auto"/>
        <w:left w:val="none" w:sz="0" w:space="0" w:color="auto"/>
        <w:bottom w:val="none" w:sz="0" w:space="0" w:color="auto"/>
        <w:right w:val="none" w:sz="0" w:space="0" w:color="auto"/>
      </w:divBdr>
    </w:div>
    <w:div w:id="1172991222">
      <w:bodyDiv w:val="1"/>
      <w:marLeft w:val="0"/>
      <w:marRight w:val="0"/>
      <w:marTop w:val="0"/>
      <w:marBottom w:val="0"/>
      <w:divBdr>
        <w:top w:val="none" w:sz="0" w:space="0" w:color="auto"/>
        <w:left w:val="none" w:sz="0" w:space="0" w:color="auto"/>
        <w:bottom w:val="none" w:sz="0" w:space="0" w:color="auto"/>
        <w:right w:val="none" w:sz="0" w:space="0" w:color="auto"/>
      </w:divBdr>
    </w:div>
    <w:div w:id="1173110353">
      <w:bodyDiv w:val="1"/>
      <w:marLeft w:val="0"/>
      <w:marRight w:val="0"/>
      <w:marTop w:val="0"/>
      <w:marBottom w:val="0"/>
      <w:divBdr>
        <w:top w:val="none" w:sz="0" w:space="0" w:color="auto"/>
        <w:left w:val="none" w:sz="0" w:space="0" w:color="auto"/>
        <w:bottom w:val="none" w:sz="0" w:space="0" w:color="auto"/>
        <w:right w:val="none" w:sz="0" w:space="0" w:color="auto"/>
      </w:divBdr>
    </w:div>
    <w:div w:id="1173181167">
      <w:bodyDiv w:val="1"/>
      <w:marLeft w:val="0"/>
      <w:marRight w:val="0"/>
      <w:marTop w:val="0"/>
      <w:marBottom w:val="0"/>
      <w:divBdr>
        <w:top w:val="none" w:sz="0" w:space="0" w:color="auto"/>
        <w:left w:val="none" w:sz="0" w:space="0" w:color="auto"/>
        <w:bottom w:val="none" w:sz="0" w:space="0" w:color="auto"/>
        <w:right w:val="none" w:sz="0" w:space="0" w:color="auto"/>
      </w:divBdr>
    </w:div>
    <w:div w:id="1173185522">
      <w:bodyDiv w:val="1"/>
      <w:marLeft w:val="0"/>
      <w:marRight w:val="0"/>
      <w:marTop w:val="0"/>
      <w:marBottom w:val="0"/>
      <w:divBdr>
        <w:top w:val="none" w:sz="0" w:space="0" w:color="auto"/>
        <w:left w:val="none" w:sz="0" w:space="0" w:color="auto"/>
        <w:bottom w:val="none" w:sz="0" w:space="0" w:color="auto"/>
        <w:right w:val="none" w:sz="0" w:space="0" w:color="auto"/>
      </w:divBdr>
    </w:div>
    <w:div w:id="1173186928">
      <w:bodyDiv w:val="1"/>
      <w:marLeft w:val="0"/>
      <w:marRight w:val="0"/>
      <w:marTop w:val="0"/>
      <w:marBottom w:val="0"/>
      <w:divBdr>
        <w:top w:val="none" w:sz="0" w:space="0" w:color="auto"/>
        <w:left w:val="none" w:sz="0" w:space="0" w:color="auto"/>
        <w:bottom w:val="none" w:sz="0" w:space="0" w:color="auto"/>
        <w:right w:val="none" w:sz="0" w:space="0" w:color="auto"/>
      </w:divBdr>
    </w:div>
    <w:div w:id="1173295582">
      <w:bodyDiv w:val="1"/>
      <w:marLeft w:val="0"/>
      <w:marRight w:val="0"/>
      <w:marTop w:val="0"/>
      <w:marBottom w:val="0"/>
      <w:divBdr>
        <w:top w:val="none" w:sz="0" w:space="0" w:color="auto"/>
        <w:left w:val="none" w:sz="0" w:space="0" w:color="auto"/>
        <w:bottom w:val="none" w:sz="0" w:space="0" w:color="auto"/>
        <w:right w:val="none" w:sz="0" w:space="0" w:color="auto"/>
      </w:divBdr>
    </w:div>
    <w:div w:id="1173371759">
      <w:bodyDiv w:val="1"/>
      <w:marLeft w:val="0"/>
      <w:marRight w:val="0"/>
      <w:marTop w:val="0"/>
      <w:marBottom w:val="0"/>
      <w:divBdr>
        <w:top w:val="none" w:sz="0" w:space="0" w:color="auto"/>
        <w:left w:val="none" w:sz="0" w:space="0" w:color="auto"/>
        <w:bottom w:val="none" w:sz="0" w:space="0" w:color="auto"/>
        <w:right w:val="none" w:sz="0" w:space="0" w:color="auto"/>
      </w:divBdr>
    </w:div>
    <w:div w:id="1173375748">
      <w:bodyDiv w:val="1"/>
      <w:marLeft w:val="0"/>
      <w:marRight w:val="0"/>
      <w:marTop w:val="0"/>
      <w:marBottom w:val="0"/>
      <w:divBdr>
        <w:top w:val="none" w:sz="0" w:space="0" w:color="auto"/>
        <w:left w:val="none" w:sz="0" w:space="0" w:color="auto"/>
        <w:bottom w:val="none" w:sz="0" w:space="0" w:color="auto"/>
        <w:right w:val="none" w:sz="0" w:space="0" w:color="auto"/>
      </w:divBdr>
    </w:div>
    <w:div w:id="1173451636">
      <w:bodyDiv w:val="1"/>
      <w:marLeft w:val="0"/>
      <w:marRight w:val="0"/>
      <w:marTop w:val="0"/>
      <w:marBottom w:val="0"/>
      <w:divBdr>
        <w:top w:val="none" w:sz="0" w:space="0" w:color="auto"/>
        <w:left w:val="none" w:sz="0" w:space="0" w:color="auto"/>
        <w:bottom w:val="none" w:sz="0" w:space="0" w:color="auto"/>
        <w:right w:val="none" w:sz="0" w:space="0" w:color="auto"/>
      </w:divBdr>
    </w:div>
    <w:div w:id="1173684955">
      <w:bodyDiv w:val="1"/>
      <w:marLeft w:val="0"/>
      <w:marRight w:val="0"/>
      <w:marTop w:val="0"/>
      <w:marBottom w:val="0"/>
      <w:divBdr>
        <w:top w:val="none" w:sz="0" w:space="0" w:color="auto"/>
        <w:left w:val="none" w:sz="0" w:space="0" w:color="auto"/>
        <w:bottom w:val="none" w:sz="0" w:space="0" w:color="auto"/>
        <w:right w:val="none" w:sz="0" w:space="0" w:color="auto"/>
      </w:divBdr>
    </w:div>
    <w:div w:id="1173842659">
      <w:bodyDiv w:val="1"/>
      <w:marLeft w:val="0"/>
      <w:marRight w:val="0"/>
      <w:marTop w:val="0"/>
      <w:marBottom w:val="0"/>
      <w:divBdr>
        <w:top w:val="none" w:sz="0" w:space="0" w:color="auto"/>
        <w:left w:val="none" w:sz="0" w:space="0" w:color="auto"/>
        <w:bottom w:val="none" w:sz="0" w:space="0" w:color="auto"/>
        <w:right w:val="none" w:sz="0" w:space="0" w:color="auto"/>
      </w:divBdr>
    </w:div>
    <w:div w:id="1173882277">
      <w:bodyDiv w:val="1"/>
      <w:marLeft w:val="0"/>
      <w:marRight w:val="0"/>
      <w:marTop w:val="0"/>
      <w:marBottom w:val="0"/>
      <w:divBdr>
        <w:top w:val="none" w:sz="0" w:space="0" w:color="auto"/>
        <w:left w:val="none" w:sz="0" w:space="0" w:color="auto"/>
        <w:bottom w:val="none" w:sz="0" w:space="0" w:color="auto"/>
        <w:right w:val="none" w:sz="0" w:space="0" w:color="auto"/>
      </w:divBdr>
    </w:div>
    <w:div w:id="1173912960">
      <w:bodyDiv w:val="1"/>
      <w:marLeft w:val="0"/>
      <w:marRight w:val="0"/>
      <w:marTop w:val="0"/>
      <w:marBottom w:val="0"/>
      <w:divBdr>
        <w:top w:val="none" w:sz="0" w:space="0" w:color="auto"/>
        <w:left w:val="none" w:sz="0" w:space="0" w:color="auto"/>
        <w:bottom w:val="none" w:sz="0" w:space="0" w:color="auto"/>
        <w:right w:val="none" w:sz="0" w:space="0" w:color="auto"/>
      </w:divBdr>
    </w:div>
    <w:div w:id="1173952015">
      <w:bodyDiv w:val="1"/>
      <w:marLeft w:val="0"/>
      <w:marRight w:val="0"/>
      <w:marTop w:val="0"/>
      <w:marBottom w:val="0"/>
      <w:divBdr>
        <w:top w:val="none" w:sz="0" w:space="0" w:color="auto"/>
        <w:left w:val="none" w:sz="0" w:space="0" w:color="auto"/>
        <w:bottom w:val="none" w:sz="0" w:space="0" w:color="auto"/>
        <w:right w:val="none" w:sz="0" w:space="0" w:color="auto"/>
      </w:divBdr>
    </w:div>
    <w:div w:id="1174107692">
      <w:bodyDiv w:val="1"/>
      <w:marLeft w:val="0"/>
      <w:marRight w:val="0"/>
      <w:marTop w:val="0"/>
      <w:marBottom w:val="0"/>
      <w:divBdr>
        <w:top w:val="none" w:sz="0" w:space="0" w:color="auto"/>
        <w:left w:val="none" w:sz="0" w:space="0" w:color="auto"/>
        <w:bottom w:val="none" w:sz="0" w:space="0" w:color="auto"/>
        <w:right w:val="none" w:sz="0" w:space="0" w:color="auto"/>
      </w:divBdr>
    </w:div>
    <w:div w:id="1174145353">
      <w:bodyDiv w:val="1"/>
      <w:marLeft w:val="0"/>
      <w:marRight w:val="0"/>
      <w:marTop w:val="0"/>
      <w:marBottom w:val="0"/>
      <w:divBdr>
        <w:top w:val="none" w:sz="0" w:space="0" w:color="auto"/>
        <w:left w:val="none" w:sz="0" w:space="0" w:color="auto"/>
        <w:bottom w:val="none" w:sz="0" w:space="0" w:color="auto"/>
        <w:right w:val="none" w:sz="0" w:space="0" w:color="auto"/>
      </w:divBdr>
    </w:div>
    <w:div w:id="1174220908">
      <w:bodyDiv w:val="1"/>
      <w:marLeft w:val="0"/>
      <w:marRight w:val="0"/>
      <w:marTop w:val="0"/>
      <w:marBottom w:val="0"/>
      <w:divBdr>
        <w:top w:val="none" w:sz="0" w:space="0" w:color="auto"/>
        <w:left w:val="none" w:sz="0" w:space="0" w:color="auto"/>
        <w:bottom w:val="none" w:sz="0" w:space="0" w:color="auto"/>
        <w:right w:val="none" w:sz="0" w:space="0" w:color="auto"/>
      </w:divBdr>
    </w:div>
    <w:div w:id="1174223200">
      <w:bodyDiv w:val="1"/>
      <w:marLeft w:val="0"/>
      <w:marRight w:val="0"/>
      <w:marTop w:val="0"/>
      <w:marBottom w:val="0"/>
      <w:divBdr>
        <w:top w:val="none" w:sz="0" w:space="0" w:color="auto"/>
        <w:left w:val="none" w:sz="0" w:space="0" w:color="auto"/>
        <w:bottom w:val="none" w:sz="0" w:space="0" w:color="auto"/>
        <w:right w:val="none" w:sz="0" w:space="0" w:color="auto"/>
      </w:divBdr>
    </w:div>
    <w:div w:id="1174295832">
      <w:bodyDiv w:val="1"/>
      <w:marLeft w:val="0"/>
      <w:marRight w:val="0"/>
      <w:marTop w:val="0"/>
      <w:marBottom w:val="0"/>
      <w:divBdr>
        <w:top w:val="none" w:sz="0" w:space="0" w:color="auto"/>
        <w:left w:val="none" w:sz="0" w:space="0" w:color="auto"/>
        <w:bottom w:val="none" w:sz="0" w:space="0" w:color="auto"/>
        <w:right w:val="none" w:sz="0" w:space="0" w:color="auto"/>
      </w:divBdr>
    </w:div>
    <w:div w:id="1174297551">
      <w:bodyDiv w:val="1"/>
      <w:marLeft w:val="0"/>
      <w:marRight w:val="0"/>
      <w:marTop w:val="0"/>
      <w:marBottom w:val="0"/>
      <w:divBdr>
        <w:top w:val="none" w:sz="0" w:space="0" w:color="auto"/>
        <w:left w:val="none" w:sz="0" w:space="0" w:color="auto"/>
        <w:bottom w:val="none" w:sz="0" w:space="0" w:color="auto"/>
        <w:right w:val="none" w:sz="0" w:space="0" w:color="auto"/>
      </w:divBdr>
    </w:div>
    <w:div w:id="1174342576">
      <w:bodyDiv w:val="1"/>
      <w:marLeft w:val="0"/>
      <w:marRight w:val="0"/>
      <w:marTop w:val="0"/>
      <w:marBottom w:val="0"/>
      <w:divBdr>
        <w:top w:val="none" w:sz="0" w:space="0" w:color="auto"/>
        <w:left w:val="none" w:sz="0" w:space="0" w:color="auto"/>
        <w:bottom w:val="none" w:sz="0" w:space="0" w:color="auto"/>
        <w:right w:val="none" w:sz="0" w:space="0" w:color="auto"/>
      </w:divBdr>
    </w:div>
    <w:div w:id="1174371663">
      <w:bodyDiv w:val="1"/>
      <w:marLeft w:val="0"/>
      <w:marRight w:val="0"/>
      <w:marTop w:val="0"/>
      <w:marBottom w:val="0"/>
      <w:divBdr>
        <w:top w:val="none" w:sz="0" w:space="0" w:color="auto"/>
        <w:left w:val="none" w:sz="0" w:space="0" w:color="auto"/>
        <w:bottom w:val="none" w:sz="0" w:space="0" w:color="auto"/>
        <w:right w:val="none" w:sz="0" w:space="0" w:color="auto"/>
      </w:divBdr>
    </w:div>
    <w:div w:id="1174494254">
      <w:bodyDiv w:val="1"/>
      <w:marLeft w:val="0"/>
      <w:marRight w:val="0"/>
      <w:marTop w:val="0"/>
      <w:marBottom w:val="0"/>
      <w:divBdr>
        <w:top w:val="none" w:sz="0" w:space="0" w:color="auto"/>
        <w:left w:val="none" w:sz="0" w:space="0" w:color="auto"/>
        <w:bottom w:val="none" w:sz="0" w:space="0" w:color="auto"/>
        <w:right w:val="none" w:sz="0" w:space="0" w:color="auto"/>
      </w:divBdr>
    </w:div>
    <w:div w:id="1174563947">
      <w:bodyDiv w:val="1"/>
      <w:marLeft w:val="0"/>
      <w:marRight w:val="0"/>
      <w:marTop w:val="0"/>
      <w:marBottom w:val="0"/>
      <w:divBdr>
        <w:top w:val="none" w:sz="0" w:space="0" w:color="auto"/>
        <w:left w:val="none" w:sz="0" w:space="0" w:color="auto"/>
        <w:bottom w:val="none" w:sz="0" w:space="0" w:color="auto"/>
        <w:right w:val="none" w:sz="0" w:space="0" w:color="auto"/>
      </w:divBdr>
    </w:div>
    <w:div w:id="1174608844">
      <w:bodyDiv w:val="1"/>
      <w:marLeft w:val="0"/>
      <w:marRight w:val="0"/>
      <w:marTop w:val="0"/>
      <w:marBottom w:val="0"/>
      <w:divBdr>
        <w:top w:val="none" w:sz="0" w:space="0" w:color="auto"/>
        <w:left w:val="none" w:sz="0" w:space="0" w:color="auto"/>
        <w:bottom w:val="none" w:sz="0" w:space="0" w:color="auto"/>
        <w:right w:val="none" w:sz="0" w:space="0" w:color="auto"/>
      </w:divBdr>
    </w:div>
    <w:div w:id="1174609080">
      <w:bodyDiv w:val="1"/>
      <w:marLeft w:val="0"/>
      <w:marRight w:val="0"/>
      <w:marTop w:val="0"/>
      <w:marBottom w:val="0"/>
      <w:divBdr>
        <w:top w:val="none" w:sz="0" w:space="0" w:color="auto"/>
        <w:left w:val="none" w:sz="0" w:space="0" w:color="auto"/>
        <w:bottom w:val="none" w:sz="0" w:space="0" w:color="auto"/>
        <w:right w:val="none" w:sz="0" w:space="0" w:color="auto"/>
      </w:divBdr>
    </w:div>
    <w:div w:id="1174683127">
      <w:bodyDiv w:val="1"/>
      <w:marLeft w:val="0"/>
      <w:marRight w:val="0"/>
      <w:marTop w:val="0"/>
      <w:marBottom w:val="0"/>
      <w:divBdr>
        <w:top w:val="none" w:sz="0" w:space="0" w:color="auto"/>
        <w:left w:val="none" w:sz="0" w:space="0" w:color="auto"/>
        <w:bottom w:val="none" w:sz="0" w:space="0" w:color="auto"/>
        <w:right w:val="none" w:sz="0" w:space="0" w:color="auto"/>
      </w:divBdr>
    </w:div>
    <w:div w:id="1174760881">
      <w:bodyDiv w:val="1"/>
      <w:marLeft w:val="0"/>
      <w:marRight w:val="0"/>
      <w:marTop w:val="0"/>
      <w:marBottom w:val="0"/>
      <w:divBdr>
        <w:top w:val="none" w:sz="0" w:space="0" w:color="auto"/>
        <w:left w:val="none" w:sz="0" w:space="0" w:color="auto"/>
        <w:bottom w:val="none" w:sz="0" w:space="0" w:color="auto"/>
        <w:right w:val="none" w:sz="0" w:space="0" w:color="auto"/>
      </w:divBdr>
    </w:div>
    <w:div w:id="1174802298">
      <w:bodyDiv w:val="1"/>
      <w:marLeft w:val="0"/>
      <w:marRight w:val="0"/>
      <w:marTop w:val="0"/>
      <w:marBottom w:val="0"/>
      <w:divBdr>
        <w:top w:val="none" w:sz="0" w:space="0" w:color="auto"/>
        <w:left w:val="none" w:sz="0" w:space="0" w:color="auto"/>
        <w:bottom w:val="none" w:sz="0" w:space="0" w:color="auto"/>
        <w:right w:val="none" w:sz="0" w:space="0" w:color="auto"/>
      </w:divBdr>
    </w:div>
    <w:div w:id="1174803914">
      <w:bodyDiv w:val="1"/>
      <w:marLeft w:val="0"/>
      <w:marRight w:val="0"/>
      <w:marTop w:val="0"/>
      <w:marBottom w:val="0"/>
      <w:divBdr>
        <w:top w:val="none" w:sz="0" w:space="0" w:color="auto"/>
        <w:left w:val="none" w:sz="0" w:space="0" w:color="auto"/>
        <w:bottom w:val="none" w:sz="0" w:space="0" w:color="auto"/>
        <w:right w:val="none" w:sz="0" w:space="0" w:color="auto"/>
      </w:divBdr>
    </w:div>
    <w:div w:id="1174874811">
      <w:bodyDiv w:val="1"/>
      <w:marLeft w:val="0"/>
      <w:marRight w:val="0"/>
      <w:marTop w:val="0"/>
      <w:marBottom w:val="0"/>
      <w:divBdr>
        <w:top w:val="none" w:sz="0" w:space="0" w:color="auto"/>
        <w:left w:val="none" w:sz="0" w:space="0" w:color="auto"/>
        <w:bottom w:val="none" w:sz="0" w:space="0" w:color="auto"/>
        <w:right w:val="none" w:sz="0" w:space="0" w:color="auto"/>
      </w:divBdr>
    </w:div>
    <w:div w:id="1174883338">
      <w:bodyDiv w:val="1"/>
      <w:marLeft w:val="0"/>
      <w:marRight w:val="0"/>
      <w:marTop w:val="0"/>
      <w:marBottom w:val="0"/>
      <w:divBdr>
        <w:top w:val="none" w:sz="0" w:space="0" w:color="auto"/>
        <w:left w:val="none" w:sz="0" w:space="0" w:color="auto"/>
        <w:bottom w:val="none" w:sz="0" w:space="0" w:color="auto"/>
        <w:right w:val="none" w:sz="0" w:space="0" w:color="auto"/>
      </w:divBdr>
    </w:div>
    <w:div w:id="1175075800">
      <w:bodyDiv w:val="1"/>
      <w:marLeft w:val="0"/>
      <w:marRight w:val="0"/>
      <w:marTop w:val="0"/>
      <w:marBottom w:val="0"/>
      <w:divBdr>
        <w:top w:val="none" w:sz="0" w:space="0" w:color="auto"/>
        <w:left w:val="none" w:sz="0" w:space="0" w:color="auto"/>
        <w:bottom w:val="none" w:sz="0" w:space="0" w:color="auto"/>
        <w:right w:val="none" w:sz="0" w:space="0" w:color="auto"/>
      </w:divBdr>
    </w:div>
    <w:div w:id="1175414155">
      <w:bodyDiv w:val="1"/>
      <w:marLeft w:val="0"/>
      <w:marRight w:val="0"/>
      <w:marTop w:val="0"/>
      <w:marBottom w:val="0"/>
      <w:divBdr>
        <w:top w:val="none" w:sz="0" w:space="0" w:color="auto"/>
        <w:left w:val="none" w:sz="0" w:space="0" w:color="auto"/>
        <w:bottom w:val="none" w:sz="0" w:space="0" w:color="auto"/>
        <w:right w:val="none" w:sz="0" w:space="0" w:color="auto"/>
      </w:divBdr>
    </w:div>
    <w:div w:id="1175531196">
      <w:bodyDiv w:val="1"/>
      <w:marLeft w:val="0"/>
      <w:marRight w:val="0"/>
      <w:marTop w:val="0"/>
      <w:marBottom w:val="0"/>
      <w:divBdr>
        <w:top w:val="none" w:sz="0" w:space="0" w:color="auto"/>
        <w:left w:val="none" w:sz="0" w:space="0" w:color="auto"/>
        <w:bottom w:val="none" w:sz="0" w:space="0" w:color="auto"/>
        <w:right w:val="none" w:sz="0" w:space="0" w:color="auto"/>
      </w:divBdr>
    </w:div>
    <w:div w:id="1175652608">
      <w:bodyDiv w:val="1"/>
      <w:marLeft w:val="0"/>
      <w:marRight w:val="0"/>
      <w:marTop w:val="0"/>
      <w:marBottom w:val="0"/>
      <w:divBdr>
        <w:top w:val="none" w:sz="0" w:space="0" w:color="auto"/>
        <w:left w:val="none" w:sz="0" w:space="0" w:color="auto"/>
        <w:bottom w:val="none" w:sz="0" w:space="0" w:color="auto"/>
        <w:right w:val="none" w:sz="0" w:space="0" w:color="auto"/>
      </w:divBdr>
    </w:div>
    <w:div w:id="1175655568">
      <w:bodyDiv w:val="1"/>
      <w:marLeft w:val="0"/>
      <w:marRight w:val="0"/>
      <w:marTop w:val="0"/>
      <w:marBottom w:val="0"/>
      <w:divBdr>
        <w:top w:val="none" w:sz="0" w:space="0" w:color="auto"/>
        <w:left w:val="none" w:sz="0" w:space="0" w:color="auto"/>
        <w:bottom w:val="none" w:sz="0" w:space="0" w:color="auto"/>
        <w:right w:val="none" w:sz="0" w:space="0" w:color="auto"/>
      </w:divBdr>
    </w:div>
    <w:div w:id="1175726933">
      <w:bodyDiv w:val="1"/>
      <w:marLeft w:val="0"/>
      <w:marRight w:val="0"/>
      <w:marTop w:val="0"/>
      <w:marBottom w:val="0"/>
      <w:divBdr>
        <w:top w:val="none" w:sz="0" w:space="0" w:color="auto"/>
        <w:left w:val="none" w:sz="0" w:space="0" w:color="auto"/>
        <w:bottom w:val="none" w:sz="0" w:space="0" w:color="auto"/>
        <w:right w:val="none" w:sz="0" w:space="0" w:color="auto"/>
      </w:divBdr>
    </w:div>
    <w:div w:id="1175807863">
      <w:bodyDiv w:val="1"/>
      <w:marLeft w:val="0"/>
      <w:marRight w:val="0"/>
      <w:marTop w:val="0"/>
      <w:marBottom w:val="0"/>
      <w:divBdr>
        <w:top w:val="none" w:sz="0" w:space="0" w:color="auto"/>
        <w:left w:val="none" w:sz="0" w:space="0" w:color="auto"/>
        <w:bottom w:val="none" w:sz="0" w:space="0" w:color="auto"/>
        <w:right w:val="none" w:sz="0" w:space="0" w:color="auto"/>
      </w:divBdr>
    </w:div>
    <w:div w:id="1175847514">
      <w:bodyDiv w:val="1"/>
      <w:marLeft w:val="0"/>
      <w:marRight w:val="0"/>
      <w:marTop w:val="0"/>
      <w:marBottom w:val="0"/>
      <w:divBdr>
        <w:top w:val="none" w:sz="0" w:space="0" w:color="auto"/>
        <w:left w:val="none" w:sz="0" w:space="0" w:color="auto"/>
        <w:bottom w:val="none" w:sz="0" w:space="0" w:color="auto"/>
        <w:right w:val="none" w:sz="0" w:space="0" w:color="auto"/>
      </w:divBdr>
    </w:div>
    <w:div w:id="1175878395">
      <w:bodyDiv w:val="1"/>
      <w:marLeft w:val="0"/>
      <w:marRight w:val="0"/>
      <w:marTop w:val="0"/>
      <w:marBottom w:val="0"/>
      <w:divBdr>
        <w:top w:val="none" w:sz="0" w:space="0" w:color="auto"/>
        <w:left w:val="none" w:sz="0" w:space="0" w:color="auto"/>
        <w:bottom w:val="none" w:sz="0" w:space="0" w:color="auto"/>
        <w:right w:val="none" w:sz="0" w:space="0" w:color="auto"/>
      </w:divBdr>
    </w:div>
    <w:div w:id="1175917330">
      <w:bodyDiv w:val="1"/>
      <w:marLeft w:val="0"/>
      <w:marRight w:val="0"/>
      <w:marTop w:val="0"/>
      <w:marBottom w:val="0"/>
      <w:divBdr>
        <w:top w:val="none" w:sz="0" w:space="0" w:color="auto"/>
        <w:left w:val="none" w:sz="0" w:space="0" w:color="auto"/>
        <w:bottom w:val="none" w:sz="0" w:space="0" w:color="auto"/>
        <w:right w:val="none" w:sz="0" w:space="0" w:color="auto"/>
      </w:divBdr>
    </w:div>
    <w:div w:id="1175920635">
      <w:bodyDiv w:val="1"/>
      <w:marLeft w:val="0"/>
      <w:marRight w:val="0"/>
      <w:marTop w:val="0"/>
      <w:marBottom w:val="0"/>
      <w:divBdr>
        <w:top w:val="none" w:sz="0" w:space="0" w:color="auto"/>
        <w:left w:val="none" w:sz="0" w:space="0" w:color="auto"/>
        <w:bottom w:val="none" w:sz="0" w:space="0" w:color="auto"/>
        <w:right w:val="none" w:sz="0" w:space="0" w:color="auto"/>
      </w:divBdr>
    </w:div>
    <w:div w:id="1176113725">
      <w:bodyDiv w:val="1"/>
      <w:marLeft w:val="0"/>
      <w:marRight w:val="0"/>
      <w:marTop w:val="0"/>
      <w:marBottom w:val="0"/>
      <w:divBdr>
        <w:top w:val="none" w:sz="0" w:space="0" w:color="auto"/>
        <w:left w:val="none" w:sz="0" w:space="0" w:color="auto"/>
        <w:bottom w:val="none" w:sz="0" w:space="0" w:color="auto"/>
        <w:right w:val="none" w:sz="0" w:space="0" w:color="auto"/>
      </w:divBdr>
    </w:div>
    <w:div w:id="1176309014">
      <w:bodyDiv w:val="1"/>
      <w:marLeft w:val="0"/>
      <w:marRight w:val="0"/>
      <w:marTop w:val="0"/>
      <w:marBottom w:val="0"/>
      <w:divBdr>
        <w:top w:val="none" w:sz="0" w:space="0" w:color="auto"/>
        <w:left w:val="none" w:sz="0" w:space="0" w:color="auto"/>
        <w:bottom w:val="none" w:sz="0" w:space="0" w:color="auto"/>
        <w:right w:val="none" w:sz="0" w:space="0" w:color="auto"/>
      </w:divBdr>
    </w:div>
    <w:div w:id="1176309568">
      <w:bodyDiv w:val="1"/>
      <w:marLeft w:val="0"/>
      <w:marRight w:val="0"/>
      <w:marTop w:val="0"/>
      <w:marBottom w:val="0"/>
      <w:divBdr>
        <w:top w:val="none" w:sz="0" w:space="0" w:color="auto"/>
        <w:left w:val="none" w:sz="0" w:space="0" w:color="auto"/>
        <w:bottom w:val="none" w:sz="0" w:space="0" w:color="auto"/>
        <w:right w:val="none" w:sz="0" w:space="0" w:color="auto"/>
      </w:divBdr>
    </w:div>
    <w:div w:id="1176385248">
      <w:bodyDiv w:val="1"/>
      <w:marLeft w:val="0"/>
      <w:marRight w:val="0"/>
      <w:marTop w:val="0"/>
      <w:marBottom w:val="0"/>
      <w:divBdr>
        <w:top w:val="none" w:sz="0" w:space="0" w:color="auto"/>
        <w:left w:val="none" w:sz="0" w:space="0" w:color="auto"/>
        <w:bottom w:val="none" w:sz="0" w:space="0" w:color="auto"/>
        <w:right w:val="none" w:sz="0" w:space="0" w:color="auto"/>
      </w:divBdr>
    </w:div>
    <w:div w:id="1176574654">
      <w:bodyDiv w:val="1"/>
      <w:marLeft w:val="0"/>
      <w:marRight w:val="0"/>
      <w:marTop w:val="0"/>
      <w:marBottom w:val="0"/>
      <w:divBdr>
        <w:top w:val="none" w:sz="0" w:space="0" w:color="auto"/>
        <w:left w:val="none" w:sz="0" w:space="0" w:color="auto"/>
        <w:bottom w:val="none" w:sz="0" w:space="0" w:color="auto"/>
        <w:right w:val="none" w:sz="0" w:space="0" w:color="auto"/>
      </w:divBdr>
    </w:div>
    <w:div w:id="1176579878">
      <w:bodyDiv w:val="1"/>
      <w:marLeft w:val="0"/>
      <w:marRight w:val="0"/>
      <w:marTop w:val="0"/>
      <w:marBottom w:val="0"/>
      <w:divBdr>
        <w:top w:val="none" w:sz="0" w:space="0" w:color="auto"/>
        <w:left w:val="none" w:sz="0" w:space="0" w:color="auto"/>
        <w:bottom w:val="none" w:sz="0" w:space="0" w:color="auto"/>
        <w:right w:val="none" w:sz="0" w:space="0" w:color="auto"/>
      </w:divBdr>
    </w:div>
    <w:div w:id="1176698992">
      <w:bodyDiv w:val="1"/>
      <w:marLeft w:val="0"/>
      <w:marRight w:val="0"/>
      <w:marTop w:val="0"/>
      <w:marBottom w:val="0"/>
      <w:divBdr>
        <w:top w:val="none" w:sz="0" w:space="0" w:color="auto"/>
        <w:left w:val="none" w:sz="0" w:space="0" w:color="auto"/>
        <w:bottom w:val="none" w:sz="0" w:space="0" w:color="auto"/>
        <w:right w:val="none" w:sz="0" w:space="0" w:color="auto"/>
      </w:divBdr>
    </w:div>
    <w:div w:id="1176773752">
      <w:bodyDiv w:val="1"/>
      <w:marLeft w:val="0"/>
      <w:marRight w:val="0"/>
      <w:marTop w:val="0"/>
      <w:marBottom w:val="0"/>
      <w:divBdr>
        <w:top w:val="none" w:sz="0" w:space="0" w:color="auto"/>
        <w:left w:val="none" w:sz="0" w:space="0" w:color="auto"/>
        <w:bottom w:val="none" w:sz="0" w:space="0" w:color="auto"/>
        <w:right w:val="none" w:sz="0" w:space="0" w:color="auto"/>
      </w:divBdr>
    </w:div>
    <w:div w:id="1176916766">
      <w:bodyDiv w:val="1"/>
      <w:marLeft w:val="0"/>
      <w:marRight w:val="0"/>
      <w:marTop w:val="0"/>
      <w:marBottom w:val="0"/>
      <w:divBdr>
        <w:top w:val="none" w:sz="0" w:space="0" w:color="auto"/>
        <w:left w:val="none" w:sz="0" w:space="0" w:color="auto"/>
        <w:bottom w:val="none" w:sz="0" w:space="0" w:color="auto"/>
        <w:right w:val="none" w:sz="0" w:space="0" w:color="auto"/>
      </w:divBdr>
    </w:div>
    <w:div w:id="1176924007">
      <w:bodyDiv w:val="1"/>
      <w:marLeft w:val="0"/>
      <w:marRight w:val="0"/>
      <w:marTop w:val="0"/>
      <w:marBottom w:val="0"/>
      <w:divBdr>
        <w:top w:val="none" w:sz="0" w:space="0" w:color="auto"/>
        <w:left w:val="none" w:sz="0" w:space="0" w:color="auto"/>
        <w:bottom w:val="none" w:sz="0" w:space="0" w:color="auto"/>
        <w:right w:val="none" w:sz="0" w:space="0" w:color="auto"/>
      </w:divBdr>
    </w:div>
    <w:div w:id="1176993270">
      <w:bodyDiv w:val="1"/>
      <w:marLeft w:val="0"/>
      <w:marRight w:val="0"/>
      <w:marTop w:val="0"/>
      <w:marBottom w:val="0"/>
      <w:divBdr>
        <w:top w:val="none" w:sz="0" w:space="0" w:color="auto"/>
        <w:left w:val="none" w:sz="0" w:space="0" w:color="auto"/>
        <w:bottom w:val="none" w:sz="0" w:space="0" w:color="auto"/>
        <w:right w:val="none" w:sz="0" w:space="0" w:color="auto"/>
      </w:divBdr>
    </w:div>
    <w:div w:id="1177038009">
      <w:bodyDiv w:val="1"/>
      <w:marLeft w:val="0"/>
      <w:marRight w:val="0"/>
      <w:marTop w:val="0"/>
      <w:marBottom w:val="0"/>
      <w:divBdr>
        <w:top w:val="none" w:sz="0" w:space="0" w:color="auto"/>
        <w:left w:val="none" w:sz="0" w:space="0" w:color="auto"/>
        <w:bottom w:val="none" w:sz="0" w:space="0" w:color="auto"/>
        <w:right w:val="none" w:sz="0" w:space="0" w:color="auto"/>
      </w:divBdr>
    </w:div>
    <w:div w:id="1177184759">
      <w:bodyDiv w:val="1"/>
      <w:marLeft w:val="0"/>
      <w:marRight w:val="0"/>
      <w:marTop w:val="0"/>
      <w:marBottom w:val="0"/>
      <w:divBdr>
        <w:top w:val="none" w:sz="0" w:space="0" w:color="auto"/>
        <w:left w:val="none" w:sz="0" w:space="0" w:color="auto"/>
        <w:bottom w:val="none" w:sz="0" w:space="0" w:color="auto"/>
        <w:right w:val="none" w:sz="0" w:space="0" w:color="auto"/>
      </w:divBdr>
    </w:div>
    <w:div w:id="1177186738">
      <w:bodyDiv w:val="1"/>
      <w:marLeft w:val="0"/>
      <w:marRight w:val="0"/>
      <w:marTop w:val="0"/>
      <w:marBottom w:val="0"/>
      <w:divBdr>
        <w:top w:val="none" w:sz="0" w:space="0" w:color="auto"/>
        <w:left w:val="none" w:sz="0" w:space="0" w:color="auto"/>
        <w:bottom w:val="none" w:sz="0" w:space="0" w:color="auto"/>
        <w:right w:val="none" w:sz="0" w:space="0" w:color="auto"/>
      </w:divBdr>
    </w:div>
    <w:div w:id="1177229980">
      <w:bodyDiv w:val="1"/>
      <w:marLeft w:val="0"/>
      <w:marRight w:val="0"/>
      <w:marTop w:val="0"/>
      <w:marBottom w:val="0"/>
      <w:divBdr>
        <w:top w:val="none" w:sz="0" w:space="0" w:color="auto"/>
        <w:left w:val="none" w:sz="0" w:space="0" w:color="auto"/>
        <w:bottom w:val="none" w:sz="0" w:space="0" w:color="auto"/>
        <w:right w:val="none" w:sz="0" w:space="0" w:color="auto"/>
      </w:divBdr>
    </w:div>
    <w:div w:id="1177232227">
      <w:bodyDiv w:val="1"/>
      <w:marLeft w:val="0"/>
      <w:marRight w:val="0"/>
      <w:marTop w:val="0"/>
      <w:marBottom w:val="0"/>
      <w:divBdr>
        <w:top w:val="none" w:sz="0" w:space="0" w:color="auto"/>
        <w:left w:val="none" w:sz="0" w:space="0" w:color="auto"/>
        <w:bottom w:val="none" w:sz="0" w:space="0" w:color="auto"/>
        <w:right w:val="none" w:sz="0" w:space="0" w:color="auto"/>
      </w:divBdr>
    </w:div>
    <w:div w:id="1177304954">
      <w:bodyDiv w:val="1"/>
      <w:marLeft w:val="0"/>
      <w:marRight w:val="0"/>
      <w:marTop w:val="0"/>
      <w:marBottom w:val="0"/>
      <w:divBdr>
        <w:top w:val="none" w:sz="0" w:space="0" w:color="auto"/>
        <w:left w:val="none" w:sz="0" w:space="0" w:color="auto"/>
        <w:bottom w:val="none" w:sz="0" w:space="0" w:color="auto"/>
        <w:right w:val="none" w:sz="0" w:space="0" w:color="auto"/>
      </w:divBdr>
    </w:div>
    <w:div w:id="1177309589">
      <w:bodyDiv w:val="1"/>
      <w:marLeft w:val="0"/>
      <w:marRight w:val="0"/>
      <w:marTop w:val="0"/>
      <w:marBottom w:val="0"/>
      <w:divBdr>
        <w:top w:val="none" w:sz="0" w:space="0" w:color="auto"/>
        <w:left w:val="none" w:sz="0" w:space="0" w:color="auto"/>
        <w:bottom w:val="none" w:sz="0" w:space="0" w:color="auto"/>
        <w:right w:val="none" w:sz="0" w:space="0" w:color="auto"/>
      </w:divBdr>
    </w:div>
    <w:div w:id="1177354427">
      <w:bodyDiv w:val="1"/>
      <w:marLeft w:val="0"/>
      <w:marRight w:val="0"/>
      <w:marTop w:val="0"/>
      <w:marBottom w:val="0"/>
      <w:divBdr>
        <w:top w:val="none" w:sz="0" w:space="0" w:color="auto"/>
        <w:left w:val="none" w:sz="0" w:space="0" w:color="auto"/>
        <w:bottom w:val="none" w:sz="0" w:space="0" w:color="auto"/>
        <w:right w:val="none" w:sz="0" w:space="0" w:color="auto"/>
      </w:divBdr>
    </w:div>
    <w:div w:id="1177382864">
      <w:bodyDiv w:val="1"/>
      <w:marLeft w:val="0"/>
      <w:marRight w:val="0"/>
      <w:marTop w:val="0"/>
      <w:marBottom w:val="0"/>
      <w:divBdr>
        <w:top w:val="none" w:sz="0" w:space="0" w:color="auto"/>
        <w:left w:val="none" w:sz="0" w:space="0" w:color="auto"/>
        <w:bottom w:val="none" w:sz="0" w:space="0" w:color="auto"/>
        <w:right w:val="none" w:sz="0" w:space="0" w:color="auto"/>
      </w:divBdr>
    </w:div>
    <w:div w:id="1177421867">
      <w:bodyDiv w:val="1"/>
      <w:marLeft w:val="0"/>
      <w:marRight w:val="0"/>
      <w:marTop w:val="0"/>
      <w:marBottom w:val="0"/>
      <w:divBdr>
        <w:top w:val="none" w:sz="0" w:space="0" w:color="auto"/>
        <w:left w:val="none" w:sz="0" w:space="0" w:color="auto"/>
        <w:bottom w:val="none" w:sz="0" w:space="0" w:color="auto"/>
        <w:right w:val="none" w:sz="0" w:space="0" w:color="auto"/>
      </w:divBdr>
    </w:div>
    <w:div w:id="1177496785">
      <w:bodyDiv w:val="1"/>
      <w:marLeft w:val="0"/>
      <w:marRight w:val="0"/>
      <w:marTop w:val="0"/>
      <w:marBottom w:val="0"/>
      <w:divBdr>
        <w:top w:val="none" w:sz="0" w:space="0" w:color="auto"/>
        <w:left w:val="none" w:sz="0" w:space="0" w:color="auto"/>
        <w:bottom w:val="none" w:sz="0" w:space="0" w:color="auto"/>
        <w:right w:val="none" w:sz="0" w:space="0" w:color="auto"/>
      </w:divBdr>
    </w:div>
    <w:div w:id="1177497434">
      <w:bodyDiv w:val="1"/>
      <w:marLeft w:val="0"/>
      <w:marRight w:val="0"/>
      <w:marTop w:val="0"/>
      <w:marBottom w:val="0"/>
      <w:divBdr>
        <w:top w:val="none" w:sz="0" w:space="0" w:color="auto"/>
        <w:left w:val="none" w:sz="0" w:space="0" w:color="auto"/>
        <w:bottom w:val="none" w:sz="0" w:space="0" w:color="auto"/>
        <w:right w:val="none" w:sz="0" w:space="0" w:color="auto"/>
      </w:divBdr>
    </w:div>
    <w:div w:id="1177648533">
      <w:bodyDiv w:val="1"/>
      <w:marLeft w:val="0"/>
      <w:marRight w:val="0"/>
      <w:marTop w:val="0"/>
      <w:marBottom w:val="0"/>
      <w:divBdr>
        <w:top w:val="none" w:sz="0" w:space="0" w:color="auto"/>
        <w:left w:val="none" w:sz="0" w:space="0" w:color="auto"/>
        <w:bottom w:val="none" w:sz="0" w:space="0" w:color="auto"/>
        <w:right w:val="none" w:sz="0" w:space="0" w:color="auto"/>
      </w:divBdr>
    </w:div>
    <w:div w:id="1177771199">
      <w:bodyDiv w:val="1"/>
      <w:marLeft w:val="0"/>
      <w:marRight w:val="0"/>
      <w:marTop w:val="0"/>
      <w:marBottom w:val="0"/>
      <w:divBdr>
        <w:top w:val="none" w:sz="0" w:space="0" w:color="auto"/>
        <w:left w:val="none" w:sz="0" w:space="0" w:color="auto"/>
        <w:bottom w:val="none" w:sz="0" w:space="0" w:color="auto"/>
        <w:right w:val="none" w:sz="0" w:space="0" w:color="auto"/>
      </w:divBdr>
    </w:div>
    <w:div w:id="1177886760">
      <w:bodyDiv w:val="1"/>
      <w:marLeft w:val="0"/>
      <w:marRight w:val="0"/>
      <w:marTop w:val="0"/>
      <w:marBottom w:val="0"/>
      <w:divBdr>
        <w:top w:val="none" w:sz="0" w:space="0" w:color="auto"/>
        <w:left w:val="none" w:sz="0" w:space="0" w:color="auto"/>
        <w:bottom w:val="none" w:sz="0" w:space="0" w:color="auto"/>
        <w:right w:val="none" w:sz="0" w:space="0" w:color="auto"/>
      </w:divBdr>
    </w:div>
    <w:div w:id="1178228170">
      <w:bodyDiv w:val="1"/>
      <w:marLeft w:val="0"/>
      <w:marRight w:val="0"/>
      <w:marTop w:val="0"/>
      <w:marBottom w:val="0"/>
      <w:divBdr>
        <w:top w:val="none" w:sz="0" w:space="0" w:color="auto"/>
        <w:left w:val="none" w:sz="0" w:space="0" w:color="auto"/>
        <w:bottom w:val="none" w:sz="0" w:space="0" w:color="auto"/>
        <w:right w:val="none" w:sz="0" w:space="0" w:color="auto"/>
      </w:divBdr>
    </w:div>
    <w:div w:id="1178228777">
      <w:bodyDiv w:val="1"/>
      <w:marLeft w:val="0"/>
      <w:marRight w:val="0"/>
      <w:marTop w:val="0"/>
      <w:marBottom w:val="0"/>
      <w:divBdr>
        <w:top w:val="none" w:sz="0" w:space="0" w:color="auto"/>
        <w:left w:val="none" w:sz="0" w:space="0" w:color="auto"/>
        <w:bottom w:val="none" w:sz="0" w:space="0" w:color="auto"/>
        <w:right w:val="none" w:sz="0" w:space="0" w:color="auto"/>
      </w:divBdr>
    </w:div>
    <w:div w:id="1178232634">
      <w:bodyDiv w:val="1"/>
      <w:marLeft w:val="0"/>
      <w:marRight w:val="0"/>
      <w:marTop w:val="0"/>
      <w:marBottom w:val="0"/>
      <w:divBdr>
        <w:top w:val="none" w:sz="0" w:space="0" w:color="auto"/>
        <w:left w:val="none" w:sz="0" w:space="0" w:color="auto"/>
        <w:bottom w:val="none" w:sz="0" w:space="0" w:color="auto"/>
        <w:right w:val="none" w:sz="0" w:space="0" w:color="auto"/>
      </w:divBdr>
    </w:div>
    <w:div w:id="1178543992">
      <w:bodyDiv w:val="1"/>
      <w:marLeft w:val="0"/>
      <w:marRight w:val="0"/>
      <w:marTop w:val="0"/>
      <w:marBottom w:val="0"/>
      <w:divBdr>
        <w:top w:val="none" w:sz="0" w:space="0" w:color="auto"/>
        <w:left w:val="none" w:sz="0" w:space="0" w:color="auto"/>
        <w:bottom w:val="none" w:sz="0" w:space="0" w:color="auto"/>
        <w:right w:val="none" w:sz="0" w:space="0" w:color="auto"/>
      </w:divBdr>
    </w:div>
    <w:div w:id="1178544443">
      <w:bodyDiv w:val="1"/>
      <w:marLeft w:val="0"/>
      <w:marRight w:val="0"/>
      <w:marTop w:val="0"/>
      <w:marBottom w:val="0"/>
      <w:divBdr>
        <w:top w:val="none" w:sz="0" w:space="0" w:color="auto"/>
        <w:left w:val="none" w:sz="0" w:space="0" w:color="auto"/>
        <w:bottom w:val="none" w:sz="0" w:space="0" w:color="auto"/>
        <w:right w:val="none" w:sz="0" w:space="0" w:color="auto"/>
      </w:divBdr>
    </w:div>
    <w:div w:id="1178547068">
      <w:bodyDiv w:val="1"/>
      <w:marLeft w:val="0"/>
      <w:marRight w:val="0"/>
      <w:marTop w:val="0"/>
      <w:marBottom w:val="0"/>
      <w:divBdr>
        <w:top w:val="none" w:sz="0" w:space="0" w:color="auto"/>
        <w:left w:val="none" w:sz="0" w:space="0" w:color="auto"/>
        <w:bottom w:val="none" w:sz="0" w:space="0" w:color="auto"/>
        <w:right w:val="none" w:sz="0" w:space="0" w:color="auto"/>
      </w:divBdr>
    </w:div>
    <w:div w:id="1178614208">
      <w:bodyDiv w:val="1"/>
      <w:marLeft w:val="0"/>
      <w:marRight w:val="0"/>
      <w:marTop w:val="0"/>
      <w:marBottom w:val="0"/>
      <w:divBdr>
        <w:top w:val="none" w:sz="0" w:space="0" w:color="auto"/>
        <w:left w:val="none" w:sz="0" w:space="0" w:color="auto"/>
        <w:bottom w:val="none" w:sz="0" w:space="0" w:color="auto"/>
        <w:right w:val="none" w:sz="0" w:space="0" w:color="auto"/>
      </w:divBdr>
    </w:div>
    <w:div w:id="1178618309">
      <w:bodyDiv w:val="1"/>
      <w:marLeft w:val="0"/>
      <w:marRight w:val="0"/>
      <w:marTop w:val="0"/>
      <w:marBottom w:val="0"/>
      <w:divBdr>
        <w:top w:val="none" w:sz="0" w:space="0" w:color="auto"/>
        <w:left w:val="none" w:sz="0" w:space="0" w:color="auto"/>
        <w:bottom w:val="none" w:sz="0" w:space="0" w:color="auto"/>
        <w:right w:val="none" w:sz="0" w:space="0" w:color="auto"/>
      </w:divBdr>
    </w:div>
    <w:div w:id="1178618411">
      <w:bodyDiv w:val="1"/>
      <w:marLeft w:val="0"/>
      <w:marRight w:val="0"/>
      <w:marTop w:val="0"/>
      <w:marBottom w:val="0"/>
      <w:divBdr>
        <w:top w:val="none" w:sz="0" w:space="0" w:color="auto"/>
        <w:left w:val="none" w:sz="0" w:space="0" w:color="auto"/>
        <w:bottom w:val="none" w:sz="0" w:space="0" w:color="auto"/>
        <w:right w:val="none" w:sz="0" w:space="0" w:color="auto"/>
      </w:divBdr>
    </w:div>
    <w:div w:id="1178688858">
      <w:bodyDiv w:val="1"/>
      <w:marLeft w:val="0"/>
      <w:marRight w:val="0"/>
      <w:marTop w:val="0"/>
      <w:marBottom w:val="0"/>
      <w:divBdr>
        <w:top w:val="none" w:sz="0" w:space="0" w:color="auto"/>
        <w:left w:val="none" w:sz="0" w:space="0" w:color="auto"/>
        <w:bottom w:val="none" w:sz="0" w:space="0" w:color="auto"/>
        <w:right w:val="none" w:sz="0" w:space="0" w:color="auto"/>
      </w:divBdr>
    </w:div>
    <w:div w:id="1178690347">
      <w:bodyDiv w:val="1"/>
      <w:marLeft w:val="0"/>
      <w:marRight w:val="0"/>
      <w:marTop w:val="0"/>
      <w:marBottom w:val="0"/>
      <w:divBdr>
        <w:top w:val="none" w:sz="0" w:space="0" w:color="auto"/>
        <w:left w:val="none" w:sz="0" w:space="0" w:color="auto"/>
        <w:bottom w:val="none" w:sz="0" w:space="0" w:color="auto"/>
        <w:right w:val="none" w:sz="0" w:space="0" w:color="auto"/>
      </w:divBdr>
    </w:div>
    <w:div w:id="1178693698">
      <w:bodyDiv w:val="1"/>
      <w:marLeft w:val="0"/>
      <w:marRight w:val="0"/>
      <w:marTop w:val="0"/>
      <w:marBottom w:val="0"/>
      <w:divBdr>
        <w:top w:val="none" w:sz="0" w:space="0" w:color="auto"/>
        <w:left w:val="none" w:sz="0" w:space="0" w:color="auto"/>
        <w:bottom w:val="none" w:sz="0" w:space="0" w:color="auto"/>
        <w:right w:val="none" w:sz="0" w:space="0" w:color="auto"/>
      </w:divBdr>
    </w:div>
    <w:div w:id="1178732152">
      <w:bodyDiv w:val="1"/>
      <w:marLeft w:val="0"/>
      <w:marRight w:val="0"/>
      <w:marTop w:val="0"/>
      <w:marBottom w:val="0"/>
      <w:divBdr>
        <w:top w:val="none" w:sz="0" w:space="0" w:color="auto"/>
        <w:left w:val="none" w:sz="0" w:space="0" w:color="auto"/>
        <w:bottom w:val="none" w:sz="0" w:space="0" w:color="auto"/>
        <w:right w:val="none" w:sz="0" w:space="0" w:color="auto"/>
      </w:divBdr>
    </w:div>
    <w:div w:id="1178737076">
      <w:bodyDiv w:val="1"/>
      <w:marLeft w:val="0"/>
      <w:marRight w:val="0"/>
      <w:marTop w:val="0"/>
      <w:marBottom w:val="0"/>
      <w:divBdr>
        <w:top w:val="none" w:sz="0" w:space="0" w:color="auto"/>
        <w:left w:val="none" w:sz="0" w:space="0" w:color="auto"/>
        <w:bottom w:val="none" w:sz="0" w:space="0" w:color="auto"/>
        <w:right w:val="none" w:sz="0" w:space="0" w:color="auto"/>
      </w:divBdr>
    </w:div>
    <w:div w:id="1178809196">
      <w:bodyDiv w:val="1"/>
      <w:marLeft w:val="0"/>
      <w:marRight w:val="0"/>
      <w:marTop w:val="0"/>
      <w:marBottom w:val="0"/>
      <w:divBdr>
        <w:top w:val="none" w:sz="0" w:space="0" w:color="auto"/>
        <w:left w:val="none" w:sz="0" w:space="0" w:color="auto"/>
        <w:bottom w:val="none" w:sz="0" w:space="0" w:color="auto"/>
        <w:right w:val="none" w:sz="0" w:space="0" w:color="auto"/>
      </w:divBdr>
    </w:div>
    <w:div w:id="1178883721">
      <w:bodyDiv w:val="1"/>
      <w:marLeft w:val="0"/>
      <w:marRight w:val="0"/>
      <w:marTop w:val="0"/>
      <w:marBottom w:val="0"/>
      <w:divBdr>
        <w:top w:val="none" w:sz="0" w:space="0" w:color="auto"/>
        <w:left w:val="none" w:sz="0" w:space="0" w:color="auto"/>
        <w:bottom w:val="none" w:sz="0" w:space="0" w:color="auto"/>
        <w:right w:val="none" w:sz="0" w:space="0" w:color="auto"/>
      </w:divBdr>
    </w:div>
    <w:div w:id="1178888057">
      <w:bodyDiv w:val="1"/>
      <w:marLeft w:val="0"/>
      <w:marRight w:val="0"/>
      <w:marTop w:val="0"/>
      <w:marBottom w:val="0"/>
      <w:divBdr>
        <w:top w:val="none" w:sz="0" w:space="0" w:color="auto"/>
        <w:left w:val="none" w:sz="0" w:space="0" w:color="auto"/>
        <w:bottom w:val="none" w:sz="0" w:space="0" w:color="auto"/>
        <w:right w:val="none" w:sz="0" w:space="0" w:color="auto"/>
      </w:divBdr>
    </w:div>
    <w:div w:id="1178930313">
      <w:bodyDiv w:val="1"/>
      <w:marLeft w:val="0"/>
      <w:marRight w:val="0"/>
      <w:marTop w:val="0"/>
      <w:marBottom w:val="0"/>
      <w:divBdr>
        <w:top w:val="none" w:sz="0" w:space="0" w:color="auto"/>
        <w:left w:val="none" w:sz="0" w:space="0" w:color="auto"/>
        <w:bottom w:val="none" w:sz="0" w:space="0" w:color="auto"/>
        <w:right w:val="none" w:sz="0" w:space="0" w:color="auto"/>
      </w:divBdr>
    </w:div>
    <w:div w:id="1179079070">
      <w:bodyDiv w:val="1"/>
      <w:marLeft w:val="0"/>
      <w:marRight w:val="0"/>
      <w:marTop w:val="0"/>
      <w:marBottom w:val="0"/>
      <w:divBdr>
        <w:top w:val="none" w:sz="0" w:space="0" w:color="auto"/>
        <w:left w:val="none" w:sz="0" w:space="0" w:color="auto"/>
        <w:bottom w:val="none" w:sz="0" w:space="0" w:color="auto"/>
        <w:right w:val="none" w:sz="0" w:space="0" w:color="auto"/>
      </w:divBdr>
    </w:div>
    <w:div w:id="1179273954">
      <w:bodyDiv w:val="1"/>
      <w:marLeft w:val="0"/>
      <w:marRight w:val="0"/>
      <w:marTop w:val="0"/>
      <w:marBottom w:val="0"/>
      <w:divBdr>
        <w:top w:val="none" w:sz="0" w:space="0" w:color="auto"/>
        <w:left w:val="none" w:sz="0" w:space="0" w:color="auto"/>
        <w:bottom w:val="none" w:sz="0" w:space="0" w:color="auto"/>
        <w:right w:val="none" w:sz="0" w:space="0" w:color="auto"/>
      </w:divBdr>
    </w:div>
    <w:div w:id="1179277049">
      <w:bodyDiv w:val="1"/>
      <w:marLeft w:val="0"/>
      <w:marRight w:val="0"/>
      <w:marTop w:val="0"/>
      <w:marBottom w:val="0"/>
      <w:divBdr>
        <w:top w:val="none" w:sz="0" w:space="0" w:color="auto"/>
        <w:left w:val="none" w:sz="0" w:space="0" w:color="auto"/>
        <w:bottom w:val="none" w:sz="0" w:space="0" w:color="auto"/>
        <w:right w:val="none" w:sz="0" w:space="0" w:color="auto"/>
      </w:divBdr>
    </w:div>
    <w:div w:id="1179346181">
      <w:bodyDiv w:val="1"/>
      <w:marLeft w:val="0"/>
      <w:marRight w:val="0"/>
      <w:marTop w:val="0"/>
      <w:marBottom w:val="0"/>
      <w:divBdr>
        <w:top w:val="none" w:sz="0" w:space="0" w:color="auto"/>
        <w:left w:val="none" w:sz="0" w:space="0" w:color="auto"/>
        <w:bottom w:val="none" w:sz="0" w:space="0" w:color="auto"/>
        <w:right w:val="none" w:sz="0" w:space="0" w:color="auto"/>
      </w:divBdr>
    </w:div>
    <w:div w:id="1179390972">
      <w:bodyDiv w:val="1"/>
      <w:marLeft w:val="0"/>
      <w:marRight w:val="0"/>
      <w:marTop w:val="0"/>
      <w:marBottom w:val="0"/>
      <w:divBdr>
        <w:top w:val="none" w:sz="0" w:space="0" w:color="auto"/>
        <w:left w:val="none" w:sz="0" w:space="0" w:color="auto"/>
        <w:bottom w:val="none" w:sz="0" w:space="0" w:color="auto"/>
        <w:right w:val="none" w:sz="0" w:space="0" w:color="auto"/>
      </w:divBdr>
    </w:div>
    <w:div w:id="1179461741">
      <w:bodyDiv w:val="1"/>
      <w:marLeft w:val="0"/>
      <w:marRight w:val="0"/>
      <w:marTop w:val="0"/>
      <w:marBottom w:val="0"/>
      <w:divBdr>
        <w:top w:val="none" w:sz="0" w:space="0" w:color="auto"/>
        <w:left w:val="none" w:sz="0" w:space="0" w:color="auto"/>
        <w:bottom w:val="none" w:sz="0" w:space="0" w:color="auto"/>
        <w:right w:val="none" w:sz="0" w:space="0" w:color="auto"/>
      </w:divBdr>
    </w:div>
    <w:div w:id="1179538841">
      <w:bodyDiv w:val="1"/>
      <w:marLeft w:val="0"/>
      <w:marRight w:val="0"/>
      <w:marTop w:val="0"/>
      <w:marBottom w:val="0"/>
      <w:divBdr>
        <w:top w:val="none" w:sz="0" w:space="0" w:color="auto"/>
        <w:left w:val="none" w:sz="0" w:space="0" w:color="auto"/>
        <w:bottom w:val="none" w:sz="0" w:space="0" w:color="auto"/>
        <w:right w:val="none" w:sz="0" w:space="0" w:color="auto"/>
      </w:divBdr>
    </w:div>
    <w:div w:id="1179540864">
      <w:bodyDiv w:val="1"/>
      <w:marLeft w:val="0"/>
      <w:marRight w:val="0"/>
      <w:marTop w:val="0"/>
      <w:marBottom w:val="0"/>
      <w:divBdr>
        <w:top w:val="none" w:sz="0" w:space="0" w:color="auto"/>
        <w:left w:val="none" w:sz="0" w:space="0" w:color="auto"/>
        <w:bottom w:val="none" w:sz="0" w:space="0" w:color="auto"/>
        <w:right w:val="none" w:sz="0" w:space="0" w:color="auto"/>
      </w:divBdr>
    </w:div>
    <w:div w:id="1179542118">
      <w:bodyDiv w:val="1"/>
      <w:marLeft w:val="0"/>
      <w:marRight w:val="0"/>
      <w:marTop w:val="0"/>
      <w:marBottom w:val="0"/>
      <w:divBdr>
        <w:top w:val="none" w:sz="0" w:space="0" w:color="auto"/>
        <w:left w:val="none" w:sz="0" w:space="0" w:color="auto"/>
        <w:bottom w:val="none" w:sz="0" w:space="0" w:color="auto"/>
        <w:right w:val="none" w:sz="0" w:space="0" w:color="auto"/>
      </w:divBdr>
    </w:div>
    <w:div w:id="1179615202">
      <w:bodyDiv w:val="1"/>
      <w:marLeft w:val="0"/>
      <w:marRight w:val="0"/>
      <w:marTop w:val="0"/>
      <w:marBottom w:val="0"/>
      <w:divBdr>
        <w:top w:val="none" w:sz="0" w:space="0" w:color="auto"/>
        <w:left w:val="none" w:sz="0" w:space="0" w:color="auto"/>
        <w:bottom w:val="none" w:sz="0" w:space="0" w:color="auto"/>
        <w:right w:val="none" w:sz="0" w:space="0" w:color="auto"/>
      </w:divBdr>
    </w:div>
    <w:div w:id="1179663431">
      <w:bodyDiv w:val="1"/>
      <w:marLeft w:val="0"/>
      <w:marRight w:val="0"/>
      <w:marTop w:val="0"/>
      <w:marBottom w:val="0"/>
      <w:divBdr>
        <w:top w:val="none" w:sz="0" w:space="0" w:color="auto"/>
        <w:left w:val="none" w:sz="0" w:space="0" w:color="auto"/>
        <w:bottom w:val="none" w:sz="0" w:space="0" w:color="auto"/>
        <w:right w:val="none" w:sz="0" w:space="0" w:color="auto"/>
      </w:divBdr>
    </w:div>
    <w:div w:id="1179782663">
      <w:bodyDiv w:val="1"/>
      <w:marLeft w:val="0"/>
      <w:marRight w:val="0"/>
      <w:marTop w:val="0"/>
      <w:marBottom w:val="0"/>
      <w:divBdr>
        <w:top w:val="none" w:sz="0" w:space="0" w:color="auto"/>
        <w:left w:val="none" w:sz="0" w:space="0" w:color="auto"/>
        <w:bottom w:val="none" w:sz="0" w:space="0" w:color="auto"/>
        <w:right w:val="none" w:sz="0" w:space="0" w:color="auto"/>
      </w:divBdr>
    </w:div>
    <w:div w:id="1179857931">
      <w:bodyDiv w:val="1"/>
      <w:marLeft w:val="0"/>
      <w:marRight w:val="0"/>
      <w:marTop w:val="0"/>
      <w:marBottom w:val="0"/>
      <w:divBdr>
        <w:top w:val="none" w:sz="0" w:space="0" w:color="auto"/>
        <w:left w:val="none" w:sz="0" w:space="0" w:color="auto"/>
        <w:bottom w:val="none" w:sz="0" w:space="0" w:color="auto"/>
        <w:right w:val="none" w:sz="0" w:space="0" w:color="auto"/>
      </w:divBdr>
    </w:div>
    <w:div w:id="1180008295">
      <w:bodyDiv w:val="1"/>
      <w:marLeft w:val="0"/>
      <w:marRight w:val="0"/>
      <w:marTop w:val="0"/>
      <w:marBottom w:val="0"/>
      <w:divBdr>
        <w:top w:val="none" w:sz="0" w:space="0" w:color="auto"/>
        <w:left w:val="none" w:sz="0" w:space="0" w:color="auto"/>
        <w:bottom w:val="none" w:sz="0" w:space="0" w:color="auto"/>
        <w:right w:val="none" w:sz="0" w:space="0" w:color="auto"/>
      </w:divBdr>
    </w:div>
    <w:div w:id="1180050784">
      <w:bodyDiv w:val="1"/>
      <w:marLeft w:val="0"/>
      <w:marRight w:val="0"/>
      <w:marTop w:val="0"/>
      <w:marBottom w:val="0"/>
      <w:divBdr>
        <w:top w:val="none" w:sz="0" w:space="0" w:color="auto"/>
        <w:left w:val="none" w:sz="0" w:space="0" w:color="auto"/>
        <w:bottom w:val="none" w:sz="0" w:space="0" w:color="auto"/>
        <w:right w:val="none" w:sz="0" w:space="0" w:color="auto"/>
      </w:divBdr>
    </w:div>
    <w:div w:id="1180193956">
      <w:bodyDiv w:val="1"/>
      <w:marLeft w:val="0"/>
      <w:marRight w:val="0"/>
      <w:marTop w:val="0"/>
      <w:marBottom w:val="0"/>
      <w:divBdr>
        <w:top w:val="none" w:sz="0" w:space="0" w:color="auto"/>
        <w:left w:val="none" w:sz="0" w:space="0" w:color="auto"/>
        <w:bottom w:val="none" w:sz="0" w:space="0" w:color="auto"/>
        <w:right w:val="none" w:sz="0" w:space="0" w:color="auto"/>
      </w:divBdr>
    </w:div>
    <w:div w:id="1180198071">
      <w:bodyDiv w:val="1"/>
      <w:marLeft w:val="0"/>
      <w:marRight w:val="0"/>
      <w:marTop w:val="0"/>
      <w:marBottom w:val="0"/>
      <w:divBdr>
        <w:top w:val="none" w:sz="0" w:space="0" w:color="auto"/>
        <w:left w:val="none" w:sz="0" w:space="0" w:color="auto"/>
        <w:bottom w:val="none" w:sz="0" w:space="0" w:color="auto"/>
        <w:right w:val="none" w:sz="0" w:space="0" w:color="auto"/>
      </w:divBdr>
    </w:div>
    <w:div w:id="1180268008">
      <w:bodyDiv w:val="1"/>
      <w:marLeft w:val="0"/>
      <w:marRight w:val="0"/>
      <w:marTop w:val="0"/>
      <w:marBottom w:val="0"/>
      <w:divBdr>
        <w:top w:val="none" w:sz="0" w:space="0" w:color="auto"/>
        <w:left w:val="none" w:sz="0" w:space="0" w:color="auto"/>
        <w:bottom w:val="none" w:sz="0" w:space="0" w:color="auto"/>
        <w:right w:val="none" w:sz="0" w:space="0" w:color="auto"/>
      </w:divBdr>
    </w:div>
    <w:div w:id="1180390456">
      <w:bodyDiv w:val="1"/>
      <w:marLeft w:val="0"/>
      <w:marRight w:val="0"/>
      <w:marTop w:val="0"/>
      <w:marBottom w:val="0"/>
      <w:divBdr>
        <w:top w:val="none" w:sz="0" w:space="0" w:color="auto"/>
        <w:left w:val="none" w:sz="0" w:space="0" w:color="auto"/>
        <w:bottom w:val="none" w:sz="0" w:space="0" w:color="auto"/>
        <w:right w:val="none" w:sz="0" w:space="0" w:color="auto"/>
      </w:divBdr>
    </w:div>
    <w:div w:id="1180463391">
      <w:bodyDiv w:val="1"/>
      <w:marLeft w:val="0"/>
      <w:marRight w:val="0"/>
      <w:marTop w:val="0"/>
      <w:marBottom w:val="0"/>
      <w:divBdr>
        <w:top w:val="none" w:sz="0" w:space="0" w:color="auto"/>
        <w:left w:val="none" w:sz="0" w:space="0" w:color="auto"/>
        <w:bottom w:val="none" w:sz="0" w:space="0" w:color="auto"/>
        <w:right w:val="none" w:sz="0" w:space="0" w:color="auto"/>
      </w:divBdr>
    </w:div>
    <w:div w:id="1180505531">
      <w:bodyDiv w:val="1"/>
      <w:marLeft w:val="0"/>
      <w:marRight w:val="0"/>
      <w:marTop w:val="0"/>
      <w:marBottom w:val="0"/>
      <w:divBdr>
        <w:top w:val="none" w:sz="0" w:space="0" w:color="auto"/>
        <w:left w:val="none" w:sz="0" w:space="0" w:color="auto"/>
        <w:bottom w:val="none" w:sz="0" w:space="0" w:color="auto"/>
        <w:right w:val="none" w:sz="0" w:space="0" w:color="auto"/>
      </w:divBdr>
    </w:div>
    <w:div w:id="1180506192">
      <w:bodyDiv w:val="1"/>
      <w:marLeft w:val="0"/>
      <w:marRight w:val="0"/>
      <w:marTop w:val="0"/>
      <w:marBottom w:val="0"/>
      <w:divBdr>
        <w:top w:val="none" w:sz="0" w:space="0" w:color="auto"/>
        <w:left w:val="none" w:sz="0" w:space="0" w:color="auto"/>
        <w:bottom w:val="none" w:sz="0" w:space="0" w:color="auto"/>
        <w:right w:val="none" w:sz="0" w:space="0" w:color="auto"/>
      </w:divBdr>
    </w:div>
    <w:div w:id="1180512123">
      <w:bodyDiv w:val="1"/>
      <w:marLeft w:val="0"/>
      <w:marRight w:val="0"/>
      <w:marTop w:val="0"/>
      <w:marBottom w:val="0"/>
      <w:divBdr>
        <w:top w:val="none" w:sz="0" w:space="0" w:color="auto"/>
        <w:left w:val="none" w:sz="0" w:space="0" w:color="auto"/>
        <w:bottom w:val="none" w:sz="0" w:space="0" w:color="auto"/>
        <w:right w:val="none" w:sz="0" w:space="0" w:color="auto"/>
      </w:divBdr>
    </w:div>
    <w:div w:id="1180588061">
      <w:bodyDiv w:val="1"/>
      <w:marLeft w:val="0"/>
      <w:marRight w:val="0"/>
      <w:marTop w:val="0"/>
      <w:marBottom w:val="0"/>
      <w:divBdr>
        <w:top w:val="none" w:sz="0" w:space="0" w:color="auto"/>
        <w:left w:val="none" w:sz="0" w:space="0" w:color="auto"/>
        <w:bottom w:val="none" w:sz="0" w:space="0" w:color="auto"/>
        <w:right w:val="none" w:sz="0" w:space="0" w:color="auto"/>
      </w:divBdr>
    </w:div>
    <w:div w:id="1180631159">
      <w:bodyDiv w:val="1"/>
      <w:marLeft w:val="0"/>
      <w:marRight w:val="0"/>
      <w:marTop w:val="0"/>
      <w:marBottom w:val="0"/>
      <w:divBdr>
        <w:top w:val="none" w:sz="0" w:space="0" w:color="auto"/>
        <w:left w:val="none" w:sz="0" w:space="0" w:color="auto"/>
        <w:bottom w:val="none" w:sz="0" w:space="0" w:color="auto"/>
        <w:right w:val="none" w:sz="0" w:space="0" w:color="auto"/>
      </w:divBdr>
    </w:div>
    <w:div w:id="1180701931">
      <w:bodyDiv w:val="1"/>
      <w:marLeft w:val="0"/>
      <w:marRight w:val="0"/>
      <w:marTop w:val="0"/>
      <w:marBottom w:val="0"/>
      <w:divBdr>
        <w:top w:val="none" w:sz="0" w:space="0" w:color="auto"/>
        <w:left w:val="none" w:sz="0" w:space="0" w:color="auto"/>
        <w:bottom w:val="none" w:sz="0" w:space="0" w:color="auto"/>
        <w:right w:val="none" w:sz="0" w:space="0" w:color="auto"/>
      </w:divBdr>
    </w:div>
    <w:div w:id="1180772313">
      <w:bodyDiv w:val="1"/>
      <w:marLeft w:val="0"/>
      <w:marRight w:val="0"/>
      <w:marTop w:val="0"/>
      <w:marBottom w:val="0"/>
      <w:divBdr>
        <w:top w:val="none" w:sz="0" w:space="0" w:color="auto"/>
        <w:left w:val="none" w:sz="0" w:space="0" w:color="auto"/>
        <w:bottom w:val="none" w:sz="0" w:space="0" w:color="auto"/>
        <w:right w:val="none" w:sz="0" w:space="0" w:color="auto"/>
      </w:divBdr>
    </w:div>
    <w:div w:id="1180777856">
      <w:bodyDiv w:val="1"/>
      <w:marLeft w:val="0"/>
      <w:marRight w:val="0"/>
      <w:marTop w:val="0"/>
      <w:marBottom w:val="0"/>
      <w:divBdr>
        <w:top w:val="none" w:sz="0" w:space="0" w:color="auto"/>
        <w:left w:val="none" w:sz="0" w:space="0" w:color="auto"/>
        <w:bottom w:val="none" w:sz="0" w:space="0" w:color="auto"/>
        <w:right w:val="none" w:sz="0" w:space="0" w:color="auto"/>
      </w:divBdr>
    </w:div>
    <w:div w:id="1180780151">
      <w:bodyDiv w:val="1"/>
      <w:marLeft w:val="0"/>
      <w:marRight w:val="0"/>
      <w:marTop w:val="0"/>
      <w:marBottom w:val="0"/>
      <w:divBdr>
        <w:top w:val="none" w:sz="0" w:space="0" w:color="auto"/>
        <w:left w:val="none" w:sz="0" w:space="0" w:color="auto"/>
        <w:bottom w:val="none" w:sz="0" w:space="0" w:color="auto"/>
        <w:right w:val="none" w:sz="0" w:space="0" w:color="auto"/>
      </w:divBdr>
    </w:div>
    <w:div w:id="1180893687">
      <w:bodyDiv w:val="1"/>
      <w:marLeft w:val="0"/>
      <w:marRight w:val="0"/>
      <w:marTop w:val="0"/>
      <w:marBottom w:val="0"/>
      <w:divBdr>
        <w:top w:val="none" w:sz="0" w:space="0" w:color="auto"/>
        <w:left w:val="none" w:sz="0" w:space="0" w:color="auto"/>
        <w:bottom w:val="none" w:sz="0" w:space="0" w:color="auto"/>
        <w:right w:val="none" w:sz="0" w:space="0" w:color="auto"/>
      </w:divBdr>
    </w:div>
    <w:div w:id="1180967887">
      <w:bodyDiv w:val="1"/>
      <w:marLeft w:val="0"/>
      <w:marRight w:val="0"/>
      <w:marTop w:val="0"/>
      <w:marBottom w:val="0"/>
      <w:divBdr>
        <w:top w:val="none" w:sz="0" w:space="0" w:color="auto"/>
        <w:left w:val="none" w:sz="0" w:space="0" w:color="auto"/>
        <w:bottom w:val="none" w:sz="0" w:space="0" w:color="auto"/>
        <w:right w:val="none" w:sz="0" w:space="0" w:color="auto"/>
      </w:divBdr>
    </w:div>
    <w:div w:id="1181092332">
      <w:bodyDiv w:val="1"/>
      <w:marLeft w:val="0"/>
      <w:marRight w:val="0"/>
      <w:marTop w:val="0"/>
      <w:marBottom w:val="0"/>
      <w:divBdr>
        <w:top w:val="none" w:sz="0" w:space="0" w:color="auto"/>
        <w:left w:val="none" w:sz="0" w:space="0" w:color="auto"/>
        <w:bottom w:val="none" w:sz="0" w:space="0" w:color="auto"/>
        <w:right w:val="none" w:sz="0" w:space="0" w:color="auto"/>
      </w:divBdr>
    </w:div>
    <w:div w:id="1181117991">
      <w:bodyDiv w:val="1"/>
      <w:marLeft w:val="0"/>
      <w:marRight w:val="0"/>
      <w:marTop w:val="0"/>
      <w:marBottom w:val="0"/>
      <w:divBdr>
        <w:top w:val="none" w:sz="0" w:space="0" w:color="auto"/>
        <w:left w:val="none" w:sz="0" w:space="0" w:color="auto"/>
        <w:bottom w:val="none" w:sz="0" w:space="0" w:color="auto"/>
        <w:right w:val="none" w:sz="0" w:space="0" w:color="auto"/>
      </w:divBdr>
    </w:div>
    <w:div w:id="1181236884">
      <w:bodyDiv w:val="1"/>
      <w:marLeft w:val="0"/>
      <w:marRight w:val="0"/>
      <w:marTop w:val="0"/>
      <w:marBottom w:val="0"/>
      <w:divBdr>
        <w:top w:val="none" w:sz="0" w:space="0" w:color="auto"/>
        <w:left w:val="none" w:sz="0" w:space="0" w:color="auto"/>
        <w:bottom w:val="none" w:sz="0" w:space="0" w:color="auto"/>
        <w:right w:val="none" w:sz="0" w:space="0" w:color="auto"/>
      </w:divBdr>
    </w:div>
    <w:div w:id="1181238185">
      <w:bodyDiv w:val="1"/>
      <w:marLeft w:val="0"/>
      <w:marRight w:val="0"/>
      <w:marTop w:val="0"/>
      <w:marBottom w:val="0"/>
      <w:divBdr>
        <w:top w:val="none" w:sz="0" w:space="0" w:color="auto"/>
        <w:left w:val="none" w:sz="0" w:space="0" w:color="auto"/>
        <w:bottom w:val="none" w:sz="0" w:space="0" w:color="auto"/>
        <w:right w:val="none" w:sz="0" w:space="0" w:color="auto"/>
      </w:divBdr>
    </w:div>
    <w:div w:id="1181355818">
      <w:bodyDiv w:val="1"/>
      <w:marLeft w:val="0"/>
      <w:marRight w:val="0"/>
      <w:marTop w:val="0"/>
      <w:marBottom w:val="0"/>
      <w:divBdr>
        <w:top w:val="none" w:sz="0" w:space="0" w:color="auto"/>
        <w:left w:val="none" w:sz="0" w:space="0" w:color="auto"/>
        <w:bottom w:val="none" w:sz="0" w:space="0" w:color="auto"/>
        <w:right w:val="none" w:sz="0" w:space="0" w:color="auto"/>
      </w:divBdr>
    </w:div>
    <w:div w:id="1181359919">
      <w:bodyDiv w:val="1"/>
      <w:marLeft w:val="0"/>
      <w:marRight w:val="0"/>
      <w:marTop w:val="0"/>
      <w:marBottom w:val="0"/>
      <w:divBdr>
        <w:top w:val="none" w:sz="0" w:space="0" w:color="auto"/>
        <w:left w:val="none" w:sz="0" w:space="0" w:color="auto"/>
        <w:bottom w:val="none" w:sz="0" w:space="0" w:color="auto"/>
        <w:right w:val="none" w:sz="0" w:space="0" w:color="auto"/>
      </w:divBdr>
    </w:div>
    <w:div w:id="1181508196">
      <w:bodyDiv w:val="1"/>
      <w:marLeft w:val="0"/>
      <w:marRight w:val="0"/>
      <w:marTop w:val="0"/>
      <w:marBottom w:val="0"/>
      <w:divBdr>
        <w:top w:val="none" w:sz="0" w:space="0" w:color="auto"/>
        <w:left w:val="none" w:sz="0" w:space="0" w:color="auto"/>
        <w:bottom w:val="none" w:sz="0" w:space="0" w:color="auto"/>
        <w:right w:val="none" w:sz="0" w:space="0" w:color="auto"/>
      </w:divBdr>
    </w:div>
    <w:div w:id="1181551504">
      <w:bodyDiv w:val="1"/>
      <w:marLeft w:val="0"/>
      <w:marRight w:val="0"/>
      <w:marTop w:val="0"/>
      <w:marBottom w:val="0"/>
      <w:divBdr>
        <w:top w:val="none" w:sz="0" w:space="0" w:color="auto"/>
        <w:left w:val="none" w:sz="0" w:space="0" w:color="auto"/>
        <w:bottom w:val="none" w:sz="0" w:space="0" w:color="auto"/>
        <w:right w:val="none" w:sz="0" w:space="0" w:color="auto"/>
      </w:divBdr>
    </w:div>
    <w:div w:id="1181622551">
      <w:bodyDiv w:val="1"/>
      <w:marLeft w:val="0"/>
      <w:marRight w:val="0"/>
      <w:marTop w:val="0"/>
      <w:marBottom w:val="0"/>
      <w:divBdr>
        <w:top w:val="none" w:sz="0" w:space="0" w:color="auto"/>
        <w:left w:val="none" w:sz="0" w:space="0" w:color="auto"/>
        <w:bottom w:val="none" w:sz="0" w:space="0" w:color="auto"/>
        <w:right w:val="none" w:sz="0" w:space="0" w:color="auto"/>
      </w:divBdr>
    </w:div>
    <w:div w:id="1181624109">
      <w:bodyDiv w:val="1"/>
      <w:marLeft w:val="0"/>
      <w:marRight w:val="0"/>
      <w:marTop w:val="0"/>
      <w:marBottom w:val="0"/>
      <w:divBdr>
        <w:top w:val="none" w:sz="0" w:space="0" w:color="auto"/>
        <w:left w:val="none" w:sz="0" w:space="0" w:color="auto"/>
        <w:bottom w:val="none" w:sz="0" w:space="0" w:color="auto"/>
        <w:right w:val="none" w:sz="0" w:space="0" w:color="auto"/>
      </w:divBdr>
    </w:div>
    <w:div w:id="1181628700">
      <w:bodyDiv w:val="1"/>
      <w:marLeft w:val="0"/>
      <w:marRight w:val="0"/>
      <w:marTop w:val="0"/>
      <w:marBottom w:val="0"/>
      <w:divBdr>
        <w:top w:val="none" w:sz="0" w:space="0" w:color="auto"/>
        <w:left w:val="none" w:sz="0" w:space="0" w:color="auto"/>
        <w:bottom w:val="none" w:sz="0" w:space="0" w:color="auto"/>
        <w:right w:val="none" w:sz="0" w:space="0" w:color="auto"/>
      </w:divBdr>
    </w:div>
    <w:div w:id="1181816758">
      <w:bodyDiv w:val="1"/>
      <w:marLeft w:val="0"/>
      <w:marRight w:val="0"/>
      <w:marTop w:val="0"/>
      <w:marBottom w:val="0"/>
      <w:divBdr>
        <w:top w:val="none" w:sz="0" w:space="0" w:color="auto"/>
        <w:left w:val="none" w:sz="0" w:space="0" w:color="auto"/>
        <w:bottom w:val="none" w:sz="0" w:space="0" w:color="auto"/>
        <w:right w:val="none" w:sz="0" w:space="0" w:color="auto"/>
      </w:divBdr>
    </w:div>
    <w:div w:id="1181898050">
      <w:bodyDiv w:val="1"/>
      <w:marLeft w:val="0"/>
      <w:marRight w:val="0"/>
      <w:marTop w:val="0"/>
      <w:marBottom w:val="0"/>
      <w:divBdr>
        <w:top w:val="none" w:sz="0" w:space="0" w:color="auto"/>
        <w:left w:val="none" w:sz="0" w:space="0" w:color="auto"/>
        <w:bottom w:val="none" w:sz="0" w:space="0" w:color="auto"/>
        <w:right w:val="none" w:sz="0" w:space="0" w:color="auto"/>
      </w:divBdr>
    </w:div>
    <w:div w:id="1181965548">
      <w:bodyDiv w:val="1"/>
      <w:marLeft w:val="0"/>
      <w:marRight w:val="0"/>
      <w:marTop w:val="0"/>
      <w:marBottom w:val="0"/>
      <w:divBdr>
        <w:top w:val="none" w:sz="0" w:space="0" w:color="auto"/>
        <w:left w:val="none" w:sz="0" w:space="0" w:color="auto"/>
        <w:bottom w:val="none" w:sz="0" w:space="0" w:color="auto"/>
        <w:right w:val="none" w:sz="0" w:space="0" w:color="auto"/>
      </w:divBdr>
    </w:div>
    <w:div w:id="1181969507">
      <w:bodyDiv w:val="1"/>
      <w:marLeft w:val="0"/>
      <w:marRight w:val="0"/>
      <w:marTop w:val="0"/>
      <w:marBottom w:val="0"/>
      <w:divBdr>
        <w:top w:val="none" w:sz="0" w:space="0" w:color="auto"/>
        <w:left w:val="none" w:sz="0" w:space="0" w:color="auto"/>
        <w:bottom w:val="none" w:sz="0" w:space="0" w:color="auto"/>
        <w:right w:val="none" w:sz="0" w:space="0" w:color="auto"/>
      </w:divBdr>
    </w:div>
    <w:div w:id="1181971291">
      <w:bodyDiv w:val="1"/>
      <w:marLeft w:val="0"/>
      <w:marRight w:val="0"/>
      <w:marTop w:val="0"/>
      <w:marBottom w:val="0"/>
      <w:divBdr>
        <w:top w:val="none" w:sz="0" w:space="0" w:color="auto"/>
        <w:left w:val="none" w:sz="0" w:space="0" w:color="auto"/>
        <w:bottom w:val="none" w:sz="0" w:space="0" w:color="auto"/>
        <w:right w:val="none" w:sz="0" w:space="0" w:color="auto"/>
      </w:divBdr>
    </w:div>
    <w:div w:id="1182009713">
      <w:bodyDiv w:val="1"/>
      <w:marLeft w:val="0"/>
      <w:marRight w:val="0"/>
      <w:marTop w:val="0"/>
      <w:marBottom w:val="0"/>
      <w:divBdr>
        <w:top w:val="none" w:sz="0" w:space="0" w:color="auto"/>
        <w:left w:val="none" w:sz="0" w:space="0" w:color="auto"/>
        <w:bottom w:val="none" w:sz="0" w:space="0" w:color="auto"/>
        <w:right w:val="none" w:sz="0" w:space="0" w:color="auto"/>
      </w:divBdr>
    </w:div>
    <w:div w:id="1182017036">
      <w:bodyDiv w:val="1"/>
      <w:marLeft w:val="0"/>
      <w:marRight w:val="0"/>
      <w:marTop w:val="0"/>
      <w:marBottom w:val="0"/>
      <w:divBdr>
        <w:top w:val="none" w:sz="0" w:space="0" w:color="auto"/>
        <w:left w:val="none" w:sz="0" w:space="0" w:color="auto"/>
        <w:bottom w:val="none" w:sz="0" w:space="0" w:color="auto"/>
        <w:right w:val="none" w:sz="0" w:space="0" w:color="auto"/>
      </w:divBdr>
    </w:div>
    <w:div w:id="1182086487">
      <w:bodyDiv w:val="1"/>
      <w:marLeft w:val="0"/>
      <w:marRight w:val="0"/>
      <w:marTop w:val="0"/>
      <w:marBottom w:val="0"/>
      <w:divBdr>
        <w:top w:val="none" w:sz="0" w:space="0" w:color="auto"/>
        <w:left w:val="none" w:sz="0" w:space="0" w:color="auto"/>
        <w:bottom w:val="none" w:sz="0" w:space="0" w:color="auto"/>
        <w:right w:val="none" w:sz="0" w:space="0" w:color="auto"/>
      </w:divBdr>
    </w:div>
    <w:div w:id="1182088536">
      <w:bodyDiv w:val="1"/>
      <w:marLeft w:val="0"/>
      <w:marRight w:val="0"/>
      <w:marTop w:val="0"/>
      <w:marBottom w:val="0"/>
      <w:divBdr>
        <w:top w:val="none" w:sz="0" w:space="0" w:color="auto"/>
        <w:left w:val="none" w:sz="0" w:space="0" w:color="auto"/>
        <w:bottom w:val="none" w:sz="0" w:space="0" w:color="auto"/>
        <w:right w:val="none" w:sz="0" w:space="0" w:color="auto"/>
      </w:divBdr>
    </w:div>
    <w:div w:id="1182091505">
      <w:bodyDiv w:val="1"/>
      <w:marLeft w:val="0"/>
      <w:marRight w:val="0"/>
      <w:marTop w:val="0"/>
      <w:marBottom w:val="0"/>
      <w:divBdr>
        <w:top w:val="none" w:sz="0" w:space="0" w:color="auto"/>
        <w:left w:val="none" w:sz="0" w:space="0" w:color="auto"/>
        <w:bottom w:val="none" w:sz="0" w:space="0" w:color="auto"/>
        <w:right w:val="none" w:sz="0" w:space="0" w:color="auto"/>
      </w:divBdr>
    </w:div>
    <w:div w:id="1182158736">
      <w:bodyDiv w:val="1"/>
      <w:marLeft w:val="0"/>
      <w:marRight w:val="0"/>
      <w:marTop w:val="0"/>
      <w:marBottom w:val="0"/>
      <w:divBdr>
        <w:top w:val="none" w:sz="0" w:space="0" w:color="auto"/>
        <w:left w:val="none" w:sz="0" w:space="0" w:color="auto"/>
        <w:bottom w:val="none" w:sz="0" w:space="0" w:color="auto"/>
        <w:right w:val="none" w:sz="0" w:space="0" w:color="auto"/>
      </w:divBdr>
    </w:div>
    <w:div w:id="1182401470">
      <w:bodyDiv w:val="1"/>
      <w:marLeft w:val="0"/>
      <w:marRight w:val="0"/>
      <w:marTop w:val="0"/>
      <w:marBottom w:val="0"/>
      <w:divBdr>
        <w:top w:val="none" w:sz="0" w:space="0" w:color="auto"/>
        <w:left w:val="none" w:sz="0" w:space="0" w:color="auto"/>
        <w:bottom w:val="none" w:sz="0" w:space="0" w:color="auto"/>
        <w:right w:val="none" w:sz="0" w:space="0" w:color="auto"/>
      </w:divBdr>
    </w:div>
    <w:div w:id="1182432371">
      <w:bodyDiv w:val="1"/>
      <w:marLeft w:val="0"/>
      <w:marRight w:val="0"/>
      <w:marTop w:val="0"/>
      <w:marBottom w:val="0"/>
      <w:divBdr>
        <w:top w:val="none" w:sz="0" w:space="0" w:color="auto"/>
        <w:left w:val="none" w:sz="0" w:space="0" w:color="auto"/>
        <w:bottom w:val="none" w:sz="0" w:space="0" w:color="auto"/>
        <w:right w:val="none" w:sz="0" w:space="0" w:color="auto"/>
      </w:divBdr>
    </w:div>
    <w:div w:id="1182620620">
      <w:bodyDiv w:val="1"/>
      <w:marLeft w:val="0"/>
      <w:marRight w:val="0"/>
      <w:marTop w:val="0"/>
      <w:marBottom w:val="0"/>
      <w:divBdr>
        <w:top w:val="none" w:sz="0" w:space="0" w:color="auto"/>
        <w:left w:val="none" w:sz="0" w:space="0" w:color="auto"/>
        <w:bottom w:val="none" w:sz="0" w:space="0" w:color="auto"/>
        <w:right w:val="none" w:sz="0" w:space="0" w:color="auto"/>
      </w:divBdr>
    </w:div>
    <w:div w:id="1182626436">
      <w:bodyDiv w:val="1"/>
      <w:marLeft w:val="0"/>
      <w:marRight w:val="0"/>
      <w:marTop w:val="0"/>
      <w:marBottom w:val="0"/>
      <w:divBdr>
        <w:top w:val="none" w:sz="0" w:space="0" w:color="auto"/>
        <w:left w:val="none" w:sz="0" w:space="0" w:color="auto"/>
        <w:bottom w:val="none" w:sz="0" w:space="0" w:color="auto"/>
        <w:right w:val="none" w:sz="0" w:space="0" w:color="auto"/>
      </w:divBdr>
    </w:div>
    <w:div w:id="1182629531">
      <w:bodyDiv w:val="1"/>
      <w:marLeft w:val="0"/>
      <w:marRight w:val="0"/>
      <w:marTop w:val="0"/>
      <w:marBottom w:val="0"/>
      <w:divBdr>
        <w:top w:val="none" w:sz="0" w:space="0" w:color="auto"/>
        <w:left w:val="none" w:sz="0" w:space="0" w:color="auto"/>
        <w:bottom w:val="none" w:sz="0" w:space="0" w:color="auto"/>
        <w:right w:val="none" w:sz="0" w:space="0" w:color="auto"/>
      </w:divBdr>
    </w:div>
    <w:div w:id="1182672276">
      <w:bodyDiv w:val="1"/>
      <w:marLeft w:val="0"/>
      <w:marRight w:val="0"/>
      <w:marTop w:val="0"/>
      <w:marBottom w:val="0"/>
      <w:divBdr>
        <w:top w:val="none" w:sz="0" w:space="0" w:color="auto"/>
        <w:left w:val="none" w:sz="0" w:space="0" w:color="auto"/>
        <w:bottom w:val="none" w:sz="0" w:space="0" w:color="auto"/>
        <w:right w:val="none" w:sz="0" w:space="0" w:color="auto"/>
      </w:divBdr>
    </w:div>
    <w:div w:id="1182816563">
      <w:bodyDiv w:val="1"/>
      <w:marLeft w:val="0"/>
      <w:marRight w:val="0"/>
      <w:marTop w:val="0"/>
      <w:marBottom w:val="0"/>
      <w:divBdr>
        <w:top w:val="none" w:sz="0" w:space="0" w:color="auto"/>
        <w:left w:val="none" w:sz="0" w:space="0" w:color="auto"/>
        <w:bottom w:val="none" w:sz="0" w:space="0" w:color="auto"/>
        <w:right w:val="none" w:sz="0" w:space="0" w:color="auto"/>
      </w:divBdr>
    </w:div>
    <w:div w:id="1182820123">
      <w:bodyDiv w:val="1"/>
      <w:marLeft w:val="0"/>
      <w:marRight w:val="0"/>
      <w:marTop w:val="0"/>
      <w:marBottom w:val="0"/>
      <w:divBdr>
        <w:top w:val="none" w:sz="0" w:space="0" w:color="auto"/>
        <w:left w:val="none" w:sz="0" w:space="0" w:color="auto"/>
        <w:bottom w:val="none" w:sz="0" w:space="0" w:color="auto"/>
        <w:right w:val="none" w:sz="0" w:space="0" w:color="auto"/>
      </w:divBdr>
    </w:div>
    <w:div w:id="1182861719">
      <w:bodyDiv w:val="1"/>
      <w:marLeft w:val="0"/>
      <w:marRight w:val="0"/>
      <w:marTop w:val="0"/>
      <w:marBottom w:val="0"/>
      <w:divBdr>
        <w:top w:val="none" w:sz="0" w:space="0" w:color="auto"/>
        <w:left w:val="none" w:sz="0" w:space="0" w:color="auto"/>
        <w:bottom w:val="none" w:sz="0" w:space="0" w:color="auto"/>
        <w:right w:val="none" w:sz="0" w:space="0" w:color="auto"/>
      </w:divBdr>
    </w:div>
    <w:div w:id="1182932801">
      <w:bodyDiv w:val="1"/>
      <w:marLeft w:val="0"/>
      <w:marRight w:val="0"/>
      <w:marTop w:val="0"/>
      <w:marBottom w:val="0"/>
      <w:divBdr>
        <w:top w:val="none" w:sz="0" w:space="0" w:color="auto"/>
        <w:left w:val="none" w:sz="0" w:space="0" w:color="auto"/>
        <w:bottom w:val="none" w:sz="0" w:space="0" w:color="auto"/>
        <w:right w:val="none" w:sz="0" w:space="0" w:color="auto"/>
      </w:divBdr>
    </w:div>
    <w:div w:id="1182934917">
      <w:bodyDiv w:val="1"/>
      <w:marLeft w:val="0"/>
      <w:marRight w:val="0"/>
      <w:marTop w:val="0"/>
      <w:marBottom w:val="0"/>
      <w:divBdr>
        <w:top w:val="none" w:sz="0" w:space="0" w:color="auto"/>
        <w:left w:val="none" w:sz="0" w:space="0" w:color="auto"/>
        <w:bottom w:val="none" w:sz="0" w:space="0" w:color="auto"/>
        <w:right w:val="none" w:sz="0" w:space="0" w:color="auto"/>
      </w:divBdr>
    </w:div>
    <w:div w:id="1182940584">
      <w:bodyDiv w:val="1"/>
      <w:marLeft w:val="0"/>
      <w:marRight w:val="0"/>
      <w:marTop w:val="0"/>
      <w:marBottom w:val="0"/>
      <w:divBdr>
        <w:top w:val="none" w:sz="0" w:space="0" w:color="auto"/>
        <w:left w:val="none" w:sz="0" w:space="0" w:color="auto"/>
        <w:bottom w:val="none" w:sz="0" w:space="0" w:color="auto"/>
        <w:right w:val="none" w:sz="0" w:space="0" w:color="auto"/>
      </w:divBdr>
    </w:div>
    <w:div w:id="1183126368">
      <w:bodyDiv w:val="1"/>
      <w:marLeft w:val="0"/>
      <w:marRight w:val="0"/>
      <w:marTop w:val="0"/>
      <w:marBottom w:val="0"/>
      <w:divBdr>
        <w:top w:val="none" w:sz="0" w:space="0" w:color="auto"/>
        <w:left w:val="none" w:sz="0" w:space="0" w:color="auto"/>
        <w:bottom w:val="none" w:sz="0" w:space="0" w:color="auto"/>
        <w:right w:val="none" w:sz="0" w:space="0" w:color="auto"/>
      </w:divBdr>
    </w:div>
    <w:div w:id="1183128887">
      <w:bodyDiv w:val="1"/>
      <w:marLeft w:val="0"/>
      <w:marRight w:val="0"/>
      <w:marTop w:val="0"/>
      <w:marBottom w:val="0"/>
      <w:divBdr>
        <w:top w:val="none" w:sz="0" w:space="0" w:color="auto"/>
        <w:left w:val="none" w:sz="0" w:space="0" w:color="auto"/>
        <w:bottom w:val="none" w:sz="0" w:space="0" w:color="auto"/>
        <w:right w:val="none" w:sz="0" w:space="0" w:color="auto"/>
      </w:divBdr>
    </w:div>
    <w:div w:id="1183201666">
      <w:bodyDiv w:val="1"/>
      <w:marLeft w:val="0"/>
      <w:marRight w:val="0"/>
      <w:marTop w:val="0"/>
      <w:marBottom w:val="0"/>
      <w:divBdr>
        <w:top w:val="none" w:sz="0" w:space="0" w:color="auto"/>
        <w:left w:val="none" w:sz="0" w:space="0" w:color="auto"/>
        <w:bottom w:val="none" w:sz="0" w:space="0" w:color="auto"/>
        <w:right w:val="none" w:sz="0" w:space="0" w:color="auto"/>
      </w:divBdr>
    </w:div>
    <w:div w:id="1183204234">
      <w:bodyDiv w:val="1"/>
      <w:marLeft w:val="0"/>
      <w:marRight w:val="0"/>
      <w:marTop w:val="0"/>
      <w:marBottom w:val="0"/>
      <w:divBdr>
        <w:top w:val="none" w:sz="0" w:space="0" w:color="auto"/>
        <w:left w:val="none" w:sz="0" w:space="0" w:color="auto"/>
        <w:bottom w:val="none" w:sz="0" w:space="0" w:color="auto"/>
        <w:right w:val="none" w:sz="0" w:space="0" w:color="auto"/>
      </w:divBdr>
    </w:div>
    <w:div w:id="1183208581">
      <w:bodyDiv w:val="1"/>
      <w:marLeft w:val="0"/>
      <w:marRight w:val="0"/>
      <w:marTop w:val="0"/>
      <w:marBottom w:val="0"/>
      <w:divBdr>
        <w:top w:val="none" w:sz="0" w:space="0" w:color="auto"/>
        <w:left w:val="none" w:sz="0" w:space="0" w:color="auto"/>
        <w:bottom w:val="none" w:sz="0" w:space="0" w:color="auto"/>
        <w:right w:val="none" w:sz="0" w:space="0" w:color="auto"/>
      </w:divBdr>
    </w:div>
    <w:div w:id="1183276195">
      <w:bodyDiv w:val="1"/>
      <w:marLeft w:val="0"/>
      <w:marRight w:val="0"/>
      <w:marTop w:val="0"/>
      <w:marBottom w:val="0"/>
      <w:divBdr>
        <w:top w:val="none" w:sz="0" w:space="0" w:color="auto"/>
        <w:left w:val="none" w:sz="0" w:space="0" w:color="auto"/>
        <w:bottom w:val="none" w:sz="0" w:space="0" w:color="auto"/>
        <w:right w:val="none" w:sz="0" w:space="0" w:color="auto"/>
      </w:divBdr>
    </w:div>
    <w:div w:id="1183277678">
      <w:bodyDiv w:val="1"/>
      <w:marLeft w:val="0"/>
      <w:marRight w:val="0"/>
      <w:marTop w:val="0"/>
      <w:marBottom w:val="0"/>
      <w:divBdr>
        <w:top w:val="none" w:sz="0" w:space="0" w:color="auto"/>
        <w:left w:val="none" w:sz="0" w:space="0" w:color="auto"/>
        <w:bottom w:val="none" w:sz="0" w:space="0" w:color="auto"/>
        <w:right w:val="none" w:sz="0" w:space="0" w:color="auto"/>
      </w:divBdr>
    </w:div>
    <w:div w:id="1183278855">
      <w:bodyDiv w:val="1"/>
      <w:marLeft w:val="0"/>
      <w:marRight w:val="0"/>
      <w:marTop w:val="0"/>
      <w:marBottom w:val="0"/>
      <w:divBdr>
        <w:top w:val="none" w:sz="0" w:space="0" w:color="auto"/>
        <w:left w:val="none" w:sz="0" w:space="0" w:color="auto"/>
        <w:bottom w:val="none" w:sz="0" w:space="0" w:color="auto"/>
        <w:right w:val="none" w:sz="0" w:space="0" w:color="auto"/>
      </w:divBdr>
    </w:div>
    <w:div w:id="1183281178">
      <w:bodyDiv w:val="1"/>
      <w:marLeft w:val="0"/>
      <w:marRight w:val="0"/>
      <w:marTop w:val="0"/>
      <w:marBottom w:val="0"/>
      <w:divBdr>
        <w:top w:val="none" w:sz="0" w:space="0" w:color="auto"/>
        <w:left w:val="none" w:sz="0" w:space="0" w:color="auto"/>
        <w:bottom w:val="none" w:sz="0" w:space="0" w:color="auto"/>
        <w:right w:val="none" w:sz="0" w:space="0" w:color="auto"/>
      </w:divBdr>
    </w:div>
    <w:div w:id="1183520440">
      <w:bodyDiv w:val="1"/>
      <w:marLeft w:val="0"/>
      <w:marRight w:val="0"/>
      <w:marTop w:val="0"/>
      <w:marBottom w:val="0"/>
      <w:divBdr>
        <w:top w:val="none" w:sz="0" w:space="0" w:color="auto"/>
        <w:left w:val="none" w:sz="0" w:space="0" w:color="auto"/>
        <w:bottom w:val="none" w:sz="0" w:space="0" w:color="auto"/>
        <w:right w:val="none" w:sz="0" w:space="0" w:color="auto"/>
      </w:divBdr>
    </w:div>
    <w:div w:id="1183589647">
      <w:bodyDiv w:val="1"/>
      <w:marLeft w:val="0"/>
      <w:marRight w:val="0"/>
      <w:marTop w:val="0"/>
      <w:marBottom w:val="0"/>
      <w:divBdr>
        <w:top w:val="none" w:sz="0" w:space="0" w:color="auto"/>
        <w:left w:val="none" w:sz="0" w:space="0" w:color="auto"/>
        <w:bottom w:val="none" w:sz="0" w:space="0" w:color="auto"/>
        <w:right w:val="none" w:sz="0" w:space="0" w:color="auto"/>
      </w:divBdr>
    </w:div>
    <w:div w:id="1183661987">
      <w:bodyDiv w:val="1"/>
      <w:marLeft w:val="0"/>
      <w:marRight w:val="0"/>
      <w:marTop w:val="0"/>
      <w:marBottom w:val="0"/>
      <w:divBdr>
        <w:top w:val="none" w:sz="0" w:space="0" w:color="auto"/>
        <w:left w:val="none" w:sz="0" w:space="0" w:color="auto"/>
        <w:bottom w:val="none" w:sz="0" w:space="0" w:color="auto"/>
        <w:right w:val="none" w:sz="0" w:space="0" w:color="auto"/>
      </w:divBdr>
    </w:div>
    <w:div w:id="1183662602">
      <w:bodyDiv w:val="1"/>
      <w:marLeft w:val="0"/>
      <w:marRight w:val="0"/>
      <w:marTop w:val="0"/>
      <w:marBottom w:val="0"/>
      <w:divBdr>
        <w:top w:val="none" w:sz="0" w:space="0" w:color="auto"/>
        <w:left w:val="none" w:sz="0" w:space="0" w:color="auto"/>
        <w:bottom w:val="none" w:sz="0" w:space="0" w:color="auto"/>
        <w:right w:val="none" w:sz="0" w:space="0" w:color="auto"/>
      </w:divBdr>
    </w:div>
    <w:div w:id="1183667037">
      <w:bodyDiv w:val="1"/>
      <w:marLeft w:val="0"/>
      <w:marRight w:val="0"/>
      <w:marTop w:val="0"/>
      <w:marBottom w:val="0"/>
      <w:divBdr>
        <w:top w:val="none" w:sz="0" w:space="0" w:color="auto"/>
        <w:left w:val="none" w:sz="0" w:space="0" w:color="auto"/>
        <w:bottom w:val="none" w:sz="0" w:space="0" w:color="auto"/>
        <w:right w:val="none" w:sz="0" w:space="0" w:color="auto"/>
      </w:divBdr>
    </w:div>
    <w:div w:id="1183668258">
      <w:bodyDiv w:val="1"/>
      <w:marLeft w:val="0"/>
      <w:marRight w:val="0"/>
      <w:marTop w:val="0"/>
      <w:marBottom w:val="0"/>
      <w:divBdr>
        <w:top w:val="none" w:sz="0" w:space="0" w:color="auto"/>
        <w:left w:val="none" w:sz="0" w:space="0" w:color="auto"/>
        <w:bottom w:val="none" w:sz="0" w:space="0" w:color="auto"/>
        <w:right w:val="none" w:sz="0" w:space="0" w:color="auto"/>
      </w:divBdr>
    </w:div>
    <w:div w:id="1183785300">
      <w:bodyDiv w:val="1"/>
      <w:marLeft w:val="0"/>
      <w:marRight w:val="0"/>
      <w:marTop w:val="0"/>
      <w:marBottom w:val="0"/>
      <w:divBdr>
        <w:top w:val="none" w:sz="0" w:space="0" w:color="auto"/>
        <w:left w:val="none" w:sz="0" w:space="0" w:color="auto"/>
        <w:bottom w:val="none" w:sz="0" w:space="0" w:color="auto"/>
        <w:right w:val="none" w:sz="0" w:space="0" w:color="auto"/>
      </w:divBdr>
    </w:div>
    <w:div w:id="1183936620">
      <w:bodyDiv w:val="1"/>
      <w:marLeft w:val="0"/>
      <w:marRight w:val="0"/>
      <w:marTop w:val="0"/>
      <w:marBottom w:val="0"/>
      <w:divBdr>
        <w:top w:val="none" w:sz="0" w:space="0" w:color="auto"/>
        <w:left w:val="none" w:sz="0" w:space="0" w:color="auto"/>
        <w:bottom w:val="none" w:sz="0" w:space="0" w:color="auto"/>
        <w:right w:val="none" w:sz="0" w:space="0" w:color="auto"/>
      </w:divBdr>
    </w:div>
    <w:div w:id="1183940223">
      <w:bodyDiv w:val="1"/>
      <w:marLeft w:val="0"/>
      <w:marRight w:val="0"/>
      <w:marTop w:val="0"/>
      <w:marBottom w:val="0"/>
      <w:divBdr>
        <w:top w:val="none" w:sz="0" w:space="0" w:color="auto"/>
        <w:left w:val="none" w:sz="0" w:space="0" w:color="auto"/>
        <w:bottom w:val="none" w:sz="0" w:space="0" w:color="auto"/>
        <w:right w:val="none" w:sz="0" w:space="0" w:color="auto"/>
      </w:divBdr>
    </w:div>
    <w:div w:id="1183978770">
      <w:bodyDiv w:val="1"/>
      <w:marLeft w:val="0"/>
      <w:marRight w:val="0"/>
      <w:marTop w:val="0"/>
      <w:marBottom w:val="0"/>
      <w:divBdr>
        <w:top w:val="none" w:sz="0" w:space="0" w:color="auto"/>
        <w:left w:val="none" w:sz="0" w:space="0" w:color="auto"/>
        <w:bottom w:val="none" w:sz="0" w:space="0" w:color="auto"/>
        <w:right w:val="none" w:sz="0" w:space="0" w:color="auto"/>
      </w:divBdr>
    </w:div>
    <w:div w:id="1184170317">
      <w:bodyDiv w:val="1"/>
      <w:marLeft w:val="0"/>
      <w:marRight w:val="0"/>
      <w:marTop w:val="0"/>
      <w:marBottom w:val="0"/>
      <w:divBdr>
        <w:top w:val="none" w:sz="0" w:space="0" w:color="auto"/>
        <w:left w:val="none" w:sz="0" w:space="0" w:color="auto"/>
        <w:bottom w:val="none" w:sz="0" w:space="0" w:color="auto"/>
        <w:right w:val="none" w:sz="0" w:space="0" w:color="auto"/>
      </w:divBdr>
    </w:div>
    <w:div w:id="1184318506">
      <w:bodyDiv w:val="1"/>
      <w:marLeft w:val="0"/>
      <w:marRight w:val="0"/>
      <w:marTop w:val="0"/>
      <w:marBottom w:val="0"/>
      <w:divBdr>
        <w:top w:val="none" w:sz="0" w:space="0" w:color="auto"/>
        <w:left w:val="none" w:sz="0" w:space="0" w:color="auto"/>
        <w:bottom w:val="none" w:sz="0" w:space="0" w:color="auto"/>
        <w:right w:val="none" w:sz="0" w:space="0" w:color="auto"/>
      </w:divBdr>
    </w:div>
    <w:div w:id="1184320465">
      <w:bodyDiv w:val="1"/>
      <w:marLeft w:val="0"/>
      <w:marRight w:val="0"/>
      <w:marTop w:val="0"/>
      <w:marBottom w:val="0"/>
      <w:divBdr>
        <w:top w:val="none" w:sz="0" w:space="0" w:color="auto"/>
        <w:left w:val="none" w:sz="0" w:space="0" w:color="auto"/>
        <w:bottom w:val="none" w:sz="0" w:space="0" w:color="auto"/>
        <w:right w:val="none" w:sz="0" w:space="0" w:color="auto"/>
      </w:divBdr>
    </w:div>
    <w:div w:id="1184587815">
      <w:bodyDiv w:val="1"/>
      <w:marLeft w:val="0"/>
      <w:marRight w:val="0"/>
      <w:marTop w:val="0"/>
      <w:marBottom w:val="0"/>
      <w:divBdr>
        <w:top w:val="none" w:sz="0" w:space="0" w:color="auto"/>
        <w:left w:val="none" w:sz="0" w:space="0" w:color="auto"/>
        <w:bottom w:val="none" w:sz="0" w:space="0" w:color="auto"/>
        <w:right w:val="none" w:sz="0" w:space="0" w:color="auto"/>
      </w:divBdr>
    </w:div>
    <w:div w:id="1184588319">
      <w:bodyDiv w:val="1"/>
      <w:marLeft w:val="0"/>
      <w:marRight w:val="0"/>
      <w:marTop w:val="0"/>
      <w:marBottom w:val="0"/>
      <w:divBdr>
        <w:top w:val="none" w:sz="0" w:space="0" w:color="auto"/>
        <w:left w:val="none" w:sz="0" w:space="0" w:color="auto"/>
        <w:bottom w:val="none" w:sz="0" w:space="0" w:color="auto"/>
        <w:right w:val="none" w:sz="0" w:space="0" w:color="auto"/>
      </w:divBdr>
    </w:div>
    <w:div w:id="1184634234">
      <w:bodyDiv w:val="1"/>
      <w:marLeft w:val="0"/>
      <w:marRight w:val="0"/>
      <w:marTop w:val="0"/>
      <w:marBottom w:val="0"/>
      <w:divBdr>
        <w:top w:val="none" w:sz="0" w:space="0" w:color="auto"/>
        <w:left w:val="none" w:sz="0" w:space="0" w:color="auto"/>
        <w:bottom w:val="none" w:sz="0" w:space="0" w:color="auto"/>
        <w:right w:val="none" w:sz="0" w:space="0" w:color="auto"/>
      </w:divBdr>
    </w:div>
    <w:div w:id="1184706296">
      <w:bodyDiv w:val="1"/>
      <w:marLeft w:val="0"/>
      <w:marRight w:val="0"/>
      <w:marTop w:val="0"/>
      <w:marBottom w:val="0"/>
      <w:divBdr>
        <w:top w:val="none" w:sz="0" w:space="0" w:color="auto"/>
        <w:left w:val="none" w:sz="0" w:space="0" w:color="auto"/>
        <w:bottom w:val="none" w:sz="0" w:space="0" w:color="auto"/>
        <w:right w:val="none" w:sz="0" w:space="0" w:color="auto"/>
      </w:divBdr>
    </w:div>
    <w:div w:id="1184827099">
      <w:bodyDiv w:val="1"/>
      <w:marLeft w:val="0"/>
      <w:marRight w:val="0"/>
      <w:marTop w:val="0"/>
      <w:marBottom w:val="0"/>
      <w:divBdr>
        <w:top w:val="none" w:sz="0" w:space="0" w:color="auto"/>
        <w:left w:val="none" w:sz="0" w:space="0" w:color="auto"/>
        <w:bottom w:val="none" w:sz="0" w:space="0" w:color="auto"/>
        <w:right w:val="none" w:sz="0" w:space="0" w:color="auto"/>
      </w:divBdr>
    </w:div>
    <w:div w:id="1184828823">
      <w:bodyDiv w:val="1"/>
      <w:marLeft w:val="0"/>
      <w:marRight w:val="0"/>
      <w:marTop w:val="0"/>
      <w:marBottom w:val="0"/>
      <w:divBdr>
        <w:top w:val="none" w:sz="0" w:space="0" w:color="auto"/>
        <w:left w:val="none" w:sz="0" w:space="0" w:color="auto"/>
        <w:bottom w:val="none" w:sz="0" w:space="0" w:color="auto"/>
        <w:right w:val="none" w:sz="0" w:space="0" w:color="auto"/>
      </w:divBdr>
    </w:div>
    <w:div w:id="1184829951">
      <w:bodyDiv w:val="1"/>
      <w:marLeft w:val="0"/>
      <w:marRight w:val="0"/>
      <w:marTop w:val="0"/>
      <w:marBottom w:val="0"/>
      <w:divBdr>
        <w:top w:val="none" w:sz="0" w:space="0" w:color="auto"/>
        <w:left w:val="none" w:sz="0" w:space="0" w:color="auto"/>
        <w:bottom w:val="none" w:sz="0" w:space="0" w:color="auto"/>
        <w:right w:val="none" w:sz="0" w:space="0" w:color="auto"/>
      </w:divBdr>
    </w:div>
    <w:div w:id="1184900010">
      <w:bodyDiv w:val="1"/>
      <w:marLeft w:val="0"/>
      <w:marRight w:val="0"/>
      <w:marTop w:val="0"/>
      <w:marBottom w:val="0"/>
      <w:divBdr>
        <w:top w:val="none" w:sz="0" w:space="0" w:color="auto"/>
        <w:left w:val="none" w:sz="0" w:space="0" w:color="auto"/>
        <w:bottom w:val="none" w:sz="0" w:space="0" w:color="auto"/>
        <w:right w:val="none" w:sz="0" w:space="0" w:color="auto"/>
      </w:divBdr>
    </w:div>
    <w:div w:id="1184904553">
      <w:bodyDiv w:val="1"/>
      <w:marLeft w:val="0"/>
      <w:marRight w:val="0"/>
      <w:marTop w:val="0"/>
      <w:marBottom w:val="0"/>
      <w:divBdr>
        <w:top w:val="none" w:sz="0" w:space="0" w:color="auto"/>
        <w:left w:val="none" w:sz="0" w:space="0" w:color="auto"/>
        <w:bottom w:val="none" w:sz="0" w:space="0" w:color="auto"/>
        <w:right w:val="none" w:sz="0" w:space="0" w:color="auto"/>
      </w:divBdr>
    </w:div>
    <w:div w:id="1184973144">
      <w:bodyDiv w:val="1"/>
      <w:marLeft w:val="0"/>
      <w:marRight w:val="0"/>
      <w:marTop w:val="0"/>
      <w:marBottom w:val="0"/>
      <w:divBdr>
        <w:top w:val="none" w:sz="0" w:space="0" w:color="auto"/>
        <w:left w:val="none" w:sz="0" w:space="0" w:color="auto"/>
        <w:bottom w:val="none" w:sz="0" w:space="0" w:color="auto"/>
        <w:right w:val="none" w:sz="0" w:space="0" w:color="auto"/>
      </w:divBdr>
    </w:div>
    <w:div w:id="1184973187">
      <w:bodyDiv w:val="1"/>
      <w:marLeft w:val="0"/>
      <w:marRight w:val="0"/>
      <w:marTop w:val="0"/>
      <w:marBottom w:val="0"/>
      <w:divBdr>
        <w:top w:val="none" w:sz="0" w:space="0" w:color="auto"/>
        <w:left w:val="none" w:sz="0" w:space="0" w:color="auto"/>
        <w:bottom w:val="none" w:sz="0" w:space="0" w:color="auto"/>
        <w:right w:val="none" w:sz="0" w:space="0" w:color="auto"/>
      </w:divBdr>
    </w:div>
    <w:div w:id="1184974131">
      <w:bodyDiv w:val="1"/>
      <w:marLeft w:val="0"/>
      <w:marRight w:val="0"/>
      <w:marTop w:val="0"/>
      <w:marBottom w:val="0"/>
      <w:divBdr>
        <w:top w:val="none" w:sz="0" w:space="0" w:color="auto"/>
        <w:left w:val="none" w:sz="0" w:space="0" w:color="auto"/>
        <w:bottom w:val="none" w:sz="0" w:space="0" w:color="auto"/>
        <w:right w:val="none" w:sz="0" w:space="0" w:color="auto"/>
      </w:divBdr>
    </w:div>
    <w:div w:id="1184976479">
      <w:bodyDiv w:val="1"/>
      <w:marLeft w:val="0"/>
      <w:marRight w:val="0"/>
      <w:marTop w:val="0"/>
      <w:marBottom w:val="0"/>
      <w:divBdr>
        <w:top w:val="none" w:sz="0" w:space="0" w:color="auto"/>
        <w:left w:val="none" w:sz="0" w:space="0" w:color="auto"/>
        <w:bottom w:val="none" w:sz="0" w:space="0" w:color="auto"/>
        <w:right w:val="none" w:sz="0" w:space="0" w:color="auto"/>
      </w:divBdr>
    </w:div>
    <w:div w:id="1185054388">
      <w:bodyDiv w:val="1"/>
      <w:marLeft w:val="0"/>
      <w:marRight w:val="0"/>
      <w:marTop w:val="0"/>
      <w:marBottom w:val="0"/>
      <w:divBdr>
        <w:top w:val="none" w:sz="0" w:space="0" w:color="auto"/>
        <w:left w:val="none" w:sz="0" w:space="0" w:color="auto"/>
        <w:bottom w:val="none" w:sz="0" w:space="0" w:color="auto"/>
        <w:right w:val="none" w:sz="0" w:space="0" w:color="auto"/>
      </w:divBdr>
    </w:div>
    <w:div w:id="1185099932">
      <w:bodyDiv w:val="1"/>
      <w:marLeft w:val="0"/>
      <w:marRight w:val="0"/>
      <w:marTop w:val="0"/>
      <w:marBottom w:val="0"/>
      <w:divBdr>
        <w:top w:val="none" w:sz="0" w:space="0" w:color="auto"/>
        <w:left w:val="none" w:sz="0" w:space="0" w:color="auto"/>
        <w:bottom w:val="none" w:sz="0" w:space="0" w:color="auto"/>
        <w:right w:val="none" w:sz="0" w:space="0" w:color="auto"/>
      </w:divBdr>
    </w:div>
    <w:div w:id="1185167965">
      <w:bodyDiv w:val="1"/>
      <w:marLeft w:val="0"/>
      <w:marRight w:val="0"/>
      <w:marTop w:val="0"/>
      <w:marBottom w:val="0"/>
      <w:divBdr>
        <w:top w:val="none" w:sz="0" w:space="0" w:color="auto"/>
        <w:left w:val="none" w:sz="0" w:space="0" w:color="auto"/>
        <w:bottom w:val="none" w:sz="0" w:space="0" w:color="auto"/>
        <w:right w:val="none" w:sz="0" w:space="0" w:color="auto"/>
      </w:divBdr>
    </w:div>
    <w:div w:id="1185245895">
      <w:bodyDiv w:val="1"/>
      <w:marLeft w:val="0"/>
      <w:marRight w:val="0"/>
      <w:marTop w:val="0"/>
      <w:marBottom w:val="0"/>
      <w:divBdr>
        <w:top w:val="none" w:sz="0" w:space="0" w:color="auto"/>
        <w:left w:val="none" w:sz="0" w:space="0" w:color="auto"/>
        <w:bottom w:val="none" w:sz="0" w:space="0" w:color="auto"/>
        <w:right w:val="none" w:sz="0" w:space="0" w:color="auto"/>
      </w:divBdr>
    </w:div>
    <w:div w:id="1185247587">
      <w:bodyDiv w:val="1"/>
      <w:marLeft w:val="0"/>
      <w:marRight w:val="0"/>
      <w:marTop w:val="0"/>
      <w:marBottom w:val="0"/>
      <w:divBdr>
        <w:top w:val="none" w:sz="0" w:space="0" w:color="auto"/>
        <w:left w:val="none" w:sz="0" w:space="0" w:color="auto"/>
        <w:bottom w:val="none" w:sz="0" w:space="0" w:color="auto"/>
        <w:right w:val="none" w:sz="0" w:space="0" w:color="auto"/>
      </w:divBdr>
    </w:div>
    <w:div w:id="1185292134">
      <w:bodyDiv w:val="1"/>
      <w:marLeft w:val="0"/>
      <w:marRight w:val="0"/>
      <w:marTop w:val="0"/>
      <w:marBottom w:val="0"/>
      <w:divBdr>
        <w:top w:val="none" w:sz="0" w:space="0" w:color="auto"/>
        <w:left w:val="none" w:sz="0" w:space="0" w:color="auto"/>
        <w:bottom w:val="none" w:sz="0" w:space="0" w:color="auto"/>
        <w:right w:val="none" w:sz="0" w:space="0" w:color="auto"/>
      </w:divBdr>
    </w:div>
    <w:div w:id="1185361485">
      <w:bodyDiv w:val="1"/>
      <w:marLeft w:val="0"/>
      <w:marRight w:val="0"/>
      <w:marTop w:val="0"/>
      <w:marBottom w:val="0"/>
      <w:divBdr>
        <w:top w:val="none" w:sz="0" w:space="0" w:color="auto"/>
        <w:left w:val="none" w:sz="0" w:space="0" w:color="auto"/>
        <w:bottom w:val="none" w:sz="0" w:space="0" w:color="auto"/>
        <w:right w:val="none" w:sz="0" w:space="0" w:color="auto"/>
      </w:divBdr>
    </w:div>
    <w:div w:id="1185434590">
      <w:bodyDiv w:val="1"/>
      <w:marLeft w:val="0"/>
      <w:marRight w:val="0"/>
      <w:marTop w:val="0"/>
      <w:marBottom w:val="0"/>
      <w:divBdr>
        <w:top w:val="none" w:sz="0" w:space="0" w:color="auto"/>
        <w:left w:val="none" w:sz="0" w:space="0" w:color="auto"/>
        <w:bottom w:val="none" w:sz="0" w:space="0" w:color="auto"/>
        <w:right w:val="none" w:sz="0" w:space="0" w:color="auto"/>
      </w:divBdr>
    </w:div>
    <w:div w:id="1185555167">
      <w:bodyDiv w:val="1"/>
      <w:marLeft w:val="0"/>
      <w:marRight w:val="0"/>
      <w:marTop w:val="0"/>
      <w:marBottom w:val="0"/>
      <w:divBdr>
        <w:top w:val="none" w:sz="0" w:space="0" w:color="auto"/>
        <w:left w:val="none" w:sz="0" w:space="0" w:color="auto"/>
        <w:bottom w:val="none" w:sz="0" w:space="0" w:color="auto"/>
        <w:right w:val="none" w:sz="0" w:space="0" w:color="auto"/>
      </w:divBdr>
    </w:div>
    <w:div w:id="1185557028">
      <w:bodyDiv w:val="1"/>
      <w:marLeft w:val="0"/>
      <w:marRight w:val="0"/>
      <w:marTop w:val="0"/>
      <w:marBottom w:val="0"/>
      <w:divBdr>
        <w:top w:val="none" w:sz="0" w:space="0" w:color="auto"/>
        <w:left w:val="none" w:sz="0" w:space="0" w:color="auto"/>
        <w:bottom w:val="none" w:sz="0" w:space="0" w:color="auto"/>
        <w:right w:val="none" w:sz="0" w:space="0" w:color="auto"/>
      </w:divBdr>
    </w:div>
    <w:div w:id="1185631365">
      <w:bodyDiv w:val="1"/>
      <w:marLeft w:val="0"/>
      <w:marRight w:val="0"/>
      <w:marTop w:val="0"/>
      <w:marBottom w:val="0"/>
      <w:divBdr>
        <w:top w:val="none" w:sz="0" w:space="0" w:color="auto"/>
        <w:left w:val="none" w:sz="0" w:space="0" w:color="auto"/>
        <w:bottom w:val="none" w:sz="0" w:space="0" w:color="auto"/>
        <w:right w:val="none" w:sz="0" w:space="0" w:color="auto"/>
      </w:divBdr>
    </w:div>
    <w:div w:id="1185634247">
      <w:bodyDiv w:val="1"/>
      <w:marLeft w:val="0"/>
      <w:marRight w:val="0"/>
      <w:marTop w:val="0"/>
      <w:marBottom w:val="0"/>
      <w:divBdr>
        <w:top w:val="none" w:sz="0" w:space="0" w:color="auto"/>
        <w:left w:val="none" w:sz="0" w:space="0" w:color="auto"/>
        <w:bottom w:val="none" w:sz="0" w:space="0" w:color="auto"/>
        <w:right w:val="none" w:sz="0" w:space="0" w:color="auto"/>
      </w:divBdr>
    </w:div>
    <w:div w:id="1185706804">
      <w:bodyDiv w:val="1"/>
      <w:marLeft w:val="0"/>
      <w:marRight w:val="0"/>
      <w:marTop w:val="0"/>
      <w:marBottom w:val="0"/>
      <w:divBdr>
        <w:top w:val="none" w:sz="0" w:space="0" w:color="auto"/>
        <w:left w:val="none" w:sz="0" w:space="0" w:color="auto"/>
        <w:bottom w:val="none" w:sz="0" w:space="0" w:color="auto"/>
        <w:right w:val="none" w:sz="0" w:space="0" w:color="auto"/>
      </w:divBdr>
    </w:div>
    <w:div w:id="1185752449">
      <w:bodyDiv w:val="1"/>
      <w:marLeft w:val="0"/>
      <w:marRight w:val="0"/>
      <w:marTop w:val="0"/>
      <w:marBottom w:val="0"/>
      <w:divBdr>
        <w:top w:val="none" w:sz="0" w:space="0" w:color="auto"/>
        <w:left w:val="none" w:sz="0" w:space="0" w:color="auto"/>
        <w:bottom w:val="none" w:sz="0" w:space="0" w:color="auto"/>
        <w:right w:val="none" w:sz="0" w:space="0" w:color="auto"/>
      </w:divBdr>
    </w:div>
    <w:div w:id="1185829490">
      <w:bodyDiv w:val="1"/>
      <w:marLeft w:val="0"/>
      <w:marRight w:val="0"/>
      <w:marTop w:val="0"/>
      <w:marBottom w:val="0"/>
      <w:divBdr>
        <w:top w:val="none" w:sz="0" w:space="0" w:color="auto"/>
        <w:left w:val="none" w:sz="0" w:space="0" w:color="auto"/>
        <w:bottom w:val="none" w:sz="0" w:space="0" w:color="auto"/>
        <w:right w:val="none" w:sz="0" w:space="0" w:color="auto"/>
      </w:divBdr>
    </w:div>
    <w:div w:id="1185829911">
      <w:bodyDiv w:val="1"/>
      <w:marLeft w:val="0"/>
      <w:marRight w:val="0"/>
      <w:marTop w:val="0"/>
      <w:marBottom w:val="0"/>
      <w:divBdr>
        <w:top w:val="none" w:sz="0" w:space="0" w:color="auto"/>
        <w:left w:val="none" w:sz="0" w:space="0" w:color="auto"/>
        <w:bottom w:val="none" w:sz="0" w:space="0" w:color="auto"/>
        <w:right w:val="none" w:sz="0" w:space="0" w:color="auto"/>
      </w:divBdr>
    </w:div>
    <w:div w:id="1185902954">
      <w:bodyDiv w:val="1"/>
      <w:marLeft w:val="0"/>
      <w:marRight w:val="0"/>
      <w:marTop w:val="0"/>
      <w:marBottom w:val="0"/>
      <w:divBdr>
        <w:top w:val="none" w:sz="0" w:space="0" w:color="auto"/>
        <w:left w:val="none" w:sz="0" w:space="0" w:color="auto"/>
        <w:bottom w:val="none" w:sz="0" w:space="0" w:color="auto"/>
        <w:right w:val="none" w:sz="0" w:space="0" w:color="auto"/>
      </w:divBdr>
    </w:div>
    <w:div w:id="1185902994">
      <w:bodyDiv w:val="1"/>
      <w:marLeft w:val="0"/>
      <w:marRight w:val="0"/>
      <w:marTop w:val="0"/>
      <w:marBottom w:val="0"/>
      <w:divBdr>
        <w:top w:val="none" w:sz="0" w:space="0" w:color="auto"/>
        <w:left w:val="none" w:sz="0" w:space="0" w:color="auto"/>
        <w:bottom w:val="none" w:sz="0" w:space="0" w:color="auto"/>
        <w:right w:val="none" w:sz="0" w:space="0" w:color="auto"/>
      </w:divBdr>
    </w:div>
    <w:div w:id="1186017453">
      <w:bodyDiv w:val="1"/>
      <w:marLeft w:val="0"/>
      <w:marRight w:val="0"/>
      <w:marTop w:val="0"/>
      <w:marBottom w:val="0"/>
      <w:divBdr>
        <w:top w:val="none" w:sz="0" w:space="0" w:color="auto"/>
        <w:left w:val="none" w:sz="0" w:space="0" w:color="auto"/>
        <w:bottom w:val="none" w:sz="0" w:space="0" w:color="auto"/>
        <w:right w:val="none" w:sz="0" w:space="0" w:color="auto"/>
      </w:divBdr>
    </w:div>
    <w:div w:id="1186019991">
      <w:bodyDiv w:val="1"/>
      <w:marLeft w:val="0"/>
      <w:marRight w:val="0"/>
      <w:marTop w:val="0"/>
      <w:marBottom w:val="0"/>
      <w:divBdr>
        <w:top w:val="none" w:sz="0" w:space="0" w:color="auto"/>
        <w:left w:val="none" w:sz="0" w:space="0" w:color="auto"/>
        <w:bottom w:val="none" w:sz="0" w:space="0" w:color="auto"/>
        <w:right w:val="none" w:sz="0" w:space="0" w:color="auto"/>
      </w:divBdr>
    </w:div>
    <w:div w:id="1186286325">
      <w:bodyDiv w:val="1"/>
      <w:marLeft w:val="0"/>
      <w:marRight w:val="0"/>
      <w:marTop w:val="0"/>
      <w:marBottom w:val="0"/>
      <w:divBdr>
        <w:top w:val="none" w:sz="0" w:space="0" w:color="auto"/>
        <w:left w:val="none" w:sz="0" w:space="0" w:color="auto"/>
        <w:bottom w:val="none" w:sz="0" w:space="0" w:color="auto"/>
        <w:right w:val="none" w:sz="0" w:space="0" w:color="auto"/>
      </w:divBdr>
    </w:div>
    <w:div w:id="1186286726">
      <w:bodyDiv w:val="1"/>
      <w:marLeft w:val="0"/>
      <w:marRight w:val="0"/>
      <w:marTop w:val="0"/>
      <w:marBottom w:val="0"/>
      <w:divBdr>
        <w:top w:val="none" w:sz="0" w:space="0" w:color="auto"/>
        <w:left w:val="none" w:sz="0" w:space="0" w:color="auto"/>
        <w:bottom w:val="none" w:sz="0" w:space="0" w:color="auto"/>
        <w:right w:val="none" w:sz="0" w:space="0" w:color="auto"/>
      </w:divBdr>
    </w:div>
    <w:div w:id="1186476683">
      <w:bodyDiv w:val="1"/>
      <w:marLeft w:val="0"/>
      <w:marRight w:val="0"/>
      <w:marTop w:val="0"/>
      <w:marBottom w:val="0"/>
      <w:divBdr>
        <w:top w:val="none" w:sz="0" w:space="0" w:color="auto"/>
        <w:left w:val="none" w:sz="0" w:space="0" w:color="auto"/>
        <w:bottom w:val="none" w:sz="0" w:space="0" w:color="auto"/>
        <w:right w:val="none" w:sz="0" w:space="0" w:color="auto"/>
      </w:divBdr>
    </w:div>
    <w:div w:id="1186556368">
      <w:bodyDiv w:val="1"/>
      <w:marLeft w:val="0"/>
      <w:marRight w:val="0"/>
      <w:marTop w:val="0"/>
      <w:marBottom w:val="0"/>
      <w:divBdr>
        <w:top w:val="none" w:sz="0" w:space="0" w:color="auto"/>
        <w:left w:val="none" w:sz="0" w:space="0" w:color="auto"/>
        <w:bottom w:val="none" w:sz="0" w:space="0" w:color="auto"/>
        <w:right w:val="none" w:sz="0" w:space="0" w:color="auto"/>
      </w:divBdr>
    </w:div>
    <w:div w:id="1186597628">
      <w:bodyDiv w:val="1"/>
      <w:marLeft w:val="0"/>
      <w:marRight w:val="0"/>
      <w:marTop w:val="0"/>
      <w:marBottom w:val="0"/>
      <w:divBdr>
        <w:top w:val="none" w:sz="0" w:space="0" w:color="auto"/>
        <w:left w:val="none" w:sz="0" w:space="0" w:color="auto"/>
        <w:bottom w:val="none" w:sz="0" w:space="0" w:color="auto"/>
        <w:right w:val="none" w:sz="0" w:space="0" w:color="auto"/>
      </w:divBdr>
    </w:div>
    <w:div w:id="1186599151">
      <w:bodyDiv w:val="1"/>
      <w:marLeft w:val="0"/>
      <w:marRight w:val="0"/>
      <w:marTop w:val="0"/>
      <w:marBottom w:val="0"/>
      <w:divBdr>
        <w:top w:val="none" w:sz="0" w:space="0" w:color="auto"/>
        <w:left w:val="none" w:sz="0" w:space="0" w:color="auto"/>
        <w:bottom w:val="none" w:sz="0" w:space="0" w:color="auto"/>
        <w:right w:val="none" w:sz="0" w:space="0" w:color="auto"/>
      </w:divBdr>
    </w:div>
    <w:div w:id="1186752610">
      <w:bodyDiv w:val="1"/>
      <w:marLeft w:val="0"/>
      <w:marRight w:val="0"/>
      <w:marTop w:val="0"/>
      <w:marBottom w:val="0"/>
      <w:divBdr>
        <w:top w:val="none" w:sz="0" w:space="0" w:color="auto"/>
        <w:left w:val="none" w:sz="0" w:space="0" w:color="auto"/>
        <w:bottom w:val="none" w:sz="0" w:space="0" w:color="auto"/>
        <w:right w:val="none" w:sz="0" w:space="0" w:color="auto"/>
      </w:divBdr>
    </w:div>
    <w:div w:id="1186822297">
      <w:bodyDiv w:val="1"/>
      <w:marLeft w:val="0"/>
      <w:marRight w:val="0"/>
      <w:marTop w:val="0"/>
      <w:marBottom w:val="0"/>
      <w:divBdr>
        <w:top w:val="none" w:sz="0" w:space="0" w:color="auto"/>
        <w:left w:val="none" w:sz="0" w:space="0" w:color="auto"/>
        <w:bottom w:val="none" w:sz="0" w:space="0" w:color="auto"/>
        <w:right w:val="none" w:sz="0" w:space="0" w:color="auto"/>
      </w:divBdr>
    </w:div>
    <w:div w:id="1186864135">
      <w:bodyDiv w:val="1"/>
      <w:marLeft w:val="0"/>
      <w:marRight w:val="0"/>
      <w:marTop w:val="0"/>
      <w:marBottom w:val="0"/>
      <w:divBdr>
        <w:top w:val="none" w:sz="0" w:space="0" w:color="auto"/>
        <w:left w:val="none" w:sz="0" w:space="0" w:color="auto"/>
        <w:bottom w:val="none" w:sz="0" w:space="0" w:color="auto"/>
        <w:right w:val="none" w:sz="0" w:space="0" w:color="auto"/>
      </w:divBdr>
    </w:div>
    <w:div w:id="1186866543">
      <w:bodyDiv w:val="1"/>
      <w:marLeft w:val="0"/>
      <w:marRight w:val="0"/>
      <w:marTop w:val="0"/>
      <w:marBottom w:val="0"/>
      <w:divBdr>
        <w:top w:val="none" w:sz="0" w:space="0" w:color="auto"/>
        <w:left w:val="none" w:sz="0" w:space="0" w:color="auto"/>
        <w:bottom w:val="none" w:sz="0" w:space="0" w:color="auto"/>
        <w:right w:val="none" w:sz="0" w:space="0" w:color="auto"/>
      </w:divBdr>
    </w:div>
    <w:div w:id="1186947776">
      <w:bodyDiv w:val="1"/>
      <w:marLeft w:val="0"/>
      <w:marRight w:val="0"/>
      <w:marTop w:val="0"/>
      <w:marBottom w:val="0"/>
      <w:divBdr>
        <w:top w:val="none" w:sz="0" w:space="0" w:color="auto"/>
        <w:left w:val="none" w:sz="0" w:space="0" w:color="auto"/>
        <w:bottom w:val="none" w:sz="0" w:space="0" w:color="auto"/>
        <w:right w:val="none" w:sz="0" w:space="0" w:color="auto"/>
      </w:divBdr>
    </w:div>
    <w:div w:id="1187060580">
      <w:bodyDiv w:val="1"/>
      <w:marLeft w:val="0"/>
      <w:marRight w:val="0"/>
      <w:marTop w:val="0"/>
      <w:marBottom w:val="0"/>
      <w:divBdr>
        <w:top w:val="none" w:sz="0" w:space="0" w:color="auto"/>
        <w:left w:val="none" w:sz="0" w:space="0" w:color="auto"/>
        <w:bottom w:val="none" w:sz="0" w:space="0" w:color="auto"/>
        <w:right w:val="none" w:sz="0" w:space="0" w:color="auto"/>
      </w:divBdr>
    </w:div>
    <w:div w:id="1187137457">
      <w:bodyDiv w:val="1"/>
      <w:marLeft w:val="0"/>
      <w:marRight w:val="0"/>
      <w:marTop w:val="0"/>
      <w:marBottom w:val="0"/>
      <w:divBdr>
        <w:top w:val="none" w:sz="0" w:space="0" w:color="auto"/>
        <w:left w:val="none" w:sz="0" w:space="0" w:color="auto"/>
        <w:bottom w:val="none" w:sz="0" w:space="0" w:color="auto"/>
        <w:right w:val="none" w:sz="0" w:space="0" w:color="auto"/>
      </w:divBdr>
    </w:div>
    <w:div w:id="1187208891">
      <w:bodyDiv w:val="1"/>
      <w:marLeft w:val="0"/>
      <w:marRight w:val="0"/>
      <w:marTop w:val="0"/>
      <w:marBottom w:val="0"/>
      <w:divBdr>
        <w:top w:val="none" w:sz="0" w:space="0" w:color="auto"/>
        <w:left w:val="none" w:sz="0" w:space="0" w:color="auto"/>
        <w:bottom w:val="none" w:sz="0" w:space="0" w:color="auto"/>
        <w:right w:val="none" w:sz="0" w:space="0" w:color="auto"/>
      </w:divBdr>
    </w:div>
    <w:div w:id="1187257400">
      <w:bodyDiv w:val="1"/>
      <w:marLeft w:val="0"/>
      <w:marRight w:val="0"/>
      <w:marTop w:val="0"/>
      <w:marBottom w:val="0"/>
      <w:divBdr>
        <w:top w:val="none" w:sz="0" w:space="0" w:color="auto"/>
        <w:left w:val="none" w:sz="0" w:space="0" w:color="auto"/>
        <w:bottom w:val="none" w:sz="0" w:space="0" w:color="auto"/>
        <w:right w:val="none" w:sz="0" w:space="0" w:color="auto"/>
      </w:divBdr>
    </w:div>
    <w:div w:id="1187404606">
      <w:bodyDiv w:val="1"/>
      <w:marLeft w:val="0"/>
      <w:marRight w:val="0"/>
      <w:marTop w:val="0"/>
      <w:marBottom w:val="0"/>
      <w:divBdr>
        <w:top w:val="none" w:sz="0" w:space="0" w:color="auto"/>
        <w:left w:val="none" w:sz="0" w:space="0" w:color="auto"/>
        <w:bottom w:val="none" w:sz="0" w:space="0" w:color="auto"/>
        <w:right w:val="none" w:sz="0" w:space="0" w:color="auto"/>
      </w:divBdr>
    </w:div>
    <w:div w:id="1187407197">
      <w:bodyDiv w:val="1"/>
      <w:marLeft w:val="0"/>
      <w:marRight w:val="0"/>
      <w:marTop w:val="0"/>
      <w:marBottom w:val="0"/>
      <w:divBdr>
        <w:top w:val="none" w:sz="0" w:space="0" w:color="auto"/>
        <w:left w:val="none" w:sz="0" w:space="0" w:color="auto"/>
        <w:bottom w:val="none" w:sz="0" w:space="0" w:color="auto"/>
        <w:right w:val="none" w:sz="0" w:space="0" w:color="auto"/>
      </w:divBdr>
    </w:div>
    <w:div w:id="1187601155">
      <w:bodyDiv w:val="1"/>
      <w:marLeft w:val="0"/>
      <w:marRight w:val="0"/>
      <w:marTop w:val="0"/>
      <w:marBottom w:val="0"/>
      <w:divBdr>
        <w:top w:val="none" w:sz="0" w:space="0" w:color="auto"/>
        <w:left w:val="none" w:sz="0" w:space="0" w:color="auto"/>
        <w:bottom w:val="none" w:sz="0" w:space="0" w:color="auto"/>
        <w:right w:val="none" w:sz="0" w:space="0" w:color="auto"/>
      </w:divBdr>
    </w:div>
    <w:div w:id="1187712217">
      <w:bodyDiv w:val="1"/>
      <w:marLeft w:val="0"/>
      <w:marRight w:val="0"/>
      <w:marTop w:val="0"/>
      <w:marBottom w:val="0"/>
      <w:divBdr>
        <w:top w:val="none" w:sz="0" w:space="0" w:color="auto"/>
        <w:left w:val="none" w:sz="0" w:space="0" w:color="auto"/>
        <w:bottom w:val="none" w:sz="0" w:space="0" w:color="auto"/>
        <w:right w:val="none" w:sz="0" w:space="0" w:color="auto"/>
      </w:divBdr>
    </w:div>
    <w:div w:id="1187715841">
      <w:bodyDiv w:val="1"/>
      <w:marLeft w:val="0"/>
      <w:marRight w:val="0"/>
      <w:marTop w:val="0"/>
      <w:marBottom w:val="0"/>
      <w:divBdr>
        <w:top w:val="none" w:sz="0" w:space="0" w:color="auto"/>
        <w:left w:val="none" w:sz="0" w:space="0" w:color="auto"/>
        <w:bottom w:val="none" w:sz="0" w:space="0" w:color="auto"/>
        <w:right w:val="none" w:sz="0" w:space="0" w:color="auto"/>
      </w:divBdr>
    </w:div>
    <w:div w:id="1187795392">
      <w:bodyDiv w:val="1"/>
      <w:marLeft w:val="0"/>
      <w:marRight w:val="0"/>
      <w:marTop w:val="0"/>
      <w:marBottom w:val="0"/>
      <w:divBdr>
        <w:top w:val="none" w:sz="0" w:space="0" w:color="auto"/>
        <w:left w:val="none" w:sz="0" w:space="0" w:color="auto"/>
        <w:bottom w:val="none" w:sz="0" w:space="0" w:color="auto"/>
        <w:right w:val="none" w:sz="0" w:space="0" w:color="auto"/>
      </w:divBdr>
    </w:div>
    <w:div w:id="1187795934">
      <w:bodyDiv w:val="1"/>
      <w:marLeft w:val="0"/>
      <w:marRight w:val="0"/>
      <w:marTop w:val="0"/>
      <w:marBottom w:val="0"/>
      <w:divBdr>
        <w:top w:val="none" w:sz="0" w:space="0" w:color="auto"/>
        <w:left w:val="none" w:sz="0" w:space="0" w:color="auto"/>
        <w:bottom w:val="none" w:sz="0" w:space="0" w:color="auto"/>
        <w:right w:val="none" w:sz="0" w:space="0" w:color="auto"/>
      </w:divBdr>
    </w:div>
    <w:div w:id="1187796644">
      <w:bodyDiv w:val="1"/>
      <w:marLeft w:val="0"/>
      <w:marRight w:val="0"/>
      <w:marTop w:val="0"/>
      <w:marBottom w:val="0"/>
      <w:divBdr>
        <w:top w:val="none" w:sz="0" w:space="0" w:color="auto"/>
        <w:left w:val="none" w:sz="0" w:space="0" w:color="auto"/>
        <w:bottom w:val="none" w:sz="0" w:space="0" w:color="auto"/>
        <w:right w:val="none" w:sz="0" w:space="0" w:color="auto"/>
      </w:divBdr>
    </w:div>
    <w:div w:id="1187865140">
      <w:bodyDiv w:val="1"/>
      <w:marLeft w:val="0"/>
      <w:marRight w:val="0"/>
      <w:marTop w:val="0"/>
      <w:marBottom w:val="0"/>
      <w:divBdr>
        <w:top w:val="none" w:sz="0" w:space="0" w:color="auto"/>
        <w:left w:val="none" w:sz="0" w:space="0" w:color="auto"/>
        <w:bottom w:val="none" w:sz="0" w:space="0" w:color="auto"/>
        <w:right w:val="none" w:sz="0" w:space="0" w:color="auto"/>
      </w:divBdr>
    </w:div>
    <w:div w:id="1188133205">
      <w:bodyDiv w:val="1"/>
      <w:marLeft w:val="0"/>
      <w:marRight w:val="0"/>
      <w:marTop w:val="0"/>
      <w:marBottom w:val="0"/>
      <w:divBdr>
        <w:top w:val="none" w:sz="0" w:space="0" w:color="auto"/>
        <w:left w:val="none" w:sz="0" w:space="0" w:color="auto"/>
        <w:bottom w:val="none" w:sz="0" w:space="0" w:color="auto"/>
        <w:right w:val="none" w:sz="0" w:space="0" w:color="auto"/>
      </w:divBdr>
    </w:div>
    <w:div w:id="1188178026">
      <w:bodyDiv w:val="1"/>
      <w:marLeft w:val="0"/>
      <w:marRight w:val="0"/>
      <w:marTop w:val="0"/>
      <w:marBottom w:val="0"/>
      <w:divBdr>
        <w:top w:val="none" w:sz="0" w:space="0" w:color="auto"/>
        <w:left w:val="none" w:sz="0" w:space="0" w:color="auto"/>
        <w:bottom w:val="none" w:sz="0" w:space="0" w:color="auto"/>
        <w:right w:val="none" w:sz="0" w:space="0" w:color="auto"/>
      </w:divBdr>
    </w:div>
    <w:div w:id="1188182715">
      <w:bodyDiv w:val="1"/>
      <w:marLeft w:val="0"/>
      <w:marRight w:val="0"/>
      <w:marTop w:val="0"/>
      <w:marBottom w:val="0"/>
      <w:divBdr>
        <w:top w:val="none" w:sz="0" w:space="0" w:color="auto"/>
        <w:left w:val="none" w:sz="0" w:space="0" w:color="auto"/>
        <w:bottom w:val="none" w:sz="0" w:space="0" w:color="auto"/>
        <w:right w:val="none" w:sz="0" w:space="0" w:color="auto"/>
      </w:divBdr>
    </w:div>
    <w:div w:id="1188300409">
      <w:bodyDiv w:val="1"/>
      <w:marLeft w:val="0"/>
      <w:marRight w:val="0"/>
      <w:marTop w:val="0"/>
      <w:marBottom w:val="0"/>
      <w:divBdr>
        <w:top w:val="none" w:sz="0" w:space="0" w:color="auto"/>
        <w:left w:val="none" w:sz="0" w:space="0" w:color="auto"/>
        <w:bottom w:val="none" w:sz="0" w:space="0" w:color="auto"/>
        <w:right w:val="none" w:sz="0" w:space="0" w:color="auto"/>
      </w:divBdr>
    </w:div>
    <w:div w:id="1188374264">
      <w:bodyDiv w:val="1"/>
      <w:marLeft w:val="0"/>
      <w:marRight w:val="0"/>
      <w:marTop w:val="0"/>
      <w:marBottom w:val="0"/>
      <w:divBdr>
        <w:top w:val="none" w:sz="0" w:space="0" w:color="auto"/>
        <w:left w:val="none" w:sz="0" w:space="0" w:color="auto"/>
        <w:bottom w:val="none" w:sz="0" w:space="0" w:color="auto"/>
        <w:right w:val="none" w:sz="0" w:space="0" w:color="auto"/>
      </w:divBdr>
    </w:div>
    <w:div w:id="1188448347">
      <w:bodyDiv w:val="1"/>
      <w:marLeft w:val="0"/>
      <w:marRight w:val="0"/>
      <w:marTop w:val="0"/>
      <w:marBottom w:val="0"/>
      <w:divBdr>
        <w:top w:val="none" w:sz="0" w:space="0" w:color="auto"/>
        <w:left w:val="none" w:sz="0" w:space="0" w:color="auto"/>
        <w:bottom w:val="none" w:sz="0" w:space="0" w:color="auto"/>
        <w:right w:val="none" w:sz="0" w:space="0" w:color="auto"/>
      </w:divBdr>
    </w:div>
    <w:div w:id="1188523703">
      <w:bodyDiv w:val="1"/>
      <w:marLeft w:val="0"/>
      <w:marRight w:val="0"/>
      <w:marTop w:val="0"/>
      <w:marBottom w:val="0"/>
      <w:divBdr>
        <w:top w:val="none" w:sz="0" w:space="0" w:color="auto"/>
        <w:left w:val="none" w:sz="0" w:space="0" w:color="auto"/>
        <w:bottom w:val="none" w:sz="0" w:space="0" w:color="auto"/>
        <w:right w:val="none" w:sz="0" w:space="0" w:color="auto"/>
      </w:divBdr>
    </w:div>
    <w:div w:id="1188635878">
      <w:bodyDiv w:val="1"/>
      <w:marLeft w:val="0"/>
      <w:marRight w:val="0"/>
      <w:marTop w:val="0"/>
      <w:marBottom w:val="0"/>
      <w:divBdr>
        <w:top w:val="none" w:sz="0" w:space="0" w:color="auto"/>
        <w:left w:val="none" w:sz="0" w:space="0" w:color="auto"/>
        <w:bottom w:val="none" w:sz="0" w:space="0" w:color="auto"/>
        <w:right w:val="none" w:sz="0" w:space="0" w:color="auto"/>
      </w:divBdr>
    </w:div>
    <w:div w:id="1188639659">
      <w:bodyDiv w:val="1"/>
      <w:marLeft w:val="0"/>
      <w:marRight w:val="0"/>
      <w:marTop w:val="0"/>
      <w:marBottom w:val="0"/>
      <w:divBdr>
        <w:top w:val="none" w:sz="0" w:space="0" w:color="auto"/>
        <w:left w:val="none" w:sz="0" w:space="0" w:color="auto"/>
        <w:bottom w:val="none" w:sz="0" w:space="0" w:color="auto"/>
        <w:right w:val="none" w:sz="0" w:space="0" w:color="auto"/>
      </w:divBdr>
    </w:div>
    <w:div w:id="1188790102">
      <w:bodyDiv w:val="1"/>
      <w:marLeft w:val="0"/>
      <w:marRight w:val="0"/>
      <w:marTop w:val="0"/>
      <w:marBottom w:val="0"/>
      <w:divBdr>
        <w:top w:val="none" w:sz="0" w:space="0" w:color="auto"/>
        <w:left w:val="none" w:sz="0" w:space="0" w:color="auto"/>
        <w:bottom w:val="none" w:sz="0" w:space="0" w:color="auto"/>
        <w:right w:val="none" w:sz="0" w:space="0" w:color="auto"/>
      </w:divBdr>
    </w:div>
    <w:div w:id="1188834241">
      <w:bodyDiv w:val="1"/>
      <w:marLeft w:val="0"/>
      <w:marRight w:val="0"/>
      <w:marTop w:val="0"/>
      <w:marBottom w:val="0"/>
      <w:divBdr>
        <w:top w:val="none" w:sz="0" w:space="0" w:color="auto"/>
        <w:left w:val="none" w:sz="0" w:space="0" w:color="auto"/>
        <w:bottom w:val="none" w:sz="0" w:space="0" w:color="auto"/>
        <w:right w:val="none" w:sz="0" w:space="0" w:color="auto"/>
      </w:divBdr>
    </w:div>
    <w:div w:id="1188904231">
      <w:bodyDiv w:val="1"/>
      <w:marLeft w:val="0"/>
      <w:marRight w:val="0"/>
      <w:marTop w:val="0"/>
      <w:marBottom w:val="0"/>
      <w:divBdr>
        <w:top w:val="none" w:sz="0" w:space="0" w:color="auto"/>
        <w:left w:val="none" w:sz="0" w:space="0" w:color="auto"/>
        <w:bottom w:val="none" w:sz="0" w:space="0" w:color="auto"/>
        <w:right w:val="none" w:sz="0" w:space="0" w:color="auto"/>
      </w:divBdr>
    </w:div>
    <w:div w:id="1188905353">
      <w:bodyDiv w:val="1"/>
      <w:marLeft w:val="0"/>
      <w:marRight w:val="0"/>
      <w:marTop w:val="0"/>
      <w:marBottom w:val="0"/>
      <w:divBdr>
        <w:top w:val="none" w:sz="0" w:space="0" w:color="auto"/>
        <w:left w:val="none" w:sz="0" w:space="0" w:color="auto"/>
        <w:bottom w:val="none" w:sz="0" w:space="0" w:color="auto"/>
        <w:right w:val="none" w:sz="0" w:space="0" w:color="auto"/>
      </w:divBdr>
    </w:div>
    <w:div w:id="1188955238">
      <w:bodyDiv w:val="1"/>
      <w:marLeft w:val="0"/>
      <w:marRight w:val="0"/>
      <w:marTop w:val="0"/>
      <w:marBottom w:val="0"/>
      <w:divBdr>
        <w:top w:val="none" w:sz="0" w:space="0" w:color="auto"/>
        <w:left w:val="none" w:sz="0" w:space="0" w:color="auto"/>
        <w:bottom w:val="none" w:sz="0" w:space="0" w:color="auto"/>
        <w:right w:val="none" w:sz="0" w:space="0" w:color="auto"/>
      </w:divBdr>
    </w:div>
    <w:div w:id="1189027061">
      <w:bodyDiv w:val="1"/>
      <w:marLeft w:val="0"/>
      <w:marRight w:val="0"/>
      <w:marTop w:val="0"/>
      <w:marBottom w:val="0"/>
      <w:divBdr>
        <w:top w:val="none" w:sz="0" w:space="0" w:color="auto"/>
        <w:left w:val="none" w:sz="0" w:space="0" w:color="auto"/>
        <w:bottom w:val="none" w:sz="0" w:space="0" w:color="auto"/>
        <w:right w:val="none" w:sz="0" w:space="0" w:color="auto"/>
      </w:divBdr>
    </w:div>
    <w:div w:id="1189100535">
      <w:bodyDiv w:val="1"/>
      <w:marLeft w:val="0"/>
      <w:marRight w:val="0"/>
      <w:marTop w:val="0"/>
      <w:marBottom w:val="0"/>
      <w:divBdr>
        <w:top w:val="none" w:sz="0" w:space="0" w:color="auto"/>
        <w:left w:val="none" w:sz="0" w:space="0" w:color="auto"/>
        <w:bottom w:val="none" w:sz="0" w:space="0" w:color="auto"/>
        <w:right w:val="none" w:sz="0" w:space="0" w:color="auto"/>
      </w:divBdr>
    </w:div>
    <w:div w:id="1189221278">
      <w:bodyDiv w:val="1"/>
      <w:marLeft w:val="0"/>
      <w:marRight w:val="0"/>
      <w:marTop w:val="0"/>
      <w:marBottom w:val="0"/>
      <w:divBdr>
        <w:top w:val="none" w:sz="0" w:space="0" w:color="auto"/>
        <w:left w:val="none" w:sz="0" w:space="0" w:color="auto"/>
        <w:bottom w:val="none" w:sz="0" w:space="0" w:color="auto"/>
        <w:right w:val="none" w:sz="0" w:space="0" w:color="auto"/>
      </w:divBdr>
    </w:div>
    <w:div w:id="1189415901">
      <w:bodyDiv w:val="1"/>
      <w:marLeft w:val="0"/>
      <w:marRight w:val="0"/>
      <w:marTop w:val="0"/>
      <w:marBottom w:val="0"/>
      <w:divBdr>
        <w:top w:val="none" w:sz="0" w:space="0" w:color="auto"/>
        <w:left w:val="none" w:sz="0" w:space="0" w:color="auto"/>
        <w:bottom w:val="none" w:sz="0" w:space="0" w:color="auto"/>
        <w:right w:val="none" w:sz="0" w:space="0" w:color="auto"/>
      </w:divBdr>
    </w:div>
    <w:div w:id="1189488391">
      <w:bodyDiv w:val="1"/>
      <w:marLeft w:val="0"/>
      <w:marRight w:val="0"/>
      <w:marTop w:val="0"/>
      <w:marBottom w:val="0"/>
      <w:divBdr>
        <w:top w:val="none" w:sz="0" w:space="0" w:color="auto"/>
        <w:left w:val="none" w:sz="0" w:space="0" w:color="auto"/>
        <w:bottom w:val="none" w:sz="0" w:space="0" w:color="auto"/>
        <w:right w:val="none" w:sz="0" w:space="0" w:color="auto"/>
      </w:divBdr>
    </w:div>
    <w:div w:id="1189560253">
      <w:bodyDiv w:val="1"/>
      <w:marLeft w:val="0"/>
      <w:marRight w:val="0"/>
      <w:marTop w:val="0"/>
      <w:marBottom w:val="0"/>
      <w:divBdr>
        <w:top w:val="none" w:sz="0" w:space="0" w:color="auto"/>
        <w:left w:val="none" w:sz="0" w:space="0" w:color="auto"/>
        <w:bottom w:val="none" w:sz="0" w:space="0" w:color="auto"/>
        <w:right w:val="none" w:sz="0" w:space="0" w:color="auto"/>
      </w:divBdr>
    </w:div>
    <w:div w:id="1189610106">
      <w:bodyDiv w:val="1"/>
      <w:marLeft w:val="0"/>
      <w:marRight w:val="0"/>
      <w:marTop w:val="0"/>
      <w:marBottom w:val="0"/>
      <w:divBdr>
        <w:top w:val="none" w:sz="0" w:space="0" w:color="auto"/>
        <w:left w:val="none" w:sz="0" w:space="0" w:color="auto"/>
        <w:bottom w:val="none" w:sz="0" w:space="0" w:color="auto"/>
        <w:right w:val="none" w:sz="0" w:space="0" w:color="auto"/>
      </w:divBdr>
    </w:div>
    <w:div w:id="1189638559">
      <w:bodyDiv w:val="1"/>
      <w:marLeft w:val="0"/>
      <w:marRight w:val="0"/>
      <w:marTop w:val="0"/>
      <w:marBottom w:val="0"/>
      <w:divBdr>
        <w:top w:val="none" w:sz="0" w:space="0" w:color="auto"/>
        <w:left w:val="none" w:sz="0" w:space="0" w:color="auto"/>
        <w:bottom w:val="none" w:sz="0" w:space="0" w:color="auto"/>
        <w:right w:val="none" w:sz="0" w:space="0" w:color="auto"/>
      </w:divBdr>
    </w:div>
    <w:div w:id="1189677497">
      <w:bodyDiv w:val="1"/>
      <w:marLeft w:val="0"/>
      <w:marRight w:val="0"/>
      <w:marTop w:val="0"/>
      <w:marBottom w:val="0"/>
      <w:divBdr>
        <w:top w:val="none" w:sz="0" w:space="0" w:color="auto"/>
        <w:left w:val="none" w:sz="0" w:space="0" w:color="auto"/>
        <w:bottom w:val="none" w:sz="0" w:space="0" w:color="auto"/>
        <w:right w:val="none" w:sz="0" w:space="0" w:color="auto"/>
      </w:divBdr>
    </w:div>
    <w:div w:id="1189760244">
      <w:bodyDiv w:val="1"/>
      <w:marLeft w:val="0"/>
      <w:marRight w:val="0"/>
      <w:marTop w:val="0"/>
      <w:marBottom w:val="0"/>
      <w:divBdr>
        <w:top w:val="none" w:sz="0" w:space="0" w:color="auto"/>
        <w:left w:val="none" w:sz="0" w:space="0" w:color="auto"/>
        <w:bottom w:val="none" w:sz="0" w:space="0" w:color="auto"/>
        <w:right w:val="none" w:sz="0" w:space="0" w:color="auto"/>
      </w:divBdr>
    </w:div>
    <w:div w:id="1189834845">
      <w:bodyDiv w:val="1"/>
      <w:marLeft w:val="0"/>
      <w:marRight w:val="0"/>
      <w:marTop w:val="0"/>
      <w:marBottom w:val="0"/>
      <w:divBdr>
        <w:top w:val="none" w:sz="0" w:space="0" w:color="auto"/>
        <w:left w:val="none" w:sz="0" w:space="0" w:color="auto"/>
        <w:bottom w:val="none" w:sz="0" w:space="0" w:color="auto"/>
        <w:right w:val="none" w:sz="0" w:space="0" w:color="auto"/>
      </w:divBdr>
    </w:div>
    <w:div w:id="1189955676">
      <w:bodyDiv w:val="1"/>
      <w:marLeft w:val="0"/>
      <w:marRight w:val="0"/>
      <w:marTop w:val="0"/>
      <w:marBottom w:val="0"/>
      <w:divBdr>
        <w:top w:val="none" w:sz="0" w:space="0" w:color="auto"/>
        <w:left w:val="none" w:sz="0" w:space="0" w:color="auto"/>
        <w:bottom w:val="none" w:sz="0" w:space="0" w:color="auto"/>
        <w:right w:val="none" w:sz="0" w:space="0" w:color="auto"/>
      </w:divBdr>
    </w:div>
    <w:div w:id="1190026432">
      <w:bodyDiv w:val="1"/>
      <w:marLeft w:val="0"/>
      <w:marRight w:val="0"/>
      <w:marTop w:val="0"/>
      <w:marBottom w:val="0"/>
      <w:divBdr>
        <w:top w:val="none" w:sz="0" w:space="0" w:color="auto"/>
        <w:left w:val="none" w:sz="0" w:space="0" w:color="auto"/>
        <w:bottom w:val="none" w:sz="0" w:space="0" w:color="auto"/>
        <w:right w:val="none" w:sz="0" w:space="0" w:color="auto"/>
      </w:divBdr>
    </w:div>
    <w:div w:id="1190026826">
      <w:bodyDiv w:val="1"/>
      <w:marLeft w:val="0"/>
      <w:marRight w:val="0"/>
      <w:marTop w:val="0"/>
      <w:marBottom w:val="0"/>
      <w:divBdr>
        <w:top w:val="none" w:sz="0" w:space="0" w:color="auto"/>
        <w:left w:val="none" w:sz="0" w:space="0" w:color="auto"/>
        <w:bottom w:val="none" w:sz="0" w:space="0" w:color="auto"/>
        <w:right w:val="none" w:sz="0" w:space="0" w:color="auto"/>
      </w:divBdr>
    </w:div>
    <w:div w:id="1190027845">
      <w:bodyDiv w:val="1"/>
      <w:marLeft w:val="0"/>
      <w:marRight w:val="0"/>
      <w:marTop w:val="0"/>
      <w:marBottom w:val="0"/>
      <w:divBdr>
        <w:top w:val="none" w:sz="0" w:space="0" w:color="auto"/>
        <w:left w:val="none" w:sz="0" w:space="0" w:color="auto"/>
        <w:bottom w:val="none" w:sz="0" w:space="0" w:color="auto"/>
        <w:right w:val="none" w:sz="0" w:space="0" w:color="auto"/>
      </w:divBdr>
    </w:div>
    <w:div w:id="1190030453">
      <w:bodyDiv w:val="1"/>
      <w:marLeft w:val="0"/>
      <w:marRight w:val="0"/>
      <w:marTop w:val="0"/>
      <w:marBottom w:val="0"/>
      <w:divBdr>
        <w:top w:val="none" w:sz="0" w:space="0" w:color="auto"/>
        <w:left w:val="none" w:sz="0" w:space="0" w:color="auto"/>
        <w:bottom w:val="none" w:sz="0" w:space="0" w:color="auto"/>
        <w:right w:val="none" w:sz="0" w:space="0" w:color="auto"/>
      </w:divBdr>
    </w:div>
    <w:div w:id="1190218824">
      <w:bodyDiv w:val="1"/>
      <w:marLeft w:val="0"/>
      <w:marRight w:val="0"/>
      <w:marTop w:val="0"/>
      <w:marBottom w:val="0"/>
      <w:divBdr>
        <w:top w:val="none" w:sz="0" w:space="0" w:color="auto"/>
        <w:left w:val="none" w:sz="0" w:space="0" w:color="auto"/>
        <w:bottom w:val="none" w:sz="0" w:space="0" w:color="auto"/>
        <w:right w:val="none" w:sz="0" w:space="0" w:color="auto"/>
      </w:divBdr>
    </w:div>
    <w:div w:id="1190224416">
      <w:bodyDiv w:val="1"/>
      <w:marLeft w:val="0"/>
      <w:marRight w:val="0"/>
      <w:marTop w:val="0"/>
      <w:marBottom w:val="0"/>
      <w:divBdr>
        <w:top w:val="none" w:sz="0" w:space="0" w:color="auto"/>
        <w:left w:val="none" w:sz="0" w:space="0" w:color="auto"/>
        <w:bottom w:val="none" w:sz="0" w:space="0" w:color="auto"/>
        <w:right w:val="none" w:sz="0" w:space="0" w:color="auto"/>
      </w:divBdr>
    </w:div>
    <w:div w:id="1190414407">
      <w:bodyDiv w:val="1"/>
      <w:marLeft w:val="0"/>
      <w:marRight w:val="0"/>
      <w:marTop w:val="0"/>
      <w:marBottom w:val="0"/>
      <w:divBdr>
        <w:top w:val="none" w:sz="0" w:space="0" w:color="auto"/>
        <w:left w:val="none" w:sz="0" w:space="0" w:color="auto"/>
        <w:bottom w:val="none" w:sz="0" w:space="0" w:color="auto"/>
        <w:right w:val="none" w:sz="0" w:space="0" w:color="auto"/>
      </w:divBdr>
    </w:div>
    <w:div w:id="1190492124">
      <w:bodyDiv w:val="1"/>
      <w:marLeft w:val="0"/>
      <w:marRight w:val="0"/>
      <w:marTop w:val="0"/>
      <w:marBottom w:val="0"/>
      <w:divBdr>
        <w:top w:val="none" w:sz="0" w:space="0" w:color="auto"/>
        <w:left w:val="none" w:sz="0" w:space="0" w:color="auto"/>
        <w:bottom w:val="none" w:sz="0" w:space="0" w:color="auto"/>
        <w:right w:val="none" w:sz="0" w:space="0" w:color="auto"/>
      </w:divBdr>
    </w:div>
    <w:div w:id="1190492718">
      <w:bodyDiv w:val="1"/>
      <w:marLeft w:val="0"/>
      <w:marRight w:val="0"/>
      <w:marTop w:val="0"/>
      <w:marBottom w:val="0"/>
      <w:divBdr>
        <w:top w:val="none" w:sz="0" w:space="0" w:color="auto"/>
        <w:left w:val="none" w:sz="0" w:space="0" w:color="auto"/>
        <w:bottom w:val="none" w:sz="0" w:space="0" w:color="auto"/>
        <w:right w:val="none" w:sz="0" w:space="0" w:color="auto"/>
      </w:divBdr>
    </w:div>
    <w:div w:id="1190527250">
      <w:bodyDiv w:val="1"/>
      <w:marLeft w:val="0"/>
      <w:marRight w:val="0"/>
      <w:marTop w:val="0"/>
      <w:marBottom w:val="0"/>
      <w:divBdr>
        <w:top w:val="none" w:sz="0" w:space="0" w:color="auto"/>
        <w:left w:val="none" w:sz="0" w:space="0" w:color="auto"/>
        <w:bottom w:val="none" w:sz="0" w:space="0" w:color="auto"/>
        <w:right w:val="none" w:sz="0" w:space="0" w:color="auto"/>
      </w:divBdr>
    </w:div>
    <w:div w:id="1190754101">
      <w:bodyDiv w:val="1"/>
      <w:marLeft w:val="0"/>
      <w:marRight w:val="0"/>
      <w:marTop w:val="0"/>
      <w:marBottom w:val="0"/>
      <w:divBdr>
        <w:top w:val="none" w:sz="0" w:space="0" w:color="auto"/>
        <w:left w:val="none" w:sz="0" w:space="0" w:color="auto"/>
        <w:bottom w:val="none" w:sz="0" w:space="0" w:color="auto"/>
        <w:right w:val="none" w:sz="0" w:space="0" w:color="auto"/>
      </w:divBdr>
    </w:div>
    <w:div w:id="1190872126">
      <w:bodyDiv w:val="1"/>
      <w:marLeft w:val="0"/>
      <w:marRight w:val="0"/>
      <w:marTop w:val="0"/>
      <w:marBottom w:val="0"/>
      <w:divBdr>
        <w:top w:val="none" w:sz="0" w:space="0" w:color="auto"/>
        <w:left w:val="none" w:sz="0" w:space="0" w:color="auto"/>
        <w:bottom w:val="none" w:sz="0" w:space="0" w:color="auto"/>
        <w:right w:val="none" w:sz="0" w:space="0" w:color="auto"/>
      </w:divBdr>
    </w:div>
    <w:div w:id="1190872867">
      <w:bodyDiv w:val="1"/>
      <w:marLeft w:val="0"/>
      <w:marRight w:val="0"/>
      <w:marTop w:val="0"/>
      <w:marBottom w:val="0"/>
      <w:divBdr>
        <w:top w:val="none" w:sz="0" w:space="0" w:color="auto"/>
        <w:left w:val="none" w:sz="0" w:space="0" w:color="auto"/>
        <w:bottom w:val="none" w:sz="0" w:space="0" w:color="auto"/>
        <w:right w:val="none" w:sz="0" w:space="0" w:color="auto"/>
      </w:divBdr>
    </w:div>
    <w:div w:id="1190875180">
      <w:bodyDiv w:val="1"/>
      <w:marLeft w:val="0"/>
      <w:marRight w:val="0"/>
      <w:marTop w:val="0"/>
      <w:marBottom w:val="0"/>
      <w:divBdr>
        <w:top w:val="none" w:sz="0" w:space="0" w:color="auto"/>
        <w:left w:val="none" w:sz="0" w:space="0" w:color="auto"/>
        <w:bottom w:val="none" w:sz="0" w:space="0" w:color="auto"/>
        <w:right w:val="none" w:sz="0" w:space="0" w:color="auto"/>
      </w:divBdr>
    </w:div>
    <w:div w:id="1190875464">
      <w:bodyDiv w:val="1"/>
      <w:marLeft w:val="0"/>
      <w:marRight w:val="0"/>
      <w:marTop w:val="0"/>
      <w:marBottom w:val="0"/>
      <w:divBdr>
        <w:top w:val="none" w:sz="0" w:space="0" w:color="auto"/>
        <w:left w:val="none" w:sz="0" w:space="0" w:color="auto"/>
        <w:bottom w:val="none" w:sz="0" w:space="0" w:color="auto"/>
        <w:right w:val="none" w:sz="0" w:space="0" w:color="auto"/>
      </w:divBdr>
    </w:div>
    <w:div w:id="1191066299">
      <w:bodyDiv w:val="1"/>
      <w:marLeft w:val="0"/>
      <w:marRight w:val="0"/>
      <w:marTop w:val="0"/>
      <w:marBottom w:val="0"/>
      <w:divBdr>
        <w:top w:val="none" w:sz="0" w:space="0" w:color="auto"/>
        <w:left w:val="none" w:sz="0" w:space="0" w:color="auto"/>
        <w:bottom w:val="none" w:sz="0" w:space="0" w:color="auto"/>
        <w:right w:val="none" w:sz="0" w:space="0" w:color="auto"/>
      </w:divBdr>
    </w:div>
    <w:div w:id="1191146275">
      <w:bodyDiv w:val="1"/>
      <w:marLeft w:val="0"/>
      <w:marRight w:val="0"/>
      <w:marTop w:val="0"/>
      <w:marBottom w:val="0"/>
      <w:divBdr>
        <w:top w:val="none" w:sz="0" w:space="0" w:color="auto"/>
        <w:left w:val="none" w:sz="0" w:space="0" w:color="auto"/>
        <w:bottom w:val="none" w:sz="0" w:space="0" w:color="auto"/>
        <w:right w:val="none" w:sz="0" w:space="0" w:color="auto"/>
      </w:divBdr>
    </w:div>
    <w:div w:id="1191257372">
      <w:bodyDiv w:val="1"/>
      <w:marLeft w:val="0"/>
      <w:marRight w:val="0"/>
      <w:marTop w:val="0"/>
      <w:marBottom w:val="0"/>
      <w:divBdr>
        <w:top w:val="none" w:sz="0" w:space="0" w:color="auto"/>
        <w:left w:val="none" w:sz="0" w:space="0" w:color="auto"/>
        <w:bottom w:val="none" w:sz="0" w:space="0" w:color="auto"/>
        <w:right w:val="none" w:sz="0" w:space="0" w:color="auto"/>
      </w:divBdr>
    </w:div>
    <w:div w:id="1191259826">
      <w:bodyDiv w:val="1"/>
      <w:marLeft w:val="0"/>
      <w:marRight w:val="0"/>
      <w:marTop w:val="0"/>
      <w:marBottom w:val="0"/>
      <w:divBdr>
        <w:top w:val="none" w:sz="0" w:space="0" w:color="auto"/>
        <w:left w:val="none" w:sz="0" w:space="0" w:color="auto"/>
        <w:bottom w:val="none" w:sz="0" w:space="0" w:color="auto"/>
        <w:right w:val="none" w:sz="0" w:space="0" w:color="auto"/>
      </w:divBdr>
    </w:div>
    <w:div w:id="1191333761">
      <w:bodyDiv w:val="1"/>
      <w:marLeft w:val="0"/>
      <w:marRight w:val="0"/>
      <w:marTop w:val="0"/>
      <w:marBottom w:val="0"/>
      <w:divBdr>
        <w:top w:val="none" w:sz="0" w:space="0" w:color="auto"/>
        <w:left w:val="none" w:sz="0" w:space="0" w:color="auto"/>
        <w:bottom w:val="none" w:sz="0" w:space="0" w:color="auto"/>
        <w:right w:val="none" w:sz="0" w:space="0" w:color="auto"/>
      </w:divBdr>
    </w:div>
    <w:div w:id="1191381915">
      <w:bodyDiv w:val="1"/>
      <w:marLeft w:val="0"/>
      <w:marRight w:val="0"/>
      <w:marTop w:val="0"/>
      <w:marBottom w:val="0"/>
      <w:divBdr>
        <w:top w:val="none" w:sz="0" w:space="0" w:color="auto"/>
        <w:left w:val="none" w:sz="0" w:space="0" w:color="auto"/>
        <w:bottom w:val="none" w:sz="0" w:space="0" w:color="auto"/>
        <w:right w:val="none" w:sz="0" w:space="0" w:color="auto"/>
      </w:divBdr>
    </w:div>
    <w:div w:id="1191454353">
      <w:bodyDiv w:val="1"/>
      <w:marLeft w:val="0"/>
      <w:marRight w:val="0"/>
      <w:marTop w:val="0"/>
      <w:marBottom w:val="0"/>
      <w:divBdr>
        <w:top w:val="none" w:sz="0" w:space="0" w:color="auto"/>
        <w:left w:val="none" w:sz="0" w:space="0" w:color="auto"/>
        <w:bottom w:val="none" w:sz="0" w:space="0" w:color="auto"/>
        <w:right w:val="none" w:sz="0" w:space="0" w:color="auto"/>
      </w:divBdr>
    </w:div>
    <w:div w:id="1191650047">
      <w:bodyDiv w:val="1"/>
      <w:marLeft w:val="0"/>
      <w:marRight w:val="0"/>
      <w:marTop w:val="0"/>
      <w:marBottom w:val="0"/>
      <w:divBdr>
        <w:top w:val="none" w:sz="0" w:space="0" w:color="auto"/>
        <w:left w:val="none" w:sz="0" w:space="0" w:color="auto"/>
        <w:bottom w:val="none" w:sz="0" w:space="0" w:color="auto"/>
        <w:right w:val="none" w:sz="0" w:space="0" w:color="auto"/>
      </w:divBdr>
    </w:div>
    <w:div w:id="1191722990">
      <w:bodyDiv w:val="1"/>
      <w:marLeft w:val="0"/>
      <w:marRight w:val="0"/>
      <w:marTop w:val="0"/>
      <w:marBottom w:val="0"/>
      <w:divBdr>
        <w:top w:val="none" w:sz="0" w:space="0" w:color="auto"/>
        <w:left w:val="none" w:sz="0" w:space="0" w:color="auto"/>
        <w:bottom w:val="none" w:sz="0" w:space="0" w:color="auto"/>
        <w:right w:val="none" w:sz="0" w:space="0" w:color="auto"/>
      </w:divBdr>
    </w:div>
    <w:div w:id="1191796469">
      <w:bodyDiv w:val="1"/>
      <w:marLeft w:val="0"/>
      <w:marRight w:val="0"/>
      <w:marTop w:val="0"/>
      <w:marBottom w:val="0"/>
      <w:divBdr>
        <w:top w:val="none" w:sz="0" w:space="0" w:color="auto"/>
        <w:left w:val="none" w:sz="0" w:space="0" w:color="auto"/>
        <w:bottom w:val="none" w:sz="0" w:space="0" w:color="auto"/>
        <w:right w:val="none" w:sz="0" w:space="0" w:color="auto"/>
      </w:divBdr>
    </w:div>
    <w:div w:id="1191838313">
      <w:bodyDiv w:val="1"/>
      <w:marLeft w:val="0"/>
      <w:marRight w:val="0"/>
      <w:marTop w:val="0"/>
      <w:marBottom w:val="0"/>
      <w:divBdr>
        <w:top w:val="none" w:sz="0" w:space="0" w:color="auto"/>
        <w:left w:val="none" w:sz="0" w:space="0" w:color="auto"/>
        <w:bottom w:val="none" w:sz="0" w:space="0" w:color="auto"/>
        <w:right w:val="none" w:sz="0" w:space="0" w:color="auto"/>
      </w:divBdr>
    </w:div>
    <w:div w:id="1191918245">
      <w:bodyDiv w:val="1"/>
      <w:marLeft w:val="0"/>
      <w:marRight w:val="0"/>
      <w:marTop w:val="0"/>
      <w:marBottom w:val="0"/>
      <w:divBdr>
        <w:top w:val="none" w:sz="0" w:space="0" w:color="auto"/>
        <w:left w:val="none" w:sz="0" w:space="0" w:color="auto"/>
        <w:bottom w:val="none" w:sz="0" w:space="0" w:color="auto"/>
        <w:right w:val="none" w:sz="0" w:space="0" w:color="auto"/>
      </w:divBdr>
    </w:div>
    <w:div w:id="1192181273">
      <w:bodyDiv w:val="1"/>
      <w:marLeft w:val="0"/>
      <w:marRight w:val="0"/>
      <w:marTop w:val="0"/>
      <w:marBottom w:val="0"/>
      <w:divBdr>
        <w:top w:val="none" w:sz="0" w:space="0" w:color="auto"/>
        <w:left w:val="none" w:sz="0" w:space="0" w:color="auto"/>
        <w:bottom w:val="none" w:sz="0" w:space="0" w:color="auto"/>
        <w:right w:val="none" w:sz="0" w:space="0" w:color="auto"/>
      </w:divBdr>
    </w:div>
    <w:div w:id="1192183254">
      <w:bodyDiv w:val="1"/>
      <w:marLeft w:val="0"/>
      <w:marRight w:val="0"/>
      <w:marTop w:val="0"/>
      <w:marBottom w:val="0"/>
      <w:divBdr>
        <w:top w:val="none" w:sz="0" w:space="0" w:color="auto"/>
        <w:left w:val="none" w:sz="0" w:space="0" w:color="auto"/>
        <w:bottom w:val="none" w:sz="0" w:space="0" w:color="auto"/>
        <w:right w:val="none" w:sz="0" w:space="0" w:color="auto"/>
      </w:divBdr>
    </w:div>
    <w:div w:id="1192375115">
      <w:bodyDiv w:val="1"/>
      <w:marLeft w:val="0"/>
      <w:marRight w:val="0"/>
      <w:marTop w:val="0"/>
      <w:marBottom w:val="0"/>
      <w:divBdr>
        <w:top w:val="none" w:sz="0" w:space="0" w:color="auto"/>
        <w:left w:val="none" w:sz="0" w:space="0" w:color="auto"/>
        <w:bottom w:val="none" w:sz="0" w:space="0" w:color="auto"/>
        <w:right w:val="none" w:sz="0" w:space="0" w:color="auto"/>
      </w:divBdr>
    </w:div>
    <w:div w:id="1192380373">
      <w:bodyDiv w:val="1"/>
      <w:marLeft w:val="0"/>
      <w:marRight w:val="0"/>
      <w:marTop w:val="0"/>
      <w:marBottom w:val="0"/>
      <w:divBdr>
        <w:top w:val="none" w:sz="0" w:space="0" w:color="auto"/>
        <w:left w:val="none" w:sz="0" w:space="0" w:color="auto"/>
        <w:bottom w:val="none" w:sz="0" w:space="0" w:color="auto"/>
        <w:right w:val="none" w:sz="0" w:space="0" w:color="auto"/>
      </w:divBdr>
    </w:div>
    <w:div w:id="1192457899">
      <w:bodyDiv w:val="1"/>
      <w:marLeft w:val="0"/>
      <w:marRight w:val="0"/>
      <w:marTop w:val="0"/>
      <w:marBottom w:val="0"/>
      <w:divBdr>
        <w:top w:val="none" w:sz="0" w:space="0" w:color="auto"/>
        <w:left w:val="none" w:sz="0" w:space="0" w:color="auto"/>
        <w:bottom w:val="none" w:sz="0" w:space="0" w:color="auto"/>
        <w:right w:val="none" w:sz="0" w:space="0" w:color="auto"/>
      </w:divBdr>
    </w:div>
    <w:div w:id="1192568194">
      <w:bodyDiv w:val="1"/>
      <w:marLeft w:val="0"/>
      <w:marRight w:val="0"/>
      <w:marTop w:val="0"/>
      <w:marBottom w:val="0"/>
      <w:divBdr>
        <w:top w:val="none" w:sz="0" w:space="0" w:color="auto"/>
        <w:left w:val="none" w:sz="0" w:space="0" w:color="auto"/>
        <w:bottom w:val="none" w:sz="0" w:space="0" w:color="auto"/>
        <w:right w:val="none" w:sz="0" w:space="0" w:color="auto"/>
      </w:divBdr>
    </w:div>
    <w:div w:id="1192568702">
      <w:bodyDiv w:val="1"/>
      <w:marLeft w:val="0"/>
      <w:marRight w:val="0"/>
      <w:marTop w:val="0"/>
      <w:marBottom w:val="0"/>
      <w:divBdr>
        <w:top w:val="none" w:sz="0" w:space="0" w:color="auto"/>
        <w:left w:val="none" w:sz="0" w:space="0" w:color="auto"/>
        <w:bottom w:val="none" w:sz="0" w:space="0" w:color="auto"/>
        <w:right w:val="none" w:sz="0" w:space="0" w:color="auto"/>
      </w:divBdr>
    </w:div>
    <w:div w:id="1192691682">
      <w:bodyDiv w:val="1"/>
      <w:marLeft w:val="0"/>
      <w:marRight w:val="0"/>
      <w:marTop w:val="0"/>
      <w:marBottom w:val="0"/>
      <w:divBdr>
        <w:top w:val="none" w:sz="0" w:space="0" w:color="auto"/>
        <w:left w:val="none" w:sz="0" w:space="0" w:color="auto"/>
        <w:bottom w:val="none" w:sz="0" w:space="0" w:color="auto"/>
        <w:right w:val="none" w:sz="0" w:space="0" w:color="auto"/>
      </w:divBdr>
    </w:div>
    <w:div w:id="1192763483">
      <w:bodyDiv w:val="1"/>
      <w:marLeft w:val="0"/>
      <w:marRight w:val="0"/>
      <w:marTop w:val="0"/>
      <w:marBottom w:val="0"/>
      <w:divBdr>
        <w:top w:val="none" w:sz="0" w:space="0" w:color="auto"/>
        <w:left w:val="none" w:sz="0" w:space="0" w:color="auto"/>
        <w:bottom w:val="none" w:sz="0" w:space="0" w:color="auto"/>
        <w:right w:val="none" w:sz="0" w:space="0" w:color="auto"/>
      </w:divBdr>
    </w:div>
    <w:div w:id="1192767430">
      <w:bodyDiv w:val="1"/>
      <w:marLeft w:val="0"/>
      <w:marRight w:val="0"/>
      <w:marTop w:val="0"/>
      <w:marBottom w:val="0"/>
      <w:divBdr>
        <w:top w:val="none" w:sz="0" w:space="0" w:color="auto"/>
        <w:left w:val="none" w:sz="0" w:space="0" w:color="auto"/>
        <w:bottom w:val="none" w:sz="0" w:space="0" w:color="auto"/>
        <w:right w:val="none" w:sz="0" w:space="0" w:color="auto"/>
      </w:divBdr>
    </w:div>
    <w:div w:id="1192845404">
      <w:bodyDiv w:val="1"/>
      <w:marLeft w:val="0"/>
      <w:marRight w:val="0"/>
      <w:marTop w:val="0"/>
      <w:marBottom w:val="0"/>
      <w:divBdr>
        <w:top w:val="none" w:sz="0" w:space="0" w:color="auto"/>
        <w:left w:val="none" w:sz="0" w:space="0" w:color="auto"/>
        <w:bottom w:val="none" w:sz="0" w:space="0" w:color="auto"/>
        <w:right w:val="none" w:sz="0" w:space="0" w:color="auto"/>
      </w:divBdr>
    </w:div>
    <w:div w:id="1192886690">
      <w:bodyDiv w:val="1"/>
      <w:marLeft w:val="0"/>
      <w:marRight w:val="0"/>
      <w:marTop w:val="0"/>
      <w:marBottom w:val="0"/>
      <w:divBdr>
        <w:top w:val="none" w:sz="0" w:space="0" w:color="auto"/>
        <w:left w:val="none" w:sz="0" w:space="0" w:color="auto"/>
        <w:bottom w:val="none" w:sz="0" w:space="0" w:color="auto"/>
        <w:right w:val="none" w:sz="0" w:space="0" w:color="auto"/>
      </w:divBdr>
    </w:div>
    <w:div w:id="1192911979">
      <w:bodyDiv w:val="1"/>
      <w:marLeft w:val="0"/>
      <w:marRight w:val="0"/>
      <w:marTop w:val="0"/>
      <w:marBottom w:val="0"/>
      <w:divBdr>
        <w:top w:val="none" w:sz="0" w:space="0" w:color="auto"/>
        <w:left w:val="none" w:sz="0" w:space="0" w:color="auto"/>
        <w:bottom w:val="none" w:sz="0" w:space="0" w:color="auto"/>
        <w:right w:val="none" w:sz="0" w:space="0" w:color="auto"/>
      </w:divBdr>
    </w:div>
    <w:div w:id="1192955736">
      <w:bodyDiv w:val="1"/>
      <w:marLeft w:val="0"/>
      <w:marRight w:val="0"/>
      <w:marTop w:val="0"/>
      <w:marBottom w:val="0"/>
      <w:divBdr>
        <w:top w:val="none" w:sz="0" w:space="0" w:color="auto"/>
        <w:left w:val="none" w:sz="0" w:space="0" w:color="auto"/>
        <w:bottom w:val="none" w:sz="0" w:space="0" w:color="auto"/>
        <w:right w:val="none" w:sz="0" w:space="0" w:color="auto"/>
      </w:divBdr>
    </w:div>
    <w:div w:id="1192963039">
      <w:bodyDiv w:val="1"/>
      <w:marLeft w:val="0"/>
      <w:marRight w:val="0"/>
      <w:marTop w:val="0"/>
      <w:marBottom w:val="0"/>
      <w:divBdr>
        <w:top w:val="none" w:sz="0" w:space="0" w:color="auto"/>
        <w:left w:val="none" w:sz="0" w:space="0" w:color="auto"/>
        <w:bottom w:val="none" w:sz="0" w:space="0" w:color="auto"/>
        <w:right w:val="none" w:sz="0" w:space="0" w:color="auto"/>
      </w:divBdr>
    </w:div>
    <w:div w:id="1193032100">
      <w:bodyDiv w:val="1"/>
      <w:marLeft w:val="0"/>
      <w:marRight w:val="0"/>
      <w:marTop w:val="0"/>
      <w:marBottom w:val="0"/>
      <w:divBdr>
        <w:top w:val="none" w:sz="0" w:space="0" w:color="auto"/>
        <w:left w:val="none" w:sz="0" w:space="0" w:color="auto"/>
        <w:bottom w:val="none" w:sz="0" w:space="0" w:color="auto"/>
        <w:right w:val="none" w:sz="0" w:space="0" w:color="auto"/>
      </w:divBdr>
    </w:div>
    <w:div w:id="1193107140">
      <w:bodyDiv w:val="1"/>
      <w:marLeft w:val="0"/>
      <w:marRight w:val="0"/>
      <w:marTop w:val="0"/>
      <w:marBottom w:val="0"/>
      <w:divBdr>
        <w:top w:val="none" w:sz="0" w:space="0" w:color="auto"/>
        <w:left w:val="none" w:sz="0" w:space="0" w:color="auto"/>
        <w:bottom w:val="none" w:sz="0" w:space="0" w:color="auto"/>
        <w:right w:val="none" w:sz="0" w:space="0" w:color="auto"/>
      </w:divBdr>
    </w:div>
    <w:div w:id="1193113902">
      <w:bodyDiv w:val="1"/>
      <w:marLeft w:val="0"/>
      <w:marRight w:val="0"/>
      <w:marTop w:val="0"/>
      <w:marBottom w:val="0"/>
      <w:divBdr>
        <w:top w:val="none" w:sz="0" w:space="0" w:color="auto"/>
        <w:left w:val="none" w:sz="0" w:space="0" w:color="auto"/>
        <w:bottom w:val="none" w:sz="0" w:space="0" w:color="auto"/>
        <w:right w:val="none" w:sz="0" w:space="0" w:color="auto"/>
      </w:divBdr>
    </w:div>
    <w:div w:id="1193154473">
      <w:bodyDiv w:val="1"/>
      <w:marLeft w:val="0"/>
      <w:marRight w:val="0"/>
      <w:marTop w:val="0"/>
      <w:marBottom w:val="0"/>
      <w:divBdr>
        <w:top w:val="none" w:sz="0" w:space="0" w:color="auto"/>
        <w:left w:val="none" w:sz="0" w:space="0" w:color="auto"/>
        <w:bottom w:val="none" w:sz="0" w:space="0" w:color="auto"/>
        <w:right w:val="none" w:sz="0" w:space="0" w:color="auto"/>
      </w:divBdr>
    </w:div>
    <w:div w:id="1193303083">
      <w:bodyDiv w:val="1"/>
      <w:marLeft w:val="0"/>
      <w:marRight w:val="0"/>
      <w:marTop w:val="0"/>
      <w:marBottom w:val="0"/>
      <w:divBdr>
        <w:top w:val="none" w:sz="0" w:space="0" w:color="auto"/>
        <w:left w:val="none" w:sz="0" w:space="0" w:color="auto"/>
        <w:bottom w:val="none" w:sz="0" w:space="0" w:color="auto"/>
        <w:right w:val="none" w:sz="0" w:space="0" w:color="auto"/>
      </w:divBdr>
    </w:div>
    <w:div w:id="1193375271">
      <w:bodyDiv w:val="1"/>
      <w:marLeft w:val="0"/>
      <w:marRight w:val="0"/>
      <w:marTop w:val="0"/>
      <w:marBottom w:val="0"/>
      <w:divBdr>
        <w:top w:val="none" w:sz="0" w:space="0" w:color="auto"/>
        <w:left w:val="none" w:sz="0" w:space="0" w:color="auto"/>
        <w:bottom w:val="none" w:sz="0" w:space="0" w:color="auto"/>
        <w:right w:val="none" w:sz="0" w:space="0" w:color="auto"/>
      </w:divBdr>
    </w:div>
    <w:div w:id="1193492931">
      <w:bodyDiv w:val="1"/>
      <w:marLeft w:val="0"/>
      <w:marRight w:val="0"/>
      <w:marTop w:val="0"/>
      <w:marBottom w:val="0"/>
      <w:divBdr>
        <w:top w:val="none" w:sz="0" w:space="0" w:color="auto"/>
        <w:left w:val="none" w:sz="0" w:space="0" w:color="auto"/>
        <w:bottom w:val="none" w:sz="0" w:space="0" w:color="auto"/>
        <w:right w:val="none" w:sz="0" w:space="0" w:color="auto"/>
      </w:divBdr>
    </w:div>
    <w:div w:id="1193493444">
      <w:bodyDiv w:val="1"/>
      <w:marLeft w:val="0"/>
      <w:marRight w:val="0"/>
      <w:marTop w:val="0"/>
      <w:marBottom w:val="0"/>
      <w:divBdr>
        <w:top w:val="none" w:sz="0" w:space="0" w:color="auto"/>
        <w:left w:val="none" w:sz="0" w:space="0" w:color="auto"/>
        <w:bottom w:val="none" w:sz="0" w:space="0" w:color="auto"/>
        <w:right w:val="none" w:sz="0" w:space="0" w:color="auto"/>
      </w:divBdr>
    </w:div>
    <w:div w:id="1193567353">
      <w:bodyDiv w:val="1"/>
      <w:marLeft w:val="0"/>
      <w:marRight w:val="0"/>
      <w:marTop w:val="0"/>
      <w:marBottom w:val="0"/>
      <w:divBdr>
        <w:top w:val="none" w:sz="0" w:space="0" w:color="auto"/>
        <w:left w:val="none" w:sz="0" w:space="0" w:color="auto"/>
        <w:bottom w:val="none" w:sz="0" w:space="0" w:color="auto"/>
        <w:right w:val="none" w:sz="0" w:space="0" w:color="auto"/>
      </w:divBdr>
    </w:div>
    <w:div w:id="1193685304">
      <w:bodyDiv w:val="1"/>
      <w:marLeft w:val="0"/>
      <w:marRight w:val="0"/>
      <w:marTop w:val="0"/>
      <w:marBottom w:val="0"/>
      <w:divBdr>
        <w:top w:val="none" w:sz="0" w:space="0" w:color="auto"/>
        <w:left w:val="none" w:sz="0" w:space="0" w:color="auto"/>
        <w:bottom w:val="none" w:sz="0" w:space="0" w:color="auto"/>
        <w:right w:val="none" w:sz="0" w:space="0" w:color="auto"/>
      </w:divBdr>
    </w:div>
    <w:div w:id="1193688929">
      <w:bodyDiv w:val="1"/>
      <w:marLeft w:val="0"/>
      <w:marRight w:val="0"/>
      <w:marTop w:val="0"/>
      <w:marBottom w:val="0"/>
      <w:divBdr>
        <w:top w:val="none" w:sz="0" w:space="0" w:color="auto"/>
        <w:left w:val="none" w:sz="0" w:space="0" w:color="auto"/>
        <w:bottom w:val="none" w:sz="0" w:space="0" w:color="auto"/>
        <w:right w:val="none" w:sz="0" w:space="0" w:color="auto"/>
      </w:divBdr>
    </w:div>
    <w:div w:id="1193767960">
      <w:bodyDiv w:val="1"/>
      <w:marLeft w:val="0"/>
      <w:marRight w:val="0"/>
      <w:marTop w:val="0"/>
      <w:marBottom w:val="0"/>
      <w:divBdr>
        <w:top w:val="none" w:sz="0" w:space="0" w:color="auto"/>
        <w:left w:val="none" w:sz="0" w:space="0" w:color="auto"/>
        <w:bottom w:val="none" w:sz="0" w:space="0" w:color="auto"/>
        <w:right w:val="none" w:sz="0" w:space="0" w:color="auto"/>
      </w:divBdr>
    </w:div>
    <w:div w:id="1193804004">
      <w:bodyDiv w:val="1"/>
      <w:marLeft w:val="0"/>
      <w:marRight w:val="0"/>
      <w:marTop w:val="0"/>
      <w:marBottom w:val="0"/>
      <w:divBdr>
        <w:top w:val="none" w:sz="0" w:space="0" w:color="auto"/>
        <w:left w:val="none" w:sz="0" w:space="0" w:color="auto"/>
        <w:bottom w:val="none" w:sz="0" w:space="0" w:color="auto"/>
        <w:right w:val="none" w:sz="0" w:space="0" w:color="auto"/>
      </w:divBdr>
    </w:div>
    <w:div w:id="1193809376">
      <w:bodyDiv w:val="1"/>
      <w:marLeft w:val="0"/>
      <w:marRight w:val="0"/>
      <w:marTop w:val="0"/>
      <w:marBottom w:val="0"/>
      <w:divBdr>
        <w:top w:val="none" w:sz="0" w:space="0" w:color="auto"/>
        <w:left w:val="none" w:sz="0" w:space="0" w:color="auto"/>
        <w:bottom w:val="none" w:sz="0" w:space="0" w:color="auto"/>
        <w:right w:val="none" w:sz="0" w:space="0" w:color="auto"/>
      </w:divBdr>
    </w:div>
    <w:div w:id="1193956723">
      <w:bodyDiv w:val="1"/>
      <w:marLeft w:val="0"/>
      <w:marRight w:val="0"/>
      <w:marTop w:val="0"/>
      <w:marBottom w:val="0"/>
      <w:divBdr>
        <w:top w:val="none" w:sz="0" w:space="0" w:color="auto"/>
        <w:left w:val="none" w:sz="0" w:space="0" w:color="auto"/>
        <w:bottom w:val="none" w:sz="0" w:space="0" w:color="auto"/>
        <w:right w:val="none" w:sz="0" w:space="0" w:color="auto"/>
      </w:divBdr>
    </w:div>
    <w:div w:id="1194031053">
      <w:bodyDiv w:val="1"/>
      <w:marLeft w:val="0"/>
      <w:marRight w:val="0"/>
      <w:marTop w:val="0"/>
      <w:marBottom w:val="0"/>
      <w:divBdr>
        <w:top w:val="none" w:sz="0" w:space="0" w:color="auto"/>
        <w:left w:val="none" w:sz="0" w:space="0" w:color="auto"/>
        <w:bottom w:val="none" w:sz="0" w:space="0" w:color="auto"/>
        <w:right w:val="none" w:sz="0" w:space="0" w:color="auto"/>
      </w:divBdr>
    </w:div>
    <w:div w:id="1194077136">
      <w:bodyDiv w:val="1"/>
      <w:marLeft w:val="0"/>
      <w:marRight w:val="0"/>
      <w:marTop w:val="0"/>
      <w:marBottom w:val="0"/>
      <w:divBdr>
        <w:top w:val="none" w:sz="0" w:space="0" w:color="auto"/>
        <w:left w:val="none" w:sz="0" w:space="0" w:color="auto"/>
        <w:bottom w:val="none" w:sz="0" w:space="0" w:color="auto"/>
        <w:right w:val="none" w:sz="0" w:space="0" w:color="auto"/>
      </w:divBdr>
    </w:div>
    <w:div w:id="1194154064">
      <w:bodyDiv w:val="1"/>
      <w:marLeft w:val="0"/>
      <w:marRight w:val="0"/>
      <w:marTop w:val="0"/>
      <w:marBottom w:val="0"/>
      <w:divBdr>
        <w:top w:val="none" w:sz="0" w:space="0" w:color="auto"/>
        <w:left w:val="none" w:sz="0" w:space="0" w:color="auto"/>
        <w:bottom w:val="none" w:sz="0" w:space="0" w:color="auto"/>
        <w:right w:val="none" w:sz="0" w:space="0" w:color="auto"/>
      </w:divBdr>
    </w:div>
    <w:div w:id="1194197040">
      <w:bodyDiv w:val="1"/>
      <w:marLeft w:val="0"/>
      <w:marRight w:val="0"/>
      <w:marTop w:val="0"/>
      <w:marBottom w:val="0"/>
      <w:divBdr>
        <w:top w:val="none" w:sz="0" w:space="0" w:color="auto"/>
        <w:left w:val="none" w:sz="0" w:space="0" w:color="auto"/>
        <w:bottom w:val="none" w:sz="0" w:space="0" w:color="auto"/>
        <w:right w:val="none" w:sz="0" w:space="0" w:color="auto"/>
      </w:divBdr>
    </w:div>
    <w:div w:id="1194228252">
      <w:bodyDiv w:val="1"/>
      <w:marLeft w:val="0"/>
      <w:marRight w:val="0"/>
      <w:marTop w:val="0"/>
      <w:marBottom w:val="0"/>
      <w:divBdr>
        <w:top w:val="none" w:sz="0" w:space="0" w:color="auto"/>
        <w:left w:val="none" w:sz="0" w:space="0" w:color="auto"/>
        <w:bottom w:val="none" w:sz="0" w:space="0" w:color="auto"/>
        <w:right w:val="none" w:sz="0" w:space="0" w:color="auto"/>
      </w:divBdr>
    </w:div>
    <w:div w:id="1194268636">
      <w:bodyDiv w:val="1"/>
      <w:marLeft w:val="0"/>
      <w:marRight w:val="0"/>
      <w:marTop w:val="0"/>
      <w:marBottom w:val="0"/>
      <w:divBdr>
        <w:top w:val="none" w:sz="0" w:space="0" w:color="auto"/>
        <w:left w:val="none" w:sz="0" w:space="0" w:color="auto"/>
        <w:bottom w:val="none" w:sz="0" w:space="0" w:color="auto"/>
        <w:right w:val="none" w:sz="0" w:space="0" w:color="auto"/>
      </w:divBdr>
    </w:div>
    <w:div w:id="1194346450">
      <w:bodyDiv w:val="1"/>
      <w:marLeft w:val="0"/>
      <w:marRight w:val="0"/>
      <w:marTop w:val="0"/>
      <w:marBottom w:val="0"/>
      <w:divBdr>
        <w:top w:val="none" w:sz="0" w:space="0" w:color="auto"/>
        <w:left w:val="none" w:sz="0" w:space="0" w:color="auto"/>
        <w:bottom w:val="none" w:sz="0" w:space="0" w:color="auto"/>
        <w:right w:val="none" w:sz="0" w:space="0" w:color="auto"/>
      </w:divBdr>
    </w:div>
    <w:div w:id="1194463418">
      <w:bodyDiv w:val="1"/>
      <w:marLeft w:val="0"/>
      <w:marRight w:val="0"/>
      <w:marTop w:val="0"/>
      <w:marBottom w:val="0"/>
      <w:divBdr>
        <w:top w:val="none" w:sz="0" w:space="0" w:color="auto"/>
        <w:left w:val="none" w:sz="0" w:space="0" w:color="auto"/>
        <w:bottom w:val="none" w:sz="0" w:space="0" w:color="auto"/>
        <w:right w:val="none" w:sz="0" w:space="0" w:color="auto"/>
      </w:divBdr>
    </w:div>
    <w:div w:id="1194608815">
      <w:bodyDiv w:val="1"/>
      <w:marLeft w:val="0"/>
      <w:marRight w:val="0"/>
      <w:marTop w:val="0"/>
      <w:marBottom w:val="0"/>
      <w:divBdr>
        <w:top w:val="none" w:sz="0" w:space="0" w:color="auto"/>
        <w:left w:val="none" w:sz="0" w:space="0" w:color="auto"/>
        <w:bottom w:val="none" w:sz="0" w:space="0" w:color="auto"/>
        <w:right w:val="none" w:sz="0" w:space="0" w:color="auto"/>
      </w:divBdr>
    </w:div>
    <w:div w:id="1194609323">
      <w:bodyDiv w:val="1"/>
      <w:marLeft w:val="0"/>
      <w:marRight w:val="0"/>
      <w:marTop w:val="0"/>
      <w:marBottom w:val="0"/>
      <w:divBdr>
        <w:top w:val="none" w:sz="0" w:space="0" w:color="auto"/>
        <w:left w:val="none" w:sz="0" w:space="0" w:color="auto"/>
        <w:bottom w:val="none" w:sz="0" w:space="0" w:color="auto"/>
        <w:right w:val="none" w:sz="0" w:space="0" w:color="auto"/>
      </w:divBdr>
    </w:div>
    <w:div w:id="1194612385">
      <w:bodyDiv w:val="1"/>
      <w:marLeft w:val="0"/>
      <w:marRight w:val="0"/>
      <w:marTop w:val="0"/>
      <w:marBottom w:val="0"/>
      <w:divBdr>
        <w:top w:val="none" w:sz="0" w:space="0" w:color="auto"/>
        <w:left w:val="none" w:sz="0" w:space="0" w:color="auto"/>
        <w:bottom w:val="none" w:sz="0" w:space="0" w:color="auto"/>
        <w:right w:val="none" w:sz="0" w:space="0" w:color="auto"/>
      </w:divBdr>
    </w:div>
    <w:div w:id="1194614016">
      <w:bodyDiv w:val="1"/>
      <w:marLeft w:val="0"/>
      <w:marRight w:val="0"/>
      <w:marTop w:val="0"/>
      <w:marBottom w:val="0"/>
      <w:divBdr>
        <w:top w:val="none" w:sz="0" w:space="0" w:color="auto"/>
        <w:left w:val="none" w:sz="0" w:space="0" w:color="auto"/>
        <w:bottom w:val="none" w:sz="0" w:space="0" w:color="auto"/>
        <w:right w:val="none" w:sz="0" w:space="0" w:color="auto"/>
      </w:divBdr>
    </w:div>
    <w:div w:id="1194726421">
      <w:bodyDiv w:val="1"/>
      <w:marLeft w:val="0"/>
      <w:marRight w:val="0"/>
      <w:marTop w:val="0"/>
      <w:marBottom w:val="0"/>
      <w:divBdr>
        <w:top w:val="none" w:sz="0" w:space="0" w:color="auto"/>
        <w:left w:val="none" w:sz="0" w:space="0" w:color="auto"/>
        <w:bottom w:val="none" w:sz="0" w:space="0" w:color="auto"/>
        <w:right w:val="none" w:sz="0" w:space="0" w:color="auto"/>
      </w:divBdr>
    </w:div>
    <w:div w:id="1194878238">
      <w:bodyDiv w:val="1"/>
      <w:marLeft w:val="0"/>
      <w:marRight w:val="0"/>
      <w:marTop w:val="0"/>
      <w:marBottom w:val="0"/>
      <w:divBdr>
        <w:top w:val="none" w:sz="0" w:space="0" w:color="auto"/>
        <w:left w:val="none" w:sz="0" w:space="0" w:color="auto"/>
        <w:bottom w:val="none" w:sz="0" w:space="0" w:color="auto"/>
        <w:right w:val="none" w:sz="0" w:space="0" w:color="auto"/>
      </w:divBdr>
    </w:div>
    <w:div w:id="1194880646">
      <w:bodyDiv w:val="1"/>
      <w:marLeft w:val="0"/>
      <w:marRight w:val="0"/>
      <w:marTop w:val="0"/>
      <w:marBottom w:val="0"/>
      <w:divBdr>
        <w:top w:val="none" w:sz="0" w:space="0" w:color="auto"/>
        <w:left w:val="none" w:sz="0" w:space="0" w:color="auto"/>
        <w:bottom w:val="none" w:sz="0" w:space="0" w:color="auto"/>
        <w:right w:val="none" w:sz="0" w:space="0" w:color="auto"/>
      </w:divBdr>
    </w:div>
    <w:div w:id="1194928934">
      <w:bodyDiv w:val="1"/>
      <w:marLeft w:val="0"/>
      <w:marRight w:val="0"/>
      <w:marTop w:val="0"/>
      <w:marBottom w:val="0"/>
      <w:divBdr>
        <w:top w:val="none" w:sz="0" w:space="0" w:color="auto"/>
        <w:left w:val="none" w:sz="0" w:space="0" w:color="auto"/>
        <w:bottom w:val="none" w:sz="0" w:space="0" w:color="auto"/>
        <w:right w:val="none" w:sz="0" w:space="0" w:color="auto"/>
      </w:divBdr>
    </w:div>
    <w:div w:id="1194929194">
      <w:bodyDiv w:val="1"/>
      <w:marLeft w:val="0"/>
      <w:marRight w:val="0"/>
      <w:marTop w:val="0"/>
      <w:marBottom w:val="0"/>
      <w:divBdr>
        <w:top w:val="none" w:sz="0" w:space="0" w:color="auto"/>
        <w:left w:val="none" w:sz="0" w:space="0" w:color="auto"/>
        <w:bottom w:val="none" w:sz="0" w:space="0" w:color="auto"/>
        <w:right w:val="none" w:sz="0" w:space="0" w:color="auto"/>
      </w:divBdr>
    </w:div>
    <w:div w:id="1194996595">
      <w:bodyDiv w:val="1"/>
      <w:marLeft w:val="0"/>
      <w:marRight w:val="0"/>
      <w:marTop w:val="0"/>
      <w:marBottom w:val="0"/>
      <w:divBdr>
        <w:top w:val="none" w:sz="0" w:space="0" w:color="auto"/>
        <w:left w:val="none" w:sz="0" w:space="0" w:color="auto"/>
        <w:bottom w:val="none" w:sz="0" w:space="0" w:color="auto"/>
        <w:right w:val="none" w:sz="0" w:space="0" w:color="auto"/>
      </w:divBdr>
    </w:div>
    <w:div w:id="1195071889">
      <w:bodyDiv w:val="1"/>
      <w:marLeft w:val="0"/>
      <w:marRight w:val="0"/>
      <w:marTop w:val="0"/>
      <w:marBottom w:val="0"/>
      <w:divBdr>
        <w:top w:val="none" w:sz="0" w:space="0" w:color="auto"/>
        <w:left w:val="none" w:sz="0" w:space="0" w:color="auto"/>
        <w:bottom w:val="none" w:sz="0" w:space="0" w:color="auto"/>
        <w:right w:val="none" w:sz="0" w:space="0" w:color="auto"/>
      </w:divBdr>
    </w:div>
    <w:div w:id="1195382808">
      <w:bodyDiv w:val="1"/>
      <w:marLeft w:val="0"/>
      <w:marRight w:val="0"/>
      <w:marTop w:val="0"/>
      <w:marBottom w:val="0"/>
      <w:divBdr>
        <w:top w:val="none" w:sz="0" w:space="0" w:color="auto"/>
        <w:left w:val="none" w:sz="0" w:space="0" w:color="auto"/>
        <w:bottom w:val="none" w:sz="0" w:space="0" w:color="auto"/>
        <w:right w:val="none" w:sz="0" w:space="0" w:color="auto"/>
      </w:divBdr>
    </w:div>
    <w:div w:id="1195459017">
      <w:bodyDiv w:val="1"/>
      <w:marLeft w:val="0"/>
      <w:marRight w:val="0"/>
      <w:marTop w:val="0"/>
      <w:marBottom w:val="0"/>
      <w:divBdr>
        <w:top w:val="none" w:sz="0" w:space="0" w:color="auto"/>
        <w:left w:val="none" w:sz="0" w:space="0" w:color="auto"/>
        <w:bottom w:val="none" w:sz="0" w:space="0" w:color="auto"/>
        <w:right w:val="none" w:sz="0" w:space="0" w:color="auto"/>
      </w:divBdr>
    </w:div>
    <w:div w:id="1195459243">
      <w:bodyDiv w:val="1"/>
      <w:marLeft w:val="0"/>
      <w:marRight w:val="0"/>
      <w:marTop w:val="0"/>
      <w:marBottom w:val="0"/>
      <w:divBdr>
        <w:top w:val="none" w:sz="0" w:space="0" w:color="auto"/>
        <w:left w:val="none" w:sz="0" w:space="0" w:color="auto"/>
        <w:bottom w:val="none" w:sz="0" w:space="0" w:color="auto"/>
        <w:right w:val="none" w:sz="0" w:space="0" w:color="auto"/>
      </w:divBdr>
    </w:div>
    <w:div w:id="1195461437">
      <w:bodyDiv w:val="1"/>
      <w:marLeft w:val="0"/>
      <w:marRight w:val="0"/>
      <w:marTop w:val="0"/>
      <w:marBottom w:val="0"/>
      <w:divBdr>
        <w:top w:val="none" w:sz="0" w:space="0" w:color="auto"/>
        <w:left w:val="none" w:sz="0" w:space="0" w:color="auto"/>
        <w:bottom w:val="none" w:sz="0" w:space="0" w:color="auto"/>
        <w:right w:val="none" w:sz="0" w:space="0" w:color="auto"/>
      </w:divBdr>
    </w:div>
    <w:div w:id="1195462623">
      <w:bodyDiv w:val="1"/>
      <w:marLeft w:val="0"/>
      <w:marRight w:val="0"/>
      <w:marTop w:val="0"/>
      <w:marBottom w:val="0"/>
      <w:divBdr>
        <w:top w:val="none" w:sz="0" w:space="0" w:color="auto"/>
        <w:left w:val="none" w:sz="0" w:space="0" w:color="auto"/>
        <w:bottom w:val="none" w:sz="0" w:space="0" w:color="auto"/>
        <w:right w:val="none" w:sz="0" w:space="0" w:color="auto"/>
      </w:divBdr>
    </w:div>
    <w:div w:id="1195535358">
      <w:bodyDiv w:val="1"/>
      <w:marLeft w:val="0"/>
      <w:marRight w:val="0"/>
      <w:marTop w:val="0"/>
      <w:marBottom w:val="0"/>
      <w:divBdr>
        <w:top w:val="none" w:sz="0" w:space="0" w:color="auto"/>
        <w:left w:val="none" w:sz="0" w:space="0" w:color="auto"/>
        <w:bottom w:val="none" w:sz="0" w:space="0" w:color="auto"/>
        <w:right w:val="none" w:sz="0" w:space="0" w:color="auto"/>
      </w:divBdr>
    </w:div>
    <w:div w:id="1195537798">
      <w:bodyDiv w:val="1"/>
      <w:marLeft w:val="0"/>
      <w:marRight w:val="0"/>
      <w:marTop w:val="0"/>
      <w:marBottom w:val="0"/>
      <w:divBdr>
        <w:top w:val="none" w:sz="0" w:space="0" w:color="auto"/>
        <w:left w:val="none" w:sz="0" w:space="0" w:color="auto"/>
        <w:bottom w:val="none" w:sz="0" w:space="0" w:color="auto"/>
        <w:right w:val="none" w:sz="0" w:space="0" w:color="auto"/>
      </w:divBdr>
    </w:div>
    <w:div w:id="1195728425">
      <w:bodyDiv w:val="1"/>
      <w:marLeft w:val="0"/>
      <w:marRight w:val="0"/>
      <w:marTop w:val="0"/>
      <w:marBottom w:val="0"/>
      <w:divBdr>
        <w:top w:val="none" w:sz="0" w:space="0" w:color="auto"/>
        <w:left w:val="none" w:sz="0" w:space="0" w:color="auto"/>
        <w:bottom w:val="none" w:sz="0" w:space="0" w:color="auto"/>
        <w:right w:val="none" w:sz="0" w:space="0" w:color="auto"/>
      </w:divBdr>
    </w:div>
    <w:div w:id="1195731534">
      <w:bodyDiv w:val="1"/>
      <w:marLeft w:val="0"/>
      <w:marRight w:val="0"/>
      <w:marTop w:val="0"/>
      <w:marBottom w:val="0"/>
      <w:divBdr>
        <w:top w:val="none" w:sz="0" w:space="0" w:color="auto"/>
        <w:left w:val="none" w:sz="0" w:space="0" w:color="auto"/>
        <w:bottom w:val="none" w:sz="0" w:space="0" w:color="auto"/>
        <w:right w:val="none" w:sz="0" w:space="0" w:color="auto"/>
      </w:divBdr>
    </w:div>
    <w:div w:id="1195845173">
      <w:bodyDiv w:val="1"/>
      <w:marLeft w:val="0"/>
      <w:marRight w:val="0"/>
      <w:marTop w:val="0"/>
      <w:marBottom w:val="0"/>
      <w:divBdr>
        <w:top w:val="none" w:sz="0" w:space="0" w:color="auto"/>
        <w:left w:val="none" w:sz="0" w:space="0" w:color="auto"/>
        <w:bottom w:val="none" w:sz="0" w:space="0" w:color="auto"/>
        <w:right w:val="none" w:sz="0" w:space="0" w:color="auto"/>
      </w:divBdr>
    </w:div>
    <w:div w:id="1195920487">
      <w:bodyDiv w:val="1"/>
      <w:marLeft w:val="0"/>
      <w:marRight w:val="0"/>
      <w:marTop w:val="0"/>
      <w:marBottom w:val="0"/>
      <w:divBdr>
        <w:top w:val="none" w:sz="0" w:space="0" w:color="auto"/>
        <w:left w:val="none" w:sz="0" w:space="0" w:color="auto"/>
        <w:bottom w:val="none" w:sz="0" w:space="0" w:color="auto"/>
        <w:right w:val="none" w:sz="0" w:space="0" w:color="auto"/>
      </w:divBdr>
    </w:div>
    <w:div w:id="1196039368">
      <w:bodyDiv w:val="1"/>
      <w:marLeft w:val="0"/>
      <w:marRight w:val="0"/>
      <w:marTop w:val="0"/>
      <w:marBottom w:val="0"/>
      <w:divBdr>
        <w:top w:val="none" w:sz="0" w:space="0" w:color="auto"/>
        <w:left w:val="none" w:sz="0" w:space="0" w:color="auto"/>
        <w:bottom w:val="none" w:sz="0" w:space="0" w:color="auto"/>
        <w:right w:val="none" w:sz="0" w:space="0" w:color="auto"/>
      </w:divBdr>
    </w:div>
    <w:div w:id="1196235562">
      <w:bodyDiv w:val="1"/>
      <w:marLeft w:val="0"/>
      <w:marRight w:val="0"/>
      <w:marTop w:val="0"/>
      <w:marBottom w:val="0"/>
      <w:divBdr>
        <w:top w:val="none" w:sz="0" w:space="0" w:color="auto"/>
        <w:left w:val="none" w:sz="0" w:space="0" w:color="auto"/>
        <w:bottom w:val="none" w:sz="0" w:space="0" w:color="auto"/>
        <w:right w:val="none" w:sz="0" w:space="0" w:color="auto"/>
      </w:divBdr>
    </w:div>
    <w:div w:id="1196308130">
      <w:bodyDiv w:val="1"/>
      <w:marLeft w:val="0"/>
      <w:marRight w:val="0"/>
      <w:marTop w:val="0"/>
      <w:marBottom w:val="0"/>
      <w:divBdr>
        <w:top w:val="none" w:sz="0" w:space="0" w:color="auto"/>
        <w:left w:val="none" w:sz="0" w:space="0" w:color="auto"/>
        <w:bottom w:val="none" w:sz="0" w:space="0" w:color="auto"/>
        <w:right w:val="none" w:sz="0" w:space="0" w:color="auto"/>
      </w:divBdr>
    </w:div>
    <w:div w:id="1196385726">
      <w:bodyDiv w:val="1"/>
      <w:marLeft w:val="0"/>
      <w:marRight w:val="0"/>
      <w:marTop w:val="0"/>
      <w:marBottom w:val="0"/>
      <w:divBdr>
        <w:top w:val="none" w:sz="0" w:space="0" w:color="auto"/>
        <w:left w:val="none" w:sz="0" w:space="0" w:color="auto"/>
        <w:bottom w:val="none" w:sz="0" w:space="0" w:color="auto"/>
        <w:right w:val="none" w:sz="0" w:space="0" w:color="auto"/>
      </w:divBdr>
    </w:div>
    <w:div w:id="1196429555">
      <w:bodyDiv w:val="1"/>
      <w:marLeft w:val="0"/>
      <w:marRight w:val="0"/>
      <w:marTop w:val="0"/>
      <w:marBottom w:val="0"/>
      <w:divBdr>
        <w:top w:val="none" w:sz="0" w:space="0" w:color="auto"/>
        <w:left w:val="none" w:sz="0" w:space="0" w:color="auto"/>
        <w:bottom w:val="none" w:sz="0" w:space="0" w:color="auto"/>
        <w:right w:val="none" w:sz="0" w:space="0" w:color="auto"/>
      </w:divBdr>
    </w:div>
    <w:div w:id="1196695081">
      <w:bodyDiv w:val="1"/>
      <w:marLeft w:val="0"/>
      <w:marRight w:val="0"/>
      <w:marTop w:val="0"/>
      <w:marBottom w:val="0"/>
      <w:divBdr>
        <w:top w:val="none" w:sz="0" w:space="0" w:color="auto"/>
        <w:left w:val="none" w:sz="0" w:space="0" w:color="auto"/>
        <w:bottom w:val="none" w:sz="0" w:space="0" w:color="auto"/>
        <w:right w:val="none" w:sz="0" w:space="0" w:color="auto"/>
      </w:divBdr>
    </w:div>
    <w:div w:id="1196769948">
      <w:bodyDiv w:val="1"/>
      <w:marLeft w:val="0"/>
      <w:marRight w:val="0"/>
      <w:marTop w:val="0"/>
      <w:marBottom w:val="0"/>
      <w:divBdr>
        <w:top w:val="none" w:sz="0" w:space="0" w:color="auto"/>
        <w:left w:val="none" w:sz="0" w:space="0" w:color="auto"/>
        <w:bottom w:val="none" w:sz="0" w:space="0" w:color="auto"/>
        <w:right w:val="none" w:sz="0" w:space="0" w:color="auto"/>
      </w:divBdr>
    </w:div>
    <w:div w:id="1196845890">
      <w:bodyDiv w:val="1"/>
      <w:marLeft w:val="0"/>
      <w:marRight w:val="0"/>
      <w:marTop w:val="0"/>
      <w:marBottom w:val="0"/>
      <w:divBdr>
        <w:top w:val="none" w:sz="0" w:space="0" w:color="auto"/>
        <w:left w:val="none" w:sz="0" w:space="0" w:color="auto"/>
        <w:bottom w:val="none" w:sz="0" w:space="0" w:color="auto"/>
        <w:right w:val="none" w:sz="0" w:space="0" w:color="auto"/>
      </w:divBdr>
    </w:div>
    <w:div w:id="1196887011">
      <w:bodyDiv w:val="1"/>
      <w:marLeft w:val="0"/>
      <w:marRight w:val="0"/>
      <w:marTop w:val="0"/>
      <w:marBottom w:val="0"/>
      <w:divBdr>
        <w:top w:val="none" w:sz="0" w:space="0" w:color="auto"/>
        <w:left w:val="none" w:sz="0" w:space="0" w:color="auto"/>
        <w:bottom w:val="none" w:sz="0" w:space="0" w:color="auto"/>
        <w:right w:val="none" w:sz="0" w:space="0" w:color="auto"/>
      </w:divBdr>
    </w:div>
    <w:div w:id="1197231039">
      <w:bodyDiv w:val="1"/>
      <w:marLeft w:val="0"/>
      <w:marRight w:val="0"/>
      <w:marTop w:val="0"/>
      <w:marBottom w:val="0"/>
      <w:divBdr>
        <w:top w:val="none" w:sz="0" w:space="0" w:color="auto"/>
        <w:left w:val="none" w:sz="0" w:space="0" w:color="auto"/>
        <w:bottom w:val="none" w:sz="0" w:space="0" w:color="auto"/>
        <w:right w:val="none" w:sz="0" w:space="0" w:color="auto"/>
      </w:divBdr>
    </w:div>
    <w:div w:id="1197277780">
      <w:bodyDiv w:val="1"/>
      <w:marLeft w:val="0"/>
      <w:marRight w:val="0"/>
      <w:marTop w:val="0"/>
      <w:marBottom w:val="0"/>
      <w:divBdr>
        <w:top w:val="none" w:sz="0" w:space="0" w:color="auto"/>
        <w:left w:val="none" w:sz="0" w:space="0" w:color="auto"/>
        <w:bottom w:val="none" w:sz="0" w:space="0" w:color="auto"/>
        <w:right w:val="none" w:sz="0" w:space="0" w:color="auto"/>
      </w:divBdr>
    </w:div>
    <w:div w:id="1197306293">
      <w:bodyDiv w:val="1"/>
      <w:marLeft w:val="0"/>
      <w:marRight w:val="0"/>
      <w:marTop w:val="0"/>
      <w:marBottom w:val="0"/>
      <w:divBdr>
        <w:top w:val="none" w:sz="0" w:space="0" w:color="auto"/>
        <w:left w:val="none" w:sz="0" w:space="0" w:color="auto"/>
        <w:bottom w:val="none" w:sz="0" w:space="0" w:color="auto"/>
        <w:right w:val="none" w:sz="0" w:space="0" w:color="auto"/>
      </w:divBdr>
    </w:div>
    <w:div w:id="1197423558">
      <w:bodyDiv w:val="1"/>
      <w:marLeft w:val="0"/>
      <w:marRight w:val="0"/>
      <w:marTop w:val="0"/>
      <w:marBottom w:val="0"/>
      <w:divBdr>
        <w:top w:val="none" w:sz="0" w:space="0" w:color="auto"/>
        <w:left w:val="none" w:sz="0" w:space="0" w:color="auto"/>
        <w:bottom w:val="none" w:sz="0" w:space="0" w:color="auto"/>
        <w:right w:val="none" w:sz="0" w:space="0" w:color="auto"/>
      </w:divBdr>
    </w:div>
    <w:div w:id="1197542195">
      <w:bodyDiv w:val="1"/>
      <w:marLeft w:val="0"/>
      <w:marRight w:val="0"/>
      <w:marTop w:val="0"/>
      <w:marBottom w:val="0"/>
      <w:divBdr>
        <w:top w:val="none" w:sz="0" w:space="0" w:color="auto"/>
        <w:left w:val="none" w:sz="0" w:space="0" w:color="auto"/>
        <w:bottom w:val="none" w:sz="0" w:space="0" w:color="auto"/>
        <w:right w:val="none" w:sz="0" w:space="0" w:color="auto"/>
      </w:divBdr>
    </w:div>
    <w:div w:id="1197767584">
      <w:bodyDiv w:val="1"/>
      <w:marLeft w:val="0"/>
      <w:marRight w:val="0"/>
      <w:marTop w:val="0"/>
      <w:marBottom w:val="0"/>
      <w:divBdr>
        <w:top w:val="none" w:sz="0" w:space="0" w:color="auto"/>
        <w:left w:val="none" w:sz="0" w:space="0" w:color="auto"/>
        <w:bottom w:val="none" w:sz="0" w:space="0" w:color="auto"/>
        <w:right w:val="none" w:sz="0" w:space="0" w:color="auto"/>
      </w:divBdr>
    </w:div>
    <w:div w:id="1197811642">
      <w:bodyDiv w:val="1"/>
      <w:marLeft w:val="0"/>
      <w:marRight w:val="0"/>
      <w:marTop w:val="0"/>
      <w:marBottom w:val="0"/>
      <w:divBdr>
        <w:top w:val="none" w:sz="0" w:space="0" w:color="auto"/>
        <w:left w:val="none" w:sz="0" w:space="0" w:color="auto"/>
        <w:bottom w:val="none" w:sz="0" w:space="0" w:color="auto"/>
        <w:right w:val="none" w:sz="0" w:space="0" w:color="auto"/>
      </w:divBdr>
    </w:div>
    <w:div w:id="1197889567">
      <w:bodyDiv w:val="1"/>
      <w:marLeft w:val="0"/>
      <w:marRight w:val="0"/>
      <w:marTop w:val="0"/>
      <w:marBottom w:val="0"/>
      <w:divBdr>
        <w:top w:val="none" w:sz="0" w:space="0" w:color="auto"/>
        <w:left w:val="none" w:sz="0" w:space="0" w:color="auto"/>
        <w:bottom w:val="none" w:sz="0" w:space="0" w:color="auto"/>
        <w:right w:val="none" w:sz="0" w:space="0" w:color="auto"/>
      </w:divBdr>
    </w:div>
    <w:div w:id="1198081900">
      <w:bodyDiv w:val="1"/>
      <w:marLeft w:val="0"/>
      <w:marRight w:val="0"/>
      <w:marTop w:val="0"/>
      <w:marBottom w:val="0"/>
      <w:divBdr>
        <w:top w:val="none" w:sz="0" w:space="0" w:color="auto"/>
        <w:left w:val="none" w:sz="0" w:space="0" w:color="auto"/>
        <w:bottom w:val="none" w:sz="0" w:space="0" w:color="auto"/>
        <w:right w:val="none" w:sz="0" w:space="0" w:color="auto"/>
      </w:divBdr>
    </w:div>
    <w:div w:id="1198084060">
      <w:bodyDiv w:val="1"/>
      <w:marLeft w:val="0"/>
      <w:marRight w:val="0"/>
      <w:marTop w:val="0"/>
      <w:marBottom w:val="0"/>
      <w:divBdr>
        <w:top w:val="none" w:sz="0" w:space="0" w:color="auto"/>
        <w:left w:val="none" w:sz="0" w:space="0" w:color="auto"/>
        <w:bottom w:val="none" w:sz="0" w:space="0" w:color="auto"/>
        <w:right w:val="none" w:sz="0" w:space="0" w:color="auto"/>
      </w:divBdr>
    </w:div>
    <w:div w:id="1198159082">
      <w:bodyDiv w:val="1"/>
      <w:marLeft w:val="0"/>
      <w:marRight w:val="0"/>
      <w:marTop w:val="0"/>
      <w:marBottom w:val="0"/>
      <w:divBdr>
        <w:top w:val="none" w:sz="0" w:space="0" w:color="auto"/>
        <w:left w:val="none" w:sz="0" w:space="0" w:color="auto"/>
        <w:bottom w:val="none" w:sz="0" w:space="0" w:color="auto"/>
        <w:right w:val="none" w:sz="0" w:space="0" w:color="auto"/>
      </w:divBdr>
    </w:div>
    <w:div w:id="1198159800">
      <w:bodyDiv w:val="1"/>
      <w:marLeft w:val="0"/>
      <w:marRight w:val="0"/>
      <w:marTop w:val="0"/>
      <w:marBottom w:val="0"/>
      <w:divBdr>
        <w:top w:val="none" w:sz="0" w:space="0" w:color="auto"/>
        <w:left w:val="none" w:sz="0" w:space="0" w:color="auto"/>
        <w:bottom w:val="none" w:sz="0" w:space="0" w:color="auto"/>
        <w:right w:val="none" w:sz="0" w:space="0" w:color="auto"/>
      </w:divBdr>
    </w:div>
    <w:div w:id="1198200897">
      <w:bodyDiv w:val="1"/>
      <w:marLeft w:val="0"/>
      <w:marRight w:val="0"/>
      <w:marTop w:val="0"/>
      <w:marBottom w:val="0"/>
      <w:divBdr>
        <w:top w:val="none" w:sz="0" w:space="0" w:color="auto"/>
        <w:left w:val="none" w:sz="0" w:space="0" w:color="auto"/>
        <w:bottom w:val="none" w:sz="0" w:space="0" w:color="auto"/>
        <w:right w:val="none" w:sz="0" w:space="0" w:color="auto"/>
      </w:divBdr>
    </w:div>
    <w:div w:id="1198203293">
      <w:bodyDiv w:val="1"/>
      <w:marLeft w:val="0"/>
      <w:marRight w:val="0"/>
      <w:marTop w:val="0"/>
      <w:marBottom w:val="0"/>
      <w:divBdr>
        <w:top w:val="none" w:sz="0" w:space="0" w:color="auto"/>
        <w:left w:val="none" w:sz="0" w:space="0" w:color="auto"/>
        <w:bottom w:val="none" w:sz="0" w:space="0" w:color="auto"/>
        <w:right w:val="none" w:sz="0" w:space="0" w:color="auto"/>
      </w:divBdr>
    </w:div>
    <w:div w:id="1198271226">
      <w:bodyDiv w:val="1"/>
      <w:marLeft w:val="0"/>
      <w:marRight w:val="0"/>
      <w:marTop w:val="0"/>
      <w:marBottom w:val="0"/>
      <w:divBdr>
        <w:top w:val="none" w:sz="0" w:space="0" w:color="auto"/>
        <w:left w:val="none" w:sz="0" w:space="0" w:color="auto"/>
        <w:bottom w:val="none" w:sz="0" w:space="0" w:color="auto"/>
        <w:right w:val="none" w:sz="0" w:space="0" w:color="auto"/>
      </w:divBdr>
    </w:div>
    <w:div w:id="1198276078">
      <w:bodyDiv w:val="1"/>
      <w:marLeft w:val="0"/>
      <w:marRight w:val="0"/>
      <w:marTop w:val="0"/>
      <w:marBottom w:val="0"/>
      <w:divBdr>
        <w:top w:val="none" w:sz="0" w:space="0" w:color="auto"/>
        <w:left w:val="none" w:sz="0" w:space="0" w:color="auto"/>
        <w:bottom w:val="none" w:sz="0" w:space="0" w:color="auto"/>
        <w:right w:val="none" w:sz="0" w:space="0" w:color="auto"/>
      </w:divBdr>
    </w:div>
    <w:div w:id="1198276190">
      <w:bodyDiv w:val="1"/>
      <w:marLeft w:val="0"/>
      <w:marRight w:val="0"/>
      <w:marTop w:val="0"/>
      <w:marBottom w:val="0"/>
      <w:divBdr>
        <w:top w:val="none" w:sz="0" w:space="0" w:color="auto"/>
        <w:left w:val="none" w:sz="0" w:space="0" w:color="auto"/>
        <w:bottom w:val="none" w:sz="0" w:space="0" w:color="auto"/>
        <w:right w:val="none" w:sz="0" w:space="0" w:color="auto"/>
      </w:divBdr>
    </w:div>
    <w:div w:id="1198279549">
      <w:bodyDiv w:val="1"/>
      <w:marLeft w:val="0"/>
      <w:marRight w:val="0"/>
      <w:marTop w:val="0"/>
      <w:marBottom w:val="0"/>
      <w:divBdr>
        <w:top w:val="none" w:sz="0" w:space="0" w:color="auto"/>
        <w:left w:val="none" w:sz="0" w:space="0" w:color="auto"/>
        <w:bottom w:val="none" w:sz="0" w:space="0" w:color="auto"/>
        <w:right w:val="none" w:sz="0" w:space="0" w:color="auto"/>
      </w:divBdr>
    </w:div>
    <w:div w:id="1198348680">
      <w:bodyDiv w:val="1"/>
      <w:marLeft w:val="0"/>
      <w:marRight w:val="0"/>
      <w:marTop w:val="0"/>
      <w:marBottom w:val="0"/>
      <w:divBdr>
        <w:top w:val="none" w:sz="0" w:space="0" w:color="auto"/>
        <w:left w:val="none" w:sz="0" w:space="0" w:color="auto"/>
        <w:bottom w:val="none" w:sz="0" w:space="0" w:color="auto"/>
        <w:right w:val="none" w:sz="0" w:space="0" w:color="auto"/>
      </w:divBdr>
    </w:div>
    <w:div w:id="1198355140">
      <w:bodyDiv w:val="1"/>
      <w:marLeft w:val="0"/>
      <w:marRight w:val="0"/>
      <w:marTop w:val="0"/>
      <w:marBottom w:val="0"/>
      <w:divBdr>
        <w:top w:val="none" w:sz="0" w:space="0" w:color="auto"/>
        <w:left w:val="none" w:sz="0" w:space="0" w:color="auto"/>
        <w:bottom w:val="none" w:sz="0" w:space="0" w:color="auto"/>
        <w:right w:val="none" w:sz="0" w:space="0" w:color="auto"/>
      </w:divBdr>
    </w:div>
    <w:div w:id="1198355676">
      <w:bodyDiv w:val="1"/>
      <w:marLeft w:val="0"/>
      <w:marRight w:val="0"/>
      <w:marTop w:val="0"/>
      <w:marBottom w:val="0"/>
      <w:divBdr>
        <w:top w:val="none" w:sz="0" w:space="0" w:color="auto"/>
        <w:left w:val="none" w:sz="0" w:space="0" w:color="auto"/>
        <w:bottom w:val="none" w:sz="0" w:space="0" w:color="auto"/>
        <w:right w:val="none" w:sz="0" w:space="0" w:color="auto"/>
      </w:divBdr>
    </w:div>
    <w:div w:id="1198394228">
      <w:bodyDiv w:val="1"/>
      <w:marLeft w:val="0"/>
      <w:marRight w:val="0"/>
      <w:marTop w:val="0"/>
      <w:marBottom w:val="0"/>
      <w:divBdr>
        <w:top w:val="none" w:sz="0" w:space="0" w:color="auto"/>
        <w:left w:val="none" w:sz="0" w:space="0" w:color="auto"/>
        <w:bottom w:val="none" w:sz="0" w:space="0" w:color="auto"/>
        <w:right w:val="none" w:sz="0" w:space="0" w:color="auto"/>
      </w:divBdr>
    </w:div>
    <w:div w:id="1198397342">
      <w:bodyDiv w:val="1"/>
      <w:marLeft w:val="0"/>
      <w:marRight w:val="0"/>
      <w:marTop w:val="0"/>
      <w:marBottom w:val="0"/>
      <w:divBdr>
        <w:top w:val="none" w:sz="0" w:space="0" w:color="auto"/>
        <w:left w:val="none" w:sz="0" w:space="0" w:color="auto"/>
        <w:bottom w:val="none" w:sz="0" w:space="0" w:color="auto"/>
        <w:right w:val="none" w:sz="0" w:space="0" w:color="auto"/>
      </w:divBdr>
    </w:div>
    <w:div w:id="1198468047">
      <w:bodyDiv w:val="1"/>
      <w:marLeft w:val="0"/>
      <w:marRight w:val="0"/>
      <w:marTop w:val="0"/>
      <w:marBottom w:val="0"/>
      <w:divBdr>
        <w:top w:val="none" w:sz="0" w:space="0" w:color="auto"/>
        <w:left w:val="none" w:sz="0" w:space="0" w:color="auto"/>
        <w:bottom w:val="none" w:sz="0" w:space="0" w:color="auto"/>
        <w:right w:val="none" w:sz="0" w:space="0" w:color="auto"/>
      </w:divBdr>
    </w:div>
    <w:div w:id="1198541681">
      <w:bodyDiv w:val="1"/>
      <w:marLeft w:val="0"/>
      <w:marRight w:val="0"/>
      <w:marTop w:val="0"/>
      <w:marBottom w:val="0"/>
      <w:divBdr>
        <w:top w:val="none" w:sz="0" w:space="0" w:color="auto"/>
        <w:left w:val="none" w:sz="0" w:space="0" w:color="auto"/>
        <w:bottom w:val="none" w:sz="0" w:space="0" w:color="auto"/>
        <w:right w:val="none" w:sz="0" w:space="0" w:color="auto"/>
      </w:divBdr>
    </w:div>
    <w:div w:id="1198546887">
      <w:bodyDiv w:val="1"/>
      <w:marLeft w:val="0"/>
      <w:marRight w:val="0"/>
      <w:marTop w:val="0"/>
      <w:marBottom w:val="0"/>
      <w:divBdr>
        <w:top w:val="none" w:sz="0" w:space="0" w:color="auto"/>
        <w:left w:val="none" w:sz="0" w:space="0" w:color="auto"/>
        <w:bottom w:val="none" w:sz="0" w:space="0" w:color="auto"/>
        <w:right w:val="none" w:sz="0" w:space="0" w:color="auto"/>
      </w:divBdr>
    </w:div>
    <w:div w:id="1198620051">
      <w:bodyDiv w:val="1"/>
      <w:marLeft w:val="0"/>
      <w:marRight w:val="0"/>
      <w:marTop w:val="0"/>
      <w:marBottom w:val="0"/>
      <w:divBdr>
        <w:top w:val="none" w:sz="0" w:space="0" w:color="auto"/>
        <w:left w:val="none" w:sz="0" w:space="0" w:color="auto"/>
        <w:bottom w:val="none" w:sz="0" w:space="0" w:color="auto"/>
        <w:right w:val="none" w:sz="0" w:space="0" w:color="auto"/>
      </w:divBdr>
    </w:div>
    <w:div w:id="1198662383">
      <w:bodyDiv w:val="1"/>
      <w:marLeft w:val="0"/>
      <w:marRight w:val="0"/>
      <w:marTop w:val="0"/>
      <w:marBottom w:val="0"/>
      <w:divBdr>
        <w:top w:val="none" w:sz="0" w:space="0" w:color="auto"/>
        <w:left w:val="none" w:sz="0" w:space="0" w:color="auto"/>
        <w:bottom w:val="none" w:sz="0" w:space="0" w:color="auto"/>
        <w:right w:val="none" w:sz="0" w:space="0" w:color="auto"/>
      </w:divBdr>
    </w:div>
    <w:div w:id="1198665984">
      <w:bodyDiv w:val="1"/>
      <w:marLeft w:val="0"/>
      <w:marRight w:val="0"/>
      <w:marTop w:val="0"/>
      <w:marBottom w:val="0"/>
      <w:divBdr>
        <w:top w:val="none" w:sz="0" w:space="0" w:color="auto"/>
        <w:left w:val="none" w:sz="0" w:space="0" w:color="auto"/>
        <w:bottom w:val="none" w:sz="0" w:space="0" w:color="auto"/>
        <w:right w:val="none" w:sz="0" w:space="0" w:color="auto"/>
      </w:divBdr>
    </w:div>
    <w:div w:id="1198933278">
      <w:bodyDiv w:val="1"/>
      <w:marLeft w:val="0"/>
      <w:marRight w:val="0"/>
      <w:marTop w:val="0"/>
      <w:marBottom w:val="0"/>
      <w:divBdr>
        <w:top w:val="none" w:sz="0" w:space="0" w:color="auto"/>
        <w:left w:val="none" w:sz="0" w:space="0" w:color="auto"/>
        <w:bottom w:val="none" w:sz="0" w:space="0" w:color="auto"/>
        <w:right w:val="none" w:sz="0" w:space="0" w:color="auto"/>
      </w:divBdr>
    </w:div>
    <w:div w:id="1199120577">
      <w:bodyDiv w:val="1"/>
      <w:marLeft w:val="0"/>
      <w:marRight w:val="0"/>
      <w:marTop w:val="0"/>
      <w:marBottom w:val="0"/>
      <w:divBdr>
        <w:top w:val="none" w:sz="0" w:space="0" w:color="auto"/>
        <w:left w:val="none" w:sz="0" w:space="0" w:color="auto"/>
        <w:bottom w:val="none" w:sz="0" w:space="0" w:color="auto"/>
        <w:right w:val="none" w:sz="0" w:space="0" w:color="auto"/>
      </w:divBdr>
    </w:div>
    <w:div w:id="1199126088">
      <w:bodyDiv w:val="1"/>
      <w:marLeft w:val="0"/>
      <w:marRight w:val="0"/>
      <w:marTop w:val="0"/>
      <w:marBottom w:val="0"/>
      <w:divBdr>
        <w:top w:val="none" w:sz="0" w:space="0" w:color="auto"/>
        <w:left w:val="none" w:sz="0" w:space="0" w:color="auto"/>
        <w:bottom w:val="none" w:sz="0" w:space="0" w:color="auto"/>
        <w:right w:val="none" w:sz="0" w:space="0" w:color="auto"/>
      </w:divBdr>
    </w:div>
    <w:div w:id="1199126493">
      <w:bodyDiv w:val="1"/>
      <w:marLeft w:val="0"/>
      <w:marRight w:val="0"/>
      <w:marTop w:val="0"/>
      <w:marBottom w:val="0"/>
      <w:divBdr>
        <w:top w:val="none" w:sz="0" w:space="0" w:color="auto"/>
        <w:left w:val="none" w:sz="0" w:space="0" w:color="auto"/>
        <w:bottom w:val="none" w:sz="0" w:space="0" w:color="auto"/>
        <w:right w:val="none" w:sz="0" w:space="0" w:color="auto"/>
      </w:divBdr>
    </w:div>
    <w:div w:id="1199201815">
      <w:bodyDiv w:val="1"/>
      <w:marLeft w:val="0"/>
      <w:marRight w:val="0"/>
      <w:marTop w:val="0"/>
      <w:marBottom w:val="0"/>
      <w:divBdr>
        <w:top w:val="none" w:sz="0" w:space="0" w:color="auto"/>
        <w:left w:val="none" w:sz="0" w:space="0" w:color="auto"/>
        <w:bottom w:val="none" w:sz="0" w:space="0" w:color="auto"/>
        <w:right w:val="none" w:sz="0" w:space="0" w:color="auto"/>
      </w:divBdr>
    </w:div>
    <w:div w:id="1199274700">
      <w:bodyDiv w:val="1"/>
      <w:marLeft w:val="0"/>
      <w:marRight w:val="0"/>
      <w:marTop w:val="0"/>
      <w:marBottom w:val="0"/>
      <w:divBdr>
        <w:top w:val="none" w:sz="0" w:space="0" w:color="auto"/>
        <w:left w:val="none" w:sz="0" w:space="0" w:color="auto"/>
        <w:bottom w:val="none" w:sz="0" w:space="0" w:color="auto"/>
        <w:right w:val="none" w:sz="0" w:space="0" w:color="auto"/>
      </w:divBdr>
    </w:div>
    <w:div w:id="1199316484">
      <w:bodyDiv w:val="1"/>
      <w:marLeft w:val="0"/>
      <w:marRight w:val="0"/>
      <w:marTop w:val="0"/>
      <w:marBottom w:val="0"/>
      <w:divBdr>
        <w:top w:val="none" w:sz="0" w:space="0" w:color="auto"/>
        <w:left w:val="none" w:sz="0" w:space="0" w:color="auto"/>
        <w:bottom w:val="none" w:sz="0" w:space="0" w:color="auto"/>
        <w:right w:val="none" w:sz="0" w:space="0" w:color="auto"/>
      </w:divBdr>
    </w:div>
    <w:div w:id="1199322528">
      <w:bodyDiv w:val="1"/>
      <w:marLeft w:val="0"/>
      <w:marRight w:val="0"/>
      <w:marTop w:val="0"/>
      <w:marBottom w:val="0"/>
      <w:divBdr>
        <w:top w:val="none" w:sz="0" w:space="0" w:color="auto"/>
        <w:left w:val="none" w:sz="0" w:space="0" w:color="auto"/>
        <w:bottom w:val="none" w:sz="0" w:space="0" w:color="auto"/>
        <w:right w:val="none" w:sz="0" w:space="0" w:color="auto"/>
      </w:divBdr>
    </w:div>
    <w:div w:id="1199469650">
      <w:bodyDiv w:val="1"/>
      <w:marLeft w:val="0"/>
      <w:marRight w:val="0"/>
      <w:marTop w:val="0"/>
      <w:marBottom w:val="0"/>
      <w:divBdr>
        <w:top w:val="none" w:sz="0" w:space="0" w:color="auto"/>
        <w:left w:val="none" w:sz="0" w:space="0" w:color="auto"/>
        <w:bottom w:val="none" w:sz="0" w:space="0" w:color="auto"/>
        <w:right w:val="none" w:sz="0" w:space="0" w:color="auto"/>
      </w:divBdr>
    </w:div>
    <w:div w:id="1199513704">
      <w:bodyDiv w:val="1"/>
      <w:marLeft w:val="0"/>
      <w:marRight w:val="0"/>
      <w:marTop w:val="0"/>
      <w:marBottom w:val="0"/>
      <w:divBdr>
        <w:top w:val="none" w:sz="0" w:space="0" w:color="auto"/>
        <w:left w:val="none" w:sz="0" w:space="0" w:color="auto"/>
        <w:bottom w:val="none" w:sz="0" w:space="0" w:color="auto"/>
        <w:right w:val="none" w:sz="0" w:space="0" w:color="auto"/>
      </w:divBdr>
    </w:div>
    <w:div w:id="1199583658">
      <w:bodyDiv w:val="1"/>
      <w:marLeft w:val="0"/>
      <w:marRight w:val="0"/>
      <w:marTop w:val="0"/>
      <w:marBottom w:val="0"/>
      <w:divBdr>
        <w:top w:val="none" w:sz="0" w:space="0" w:color="auto"/>
        <w:left w:val="none" w:sz="0" w:space="0" w:color="auto"/>
        <w:bottom w:val="none" w:sz="0" w:space="0" w:color="auto"/>
        <w:right w:val="none" w:sz="0" w:space="0" w:color="auto"/>
      </w:divBdr>
    </w:div>
    <w:div w:id="1199588064">
      <w:bodyDiv w:val="1"/>
      <w:marLeft w:val="0"/>
      <w:marRight w:val="0"/>
      <w:marTop w:val="0"/>
      <w:marBottom w:val="0"/>
      <w:divBdr>
        <w:top w:val="none" w:sz="0" w:space="0" w:color="auto"/>
        <w:left w:val="none" w:sz="0" w:space="0" w:color="auto"/>
        <w:bottom w:val="none" w:sz="0" w:space="0" w:color="auto"/>
        <w:right w:val="none" w:sz="0" w:space="0" w:color="auto"/>
      </w:divBdr>
    </w:div>
    <w:div w:id="1199666789">
      <w:bodyDiv w:val="1"/>
      <w:marLeft w:val="0"/>
      <w:marRight w:val="0"/>
      <w:marTop w:val="0"/>
      <w:marBottom w:val="0"/>
      <w:divBdr>
        <w:top w:val="none" w:sz="0" w:space="0" w:color="auto"/>
        <w:left w:val="none" w:sz="0" w:space="0" w:color="auto"/>
        <w:bottom w:val="none" w:sz="0" w:space="0" w:color="auto"/>
        <w:right w:val="none" w:sz="0" w:space="0" w:color="auto"/>
      </w:divBdr>
    </w:div>
    <w:div w:id="1199702499">
      <w:bodyDiv w:val="1"/>
      <w:marLeft w:val="0"/>
      <w:marRight w:val="0"/>
      <w:marTop w:val="0"/>
      <w:marBottom w:val="0"/>
      <w:divBdr>
        <w:top w:val="none" w:sz="0" w:space="0" w:color="auto"/>
        <w:left w:val="none" w:sz="0" w:space="0" w:color="auto"/>
        <w:bottom w:val="none" w:sz="0" w:space="0" w:color="auto"/>
        <w:right w:val="none" w:sz="0" w:space="0" w:color="auto"/>
      </w:divBdr>
    </w:div>
    <w:div w:id="1199706547">
      <w:bodyDiv w:val="1"/>
      <w:marLeft w:val="0"/>
      <w:marRight w:val="0"/>
      <w:marTop w:val="0"/>
      <w:marBottom w:val="0"/>
      <w:divBdr>
        <w:top w:val="none" w:sz="0" w:space="0" w:color="auto"/>
        <w:left w:val="none" w:sz="0" w:space="0" w:color="auto"/>
        <w:bottom w:val="none" w:sz="0" w:space="0" w:color="auto"/>
        <w:right w:val="none" w:sz="0" w:space="0" w:color="auto"/>
      </w:divBdr>
    </w:div>
    <w:div w:id="1199930310">
      <w:bodyDiv w:val="1"/>
      <w:marLeft w:val="0"/>
      <w:marRight w:val="0"/>
      <w:marTop w:val="0"/>
      <w:marBottom w:val="0"/>
      <w:divBdr>
        <w:top w:val="none" w:sz="0" w:space="0" w:color="auto"/>
        <w:left w:val="none" w:sz="0" w:space="0" w:color="auto"/>
        <w:bottom w:val="none" w:sz="0" w:space="0" w:color="auto"/>
        <w:right w:val="none" w:sz="0" w:space="0" w:color="auto"/>
      </w:divBdr>
    </w:div>
    <w:div w:id="1200044448">
      <w:bodyDiv w:val="1"/>
      <w:marLeft w:val="0"/>
      <w:marRight w:val="0"/>
      <w:marTop w:val="0"/>
      <w:marBottom w:val="0"/>
      <w:divBdr>
        <w:top w:val="none" w:sz="0" w:space="0" w:color="auto"/>
        <w:left w:val="none" w:sz="0" w:space="0" w:color="auto"/>
        <w:bottom w:val="none" w:sz="0" w:space="0" w:color="auto"/>
        <w:right w:val="none" w:sz="0" w:space="0" w:color="auto"/>
      </w:divBdr>
    </w:div>
    <w:div w:id="1200046359">
      <w:bodyDiv w:val="1"/>
      <w:marLeft w:val="0"/>
      <w:marRight w:val="0"/>
      <w:marTop w:val="0"/>
      <w:marBottom w:val="0"/>
      <w:divBdr>
        <w:top w:val="none" w:sz="0" w:space="0" w:color="auto"/>
        <w:left w:val="none" w:sz="0" w:space="0" w:color="auto"/>
        <w:bottom w:val="none" w:sz="0" w:space="0" w:color="auto"/>
        <w:right w:val="none" w:sz="0" w:space="0" w:color="auto"/>
      </w:divBdr>
    </w:div>
    <w:div w:id="1200049184">
      <w:bodyDiv w:val="1"/>
      <w:marLeft w:val="0"/>
      <w:marRight w:val="0"/>
      <w:marTop w:val="0"/>
      <w:marBottom w:val="0"/>
      <w:divBdr>
        <w:top w:val="none" w:sz="0" w:space="0" w:color="auto"/>
        <w:left w:val="none" w:sz="0" w:space="0" w:color="auto"/>
        <w:bottom w:val="none" w:sz="0" w:space="0" w:color="auto"/>
        <w:right w:val="none" w:sz="0" w:space="0" w:color="auto"/>
      </w:divBdr>
    </w:div>
    <w:div w:id="1200095989">
      <w:bodyDiv w:val="1"/>
      <w:marLeft w:val="0"/>
      <w:marRight w:val="0"/>
      <w:marTop w:val="0"/>
      <w:marBottom w:val="0"/>
      <w:divBdr>
        <w:top w:val="none" w:sz="0" w:space="0" w:color="auto"/>
        <w:left w:val="none" w:sz="0" w:space="0" w:color="auto"/>
        <w:bottom w:val="none" w:sz="0" w:space="0" w:color="auto"/>
        <w:right w:val="none" w:sz="0" w:space="0" w:color="auto"/>
      </w:divBdr>
    </w:div>
    <w:div w:id="1200166229">
      <w:bodyDiv w:val="1"/>
      <w:marLeft w:val="0"/>
      <w:marRight w:val="0"/>
      <w:marTop w:val="0"/>
      <w:marBottom w:val="0"/>
      <w:divBdr>
        <w:top w:val="none" w:sz="0" w:space="0" w:color="auto"/>
        <w:left w:val="none" w:sz="0" w:space="0" w:color="auto"/>
        <w:bottom w:val="none" w:sz="0" w:space="0" w:color="auto"/>
        <w:right w:val="none" w:sz="0" w:space="0" w:color="auto"/>
      </w:divBdr>
    </w:div>
    <w:div w:id="1200170371">
      <w:bodyDiv w:val="1"/>
      <w:marLeft w:val="0"/>
      <w:marRight w:val="0"/>
      <w:marTop w:val="0"/>
      <w:marBottom w:val="0"/>
      <w:divBdr>
        <w:top w:val="none" w:sz="0" w:space="0" w:color="auto"/>
        <w:left w:val="none" w:sz="0" w:space="0" w:color="auto"/>
        <w:bottom w:val="none" w:sz="0" w:space="0" w:color="auto"/>
        <w:right w:val="none" w:sz="0" w:space="0" w:color="auto"/>
      </w:divBdr>
    </w:div>
    <w:div w:id="1200237687">
      <w:bodyDiv w:val="1"/>
      <w:marLeft w:val="0"/>
      <w:marRight w:val="0"/>
      <w:marTop w:val="0"/>
      <w:marBottom w:val="0"/>
      <w:divBdr>
        <w:top w:val="none" w:sz="0" w:space="0" w:color="auto"/>
        <w:left w:val="none" w:sz="0" w:space="0" w:color="auto"/>
        <w:bottom w:val="none" w:sz="0" w:space="0" w:color="auto"/>
        <w:right w:val="none" w:sz="0" w:space="0" w:color="auto"/>
      </w:divBdr>
    </w:div>
    <w:div w:id="1200238180">
      <w:bodyDiv w:val="1"/>
      <w:marLeft w:val="0"/>
      <w:marRight w:val="0"/>
      <w:marTop w:val="0"/>
      <w:marBottom w:val="0"/>
      <w:divBdr>
        <w:top w:val="none" w:sz="0" w:space="0" w:color="auto"/>
        <w:left w:val="none" w:sz="0" w:space="0" w:color="auto"/>
        <w:bottom w:val="none" w:sz="0" w:space="0" w:color="auto"/>
        <w:right w:val="none" w:sz="0" w:space="0" w:color="auto"/>
      </w:divBdr>
    </w:div>
    <w:div w:id="1200242142">
      <w:bodyDiv w:val="1"/>
      <w:marLeft w:val="0"/>
      <w:marRight w:val="0"/>
      <w:marTop w:val="0"/>
      <w:marBottom w:val="0"/>
      <w:divBdr>
        <w:top w:val="none" w:sz="0" w:space="0" w:color="auto"/>
        <w:left w:val="none" w:sz="0" w:space="0" w:color="auto"/>
        <w:bottom w:val="none" w:sz="0" w:space="0" w:color="auto"/>
        <w:right w:val="none" w:sz="0" w:space="0" w:color="auto"/>
      </w:divBdr>
    </w:div>
    <w:div w:id="1200315119">
      <w:bodyDiv w:val="1"/>
      <w:marLeft w:val="0"/>
      <w:marRight w:val="0"/>
      <w:marTop w:val="0"/>
      <w:marBottom w:val="0"/>
      <w:divBdr>
        <w:top w:val="none" w:sz="0" w:space="0" w:color="auto"/>
        <w:left w:val="none" w:sz="0" w:space="0" w:color="auto"/>
        <w:bottom w:val="none" w:sz="0" w:space="0" w:color="auto"/>
        <w:right w:val="none" w:sz="0" w:space="0" w:color="auto"/>
      </w:divBdr>
    </w:div>
    <w:div w:id="1200318970">
      <w:bodyDiv w:val="1"/>
      <w:marLeft w:val="0"/>
      <w:marRight w:val="0"/>
      <w:marTop w:val="0"/>
      <w:marBottom w:val="0"/>
      <w:divBdr>
        <w:top w:val="none" w:sz="0" w:space="0" w:color="auto"/>
        <w:left w:val="none" w:sz="0" w:space="0" w:color="auto"/>
        <w:bottom w:val="none" w:sz="0" w:space="0" w:color="auto"/>
        <w:right w:val="none" w:sz="0" w:space="0" w:color="auto"/>
      </w:divBdr>
    </w:div>
    <w:div w:id="1200321995">
      <w:bodyDiv w:val="1"/>
      <w:marLeft w:val="0"/>
      <w:marRight w:val="0"/>
      <w:marTop w:val="0"/>
      <w:marBottom w:val="0"/>
      <w:divBdr>
        <w:top w:val="none" w:sz="0" w:space="0" w:color="auto"/>
        <w:left w:val="none" w:sz="0" w:space="0" w:color="auto"/>
        <w:bottom w:val="none" w:sz="0" w:space="0" w:color="auto"/>
        <w:right w:val="none" w:sz="0" w:space="0" w:color="auto"/>
      </w:divBdr>
    </w:div>
    <w:div w:id="1200361200">
      <w:bodyDiv w:val="1"/>
      <w:marLeft w:val="0"/>
      <w:marRight w:val="0"/>
      <w:marTop w:val="0"/>
      <w:marBottom w:val="0"/>
      <w:divBdr>
        <w:top w:val="none" w:sz="0" w:space="0" w:color="auto"/>
        <w:left w:val="none" w:sz="0" w:space="0" w:color="auto"/>
        <w:bottom w:val="none" w:sz="0" w:space="0" w:color="auto"/>
        <w:right w:val="none" w:sz="0" w:space="0" w:color="auto"/>
      </w:divBdr>
    </w:div>
    <w:div w:id="1200431912">
      <w:bodyDiv w:val="1"/>
      <w:marLeft w:val="0"/>
      <w:marRight w:val="0"/>
      <w:marTop w:val="0"/>
      <w:marBottom w:val="0"/>
      <w:divBdr>
        <w:top w:val="none" w:sz="0" w:space="0" w:color="auto"/>
        <w:left w:val="none" w:sz="0" w:space="0" w:color="auto"/>
        <w:bottom w:val="none" w:sz="0" w:space="0" w:color="auto"/>
        <w:right w:val="none" w:sz="0" w:space="0" w:color="auto"/>
      </w:divBdr>
    </w:div>
    <w:div w:id="1200437418">
      <w:bodyDiv w:val="1"/>
      <w:marLeft w:val="0"/>
      <w:marRight w:val="0"/>
      <w:marTop w:val="0"/>
      <w:marBottom w:val="0"/>
      <w:divBdr>
        <w:top w:val="none" w:sz="0" w:space="0" w:color="auto"/>
        <w:left w:val="none" w:sz="0" w:space="0" w:color="auto"/>
        <w:bottom w:val="none" w:sz="0" w:space="0" w:color="auto"/>
        <w:right w:val="none" w:sz="0" w:space="0" w:color="auto"/>
      </w:divBdr>
    </w:div>
    <w:div w:id="1200506067">
      <w:bodyDiv w:val="1"/>
      <w:marLeft w:val="0"/>
      <w:marRight w:val="0"/>
      <w:marTop w:val="0"/>
      <w:marBottom w:val="0"/>
      <w:divBdr>
        <w:top w:val="none" w:sz="0" w:space="0" w:color="auto"/>
        <w:left w:val="none" w:sz="0" w:space="0" w:color="auto"/>
        <w:bottom w:val="none" w:sz="0" w:space="0" w:color="auto"/>
        <w:right w:val="none" w:sz="0" w:space="0" w:color="auto"/>
      </w:divBdr>
    </w:div>
    <w:div w:id="1200506177">
      <w:bodyDiv w:val="1"/>
      <w:marLeft w:val="0"/>
      <w:marRight w:val="0"/>
      <w:marTop w:val="0"/>
      <w:marBottom w:val="0"/>
      <w:divBdr>
        <w:top w:val="none" w:sz="0" w:space="0" w:color="auto"/>
        <w:left w:val="none" w:sz="0" w:space="0" w:color="auto"/>
        <w:bottom w:val="none" w:sz="0" w:space="0" w:color="auto"/>
        <w:right w:val="none" w:sz="0" w:space="0" w:color="auto"/>
      </w:divBdr>
    </w:div>
    <w:div w:id="1200508104">
      <w:bodyDiv w:val="1"/>
      <w:marLeft w:val="0"/>
      <w:marRight w:val="0"/>
      <w:marTop w:val="0"/>
      <w:marBottom w:val="0"/>
      <w:divBdr>
        <w:top w:val="none" w:sz="0" w:space="0" w:color="auto"/>
        <w:left w:val="none" w:sz="0" w:space="0" w:color="auto"/>
        <w:bottom w:val="none" w:sz="0" w:space="0" w:color="auto"/>
        <w:right w:val="none" w:sz="0" w:space="0" w:color="auto"/>
      </w:divBdr>
    </w:div>
    <w:div w:id="1200509707">
      <w:bodyDiv w:val="1"/>
      <w:marLeft w:val="0"/>
      <w:marRight w:val="0"/>
      <w:marTop w:val="0"/>
      <w:marBottom w:val="0"/>
      <w:divBdr>
        <w:top w:val="none" w:sz="0" w:space="0" w:color="auto"/>
        <w:left w:val="none" w:sz="0" w:space="0" w:color="auto"/>
        <w:bottom w:val="none" w:sz="0" w:space="0" w:color="auto"/>
        <w:right w:val="none" w:sz="0" w:space="0" w:color="auto"/>
      </w:divBdr>
    </w:div>
    <w:div w:id="1200510318">
      <w:bodyDiv w:val="1"/>
      <w:marLeft w:val="0"/>
      <w:marRight w:val="0"/>
      <w:marTop w:val="0"/>
      <w:marBottom w:val="0"/>
      <w:divBdr>
        <w:top w:val="none" w:sz="0" w:space="0" w:color="auto"/>
        <w:left w:val="none" w:sz="0" w:space="0" w:color="auto"/>
        <w:bottom w:val="none" w:sz="0" w:space="0" w:color="auto"/>
        <w:right w:val="none" w:sz="0" w:space="0" w:color="auto"/>
      </w:divBdr>
    </w:div>
    <w:div w:id="1200511437">
      <w:bodyDiv w:val="1"/>
      <w:marLeft w:val="0"/>
      <w:marRight w:val="0"/>
      <w:marTop w:val="0"/>
      <w:marBottom w:val="0"/>
      <w:divBdr>
        <w:top w:val="none" w:sz="0" w:space="0" w:color="auto"/>
        <w:left w:val="none" w:sz="0" w:space="0" w:color="auto"/>
        <w:bottom w:val="none" w:sz="0" w:space="0" w:color="auto"/>
        <w:right w:val="none" w:sz="0" w:space="0" w:color="auto"/>
      </w:divBdr>
    </w:div>
    <w:div w:id="1200581779">
      <w:bodyDiv w:val="1"/>
      <w:marLeft w:val="0"/>
      <w:marRight w:val="0"/>
      <w:marTop w:val="0"/>
      <w:marBottom w:val="0"/>
      <w:divBdr>
        <w:top w:val="none" w:sz="0" w:space="0" w:color="auto"/>
        <w:left w:val="none" w:sz="0" w:space="0" w:color="auto"/>
        <w:bottom w:val="none" w:sz="0" w:space="0" w:color="auto"/>
        <w:right w:val="none" w:sz="0" w:space="0" w:color="auto"/>
      </w:divBdr>
    </w:div>
    <w:div w:id="1200777771">
      <w:bodyDiv w:val="1"/>
      <w:marLeft w:val="0"/>
      <w:marRight w:val="0"/>
      <w:marTop w:val="0"/>
      <w:marBottom w:val="0"/>
      <w:divBdr>
        <w:top w:val="none" w:sz="0" w:space="0" w:color="auto"/>
        <w:left w:val="none" w:sz="0" w:space="0" w:color="auto"/>
        <w:bottom w:val="none" w:sz="0" w:space="0" w:color="auto"/>
        <w:right w:val="none" w:sz="0" w:space="0" w:color="auto"/>
      </w:divBdr>
    </w:div>
    <w:div w:id="1200897201">
      <w:bodyDiv w:val="1"/>
      <w:marLeft w:val="0"/>
      <w:marRight w:val="0"/>
      <w:marTop w:val="0"/>
      <w:marBottom w:val="0"/>
      <w:divBdr>
        <w:top w:val="none" w:sz="0" w:space="0" w:color="auto"/>
        <w:left w:val="none" w:sz="0" w:space="0" w:color="auto"/>
        <w:bottom w:val="none" w:sz="0" w:space="0" w:color="auto"/>
        <w:right w:val="none" w:sz="0" w:space="0" w:color="auto"/>
      </w:divBdr>
    </w:div>
    <w:div w:id="1200899117">
      <w:bodyDiv w:val="1"/>
      <w:marLeft w:val="0"/>
      <w:marRight w:val="0"/>
      <w:marTop w:val="0"/>
      <w:marBottom w:val="0"/>
      <w:divBdr>
        <w:top w:val="none" w:sz="0" w:space="0" w:color="auto"/>
        <w:left w:val="none" w:sz="0" w:space="0" w:color="auto"/>
        <w:bottom w:val="none" w:sz="0" w:space="0" w:color="auto"/>
        <w:right w:val="none" w:sz="0" w:space="0" w:color="auto"/>
      </w:divBdr>
    </w:div>
    <w:div w:id="1200899209">
      <w:bodyDiv w:val="1"/>
      <w:marLeft w:val="0"/>
      <w:marRight w:val="0"/>
      <w:marTop w:val="0"/>
      <w:marBottom w:val="0"/>
      <w:divBdr>
        <w:top w:val="none" w:sz="0" w:space="0" w:color="auto"/>
        <w:left w:val="none" w:sz="0" w:space="0" w:color="auto"/>
        <w:bottom w:val="none" w:sz="0" w:space="0" w:color="auto"/>
        <w:right w:val="none" w:sz="0" w:space="0" w:color="auto"/>
      </w:divBdr>
    </w:div>
    <w:div w:id="1200971103">
      <w:bodyDiv w:val="1"/>
      <w:marLeft w:val="0"/>
      <w:marRight w:val="0"/>
      <w:marTop w:val="0"/>
      <w:marBottom w:val="0"/>
      <w:divBdr>
        <w:top w:val="none" w:sz="0" w:space="0" w:color="auto"/>
        <w:left w:val="none" w:sz="0" w:space="0" w:color="auto"/>
        <w:bottom w:val="none" w:sz="0" w:space="0" w:color="auto"/>
        <w:right w:val="none" w:sz="0" w:space="0" w:color="auto"/>
      </w:divBdr>
    </w:div>
    <w:div w:id="1201169298">
      <w:bodyDiv w:val="1"/>
      <w:marLeft w:val="0"/>
      <w:marRight w:val="0"/>
      <w:marTop w:val="0"/>
      <w:marBottom w:val="0"/>
      <w:divBdr>
        <w:top w:val="none" w:sz="0" w:space="0" w:color="auto"/>
        <w:left w:val="none" w:sz="0" w:space="0" w:color="auto"/>
        <w:bottom w:val="none" w:sz="0" w:space="0" w:color="auto"/>
        <w:right w:val="none" w:sz="0" w:space="0" w:color="auto"/>
      </w:divBdr>
    </w:div>
    <w:div w:id="1201237330">
      <w:bodyDiv w:val="1"/>
      <w:marLeft w:val="0"/>
      <w:marRight w:val="0"/>
      <w:marTop w:val="0"/>
      <w:marBottom w:val="0"/>
      <w:divBdr>
        <w:top w:val="none" w:sz="0" w:space="0" w:color="auto"/>
        <w:left w:val="none" w:sz="0" w:space="0" w:color="auto"/>
        <w:bottom w:val="none" w:sz="0" w:space="0" w:color="auto"/>
        <w:right w:val="none" w:sz="0" w:space="0" w:color="auto"/>
      </w:divBdr>
    </w:div>
    <w:div w:id="1201238734">
      <w:bodyDiv w:val="1"/>
      <w:marLeft w:val="0"/>
      <w:marRight w:val="0"/>
      <w:marTop w:val="0"/>
      <w:marBottom w:val="0"/>
      <w:divBdr>
        <w:top w:val="none" w:sz="0" w:space="0" w:color="auto"/>
        <w:left w:val="none" w:sz="0" w:space="0" w:color="auto"/>
        <w:bottom w:val="none" w:sz="0" w:space="0" w:color="auto"/>
        <w:right w:val="none" w:sz="0" w:space="0" w:color="auto"/>
      </w:divBdr>
    </w:div>
    <w:div w:id="1201241493">
      <w:bodyDiv w:val="1"/>
      <w:marLeft w:val="0"/>
      <w:marRight w:val="0"/>
      <w:marTop w:val="0"/>
      <w:marBottom w:val="0"/>
      <w:divBdr>
        <w:top w:val="none" w:sz="0" w:space="0" w:color="auto"/>
        <w:left w:val="none" w:sz="0" w:space="0" w:color="auto"/>
        <w:bottom w:val="none" w:sz="0" w:space="0" w:color="auto"/>
        <w:right w:val="none" w:sz="0" w:space="0" w:color="auto"/>
      </w:divBdr>
    </w:div>
    <w:div w:id="1201431869">
      <w:bodyDiv w:val="1"/>
      <w:marLeft w:val="0"/>
      <w:marRight w:val="0"/>
      <w:marTop w:val="0"/>
      <w:marBottom w:val="0"/>
      <w:divBdr>
        <w:top w:val="none" w:sz="0" w:space="0" w:color="auto"/>
        <w:left w:val="none" w:sz="0" w:space="0" w:color="auto"/>
        <w:bottom w:val="none" w:sz="0" w:space="0" w:color="auto"/>
        <w:right w:val="none" w:sz="0" w:space="0" w:color="auto"/>
      </w:divBdr>
    </w:div>
    <w:div w:id="1201473681">
      <w:bodyDiv w:val="1"/>
      <w:marLeft w:val="0"/>
      <w:marRight w:val="0"/>
      <w:marTop w:val="0"/>
      <w:marBottom w:val="0"/>
      <w:divBdr>
        <w:top w:val="none" w:sz="0" w:space="0" w:color="auto"/>
        <w:left w:val="none" w:sz="0" w:space="0" w:color="auto"/>
        <w:bottom w:val="none" w:sz="0" w:space="0" w:color="auto"/>
        <w:right w:val="none" w:sz="0" w:space="0" w:color="auto"/>
      </w:divBdr>
    </w:div>
    <w:div w:id="1201478937">
      <w:bodyDiv w:val="1"/>
      <w:marLeft w:val="0"/>
      <w:marRight w:val="0"/>
      <w:marTop w:val="0"/>
      <w:marBottom w:val="0"/>
      <w:divBdr>
        <w:top w:val="none" w:sz="0" w:space="0" w:color="auto"/>
        <w:left w:val="none" w:sz="0" w:space="0" w:color="auto"/>
        <w:bottom w:val="none" w:sz="0" w:space="0" w:color="auto"/>
        <w:right w:val="none" w:sz="0" w:space="0" w:color="auto"/>
      </w:divBdr>
    </w:div>
    <w:div w:id="1201548912">
      <w:bodyDiv w:val="1"/>
      <w:marLeft w:val="0"/>
      <w:marRight w:val="0"/>
      <w:marTop w:val="0"/>
      <w:marBottom w:val="0"/>
      <w:divBdr>
        <w:top w:val="none" w:sz="0" w:space="0" w:color="auto"/>
        <w:left w:val="none" w:sz="0" w:space="0" w:color="auto"/>
        <w:bottom w:val="none" w:sz="0" w:space="0" w:color="auto"/>
        <w:right w:val="none" w:sz="0" w:space="0" w:color="auto"/>
      </w:divBdr>
    </w:div>
    <w:div w:id="1201551234">
      <w:bodyDiv w:val="1"/>
      <w:marLeft w:val="0"/>
      <w:marRight w:val="0"/>
      <w:marTop w:val="0"/>
      <w:marBottom w:val="0"/>
      <w:divBdr>
        <w:top w:val="none" w:sz="0" w:space="0" w:color="auto"/>
        <w:left w:val="none" w:sz="0" w:space="0" w:color="auto"/>
        <w:bottom w:val="none" w:sz="0" w:space="0" w:color="auto"/>
        <w:right w:val="none" w:sz="0" w:space="0" w:color="auto"/>
      </w:divBdr>
    </w:div>
    <w:div w:id="1201750242">
      <w:bodyDiv w:val="1"/>
      <w:marLeft w:val="0"/>
      <w:marRight w:val="0"/>
      <w:marTop w:val="0"/>
      <w:marBottom w:val="0"/>
      <w:divBdr>
        <w:top w:val="none" w:sz="0" w:space="0" w:color="auto"/>
        <w:left w:val="none" w:sz="0" w:space="0" w:color="auto"/>
        <w:bottom w:val="none" w:sz="0" w:space="0" w:color="auto"/>
        <w:right w:val="none" w:sz="0" w:space="0" w:color="auto"/>
      </w:divBdr>
    </w:div>
    <w:div w:id="1201866454">
      <w:bodyDiv w:val="1"/>
      <w:marLeft w:val="0"/>
      <w:marRight w:val="0"/>
      <w:marTop w:val="0"/>
      <w:marBottom w:val="0"/>
      <w:divBdr>
        <w:top w:val="none" w:sz="0" w:space="0" w:color="auto"/>
        <w:left w:val="none" w:sz="0" w:space="0" w:color="auto"/>
        <w:bottom w:val="none" w:sz="0" w:space="0" w:color="auto"/>
        <w:right w:val="none" w:sz="0" w:space="0" w:color="auto"/>
      </w:divBdr>
    </w:div>
    <w:div w:id="1201936551">
      <w:bodyDiv w:val="1"/>
      <w:marLeft w:val="0"/>
      <w:marRight w:val="0"/>
      <w:marTop w:val="0"/>
      <w:marBottom w:val="0"/>
      <w:divBdr>
        <w:top w:val="none" w:sz="0" w:space="0" w:color="auto"/>
        <w:left w:val="none" w:sz="0" w:space="0" w:color="auto"/>
        <w:bottom w:val="none" w:sz="0" w:space="0" w:color="auto"/>
        <w:right w:val="none" w:sz="0" w:space="0" w:color="auto"/>
      </w:divBdr>
    </w:div>
    <w:div w:id="1202011602">
      <w:bodyDiv w:val="1"/>
      <w:marLeft w:val="0"/>
      <w:marRight w:val="0"/>
      <w:marTop w:val="0"/>
      <w:marBottom w:val="0"/>
      <w:divBdr>
        <w:top w:val="none" w:sz="0" w:space="0" w:color="auto"/>
        <w:left w:val="none" w:sz="0" w:space="0" w:color="auto"/>
        <w:bottom w:val="none" w:sz="0" w:space="0" w:color="auto"/>
        <w:right w:val="none" w:sz="0" w:space="0" w:color="auto"/>
      </w:divBdr>
    </w:div>
    <w:div w:id="1202015786">
      <w:bodyDiv w:val="1"/>
      <w:marLeft w:val="0"/>
      <w:marRight w:val="0"/>
      <w:marTop w:val="0"/>
      <w:marBottom w:val="0"/>
      <w:divBdr>
        <w:top w:val="none" w:sz="0" w:space="0" w:color="auto"/>
        <w:left w:val="none" w:sz="0" w:space="0" w:color="auto"/>
        <w:bottom w:val="none" w:sz="0" w:space="0" w:color="auto"/>
        <w:right w:val="none" w:sz="0" w:space="0" w:color="auto"/>
      </w:divBdr>
    </w:div>
    <w:div w:id="1202016094">
      <w:bodyDiv w:val="1"/>
      <w:marLeft w:val="0"/>
      <w:marRight w:val="0"/>
      <w:marTop w:val="0"/>
      <w:marBottom w:val="0"/>
      <w:divBdr>
        <w:top w:val="none" w:sz="0" w:space="0" w:color="auto"/>
        <w:left w:val="none" w:sz="0" w:space="0" w:color="auto"/>
        <w:bottom w:val="none" w:sz="0" w:space="0" w:color="auto"/>
        <w:right w:val="none" w:sz="0" w:space="0" w:color="auto"/>
      </w:divBdr>
    </w:div>
    <w:div w:id="1202205520">
      <w:bodyDiv w:val="1"/>
      <w:marLeft w:val="0"/>
      <w:marRight w:val="0"/>
      <w:marTop w:val="0"/>
      <w:marBottom w:val="0"/>
      <w:divBdr>
        <w:top w:val="none" w:sz="0" w:space="0" w:color="auto"/>
        <w:left w:val="none" w:sz="0" w:space="0" w:color="auto"/>
        <w:bottom w:val="none" w:sz="0" w:space="0" w:color="auto"/>
        <w:right w:val="none" w:sz="0" w:space="0" w:color="auto"/>
      </w:divBdr>
    </w:div>
    <w:div w:id="1202282308">
      <w:bodyDiv w:val="1"/>
      <w:marLeft w:val="0"/>
      <w:marRight w:val="0"/>
      <w:marTop w:val="0"/>
      <w:marBottom w:val="0"/>
      <w:divBdr>
        <w:top w:val="none" w:sz="0" w:space="0" w:color="auto"/>
        <w:left w:val="none" w:sz="0" w:space="0" w:color="auto"/>
        <w:bottom w:val="none" w:sz="0" w:space="0" w:color="auto"/>
        <w:right w:val="none" w:sz="0" w:space="0" w:color="auto"/>
      </w:divBdr>
    </w:div>
    <w:div w:id="1202325759">
      <w:bodyDiv w:val="1"/>
      <w:marLeft w:val="0"/>
      <w:marRight w:val="0"/>
      <w:marTop w:val="0"/>
      <w:marBottom w:val="0"/>
      <w:divBdr>
        <w:top w:val="none" w:sz="0" w:space="0" w:color="auto"/>
        <w:left w:val="none" w:sz="0" w:space="0" w:color="auto"/>
        <w:bottom w:val="none" w:sz="0" w:space="0" w:color="auto"/>
        <w:right w:val="none" w:sz="0" w:space="0" w:color="auto"/>
      </w:divBdr>
    </w:div>
    <w:div w:id="1202401945">
      <w:bodyDiv w:val="1"/>
      <w:marLeft w:val="0"/>
      <w:marRight w:val="0"/>
      <w:marTop w:val="0"/>
      <w:marBottom w:val="0"/>
      <w:divBdr>
        <w:top w:val="none" w:sz="0" w:space="0" w:color="auto"/>
        <w:left w:val="none" w:sz="0" w:space="0" w:color="auto"/>
        <w:bottom w:val="none" w:sz="0" w:space="0" w:color="auto"/>
        <w:right w:val="none" w:sz="0" w:space="0" w:color="auto"/>
      </w:divBdr>
    </w:div>
    <w:div w:id="1202746247">
      <w:bodyDiv w:val="1"/>
      <w:marLeft w:val="0"/>
      <w:marRight w:val="0"/>
      <w:marTop w:val="0"/>
      <w:marBottom w:val="0"/>
      <w:divBdr>
        <w:top w:val="none" w:sz="0" w:space="0" w:color="auto"/>
        <w:left w:val="none" w:sz="0" w:space="0" w:color="auto"/>
        <w:bottom w:val="none" w:sz="0" w:space="0" w:color="auto"/>
        <w:right w:val="none" w:sz="0" w:space="0" w:color="auto"/>
      </w:divBdr>
    </w:div>
    <w:div w:id="1202792067">
      <w:bodyDiv w:val="1"/>
      <w:marLeft w:val="0"/>
      <w:marRight w:val="0"/>
      <w:marTop w:val="0"/>
      <w:marBottom w:val="0"/>
      <w:divBdr>
        <w:top w:val="none" w:sz="0" w:space="0" w:color="auto"/>
        <w:left w:val="none" w:sz="0" w:space="0" w:color="auto"/>
        <w:bottom w:val="none" w:sz="0" w:space="0" w:color="auto"/>
        <w:right w:val="none" w:sz="0" w:space="0" w:color="auto"/>
      </w:divBdr>
    </w:div>
    <w:div w:id="1202937391">
      <w:bodyDiv w:val="1"/>
      <w:marLeft w:val="0"/>
      <w:marRight w:val="0"/>
      <w:marTop w:val="0"/>
      <w:marBottom w:val="0"/>
      <w:divBdr>
        <w:top w:val="none" w:sz="0" w:space="0" w:color="auto"/>
        <w:left w:val="none" w:sz="0" w:space="0" w:color="auto"/>
        <w:bottom w:val="none" w:sz="0" w:space="0" w:color="auto"/>
        <w:right w:val="none" w:sz="0" w:space="0" w:color="auto"/>
      </w:divBdr>
    </w:div>
    <w:div w:id="1202939163">
      <w:bodyDiv w:val="1"/>
      <w:marLeft w:val="0"/>
      <w:marRight w:val="0"/>
      <w:marTop w:val="0"/>
      <w:marBottom w:val="0"/>
      <w:divBdr>
        <w:top w:val="none" w:sz="0" w:space="0" w:color="auto"/>
        <w:left w:val="none" w:sz="0" w:space="0" w:color="auto"/>
        <w:bottom w:val="none" w:sz="0" w:space="0" w:color="auto"/>
        <w:right w:val="none" w:sz="0" w:space="0" w:color="auto"/>
      </w:divBdr>
    </w:div>
    <w:div w:id="1202981040">
      <w:bodyDiv w:val="1"/>
      <w:marLeft w:val="0"/>
      <w:marRight w:val="0"/>
      <w:marTop w:val="0"/>
      <w:marBottom w:val="0"/>
      <w:divBdr>
        <w:top w:val="none" w:sz="0" w:space="0" w:color="auto"/>
        <w:left w:val="none" w:sz="0" w:space="0" w:color="auto"/>
        <w:bottom w:val="none" w:sz="0" w:space="0" w:color="auto"/>
        <w:right w:val="none" w:sz="0" w:space="0" w:color="auto"/>
      </w:divBdr>
    </w:div>
    <w:div w:id="1202982490">
      <w:bodyDiv w:val="1"/>
      <w:marLeft w:val="0"/>
      <w:marRight w:val="0"/>
      <w:marTop w:val="0"/>
      <w:marBottom w:val="0"/>
      <w:divBdr>
        <w:top w:val="none" w:sz="0" w:space="0" w:color="auto"/>
        <w:left w:val="none" w:sz="0" w:space="0" w:color="auto"/>
        <w:bottom w:val="none" w:sz="0" w:space="0" w:color="auto"/>
        <w:right w:val="none" w:sz="0" w:space="0" w:color="auto"/>
      </w:divBdr>
    </w:div>
    <w:div w:id="1202983431">
      <w:bodyDiv w:val="1"/>
      <w:marLeft w:val="0"/>
      <w:marRight w:val="0"/>
      <w:marTop w:val="0"/>
      <w:marBottom w:val="0"/>
      <w:divBdr>
        <w:top w:val="none" w:sz="0" w:space="0" w:color="auto"/>
        <w:left w:val="none" w:sz="0" w:space="0" w:color="auto"/>
        <w:bottom w:val="none" w:sz="0" w:space="0" w:color="auto"/>
        <w:right w:val="none" w:sz="0" w:space="0" w:color="auto"/>
      </w:divBdr>
    </w:div>
    <w:div w:id="1203010044">
      <w:bodyDiv w:val="1"/>
      <w:marLeft w:val="0"/>
      <w:marRight w:val="0"/>
      <w:marTop w:val="0"/>
      <w:marBottom w:val="0"/>
      <w:divBdr>
        <w:top w:val="none" w:sz="0" w:space="0" w:color="auto"/>
        <w:left w:val="none" w:sz="0" w:space="0" w:color="auto"/>
        <w:bottom w:val="none" w:sz="0" w:space="0" w:color="auto"/>
        <w:right w:val="none" w:sz="0" w:space="0" w:color="auto"/>
      </w:divBdr>
    </w:div>
    <w:div w:id="1203051509">
      <w:bodyDiv w:val="1"/>
      <w:marLeft w:val="0"/>
      <w:marRight w:val="0"/>
      <w:marTop w:val="0"/>
      <w:marBottom w:val="0"/>
      <w:divBdr>
        <w:top w:val="none" w:sz="0" w:space="0" w:color="auto"/>
        <w:left w:val="none" w:sz="0" w:space="0" w:color="auto"/>
        <w:bottom w:val="none" w:sz="0" w:space="0" w:color="auto"/>
        <w:right w:val="none" w:sz="0" w:space="0" w:color="auto"/>
      </w:divBdr>
    </w:div>
    <w:div w:id="1203052946">
      <w:bodyDiv w:val="1"/>
      <w:marLeft w:val="0"/>
      <w:marRight w:val="0"/>
      <w:marTop w:val="0"/>
      <w:marBottom w:val="0"/>
      <w:divBdr>
        <w:top w:val="none" w:sz="0" w:space="0" w:color="auto"/>
        <w:left w:val="none" w:sz="0" w:space="0" w:color="auto"/>
        <w:bottom w:val="none" w:sz="0" w:space="0" w:color="auto"/>
        <w:right w:val="none" w:sz="0" w:space="0" w:color="auto"/>
      </w:divBdr>
    </w:div>
    <w:div w:id="1203054457">
      <w:bodyDiv w:val="1"/>
      <w:marLeft w:val="0"/>
      <w:marRight w:val="0"/>
      <w:marTop w:val="0"/>
      <w:marBottom w:val="0"/>
      <w:divBdr>
        <w:top w:val="none" w:sz="0" w:space="0" w:color="auto"/>
        <w:left w:val="none" w:sz="0" w:space="0" w:color="auto"/>
        <w:bottom w:val="none" w:sz="0" w:space="0" w:color="auto"/>
        <w:right w:val="none" w:sz="0" w:space="0" w:color="auto"/>
      </w:divBdr>
    </w:div>
    <w:div w:id="1203205032">
      <w:bodyDiv w:val="1"/>
      <w:marLeft w:val="0"/>
      <w:marRight w:val="0"/>
      <w:marTop w:val="0"/>
      <w:marBottom w:val="0"/>
      <w:divBdr>
        <w:top w:val="none" w:sz="0" w:space="0" w:color="auto"/>
        <w:left w:val="none" w:sz="0" w:space="0" w:color="auto"/>
        <w:bottom w:val="none" w:sz="0" w:space="0" w:color="auto"/>
        <w:right w:val="none" w:sz="0" w:space="0" w:color="auto"/>
      </w:divBdr>
    </w:div>
    <w:div w:id="1203247078">
      <w:bodyDiv w:val="1"/>
      <w:marLeft w:val="0"/>
      <w:marRight w:val="0"/>
      <w:marTop w:val="0"/>
      <w:marBottom w:val="0"/>
      <w:divBdr>
        <w:top w:val="none" w:sz="0" w:space="0" w:color="auto"/>
        <w:left w:val="none" w:sz="0" w:space="0" w:color="auto"/>
        <w:bottom w:val="none" w:sz="0" w:space="0" w:color="auto"/>
        <w:right w:val="none" w:sz="0" w:space="0" w:color="auto"/>
      </w:divBdr>
    </w:div>
    <w:div w:id="1203248424">
      <w:bodyDiv w:val="1"/>
      <w:marLeft w:val="0"/>
      <w:marRight w:val="0"/>
      <w:marTop w:val="0"/>
      <w:marBottom w:val="0"/>
      <w:divBdr>
        <w:top w:val="none" w:sz="0" w:space="0" w:color="auto"/>
        <w:left w:val="none" w:sz="0" w:space="0" w:color="auto"/>
        <w:bottom w:val="none" w:sz="0" w:space="0" w:color="auto"/>
        <w:right w:val="none" w:sz="0" w:space="0" w:color="auto"/>
      </w:divBdr>
    </w:div>
    <w:div w:id="1203323097">
      <w:bodyDiv w:val="1"/>
      <w:marLeft w:val="0"/>
      <w:marRight w:val="0"/>
      <w:marTop w:val="0"/>
      <w:marBottom w:val="0"/>
      <w:divBdr>
        <w:top w:val="none" w:sz="0" w:space="0" w:color="auto"/>
        <w:left w:val="none" w:sz="0" w:space="0" w:color="auto"/>
        <w:bottom w:val="none" w:sz="0" w:space="0" w:color="auto"/>
        <w:right w:val="none" w:sz="0" w:space="0" w:color="auto"/>
      </w:divBdr>
    </w:div>
    <w:div w:id="1203515850">
      <w:bodyDiv w:val="1"/>
      <w:marLeft w:val="0"/>
      <w:marRight w:val="0"/>
      <w:marTop w:val="0"/>
      <w:marBottom w:val="0"/>
      <w:divBdr>
        <w:top w:val="none" w:sz="0" w:space="0" w:color="auto"/>
        <w:left w:val="none" w:sz="0" w:space="0" w:color="auto"/>
        <w:bottom w:val="none" w:sz="0" w:space="0" w:color="auto"/>
        <w:right w:val="none" w:sz="0" w:space="0" w:color="auto"/>
      </w:divBdr>
    </w:div>
    <w:div w:id="1203516140">
      <w:bodyDiv w:val="1"/>
      <w:marLeft w:val="0"/>
      <w:marRight w:val="0"/>
      <w:marTop w:val="0"/>
      <w:marBottom w:val="0"/>
      <w:divBdr>
        <w:top w:val="none" w:sz="0" w:space="0" w:color="auto"/>
        <w:left w:val="none" w:sz="0" w:space="0" w:color="auto"/>
        <w:bottom w:val="none" w:sz="0" w:space="0" w:color="auto"/>
        <w:right w:val="none" w:sz="0" w:space="0" w:color="auto"/>
      </w:divBdr>
    </w:div>
    <w:div w:id="1203596967">
      <w:bodyDiv w:val="1"/>
      <w:marLeft w:val="0"/>
      <w:marRight w:val="0"/>
      <w:marTop w:val="0"/>
      <w:marBottom w:val="0"/>
      <w:divBdr>
        <w:top w:val="none" w:sz="0" w:space="0" w:color="auto"/>
        <w:left w:val="none" w:sz="0" w:space="0" w:color="auto"/>
        <w:bottom w:val="none" w:sz="0" w:space="0" w:color="auto"/>
        <w:right w:val="none" w:sz="0" w:space="0" w:color="auto"/>
      </w:divBdr>
    </w:div>
    <w:div w:id="1203640436">
      <w:bodyDiv w:val="1"/>
      <w:marLeft w:val="0"/>
      <w:marRight w:val="0"/>
      <w:marTop w:val="0"/>
      <w:marBottom w:val="0"/>
      <w:divBdr>
        <w:top w:val="none" w:sz="0" w:space="0" w:color="auto"/>
        <w:left w:val="none" w:sz="0" w:space="0" w:color="auto"/>
        <w:bottom w:val="none" w:sz="0" w:space="0" w:color="auto"/>
        <w:right w:val="none" w:sz="0" w:space="0" w:color="auto"/>
      </w:divBdr>
    </w:div>
    <w:div w:id="1203782962">
      <w:bodyDiv w:val="1"/>
      <w:marLeft w:val="0"/>
      <w:marRight w:val="0"/>
      <w:marTop w:val="0"/>
      <w:marBottom w:val="0"/>
      <w:divBdr>
        <w:top w:val="none" w:sz="0" w:space="0" w:color="auto"/>
        <w:left w:val="none" w:sz="0" w:space="0" w:color="auto"/>
        <w:bottom w:val="none" w:sz="0" w:space="0" w:color="auto"/>
        <w:right w:val="none" w:sz="0" w:space="0" w:color="auto"/>
      </w:divBdr>
    </w:div>
    <w:div w:id="1203784839">
      <w:bodyDiv w:val="1"/>
      <w:marLeft w:val="0"/>
      <w:marRight w:val="0"/>
      <w:marTop w:val="0"/>
      <w:marBottom w:val="0"/>
      <w:divBdr>
        <w:top w:val="none" w:sz="0" w:space="0" w:color="auto"/>
        <w:left w:val="none" w:sz="0" w:space="0" w:color="auto"/>
        <w:bottom w:val="none" w:sz="0" w:space="0" w:color="auto"/>
        <w:right w:val="none" w:sz="0" w:space="0" w:color="auto"/>
      </w:divBdr>
    </w:div>
    <w:div w:id="1203788471">
      <w:bodyDiv w:val="1"/>
      <w:marLeft w:val="0"/>
      <w:marRight w:val="0"/>
      <w:marTop w:val="0"/>
      <w:marBottom w:val="0"/>
      <w:divBdr>
        <w:top w:val="none" w:sz="0" w:space="0" w:color="auto"/>
        <w:left w:val="none" w:sz="0" w:space="0" w:color="auto"/>
        <w:bottom w:val="none" w:sz="0" w:space="0" w:color="auto"/>
        <w:right w:val="none" w:sz="0" w:space="0" w:color="auto"/>
      </w:divBdr>
    </w:div>
    <w:div w:id="1203976595">
      <w:bodyDiv w:val="1"/>
      <w:marLeft w:val="0"/>
      <w:marRight w:val="0"/>
      <w:marTop w:val="0"/>
      <w:marBottom w:val="0"/>
      <w:divBdr>
        <w:top w:val="none" w:sz="0" w:space="0" w:color="auto"/>
        <w:left w:val="none" w:sz="0" w:space="0" w:color="auto"/>
        <w:bottom w:val="none" w:sz="0" w:space="0" w:color="auto"/>
        <w:right w:val="none" w:sz="0" w:space="0" w:color="auto"/>
      </w:divBdr>
    </w:div>
    <w:div w:id="1204098697">
      <w:bodyDiv w:val="1"/>
      <w:marLeft w:val="0"/>
      <w:marRight w:val="0"/>
      <w:marTop w:val="0"/>
      <w:marBottom w:val="0"/>
      <w:divBdr>
        <w:top w:val="none" w:sz="0" w:space="0" w:color="auto"/>
        <w:left w:val="none" w:sz="0" w:space="0" w:color="auto"/>
        <w:bottom w:val="none" w:sz="0" w:space="0" w:color="auto"/>
        <w:right w:val="none" w:sz="0" w:space="0" w:color="auto"/>
      </w:divBdr>
    </w:div>
    <w:div w:id="1204099505">
      <w:bodyDiv w:val="1"/>
      <w:marLeft w:val="0"/>
      <w:marRight w:val="0"/>
      <w:marTop w:val="0"/>
      <w:marBottom w:val="0"/>
      <w:divBdr>
        <w:top w:val="none" w:sz="0" w:space="0" w:color="auto"/>
        <w:left w:val="none" w:sz="0" w:space="0" w:color="auto"/>
        <w:bottom w:val="none" w:sz="0" w:space="0" w:color="auto"/>
        <w:right w:val="none" w:sz="0" w:space="0" w:color="auto"/>
      </w:divBdr>
    </w:div>
    <w:div w:id="1204101646">
      <w:bodyDiv w:val="1"/>
      <w:marLeft w:val="0"/>
      <w:marRight w:val="0"/>
      <w:marTop w:val="0"/>
      <w:marBottom w:val="0"/>
      <w:divBdr>
        <w:top w:val="none" w:sz="0" w:space="0" w:color="auto"/>
        <w:left w:val="none" w:sz="0" w:space="0" w:color="auto"/>
        <w:bottom w:val="none" w:sz="0" w:space="0" w:color="auto"/>
        <w:right w:val="none" w:sz="0" w:space="0" w:color="auto"/>
      </w:divBdr>
    </w:div>
    <w:div w:id="1204170665">
      <w:bodyDiv w:val="1"/>
      <w:marLeft w:val="0"/>
      <w:marRight w:val="0"/>
      <w:marTop w:val="0"/>
      <w:marBottom w:val="0"/>
      <w:divBdr>
        <w:top w:val="none" w:sz="0" w:space="0" w:color="auto"/>
        <w:left w:val="none" w:sz="0" w:space="0" w:color="auto"/>
        <w:bottom w:val="none" w:sz="0" w:space="0" w:color="auto"/>
        <w:right w:val="none" w:sz="0" w:space="0" w:color="auto"/>
      </w:divBdr>
    </w:div>
    <w:div w:id="1204291686">
      <w:bodyDiv w:val="1"/>
      <w:marLeft w:val="0"/>
      <w:marRight w:val="0"/>
      <w:marTop w:val="0"/>
      <w:marBottom w:val="0"/>
      <w:divBdr>
        <w:top w:val="none" w:sz="0" w:space="0" w:color="auto"/>
        <w:left w:val="none" w:sz="0" w:space="0" w:color="auto"/>
        <w:bottom w:val="none" w:sz="0" w:space="0" w:color="auto"/>
        <w:right w:val="none" w:sz="0" w:space="0" w:color="auto"/>
      </w:divBdr>
    </w:div>
    <w:div w:id="1204365421">
      <w:bodyDiv w:val="1"/>
      <w:marLeft w:val="0"/>
      <w:marRight w:val="0"/>
      <w:marTop w:val="0"/>
      <w:marBottom w:val="0"/>
      <w:divBdr>
        <w:top w:val="none" w:sz="0" w:space="0" w:color="auto"/>
        <w:left w:val="none" w:sz="0" w:space="0" w:color="auto"/>
        <w:bottom w:val="none" w:sz="0" w:space="0" w:color="auto"/>
        <w:right w:val="none" w:sz="0" w:space="0" w:color="auto"/>
      </w:divBdr>
    </w:div>
    <w:div w:id="1204369465">
      <w:bodyDiv w:val="1"/>
      <w:marLeft w:val="0"/>
      <w:marRight w:val="0"/>
      <w:marTop w:val="0"/>
      <w:marBottom w:val="0"/>
      <w:divBdr>
        <w:top w:val="none" w:sz="0" w:space="0" w:color="auto"/>
        <w:left w:val="none" w:sz="0" w:space="0" w:color="auto"/>
        <w:bottom w:val="none" w:sz="0" w:space="0" w:color="auto"/>
        <w:right w:val="none" w:sz="0" w:space="0" w:color="auto"/>
      </w:divBdr>
    </w:div>
    <w:div w:id="1204371220">
      <w:bodyDiv w:val="1"/>
      <w:marLeft w:val="0"/>
      <w:marRight w:val="0"/>
      <w:marTop w:val="0"/>
      <w:marBottom w:val="0"/>
      <w:divBdr>
        <w:top w:val="none" w:sz="0" w:space="0" w:color="auto"/>
        <w:left w:val="none" w:sz="0" w:space="0" w:color="auto"/>
        <w:bottom w:val="none" w:sz="0" w:space="0" w:color="auto"/>
        <w:right w:val="none" w:sz="0" w:space="0" w:color="auto"/>
      </w:divBdr>
    </w:div>
    <w:div w:id="1204486214">
      <w:bodyDiv w:val="1"/>
      <w:marLeft w:val="0"/>
      <w:marRight w:val="0"/>
      <w:marTop w:val="0"/>
      <w:marBottom w:val="0"/>
      <w:divBdr>
        <w:top w:val="none" w:sz="0" w:space="0" w:color="auto"/>
        <w:left w:val="none" w:sz="0" w:space="0" w:color="auto"/>
        <w:bottom w:val="none" w:sz="0" w:space="0" w:color="auto"/>
        <w:right w:val="none" w:sz="0" w:space="0" w:color="auto"/>
      </w:divBdr>
    </w:div>
    <w:div w:id="1204512658">
      <w:bodyDiv w:val="1"/>
      <w:marLeft w:val="0"/>
      <w:marRight w:val="0"/>
      <w:marTop w:val="0"/>
      <w:marBottom w:val="0"/>
      <w:divBdr>
        <w:top w:val="none" w:sz="0" w:space="0" w:color="auto"/>
        <w:left w:val="none" w:sz="0" w:space="0" w:color="auto"/>
        <w:bottom w:val="none" w:sz="0" w:space="0" w:color="auto"/>
        <w:right w:val="none" w:sz="0" w:space="0" w:color="auto"/>
      </w:divBdr>
    </w:div>
    <w:div w:id="1204518850">
      <w:bodyDiv w:val="1"/>
      <w:marLeft w:val="0"/>
      <w:marRight w:val="0"/>
      <w:marTop w:val="0"/>
      <w:marBottom w:val="0"/>
      <w:divBdr>
        <w:top w:val="none" w:sz="0" w:space="0" w:color="auto"/>
        <w:left w:val="none" w:sz="0" w:space="0" w:color="auto"/>
        <w:bottom w:val="none" w:sz="0" w:space="0" w:color="auto"/>
        <w:right w:val="none" w:sz="0" w:space="0" w:color="auto"/>
      </w:divBdr>
    </w:div>
    <w:div w:id="1204558888">
      <w:bodyDiv w:val="1"/>
      <w:marLeft w:val="0"/>
      <w:marRight w:val="0"/>
      <w:marTop w:val="0"/>
      <w:marBottom w:val="0"/>
      <w:divBdr>
        <w:top w:val="none" w:sz="0" w:space="0" w:color="auto"/>
        <w:left w:val="none" w:sz="0" w:space="0" w:color="auto"/>
        <w:bottom w:val="none" w:sz="0" w:space="0" w:color="auto"/>
        <w:right w:val="none" w:sz="0" w:space="0" w:color="auto"/>
      </w:divBdr>
    </w:div>
    <w:div w:id="1204832777">
      <w:bodyDiv w:val="1"/>
      <w:marLeft w:val="0"/>
      <w:marRight w:val="0"/>
      <w:marTop w:val="0"/>
      <w:marBottom w:val="0"/>
      <w:divBdr>
        <w:top w:val="none" w:sz="0" w:space="0" w:color="auto"/>
        <w:left w:val="none" w:sz="0" w:space="0" w:color="auto"/>
        <w:bottom w:val="none" w:sz="0" w:space="0" w:color="auto"/>
        <w:right w:val="none" w:sz="0" w:space="0" w:color="auto"/>
      </w:divBdr>
    </w:div>
    <w:div w:id="1204904116">
      <w:bodyDiv w:val="1"/>
      <w:marLeft w:val="0"/>
      <w:marRight w:val="0"/>
      <w:marTop w:val="0"/>
      <w:marBottom w:val="0"/>
      <w:divBdr>
        <w:top w:val="none" w:sz="0" w:space="0" w:color="auto"/>
        <w:left w:val="none" w:sz="0" w:space="0" w:color="auto"/>
        <w:bottom w:val="none" w:sz="0" w:space="0" w:color="auto"/>
        <w:right w:val="none" w:sz="0" w:space="0" w:color="auto"/>
      </w:divBdr>
    </w:div>
    <w:div w:id="1204976611">
      <w:bodyDiv w:val="1"/>
      <w:marLeft w:val="0"/>
      <w:marRight w:val="0"/>
      <w:marTop w:val="0"/>
      <w:marBottom w:val="0"/>
      <w:divBdr>
        <w:top w:val="none" w:sz="0" w:space="0" w:color="auto"/>
        <w:left w:val="none" w:sz="0" w:space="0" w:color="auto"/>
        <w:bottom w:val="none" w:sz="0" w:space="0" w:color="auto"/>
        <w:right w:val="none" w:sz="0" w:space="0" w:color="auto"/>
      </w:divBdr>
    </w:div>
    <w:div w:id="1205017990">
      <w:bodyDiv w:val="1"/>
      <w:marLeft w:val="0"/>
      <w:marRight w:val="0"/>
      <w:marTop w:val="0"/>
      <w:marBottom w:val="0"/>
      <w:divBdr>
        <w:top w:val="none" w:sz="0" w:space="0" w:color="auto"/>
        <w:left w:val="none" w:sz="0" w:space="0" w:color="auto"/>
        <w:bottom w:val="none" w:sz="0" w:space="0" w:color="auto"/>
        <w:right w:val="none" w:sz="0" w:space="0" w:color="auto"/>
      </w:divBdr>
    </w:div>
    <w:div w:id="1205093600">
      <w:bodyDiv w:val="1"/>
      <w:marLeft w:val="0"/>
      <w:marRight w:val="0"/>
      <w:marTop w:val="0"/>
      <w:marBottom w:val="0"/>
      <w:divBdr>
        <w:top w:val="none" w:sz="0" w:space="0" w:color="auto"/>
        <w:left w:val="none" w:sz="0" w:space="0" w:color="auto"/>
        <w:bottom w:val="none" w:sz="0" w:space="0" w:color="auto"/>
        <w:right w:val="none" w:sz="0" w:space="0" w:color="auto"/>
      </w:divBdr>
    </w:div>
    <w:div w:id="1205220189">
      <w:bodyDiv w:val="1"/>
      <w:marLeft w:val="0"/>
      <w:marRight w:val="0"/>
      <w:marTop w:val="0"/>
      <w:marBottom w:val="0"/>
      <w:divBdr>
        <w:top w:val="none" w:sz="0" w:space="0" w:color="auto"/>
        <w:left w:val="none" w:sz="0" w:space="0" w:color="auto"/>
        <w:bottom w:val="none" w:sz="0" w:space="0" w:color="auto"/>
        <w:right w:val="none" w:sz="0" w:space="0" w:color="auto"/>
      </w:divBdr>
    </w:div>
    <w:div w:id="1205286591">
      <w:bodyDiv w:val="1"/>
      <w:marLeft w:val="0"/>
      <w:marRight w:val="0"/>
      <w:marTop w:val="0"/>
      <w:marBottom w:val="0"/>
      <w:divBdr>
        <w:top w:val="none" w:sz="0" w:space="0" w:color="auto"/>
        <w:left w:val="none" w:sz="0" w:space="0" w:color="auto"/>
        <w:bottom w:val="none" w:sz="0" w:space="0" w:color="auto"/>
        <w:right w:val="none" w:sz="0" w:space="0" w:color="auto"/>
      </w:divBdr>
    </w:div>
    <w:div w:id="1205291347">
      <w:bodyDiv w:val="1"/>
      <w:marLeft w:val="0"/>
      <w:marRight w:val="0"/>
      <w:marTop w:val="0"/>
      <w:marBottom w:val="0"/>
      <w:divBdr>
        <w:top w:val="none" w:sz="0" w:space="0" w:color="auto"/>
        <w:left w:val="none" w:sz="0" w:space="0" w:color="auto"/>
        <w:bottom w:val="none" w:sz="0" w:space="0" w:color="auto"/>
        <w:right w:val="none" w:sz="0" w:space="0" w:color="auto"/>
      </w:divBdr>
    </w:div>
    <w:div w:id="1205367458">
      <w:bodyDiv w:val="1"/>
      <w:marLeft w:val="0"/>
      <w:marRight w:val="0"/>
      <w:marTop w:val="0"/>
      <w:marBottom w:val="0"/>
      <w:divBdr>
        <w:top w:val="none" w:sz="0" w:space="0" w:color="auto"/>
        <w:left w:val="none" w:sz="0" w:space="0" w:color="auto"/>
        <w:bottom w:val="none" w:sz="0" w:space="0" w:color="auto"/>
        <w:right w:val="none" w:sz="0" w:space="0" w:color="auto"/>
      </w:divBdr>
    </w:div>
    <w:div w:id="1205485135">
      <w:bodyDiv w:val="1"/>
      <w:marLeft w:val="0"/>
      <w:marRight w:val="0"/>
      <w:marTop w:val="0"/>
      <w:marBottom w:val="0"/>
      <w:divBdr>
        <w:top w:val="none" w:sz="0" w:space="0" w:color="auto"/>
        <w:left w:val="none" w:sz="0" w:space="0" w:color="auto"/>
        <w:bottom w:val="none" w:sz="0" w:space="0" w:color="auto"/>
        <w:right w:val="none" w:sz="0" w:space="0" w:color="auto"/>
      </w:divBdr>
    </w:div>
    <w:div w:id="1205681640">
      <w:bodyDiv w:val="1"/>
      <w:marLeft w:val="0"/>
      <w:marRight w:val="0"/>
      <w:marTop w:val="0"/>
      <w:marBottom w:val="0"/>
      <w:divBdr>
        <w:top w:val="none" w:sz="0" w:space="0" w:color="auto"/>
        <w:left w:val="none" w:sz="0" w:space="0" w:color="auto"/>
        <w:bottom w:val="none" w:sz="0" w:space="0" w:color="auto"/>
        <w:right w:val="none" w:sz="0" w:space="0" w:color="auto"/>
      </w:divBdr>
    </w:div>
    <w:div w:id="1205828445">
      <w:bodyDiv w:val="1"/>
      <w:marLeft w:val="0"/>
      <w:marRight w:val="0"/>
      <w:marTop w:val="0"/>
      <w:marBottom w:val="0"/>
      <w:divBdr>
        <w:top w:val="none" w:sz="0" w:space="0" w:color="auto"/>
        <w:left w:val="none" w:sz="0" w:space="0" w:color="auto"/>
        <w:bottom w:val="none" w:sz="0" w:space="0" w:color="auto"/>
        <w:right w:val="none" w:sz="0" w:space="0" w:color="auto"/>
      </w:divBdr>
    </w:div>
    <w:div w:id="1205874330">
      <w:bodyDiv w:val="1"/>
      <w:marLeft w:val="0"/>
      <w:marRight w:val="0"/>
      <w:marTop w:val="0"/>
      <w:marBottom w:val="0"/>
      <w:divBdr>
        <w:top w:val="none" w:sz="0" w:space="0" w:color="auto"/>
        <w:left w:val="none" w:sz="0" w:space="0" w:color="auto"/>
        <w:bottom w:val="none" w:sz="0" w:space="0" w:color="auto"/>
        <w:right w:val="none" w:sz="0" w:space="0" w:color="auto"/>
      </w:divBdr>
    </w:div>
    <w:div w:id="1205943660">
      <w:bodyDiv w:val="1"/>
      <w:marLeft w:val="0"/>
      <w:marRight w:val="0"/>
      <w:marTop w:val="0"/>
      <w:marBottom w:val="0"/>
      <w:divBdr>
        <w:top w:val="none" w:sz="0" w:space="0" w:color="auto"/>
        <w:left w:val="none" w:sz="0" w:space="0" w:color="auto"/>
        <w:bottom w:val="none" w:sz="0" w:space="0" w:color="auto"/>
        <w:right w:val="none" w:sz="0" w:space="0" w:color="auto"/>
      </w:divBdr>
    </w:div>
    <w:div w:id="1205949800">
      <w:bodyDiv w:val="1"/>
      <w:marLeft w:val="0"/>
      <w:marRight w:val="0"/>
      <w:marTop w:val="0"/>
      <w:marBottom w:val="0"/>
      <w:divBdr>
        <w:top w:val="none" w:sz="0" w:space="0" w:color="auto"/>
        <w:left w:val="none" w:sz="0" w:space="0" w:color="auto"/>
        <w:bottom w:val="none" w:sz="0" w:space="0" w:color="auto"/>
        <w:right w:val="none" w:sz="0" w:space="0" w:color="auto"/>
      </w:divBdr>
    </w:div>
    <w:div w:id="1206020491">
      <w:bodyDiv w:val="1"/>
      <w:marLeft w:val="0"/>
      <w:marRight w:val="0"/>
      <w:marTop w:val="0"/>
      <w:marBottom w:val="0"/>
      <w:divBdr>
        <w:top w:val="none" w:sz="0" w:space="0" w:color="auto"/>
        <w:left w:val="none" w:sz="0" w:space="0" w:color="auto"/>
        <w:bottom w:val="none" w:sz="0" w:space="0" w:color="auto"/>
        <w:right w:val="none" w:sz="0" w:space="0" w:color="auto"/>
      </w:divBdr>
    </w:div>
    <w:div w:id="1206136237">
      <w:bodyDiv w:val="1"/>
      <w:marLeft w:val="0"/>
      <w:marRight w:val="0"/>
      <w:marTop w:val="0"/>
      <w:marBottom w:val="0"/>
      <w:divBdr>
        <w:top w:val="none" w:sz="0" w:space="0" w:color="auto"/>
        <w:left w:val="none" w:sz="0" w:space="0" w:color="auto"/>
        <w:bottom w:val="none" w:sz="0" w:space="0" w:color="auto"/>
        <w:right w:val="none" w:sz="0" w:space="0" w:color="auto"/>
      </w:divBdr>
    </w:div>
    <w:div w:id="1206136592">
      <w:bodyDiv w:val="1"/>
      <w:marLeft w:val="0"/>
      <w:marRight w:val="0"/>
      <w:marTop w:val="0"/>
      <w:marBottom w:val="0"/>
      <w:divBdr>
        <w:top w:val="none" w:sz="0" w:space="0" w:color="auto"/>
        <w:left w:val="none" w:sz="0" w:space="0" w:color="auto"/>
        <w:bottom w:val="none" w:sz="0" w:space="0" w:color="auto"/>
        <w:right w:val="none" w:sz="0" w:space="0" w:color="auto"/>
      </w:divBdr>
      <w:divsChild>
        <w:div w:id="23212699">
          <w:marLeft w:val="0"/>
          <w:marRight w:val="0"/>
          <w:marTop w:val="0"/>
          <w:marBottom w:val="0"/>
          <w:divBdr>
            <w:top w:val="none" w:sz="0" w:space="0" w:color="auto"/>
            <w:left w:val="none" w:sz="0" w:space="0" w:color="auto"/>
            <w:bottom w:val="none" w:sz="0" w:space="0" w:color="auto"/>
            <w:right w:val="none" w:sz="0" w:space="0" w:color="auto"/>
          </w:divBdr>
        </w:div>
        <w:div w:id="40983070">
          <w:marLeft w:val="0"/>
          <w:marRight w:val="0"/>
          <w:marTop w:val="0"/>
          <w:marBottom w:val="0"/>
          <w:divBdr>
            <w:top w:val="none" w:sz="0" w:space="0" w:color="auto"/>
            <w:left w:val="none" w:sz="0" w:space="0" w:color="auto"/>
            <w:bottom w:val="none" w:sz="0" w:space="0" w:color="auto"/>
            <w:right w:val="none" w:sz="0" w:space="0" w:color="auto"/>
          </w:divBdr>
        </w:div>
        <w:div w:id="52046142">
          <w:marLeft w:val="0"/>
          <w:marRight w:val="0"/>
          <w:marTop w:val="0"/>
          <w:marBottom w:val="0"/>
          <w:divBdr>
            <w:top w:val="none" w:sz="0" w:space="0" w:color="auto"/>
            <w:left w:val="none" w:sz="0" w:space="0" w:color="auto"/>
            <w:bottom w:val="none" w:sz="0" w:space="0" w:color="auto"/>
            <w:right w:val="none" w:sz="0" w:space="0" w:color="auto"/>
          </w:divBdr>
        </w:div>
        <w:div w:id="61369076">
          <w:marLeft w:val="0"/>
          <w:marRight w:val="0"/>
          <w:marTop w:val="0"/>
          <w:marBottom w:val="0"/>
          <w:divBdr>
            <w:top w:val="none" w:sz="0" w:space="0" w:color="auto"/>
            <w:left w:val="none" w:sz="0" w:space="0" w:color="auto"/>
            <w:bottom w:val="none" w:sz="0" w:space="0" w:color="auto"/>
            <w:right w:val="none" w:sz="0" w:space="0" w:color="auto"/>
          </w:divBdr>
        </w:div>
        <w:div w:id="61485647">
          <w:marLeft w:val="0"/>
          <w:marRight w:val="0"/>
          <w:marTop w:val="0"/>
          <w:marBottom w:val="0"/>
          <w:divBdr>
            <w:top w:val="none" w:sz="0" w:space="0" w:color="auto"/>
            <w:left w:val="none" w:sz="0" w:space="0" w:color="auto"/>
            <w:bottom w:val="none" w:sz="0" w:space="0" w:color="auto"/>
            <w:right w:val="none" w:sz="0" w:space="0" w:color="auto"/>
          </w:divBdr>
        </w:div>
        <w:div w:id="81992628">
          <w:marLeft w:val="0"/>
          <w:marRight w:val="0"/>
          <w:marTop w:val="0"/>
          <w:marBottom w:val="0"/>
          <w:divBdr>
            <w:top w:val="none" w:sz="0" w:space="0" w:color="auto"/>
            <w:left w:val="none" w:sz="0" w:space="0" w:color="auto"/>
            <w:bottom w:val="none" w:sz="0" w:space="0" w:color="auto"/>
            <w:right w:val="none" w:sz="0" w:space="0" w:color="auto"/>
          </w:divBdr>
        </w:div>
        <w:div w:id="132720687">
          <w:marLeft w:val="0"/>
          <w:marRight w:val="0"/>
          <w:marTop w:val="0"/>
          <w:marBottom w:val="0"/>
          <w:divBdr>
            <w:top w:val="none" w:sz="0" w:space="0" w:color="auto"/>
            <w:left w:val="none" w:sz="0" w:space="0" w:color="auto"/>
            <w:bottom w:val="none" w:sz="0" w:space="0" w:color="auto"/>
            <w:right w:val="none" w:sz="0" w:space="0" w:color="auto"/>
          </w:divBdr>
        </w:div>
        <w:div w:id="135296193">
          <w:marLeft w:val="0"/>
          <w:marRight w:val="0"/>
          <w:marTop w:val="0"/>
          <w:marBottom w:val="0"/>
          <w:divBdr>
            <w:top w:val="none" w:sz="0" w:space="0" w:color="auto"/>
            <w:left w:val="none" w:sz="0" w:space="0" w:color="auto"/>
            <w:bottom w:val="none" w:sz="0" w:space="0" w:color="auto"/>
            <w:right w:val="none" w:sz="0" w:space="0" w:color="auto"/>
          </w:divBdr>
        </w:div>
        <w:div w:id="168058752">
          <w:marLeft w:val="0"/>
          <w:marRight w:val="0"/>
          <w:marTop w:val="0"/>
          <w:marBottom w:val="0"/>
          <w:divBdr>
            <w:top w:val="none" w:sz="0" w:space="0" w:color="auto"/>
            <w:left w:val="none" w:sz="0" w:space="0" w:color="auto"/>
            <w:bottom w:val="none" w:sz="0" w:space="0" w:color="auto"/>
            <w:right w:val="none" w:sz="0" w:space="0" w:color="auto"/>
          </w:divBdr>
        </w:div>
        <w:div w:id="186214843">
          <w:marLeft w:val="0"/>
          <w:marRight w:val="0"/>
          <w:marTop w:val="0"/>
          <w:marBottom w:val="0"/>
          <w:divBdr>
            <w:top w:val="none" w:sz="0" w:space="0" w:color="auto"/>
            <w:left w:val="none" w:sz="0" w:space="0" w:color="auto"/>
            <w:bottom w:val="none" w:sz="0" w:space="0" w:color="auto"/>
            <w:right w:val="none" w:sz="0" w:space="0" w:color="auto"/>
          </w:divBdr>
        </w:div>
        <w:div w:id="195316538">
          <w:marLeft w:val="0"/>
          <w:marRight w:val="0"/>
          <w:marTop w:val="0"/>
          <w:marBottom w:val="0"/>
          <w:divBdr>
            <w:top w:val="none" w:sz="0" w:space="0" w:color="auto"/>
            <w:left w:val="none" w:sz="0" w:space="0" w:color="auto"/>
            <w:bottom w:val="none" w:sz="0" w:space="0" w:color="auto"/>
            <w:right w:val="none" w:sz="0" w:space="0" w:color="auto"/>
          </w:divBdr>
        </w:div>
        <w:div w:id="220025915">
          <w:marLeft w:val="0"/>
          <w:marRight w:val="0"/>
          <w:marTop w:val="0"/>
          <w:marBottom w:val="0"/>
          <w:divBdr>
            <w:top w:val="none" w:sz="0" w:space="0" w:color="auto"/>
            <w:left w:val="none" w:sz="0" w:space="0" w:color="auto"/>
            <w:bottom w:val="none" w:sz="0" w:space="0" w:color="auto"/>
            <w:right w:val="none" w:sz="0" w:space="0" w:color="auto"/>
          </w:divBdr>
        </w:div>
        <w:div w:id="231358297">
          <w:marLeft w:val="0"/>
          <w:marRight w:val="0"/>
          <w:marTop w:val="0"/>
          <w:marBottom w:val="0"/>
          <w:divBdr>
            <w:top w:val="none" w:sz="0" w:space="0" w:color="auto"/>
            <w:left w:val="none" w:sz="0" w:space="0" w:color="auto"/>
            <w:bottom w:val="none" w:sz="0" w:space="0" w:color="auto"/>
            <w:right w:val="none" w:sz="0" w:space="0" w:color="auto"/>
          </w:divBdr>
        </w:div>
        <w:div w:id="252402312">
          <w:marLeft w:val="0"/>
          <w:marRight w:val="0"/>
          <w:marTop w:val="0"/>
          <w:marBottom w:val="0"/>
          <w:divBdr>
            <w:top w:val="none" w:sz="0" w:space="0" w:color="auto"/>
            <w:left w:val="none" w:sz="0" w:space="0" w:color="auto"/>
            <w:bottom w:val="none" w:sz="0" w:space="0" w:color="auto"/>
            <w:right w:val="none" w:sz="0" w:space="0" w:color="auto"/>
          </w:divBdr>
        </w:div>
        <w:div w:id="274604796">
          <w:marLeft w:val="0"/>
          <w:marRight w:val="0"/>
          <w:marTop w:val="0"/>
          <w:marBottom w:val="0"/>
          <w:divBdr>
            <w:top w:val="none" w:sz="0" w:space="0" w:color="auto"/>
            <w:left w:val="none" w:sz="0" w:space="0" w:color="auto"/>
            <w:bottom w:val="none" w:sz="0" w:space="0" w:color="auto"/>
            <w:right w:val="none" w:sz="0" w:space="0" w:color="auto"/>
          </w:divBdr>
        </w:div>
        <w:div w:id="288245894">
          <w:marLeft w:val="0"/>
          <w:marRight w:val="0"/>
          <w:marTop w:val="0"/>
          <w:marBottom w:val="0"/>
          <w:divBdr>
            <w:top w:val="none" w:sz="0" w:space="0" w:color="auto"/>
            <w:left w:val="none" w:sz="0" w:space="0" w:color="auto"/>
            <w:bottom w:val="none" w:sz="0" w:space="0" w:color="auto"/>
            <w:right w:val="none" w:sz="0" w:space="0" w:color="auto"/>
          </w:divBdr>
        </w:div>
        <w:div w:id="308944455">
          <w:marLeft w:val="0"/>
          <w:marRight w:val="0"/>
          <w:marTop w:val="0"/>
          <w:marBottom w:val="0"/>
          <w:divBdr>
            <w:top w:val="none" w:sz="0" w:space="0" w:color="auto"/>
            <w:left w:val="none" w:sz="0" w:space="0" w:color="auto"/>
            <w:bottom w:val="none" w:sz="0" w:space="0" w:color="auto"/>
            <w:right w:val="none" w:sz="0" w:space="0" w:color="auto"/>
          </w:divBdr>
        </w:div>
        <w:div w:id="312372910">
          <w:marLeft w:val="0"/>
          <w:marRight w:val="0"/>
          <w:marTop w:val="0"/>
          <w:marBottom w:val="0"/>
          <w:divBdr>
            <w:top w:val="none" w:sz="0" w:space="0" w:color="auto"/>
            <w:left w:val="none" w:sz="0" w:space="0" w:color="auto"/>
            <w:bottom w:val="none" w:sz="0" w:space="0" w:color="auto"/>
            <w:right w:val="none" w:sz="0" w:space="0" w:color="auto"/>
          </w:divBdr>
        </w:div>
        <w:div w:id="313220201">
          <w:marLeft w:val="0"/>
          <w:marRight w:val="0"/>
          <w:marTop w:val="0"/>
          <w:marBottom w:val="0"/>
          <w:divBdr>
            <w:top w:val="none" w:sz="0" w:space="0" w:color="auto"/>
            <w:left w:val="none" w:sz="0" w:space="0" w:color="auto"/>
            <w:bottom w:val="none" w:sz="0" w:space="0" w:color="auto"/>
            <w:right w:val="none" w:sz="0" w:space="0" w:color="auto"/>
          </w:divBdr>
        </w:div>
        <w:div w:id="315957283">
          <w:marLeft w:val="0"/>
          <w:marRight w:val="0"/>
          <w:marTop w:val="0"/>
          <w:marBottom w:val="0"/>
          <w:divBdr>
            <w:top w:val="none" w:sz="0" w:space="0" w:color="auto"/>
            <w:left w:val="none" w:sz="0" w:space="0" w:color="auto"/>
            <w:bottom w:val="none" w:sz="0" w:space="0" w:color="auto"/>
            <w:right w:val="none" w:sz="0" w:space="0" w:color="auto"/>
          </w:divBdr>
        </w:div>
        <w:div w:id="361980285">
          <w:marLeft w:val="0"/>
          <w:marRight w:val="0"/>
          <w:marTop w:val="0"/>
          <w:marBottom w:val="0"/>
          <w:divBdr>
            <w:top w:val="none" w:sz="0" w:space="0" w:color="auto"/>
            <w:left w:val="none" w:sz="0" w:space="0" w:color="auto"/>
            <w:bottom w:val="none" w:sz="0" w:space="0" w:color="auto"/>
            <w:right w:val="none" w:sz="0" w:space="0" w:color="auto"/>
          </w:divBdr>
        </w:div>
        <w:div w:id="371655081">
          <w:marLeft w:val="0"/>
          <w:marRight w:val="0"/>
          <w:marTop w:val="0"/>
          <w:marBottom w:val="0"/>
          <w:divBdr>
            <w:top w:val="none" w:sz="0" w:space="0" w:color="auto"/>
            <w:left w:val="none" w:sz="0" w:space="0" w:color="auto"/>
            <w:bottom w:val="none" w:sz="0" w:space="0" w:color="auto"/>
            <w:right w:val="none" w:sz="0" w:space="0" w:color="auto"/>
          </w:divBdr>
        </w:div>
        <w:div w:id="375012655">
          <w:marLeft w:val="0"/>
          <w:marRight w:val="0"/>
          <w:marTop w:val="0"/>
          <w:marBottom w:val="0"/>
          <w:divBdr>
            <w:top w:val="none" w:sz="0" w:space="0" w:color="auto"/>
            <w:left w:val="none" w:sz="0" w:space="0" w:color="auto"/>
            <w:bottom w:val="none" w:sz="0" w:space="0" w:color="auto"/>
            <w:right w:val="none" w:sz="0" w:space="0" w:color="auto"/>
          </w:divBdr>
        </w:div>
        <w:div w:id="402946958">
          <w:marLeft w:val="0"/>
          <w:marRight w:val="0"/>
          <w:marTop w:val="0"/>
          <w:marBottom w:val="0"/>
          <w:divBdr>
            <w:top w:val="none" w:sz="0" w:space="0" w:color="auto"/>
            <w:left w:val="none" w:sz="0" w:space="0" w:color="auto"/>
            <w:bottom w:val="none" w:sz="0" w:space="0" w:color="auto"/>
            <w:right w:val="none" w:sz="0" w:space="0" w:color="auto"/>
          </w:divBdr>
        </w:div>
        <w:div w:id="415592068">
          <w:marLeft w:val="0"/>
          <w:marRight w:val="0"/>
          <w:marTop w:val="0"/>
          <w:marBottom w:val="0"/>
          <w:divBdr>
            <w:top w:val="none" w:sz="0" w:space="0" w:color="auto"/>
            <w:left w:val="none" w:sz="0" w:space="0" w:color="auto"/>
            <w:bottom w:val="none" w:sz="0" w:space="0" w:color="auto"/>
            <w:right w:val="none" w:sz="0" w:space="0" w:color="auto"/>
          </w:divBdr>
        </w:div>
        <w:div w:id="430931245">
          <w:marLeft w:val="0"/>
          <w:marRight w:val="0"/>
          <w:marTop w:val="0"/>
          <w:marBottom w:val="0"/>
          <w:divBdr>
            <w:top w:val="none" w:sz="0" w:space="0" w:color="auto"/>
            <w:left w:val="none" w:sz="0" w:space="0" w:color="auto"/>
            <w:bottom w:val="none" w:sz="0" w:space="0" w:color="auto"/>
            <w:right w:val="none" w:sz="0" w:space="0" w:color="auto"/>
          </w:divBdr>
        </w:div>
        <w:div w:id="432093228">
          <w:marLeft w:val="0"/>
          <w:marRight w:val="0"/>
          <w:marTop w:val="0"/>
          <w:marBottom w:val="0"/>
          <w:divBdr>
            <w:top w:val="none" w:sz="0" w:space="0" w:color="auto"/>
            <w:left w:val="none" w:sz="0" w:space="0" w:color="auto"/>
            <w:bottom w:val="none" w:sz="0" w:space="0" w:color="auto"/>
            <w:right w:val="none" w:sz="0" w:space="0" w:color="auto"/>
          </w:divBdr>
        </w:div>
        <w:div w:id="462161911">
          <w:marLeft w:val="0"/>
          <w:marRight w:val="0"/>
          <w:marTop w:val="0"/>
          <w:marBottom w:val="0"/>
          <w:divBdr>
            <w:top w:val="none" w:sz="0" w:space="0" w:color="auto"/>
            <w:left w:val="none" w:sz="0" w:space="0" w:color="auto"/>
            <w:bottom w:val="none" w:sz="0" w:space="0" w:color="auto"/>
            <w:right w:val="none" w:sz="0" w:space="0" w:color="auto"/>
          </w:divBdr>
        </w:div>
        <w:div w:id="489560470">
          <w:marLeft w:val="0"/>
          <w:marRight w:val="0"/>
          <w:marTop w:val="0"/>
          <w:marBottom w:val="0"/>
          <w:divBdr>
            <w:top w:val="none" w:sz="0" w:space="0" w:color="auto"/>
            <w:left w:val="none" w:sz="0" w:space="0" w:color="auto"/>
            <w:bottom w:val="none" w:sz="0" w:space="0" w:color="auto"/>
            <w:right w:val="none" w:sz="0" w:space="0" w:color="auto"/>
          </w:divBdr>
        </w:div>
        <w:div w:id="491215811">
          <w:marLeft w:val="0"/>
          <w:marRight w:val="0"/>
          <w:marTop w:val="0"/>
          <w:marBottom w:val="0"/>
          <w:divBdr>
            <w:top w:val="none" w:sz="0" w:space="0" w:color="auto"/>
            <w:left w:val="none" w:sz="0" w:space="0" w:color="auto"/>
            <w:bottom w:val="none" w:sz="0" w:space="0" w:color="auto"/>
            <w:right w:val="none" w:sz="0" w:space="0" w:color="auto"/>
          </w:divBdr>
        </w:div>
        <w:div w:id="494732341">
          <w:marLeft w:val="0"/>
          <w:marRight w:val="0"/>
          <w:marTop w:val="0"/>
          <w:marBottom w:val="0"/>
          <w:divBdr>
            <w:top w:val="none" w:sz="0" w:space="0" w:color="auto"/>
            <w:left w:val="none" w:sz="0" w:space="0" w:color="auto"/>
            <w:bottom w:val="none" w:sz="0" w:space="0" w:color="auto"/>
            <w:right w:val="none" w:sz="0" w:space="0" w:color="auto"/>
          </w:divBdr>
        </w:div>
        <w:div w:id="509879659">
          <w:marLeft w:val="0"/>
          <w:marRight w:val="0"/>
          <w:marTop w:val="0"/>
          <w:marBottom w:val="0"/>
          <w:divBdr>
            <w:top w:val="none" w:sz="0" w:space="0" w:color="auto"/>
            <w:left w:val="none" w:sz="0" w:space="0" w:color="auto"/>
            <w:bottom w:val="none" w:sz="0" w:space="0" w:color="auto"/>
            <w:right w:val="none" w:sz="0" w:space="0" w:color="auto"/>
          </w:divBdr>
        </w:div>
        <w:div w:id="517812409">
          <w:marLeft w:val="0"/>
          <w:marRight w:val="0"/>
          <w:marTop w:val="0"/>
          <w:marBottom w:val="0"/>
          <w:divBdr>
            <w:top w:val="none" w:sz="0" w:space="0" w:color="auto"/>
            <w:left w:val="none" w:sz="0" w:space="0" w:color="auto"/>
            <w:bottom w:val="none" w:sz="0" w:space="0" w:color="auto"/>
            <w:right w:val="none" w:sz="0" w:space="0" w:color="auto"/>
          </w:divBdr>
        </w:div>
        <w:div w:id="526530723">
          <w:marLeft w:val="0"/>
          <w:marRight w:val="0"/>
          <w:marTop w:val="0"/>
          <w:marBottom w:val="0"/>
          <w:divBdr>
            <w:top w:val="none" w:sz="0" w:space="0" w:color="auto"/>
            <w:left w:val="none" w:sz="0" w:space="0" w:color="auto"/>
            <w:bottom w:val="none" w:sz="0" w:space="0" w:color="auto"/>
            <w:right w:val="none" w:sz="0" w:space="0" w:color="auto"/>
          </w:divBdr>
        </w:div>
        <w:div w:id="528179165">
          <w:marLeft w:val="0"/>
          <w:marRight w:val="0"/>
          <w:marTop w:val="0"/>
          <w:marBottom w:val="0"/>
          <w:divBdr>
            <w:top w:val="none" w:sz="0" w:space="0" w:color="auto"/>
            <w:left w:val="none" w:sz="0" w:space="0" w:color="auto"/>
            <w:bottom w:val="none" w:sz="0" w:space="0" w:color="auto"/>
            <w:right w:val="none" w:sz="0" w:space="0" w:color="auto"/>
          </w:divBdr>
        </w:div>
        <w:div w:id="554240829">
          <w:marLeft w:val="0"/>
          <w:marRight w:val="0"/>
          <w:marTop w:val="0"/>
          <w:marBottom w:val="0"/>
          <w:divBdr>
            <w:top w:val="none" w:sz="0" w:space="0" w:color="auto"/>
            <w:left w:val="none" w:sz="0" w:space="0" w:color="auto"/>
            <w:bottom w:val="none" w:sz="0" w:space="0" w:color="auto"/>
            <w:right w:val="none" w:sz="0" w:space="0" w:color="auto"/>
          </w:divBdr>
        </w:div>
        <w:div w:id="559830000">
          <w:marLeft w:val="0"/>
          <w:marRight w:val="0"/>
          <w:marTop w:val="0"/>
          <w:marBottom w:val="0"/>
          <w:divBdr>
            <w:top w:val="none" w:sz="0" w:space="0" w:color="auto"/>
            <w:left w:val="none" w:sz="0" w:space="0" w:color="auto"/>
            <w:bottom w:val="none" w:sz="0" w:space="0" w:color="auto"/>
            <w:right w:val="none" w:sz="0" w:space="0" w:color="auto"/>
          </w:divBdr>
        </w:div>
        <w:div w:id="560016315">
          <w:marLeft w:val="0"/>
          <w:marRight w:val="0"/>
          <w:marTop w:val="0"/>
          <w:marBottom w:val="0"/>
          <w:divBdr>
            <w:top w:val="none" w:sz="0" w:space="0" w:color="auto"/>
            <w:left w:val="none" w:sz="0" w:space="0" w:color="auto"/>
            <w:bottom w:val="none" w:sz="0" w:space="0" w:color="auto"/>
            <w:right w:val="none" w:sz="0" w:space="0" w:color="auto"/>
          </w:divBdr>
        </w:div>
        <w:div w:id="582028139">
          <w:marLeft w:val="0"/>
          <w:marRight w:val="0"/>
          <w:marTop w:val="0"/>
          <w:marBottom w:val="0"/>
          <w:divBdr>
            <w:top w:val="none" w:sz="0" w:space="0" w:color="auto"/>
            <w:left w:val="none" w:sz="0" w:space="0" w:color="auto"/>
            <w:bottom w:val="none" w:sz="0" w:space="0" w:color="auto"/>
            <w:right w:val="none" w:sz="0" w:space="0" w:color="auto"/>
          </w:divBdr>
        </w:div>
        <w:div w:id="585070177">
          <w:marLeft w:val="0"/>
          <w:marRight w:val="0"/>
          <w:marTop w:val="0"/>
          <w:marBottom w:val="0"/>
          <w:divBdr>
            <w:top w:val="none" w:sz="0" w:space="0" w:color="auto"/>
            <w:left w:val="none" w:sz="0" w:space="0" w:color="auto"/>
            <w:bottom w:val="none" w:sz="0" w:space="0" w:color="auto"/>
            <w:right w:val="none" w:sz="0" w:space="0" w:color="auto"/>
          </w:divBdr>
        </w:div>
        <w:div w:id="609631108">
          <w:marLeft w:val="0"/>
          <w:marRight w:val="0"/>
          <w:marTop w:val="0"/>
          <w:marBottom w:val="0"/>
          <w:divBdr>
            <w:top w:val="none" w:sz="0" w:space="0" w:color="auto"/>
            <w:left w:val="none" w:sz="0" w:space="0" w:color="auto"/>
            <w:bottom w:val="none" w:sz="0" w:space="0" w:color="auto"/>
            <w:right w:val="none" w:sz="0" w:space="0" w:color="auto"/>
          </w:divBdr>
        </w:div>
        <w:div w:id="616982938">
          <w:marLeft w:val="0"/>
          <w:marRight w:val="0"/>
          <w:marTop w:val="0"/>
          <w:marBottom w:val="0"/>
          <w:divBdr>
            <w:top w:val="none" w:sz="0" w:space="0" w:color="auto"/>
            <w:left w:val="none" w:sz="0" w:space="0" w:color="auto"/>
            <w:bottom w:val="none" w:sz="0" w:space="0" w:color="auto"/>
            <w:right w:val="none" w:sz="0" w:space="0" w:color="auto"/>
          </w:divBdr>
        </w:div>
        <w:div w:id="618293717">
          <w:marLeft w:val="0"/>
          <w:marRight w:val="0"/>
          <w:marTop w:val="0"/>
          <w:marBottom w:val="0"/>
          <w:divBdr>
            <w:top w:val="none" w:sz="0" w:space="0" w:color="auto"/>
            <w:left w:val="none" w:sz="0" w:space="0" w:color="auto"/>
            <w:bottom w:val="none" w:sz="0" w:space="0" w:color="auto"/>
            <w:right w:val="none" w:sz="0" w:space="0" w:color="auto"/>
          </w:divBdr>
        </w:div>
        <w:div w:id="620233241">
          <w:marLeft w:val="0"/>
          <w:marRight w:val="0"/>
          <w:marTop w:val="0"/>
          <w:marBottom w:val="0"/>
          <w:divBdr>
            <w:top w:val="none" w:sz="0" w:space="0" w:color="auto"/>
            <w:left w:val="none" w:sz="0" w:space="0" w:color="auto"/>
            <w:bottom w:val="none" w:sz="0" w:space="0" w:color="auto"/>
            <w:right w:val="none" w:sz="0" w:space="0" w:color="auto"/>
          </w:divBdr>
        </w:div>
        <w:div w:id="623657294">
          <w:marLeft w:val="0"/>
          <w:marRight w:val="0"/>
          <w:marTop w:val="0"/>
          <w:marBottom w:val="0"/>
          <w:divBdr>
            <w:top w:val="none" w:sz="0" w:space="0" w:color="auto"/>
            <w:left w:val="none" w:sz="0" w:space="0" w:color="auto"/>
            <w:bottom w:val="none" w:sz="0" w:space="0" w:color="auto"/>
            <w:right w:val="none" w:sz="0" w:space="0" w:color="auto"/>
          </w:divBdr>
        </w:div>
        <w:div w:id="638613400">
          <w:marLeft w:val="0"/>
          <w:marRight w:val="0"/>
          <w:marTop w:val="0"/>
          <w:marBottom w:val="0"/>
          <w:divBdr>
            <w:top w:val="none" w:sz="0" w:space="0" w:color="auto"/>
            <w:left w:val="none" w:sz="0" w:space="0" w:color="auto"/>
            <w:bottom w:val="none" w:sz="0" w:space="0" w:color="auto"/>
            <w:right w:val="none" w:sz="0" w:space="0" w:color="auto"/>
          </w:divBdr>
        </w:div>
        <w:div w:id="658116739">
          <w:marLeft w:val="0"/>
          <w:marRight w:val="0"/>
          <w:marTop w:val="0"/>
          <w:marBottom w:val="0"/>
          <w:divBdr>
            <w:top w:val="none" w:sz="0" w:space="0" w:color="auto"/>
            <w:left w:val="none" w:sz="0" w:space="0" w:color="auto"/>
            <w:bottom w:val="none" w:sz="0" w:space="0" w:color="auto"/>
            <w:right w:val="none" w:sz="0" w:space="0" w:color="auto"/>
          </w:divBdr>
        </w:div>
        <w:div w:id="671027630">
          <w:marLeft w:val="0"/>
          <w:marRight w:val="0"/>
          <w:marTop w:val="0"/>
          <w:marBottom w:val="0"/>
          <w:divBdr>
            <w:top w:val="none" w:sz="0" w:space="0" w:color="auto"/>
            <w:left w:val="none" w:sz="0" w:space="0" w:color="auto"/>
            <w:bottom w:val="none" w:sz="0" w:space="0" w:color="auto"/>
            <w:right w:val="none" w:sz="0" w:space="0" w:color="auto"/>
          </w:divBdr>
        </w:div>
        <w:div w:id="738212352">
          <w:marLeft w:val="0"/>
          <w:marRight w:val="0"/>
          <w:marTop w:val="0"/>
          <w:marBottom w:val="0"/>
          <w:divBdr>
            <w:top w:val="none" w:sz="0" w:space="0" w:color="auto"/>
            <w:left w:val="none" w:sz="0" w:space="0" w:color="auto"/>
            <w:bottom w:val="none" w:sz="0" w:space="0" w:color="auto"/>
            <w:right w:val="none" w:sz="0" w:space="0" w:color="auto"/>
          </w:divBdr>
        </w:div>
        <w:div w:id="749080749">
          <w:marLeft w:val="0"/>
          <w:marRight w:val="0"/>
          <w:marTop w:val="0"/>
          <w:marBottom w:val="0"/>
          <w:divBdr>
            <w:top w:val="none" w:sz="0" w:space="0" w:color="auto"/>
            <w:left w:val="none" w:sz="0" w:space="0" w:color="auto"/>
            <w:bottom w:val="none" w:sz="0" w:space="0" w:color="auto"/>
            <w:right w:val="none" w:sz="0" w:space="0" w:color="auto"/>
          </w:divBdr>
        </w:div>
        <w:div w:id="750196005">
          <w:marLeft w:val="0"/>
          <w:marRight w:val="0"/>
          <w:marTop w:val="0"/>
          <w:marBottom w:val="0"/>
          <w:divBdr>
            <w:top w:val="none" w:sz="0" w:space="0" w:color="auto"/>
            <w:left w:val="none" w:sz="0" w:space="0" w:color="auto"/>
            <w:bottom w:val="none" w:sz="0" w:space="0" w:color="auto"/>
            <w:right w:val="none" w:sz="0" w:space="0" w:color="auto"/>
          </w:divBdr>
        </w:div>
        <w:div w:id="755631884">
          <w:marLeft w:val="0"/>
          <w:marRight w:val="0"/>
          <w:marTop w:val="0"/>
          <w:marBottom w:val="0"/>
          <w:divBdr>
            <w:top w:val="none" w:sz="0" w:space="0" w:color="auto"/>
            <w:left w:val="none" w:sz="0" w:space="0" w:color="auto"/>
            <w:bottom w:val="none" w:sz="0" w:space="0" w:color="auto"/>
            <w:right w:val="none" w:sz="0" w:space="0" w:color="auto"/>
          </w:divBdr>
        </w:div>
        <w:div w:id="764620614">
          <w:marLeft w:val="0"/>
          <w:marRight w:val="0"/>
          <w:marTop w:val="0"/>
          <w:marBottom w:val="0"/>
          <w:divBdr>
            <w:top w:val="none" w:sz="0" w:space="0" w:color="auto"/>
            <w:left w:val="none" w:sz="0" w:space="0" w:color="auto"/>
            <w:bottom w:val="none" w:sz="0" w:space="0" w:color="auto"/>
            <w:right w:val="none" w:sz="0" w:space="0" w:color="auto"/>
          </w:divBdr>
        </w:div>
        <w:div w:id="767776622">
          <w:marLeft w:val="0"/>
          <w:marRight w:val="0"/>
          <w:marTop w:val="0"/>
          <w:marBottom w:val="0"/>
          <w:divBdr>
            <w:top w:val="none" w:sz="0" w:space="0" w:color="auto"/>
            <w:left w:val="none" w:sz="0" w:space="0" w:color="auto"/>
            <w:bottom w:val="none" w:sz="0" w:space="0" w:color="auto"/>
            <w:right w:val="none" w:sz="0" w:space="0" w:color="auto"/>
          </w:divBdr>
        </w:div>
        <w:div w:id="784008418">
          <w:marLeft w:val="0"/>
          <w:marRight w:val="0"/>
          <w:marTop w:val="0"/>
          <w:marBottom w:val="0"/>
          <w:divBdr>
            <w:top w:val="none" w:sz="0" w:space="0" w:color="auto"/>
            <w:left w:val="none" w:sz="0" w:space="0" w:color="auto"/>
            <w:bottom w:val="none" w:sz="0" w:space="0" w:color="auto"/>
            <w:right w:val="none" w:sz="0" w:space="0" w:color="auto"/>
          </w:divBdr>
        </w:div>
        <w:div w:id="799033606">
          <w:marLeft w:val="0"/>
          <w:marRight w:val="0"/>
          <w:marTop w:val="0"/>
          <w:marBottom w:val="0"/>
          <w:divBdr>
            <w:top w:val="none" w:sz="0" w:space="0" w:color="auto"/>
            <w:left w:val="none" w:sz="0" w:space="0" w:color="auto"/>
            <w:bottom w:val="none" w:sz="0" w:space="0" w:color="auto"/>
            <w:right w:val="none" w:sz="0" w:space="0" w:color="auto"/>
          </w:divBdr>
        </w:div>
        <w:div w:id="800660084">
          <w:marLeft w:val="0"/>
          <w:marRight w:val="0"/>
          <w:marTop w:val="0"/>
          <w:marBottom w:val="0"/>
          <w:divBdr>
            <w:top w:val="none" w:sz="0" w:space="0" w:color="auto"/>
            <w:left w:val="none" w:sz="0" w:space="0" w:color="auto"/>
            <w:bottom w:val="none" w:sz="0" w:space="0" w:color="auto"/>
            <w:right w:val="none" w:sz="0" w:space="0" w:color="auto"/>
          </w:divBdr>
        </w:div>
        <w:div w:id="809901703">
          <w:marLeft w:val="0"/>
          <w:marRight w:val="0"/>
          <w:marTop w:val="0"/>
          <w:marBottom w:val="0"/>
          <w:divBdr>
            <w:top w:val="none" w:sz="0" w:space="0" w:color="auto"/>
            <w:left w:val="none" w:sz="0" w:space="0" w:color="auto"/>
            <w:bottom w:val="none" w:sz="0" w:space="0" w:color="auto"/>
            <w:right w:val="none" w:sz="0" w:space="0" w:color="auto"/>
          </w:divBdr>
        </w:div>
        <w:div w:id="828902933">
          <w:marLeft w:val="0"/>
          <w:marRight w:val="0"/>
          <w:marTop w:val="0"/>
          <w:marBottom w:val="0"/>
          <w:divBdr>
            <w:top w:val="none" w:sz="0" w:space="0" w:color="auto"/>
            <w:left w:val="none" w:sz="0" w:space="0" w:color="auto"/>
            <w:bottom w:val="none" w:sz="0" w:space="0" w:color="auto"/>
            <w:right w:val="none" w:sz="0" w:space="0" w:color="auto"/>
          </w:divBdr>
        </w:div>
        <w:div w:id="830872301">
          <w:marLeft w:val="0"/>
          <w:marRight w:val="0"/>
          <w:marTop w:val="0"/>
          <w:marBottom w:val="0"/>
          <w:divBdr>
            <w:top w:val="none" w:sz="0" w:space="0" w:color="auto"/>
            <w:left w:val="none" w:sz="0" w:space="0" w:color="auto"/>
            <w:bottom w:val="none" w:sz="0" w:space="0" w:color="auto"/>
            <w:right w:val="none" w:sz="0" w:space="0" w:color="auto"/>
          </w:divBdr>
        </w:div>
        <w:div w:id="870653646">
          <w:marLeft w:val="0"/>
          <w:marRight w:val="0"/>
          <w:marTop w:val="0"/>
          <w:marBottom w:val="0"/>
          <w:divBdr>
            <w:top w:val="none" w:sz="0" w:space="0" w:color="auto"/>
            <w:left w:val="none" w:sz="0" w:space="0" w:color="auto"/>
            <w:bottom w:val="none" w:sz="0" w:space="0" w:color="auto"/>
            <w:right w:val="none" w:sz="0" w:space="0" w:color="auto"/>
          </w:divBdr>
        </w:div>
        <w:div w:id="880434506">
          <w:marLeft w:val="0"/>
          <w:marRight w:val="0"/>
          <w:marTop w:val="0"/>
          <w:marBottom w:val="0"/>
          <w:divBdr>
            <w:top w:val="none" w:sz="0" w:space="0" w:color="auto"/>
            <w:left w:val="none" w:sz="0" w:space="0" w:color="auto"/>
            <w:bottom w:val="none" w:sz="0" w:space="0" w:color="auto"/>
            <w:right w:val="none" w:sz="0" w:space="0" w:color="auto"/>
          </w:divBdr>
        </w:div>
        <w:div w:id="911618416">
          <w:marLeft w:val="0"/>
          <w:marRight w:val="0"/>
          <w:marTop w:val="0"/>
          <w:marBottom w:val="0"/>
          <w:divBdr>
            <w:top w:val="none" w:sz="0" w:space="0" w:color="auto"/>
            <w:left w:val="none" w:sz="0" w:space="0" w:color="auto"/>
            <w:bottom w:val="none" w:sz="0" w:space="0" w:color="auto"/>
            <w:right w:val="none" w:sz="0" w:space="0" w:color="auto"/>
          </w:divBdr>
        </w:div>
        <w:div w:id="915015343">
          <w:marLeft w:val="0"/>
          <w:marRight w:val="0"/>
          <w:marTop w:val="0"/>
          <w:marBottom w:val="0"/>
          <w:divBdr>
            <w:top w:val="none" w:sz="0" w:space="0" w:color="auto"/>
            <w:left w:val="none" w:sz="0" w:space="0" w:color="auto"/>
            <w:bottom w:val="none" w:sz="0" w:space="0" w:color="auto"/>
            <w:right w:val="none" w:sz="0" w:space="0" w:color="auto"/>
          </w:divBdr>
        </w:div>
        <w:div w:id="916745247">
          <w:marLeft w:val="0"/>
          <w:marRight w:val="0"/>
          <w:marTop w:val="0"/>
          <w:marBottom w:val="0"/>
          <w:divBdr>
            <w:top w:val="none" w:sz="0" w:space="0" w:color="auto"/>
            <w:left w:val="none" w:sz="0" w:space="0" w:color="auto"/>
            <w:bottom w:val="none" w:sz="0" w:space="0" w:color="auto"/>
            <w:right w:val="none" w:sz="0" w:space="0" w:color="auto"/>
          </w:divBdr>
        </w:div>
        <w:div w:id="926890149">
          <w:marLeft w:val="0"/>
          <w:marRight w:val="0"/>
          <w:marTop w:val="0"/>
          <w:marBottom w:val="0"/>
          <w:divBdr>
            <w:top w:val="none" w:sz="0" w:space="0" w:color="auto"/>
            <w:left w:val="none" w:sz="0" w:space="0" w:color="auto"/>
            <w:bottom w:val="none" w:sz="0" w:space="0" w:color="auto"/>
            <w:right w:val="none" w:sz="0" w:space="0" w:color="auto"/>
          </w:divBdr>
        </w:div>
        <w:div w:id="930509517">
          <w:marLeft w:val="0"/>
          <w:marRight w:val="0"/>
          <w:marTop w:val="0"/>
          <w:marBottom w:val="0"/>
          <w:divBdr>
            <w:top w:val="none" w:sz="0" w:space="0" w:color="auto"/>
            <w:left w:val="none" w:sz="0" w:space="0" w:color="auto"/>
            <w:bottom w:val="none" w:sz="0" w:space="0" w:color="auto"/>
            <w:right w:val="none" w:sz="0" w:space="0" w:color="auto"/>
          </w:divBdr>
        </w:div>
        <w:div w:id="948583425">
          <w:marLeft w:val="0"/>
          <w:marRight w:val="0"/>
          <w:marTop w:val="0"/>
          <w:marBottom w:val="0"/>
          <w:divBdr>
            <w:top w:val="none" w:sz="0" w:space="0" w:color="auto"/>
            <w:left w:val="none" w:sz="0" w:space="0" w:color="auto"/>
            <w:bottom w:val="none" w:sz="0" w:space="0" w:color="auto"/>
            <w:right w:val="none" w:sz="0" w:space="0" w:color="auto"/>
          </w:divBdr>
        </w:div>
        <w:div w:id="974289130">
          <w:marLeft w:val="0"/>
          <w:marRight w:val="0"/>
          <w:marTop w:val="0"/>
          <w:marBottom w:val="0"/>
          <w:divBdr>
            <w:top w:val="none" w:sz="0" w:space="0" w:color="auto"/>
            <w:left w:val="none" w:sz="0" w:space="0" w:color="auto"/>
            <w:bottom w:val="none" w:sz="0" w:space="0" w:color="auto"/>
            <w:right w:val="none" w:sz="0" w:space="0" w:color="auto"/>
          </w:divBdr>
        </w:div>
        <w:div w:id="974943920">
          <w:marLeft w:val="0"/>
          <w:marRight w:val="0"/>
          <w:marTop w:val="0"/>
          <w:marBottom w:val="0"/>
          <w:divBdr>
            <w:top w:val="none" w:sz="0" w:space="0" w:color="auto"/>
            <w:left w:val="none" w:sz="0" w:space="0" w:color="auto"/>
            <w:bottom w:val="none" w:sz="0" w:space="0" w:color="auto"/>
            <w:right w:val="none" w:sz="0" w:space="0" w:color="auto"/>
          </w:divBdr>
        </w:div>
        <w:div w:id="992834995">
          <w:marLeft w:val="0"/>
          <w:marRight w:val="0"/>
          <w:marTop w:val="0"/>
          <w:marBottom w:val="0"/>
          <w:divBdr>
            <w:top w:val="none" w:sz="0" w:space="0" w:color="auto"/>
            <w:left w:val="none" w:sz="0" w:space="0" w:color="auto"/>
            <w:bottom w:val="none" w:sz="0" w:space="0" w:color="auto"/>
            <w:right w:val="none" w:sz="0" w:space="0" w:color="auto"/>
          </w:divBdr>
        </w:div>
        <w:div w:id="995378639">
          <w:marLeft w:val="0"/>
          <w:marRight w:val="0"/>
          <w:marTop w:val="0"/>
          <w:marBottom w:val="0"/>
          <w:divBdr>
            <w:top w:val="none" w:sz="0" w:space="0" w:color="auto"/>
            <w:left w:val="none" w:sz="0" w:space="0" w:color="auto"/>
            <w:bottom w:val="none" w:sz="0" w:space="0" w:color="auto"/>
            <w:right w:val="none" w:sz="0" w:space="0" w:color="auto"/>
          </w:divBdr>
        </w:div>
        <w:div w:id="997656518">
          <w:marLeft w:val="0"/>
          <w:marRight w:val="0"/>
          <w:marTop w:val="0"/>
          <w:marBottom w:val="0"/>
          <w:divBdr>
            <w:top w:val="none" w:sz="0" w:space="0" w:color="auto"/>
            <w:left w:val="none" w:sz="0" w:space="0" w:color="auto"/>
            <w:bottom w:val="none" w:sz="0" w:space="0" w:color="auto"/>
            <w:right w:val="none" w:sz="0" w:space="0" w:color="auto"/>
          </w:divBdr>
        </w:div>
        <w:div w:id="1013067957">
          <w:marLeft w:val="0"/>
          <w:marRight w:val="0"/>
          <w:marTop w:val="0"/>
          <w:marBottom w:val="0"/>
          <w:divBdr>
            <w:top w:val="none" w:sz="0" w:space="0" w:color="auto"/>
            <w:left w:val="none" w:sz="0" w:space="0" w:color="auto"/>
            <w:bottom w:val="none" w:sz="0" w:space="0" w:color="auto"/>
            <w:right w:val="none" w:sz="0" w:space="0" w:color="auto"/>
          </w:divBdr>
        </w:div>
        <w:div w:id="1025062466">
          <w:marLeft w:val="0"/>
          <w:marRight w:val="0"/>
          <w:marTop w:val="0"/>
          <w:marBottom w:val="0"/>
          <w:divBdr>
            <w:top w:val="none" w:sz="0" w:space="0" w:color="auto"/>
            <w:left w:val="none" w:sz="0" w:space="0" w:color="auto"/>
            <w:bottom w:val="none" w:sz="0" w:space="0" w:color="auto"/>
            <w:right w:val="none" w:sz="0" w:space="0" w:color="auto"/>
          </w:divBdr>
        </w:div>
        <w:div w:id="1028064115">
          <w:marLeft w:val="0"/>
          <w:marRight w:val="0"/>
          <w:marTop w:val="0"/>
          <w:marBottom w:val="0"/>
          <w:divBdr>
            <w:top w:val="none" w:sz="0" w:space="0" w:color="auto"/>
            <w:left w:val="none" w:sz="0" w:space="0" w:color="auto"/>
            <w:bottom w:val="none" w:sz="0" w:space="0" w:color="auto"/>
            <w:right w:val="none" w:sz="0" w:space="0" w:color="auto"/>
          </w:divBdr>
        </w:div>
        <w:div w:id="1055204902">
          <w:marLeft w:val="0"/>
          <w:marRight w:val="0"/>
          <w:marTop w:val="0"/>
          <w:marBottom w:val="0"/>
          <w:divBdr>
            <w:top w:val="none" w:sz="0" w:space="0" w:color="auto"/>
            <w:left w:val="none" w:sz="0" w:space="0" w:color="auto"/>
            <w:bottom w:val="none" w:sz="0" w:space="0" w:color="auto"/>
            <w:right w:val="none" w:sz="0" w:space="0" w:color="auto"/>
          </w:divBdr>
        </w:div>
        <w:div w:id="1064572428">
          <w:marLeft w:val="0"/>
          <w:marRight w:val="0"/>
          <w:marTop w:val="0"/>
          <w:marBottom w:val="0"/>
          <w:divBdr>
            <w:top w:val="none" w:sz="0" w:space="0" w:color="auto"/>
            <w:left w:val="none" w:sz="0" w:space="0" w:color="auto"/>
            <w:bottom w:val="none" w:sz="0" w:space="0" w:color="auto"/>
            <w:right w:val="none" w:sz="0" w:space="0" w:color="auto"/>
          </w:divBdr>
        </w:div>
        <w:div w:id="1124351887">
          <w:marLeft w:val="0"/>
          <w:marRight w:val="0"/>
          <w:marTop w:val="0"/>
          <w:marBottom w:val="0"/>
          <w:divBdr>
            <w:top w:val="none" w:sz="0" w:space="0" w:color="auto"/>
            <w:left w:val="none" w:sz="0" w:space="0" w:color="auto"/>
            <w:bottom w:val="none" w:sz="0" w:space="0" w:color="auto"/>
            <w:right w:val="none" w:sz="0" w:space="0" w:color="auto"/>
          </w:divBdr>
        </w:div>
        <w:div w:id="1129588476">
          <w:marLeft w:val="0"/>
          <w:marRight w:val="0"/>
          <w:marTop w:val="0"/>
          <w:marBottom w:val="0"/>
          <w:divBdr>
            <w:top w:val="none" w:sz="0" w:space="0" w:color="auto"/>
            <w:left w:val="none" w:sz="0" w:space="0" w:color="auto"/>
            <w:bottom w:val="none" w:sz="0" w:space="0" w:color="auto"/>
            <w:right w:val="none" w:sz="0" w:space="0" w:color="auto"/>
          </w:divBdr>
        </w:div>
        <w:div w:id="1132558974">
          <w:marLeft w:val="0"/>
          <w:marRight w:val="0"/>
          <w:marTop w:val="0"/>
          <w:marBottom w:val="0"/>
          <w:divBdr>
            <w:top w:val="none" w:sz="0" w:space="0" w:color="auto"/>
            <w:left w:val="none" w:sz="0" w:space="0" w:color="auto"/>
            <w:bottom w:val="none" w:sz="0" w:space="0" w:color="auto"/>
            <w:right w:val="none" w:sz="0" w:space="0" w:color="auto"/>
          </w:divBdr>
        </w:div>
        <w:div w:id="1132745186">
          <w:marLeft w:val="0"/>
          <w:marRight w:val="0"/>
          <w:marTop w:val="0"/>
          <w:marBottom w:val="0"/>
          <w:divBdr>
            <w:top w:val="none" w:sz="0" w:space="0" w:color="auto"/>
            <w:left w:val="none" w:sz="0" w:space="0" w:color="auto"/>
            <w:bottom w:val="none" w:sz="0" w:space="0" w:color="auto"/>
            <w:right w:val="none" w:sz="0" w:space="0" w:color="auto"/>
          </w:divBdr>
        </w:div>
        <w:div w:id="1136752283">
          <w:marLeft w:val="0"/>
          <w:marRight w:val="0"/>
          <w:marTop w:val="0"/>
          <w:marBottom w:val="0"/>
          <w:divBdr>
            <w:top w:val="none" w:sz="0" w:space="0" w:color="auto"/>
            <w:left w:val="none" w:sz="0" w:space="0" w:color="auto"/>
            <w:bottom w:val="none" w:sz="0" w:space="0" w:color="auto"/>
            <w:right w:val="none" w:sz="0" w:space="0" w:color="auto"/>
          </w:divBdr>
        </w:div>
        <w:div w:id="1140465647">
          <w:marLeft w:val="0"/>
          <w:marRight w:val="0"/>
          <w:marTop w:val="0"/>
          <w:marBottom w:val="0"/>
          <w:divBdr>
            <w:top w:val="none" w:sz="0" w:space="0" w:color="auto"/>
            <w:left w:val="none" w:sz="0" w:space="0" w:color="auto"/>
            <w:bottom w:val="none" w:sz="0" w:space="0" w:color="auto"/>
            <w:right w:val="none" w:sz="0" w:space="0" w:color="auto"/>
          </w:divBdr>
        </w:div>
        <w:div w:id="1175917532">
          <w:marLeft w:val="0"/>
          <w:marRight w:val="0"/>
          <w:marTop w:val="0"/>
          <w:marBottom w:val="0"/>
          <w:divBdr>
            <w:top w:val="none" w:sz="0" w:space="0" w:color="auto"/>
            <w:left w:val="none" w:sz="0" w:space="0" w:color="auto"/>
            <w:bottom w:val="none" w:sz="0" w:space="0" w:color="auto"/>
            <w:right w:val="none" w:sz="0" w:space="0" w:color="auto"/>
          </w:divBdr>
        </w:div>
        <w:div w:id="1176115433">
          <w:marLeft w:val="0"/>
          <w:marRight w:val="0"/>
          <w:marTop w:val="0"/>
          <w:marBottom w:val="0"/>
          <w:divBdr>
            <w:top w:val="none" w:sz="0" w:space="0" w:color="auto"/>
            <w:left w:val="none" w:sz="0" w:space="0" w:color="auto"/>
            <w:bottom w:val="none" w:sz="0" w:space="0" w:color="auto"/>
            <w:right w:val="none" w:sz="0" w:space="0" w:color="auto"/>
          </w:divBdr>
        </w:div>
        <w:div w:id="1182357270">
          <w:marLeft w:val="0"/>
          <w:marRight w:val="0"/>
          <w:marTop w:val="0"/>
          <w:marBottom w:val="0"/>
          <w:divBdr>
            <w:top w:val="none" w:sz="0" w:space="0" w:color="auto"/>
            <w:left w:val="none" w:sz="0" w:space="0" w:color="auto"/>
            <w:bottom w:val="none" w:sz="0" w:space="0" w:color="auto"/>
            <w:right w:val="none" w:sz="0" w:space="0" w:color="auto"/>
          </w:divBdr>
        </w:div>
        <w:div w:id="1182475756">
          <w:marLeft w:val="0"/>
          <w:marRight w:val="0"/>
          <w:marTop w:val="0"/>
          <w:marBottom w:val="0"/>
          <w:divBdr>
            <w:top w:val="none" w:sz="0" w:space="0" w:color="auto"/>
            <w:left w:val="none" w:sz="0" w:space="0" w:color="auto"/>
            <w:bottom w:val="none" w:sz="0" w:space="0" w:color="auto"/>
            <w:right w:val="none" w:sz="0" w:space="0" w:color="auto"/>
          </w:divBdr>
        </w:div>
        <w:div w:id="1183661998">
          <w:marLeft w:val="0"/>
          <w:marRight w:val="0"/>
          <w:marTop w:val="0"/>
          <w:marBottom w:val="0"/>
          <w:divBdr>
            <w:top w:val="none" w:sz="0" w:space="0" w:color="auto"/>
            <w:left w:val="none" w:sz="0" w:space="0" w:color="auto"/>
            <w:bottom w:val="none" w:sz="0" w:space="0" w:color="auto"/>
            <w:right w:val="none" w:sz="0" w:space="0" w:color="auto"/>
          </w:divBdr>
        </w:div>
        <w:div w:id="1184049050">
          <w:marLeft w:val="0"/>
          <w:marRight w:val="0"/>
          <w:marTop w:val="0"/>
          <w:marBottom w:val="0"/>
          <w:divBdr>
            <w:top w:val="none" w:sz="0" w:space="0" w:color="auto"/>
            <w:left w:val="none" w:sz="0" w:space="0" w:color="auto"/>
            <w:bottom w:val="none" w:sz="0" w:space="0" w:color="auto"/>
            <w:right w:val="none" w:sz="0" w:space="0" w:color="auto"/>
          </w:divBdr>
        </w:div>
        <w:div w:id="1184828774">
          <w:marLeft w:val="0"/>
          <w:marRight w:val="0"/>
          <w:marTop w:val="0"/>
          <w:marBottom w:val="0"/>
          <w:divBdr>
            <w:top w:val="none" w:sz="0" w:space="0" w:color="auto"/>
            <w:left w:val="none" w:sz="0" w:space="0" w:color="auto"/>
            <w:bottom w:val="none" w:sz="0" w:space="0" w:color="auto"/>
            <w:right w:val="none" w:sz="0" w:space="0" w:color="auto"/>
          </w:divBdr>
        </w:div>
        <w:div w:id="1196305472">
          <w:marLeft w:val="0"/>
          <w:marRight w:val="0"/>
          <w:marTop w:val="0"/>
          <w:marBottom w:val="0"/>
          <w:divBdr>
            <w:top w:val="none" w:sz="0" w:space="0" w:color="auto"/>
            <w:left w:val="none" w:sz="0" w:space="0" w:color="auto"/>
            <w:bottom w:val="none" w:sz="0" w:space="0" w:color="auto"/>
            <w:right w:val="none" w:sz="0" w:space="0" w:color="auto"/>
          </w:divBdr>
        </w:div>
        <w:div w:id="1207183774">
          <w:marLeft w:val="0"/>
          <w:marRight w:val="0"/>
          <w:marTop w:val="0"/>
          <w:marBottom w:val="0"/>
          <w:divBdr>
            <w:top w:val="none" w:sz="0" w:space="0" w:color="auto"/>
            <w:left w:val="none" w:sz="0" w:space="0" w:color="auto"/>
            <w:bottom w:val="none" w:sz="0" w:space="0" w:color="auto"/>
            <w:right w:val="none" w:sz="0" w:space="0" w:color="auto"/>
          </w:divBdr>
        </w:div>
        <w:div w:id="1231232015">
          <w:marLeft w:val="0"/>
          <w:marRight w:val="0"/>
          <w:marTop w:val="0"/>
          <w:marBottom w:val="0"/>
          <w:divBdr>
            <w:top w:val="none" w:sz="0" w:space="0" w:color="auto"/>
            <w:left w:val="none" w:sz="0" w:space="0" w:color="auto"/>
            <w:bottom w:val="none" w:sz="0" w:space="0" w:color="auto"/>
            <w:right w:val="none" w:sz="0" w:space="0" w:color="auto"/>
          </w:divBdr>
        </w:div>
        <w:div w:id="1266033004">
          <w:marLeft w:val="0"/>
          <w:marRight w:val="0"/>
          <w:marTop w:val="0"/>
          <w:marBottom w:val="0"/>
          <w:divBdr>
            <w:top w:val="none" w:sz="0" w:space="0" w:color="auto"/>
            <w:left w:val="none" w:sz="0" w:space="0" w:color="auto"/>
            <w:bottom w:val="none" w:sz="0" w:space="0" w:color="auto"/>
            <w:right w:val="none" w:sz="0" w:space="0" w:color="auto"/>
          </w:divBdr>
        </w:div>
        <w:div w:id="1270356255">
          <w:marLeft w:val="0"/>
          <w:marRight w:val="0"/>
          <w:marTop w:val="0"/>
          <w:marBottom w:val="0"/>
          <w:divBdr>
            <w:top w:val="none" w:sz="0" w:space="0" w:color="auto"/>
            <w:left w:val="none" w:sz="0" w:space="0" w:color="auto"/>
            <w:bottom w:val="none" w:sz="0" w:space="0" w:color="auto"/>
            <w:right w:val="none" w:sz="0" w:space="0" w:color="auto"/>
          </w:divBdr>
        </w:div>
        <w:div w:id="1273855553">
          <w:marLeft w:val="0"/>
          <w:marRight w:val="0"/>
          <w:marTop w:val="0"/>
          <w:marBottom w:val="0"/>
          <w:divBdr>
            <w:top w:val="none" w:sz="0" w:space="0" w:color="auto"/>
            <w:left w:val="none" w:sz="0" w:space="0" w:color="auto"/>
            <w:bottom w:val="none" w:sz="0" w:space="0" w:color="auto"/>
            <w:right w:val="none" w:sz="0" w:space="0" w:color="auto"/>
          </w:divBdr>
        </w:div>
        <w:div w:id="1288703164">
          <w:marLeft w:val="0"/>
          <w:marRight w:val="0"/>
          <w:marTop w:val="0"/>
          <w:marBottom w:val="0"/>
          <w:divBdr>
            <w:top w:val="none" w:sz="0" w:space="0" w:color="auto"/>
            <w:left w:val="none" w:sz="0" w:space="0" w:color="auto"/>
            <w:bottom w:val="none" w:sz="0" w:space="0" w:color="auto"/>
            <w:right w:val="none" w:sz="0" w:space="0" w:color="auto"/>
          </w:divBdr>
        </w:div>
        <w:div w:id="1292904080">
          <w:marLeft w:val="0"/>
          <w:marRight w:val="0"/>
          <w:marTop w:val="0"/>
          <w:marBottom w:val="0"/>
          <w:divBdr>
            <w:top w:val="none" w:sz="0" w:space="0" w:color="auto"/>
            <w:left w:val="none" w:sz="0" w:space="0" w:color="auto"/>
            <w:bottom w:val="none" w:sz="0" w:space="0" w:color="auto"/>
            <w:right w:val="none" w:sz="0" w:space="0" w:color="auto"/>
          </w:divBdr>
        </w:div>
        <w:div w:id="1342856183">
          <w:marLeft w:val="0"/>
          <w:marRight w:val="0"/>
          <w:marTop w:val="0"/>
          <w:marBottom w:val="0"/>
          <w:divBdr>
            <w:top w:val="none" w:sz="0" w:space="0" w:color="auto"/>
            <w:left w:val="none" w:sz="0" w:space="0" w:color="auto"/>
            <w:bottom w:val="none" w:sz="0" w:space="0" w:color="auto"/>
            <w:right w:val="none" w:sz="0" w:space="0" w:color="auto"/>
          </w:divBdr>
        </w:div>
        <w:div w:id="1350568394">
          <w:marLeft w:val="0"/>
          <w:marRight w:val="0"/>
          <w:marTop w:val="0"/>
          <w:marBottom w:val="0"/>
          <w:divBdr>
            <w:top w:val="none" w:sz="0" w:space="0" w:color="auto"/>
            <w:left w:val="none" w:sz="0" w:space="0" w:color="auto"/>
            <w:bottom w:val="none" w:sz="0" w:space="0" w:color="auto"/>
            <w:right w:val="none" w:sz="0" w:space="0" w:color="auto"/>
          </w:divBdr>
        </w:div>
        <w:div w:id="1371610167">
          <w:marLeft w:val="0"/>
          <w:marRight w:val="0"/>
          <w:marTop w:val="0"/>
          <w:marBottom w:val="0"/>
          <w:divBdr>
            <w:top w:val="none" w:sz="0" w:space="0" w:color="auto"/>
            <w:left w:val="none" w:sz="0" w:space="0" w:color="auto"/>
            <w:bottom w:val="none" w:sz="0" w:space="0" w:color="auto"/>
            <w:right w:val="none" w:sz="0" w:space="0" w:color="auto"/>
          </w:divBdr>
        </w:div>
        <w:div w:id="1375350743">
          <w:marLeft w:val="0"/>
          <w:marRight w:val="0"/>
          <w:marTop w:val="0"/>
          <w:marBottom w:val="0"/>
          <w:divBdr>
            <w:top w:val="none" w:sz="0" w:space="0" w:color="auto"/>
            <w:left w:val="none" w:sz="0" w:space="0" w:color="auto"/>
            <w:bottom w:val="none" w:sz="0" w:space="0" w:color="auto"/>
            <w:right w:val="none" w:sz="0" w:space="0" w:color="auto"/>
          </w:divBdr>
        </w:div>
        <w:div w:id="1382562053">
          <w:marLeft w:val="0"/>
          <w:marRight w:val="0"/>
          <w:marTop w:val="0"/>
          <w:marBottom w:val="0"/>
          <w:divBdr>
            <w:top w:val="none" w:sz="0" w:space="0" w:color="auto"/>
            <w:left w:val="none" w:sz="0" w:space="0" w:color="auto"/>
            <w:bottom w:val="none" w:sz="0" w:space="0" w:color="auto"/>
            <w:right w:val="none" w:sz="0" w:space="0" w:color="auto"/>
          </w:divBdr>
        </w:div>
        <w:div w:id="1405689128">
          <w:marLeft w:val="0"/>
          <w:marRight w:val="0"/>
          <w:marTop w:val="0"/>
          <w:marBottom w:val="0"/>
          <w:divBdr>
            <w:top w:val="none" w:sz="0" w:space="0" w:color="auto"/>
            <w:left w:val="none" w:sz="0" w:space="0" w:color="auto"/>
            <w:bottom w:val="none" w:sz="0" w:space="0" w:color="auto"/>
            <w:right w:val="none" w:sz="0" w:space="0" w:color="auto"/>
          </w:divBdr>
        </w:div>
        <w:div w:id="1406535589">
          <w:marLeft w:val="0"/>
          <w:marRight w:val="0"/>
          <w:marTop w:val="0"/>
          <w:marBottom w:val="0"/>
          <w:divBdr>
            <w:top w:val="none" w:sz="0" w:space="0" w:color="auto"/>
            <w:left w:val="none" w:sz="0" w:space="0" w:color="auto"/>
            <w:bottom w:val="none" w:sz="0" w:space="0" w:color="auto"/>
            <w:right w:val="none" w:sz="0" w:space="0" w:color="auto"/>
          </w:divBdr>
        </w:div>
        <w:div w:id="1407073103">
          <w:marLeft w:val="0"/>
          <w:marRight w:val="0"/>
          <w:marTop w:val="0"/>
          <w:marBottom w:val="0"/>
          <w:divBdr>
            <w:top w:val="none" w:sz="0" w:space="0" w:color="auto"/>
            <w:left w:val="none" w:sz="0" w:space="0" w:color="auto"/>
            <w:bottom w:val="none" w:sz="0" w:space="0" w:color="auto"/>
            <w:right w:val="none" w:sz="0" w:space="0" w:color="auto"/>
          </w:divBdr>
        </w:div>
        <w:div w:id="1420322285">
          <w:marLeft w:val="0"/>
          <w:marRight w:val="0"/>
          <w:marTop w:val="0"/>
          <w:marBottom w:val="0"/>
          <w:divBdr>
            <w:top w:val="none" w:sz="0" w:space="0" w:color="auto"/>
            <w:left w:val="none" w:sz="0" w:space="0" w:color="auto"/>
            <w:bottom w:val="none" w:sz="0" w:space="0" w:color="auto"/>
            <w:right w:val="none" w:sz="0" w:space="0" w:color="auto"/>
          </w:divBdr>
        </w:div>
        <w:div w:id="1427922958">
          <w:marLeft w:val="0"/>
          <w:marRight w:val="0"/>
          <w:marTop w:val="0"/>
          <w:marBottom w:val="0"/>
          <w:divBdr>
            <w:top w:val="none" w:sz="0" w:space="0" w:color="auto"/>
            <w:left w:val="none" w:sz="0" w:space="0" w:color="auto"/>
            <w:bottom w:val="none" w:sz="0" w:space="0" w:color="auto"/>
            <w:right w:val="none" w:sz="0" w:space="0" w:color="auto"/>
          </w:divBdr>
        </w:div>
        <w:div w:id="1429038603">
          <w:marLeft w:val="0"/>
          <w:marRight w:val="0"/>
          <w:marTop w:val="0"/>
          <w:marBottom w:val="0"/>
          <w:divBdr>
            <w:top w:val="none" w:sz="0" w:space="0" w:color="auto"/>
            <w:left w:val="none" w:sz="0" w:space="0" w:color="auto"/>
            <w:bottom w:val="none" w:sz="0" w:space="0" w:color="auto"/>
            <w:right w:val="none" w:sz="0" w:space="0" w:color="auto"/>
          </w:divBdr>
        </w:div>
        <w:div w:id="1430009237">
          <w:marLeft w:val="0"/>
          <w:marRight w:val="0"/>
          <w:marTop w:val="0"/>
          <w:marBottom w:val="0"/>
          <w:divBdr>
            <w:top w:val="none" w:sz="0" w:space="0" w:color="auto"/>
            <w:left w:val="none" w:sz="0" w:space="0" w:color="auto"/>
            <w:bottom w:val="none" w:sz="0" w:space="0" w:color="auto"/>
            <w:right w:val="none" w:sz="0" w:space="0" w:color="auto"/>
          </w:divBdr>
        </w:div>
        <w:div w:id="1438404121">
          <w:marLeft w:val="0"/>
          <w:marRight w:val="0"/>
          <w:marTop w:val="0"/>
          <w:marBottom w:val="0"/>
          <w:divBdr>
            <w:top w:val="none" w:sz="0" w:space="0" w:color="auto"/>
            <w:left w:val="none" w:sz="0" w:space="0" w:color="auto"/>
            <w:bottom w:val="none" w:sz="0" w:space="0" w:color="auto"/>
            <w:right w:val="none" w:sz="0" w:space="0" w:color="auto"/>
          </w:divBdr>
        </w:div>
        <w:div w:id="1443189635">
          <w:marLeft w:val="0"/>
          <w:marRight w:val="0"/>
          <w:marTop w:val="0"/>
          <w:marBottom w:val="0"/>
          <w:divBdr>
            <w:top w:val="none" w:sz="0" w:space="0" w:color="auto"/>
            <w:left w:val="none" w:sz="0" w:space="0" w:color="auto"/>
            <w:bottom w:val="none" w:sz="0" w:space="0" w:color="auto"/>
            <w:right w:val="none" w:sz="0" w:space="0" w:color="auto"/>
          </w:divBdr>
        </w:div>
        <w:div w:id="1449542019">
          <w:marLeft w:val="0"/>
          <w:marRight w:val="0"/>
          <w:marTop w:val="0"/>
          <w:marBottom w:val="0"/>
          <w:divBdr>
            <w:top w:val="none" w:sz="0" w:space="0" w:color="auto"/>
            <w:left w:val="none" w:sz="0" w:space="0" w:color="auto"/>
            <w:bottom w:val="none" w:sz="0" w:space="0" w:color="auto"/>
            <w:right w:val="none" w:sz="0" w:space="0" w:color="auto"/>
          </w:divBdr>
        </w:div>
        <w:div w:id="1449861248">
          <w:marLeft w:val="0"/>
          <w:marRight w:val="0"/>
          <w:marTop w:val="0"/>
          <w:marBottom w:val="0"/>
          <w:divBdr>
            <w:top w:val="none" w:sz="0" w:space="0" w:color="auto"/>
            <w:left w:val="none" w:sz="0" w:space="0" w:color="auto"/>
            <w:bottom w:val="none" w:sz="0" w:space="0" w:color="auto"/>
            <w:right w:val="none" w:sz="0" w:space="0" w:color="auto"/>
          </w:divBdr>
        </w:div>
        <w:div w:id="1472358911">
          <w:marLeft w:val="0"/>
          <w:marRight w:val="0"/>
          <w:marTop w:val="0"/>
          <w:marBottom w:val="0"/>
          <w:divBdr>
            <w:top w:val="none" w:sz="0" w:space="0" w:color="auto"/>
            <w:left w:val="none" w:sz="0" w:space="0" w:color="auto"/>
            <w:bottom w:val="none" w:sz="0" w:space="0" w:color="auto"/>
            <w:right w:val="none" w:sz="0" w:space="0" w:color="auto"/>
          </w:divBdr>
        </w:div>
        <w:div w:id="1480154090">
          <w:marLeft w:val="0"/>
          <w:marRight w:val="0"/>
          <w:marTop w:val="0"/>
          <w:marBottom w:val="0"/>
          <w:divBdr>
            <w:top w:val="none" w:sz="0" w:space="0" w:color="auto"/>
            <w:left w:val="none" w:sz="0" w:space="0" w:color="auto"/>
            <w:bottom w:val="none" w:sz="0" w:space="0" w:color="auto"/>
            <w:right w:val="none" w:sz="0" w:space="0" w:color="auto"/>
          </w:divBdr>
        </w:div>
        <w:div w:id="1483347949">
          <w:marLeft w:val="0"/>
          <w:marRight w:val="0"/>
          <w:marTop w:val="0"/>
          <w:marBottom w:val="0"/>
          <w:divBdr>
            <w:top w:val="none" w:sz="0" w:space="0" w:color="auto"/>
            <w:left w:val="none" w:sz="0" w:space="0" w:color="auto"/>
            <w:bottom w:val="none" w:sz="0" w:space="0" w:color="auto"/>
            <w:right w:val="none" w:sz="0" w:space="0" w:color="auto"/>
          </w:divBdr>
        </w:div>
        <w:div w:id="1496800882">
          <w:marLeft w:val="0"/>
          <w:marRight w:val="0"/>
          <w:marTop w:val="0"/>
          <w:marBottom w:val="0"/>
          <w:divBdr>
            <w:top w:val="none" w:sz="0" w:space="0" w:color="auto"/>
            <w:left w:val="none" w:sz="0" w:space="0" w:color="auto"/>
            <w:bottom w:val="none" w:sz="0" w:space="0" w:color="auto"/>
            <w:right w:val="none" w:sz="0" w:space="0" w:color="auto"/>
          </w:divBdr>
        </w:div>
        <w:div w:id="1505243427">
          <w:marLeft w:val="0"/>
          <w:marRight w:val="0"/>
          <w:marTop w:val="0"/>
          <w:marBottom w:val="0"/>
          <w:divBdr>
            <w:top w:val="none" w:sz="0" w:space="0" w:color="auto"/>
            <w:left w:val="none" w:sz="0" w:space="0" w:color="auto"/>
            <w:bottom w:val="none" w:sz="0" w:space="0" w:color="auto"/>
            <w:right w:val="none" w:sz="0" w:space="0" w:color="auto"/>
          </w:divBdr>
        </w:div>
        <w:div w:id="1508865103">
          <w:marLeft w:val="0"/>
          <w:marRight w:val="0"/>
          <w:marTop w:val="0"/>
          <w:marBottom w:val="0"/>
          <w:divBdr>
            <w:top w:val="none" w:sz="0" w:space="0" w:color="auto"/>
            <w:left w:val="none" w:sz="0" w:space="0" w:color="auto"/>
            <w:bottom w:val="none" w:sz="0" w:space="0" w:color="auto"/>
            <w:right w:val="none" w:sz="0" w:space="0" w:color="auto"/>
          </w:divBdr>
        </w:div>
        <w:div w:id="1526365693">
          <w:marLeft w:val="0"/>
          <w:marRight w:val="0"/>
          <w:marTop w:val="0"/>
          <w:marBottom w:val="0"/>
          <w:divBdr>
            <w:top w:val="none" w:sz="0" w:space="0" w:color="auto"/>
            <w:left w:val="none" w:sz="0" w:space="0" w:color="auto"/>
            <w:bottom w:val="none" w:sz="0" w:space="0" w:color="auto"/>
            <w:right w:val="none" w:sz="0" w:space="0" w:color="auto"/>
          </w:divBdr>
        </w:div>
        <w:div w:id="1562787478">
          <w:marLeft w:val="0"/>
          <w:marRight w:val="0"/>
          <w:marTop w:val="0"/>
          <w:marBottom w:val="0"/>
          <w:divBdr>
            <w:top w:val="none" w:sz="0" w:space="0" w:color="auto"/>
            <w:left w:val="none" w:sz="0" w:space="0" w:color="auto"/>
            <w:bottom w:val="none" w:sz="0" w:space="0" w:color="auto"/>
            <w:right w:val="none" w:sz="0" w:space="0" w:color="auto"/>
          </w:divBdr>
        </w:div>
        <w:div w:id="1563172534">
          <w:marLeft w:val="0"/>
          <w:marRight w:val="0"/>
          <w:marTop w:val="0"/>
          <w:marBottom w:val="0"/>
          <w:divBdr>
            <w:top w:val="none" w:sz="0" w:space="0" w:color="auto"/>
            <w:left w:val="none" w:sz="0" w:space="0" w:color="auto"/>
            <w:bottom w:val="none" w:sz="0" w:space="0" w:color="auto"/>
            <w:right w:val="none" w:sz="0" w:space="0" w:color="auto"/>
          </w:divBdr>
        </w:div>
        <w:div w:id="1570143546">
          <w:marLeft w:val="0"/>
          <w:marRight w:val="0"/>
          <w:marTop w:val="0"/>
          <w:marBottom w:val="0"/>
          <w:divBdr>
            <w:top w:val="none" w:sz="0" w:space="0" w:color="auto"/>
            <w:left w:val="none" w:sz="0" w:space="0" w:color="auto"/>
            <w:bottom w:val="none" w:sz="0" w:space="0" w:color="auto"/>
            <w:right w:val="none" w:sz="0" w:space="0" w:color="auto"/>
          </w:divBdr>
        </w:div>
        <w:div w:id="1613441396">
          <w:marLeft w:val="0"/>
          <w:marRight w:val="0"/>
          <w:marTop w:val="0"/>
          <w:marBottom w:val="0"/>
          <w:divBdr>
            <w:top w:val="none" w:sz="0" w:space="0" w:color="auto"/>
            <w:left w:val="none" w:sz="0" w:space="0" w:color="auto"/>
            <w:bottom w:val="none" w:sz="0" w:space="0" w:color="auto"/>
            <w:right w:val="none" w:sz="0" w:space="0" w:color="auto"/>
          </w:divBdr>
        </w:div>
        <w:div w:id="1620259005">
          <w:marLeft w:val="0"/>
          <w:marRight w:val="0"/>
          <w:marTop w:val="0"/>
          <w:marBottom w:val="0"/>
          <w:divBdr>
            <w:top w:val="none" w:sz="0" w:space="0" w:color="auto"/>
            <w:left w:val="none" w:sz="0" w:space="0" w:color="auto"/>
            <w:bottom w:val="none" w:sz="0" w:space="0" w:color="auto"/>
            <w:right w:val="none" w:sz="0" w:space="0" w:color="auto"/>
          </w:divBdr>
        </w:div>
        <w:div w:id="1626425996">
          <w:marLeft w:val="0"/>
          <w:marRight w:val="0"/>
          <w:marTop w:val="0"/>
          <w:marBottom w:val="0"/>
          <w:divBdr>
            <w:top w:val="none" w:sz="0" w:space="0" w:color="auto"/>
            <w:left w:val="none" w:sz="0" w:space="0" w:color="auto"/>
            <w:bottom w:val="none" w:sz="0" w:space="0" w:color="auto"/>
            <w:right w:val="none" w:sz="0" w:space="0" w:color="auto"/>
          </w:divBdr>
        </w:div>
        <w:div w:id="1642073792">
          <w:marLeft w:val="0"/>
          <w:marRight w:val="0"/>
          <w:marTop w:val="0"/>
          <w:marBottom w:val="0"/>
          <w:divBdr>
            <w:top w:val="none" w:sz="0" w:space="0" w:color="auto"/>
            <w:left w:val="none" w:sz="0" w:space="0" w:color="auto"/>
            <w:bottom w:val="none" w:sz="0" w:space="0" w:color="auto"/>
            <w:right w:val="none" w:sz="0" w:space="0" w:color="auto"/>
          </w:divBdr>
        </w:div>
        <w:div w:id="1643583172">
          <w:marLeft w:val="0"/>
          <w:marRight w:val="0"/>
          <w:marTop w:val="0"/>
          <w:marBottom w:val="0"/>
          <w:divBdr>
            <w:top w:val="none" w:sz="0" w:space="0" w:color="auto"/>
            <w:left w:val="none" w:sz="0" w:space="0" w:color="auto"/>
            <w:bottom w:val="none" w:sz="0" w:space="0" w:color="auto"/>
            <w:right w:val="none" w:sz="0" w:space="0" w:color="auto"/>
          </w:divBdr>
        </w:div>
        <w:div w:id="1651901221">
          <w:marLeft w:val="0"/>
          <w:marRight w:val="0"/>
          <w:marTop w:val="0"/>
          <w:marBottom w:val="0"/>
          <w:divBdr>
            <w:top w:val="none" w:sz="0" w:space="0" w:color="auto"/>
            <w:left w:val="none" w:sz="0" w:space="0" w:color="auto"/>
            <w:bottom w:val="none" w:sz="0" w:space="0" w:color="auto"/>
            <w:right w:val="none" w:sz="0" w:space="0" w:color="auto"/>
          </w:divBdr>
        </w:div>
        <w:div w:id="1652707177">
          <w:marLeft w:val="0"/>
          <w:marRight w:val="0"/>
          <w:marTop w:val="0"/>
          <w:marBottom w:val="0"/>
          <w:divBdr>
            <w:top w:val="none" w:sz="0" w:space="0" w:color="auto"/>
            <w:left w:val="none" w:sz="0" w:space="0" w:color="auto"/>
            <w:bottom w:val="none" w:sz="0" w:space="0" w:color="auto"/>
            <w:right w:val="none" w:sz="0" w:space="0" w:color="auto"/>
          </w:divBdr>
        </w:div>
        <w:div w:id="1661615985">
          <w:marLeft w:val="0"/>
          <w:marRight w:val="0"/>
          <w:marTop w:val="0"/>
          <w:marBottom w:val="0"/>
          <w:divBdr>
            <w:top w:val="none" w:sz="0" w:space="0" w:color="auto"/>
            <w:left w:val="none" w:sz="0" w:space="0" w:color="auto"/>
            <w:bottom w:val="none" w:sz="0" w:space="0" w:color="auto"/>
            <w:right w:val="none" w:sz="0" w:space="0" w:color="auto"/>
          </w:divBdr>
        </w:div>
        <w:div w:id="1668167263">
          <w:marLeft w:val="0"/>
          <w:marRight w:val="0"/>
          <w:marTop w:val="0"/>
          <w:marBottom w:val="0"/>
          <w:divBdr>
            <w:top w:val="none" w:sz="0" w:space="0" w:color="auto"/>
            <w:left w:val="none" w:sz="0" w:space="0" w:color="auto"/>
            <w:bottom w:val="none" w:sz="0" w:space="0" w:color="auto"/>
            <w:right w:val="none" w:sz="0" w:space="0" w:color="auto"/>
          </w:divBdr>
        </w:div>
        <w:div w:id="1676178757">
          <w:marLeft w:val="0"/>
          <w:marRight w:val="0"/>
          <w:marTop w:val="0"/>
          <w:marBottom w:val="0"/>
          <w:divBdr>
            <w:top w:val="none" w:sz="0" w:space="0" w:color="auto"/>
            <w:left w:val="none" w:sz="0" w:space="0" w:color="auto"/>
            <w:bottom w:val="none" w:sz="0" w:space="0" w:color="auto"/>
            <w:right w:val="none" w:sz="0" w:space="0" w:color="auto"/>
          </w:divBdr>
        </w:div>
        <w:div w:id="1678265573">
          <w:marLeft w:val="0"/>
          <w:marRight w:val="0"/>
          <w:marTop w:val="0"/>
          <w:marBottom w:val="0"/>
          <w:divBdr>
            <w:top w:val="none" w:sz="0" w:space="0" w:color="auto"/>
            <w:left w:val="none" w:sz="0" w:space="0" w:color="auto"/>
            <w:bottom w:val="none" w:sz="0" w:space="0" w:color="auto"/>
            <w:right w:val="none" w:sz="0" w:space="0" w:color="auto"/>
          </w:divBdr>
        </w:div>
        <w:div w:id="1686588020">
          <w:marLeft w:val="0"/>
          <w:marRight w:val="0"/>
          <w:marTop w:val="0"/>
          <w:marBottom w:val="0"/>
          <w:divBdr>
            <w:top w:val="none" w:sz="0" w:space="0" w:color="auto"/>
            <w:left w:val="none" w:sz="0" w:space="0" w:color="auto"/>
            <w:bottom w:val="none" w:sz="0" w:space="0" w:color="auto"/>
            <w:right w:val="none" w:sz="0" w:space="0" w:color="auto"/>
          </w:divBdr>
        </w:div>
        <w:div w:id="1717510815">
          <w:marLeft w:val="0"/>
          <w:marRight w:val="0"/>
          <w:marTop w:val="0"/>
          <w:marBottom w:val="0"/>
          <w:divBdr>
            <w:top w:val="none" w:sz="0" w:space="0" w:color="auto"/>
            <w:left w:val="none" w:sz="0" w:space="0" w:color="auto"/>
            <w:bottom w:val="none" w:sz="0" w:space="0" w:color="auto"/>
            <w:right w:val="none" w:sz="0" w:space="0" w:color="auto"/>
          </w:divBdr>
        </w:div>
        <w:div w:id="1718776805">
          <w:marLeft w:val="0"/>
          <w:marRight w:val="0"/>
          <w:marTop w:val="0"/>
          <w:marBottom w:val="0"/>
          <w:divBdr>
            <w:top w:val="none" w:sz="0" w:space="0" w:color="auto"/>
            <w:left w:val="none" w:sz="0" w:space="0" w:color="auto"/>
            <w:bottom w:val="none" w:sz="0" w:space="0" w:color="auto"/>
            <w:right w:val="none" w:sz="0" w:space="0" w:color="auto"/>
          </w:divBdr>
        </w:div>
        <w:div w:id="1754545589">
          <w:marLeft w:val="0"/>
          <w:marRight w:val="0"/>
          <w:marTop w:val="0"/>
          <w:marBottom w:val="0"/>
          <w:divBdr>
            <w:top w:val="none" w:sz="0" w:space="0" w:color="auto"/>
            <w:left w:val="none" w:sz="0" w:space="0" w:color="auto"/>
            <w:bottom w:val="none" w:sz="0" w:space="0" w:color="auto"/>
            <w:right w:val="none" w:sz="0" w:space="0" w:color="auto"/>
          </w:divBdr>
        </w:div>
        <w:div w:id="1762677405">
          <w:marLeft w:val="0"/>
          <w:marRight w:val="0"/>
          <w:marTop w:val="0"/>
          <w:marBottom w:val="0"/>
          <w:divBdr>
            <w:top w:val="none" w:sz="0" w:space="0" w:color="auto"/>
            <w:left w:val="none" w:sz="0" w:space="0" w:color="auto"/>
            <w:bottom w:val="none" w:sz="0" w:space="0" w:color="auto"/>
            <w:right w:val="none" w:sz="0" w:space="0" w:color="auto"/>
          </w:divBdr>
        </w:div>
        <w:div w:id="1764834666">
          <w:marLeft w:val="0"/>
          <w:marRight w:val="0"/>
          <w:marTop w:val="0"/>
          <w:marBottom w:val="0"/>
          <w:divBdr>
            <w:top w:val="none" w:sz="0" w:space="0" w:color="auto"/>
            <w:left w:val="none" w:sz="0" w:space="0" w:color="auto"/>
            <w:bottom w:val="none" w:sz="0" w:space="0" w:color="auto"/>
            <w:right w:val="none" w:sz="0" w:space="0" w:color="auto"/>
          </w:divBdr>
        </w:div>
        <w:div w:id="1773014125">
          <w:marLeft w:val="0"/>
          <w:marRight w:val="0"/>
          <w:marTop w:val="0"/>
          <w:marBottom w:val="0"/>
          <w:divBdr>
            <w:top w:val="none" w:sz="0" w:space="0" w:color="auto"/>
            <w:left w:val="none" w:sz="0" w:space="0" w:color="auto"/>
            <w:bottom w:val="none" w:sz="0" w:space="0" w:color="auto"/>
            <w:right w:val="none" w:sz="0" w:space="0" w:color="auto"/>
          </w:divBdr>
        </w:div>
        <w:div w:id="1776288579">
          <w:marLeft w:val="0"/>
          <w:marRight w:val="0"/>
          <w:marTop w:val="0"/>
          <w:marBottom w:val="0"/>
          <w:divBdr>
            <w:top w:val="none" w:sz="0" w:space="0" w:color="auto"/>
            <w:left w:val="none" w:sz="0" w:space="0" w:color="auto"/>
            <w:bottom w:val="none" w:sz="0" w:space="0" w:color="auto"/>
            <w:right w:val="none" w:sz="0" w:space="0" w:color="auto"/>
          </w:divBdr>
        </w:div>
        <w:div w:id="1790582583">
          <w:marLeft w:val="0"/>
          <w:marRight w:val="0"/>
          <w:marTop w:val="0"/>
          <w:marBottom w:val="0"/>
          <w:divBdr>
            <w:top w:val="none" w:sz="0" w:space="0" w:color="auto"/>
            <w:left w:val="none" w:sz="0" w:space="0" w:color="auto"/>
            <w:bottom w:val="none" w:sz="0" w:space="0" w:color="auto"/>
            <w:right w:val="none" w:sz="0" w:space="0" w:color="auto"/>
          </w:divBdr>
        </w:div>
        <w:div w:id="1826975177">
          <w:marLeft w:val="0"/>
          <w:marRight w:val="0"/>
          <w:marTop w:val="0"/>
          <w:marBottom w:val="0"/>
          <w:divBdr>
            <w:top w:val="none" w:sz="0" w:space="0" w:color="auto"/>
            <w:left w:val="none" w:sz="0" w:space="0" w:color="auto"/>
            <w:bottom w:val="none" w:sz="0" w:space="0" w:color="auto"/>
            <w:right w:val="none" w:sz="0" w:space="0" w:color="auto"/>
          </w:divBdr>
        </w:div>
        <w:div w:id="1835955199">
          <w:marLeft w:val="0"/>
          <w:marRight w:val="0"/>
          <w:marTop w:val="0"/>
          <w:marBottom w:val="0"/>
          <w:divBdr>
            <w:top w:val="none" w:sz="0" w:space="0" w:color="auto"/>
            <w:left w:val="none" w:sz="0" w:space="0" w:color="auto"/>
            <w:bottom w:val="none" w:sz="0" w:space="0" w:color="auto"/>
            <w:right w:val="none" w:sz="0" w:space="0" w:color="auto"/>
          </w:divBdr>
        </w:div>
        <w:div w:id="1844928265">
          <w:marLeft w:val="0"/>
          <w:marRight w:val="0"/>
          <w:marTop w:val="0"/>
          <w:marBottom w:val="0"/>
          <w:divBdr>
            <w:top w:val="none" w:sz="0" w:space="0" w:color="auto"/>
            <w:left w:val="none" w:sz="0" w:space="0" w:color="auto"/>
            <w:bottom w:val="none" w:sz="0" w:space="0" w:color="auto"/>
            <w:right w:val="none" w:sz="0" w:space="0" w:color="auto"/>
          </w:divBdr>
        </w:div>
        <w:div w:id="1852328015">
          <w:marLeft w:val="0"/>
          <w:marRight w:val="0"/>
          <w:marTop w:val="0"/>
          <w:marBottom w:val="0"/>
          <w:divBdr>
            <w:top w:val="none" w:sz="0" w:space="0" w:color="auto"/>
            <w:left w:val="none" w:sz="0" w:space="0" w:color="auto"/>
            <w:bottom w:val="none" w:sz="0" w:space="0" w:color="auto"/>
            <w:right w:val="none" w:sz="0" w:space="0" w:color="auto"/>
          </w:divBdr>
        </w:div>
        <w:div w:id="1874417610">
          <w:marLeft w:val="0"/>
          <w:marRight w:val="0"/>
          <w:marTop w:val="0"/>
          <w:marBottom w:val="0"/>
          <w:divBdr>
            <w:top w:val="none" w:sz="0" w:space="0" w:color="auto"/>
            <w:left w:val="none" w:sz="0" w:space="0" w:color="auto"/>
            <w:bottom w:val="none" w:sz="0" w:space="0" w:color="auto"/>
            <w:right w:val="none" w:sz="0" w:space="0" w:color="auto"/>
          </w:divBdr>
        </w:div>
        <w:div w:id="1879009562">
          <w:marLeft w:val="0"/>
          <w:marRight w:val="0"/>
          <w:marTop w:val="0"/>
          <w:marBottom w:val="0"/>
          <w:divBdr>
            <w:top w:val="none" w:sz="0" w:space="0" w:color="auto"/>
            <w:left w:val="none" w:sz="0" w:space="0" w:color="auto"/>
            <w:bottom w:val="none" w:sz="0" w:space="0" w:color="auto"/>
            <w:right w:val="none" w:sz="0" w:space="0" w:color="auto"/>
          </w:divBdr>
        </w:div>
        <w:div w:id="1891112450">
          <w:marLeft w:val="0"/>
          <w:marRight w:val="0"/>
          <w:marTop w:val="0"/>
          <w:marBottom w:val="0"/>
          <w:divBdr>
            <w:top w:val="none" w:sz="0" w:space="0" w:color="auto"/>
            <w:left w:val="none" w:sz="0" w:space="0" w:color="auto"/>
            <w:bottom w:val="none" w:sz="0" w:space="0" w:color="auto"/>
            <w:right w:val="none" w:sz="0" w:space="0" w:color="auto"/>
          </w:divBdr>
        </w:div>
        <w:div w:id="1895694677">
          <w:marLeft w:val="0"/>
          <w:marRight w:val="0"/>
          <w:marTop w:val="0"/>
          <w:marBottom w:val="0"/>
          <w:divBdr>
            <w:top w:val="none" w:sz="0" w:space="0" w:color="auto"/>
            <w:left w:val="none" w:sz="0" w:space="0" w:color="auto"/>
            <w:bottom w:val="none" w:sz="0" w:space="0" w:color="auto"/>
            <w:right w:val="none" w:sz="0" w:space="0" w:color="auto"/>
          </w:divBdr>
        </w:div>
        <w:div w:id="1905531893">
          <w:marLeft w:val="0"/>
          <w:marRight w:val="0"/>
          <w:marTop w:val="0"/>
          <w:marBottom w:val="0"/>
          <w:divBdr>
            <w:top w:val="none" w:sz="0" w:space="0" w:color="auto"/>
            <w:left w:val="none" w:sz="0" w:space="0" w:color="auto"/>
            <w:bottom w:val="none" w:sz="0" w:space="0" w:color="auto"/>
            <w:right w:val="none" w:sz="0" w:space="0" w:color="auto"/>
          </w:divBdr>
        </w:div>
        <w:div w:id="1919436700">
          <w:marLeft w:val="0"/>
          <w:marRight w:val="0"/>
          <w:marTop w:val="0"/>
          <w:marBottom w:val="0"/>
          <w:divBdr>
            <w:top w:val="none" w:sz="0" w:space="0" w:color="auto"/>
            <w:left w:val="none" w:sz="0" w:space="0" w:color="auto"/>
            <w:bottom w:val="none" w:sz="0" w:space="0" w:color="auto"/>
            <w:right w:val="none" w:sz="0" w:space="0" w:color="auto"/>
          </w:divBdr>
        </w:div>
        <w:div w:id="1938100474">
          <w:marLeft w:val="0"/>
          <w:marRight w:val="0"/>
          <w:marTop w:val="0"/>
          <w:marBottom w:val="0"/>
          <w:divBdr>
            <w:top w:val="none" w:sz="0" w:space="0" w:color="auto"/>
            <w:left w:val="none" w:sz="0" w:space="0" w:color="auto"/>
            <w:bottom w:val="none" w:sz="0" w:space="0" w:color="auto"/>
            <w:right w:val="none" w:sz="0" w:space="0" w:color="auto"/>
          </w:divBdr>
        </w:div>
        <w:div w:id="1961911249">
          <w:marLeft w:val="0"/>
          <w:marRight w:val="0"/>
          <w:marTop w:val="0"/>
          <w:marBottom w:val="0"/>
          <w:divBdr>
            <w:top w:val="none" w:sz="0" w:space="0" w:color="auto"/>
            <w:left w:val="none" w:sz="0" w:space="0" w:color="auto"/>
            <w:bottom w:val="none" w:sz="0" w:space="0" w:color="auto"/>
            <w:right w:val="none" w:sz="0" w:space="0" w:color="auto"/>
          </w:divBdr>
        </w:div>
        <w:div w:id="1971009612">
          <w:marLeft w:val="0"/>
          <w:marRight w:val="0"/>
          <w:marTop w:val="0"/>
          <w:marBottom w:val="0"/>
          <w:divBdr>
            <w:top w:val="none" w:sz="0" w:space="0" w:color="auto"/>
            <w:left w:val="none" w:sz="0" w:space="0" w:color="auto"/>
            <w:bottom w:val="none" w:sz="0" w:space="0" w:color="auto"/>
            <w:right w:val="none" w:sz="0" w:space="0" w:color="auto"/>
          </w:divBdr>
        </w:div>
        <w:div w:id="1978679816">
          <w:marLeft w:val="0"/>
          <w:marRight w:val="0"/>
          <w:marTop w:val="0"/>
          <w:marBottom w:val="0"/>
          <w:divBdr>
            <w:top w:val="none" w:sz="0" w:space="0" w:color="auto"/>
            <w:left w:val="none" w:sz="0" w:space="0" w:color="auto"/>
            <w:bottom w:val="none" w:sz="0" w:space="0" w:color="auto"/>
            <w:right w:val="none" w:sz="0" w:space="0" w:color="auto"/>
          </w:divBdr>
        </w:div>
        <w:div w:id="1994067925">
          <w:marLeft w:val="0"/>
          <w:marRight w:val="0"/>
          <w:marTop w:val="0"/>
          <w:marBottom w:val="0"/>
          <w:divBdr>
            <w:top w:val="none" w:sz="0" w:space="0" w:color="auto"/>
            <w:left w:val="none" w:sz="0" w:space="0" w:color="auto"/>
            <w:bottom w:val="none" w:sz="0" w:space="0" w:color="auto"/>
            <w:right w:val="none" w:sz="0" w:space="0" w:color="auto"/>
          </w:divBdr>
        </w:div>
        <w:div w:id="2005550294">
          <w:marLeft w:val="0"/>
          <w:marRight w:val="0"/>
          <w:marTop w:val="0"/>
          <w:marBottom w:val="0"/>
          <w:divBdr>
            <w:top w:val="none" w:sz="0" w:space="0" w:color="auto"/>
            <w:left w:val="none" w:sz="0" w:space="0" w:color="auto"/>
            <w:bottom w:val="none" w:sz="0" w:space="0" w:color="auto"/>
            <w:right w:val="none" w:sz="0" w:space="0" w:color="auto"/>
          </w:divBdr>
        </w:div>
        <w:div w:id="2012561179">
          <w:marLeft w:val="0"/>
          <w:marRight w:val="0"/>
          <w:marTop w:val="0"/>
          <w:marBottom w:val="0"/>
          <w:divBdr>
            <w:top w:val="none" w:sz="0" w:space="0" w:color="auto"/>
            <w:left w:val="none" w:sz="0" w:space="0" w:color="auto"/>
            <w:bottom w:val="none" w:sz="0" w:space="0" w:color="auto"/>
            <w:right w:val="none" w:sz="0" w:space="0" w:color="auto"/>
          </w:divBdr>
        </w:div>
        <w:div w:id="2023896526">
          <w:marLeft w:val="0"/>
          <w:marRight w:val="0"/>
          <w:marTop w:val="0"/>
          <w:marBottom w:val="0"/>
          <w:divBdr>
            <w:top w:val="none" w:sz="0" w:space="0" w:color="auto"/>
            <w:left w:val="none" w:sz="0" w:space="0" w:color="auto"/>
            <w:bottom w:val="none" w:sz="0" w:space="0" w:color="auto"/>
            <w:right w:val="none" w:sz="0" w:space="0" w:color="auto"/>
          </w:divBdr>
        </w:div>
        <w:div w:id="2025936335">
          <w:marLeft w:val="0"/>
          <w:marRight w:val="0"/>
          <w:marTop w:val="0"/>
          <w:marBottom w:val="0"/>
          <w:divBdr>
            <w:top w:val="none" w:sz="0" w:space="0" w:color="auto"/>
            <w:left w:val="none" w:sz="0" w:space="0" w:color="auto"/>
            <w:bottom w:val="none" w:sz="0" w:space="0" w:color="auto"/>
            <w:right w:val="none" w:sz="0" w:space="0" w:color="auto"/>
          </w:divBdr>
        </w:div>
      </w:divsChild>
    </w:div>
    <w:div w:id="1206212082">
      <w:bodyDiv w:val="1"/>
      <w:marLeft w:val="0"/>
      <w:marRight w:val="0"/>
      <w:marTop w:val="0"/>
      <w:marBottom w:val="0"/>
      <w:divBdr>
        <w:top w:val="none" w:sz="0" w:space="0" w:color="auto"/>
        <w:left w:val="none" w:sz="0" w:space="0" w:color="auto"/>
        <w:bottom w:val="none" w:sz="0" w:space="0" w:color="auto"/>
        <w:right w:val="none" w:sz="0" w:space="0" w:color="auto"/>
      </w:divBdr>
    </w:div>
    <w:div w:id="1206409068">
      <w:bodyDiv w:val="1"/>
      <w:marLeft w:val="0"/>
      <w:marRight w:val="0"/>
      <w:marTop w:val="0"/>
      <w:marBottom w:val="0"/>
      <w:divBdr>
        <w:top w:val="none" w:sz="0" w:space="0" w:color="auto"/>
        <w:left w:val="none" w:sz="0" w:space="0" w:color="auto"/>
        <w:bottom w:val="none" w:sz="0" w:space="0" w:color="auto"/>
        <w:right w:val="none" w:sz="0" w:space="0" w:color="auto"/>
      </w:divBdr>
    </w:div>
    <w:div w:id="1206525933">
      <w:bodyDiv w:val="1"/>
      <w:marLeft w:val="0"/>
      <w:marRight w:val="0"/>
      <w:marTop w:val="0"/>
      <w:marBottom w:val="0"/>
      <w:divBdr>
        <w:top w:val="none" w:sz="0" w:space="0" w:color="auto"/>
        <w:left w:val="none" w:sz="0" w:space="0" w:color="auto"/>
        <w:bottom w:val="none" w:sz="0" w:space="0" w:color="auto"/>
        <w:right w:val="none" w:sz="0" w:space="0" w:color="auto"/>
      </w:divBdr>
    </w:div>
    <w:div w:id="1206597403">
      <w:bodyDiv w:val="1"/>
      <w:marLeft w:val="0"/>
      <w:marRight w:val="0"/>
      <w:marTop w:val="0"/>
      <w:marBottom w:val="0"/>
      <w:divBdr>
        <w:top w:val="none" w:sz="0" w:space="0" w:color="auto"/>
        <w:left w:val="none" w:sz="0" w:space="0" w:color="auto"/>
        <w:bottom w:val="none" w:sz="0" w:space="0" w:color="auto"/>
        <w:right w:val="none" w:sz="0" w:space="0" w:color="auto"/>
      </w:divBdr>
    </w:div>
    <w:div w:id="1206680380">
      <w:bodyDiv w:val="1"/>
      <w:marLeft w:val="0"/>
      <w:marRight w:val="0"/>
      <w:marTop w:val="0"/>
      <w:marBottom w:val="0"/>
      <w:divBdr>
        <w:top w:val="none" w:sz="0" w:space="0" w:color="auto"/>
        <w:left w:val="none" w:sz="0" w:space="0" w:color="auto"/>
        <w:bottom w:val="none" w:sz="0" w:space="0" w:color="auto"/>
        <w:right w:val="none" w:sz="0" w:space="0" w:color="auto"/>
      </w:divBdr>
    </w:div>
    <w:div w:id="1206916134">
      <w:bodyDiv w:val="1"/>
      <w:marLeft w:val="0"/>
      <w:marRight w:val="0"/>
      <w:marTop w:val="0"/>
      <w:marBottom w:val="0"/>
      <w:divBdr>
        <w:top w:val="none" w:sz="0" w:space="0" w:color="auto"/>
        <w:left w:val="none" w:sz="0" w:space="0" w:color="auto"/>
        <w:bottom w:val="none" w:sz="0" w:space="0" w:color="auto"/>
        <w:right w:val="none" w:sz="0" w:space="0" w:color="auto"/>
      </w:divBdr>
    </w:div>
    <w:div w:id="1206941697">
      <w:bodyDiv w:val="1"/>
      <w:marLeft w:val="0"/>
      <w:marRight w:val="0"/>
      <w:marTop w:val="0"/>
      <w:marBottom w:val="0"/>
      <w:divBdr>
        <w:top w:val="none" w:sz="0" w:space="0" w:color="auto"/>
        <w:left w:val="none" w:sz="0" w:space="0" w:color="auto"/>
        <w:bottom w:val="none" w:sz="0" w:space="0" w:color="auto"/>
        <w:right w:val="none" w:sz="0" w:space="0" w:color="auto"/>
      </w:divBdr>
    </w:div>
    <w:div w:id="1206990632">
      <w:bodyDiv w:val="1"/>
      <w:marLeft w:val="0"/>
      <w:marRight w:val="0"/>
      <w:marTop w:val="0"/>
      <w:marBottom w:val="0"/>
      <w:divBdr>
        <w:top w:val="none" w:sz="0" w:space="0" w:color="auto"/>
        <w:left w:val="none" w:sz="0" w:space="0" w:color="auto"/>
        <w:bottom w:val="none" w:sz="0" w:space="0" w:color="auto"/>
        <w:right w:val="none" w:sz="0" w:space="0" w:color="auto"/>
      </w:divBdr>
    </w:div>
    <w:div w:id="1207068002">
      <w:bodyDiv w:val="1"/>
      <w:marLeft w:val="0"/>
      <w:marRight w:val="0"/>
      <w:marTop w:val="0"/>
      <w:marBottom w:val="0"/>
      <w:divBdr>
        <w:top w:val="none" w:sz="0" w:space="0" w:color="auto"/>
        <w:left w:val="none" w:sz="0" w:space="0" w:color="auto"/>
        <w:bottom w:val="none" w:sz="0" w:space="0" w:color="auto"/>
        <w:right w:val="none" w:sz="0" w:space="0" w:color="auto"/>
      </w:divBdr>
    </w:div>
    <w:div w:id="1207333372">
      <w:bodyDiv w:val="1"/>
      <w:marLeft w:val="0"/>
      <w:marRight w:val="0"/>
      <w:marTop w:val="0"/>
      <w:marBottom w:val="0"/>
      <w:divBdr>
        <w:top w:val="none" w:sz="0" w:space="0" w:color="auto"/>
        <w:left w:val="none" w:sz="0" w:space="0" w:color="auto"/>
        <w:bottom w:val="none" w:sz="0" w:space="0" w:color="auto"/>
        <w:right w:val="none" w:sz="0" w:space="0" w:color="auto"/>
      </w:divBdr>
    </w:div>
    <w:div w:id="1207447105">
      <w:bodyDiv w:val="1"/>
      <w:marLeft w:val="0"/>
      <w:marRight w:val="0"/>
      <w:marTop w:val="0"/>
      <w:marBottom w:val="0"/>
      <w:divBdr>
        <w:top w:val="none" w:sz="0" w:space="0" w:color="auto"/>
        <w:left w:val="none" w:sz="0" w:space="0" w:color="auto"/>
        <w:bottom w:val="none" w:sz="0" w:space="0" w:color="auto"/>
        <w:right w:val="none" w:sz="0" w:space="0" w:color="auto"/>
      </w:divBdr>
    </w:div>
    <w:div w:id="1207449870">
      <w:bodyDiv w:val="1"/>
      <w:marLeft w:val="0"/>
      <w:marRight w:val="0"/>
      <w:marTop w:val="0"/>
      <w:marBottom w:val="0"/>
      <w:divBdr>
        <w:top w:val="none" w:sz="0" w:space="0" w:color="auto"/>
        <w:left w:val="none" w:sz="0" w:space="0" w:color="auto"/>
        <w:bottom w:val="none" w:sz="0" w:space="0" w:color="auto"/>
        <w:right w:val="none" w:sz="0" w:space="0" w:color="auto"/>
      </w:divBdr>
    </w:div>
    <w:div w:id="1207450389">
      <w:bodyDiv w:val="1"/>
      <w:marLeft w:val="0"/>
      <w:marRight w:val="0"/>
      <w:marTop w:val="0"/>
      <w:marBottom w:val="0"/>
      <w:divBdr>
        <w:top w:val="none" w:sz="0" w:space="0" w:color="auto"/>
        <w:left w:val="none" w:sz="0" w:space="0" w:color="auto"/>
        <w:bottom w:val="none" w:sz="0" w:space="0" w:color="auto"/>
        <w:right w:val="none" w:sz="0" w:space="0" w:color="auto"/>
      </w:divBdr>
    </w:div>
    <w:div w:id="1207451571">
      <w:bodyDiv w:val="1"/>
      <w:marLeft w:val="0"/>
      <w:marRight w:val="0"/>
      <w:marTop w:val="0"/>
      <w:marBottom w:val="0"/>
      <w:divBdr>
        <w:top w:val="none" w:sz="0" w:space="0" w:color="auto"/>
        <w:left w:val="none" w:sz="0" w:space="0" w:color="auto"/>
        <w:bottom w:val="none" w:sz="0" w:space="0" w:color="auto"/>
        <w:right w:val="none" w:sz="0" w:space="0" w:color="auto"/>
      </w:divBdr>
    </w:div>
    <w:div w:id="1207452963">
      <w:bodyDiv w:val="1"/>
      <w:marLeft w:val="0"/>
      <w:marRight w:val="0"/>
      <w:marTop w:val="0"/>
      <w:marBottom w:val="0"/>
      <w:divBdr>
        <w:top w:val="none" w:sz="0" w:space="0" w:color="auto"/>
        <w:left w:val="none" w:sz="0" w:space="0" w:color="auto"/>
        <w:bottom w:val="none" w:sz="0" w:space="0" w:color="auto"/>
        <w:right w:val="none" w:sz="0" w:space="0" w:color="auto"/>
      </w:divBdr>
    </w:div>
    <w:div w:id="1207454256">
      <w:bodyDiv w:val="1"/>
      <w:marLeft w:val="0"/>
      <w:marRight w:val="0"/>
      <w:marTop w:val="0"/>
      <w:marBottom w:val="0"/>
      <w:divBdr>
        <w:top w:val="none" w:sz="0" w:space="0" w:color="auto"/>
        <w:left w:val="none" w:sz="0" w:space="0" w:color="auto"/>
        <w:bottom w:val="none" w:sz="0" w:space="0" w:color="auto"/>
        <w:right w:val="none" w:sz="0" w:space="0" w:color="auto"/>
      </w:divBdr>
    </w:div>
    <w:div w:id="1207566645">
      <w:bodyDiv w:val="1"/>
      <w:marLeft w:val="0"/>
      <w:marRight w:val="0"/>
      <w:marTop w:val="0"/>
      <w:marBottom w:val="0"/>
      <w:divBdr>
        <w:top w:val="none" w:sz="0" w:space="0" w:color="auto"/>
        <w:left w:val="none" w:sz="0" w:space="0" w:color="auto"/>
        <w:bottom w:val="none" w:sz="0" w:space="0" w:color="auto"/>
        <w:right w:val="none" w:sz="0" w:space="0" w:color="auto"/>
      </w:divBdr>
    </w:div>
    <w:div w:id="1207716888">
      <w:bodyDiv w:val="1"/>
      <w:marLeft w:val="0"/>
      <w:marRight w:val="0"/>
      <w:marTop w:val="0"/>
      <w:marBottom w:val="0"/>
      <w:divBdr>
        <w:top w:val="none" w:sz="0" w:space="0" w:color="auto"/>
        <w:left w:val="none" w:sz="0" w:space="0" w:color="auto"/>
        <w:bottom w:val="none" w:sz="0" w:space="0" w:color="auto"/>
        <w:right w:val="none" w:sz="0" w:space="0" w:color="auto"/>
      </w:divBdr>
    </w:div>
    <w:div w:id="1207722408">
      <w:bodyDiv w:val="1"/>
      <w:marLeft w:val="0"/>
      <w:marRight w:val="0"/>
      <w:marTop w:val="0"/>
      <w:marBottom w:val="0"/>
      <w:divBdr>
        <w:top w:val="none" w:sz="0" w:space="0" w:color="auto"/>
        <w:left w:val="none" w:sz="0" w:space="0" w:color="auto"/>
        <w:bottom w:val="none" w:sz="0" w:space="0" w:color="auto"/>
        <w:right w:val="none" w:sz="0" w:space="0" w:color="auto"/>
      </w:divBdr>
    </w:div>
    <w:div w:id="1207906941">
      <w:bodyDiv w:val="1"/>
      <w:marLeft w:val="0"/>
      <w:marRight w:val="0"/>
      <w:marTop w:val="0"/>
      <w:marBottom w:val="0"/>
      <w:divBdr>
        <w:top w:val="none" w:sz="0" w:space="0" w:color="auto"/>
        <w:left w:val="none" w:sz="0" w:space="0" w:color="auto"/>
        <w:bottom w:val="none" w:sz="0" w:space="0" w:color="auto"/>
        <w:right w:val="none" w:sz="0" w:space="0" w:color="auto"/>
      </w:divBdr>
    </w:div>
    <w:div w:id="1207909233">
      <w:bodyDiv w:val="1"/>
      <w:marLeft w:val="0"/>
      <w:marRight w:val="0"/>
      <w:marTop w:val="0"/>
      <w:marBottom w:val="0"/>
      <w:divBdr>
        <w:top w:val="none" w:sz="0" w:space="0" w:color="auto"/>
        <w:left w:val="none" w:sz="0" w:space="0" w:color="auto"/>
        <w:bottom w:val="none" w:sz="0" w:space="0" w:color="auto"/>
        <w:right w:val="none" w:sz="0" w:space="0" w:color="auto"/>
      </w:divBdr>
    </w:div>
    <w:div w:id="1208032339">
      <w:bodyDiv w:val="1"/>
      <w:marLeft w:val="0"/>
      <w:marRight w:val="0"/>
      <w:marTop w:val="0"/>
      <w:marBottom w:val="0"/>
      <w:divBdr>
        <w:top w:val="none" w:sz="0" w:space="0" w:color="auto"/>
        <w:left w:val="none" w:sz="0" w:space="0" w:color="auto"/>
        <w:bottom w:val="none" w:sz="0" w:space="0" w:color="auto"/>
        <w:right w:val="none" w:sz="0" w:space="0" w:color="auto"/>
      </w:divBdr>
    </w:div>
    <w:div w:id="1208100618">
      <w:bodyDiv w:val="1"/>
      <w:marLeft w:val="0"/>
      <w:marRight w:val="0"/>
      <w:marTop w:val="0"/>
      <w:marBottom w:val="0"/>
      <w:divBdr>
        <w:top w:val="none" w:sz="0" w:space="0" w:color="auto"/>
        <w:left w:val="none" w:sz="0" w:space="0" w:color="auto"/>
        <w:bottom w:val="none" w:sz="0" w:space="0" w:color="auto"/>
        <w:right w:val="none" w:sz="0" w:space="0" w:color="auto"/>
      </w:divBdr>
    </w:div>
    <w:div w:id="1208100817">
      <w:bodyDiv w:val="1"/>
      <w:marLeft w:val="0"/>
      <w:marRight w:val="0"/>
      <w:marTop w:val="0"/>
      <w:marBottom w:val="0"/>
      <w:divBdr>
        <w:top w:val="none" w:sz="0" w:space="0" w:color="auto"/>
        <w:left w:val="none" w:sz="0" w:space="0" w:color="auto"/>
        <w:bottom w:val="none" w:sz="0" w:space="0" w:color="auto"/>
        <w:right w:val="none" w:sz="0" w:space="0" w:color="auto"/>
      </w:divBdr>
    </w:div>
    <w:div w:id="1208184787">
      <w:bodyDiv w:val="1"/>
      <w:marLeft w:val="0"/>
      <w:marRight w:val="0"/>
      <w:marTop w:val="0"/>
      <w:marBottom w:val="0"/>
      <w:divBdr>
        <w:top w:val="none" w:sz="0" w:space="0" w:color="auto"/>
        <w:left w:val="none" w:sz="0" w:space="0" w:color="auto"/>
        <w:bottom w:val="none" w:sz="0" w:space="0" w:color="auto"/>
        <w:right w:val="none" w:sz="0" w:space="0" w:color="auto"/>
      </w:divBdr>
    </w:div>
    <w:div w:id="1208223348">
      <w:bodyDiv w:val="1"/>
      <w:marLeft w:val="0"/>
      <w:marRight w:val="0"/>
      <w:marTop w:val="0"/>
      <w:marBottom w:val="0"/>
      <w:divBdr>
        <w:top w:val="none" w:sz="0" w:space="0" w:color="auto"/>
        <w:left w:val="none" w:sz="0" w:space="0" w:color="auto"/>
        <w:bottom w:val="none" w:sz="0" w:space="0" w:color="auto"/>
        <w:right w:val="none" w:sz="0" w:space="0" w:color="auto"/>
      </w:divBdr>
    </w:div>
    <w:div w:id="1208296794">
      <w:bodyDiv w:val="1"/>
      <w:marLeft w:val="0"/>
      <w:marRight w:val="0"/>
      <w:marTop w:val="0"/>
      <w:marBottom w:val="0"/>
      <w:divBdr>
        <w:top w:val="none" w:sz="0" w:space="0" w:color="auto"/>
        <w:left w:val="none" w:sz="0" w:space="0" w:color="auto"/>
        <w:bottom w:val="none" w:sz="0" w:space="0" w:color="auto"/>
        <w:right w:val="none" w:sz="0" w:space="0" w:color="auto"/>
      </w:divBdr>
    </w:div>
    <w:div w:id="1208299693">
      <w:bodyDiv w:val="1"/>
      <w:marLeft w:val="0"/>
      <w:marRight w:val="0"/>
      <w:marTop w:val="0"/>
      <w:marBottom w:val="0"/>
      <w:divBdr>
        <w:top w:val="none" w:sz="0" w:space="0" w:color="auto"/>
        <w:left w:val="none" w:sz="0" w:space="0" w:color="auto"/>
        <w:bottom w:val="none" w:sz="0" w:space="0" w:color="auto"/>
        <w:right w:val="none" w:sz="0" w:space="0" w:color="auto"/>
      </w:divBdr>
    </w:div>
    <w:div w:id="1208373952">
      <w:bodyDiv w:val="1"/>
      <w:marLeft w:val="0"/>
      <w:marRight w:val="0"/>
      <w:marTop w:val="0"/>
      <w:marBottom w:val="0"/>
      <w:divBdr>
        <w:top w:val="none" w:sz="0" w:space="0" w:color="auto"/>
        <w:left w:val="none" w:sz="0" w:space="0" w:color="auto"/>
        <w:bottom w:val="none" w:sz="0" w:space="0" w:color="auto"/>
        <w:right w:val="none" w:sz="0" w:space="0" w:color="auto"/>
      </w:divBdr>
    </w:div>
    <w:div w:id="1208421044">
      <w:bodyDiv w:val="1"/>
      <w:marLeft w:val="0"/>
      <w:marRight w:val="0"/>
      <w:marTop w:val="0"/>
      <w:marBottom w:val="0"/>
      <w:divBdr>
        <w:top w:val="none" w:sz="0" w:space="0" w:color="auto"/>
        <w:left w:val="none" w:sz="0" w:space="0" w:color="auto"/>
        <w:bottom w:val="none" w:sz="0" w:space="0" w:color="auto"/>
        <w:right w:val="none" w:sz="0" w:space="0" w:color="auto"/>
      </w:divBdr>
    </w:div>
    <w:div w:id="1208444956">
      <w:bodyDiv w:val="1"/>
      <w:marLeft w:val="0"/>
      <w:marRight w:val="0"/>
      <w:marTop w:val="0"/>
      <w:marBottom w:val="0"/>
      <w:divBdr>
        <w:top w:val="none" w:sz="0" w:space="0" w:color="auto"/>
        <w:left w:val="none" w:sz="0" w:space="0" w:color="auto"/>
        <w:bottom w:val="none" w:sz="0" w:space="0" w:color="auto"/>
        <w:right w:val="none" w:sz="0" w:space="0" w:color="auto"/>
      </w:divBdr>
    </w:div>
    <w:div w:id="1208445919">
      <w:bodyDiv w:val="1"/>
      <w:marLeft w:val="0"/>
      <w:marRight w:val="0"/>
      <w:marTop w:val="0"/>
      <w:marBottom w:val="0"/>
      <w:divBdr>
        <w:top w:val="none" w:sz="0" w:space="0" w:color="auto"/>
        <w:left w:val="none" w:sz="0" w:space="0" w:color="auto"/>
        <w:bottom w:val="none" w:sz="0" w:space="0" w:color="auto"/>
        <w:right w:val="none" w:sz="0" w:space="0" w:color="auto"/>
      </w:divBdr>
    </w:div>
    <w:div w:id="1208488478">
      <w:bodyDiv w:val="1"/>
      <w:marLeft w:val="0"/>
      <w:marRight w:val="0"/>
      <w:marTop w:val="0"/>
      <w:marBottom w:val="0"/>
      <w:divBdr>
        <w:top w:val="none" w:sz="0" w:space="0" w:color="auto"/>
        <w:left w:val="none" w:sz="0" w:space="0" w:color="auto"/>
        <w:bottom w:val="none" w:sz="0" w:space="0" w:color="auto"/>
        <w:right w:val="none" w:sz="0" w:space="0" w:color="auto"/>
      </w:divBdr>
    </w:div>
    <w:div w:id="1208493200">
      <w:bodyDiv w:val="1"/>
      <w:marLeft w:val="0"/>
      <w:marRight w:val="0"/>
      <w:marTop w:val="0"/>
      <w:marBottom w:val="0"/>
      <w:divBdr>
        <w:top w:val="none" w:sz="0" w:space="0" w:color="auto"/>
        <w:left w:val="none" w:sz="0" w:space="0" w:color="auto"/>
        <w:bottom w:val="none" w:sz="0" w:space="0" w:color="auto"/>
        <w:right w:val="none" w:sz="0" w:space="0" w:color="auto"/>
      </w:divBdr>
    </w:div>
    <w:div w:id="1208567167">
      <w:bodyDiv w:val="1"/>
      <w:marLeft w:val="0"/>
      <w:marRight w:val="0"/>
      <w:marTop w:val="0"/>
      <w:marBottom w:val="0"/>
      <w:divBdr>
        <w:top w:val="none" w:sz="0" w:space="0" w:color="auto"/>
        <w:left w:val="none" w:sz="0" w:space="0" w:color="auto"/>
        <w:bottom w:val="none" w:sz="0" w:space="0" w:color="auto"/>
        <w:right w:val="none" w:sz="0" w:space="0" w:color="auto"/>
      </w:divBdr>
    </w:div>
    <w:div w:id="1208571765">
      <w:bodyDiv w:val="1"/>
      <w:marLeft w:val="0"/>
      <w:marRight w:val="0"/>
      <w:marTop w:val="0"/>
      <w:marBottom w:val="0"/>
      <w:divBdr>
        <w:top w:val="none" w:sz="0" w:space="0" w:color="auto"/>
        <w:left w:val="none" w:sz="0" w:space="0" w:color="auto"/>
        <w:bottom w:val="none" w:sz="0" w:space="0" w:color="auto"/>
        <w:right w:val="none" w:sz="0" w:space="0" w:color="auto"/>
      </w:divBdr>
    </w:div>
    <w:div w:id="1208763991">
      <w:bodyDiv w:val="1"/>
      <w:marLeft w:val="0"/>
      <w:marRight w:val="0"/>
      <w:marTop w:val="0"/>
      <w:marBottom w:val="0"/>
      <w:divBdr>
        <w:top w:val="none" w:sz="0" w:space="0" w:color="auto"/>
        <w:left w:val="none" w:sz="0" w:space="0" w:color="auto"/>
        <w:bottom w:val="none" w:sz="0" w:space="0" w:color="auto"/>
        <w:right w:val="none" w:sz="0" w:space="0" w:color="auto"/>
      </w:divBdr>
    </w:div>
    <w:div w:id="1208836052">
      <w:bodyDiv w:val="1"/>
      <w:marLeft w:val="0"/>
      <w:marRight w:val="0"/>
      <w:marTop w:val="0"/>
      <w:marBottom w:val="0"/>
      <w:divBdr>
        <w:top w:val="none" w:sz="0" w:space="0" w:color="auto"/>
        <w:left w:val="none" w:sz="0" w:space="0" w:color="auto"/>
        <w:bottom w:val="none" w:sz="0" w:space="0" w:color="auto"/>
        <w:right w:val="none" w:sz="0" w:space="0" w:color="auto"/>
      </w:divBdr>
    </w:div>
    <w:div w:id="1208949973">
      <w:bodyDiv w:val="1"/>
      <w:marLeft w:val="0"/>
      <w:marRight w:val="0"/>
      <w:marTop w:val="0"/>
      <w:marBottom w:val="0"/>
      <w:divBdr>
        <w:top w:val="none" w:sz="0" w:space="0" w:color="auto"/>
        <w:left w:val="none" w:sz="0" w:space="0" w:color="auto"/>
        <w:bottom w:val="none" w:sz="0" w:space="0" w:color="auto"/>
        <w:right w:val="none" w:sz="0" w:space="0" w:color="auto"/>
      </w:divBdr>
    </w:div>
    <w:div w:id="1209031399">
      <w:bodyDiv w:val="1"/>
      <w:marLeft w:val="0"/>
      <w:marRight w:val="0"/>
      <w:marTop w:val="0"/>
      <w:marBottom w:val="0"/>
      <w:divBdr>
        <w:top w:val="none" w:sz="0" w:space="0" w:color="auto"/>
        <w:left w:val="none" w:sz="0" w:space="0" w:color="auto"/>
        <w:bottom w:val="none" w:sz="0" w:space="0" w:color="auto"/>
        <w:right w:val="none" w:sz="0" w:space="0" w:color="auto"/>
      </w:divBdr>
    </w:div>
    <w:div w:id="1209031886">
      <w:bodyDiv w:val="1"/>
      <w:marLeft w:val="0"/>
      <w:marRight w:val="0"/>
      <w:marTop w:val="0"/>
      <w:marBottom w:val="0"/>
      <w:divBdr>
        <w:top w:val="none" w:sz="0" w:space="0" w:color="auto"/>
        <w:left w:val="none" w:sz="0" w:space="0" w:color="auto"/>
        <w:bottom w:val="none" w:sz="0" w:space="0" w:color="auto"/>
        <w:right w:val="none" w:sz="0" w:space="0" w:color="auto"/>
      </w:divBdr>
    </w:div>
    <w:div w:id="1209033137">
      <w:bodyDiv w:val="1"/>
      <w:marLeft w:val="0"/>
      <w:marRight w:val="0"/>
      <w:marTop w:val="0"/>
      <w:marBottom w:val="0"/>
      <w:divBdr>
        <w:top w:val="none" w:sz="0" w:space="0" w:color="auto"/>
        <w:left w:val="none" w:sz="0" w:space="0" w:color="auto"/>
        <w:bottom w:val="none" w:sz="0" w:space="0" w:color="auto"/>
        <w:right w:val="none" w:sz="0" w:space="0" w:color="auto"/>
      </w:divBdr>
    </w:div>
    <w:div w:id="1209148312">
      <w:bodyDiv w:val="1"/>
      <w:marLeft w:val="0"/>
      <w:marRight w:val="0"/>
      <w:marTop w:val="0"/>
      <w:marBottom w:val="0"/>
      <w:divBdr>
        <w:top w:val="none" w:sz="0" w:space="0" w:color="auto"/>
        <w:left w:val="none" w:sz="0" w:space="0" w:color="auto"/>
        <w:bottom w:val="none" w:sz="0" w:space="0" w:color="auto"/>
        <w:right w:val="none" w:sz="0" w:space="0" w:color="auto"/>
      </w:divBdr>
    </w:div>
    <w:div w:id="1209151299">
      <w:bodyDiv w:val="1"/>
      <w:marLeft w:val="0"/>
      <w:marRight w:val="0"/>
      <w:marTop w:val="0"/>
      <w:marBottom w:val="0"/>
      <w:divBdr>
        <w:top w:val="none" w:sz="0" w:space="0" w:color="auto"/>
        <w:left w:val="none" w:sz="0" w:space="0" w:color="auto"/>
        <w:bottom w:val="none" w:sz="0" w:space="0" w:color="auto"/>
        <w:right w:val="none" w:sz="0" w:space="0" w:color="auto"/>
      </w:divBdr>
    </w:div>
    <w:div w:id="1209151868">
      <w:bodyDiv w:val="1"/>
      <w:marLeft w:val="0"/>
      <w:marRight w:val="0"/>
      <w:marTop w:val="0"/>
      <w:marBottom w:val="0"/>
      <w:divBdr>
        <w:top w:val="none" w:sz="0" w:space="0" w:color="auto"/>
        <w:left w:val="none" w:sz="0" w:space="0" w:color="auto"/>
        <w:bottom w:val="none" w:sz="0" w:space="0" w:color="auto"/>
        <w:right w:val="none" w:sz="0" w:space="0" w:color="auto"/>
      </w:divBdr>
    </w:div>
    <w:div w:id="1209223561">
      <w:bodyDiv w:val="1"/>
      <w:marLeft w:val="0"/>
      <w:marRight w:val="0"/>
      <w:marTop w:val="0"/>
      <w:marBottom w:val="0"/>
      <w:divBdr>
        <w:top w:val="none" w:sz="0" w:space="0" w:color="auto"/>
        <w:left w:val="none" w:sz="0" w:space="0" w:color="auto"/>
        <w:bottom w:val="none" w:sz="0" w:space="0" w:color="auto"/>
        <w:right w:val="none" w:sz="0" w:space="0" w:color="auto"/>
      </w:divBdr>
    </w:div>
    <w:div w:id="1209414077">
      <w:bodyDiv w:val="1"/>
      <w:marLeft w:val="0"/>
      <w:marRight w:val="0"/>
      <w:marTop w:val="0"/>
      <w:marBottom w:val="0"/>
      <w:divBdr>
        <w:top w:val="none" w:sz="0" w:space="0" w:color="auto"/>
        <w:left w:val="none" w:sz="0" w:space="0" w:color="auto"/>
        <w:bottom w:val="none" w:sz="0" w:space="0" w:color="auto"/>
        <w:right w:val="none" w:sz="0" w:space="0" w:color="auto"/>
      </w:divBdr>
    </w:div>
    <w:div w:id="1209487037">
      <w:bodyDiv w:val="1"/>
      <w:marLeft w:val="0"/>
      <w:marRight w:val="0"/>
      <w:marTop w:val="0"/>
      <w:marBottom w:val="0"/>
      <w:divBdr>
        <w:top w:val="none" w:sz="0" w:space="0" w:color="auto"/>
        <w:left w:val="none" w:sz="0" w:space="0" w:color="auto"/>
        <w:bottom w:val="none" w:sz="0" w:space="0" w:color="auto"/>
        <w:right w:val="none" w:sz="0" w:space="0" w:color="auto"/>
      </w:divBdr>
    </w:div>
    <w:div w:id="1209563074">
      <w:bodyDiv w:val="1"/>
      <w:marLeft w:val="0"/>
      <w:marRight w:val="0"/>
      <w:marTop w:val="0"/>
      <w:marBottom w:val="0"/>
      <w:divBdr>
        <w:top w:val="none" w:sz="0" w:space="0" w:color="auto"/>
        <w:left w:val="none" w:sz="0" w:space="0" w:color="auto"/>
        <w:bottom w:val="none" w:sz="0" w:space="0" w:color="auto"/>
        <w:right w:val="none" w:sz="0" w:space="0" w:color="auto"/>
      </w:divBdr>
    </w:div>
    <w:div w:id="1209564013">
      <w:bodyDiv w:val="1"/>
      <w:marLeft w:val="0"/>
      <w:marRight w:val="0"/>
      <w:marTop w:val="0"/>
      <w:marBottom w:val="0"/>
      <w:divBdr>
        <w:top w:val="none" w:sz="0" w:space="0" w:color="auto"/>
        <w:left w:val="none" w:sz="0" w:space="0" w:color="auto"/>
        <w:bottom w:val="none" w:sz="0" w:space="0" w:color="auto"/>
        <w:right w:val="none" w:sz="0" w:space="0" w:color="auto"/>
      </w:divBdr>
    </w:div>
    <w:div w:id="1209607419">
      <w:bodyDiv w:val="1"/>
      <w:marLeft w:val="0"/>
      <w:marRight w:val="0"/>
      <w:marTop w:val="0"/>
      <w:marBottom w:val="0"/>
      <w:divBdr>
        <w:top w:val="none" w:sz="0" w:space="0" w:color="auto"/>
        <w:left w:val="none" w:sz="0" w:space="0" w:color="auto"/>
        <w:bottom w:val="none" w:sz="0" w:space="0" w:color="auto"/>
        <w:right w:val="none" w:sz="0" w:space="0" w:color="auto"/>
      </w:divBdr>
    </w:div>
    <w:div w:id="1209759165">
      <w:bodyDiv w:val="1"/>
      <w:marLeft w:val="0"/>
      <w:marRight w:val="0"/>
      <w:marTop w:val="0"/>
      <w:marBottom w:val="0"/>
      <w:divBdr>
        <w:top w:val="none" w:sz="0" w:space="0" w:color="auto"/>
        <w:left w:val="none" w:sz="0" w:space="0" w:color="auto"/>
        <w:bottom w:val="none" w:sz="0" w:space="0" w:color="auto"/>
        <w:right w:val="none" w:sz="0" w:space="0" w:color="auto"/>
      </w:divBdr>
    </w:div>
    <w:div w:id="1209804878">
      <w:bodyDiv w:val="1"/>
      <w:marLeft w:val="0"/>
      <w:marRight w:val="0"/>
      <w:marTop w:val="0"/>
      <w:marBottom w:val="0"/>
      <w:divBdr>
        <w:top w:val="none" w:sz="0" w:space="0" w:color="auto"/>
        <w:left w:val="none" w:sz="0" w:space="0" w:color="auto"/>
        <w:bottom w:val="none" w:sz="0" w:space="0" w:color="auto"/>
        <w:right w:val="none" w:sz="0" w:space="0" w:color="auto"/>
      </w:divBdr>
    </w:div>
    <w:div w:id="1209805269">
      <w:bodyDiv w:val="1"/>
      <w:marLeft w:val="0"/>
      <w:marRight w:val="0"/>
      <w:marTop w:val="0"/>
      <w:marBottom w:val="0"/>
      <w:divBdr>
        <w:top w:val="none" w:sz="0" w:space="0" w:color="auto"/>
        <w:left w:val="none" w:sz="0" w:space="0" w:color="auto"/>
        <w:bottom w:val="none" w:sz="0" w:space="0" w:color="auto"/>
        <w:right w:val="none" w:sz="0" w:space="0" w:color="auto"/>
      </w:divBdr>
    </w:div>
    <w:div w:id="1209880216">
      <w:bodyDiv w:val="1"/>
      <w:marLeft w:val="0"/>
      <w:marRight w:val="0"/>
      <w:marTop w:val="0"/>
      <w:marBottom w:val="0"/>
      <w:divBdr>
        <w:top w:val="none" w:sz="0" w:space="0" w:color="auto"/>
        <w:left w:val="none" w:sz="0" w:space="0" w:color="auto"/>
        <w:bottom w:val="none" w:sz="0" w:space="0" w:color="auto"/>
        <w:right w:val="none" w:sz="0" w:space="0" w:color="auto"/>
      </w:divBdr>
    </w:div>
    <w:div w:id="1209948064">
      <w:bodyDiv w:val="1"/>
      <w:marLeft w:val="0"/>
      <w:marRight w:val="0"/>
      <w:marTop w:val="0"/>
      <w:marBottom w:val="0"/>
      <w:divBdr>
        <w:top w:val="none" w:sz="0" w:space="0" w:color="auto"/>
        <w:left w:val="none" w:sz="0" w:space="0" w:color="auto"/>
        <w:bottom w:val="none" w:sz="0" w:space="0" w:color="auto"/>
        <w:right w:val="none" w:sz="0" w:space="0" w:color="auto"/>
      </w:divBdr>
    </w:div>
    <w:div w:id="1209956963">
      <w:bodyDiv w:val="1"/>
      <w:marLeft w:val="0"/>
      <w:marRight w:val="0"/>
      <w:marTop w:val="0"/>
      <w:marBottom w:val="0"/>
      <w:divBdr>
        <w:top w:val="none" w:sz="0" w:space="0" w:color="auto"/>
        <w:left w:val="none" w:sz="0" w:space="0" w:color="auto"/>
        <w:bottom w:val="none" w:sz="0" w:space="0" w:color="auto"/>
        <w:right w:val="none" w:sz="0" w:space="0" w:color="auto"/>
      </w:divBdr>
    </w:div>
    <w:div w:id="1209993046">
      <w:bodyDiv w:val="1"/>
      <w:marLeft w:val="0"/>
      <w:marRight w:val="0"/>
      <w:marTop w:val="0"/>
      <w:marBottom w:val="0"/>
      <w:divBdr>
        <w:top w:val="none" w:sz="0" w:space="0" w:color="auto"/>
        <w:left w:val="none" w:sz="0" w:space="0" w:color="auto"/>
        <w:bottom w:val="none" w:sz="0" w:space="0" w:color="auto"/>
        <w:right w:val="none" w:sz="0" w:space="0" w:color="auto"/>
      </w:divBdr>
    </w:div>
    <w:div w:id="1209993549">
      <w:bodyDiv w:val="1"/>
      <w:marLeft w:val="0"/>
      <w:marRight w:val="0"/>
      <w:marTop w:val="0"/>
      <w:marBottom w:val="0"/>
      <w:divBdr>
        <w:top w:val="none" w:sz="0" w:space="0" w:color="auto"/>
        <w:left w:val="none" w:sz="0" w:space="0" w:color="auto"/>
        <w:bottom w:val="none" w:sz="0" w:space="0" w:color="auto"/>
        <w:right w:val="none" w:sz="0" w:space="0" w:color="auto"/>
      </w:divBdr>
    </w:div>
    <w:div w:id="1210070130">
      <w:bodyDiv w:val="1"/>
      <w:marLeft w:val="0"/>
      <w:marRight w:val="0"/>
      <w:marTop w:val="0"/>
      <w:marBottom w:val="0"/>
      <w:divBdr>
        <w:top w:val="none" w:sz="0" w:space="0" w:color="auto"/>
        <w:left w:val="none" w:sz="0" w:space="0" w:color="auto"/>
        <w:bottom w:val="none" w:sz="0" w:space="0" w:color="auto"/>
        <w:right w:val="none" w:sz="0" w:space="0" w:color="auto"/>
      </w:divBdr>
    </w:div>
    <w:div w:id="1210071234">
      <w:bodyDiv w:val="1"/>
      <w:marLeft w:val="0"/>
      <w:marRight w:val="0"/>
      <w:marTop w:val="0"/>
      <w:marBottom w:val="0"/>
      <w:divBdr>
        <w:top w:val="none" w:sz="0" w:space="0" w:color="auto"/>
        <w:left w:val="none" w:sz="0" w:space="0" w:color="auto"/>
        <w:bottom w:val="none" w:sz="0" w:space="0" w:color="auto"/>
        <w:right w:val="none" w:sz="0" w:space="0" w:color="auto"/>
      </w:divBdr>
    </w:div>
    <w:div w:id="1210145806">
      <w:bodyDiv w:val="1"/>
      <w:marLeft w:val="0"/>
      <w:marRight w:val="0"/>
      <w:marTop w:val="0"/>
      <w:marBottom w:val="0"/>
      <w:divBdr>
        <w:top w:val="none" w:sz="0" w:space="0" w:color="auto"/>
        <w:left w:val="none" w:sz="0" w:space="0" w:color="auto"/>
        <w:bottom w:val="none" w:sz="0" w:space="0" w:color="auto"/>
        <w:right w:val="none" w:sz="0" w:space="0" w:color="auto"/>
      </w:divBdr>
    </w:div>
    <w:div w:id="1210148659">
      <w:bodyDiv w:val="1"/>
      <w:marLeft w:val="0"/>
      <w:marRight w:val="0"/>
      <w:marTop w:val="0"/>
      <w:marBottom w:val="0"/>
      <w:divBdr>
        <w:top w:val="none" w:sz="0" w:space="0" w:color="auto"/>
        <w:left w:val="none" w:sz="0" w:space="0" w:color="auto"/>
        <w:bottom w:val="none" w:sz="0" w:space="0" w:color="auto"/>
        <w:right w:val="none" w:sz="0" w:space="0" w:color="auto"/>
      </w:divBdr>
    </w:div>
    <w:div w:id="1210190210">
      <w:bodyDiv w:val="1"/>
      <w:marLeft w:val="0"/>
      <w:marRight w:val="0"/>
      <w:marTop w:val="0"/>
      <w:marBottom w:val="0"/>
      <w:divBdr>
        <w:top w:val="none" w:sz="0" w:space="0" w:color="auto"/>
        <w:left w:val="none" w:sz="0" w:space="0" w:color="auto"/>
        <w:bottom w:val="none" w:sz="0" w:space="0" w:color="auto"/>
        <w:right w:val="none" w:sz="0" w:space="0" w:color="auto"/>
      </w:divBdr>
    </w:div>
    <w:div w:id="1210261596">
      <w:bodyDiv w:val="1"/>
      <w:marLeft w:val="0"/>
      <w:marRight w:val="0"/>
      <w:marTop w:val="0"/>
      <w:marBottom w:val="0"/>
      <w:divBdr>
        <w:top w:val="none" w:sz="0" w:space="0" w:color="auto"/>
        <w:left w:val="none" w:sz="0" w:space="0" w:color="auto"/>
        <w:bottom w:val="none" w:sz="0" w:space="0" w:color="auto"/>
        <w:right w:val="none" w:sz="0" w:space="0" w:color="auto"/>
      </w:divBdr>
    </w:div>
    <w:div w:id="1210263499">
      <w:bodyDiv w:val="1"/>
      <w:marLeft w:val="0"/>
      <w:marRight w:val="0"/>
      <w:marTop w:val="0"/>
      <w:marBottom w:val="0"/>
      <w:divBdr>
        <w:top w:val="none" w:sz="0" w:space="0" w:color="auto"/>
        <w:left w:val="none" w:sz="0" w:space="0" w:color="auto"/>
        <w:bottom w:val="none" w:sz="0" w:space="0" w:color="auto"/>
        <w:right w:val="none" w:sz="0" w:space="0" w:color="auto"/>
      </w:divBdr>
    </w:div>
    <w:div w:id="1210267157">
      <w:bodyDiv w:val="1"/>
      <w:marLeft w:val="0"/>
      <w:marRight w:val="0"/>
      <w:marTop w:val="0"/>
      <w:marBottom w:val="0"/>
      <w:divBdr>
        <w:top w:val="none" w:sz="0" w:space="0" w:color="auto"/>
        <w:left w:val="none" w:sz="0" w:space="0" w:color="auto"/>
        <w:bottom w:val="none" w:sz="0" w:space="0" w:color="auto"/>
        <w:right w:val="none" w:sz="0" w:space="0" w:color="auto"/>
      </w:divBdr>
    </w:div>
    <w:div w:id="1210336606">
      <w:bodyDiv w:val="1"/>
      <w:marLeft w:val="0"/>
      <w:marRight w:val="0"/>
      <w:marTop w:val="0"/>
      <w:marBottom w:val="0"/>
      <w:divBdr>
        <w:top w:val="none" w:sz="0" w:space="0" w:color="auto"/>
        <w:left w:val="none" w:sz="0" w:space="0" w:color="auto"/>
        <w:bottom w:val="none" w:sz="0" w:space="0" w:color="auto"/>
        <w:right w:val="none" w:sz="0" w:space="0" w:color="auto"/>
      </w:divBdr>
    </w:div>
    <w:div w:id="1210413520">
      <w:bodyDiv w:val="1"/>
      <w:marLeft w:val="0"/>
      <w:marRight w:val="0"/>
      <w:marTop w:val="0"/>
      <w:marBottom w:val="0"/>
      <w:divBdr>
        <w:top w:val="none" w:sz="0" w:space="0" w:color="auto"/>
        <w:left w:val="none" w:sz="0" w:space="0" w:color="auto"/>
        <w:bottom w:val="none" w:sz="0" w:space="0" w:color="auto"/>
        <w:right w:val="none" w:sz="0" w:space="0" w:color="auto"/>
      </w:divBdr>
    </w:div>
    <w:div w:id="1210529796">
      <w:bodyDiv w:val="1"/>
      <w:marLeft w:val="0"/>
      <w:marRight w:val="0"/>
      <w:marTop w:val="0"/>
      <w:marBottom w:val="0"/>
      <w:divBdr>
        <w:top w:val="none" w:sz="0" w:space="0" w:color="auto"/>
        <w:left w:val="none" w:sz="0" w:space="0" w:color="auto"/>
        <w:bottom w:val="none" w:sz="0" w:space="0" w:color="auto"/>
        <w:right w:val="none" w:sz="0" w:space="0" w:color="auto"/>
      </w:divBdr>
    </w:div>
    <w:div w:id="1210648955">
      <w:bodyDiv w:val="1"/>
      <w:marLeft w:val="0"/>
      <w:marRight w:val="0"/>
      <w:marTop w:val="0"/>
      <w:marBottom w:val="0"/>
      <w:divBdr>
        <w:top w:val="none" w:sz="0" w:space="0" w:color="auto"/>
        <w:left w:val="none" w:sz="0" w:space="0" w:color="auto"/>
        <w:bottom w:val="none" w:sz="0" w:space="0" w:color="auto"/>
        <w:right w:val="none" w:sz="0" w:space="0" w:color="auto"/>
      </w:divBdr>
    </w:div>
    <w:div w:id="1210800780">
      <w:bodyDiv w:val="1"/>
      <w:marLeft w:val="0"/>
      <w:marRight w:val="0"/>
      <w:marTop w:val="0"/>
      <w:marBottom w:val="0"/>
      <w:divBdr>
        <w:top w:val="none" w:sz="0" w:space="0" w:color="auto"/>
        <w:left w:val="none" w:sz="0" w:space="0" w:color="auto"/>
        <w:bottom w:val="none" w:sz="0" w:space="0" w:color="auto"/>
        <w:right w:val="none" w:sz="0" w:space="0" w:color="auto"/>
      </w:divBdr>
    </w:div>
    <w:div w:id="1210873684">
      <w:bodyDiv w:val="1"/>
      <w:marLeft w:val="0"/>
      <w:marRight w:val="0"/>
      <w:marTop w:val="0"/>
      <w:marBottom w:val="0"/>
      <w:divBdr>
        <w:top w:val="none" w:sz="0" w:space="0" w:color="auto"/>
        <w:left w:val="none" w:sz="0" w:space="0" w:color="auto"/>
        <w:bottom w:val="none" w:sz="0" w:space="0" w:color="auto"/>
        <w:right w:val="none" w:sz="0" w:space="0" w:color="auto"/>
      </w:divBdr>
    </w:div>
    <w:div w:id="1210921998">
      <w:bodyDiv w:val="1"/>
      <w:marLeft w:val="0"/>
      <w:marRight w:val="0"/>
      <w:marTop w:val="0"/>
      <w:marBottom w:val="0"/>
      <w:divBdr>
        <w:top w:val="none" w:sz="0" w:space="0" w:color="auto"/>
        <w:left w:val="none" w:sz="0" w:space="0" w:color="auto"/>
        <w:bottom w:val="none" w:sz="0" w:space="0" w:color="auto"/>
        <w:right w:val="none" w:sz="0" w:space="0" w:color="auto"/>
      </w:divBdr>
    </w:div>
    <w:div w:id="1211069668">
      <w:bodyDiv w:val="1"/>
      <w:marLeft w:val="0"/>
      <w:marRight w:val="0"/>
      <w:marTop w:val="0"/>
      <w:marBottom w:val="0"/>
      <w:divBdr>
        <w:top w:val="none" w:sz="0" w:space="0" w:color="auto"/>
        <w:left w:val="none" w:sz="0" w:space="0" w:color="auto"/>
        <w:bottom w:val="none" w:sz="0" w:space="0" w:color="auto"/>
        <w:right w:val="none" w:sz="0" w:space="0" w:color="auto"/>
      </w:divBdr>
    </w:div>
    <w:div w:id="1211186321">
      <w:bodyDiv w:val="1"/>
      <w:marLeft w:val="0"/>
      <w:marRight w:val="0"/>
      <w:marTop w:val="0"/>
      <w:marBottom w:val="0"/>
      <w:divBdr>
        <w:top w:val="none" w:sz="0" w:space="0" w:color="auto"/>
        <w:left w:val="none" w:sz="0" w:space="0" w:color="auto"/>
        <w:bottom w:val="none" w:sz="0" w:space="0" w:color="auto"/>
        <w:right w:val="none" w:sz="0" w:space="0" w:color="auto"/>
      </w:divBdr>
    </w:div>
    <w:div w:id="1211190625">
      <w:bodyDiv w:val="1"/>
      <w:marLeft w:val="0"/>
      <w:marRight w:val="0"/>
      <w:marTop w:val="0"/>
      <w:marBottom w:val="0"/>
      <w:divBdr>
        <w:top w:val="none" w:sz="0" w:space="0" w:color="auto"/>
        <w:left w:val="none" w:sz="0" w:space="0" w:color="auto"/>
        <w:bottom w:val="none" w:sz="0" w:space="0" w:color="auto"/>
        <w:right w:val="none" w:sz="0" w:space="0" w:color="auto"/>
      </w:divBdr>
    </w:div>
    <w:div w:id="1211191535">
      <w:bodyDiv w:val="1"/>
      <w:marLeft w:val="0"/>
      <w:marRight w:val="0"/>
      <w:marTop w:val="0"/>
      <w:marBottom w:val="0"/>
      <w:divBdr>
        <w:top w:val="none" w:sz="0" w:space="0" w:color="auto"/>
        <w:left w:val="none" w:sz="0" w:space="0" w:color="auto"/>
        <w:bottom w:val="none" w:sz="0" w:space="0" w:color="auto"/>
        <w:right w:val="none" w:sz="0" w:space="0" w:color="auto"/>
      </w:divBdr>
    </w:div>
    <w:div w:id="1211265282">
      <w:bodyDiv w:val="1"/>
      <w:marLeft w:val="0"/>
      <w:marRight w:val="0"/>
      <w:marTop w:val="0"/>
      <w:marBottom w:val="0"/>
      <w:divBdr>
        <w:top w:val="none" w:sz="0" w:space="0" w:color="auto"/>
        <w:left w:val="none" w:sz="0" w:space="0" w:color="auto"/>
        <w:bottom w:val="none" w:sz="0" w:space="0" w:color="auto"/>
        <w:right w:val="none" w:sz="0" w:space="0" w:color="auto"/>
      </w:divBdr>
    </w:div>
    <w:div w:id="1211377072">
      <w:bodyDiv w:val="1"/>
      <w:marLeft w:val="0"/>
      <w:marRight w:val="0"/>
      <w:marTop w:val="0"/>
      <w:marBottom w:val="0"/>
      <w:divBdr>
        <w:top w:val="none" w:sz="0" w:space="0" w:color="auto"/>
        <w:left w:val="none" w:sz="0" w:space="0" w:color="auto"/>
        <w:bottom w:val="none" w:sz="0" w:space="0" w:color="auto"/>
        <w:right w:val="none" w:sz="0" w:space="0" w:color="auto"/>
      </w:divBdr>
    </w:div>
    <w:div w:id="1211381523">
      <w:bodyDiv w:val="1"/>
      <w:marLeft w:val="0"/>
      <w:marRight w:val="0"/>
      <w:marTop w:val="0"/>
      <w:marBottom w:val="0"/>
      <w:divBdr>
        <w:top w:val="none" w:sz="0" w:space="0" w:color="auto"/>
        <w:left w:val="none" w:sz="0" w:space="0" w:color="auto"/>
        <w:bottom w:val="none" w:sz="0" w:space="0" w:color="auto"/>
        <w:right w:val="none" w:sz="0" w:space="0" w:color="auto"/>
      </w:divBdr>
    </w:div>
    <w:div w:id="1211501427">
      <w:bodyDiv w:val="1"/>
      <w:marLeft w:val="0"/>
      <w:marRight w:val="0"/>
      <w:marTop w:val="0"/>
      <w:marBottom w:val="0"/>
      <w:divBdr>
        <w:top w:val="none" w:sz="0" w:space="0" w:color="auto"/>
        <w:left w:val="none" w:sz="0" w:space="0" w:color="auto"/>
        <w:bottom w:val="none" w:sz="0" w:space="0" w:color="auto"/>
        <w:right w:val="none" w:sz="0" w:space="0" w:color="auto"/>
      </w:divBdr>
    </w:div>
    <w:div w:id="1211646055">
      <w:bodyDiv w:val="1"/>
      <w:marLeft w:val="0"/>
      <w:marRight w:val="0"/>
      <w:marTop w:val="0"/>
      <w:marBottom w:val="0"/>
      <w:divBdr>
        <w:top w:val="none" w:sz="0" w:space="0" w:color="auto"/>
        <w:left w:val="none" w:sz="0" w:space="0" w:color="auto"/>
        <w:bottom w:val="none" w:sz="0" w:space="0" w:color="auto"/>
        <w:right w:val="none" w:sz="0" w:space="0" w:color="auto"/>
      </w:divBdr>
    </w:div>
    <w:div w:id="1211651955">
      <w:bodyDiv w:val="1"/>
      <w:marLeft w:val="0"/>
      <w:marRight w:val="0"/>
      <w:marTop w:val="0"/>
      <w:marBottom w:val="0"/>
      <w:divBdr>
        <w:top w:val="none" w:sz="0" w:space="0" w:color="auto"/>
        <w:left w:val="none" w:sz="0" w:space="0" w:color="auto"/>
        <w:bottom w:val="none" w:sz="0" w:space="0" w:color="auto"/>
        <w:right w:val="none" w:sz="0" w:space="0" w:color="auto"/>
      </w:divBdr>
    </w:div>
    <w:div w:id="1211695548">
      <w:bodyDiv w:val="1"/>
      <w:marLeft w:val="0"/>
      <w:marRight w:val="0"/>
      <w:marTop w:val="0"/>
      <w:marBottom w:val="0"/>
      <w:divBdr>
        <w:top w:val="none" w:sz="0" w:space="0" w:color="auto"/>
        <w:left w:val="none" w:sz="0" w:space="0" w:color="auto"/>
        <w:bottom w:val="none" w:sz="0" w:space="0" w:color="auto"/>
        <w:right w:val="none" w:sz="0" w:space="0" w:color="auto"/>
      </w:divBdr>
    </w:div>
    <w:div w:id="1211764094">
      <w:bodyDiv w:val="1"/>
      <w:marLeft w:val="0"/>
      <w:marRight w:val="0"/>
      <w:marTop w:val="0"/>
      <w:marBottom w:val="0"/>
      <w:divBdr>
        <w:top w:val="none" w:sz="0" w:space="0" w:color="auto"/>
        <w:left w:val="none" w:sz="0" w:space="0" w:color="auto"/>
        <w:bottom w:val="none" w:sz="0" w:space="0" w:color="auto"/>
        <w:right w:val="none" w:sz="0" w:space="0" w:color="auto"/>
      </w:divBdr>
    </w:div>
    <w:div w:id="1211767756">
      <w:bodyDiv w:val="1"/>
      <w:marLeft w:val="0"/>
      <w:marRight w:val="0"/>
      <w:marTop w:val="0"/>
      <w:marBottom w:val="0"/>
      <w:divBdr>
        <w:top w:val="none" w:sz="0" w:space="0" w:color="auto"/>
        <w:left w:val="none" w:sz="0" w:space="0" w:color="auto"/>
        <w:bottom w:val="none" w:sz="0" w:space="0" w:color="auto"/>
        <w:right w:val="none" w:sz="0" w:space="0" w:color="auto"/>
      </w:divBdr>
      <w:divsChild>
        <w:div w:id="27532598">
          <w:marLeft w:val="0"/>
          <w:marRight w:val="0"/>
          <w:marTop w:val="0"/>
          <w:marBottom w:val="0"/>
          <w:divBdr>
            <w:top w:val="none" w:sz="0" w:space="0" w:color="auto"/>
            <w:left w:val="none" w:sz="0" w:space="0" w:color="auto"/>
            <w:bottom w:val="none" w:sz="0" w:space="0" w:color="auto"/>
            <w:right w:val="none" w:sz="0" w:space="0" w:color="auto"/>
          </w:divBdr>
        </w:div>
        <w:div w:id="50885861">
          <w:marLeft w:val="0"/>
          <w:marRight w:val="0"/>
          <w:marTop w:val="0"/>
          <w:marBottom w:val="0"/>
          <w:divBdr>
            <w:top w:val="none" w:sz="0" w:space="0" w:color="auto"/>
            <w:left w:val="none" w:sz="0" w:space="0" w:color="auto"/>
            <w:bottom w:val="none" w:sz="0" w:space="0" w:color="auto"/>
            <w:right w:val="none" w:sz="0" w:space="0" w:color="auto"/>
          </w:divBdr>
        </w:div>
        <w:div w:id="58139040">
          <w:marLeft w:val="0"/>
          <w:marRight w:val="0"/>
          <w:marTop w:val="0"/>
          <w:marBottom w:val="0"/>
          <w:divBdr>
            <w:top w:val="none" w:sz="0" w:space="0" w:color="auto"/>
            <w:left w:val="none" w:sz="0" w:space="0" w:color="auto"/>
            <w:bottom w:val="none" w:sz="0" w:space="0" w:color="auto"/>
            <w:right w:val="none" w:sz="0" w:space="0" w:color="auto"/>
          </w:divBdr>
        </w:div>
        <w:div w:id="74520447">
          <w:marLeft w:val="0"/>
          <w:marRight w:val="0"/>
          <w:marTop w:val="0"/>
          <w:marBottom w:val="0"/>
          <w:divBdr>
            <w:top w:val="none" w:sz="0" w:space="0" w:color="auto"/>
            <w:left w:val="none" w:sz="0" w:space="0" w:color="auto"/>
            <w:bottom w:val="none" w:sz="0" w:space="0" w:color="auto"/>
            <w:right w:val="none" w:sz="0" w:space="0" w:color="auto"/>
          </w:divBdr>
        </w:div>
        <w:div w:id="116919636">
          <w:marLeft w:val="0"/>
          <w:marRight w:val="0"/>
          <w:marTop w:val="0"/>
          <w:marBottom w:val="0"/>
          <w:divBdr>
            <w:top w:val="none" w:sz="0" w:space="0" w:color="auto"/>
            <w:left w:val="none" w:sz="0" w:space="0" w:color="auto"/>
            <w:bottom w:val="none" w:sz="0" w:space="0" w:color="auto"/>
            <w:right w:val="none" w:sz="0" w:space="0" w:color="auto"/>
          </w:divBdr>
        </w:div>
        <w:div w:id="141430267">
          <w:marLeft w:val="0"/>
          <w:marRight w:val="0"/>
          <w:marTop w:val="0"/>
          <w:marBottom w:val="0"/>
          <w:divBdr>
            <w:top w:val="none" w:sz="0" w:space="0" w:color="auto"/>
            <w:left w:val="none" w:sz="0" w:space="0" w:color="auto"/>
            <w:bottom w:val="none" w:sz="0" w:space="0" w:color="auto"/>
            <w:right w:val="none" w:sz="0" w:space="0" w:color="auto"/>
          </w:divBdr>
        </w:div>
        <w:div w:id="142821151">
          <w:marLeft w:val="0"/>
          <w:marRight w:val="0"/>
          <w:marTop w:val="0"/>
          <w:marBottom w:val="0"/>
          <w:divBdr>
            <w:top w:val="none" w:sz="0" w:space="0" w:color="auto"/>
            <w:left w:val="none" w:sz="0" w:space="0" w:color="auto"/>
            <w:bottom w:val="none" w:sz="0" w:space="0" w:color="auto"/>
            <w:right w:val="none" w:sz="0" w:space="0" w:color="auto"/>
          </w:divBdr>
        </w:div>
        <w:div w:id="144470220">
          <w:marLeft w:val="0"/>
          <w:marRight w:val="0"/>
          <w:marTop w:val="0"/>
          <w:marBottom w:val="0"/>
          <w:divBdr>
            <w:top w:val="none" w:sz="0" w:space="0" w:color="auto"/>
            <w:left w:val="none" w:sz="0" w:space="0" w:color="auto"/>
            <w:bottom w:val="none" w:sz="0" w:space="0" w:color="auto"/>
            <w:right w:val="none" w:sz="0" w:space="0" w:color="auto"/>
          </w:divBdr>
        </w:div>
        <w:div w:id="152066707">
          <w:marLeft w:val="0"/>
          <w:marRight w:val="0"/>
          <w:marTop w:val="0"/>
          <w:marBottom w:val="0"/>
          <w:divBdr>
            <w:top w:val="none" w:sz="0" w:space="0" w:color="auto"/>
            <w:left w:val="none" w:sz="0" w:space="0" w:color="auto"/>
            <w:bottom w:val="none" w:sz="0" w:space="0" w:color="auto"/>
            <w:right w:val="none" w:sz="0" w:space="0" w:color="auto"/>
          </w:divBdr>
        </w:div>
        <w:div w:id="157383069">
          <w:marLeft w:val="0"/>
          <w:marRight w:val="0"/>
          <w:marTop w:val="0"/>
          <w:marBottom w:val="0"/>
          <w:divBdr>
            <w:top w:val="none" w:sz="0" w:space="0" w:color="auto"/>
            <w:left w:val="none" w:sz="0" w:space="0" w:color="auto"/>
            <w:bottom w:val="none" w:sz="0" w:space="0" w:color="auto"/>
            <w:right w:val="none" w:sz="0" w:space="0" w:color="auto"/>
          </w:divBdr>
        </w:div>
        <w:div w:id="161505529">
          <w:marLeft w:val="0"/>
          <w:marRight w:val="0"/>
          <w:marTop w:val="0"/>
          <w:marBottom w:val="0"/>
          <w:divBdr>
            <w:top w:val="none" w:sz="0" w:space="0" w:color="auto"/>
            <w:left w:val="none" w:sz="0" w:space="0" w:color="auto"/>
            <w:bottom w:val="none" w:sz="0" w:space="0" w:color="auto"/>
            <w:right w:val="none" w:sz="0" w:space="0" w:color="auto"/>
          </w:divBdr>
        </w:div>
        <w:div w:id="172496964">
          <w:marLeft w:val="0"/>
          <w:marRight w:val="0"/>
          <w:marTop w:val="0"/>
          <w:marBottom w:val="0"/>
          <w:divBdr>
            <w:top w:val="none" w:sz="0" w:space="0" w:color="auto"/>
            <w:left w:val="none" w:sz="0" w:space="0" w:color="auto"/>
            <w:bottom w:val="none" w:sz="0" w:space="0" w:color="auto"/>
            <w:right w:val="none" w:sz="0" w:space="0" w:color="auto"/>
          </w:divBdr>
        </w:div>
        <w:div w:id="177893367">
          <w:marLeft w:val="0"/>
          <w:marRight w:val="0"/>
          <w:marTop w:val="0"/>
          <w:marBottom w:val="0"/>
          <w:divBdr>
            <w:top w:val="none" w:sz="0" w:space="0" w:color="auto"/>
            <w:left w:val="none" w:sz="0" w:space="0" w:color="auto"/>
            <w:bottom w:val="none" w:sz="0" w:space="0" w:color="auto"/>
            <w:right w:val="none" w:sz="0" w:space="0" w:color="auto"/>
          </w:divBdr>
        </w:div>
        <w:div w:id="196433782">
          <w:marLeft w:val="0"/>
          <w:marRight w:val="0"/>
          <w:marTop w:val="0"/>
          <w:marBottom w:val="0"/>
          <w:divBdr>
            <w:top w:val="none" w:sz="0" w:space="0" w:color="auto"/>
            <w:left w:val="none" w:sz="0" w:space="0" w:color="auto"/>
            <w:bottom w:val="none" w:sz="0" w:space="0" w:color="auto"/>
            <w:right w:val="none" w:sz="0" w:space="0" w:color="auto"/>
          </w:divBdr>
        </w:div>
        <w:div w:id="219025478">
          <w:marLeft w:val="0"/>
          <w:marRight w:val="0"/>
          <w:marTop w:val="0"/>
          <w:marBottom w:val="0"/>
          <w:divBdr>
            <w:top w:val="none" w:sz="0" w:space="0" w:color="auto"/>
            <w:left w:val="none" w:sz="0" w:space="0" w:color="auto"/>
            <w:bottom w:val="none" w:sz="0" w:space="0" w:color="auto"/>
            <w:right w:val="none" w:sz="0" w:space="0" w:color="auto"/>
          </w:divBdr>
        </w:div>
        <w:div w:id="251476682">
          <w:marLeft w:val="0"/>
          <w:marRight w:val="0"/>
          <w:marTop w:val="0"/>
          <w:marBottom w:val="0"/>
          <w:divBdr>
            <w:top w:val="none" w:sz="0" w:space="0" w:color="auto"/>
            <w:left w:val="none" w:sz="0" w:space="0" w:color="auto"/>
            <w:bottom w:val="none" w:sz="0" w:space="0" w:color="auto"/>
            <w:right w:val="none" w:sz="0" w:space="0" w:color="auto"/>
          </w:divBdr>
        </w:div>
        <w:div w:id="274749196">
          <w:marLeft w:val="0"/>
          <w:marRight w:val="0"/>
          <w:marTop w:val="0"/>
          <w:marBottom w:val="0"/>
          <w:divBdr>
            <w:top w:val="none" w:sz="0" w:space="0" w:color="auto"/>
            <w:left w:val="none" w:sz="0" w:space="0" w:color="auto"/>
            <w:bottom w:val="none" w:sz="0" w:space="0" w:color="auto"/>
            <w:right w:val="none" w:sz="0" w:space="0" w:color="auto"/>
          </w:divBdr>
        </w:div>
        <w:div w:id="281154348">
          <w:marLeft w:val="0"/>
          <w:marRight w:val="0"/>
          <w:marTop w:val="0"/>
          <w:marBottom w:val="0"/>
          <w:divBdr>
            <w:top w:val="none" w:sz="0" w:space="0" w:color="auto"/>
            <w:left w:val="none" w:sz="0" w:space="0" w:color="auto"/>
            <w:bottom w:val="none" w:sz="0" w:space="0" w:color="auto"/>
            <w:right w:val="none" w:sz="0" w:space="0" w:color="auto"/>
          </w:divBdr>
        </w:div>
        <w:div w:id="301859590">
          <w:marLeft w:val="0"/>
          <w:marRight w:val="0"/>
          <w:marTop w:val="0"/>
          <w:marBottom w:val="0"/>
          <w:divBdr>
            <w:top w:val="none" w:sz="0" w:space="0" w:color="auto"/>
            <w:left w:val="none" w:sz="0" w:space="0" w:color="auto"/>
            <w:bottom w:val="none" w:sz="0" w:space="0" w:color="auto"/>
            <w:right w:val="none" w:sz="0" w:space="0" w:color="auto"/>
          </w:divBdr>
        </w:div>
        <w:div w:id="304160416">
          <w:marLeft w:val="0"/>
          <w:marRight w:val="0"/>
          <w:marTop w:val="0"/>
          <w:marBottom w:val="0"/>
          <w:divBdr>
            <w:top w:val="none" w:sz="0" w:space="0" w:color="auto"/>
            <w:left w:val="none" w:sz="0" w:space="0" w:color="auto"/>
            <w:bottom w:val="none" w:sz="0" w:space="0" w:color="auto"/>
            <w:right w:val="none" w:sz="0" w:space="0" w:color="auto"/>
          </w:divBdr>
        </w:div>
        <w:div w:id="305554828">
          <w:marLeft w:val="0"/>
          <w:marRight w:val="0"/>
          <w:marTop w:val="0"/>
          <w:marBottom w:val="0"/>
          <w:divBdr>
            <w:top w:val="none" w:sz="0" w:space="0" w:color="auto"/>
            <w:left w:val="none" w:sz="0" w:space="0" w:color="auto"/>
            <w:bottom w:val="none" w:sz="0" w:space="0" w:color="auto"/>
            <w:right w:val="none" w:sz="0" w:space="0" w:color="auto"/>
          </w:divBdr>
        </w:div>
        <w:div w:id="308292873">
          <w:marLeft w:val="0"/>
          <w:marRight w:val="0"/>
          <w:marTop w:val="0"/>
          <w:marBottom w:val="0"/>
          <w:divBdr>
            <w:top w:val="none" w:sz="0" w:space="0" w:color="auto"/>
            <w:left w:val="none" w:sz="0" w:space="0" w:color="auto"/>
            <w:bottom w:val="none" w:sz="0" w:space="0" w:color="auto"/>
            <w:right w:val="none" w:sz="0" w:space="0" w:color="auto"/>
          </w:divBdr>
        </w:div>
        <w:div w:id="325016264">
          <w:marLeft w:val="0"/>
          <w:marRight w:val="0"/>
          <w:marTop w:val="0"/>
          <w:marBottom w:val="0"/>
          <w:divBdr>
            <w:top w:val="none" w:sz="0" w:space="0" w:color="auto"/>
            <w:left w:val="none" w:sz="0" w:space="0" w:color="auto"/>
            <w:bottom w:val="none" w:sz="0" w:space="0" w:color="auto"/>
            <w:right w:val="none" w:sz="0" w:space="0" w:color="auto"/>
          </w:divBdr>
        </w:div>
        <w:div w:id="327908900">
          <w:marLeft w:val="0"/>
          <w:marRight w:val="0"/>
          <w:marTop w:val="0"/>
          <w:marBottom w:val="0"/>
          <w:divBdr>
            <w:top w:val="none" w:sz="0" w:space="0" w:color="auto"/>
            <w:left w:val="none" w:sz="0" w:space="0" w:color="auto"/>
            <w:bottom w:val="none" w:sz="0" w:space="0" w:color="auto"/>
            <w:right w:val="none" w:sz="0" w:space="0" w:color="auto"/>
          </w:divBdr>
        </w:div>
        <w:div w:id="398597263">
          <w:marLeft w:val="0"/>
          <w:marRight w:val="0"/>
          <w:marTop w:val="0"/>
          <w:marBottom w:val="0"/>
          <w:divBdr>
            <w:top w:val="none" w:sz="0" w:space="0" w:color="auto"/>
            <w:left w:val="none" w:sz="0" w:space="0" w:color="auto"/>
            <w:bottom w:val="none" w:sz="0" w:space="0" w:color="auto"/>
            <w:right w:val="none" w:sz="0" w:space="0" w:color="auto"/>
          </w:divBdr>
        </w:div>
        <w:div w:id="400640034">
          <w:marLeft w:val="0"/>
          <w:marRight w:val="0"/>
          <w:marTop w:val="0"/>
          <w:marBottom w:val="0"/>
          <w:divBdr>
            <w:top w:val="none" w:sz="0" w:space="0" w:color="auto"/>
            <w:left w:val="none" w:sz="0" w:space="0" w:color="auto"/>
            <w:bottom w:val="none" w:sz="0" w:space="0" w:color="auto"/>
            <w:right w:val="none" w:sz="0" w:space="0" w:color="auto"/>
          </w:divBdr>
        </w:div>
        <w:div w:id="406925712">
          <w:marLeft w:val="0"/>
          <w:marRight w:val="0"/>
          <w:marTop w:val="0"/>
          <w:marBottom w:val="0"/>
          <w:divBdr>
            <w:top w:val="none" w:sz="0" w:space="0" w:color="auto"/>
            <w:left w:val="none" w:sz="0" w:space="0" w:color="auto"/>
            <w:bottom w:val="none" w:sz="0" w:space="0" w:color="auto"/>
            <w:right w:val="none" w:sz="0" w:space="0" w:color="auto"/>
          </w:divBdr>
        </w:div>
        <w:div w:id="417873591">
          <w:marLeft w:val="0"/>
          <w:marRight w:val="0"/>
          <w:marTop w:val="0"/>
          <w:marBottom w:val="0"/>
          <w:divBdr>
            <w:top w:val="none" w:sz="0" w:space="0" w:color="auto"/>
            <w:left w:val="none" w:sz="0" w:space="0" w:color="auto"/>
            <w:bottom w:val="none" w:sz="0" w:space="0" w:color="auto"/>
            <w:right w:val="none" w:sz="0" w:space="0" w:color="auto"/>
          </w:divBdr>
        </w:div>
        <w:div w:id="432677209">
          <w:marLeft w:val="0"/>
          <w:marRight w:val="0"/>
          <w:marTop w:val="0"/>
          <w:marBottom w:val="0"/>
          <w:divBdr>
            <w:top w:val="none" w:sz="0" w:space="0" w:color="auto"/>
            <w:left w:val="none" w:sz="0" w:space="0" w:color="auto"/>
            <w:bottom w:val="none" w:sz="0" w:space="0" w:color="auto"/>
            <w:right w:val="none" w:sz="0" w:space="0" w:color="auto"/>
          </w:divBdr>
        </w:div>
        <w:div w:id="434373254">
          <w:marLeft w:val="0"/>
          <w:marRight w:val="0"/>
          <w:marTop w:val="0"/>
          <w:marBottom w:val="0"/>
          <w:divBdr>
            <w:top w:val="none" w:sz="0" w:space="0" w:color="auto"/>
            <w:left w:val="none" w:sz="0" w:space="0" w:color="auto"/>
            <w:bottom w:val="none" w:sz="0" w:space="0" w:color="auto"/>
            <w:right w:val="none" w:sz="0" w:space="0" w:color="auto"/>
          </w:divBdr>
        </w:div>
        <w:div w:id="441799240">
          <w:marLeft w:val="0"/>
          <w:marRight w:val="0"/>
          <w:marTop w:val="0"/>
          <w:marBottom w:val="0"/>
          <w:divBdr>
            <w:top w:val="none" w:sz="0" w:space="0" w:color="auto"/>
            <w:left w:val="none" w:sz="0" w:space="0" w:color="auto"/>
            <w:bottom w:val="none" w:sz="0" w:space="0" w:color="auto"/>
            <w:right w:val="none" w:sz="0" w:space="0" w:color="auto"/>
          </w:divBdr>
        </w:div>
        <w:div w:id="443959986">
          <w:marLeft w:val="0"/>
          <w:marRight w:val="0"/>
          <w:marTop w:val="0"/>
          <w:marBottom w:val="0"/>
          <w:divBdr>
            <w:top w:val="none" w:sz="0" w:space="0" w:color="auto"/>
            <w:left w:val="none" w:sz="0" w:space="0" w:color="auto"/>
            <w:bottom w:val="none" w:sz="0" w:space="0" w:color="auto"/>
            <w:right w:val="none" w:sz="0" w:space="0" w:color="auto"/>
          </w:divBdr>
        </w:div>
        <w:div w:id="454297879">
          <w:marLeft w:val="0"/>
          <w:marRight w:val="0"/>
          <w:marTop w:val="0"/>
          <w:marBottom w:val="0"/>
          <w:divBdr>
            <w:top w:val="none" w:sz="0" w:space="0" w:color="auto"/>
            <w:left w:val="none" w:sz="0" w:space="0" w:color="auto"/>
            <w:bottom w:val="none" w:sz="0" w:space="0" w:color="auto"/>
            <w:right w:val="none" w:sz="0" w:space="0" w:color="auto"/>
          </w:divBdr>
        </w:div>
        <w:div w:id="533883997">
          <w:marLeft w:val="0"/>
          <w:marRight w:val="0"/>
          <w:marTop w:val="0"/>
          <w:marBottom w:val="0"/>
          <w:divBdr>
            <w:top w:val="none" w:sz="0" w:space="0" w:color="auto"/>
            <w:left w:val="none" w:sz="0" w:space="0" w:color="auto"/>
            <w:bottom w:val="none" w:sz="0" w:space="0" w:color="auto"/>
            <w:right w:val="none" w:sz="0" w:space="0" w:color="auto"/>
          </w:divBdr>
        </w:div>
        <w:div w:id="536162226">
          <w:marLeft w:val="0"/>
          <w:marRight w:val="0"/>
          <w:marTop w:val="0"/>
          <w:marBottom w:val="0"/>
          <w:divBdr>
            <w:top w:val="none" w:sz="0" w:space="0" w:color="auto"/>
            <w:left w:val="none" w:sz="0" w:space="0" w:color="auto"/>
            <w:bottom w:val="none" w:sz="0" w:space="0" w:color="auto"/>
            <w:right w:val="none" w:sz="0" w:space="0" w:color="auto"/>
          </w:divBdr>
        </w:div>
        <w:div w:id="539317347">
          <w:marLeft w:val="0"/>
          <w:marRight w:val="0"/>
          <w:marTop w:val="0"/>
          <w:marBottom w:val="0"/>
          <w:divBdr>
            <w:top w:val="none" w:sz="0" w:space="0" w:color="auto"/>
            <w:left w:val="none" w:sz="0" w:space="0" w:color="auto"/>
            <w:bottom w:val="none" w:sz="0" w:space="0" w:color="auto"/>
            <w:right w:val="none" w:sz="0" w:space="0" w:color="auto"/>
          </w:divBdr>
        </w:div>
        <w:div w:id="548227476">
          <w:marLeft w:val="0"/>
          <w:marRight w:val="0"/>
          <w:marTop w:val="0"/>
          <w:marBottom w:val="0"/>
          <w:divBdr>
            <w:top w:val="none" w:sz="0" w:space="0" w:color="auto"/>
            <w:left w:val="none" w:sz="0" w:space="0" w:color="auto"/>
            <w:bottom w:val="none" w:sz="0" w:space="0" w:color="auto"/>
            <w:right w:val="none" w:sz="0" w:space="0" w:color="auto"/>
          </w:divBdr>
        </w:div>
        <w:div w:id="566499264">
          <w:marLeft w:val="0"/>
          <w:marRight w:val="0"/>
          <w:marTop w:val="0"/>
          <w:marBottom w:val="0"/>
          <w:divBdr>
            <w:top w:val="none" w:sz="0" w:space="0" w:color="auto"/>
            <w:left w:val="none" w:sz="0" w:space="0" w:color="auto"/>
            <w:bottom w:val="none" w:sz="0" w:space="0" w:color="auto"/>
            <w:right w:val="none" w:sz="0" w:space="0" w:color="auto"/>
          </w:divBdr>
        </w:div>
        <w:div w:id="576088527">
          <w:marLeft w:val="0"/>
          <w:marRight w:val="0"/>
          <w:marTop w:val="0"/>
          <w:marBottom w:val="0"/>
          <w:divBdr>
            <w:top w:val="none" w:sz="0" w:space="0" w:color="auto"/>
            <w:left w:val="none" w:sz="0" w:space="0" w:color="auto"/>
            <w:bottom w:val="none" w:sz="0" w:space="0" w:color="auto"/>
            <w:right w:val="none" w:sz="0" w:space="0" w:color="auto"/>
          </w:divBdr>
        </w:div>
        <w:div w:id="576745319">
          <w:marLeft w:val="0"/>
          <w:marRight w:val="0"/>
          <w:marTop w:val="0"/>
          <w:marBottom w:val="0"/>
          <w:divBdr>
            <w:top w:val="none" w:sz="0" w:space="0" w:color="auto"/>
            <w:left w:val="none" w:sz="0" w:space="0" w:color="auto"/>
            <w:bottom w:val="none" w:sz="0" w:space="0" w:color="auto"/>
            <w:right w:val="none" w:sz="0" w:space="0" w:color="auto"/>
          </w:divBdr>
        </w:div>
        <w:div w:id="581716333">
          <w:marLeft w:val="0"/>
          <w:marRight w:val="0"/>
          <w:marTop w:val="0"/>
          <w:marBottom w:val="0"/>
          <w:divBdr>
            <w:top w:val="none" w:sz="0" w:space="0" w:color="auto"/>
            <w:left w:val="none" w:sz="0" w:space="0" w:color="auto"/>
            <w:bottom w:val="none" w:sz="0" w:space="0" w:color="auto"/>
            <w:right w:val="none" w:sz="0" w:space="0" w:color="auto"/>
          </w:divBdr>
        </w:div>
        <w:div w:id="605161675">
          <w:marLeft w:val="0"/>
          <w:marRight w:val="0"/>
          <w:marTop w:val="0"/>
          <w:marBottom w:val="0"/>
          <w:divBdr>
            <w:top w:val="none" w:sz="0" w:space="0" w:color="auto"/>
            <w:left w:val="none" w:sz="0" w:space="0" w:color="auto"/>
            <w:bottom w:val="none" w:sz="0" w:space="0" w:color="auto"/>
            <w:right w:val="none" w:sz="0" w:space="0" w:color="auto"/>
          </w:divBdr>
        </w:div>
        <w:div w:id="618074962">
          <w:marLeft w:val="0"/>
          <w:marRight w:val="0"/>
          <w:marTop w:val="0"/>
          <w:marBottom w:val="0"/>
          <w:divBdr>
            <w:top w:val="none" w:sz="0" w:space="0" w:color="auto"/>
            <w:left w:val="none" w:sz="0" w:space="0" w:color="auto"/>
            <w:bottom w:val="none" w:sz="0" w:space="0" w:color="auto"/>
            <w:right w:val="none" w:sz="0" w:space="0" w:color="auto"/>
          </w:divBdr>
        </w:div>
        <w:div w:id="631862449">
          <w:marLeft w:val="0"/>
          <w:marRight w:val="0"/>
          <w:marTop w:val="0"/>
          <w:marBottom w:val="0"/>
          <w:divBdr>
            <w:top w:val="none" w:sz="0" w:space="0" w:color="auto"/>
            <w:left w:val="none" w:sz="0" w:space="0" w:color="auto"/>
            <w:bottom w:val="none" w:sz="0" w:space="0" w:color="auto"/>
            <w:right w:val="none" w:sz="0" w:space="0" w:color="auto"/>
          </w:divBdr>
        </w:div>
        <w:div w:id="635186879">
          <w:marLeft w:val="0"/>
          <w:marRight w:val="0"/>
          <w:marTop w:val="0"/>
          <w:marBottom w:val="0"/>
          <w:divBdr>
            <w:top w:val="none" w:sz="0" w:space="0" w:color="auto"/>
            <w:left w:val="none" w:sz="0" w:space="0" w:color="auto"/>
            <w:bottom w:val="none" w:sz="0" w:space="0" w:color="auto"/>
            <w:right w:val="none" w:sz="0" w:space="0" w:color="auto"/>
          </w:divBdr>
        </w:div>
        <w:div w:id="645670508">
          <w:marLeft w:val="0"/>
          <w:marRight w:val="0"/>
          <w:marTop w:val="0"/>
          <w:marBottom w:val="0"/>
          <w:divBdr>
            <w:top w:val="none" w:sz="0" w:space="0" w:color="auto"/>
            <w:left w:val="none" w:sz="0" w:space="0" w:color="auto"/>
            <w:bottom w:val="none" w:sz="0" w:space="0" w:color="auto"/>
            <w:right w:val="none" w:sz="0" w:space="0" w:color="auto"/>
          </w:divBdr>
        </w:div>
        <w:div w:id="648368750">
          <w:marLeft w:val="0"/>
          <w:marRight w:val="0"/>
          <w:marTop w:val="0"/>
          <w:marBottom w:val="0"/>
          <w:divBdr>
            <w:top w:val="none" w:sz="0" w:space="0" w:color="auto"/>
            <w:left w:val="none" w:sz="0" w:space="0" w:color="auto"/>
            <w:bottom w:val="none" w:sz="0" w:space="0" w:color="auto"/>
            <w:right w:val="none" w:sz="0" w:space="0" w:color="auto"/>
          </w:divBdr>
        </w:div>
        <w:div w:id="690184896">
          <w:marLeft w:val="0"/>
          <w:marRight w:val="0"/>
          <w:marTop w:val="0"/>
          <w:marBottom w:val="0"/>
          <w:divBdr>
            <w:top w:val="none" w:sz="0" w:space="0" w:color="auto"/>
            <w:left w:val="none" w:sz="0" w:space="0" w:color="auto"/>
            <w:bottom w:val="none" w:sz="0" w:space="0" w:color="auto"/>
            <w:right w:val="none" w:sz="0" w:space="0" w:color="auto"/>
          </w:divBdr>
        </w:div>
        <w:div w:id="725685938">
          <w:marLeft w:val="0"/>
          <w:marRight w:val="0"/>
          <w:marTop w:val="0"/>
          <w:marBottom w:val="0"/>
          <w:divBdr>
            <w:top w:val="none" w:sz="0" w:space="0" w:color="auto"/>
            <w:left w:val="none" w:sz="0" w:space="0" w:color="auto"/>
            <w:bottom w:val="none" w:sz="0" w:space="0" w:color="auto"/>
            <w:right w:val="none" w:sz="0" w:space="0" w:color="auto"/>
          </w:divBdr>
        </w:div>
        <w:div w:id="728771731">
          <w:marLeft w:val="0"/>
          <w:marRight w:val="0"/>
          <w:marTop w:val="0"/>
          <w:marBottom w:val="0"/>
          <w:divBdr>
            <w:top w:val="none" w:sz="0" w:space="0" w:color="auto"/>
            <w:left w:val="none" w:sz="0" w:space="0" w:color="auto"/>
            <w:bottom w:val="none" w:sz="0" w:space="0" w:color="auto"/>
            <w:right w:val="none" w:sz="0" w:space="0" w:color="auto"/>
          </w:divBdr>
        </w:div>
        <w:div w:id="734619915">
          <w:marLeft w:val="0"/>
          <w:marRight w:val="0"/>
          <w:marTop w:val="0"/>
          <w:marBottom w:val="0"/>
          <w:divBdr>
            <w:top w:val="none" w:sz="0" w:space="0" w:color="auto"/>
            <w:left w:val="none" w:sz="0" w:space="0" w:color="auto"/>
            <w:bottom w:val="none" w:sz="0" w:space="0" w:color="auto"/>
            <w:right w:val="none" w:sz="0" w:space="0" w:color="auto"/>
          </w:divBdr>
        </w:div>
        <w:div w:id="749935780">
          <w:marLeft w:val="0"/>
          <w:marRight w:val="0"/>
          <w:marTop w:val="0"/>
          <w:marBottom w:val="0"/>
          <w:divBdr>
            <w:top w:val="none" w:sz="0" w:space="0" w:color="auto"/>
            <w:left w:val="none" w:sz="0" w:space="0" w:color="auto"/>
            <w:bottom w:val="none" w:sz="0" w:space="0" w:color="auto"/>
            <w:right w:val="none" w:sz="0" w:space="0" w:color="auto"/>
          </w:divBdr>
        </w:div>
        <w:div w:id="754546740">
          <w:marLeft w:val="0"/>
          <w:marRight w:val="0"/>
          <w:marTop w:val="0"/>
          <w:marBottom w:val="0"/>
          <w:divBdr>
            <w:top w:val="none" w:sz="0" w:space="0" w:color="auto"/>
            <w:left w:val="none" w:sz="0" w:space="0" w:color="auto"/>
            <w:bottom w:val="none" w:sz="0" w:space="0" w:color="auto"/>
            <w:right w:val="none" w:sz="0" w:space="0" w:color="auto"/>
          </w:divBdr>
        </w:div>
        <w:div w:id="767390209">
          <w:marLeft w:val="0"/>
          <w:marRight w:val="0"/>
          <w:marTop w:val="0"/>
          <w:marBottom w:val="0"/>
          <w:divBdr>
            <w:top w:val="none" w:sz="0" w:space="0" w:color="auto"/>
            <w:left w:val="none" w:sz="0" w:space="0" w:color="auto"/>
            <w:bottom w:val="none" w:sz="0" w:space="0" w:color="auto"/>
            <w:right w:val="none" w:sz="0" w:space="0" w:color="auto"/>
          </w:divBdr>
        </w:div>
        <w:div w:id="774206740">
          <w:marLeft w:val="0"/>
          <w:marRight w:val="0"/>
          <w:marTop w:val="0"/>
          <w:marBottom w:val="0"/>
          <w:divBdr>
            <w:top w:val="none" w:sz="0" w:space="0" w:color="auto"/>
            <w:left w:val="none" w:sz="0" w:space="0" w:color="auto"/>
            <w:bottom w:val="none" w:sz="0" w:space="0" w:color="auto"/>
            <w:right w:val="none" w:sz="0" w:space="0" w:color="auto"/>
          </w:divBdr>
        </w:div>
        <w:div w:id="802773522">
          <w:marLeft w:val="0"/>
          <w:marRight w:val="0"/>
          <w:marTop w:val="0"/>
          <w:marBottom w:val="0"/>
          <w:divBdr>
            <w:top w:val="none" w:sz="0" w:space="0" w:color="auto"/>
            <w:left w:val="none" w:sz="0" w:space="0" w:color="auto"/>
            <w:bottom w:val="none" w:sz="0" w:space="0" w:color="auto"/>
            <w:right w:val="none" w:sz="0" w:space="0" w:color="auto"/>
          </w:divBdr>
        </w:div>
        <w:div w:id="817068573">
          <w:marLeft w:val="0"/>
          <w:marRight w:val="0"/>
          <w:marTop w:val="0"/>
          <w:marBottom w:val="0"/>
          <w:divBdr>
            <w:top w:val="none" w:sz="0" w:space="0" w:color="auto"/>
            <w:left w:val="none" w:sz="0" w:space="0" w:color="auto"/>
            <w:bottom w:val="none" w:sz="0" w:space="0" w:color="auto"/>
            <w:right w:val="none" w:sz="0" w:space="0" w:color="auto"/>
          </w:divBdr>
        </w:div>
        <w:div w:id="818380500">
          <w:marLeft w:val="0"/>
          <w:marRight w:val="0"/>
          <w:marTop w:val="0"/>
          <w:marBottom w:val="0"/>
          <w:divBdr>
            <w:top w:val="none" w:sz="0" w:space="0" w:color="auto"/>
            <w:left w:val="none" w:sz="0" w:space="0" w:color="auto"/>
            <w:bottom w:val="none" w:sz="0" w:space="0" w:color="auto"/>
            <w:right w:val="none" w:sz="0" w:space="0" w:color="auto"/>
          </w:divBdr>
        </w:div>
        <w:div w:id="822769731">
          <w:marLeft w:val="0"/>
          <w:marRight w:val="0"/>
          <w:marTop w:val="0"/>
          <w:marBottom w:val="0"/>
          <w:divBdr>
            <w:top w:val="none" w:sz="0" w:space="0" w:color="auto"/>
            <w:left w:val="none" w:sz="0" w:space="0" w:color="auto"/>
            <w:bottom w:val="none" w:sz="0" w:space="0" w:color="auto"/>
            <w:right w:val="none" w:sz="0" w:space="0" w:color="auto"/>
          </w:divBdr>
        </w:div>
        <w:div w:id="832794596">
          <w:marLeft w:val="0"/>
          <w:marRight w:val="0"/>
          <w:marTop w:val="0"/>
          <w:marBottom w:val="0"/>
          <w:divBdr>
            <w:top w:val="none" w:sz="0" w:space="0" w:color="auto"/>
            <w:left w:val="none" w:sz="0" w:space="0" w:color="auto"/>
            <w:bottom w:val="none" w:sz="0" w:space="0" w:color="auto"/>
            <w:right w:val="none" w:sz="0" w:space="0" w:color="auto"/>
          </w:divBdr>
        </w:div>
        <w:div w:id="835459231">
          <w:marLeft w:val="0"/>
          <w:marRight w:val="0"/>
          <w:marTop w:val="0"/>
          <w:marBottom w:val="0"/>
          <w:divBdr>
            <w:top w:val="none" w:sz="0" w:space="0" w:color="auto"/>
            <w:left w:val="none" w:sz="0" w:space="0" w:color="auto"/>
            <w:bottom w:val="none" w:sz="0" w:space="0" w:color="auto"/>
            <w:right w:val="none" w:sz="0" w:space="0" w:color="auto"/>
          </w:divBdr>
        </w:div>
        <w:div w:id="846868155">
          <w:marLeft w:val="0"/>
          <w:marRight w:val="0"/>
          <w:marTop w:val="0"/>
          <w:marBottom w:val="0"/>
          <w:divBdr>
            <w:top w:val="none" w:sz="0" w:space="0" w:color="auto"/>
            <w:left w:val="none" w:sz="0" w:space="0" w:color="auto"/>
            <w:bottom w:val="none" w:sz="0" w:space="0" w:color="auto"/>
            <w:right w:val="none" w:sz="0" w:space="0" w:color="auto"/>
          </w:divBdr>
        </w:div>
        <w:div w:id="847250607">
          <w:marLeft w:val="0"/>
          <w:marRight w:val="0"/>
          <w:marTop w:val="0"/>
          <w:marBottom w:val="0"/>
          <w:divBdr>
            <w:top w:val="none" w:sz="0" w:space="0" w:color="auto"/>
            <w:left w:val="none" w:sz="0" w:space="0" w:color="auto"/>
            <w:bottom w:val="none" w:sz="0" w:space="0" w:color="auto"/>
            <w:right w:val="none" w:sz="0" w:space="0" w:color="auto"/>
          </w:divBdr>
        </w:div>
        <w:div w:id="849412104">
          <w:marLeft w:val="0"/>
          <w:marRight w:val="0"/>
          <w:marTop w:val="0"/>
          <w:marBottom w:val="0"/>
          <w:divBdr>
            <w:top w:val="none" w:sz="0" w:space="0" w:color="auto"/>
            <w:left w:val="none" w:sz="0" w:space="0" w:color="auto"/>
            <w:bottom w:val="none" w:sz="0" w:space="0" w:color="auto"/>
            <w:right w:val="none" w:sz="0" w:space="0" w:color="auto"/>
          </w:divBdr>
        </w:div>
        <w:div w:id="873611808">
          <w:marLeft w:val="0"/>
          <w:marRight w:val="0"/>
          <w:marTop w:val="0"/>
          <w:marBottom w:val="0"/>
          <w:divBdr>
            <w:top w:val="none" w:sz="0" w:space="0" w:color="auto"/>
            <w:left w:val="none" w:sz="0" w:space="0" w:color="auto"/>
            <w:bottom w:val="none" w:sz="0" w:space="0" w:color="auto"/>
            <w:right w:val="none" w:sz="0" w:space="0" w:color="auto"/>
          </w:divBdr>
        </w:div>
        <w:div w:id="884802672">
          <w:marLeft w:val="0"/>
          <w:marRight w:val="0"/>
          <w:marTop w:val="0"/>
          <w:marBottom w:val="0"/>
          <w:divBdr>
            <w:top w:val="none" w:sz="0" w:space="0" w:color="auto"/>
            <w:left w:val="none" w:sz="0" w:space="0" w:color="auto"/>
            <w:bottom w:val="none" w:sz="0" w:space="0" w:color="auto"/>
            <w:right w:val="none" w:sz="0" w:space="0" w:color="auto"/>
          </w:divBdr>
        </w:div>
        <w:div w:id="900211558">
          <w:marLeft w:val="0"/>
          <w:marRight w:val="0"/>
          <w:marTop w:val="0"/>
          <w:marBottom w:val="0"/>
          <w:divBdr>
            <w:top w:val="none" w:sz="0" w:space="0" w:color="auto"/>
            <w:left w:val="none" w:sz="0" w:space="0" w:color="auto"/>
            <w:bottom w:val="none" w:sz="0" w:space="0" w:color="auto"/>
            <w:right w:val="none" w:sz="0" w:space="0" w:color="auto"/>
          </w:divBdr>
        </w:div>
        <w:div w:id="918561742">
          <w:marLeft w:val="0"/>
          <w:marRight w:val="0"/>
          <w:marTop w:val="0"/>
          <w:marBottom w:val="0"/>
          <w:divBdr>
            <w:top w:val="none" w:sz="0" w:space="0" w:color="auto"/>
            <w:left w:val="none" w:sz="0" w:space="0" w:color="auto"/>
            <w:bottom w:val="none" w:sz="0" w:space="0" w:color="auto"/>
            <w:right w:val="none" w:sz="0" w:space="0" w:color="auto"/>
          </w:divBdr>
        </w:div>
        <w:div w:id="920525268">
          <w:marLeft w:val="0"/>
          <w:marRight w:val="0"/>
          <w:marTop w:val="0"/>
          <w:marBottom w:val="0"/>
          <w:divBdr>
            <w:top w:val="none" w:sz="0" w:space="0" w:color="auto"/>
            <w:left w:val="none" w:sz="0" w:space="0" w:color="auto"/>
            <w:bottom w:val="none" w:sz="0" w:space="0" w:color="auto"/>
            <w:right w:val="none" w:sz="0" w:space="0" w:color="auto"/>
          </w:divBdr>
        </w:div>
        <w:div w:id="959335208">
          <w:marLeft w:val="0"/>
          <w:marRight w:val="0"/>
          <w:marTop w:val="0"/>
          <w:marBottom w:val="0"/>
          <w:divBdr>
            <w:top w:val="none" w:sz="0" w:space="0" w:color="auto"/>
            <w:left w:val="none" w:sz="0" w:space="0" w:color="auto"/>
            <w:bottom w:val="none" w:sz="0" w:space="0" w:color="auto"/>
            <w:right w:val="none" w:sz="0" w:space="0" w:color="auto"/>
          </w:divBdr>
        </w:div>
        <w:div w:id="961035325">
          <w:marLeft w:val="0"/>
          <w:marRight w:val="0"/>
          <w:marTop w:val="0"/>
          <w:marBottom w:val="0"/>
          <w:divBdr>
            <w:top w:val="none" w:sz="0" w:space="0" w:color="auto"/>
            <w:left w:val="none" w:sz="0" w:space="0" w:color="auto"/>
            <w:bottom w:val="none" w:sz="0" w:space="0" w:color="auto"/>
            <w:right w:val="none" w:sz="0" w:space="0" w:color="auto"/>
          </w:divBdr>
        </w:div>
        <w:div w:id="973024720">
          <w:marLeft w:val="0"/>
          <w:marRight w:val="0"/>
          <w:marTop w:val="0"/>
          <w:marBottom w:val="0"/>
          <w:divBdr>
            <w:top w:val="none" w:sz="0" w:space="0" w:color="auto"/>
            <w:left w:val="none" w:sz="0" w:space="0" w:color="auto"/>
            <w:bottom w:val="none" w:sz="0" w:space="0" w:color="auto"/>
            <w:right w:val="none" w:sz="0" w:space="0" w:color="auto"/>
          </w:divBdr>
        </w:div>
        <w:div w:id="980574231">
          <w:marLeft w:val="0"/>
          <w:marRight w:val="0"/>
          <w:marTop w:val="0"/>
          <w:marBottom w:val="0"/>
          <w:divBdr>
            <w:top w:val="none" w:sz="0" w:space="0" w:color="auto"/>
            <w:left w:val="none" w:sz="0" w:space="0" w:color="auto"/>
            <w:bottom w:val="none" w:sz="0" w:space="0" w:color="auto"/>
            <w:right w:val="none" w:sz="0" w:space="0" w:color="auto"/>
          </w:divBdr>
        </w:div>
        <w:div w:id="981351649">
          <w:marLeft w:val="0"/>
          <w:marRight w:val="0"/>
          <w:marTop w:val="0"/>
          <w:marBottom w:val="0"/>
          <w:divBdr>
            <w:top w:val="none" w:sz="0" w:space="0" w:color="auto"/>
            <w:left w:val="none" w:sz="0" w:space="0" w:color="auto"/>
            <w:bottom w:val="none" w:sz="0" w:space="0" w:color="auto"/>
            <w:right w:val="none" w:sz="0" w:space="0" w:color="auto"/>
          </w:divBdr>
        </w:div>
        <w:div w:id="1012806400">
          <w:marLeft w:val="0"/>
          <w:marRight w:val="0"/>
          <w:marTop w:val="0"/>
          <w:marBottom w:val="0"/>
          <w:divBdr>
            <w:top w:val="none" w:sz="0" w:space="0" w:color="auto"/>
            <w:left w:val="none" w:sz="0" w:space="0" w:color="auto"/>
            <w:bottom w:val="none" w:sz="0" w:space="0" w:color="auto"/>
            <w:right w:val="none" w:sz="0" w:space="0" w:color="auto"/>
          </w:divBdr>
        </w:div>
        <w:div w:id="1018577965">
          <w:marLeft w:val="0"/>
          <w:marRight w:val="0"/>
          <w:marTop w:val="0"/>
          <w:marBottom w:val="0"/>
          <w:divBdr>
            <w:top w:val="none" w:sz="0" w:space="0" w:color="auto"/>
            <w:left w:val="none" w:sz="0" w:space="0" w:color="auto"/>
            <w:bottom w:val="none" w:sz="0" w:space="0" w:color="auto"/>
            <w:right w:val="none" w:sz="0" w:space="0" w:color="auto"/>
          </w:divBdr>
        </w:div>
        <w:div w:id="1023357551">
          <w:marLeft w:val="0"/>
          <w:marRight w:val="0"/>
          <w:marTop w:val="0"/>
          <w:marBottom w:val="0"/>
          <w:divBdr>
            <w:top w:val="none" w:sz="0" w:space="0" w:color="auto"/>
            <w:left w:val="none" w:sz="0" w:space="0" w:color="auto"/>
            <w:bottom w:val="none" w:sz="0" w:space="0" w:color="auto"/>
            <w:right w:val="none" w:sz="0" w:space="0" w:color="auto"/>
          </w:divBdr>
        </w:div>
        <w:div w:id="1024669663">
          <w:marLeft w:val="0"/>
          <w:marRight w:val="0"/>
          <w:marTop w:val="0"/>
          <w:marBottom w:val="0"/>
          <w:divBdr>
            <w:top w:val="none" w:sz="0" w:space="0" w:color="auto"/>
            <w:left w:val="none" w:sz="0" w:space="0" w:color="auto"/>
            <w:bottom w:val="none" w:sz="0" w:space="0" w:color="auto"/>
            <w:right w:val="none" w:sz="0" w:space="0" w:color="auto"/>
          </w:divBdr>
        </w:div>
        <w:div w:id="1028600444">
          <w:marLeft w:val="0"/>
          <w:marRight w:val="0"/>
          <w:marTop w:val="0"/>
          <w:marBottom w:val="0"/>
          <w:divBdr>
            <w:top w:val="none" w:sz="0" w:space="0" w:color="auto"/>
            <w:left w:val="none" w:sz="0" w:space="0" w:color="auto"/>
            <w:bottom w:val="none" w:sz="0" w:space="0" w:color="auto"/>
            <w:right w:val="none" w:sz="0" w:space="0" w:color="auto"/>
          </w:divBdr>
        </w:div>
        <w:div w:id="1034421995">
          <w:marLeft w:val="0"/>
          <w:marRight w:val="0"/>
          <w:marTop w:val="0"/>
          <w:marBottom w:val="0"/>
          <w:divBdr>
            <w:top w:val="none" w:sz="0" w:space="0" w:color="auto"/>
            <w:left w:val="none" w:sz="0" w:space="0" w:color="auto"/>
            <w:bottom w:val="none" w:sz="0" w:space="0" w:color="auto"/>
            <w:right w:val="none" w:sz="0" w:space="0" w:color="auto"/>
          </w:divBdr>
        </w:div>
        <w:div w:id="1041595760">
          <w:marLeft w:val="0"/>
          <w:marRight w:val="0"/>
          <w:marTop w:val="0"/>
          <w:marBottom w:val="0"/>
          <w:divBdr>
            <w:top w:val="none" w:sz="0" w:space="0" w:color="auto"/>
            <w:left w:val="none" w:sz="0" w:space="0" w:color="auto"/>
            <w:bottom w:val="none" w:sz="0" w:space="0" w:color="auto"/>
            <w:right w:val="none" w:sz="0" w:space="0" w:color="auto"/>
          </w:divBdr>
        </w:div>
        <w:div w:id="1043096653">
          <w:marLeft w:val="0"/>
          <w:marRight w:val="0"/>
          <w:marTop w:val="0"/>
          <w:marBottom w:val="0"/>
          <w:divBdr>
            <w:top w:val="none" w:sz="0" w:space="0" w:color="auto"/>
            <w:left w:val="none" w:sz="0" w:space="0" w:color="auto"/>
            <w:bottom w:val="none" w:sz="0" w:space="0" w:color="auto"/>
            <w:right w:val="none" w:sz="0" w:space="0" w:color="auto"/>
          </w:divBdr>
        </w:div>
        <w:div w:id="1054617021">
          <w:marLeft w:val="0"/>
          <w:marRight w:val="0"/>
          <w:marTop w:val="0"/>
          <w:marBottom w:val="0"/>
          <w:divBdr>
            <w:top w:val="none" w:sz="0" w:space="0" w:color="auto"/>
            <w:left w:val="none" w:sz="0" w:space="0" w:color="auto"/>
            <w:bottom w:val="none" w:sz="0" w:space="0" w:color="auto"/>
            <w:right w:val="none" w:sz="0" w:space="0" w:color="auto"/>
          </w:divBdr>
        </w:div>
        <w:div w:id="1057050074">
          <w:marLeft w:val="0"/>
          <w:marRight w:val="0"/>
          <w:marTop w:val="0"/>
          <w:marBottom w:val="0"/>
          <w:divBdr>
            <w:top w:val="none" w:sz="0" w:space="0" w:color="auto"/>
            <w:left w:val="none" w:sz="0" w:space="0" w:color="auto"/>
            <w:bottom w:val="none" w:sz="0" w:space="0" w:color="auto"/>
            <w:right w:val="none" w:sz="0" w:space="0" w:color="auto"/>
          </w:divBdr>
        </w:div>
        <w:div w:id="1071585133">
          <w:marLeft w:val="0"/>
          <w:marRight w:val="0"/>
          <w:marTop w:val="0"/>
          <w:marBottom w:val="0"/>
          <w:divBdr>
            <w:top w:val="none" w:sz="0" w:space="0" w:color="auto"/>
            <w:left w:val="none" w:sz="0" w:space="0" w:color="auto"/>
            <w:bottom w:val="none" w:sz="0" w:space="0" w:color="auto"/>
            <w:right w:val="none" w:sz="0" w:space="0" w:color="auto"/>
          </w:divBdr>
        </w:div>
        <w:div w:id="1079137440">
          <w:marLeft w:val="0"/>
          <w:marRight w:val="0"/>
          <w:marTop w:val="0"/>
          <w:marBottom w:val="0"/>
          <w:divBdr>
            <w:top w:val="none" w:sz="0" w:space="0" w:color="auto"/>
            <w:left w:val="none" w:sz="0" w:space="0" w:color="auto"/>
            <w:bottom w:val="none" w:sz="0" w:space="0" w:color="auto"/>
            <w:right w:val="none" w:sz="0" w:space="0" w:color="auto"/>
          </w:divBdr>
        </w:div>
        <w:div w:id="1081414072">
          <w:marLeft w:val="0"/>
          <w:marRight w:val="0"/>
          <w:marTop w:val="0"/>
          <w:marBottom w:val="0"/>
          <w:divBdr>
            <w:top w:val="none" w:sz="0" w:space="0" w:color="auto"/>
            <w:left w:val="none" w:sz="0" w:space="0" w:color="auto"/>
            <w:bottom w:val="none" w:sz="0" w:space="0" w:color="auto"/>
            <w:right w:val="none" w:sz="0" w:space="0" w:color="auto"/>
          </w:divBdr>
        </w:div>
        <w:div w:id="1120296249">
          <w:marLeft w:val="0"/>
          <w:marRight w:val="0"/>
          <w:marTop w:val="0"/>
          <w:marBottom w:val="0"/>
          <w:divBdr>
            <w:top w:val="none" w:sz="0" w:space="0" w:color="auto"/>
            <w:left w:val="none" w:sz="0" w:space="0" w:color="auto"/>
            <w:bottom w:val="none" w:sz="0" w:space="0" w:color="auto"/>
            <w:right w:val="none" w:sz="0" w:space="0" w:color="auto"/>
          </w:divBdr>
        </w:div>
        <w:div w:id="1122305677">
          <w:marLeft w:val="0"/>
          <w:marRight w:val="0"/>
          <w:marTop w:val="0"/>
          <w:marBottom w:val="0"/>
          <w:divBdr>
            <w:top w:val="none" w:sz="0" w:space="0" w:color="auto"/>
            <w:left w:val="none" w:sz="0" w:space="0" w:color="auto"/>
            <w:bottom w:val="none" w:sz="0" w:space="0" w:color="auto"/>
            <w:right w:val="none" w:sz="0" w:space="0" w:color="auto"/>
          </w:divBdr>
        </w:div>
        <w:div w:id="1122579319">
          <w:marLeft w:val="0"/>
          <w:marRight w:val="0"/>
          <w:marTop w:val="0"/>
          <w:marBottom w:val="0"/>
          <w:divBdr>
            <w:top w:val="none" w:sz="0" w:space="0" w:color="auto"/>
            <w:left w:val="none" w:sz="0" w:space="0" w:color="auto"/>
            <w:bottom w:val="none" w:sz="0" w:space="0" w:color="auto"/>
            <w:right w:val="none" w:sz="0" w:space="0" w:color="auto"/>
          </w:divBdr>
        </w:div>
        <w:div w:id="1124693148">
          <w:marLeft w:val="0"/>
          <w:marRight w:val="0"/>
          <w:marTop w:val="0"/>
          <w:marBottom w:val="0"/>
          <w:divBdr>
            <w:top w:val="none" w:sz="0" w:space="0" w:color="auto"/>
            <w:left w:val="none" w:sz="0" w:space="0" w:color="auto"/>
            <w:bottom w:val="none" w:sz="0" w:space="0" w:color="auto"/>
            <w:right w:val="none" w:sz="0" w:space="0" w:color="auto"/>
          </w:divBdr>
        </w:div>
        <w:div w:id="1130131166">
          <w:marLeft w:val="0"/>
          <w:marRight w:val="0"/>
          <w:marTop w:val="0"/>
          <w:marBottom w:val="0"/>
          <w:divBdr>
            <w:top w:val="none" w:sz="0" w:space="0" w:color="auto"/>
            <w:left w:val="none" w:sz="0" w:space="0" w:color="auto"/>
            <w:bottom w:val="none" w:sz="0" w:space="0" w:color="auto"/>
            <w:right w:val="none" w:sz="0" w:space="0" w:color="auto"/>
          </w:divBdr>
        </w:div>
        <w:div w:id="1142699543">
          <w:marLeft w:val="0"/>
          <w:marRight w:val="0"/>
          <w:marTop w:val="0"/>
          <w:marBottom w:val="0"/>
          <w:divBdr>
            <w:top w:val="none" w:sz="0" w:space="0" w:color="auto"/>
            <w:left w:val="none" w:sz="0" w:space="0" w:color="auto"/>
            <w:bottom w:val="none" w:sz="0" w:space="0" w:color="auto"/>
            <w:right w:val="none" w:sz="0" w:space="0" w:color="auto"/>
          </w:divBdr>
        </w:div>
        <w:div w:id="1241721890">
          <w:marLeft w:val="0"/>
          <w:marRight w:val="0"/>
          <w:marTop w:val="0"/>
          <w:marBottom w:val="0"/>
          <w:divBdr>
            <w:top w:val="none" w:sz="0" w:space="0" w:color="auto"/>
            <w:left w:val="none" w:sz="0" w:space="0" w:color="auto"/>
            <w:bottom w:val="none" w:sz="0" w:space="0" w:color="auto"/>
            <w:right w:val="none" w:sz="0" w:space="0" w:color="auto"/>
          </w:divBdr>
        </w:div>
        <w:div w:id="1249146279">
          <w:marLeft w:val="0"/>
          <w:marRight w:val="0"/>
          <w:marTop w:val="0"/>
          <w:marBottom w:val="0"/>
          <w:divBdr>
            <w:top w:val="none" w:sz="0" w:space="0" w:color="auto"/>
            <w:left w:val="none" w:sz="0" w:space="0" w:color="auto"/>
            <w:bottom w:val="none" w:sz="0" w:space="0" w:color="auto"/>
            <w:right w:val="none" w:sz="0" w:space="0" w:color="auto"/>
          </w:divBdr>
        </w:div>
        <w:div w:id="1256747699">
          <w:marLeft w:val="0"/>
          <w:marRight w:val="0"/>
          <w:marTop w:val="0"/>
          <w:marBottom w:val="0"/>
          <w:divBdr>
            <w:top w:val="none" w:sz="0" w:space="0" w:color="auto"/>
            <w:left w:val="none" w:sz="0" w:space="0" w:color="auto"/>
            <w:bottom w:val="none" w:sz="0" w:space="0" w:color="auto"/>
            <w:right w:val="none" w:sz="0" w:space="0" w:color="auto"/>
          </w:divBdr>
        </w:div>
        <w:div w:id="1262566565">
          <w:marLeft w:val="0"/>
          <w:marRight w:val="0"/>
          <w:marTop w:val="0"/>
          <w:marBottom w:val="0"/>
          <w:divBdr>
            <w:top w:val="none" w:sz="0" w:space="0" w:color="auto"/>
            <w:left w:val="none" w:sz="0" w:space="0" w:color="auto"/>
            <w:bottom w:val="none" w:sz="0" w:space="0" w:color="auto"/>
            <w:right w:val="none" w:sz="0" w:space="0" w:color="auto"/>
          </w:divBdr>
        </w:div>
        <w:div w:id="1271745153">
          <w:marLeft w:val="0"/>
          <w:marRight w:val="0"/>
          <w:marTop w:val="0"/>
          <w:marBottom w:val="0"/>
          <w:divBdr>
            <w:top w:val="none" w:sz="0" w:space="0" w:color="auto"/>
            <w:left w:val="none" w:sz="0" w:space="0" w:color="auto"/>
            <w:bottom w:val="none" w:sz="0" w:space="0" w:color="auto"/>
            <w:right w:val="none" w:sz="0" w:space="0" w:color="auto"/>
          </w:divBdr>
        </w:div>
        <w:div w:id="1272857428">
          <w:marLeft w:val="0"/>
          <w:marRight w:val="0"/>
          <w:marTop w:val="0"/>
          <w:marBottom w:val="0"/>
          <w:divBdr>
            <w:top w:val="none" w:sz="0" w:space="0" w:color="auto"/>
            <w:left w:val="none" w:sz="0" w:space="0" w:color="auto"/>
            <w:bottom w:val="none" w:sz="0" w:space="0" w:color="auto"/>
            <w:right w:val="none" w:sz="0" w:space="0" w:color="auto"/>
          </w:divBdr>
        </w:div>
        <w:div w:id="1273903298">
          <w:marLeft w:val="0"/>
          <w:marRight w:val="0"/>
          <w:marTop w:val="0"/>
          <w:marBottom w:val="0"/>
          <w:divBdr>
            <w:top w:val="none" w:sz="0" w:space="0" w:color="auto"/>
            <w:left w:val="none" w:sz="0" w:space="0" w:color="auto"/>
            <w:bottom w:val="none" w:sz="0" w:space="0" w:color="auto"/>
            <w:right w:val="none" w:sz="0" w:space="0" w:color="auto"/>
          </w:divBdr>
        </w:div>
        <w:div w:id="1290942191">
          <w:marLeft w:val="0"/>
          <w:marRight w:val="0"/>
          <w:marTop w:val="0"/>
          <w:marBottom w:val="0"/>
          <w:divBdr>
            <w:top w:val="none" w:sz="0" w:space="0" w:color="auto"/>
            <w:left w:val="none" w:sz="0" w:space="0" w:color="auto"/>
            <w:bottom w:val="none" w:sz="0" w:space="0" w:color="auto"/>
            <w:right w:val="none" w:sz="0" w:space="0" w:color="auto"/>
          </w:divBdr>
        </w:div>
        <w:div w:id="1294021315">
          <w:marLeft w:val="0"/>
          <w:marRight w:val="0"/>
          <w:marTop w:val="0"/>
          <w:marBottom w:val="0"/>
          <w:divBdr>
            <w:top w:val="none" w:sz="0" w:space="0" w:color="auto"/>
            <w:left w:val="none" w:sz="0" w:space="0" w:color="auto"/>
            <w:bottom w:val="none" w:sz="0" w:space="0" w:color="auto"/>
            <w:right w:val="none" w:sz="0" w:space="0" w:color="auto"/>
          </w:divBdr>
        </w:div>
        <w:div w:id="1299262566">
          <w:marLeft w:val="0"/>
          <w:marRight w:val="0"/>
          <w:marTop w:val="0"/>
          <w:marBottom w:val="0"/>
          <w:divBdr>
            <w:top w:val="none" w:sz="0" w:space="0" w:color="auto"/>
            <w:left w:val="none" w:sz="0" w:space="0" w:color="auto"/>
            <w:bottom w:val="none" w:sz="0" w:space="0" w:color="auto"/>
            <w:right w:val="none" w:sz="0" w:space="0" w:color="auto"/>
          </w:divBdr>
        </w:div>
        <w:div w:id="1301495876">
          <w:marLeft w:val="0"/>
          <w:marRight w:val="0"/>
          <w:marTop w:val="0"/>
          <w:marBottom w:val="0"/>
          <w:divBdr>
            <w:top w:val="none" w:sz="0" w:space="0" w:color="auto"/>
            <w:left w:val="none" w:sz="0" w:space="0" w:color="auto"/>
            <w:bottom w:val="none" w:sz="0" w:space="0" w:color="auto"/>
            <w:right w:val="none" w:sz="0" w:space="0" w:color="auto"/>
          </w:divBdr>
        </w:div>
        <w:div w:id="1319769986">
          <w:marLeft w:val="0"/>
          <w:marRight w:val="0"/>
          <w:marTop w:val="0"/>
          <w:marBottom w:val="0"/>
          <w:divBdr>
            <w:top w:val="none" w:sz="0" w:space="0" w:color="auto"/>
            <w:left w:val="none" w:sz="0" w:space="0" w:color="auto"/>
            <w:bottom w:val="none" w:sz="0" w:space="0" w:color="auto"/>
            <w:right w:val="none" w:sz="0" w:space="0" w:color="auto"/>
          </w:divBdr>
        </w:div>
        <w:div w:id="1320307644">
          <w:marLeft w:val="0"/>
          <w:marRight w:val="0"/>
          <w:marTop w:val="0"/>
          <w:marBottom w:val="0"/>
          <w:divBdr>
            <w:top w:val="none" w:sz="0" w:space="0" w:color="auto"/>
            <w:left w:val="none" w:sz="0" w:space="0" w:color="auto"/>
            <w:bottom w:val="none" w:sz="0" w:space="0" w:color="auto"/>
            <w:right w:val="none" w:sz="0" w:space="0" w:color="auto"/>
          </w:divBdr>
        </w:div>
        <w:div w:id="1344552219">
          <w:marLeft w:val="0"/>
          <w:marRight w:val="0"/>
          <w:marTop w:val="0"/>
          <w:marBottom w:val="0"/>
          <w:divBdr>
            <w:top w:val="none" w:sz="0" w:space="0" w:color="auto"/>
            <w:left w:val="none" w:sz="0" w:space="0" w:color="auto"/>
            <w:bottom w:val="none" w:sz="0" w:space="0" w:color="auto"/>
            <w:right w:val="none" w:sz="0" w:space="0" w:color="auto"/>
          </w:divBdr>
        </w:div>
        <w:div w:id="1364592144">
          <w:marLeft w:val="0"/>
          <w:marRight w:val="0"/>
          <w:marTop w:val="0"/>
          <w:marBottom w:val="0"/>
          <w:divBdr>
            <w:top w:val="none" w:sz="0" w:space="0" w:color="auto"/>
            <w:left w:val="none" w:sz="0" w:space="0" w:color="auto"/>
            <w:bottom w:val="none" w:sz="0" w:space="0" w:color="auto"/>
            <w:right w:val="none" w:sz="0" w:space="0" w:color="auto"/>
          </w:divBdr>
        </w:div>
        <w:div w:id="1369914216">
          <w:marLeft w:val="0"/>
          <w:marRight w:val="0"/>
          <w:marTop w:val="0"/>
          <w:marBottom w:val="0"/>
          <w:divBdr>
            <w:top w:val="none" w:sz="0" w:space="0" w:color="auto"/>
            <w:left w:val="none" w:sz="0" w:space="0" w:color="auto"/>
            <w:bottom w:val="none" w:sz="0" w:space="0" w:color="auto"/>
            <w:right w:val="none" w:sz="0" w:space="0" w:color="auto"/>
          </w:divBdr>
        </w:div>
        <w:div w:id="1371147963">
          <w:marLeft w:val="0"/>
          <w:marRight w:val="0"/>
          <w:marTop w:val="0"/>
          <w:marBottom w:val="0"/>
          <w:divBdr>
            <w:top w:val="none" w:sz="0" w:space="0" w:color="auto"/>
            <w:left w:val="none" w:sz="0" w:space="0" w:color="auto"/>
            <w:bottom w:val="none" w:sz="0" w:space="0" w:color="auto"/>
            <w:right w:val="none" w:sz="0" w:space="0" w:color="auto"/>
          </w:divBdr>
        </w:div>
        <w:div w:id="1384021732">
          <w:marLeft w:val="0"/>
          <w:marRight w:val="0"/>
          <w:marTop w:val="0"/>
          <w:marBottom w:val="0"/>
          <w:divBdr>
            <w:top w:val="none" w:sz="0" w:space="0" w:color="auto"/>
            <w:left w:val="none" w:sz="0" w:space="0" w:color="auto"/>
            <w:bottom w:val="none" w:sz="0" w:space="0" w:color="auto"/>
            <w:right w:val="none" w:sz="0" w:space="0" w:color="auto"/>
          </w:divBdr>
        </w:div>
        <w:div w:id="1417362637">
          <w:marLeft w:val="0"/>
          <w:marRight w:val="0"/>
          <w:marTop w:val="0"/>
          <w:marBottom w:val="0"/>
          <w:divBdr>
            <w:top w:val="none" w:sz="0" w:space="0" w:color="auto"/>
            <w:left w:val="none" w:sz="0" w:space="0" w:color="auto"/>
            <w:bottom w:val="none" w:sz="0" w:space="0" w:color="auto"/>
            <w:right w:val="none" w:sz="0" w:space="0" w:color="auto"/>
          </w:divBdr>
        </w:div>
        <w:div w:id="1432816634">
          <w:marLeft w:val="0"/>
          <w:marRight w:val="0"/>
          <w:marTop w:val="0"/>
          <w:marBottom w:val="0"/>
          <w:divBdr>
            <w:top w:val="none" w:sz="0" w:space="0" w:color="auto"/>
            <w:left w:val="none" w:sz="0" w:space="0" w:color="auto"/>
            <w:bottom w:val="none" w:sz="0" w:space="0" w:color="auto"/>
            <w:right w:val="none" w:sz="0" w:space="0" w:color="auto"/>
          </w:divBdr>
        </w:div>
        <w:div w:id="1436561677">
          <w:marLeft w:val="0"/>
          <w:marRight w:val="0"/>
          <w:marTop w:val="0"/>
          <w:marBottom w:val="0"/>
          <w:divBdr>
            <w:top w:val="none" w:sz="0" w:space="0" w:color="auto"/>
            <w:left w:val="none" w:sz="0" w:space="0" w:color="auto"/>
            <w:bottom w:val="none" w:sz="0" w:space="0" w:color="auto"/>
            <w:right w:val="none" w:sz="0" w:space="0" w:color="auto"/>
          </w:divBdr>
        </w:div>
        <w:div w:id="1453859921">
          <w:marLeft w:val="0"/>
          <w:marRight w:val="0"/>
          <w:marTop w:val="0"/>
          <w:marBottom w:val="0"/>
          <w:divBdr>
            <w:top w:val="none" w:sz="0" w:space="0" w:color="auto"/>
            <w:left w:val="none" w:sz="0" w:space="0" w:color="auto"/>
            <w:bottom w:val="none" w:sz="0" w:space="0" w:color="auto"/>
            <w:right w:val="none" w:sz="0" w:space="0" w:color="auto"/>
          </w:divBdr>
        </w:div>
        <w:div w:id="1458334919">
          <w:marLeft w:val="0"/>
          <w:marRight w:val="0"/>
          <w:marTop w:val="0"/>
          <w:marBottom w:val="0"/>
          <w:divBdr>
            <w:top w:val="none" w:sz="0" w:space="0" w:color="auto"/>
            <w:left w:val="none" w:sz="0" w:space="0" w:color="auto"/>
            <w:bottom w:val="none" w:sz="0" w:space="0" w:color="auto"/>
            <w:right w:val="none" w:sz="0" w:space="0" w:color="auto"/>
          </w:divBdr>
        </w:div>
        <w:div w:id="1483546873">
          <w:marLeft w:val="0"/>
          <w:marRight w:val="0"/>
          <w:marTop w:val="0"/>
          <w:marBottom w:val="0"/>
          <w:divBdr>
            <w:top w:val="none" w:sz="0" w:space="0" w:color="auto"/>
            <w:left w:val="none" w:sz="0" w:space="0" w:color="auto"/>
            <w:bottom w:val="none" w:sz="0" w:space="0" w:color="auto"/>
            <w:right w:val="none" w:sz="0" w:space="0" w:color="auto"/>
          </w:divBdr>
        </w:div>
        <w:div w:id="1489974030">
          <w:marLeft w:val="0"/>
          <w:marRight w:val="0"/>
          <w:marTop w:val="0"/>
          <w:marBottom w:val="0"/>
          <w:divBdr>
            <w:top w:val="none" w:sz="0" w:space="0" w:color="auto"/>
            <w:left w:val="none" w:sz="0" w:space="0" w:color="auto"/>
            <w:bottom w:val="none" w:sz="0" w:space="0" w:color="auto"/>
            <w:right w:val="none" w:sz="0" w:space="0" w:color="auto"/>
          </w:divBdr>
        </w:div>
        <w:div w:id="1499886610">
          <w:marLeft w:val="0"/>
          <w:marRight w:val="0"/>
          <w:marTop w:val="0"/>
          <w:marBottom w:val="0"/>
          <w:divBdr>
            <w:top w:val="none" w:sz="0" w:space="0" w:color="auto"/>
            <w:left w:val="none" w:sz="0" w:space="0" w:color="auto"/>
            <w:bottom w:val="none" w:sz="0" w:space="0" w:color="auto"/>
            <w:right w:val="none" w:sz="0" w:space="0" w:color="auto"/>
          </w:divBdr>
        </w:div>
        <w:div w:id="1515146371">
          <w:marLeft w:val="0"/>
          <w:marRight w:val="0"/>
          <w:marTop w:val="0"/>
          <w:marBottom w:val="0"/>
          <w:divBdr>
            <w:top w:val="none" w:sz="0" w:space="0" w:color="auto"/>
            <w:left w:val="none" w:sz="0" w:space="0" w:color="auto"/>
            <w:bottom w:val="none" w:sz="0" w:space="0" w:color="auto"/>
            <w:right w:val="none" w:sz="0" w:space="0" w:color="auto"/>
          </w:divBdr>
        </w:div>
        <w:div w:id="1515923097">
          <w:marLeft w:val="0"/>
          <w:marRight w:val="0"/>
          <w:marTop w:val="0"/>
          <w:marBottom w:val="0"/>
          <w:divBdr>
            <w:top w:val="none" w:sz="0" w:space="0" w:color="auto"/>
            <w:left w:val="none" w:sz="0" w:space="0" w:color="auto"/>
            <w:bottom w:val="none" w:sz="0" w:space="0" w:color="auto"/>
            <w:right w:val="none" w:sz="0" w:space="0" w:color="auto"/>
          </w:divBdr>
        </w:div>
        <w:div w:id="1535461843">
          <w:marLeft w:val="0"/>
          <w:marRight w:val="0"/>
          <w:marTop w:val="0"/>
          <w:marBottom w:val="0"/>
          <w:divBdr>
            <w:top w:val="none" w:sz="0" w:space="0" w:color="auto"/>
            <w:left w:val="none" w:sz="0" w:space="0" w:color="auto"/>
            <w:bottom w:val="none" w:sz="0" w:space="0" w:color="auto"/>
            <w:right w:val="none" w:sz="0" w:space="0" w:color="auto"/>
          </w:divBdr>
        </w:div>
        <w:div w:id="1543666198">
          <w:marLeft w:val="0"/>
          <w:marRight w:val="0"/>
          <w:marTop w:val="0"/>
          <w:marBottom w:val="0"/>
          <w:divBdr>
            <w:top w:val="none" w:sz="0" w:space="0" w:color="auto"/>
            <w:left w:val="none" w:sz="0" w:space="0" w:color="auto"/>
            <w:bottom w:val="none" w:sz="0" w:space="0" w:color="auto"/>
            <w:right w:val="none" w:sz="0" w:space="0" w:color="auto"/>
          </w:divBdr>
        </w:div>
        <w:div w:id="1547402426">
          <w:marLeft w:val="0"/>
          <w:marRight w:val="0"/>
          <w:marTop w:val="0"/>
          <w:marBottom w:val="0"/>
          <w:divBdr>
            <w:top w:val="none" w:sz="0" w:space="0" w:color="auto"/>
            <w:left w:val="none" w:sz="0" w:space="0" w:color="auto"/>
            <w:bottom w:val="none" w:sz="0" w:space="0" w:color="auto"/>
            <w:right w:val="none" w:sz="0" w:space="0" w:color="auto"/>
          </w:divBdr>
        </w:div>
        <w:div w:id="1548637826">
          <w:marLeft w:val="0"/>
          <w:marRight w:val="0"/>
          <w:marTop w:val="0"/>
          <w:marBottom w:val="0"/>
          <w:divBdr>
            <w:top w:val="none" w:sz="0" w:space="0" w:color="auto"/>
            <w:left w:val="none" w:sz="0" w:space="0" w:color="auto"/>
            <w:bottom w:val="none" w:sz="0" w:space="0" w:color="auto"/>
            <w:right w:val="none" w:sz="0" w:space="0" w:color="auto"/>
          </w:divBdr>
        </w:div>
        <w:div w:id="1592279288">
          <w:marLeft w:val="0"/>
          <w:marRight w:val="0"/>
          <w:marTop w:val="0"/>
          <w:marBottom w:val="0"/>
          <w:divBdr>
            <w:top w:val="none" w:sz="0" w:space="0" w:color="auto"/>
            <w:left w:val="none" w:sz="0" w:space="0" w:color="auto"/>
            <w:bottom w:val="none" w:sz="0" w:space="0" w:color="auto"/>
            <w:right w:val="none" w:sz="0" w:space="0" w:color="auto"/>
          </w:divBdr>
        </w:div>
        <w:div w:id="1605846327">
          <w:marLeft w:val="0"/>
          <w:marRight w:val="0"/>
          <w:marTop w:val="0"/>
          <w:marBottom w:val="0"/>
          <w:divBdr>
            <w:top w:val="none" w:sz="0" w:space="0" w:color="auto"/>
            <w:left w:val="none" w:sz="0" w:space="0" w:color="auto"/>
            <w:bottom w:val="none" w:sz="0" w:space="0" w:color="auto"/>
            <w:right w:val="none" w:sz="0" w:space="0" w:color="auto"/>
          </w:divBdr>
        </w:div>
        <w:div w:id="1610698679">
          <w:marLeft w:val="0"/>
          <w:marRight w:val="0"/>
          <w:marTop w:val="0"/>
          <w:marBottom w:val="0"/>
          <w:divBdr>
            <w:top w:val="none" w:sz="0" w:space="0" w:color="auto"/>
            <w:left w:val="none" w:sz="0" w:space="0" w:color="auto"/>
            <w:bottom w:val="none" w:sz="0" w:space="0" w:color="auto"/>
            <w:right w:val="none" w:sz="0" w:space="0" w:color="auto"/>
          </w:divBdr>
        </w:div>
        <w:div w:id="1626691477">
          <w:marLeft w:val="0"/>
          <w:marRight w:val="0"/>
          <w:marTop w:val="0"/>
          <w:marBottom w:val="0"/>
          <w:divBdr>
            <w:top w:val="none" w:sz="0" w:space="0" w:color="auto"/>
            <w:left w:val="none" w:sz="0" w:space="0" w:color="auto"/>
            <w:bottom w:val="none" w:sz="0" w:space="0" w:color="auto"/>
            <w:right w:val="none" w:sz="0" w:space="0" w:color="auto"/>
          </w:divBdr>
        </w:div>
        <w:div w:id="1629043367">
          <w:marLeft w:val="0"/>
          <w:marRight w:val="0"/>
          <w:marTop w:val="0"/>
          <w:marBottom w:val="0"/>
          <w:divBdr>
            <w:top w:val="none" w:sz="0" w:space="0" w:color="auto"/>
            <w:left w:val="none" w:sz="0" w:space="0" w:color="auto"/>
            <w:bottom w:val="none" w:sz="0" w:space="0" w:color="auto"/>
            <w:right w:val="none" w:sz="0" w:space="0" w:color="auto"/>
          </w:divBdr>
        </w:div>
        <w:div w:id="1638947897">
          <w:marLeft w:val="0"/>
          <w:marRight w:val="0"/>
          <w:marTop w:val="0"/>
          <w:marBottom w:val="0"/>
          <w:divBdr>
            <w:top w:val="none" w:sz="0" w:space="0" w:color="auto"/>
            <w:left w:val="none" w:sz="0" w:space="0" w:color="auto"/>
            <w:bottom w:val="none" w:sz="0" w:space="0" w:color="auto"/>
            <w:right w:val="none" w:sz="0" w:space="0" w:color="auto"/>
          </w:divBdr>
        </w:div>
        <w:div w:id="1646544016">
          <w:marLeft w:val="0"/>
          <w:marRight w:val="0"/>
          <w:marTop w:val="0"/>
          <w:marBottom w:val="0"/>
          <w:divBdr>
            <w:top w:val="none" w:sz="0" w:space="0" w:color="auto"/>
            <w:left w:val="none" w:sz="0" w:space="0" w:color="auto"/>
            <w:bottom w:val="none" w:sz="0" w:space="0" w:color="auto"/>
            <w:right w:val="none" w:sz="0" w:space="0" w:color="auto"/>
          </w:divBdr>
        </w:div>
        <w:div w:id="1647777219">
          <w:marLeft w:val="0"/>
          <w:marRight w:val="0"/>
          <w:marTop w:val="0"/>
          <w:marBottom w:val="0"/>
          <w:divBdr>
            <w:top w:val="none" w:sz="0" w:space="0" w:color="auto"/>
            <w:left w:val="none" w:sz="0" w:space="0" w:color="auto"/>
            <w:bottom w:val="none" w:sz="0" w:space="0" w:color="auto"/>
            <w:right w:val="none" w:sz="0" w:space="0" w:color="auto"/>
          </w:divBdr>
        </w:div>
        <w:div w:id="1648507180">
          <w:marLeft w:val="0"/>
          <w:marRight w:val="0"/>
          <w:marTop w:val="0"/>
          <w:marBottom w:val="0"/>
          <w:divBdr>
            <w:top w:val="none" w:sz="0" w:space="0" w:color="auto"/>
            <w:left w:val="none" w:sz="0" w:space="0" w:color="auto"/>
            <w:bottom w:val="none" w:sz="0" w:space="0" w:color="auto"/>
            <w:right w:val="none" w:sz="0" w:space="0" w:color="auto"/>
          </w:divBdr>
        </w:div>
        <w:div w:id="1650135867">
          <w:marLeft w:val="0"/>
          <w:marRight w:val="0"/>
          <w:marTop w:val="0"/>
          <w:marBottom w:val="0"/>
          <w:divBdr>
            <w:top w:val="none" w:sz="0" w:space="0" w:color="auto"/>
            <w:left w:val="none" w:sz="0" w:space="0" w:color="auto"/>
            <w:bottom w:val="none" w:sz="0" w:space="0" w:color="auto"/>
            <w:right w:val="none" w:sz="0" w:space="0" w:color="auto"/>
          </w:divBdr>
        </w:div>
        <w:div w:id="1690447829">
          <w:marLeft w:val="0"/>
          <w:marRight w:val="0"/>
          <w:marTop w:val="0"/>
          <w:marBottom w:val="0"/>
          <w:divBdr>
            <w:top w:val="none" w:sz="0" w:space="0" w:color="auto"/>
            <w:left w:val="none" w:sz="0" w:space="0" w:color="auto"/>
            <w:bottom w:val="none" w:sz="0" w:space="0" w:color="auto"/>
            <w:right w:val="none" w:sz="0" w:space="0" w:color="auto"/>
          </w:divBdr>
        </w:div>
        <w:div w:id="1713994317">
          <w:marLeft w:val="0"/>
          <w:marRight w:val="0"/>
          <w:marTop w:val="0"/>
          <w:marBottom w:val="0"/>
          <w:divBdr>
            <w:top w:val="none" w:sz="0" w:space="0" w:color="auto"/>
            <w:left w:val="none" w:sz="0" w:space="0" w:color="auto"/>
            <w:bottom w:val="none" w:sz="0" w:space="0" w:color="auto"/>
            <w:right w:val="none" w:sz="0" w:space="0" w:color="auto"/>
          </w:divBdr>
        </w:div>
        <w:div w:id="1723485395">
          <w:marLeft w:val="0"/>
          <w:marRight w:val="0"/>
          <w:marTop w:val="0"/>
          <w:marBottom w:val="0"/>
          <w:divBdr>
            <w:top w:val="none" w:sz="0" w:space="0" w:color="auto"/>
            <w:left w:val="none" w:sz="0" w:space="0" w:color="auto"/>
            <w:bottom w:val="none" w:sz="0" w:space="0" w:color="auto"/>
            <w:right w:val="none" w:sz="0" w:space="0" w:color="auto"/>
          </w:divBdr>
        </w:div>
        <w:div w:id="1723675072">
          <w:marLeft w:val="0"/>
          <w:marRight w:val="0"/>
          <w:marTop w:val="0"/>
          <w:marBottom w:val="0"/>
          <w:divBdr>
            <w:top w:val="none" w:sz="0" w:space="0" w:color="auto"/>
            <w:left w:val="none" w:sz="0" w:space="0" w:color="auto"/>
            <w:bottom w:val="none" w:sz="0" w:space="0" w:color="auto"/>
            <w:right w:val="none" w:sz="0" w:space="0" w:color="auto"/>
          </w:divBdr>
        </w:div>
        <w:div w:id="1736775598">
          <w:marLeft w:val="0"/>
          <w:marRight w:val="0"/>
          <w:marTop w:val="0"/>
          <w:marBottom w:val="0"/>
          <w:divBdr>
            <w:top w:val="none" w:sz="0" w:space="0" w:color="auto"/>
            <w:left w:val="none" w:sz="0" w:space="0" w:color="auto"/>
            <w:bottom w:val="none" w:sz="0" w:space="0" w:color="auto"/>
            <w:right w:val="none" w:sz="0" w:space="0" w:color="auto"/>
          </w:divBdr>
        </w:div>
        <w:div w:id="1752894976">
          <w:marLeft w:val="0"/>
          <w:marRight w:val="0"/>
          <w:marTop w:val="0"/>
          <w:marBottom w:val="0"/>
          <w:divBdr>
            <w:top w:val="none" w:sz="0" w:space="0" w:color="auto"/>
            <w:left w:val="none" w:sz="0" w:space="0" w:color="auto"/>
            <w:bottom w:val="none" w:sz="0" w:space="0" w:color="auto"/>
            <w:right w:val="none" w:sz="0" w:space="0" w:color="auto"/>
          </w:divBdr>
        </w:div>
        <w:div w:id="1755862274">
          <w:marLeft w:val="0"/>
          <w:marRight w:val="0"/>
          <w:marTop w:val="0"/>
          <w:marBottom w:val="0"/>
          <w:divBdr>
            <w:top w:val="none" w:sz="0" w:space="0" w:color="auto"/>
            <w:left w:val="none" w:sz="0" w:space="0" w:color="auto"/>
            <w:bottom w:val="none" w:sz="0" w:space="0" w:color="auto"/>
            <w:right w:val="none" w:sz="0" w:space="0" w:color="auto"/>
          </w:divBdr>
        </w:div>
        <w:div w:id="1764908844">
          <w:marLeft w:val="0"/>
          <w:marRight w:val="0"/>
          <w:marTop w:val="0"/>
          <w:marBottom w:val="0"/>
          <w:divBdr>
            <w:top w:val="none" w:sz="0" w:space="0" w:color="auto"/>
            <w:left w:val="none" w:sz="0" w:space="0" w:color="auto"/>
            <w:bottom w:val="none" w:sz="0" w:space="0" w:color="auto"/>
            <w:right w:val="none" w:sz="0" w:space="0" w:color="auto"/>
          </w:divBdr>
        </w:div>
        <w:div w:id="1770269324">
          <w:marLeft w:val="0"/>
          <w:marRight w:val="0"/>
          <w:marTop w:val="0"/>
          <w:marBottom w:val="0"/>
          <w:divBdr>
            <w:top w:val="none" w:sz="0" w:space="0" w:color="auto"/>
            <w:left w:val="none" w:sz="0" w:space="0" w:color="auto"/>
            <w:bottom w:val="none" w:sz="0" w:space="0" w:color="auto"/>
            <w:right w:val="none" w:sz="0" w:space="0" w:color="auto"/>
          </w:divBdr>
        </w:div>
        <w:div w:id="1773473344">
          <w:marLeft w:val="0"/>
          <w:marRight w:val="0"/>
          <w:marTop w:val="0"/>
          <w:marBottom w:val="0"/>
          <w:divBdr>
            <w:top w:val="none" w:sz="0" w:space="0" w:color="auto"/>
            <w:left w:val="none" w:sz="0" w:space="0" w:color="auto"/>
            <w:bottom w:val="none" w:sz="0" w:space="0" w:color="auto"/>
            <w:right w:val="none" w:sz="0" w:space="0" w:color="auto"/>
          </w:divBdr>
        </w:div>
        <w:div w:id="1784153319">
          <w:marLeft w:val="0"/>
          <w:marRight w:val="0"/>
          <w:marTop w:val="0"/>
          <w:marBottom w:val="0"/>
          <w:divBdr>
            <w:top w:val="none" w:sz="0" w:space="0" w:color="auto"/>
            <w:left w:val="none" w:sz="0" w:space="0" w:color="auto"/>
            <w:bottom w:val="none" w:sz="0" w:space="0" w:color="auto"/>
            <w:right w:val="none" w:sz="0" w:space="0" w:color="auto"/>
          </w:divBdr>
        </w:div>
        <w:div w:id="1805585775">
          <w:marLeft w:val="0"/>
          <w:marRight w:val="0"/>
          <w:marTop w:val="0"/>
          <w:marBottom w:val="0"/>
          <w:divBdr>
            <w:top w:val="none" w:sz="0" w:space="0" w:color="auto"/>
            <w:left w:val="none" w:sz="0" w:space="0" w:color="auto"/>
            <w:bottom w:val="none" w:sz="0" w:space="0" w:color="auto"/>
            <w:right w:val="none" w:sz="0" w:space="0" w:color="auto"/>
          </w:divBdr>
        </w:div>
        <w:div w:id="1828278557">
          <w:marLeft w:val="0"/>
          <w:marRight w:val="0"/>
          <w:marTop w:val="0"/>
          <w:marBottom w:val="0"/>
          <w:divBdr>
            <w:top w:val="none" w:sz="0" w:space="0" w:color="auto"/>
            <w:left w:val="none" w:sz="0" w:space="0" w:color="auto"/>
            <w:bottom w:val="none" w:sz="0" w:space="0" w:color="auto"/>
            <w:right w:val="none" w:sz="0" w:space="0" w:color="auto"/>
          </w:divBdr>
        </w:div>
        <w:div w:id="1849640445">
          <w:marLeft w:val="0"/>
          <w:marRight w:val="0"/>
          <w:marTop w:val="0"/>
          <w:marBottom w:val="0"/>
          <w:divBdr>
            <w:top w:val="none" w:sz="0" w:space="0" w:color="auto"/>
            <w:left w:val="none" w:sz="0" w:space="0" w:color="auto"/>
            <w:bottom w:val="none" w:sz="0" w:space="0" w:color="auto"/>
            <w:right w:val="none" w:sz="0" w:space="0" w:color="auto"/>
          </w:divBdr>
        </w:div>
        <w:div w:id="1871721957">
          <w:marLeft w:val="0"/>
          <w:marRight w:val="0"/>
          <w:marTop w:val="0"/>
          <w:marBottom w:val="0"/>
          <w:divBdr>
            <w:top w:val="none" w:sz="0" w:space="0" w:color="auto"/>
            <w:left w:val="none" w:sz="0" w:space="0" w:color="auto"/>
            <w:bottom w:val="none" w:sz="0" w:space="0" w:color="auto"/>
            <w:right w:val="none" w:sz="0" w:space="0" w:color="auto"/>
          </w:divBdr>
        </w:div>
        <w:div w:id="1883519852">
          <w:marLeft w:val="0"/>
          <w:marRight w:val="0"/>
          <w:marTop w:val="0"/>
          <w:marBottom w:val="0"/>
          <w:divBdr>
            <w:top w:val="none" w:sz="0" w:space="0" w:color="auto"/>
            <w:left w:val="none" w:sz="0" w:space="0" w:color="auto"/>
            <w:bottom w:val="none" w:sz="0" w:space="0" w:color="auto"/>
            <w:right w:val="none" w:sz="0" w:space="0" w:color="auto"/>
          </w:divBdr>
        </w:div>
        <w:div w:id="1897281390">
          <w:marLeft w:val="0"/>
          <w:marRight w:val="0"/>
          <w:marTop w:val="0"/>
          <w:marBottom w:val="0"/>
          <w:divBdr>
            <w:top w:val="none" w:sz="0" w:space="0" w:color="auto"/>
            <w:left w:val="none" w:sz="0" w:space="0" w:color="auto"/>
            <w:bottom w:val="none" w:sz="0" w:space="0" w:color="auto"/>
            <w:right w:val="none" w:sz="0" w:space="0" w:color="auto"/>
          </w:divBdr>
        </w:div>
        <w:div w:id="1900245455">
          <w:marLeft w:val="0"/>
          <w:marRight w:val="0"/>
          <w:marTop w:val="0"/>
          <w:marBottom w:val="0"/>
          <w:divBdr>
            <w:top w:val="none" w:sz="0" w:space="0" w:color="auto"/>
            <w:left w:val="none" w:sz="0" w:space="0" w:color="auto"/>
            <w:bottom w:val="none" w:sz="0" w:space="0" w:color="auto"/>
            <w:right w:val="none" w:sz="0" w:space="0" w:color="auto"/>
          </w:divBdr>
        </w:div>
        <w:div w:id="1905406531">
          <w:marLeft w:val="0"/>
          <w:marRight w:val="0"/>
          <w:marTop w:val="0"/>
          <w:marBottom w:val="0"/>
          <w:divBdr>
            <w:top w:val="none" w:sz="0" w:space="0" w:color="auto"/>
            <w:left w:val="none" w:sz="0" w:space="0" w:color="auto"/>
            <w:bottom w:val="none" w:sz="0" w:space="0" w:color="auto"/>
            <w:right w:val="none" w:sz="0" w:space="0" w:color="auto"/>
          </w:divBdr>
        </w:div>
        <w:div w:id="1934121614">
          <w:marLeft w:val="0"/>
          <w:marRight w:val="0"/>
          <w:marTop w:val="0"/>
          <w:marBottom w:val="0"/>
          <w:divBdr>
            <w:top w:val="none" w:sz="0" w:space="0" w:color="auto"/>
            <w:left w:val="none" w:sz="0" w:space="0" w:color="auto"/>
            <w:bottom w:val="none" w:sz="0" w:space="0" w:color="auto"/>
            <w:right w:val="none" w:sz="0" w:space="0" w:color="auto"/>
          </w:divBdr>
        </w:div>
        <w:div w:id="1937444176">
          <w:marLeft w:val="0"/>
          <w:marRight w:val="0"/>
          <w:marTop w:val="0"/>
          <w:marBottom w:val="0"/>
          <w:divBdr>
            <w:top w:val="none" w:sz="0" w:space="0" w:color="auto"/>
            <w:left w:val="none" w:sz="0" w:space="0" w:color="auto"/>
            <w:bottom w:val="none" w:sz="0" w:space="0" w:color="auto"/>
            <w:right w:val="none" w:sz="0" w:space="0" w:color="auto"/>
          </w:divBdr>
        </w:div>
        <w:div w:id="1955794079">
          <w:marLeft w:val="0"/>
          <w:marRight w:val="0"/>
          <w:marTop w:val="0"/>
          <w:marBottom w:val="0"/>
          <w:divBdr>
            <w:top w:val="none" w:sz="0" w:space="0" w:color="auto"/>
            <w:left w:val="none" w:sz="0" w:space="0" w:color="auto"/>
            <w:bottom w:val="none" w:sz="0" w:space="0" w:color="auto"/>
            <w:right w:val="none" w:sz="0" w:space="0" w:color="auto"/>
          </w:divBdr>
        </w:div>
        <w:div w:id="1957715506">
          <w:marLeft w:val="0"/>
          <w:marRight w:val="0"/>
          <w:marTop w:val="0"/>
          <w:marBottom w:val="0"/>
          <w:divBdr>
            <w:top w:val="none" w:sz="0" w:space="0" w:color="auto"/>
            <w:left w:val="none" w:sz="0" w:space="0" w:color="auto"/>
            <w:bottom w:val="none" w:sz="0" w:space="0" w:color="auto"/>
            <w:right w:val="none" w:sz="0" w:space="0" w:color="auto"/>
          </w:divBdr>
        </w:div>
        <w:div w:id="1977638660">
          <w:marLeft w:val="0"/>
          <w:marRight w:val="0"/>
          <w:marTop w:val="0"/>
          <w:marBottom w:val="0"/>
          <w:divBdr>
            <w:top w:val="none" w:sz="0" w:space="0" w:color="auto"/>
            <w:left w:val="none" w:sz="0" w:space="0" w:color="auto"/>
            <w:bottom w:val="none" w:sz="0" w:space="0" w:color="auto"/>
            <w:right w:val="none" w:sz="0" w:space="0" w:color="auto"/>
          </w:divBdr>
        </w:div>
        <w:div w:id="1984003893">
          <w:marLeft w:val="0"/>
          <w:marRight w:val="0"/>
          <w:marTop w:val="0"/>
          <w:marBottom w:val="0"/>
          <w:divBdr>
            <w:top w:val="none" w:sz="0" w:space="0" w:color="auto"/>
            <w:left w:val="none" w:sz="0" w:space="0" w:color="auto"/>
            <w:bottom w:val="none" w:sz="0" w:space="0" w:color="auto"/>
            <w:right w:val="none" w:sz="0" w:space="0" w:color="auto"/>
          </w:divBdr>
        </w:div>
        <w:div w:id="2000768018">
          <w:marLeft w:val="0"/>
          <w:marRight w:val="0"/>
          <w:marTop w:val="0"/>
          <w:marBottom w:val="0"/>
          <w:divBdr>
            <w:top w:val="none" w:sz="0" w:space="0" w:color="auto"/>
            <w:left w:val="none" w:sz="0" w:space="0" w:color="auto"/>
            <w:bottom w:val="none" w:sz="0" w:space="0" w:color="auto"/>
            <w:right w:val="none" w:sz="0" w:space="0" w:color="auto"/>
          </w:divBdr>
        </w:div>
        <w:div w:id="2024671126">
          <w:marLeft w:val="0"/>
          <w:marRight w:val="0"/>
          <w:marTop w:val="0"/>
          <w:marBottom w:val="0"/>
          <w:divBdr>
            <w:top w:val="none" w:sz="0" w:space="0" w:color="auto"/>
            <w:left w:val="none" w:sz="0" w:space="0" w:color="auto"/>
            <w:bottom w:val="none" w:sz="0" w:space="0" w:color="auto"/>
            <w:right w:val="none" w:sz="0" w:space="0" w:color="auto"/>
          </w:divBdr>
        </w:div>
        <w:div w:id="2024897984">
          <w:marLeft w:val="0"/>
          <w:marRight w:val="0"/>
          <w:marTop w:val="0"/>
          <w:marBottom w:val="0"/>
          <w:divBdr>
            <w:top w:val="none" w:sz="0" w:space="0" w:color="auto"/>
            <w:left w:val="none" w:sz="0" w:space="0" w:color="auto"/>
            <w:bottom w:val="none" w:sz="0" w:space="0" w:color="auto"/>
            <w:right w:val="none" w:sz="0" w:space="0" w:color="auto"/>
          </w:divBdr>
        </w:div>
        <w:div w:id="2031682923">
          <w:marLeft w:val="0"/>
          <w:marRight w:val="0"/>
          <w:marTop w:val="0"/>
          <w:marBottom w:val="0"/>
          <w:divBdr>
            <w:top w:val="none" w:sz="0" w:space="0" w:color="auto"/>
            <w:left w:val="none" w:sz="0" w:space="0" w:color="auto"/>
            <w:bottom w:val="none" w:sz="0" w:space="0" w:color="auto"/>
            <w:right w:val="none" w:sz="0" w:space="0" w:color="auto"/>
          </w:divBdr>
        </w:div>
      </w:divsChild>
    </w:div>
    <w:div w:id="1211838544">
      <w:bodyDiv w:val="1"/>
      <w:marLeft w:val="0"/>
      <w:marRight w:val="0"/>
      <w:marTop w:val="0"/>
      <w:marBottom w:val="0"/>
      <w:divBdr>
        <w:top w:val="none" w:sz="0" w:space="0" w:color="auto"/>
        <w:left w:val="none" w:sz="0" w:space="0" w:color="auto"/>
        <w:bottom w:val="none" w:sz="0" w:space="0" w:color="auto"/>
        <w:right w:val="none" w:sz="0" w:space="0" w:color="auto"/>
      </w:divBdr>
    </w:div>
    <w:div w:id="1211843625">
      <w:bodyDiv w:val="1"/>
      <w:marLeft w:val="0"/>
      <w:marRight w:val="0"/>
      <w:marTop w:val="0"/>
      <w:marBottom w:val="0"/>
      <w:divBdr>
        <w:top w:val="none" w:sz="0" w:space="0" w:color="auto"/>
        <w:left w:val="none" w:sz="0" w:space="0" w:color="auto"/>
        <w:bottom w:val="none" w:sz="0" w:space="0" w:color="auto"/>
        <w:right w:val="none" w:sz="0" w:space="0" w:color="auto"/>
      </w:divBdr>
    </w:div>
    <w:div w:id="1211963064">
      <w:bodyDiv w:val="1"/>
      <w:marLeft w:val="0"/>
      <w:marRight w:val="0"/>
      <w:marTop w:val="0"/>
      <w:marBottom w:val="0"/>
      <w:divBdr>
        <w:top w:val="none" w:sz="0" w:space="0" w:color="auto"/>
        <w:left w:val="none" w:sz="0" w:space="0" w:color="auto"/>
        <w:bottom w:val="none" w:sz="0" w:space="0" w:color="auto"/>
        <w:right w:val="none" w:sz="0" w:space="0" w:color="auto"/>
      </w:divBdr>
    </w:div>
    <w:div w:id="1212037275">
      <w:bodyDiv w:val="1"/>
      <w:marLeft w:val="0"/>
      <w:marRight w:val="0"/>
      <w:marTop w:val="0"/>
      <w:marBottom w:val="0"/>
      <w:divBdr>
        <w:top w:val="none" w:sz="0" w:space="0" w:color="auto"/>
        <w:left w:val="none" w:sz="0" w:space="0" w:color="auto"/>
        <w:bottom w:val="none" w:sz="0" w:space="0" w:color="auto"/>
        <w:right w:val="none" w:sz="0" w:space="0" w:color="auto"/>
      </w:divBdr>
    </w:div>
    <w:div w:id="1212041375">
      <w:bodyDiv w:val="1"/>
      <w:marLeft w:val="0"/>
      <w:marRight w:val="0"/>
      <w:marTop w:val="0"/>
      <w:marBottom w:val="0"/>
      <w:divBdr>
        <w:top w:val="none" w:sz="0" w:space="0" w:color="auto"/>
        <w:left w:val="none" w:sz="0" w:space="0" w:color="auto"/>
        <w:bottom w:val="none" w:sz="0" w:space="0" w:color="auto"/>
        <w:right w:val="none" w:sz="0" w:space="0" w:color="auto"/>
      </w:divBdr>
    </w:div>
    <w:div w:id="1212041444">
      <w:bodyDiv w:val="1"/>
      <w:marLeft w:val="0"/>
      <w:marRight w:val="0"/>
      <w:marTop w:val="0"/>
      <w:marBottom w:val="0"/>
      <w:divBdr>
        <w:top w:val="none" w:sz="0" w:space="0" w:color="auto"/>
        <w:left w:val="none" w:sz="0" w:space="0" w:color="auto"/>
        <w:bottom w:val="none" w:sz="0" w:space="0" w:color="auto"/>
        <w:right w:val="none" w:sz="0" w:space="0" w:color="auto"/>
      </w:divBdr>
    </w:div>
    <w:div w:id="1212158974">
      <w:bodyDiv w:val="1"/>
      <w:marLeft w:val="0"/>
      <w:marRight w:val="0"/>
      <w:marTop w:val="0"/>
      <w:marBottom w:val="0"/>
      <w:divBdr>
        <w:top w:val="none" w:sz="0" w:space="0" w:color="auto"/>
        <w:left w:val="none" w:sz="0" w:space="0" w:color="auto"/>
        <w:bottom w:val="none" w:sz="0" w:space="0" w:color="auto"/>
        <w:right w:val="none" w:sz="0" w:space="0" w:color="auto"/>
      </w:divBdr>
    </w:div>
    <w:div w:id="1212185636">
      <w:bodyDiv w:val="1"/>
      <w:marLeft w:val="0"/>
      <w:marRight w:val="0"/>
      <w:marTop w:val="0"/>
      <w:marBottom w:val="0"/>
      <w:divBdr>
        <w:top w:val="none" w:sz="0" w:space="0" w:color="auto"/>
        <w:left w:val="none" w:sz="0" w:space="0" w:color="auto"/>
        <w:bottom w:val="none" w:sz="0" w:space="0" w:color="auto"/>
        <w:right w:val="none" w:sz="0" w:space="0" w:color="auto"/>
      </w:divBdr>
    </w:div>
    <w:div w:id="1212225487">
      <w:bodyDiv w:val="1"/>
      <w:marLeft w:val="0"/>
      <w:marRight w:val="0"/>
      <w:marTop w:val="0"/>
      <w:marBottom w:val="0"/>
      <w:divBdr>
        <w:top w:val="none" w:sz="0" w:space="0" w:color="auto"/>
        <w:left w:val="none" w:sz="0" w:space="0" w:color="auto"/>
        <w:bottom w:val="none" w:sz="0" w:space="0" w:color="auto"/>
        <w:right w:val="none" w:sz="0" w:space="0" w:color="auto"/>
      </w:divBdr>
    </w:div>
    <w:div w:id="1212227261">
      <w:bodyDiv w:val="1"/>
      <w:marLeft w:val="0"/>
      <w:marRight w:val="0"/>
      <w:marTop w:val="0"/>
      <w:marBottom w:val="0"/>
      <w:divBdr>
        <w:top w:val="none" w:sz="0" w:space="0" w:color="auto"/>
        <w:left w:val="none" w:sz="0" w:space="0" w:color="auto"/>
        <w:bottom w:val="none" w:sz="0" w:space="0" w:color="auto"/>
        <w:right w:val="none" w:sz="0" w:space="0" w:color="auto"/>
      </w:divBdr>
    </w:div>
    <w:div w:id="1212301307">
      <w:bodyDiv w:val="1"/>
      <w:marLeft w:val="0"/>
      <w:marRight w:val="0"/>
      <w:marTop w:val="0"/>
      <w:marBottom w:val="0"/>
      <w:divBdr>
        <w:top w:val="none" w:sz="0" w:space="0" w:color="auto"/>
        <w:left w:val="none" w:sz="0" w:space="0" w:color="auto"/>
        <w:bottom w:val="none" w:sz="0" w:space="0" w:color="auto"/>
        <w:right w:val="none" w:sz="0" w:space="0" w:color="auto"/>
      </w:divBdr>
    </w:div>
    <w:div w:id="1212376532">
      <w:bodyDiv w:val="1"/>
      <w:marLeft w:val="0"/>
      <w:marRight w:val="0"/>
      <w:marTop w:val="0"/>
      <w:marBottom w:val="0"/>
      <w:divBdr>
        <w:top w:val="none" w:sz="0" w:space="0" w:color="auto"/>
        <w:left w:val="none" w:sz="0" w:space="0" w:color="auto"/>
        <w:bottom w:val="none" w:sz="0" w:space="0" w:color="auto"/>
        <w:right w:val="none" w:sz="0" w:space="0" w:color="auto"/>
      </w:divBdr>
    </w:div>
    <w:div w:id="1212427318">
      <w:bodyDiv w:val="1"/>
      <w:marLeft w:val="0"/>
      <w:marRight w:val="0"/>
      <w:marTop w:val="0"/>
      <w:marBottom w:val="0"/>
      <w:divBdr>
        <w:top w:val="none" w:sz="0" w:space="0" w:color="auto"/>
        <w:left w:val="none" w:sz="0" w:space="0" w:color="auto"/>
        <w:bottom w:val="none" w:sz="0" w:space="0" w:color="auto"/>
        <w:right w:val="none" w:sz="0" w:space="0" w:color="auto"/>
      </w:divBdr>
    </w:div>
    <w:div w:id="1212497488">
      <w:bodyDiv w:val="1"/>
      <w:marLeft w:val="0"/>
      <w:marRight w:val="0"/>
      <w:marTop w:val="0"/>
      <w:marBottom w:val="0"/>
      <w:divBdr>
        <w:top w:val="none" w:sz="0" w:space="0" w:color="auto"/>
        <w:left w:val="none" w:sz="0" w:space="0" w:color="auto"/>
        <w:bottom w:val="none" w:sz="0" w:space="0" w:color="auto"/>
        <w:right w:val="none" w:sz="0" w:space="0" w:color="auto"/>
      </w:divBdr>
    </w:div>
    <w:div w:id="1212573698">
      <w:bodyDiv w:val="1"/>
      <w:marLeft w:val="0"/>
      <w:marRight w:val="0"/>
      <w:marTop w:val="0"/>
      <w:marBottom w:val="0"/>
      <w:divBdr>
        <w:top w:val="none" w:sz="0" w:space="0" w:color="auto"/>
        <w:left w:val="none" w:sz="0" w:space="0" w:color="auto"/>
        <w:bottom w:val="none" w:sz="0" w:space="0" w:color="auto"/>
        <w:right w:val="none" w:sz="0" w:space="0" w:color="auto"/>
      </w:divBdr>
    </w:div>
    <w:div w:id="1212574179">
      <w:bodyDiv w:val="1"/>
      <w:marLeft w:val="0"/>
      <w:marRight w:val="0"/>
      <w:marTop w:val="0"/>
      <w:marBottom w:val="0"/>
      <w:divBdr>
        <w:top w:val="none" w:sz="0" w:space="0" w:color="auto"/>
        <w:left w:val="none" w:sz="0" w:space="0" w:color="auto"/>
        <w:bottom w:val="none" w:sz="0" w:space="0" w:color="auto"/>
        <w:right w:val="none" w:sz="0" w:space="0" w:color="auto"/>
      </w:divBdr>
    </w:div>
    <w:div w:id="1212695626">
      <w:bodyDiv w:val="1"/>
      <w:marLeft w:val="0"/>
      <w:marRight w:val="0"/>
      <w:marTop w:val="0"/>
      <w:marBottom w:val="0"/>
      <w:divBdr>
        <w:top w:val="none" w:sz="0" w:space="0" w:color="auto"/>
        <w:left w:val="none" w:sz="0" w:space="0" w:color="auto"/>
        <w:bottom w:val="none" w:sz="0" w:space="0" w:color="auto"/>
        <w:right w:val="none" w:sz="0" w:space="0" w:color="auto"/>
      </w:divBdr>
    </w:div>
    <w:div w:id="1212771312">
      <w:bodyDiv w:val="1"/>
      <w:marLeft w:val="0"/>
      <w:marRight w:val="0"/>
      <w:marTop w:val="0"/>
      <w:marBottom w:val="0"/>
      <w:divBdr>
        <w:top w:val="none" w:sz="0" w:space="0" w:color="auto"/>
        <w:left w:val="none" w:sz="0" w:space="0" w:color="auto"/>
        <w:bottom w:val="none" w:sz="0" w:space="0" w:color="auto"/>
        <w:right w:val="none" w:sz="0" w:space="0" w:color="auto"/>
      </w:divBdr>
    </w:div>
    <w:div w:id="1212809976">
      <w:bodyDiv w:val="1"/>
      <w:marLeft w:val="0"/>
      <w:marRight w:val="0"/>
      <w:marTop w:val="0"/>
      <w:marBottom w:val="0"/>
      <w:divBdr>
        <w:top w:val="none" w:sz="0" w:space="0" w:color="auto"/>
        <w:left w:val="none" w:sz="0" w:space="0" w:color="auto"/>
        <w:bottom w:val="none" w:sz="0" w:space="0" w:color="auto"/>
        <w:right w:val="none" w:sz="0" w:space="0" w:color="auto"/>
      </w:divBdr>
    </w:div>
    <w:div w:id="1212963156">
      <w:bodyDiv w:val="1"/>
      <w:marLeft w:val="0"/>
      <w:marRight w:val="0"/>
      <w:marTop w:val="0"/>
      <w:marBottom w:val="0"/>
      <w:divBdr>
        <w:top w:val="none" w:sz="0" w:space="0" w:color="auto"/>
        <w:left w:val="none" w:sz="0" w:space="0" w:color="auto"/>
        <w:bottom w:val="none" w:sz="0" w:space="0" w:color="auto"/>
        <w:right w:val="none" w:sz="0" w:space="0" w:color="auto"/>
      </w:divBdr>
    </w:div>
    <w:div w:id="1213151825">
      <w:bodyDiv w:val="1"/>
      <w:marLeft w:val="0"/>
      <w:marRight w:val="0"/>
      <w:marTop w:val="0"/>
      <w:marBottom w:val="0"/>
      <w:divBdr>
        <w:top w:val="none" w:sz="0" w:space="0" w:color="auto"/>
        <w:left w:val="none" w:sz="0" w:space="0" w:color="auto"/>
        <w:bottom w:val="none" w:sz="0" w:space="0" w:color="auto"/>
        <w:right w:val="none" w:sz="0" w:space="0" w:color="auto"/>
      </w:divBdr>
    </w:div>
    <w:div w:id="1213152393">
      <w:bodyDiv w:val="1"/>
      <w:marLeft w:val="0"/>
      <w:marRight w:val="0"/>
      <w:marTop w:val="0"/>
      <w:marBottom w:val="0"/>
      <w:divBdr>
        <w:top w:val="none" w:sz="0" w:space="0" w:color="auto"/>
        <w:left w:val="none" w:sz="0" w:space="0" w:color="auto"/>
        <w:bottom w:val="none" w:sz="0" w:space="0" w:color="auto"/>
        <w:right w:val="none" w:sz="0" w:space="0" w:color="auto"/>
      </w:divBdr>
    </w:div>
    <w:div w:id="1213226200">
      <w:bodyDiv w:val="1"/>
      <w:marLeft w:val="0"/>
      <w:marRight w:val="0"/>
      <w:marTop w:val="0"/>
      <w:marBottom w:val="0"/>
      <w:divBdr>
        <w:top w:val="none" w:sz="0" w:space="0" w:color="auto"/>
        <w:left w:val="none" w:sz="0" w:space="0" w:color="auto"/>
        <w:bottom w:val="none" w:sz="0" w:space="0" w:color="auto"/>
        <w:right w:val="none" w:sz="0" w:space="0" w:color="auto"/>
      </w:divBdr>
    </w:div>
    <w:div w:id="1213226281">
      <w:bodyDiv w:val="1"/>
      <w:marLeft w:val="0"/>
      <w:marRight w:val="0"/>
      <w:marTop w:val="0"/>
      <w:marBottom w:val="0"/>
      <w:divBdr>
        <w:top w:val="none" w:sz="0" w:space="0" w:color="auto"/>
        <w:left w:val="none" w:sz="0" w:space="0" w:color="auto"/>
        <w:bottom w:val="none" w:sz="0" w:space="0" w:color="auto"/>
        <w:right w:val="none" w:sz="0" w:space="0" w:color="auto"/>
      </w:divBdr>
    </w:div>
    <w:div w:id="1213227960">
      <w:bodyDiv w:val="1"/>
      <w:marLeft w:val="0"/>
      <w:marRight w:val="0"/>
      <w:marTop w:val="0"/>
      <w:marBottom w:val="0"/>
      <w:divBdr>
        <w:top w:val="none" w:sz="0" w:space="0" w:color="auto"/>
        <w:left w:val="none" w:sz="0" w:space="0" w:color="auto"/>
        <w:bottom w:val="none" w:sz="0" w:space="0" w:color="auto"/>
        <w:right w:val="none" w:sz="0" w:space="0" w:color="auto"/>
      </w:divBdr>
    </w:div>
    <w:div w:id="1213343314">
      <w:bodyDiv w:val="1"/>
      <w:marLeft w:val="0"/>
      <w:marRight w:val="0"/>
      <w:marTop w:val="0"/>
      <w:marBottom w:val="0"/>
      <w:divBdr>
        <w:top w:val="none" w:sz="0" w:space="0" w:color="auto"/>
        <w:left w:val="none" w:sz="0" w:space="0" w:color="auto"/>
        <w:bottom w:val="none" w:sz="0" w:space="0" w:color="auto"/>
        <w:right w:val="none" w:sz="0" w:space="0" w:color="auto"/>
      </w:divBdr>
    </w:div>
    <w:div w:id="1213347526">
      <w:bodyDiv w:val="1"/>
      <w:marLeft w:val="0"/>
      <w:marRight w:val="0"/>
      <w:marTop w:val="0"/>
      <w:marBottom w:val="0"/>
      <w:divBdr>
        <w:top w:val="none" w:sz="0" w:space="0" w:color="auto"/>
        <w:left w:val="none" w:sz="0" w:space="0" w:color="auto"/>
        <w:bottom w:val="none" w:sz="0" w:space="0" w:color="auto"/>
        <w:right w:val="none" w:sz="0" w:space="0" w:color="auto"/>
      </w:divBdr>
    </w:div>
    <w:div w:id="1213350417">
      <w:bodyDiv w:val="1"/>
      <w:marLeft w:val="0"/>
      <w:marRight w:val="0"/>
      <w:marTop w:val="0"/>
      <w:marBottom w:val="0"/>
      <w:divBdr>
        <w:top w:val="none" w:sz="0" w:space="0" w:color="auto"/>
        <w:left w:val="none" w:sz="0" w:space="0" w:color="auto"/>
        <w:bottom w:val="none" w:sz="0" w:space="0" w:color="auto"/>
        <w:right w:val="none" w:sz="0" w:space="0" w:color="auto"/>
      </w:divBdr>
    </w:div>
    <w:div w:id="1213418084">
      <w:bodyDiv w:val="1"/>
      <w:marLeft w:val="0"/>
      <w:marRight w:val="0"/>
      <w:marTop w:val="0"/>
      <w:marBottom w:val="0"/>
      <w:divBdr>
        <w:top w:val="none" w:sz="0" w:space="0" w:color="auto"/>
        <w:left w:val="none" w:sz="0" w:space="0" w:color="auto"/>
        <w:bottom w:val="none" w:sz="0" w:space="0" w:color="auto"/>
        <w:right w:val="none" w:sz="0" w:space="0" w:color="auto"/>
      </w:divBdr>
    </w:div>
    <w:div w:id="1213420116">
      <w:bodyDiv w:val="1"/>
      <w:marLeft w:val="0"/>
      <w:marRight w:val="0"/>
      <w:marTop w:val="0"/>
      <w:marBottom w:val="0"/>
      <w:divBdr>
        <w:top w:val="none" w:sz="0" w:space="0" w:color="auto"/>
        <w:left w:val="none" w:sz="0" w:space="0" w:color="auto"/>
        <w:bottom w:val="none" w:sz="0" w:space="0" w:color="auto"/>
        <w:right w:val="none" w:sz="0" w:space="0" w:color="auto"/>
      </w:divBdr>
    </w:div>
    <w:div w:id="1213421393">
      <w:bodyDiv w:val="1"/>
      <w:marLeft w:val="0"/>
      <w:marRight w:val="0"/>
      <w:marTop w:val="0"/>
      <w:marBottom w:val="0"/>
      <w:divBdr>
        <w:top w:val="none" w:sz="0" w:space="0" w:color="auto"/>
        <w:left w:val="none" w:sz="0" w:space="0" w:color="auto"/>
        <w:bottom w:val="none" w:sz="0" w:space="0" w:color="auto"/>
        <w:right w:val="none" w:sz="0" w:space="0" w:color="auto"/>
      </w:divBdr>
    </w:div>
    <w:div w:id="1213424113">
      <w:bodyDiv w:val="1"/>
      <w:marLeft w:val="0"/>
      <w:marRight w:val="0"/>
      <w:marTop w:val="0"/>
      <w:marBottom w:val="0"/>
      <w:divBdr>
        <w:top w:val="none" w:sz="0" w:space="0" w:color="auto"/>
        <w:left w:val="none" w:sz="0" w:space="0" w:color="auto"/>
        <w:bottom w:val="none" w:sz="0" w:space="0" w:color="auto"/>
        <w:right w:val="none" w:sz="0" w:space="0" w:color="auto"/>
      </w:divBdr>
    </w:div>
    <w:div w:id="1213465817">
      <w:bodyDiv w:val="1"/>
      <w:marLeft w:val="0"/>
      <w:marRight w:val="0"/>
      <w:marTop w:val="0"/>
      <w:marBottom w:val="0"/>
      <w:divBdr>
        <w:top w:val="none" w:sz="0" w:space="0" w:color="auto"/>
        <w:left w:val="none" w:sz="0" w:space="0" w:color="auto"/>
        <w:bottom w:val="none" w:sz="0" w:space="0" w:color="auto"/>
        <w:right w:val="none" w:sz="0" w:space="0" w:color="auto"/>
      </w:divBdr>
    </w:div>
    <w:div w:id="1213536728">
      <w:bodyDiv w:val="1"/>
      <w:marLeft w:val="0"/>
      <w:marRight w:val="0"/>
      <w:marTop w:val="0"/>
      <w:marBottom w:val="0"/>
      <w:divBdr>
        <w:top w:val="none" w:sz="0" w:space="0" w:color="auto"/>
        <w:left w:val="none" w:sz="0" w:space="0" w:color="auto"/>
        <w:bottom w:val="none" w:sz="0" w:space="0" w:color="auto"/>
        <w:right w:val="none" w:sz="0" w:space="0" w:color="auto"/>
      </w:divBdr>
    </w:div>
    <w:div w:id="1213618776">
      <w:bodyDiv w:val="1"/>
      <w:marLeft w:val="0"/>
      <w:marRight w:val="0"/>
      <w:marTop w:val="0"/>
      <w:marBottom w:val="0"/>
      <w:divBdr>
        <w:top w:val="none" w:sz="0" w:space="0" w:color="auto"/>
        <w:left w:val="none" w:sz="0" w:space="0" w:color="auto"/>
        <w:bottom w:val="none" w:sz="0" w:space="0" w:color="auto"/>
        <w:right w:val="none" w:sz="0" w:space="0" w:color="auto"/>
      </w:divBdr>
    </w:div>
    <w:div w:id="1213806095">
      <w:bodyDiv w:val="1"/>
      <w:marLeft w:val="0"/>
      <w:marRight w:val="0"/>
      <w:marTop w:val="0"/>
      <w:marBottom w:val="0"/>
      <w:divBdr>
        <w:top w:val="none" w:sz="0" w:space="0" w:color="auto"/>
        <w:left w:val="none" w:sz="0" w:space="0" w:color="auto"/>
        <w:bottom w:val="none" w:sz="0" w:space="0" w:color="auto"/>
        <w:right w:val="none" w:sz="0" w:space="0" w:color="auto"/>
      </w:divBdr>
    </w:div>
    <w:div w:id="1213881988">
      <w:bodyDiv w:val="1"/>
      <w:marLeft w:val="0"/>
      <w:marRight w:val="0"/>
      <w:marTop w:val="0"/>
      <w:marBottom w:val="0"/>
      <w:divBdr>
        <w:top w:val="none" w:sz="0" w:space="0" w:color="auto"/>
        <w:left w:val="none" w:sz="0" w:space="0" w:color="auto"/>
        <w:bottom w:val="none" w:sz="0" w:space="0" w:color="auto"/>
        <w:right w:val="none" w:sz="0" w:space="0" w:color="auto"/>
      </w:divBdr>
    </w:div>
    <w:div w:id="1213928065">
      <w:bodyDiv w:val="1"/>
      <w:marLeft w:val="0"/>
      <w:marRight w:val="0"/>
      <w:marTop w:val="0"/>
      <w:marBottom w:val="0"/>
      <w:divBdr>
        <w:top w:val="none" w:sz="0" w:space="0" w:color="auto"/>
        <w:left w:val="none" w:sz="0" w:space="0" w:color="auto"/>
        <w:bottom w:val="none" w:sz="0" w:space="0" w:color="auto"/>
        <w:right w:val="none" w:sz="0" w:space="0" w:color="auto"/>
      </w:divBdr>
    </w:div>
    <w:div w:id="1214079875">
      <w:bodyDiv w:val="1"/>
      <w:marLeft w:val="0"/>
      <w:marRight w:val="0"/>
      <w:marTop w:val="0"/>
      <w:marBottom w:val="0"/>
      <w:divBdr>
        <w:top w:val="none" w:sz="0" w:space="0" w:color="auto"/>
        <w:left w:val="none" w:sz="0" w:space="0" w:color="auto"/>
        <w:bottom w:val="none" w:sz="0" w:space="0" w:color="auto"/>
        <w:right w:val="none" w:sz="0" w:space="0" w:color="auto"/>
      </w:divBdr>
    </w:div>
    <w:div w:id="1214124303">
      <w:bodyDiv w:val="1"/>
      <w:marLeft w:val="0"/>
      <w:marRight w:val="0"/>
      <w:marTop w:val="0"/>
      <w:marBottom w:val="0"/>
      <w:divBdr>
        <w:top w:val="none" w:sz="0" w:space="0" w:color="auto"/>
        <w:left w:val="none" w:sz="0" w:space="0" w:color="auto"/>
        <w:bottom w:val="none" w:sz="0" w:space="0" w:color="auto"/>
        <w:right w:val="none" w:sz="0" w:space="0" w:color="auto"/>
      </w:divBdr>
    </w:div>
    <w:div w:id="1214152534">
      <w:bodyDiv w:val="1"/>
      <w:marLeft w:val="0"/>
      <w:marRight w:val="0"/>
      <w:marTop w:val="0"/>
      <w:marBottom w:val="0"/>
      <w:divBdr>
        <w:top w:val="none" w:sz="0" w:space="0" w:color="auto"/>
        <w:left w:val="none" w:sz="0" w:space="0" w:color="auto"/>
        <w:bottom w:val="none" w:sz="0" w:space="0" w:color="auto"/>
        <w:right w:val="none" w:sz="0" w:space="0" w:color="auto"/>
      </w:divBdr>
    </w:div>
    <w:div w:id="1214199044">
      <w:bodyDiv w:val="1"/>
      <w:marLeft w:val="0"/>
      <w:marRight w:val="0"/>
      <w:marTop w:val="0"/>
      <w:marBottom w:val="0"/>
      <w:divBdr>
        <w:top w:val="none" w:sz="0" w:space="0" w:color="auto"/>
        <w:left w:val="none" w:sz="0" w:space="0" w:color="auto"/>
        <w:bottom w:val="none" w:sz="0" w:space="0" w:color="auto"/>
        <w:right w:val="none" w:sz="0" w:space="0" w:color="auto"/>
      </w:divBdr>
    </w:div>
    <w:div w:id="1214269062">
      <w:bodyDiv w:val="1"/>
      <w:marLeft w:val="0"/>
      <w:marRight w:val="0"/>
      <w:marTop w:val="0"/>
      <w:marBottom w:val="0"/>
      <w:divBdr>
        <w:top w:val="none" w:sz="0" w:space="0" w:color="auto"/>
        <w:left w:val="none" w:sz="0" w:space="0" w:color="auto"/>
        <w:bottom w:val="none" w:sz="0" w:space="0" w:color="auto"/>
        <w:right w:val="none" w:sz="0" w:space="0" w:color="auto"/>
      </w:divBdr>
    </w:div>
    <w:div w:id="1214273193">
      <w:bodyDiv w:val="1"/>
      <w:marLeft w:val="0"/>
      <w:marRight w:val="0"/>
      <w:marTop w:val="0"/>
      <w:marBottom w:val="0"/>
      <w:divBdr>
        <w:top w:val="none" w:sz="0" w:space="0" w:color="auto"/>
        <w:left w:val="none" w:sz="0" w:space="0" w:color="auto"/>
        <w:bottom w:val="none" w:sz="0" w:space="0" w:color="auto"/>
        <w:right w:val="none" w:sz="0" w:space="0" w:color="auto"/>
      </w:divBdr>
    </w:div>
    <w:div w:id="1214384576">
      <w:bodyDiv w:val="1"/>
      <w:marLeft w:val="0"/>
      <w:marRight w:val="0"/>
      <w:marTop w:val="0"/>
      <w:marBottom w:val="0"/>
      <w:divBdr>
        <w:top w:val="none" w:sz="0" w:space="0" w:color="auto"/>
        <w:left w:val="none" w:sz="0" w:space="0" w:color="auto"/>
        <w:bottom w:val="none" w:sz="0" w:space="0" w:color="auto"/>
        <w:right w:val="none" w:sz="0" w:space="0" w:color="auto"/>
      </w:divBdr>
    </w:div>
    <w:div w:id="1214462054">
      <w:bodyDiv w:val="1"/>
      <w:marLeft w:val="0"/>
      <w:marRight w:val="0"/>
      <w:marTop w:val="0"/>
      <w:marBottom w:val="0"/>
      <w:divBdr>
        <w:top w:val="none" w:sz="0" w:space="0" w:color="auto"/>
        <w:left w:val="none" w:sz="0" w:space="0" w:color="auto"/>
        <w:bottom w:val="none" w:sz="0" w:space="0" w:color="auto"/>
        <w:right w:val="none" w:sz="0" w:space="0" w:color="auto"/>
      </w:divBdr>
    </w:div>
    <w:div w:id="1214466082">
      <w:bodyDiv w:val="1"/>
      <w:marLeft w:val="0"/>
      <w:marRight w:val="0"/>
      <w:marTop w:val="0"/>
      <w:marBottom w:val="0"/>
      <w:divBdr>
        <w:top w:val="none" w:sz="0" w:space="0" w:color="auto"/>
        <w:left w:val="none" w:sz="0" w:space="0" w:color="auto"/>
        <w:bottom w:val="none" w:sz="0" w:space="0" w:color="auto"/>
        <w:right w:val="none" w:sz="0" w:space="0" w:color="auto"/>
      </w:divBdr>
    </w:div>
    <w:div w:id="1214733812">
      <w:bodyDiv w:val="1"/>
      <w:marLeft w:val="0"/>
      <w:marRight w:val="0"/>
      <w:marTop w:val="0"/>
      <w:marBottom w:val="0"/>
      <w:divBdr>
        <w:top w:val="none" w:sz="0" w:space="0" w:color="auto"/>
        <w:left w:val="none" w:sz="0" w:space="0" w:color="auto"/>
        <w:bottom w:val="none" w:sz="0" w:space="0" w:color="auto"/>
        <w:right w:val="none" w:sz="0" w:space="0" w:color="auto"/>
      </w:divBdr>
    </w:div>
    <w:div w:id="1214734446">
      <w:bodyDiv w:val="1"/>
      <w:marLeft w:val="0"/>
      <w:marRight w:val="0"/>
      <w:marTop w:val="0"/>
      <w:marBottom w:val="0"/>
      <w:divBdr>
        <w:top w:val="none" w:sz="0" w:space="0" w:color="auto"/>
        <w:left w:val="none" w:sz="0" w:space="0" w:color="auto"/>
        <w:bottom w:val="none" w:sz="0" w:space="0" w:color="auto"/>
        <w:right w:val="none" w:sz="0" w:space="0" w:color="auto"/>
      </w:divBdr>
    </w:div>
    <w:div w:id="1214737338">
      <w:bodyDiv w:val="1"/>
      <w:marLeft w:val="0"/>
      <w:marRight w:val="0"/>
      <w:marTop w:val="0"/>
      <w:marBottom w:val="0"/>
      <w:divBdr>
        <w:top w:val="none" w:sz="0" w:space="0" w:color="auto"/>
        <w:left w:val="none" w:sz="0" w:space="0" w:color="auto"/>
        <w:bottom w:val="none" w:sz="0" w:space="0" w:color="auto"/>
        <w:right w:val="none" w:sz="0" w:space="0" w:color="auto"/>
      </w:divBdr>
    </w:div>
    <w:div w:id="1214805780">
      <w:bodyDiv w:val="1"/>
      <w:marLeft w:val="0"/>
      <w:marRight w:val="0"/>
      <w:marTop w:val="0"/>
      <w:marBottom w:val="0"/>
      <w:divBdr>
        <w:top w:val="none" w:sz="0" w:space="0" w:color="auto"/>
        <w:left w:val="none" w:sz="0" w:space="0" w:color="auto"/>
        <w:bottom w:val="none" w:sz="0" w:space="0" w:color="auto"/>
        <w:right w:val="none" w:sz="0" w:space="0" w:color="auto"/>
      </w:divBdr>
    </w:div>
    <w:div w:id="1214921911">
      <w:bodyDiv w:val="1"/>
      <w:marLeft w:val="0"/>
      <w:marRight w:val="0"/>
      <w:marTop w:val="0"/>
      <w:marBottom w:val="0"/>
      <w:divBdr>
        <w:top w:val="none" w:sz="0" w:space="0" w:color="auto"/>
        <w:left w:val="none" w:sz="0" w:space="0" w:color="auto"/>
        <w:bottom w:val="none" w:sz="0" w:space="0" w:color="auto"/>
        <w:right w:val="none" w:sz="0" w:space="0" w:color="auto"/>
      </w:divBdr>
    </w:div>
    <w:div w:id="1214922838">
      <w:bodyDiv w:val="1"/>
      <w:marLeft w:val="0"/>
      <w:marRight w:val="0"/>
      <w:marTop w:val="0"/>
      <w:marBottom w:val="0"/>
      <w:divBdr>
        <w:top w:val="none" w:sz="0" w:space="0" w:color="auto"/>
        <w:left w:val="none" w:sz="0" w:space="0" w:color="auto"/>
        <w:bottom w:val="none" w:sz="0" w:space="0" w:color="auto"/>
        <w:right w:val="none" w:sz="0" w:space="0" w:color="auto"/>
      </w:divBdr>
    </w:div>
    <w:div w:id="1215000855">
      <w:bodyDiv w:val="1"/>
      <w:marLeft w:val="0"/>
      <w:marRight w:val="0"/>
      <w:marTop w:val="0"/>
      <w:marBottom w:val="0"/>
      <w:divBdr>
        <w:top w:val="none" w:sz="0" w:space="0" w:color="auto"/>
        <w:left w:val="none" w:sz="0" w:space="0" w:color="auto"/>
        <w:bottom w:val="none" w:sz="0" w:space="0" w:color="auto"/>
        <w:right w:val="none" w:sz="0" w:space="0" w:color="auto"/>
      </w:divBdr>
    </w:div>
    <w:div w:id="1215001780">
      <w:bodyDiv w:val="1"/>
      <w:marLeft w:val="0"/>
      <w:marRight w:val="0"/>
      <w:marTop w:val="0"/>
      <w:marBottom w:val="0"/>
      <w:divBdr>
        <w:top w:val="none" w:sz="0" w:space="0" w:color="auto"/>
        <w:left w:val="none" w:sz="0" w:space="0" w:color="auto"/>
        <w:bottom w:val="none" w:sz="0" w:space="0" w:color="auto"/>
        <w:right w:val="none" w:sz="0" w:space="0" w:color="auto"/>
      </w:divBdr>
    </w:div>
    <w:div w:id="1215001962">
      <w:bodyDiv w:val="1"/>
      <w:marLeft w:val="0"/>
      <w:marRight w:val="0"/>
      <w:marTop w:val="0"/>
      <w:marBottom w:val="0"/>
      <w:divBdr>
        <w:top w:val="none" w:sz="0" w:space="0" w:color="auto"/>
        <w:left w:val="none" w:sz="0" w:space="0" w:color="auto"/>
        <w:bottom w:val="none" w:sz="0" w:space="0" w:color="auto"/>
        <w:right w:val="none" w:sz="0" w:space="0" w:color="auto"/>
      </w:divBdr>
    </w:div>
    <w:div w:id="1215004378">
      <w:bodyDiv w:val="1"/>
      <w:marLeft w:val="0"/>
      <w:marRight w:val="0"/>
      <w:marTop w:val="0"/>
      <w:marBottom w:val="0"/>
      <w:divBdr>
        <w:top w:val="none" w:sz="0" w:space="0" w:color="auto"/>
        <w:left w:val="none" w:sz="0" w:space="0" w:color="auto"/>
        <w:bottom w:val="none" w:sz="0" w:space="0" w:color="auto"/>
        <w:right w:val="none" w:sz="0" w:space="0" w:color="auto"/>
      </w:divBdr>
    </w:div>
    <w:div w:id="1215048741">
      <w:bodyDiv w:val="1"/>
      <w:marLeft w:val="0"/>
      <w:marRight w:val="0"/>
      <w:marTop w:val="0"/>
      <w:marBottom w:val="0"/>
      <w:divBdr>
        <w:top w:val="none" w:sz="0" w:space="0" w:color="auto"/>
        <w:left w:val="none" w:sz="0" w:space="0" w:color="auto"/>
        <w:bottom w:val="none" w:sz="0" w:space="0" w:color="auto"/>
        <w:right w:val="none" w:sz="0" w:space="0" w:color="auto"/>
      </w:divBdr>
    </w:div>
    <w:div w:id="1215197551">
      <w:bodyDiv w:val="1"/>
      <w:marLeft w:val="0"/>
      <w:marRight w:val="0"/>
      <w:marTop w:val="0"/>
      <w:marBottom w:val="0"/>
      <w:divBdr>
        <w:top w:val="none" w:sz="0" w:space="0" w:color="auto"/>
        <w:left w:val="none" w:sz="0" w:space="0" w:color="auto"/>
        <w:bottom w:val="none" w:sz="0" w:space="0" w:color="auto"/>
        <w:right w:val="none" w:sz="0" w:space="0" w:color="auto"/>
      </w:divBdr>
    </w:div>
    <w:div w:id="1215199123">
      <w:bodyDiv w:val="1"/>
      <w:marLeft w:val="0"/>
      <w:marRight w:val="0"/>
      <w:marTop w:val="0"/>
      <w:marBottom w:val="0"/>
      <w:divBdr>
        <w:top w:val="none" w:sz="0" w:space="0" w:color="auto"/>
        <w:left w:val="none" w:sz="0" w:space="0" w:color="auto"/>
        <w:bottom w:val="none" w:sz="0" w:space="0" w:color="auto"/>
        <w:right w:val="none" w:sz="0" w:space="0" w:color="auto"/>
      </w:divBdr>
    </w:div>
    <w:div w:id="1215199500">
      <w:bodyDiv w:val="1"/>
      <w:marLeft w:val="0"/>
      <w:marRight w:val="0"/>
      <w:marTop w:val="0"/>
      <w:marBottom w:val="0"/>
      <w:divBdr>
        <w:top w:val="none" w:sz="0" w:space="0" w:color="auto"/>
        <w:left w:val="none" w:sz="0" w:space="0" w:color="auto"/>
        <w:bottom w:val="none" w:sz="0" w:space="0" w:color="auto"/>
        <w:right w:val="none" w:sz="0" w:space="0" w:color="auto"/>
      </w:divBdr>
    </w:div>
    <w:div w:id="1215239419">
      <w:bodyDiv w:val="1"/>
      <w:marLeft w:val="0"/>
      <w:marRight w:val="0"/>
      <w:marTop w:val="0"/>
      <w:marBottom w:val="0"/>
      <w:divBdr>
        <w:top w:val="none" w:sz="0" w:space="0" w:color="auto"/>
        <w:left w:val="none" w:sz="0" w:space="0" w:color="auto"/>
        <w:bottom w:val="none" w:sz="0" w:space="0" w:color="auto"/>
        <w:right w:val="none" w:sz="0" w:space="0" w:color="auto"/>
      </w:divBdr>
    </w:div>
    <w:div w:id="1215386381">
      <w:bodyDiv w:val="1"/>
      <w:marLeft w:val="0"/>
      <w:marRight w:val="0"/>
      <w:marTop w:val="0"/>
      <w:marBottom w:val="0"/>
      <w:divBdr>
        <w:top w:val="none" w:sz="0" w:space="0" w:color="auto"/>
        <w:left w:val="none" w:sz="0" w:space="0" w:color="auto"/>
        <w:bottom w:val="none" w:sz="0" w:space="0" w:color="auto"/>
        <w:right w:val="none" w:sz="0" w:space="0" w:color="auto"/>
      </w:divBdr>
    </w:div>
    <w:div w:id="1215388486">
      <w:bodyDiv w:val="1"/>
      <w:marLeft w:val="0"/>
      <w:marRight w:val="0"/>
      <w:marTop w:val="0"/>
      <w:marBottom w:val="0"/>
      <w:divBdr>
        <w:top w:val="none" w:sz="0" w:space="0" w:color="auto"/>
        <w:left w:val="none" w:sz="0" w:space="0" w:color="auto"/>
        <w:bottom w:val="none" w:sz="0" w:space="0" w:color="auto"/>
        <w:right w:val="none" w:sz="0" w:space="0" w:color="auto"/>
      </w:divBdr>
    </w:div>
    <w:div w:id="1215432540">
      <w:bodyDiv w:val="1"/>
      <w:marLeft w:val="0"/>
      <w:marRight w:val="0"/>
      <w:marTop w:val="0"/>
      <w:marBottom w:val="0"/>
      <w:divBdr>
        <w:top w:val="none" w:sz="0" w:space="0" w:color="auto"/>
        <w:left w:val="none" w:sz="0" w:space="0" w:color="auto"/>
        <w:bottom w:val="none" w:sz="0" w:space="0" w:color="auto"/>
        <w:right w:val="none" w:sz="0" w:space="0" w:color="auto"/>
      </w:divBdr>
    </w:div>
    <w:div w:id="1215463398">
      <w:bodyDiv w:val="1"/>
      <w:marLeft w:val="0"/>
      <w:marRight w:val="0"/>
      <w:marTop w:val="0"/>
      <w:marBottom w:val="0"/>
      <w:divBdr>
        <w:top w:val="none" w:sz="0" w:space="0" w:color="auto"/>
        <w:left w:val="none" w:sz="0" w:space="0" w:color="auto"/>
        <w:bottom w:val="none" w:sz="0" w:space="0" w:color="auto"/>
        <w:right w:val="none" w:sz="0" w:space="0" w:color="auto"/>
      </w:divBdr>
    </w:div>
    <w:div w:id="1215502200">
      <w:bodyDiv w:val="1"/>
      <w:marLeft w:val="0"/>
      <w:marRight w:val="0"/>
      <w:marTop w:val="0"/>
      <w:marBottom w:val="0"/>
      <w:divBdr>
        <w:top w:val="none" w:sz="0" w:space="0" w:color="auto"/>
        <w:left w:val="none" w:sz="0" w:space="0" w:color="auto"/>
        <w:bottom w:val="none" w:sz="0" w:space="0" w:color="auto"/>
        <w:right w:val="none" w:sz="0" w:space="0" w:color="auto"/>
      </w:divBdr>
    </w:div>
    <w:div w:id="1215777154">
      <w:bodyDiv w:val="1"/>
      <w:marLeft w:val="0"/>
      <w:marRight w:val="0"/>
      <w:marTop w:val="0"/>
      <w:marBottom w:val="0"/>
      <w:divBdr>
        <w:top w:val="none" w:sz="0" w:space="0" w:color="auto"/>
        <w:left w:val="none" w:sz="0" w:space="0" w:color="auto"/>
        <w:bottom w:val="none" w:sz="0" w:space="0" w:color="auto"/>
        <w:right w:val="none" w:sz="0" w:space="0" w:color="auto"/>
      </w:divBdr>
    </w:div>
    <w:div w:id="1215846253">
      <w:bodyDiv w:val="1"/>
      <w:marLeft w:val="0"/>
      <w:marRight w:val="0"/>
      <w:marTop w:val="0"/>
      <w:marBottom w:val="0"/>
      <w:divBdr>
        <w:top w:val="none" w:sz="0" w:space="0" w:color="auto"/>
        <w:left w:val="none" w:sz="0" w:space="0" w:color="auto"/>
        <w:bottom w:val="none" w:sz="0" w:space="0" w:color="auto"/>
        <w:right w:val="none" w:sz="0" w:space="0" w:color="auto"/>
      </w:divBdr>
    </w:div>
    <w:div w:id="1215894133">
      <w:bodyDiv w:val="1"/>
      <w:marLeft w:val="0"/>
      <w:marRight w:val="0"/>
      <w:marTop w:val="0"/>
      <w:marBottom w:val="0"/>
      <w:divBdr>
        <w:top w:val="none" w:sz="0" w:space="0" w:color="auto"/>
        <w:left w:val="none" w:sz="0" w:space="0" w:color="auto"/>
        <w:bottom w:val="none" w:sz="0" w:space="0" w:color="auto"/>
        <w:right w:val="none" w:sz="0" w:space="0" w:color="auto"/>
      </w:divBdr>
    </w:div>
    <w:div w:id="1216087185">
      <w:bodyDiv w:val="1"/>
      <w:marLeft w:val="0"/>
      <w:marRight w:val="0"/>
      <w:marTop w:val="0"/>
      <w:marBottom w:val="0"/>
      <w:divBdr>
        <w:top w:val="none" w:sz="0" w:space="0" w:color="auto"/>
        <w:left w:val="none" w:sz="0" w:space="0" w:color="auto"/>
        <w:bottom w:val="none" w:sz="0" w:space="0" w:color="auto"/>
        <w:right w:val="none" w:sz="0" w:space="0" w:color="auto"/>
      </w:divBdr>
    </w:div>
    <w:div w:id="1216088736">
      <w:bodyDiv w:val="1"/>
      <w:marLeft w:val="0"/>
      <w:marRight w:val="0"/>
      <w:marTop w:val="0"/>
      <w:marBottom w:val="0"/>
      <w:divBdr>
        <w:top w:val="none" w:sz="0" w:space="0" w:color="auto"/>
        <w:left w:val="none" w:sz="0" w:space="0" w:color="auto"/>
        <w:bottom w:val="none" w:sz="0" w:space="0" w:color="auto"/>
        <w:right w:val="none" w:sz="0" w:space="0" w:color="auto"/>
      </w:divBdr>
    </w:div>
    <w:div w:id="1216236266">
      <w:bodyDiv w:val="1"/>
      <w:marLeft w:val="0"/>
      <w:marRight w:val="0"/>
      <w:marTop w:val="0"/>
      <w:marBottom w:val="0"/>
      <w:divBdr>
        <w:top w:val="none" w:sz="0" w:space="0" w:color="auto"/>
        <w:left w:val="none" w:sz="0" w:space="0" w:color="auto"/>
        <w:bottom w:val="none" w:sz="0" w:space="0" w:color="auto"/>
        <w:right w:val="none" w:sz="0" w:space="0" w:color="auto"/>
      </w:divBdr>
    </w:div>
    <w:div w:id="1216240640">
      <w:bodyDiv w:val="1"/>
      <w:marLeft w:val="0"/>
      <w:marRight w:val="0"/>
      <w:marTop w:val="0"/>
      <w:marBottom w:val="0"/>
      <w:divBdr>
        <w:top w:val="none" w:sz="0" w:space="0" w:color="auto"/>
        <w:left w:val="none" w:sz="0" w:space="0" w:color="auto"/>
        <w:bottom w:val="none" w:sz="0" w:space="0" w:color="auto"/>
        <w:right w:val="none" w:sz="0" w:space="0" w:color="auto"/>
      </w:divBdr>
    </w:div>
    <w:div w:id="1216351620">
      <w:bodyDiv w:val="1"/>
      <w:marLeft w:val="0"/>
      <w:marRight w:val="0"/>
      <w:marTop w:val="0"/>
      <w:marBottom w:val="0"/>
      <w:divBdr>
        <w:top w:val="none" w:sz="0" w:space="0" w:color="auto"/>
        <w:left w:val="none" w:sz="0" w:space="0" w:color="auto"/>
        <w:bottom w:val="none" w:sz="0" w:space="0" w:color="auto"/>
        <w:right w:val="none" w:sz="0" w:space="0" w:color="auto"/>
      </w:divBdr>
    </w:div>
    <w:div w:id="1216352465">
      <w:bodyDiv w:val="1"/>
      <w:marLeft w:val="0"/>
      <w:marRight w:val="0"/>
      <w:marTop w:val="0"/>
      <w:marBottom w:val="0"/>
      <w:divBdr>
        <w:top w:val="none" w:sz="0" w:space="0" w:color="auto"/>
        <w:left w:val="none" w:sz="0" w:space="0" w:color="auto"/>
        <w:bottom w:val="none" w:sz="0" w:space="0" w:color="auto"/>
        <w:right w:val="none" w:sz="0" w:space="0" w:color="auto"/>
      </w:divBdr>
    </w:div>
    <w:div w:id="1216356937">
      <w:bodyDiv w:val="1"/>
      <w:marLeft w:val="0"/>
      <w:marRight w:val="0"/>
      <w:marTop w:val="0"/>
      <w:marBottom w:val="0"/>
      <w:divBdr>
        <w:top w:val="none" w:sz="0" w:space="0" w:color="auto"/>
        <w:left w:val="none" w:sz="0" w:space="0" w:color="auto"/>
        <w:bottom w:val="none" w:sz="0" w:space="0" w:color="auto"/>
        <w:right w:val="none" w:sz="0" w:space="0" w:color="auto"/>
      </w:divBdr>
    </w:div>
    <w:div w:id="1216428155">
      <w:bodyDiv w:val="1"/>
      <w:marLeft w:val="0"/>
      <w:marRight w:val="0"/>
      <w:marTop w:val="0"/>
      <w:marBottom w:val="0"/>
      <w:divBdr>
        <w:top w:val="none" w:sz="0" w:space="0" w:color="auto"/>
        <w:left w:val="none" w:sz="0" w:space="0" w:color="auto"/>
        <w:bottom w:val="none" w:sz="0" w:space="0" w:color="auto"/>
        <w:right w:val="none" w:sz="0" w:space="0" w:color="auto"/>
      </w:divBdr>
    </w:div>
    <w:div w:id="1216433357">
      <w:bodyDiv w:val="1"/>
      <w:marLeft w:val="0"/>
      <w:marRight w:val="0"/>
      <w:marTop w:val="0"/>
      <w:marBottom w:val="0"/>
      <w:divBdr>
        <w:top w:val="none" w:sz="0" w:space="0" w:color="auto"/>
        <w:left w:val="none" w:sz="0" w:space="0" w:color="auto"/>
        <w:bottom w:val="none" w:sz="0" w:space="0" w:color="auto"/>
        <w:right w:val="none" w:sz="0" w:space="0" w:color="auto"/>
      </w:divBdr>
    </w:div>
    <w:div w:id="1216509062">
      <w:bodyDiv w:val="1"/>
      <w:marLeft w:val="0"/>
      <w:marRight w:val="0"/>
      <w:marTop w:val="0"/>
      <w:marBottom w:val="0"/>
      <w:divBdr>
        <w:top w:val="none" w:sz="0" w:space="0" w:color="auto"/>
        <w:left w:val="none" w:sz="0" w:space="0" w:color="auto"/>
        <w:bottom w:val="none" w:sz="0" w:space="0" w:color="auto"/>
        <w:right w:val="none" w:sz="0" w:space="0" w:color="auto"/>
      </w:divBdr>
    </w:div>
    <w:div w:id="1216509917">
      <w:bodyDiv w:val="1"/>
      <w:marLeft w:val="0"/>
      <w:marRight w:val="0"/>
      <w:marTop w:val="0"/>
      <w:marBottom w:val="0"/>
      <w:divBdr>
        <w:top w:val="none" w:sz="0" w:space="0" w:color="auto"/>
        <w:left w:val="none" w:sz="0" w:space="0" w:color="auto"/>
        <w:bottom w:val="none" w:sz="0" w:space="0" w:color="auto"/>
        <w:right w:val="none" w:sz="0" w:space="0" w:color="auto"/>
      </w:divBdr>
    </w:div>
    <w:div w:id="1216620087">
      <w:bodyDiv w:val="1"/>
      <w:marLeft w:val="0"/>
      <w:marRight w:val="0"/>
      <w:marTop w:val="0"/>
      <w:marBottom w:val="0"/>
      <w:divBdr>
        <w:top w:val="none" w:sz="0" w:space="0" w:color="auto"/>
        <w:left w:val="none" w:sz="0" w:space="0" w:color="auto"/>
        <w:bottom w:val="none" w:sz="0" w:space="0" w:color="auto"/>
        <w:right w:val="none" w:sz="0" w:space="0" w:color="auto"/>
      </w:divBdr>
    </w:div>
    <w:div w:id="1216621624">
      <w:bodyDiv w:val="1"/>
      <w:marLeft w:val="0"/>
      <w:marRight w:val="0"/>
      <w:marTop w:val="0"/>
      <w:marBottom w:val="0"/>
      <w:divBdr>
        <w:top w:val="none" w:sz="0" w:space="0" w:color="auto"/>
        <w:left w:val="none" w:sz="0" w:space="0" w:color="auto"/>
        <w:bottom w:val="none" w:sz="0" w:space="0" w:color="auto"/>
        <w:right w:val="none" w:sz="0" w:space="0" w:color="auto"/>
      </w:divBdr>
    </w:div>
    <w:div w:id="1216700810">
      <w:bodyDiv w:val="1"/>
      <w:marLeft w:val="0"/>
      <w:marRight w:val="0"/>
      <w:marTop w:val="0"/>
      <w:marBottom w:val="0"/>
      <w:divBdr>
        <w:top w:val="none" w:sz="0" w:space="0" w:color="auto"/>
        <w:left w:val="none" w:sz="0" w:space="0" w:color="auto"/>
        <w:bottom w:val="none" w:sz="0" w:space="0" w:color="auto"/>
        <w:right w:val="none" w:sz="0" w:space="0" w:color="auto"/>
      </w:divBdr>
    </w:div>
    <w:div w:id="1216702512">
      <w:bodyDiv w:val="1"/>
      <w:marLeft w:val="0"/>
      <w:marRight w:val="0"/>
      <w:marTop w:val="0"/>
      <w:marBottom w:val="0"/>
      <w:divBdr>
        <w:top w:val="none" w:sz="0" w:space="0" w:color="auto"/>
        <w:left w:val="none" w:sz="0" w:space="0" w:color="auto"/>
        <w:bottom w:val="none" w:sz="0" w:space="0" w:color="auto"/>
        <w:right w:val="none" w:sz="0" w:space="0" w:color="auto"/>
      </w:divBdr>
    </w:div>
    <w:div w:id="1216819201">
      <w:bodyDiv w:val="1"/>
      <w:marLeft w:val="0"/>
      <w:marRight w:val="0"/>
      <w:marTop w:val="0"/>
      <w:marBottom w:val="0"/>
      <w:divBdr>
        <w:top w:val="none" w:sz="0" w:space="0" w:color="auto"/>
        <w:left w:val="none" w:sz="0" w:space="0" w:color="auto"/>
        <w:bottom w:val="none" w:sz="0" w:space="0" w:color="auto"/>
        <w:right w:val="none" w:sz="0" w:space="0" w:color="auto"/>
      </w:divBdr>
    </w:div>
    <w:div w:id="1216939524">
      <w:bodyDiv w:val="1"/>
      <w:marLeft w:val="0"/>
      <w:marRight w:val="0"/>
      <w:marTop w:val="0"/>
      <w:marBottom w:val="0"/>
      <w:divBdr>
        <w:top w:val="none" w:sz="0" w:space="0" w:color="auto"/>
        <w:left w:val="none" w:sz="0" w:space="0" w:color="auto"/>
        <w:bottom w:val="none" w:sz="0" w:space="0" w:color="auto"/>
        <w:right w:val="none" w:sz="0" w:space="0" w:color="auto"/>
      </w:divBdr>
    </w:div>
    <w:div w:id="1217089018">
      <w:bodyDiv w:val="1"/>
      <w:marLeft w:val="0"/>
      <w:marRight w:val="0"/>
      <w:marTop w:val="0"/>
      <w:marBottom w:val="0"/>
      <w:divBdr>
        <w:top w:val="none" w:sz="0" w:space="0" w:color="auto"/>
        <w:left w:val="none" w:sz="0" w:space="0" w:color="auto"/>
        <w:bottom w:val="none" w:sz="0" w:space="0" w:color="auto"/>
        <w:right w:val="none" w:sz="0" w:space="0" w:color="auto"/>
      </w:divBdr>
    </w:div>
    <w:div w:id="1217161310">
      <w:bodyDiv w:val="1"/>
      <w:marLeft w:val="0"/>
      <w:marRight w:val="0"/>
      <w:marTop w:val="0"/>
      <w:marBottom w:val="0"/>
      <w:divBdr>
        <w:top w:val="none" w:sz="0" w:space="0" w:color="auto"/>
        <w:left w:val="none" w:sz="0" w:space="0" w:color="auto"/>
        <w:bottom w:val="none" w:sz="0" w:space="0" w:color="auto"/>
        <w:right w:val="none" w:sz="0" w:space="0" w:color="auto"/>
      </w:divBdr>
    </w:div>
    <w:div w:id="1217161555">
      <w:bodyDiv w:val="1"/>
      <w:marLeft w:val="0"/>
      <w:marRight w:val="0"/>
      <w:marTop w:val="0"/>
      <w:marBottom w:val="0"/>
      <w:divBdr>
        <w:top w:val="none" w:sz="0" w:space="0" w:color="auto"/>
        <w:left w:val="none" w:sz="0" w:space="0" w:color="auto"/>
        <w:bottom w:val="none" w:sz="0" w:space="0" w:color="auto"/>
        <w:right w:val="none" w:sz="0" w:space="0" w:color="auto"/>
      </w:divBdr>
    </w:div>
    <w:div w:id="1217278272">
      <w:bodyDiv w:val="1"/>
      <w:marLeft w:val="0"/>
      <w:marRight w:val="0"/>
      <w:marTop w:val="0"/>
      <w:marBottom w:val="0"/>
      <w:divBdr>
        <w:top w:val="none" w:sz="0" w:space="0" w:color="auto"/>
        <w:left w:val="none" w:sz="0" w:space="0" w:color="auto"/>
        <w:bottom w:val="none" w:sz="0" w:space="0" w:color="auto"/>
        <w:right w:val="none" w:sz="0" w:space="0" w:color="auto"/>
      </w:divBdr>
    </w:div>
    <w:div w:id="1217354218">
      <w:bodyDiv w:val="1"/>
      <w:marLeft w:val="0"/>
      <w:marRight w:val="0"/>
      <w:marTop w:val="0"/>
      <w:marBottom w:val="0"/>
      <w:divBdr>
        <w:top w:val="none" w:sz="0" w:space="0" w:color="auto"/>
        <w:left w:val="none" w:sz="0" w:space="0" w:color="auto"/>
        <w:bottom w:val="none" w:sz="0" w:space="0" w:color="auto"/>
        <w:right w:val="none" w:sz="0" w:space="0" w:color="auto"/>
      </w:divBdr>
    </w:div>
    <w:div w:id="1217471334">
      <w:bodyDiv w:val="1"/>
      <w:marLeft w:val="0"/>
      <w:marRight w:val="0"/>
      <w:marTop w:val="0"/>
      <w:marBottom w:val="0"/>
      <w:divBdr>
        <w:top w:val="none" w:sz="0" w:space="0" w:color="auto"/>
        <w:left w:val="none" w:sz="0" w:space="0" w:color="auto"/>
        <w:bottom w:val="none" w:sz="0" w:space="0" w:color="auto"/>
        <w:right w:val="none" w:sz="0" w:space="0" w:color="auto"/>
      </w:divBdr>
    </w:div>
    <w:div w:id="1217546357">
      <w:bodyDiv w:val="1"/>
      <w:marLeft w:val="0"/>
      <w:marRight w:val="0"/>
      <w:marTop w:val="0"/>
      <w:marBottom w:val="0"/>
      <w:divBdr>
        <w:top w:val="none" w:sz="0" w:space="0" w:color="auto"/>
        <w:left w:val="none" w:sz="0" w:space="0" w:color="auto"/>
        <w:bottom w:val="none" w:sz="0" w:space="0" w:color="auto"/>
        <w:right w:val="none" w:sz="0" w:space="0" w:color="auto"/>
      </w:divBdr>
    </w:div>
    <w:div w:id="1217624253">
      <w:bodyDiv w:val="1"/>
      <w:marLeft w:val="0"/>
      <w:marRight w:val="0"/>
      <w:marTop w:val="0"/>
      <w:marBottom w:val="0"/>
      <w:divBdr>
        <w:top w:val="none" w:sz="0" w:space="0" w:color="auto"/>
        <w:left w:val="none" w:sz="0" w:space="0" w:color="auto"/>
        <w:bottom w:val="none" w:sz="0" w:space="0" w:color="auto"/>
        <w:right w:val="none" w:sz="0" w:space="0" w:color="auto"/>
      </w:divBdr>
    </w:div>
    <w:div w:id="1217663960">
      <w:bodyDiv w:val="1"/>
      <w:marLeft w:val="0"/>
      <w:marRight w:val="0"/>
      <w:marTop w:val="0"/>
      <w:marBottom w:val="0"/>
      <w:divBdr>
        <w:top w:val="none" w:sz="0" w:space="0" w:color="auto"/>
        <w:left w:val="none" w:sz="0" w:space="0" w:color="auto"/>
        <w:bottom w:val="none" w:sz="0" w:space="0" w:color="auto"/>
        <w:right w:val="none" w:sz="0" w:space="0" w:color="auto"/>
      </w:divBdr>
    </w:div>
    <w:div w:id="1217811331">
      <w:bodyDiv w:val="1"/>
      <w:marLeft w:val="0"/>
      <w:marRight w:val="0"/>
      <w:marTop w:val="0"/>
      <w:marBottom w:val="0"/>
      <w:divBdr>
        <w:top w:val="none" w:sz="0" w:space="0" w:color="auto"/>
        <w:left w:val="none" w:sz="0" w:space="0" w:color="auto"/>
        <w:bottom w:val="none" w:sz="0" w:space="0" w:color="auto"/>
        <w:right w:val="none" w:sz="0" w:space="0" w:color="auto"/>
      </w:divBdr>
    </w:div>
    <w:div w:id="1217932495">
      <w:bodyDiv w:val="1"/>
      <w:marLeft w:val="0"/>
      <w:marRight w:val="0"/>
      <w:marTop w:val="0"/>
      <w:marBottom w:val="0"/>
      <w:divBdr>
        <w:top w:val="none" w:sz="0" w:space="0" w:color="auto"/>
        <w:left w:val="none" w:sz="0" w:space="0" w:color="auto"/>
        <w:bottom w:val="none" w:sz="0" w:space="0" w:color="auto"/>
        <w:right w:val="none" w:sz="0" w:space="0" w:color="auto"/>
      </w:divBdr>
    </w:div>
    <w:div w:id="1218014007">
      <w:bodyDiv w:val="1"/>
      <w:marLeft w:val="0"/>
      <w:marRight w:val="0"/>
      <w:marTop w:val="0"/>
      <w:marBottom w:val="0"/>
      <w:divBdr>
        <w:top w:val="none" w:sz="0" w:space="0" w:color="auto"/>
        <w:left w:val="none" w:sz="0" w:space="0" w:color="auto"/>
        <w:bottom w:val="none" w:sz="0" w:space="0" w:color="auto"/>
        <w:right w:val="none" w:sz="0" w:space="0" w:color="auto"/>
      </w:divBdr>
    </w:div>
    <w:div w:id="1218323729">
      <w:bodyDiv w:val="1"/>
      <w:marLeft w:val="0"/>
      <w:marRight w:val="0"/>
      <w:marTop w:val="0"/>
      <w:marBottom w:val="0"/>
      <w:divBdr>
        <w:top w:val="none" w:sz="0" w:space="0" w:color="auto"/>
        <w:left w:val="none" w:sz="0" w:space="0" w:color="auto"/>
        <w:bottom w:val="none" w:sz="0" w:space="0" w:color="auto"/>
        <w:right w:val="none" w:sz="0" w:space="0" w:color="auto"/>
      </w:divBdr>
    </w:div>
    <w:div w:id="1218396055">
      <w:bodyDiv w:val="1"/>
      <w:marLeft w:val="0"/>
      <w:marRight w:val="0"/>
      <w:marTop w:val="0"/>
      <w:marBottom w:val="0"/>
      <w:divBdr>
        <w:top w:val="none" w:sz="0" w:space="0" w:color="auto"/>
        <w:left w:val="none" w:sz="0" w:space="0" w:color="auto"/>
        <w:bottom w:val="none" w:sz="0" w:space="0" w:color="auto"/>
        <w:right w:val="none" w:sz="0" w:space="0" w:color="auto"/>
      </w:divBdr>
    </w:div>
    <w:div w:id="1218400823">
      <w:bodyDiv w:val="1"/>
      <w:marLeft w:val="0"/>
      <w:marRight w:val="0"/>
      <w:marTop w:val="0"/>
      <w:marBottom w:val="0"/>
      <w:divBdr>
        <w:top w:val="none" w:sz="0" w:space="0" w:color="auto"/>
        <w:left w:val="none" w:sz="0" w:space="0" w:color="auto"/>
        <w:bottom w:val="none" w:sz="0" w:space="0" w:color="auto"/>
        <w:right w:val="none" w:sz="0" w:space="0" w:color="auto"/>
      </w:divBdr>
    </w:div>
    <w:div w:id="1218467424">
      <w:bodyDiv w:val="1"/>
      <w:marLeft w:val="0"/>
      <w:marRight w:val="0"/>
      <w:marTop w:val="0"/>
      <w:marBottom w:val="0"/>
      <w:divBdr>
        <w:top w:val="none" w:sz="0" w:space="0" w:color="auto"/>
        <w:left w:val="none" w:sz="0" w:space="0" w:color="auto"/>
        <w:bottom w:val="none" w:sz="0" w:space="0" w:color="auto"/>
        <w:right w:val="none" w:sz="0" w:space="0" w:color="auto"/>
      </w:divBdr>
    </w:div>
    <w:div w:id="1218473784">
      <w:bodyDiv w:val="1"/>
      <w:marLeft w:val="0"/>
      <w:marRight w:val="0"/>
      <w:marTop w:val="0"/>
      <w:marBottom w:val="0"/>
      <w:divBdr>
        <w:top w:val="none" w:sz="0" w:space="0" w:color="auto"/>
        <w:left w:val="none" w:sz="0" w:space="0" w:color="auto"/>
        <w:bottom w:val="none" w:sz="0" w:space="0" w:color="auto"/>
        <w:right w:val="none" w:sz="0" w:space="0" w:color="auto"/>
      </w:divBdr>
    </w:div>
    <w:div w:id="1218475323">
      <w:bodyDiv w:val="1"/>
      <w:marLeft w:val="0"/>
      <w:marRight w:val="0"/>
      <w:marTop w:val="0"/>
      <w:marBottom w:val="0"/>
      <w:divBdr>
        <w:top w:val="none" w:sz="0" w:space="0" w:color="auto"/>
        <w:left w:val="none" w:sz="0" w:space="0" w:color="auto"/>
        <w:bottom w:val="none" w:sz="0" w:space="0" w:color="auto"/>
        <w:right w:val="none" w:sz="0" w:space="0" w:color="auto"/>
      </w:divBdr>
    </w:div>
    <w:div w:id="1218515465">
      <w:bodyDiv w:val="1"/>
      <w:marLeft w:val="0"/>
      <w:marRight w:val="0"/>
      <w:marTop w:val="0"/>
      <w:marBottom w:val="0"/>
      <w:divBdr>
        <w:top w:val="none" w:sz="0" w:space="0" w:color="auto"/>
        <w:left w:val="none" w:sz="0" w:space="0" w:color="auto"/>
        <w:bottom w:val="none" w:sz="0" w:space="0" w:color="auto"/>
        <w:right w:val="none" w:sz="0" w:space="0" w:color="auto"/>
      </w:divBdr>
    </w:div>
    <w:div w:id="1218585279">
      <w:bodyDiv w:val="1"/>
      <w:marLeft w:val="0"/>
      <w:marRight w:val="0"/>
      <w:marTop w:val="0"/>
      <w:marBottom w:val="0"/>
      <w:divBdr>
        <w:top w:val="none" w:sz="0" w:space="0" w:color="auto"/>
        <w:left w:val="none" w:sz="0" w:space="0" w:color="auto"/>
        <w:bottom w:val="none" w:sz="0" w:space="0" w:color="auto"/>
        <w:right w:val="none" w:sz="0" w:space="0" w:color="auto"/>
      </w:divBdr>
    </w:div>
    <w:div w:id="1218589977">
      <w:bodyDiv w:val="1"/>
      <w:marLeft w:val="0"/>
      <w:marRight w:val="0"/>
      <w:marTop w:val="0"/>
      <w:marBottom w:val="0"/>
      <w:divBdr>
        <w:top w:val="none" w:sz="0" w:space="0" w:color="auto"/>
        <w:left w:val="none" w:sz="0" w:space="0" w:color="auto"/>
        <w:bottom w:val="none" w:sz="0" w:space="0" w:color="auto"/>
        <w:right w:val="none" w:sz="0" w:space="0" w:color="auto"/>
      </w:divBdr>
    </w:div>
    <w:div w:id="1218663194">
      <w:bodyDiv w:val="1"/>
      <w:marLeft w:val="0"/>
      <w:marRight w:val="0"/>
      <w:marTop w:val="0"/>
      <w:marBottom w:val="0"/>
      <w:divBdr>
        <w:top w:val="none" w:sz="0" w:space="0" w:color="auto"/>
        <w:left w:val="none" w:sz="0" w:space="0" w:color="auto"/>
        <w:bottom w:val="none" w:sz="0" w:space="0" w:color="auto"/>
        <w:right w:val="none" w:sz="0" w:space="0" w:color="auto"/>
      </w:divBdr>
    </w:div>
    <w:div w:id="1218929728">
      <w:bodyDiv w:val="1"/>
      <w:marLeft w:val="0"/>
      <w:marRight w:val="0"/>
      <w:marTop w:val="0"/>
      <w:marBottom w:val="0"/>
      <w:divBdr>
        <w:top w:val="none" w:sz="0" w:space="0" w:color="auto"/>
        <w:left w:val="none" w:sz="0" w:space="0" w:color="auto"/>
        <w:bottom w:val="none" w:sz="0" w:space="0" w:color="auto"/>
        <w:right w:val="none" w:sz="0" w:space="0" w:color="auto"/>
      </w:divBdr>
    </w:div>
    <w:div w:id="1218972738">
      <w:bodyDiv w:val="1"/>
      <w:marLeft w:val="0"/>
      <w:marRight w:val="0"/>
      <w:marTop w:val="0"/>
      <w:marBottom w:val="0"/>
      <w:divBdr>
        <w:top w:val="none" w:sz="0" w:space="0" w:color="auto"/>
        <w:left w:val="none" w:sz="0" w:space="0" w:color="auto"/>
        <w:bottom w:val="none" w:sz="0" w:space="0" w:color="auto"/>
        <w:right w:val="none" w:sz="0" w:space="0" w:color="auto"/>
      </w:divBdr>
    </w:div>
    <w:div w:id="1219055557">
      <w:bodyDiv w:val="1"/>
      <w:marLeft w:val="0"/>
      <w:marRight w:val="0"/>
      <w:marTop w:val="0"/>
      <w:marBottom w:val="0"/>
      <w:divBdr>
        <w:top w:val="none" w:sz="0" w:space="0" w:color="auto"/>
        <w:left w:val="none" w:sz="0" w:space="0" w:color="auto"/>
        <w:bottom w:val="none" w:sz="0" w:space="0" w:color="auto"/>
        <w:right w:val="none" w:sz="0" w:space="0" w:color="auto"/>
      </w:divBdr>
    </w:div>
    <w:div w:id="1219198189">
      <w:bodyDiv w:val="1"/>
      <w:marLeft w:val="0"/>
      <w:marRight w:val="0"/>
      <w:marTop w:val="0"/>
      <w:marBottom w:val="0"/>
      <w:divBdr>
        <w:top w:val="none" w:sz="0" w:space="0" w:color="auto"/>
        <w:left w:val="none" w:sz="0" w:space="0" w:color="auto"/>
        <w:bottom w:val="none" w:sz="0" w:space="0" w:color="auto"/>
        <w:right w:val="none" w:sz="0" w:space="0" w:color="auto"/>
      </w:divBdr>
    </w:div>
    <w:div w:id="1219247088">
      <w:bodyDiv w:val="1"/>
      <w:marLeft w:val="0"/>
      <w:marRight w:val="0"/>
      <w:marTop w:val="0"/>
      <w:marBottom w:val="0"/>
      <w:divBdr>
        <w:top w:val="none" w:sz="0" w:space="0" w:color="auto"/>
        <w:left w:val="none" w:sz="0" w:space="0" w:color="auto"/>
        <w:bottom w:val="none" w:sz="0" w:space="0" w:color="auto"/>
        <w:right w:val="none" w:sz="0" w:space="0" w:color="auto"/>
      </w:divBdr>
    </w:div>
    <w:div w:id="1219319079">
      <w:bodyDiv w:val="1"/>
      <w:marLeft w:val="0"/>
      <w:marRight w:val="0"/>
      <w:marTop w:val="0"/>
      <w:marBottom w:val="0"/>
      <w:divBdr>
        <w:top w:val="none" w:sz="0" w:space="0" w:color="auto"/>
        <w:left w:val="none" w:sz="0" w:space="0" w:color="auto"/>
        <w:bottom w:val="none" w:sz="0" w:space="0" w:color="auto"/>
        <w:right w:val="none" w:sz="0" w:space="0" w:color="auto"/>
      </w:divBdr>
    </w:div>
    <w:div w:id="1219435386">
      <w:bodyDiv w:val="1"/>
      <w:marLeft w:val="0"/>
      <w:marRight w:val="0"/>
      <w:marTop w:val="0"/>
      <w:marBottom w:val="0"/>
      <w:divBdr>
        <w:top w:val="none" w:sz="0" w:space="0" w:color="auto"/>
        <w:left w:val="none" w:sz="0" w:space="0" w:color="auto"/>
        <w:bottom w:val="none" w:sz="0" w:space="0" w:color="auto"/>
        <w:right w:val="none" w:sz="0" w:space="0" w:color="auto"/>
      </w:divBdr>
    </w:div>
    <w:div w:id="1219516070">
      <w:bodyDiv w:val="1"/>
      <w:marLeft w:val="0"/>
      <w:marRight w:val="0"/>
      <w:marTop w:val="0"/>
      <w:marBottom w:val="0"/>
      <w:divBdr>
        <w:top w:val="none" w:sz="0" w:space="0" w:color="auto"/>
        <w:left w:val="none" w:sz="0" w:space="0" w:color="auto"/>
        <w:bottom w:val="none" w:sz="0" w:space="0" w:color="auto"/>
        <w:right w:val="none" w:sz="0" w:space="0" w:color="auto"/>
      </w:divBdr>
    </w:div>
    <w:div w:id="1219585582">
      <w:bodyDiv w:val="1"/>
      <w:marLeft w:val="0"/>
      <w:marRight w:val="0"/>
      <w:marTop w:val="0"/>
      <w:marBottom w:val="0"/>
      <w:divBdr>
        <w:top w:val="none" w:sz="0" w:space="0" w:color="auto"/>
        <w:left w:val="none" w:sz="0" w:space="0" w:color="auto"/>
        <w:bottom w:val="none" w:sz="0" w:space="0" w:color="auto"/>
        <w:right w:val="none" w:sz="0" w:space="0" w:color="auto"/>
      </w:divBdr>
    </w:div>
    <w:div w:id="1219588188">
      <w:bodyDiv w:val="1"/>
      <w:marLeft w:val="0"/>
      <w:marRight w:val="0"/>
      <w:marTop w:val="0"/>
      <w:marBottom w:val="0"/>
      <w:divBdr>
        <w:top w:val="none" w:sz="0" w:space="0" w:color="auto"/>
        <w:left w:val="none" w:sz="0" w:space="0" w:color="auto"/>
        <w:bottom w:val="none" w:sz="0" w:space="0" w:color="auto"/>
        <w:right w:val="none" w:sz="0" w:space="0" w:color="auto"/>
      </w:divBdr>
    </w:div>
    <w:div w:id="1219588766">
      <w:bodyDiv w:val="1"/>
      <w:marLeft w:val="0"/>
      <w:marRight w:val="0"/>
      <w:marTop w:val="0"/>
      <w:marBottom w:val="0"/>
      <w:divBdr>
        <w:top w:val="none" w:sz="0" w:space="0" w:color="auto"/>
        <w:left w:val="none" w:sz="0" w:space="0" w:color="auto"/>
        <w:bottom w:val="none" w:sz="0" w:space="0" w:color="auto"/>
        <w:right w:val="none" w:sz="0" w:space="0" w:color="auto"/>
      </w:divBdr>
    </w:div>
    <w:div w:id="1219631350">
      <w:bodyDiv w:val="1"/>
      <w:marLeft w:val="0"/>
      <w:marRight w:val="0"/>
      <w:marTop w:val="0"/>
      <w:marBottom w:val="0"/>
      <w:divBdr>
        <w:top w:val="none" w:sz="0" w:space="0" w:color="auto"/>
        <w:left w:val="none" w:sz="0" w:space="0" w:color="auto"/>
        <w:bottom w:val="none" w:sz="0" w:space="0" w:color="auto"/>
        <w:right w:val="none" w:sz="0" w:space="0" w:color="auto"/>
      </w:divBdr>
    </w:div>
    <w:div w:id="1219782063">
      <w:bodyDiv w:val="1"/>
      <w:marLeft w:val="0"/>
      <w:marRight w:val="0"/>
      <w:marTop w:val="0"/>
      <w:marBottom w:val="0"/>
      <w:divBdr>
        <w:top w:val="none" w:sz="0" w:space="0" w:color="auto"/>
        <w:left w:val="none" w:sz="0" w:space="0" w:color="auto"/>
        <w:bottom w:val="none" w:sz="0" w:space="0" w:color="auto"/>
        <w:right w:val="none" w:sz="0" w:space="0" w:color="auto"/>
      </w:divBdr>
    </w:div>
    <w:div w:id="1219828522">
      <w:bodyDiv w:val="1"/>
      <w:marLeft w:val="0"/>
      <w:marRight w:val="0"/>
      <w:marTop w:val="0"/>
      <w:marBottom w:val="0"/>
      <w:divBdr>
        <w:top w:val="none" w:sz="0" w:space="0" w:color="auto"/>
        <w:left w:val="none" w:sz="0" w:space="0" w:color="auto"/>
        <w:bottom w:val="none" w:sz="0" w:space="0" w:color="auto"/>
        <w:right w:val="none" w:sz="0" w:space="0" w:color="auto"/>
      </w:divBdr>
    </w:div>
    <w:div w:id="1219828760">
      <w:bodyDiv w:val="1"/>
      <w:marLeft w:val="0"/>
      <w:marRight w:val="0"/>
      <w:marTop w:val="0"/>
      <w:marBottom w:val="0"/>
      <w:divBdr>
        <w:top w:val="none" w:sz="0" w:space="0" w:color="auto"/>
        <w:left w:val="none" w:sz="0" w:space="0" w:color="auto"/>
        <w:bottom w:val="none" w:sz="0" w:space="0" w:color="auto"/>
        <w:right w:val="none" w:sz="0" w:space="0" w:color="auto"/>
      </w:divBdr>
    </w:div>
    <w:div w:id="1219976075">
      <w:bodyDiv w:val="1"/>
      <w:marLeft w:val="0"/>
      <w:marRight w:val="0"/>
      <w:marTop w:val="0"/>
      <w:marBottom w:val="0"/>
      <w:divBdr>
        <w:top w:val="none" w:sz="0" w:space="0" w:color="auto"/>
        <w:left w:val="none" w:sz="0" w:space="0" w:color="auto"/>
        <w:bottom w:val="none" w:sz="0" w:space="0" w:color="auto"/>
        <w:right w:val="none" w:sz="0" w:space="0" w:color="auto"/>
      </w:divBdr>
    </w:div>
    <w:div w:id="1220239935">
      <w:bodyDiv w:val="1"/>
      <w:marLeft w:val="0"/>
      <w:marRight w:val="0"/>
      <w:marTop w:val="0"/>
      <w:marBottom w:val="0"/>
      <w:divBdr>
        <w:top w:val="none" w:sz="0" w:space="0" w:color="auto"/>
        <w:left w:val="none" w:sz="0" w:space="0" w:color="auto"/>
        <w:bottom w:val="none" w:sz="0" w:space="0" w:color="auto"/>
        <w:right w:val="none" w:sz="0" w:space="0" w:color="auto"/>
      </w:divBdr>
    </w:div>
    <w:div w:id="1220242995">
      <w:bodyDiv w:val="1"/>
      <w:marLeft w:val="0"/>
      <w:marRight w:val="0"/>
      <w:marTop w:val="0"/>
      <w:marBottom w:val="0"/>
      <w:divBdr>
        <w:top w:val="none" w:sz="0" w:space="0" w:color="auto"/>
        <w:left w:val="none" w:sz="0" w:space="0" w:color="auto"/>
        <w:bottom w:val="none" w:sz="0" w:space="0" w:color="auto"/>
        <w:right w:val="none" w:sz="0" w:space="0" w:color="auto"/>
      </w:divBdr>
    </w:div>
    <w:div w:id="1220437944">
      <w:bodyDiv w:val="1"/>
      <w:marLeft w:val="0"/>
      <w:marRight w:val="0"/>
      <w:marTop w:val="0"/>
      <w:marBottom w:val="0"/>
      <w:divBdr>
        <w:top w:val="none" w:sz="0" w:space="0" w:color="auto"/>
        <w:left w:val="none" w:sz="0" w:space="0" w:color="auto"/>
        <w:bottom w:val="none" w:sz="0" w:space="0" w:color="auto"/>
        <w:right w:val="none" w:sz="0" w:space="0" w:color="auto"/>
      </w:divBdr>
    </w:div>
    <w:div w:id="1220481726">
      <w:bodyDiv w:val="1"/>
      <w:marLeft w:val="0"/>
      <w:marRight w:val="0"/>
      <w:marTop w:val="0"/>
      <w:marBottom w:val="0"/>
      <w:divBdr>
        <w:top w:val="none" w:sz="0" w:space="0" w:color="auto"/>
        <w:left w:val="none" w:sz="0" w:space="0" w:color="auto"/>
        <w:bottom w:val="none" w:sz="0" w:space="0" w:color="auto"/>
        <w:right w:val="none" w:sz="0" w:space="0" w:color="auto"/>
      </w:divBdr>
    </w:div>
    <w:div w:id="1220482773">
      <w:bodyDiv w:val="1"/>
      <w:marLeft w:val="0"/>
      <w:marRight w:val="0"/>
      <w:marTop w:val="0"/>
      <w:marBottom w:val="0"/>
      <w:divBdr>
        <w:top w:val="none" w:sz="0" w:space="0" w:color="auto"/>
        <w:left w:val="none" w:sz="0" w:space="0" w:color="auto"/>
        <w:bottom w:val="none" w:sz="0" w:space="0" w:color="auto"/>
        <w:right w:val="none" w:sz="0" w:space="0" w:color="auto"/>
      </w:divBdr>
    </w:div>
    <w:div w:id="1220509630">
      <w:bodyDiv w:val="1"/>
      <w:marLeft w:val="0"/>
      <w:marRight w:val="0"/>
      <w:marTop w:val="0"/>
      <w:marBottom w:val="0"/>
      <w:divBdr>
        <w:top w:val="none" w:sz="0" w:space="0" w:color="auto"/>
        <w:left w:val="none" w:sz="0" w:space="0" w:color="auto"/>
        <w:bottom w:val="none" w:sz="0" w:space="0" w:color="auto"/>
        <w:right w:val="none" w:sz="0" w:space="0" w:color="auto"/>
      </w:divBdr>
    </w:div>
    <w:div w:id="1220554838">
      <w:bodyDiv w:val="1"/>
      <w:marLeft w:val="0"/>
      <w:marRight w:val="0"/>
      <w:marTop w:val="0"/>
      <w:marBottom w:val="0"/>
      <w:divBdr>
        <w:top w:val="none" w:sz="0" w:space="0" w:color="auto"/>
        <w:left w:val="none" w:sz="0" w:space="0" w:color="auto"/>
        <w:bottom w:val="none" w:sz="0" w:space="0" w:color="auto"/>
        <w:right w:val="none" w:sz="0" w:space="0" w:color="auto"/>
      </w:divBdr>
    </w:div>
    <w:div w:id="1220703274">
      <w:bodyDiv w:val="1"/>
      <w:marLeft w:val="0"/>
      <w:marRight w:val="0"/>
      <w:marTop w:val="0"/>
      <w:marBottom w:val="0"/>
      <w:divBdr>
        <w:top w:val="none" w:sz="0" w:space="0" w:color="auto"/>
        <w:left w:val="none" w:sz="0" w:space="0" w:color="auto"/>
        <w:bottom w:val="none" w:sz="0" w:space="0" w:color="auto"/>
        <w:right w:val="none" w:sz="0" w:space="0" w:color="auto"/>
      </w:divBdr>
    </w:div>
    <w:div w:id="1220745400">
      <w:bodyDiv w:val="1"/>
      <w:marLeft w:val="0"/>
      <w:marRight w:val="0"/>
      <w:marTop w:val="0"/>
      <w:marBottom w:val="0"/>
      <w:divBdr>
        <w:top w:val="none" w:sz="0" w:space="0" w:color="auto"/>
        <w:left w:val="none" w:sz="0" w:space="0" w:color="auto"/>
        <w:bottom w:val="none" w:sz="0" w:space="0" w:color="auto"/>
        <w:right w:val="none" w:sz="0" w:space="0" w:color="auto"/>
      </w:divBdr>
    </w:div>
    <w:div w:id="1220746040">
      <w:bodyDiv w:val="1"/>
      <w:marLeft w:val="0"/>
      <w:marRight w:val="0"/>
      <w:marTop w:val="0"/>
      <w:marBottom w:val="0"/>
      <w:divBdr>
        <w:top w:val="none" w:sz="0" w:space="0" w:color="auto"/>
        <w:left w:val="none" w:sz="0" w:space="0" w:color="auto"/>
        <w:bottom w:val="none" w:sz="0" w:space="0" w:color="auto"/>
        <w:right w:val="none" w:sz="0" w:space="0" w:color="auto"/>
      </w:divBdr>
    </w:div>
    <w:div w:id="1220746346">
      <w:bodyDiv w:val="1"/>
      <w:marLeft w:val="0"/>
      <w:marRight w:val="0"/>
      <w:marTop w:val="0"/>
      <w:marBottom w:val="0"/>
      <w:divBdr>
        <w:top w:val="none" w:sz="0" w:space="0" w:color="auto"/>
        <w:left w:val="none" w:sz="0" w:space="0" w:color="auto"/>
        <w:bottom w:val="none" w:sz="0" w:space="0" w:color="auto"/>
        <w:right w:val="none" w:sz="0" w:space="0" w:color="auto"/>
      </w:divBdr>
    </w:div>
    <w:div w:id="1220751860">
      <w:bodyDiv w:val="1"/>
      <w:marLeft w:val="0"/>
      <w:marRight w:val="0"/>
      <w:marTop w:val="0"/>
      <w:marBottom w:val="0"/>
      <w:divBdr>
        <w:top w:val="none" w:sz="0" w:space="0" w:color="auto"/>
        <w:left w:val="none" w:sz="0" w:space="0" w:color="auto"/>
        <w:bottom w:val="none" w:sz="0" w:space="0" w:color="auto"/>
        <w:right w:val="none" w:sz="0" w:space="0" w:color="auto"/>
      </w:divBdr>
    </w:div>
    <w:div w:id="1220825099">
      <w:bodyDiv w:val="1"/>
      <w:marLeft w:val="0"/>
      <w:marRight w:val="0"/>
      <w:marTop w:val="0"/>
      <w:marBottom w:val="0"/>
      <w:divBdr>
        <w:top w:val="none" w:sz="0" w:space="0" w:color="auto"/>
        <w:left w:val="none" w:sz="0" w:space="0" w:color="auto"/>
        <w:bottom w:val="none" w:sz="0" w:space="0" w:color="auto"/>
        <w:right w:val="none" w:sz="0" w:space="0" w:color="auto"/>
      </w:divBdr>
    </w:div>
    <w:div w:id="1220894567">
      <w:bodyDiv w:val="1"/>
      <w:marLeft w:val="0"/>
      <w:marRight w:val="0"/>
      <w:marTop w:val="0"/>
      <w:marBottom w:val="0"/>
      <w:divBdr>
        <w:top w:val="none" w:sz="0" w:space="0" w:color="auto"/>
        <w:left w:val="none" w:sz="0" w:space="0" w:color="auto"/>
        <w:bottom w:val="none" w:sz="0" w:space="0" w:color="auto"/>
        <w:right w:val="none" w:sz="0" w:space="0" w:color="auto"/>
      </w:divBdr>
    </w:div>
    <w:div w:id="1220895435">
      <w:bodyDiv w:val="1"/>
      <w:marLeft w:val="0"/>
      <w:marRight w:val="0"/>
      <w:marTop w:val="0"/>
      <w:marBottom w:val="0"/>
      <w:divBdr>
        <w:top w:val="none" w:sz="0" w:space="0" w:color="auto"/>
        <w:left w:val="none" w:sz="0" w:space="0" w:color="auto"/>
        <w:bottom w:val="none" w:sz="0" w:space="0" w:color="auto"/>
        <w:right w:val="none" w:sz="0" w:space="0" w:color="auto"/>
      </w:divBdr>
    </w:div>
    <w:div w:id="1220899872">
      <w:bodyDiv w:val="1"/>
      <w:marLeft w:val="0"/>
      <w:marRight w:val="0"/>
      <w:marTop w:val="0"/>
      <w:marBottom w:val="0"/>
      <w:divBdr>
        <w:top w:val="none" w:sz="0" w:space="0" w:color="auto"/>
        <w:left w:val="none" w:sz="0" w:space="0" w:color="auto"/>
        <w:bottom w:val="none" w:sz="0" w:space="0" w:color="auto"/>
        <w:right w:val="none" w:sz="0" w:space="0" w:color="auto"/>
      </w:divBdr>
    </w:div>
    <w:div w:id="1220902319">
      <w:bodyDiv w:val="1"/>
      <w:marLeft w:val="0"/>
      <w:marRight w:val="0"/>
      <w:marTop w:val="0"/>
      <w:marBottom w:val="0"/>
      <w:divBdr>
        <w:top w:val="none" w:sz="0" w:space="0" w:color="auto"/>
        <w:left w:val="none" w:sz="0" w:space="0" w:color="auto"/>
        <w:bottom w:val="none" w:sz="0" w:space="0" w:color="auto"/>
        <w:right w:val="none" w:sz="0" w:space="0" w:color="auto"/>
      </w:divBdr>
    </w:div>
    <w:div w:id="1221021972">
      <w:bodyDiv w:val="1"/>
      <w:marLeft w:val="0"/>
      <w:marRight w:val="0"/>
      <w:marTop w:val="0"/>
      <w:marBottom w:val="0"/>
      <w:divBdr>
        <w:top w:val="none" w:sz="0" w:space="0" w:color="auto"/>
        <w:left w:val="none" w:sz="0" w:space="0" w:color="auto"/>
        <w:bottom w:val="none" w:sz="0" w:space="0" w:color="auto"/>
        <w:right w:val="none" w:sz="0" w:space="0" w:color="auto"/>
      </w:divBdr>
    </w:div>
    <w:div w:id="1221094469">
      <w:bodyDiv w:val="1"/>
      <w:marLeft w:val="0"/>
      <w:marRight w:val="0"/>
      <w:marTop w:val="0"/>
      <w:marBottom w:val="0"/>
      <w:divBdr>
        <w:top w:val="none" w:sz="0" w:space="0" w:color="auto"/>
        <w:left w:val="none" w:sz="0" w:space="0" w:color="auto"/>
        <w:bottom w:val="none" w:sz="0" w:space="0" w:color="auto"/>
        <w:right w:val="none" w:sz="0" w:space="0" w:color="auto"/>
      </w:divBdr>
    </w:div>
    <w:div w:id="1221205626">
      <w:bodyDiv w:val="1"/>
      <w:marLeft w:val="0"/>
      <w:marRight w:val="0"/>
      <w:marTop w:val="0"/>
      <w:marBottom w:val="0"/>
      <w:divBdr>
        <w:top w:val="none" w:sz="0" w:space="0" w:color="auto"/>
        <w:left w:val="none" w:sz="0" w:space="0" w:color="auto"/>
        <w:bottom w:val="none" w:sz="0" w:space="0" w:color="auto"/>
        <w:right w:val="none" w:sz="0" w:space="0" w:color="auto"/>
      </w:divBdr>
    </w:div>
    <w:div w:id="1221211775">
      <w:bodyDiv w:val="1"/>
      <w:marLeft w:val="0"/>
      <w:marRight w:val="0"/>
      <w:marTop w:val="0"/>
      <w:marBottom w:val="0"/>
      <w:divBdr>
        <w:top w:val="none" w:sz="0" w:space="0" w:color="auto"/>
        <w:left w:val="none" w:sz="0" w:space="0" w:color="auto"/>
        <w:bottom w:val="none" w:sz="0" w:space="0" w:color="auto"/>
        <w:right w:val="none" w:sz="0" w:space="0" w:color="auto"/>
      </w:divBdr>
    </w:div>
    <w:div w:id="1221287301">
      <w:bodyDiv w:val="1"/>
      <w:marLeft w:val="0"/>
      <w:marRight w:val="0"/>
      <w:marTop w:val="0"/>
      <w:marBottom w:val="0"/>
      <w:divBdr>
        <w:top w:val="none" w:sz="0" w:space="0" w:color="auto"/>
        <w:left w:val="none" w:sz="0" w:space="0" w:color="auto"/>
        <w:bottom w:val="none" w:sz="0" w:space="0" w:color="auto"/>
        <w:right w:val="none" w:sz="0" w:space="0" w:color="auto"/>
      </w:divBdr>
    </w:div>
    <w:div w:id="1221330377">
      <w:bodyDiv w:val="1"/>
      <w:marLeft w:val="0"/>
      <w:marRight w:val="0"/>
      <w:marTop w:val="0"/>
      <w:marBottom w:val="0"/>
      <w:divBdr>
        <w:top w:val="none" w:sz="0" w:space="0" w:color="auto"/>
        <w:left w:val="none" w:sz="0" w:space="0" w:color="auto"/>
        <w:bottom w:val="none" w:sz="0" w:space="0" w:color="auto"/>
        <w:right w:val="none" w:sz="0" w:space="0" w:color="auto"/>
      </w:divBdr>
    </w:div>
    <w:div w:id="1221330647">
      <w:bodyDiv w:val="1"/>
      <w:marLeft w:val="0"/>
      <w:marRight w:val="0"/>
      <w:marTop w:val="0"/>
      <w:marBottom w:val="0"/>
      <w:divBdr>
        <w:top w:val="none" w:sz="0" w:space="0" w:color="auto"/>
        <w:left w:val="none" w:sz="0" w:space="0" w:color="auto"/>
        <w:bottom w:val="none" w:sz="0" w:space="0" w:color="auto"/>
        <w:right w:val="none" w:sz="0" w:space="0" w:color="auto"/>
      </w:divBdr>
    </w:div>
    <w:div w:id="1221359565">
      <w:bodyDiv w:val="1"/>
      <w:marLeft w:val="0"/>
      <w:marRight w:val="0"/>
      <w:marTop w:val="0"/>
      <w:marBottom w:val="0"/>
      <w:divBdr>
        <w:top w:val="none" w:sz="0" w:space="0" w:color="auto"/>
        <w:left w:val="none" w:sz="0" w:space="0" w:color="auto"/>
        <w:bottom w:val="none" w:sz="0" w:space="0" w:color="auto"/>
        <w:right w:val="none" w:sz="0" w:space="0" w:color="auto"/>
      </w:divBdr>
    </w:div>
    <w:div w:id="1221407410">
      <w:bodyDiv w:val="1"/>
      <w:marLeft w:val="0"/>
      <w:marRight w:val="0"/>
      <w:marTop w:val="0"/>
      <w:marBottom w:val="0"/>
      <w:divBdr>
        <w:top w:val="none" w:sz="0" w:space="0" w:color="auto"/>
        <w:left w:val="none" w:sz="0" w:space="0" w:color="auto"/>
        <w:bottom w:val="none" w:sz="0" w:space="0" w:color="auto"/>
        <w:right w:val="none" w:sz="0" w:space="0" w:color="auto"/>
      </w:divBdr>
    </w:div>
    <w:div w:id="1221552856">
      <w:bodyDiv w:val="1"/>
      <w:marLeft w:val="0"/>
      <w:marRight w:val="0"/>
      <w:marTop w:val="0"/>
      <w:marBottom w:val="0"/>
      <w:divBdr>
        <w:top w:val="none" w:sz="0" w:space="0" w:color="auto"/>
        <w:left w:val="none" w:sz="0" w:space="0" w:color="auto"/>
        <w:bottom w:val="none" w:sz="0" w:space="0" w:color="auto"/>
        <w:right w:val="none" w:sz="0" w:space="0" w:color="auto"/>
      </w:divBdr>
    </w:div>
    <w:div w:id="1221593206">
      <w:bodyDiv w:val="1"/>
      <w:marLeft w:val="0"/>
      <w:marRight w:val="0"/>
      <w:marTop w:val="0"/>
      <w:marBottom w:val="0"/>
      <w:divBdr>
        <w:top w:val="none" w:sz="0" w:space="0" w:color="auto"/>
        <w:left w:val="none" w:sz="0" w:space="0" w:color="auto"/>
        <w:bottom w:val="none" w:sz="0" w:space="0" w:color="auto"/>
        <w:right w:val="none" w:sz="0" w:space="0" w:color="auto"/>
      </w:divBdr>
    </w:div>
    <w:div w:id="1221595212">
      <w:bodyDiv w:val="1"/>
      <w:marLeft w:val="0"/>
      <w:marRight w:val="0"/>
      <w:marTop w:val="0"/>
      <w:marBottom w:val="0"/>
      <w:divBdr>
        <w:top w:val="none" w:sz="0" w:space="0" w:color="auto"/>
        <w:left w:val="none" w:sz="0" w:space="0" w:color="auto"/>
        <w:bottom w:val="none" w:sz="0" w:space="0" w:color="auto"/>
        <w:right w:val="none" w:sz="0" w:space="0" w:color="auto"/>
      </w:divBdr>
    </w:div>
    <w:div w:id="1221790672">
      <w:bodyDiv w:val="1"/>
      <w:marLeft w:val="0"/>
      <w:marRight w:val="0"/>
      <w:marTop w:val="0"/>
      <w:marBottom w:val="0"/>
      <w:divBdr>
        <w:top w:val="none" w:sz="0" w:space="0" w:color="auto"/>
        <w:left w:val="none" w:sz="0" w:space="0" w:color="auto"/>
        <w:bottom w:val="none" w:sz="0" w:space="0" w:color="auto"/>
        <w:right w:val="none" w:sz="0" w:space="0" w:color="auto"/>
      </w:divBdr>
    </w:div>
    <w:div w:id="1221795047">
      <w:bodyDiv w:val="1"/>
      <w:marLeft w:val="0"/>
      <w:marRight w:val="0"/>
      <w:marTop w:val="0"/>
      <w:marBottom w:val="0"/>
      <w:divBdr>
        <w:top w:val="none" w:sz="0" w:space="0" w:color="auto"/>
        <w:left w:val="none" w:sz="0" w:space="0" w:color="auto"/>
        <w:bottom w:val="none" w:sz="0" w:space="0" w:color="auto"/>
        <w:right w:val="none" w:sz="0" w:space="0" w:color="auto"/>
      </w:divBdr>
    </w:div>
    <w:div w:id="1221868317">
      <w:bodyDiv w:val="1"/>
      <w:marLeft w:val="0"/>
      <w:marRight w:val="0"/>
      <w:marTop w:val="0"/>
      <w:marBottom w:val="0"/>
      <w:divBdr>
        <w:top w:val="none" w:sz="0" w:space="0" w:color="auto"/>
        <w:left w:val="none" w:sz="0" w:space="0" w:color="auto"/>
        <w:bottom w:val="none" w:sz="0" w:space="0" w:color="auto"/>
        <w:right w:val="none" w:sz="0" w:space="0" w:color="auto"/>
      </w:divBdr>
    </w:div>
    <w:div w:id="1221987837">
      <w:bodyDiv w:val="1"/>
      <w:marLeft w:val="0"/>
      <w:marRight w:val="0"/>
      <w:marTop w:val="0"/>
      <w:marBottom w:val="0"/>
      <w:divBdr>
        <w:top w:val="none" w:sz="0" w:space="0" w:color="auto"/>
        <w:left w:val="none" w:sz="0" w:space="0" w:color="auto"/>
        <w:bottom w:val="none" w:sz="0" w:space="0" w:color="auto"/>
        <w:right w:val="none" w:sz="0" w:space="0" w:color="auto"/>
      </w:divBdr>
    </w:div>
    <w:div w:id="1222016167">
      <w:bodyDiv w:val="1"/>
      <w:marLeft w:val="0"/>
      <w:marRight w:val="0"/>
      <w:marTop w:val="0"/>
      <w:marBottom w:val="0"/>
      <w:divBdr>
        <w:top w:val="none" w:sz="0" w:space="0" w:color="auto"/>
        <w:left w:val="none" w:sz="0" w:space="0" w:color="auto"/>
        <w:bottom w:val="none" w:sz="0" w:space="0" w:color="auto"/>
        <w:right w:val="none" w:sz="0" w:space="0" w:color="auto"/>
      </w:divBdr>
    </w:div>
    <w:div w:id="1222059569">
      <w:bodyDiv w:val="1"/>
      <w:marLeft w:val="0"/>
      <w:marRight w:val="0"/>
      <w:marTop w:val="0"/>
      <w:marBottom w:val="0"/>
      <w:divBdr>
        <w:top w:val="none" w:sz="0" w:space="0" w:color="auto"/>
        <w:left w:val="none" w:sz="0" w:space="0" w:color="auto"/>
        <w:bottom w:val="none" w:sz="0" w:space="0" w:color="auto"/>
        <w:right w:val="none" w:sz="0" w:space="0" w:color="auto"/>
      </w:divBdr>
    </w:div>
    <w:div w:id="1222213042">
      <w:bodyDiv w:val="1"/>
      <w:marLeft w:val="0"/>
      <w:marRight w:val="0"/>
      <w:marTop w:val="0"/>
      <w:marBottom w:val="0"/>
      <w:divBdr>
        <w:top w:val="none" w:sz="0" w:space="0" w:color="auto"/>
        <w:left w:val="none" w:sz="0" w:space="0" w:color="auto"/>
        <w:bottom w:val="none" w:sz="0" w:space="0" w:color="auto"/>
        <w:right w:val="none" w:sz="0" w:space="0" w:color="auto"/>
      </w:divBdr>
    </w:div>
    <w:div w:id="1222249437">
      <w:bodyDiv w:val="1"/>
      <w:marLeft w:val="0"/>
      <w:marRight w:val="0"/>
      <w:marTop w:val="0"/>
      <w:marBottom w:val="0"/>
      <w:divBdr>
        <w:top w:val="none" w:sz="0" w:space="0" w:color="auto"/>
        <w:left w:val="none" w:sz="0" w:space="0" w:color="auto"/>
        <w:bottom w:val="none" w:sz="0" w:space="0" w:color="auto"/>
        <w:right w:val="none" w:sz="0" w:space="0" w:color="auto"/>
      </w:divBdr>
    </w:div>
    <w:div w:id="1222401913">
      <w:bodyDiv w:val="1"/>
      <w:marLeft w:val="0"/>
      <w:marRight w:val="0"/>
      <w:marTop w:val="0"/>
      <w:marBottom w:val="0"/>
      <w:divBdr>
        <w:top w:val="none" w:sz="0" w:space="0" w:color="auto"/>
        <w:left w:val="none" w:sz="0" w:space="0" w:color="auto"/>
        <w:bottom w:val="none" w:sz="0" w:space="0" w:color="auto"/>
        <w:right w:val="none" w:sz="0" w:space="0" w:color="auto"/>
      </w:divBdr>
    </w:div>
    <w:div w:id="1222404921">
      <w:bodyDiv w:val="1"/>
      <w:marLeft w:val="0"/>
      <w:marRight w:val="0"/>
      <w:marTop w:val="0"/>
      <w:marBottom w:val="0"/>
      <w:divBdr>
        <w:top w:val="none" w:sz="0" w:space="0" w:color="auto"/>
        <w:left w:val="none" w:sz="0" w:space="0" w:color="auto"/>
        <w:bottom w:val="none" w:sz="0" w:space="0" w:color="auto"/>
        <w:right w:val="none" w:sz="0" w:space="0" w:color="auto"/>
      </w:divBdr>
    </w:div>
    <w:div w:id="1222593923">
      <w:bodyDiv w:val="1"/>
      <w:marLeft w:val="0"/>
      <w:marRight w:val="0"/>
      <w:marTop w:val="0"/>
      <w:marBottom w:val="0"/>
      <w:divBdr>
        <w:top w:val="none" w:sz="0" w:space="0" w:color="auto"/>
        <w:left w:val="none" w:sz="0" w:space="0" w:color="auto"/>
        <w:bottom w:val="none" w:sz="0" w:space="0" w:color="auto"/>
        <w:right w:val="none" w:sz="0" w:space="0" w:color="auto"/>
      </w:divBdr>
    </w:div>
    <w:div w:id="1222600334">
      <w:bodyDiv w:val="1"/>
      <w:marLeft w:val="0"/>
      <w:marRight w:val="0"/>
      <w:marTop w:val="0"/>
      <w:marBottom w:val="0"/>
      <w:divBdr>
        <w:top w:val="none" w:sz="0" w:space="0" w:color="auto"/>
        <w:left w:val="none" w:sz="0" w:space="0" w:color="auto"/>
        <w:bottom w:val="none" w:sz="0" w:space="0" w:color="auto"/>
        <w:right w:val="none" w:sz="0" w:space="0" w:color="auto"/>
      </w:divBdr>
    </w:div>
    <w:div w:id="1222641267">
      <w:bodyDiv w:val="1"/>
      <w:marLeft w:val="0"/>
      <w:marRight w:val="0"/>
      <w:marTop w:val="0"/>
      <w:marBottom w:val="0"/>
      <w:divBdr>
        <w:top w:val="none" w:sz="0" w:space="0" w:color="auto"/>
        <w:left w:val="none" w:sz="0" w:space="0" w:color="auto"/>
        <w:bottom w:val="none" w:sz="0" w:space="0" w:color="auto"/>
        <w:right w:val="none" w:sz="0" w:space="0" w:color="auto"/>
      </w:divBdr>
    </w:div>
    <w:div w:id="1222667309">
      <w:bodyDiv w:val="1"/>
      <w:marLeft w:val="0"/>
      <w:marRight w:val="0"/>
      <w:marTop w:val="0"/>
      <w:marBottom w:val="0"/>
      <w:divBdr>
        <w:top w:val="none" w:sz="0" w:space="0" w:color="auto"/>
        <w:left w:val="none" w:sz="0" w:space="0" w:color="auto"/>
        <w:bottom w:val="none" w:sz="0" w:space="0" w:color="auto"/>
        <w:right w:val="none" w:sz="0" w:space="0" w:color="auto"/>
      </w:divBdr>
    </w:div>
    <w:div w:id="1222788815">
      <w:bodyDiv w:val="1"/>
      <w:marLeft w:val="0"/>
      <w:marRight w:val="0"/>
      <w:marTop w:val="0"/>
      <w:marBottom w:val="0"/>
      <w:divBdr>
        <w:top w:val="none" w:sz="0" w:space="0" w:color="auto"/>
        <w:left w:val="none" w:sz="0" w:space="0" w:color="auto"/>
        <w:bottom w:val="none" w:sz="0" w:space="0" w:color="auto"/>
        <w:right w:val="none" w:sz="0" w:space="0" w:color="auto"/>
      </w:divBdr>
    </w:div>
    <w:div w:id="1222790548">
      <w:bodyDiv w:val="1"/>
      <w:marLeft w:val="0"/>
      <w:marRight w:val="0"/>
      <w:marTop w:val="0"/>
      <w:marBottom w:val="0"/>
      <w:divBdr>
        <w:top w:val="none" w:sz="0" w:space="0" w:color="auto"/>
        <w:left w:val="none" w:sz="0" w:space="0" w:color="auto"/>
        <w:bottom w:val="none" w:sz="0" w:space="0" w:color="auto"/>
        <w:right w:val="none" w:sz="0" w:space="0" w:color="auto"/>
      </w:divBdr>
    </w:div>
    <w:div w:id="1222981640">
      <w:bodyDiv w:val="1"/>
      <w:marLeft w:val="0"/>
      <w:marRight w:val="0"/>
      <w:marTop w:val="0"/>
      <w:marBottom w:val="0"/>
      <w:divBdr>
        <w:top w:val="none" w:sz="0" w:space="0" w:color="auto"/>
        <w:left w:val="none" w:sz="0" w:space="0" w:color="auto"/>
        <w:bottom w:val="none" w:sz="0" w:space="0" w:color="auto"/>
        <w:right w:val="none" w:sz="0" w:space="0" w:color="auto"/>
      </w:divBdr>
    </w:div>
    <w:div w:id="1223058674">
      <w:bodyDiv w:val="1"/>
      <w:marLeft w:val="0"/>
      <w:marRight w:val="0"/>
      <w:marTop w:val="0"/>
      <w:marBottom w:val="0"/>
      <w:divBdr>
        <w:top w:val="none" w:sz="0" w:space="0" w:color="auto"/>
        <w:left w:val="none" w:sz="0" w:space="0" w:color="auto"/>
        <w:bottom w:val="none" w:sz="0" w:space="0" w:color="auto"/>
        <w:right w:val="none" w:sz="0" w:space="0" w:color="auto"/>
      </w:divBdr>
    </w:div>
    <w:div w:id="1223297027">
      <w:bodyDiv w:val="1"/>
      <w:marLeft w:val="0"/>
      <w:marRight w:val="0"/>
      <w:marTop w:val="0"/>
      <w:marBottom w:val="0"/>
      <w:divBdr>
        <w:top w:val="none" w:sz="0" w:space="0" w:color="auto"/>
        <w:left w:val="none" w:sz="0" w:space="0" w:color="auto"/>
        <w:bottom w:val="none" w:sz="0" w:space="0" w:color="auto"/>
        <w:right w:val="none" w:sz="0" w:space="0" w:color="auto"/>
      </w:divBdr>
    </w:div>
    <w:div w:id="1223368107">
      <w:bodyDiv w:val="1"/>
      <w:marLeft w:val="0"/>
      <w:marRight w:val="0"/>
      <w:marTop w:val="0"/>
      <w:marBottom w:val="0"/>
      <w:divBdr>
        <w:top w:val="none" w:sz="0" w:space="0" w:color="auto"/>
        <w:left w:val="none" w:sz="0" w:space="0" w:color="auto"/>
        <w:bottom w:val="none" w:sz="0" w:space="0" w:color="auto"/>
        <w:right w:val="none" w:sz="0" w:space="0" w:color="auto"/>
      </w:divBdr>
    </w:div>
    <w:div w:id="1223440486">
      <w:bodyDiv w:val="1"/>
      <w:marLeft w:val="0"/>
      <w:marRight w:val="0"/>
      <w:marTop w:val="0"/>
      <w:marBottom w:val="0"/>
      <w:divBdr>
        <w:top w:val="none" w:sz="0" w:space="0" w:color="auto"/>
        <w:left w:val="none" w:sz="0" w:space="0" w:color="auto"/>
        <w:bottom w:val="none" w:sz="0" w:space="0" w:color="auto"/>
        <w:right w:val="none" w:sz="0" w:space="0" w:color="auto"/>
      </w:divBdr>
    </w:div>
    <w:div w:id="1223524041">
      <w:bodyDiv w:val="1"/>
      <w:marLeft w:val="0"/>
      <w:marRight w:val="0"/>
      <w:marTop w:val="0"/>
      <w:marBottom w:val="0"/>
      <w:divBdr>
        <w:top w:val="none" w:sz="0" w:space="0" w:color="auto"/>
        <w:left w:val="none" w:sz="0" w:space="0" w:color="auto"/>
        <w:bottom w:val="none" w:sz="0" w:space="0" w:color="auto"/>
        <w:right w:val="none" w:sz="0" w:space="0" w:color="auto"/>
      </w:divBdr>
    </w:div>
    <w:div w:id="1223635208">
      <w:bodyDiv w:val="1"/>
      <w:marLeft w:val="0"/>
      <w:marRight w:val="0"/>
      <w:marTop w:val="0"/>
      <w:marBottom w:val="0"/>
      <w:divBdr>
        <w:top w:val="none" w:sz="0" w:space="0" w:color="auto"/>
        <w:left w:val="none" w:sz="0" w:space="0" w:color="auto"/>
        <w:bottom w:val="none" w:sz="0" w:space="0" w:color="auto"/>
        <w:right w:val="none" w:sz="0" w:space="0" w:color="auto"/>
      </w:divBdr>
    </w:div>
    <w:div w:id="1223637653">
      <w:bodyDiv w:val="1"/>
      <w:marLeft w:val="0"/>
      <w:marRight w:val="0"/>
      <w:marTop w:val="0"/>
      <w:marBottom w:val="0"/>
      <w:divBdr>
        <w:top w:val="none" w:sz="0" w:space="0" w:color="auto"/>
        <w:left w:val="none" w:sz="0" w:space="0" w:color="auto"/>
        <w:bottom w:val="none" w:sz="0" w:space="0" w:color="auto"/>
        <w:right w:val="none" w:sz="0" w:space="0" w:color="auto"/>
      </w:divBdr>
    </w:div>
    <w:div w:id="1223714721">
      <w:bodyDiv w:val="1"/>
      <w:marLeft w:val="0"/>
      <w:marRight w:val="0"/>
      <w:marTop w:val="0"/>
      <w:marBottom w:val="0"/>
      <w:divBdr>
        <w:top w:val="none" w:sz="0" w:space="0" w:color="auto"/>
        <w:left w:val="none" w:sz="0" w:space="0" w:color="auto"/>
        <w:bottom w:val="none" w:sz="0" w:space="0" w:color="auto"/>
        <w:right w:val="none" w:sz="0" w:space="0" w:color="auto"/>
      </w:divBdr>
    </w:div>
    <w:div w:id="1223757805">
      <w:bodyDiv w:val="1"/>
      <w:marLeft w:val="0"/>
      <w:marRight w:val="0"/>
      <w:marTop w:val="0"/>
      <w:marBottom w:val="0"/>
      <w:divBdr>
        <w:top w:val="none" w:sz="0" w:space="0" w:color="auto"/>
        <w:left w:val="none" w:sz="0" w:space="0" w:color="auto"/>
        <w:bottom w:val="none" w:sz="0" w:space="0" w:color="auto"/>
        <w:right w:val="none" w:sz="0" w:space="0" w:color="auto"/>
      </w:divBdr>
    </w:div>
    <w:div w:id="1223905411">
      <w:bodyDiv w:val="1"/>
      <w:marLeft w:val="0"/>
      <w:marRight w:val="0"/>
      <w:marTop w:val="0"/>
      <w:marBottom w:val="0"/>
      <w:divBdr>
        <w:top w:val="none" w:sz="0" w:space="0" w:color="auto"/>
        <w:left w:val="none" w:sz="0" w:space="0" w:color="auto"/>
        <w:bottom w:val="none" w:sz="0" w:space="0" w:color="auto"/>
        <w:right w:val="none" w:sz="0" w:space="0" w:color="auto"/>
      </w:divBdr>
    </w:div>
    <w:div w:id="1224096173">
      <w:bodyDiv w:val="1"/>
      <w:marLeft w:val="0"/>
      <w:marRight w:val="0"/>
      <w:marTop w:val="0"/>
      <w:marBottom w:val="0"/>
      <w:divBdr>
        <w:top w:val="none" w:sz="0" w:space="0" w:color="auto"/>
        <w:left w:val="none" w:sz="0" w:space="0" w:color="auto"/>
        <w:bottom w:val="none" w:sz="0" w:space="0" w:color="auto"/>
        <w:right w:val="none" w:sz="0" w:space="0" w:color="auto"/>
      </w:divBdr>
    </w:div>
    <w:div w:id="1224173060">
      <w:bodyDiv w:val="1"/>
      <w:marLeft w:val="0"/>
      <w:marRight w:val="0"/>
      <w:marTop w:val="0"/>
      <w:marBottom w:val="0"/>
      <w:divBdr>
        <w:top w:val="none" w:sz="0" w:space="0" w:color="auto"/>
        <w:left w:val="none" w:sz="0" w:space="0" w:color="auto"/>
        <w:bottom w:val="none" w:sz="0" w:space="0" w:color="auto"/>
        <w:right w:val="none" w:sz="0" w:space="0" w:color="auto"/>
      </w:divBdr>
    </w:div>
    <w:div w:id="1224178225">
      <w:bodyDiv w:val="1"/>
      <w:marLeft w:val="0"/>
      <w:marRight w:val="0"/>
      <w:marTop w:val="0"/>
      <w:marBottom w:val="0"/>
      <w:divBdr>
        <w:top w:val="none" w:sz="0" w:space="0" w:color="auto"/>
        <w:left w:val="none" w:sz="0" w:space="0" w:color="auto"/>
        <w:bottom w:val="none" w:sz="0" w:space="0" w:color="auto"/>
        <w:right w:val="none" w:sz="0" w:space="0" w:color="auto"/>
      </w:divBdr>
    </w:div>
    <w:div w:id="1224215362">
      <w:bodyDiv w:val="1"/>
      <w:marLeft w:val="0"/>
      <w:marRight w:val="0"/>
      <w:marTop w:val="0"/>
      <w:marBottom w:val="0"/>
      <w:divBdr>
        <w:top w:val="none" w:sz="0" w:space="0" w:color="auto"/>
        <w:left w:val="none" w:sz="0" w:space="0" w:color="auto"/>
        <w:bottom w:val="none" w:sz="0" w:space="0" w:color="auto"/>
        <w:right w:val="none" w:sz="0" w:space="0" w:color="auto"/>
      </w:divBdr>
    </w:div>
    <w:div w:id="1224365939">
      <w:bodyDiv w:val="1"/>
      <w:marLeft w:val="0"/>
      <w:marRight w:val="0"/>
      <w:marTop w:val="0"/>
      <w:marBottom w:val="0"/>
      <w:divBdr>
        <w:top w:val="none" w:sz="0" w:space="0" w:color="auto"/>
        <w:left w:val="none" w:sz="0" w:space="0" w:color="auto"/>
        <w:bottom w:val="none" w:sz="0" w:space="0" w:color="auto"/>
        <w:right w:val="none" w:sz="0" w:space="0" w:color="auto"/>
      </w:divBdr>
    </w:div>
    <w:div w:id="1224415006">
      <w:bodyDiv w:val="1"/>
      <w:marLeft w:val="0"/>
      <w:marRight w:val="0"/>
      <w:marTop w:val="0"/>
      <w:marBottom w:val="0"/>
      <w:divBdr>
        <w:top w:val="none" w:sz="0" w:space="0" w:color="auto"/>
        <w:left w:val="none" w:sz="0" w:space="0" w:color="auto"/>
        <w:bottom w:val="none" w:sz="0" w:space="0" w:color="auto"/>
        <w:right w:val="none" w:sz="0" w:space="0" w:color="auto"/>
      </w:divBdr>
    </w:div>
    <w:div w:id="1224482337">
      <w:bodyDiv w:val="1"/>
      <w:marLeft w:val="0"/>
      <w:marRight w:val="0"/>
      <w:marTop w:val="0"/>
      <w:marBottom w:val="0"/>
      <w:divBdr>
        <w:top w:val="none" w:sz="0" w:space="0" w:color="auto"/>
        <w:left w:val="none" w:sz="0" w:space="0" w:color="auto"/>
        <w:bottom w:val="none" w:sz="0" w:space="0" w:color="auto"/>
        <w:right w:val="none" w:sz="0" w:space="0" w:color="auto"/>
      </w:divBdr>
    </w:div>
    <w:div w:id="1224489949">
      <w:bodyDiv w:val="1"/>
      <w:marLeft w:val="0"/>
      <w:marRight w:val="0"/>
      <w:marTop w:val="0"/>
      <w:marBottom w:val="0"/>
      <w:divBdr>
        <w:top w:val="none" w:sz="0" w:space="0" w:color="auto"/>
        <w:left w:val="none" w:sz="0" w:space="0" w:color="auto"/>
        <w:bottom w:val="none" w:sz="0" w:space="0" w:color="auto"/>
        <w:right w:val="none" w:sz="0" w:space="0" w:color="auto"/>
      </w:divBdr>
    </w:div>
    <w:div w:id="1224559842">
      <w:bodyDiv w:val="1"/>
      <w:marLeft w:val="0"/>
      <w:marRight w:val="0"/>
      <w:marTop w:val="0"/>
      <w:marBottom w:val="0"/>
      <w:divBdr>
        <w:top w:val="none" w:sz="0" w:space="0" w:color="auto"/>
        <w:left w:val="none" w:sz="0" w:space="0" w:color="auto"/>
        <w:bottom w:val="none" w:sz="0" w:space="0" w:color="auto"/>
        <w:right w:val="none" w:sz="0" w:space="0" w:color="auto"/>
      </w:divBdr>
    </w:div>
    <w:div w:id="1224637676">
      <w:bodyDiv w:val="1"/>
      <w:marLeft w:val="0"/>
      <w:marRight w:val="0"/>
      <w:marTop w:val="0"/>
      <w:marBottom w:val="0"/>
      <w:divBdr>
        <w:top w:val="none" w:sz="0" w:space="0" w:color="auto"/>
        <w:left w:val="none" w:sz="0" w:space="0" w:color="auto"/>
        <w:bottom w:val="none" w:sz="0" w:space="0" w:color="auto"/>
        <w:right w:val="none" w:sz="0" w:space="0" w:color="auto"/>
      </w:divBdr>
    </w:div>
    <w:div w:id="1224826969">
      <w:bodyDiv w:val="1"/>
      <w:marLeft w:val="0"/>
      <w:marRight w:val="0"/>
      <w:marTop w:val="0"/>
      <w:marBottom w:val="0"/>
      <w:divBdr>
        <w:top w:val="none" w:sz="0" w:space="0" w:color="auto"/>
        <w:left w:val="none" w:sz="0" w:space="0" w:color="auto"/>
        <w:bottom w:val="none" w:sz="0" w:space="0" w:color="auto"/>
        <w:right w:val="none" w:sz="0" w:space="0" w:color="auto"/>
      </w:divBdr>
    </w:div>
    <w:div w:id="1224875331">
      <w:bodyDiv w:val="1"/>
      <w:marLeft w:val="0"/>
      <w:marRight w:val="0"/>
      <w:marTop w:val="0"/>
      <w:marBottom w:val="0"/>
      <w:divBdr>
        <w:top w:val="none" w:sz="0" w:space="0" w:color="auto"/>
        <w:left w:val="none" w:sz="0" w:space="0" w:color="auto"/>
        <w:bottom w:val="none" w:sz="0" w:space="0" w:color="auto"/>
        <w:right w:val="none" w:sz="0" w:space="0" w:color="auto"/>
      </w:divBdr>
    </w:div>
    <w:div w:id="1224877752">
      <w:bodyDiv w:val="1"/>
      <w:marLeft w:val="0"/>
      <w:marRight w:val="0"/>
      <w:marTop w:val="0"/>
      <w:marBottom w:val="0"/>
      <w:divBdr>
        <w:top w:val="none" w:sz="0" w:space="0" w:color="auto"/>
        <w:left w:val="none" w:sz="0" w:space="0" w:color="auto"/>
        <w:bottom w:val="none" w:sz="0" w:space="0" w:color="auto"/>
        <w:right w:val="none" w:sz="0" w:space="0" w:color="auto"/>
      </w:divBdr>
    </w:div>
    <w:div w:id="1224953608">
      <w:bodyDiv w:val="1"/>
      <w:marLeft w:val="0"/>
      <w:marRight w:val="0"/>
      <w:marTop w:val="0"/>
      <w:marBottom w:val="0"/>
      <w:divBdr>
        <w:top w:val="none" w:sz="0" w:space="0" w:color="auto"/>
        <w:left w:val="none" w:sz="0" w:space="0" w:color="auto"/>
        <w:bottom w:val="none" w:sz="0" w:space="0" w:color="auto"/>
        <w:right w:val="none" w:sz="0" w:space="0" w:color="auto"/>
      </w:divBdr>
    </w:div>
    <w:div w:id="1225064929">
      <w:bodyDiv w:val="1"/>
      <w:marLeft w:val="0"/>
      <w:marRight w:val="0"/>
      <w:marTop w:val="0"/>
      <w:marBottom w:val="0"/>
      <w:divBdr>
        <w:top w:val="none" w:sz="0" w:space="0" w:color="auto"/>
        <w:left w:val="none" w:sz="0" w:space="0" w:color="auto"/>
        <w:bottom w:val="none" w:sz="0" w:space="0" w:color="auto"/>
        <w:right w:val="none" w:sz="0" w:space="0" w:color="auto"/>
      </w:divBdr>
    </w:div>
    <w:div w:id="1225069717">
      <w:bodyDiv w:val="1"/>
      <w:marLeft w:val="0"/>
      <w:marRight w:val="0"/>
      <w:marTop w:val="0"/>
      <w:marBottom w:val="0"/>
      <w:divBdr>
        <w:top w:val="none" w:sz="0" w:space="0" w:color="auto"/>
        <w:left w:val="none" w:sz="0" w:space="0" w:color="auto"/>
        <w:bottom w:val="none" w:sz="0" w:space="0" w:color="auto"/>
        <w:right w:val="none" w:sz="0" w:space="0" w:color="auto"/>
      </w:divBdr>
    </w:div>
    <w:div w:id="1225069784">
      <w:bodyDiv w:val="1"/>
      <w:marLeft w:val="0"/>
      <w:marRight w:val="0"/>
      <w:marTop w:val="0"/>
      <w:marBottom w:val="0"/>
      <w:divBdr>
        <w:top w:val="none" w:sz="0" w:space="0" w:color="auto"/>
        <w:left w:val="none" w:sz="0" w:space="0" w:color="auto"/>
        <w:bottom w:val="none" w:sz="0" w:space="0" w:color="auto"/>
        <w:right w:val="none" w:sz="0" w:space="0" w:color="auto"/>
      </w:divBdr>
    </w:div>
    <w:div w:id="1225096142">
      <w:bodyDiv w:val="1"/>
      <w:marLeft w:val="0"/>
      <w:marRight w:val="0"/>
      <w:marTop w:val="0"/>
      <w:marBottom w:val="0"/>
      <w:divBdr>
        <w:top w:val="none" w:sz="0" w:space="0" w:color="auto"/>
        <w:left w:val="none" w:sz="0" w:space="0" w:color="auto"/>
        <w:bottom w:val="none" w:sz="0" w:space="0" w:color="auto"/>
        <w:right w:val="none" w:sz="0" w:space="0" w:color="auto"/>
      </w:divBdr>
    </w:div>
    <w:div w:id="1225138651">
      <w:bodyDiv w:val="1"/>
      <w:marLeft w:val="0"/>
      <w:marRight w:val="0"/>
      <w:marTop w:val="0"/>
      <w:marBottom w:val="0"/>
      <w:divBdr>
        <w:top w:val="none" w:sz="0" w:space="0" w:color="auto"/>
        <w:left w:val="none" w:sz="0" w:space="0" w:color="auto"/>
        <w:bottom w:val="none" w:sz="0" w:space="0" w:color="auto"/>
        <w:right w:val="none" w:sz="0" w:space="0" w:color="auto"/>
      </w:divBdr>
    </w:div>
    <w:div w:id="1225145942">
      <w:bodyDiv w:val="1"/>
      <w:marLeft w:val="0"/>
      <w:marRight w:val="0"/>
      <w:marTop w:val="0"/>
      <w:marBottom w:val="0"/>
      <w:divBdr>
        <w:top w:val="none" w:sz="0" w:space="0" w:color="auto"/>
        <w:left w:val="none" w:sz="0" w:space="0" w:color="auto"/>
        <w:bottom w:val="none" w:sz="0" w:space="0" w:color="auto"/>
        <w:right w:val="none" w:sz="0" w:space="0" w:color="auto"/>
      </w:divBdr>
    </w:div>
    <w:div w:id="1225216684">
      <w:bodyDiv w:val="1"/>
      <w:marLeft w:val="0"/>
      <w:marRight w:val="0"/>
      <w:marTop w:val="0"/>
      <w:marBottom w:val="0"/>
      <w:divBdr>
        <w:top w:val="none" w:sz="0" w:space="0" w:color="auto"/>
        <w:left w:val="none" w:sz="0" w:space="0" w:color="auto"/>
        <w:bottom w:val="none" w:sz="0" w:space="0" w:color="auto"/>
        <w:right w:val="none" w:sz="0" w:space="0" w:color="auto"/>
      </w:divBdr>
    </w:div>
    <w:div w:id="1225290398">
      <w:bodyDiv w:val="1"/>
      <w:marLeft w:val="0"/>
      <w:marRight w:val="0"/>
      <w:marTop w:val="0"/>
      <w:marBottom w:val="0"/>
      <w:divBdr>
        <w:top w:val="none" w:sz="0" w:space="0" w:color="auto"/>
        <w:left w:val="none" w:sz="0" w:space="0" w:color="auto"/>
        <w:bottom w:val="none" w:sz="0" w:space="0" w:color="auto"/>
        <w:right w:val="none" w:sz="0" w:space="0" w:color="auto"/>
      </w:divBdr>
    </w:div>
    <w:div w:id="1225291815">
      <w:bodyDiv w:val="1"/>
      <w:marLeft w:val="0"/>
      <w:marRight w:val="0"/>
      <w:marTop w:val="0"/>
      <w:marBottom w:val="0"/>
      <w:divBdr>
        <w:top w:val="none" w:sz="0" w:space="0" w:color="auto"/>
        <w:left w:val="none" w:sz="0" w:space="0" w:color="auto"/>
        <w:bottom w:val="none" w:sz="0" w:space="0" w:color="auto"/>
        <w:right w:val="none" w:sz="0" w:space="0" w:color="auto"/>
      </w:divBdr>
    </w:div>
    <w:div w:id="1225333060">
      <w:bodyDiv w:val="1"/>
      <w:marLeft w:val="0"/>
      <w:marRight w:val="0"/>
      <w:marTop w:val="0"/>
      <w:marBottom w:val="0"/>
      <w:divBdr>
        <w:top w:val="none" w:sz="0" w:space="0" w:color="auto"/>
        <w:left w:val="none" w:sz="0" w:space="0" w:color="auto"/>
        <w:bottom w:val="none" w:sz="0" w:space="0" w:color="auto"/>
        <w:right w:val="none" w:sz="0" w:space="0" w:color="auto"/>
      </w:divBdr>
    </w:div>
    <w:div w:id="1225408672">
      <w:bodyDiv w:val="1"/>
      <w:marLeft w:val="0"/>
      <w:marRight w:val="0"/>
      <w:marTop w:val="0"/>
      <w:marBottom w:val="0"/>
      <w:divBdr>
        <w:top w:val="none" w:sz="0" w:space="0" w:color="auto"/>
        <w:left w:val="none" w:sz="0" w:space="0" w:color="auto"/>
        <w:bottom w:val="none" w:sz="0" w:space="0" w:color="auto"/>
        <w:right w:val="none" w:sz="0" w:space="0" w:color="auto"/>
      </w:divBdr>
    </w:div>
    <w:div w:id="1225411123">
      <w:bodyDiv w:val="1"/>
      <w:marLeft w:val="0"/>
      <w:marRight w:val="0"/>
      <w:marTop w:val="0"/>
      <w:marBottom w:val="0"/>
      <w:divBdr>
        <w:top w:val="none" w:sz="0" w:space="0" w:color="auto"/>
        <w:left w:val="none" w:sz="0" w:space="0" w:color="auto"/>
        <w:bottom w:val="none" w:sz="0" w:space="0" w:color="auto"/>
        <w:right w:val="none" w:sz="0" w:space="0" w:color="auto"/>
      </w:divBdr>
    </w:div>
    <w:div w:id="1225413574">
      <w:bodyDiv w:val="1"/>
      <w:marLeft w:val="0"/>
      <w:marRight w:val="0"/>
      <w:marTop w:val="0"/>
      <w:marBottom w:val="0"/>
      <w:divBdr>
        <w:top w:val="none" w:sz="0" w:space="0" w:color="auto"/>
        <w:left w:val="none" w:sz="0" w:space="0" w:color="auto"/>
        <w:bottom w:val="none" w:sz="0" w:space="0" w:color="auto"/>
        <w:right w:val="none" w:sz="0" w:space="0" w:color="auto"/>
      </w:divBdr>
    </w:div>
    <w:div w:id="1225530132">
      <w:bodyDiv w:val="1"/>
      <w:marLeft w:val="0"/>
      <w:marRight w:val="0"/>
      <w:marTop w:val="0"/>
      <w:marBottom w:val="0"/>
      <w:divBdr>
        <w:top w:val="none" w:sz="0" w:space="0" w:color="auto"/>
        <w:left w:val="none" w:sz="0" w:space="0" w:color="auto"/>
        <w:bottom w:val="none" w:sz="0" w:space="0" w:color="auto"/>
        <w:right w:val="none" w:sz="0" w:space="0" w:color="auto"/>
      </w:divBdr>
    </w:div>
    <w:div w:id="1225599758">
      <w:bodyDiv w:val="1"/>
      <w:marLeft w:val="0"/>
      <w:marRight w:val="0"/>
      <w:marTop w:val="0"/>
      <w:marBottom w:val="0"/>
      <w:divBdr>
        <w:top w:val="none" w:sz="0" w:space="0" w:color="auto"/>
        <w:left w:val="none" w:sz="0" w:space="0" w:color="auto"/>
        <w:bottom w:val="none" w:sz="0" w:space="0" w:color="auto"/>
        <w:right w:val="none" w:sz="0" w:space="0" w:color="auto"/>
      </w:divBdr>
    </w:div>
    <w:div w:id="1225682383">
      <w:bodyDiv w:val="1"/>
      <w:marLeft w:val="0"/>
      <w:marRight w:val="0"/>
      <w:marTop w:val="0"/>
      <w:marBottom w:val="0"/>
      <w:divBdr>
        <w:top w:val="none" w:sz="0" w:space="0" w:color="auto"/>
        <w:left w:val="none" w:sz="0" w:space="0" w:color="auto"/>
        <w:bottom w:val="none" w:sz="0" w:space="0" w:color="auto"/>
        <w:right w:val="none" w:sz="0" w:space="0" w:color="auto"/>
      </w:divBdr>
    </w:div>
    <w:div w:id="1225794769">
      <w:bodyDiv w:val="1"/>
      <w:marLeft w:val="0"/>
      <w:marRight w:val="0"/>
      <w:marTop w:val="0"/>
      <w:marBottom w:val="0"/>
      <w:divBdr>
        <w:top w:val="none" w:sz="0" w:space="0" w:color="auto"/>
        <w:left w:val="none" w:sz="0" w:space="0" w:color="auto"/>
        <w:bottom w:val="none" w:sz="0" w:space="0" w:color="auto"/>
        <w:right w:val="none" w:sz="0" w:space="0" w:color="auto"/>
      </w:divBdr>
    </w:div>
    <w:div w:id="1225797574">
      <w:bodyDiv w:val="1"/>
      <w:marLeft w:val="0"/>
      <w:marRight w:val="0"/>
      <w:marTop w:val="0"/>
      <w:marBottom w:val="0"/>
      <w:divBdr>
        <w:top w:val="none" w:sz="0" w:space="0" w:color="auto"/>
        <w:left w:val="none" w:sz="0" w:space="0" w:color="auto"/>
        <w:bottom w:val="none" w:sz="0" w:space="0" w:color="auto"/>
        <w:right w:val="none" w:sz="0" w:space="0" w:color="auto"/>
      </w:divBdr>
    </w:div>
    <w:div w:id="1225801982">
      <w:bodyDiv w:val="1"/>
      <w:marLeft w:val="0"/>
      <w:marRight w:val="0"/>
      <w:marTop w:val="0"/>
      <w:marBottom w:val="0"/>
      <w:divBdr>
        <w:top w:val="none" w:sz="0" w:space="0" w:color="auto"/>
        <w:left w:val="none" w:sz="0" w:space="0" w:color="auto"/>
        <w:bottom w:val="none" w:sz="0" w:space="0" w:color="auto"/>
        <w:right w:val="none" w:sz="0" w:space="0" w:color="auto"/>
      </w:divBdr>
    </w:div>
    <w:div w:id="1226254507">
      <w:bodyDiv w:val="1"/>
      <w:marLeft w:val="0"/>
      <w:marRight w:val="0"/>
      <w:marTop w:val="0"/>
      <w:marBottom w:val="0"/>
      <w:divBdr>
        <w:top w:val="none" w:sz="0" w:space="0" w:color="auto"/>
        <w:left w:val="none" w:sz="0" w:space="0" w:color="auto"/>
        <w:bottom w:val="none" w:sz="0" w:space="0" w:color="auto"/>
        <w:right w:val="none" w:sz="0" w:space="0" w:color="auto"/>
      </w:divBdr>
    </w:div>
    <w:div w:id="1226256140">
      <w:bodyDiv w:val="1"/>
      <w:marLeft w:val="0"/>
      <w:marRight w:val="0"/>
      <w:marTop w:val="0"/>
      <w:marBottom w:val="0"/>
      <w:divBdr>
        <w:top w:val="none" w:sz="0" w:space="0" w:color="auto"/>
        <w:left w:val="none" w:sz="0" w:space="0" w:color="auto"/>
        <w:bottom w:val="none" w:sz="0" w:space="0" w:color="auto"/>
        <w:right w:val="none" w:sz="0" w:space="0" w:color="auto"/>
      </w:divBdr>
    </w:div>
    <w:div w:id="1226334514">
      <w:bodyDiv w:val="1"/>
      <w:marLeft w:val="0"/>
      <w:marRight w:val="0"/>
      <w:marTop w:val="0"/>
      <w:marBottom w:val="0"/>
      <w:divBdr>
        <w:top w:val="none" w:sz="0" w:space="0" w:color="auto"/>
        <w:left w:val="none" w:sz="0" w:space="0" w:color="auto"/>
        <w:bottom w:val="none" w:sz="0" w:space="0" w:color="auto"/>
        <w:right w:val="none" w:sz="0" w:space="0" w:color="auto"/>
      </w:divBdr>
    </w:div>
    <w:div w:id="1226381853">
      <w:bodyDiv w:val="1"/>
      <w:marLeft w:val="0"/>
      <w:marRight w:val="0"/>
      <w:marTop w:val="0"/>
      <w:marBottom w:val="0"/>
      <w:divBdr>
        <w:top w:val="none" w:sz="0" w:space="0" w:color="auto"/>
        <w:left w:val="none" w:sz="0" w:space="0" w:color="auto"/>
        <w:bottom w:val="none" w:sz="0" w:space="0" w:color="auto"/>
        <w:right w:val="none" w:sz="0" w:space="0" w:color="auto"/>
      </w:divBdr>
    </w:div>
    <w:div w:id="1226407676">
      <w:bodyDiv w:val="1"/>
      <w:marLeft w:val="0"/>
      <w:marRight w:val="0"/>
      <w:marTop w:val="0"/>
      <w:marBottom w:val="0"/>
      <w:divBdr>
        <w:top w:val="none" w:sz="0" w:space="0" w:color="auto"/>
        <w:left w:val="none" w:sz="0" w:space="0" w:color="auto"/>
        <w:bottom w:val="none" w:sz="0" w:space="0" w:color="auto"/>
        <w:right w:val="none" w:sz="0" w:space="0" w:color="auto"/>
      </w:divBdr>
    </w:div>
    <w:div w:id="1226449198">
      <w:bodyDiv w:val="1"/>
      <w:marLeft w:val="0"/>
      <w:marRight w:val="0"/>
      <w:marTop w:val="0"/>
      <w:marBottom w:val="0"/>
      <w:divBdr>
        <w:top w:val="none" w:sz="0" w:space="0" w:color="auto"/>
        <w:left w:val="none" w:sz="0" w:space="0" w:color="auto"/>
        <w:bottom w:val="none" w:sz="0" w:space="0" w:color="auto"/>
        <w:right w:val="none" w:sz="0" w:space="0" w:color="auto"/>
      </w:divBdr>
    </w:div>
    <w:div w:id="1226452818">
      <w:bodyDiv w:val="1"/>
      <w:marLeft w:val="0"/>
      <w:marRight w:val="0"/>
      <w:marTop w:val="0"/>
      <w:marBottom w:val="0"/>
      <w:divBdr>
        <w:top w:val="none" w:sz="0" w:space="0" w:color="auto"/>
        <w:left w:val="none" w:sz="0" w:space="0" w:color="auto"/>
        <w:bottom w:val="none" w:sz="0" w:space="0" w:color="auto"/>
        <w:right w:val="none" w:sz="0" w:space="0" w:color="auto"/>
      </w:divBdr>
    </w:div>
    <w:div w:id="1226524891">
      <w:bodyDiv w:val="1"/>
      <w:marLeft w:val="0"/>
      <w:marRight w:val="0"/>
      <w:marTop w:val="0"/>
      <w:marBottom w:val="0"/>
      <w:divBdr>
        <w:top w:val="none" w:sz="0" w:space="0" w:color="auto"/>
        <w:left w:val="none" w:sz="0" w:space="0" w:color="auto"/>
        <w:bottom w:val="none" w:sz="0" w:space="0" w:color="auto"/>
        <w:right w:val="none" w:sz="0" w:space="0" w:color="auto"/>
      </w:divBdr>
    </w:div>
    <w:div w:id="1226530300">
      <w:bodyDiv w:val="1"/>
      <w:marLeft w:val="0"/>
      <w:marRight w:val="0"/>
      <w:marTop w:val="0"/>
      <w:marBottom w:val="0"/>
      <w:divBdr>
        <w:top w:val="none" w:sz="0" w:space="0" w:color="auto"/>
        <w:left w:val="none" w:sz="0" w:space="0" w:color="auto"/>
        <w:bottom w:val="none" w:sz="0" w:space="0" w:color="auto"/>
        <w:right w:val="none" w:sz="0" w:space="0" w:color="auto"/>
      </w:divBdr>
    </w:div>
    <w:div w:id="1226573260">
      <w:bodyDiv w:val="1"/>
      <w:marLeft w:val="0"/>
      <w:marRight w:val="0"/>
      <w:marTop w:val="0"/>
      <w:marBottom w:val="0"/>
      <w:divBdr>
        <w:top w:val="none" w:sz="0" w:space="0" w:color="auto"/>
        <w:left w:val="none" w:sz="0" w:space="0" w:color="auto"/>
        <w:bottom w:val="none" w:sz="0" w:space="0" w:color="auto"/>
        <w:right w:val="none" w:sz="0" w:space="0" w:color="auto"/>
      </w:divBdr>
    </w:div>
    <w:div w:id="1226644991">
      <w:bodyDiv w:val="1"/>
      <w:marLeft w:val="0"/>
      <w:marRight w:val="0"/>
      <w:marTop w:val="0"/>
      <w:marBottom w:val="0"/>
      <w:divBdr>
        <w:top w:val="none" w:sz="0" w:space="0" w:color="auto"/>
        <w:left w:val="none" w:sz="0" w:space="0" w:color="auto"/>
        <w:bottom w:val="none" w:sz="0" w:space="0" w:color="auto"/>
        <w:right w:val="none" w:sz="0" w:space="0" w:color="auto"/>
      </w:divBdr>
    </w:div>
    <w:div w:id="1226646288">
      <w:bodyDiv w:val="1"/>
      <w:marLeft w:val="0"/>
      <w:marRight w:val="0"/>
      <w:marTop w:val="0"/>
      <w:marBottom w:val="0"/>
      <w:divBdr>
        <w:top w:val="none" w:sz="0" w:space="0" w:color="auto"/>
        <w:left w:val="none" w:sz="0" w:space="0" w:color="auto"/>
        <w:bottom w:val="none" w:sz="0" w:space="0" w:color="auto"/>
        <w:right w:val="none" w:sz="0" w:space="0" w:color="auto"/>
      </w:divBdr>
    </w:div>
    <w:div w:id="1226649451">
      <w:bodyDiv w:val="1"/>
      <w:marLeft w:val="0"/>
      <w:marRight w:val="0"/>
      <w:marTop w:val="0"/>
      <w:marBottom w:val="0"/>
      <w:divBdr>
        <w:top w:val="none" w:sz="0" w:space="0" w:color="auto"/>
        <w:left w:val="none" w:sz="0" w:space="0" w:color="auto"/>
        <w:bottom w:val="none" w:sz="0" w:space="0" w:color="auto"/>
        <w:right w:val="none" w:sz="0" w:space="0" w:color="auto"/>
      </w:divBdr>
    </w:div>
    <w:div w:id="1226725701">
      <w:bodyDiv w:val="1"/>
      <w:marLeft w:val="0"/>
      <w:marRight w:val="0"/>
      <w:marTop w:val="0"/>
      <w:marBottom w:val="0"/>
      <w:divBdr>
        <w:top w:val="none" w:sz="0" w:space="0" w:color="auto"/>
        <w:left w:val="none" w:sz="0" w:space="0" w:color="auto"/>
        <w:bottom w:val="none" w:sz="0" w:space="0" w:color="auto"/>
        <w:right w:val="none" w:sz="0" w:space="0" w:color="auto"/>
      </w:divBdr>
    </w:div>
    <w:div w:id="1226793210">
      <w:bodyDiv w:val="1"/>
      <w:marLeft w:val="0"/>
      <w:marRight w:val="0"/>
      <w:marTop w:val="0"/>
      <w:marBottom w:val="0"/>
      <w:divBdr>
        <w:top w:val="none" w:sz="0" w:space="0" w:color="auto"/>
        <w:left w:val="none" w:sz="0" w:space="0" w:color="auto"/>
        <w:bottom w:val="none" w:sz="0" w:space="0" w:color="auto"/>
        <w:right w:val="none" w:sz="0" w:space="0" w:color="auto"/>
      </w:divBdr>
    </w:div>
    <w:div w:id="1226837451">
      <w:bodyDiv w:val="1"/>
      <w:marLeft w:val="0"/>
      <w:marRight w:val="0"/>
      <w:marTop w:val="0"/>
      <w:marBottom w:val="0"/>
      <w:divBdr>
        <w:top w:val="none" w:sz="0" w:space="0" w:color="auto"/>
        <w:left w:val="none" w:sz="0" w:space="0" w:color="auto"/>
        <w:bottom w:val="none" w:sz="0" w:space="0" w:color="auto"/>
        <w:right w:val="none" w:sz="0" w:space="0" w:color="auto"/>
      </w:divBdr>
    </w:div>
    <w:div w:id="1226838023">
      <w:bodyDiv w:val="1"/>
      <w:marLeft w:val="0"/>
      <w:marRight w:val="0"/>
      <w:marTop w:val="0"/>
      <w:marBottom w:val="0"/>
      <w:divBdr>
        <w:top w:val="none" w:sz="0" w:space="0" w:color="auto"/>
        <w:left w:val="none" w:sz="0" w:space="0" w:color="auto"/>
        <w:bottom w:val="none" w:sz="0" w:space="0" w:color="auto"/>
        <w:right w:val="none" w:sz="0" w:space="0" w:color="auto"/>
      </w:divBdr>
    </w:div>
    <w:div w:id="1226909742">
      <w:bodyDiv w:val="1"/>
      <w:marLeft w:val="0"/>
      <w:marRight w:val="0"/>
      <w:marTop w:val="0"/>
      <w:marBottom w:val="0"/>
      <w:divBdr>
        <w:top w:val="none" w:sz="0" w:space="0" w:color="auto"/>
        <w:left w:val="none" w:sz="0" w:space="0" w:color="auto"/>
        <w:bottom w:val="none" w:sz="0" w:space="0" w:color="auto"/>
        <w:right w:val="none" w:sz="0" w:space="0" w:color="auto"/>
      </w:divBdr>
    </w:div>
    <w:div w:id="1227035720">
      <w:bodyDiv w:val="1"/>
      <w:marLeft w:val="0"/>
      <w:marRight w:val="0"/>
      <w:marTop w:val="0"/>
      <w:marBottom w:val="0"/>
      <w:divBdr>
        <w:top w:val="none" w:sz="0" w:space="0" w:color="auto"/>
        <w:left w:val="none" w:sz="0" w:space="0" w:color="auto"/>
        <w:bottom w:val="none" w:sz="0" w:space="0" w:color="auto"/>
        <w:right w:val="none" w:sz="0" w:space="0" w:color="auto"/>
      </w:divBdr>
    </w:div>
    <w:div w:id="1227104248">
      <w:bodyDiv w:val="1"/>
      <w:marLeft w:val="0"/>
      <w:marRight w:val="0"/>
      <w:marTop w:val="0"/>
      <w:marBottom w:val="0"/>
      <w:divBdr>
        <w:top w:val="none" w:sz="0" w:space="0" w:color="auto"/>
        <w:left w:val="none" w:sz="0" w:space="0" w:color="auto"/>
        <w:bottom w:val="none" w:sz="0" w:space="0" w:color="auto"/>
        <w:right w:val="none" w:sz="0" w:space="0" w:color="auto"/>
      </w:divBdr>
    </w:div>
    <w:div w:id="1227229861">
      <w:bodyDiv w:val="1"/>
      <w:marLeft w:val="0"/>
      <w:marRight w:val="0"/>
      <w:marTop w:val="0"/>
      <w:marBottom w:val="0"/>
      <w:divBdr>
        <w:top w:val="none" w:sz="0" w:space="0" w:color="auto"/>
        <w:left w:val="none" w:sz="0" w:space="0" w:color="auto"/>
        <w:bottom w:val="none" w:sz="0" w:space="0" w:color="auto"/>
        <w:right w:val="none" w:sz="0" w:space="0" w:color="auto"/>
      </w:divBdr>
    </w:div>
    <w:div w:id="1227303435">
      <w:bodyDiv w:val="1"/>
      <w:marLeft w:val="0"/>
      <w:marRight w:val="0"/>
      <w:marTop w:val="0"/>
      <w:marBottom w:val="0"/>
      <w:divBdr>
        <w:top w:val="none" w:sz="0" w:space="0" w:color="auto"/>
        <w:left w:val="none" w:sz="0" w:space="0" w:color="auto"/>
        <w:bottom w:val="none" w:sz="0" w:space="0" w:color="auto"/>
        <w:right w:val="none" w:sz="0" w:space="0" w:color="auto"/>
      </w:divBdr>
    </w:div>
    <w:div w:id="1227448271">
      <w:bodyDiv w:val="1"/>
      <w:marLeft w:val="0"/>
      <w:marRight w:val="0"/>
      <w:marTop w:val="0"/>
      <w:marBottom w:val="0"/>
      <w:divBdr>
        <w:top w:val="none" w:sz="0" w:space="0" w:color="auto"/>
        <w:left w:val="none" w:sz="0" w:space="0" w:color="auto"/>
        <w:bottom w:val="none" w:sz="0" w:space="0" w:color="auto"/>
        <w:right w:val="none" w:sz="0" w:space="0" w:color="auto"/>
      </w:divBdr>
    </w:div>
    <w:div w:id="1227497924">
      <w:bodyDiv w:val="1"/>
      <w:marLeft w:val="0"/>
      <w:marRight w:val="0"/>
      <w:marTop w:val="0"/>
      <w:marBottom w:val="0"/>
      <w:divBdr>
        <w:top w:val="none" w:sz="0" w:space="0" w:color="auto"/>
        <w:left w:val="none" w:sz="0" w:space="0" w:color="auto"/>
        <w:bottom w:val="none" w:sz="0" w:space="0" w:color="auto"/>
        <w:right w:val="none" w:sz="0" w:space="0" w:color="auto"/>
      </w:divBdr>
    </w:div>
    <w:div w:id="1227566881">
      <w:bodyDiv w:val="1"/>
      <w:marLeft w:val="0"/>
      <w:marRight w:val="0"/>
      <w:marTop w:val="0"/>
      <w:marBottom w:val="0"/>
      <w:divBdr>
        <w:top w:val="none" w:sz="0" w:space="0" w:color="auto"/>
        <w:left w:val="none" w:sz="0" w:space="0" w:color="auto"/>
        <w:bottom w:val="none" w:sz="0" w:space="0" w:color="auto"/>
        <w:right w:val="none" w:sz="0" w:space="0" w:color="auto"/>
      </w:divBdr>
    </w:div>
    <w:div w:id="1227572635">
      <w:bodyDiv w:val="1"/>
      <w:marLeft w:val="0"/>
      <w:marRight w:val="0"/>
      <w:marTop w:val="0"/>
      <w:marBottom w:val="0"/>
      <w:divBdr>
        <w:top w:val="none" w:sz="0" w:space="0" w:color="auto"/>
        <w:left w:val="none" w:sz="0" w:space="0" w:color="auto"/>
        <w:bottom w:val="none" w:sz="0" w:space="0" w:color="auto"/>
        <w:right w:val="none" w:sz="0" w:space="0" w:color="auto"/>
      </w:divBdr>
    </w:div>
    <w:div w:id="1227641787">
      <w:bodyDiv w:val="1"/>
      <w:marLeft w:val="0"/>
      <w:marRight w:val="0"/>
      <w:marTop w:val="0"/>
      <w:marBottom w:val="0"/>
      <w:divBdr>
        <w:top w:val="none" w:sz="0" w:space="0" w:color="auto"/>
        <w:left w:val="none" w:sz="0" w:space="0" w:color="auto"/>
        <w:bottom w:val="none" w:sz="0" w:space="0" w:color="auto"/>
        <w:right w:val="none" w:sz="0" w:space="0" w:color="auto"/>
      </w:divBdr>
    </w:div>
    <w:div w:id="1227645405">
      <w:bodyDiv w:val="1"/>
      <w:marLeft w:val="0"/>
      <w:marRight w:val="0"/>
      <w:marTop w:val="0"/>
      <w:marBottom w:val="0"/>
      <w:divBdr>
        <w:top w:val="none" w:sz="0" w:space="0" w:color="auto"/>
        <w:left w:val="none" w:sz="0" w:space="0" w:color="auto"/>
        <w:bottom w:val="none" w:sz="0" w:space="0" w:color="auto"/>
        <w:right w:val="none" w:sz="0" w:space="0" w:color="auto"/>
      </w:divBdr>
    </w:div>
    <w:div w:id="1227691002">
      <w:bodyDiv w:val="1"/>
      <w:marLeft w:val="0"/>
      <w:marRight w:val="0"/>
      <w:marTop w:val="0"/>
      <w:marBottom w:val="0"/>
      <w:divBdr>
        <w:top w:val="none" w:sz="0" w:space="0" w:color="auto"/>
        <w:left w:val="none" w:sz="0" w:space="0" w:color="auto"/>
        <w:bottom w:val="none" w:sz="0" w:space="0" w:color="auto"/>
        <w:right w:val="none" w:sz="0" w:space="0" w:color="auto"/>
      </w:divBdr>
    </w:div>
    <w:div w:id="1227758831">
      <w:bodyDiv w:val="1"/>
      <w:marLeft w:val="0"/>
      <w:marRight w:val="0"/>
      <w:marTop w:val="0"/>
      <w:marBottom w:val="0"/>
      <w:divBdr>
        <w:top w:val="none" w:sz="0" w:space="0" w:color="auto"/>
        <w:left w:val="none" w:sz="0" w:space="0" w:color="auto"/>
        <w:bottom w:val="none" w:sz="0" w:space="0" w:color="auto"/>
        <w:right w:val="none" w:sz="0" w:space="0" w:color="auto"/>
      </w:divBdr>
    </w:div>
    <w:div w:id="1227884893">
      <w:bodyDiv w:val="1"/>
      <w:marLeft w:val="0"/>
      <w:marRight w:val="0"/>
      <w:marTop w:val="0"/>
      <w:marBottom w:val="0"/>
      <w:divBdr>
        <w:top w:val="none" w:sz="0" w:space="0" w:color="auto"/>
        <w:left w:val="none" w:sz="0" w:space="0" w:color="auto"/>
        <w:bottom w:val="none" w:sz="0" w:space="0" w:color="auto"/>
        <w:right w:val="none" w:sz="0" w:space="0" w:color="auto"/>
      </w:divBdr>
    </w:div>
    <w:div w:id="1228151806">
      <w:bodyDiv w:val="1"/>
      <w:marLeft w:val="0"/>
      <w:marRight w:val="0"/>
      <w:marTop w:val="0"/>
      <w:marBottom w:val="0"/>
      <w:divBdr>
        <w:top w:val="none" w:sz="0" w:space="0" w:color="auto"/>
        <w:left w:val="none" w:sz="0" w:space="0" w:color="auto"/>
        <w:bottom w:val="none" w:sz="0" w:space="0" w:color="auto"/>
        <w:right w:val="none" w:sz="0" w:space="0" w:color="auto"/>
      </w:divBdr>
    </w:div>
    <w:div w:id="1228222494">
      <w:bodyDiv w:val="1"/>
      <w:marLeft w:val="0"/>
      <w:marRight w:val="0"/>
      <w:marTop w:val="0"/>
      <w:marBottom w:val="0"/>
      <w:divBdr>
        <w:top w:val="none" w:sz="0" w:space="0" w:color="auto"/>
        <w:left w:val="none" w:sz="0" w:space="0" w:color="auto"/>
        <w:bottom w:val="none" w:sz="0" w:space="0" w:color="auto"/>
        <w:right w:val="none" w:sz="0" w:space="0" w:color="auto"/>
      </w:divBdr>
    </w:div>
    <w:div w:id="1228300888">
      <w:bodyDiv w:val="1"/>
      <w:marLeft w:val="0"/>
      <w:marRight w:val="0"/>
      <w:marTop w:val="0"/>
      <w:marBottom w:val="0"/>
      <w:divBdr>
        <w:top w:val="none" w:sz="0" w:space="0" w:color="auto"/>
        <w:left w:val="none" w:sz="0" w:space="0" w:color="auto"/>
        <w:bottom w:val="none" w:sz="0" w:space="0" w:color="auto"/>
        <w:right w:val="none" w:sz="0" w:space="0" w:color="auto"/>
      </w:divBdr>
    </w:div>
    <w:div w:id="1228301241">
      <w:bodyDiv w:val="1"/>
      <w:marLeft w:val="0"/>
      <w:marRight w:val="0"/>
      <w:marTop w:val="0"/>
      <w:marBottom w:val="0"/>
      <w:divBdr>
        <w:top w:val="none" w:sz="0" w:space="0" w:color="auto"/>
        <w:left w:val="none" w:sz="0" w:space="0" w:color="auto"/>
        <w:bottom w:val="none" w:sz="0" w:space="0" w:color="auto"/>
        <w:right w:val="none" w:sz="0" w:space="0" w:color="auto"/>
      </w:divBdr>
    </w:div>
    <w:div w:id="1228342515">
      <w:bodyDiv w:val="1"/>
      <w:marLeft w:val="0"/>
      <w:marRight w:val="0"/>
      <w:marTop w:val="0"/>
      <w:marBottom w:val="0"/>
      <w:divBdr>
        <w:top w:val="none" w:sz="0" w:space="0" w:color="auto"/>
        <w:left w:val="none" w:sz="0" w:space="0" w:color="auto"/>
        <w:bottom w:val="none" w:sz="0" w:space="0" w:color="auto"/>
        <w:right w:val="none" w:sz="0" w:space="0" w:color="auto"/>
      </w:divBdr>
    </w:div>
    <w:div w:id="1228420313">
      <w:bodyDiv w:val="1"/>
      <w:marLeft w:val="0"/>
      <w:marRight w:val="0"/>
      <w:marTop w:val="0"/>
      <w:marBottom w:val="0"/>
      <w:divBdr>
        <w:top w:val="none" w:sz="0" w:space="0" w:color="auto"/>
        <w:left w:val="none" w:sz="0" w:space="0" w:color="auto"/>
        <w:bottom w:val="none" w:sz="0" w:space="0" w:color="auto"/>
        <w:right w:val="none" w:sz="0" w:space="0" w:color="auto"/>
      </w:divBdr>
    </w:div>
    <w:div w:id="1228807104">
      <w:bodyDiv w:val="1"/>
      <w:marLeft w:val="0"/>
      <w:marRight w:val="0"/>
      <w:marTop w:val="0"/>
      <w:marBottom w:val="0"/>
      <w:divBdr>
        <w:top w:val="none" w:sz="0" w:space="0" w:color="auto"/>
        <w:left w:val="none" w:sz="0" w:space="0" w:color="auto"/>
        <w:bottom w:val="none" w:sz="0" w:space="0" w:color="auto"/>
        <w:right w:val="none" w:sz="0" w:space="0" w:color="auto"/>
      </w:divBdr>
    </w:div>
    <w:div w:id="1228807383">
      <w:bodyDiv w:val="1"/>
      <w:marLeft w:val="0"/>
      <w:marRight w:val="0"/>
      <w:marTop w:val="0"/>
      <w:marBottom w:val="0"/>
      <w:divBdr>
        <w:top w:val="none" w:sz="0" w:space="0" w:color="auto"/>
        <w:left w:val="none" w:sz="0" w:space="0" w:color="auto"/>
        <w:bottom w:val="none" w:sz="0" w:space="0" w:color="auto"/>
        <w:right w:val="none" w:sz="0" w:space="0" w:color="auto"/>
      </w:divBdr>
    </w:div>
    <w:div w:id="1228807838">
      <w:bodyDiv w:val="1"/>
      <w:marLeft w:val="0"/>
      <w:marRight w:val="0"/>
      <w:marTop w:val="0"/>
      <w:marBottom w:val="0"/>
      <w:divBdr>
        <w:top w:val="none" w:sz="0" w:space="0" w:color="auto"/>
        <w:left w:val="none" w:sz="0" w:space="0" w:color="auto"/>
        <w:bottom w:val="none" w:sz="0" w:space="0" w:color="auto"/>
        <w:right w:val="none" w:sz="0" w:space="0" w:color="auto"/>
      </w:divBdr>
    </w:div>
    <w:div w:id="1228875958">
      <w:bodyDiv w:val="1"/>
      <w:marLeft w:val="0"/>
      <w:marRight w:val="0"/>
      <w:marTop w:val="0"/>
      <w:marBottom w:val="0"/>
      <w:divBdr>
        <w:top w:val="none" w:sz="0" w:space="0" w:color="auto"/>
        <w:left w:val="none" w:sz="0" w:space="0" w:color="auto"/>
        <w:bottom w:val="none" w:sz="0" w:space="0" w:color="auto"/>
        <w:right w:val="none" w:sz="0" w:space="0" w:color="auto"/>
      </w:divBdr>
    </w:div>
    <w:div w:id="1228876152">
      <w:bodyDiv w:val="1"/>
      <w:marLeft w:val="0"/>
      <w:marRight w:val="0"/>
      <w:marTop w:val="0"/>
      <w:marBottom w:val="0"/>
      <w:divBdr>
        <w:top w:val="none" w:sz="0" w:space="0" w:color="auto"/>
        <w:left w:val="none" w:sz="0" w:space="0" w:color="auto"/>
        <w:bottom w:val="none" w:sz="0" w:space="0" w:color="auto"/>
        <w:right w:val="none" w:sz="0" w:space="0" w:color="auto"/>
      </w:divBdr>
    </w:div>
    <w:div w:id="1228876233">
      <w:bodyDiv w:val="1"/>
      <w:marLeft w:val="0"/>
      <w:marRight w:val="0"/>
      <w:marTop w:val="0"/>
      <w:marBottom w:val="0"/>
      <w:divBdr>
        <w:top w:val="none" w:sz="0" w:space="0" w:color="auto"/>
        <w:left w:val="none" w:sz="0" w:space="0" w:color="auto"/>
        <w:bottom w:val="none" w:sz="0" w:space="0" w:color="auto"/>
        <w:right w:val="none" w:sz="0" w:space="0" w:color="auto"/>
      </w:divBdr>
    </w:div>
    <w:div w:id="1229068988">
      <w:bodyDiv w:val="1"/>
      <w:marLeft w:val="0"/>
      <w:marRight w:val="0"/>
      <w:marTop w:val="0"/>
      <w:marBottom w:val="0"/>
      <w:divBdr>
        <w:top w:val="none" w:sz="0" w:space="0" w:color="auto"/>
        <w:left w:val="none" w:sz="0" w:space="0" w:color="auto"/>
        <w:bottom w:val="none" w:sz="0" w:space="0" w:color="auto"/>
        <w:right w:val="none" w:sz="0" w:space="0" w:color="auto"/>
      </w:divBdr>
    </w:div>
    <w:div w:id="1229145452">
      <w:bodyDiv w:val="1"/>
      <w:marLeft w:val="0"/>
      <w:marRight w:val="0"/>
      <w:marTop w:val="0"/>
      <w:marBottom w:val="0"/>
      <w:divBdr>
        <w:top w:val="none" w:sz="0" w:space="0" w:color="auto"/>
        <w:left w:val="none" w:sz="0" w:space="0" w:color="auto"/>
        <w:bottom w:val="none" w:sz="0" w:space="0" w:color="auto"/>
        <w:right w:val="none" w:sz="0" w:space="0" w:color="auto"/>
      </w:divBdr>
    </w:div>
    <w:div w:id="1229147463">
      <w:bodyDiv w:val="1"/>
      <w:marLeft w:val="0"/>
      <w:marRight w:val="0"/>
      <w:marTop w:val="0"/>
      <w:marBottom w:val="0"/>
      <w:divBdr>
        <w:top w:val="none" w:sz="0" w:space="0" w:color="auto"/>
        <w:left w:val="none" w:sz="0" w:space="0" w:color="auto"/>
        <w:bottom w:val="none" w:sz="0" w:space="0" w:color="auto"/>
        <w:right w:val="none" w:sz="0" w:space="0" w:color="auto"/>
      </w:divBdr>
    </w:div>
    <w:div w:id="1229193609">
      <w:bodyDiv w:val="1"/>
      <w:marLeft w:val="0"/>
      <w:marRight w:val="0"/>
      <w:marTop w:val="0"/>
      <w:marBottom w:val="0"/>
      <w:divBdr>
        <w:top w:val="none" w:sz="0" w:space="0" w:color="auto"/>
        <w:left w:val="none" w:sz="0" w:space="0" w:color="auto"/>
        <w:bottom w:val="none" w:sz="0" w:space="0" w:color="auto"/>
        <w:right w:val="none" w:sz="0" w:space="0" w:color="auto"/>
      </w:divBdr>
    </w:div>
    <w:div w:id="1229195645">
      <w:bodyDiv w:val="1"/>
      <w:marLeft w:val="0"/>
      <w:marRight w:val="0"/>
      <w:marTop w:val="0"/>
      <w:marBottom w:val="0"/>
      <w:divBdr>
        <w:top w:val="none" w:sz="0" w:space="0" w:color="auto"/>
        <w:left w:val="none" w:sz="0" w:space="0" w:color="auto"/>
        <w:bottom w:val="none" w:sz="0" w:space="0" w:color="auto"/>
        <w:right w:val="none" w:sz="0" w:space="0" w:color="auto"/>
      </w:divBdr>
    </w:div>
    <w:div w:id="1229270762">
      <w:bodyDiv w:val="1"/>
      <w:marLeft w:val="0"/>
      <w:marRight w:val="0"/>
      <w:marTop w:val="0"/>
      <w:marBottom w:val="0"/>
      <w:divBdr>
        <w:top w:val="none" w:sz="0" w:space="0" w:color="auto"/>
        <w:left w:val="none" w:sz="0" w:space="0" w:color="auto"/>
        <w:bottom w:val="none" w:sz="0" w:space="0" w:color="auto"/>
        <w:right w:val="none" w:sz="0" w:space="0" w:color="auto"/>
      </w:divBdr>
    </w:div>
    <w:div w:id="1229343863">
      <w:bodyDiv w:val="1"/>
      <w:marLeft w:val="0"/>
      <w:marRight w:val="0"/>
      <w:marTop w:val="0"/>
      <w:marBottom w:val="0"/>
      <w:divBdr>
        <w:top w:val="none" w:sz="0" w:space="0" w:color="auto"/>
        <w:left w:val="none" w:sz="0" w:space="0" w:color="auto"/>
        <w:bottom w:val="none" w:sz="0" w:space="0" w:color="auto"/>
        <w:right w:val="none" w:sz="0" w:space="0" w:color="auto"/>
      </w:divBdr>
    </w:div>
    <w:div w:id="1229346508">
      <w:bodyDiv w:val="1"/>
      <w:marLeft w:val="0"/>
      <w:marRight w:val="0"/>
      <w:marTop w:val="0"/>
      <w:marBottom w:val="0"/>
      <w:divBdr>
        <w:top w:val="none" w:sz="0" w:space="0" w:color="auto"/>
        <w:left w:val="none" w:sz="0" w:space="0" w:color="auto"/>
        <w:bottom w:val="none" w:sz="0" w:space="0" w:color="auto"/>
        <w:right w:val="none" w:sz="0" w:space="0" w:color="auto"/>
      </w:divBdr>
    </w:div>
    <w:div w:id="1229533209">
      <w:bodyDiv w:val="1"/>
      <w:marLeft w:val="0"/>
      <w:marRight w:val="0"/>
      <w:marTop w:val="0"/>
      <w:marBottom w:val="0"/>
      <w:divBdr>
        <w:top w:val="none" w:sz="0" w:space="0" w:color="auto"/>
        <w:left w:val="none" w:sz="0" w:space="0" w:color="auto"/>
        <w:bottom w:val="none" w:sz="0" w:space="0" w:color="auto"/>
        <w:right w:val="none" w:sz="0" w:space="0" w:color="auto"/>
      </w:divBdr>
    </w:div>
    <w:div w:id="1229730854">
      <w:bodyDiv w:val="1"/>
      <w:marLeft w:val="0"/>
      <w:marRight w:val="0"/>
      <w:marTop w:val="0"/>
      <w:marBottom w:val="0"/>
      <w:divBdr>
        <w:top w:val="none" w:sz="0" w:space="0" w:color="auto"/>
        <w:left w:val="none" w:sz="0" w:space="0" w:color="auto"/>
        <w:bottom w:val="none" w:sz="0" w:space="0" w:color="auto"/>
        <w:right w:val="none" w:sz="0" w:space="0" w:color="auto"/>
      </w:divBdr>
    </w:div>
    <w:div w:id="1229732877">
      <w:bodyDiv w:val="1"/>
      <w:marLeft w:val="0"/>
      <w:marRight w:val="0"/>
      <w:marTop w:val="0"/>
      <w:marBottom w:val="0"/>
      <w:divBdr>
        <w:top w:val="none" w:sz="0" w:space="0" w:color="auto"/>
        <w:left w:val="none" w:sz="0" w:space="0" w:color="auto"/>
        <w:bottom w:val="none" w:sz="0" w:space="0" w:color="auto"/>
        <w:right w:val="none" w:sz="0" w:space="0" w:color="auto"/>
      </w:divBdr>
    </w:div>
    <w:div w:id="1229733398">
      <w:bodyDiv w:val="1"/>
      <w:marLeft w:val="0"/>
      <w:marRight w:val="0"/>
      <w:marTop w:val="0"/>
      <w:marBottom w:val="0"/>
      <w:divBdr>
        <w:top w:val="none" w:sz="0" w:space="0" w:color="auto"/>
        <w:left w:val="none" w:sz="0" w:space="0" w:color="auto"/>
        <w:bottom w:val="none" w:sz="0" w:space="0" w:color="auto"/>
        <w:right w:val="none" w:sz="0" w:space="0" w:color="auto"/>
      </w:divBdr>
    </w:div>
    <w:div w:id="1229802781">
      <w:bodyDiv w:val="1"/>
      <w:marLeft w:val="0"/>
      <w:marRight w:val="0"/>
      <w:marTop w:val="0"/>
      <w:marBottom w:val="0"/>
      <w:divBdr>
        <w:top w:val="none" w:sz="0" w:space="0" w:color="auto"/>
        <w:left w:val="none" w:sz="0" w:space="0" w:color="auto"/>
        <w:bottom w:val="none" w:sz="0" w:space="0" w:color="auto"/>
        <w:right w:val="none" w:sz="0" w:space="0" w:color="auto"/>
      </w:divBdr>
    </w:div>
    <w:div w:id="1229920351">
      <w:bodyDiv w:val="1"/>
      <w:marLeft w:val="0"/>
      <w:marRight w:val="0"/>
      <w:marTop w:val="0"/>
      <w:marBottom w:val="0"/>
      <w:divBdr>
        <w:top w:val="none" w:sz="0" w:space="0" w:color="auto"/>
        <w:left w:val="none" w:sz="0" w:space="0" w:color="auto"/>
        <w:bottom w:val="none" w:sz="0" w:space="0" w:color="auto"/>
        <w:right w:val="none" w:sz="0" w:space="0" w:color="auto"/>
      </w:divBdr>
    </w:div>
    <w:div w:id="1229996158">
      <w:bodyDiv w:val="1"/>
      <w:marLeft w:val="0"/>
      <w:marRight w:val="0"/>
      <w:marTop w:val="0"/>
      <w:marBottom w:val="0"/>
      <w:divBdr>
        <w:top w:val="none" w:sz="0" w:space="0" w:color="auto"/>
        <w:left w:val="none" w:sz="0" w:space="0" w:color="auto"/>
        <w:bottom w:val="none" w:sz="0" w:space="0" w:color="auto"/>
        <w:right w:val="none" w:sz="0" w:space="0" w:color="auto"/>
      </w:divBdr>
    </w:div>
    <w:div w:id="1230001752">
      <w:bodyDiv w:val="1"/>
      <w:marLeft w:val="0"/>
      <w:marRight w:val="0"/>
      <w:marTop w:val="0"/>
      <w:marBottom w:val="0"/>
      <w:divBdr>
        <w:top w:val="none" w:sz="0" w:space="0" w:color="auto"/>
        <w:left w:val="none" w:sz="0" w:space="0" w:color="auto"/>
        <w:bottom w:val="none" w:sz="0" w:space="0" w:color="auto"/>
        <w:right w:val="none" w:sz="0" w:space="0" w:color="auto"/>
      </w:divBdr>
    </w:div>
    <w:div w:id="1230071145">
      <w:bodyDiv w:val="1"/>
      <w:marLeft w:val="0"/>
      <w:marRight w:val="0"/>
      <w:marTop w:val="0"/>
      <w:marBottom w:val="0"/>
      <w:divBdr>
        <w:top w:val="none" w:sz="0" w:space="0" w:color="auto"/>
        <w:left w:val="none" w:sz="0" w:space="0" w:color="auto"/>
        <w:bottom w:val="none" w:sz="0" w:space="0" w:color="auto"/>
        <w:right w:val="none" w:sz="0" w:space="0" w:color="auto"/>
      </w:divBdr>
    </w:div>
    <w:div w:id="1230265595">
      <w:bodyDiv w:val="1"/>
      <w:marLeft w:val="0"/>
      <w:marRight w:val="0"/>
      <w:marTop w:val="0"/>
      <w:marBottom w:val="0"/>
      <w:divBdr>
        <w:top w:val="none" w:sz="0" w:space="0" w:color="auto"/>
        <w:left w:val="none" w:sz="0" w:space="0" w:color="auto"/>
        <w:bottom w:val="none" w:sz="0" w:space="0" w:color="auto"/>
        <w:right w:val="none" w:sz="0" w:space="0" w:color="auto"/>
      </w:divBdr>
    </w:div>
    <w:div w:id="1230266220">
      <w:bodyDiv w:val="1"/>
      <w:marLeft w:val="0"/>
      <w:marRight w:val="0"/>
      <w:marTop w:val="0"/>
      <w:marBottom w:val="0"/>
      <w:divBdr>
        <w:top w:val="none" w:sz="0" w:space="0" w:color="auto"/>
        <w:left w:val="none" w:sz="0" w:space="0" w:color="auto"/>
        <w:bottom w:val="none" w:sz="0" w:space="0" w:color="auto"/>
        <w:right w:val="none" w:sz="0" w:space="0" w:color="auto"/>
      </w:divBdr>
    </w:div>
    <w:div w:id="1230311091">
      <w:bodyDiv w:val="1"/>
      <w:marLeft w:val="0"/>
      <w:marRight w:val="0"/>
      <w:marTop w:val="0"/>
      <w:marBottom w:val="0"/>
      <w:divBdr>
        <w:top w:val="none" w:sz="0" w:space="0" w:color="auto"/>
        <w:left w:val="none" w:sz="0" w:space="0" w:color="auto"/>
        <w:bottom w:val="none" w:sz="0" w:space="0" w:color="auto"/>
        <w:right w:val="none" w:sz="0" w:space="0" w:color="auto"/>
      </w:divBdr>
    </w:div>
    <w:div w:id="1230379486">
      <w:bodyDiv w:val="1"/>
      <w:marLeft w:val="0"/>
      <w:marRight w:val="0"/>
      <w:marTop w:val="0"/>
      <w:marBottom w:val="0"/>
      <w:divBdr>
        <w:top w:val="none" w:sz="0" w:space="0" w:color="auto"/>
        <w:left w:val="none" w:sz="0" w:space="0" w:color="auto"/>
        <w:bottom w:val="none" w:sz="0" w:space="0" w:color="auto"/>
        <w:right w:val="none" w:sz="0" w:space="0" w:color="auto"/>
      </w:divBdr>
    </w:div>
    <w:div w:id="1230381456">
      <w:bodyDiv w:val="1"/>
      <w:marLeft w:val="0"/>
      <w:marRight w:val="0"/>
      <w:marTop w:val="0"/>
      <w:marBottom w:val="0"/>
      <w:divBdr>
        <w:top w:val="none" w:sz="0" w:space="0" w:color="auto"/>
        <w:left w:val="none" w:sz="0" w:space="0" w:color="auto"/>
        <w:bottom w:val="none" w:sz="0" w:space="0" w:color="auto"/>
        <w:right w:val="none" w:sz="0" w:space="0" w:color="auto"/>
      </w:divBdr>
    </w:div>
    <w:div w:id="1230572939">
      <w:bodyDiv w:val="1"/>
      <w:marLeft w:val="0"/>
      <w:marRight w:val="0"/>
      <w:marTop w:val="0"/>
      <w:marBottom w:val="0"/>
      <w:divBdr>
        <w:top w:val="none" w:sz="0" w:space="0" w:color="auto"/>
        <w:left w:val="none" w:sz="0" w:space="0" w:color="auto"/>
        <w:bottom w:val="none" w:sz="0" w:space="0" w:color="auto"/>
        <w:right w:val="none" w:sz="0" w:space="0" w:color="auto"/>
      </w:divBdr>
    </w:div>
    <w:div w:id="1230580911">
      <w:bodyDiv w:val="1"/>
      <w:marLeft w:val="0"/>
      <w:marRight w:val="0"/>
      <w:marTop w:val="0"/>
      <w:marBottom w:val="0"/>
      <w:divBdr>
        <w:top w:val="none" w:sz="0" w:space="0" w:color="auto"/>
        <w:left w:val="none" w:sz="0" w:space="0" w:color="auto"/>
        <w:bottom w:val="none" w:sz="0" w:space="0" w:color="auto"/>
        <w:right w:val="none" w:sz="0" w:space="0" w:color="auto"/>
      </w:divBdr>
    </w:div>
    <w:div w:id="1230648857">
      <w:bodyDiv w:val="1"/>
      <w:marLeft w:val="0"/>
      <w:marRight w:val="0"/>
      <w:marTop w:val="0"/>
      <w:marBottom w:val="0"/>
      <w:divBdr>
        <w:top w:val="none" w:sz="0" w:space="0" w:color="auto"/>
        <w:left w:val="none" w:sz="0" w:space="0" w:color="auto"/>
        <w:bottom w:val="none" w:sz="0" w:space="0" w:color="auto"/>
        <w:right w:val="none" w:sz="0" w:space="0" w:color="auto"/>
      </w:divBdr>
    </w:div>
    <w:div w:id="1230650128">
      <w:bodyDiv w:val="1"/>
      <w:marLeft w:val="0"/>
      <w:marRight w:val="0"/>
      <w:marTop w:val="0"/>
      <w:marBottom w:val="0"/>
      <w:divBdr>
        <w:top w:val="none" w:sz="0" w:space="0" w:color="auto"/>
        <w:left w:val="none" w:sz="0" w:space="0" w:color="auto"/>
        <w:bottom w:val="none" w:sz="0" w:space="0" w:color="auto"/>
        <w:right w:val="none" w:sz="0" w:space="0" w:color="auto"/>
      </w:divBdr>
    </w:div>
    <w:div w:id="1230657086">
      <w:bodyDiv w:val="1"/>
      <w:marLeft w:val="0"/>
      <w:marRight w:val="0"/>
      <w:marTop w:val="0"/>
      <w:marBottom w:val="0"/>
      <w:divBdr>
        <w:top w:val="none" w:sz="0" w:space="0" w:color="auto"/>
        <w:left w:val="none" w:sz="0" w:space="0" w:color="auto"/>
        <w:bottom w:val="none" w:sz="0" w:space="0" w:color="auto"/>
        <w:right w:val="none" w:sz="0" w:space="0" w:color="auto"/>
      </w:divBdr>
    </w:div>
    <w:div w:id="1230657455">
      <w:bodyDiv w:val="1"/>
      <w:marLeft w:val="0"/>
      <w:marRight w:val="0"/>
      <w:marTop w:val="0"/>
      <w:marBottom w:val="0"/>
      <w:divBdr>
        <w:top w:val="none" w:sz="0" w:space="0" w:color="auto"/>
        <w:left w:val="none" w:sz="0" w:space="0" w:color="auto"/>
        <w:bottom w:val="none" w:sz="0" w:space="0" w:color="auto"/>
        <w:right w:val="none" w:sz="0" w:space="0" w:color="auto"/>
      </w:divBdr>
    </w:div>
    <w:div w:id="1230773591">
      <w:bodyDiv w:val="1"/>
      <w:marLeft w:val="0"/>
      <w:marRight w:val="0"/>
      <w:marTop w:val="0"/>
      <w:marBottom w:val="0"/>
      <w:divBdr>
        <w:top w:val="none" w:sz="0" w:space="0" w:color="auto"/>
        <w:left w:val="none" w:sz="0" w:space="0" w:color="auto"/>
        <w:bottom w:val="none" w:sz="0" w:space="0" w:color="auto"/>
        <w:right w:val="none" w:sz="0" w:space="0" w:color="auto"/>
      </w:divBdr>
    </w:div>
    <w:div w:id="1230848554">
      <w:bodyDiv w:val="1"/>
      <w:marLeft w:val="0"/>
      <w:marRight w:val="0"/>
      <w:marTop w:val="0"/>
      <w:marBottom w:val="0"/>
      <w:divBdr>
        <w:top w:val="none" w:sz="0" w:space="0" w:color="auto"/>
        <w:left w:val="none" w:sz="0" w:space="0" w:color="auto"/>
        <w:bottom w:val="none" w:sz="0" w:space="0" w:color="auto"/>
        <w:right w:val="none" w:sz="0" w:space="0" w:color="auto"/>
      </w:divBdr>
    </w:div>
    <w:div w:id="1230922370">
      <w:bodyDiv w:val="1"/>
      <w:marLeft w:val="0"/>
      <w:marRight w:val="0"/>
      <w:marTop w:val="0"/>
      <w:marBottom w:val="0"/>
      <w:divBdr>
        <w:top w:val="none" w:sz="0" w:space="0" w:color="auto"/>
        <w:left w:val="none" w:sz="0" w:space="0" w:color="auto"/>
        <w:bottom w:val="none" w:sz="0" w:space="0" w:color="auto"/>
        <w:right w:val="none" w:sz="0" w:space="0" w:color="auto"/>
      </w:divBdr>
    </w:div>
    <w:div w:id="1230922710">
      <w:bodyDiv w:val="1"/>
      <w:marLeft w:val="0"/>
      <w:marRight w:val="0"/>
      <w:marTop w:val="0"/>
      <w:marBottom w:val="0"/>
      <w:divBdr>
        <w:top w:val="none" w:sz="0" w:space="0" w:color="auto"/>
        <w:left w:val="none" w:sz="0" w:space="0" w:color="auto"/>
        <w:bottom w:val="none" w:sz="0" w:space="0" w:color="auto"/>
        <w:right w:val="none" w:sz="0" w:space="0" w:color="auto"/>
      </w:divBdr>
    </w:div>
    <w:div w:id="1230922966">
      <w:bodyDiv w:val="1"/>
      <w:marLeft w:val="0"/>
      <w:marRight w:val="0"/>
      <w:marTop w:val="0"/>
      <w:marBottom w:val="0"/>
      <w:divBdr>
        <w:top w:val="none" w:sz="0" w:space="0" w:color="auto"/>
        <w:left w:val="none" w:sz="0" w:space="0" w:color="auto"/>
        <w:bottom w:val="none" w:sz="0" w:space="0" w:color="auto"/>
        <w:right w:val="none" w:sz="0" w:space="0" w:color="auto"/>
      </w:divBdr>
    </w:div>
    <w:div w:id="1231230261">
      <w:bodyDiv w:val="1"/>
      <w:marLeft w:val="0"/>
      <w:marRight w:val="0"/>
      <w:marTop w:val="0"/>
      <w:marBottom w:val="0"/>
      <w:divBdr>
        <w:top w:val="none" w:sz="0" w:space="0" w:color="auto"/>
        <w:left w:val="none" w:sz="0" w:space="0" w:color="auto"/>
        <w:bottom w:val="none" w:sz="0" w:space="0" w:color="auto"/>
        <w:right w:val="none" w:sz="0" w:space="0" w:color="auto"/>
      </w:divBdr>
    </w:div>
    <w:div w:id="1231236631">
      <w:bodyDiv w:val="1"/>
      <w:marLeft w:val="0"/>
      <w:marRight w:val="0"/>
      <w:marTop w:val="0"/>
      <w:marBottom w:val="0"/>
      <w:divBdr>
        <w:top w:val="none" w:sz="0" w:space="0" w:color="auto"/>
        <w:left w:val="none" w:sz="0" w:space="0" w:color="auto"/>
        <w:bottom w:val="none" w:sz="0" w:space="0" w:color="auto"/>
        <w:right w:val="none" w:sz="0" w:space="0" w:color="auto"/>
      </w:divBdr>
    </w:div>
    <w:div w:id="1231308389">
      <w:bodyDiv w:val="1"/>
      <w:marLeft w:val="0"/>
      <w:marRight w:val="0"/>
      <w:marTop w:val="0"/>
      <w:marBottom w:val="0"/>
      <w:divBdr>
        <w:top w:val="none" w:sz="0" w:space="0" w:color="auto"/>
        <w:left w:val="none" w:sz="0" w:space="0" w:color="auto"/>
        <w:bottom w:val="none" w:sz="0" w:space="0" w:color="auto"/>
        <w:right w:val="none" w:sz="0" w:space="0" w:color="auto"/>
      </w:divBdr>
    </w:div>
    <w:div w:id="1231423068">
      <w:bodyDiv w:val="1"/>
      <w:marLeft w:val="0"/>
      <w:marRight w:val="0"/>
      <w:marTop w:val="0"/>
      <w:marBottom w:val="0"/>
      <w:divBdr>
        <w:top w:val="none" w:sz="0" w:space="0" w:color="auto"/>
        <w:left w:val="none" w:sz="0" w:space="0" w:color="auto"/>
        <w:bottom w:val="none" w:sz="0" w:space="0" w:color="auto"/>
        <w:right w:val="none" w:sz="0" w:space="0" w:color="auto"/>
      </w:divBdr>
    </w:div>
    <w:div w:id="1231428524">
      <w:bodyDiv w:val="1"/>
      <w:marLeft w:val="0"/>
      <w:marRight w:val="0"/>
      <w:marTop w:val="0"/>
      <w:marBottom w:val="0"/>
      <w:divBdr>
        <w:top w:val="none" w:sz="0" w:space="0" w:color="auto"/>
        <w:left w:val="none" w:sz="0" w:space="0" w:color="auto"/>
        <w:bottom w:val="none" w:sz="0" w:space="0" w:color="auto"/>
        <w:right w:val="none" w:sz="0" w:space="0" w:color="auto"/>
      </w:divBdr>
    </w:div>
    <w:div w:id="1231501044">
      <w:bodyDiv w:val="1"/>
      <w:marLeft w:val="0"/>
      <w:marRight w:val="0"/>
      <w:marTop w:val="0"/>
      <w:marBottom w:val="0"/>
      <w:divBdr>
        <w:top w:val="none" w:sz="0" w:space="0" w:color="auto"/>
        <w:left w:val="none" w:sz="0" w:space="0" w:color="auto"/>
        <w:bottom w:val="none" w:sz="0" w:space="0" w:color="auto"/>
        <w:right w:val="none" w:sz="0" w:space="0" w:color="auto"/>
      </w:divBdr>
    </w:div>
    <w:div w:id="1231573840">
      <w:bodyDiv w:val="1"/>
      <w:marLeft w:val="0"/>
      <w:marRight w:val="0"/>
      <w:marTop w:val="0"/>
      <w:marBottom w:val="0"/>
      <w:divBdr>
        <w:top w:val="none" w:sz="0" w:space="0" w:color="auto"/>
        <w:left w:val="none" w:sz="0" w:space="0" w:color="auto"/>
        <w:bottom w:val="none" w:sz="0" w:space="0" w:color="auto"/>
        <w:right w:val="none" w:sz="0" w:space="0" w:color="auto"/>
      </w:divBdr>
    </w:div>
    <w:div w:id="1231649545">
      <w:bodyDiv w:val="1"/>
      <w:marLeft w:val="0"/>
      <w:marRight w:val="0"/>
      <w:marTop w:val="0"/>
      <w:marBottom w:val="0"/>
      <w:divBdr>
        <w:top w:val="none" w:sz="0" w:space="0" w:color="auto"/>
        <w:left w:val="none" w:sz="0" w:space="0" w:color="auto"/>
        <w:bottom w:val="none" w:sz="0" w:space="0" w:color="auto"/>
        <w:right w:val="none" w:sz="0" w:space="0" w:color="auto"/>
      </w:divBdr>
    </w:div>
    <w:div w:id="1231649898">
      <w:bodyDiv w:val="1"/>
      <w:marLeft w:val="0"/>
      <w:marRight w:val="0"/>
      <w:marTop w:val="0"/>
      <w:marBottom w:val="0"/>
      <w:divBdr>
        <w:top w:val="none" w:sz="0" w:space="0" w:color="auto"/>
        <w:left w:val="none" w:sz="0" w:space="0" w:color="auto"/>
        <w:bottom w:val="none" w:sz="0" w:space="0" w:color="auto"/>
        <w:right w:val="none" w:sz="0" w:space="0" w:color="auto"/>
      </w:divBdr>
    </w:div>
    <w:div w:id="1231650451">
      <w:bodyDiv w:val="1"/>
      <w:marLeft w:val="0"/>
      <w:marRight w:val="0"/>
      <w:marTop w:val="0"/>
      <w:marBottom w:val="0"/>
      <w:divBdr>
        <w:top w:val="none" w:sz="0" w:space="0" w:color="auto"/>
        <w:left w:val="none" w:sz="0" w:space="0" w:color="auto"/>
        <w:bottom w:val="none" w:sz="0" w:space="0" w:color="auto"/>
        <w:right w:val="none" w:sz="0" w:space="0" w:color="auto"/>
      </w:divBdr>
    </w:div>
    <w:div w:id="1231696040">
      <w:bodyDiv w:val="1"/>
      <w:marLeft w:val="0"/>
      <w:marRight w:val="0"/>
      <w:marTop w:val="0"/>
      <w:marBottom w:val="0"/>
      <w:divBdr>
        <w:top w:val="none" w:sz="0" w:space="0" w:color="auto"/>
        <w:left w:val="none" w:sz="0" w:space="0" w:color="auto"/>
        <w:bottom w:val="none" w:sz="0" w:space="0" w:color="auto"/>
        <w:right w:val="none" w:sz="0" w:space="0" w:color="auto"/>
      </w:divBdr>
    </w:div>
    <w:div w:id="1231770152">
      <w:bodyDiv w:val="1"/>
      <w:marLeft w:val="0"/>
      <w:marRight w:val="0"/>
      <w:marTop w:val="0"/>
      <w:marBottom w:val="0"/>
      <w:divBdr>
        <w:top w:val="none" w:sz="0" w:space="0" w:color="auto"/>
        <w:left w:val="none" w:sz="0" w:space="0" w:color="auto"/>
        <w:bottom w:val="none" w:sz="0" w:space="0" w:color="auto"/>
        <w:right w:val="none" w:sz="0" w:space="0" w:color="auto"/>
      </w:divBdr>
    </w:div>
    <w:div w:id="1231770838">
      <w:bodyDiv w:val="1"/>
      <w:marLeft w:val="0"/>
      <w:marRight w:val="0"/>
      <w:marTop w:val="0"/>
      <w:marBottom w:val="0"/>
      <w:divBdr>
        <w:top w:val="none" w:sz="0" w:space="0" w:color="auto"/>
        <w:left w:val="none" w:sz="0" w:space="0" w:color="auto"/>
        <w:bottom w:val="none" w:sz="0" w:space="0" w:color="auto"/>
        <w:right w:val="none" w:sz="0" w:space="0" w:color="auto"/>
      </w:divBdr>
    </w:div>
    <w:div w:id="1231847313">
      <w:bodyDiv w:val="1"/>
      <w:marLeft w:val="0"/>
      <w:marRight w:val="0"/>
      <w:marTop w:val="0"/>
      <w:marBottom w:val="0"/>
      <w:divBdr>
        <w:top w:val="none" w:sz="0" w:space="0" w:color="auto"/>
        <w:left w:val="none" w:sz="0" w:space="0" w:color="auto"/>
        <w:bottom w:val="none" w:sz="0" w:space="0" w:color="auto"/>
        <w:right w:val="none" w:sz="0" w:space="0" w:color="auto"/>
      </w:divBdr>
    </w:div>
    <w:div w:id="1231963353">
      <w:bodyDiv w:val="1"/>
      <w:marLeft w:val="0"/>
      <w:marRight w:val="0"/>
      <w:marTop w:val="0"/>
      <w:marBottom w:val="0"/>
      <w:divBdr>
        <w:top w:val="none" w:sz="0" w:space="0" w:color="auto"/>
        <w:left w:val="none" w:sz="0" w:space="0" w:color="auto"/>
        <w:bottom w:val="none" w:sz="0" w:space="0" w:color="auto"/>
        <w:right w:val="none" w:sz="0" w:space="0" w:color="auto"/>
      </w:divBdr>
    </w:div>
    <w:div w:id="1232081801">
      <w:bodyDiv w:val="1"/>
      <w:marLeft w:val="0"/>
      <w:marRight w:val="0"/>
      <w:marTop w:val="0"/>
      <w:marBottom w:val="0"/>
      <w:divBdr>
        <w:top w:val="none" w:sz="0" w:space="0" w:color="auto"/>
        <w:left w:val="none" w:sz="0" w:space="0" w:color="auto"/>
        <w:bottom w:val="none" w:sz="0" w:space="0" w:color="auto"/>
        <w:right w:val="none" w:sz="0" w:space="0" w:color="auto"/>
      </w:divBdr>
    </w:div>
    <w:div w:id="1232157723">
      <w:bodyDiv w:val="1"/>
      <w:marLeft w:val="0"/>
      <w:marRight w:val="0"/>
      <w:marTop w:val="0"/>
      <w:marBottom w:val="0"/>
      <w:divBdr>
        <w:top w:val="none" w:sz="0" w:space="0" w:color="auto"/>
        <w:left w:val="none" w:sz="0" w:space="0" w:color="auto"/>
        <w:bottom w:val="none" w:sz="0" w:space="0" w:color="auto"/>
        <w:right w:val="none" w:sz="0" w:space="0" w:color="auto"/>
      </w:divBdr>
    </w:div>
    <w:div w:id="1232227984">
      <w:bodyDiv w:val="1"/>
      <w:marLeft w:val="0"/>
      <w:marRight w:val="0"/>
      <w:marTop w:val="0"/>
      <w:marBottom w:val="0"/>
      <w:divBdr>
        <w:top w:val="none" w:sz="0" w:space="0" w:color="auto"/>
        <w:left w:val="none" w:sz="0" w:space="0" w:color="auto"/>
        <w:bottom w:val="none" w:sz="0" w:space="0" w:color="auto"/>
        <w:right w:val="none" w:sz="0" w:space="0" w:color="auto"/>
      </w:divBdr>
    </w:div>
    <w:div w:id="1232235807">
      <w:bodyDiv w:val="1"/>
      <w:marLeft w:val="0"/>
      <w:marRight w:val="0"/>
      <w:marTop w:val="0"/>
      <w:marBottom w:val="0"/>
      <w:divBdr>
        <w:top w:val="none" w:sz="0" w:space="0" w:color="auto"/>
        <w:left w:val="none" w:sz="0" w:space="0" w:color="auto"/>
        <w:bottom w:val="none" w:sz="0" w:space="0" w:color="auto"/>
        <w:right w:val="none" w:sz="0" w:space="0" w:color="auto"/>
      </w:divBdr>
    </w:div>
    <w:div w:id="1232350761">
      <w:bodyDiv w:val="1"/>
      <w:marLeft w:val="0"/>
      <w:marRight w:val="0"/>
      <w:marTop w:val="0"/>
      <w:marBottom w:val="0"/>
      <w:divBdr>
        <w:top w:val="none" w:sz="0" w:space="0" w:color="auto"/>
        <w:left w:val="none" w:sz="0" w:space="0" w:color="auto"/>
        <w:bottom w:val="none" w:sz="0" w:space="0" w:color="auto"/>
        <w:right w:val="none" w:sz="0" w:space="0" w:color="auto"/>
      </w:divBdr>
    </w:div>
    <w:div w:id="1232421351">
      <w:bodyDiv w:val="1"/>
      <w:marLeft w:val="0"/>
      <w:marRight w:val="0"/>
      <w:marTop w:val="0"/>
      <w:marBottom w:val="0"/>
      <w:divBdr>
        <w:top w:val="none" w:sz="0" w:space="0" w:color="auto"/>
        <w:left w:val="none" w:sz="0" w:space="0" w:color="auto"/>
        <w:bottom w:val="none" w:sz="0" w:space="0" w:color="auto"/>
        <w:right w:val="none" w:sz="0" w:space="0" w:color="auto"/>
      </w:divBdr>
    </w:div>
    <w:div w:id="1232538906">
      <w:bodyDiv w:val="1"/>
      <w:marLeft w:val="0"/>
      <w:marRight w:val="0"/>
      <w:marTop w:val="0"/>
      <w:marBottom w:val="0"/>
      <w:divBdr>
        <w:top w:val="none" w:sz="0" w:space="0" w:color="auto"/>
        <w:left w:val="none" w:sz="0" w:space="0" w:color="auto"/>
        <w:bottom w:val="none" w:sz="0" w:space="0" w:color="auto"/>
        <w:right w:val="none" w:sz="0" w:space="0" w:color="auto"/>
      </w:divBdr>
    </w:div>
    <w:div w:id="1232538942">
      <w:bodyDiv w:val="1"/>
      <w:marLeft w:val="0"/>
      <w:marRight w:val="0"/>
      <w:marTop w:val="0"/>
      <w:marBottom w:val="0"/>
      <w:divBdr>
        <w:top w:val="none" w:sz="0" w:space="0" w:color="auto"/>
        <w:left w:val="none" w:sz="0" w:space="0" w:color="auto"/>
        <w:bottom w:val="none" w:sz="0" w:space="0" w:color="auto"/>
        <w:right w:val="none" w:sz="0" w:space="0" w:color="auto"/>
      </w:divBdr>
    </w:div>
    <w:div w:id="1232539934">
      <w:bodyDiv w:val="1"/>
      <w:marLeft w:val="0"/>
      <w:marRight w:val="0"/>
      <w:marTop w:val="0"/>
      <w:marBottom w:val="0"/>
      <w:divBdr>
        <w:top w:val="none" w:sz="0" w:space="0" w:color="auto"/>
        <w:left w:val="none" w:sz="0" w:space="0" w:color="auto"/>
        <w:bottom w:val="none" w:sz="0" w:space="0" w:color="auto"/>
        <w:right w:val="none" w:sz="0" w:space="0" w:color="auto"/>
      </w:divBdr>
    </w:div>
    <w:div w:id="1232540843">
      <w:bodyDiv w:val="1"/>
      <w:marLeft w:val="0"/>
      <w:marRight w:val="0"/>
      <w:marTop w:val="0"/>
      <w:marBottom w:val="0"/>
      <w:divBdr>
        <w:top w:val="none" w:sz="0" w:space="0" w:color="auto"/>
        <w:left w:val="none" w:sz="0" w:space="0" w:color="auto"/>
        <w:bottom w:val="none" w:sz="0" w:space="0" w:color="auto"/>
        <w:right w:val="none" w:sz="0" w:space="0" w:color="auto"/>
      </w:divBdr>
    </w:div>
    <w:div w:id="1232545774">
      <w:bodyDiv w:val="1"/>
      <w:marLeft w:val="0"/>
      <w:marRight w:val="0"/>
      <w:marTop w:val="0"/>
      <w:marBottom w:val="0"/>
      <w:divBdr>
        <w:top w:val="none" w:sz="0" w:space="0" w:color="auto"/>
        <w:left w:val="none" w:sz="0" w:space="0" w:color="auto"/>
        <w:bottom w:val="none" w:sz="0" w:space="0" w:color="auto"/>
        <w:right w:val="none" w:sz="0" w:space="0" w:color="auto"/>
      </w:divBdr>
    </w:div>
    <w:div w:id="1232694013">
      <w:bodyDiv w:val="1"/>
      <w:marLeft w:val="0"/>
      <w:marRight w:val="0"/>
      <w:marTop w:val="0"/>
      <w:marBottom w:val="0"/>
      <w:divBdr>
        <w:top w:val="none" w:sz="0" w:space="0" w:color="auto"/>
        <w:left w:val="none" w:sz="0" w:space="0" w:color="auto"/>
        <w:bottom w:val="none" w:sz="0" w:space="0" w:color="auto"/>
        <w:right w:val="none" w:sz="0" w:space="0" w:color="auto"/>
      </w:divBdr>
    </w:div>
    <w:div w:id="1232740283">
      <w:bodyDiv w:val="1"/>
      <w:marLeft w:val="0"/>
      <w:marRight w:val="0"/>
      <w:marTop w:val="0"/>
      <w:marBottom w:val="0"/>
      <w:divBdr>
        <w:top w:val="none" w:sz="0" w:space="0" w:color="auto"/>
        <w:left w:val="none" w:sz="0" w:space="0" w:color="auto"/>
        <w:bottom w:val="none" w:sz="0" w:space="0" w:color="auto"/>
        <w:right w:val="none" w:sz="0" w:space="0" w:color="auto"/>
      </w:divBdr>
    </w:div>
    <w:div w:id="1233076281">
      <w:bodyDiv w:val="1"/>
      <w:marLeft w:val="0"/>
      <w:marRight w:val="0"/>
      <w:marTop w:val="0"/>
      <w:marBottom w:val="0"/>
      <w:divBdr>
        <w:top w:val="none" w:sz="0" w:space="0" w:color="auto"/>
        <w:left w:val="none" w:sz="0" w:space="0" w:color="auto"/>
        <w:bottom w:val="none" w:sz="0" w:space="0" w:color="auto"/>
        <w:right w:val="none" w:sz="0" w:space="0" w:color="auto"/>
      </w:divBdr>
    </w:div>
    <w:div w:id="1233085544">
      <w:bodyDiv w:val="1"/>
      <w:marLeft w:val="0"/>
      <w:marRight w:val="0"/>
      <w:marTop w:val="0"/>
      <w:marBottom w:val="0"/>
      <w:divBdr>
        <w:top w:val="none" w:sz="0" w:space="0" w:color="auto"/>
        <w:left w:val="none" w:sz="0" w:space="0" w:color="auto"/>
        <w:bottom w:val="none" w:sz="0" w:space="0" w:color="auto"/>
        <w:right w:val="none" w:sz="0" w:space="0" w:color="auto"/>
      </w:divBdr>
    </w:div>
    <w:div w:id="1233154538">
      <w:bodyDiv w:val="1"/>
      <w:marLeft w:val="0"/>
      <w:marRight w:val="0"/>
      <w:marTop w:val="0"/>
      <w:marBottom w:val="0"/>
      <w:divBdr>
        <w:top w:val="none" w:sz="0" w:space="0" w:color="auto"/>
        <w:left w:val="none" w:sz="0" w:space="0" w:color="auto"/>
        <w:bottom w:val="none" w:sz="0" w:space="0" w:color="auto"/>
        <w:right w:val="none" w:sz="0" w:space="0" w:color="auto"/>
      </w:divBdr>
    </w:div>
    <w:div w:id="1233157668">
      <w:bodyDiv w:val="1"/>
      <w:marLeft w:val="0"/>
      <w:marRight w:val="0"/>
      <w:marTop w:val="0"/>
      <w:marBottom w:val="0"/>
      <w:divBdr>
        <w:top w:val="none" w:sz="0" w:space="0" w:color="auto"/>
        <w:left w:val="none" w:sz="0" w:space="0" w:color="auto"/>
        <w:bottom w:val="none" w:sz="0" w:space="0" w:color="auto"/>
        <w:right w:val="none" w:sz="0" w:space="0" w:color="auto"/>
      </w:divBdr>
    </w:div>
    <w:div w:id="1233157726">
      <w:bodyDiv w:val="1"/>
      <w:marLeft w:val="0"/>
      <w:marRight w:val="0"/>
      <w:marTop w:val="0"/>
      <w:marBottom w:val="0"/>
      <w:divBdr>
        <w:top w:val="none" w:sz="0" w:space="0" w:color="auto"/>
        <w:left w:val="none" w:sz="0" w:space="0" w:color="auto"/>
        <w:bottom w:val="none" w:sz="0" w:space="0" w:color="auto"/>
        <w:right w:val="none" w:sz="0" w:space="0" w:color="auto"/>
      </w:divBdr>
    </w:div>
    <w:div w:id="1233197475">
      <w:bodyDiv w:val="1"/>
      <w:marLeft w:val="0"/>
      <w:marRight w:val="0"/>
      <w:marTop w:val="0"/>
      <w:marBottom w:val="0"/>
      <w:divBdr>
        <w:top w:val="none" w:sz="0" w:space="0" w:color="auto"/>
        <w:left w:val="none" w:sz="0" w:space="0" w:color="auto"/>
        <w:bottom w:val="none" w:sz="0" w:space="0" w:color="auto"/>
        <w:right w:val="none" w:sz="0" w:space="0" w:color="auto"/>
      </w:divBdr>
    </w:div>
    <w:div w:id="1233273696">
      <w:bodyDiv w:val="1"/>
      <w:marLeft w:val="0"/>
      <w:marRight w:val="0"/>
      <w:marTop w:val="0"/>
      <w:marBottom w:val="0"/>
      <w:divBdr>
        <w:top w:val="none" w:sz="0" w:space="0" w:color="auto"/>
        <w:left w:val="none" w:sz="0" w:space="0" w:color="auto"/>
        <w:bottom w:val="none" w:sz="0" w:space="0" w:color="auto"/>
        <w:right w:val="none" w:sz="0" w:space="0" w:color="auto"/>
      </w:divBdr>
    </w:div>
    <w:div w:id="1233278777">
      <w:bodyDiv w:val="1"/>
      <w:marLeft w:val="0"/>
      <w:marRight w:val="0"/>
      <w:marTop w:val="0"/>
      <w:marBottom w:val="0"/>
      <w:divBdr>
        <w:top w:val="none" w:sz="0" w:space="0" w:color="auto"/>
        <w:left w:val="none" w:sz="0" w:space="0" w:color="auto"/>
        <w:bottom w:val="none" w:sz="0" w:space="0" w:color="auto"/>
        <w:right w:val="none" w:sz="0" w:space="0" w:color="auto"/>
      </w:divBdr>
    </w:div>
    <w:div w:id="1233349533">
      <w:bodyDiv w:val="1"/>
      <w:marLeft w:val="0"/>
      <w:marRight w:val="0"/>
      <w:marTop w:val="0"/>
      <w:marBottom w:val="0"/>
      <w:divBdr>
        <w:top w:val="none" w:sz="0" w:space="0" w:color="auto"/>
        <w:left w:val="none" w:sz="0" w:space="0" w:color="auto"/>
        <w:bottom w:val="none" w:sz="0" w:space="0" w:color="auto"/>
        <w:right w:val="none" w:sz="0" w:space="0" w:color="auto"/>
      </w:divBdr>
    </w:div>
    <w:div w:id="1233353637">
      <w:bodyDiv w:val="1"/>
      <w:marLeft w:val="0"/>
      <w:marRight w:val="0"/>
      <w:marTop w:val="0"/>
      <w:marBottom w:val="0"/>
      <w:divBdr>
        <w:top w:val="none" w:sz="0" w:space="0" w:color="auto"/>
        <w:left w:val="none" w:sz="0" w:space="0" w:color="auto"/>
        <w:bottom w:val="none" w:sz="0" w:space="0" w:color="auto"/>
        <w:right w:val="none" w:sz="0" w:space="0" w:color="auto"/>
      </w:divBdr>
    </w:div>
    <w:div w:id="1233393935">
      <w:bodyDiv w:val="1"/>
      <w:marLeft w:val="0"/>
      <w:marRight w:val="0"/>
      <w:marTop w:val="0"/>
      <w:marBottom w:val="0"/>
      <w:divBdr>
        <w:top w:val="none" w:sz="0" w:space="0" w:color="auto"/>
        <w:left w:val="none" w:sz="0" w:space="0" w:color="auto"/>
        <w:bottom w:val="none" w:sz="0" w:space="0" w:color="auto"/>
        <w:right w:val="none" w:sz="0" w:space="0" w:color="auto"/>
      </w:divBdr>
    </w:div>
    <w:div w:id="1233540947">
      <w:bodyDiv w:val="1"/>
      <w:marLeft w:val="0"/>
      <w:marRight w:val="0"/>
      <w:marTop w:val="0"/>
      <w:marBottom w:val="0"/>
      <w:divBdr>
        <w:top w:val="none" w:sz="0" w:space="0" w:color="auto"/>
        <w:left w:val="none" w:sz="0" w:space="0" w:color="auto"/>
        <w:bottom w:val="none" w:sz="0" w:space="0" w:color="auto"/>
        <w:right w:val="none" w:sz="0" w:space="0" w:color="auto"/>
      </w:divBdr>
    </w:div>
    <w:div w:id="1233543526">
      <w:bodyDiv w:val="1"/>
      <w:marLeft w:val="0"/>
      <w:marRight w:val="0"/>
      <w:marTop w:val="0"/>
      <w:marBottom w:val="0"/>
      <w:divBdr>
        <w:top w:val="none" w:sz="0" w:space="0" w:color="auto"/>
        <w:left w:val="none" w:sz="0" w:space="0" w:color="auto"/>
        <w:bottom w:val="none" w:sz="0" w:space="0" w:color="auto"/>
        <w:right w:val="none" w:sz="0" w:space="0" w:color="auto"/>
      </w:divBdr>
    </w:div>
    <w:div w:id="1233734381">
      <w:bodyDiv w:val="1"/>
      <w:marLeft w:val="0"/>
      <w:marRight w:val="0"/>
      <w:marTop w:val="0"/>
      <w:marBottom w:val="0"/>
      <w:divBdr>
        <w:top w:val="none" w:sz="0" w:space="0" w:color="auto"/>
        <w:left w:val="none" w:sz="0" w:space="0" w:color="auto"/>
        <w:bottom w:val="none" w:sz="0" w:space="0" w:color="auto"/>
        <w:right w:val="none" w:sz="0" w:space="0" w:color="auto"/>
      </w:divBdr>
    </w:div>
    <w:div w:id="1233812715">
      <w:bodyDiv w:val="1"/>
      <w:marLeft w:val="0"/>
      <w:marRight w:val="0"/>
      <w:marTop w:val="0"/>
      <w:marBottom w:val="0"/>
      <w:divBdr>
        <w:top w:val="none" w:sz="0" w:space="0" w:color="auto"/>
        <w:left w:val="none" w:sz="0" w:space="0" w:color="auto"/>
        <w:bottom w:val="none" w:sz="0" w:space="0" w:color="auto"/>
        <w:right w:val="none" w:sz="0" w:space="0" w:color="auto"/>
      </w:divBdr>
    </w:div>
    <w:div w:id="1234000357">
      <w:bodyDiv w:val="1"/>
      <w:marLeft w:val="0"/>
      <w:marRight w:val="0"/>
      <w:marTop w:val="0"/>
      <w:marBottom w:val="0"/>
      <w:divBdr>
        <w:top w:val="none" w:sz="0" w:space="0" w:color="auto"/>
        <w:left w:val="none" w:sz="0" w:space="0" w:color="auto"/>
        <w:bottom w:val="none" w:sz="0" w:space="0" w:color="auto"/>
        <w:right w:val="none" w:sz="0" w:space="0" w:color="auto"/>
      </w:divBdr>
    </w:div>
    <w:div w:id="1234198609">
      <w:bodyDiv w:val="1"/>
      <w:marLeft w:val="0"/>
      <w:marRight w:val="0"/>
      <w:marTop w:val="0"/>
      <w:marBottom w:val="0"/>
      <w:divBdr>
        <w:top w:val="none" w:sz="0" w:space="0" w:color="auto"/>
        <w:left w:val="none" w:sz="0" w:space="0" w:color="auto"/>
        <w:bottom w:val="none" w:sz="0" w:space="0" w:color="auto"/>
        <w:right w:val="none" w:sz="0" w:space="0" w:color="auto"/>
      </w:divBdr>
    </w:div>
    <w:div w:id="1234201723">
      <w:bodyDiv w:val="1"/>
      <w:marLeft w:val="0"/>
      <w:marRight w:val="0"/>
      <w:marTop w:val="0"/>
      <w:marBottom w:val="0"/>
      <w:divBdr>
        <w:top w:val="none" w:sz="0" w:space="0" w:color="auto"/>
        <w:left w:val="none" w:sz="0" w:space="0" w:color="auto"/>
        <w:bottom w:val="none" w:sz="0" w:space="0" w:color="auto"/>
        <w:right w:val="none" w:sz="0" w:space="0" w:color="auto"/>
      </w:divBdr>
    </w:div>
    <w:div w:id="1234316030">
      <w:bodyDiv w:val="1"/>
      <w:marLeft w:val="0"/>
      <w:marRight w:val="0"/>
      <w:marTop w:val="0"/>
      <w:marBottom w:val="0"/>
      <w:divBdr>
        <w:top w:val="none" w:sz="0" w:space="0" w:color="auto"/>
        <w:left w:val="none" w:sz="0" w:space="0" w:color="auto"/>
        <w:bottom w:val="none" w:sz="0" w:space="0" w:color="auto"/>
        <w:right w:val="none" w:sz="0" w:space="0" w:color="auto"/>
      </w:divBdr>
    </w:div>
    <w:div w:id="1234317960">
      <w:bodyDiv w:val="1"/>
      <w:marLeft w:val="0"/>
      <w:marRight w:val="0"/>
      <w:marTop w:val="0"/>
      <w:marBottom w:val="0"/>
      <w:divBdr>
        <w:top w:val="none" w:sz="0" w:space="0" w:color="auto"/>
        <w:left w:val="none" w:sz="0" w:space="0" w:color="auto"/>
        <w:bottom w:val="none" w:sz="0" w:space="0" w:color="auto"/>
        <w:right w:val="none" w:sz="0" w:space="0" w:color="auto"/>
      </w:divBdr>
    </w:div>
    <w:div w:id="1234436880">
      <w:bodyDiv w:val="1"/>
      <w:marLeft w:val="0"/>
      <w:marRight w:val="0"/>
      <w:marTop w:val="0"/>
      <w:marBottom w:val="0"/>
      <w:divBdr>
        <w:top w:val="none" w:sz="0" w:space="0" w:color="auto"/>
        <w:left w:val="none" w:sz="0" w:space="0" w:color="auto"/>
        <w:bottom w:val="none" w:sz="0" w:space="0" w:color="auto"/>
        <w:right w:val="none" w:sz="0" w:space="0" w:color="auto"/>
      </w:divBdr>
    </w:div>
    <w:div w:id="1234467863">
      <w:bodyDiv w:val="1"/>
      <w:marLeft w:val="0"/>
      <w:marRight w:val="0"/>
      <w:marTop w:val="0"/>
      <w:marBottom w:val="0"/>
      <w:divBdr>
        <w:top w:val="none" w:sz="0" w:space="0" w:color="auto"/>
        <w:left w:val="none" w:sz="0" w:space="0" w:color="auto"/>
        <w:bottom w:val="none" w:sz="0" w:space="0" w:color="auto"/>
        <w:right w:val="none" w:sz="0" w:space="0" w:color="auto"/>
      </w:divBdr>
    </w:div>
    <w:div w:id="1234468349">
      <w:bodyDiv w:val="1"/>
      <w:marLeft w:val="0"/>
      <w:marRight w:val="0"/>
      <w:marTop w:val="0"/>
      <w:marBottom w:val="0"/>
      <w:divBdr>
        <w:top w:val="none" w:sz="0" w:space="0" w:color="auto"/>
        <w:left w:val="none" w:sz="0" w:space="0" w:color="auto"/>
        <w:bottom w:val="none" w:sz="0" w:space="0" w:color="auto"/>
        <w:right w:val="none" w:sz="0" w:space="0" w:color="auto"/>
      </w:divBdr>
    </w:div>
    <w:div w:id="1234505196">
      <w:bodyDiv w:val="1"/>
      <w:marLeft w:val="0"/>
      <w:marRight w:val="0"/>
      <w:marTop w:val="0"/>
      <w:marBottom w:val="0"/>
      <w:divBdr>
        <w:top w:val="none" w:sz="0" w:space="0" w:color="auto"/>
        <w:left w:val="none" w:sz="0" w:space="0" w:color="auto"/>
        <w:bottom w:val="none" w:sz="0" w:space="0" w:color="auto"/>
        <w:right w:val="none" w:sz="0" w:space="0" w:color="auto"/>
      </w:divBdr>
    </w:div>
    <w:div w:id="1234511115">
      <w:bodyDiv w:val="1"/>
      <w:marLeft w:val="0"/>
      <w:marRight w:val="0"/>
      <w:marTop w:val="0"/>
      <w:marBottom w:val="0"/>
      <w:divBdr>
        <w:top w:val="none" w:sz="0" w:space="0" w:color="auto"/>
        <w:left w:val="none" w:sz="0" w:space="0" w:color="auto"/>
        <w:bottom w:val="none" w:sz="0" w:space="0" w:color="auto"/>
        <w:right w:val="none" w:sz="0" w:space="0" w:color="auto"/>
      </w:divBdr>
    </w:div>
    <w:div w:id="1234778073">
      <w:bodyDiv w:val="1"/>
      <w:marLeft w:val="0"/>
      <w:marRight w:val="0"/>
      <w:marTop w:val="0"/>
      <w:marBottom w:val="0"/>
      <w:divBdr>
        <w:top w:val="none" w:sz="0" w:space="0" w:color="auto"/>
        <w:left w:val="none" w:sz="0" w:space="0" w:color="auto"/>
        <w:bottom w:val="none" w:sz="0" w:space="0" w:color="auto"/>
        <w:right w:val="none" w:sz="0" w:space="0" w:color="auto"/>
      </w:divBdr>
    </w:div>
    <w:div w:id="1234778099">
      <w:bodyDiv w:val="1"/>
      <w:marLeft w:val="0"/>
      <w:marRight w:val="0"/>
      <w:marTop w:val="0"/>
      <w:marBottom w:val="0"/>
      <w:divBdr>
        <w:top w:val="none" w:sz="0" w:space="0" w:color="auto"/>
        <w:left w:val="none" w:sz="0" w:space="0" w:color="auto"/>
        <w:bottom w:val="none" w:sz="0" w:space="0" w:color="auto"/>
        <w:right w:val="none" w:sz="0" w:space="0" w:color="auto"/>
      </w:divBdr>
    </w:div>
    <w:div w:id="1234781399">
      <w:bodyDiv w:val="1"/>
      <w:marLeft w:val="0"/>
      <w:marRight w:val="0"/>
      <w:marTop w:val="0"/>
      <w:marBottom w:val="0"/>
      <w:divBdr>
        <w:top w:val="none" w:sz="0" w:space="0" w:color="auto"/>
        <w:left w:val="none" w:sz="0" w:space="0" w:color="auto"/>
        <w:bottom w:val="none" w:sz="0" w:space="0" w:color="auto"/>
        <w:right w:val="none" w:sz="0" w:space="0" w:color="auto"/>
      </w:divBdr>
    </w:div>
    <w:div w:id="1234850414">
      <w:bodyDiv w:val="1"/>
      <w:marLeft w:val="0"/>
      <w:marRight w:val="0"/>
      <w:marTop w:val="0"/>
      <w:marBottom w:val="0"/>
      <w:divBdr>
        <w:top w:val="none" w:sz="0" w:space="0" w:color="auto"/>
        <w:left w:val="none" w:sz="0" w:space="0" w:color="auto"/>
        <w:bottom w:val="none" w:sz="0" w:space="0" w:color="auto"/>
        <w:right w:val="none" w:sz="0" w:space="0" w:color="auto"/>
      </w:divBdr>
    </w:div>
    <w:div w:id="1234851247">
      <w:bodyDiv w:val="1"/>
      <w:marLeft w:val="0"/>
      <w:marRight w:val="0"/>
      <w:marTop w:val="0"/>
      <w:marBottom w:val="0"/>
      <w:divBdr>
        <w:top w:val="none" w:sz="0" w:space="0" w:color="auto"/>
        <w:left w:val="none" w:sz="0" w:space="0" w:color="auto"/>
        <w:bottom w:val="none" w:sz="0" w:space="0" w:color="auto"/>
        <w:right w:val="none" w:sz="0" w:space="0" w:color="auto"/>
      </w:divBdr>
    </w:div>
    <w:div w:id="1235049565">
      <w:bodyDiv w:val="1"/>
      <w:marLeft w:val="0"/>
      <w:marRight w:val="0"/>
      <w:marTop w:val="0"/>
      <w:marBottom w:val="0"/>
      <w:divBdr>
        <w:top w:val="none" w:sz="0" w:space="0" w:color="auto"/>
        <w:left w:val="none" w:sz="0" w:space="0" w:color="auto"/>
        <w:bottom w:val="none" w:sz="0" w:space="0" w:color="auto"/>
        <w:right w:val="none" w:sz="0" w:space="0" w:color="auto"/>
      </w:divBdr>
    </w:div>
    <w:div w:id="1235050985">
      <w:bodyDiv w:val="1"/>
      <w:marLeft w:val="0"/>
      <w:marRight w:val="0"/>
      <w:marTop w:val="0"/>
      <w:marBottom w:val="0"/>
      <w:divBdr>
        <w:top w:val="none" w:sz="0" w:space="0" w:color="auto"/>
        <w:left w:val="none" w:sz="0" w:space="0" w:color="auto"/>
        <w:bottom w:val="none" w:sz="0" w:space="0" w:color="auto"/>
        <w:right w:val="none" w:sz="0" w:space="0" w:color="auto"/>
      </w:divBdr>
    </w:div>
    <w:div w:id="1235119190">
      <w:bodyDiv w:val="1"/>
      <w:marLeft w:val="0"/>
      <w:marRight w:val="0"/>
      <w:marTop w:val="0"/>
      <w:marBottom w:val="0"/>
      <w:divBdr>
        <w:top w:val="none" w:sz="0" w:space="0" w:color="auto"/>
        <w:left w:val="none" w:sz="0" w:space="0" w:color="auto"/>
        <w:bottom w:val="none" w:sz="0" w:space="0" w:color="auto"/>
        <w:right w:val="none" w:sz="0" w:space="0" w:color="auto"/>
      </w:divBdr>
    </w:div>
    <w:div w:id="1235161161">
      <w:bodyDiv w:val="1"/>
      <w:marLeft w:val="0"/>
      <w:marRight w:val="0"/>
      <w:marTop w:val="0"/>
      <w:marBottom w:val="0"/>
      <w:divBdr>
        <w:top w:val="none" w:sz="0" w:space="0" w:color="auto"/>
        <w:left w:val="none" w:sz="0" w:space="0" w:color="auto"/>
        <w:bottom w:val="none" w:sz="0" w:space="0" w:color="auto"/>
        <w:right w:val="none" w:sz="0" w:space="0" w:color="auto"/>
      </w:divBdr>
    </w:div>
    <w:div w:id="1235317279">
      <w:bodyDiv w:val="1"/>
      <w:marLeft w:val="0"/>
      <w:marRight w:val="0"/>
      <w:marTop w:val="0"/>
      <w:marBottom w:val="0"/>
      <w:divBdr>
        <w:top w:val="none" w:sz="0" w:space="0" w:color="auto"/>
        <w:left w:val="none" w:sz="0" w:space="0" w:color="auto"/>
        <w:bottom w:val="none" w:sz="0" w:space="0" w:color="auto"/>
        <w:right w:val="none" w:sz="0" w:space="0" w:color="auto"/>
      </w:divBdr>
    </w:div>
    <w:div w:id="1235318486">
      <w:bodyDiv w:val="1"/>
      <w:marLeft w:val="0"/>
      <w:marRight w:val="0"/>
      <w:marTop w:val="0"/>
      <w:marBottom w:val="0"/>
      <w:divBdr>
        <w:top w:val="none" w:sz="0" w:space="0" w:color="auto"/>
        <w:left w:val="none" w:sz="0" w:space="0" w:color="auto"/>
        <w:bottom w:val="none" w:sz="0" w:space="0" w:color="auto"/>
        <w:right w:val="none" w:sz="0" w:space="0" w:color="auto"/>
      </w:divBdr>
    </w:div>
    <w:div w:id="1235630804">
      <w:bodyDiv w:val="1"/>
      <w:marLeft w:val="0"/>
      <w:marRight w:val="0"/>
      <w:marTop w:val="0"/>
      <w:marBottom w:val="0"/>
      <w:divBdr>
        <w:top w:val="none" w:sz="0" w:space="0" w:color="auto"/>
        <w:left w:val="none" w:sz="0" w:space="0" w:color="auto"/>
        <w:bottom w:val="none" w:sz="0" w:space="0" w:color="auto"/>
        <w:right w:val="none" w:sz="0" w:space="0" w:color="auto"/>
      </w:divBdr>
    </w:div>
    <w:div w:id="1235703495">
      <w:bodyDiv w:val="1"/>
      <w:marLeft w:val="0"/>
      <w:marRight w:val="0"/>
      <w:marTop w:val="0"/>
      <w:marBottom w:val="0"/>
      <w:divBdr>
        <w:top w:val="none" w:sz="0" w:space="0" w:color="auto"/>
        <w:left w:val="none" w:sz="0" w:space="0" w:color="auto"/>
        <w:bottom w:val="none" w:sz="0" w:space="0" w:color="auto"/>
        <w:right w:val="none" w:sz="0" w:space="0" w:color="auto"/>
      </w:divBdr>
    </w:div>
    <w:div w:id="1235704583">
      <w:bodyDiv w:val="1"/>
      <w:marLeft w:val="0"/>
      <w:marRight w:val="0"/>
      <w:marTop w:val="0"/>
      <w:marBottom w:val="0"/>
      <w:divBdr>
        <w:top w:val="none" w:sz="0" w:space="0" w:color="auto"/>
        <w:left w:val="none" w:sz="0" w:space="0" w:color="auto"/>
        <w:bottom w:val="none" w:sz="0" w:space="0" w:color="auto"/>
        <w:right w:val="none" w:sz="0" w:space="0" w:color="auto"/>
      </w:divBdr>
    </w:div>
    <w:div w:id="1235775593">
      <w:bodyDiv w:val="1"/>
      <w:marLeft w:val="0"/>
      <w:marRight w:val="0"/>
      <w:marTop w:val="0"/>
      <w:marBottom w:val="0"/>
      <w:divBdr>
        <w:top w:val="none" w:sz="0" w:space="0" w:color="auto"/>
        <w:left w:val="none" w:sz="0" w:space="0" w:color="auto"/>
        <w:bottom w:val="none" w:sz="0" w:space="0" w:color="auto"/>
        <w:right w:val="none" w:sz="0" w:space="0" w:color="auto"/>
      </w:divBdr>
    </w:div>
    <w:div w:id="1235779023">
      <w:bodyDiv w:val="1"/>
      <w:marLeft w:val="0"/>
      <w:marRight w:val="0"/>
      <w:marTop w:val="0"/>
      <w:marBottom w:val="0"/>
      <w:divBdr>
        <w:top w:val="none" w:sz="0" w:space="0" w:color="auto"/>
        <w:left w:val="none" w:sz="0" w:space="0" w:color="auto"/>
        <w:bottom w:val="none" w:sz="0" w:space="0" w:color="auto"/>
        <w:right w:val="none" w:sz="0" w:space="0" w:color="auto"/>
      </w:divBdr>
    </w:div>
    <w:div w:id="1235818682">
      <w:bodyDiv w:val="1"/>
      <w:marLeft w:val="0"/>
      <w:marRight w:val="0"/>
      <w:marTop w:val="0"/>
      <w:marBottom w:val="0"/>
      <w:divBdr>
        <w:top w:val="none" w:sz="0" w:space="0" w:color="auto"/>
        <w:left w:val="none" w:sz="0" w:space="0" w:color="auto"/>
        <w:bottom w:val="none" w:sz="0" w:space="0" w:color="auto"/>
        <w:right w:val="none" w:sz="0" w:space="0" w:color="auto"/>
      </w:divBdr>
    </w:div>
    <w:div w:id="1235819741">
      <w:bodyDiv w:val="1"/>
      <w:marLeft w:val="0"/>
      <w:marRight w:val="0"/>
      <w:marTop w:val="0"/>
      <w:marBottom w:val="0"/>
      <w:divBdr>
        <w:top w:val="none" w:sz="0" w:space="0" w:color="auto"/>
        <w:left w:val="none" w:sz="0" w:space="0" w:color="auto"/>
        <w:bottom w:val="none" w:sz="0" w:space="0" w:color="auto"/>
        <w:right w:val="none" w:sz="0" w:space="0" w:color="auto"/>
      </w:divBdr>
    </w:div>
    <w:div w:id="1235966878">
      <w:bodyDiv w:val="1"/>
      <w:marLeft w:val="0"/>
      <w:marRight w:val="0"/>
      <w:marTop w:val="0"/>
      <w:marBottom w:val="0"/>
      <w:divBdr>
        <w:top w:val="none" w:sz="0" w:space="0" w:color="auto"/>
        <w:left w:val="none" w:sz="0" w:space="0" w:color="auto"/>
        <w:bottom w:val="none" w:sz="0" w:space="0" w:color="auto"/>
        <w:right w:val="none" w:sz="0" w:space="0" w:color="auto"/>
      </w:divBdr>
    </w:div>
    <w:div w:id="1236089786">
      <w:bodyDiv w:val="1"/>
      <w:marLeft w:val="0"/>
      <w:marRight w:val="0"/>
      <w:marTop w:val="0"/>
      <w:marBottom w:val="0"/>
      <w:divBdr>
        <w:top w:val="none" w:sz="0" w:space="0" w:color="auto"/>
        <w:left w:val="none" w:sz="0" w:space="0" w:color="auto"/>
        <w:bottom w:val="none" w:sz="0" w:space="0" w:color="auto"/>
        <w:right w:val="none" w:sz="0" w:space="0" w:color="auto"/>
      </w:divBdr>
    </w:div>
    <w:div w:id="1236428618">
      <w:bodyDiv w:val="1"/>
      <w:marLeft w:val="0"/>
      <w:marRight w:val="0"/>
      <w:marTop w:val="0"/>
      <w:marBottom w:val="0"/>
      <w:divBdr>
        <w:top w:val="none" w:sz="0" w:space="0" w:color="auto"/>
        <w:left w:val="none" w:sz="0" w:space="0" w:color="auto"/>
        <w:bottom w:val="none" w:sz="0" w:space="0" w:color="auto"/>
        <w:right w:val="none" w:sz="0" w:space="0" w:color="auto"/>
      </w:divBdr>
    </w:div>
    <w:div w:id="1236627057">
      <w:bodyDiv w:val="1"/>
      <w:marLeft w:val="0"/>
      <w:marRight w:val="0"/>
      <w:marTop w:val="0"/>
      <w:marBottom w:val="0"/>
      <w:divBdr>
        <w:top w:val="none" w:sz="0" w:space="0" w:color="auto"/>
        <w:left w:val="none" w:sz="0" w:space="0" w:color="auto"/>
        <w:bottom w:val="none" w:sz="0" w:space="0" w:color="auto"/>
        <w:right w:val="none" w:sz="0" w:space="0" w:color="auto"/>
      </w:divBdr>
    </w:div>
    <w:div w:id="1236746951">
      <w:bodyDiv w:val="1"/>
      <w:marLeft w:val="0"/>
      <w:marRight w:val="0"/>
      <w:marTop w:val="0"/>
      <w:marBottom w:val="0"/>
      <w:divBdr>
        <w:top w:val="none" w:sz="0" w:space="0" w:color="auto"/>
        <w:left w:val="none" w:sz="0" w:space="0" w:color="auto"/>
        <w:bottom w:val="none" w:sz="0" w:space="0" w:color="auto"/>
        <w:right w:val="none" w:sz="0" w:space="0" w:color="auto"/>
      </w:divBdr>
    </w:div>
    <w:div w:id="1236939804">
      <w:bodyDiv w:val="1"/>
      <w:marLeft w:val="0"/>
      <w:marRight w:val="0"/>
      <w:marTop w:val="0"/>
      <w:marBottom w:val="0"/>
      <w:divBdr>
        <w:top w:val="none" w:sz="0" w:space="0" w:color="auto"/>
        <w:left w:val="none" w:sz="0" w:space="0" w:color="auto"/>
        <w:bottom w:val="none" w:sz="0" w:space="0" w:color="auto"/>
        <w:right w:val="none" w:sz="0" w:space="0" w:color="auto"/>
      </w:divBdr>
    </w:div>
    <w:div w:id="1236941717">
      <w:bodyDiv w:val="1"/>
      <w:marLeft w:val="0"/>
      <w:marRight w:val="0"/>
      <w:marTop w:val="0"/>
      <w:marBottom w:val="0"/>
      <w:divBdr>
        <w:top w:val="none" w:sz="0" w:space="0" w:color="auto"/>
        <w:left w:val="none" w:sz="0" w:space="0" w:color="auto"/>
        <w:bottom w:val="none" w:sz="0" w:space="0" w:color="auto"/>
        <w:right w:val="none" w:sz="0" w:space="0" w:color="auto"/>
      </w:divBdr>
    </w:div>
    <w:div w:id="1237010778">
      <w:bodyDiv w:val="1"/>
      <w:marLeft w:val="0"/>
      <w:marRight w:val="0"/>
      <w:marTop w:val="0"/>
      <w:marBottom w:val="0"/>
      <w:divBdr>
        <w:top w:val="none" w:sz="0" w:space="0" w:color="auto"/>
        <w:left w:val="none" w:sz="0" w:space="0" w:color="auto"/>
        <w:bottom w:val="none" w:sz="0" w:space="0" w:color="auto"/>
        <w:right w:val="none" w:sz="0" w:space="0" w:color="auto"/>
      </w:divBdr>
    </w:div>
    <w:div w:id="1237084098">
      <w:bodyDiv w:val="1"/>
      <w:marLeft w:val="0"/>
      <w:marRight w:val="0"/>
      <w:marTop w:val="0"/>
      <w:marBottom w:val="0"/>
      <w:divBdr>
        <w:top w:val="none" w:sz="0" w:space="0" w:color="auto"/>
        <w:left w:val="none" w:sz="0" w:space="0" w:color="auto"/>
        <w:bottom w:val="none" w:sz="0" w:space="0" w:color="auto"/>
        <w:right w:val="none" w:sz="0" w:space="0" w:color="auto"/>
      </w:divBdr>
    </w:div>
    <w:div w:id="1237130451">
      <w:bodyDiv w:val="1"/>
      <w:marLeft w:val="0"/>
      <w:marRight w:val="0"/>
      <w:marTop w:val="0"/>
      <w:marBottom w:val="0"/>
      <w:divBdr>
        <w:top w:val="none" w:sz="0" w:space="0" w:color="auto"/>
        <w:left w:val="none" w:sz="0" w:space="0" w:color="auto"/>
        <w:bottom w:val="none" w:sz="0" w:space="0" w:color="auto"/>
        <w:right w:val="none" w:sz="0" w:space="0" w:color="auto"/>
      </w:divBdr>
    </w:div>
    <w:div w:id="1237132471">
      <w:bodyDiv w:val="1"/>
      <w:marLeft w:val="0"/>
      <w:marRight w:val="0"/>
      <w:marTop w:val="0"/>
      <w:marBottom w:val="0"/>
      <w:divBdr>
        <w:top w:val="none" w:sz="0" w:space="0" w:color="auto"/>
        <w:left w:val="none" w:sz="0" w:space="0" w:color="auto"/>
        <w:bottom w:val="none" w:sz="0" w:space="0" w:color="auto"/>
        <w:right w:val="none" w:sz="0" w:space="0" w:color="auto"/>
      </w:divBdr>
    </w:div>
    <w:div w:id="1237200705">
      <w:bodyDiv w:val="1"/>
      <w:marLeft w:val="0"/>
      <w:marRight w:val="0"/>
      <w:marTop w:val="0"/>
      <w:marBottom w:val="0"/>
      <w:divBdr>
        <w:top w:val="none" w:sz="0" w:space="0" w:color="auto"/>
        <w:left w:val="none" w:sz="0" w:space="0" w:color="auto"/>
        <w:bottom w:val="none" w:sz="0" w:space="0" w:color="auto"/>
        <w:right w:val="none" w:sz="0" w:space="0" w:color="auto"/>
      </w:divBdr>
    </w:div>
    <w:div w:id="1237276372">
      <w:bodyDiv w:val="1"/>
      <w:marLeft w:val="0"/>
      <w:marRight w:val="0"/>
      <w:marTop w:val="0"/>
      <w:marBottom w:val="0"/>
      <w:divBdr>
        <w:top w:val="none" w:sz="0" w:space="0" w:color="auto"/>
        <w:left w:val="none" w:sz="0" w:space="0" w:color="auto"/>
        <w:bottom w:val="none" w:sz="0" w:space="0" w:color="auto"/>
        <w:right w:val="none" w:sz="0" w:space="0" w:color="auto"/>
      </w:divBdr>
    </w:div>
    <w:div w:id="1237277591">
      <w:bodyDiv w:val="1"/>
      <w:marLeft w:val="0"/>
      <w:marRight w:val="0"/>
      <w:marTop w:val="0"/>
      <w:marBottom w:val="0"/>
      <w:divBdr>
        <w:top w:val="none" w:sz="0" w:space="0" w:color="auto"/>
        <w:left w:val="none" w:sz="0" w:space="0" w:color="auto"/>
        <w:bottom w:val="none" w:sz="0" w:space="0" w:color="auto"/>
        <w:right w:val="none" w:sz="0" w:space="0" w:color="auto"/>
      </w:divBdr>
    </w:div>
    <w:div w:id="1237281581">
      <w:bodyDiv w:val="1"/>
      <w:marLeft w:val="0"/>
      <w:marRight w:val="0"/>
      <w:marTop w:val="0"/>
      <w:marBottom w:val="0"/>
      <w:divBdr>
        <w:top w:val="none" w:sz="0" w:space="0" w:color="auto"/>
        <w:left w:val="none" w:sz="0" w:space="0" w:color="auto"/>
        <w:bottom w:val="none" w:sz="0" w:space="0" w:color="auto"/>
        <w:right w:val="none" w:sz="0" w:space="0" w:color="auto"/>
      </w:divBdr>
    </w:div>
    <w:div w:id="1237400265">
      <w:bodyDiv w:val="1"/>
      <w:marLeft w:val="0"/>
      <w:marRight w:val="0"/>
      <w:marTop w:val="0"/>
      <w:marBottom w:val="0"/>
      <w:divBdr>
        <w:top w:val="none" w:sz="0" w:space="0" w:color="auto"/>
        <w:left w:val="none" w:sz="0" w:space="0" w:color="auto"/>
        <w:bottom w:val="none" w:sz="0" w:space="0" w:color="auto"/>
        <w:right w:val="none" w:sz="0" w:space="0" w:color="auto"/>
      </w:divBdr>
    </w:div>
    <w:div w:id="1237472600">
      <w:bodyDiv w:val="1"/>
      <w:marLeft w:val="0"/>
      <w:marRight w:val="0"/>
      <w:marTop w:val="0"/>
      <w:marBottom w:val="0"/>
      <w:divBdr>
        <w:top w:val="none" w:sz="0" w:space="0" w:color="auto"/>
        <w:left w:val="none" w:sz="0" w:space="0" w:color="auto"/>
        <w:bottom w:val="none" w:sz="0" w:space="0" w:color="auto"/>
        <w:right w:val="none" w:sz="0" w:space="0" w:color="auto"/>
      </w:divBdr>
    </w:div>
    <w:div w:id="1237473771">
      <w:bodyDiv w:val="1"/>
      <w:marLeft w:val="0"/>
      <w:marRight w:val="0"/>
      <w:marTop w:val="0"/>
      <w:marBottom w:val="0"/>
      <w:divBdr>
        <w:top w:val="none" w:sz="0" w:space="0" w:color="auto"/>
        <w:left w:val="none" w:sz="0" w:space="0" w:color="auto"/>
        <w:bottom w:val="none" w:sz="0" w:space="0" w:color="auto"/>
        <w:right w:val="none" w:sz="0" w:space="0" w:color="auto"/>
      </w:divBdr>
    </w:div>
    <w:div w:id="1237546006">
      <w:bodyDiv w:val="1"/>
      <w:marLeft w:val="0"/>
      <w:marRight w:val="0"/>
      <w:marTop w:val="0"/>
      <w:marBottom w:val="0"/>
      <w:divBdr>
        <w:top w:val="none" w:sz="0" w:space="0" w:color="auto"/>
        <w:left w:val="none" w:sz="0" w:space="0" w:color="auto"/>
        <w:bottom w:val="none" w:sz="0" w:space="0" w:color="auto"/>
        <w:right w:val="none" w:sz="0" w:space="0" w:color="auto"/>
      </w:divBdr>
    </w:div>
    <w:div w:id="1237788138">
      <w:bodyDiv w:val="1"/>
      <w:marLeft w:val="0"/>
      <w:marRight w:val="0"/>
      <w:marTop w:val="0"/>
      <w:marBottom w:val="0"/>
      <w:divBdr>
        <w:top w:val="none" w:sz="0" w:space="0" w:color="auto"/>
        <w:left w:val="none" w:sz="0" w:space="0" w:color="auto"/>
        <w:bottom w:val="none" w:sz="0" w:space="0" w:color="auto"/>
        <w:right w:val="none" w:sz="0" w:space="0" w:color="auto"/>
      </w:divBdr>
    </w:div>
    <w:div w:id="1237860421">
      <w:bodyDiv w:val="1"/>
      <w:marLeft w:val="0"/>
      <w:marRight w:val="0"/>
      <w:marTop w:val="0"/>
      <w:marBottom w:val="0"/>
      <w:divBdr>
        <w:top w:val="none" w:sz="0" w:space="0" w:color="auto"/>
        <w:left w:val="none" w:sz="0" w:space="0" w:color="auto"/>
        <w:bottom w:val="none" w:sz="0" w:space="0" w:color="auto"/>
        <w:right w:val="none" w:sz="0" w:space="0" w:color="auto"/>
      </w:divBdr>
    </w:div>
    <w:div w:id="1237932634">
      <w:bodyDiv w:val="1"/>
      <w:marLeft w:val="0"/>
      <w:marRight w:val="0"/>
      <w:marTop w:val="0"/>
      <w:marBottom w:val="0"/>
      <w:divBdr>
        <w:top w:val="none" w:sz="0" w:space="0" w:color="auto"/>
        <w:left w:val="none" w:sz="0" w:space="0" w:color="auto"/>
        <w:bottom w:val="none" w:sz="0" w:space="0" w:color="auto"/>
        <w:right w:val="none" w:sz="0" w:space="0" w:color="auto"/>
      </w:divBdr>
    </w:div>
    <w:div w:id="1237977130">
      <w:bodyDiv w:val="1"/>
      <w:marLeft w:val="0"/>
      <w:marRight w:val="0"/>
      <w:marTop w:val="0"/>
      <w:marBottom w:val="0"/>
      <w:divBdr>
        <w:top w:val="none" w:sz="0" w:space="0" w:color="auto"/>
        <w:left w:val="none" w:sz="0" w:space="0" w:color="auto"/>
        <w:bottom w:val="none" w:sz="0" w:space="0" w:color="auto"/>
        <w:right w:val="none" w:sz="0" w:space="0" w:color="auto"/>
      </w:divBdr>
    </w:div>
    <w:div w:id="1237978730">
      <w:bodyDiv w:val="1"/>
      <w:marLeft w:val="0"/>
      <w:marRight w:val="0"/>
      <w:marTop w:val="0"/>
      <w:marBottom w:val="0"/>
      <w:divBdr>
        <w:top w:val="none" w:sz="0" w:space="0" w:color="auto"/>
        <w:left w:val="none" w:sz="0" w:space="0" w:color="auto"/>
        <w:bottom w:val="none" w:sz="0" w:space="0" w:color="auto"/>
        <w:right w:val="none" w:sz="0" w:space="0" w:color="auto"/>
      </w:divBdr>
    </w:div>
    <w:div w:id="1238129301">
      <w:bodyDiv w:val="1"/>
      <w:marLeft w:val="0"/>
      <w:marRight w:val="0"/>
      <w:marTop w:val="0"/>
      <w:marBottom w:val="0"/>
      <w:divBdr>
        <w:top w:val="none" w:sz="0" w:space="0" w:color="auto"/>
        <w:left w:val="none" w:sz="0" w:space="0" w:color="auto"/>
        <w:bottom w:val="none" w:sz="0" w:space="0" w:color="auto"/>
        <w:right w:val="none" w:sz="0" w:space="0" w:color="auto"/>
      </w:divBdr>
    </w:div>
    <w:div w:id="1238133118">
      <w:bodyDiv w:val="1"/>
      <w:marLeft w:val="0"/>
      <w:marRight w:val="0"/>
      <w:marTop w:val="0"/>
      <w:marBottom w:val="0"/>
      <w:divBdr>
        <w:top w:val="none" w:sz="0" w:space="0" w:color="auto"/>
        <w:left w:val="none" w:sz="0" w:space="0" w:color="auto"/>
        <w:bottom w:val="none" w:sz="0" w:space="0" w:color="auto"/>
        <w:right w:val="none" w:sz="0" w:space="0" w:color="auto"/>
      </w:divBdr>
    </w:div>
    <w:div w:id="1238318870">
      <w:bodyDiv w:val="1"/>
      <w:marLeft w:val="0"/>
      <w:marRight w:val="0"/>
      <w:marTop w:val="0"/>
      <w:marBottom w:val="0"/>
      <w:divBdr>
        <w:top w:val="none" w:sz="0" w:space="0" w:color="auto"/>
        <w:left w:val="none" w:sz="0" w:space="0" w:color="auto"/>
        <w:bottom w:val="none" w:sz="0" w:space="0" w:color="auto"/>
        <w:right w:val="none" w:sz="0" w:space="0" w:color="auto"/>
      </w:divBdr>
    </w:div>
    <w:div w:id="1238325413">
      <w:bodyDiv w:val="1"/>
      <w:marLeft w:val="0"/>
      <w:marRight w:val="0"/>
      <w:marTop w:val="0"/>
      <w:marBottom w:val="0"/>
      <w:divBdr>
        <w:top w:val="none" w:sz="0" w:space="0" w:color="auto"/>
        <w:left w:val="none" w:sz="0" w:space="0" w:color="auto"/>
        <w:bottom w:val="none" w:sz="0" w:space="0" w:color="auto"/>
        <w:right w:val="none" w:sz="0" w:space="0" w:color="auto"/>
      </w:divBdr>
    </w:div>
    <w:div w:id="1238516438">
      <w:bodyDiv w:val="1"/>
      <w:marLeft w:val="0"/>
      <w:marRight w:val="0"/>
      <w:marTop w:val="0"/>
      <w:marBottom w:val="0"/>
      <w:divBdr>
        <w:top w:val="none" w:sz="0" w:space="0" w:color="auto"/>
        <w:left w:val="none" w:sz="0" w:space="0" w:color="auto"/>
        <w:bottom w:val="none" w:sz="0" w:space="0" w:color="auto"/>
        <w:right w:val="none" w:sz="0" w:space="0" w:color="auto"/>
      </w:divBdr>
    </w:div>
    <w:div w:id="1238594088">
      <w:bodyDiv w:val="1"/>
      <w:marLeft w:val="0"/>
      <w:marRight w:val="0"/>
      <w:marTop w:val="0"/>
      <w:marBottom w:val="0"/>
      <w:divBdr>
        <w:top w:val="none" w:sz="0" w:space="0" w:color="auto"/>
        <w:left w:val="none" w:sz="0" w:space="0" w:color="auto"/>
        <w:bottom w:val="none" w:sz="0" w:space="0" w:color="auto"/>
        <w:right w:val="none" w:sz="0" w:space="0" w:color="auto"/>
      </w:divBdr>
    </w:div>
    <w:div w:id="1238594437">
      <w:bodyDiv w:val="1"/>
      <w:marLeft w:val="0"/>
      <w:marRight w:val="0"/>
      <w:marTop w:val="0"/>
      <w:marBottom w:val="0"/>
      <w:divBdr>
        <w:top w:val="none" w:sz="0" w:space="0" w:color="auto"/>
        <w:left w:val="none" w:sz="0" w:space="0" w:color="auto"/>
        <w:bottom w:val="none" w:sz="0" w:space="0" w:color="auto"/>
        <w:right w:val="none" w:sz="0" w:space="0" w:color="auto"/>
      </w:divBdr>
    </w:div>
    <w:div w:id="1238789128">
      <w:bodyDiv w:val="1"/>
      <w:marLeft w:val="0"/>
      <w:marRight w:val="0"/>
      <w:marTop w:val="0"/>
      <w:marBottom w:val="0"/>
      <w:divBdr>
        <w:top w:val="none" w:sz="0" w:space="0" w:color="auto"/>
        <w:left w:val="none" w:sz="0" w:space="0" w:color="auto"/>
        <w:bottom w:val="none" w:sz="0" w:space="0" w:color="auto"/>
        <w:right w:val="none" w:sz="0" w:space="0" w:color="auto"/>
      </w:divBdr>
    </w:div>
    <w:div w:id="1238902987">
      <w:bodyDiv w:val="1"/>
      <w:marLeft w:val="0"/>
      <w:marRight w:val="0"/>
      <w:marTop w:val="0"/>
      <w:marBottom w:val="0"/>
      <w:divBdr>
        <w:top w:val="none" w:sz="0" w:space="0" w:color="auto"/>
        <w:left w:val="none" w:sz="0" w:space="0" w:color="auto"/>
        <w:bottom w:val="none" w:sz="0" w:space="0" w:color="auto"/>
        <w:right w:val="none" w:sz="0" w:space="0" w:color="auto"/>
      </w:divBdr>
    </w:div>
    <w:div w:id="1238978270">
      <w:bodyDiv w:val="1"/>
      <w:marLeft w:val="0"/>
      <w:marRight w:val="0"/>
      <w:marTop w:val="0"/>
      <w:marBottom w:val="0"/>
      <w:divBdr>
        <w:top w:val="none" w:sz="0" w:space="0" w:color="auto"/>
        <w:left w:val="none" w:sz="0" w:space="0" w:color="auto"/>
        <w:bottom w:val="none" w:sz="0" w:space="0" w:color="auto"/>
        <w:right w:val="none" w:sz="0" w:space="0" w:color="auto"/>
      </w:divBdr>
    </w:div>
    <w:div w:id="1239098738">
      <w:bodyDiv w:val="1"/>
      <w:marLeft w:val="0"/>
      <w:marRight w:val="0"/>
      <w:marTop w:val="0"/>
      <w:marBottom w:val="0"/>
      <w:divBdr>
        <w:top w:val="none" w:sz="0" w:space="0" w:color="auto"/>
        <w:left w:val="none" w:sz="0" w:space="0" w:color="auto"/>
        <w:bottom w:val="none" w:sz="0" w:space="0" w:color="auto"/>
        <w:right w:val="none" w:sz="0" w:space="0" w:color="auto"/>
      </w:divBdr>
    </w:div>
    <w:div w:id="1239169138">
      <w:bodyDiv w:val="1"/>
      <w:marLeft w:val="0"/>
      <w:marRight w:val="0"/>
      <w:marTop w:val="0"/>
      <w:marBottom w:val="0"/>
      <w:divBdr>
        <w:top w:val="none" w:sz="0" w:space="0" w:color="auto"/>
        <w:left w:val="none" w:sz="0" w:space="0" w:color="auto"/>
        <w:bottom w:val="none" w:sz="0" w:space="0" w:color="auto"/>
        <w:right w:val="none" w:sz="0" w:space="0" w:color="auto"/>
      </w:divBdr>
    </w:div>
    <w:div w:id="1239172205">
      <w:bodyDiv w:val="1"/>
      <w:marLeft w:val="0"/>
      <w:marRight w:val="0"/>
      <w:marTop w:val="0"/>
      <w:marBottom w:val="0"/>
      <w:divBdr>
        <w:top w:val="none" w:sz="0" w:space="0" w:color="auto"/>
        <w:left w:val="none" w:sz="0" w:space="0" w:color="auto"/>
        <w:bottom w:val="none" w:sz="0" w:space="0" w:color="auto"/>
        <w:right w:val="none" w:sz="0" w:space="0" w:color="auto"/>
      </w:divBdr>
    </w:div>
    <w:div w:id="1239363597">
      <w:bodyDiv w:val="1"/>
      <w:marLeft w:val="0"/>
      <w:marRight w:val="0"/>
      <w:marTop w:val="0"/>
      <w:marBottom w:val="0"/>
      <w:divBdr>
        <w:top w:val="none" w:sz="0" w:space="0" w:color="auto"/>
        <w:left w:val="none" w:sz="0" w:space="0" w:color="auto"/>
        <w:bottom w:val="none" w:sz="0" w:space="0" w:color="auto"/>
        <w:right w:val="none" w:sz="0" w:space="0" w:color="auto"/>
      </w:divBdr>
    </w:div>
    <w:div w:id="1239366942">
      <w:bodyDiv w:val="1"/>
      <w:marLeft w:val="0"/>
      <w:marRight w:val="0"/>
      <w:marTop w:val="0"/>
      <w:marBottom w:val="0"/>
      <w:divBdr>
        <w:top w:val="none" w:sz="0" w:space="0" w:color="auto"/>
        <w:left w:val="none" w:sz="0" w:space="0" w:color="auto"/>
        <w:bottom w:val="none" w:sz="0" w:space="0" w:color="auto"/>
        <w:right w:val="none" w:sz="0" w:space="0" w:color="auto"/>
      </w:divBdr>
    </w:div>
    <w:div w:id="1239485955">
      <w:bodyDiv w:val="1"/>
      <w:marLeft w:val="0"/>
      <w:marRight w:val="0"/>
      <w:marTop w:val="0"/>
      <w:marBottom w:val="0"/>
      <w:divBdr>
        <w:top w:val="none" w:sz="0" w:space="0" w:color="auto"/>
        <w:left w:val="none" w:sz="0" w:space="0" w:color="auto"/>
        <w:bottom w:val="none" w:sz="0" w:space="0" w:color="auto"/>
        <w:right w:val="none" w:sz="0" w:space="0" w:color="auto"/>
      </w:divBdr>
    </w:div>
    <w:div w:id="1239634637">
      <w:bodyDiv w:val="1"/>
      <w:marLeft w:val="0"/>
      <w:marRight w:val="0"/>
      <w:marTop w:val="0"/>
      <w:marBottom w:val="0"/>
      <w:divBdr>
        <w:top w:val="none" w:sz="0" w:space="0" w:color="auto"/>
        <w:left w:val="none" w:sz="0" w:space="0" w:color="auto"/>
        <w:bottom w:val="none" w:sz="0" w:space="0" w:color="auto"/>
        <w:right w:val="none" w:sz="0" w:space="0" w:color="auto"/>
      </w:divBdr>
    </w:div>
    <w:div w:id="1239901850">
      <w:bodyDiv w:val="1"/>
      <w:marLeft w:val="0"/>
      <w:marRight w:val="0"/>
      <w:marTop w:val="0"/>
      <w:marBottom w:val="0"/>
      <w:divBdr>
        <w:top w:val="none" w:sz="0" w:space="0" w:color="auto"/>
        <w:left w:val="none" w:sz="0" w:space="0" w:color="auto"/>
        <w:bottom w:val="none" w:sz="0" w:space="0" w:color="auto"/>
        <w:right w:val="none" w:sz="0" w:space="0" w:color="auto"/>
      </w:divBdr>
    </w:div>
    <w:div w:id="1239902024">
      <w:bodyDiv w:val="1"/>
      <w:marLeft w:val="0"/>
      <w:marRight w:val="0"/>
      <w:marTop w:val="0"/>
      <w:marBottom w:val="0"/>
      <w:divBdr>
        <w:top w:val="none" w:sz="0" w:space="0" w:color="auto"/>
        <w:left w:val="none" w:sz="0" w:space="0" w:color="auto"/>
        <w:bottom w:val="none" w:sz="0" w:space="0" w:color="auto"/>
        <w:right w:val="none" w:sz="0" w:space="0" w:color="auto"/>
      </w:divBdr>
    </w:div>
    <w:div w:id="1239943866">
      <w:bodyDiv w:val="1"/>
      <w:marLeft w:val="0"/>
      <w:marRight w:val="0"/>
      <w:marTop w:val="0"/>
      <w:marBottom w:val="0"/>
      <w:divBdr>
        <w:top w:val="none" w:sz="0" w:space="0" w:color="auto"/>
        <w:left w:val="none" w:sz="0" w:space="0" w:color="auto"/>
        <w:bottom w:val="none" w:sz="0" w:space="0" w:color="auto"/>
        <w:right w:val="none" w:sz="0" w:space="0" w:color="auto"/>
      </w:divBdr>
    </w:div>
    <w:div w:id="1240019791">
      <w:bodyDiv w:val="1"/>
      <w:marLeft w:val="0"/>
      <w:marRight w:val="0"/>
      <w:marTop w:val="0"/>
      <w:marBottom w:val="0"/>
      <w:divBdr>
        <w:top w:val="none" w:sz="0" w:space="0" w:color="auto"/>
        <w:left w:val="none" w:sz="0" w:space="0" w:color="auto"/>
        <w:bottom w:val="none" w:sz="0" w:space="0" w:color="auto"/>
        <w:right w:val="none" w:sz="0" w:space="0" w:color="auto"/>
      </w:divBdr>
    </w:div>
    <w:div w:id="1240024629">
      <w:bodyDiv w:val="1"/>
      <w:marLeft w:val="0"/>
      <w:marRight w:val="0"/>
      <w:marTop w:val="0"/>
      <w:marBottom w:val="0"/>
      <w:divBdr>
        <w:top w:val="none" w:sz="0" w:space="0" w:color="auto"/>
        <w:left w:val="none" w:sz="0" w:space="0" w:color="auto"/>
        <w:bottom w:val="none" w:sz="0" w:space="0" w:color="auto"/>
        <w:right w:val="none" w:sz="0" w:space="0" w:color="auto"/>
      </w:divBdr>
    </w:div>
    <w:div w:id="1240094256">
      <w:bodyDiv w:val="1"/>
      <w:marLeft w:val="0"/>
      <w:marRight w:val="0"/>
      <w:marTop w:val="0"/>
      <w:marBottom w:val="0"/>
      <w:divBdr>
        <w:top w:val="none" w:sz="0" w:space="0" w:color="auto"/>
        <w:left w:val="none" w:sz="0" w:space="0" w:color="auto"/>
        <w:bottom w:val="none" w:sz="0" w:space="0" w:color="auto"/>
        <w:right w:val="none" w:sz="0" w:space="0" w:color="auto"/>
      </w:divBdr>
    </w:div>
    <w:div w:id="1240208549">
      <w:bodyDiv w:val="1"/>
      <w:marLeft w:val="0"/>
      <w:marRight w:val="0"/>
      <w:marTop w:val="0"/>
      <w:marBottom w:val="0"/>
      <w:divBdr>
        <w:top w:val="none" w:sz="0" w:space="0" w:color="auto"/>
        <w:left w:val="none" w:sz="0" w:space="0" w:color="auto"/>
        <w:bottom w:val="none" w:sz="0" w:space="0" w:color="auto"/>
        <w:right w:val="none" w:sz="0" w:space="0" w:color="auto"/>
      </w:divBdr>
    </w:div>
    <w:div w:id="1240361391">
      <w:bodyDiv w:val="1"/>
      <w:marLeft w:val="0"/>
      <w:marRight w:val="0"/>
      <w:marTop w:val="0"/>
      <w:marBottom w:val="0"/>
      <w:divBdr>
        <w:top w:val="none" w:sz="0" w:space="0" w:color="auto"/>
        <w:left w:val="none" w:sz="0" w:space="0" w:color="auto"/>
        <w:bottom w:val="none" w:sz="0" w:space="0" w:color="auto"/>
        <w:right w:val="none" w:sz="0" w:space="0" w:color="auto"/>
      </w:divBdr>
    </w:div>
    <w:div w:id="1240366317">
      <w:bodyDiv w:val="1"/>
      <w:marLeft w:val="0"/>
      <w:marRight w:val="0"/>
      <w:marTop w:val="0"/>
      <w:marBottom w:val="0"/>
      <w:divBdr>
        <w:top w:val="none" w:sz="0" w:space="0" w:color="auto"/>
        <w:left w:val="none" w:sz="0" w:space="0" w:color="auto"/>
        <w:bottom w:val="none" w:sz="0" w:space="0" w:color="auto"/>
        <w:right w:val="none" w:sz="0" w:space="0" w:color="auto"/>
      </w:divBdr>
    </w:div>
    <w:div w:id="1240485234">
      <w:bodyDiv w:val="1"/>
      <w:marLeft w:val="0"/>
      <w:marRight w:val="0"/>
      <w:marTop w:val="0"/>
      <w:marBottom w:val="0"/>
      <w:divBdr>
        <w:top w:val="none" w:sz="0" w:space="0" w:color="auto"/>
        <w:left w:val="none" w:sz="0" w:space="0" w:color="auto"/>
        <w:bottom w:val="none" w:sz="0" w:space="0" w:color="auto"/>
        <w:right w:val="none" w:sz="0" w:space="0" w:color="auto"/>
      </w:divBdr>
    </w:div>
    <w:div w:id="1240559819">
      <w:bodyDiv w:val="1"/>
      <w:marLeft w:val="0"/>
      <w:marRight w:val="0"/>
      <w:marTop w:val="0"/>
      <w:marBottom w:val="0"/>
      <w:divBdr>
        <w:top w:val="none" w:sz="0" w:space="0" w:color="auto"/>
        <w:left w:val="none" w:sz="0" w:space="0" w:color="auto"/>
        <w:bottom w:val="none" w:sz="0" w:space="0" w:color="auto"/>
        <w:right w:val="none" w:sz="0" w:space="0" w:color="auto"/>
      </w:divBdr>
    </w:div>
    <w:div w:id="1240596814">
      <w:bodyDiv w:val="1"/>
      <w:marLeft w:val="0"/>
      <w:marRight w:val="0"/>
      <w:marTop w:val="0"/>
      <w:marBottom w:val="0"/>
      <w:divBdr>
        <w:top w:val="none" w:sz="0" w:space="0" w:color="auto"/>
        <w:left w:val="none" w:sz="0" w:space="0" w:color="auto"/>
        <w:bottom w:val="none" w:sz="0" w:space="0" w:color="auto"/>
        <w:right w:val="none" w:sz="0" w:space="0" w:color="auto"/>
      </w:divBdr>
    </w:div>
    <w:div w:id="1240598007">
      <w:bodyDiv w:val="1"/>
      <w:marLeft w:val="0"/>
      <w:marRight w:val="0"/>
      <w:marTop w:val="0"/>
      <w:marBottom w:val="0"/>
      <w:divBdr>
        <w:top w:val="none" w:sz="0" w:space="0" w:color="auto"/>
        <w:left w:val="none" w:sz="0" w:space="0" w:color="auto"/>
        <w:bottom w:val="none" w:sz="0" w:space="0" w:color="auto"/>
        <w:right w:val="none" w:sz="0" w:space="0" w:color="auto"/>
      </w:divBdr>
    </w:div>
    <w:div w:id="1240628032">
      <w:bodyDiv w:val="1"/>
      <w:marLeft w:val="0"/>
      <w:marRight w:val="0"/>
      <w:marTop w:val="0"/>
      <w:marBottom w:val="0"/>
      <w:divBdr>
        <w:top w:val="none" w:sz="0" w:space="0" w:color="auto"/>
        <w:left w:val="none" w:sz="0" w:space="0" w:color="auto"/>
        <w:bottom w:val="none" w:sz="0" w:space="0" w:color="auto"/>
        <w:right w:val="none" w:sz="0" w:space="0" w:color="auto"/>
      </w:divBdr>
    </w:div>
    <w:div w:id="1240628914">
      <w:bodyDiv w:val="1"/>
      <w:marLeft w:val="0"/>
      <w:marRight w:val="0"/>
      <w:marTop w:val="0"/>
      <w:marBottom w:val="0"/>
      <w:divBdr>
        <w:top w:val="none" w:sz="0" w:space="0" w:color="auto"/>
        <w:left w:val="none" w:sz="0" w:space="0" w:color="auto"/>
        <w:bottom w:val="none" w:sz="0" w:space="0" w:color="auto"/>
        <w:right w:val="none" w:sz="0" w:space="0" w:color="auto"/>
      </w:divBdr>
    </w:div>
    <w:div w:id="1240753183">
      <w:bodyDiv w:val="1"/>
      <w:marLeft w:val="0"/>
      <w:marRight w:val="0"/>
      <w:marTop w:val="0"/>
      <w:marBottom w:val="0"/>
      <w:divBdr>
        <w:top w:val="none" w:sz="0" w:space="0" w:color="auto"/>
        <w:left w:val="none" w:sz="0" w:space="0" w:color="auto"/>
        <w:bottom w:val="none" w:sz="0" w:space="0" w:color="auto"/>
        <w:right w:val="none" w:sz="0" w:space="0" w:color="auto"/>
      </w:divBdr>
    </w:div>
    <w:div w:id="1240873216">
      <w:bodyDiv w:val="1"/>
      <w:marLeft w:val="0"/>
      <w:marRight w:val="0"/>
      <w:marTop w:val="0"/>
      <w:marBottom w:val="0"/>
      <w:divBdr>
        <w:top w:val="none" w:sz="0" w:space="0" w:color="auto"/>
        <w:left w:val="none" w:sz="0" w:space="0" w:color="auto"/>
        <w:bottom w:val="none" w:sz="0" w:space="0" w:color="auto"/>
        <w:right w:val="none" w:sz="0" w:space="0" w:color="auto"/>
      </w:divBdr>
    </w:div>
    <w:div w:id="1241132558">
      <w:bodyDiv w:val="1"/>
      <w:marLeft w:val="0"/>
      <w:marRight w:val="0"/>
      <w:marTop w:val="0"/>
      <w:marBottom w:val="0"/>
      <w:divBdr>
        <w:top w:val="none" w:sz="0" w:space="0" w:color="auto"/>
        <w:left w:val="none" w:sz="0" w:space="0" w:color="auto"/>
        <w:bottom w:val="none" w:sz="0" w:space="0" w:color="auto"/>
        <w:right w:val="none" w:sz="0" w:space="0" w:color="auto"/>
      </w:divBdr>
    </w:div>
    <w:div w:id="1241208496">
      <w:bodyDiv w:val="1"/>
      <w:marLeft w:val="0"/>
      <w:marRight w:val="0"/>
      <w:marTop w:val="0"/>
      <w:marBottom w:val="0"/>
      <w:divBdr>
        <w:top w:val="none" w:sz="0" w:space="0" w:color="auto"/>
        <w:left w:val="none" w:sz="0" w:space="0" w:color="auto"/>
        <w:bottom w:val="none" w:sz="0" w:space="0" w:color="auto"/>
        <w:right w:val="none" w:sz="0" w:space="0" w:color="auto"/>
      </w:divBdr>
    </w:div>
    <w:div w:id="1241214779">
      <w:bodyDiv w:val="1"/>
      <w:marLeft w:val="0"/>
      <w:marRight w:val="0"/>
      <w:marTop w:val="0"/>
      <w:marBottom w:val="0"/>
      <w:divBdr>
        <w:top w:val="none" w:sz="0" w:space="0" w:color="auto"/>
        <w:left w:val="none" w:sz="0" w:space="0" w:color="auto"/>
        <w:bottom w:val="none" w:sz="0" w:space="0" w:color="auto"/>
        <w:right w:val="none" w:sz="0" w:space="0" w:color="auto"/>
      </w:divBdr>
    </w:div>
    <w:div w:id="1241330305">
      <w:bodyDiv w:val="1"/>
      <w:marLeft w:val="0"/>
      <w:marRight w:val="0"/>
      <w:marTop w:val="0"/>
      <w:marBottom w:val="0"/>
      <w:divBdr>
        <w:top w:val="none" w:sz="0" w:space="0" w:color="auto"/>
        <w:left w:val="none" w:sz="0" w:space="0" w:color="auto"/>
        <w:bottom w:val="none" w:sz="0" w:space="0" w:color="auto"/>
        <w:right w:val="none" w:sz="0" w:space="0" w:color="auto"/>
      </w:divBdr>
    </w:div>
    <w:div w:id="1241332199">
      <w:bodyDiv w:val="1"/>
      <w:marLeft w:val="0"/>
      <w:marRight w:val="0"/>
      <w:marTop w:val="0"/>
      <w:marBottom w:val="0"/>
      <w:divBdr>
        <w:top w:val="none" w:sz="0" w:space="0" w:color="auto"/>
        <w:left w:val="none" w:sz="0" w:space="0" w:color="auto"/>
        <w:bottom w:val="none" w:sz="0" w:space="0" w:color="auto"/>
        <w:right w:val="none" w:sz="0" w:space="0" w:color="auto"/>
      </w:divBdr>
    </w:div>
    <w:div w:id="1241450836">
      <w:bodyDiv w:val="1"/>
      <w:marLeft w:val="0"/>
      <w:marRight w:val="0"/>
      <w:marTop w:val="0"/>
      <w:marBottom w:val="0"/>
      <w:divBdr>
        <w:top w:val="none" w:sz="0" w:space="0" w:color="auto"/>
        <w:left w:val="none" w:sz="0" w:space="0" w:color="auto"/>
        <w:bottom w:val="none" w:sz="0" w:space="0" w:color="auto"/>
        <w:right w:val="none" w:sz="0" w:space="0" w:color="auto"/>
      </w:divBdr>
    </w:div>
    <w:div w:id="1241451176">
      <w:bodyDiv w:val="1"/>
      <w:marLeft w:val="0"/>
      <w:marRight w:val="0"/>
      <w:marTop w:val="0"/>
      <w:marBottom w:val="0"/>
      <w:divBdr>
        <w:top w:val="none" w:sz="0" w:space="0" w:color="auto"/>
        <w:left w:val="none" w:sz="0" w:space="0" w:color="auto"/>
        <w:bottom w:val="none" w:sz="0" w:space="0" w:color="auto"/>
        <w:right w:val="none" w:sz="0" w:space="0" w:color="auto"/>
      </w:divBdr>
    </w:div>
    <w:div w:id="1241452161">
      <w:bodyDiv w:val="1"/>
      <w:marLeft w:val="0"/>
      <w:marRight w:val="0"/>
      <w:marTop w:val="0"/>
      <w:marBottom w:val="0"/>
      <w:divBdr>
        <w:top w:val="none" w:sz="0" w:space="0" w:color="auto"/>
        <w:left w:val="none" w:sz="0" w:space="0" w:color="auto"/>
        <w:bottom w:val="none" w:sz="0" w:space="0" w:color="auto"/>
        <w:right w:val="none" w:sz="0" w:space="0" w:color="auto"/>
      </w:divBdr>
    </w:div>
    <w:div w:id="1241479721">
      <w:bodyDiv w:val="1"/>
      <w:marLeft w:val="0"/>
      <w:marRight w:val="0"/>
      <w:marTop w:val="0"/>
      <w:marBottom w:val="0"/>
      <w:divBdr>
        <w:top w:val="none" w:sz="0" w:space="0" w:color="auto"/>
        <w:left w:val="none" w:sz="0" w:space="0" w:color="auto"/>
        <w:bottom w:val="none" w:sz="0" w:space="0" w:color="auto"/>
        <w:right w:val="none" w:sz="0" w:space="0" w:color="auto"/>
      </w:divBdr>
    </w:div>
    <w:div w:id="1241520049">
      <w:bodyDiv w:val="1"/>
      <w:marLeft w:val="0"/>
      <w:marRight w:val="0"/>
      <w:marTop w:val="0"/>
      <w:marBottom w:val="0"/>
      <w:divBdr>
        <w:top w:val="none" w:sz="0" w:space="0" w:color="auto"/>
        <w:left w:val="none" w:sz="0" w:space="0" w:color="auto"/>
        <w:bottom w:val="none" w:sz="0" w:space="0" w:color="auto"/>
        <w:right w:val="none" w:sz="0" w:space="0" w:color="auto"/>
      </w:divBdr>
    </w:div>
    <w:div w:id="1241524790">
      <w:bodyDiv w:val="1"/>
      <w:marLeft w:val="0"/>
      <w:marRight w:val="0"/>
      <w:marTop w:val="0"/>
      <w:marBottom w:val="0"/>
      <w:divBdr>
        <w:top w:val="none" w:sz="0" w:space="0" w:color="auto"/>
        <w:left w:val="none" w:sz="0" w:space="0" w:color="auto"/>
        <w:bottom w:val="none" w:sz="0" w:space="0" w:color="auto"/>
        <w:right w:val="none" w:sz="0" w:space="0" w:color="auto"/>
      </w:divBdr>
    </w:div>
    <w:div w:id="1241603512">
      <w:bodyDiv w:val="1"/>
      <w:marLeft w:val="0"/>
      <w:marRight w:val="0"/>
      <w:marTop w:val="0"/>
      <w:marBottom w:val="0"/>
      <w:divBdr>
        <w:top w:val="none" w:sz="0" w:space="0" w:color="auto"/>
        <w:left w:val="none" w:sz="0" w:space="0" w:color="auto"/>
        <w:bottom w:val="none" w:sz="0" w:space="0" w:color="auto"/>
        <w:right w:val="none" w:sz="0" w:space="0" w:color="auto"/>
      </w:divBdr>
    </w:div>
    <w:div w:id="1241603967">
      <w:bodyDiv w:val="1"/>
      <w:marLeft w:val="0"/>
      <w:marRight w:val="0"/>
      <w:marTop w:val="0"/>
      <w:marBottom w:val="0"/>
      <w:divBdr>
        <w:top w:val="none" w:sz="0" w:space="0" w:color="auto"/>
        <w:left w:val="none" w:sz="0" w:space="0" w:color="auto"/>
        <w:bottom w:val="none" w:sz="0" w:space="0" w:color="auto"/>
        <w:right w:val="none" w:sz="0" w:space="0" w:color="auto"/>
      </w:divBdr>
    </w:div>
    <w:div w:id="1241646241">
      <w:bodyDiv w:val="1"/>
      <w:marLeft w:val="0"/>
      <w:marRight w:val="0"/>
      <w:marTop w:val="0"/>
      <w:marBottom w:val="0"/>
      <w:divBdr>
        <w:top w:val="none" w:sz="0" w:space="0" w:color="auto"/>
        <w:left w:val="none" w:sz="0" w:space="0" w:color="auto"/>
        <w:bottom w:val="none" w:sz="0" w:space="0" w:color="auto"/>
        <w:right w:val="none" w:sz="0" w:space="0" w:color="auto"/>
      </w:divBdr>
    </w:div>
    <w:div w:id="1241672186">
      <w:bodyDiv w:val="1"/>
      <w:marLeft w:val="0"/>
      <w:marRight w:val="0"/>
      <w:marTop w:val="0"/>
      <w:marBottom w:val="0"/>
      <w:divBdr>
        <w:top w:val="none" w:sz="0" w:space="0" w:color="auto"/>
        <w:left w:val="none" w:sz="0" w:space="0" w:color="auto"/>
        <w:bottom w:val="none" w:sz="0" w:space="0" w:color="auto"/>
        <w:right w:val="none" w:sz="0" w:space="0" w:color="auto"/>
      </w:divBdr>
    </w:div>
    <w:div w:id="1241672505">
      <w:bodyDiv w:val="1"/>
      <w:marLeft w:val="0"/>
      <w:marRight w:val="0"/>
      <w:marTop w:val="0"/>
      <w:marBottom w:val="0"/>
      <w:divBdr>
        <w:top w:val="none" w:sz="0" w:space="0" w:color="auto"/>
        <w:left w:val="none" w:sz="0" w:space="0" w:color="auto"/>
        <w:bottom w:val="none" w:sz="0" w:space="0" w:color="auto"/>
        <w:right w:val="none" w:sz="0" w:space="0" w:color="auto"/>
      </w:divBdr>
    </w:div>
    <w:div w:id="1241713207">
      <w:bodyDiv w:val="1"/>
      <w:marLeft w:val="0"/>
      <w:marRight w:val="0"/>
      <w:marTop w:val="0"/>
      <w:marBottom w:val="0"/>
      <w:divBdr>
        <w:top w:val="none" w:sz="0" w:space="0" w:color="auto"/>
        <w:left w:val="none" w:sz="0" w:space="0" w:color="auto"/>
        <w:bottom w:val="none" w:sz="0" w:space="0" w:color="auto"/>
        <w:right w:val="none" w:sz="0" w:space="0" w:color="auto"/>
      </w:divBdr>
    </w:div>
    <w:div w:id="1242105355">
      <w:bodyDiv w:val="1"/>
      <w:marLeft w:val="0"/>
      <w:marRight w:val="0"/>
      <w:marTop w:val="0"/>
      <w:marBottom w:val="0"/>
      <w:divBdr>
        <w:top w:val="none" w:sz="0" w:space="0" w:color="auto"/>
        <w:left w:val="none" w:sz="0" w:space="0" w:color="auto"/>
        <w:bottom w:val="none" w:sz="0" w:space="0" w:color="auto"/>
        <w:right w:val="none" w:sz="0" w:space="0" w:color="auto"/>
      </w:divBdr>
    </w:div>
    <w:div w:id="1242181103">
      <w:bodyDiv w:val="1"/>
      <w:marLeft w:val="0"/>
      <w:marRight w:val="0"/>
      <w:marTop w:val="0"/>
      <w:marBottom w:val="0"/>
      <w:divBdr>
        <w:top w:val="none" w:sz="0" w:space="0" w:color="auto"/>
        <w:left w:val="none" w:sz="0" w:space="0" w:color="auto"/>
        <w:bottom w:val="none" w:sz="0" w:space="0" w:color="auto"/>
        <w:right w:val="none" w:sz="0" w:space="0" w:color="auto"/>
      </w:divBdr>
    </w:div>
    <w:div w:id="1242182858">
      <w:bodyDiv w:val="1"/>
      <w:marLeft w:val="0"/>
      <w:marRight w:val="0"/>
      <w:marTop w:val="0"/>
      <w:marBottom w:val="0"/>
      <w:divBdr>
        <w:top w:val="none" w:sz="0" w:space="0" w:color="auto"/>
        <w:left w:val="none" w:sz="0" w:space="0" w:color="auto"/>
        <w:bottom w:val="none" w:sz="0" w:space="0" w:color="auto"/>
        <w:right w:val="none" w:sz="0" w:space="0" w:color="auto"/>
      </w:divBdr>
    </w:div>
    <w:div w:id="1242257605">
      <w:bodyDiv w:val="1"/>
      <w:marLeft w:val="0"/>
      <w:marRight w:val="0"/>
      <w:marTop w:val="0"/>
      <w:marBottom w:val="0"/>
      <w:divBdr>
        <w:top w:val="none" w:sz="0" w:space="0" w:color="auto"/>
        <w:left w:val="none" w:sz="0" w:space="0" w:color="auto"/>
        <w:bottom w:val="none" w:sz="0" w:space="0" w:color="auto"/>
        <w:right w:val="none" w:sz="0" w:space="0" w:color="auto"/>
      </w:divBdr>
    </w:div>
    <w:div w:id="1242330637">
      <w:bodyDiv w:val="1"/>
      <w:marLeft w:val="0"/>
      <w:marRight w:val="0"/>
      <w:marTop w:val="0"/>
      <w:marBottom w:val="0"/>
      <w:divBdr>
        <w:top w:val="none" w:sz="0" w:space="0" w:color="auto"/>
        <w:left w:val="none" w:sz="0" w:space="0" w:color="auto"/>
        <w:bottom w:val="none" w:sz="0" w:space="0" w:color="auto"/>
        <w:right w:val="none" w:sz="0" w:space="0" w:color="auto"/>
      </w:divBdr>
    </w:div>
    <w:div w:id="1242332611">
      <w:bodyDiv w:val="1"/>
      <w:marLeft w:val="0"/>
      <w:marRight w:val="0"/>
      <w:marTop w:val="0"/>
      <w:marBottom w:val="0"/>
      <w:divBdr>
        <w:top w:val="none" w:sz="0" w:space="0" w:color="auto"/>
        <w:left w:val="none" w:sz="0" w:space="0" w:color="auto"/>
        <w:bottom w:val="none" w:sz="0" w:space="0" w:color="auto"/>
        <w:right w:val="none" w:sz="0" w:space="0" w:color="auto"/>
      </w:divBdr>
    </w:div>
    <w:div w:id="1242370627">
      <w:bodyDiv w:val="1"/>
      <w:marLeft w:val="0"/>
      <w:marRight w:val="0"/>
      <w:marTop w:val="0"/>
      <w:marBottom w:val="0"/>
      <w:divBdr>
        <w:top w:val="none" w:sz="0" w:space="0" w:color="auto"/>
        <w:left w:val="none" w:sz="0" w:space="0" w:color="auto"/>
        <w:bottom w:val="none" w:sz="0" w:space="0" w:color="auto"/>
        <w:right w:val="none" w:sz="0" w:space="0" w:color="auto"/>
      </w:divBdr>
    </w:div>
    <w:div w:id="1242371241">
      <w:bodyDiv w:val="1"/>
      <w:marLeft w:val="0"/>
      <w:marRight w:val="0"/>
      <w:marTop w:val="0"/>
      <w:marBottom w:val="0"/>
      <w:divBdr>
        <w:top w:val="none" w:sz="0" w:space="0" w:color="auto"/>
        <w:left w:val="none" w:sz="0" w:space="0" w:color="auto"/>
        <w:bottom w:val="none" w:sz="0" w:space="0" w:color="auto"/>
        <w:right w:val="none" w:sz="0" w:space="0" w:color="auto"/>
      </w:divBdr>
    </w:div>
    <w:div w:id="1242447993">
      <w:bodyDiv w:val="1"/>
      <w:marLeft w:val="0"/>
      <w:marRight w:val="0"/>
      <w:marTop w:val="0"/>
      <w:marBottom w:val="0"/>
      <w:divBdr>
        <w:top w:val="none" w:sz="0" w:space="0" w:color="auto"/>
        <w:left w:val="none" w:sz="0" w:space="0" w:color="auto"/>
        <w:bottom w:val="none" w:sz="0" w:space="0" w:color="auto"/>
        <w:right w:val="none" w:sz="0" w:space="0" w:color="auto"/>
      </w:divBdr>
    </w:div>
    <w:div w:id="1242519577">
      <w:bodyDiv w:val="1"/>
      <w:marLeft w:val="0"/>
      <w:marRight w:val="0"/>
      <w:marTop w:val="0"/>
      <w:marBottom w:val="0"/>
      <w:divBdr>
        <w:top w:val="none" w:sz="0" w:space="0" w:color="auto"/>
        <w:left w:val="none" w:sz="0" w:space="0" w:color="auto"/>
        <w:bottom w:val="none" w:sz="0" w:space="0" w:color="auto"/>
        <w:right w:val="none" w:sz="0" w:space="0" w:color="auto"/>
      </w:divBdr>
    </w:div>
    <w:div w:id="1242563463">
      <w:bodyDiv w:val="1"/>
      <w:marLeft w:val="0"/>
      <w:marRight w:val="0"/>
      <w:marTop w:val="0"/>
      <w:marBottom w:val="0"/>
      <w:divBdr>
        <w:top w:val="none" w:sz="0" w:space="0" w:color="auto"/>
        <w:left w:val="none" w:sz="0" w:space="0" w:color="auto"/>
        <w:bottom w:val="none" w:sz="0" w:space="0" w:color="auto"/>
        <w:right w:val="none" w:sz="0" w:space="0" w:color="auto"/>
      </w:divBdr>
    </w:div>
    <w:div w:id="1242569951">
      <w:bodyDiv w:val="1"/>
      <w:marLeft w:val="0"/>
      <w:marRight w:val="0"/>
      <w:marTop w:val="0"/>
      <w:marBottom w:val="0"/>
      <w:divBdr>
        <w:top w:val="none" w:sz="0" w:space="0" w:color="auto"/>
        <w:left w:val="none" w:sz="0" w:space="0" w:color="auto"/>
        <w:bottom w:val="none" w:sz="0" w:space="0" w:color="auto"/>
        <w:right w:val="none" w:sz="0" w:space="0" w:color="auto"/>
      </w:divBdr>
    </w:div>
    <w:div w:id="1242791272">
      <w:bodyDiv w:val="1"/>
      <w:marLeft w:val="0"/>
      <w:marRight w:val="0"/>
      <w:marTop w:val="0"/>
      <w:marBottom w:val="0"/>
      <w:divBdr>
        <w:top w:val="none" w:sz="0" w:space="0" w:color="auto"/>
        <w:left w:val="none" w:sz="0" w:space="0" w:color="auto"/>
        <w:bottom w:val="none" w:sz="0" w:space="0" w:color="auto"/>
        <w:right w:val="none" w:sz="0" w:space="0" w:color="auto"/>
      </w:divBdr>
    </w:div>
    <w:div w:id="1242830286">
      <w:bodyDiv w:val="1"/>
      <w:marLeft w:val="0"/>
      <w:marRight w:val="0"/>
      <w:marTop w:val="0"/>
      <w:marBottom w:val="0"/>
      <w:divBdr>
        <w:top w:val="none" w:sz="0" w:space="0" w:color="auto"/>
        <w:left w:val="none" w:sz="0" w:space="0" w:color="auto"/>
        <w:bottom w:val="none" w:sz="0" w:space="0" w:color="auto"/>
        <w:right w:val="none" w:sz="0" w:space="0" w:color="auto"/>
      </w:divBdr>
    </w:div>
    <w:div w:id="1242834394">
      <w:bodyDiv w:val="1"/>
      <w:marLeft w:val="0"/>
      <w:marRight w:val="0"/>
      <w:marTop w:val="0"/>
      <w:marBottom w:val="0"/>
      <w:divBdr>
        <w:top w:val="none" w:sz="0" w:space="0" w:color="auto"/>
        <w:left w:val="none" w:sz="0" w:space="0" w:color="auto"/>
        <w:bottom w:val="none" w:sz="0" w:space="0" w:color="auto"/>
        <w:right w:val="none" w:sz="0" w:space="0" w:color="auto"/>
      </w:divBdr>
    </w:div>
    <w:div w:id="1242988093">
      <w:bodyDiv w:val="1"/>
      <w:marLeft w:val="0"/>
      <w:marRight w:val="0"/>
      <w:marTop w:val="0"/>
      <w:marBottom w:val="0"/>
      <w:divBdr>
        <w:top w:val="none" w:sz="0" w:space="0" w:color="auto"/>
        <w:left w:val="none" w:sz="0" w:space="0" w:color="auto"/>
        <w:bottom w:val="none" w:sz="0" w:space="0" w:color="auto"/>
        <w:right w:val="none" w:sz="0" w:space="0" w:color="auto"/>
      </w:divBdr>
    </w:div>
    <w:div w:id="1243023633">
      <w:bodyDiv w:val="1"/>
      <w:marLeft w:val="0"/>
      <w:marRight w:val="0"/>
      <w:marTop w:val="0"/>
      <w:marBottom w:val="0"/>
      <w:divBdr>
        <w:top w:val="none" w:sz="0" w:space="0" w:color="auto"/>
        <w:left w:val="none" w:sz="0" w:space="0" w:color="auto"/>
        <w:bottom w:val="none" w:sz="0" w:space="0" w:color="auto"/>
        <w:right w:val="none" w:sz="0" w:space="0" w:color="auto"/>
      </w:divBdr>
    </w:div>
    <w:div w:id="1243104153">
      <w:bodyDiv w:val="1"/>
      <w:marLeft w:val="0"/>
      <w:marRight w:val="0"/>
      <w:marTop w:val="0"/>
      <w:marBottom w:val="0"/>
      <w:divBdr>
        <w:top w:val="none" w:sz="0" w:space="0" w:color="auto"/>
        <w:left w:val="none" w:sz="0" w:space="0" w:color="auto"/>
        <w:bottom w:val="none" w:sz="0" w:space="0" w:color="auto"/>
        <w:right w:val="none" w:sz="0" w:space="0" w:color="auto"/>
      </w:divBdr>
      <w:divsChild>
        <w:div w:id="1709243">
          <w:marLeft w:val="0"/>
          <w:marRight w:val="0"/>
          <w:marTop w:val="0"/>
          <w:marBottom w:val="0"/>
          <w:divBdr>
            <w:top w:val="none" w:sz="0" w:space="0" w:color="auto"/>
            <w:left w:val="none" w:sz="0" w:space="0" w:color="auto"/>
            <w:bottom w:val="none" w:sz="0" w:space="0" w:color="auto"/>
            <w:right w:val="none" w:sz="0" w:space="0" w:color="auto"/>
          </w:divBdr>
        </w:div>
        <w:div w:id="8339878">
          <w:marLeft w:val="0"/>
          <w:marRight w:val="0"/>
          <w:marTop w:val="0"/>
          <w:marBottom w:val="0"/>
          <w:divBdr>
            <w:top w:val="none" w:sz="0" w:space="0" w:color="auto"/>
            <w:left w:val="none" w:sz="0" w:space="0" w:color="auto"/>
            <w:bottom w:val="none" w:sz="0" w:space="0" w:color="auto"/>
            <w:right w:val="none" w:sz="0" w:space="0" w:color="auto"/>
          </w:divBdr>
        </w:div>
        <w:div w:id="15035883">
          <w:marLeft w:val="0"/>
          <w:marRight w:val="0"/>
          <w:marTop w:val="0"/>
          <w:marBottom w:val="0"/>
          <w:divBdr>
            <w:top w:val="none" w:sz="0" w:space="0" w:color="auto"/>
            <w:left w:val="none" w:sz="0" w:space="0" w:color="auto"/>
            <w:bottom w:val="none" w:sz="0" w:space="0" w:color="auto"/>
            <w:right w:val="none" w:sz="0" w:space="0" w:color="auto"/>
          </w:divBdr>
        </w:div>
        <w:div w:id="19867795">
          <w:marLeft w:val="0"/>
          <w:marRight w:val="0"/>
          <w:marTop w:val="0"/>
          <w:marBottom w:val="0"/>
          <w:divBdr>
            <w:top w:val="none" w:sz="0" w:space="0" w:color="auto"/>
            <w:left w:val="none" w:sz="0" w:space="0" w:color="auto"/>
            <w:bottom w:val="none" w:sz="0" w:space="0" w:color="auto"/>
            <w:right w:val="none" w:sz="0" w:space="0" w:color="auto"/>
          </w:divBdr>
        </w:div>
        <w:div w:id="45567907">
          <w:marLeft w:val="0"/>
          <w:marRight w:val="0"/>
          <w:marTop w:val="0"/>
          <w:marBottom w:val="0"/>
          <w:divBdr>
            <w:top w:val="none" w:sz="0" w:space="0" w:color="auto"/>
            <w:left w:val="none" w:sz="0" w:space="0" w:color="auto"/>
            <w:bottom w:val="none" w:sz="0" w:space="0" w:color="auto"/>
            <w:right w:val="none" w:sz="0" w:space="0" w:color="auto"/>
          </w:divBdr>
        </w:div>
        <w:div w:id="58597000">
          <w:marLeft w:val="0"/>
          <w:marRight w:val="0"/>
          <w:marTop w:val="0"/>
          <w:marBottom w:val="0"/>
          <w:divBdr>
            <w:top w:val="none" w:sz="0" w:space="0" w:color="auto"/>
            <w:left w:val="none" w:sz="0" w:space="0" w:color="auto"/>
            <w:bottom w:val="none" w:sz="0" w:space="0" w:color="auto"/>
            <w:right w:val="none" w:sz="0" w:space="0" w:color="auto"/>
          </w:divBdr>
        </w:div>
        <w:div w:id="64644171">
          <w:marLeft w:val="0"/>
          <w:marRight w:val="0"/>
          <w:marTop w:val="0"/>
          <w:marBottom w:val="0"/>
          <w:divBdr>
            <w:top w:val="none" w:sz="0" w:space="0" w:color="auto"/>
            <w:left w:val="none" w:sz="0" w:space="0" w:color="auto"/>
            <w:bottom w:val="none" w:sz="0" w:space="0" w:color="auto"/>
            <w:right w:val="none" w:sz="0" w:space="0" w:color="auto"/>
          </w:divBdr>
        </w:div>
        <w:div w:id="74471899">
          <w:marLeft w:val="0"/>
          <w:marRight w:val="0"/>
          <w:marTop w:val="0"/>
          <w:marBottom w:val="0"/>
          <w:divBdr>
            <w:top w:val="none" w:sz="0" w:space="0" w:color="auto"/>
            <w:left w:val="none" w:sz="0" w:space="0" w:color="auto"/>
            <w:bottom w:val="none" w:sz="0" w:space="0" w:color="auto"/>
            <w:right w:val="none" w:sz="0" w:space="0" w:color="auto"/>
          </w:divBdr>
        </w:div>
        <w:div w:id="81144196">
          <w:marLeft w:val="0"/>
          <w:marRight w:val="0"/>
          <w:marTop w:val="0"/>
          <w:marBottom w:val="0"/>
          <w:divBdr>
            <w:top w:val="none" w:sz="0" w:space="0" w:color="auto"/>
            <w:left w:val="none" w:sz="0" w:space="0" w:color="auto"/>
            <w:bottom w:val="none" w:sz="0" w:space="0" w:color="auto"/>
            <w:right w:val="none" w:sz="0" w:space="0" w:color="auto"/>
          </w:divBdr>
        </w:div>
        <w:div w:id="90323699">
          <w:marLeft w:val="0"/>
          <w:marRight w:val="0"/>
          <w:marTop w:val="0"/>
          <w:marBottom w:val="0"/>
          <w:divBdr>
            <w:top w:val="none" w:sz="0" w:space="0" w:color="auto"/>
            <w:left w:val="none" w:sz="0" w:space="0" w:color="auto"/>
            <w:bottom w:val="none" w:sz="0" w:space="0" w:color="auto"/>
            <w:right w:val="none" w:sz="0" w:space="0" w:color="auto"/>
          </w:divBdr>
        </w:div>
        <w:div w:id="108860691">
          <w:marLeft w:val="0"/>
          <w:marRight w:val="0"/>
          <w:marTop w:val="0"/>
          <w:marBottom w:val="0"/>
          <w:divBdr>
            <w:top w:val="none" w:sz="0" w:space="0" w:color="auto"/>
            <w:left w:val="none" w:sz="0" w:space="0" w:color="auto"/>
            <w:bottom w:val="none" w:sz="0" w:space="0" w:color="auto"/>
            <w:right w:val="none" w:sz="0" w:space="0" w:color="auto"/>
          </w:divBdr>
        </w:div>
        <w:div w:id="108941194">
          <w:marLeft w:val="0"/>
          <w:marRight w:val="0"/>
          <w:marTop w:val="0"/>
          <w:marBottom w:val="0"/>
          <w:divBdr>
            <w:top w:val="none" w:sz="0" w:space="0" w:color="auto"/>
            <w:left w:val="none" w:sz="0" w:space="0" w:color="auto"/>
            <w:bottom w:val="none" w:sz="0" w:space="0" w:color="auto"/>
            <w:right w:val="none" w:sz="0" w:space="0" w:color="auto"/>
          </w:divBdr>
        </w:div>
        <w:div w:id="115371343">
          <w:marLeft w:val="0"/>
          <w:marRight w:val="0"/>
          <w:marTop w:val="0"/>
          <w:marBottom w:val="0"/>
          <w:divBdr>
            <w:top w:val="none" w:sz="0" w:space="0" w:color="auto"/>
            <w:left w:val="none" w:sz="0" w:space="0" w:color="auto"/>
            <w:bottom w:val="none" w:sz="0" w:space="0" w:color="auto"/>
            <w:right w:val="none" w:sz="0" w:space="0" w:color="auto"/>
          </w:divBdr>
        </w:div>
        <w:div w:id="116484571">
          <w:marLeft w:val="0"/>
          <w:marRight w:val="0"/>
          <w:marTop w:val="0"/>
          <w:marBottom w:val="0"/>
          <w:divBdr>
            <w:top w:val="none" w:sz="0" w:space="0" w:color="auto"/>
            <w:left w:val="none" w:sz="0" w:space="0" w:color="auto"/>
            <w:bottom w:val="none" w:sz="0" w:space="0" w:color="auto"/>
            <w:right w:val="none" w:sz="0" w:space="0" w:color="auto"/>
          </w:divBdr>
        </w:div>
        <w:div w:id="123273808">
          <w:marLeft w:val="0"/>
          <w:marRight w:val="0"/>
          <w:marTop w:val="0"/>
          <w:marBottom w:val="0"/>
          <w:divBdr>
            <w:top w:val="none" w:sz="0" w:space="0" w:color="auto"/>
            <w:left w:val="none" w:sz="0" w:space="0" w:color="auto"/>
            <w:bottom w:val="none" w:sz="0" w:space="0" w:color="auto"/>
            <w:right w:val="none" w:sz="0" w:space="0" w:color="auto"/>
          </w:divBdr>
        </w:div>
        <w:div w:id="125585811">
          <w:marLeft w:val="0"/>
          <w:marRight w:val="0"/>
          <w:marTop w:val="0"/>
          <w:marBottom w:val="0"/>
          <w:divBdr>
            <w:top w:val="none" w:sz="0" w:space="0" w:color="auto"/>
            <w:left w:val="none" w:sz="0" w:space="0" w:color="auto"/>
            <w:bottom w:val="none" w:sz="0" w:space="0" w:color="auto"/>
            <w:right w:val="none" w:sz="0" w:space="0" w:color="auto"/>
          </w:divBdr>
        </w:div>
        <w:div w:id="145829148">
          <w:marLeft w:val="0"/>
          <w:marRight w:val="0"/>
          <w:marTop w:val="0"/>
          <w:marBottom w:val="0"/>
          <w:divBdr>
            <w:top w:val="none" w:sz="0" w:space="0" w:color="auto"/>
            <w:left w:val="none" w:sz="0" w:space="0" w:color="auto"/>
            <w:bottom w:val="none" w:sz="0" w:space="0" w:color="auto"/>
            <w:right w:val="none" w:sz="0" w:space="0" w:color="auto"/>
          </w:divBdr>
        </w:div>
        <w:div w:id="158739152">
          <w:marLeft w:val="0"/>
          <w:marRight w:val="0"/>
          <w:marTop w:val="0"/>
          <w:marBottom w:val="0"/>
          <w:divBdr>
            <w:top w:val="none" w:sz="0" w:space="0" w:color="auto"/>
            <w:left w:val="none" w:sz="0" w:space="0" w:color="auto"/>
            <w:bottom w:val="none" w:sz="0" w:space="0" w:color="auto"/>
            <w:right w:val="none" w:sz="0" w:space="0" w:color="auto"/>
          </w:divBdr>
        </w:div>
        <w:div w:id="162208376">
          <w:marLeft w:val="0"/>
          <w:marRight w:val="0"/>
          <w:marTop w:val="0"/>
          <w:marBottom w:val="0"/>
          <w:divBdr>
            <w:top w:val="none" w:sz="0" w:space="0" w:color="auto"/>
            <w:left w:val="none" w:sz="0" w:space="0" w:color="auto"/>
            <w:bottom w:val="none" w:sz="0" w:space="0" w:color="auto"/>
            <w:right w:val="none" w:sz="0" w:space="0" w:color="auto"/>
          </w:divBdr>
        </w:div>
        <w:div w:id="173037735">
          <w:marLeft w:val="0"/>
          <w:marRight w:val="0"/>
          <w:marTop w:val="0"/>
          <w:marBottom w:val="0"/>
          <w:divBdr>
            <w:top w:val="none" w:sz="0" w:space="0" w:color="auto"/>
            <w:left w:val="none" w:sz="0" w:space="0" w:color="auto"/>
            <w:bottom w:val="none" w:sz="0" w:space="0" w:color="auto"/>
            <w:right w:val="none" w:sz="0" w:space="0" w:color="auto"/>
          </w:divBdr>
        </w:div>
        <w:div w:id="175001726">
          <w:marLeft w:val="0"/>
          <w:marRight w:val="0"/>
          <w:marTop w:val="0"/>
          <w:marBottom w:val="0"/>
          <w:divBdr>
            <w:top w:val="none" w:sz="0" w:space="0" w:color="auto"/>
            <w:left w:val="none" w:sz="0" w:space="0" w:color="auto"/>
            <w:bottom w:val="none" w:sz="0" w:space="0" w:color="auto"/>
            <w:right w:val="none" w:sz="0" w:space="0" w:color="auto"/>
          </w:divBdr>
        </w:div>
        <w:div w:id="192967215">
          <w:marLeft w:val="0"/>
          <w:marRight w:val="0"/>
          <w:marTop w:val="0"/>
          <w:marBottom w:val="0"/>
          <w:divBdr>
            <w:top w:val="none" w:sz="0" w:space="0" w:color="auto"/>
            <w:left w:val="none" w:sz="0" w:space="0" w:color="auto"/>
            <w:bottom w:val="none" w:sz="0" w:space="0" w:color="auto"/>
            <w:right w:val="none" w:sz="0" w:space="0" w:color="auto"/>
          </w:divBdr>
        </w:div>
        <w:div w:id="213080828">
          <w:marLeft w:val="0"/>
          <w:marRight w:val="0"/>
          <w:marTop w:val="0"/>
          <w:marBottom w:val="0"/>
          <w:divBdr>
            <w:top w:val="none" w:sz="0" w:space="0" w:color="auto"/>
            <w:left w:val="none" w:sz="0" w:space="0" w:color="auto"/>
            <w:bottom w:val="none" w:sz="0" w:space="0" w:color="auto"/>
            <w:right w:val="none" w:sz="0" w:space="0" w:color="auto"/>
          </w:divBdr>
        </w:div>
        <w:div w:id="222566072">
          <w:marLeft w:val="0"/>
          <w:marRight w:val="0"/>
          <w:marTop w:val="0"/>
          <w:marBottom w:val="0"/>
          <w:divBdr>
            <w:top w:val="none" w:sz="0" w:space="0" w:color="auto"/>
            <w:left w:val="none" w:sz="0" w:space="0" w:color="auto"/>
            <w:bottom w:val="none" w:sz="0" w:space="0" w:color="auto"/>
            <w:right w:val="none" w:sz="0" w:space="0" w:color="auto"/>
          </w:divBdr>
        </w:div>
        <w:div w:id="226651131">
          <w:marLeft w:val="0"/>
          <w:marRight w:val="0"/>
          <w:marTop w:val="0"/>
          <w:marBottom w:val="0"/>
          <w:divBdr>
            <w:top w:val="none" w:sz="0" w:space="0" w:color="auto"/>
            <w:left w:val="none" w:sz="0" w:space="0" w:color="auto"/>
            <w:bottom w:val="none" w:sz="0" w:space="0" w:color="auto"/>
            <w:right w:val="none" w:sz="0" w:space="0" w:color="auto"/>
          </w:divBdr>
        </w:div>
        <w:div w:id="245766985">
          <w:marLeft w:val="0"/>
          <w:marRight w:val="0"/>
          <w:marTop w:val="0"/>
          <w:marBottom w:val="0"/>
          <w:divBdr>
            <w:top w:val="none" w:sz="0" w:space="0" w:color="auto"/>
            <w:left w:val="none" w:sz="0" w:space="0" w:color="auto"/>
            <w:bottom w:val="none" w:sz="0" w:space="0" w:color="auto"/>
            <w:right w:val="none" w:sz="0" w:space="0" w:color="auto"/>
          </w:divBdr>
        </w:div>
        <w:div w:id="260990926">
          <w:marLeft w:val="0"/>
          <w:marRight w:val="0"/>
          <w:marTop w:val="0"/>
          <w:marBottom w:val="0"/>
          <w:divBdr>
            <w:top w:val="none" w:sz="0" w:space="0" w:color="auto"/>
            <w:left w:val="none" w:sz="0" w:space="0" w:color="auto"/>
            <w:bottom w:val="none" w:sz="0" w:space="0" w:color="auto"/>
            <w:right w:val="none" w:sz="0" w:space="0" w:color="auto"/>
          </w:divBdr>
        </w:div>
        <w:div w:id="264923647">
          <w:marLeft w:val="0"/>
          <w:marRight w:val="0"/>
          <w:marTop w:val="0"/>
          <w:marBottom w:val="0"/>
          <w:divBdr>
            <w:top w:val="none" w:sz="0" w:space="0" w:color="auto"/>
            <w:left w:val="none" w:sz="0" w:space="0" w:color="auto"/>
            <w:bottom w:val="none" w:sz="0" w:space="0" w:color="auto"/>
            <w:right w:val="none" w:sz="0" w:space="0" w:color="auto"/>
          </w:divBdr>
        </w:div>
        <w:div w:id="276831927">
          <w:marLeft w:val="0"/>
          <w:marRight w:val="0"/>
          <w:marTop w:val="0"/>
          <w:marBottom w:val="0"/>
          <w:divBdr>
            <w:top w:val="none" w:sz="0" w:space="0" w:color="auto"/>
            <w:left w:val="none" w:sz="0" w:space="0" w:color="auto"/>
            <w:bottom w:val="none" w:sz="0" w:space="0" w:color="auto"/>
            <w:right w:val="none" w:sz="0" w:space="0" w:color="auto"/>
          </w:divBdr>
        </w:div>
        <w:div w:id="279143228">
          <w:marLeft w:val="0"/>
          <w:marRight w:val="0"/>
          <w:marTop w:val="0"/>
          <w:marBottom w:val="0"/>
          <w:divBdr>
            <w:top w:val="none" w:sz="0" w:space="0" w:color="auto"/>
            <w:left w:val="none" w:sz="0" w:space="0" w:color="auto"/>
            <w:bottom w:val="none" w:sz="0" w:space="0" w:color="auto"/>
            <w:right w:val="none" w:sz="0" w:space="0" w:color="auto"/>
          </w:divBdr>
        </w:div>
        <w:div w:id="286931221">
          <w:marLeft w:val="0"/>
          <w:marRight w:val="0"/>
          <w:marTop w:val="0"/>
          <w:marBottom w:val="0"/>
          <w:divBdr>
            <w:top w:val="none" w:sz="0" w:space="0" w:color="auto"/>
            <w:left w:val="none" w:sz="0" w:space="0" w:color="auto"/>
            <w:bottom w:val="none" w:sz="0" w:space="0" w:color="auto"/>
            <w:right w:val="none" w:sz="0" w:space="0" w:color="auto"/>
          </w:divBdr>
        </w:div>
        <w:div w:id="311837270">
          <w:marLeft w:val="0"/>
          <w:marRight w:val="0"/>
          <w:marTop w:val="0"/>
          <w:marBottom w:val="0"/>
          <w:divBdr>
            <w:top w:val="none" w:sz="0" w:space="0" w:color="auto"/>
            <w:left w:val="none" w:sz="0" w:space="0" w:color="auto"/>
            <w:bottom w:val="none" w:sz="0" w:space="0" w:color="auto"/>
            <w:right w:val="none" w:sz="0" w:space="0" w:color="auto"/>
          </w:divBdr>
        </w:div>
        <w:div w:id="344132188">
          <w:marLeft w:val="0"/>
          <w:marRight w:val="0"/>
          <w:marTop w:val="0"/>
          <w:marBottom w:val="0"/>
          <w:divBdr>
            <w:top w:val="none" w:sz="0" w:space="0" w:color="auto"/>
            <w:left w:val="none" w:sz="0" w:space="0" w:color="auto"/>
            <w:bottom w:val="none" w:sz="0" w:space="0" w:color="auto"/>
            <w:right w:val="none" w:sz="0" w:space="0" w:color="auto"/>
          </w:divBdr>
        </w:div>
        <w:div w:id="347372063">
          <w:marLeft w:val="0"/>
          <w:marRight w:val="0"/>
          <w:marTop w:val="0"/>
          <w:marBottom w:val="0"/>
          <w:divBdr>
            <w:top w:val="none" w:sz="0" w:space="0" w:color="auto"/>
            <w:left w:val="none" w:sz="0" w:space="0" w:color="auto"/>
            <w:bottom w:val="none" w:sz="0" w:space="0" w:color="auto"/>
            <w:right w:val="none" w:sz="0" w:space="0" w:color="auto"/>
          </w:divBdr>
        </w:div>
        <w:div w:id="349455248">
          <w:marLeft w:val="0"/>
          <w:marRight w:val="0"/>
          <w:marTop w:val="0"/>
          <w:marBottom w:val="0"/>
          <w:divBdr>
            <w:top w:val="none" w:sz="0" w:space="0" w:color="auto"/>
            <w:left w:val="none" w:sz="0" w:space="0" w:color="auto"/>
            <w:bottom w:val="none" w:sz="0" w:space="0" w:color="auto"/>
            <w:right w:val="none" w:sz="0" w:space="0" w:color="auto"/>
          </w:divBdr>
        </w:div>
        <w:div w:id="352921465">
          <w:marLeft w:val="0"/>
          <w:marRight w:val="0"/>
          <w:marTop w:val="0"/>
          <w:marBottom w:val="0"/>
          <w:divBdr>
            <w:top w:val="none" w:sz="0" w:space="0" w:color="auto"/>
            <w:left w:val="none" w:sz="0" w:space="0" w:color="auto"/>
            <w:bottom w:val="none" w:sz="0" w:space="0" w:color="auto"/>
            <w:right w:val="none" w:sz="0" w:space="0" w:color="auto"/>
          </w:divBdr>
        </w:div>
        <w:div w:id="360742751">
          <w:marLeft w:val="0"/>
          <w:marRight w:val="0"/>
          <w:marTop w:val="0"/>
          <w:marBottom w:val="0"/>
          <w:divBdr>
            <w:top w:val="none" w:sz="0" w:space="0" w:color="auto"/>
            <w:left w:val="none" w:sz="0" w:space="0" w:color="auto"/>
            <w:bottom w:val="none" w:sz="0" w:space="0" w:color="auto"/>
            <w:right w:val="none" w:sz="0" w:space="0" w:color="auto"/>
          </w:divBdr>
        </w:div>
        <w:div w:id="370804086">
          <w:marLeft w:val="0"/>
          <w:marRight w:val="0"/>
          <w:marTop w:val="0"/>
          <w:marBottom w:val="0"/>
          <w:divBdr>
            <w:top w:val="none" w:sz="0" w:space="0" w:color="auto"/>
            <w:left w:val="none" w:sz="0" w:space="0" w:color="auto"/>
            <w:bottom w:val="none" w:sz="0" w:space="0" w:color="auto"/>
            <w:right w:val="none" w:sz="0" w:space="0" w:color="auto"/>
          </w:divBdr>
        </w:div>
        <w:div w:id="375354637">
          <w:marLeft w:val="0"/>
          <w:marRight w:val="0"/>
          <w:marTop w:val="0"/>
          <w:marBottom w:val="0"/>
          <w:divBdr>
            <w:top w:val="none" w:sz="0" w:space="0" w:color="auto"/>
            <w:left w:val="none" w:sz="0" w:space="0" w:color="auto"/>
            <w:bottom w:val="none" w:sz="0" w:space="0" w:color="auto"/>
            <w:right w:val="none" w:sz="0" w:space="0" w:color="auto"/>
          </w:divBdr>
        </w:div>
        <w:div w:id="383255161">
          <w:marLeft w:val="0"/>
          <w:marRight w:val="0"/>
          <w:marTop w:val="0"/>
          <w:marBottom w:val="0"/>
          <w:divBdr>
            <w:top w:val="none" w:sz="0" w:space="0" w:color="auto"/>
            <w:left w:val="none" w:sz="0" w:space="0" w:color="auto"/>
            <w:bottom w:val="none" w:sz="0" w:space="0" w:color="auto"/>
            <w:right w:val="none" w:sz="0" w:space="0" w:color="auto"/>
          </w:divBdr>
        </w:div>
        <w:div w:id="396973285">
          <w:marLeft w:val="0"/>
          <w:marRight w:val="0"/>
          <w:marTop w:val="0"/>
          <w:marBottom w:val="0"/>
          <w:divBdr>
            <w:top w:val="none" w:sz="0" w:space="0" w:color="auto"/>
            <w:left w:val="none" w:sz="0" w:space="0" w:color="auto"/>
            <w:bottom w:val="none" w:sz="0" w:space="0" w:color="auto"/>
            <w:right w:val="none" w:sz="0" w:space="0" w:color="auto"/>
          </w:divBdr>
        </w:div>
        <w:div w:id="402723313">
          <w:marLeft w:val="0"/>
          <w:marRight w:val="0"/>
          <w:marTop w:val="0"/>
          <w:marBottom w:val="0"/>
          <w:divBdr>
            <w:top w:val="none" w:sz="0" w:space="0" w:color="auto"/>
            <w:left w:val="none" w:sz="0" w:space="0" w:color="auto"/>
            <w:bottom w:val="none" w:sz="0" w:space="0" w:color="auto"/>
            <w:right w:val="none" w:sz="0" w:space="0" w:color="auto"/>
          </w:divBdr>
        </w:div>
        <w:div w:id="408043931">
          <w:marLeft w:val="0"/>
          <w:marRight w:val="0"/>
          <w:marTop w:val="0"/>
          <w:marBottom w:val="0"/>
          <w:divBdr>
            <w:top w:val="none" w:sz="0" w:space="0" w:color="auto"/>
            <w:left w:val="none" w:sz="0" w:space="0" w:color="auto"/>
            <w:bottom w:val="none" w:sz="0" w:space="0" w:color="auto"/>
            <w:right w:val="none" w:sz="0" w:space="0" w:color="auto"/>
          </w:divBdr>
        </w:div>
        <w:div w:id="417796697">
          <w:marLeft w:val="0"/>
          <w:marRight w:val="0"/>
          <w:marTop w:val="0"/>
          <w:marBottom w:val="0"/>
          <w:divBdr>
            <w:top w:val="none" w:sz="0" w:space="0" w:color="auto"/>
            <w:left w:val="none" w:sz="0" w:space="0" w:color="auto"/>
            <w:bottom w:val="none" w:sz="0" w:space="0" w:color="auto"/>
            <w:right w:val="none" w:sz="0" w:space="0" w:color="auto"/>
          </w:divBdr>
        </w:div>
        <w:div w:id="418525920">
          <w:marLeft w:val="0"/>
          <w:marRight w:val="0"/>
          <w:marTop w:val="0"/>
          <w:marBottom w:val="0"/>
          <w:divBdr>
            <w:top w:val="none" w:sz="0" w:space="0" w:color="auto"/>
            <w:left w:val="none" w:sz="0" w:space="0" w:color="auto"/>
            <w:bottom w:val="none" w:sz="0" w:space="0" w:color="auto"/>
            <w:right w:val="none" w:sz="0" w:space="0" w:color="auto"/>
          </w:divBdr>
        </w:div>
        <w:div w:id="422536681">
          <w:marLeft w:val="0"/>
          <w:marRight w:val="0"/>
          <w:marTop w:val="0"/>
          <w:marBottom w:val="0"/>
          <w:divBdr>
            <w:top w:val="none" w:sz="0" w:space="0" w:color="auto"/>
            <w:left w:val="none" w:sz="0" w:space="0" w:color="auto"/>
            <w:bottom w:val="none" w:sz="0" w:space="0" w:color="auto"/>
            <w:right w:val="none" w:sz="0" w:space="0" w:color="auto"/>
          </w:divBdr>
        </w:div>
        <w:div w:id="449252690">
          <w:marLeft w:val="0"/>
          <w:marRight w:val="0"/>
          <w:marTop w:val="0"/>
          <w:marBottom w:val="0"/>
          <w:divBdr>
            <w:top w:val="none" w:sz="0" w:space="0" w:color="auto"/>
            <w:left w:val="none" w:sz="0" w:space="0" w:color="auto"/>
            <w:bottom w:val="none" w:sz="0" w:space="0" w:color="auto"/>
            <w:right w:val="none" w:sz="0" w:space="0" w:color="auto"/>
          </w:divBdr>
        </w:div>
        <w:div w:id="483012194">
          <w:marLeft w:val="0"/>
          <w:marRight w:val="0"/>
          <w:marTop w:val="0"/>
          <w:marBottom w:val="0"/>
          <w:divBdr>
            <w:top w:val="none" w:sz="0" w:space="0" w:color="auto"/>
            <w:left w:val="none" w:sz="0" w:space="0" w:color="auto"/>
            <w:bottom w:val="none" w:sz="0" w:space="0" w:color="auto"/>
            <w:right w:val="none" w:sz="0" w:space="0" w:color="auto"/>
          </w:divBdr>
        </w:div>
        <w:div w:id="493691916">
          <w:marLeft w:val="0"/>
          <w:marRight w:val="0"/>
          <w:marTop w:val="0"/>
          <w:marBottom w:val="0"/>
          <w:divBdr>
            <w:top w:val="none" w:sz="0" w:space="0" w:color="auto"/>
            <w:left w:val="none" w:sz="0" w:space="0" w:color="auto"/>
            <w:bottom w:val="none" w:sz="0" w:space="0" w:color="auto"/>
            <w:right w:val="none" w:sz="0" w:space="0" w:color="auto"/>
          </w:divBdr>
        </w:div>
        <w:div w:id="517812742">
          <w:marLeft w:val="0"/>
          <w:marRight w:val="0"/>
          <w:marTop w:val="0"/>
          <w:marBottom w:val="0"/>
          <w:divBdr>
            <w:top w:val="none" w:sz="0" w:space="0" w:color="auto"/>
            <w:left w:val="none" w:sz="0" w:space="0" w:color="auto"/>
            <w:bottom w:val="none" w:sz="0" w:space="0" w:color="auto"/>
            <w:right w:val="none" w:sz="0" w:space="0" w:color="auto"/>
          </w:divBdr>
        </w:div>
        <w:div w:id="530804532">
          <w:marLeft w:val="0"/>
          <w:marRight w:val="0"/>
          <w:marTop w:val="0"/>
          <w:marBottom w:val="0"/>
          <w:divBdr>
            <w:top w:val="none" w:sz="0" w:space="0" w:color="auto"/>
            <w:left w:val="none" w:sz="0" w:space="0" w:color="auto"/>
            <w:bottom w:val="none" w:sz="0" w:space="0" w:color="auto"/>
            <w:right w:val="none" w:sz="0" w:space="0" w:color="auto"/>
          </w:divBdr>
        </w:div>
        <w:div w:id="535506814">
          <w:marLeft w:val="0"/>
          <w:marRight w:val="0"/>
          <w:marTop w:val="0"/>
          <w:marBottom w:val="0"/>
          <w:divBdr>
            <w:top w:val="none" w:sz="0" w:space="0" w:color="auto"/>
            <w:left w:val="none" w:sz="0" w:space="0" w:color="auto"/>
            <w:bottom w:val="none" w:sz="0" w:space="0" w:color="auto"/>
            <w:right w:val="none" w:sz="0" w:space="0" w:color="auto"/>
          </w:divBdr>
        </w:div>
        <w:div w:id="581723861">
          <w:marLeft w:val="0"/>
          <w:marRight w:val="0"/>
          <w:marTop w:val="0"/>
          <w:marBottom w:val="0"/>
          <w:divBdr>
            <w:top w:val="none" w:sz="0" w:space="0" w:color="auto"/>
            <w:left w:val="none" w:sz="0" w:space="0" w:color="auto"/>
            <w:bottom w:val="none" w:sz="0" w:space="0" w:color="auto"/>
            <w:right w:val="none" w:sz="0" w:space="0" w:color="auto"/>
          </w:divBdr>
        </w:div>
        <w:div w:id="585571900">
          <w:marLeft w:val="0"/>
          <w:marRight w:val="0"/>
          <w:marTop w:val="0"/>
          <w:marBottom w:val="0"/>
          <w:divBdr>
            <w:top w:val="none" w:sz="0" w:space="0" w:color="auto"/>
            <w:left w:val="none" w:sz="0" w:space="0" w:color="auto"/>
            <w:bottom w:val="none" w:sz="0" w:space="0" w:color="auto"/>
            <w:right w:val="none" w:sz="0" w:space="0" w:color="auto"/>
          </w:divBdr>
        </w:div>
        <w:div w:id="591936467">
          <w:marLeft w:val="0"/>
          <w:marRight w:val="0"/>
          <w:marTop w:val="0"/>
          <w:marBottom w:val="0"/>
          <w:divBdr>
            <w:top w:val="none" w:sz="0" w:space="0" w:color="auto"/>
            <w:left w:val="none" w:sz="0" w:space="0" w:color="auto"/>
            <w:bottom w:val="none" w:sz="0" w:space="0" w:color="auto"/>
            <w:right w:val="none" w:sz="0" w:space="0" w:color="auto"/>
          </w:divBdr>
        </w:div>
        <w:div w:id="620308202">
          <w:marLeft w:val="0"/>
          <w:marRight w:val="0"/>
          <w:marTop w:val="0"/>
          <w:marBottom w:val="0"/>
          <w:divBdr>
            <w:top w:val="none" w:sz="0" w:space="0" w:color="auto"/>
            <w:left w:val="none" w:sz="0" w:space="0" w:color="auto"/>
            <w:bottom w:val="none" w:sz="0" w:space="0" w:color="auto"/>
            <w:right w:val="none" w:sz="0" w:space="0" w:color="auto"/>
          </w:divBdr>
        </w:div>
        <w:div w:id="663168874">
          <w:marLeft w:val="0"/>
          <w:marRight w:val="0"/>
          <w:marTop w:val="0"/>
          <w:marBottom w:val="0"/>
          <w:divBdr>
            <w:top w:val="none" w:sz="0" w:space="0" w:color="auto"/>
            <w:left w:val="none" w:sz="0" w:space="0" w:color="auto"/>
            <w:bottom w:val="none" w:sz="0" w:space="0" w:color="auto"/>
            <w:right w:val="none" w:sz="0" w:space="0" w:color="auto"/>
          </w:divBdr>
        </w:div>
        <w:div w:id="679165733">
          <w:marLeft w:val="0"/>
          <w:marRight w:val="0"/>
          <w:marTop w:val="0"/>
          <w:marBottom w:val="0"/>
          <w:divBdr>
            <w:top w:val="none" w:sz="0" w:space="0" w:color="auto"/>
            <w:left w:val="none" w:sz="0" w:space="0" w:color="auto"/>
            <w:bottom w:val="none" w:sz="0" w:space="0" w:color="auto"/>
            <w:right w:val="none" w:sz="0" w:space="0" w:color="auto"/>
          </w:divBdr>
        </w:div>
        <w:div w:id="696541004">
          <w:marLeft w:val="0"/>
          <w:marRight w:val="0"/>
          <w:marTop w:val="0"/>
          <w:marBottom w:val="0"/>
          <w:divBdr>
            <w:top w:val="none" w:sz="0" w:space="0" w:color="auto"/>
            <w:left w:val="none" w:sz="0" w:space="0" w:color="auto"/>
            <w:bottom w:val="none" w:sz="0" w:space="0" w:color="auto"/>
            <w:right w:val="none" w:sz="0" w:space="0" w:color="auto"/>
          </w:divBdr>
        </w:div>
        <w:div w:id="696614404">
          <w:marLeft w:val="0"/>
          <w:marRight w:val="0"/>
          <w:marTop w:val="0"/>
          <w:marBottom w:val="0"/>
          <w:divBdr>
            <w:top w:val="none" w:sz="0" w:space="0" w:color="auto"/>
            <w:left w:val="none" w:sz="0" w:space="0" w:color="auto"/>
            <w:bottom w:val="none" w:sz="0" w:space="0" w:color="auto"/>
            <w:right w:val="none" w:sz="0" w:space="0" w:color="auto"/>
          </w:divBdr>
        </w:div>
        <w:div w:id="719941980">
          <w:marLeft w:val="0"/>
          <w:marRight w:val="0"/>
          <w:marTop w:val="0"/>
          <w:marBottom w:val="0"/>
          <w:divBdr>
            <w:top w:val="none" w:sz="0" w:space="0" w:color="auto"/>
            <w:left w:val="none" w:sz="0" w:space="0" w:color="auto"/>
            <w:bottom w:val="none" w:sz="0" w:space="0" w:color="auto"/>
            <w:right w:val="none" w:sz="0" w:space="0" w:color="auto"/>
          </w:divBdr>
        </w:div>
        <w:div w:id="729428740">
          <w:marLeft w:val="0"/>
          <w:marRight w:val="0"/>
          <w:marTop w:val="0"/>
          <w:marBottom w:val="0"/>
          <w:divBdr>
            <w:top w:val="none" w:sz="0" w:space="0" w:color="auto"/>
            <w:left w:val="none" w:sz="0" w:space="0" w:color="auto"/>
            <w:bottom w:val="none" w:sz="0" w:space="0" w:color="auto"/>
            <w:right w:val="none" w:sz="0" w:space="0" w:color="auto"/>
          </w:divBdr>
        </w:div>
        <w:div w:id="747387116">
          <w:marLeft w:val="0"/>
          <w:marRight w:val="0"/>
          <w:marTop w:val="0"/>
          <w:marBottom w:val="0"/>
          <w:divBdr>
            <w:top w:val="none" w:sz="0" w:space="0" w:color="auto"/>
            <w:left w:val="none" w:sz="0" w:space="0" w:color="auto"/>
            <w:bottom w:val="none" w:sz="0" w:space="0" w:color="auto"/>
            <w:right w:val="none" w:sz="0" w:space="0" w:color="auto"/>
          </w:divBdr>
        </w:div>
        <w:div w:id="790977620">
          <w:marLeft w:val="0"/>
          <w:marRight w:val="0"/>
          <w:marTop w:val="0"/>
          <w:marBottom w:val="0"/>
          <w:divBdr>
            <w:top w:val="none" w:sz="0" w:space="0" w:color="auto"/>
            <w:left w:val="none" w:sz="0" w:space="0" w:color="auto"/>
            <w:bottom w:val="none" w:sz="0" w:space="0" w:color="auto"/>
            <w:right w:val="none" w:sz="0" w:space="0" w:color="auto"/>
          </w:divBdr>
        </w:div>
        <w:div w:id="791287175">
          <w:marLeft w:val="0"/>
          <w:marRight w:val="0"/>
          <w:marTop w:val="0"/>
          <w:marBottom w:val="0"/>
          <w:divBdr>
            <w:top w:val="none" w:sz="0" w:space="0" w:color="auto"/>
            <w:left w:val="none" w:sz="0" w:space="0" w:color="auto"/>
            <w:bottom w:val="none" w:sz="0" w:space="0" w:color="auto"/>
            <w:right w:val="none" w:sz="0" w:space="0" w:color="auto"/>
          </w:divBdr>
        </w:div>
        <w:div w:id="791745917">
          <w:marLeft w:val="0"/>
          <w:marRight w:val="0"/>
          <w:marTop w:val="0"/>
          <w:marBottom w:val="0"/>
          <w:divBdr>
            <w:top w:val="none" w:sz="0" w:space="0" w:color="auto"/>
            <w:left w:val="none" w:sz="0" w:space="0" w:color="auto"/>
            <w:bottom w:val="none" w:sz="0" w:space="0" w:color="auto"/>
            <w:right w:val="none" w:sz="0" w:space="0" w:color="auto"/>
          </w:divBdr>
        </w:div>
        <w:div w:id="801269866">
          <w:marLeft w:val="0"/>
          <w:marRight w:val="0"/>
          <w:marTop w:val="0"/>
          <w:marBottom w:val="0"/>
          <w:divBdr>
            <w:top w:val="none" w:sz="0" w:space="0" w:color="auto"/>
            <w:left w:val="none" w:sz="0" w:space="0" w:color="auto"/>
            <w:bottom w:val="none" w:sz="0" w:space="0" w:color="auto"/>
            <w:right w:val="none" w:sz="0" w:space="0" w:color="auto"/>
          </w:divBdr>
        </w:div>
        <w:div w:id="812137271">
          <w:marLeft w:val="0"/>
          <w:marRight w:val="0"/>
          <w:marTop w:val="0"/>
          <w:marBottom w:val="0"/>
          <w:divBdr>
            <w:top w:val="none" w:sz="0" w:space="0" w:color="auto"/>
            <w:left w:val="none" w:sz="0" w:space="0" w:color="auto"/>
            <w:bottom w:val="none" w:sz="0" w:space="0" w:color="auto"/>
            <w:right w:val="none" w:sz="0" w:space="0" w:color="auto"/>
          </w:divBdr>
        </w:div>
        <w:div w:id="814952847">
          <w:marLeft w:val="0"/>
          <w:marRight w:val="0"/>
          <w:marTop w:val="0"/>
          <w:marBottom w:val="0"/>
          <w:divBdr>
            <w:top w:val="none" w:sz="0" w:space="0" w:color="auto"/>
            <w:left w:val="none" w:sz="0" w:space="0" w:color="auto"/>
            <w:bottom w:val="none" w:sz="0" w:space="0" w:color="auto"/>
            <w:right w:val="none" w:sz="0" w:space="0" w:color="auto"/>
          </w:divBdr>
        </w:div>
        <w:div w:id="816075615">
          <w:marLeft w:val="0"/>
          <w:marRight w:val="0"/>
          <w:marTop w:val="0"/>
          <w:marBottom w:val="0"/>
          <w:divBdr>
            <w:top w:val="none" w:sz="0" w:space="0" w:color="auto"/>
            <w:left w:val="none" w:sz="0" w:space="0" w:color="auto"/>
            <w:bottom w:val="none" w:sz="0" w:space="0" w:color="auto"/>
            <w:right w:val="none" w:sz="0" w:space="0" w:color="auto"/>
          </w:divBdr>
        </w:div>
        <w:div w:id="818418863">
          <w:marLeft w:val="0"/>
          <w:marRight w:val="0"/>
          <w:marTop w:val="0"/>
          <w:marBottom w:val="0"/>
          <w:divBdr>
            <w:top w:val="none" w:sz="0" w:space="0" w:color="auto"/>
            <w:left w:val="none" w:sz="0" w:space="0" w:color="auto"/>
            <w:bottom w:val="none" w:sz="0" w:space="0" w:color="auto"/>
            <w:right w:val="none" w:sz="0" w:space="0" w:color="auto"/>
          </w:divBdr>
        </w:div>
        <w:div w:id="838038365">
          <w:marLeft w:val="0"/>
          <w:marRight w:val="0"/>
          <w:marTop w:val="0"/>
          <w:marBottom w:val="0"/>
          <w:divBdr>
            <w:top w:val="none" w:sz="0" w:space="0" w:color="auto"/>
            <w:left w:val="none" w:sz="0" w:space="0" w:color="auto"/>
            <w:bottom w:val="none" w:sz="0" w:space="0" w:color="auto"/>
            <w:right w:val="none" w:sz="0" w:space="0" w:color="auto"/>
          </w:divBdr>
        </w:div>
        <w:div w:id="844243670">
          <w:marLeft w:val="0"/>
          <w:marRight w:val="0"/>
          <w:marTop w:val="0"/>
          <w:marBottom w:val="0"/>
          <w:divBdr>
            <w:top w:val="none" w:sz="0" w:space="0" w:color="auto"/>
            <w:left w:val="none" w:sz="0" w:space="0" w:color="auto"/>
            <w:bottom w:val="none" w:sz="0" w:space="0" w:color="auto"/>
            <w:right w:val="none" w:sz="0" w:space="0" w:color="auto"/>
          </w:divBdr>
        </w:div>
        <w:div w:id="856843766">
          <w:marLeft w:val="0"/>
          <w:marRight w:val="0"/>
          <w:marTop w:val="0"/>
          <w:marBottom w:val="0"/>
          <w:divBdr>
            <w:top w:val="none" w:sz="0" w:space="0" w:color="auto"/>
            <w:left w:val="none" w:sz="0" w:space="0" w:color="auto"/>
            <w:bottom w:val="none" w:sz="0" w:space="0" w:color="auto"/>
            <w:right w:val="none" w:sz="0" w:space="0" w:color="auto"/>
          </w:divBdr>
        </w:div>
        <w:div w:id="873230897">
          <w:marLeft w:val="0"/>
          <w:marRight w:val="0"/>
          <w:marTop w:val="0"/>
          <w:marBottom w:val="0"/>
          <w:divBdr>
            <w:top w:val="none" w:sz="0" w:space="0" w:color="auto"/>
            <w:left w:val="none" w:sz="0" w:space="0" w:color="auto"/>
            <w:bottom w:val="none" w:sz="0" w:space="0" w:color="auto"/>
            <w:right w:val="none" w:sz="0" w:space="0" w:color="auto"/>
          </w:divBdr>
        </w:div>
        <w:div w:id="879513332">
          <w:marLeft w:val="0"/>
          <w:marRight w:val="0"/>
          <w:marTop w:val="0"/>
          <w:marBottom w:val="0"/>
          <w:divBdr>
            <w:top w:val="none" w:sz="0" w:space="0" w:color="auto"/>
            <w:left w:val="none" w:sz="0" w:space="0" w:color="auto"/>
            <w:bottom w:val="none" w:sz="0" w:space="0" w:color="auto"/>
            <w:right w:val="none" w:sz="0" w:space="0" w:color="auto"/>
          </w:divBdr>
        </w:div>
        <w:div w:id="886725679">
          <w:marLeft w:val="0"/>
          <w:marRight w:val="0"/>
          <w:marTop w:val="0"/>
          <w:marBottom w:val="0"/>
          <w:divBdr>
            <w:top w:val="none" w:sz="0" w:space="0" w:color="auto"/>
            <w:left w:val="none" w:sz="0" w:space="0" w:color="auto"/>
            <w:bottom w:val="none" w:sz="0" w:space="0" w:color="auto"/>
            <w:right w:val="none" w:sz="0" w:space="0" w:color="auto"/>
          </w:divBdr>
        </w:div>
        <w:div w:id="903372733">
          <w:marLeft w:val="0"/>
          <w:marRight w:val="0"/>
          <w:marTop w:val="0"/>
          <w:marBottom w:val="0"/>
          <w:divBdr>
            <w:top w:val="none" w:sz="0" w:space="0" w:color="auto"/>
            <w:left w:val="none" w:sz="0" w:space="0" w:color="auto"/>
            <w:bottom w:val="none" w:sz="0" w:space="0" w:color="auto"/>
            <w:right w:val="none" w:sz="0" w:space="0" w:color="auto"/>
          </w:divBdr>
        </w:div>
        <w:div w:id="908228248">
          <w:marLeft w:val="0"/>
          <w:marRight w:val="0"/>
          <w:marTop w:val="0"/>
          <w:marBottom w:val="0"/>
          <w:divBdr>
            <w:top w:val="none" w:sz="0" w:space="0" w:color="auto"/>
            <w:left w:val="none" w:sz="0" w:space="0" w:color="auto"/>
            <w:bottom w:val="none" w:sz="0" w:space="0" w:color="auto"/>
            <w:right w:val="none" w:sz="0" w:space="0" w:color="auto"/>
          </w:divBdr>
        </w:div>
        <w:div w:id="915549837">
          <w:marLeft w:val="0"/>
          <w:marRight w:val="0"/>
          <w:marTop w:val="0"/>
          <w:marBottom w:val="0"/>
          <w:divBdr>
            <w:top w:val="none" w:sz="0" w:space="0" w:color="auto"/>
            <w:left w:val="none" w:sz="0" w:space="0" w:color="auto"/>
            <w:bottom w:val="none" w:sz="0" w:space="0" w:color="auto"/>
            <w:right w:val="none" w:sz="0" w:space="0" w:color="auto"/>
          </w:divBdr>
        </w:div>
        <w:div w:id="925189137">
          <w:marLeft w:val="0"/>
          <w:marRight w:val="0"/>
          <w:marTop w:val="0"/>
          <w:marBottom w:val="0"/>
          <w:divBdr>
            <w:top w:val="none" w:sz="0" w:space="0" w:color="auto"/>
            <w:left w:val="none" w:sz="0" w:space="0" w:color="auto"/>
            <w:bottom w:val="none" w:sz="0" w:space="0" w:color="auto"/>
            <w:right w:val="none" w:sz="0" w:space="0" w:color="auto"/>
          </w:divBdr>
        </w:div>
        <w:div w:id="939413126">
          <w:marLeft w:val="0"/>
          <w:marRight w:val="0"/>
          <w:marTop w:val="0"/>
          <w:marBottom w:val="0"/>
          <w:divBdr>
            <w:top w:val="none" w:sz="0" w:space="0" w:color="auto"/>
            <w:left w:val="none" w:sz="0" w:space="0" w:color="auto"/>
            <w:bottom w:val="none" w:sz="0" w:space="0" w:color="auto"/>
            <w:right w:val="none" w:sz="0" w:space="0" w:color="auto"/>
          </w:divBdr>
        </w:div>
        <w:div w:id="955714531">
          <w:marLeft w:val="0"/>
          <w:marRight w:val="0"/>
          <w:marTop w:val="0"/>
          <w:marBottom w:val="0"/>
          <w:divBdr>
            <w:top w:val="none" w:sz="0" w:space="0" w:color="auto"/>
            <w:left w:val="none" w:sz="0" w:space="0" w:color="auto"/>
            <w:bottom w:val="none" w:sz="0" w:space="0" w:color="auto"/>
            <w:right w:val="none" w:sz="0" w:space="0" w:color="auto"/>
          </w:divBdr>
        </w:div>
        <w:div w:id="956109156">
          <w:marLeft w:val="0"/>
          <w:marRight w:val="0"/>
          <w:marTop w:val="0"/>
          <w:marBottom w:val="0"/>
          <w:divBdr>
            <w:top w:val="none" w:sz="0" w:space="0" w:color="auto"/>
            <w:left w:val="none" w:sz="0" w:space="0" w:color="auto"/>
            <w:bottom w:val="none" w:sz="0" w:space="0" w:color="auto"/>
            <w:right w:val="none" w:sz="0" w:space="0" w:color="auto"/>
          </w:divBdr>
        </w:div>
        <w:div w:id="964696216">
          <w:marLeft w:val="0"/>
          <w:marRight w:val="0"/>
          <w:marTop w:val="0"/>
          <w:marBottom w:val="0"/>
          <w:divBdr>
            <w:top w:val="none" w:sz="0" w:space="0" w:color="auto"/>
            <w:left w:val="none" w:sz="0" w:space="0" w:color="auto"/>
            <w:bottom w:val="none" w:sz="0" w:space="0" w:color="auto"/>
            <w:right w:val="none" w:sz="0" w:space="0" w:color="auto"/>
          </w:divBdr>
        </w:div>
        <w:div w:id="1020467781">
          <w:marLeft w:val="0"/>
          <w:marRight w:val="0"/>
          <w:marTop w:val="0"/>
          <w:marBottom w:val="0"/>
          <w:divBdr>
            <w:top w:val="none" w:sz="0" w:space="0" w:color="auto"/>
            <w:left w:val="none" w:sz="0" w:space="0" w:color="auto"/>
            <w:bottom w:val="none" w:sz="0" w:space="0" w:color="auto"/>
            <w:right w:val="none" w:sz="0" w:space="0" w:color="auto"/>
          </w:divBdr>
        </w:div>
        <w:div w:id="1040783203">
          <w:marLeft w:val="0"/>
          <w:marRight w:val="0"/>
          <w:marTop w:val="0"/>
          <w:marBottom w:val="0"/>
          <w:divBdr>
            <w:top w:val="none" w:sz="0" w:space="0" w:color="auto"/>
            <w:left w:val="none" w:sz="0" w:space="0" w:color="auto"/>
            <w:bottom w:val="none" w:sz="0" w:space="0" w:color="auto"/>
            <w:right w:val="none" w:sz="0" w:space="0" w:color="auto"/>
          </w:divBdr>
        </w:div>
        <w:div w:id="1051224855">
          <w:marLeft w:val="0"/>
          <w:marRight w:val="0"/>
          <w:marTop w:val="0"/>
          <w:marBottom w:val="0"/>
          <w:divBdr>
            <w:top w:val="none" w:sz="0" w:space="0" w:color="auto"/>
            <w:left w:val="none" w:sz="0" w:space="0" w:color="auto"/>
            <w:bottom w:val="none" w:sz="0" w:space="0" w:color="auto"/>
            <w:right w:val="none" w:sz="0" w:space="0" w:color="auto"/>
          </w:divBdr>
        </w:div>
        <w:div w:id="1052651261">
          <w:marLeft w:val="0"/>
          <w:marRight w:val="0"/>
          <w:marTop w:val="0"/>
          <w:marBottom w:val="0"/>
          <w:divBdr>
            <w:top w:val="none" w:sz="0" w:space="0" w:color="auto"/>
            <w:left w:val="none" w:sz="0" w:space="0" w:color="auto"/>
            <w:bottom w:val="none" w:sz="0" w:space="0" w:color="auto"/>
            <w:right w:val="none" w:sz="0" w:space="0" w:color="auto"/>
          </w:divBdr>
        </w:div>
        <w:div w:id="1065178354">
          <w:marLeft w:val="0"/>
          <w:marRight w:val="0"/>
          <w:marTop w:val="0"/>
          <w:marBottom w:val="0"/>
          <w:divBdr>
            <w:top w:val="none" w:sz="0" w:space="0" w:color="auto"/>
            <w:left w:val="none" w:sz="0" w:space="0" w:color="auto"/>
            <w:bottom w:val="none" w:sz="0" w:space="0" w:color="auto"/>
            <w:right w:val="none" w:sz="0" w:space="0" w:color="auto"/>
          </w:divBdr>
        </w:div>
        <w:div w:id="1074400508">
          <w:marLeft w:val="0"/>
          <w:marRight w:val="0"/>
          <w:marTop w:val="0"/>
          <w:marBottom w:val="0"/>
          <w:divBdr>
            <w:top w:val="none" w:sz="0" w:space="0" w:color="auto"/>
            <w:left w:val="none" w:sz="0" w:space="0" w:color="auto"/>
            <w:bottom w:val="none" w:sz="0" w:space="0" w:color="auto"/>
            <w:right w:val="none" w:sz="0" w:space="0" w:color="auto"/>
          </w:divBdr>
        </w:div>
        <w:div w:id="1085952712">
          <w:marLeft w:val="0"/>
          <w:marRight w:val="0"/>
          <w:marTop w:val="0"/>
          <w:marBottom w:val="0"/>
          <w:divBdr>
            <w:top w:val="none" w:sz="0" w:space="0" w:color="auto"/>
            <w:left w:val="none" w:sz="0" w:space="0" w:color="auto"/>
            <w:bottom w:val="none" w:sz="0" w:space="0" w:color="auto"/>
            <w:right w:val="none" w:sz="0" w:space="0" w:color="auto"/>
          </w:divBdr>
        </w:div>
        <w:div w:id="1087267160">
          <w:marLeft w:val="0"/>
          <w:marRight w:val="0"/>
          <w:marTop w:val="0"/>
          <w:marBottom w:val="0"/>
          <w:divBdr>
            <w:top w:val="none" w:sz="0" w:space="0" w:color="auto"/>
            <w:left w:val="none" w:sz="0" w:space="0" w:color="auto"/>
            <w:bottom w:val="none" w:sz="0" w:space="0" w:color="auto"/>
            <w:right w:val="none" w:sz="0" w:space="0" w:color="auto"/>
          </w:divBdr>
        </w:div>
        <w:div w:id="1094278172">
          <w:marLeft w:val="0"/>
          <w:marRight w:val="0"/>
          <w:marTop w:val="0"/>
          <w:marBottom w:val="0"/>
          <w:divBdr>
            <w:top w:val="none" w:sz="0" w:space="0" w:color="auto"/>
            <w:left w:val="none" w:sz="0" w:space="0" w:color="auto"/>
            <w:bottom w:val="none" w:sz="0" w:space="0" w:color="auto"/>
            <w:right w:val="none" w:sz="0" w:space="0" w:color="auto"/>
          </w:divBdr>
        </w:div>
        <w:div w:id="1117259982">
          <w:marLeft w:val="0"/>
          <w:marRight w:val="0"/>
          <w:marTop w:val="0"/>
          <w:marBottom w:val="0"/>
          <w:divBdr>
            <w:top w:val="none" w:sz="0" w:space="0" w:color="auto"/>
            <w:left w:val="none" w:sz="0" w:space="0" w:color="auto"/>
            <w:bottom w:val="none" w:sz="0" w:space="0" w:color="auto"/>
            <w:right w:val="none" w:sz="0" w:space="0" w:color="auto"/>
          </w:divBdr>
        </w:div>
        <w:div w:id="1119452289">
          <w:marLeft w:val="0"/>
          <w:marRight w:val="0"/>
          <w:marTop w:val="0"/>
          <w:marBottom w:val="0"/>
          <w:divBdr>
            <w:top w:val="none" w:sz="0" w:space="0" w:color="auto"/>
            <w:left w:val="none" w:sz="0" w:space="0" w:color="auto"/>
            <w:bottom w:val="none" w:sz="0" w:space="0" w:color="auto"/>
            <w:right w:val="none" w:sz="0" w:space="0" w:color="auto"/>
          </w:divBdr>
        </w:div>
        <w:div w:id="1160275259">
          <w:marLeft w:val="0"/>
          <w:marRight w:val="0"/>
          <w:marTop w:val="0"/>
          <w:marBottom w:val="0"/>
          <w:divBdr>
            <w:top w:val="none" w:sz="0" w:space="0" w:color="auto"/>
            <w:left w:val="none" w:sz="0" w:space="0" w:color="auto"/>
            <w:bottom w:val="none" w:sz="0" w:space="0" w:color="auto"/>
            <w:right w:val="none" w:sz="0" w:space="0" w:color="auto"/>
          </w:divBdr>
        </w:div>
        <w:div w:id="1226800807">
          <w:marLeft w:val="0"/>
          <w:marRight w:val="0"/>
          <w:marTop w:val="0"/>
          <w:marBottom w:val="0"/>
          <w:divBdr>
            <w:top w:val="none" w:sz="0" w:space="0" w:color="auto"/>
            <w:left w:val="none" w:sz="0" w:space="0" w:color="auto"/>
            <w:bottom w:val="none" w:sz="0" w:space="0" w:color="auto"/>
            <w:right w:val="none" w:sz="0" w:space="0" w:color="auto"/>
          </w:divBdr>
        </w:div>
        <w:div w:id="1241864085">
          <w:marLeft w:val="0"/>
          <w:marRight w:val="0"/>
          <w:marTop w:val="0"/>
          <w:marBottom w:val="0"/>
          <w:divBdr>
            <w:top w:val="none" w:sz="0" w:space="0" w:color="auto"/>
            <w:left w:val="none" w:sz="0" w:space="0" w:color="auto"/>
            <w:bottom w:val="none" w:sz="0" w:space="0" w:color="auto"/>
            <w:right w:val="none" w:sz="0" w:space="0" w:color="auto"/>
          </w:divBdr>
        </w:div>
        <w:div w:id="1243180169">
          <w:marLeft w:val="0"/>
          <w:marRight w:val="0"/>
          <w:marTop w:val="0"/>
          <w:marBottom w:val="0"/>
          <w:divBdr>
            <w:top w:val="none" w:sz="0" w:space="0" w:color="auto"/>
            <w:left w:val="none" w:sz="0" w:space="0" w:color="auto"/>
            <w:bottom w:val="none" w:sz="0" w:space="0" w:color="auto"/>
            <w:right w:val="none" w:sz="0" w:space="0" w:color="auto"/>
          </w:divBdr>
        </w:div>
        <w:div w:id="1315569785">
          <w:marLeft w:val="0"/>
          <w:marRight w:val="0"/>
          <w:marTop w:val="0"/>
          <w:marBottom w:val="0"/>
          <w:divBdr>
            <w:top w:val="none" w:sz="0" w:space="0" w:color="auto"/>
            <w:left w:val="none" w:sz="0" w:space="0" w:color="auto"/>
            <w:bottom w:val="none" w:sz="0" w:space="0" w:color="auto"/>
            <w:right w:val="none" w:sz="0" w:space="0" w:color="auto"/>
          </w:divBdr>
        </w:div>
        <w:div w:id="1321353091">
          <w:marLeft w:val="0"/>
          <w:marRight w:val="0"/>
          <w:marTop w:val="0"/>
          <w:marBottom w:val="0"/>
          <w:divBdr>
            <w:top w:val="none" w:sz="0" w:space="0" w:color="auto"/>
            <w:left w:val="none" w:sz="0" w:space="0" w:color="auto"/>
            <w:bottom w:val="none" w:sz="0" w:space="0" w:color="auto"/>
            <w:right w:val="none" w:sz="0" w:space="0" w:color="auto"/>
          </w:divBdr>
        </w:div>
        <w:div w:id="1322389907">
          <w:marLeft w:val="0"/>
          <w:marRight w:val="0"/>
          <w:marTop w:val="0"/>
          <w:marBottom w:val="0"/>
          <w:divBdr>
            <w:top w:val="none" w:sz="0" w:space="0" w:color="auto"/>
            <w:left w:val="none" w:sz="0" w:space="0" w:color="auto"/>
            <w:bottom w:val="none" w:sz="0" w:space="0" w:color="auto"/>
            <w:right w:val="none" w:sz="0" w:space="0" w:color="auto"/>
          </w:divBdr>
        </w:div>
        <w:div w:id="1342513112">
          <w:marLeft w:val="0"/>
          <w:marRight w:val="0"/>
          <w:marTop w:val="0"/>
          <w:marBottom w:val="0"/>
          <w:divBdr>
            <w:top w:val="none" w:sz="0" w:space="0" w:color="auto"/>
            <w:left w:val="none" w:sz="0" w:space="0" w:color="auto"/>
            <w:bottom w:val="none" w:sz="0" w:space="0" w:color="auto"/>
            <w:right w:val="none" w:sz="0" w:space="0" w:color="auto"/>
          </w:divBdr>
        </w:div>
        <w:div w:id="1348168788">
          <w:marLeft w:val="0"/>
          <w:marRight w:val="0"/>
          <w:marTop w:val="0"/>
          <w:marBottom w:val="0"/>
          <w:divBdr>
            <w:top w:val="none" w:sz="0" w:space="0" w:color="auto"/>
            <w:left w:val="none" w:sz="0" w:space="0" w:color="auto"/>
            <w:bottom w:val="none" w:sz="0" w:space="0" w:color="auto"/>
            <w:right w:val="none" w:sz="0" w:space="0" w:color="auto"/>
          </w:divBdr>
        </w:div>
        <w:div w:id="1356269386">
          <w:marLeft w:val="0"/>
          <w:marRight w:val="0"/>
          <w:marTop w:val="0"/>
          <w:marBottom w:val="0"/>
          <w:divBdr>
            <w:top w:val="none" w:sz="0" w:space="0" w:color="auto"/>
            <w:left w:val="none" w:sz="0" w:space="0" w:color="auto"/>
            <w:bottom w:val="none" w:sz="0" w:space="0" w:color="auto"/>
            <w:right w:val="none" w:sz="0" w:space="0" w:color="auto"/>
          </w:divBdr>
        </w:div>
        <w:div w:id="1358309362">
          <w:marLeft w:val="0"/>
          <w:marRight w:val="0"/>
          <w:marTop w:val="0"/>
          <w:marBottom w:val="0"/>
          <w:divBdr>
            <w:top w:val="none" w:sz="0" w:space="0" w:color="auto"/>
            <w:left w:val="none" w:sz="0" w:space="0" w:color="auto"/>
            <w:bottom w:val="none" w:sz="0" w:space="0" w:color="auto"/>
            <w:right w:val="none" w:sz="0" w:space="0" w:color="auto"/>
          </w:divBdr>
        </w:div>
        <w:div w:id="1362710489">
          <w:marLeft w:val="0"/>
          <w:marRight w:val="0"/>
          <w:marTop w:val="0"/>
          <w:marBottom w:val="0"/>
          <w:divBdr>
            <w:top w:val="none" w:sz="0" w:space="0" w:color="auto"/>
            <w:left w:val="none" w:sz="0" w:space="0" w:color="auto"/>
            <w:bottom w:val="none" w:sz="0" w:space="0" w:color="auto"/>
            <w:right w:val="none" w:sz="0" w:space="0" w:color="auto"/>
          </w:divBdr>
        </w:div>
        <w:div w:id="1367830902">
          <w:marLeft w:val="0"/>
          <w:marRight w:val="0"/>
          <w:marTop w:val="0"/>
          <w:marBottom w:val="0"/>
          <w:divBdr>
            <w:top w:val="none" w:sz="0" w:space="0" w:color="auto"/>
            <w:left w:val="none" w:sz="0" w:space="0" w:color="auto"/>
            <w:bottom w:val="none" w:sz="0" w:space="0" w:color="auto"/>
            <w:right w:val="none" w:sz="0" w:space="0" w:color="auto"/>
          </w:divBdr>
        </w:div>
        <w:div w:id="1374504014">
          <w:marLeft w:val="0"/>
          <w:marRight w:val="0"/>
          <w:marTop w:val="0"/>
          <w:marBottom w:val="0"/>
          <w:divBdr>
            <w:top w:val="none" w:sz="0" w:space="0" w:color="auto"/>
            <w:left w:val="none" w:sz="0" w:space="0" w:color="auto"/>
            <w:bottom w:val="none" w:sz="0" w:space="0" w:color="auto"/>
            <w:right w:val="none" w:sz="0" w:space="0" w:color="auto"/>
          </w:divBdr>
        </w:div>
        <w:div w:id="1378512102">
          <w:marLeft w:val="0"/>
          <w:marRight w:val="0"/>
          <w:marTop w:val="0"/>
          <w:marBottom w:val="0"/>
          <w:divBdr>
            <w:top w:val="none" w:sz="0" w:space="0" w:color="auto"/>
            <w:left w:val="none" w:sz="0" w:space="0" w:color="auto"/>
            <w:bottom w:val="none" w:sz="0" w:space="0" w:color="auto"/>
            <w:right w:val="none" w:sz="0" w:space="0" w:color="auto"/>
          </w:divBdr>
        </w:div>
        <w:div w:id="1382903578">
          <w:marLeft w:val="0"/>
          <w:marRight w:val="0"/>
          <w:marTop w:val="0"/>
          <w:marBottom w:val="0"/>
          <w:divBdr>
            <w:top w:val="none" w:sz="0" w:space="0" w:color="auto"/>
            <w:left w:val="none" w:sz="0" w:space="0" w:color="auto"/>
            <w:bottom w:val="none" w:sz="0" w:space="0" w:color="auto"/>
            <w:right w:val="none" w:sz="0" w:space="0" w:color="auto"/>
          </w:divBdr>
        </w:div>
        <w:div w:id="1389188678">
          <w:marLeft w:val="0"/>
          <w:marRight w:val="0"/>
          <w:marTop w:val="0"/>
          <w:marBottom w:val="0"/>
          <w:divBdr>
            <w:top w:val="none" w:sz="0" w:space="0" w:color="auto"/>
            <w:left w:val="none" w:sz="0" w:space="0" w:color="auto"/>
            <w:bottom w:val="none" w:sz="0" w:space="0" w:color="auto"/>
            <w:right w:val="none" w:sz="0" w:space="0" w:color="auto"/>
          </w:divBdr>
        </w:div>
        <w:div w:id="1400177010">
          <w:marLeft w:val="0"/>
          <w:marRight w:val="0"/>
          <w:marTop w:val="0"/>
          <w:marBottom w:val="0"/>
          <w:divBdr>
            <w:top w:val="none" w:sz="0" w:space="0" w:color="auto"/>
            <w:left w:val="none" w:sz="0" w:space="0" w:color="auto"/>
            <w:bottom w:val="none" w:sz="0" w:space="0" w:color="auto"/>
            <w:right w:val="none" w:sz="0" w:space="0" w:color="auto"/>
          </w:divBdr>
        </w:div>
        <w:div w:id="1432626100">
          <w:marLeft w:val="0"/>
          <w:marRight w:val="0"/>
          <w:marTop w:val="0"/>
          <w:marBottom w:val="0"/>
          <w:divBdr>
            <w:top w:val="none" w:sz="0" w:space="0" w:color="auto"/>
            <w:left w:val="none" w:sz="0" w:space="0" w:color="auto"/>
            <w:bottom w:val="none" w:sz="0" w:space="0" w:color="auto"/>
            <w:right w:val="none" w:sz="0" w:space="0" w:color="auto"/>
          </w:divBdr>
        </w:div>
        <w:div w:id="1438064269">
          <w:marLeft w:val="0"/>
          <w:marRight w:val="0"/>
          <w:marTop w:val="0"/>
          <w:marBottom w:val="0"/>
          <w:divBdr>
            <w:top w:val="none" w:sz="0" w:space="0" w:color="auto"/>
            <w:left w:val="none" w:sz="0" w:space="0" w:color="auto"/>
            <w:bottom w:val="none" w:sz="0" w:space="0" w:color="auto"/>
            <w:right w:val="none" w:sz="0" w:space="0" w:color="auto"/>
          </w:divBdr>
        </w:div>
        <w:div w:id="1457406262">
          <w:marLeft w:val="0"/>
          <w:marRight w:val="0"/>
          <w:marTop w:val="0"/>
          <w:marBottom w:val="0"/>
          <w:divBdr>
            <w:top w:val="none" w:sz="0" w:space="0" w:color="auto"/>
            <w:left w:val="none" w:sz="0" w:space="0" w:color="auto"/>
            <w:bottom w:val="none" w:sz="0" w:space="0" w:color="auto"/>
            <w:right w:val="none" w:sz="0" w:space="0" w:color="auto"/>
          </w:divBdr>
        </w:div>
        <w:div w:id="1463380115">
          <w:marLeft w:val="0"/>
          <w:marRight w:val="0"/>
          <w:marTop w:val="0"/>
          <w:marBottom w:val="0"/>
          <w:divBdr>
            <w:top w:val="none" w:sz="0" w:space="0" w:color="auto"/>
            <w:left w:val="none" w:sz="0" w:space="0" w:color="auto"/>
            <w:bottom w:val="none" w:sz="0" w:space="0" w:color="auto"/>
            <w:right w:val="none" w:sz="0" w:space="0" w:color="auto"/>
          </w:divBdr>
        </w:div>
        <w:div w:id="1482575990">
          <w:marLeft w:val="0"/>
          <w:marRight w:val="0"/>
          <w:marTop w:val="0"/>
          <w:marBottom w:val="0"/>
          <w:divBdr>
            <w:top w:val="none" w:sz="0" w:space="0" w:color="auto"/>
            <w:left w:val="none" w:sz="0" w:space="0" w:color="auto"/>
            <w:bottom w:val="none" w:sz="0" w:space="0" w:color="auto"/>
            <w:right w:val="none" w:sz="0" w:space="0" w:color="auto"/>
          </w:divBdr>
        </w:div>
        <w:div w:id="1487435130">
          <w:marLeft w:val="0"/>
          <w:marRight w:val="0"/>
          <w:marTop w:val="0"/>
          <w:marBottom w:val="0"/>
          <w:divBdr>
            <w:top w:val="none" w:sz="0" w:space="0" w:color="auto"/>
            <w:left w:val="none" w:sz="0" w:space="0" w:color="auto"/>
            <w:bottom w:val="none" w:sz="0" w:space="0" w:color="auto"/>
            <w:right w:val="none" w:sz="0" w:space="0" w:color="auto"/>
          </w:divBdr>
        </w:div>
        <w:div w:id="1498493719">
          <w:marLeft w:val="0"/>
          <w:marRight w:val="0"/>
          <w:marTop w:val="0"/>
          <w:marBottom w:val="0"/>
          <w:divBdr>
            <w:top w:val="none" w:sz="0" w:space="0" w:color="auto"/>
            <w:left w:val="none" w:sz="0" w:space="0" w:color="auto"/>
            <w:bottom w:val="none" w:sz="0" w:space="0" w:color="auto"/>
            <w:right w:val="none" w:sz="0" w:space="0" w:color="auto"/>
          </w:divBdr>
        </w:div>
        <w:div w:id="1519848941">
          <w:marLeft w:val="0"/>
          <w:marRight w:val="0"/>
          <w:marTop w:val="0"/>
          <w:marBottom w:val="0"/>
          <w:divBdr>
            <w:top w:val="none" w:sz="0" w:space="0" w:color="auto"/>
            <w:left w:val="none" w:sz="0" w:space="0" w:color="auto"/>
            <w:bottom w:val="none" w:sz="0" w:space="0" w:color="auto"/>
            <w:right w:val="none" w:sz="0" w:space="0" w:color="auto"/>
          </w:divBdr>
        </w:div>
        <w:div w:id="1521045350">
          <w:marLeft w:val="0"/>
          <w:marRight w:val="0"/>
          <w:marTop w:val="0"/>
          <w:marBottom w:val="0"/>
          <w:divBdr>
            <w:top w:val="none" w:sz="0" w:space="0" w:color="auto"/>
            <w:left w:val="none" w:sz="0" w:space="0" w:color="auto"/>
            <w:bottom w:val="none" w:sz="0" w:space="0" w:color="auto"/>
            <w:right w:val="none" w:sz="0" w:space="0" w:color="auto"/>
          </w:divBdr>
        </w:div>
        <w:div w:id="1531989883">
          <w:marLeft w:val="0"/>
          <w:marRight w:val="0"/>
          <w:marTop w:val="0"/>
          <w:marBottom w:val="0"/>
          <w:divBdr>
            <w:top w:val="none" w:sz="0" w:space="0" w:color="auto"/>
            <w:left w:val="none" w:sz="0" w:space="0" w:color="auto"/>
            <w:bottom w:val="none" w:sz="0" w:space="0" w:color="auto"/>
            <w:right w:val="none" w:sz="0" w:space="0" w:color="auto"/>
          </w:divBdr>
        </w:div>
        <w:div w:id="1535732370">
          <w:marLeft w:val="0"/>
          <w:marRight w:val="0"/>
          <w:marTop w:val="0"/>
          <w:marBottom w:val="0"/>
          <w:divBdr>
            <w:top w:val="none" w:sz="0" w:space="0" w:color="auto"/>
            <w:left w:val="none" w:sz="0" w:space="0" w:color="auto"/>
            <w:bottom w:val="none" w:sz="0" w:space="0" w:color="auto"/>
            <w:right w:val="none" w:sz="0" w:space="0" w:color="auto"/>
          </w:divBdr>
        </w:div>
        <w:div w:id="1548682772">
          <w:marLeft w:val="0"/>
          <w:marRight w:val="0"/>
          <w:marTop w:val="0"/>
          <w:marBottom w:val="0"/>
          <w:divBdr>
            <w:top w:val="none" w:sz="0" w:space="0" w:color="auto"/>
            <w:left w:val="none" w:sz="0" w:space="0" w:color="auto"/>
            <w:bottom w:val="none" w:sz="0" w:space="0" w:color="auto"/>
            <w:right w:val="none" w:sz="0" w:space="0" w:color="auto"/>
          </w:divBdr>
        </w:div>
        <w:div w:id="1554731179">
          <w:marLeft w:val="0"/>
          <w:marRight w:val="0"/>
          <w:marTop w:val="0"/>
          <w:marBottom w:val="0"/>
          <w:divBdr>
            <w:top w:val="none" w:sz="0" w:space="0" w:color="auto"/>
            <w:left w:val="none" w:sz="0" w:space="0" w:color="auto"/>
            <w:bottom w:val="none" w:sz="0" w:space="0" w:color="auto"/>
            <w:right w:val="none" w:sz="0" w:space="0" w:color="auto"/>
          </w:divBdr>
        </w:div>
        <w:div w:id="1555048125">
          <w:marLeft w:val="0"/>
          <w:marRight w:val="0"/>
          <w:marTop w:val="0"/>
          <w:marBottom w:val="0"/>
          <w:divBdr>
            <w:top w:val="none" w:sz="0" w:space="0" w:color="auto"/>
            <w:left w:val="none" w:sz="0" w:space="0" w:color="auto"/>
            <w:bottom w:val="none" w:sz="0" w:space="0" w:color="auto"/>
            <w:right w:val="none" w:sz="0" w:space="0" w:color="auto"/>
          </w:divBdr>
        </w:div>
        <w:div w:id="1557625013">
          <w:marLeft w:val="0"/>
          <w:marRight w:val="0"/>
          <w:marTop w:val="0"/>
          <w:marBottom w:val="0"/>
          <w:divBdr>
            <w:top w:val="none" w:sz="0" w:space="0" w:color="auto"/>
            <w:left w:val="none" w:sz="0" w:space="0" w:color="auto"/>
            <w:bottom w:val="none" w:sz="0" w:space="0" w:color="auto"/>
            <w:right w:val="none" w:sz="0" w:space="0" w:color="auto"/>
          </w:divBdr>
        </w:div>
        <w:div w:id="1560439875">
          <w:marLeft w:val="0"/>
          <w:marRight w:val="0"/>
          <w:marTop w:val="0"/>
          <w:marBottom w:val="0"/>
          <w:divBdr>
            <w:top w:val="none" w:sz="0" w:space="0" w:color="auto"/>
            <w:left w:val="none" w:sz="0" w:space="0" w:color="auto"/>
            <w:bottom w:val="none" w:sz="0" w:space="0" w:color="auto"/>
            <w:right w:val="none" w:sz="0" w:space="0" w:color="auto"/>
          </w:divBdr>
        </w:div>
        <w:div w:id="1570922567">
          <w:marLeft w:val="0"/>
          <w:marRight w:val="0"/>
          <w:marTop w:val="0"/>
          <w:marBottom w:val="0"/>
          <w:divBdr>
            <w:top w:val="none" w:sz="0" w:space="0" w:color="auto"/>
            <w:left w:val="none" w:sz="0" w:space="0" w:color="auto"/>
            <w:bottom w:val="none" w:sz="0" w:space="0" w:color="auto"/>
            <w:right w:val="none" w:sz="0" w:space="0" w:color="auto"/>
          </w:divBdr>
        </w:div>
        <w:div w:id="1584603925">
          <w:marLeft w:val="0"/>
          <w:marRight w:val="0"/>
          <w:marTop w:val="0"/>
          <w:marBottom w:val="0"/>
          <w:divBdr>
            <w:top w:val="none" w:sz="0" w:space="0" w:color="auto"/>
            <w:left w:val="none" w:sz="0" w:space="0" w:color="auto"/>
            <w:bottom w:val="none" w:sz="0" w:space="0" w:color="auto"/>
            <w:right w:val="none" w:sz="0" w:space="0" w:color="auto"/>
          </w:divBdr>
        </w:div>
        <w:div w:id="1615331609">
          <w:marLeft w:val="0"/>
          <w:marRight w:val="0"/>
          <w:marTop w:val="0"/>
          <w:marBottom w:val="0"/>
          <w:divBdr>
            <w:top w:val="none" w:sz="0" w:space="0" w:color="auto"/>
            <w:left w:val="none" w:sz="0" w:space="0" w:color="auto"/>
            <w:bottom w:val="none" w:sz="0" w:space="0" w:color="auto"/>
            <w:right w:val="none" w:sz="0" w:space="0" w:color="auto"/>
          </w:divBdr>
        </w:div>
        <w:div w:id="1655909061">
          <w:marLeft w:val="0"/>
          <w:marRight w:val="0"/>
          <w:marTop w:val="0"/>
          <w:marBottom w:val="0"/>
          <w:divBdr>
            <w:top w:val="none" w:sz="0" w:space="0" w:color="auto"/>
            <w:left w:val="none" w:sz="0" w:space="0" w:color="auto"/>
            <w:bottom w:val="none" w:sz="0" w:space="0" w:color="auto"/>
            <w:right w:val="none" w:sz="0" w:space="0" w:color="auto"/>
          </w:divBdr>
        </w:div>
        <w:div w:id="1663851716">
          <w:marLeft w:val="0"/>
          <w:marRight w:val="0"/>
          <w:marTop w:val="0"/>
          <w:marBottom w:val="0"/>
          <w:divBdr>
            <w:top w:val="none" w:sz="0" w:space="0" w:color="auto"/>
            <w:left w:val="none" w:sz="0" w:space="0" w:color="auto"/>
            <w:bottom w:val="none" w:sz="0" w:space="0" w:color="auto"/>
            <w:right w:val="none" w:sz="0" w:space="0" w:color="auto"/>
          </w:divBdr>
        </w:div>
        <w:div w:id="1665821291">
          <w:marLeft w:val="0"/>
          <w:marRight w:val="0"/>
          <w:marTop w:val="0"/>
          <w:marBottom w:val="0"/>
          <w:divBdr>
            <w:top w:val="none" w:sz="0" w:space="0" w:color="auto"/>
            <w:left w:val="none" w:sz="0" w:space="0" w:color="auto"/>
            <w:bottom w:val="none" w:sz="0" w:space="0" w:color="auto"/>
            <w:right w:val="none" w:sz="0" w:space="0" w:color="auto"/>
          </w:divBdr>
        </w:div>
        <w:div w:id="1667589578">
          <w:marLeft w:val="0"/>
          <w:marRight w:val="0"/>
          <w:marTop w:val="0"/>
          <w:marBottom w:val="0"/>
          <w:divBdr>
            <w:top w:val="none" w:sz="0" w:space="0" w:color="auto"/>
            <w:left w:val="none" w:sz="0" w:space="0" w:color="auto"/>
            <w:bottom w:val="none" w:sz="0" w:space="0" w:color="auto"/>
            <w:right w:val="none" w:sz="0" w:space="0" w:color="auto"/>
          </w:divBdr>
        </w:div>
        <w:div w:id="1680087130">
          <w:marLeft w:val="0"/>
          <w:marRight w:val="0"/>
          <w:marTop w:val="0"/>
          <w:marBottom w:val="0"/>
          <w:divBdr>
            <w:top w:val="none" w:sz="0" w:space="0" w:color="auto"/>
            <w:left w:val="none" w:sz="0" w:space="0" w:color="auto"/>
            <w:bottom w:val="none" w:sz="0" w:space="0" w:color="auto"/>
            <w:right w:val="none" w:sz="0" w:space="0" w:color="auto"/>
          </w:divBdr>
        </w:div>
        <w:div w:id="1699625727">
          <w:marLeft w:val="0"/>
          <w:marRight w:val="0"/>
          <w:marTop w:val="0"/>
          <w:marBottom w:val="0"/>
          <w:divBdr>
            <w:top w:val="none" w:sz="0" w:space="0" w:color="auto"/>
            <w:left w:val="none" w:sz="0" w:space="0" w:color="auto"/>
            <w:bottom w:val="none" w:sz="0" w:space="0" w:color="auto"/>
            <w:right w:val="none" w:sz="0" w:space="0" w:color="auto"/>
          </w:divBdr>
        </w:div>
        <w:div w:id="1714428054">
          <w:marLeft w:val="0"/>
          <w:marRight w:val="0"/>
          <w:marTop w:val="0"/>
          <w:marBottom w:val="0"/>
          <w:divBdr>
            <w:top w:val="none" w:sz="0" w:space="0" w:color="auto"/>
            <w:left w:val="none" w:sz="0" w:space="0" w:color="auto"/>
            <w:bottom w:val="none" w:sz="0" w:space="0" w:color="auto"/>
            <w:right w:val="none" w:sz="0" w:space="0" w:color="auto"/>
          </w:divBdr>
        </w:div>
        <w:div w:id="1716586505">
          <w:marLeft w:val="0"/>
          <w:marRight w:val="0"/>
          <w:marTop w:val="0"/>
          <w:marBottom w:val="0"/>
          <w:divBdr>
            <w:top w:val="none" w:sz="0" w:space="0" w:color="auto"/>
            <w:left w:val="none" w:sz="0" w:space="0" w:color="auto"/>
            <w:bottom w:val="none" w:sz="0" w:space="0" w:color="auto"/>
            <w:right w:val="none" w:sz="0" w:space="0" w:color="auto"/>
          </w:divBdr>
        </w:div>
        <w:div w:id="1727870699">
          <w:marLeft w:val="0"/>
          <w:marRight w:val="0"/>
          <w:marTop w:val="0"/>
          <w:marBottom w:val="0"/>
          <w:divBdr>
            <w:top w:val="none" w:sz="0" w:space="0" w:color="auto"/>
            <w:left w:val="none" w:sz="0" w:space="0" w:color="auto"/>
            <w:bottom w:val="none" w:sz="0" w:space="0" w:color="auto"/>
            <w:right w:val="none" w:sz="0" w:space="0" w:color="auto"/>
          </w:divBdr>
        </w:div>
        <w:div w:id="1728723613">
          <w:marLeft w:val="0"/>
          <w:marRight w:val="0"/>
          <w:marTop w:val="0"/>
          <w:marBottom w:val="0"/>
          <w:divBdr>
            <w:top w:val="none" w:sz="0" w:space="0" w:color="auto"/>
            <w:left w:val="none" w:sz="0" w:space="0" w:color="auto"/>
            <w:bottom w:val="none" w:sz="0" w:space="0" w:color="auto"/>
            <w:right w:val="none" w:sz="0" w:space="0" w:color="auto"/>
          </w:divBdr>
        </w:div>
        <w:div w:id="1750031156">
          <w:marLeft w:val="0"/>
          <w:marRight w:val="0"/>
          <w:marTop w:val="0"/>
          <w:marBottom w:val="0"/>
          <w:divBdr>
            <w:top w:val="none" w:sz="0" w:space="0" w:color="auto"/>
            <w:left w:val="none" w:sz="0" w:space="0" w:color="auto"/>
            <w:bottom w:val="none" w:sz="0" w:space="0" w:color="auto"/>
            <w:right w:val="none" w:sz="0" w:space="0" w:color="auto"/>
          </w:divBdr>
        </w:div>
        <w:div w:id="1764062882">
          <w:marLeft w:val="0"/>
          <w:marRight w:val="0"/>
          <w:marTop w:val="0"/>
          <w:marBottom w:val="0"/>
          <w:divBdr>
            <w:top w:val="none" w:sz="0" w:space="0" w:color="auto"/>
            <w:left w:val="none" w:sz="0" w:space="0" w:color="auto"/>
            <w:bottom w:val="none" w:sz="0" w:space="0" w:color="auto"/>
            <w:right w:val="none" w:sz="0" w:space="0" w:color="auto"/>
          </w:divBdr>
        </w:div>
        <w:div w:id="1765413383">
          <w:marLeft w:val="0"/>
          <w:marRight w:val="0"/>
          <w:marTop w:val="0"/>
          <w:marBottom w:val="0"/>
          <w:divBdr>
            <w:top w:val="none" w:sz="0" w:space="0" w:color="auto"/>
            <w:left w:val="none" w:sz="0" w:space="0" w:color="auto"/>
            <w:bottom w:val="none" w:sz="0" w:space="0" w:color="auto"/>
            <w:right w:val="none" w:sz="0" w:space="0" w:color="auto"/>
          </w:divBdr>
        </w:div>
        <w:div w:id="1768577451">
          <w:marLeft w:val="0"/>
          <w:marRight w:val="0"/>
          <w:marTop w:val="0"/>
          <w:marBottom w:val="0"/>
          <w:divBdr>
            <w:top w:val="none" w:sz="0" w:space="0" w:color="auto"/>
            <w:left w:val="none" w:sz="0" w:space="0" w:color="auto"/>
            <w:bottom w:val="none" w:sz="0" w:space="0" w:color="auto"/>
            <w:right w:val="none" w:sz="0" w:space="0" w:color="auto"/>
          </w:divBdr>
        </w:div>
        <w:div w:id="1781335897">
          <w:marLeft w:val="0"/>
          <w:marRight w:val="0"/>
          <w:marTop w:val="0"/>
          <w:marBottom w:val="0"/>
          <w:divBdr>
            <w:top w:val="none" w:sz="0" w:space="0" w:color="auto"/>
            <w:left w:val="none" w:sz="0" w:space="0" w:color="auto"/>
            <w:bottom w:val="none" w:sz="0" w:space="0" w:color="auto"/>
            <w:right w:val="none" w:sz="0" w:space="0" w:color="auto"/>
          </w:divBdr>
        </w:div>
        <w:div w:id="1791509323">
          <w:marLeft w:val="0"/>
          <w:marRight w:val="0"/>
          <w:marTop w:val="0"/>
          <w:marBottom w:val="0"/>
          <w:divBdr>
            <w:top w:val="none" w:sz="0" w:space="0" w:color="auto"/>
            <w:left w:val="none" w:sz="0" w:space="0" w:color="auto"/>
            <w:bottom w:val="none" w:sz="0" w:space="0" w:color="auto"/>
            <w:right w:val="none" w:sz="0" w:space="0" w:color="auto"/>
          </w:divBdr>
        </w:div>
        <w:div w:id="1794210593">
          <w:marLeft w:val="0"/>
          <w:marRight w:val="0"/>
          <w:marTop w:val="0"/>
          <w:marBottom w:val="0"/>
          <w:divBdr>
            <w:top w:val="none" w:sz="0" w:space="0" w:color="auto"/>
            <w:left w:val="none" w:sz="0" w:space="0" w:color="auto"/>
            <w:bottom w:val="none" w:sz="0" w:space="0" w:color="auto"/>
            <w:right w:val="none" w:sz="0" w:space="0" w:color="auto"/>
          </w:divBdr>
        </w:div>
        <w:div w:id="1799453476">
          <w:marLeft w:val="0"/>
          <w:marRight w:val="0"/>
          <w:marTop w:val="0"/>
          <w:marBottom w:val="0"/>
          <w:divBdr>
            <w:top w:val="none" w:sz="0" w:space="0" w:color="auto"/>
            <w:left w:val="none" w:sz="0" w:space="0" w:color="auto"/>
            <w:bottom w:val="none" w:sz="0" w:space="0" w:color="auto"/>
            <w:right w:val="none" w:sz="0" w:space="0" w:color="auto"/>
          </w:divBdr>
        </w:div>
        <w:div w:id="1804348739">
          <w:marLeft w:val="0"/>
          <w:marRight w:val="0"/>
          <w:marTop w:val="0"/>
          <w:marBottom w:val="0"/>
          <w:divBdr>
            <w:top w:val="none" w:sz="0" w:space="0" w:color="auto"/>
            <w:left w:val="none" w:sz="0" w:space="0" w:color="auto"/>
            <w:bottom w:val="none" w:sz="0" w:space="0" w:color="auto"/>
            <w:right w:val="none" w:sz="0" w:space="0" w:color="auto"/>
          </w:divBdr>
        </w:div>
        <w:div w:id="1811090476">
          <w:marLeft w:val="0"/>
          <w:marRight w:val="0"/>
          <w:marTop w:val="0"/>
          <w:marBottom w:val="0"/>
          <w:divBdr>
            <w:top w:val="none" w:sz="0" w:space="0" w:color="auto"/>
            <w:left w:val="none" w:sz="0" w:space="0" w:color="auto"/>
            <w:bottom w:val="none" w:sz="0" w:space="0" w:color="auto"/>
            <w:right w:val="none" w:sz="0" w:space="0" w:color="auto"/>
          </w:divBdr>
        </w:div>
        <w:div w:id="1811709929">
          <w:marLeft w:val="0"/>
          <w:marRight w:val="0"/>
          <w:marTop w:val="0"/>
          <w:marBottom w:val="0"/>
          <w:divBdr>
            <w:top w:val="none" w:sz="0" w:space="0" w:color="auto"/>
            <w:left w:val="none" w:sz="0" w:space="0" w:color="auto"/>
            <w:bottom w:val="none" w:sz="0" w:space="0" w:color="auto"/>
            <w:right w:val="none" w:sz="0" w:space="0" w:color="auto"/>
          </w:divBdr>
        </w:div>
        <w:div w:id="1845777953">
          <w:marLeft w:val="0"/>
          <w:marRight w:val="0"/>
          <w:marTop w:val="0"/>
          <w:marBottom w:val="0"/>
          <w:divBdr>
            <w:top w:val="none" w:sz="0" w:space="0" w:color="auto"/>
            <w:left w:val="none" w:sz="0" w:space="0" w:color="auto"/>
            <w:bottom w:val="none" w:sz="0" w:space="0" w:color="auto"/>
            <w:right w:val="none" w:sz="0" w:space="0" w:color="auto"/>
          </w:divBdr>
        </w:div>
        <w:div w:id="1853258769">
          <w:marLeft w:val="0"/>
          <w:marRight w:val="0"/>
          <w:marTop w:val="0"/>
          <w:marBottom w:val="0"/>
          <w:divBdr>
            <w:top w:val="none" w:sz="0" w:space="0" w:color="auto"/>
            <w:left w:val="none" w:sz="0" w:space="0" w:color="auto"/>
            <w:bottom w:val="none" w:sz="0" w:space="0" w:color="auto"/>
            <w:right w:val="none" w:sz="0" w:space="0" w:color="auto"/>
          </w:divBdr>
        </w:div>
        <w:div w:id="1858621037">
          <w:marLeft w:val="0"/>
          <w:marRight w:val="0"/>
          <w:marTop w:val="0"/>
          <w:marBottom w:val="0"/>
          <w:divBdr>
            <w:top w:val="none" w:sz="0" w:space="0" w:color="auto"/>
            <w:left w:val="none" w:sz="0" w:space="0" w:color="auto"/>
            <w:bottom w:val="none" w:sz="0" w:space="0" w:color="auto"/>
            <w:right w:val="none" w:sz="0" w:space="0" w:color="auto"/>
          </w:divBdr>
        </w:div>
        <w:div w:id="1873348839">
          <w:marLeft w:val="0"/>
          <w:marRight w:val="0"/>
          <w:marTop w:val="0"/>
          <w:marBottom w:val="0"/>
          <w:divBdr>
            <w:top w:val="none" w:sz="0" w:space="0" w:color="auto"/>
            <w:left w:val="none" w:sz="0" w:space="0" w:color="auto"/>
            <w:bottom w:val="none" w:sz="0" w:space="0" w:color="auto"/>
            <w:right w:val="none" w:sz="0" w:space="0" w:color="auto"/>
          </w:divBdr>
        </w:div>
        <w:div w:id="1885092492">
          <w:marLeft w:val="0"/>
          <w:marRight w:val="0"/>
          <w:marTop w:val="0"/>
          <w:marBottom w:val="0"/>
          <w:divBdr>
            <w:top w:val="none" w:sz="0" w:space="0" w:color="auto"/>
            <w:left w:val="none" w:sz="0" w:space="0" w:color="auto"/>
            <w:bottom w:val="none" w:sz="0" w:space="0" w:color="auto"/>
            <w:right w:val="none" w:sz="0" w:space="0" w:color="auto"/>
          </w:divBdr>
        </w:div>
        <w:div w:id="1918663190">
          <w:marLeft w:val="0"/>
          <w:marRight w:val="0"/>
          <w:marTop w:val="0"/>
          <w:marBottom w:val="0"/>
          <w:divBdr>
            <w:top w:val="none" w:sz="0" w:space="0" w:color="auto"/>
            <w:left w:val="none" w:sz="0" w:space="0" w:color="auto"/>
            <w:bottom w:val="none" w:sz="0" w:space="0" w:color="auto"/>
            <w:right w:val="none" w:sz="0" w:space="0" w:color="auto"/>
          </w:divBdr>
        </w:div>
        <w:div w:id="1927573928">
          <w:marLeft w:val="0"/>
          <w:marRight w:val="0"/>
          <w:marTop w:val="0"/>
          <w:marBottom w:val="0"/>
          <w:divBdr>
            <w:top w:val="none" w:sz="0" w:space="0" w:color="auto"/>
            <w:left w:val="none" w:sz="0" w:space="0" w:color="auto"/>
            <w:bottom w:val="none" w:sz="0" w:space="0" w:color="auto"/>
            <w:right w:val="none" w:sz="0" w:space="0" w:color="auto"/>
          </w:divBdr>
        </w:div>
        <w:div w:id="1946185156">
          <w:marLeft w:val="0"/>
          <w:marRight w:val="0"/>
          <w:marTop w:val="0"/>
          <w:marBottom w:val="0"/>
          <w:divBdr>
            <w:top w:val="none" w:sz="0" w:space="0" w:color="auto"/>
            <w:left w:val="none" w:sz="0" w:space="0" w:color="auto"/>
            <w:bottom w:val="none" w:sz="0" w:space="0" w:color="auto"/>
            <w:right w:val="none" w:sz="0" w:space="0" w:color="auto"/>
          </w:divBdr>
        </w:div>
        <w:div w:id="1965577865">
          <w:marLeft w:val="0"/>
          <w:marRight w:val="0"/>
          <w:marTop w:val="0"/>
          <w:marBottom w:val="0"/>
          <w:divBdr>
            <w:top w:val="none" w:sz="0" w:space="0" w:color="auto"/>
            <w:left w:val="none" w:sz="0" w:space="0" w:color="auto"/>
            <w:bottom w:val="none" w:sz="0" w:space="0" w:color="auto"/>
            <w:right w:val="none" w:sz="0" w:space="0" w:color="auto"/>
          </w:divBdr>
        </w:div>
        <w:div w:id="1969895534">
          <w:marLeft w:val="0"/>
          <w:marRight w:val="0"/>
          <w:marTop w:val="0"/>
          <w:marBottom w:val="0"/>
          <w:divBdr>
            <w:top w:val="none" w:sz="0" w:space="0" w:color="auto"/>
            <w:left w:val="none" w:sz="0" w:space="0" w:color="auto"/>
            <w:bottom w:val="none" w:sz="0" w:space="0" w:color="auto"/>
            <w:right w:val="none" w:sz="0" w:space="0" w:color="auto"/>
          </w:divBdr>
        </w:div>
        <w:div w:id="1989355861">
          <w:marLeft w:val="0"/>
          <w:marRight w:val="0"/>
          <w:marTop w:val="0"/>
          <w:marBottom w:val="0"/>
          <w:divBdr>
            <w:top w:val="none" w:sz="0" w:space="0" w:color="auto"/>
            <w:left w:val="none" w:sz="0" w:space="0" w:color="auto"/>
            <w:bottom w:val="none" w:sz="0" w:space="0" w:color="auto"/>
            <w:right w:val="none" w:sz="0" w:space="0" w:color="auto"/>
          </w:divBdr>
        </w:div>
        <w:div w:id="2002268505">
          <w:marLeft w:val="0"/>
          <w:marRight w:val="0"/>
          <w:marTop w:val="0"/>
          <w:marBottom w:val="0"/>
          <w:divBdr>
            <w:top w:val="none" w:sz="0" w:space="0" w:color="auto"/>
            <w:left w:val="none" w:sz="0" w:space="0" w:color="auto"/>
            <w:bottom w:val="none" w:sz="0" w:space="0" w:color="auto"/>
            <w:right w:val="none" w:sz="0" w:space="0" w:color="auto"/>
          </w:divBdr>
        </w:div>
        <w:div w:id="2019115221">
          <w:marLeft w:val="0"/>
          <w:marRight w:val="0"/>
          <w:marTop w:val="0"/>
          <w:marBottom w:val="0"/>
          <w:divBdr>
            <w:top w:val="none" w:sz="0" w:space="0" w:color="auto"/>
            <w:left w:val="none" w:sz="0" w:space="0" w:color="auto"/>
            <w:bottom w:val="none" w:sz="0" w:space="0" w:color="auto"/>
            <w:right w:val="none" w:sz="0" w:space="0" w:color="auto"/>
          </w:divBdr>
        </w:div>
        <w:div w:id="2020420981">
          <w:marLeft w:val="0"/>
          <w:marRight w:val="0"/>
          <w:marTop w:val="0"/>
          <w:marBottom w:val="0"/>
          <w:divBdr>
            <w:top w:val="none" w:sz="0" w:space="0" w:color="auto"/>
            <w:left w:val="none" w:sz="0" w:space="0" w:color="auto"/>
            <w:bottom w:val="none" w:sz="0" w:space="0" w:color="auto"/>
            <w:right w:val="none" w:sz="0" w:space="0" w:color="auto"/>
          </w:divBdr>
        </w:div>
        <w:div w:id="2022200279">
          <w:marLeft w:val="0"/>
          <w:marRight w:val="0"/>
          <w:marTop w:val="0"/>
          <w:marBottom w:val="0"/>
          <w:divBdr>
            <w:top w:val="none" w:sz="0" w:space="0" w:color="auto"/>
            <w:left w:val="none" w:sz="0" w:space="0" w:color="auto"/>
            <w:bottom w:val="none" w:sz="0" w:space="0" w:color="auto"/>
            <w:right w:val="none" w:sz="0" w:space="0" w:color="auto"/>
          </w:divBdr>
        </w:div>
        <w:div w:id="2025089441">
          <w:marLeft w:val="0"/>
          <w:marRight w:val="0"/>
          <w:marTop w:val="0"/>
          <w:marBottom w:val="0"/>
          <w:divBdr>
            <w:top w:val="none" w:sz="0" w:space="0" w:color="auto"/>
            <w:left w:val="none" w:sz="0" w:space="0" w:color="auto"/>
            <w:bottom w:val="none" w:sz="0" w:space="0" w:color="auto"/>
            <w:right w:val="none" w:sz="0" w:space="0" w:color="auto"/>
          </w:divBdr>
        </w:div>
        <w:div w:id="2026665549">
          <w:marLeft w:val="0"/>
          <w:marRight w:val="0"/>
          <w:marTop w:val="0"/>
          <w:marBottom w:val="0"/>
          <w:divBdr>
            <w:top w:val="none" w:sz="0" w:space="0" w:color="auto"/>
            <w:left w:val="none" w:sz="0" w:space="0" w:color="auto"/>
            <w:bottom w:val="none" w:sz="0" w:space="0" w:color="auto"/>
            <w:right w:val="none" w:sz="0" w:space="0" w:color="auto"/>
          </w:divBdr>
        </w:div>
      </w:divsChild>
    </w:div>
    <w:div w:id="1243107444">
      <w:bodyDiv w:val="1"/>
      <w:marLeft w:val="0"/>
      <w:marRight w:val="0"/>
      <w:marTop w:val="0"/>
      <w:marBottom w:val="0"/>
      <w:divBdr>
        <w:top w:val="none" w:sz="0" w:space="0" w:color="auto"/>
        <w:left w:val="none" w:sz="0" w:space="0" w:color="auto"/>
        <w:bottom w:val="none" w:sz="0" w:space="0" w:color="auto"/>
        <w:right w:val="none" w:sz="0" w:space="0" w:color="auto"/>
      </w:divBdr>
    </w:div>
    <w:div w:id="1243174646">
      <w:bodyDiv w:val="1"/>
      <w:marLeft w:val="0"/>
      <w:marRight w:val="0"/>
      <w:marTop w:val="0"/>
      <w:marBottom w:val="0"/>
      <w:divBdr>
        <w:top w:val="none" w:sz="0" w:space="0" w:color="auto"/>
        <w:left w:val="none" w:sz="0" w:space="0" w:color="auto"/>
        <w:bottom w:val="none" w:sz="0" w:space="0" w:color="auto"/>
        <w:right w:val="none" w:sz="0" w:space="0" w:color="auto"/>
      </w:divBdr>
    </w:div>
    <w:div w:id="1243179384">
      <w:bodyDiv w:val="1"/>
      <w:marLeft w:val="0"/>
      <w:marRight w:val="0"/>
      <w:marTop w:val="0"/>
      <w:marBottom w:val="0"/>
      <w:divBdr>
        <w:top w:val="none" w:sz="0" w:space="0" w:color="auto"/>
        <w:left w:val="none" w:sz="0" w:space="0" w:color="auto"/>
        <w:bottom w:val="none" w:sz="0" w:space="0" w:color="auto"/>
        <w:right w:val="none" w:sz="0" w:space="0" w:color="auto"/>
      </w:divBdr>
    </w:div>
    <w:div w:id="1243249971">
      <w:bodyDiv w:val="1"/>
      <w:marLeft w:val="0"/>
      <w:marRight w:val="0"/>
      <w:marTop w:val="0"/>
      <w:marBottom w:val="0"/>
      <w:divBdr>
        <w:top w:val="none" w:sz="0" w:space="0" w:color="auto"/>
        <w:left w:val="none" w:sz="0" w:space="0" w:color="auto"/>
        <w:bottom w:val="none" w:sz="0" w:space="0" w:color="auto"/>
        <w:right w:val="none" w:sz="0" w:space="0" w:color="auto"/>
      </w:divBdr>
    </w:div>
    <w:div w:id="1243371791">
      <w:bodyDiv w:val="1"/>
      <w:marLeft w:val="0"/>
      <w:marRight w:val="0"/>
      <w:marTop w:val="0"/>
      <w:marBottom w:val="0"/>
      <w:divBdr>
        <w:top w:val="none" w:sz="0" w:space="0" w:color="auto"/>
        <w:left w:val="none" w:sz="0" w:space="0" w:color="auto"/>
        <w:bottom w:val="none" w:sz="0" w:space="0" w:color="auto"/>
        <w:right w:val="none" w:sz="0" w:space="0" w:color="auto"/>
      </w:divBdr>
    </w:div>
    <w:div w:id="1243373350">
      <w:bodyDiv w:val="1"/>
      <w:marLeft w:val="0"/>
      <w:marRight w:val="0"/>
      <w:marTop w:val="0"/>
      <w:marBottom w:val="0"/>
      <w:divBdr>
        <w:top w:val="none" w:sz="0" w:space="0" w:color="auto"/>
        <w:left w:val="none" w:sz="0" w:space="0" w:color="auto"/>
        <w:bottom w:val="none" w:sz="0" w:space="0" w:color="auto"/>
        <w:right w:val="none" w:sz="0" w:space="0" w:color="auto"/>
      </w:divBdr>
    </w:div>
    <w:div w:id="1243567400">
      <w:bodyDiv w:val="1"/>
      <w:marLeft w:val="0"/>
      <w:marRight w:val="0"/>
      <w:marTop w:val="0"/>
      <w:marBottom w:val="0"/>
      <w:divBdr>
        <w:top w:val="none" w:sz="0" w:space="0" w:color="auto"/>
        <w:left w:val="none" w:sz="0" w:space="0" w:color="auto"/>
        <w:bottom w:val="none" w:sz="0" w:space="0" w:color="auto"/>
        <w:right w:val="none" w:sz="0" w:space="0" w:color="auto"/>
      </w:divBdr>
    </w:div>
    <w:div w:id="1243641099">
      <w:bodyDiv w:val="1"/>
      <w:marLeft w:val="0"/>
      <w:marRight w:val="0"/>
      <w:marTop w:val="0"/>
      <w:marBottom w:val="0"/>
      <w:divBdr>
        <w:top w:val="none" w:sz="0" w:space="0" w:color="auto"/>
        <w:left w:val="none" w:sz="0" w:space="0" w:color="auto"/>
        <w:bottom w:val="none" w:sz="0" w:space="0" w:color="auto"/>
        <w:right w:val="none" w:sz="0" w:space="0" w:color="auto"/>
      </w:divBdr>
    </w:div>
    <w:div w:id="1243643582">
      <w:bodyDiv w:val="1"/>
      <w:marLeft w:val="0"/>
      <w:marRight w:val="0"/>
      <w:marTop w:val="0"/>
      <w:marBottom w:val="0"/>
      <w:divBdr>
        <w:top w:val="none" w:sz="0" w:space="0" w:color="auto"/>
        <w:left w:val="none" w:sz="0" w:space="0" w:color="auto"/>
        <w:bottom w:val="none" w:sz="0" w:space="0" w:color="auto"/>
        <w:right w:val="none" w:sz="0" w:space="0" w:color="auto"/>
      </w:divBdr>
    </w:div>
    <w:div w:id="1243758120">
      <w:bodyDiv w:val="1"/>
      <w:marLeft w:val="0"/>
      <w:marRight w:val="0"/>
      <w:marTop w:val="0"/>
      <w:marBottom w:val="0"/>
      <w:divBdr>
        <w:top w:val="none" w:sz="0" w:space="0" w:color="auto"/>
        <w:left w:val="none" w:sz="0" w:space="0" w:color="auto"/>
        <w:bottom w:val="none" w:sz="0" w:space="0" w:color="auto"/>
        <w:right w:val="none" w:sz="0" w:space="0" w:color="auto"/>
      </w:divBdr>
    </w:div>
    <w:div w:id="1243762938">
      <w:bodyDiv w:val="1"/>
      <w:marLeft w:val="0"/>
      <w:marRight w:val="0"/>
      <w:marTop w:val="0"/>
      <w:marBottom w:val="0"/>
      <w:divBdr>
        <w:top w:val="none" w:sz="0" w:space="0" w:color="auto"/>
        <w:left w:val="none" w:sz="0" w:space="0" w:color="auto"/>
        <w:bottom w:val="none" w:sz="0" w:space="0" w:color="auto"/>
        <w:right w:val="none" w:sz="0" w:space="0" w:color="auto"/>
      </w:divBdr>
    </w:div>
    <w:div w:id="1243830381">
      <w:bodyDiv w:val="1"/>
      <w:marLeft w:val="0"/>
      <w:marRight w:val="0"/>
      <w:marTop w:val="0"/>
      <w:marBottom w:val="0"/>
      <w:divBdr>
        <w:top w:val="none" w:sz="0" w:space="0" w:color="auto"/>
        <w:left w:val="none" w:sz="0" w:space="0" w:color="auto"/>
        <w:bottom w:val="none" w:sz="0" w:space="0" w:color="auto"/>
        <w:right w:val="none" w:sz="0" w:space="0" w:color="auto"/>
      </w:divBdr>
    </w:div>
    <w:div w:id="1243833410">
      <w:bodyDiv w:val="1"/>
      <w:marLeft w:val="0"/>
      <w:marRight w:val="0"/>
      <w:marTop w:val="0"/>
      <w:marBottom w:val="0"/>
      <w:divBdr>
        <w:top w:val="none" w:sz="0" w:space="0" w:color="auto"/>
        <w:left w:val="none" w:sz="0" w:space="0" w:color="auto"/>
        <w:bottom w:val="none" w:sz="0" w:space="0" w:color="auto"/>
        <w:right w:val="none" w:sz="0" w:space="0" w:color="auto"/>
      </w:divBdr>
    </w:div>
    <w:div w:id="1243836170">
      <w:bodyDiv w:val="1"/>
      <w:marLeft w:val="0"/>
      <w:marRight w:val="0"/>
      <w:marTop w:val="0"/>
      <w:marBottom w:val="0"/>
      <w:divBdr>
        <w:top w:val="none" w:sz="0" w:space="0" w:color="auto"/>
        <w:left w:val="none" w:sz="0" w:space="0" w:color="auto"/>
        <w:bottom w:val="none" w:sz="0" w:space="0" w:color="auto"/>
        <w:right w:val="none" w:sz="0" w:space="0" w:color="auto"/>
      </w:divBdr>
    </w:div>
    <w:div w:id="1243876448">
      <w:bodyDiv w:val="1"/>
      <w:marLeft w:val="0"/>
      <w:marRight w:val="0"/>
      <w:marTop w:val="0"/>
      <w:marBottom w:val="0"/>
      <w:divBdr>
        <w:top w:val="none" w:sz="0" w:space="0" w:color="auto"/>
        <w:left w:val="none" w:sz="0" w:space="0" w:color="auto"/>
        <w:bottom w:val="none" w:sz="0" w:space="0" w:color="auto"/>
        <w:right w:val="none" w:sz="0" w:space="0" w:color="auto"/>
      </w:divBdr>
    </w:div>
    <w:div w:id="1243953312">
      <w:bodyDiv w:val="1"/>
      <w:marLeft w:val="0"/>
      <w:marRight w:val="0"/>
      <w:marTop w:val="0"/>
      <w:marBottom w:val="0"/>
      <w:divBdr>
        <w:top w:val="none" w:sz="0" w:space="0" w:color="auto"/>
        <w:left w:val="none" w:sz="0" w:space="0" w:color="auto"/>
        <w:bottom w:val="none" w:sz="0" w:space="0" w:color="auto"/>
        <w:right w:val="none" w:sz="0" w:space="0" w:color="auto"/>
      </w:divBdr>
    </w:div>
    <w:div w:id="1244022346">
      <w:bodyDiv w:val="1"/>
      <w:marLeft w:val="0"/>
      <w:marRight w:val="0"/>
      <w:marTop w:val="0"/>
      <w:marBottom w:val="0"/>
      <w:divBdr>
        <w:top w:val="none" w:sz="0" w:space="0" w:color="auto"/>
        <w:left w:val="none" w:sz="0" w:space="0" w:color="auto"/>
        <w:bottom w:val="none" w:sz="0" w:space="0" w:color="auto"/>
        <w:right w:val="none" w:sz="0" w:space="0" w:color="auto"/>
      </w:divBdr>
    </w:div>
    <w:div w:id="1244071878">
      <w:bodyDiv w:val="1"/>
      <w:marLeft w:val="0"/>
      <w:marRight w:val="0"/>
      <w:marTop w:val="0"/>
      <w:marBottom w:val="0"/>
      <w:divBdr>
        <w:top w:val="none" w:sz="0" w:space="0" w:color="auto"/>
        <w:left w:val="none" w:sz="0" w:space="0" w:color="auto"/>
        <w:bottom w:val="none" w:sz="0" w:space="0" w:color="auto"/>
        <w:right w:val="none" w:sz="0" w:space="0" w:color="auto"/>
      </w:divBdr>
    </w:div>
    <w:div w:id="1244074146">
      <w:bodyDiv w:val="1"/>
      <w:marLeft w:val="0"/>
      <w:marRight w:val="0"/>
      <w:marTop w:val="0"/>
      <w:marBottom w:val="0"/>
      <w:divBdr>
        <w:top w:val="none" w:sz="0" w:space="0" w:color="auto"/>
        <w:left w:val="none" w:sz="0" w:space="0" w:color="auto"/>
        <w:bottom w:val="none" w:sz="0" w:space="0" w:color="auto"/>
        <w:right w:val="none" w:sz="0" w:space="0" w:color="auto"/>
      </w:divBdr>
    </w:div>
    <w:div w:id="1244100130">
      <w:bodyDiv w:val="1"/>
      <w:marLeft w:val="0"/>
      <w:marRight w:val="0"/>
      <w:marTop w:val="0"/>
      <w:marBottom w:val="0"/>
      <w:divBdr>
        <w:top w:val="none" w:sz="0" w:space="0" w:color="auto"/>
        <w:left w:val="none" w:sz="0" w:space="0" w:color="auto"/>
        <w:bottom w:val="none" w:sz="0" w:space="0" w:color="auto"/>
        <w:right w:val="none" w:sz="0" w:space="0" w:color="auto"/>
      </w:divBdr>
    </w:div>
    <w:div w:id="1244335119">
      <w:bodyDiv w:val="1"/>
      <w:marLeft w:val="0"/>
      <w:marRight w:val="0"/>
      <w:marTop w:val="0"/>
      <w:marBottom w:val="0"/>
      <w:divBdr>
        <w:top w:val="none" w:sz="0" w:space="0" w:color="auto"/>
        <w:left w:val="none" w:sz="0" w:space="0" w:color="auto"/>
        <w:bottom w:val="none" w:sz="0" w:space="0" w:color="auto"/>
        <w:right w:val="none" w:sz="0" w:space="0" w:color="auto"/>
      </w:divBdr>
    </w:div>
    <w:div w:id="1244416630">
      <w:bodyDiv w:val="1"/>
      <w:marLeft w:val="0"/>
      <w:marRight w:val="0"/>
      <w:marTop w:val="0"/>
      <w:marBottom w:val="0"/>
      <w:divBdr>
        <w:top w:val="none" w:sz="0" w:space="0" w:color="auto"/>
        <w:left w:val="none" w:sz="0" w:space="0" w:color="auto"/>
        <w:bottom w:val="none" w:sz="0" w:space="0" w:color="auto"/>
        <w:right w:val="none" w:sz="0" w:space="0" w:color="auto"/>
      </w:divBdr>
    </w:div>
    <w:div w:id="1244534869">
      <w:bodyDiv w:val="1"/>
      <w:marLeft w:val="0"/>
      <w:marRight w:val="0"/>
      <w:marTop w:val="0"/>
      <w:marBottom w:val="0"/>
      <w:divBdr>
        <w:top w:val="none" w:sz="0" w:space="0" w:color="auto"/>
        <w:left w:val="none" w:sz="0" w:space="0" w:color="auto"/>
        <w:bottom w:val="none" w:sz="0" w:space="0" w:color="auto"/>
        <w:right w:val="none" w:sz="0" w:space="0" w:color="auto"/>
      </w:divBdr>
    </w:div>
    <w:div w:id="1244754718">
      <w:bodyDiv w:val="1"/>
      <w:marLeft w:val="0"/>
      <w:marRight w:val="0"/>
      <w:marTop w:val="0"/>
      <w:marBottom w:val="0"/>
      <w:divBdr>
        <w:top w:val="none" w:sz="0" w:space="0" w:color="auto"/>
        <w:left w:val="none" w:sz="0" w:space="0" w:color="auto"/>
        <w:bottom w:val="none" w:sz="0" w:space="0" w:color="auto"/>
        <w:right w:val="none" w:sz="0" w:space="0" w:color="auto"/>
      </w:divBdr>
    </w:div>
    <w:div w:id="1244797205">
      <w:bodyDiv w:val="1"/>
      <w:marLeft w:val="0"/>
      <w:marRight w:val="0"/>
      <w:marTop w:val="0"/>
      <w:marBottom w:val="0"/>
      <w:divBdr>
        <w:top w:val="none" w:sz="0" w:space="0" w:color="auto"/>
        <w:left w:val="none" w:sz="0" w:space="0" w:color="auto"/>
        <w:bottom w:val="none" w:sz="0" w:space="0" w:color="auto"/>
        <w:right w:val="none" w:sz="0" w:space="0" w:color="auto"/>
      </w:divBdr>
    </w:div>
    <w:div w:id="1244800124">
      <w:bodyDiv w:val="1"/>
      <w:marLeft w:val="0"/>
      <w:marRight w:val="0"/>
      <w:marTop w:val="0"/>
      <w:marBottom w:val="0"/>
      <w:divBdr>
        <w:top w:val="none" w:sz="0" w:space="0" w:color="auto"/>
        <w:left w:val="none" w:sz="0" w:space="0" w:color="auto"/>
        <w:bottom w:val="none" w:sz="0" w:space="0" w:color="auto"/>
        <w:right w:val="none" w:sz="0" w:space="0" w:color="auto"/>
      </w:divBdr>
    </w:div>
    <w:div w:id="1244872776">
      <w:bodyDiv w:val="1"/>
      <w:marLeft w:val="0"/>
      <w:marRight w:val="0"/>
      <w:marTop w:val="0"/>
      <w:marBottom w:val="0"/>
      <w:divBdr>
        <w:top w:val="none" w:sz="0" w:space="0" w:color="auto"/>
        <w:left w:val="none" w:sz="0" w:space="0" w:color="auto"/>
        <w:bottom w:val="none" w:sz="0" w:space="0" w:color="auto"/>
        <w:right w:val="none" w:sz="0" w:space="0" w:color="auto"/>
      </w:divBdr>
    </w:div>
    <w:div w:id="1244947131">
      <w:bodyDiv w:val="1"/>
      <w:marLeft w:val="0"/>
      <w:marRight w:val="0"/>
      <w:marTop w:val="0"/>
      <w:marBottom w:val="0"/>
      <w:divBdr>
        <w:top w:val="none" w:sz="0" w:space="0" w:color="auto"/>
        <w:left w:val="none" w:sz="0" w:space="0" w:color="auto"/>
        <w:bottom w:val="none" w:sz="0" w:space="0" w:color="auto"/>
        <w:right w:val="none" w:sz="0" w:space="0" w:color="auto"/>
      </w:divBdr>
    </w:div>
    <w:div w:id="1244948223">
      <w:bodyDiv w:val="1"/>
      <w:marLeft w:val="0"/>
      <w:marRight w:val="0"/>
      <w:marTop w:val="0"/>
      <w:marBottom w:val="0"/>
      <w:divBdr>
        <w:top w:val="none" w:sz="0" w:space="0" w:color="auto"/>
        <w:left w:val="none" w:sz="0" w:space="0" w:color="auto"/>
        <w:bottom w:val="none" w:sz="0" w:space="0" w:color="auto"/>
        <w:right w:val="none" w:sz="0" w:space="0" w:color="auto"/>
      </w:divBdr>
    </w:div>
    <w:div w:id="1244990128">
      <w:bodyDiv w:val="1"/>
      <w:marLeft w:val="0"/>
      <w:marRight w:val="0"/>
      <w:marTop w:val="0"/>
      <w:marBottom w:val="0"/>
      <w:divBdr>
        <w:top w:val="none" w:sz="0" w:space="0" w:color="auto"/>
        <w:left w:val="none" w:sz="0" w:space="0" w:color="auto"/>
        <w:bottom w:val="none" w:sz="0" w:space="0" w:color="auto"/>
        <w:right w:val="none" w:sz="0" w:space="0" w:color="auto"/>
      </w:divBdr>
    </w:div>
    <w:div w:id="1245065480">
      <w:bodyDiv w:val="1"/>
      <w:marLeft w:val="0"/>
      <w:marRight w:val="0"/>
      <w:marTop w:val="0"/>
      <w:marBottom w:val="0"/>
      <w:divBdr>
        <w:top w:val="none" w:sz="0" w:space="0" w:color="auto"/>
        <w:left w:val="none" w:sz="0" w:space="0" w:color="auto"/>
        <w:bottom w:val="none" w:sz="0" w:space="0" w:color="auto"/>
        <w:right w:val="none" w:sz="0" w:space="0" w:color="auto"/>
      </w:divBdr>
    </w:div>
    <w:div w:id="1245257997">
      <w:bodyDiv w:val="1"/>
      <w:marLeft w:val="0"/>
      <w:marRight w:val="0"/>
      <w:marTop w:val="0"/>
      <w:marBottom w:val="0"/>
      <w:divBdr>
        <w:top w:val="none" w:sz="0" w:space="0" w:color="auto"/>
        <w:left w:val="none" w:sz="0" w:space="0" w:color="auto"/>
        <w:bottom w:val="none" w:sz="0" w:space="0" w:color="auto"/>
        <w:right w:val="none" w:sz="0" w:space="0" w:color="auto"/>
      </w:divBdr>
    </w:div>
    <w:div w:id="1245409805">
      <w:bodyDiv w:val="1"/>
      <w:marLeft w:val="0"/>
      <w:marRight w:val="0"/>
      <w:marTop w:val="0"/>
      <w:marBottom w:val="0"/>
      <w:divBdr>
        <w:top w:val="none" w:sz="0" w:space="0" w:color="auto"/>
        <w:left w:val="none" w:sz="0" w:space="0" w:color="auto"/>
        <w:bottom w:val="none" w:sz="0" w:space="0" w:color="auto"/>
        <w:right w:val="none" w:sz="0" w:space="0" w:color="auto"/>
      </w:divBdr>
    </w:div>
    <w:div w:id="1245527657">
      <w:bodyDiv w:val="1"/>
      <w:marLeft w:val="0"/>
      <w:marRight w:val="0"/>
      <w:marTop w:val="0"/>
      <w:marBottom w:val="0"/>
      <w:divBdr>
        <w:top w:val="none" w:sz="0" w:space="0" w:color="auto"/>
        <w:left w:val="none" w:sz="0" w:space="0" w:color="auto"/>
        <w:bottom w:val="none" w:sz="0" w:space="0" w:color="auto"/>
        <w:right w:val="none" w:sz="0" w:space="0" w:color="auto"/>
      </w:divBdr>
    </w:div>
    <w:div w:id="1245530978">
      <w:bodyDiv w:val="1"/>
      <w:marLeft w:val="0"/>
      <w:marRight w:val="0"/>
      <w:marTop w:val="0"/>
      <w:marBottom w:val="0"/>
      <w:divBdr>
        <w:top w:val="none" w:sz="0" w:space="0" w:color="auto"/>
        <w:left w:val="none" w:sz="0" w:space="0" w:color="auto"/>
        <w:bottom w:val="none" w:sz="0" w:space="0" w:color="auto"/>
        <w:right w:val="none" w:sz="0" w:space="0" w:color="auto"/>
      </w:divBdr>
    </w:div>
    <w:div w:id="1245531184">
      <w:bodyDiv w:val="1"/>
      <w:marLeft w:val="0"/>
      <w:marRight w:val="0"/>
      <w:marTop w:val="0"/>
      <w:marBottom w:val="0"/>
      <w:divBdr>
        <w:top w:val="none" w:sz="0" w:space="0" w:color="auto"/>
        <w:left w:val="none" w:sz="0" w:space="0" w:color="auto"/>
        <w:bottom w:val="none" w:sz="0" w:space="0" w:color="auto"/>
        <w:right w:val="none" w:sz="0" w:space="0" w:color="auto"/>
      </w:divBdr>
    </w:div>
    <w:div w:id="1245653532">
      <w:bodyDiv w:val="1"/>
      <w:marLeft w:val="0"/>
      <w:marRight w:val="0"/>
      <w:marTop w:val="0"/>
      <w:marBottom w:val="0"/>
      <w:divBdr>
        <w:top w:val="none" w:sz="0" w:space="0" w:color="auto"/>
        <w:left w:val="none" w:sz="0" w:space="0" w:color="auto"/>
        <w:bottom w:val="none" w:sz="0" w:space="0" w:color="auto"/>
        <w:right w:val="none" w:sz="0" w:space="0" w:color="auto"/>
      </w:divBdr>
    </w:div>
    <w:div w:id="1245721002">
      <w:bodyDiv w:val="1"/>
      <w:marLeft w:val="0"/>
      <w:marRight w:val="0"/>
      <w:marTop w:val="0"/>
      <w:marBottom w:val="0"/>
      <w:divBdr>
        <w:top w:val="none" w:sz="0" w:space="0" w:color="auto"/>
        <w:left w:val="none" w:sz="0" w:space="0" w:color="auto"/>
        <w:bottom w:val="none" w:sz="0" w:space="0" w:color="auto"/>
        <w:right w:val="none" w:sz="0" w:space="0" w:color="auto"/>
      </w:divBdr>
    </w:div>
    <w:div w:id="1245799941">
      <w:bodyDiv w:val="1"/>
      <w:marLeft w:val="0"/>
      <w:marRight w:val="0"/>
      <w:marTop w:val="0"/>
      <w:marBottom w:val="0"/>
      <w:divBdr>
        <w:top w:val="none" w:sz="0" w:space="0" w:color="auto"/>
        <w:left w:val="none" w:sz="0" w:space="0" w:color="auto"/>
        <w:bottom w:val="none" w:sz="0" w:space="0" w:color="auto"/>
        <w:right w:val="none" w:sz="0" w:space="0" w:color="auto"/>
      </w:divBdr>
    </w:div>
    <w:div w:id="1245842839">
      <w:bodyDiv w:val="1"/>
      <w:marLeft w:val="0"/>
      <w:marRight w:val="0"/>
      <w:marTop w:val="0"/>
      <w:marBottom w:val="0"/>
      <w:divBdr>
        <w:top w:val="none" w:sz="0" w:space="0" w:color="auto"/>
        <w:left w:val="none" w:sz="0" w:space="0" w:color="auto"/>
        <w:bottom w:val="none" w:sz="0" w:space="0" w:color="auto"/>
        <w:right w:val="none" w:sz="0" w:space="0" w:color="auto"/>
      </w:divBdr>
    </w:div>
    <w:div w:id="1245843114">
      <w:bodyDiv w:val="1"/>
      <w:marLeft w:val="0"/>
      <w:marRight w:val="0"/>
      <w:marTop w:val="0"/>
      <w:marBottom w:val="0"/>
      <w:divBdr>
        <w:top w:val="none" w:sz="0" w:space="0" w:color="auto"/>
        <w:left w:val="none" w:sz="0" w:space="0" w:color="auto"/>
        <w:bottom w:val="none" w:sz="0" w:space="0" w:color="auto"/>
        <w:right w:val="none" w:sz="0" w:space="0" w:color="auto"/>
      </w:divBdr>
    </w:div>
    <w:div w:id="1246109111">
      <w:bodyDiv w:val="1"/>
      <w:marLeft w:val="0"/>
      <w:marRight w:val="0"/>
      <w:marTop w:val="0"/>
      <w:marBottom w:val="0"/>
      <w:divBdr>
        <w:top w:val="none" w:sz="0" w:space="0" w:color="auto"/>
        <w:left w:val="none" w:sz="0" w:space="0" w:color="auto"/>
        <w:bottom w:val="none" w:sz="0" w:space="0" w:color="auto"/>
        <w:right w:val="none" w:sz="0" w:space="0" w:color="auto"/>
      </w:divBdr>
    </w:div>
    <w:div w:id="1246111068">
      <w:bodyDiv w:val="1"/>
      <w:marLeft w:val="0"/>
      <w:marRight w:val="0"/>
      <w:marTop w:val="0"/>
      <w:marBottom w:val="0"/>
      <w:divBdr>
        <w:top w:val="none" w:sz="0" w:space="0" w:color="auto"/>
        <w:left w:val="none" w:sz="0" w:space="0" w:color="auto"/>
        <w:bottom w:val="none" w:sz="0" w:space="0" w:color="auto"/>
        <w:right w:val="none" w:sz="0" w:space="0" w:color="auto"/>
      </w:divBdr>
    </w:div>
    <w:div w:id="1246375260">
      <w:bodyDiv w:val="1"/>
      <w:marLeft w:val="0"/>
      <w:marRight w:val="0"/>
      <w:marTop w:val="0"/>
      <w:marBottom w:val="0"/>
      <w:divBdr>
        <w:top w:val="none" w:sz="0" w:space="0" w:color="auto"/>
        <w:left w:val="none" w:sz="0" w:space="0" w:color="auto"/>
        <w:bottom w:val="none" w:sz="0" w:space="0" w:color="auto"/>
        <w:right w:val="none" w:sz="0" w:space="0" w:color="auto"/>
      </w:divBdr>
    </w:div>
    <w:div w:id="1246377598">
      <w:bodyDiv w:val="1"/>
      <w:marLeft w:val="0"/>
      <w:marRight w:val="0"/>
      <w:marTop w:val="0"/>
      <w:marBottom w:val="0"/>
      <w:divBdr>
        <w:top w:val="none" w:sz="0" w:space="0" w:color="auto"/>
        <w:left w:val="none" w:sz="0" w:space="0" w:color="auto"/>
        <w:bottom w:val="none" w:sz="0" w:space="0" w:color="auto"/>
        <w:right w:val="none" w:sz="0" w:space="0" w:color="auto"/>
      </w:divBdr>
    </w:div>
    <w:div w:id="1246451990">
      <w:bodyDiv w:val="1"/>
      <w:marLeft w:val="0"/>
      <w:marRight w:val="0"/>
      <w:marTop w:val="0"/>
      <w:marBottom w:val="0"/>
      <w:divBdr>
        <w:top w:val="none" w:sz="0" w:space="0" w:color="auto"/>
        <w:left w:val="none" w:sz="0" w:space="0" w:color="auto"/>
        <w:bottom w:val="none" w:sz="0" w:space="0" w:color="auto"/>
        <w:right w:val="none" w:sz="0" w:space="0" w:color="auto"/>
      </w:divBdr>
    </w:div>
    <w:div w:id="1246455838">
      <w:bodyDiv w:val="1"/>
      <w:marLeft w:val="0"/>
      <w:marRight w:val="0"/>
      <w:marTop w:val="0"/>
      <w:marBottom w:val="0"/>
      <w:divBdr>
        <w:top w:val="none" w:sz="0" w:space="0" w:color="auto"/>
        <w:left w:val="none" w:sz="0" w:space="0" w:color="auto"/>
        <w:bottom w:val="none" w:sz="0" w:space="0" w:color="auto"/>
        <w:right w:val="none" w:sz="0" w:space="0" w:color="auto"/>
      </w:divBdr>
    </w:div>
    <w:div w:id="1246498415">
      <w:bodyDiv w:val="1"/>
      <w:marLeft w:val="0"/>
      <w:marRight w:val="0"/>
      <w:marTop w:val="0"/>
      <w:marBottom w:val="0"/>
      <w:divBdr>
        <w:top w:val="none" w:sz="0" w:space="0" w:color="auto"/>
        <w:left w:val="none" w:sz="0" w:space="0" w:color="auto"/>
        <w:bottom w:val="none" w:sz="0" w:space="0" w:color="auto"/>
        <w:right w:val="none" w:sz="0" w:space="0" w:color="auto"/>
      </w:divBdr>
    </w:div>
    <w:div w:id="1246526960">
      <w:bodyDiv w:val="1"/>
      <w:marLeft w:val="0"/>
      <w:marRight w:val="0"/>
      <w:marTop w:val="0"/>
      <w:marBottom w:val="0"/>
      <w:divBdr>
        <w:top w:val="none" w:sz="0" w:space="0" w:color="auto"/>
        <w:left w:val="none" w:sz="0" w:space="0" w:color="auto"/>
        <w:bottom w:val="none" w:sz="0" w:space="0" w:color="auto"/>
        <w:right w:val="none" w:sz="0" w:space="0" w:color="auto"/>
      </w:divBdr>
    </w:div>
    <w:div w:id="1246718789">
      <w:bodyDiv w:val="1"/>
      <w:marLeft w:val="0"/>
      <w:marRight w:val="0"/>
      <w:marTop w:val="0"/>
      <w:marBottom w:val="0"/>
      <w:divBdr>
        <w:top w:val="none" w:sz="0" w:space="0" w:color="auto"/>
        <w:left w:val="none" w:sz="0" w:space="0" w:color="auto"/>
        <w:bottom w:val="none" w:sz="0" w:space="0" w:color="auto"/>
        <w:right w:val="none" w:sz="0" w:space="0" w:color="auto"/>
      </w:divBdr>
    </w:div>
    <w:div w:id="1246761943">
      <w:bodyDiv w:val="1"/>
      <w:marLeft w:val="0"/>
      <w:marRight w:val="0"/>
      <w:marTop w:val="0"/>
      <w:marBottom w:val="0"/>
      <w:divBdr>
        <w:top w:val="none" w:sz="0" w:space="0" w:color="auto"/>
        <w:left w:val="none" w:sz="0" w:space="0" w:color="auto"/>
        <w:bottom w:val="none" w:sz="0" w:space="0" w:color="auto"/>
        <w:right w:val="none" w:sz="0" w:space="0" w:color="auto"/>
      </w:divBdr>
    </w:div>
    <w:div w:id="1246766474">
      <w:bodyDiv w:val="1"/>
      <w:marLeft w:val="0"/>
      <w:marRight w:val="0"/>
      <w:marTop w:val="0"/>
      <w:marBottom w:val="0"/>
      <w:divBdr>
        <w:top w:val="none" w:sz="0" w:space="0" w:color="auto"/>
        <w:left w:val="none" w:sz="0" w:space="0" w:color="auto"/>
        <w:bottom w:val="none" w:sz="0" w:space="0" w:color="auto"/>
        <w:right w:val="none" w:sz="0" w:space="0" w:color="auto"/>
      </w:divBdr>
    </w:div>
    <w:div w:id="1246766714">
      <w:bodyDiv w:val="1"/>
      <w:marLeft w:val="0"/>
      <w:marRight w:val="0"/>
      <w:marTop w:val="0"/>
      <w:marBottom w:val="0"/>
      <w:divBdr>
        <w:top w:val="none" w:sz="0" w:space="0" w:color="auto"/>
        <w:left w:val="none" w:sz="0" w:space="0" w:color="auto"/>
        <w:bottom w:val="none" w:sz="0" w:space="0" w:color="auto"/>
        <w:right w:val="none" w:sz="0" w:space="0" w:color="auto"/>
      </w:divBdr>
    </w:div>
    <w:div w:id="1246914327">
      <w:bodyDiv w:val="1"/>
      <w:marLeft w:val="0"/>
      <w:marRight w:val="0"/>
      <w:marTop w:val="0"/>
      <w:marBottom w:val="0"/>
      <w:divBdr>
        <w:top w:val="none" w:sz="0" w:space="0" w:color="auto"/>
        <w:left w:val="none" w:sz="0" w:space="0" w:color="auto"/>
        <w:bottom w:val="none" w:sz="0" w:space="0" w:color="auto"/>
        <w:right w:val="none" w:sz="0" w:space="0" w:color="auto"/>
      </w:divBdr>
    </w:div>
    <w:div w:id="1246959871">
      <w:bodyDiv w:val="1"/>
      <w:marLeft w:val="0"/>
      <w:marRight w:val="0"/>
      <w:marTop w:val="0"/>
      <w:marBottom w:val="0"/>
      <w:divBdr>
        <w:top w:val="none" w:sz="0" w:space="0" w:color="auto"/>
        <w:left w:val="none" w:sz="0" w:space="0" w:color="auto"/>
        <w:bottom w:val="none" w:sz="0" w:space="0" w:color="auto"/>
        <w:right w:val="none" w:sz="0" w:space="0" w:color="auto"/>
      </w:divBdr>
    </w:div>
    <w:div w:id="1246960344">
      <w:bodyDiv w:val="1"/>
      <w:marLeft w:val="0"/>
      <w:marRight w:val="0"/>
      <w:marTop w:val="0"/>
      <w:marBottom w:val="0"/>
      <w:divBdr>
        <w:top w:val="none" w:sz="0" w:space="0" w:color="auto"/>
        <w:left w:val="none" w:sz="0" w:space="0" w:color="auto"/>
        <w:bottom w:val="none" w:sz="0" w:space="0" w:color="auto"/>
        <w:right w:val="none" w:sz="0" w:space="0" w:color="auto"/>
      </w:divBdr>
    </w:div>
    <w:div w:id="1247107736">
      <w:bodyDiv w:val="1"/>
      <w:marLeft w:val="0"/>
      <w:marRight w:val="0"/>
      <w:marTop w:val="0"/>
      <w:marBottom w:val="0"/>
      <w:divBdr>
        <w:top w:val="none" w:sz="0" w:space="0" w:color="auto"/>
        <w:left w:val="none" w:sz="0" w:space="0" w:color="auto"/>
        <w:bottom w:val="none" w:sz="0" w:space="0" w:color="auto"/>
        <w:right w:val="none" w:sz="0" w:space="0" w:color="auto"/>
      </w:divBdr>
    </w:div>
    <w:div w:id="1247230307">
      <w:bodyDiv w:val="1"/>
      <w:marLeft w:val="0"/>
      <w:marRight w:val="0"/>
      <w:marTop w:val="0"/>
      <w:marBottom w:val="0"/>
      <w:divBdr>
        <w:top w:val="none" w:sz="0" w:space="0" w:color="auto"/>
        <w:left w:val="none" w:sz="0" w:space="0" w:color="auto"/>
        <w:bottom w:val="none" w:sz="0" w:space="0" w:color="auto"/>
        <w:right w:val="none" w:sz="0" w:space="0" w:color="auto"/>
      </w:divBdr>
    </w:div>
    <w:div w:id="1247302391">
      <w:bodyDiv w:val="1"/>
      <w:marLeft w:val="0"/>
      <w:marRight w:val="0"/>
      <w:marTop w:val="0"/>
      <w:marBottom w:val="0"/>
      <w:divBdr>
        <w:top w:val="none" w:sz="0" w:space="0" w:color="auto"/>
        <w:left w:val="none" w:sz="0" w:space="0" w:color="auto"/>
        <w:bottom w:val="none" w:sz="0" w:space="0" w:color="auto"/>
        <w:right w:val="none" w:sz="0" w:space="0" w:color="auto"/>
      </w:divBdr>
    </w:div>
    <w:div w:id="1247374906">
      <w:bodyDiv w:val="1"/>
      <w:marLeft w:val="0"/>
      <w:marRight w:val="0"/>
      <w:marTop w:val="0"/>
      <w:marBottom w:val="0"/>
      <w:divBdr>
        <w:top w:val="none" w:sz="0" w:space="0" w:color="auto"/>
        <w:left w:val="none" w:sz="0" w:space="0" w:color="auto"/>
        <w:bottom w:val="none" w:sz="0" w:space="0" w:color="auto"/>
        <w:right w:val="none" w:sz="0" w:space="0" w:color="auto"/>
      </w:divBdr>
    </w:div>
    <w:div w:id="1247378409">
      <w:bodyDiv w:val="1"/>
      <w:marLeft w:val="0"/>
      <w:marRight w:val="0"/>
      <w:marTop w:val="0"/>
      <w:marBottom w:val="0"/>
      <w:divBdr>
        <w:top w:val="none" w:sz="0" w:space="0" w:color="auto"/>
        <w:left w:val="none" w:sz="0" w:space="0" w:color="auto"/>
        <w:bottom w:val="none" w:sz="0" w:space="0" w:color="auto"/>
        <w:right w:val="none" w:sz="0" w:space="0" w:color="auto"/>
      </w:divBdr>
    </w:div>
    <w:div w:id="1247378804">
      <w:bodyDiv w:val="1"/>
      <w:marLeft w:val="0"/>
      <w:marRight w:val="0"/>
      <w:marTop w:val="0"/>
      <w:marBottom w:val="0"/>
      <w:divBdr>
        <w:top w:val="none" w:sz="0" w:space="0" w:color="auto"/>
        <w:left w:val="none" w:sz="0" w:space="0" w:color="auto"/>
        <w:bottom w:val="none" w:sz="0" w:space="0" w:color="auto"/>
        <w:right w:val="none" w:sz="0" w:space="0" w:color="auto"/>
      </w:divBdr>
    </w:div>
    <w:div w:id="1247493320">
      <w:bodyDiv w:val="1"/>
      <w:marLeft w:val="0"/>
      <w:marRight w:val="0"/>
      <w:marTop w:val="0"/>
      <w:marBottom w:val="0"/>
      <w:divBdr>
        <w:top w:val="none" w:sz="0" w:space="0" w:color="auto"/>
        <w:left w:val="none" w:sz="0" w:space="0" w:color="auto"/>
        <w:bottom w:val="none" w:sz="0" w:space="0" w:color="auto"/>
        <w:right w:val="none" w:sz="0" w:space="0" w:color="auto"/>
      </w:divBdr>
    </w:div>
    <w:div w:id="1247570606">
      <w:bodyDiv w:val="1"/>
      <w:marLeft w:val="0"/>
      <w:marRight w:val="0"/>
      <w:marTop w:val="0"/>
      <w:marBottom w:val="0"/>
      <w:divBdr>
        <w:top w:val="none" w:sz="0" w:space="0" w:color="auto"/>
        <w:left w:val="none" w:sz="0" w:space="0" w:color="auto"/>
        <w:bottom w:val="none" w:sz="0" w:space="0" w:color="auto"/>
        <w:right w:val="none" w:sz="0" w:space="0" w:color="auto"/>
      </w:divBdr>
    </w:div>
    <w:div w:id="1247574721">
      <w:bodyDiv w:val="1"/>
      <w:marLeft w:val="0"/>
      <w:marRight w:val="0"/>
      <w:marTop w:val="0"/>
      <w:marBottom w:val="0"/>
      <w:divBdr>
        <w:top w:val="none" w:sz="0" w:space="0" w:color="auto"/>
        <w:left w:val="none" w:sz="0" w:space="0" w:color="auto"/>
        <w:bottom w:val="none" w:sz="0" w:space="0" w:color="auto"/>
        <w:right w:val="none" w:sz="0" w:space="0" w:color="auto"/>
      </w:divBdr>
    </w:div>
    <w:div w:id="1247615260">
      <w:bodyDiv w:val="1"/>
      <w:marLeft w:val="0"/>
      <w:marRight w:val="0"/>
      <w:marTop w:val="0"/>
      <w:marBottom w:val="0"/>
      <w:divBdr>
        <w:top w:val="none" w:sz="0" w:space="0" w:color="auto"/>
        <w:left w:val="none" w:sz="0" w:space="0" w:color="auto"/>
        <w:bottom w:val="none" w:sz="0" w:space="0" w:color="auto"/>
        <w:right w:val="none" w:sz="0" w:space="0" w:color="auto"/>
      </w:divBdr>
    </w:div>
    <w:div w:id="1247685353">
      <w:bodyDiv w:val="1"/>
      <w:marLeft w:val="0"/>
      <w:marRight w:val="0"/>
      <w:marTop w:val="0"/>
      <w:marBottom w:val="0"/>
      <w:divBdr>
        <w:top w:val="none" w:sz="0" w:space="0" w:color="auto"/>
        <w:left w:val="none" w:sz="0" w:space="0" w:color="auto"/>
        <w:bottom w:val="none" w:sz="0" w:space="0" w:color="auto"/>
        <w:right w:val="none" w:sz="0" w:space="0" w:color="auto"/>
      </w:divBdr>
    </w:div>
    <w:div w:id="1247686748">
      <w:bodyDiv w:val="1"/>
      <w:marLeft w:val="0"/>
      <w:marRight w:val="0"/>
      <w:marTop w:val="0"/>
      <w:marBottom w:val="0"/>
      <w:divBdr>
        <w:top w:val="none" w:sz="0" w:space="0" w:color="auto"/>
        <w:left w:val="none" w:sz="0" w:space="0" w:color="auto"/>
        <w:bottom w:val="none" w:sz="0" w:space="0" w:color="auto"/>
        <w:right w:val="none" w:sz="0" w:space="0" w:color="auto"/>
      </w:divBdr>
    </w:div>
    <w:div w:id="1247808918">
      <w:bodyDiv w:val="1"/>
      <w:marLeft w:val="0"/>
      <w:marRight w:val="0"/>
      <w:marTop w:val="0"/>
      <w:marBottom w:val="0"/>
      <w:divBdr>
        <w:top w:val="none" w:sz="0" w:space="0" w:color="auto"/>
        <w:left w:val="none" w:sz="0" w:space="0" w:color="auto"/>
        <w:bottom w:val="none" w:sz="0" w:space="0" w:color="auto"/>
        <w:right w:val="none" w:sz="0" w:space="0" w:color="auto"/>
      </w:divBdr>
    </w:div>
    <w:div w:id="1247884458">
      <w:bodyDiv w:val="1"/>
      <w:marLeft w:val="0"/>
      <w:marRight w:val="0"/>
      <w:marTop w:val="0"/>
      <w:marBottom w:val="0"/>
      <w:divBdr>
        <w:top w:val="none" w:sz="0" w:space="0" w:color="auto"/>
        <w:left w:val="none" w:sz="0" w:space="0" w:color="auto"/>
        <w:bottom w:val="none" w:sz="0" w:space="0" w:color="auto"/>
        <w:right w:val="none" w:sz="0" w:space="0" w:color="auto"/>
      </w:divBdr>
    </w:div>
    <w:div w:id="1248075789">
      <w:bodyDiv w:val="1"/>
      <w:marLeft w:val="0"/>
      <w:marRight w:val="0"/>
      <w:marTop w:val="0"/>
      <w:marBottom w:val="0"/>
      <w:divBdr>
        <w:top w:val="none" w:sz="0" w:space="0" w:color="auto"/>
        <w:left w:val="none" w:sz="0" w:space="0" w:color="auto"/>
        <w:bottom w:val="none" w:sz="0" w:space="0" w:color="auto"/>
        <w:right w:val="none" w:sz="0" w:space="0" w:color="auto"/>
      </w:divBdr>
    </w:div>
    <w:div w:id="1248077508">
      <w:bodyDiv w:val="1"/>
      <w:marLeft w:val="0"/>
      <w:marRight w:val="0"/>
      <w:marTop w:val="0"/>
      <w:marBottom w:val="0"/>
      <w:divBdr>
        <w:top w:val="none" w:sz="0" w:space="0" w:color="auto"/>
        <w:left w:val="none" w:sz="0" w:space="0" w:color="auto"/>
        <w:bottom w:val="none" w:sz="0" w:space="0" w:color="auto"/>
        <w:right w:val="none" w:sz="0" w:space="0" w:color="auto"/>
      </w:divBdr>
    </w:div>
    <w:div w:id="1248078405">
      <w:bodyDiv w:val="1"/>
      <w:marLeft w:val="0"/>
      <w:marRight w:val="0"/>
      <w:marTop w:val="0"/>
      <w:marBottom w:val="0"/>
      <w:divBdr>
        <w:top w:val="none" w:sz="0" w:space="0" w:color="auto"/>
        <w:left w:val="none" w:sz="0" w:space="0" w:color="auto"/>
        <w:bottom w:val="none" w:sz="0" w:space="0" w:color="auto"/>
        <w:right w:val="none" w:sz="0" w:space="0" w:color="auto"/>
      </w:divBdr>
    </w:div>
    <w:div w:id="1248227228">
      <w:bodyDiv w:val="1"/>
      <w:marLeft w:val="0"/>
      <w:marRight w:val="0"/>
      <w:marTop w:val="0"/>
      <w:marBottom w:val="0"/>
      <w:divBdr>
        <w:top w:val="none" w:sz="0" w:space="0" w:color="auto"/>
        <w:left w:val="none" w:sz="0" w:space="0" w:color="auto"/>
        <w:bottom w:val="none" w:sz="0" w:space="0" w:color="auto"/>
        <w:right w:val="none" w:sz="0" w:space="0" w:color="auto"/>
      </w:divBdr>
    </w:div>
    <w:div w:id="1248231383">
      <w:bodyDiv w:val="1"/>
      <w:marLeft w:val="0"/>
      <w:marRight w:val="0"/>
      <w:marTop w:val="0"/>
      <w:marBottom w:val="0"/>
      <w:divBdr>
        <w:top w:val="none" w:sz="0" w:space="0" w:color="auto"/>
        <w:left w:val="none" w:sz="0" w:space="0" w:color="auto"/>
        <w:bottom w:val="none" w:sz="0" w:space="0" w:color="auto"/>
        <w:right w:val="none" w:sz="0" w:space="0" w:color="auto"/>
      </w:divBdr>
    </w:div>
    <w:div w:id="1248274598">
      <w:bodyDiv w:val="1"/>
      <w:marLeft w:val="0"/>
      <w:marRight w:val="0"/>
      <w:marTop w:val="0"/>
      <w:marBottom w:val="0"/>
      <w:divBdr>
        <w:top w:val="none" w:sz="0" w:space="0" w:color="auto"/>
        <w:left w:val="none" w:sz="0" w:space="0" w:color="auto"/>
        <w:bottom w:val="none" w:sz="0" w:space="0" w:color="auto"/>
        <w:right w:val="none" w:sz="0" w:space="0" w:color="auto"/>
      </w:divBdr>
    </w:div>
    <w:div w:id="1248609123">
      <w:bodyDiv w:val="1"/>
      <w:marLeft w:val="0"/>
      <w:marRight w:val="0"/>
      <w:marTop w:val="0"/>
      <w:marBottom w:val="0"/>
      <w:divBdr>
        <w:top w:val="none" w:sz="0" w:space="0" w:color="auto"/>
        <w:left w:val="none" w:sz="0" w:space="0" w:color="auto"/>
        <w:bottom w:val="none" w:sz="0" w:space="0" w:color="auto"/>
        <w:right w:val="none" w:sz="0" w:space="0" w:color="auto"/>
      </w:divBdr>
    </w:div>
    <w:div w:id="1248609748">
      <w:bodyDiv w:val="1"/>
      <w:marLeft w:val="0"/>
      <w:marRight w:val="0"/>
      <w:marTop w:val="0"/>
      <w:marBottom w:val="0"/>
      <w:divBdr>
        <w:top w:val="none" w:sz="0" w:space="0" w:color="auto"/>
        <w:left w:val="none" w:sz="0" w:space="0" w:color="auto"/>
        <w:bottom w:val="none" w:sz="0" w:space="0" w:color="auto"/>
        <w:right w:val="none" w:sz="0" w:space="0" w:color="auto"/>
      </w:divBdr>
    </w:div>
    <w:div w:id="1248615465">
      <w:bodyDiv w:val="1"/>
      <w:marLeft w:val="0"/>
      <w:marRight w:val="0"/>
      <w:marTop w:val="0"/>
      <w:marBottom w:val="0"/>
      <w:divBdr>
        <w:top w:val="none" w:sz="0" w:space="0" w:color="auto"/>
        <w:left w:val="none" w:sz="0" w:space="0" w:color="auto"/>
        <w:bottom w:val="none" w:sz="0" w:space="0" w:color="auto"/>
        <w:right w:val="none" w:sz="0" w:space="0" w:color="auto"/>
      </w:divBdr>
    </w:div>
    <w:div w:id="1248880138">
      <w:bodyDiv w:val="1"/>
      <w:marLeft w:val="0"/>
      <w:marRight w:val="0"/>
      <w:marTop w:val="0"/>
      <w:marBottom w:val="0"/>
      <w:divBdr>
        <w:top w:val="none" w:sz="0" w:space="0" w:color="auto"/>
        <w:left w:val="none" w:sz="0" w:space="0" w:color="auto"/>
        <w:bottom w:val="none" w:sz="0" w:space="0" w:color="auto"/>
        <w:right w:val="none" w:sz="0" w:space="0" w:color="auto"/>
      </w:divBdr>
    </w:div>
    <w:div w:id="1248881043">
      <w:bodyDiv w:val="1"/>
      <w:marLeft w:val="0"/>
      <w:marRight w:val="0"/>
      <w:marTop w:val="0"/>
      <w:marBottom w:val="0"/>
      <w:divBdr>
        <w:top w:val="none" w:sz="0" w:space="0" w:color="auto"/>
        <w:left w:val="none" w:sz="0" w:space="0" w:color="auto"/>
        <w:bottom w:val="none" w:sz="0" w:space="0" w:color="auto"/>
        <w:right w:val="none" w:sz="0" w:space="0" w:color="auto"/>
      </w:divBdr>
    </w:div>
    <w:div w:id="1249001044">
      <w:bodyDiv w:val="1"/>
      <w:marLeft w:val="0"/>
      <w:marRight w:val="0"/>
      <w:marTop w:val="0"/>
      <w:marBottom w:val="0"/>
      <w:divBdr>
        <w:top w:val="none" w:sz="0" w:space="0" w:color="auto"/>
        <w:left w:val="none" w:sz="0" w:space="0" w:color="auto"/>
        <w:bottom w:val="none" w:sz="0" w:space="0" w:color="auto"/>
        <w:right w:val="none" w:sz="0" w:space="0" w:color="auto"/>
      </w:divBdr>
    </w:div>
    <w:div w:id="1249079059">
      <w:bodyDiv w:val="1"/>
      <w:marLeft w:val="0"/>
      <w:marRight w:val="0"/>
      <w:marTop w:val="0"/>
      <w:marBottom w:val="0"/>
      <w:divBdr>
        <w:top w:val="none" w:sz="0" w:space="0" w:color="auto"/>
        <w:left w:val="none" w:sz="0" w:space="0" w:color="auto"/>
        <w:bottom w:val="none" w:sz="0" w:space="0" w:color="auto"/>
        <w:right w:val="none" w:sz="0" w:space="0" w:color="auto"/>
      </w:divBdr>
    </w:div>
    <w:div w:id="1249080217">
      <w:bodyDiv w:val="1"/>
      <w:marLeft w:val="0"/>
      <w:marRight w:val="0"/>
      <w:marTop w:val="0"/>
      <w:marBottom w:val="0"/>
      <w:divBdr>
        <w:top w:val="none" w:sz="0" w:space="0" w:color="auto"/>
        <w:left w:val="none" w:sz="0" w:space="0" w:color="auto"/>
        <w:bottom w:val="none" w:sz="0" w:space="0" w:color="auto"/>
        <w:right w:val="none" w:sz="0" w:space="0" w:color="auto"/>
      </w:divBdr>
    </w:div>
    <w:div w:id="1249190616">
      <w:bodyDiv w:val="1"/>
      <w:marLeft w:val="0"/>
      <w:marRight w:val="0"/>
      <w:marTop w:val="0"/>
      <w:marBottom w:val="0"/>
      <w:divBdr>
        <w:top w:val="none" w:sz="0" w:space="0" w:color="auto"/>
        <w:left w:val="none" w:sz="0" w:space="0" w:color="auto"/>
        <w:bottom w:val="none" w:sz="0" w:space="0" w:color="auto"/>
        <w:right w:val="none" w:sz="0" w:space="0" w:color="auto"/>
      </w:divBdr>
    </w:div>
    <w:div w:id="1249314878">
      <w:bodyDiv w:val="1"/>
      <w:marLeft w:val="0"/>
      <w:marRight w:val="0"/>
      <w:marTop w:val="0"/>
      <w:marBottom w:val="0"/>
      <w:divBdr>
        <w:top w:val="none" w:sz="0" w:space="0" w:color="auto"/>
        <w:left w:val="none" w:sz="0" w:space="0" w:color="auto"/>
        <w:bottom w:val="none" w:sz="0" w:space="0" w:color="auto"/>
        <w:right w:val="none" w:sz="0" w:space="0" w:color="auto"/>
      </w:divBdr>
    </w:div>
    <w:div w:id="1249343015">
      <w:bodyDiv w:val="1"/>
      <w:marLeft w:val="0"/>
      <w:marRight w:val="0"/>
      <w:marTop w:val="0"/>
      <w:marBottom w:val="0"/>
      <w:divBdr>
        <w:top w:val="none" w:sz="0" w:space="0" w:color="auto"/>
        <w:left w:val="none" w:sz="0" w:space="0" w:color="auto"/>
        <w:bottom w:val="none" w:sz="0" w:space="0" w:color="auto"/>
        <w:right w:val="none" w:sz="0" w:space="0" w:color="auto"/>
      </w:divBdr>
    </w:div>
    <w:div w:id="1249389485">
      <w:bodyDiv w:val="1"/>
      <w:marLeft w:val="0"/>
      <w:marRight w:val="0"/>
      <w:marTop w:val="0"/>
      <w:marBottom w:val="0"/>
      <w:divBdr>
        <w:top w:val="none" w:sz="0" w:space="0" w:color="auto"/>
        <w:left w:val="none" w:sz="0" w:space="0" w:color="auto"/>
        <w:bottom w:val="none" w:sz="0" w:space="0" w:color="auto"/>
        <w:right w:val="none" w:sz="0" w:space="0" w:color="auto"/>
      </w:divBdr>
    </w:div>
    <w:div w:id="1249390124">
      <w:bodyDiv w:val="1"/>
      <w:marLeft w:val="0"/>
      <w:marRight w:val="0"/>
      <w:marTop w:val="0"/>
      <w:marBottom w:val="0"/>
      <w:divBdr>
        <w:top w:val="none" w:sz="0" w:space="0" w:color="auto"/>
        <w:left w:val="none" w:sz="0" w:space="0" w:color="auto"/>
        <w:bottom w:val="none" w:sz="0" w:space="0" w:color="auto"/>
        <w:right w:val="none" w:sz="0" w:space="0" w:color="auto"/>
      </w:divBdr>
    </w:div>
    <w:div w:id="1249464297">
      <w:bodyDiv w:val="1"/>
      <w:marLeft w:val="0"/>
      <w:marRight w:val="0"/>
      <w:marTop w:val="0"/>
      <w:marBottom w:val="0"/>
      <w:divBdr>
        <w:top w:val="none" w:sz="0" w:space="0" w:color="auto"/>
        <w:left w:val="none" w:sz="0" w:space="0" w:color="auto"/>
        <w:bottom w:val="none" w:sz="0" w:space="0" w:color="auto"/>
        <w:right w:val="none" w:sz="0" w:space="0" w:color="auto"/>
      </w:divBdr>
    </w:div>
    <w:div w:id="1249576715">
      <w:bodyDiv w:val="1"/>
      <w:marLeft w:val="0"/>
      <w:marRight w:val="0"/>
      <w:marTop w:val="0"/>
      <w:marBottom w:val="0"/>
      <w:divBdr>
        <w:top w:val="none" w:sz="0" w:space="0" w:color="auto"/>
        <w:left w:val="none" w:sz="0" w:space="0" w:color="auto"/>
        <w:bottom w:val="none" w:sz="0" w:space="0" w:color="auto"/>
        <w:right w:val="none" w:sz="0" w:space="0" w:color="auto"/>
      </w:divBdr>
    </w:div>
    <w:div w:id="1249578708">
      <w:bodyDiv w:val="1"/>
      <w:marLeft w:val="0"/>
      <w:marRight w:val="0"/>
      <w:marTop w:val="0"/>
      <w:marBottom w:val="0"/>
      <w:divBdr>
        <w:top w:val="none" w:sz="0" w:space="0" w:color="auto"/>
        <w:left w:val="none" w:sz="0" w:space="0" w:color="auto"/>
        <w:bottom w:val="none" w:sz="0" w:space="0" w:color="auto"/>
        <w:right w:val="none" w:sz="0" w:space="0" w:color="auto"/>
      </w:divBdr>
    </w:div>
    <w:div w:id="1249659094">
      <w:bodyDiv w:val="1"/>
      <w:marLeft w:val="0"/>
      <w:marRight w:val="0"/>
      <w:marTop w:val="0"/>
      <w:marBottom w:val="0"/>
      <w:divBdr>
        <w:top w:val="none" w:sz="0" w:space="0" w:color="auto"/>
        <w:left w:val="none" w:sz="0" w:space="0" w:color="auto"/>
        <w:bottom w:val="none" w:sz="0" w:space="0" w:color="auto"/>
        <w:right w:val="none" w:sz="0" w:space="0" w:color="auto"/>
      </w:divBdr>
    </w:div>
    <w:div w:id="1249659254">
      <w:bodyDiv w:val="1"/>
      <w:marLeft w:val="0"/>
      <w:marRight w:val="0"/>
      <w:marTop w:val="0"/>
      <w:marBottom w:val="0"/>
      <w:divBdr>
        <w:top w:val="none" w:sz="0" w:space="0" w:color="auto"/>
        <w:left w:val="none" w:sz="0" w:space="0" w:color="auto"/>
        <w:bottom w:val="none" w:sz="0" w:space="0" w:color="auto"/>
        <w:right w:val="none" w:sz="0" w:space="0" w:color="auto"/>
      </w:divBdr>
    </w:div>
    <w:div w:id="1249735727">
      <w:bodyDiv w:val="1"/>
      <w:marLeft w:val="0"/>
      <w:marRight w:val="0"/>
      <w:marTop w:val="0"/>
      <w:marBottom w:val="0"/>
      <w:divBdr>
        <w:top w:val="none" w:sz="0" w:space="0" w:color="auto"/>
        <w:left w:val="none" w:sz="0" w:space="0" w:color="auto"/>
        <w:bottom w:val="none" w:sz="0" w:space="0" w:color="auto"/>
        <w:right w:val="none" w:sz="0" w:space="0" w:color="auto"/>
      </w:divBdr>
    </w:div>
    <w:div w:id="1249920119">
      <w:bodyDiv w:val="1"/>
      <w:marLeft w:val="0"/>
      <w:marRight w:val="0"/>
      <w:marTop w:val="0"/>
      <w:marBottom w:val="0"/>
      <w:divBdr>
        <w:top w:val="none" w:sz="0" w:space="0" w:color="auto"/>
        <w:left w:val="none" w:sz="0" w:space="0" w:color="auto"/>
        <w:bottom w:val="none" w:sz="0" w:space="0" w:color="auto"/>
        <w:right w:val="none" w:sz="0" w:space="0" w:color="auto"/>
      </w:divBdr>
    </w:div>
    <w:div w:id="1250189844">
      <w:bodyDiv w:val="1"/>
      <w:marLeft w:val="0"/>
      <w:marRight w:val="0"/>
      <w:marTop w:val="0"/>
      <w:marBottom w:val="0"/>
      <w:divBdr>
        <w:top w:val="none" w:sz="0" w:space="0" w:color="auto"/>
        <w:left w:val="none" w:sz="0" w:space="0" w:color="auto"/>
        <w:bottom w:val="none" w:sz="0" w:space="0" w:color="auto"/>
        <w:right w:val="none" w:sz="0" w:space="0" w:color="auto"/>
      </w:divBdr>
    </w:div>
    <w:div w:id="1250309736">
      <w:bodyDiv w:val="1"/>
      <w:marLeft w:val="0"/>
      <w:marRight w:val="0"/>
      <w:marTop w:val="0"/>
      <w:marBottom w:val="0"/>
      <w:divBdr>
        <w:top w:val="none" w:sz="0" w:space="0" w:color="auto"/>
        <w:left w:val="none" w:sz="0" w:space="0" w:color="auto"/>
        <w:bottom w:val="none" w:sz="0" w:space="0" w:color="auto"/>
        <w:right w:val="none" w:sz="0" w:space="0" w:color="auto"/>
      </w:divBdr>
    </w:div>
    <w:div w:id="1250388637">
      <w:bodyDiv w:val="1"/>
      <w:marLeft w:val="0"/>
      <w:marRight w:val="0"/>
      <w:marTop w:val="0"/>
      <w:marBottom w:val="0"/>
      <w:divBdr>
        <w:top w:val="none" w:sz="0" w:space="0" w:color="auto"/>
        <w:left w:val="none" w:sz="0" w:space="0" w:color="auto"/>
        <w:bottom w:val="none" w:sz="0" w:space="0" w:color="auto"/>
        <w:right w:val="none" w:sz="0" w:space="0" w:color="auto"/>
      </w:divBdr>
    </w:div>
    <w:div w:id="1250458372">
      <w:bodyDiv w:val="1"/>
      <w:marLeft w:val="0"/>
      <w:marRight w:val="0"/>
      <w:marTop w:val="0"/>
      <w:marBottom w:val="0"/>
      <w:divBdr>
        <w:top w:val="none" w:sz="0" w:space="0" w:color="auto"/>
        <w:left w:val="none" w:sz="0" w:space="0" w:color="auto"/>
        <w:bottom w:val="none" w:sz="0" w:space="0" w:color="auto"/>
        <w:right w:val="none" w:sz="0" w:space="0" w:color="auto"/>
      </w:divBdr>
    </w:div>
    <w:div w:id="1250458749">
      <w:bodyDiv w:val="1"/>
      <w:marLeft w:val="0"/>
      <w:marRight w:val="0"/>
      <w:marTop w:val="0"/>
      <w:marBottom w:val="0"/>
      <w:divBdr>
        <w:top w:val="none" w:sz="0" w:space="0" w:color="auto"/>
        <w:left w:val="none" w:sz="0" w:space="0" w:color="auto"/>
        <w:bottom w:val="none" w:sz="0" w:space="0" w:color="auto"/>
        <w:right w:val="none" w:sz="0" w:space="0" w:color="auto"/>
      </w:divBdr>
    </w:div>
    <w:div w:id="1250459200">
      <w:bodyDiv w:val="1"/>
      <w:marLeft w:val="0"/>
      <w:marRight w:val="0"/>
      <w:marTop w:val="0"/>
      <w:marBottom w:val="0"/>
      <w:divBdr>
        <w:top w:val="none" w:sz="0" w:space="0" w:color="auto"/>
        <w:left w:val="none" w:sz="0" w:space="0" w:color="auto"/>
        <w:bottom w:val="none" w:sz="0" w:space="0" w:color="auto"/>
        <w:right w:val="none" w:sz="0" w:space="0" w:color="auto"/>
      </w:divBdr>
    </w:div>
    <w:div w:id="1250502229">
      <w:bodyDiv w:val="1"/>
      <w:marLeft w:val="0"/>
      <w:marRight w:val="0"/>
      <w:marTop w:val="0"/>
      <w:marBottom w:val="0"/>
      <w:divBdr>
        <w:top w:val="none" w:sz="0" w:space="0" w:color="auto"/>
        <w:left w:val="none" w:sz="0" w:space="0" w:color="auto"/>
        <w:bottom w:val="none" w:sz="0" w:space="0" w:color="auto"/>
        <w:right w:val="none" w:sz="0" w:space="0" w:color="auto"/>
      </w:divBdr>
    </w:div>
    <w:div w:id="1250507553">
      <w:bodyDiv w:val="1"/>
      <w:marLeft w:val="0"/>
      <w:marRight w:val="0"/>
      <w:marTop w:val="0"/>
      <w:marBottom w:val="0"/>
      <w:divBdr>
        <w:top w:val="none" w:sz="0" w:space="0" w:color="auto"/>
        <w:left w:val="none" w:sz="0" w:space="0" w:color="auto"/>
        <w:bottom w:val="none" w:sz="0" w:space="0" w:color="auto"/>
        <w:right w:val="none" w:sz="0" w:space="0" w:color="auto"/>
      </w:divBdr>
    </w:div>
    <w:div w:id="1250654555">
      <w:bodyDiv w:val="1"/>
      <w:marLeft w:val="0"/>
      <w:marRight w:val="0"/>
      <w:marTop w:val="0"/>
      <w:marBottom w:val="0"/>
      <w:divBdr>
        <w:top w:val="none" w:sz="0" w:space="0" w:color="auto"/>
        <w:left w:val="none" w:sz="0" w:space="0" w:color="auto"/>
        <w:bottom w:val="none" w:sz="0" w:space="0" w:color="auto"/>
        <w:right w:val="none" w:sz="0" w:space="0" w:color="auto"/>
      </w:divBdr>
    </w:div>
    <w:div w:id="1250693585">
      <w:bodyDiv w:val="1"/>
      <w:marLeft w:val="0"/>
      <w:marRight w:val="0"/>
      <w:marTop w:val="0"/>
      <w:marBottom w:val="0"/>
      <w:divBdr>
        <w:top w:val="none" w:sz="0" w:space="0" w:color="auto"/>
        <w:left w:val="none" w:sz="0" w:space="0" w:color="auto"/>
        <w:bottom w:val="none" w:sz="0" w:space="0" w:color="auto"/>
        <w:right w:val="none" w:sz="0" w:space="0" w:color="auto"/>
      </w:divBdr>
    </w:div>
    <w:div w:id="1250698606">
      <w:bodyDiv w:val="1"/>
      <w:marLeft w:val="0"/>
      <w:marRight w:val="0"/>
      <w:marTop w:val="0"/>
      <w:marBottom w:val="0"/>
      <w:divBdr>
        <w:top w:val="none" w:sz="0" w:space="0" w:color="auto"/>
        <w:left w:val="none" w:sz="0" w:space="0" w:color="auto"/>
        <w:bottom w:val="none" w:sz="0" w:space="0" w:color="auto"/>
        <w:right w:val="none" w:sz="0" w:space="0" w:color="auto"/>
      </w:divBdr>
    </w:div>
    <w:div w:id="1250771641">
      <w:bodyDiv w:val="1"/>
      <w:marLeft w:val="0"/>
      <w:marRight w:val="0"/>
      <w:marTop w:val="0"/>
      <w:marBottom w:val="0"/>
      <w:divBdr>
        <w:top w:val="none" w:sz="0" w:space="0" w:color="auto"/>
        <w:left w:val="none" w:sz="0" w:space="0" w:color="auto"/>
        <w:bottom w:val="none" w:sz="0" w:space="0" w:color="auto"/>
        <w:right w:val="none" w:sz="0" w:space="0" w:color="auto"/>
      </w:divBdr>
    </w:div>
    <w:div w:id="1250846974">
      <w:bodyDiv w:val="1"/>
      <w:marLeft w:val="0"/>
      <w:marRight w:val="0"/>
      <w:marTop w:val="0"/>
      <w:marBottom w:val="0"/>
      <w:divBdr>
        <w:top w:val="none" w:sz="0" w:space="0" w:color="auto"/>
        <w:left w:val="none" w:sz="0" w:space="0" w:color="auto"/>
        <w:bottom w:val="none" w:sz="0" w:space="0" w:color="auto"/>
        <w:right w:val="none" w:sz="0" w:space="0" w:color="auto"/>
      </w:divBdr>
    </w:div>
    <w:div w:id="1250849331">
      <w:bodyDiv w:val="1"/>
      <w:marLeft w:val="0"/>
      <w:marRight w:val="0"/>
      <w:marTop w:val="0"/>
      <w:marBottom w:val="0"/>
      <w:divBdr>
        <w:top w:val="none" w:sz="0" w:space="0" w:color="auto"/>
        <w:left w:val="none" w:sz="0" w:space="0" w:color="auto"/>
        <w:bottom w:val="none" w:sz="0" w:space="0" w:color="auto"/>
        <w:right w:val="none" w:sz="0" w:space="0" w:color="auto"/>
      </w:divBdr>
    </w:div>
    <w:div w:id="1250887801">
      <w:bodyDiv w:val="1"/>
      <w:marLeft w:val="0"/>
      <w:marRight w:val="0"/>
      <w:marTop w:val="0"/>
      <w:marBottom w:val="0"/>
      <w:divBdr>
        <w:top w:val="none" w:sz="0" w:space="0" w:color="auto"/>
        <w:left w:val="none" w:sz="0" w:space="0" w:color="auto"/>
        <w:bottom w:val="none" w:sz="0" w:space="0" w:color="auto"/>
        <w:right w:val="none" w:sz="0" w:space="0" w:color="auto"/>
      </w:divBdr>
    </w:div>
    <w:div w:id="1250888966">
      <w:bodyDiv w:val="1"/>
      <w:marLeft w:val="0"/>
      <w:marRight w:val="0"/>
      <w:marTop w:val="0"/>
      <w:marBottom w:val="0"/>
      <w:divBdr>
        <w:top w:val="none" w:sz="0" w:space="0" w:color="auto"/>
        <w:left w:val="none" w:sz="0" w:space="0" w:color="auto"/>
        <w:bottom w:val="none" w:sz="0" w:space="0" w:color="auto"/>
        <w:right w:val="none" w:sz="0" w:space="0" w:color="auto"/>
      </w:divBdr>
    </w:div>
    <w:div w:id="1251037508">
      <w:bodyDiv w:val="1"/>
      <w:marLeft w:val="0"/>
      <w:marRight w:val="0"/>
      <w:marTop w:val="0"/>
      <w:marBottom w:val="0"/>
      <w:divBdr>
        <w:top w:val="none" w:sz="0" w:space="0" w:color="auto"/>
        <w:left w:val="none" w:sz="0" w:space="0" w:color="auto"/>
        <w:bottom w:val="none" w:sz="0" w:space="0" w:color="auto"/>
        <w:right w:val="none" w:sz="0" w:space="0" w:color="auto"/>
      </w:divBdr>
    </w:div>
    <w:div w:id="1251155763">
      <w:bodyDiv w:val="1"/>
      <w:marLeft w:val="0"/>
      <w:marRight w:val="0"/>
      <w:marTop w:val="0"/>
      <w:marBottom w:val="0"/>
      <w:divBdr>
        <w:top w:val="none" w:sz="0" w:space="0" w:color="auto"/>
        <w:left w:val="none" w:sz="0" w:space="0" w:color="auto"/>
        <w:bottom w:val="none" w:sz="0" w:space="0" w:color="auto"/>
        <w:right w:val="none" w:sz="0" w:space="0" w:color="auto"/>
      </w:divBdr>
    </w:div>
    <w:div w:id="1251156259">
      <w:bodyDiv w:val="1"/>
      <w:marLeft w:val="0"/>
      <w:marRight w:val="0"/>
      <w:marTop w:val="0"/>
      <w:marBottom w:val="0"/>
      <w:divBdr>
        <w:top w:val="none" w:sz="0" w:space="0" w:color="auto"/>
        <w:left w:val="none" w:sz="0" w:space="0" w:color="auto"/>
        <w:bottom w:val="none" w:sz="0" w:space="0" w:color="auto"/>
        <w:right w:val="none" w:sz="0" w:space="0" w:color="auto"/>
      </w:divBdr>
    </w:div>
    <w:div w:id="1251237764">
      <w:bodyDiv w:val="1"/>
      <w:marLeft w:val="0"/>
      <w:marRight w:val="0"/>
      <w:marTop w:val="0"/>
      <w:marBottom w:val="0"/>
      <w:divBdr>
        <w:top w:val="none" w:sz="0" w:space="0" w:color="auto"/>
        <w:left w:val="none" w:sz="0" w:space="0" w:color="auto"/>
        <w:bottom w:val="none" w:sz="0" w:space="0" w:color="auto"/>
        <w:right w:val="none" w:sz="0" w:space="0" w:color="auto"/>
      </w:divBdr>
    </w:div>
    <w:div w:id="1251238416">
      <w:bodyDiv w:val="1"/>
      <w:marLeft w:val="0"/>
      <w:marRight w:val="0"/>
      <w:marTop w:val="0"/>
      <w:marBottom w:val="0"/>
      <w:divBdr>
        <w:top w:val="none" w:sz="0" w:space="0" w:color="auto"/>
        <w:left w:val="none" w:sz="0" w:space="0" w:color="auto"/>
        <w:bottom w:val="none" w:sz="0" w:space="0" w:color="auto"/>
        <w:right w:val="none" w:sz="0" w:space="0" w:color="auto"/>
      </w:divBdr>
    </w:div>
    <w:div w:id="1251239218">
      <w:bodyDiv w:val="1"/>
      <w:marLeft w:val="0"/>
      <w:marRight w:val="0"/>
      <w:marTop w:val="0"/>
      <w:marBottom w:val="0"/>
      <w:divBdr>
        <w:top w:val="none" w:sz="0" w:space="0" w:color="auto"/>
        <w:left w:val="none" w:sz="0" w:space="0" w:color="auto"/>
        <w:bottom w:val="none" w:sz="0" w:space="0" w:color="auto"/>
        <w:right w:val="none" w:sz="0" w:space="0" w:color="auto"/>
      </w:divBdr>
    </w:div>
    <w:div w:id="1251279169">
      <w:bodyDiv w:val="1"/>
      <w:marLeft w:val="0"/>
      <w:marRight w:val="0"/>
      <w:marTop w:val="0"/>
      <w:marBottom w:val="0"/>
      <w:divBdr>
        <w:top w:val="none" w:sz="0" w:space="0" w:color="auto"/>
        <w:left w:val="none" w:sz="0" w:space="0" w:color="auto"/>
        <w:bottom w:val="none" w:sz="0" w:space="0" w:color="auto"/>
        <w:right w:val="none" w:sz="0" w:space="0" w:color="auto"/>
      </w:divBdr>
    </w:div>
    <w:div w:id="1251280833">
      <w:bodyDiv w:val="1"/>
      <w:marLeft w:val="0"/>
      <w:marRight w:val="0"/>
      <w:marTop w:val="0"/>
      <w:marBottom w:val="0"/>
      <w:divBdr>
        <w:top w:val="none" w:sz="0" w:space="0" w:color="auto"/>
        <w:left w:val="none" w:sz="0" w:space="0" w:color="auto"/>
        <w:bottom w:val="none" w:sz="0" w:space="0" w:color="auto"/>
        <w:right w:val="none" w:sz="0" w:space="0" w:color="auto"/>
      </w:divBdr>
    </w:div>
    <w:div w:id="1251309189">
      <w:bodyDiv w:val="1"/>
      <w:marLeft w:val="0"/>
      <w:marRight w:val="0"/>
      <w:marTop w:val="0"/>
      <w:marBottom w:val="0"/>
      <w:divBdr>
        <w:top w:val="none" w:sz="0" w:space="0" w:color="auto"/>
        <w:left w:val="none" w:sz="0" w:space="0" w:color="auto"/>
        <w:bottom w:val="none" w:sz="0" w:space="0" w:color="auto"/>
        <w:right w:val="none" w:sz="0" w:space="0" w:color="auto"/>
      </w:divBdr>
    </w:div>
    <w:div w:id="1251310757">
      <w:bodyDiv w:val="1"/>
      <w:marLeft w:val="0"/>
      <w:marRight w:val="0"/>
      <w:marTop w:val="0"/>
      <w:marBottom w:val="0"/>
      <w:divBdr>
        <w:top w:val="none" w:sz="0" w:space="0" w:color="auto"/>
        <w:left w:val="none" w:sz="0" w:space="0" w:color="auto"/>
        <w:bottom w:val="none" w:sz="0" w:space="0" w:color="auto"/>
        <w:right w:val="none" w:sz="0" w:space="0" w:color="auto"/>
      </w:divBdr>
    </w:div>
    <w:div w:id="1251348981">
      <w:bodyDiv w:val="1"/>
      <w:marLeft w:val="0"/>
      <w:marRight w:val="0"/>
      <w:marTop w:val="0"/>
      <w:marBottom w:val="0"/>
      <w:divBdr>
        <w:top w:val="none" w:sz="0" w:space="0" w:color="auto"/>
        <w:left w:val="none" w:sz="0" w:space="0" w:color="auto"/>
        <w:bottom w:val="none" w:sz="0" w:space="0" w:color="auto"/>
        <w:right w:val="none" w:sz="0" w:space="0" w:color="auto"/>
      </w:divBdr>
    </w:div>
    <w:div w:id="1251357093">
      <w:bodyDiv w:val="1"/>
      <w:marLeft w:val="0"/>
      <w:marRight w:val="0"/>
      <w:marTop w:val="0"/>
      <w:marBottom w:val="0"/>
      <w:divBdr>
        <w:top w:val="none" w:sz="0" w:space="0" w:color="auto"/>
        <w:left w:val="none" w:sz="0" w:space="0" w:color="auto"/>
        <w:bottom w:val="none" w:sz="0" w:space="0" w:color="auto"/>
        <w:right w:val="none" w:sz="0" w:space="0" w:color="auto"/>
      </w:divBdr>
    </w:div>
    <w:div w:id="1251426736">
      <w:bodyDiv w:val="1"/>
      <w:marLeft w:val="0"/>
      <w:marRight w:val="0"/>
      <w:marTop w:val="0"/>
      <w:marBottom w:val="0"/>
      <w:divBdr>
        <w:top w:val="none" w:sz="0" w:space="0" w:color="auto"/>
        <w:left w:val="none" w:sz="0" w:space="0" w:color="auto"/>
        <w:bottom w:val="none" w:sz="0" w:space="0" w:color="auto"/>
        <w:right w:val="none" w:sz="0" w:space="0" w:color="auto"/>
      </w:divBdr>
    </w:div>
    <w:div w:id="1251428585">
      <w:bodyDiv w:val="1"/>
      <w:marLeft w:val="0"/>
      <w:marRight w:val="0"/>
      <w:marTop w:val="0"/>
      <w:marBottom w:val="0"/>
      <w:divBdr>
        <w:top w:val="none" w:sz="0" w:space="0" w:color="auto"/>
        <w:left w:val="none" w:sz="0" w:space="0" w:color="auto"/>
        <w:bottom w:val="none" w:sz="0" w:space="0" w:color="auto"/>
        <w:right w:val="none" w:sz="0" w:space="0" w:color="auto"/>
      </w:divBdr>
    </w:div>
    <w:div w:id="1251432591">
      <w:bodyDiv w:val="1"/>
      <w:marLeft w:val="0"/>
      <w:marRight w:val="0"/>
      <w:marTop w:val="0"/>
      <w:marBottom w:val="0"/>
      <w:divBdr>
        <w:top w:val="none" w:sz="0" w:space="0" w:color="auto"/>
        <w:left w:val="none" w:sz="0" w:space="0" w:color="auto"/>
        <w:bottom w:val="none" w:sz="0" w:space="0" w:color="auto"/>
        <w:right w:val="none" w:sz="0" w:space="0" w:color="auto"/>
      </w:divBdr>
    </w:div>
    <w:div w:id="1251545157">
      <w:bodyDiv w:val="1"/>
      <w:marLeft w:val="0"/>
      <w:marRight w:val="0"/>
      <w:marTop w:val="0"/>
      <w:marBottom w:val="0"/>
      <w:divBdr>
        <w:top w:val="none" w:sz="0" w:space="0" w:color="auto"/>
        <w:left w:val="none" w:sz="0" w:space="0" w:color="auto"/>
        <w:bottom w:val="none" w:sz="0" w:space="0" w:color="auto"/>
        <w:right w:val="none" w:sz="0" w:space="0" w:color="auto"/>
      </w:divBdr>
    </w:div>
    <w:div w:id="1251695491">
      <w:bodyDiv w:val="1"/>
      <w:marLeft w:val="0"/>
      <w:marRight w:val="0"/>
      <w:marTop w:val="0"/>
      <w:marBottom w:val="0"/>
      <w:divBdr>
        <w:top w:val="none" w:sz="0" w:space="0" w:color="auto"/>
        <w:left w:val="none" w:sz="0" w:space="0" w:color="auto"/>
        <w:bottom w:val="none" w:sz="0" w:space="0" w:color="auto"/>
        <w:right w:val="none" w:sz="0" w:space="0" w:color="auto"/>
      </w:divBdr>
    </w:div>
    <w:div w:id="1251770038">
      <w:bodyDiv w:val="1"/>
      <w:marLeft w:val="0"/>
      <w:marRight w:val="0"/>
      <w:marTop w:val="0"/>
      <w:marBottom w:val="0"/>
      <w:divBdr>
        <w:top w:val="none" w:sz="0" w:space="0" w:color="auto"/>
        <w:left w:val="none" w:sz="0" w:space="0" w:color="auto"/>
        <w:bottom w:val="none" w:sz="0" w:space="0" w:color="auto"/>
        <w:right w:val="none" w:sz="0" w:space="0" w:color="auto"/>
      </w:divBdr>
    </w:div>
    <w:div w:id="1251814651">
      <w:bodyDiv w:val="1"/>
      <w:marLeft w:val="0"/>
      <w:marRight w:val="0"/>
      <w:marTop w:val="0"/>
      <w:marBottom w:val="0"/>
      <w:divBdr>
        <w:top w:val="none" w:sz="0" w:space="0" w:color="auto"/>
        <w:left w:val="none" w:sz="0" w:space="0" w:color="auto"/>
        <w:bottom w:val="none" w:sz="0" w:space="0" w:color="auto"/>
        <w:right w:val="none" w:sz="0" w:space="0" w:color="auto"/>
      </w:divBdr>
    </w:div>
    <w:div w:id="1251816667">
      <w:bodyDiv w:val="1"/>
      <w:marLeft w:val="0"/>
      <w:marRight w:val="0"/>
      <w:marTop w:val="0"/>
      <w:marBottom w:val="0"/>
      <w:divBdr>
        <w:top w:val="none" w:sz="0" w:space="0" w:color="auto"/>
        <w:left w:val="none" w:sz="0" w:space="0" w:color="auto"/>
        <w:bottom w:val="none" w:sz="0" w:space="0" w:color="auto"/>
        <w:right w:val="none" w:sz="0" w:space="0" w:color="auto"/>
      </w:divBdr>
    </w:div>
    <w:div w:id="1251817802">
      <w:bodyDiv w:val="1"/>
      <w:marLeft w:val="0"/>
      <w:marRight w:val="0"/>
      <w:marTop w:val="0"/>
      <w:marBottom w:val="0"/>
      <w:divBdr>
        <w:top w:val="none" w:sz="0" w:space="0" w:color="auto"/>
        <w:left w:val="none" w:sz="0" w:space="0" w:color="auto"/>
        <w:bottom w:val="none" w:sz="0" w:space="0" w:color="auto"/>
        <w:right w:val="none" w:sz="0" w:space="0" w:color="auto"/>
      </w:divBdr>
    </w:div>
    <w:div w:id="1251935831">
      <w:bodyDiv w:val="1"/>
      <w:marLeft w:val="0"/>
      <w:marRight w:val="0"/>
      <w:marTop w:val="0"/>
      <w:marBottom w:val="0"/>
      <w:divBdr>
        <w:top w:val="none" w:sz="0" w:space="0" w:color="auto"/>
        <w:left w:val="none" w:sz="0" w:space="0" w:color="auto"/>
        <w:bottom w:val="none" w:sz="0" w:space="0" w:color="auto"/>
        <w:right w:val="none" w:sz="0" w:space="0" w:color="auto"/>
      </w:divBdr>
    </w:div>
    <w:div w:id="1252009568">
      <w:bodyDiv w:val="1"/>
      <w:marLeft w:val="0"/>
      <w:marRight w:val="0"/>
      <w:marTop w:val="0"/>
      <w:marBottom w:val="0"/>
      <w:divBdr>
        <w:top w:val="none" w:sz="0" w:space="0" w:color="auto"/>
        <w:left w:val="none" w:sz="0" w:space="0" w:color="auto"/>
        <w:bottom w:val="none" w:sz="0" w:space="0" w:color="auto"/>
        <w:right w:val="none" w:sz="0" w:space="0" w:color="auto"/>
      </w:divBdr>
    </w:div>
    <w:div w:id="1252199645">
      <w:bodyDiv w:val="1"/>
      <w:marLeft w:val="0"/>
      <w:marRight w:val="0"/>
      <w:marTop w:val="0"/>
      <w:marBottom w:val="0"/>
      <w:divBdr>
        <w:top w:val="none" w:sz="0" w:space="0" w:color="auto"/>
        <w:left w:val="none" w:sz="0" w:space="0" w:color="auto"/>
        <w:bottom w:val="none" w:sz="0" w:space="0" w:color="auto"/>
        <w:right w:val="none" w:sz="0" w:space="0" w:color="auto"/>
      </w:divBdr>
    </w:div>
    <w:div w:id="1252203051">
      <w:bodyDiv w:val="1"/>
      <w:marLeft w:val="0"/>
      <w:marRight w:val="0"/>
      <w:marTop w:val="0"/>
      <w:marBottom w:val="0"/>
      <w:divBdr>
        <w:top w:val="none" w:sz="0" w:space="0" w:color="auto"/>
        <w:left w:val="none" w:sz="0" w:space="0" w:color="auto"/>
        <w:bottom w:val="none" w:sz="0" w:space="0" w:color="auto"/>
        <w:right w:val="none" w:sz="0" w:space="0" w:color="auto"/>
      </w:divBdr>
    </w:div>
    <w:div w:id="1252205733">
      <w:bodyDiv w:val="1"/>
      <w:marLeft w:val="0"/>
      <w:marRight w:val="0"/>
      <w:marTop w:val="0"/>
      <w:marBottom w:val="0"/>
      <w:divBdr>
        <w:top w:val="none" w:sz="0" w:space="0" w:color="auto"/>
        <w:left w:val="none" w:sz="0" w:space="0" w:color="auto"/>
        <w:bottom w:val="none" w:sz="0" w:space="0" w:color="auto"/>
        <w:right w:val="none" w:sz="0" w:space="0" w:color="auto"/>
      </w:divBdr>
    </w:div>
    <w:div w:id="1252277405">
      <w:bodyDiv w:val="1"/>
      <w:marLeft w:val="0"/>
      <w:marRight w:val="0"/>
      <w:marTop w:val="0"/>
      <w:marBottom w:val="0"/>
      <w:divBdr>
        <w:top w:val="none" w:sz="0" w:space="0" w:color="auto"/>
        <w:left w:val="none" w:sz="0" w:space="0" w:color="auto"/>
        <w:bottom w:val="none" w:sz="0" w:space="0" w:color="auto"/>
        <w:right w:val="none" w:sz="0" w:space="0" w:color="auto"/>
      </w:divBdr>
    </w:div>
    <w:div w:id="1252356737">
      <w:bodyDiv w:val="1"/>
      <w:marLeft w:val="0"/>
      <w:marRight w:val="0"/>
      <w:marTop w:val="0"/>
      <w:marBottom w:val="0"/>
      <w:divBdr>
        <w:top w:val="none" w:sz="0" w:space="0" w:color="auto"/>
        <w:left w:val="none" w:sz="0" w:space="0" w:color="auto"/>
        <w:bottom w:val="none" w:sz="0" w:space="0" w:color="auto"/>
        <w:right w:val="none" w:sz="0" w:space="0" w:color="auto"/>
      </w:divBdr>
    </w:div>
    <w:div w:id="1252395649">
      <w:bodyDiv w:val="1"/>
      <w:marLeft w:val="0"/>
      <w:marRight w:val="0"/>
      <w:marTop w:val="0"/>
      <w:marBottom w:val="0"/>
      <w:divBdr>
        <w:top w:val="none" w:sz="0" w:space="0" w:color="auto"/>
        <w:left w:val="none" w:sz="0" w:space="0" w:color="auto"/>
        <w:bottom w:val="none" w:sz="0" w:space="0" w:color="auto"/>
        <w:right w:val="none" w:sz="0" w:space="0" w:color="auto"/>
      </w:divBdr>
    </w:div>
    <w:div w:id="1252734950">
      <w:bodyDiv w:val="1"/>
      <w:marLeft w:val="0"/>
      <w:marRight w:val="0"/>
      <w:marTop w:val="0"/>
      <w:marBottom w:val="0"/>
      <w:divBdr>
        <w:top w:val="none" w:sz="0" w:space="0" w:color="auto"/>
        <w:left w:val="none" w:sz="0" w:space="0" w:color="auto"/>
        <w:bottom w:val="none" w:sz="0" w:space="0" w:color="auto"/>
        <w:right w:val="none" w:sz="0" w:space="0" w:color="auto"/>
      </w:divBdr>
    </w:div>
    <w:div w:id="1252741167">
      <w:bodyDiv w:val="1"/>
      <w:marLeft w:val="0"/>
      <w:marRight w:val="0"/>
      <w:marTop w:val="0"/>
      <w:marBottom w:val="0"/>
      <w:divBdr>
        <w:top w:val="none" w:sz="0" w:space="0" w:color="auto"/>
        <w:left w:val="none" w:sz="0" w:space="0" w:color="auto"/>
        <w:bottom w:val="none" w:sz="0" w:space="0" w:color="auto"/>
        <w:right w:val="none" w:sz="0" w:space="0" w:color="auto"/>
      </w:divBdr>
    </w:div>
    <w:div w:id="1252742984">
      <w:bodyDiv w:val="1"/>
      <w:marLeft w:val="0"/>
      <w:marRight w:val="0"/>
      <w:marTop w:val="0"/>
      <w:marBottom w:val="0"/>
      <w:divBdr>
        <w:top w:val="none" w:sz="0" w:space="0" w:color="auto"/>
        <w:left w:val="none" w:sz="0" w:space="0" w:color="auto"/>
        <w:bottom w:val="none" w:sz="0" w:space="0" w:color="auto"/>
        <w:right w:val="none" w:sz="0" w:space="0" w:color="auto"/>
      </w:divBdr>
    </w:div>
    <w:div w:id="1252933303">
      <w:bodyDiv w:val="1"/>
      <w:marLeft w:val="0"/>
      <w:marRight w:val="0"/>
      <w:marTop w:val="0"/>
      <w:marBottom w:val="0"/>
      <w:divBdr>
        <w:top w:val="none" w:sz="0" w:space="0" w:color="auto"/>
        <w:left w:val="none" w:sz="0" w:space="0" w:color="auto"/>
        <w:bottom w:val="none" w:sz="0" w:space="0" w:color="auto"/>
        <w:right w:val="none" w:sz="0" w:space="0" w:color="auto"/>
      </w:divBdr>
    </w:div>
    <w:div w:id="1253008722">
      <w:bodyDiv w:val="1"/>
      <w:marLeft w:val="0"/>
      <w:marRight w:val="0"/>
      <w:marTop w:val="0"/>
      <w:marBottom w:val="0"/>
      <w:divBdr>
        <w:top w:val="none" w:sz="0" w:space="0" w:color="auto"/>
        <w:left w:val="none" w:sz="0" w:space="0" w:color="auto"/>
        <w:bottom w:val="none" w:sz="0" w:space="0" w:color="auto"/>
        <w:right w:val="none" w:sz="0" w:space="0" w:color="auto"/>
      </w:divBdr>
    </w:div>
    <w:div w:id="1253048568">
      <w:bodyDiv w:val="1"/>
      <w:marLeft w:val="0"/>
      <w:marRight w:val="0"/>
      <w:marTop w:val="0"/>
      <w:marBottom w:val="0"/>
      <w:divBdr>
        <w:top w:val="none" w:sz="0" w:space="0" w:color="auto"/>
        <w:left w:val="none" w:sz="0" w:space="0" w:color="auto"/>
        <w:bottom w:val="none" w:sz="0" w:space="0" w:color="auto"/>
        <w:right w:val="none" w:sz="0" w:space="0" w:color="auto"/>
      </w:divBdr>
    </w:div>
    <w:div w:id="1253319815">
      <w:bodyDiv w:val="1"/>
      <w:marLeft w:val="0"/>
      <w:marRight w:val="0"/>
      <w:marTop w:val="0"/>
      <w:marBottom w:val="0"/>
      <w:divBdr>
        <w:top w:val="none" w:sz="0" w:space="0" w:color="auto"/>
        <w:left w:val="none" w:sz="0" w:space="0" w:color="auto"/>
        <w:bottom w:val="none" w:sz="0" w:space="0" w:color="auto"/>
        <w:right w:val="none" w:sz="0" w:space="0" w:color="auto"/>
      </w:divBdr>
    </w:div>
    <w:div w:id="1253398705">
      <w:bodyDiv w:val="1"/>
      <w:marLeft w:val="0"/>
      <w:marRight w:val="0"/>
      <w:marTop w:val="0"/>
      <w:marBottom w:val="0"/>
      <w:divBdr>
        <w:top w:val="none" w:sz="0" w:space="0" w:color="auto"/>
        <w:left w:val="none" w:sz="0" w:space="0" w:color="auto"/>
        <w:bottom w:val="none" w:sz="0" w:space="0" w:color="auto"/>
        <w:right w:val="none" w:sz="0" w:space="0" w:color="auto"/>
      </w:divBdr>
    </w:div>
    <w:div w:id="1253467801">
      <w:bodyDiv w:val="1"/>
      <w:marLeft w:val="0"/>
      <w:marRight w:val="0"/>
      <w:marTop w:val="0"/>
      <w:marBottom w:val="0"/>
      <w:divBdr>
        <w:top w:val="none" w:sz="0" w:space="0" w:color="auto"/>
        <w:left w:val="none" w:sz="0" w:space="0" w:color="auto"/>
        <w:bottom w:val="none" w:sz="0" w:space="0" w:color="auto"/>
        <w:right w:val="none" w:sz="0" w:space="0" w:color="auto"/>
      </w:divBdr>
    </w:div>
    <w:div w:id="1253474275">
      <w:bodyDiv w:val="1"/>
      <w:marLeft w:val="0"/>
      <w:marRight w:val="0"/>
      <w:marTop w:val="0"/>
      <w:marBottom w:val="0"/>
      <w:divBdr>
        <w:top w:val="none" w:sz="0" w:space="0" w:color="auto"/>
        <w:left w:val="none" w:sz="0" w:space="0" w:color="auto"/>
        <w:bottom w:val="none" w:sz="0" w:space="0" w:color="auto"/>
        <w:right w:val="none" w:sz="0" w:space="0" w:color="auto"/>
      </w:divBdr>
    </w:div>
    <w:div w:id="1253513972">
      <w:bodyDiv w:val="1"/>
      <w:marLeft w:val="0"/>
      <w:marRight w:val="0"/>
      <w:marTop w:val="0"/>
      <w:marBottom w:val="0"/>
      <w:divBdr>
        <w:top w:val="none" w:sz="0" w:space="0" w:color="auto"/>
        <w:left w:val="none" w:sz="0" w:space="0" w:color="auto"/>
        <w:bottom w:val="none" w:sz="0" w:space="0" w:color="auto"/>
        <w:right w:val="none" w:sz="0" w:space="0" w:color="auto"/>
      </w:divBdr>
    </w:div>
    <w:div w:id="1253588940">
      <w:bodyDiv w:val="1"/>
      <w:marLeft w:val="0"/>
      <w:marRight w:val="0"/>
      <w:marTop w:val="0"/>
      <w:marBottom w:val="0"/>
      <w:divBdr>
        <w:top w:val="none" w:sz="0" w:space="0" w:color="auto"/>
        <w:left w:val="none" w:sz="0" w:space="0" w:color="auto"/>
        <w:bottom w:val="none" w:sz="0" w:space="0" w:color="auto"/>
        <w:right w:val="none" w:sz="0" w:space="0" w:color="auto"/>
      </w:divBdr>
    </w:div>
    <w:div w:id="1253591583">
      <w:bodyDiv w:val="1"/>
      <w:marLeft w:val="0"/>
      <w:marRight w:val="0"/>
      <w:marTop w:val="0"/>
      <w:marBottom w:val="0"/>
      <w:divBdr>
        <w:top w:val="none" w:sz="0" w:space="0" w:color="auto"/>
        <w:left w:val="none" w:sz="0" w:space="0" w:color="auto"/>
        <w:bottom w:val="none" w:sz="0" w:space="0" w:color="auto"/>
        <w:right w:val="none" w:sz="0" w:space="0" w:color="auto"/>
      </w:divBdr>
    </w:div>
    <w:div w:id="1253660186">
      <w:bodyDiv w:val="1"/>
      <w:marLeft w:val="0"/>
      <w:marRight w:val="0"/>
      <w:marTop w:val="0"/>
      <w:marBottom w:val="0"/>
      <w:divBdr>
        <w:top w:val="none" w:sz="0" w:space="0" w:color="auto"/>
        <w:left w:val="none" w:sz="0" w:space="0" w:color="auto"/>
        <w:bottom w:val="none" w:sz="0" w:space="0" w:color="auto"/>
        <w:right w:val="none" w:sz="0" w:space="0" w:color="auto"/>
      </w:divBdr>
    </w:div>
    <w:div w:id="1253779397">
      <w:bodyDiv w:val="1"/>
      <w:marLeft w:val="0"/>
      <w:marRight w:val="0"/>
      <w:marTop w:val="0"/>
      <w:marBottom w:val="0"/>
      <w:divBdr>
        <w:top w:val="none" w:sz="0" w:space="0" w:color="auto"/>
        <w:left w:val="none" w:sz="0" w:space="0" w:color="auto"/>
        <w:bottom w:val="none" w:sz="0" w:space="0" w:color="auto"/>
        <w:right w:val="none" w:sz="0" w:space="0" w:color="auto"/>
      </w:divBdr>
    </w:div>
    <w:div w:id="1253856158">
      <w:bodyDiv w:val="1"/>
      <w:marLeft w:val="0"/>
      <w:marRight w:val="0"/>
      <w:marTop w:val="0"/>
      <w:marBottom w:val="0"/>
      <w:divBdr>
        <w:top w:val="none" w:sz="0" w:space="0" w:color="auto"/>
        <w:left w:val="none" w:sz="0" w:space="0" w:color="auto"/>
        <w:bottom w:val="none" w:sz="0" w:space="0" w:color="auto"/>
        <w:right w:val="none" w:sz="0" w:space="0" w:color="auto"/>
      </w:divBdr>
    </w:div>
    <w:div w:id="1253902202">
      <w:bodyDiv w:val="1"/>
      <w:marLeft w:val="0"/>
      <w:marRight w:val="0"/>
      <w:marTop w:val="0"/>
      <w:marBottom w:val="0"/>
      <w:divBdr>
        <w:top w:val="none" w:sz="0" w:space="0" w:color="auto"/>
        <w:left w:val="none" w:sz="0" w:space="0" w:color="auto"/>
        <w:bottom w:val="none" w:sz="0" w:space="0" w:color="auto"/>
        <w:right w:val="none" w:sz="0" w:space="0" w:color="auto"/>
      </w:divBdr>
    </w:div>
    <w:div w:id="1253975861">
      <w:bodyDiv w:val="1"/>
      <w:marLeft w:val="0"/>
      <w:marRight w:val="0"/>
      <w:marTop w:val="0"/>
      <w:marBottom w:val="0"/>
      <w:divBdr>
        <w:top w:val="none" w:sz="0" w:space="0" w:color="auto"/>
        <w:left w:val="none" w:sz="0" w:space="0" w:color="auto"/>
        <w:bottom w:val="none" w:sz="0" w:space="0" w:color="auto"/>
        <w:right w:val="none" w:sz="0" w:space="0" w:color="auto"/>
      </w:divBdr>
    </w:div>
    <w:div w:id="1254121977">
      <w:bodyDiv w:val="1"/>
      <w:marLeft w:val="0"/>
      <w:marRight w:val="0"/>
      <w:marTop w:val="0"/>
      <w:marBottom w:val="0"/>
      <w:divBdr>
        <w:top w:val="none" w:sz="0" w:space="0" w:color="auto"/>
        <w:left w:val="none" w:sz="0" w:space="0" w:color="auto"/>
        <w:bottom w:val="none" w:sz="0" w:space="0" w:color="auto"/>
        <w:right w:val="none" w:sz="0" w:space="0" w:color="auto"/>
      </w:divBdr>
    </w:div>
    <w:div w:id="1254168259">
      <w:bodyDiv w:val="1"/>
      <w:marLeft w:val="0"/>
      <w:marRight w:val="0"/>
      <w:marTop w:val="0"/>
      <w:marBottom w:val="0"/>
      <w:divBdr>
        <w:top w:val="none" w:sz="0" w:space="0" w:color="auto"/>
        <w:left w:val="none" w:sz="0" w:space="0" w:color="auto"/>
        <w:bottom w:val="none" w:sz="0" w:space="0" w:color="auto"/>
        <w:right w:val="none" w:sz="0" w:space="0" w:color="auto"/>
      </w:divBdr>
    </w:div>
    <w:div w:id="1254244862">
      <w:bodyDiv w:val="1"/>
      <w:marLeft w:val="0"/>
      <w:marRight w:val="0"/>
      <w:marTop w:val="0"/>
      <w:marBottom w:val="0"/>
      <w:divBdr>
        <w:top w:val="none" w:sz="0" w:space="0" w:color="auto"/>
        <w:left w:val="none" w:sz="0" w:space="0" w:color="auto"/>
        <w:bottom w:val="none" w:sz="0" w:space="0" w:color="auto"/>
        <w:right w:val="none" w:sz="0" w:space="0" w:color="auto"/>
      </w:divBdr>
    </w:div>
    <w:div w:id="1254247298">
      <w:bodyDiv w:val="1"/>
      <w:marLeft w:val="0"/>
      <w:marRight w:val="0"/>
      <w:marTop w:val="0"/>
      <w:marBottom w:val="0"/>
      <w:divBdr>
        <w:top w:val="none" w:sz="0" w:space="0" w:color="auto"/>
        <w:left w:val="none" w:sz="0" w:space="0" w:color="auto"/>
        <w:bottom w:val="none" w:sz="0" w:space="0" w:color="auto"/>
        <w:right w:val="none" w:sz="0" w:space="0" w:color="auto"/>
      </w:divBdr>
    </w:div>
    <w:div w:id="1254434243">
      <w:bodyDiv w:val="1"/>
      <w:marLeft w:val="0"/>
      <w:marRight w:val="0"/>
      <w:marTop w:val="0"/>
      <w:marBottom w:val="0"/>
      <w:divBdr>
        <w:top w:val="none" w:sz="0" w:space="0" w:color="auto"/>
        <w:left w:val="none" w:sz="0" w:space="0" w:color="auto"/>
        <w:bottom w:val="none" w:sz="0" w:space="0" w:color="auto"/>
        <w:right w:val="none" w:sz="0" w:space="0" w:color="auto"/>
      </w:divBdr>
    </w:div>
    <w:div w:id="1254708780">
      <w:bodyDiv w:val="1"/>
      <w:marLeft w:val="0"/>
      <w:marRight w:val="0"/>
      <w:marTop w:val="0"/>
      <w:marBottom w:val="0"/>
      <w:divBdr>
        <w:top w:val="none" w:sz="0" w:space="0" w:color="auto"/>
        <w:left w:val="none" w:sz="0" w:space="0" w:color="auto"/>
        <w:bottom w:val="none" w:sz="0" w:space="0" w:color="auto"/>
        <w:right w:val="none" w:sz="0" w:space="0" w:color="auto"/>
      </w:divBdr>
    </w:div>
    <w:div w:id="1254783598">
      <w:bodyDiv w:val="1"/>
      <w:marLeft w:val="0"/>
      <w:marRight w:val="0"/>
      <w:marTop w:val="0"/>
      <w:marBottom w:val="0"/>
      <w:divBdr>
        <w:top w:val="none" w:sz="0" w:space="0" w:color="auto"/>
        <w:left w:val="none" w:sz="0" w:space="0" w:color="auto"/>
        <w:bottom w:val="none" w:sz="0" w:space="0" w:color="auto"/>
        <w:right w:val="none" w:sz="0" w:space="0" w:color="auto"/>
      </w:divBdr>
    </w:div>
    <w:div w:id="1254819404">
      <w:bodyDiv w:val="1"/>
      <w:marLeft w:val="0"/>
      <w:marRight w:val="0"/>
      <w:marTop w:val="0"/>
      <w:marBottom w:val="0"/>
      <w:divBdr>
        <w:top w:val="none" w:sz="0" w:space="0" w:color="auto"/>
        <w:left w:val="none" w:sz="0" w:space="0" w:color="auto"/>
        <w:bottom w:val="none" w:sz="0" w:space="0" w:color="auto"/>
        <w:right w:val="none" w:sz="0" w:space="0" w:color="auto"/>
      </w:divBdr>
    </w:div>
    <w:div w:id="1254823276">
      <w:bodyDiv w:val="1"/>
      <w:marLeft w:val="0"/>
      <w:marRight w:val="0"/>
      <w:marTop w:val="0"/>
      <w:marBottom w:val="0"/>
      <w:divBdr>
        <w:top w:val="none" w:sz="0" w:space="0" w:color="auto"/>
        <w:left w:val="none" w:sz="0" w:space="0" w:color="auto"/>
        <w:bottom w:val="none" w:sz="0" w:space="0" w:color="auto"/>
        <w:right w:val="none" w:sz="0" w:space="0" w:color="auto"/>
      </w:divBdr>
    </w:div>
    <w:div w:id="1254823716">
      <w:bodyDiv w:val="1"/>
      <w:marLeft w:val="0"/>
      <w:marRight w:val="0"/>
      <w:marTop w:val="0"/>
      <w:marBottom w:val="0"/>
      <w:divBdr>
        <w:top w:val="none" w:sz="0" w:space="0" w:color="auto"/>
        <w:left w:val="none" w:sz="0" w:space="0" w:color="auto"/>
        <w:bottom w:val="none" w:sz="0" w:space="0" w:color="auto"/>
        <w:right w:val="none" w:sz="0" w:space="0" w:color="auto"/>
      </w:divBdr>
    </w:div>
    <w:div w:id="1254970137">
      <w:bodyDiv w:val="1"/>
      <w:marLeft w:val="0"/>
      <w:marRight w:val="0"/>
      <w:marTop w:val="0"/>
      <w:marBottom w:val="0"/>
      <w:divBdr>
        <w:top w:val="none" w:sz="0" w:space="0" w:color="auto"/>
        <w:left w:val="none" w:sz="0" w:space="0" w:color="auto"/>
        <w:bottom w:val="none" w:sz="0" w:space="0" w:color="auto"/>
        <w:right w:val="none" w:sz="0" w:space="0" w:color="auto"/>
      </w:divBdr>
    </w:div>
    <w:div w:id="1254976364">
      <w:bodyDiv w:val="1"/>
      <w:marLeft w:val="0"/>
      <w:marRight w:val="0"/>
      <w:marTop w:val="0"/>
      <w:marBottom w:val="0"/>
      <w:divBdr>
        <w:top w:val="none" w:sz="0" w:space="0" w:color="auto"/>
        <w:left w:val="none" w:sz="0" w:space="0" w:color="auto"/>
        <w:bottom w:val="none" w:sz="0" w:space="0" w:color="auto"/>
        <w:right w:val="none" w:sz="0" w:space="0" w:color="auto"/>
      </w:divBdr>
    </w:div>
    <w:div w:id="1254977511">
      <w:bodyDiv w:val="1"/>
      <w:marLeft w:val="0"/>
      <w:marRight w:val="0"/>
      <w:marTop w:val="0"/>
      <w:marBottom w:val="0"/>
      <w:divBdr>
        <w:top w:val="none" w:sz="0" w:space="0" w:color="auto"/>
        <w:left w:val="none" w:sz="0" w:space="0" w:color="auto"/>
        <w:bottom w:val="none" w:sz="0" w:space="0" w:color="auto"/>
        <w:right w:val="none" w:sz="0" w:space="0" w:color="auto"/>
      </w:divBdr>
    </w:div>
    <w:div w:id="1255163510">
      <w:bodyDiv w:val="1"/>
      <w:marLeft w:val="0"/>
      <w:marRight w:val="0"/>
      <w:marTop w:val="0"/>
      <w:marBottom w:val="0"/>
      <w:divBdr>
        <w:top w:val="none" w:sz="0" w:space="0" w:color="auto"/>
        <w:left w:val="none" w:sz="0" w:space="0" w:color="auto"/>
        <w:bottom w:val="none" w:sz="0" w:space="0" w:color="auto"/>
        <w:right w:val="none" w:sz="0" w:space="0" w:color="auto"/>
      </w:divBdr>
    </w:div>
    <w:div w:id="1255288688">
      <w:bodyDiv w:val="1"/>
      <w:marLeft w:val="0"/>
      <w:marRight w:val="0"/>
      <w:marTop w:val="0"/>
      <w:marBottom w:val="0"/>
      <w:divBdr>
        <w:top w:val="none" w:sz="0" w:space="0" w:color="auto"/>
        <w:left w:val="none" w:sz="0" w:space="0" w:color="auto"/>
        <w:bottom w:val="none" w:sz="0" w:space="0" w:color="auto"/>
        <w:right w:val="none" w:sz="0" w:space="0" w:color="auto"/>
      </w:divBdr>
    </w:div>
    <w:div w:id="1255481501">
      <w:bodyDiv w:val="1"/>
      <w:marLeft w:val="0"/>
      <w:marRight w:val="0"/>
      <w:marTop w:val="0"/>
      <w:marBottom w:val="0"/>
      <w:divBdr>
        <w:top w:val="none" w:sz="0" w:space="0" w:color="auto"/>
        <w:left w:val="none" w:sz="0" w:space="0" w:color="auto"/>
        <w:bottom w:val="none" w:sz="0" w:space="0" w:color="auto"/>
        <w:right w:val="none" w:sz="0" w:space="0" w:color="auto"/>
      </w:divBdr>
    </w:div>
    <w:div w:id="1255701833">
      <w:bodyDiv w:val="1"/>
      <w:marLeft w:val="0"/>
      <w:marRight w:val="0"/>
      <w:marTop w:val="0"/>
      <w:marBottom w:val="0"/>
      <w:divBdr>
        <w:top w:val="none" w:sz="0" w:space="0" w:color="auto"/>
        <w:left w:val="none" w:sz="0" w:space="0" w:color="auto"/>
        <w:bottom w:val="none" w:sz="0" w:space="0" w:color="auto"/>
        <w:right w:val="none" w:sz="0" w:space="0" w:color="auto"/>
      </w:divBdr>
    </w:div>
    <w:div w:id="1255745872">
      <w:bodyDiv w:val="1"/>
      <w:marLeft w:val="0"/>
      <w:marRight w:val="0"/>
      <w:marTop w:val="0"/>
      <w:marBottom w:val="0"/>
      <w:divBdr>
        <w:top w:val="none" w:sz="0" w:space="0" w:color="auto"/>
        <w:left w:val="none" w:sz="0" w:space="0" w:color="auto"/>
        <w:bottom w:val="none" w:sz="0" w:space="0" w:color="auto"/>
        <w:right w:val="none" w:sz="0" w:space="0" w:color="auto"/>
      </w:divBdr>
    </w:div>
    <w:div w:id="1255898565">
      <w:bodyDiv w:val="1"/>
      <w:marLeft w:val="0"/>
      <w:marRight w:val="0"/>
      <w:marTop w:val="0"/>
      <w:marBottom w:val="0"/>
      <w:divBdr>
        <w:top w:val="none" w:sz="0" w:space="0" w:color="auto"/>
        <w:left w:val="none" w:sz="0" w:space="0" w:color="auto"/>
        <w:bottom w:val="none" w:sz="0" w:space="0" w:color="auto"/>
        <w:right w:val="none" w:sz="0" w:space="0" w:color="auto"/>
      </w:divBdr>
    </w:div>
    <w:div w:id="1255940228">
      <w:bodyDiv w:val="1"/>
      <w:marLeft w:val="0"/>
      <w:marRight w:val="0"/>
      <w:marTop w:val="0"/>
      <w:marBottom w:val="0"/>
      <w:divBdr>
        <w:top w:val="none" w:sz="0" w:space="0" w:color="auto"/>
        <w:left w:val="none" w:sz="0" w:space="0" w:color="auto"/>
        <w:bottom w:val="none" w:sz="0" w:space="0" w:color="auto"/>
        <w:right w:val="none" w:sz="0" w:space="0" w:color="auto"/>
      </w:divBdr>
    </w:div>
    <w:div w:id="1256086778">
      <w:bodyDiv w:val="1"/>
      <w:marLeft w:val="0"/>
      <w:marRight w:val="0"/>
      <w:marTop w:val="0"/>
      <w:marBottom w:val="0"/>
      <w:divBdr>
        <w:top w:val="none" w:sz="0" w:space="0" w:color="auto"/>
        <w:left w:val="none" w:sz="0" w:space="0" w:color="auto"/>
        <w:bottom w:val="none" w:sz="0" w:space="0" w:color="auto"/>
        <w:right w:val="none" w:sz="0" w:space="0" w:color="auto"/>
      </w:divBdr>
    </w:div>
    <w:div w:id="1256208578">
      <w:bodyDiv w:val="1"/>
      <w:marLeft w:val="0"/>
      <w:marRight w:val="0"/>
      <w:marTop w:val="0"/>
      <w:marBottom w:val="0"/>
      <w:divBdr>
        <w:top w:val="none" w:sz="0" w:space="0" w:color="auto"/>
        <w:left w:val="none" w:sz="0" w:space="0" w:color="auto"/>
        <w:bottom w:val="none" w:sz="0" w:space="0" w:color="auto"/>
        <w:right w:val="none" w:sz="0" w:space="0" w:color="auto"/>
      </w:divBdr>
    </w:div>
    <w:div w:id="1256209930">
      <w:bodyDiv w:val="1"/>
      <w:marLeft w:val="0"/>
      <w:marRight w:val="0"/>
      <w:marTop w:val="0"/>
      <w:marBottom w:val="0"/>
      <w:divBdr>
        <w:top w:val="none" w:sz="0" w:space="0" w:color="auto"/>
        <w:left w:val="none" w:sz="0" w:space="0" w:color="auto"/>
        <w:bottom w:val="none" w:sz="0" w:space="0" w:color="auto"/>
        <w:right w:val="none" w:sz="0" w:space="0" w:color="auto"/>
      </w:divBdr>
    </w:div>
    <w:div w:id="1256286242">
      <w:bodyDiv w:val="1"/>
      <w:marLeft w:val="0"/>
      <w:marRight w:val="0"/>
      <w:marTop w:val="0"/>
      <w:marBottom w:val="0"/>
      <w:divBdr>
        <w:top w:val="none" w:sz="0" w:space="0" w:color="auto"/>
        <w:left w:val="none" w:sz="0" w:space="0" w:color="auto"/>
        <w:bottom w:val="none" w:sz="0" w:space="0" w:color="auto"/>
        <w:right w:val="none" w:sz="0" w:space="0" w:color="auto"/>
      </w:divBdr>
    </w:div>
    <w:div w:id="1256354278">
      <w:bodyDiv w:val="1"/>
      <w:marLeft w:val="0"/>
      <w:marRight w:val="0"/>
      <w:marTop w:val="0"/>
      <w:marBottom w:val="0"/>
      <w:divBdr>
        <w:top w:val="none" w:sz="0" w:space="0" w:color="auto"/>
        <w:left w:val="none" w:sz="0" w:space="0" w:color="auto"/>
        <w:bottom w:val="none" w:sz="0" w:space="0" w:color="auto"/>
        <w:right w:val="none" w:sz="0" w:space="0" w:color="auto"/>
      </w:divBdr>
    </w:div>
    <w:div w:id="1256397570">
      <w:bodyDiv w:val="1"/>
      <w:marLeft w:val="0"/>
      <w:marRight w:val="0"/>
      <w:marTop w:val="0"/>
      <w:marBottom w:val="0"/>
      <w:divBdr>
        <w:top w:val="none" w:sz="0" w:space="0" w:color="auto"/>
        <w:left w:val="none" w:sz="0" w:space="0" w:color="auto"/>
        <w:bottom w:val="none" w:sz="0" w:space="0" w:color="auto"/>
        <w:right w:val="none" w:sz="0" w:space="0" w:color="auto"/>
      </w:divBdr>
    </w:div>
    <w:div w:id="1256405175">
      <w:bodyDiv w:val="1"/>
      <w:marLeft w:val="0"/>
      <w:marRight w:val="0"/>
      <w:marTop w:val="0"/>
      <w:marBottom w:val="0"/>
      <w:divBdr>
        <w:top w:val="none" w:sz="0" w:space="0" w:color="auto"/>
        <w:left w:val="none" w:sz="0" w:space="0" w:color="auto"/>
        <w:bottom w:val="none" w:sz="0" w:space="0" w:color="auto"/>
        <w:right w:val="none" w:sz="0" w:space="0" w:color="auto"/>
      </w:divBdr>
    </w:div>
    <w:div w:id="1256477048">
      <w:bodyDiv w:val="1"/>
      <w:marLeft w:val="0"/>
      <w:marRight w:val="0"/>
      <w:marTop w:val="0"/>
      <w:marBottom w:val="0"/>
      <w:divBdr>
        <w:top w:val="none" w:sz="0" w:space="0" w:color="auto"/>
        <w:left w:val="none" w:sz="0" w:space="0" w:color="auto"/>
        <w:bottom w:val="none" w:sz="0" w:space="0" w:color="auto"/>
        <w:right w:val="none" w:sz="0" w:space="0" w:color="auto"/>
      </w:divBdr>
    </w:div>
    <w:div w:id="1256524016">
      <w:bodyDiv w:val="1"/>
      <w:marLeft w:val="0"/>
      <w:marRight w:val="0"/>
      <w:marTop w:val="0"/>
      <w:marBottom w:val="0"/>
      <w:divBdr>
        <w:top w:val="none" w:sz="0" w:space="0" w:color="auto"/>
        <w:left w:val="none" w:sz="0" w:space="0" w:color="auto"/>
        <w:bottom w:val="none" w:sz="0" w:space="0" w:color="auto"/>
        <w:right w:val="none" w:sz="0" w:space="0" w:color="auto"/>
      </w:divBdr>
    </w:div>
    <w:div w:id="1256597035">
      <w:bodyDiv w:val="1"/>
      <w:marLeft w:val="0"/>
      <w:marRight w:val="0"/>
      <w:marTop w:val="0"/>
      <w:marBottom w:val="0"/>
      <w:divBdr>
        <w:top w:val="none" w:sz="0" w:space="0" w:color="auto"/>
        <w:left w:val="none" w:sz="0" w:space="0" w:color="auto"/>
        <w:bottom w:val="none" w:sz="0" w:space="0" w:color="auto"/>
        <w:right w:val="none" w:sz="0" w:space="0" w:color="auto"/>
      </w:divBdr>
    </w:div>
    <w:div w:id="1256668901">
      <w:bodyDiv w:val="1"/>
      <w:marLeft w:val="0"/>
      <w:marRight w:val="0"/>
      <w:marTop w:val="0"/>
      <w:marBottom w:val="0"/>
      <w:divBdr>
        <w:top w:val="none" w:sz="0" w:space="0" w:color="auto"/>
        <w:left w:val="none" w:sz="0" w:space="0" w:color="auto"/>
        <w:bottom w:val="none" w:sz="0" w:space="0" w:color="auto"/>
        <w:right w:val="none" w:sz="0" w:space="0" w:color="auto"/>
      </w:divBdr>
    </w:div>
    <w:div w:id="1256745181">
      <w:bodyDiv w:val="1"/>
      <w:marLeft w:val="0"/>
      <w:marRight w:val="0"/>
      <w:marTop w:val="0"/>
      <w:marBottom w:val="0"/>
      <w:divBdr>
        <w:top w:val="none" w:sz="0" w:space="0" w:color="auto"/>
        <w:left w:val="none" w:sz="0" w:space="0" w:color="auto"/>
        <w:bottom w:val="none" w:sz="0" w:space="0" w:color="auto"/>
        <w:right w:val="none" w:sz="0" w:space="0" w:color="auto"/>
      </w:divBdr>
    </w:div>
    <w:div w:id="1256936695">
      <w:bodyDiv w:val="1"/>
      <w:marLeft w:val="0"/>
      <w:marRight w:val="0"/>
      <w:marTop w:val="0"/>
      <w:marBottom w:val="0"/>
      <w:divBdr>
        <w:top w:val="none" w:sz="0" w:space="0" w:color="auto"/>
        <w:left w:val="none" w:sz="0" w:space="0" w:color="auto"/>
        <w:bottom w:val="none" w:sz="0" w:space="0" w:color="auto"/>
        <w:right w:val="none" w:sz="0" w:space="0" w:color="auto"/>
      </w:divBdr>
    </w:div>
    <w:div w:id="1257056711">
      <w:bodyDiv w:val="1"/>
      <w:marLeft w:val="0"/>
      <w:marRight w:val="0"/>
      <w:marTop w:val="0"/>
      <w:marBottom w:val="0"/>
      <w:divBdr>
        <w:top w:val="none" w:sz="0" w:space="0" w:color="auto"/>
        <w:left w:val="none" w:sz="0" w:space="0" w:color="auto"/>
        <w:bottom w:val="none" w:sz="0" w:space="0" w:color="auto"/>
        <w:right w:val="none" w:sz="0" w:space="0" w:color="auto"/>
      </w:divBdr>
    </w:div>
    <w:div w:id="1257060861">
      <w:bodyDiv w:val="1"/>
      <w:marLeft w:val="0"/>
      <w:marRight w:val="0"/>
      <w:marTop w:val="0"/>
      <w:marBottom w:val="0"/>
      <w:divBdr>
        <w:top w:val="none" w:sz="0" w:space="0" w:color="auto"/>
        <w:left w:val="none" w:sz="0" w:space="0" w:color="auto"/>
        <w:bottom w:val="none" w:sz="0" w:space="0" w:color="auto"/>
        <w:right w:val="none" w:sz="0" w:space="0" w:color="auto"/>
      </w:divBdr>
    </w:div>
    <w:div w:id="1257128926">
      <w:bodyDiv w:val="1"/>
      <w:marLeft w:val="0"/>
      <w:marRight w:val="0"/>
      <w:marTop w:val="0"/>
      <w:marBottom w:val="0"/>
      <w:divBdr>
        <w:top w:val="none" w:sz="0" w:space="0" w:color="auto"/>
        <w:left w:val="none" w:sz="0" w:space="0" w:color="auto"/>
        <w:bottom w:val="none" w:sz="0" w:space="0" w:color="auto"/>
        <w:right w:val="none" w:sz="0" w:space="0" w:color="auto"/>
      </w:divBdr>
    </w:div>
    <w:div w:id="1257207184">
      <w:bodyDiv w:val="1"/>
      <w:marLeft w:val="0"/>
      <w:marRight w:val="0"/>
      <w:marTop w:val="0"/>
      <w:marBottom w:val="0"/>
      <w:divBdr>
        <w:top w:val="none" w:sz="0" w:space="0" w:color="auto"/>
        <w:left w:val="none" w:sz="0" w:space="0" w:color="auto"/>
        <w:bottom w:val="none" w:sz="0" w:space="0" w:color="auto"/>
        <w:right w:val="none" w:sz="0" w:space="0" w:color="auto"/>
      </w:divBdr>
    </w:div>
    <w:div w:id="1257248760">
      <w:bodyDiv w:val="1"/>
      <w:marLeft w:val="0"/>
      <w:marRight w:val="0"/>
      <w:marTop w:val="0"/>
      <w:marBottom w:val="0"/>
      <w:divBdr>
        <w:top w:val="none" w:sz="0" w:space="0" w:color="auto"/>
        <w:left w:val="none" w:sz="0" w:space="0" w:color="auto"/>
        <w:bottom w:val="none" w:sz="0" w:space="0" w:color="auto"/>
        <w:right w:val="none" w:sz="0" w:space="0" w:color="auto"/>
      </w:divBdr>
    </w:div>
    <w:div w:id="1257252313">
      <w:bodyDiv w:val="1"/>
      <w:marLeft w:val="0"/>
      <w:marRight w:val="0"/>
      <w:marTop w:val="0"/>
      <w:marBottom w:val="0"/>
      <w:divBdr>
        <w:top w:val="none" w:sz="0" w:space="0" w:color="auto"/>
        <w:left w:val="none" w:sz="0" w:space="0" w:color="auto"/>
        <w:bottom w:val="none" w:sz="0" w:space="0" w:color="auto"/>
        <w:right w:val="none" w:sz="0" w:space="0" w:color="auto"/>
      </w:divBdr>
    </w:div>
    <w:div w:id="1257400559">
      <w:bodyDiv w:val="1"/>
      <w:marLeft w:val="0"/>
      <w:marRight w:val="0"/>
      <w:marTop w:val="0"/>
      <w:marBottom w:val="0"/>
      <w:divBdr>
        <w:top w:val="none" w:sz="0" w:space="0" w:color="auto"/>
        <w:left w:val="none" w:sz="0" w:space="0" w:color="auto"/>
        <w:bottom w:val="none" w:sz="0" w:space="0" w:color="auto"/>
        <w:right w:val="none" w:sz="0" w:space="0" w:color="auto"/>
      </w:divBdr>
    </w:div>
    <w:div w:id="1257590108">
      <w:bodyDiv w:val="1"/>
      <w:marLeft w:val="0"/>
      <w:marRight w:val="0"/>
      <w:marTop w:val="0"/>
      <w:marBottom w:val="0"/>
      <w:divBdr>
        <w:top w:val="none" w:sz="0" w:space="0" w:color="auto"/>
        <w:left w:val="none" w:sz="0" w:space="0" w:color="auto"/>
        <w:bottom w:val="none" w:sz="0" w:space="0" w:color="auto"/>
        <w:right w:val="none" w:sz="0" w:space="0" w:color="auto"/>
      </w:divBdr>
    </w:div>
    <w:div w:id="1257639944">
      <w:bodyDiv w:val="1"/>
      <w:marLeft w:val="0"/>
      <w:marRight w:val="0"/>
      <w:marTop w:val="0"/>
      <w:marBottom w:val="0"/>
      <w:divBdr>
        <w:top w:val="none" w:sz="0" w:space="0" w:color="auto"/>
        <w:left w:val="none" w:sz="0" w:space="0" w:color="auto"/>
        <w:bottom w:val="none" w:sz="0" w:space="0" w:color="auto"/>
        <w:right w:val="none" w:sz="0" w:space="0" w:color="auto"/>
      </w:divBdr>
    </w:div>
    <w:div w:id="1257712618">
      <w:bodyDiv w:val="1"/>
      <w:marLeft w:val="0"/>
      <w:marRight w:val="0"/>
      <w:marTop w:val="0"/>
      <w:marBottom w:val="0"/>
      <w:divBdr>
        <w:top w:val="none" w:sz="0" w:space="0" w:color="auto"/>
        <w:left w:val="none" w:sz="0" w:space="0" w:color="auto"/>
        <w:bottom w:val="none" w:sz="0" w:space="0" w:color="auto"/>
        <w:right w:val="none" w:sz="0" w:space="0" w:color="auto"/>
      </w:divBdr>
    </w:div>
    <w:div w:id="1257715675">
      <w:bodyDiv w:val="1"/>
      <w:marLeft w:val="0"/>
      <w:marRight w:val="0"/>
      <w:marTop w:val="0"/>
      <w:marBottom w:val="0"/>
      <w:divBdr>
        <w:top w:val="none" w:sz="0" w:space="0" w:color="auto"/>
        <w:left w:val="none" w:sz="0" w:space="0" w:color="auto"/>
        <w:bottom w:val="none" w:sz="0" w:space="0" w:color="auto"/>
        <w:right w:val="none" w:sz="0" w:space="0" w:color="auto"/>
      </w:divBdr>
    </w:div>
    <w:div w:id="1257864145">
      <w:bodyDiv w:val="1"/>
      <w:marLeft w:val="0"/>
      <w:marRight w:val="0"/>
      <w:marTop w:val="0"/>
      <w:marBottom w:val="0"/>
      <w:divBdr>
        <w:top w:val="none" w:sz="0" w:space="0" w:color="auto"/>
        <w:left w:val="none" w:sz="0" w:space="0" w:color="auto"/>
        <w:bottom w:val="none" w:sz="0" w:space="0" w:color="auto"/>
        <w:right w:val="none" w:sz="0" w:space="0" w:color="auto"/>
      </w:divBdr>
    </w:div>
    <w:div w:id="1257909103">
      <w:bodyDiv w:val="1"/>
      <w:marLeft w:val="0"/>
      <w:marRight w:val="0"/>
      <w:marTop w:val="0"/>
      <w:marBottom w:val="0"/>
      <w:divBdr>
        <w:top w:val="none" w:sz="0" w:space="0" w:color="auto"/>
        <w:left w:val="none" w:sz="0" w:space="0" w:color="auto"/>
        <w:bottom w:val="none" w:sz="0" w:space="0" w:color="auto"/>
        <w:right w:val="none" w:sz="0" w:space="0" w:color="auto"/>
      </w:divBdr>
    </w:div>
    <w:div w:id="1257977486">
      <w:bodyDiv w:val="1"/>
      <w:marLeft w:val="0"/>
      <w:marRight w:val="0"/>
      <w:marTop w:val="0"/>
      <w:marBottom w:val="0"/>
      <w:divBdr>
        <w:top w:val="none" w:sz="0" w:space="0" w:color="auto"/>
        <w:left w:val="none" w:sz="0" w:space="0" w:color="auto"/>
        <w:bottom w:val="none" w:sz="0" w:space="0" w:color="auto"/>
        <w:right w:val="none" w:sz="0" w:space="0" w:color="auto"/>
      </w:divBdr>
    </w:div>
    <w:div w:id="1257980697">
      <w:bodyDiv w:val="1"/>
      <w:marLeft w:val="0"/>
      <w:marRight w:val="0"/>
      <w:marTop w:val="0"/>
      <w:marBottom w:val="0"/>
      <w:divBdr>
        <w:top w:val="none" w:sz="0" w:space="0" w:color="auto"/>
        <w:left w:val="none" w:sz="0" w:space="0" w:color="auto"/>
        <w:bottom w:val="none" w:sz="0" w:space="0" w:color="auto"/>
        <w:right w:val="none" w:sz="0" w:space="0" w:color="auto"/>
      </w:divBdr>
    </w:div>
    <w:div w:id="1258055781">
      <w:bodyDiv w:val="1"/>
      <w:marLeft w:val="0"/>
      <w:marRight w:val="0"/>
      <w:marTop w:val="0"/>
      <w:marBottom w:val="0"/>
      <w:divBdr>
        <w:top w:val="none" w:sz="0" w:space="0" w:color="auto"/>
        <w:left w:val="none" w:sz="0" w:space="0" w:color="auto"/>
        <w:bottom w:val="none" w:sz="0" w:space="0" w:color="auto"/>
        <w:right w:val="none" w:sz="0" w:space="0" w:color="auto"/>
      </w:divBdr>
    </w:div>
    <w:div w:id="1258060854">
      <w:bodyDiv w:val="1"/>
      <w:marLeft w:val="0"/>
      <w:marRight w:val="0"/>
      <w:marTop w:val="0"/>
      <w:marBottom w:val="0"/>
      <w:divBdr>
        <w:top w:val="none" w:sz="0" w:space="0" w:color="auto"/>
        <w:left w:val="none" w:sz="0" w:space="0" w:color="auto"/>
        <w:bottom w:val="none" w:sz="0" w:space="0" w:color="auto"/>
        <w:right w:val="none" w:sz="0" w:space="0" w:color="auto"/>
      </w:divBdr>
    </w:div>
    <w:div w:id="1258176396">
      <w:bodyDiv w:val="1"/>
      <w:marLeft w:val="0"/>
      <w:marRight w:val="0"/>
      <w:marTop w:val="0"/>
      <w:marBottom w:val="0"/>
      <w:divBdr>
        <w:top w:val="none" w:sz="0" w:space="0" w:color="auto"/>
        <w:left w:val="none" w:sz="0" w:space="0" w:color="auto"/>
        <w:bottom w:val="none" w:sz="0" w:space="0" w:color="auto"/>
        <w:right w:val="none" w:sz="0" w:space="0" w:color="auto"/>
      </w:divBdr>
    </w:div>
    <w:div w:id="1258249680">
      <w:bodyDiv w:val="1"/>
      <w:marLeft w:val="0"/>
      <w:marRight w:val="0"/>
      <w:marTop w:val="0"/>
      <w:marBottom w:val="0"/>
      <w:divBdr>
        <w:top w:val="none" w:sz="0" w:space="0" w:color="auto"/>
        <w:left w:val="none" w:sz="0" w:space="0" w:color="auto"/>
        <w:bottom w:val="none" w:sz="0" w:space="0" w:color="auto"/>
        <w:right w:val="none" w:sz="0" w:space="0" w:color="auto"/>
      </w:divBdr>
    </w:div>
    <w:div w:id="1258323141">
      <w:bodyDiv w:val="1"/>
      <w:marLeft w:val="0"/>
      <w:marRight w:val="0"/>
      <w:marTop w:val="0"/>
      <w:marBottom w:val="0"/>
      <w:divBdr>
        <w:top w:val="none" w:sz="0" w:space="0" w:color="auto"/>
        <w:left w:val="none" w:sz="0" w:space="0" w:color="auto"/>
        <w:bottom w:val="none" w:sz="0" w:space="0" w:color="auto"/>
        <w:right w:val="none" w:sz="0" w:space="0" w:color="auto"/>
      </w:divBdr>
    </w:div>
    <w:div w:id="1258364699">
      <w:bodyDiv w:val="1"/>
      <w:marLeft w:val="0"/>
      <w:marRight w:val="0"/>
      <w:marTop w:val="0"/>
      <w:marBottom w:val="0"/>
      <w:divBdr>
        <w:top w:val="none" w:sz="0" w:space="0" w:color="auto"/>
        <w:left w:val="none" w:sz="0" w:space="0" w:color="auto"/>
        <w:bottom w:val="none" w:sz="0" w:space="0" w:color="auto"/>
        <w:right w:val="none" w:sz="0" w:space="0" w:color="auto"/>
      </w:divBdr>
    </w:div>
    <w:div w:id="1258369965">
      <w:bodyDiv w:val="1"/>
      <w:marLeft w:val="0"/>
      <w:marRight w:val="0"/>
      <w:marTop w:val="0"/>
      <w:marBottom w:val="0"/>
      <w:divBdr>
        <w:top w:val="none" w:sz="0" w:space="0" w:color="auto"/>
        <w:left w:val="none" w:sz="0" w:space="0" w:color="auto"/>
        <w:bottom w:val="none" w:sz="0" w:space="0" w:color="auto"/>
        <w:right w:val="none" w:sz="0" w:space="0" w:color="auto"/>
      </w:divBdr>
    </w:div>
    <w:div w:id="1258443393">
      <w:bodyDiv w:val="1"/>
      <w:marLeft w:val="0"/>
      <w:marRight w:val="0"/>
      <w:marTop w:val="0"/>
      <w:marBottom w:val="0"/>
      <w:divBdr>
        <w:top w:val="none" w:sz="0" w:space="0" w:color="auto"/>
        <w:left w:val="none" w:sz="0" w:space="0" w:color="auto"/>
        <w:bottom w:val="none" w:sz="0" w:space="0" w:color="auto"/>
        <w:right w:val="none" w:sz="0" w:space="0" w:color="auto"/>
      </w:divBdr>
    </w:div>
    <w:div w:id="1258517368">
      <w:bodyDiv w:val="1"/>
      <w:marLeft w:val="0"/>
      <w:marRight w:val="0"/>
      <w:marTop w:val="0"/>
      <w:marBottom w:val="0"/>
      <w:divBdr>
        <w:top w:val="none" w:sz="0" w:space="0" w:color="auto"/>
        <w:left w:val="none" w:sz="0" w:space="0" w:color="auto"/>
        <w:bottom w:val="none" w:sz="0" w:space="0" w:color="auto"/>
        <w:right w:val="none" w:sz="0" w:space="0" w:color="auto"/>
      </w:divBdr>
    </w:div>
    <w:div w:id="1258557373">
      <w:bodyDiv w:val="1"/>
      <w:marLeft w:val="0"/>
      <w:marRight w:val="0"/>
      <w:marTop w:val="0"/>
      <w:marBottom w:val="0"/>
      <w:divBdr>
        <w:top w:val="none" w:sz="0" w:space="0" w:color="auto"/>
        <w:left w:val="none" w:sz="0" w:space="0" w:color="auto"/>
        <w:bottom w:val="none" w:sz="0" w:space="0" w:color="auto"/>
        <w:right w:val="none" w:sz="0" w:space="0" w:color="auto"/>
      </w:divBdr>
    </w:div>
    <w:div w:id="1258639631">
      <w:bodyDiv w:val="1"/>
      <w:marLeft w:val="0"/>
      <w:marRight w:val="0"/>
      <w:marTop w:val="0"/>
      <w:marBottom w:val="0"/>
      <w:divBdr>
        <w:top w:val="none" w:sz="0" w:space="0" w:color="auto"/>
        <w:left w:val="none" w:sz="0" w:space="0" w:color="auto"/>
        <w:bottom w:val="none" w:sz="0" w:space="0" w:color="auto"/>
        <w:right w:val="none" w:sz="0" w:space="0" w:color="auto"/>
      </w:divBdr>
    </w:div>
    <w:div w:id="1258715029">
      <w:bodyDiv w:val="1"/>
      <w:marLeft w:val="0"/>
      <w:marRight w:val="0"/>
      <w:marTop w:val="0"/>
      <w:marBottom w:val="0"/>
      <w:divBdr>
        <w:top w:val="none" w:sz="0" w:space="0" w:color="auto"/>
        <w:left w:val="none" w:sz="0" w:space="0" w:color="auto"/>
        <w:bottom w:val="none" w:sz="0" w:space="0" w:color="auto"/>
        <w:right w:val="none" w:sz="0" w:space="0" w:color="auto"/>
      </w:divBdr>
    </w:div>
    <w:div w:id="1259286851">
      <w:bodyDiv w:val="1"/>
      <w:marLeft w:val="0"/>
      <w:marRight w:val="0"/>
      <w:marTop w:val="0"/>
      <w:marBottom w:val="0"/>
      <w:divBdr>
        <w:top w:val="none" w:sz="0" w:space="0" w:color="auto"/>
        <w:left w:val="none" w:sz="0" w:space="0" w:color="auto"/>
        <w:bottom w:val="none" w:sz="0" w:space="0" w:color="auto"/>
        <w:right w:val="none" w:sz="0" w:space="0" w:color="auto"/>
      </w:divBdr>
    </w:div>
    <w:div w:id="1259293630">
      <w:bodyDiv w:val="1"/>
      <w:marLeft w:val="0"/>
      <w:marRight w:val="0"/>
      <w:marTop w:val="0"/>
      <w:marBottom w:val="0"/>
      <w:divBdr>
        <w:top w:val="none" w:sz="0" w:space="0" w:color="auto"/>
        <w:left w:val="none" w:sz="0" w:space="0" w:color="auto"/>
        <w:bottom w:val="none" w:sz="0" w:space="0" w:color="auto"/>
        <w:right w:val="none" w:sz="0" w:space="0" w:color="auto"/>
      </w:divBdr>
    </w:div>
    <w:div w:id="1259437297">
      <w:bodyDiv w:val="1"/>
      <w:marLeft w:val="0"/>
      <w:marRight w:val="0"/>
      <w:marTop w:val="0"/>
      <w:marBottom w:val="0"/>
      <w:divBdr>
        <w:top w:val="none" w:sz="0" w:space="0" w:color="auto"/>
        <w:left w:val="none" w:sz="0" w:space="0" w:color="auto"/>
        <w:bottom w:val="none" w:sz="0" w:space="0" w:color="auto"/>
        <w:right w:val="none" w:sz="0" w:space="0" w:color="auto"/>
      </w:divBdr>
    </w:div>
    <w:div w:id="1259480914">
      <w:bodyDiv w:val="1"/>
      <w:marLeft w:val="0"/>
      <w:marRight w:val="0"/>
      <w:marTop w:val="0"/>
      <w:marBottom w:val="0"/>
      <w:divBdr>
        <w:top w:val="none" w:sz="0" w:space="0" w:color="auto"/>
        <w:left w:val="none" w:sz="0" w:space="0" w:color="auto"/>
        <w:bottom w:val="none" w:sz="0" w:space="0" w:color="auto"/>
        <w:right w:val="none" w:sz="0" w:space="0" w:color="auto"/>
      </w:divBdr>
    </w:div>
    <w:div w:id="1259487506">
      <w:bodyDiv w:val="1"/>
      <w:marLeft w:val="0"/>
      <w:marRight w:val="0"/>
      <w:marTop w:val="0"/>
      <w:marBottom w:val="0"/>
      <w:divBdr>
        <w:top w:val="none" w:sz="0" w:space="0" w:color="auto"/>
        <w:left w:val="none" w:sz="0" w:space="0" w:color="auto"/>
        <w:bottom w:val="none" w:sz="0" w:space="0" w:color="auto"/>
        <w:right w:val="none" w:sz="0" w:space="0" w:color="auto"/>
      </w:divBdr>
    </w:div>
    <w:div w:id="1259560993">
      <w:bodyDiv w:val="1"/>
      <w:marLeft w:val="0"/>
      <w:marRight w:val="0"/>
      <w:marTop w:val="0"/>
      <w:marBottom w:val="0"/>
      <w:divBdr>
        <w:top w:val="none" w:sz="0" w:space="0" w:color="auto"/>
        <w:left w:val="none" w:sz="0" w:space="0" w:color="auto"/>
        <w:bottom w:val="none" w:sz="0" w:space="0" w:color="auto"/>
        <w:right w:val="none" w:sz="0" w:space="0" w:color="auto"/>
      </w:divBdr>
    </w:div>
    <w:div w:id="1259675413">
      <w:bodyDiv w:val="1"/>
      <w:marLeft w:val="0"/>
      <w:marRight w:val="0"/>
      <w:marTop w:val="0"/>
      <w:marBottom w:val="0"/>
      <w:divBdr>
        <w:top w:val="none" w:sz="0" w:space="0" w:color="auto"/>
        <w:left w:val="none" w:sz="0" w:space="0" w:color="auto"/>
        <w:bottom w:val="none" w:sz="0" w:space="0" w:color="auto"/>
        <w:right w:val="none" w:sz="0" w:space="0" w:color="auto"/>
      </w:divBdr>
    </w:div>
    <w:div w:id="1259800227">
      <w:bodyDiv w:val="1"/>
      <w:marLeft w:val="0"/>
      <w:marRight w:val="0"/>
      <w:marTop w:val="0"/>
      <w:marBottom w:val="0"/>
      <w:divBdr>
        <w:top w:val="none" w:sz="0" w:space="0" w:color="auto"/>
        <w:left w:val="none" w:sz="0" w:space="0" w:color="auto"/>
        <w:bottom w:val="none" w:sz="0" w:space="0" w:color="auto"/>
        <w:right w:val="none" w:sz="0" w:space="0" w:color="auto"/>
      </w:divBdr>
    </w:div>
    <w:div w:id="1259871888">
      <w:bodyDiv w:val="1"/>
      <w:marLeft w:val="0"/>
      <w:marRight w:val="0"/>
      <w:marTop w:val="0"/>
      <w:marBottom w:val="0"/>
      <w:divBdr>
        <w:top w:val="none" w:sz="0" w:space="0" w:color="auto"/>
        <w:left w:val="none" w:sz="0" w:space="0" w:color="auto"/>
        <w:bottom w:val="none" w:sz="0" w:space="0" w:color="auto"/>
        <w:right w:val="none" w:sz="0" w:space="0" w:color="auto"/>
      </w:divBdr>
    </w:div>
    <w:div w:id="1259943554">
      <w:bodyDiv w:val="1"/>
      <w:marLeft w:val="0"/>
      <w:marRight w:val="0"/>
      <w:marTop w:val="0"/>
      <w:marBottom w:val="0"/>
      <w:divBdr>
        <w:top w:val="none" w:sz="0" w:space="0" w:color="auto"/>
        <w:left w:val="none" w:sz="0" w:space="0" w:color="auto"/>
        <w:bottom w:val="none" w:sz="0" w:space="0" w:color="auto"/>
        <w:right w:val="none" w:sz="0" w:space="0" w:color="auto"/>
      </w:divBdr>
    </w:div>
    <w:div w:id="1259943747">
      <w:bodyDiv w:val="1"/>
      <w:marLeft w:val="0"/>
      <w:marRight w:val="0"/>
      <w:marTop w:val="0"/>
      <w:marBottom w:val="0"/>
      <w:divBdr>
        <w:top w:val="none" w:sz="0" w:space="0" w:color="auto"/>
        <w:left w:val="none" w:sz="0" w:space="0" w:color="auto"/>
        <w:bottom w:val="none" w:sz="0" w:space="0" w:color="auto"/>
        <w:right w:val="none" w:sz="0" w:space="0" w:color="auto"/>
      </w:divBdr>
    </w:div>
    <w:div w:id="1260021365">
      <w:bodyDiv w:val="1"/>
      <w:marLeft w:val="0"/>
      <w:marRight w:val="0"/>
      <w:marTop w:val="0"/>
      <w:marBottom w:val="0"/>
      <w:divBdr>
        <w:top w:val="none" w:sz="0" w:space="0" w:color="auto"/>
        <w:left w:val="none" w:sz="0" w:space="0" w:color="auto"/>
        <w:bottom w:val="none" w:sz="0" w:space="0" w:color="auto"/>
        <w:right w:val="none" w:sz="0" w:space="0" w:color="auto"/>
      </w:divBdr>
    </w:div>
    <w:div w:id="1260060725">
      <w:bodyDiv w:val="1"/>
      <w:marLeft w:val="0"/>
      <w:marRight w:val="0"/>
      <w:marTop w:val="0"/>
      <w:marBottom w:val="0"/>
      <w:divBdr>
        <w:top w:val="none" w:sz="0" w:space="0" w:color="auto"/>
        <w:left w:val="none" w:sz="0" w:space="0" w:color="auto"/>
        <w:bottom w:val="none" w:sz="0" w:space="0" w:color="auto"/>
        <w:right w:val="none" w:sz="0" w:space="0" w:color="auto"/>
      </w:divBdr>
    </w:div>
    <w:div w:id="1260067531">
      <w:bodyDiv w:val="1"/>
      <w:marLeft w:val="0"/>
      <w:marRight w:val="0"/>
      <w:marTop w:val="0"/>
      <w:marBottom w:val="0"/>
      <w:divBdr>
        <w:top w:val="none" w:sz="0" w:space="0" w:color="auto"/>
        <w:left w:val="none" w:sz="0" w:space="0" w:color="auto"/>
        <w:bottom w:val="none" w:sz="0" w:space="0" w:color="auto"/>
        <w:right w:val="none" w:sz="0" w:space="0" w:color="auto"/>
      </w:divBdr>
    </w:div>
    <w:div w:id="1260137480">
      <w:bodyDiv w:val="1"/>
      <w:marLeft w:val="0"/>
      <w:marRight w:val="0"/>
      <w:marTop w:val="0"/>
      <w:marBottom w:val="0"/>
      <w:divBdr>
        <w:top w:val="none" w:sz="0" w:space="0" w:color="auto"/>
        <w:left w:val="none" w:sz="0" w:space="0" w:color="auto"/>
        <w:bottom w:val="none" w:sz="0" w:space="0" w:color="auto"/>
        <w:right w:val="none" w:sz="0" w:space="0" w:color="auto"/>
      </w:divBdr>
    </w:div>
    <w:div w:id="1260141526">
      <w:bodyDiv w:val="1"/>
      <w:marLeft w:val="0"/>
      <w:marRight w:val="0"/>
      <w:marTop w:val="0"/>
      <w:marBottom w:val="0"/>
      <w:divBdr>
        <w:top w:val="none" w:sz="0" w:space="0" w:color="auto"/>
        <w:left w:val="none" w:sz="0" w:space="0" w:color="auto"/>
        <w:bottom w:val="none" w:sz="0" w:space="0" w:color="auto"/>
        <w:right w:val="none" w:sz="0" w:space="0" w:color="auto"/>
      </w:divBdr>
    </w:div>
    <w:div w:id="1260259386">
      <w:bodyDiv w:val="1"/>
      <w:marLeft w:val="0"/>
      <w:marRight w:val="0"/>
      <w:marTop w:val="0"/>
      <w:marBottom w:val="0"/>
      <w:divBdr>
        <w:top w:val="none" w:sz="0" w:space="0" w:color="auto"/>
        <w:left w:val="none" w:sz="0" w:space="0" w:color="auto"/>
        <w:bottom w:val="none" w:sz="0" w:space="0" w:color="auto"/>
        <w:right w:val="none" w:sz="0" w:space="0" w:color="auto"/>
      </w:divBdr>
    </w:div>
    <w:div w:id="1260261951">
      <w:bodyDiv w:val="1"/>
      <w:marLeft w:val="0"/>
      <w:marRight w:val="0"/>
      <w:marTop w:val="0"/>
      <w:marBottom w:val="0"/>
      <w:divBdr>
        <w:top w:val="none" w:sz="0" w:space="0" w:color="auto"/>
        <w:left w:val="none" w:sz="0" w:space="0" w:color="auto"/>
        <w:bottom w:val="none" w:sz="0" w:space="0" w:color="auto"/>
        <w:right w:val="none" w:sz="0" w:space="0" w:color="auto"/>
      </w:divBdr>
    </w:div>
    <w:div w:id="1260337307">
      <w:bodyDiv w:val="1"/>
      <w:marLeft w:val="0"/>
      <w:marRight w:val="0"/>
      <w:marTop w:val="0"/>
      <w:marBottom w:val="0"/>
      <w:divBdr>
        <w:top w:val="none" w:sz="0" w:space="0" w:color="auto"/>
        <w:left w:val="none" w:sz="0" w:space="0" w:color="auto"/>
        <w:bottom w:val="none" w:sz="0" w:space="0" w:color="auto"/>
        <w:right w:val="none" w:sz="0" w:space="0" w:color="auto"/>
      </w:divBdr>
    </w:div>
    <w:div w:id="1260338140">
      <w:bodyDiv w:val="1"/>
      <w:marLeft w:val="0"/>
      <w:marRight w:val="0"/>
      <w:marTop w:val="0"/>
      <w:marBottom w:val="0"/>
      <w:divBdr>
        <w:top w:val="none" w:sz="0" w:space="0" w:color="auto"/>
        <w:left w:val="none" w:sz="0" w:space="0" w:color="auto"/>
        <w:bottom w:val="none" w:sz="0" w:space="0" w:color="auto"/>
        <w:right w:val="none" w:sz="0" w:space="0" w:color="auto"/>
      </w:divBdr>
    </w:div>
    <w:div w:id="1260411829">
      <w:bodyDiv w:val="1"/>
      <w:marLeft w:val="0"/>
      <w:marRight w:val="0"/>
      <w:marTop w:val="0"/>
      <w:marBottom w:val="0"/>
      <w:divBdr>
        <w:top w:val="none" w:sz="0" w:space="0" w:color="auto"/>
        <w:left w:val="none" w:sz="0" w:space="0" w:color="auto"/>
        <w:bottom w:val="none" w:sz="0" w:space="0" w:color="auto"/>
        <w:right w:val="none" w:sz="0" w:space="0" w:color="auto"/>
      </w:divBdr>
    </w:div>
    <w:div w:id="1260530296">
      <w:bodyDiv w:val="1"/>
      <w:marLeft w:val="0"/>
      <w:marRight w:val="0"/>
      <w:marTop w:val="0"/>
      <w:marBottom w:val="0"/>
      <w:divBdr>
        <w:top w:val="none" w:sz="0" w:space="0" w:color="auto"/>
        <w:left w:val="none" w:sz="0" w:space="0" w:color="auto"/>
        <w:bottom w:val="none" w:sz="0" w:space="0" w:color="auto"/>
        <w:right w:val="none" w:sz="0" w:space="0" w:color="auto"/>
      </w:divBdr>
    </w:div>
    <w:div w:id="1260605470">
      <w:bodyDiv w:val="1"/>
      <w:marLeft w:val="0"/>
      <w:marRight w:val="0"/>
      <w:marTop w:val="0"/>
      <w:marBottom w:val="0"/>
      <w:divBdr>
        <w:top w:val="none" w:sz="0" w:space="0" w:color="auto"/>
        <w:left w:val="none" w:sz="0" w:space="0" w:color="auto"/>
        <w:bottom w:val="none" w:sz="0" w:space="0" w:color="auto"/>
        <w:right w:val="none" w:sz="0" w:space="0" w:color="auto"/>
      </w:divBdr>
    </w:div>
    <w:div w:id="1260672859">
      <w:bodyDiv w:val="1"/>
      <w:marLeft w:val="0"/>
      <w:marRight w:val="0"/>
      <w:marTop w:val="0"/>
      <w:marBottom w:val="0"/>
      <w:divBdr>
        <w:top w:val="none" w:sz="0" w:space="0" w:color="auto"/>
        <w:left w:val="none" w:sz="0" w:space="0" w:color="auto"/>
        <w:bottom w:val="none" w:sz="0" w:space="0" w:color="auto"/>
        <w:right w:val="none" w:sz="0" w:space="0" w:color="auto"/>
      </w:divBdr>
    </w:div>
    <w:div w:id="1260722757">
      <w:bodyDiv w:val="1"/>
      <w:marLeft w:val="0"/>
      <w:marRight w:val="0"/>
      <w:marTop w:val="0"/>
      <w:marBottom w:val="0"/>
      <w:divBdr>
        <w:top w:val="none" w:sz="0" w:space="0" w:color="auto"/>
        <w:left w:val="none" w:sz="0" w:space="0" w:color="auto"/>
        <w:bottom w:val="none" w:sz="0" w:space="0" w:color="auto"/>
        <w:right w:val="none" w:sz="0" w:space="0" w:color="auto"/>
      </w:divBdr>
    </w:div>
    <w:div w:id="1260794404">
      <w:bodyDiv w:val="1"/>
      <w:marLeft w:val="0"/>
      <w:marRight w:val="0"/>
      <w:marTop w:val="0"/>
      <w:marBottom w:val="0"/>
      <w:divBdr>
        <w:top w:val="none" w:sz="0" w:space="0" w:color="auto"/>
        <w:left w:val="none" w:sz="0" w:space="0" w:color="auto"/>
        <w:bottom w:val="none" w:sz="0" w:space="0" w:color="auto"/>
        <w:right w:val="none" w:sz="0" w:space="0" w:color="auto"/>
      </w:divBdr>
    </w:div>
    <w:div w:id="1260914685">
      <w:bodyDiv w:val="1"/>
      <w:marLeft w:val="0"/>
      <w:marRight w:val="0"/>
      <w:marTop w:val="0"/>
      <w:marBottom w:val="0"/>
      <w:divBdr>
        <w:top w:val="none" w:sz="0" w:space="0" w:color="auto"/>
        <w:left w:val="none" w:sz="0" w:space="0" w:color="auto"/>
        <w:bottom w:val="none" w:sz="0" w:space="0" w:color="auto"/>
        <w:right w:val="none" w:sz="0" w:space="0" w:color="auto"/>
      </w:divBdr>
    </w:div>
    <w:div w:id="1260917826">
      <w:bodyDiv w:val="1"/>
      <w:marLeft w:val="0"/>
      <w:marRight w:val="0"/>
      <w:marTop w:val="0"/>
      <w:marBottom w:val="0"/>
      <w:divBdr>
        <w:top w:val="none" w:sz="0" w:space="0" w:color="auto"/>
        <w:left w:val="none" w:sz="0" w:space="0" w:color="auto"/>
        <w:bottom w:val="none" w:sz="0" w:space="0" w:color="auto"/>
        <w:right w:val="none" w:sz="0" w:space="0" w:color="auto"/>
      </w:divBdr>
    </w:div>
    <w:div w:id="1260942799">
      <w:bodyDiv w:val="1"/>
      <w:marLeft w:val="0"/>
      <w:marRight w:val="0"/>
      <w:marTop w:val="0"/>
      <w:marBottom w:val="0"/>
      <w:divBdr>
        <w:top w:val="none" w:sz="0" w:space="0" w:color="auto"/>
        <w:left w:val="none" w:sz="0" w:space="0" w:color="auto"/>
        <w:bottom w:val="none" w:sz="0" w:space="0" w:color="auto"/>
        <w:right w:val="none" w:sz="0" w:space="0" w:color="auto"/>
      </w:divBdr>
    </w:div>
    <w:div w:id="1260990958">
      <w:bodyDiv w:val="1"/>
      <w:marLeft w:val="0"/>
      <w:marRight w:val="0"/>
      <w:marTop w:val="0"/>
      <w:marBottom w:val="0"/>
      <w:divBdr>
        <w:top w:val="none" w:sz="0" w:space="0" w:color="auto"/>
        <w:left w:val="none" w:sz="0" w:space="0" w:color="auto"/>
        <w:bottom w:val="none" w:sz="0" w:space="0" w:color="auto"/>
        <w:right w:val="none" w:sz="0" w:space="0" w:color="auto"/>
      </w:divBdr>
    </w:div>
    <w:div w:id="1261140038">
      <w:bodyDiv w:val="1"/>
      <w:marLeft w:val="0"/>
      <w:marRight w:val="0"/>
      <w:marTop w:val="0"/>
      <w:marBottom w:val="0"/>
      <w:divBdr>
        <w:top w:val="none" w:sz="0" w:space="0" w:color="auto"/>
        <w:left w:val="none" w:sz="0" w:space="0" w:color="auto"/>
        <w:bottom w:val="none" w:sz="0" w:space="0" w:color="auto"/>
        <w:right w:val="none" w:sz="0" w:space="0" w:color="auto"/>
      </w:divBdr>
    </w:div>
    <w:div w:id="1261183524">
      <w:bodyDiv w:val="1"/>
      <w:marLeft w:val="0"/>
      <w:marRight w:val="0"/>
      <w:marTop w:val="0"/>
      <w:marBottom w:val="0"/>
      <w:divBdr>
        <w:top w:val="none" w:sz="0" w:space="0" w:color="auto"/>
        <w:left w:val="none" w:sz="0" w:space="0" w:color="auto"/>
        <w:bottom w:val="none" w:sz="0" w:space="0" w:color="auto"/>
        <w:right w:val="none" w:sz="0" w:space="0" w:color="auto"/>
      </w:divBdr>
    </w:div>
    <w:div w:id="1261330630">
      <w:bodyDiv w:val="1"/>
      <w:marLeft w:val="0"/>
      <w:marRight w:val="0"/>
      <w:marTop w:val="0"/>
      <w:marBottom w:val="0"/>
      <w:divBdr>
        <w:top w:val="none" w:sz="0" w:space="0" w:color="auto"/>
        <w:left w:val="none" w:sz="0" w:space="0" w:color="auto"/>
        <w:bottom w:val="none" w:sz="0" w:space="0" w:color="auto"/>
        <w:right w:val="none" w:sz="0" w:space="0" w:color="auto"/>
      </w:divBdr>
    </w:div>
    <w:div w:id="1261336886">
      <w:bodyDiv w:val="1"/>
      <w:marLeft w:val="0"/>
      <w:marRight w:val="0"/>
      <w:marTop w:val="0"/>
      <w:marBottom w:val="0"/>
      <w:divBdr>
        <w:top w:val="none" w:sz="0" w:space="0" w:color="auto"/>
        <w:left w:val="none" w:sz="0" w:space="0" w:color="auto"/>
        <w:bottom w:val="none" w:sz="0" w:space="0" w:color="auto"/>
        <w:right w:val="none" w:sz="0" w:space="0" w:color="auto"/>
      </w:divBdr>
    </w:div>
    <w:div w:id="1261522746">
      <w:bodyDiv w:val="1"/>
      <w:marLeft w:val="0"/>
      <w:marRight w:val="0"/>
      <w:marTop w:val="0"/>
      <w:marBottom w:val="0"/>
      <w:divBdr>
        <w:top w:val="none" w:sz="0" w:space="0" w:color="auto"/>
        <w:left w:val="none" w:sz="0" w:space="0" w:color="auto"/>
        <w:bottom w:val="none" w:sz="0" w:space="0" w:color="auto"/>
        <w:right w:val="none" w:sz="0" w:space="0" w:color="auto"/>
      </w:divBdr>
    </w:div>
    <w:div w:id="1261529657">
      <w:bodyDiv w:val="1"/>
      <w:marLeft w:val="0"/>
      <w:marRight w:val="0"/>
      <w:marTop w:val="0"/>
      <w:marBottom w:val="0"/>
      <w:divBdr>
        <w:top w:val="none" w:sz="0" w:space="0" w:color="auto"/>
        <w:left w:val="none" w:sz="0" w:space="0" w:color="auto"/>
        <w:bottom w:val="none" w:sz="0" w:space="0" w:color="auto"/>
        <w:right w:val="none" w:sz="0" w:space="0" w:color="auto"/>
      </w:divBdr>
    </w:div>
    <w:div w:id="1261572903">
      <w:bodyDiv w:val="1"/>
      <w:marLeft w:val="0"/>
      <w:marRight w:val="0"/>
      <w:marTop w:val="0"/>
      <w:marBottom w:val="0"/>
      <w:divBdr>
        <w:top w:val="none" w:sz="0" w:space="0" w:color="auto"/>
        <w:left w:val="none" w:sz="0" w:space="0" w:color="auto"/>
        <w:bottom w:val="none" w:sz="0" w:space="0" w:color="auto"/>
        <w:right w:val="none" w:sz="0" w:space="0" w:color="auto"/>
      </w:divBdr>
    </w:div>
    <w:div w:id="1261644830">
      <w:bodyDiv w:val="1"/>
      <w:marLeft w:val="0"/>
      <w:marRight w:val="0"/>
      <w:marTop w:val="0"/>
      <w:marBottom w:val="0"/>
      <w:divBdr>
        <w:top w:val="none" w:sz="0" w:space="0" w:color="auto"/>
        <w:left w:val="none" w:sz="0" w:space="0" w:color="auto"/>
        <w:bottom w:val="none" w:sz="0" w:space="0" w:color="auto"/>
        <w:right w:val="none" w:sz="0" w:space="0" w:color="auto"/>
      </w:divBdr>
    </w:div>
    <w:div w:id="1261646664">
      <w:bodyDiv w:val="1"/>
      <w:marLeft w:val="0"/>
      <w:marRight w:val="0"/>
      <w:marTop w:val="0"/>
      <w:marBottom w:val="0"/>
      <w:divBdr>
        <w:top w:val="none" w:sz="0" w:space="0" w:color="auto"/>
        <w:left w:val="none" w:sz="0" w:space="0" w:color="auto"/>
        <w:bottom w:val="none" w:sz="0" w:space="0" w:color="auto"/>
        <w:right w:val="none" w:sz="0" w:space="0" w:color="auto"/>
      </w:divBdr>
    </w:div>
    <w:div w:id="1261789922">
      <w:bodyDiv w:val="1"/>
      <w:marLeft w:val="0"/>
      <w:marRight w:val="0"/>
      <w:marTop w:val="0"/>
      <w:marBottom w:val="0"/>
      <w:divBdr>
        <w:top w:val="none" w:sz="0" w:space="0" w:color="auto"/>
        <w:left w:val="none" w:sz="0" w:space="0" w:color="auto"/>
        <w:bottom w:val="none" w:sz="0" w:space="0" w:color="auto"/>
        <w:right w:val="none" w:sz="0" w:space="0" w:color="auto"/>
      </w:divBdr>
    </w:div>
    <w:div w:id="1261792665">
      <w:bodyDiv w:val="1"/>
      <w:marLeft w:val="0"/>
      <w:marRight w:val="0"/>
      <w:marTop w:val="0"/>
      <w:marBottom w:val="0"/>
      <w:divBdr>
        <w:top w:val="none" w:sz="0" w:space="0" w:color="auto"/>
        <w:left w:val="none" w:sz="0" w:space="0" w:color="auto"/>
        <w:bottom w:val="none" w:sz="0" w:space="0" w:color="auto"/>
        <w:right w:val="none" w:sz="0" w:space="0" w:color="auto"/>
      </w:divBdr>
    </w:div>
    <w:div w:id="1261908804">
      <w:bodyDiv w:val="1"/>
      <w:marLeft w:val="0"/>
      <w:marRight w:val="0"/>
      <w:marTop w:val="0"/>
      <w:marBottom w:val="0"/>
      <w:divBdr>
        <w:top w:val="none" w:sz="0" w:space="0" w:color="auto"/>
        <w:left w:val="none" w:sz="0" w:space="0" w:color="auto"/>
        <w:bottom w:val="none" w:sz="0" w:space="0" w:color="auto"/>
        <w:right w:val="none" w:sz="0" w:space="0" w:color="auto"/>
      </w:divBdr>
    </w:div>
    <w:div w:id="1261912457">
      <w:bodyDiv w:val="1"/>
      <w:marLeft w:val="0"/>
      <w:marRight w:val="0"/>
      <w:marTop w:val="0"/>
      <w:marBottom w:val="0"/>
      <w:divBdr>
        <w:top w:val="none" w:sz="0" w:space="0" w:color="auto"/>
        <w:left w:val="none" w:sz="0" w:space="0" w:color="auto"/>
        <w:bottom w:val="none" w:sz="0" w:space="0" w:color="auto"/>
        <w:right w:val="none" w:sz="0" w:space="0" w:color="auto"/>
      </w:divBdr>
    </w:div>
    <w:div w:id="1262103495">
      <w:bodyDiv w:val="1"/>
      <w:marLeft w:val="0"/>
      <w:marRight w:val="0"/>
      <w:marTop w:val="0"/>
      <w:marBottom w:val="0"/>
      <w:divBdr>
        <w:top w:val="none" w:sz="0" w:space="0" w:color="auto"/>
        <w:left w:val="none" w:sz="0" w:space="0" w:color="auto"/>
        <w:bottom w:val="none" w:sz="0" w:space="0" w:color="auto"/>
        <w:right w:val="none" w:sz="0" w:space="0" w:color="auto"/>
      </w:divBdr>
    </w:div>
    <w:div w:id="1262109144">
      <w:bodyDiv w:val="1"/>
      <w:marLeft w:val="0"/>
      <w:marRight w:val="0"/>
      <w:marTop w:val="0"/>
      <w:marBottom w:val="0"/>
      <w:divBdr>
        <w:top w:val="none" w:sz="0" w:space="0" w:color="auto"/>
        <w:left w:val="none" w:sz="0" w:space="0" w:color="auto"/>
        <w:bottom w:val="none" w:sz="0" w:space="0" w:color="auto"/>
        <w:right w:val="none" w:sz="0" w:space="0" w:color="auto"/>
      </w:divBdr>
    </w:div>
    <w:div w:id="1262180290">
      <w:bodyDiv w:val="1"/>
      <w:marLeft w:val="0"/>
      <w:marRight w:val="0"/>
      <w:marTop w:val="0"/>
      <w:marBottom w:val="0"/>
      <w:divBdr>
        <w:top w:val="none" w:sz="0" w:space="0" w:color="auto"/>
        <w:left w:val="none" w:sz="0" w:space="0" w:color="auto"/>
        <w:bottom w:val="none" w:sz="0" w:space="0" w:color="auto"/>
        <w:right w:val="none" w:sz="0" w:space="0" w:color="auto"/>
      </w:divBdr>
    </w:div>
    <w:div w:id="1262182696">
      <w:bodyDiv w:val="1"/>
      <w:marLeft w:val="0"/>
      <w:marRight w:val="0"/>
      <w:marTop w:val="0"/>
      <w:marBottom w:val="0"/>
      <w:divBdr>
        <w:top w:val="none" w:sz="0" w:space="0" w:color="auto"/>
        <w:left w:val="none" w:sz="0" w:space="0" w:color="auto"/>
        <w:bottom w:val="none" w:sz="0" w:space="0" w:color="auto"/>
        <w:right w:val="none" w:sz="0" w:space="0" w:color="auto"/>
      </w:divBdr>
    </w:div>
    <w:div w:id="1262254844">
      <w:bodyDiv w:val="1"/>
      <w:marLeft w:val="0"/>
      <w:marRight w:val="0"/>
      <w:marTop w:val="0"/>
      <w:marBottom w:val="0"/>
      <w:divBdr>
        <w:top w:val="none" w:sz="0" w:space="0" w:color="auto"/>
        <w:left w:val="none" w:sz="0" w:space="0" w:color="auto"/>
        <w:bottom w:val="none" w:sz="0" w:space="0" w:color="auto"/>
        <w:right w:val="none" w:sz="0" w:space="0" w:color="auto"/>
      </w:divBdr>
    </w:div>
    <w:div w:id="1262447554">
      <w:bodyDiv w:val="1"/>
      <w:marLeft w:val="0"/>
      <w:marRight w:val="0"/>
      <w:marTop w:val="0"/>
      <w:marBottom w:val="0"/>
      <w:divBdr>
        <w:top w:val="none" w:sz="0" w:space="0" w:color="auto"/>
        <w:left w:val="none" w:sz="0" w:space="0" w:color="auto"/>
        <w:bottom w:val="none" w:sz="0" w:space="0" w:color="auto"/>
        <w:right w:val="none" w:sz="0" w:space="0" w:color="auto"/>
      </w:divBdr>
    </w:div>
    <w:div w:id="1262451698">
      <w:bodyDiv w:val="1"/>
      <w:marLeft w:val="0"/>
      <w:marRight w:val="0"/>
      <w:marTop w:val="0"/>
      <w:marBottom w:val="0"/>
      <w:divBdr>
        <w:top w:val="none" w:sz="0" w:space="0" w:color="auto"/>
        <w:left w:val="none" w:sz="0" w:space="0" w:color="auto"/>
        <w:bottom w:val="none" w:sz="0" w:space="0" w:color="auto"/>
        <w:right w:val="none" w:sz="0" w:space="0" w:color="auto"/>
      </w:divBdr>
    </w:div>
    <w:div w:id="1262494613">
      <w:bodyDiv w:val="1"/>
      <w:marLeft w:val="0"/>
      <w:marRight w:val="0"/>
      <w:marTop w:val="0"/>
      <w:marBottom w:val="0"/>
      <w:divBdr>
        <w:top w:val="none" w:sz="0" w:space="0" w:color="auto"/>
        <w:left w:val="none" w:sz="0" w:space="0" w:color="auto"/>
        <w:bottom w:val="none" w:sz="0" w:space="0" w:color="auto"/>
        <w:right w:val="none" w:sz="0" w:space="0" w:color="auto"/>
      </w:divBdr>
    </w:div>
    <w:div w:id="1262763436">
      <w:bodyDiv w:val="1"/>
      <w:marLeft w:val="0"/>
      <w:marRight w:val="0"/>
      <w:marTop w:val="0"/>
      <w:marBottom w:val="0"/>
      <w:divBdr>
        <w:top w:val="none" w:sz="0" w:space="0" w:color="auto"/>
        <w:left w:val="none" w:sz="0" w:space="0" w:color="auto"/>
        <w:bottom w:val="none" w:sz="0" w:space="0" w:color="auto"/>
        <w:right w:val="none" w:sz="0" w:space="0" w:color="auto"/>
      </w:divBdr>
    </w:div>
    <w:div w:id="1262764066">
      <w:bodyDiv w:val="1"/>
      <w:marLeft w:val="0"/>
      <w:marRight w:val="0"/>
      <w:marTop w:val="0"/>
      <w:marBottom w:val="0"/>
      <w:divBdr>
        <w:top w:val="none" w:sz="0" w:space="0" w:color="auto"/>
        <w:left w:val="none" w:sz="0" w:space="0" w:color="auto"/>
        <w:bottom w:val="none" w:sz="0" w:space="0" w:color="auto"/>
        <w:right w:val="none" w:sz="0" w:space="0" w:color="auto"/>
      </w:divBdr>
    </w:div>
    <w:div w:id="1262765841">
      <w:bodyDiv w:val="1"/>
      <w:marLeft w:val="0"/>
      <w:marRight w:val="0"/>
      <w:marTop w:val="0"/>
      <w:marBottom w:val="0"/>
      <w:divBdr>
        <w:top w:val="none" w:sz="0" w:space="0" w:color="auto"/>
        <w:left w:val="none" w:sz="0" w:space="0" w:color="auto"/>
        <w:bottom w:val="none" w:sz="0" w:space="0" w:color="auto"/>
        <w:right w:val="none" w:sz="0" w:space="0" w:color="auto"/>
      </w:divBdr>
    </w:div>
    <w:div w:id="1262833531">
      <w:bodyDiv w:val="1"/>
      <w:marLeft w:val="0"/>
      <w:marRight w:val="0"/>
      <w:marTop w:val="0"/>
      <w:marBottom w:val="0"/>
      <w:divBdr>
        <w:top w:val="none" w:sz="0" w:space="0" w:color="auto"/>
        <w:left w:val="none" w:sz="0" w:space="0" w:color="auto"/>
        <w:bottom w:val="none" w:sz="0" w:space="0" w:color="auto"/>
        <w:right w:val="none" w:sz="0" w:space="0" w:color="auto"/>
      </w:divBdr>
    </w:div>
    <w:div w:id="1262833940">
      <w:bodyDiv w:val="1"/>
      <w:marLeft w:val="0"/>
      <w:marRight w:val="0"/>
      <w:marTop w:val="0"/>
      <w:marBottom w:val="0"/>
      <w:divBdr>
        <w:top w:val="none" w:sz="0" w:space="0" w:color="auto"/>
        <w:left w:val="none" w:sz="0" w:space="0" w:color="auto"/>
        <w:bottom w:val="none" w:sz="0" w:space="0" w:color="auto"/>
        <w:right w:val="none" w:sz="0" w:space="0" w:color="auto"/>
      </w:divBdr>
    </w:div>
    <w:div w:id="1262833981">
      <w:bodyDiv w:val="1"/>
      <w:marLeft w:val="0"/>
      <w:marRight w:val="0"/>
      <w:marTop w:val="0"/>
      <w:marBottom w:val="0"/>
      <w:divBdr>
        <w:top w:val="none" w:sz="0" w:space="0" w:color="auto"/>
        <w:left w:val="none" w:sz="0" w:space="0" w:color="auto"/>
        <w:bottom w:val="none" w:sz="0" w:space="0" w:color="auto"/>
        <w:right w:val="none" w:sz="0" w:space="0" w:color="auto"/>
      </w:divBdr>
    </w:div>
    <w:div w:id="1262838626">
      <w:bodyDiv w:val="1"/>
      <w:marLeft w:val="0"/>
      <w:marRight w:val="0"/>
      <w:marTop w:val="0"/>
      <w:marBottom w:val="0"/>
      <w:divBdr>
        <w:top w:val="none" w:sz="0" w:space="0" w:color="auto"/>
        <w:left w:val="none" w:sz="0" w:space="0" w:color="auto"/>
        <w:bottom w:val="none" w:sz="0" w:space="0" w:color="auto"/>
        <w:right w:val="none" w:sz="0" w:space="0" w:color="auto"/>
      </w:divBdr>
    </w:div>
    <w:div w:id="1262839657">
      <w:bodyDiv w:val="1"/>
      <w:marLeft w:val="0"/>
      <w:marRight w:val="0"/>
      <w:marTop w:val="0"/>
      <w:marBottom w:val="0"/>
      <w:divBdr>
        <w:top w:val="none" w:sz="0" w:space="0" w:color="auto"/>
        <w:left w:val="none" w:sz="0" w:space="0" w:color="auto"/>
        <w:bottom w:val="none" w:sz="0" w:space="0" w:color="auto"/>
        <w:right w:val="none" w:sz="0" w:space="0" w:color="auto"/>
      </w:divBdr>
    </w:div>
    <w:div w:id="1262881613">
      <w:bodyDiv w:val="1"/>
      <w:marLeft w:val="0"/>
      <w:marRight w:val="0"/>
      <w:marTop w:val="0"/>
      <w:marBottom w:val="0"/>
      <w:divBdr>
        <w:top w:val="none" w:sz="0" w:space="0" w:color="auto"/>
        <w:left w:val="none" w:sz="0" w:space="0" w:color="auto"/>
        <w:bottom w:val="none" w:sz="0" w:space="0" w:color="auto"/>
        <w:right w:val="none" w:sz="0" w:space="0" w:color="auto"/>
      </w:divBdr>
    </w:div>
    <w:div w:id="1262882610">
      <w:bodyDiv w:val="1"/>
      <w:marLeft w:val="0"/>
      <w:marRight w:val="0"/>
      <w:marTop w:val="0"/>
      <w:marBottom w:val="0"/>
      <w:divBdr>
        <w:top w:val="none" w:sz="0" w:space="0" w:color="auto"/>
        <w:left w:val="none" w:sz="0" w:space="0" w:color="auto"/>
        <w:bottom w:val="none" w:sz="0" w:space="0" w:color="auto"/>
        <w:right w:val="none" w:sz="0" w:space="0" w:color="auto"/>
      </w:divBdr>
    </w:div>
    <w:div w:id="1263026950">
      <w:bodyDiv w:val="1"/>
      <w:marLeft w:val="0"/>
      <w:marRight w:val="0"/>
      <w:marTop w:val="0"/>
      <w:marBottom w:val="0"/>
      <w:divBdr>
        <w:top w:val="none" w:sz="0" w:space="0" w:color="auto"/>
        <w:left w:val="none" w:sz="0" w:space="0" w:color="auto"/>
        <w:bottom w:val="none" w:sz="0" w:space="0" w:color="auto"/>
        <w:right w:val="none" w:sz="0" w:space="0" w:color="auto"/>
      </w:divBdr>
    </w:div>
    <w:div w:id="1263075641">
      <w:bodyDiv w:val="1"/>
      <w:marLeft w:val="0"/>
      <w:marRight w:val="0"/>
      <w:marTop w:val="0"/>
      <w:marBottom w:val="0"/>
      <w:divBdr>
        <w:top w:val="none" w:sz="0" w:space="0" w:color="auto"/>
        <w:left w:val="none" w:sz="0" w:space="0" w:color="auto"/>
        <w:bottom w:val="none" w:sz="0" w:space="0" w:color="auto"/>
        <w:right w:val="none" w:sz="0" w:space="0" w:color="auto"/>
      </w:divBdr>
    </w:div>
    <w:div w:id="1263106352">
      <w:bodyDiv w:val="1"/>
      <w:marLeft w:val="0"/>
      <w:marRight w:val="0"/>
      <w:marTop w:val="0"/>
      <w:marBottom w:val="0"/>
      <w:divBdr>
        <w:top w:val="none" w:sz="0" w:space="0" w:color="auto"/>
        <w:left w:val="none" w:sz="0" w:space="0" w:color="auto"/>
        <w:bottom w:val="none" w:sz="0" w:space="0" w:color="auto"/>
        <w:right w:val="none" w:sz="0" w:space="0" w:color="auto"/>
      </w:divBdr>
    </w:div>
    <w:div w:id="1263144917">
      <w:bodyDiv w:val="1"/>
      <w:marLeft w:val="0"/>
      <w:marRight w:val="0"/>
      <w:marTop w:val="0"/>
      <w:marBottom w:val="0"/>
      <w:divBdr>
        <w:top w:val="none" w:sz="0" w:space="0" w:color="auto"/>
        <w:left w:val="none" w:sz="0" w:space="0" w:color="auto"/>
        <w:bottom w:val="none" w:sz="0" w:space="0" w:color="auto"/>
        <w:right w:val="none" w:sz="0" w:space="0" w:color="auto"/>
      </w:divBdr>
    </w:div>
    <w:div w:id="1263146679">
      <w:bodyDiv w:val="1"/>
      <w:marLeft w:val="0"/>
      <w:marRight w:val="0"/>
      <w:marTop w:val="0"/>
      <w:marBottom w:val="0"/>
      <w:divBdr>
        <w:top w:val="none" w:sz="0" w:space="0" w:color="auto"/>
        <w:left w:val="none" w:sz="0" w:space="0" w:color="auto"/>
        <w:bottom w:val="none" w:sz="0" w:space="0" w:color="auto"/>
        <w:right w:val="none" w:sz="0" w:space="0" w:color="auto"/>
      </w:divBdr>
    </w:div>
    <w:div w:id="1263148227">
      <w:bodyDiv w:val="1"/>
      <w:marLeft w:val="0"/>
      <w:marRight w:val="0"/>
      <w:marTop w:val="0"/>
      <w:marBottom w:val="0"/>
      <w:divBdr>
        <w:top w:val="none" w:sz="0" w:space="0" w:color="auto"/>
        <w:left w:val="none" w:sz="0" w:space="0" w:color="auto"/>
        <w:bottom w:val="none" w:sz="0" w:space="0" w:color="auto"/>
        <w:right w:val="none" w:sz="0" w:space="0" w:color="auto"/>
      </w:divBdr>
    </w:div>
    <w:div w:id="1263220801">
      <w:bodyDiv w:val="1"/>
      <w:marLeft w:val="0"/>
      <w:marRight w:val="0"/>
      <w:marTop w:val="0"/>
      <w:marBottom w:val="0"/>
      <w:divBdr>
        <w:top w:val="none" w:sz="0" w:space="0" w:color="auto"/>
        <w:left w:val="none" w:sz="0" w:space="0" w:color="auto"/>
        <w:bottom w:val="none" w:sz="0" w:space="0" w:color="auto"/>
        <w:right w:val="none" w:sz="0" w:space="0" w:color="auto"/>
      </w:divBdr>
    </w:div>
    <w:div w:id="1263224953">
      <w:bodyDiv w:val="1"/>
      <w:marLeft w:val="0"/>
      <w:marRight w:val="0"/>
      <w:marTop w:val="0"/>
      <w:marBottom w:val="0"/>
      <w:divBdr>
        <w:top w:val="none" w:sz="0" w:space="0" w:color="auto"/>
        <w:left w:val="none" w:sz="0" w:space="0" w:color="auto"/>
        <w:bottom w:val="none" w:sz="0" w:space="0" w:color="auto"/>
        <w:right w:val="none" w:sz="0" w:space="0" w:color="auto"/>
      </w:divBdr>
    </w:div>
    <w:div w:id="1263341054">
      <w:bodyDiv w:val="1"/>
      <w:marLeft w:val="0"/>
      <w:marRight w:val="0"/>
      <w:marTop w:val="0"/>
      <w:marBottom w:val="0"/>
      <w:divBdr>
        <w:top w:val="none" w:sz="0" w:space="0" w:color="auto"/>
        <w:left w:val="none" w:sz="0" w:space="0" w:color="auto"/>
        <w:bottom w:val="none" w:sz="0" w:space="0" w:color="auto"/>
        <w:right w:val="none" w:sz="0" w:space="0" w:color="auto"/>
      </w:divBdr>
    </w:div>
    <w:div w:id="1263606887">
      <w:bodyDiv w:val="1"/>
      <w:marLeft w:val="0"/>
      <w:marRight w:val="0"/>
      <w:marTop w:val="0"/>
      <w:marBottom w:val="0"/>
      <w:divBdr>
        <w:top w:val="none" w:sz="0" w:space="0" w:color="auto"/>
        <w:left w:val="none" w:sz="0" w:space="0" w:color="auto"/>
        <w:bottom w:val="none" w:sz="0" w:space="0" w:color="auto"/>
        <w:right w:val="none" w:sz="0" w:space="0" w:color="auto"/>
      </w:divBdr>
    </w:div>
    <w:div w:id="1263680349">
      <w:bodyDiv w:val="1"/>
      <w:marLeft w:val="0"/>
      <w:marRight w:val="0"/>
      <w:marTop w:val="0"/>
      <w:marBottom w:val="0"/>
      <w:divBdr>
        <w:top w:val="none" w:sz="0" w:space="0" w:color="auto"/>
        <w:left w:val="none" w:sz="0" w:space="0" w:color="auto"/>
        <w:bottom w:val="none" w:sz="0" w:space="0" w:color="auto"/>
        <w:right w:val="none" w:sz="0" w:space="0" w:color="auto"/>
      </w:divBdr>
    </w:div>
    <w:div w:id="1263689386">
      <w:bodyDiv w:val="1"/>
      <w:marLeft w:val="0"/>
      <w:marRight w:val="0"/>
      <w:marTop w:val="0"/>
      <w:marBottom w:val="0"/>
      <w:divBdr>
        <w:top w:val="none" w:sz="0" w:space="0" w:color="auto"/>
        <w:left w:val="none" w:sz="0" w:space="0" w:color="auto"/>
        <w:bottom w:val="none" w:sz="0" w:space="0" w:color="auto"/>
        <w:right w:val="none" w:sz="0" w:space="0" w:color="auto"/>
      </w:divBdr>
    </w:div>
    <w:div w:id="1263758093">
      <w:bodyDiv w:val="1"/>
      <w:marLeft w:val="0"/>
      <w:marRight w:val="0"/>
      <w:marTop w:val="0"/>
      <w:marBottom w:val="0"/>
      <w:divBdr>
        <w:top w:val="none" w:sz="0" w:space="0" w:color="auto"/>
        <w:left w:val="none" w:sz="0" w:space="0" w:color="auto"/>
        <w:bottom w:val="none" w:sz="0" w:space="0" w:color="auto"/>
        <w:right w:val="none" w:sz="0" w:space="0" w:color="auto"/>
      </w:divBdr>
    </w:div>
    <w:div w:id="1263760086">
      <w:bodyDiv w:val="1"/>
      <w:marLeft w:val="0"/>
      <w:marRight w:val="0"/>
      <w:marTop w:val="0"/>
      <w:marBottom w:val="0"/>
      <w:divBdr>
        <w:top w:val="none" w:sz="0" w:space="0" w:color="auto"/>
        <w:left w:val="none" w:sz="0" w:space="0" w:color="auto"/>
        <w:bottom w:val="none" w:sz="0" w:space="0" w:color="auto"/>
        <w:right w:val="none" w:sz="0" w:space="0" w:color="auto"/>
      </w:divBdr>
    </w:div>
    <w:div w:id="1263763181">
      <w:bodyDiv w:val="1"/>
      <w:marLeft w:val="0"/>
      <w:marRight w:val="0"/>
      <w:marTop w:val="0"/>
      <w:marBottom w:val="0"/>
      <w:divBdr>
        <w:top w:val="none" w:sz="0" w:space="0" w:color="auto"/>
        <w:left w:val="none" w:sz="0" w:space="0" w:color="auto"/>
        <w:bottom w:val="none" w:sz="0" w:space="0" w:color="auto"/>
        <w:right w:val="none" w:sz="0" w:space="0" w:color="auto"/>
      </w:divBdr>
    </w:div>
    <w:div w:id="1263882150">
      <w:bodyDiv w:val="1"/>
      <w:marLeft w:val="0"/>
      <w:marRight w:val="0"/>
      <w:marTop w:val="0"/>
      <w:marBottom w:val="0"/>
      <w:divBdr>
        <w:top w:val="none" w:sz="0" w:space="0" w:color="auto"/>
        <w:left w:val="none" w:sz="0" w:space="0" w:color="auto"/>
        <w:bottom w:val="none" w:sz="0" w:space="0" w:color="auto"/>
        <w:right w:val="none" w:sz="0" w:space="0" w:color="auto"/>
      </w:divBdr>
    </w:div>
    <w:div w:id="1264191348">
      <w:bodyDiv w:val="1"/>
      <w:marLeft w:val="0"/>
      <w:marRight w:val="0"/>
      <w:marTop w:val="0"/>
      <w:marBottom w:val="0"/>
      <w:divBdr>
        <w:top w:val="none" w:sz="0" w:space="0" w:color="auto"/>
        <w:left w:val="none" w:sz="0" w:space="0" w:color="auto"/>
        <w:bottom w:val="none" w:sz="0" w:space="0" w:color="auto"/>
        <w:right w:val="none" w:sz="0" w:space="0" w:color="auto"/>
      </w:divBdr>
    </w:div>
    <w:div w:id="1264218105">
      <w:bodyDiv w:val="1"/>
      <w:marLeft w:val="0"/>
      <w:marRight w:val="0"/>
      <w:marTop w:val="0"/>
      <w:marBottom w:val="0"/>
      <w:divBdr>
        <w:top w:val="none" w:sz="0" w:space="0" w:color="auto"/>
        <w:left w:val="none" w:sz="0" w:space="0" w:color="auto"/>
        <w:bottom w:val="none" w:sz="0" w:space="0" w:color="auto"/>
        <w:right w:val="none" w:sz="0" w:space="0" w:color="auto"/>
      </w:divBdr>
    </w:div>
    <w:div w:id="1264608313">
      <w:bodyDiv w:val="1"/>
      <w:marLeft w:val="0"/>
      <w:marRight w:val="0"/>
      <w:marTop w:val="0"/>
      <w:marBottom w:val="0"/>
      <w:divBdr>
        <w:top w:val="none" w:sz="0" w:space="0" w:color="auto"/>
        <w:left w:val="none" w:sz="0" w:space="0" w:color="auto"/>
        <w:bottom w:val="none" w:sz="0" w:space="0" w:color="auto"/>
        <w:right w:val="none" w:sz="0" w:space="0" w:color="auto"/>
      </w:divBdr>
    </w:div>
    <w:div w:id="1264650029">
      <w:bodyDiv w:val="1"/>
      <w:marLeft w:val="0"/>
      <w:marRight w:val="0"/>
      <w:marTop w:val="0"/>
      <w:marBottom w:val="0"/>
      <w:divBdr>
        <w:top w:val="none" w:sz="0" w:space="0" w:color="auto"/>
        <w:left w:val="none" w:sz="0" w:space="0" w:color="auto"/>
        <w:bottom w:val="none" w:sz="0" w:space="0" w:color="auto"/>
        <w:right w:val="none" w:sz="0" w:space="0" w:color="auto"/>
      </w:divBdr>
    </w:div>
    <w:div w:id="1264652970">
      <w:bodyDiv w:val="1"/>
      <w:marLeft w:val="0"/>
      <w:marRight w:val="0"/>
      <w:marTop w:val="0"/>
      <w:marBottom w:val="0"/>
      <w:divBdr>
        <w:top w:val="none" w:sz="0" w:space="0" w:color="auto"/>
        <w:left w:val="none" w:sz="0" w:space="0" w:color="auto"/>
        <w:bottom w:val="none" w:sz="0" w:space="0" w:color="auto"/>
        <w:right w:val="none" w:sz="0" w:space="0" w:color="auto"/>
      </w:divBdr>
    </w:div>
    <w:div w:id="1264654026">
      <w:bodyDiv w:val="1"/>
      <w:marLeft w:val="0"/>
      <w:marRight w:val="0"/>
      <w:marTop w:val="0"/>
      <w:marBottom w:val="0"/>
      <w:divBdr>
        <w:top w:val="none" w:sz="0" w:space="0" w:color="auto"/>
        <w:left w:val="none" w:sz="0" w:space="0" w:color="auto"/>
        <w:bottom w:val="none" w:sz="0" w:space="0" w:color="auto"/>
        <w:right w:val="none" w:sz="0" w:space="0" w:color="auto"/>
      </w:divBdr>
    </w:div>
    <w:div w:id="1264724069">
      <w:bodyDiv w:val="1"/>
      <w:marLeft w:val="0"/>
      <w:marRight w:val="0"/>
      <w:marTop w:val="0"/>
      <w:marBottom w:val="0"/>
      <w:divBdr>
        <w:top w:val="none" w:sz="0" w:space="0" w:color="auto"/>
        <w:left w:val="none" w:sz="0" w:space="0" w:color="auto"/>
        <w:bottom w:val="none" w:sz="0" w:space="0" w:color="auto"/>
        <w:right w:val="none" w:sz="0" w:space="0" w:color="auto"/>
      </w:divBdr>
    </w:div>
    <w:div w:id="1264724380">
      <w:bodyDiv w:val="1"/>
      <w:marLeft w:val="0"/>
      <w:marRight w:val="0"/>
      <w:marTop w:val="0"/>
      <w:marBottom w:val="0"/>
      <w:divBdr>
        <w:top w:val="none" w:sz="0" w:space="0" w:color="auto"/>
        <w:left w:val="none" w:sz="0" w:space="0" w:color="auto"/>
        <w:bottom w:val="none" w:sz="0" w:space="0" w:color="auto"/>
        <w:right w:val="none" w:sz="0" w:space="0" w:color="auto"/>
      </w:divBdr>
    </w:div>
    <w:div w:id="1264798157">
      <w:bodyDiv w:val="1"/>
      <w:marLeft w:val="0"/>
      <w:marRight w:val="0"/>
      <w:marTop w:val="0"/>
      <w:marBottom w:val="0"/>
      <w:divBdr>
        <w:top w:val="none" w:sz="0" w:space="0" w:color="auto"/>
        <w:left w:val="none" w:sz="0" w:space="0" w:color="auto"/>
        <w:bottom w:val="none" w:sz="0" w:space="0" w:color="auto"/>
        <w:right w:val="none" w:sz="0" w:space="0" w:color="auto"/>
      </w:divBdr>
    </w:div>
    <w:div w:id="1264798864">
      <w:bodyDiv w:val="1"/>
      <w:marLeft w:val="0"/>
      <w:marRight w:val="0"/>
      <w:marTop w:val="0"/>
      <w:marBottom w:val="0"/>
      <w:divBdr>
        <w:top w:val="none" w:sz="0" w:space="0" w:color="auto"/>
        <w:left w:val="none" w:sz="0" w:space="0" w:color="auto"/>
        <w:bottom w:val="none" w:sz="0" w:space="0" w:color="auto"/>
        <w:right w:val="none" w:sz="0" w:space="0" w:color="auto"/>
      </w:divBdr>
    </w:div>
    <w:div w:id="1264799307">
      <w:bodyDiv w:val="1"/>
      <w:marLeft w:val="0"/>
      <w:marRight w:val="0"/>
      <w:marTop w:val="0"/>
      <w:marBottom w:val="0"/>
      <w:divBdr>
        <w:top w:val="none" w:sz="0" w:space="0" w:color="auto"/>
        <w:left w:val="none" w:sz="0" w:space="0" w:color="auto"/>
        <w:bottom w:val="none" w:sz="0" w:space="0" w:color="auto"/>
        <w:right w:val="none" w:sz="0" w:space="0" w:color="auto"/>
      </w:divBdr>
    </w:div>
    <w:div w:id="1264845231">
      <w:bodyDiv w:val="1"/>
      <w:marLeft w:val="0"/>
      <w:marRight w:val="0"/>
      <w:marTop w:val="0"/>
      <w:marBottom w:val="0"/>
      <w:divBdr>
        <w:top w:val="none" w:sz="0" w:space="0" w:color="auto"/>
        <w:left w:val="none" w:sz="0" w:space="0" w:color="auto"/>
        <w:bottom w:val="none" w:sz="0" w:space="0" w:color="auto"/>
        <w:right w:val="none" w:sz="0" w:space="0" w:color="auto"/>
      </w:divBdr>
    </w:div>
    <w:div w:id="1264917832">
      <w:bodyDiv w:val="1"/>
      <w:marLeft w:val="0"/>
      <w:marRight w:val="0"/>
      <w:marTop w:val="0"/>
      <w:marBottom w:val="0"/>
      <w:divBdr>
        <w:top w:val="none" w:sz="0" w:space="0" w:color="auto"/>
        <w:left w:val="none" w:sz="0" w:space="0" w:color="auto"/>
        <w:bottom w:val="none" w:sz="0" w:space="0" w:color="auto"/>
        <w:right w:val="none" w:sz="0" w:space="0" w:color="auto"/>
      </w:divBdr>
    </w:div>
    <w:div w:id="1264922959">
      <w:bodyDiv w:val="1"/>
      <w:marLeft w:val="0"/>
      <w:marRight w:val="0"/>
      <w:marTop w:val="0"/>
      <w:marBottom w:val="0"/>
      <w:divBdr>
        <w:top w:val="none" w:sz="0" w:space="0" w:color="auto"/>
        <w:left w:val="none" w:sz="0" w:space="0" w:color="auto"/>
        <w:bottom w:val="none" w:sz="0" w:space="0" w:color="auto"/>
        <w:right w:val="none" w:sz="0" w:space="0" w:color="auto"/>
      </w:divBdr>
    </w:div>
    <w:div w:id="1265072282">
      <w:bodyDiv w:val="1"/>
      <w:marLeft w:val="0"/>
      <w:marRight w:val="0"/>
      <w:marTop w:val="0"/>
      <w:marBottom w:val="0"/>
      <w:divBdr>
        <w:top w:val="none" w:sz="0" w:space="0" w:color="auto"/>
        <w:left w:val="none" w:sz="0" w:space="0" w:color="auto"/>
        <w:bottom w:val="none" w:sz="0" w:space="0" w:color="auto"/>
        <w:right w:val="none" w:sz="0" w:space="0" w:color="auto"/>
      </w:divBdr>
    </w:div>
    <w:div w:id="1265073834">
      <w:bodyDiv w:val="1"/>
      <w:marLeft w:val="0"/>
      <w:marRight w:val="0"/>
      <w:marTop w:val="0"/>
      <w:marBottom w:val="0"/>
      <w:divBdr>
        <w:top w:val="none" w:sz="0" w:space="0" w:color="auto"/>
        <w:left w:val="none" w:sz="0" w:space="0" w:color="auto"/>
        <w:bottom w:val="none" w:sz="0" w:space="0" w:color="auto"/>
        <w:right w:val="none" w:sz="0" w:space="0" w:color="auto"/>
      </w:divBdr>
    </w:div>
    <w:div w:id="1265108688">
      <w:bodyDiv w:val="1"/>
      <w:marLeft w:val="0"/>
      <w:marRight w:val="0"/>
      <w:marTop w:val="0"/>
      <w:marBottom w:val="0"/>
      <w:divBdr>
        <w:top w:val="none" w:sz="0" w:space="0" w:color="auto"/>
        <w:left w:val="none" w:sz="0" w:space="0" w:color="auto"/>
        <w:bottom w:val="none" w:sz="0" w:space="0" w:color="auto"/>
        <w:right w:val="none" w:sz="0" w:space="0" w:color="auto"/>
      </w:divBdr>
    </w:div>
    <w:div w:id="1265115792">
      <w:bodyDiv w:val="1"/>
      <w:marLeft w:val="0"/>
      <w:marRight w:val="0"/>
      <w:marTop w:val="0"/>
      <w:marBottom w:val="0"/>
      <w:divBdr>
        <w:top w:val="none" w:sz="0" w:space="0" w:color="auto"/>
        <w:left w:val="none" w:sz="0" w:space="0" w:color="auto"/>
        <w:bottom w:val="none" w:sz="0" w:space="0" w:color="auto"/>
        <w:right w:val="none" w:sz="0" w:space="0" w:color="auto"/>
      </w:divBdr>
    </w:div>
    <w:div w:id="1265188705">
      <w:bodyDiv w:val="1"/>
      <w:marLeft w:val="0"/>
      <w:marRight w:val="0"/>
      <w:marTop w:val="0"/>
      <w:marBottom w:val="0"/>
      <w:divBdr>
        <w:top w:val="none" w:sz="0" w:space="0" w:color="auto"/>
        <w:left w:val="none" w:sz="0" w:space="0" w:color="auto"/>
        <w:bottom w:val="none" w:sz="0" w:space="0" w:color="auto"/>
        <w:right w:val="none" w:sz="0" w:space="0" w:color="auto"/>
      </w:divBdr>
    </w:div>
    <w:div w:id="1265189489">
      <w:bodyDiv w:val="1"/>
      <w:marLeft w:val="0"/>
      <w:marRight w:val="0"/>
      <w:marTop w:val="0"/>
      <w:marBottom w:val="0"/>
      <w:divBdr>
        <w:top w:val="none" w:sz="0" w:space="0" w:color="auto"/>
        <w:left w:val="none" w:sz="0" w:space="0" w:color="auto"/>
        <w:bottom w:val="none" w:sz="0" w:space="0" w:color="auto"/>
        <w:right w:val="none" w:sz="0" w:space="0" w:color="auto"/>
      </w:divBdr>
    </w:div>
    <w:div w:id="1265189698">
      <w:bodyDiv w:val="1"/>
      <w:marLeft w:val="0"/>
      <w:marRight w:val="0"/>
      <w:marTop w:val="0"/>
      <w:marBottom w:val="0"/>
      <w:divBdr>
        <w:top w:val="none" w:sz="0" w:space="0" w:color="auto"/>
        <w:left w:val="none" w:sz="0" w:space="0" w:color="auto"/>
        <w:bottom w:val="none" w:sz="0" w:space="0" w:color="auto"/>
        <w:right w:val="none" w:sz="0" w:space="0" w:color="auto"/>
      </w:divBdr>
    </w:div>
    <w:div w:id="1265190550">
      <w:bodyDiv w:val="1"/>
      <w:marLeft w:val="0"/>
      <w:marRight w:val="0"/>
      <w:marTop w:val="0"/>
      <w:marBottom w:val="0"/>
      <w:divBdr>
        <w:top w:val="none" w:sz="0" w:space="0" w:color="auto"/>
        <w:left w:val="none" w:sz="0" w:space="0" w:color="auto"/>
        <w:bottom w:val="none" w:sz="0" w:space="0" w:color="auto"/>
        <w:right w:val="none" w:sz="0" w:space="0" w:color="auto"/>
      </w:divBdr>
    </w:div>
    <w:div w:id="1265268028">
      <w:bodyDiv w:val="1"/>
      <w:marLeft w:val="0"/>
      <w:marRight w:val="0"/>
      <w:marTop w:val="0"/>
      <w:marBottom w:val="0"/>
      <w:divBdr>
        <w:top w:val="none" w:sz="0" w:space="0" w:color="auto"/>
        <w:left w:val="none" w:sz="0" w:space="0" w:color="auto"/>
        <w:bottom w:val="none" w:sz="0" w:space="0" w:color="auto"/>
        <w:right w:val="none" w:sz="0" w:space="0" w:color="auto"/>
      </w:divBdr>
    </w:div>
    <w:div w:id="1265304749">
      <w:bodyDiv w:val="1"/>
      <w:marLeft w:val="0"/>
      <w:marRight w:val="0"/>
      <w:marTop w:val="0"/>
      <w:marBottom w:val="0"/>
      <w:divBdr>
        <w:top w:val="none" w:sz="0" w:space="0" w:color="auto"/>
        <w:left w:val="none" w:sz="0" w:space="0" w:color="auto"/>
        <w:bottom w:val="none" w:sz="0" w:space="0" w:color="auto"/>
        <w:right w:val="none" w:sz="0" w:space="0" w:color="auto"/>
      </w:divBdr>
    </w:div>
    <w:div w:id="1265377755">
      <w:bodyDiv w:val="1"/>
      <w:marLeft w:val="0"/>
      <w:marRight w:val="0"/>
      <w:marTop w:val="0"/>
      <w:marBottom w:val="0"/>
      <w:divBdr>
        <w:top w:val="none" w:sz="0" w:space="0" w:color="auto"/>
        <w:left w:val="none" w:sz="0" w:space="0" w:color="auto"/>
        <w:bottom w:val="none" w:sz="0" w:space="0" w:color="auto"/>
        <w:right w:val="none" w:sz="0" w:space="0" w:color="auto"/>
      </w:divBdr>
    </w:div>
    <w:div w:id="1265574093">
      <w:bodyDiv w:val="1"/>
      <w:marLeft w:val="0"/>
      <w:marRight w:val="0"/>
      <w:marTop w:val="0"/>
      <w:marBottom w:val="0"/>
      <w:divBdr>
        <w:top w:val="none" w:sz="0" w:space="0" w:color="auto"/>
        <w:left w:val="none" w:sz="0" w:space="0" w:color="auto"/>
        <w:bottom w:val="none" w:sz="0" w:space="0" w:color="auto"/>
        <w:right w:val="none" w:sz="0" w:space="0" w:color="auto"/>
      </w:divBdr>
    </w:div>
    <w:div w:id="1265654940">
      <w:bodyDiv w:val="1"/>
      <w:marLeft w:val="0"/>
      <w:marRight w:val="0"/>
      <w:marTop w:val="0"/>
      <w:marBottom w:val="0"/>
      <w:divBdr>
        <w:top w:val="none" w:sz="0" w:space="0" w:color="auto"/>
        <w:left w:val="none" w:sz="0" w:space="0" w:color="auto"/>
        <w:bottom w:val="none" w:sz="0" w:space="0" w:color="auto"/>
        <w:right w:val="none" w:sz="0" w:space="0" w:color="auto"/>
      </w:divBdr>
    </w:div>
    <w:div w:id="1265697895">
      <w:bodyDiv w:val="1"/>
      <w:marLeft w:val="0"/>
      <w:marRight w:val="0"/>
      <w:marTop w:val="0"/>
      <w:marBottom w:val="0"/>
      <w:divBdr>
        <w:top w:val="none" w:sz="0" w:space="0" w:color="auto"/>
        <w:left w:val="none" w:sz="0" w:space="0" w:color="auto"/>
        <w:bottom w:val="none" w:sz="0" w:space="0" w:color="auto"/>
        <w:right w:val="none" w:sz="0" w:space="0" w:color="auto"/>
      </w:divBdr>
    </w:div>
    <w:div w:id="1266038342">
      <w:bodyDiv w:val="1"/>
      <w:marLeft w:val="0"/>
      <w:marRight w:val="0"/>
      <w:marTop w:val="0"/>
      <w:marBottom w:val="0"/>
      <w:divBdr>
        <w:top w:val="none" w:sz="0" w:space="0" w:color="auto"/>
        <w:left w:val="none" w:sz="0" w:space="0" w:color="auto"/>
        <w:bottom w:val="none" w:sz="0" w:space="0" w:color="auto"/>
        <w:right w:val="none" w:sz="0" w:space="0" w:color="auto"/>
      </w:divBdr>
    </w:div>
    <w:div w:id="1266159350">
      <w:bodyDiv w:val="1"/>
      <w:marLeft w:val="0"/>
      <w:marRight w:val="0"/>
      <w:marTop w:val="0"/>
      <w:marBottom w:val="0"/>
      <w:divBdr>
        <w:top w:val="none" w:sz="0" w:space="0" w:color="auto"/>
        <w:left w:val="none" w:sz="0" w:space="0" w:color="auto"/>
        <w:bottom w:val="none" w:sz="0" w:space="0" w:color="auto"/>
        <w:right w:val="none" w:sz="0" w:space="0" w:color="auto"/>
      </w:divBdr>
    </w:div>
    <w:div w:id="1266228824">
      <w:bodyDiv w:val="1"/>
      <w:marLeft w:val="0"/>
      <w:marRight w:val="0"/>
      <w:marTop w:val="0"/>
      <w:marBottom w:val="0"/>
      <w:divBdr>
        <w:top w:val="none" w:sz="0" w:space="0" w:color="auto"/>
        <w:left w:val="none" w:sz="0" w:space="0" w:color="auto"/>
        <w:bottom w:val="none" w:sz="0" w:space="0" w:color="auto"/>
        <w:right w:val="none" w:sz="0" w:space="0" w:color="auto"/>
      </w:divBdr>
    </w:div>
    <w:div w:id="1266302501">
      <w:bodyDiv w:val="1"/>
      <w:marLeft w:val="0"/>
      <w:marRight w:val="0"/>
      <w:marTop w:val="0"/>
      <w:marBottom w:val="0"/>
      <w:divBdr>
        <w:top w:val="none" w:sz="0" w:space="0" w:color="auto"/>
        <w:left w:val="none" w:sz="0" w:space="0" w:color="auto"/>
        <w:bottom w:val="none" w:sz="0" w:space="0" w:color="auto"/>
        <w:right w:val="none" w:sz="0" w:space="0" w:color="auto"/>
      </w:divBdr>
    </w:div>
    <w:div w:id="1266308369">
      <w:bodyDiv w:val="1"/>
      <w:marLeft w:val="0"/>
      <w:marRight w:val="0"/>
      <w:marTop w:val="0"/>
      <w:marBottom w:val="0"/>
      <w:divBdr>
        <w:top w:val="none" w:sz="0" w:space="0" w:color="auto"/>
        <w:left w:val="none" w:sz="0" w:space="0" w:color="auto"/>
        <w:bottom w:val="none" w:sz="0" w:space="0" w:color="auto"/>
        <w:right w:val="none" w:sz="0" w:space="0" w:color="auto"/>
      </w:divBdr>
    </w:div>
    <w:div w:id="1266309942">
      <w:bodyDiv w:val="1"/>
      <w:marLeft w:val="0"/>
      <w:marRight w:val="0"/>
      <w:marTop w:val="0"/>
      <w:marBottom w:val="0"/>
      <w:divBdr>
        <w:top w:val="none" w:sz="0" w:space="0" w:color="auto"/>
        <w:left w:val="none" w:sz="0" w:space="0" w:color="auto"/>
        <w:bottom w:val="none" w:sz="0" w:space="0" w:color="auto"/>
        <w:right w:val="none" w:sz="0" w:space="0" w:color="auto"/>
      </w:divBdr>
    </w:div>
    <w:div w:id="1266310969">
      <w:bodyDiv w:val="1"/>
      <w:marLeft w:val="0"/>
      <w:marRight w:val="0"/>
      <w:marTop w:val="0"/>
      <w:marBottom w:val="0"/>
      <w:divBdr>
        <w:top w:val="none" w:sz="0" w:space="0" w:color="auto"/>
        <w:left w:val="none" w:sz="0" w:space="0" w:color="auto"/>
        <w:bottom w:val="none" w:sz="0" w:space="0" w:color="auto"/>
        <w:right w:val="none" w:sz="0" w:space="0" w:color="auto"/>
      </w:divBdr>
    </w:div>
    <w:div w:id="1266382551">
      <w:bodyDiv w:val="1"/>
      <w:marLeft w:val="0"/>
      <w:marRight w:val="0"/>
      <w:marTop w:val="0"/>
      <w:marBottom w:val="0"/>
      <w:divBdr>
        <w:top w:val="none" w:sz="0" w:space="0" w:color="auto"/>
        <w:left w:val="none" w:sz="0" w:space="0" w:color="auto"/>
        <w:bottom w:val="none" w:sz="0" w:space="0" w:color="auto"/>
        <w:right w:val="none" w:sz="0" w:space="0" w:color="auto"/>
      </w:divBdr>
    </w:div>
    <w:div w:id="1266496536">
      <w:bodyDiv w:val="1"/>
      <w:marLeft w:val="0"/>
      <w:marRight w:val="0"/>
      <w:marTop w:val="0"/>
      <w:marBottom w:val="0"/>
      <w:divBdr>
        <w:top w:val="none" w:sz="0" w:space="0" w:color="auto"/>
        <w:left w:val="none" w:sz="0" w:space="0" w:color="auto"/>
        <w:bottom w:val="none" w:sz="0" w:space="0" w:color="auto"/>
        <w:right w:val="none" w:sz="0" w:space="0" w:color="auto"/>
      </w:divBdr>
    </w:div>
    <w:div w:id="1266840593">
      <w:bodyDiv w:val="1"/>
      <w:marLeft w:val="0"/>
      <w:marRight w:val="0"/>
      <w:marTop w:val="0"/>
      <w:marBottom w:val="0"/>
      <w:divBdr>
        <w:top w:val="none" w:sz="0" w:space="0" w:color="auto"/>
        <w:left w:val="none" w:sz="0" w:space="0" w:color="auto"/>
        <w:bottom w:val="none" w:sz="0" w:space="0" w:color="auto"/>
        <w:right w:val="none" w:sz="0" w:space="0" w:color="auto"/>
      </w:divBdr>
    </w:div>
    <w:div w:id="1266883466">
      <w:bodyDiv w:val="1"/>
      <w:marLeft w:val="0"/>
      <w:marRight w:val="0"/>
      <w:marTop w:val="0"/>
      <w:marBottom w:val="0"/>
      <w:divBdr>
        <w:top w:val="none" w:sz="0" w:space="0" w:color="auto"/>
        <w:left w:val="none" w:sz="0" w:space="0" w:color="auto"/>
        <w:bottom w:val="none" w:sz="0" w:space="0" w:color="auto"/>
        <w:right w:val="none" w:sz="0" w:space="0" w:color="auto"/>
      </w:divBdr>
    </w:div>
    <w:div w:id="1266883980">
      <w:bodyDiv w:val="1"/>
      <w:marLeft w:val="0"/>
      <w:marRight w:val="0"/>
      <w:marTop w:val="0"/>
      <w:marBottom w:val="0"/>
      <w:divBdr>
        <w:top w:val="none" w:sz="0" w:space="0" w:color="auto"/>
        <w:left w:val="none" w:sz="0" w:space="0" w:color="auto"/>
        <w:bottom w:val="none" w:sz="0" w:space="0" w:color="auto"/>
        <w:right w:val="none" w:sz="0" w:space="0" w:color="auto"/>
      </w:divBdr>
    </w:div>
    <w:div w:id="1266886054">
      <w:bodyDiv w:val="1"/>
      <w:marLeft w:val="0"/>
      <w:marRight w:val="0"/>
      <w:marTop w:val="0"/>
      <w:marBottom w:val="0"/>
      <w:divBdr>
        <w:top w:val="none" w:sz="0" w:space="0" w:color="auto"/>
        <w:left w:val="none" w:sz="0" w:space="0" w:color="auto"/>
        <w:bottom w:val="none" w:sz="0" w:space="0" w:color="auto"/>
        <w:right w:val="none" w:sz="0" w:space="0" w:color="auto"/>
      </w:divBdr>
    </w:div>
    <w:div w:id="1266888571">
      <w:bodyDiv w:val="1"/>
      <w:marLeft w:val="0"/>
      <w:marRight w:val="0"/>
      <w:marTop w:val="0"/>
      <w:marBottom w:val="0"/>
      <w:divBdr>
        <w:top w:val="none" w:sz="0" w:space="0" w:color="auto"/>
        <w:left w:val="none" w:sz="0" w:space="0" w:color="auto"/>
        <w:bottom w:val="none" w:sz="0" w:space="0" w:color="auto"/>
        <w:right w:val="none" w:sz="0" w:space="0" w:color="auto"/>
      </w:divBdr>
    </w:div>
    <w:div w:id="1266957089">
      <w:bodyDiv w:val="1"/>
      <w:marLeft w:val="0"/>
      <w:marRight w:val="0"/>
      <w:marTop w:val="0"/>
      <w:marBottom w:val="0"/>
      <w:divBdr>
        <w:top w:val="none" w:sz="0" w:space="0" w:color="auto"/>
        <w:left w:val="none" w:sz="0" w:space="0" w:color="auto"/>
        <w:bottom w:val="none" w:sz="0" w:space="0" w:color="auto"/>
        <w:right w:val="none" w:sz="0" w:space="0" w:color="auto"/>
      </w:divBdr>
    </w:div>
    <w:div w:id="1266962446">
      <w:bodyDiv w:val="1"/>
      <w:marLeft w:val="0"/>
      <w:marRight w:val="0"/>
      <w:marTop w:val="0"/>
      <w:marBottom w:val="0"/>
      <w:divBdr>
        <w:top w:val="none" w:sz="0" w:space="0" w:color="auto"/>
        <w:left w:val="none" w:sz="0" w:space="0" w:color="auto"/>
        <w:bottom w:val="none" w:sz="0" w:space="0" w:color="auto"/>
        <w:right w:val="none" w:sz="0" w:space="0" w:color="auto"/>
      </w:divBdr>
    </w:div>
    <w:div w:id="1266965876">
      <w:bodyDiv w:val="1"/>
      <w:marLeft w:val="0"/>
      <w:marRight w:val="0"/>
      <w:marTop w:val="0"/>
      <w:marBottom w:val="0"/>
      <w:divBdr>
        <w:top w:val="none" w:sz="0" w:space="0" w:color="auto"/>
        <w:left w:val="none" w:sz="0" w:space="0" w:color="auto"/>
        <w:bottom w:val="none" w:sz="0" w:space="0" w:color="auto"/>
        <w:right w:val="none" w:sz="0" w:space="0" w:color="auto"/>
      </w:divBdr>
    </w:div>
    <w:div w:id="1267076181">
      <w:bodyDiv w:val="1"/>
      <w:marLeft w:val="0"/>
      <w:marRight w:val="0"/>
      <w:marTop w:val="0"/>
      <w:marBottom w:val="0"/>
      <w:divBdr>
        <w:top w:val="none" w:sz="0" w:space="0" w:color="auto"/>
        <w:left w:val="none" w:sz="0" w:space="0" w:color="auto"/>
        <w:bottom w:val="none" w:sz="0" w:space="0" w:color="auto"/>
        <w:right w:val="none" w:sz="0" w:space="0" w:color="auto"/>
      </w:divBdr>
    </w:div>
    <w:div w:id="1267081856">
      <w:bodyDiv w:val="1"/>
      <w:marLeft w:val="0"/>
      <w:marRight w:val="0"/>
      <w:marTop w:val="0"/>
      <w:marBottom w:val="0"/>
      <w:divBdr>
        <w:top w:val="none" w:sz="0" w:space="0" w:color="auto"/>
        <w:left w:val="none" w:sz="0" w:space="0" w:color="auto"/>
        <w:bottom w:val="none" w:sz="0" w:space="0" w:color="auto"/>
        <w:right w:val="none" w:sz="0" w:space="0" w:color="auto"/>
      </w:divBdr>
    </w:div>
    <w:div w:id="1267159493">
      <w:bodyDiv w:val="1"/>
      <w:marLeft w:val="0"/>
      <w:marRight w:val="0"/>
      <w:marTop w:val="0"/>
      <w:marBottom w:val="0"/>
      <w:divBdr>
        <w:top w:val="none" w:sz="0" w:space="0" w:color="auto"/>
        <w:left w:val="none" w:sz="0" w:space="0" w:color="auto"/>
        <w:bottom w:val="none" w:sz="0" w:space="0" w:color="auto"/>
        <w:right w:val="none" w:sz="0" w:space="0" w:color="auto"/>
      </w:divBdr>
    </w:div>
    <w:div w:id="1267226853">
      <w:bodyDiv w:val="1"/>
      <w:marLeft w:val="0"/>
      <w:marRight w:val="0"/>
      <w:marTop w:val="0"/>
      <w:marBottom w:val="0"/>
      <w:divBdr>
        <w:top w:val="none" w:sz="0" w:space="0" w:color="auto"/>
        <w:left w:val="none" w:sz="0" w:space="0" w:color="auto"/>
        <w:bottom w:val="none" w:sz="0" w:space="0" w:color="auto"/>
        <w:right w:val="none" w:sz="0" w:space="0" w:color="auto"/>
      </w:divBdr>
    </w:div>
    <w:div w:id="1267232528">
      <w:bodyDiv w:val="1"/>
      <w:marLeft w:val="0"/>
      <w:marRight w:val="0"/>
      <w:marTop w:val="0"/>
      <w:marBottom w:val="0"/>
      <w:divBdr>
        <w:top w:val="none" w:sz="0" w:space="0" w:color="auto"/>
        <w:left w:val="none" w:sz="0" w:space="0" w:color="auto"/>
        <w:bottom w:val="none" w:sz="0" w:space="0" w:color="auto"/>
        <w:right w:val="none" w:sz="0" w:space="0" w:color="auto"/>
      </w:divBdr>
    </w:div>
    <w:div w:id="1267346344">
      <w:bodyDiv w:val="1"/>
      <w:marLeft w:val="0"/>
      <w:marRight w:val="0"/>
      <w:marTop w:val="0"/>
      <w:marBottom w:val="0"/>
      <w:divBdr>
        <w:top w:val="none" w:sz="0" w:space="0" w:color="auto"/>
        <w:left w:val="none" w:sz="0" w:space="0" w:color="auto"/>
        <w:bottom w:val="none" w:sz="0" w:space="0" w:color="auto"/>
        <w:right w:val="none" w:sz="0" w:space="0" w:color="auto"/>
      </w:divBdr>
    </w:div>
    <w:div w:id="1267543347">
      <w:bodyDiv w:val="1"/>
      <w:marLeft w:val="0"/>
      <w:marRight w:val="0"/>
      <w:marTop w:val="0"/>
      <w:marBottom w:val="0"/>
      <w:divBdr>
        <w:top w:val="none" w:sz="0" w:space="0" w:color="auto"/>
        <w:left w:val="none" w:sz="0" w:space="0" w:color="auto"/>
        <w:bottom w:val="none" w:sz="0" w:space="0" w:color="auto"/>
        <w:right w:val="none" w:sz="0" w:space="0" w:color="auto"/>
      </w:divBdr>
    </w:div>
    <w:div w:id="1267543450">
      <w:bodyDiv w:val="1"/>
      <w:marLeft w:val="0"/>
      <w:marRight w:val="0"/>
      <w:marTop w:val="0"/>
      <w:marBottom w:val="0"/>
      <w:divBdr>
        <w:top w:val="none" w:sz="0" w:space="0" w:color="auto"/>
        <w:left w:val="none" w:sz="0" w:space="0" w:color="auto"/>
        <w:bottom w:val="none" w:sz="0" w:space="0" w:color="auto"/>
        <w:right w:val="none" w:sz="0" w:space="0" w:color="auto"/>
      </w:divBdr>
    </w:div>
    <w:div w:id="1267546027">
      <w:bodyDiv w:val="1"/>
      <w:marLeft w:val="0"/>
      <w:marRight w:val="0"/>
      <w:marTop w:val="0"/>
      <w:marBottom w:val="0"/>
      <w:divBdr>
        <w:top w:val="none" w:sz="0" w:space="0" w:color="auto"/>
        <w:left w:val="none" w:sz="0" w:space="0" w:color="auto"/>
        <w:bottom w:val="none" w:sz="0" w:space="0" w:color="auto"/>
        <w:right w:val="none" w:sz="0" w:space="0" w:color="auto"/>
      </w:divBdr>
    </w:div>
    <w:div w:id="1267808216">
      <w:bodyDiv w:val="1"/>
      <w:marLeft w:val="0"/>
      <w:marRight w:val="0"/>
      <w:marTop w:val="0"/>
      <w:marBottom w:val="0"/>
      <w:divBdr>
        <w:top w:val="none" w:sz="0" w:space="0" w:color="auto"/>
        <w:left w:val="none" w:sz="0" w:space="0" w:color="auto"/>
        <w:bottom w:val="none" w:sz="0" w:space="0" w:color="auto"/>
        <w:right w:val="none" w:sz="0" w:space="0" w:color="auto"/>
      </w:divBdr>
    </w:div>
    <w:div w:id="1267880856">
      <w:bodyDiv w:val="1"/>
      <w:marLeft w:val="0"/>
      <w:marRight w:val="0"/>
      <w:marTop w:val="0"/>
      <w:marBottom w:val="0"/>
      <w:divBdr>
        <w:top w:val="none" w:sz="0" w:space="0" w:color="auto"/>
        <w:left w:val="none" w:sz="0" w:space="0" w:color="auto"/>
        <w:bottom w:val="none" w:sz="0" w:space="0" w:color="auto"/>
        <w:right w:val="none" w:sz="0" w:space="0" w:color="auto"/>
      </w:divBdr>
    </w:div>
    <w:div w:id="1267881674">
      <w:bodyDiv w:val="1"/>
      <w:marLeft w:val="0"/>
      <w:marRight w:val="0"/>
      <w:marTop w:val="0"/>
      <w:marBottom w:val="0"/>
      <w:divBdr>
        <w:top w:val="none" w:sz="0" w:space="0" w:color="auto"/>
        <w:left w:val="none" w:sz="0" w:space="0" w:color="auto"/>
        <w:bottom w:val="none" w:sz="0" w:space="0" w:color="auto"/>
        <w:right w:val="none" w:sz="0" w:space="0" w:color="auto"/>
      </w:divBdr>
    </w:div>
    <w:div w:id="1268074522">
      <w:bodyDiv w:val="1"/>
      <w:marLeft w:val="0"/>
      <w:marRight w:val="0"/>
      <w:marTop w:val="0"/>
      <w:marBottom w:val="0"/>
      <w:divBdr>
        <w:top w:val="none" w:sz="0" w:space="0" w:color="auto"/>
        <w:left w:val="none" w:sz="0" w:space="0" w:color="auto"/>
        <w:bottom w:val="none" w:sz="0" w:space="0" w:color="auto"/>
        <w:right w:val="none" w:sz="0" w:space="0" w:color="auto"/>
      </w:divBdr>
    </w:div>
    <w:div w:id="1268122554">
      <w:bodyDiv w:val="1"/>
      <w:marLeft w:val="0"/>
      <w:marRight w:val="0"/>
      <w:marTop w:val="0"/>
      <w:marBottom w:val="0"/>
      <w:divBdr>
        <w:top w:val="none" w:sz="0" w:space="0" w:color="auto"/>
        <w:left w:val="none" w:sz="0" w:space="0" w:color="auto"/>
        <w:bottom w:val="none" w:sz="0" w:space="0" w:color="auto"/>
        <w:right w:val="none" w:sz="0" w:space="0" w:color="auto"/>
      </w:divBdr>
    </w:div>
    <w:div w:id="1268122606">
      <w:bodyDiv w:val="1"/>
      <w:marLeft w:val="0"/>
      <w:marRight w:val="0"/>
      <w:marTop w:val="0"/>
      <w:marBottom w:val="0"/>
      <w:divBdr>
        <w:top w:val="none" w:sz="0" w:space="0" w:color="auto"/>
        <w:left w:val="none" w:sz="0" w:space="0" w:color="auto"/>
        <w:bottom w:val="none" w:sz="0" w:space="0" w:color="auto"/>
        <w:right w:val="none" w:sz="0" w:space="0" w:color="auto"/>
      </w:divBdr>
    </w:div>
    <w:div w:id="1268124084">
      <w:bodyDiv w:val="1"/>
      <w:marLeft w:val="0"/>
      <w:marRight w:val="0"/>
      <w:marTop w:val="0"/>
      <w:marBottom w:val="0"/>
      <w:divBdr>
        <w:top w:val="none" w:sz="0" w:space="0" w:color="auto"/>
        <w:left w:val="none" w:sz="0" w:space="0" w:color="auto"/>
        <w:bottom w:val="none" w:sz="0" w:space="0" w:color="auto"/>
        <w:right w:val="none" w:sz="0" w:space="0" w:color="auto"/>
      </w:divBdr>
    </w:div>
    <w:div w:id="1268151927">
      <w:bodyDiv w:val="1"/>
      <w:marLeft w:val="0"/>
      <w:marRight w:val="0"/>
      <w:marTop w:val="0"/>
      <w:marBottom w:val="0"/>
      <w:divBdr>
        <w:top w:val="none" w:sz="0" w:space="0" w:color="auto"/>
        <w:left w:val="none" w:sz="0" w:space="0" w:color="auto"/>
        <w:bottom w:val="none" w:sz="0" w:space="0" w:color="auto"/>
        <w:right w:val="none" w:sz="0" w:space="0" w:color="auto"/>
      </w:divBdr>
    </w:div>
    <w:div w:id="1268196652">
      <w:bodyDiv w:val="1"/>
      <w:marLeft w:val="0"/>
      <w:marRight w:val="0"/>
      <w:marTop w:val="0"/>
      <w:marBottom w:val="0"/>
      <w:divBdr>
        <w:top w:val="none" w:sz="0" w:space="0" w:color="auto"/>
        <w:left w:val="none" w:sz="0" w:space="0" w:color="auto"/>
        <w:bottom w:val="none" w:sz="0" w:space="0" w:color="auto"/>
        <w:right w:val="none" w:sz="0" w:space="0" w:color="auto"/>
      </w:divBdr>
    </w:div>
    <w:div w:id="1268390778">
      <w:bodyDiv w:val="1"/>
      <w:marLeft w:val="0"/>
      <w:marRight w:val="0"/>
      <w:marTop w:val="0"/>
      <w:marBottom w:val="0"/>
      <w:divBdr>
        <w:top w:val="none" w:sz="0" w:space="0" w:color="auto"/>
        <w:left w:val="none" w:sz="0" w:space="0" w:color="auto"/>
        <w:bottom w:val="none" w:sz="0" w:space="0" w:color="auto"/>
        <w:right w:val="none" w:sz="0" w:space="0" w:color="auto"/>
      </w:divBdr>
    </w:div>
    <w:div w:id="1268465701">
      <w:bodyDiv w:val="1"/>
      <w:marLeft w:val="0"/>
      <w:marRight w:val="0"/>
      <w:marTop w:val="0"/>
      <w:marBottom w:val="0"/>
      <w:divBdr>
        <w:top w:val="none" w:sz="0" w:space="0" w:color="auto"/>
        <w:left w:val="none" w:sz="0" w:space="0" w:color="auto"/>
        <w:bottom w:val="none" w:sz="0" w:space="0" w:color="auto"/>
        <w:right w:val="none" w:sz="0" w:space="0" w:color="auto"/>
      </w:divBdr>
    </w:div>
    <w:div w:id="1268539010">
      <w:bodyDiv w:val="1"/>
      <w:marLeft w:val="0"/>
      <w:marRight w:val="0"/>
      <w:marTop w:val="0"/>
      <w:marBottom w:val="0"/>
      <w:divBdr>
        <w:top w:val="none" w:sz="0" w:space="0" w:color="auto"/>
        <w:left w:val="none" w:sz="0" w:space="0" w:color="auto"/>
        <w:bottom w:val="none" w:sz="0" w:space="0" w:color="auto"/>
        <w:right w:val="none" w:sz="0" w:space="0" w:color="auto"/>
      </w:divBdr>
    </w:div>
    <w:div w:id="1268586064">
      <w:bodyDiv w:val="1"/>
      <w:marLeft w:val="0"/>
      <w:marRight w:val="0"/>
      <w:marTop w:val="0"/>
      <w:marBottom w:val="0"/>
      <w:divBdr>
        <w:top w:val="none" w:sz="0" w:space="0" w:color="auto"/>
        <w:left w:val="none" w:sz="0" w:space="0" w:color="auto"/>
        <w:bottom w:val="none" w:sz="0" w:space="0" w:color="auto"/>
        <w:right w:val="none" w:sz="0" w:space="0" w:color="auto"/>
      </w:divBdr>
    </w:div>
    <w:div w:id="1268807660">
      <w:bodyDiv w:val="1"/>
      <w:marLeft w:val="0"/>
      <w:marRight w:val="0"/>
      <w:marTop w:val="0"/>
      <w:marBottom w:val="0"/>
      <w:divBdr>
        <w:top w:val="none" w:sz="0" w:space="0" w:color="auto"/>
        <w:left w:val="none" w:sz="0" w:space="0" w:color="auto"/>
        <w:bottom w:val="none" w:sz="0" w:space="0" w:color="auto"/>
        <w:right w:val="none" w:sz="0" w:space="0" w:color="auto"/>
      </w:divBdr>
    </w:div>
    <w:div w:id="1268849740">
      <w:bodyDiv w:val="1"/>
      <w:marLeft w:val="0"/>
      <w:marRight w:val="0"/>
      <w:marTop w:val="0"/>
      <w:marBottom w:val="0"/>
      <w:divBdr>
        <w:top w:val="none" w:sz="0" w:space="0" w:color="auto"/>
        <w:left w:val="none" w:sz="0" w:space="0" w:color="auto"/>
        <w:bottom w:val="none" w:sz="0" w:space="0" w:color="auto"/>
        <w:right w:val="none" w:sz="0" w:space="0" w:color="auto"/>
      </w:divBdr>
    </w:div>
    <w:div w:id="1268929661">
      <w:bodyDiv w:val="1"/>
      <w:marLeft w:val="0"/>
      <w:marRight w:val="0"/>
      <w:marTop w:val="0"/>
      <w:marBottom w:val="0"/>
      <w:divBdr>
        <w:top w:val="none" w:sz="0" w:space="0" w:color="auto"/>
        <w:left w:val="none" w:sz="0" w:space="0" w:color="auto"/>
        <w:bottom w:val="none" w:sz="0" w:space="0" w:color="auto"/>
        <w:right w:val="none" w:sz="0" w:space="0" w:color="auto"/>
      </w:divBdr>
    </w:div>
    <w:div w:id="1269117433">
      <w:bodyDiv w:val="1"/>
      <w:marLeft w:val="0"/>
      <w:marRight w:val="0"/>
      <w:marTop w:val="0"/>
      <w:marBottom w:val="0"/>
      <w:divBdr>
        <w:top w:val="none" w:sz="0" w:space="0" w:color="auto"/>
        <w:left w:val="none" w:sz="0" w:space="0" w:color="auto"/>
        <w:bottom w:val="none" w:sz="0" w:space="0" w:color="auto"/>
        <w:right w:val="none" w:sz="0" w:space="0" w:color="auto"/>
      </w:divBdr>
    </w:div>
    <w:div w:id="1269191849">
      <w:bodyDiv w:val="1"/>
      <w:marLeft w:val="0"/>
      <w:marRight w:val="0"/>
      <w:marTop w:val="0"/>
      <w:marBottom w:val="0"/>
      <w:divBdr>
        <w:top w:val="none" w:sz="0" w:space="0" w:color="auto"/>
        <w:left w:val="none" w:sz="0" w:space="0" w:color="auto"/>
        <w:bottom w:val="none" w:sz="0" w:space="0" w:color="auto"/>
        <w:right w:val="none" w:sz="0" w:space="0" w:color="auto"/>
      </w:divBdr>
    </w:div>
    <w:div w:id="1269198947">
      <w:bodyDiv w:val="1"/>
      <w:marLeft w:val="0"/>
      <w:marRight w:val="0"/>
      <w:marTop w:val="0"/>
      <w:marBottom w:val="0"/>
      <w:divBdr>
        <w:top w:val="none" w:sz="0" w:space="0" w:color="auto"/>
        <w:left w:val="none" w:sz="0" w:space="0" w:color="auto"/>
        <w:bottom w:val="none" w:sz="0" w:space="0" w:color="auto"/>
        <w:right w:val="none" w:sz="0" w:space="0" w:color="auto"/>
      </w:divBdr>
    </w:div>
    <w:div w:id="1269240145">
      <w:bodyDiv w:val="1"/>
      <w:marLeft w:val="0"/>
      <w:marRight w:val="0"/>
      <w:marTop w:val="0"/>
      <w:marBottom w:val="0"/>
      <w:divBdr>
        <w:top w:val="none" w:sz="0" w:space="0" w:color="auto"/>
        <w:left w:val="none" w:sz="0" w:space="0" w:color="auto"/>
        <w:bottom w:val="none" w:sz="0" w:space="0" w:color="auto"/>
        <w:right w:val="none" w:sz="0" w:space="0" w:color="auto"/>
      </w:divBdr>
    </w:div>
    <w:div w:id="1269308904">
      <w:bodyDiv w:val="1"/>
      <w:marLeft w:val="0"/>
      <w:marRight w:val="0"/>
      <w:marTop w:val="0"/>
      <w:marBottom w:val="0"/>
      <w:divBdr>
        <w:top w:val="none" w:sz="0" w:space="0" w:color="auto"/>
        <w:left w:val="none" w:sz="0" w:space="0" w:color="auto"/>
        <w:bottom w:val="none" w:sz="0" w:space="0" w:color="auto"/>
        <w:right w:val="none" w:sz="0" w:space="0" w:color="auto"/>
      </w:divBdr>
    </w:div>
    <w:div w:id="1269433489">
      <w:bodyDiv w:val="1"/>
      <w:marLeft w:val="0"/>
      <w:marRight w:val="0"/>
      <w:marTop w:val="0"/>
      <w:marBottom w:val="0"/>
      <w:divBdr>
        <w:top w:val="none" w:sz="0" w:space="0" w:color="auto"/>
        <w:left w:val="none" w:sz="0" w:space="0" w:color="auto"/>
        <w:bottom w:val="none" w:sz="0" w:space="0" w:color="auto"/>
        <w:right w:val="none" w:sz="0" w:space="0" w:color="auto"/>
      </w:divBdr>
    </w:div>
    <w:div w:id="1269434124">
      <w:bodyDiv w:val="1"/>
      <w:marLeft w:val="0"/>
      <w:marRight w:val="0"/>
      <w:marTop w:val="0"/>
      <w:marBottom w:val="0"/>
      <w:divBdr>
        <w:top w:val="none" w:sz="0" w:space="0" w:color="auto"/>
        <w:left w:val="none" w:sz="0" w:space="0" w:color="auto"/>
        <w:bottom w:val="none" w:sz="0" w:space="0" w:color="auto"/>
        <w:right w:val="none" w:sz="0" w:space="0" w:color="auto"/>
      </w:divBdr>
    </w:div>
    <w:div w:id="1269508640">
      <w:bodyDiv w:val="1"/>
      <w:marLeft w:val="0"/>
      <w:marRight w:val="0"/>
      <w:marTop w:val="0"/>
      <w:marBottom w:val="0"/>
      <w:divBdr>
        <w:top w:val="none" w:sz="0" w:space="0" w:color="auto"/>
        <w:left w:val="none" w:sz="0" w:space="0" w:color="auto"/>
        <w:bottom w:val="none" w:sz="0" w:space="0" w:color="auto"/>
        <w:right w:val="none" w:sz="0" w:space="0" w:color="auto"/>
      </w:divBdr>
    </w:div>
    <w:div w:id="1269580862">
      <w:bodyDiv w:val="1"/>
      <w:marLeft w:val="0"/>
      <w:marRight w:val="0"/>
      <w:marTop w:val="0"/>
      <w:marBottom w:val="0"/>
      <w:divBdr>
        <w:top w:val="none" w:sz="0" w:space="0" w:color="auto"/>
        <w:left w:val="none" w:sz="0" w:space="0" w:color="auto"/>
        <w:bottom w:val="none" w:sz="0" w:space="0" w:color="auto"/>
        <w:right w:val="none" w:sz="0" w:space="0" w:color="auto"/>
      </w:divBdr>
    </w:div>
    <w:div w:id="1269697802">
      <w:bodyDiv w:val="1"/>
      <w:marLeft w:val="0"/>
      <w:marRight w:val="0"/>
      <w:marTop w:val="0"/>
      <w:marBottom w:val="0"/>
      <w:divBdr>
        <w:top w:val="none" w:sz="0" w:space="0" w:color="auto"/>
        <w:left w:val="none" w:sz="0" w:space="0" w:color="auto"/>
        <w:bottom w:val="none" w:sz="0" w:space="0" w:color="auto"/>
        <w:right w:val="none" w:sz="0" w:space="0" w:color="auto"/>
      </w:divBdr>
    </w:div>
    <w:div w:id="1269700784">
      <w:bodyDiv w:val="1"/>
      <w:marLeft w:val="0"/>
      <w:marRight w:val="0"/>
      <w:marTop w:val="0"/>
      <w:marBottom w:val="0"/>
      <w:divBdr>
        <w:top w:val="none" w:sz="0" w:space="0" w:color="auto"/>
        <w:left w:val="none" w:sz="0" w:space="0" w:color="auto"/>
        <w:bottom w:val="none" w:sz="0" w:space="0" w:color="auto"/>
        <w:right w:val="none" w:sz="0" w:space="0" w:color="auto"/>
      </w:divBdr>
    </w:div>
    <w:div w:id="1269704631">
      <w:bodyDiv w:val="1"/>
      <w:marLeft w:val="0"/>
      <w:marRight w:val="0"/>
      <w:marTop w:val="0"/>
      <w:marBottom w:val="0"/>
      <w:divBdr>
        <w:top w:val="none" w:sz="0" w:space="0" w:color="auto"/>
        <w:left w:val="none" w:sz="0" w:space="0" w:color="auto"/>
        <w:bottom w:val="none" w:sz="0" w:space="0" w:color="auto"/>
        <w:right w:val="none" w:sz="0" w:space="0" w:color="auto"/>
      </w:divBdr>
    </w:div>
    <w:div w:id="1269779562">
      <w:bodyDiv w:val="1"/>
      <w:marLeft w:val="0"/>
      <w:marRight w:val="0"/>
      <w:marTop w:val="0"/>
      <w:marBottom w:val="0"/>
      <w:divBdr>
        <w:top w:val="none" w:sz="0" w:space="0" w:color="auto"/>
        <w:left w:val="none" w:sz="0" w:space="0" w:color="auto"/>
        <w:bottom w:val="none" w:sz="0" w:space="0" w:color="auto"/>
        <w:right w:val="none" w:sz="0" w:space="0" w:color="auto"/>
      </w:divBdr>
    </w:div>
    <w:div w:id="1269848063">
      <w:bodyDiv w:val="1"/>
      <w:marLeft w:val="0"/>
      <w:marRight w:val="0"/>
      <w:marTop w:val="0"/>
      <w:marBottom w:val="0"/>
      <w:divBdr>
        <w:top w:val="none" w:sz="0" w:space="0" w:color="auto"/>
        <w:left w:val="none" w:sz="0" w:space="0" w:color="auto"/>
        <w:bottom w:val="none" w:sz="0" w:space="0" w:color="auto"/>
        <w:right w:val="none" w:sz="0" w:space="0" w:color="auto"/>
      </w:divBdr>
    </w:div>
    <w:div w:id="1269923555">
      <w:bodyDiv w:val="1"/>
      <w:marLeft w:val="0"/>
      <w:marRight w:val="0"/>
      <w:marTop w:val="0"/>
      <w:marBottom w:val="0"/>
      <w:divBdr>
        <w:top w:val="none" w:sz="0" w:space="0" w:color="auto"/>
        <w:left w:val="none" w:sz="0" w:space="0" w:color="auto"/>
        <w:bottom w:val="none" w:sz="0" w:space="0" w:color="auto"/>
        <w:right w:val="none" w:sz="0" w:space="0" w:color="auto"/>
      </w:divBdr>
    </w:div>
    <w:div w:id="1270039550">
      <w:bodyDiv w:val="1"/>
      <w:marLeft w:val="0"/>
      <w:marRight w:val="0"/>
      <w:marTop w:val="0"/>
      <w:marBottom w:val="0"/>
      <w:divBdr>
        <w:top w:val="none" w:sz="0" w:space="0" w:color="auto"/>
        <w:left w:val="none" w:sz="0" w:space="0" w:color="auto"/>
        <w:bottom w:val="none" w:sz="0" w:space="0" w:color="auto"/>
        <w:right w:val="none" w:sz="0" w:space="0" w:color="auto"/>
      </w:divBdr>
    </w:div>
    <w:div w:id="1270040026">
      <w:bodyDiv w:val="1"/>
      <w:marLeft w:val="0"/>
      <w:marRight w:val="0"/>
      <w:marTop w:val="0"/>
      <w:marBottom w:val="0"/>
      <w:divBdr>
        <w:top w:val="none" w:sz="0" w:space="0" w:color="auto"/>
        <w:left w:val="none" w:sz="0" w:space="0" w:color="auto"/>
        <w:bottom w:val="none" w:sz="0" w:space="0" w:color="auto"/>
        <w:right w:val="none" w:sz="0" w:space="0" w:color="auto"/>
      </w:divBdr>
    </w:div>
    <w:div w:id="1270115936">
      <w:bodyDiv w:val="1"/>
      <w:marLeft w:val="0"/>
      <w:marRight w:val="0"/>
      <w:marTop w:val="0"/>
      <w:marBottom w:val="0"/>
      <w:divBdr>
        <w:top w:val="none" w:sz="0" w:space="0" w:color="auto"/>
        <w:left w:val="none" w:sz="0" w:space="0" w:color="auto"/>
        <w:bottom w:val="none" w:sz="0" w:space="0" w:color="auto"/>
        <w:right w:val="none" w:sz="0" w:space="0" w:color="auto"/>
      </w:divBdr>
    </w:div>
    <w:div w:id="1270238246">
      <w:bodyDiv w:val="1"/>
      <w:marLeft w:val="0"/>
      <w:marRight w:val="0"/>
      <w:marTop w:val="0"/>
      <w:marBottom w:val="0"/>
      <w:divBdr>
        <w:top w:val="none" w:sz="0" w:space="0" w:color="auto"/>
        <w:left w:val="none" w:sz="0" w:space="0" w:color="auto"/>
        <w:bottom w:val="none" w:sz="0" w:space="0" w:color="auto"/>
        <w:right w:val="none" w:sz="0" w:space="0" w:color="auto"/>
      </w:divBdr>
    </w:div>
    <w:div w:id="1270241981">
      <w:bodyDiv w:val="1"/>
      <w:marLeft w:val="0"/>
      <w:marRight w:val="0"/>
      <w:marTop w:val="0"/>
      <w:marBottom w:val="0"/>
      <w:divBdr>
        <w:top w:val="none" w:sz="0" w:space="0" w:color="auto"/>
        <w:left w:val="none" w:sz="0" w:space="0" w:color="auto"/>
        <w:bottom w:val="none" w:sz="0" w:space="0" w:color="auto"/>
        <w:right w:val="none" w:sz="0" w:space="0" w:color="auto"/>
      </w:divBdr>
    </w:div>
    <w:div w:id="1270284567">
      <w:bodyDiv w:val="1"/>
      <w:marLeft w:val="0"/>
      <w:marRight w:val="0"/>
      <w:marTop w:val="0"/>
      <w:marBottom w:val="0"/>
      <w:divBdr>
        <w:top w:val="none" w:sz="0" w:space="0" w:color="auto"/>
        <w:left w:val="none" w:sz="0" w:space="0" w:color="auto"/>
        <w:bottom w:val="none" w:sz="0" w:space="0" w:color="auto"/>
        <w:right w:val="none" w:sz="0" w:space="0" w:color="auto"/>
      </w:divBdr>
    </w:div>
    <w:div w:id="1270315832">
      <w:bodyDiv w:val="1"/>
      <w:marLeft w:val="0"/>
      <w:marRight w:val="0"/>
      <w:marTop w:val="0"/>
      <w:marBottom w:val="0"/>
      <w:divBdr>
        <w:top w:val="none" w:sz="0" w:space="0" w:color="auto"/>
        <w:left w:val="none" w:sz="0" w:space="0" w:color="auto"/>
        <w:bottom w:val="none" w:sz="0" w:space="0" w:color="auto"/>
        <w:right w:val="none" w:sz="0" w:space="0" w:color="auto"/>
      </w:divBdr>
    </w:div>
    <w:div w:id="1270351133">
      <w:bodyDiv w:val="1"/>
      <w:marLeft w:val="0"/>
      <w:marRight w:val="0"/>
      <w:marTop w:val="0"/>
      <w:marBottom w:val="0"/>
      <w:divBdr>
        <w:top w:val="none" w:sz="0" w:space="0" w:color="auto"/>
        <w:left w:val="none" w:sz="0" w:space="0" w:color="auto"/>
        <w:bottom w:val="none" w:sz="0" w:space="0" w:color="auto"/>
        <w:right w:val="none" w:sz="0" w:space="0" w:color="auto"/>
      </w:divBdr>
    </w:div>
    <w:div w:id="1270351883">
      <w:bodyDiv w:val="1"/>
      <w:marLeft w:val="0"/>
      <w:marRight w:val="0"/>
      <w:marTop w:val="0"/>
      <w:marBottom w:val="0"/>
      <w:divBdr>
        <w:top w:val="none" w:sz="0" w:space="0" w:color="auto"/>
        <w:left w:val="none" w:sz="0" w:space="0" w:color="auto"/>
        <w:bottom w:val="none" w:sz="0" w:space="0" w:color="auto"/>
        <w:right w:val="none" w:sz="0" w:space="0" w:color="auto"/>
      </w:divBdr>
    </w:div>
    <w:div w:id="1270357121">
      <w:bodyDiv w:val="1"/>
      <w:marLeft w:val="0"/>
      <w:marRight w:val="0"/>
      <w:marTop w:val="0"/>
      <w:marBottom w:val="0"/>
      <w:divBdr>
        <w:top w:val="none" w:sz="0" w:space="0" w:color="auto"/>
        <w:left w:val="none" w:sz="0" w:space="0" w:color="auto"/>
        <w:bottom w:val="none" w:sz="0" w:space="0" w:color="auto"/>
        <w:right w:val="none" w:sz="0" w:space="0" w:color="auto"/>
      </w:divBdr>
    </w:div>
    <w:div w:id="1270358449">
      <w:bodyDiv w:val="1"/>
      <w:marLeft w:val="0"/>
      <w:marRight w:val="0"/>
      <w:marTop w:val="0"/>
      <w:marBottom w:val="0"/>
      <w:divBdr>
        <w:top w:val="none" w:sz="0" w:space="0" w:color="auto"/>
        <w:left w:val="none" w:sz="0" w:space="0" w:color="auto"/>
        <w:bottom w:val="none" w:sz="0" w:space="0" w:color="auto"/>
        <w:right w:val="none" w:sz="0" w:space="0" w:color="auto"/>
      </w:divBdr>
    </w:div>
    <w:div w:id="1270548612">
      <w:bodyDiv w:val="1"/>
      <w:marLeft w:val="0"/>
      <w:marRight w:val="0"/>
      <w:marTop w:val="0"/>
      <w:marBottom w:val="0"/>
      <w:divBdr>
        <w:top w:val="none" w:sz="0" w:space="0" w:color="auto"/>
        <w:left w:val="none" w:sz="0" w:space="0" w:color="auto"/>
        <w:bottom w:val="none" w:sz="0" w:space="0" w:color="auto"/>
        <w:right w:val="none" w:sz="0" w:space="0" w:color="auto"/>
      </w:divBdr>
    </w:div>
    <w:div w:id="1270576998">
      <w:bodyDiv w:val="1"/>
      <w:marLeft w:val="0"/>
      <w:marRight w:val="0"/>
      <w:marTop w:val="0"/>
      <w:marBottom w:val="0"/>
      <w:divBdr>
        <w:top w:val="none" w:sz="0" w:space="0" w:color="auto"/>
        <w:left w:val="none" w:sz="0" w:space="0" w:color="auto"/>
        <w:bottom w:val="none" w:sz="0" w:space="0" w:color="auto"/>
        <w:right w:val="none" w:sz="0" w:space="0" w:color="auto"/>
      </w:divBdr>
    </w:div>
    <w:div w:id="1270619520">
      <w:bodyDiv w:val="1"/>
      <w:marLeft w:val="0"/>
      <w:marRight w:val="0"/>
      <w:marTop w:val="0"/>
      <w:marBottom w:val="0"/>
      <w:divBdr>
        <w:top w:val="none" w:sz="0" w:space="0" w:color="auto"/>
        <w:left w:val="none" w:sz="0" w:space="0" w:color="auto"/>
        <w:bottom w:val="none" w:sz="0" w:space="0" w:color="auto"/>
        <w:right w:val="none" w:sz="0" w:space="0" w:color="auto"/>
      </w:divBdr>
    </w:div>
    <w:div w:id="1270971781">
      <w:bodyDiv w:val="1"/>
      <w:marLeft w:val="0"/>
      <w:marRight w:val="0"/>
      <w:marTop w:val="0"/>
      <w:marBottom w:val="0"/>
      <w:divBdr>
        <w:top w:val="none" w:sz="0" w:space="0" w:color="auto"/>
        <w:left w:val="none" w:sz="0" w:space="0" w:color="auto"/>
        <w:bottom w:val="none" w:sz="0" w:space="0" w:color="auto"/>
        <w:right w:val="none" w:sz="0" w:space="0" w:color="auto"/>
      </w:divBdr>
    </w:div>
    <w:div w:id="1271008227">
      <w:bodyDiv w:val="1"/>
      <w:marLeft w:val="0"/>
      <w:marRight w:val="0"/>
      <w:marTop w:val="0"/>
      <w:marBottom w:val="0"/>
      <w:divBdr>
        <w:top w:val="none" w:sz="0" w:space="0" w:color="auto"/>
        <w:left w:val="none" w:sz="0" w:space="0" w:color="auto"/>
        <w:bottom w:val="none" w:sz="0" w:space="0" w:color="auto"/>
        <w:right w:val="none" w:sz="0" w:space="0" w:color="auto"/>
      </w:divBdr>
    </w:div>
    <w:div w:id="1271009369">
      <w:bodyDiv w:val="1"/>
      <w:marLeft w:val="0"/>
      <w:marRight w:val="0"/>
      <w:marTop w:val="0"/>
      <w:marBottom w:val="0"/>
      <w:divBdr>
        <w:top w:val="none" w:sz="0" w:space="0" w:color="auto"/>
        <w:left w:val="none" w:sz="0" w:space="0" w:color="auto"/>
        <w:bottom w:val="none" w:sz="0" w:space="0" w:color="auto"/>
        <w:right w:val="none" w:sz="0" w:space="0" w:color="auto"/>
      </w:divBdr>
    </w:div>
    <w:div w:id="1271084046">
      <w:bodyDiv w:val="1"/>
      <w:marLeft w:val="0"/>
      <w:marRight w:val="0"/>
      <w:marTop w:val="0"/>
      <w:marBottom w:val="0"/>
      <w:divBdr>
        <w:top w:val="none" w:sz="0" w:space="0" w:color="auto"/>
        <w:left w:val="none" w:sz="0" w:space="0" w:color="auto"/>
        <w:bottom w:val="none" w:sz="0" w:space="0" w:color="auto"/>
        <w:right w:val="none" w:sz="0" w:space="0" w:color="auto"/>
      </w:divBdr>
    </w:div>
    <w:div w:id="1271088356">
      <w:bodyDiv w:val="1"/>
      <w:marLeft w:val="0"/>
      <w:marRight w:val="0"/>
      <w:marTop w:val="0"/>
      <w:marBottom w:val="0"/>
      <w:divBdr>
        <w:top w:val="none" w:sz="0" w:space="0" w:color="auto"/>
        <w:left w:val="none" w:sz="0" w:space="0" w:color="auto"/>
        <w:bottom w:val="none" w:sz="0" w:space="0" w:color="auto"/>
        <w:right w:val="none" w:sz="0" w:space="0" w:color="auto"/>
      </w:divBdr>
    </w:div>
    <w:div w:id="1271088903">
      <w:bodyDiv w:val="1"/>
      <w:marLeft w:val="0"/>
      <w:marRight w:val="0"/>
      <w:marTop w:val="0"/>
      <w:marBottom w:val="0"/>
      <w:divBdr>
        <w:top w:val="none" w:sz="0" w:space="0" w:color="auto"/>
        <w:left w:val="none" w:sz="0" w:space="0" w:color="auto"/>
        <w:bottom w:val="none" w:sz="0" w:space="0" w:color="auto"/>
        <w:right w:val="none" w:sz="0" w:space="0" w:color="auto"/>
      </w:divBdr>
    </w:div>
    <w:div w:id="1271090175">
      <w:bodyDiv w:val="1"/>
      <w:marLeft w:val="0"/>
      <w:marRight w:val="0"/>
      <w:marTop w:val="0"/>
      <w:marBottom w:val="0"/>
      <w:divBdr>
        <w:top w:val="none" w:sz="0" w:space="0" w:color="auto"/>
        <w:left w:val="none" w:sz="0" w:space="0" w:color="auto"/>
        <w:bottom w:val="none" w:sz="0" w:space="0" w:color="auto"/>
        <w:right w:val="none" w:sz="0" w:space="0" w:color="auto"/>
      </w:divBdr>
    </w:div>
    <w:div w:id="1271159819">
      <w:bodyDiv w:val="1"/>
      <w:marLeft w:val="0"/>
      <w:marRight w:val="0"/>
      <w:marTop w:val="0"/>
      <w:marBottom w:val="0"/>
      <w:divBdr>
        <w:top w:val="none" w:sz="0" w:space="0" w:color="auto"/>
        <w:left w:val="none" w:sz="0" w:space="0" w:color="auto"/>
        <w:bottom w:val="none" w:sz="0" w:space="0" w:color="auto"/>
        <w:right w:val="none" w:sz="0" w:space="0" w:color="auto"/>
      </w:divBdr>
    </w:div>
    <w:div w:id="1271162958">
      <w:bodyDiv w:val="1"/>
      <w:marLeft w:val="0"/>
      <w:marRight w:val="0"/>
      <w:marTop w:val="0"/>
      <w:marBottom w:val="0"/>
      <w:divBdr>
        <w:top w:val="none" w:sz="0" w:space="0" w:color="auto"/>
        <w:left w:val="none" w:sz="0" w:space="0" w:color="auto"/>
        <w:bottom w:val="none" w:sz="0" w:space="0" w:color="auto"/>
        <w:right w:val="none" w:sz="0" w:space="0" w:color="auto"/>
      </w:divBdr>
    </w:div>
    <w:div w:id="1271166272">
      <w:bodyDiv w:val="1"/>
      <w:marLeft w:val="0"/>
      <w:marRight w:val="0"/>
      <w:marTop w:val="0"/>
      <w:marBottom w:val="0"/>
      <w:divBdr>
        <w:top w:val="none" w:sz="0" w:space="0" w:color="auto"/>
        <w:left w:val="none" w:sz="0" w:space="0" w:color="auto"/>
        <w:bottom w:val="none" w:sz="0" w:space="0" w:color="auto"/>
        <w:right w:val="none" w:sz="0" w:space="0" w:color="auto"/>
      </w:divBdr>
    </w:div>
    <w:div w:id="1271207599">
      <w:bodyDiv w:val="1"/>
      <w:marLeft w:val="0"/>
      <w:marRight w:val="0"/>
      <w:marTop w:val="0"/>
      <w:marBottom w:val="0"/>
      <w:divBdr>
        <w:top w:val="none" w:sz="0" w:space="0" w:color="auto"/>
        <w:left w:val="none" w:sz="0" w:space="0" w:color="auto"/>
        <w:bottom w:val="none" w:sz="0" w:space="0" w:color="auto"/>
        <w:right w:val="none" w:sz="0" w:space="0" w:color="auto"/>
      </w:divBdr>
    </w:div>
    <w:div w:id="1271477406">
      <w:bodyDiv w:val="1"/>
      <w:marLeft w:val="0"/>
      <w:marRight w:val="0"/>
      <w:marTop w:val="0"/>
      <w:marBottom w:val="0"/>
      <w:divBdr>
        <w:top w:val="none" w:sz="0" w:space="0" w:color="auto"/>
        <w:left w:val="none" w:sz="0" w:space="0" w:color="auto"/>
        <w:bottom w:val="none" w:sz="0" w:space="0" w:color="auto"/>
        <w:right w:val="none" w:sz="0" w:space="0" w:color="auto"/>
      </w:divBdr>
    </w:div>
    <w:div w:id="1271549926">
      <w:bodyDiv w:val="1"/>
      <w:marLeft w:val="0"/>
      <w:marRight w:val="0"/>
      <w:marTop w:val="0"/>
      <w:marBottom w:val="0"/>
      <w:divBdr>
        <w:top w:val="none" w:sz="0" w:space="0" w:color="auto"/>
        <w:left w:val="none" w:sz="0" w:space="0" w:color="auto"/>
        <w:bottom w:val="none" w:sz="0" w:space="0" w:color="auto"/>
        <w:right w:val="none" w:sz="0" w:space="0" w:color="auto"/>
      </w:divBdr>
    </w:div>
    <w:div w:id="1271620940">
      <w:bodyDiv w:val="1"/>
      <w:marLeft w:val="0"/>
      <w:marRight w:val="0"/>
      <w:marTop w:val="0"/>
      <w:marBottom w:val="0"/>
      <w:divBdr>
        <w:top w:val="none" w:sz="0" w:space="0" w:color="auto"/>
        <w:left w:val="none" w:sz="0" w:space="0" w:color="auto"/>
        <w:bottom w:val="none" w:sz="0" w:space="0" w:color="auto"/>
        <w:right w:val="none" w:sz="0" w:space="0" w:color="auto"/>
      </w:divBdr>
    </w:div>
    <w:div w:id="1271621759">
      <w:bodyDiv w:val="1"/>
      <w:marLeft w:val="0"/>
      <w:marRight w:val="0"/>
      <w:marTop w:val="0"/>
      <w:marBottom w:val="0"/>
      <w:divBdr>
        <w:top w:val="none" w:sz="0" w:space="0" w:color="auto"/>
        <w:left w:val="none" w:sz="0" w:space="0" w:color="auto"/>
        <w:bottom w:val="none" w:sz="0" w:space="0" w:color="auto"/>
        <w:right w:val="none" w:sz="0" w:space="0" w:color="auto"/>
      </w:divBdr>
    </w:div>
    <w:div w:id="1271621893">
      <w:bodyDiv w:val="1"/>
      <w:marLeft w:val="0"/>
      <w:marRight w:val="0"/>
      <w:marTop w:val="0"/>
      <w:marBottom w:val="0"/>
      <w:divBdr>
        <w:top w:val="none" w:sz="0" w:space="0" w:color="auto"/>
        <w:left w:val="none" w:sz="0" w:space="0" w:color="auto"/>
        <w:bottom w:val="none" w:sz="0" w:space="0" w:color="auto"/>
        <w:right w:val="none" w:sz="0" w:space="0" w:color="auto"/>
      </w:divBdr>
    </w:div>
    <w:div w:id="1271622863">
      <w:bodyDiv w:val="1"/>
      <w:marLeft w:val="0"/>
      <w:marRight w:val="0"/>
      <w:marTop w:val="0"/>
      <w:marBottom w:val="0"/>
      <w:divBdr>
        <w:top w:val="none" w:sz="0" w:space="0" w:color="auto"/>
        <w:left w:val="none" w:sz="0" w:space="0" w:color="auto"/>
        <w:bottom w:val="none" w:sz="0" w:space="0" w:color="auto"/>
        <w:right w:val="none" w:sz="0" w:space="0" w:color="auto"/>
      </w:divBdr>
    </w:div>
    <w:div w:id="1271736806">
      <w:bodyDiv w:val="1"/>
      <w:marLeft w:val="0"/>
      <w:marRight w:val="0"/>
      <w:marTop w:val="0"/>
      <w:marBottom w:val="0"/>
      <w:divBdr>
        <w:top w:val="none" w:sz="0" w:space="0" w:color="auto"/>
        <w:left w:val="none" w:sz="0" w:space="0" w:color="auto"/>
        <w:bottom w:val="none" w:sz="0" w:space="0" w:color="auto"/>
        <w:right w:val="none" w:sz="0" w:space="0" w:color="auto"/>
      </w:divBdr>
    </w:div>
    <w:div w:id="1271820342">
      <w:bodyDiv w:val="1"/>
      <w:marLeft w:val="0"/>
      <w:marRight w:val="0"/>
      <w:marTop w:val="0"/>
      <w:marBottom w:val="0"/>
      <w:divBdr>
        <w:top w:val="none" w:sz="0" w:space="0" w:color="auto"/>
        <w:left w:val="none" w:sz="0" w:space="0" w:color="auto"/>
        <w:bottom w:val="none" w:sz="0" w:space="0" w:color="auto"/>
        <w:right w:val="none" w:sz="0" w:space="0" w:color="auto"/>
      </w:divBdr>
    </w:div>
    <w:div w:id="1272007584">
      <w:bodyDiv w:val="1"/>
      <w:marLeft w:val="0"/>
      <w:marRight w:val="0"/>
      <w:marTop w:val="0"/>
      <w:marBottom w:val="0"/>
      <w:divBdr>
        <w:top w:val="none" w:sz="0" w:space="0" w:color="auto"/>
        <w:left w:val="none" w:sz="0" w:space="0" w:color="auto"/>
        <w:bottom w:val="none" w:sz="0" w:space="0" w:color="auto"/>
        <w:right w:val="none" w:sz="0" w:space="0" w:color="auto"/>
      </w:divBdr>
    </w:div>
    <w:div w:id="1272057202">
      <w:bodyDiv w:val="1"/>
      <w:marLeft w:val="0"/>
      <w:marRight w:val="0"/>
      <w:marTop w:val="0"/>
      <w:marBottom w:val="0"/>
      <w:divBdr>
        <w:top w:val="none" w:sz="0" w:space="0" w:color="auto"/>
        <w:left w:val="none" w:sz="0" w:space="0" w:color="auto"/>
        <w:bottom w:val="none" w:sz="0" w:space="0" w:color="auto"/>
        <w:right w:val="none" w:sz="0" w:space="0" w:color="auto"/>
      </w:divBdr>
    </w:div>
    <w:div w:id="1272127037">
      <w:bodyDiv w:val="1"/>
      <w:marLeft w:val="0"/>
      <w:marRight w:val="0"/>
      <w:marTop w:val="0"/>
      <w:marBottom w:val="0"/>
      <w:divBdr>
        <w:top w:val="none" w:sz="0" w:space="0" w:color="auto"/>
        <w:left w:val="none" w:sz="0" w:space="0" w:color="auto"/>
        <w:bottom w:val="none" w:sz="0" w:space="0" w:color="auto"/>
        <w:right w:val="none" w:sz="0" w:space="0" w:color="auto"/>
      </w:divBdr>
    </w:div>
    <w:div w:id="1272279578">
      <w:bodyDiv w:val="1"/>
      <w:marLeft w:val="0"/>
      <w:marRight w:val="0"/>
      <w:marTop w:val="0"/>
      <w:marBottom w:val="0"/>
      <w:divBdr>
        <w:top w:val="none" w:sz="0" w:space="0" w:color="auto"/>
        <w:left w:val="none" w:sz="0" w:space="0" w:color="auto"/>
        <w:bottom w:val="none" w:sz="0" w:space="0" w:color="auto"/>
        <w:right w:val="none" w:sz="0" w:space="0" w:color="auto"/>
      </w:divBdr>
    </w:div>
    <w:div w:id="1272320328">
      <w:bodyDiv w:val="1"/>
      <w:marLeft w:val="0"/>
      <w:marRight w:val="0"/>
      <w:marTop w:val="0"/>
      <w:marBottom w:val="0"/>
      <w:divBdr>
        <w:top w:val="none" w:sz="0" w:space="0" w:color="auto"/>
        <w:left w:val="none" w:sz="0" w:space="0" w:color="auto"/>
        <w:bottom w:val="none" w:sz="0" w:space="0" w:color="auto"/>
        <w:right w:val="none" w:sz="0" w:space="0" w:color="auto"/>
      </w:divBdr>
    </w:div>
    <w:div w:id="1272320476">
      <w:bodyDiv w:val="1"/>
      <w:marLeft w:val="0"/>
      <w:marRight w:val="0"/>
      <w:marTop w:val="0"/>
      <w:marBottom w:val="0"/>
      <w:divBdr>
        <w:top w:val="none" w:sz="0" w:space="0" w:color="auto"/>
        <w:left w:val="none" w:sz="0" w:space="0" w:color="auto"/>
        <w:bottom w:val="none" w:sz="0" w:space="0" w:color="auto"/>
        <w:right w:val="none" w:sz="0" w:space="0" w:color="auto"/>
      </w:divBdr>
    </w:div>
    <w:div w:id="1272324660">
      <w:bodyDiv w:val="1"/>
      <w:marLeft w:val="0"/>
      <w:marRight w:val="0"/>
      <w:marTop w:val="0"/>
      <w:marBottom w:val="0"/>
      <w:divBdr>
        <w:top w:val="none" w:sz="0" w:space="0" w:color="auto"/>
        <w:left w:val="none" w:sz="0" w:space="0" w:color="auto"/>
        <w:bottom w:val="none" w:sz="0" w:space="0" w:color="auto"/>
        <w:right w:val="none" w:sz="0" w:space="0" w:color="auto"/>
      </w:divBdr>
    </w:div>
    <w:div w:id="1272586040">
      <w:bodyDiv w:val="1"/>
      <w:marLeft w:val="0"/>
      <w:marRight w:val="0"/>
      <w:marTop w:val="0"/>
      <w:marBottom w:val="0"/>
      <w:divBdr>
        <w:top w:val="none" w:sz="0" w:space="0" w:color="auto"/>
        <w:left w:val="none" w:sz="0" w:space="0" w:color="auto"/>
        <w:bottom w:val="none" w:sz="0" w:space="0" w:color="auto"/>
        <w:right w:val="none" w:sz="0" w:space="0" w:color="auto"/>
      </w:divBdr>
    </w:div>
    <w:div w:id="1272661137">
      <w:bodyDiv w:val="1"/>
      <w:marLeft w:val="0"/>
      <w:marRight w:val="0"/>
      <w:marTop w:val="0"/>
      <w:marBottom w:val="0"/>
      <w:divBdr>
        <w:top w:val="none" w:sz="0" w:space="0" w:color="auto"/>
        <w:left w:val="none" w:sz="0" w:space="0" w:color="auto"/>
        <w:bottom w:val="none" w:sz="0" w:space="0" w:color="auto"/>
        <w:right w:val="none" w:sz="0" w:space="0" w:color="auto"/>
      </w:divBdr>
    </w:div>
    <w:div w:id="1272736969">
      <w:bodyDiv w:val="1"/>
      <w:marLeft w:val="0"/>
      <w:marRight w:val="0"/>
      <w:marTop w:val="0"/>
      <w:marBottom w:val="0"/>
      <w:divBdr>
        <w:top w:val="none" w:sz="0" w:space="0" w:color="auto"/>
        <w:left w:val="none" w:sz="0" w:space="0" w:color="auto"/>
        <w:bottom w:val="none" w:sz="0" w:space="0" w:color="auto"/>
        <w:right w:val="none" w:sz="0" w:space="0" w:color="auto"/>
      </w:divBdr>
    </w:div>
    <w:div w:id="1272787518">
      <w:bodyDiv w:val="1"/>
      <w:marLeft w:val="0"/>
      <w:marRight w:val="0"/>
      <w:marTop w:val="0"/>
      <w:marBottom w:val="0"/>
      <w:divBdr>
        <w:top w:val="none" w:sz="0" w:space="0" w:color="auto"/>
        <w:left w:val="none" w:sz="0" w:space="0" w:color="auto"/>
        <w:bottom w:val="none" w:sz="0" w:space="0" w:color="auto"/>
        <w:right w:val="none" w:sz="0" w:space="0" w:color="auto"/>
      </w:divBdr>
    </w:div>
    <w:div w:id="1272857794">
      <w:bodyDiv w:val="1"/>
      <w:marLeft w:val="0"/>
      <w:marRight w:val="0"/>
      <w:marTop w:val="0"/>
      <w:marBottom w:val="0"/>
      <w:divBdr>
        <w:top w:val="none" w:sz="0" w:space="0" w:color="auto"/>
        <w:left w:val="none" w:sz="0" w:space="0" w:color="auto"/>
        <w:bottom w:val="none" w:sz="0" w:space="0" w:color="auto"/>
        <w:right w:val="none" w:sz="0" w:space="0" w:color="auto"/>
      </w:divBdr>
    </w:div>
    <w:div w:id="1272861347">
      <w:bodyDiv w:val="1"/>
      <w:marLeft w:val="0"/>
      <w:marRight w:val="0"/>
      <w:marTop w:val="0"/>
      <w:marBottom w:val="0"/>
      <w:divBdr>
        <w:top w:val="none" w:sz="0" w:space="0" w:color="auto"/>
        <w:left w:val="none" w:sz="0" w:space="0" w:color="auto"/>
        <w:bottom w:val="none" w:sz="0" w:space="0" w:color="auto"/>
        <w:right w:val="none" w:sz="0" w:space="0" w:color="auto"/>
      </w:divBdr>
    </w:div>
    <w:div w:id="1272937538">
      <w:bodyDiv w:val="1"/>
      <w:marLeft w:val="0"/>
      <w:marRight w:val="0"/>
      <w:marTop w:val="0"/>
      <w:marBottom w:val="0"/>
      <w:divBdr>
        <w:top w:val="none" w:sz="0" w:space="0" w:color="auto"/>
        <w:left w:val="none" w:sz="0" w:space="0" w:color="auto"/>
        <w:bottom w:val="none" w:sz="0" w:space="0" w:color="auto"/>
        <w:right w:val="none" w:sz="0" w:space="0" w:color="auto"/>
      </w:divBdr>
    </w:div>
    <w:div w:id="1272938022">
      <w:bodyDiv w:val="1"/>
      <w:marLeft w:val="0"/>
      <w:marRight w:val="0"/>
      <w:marTop w:val="0"/>
      <w:marBottom w:val="0"/>
      <w:divBdr>
        <w:top w:val="none" w:sz="0" w:space="0" w:color="auto"/>
        <w:left w:val="none" w:sz="0" w:space="0" w:color="auto"/>
        <w:bottom w:val="none" w:sz="0" w:space="0" w:color="auto"/>
        <w:right w:val="none" w:sz="0" w:space="0" w:color="auto"/>
      </w:divBdr>
    </w:div>
    <w:div w:id="1272972692">
      <w:bodyDiv w:val="1"/>
      <w:marLeft w:val="0"/>
      <w:marRight w:val="0"/>
      <w:marTop w:val="0"/>
      <w:marBottom w:val="0"/>
      <w:divBdr>
        <w:top w:val="none" w:sz="0" w:space="0" w:color="auto"/>
        <w:left w:val="none" w:sz="0" w:space="0" w:color="auto"/>
        <w:bottom w:val="none" w:sz="0" w:space="0" w:color="auto"/>
        <w:right w:val="none" w:sz="0" w:space="0" w:color="auto"/>
      </w:divBdr>
    </w:div>
    <w:div w:id="1272973467">
      <w:bodyDiv w:val="1"/>
      <w:marLeft w:val="0"/>
      <w:marRight w:val="0"/>
      <w:marTop w:val="0"/>
      <w:marBottom w:val="0"/>
      <w:divBdr>
        <w:top w:val="none" w:sz="0" w:space="0" w:color="auto"/>
        <w:left w:val="none" w:sz="0" w:space="0" w:color="auto"/>
        <w:bottom w:val="none" w:sz="0" w:space="0" w:color="auto"/>
        <w:right w:val="none" w:sz="0" w:space="0" w:color="auto"/>
      </w:divBdr>
    </w:div>
    <w:div w:id="1273130971">
      <w:bodyDiv w:val="1"/>
      <w:marLeft w:val="0"/>
      <w:marRight w:val="0"/>
      <w:marTop w:val="0"/>
      <w:marBottom w:val="0"/>
      <w:divBdr>
        <w:top w:val="none" w:sz="0" w:space="0" w:color="auto"/>
        <w:left w:val="none" w:sz="0" w:space="0" w:color="auto"/>
        <w:bottom w:val="none" w:sz="0" w:space="0" w:color="auto"/>
        <w:right w:val="none" w:sz="0" w:space="0" w:color="auto"/>
      </w:divBdr>
    </w:div>
    <w:div w:id="1273172396">
      <w:bodyDiv w:val="1"/>
      <w:marLeft w:val="0"/>
      <w:marRight w:val="0"/>
      <w:marTop w:val="0"/>
      <w:marBottom w:val="0"/>
      <w:divBdr>
        <w:top w:val="none" w:sz="0" w:space="0" w:color="auto"/>
        <w:left w:val="none" w:sz="0" w:space="0" w:color="auto"/>
        <w:bottom w:val="none" w:sz="0" w:space="0" w:color="auto"/>
        <w:right w:val="none" w:sz="0" w:space="0" w:color="auto"/>
      </w:divBdr>
    </w:div>
    <w:div w:id="1273240671">
      <w:bodyDiv w:val="1"/>
      <w:marLeft w:val="0"/>
      <w:marRight w:val="0"/>
      <w:marTop w:val="0"/>
      <w:marBottom w:val="0"/>
      <w:divBdr>
        <w:top w:val="none" w:sz="0" w:space="0" w:color="auto"/>
        <w:left w:val="none" w:sz="0" w:space="0" w:color="auto"/>
        <w:bottom w:val="none" w:sz="0" w:space="0" w:color="auto"/>
        <w:right w:val="none" w:sz="0" w:space="0" w:color="auto"/>
      </w:divBdr>
    </w:div>
    <w:div w:id="1273318237">
      <w:bodyDiv w:val="1"/>
      <w:marLeft w:val="0"/>
      <w:marRight w:val="0"/>
      <w:marTop w:val="0"/>
      <w:marBottom w:val="0"/>
      <w:divBdr>
        <w:top w:val="none" w:sz="0" w:space="0" w:color="auto"/>
        <w:left w:val="none" w:sz="0" w:space="0" w:color="auto"/>
        <w:bottom w:val="none" w:sz="0" w:space="0" w:color="auto"/>
        <w:right w:val="none" w:sz="0" w:space="0" w:color="auto"/>
      </w:divBdr>
    </w:div>
    <w:div w:id="1273393530">
      <w:bodyDiv w:val="1"/>
      <w:marLeft w:val="0"/>
      <w:marRight w:val="0"/>
      <w:marTop w:val="0"/>
      <w:marBottom w:val="0"/>
      <w:divBdr>
        <w:top w:val="none" w:sz="0" w:space="0" w:color="auto"/>
        <w:left w:val="none" w:sz="0" w:space="0" w:color="auto"/>
        <w:bottom w:val="none" w:sz="0" w:space="0" w:color="auto"/>
        <w:right w:val="none" w:sz="0" w:space="0" w:color="auto"/>
      </w:divBdr>
    </w:div>
    <w:div w:id="1273437356">
      <w:bodyDiv w:val="1"/>
      <w:marLeft w:val="0"/>
      <w:marRight w:val="0"/>
      <w:marTop w:val="0"/>
      <w:marBottom w:val="0"/>
      <w:divBdr>
        <w:top w:val="none" w:sz="0" w:space="0" w:color="auto"/>
        <w:left w:val="none" w:sz="0" w:space="0" w:color="auto"/>
        <w:bottom w:val="none" w:sz="0" w:space="0" w:color="auto"/>
        <w:right w:val="none" w:sz="0" w:space="0" w:color="auto"/>
      </w:divBdr>
    </w:div>
    <w:div w:id="1273518185">
      <w:bodyDiv w:val="1"/>
      <w:marLeft w:val="0"/>
      <w:marRight w:val="0"/>
      <w:marTop w:val="0"/>
      <w:marBottom w:val="0"/>
      <w:divBdr>
        <w:top w:val="none" w:sz="0" w:space="0" w:color="auto"/>
        <w:left w:val="none" w:sz="0" w:space="0" w:color="auto"/>
        <w:bottom w:val="none" w:sz="0" w:space="0" w:color="auto"/>
        <w:right w:val="none" w:sz="0" w:space="0" w:color="auto"/>
      </w:divBdr>
    </w:div>
    <w:div w:id="1273590350">
      <w:bodyDiv w:val="1"/>
      <w:marLeft w:val="0"/>
      <w:marRight w:val="0"/>
      <w:marTop w:val="0"/>
      <w:marBottom w:val="0"/>
      <w:divBdr>
        <w:top w:val="none" w:sz="0" w:space="0" w:color="auto"/>
        <w:left w:val="none" w:sz="0" w:space="0" w:color="auto"/>
        <w:bottom w:val="none" w:sz="0" w:space="0" w:color="auto"/>
        <w:right w:val="none" w:sz="0" w:space="0" w:color="auto"/>
      </w:divBdr>
    </w:div>
    <w:div w:id="1273709259">
      <w:bodyDiv w:val="1"/>
      <w:marLeft w:val="0"/>
      <w:marRight w:val="0"/>
      <w:marTop w:val="0"/>
      <w:marBottom w:val="0"/>
      <w:divBdr>
        <w:top w:val="none" w:sz="0" w:space="0" w:color="auto"/>
        <w:left w:val="none" w:sz="0" w:space="0" w:color="auto"/>
        <w:bottom w:val="none" w:sz="0" w:space="0" w:color="auto"/>
        <w:right w:val="none" w:sz="0" w:space="0" w:color="auto"/>
      </w:divBdr>
    </w:div>
    <w:div w:id="1273781375">
      <w:bodyDiv w:val="1"/>
      <w:marLeft w:val="0"/>
      <w:marRight w:val="0"/>
      <w:marTop w:val="0"/>
      <w:marBottom w:val="0"/>
      <w:divBdr>
        <w:top w:val="none" w:sz="0" w:space="0" w:color="auto"/>
        <w:left w:val="none" w:sz="0" w:space="0" w:color="auto"/>
        <w:bottom w:val="none" w:sz="0" w:space="0" w:color="auto"/>
        <w:right w:val="none" w:sz="0" w:space="0" w:color="auto"/>
      </w:divBdr>
    </w:div>
    <w:div w:id="1273853313">
      <w:bodyDiv w:val="1"/>
      <w:marLeft w:val="0"/>
      <w:marRight w:val="0"/>
      <w:marTop w:val="0"/>
      <w:marBottom w:val="0"/>
      <w:divBdr>
        <w:top w:val="none" w:sz="0" w:space="0" w:color="auto"/>
        <w:left w:val="none" w:sz="0" w:space="0" w:color="auto"/>
        <w:bottom w:val="none" w:sz="0" w:space="0" w:color="auto"/>
        <w:right w:val="none" w:sz="0" w:space="0" w:color="auto"/>
      </w:divBdr>
    </w:div>
    <w:div w:id="1273980100">
      <w:bodyDiv w:val="1"/>
      <w:marLeft w:val="0"/>
      <w:marRight w:val="0"/>
      <w:marTop w:val="0"/>
      <w:marBottom w:val="0"/>
      <w:divBdr>
        <w:top w:val="none" w:sz="0" w:space="0" w:color="auto"/>
        <w:left w:val="none" w:sz="0" w:space="0" w:color="auto"/>
        <w:bottom w:val="none" w:sz="0" w:space="0" w:color="auto"/>
        <w:right w:val="none" w:sz="0" w:space="0" w:color="auto"/>
      </w:divBdr>
    </w:div>
    <w:div w:id="1274052408">
      <w:bodyDiv w:val="1"/>
      <w:marLeft w:val="0"/>
      <w:marRight w:val="0"/>
      <w:marTop w:val="0"/>
      <w:marBottom w:val="0"/>
      <w:divBdr>
        <w:top w:val="none" w:sz="0" w:space="0" w:color="auto"/>
        <w:left w:val="none" w:sz="0" w:space="0" w:color="auto"/>
        <w:bottom w:val="none" w:sz="0" w:space="0" w:color="auto"/>
        <w:right w:val="none" w:sz="0" w:space="0" w:color="auto"/>
      </w:divBdr>
    </w:div>
    <w:div w:id="1274095288">
      <w:bodyDiv w:val="1"/>
      <w:marLeft w:val="0"/>
      <w:marRight w:val="0"/>
      <w:marTop w:val="0"/>
      <w:marBottom w:val="0"/>
      <w:divBdr>
        <w:top w:val="none" w:sz="0" w:space="0" w:color="auto"/>
        <w:left w:val="none" w:sz="0" w:space="0" w:color="auto"/>
        <w:bottom w:val="none" w:sz="0" w:space="0" w:color="auto"/>
        <w:right w:val="none" w:sz="0" w:space="0" w:color="auto"/>
      </w:divBdr>
    </w:div>
    <w:div w:id="1274171496">
      <w:bodyDiv w:val="1"/>
      <w:marLeft w:val="0"/>
      <w:marRight w:val="0"/>
      <w:marTop w:val="0"/>
      <w:marBottom w:val="0"/>
      <w:divBdr>
        <w:top w:val="none" w:sz="0" w:space="0" w:color="auto"/>
        <w:left w:val="none" w:sz="0" w:space="0" w:color="auto"/>
        <w:bottom w:val="none" w:sz="0" w:space="0" w:color="auto"/>
        <w:right w:val="none" w:sz="0" w:space="0" w:color="auto"/>
      </w:divBdr>
    </w:div>
    <w:div w:id="1274285298">
      <w:bodyDiv w:val="1"/>
      <w:marLeft w:val="0"/>
      <w:marRight w:val="0"/>
      <w:marTop w:val="0"/>
      <w:marBottom w:val="0"/>
      <w:divBdr>
        <w:top w:val="none" w:sz="0" w:space="0" w:color="auto"/>
        <w:left w:val="none" w:sz="0" w:space="0" w:color="auto"/>
        <w:bottom w:val="none" w:sz="0" w:space="0" w:color="auto"/>
        <w:right w:val="none" w:sz="0" w:space="0" w:color="auto"/>
      </w:divBdr>
    </w:div>
    <w:div w:id="1274286448">
      <w:bodyDiv w:val="1"/>
      <w:marLeft w:val="0"/>
      <w:marRight w:val="0"/>
      <w:marTop w:val="0"/>
      <w:marBottom w:val="0"/>
      <w:divBdr>
        <w:top w:val="none" w:sz="0" w:space="0" w:color="auto"/>
        <w:left w:val="none" w:sz="0" w:space="0" w:color="auto"/>
        <w:bottom w:val="none" w:sz="0" w:space="0" w:color="auto"/>
        <w:right w:val="none" w:sz="0" w:space="0" w:color="auto"/>
      </w:divBdr>
    </w:div>
    <w:div w:id="1274364091">
      <w:bodyDiv w:val="1"/>
      <w:marLeft w:val="0"/>
      <w:marRight w:val="0"/>
      <w:marTop w:val="0"/>
      <w:marBottom w:val="0"/>
      <w:divBdr>
        <w:top w:val="none" w:sz="0" w:space="0" w:color="auto"/>
        <w:left w:val="none" w:sz="0" w:space="0" w:color="auto"/>
        <w:bottom w:val="none" w:sz="0" w:space="0" w:color="auto"/>
        <w:right w:val="none" w:sz="0" w:space="0" w:color="auto"/>
      </w:divBdr>
    </w:div>
    <w:div w:id="1274433920">
      <w:bodyDiv w:val="1"/>
      <w:marLeft w:val="0"/>
      <w:marRight w:val="0"/>
      <w:marTop w:val="0"/>
      <w:marBottom w:val="0"/>
      <w:divBdr>
        <w:top w:val="none" w:sz="0" w:space="0" w:color="auto"/>
        <w:left w:val="none" w:sz="0" w:space="0" w:color="auto"/>
        <w:bottom w:val="none" w:sz="0" w:space="0" w:color="auto"/>
        <w:right w:val="none" w:sz="0" w:space="0" w:color="auto"/>
      </w:divBdr>
    </w:div>
    <w:div w:id="1274435260">
      <w:bodyDiv w:val="1"/>
      <w:marLeft w:val="0"/>
      <w:marRight w:val="0"/>
      <w:marTop w:val="0"/>
      <w:marBottom w:val="0"/>
      <w:divBdr>
        <w:top w:val="none" w:sz="0" w:space="0" w:color="auto"/>
        <w:left w:val="none" w:sz="0" w:space="0" w:color="auto"/>
        <w:bottom w:val="none" w:sz="0" w:space="0" w:color="auto"/>
        <w:right w:val="none" w:sz="0" w:space="0" w:color="auto"/>
      </w:divBdr>
    </w:div>
    <w:div w:id="1274481156">
      <w:bodyDiv w:val="1"/>
      <w:marLeft w:val="0"/>
      <w:marRight w:val="0"/>
      <w:marTop w:val="0"/>
      <w:marBottom w:val="0"/>
      <w:divBdr>
        <w:top w:val="none" w:sz="0" w:space="0" w:color="auto"/>
        <w:left w:val="none" w:sz="0" w:space="0" w:color="auto"/>
        <w:bottom w:val="none" w:sz="0" w:space="0" w:color="auto"/>
        <w:right w:val="none" w:sz="0" w:space="0" w:color="auto"/>
      </w:divBdr>
    </w:div>
    <w:div w:id="1274482686">
      <w:bodyDiv w:val="1"/>
      <w:marLeft w:val="0"/>
      <w:marRight w:val="0"/>
      <w:marTop w:val="0"/>
      <w:marBottom w:val="0"/>
      <w:divBdr>
        <w:top w:val="none" w:sz="0" w:space="0" w:color="auto"/>
        <w:left w:val="none" w:sz="0" w:space="0" w:color="auto"/>
        <w:bottom w:val="none" w:sz="0" w:space="0" w:color="auto"/>
        <w:right w:val="none" w:sz="0" w:space="0" w:color="auto"/>
      </w:divBdr>
    </w:div>
    <w:div w:id="1274557007">
      <w:bodyDiv w:val="1"/>
      <w:marLeft w:val="0"/>
      <w:marRight w:val="0"/>
      <w:marTop w:val="0"/>
      <w:marBottom w:val="0"/>
      <w:divBdr>
        <w:top w:val="none" w:sz="0" w:space="0" w:color="auto"/>
        <w:left w:val="none" w:sz="0" w:space="0" w:color="auto"/>
        <w:bottom w:val="none" w:sz="0" w:space="0" w:color="auto"/>
        <w:right w:val="none" w:sz="0" w:space="0" w:color="auto"/>
      </w:divBdr>
    </w:div>
    <w:div w:id="1274630388">
      <w:bodyDiv w:val="1"/>
      <w:marLeft w:val="0"/>
      <w:marRight w:val="0"/>
      <w:marTop w:val="0"/>
      <w:marBottom w:val="0"/>
      <w:divBdr>
        <w:top w:val="none" w:sz="0" w:space="0" w:color="auto"/>
        <w:left w:val="none" w:sz="0" w:space="0" w:color="auto"/>
        <w:bottom w:val="none" w:sz="0" w:space="0" w:color="auto"/>
        <w:right w:val="none" w:sz="0" w:space="0" w:color="auto"/>
      </w:divBdr>
    </w:div>
    <w:div w:id="1274632179">
      <w:bodyDiv w:val="1"/>
      <w:marLeft w:val="0"/>
      <w:marRight w:val="0"/>
      <w:marTop w:val="0"/>
      <w:marBottom w:val="0"/>
      <w:divBdr>
        <w:top w:val="none" w:sz="0" w:space="0" w:color="auto"/>
        <w:left w:val="none" w:sz="0" w:space="0" w:color="auto"/>
        <w:bottom w:val="none" w:sz="0" w:space="0" w:color="auto"/>
        <w:right w:val="none" w:sz="0" w:space="0" w:color="auto"/>
      </w:divBdr>
    </w:div>
    <w:div w:id="1274744407">
      <w:bodyDiv w:val="1"/>
      <w:marLeft w:val="0"/>
      <w:marRight w:val="0"/>
      <w:marTop w:val="0"/>
      <w:marBottom w:val="0"/>
      <w:divBdr>
        <w:top w:val="none" w:sz="0" w:space="0" w:color="auto"/>
        <w:left w:val="none" w:sz="0" w:space="0" w:color="auto"/>
        <w:bottom w:val="none" w:sz="0" w:space="0" w:color="auto"/>
        <w:right w:val="none" w:sz="0" w:space="0" w:color="auto"/>
      </w:divBdr>
    </w:div>
    <w:div w:id="1274748389">
      <w:bodyDiv w:val="1"/>
      <w:marLeft w:val="0"/>
      <w:marRight w:val="0"/>
      <w:marTop w:val="0"/>
      <w:marBottom w:val="0"/>
      <w:divBdr>
        <w:top w:val="none" w:sz="0" w:space="0" w:color="auto"/>
        <w:left w:val="none" w:sz="0" w:space="0" w:color="auto"/>
        <w:bottom w:val="none" w:sz="0" w:space="0" w:color="auto"/>
        <w:right w:val="none" w:sz="0" w:space="0" w:color="auto"/>
      </w:divBdr>
    </w:div>
    <w:div w:id="1274939721">
      <w:bodyDiv w:val="1"/>
      <w:marLeft w:val="0"/>
      <w:marRight w:val="0"/>
      <w:marTop w:val="0"/>
      <w:marBottom w:val="0"/>
      <w:divBdr>
        <w:top w:val="none" w:sz="0" w:space="0" w:color="auto"/>
        <w:left w:val="none" w:sz="0" w:space="0" w:color="auto"/>
        <w:bottom w:val="none" w:sz="0" w:space="0" w:color="auto"/>
        <w:right w:val="none" w:sz="0" w:space="0" w:color="auto"/>
      </w:divBdr>
    </w:div>
    <w:div w:id="1275012995">
      <w:bodyDiv w:val="1"/>
      <w:marLeft w:val="0"/>
      <w:marRight w:val="0"/>
      <w:marTop w:val="0"/>
      <w:marBottom w:val="0"/>
      <w:divBdr>
        <w:top w:val="none" w:sz="0" w:space="0" w:color="auto"/>
        <w:left w:val="none" w:sz="0" w:space="0" w:color="auto"/>
        <w:bottom w:val="none" w:sz="0" w:space="0" w:color="auto"/>
        <w:right w:val="none" w:sz="0" w:space="0" w:color="auto"/>
      </w:divBdr>
    </w:div>
    <w:div w:id="1275020439">
      <w:bodyDiv w:val="1"/>
      <w:marLeft w:val="0"/>
      <w:marRight w:val="0"/>
      <w:marTop w:val="0"/>
      <w:marBottom w:val="0"/>
      <w:divBdr>
        <w:top w:val="none" w:sz="0" w:space="0" w:color="auto"/>
        <w:left w:val="none" w:sz="0" w:space="0" w:color="auto"/>
        <w:bottom w:val="none" w:sz="0" w:space="0" w:color="auto"/>
        <w:right w:val="none" w:sz="0" w:space="0" w:color="auto"/>
      </w:divBdr>
    </w:div>
    <w:div w:id="1275091477">
      <w:bodyDiv w:val="1"/>
      <w:marLeft w:val="0"/>
      <w:marRight w:val="0"/>
      <w:marTop w:val="0"/>
      <w:marBottom w:val="0"/>
      <w:divBdr>
        <w:top w:val="none" w:sz="0" w:space="0" w:color="auto"/>
        <w:left w:val="none" w:sz="0" w:space="0" w:color="auto"/>
        <w:bottom w:val="none" w:sz="0" w:space="0" w:color="auto"/>
        <w:right w:val="none" w:sz="0" w:space="0" w:color="auto"/>
      </w:divBdr>
    </w:div>
    <w:div w:id="1275096814">
      <w:bodyDiv w:val="1"/>
      <w:marLeft w:val="0"/>
      <w:marRight w:val="0"/>
      <w:marTop w:val="0"/>
      <w:marBottom w:val="0"/>
      <w:divBdr>
        <w:top w:val="none" w:sz="0" w:space="0" w:color="auto"/>
        <w:left w:val="none" w:sz="0" w:space="0" w:color="auto"/>
        <w:bottom w:val="none" w:sz="0" w:space="0" w:color="auto"/>
        <w:right w:val="none" w:sz="0" w:space="0" w:color="auto"/>
      </w:divBdr>
    </w:div>
    <w:div w:id="1275136455">
      <w:bodyDiv w:val="1"/>
      <w:marLeft w:val="0"/>
      <w:marRight w:val="0"/>
      <w:marTop w:val="0"/>
      <w:marBottom w:val="0"/>
      <w:divBdr>
        <w:top w:val="none" w:sz="0" w:space="0" w:color="auto"/>
        <w:left w:val="none" w:sz="0" w:space="0" w:color="auto"/>
        <w:bottom w:val="none" w:sz="0" w:space="0" w:color="auto"/>
        <w:right w:val="none" w:sz="0" w:space="0" w:color="auto"/>
      </w:divBdr>
    </w:div>
    <w:div w:id="1275139954">
      <w:bodyDiv w:val="1"/>
      <w:marLeft w:val="0"/>
      <w:marRight w:val="0"/>
      <w:marTop w:val="0"/>
      <w:marBottom w:val="0"/>
      <w:divBdr>
        <w:top w:val="none" w:sz="0" w:space="0" w:color="auto"/>
        <w:left w:val="none" w:sz="0" w:space="0" w:color="auto"/>
        <w:bottom w:val="none" w:sz="0" w:space="0" w:color="auto"/>
        <w:right w:val="none" w:sz="0" w:space="0" w:color="auto"/>
      </w:divBdr>
    </w:div>
    <w:div w:id="1275284568">
      <w:bodyDiv w:val="1"/>
      <w:marLeft w:val="0"/>
      <w:marRight w:val="0"/>
      <w:marTop w:val="0"/>
      <w:marBottom w:val="0"/>
      <w:divBdr>
        <w:top w:val="none" w:sz="0" w:space="0" w:color="auto"/>
        <w:left w:val="none" w:sz="0" w:space="0" w:color="auto"/>
        <w:bottom w:val="none" w:sz="0" w:space="0" w:color="auto"/>
        <w:right w:val="none" w:sz="0" w:space="0" w:color="auto"/>
      </w:divBdr>
    </w:div>
    <w:div w:id="1275285624">
      <w:bodyDiv w:val="1"/>
      <w:marLeft w:val="0"/>
      <w:marRight w:val="0"/>
      <w:marTop w:val="0"/>
      <w:marBottom w:val="0"/>
      <w:divBdr>
        <w:top w:val="none" w:sz="0" w:space="0" w:color="auto"/>
        <w:left w:val="none" w:sz="0" w:space="0" w:color="auto"/>
        <w:bottom w:val="none" w:sz="0" w:space="0" w:color="auto"/>
        <w:right w:val="none" w:sz="0" w:space="0" w:color="auto"/>
      </w:divBdr>
    </w:div>
    <w:div w:id="1275289163">
      <w:bodyDiv w:val="1"/>
      <w:marLeft w:val="0"/>
      <w:marRight w:val="0"/>
      <w:marTop w:val="0"/>
      <w:marBottom w:val="0"/>
      <w:divBdr>
        <w:top w:val="none" w:sz="0" w:space="0" w:color="auto"/>
        <w:left w:val="none" w:sz="0" w:space="0" w:color="auto"/>
        <w:bottom w:val="none" w:sz="0" w:space="0" w:color="auto"/>
        <w:right w:val="none" w:sz="0" w:space="0" w:color="auto"/>
      </w:divBdr>
    </w:div>
    <w:div w:id="1275289540">
      <w:bodyDiv w:val="1"/>
      <w:marLeft w:val="0"/>
      <w:marRight w:val="0"/>
      <w:marTop w:val="0"/>
      <w:marBottom w:val="0"/>
      <w:divBdr>
        <w:top w:val="none" w:sz="0" w:space="0" w:color="auto"/>
        <w:left w:val="none" w:sz="0" w:space="0" w:color="auto"/>
        <w:bottom w:val="none" w:sz="0" w:space="0" w:color="auto"/>
        <w:right w:val="none" w:sz="0" w:space="0" w:color="auto"/>
      </w:divBdr>
    </w:div>
    <w:div w:id="1275404518">
      <w:bodyDiv w:val="1"/>
      <w:marLeft w:val="0"/>
      <w:marRight w:val="0"/>
      <w:marTop w:val="0"/>
      <w:marBottom w:val="0"/>
      <w:divBdr>
        <w:top w:val="none" w:sz="0" w:space="0" w:color="auto"/>
        <w:left w:val="none" w:sz="0" w:space="0" w:color="auto"/>
        <w:bottom w:val="none" w:sz="0" w:space="0" w:color="auto"/>
        <w:right w:val="none" w:sz="0" w:space="0" w:color="auto"/>
      </w:divBdr>
    </w:div>
    <w:div w:id="1275407459">
      <w:bodyDiv w:val="1"/>
      <w:marLeft w:val="0"/>
      <w:marRight w:val="0"/>
      <w:marTop w:val="0"/>
      <w:marBottom w:val="0"/>
      <w:divBdr>
        <w:top w:val="none" w:sz="0" w:space="0" w:color="auto"/>
        <w:left w:val="none" w:sz="0" w:space="0" w:color="auto"/>
        <w:bottom w:val="none" w:sz="0" w:space="0" w:color="auto"/>
        <w:right w:val="none" w:sz="0" w:space="0" w:color="auto"/>
      </w:divBdr>
    </w:div>
    <w:div w:id="1275407731">
      <w:bodyDiv w:val="1"/>
      <w:marLeft w:val="0"/>
      <w:marRight w:val="0"/>
      <w:marTop w:val="0"/>
      <w:marBottom w:val="0"/>
      <w:divBdr>
        <w:top w:val="none" w:sz="0" w:space="0" w:color="auto"/>
        <w:left w:val="none" w:sz="0" w:space="0" w:color="auto"/>
        <w:bottom w:val="none" w:sz="0" w:space="0" w:color="auto"/>
        <w:right w:val="none" w:sz="0" w:space="0" w:color="auto"/>
      </w:divBdr>
    </w:div>
    <w:div w:id="1275409319">
      <w:bodyDiv w:val="1"/>
      <w:marLeft w:val="0"/>
      <w:marRight w:val="0"/>
      <w:marTop w:val="0"/>
      <w:marBottom w:val="0"/>
      <w:divBdr>
        <w:top w:val="none" w:sz="0" w:space="0" w:color="auto"/>
        <w:left w:val="none" w:sz="0" w:space="0" w:color="auto"/>
        <w:bottom w:val="none" w:sz="0" w:space="0" w:color="auto"/>
        <w:right w:val="none" w:sz="0" w:space="0" w:color="auto"/>
      </w:divBdr>
    </w:div>
    <w:div w:id="1275482717">
      <w:bodyDiv w:val="1"/>
      <w:marLeft w:val="0"/>
      <w:marRight w:val="0"/>
      <w:marTop w:val="0"/>
      <w:marBottom w:val="0"/>
      <w:divBdr>
        <w:top w:val="none" w:sz="0" w:space="0" w:color="auto"/>
        <w:left w:val="none" w:sz="0" w:space="0" w:color="auto"/>
        <w:bottom w:val="none" w:sz="0" w:space="0" w:color="auto"/>
        <w:right w:val="none" w:sz="0" w:space="0" w:color="auto"/>
      </w:divBdr>
    </w:div>
    <w:div w:id="1275744602">
      <w:bodyDiv w:val="1"/>
      <w:marLeft w:val="0"/>
      <w:marRight w:val="0"/>
      <w:marTop w:val="0"/>
      <w:marBottom w:val="0"/>
      <w:divBdr>
        <w:top w:val="none" w:sz="0" w:space="0" w:color="auto"/>
        <w:left w:val="none" w:sz="0" w:space="0" w:color="auto"/>
        <w:bottom w:val="none" w:sz="0" w:space="0" w:color="auto"/>
        <w:right w:val="none" w:sz="0" w:space="0" w:color="auto"/>
      </w:divBdr>
    </w:div>
    <w:div w:id="1275821077">
      <w:bodyDiv w:val="1"/>
      <w:marLeft w:val="0"/>
      <w:marRight w:val="0"/>
      <w:marTop w:val="0"/>
      <w:marBottom w:val="0"/>
      <w:divBdr>
        <w:top w:val="none" w:sz="0" w:space="0" w:color="auto"/>
        <w:left w:val="none" w:sz="0" w:space="0" w:color="auto"/>
        <w:bottom w:val="none" w:sz="0" w:space="0" w:color="auto"/>
        <w:right w:val="none" w:sz="0" w:space="0" w:color="auto"/>
      </w:divBdr>
    </w:div>
    <w:div w:id="1276012400">
      <w:bodyDiv w:val="1"/>
      <w:marLeft w:val="0"/>
      <w:marRight w:val="0"/>
      <w:marTop w:val="0"/>
      <w:marBottom w:val="0"/>
      <w:divBdr>
        <w:top w:val="none" w:sz="0" w:space="0" w:color="auto"/>
        <w:left w:val="none" w:sz="0" w:space="0" w:color="auto"/>
        <w:bottom w:val="none" w:sz="0" w:space="0" w:color="auto"/>
        <w:right w:val="none" w:sz="0" w:space="0" w:color="auto"/>
      </w:divBdr>
    </w:div>
    <w:div w:id="1276212213">
      <w:bodyDiv w:val="1"/>
      <w:marLeft w:val="0"/>
      <w:marRight w:val="0"/>
      <w:marTop w:val="0"/>
      <w:marBottom w:val="0"/>
      <w:divBdr>
        <w:top w:val="none" w:sz="0" w:space="0" w:color="auto"/>
        <w:left w:val="none" w:sz="0" w:space="0" w:color="auto"/>
        <w:bottom w:val="none" w:sz="0" w:space="0" w:color="auto"/>
        <w:right w:val="none" w:sz="0" w:space="0" w:color="auto"/>
      </w:divBdr>
    </w:div>
    <w:div w:id="1276214305">
      <w:bodyDiv w:val="1"/>
      <w:marLeft w:val="0"/>
      <w:marRight w:val="0"/>
      <w:marTop w:val="0"/>
      <w:marBottom w:val="0"/>
      <w:divBdr>
        <w:top w:val="none" w:sz="0" w:space="0" w:color="auto"/>
        <w:left w:val="none" w:sz="0" w:space="0" w:color="auto"/>
        <w:bottom w:val="none" w:sz="0" w:space="0" w:color="auto"/>
        <w:right w:val="none" w:sz="0" w:space="0" w:color="auto"/>
      </w:divBdr>
    </w:div>
    <w:div w:id="1276252229">
      <w:bodyDiv w:val="1"/>
      <w:marLeft w:val="0"/>
      <w:marRight w:val="0"/>
      <w:marTop w:val="0"/>
      <w:marBottom w:val="0"/>
      <w:divBdr>
        <w:top w:val="none" w:sz="0" w:space="0" w:color="auto"/>
        <w:left w:val="none" w:sz="0" w:space="0" w:color="auto"/>
        <w:bottom w:val="none" w:sz="0" w:space="0" w:color="auto"/>
        <w:right w:val="none" w:sz="0" w:space="0" w:color="auto"/>
      </w:divBdr>
    </w:div>
    <w:div w:id="1276324649">
      <w:bodyDiv w:val="1"/>
      <w:marLeft w:val="0"/>
      <w:marRight w:val="0"/>
      <w:marTop w:val="0"/>
      <w:marBottom w:val="0"/>
      <w:divBdr>
        <w:top w:val="none" w:sz="0" w:space="0" w:color="auto"/>
        <w:left w:val="none" w:sz="0" w:space="0" w:color="auto"/>
        <w:bottom w:val="none" w:sz="0" w:space="0" w:color="auto"/>
        <w:right w:val="none" w:sz="0" w:space="0" w:color="auto"/>
      </w:divBdr>
    </w:div>
    <w:div w:id="1276327114">
      <w:bodyDiv w:val="1"/>
      <w:marLeft w:val="0"/>
      <w:marRight w:val="0"/>
      <w:marTop w:val="0"/>
      <w:marBottom w:val="0"/>
      <w:divBdr>
        <w:top w:val="none" w:sz="0" w:space="0" w:color="auto"/>
        <w:left w:val="none" w:sz="0" w:space="0" w:color="auto"/>
        <w:bottom w:val="none" w:sz="0" w:space="0" w:color="auto"/>
        <w:right w:val="none" w:sz="0" w:space="0" w:color="auto"/>
      </w:divBdr>
    </w:div>
    <w:div w:id="1276448851">
      <w:bodyDiv w:val="1"/>
      <w:marLeft w:val="0"/>
      <w:marRight w:val="0"/>
      <w:marTop w:val="0"/>
      <w:marBottom w:val="0"/>
      <w:divBdr>
        <w:top w:val="none" w:sz="0" w:space="0" w:color="auto"/>
        <w:left w:val="none" w:sz="0" w:space="0" w:color="auto"/>
        <w:bottom w:val="none" w:sz="0" w:space="0" w:color="auto"/>
        <w:right w:val="none" w:sz="0" w:space="0" w:color="auto"/>
      </w:divBdr>
    </w:div>
    <w:div w:id="1276517051">
      <w:bodyDiv w:val="1"/>
      <w:marLeft w:val="0"/>
      <w:marRight w:val="0"/>
      <w:marTop w:val="0"/>
      <w:marBottom w:val="0"/>
      <w:divBdr>
        <w:top w:val="none" w:sz="0" w:space="0" w:color="auto"/>
        <w:left w:val="none" w:sz="0" w:space="0" w:color="auto"/>
        <w:bottom w:val="none" w:sz="0" w:space="0" w:color="auto"/>
        <w:right w:val="none" w:sz="0" w:space="0" w:color="auto"/>
      </w:divBdr>
    </w:div>
    <w:div w:id="1276525744">
      <w:bodyDiv w:val="1"/>
      <w:marLeft w:val="0"/>
      <w:marRight w:val="0"/>
      <w:marTop w:val="0"/>
      <w:marBottom w:val="0"/>
      <w:divBdr>
        <w:top w:val="none" w:sz="0" w:space="0" w:color="auto"/>
        <w:left w:val="none" w:sz="0" w:space="0" w:color="auto"/>
        <w:bottom w:val="none" w:sz="0" w:space="0" w:color="auto"/>
        <w:right w:val="none" w:sz="0" w:space="0" w:color="auto"/>
      </w:divBdr>
    </w:div>
    <w:div w:id="1276597258">
      <w:bodyDiv w:val="1"/>
      <w:marLeft w:val="0"/>
      <w:marRight w:val="0"/>
      <w:marTop w:val="0"/>
      <w:marBottom w:val="0"/>
      <w:divBdr>
        <w:top w:val="none" w:sz="0" w:space="0" w:color="auto"/>
        <w:left w:val="none" w:sz="0" w:space="0" w:color="auto"/>
        <w:bottom w:val="none" w:sz="0" w:space="0" w:color="auto"/>
        <w:right w:val="none" w:sz="0" w:space="0" w:color="auto"/>
      </w:divBdr>
    </w:div>
    <w:div w:id="1276671231">
      <w:bodyDiv w:val="1"/>
      <w:marLeft w:val="0"/>
      <w:marRight w:val="0"/>
      <w:marTop w:val="0"/>
      <w:marBottom w:val="0"/>
      <w:divBdr>
        <w:top w:val="none" w:sz="0" w:space="0" w:color="auto"/>
        <w:left w:val="none" w:sz="0" w:space="0" w:color="auto"/>
        <w:bottom w:val="none" w:sz="0" w:space="0" w:color="auto"/>
        <w:right w:val="none" w:sz="0" w:space="0" w:color="auto"/>
      </w:divBdr>
    </w:div>
    <w:div w:id="1276718932">
      <w:bodyDiv w:val="1"/>
      <w:marLeft w:val="0"/>
      <w:marRight w:val="0"/>
      <w:marTop w:val="0"/>
      <w:marBottom w:val="0"/>
      <w:divBdr>
        <w:top w:val="none" w:sz="0" w:space="0" w:color="auto"/>
        <w:left w:val="none" w:sz="0" w:space="0" w:color="auto"/>
        <w:bottom w:val="none" w:sz="0" w:space="0" w:color="auto"/>
        <w:right w:val="none" w:sz="0" w:space="0" w:color="auto"/>
      </w:divBdr>
    </w:div>
    <w:div w:id="1276785502">
      <w:bodyDiv w:val="1"/>
      <w:marLeft w:val="0"/>
      <w:marRight w:val="0"/>
      <w:marTop w:val="0"/>
      <w:marBottom w:val="0"/>
      <w:divBdr>
        <w:top w:val="none" w:sz="0" w:space="0" w:color="auto"/>
        <w:left w:val="none" w:sz="0" w:space="0" w:color="auto"/>
        <w:bottom w:val="none" w:sz="0" w:space="0" w:color="auto"/>
        <w:right w:val="none" w:sz="0" w:space="0" w:color="auto"/>
      </w:divBdr>
    </w:div>
    <w:div w:id="1276794443">
      <w:bodyDiv w:val="1"/>
      <w:marLeft w:val="0"/>
      <w:marRight w:val="0"/>
      <w:marTop w:val="0"/>
      <w:marBottom w:val="0"/>
      <w:divBdr>
        <w:top w:val="none" w:sz="0" w:space="0" w:color="auto"/>
        <w:left w:val="none" w:sz="0" w:space="0" w:color="auto"/>
        <w:bottom w:val="none" w:sz="0" w:space="0" w:color="auto"/>
        <w:right w:val="none" w:sz="0" w:space="0" w:color="auto"/>
      </w:divBdr>
    </w:div>
    <w:div w:id="1276866042">
      <w:bodyDiv w:val="1"/>
      <w:marLeft w:val="0"/>
      <w:marRight w:val="0"/>
      <w:marTop w:val="0"/>
      <w:marBottom w:val="0"/>
      <w:divBdr>
        <w:top w:val="none" w:sz="0" w:space="0" w:color="auto"/>
        <w:left w:val="none" w:sz="0" w:space="0" w:color="auto"/>
        <w:bottom w:val="none" w:sz="0" w:space="0" w:color="auto"/>
        <w:right w:val="none" w:sz="0" w:space="0" w:color="auto"/>
      </w:divBdr>
    </w:div>
    <w:div w:id="1276906473">
      <w:bodyDiv w:val="1"/>
      <w:marLeft w:val="0"/>
      <w:marRight w:val="0"/>
      <w:marTop w:val="0"/>
      <w:marBottom w:val="0"/>
      <w:divBdr>
        <w:top w:val="none" w:sz="0" w:space="0" w:color="auto"/>
        <w:left w:val="none" w:sz="0" w:space="0" w:color="auto"/>
        <w:bottom w:val="none" w:sz="0" w:space="0" w:color="auto"/>
        <w:right w:val="none" w:sz="0" w:space="0" w:color="auto"/>
      </w:divBdr>
    </w:div>
    <w:div w:id="1276907653">
      <w:bodyDiv w:val="1"/>
      <w:marLeft w:val="0"/>
      <w:marRight w:val="0"/>
      <w:marTop w:val="0"/>
      <w:marBottom w:val="0"/>
      <w:divBdr>
        <w:top w:val="none" w:sz="0" w:space="0" w:color="auto"/>
        <w:left w:val="none" w:sz="0" w:space="0" w:color="auto"/>
        <w:bottom w:val="none" w:sz="0" w:space="0" w:color="auto"/>
        <w:right w:val="none" w:sz="0" w:space="0" w:color="auto"/>
      </w:divBdr>
    </w:div>
    <w:div w:id="1276980468">
      <w:bodyDiv w:val="1"/>
      <w:marLeft w:val="0"/>
      <w:marRight w:val="0"/>
      <w:marTop w:val="0"/>
      <w:marBottom w:val="0"/>
      <w:divBdr>
        <w:top w:val="none" w:sz="0" w:space="0" w:color="auto"/>
        <w:left w:val="none" w:sz="0" w:space="0" w:color="auto"/>
        <w:bottom w:val="none" w:sz="0" w:space="0" w:color="auto"/>
        <w:right w:val="none" w:sz="0" w:space="0" w:color="auto"/>
      </w:divBdr>
    </w:div>
    <w:div w:id="1276980644">
      <w:bodyDiv w:val="1"/>
      <w:marLeft w:val="0"/>
      <w:marRight w:val="0"/>
      <w:marTop w:val="0"/>
      <w:marBottom w:val="0"/>
      <w:divBdr>
        <w:top w:val="none" w:sz="0" w:space="0" w:color="auto"/>
        <w:left w:val="none" w:sz="0" w:space="0" w:color="auto"/>
        <w:bottom w:val="none" w:sz="0" w:space="0" w:color="auto"/>
        <w:right w:val="none" w:sz="0" w:space="0" w:color="auto"/>
      </w:divBdr>
    </w:div>
    <w:div w:id="1276987066">
      <w:bodyDiv w:val="1"/>
      <w:marLeft w:val="0"/>
      <w:marRight w:val="0"/>
      <w:marTop w:val="0"/>
      <w:marBottom w:val="0"/>
      <w:divBdr>
        <w:top w:val="none" w:sz="0" w:space="0" w:color="auto"/>
        <w:left w:val="none" w:sz="0" w:space="0" w:color="auto"/>
        <w:bottom w:val="none" w:sz="0" w:space="0" w:color="auto"/>
        <w:right w:val="none" w:sz="0" w:space="0" w:color="auto"/>
      </w:divBdr>
    </w:div>
    <w:div w:id="1277059359">
      <w:bodyDiv w:val="1"/>
      <w:marLeft w:val="0"/>
      <w:marRight w:val="0"/>
      <w:marTop w:val="0"/>
      <w:marBottom w:val="0"/>
      <w:divBdr>
        <w:top w:val="none" w:sz="0" w:space="0" w:color="auto"/>
        <w:left w:val="none" w:sz="0" w:space="0" w:color="auto"/>
        <w:bottom w:val="none" w:sz="0" w:space="0" w:color="auto"/>
        <w:right w:val="none" w:sz="0" w:space="0" w:color="auto"/>
      </w:divBdr>
    </w:div>
    <w:div w:id="1277104999">
      <w:bodyDiv w:val="1"/>
      <w:marLeft w:val="0"/>
      <w:marRight w:val="0"/>
      <w:marTop w:val="0"/>
      <w:marBottom w:val="0"/>
      <w:divBdr>
        <w:top w:val="none" w:sz="0" w:space="0" w:color="auto"/>
        <w:left w:val="none" w:sz="0" w:space="0" w:color="auto"/>
        <w:bottom w:val="none" w:sz="0" w:space="0" w:color="auto"/>
        <w:right w:val="none" w:sz="0" w:space="0" w:color="auto"/>
      </w:divBdr>
    </w:div>
    <w:div w:id="1277130065">
      <w:bodyDiv w:val="1"/>
      <w:marLeft w:val="0"/>
      <w:marRight w:val="0"/>
      <w:marTop w:val="0"/>
      <w:marBottom w:val="0"/>
      <w:divBdr>
        <w:top w:val="none" w:sz="0" w:space="0" w:color="auto"/>
        <w:left w:val="none" w:sz="0" w:space="0" w:color="auto"/>
        <w:bottom w:val="none" w:sz="0" w:space="0" w:color="auto"/>
        <w:right w:val="none" w:sz="0" w:space="0" w:color="auto"/>
      </w:divBdr>
    </w:div>
    <w:div w:id="1277175673">
      <w:bodyDiv w:val="1"/>
      <w:marLeft w:val="0"/>
      <w:marRight w:val="0"/>
      <w:marTop w:val="0"/>
      <w:marBottom w:val="0"/>
      <w:divBdr>
        <w:top w:val="none" w:sz="0" w:space="0" w:color="auto"/>
        <w:left w:val="none" w:sz="0" w:space="0" w:color="auto"/>
        <w:bottom w:val="none" w:sz="0" w:space="0" w:color="auto"/>
        <w:right w:val="none" w:sz="0" w:space="0" w:color="auto"/>
      </w:divBdr>
    </w:div>
    <w:div w:id="1277252886">
      <w:bodyDiv w:val="1"/>
      <w:marLeft w:val="0"/>
      <w:marRight w:val="0"/>
      <w:marTop w:val="0"/>
      <w:marBottom w:val="0"/>
      <w:divBdr>
        <w:top w:val="none" w:sz="0" w:space="0" w:color="auto"/>
        <w:left w:val="none" w:sz="0" w:space="0" w:color="auto"/>
        <w:bottom w:val="none" w:sz="0" w:space="0" w:color="auto"/>
        <w:right w:val="none" w:sz="0" w:space="0" w:color="auto"/>
      </w:divBdr>
    </w:div>
    <w:div w:id="1277323646">
      <w:bodyDiv w:val="1"/>
      <w:marLeft w:val="0"/>
      <w:marRight w:val="0"/>
      <w:marTop w:val="0"/>
      <w:marBottom w:val="0"/>
      <w:divBdr>
        <w:top w:val="none" w:sz="0" w:space="0" w:color="auto"/>
        <w:left w:val="none" w:sz="0" w:space="0" w:color="auto"/>
        <w:bottom w:val="none" w:sz="0" w:space="0" w:color="auto"/>
        <w:right w:val="none" w:sz="0" w:space="0" w:color="auto"/>
      </w:divBdr>
    </w:div>
    <w:div w:id="1277370013">
      <w:bodyDiv w:val="1"/>
      <w:marLeft w:val="0"/>
      <w:marRight w:val="0"/>
      <w:marTop w:val="0"/>
      <w:marBottom w:val="0"/>
      <w:divBdr>
        <w:top w:val="none" w:sz="0" w:space="0" w:color="auto"/>
        <w:left w:val="none" w:sz="0" w:space="0" w:color="auto"/>
        <w:bottom w:val="none" w:sz="0" w:space="0" w:color="auto"/>
        <w:right w:val="none" w:sz="0" w:space="0" w:color="auto"/>
      </w:divBdr>
    </w:div>
    <w:div w:id="1277449884">
      <w:bodyDiv w:val="1"/>
      <w:marLeft w:val="0"/>
      <w:marRight w:val="0"/>
      <w:marTop w:val="0"/>
      <w:marBottom w:val="0"/>
      <w:divBdr>
        <w:top w:val="none" w:sz="0" w:space="0" w:color="auto"/>
        <w:left w:val="none" w:sz="0" w:space="0" w:color="auto"/>
        <w:bottom w:val="none" w:sz="0" w:space="0" w:color="auto"/>
        <w:right w:val="none" w:sz="0" w:space="0" w:color="auto"/>
      </w:divBdr>
    </w:div>
    <w:div w:id="1277519753">
      <w:bodyDiv w:val="1"/>
      <w:marLeft w:val="0"/>
      <w:marRight w:val="0"/>
      <w:marTop w:val="0"/>
      <w:marBottom w:val="0"/>
      <w:divBdr>
        <w:top w:val="none" w:sz="0" w:space="0" w:color="auto"/>
        <w:left w:val="none" w:sz="0" w:space="0" w:color="auto"/>
        <w:bottom w:val="none" w:sz="0" w:space="0" w:color="auto"/>
        <w:right w:val="none" w:sz="0" w:space="0" w:color="auto"/>
      </w:divBdr>
    </w:div>
    <w:div w:id="1277524572">
      <w:bodyDiv w:val="1"/>
      <w:marLeft w:val="0"/>
      <w:marRight w:val="0"/>
      <w:marTop w:val="0"/>
      <w:marBottom w:val="0"/>
      <w:divBdr>
        <w:top w:val="none" w:sz="0" w:space="0" w:color="auto"/>
        <w:left w:val="none" w:sz="0" w:space="0" w:color="auto"/>
        <w:bottom w:val="none" w:sz="0" w:space="0" w:color="auto"/>
        <w:right w:val="none" w:sz="0" w:space="0" w:color="auto"/>
      </w:divBdr>
    </w:div>
    <w:div w:id="1277642139">
      <w:bodyDiv w:val="1"/>
      <w:marLeft w:val="0"/>
      <w:marRight w:val="0"/>
      <w:marTop w:val="0"/>
      <w:marBottom w:val="0"/>
      <w:divBdr>
        <w:top w:val="none" w:sz="0" w:space="0" w:color="auto"/>
        <w:left w:val="none" w:sz="0" w:space="0" w:color="auto"/>
        <w:bottom w:val="none" w:sz="0" w:space="0" w:color="auto"/>
        <w:right w:val="none" w:sz="0" w:space="0" w:color="auto"/>
      </w:divBdr>
    </w:div>
    <w:div w:id="1277714637">
      <w:bodyDiv w:val="1"/>
      <w:marLeft w:val="0"/>
      <w:marRight w:val="0"/>
      <w:marTop w:val="0"/>
      <w:marBottom w:val="0"/>
      <w:divBdr>
        <w:top w:val="none" w:sz="0" w:space="0" w:color="auto"/>
        <w:left w:val="none" w:sz="0" w:space="0" w:color="auto"/>
        <w:bottom w:val="none" w:sz="0" w:space="0" w:color="auto"/>
        <w:right w:val="none" w:sz="0" w:space="0" w:color="auto"/>
      </w:divBdr>
    </w:div>
    <w:div w:id="1277831423">
      <w:bodyDiv w:val="1"/>
      <w:marLeft w:val="0"/>
      <w:marRight w:val="0"/>
      <w:marTop w:val="0"/>
      <w:marBottom w:val="0"/>
      <w:divBdr>
        <w:top w:val="none" w:sz="0" w:space="0" w:color="auto"/>
        <w:left w:val="none" w:sz="0" w:space="0" w:color="auto"/>
        <w:bottom w:val="none" w:sz="0" w:space="0" w:color="auto"/>
        <w:right w:val="none" w:sz="0" w:space="0" w:color="auto"/>
      </w:divBdr>
    </w:div>
    <w:div w:id="1277903092">
      <w:bodyDiv w:val="1"/>
      <w:marLeft w:val="0"/>
      <w:marRight w:val="0"/>
      <w:marTop w:val="0"/>
      <w:marBottom w:val="0"/>
      <w:divBdr>
        <w:top w:val="none" w:sz="0" w:space="0" w:color="auto"/>
        <w:left w:val="none" w:sz="0" w:space="0" w:color="auto"/>
        <w:bottom w:val="none" w:sz="0" w:space="0" w:color="auto"/>
        <w:right w:val="none" w:sz="0" w:space="0" w:color="auto"/>
      </w:divBdr>
    </w:div>
    <w:div w:id="1278022542">
      <w:bodyDiv w:val="1"/>
      <w:marLeft w:val="0"/>
      <w:marRight w:val="0"/>
      <w:marTop w:val="0"/>
      <w:marBottom w:val="0"/>
      <w:divBdr>
        <w:top w:val="none" w:sz="0" w:space="0" w:color="auto"/>
        <w:left w:val="none" w:sz="0" w:space="0" w:color="auto"/>
        <w:bottom w:val="none" w:sz="0" w:space="0" w:color="auto"/>
        <w:right w:val="none" w:sz="0" w:space="0" w:color="auto"/>
      </w:divBdr>
    </w:div>
    <w:div w:id="1278024553">
      <w:bodyDiv w:val="1"/>
      <w:marLeft w:val="0"/>
      <w:marRight w:val="0"/>
      <w:marTop w:val="0"/>
      <w:marBottom w:val="0"/>
      <w:divBdr>
        <w:top w:val="none" w:sz="0" w:space="0" w:color="auto"/>
        <w:left w:val="none" w:sz="0" w:space="0" w:color="auto"/>
        <w:bottom w:val="none" w:sz="0" w:space="0" w:color="auto"/>
        <w:right w:val="none" w:sz="0" w:space="0" w:color="auto"/>
      </w:divBdr>
    </w:div>
    <w:div w:id="1278098253">
      <w:bodyDiv w:val="1"/>
      <w:marLeft w:val="0"/>
      <w:marRight w:val="0"/>
      <w:marTop w:val="0"/>
      <w:marBottom w:val="0"/>
      <w:divBdr>
        <w:top w:val="none" w:sz="0" w:space="0" w:color="auto"/>
        <w:left w:val="none" w:sz="0" w:space="0" w:color="auto"/>
        <w:bottom w:val="none" w:sz="0" w:space="0" w:color="auto"/>
        <w:right w:val="none" w:sz="0" w:space="0" w:color="auto"/>
      </w:divBdr>
    </w:div>
    <w:div w:id="1278172528">
      <w:bodyDiv w:val="1"/>
      <w:marLeft w:val="0"/>
      <w:marRight w:val="0"/>
      <w:marTop w:val="0"/>
      <w:marBottom w:val="0"/>
      <w:divBdr>
        <w:top w:val="none" w:sz="0" w:space="0" w:color="auto"/>
        <w:left w:val="none" w:sz="0" w:space="0" w:color="auto"/>
        <w:bottom w:val="none" w:sz="0" w:space="0" w:color="auto"/>
        <w:right w:val="none" w:sz="0" w:space="0" w:color="auto"/>
      </w:divBdr>
    </w:div>
    <w:div w:id="1278217412">
      <w:bodyDiv w:val="1"/>
      <w:marLeft w:val="0"/>
      <w:marRight w:val="0"/>
      <w:marTop w:val="0"/>
      <w:marBottom w:val="0"/>
      <w:divBdr>
        <w:top w:val="none" w:sz="0" w:space="0" w:color="auto"/>
        <w:left w:val="none" w:sz="0" w:space="0" w:color="auto"/>
        <w:bottom w:val="none" w:sz="0" w:space="0" w:color="auto"/>
        <w:right w:val="none" w:sz="0" w:space="0" w:color="auto"/>
      </w:divBdr>
    </w:div>
    <w:div w:id="1278296312">
      <w:bodyDiv w:val="1"/>
      <w:marLeft w:val="0"/>
      <w:marRight w:val="0"/>
      <w:marTop w:val="0"/>
      <w:marBottom w:val="0"/>
      <w:divBdr>
        <w:top w:val="none" w:sz="0" w:space="0" w:color="auto"/>
        <w:left w:val="none" w:sz="0" w:space="0" w:color="auto"/>
        <w:bottom w:val="none" w:sz="0" w:space="0" w:color="auto"/>
        <w:right w:val="none" w:sz="0" w:space="0" w:color="auto"/>
      </w:divBdr>
    </w:div>
    <w:div w:id="1278297925">
      <w:bodyDiv w:val="1"/>
      <w:marLeft w:val="0"/>
      <w:marRight w:val="0"/>
      <w:marTop w:val="0"/>
      <w:marBottom w:val="0"/>
      <w:divBdr>
        <w:top w:val="none" w:sz="0" w:space="0" w:color="auto"/>
        <w:left w:val="none" w:sz="0" w:space="0" w:color="auto"/>
        <w:bottom w:val="none" w:sz="0" w:space="0" w:color="auto"/>
        <w:right w:val="none" w:sz="0" w:space="0" w:color="auto"/>
      </w:divBdr>
    </w:div>
    <w:div w:id="1278637055">
      <w:bodyDiv w:val="1"/>
      <w:marLeft w:val="0"/>
      <w:marRight w:val="0"/>
      <w:marTop w:val="0"/>
      <w:marBottom w:val="0"/>
      <w:divBdr>
        <w:top w:val="none" w:sz="0" w:space="0" w:color="auto"/>
        <w:left w:val="none" w:sz="0" w:space="0" w:color="auto"/>
        <w:bottom w:val="none" w:sz="0" w:space="0" w:color="auto"/>
        <w:right w:val="none" w:sz="0" w:space="0" w:color="auto"/>
      </w:divBdr>
    </w:div>
    <w:div w:id="1278639578">
      <w:bodyDiv w:val="1"/>
      <w:marLeft w:val="0"/>
      <w:marRight w:val="0"/>
      <w:marTop w:val="0"/>
      <w:marBottom w:val="0"/>
      <w:divBdr>
        <w:top w:val="none" w:sz="0" w:space="0" w:color="auto"/>
        <w:left w:val="none" w:sz="0" w:space="0" w:color="auto"/>
        <w:bottom w:val="none" w:sz="0" w:space="0" w:color="auto"/>
        <w:right w:val="none" w:sz="0" w:space="0" w:color="auto"/>
      </w:divBdr>
    </w:div>
    <w:div w:id="1278757022">
      <w:bodyDiv w:val="1"/>
      <w:marLeft w:val="0"/>
      <w:marRight w:val="0"/>
      <w:marTop w:val="0"/>
      <w:marBottom w:val="0"/>
      <w:divBdr>
        <w:top w:val="none" w:sz="0" w:space="0" w:color="auto"/>
        <w:left w:val="none" w:sz="0" w:space="0" w:color="auto"/>
        <w:bottom w:val="none" w:sz="0" w:space="0" w:color="auto"/>
        <w:right w:val="none" w:sz="0" w:space="0" w:color="auto"/>
      </w:divBdr>
    </w:div>
    <w:div w:id="1278829940">
      <w:bodyDiv w:val="1"/>
      <w:marLeft w:val="0"/>
      <w:marRight w:val="0"/>
      <w:marTop w:val="0"/>
      <w:marBottom w:val="0"/>
      <w:divBdr>
        <w:top w:val="none" w:sz="0" w:space="0" w:color="auto"/>
        <w:left w:val="none" w:sz="0" w:space="0" w:color="auto"/>
        <w:bottom w:val="none" w:sz="0" w:space="0" w:color="auto"/>
        <w:right w:val="none" w:sz="0" w:space="0" w:color="auto"/>
      </w:divBdr>
    </w:div>
    <w:div w:id="1278831118">
      <w:bodyDiv w:val="1"/>
      <w:marLeft w:val="0"/>
      <w:marRight w:val="0"/>
      <w:marTop w:val="0"/>
      <w:marBottom w:val="0"/>
      <w:divBdr>
        <w:top w:val="none" w:sz="0" w:space="0" w:color="auto"/>
        <w:left w:val="none" w:sz="0" w:space="0" w:color="auto"/>
        <w:bottom w:val="none" w:sz="0" w:space="0" w:color="auto"/>
        <w:right w:val="none" w:sz="0" w:space="0" w:color="auto"/>
      </w:divBdr>
    </w:div>
    <w:div w:id="1279066658">
      <w:bodyDiv w:val="1"/>
      <w:marLeft w:val="0"/>
      <w:marRight w:val="0"/>
      <w:marTop w:val="0"/>
      <w:marBottom w:val="0"/>
      <w:divBdr>
        <w:top w:val="none" w:sz="0" w:space="0" w:color="auto"/>
        <w:left w:val="none" w:sz="0" w:space="0" w:color="auto"/>
        <w:bottom w:val="none" w:sz="0" w:space="0" w:color="auto"/>
        <w:right w:val="none" w:sz="0" w:space="0" w:color="auto"/>
      </w:divBdr>
    </w:div>
    <w:div w:id="1279070575">
      <w:bodyDiv w:val="1"/>
      <w:marLeft w:val="0"/>
      <w:marRight w:val="0"/>
      <w:marTop w:val="0"/>
      <w:marBottom w:val="0"/>
      <w:divBdr>
        <w:top w:val="none" w:sz="0" w:space="0" w:color="auto"/>
        <w:left w:val="none" w:sz="0" w:space="0" w:color="auto"/>
        <w:bottom w:val="none" w:sz="0" w:space="0" w:color="auto"/>
        <w:right w:val="none" w:sz="0" w:space="0" w:color="auto"/>
      </w:divBdr>
    </w:div>
    <w:div w:id="1279141086">
      <w:bodyDiv w:val="1"/>
      <w:marLeft w:val="0"/>
      <w:marRight w:val="0"/>
      <w:marTop w:val="0"/>
      <w:marBottom w:val="0"/>
      <w:divBdr>
        <w:top w:val="none" w:sz="0" w:space="0" w:color="auto"/>
        <w:left w:val="none" w:sz="0" w:space="0" w:color="auto"/>
        <w:bottom w:val="none" w:sz="0" w:space="0" w:color="auto"/>
        <w:right w:val="none" w:sz="0" w:space="0" w:color="auto"/>
      </w:divBdr>
    </w:div>
    <w:div w:id="1279144764">
      <w:bodyDiv w:val="1"/>
      <w:marLeft w:val="0"/>
      <w:marRight w:val="0"/>
      <w:marTop w:val="0"/>
      <w:marBottom w:val="0"/>
      <w:divBdr>
        <w:top w:val="none" w:sz="0" w:space="0" w:color="auto"/>
        <w:left w:val="none" w:sz="0" w:space="0" w:color="auto"/>
        <w:bottom w:val="none" w:sz="0" w:space="0" w:color="auto"/>
        <w:right w:val="none" w:sz="0" w:space="0" w:color="auto"/>
      </w:divBdr>
    </w:div>
    <w:div w:id="1279216410">
      <w:bodyDiv w:val="1"/>
      <w:marLeft w:val="0"/>
      <w:marRight w:val="0"/>
      <w:marTop w:val="0"/>
      <w:marBottom w:val="0"/>
      <w:divBdr>
        <w:top w:val="none" w:sz="0" w:space="0" w:color="auto"/>
        <w:left w:val="none" w:sz="0" w:space="0" w:color="auto"/>
        <w:bottom w:val="none" w:sz="0" w:space="0" w:color="auto"/>
        <w:right w:val="none" w:sz="0" w:space="0" w:color="auto"/>
      </w:divBdr>
    </w:div>
    <w:div w:id="1279265010">
      <w:bodyDiv w:val="1"/>
      <w:marLeft w:val="0"/>
      <w:marRight w:val="0"/>
      <w:marTop w:val="0"/>
      <w:marBottom w:val="0"/>
      <w:divBdr>
        <w:top w:val="none" w:sz="0" w:space="0" w:color="auto"/>
        <w:left w:val="none" w:sz="0" w:space="0" w:color="auto"/>
        <w:bottom w:val="none" w:sz="0" w:space="0" w:color="auto"/>
        <w:right w:val="none" w:sz="0" w:space="0" w:color="auto"/>
      </w:divBdr>
    </w:div>
    <w:div w:id="1279488515">
      <w:bodyDiv w:val="1"/>
      <w:marLeft w:val="0"/>
      <w:marRight w:val="0"/>
      <w:marTop w:val="0"/>
      <w:marBottom w:val="0"/>
      <w:divBdr>
        <w:top w:val="none" w:sz="0" w:space="0" w:color="auto"/>
        <w:left w:val="none" w:sz="0" w:space="0" w:color="auto"/>
        <w:bottom w:val="none" w:sz="0" w:space="0" w:color="auto"/>
        <w:right w:val="none" w:sz="0" w:space="0" w:color="auto"/>
      </w:divBdr>
    </w:div>
    <w:div w:id="1279489040">
      <w:bodyDiv w:val="1"/>
      <w:marLeft w:val="0"/>
      <w:marRight w:val="0"/>
      <w:marTop w:val="0"/>
      <w:marBottom w:val="0"/>
      <w:divBdr>
        <w:top w:val="none" w:sz="0" w:space="0" w:color="auto"/>
        <w:left w:val="none" w:sz="0" w:space="0" w:color="auto"/>
        <w:bottom w:val="none" w:sz="0" w:space="0" w:color="auto"/>
        <w:right w:val="none" w:sz="0" w:space="0" w:color="auto"/>
      </w:divBdr>
    </w:div>
    <w:div w:id="1279491711">
      <w:bodyDiv w:val="1"/>
      <w:marLeft w:val="0"/>
      <w:marRight w:val="0"/>
      <w:marTop w:val="0"/>
      <w:marBottom w:val="0"/>
      <w:divBdr>
        <w:top w:val="none" w:sz="0" w:space="0" w:color="auto"/>
        <w:left w:val="none" w:sz="0" w:space="0" w:color="auto"/>
        <w:bottom w:val="none" w:sz="0" w:space="0" w:color="auto"/>
        <w:right w:val="none" w:sz="0" w:space="0" w:color="auto"/>
      </w:divBdr>
    </w:div>
    <w:div w:id="1279604983">
      <w:bodyDiv w:val="1"/>
      <w:marLeft w:val="0"/>
      <w:marRight w:val="0"/>
      <w:marTop w:val="0"/>
      <w:marBottom w:val="0"/>
      <w:divBdr>
        <w:top w:val="none" w:sz="0" w:space="0" w:color="auto"/>
        <w:left w:val="none" w:sz="0" w:space="0" w:color="auto"/>
        <w:bottom w:val="none" w:sz="0" w:space="0" w:color="auto"/>
        <w:right w:val="none" w:sz="0" w:space="0" w:color="auto"/>
      </w:divBdr>
    </w:div>
    <w:div w:id="1279680718">
      <w:bodyDiv w:val="1"/>
      <w:marLeft w:val="0"/>
      <w:marRight w:val="0"/>
      <w:marTop w:val="0"/>
      <w:marBottom w:val="0"/>
      <w:divBdr>
        <w:top w:val="none" w:sz="0" w:space="0" w:color="auto"/>
        <w:left w:val="none" w:sz="0" w:space="0" w:color="auto"/>
        <w:bottom w:val="none" w:sz="0" w:space="0" w:color="auto"/>
        <w:right w:val="none" w:sz="0" w:space="0" w:color="auto"/>
      </w:divBdr>
    </w:div>
    <w:div w:id="1279683617">
      <w:bodyDiv w:val="1"/>
      <w:marLeft w:val="0"/>
      <w:marRight w:val="0"/>
      <w:marTop w:val="0"/>
      <w:marBottom w:val="0"/>
      <w:divBdr>
        <w:top w:val="none" w:sz="0" w:space="0" w:color="auto"/>
        <w:left w:val="none" w:sz="0" w:space="0" w:color="auto"/>
        <w:bottom w:val="none" w:sz="0" w:space="0" w:color="auto"/>
        <w:right w:val="none" w:sz="0" w:space="0" w:color="auto"/>
      </w:divBdr>
    </w:div>
    <w:div w:id="1279800643">
      <w:bodyDiv w:val="1"/>
      <w:marLeft w:val="0"/>
      <w:marRight w:val="0"/>
      <w:marTop w:val="0"/>
      <w:marBottom w:val="0"/>
      <w:divBdr>
        <w:top w:val="none" w:sz="0" w:space="0" w:color="auto"/>
        <w:left w:val="none" w:sz="0" w:space="0" w:color="auto"/>
        <w:bottom w:val="none" w:sz="0" w:space="0" w:color="auto"/>
        <w:right w:val="none" w:sz="0" w:space="0" w:color="auto"/>
      </w:divBdr>
    </w:div>
    <w:div w:id="1279875177">
      <w:bodyDiv w:val="1"/>
      <w:marLeft w:val="0"/>
      <w:marRight w:val="0"/>
      <w:marTop w:val="0"/>
      <w:marBottom w:val="0"/>
      <w:divBdr>
        <w:top w:val="none" w:sz="0" w:space="0" w:color="auto"/>
        <w:left w:val="none" w:sz="0" w:space="0" w:color="auto"/>
        <w:bottom w:val="none" w:sz="0" w:space="0" w:color="auto"/>
        <w:right w:val="none" w:sz="0" w:space="0" w:color="auto"/>
      </w:divBdr>
    </w:div>
    <w:div w:id="1279920216">
      <w:bodyDiv w:val="1"/>
      <w:marLeft w:val="0"/>
      <w:marRight w:val="0"/>
      <w:marTop w:val="0"/>
      <w:marBottom w:val="0"/>
      <w:divBdr>
        <w:top w:val="none" w:sz="0" w:space="0" w:color="auto"/>
        <w:left w:val="none" w:sz="0" w:space="0" w:color="auto"/>
        <w:bottom w:val="none" w:sz="0" w:space="0" w:color="auto"/>
        <w:right w:val="none" w:sz="0" w:space="0" w:color="auto"/>
      </w:divBdr>
    </w:div>
    <w:div w:id="1279948690">
      <w:bodyDiv w:val="1"/>
      <w:marLeft w:val="0"/>
      <w:marRight w:val="0"/>
      <w:marTop w:val="0"/>
      <w:marBottom w:val="0"/>
      <w:divBdr>
        <w:top w:val="none" w:sz="0" w:space="0" w:color="auto"/>
        <w:left w:val="none" w:sz="0" w:space="0" w:color="auto"/>
        <w:bottom w:val="none" w:sz="0" w:space="0" w:color="auto"/>
        <w:right w:val="none" w:sz="0" w:space="0" w:color="auto"/>
      </w:divBdr>
    </w:div>
    <w:div w:id="1279949639">
      <w:bodyDiv w:val="1"/>
      <w:marLeft w:val="0"/>
      <w:marRight w:val="0"/>
      <w:marTop w:val="0"/>
      <w:marBottom w:val="0"/>
      <w:divBdr>
        <w:top w:val="none" w:sz="0" w:space="0" w:color="auto"/>
        <w:left w:val="none" w:sz="0" w:space="0" w:color="auto"/>
        <w:bottom w:val="none" w:sz="0" w:space="0" w:color="auto"/>
        <w:right w:val="none" w:sz="0" w:space="0" w:color="auto"/>
      </w:divBdr>
    </w:div>
    <w:div w:id="1279988287">
      <w:bodyDiv w:val="1"/>
      <w:marLeft w:val="0"/>
      <w:marRight w:val="0"/>
      <w:marTop w:val="0"/>
      <w:marBottom w:val="0"/>
      <w:divBdr>
        <w:top w:val="none" w:sz="0" w:space="0" w:color="auto"/>
        <w:left w:val="none" w:sz="0" w:space="0" w:color="auto"/>
        <w:bottom w:val="none" w:sz="0" w:space="0" w:color="auto"/>
        <w:right w:val="none" w:sz="0" w:space="0" w:color="auto"/>
      </w:divBdr>
    </w:div>
    <w:div w:id="1280138499">
      <w:bodyDiv w:val="1"/>
      <w:marLeft w:val="0"/>
      <w:marRight w:val="0"/>
      <w:marTop w:val="0"/>
      <w:marBottom w:val="0"/>
      <w:divBdr>
        <w:top w:val="none" w:sz="0" w:space="0" w:color="auto"/>
        <w:left w:val="none" w:sz="0" w:space="0" w:color="auto"/>
        <w:bottom w:val="none" w:sz="0" w:space="0" w:color="auto"/>
        <w:right w:val="none" w:sz="0" w:space="0" w:color="auto"/>
      </w:divBdr>
    </w:div>
    <w:div w:id="1280142292">
      <w:bodyDiv w:val="1"/>
      <w:marLeft w:val="0"/>
      <w:marRight w:val="0"/>
      <w:marTop w:val="0"/>
      <w:marBottom w:val="0"/>
      <w:divBdr>
        <w:top w:val="none" w:sz="0" w:space="0" w:color="auto"/>
        <w:left w:val="none" w:sz="0" w:space="0" w:color="auto"/>
        <w:bottom w:val="none" w:sz="0" w:space="0" w:color="auto"/>
        <w:right w:val="none" w:sz="0" w:space="0" w:color="auto"/>
      </w:divBdr>
    </w:div>
    <w:div w:id="1280186022">
      <w:bodyDiv w:val="1"/>
      <w:marLeft w:val="0"/>
      <w:marRight w:val="0"/>
      <w:marTop w:val="0"/>
      <w:marBottom w:val="0"/>
      <w:divBdr>
        <w:top w:val="none" w:sz="0" w:space="0" w:color="auto"/>
        <w:left w:val="none" w:sz="0" w:space="0" w:color="auto"/>
        <w:bottom w:val="none" w:sz="0" w:space="0" w:color="auto"/>
        <w:right w:val="none" w:sz="0" w:space="0" w:color="auto"/>
      </w:divBdr>
    </w:div>
    <w:div w:id="1280260809">
      <w:bodyDiv w:val="1"/>
      <w:marLeft w:val="0"/>
      <w:marRight w:val="0"/>
      <w:marTop w:val="0"/>
      <w:marBottom w:val="0"/>
      <w:divBdr>
        <w:top w:val="none" w:sz="0" w:space="0" w:color="auto"/>
        <w:left w:val="none" w:sz="0" w:space="0" w:color="auto"/>
        <w:bottom w:val="none" w:sz="0" w:space="0" w:color="auto"/>
        <w:right w:val="none" w:sz="0" w:space="0" w:color="auto"/>
      </w:divBdr>
    </w:div>
    <w:div w:id="1280333829">
      <w:bodyDiv w:val="1"/>
      <w:marLeft w:val="0"/>
      <w:marRight w:val="0"/>
      <w:marTop w:val="0"/>
      <w:marBottom w:val="0"/>
      <w:divBdr>
        <w:top w:val="none" w:sz="0" w:space="0" w:color="auto"/>
        <w:left w:val="none" w:sz="0" w:space="0" w:color="auto"/>
        <w:bottom w:val="none" w:sz="0" w:space="0" w:color="auto"/>
        <w:right w:val="none" w:sz="0" w:space="0" w:color="auto"/>
      </w:divBdr>
    </w:div>
    <w:div w:id="1280339004">
      <w:bodyDiv w:val="1"/>
      <w:marLeft w:val="0"/>
      <w:marRight w:val="0"/>
      <w:marTop w:val="0"/>
      <w:marBottom w:val="0"/>
      <w:divBdr>
        <w:top w:val="none" w:sz="0" w:space="0" w:color="auto"/>
        <w:left w:val="none" w:sz="0" w:space="0" w:color="auto"/>
        <w:bottom w:val="none" w:sz="0" w:space="0" w:color="auto"/>
        <w:right w:val="none" w:sz="0" w:space="0" w:color="auto"/>
      </w:divBdr>
    </w:div>
    <w:div w:id="1280339653">
      <w:bodyDiv w:val="1"/>
      <w:marLeft w:val="0"/>
      <w:marRight w:val="0"/>
      <w:marTop w:val="0"/>
      <w:marBottom w:val="0"/>
      <w:divBdr>
        <w:top w:val="none" w:sz="0" w:space="0" w:color="auto"/>
        <w:left w:val="none" w:sz="0" w:space="0" w:color="auto"/>
        <w:bottom w:val="none" w:sz="0" w:space="0" w:color="auto"/>
        <w:right w:val="none" w:sz="0" w:space="0" w:color="auto"/>
      </w:divBdr>
    </w:div>
    <w:div w:id="1280451064">
      <w:bodyDiv w:val="1"/>
      <w:marLeft w:val="0"/>
      <w:marRight w:val="0"/>
      <w:marTop w:val="0"/>
      <w:marBottom w:val="0"/>
      <w:divBdr>
        <w:top w:val="none" w:sz="0" w:space="0" w:color="auto"/>
        <w:left w:val="none" w:sz="0" w:space="0" w:color="auto"/>
        <w:bottom w:val="none" w:sz="0" w:space="0" w:color="auto"/>
        <w:right w:val="none" w:sz="0" w:space="0" w:color="auto"/>
      </w:divBdr>
    </w:div>
    <w:div w:id="1280792959">
      <w:bodyDiv w:val="1"/>
      <w:marLeft w:val="0"/>
      <w:marRight w:val="0"/>
      <w:marTop w:val="0"/>
      <w:marBottom w:val="0"/>
      <w:divBdr>
        <w:top w:val="none" w:sz="0" w:space="0" w:color="auto"/>
        <w:left w:val="none" w:sz="0" w:space="0" w:color="auto"/>
        <w:bottom w:val="none" w:sz="0" w:space="0" w:color="auto"/>
        <w:right w:val="none" w:sz="0" w:space="0" w:color="auto"/>
      </w:divBdr>
      <w:divsChild>
        <w:div w:id="14044798">
          <w:marLeft w:val="0"/>
          <w:marRight w:val="0"/>
          <w:marTop w:val="0"/>
          <w:marBottom w:val="0"/>
          <w:divBdr>
            <w:top w:val="none" w:sz="0" w:space="0" w:color="auto"/>
            <w:left w:val="none" w:sz="0" w:space="0" w:color="auto"/>
            <w:bottom w:val="none" w:sz="0" w:space="0" w:color="auto"/>
            <w:right w:val="none" w:sz="0" w:space="0" w:color="auto"/>
          </w:divBdr>
        </w:div>
        <w:div w:id="39477568">
          <w:marLeft w:val="0"/>
          <w:marRight w:val="0"/>
          <w:marTop w:val="0"/>
          <w:marBottom w:val="0"/>
          <w:divBdr>
            <w:top w:val="none" w:sz="0" w:space="0" w:color="auto"/>
            <w:left w:val="none" w:sz="0" w:space="0" w:color="auto"/>
            <w:bottom w:val="none" w:sz="0" w:space="0" w:color="auto"/>
            <w:right w:val="none" w:sz="0" w:space="0" w:color="auto"/>
          </w:divBdr>
        </w:div>
        <w:div w:id="41752359">
          <w:marLeft w:val="0"/>
          <w:marRight w:val="0"/>
          <w:marTop w:val="0"/>
          <w:marBottom w:val="0"/>
          <w:divBdr>
            <w:top w:val="none" w:sz="0" w:space="0" w:color="auto"/>
            <w:left w:val="none" w:sz="0" w:space="0" w:color="auto"/>
            <w:bottom w:val="none" w:sz="0" w:space="0" w:color="auto"/>
            <w:right w:val="none" w:sz="0" w:space="0" w:color="auto"/>
          </w:divBdr>
        </w:div>
        <w:div w:id="48119864">
          <w:marLeft w:val="0"/>
          <w:marRight w:val="0"/>
          <w:marTop w:val="0"/>
          <w:marBottom w:val="0"/>
          <w:divBdr>
            <w:top w:val="none" w:sz="0" w:space="0" w:color="auto"/>
            <w:left w:val="none" w:sz="0" w:space="0" w:color="auto"/>
            <w:bottom w:val="none" w:sz="0" w:space="0" w:color="auto"/>
            <w:right w:val="none" w:sz="0" w:space="0" w:color="auto"/>
          </w:divBdr>
        </w:div>
        <w:div w:id="61224514">
          <w:marLeft w:val="0"/>
          <w:marRight w:val="0"/>
          <w:marTop w:val="0"/>
          <w:marBottom w:val="0"/>
          <w:divBdr>
            <w:top w:val="none" w:sz="0" w:space="0" w:color="auto"/>
            <w:left w:val="none" w:sz="0" w:space="0" w:color="auto"/>
            <w:bottom w:val="none" w:sz="0" w:space="0" w:color="auto"/>
            <w:right w:val="none" w:sz="0" w:space="0" w:color="auto"/>
          </w:divBdr>
        </w:div>
        <w:div w:id="88741448">
          <w:marLeft w:val="0"/>
          <w:marRight w:val="0"/>
          <w:marTop w:val="0"/>
          <w:marBottom w:val="0"/>
          <w:divBdr>
            <w:top w:val="none" w:sz="0" w:space="0" w:color="auto"/>
            <w:left w:val="none" w:sz="0" w:space="0" w:color="auto"/>
            <w:bottom w:val="none" w:sz="0" w:space="0" w:color="auto"/>
            <w:right w:val="none" w:sz="0" w:space="0" w:color="auto"/>
          </w:divBdr>
        </w:div>
        <w:div w:id="98795511">
          <w:marLeft w:val="0"/>
          <w:marRight w:val="0"/>
          <w:marTop w:val="0"/>
          <w:marBottom w:val="0"/>
          <w:divBdr>
            <w:top w:val="none" w:sz="0" w:space="0" w:color="auto"/>
            <w:left w:val="none" w:sz="0" w:space="0" w:color="auto"/>
            <w:bottom w:val="none" w:sz="0" w:space="0" w:color="auto"/>
            <w:right w:val="none" w:sz="0" w:space="0" w:color="auto"/>
          </w:divBdr>
        </w:div>
        <w:div w:id="110514715">
          <w:marLeft w:val="0"/>
          <w:marRight w:val="0"/>
          <w:marTop w:val="0"/>
          <w:marBottom w:val="0"/>
          <w:divBdr>
            <w:top w:val="none" w:sz="0" w:space="0" w:color="auto"/>
            <w:left w:val="none" w:sz="0" w:space="0" w:color="auto"/>
            <w:bottom w:val="none" w:sz="0" w:space="0" w:color="auto"/>
            <w:right w:val="none" w:sz="0" w:space="0" w:color="auto"/>
          </w:divBdr>
        </w:div>
        <w:div w:id="119689432">
          <w:marLeft w:val="0"/>
          <w:marRight w:val="0"/>
          <w:marTop w:val="0"/>
          <w:marBottom w:val="0"/>
          <w:divBdr>
            <w:top w:val="none" w:sz="0" w:space="0" w:color="auto"/>
            <w:left w:val="none" w:sz="0" w:space="0" w:color="auto"/>
            <w:bottom w:val="none" w:sz="0" w:space="0" w:color="auto"/>
            <w:right w:val="none" w:sz="0" w:space="0" w:color="auto"/>
          </w:divBdr>
        </w:div>
        <w:div w:id="131287025">
          <w:marLeft w:val="0"/>
          <w:marRight w:val="0"/>
          <w:marTop w:val="0"/>
          <w:marBottom w:val="0"/>
          <w:divBdr>
            <w:top w:val="none" w:sz="0" w:space="0" w:color="auto"/>
            <w:left w:val="none" w:sz="0" w:space="0" w:color="auto"/>
            <w:bottom w:val="none" w:sz="0" w:space="0" w:color="auto"/>
            <w:right w:val="none" w:sz="0" w:space="0" w:color="auto"/>
          </w:divBdr>
        </w:div>
        <w:div w:id="141777028">
          <w:marLeft w:val="0"/>
          <w:marRight w:val="0"/>
          <w:marTop w:val="0"/>
          <w:marBottom w:val="0"/>
          <w:divBdr>
            <w:top w:val="none" w:sz="0" w:space="0" w:color="auto"/>
            <w:left w:val="none" w:sz="0" w:space="0" w:color="auto"/>
            <w:bottom w:val="none" w:sz="0" w:space="0" w:color="auto"/>
            <w:right w:val="none" w:sz="0" w:space="0" w:color="auto"/>
          </w:divBdr>
        </w:div>
        <w:div w:id="168300046">
          <w:marLeft w:val="0"/>
          <w:marRight w:val="0"/>
          <w:marTop w:val="0"/>
          <w:marBottom w:val="0"/>
          <w:divBdr>
            <w:top w:val="none" w:sz="0" w:space="0" w:color="auto"/>
            <w:left w:val="none" w:sz="0" w:space="0" w:color="auto"/>
            <w:bottom w:val="none" w:sz="0" w:space="0" w:color="auto"/>
            <w:right w:val="none" w:sz="0" w:space="0" w:color="auto"/>
          </w:divBdr>
        </w:div>
        <w:div w:id="194587295">
          <w:marLeft w:val="0"/>
          <w:marRight w:val="0"/>
          <w:marTop w:val="0"/>
          <w:marBottom w:val="0"/>
          <w:divBdr>
            <w:top w:val="none" w:sz="0" w:space="0" w:color="auto"/>
            <w:left w:val="none" w:sz="0" w:space="0" w:color="auto"/>
            <w:bottom w:val="none" w:sz="0" w:space="0" w:color="auto"/>
            <w:right w:val="none" w:sz="0" w:space="0" w:color="auto"/>
          </w:divBdr>
        </w:div>
        <w:div w:id="200359990">
          <w:marLeft w:val="0"/>
          <w:marRight w:val="0"/>
          <w:marTop w:val="0"/>
          <w:marBottom w:val="0"/>
          <w:divBdr>
            <w:top w:val="none" w:sz="0" w:space="0" w:color="auto"/>
            <w:left w:val="none" w:sz="0" w:space="0" w:color="auto"/>
            <w:bottom w:val="none" w:sz="0" w:space="0" w:color="auto"/>
            <w:right w:val="none" w:sz="0" w:space="0" w:color="auto"/>
          </w:divBdr>
        </w:div>
        <w:div w:id="203492145">
          <w:marLeft w:val="0"/>
          <w:marRight w:val="0"/>
          <w:marTop w:val="0"/>
          <w:marBottom w:val="0"/>
          <w:divBdr>
            <w:top w:val="none" w:sz="0" w:space="0" w:color="auto"/>
            <w:left w:val="none" w:sz="0" w:space="0" w:color="auto"/>
            <w:bottom w:val="none" w:sz="0" w:space="0" w:color="auto"/>
            <w:right w:val="none" w:sz="0" w:space="0" w:color="auto"/>
          </w:divBdr>
        </w:div>
        <w:div w:id="209919931">
          <w:marLeft w:val="0"/>
          <w:marRight w:val="0"/>
          <w:marTop w:val="0"/>
          <w:marBottom w:val="0"/>
          <w:divBdr>
            <w:top w:val="none" w:sz="0" w:space="0" w:color="auto"/>
            <w:left w:val="none" w:sz="0" w:space="0" w:color="auto"/>
            <w:bottom w:val="none" w:sz="0" w:space="0" w:color="auto"/>
            <w:right w:val="none" w:sz="0" w:space="0" w:color="auto"/>
          </w:divBdr>
        </w:div>
        <w:div w:id="226694530">
          <w:marLeft w:val="0"/>
          <w:marRight w:val="0"/>
          <w:marTop w:val="0"/>
          <w:marBottom w:val="0"/>
          <w:divBdr>
            <w:top w:val="none" w:sz="0" w:space="0" w:color="auto"/>
            <w:left w:val="none" w:sz="0" w:space="0" w:color="auto"/>
            <w:bottom w:val="none" w:sz="0" w:space="0" w:color="auto"/>
            <w:right w:val="none" w:sz="0" w:space="0" w:color="auto"/>
          </w:divBdr>
        </w:div>
        <w:div w:id="229972269">
          <w:marLeft w:val="0"/>
          <w:marRight w:val="0"/>
          <w:marTop w:val="0"/>
          <w:marBottom w:val="0"/>
          <w:divBdr>
            <w:top w:val="none" w:sz="0" w:space="0" w:color="auto"/>
            <w:left w:val="none" w:sz="0" w:space="0" w:color="auto"/>
            <w:bottom w:val="none" w:sz="0" w:space="0" w:color="auto"/>
            <w:right w:val="none" w:sz="0" w:space="0" w:color="auto"/>
          </w:divBdr>
        </w:div>
        <w:div w:id="233319732">
          <w:marLeft w:val="0"/>
          <w:marRight w:val="0"/>
          <w:marTop w:val="0"/>
          <w:marBottom w:val="0"/>
          <w:divBdr>
            <w:top w:val="none" w:sz="0" w:space="0" w:color="auto"/>
            <w:left w:val="none" w:sz="0" w:space="0" w:color="auto"/>
            <w:bottom w:val="none" w:sz="0" w:space="0" w:color="auto"/>
            <w:right w:val="none" w:sz="0" w:space="0" w:color="auto"/>
          </w:divBdr>
        </w:div>
        <w:div w:id="254898213">
          <w:marLeft w:val="0"/>
          <w:marRight w:val="0"/>
          <w:marTop w:val="0"/>
          <w:marBottom w:val="0"/>
          <w:divBdr>
            <w:top w:val="none" w:sz="0" w:space="0" w:color="auto"/>
            <w:left w:val="none" w:sz="0" w:space="0" w:color="auto"/>
            <w:bottom w:val="none" w:sz="0" w:space="0" w:color="auto"/>
            <w:right w:val="none" w:sz="0" w:space="0" w:color="auto"/>
          </w:divBdr>
        </w:div>
        <w:div w:id="266085397">
          <w:marLeft w:val="0"/>
          <w:marRight w:val="0"/>
          <w:marTop w:val="0"/>
          <w:marBottom w:val="0"/>
          <w:divBdr>
            <w:top w:val="none" w:sz="0" w:space="0" w:color="auto"/>
            <w:left w:val="none" w:sz="0" w:space="0" w:color="auto"/>
            <w:bottom w:val="none" w:sz="0" w:space="0" w:color="auto"/>
            <w:right w:val="none" w:sz="0" w:space="0" w:color="auto"/>
          </w:divBdr>
        </w:div>
        <w:div w:id="294137925">
          <w:marLeft w:val="0"/>
          <w:marRight w:val="0"/>
          <w:marTop w:val="0"/>
          <w:marBottom w:val="0"/>
          <w:divBdr>
            <w:top w:val="none" w:sz="0" w:space="0" w:color="auto"/>
            <w:left w:val="none" w:sz="0" w:space="0" w:color="auto"/>
            <w:bottom w:val="none" w:sz="0" w:space="0" w:color="auto"/>
            <w:right w:val="none" w:sz="0" w:space="0" w:color="auto"/>
          </w:divBdr>
        </w:div>
        <w:div w:id="299387092">
          <w:marLeft w:val="0"/>
          <w:marRight w:val="0"/>
          <w:marTop w:val="0"/>
          <w:marBottom w:val="0"/>
          <w:divBdr>
            <w:top w:val="none" w:sz="0" w:space="0" w:color="auto"/>
            <w:left w:val="none" w:sz="0" w:space="0" w:color="auto"/>
            <w:bottom w:val="none" w:sz="0" w:space="0" w:color="auto"/>
            <w:right w:val="none" w:sz="0" w:space="0" w:color="auto"/>
          </w:divBdr>
        </w:div>
        <w:div w:id="319041063">
          <w:marLeft w:val="0"/>
          <w:marRight w:val="0"/>
          <w:marTop w:val="0"/>
          <w:marBottom w:val="0"/>
          <w:divBdr>
            <w:top w:val="none" w:sz="0" w:space="0" w:color="auto"/>
            <w:left w:val="none" w:sz="0" w:space="0" w:color="auto"/>
            <w:bottom w:val="none" w:sz="0" w:space="0" w:color="auto"/>
            <w:right w:val="none" w:sz="0" w:space="0" w:color="auto"/>
          </w:divBdr>
        </w:div>
        <w:div w:id="321126824">
          <w:marLeft w:val="0"/>
          <w:marRight w:val="0"/>
          <w:marTop w:val="0"/>
          <w:marBottom w:val="0"/>
          <w:divBdr>
            <w:top w:val="none" w:sz="0" w:space="0" w:color="auto"/>
            <w:left w:val="none" w:sz="0" w:space="0" w:color="auto"/>
            <w:bottom w:val="none" w:sz="0" w:space="0" w:color="auto"/>
            <w:right w:val="none" w:sz="0" w:space="0" w:color="auto"/>
          </w:divBdr>
        </w:div>
        <w:div w:id="327487701">
          <w:marLeft w:val="0"/>
          <w:marRight w:val="0"/>
          <w:marTop w:val="0"/>
          <w:marBottom w:val="0"/>
          <w:divBdr>
            <w:top w:val="none" w:sz="0" w:space="0" w:color="auto"/>
            <w:left w:val="none" w:sz="0" w:space="0" w:color="auto"/>
            <w:bottom w:val="none" w:sz="0" w:space="0" w:color="auto"/>
            <w:right w:val="none" w:sz="0" w:space="0" w:color="auto"/>
          </w:divBdr>
        </w:div>
        <w:div w:id="349337027">
          <w:marLeft w:val="0"/>
          <w:marRight w:val="0"/>
          <w:marTop w:val="0"/>
          <w:marBottom w:val="0"/>
          <w:divBdr>
            <w:top w:val="none" w:sz="0" w:space="0" w:color="auto"/>
            <w:left w:val="none" w:sz="0" w:space="0" w:color="auto"/>
            <w:bottom w:val="none" w:sz="0" w:space="0" w:color="auto"/>
            <w:right w:val="none" w:sz="0" w:space="0" w:color="auto"/>
          </w:divBdr>
        </w:div>
        <w:div w:id="356004737">
          <w:marLeft w:val="0"/>
          <w:marRight w:val="0"/>
          <w:marTop w:val="0"/>
          <w:marBottom w:val="0"/>
          <w:divBdr>
            <w:top w:val="none" w:sz="0" w:space="0" w:color="auto"/>
            <w:left w:val="none" w:sz="0" w:space="0" w:color="auto"/>
            <w:bottom w:val="none" w:sz="0" w:space="0" w:color="auto"/>
            <w:right w:val="none" w:sz="0" w:space="0" w:color="auto"/>
          </w:divBdr>
        </w:div>
        <w:div w:id="367296045">
          <w:marLeft w:val="0"/>
          <w:marRight w:val="0"/>
          <w:marTop w:val="0"/>
          <w:marBottom w:val="0"/>
          <w:divBdr>
            <w:top w:val="none" w:sz="0" w:space="0" w:color="auto"/>
            <w:left w:val="none" w:sz="0" w:space="0" w:color="auto"/>
            <w:bottom w:val="none" w:sz="0" w:space="0" w:color="auto"/>
            <w:right w:val="none" w:sz="0" w:space="0" w:color="auto"/>
          </w:divBdr>
        </w:div>
        <w:div w:id="371348723">
          <w:marLeft w:val="0"/>
          <w:marRight w:val="0"/>
          <w:marTop w:val="0"/>
          <w:marBottom w:val="0"/>
          <w:divBdr>
            <w:top w:val="none" w:sz="0" w:space="0" w:color="auto"/>
            <w:left w:val="none" w:sz="0" w:space="0" w:color="auto"/>
            <w:bottom w:val="none" w:sz="0" w:space="0" w:color="auto"/>
            <w:right w:val="none" w:sz="0" w:space="0" w:color="auto"/>
          </w:divBdr>
        </w:div>
        <w:div w:id="374933931">
          <w:marLeft w:val="0"/>
          <w:marRight w:val="0"/>
          <w:marTop w:val="0"/>
          <w:marBottom w:val="0"/>
          <w:divBdr>
            <w:top w:val="none" w:sz="0" w:space="0" w:color="auto"/>
            <w:left w:val="none" w:sz="0" w:space="0" w:color="auto"/>
            <w:bottom w:val="none" w:sz="0" w:space="0" w:color="auto"/>
            <w:right w:val="none" w:sz="0" w:space="0" w:color="auto"/>
          </w:divBdr>
        </w:div>
        <w:div w:id="387580054">
          <w:marLeft w:val="0"/>
          <w:marRight w:val="0"/>
          <w:marTop w:val="0"/>
          <w:marBottom w:val="0"/>
          <w:divBdr>
            <w:top w:val="none" w:sz="0" w:space="0" w:color="auto"/>
            <w:left w:val="none" w:sz="0" w:space="0" w:color="auto"/>
            <w:bottom w:val="none" w:sz="0" w:space="0" w:color="auto"/>
            <w:right w:val="none" w:sz="0" w:space="0" w:color="auto"/>
          </w:divBdr>
        </w:div>
        <w:div w:id="394546437">
          <w:marLeft w:val="0"/>
          <w:marRight w:val="0"/>
          <w:marTop w:val="0"/>
          <w:marBottom w:val="0"/>
          <w:divBdr>
            <w:top w:val="none" w:sz="0" w:space="0" w:color="auto"/>
            <w:left w:val="none" w:sz="0" w:space="0" w:color="auto"/>
            <w:bottom w:val="none" w:sz="0" w:space="0" w:color="auto"/>
            <w:right w:val="none" w:sz="0" w:space="0" w:color="auto"/>
          </w:divBdr>
        </w:div>
        <w:div w:id="402216684">
          <w:marLeft w:val="0"/>
          <w:marRight w:val="0"/>
          <w:marTop w:val="0"/>
          <w:marBottom w:val="0"/>
          <w:divBdr>
            <w:top w:val="none" w:sz="0" w:space="0" w:color="auto"/>
            <w:left w:val="none" w:sz="0" w:space="0" w:color="auto"/>
            <w:bottom w:val="none" w:sz="0" w:space="0" w:color="auto"/>
            <w:right w:val="none" w:sz="0" w:space="0" w:color="auto"/>
          </w:divBdr>
        </w:div>
        <w:div w:id="420759785">
          <w:marLeft w:val="0"/>
          <w:marRight w:val="0"/>
          <w:marTop w:val="0"/>
          <w:marBottom w:val="0"/>
          <w:divBdr>
            <w:top w:val="none" w:sz="0" w:space="0" w:color="auto"/>
            <w:left w:val="none" w:sz="0" w:space="0" w:color="auto"/>
            <w:bottom w:val="none" w:sz="0" w:space="0" w:color="auto"/>
            <w:right w:val="none" w:sz="0" w:space="0" w:color="auto"/>
          </w:divBdr>
        </w:div>
        <w:div w:id="433324327">
          <w:marLeft w:val="0"/>
          <w:marRight w:val="0"/>
          <w:marTop w:val="0"/>
          <w:marBottom w:val="0"/>
          <w:divBdr>
            <w:top w:val="none" w:sz="0" w:space="0" w:color="auto"/>
            <w:left w:val="none" w:sz="0" w:space="0" w:color="auto"/>
            <w:bottom w:val="none" w:sz="0" w:space="0" w:color="auto"/>
            <w:right w:val="none" w:sz="0" w:space="0" w:color="auto"/>
          </w:divBdr>
        </w:div>
        <w:div w:id="451242246">
          <w:marLeft w:val="0"/>
          <w:marRight w:val="0"/>
          <w:marTop w:val="0"/>
          <w:marBottom w:val="0"/>
          <w:divBdr>
            <w:top w:val="none" w:sz="0" w:space="0" w:color="auto"/>
            <w:left w:val="none" w:sz="0" w:space="0" w:color="auto"/>
            <w:bottom w:val="none" w:sz="0" w:space="0" w:color="auto"/>
            <w:right w:val="none" w:sz="0" w:space="0" w:color="auto"/>
          </w:divBdr>
        </w:div>
        <w:div w:id="468130792">
          <w:marLeft w:val="0"/>
          <w:marRight w:val="0"/>
          <w:marTop w:val="0"/>
          <w:marBottom w:val="0"/>
          <w:divBdr>
            <w:top w:val="none" w:sz="0" w:space="0" w:color="auto"/>
            <w:left w:val="none" w:sz="0" w:space="0" w:color="auto"/>
            <w:bottom w:val="none" w:sz="0" w:space="0" w:color="auto"/>
            <w:right w:val="none" w:sz="0" w:space="0" w:color="auto"/>
          </w:divBdr>
        </w:div>
        <w:div w:id="483818482">
          <w:marLeft w:val="0"/>
          <w:marRight w:val="0"/>
          <w:marTop w:val="0"/>
          <w:marBottom w:val="0"/>
          <w:divBdr>
            <w:top w:val="none" w:sz="0" w:space="0" w:color="auto"/>
            <w:left w:val="none" w:sz="0" w:space="0" w:color="auto"/>
            <w:bottom w:val="none" w:sz="0" w:space="0" w:color="auto"/>
            <w:right w:val="none" w:sz="0" w:space="0" w:color="auto"/>
          </w:divBdr>
        </w:div>
        <w:div w:id="486283403">
          <w:marLeft w:val="0"/>
          <w:marRight w:val="0"/>
          <w:marTop w:val="0"/>
          <w:marBottom w:val="0"/>
          <w:divBdr>
            <w:top w:val="none" w:sz="0" w:space="0" w:color="auto"/>
            <w:left w:val="none" w:sz="0" w:space="0" w:color="auto"/>
            <w:bottom w:val="none" w:sz="0" w:space="0" w:color="auto"/>
            <w:right w:val="none" w:sz="0" w:space="0" w:color="auto"/>
          </w:divBdr>
        </w:div>
        <w:div w:id="489322879">
          <w:marLeft w:val="0"/>
          <w:marRight w:val="0"/>
          <w:marTop w:val="0"/>
          <w:marBottom w:val="0"/>
          <w:divBdr>
            <w:top w:val="none" w:sz="0" w:space="0" w:color="auto"/>
            <w:left w:val="none" w:sz="0" w:space="0" w:color="auto"/>
            <w:bottom w:val="none" w:sz="0" w:space="0" w:color="auto"/>
            <w:right w:val="none" w:sz="0" w:space="0" w:color="auto"/>
          </w:divBdr>
        </w:div>
        <w:div w:id="508250742">
          <w:marLeft w:val="0"/>
          <w:marRight w:val="0"/>
          <w:marTop w:val="0"/>
          <w:marBottom w:val="0"/>
          <w:divBdr>
            <w:top w:val="none" w:sz="0" w:space="0" w:color="auto"/>
            <w:left w:val="none" w:sz="0" w:space="0" w:color="auto"/>
            <w:bottom w:val="none" w:sz="0" w:space="0" w:color="auto"/>
            <w:right w:val="none" w:sz="0" w:space="0" w:color="auto"/>
          </w:divBdr>
        </w:div>
        <w:div w:id="530611470">
          <w:marLeft w:val="0"/>
          <w:marRight w:val="0"/>
          <w:marTop w:val="0"/>
          <w:marBottom w:val="0"/>
          <w:divBdr>
            <w:top w:val="none" w:sz="0" w:space="0" w:color="auto"/>
            <w:left w:val="none" w:sz="0" w:space="0" w:color="auto"/>
            <w:bottom w:val="none" w:sz="0" w:space="0" w:color="auto"/>
            <w:right w:val="none" w:sz="0" w:space="0" w:color="auto"/>
          </w:divBdr>
        </w:div>
        <w:div w:id="533423662">
          <w:marLeft w:val="0"/>
          <w:marRight w:val="0"/>
          <w:marTop w:val="0"/>
          <w:marBottom w:val="0"/>
          <w:divBdr>
            <w:top w:val="none" w:sz="0" w:space="0" w:color="auto"/>
            <w:left w:val="none" w:sz="0" w:space="0" w:color="auto"/>
            <w:bottom w:val="none" w:sz="0" w:space="0" w:color="auto"/>
            <w:right w:val="none" w:sz="0" w:space="0" w:color="auto"/>
          </w:divBdr>
        </w:div>
        <w:div w:id="538662625">
          <w:marLeft w:val="0"/>
          <w:marRight w:val="0"/>
          <w:marTop w:val="0"/>
          <w:marBottom w:val="0"/>
          <w:divBdr>
            <w:top w:val="none" w:sz="0" w:space="0" w:color="auto"/>
            <w:left w:val="none" w:sz="0" w:space="0" w:color="auto"/>
            <w:bottom w:val="none" w:sz="0" w:space="0" w:color="auto"/>
            <w:right w:val="none" w:sz="0" w:space="0" w:color="auto"/>
          </w:divBdr>
        </w:div>
        <w:div w:id="544605419">
          <w:marLeft w:val="0"/>
          <w:marRight w:val="0"/>
          <w:marTop w:val="0"/>
          <w:marBottom w:val="0"/>
          <w:divBdr>
            <w:top w:val="none" w:sz="0" w:space="0" w:color="auto"/>
            <w:left w:val="none" w:sz="0" w:space="0" w:color="auto"/>
            <w:bottom w:val="none" w:sz="0" w:space="0" w:color="auto"/>
            <w:right w:val="none" w:sz="0" w:space="0" w:color="auto"/>
          </w:divBdr>
        </w:div>
        <w:div w:id="559904579">
          <w:marLeft w:val="0"/>
          <w:marRight w:val="0"/>
          <w:marTop w:val="0"/>
          <w:marBottom w:val="0"/>
          <w:divBdr>
            <w:top w:val="none" w:sz="0" w:space="0" w:color="auto"/>
            <w:left w:val="none" w:sz="0" w:space="0" w:color="auto"/>
            <w:bottom w:val="none" w:sz="0" w:space="0" w:color="auto"/>
            <w:right w:val="none" w:sz="0" w:space="0" w:color="auto"/>
          </w:divBdr>
        </w:div>
        <w:div w:id="588346630">
          <w:marLeft w:val="0"/>
          <w:marRight w:val="0"/>
          <w:marTop w:val="0"/>
          <w:marBottom w:val="0"/>
          <w:divBdr>
            <w:top w:val="none" w:sz="0" w:space="0" w:color="auto"/>
            <w:left w:val="none" w:sz="0" w:space="0" w:color="auto"/>
            <w:bottom w:val="none" w:sz="0" w:space="0" w:color="auto"/>
            <w:right w:val="none" w:sz="0" w:space="0" w:color="auto"/>
          </w:divBdr>
        </w:div>
        <w:div w:id="612246634">
          <w:marLeft w:val="0"/>
          <w:marRight w:val="0"/>
          <w:marTop w:val="0"/>
          <w:marBottom w:val="0"/>
          <w:divBdr>
            <w:top w:val="none" w:sz="0" w:space="0" w:color="auto"/>
            <w:left w:val="none" w:sz="0" w:space="0" w:color="auto"/>
            <w:bottom w:val="none" w:sz="0" w:space="0" w:color="auto"/>
            <w:right w:val="none" w:sz="0" w:space="0" w:color="auto"/>
          </w:divBdr>
        </w:div>
        <w:div w:id="620258728">
          <w:marLeft w:val="0"/>
          <w:marRight w:val="0"/>
          <w:marTop w:val="0"/>
          <w:marBottom w:val="0"/>
          <w:divBdr>
            <w:top w:val="none" w:sz="0" w:space="0" w:color="auto"/>
            <w:left w:val="none" w:sz="0" w:space="0" w:color="auto"/>
            <w:bottom w:val="none" w:sz="0" w:space="0" w:color="auto"/>
            <w:right w:val="none" w:sz="0" w:space="0" w:color="auto"/>
          </w:divBdr>
        </w:div>
        <w:div w:id="620261207">
          <w:marLeft w:val="0"/>
          <w:marRight w:val="0"/>
          <w:marTop w:val="0"/>
          <w:marBottom w:val="0"/>
          <w:divBdr>
            <w:top w:val="none" w:sz="0" w:space="0" w:color="auto"/>
            <w:left w:val="none" w:sz="0" w:space="0" w:color="auto"/>
            <w:bottom w:val="none" w:sz="0" w:space="0" w:color="auto"/>
            <w:right w:val="none" w:sz="0" w:space="0" w:color="auto"/>
          </w:divBdr>
        </w:div>
        <w:div w:id="636228562">
          <w:marLeft w:val="0"/>
          <w:marRight w:val="0"/>
          <w:marTop w:val="0"/>
          <w:marBottom w:val="0"/>
          <w:divBdr>
            <w:top w:val="none" w:sz="0" w:space="0" w:color="auto"/>
            <w:left w:val="none" w:sz="0" w:space="0" w:color="auto"/>
            <w:bottom w:val="none" w:sz="0" w:space="0" w:color="auto"/>
            <w:right w:val="none" w:sz="0" w:space="0" w:color="auto"/>
          </w:divBdr>
        </w:div>
        <w:div w:id="650911626">
          <w:marLeft w:val="0"/>
          <w:marRight w:val="0"/>
          <w:marTop w:val="0"/>
          <w:marBottom w:val="0"/>
          <w:divBdr>
            <w:top w:val="none" w:sz="0" w:space="0" w:color="auto"/>
            <w:left w:val="none" w:sz="0" w:space="0" w:color="auto"/>
            <w:bottom w:val="none" w:sz="0" w:space="0" w:color="auto"/>
            <w:right w:val="none" w:sz="0" w:space="0" w:color="auto"/>
          </w:divBdr>
        </w:div>
        <w:div w:id="652223336">
          <w:marLeft w:val="0"/>
          <w:marRight w:val="0"/>
          <w:marTop w:val="0"/>
          <w:marBottom w:val="0"/>
          <w:divBdr>
            <w:top w:val="none" w:sz="0" w:space="0" w:color="auto"/>
            <w:left w:val="none" w:sz="0" w:space="0" w:color="auto"/>
            <w:bottom w:val="none" w:sz="0" w:space="0" w:color="auto"/>
            <w:right w:val="none" w:sz="0" w:space="0" w:color="auto"/>
          </w:divBdr>
        </w:div>
        <w:div w:id="655181025">
          <w:marLeft w:val="0"/>
          <w:marRight w:val="0"/>
          <w:marTop w:val="0"/>
          <w:marBottom w:val="0"/>
          <w:divBdr>
            <w:top w:val="none" w:sz="0" w:space="0" w:color="auto"/>
            <w:left w:val="none" w:sz="0" w:space="0" w:color="auto"/>
            <w:bottom w:val="none" w:sz="0" w:space="0" w:color="auto"/>
            <w:right w:val="none" w:sz="0" w:space="0" w:color="auto"/>
          </w:divBdr>
        </w:div>
        <w:div w:id="695349220">
          <w:marLeft w:val="0"/>
          <w:marRight w:val="0"/>
          <w:marTop w:val="0"/>
          <w:marBottom w:val="0"/>
          <w:divBdr>
            <w:top w:val="none" w:sz="0" w:space="0" w:color="auto"/>
            <w:left w:val="none" w:sz="0" w:space="0" w:color="auto"/>
            <w:bottom w:val="none" w:sz="0" w:space="0" w:color="auto"/>
            <w:right w:val="none" w:sz="0" w:space="0" w:color="auto"/>
          </w:divBdr>
        </w:div>
        <w:div w:id="708841943">
          <w:marLeft w:val="0"/>
          <w:marRight w:val="0"/>
          <w:marTop w:val="0"/>
          <w:marBottom w:val="0"/>
          <w:divBdr>
            <w:top w:val="none" w:sz="0" w:space="0" w:color="auto"/>
            <w:left w:val="none" w:sz="0" w:space="0" w:color="auto"/>
            <w:bottom w:val="none" w:sz="0" w:space="0" w:color="auto"/>
            <w:right w:val="none" w:sz="0" w:space="0" w:color="auto"/>
          </w:divBdr>
        </w:div>
        <w:div w:id="714892587">
          <w:marLeft w:val="0"/>
          <w:marRight w:val="0"/>
          <w:marTop w:val="0"/>
          <w:marBottom w:val="0"/>
          <w:divBdr>
            <w:top w:val="none" w:sz="0" w:space="0" w:color="auto"/>
            <w:left w:val="none" w:sz="0" w:space="0" w:color="auto"/>
            <w:bottom w:val="none" w:sz="0" w:space="0" w:color="auto"/>
            <w:right w:val="none" w:sz="0" w:space="0" w:color="auto"/>
          </w:divBdr>
        </w:div>
        <w:div w:id="723212117">
          <w:marLeft w:val="0"/>
          <w:marRight w:val="0"/>
          <w:marTop w:val="0"/>
          <w:marBottom w:val="0"/>
          <w:divBdr>
            <w:top w:val="none" w:sz="0" w:space="0" w:color="auto"/>
            <w:left w:val="none" w:sz="0" w:space="0" w:color="auto"/>
            <w:bottom w:val="none" w:sz="0" w:space="0" w:color="auto"/>
            <w:right w:val="none" w:sz="0" w:space="0" w:color="auto"/>
          </w:divBdr>
        </w:div>
        <w:div w:id="739524916">
          <w:marLeft w:val="0"/>
          <w:marRight w:val="0"/>
          <w:marTop w:val="0"/>
          <w:marBottom w:val="0"/>
          <w:divBdr>
            <w:top w:val="none" w:sz="0" w:space="0" w:color="auto"/>
            <w:left w:val="none" w:sz="0" w:space="0" w:color="auto"/>
            <w:bottom w:val="none" w:sz="0" w:space="0" w:color="auto"/>
            <w:right w:val="none" w:sz="0" w:space="0" w:color="auto"/>
          </w:divBdr>
        </w:div>
        <w:div w:id="753556389">
          <w:marLeft w:val="0"/>
          <w:marRight w:val="0"/>
          <w:marTop w:val="0"/>
          <w:marBottom w:val="0"/>
          <w:divBdr>
            <w:top w:val="none" w:sz="0" w:space="0" w:color="auto"/>
            <w:left w:val="none" w:sz="0" w:space="0" w:color="auto"/>
            <w:bottom w:val="none" w:sz="0" w:space="0" w:color="auto"/>
            <w:right w:val="none" w:sz="0" w:space="0" w:color="auto"/>
          </w:divBdr>
        </w:div>
        <w:div w:id="773746616">
          <w:marLeft w:val="0"/>
          <w:marRight w:val="0"/>
          <w:marTop w:val="0"/>
          <w:marBottom w:val="0"/>
          <w:divBdr>
            <w:top w:val="none" w:sz="0" w:space="0" w:color="auto"/>
            <w:left w:val="none" w:sz="0" w:space="0" w:color="auto"/>
            <w:bottom w:val="none" w:sz="0" w:space="0" w:color="auto"/>
            <w:right w:val="none" w:sz="0" w:space="0" w:color="auto"/>
          </w:divBdr>
        </w:div>
        <w:div w:id="779491453">
          <w:marLeft w:val="0"/>
          <w:marRight w:val="0"/>
          <w:marTop w:val="0"/>
          <w:marBottom w:val="0"/>
          <w:divBdr>
            <w:top w:val="none" w:sz="0" w:space="0" w:color="auto"/>
            <w:left w:val="none" w:sz="0" w:space="0" w:color="auto"/>
            <w:bottom w:val="none" w:sz="0" w:space="0" w:color="auto"/>
            <w:right w:val="none" w:sz="0" w:space="0" w:color="auto"/>
          </w:divBdr>
        </w:div>
        <w:div w:id="800150420">
          <w:marLeft w:val="0"/>
          <w:marRight w:val="0"/>
          <w:marTop w:val="0"/>
          <w:marBottom w:val="0"/>
          <w:divBdr>
            <w:top w:val="none" w:sz="0" w:space="0" w:color="auto"/>
            <w:left w:val="none" w:sz="0" w:space="0" w:color="auto"/>
            <w:bottom w:val="none" w:sz="0" w:space="0" w:color="auto"/>
            <w:right w:val="none" w:sz="0" w:space="0" w:color="auto"/>
          </w:divBdr>
        </w:div>
        <w:div w:id="800731440">
          <w:marLeft w:val="0"/>
          <w:marRight w:val="0"/>
          <w:marTop w:val="0"/>
          <w:marBottom w:val="0"/>
          <w:divBdr>
            <w:top w:val="none" w:sz="0" w:space="0" w:color="auto"/>
            <w:left w:val="none" w:sz="0" w:space="0" w:color="auto"/>
            <w:bottom w:val="none" w:sz="0" w:space="0" w:color="auto"/>
            <w:right w:val="none" w:sz="0" w:space="0" w:color="auto"/>
          </w:divBdr>
        </w:div>
        <w:div w:id="803616870">
          <w:marLeft w:val="0"/>
          <w:marRight w:val="0"/>
          <w:marTop w:val="0"/>
          <w:marBottom w:val="0"/>
          <w:divBdr>
            <w:top w:val="none" w:sz="0" w:space="0" w:color="auto"/>
            <w:left w:val="none" w:sz="0" w:space="0" w:color="auto"/>
            <w:bottom w:val="none" w:sz="0" w:space="0" w:color="auto"/>
            <w:right w:val="none" w:sz="0" w:space="0" w:color="auto"/>
          </w:divBdr>
        </w:div>
        <w:div w:id="825704575">
          <w:marLeft w:val="0"/>
          <w:marRight w:val="0"/>
          <w:marTop w:val="0"/>
          <w:marBottom w:val="0"/>
          <w:divBdr>
            <w:top w:val="none" w:sz="0" w:space="0" w:color="auto"/>
            <w:left w:val="none" w:sz="0" w:space="0" w:color="auto"/>
            <w:bottom w:val="none" w:sz="0" w:space="0" w:color="auto"/>
            <w:right w:val="none" w:sz="0" w:space="0" w:color="auto"/>
          </w:divBdr>
        </w:div>
        <w:div w:id="832070175">
          <w:marLeft w:val="0"/>
          <w:marRight w:val="0"/>
          <w:marTop w:val="0"/>
          <w:marBottom w:val="0"/>
          <w:divBdr>
            <w:top w:val="none" w:sz="0" w:space="0" w:color="auto"/>
            <w:left w:val="none" w:sz="0" w:space="0" w:color="auto"/>
            <w:bottom w:val="none" w:sz="0" w:space="0" w:color="auto"/>
            <w:right w:val="none" w:sz="0" w:space="0" w:color="auto"/>
          </w:divBdr>
        </w:div>
        <w:div w:id="838619016">
          <w:marLeft w:val="0"/>
          <w:marRight w:val="0"/>
          <w:marTop w:val="0"/>
          <w:marBottom w:val="0"/>
          <w:divBdr>
            <w:top w:val="none" w:sz="0" w:space="0" w:color="auto"/>
            <w:left w:val="none" w:sz="0" w:space="0" w:color="auto"/>
            <w:bottom w:val="none" w:sz="0" w:space="0" w:color="auto"/>
            <w:right w:val="none" w:sz="0" w:space="0" w:color="auto"/>
          </w:divBdr>
        </w:div>
        <w:div w:id="839586649">
          <w:marLeft w:val="0"/>
          <w:marRight w:val="0"/>
          <w:marTop w:val="0"/>
          <w:marBottom w:val="0"/>
          <w:divBdr>
            <w:top w:val="none" w:sz="0" w:space="0" w:color="auto"/>
            <w:left w:val="none" w:sz="0" w:space="0" w:color="auto"/>
            <w:bottom w:val="none" w:sz="0" w:space="0" w:color="auto"/>
            <w:right w:val="none" w:sz="0" w:space="0" w:color="auto"/>
          </w:divBdr>
        </w:div>
        <w:div w:id="872546381">
          <w:marLeft w:val="0"/>
          <w:marRight w:val="0"/>
          <w:marTop w:val="0"/>
          <w:marBottom w:val="0"/>
          <w:divBdr>
            <w:top w:val="none" w:sz="0" w:space="0" w:color="auto"/>
            <w:left w:val="none" w:sz="0" w:space="0" w:color="auto"/>
            <w:bottom w:val="none" w:sz="0" w:space="0" w:color="auto"/>
            <w:right w:val="none" w:sz="0" w:space="0" w:color="auto"/>
          </w:divBdr>
        </w:div>
        <w:div w:id="876628045">
          <w:marLeft w:val="0"/>
          <w:marRight w:val="0"/>
          <w:marTop w:val="0"/>
          <w:marBottom w:val="0"/>
          <w:divBdr>
            <w:top w:val="none" w:sz="0" w:space="0" w:color="auto"/>
            <w:left w:val="none" w:sz="0" w:space="0" w:color="auto"/>
            <w:bottom w:val="none" w:sz="0" w:space="0" w:color="auto"/>
            <w:right w:val="none" w:sz="0" w:space="0" w:color="auto"/>
          </w:divBdr>
        </w:div>
        <w:div w:id="900672320">
          <w:marLeft w:val="0"/>
          <w:marRight w:val="0"/>
          <w:marTop w:val="0"/>
          <w:marBottom w:val="0"/>
          <w:divBdr>
            <w:top w:val="none" w:sz="0" w:space="0" w:color="auto"/>
            <w:left w:val="none" w:sz="0" w:space="0" w:color="auto"/>
            <w:bottom w:val="none" w:sz="0" w:space="0" w:color="auto"/>
            <w:right w:val="none" w:sz="0" w:space="0" w:color="auto"/>
          </w:divBdr>
        </w:div>
        <w:div w:id="903179827">
          <w:marLeft w:val="0"/>
          <w:marRight w:val="0"/>
          <w:marTop w:val="0"/>
          <w:marBottom w:val="0"/>
          <w:divBdr>
            <w:top w:val="none" w:sz="0" w:space="0" w:color="auto"/>
            <w:left w:val="none" w:sz="0" w:space="0" w:color="auto"/>
            <w:bottom w:val="none" w:sz="0" w:space="0" w:color="auto"/>
            <w:right w:val="none" w:sz="0" w:space="0" w:color="auto"/>
          </w:divBdr>
        </w:div>
        <w:div w:id="920217498">
          <w:marLeft w:val="0"/>
          <w:marRight w:val="0"/>
          <w:marTop w:val="0"/>
          <w:marBottom w:val="0"/>
          <w:divBdr>
            <w:top w:val="none" w:sz="0" w:space="0" w:color="auto"/>
            <w:left w:val="none" w:sz="0" w:space="0" w:color="auto"/>
            <w:bottom w:val="none" w:sz="0" w:space="0" w:color="auto"/>
            <w:right w:val="none" w:sz="0" w:space="0" w:color="auto"/>
          </w:divBdr>
        </w:div>
        <w:div w:id="922451392">
          <w:marLeft w:val="0"/>
          <w:marRight w:val="0"/>
          <w:marTop w:val="0"/>
          <w:marBottom w:val="0"/>
          <w:divBdr>
            <w:top w:val="none" w:sz="0" w:space="0" w:color="auto"/>
            <w:left w:val="none" w:sz="0" w:space="0" w:color="auto"/>
            <w:bottom w:val="none" w:sz="0" w:space="0" w:color="auto"/>
            <w:right w:val="none" w:sz="0" w:space="0" w:color="auto"/>
          </w:divBdr>
        </w:div>
        <w:div w:id="924071271">
          <w:marLeft w:val="0"/>
          <w:marRight w:val="0"/>
          <w:marTop w:val="0"/>
          <w:marBottom w:val="0"/>
          <w:divBdr>
            <w:top w:val="none" w:sz="0" w:space="0" w:color="auto"/>
            <w:left w:val="none" w:sz="0" w:space="0" w:color="auto"/>
            <w:bottom w:val="none" w:sz="0" w:space="0" w:color="auto"/>
            <w:right w:val="none" w:sz="0" w:space="0" w:color="auto"/>
          </w:divBdr>
        </w:div>
        <w:div w:id="941574008">
          <w:marLeft w:val="0"/>
          <w:marRight w:val="0"/>
          <w:marTop w:val="0"/>
          <w:marBottom w:val="0"/>
          <w:divBdr>
            <w:top w:val="none" w:sz="0" w:space="0" w:color="auto"/>
            <w:left w:val="none" w:sz="0" w:space="0" w:color="auto"/>
            <w:bottom w:val="none" w:sz="0" w:space="0" w:color="auto"/>
            <w:right w:val="none" w:sz="0" w:space="0" w:color="auto"/>
          </w:divBdr>
        </w:div>
        <w:div w:id="964236926">
          <w:marLeft w:val="0"/>
          <w:marRight w:val="0"/>
          <w:marTop w:val="0"/>
          <w:marBottom w:val="0"/>
          <w:divBdr>
            <w:top w:val="none" w:sz="0" w:space="0" w:color="auto"/>
            <w:left w:val="none" w:sz="0" w:space="0" w:color="auto"/>
            <w:bottom w:val="none" w:sz="0" w:space="0" w:color="auto"/>
            <w:right w:val="none" w:sz="0" w:space="0" w:color="auto"/>
          </w:divBdr>
        </w:div>
        <w:div w:id="984897458">
          <w:marLeft w:val="0"/>
          <w:marRight w:val="0"/>
          <w:marTop w:val="0"/>
          <w:marBottom w:val="0"/>
          <w:divBdr>
            <w:top w:val="none" w:sz="0" w:space="0" w:color="auto"/>
            <w:left w:val="none" w:sz="0" w:space="0" w:color="auto"/>
            <w:bottom w:val="none" w:sz="0" w:space="0" w:color="auto"/>
            <w:right w:val="none" w:sz="0" w:space="0" w:color="auto"/>
          </w:divBdr>
        </w:div>
        <w:div w:id="996106802">
          <w:marLeft w:val="0"/>
          <w:marRight w:val="0"/>
          <w:marTop w:val="0"/>
          <w:marBottom w:val="0"/>
          <w:divBdr>
            <w:top w:val="none" w:sz="0" w:space="0" w:color="auto"/>
            <w:left w:val="none" w:sz="0" w:space="0" w:color="auto"/>
            <w:bottom w:val="none" w:sz="0" w:space="0" w:color="auto"/>
            <w:right w:val="none" w:sz="0" w:space="0" w:color="auto"/>
          </w:divBdr>
        </w:div>
        <w:div w:id="998463541">
          <w:marLeft w:val="0"/>
          <w:marRight w:val="0"/>
          <w:marTop w:val="0"/>
          <w:marBottom w:val="0"/>
          <w:divBdr>
            <w:top w:val="none" w:sz="0" w:space="0" w:color="auto"/>
            <w:left w:val="none" w:sz="0" w:space="0" w:color="auto"/>
            <w:bottom w:val="none" w:sz="0" w:space="0" w:color="auto"/>
            <w:right w:val="none" w:sz="0" w:space="0" w:color="auto"/>
          </w:divBdr>
        </w:div>
        <w:div w:id="998655577">
          <w:marLeft w:val="0"/>
          <w:marRight w:val="0"/>
          <w:marTop w:val="0"/>
          <w:marBottom w:val="0"/>
          <w:divBdr>
            <w:top w:val="none" w:sz="0" w:space="0" w:color="auto"/>
            <w:left w:val="none" w:sz="0" w:space="0" w:color="auto"/>
            <w:bottom w:val="none" w:sz="0" w:space="0" w:color="auto"/>
            <w:right w:val="none" w:sz="0" w:space="0" w:color="auto"/>
          </w:divBdr>
        </w:div>
        <w:div w:id="1002899119">
          <w:marLeft w:val="0"/>
          <w:marRight w:val="0"/>
          <w:marTop w:val="0"/>
          <w:marBottom w:val="0"/>
          <w:divBdr>
            <w:top w:val="none" w:sz="0" w:space="0" w:color="auto"/>
            <w:left w:val="none" w:sz="0" w:space="0" w:color="auto"/>
            <w:bottom w:val="none" w:sz="0" w:space="0" w:color="auto"/>
            <w:right w:val="none" w:sz="0" w:space="0" w:color="auto"/>
          </w:divBdr>
        </w:div>
        <w:div w:id="1004865100">
          <w:marLeft w:val="0"/>
          <w:marRight w:val="0"/>
          <w:marTop w:val="0"/>
          <w:marBottom w:val="0"/>
          <w:divBdr>
            <w:top w:val="none" w:sz="0" w:space="0" w:color="auto"/>
            <w:left w:val="none" w:sz="0" w:space="0" w:color="auto"/>
            <w:bottom w:val="none" w:sz="0" w:space="0" w:color="auto"/>
            <w:right w:val="none" w:sz="0" w:space="0" w:color="auto"/>
          </w:divBdr>
        </w:div>
        <w:div w:id="1024331241">
          <w:marLeft w:val="0"/>
          <w:marRight w:val="0"/>
          <w:marTop w:val="0"/>
          <w:marBottom w:val="0"/>
          <w:divBdr>
            <w:top w:val="none" w:sz="0" w:space="0" w:color="auto"/>
            <w:left w:val="none" w:sz="0" w:space="0" w:color="auto"/>
            <w:bottom w:val="none" w:sz="0" w:space="0" w:color="auto"/>
            <w:right w:val="none" w:sz="0" w:space="0" w:color="auto"/>
          </w:divBdr>
        </w:div>
        <w:div w:id="1031490110">
          <w:marLeft w:val="0"/>
          <w:marRight w:val="0"/>
          <w:marTop w:val="0"/>
          <w:marBottom w:val="0"/>
          <w:divBdr>
            <w:top w:val="none" w:sz="0" w:space="0" w:color="auto"/>
            <w:left w:val="none" w:sz="0" w:space="0" w:color="auto"/>
            <w:bottom w:val="none" w:sz="0" w:space="0" w:color="auto"/>
            <w:right w:val="none" w:sz="0" w:space="0" w:color="auto"/>
          </w:divBdr>
        </w:div>
        <w:div w:id="1031763591">
          <w:marLeft w:val="0"/>
          <w:marRight w:val="0"/>
          <w:marTop w:val="0"/>
          <w:marBottom w:val="0"/>
          <w:divBdr>
            <w:top w:val="none" w:sz="0" w:space="0" w:color="auto"/>
            <w:left w:val="none" w:sz="0" w:space="0" w:color="auto"/>
            <w:bottom w:val="none" w:sz="0" w:space="0" w:color="auto"/>
            <w:right w:val="none" w:sz="0" w:space="0" w:color="auto"/>
          </w:divBdr>
        </w:div>
        <w:div w:id="1039863752">
          <w:marLeft w:val="0"/>
          <w:marRight w:val="0"/>
          <w:marTop w:val="0"/>
          <w:marBottom w:val="0"/>
          <w:divBdr>
            <w:top w:val="none" w:sz="0" w:space="0" w:color="auto"/>
            <w:left w:val="none" w:sz="0" w:space="0" w:color="auto"/>
            <w:bottom w:val="none" w:sz="0" w:space="0" w:color="auto"/>
            <w:right w:val="none" w:sz="0" w:space="0" w:color="auto"/>
          </w:divBdr>
        </w:div>
        <w:div w:id="1043333309">
          <w:marLeft w:val="0"/>
          <w:marRight w:val="0"/>
          <w:marTop w:val="0"/>
          <w:marBottom w:val="0"/>
          <w:divBdr>
            <w:top w:val="none" w:sz="0" w:space="0" w:color="auto"/>
            <w:left w:val="none" w:sz="0" w:space="0" w:color="auto"/>
            <w:bottom w:val="none" w:sz="0" w:space="0" w:color="auto"/>
            <w:right w:val="none" w:sz="0" w:space="0" w:color="auto"/>
          </w:divBdr>
        </w:div>
        <w:div w:id="1077826323">
          <w:marLeft w:val="0"/>
          <w:marRight w:val="0"/>
          <w:marTop w:val="0"/>
          <w:marBottom w:val="0"/>
          <w:divBdr>
            <w:top w:val="none" w:sz="0" w:space="0" w:color="auto"/>
            <w:left w:val="none" w:sz="0" w:space="0" w:color="auto"/>
            <w:bottom w:val="none" w:sz="0" w:space="0" w:color="auto"/>
            <w:right w:val="none" w:sz="0" w:space="0" w:color="auto"/>
          </w:divBdr>
        </w:div>
        <w:div w:id="1135562357">
          <w:marLeft w:val="0"/>
          <w:marRight w:val="0"/>
          <w:marTop w:val="0"/>
          <w:marBottom w:val="0"/>
          <w:divBdr>
            <w:top w:val="none" w:sz="0" w:space="0" w:color="auto"/>
            <w:left w:val="none" w:sz="0" w:space="0" w:color="auto"/>
            <w:bottom w:val="none" w:sz="0" w:space="0" w:color="auto"/>
            <w:right w:val="none" w:sz="0" w:space="0" w:color="auto"/>
          </w:divBdr>
        </w:div>
        <w:div w:id="1161310611">
          <w:marLeft w:val="0"/>
          <w:marRight w:val="0"/>
          <w:marTop w:val="0"/>
          <w:marBottom w:val="0"/>
          <w:divBdr>
            <w:top w:val="none" w:sz="0" w:space="0" w:color="auto"/>
            <w:left w:val="none" w:sz="0" w:space="0" w:color="auto"/>
            <w:bottom w:val="none" w:sz="0" w:space="0" w:color="auto"/>
            <w:right w:val="none" w:sz="0" w:space="0" w:color="auto"/>
          </w:divBdr>
        </w:div>
        <w:div w:id="1177815236">
          <w:marLeft w:val="0"/>
          <w:marRight w:val="0"/>
          <w:marTop w:val="0"/>
          <w:marBottom w:val="0"/>
          <w:divBdr>
            <w:top w:val="none" w:sz="0" w:space="0" w:color="auto"/>
            <w:left w:val="none" w:sz="0" w:space="0" w:color="auto"/>
            <w:bottom w:val="none" w:sz="0" w:space="0" w:color="auto"/>
            <w:right w:val="none" w:sz="0" w:space="0" w:color="auto"/>
          </w:divBdr>
        </w:div>
        <w:div w:id="1178734826">
          <w:marLeft w:val="0"/>
          <w:marRight w:val="0"/>
          <w:marTop w:val="0"/>
          <w:marBottom w:val="0"/>
          <w:divBdr>
            <w:top w:val="none" w:sz="0" w:space="0" w:color="auto"/>
            <w:left w:val="none" w:sz="0" w:space="0" w:color="auto"/>
            <w:bottom w:val="none" w:sz="0" w:space="0" w:color="auto"/>
            <w:right w:val="none" w:sz="0" w:space="0" w:color="auto"/>
          </w:divBdr>
        </w:div>
        <w:div w:id="1184631634">
          <w:marLeft w:val="0"/>
          <w:marRight w:val="0"/>
          <w:marTop w:val="0"/>
          <w:marBottom w:val="0"/>
          <w:divBdr>
            <w:top w:val="none" w:sz="0" w:space="0" w:color="auto"/>
            <w:left w:val="none" w:sz="0" w:space="0" w:color="auto"/>
            <w:bottom w:val="none" w:sz="0" w:space="0" w:color="auto"/>
            <w:right w:val="none" w:sz="0" w:space="0" w:color="auto"/>
          </w:divBdr>
        </w:div>
        <w:div w:id="1185483599">
          <w:marLeft w:val="0"/>
          <w:marRight w:val="0"/>
          <w:marTop w:val="0"/>
          <w:marBottom w:val="0"/>
          <w:divBdr>
            <w:top w:val="none" w:sz="0" w:space="0" w:color="auto"/>
            <w:left w:val="none" w:sz="0" w:space="0" w:color="auto"/>
            <w:bottom w:val="none" w:sz="0" w:space="0" w:color="auto"/>
            <w:right w:val="none" w:sz="0" w:space="0" w:color="auto"/>
          </w:divBdr>
        </w:div>
        <w:div w:id="1190802151">
          <w:marLeft w:val="0"/>
          <w:marRight w:val="0"/>
          <w:marTop w:val="0"/>
          <w:marBottom w:val="0"/>
          <w:divBdr>
            <w:top w:val="none" w:sz="0" w:space="0" w:color="auto"/>
            <w:left w:val="none" w:sz="0" w:space="0" w:color="auto"/>
            <w:bottom w:val="none" w:sz="0" w:space="0" w:color="auto"/>
            <w:right w:val="none" w:sz="0" w:space="0" w:color="auto"/>
          </w:divBdr>
        </w:div>
        <w:div w:id="1198347944">
          <w:marLeft w:val="0"/>
          <w:marRight w:val="0"/>
          <w:marTop w:val="0"/>
          <w:marBottom w:val="0"/>
          <w:divBdr>
            <w:top w:val="none" w:sz="0" w:space="0" w:color="auto"/>
            <w:left w:val="none" w:sz="0" w:space="0" w:color="auto"/>
            <w:bottom w:val="none" w:sz="0" w:space="0" w:color="auto"/>
            <w:right w:val="none" w:sz="0" w:space="0" w:color="auto"/>
          </w:divBdr>
        </w:div>
        <w:div w:id="1207449241">
          <w:marLeft w:val="0"/>
          <w:marRight w:val="0"/>
          <w:marTop w:val="0"/>
          <w:marBottom w:val="0"/>
          <w:divBdr>
            <w:top w:val="none" w:sz="0" w:space="0" w:color="auto"/>
            <w:left w:val="none" w:sz="0" w:space="0" w:color="auto"/>
            <w:bottom w:val="none" w:sz="0" w:space="0" w:color="auto"/>
            <w:right w:val="none" w:sz="0" w:space="0" w:color="auto"/>
          </w:divBdr>
        </w:div>
        <w:div w:id="1219630946">
          <w:marLeft w:val="0"/>
          <w:marRight w:val="0"/>
          <w:marTop w:val="0"/>
          <w:marBottom w:val="0"/>
          <w:divBdr>
            <w:top w:val="none" w:sz="0" w:space="0" w:color="auto"/>
            <w:left w:val="none" w:sz="0" w:space="0" w:color="auto"/>
            <w:bottom w:val="none" w:sz="0" w:space="0" w:color="auto"/>
            <w:right w:val="none" w:sz="0" w:space="0" w:color="auto"/>
          </w:divBdr>
        </w:div>
        <w:div w:id="1222592881">
          <w:marLeft w:val="0"/>
          <w:marRight w:val="0"/>
          <w:marTop w:val="0"/>
          <w:marBottom w:val="0"/>
          <w:divBdr>
            <w:top w:val="none" w:sz="0" w:space="0" w:color="auto"/>
            <w:left w:val="none" w:sz="0" w:space="0" w:color="auto"/>
            <w:bottom w:val="none" w:sz="0" w:space="0" w:color="auto"/>
            <w:right w:val="none" w:sz="0" w:space="0" w:color="auto"/>
          </w:divBdr>
        </w:div>
        <w:div w:id="1227835226">
          <w:marLeft w:val="0"/>
          <w:marRight w:val="0"/>
          <w:marTop w:val="0"/>
          <w:marBottom w:val="0"/>
          <w:divBdr>
            <w:top w:val="none" w:sz="0" w:space="0" w:color="auto"/>
            <w:left w:val="none" w:sz="0" w:space="0" w:color="auto"/>
            <w:bottom w:val="none" w:sz="0" w:space="0" w:color="auto"/>
            <w:right w:val="none" w:sz="0" w:space="0" w:color="auto"/>
          </w:divBdr>
        </w:div>
        <w:div w:id="1240748604">
          <w:marLeft w:val="0"/>
          <w:marRight w:val="0"/>
          <w:marTop w:val="0"/>
          <w:marBottom w:val="0"/>
          <w:divBdr>
            <w:top w:val="none" w:sz="0" w:space="0" w:color="auto"/>
            <w:left w:val="none" w:sz="0" w:space="0" w:color="auto"/>
            <w:bottom w:val="none" w:sz="0" w:space="0" w:color="auto"/>
            <w:right w:val="none" w:sz="0" w:space="0" w:color="auto"/>
          </w:divBdr>
        </w:div>
        <w:div w:id="1241015472">
          <w:marLeft w:val="0"/>
          <w:marRight w:val="0"/>
          <w:marTop w:val="0"/>
          <w:marBottom w:val="0"/>
          <w:divBdr>
            <w:top w:val="none" w:sz="0" w:space="0" w:color="auto"/>
            <w:left w:val="none" w:sz="0" w:space="0" w:color="auto"/>
            <w:bottom w:val="none" w:sz="0" w:space="0" w:color="auto"/>
            <w:right w:val="none" w:sz="0" w:space="0" w:color="auto"/>
          </w:divBdr>
        </w:div>
        <w:div w:id="1246067101">
          <w:marLeft w:val="0"/>
          <w:marRight w:val="0"/>
          <w:marTop w:val="0"/>
          <w:marBottom w:val="0"/>
          <w:divBdr>
            <w:top w:val="none" w:sz="0" w:space="0" w:color="auto"/>
            <w:left w:val="none" w:sz="0" w:space="0" w:color="auto"/>
            <w:bottom w:val="none" w:sz="0" w:space="0" w:color="auto"/>
            <w:right w:val="none" w:sz="0" w:space="0" w:color="auto"/>
          </w:divBdr>
        </w:div>
        <w:div w:id="1275598994">
          <w:marLeft w:val="0"/>
          <w:marRight w:val="0"/>
          <w:marTop w:val="0"/>
          <w:marBottom w:val="0"/>
          <w:divBdr>
            <w:top w:val="none" w:sz="0" w:space="0" w:color="auto"/>
            <w:left w:val="none" w:sz="0" w:space="0" w:color="auto"/>
            <w:bottom w:val="none" w:sz="0" w:space="0" w:color="auto"/>
            <w:right w:val="none" w:sz="0" w:space="0" w:color="auto"/>
          </w:divBdr>
        </w:div>
        <w:div w:id="1284115118">
          <w:marLeft w:val="0"/>
          <w:marRight w:val="0"/>
          <w:marTop w:val="0"/>
          <w:marBottom w:val="0"/>
          <w:divBdr>
            <w:top w:val="none" w:sz="0" w:space="0" w:color="auto"/>
            <w:left w:val="none" w:sz="0" w:space="0" w:color="auto"/>
            <w:bottom w:val="none" w:sz="0" w:space="0" w:color="auto"/>
            <w:right w:val="none" w:sz="0" w:space="0" w:color="auto"/>
          </w:divBdr>
        </w:div>
        <w:div w:id="1293831880">
          <w:marLeft w:val="0"/>
          <w:marRight w:val="0"/>
          <w:marTop w:val="0"/>
          <w:marBottom w:val="0"/>
          <w:divBdr>
            <w:top w:val="none" w:sz="0" w:space="0" w:color="auto"/>
            <w:left w:val="none" w:sz="0" w:space="0" w:color="auto"/>
            <w:bottom w:val="none" w:sz="0" w:space="0" w:color="auto"/>
            <w:right w:val="none" w:sz="0" w:space="0" w:color="auto"/>
          </w:divBdr>
        </w:div>
        <w:div w:id="1295721908">
          <w:marLeft w:val="0"/>
          <w:marRight w:val="0"/>
          <w:marTop w:val="0"/>
          <w:marBottom w:val="0"/>
          <w:divBdr>
            <w:top w:val="none" w:sz="0" w:space="0" w:color="auto"/>
            <w:left w:val="none" w:sz="0" w:space="0" w:color="auto"/>
            <w:bottom w:val="none" w:sz="0" w:space="0" w:color="auto"/>
            <w:right w:val="none" w:sz="0" w:space="0" w:color="auto"/>
          </w:divBdr>
        </w:div>
        <w:div w:id="1299072619">
          <w:marLeft w:val="0"/>
          <w:marRight w:val="0"/>
          <w:marTop w:val="0"/>
          <w:marBottom w:val="0"/>
          <w:divBdr>
            <w:top w:val="none" w:sz="0" w:space="0" w:color="auto"/>
            <w:left w:val="none" w:sz="0" w:space="0" w:color="auto"/>
            <w:bottom w:val="none" w:sz="0" w:space="0" w:color="auto"/>
            <w:right w:val="none" w:sz="0" w:space="0" w:color="auto"/>
          </w:divBdr>
        </w:div>
        <w:div w:id="1308973197">
          <w:marLeft w:val="0"/>
          <w:marRight w:val="0"/>
          <w:marTop w:val="0"/>
          <w:marBottom w:val="0"/>
          <w:divBdr>
            <w:top w:val="none" w:sz="0" w:space="0" w:color="auto"/>
            <w:left w:val="none" w:sz="0" w:space="0" w:color="auto"/>
            <w:bottom w:val="none" w:sz="0" w:space="0" w:color="auto"/>
            <w:right w:val="none" w:sz="0" w:space="0" w:color="auto"/>
          </w:divBdr>
        </w:div>
        <w:div w:id="1337726972">
          <w:marLeft w:val="0"/>
          <w:marRight w:val="0"/>
          <w:marTop w:val="0"/>
          <w:marBottom w:val="0"/>
          <w:divBdr>
            <w:top w:val="none" w:sz="0" w:space="0" w:color="auto"/>
            <w:left w:val="none" w:sz="0" w:space="0" w:color="auto"/>
            <w:bottom w:val="none" w:sz="0" w:space="0" w:color="auto"/>
            <w:right w:val="none" w:sz="0" w:space="0" w:color="auto"/>
          </w:divBdr>
        </w:div>
        <w:div w:id="1341663448">
          <w:marLeft w:val="0"/>
          <w:marRight w:val="0"/>
          <w:marTop w:val="0"/>
          <w:marBottom w:val="0"/>
          <w:divBdr>
            <w:top w:val="none" w:sz="0" w:space="0" w:color="auto"/>
            <w:left w:val="none" w:sz="0" w:space="0" w:color="auto"/>
            <w:bottom w:val="none" w:sz="0" w:space="0" w:color="auto"/>
            <w:right w:val="none" w:sz="0" w:space="0" w:color="auto"/>
          </w:divBdr>
        </w:div>
        <w:div w:id="1359045657">
          <w:marLeft w:val="0"/>
          <w:marRight w:val="0"/>
          <w:marTop w:val="0"/>
          <w:marBottom w:val="0"/>
          <w:divBdr>
            <w:top w:val="none" w:sz="0" w:space="0" w:color="auto"/>
            <w:left w:val="none" w:sz="0" w:space="0" w:color="auto"/>
            <w:bottom w:val="none" w:sz="0" w:space="0" w:color="auto"/>
            <w:right w:val="none" w:sz="0" w:space="0" w:color="auto"/>
          </w:divBdr>
        </w:div>
        <w:div w:id="1363937679">
          <w:marLeft w:val="0"/>
          <w:marRight w:val="0"/>
          <w:marTop w:val="0"/>
          <w:marBottom w:val="0"/>
          <w:divBdr>
            <w:top w:val="none" w:sz="0" w:space="0" w:color="auto"/>
            <w:left w:val="none" w:sz="0" w:space="0" w:color="auto"/>
            <w:bottom w:val="none" w:sz="0" w:space="0" w:color="auto"/>
            <w:right w:val="none" w:sz="0" w:space="0" w:color="auto"/>
          </w:divBdr>
        </w:div>
        <w:div w:id="1381242331">
          <w:marLeft w:val="0"/>
          <w:marRight w:val="0"/>
          <w:marTop w:val="0"/>
          <w:marBottom w:val="0"/>
          <w:divBdr>
            <w:top w:val="none" w:sz="0" w:space="0" w:color="auto"/>
            <w:left w:val="none" w:sz="0" w:space="0" w:color="auto"/>
            <w:bottom w:val="none" w:sz="0" w:space="0" w:color="auto"/>
            <w:right w:val="none" w:sz="0" w:space="0" w:color="auto"/>
          </w:divBdr>
        </w:div>
        <w:div w:id="1394308109">
          <w:marLeft w:val="0"/>
          <w:marRight w:val="0"/>
          <w:marTop w:val="0"/>
          <w:marBottom w:val="0"/>
          <w:divBdr>
            <w:top w:val="none" w:sz="0" w:space="0" w:color="auto"/>
            <w:left w:val="none" w:sz="0" w:space="0" w:color="auto"/>
            <w:bottom w:val="none" w:sz="0" w:space="0" w:color="auto"/>
            <w:right w:val="none" w:sz="0" w:space="0" w:color="auto"/>
          </w:divBdr>
        </w:div>
        <w:div w:id="1408259391">
          <w:marLeft w:val="0"/>
          <w:marRight w:val="0"/>
          <w:marTop w:val="0"/>
          <w:marBottom w:val="0"/>
          <w:divBdr>
            <w:top w:val="none" w:sz="0" w:space="0" w:color="auto"/>
            <w:left w:val="none" w:sz="0" w:space="0" w:color="auto"/>
            <w:bottom w:val="none" w:sz="0" w:space="0" w:color="auto"/>
            <w:right w:val="none" w:sz="0" w:space="0" w:color="auto"/>
          </w:divBdr>
        </w:div>
        <w:div w:id="1421558260">
          <w:marLeft w:val="0"/>
          <w:marRight w:val="0"/>
          <w:marTop w:val="0"/>
          <w:marBottom w:val="0"/>
          <w:divBdr>
            <w:top w:val="none" w:sz="0" w:space="0" w:color="auto"/>
            <w:left w:val="none" w:sz="0" w:space="0" w:color="auto"/>
            <w:bottom w:val="none" w:sz="0" w:space="0" w:color="auto"/>
            <w:right w:val="none" w:sz="0" w:space="0" w:color="auto"/>
          </w:divBdr>
        </w:div>
        <w:div w:id="1435398953">
          <w:marLeft w:val="0"/>
          <w:marRight w:val="0"/>
          <w:marTop w:val="0"/>
          <w:marBottom w:val="0"/>
          <w:divBdr>
            <w:top w:val="none" w:sz="0" w:space="0" w:color="auto"/>
            <w:left w:val="none" w:sz="0" w:space="0" w:color="auto"/>
            <w:bottom w:val="none" w:sz="0" w:space="0" w:color="auto"/>
            <w:right w:val="none" w:sz="0" w:space="0" w:color="auto"/>
          </w:divBdr>
        </w:div>
        <w:div w:id="1439137026">
          <w:marLeft w:val="0"/>
          <w:marRight w:val="0"/>
          <w:marTop w:val="0"/>
          <w:marBottom w:val="0"/>
          <w:divBdr>
            <w:top w:val="none" w:sz="0" w:space="0" w:color="auto"/>
            <w:left w:val="none" w:sz="0" w:space="0" w:color="auto"/>
            <w:bottom w:val="none" w:sz="0" w:space="0" w:color="auto"/>
            <w:right w:val="none" w:sz="0" w:space="0" w:color="auto"/>
          </w:divBdr>
        </w:div>
        <w:div w:id="1441416571">
          <w:marLeft w:val="0"/>
          <w:marRight w:val="0"/>
          <w:marTop w:val="0"/>
          <w:marBottom w:val="0"/>
          <w:divBdr>
            <w:top w:val="none" w:sz="0" w:space="0" w:color="auto"/>
            <w:left w:val="none" w:sz="0" w:space="0" w:color="auto"/>
            <w:bottom w:val="none" w:sz="0" w:space="0" w:color="auto"/>
            <w:right w:val="none" w:sz="0" w:space="0" w:color="auto"/>
          </w:divBdr>
        </w:div>
        <w:div w:id="1448428052">
          <w:marLeft w:val="0"/>
          <w:marRight w:val="0"/>
          <w:marTop w:val="0"/>
          <w:marBottom w:val="0"/>
          <w:divBdr>
            <w:top w:val="none" w:sz="0" w:space="0" w:color="auto"/>
            <w:left w:val="none" w:sz="0" w:space="0" w:color="auto"/>
            <w:bottom w:val="none" w:sz="0" w:space="0" w:color="auto"/>
            <w:right w:val="none" w:sz="0" w:space="0" w:color="auto"/>
          </w:divBdr>
        </w:div>
        <w:div w:id="1521696466">
          <w:marLeft w:val="0"/>
          <w:marRight w:val="0"/>
          <w:marTop w:val="0"/>
          <w:marBottom w:val="0"/>
          <w:divBdr>
            <w:top w:val="none" w:sz="0" w:space="0" w:color="auto"/>
            <w:left w:val="none" w:sz="0" w:space="0" w:color="auto"/>
            <w:bottom w:val="none" w:sz="0" w:space="0" w:color="auto"/>
            <w:right w:val="none" w:sz="0" w:space="0" w:color="auto"/>
          </w:divBdr>
        </w:div>
        <w:div w:id="1525947853">
          <w:marLeft w:val="0"/>
          <w:marRight w:val="0"/>
          <w:marTop w:val="0"/>
          <w:marBottom w:val="0"/>
          <w:divBdr>
            <w:top w:val="none" w:sz="0" w:space="0" w:color="auto"/>
            <w:left w:val="none" w:sz="0" w:space="0" w:color="auto"/>
            <w:bottom w:val="none" w:sz="0" w:space="0" w:color="auto"/>
            <w:right w:val="none" w:sz="0" w:space="0" w:color="auto"/>
          </w:divBdr>
        </w:div>
        <w:div w:id="1571383526">
          <w:marLeft w:val="0"/>
          <w:marRight w:val="0"/>
          <w:marTop w:val="0"/>
          <w:marBottom w:val="0"/>
          <w:divBdr>
            <w:top w:val="none" w:sz="0" w:space="0" w:color="auto"/>
            <w:left w:val="none" w:sz="0" w:space="0" w:color="auto"/>
            <w:bottom w:val="none" w:sz="0" w:space="0" w:color="auto"/>
            <w:right w:val="none" w:sz="0" w:space="0" w:color="auto"/>
          </w:divBdr>
        </w:div>
        <w:div w:id="1573848903">
          <w:marLeft w:val="0"/>
          <w:marRight w:val="0"/>
          <w:marTop w:val="0"/>
          <w:marBottom w:val="0"/>
          <w:divBdr>
            <w:top w:val="none" w:sz="0" w:space="0" w:color="auto"/>
            <w:left w:val="none" w:sz="0" w:space="0" w:color="auto"/>
            <w:bottom w:val="none" w:sz="0" w:space="0" w:color="auto"/>
            <w:right w:val="none" w:sz="0" w:space="0" w:color="auto"/>
          </w:divBdr>
        </w:div>
        <w:div w:id="1577860771">
          <w:marLeft w:val="0"/>
          <w:marRight w:val="0"/>
          <w:marTop w:val="0"/>
          <w:marBottom w:val="0"/>
          <w:divBdr>
            <w:top w:val="none" w:sz="0" w:space="0" w:color="auto"/>
            <w:left w:val="none" w:sz="0" w:space="0" w:color="auto"/>
            <w:bottom w:val="none" w:sz="0" w:space="0" w:color="auto"/>
            <w:right w:val="none" w:sz="0" w:space="0" w:color="auto"/>
          </w:divBdr>
        </w:div>
        <w:div w:id="1592662090">
          <w:marLeft w:val="0"/>
          <w:marRight w:val="0"/>
          <w:marTop w:val="0"/>
          <w:marBottom w:val="0"/>
          <w:divBdr>
            <w:top w:val="none" w:sz="0" w:space="0" w:color="auto"/>
            <w:left w:val="none" w:sz="0" w:space="0" w:color="auto"/>
            <w:bottom w:val="none" w:sz="0" w:space="0" w:color="auto"/>
            <w:right w:val="none" w:sz="0" w:space="0" w:color="auto"/>
          </w:divBdr>
        </w:div>
        <w:div w:id="1594238219">
          <w:marLeft w:val="0"/>
          <w:marRight w:val="0"/>
          <w:marTop w:val="0"/>
          <w:marBottom w:val="0"/>
          <w:divBdr>
            <w:top w:val="none" w:sz="0" w:space="0" w:color="auto"/>
            <w:left w:val="none" w:sz="0" w:space="0" w:color="auto"/>
            <w:bottom w:val="none" w:sz="0" w:space="0" w:color="auto"/>
            <w:right w:val="none" w:sz="0" w:space="0" w:color="auto"/>
          </w:divBdr>
        </w:div>
        <w:div w:id="1604606337">
          <w:marLeft w:val="0"/>
          <w:marRight w:val="0"/>
          <w:marTop w:val="0"/>
          <w:marBottom w:val="0"/>
          <w:divBdr>
            <w:top w:val="none" w:sz="0" w:space="0" w:color="auto"/>
            <w:left w:val="none" w:sz="0" w:space="0" w:color="auto"/>
            <w:bottom w:val="none" w:sz="0" w:space="0" w:color="auto"/>
            <w:right w:val="none" w:sz="0" w:space="0" w:color="auto"/>
          </w:divBdr>
        </w:div>
        <w:div w:id="1636181609">
          <w:marLeft w:val="0"/>
          <w:marRight w:val="0"/>
          <w:marTop w:val="0"/>
          <w:marBottom w:val="0"/>
          <w:divBdr>
            <w:top w:val="none" w:sz="0" w:space="0" w:color="auto"/>
            <w:left w:val="none" w:sz="0" w:space="0" w:color="auto"/>
            <w:bottom w:val="none" w:sz="0" w:space="0" w:color="auto"/>
            <w:right w:val="none" w:sz="0" w:space="0" w:color="auto"/>
          </w:divBdr>
        </w:div>
        <w:div w:id="1662737619">
          <w:marLeft w:val="0"/>
          <w:marRight w:val="0"/>
          <w:marTop w:val="0"/>
          <w:marBottom w:val="0"/>
          <w:divBdr>
            <w:top w:val="none" w:sz="0" w:space="0" w:color="auto"/>
            <w:left w:val="none" w:sz="0" w:space="0" w:color="auto"/>
            <w:bottom w:val="none" w:sz="0" w:space="0" w:color="auto"/>
            <w:right w:val="none" w:sz="0" w:space="0" w:color="auto"/>
          </w:divBdr>
        </w:div>
        <w:div w:id="1674331505">
          <w:marLeft w:val="0"/>
          <w:marRight w:val="0"/>
          <w:marTop w:val="0"/>
          <w:marBottom w:val="0"/>
          <w:divBdr>
            <w:top w:val="none" w:sz="0" w:space="0" w:color="auto"/>
            <w:left w:val="none" w:sz="0" w:space="0" w:color="auto"/>
            <w:bottom w:val="none" w:sz="0" w:space="0" w:color="auto"/>
            <w:right w:val="none" w:sz="0" w:space="0" w:color="auto"/>
          </w:divBdr>
        </w:div>
        <w:div w:id="1685591328">
          <w:marLeft w:val="0"/>
          <w:marRight w:val="0"/>
          <w:marTop w:val="0"/>
          <w:marBottom w:val="0"/>
          <w:divBdr>
            <w:top w:val="none" w:sz="0" w:space="0" w:color="auto"/>
            <w:left w:val="none" w:sz="0" w:space="0" w:color="auto"/>
            <w:bottom w:val="none" w:sz="0" w:space="0" w:color="auto"/>
            <w:right w:val="none" w:sz="0" w:space="0" w:color="auto"/>
          </w:divBdr>
        </w:div>
        <w:div w:id="1693024142">
          <w:marLeft w:val="0"/>
          <w:marRight w:val="0"/>
          <w:marTop w:val="0"/>
          <w:marBottom w:val="0"/>
          <w:divBdr>
            <w:top w:val="none" w:sz="0" w:space="0" w:color="auto"/>
            <w:left w:val="none" w:sz="0" w:space="0" w:color="auto"/>
            <w:bottom w:val="none" w:sz="0" w:space="0" w:color="auto"/>
            <w:right w:val="none" w:sz="0" w:space="0" w:color="auto"/>
          </w:divBdr>
        </w:div>
        <w:div w:id="1710716030">
          <w:marLeft w:val="0"/>
          <w:marRight w:val="0"/>
          <w:marTop w:val="0"/>
          <w:marBottom w:val="0"/>
          <w:divBdr>
            <w:top w:val="none" w:sz="0" w:space="0" w:color="auto"/>
            <w:left w:val="none" w:sz="0" w:space="0" w:color="auto"/>
            <w:bottom w:val="none" w:sz="0" w:space="0" w:color="auto"/>
            <w:right w:val="none" w:sz="0" w:space="0" w:color="auto"/>
          </w:divBdr>
        </w:div>
        <w:div w:id="1711489182">
          <w:marLeft w:val="0"/>
          <w:marRight w:val="0"/>
          <w:marTop w:val="0"/>
          <w:marBottom w:val="0"/>
          <w:divBdr>
            <w:top w:val="none" w:sz="0" w:space="0" w:color="auto"/>
            <w:left w:val="none" w:sz="0" w:space="0" w:color="auto"/>
            <w:bottom w:val="none" w:sz="0" w:space="0" w:color="auto"/>
            <w:right w:val="none" w:sz="0" w:space="0" w:color="auto"/>
          </w:divBdr>
        </w:div>
        <w:div w:id="1721242938">
          <w:marLeft w:val="0"/>
          <w:marRight w:val="0"/>
          <w:marTop w:val="0"/>
          <w:marBottom w:val="0"/>
          <w:divBdr>
            <w:top w:val="none" w:sz="0" w:space="0" w:color="auto"/>
            <w:left w:val="none" w:sz="0" w:space="0" w:color="auto"/>
            <w:bottom w:val="none" w:sz="0" w:space="0" w:color="auto"/>
            <w:right w:val="none" w:sz="0" w:space="0" w:color="auto"/>
          </w:divBdr>
        </w:div>
        <w:div w:id="1764761388">
          <w:marLeft w:val="0"/>
          <w:marRight w:val="0"/>
          <w:marTop w:val="0"/>
          <w:marBottom w:val="0"/>
          <w:divBdr>
            <w:top w:val="none" w:sz="0" w:space="0" w:color="auto"/>
            <w:left w:val="none" w:sz="0" w:space="0" w:color="auto"/>
            <w:bottom w:val="none" w:sz="0" w:space="0" w:color="auto"/>
            <w:right w:val="none" w:sz="0" w:space="0" w:color="auto"/>
          </w:divBdr>
        </w:div>
        <w:div w:id="1784038286">
          <w:marLeft w:val="0"/>
          <w:marRight w:val="0"/>
          <w:marTop w:val="0"/>
          <w:marBottom w:val="0"/>
          <w:divBdr>
            <w:top w:val="none" w:sz="0" w:space="0" w:color="auto"/>
            <w:left w:val="none" w:sz="0" w:space="0" w:color="auto"/>
            <w:bottom w:val="none" w:sz="0" w:space="0" w:color="auto"/>
            <w:right w:val="none" w:sz="0" w:space="0" w:color="auto"/>
          </w:divBdr>
        </w:div>
        <w:div w:id="1784614682">
          <w:marLeft w:val="0"/>
          <w:marRight w:val="0"/>
          <w:marTop w:val="0"/>
          <w:marBottom w:val="0"/>
          <w:divBdr>
            <w:top w:val="none" w:sz="0" w:space="0" w:color="auto"/>
            <w:left w:val="none" w:sz="0" w:space="0" w:color="auto"/>
            <w:bottom w:val="none" w:sz="0" w:space="0" w:color="auto"/>
            <w:right w:val="none" w:sz="0" w:space="0" w:color="auto"/>
          </w:divBdr>
        </w:div>
        <w:div w:id="1786970207">
          <w:marLeft w:val="0"/>
          <w:marRight w:val="0"/>
          <w:marTop w:val="0"/>
          <w:marBottom w:val="0"/>
          <w:divBdr>
            <w:top w:val="none" w:sz="0" w:space="0" w:color="auto"/>
            <w:left w:val="none" w:sz="0" w:space="0" w:color="auto"/>
            <w:bottom w:val="none" w:sz="0" w:space="0" w:color="auto"/>
            <w:right w:val="none" w:sz="0" w:space="0" w:color="auto"/>
          </w:divBdr>
        </w:div>
        <w:div w:id="1819413818">
          <w:marLeft w:val="0"/>
          <w:marRight w:val="0"/>
          <w:marTop w:val="0"/>
          <w:marBottom w:val="0"/>
          <w:divBdr>
            <w:top w:val="none" w:sz="0" w:space="0" w:color="auto"/>
            <w:left w:val="none" w:sz="0" w:space="0" w:color="auto"/>
            <w:bottom w:val="none" w:sz="0" w:space="0" w:color="auto"/>
            <w:right w:val="none" w:sz="0" w:space="0" w:color="auto"/>
          </w:divBdr>
        </w:div>
        <w:div w:id="1857772778">
          <w:marLeft w:val="0"/>
          <w:marRight w:val="0"/>
          <w:marTop w:val="0"/>
          <w:marBottom w:val="0"/>
          <w:divBdr>
            <w:top w:val="none" w:sz="0" w:space="0" w:color="auto"/>
            <w:left w:val="none" w:sz="0" w:space="0" w:color="auto"/>
            <w:bottom w:val="none" w:sz="0" w:space="0" w:color="auto"/>
            <w:right w:val="none" w:sz="0" w:space="0" w:color="auto"/>
          </w:divBdr>
        </w:div>
        <w:div w:id="1878854403">
          <w:marLeft w:val="0"/>
          <w:marRight w:val="0"/>
          <w:marTop w:val="0"/>
          <w:marBottom w:val="0"/>
          <w:divBdr>
            <w:top w:val="none" w:sz="0" w:space="0" w:color="auto"/>
            <w:left w:val="none" w:sz="0" w:space="0" w:color="auto"/>
            <w:bottom w:val="none" w:sz="0" w:space="0" w:color="auto"/>
            <w:right w:val="none" w:sz="0" w:space="0" w:color="auto"/>
          </w:divBdr>
        </w:div>
        <w:div w:id="1893273939">
          <w:marLeft w:val="0"/>
          <w:marRight w:val="0"/>
          <w:marTop w:val="0"/>
          <w:marBottom w:val="0"/>
          <w:divBdr>
            <w:top w:val="none" w:sz="0" w:space="0" w:color="auto"/>
            <w:left w:val="none" w:sz="0" w:space="0" w:color="auto"/>
            <w:bottom w:val="none" w:sz="0" w:space="0" w:color="auto"/>
            <w:right w:val="none" w:sz="0" w:space="0" w:color="auto"/>
          </w:divBdr>
        </w:div>
        <w:div w:id="1894996979">
          <w:marLeft w:val="0"/>
          <w:marRight w:val="0"/>
          <w:marTop w:val="0"/>
          <w:marBottom w:val="0"/>
          <w:divBdr>
            <w:top w:val="none" w:sz="0" w:space="0" w:color="auto"/>
            <w:left w:val="none" w:sz="0" w:space="0" w:color="auto"/>
            <w:bottom w:val="none" w:sz="0" w:space="0" w:color="auto"/>
            <w:right w:val="none" w:sz="0" w:space="0" w:color="auto"/>
          </w:divBdr>
        </w:div>
        <w:div w:id="1920751654">
          <w:marLeft w:val="0"/>
          <w:marRight w:val="0"/>
          <w:marTop w:val="0"/>
          <w:marBottom w:val="0"/>
          <w:divBdr>
            <w:top w:val="none" w:sz="0" w:space="0" w:color="auto"/>
            <w:left w:val="none" w:sz="0" w:space="0" w:color="auto"/>
            <w:bottom w:val="none" w:sz="0" w:space="0" w:color="auto"/>
            <w:right w:val="none" w:sz="0" w:space="0" w:color="auto"/>
          </w:divBdr>
        </w:div>
        <w:div w:id="1921865561">
          <w:marLeft w:val="0"/>
          <w:marRight w:val="0"/>
          <w:marTop w:val="0"/>
          <w:marBottom w:val="0"/>
          <w:divBdr>
            <w:top w:val="none" w:sz="0" w:space="0" w:color="auto"/>
            <w:left w:val="none" w:sz="0" w:space="0" w:color="auto"/>
            <w:bottom w:val="none" w:sz="0" w:space="0" w:color="auto"/>
            <w:right w:val="none" w:sz="0" w:space="0" w:color="auto"/>
          </w:divBdr>
        </w:div>
        <w:div w:id="1924412664">
          <w:marLeft w:val="0"/>
          <w:marRight w:val="0"/>
          <w:marTop w:val="0"/>
          <w:marBottom w:val="0"/>
          <w:divBdr>
            <w:top w:val="none" w:sz="0" w:space="0" w:color="auto"/>
            <w:left w:val="none" w:sz="0" w:space="0" w:color="auto"/>
            <w:bottom w:val="none" w:sz="0" w:space="0" w:color="auto"/>
            <w:right w:val="none" w:sz="0" w:space="0" w:color="auto"/>
          </w:divBdr>
        </w:div>
        <w:div w:id="1948464142">
          <w:marLeft w:val="0"/>
          <w:marRight w:val="0"/>
          <w:marTop w:val="0"/>
          <w:marBottom w:val="0"/>
          <w:divBdr>
            <w:top w:val="none" w:sz="0" w:space="0" w:color="auto"/>
            <w:left w:val="none" w:sz="0" w:space="0" w:color="auto"/>
            <w:bottom w:val="none" w:sz="0" w:space="0" w:color="auto"/>
            <w:right w:val="none" w:sz="0" w:space="0" w:color="auto"/>
          </w:divBdr>
        </w:div>
        <w:div w:id="1969581866">
          <w:marLeft w:val="0"/>
          <w:marRight w:val="0"/>
          <w:marTop w:val="0"/>
          <w:marBottom w:val="0"/>
          <w:divBdr>
            <w:top w:val="none" w:sz="0" w:space="0" w:color="auto"/>
            <w:left w:val="none" w:sz="0" w:space="0" w:color="auto"/>
            <w:bottom w:val="none" w:sz="0" w:space="0" w:color="auto"/>
            <w:right w:val="none" w:sz="0" w:space="0" w:color="auto"/>
          </w:divBdr>
        </w:div>
        <w:div w:id="1979607454">
          <w:marLeft w:val="0"/>
          <w:marRight w:val="0"/>
          <w:marTop w:val="0"/>
          <w:marBottom w:val="0"/>
          <w:divBdr>
            <w:top w:val="none" w:sz="0" w:space="0" w:color="auto"/>
            <w:left w:val="none" w:sz="0" w:space="0" w:color="auto"/>
            <w:bottom w:val="none" w:sz="0" w:space="0" w:color="auto"/>
            <w:right w:val="none" w:sz="0" w:space="0" w:color="auto"/>
          </w:divBdr>
        </w:div>
        <w:div w:id="1990089998">
          <w:marLeft w:val="0"/>
          <w:marRight w:val="0"/>
          <w:marTop w:val="0"/>
          <w:marBottom w:val="0"/>
          <w:divBdr>
            <w:top w:val="none" w:sz="0" w:space="0" w:color="auto"/>
            <w:left w:val="none" w:sz="0" w:space="0" w:color="auto"/>
            <w:bottom w:val="none" w:sz="0" w:space="0" w:color="auto"/>
            <w:right w:val="none" w:sz="0" w:space="0" w:color="auto"/>
          </w:divBdr>
        </w:div>
        <w:div w:id="1994329736">
          <w:marLeft w:val="0"/>
          <w:marRight w:val="0"/>
          <w:marTop w:val="0"/>
          <w:marBottom w:val="0"/>
          <w:divBdr>
            <w:top w:val="none" w:sz="0" w:space="0" w:color="auto"/>
            <w:left w:val="none" w:sz="0" w:space="0" w:color="auto"/>
            <w:bottom w:val="none" w:sz="0" w:space="0" w:color="auto"/>
            <w:right w:val="none" w:sz="0" w:space="0" w:color="auto"/>
          </w:divBdr>
        </w:div>
        <w:div w:id="1996642580">
          <w:marLeft w:val="0"/>
          <w:marRight w:val="0"/>
          <w:marTop w:val="0"/>
          <w:marBottom w:val="0"/>
          <w:divBdr>
            <w:top w:val="none" w:sz="0" w:space="0" w:color="auto"/>
            <w:left w:val="none" w:sz="0" w:space="0" w:color="auto"/>
            <w:bottom w:val="none" w:sz="0" w:space="0" w:color="auto"/>
            <w:right w:val="none" w:sz="0" w:space="0" w:color="auto"/>
          </w:divBdr>
        </w:div>
        <w:div w:id="1998533799">
          <w:marLeft w:val="0"/>
          <w:marRight w:val="0"/>
          <w:marTop w:val="0"/>
          <w:marBottom w:val="0"/>
          <w:divBdr>
            <w:top w:val="none" w:sz="0" w:space="0" w:color="auto"/>
            <w:left w:val="none" w:sz="0" w:space="0" w:color="auto"/>
            <w:bottom w:val="none" w:sz="0" w:space="0" w:color="auto"/>
            <w:right w:val="none" w:sz="0" w:space="0" w:color="auto"/>
          </w:divBdr>
        </w:div>
      </w:divsChild>
    </w:div>
    <w:div w:id="1280837203">
      <w:bodyDiv w:val="1"/>
      <w:marLeft w:val="0"/>
      <w:marRight w:val="0"/>
      <w:marTop w:val="0"/>
      <w:marBottom w:val="0"/>
      <w:divBdr>
        <w:top w:val="none" w:sz="0" w:space="0" w:color="auto"/>
        <w:left w:val="none" w:sz="0" w:space="0" w:color="auto"/>
        <w:bottom w:val="none" w:sz="0" w:space="0" w:color="auto"/>
        <w:right w:val="none" w:sz="0" w:space="0" w:color="auto"/>
      </w:divBdr>
    </w:div>
    <w:div w:id="1280837744">
      <w:bodyDiv w:val="1"/>
      <w:marLeft w:val="0"/>
      <w:marRight w:val="0"/>
      <w:marTop w:val="0"/>
      <w:marBottom w:val="0"/>
      <w:divBdr>
        <w:top w:val="none" w:sz="0" w:space="0" w:color="auto"/>
        <w:left w:val="none" w:sz="0" w:space="0" w:color="auto"/>
        <w:bottom w:val="none" w:sz="0" w:space="0" w:color="auto"/>
        <w:right w:val="none" w:sz="0" w:space="0" w:color="auto"/>
      </w:divBdr>
    </w:div>
    <w:div w:id="1280842653">
      <w:bodyDiv w:val="1"/>
      <w:marLeft w:val="0"/>
      <w:marRight w:val="0"/>
      <w:marTop w:val="0"/>
      <w:marBottom w:val="0"/>
      <w:divBdr>
        <w:top w:val="none" w:sz="0" w:space="0" w:color="auto"/>
        <w:left w:val="none" w:sz="0" w:space="0" w:color="auto"/>
        <w:bottom w:val="none" w:sz="0" w:space="0" w:color="auto"/>
        <w:right w:val="none" w:sz="0" w:space="0" w:color="auto"/>
      </w:divBdr>
    </w:div>
    <w:div w:id="1280868106">
      <w:bodyDiv w:val="1"/>
      <w:marLeft w:val="0"/>
      <w:marRight w:val="0"/>
      <w:marTop w:val="0"/>
      <w:marBottom w:val="0"/>
      <w:divBdr>
        <w:top w:val="none" w:sz="0" w:space="0" w:color="auto"/>
        <w:left w:val="none" w:sz="0" w:space="0" w:color="auto"/>
        <w:bottom w:val="none" w:sz="0" w:space="0" w:color="auto"/>
        <w:right w:val="none" w:sz="0" w:space="0" w:color="auto"/>
      </w:divBdr>
    </w:div>
    <w:div w:id="1280988839">
      <w:bodyDiv w:val="1"/>
      <w:marLeft w:val="0"/>
      <w:marRight w:val="0"/>
      <w:marTop w:val="0"/>
      <w:marBottom w:val="0"/>
      <w:divBdr>
        <w:top w:val="none" w:sz="0" w:space="0" w:color="auto"/>
        <w:left w:val="none" w:sz="0" w:space="0" w:color="auto"/>
        <w:bottom w:val="none" w:sz="0" w:space="0" w:color="auto"/>
        <w:right w:val="none" w:sz="0" w:space="0" w:color="auto"/>
      </w:divBdr>
    </w:div>
    <w:div w:id="1280991092">
      <w:bodyDiv w:val="1"/>
      <w:marLeft w:val="0"/>
      <w:marRight w:val="0"/>
      <w:marTop w:val="0"/>
      <w:marBottom w:val="0"/>
      <w:divBdr>
        <w:top w:val="none" w:sz="0" w:space="0" w:color="auto"/>
        <w:left w:val="none" w:sz="0" w:space="0" w:color="auto"/>
        <w:bottom w:val="none" w:sz="0" w:space="0" w:color="auto"/>
        <w:right w:val="none" w:sz="0" w:space="0" w:color="auto"/>
      </w:divBdr>
    </w:div>
    <w:div w:id="1281036727">
      <w:bodyDiv w:val="1"/>
      <w:marLeft w:val="0"/>
      <w:marRight w:val="0"/>
      <w:marTop w:val="0"/>
      <w:marBottom w:val="0"/>
      <w:divBdr>
        <w:top w:val="none" w:sz="0" w:space="0" w:color="auto"/>
        <w:left w:val="none" w:sz="0" w:space="0" w:color="auto"/>
        <w:bottom w:val="none" w:sz="0" w:space="0" w:color="auto"/>
        <w:right w:val="none" w:sz="0" w:space="0" w:color="auto"/>
      </w:divBdr>
    </w:div>
    <w:div w:id="1281104939">
      <w:bodyDiv w:val="1"/>
      <w:marLeft w:val="0"/>
      <w:marRight w:val="0"/>
      <w:marTop w:val="0"/>
      <w:marBottom w:val="0"/>
      <w:divBdr>
        <w:top w:val="none" w:sz="0" w:space="0" w:color="auto"/>
        <w:left w:val="none" w:sz="0" w:space="0" w:color="auto"/>
        <w:bottom w:val="none" w:sz="0" w:space="0" w:color="auto"/>
        <w:right w:val="none" w:sz="0" w:space="0" w:color="auto"/>
      </w:divBdr>
    </w:div>
    <w:div w:id="1281111136">
      <w:bodyDiv w:val="1"/>
      <w:marLeft w:val="0"/>
      <w:marRight w:val="0"/>
      <w:marTop w:val="0"/>
      <w:marBottom w:val="0"/>
      <w:divBdr>
        <w:top w:val="none" w:sz="0" w:space="0" w:color="auto"/>
        <w:left w:val="none" w:sz="0" w:space="0" w:color="auto"/>
        <w:bottom w:val="none" w:sz="0" w:space="0" w:color="auto"/>
        <w:right w:val="none" w:sz="0" w:space="0" w:color="auto"/>
      </w:divBdr>
    </w:div>
    <w:div w:id="1281179387">
      <w:bodyDiv w:val="1"/>
      <w:marLeft w:val="0"/>
      <w:marRight w:val="0"/>
      <w:marTop w:val="0"/>
      <w:marBottom w:val="0"/>
      <w:divBdr>
        <w:top w:val="none" w:sz="0" w:space="0" w:color="auto"/>
        <w:left w:val="none" w:sz="0" w:space="0" w:color="auto"/>
        <w:bottom w:val="none" w:sz="0" w:space="0" w:color="auto"/>
        <w:right w:val="none" w:sz="0" w:space="0" w:color="auto"/>
      </w:divBdr>
    </w:div>
    <w:div w:id="1281182289">
      <w:bodyDiv w:val="1"/>
      <w:marLeft w:val="0"/>
      <w:marRight w:val="0"/>
      <w:marTop w:val="0"/>
      <w:marBottom w:val="0"/>
      <w:divBdr>
        <w:top w:val="none" w:sz="0" w:space="0" w:color="auto"/>
        <w:left w:val="none" w:sz="0" w:space="0" w:color="auto"/>
        <w:bottom w:val="none" w:sz="0" w:space="0" w:color="auto"/>
        <w:right w:val="none" w:sz="0" w:space="0" w:color="auto"/>
      </w:divBdr>
    </w:div>
    <w:div w:id="1281184079">
      <w:bodyDiv w:val="1"/>
      <w:marLeft w:val="0"/>
      <w:marRight w:val="0"/>
      <w:marTop w:val="0"/>
      <w:marBottom w:val="0"/>
      <w:divBdr>
        <w:top w:val="none" w:sz="0" w:space="0" w:color="auto"/>
        <w:left w:val="none" w:sz="0" w:space="0" w:color="auto"/>
        <w:bottom w:val="none" w:sz="0" w:space="0" w:color="auto"/>
        <w:right w:val="none" w:sz="0" w:space="0" w:color="auto"/>
      </w:divBdr>
    </w:div>
    <w:div w:id="1281186975">
      <w:bodyDiv w:val="1"/>
      <w:marLeft w:val="0"/>
      <w:marRight w:val="0"/>
      <w:marTop w:val="0"/>
      <w:marBottom w:val="0"/>
      <w:divBdr>
        <w:top w:val="none" w:sz="0" w:space="0" w:color="auto"/>
        <w:left w:val="none" w:sz="0" w:space="0" w:color="auto"/>
        <w:bottom w:val="none" w:sz="0" w:space="0" w:color="auto"/>
        <w:right w:val="none" w:sz="0" w:space="0" w:color="auto"/>
      </w:divBdr>
    </w:div>
    <w:div w:id="1281187325">
      <w:bodyDiv w:val="1"/>
      <w:marLeft w:val="0"/>
      <w:marRight w:val="0"/>
      <w:marTop w:val="0"/>
      <w:marBottom w:val="0"/>
      <w:divBdr>
        <w:top w:val="none" w:sz="0" w:space="0" w:color="auto"/>
        <w:left w:val="none" w:sz="0" w:space="0" w:color="auto"/>
        <w:bottom w:val="none" w:sz="0" w:space="0" w:color="auto"/>
        <w:right w:val="none" w:sz="0" w:space="0" w:color="auto"/>
      </w:divBdr>
    </w:div>
    <w:div w:id="1281229960">
      <w:bodyDiv w:val="1"/>
      <w:marLeft w:val="0"/>
      <w:marRight w:val="0"/>
      <w:marTop w:val="0"/>
      <w:marBottom w:val="0"/>
      <w:divBdr>
        <w:top w:val="none" w:sz="0" w:space="0" w:color="auto"/>
        <w:left w:val="none" w:sz="0" w:space="0" w:color="auto"/>
        <w:bottom w:val="none" w:sz="0" w:space="0" w:color="auto"/>
        <w:right w:val="none" w:sz="0" w:space="0" w:color="auto"/>
      </w:divBdr>
    </w:div>
    <w:div w:id="1281254657">
      <w:bodyDiv w:val="1"/>
      <w:marLeft w:val="0"/>
      <w:marRight w:val="0"/>
      <w:marTop w:val="0"/>
      <w:marBottom w:val="0"/>
      <w:divBdr>
        <w:top w:val="none" w:sz="0" w:space="0" w:color="auto"/>
        <w:left w:val="none" w:sz="0" w:space="0" w:color="auto"/>
        <w:bottom w:val="none" w:sz="0" w:space="0" w:color="auto"/>
        <w:right w:val="none" w:sz="0" w:space="0" w:color="auto"/>
      </w:divBdr>
    </w:div>
    <w:div w:id="1281258762">
      <w:bodyDiv w:val="1"/>
      <w:marLeft w:val="0"/>
      <w:marRight w:val="0"/>
      <w:marTop w:val="0"/>
      <w:marBottom w:val="0"/>
      <w:divBdr>
        <w:top w:val="none" w:sz="0" w:space="0" w:color="auto"/>
        <w:left w:val="none" w:sz="0" w:space="0" w:color="auto"/>
        <w:bottom w:val="none" w:sz="0" w:space="0" w:color="auto"/>
        <w:right w:val="none" w:sz="0" w:space="0" w:color="auto"/>
      </w:divBdr>
    </w:div>
    <w:div w:id="1281379523">
      <w:bodyDiv w:val="1"/>
      <w:marLeft w:val="0"/>
      <w:marRight w:val="0"/>
      <w:marTop w:val="0"/>
      <w:marBottom w:val="0"/>
      <w:divBdr>
        <w:top w:val="none" w:sz="0" w:space="0" w:color="auto"/>
        <w:left w:val="none" w:sz="0" w:space="0" w:color="auto"/>
        <w:bottom w:val="none" w:sz="0" w:space="0" w:color="auto"/>
        <w:right w:val="none" w:sz="0" w:space="0" w:color="auto"/>
      </w:divBdr>
    </w:div>
    <w:div w:id="1281641650">
      <w:bodyDiv w:val="1"/>
      <w:marLeft w:val="0"/>
      <w:marRight w:val="0"/>
      <w:marTop w:val="0"/>
      <w:marBottom w:val="0"/>
      <w:divBdr>
        <w:top w:val="none" w:sz="0" w:space="0" w:color="auto"/>
        <w:left w:val="none" w:sz="0" w:space="0" w:color="auto"/>
        <w:bottom w:val="none" w:sz="0" w:space="0" w:color="auto"/>
        <w:right w:val="none" w:sz="0" w:space="0" w:color="auto"/>
      </w:divBdr>
    </w:div>
    <w:div w:id="1281645514">
      <w:bodyDiv w:val="1"/>
      <w:marLeft w:val="0"/>
      <w:marRight w:val="0"/>
      <w:marTop w:val="0"/>
      <w:marBottom w:val="0"/>
      <w:divBdr>
        <w:top w:val="none" w:sz="0" w:space="0" w:color="auto"/>
        <w:left w:val="none" w:sz="0" w:space="0" w:color="auto"/>
        <w:bottom w:val="none" w:sz="0" w:space="0" w:color="auto"/>
        <w:right w:val="none" w:sz="0" w:space="0" w:color="auto"/>
      </w:divBdr>
    </w:div>
    <w:div w:id="1281763838">
      <w:bodyDiv w:val="1"/>
      <w:marLeft w:val="0"/>
      <w:marRight w:val="0"/>
      <w:marTop w:val="0"/>
      <w:marBottom w:val="0"/>
      <w:divBdr>
        <w:top w:val="none" w:sz="0" w:space="0" w:color="auto"/>
        <w:left w:val="none" w:sz="0" w:space="0" w:color="auto"/>
        <w:bottom w:val="none" w:sz="0" w:space="0" w:color="auto"/>
        <w:right w:val="none" w:sz="0" w:space="0" w:color="auto"/>
      </w:divBdr>
    </w:div>
    <w:div w:id="1281768160">
      <w:bodyDiv w:val="1"/>
      <w:marLeft w:val="0"/>
      <w:marRight w:val="0"/>
      <w:marTop w:val="0"/>
      <w:marBottom w:val="0"/>
      <w:divBdr>
        <w:top w:val="none" w:sz="0" w:space="0" w:color="auto"/>
        <w:left w:val="none" w:sz="0" w:space="0" w:color="auto"/>
        <w:bottom w:val="none" w:sz="0" w:space="0" w:color="auto"/>
        <w:right w:val="none" w:sz="0" w:space="0" w:color="auto"/>
      </w:divBdr>
    </w:div>
    <w:div w:id="1281835047">
      <w:bodyDiv w:val="1"/>
      <w:marLeft w:val="0"/>
      <w:marRight w:val="0"/>
      <w:marTop w:val="0"/>
      <w:marBottom w:val="0"/>
      <w:divBdr>
        <w:top w:val="none" w:sz="0" w:space="0" w:color="auto"/>
        <w:left w:val="none" w:sz="0" w:space="0" w:color="auto"/>
        <w:bottom w:val="none" w:sz="0" w:space="0" w:color="auto"/>
        <w:right w:val="none" w:sz="0" w:space="0" w:color="auto"/>
      </w:divBdr>
    </w:div>
    <w:div w:id="1281913249">
      <w:bodyDiv w:val="1"/>
      <w:marLeft w:val="0"/>
      <w:marRight w:val="0"/>
      <w:marTop w:val="0"/>
      <w:marBottom w:val="0"/>
      <w:divBdr>
        <w:top w:val="none" w:sz="0" w:space="0" w:color="auto"/>
        <w:left w:val="none" w:sz="0" w:space="0" w:color="auto"/>
        <w:bottom w:val="none" w:sz="0" w:space="0" w:color="auto"/>
        <w:right w:val="none" w:sz="0" w:space="0" w:color="auto"/>
      </w:divBdr>
    </w:div>
    <w:div w:id="1281958738">
      <w:bodyDiv w:val="1"/>
      <w:marLeft w:val="0"/>
      <w:marRight w:val="0"/>
      <w:marTop w:val="0"/>
      <w:marBottom w:val="0"/>
      <w:divBdr>
        <w:top w:val="none" w:sz="0" w:space="0" w:color="auto"/>
        <w:left w:val="none" w:sz="0" w:space="0" w:color="auto"/>
        <w:bottom w:val="none" w:sz="0" w:space="0" w:color="auto"/>
        <w:right w:val="none" w:sz="0" w:space="0" w:color="auto"/>
      </w:divBdr>
    </w:div>
    <w:div w:id="1282029288">
      <w:bodyDiv w:val="1"/>
      <w:marLeft w:val="0"/>
      <w:marRight w:val="0"/>
      <w:marTop w:val="0"/>
      <w:marBottom w:val="0"/>
      <w:divBdr>
        <w:top w:val="none" w:sz="0" w:space="0" w:color="auto"/>
        <w:left w:val="none" w:sz="0" w:space="0" w:color="auto"/>
        <w:bottom w:val="none" w:sz="0" w:space="0" w:color="auto"/>
        <w:right w:val="none" w:sz="0" w:space="0" w:color="auto"/>
      </w:divBdr>
    </w:div>
    <w:div w:id="1282229576">
      <w:bodyDiv w:val="1"/>
      <w:marLeft w:val="0"/>
      <w:marRight w:val="0"/>
      <w:marTop w:val="0"/>
      <w:marBottom w:val="0"/>
      <w:divBdr>
        <w:top w:val="none" w:sz="0" w:space="0" w:color="auto"/>
        <w:left w:val="none" w:sz="0" w:space="0" w:color="auto"/>
        <w:bottom w:val="none" w:sz="0" w:space="0" w:color="auto"/>
        <w:right w:val="none" w:sz="0" w:space="0" w:color="auto"/>
      </w:divBdr>
    </w:div>
    <w:div w:id="1282298234">
      <w:bodyDiv w:val="1"/>
      <w:marLeft w:val="0"/>
      <w:marRight w:val="0"/>
      <w:marTop w:val="0"/>
      <w:marBottom w:val="0"/>
      <w:divBdr>
        <w:top w:val="none" w:sz="0" w:space="0" w:color="auto"/>
        <w:left w:val="none" w:sz="0" w:space="0" w:color="auto"/>
        <w:bottom w:val="none" w:sz="0" w:space="0" w:color="auto"/>
        <w:right w:val="none" w:sz="0" w:space="0" w:color="auto"/>
      </w:divBdr>
    </w:div>
    <w:div w:id="1282305495">
      <w:bodyDiv w:val="1"/>
      <w:marLeft w:val="0"/>
      <w:marRight w:val="0"/>
      <w:marTop w:val="0"/>
      <w:marBottom w:val="0"/>
      <w:divBdr>
        <w:top w:val="none" w:sz="0" w:space="0" w:color="auto"/>
        <w:left w:val="none" w:sz="0" w:space="0" w:color="auto"/>
        <w:bottom w:val="none" w:sz="0" w:space="0" w:color="auto"/>
        <w:right w:val="none" w:sz="0" w:space="0" w:color="auto"/>
      </w:divBdr>
    </w:div>
    <w:div w:id="1282343818">
      <w:bodyDiv w:val="1"/>
      <w:marLeft w:val="0"/>
      <w:marRight w:val="0"/>
      <w:marTop w:val="0"/>
      <w:marBottom w:val="0"/>
      <w:divBdr>
        <w:top w:val="none" w:sz="0" w:space="0" w:color="auto"/>
        <w:left w:val="none" w:sz="0" w:space="0" w:color="auto"/>
        <w:bottom w:val="none" w:sz="0" w:space="0" w:color="auto"/>
        <w:right w:val="none" w:sz="0" w:space="0" w:color="auto"/>
      </w:divBdr>
    </w:div>
    <w:div w:id="1282347820">
      <w:bodyDiv w:val="1"/>
      <w:marLeft w:val="0"/>
      <w:marRight w:val="0"/>
      <w:marTop w:val="0"/>
      <w:marBottom w:val="0"/>
      <w:divBdr>
        <w:top w:val="none" w:sz="0" w:space="0" w:color="auto"/>
        <w:left w:val="none" w:sz="0" w:space="0" w:color="auto"/>
        <w:bottom w:val="none" w:sz="0" w:space="0" w:color="auto"/>
        <w:right w:val="none" w:sz="0" w:space="0" w:color="auto"/>
      </w:divBdr>
    </w:div>
    <w:div w:id="1282496464">
      <w:bodyDiv w:val="1"/>
      <w:marLeft w:val="0"/>
      <w:marRight w:val="0"/>
      <w:marTop w:val="0"/>
      <w:marBottom w:val="0"/>
      <w:divBdr>
        <w:top w:val="none" w:sz="0" w:space="0" w:color="auto"/>
        <w:left w:val="none" w:sz="0" w:space="0" w:color="auto"/>
        <w:bottom w:val="none" w:sz="0" w:space="0" w:color="auto"/>
        <w:right w:val="none" w:sz="0" w:space="0" w:color="auto"/>
      </w:divBdr>
    </w:div>
    <w:div w:id="1282540024">
      <w:bodyDiv w:val="1"/>
      <w:marLeft w:val="0"/>
      <w:marRight w:val="0"/>
      <w:marTop w:val="0"/>
      <w:marBottom w:val="0"/>
      <w:divBdr>
        <w:top w:val="none" w:sz="0" w:space="0" w:color="auto"/>
        <w:left w:val="none" w:sz="0" w:space="0" w:color="auto"/>
        <w:bottom w:val="none" w:sz="0" w:space="0" w:color="auto"/>
        <w:right w:val="none" w:sz="0" w:space="0" w:color="auto"/>
      </w:divBdr>
    </w:div>
    <w:div w:id="1282570831">
      <w:bodyDiv w:val="1"/>
      <w:marLeft w:val="0"/>
      <w:marRight w:val="0"/>
      <w:marTop w:val="0"/>
      <w:marBottom w:val="0"/>
      <w:divBdr>
        <w:top w:val="none" w:sz="0" w:space="0" w:color="auto"/>
        <w:left w:val="none" w:sz="0" w:space="0" w:color="auto"/>
        <w:bottom w:val="none" w:sz="0" w:space="0" w:color="auto"/>
        <w:right w:val="none" w:sz="0" w:space="0" w:color="auto"/>
      </w:divBdr>
    </w:div>
    <w:div w:id="1282766029">
      <w:bodyDiv w:val="1"/>
      <w:marLeft w:val="0"/>
      <w:marRight w:val="0"/>
      <w:marTop w:val="0"/>
      <w:marBottom w:val="0"/>
      <w:divBdr>
        <w:top w:val="none" w:sz="0" w:space="0" w:color="auto"/>
        <w:left w:val="none" w:sz="0" w:space="0" w:color="auto"/>
        <w:bottom w:val="none" w:sz="0" w:space="0" w:color="auto"/>
        <w:right w:val="none" w:sz="0" w:space="0" w:color="auto"/>
      </w:divBdr>
    </w:div>
    <w:div w:id="1282802039">
      <w:bodyDiv w:val="1"/>
      <w:marLeft w:val="0"/>
      <w:marRight w:val="0"/>
      <w:marTop w:val="0"/>
      <w:marBottom w:val="0"/>
      <w:divBdr>
        <w:top w:val="none" w:sz="0" w:space="0" w:color="auto"/>
        <w:left w:val="none" w:sz="0" w:space="0" w:color="auto"/>
        <w:bottom w:val="none" w:sz="0" w:space="0" w:color="auto"/>
        <w:right w:val="none" w:sz="0" w:space="0" w:color="auto"/>
      </w:divBdr>
    </w:div>
    <w:div w:id="1282809470">
      <w:bodyDiv w:val="1"/>
      <w:marLeft w:val="0"/>
      <w:marRight w:val="0"/>
      <w:marTop w:val="0"/>
      <w:marBottom w:val="0"/>
      <w:divBdr>
        <w:top w:val="none" w:sz="0" w:space="0" w:color="auto"/>
        <w:left w:val="none" w:sz="0" w:space="0" w:color="auto"/>
        <w:bottom w:val="none" w:sz="0" w:space="0" w:color="auto"/>
        <w:right w:val="none" w:sz="0" w:space="0" w:color="auto"/>
      </w:divBdr>
    </w:div>
    <w:div w:id="1282956386">
      <w:bodyDiv w:val="1"/>
      <w:marLeft w:val="0"/>
      <w:marRight w:val="0"/>
      <w:marTop w:val="0"/>
      <w:marBottom w:val="0"/>
      <w:divBdr>
        <w:top w:val="none" w:sz="0" w:space="0" w:color="auto"/>
        <w:left w:val="none" w:sz="0" w:space="0" w:color="auto"/>
        <w:bottom w:val="none" w:sz="0" w:space="0" w:color="auto"/>
        <w:right w:val="none" w:sz="0" w:space="0" w:color="auto"/>
      </w:divBdr>
    </w:div>
    <w:div w:id="1282958085">
      <w:bodyDiv w:val="1"/>
      <w:marLeft w:val="0"/>
      <w:marRight w:val="0"/>
      <w:marTop w:val="0"/>
      <w:marBottom w:val="0"/>
      <w:divBdr>
        <w:top w:val="none" w:sz="0" w:space="0" w:color="auto"/>
        <w:left w:val="none" w:sz="0" w:space="0" w:color="auto"/>
        <w:bottom w:val="none" w:sz="0" w:space="0" w:color="auto"/>
        <w:right w:val="none" w:sz="0" w:space="0" w:color="auto"/>
      </w:divBdr>
    </w:div>
    <w:div w:id="1282999422">
      <w:bodyDiv w:val="1"/>
      <w:marLeft w:val="0"/>
      <w:marRight w:val="0"/>
      <w:marTop w:val="0"/>
      <w:marBottom w:val="0"/>
      <w:divBdr>
        <w:top w:val="none" w:sz="0" w:space="0" w:color="auto"/>
        <w:left w:val="none" w:sz="0" w:space="0" w:color="auto"/>
        <w:bottom w:val="none" w:sz="0" w:space="0" w:color="auto"/>
        <w:right w:val="none" w:sz="0" w:space="0" w:color="auto"/>
      </w:divBdr>
    </w:div>
    <w:div w:id="1283000851">
      <w:bodyDiv w:val="1"/>
      <w:marLeft w:val="0"/>
      <w:marRight w:val="0"/>
      <w:marTop w:val="0"/>
      <w:marBottom w:val="0"/>
      <w:divBdr>
        <w:top w:val="none" w:sz="0" w:space="0" w:color="auto"/>
        <w:left w:val="none" w:sz="0" w:space="0" w:color="auto"/>
        <w:bottom w:val="none" w:sz="0" w:space="0" w:color="auto"/>
        <w:right w:val="none" w:sz="0" w:space="0" w:color="auto"/>
      </w:divBdr>
    </w:div>
    <w:div w:id="1283074274">
      <w:bodyDiv w:val="1"/>
      <w:marLeft w:val="0"/>
      <w:marRight w:val="0"/>
      <w:marTop w:val="0"/>
      <w:marBottom w:val="0"/>
      <w:divBdr>
        <w:top w:val="none" w:sz="0" w:space="0" w:color="auto"/>
        <w:left w:val="none" w:sz="0" w:space="0" w:color="auto"/>
        <w:bottom w:val="none" w:sz="0" w:space="0" w:color="auto"/>
        <w:right w:val="none" w:sz="0" w:space="0" w:color="auto"/>
      </w:divBdr>
    </w:div>
    <w:div w:id="1283150672">
      <w:bodyDiv w:val="1"/>
      <w:marLeft w:val="0"/>
      <w:marRight w:val="0"/>
      <w:marTop w:val="0"/>
      <w:marBottom w:val="0"/>
      <w:divBdr>
        <w:top w:val="none" w:sz="0" w:space="0" w:color="auto"/>
        <w:left w:val="none" w:sz="0" w:space="0" w:color="auto"/>
        <w:bottom w:val="none" w:sz="0" w:space="0" w:color="auto"/>
        <w:right w:val="none" w:sz="0" w:space="0" w:color="auto"/>
      </w:divBdr>
    </w:div>
    <w:div w:id="1283195826">
      <w:bodyDiv w:val="1"/>
      <w:marLeft w:val="0"/>
      <w:marRight w:val="0"/>
      <w:marTop w:val="0"/>
      <w:marBottom w:val="0"/>
      <w:divBdr>
        <w:top w:val="none" w:sz="0" w:space="0" w:color="auto"/>
        <w:left w:val="none" w:sz="0" w:space="0" w:color="auto"/>
        <w:bottom w:val="none" w:sz="0" w:space="0" w:color="auto"/>
        <w:right w:val="none" w:sz="0" w:space="0" w:color="auto"/>
      </w:divBdr>
    </w:div>
    <w:div w:id="1283223361">
      <w:bodyDiv w:val="1"/>
      <w:marLeft w:val="0"/>
      <w:marRight w:val="0"/>
      <w:marTop w:val="0"/>
      <w:marBottom w:val="0"/>
      <w:divBdr>
        <w:top w:val="none" w:sz="0" w:space="0" w:color="auto"/>
        <w:left w:val="none" w:sz="0" w:space="0" w:color="auto"/>
        <w:bottom w:val="none" w:sz="0" w:space="0" w:color="auto"/>
        <w:right w:val="none" w:sz="0" w:space="0" w:color="auto"/>
      </w:divBdr>
    </w:div>
    <w:div w:id="1283225125">
      <w:bodyDiv w:val="1"/>
      <w:marLeft w:val="0"/>
      <w:marRight w:val="0"/>
      <w:marTop w:val="0"/>
      <w:marBottom w:val="0"/>
      <w:divBdr>
        <w:top w:val="none" w:sz="0" w:space="0" w:color="auto"/>
        <w:left w:val="none" w:sz="0" w:space="0" w:color="auto"/>
        <w:bottom w:val="none" w:sz="0" w:space="0" w:color="auto"/>
        <w:right w:val="none" w:sz="0" w:space="0" w:color="auto"/>
      </w:divBdr>
    </w:div>
    <w:div w:id="1283226405">
      <w:bodyDiv w:val="1"/>
      <w:marLeft w:val="0"/>
      <w:marRight w:val="0"/>
      <w:marTop w:val="0"/>
      <w:marBottom w:val="0"/>
      <w:divBdr>
        <w:top w:val="none" w:sz="0" w:space="0" w:color="auto"/>
        <w:left w:val="none" w:sz="0" w:space="0" w:color="auto"/>
        <w:bottom w:val="none" w:sz="0" w:space="0" w:color="auto"/>
        <w:right w:val="none" w:sz="0" w:space="0" w:color="auto"/>
      </w:divBdr>
    </w:div>
    <w:div w:id="1283227195">
      <w:bodyDiv w:val="1"/>
      <w:marLeft w:val="0"/>
      <w:marRight w:val="0"/>
      <w:marTop w:val="0"/>
      <w:marBottom w:val="0"/>
      <w:divBdr>
        <w:top w:val="none" w:sz="0" w:space="0" w:color="auto"/>
        <w:left w:val="none" w:sz="0" w:space="0" w:color="auto"/>
        <w:bottom w:val="none" w:sz="0" w:space="0" w:color="auto"/>
        <w:right w:val="none" w:sz="0" w:space="0" w:color="auto"/>
      </w:divBdr>
    </w:div>
    <w:div w:id="1283415559">
      <w:bodyDiv w:val="1"/>
      <w:marLeft w:val="0"/>
      <w:marRight w:val="0"/>
      <w:marTop w:val="0"/>
      <w:marBottom w:val="0"/>
      <w:divBdr>
        <w:top w:val="none" w:sz="0" w:space="0" w:color="auto"/>
        <w:left w:val="none" w:sz="0" w:space="0" w:color="auto"/>
        <w:bottom w:val="none" w:sz="0" w:space="0" w:color="auto"/>
        <w:right w:val="none" w:sz="0" w:space="0" w:color="auto"/>
      </w:divBdr>
    </w:div>
    <w:div w:id="1283415805">
      <w:bodyDiv w:val="1"/>
      <w:marLeft w:val="0"/>
      <w:marRight w:val="0"/>
      <w:marTop w:val="0"/>
      <w:marBottom w:val="0"/>
      <w:divBdr>
        <w:top w:val="none" w:sz="0" w:space="0" w:color="auto"/>
        <w:left w:val="none" w:sz="0" w:space="0" w:color="auto"/>
        <w:bottom w:val="none" w:sz="0" w:space="0" w:color="auto"/>
        <w:right w:val="none" w:sz="0" w:space="0" w:color="auto"/>
      </w:divBdr>
    </w:div>
    <w:div w:id="1283416345">
      <w:bodyDiv w:val="1"/>
      <w:marLeft w:val="0"/>
      <w:marRight w:val="0"/>
      <w:marTop w:val="0"/>
      <w:marBottom w:val="0"/>
      <w:divBdr>
        <w:top w:val="none" w:sz="0" w:space="0" w:color="auto"/>
        <w:left w:val="none" w:sz="0" w:space="0" w:color="auto"/>
        <w:bottom w:val="none" w:sz="0" w:space="0" w:color="auto"/>
        <w:right w:val="none" w:sz="0" w:space="0" w:color="auto"/>
      </w:divBdr>
    </w:div>
    <w:div w:id="1283457371">
      <w:bodyDiv w:val="1"/>
      <w:marLeft w:val="0"/>
      <w:marRight w:val="0"/>
      <w:marTop w:val="0"/>
      <w:marBottom w:val="0"/>
      <w:divBdr>
        <w:top w:val="none" w:sz="0" w:space="0" w:color="auto"/>
        <w:left w:val="none" w:sz="0" w:space="0" w:color="auto"/>
        <w:bottom w:val="none" w:sz="0" w:space="0" w:color="auto"/>
        <w:right w:val="none" w:sz="0" w:space="0" w:color="auto"/>
      </w:divBdr>
    </w:div>
    <w:div w:id="1283460822">
      <w:bodyDiv w:val="1"/>
      <w:marLeft w:val="0"/>
      <w:marRight w:val="0"/>
      <w:marTop w:val="0"/>
      <w:marBottom w:val="0"/>
      <w:divBdr>
        <w:top w:val="none" w:sz="0" w:space="0" w:color="auto"/>
        <w:left w:val="none" w:sz="0" w:space="0" w:color="auto"/>
        <w:bottom w:val="none" w:sz="0" w:space="0" w:color="auto"/>
        <w:right w:val="none" w:sz="0" w:space="0" w:color="auto"/>
      </w:divBdr>
    </w:div>
    <w:div w:id="1283540038">
      <w:bodyDiv w:val="1"/>
      <w:marLeft w:val="0"/>
      <w:marRight w:val="0"/>
      <w:marTop w:val="0"/>
      <w:marBottom w:val="0"/>
      <w:divBdr>
        <w:top w:val="none" w:sz="0" w:space="0" w:color="auto"/>
        <w:left w:val="none" w:sz="0" w:space="0" w:color="auto"/>
        <w:bottom w:val="none" w:sz="0" w:space="0" w:color="auto"/>
        <w:right w:val="none" w:sz="0" w:space="0" w:color="auto"/>
      </w:divBdr>
    </w:div>
    <w:div w:id="1283616432">
      <w:bodyDiv w:val="1"/>
      <w:marLeft w:val="0"/>
      <w:marRight w:val="0"/>
      <w:marTop w:val="0"/>
      <w:marBottom w:val="0"/>
      <w:divBdr>
        <w:top w:val="none" w:sz="0" w:space="0" w:color="auto"/>
        <w:left w:val="none" w:sz="0" w:space="0" w:color="auto"/>
        <w:bottom w:val="none" w:sz="0" w:space="0" w:color="auto"/>
        <w:right w:val="none" w:sz="0" w:space="0" w:color="auto"/>
      </w:divBdr>
    </w:div>
    <w:div w:id="1283656466">
      <w:bodyDiv w:val="1"/>
      <w:marLeft w:val="0"/>
      <w:marRight w:val="0"/>
      <w:marTop w:val="0"/>
      <w:marBottom w:val="0"/>
      <w:divBdr>
        <w:top w:val="none" w:sz="0" w:space="0" w:color="auto"/>
        <w:left w:val="none" w:sz="0" w:space="0" w:color="auto"/>
        <w:bottom w:val="none" w:sz="0" w:space="0" w:color="auto"/>
        <w:right w:val="none" w:sz="0" w:space="0" w:color="auto"/>
      </w:divBdr>
    </w:div>
    <w:div w:id="1283684773">
      <w:bodyDiv w:val="1"/>
      <w:marLeft w:val="0"/>
      <w:marRight w:val="0"/>
      <w:marTop w:val="0"/>
      <w:marBottom w:val="0"/>
      <w:divBdr>
        <w:top w:val="none" w:sz="0" w:space="0" w:color="auto"/>
        <w:left w:val="none" w:sz="0" w:space="0" w:color="auto"/>
        <w:bottom w:val="none" w:sz="0" w:space="0" w:color="auto"/>
        <w:right w:val="none" w:sz="0" w:space="0" w:color="auto"/>
      </w:divBdr>
    </w:div>
    <w:div w:id="1283729635">
      <w:bodyDiv w:val="1"/>
      <w:marLeft w:val="0"/>
      <w:marRight w:val="0"/>
      <w:marTop w:val="0"/>
      <w:marBottom w:val="0"/>
      <w:divBdr>
        <w:top w:val="none" w:sz="0" w:space="0" w:color="auto"/>
        <w:left w:val="none" w:sz="0" w:space="0" w:color="auto"/>
        <w:bottom w:val="none" w:sz="0" w:space="0" w:color="auto"/>
        <w:right w:val="none" w:sz="0" w:space="0" w:color="auto"/>
      </w:divBdr>
    </w:div>
    <w:div w:id="1283800876">
      <w:bodyDiv w:val="1"/>
      <w:marLeft w:val="0"/>
      <w:marRight w:val="0"/>
      <w:marTop w:val="0"/>
      <w:marBottom w:val="0"/>
      <w:divBdr>
        <w:top w:val="none" w:sz="0" w:space="0" w:color="auto"/>
        <w:left w:val="none" w:sz="0" w:space="0" w:color="auto"/>
        <w:bottom w:val="none" w:sz="0" w:space="0" w:color="auto"/>
        <w:right w:val="none" w:sz="0" w:space="0" w:color="auto"/>
      </w:divBdr>
    </w:div>
    <w:div w:id="1283801577">
      <w:bodyDiv w:val="1"/>
      <w:marLeft w:val="0"/>
      <w:marRight w:val="0"/>
      <w:marTop w:val="0"/>
      <w:marBottom w:val="0"/>
      <w:divBdr>
        <w:top w:val="none" w:sz="0" w:space="0" w:color="auto"/>
        <w:left w:val="none" w:sz="0" w:space="0" w:color="auto"/>
        <w:bottom w:val="none" w:sz="0" w:space="0" w:color="auto"/>
        <w:right w:val="none" w:sz="0" w:space="0" w:color="auto"/>
      </w:divBdr>
    </w:div>
    <w:div w:id="1283926232">
      <w:bodyDiv w:val="1"/>
      <w:marLeft w:val="0"/>
      <w:marRight w:val="0"/>
      <w:marTop w:val="0"/>
      <w:marBottom w:val="0"/>
      <w:divBdr>
        <w:top w:val="none" w:sz="0" w:space="0" w:color="auto"/>
        <w:left w:val="none" w:sz="0" w:space="0" w:color="auto"/>
        <w:bottom w:val="none" w:sz="0" w:space="0" w:color="auto"/>
        <w:right w:val="none" w:sz="0" w:space="0" w:color="auto"/>
      </w:divBdr>
    </w:div>
    <w:div w:id="1283993816">
      <w:bodyDiv w:val="1"/>
      <w:marLeft w:val="0"/>
      <w:marRight w:val="0"/>
      <w:marTop w:val="0"/>
      <w:marBottom w:val="0"/>
      <w:divBdr>
        <w:top w:val="none" w:sz="0" w:space="0" w:color="auto"/>
        <w:left w:val="none" w:sz="0" w:space="0" w:color="auto"/>
        <w:bottom w:val="none" w:sz="0" w:space="0" w:color="auto"/>
        <w:right w:val="none" w:sz="0" w:space="0" w:color="auto"/>
      </w:divBdr>
    </w:div>
    <w:div w:id="1284070173">
      <w:bodyDiv w:val="1"/>
      <w:marLeft w:val="0"/>
      <w:marRight w:val="0"/>
      <w:marTop w:val="0"/>
      <w:marBottom w:val="0"/>
      <w:divBdr>
        <w:top w:val="none" w:sz="0" w:space="0" w:color="auto"/>
        <w:left w:val="none" w:sz="0" w:space="0" w:color="auto"/>
        <w:bottom w:val="none" w:sz="0" w:space="0" w:color="auto"/>
        <w:right w:val="none" w:sz="0" w:space="0" w:color="auto"/>
      </w:divBdr>
    </w:div>
    <w:div w:id="1284072641">
      <w:bodyDiv w:val="1"/>
      <w:marLeft w:val="0"/>
      <w:marRight w:val="0"/>
      <w:marTop w:val="0"/>
      <w:marBottom w:val="0"/>
      <w:divBdr>
        <w:top w:val="none" w:sz="0" w:space="0" w:color="auto"/>
        <w:left w:val="none" w:sz="0" w:space="0" w:color="auto"/>
        <w:bottom w:val="none" w:sz="0" w:space="0" w:color="auto"/>
        <w:right w:val="none" w:sz="0" w:space="0" w:color="auto"/>
      </w:divBdr>
    </w:div>
    <w:div w:id="1284266274">
      <w:bodyDiv w:val="1"/>
      <w:marLeft w:val="0"/>
      <w:marRight w:val="0"/>
      <w:marTop w:val="0"/>
      <w:marBottom w:val="0"/>
      <w:divBdr>
        <w:top w:val="none" w:sz="0" w:space="0" w:color="auto"/>
        <w:left w:val="none" w:sz="0" w:space="0" w:color="auto"/>
        <w:bottom w:val="none" w:sz="0" w:space="0" w:color="auto"/>
        <w:right w:val="none" w:sz="0" w:space="0" w:color="auto"/>
      </w:divBdr>
    </w:div>
    <w:div w:id="1284457249">
      <w:bodyDiv w:val="1"/>
      <w:marLeft w:val="0"/>
      <w:marRight w:val="0"/>
      <w:marTop w:val="0"/>
      <w:marBottom w:val="0"/>
      <w:divBdr>
        <w:top w:val="none" w:sz="0" w:space="0" w:color="auto"/>
        <w:left w:val="none" w:sz="0" w:space="0" w:color="auto"/>
        <w:bottom w:val="none" w:sz="0" w:space="0" w:color="auto"/>
        <w:right w:val="none" w:sz="0" w:space="0" w:color="auto"/>
      </w:divBdr>
    </w:div>
    <w:div w:id="1284534419">
      <w:bodyDiv w:val="1"/>
      <w:marLeft w:val="0"/>
      <w:marRight w:val="0"/>
      <w:marTop w:val="0"/>
      <w:marBottom w:val="0"/>
      <w:divBdr>
        <w:top w:val="none" w:sz="0" w:space="0" w:color="auto"/>
        <w:left w:val="none" w:sz="0" w:space="0" w:color="auto"/>
        <w:bottom w:val="none" w:sz="0" w:space="0" w:color="auto"/>
        <w:right w:val="none" w:sz="0" w:space="0" w:color="auto"/>
      </w:divBdr>
    </w:div>
    <w:div w:id="1284536944">
      <w:bodyDiv w:val="1"/>
      <w:marLeft w:val="0"/>
      <w:marRight w:val="0"/>
      <w:marTop w:val="0"/>
      <w:marBottom w:val="0"/>
      <w:divBdr>
        <w:top w:val="none" w:sz="0" w:space="0" w:color="auto"/>
        <w:left w:val="none" w:sz="0" w:space="0" w:color="auto"/>
        <w:bottom w:val="none" w:sz="0" w:space="0" w:color="auto"/>
        <w:right w:val="none" w:sz="0" w:space="0" w:color="auto"/>
      </w:divBdr>
    </w:div>
    <w:div w:id="1284577725">
      <w:bodyDiv w:val="1"/>
      <w:marLeft w:val="0"/>
      <w:marRight w:val="0"/>
      <w:marTop w:val="0"/>
      <w:marBottom w:val="0"/>
      <w:divBdr>
        <w:top w:val="none" w:sz="0" w:space="0" w:color="auto"/>
        <w:left w:val="none" w:sz="0" w:space="0" w:color="auto"/>
        <w:bottom w:val="none" w:sz="0" w:space="0" w:color="auto"/>
        <w:right w:val="none" w:sz="0" w:space="0" w:color="auto"/>
      </w:divBdr>
    </w:div>
    <w:div w:id="1284727534">
      <w:bodyDiv w:val="1"/>
      <w:marLeft w:val="0"/>
      <w:marRight w:val="0"/>
      <w:marTop w:val="0"/>
      <w:marBottom w:val="0"/>
      <w:divBdr>
        <w:top w:val="none" w:sz="0" w:space="0" w:color="auto"/>
        <w:left w:val="none" w:sz="0" w:space="0" w:color="auto"/>
        <w:bottom w:val="none" w:sz="0" w:space="0" w:color="auto"/>
        <w:right w:val="none" w:sz="0" w:space="0" w:color="auto"/>
      </w:divBdr>
    </w:div>
    <w:div w:id="1284730587">
      <w:bodyDiv w:val="1"/>
      <w:marLeft w:val="0"/>
      <w:marRight w:val="0"/>
      <w:marTop w:val="0"/>
      <w:marBottom w:val="0"/>
      <w:divBdr>
        <w:top w:val="none" w:sz="0" w:space="0" w:color="auto"/>
        <w:left w:val="none" w:sz="0" w:space="0" w:color="auto"/>
        <w:bottom w:val="none" w:sz="0" w:space="0" w:color="auto"/>
        <w:right w:val="none" w:sz="0" w:space="0" w:color="auto"/>
      </w:divBdr>
    </w:div>
    <w:div w:id="1284773805">
      <w:bodyDiv w:val="1"/>
      <w:marLeft w:val="0"/>
      <w:marRight w:val="0"/>
      <w:marTop w:val="0"/>
      <w:marBottom w:val="0"/>
      <w:divBdr>
        <w:top w:val="none" w:sz="0" w:space="0" w:color="auto"/>
        <w:left w:val="none" w:sz="0" w:space="0" w:color="auto"/>
        <w:bottom w:val="none" w:sz="0" w:space="0" w:color="auto"/>
        <w:right w:val="none" w:sz="0" w:space="0" w:color="auto"/>
      </w:divBdr>
    </w:div>
    <w:div w:id="1284799654">
      <w:bodyDiv w:val="1"/>
      <w:marLeft w:val="0"/>
      <w:marRight w:val="0"/>
      <w:marTop w:val="0"/>
      <w:marBottom w:val="0"/>
      <w:divBdr>
        <w:top w:val="none" w:sz="0" w:space="0" w:color="auto"/>
        <w:left w:val="none" w:sz="0" w:space="0" w:color="auto"/>
        <w:bottom w:val="none" w:sz="0" w:space="0" w:color="auto"/>
        <w:right w:val="none" w:sz="0" w:space="0" w:color="auto"/>
      </w:divBdr>
    </w:div>
    <w:div w:id="1284845446">
      <w:bodyDiv w:val="1"/>
      <w:marLeft w:val="0"/>
      <w:marRight w:val="0"/>
      <w:marTop w:val="0"/>
      <w:marBottom w:val="0"/>
      <w:divBdr>
        <w:top w:val="none" w:sz="0" w:space="0" w:color="auto"/>
        <w:left w:val="none" w:sz="0" w:space="0" w:color="auto"/>
        <w:bottom w:val="none" w:sz="0" w:space="0" w:color="auto"/>
        <w:right w:val="none" w:sz="0" w:space="0" w:color="auto"/>
      </w:divBdr>
    </w:div>
    <w:div w:id="1284922609">
      <w:bodyDiv w:val="1"/>
      <w:marLeft w:val="0"/>
      <w:marRight w:val="0"/>
      <w:marTop w:val="0"/>
      <w:marBottom w:val="0"/>
      <w:divBdr>
        <w:top w:val="none" w:sz="0" w:space="0" w:color="auto"/>
        <w:left w:val="none" w:sz="0" w:space="0" w:color="auto"/>
        <w:bottom w:val="none" w:sz="0" w:space="0" w:color="auto"/>
        <w:right w:val="none" w:sz="0" w:space="0" w:color="auto"/>
      </w:divBdr>
    </w:div>
    <w:div w:id="1284968177">
      <w:bodyDiv w:val="1"/>
      <w:marLeft w:val="0"/>
      <w:marRight w:val="0"/>
      <w:marTop w:val="0"/>
      <w:marBottom w:val="0"/>
      <w:divBdr>
        <w:top w:val="none" w:sz="0" w:space="0" w:color="auto"/>
        <w:left w:val="none" w:sz="0" w:space="0" w:color="auto"/>
        <w:bottom w:val="none" w:sz="0" w:space="0" w:color="auto"/>
        <w:right w:val="none" w:sz="0" w:space="0" w:color="auto"/>
      </w:divBdr>
    </w:div>
    <w:div w:id="1285161183">
      <w:bodyDiv w:val="1"/>
      <w:marLeft w:val="0"/>
      <w:marRight w:val="0"/>
      <w:marTop w:val="0"/>
      <w:marBottom w:val="0"/>
      <w:divBdr>
        <w:top w:val="none" w:sz="0" w:space="0" w:color="auto"/>
        <w:left w:val="none" w:sz="0" w:space="0" w:color="auto"/>
        <w:bottom w:val="none" w:sz="0" w:space="0" w:color="auto"/>
        <w:right w:val="none" w:sz="0" w:space="0" w:color="auto"/>
      </w:divBdr>
    </w:div>
    <w:div w:id="1285311356">
      <w:bodyDiv w:val="1"/>
      <w:marLeft w:val="0"/>
      <w:marRight w:val="0"/>
      <w:marTop w:val="0"/>
      <w:marBottom w:val="0"/>
      <w:divBdr>
        <w:top w:val="none" w:sz="0" w:space="0" w:color="auto"/>
        <w:left w:val="none" w:sz="0" w:space="0" w:color="auto"/>
        <w:bottom w:val="none" w:sz="0" w:space="0" w:color="auto"/>
        <w:right w:val="none" w:sz="0" w:space="0" w:color="auto"/>
      </w:divBdr>
    </w:div>
    <w:div w:id="1285380357">
      <w:bodyDiv w:val="1"/>
      <w:marLeft w:val="0"/>
      <w:marRight w:val="0"/>
      <w:marTop w:val="0"/>
      <w:marBottom w:val="0"/>
      <w:divBdr>
        <w:top w:val="none" w:sz="0" w:space="0" w:color="auto"/>
        <w:left w:val="none" w:sz="0" w:space="0" w:color="auto"/>
        <w:bottom w:val="none" w:sz="0" w:space="0" w:color="auto"/>
        <w:right w:val="none" w:sz="0" w:space="0" w:color="auto"/>
      </w:divBdr>
    </w:div>
    <w:div w:id="1285387958">
      <w:bodyDiv w:val="1"/>
      <w:marLeft w:val="0"/>
      <w:marRight w:val="0"/>
      <w:marTop w:val="0"/>
      <w:marBottom w:val="0"/>
      <w:divBdr>
        <w:top w:val="none" w:sz="0" w:space="0" w:color="auto"/>
        <w:left w:val="none" w:sz="0" w:space="0" w:color="auto"/>
        <w:bottom w:val="none" w:sz="0" w:space="0" w:color="auto"/>
        <w:right w:val="none" w:sz="0" w:space="0" w:color="auto"/>
      </w:divBdr>
    </w:div>
    <w:div w:id="1285498562">
      <w:bodyDiv w:val="1"/>
      <w:marLeft w:val="0"/>
      <w:marRight w:val="0"/>
      <w:marTop w:val="0"/>
      <w:marBottom w:val="0"/>
      <w:divBdr>
        <w:top w:val="none" w:sz="0" w:space="0" w:color="auto"/>
        <w:left w:val="none" w:sz="0" w:space="0" w:color="auto"/>
        <w:bottom w:val="none" w:sz="0" w:space="0" w:color="auto"/>
        <w:right w:val="none" w:sz="0" w:space="0" w:color="auto"/>
      </w:divBdr>
    </w:div>
    <w:div w:id="1285499231">
      <w:bodyDiv w:val="1"/>
      <w:marLeft w:val="0"/>
      <w:marRight w:val="0"/>
      <w:marTop w:val="0"/>
      <w:marBottom w:val="0"/>
      <w:divBdr>
        <w:top w:val="none" w:sz="0" w:space="0" w:color="auto"/>
        <w:left w:val="none" w:sz="0" w:space="0" w:color="auto"/>
        <w:bottom w:val="none" w:sz="0" w:space="0" w:color="auto"/>
        <w:right w:val="none" w:sz="0" w:space="0" w:color="auto"/>
      </w:divBdr>
    </w:div>
    <w:div w:id="1285505122">
      <w:bodyDiv w:val="1"/>
      <w:marLeft w:val="0"/>
      <w:marRight w:val="0"/>
      <w:marTop w:val="0"/>
      <w:marBottom w:val="0"/>
      <w:divBdr>
        <w:top w:val="none" w:sz="0" w:space="0" w:color="auto"/>
        <w:left w:val="none" w:sz="0" w:space="0" w:color="auto"/>
        <w:bottom w:val="none" w:sz="0" w:space="0" w:color="auto"/>
        <w:right w:val="none" w:sz="0" w:space="0" w:color="auto"/>
      </w:divBdr>
    </w:div>
    <w:div w:id="1285580703">
      <w:bodyDiv w:val="1"/>
      <w:marLeft w:val="0"/>
      <w:marRight w:val="0"/>
      <w:marTop w:val="0"/>
      <w:marBottom w:val="0"/>
      <w:divBdr>
        <w:top w:val="none" w:sz="0" w:space="0" w:color="auto"/>
        <w:left w:val="none" w:sz="0" w:space="0" w:color="auto"/>
        <w:bottom w:val="none" w:sz="0" w:space="0" w:color="auto"/>
        <w:right w:val="none" w:sz="0" w:space="0" w:color="auto"/>
      </w:divBdr>
    </w:div>
    <w:div w:id="1285624971">
      <w:bodyDiv w:val="1"/>
      <w:marLeft w:val="0"/>
      <w:marRight w:val="0"/>
      <w:marTop w:val="0"/>
      <w:marBottom w:val="0"/>
      <w:divBdr>
        <w:top w:val="none" w:sz="0" w:space="0" w:color="auto"/>
        <w:left w:val="none" w:sz="0" w:space="0" w:color="auto"/>
        <w:bottom w:val="none" w:sz="0" w:space="0" w:color="auto"/>
        <w:right w:val="none" w:sz="0" w:space="0" w:color="auto"/>
      </w:divBdr>
    </w:div>
    <w:div w:id="1285698619">
      <w:bodyDiv w:val="1"/>
      <w:marLeft w:val="0"/>
      <w:marRight w:val="0"/>
      <w:marTop w:val="0"/>
      <w:marBottom w:val="0"/>
      <w:divBdr>
        <w:top w:val="none" w:sz="0" w:space="0" w:color="auto"/>
        <w:left w:val="none" w:sz="0" w:space="0" w:color="auto"/>
        <w:bottom w:val="none" w:sz="0" w:space="0" w:color="auto"/>
        <w:right w:val="none" w:sz="0" w:space="0" w:color="auto"/>
      </w:divBdr>
    </w:div>
    <w:div w:id="1285765992">
      <w:bodyDiv w:val="1"/>
      <w:marLeft w:val="0"/>
      <w:marRight w:val="0"/>
      <w:marTop w:val="0"/>
      <w:marBottom w:val="0"/>
      <w:divBdr>
        <w:top w:val="none" w:sz="0" w:space="0" w:color="auto"/>
        <w:left w:val="none" w:sz="0" w:space="0" w:color="auto"/>
        <w:bottom w:val="none" w:sz="0" w:space="0" w:color="auto"/>
        <w:right w:val="none" w:sz="0" w:space="0" w:color="auto"/>
      </w:divBdr>
    </w:div>
    <w:div w:id="1285960348">
      <w:bodyDiv w:val="1"/>
      <w:marLeft w:val="0"/>
      <w:marRight w:val="0"/>
      <w:marTop w:val="0"/>
      <w:marBottom w:val="0"/>
      <w:divBdr>
        <w:top w:val="none" w:sz="0" w:space="0" w:color="auto"/>
        <w:left w:val="none" w:sz="0" w:space="0" w:color="auto"/>
        <w:bottom w:val="none" w:sz="0" w:space="0" w:color="auto"/>
        <w:right w:val="none" w:sz="0" w:space="0" w:color="auto"/>
      </w:divBdr>
    </w:div>
    <w:div w:id="1286038209">
      <w:bodyDiv w:val="1"/>
      <w:marLeft w:val="0"/>
      <w:marRight w:val="0"/>
      <w:marTop w:val="0"/>
      <w:marBottom w:val="0"/>
      <w:divBdr>
        <w:top w:val="none" w:sz="0" w:space="0" w:color="auto"/>
        <w:left w:val="none" w:sz="0" w:space="0" w:color="auto"/>
        <w:bottom w:val="none" w:sz="0" w:space="0" w:color="auto"/>
        <w:right w:val="none" w:sz="0" w:space="0" w:color="auto"/>
      </w:divBdr>
    </w:div>
    <w:div w:id="1286041264">
      <w:bodyDiv w:val="1"/>
      <w:marLeft w:val="0"/>
      <w:marRight w:val="0"/>
      <w:marTop w:val="0"/>
      <w:marBottom w:val="0"/>
      <w:divBdr>
        <w:top w:val="none" w:sz="0" w:space="0" w:color="auto"/>
        <w:left w:val="none" w:sz="0" w:space="0" w:color="auto"/>
        <w:bottom w:val="none" w:sz="0" w:space="0" w:color="auto"/>
        <w:right w:val="none" w:sz="0" w:space="0" w:color="auto"/>
      </w:divBdr>
    </w:div>
    <w:div w:id="1286154625">
      <w:bodyDiv w:val="1"/>
      <w:marLeft w:val="0"/>
      <w:marRight w:val="0"/>
      <w:marTop w:val="0"/>
      <w:marBottom w:val="0"/>
      <w:divBdr>
        <w:top w:val="none" w:sz="0" w:space="0" w:color="auto"/>
        <w:left w:val="none" w:sz="0" w:space="0" w:color="auto"/>
        <w:bottom w:val="none" w:sz="0" w:space="0" w:color="auto"/>
        <w:right w:val="none" w:sz="0" w:space="0" w:color="auto"/>
      </w:divBdr>
    </w:div>
    <w:div w:id="1286234741">
      <w:bodyDiv w:val="1"/>
      <w:marLeft w:val="0"/>
      <w:marRight w:val="0"/>
      <w:marTop w:val="0"/>
      <w:marBottom w:val="0"/>
      <w:divBdr>
        <w:top w:val="none" w:sz="0" w:space="0" w:color="auto"/>
        <w:left w:val="none" w:sz="0" w:space="0" w:color="auto"/>
        <w:bottom w:val="none" w:sz="0" w:space="0" w:color="auto"/>
        <w:right w:val="none" w:sz="0" w:space="0" w:color="auto"/>
      </w:divBdr>
    </w:div>
    <w:div w:id="1286346424">
      <w:bodyDiv w:val="1"/>
      <w:marLeft w:val="0"/>
      <w:marRight w:val="0"/>
      <w:marTop w:val="0"/>
      <w:marBottom w:val="0"/>
      <w:divBdr>
        <w:top w:val="none" w:sz="0" w:space="0" w:color="auto"/>
        <w:left w:val="none" w:sz="0" w:space="0" w:color="auto"/>
        <w:bottom w:val="none" w:sz="0" w:space="0" w:color="auto"/>
        <w:right w:val="none" w:sz="0" w:space="0" w:color="auto"/>
      </w:divBdr>
    </w:div>
    <w:div w:id="1286351374">
      <w:bodyDiv w:val="1"/>
      <w:marLeft w:val="0"/>
      <w:marRight w:val="0"/>
      <w:marTop w:val="0"/>
      <w:marBottom w:val="0"/>
      <w:divBdr>
        <w:top w:val="none" w:sz="0" w:space="0" w:color="auto"/>
        <w:left w:val="none" w:sz="0" w:space="0" w:color="auto"/>
        <w:bottom w:val="none" w:sz="0" w:space="0" w:color="auto"/>
        <w:right w:val="none" w:sz="0" w:space="0" w:color="auto"/>
      </w:divBdr>
    </w:div>
    <w:div w:id="1286353840">
      <w:bodyDiv w:val="1"/>
      <w:marLeft w:val="0"/>
      <w:marRight w:val="0"/>
      <w:marTop w:val="0"/>
      <w:marBottom w:val="0"/>
      <w:divBdr>
        <w:top w:val="none" w:sz="0" w:space="0" w:color="auto"/>
        <w:left w:val="none" w:sz="0" w:space="0" w:color="auto"/>
        <w:bottom w:val="none" w:sz="0" w:space="0" w:color="auto"/>
        <w:right w:val="none" w:sz="0" w:space="0" w:color="auto"/>
      </w:divBdr>
    </w:div>
    <w:div w:id="1286422710">
      <w:bodyDiv w:val="1"/>
      <w:marLeft w:val="0"/>
      <w:marRight w:val="0"/>
      <w:marTop w:val="0"/>
      <w:marBottom w:val="0"/>
      <w:divBdr>
        <w:top w:val="none" w:sz="0" w:space="0" w:color="auto"/>
        <w:left w:val="none" w:sz="0" w:space="0" w:color="auto"/>
        <w:bottom w:val="none" w:sz="0" w:space="0" w:color="auto"/>
        <w:right w:val="none" w:sz="0" w:space="0" w:color="auto"/>
      </w:divBdr>
    </w:div>
    <w:div w:id="1286472600">
      <w:bodyDiv w:val="1"/>
      <w:marLeft w:val="0"/>
      <w:marRight w:val="0"/>
      <w:marTop w:val="0"/>
      <w:marBottom w:val="0"/>
      <w:divBdr>
        <w:top w:val="none" w:sz="0" w:space="0" w:color="auto"/>
        <w:left w:val="none" w:sz="0" w:space="0" w:color="auto"/>
        <w:bottom w:val="none" w:sz="0" w:space="0" w:color="auto"/>
        <w:right w:val="none" w:sz="0" w:space="0" w:color="auto"/>
      </w:divBdr>
    </w:div>
    <w:div w:id="1286499026">
      <w:bodyDiv w:val="1"/>
      <w:marLeft w:val="0"/>
      <w:marRight w:val="0"/>
      <w:marTop w:val="0"/>
      <w:marBottom w:val="0"/>
      <w:divBdr>
        <w:top w:val="none" w:sz="0" w:space="0" w:color="auto"/>
        <w:left w:val="none" w:sz="0" w:space="0" w:color="auto"/>
        <w:bottom w:val="none" w:sz="0" w:space="0" w:color="auto"/>
        <w:right w:val="none" w:sz="0" w:space="0" w:color="auto"/>
      </w:divBdr>
    </w:div>
    <w:div w:id="1286541086">
      <w:bodyDiv w:val="1"/>
      <w:marLeft w:val="0"/>
      <w:marRight w:val="0"/>
      <w:marTop w:val="0"/>
      <w:marBottom w:val="0"/>
      <w:divBdr>
        <w:top w:val="none" w:sz="0" w:space="0" w:color="auto"/>
        <w:left w:val="none" w:sz="0" w:space="0" w:color="auto"/>
        <w:bottom w:val="none" w:sz="0" w:space="0" w:color="auto"/>
        <w:right w:val="none" w:sz="0" w:space="0" w:color="auto"/>
      </w:divBdr>
    </w:div>
    <w:div w:id="1286544721">
      <w:bodyDiv w:val="1"/>
      <w:marLeft w:val="0"/>
      <w:marRight w:val="0"/>
      <w:marTop w:val="0"/>
      <w:marBottom w:val="0"/>
      <w:divBdr>
        <w:top w:val="none" w:sz="0" w:space="0" w:color="auto"/>
        <w:left w:val="none" w:sz="0" w:space="0" w:color="auto"/>
        <w:bottom w:val="none" w:sz="0" w:space="0" w:color="auto"/>
        <w:right w:val="none" w:sz="0" w:space="0" w:color="auto"/>
      </w:divBdr>
    </w:div>
    <w:div w:id="1286699002">
      <w:bodyDiv w:val="1"/>
      <w:marLeft w:val="0"/>
      <w:marRight w:val="0"/>
      <w:marTop w:val="0"/>
      <w:marBottom w:val="0"/>
      <w:divBdr>
        <w:top w:val="none" w:sz="0" w:space="0" w:color="auto"/>
        <w:left w:val="none" w:sz="0" w:space="0" w:color="auto"/>
        <w:bottom w:val="none" w:sz="0" w:space="0" w:color="auto"/>
        <w:right w:val="none" w:sz="0" w:space="0" w:color="auto"/>
      </w:divBdr>
    </w:div>
    <w:div w:id="1286738821">
      <w:bodyDiv w:val="1"/>
      <w:marLeft w:val="0"/>
      <w:marRight w:val="0"/>
      <w:marTop w:val="0"/>
      <w:marBottom w:val="0"/>
      <w:divBdr>
        <w:top w:val="none" w:sz="0" w:space="0" w:color="auto"/>
        <w:left w:val="none" w:sz="0" w:space="0" w:color="auto"/>
        <w:bottom w:val="none" w:sz="0" w:space="0" w:color="auto"/>
        <w:right w:val="none" w:sz="0" w:space="0" w:color="auto"/>
      </w:divBdr>
    </w:div>
    <w:div w:id="1286808226">
      <w:bodyDiv w:val="1"/>
      <w:marLeft w:val="0"/>
      <w:marRight w:val="0"/>
      <w:marTop w:val="0"/>
      <w:marBottom w:val="0"/>
      <w:divBdr>
        <w:top w:val="none" w:sz="0" w:space="0" w:color="auto"/>
        <w:left w:val="none" w:sz="0" w:space="0" w:color="auto"/>
        <w:bottom w:val="none" w:sz="0" w:space="0" w:color="auto"/>
        <w:right w:val="none" w:sz="0" w:space="0" w:color="auto"/>
      </w:divBdr>
    </w:div>
    <w:div w:id="1286883345">
      <w:bodyDiv w:val="1"/>
      <w:marLeft w:val="0"/>
      <w:marRight w:val="0"/>
      <w:marTop w:val="0"/>
      <w:marBottom w:val="0"/>
      <w:divBdr>
        <w:top w:val="none" w:sz="0" w:space="0" w:color="auto"/>
        <w:left w:val="none" w:sz="0" w:space="0" w:color="auto"/>
        <w:bottom w:val="none" w:sz="0" w:space="0" w:color="auto"/>
        <w:right w:val="none" w:sz="0" w:space="0" w:color="auto"/>
      </w:divBdr>
    </w:div>
    <w:div w:id="1286891425">
      <w:bodyDiv w:val="1"/>
      <w:marLeft w:val="0"/>
      <w:marRight w:val="0"/>
      <w:marTop w:val="0"/>
      <w:marBottom w:val="0"/>
      <w:divBdr>
        <w:top w:val="none" w:sz="0" w:space="0" w:color="auto"/>
        <w:left w:val="none" w:sz="0" w:space="0" w:color="auto"/>
        <w:bottom w:val="none" w:sz="0" w:space="0" w:color="auto"/>
        <w:right w:val="none" w:sz="0" w:space="0" w:color="auto"/>
      </w:divBdr>
    </w:div>
    <w:div w:id="1286892301">
      <w:bodyDiv w:val="1"/>
      <w:marLeft w:val="0"/>
      <w:marRight w:val="0"/>
      <w:marTop w:val="0"/>
      <w:marBottom w:val="0"/>
      <w:divBdr>
        <w:top w:val="none" w:sz="0" w:space="0" w:color="auto"/>
        <w:left w:val="none" w:sz="0" w:space="0" w:color="auto"/>
        <w:bottom w:val="none" w:sz="0" w:space="0" w:color="auto"/>
        <w:right w:val="none" w:sz="0" w:space="0" w:color="auto"/>
      </w:divBdr>
    </w:div>
    <w:div w:id="1286958664">
      <w:bodyDiv w:val="1"/>
      <w:marLeft w:val="0"/>
      <w:marRight w:val="0"/>
      <w:marTop w:val="0"/>
      <w:marBottom w:val="0"/>
      <w:divBdr>
        <w:top w:val="none" w:sz="0" w:space="0" w:color="auto"/>
        <w:left w:val="none" w:sz="0" w:space="0" w:color="auto"/>
        <w:bottom w:val="none" w:sz="0" w:space="0" w:color="auto"/>
        <w:right w:val="none" w:sz="0" w:space="0" w:color="auto"/>
      </w:divBdr>
    </w:div>
    <w:div w:id="1286961392">
      <w:bodyDiv w:val="1"/>
      <w:marLeft w:val="0"/>
      <w:marRight w:val="0"/>
      <w:marTop w:val="0"/>
      <w:marBottom w:val="0"/>
      <w:divBdr>
        <w:top w:val="none" w:sz="0" w:space="0" w:color="auto"/>
        <w:left w:val="none" w:sz="0" w:space="0" w:color="auto"/>
        <w:bottom w:val="none" w:sz="0" w:space="0" w:color="auto"/>
        <w:right w:val="none" w:sz="0" w:space="0" w:color="auto"/>
      </w:divBdr>
    </w:div>
    <w:div w:id="1287077460">
      <w:bodyDiv w:val="1"/>
      <w:marLeft w:val="0"/>
      <w:marRight w:val="0"/>
      <w:marTop w:val="0"/>
      <w:marBottom w:val="0"/>
      <w:divBdr>
        <w:top w:val="none" w:sz="0" w:space="0" w:color="auto"/>
        <w:left w:val="none" w:sz="0" w:space="0" w:color="auto"/>
        <w:bottom w:val="none" w:sz="0" w:space="0" w:color="auto"/>
        <w:right w:val="none" w:sz="0" w:space="0" w:color="auto"/>
      </w:divBdr>
    </w:div>
    <w:div w:id="1287153365">
      <w:bodyDiv w:val="1"/>
      <w:marLeft w:val="0"/>
      <w:marRight w:val="0"/>
      <w:marTop w:val="0"/>
      <w:marBottom w:val="0"/>
      <w:divBdr>
        <w:top w:val="none" w:sz="0" w:space="0" w:color="auto"/>
        <w:left w:val="none" w:sz="0" w:space="0" w:color="auto"/>
        <w:bottom w:val="none" w:sz="0" w:space="0" w:color="auto"/>
        <w:right w:val="none" w:sz="0" w:space="0" w:color="auto"/>
      </w:divBdr>
    </w:div>
    <w:div w:id="1287196574">
      <w:bodyDiv w:val="1"/>
      <w:marLeft w:val="0"/>
      <w:marRight w:val="0"/>
      <w:marTop w:val="0"/>
      <w:marBottom w:val="0"/>
      <w:divBdr>
        <w:top w:val="none" w:sz="0" w:space="0" w:color="auto"/>
        <w:left w:val="none" w:sz="0" w:space="0" w:color="auto"/>
        <w:bottom w:val="none" w:sz="0" w:space="0" w:color="auto"/>
        <w:right w:val="none" w:sz="0" w:space="0" w:color="auto"/>
      </w:divBdr>
    </w:div>
    <w:div w:id="1287270709">
      <w:bodyDiv w:val="1"/>
      <w:marLeft w:val="0"/>
      <w:marRight w:val="0"/>
      <w:marTop w:val="0"/>
      <w:marBottom w:val="0"/>
      <w:divBdr>
        <w:top w:val="none" w:sz="0" w:space="0" w:color="auto"/>
        <w:left w:val="none" w:sz="0" w:space="0" w:color="auto"/>
        <w:bottom w:val="none" w:sz="0" w:space="0" w:color="auto"/>
        <w:right w:val="none" w:sz="0" w:space="0" w:color="auto"/>
      </w:divBdr>
    </w:div>
    <w:div w:id="1287272334">
      <w:bodyDiv w:val="1"/>
      <w:marLeft w:val="0"/>
      <w:marRight w:val="0"/>
      <w:marTop w:val="0"/>
      <w:marBottom w:val="0"/>
      <w:divBdr>
        <w:top w:val="none" w:sz="0" w:space="0" w:color="auto"/>
        <w:left w:val="none" w:sz="0" w:space="0" w:color="auto"/>
        <w:bottom w:val="none" w:sz="0" w:space="0" w:color="auto"/>
        <w:right w:val="none" w:sz="0" w:space="0" w:color="auto"/>
      </w:divBdr>
    </w:div>
    <w:div w:id="1287345468">
      <w:bodyDiv w:val="1"/>
      <w:marLeft w:val="0"/>
      <w:marRight w:val="0"/>
      <w:marTop w:val="0"/>
      <w:marBottom w:val="0"/>
      <w:divBdr>
        <w:top w:val="none" w:sz="0" w:space="0" w:color="auto"/>
        <w:left w:val="none" w:sz="0" w:space="0" w:color="auto"/>
        <w:bottom w:val="none" w:sz="0" w:space="0" w:color="auto"/>
        <w:right w:val="none" w:sz="0" w:space="0" w:color="auto"/>
      </w:divBdr>
    </w:div>
    <w:div w:id="1287396266">
      <w:bodyDiv w:val="1"/>
      <w:marLeft w:val="0"/>
      <w:marRight w:val="0"/>
      <w:marTop w:val="0"/>
      <w:marBottom w:val="0"/>
      <w:divBdr>
        <w:top w:val="none" w:sz="0" w:space="0" w:color="auto"/>
        <w:left w:val="none" w:sz="0" w:space="0" w:color="auto"/>
        <w:bottom w:val="none" w:sz="0" w:space="0" w:color="auto"/>
        <w:right w:val="none" w:sz="0" w:space="0" w:color="auto"/>
      </w:divBdr>
    </w:div>
    <w:div w:id="1287463798">
      <w:bodyDiv w:val="1"/>
      <w:marLeft w:val="0"/>
      <w:marRight w:val="0"/>
      <w:marTop w:val="0"/>
      <w:marBottom w:val="0"/>
      <w:divBdr>
        <w:top w:val="none" w:sz="0" w:space="0" w:color="auto"/>
        <w:left w:val="none" w:sz="0" w:space="0" w:color="auto"/>
        <w:bottom w:val="none" w:sz="0" w:space="0" w:color="auto"/>
        <w:right w:val="none" w:sz="0" w:space="0" w:color="auto"/>
      </w:divBdr>
    </w:div>
    <w:div w:id="1287538528">
      <w:bodyDiv w:val="1"/>
      <w:marLeft w:val="0"/>
      <w:marRight w:val="0"/>
      <w:marTop w:val="0"/>
      <w:marBottom w:val="0"/>
      <w:divBdr>
        <w:top w:val="none" w:sz="0" w:space="0" w:color="auto"/>
        <w:left w:val="none" w:sz="0" w:space="0" w:color="auto"/>
        <w:bottom w:val="none" w:sz="0" w:space="0" w:color="auto"/>
        <w:right w:val="none" w:sz="0" w:space="0" w:color="auto"/>
      </w:divBdr>
    </w:div>
    <w:div w:id="1287541924">
      <w:bodyDiv w:val="1"/>
      <w:marLeft w:val="0"/>
      <w:marRight w:val="0"/>
      <w:marTop w:val="0"/>
      <w:marBottom w:val="0"/>
      <w:divBdr>
        <w:top w:val="none" w:sz="0" w:space="0" w:color="auto"/>
        <w:left w:val="none" w:sz="0" w:space="0" w:color="auto"/>
        <w:bottom w:val="none" w:sz="0" w:space="0" w:color="auto"/>
        <w:right w:val="none" w:sz="0" w:space="0" w:color="auto"/>
      </w:divBdr>
    </w:div>
    <w:div w:id="1287543317">
      <w:bodyDiv w:val="1"/>
      <w:marLeft w:val="0"/>
      <w:marRight w:val="0"/>
      <w:marTop w:val="0"/>
      <w:marBottom w:val="0"/>
      <w:divBdr>
        <w:top w:val="none" w:sz="0" w:space="0" w:color="auto"/>
        <w:left w:val="none" w:sz="0" w:space="0" w:color="auto"/>
        <w:bottom w:val="none" w:sz="0" w:space="0" w:color="auto"/>
        <w:right w:val="none" w:sz="0" w:space="0" w:color="auto"/>
      </w:divBdr>
    </w:div>
    <w:div w:id="1287736381">
      <w:bodyDiv w:val="1"/>
      <w:marLeft w:val="0"/>
      <w:marRight w:val="0"/>
      <w:marTop w:val="0"/>
      <w:marBottom w:val="0"/>
      <w:divBdr>
        <w:top w:val="none" w:sz="0" w:space="0" w:color="auto"/>
        <w:left w:val="none" w:sz="0" w:space="0" w:color="auto"/>
        <w:bottom w:val="none" w:sz="0" w:space="0" w:color="auto"/>
        <w:right w:val="none" w:sz="0" w:space="0" w:color="auto"/>
      </w:divBdr>
    </w:div>
    <w:div w:id="1287858255">
      <w:bodyDiv w:val="1"/>
      <w:marLeft w:val="0"/>
      <w:marRight w:val="0"/>
      <w:marTop w:val="0"/>
      <w:marBottom w:val="0"/>
      <w:divBdr>
        <w:top w:val="none" w:sz="0" w:space="0" w:color="auto"/>
        <w:left w:val="none" w:sz="0" w:space="0" w:color="auto"/>
        <w:bottom w:val="none" w:sz="0" w:space="0" w:color="auto"/>
        <w:right w:val="none" w:sz="0" w:space="0" w:color="auto"/>
      </w:divBdr>
    </w:div>
    <w:div w:id="1287927204">
      <w:bodyDiv w:val="1"/>
      <w:marLeft w:val="0"/>
      <w:marRight w:val="0"/>
      <w:marTop w:val="0"/>
      <w:marBottom w:val="0"/>
      <w:divBdr>
        <w:top w:val="none" w:sz="0" w:space="0" w:color="auto"/>
        <w:left w:val="none" w:sz="0" w:space="0" w:color="auto"/>
        <w:bottom w:val="none" w:sz="0" w:space="0" w:color="auto"/>
        <w:right w:val="none" w:sz="0" w:space="0" w:color="auto"/>
      </w:divBdr>
    </w:div>
    <w:div w:id="1288001912">
      <w:bodyDiv w:val="1"/>
      <w:marLeft w:val="0"/>
      <w:marRight w:val="0"/>
      <w:marTop w:val="0"/>
      <w:marBottom w:val="0"/>
      <w:divBdr>
        <w:top w:val="none" w:sz="0" w:space="0" w:color="auto"/>
        <w:left w:val="none" w:sz="0" w:space="0" w:color="auto"/>
        <w:bottom w:val="none" w:sz="0" w:space="0" w:color="auto"/>
        <w:right w:val="none" w:sz="0" w:space="0" w:color="auto"/>
      </w:divBdr>
    </w:div>
    <w:div w:id="1288003455">
      <w:bodyDiv w:val="1"/>
      <w:marLeft w:val="0"/>
      <w:marRight w:val="0"/>
      <w:marTop w:val="0"/>
      <w:marBottom w:val="0"/>
      <w:divBdr>
        <w:top w:val="none" w:sz="0" w:space="0" w:color="auto"/>
        <w:left w:val="none" w:sz="0" w:space="0" w:color="auto"/>
        <w:bottom w:val="none" w:sz="0" w:space="0" w:color="auto"/>
        <w:right w:val="none" w:sz="0" w:space="0" w:color="auto"/>
      </w:divBdr>
    </w:div>
    <w:div w:id="1288006329">
      <w:bodyDiv w:val="1"/>
      <w:marLeft w:val="0"/>
      <w:marRight w:val="0"/>
      <w:marTop w:val="0"/>
      <w:marBottom w:val="0"/>
      <w:divBdr>
        <w:top w:val="none" w:sz="0" w:space="0" w:color="auto"/>
        <w:left w:val="none" w:sz="0" w:space="0" w:color="auto"/>
        <w:bottom w:val="none" w:sz="0" w:space="0" w:color="auto"/>
        <w:right w:val="none" w:sz="0" w:space="0" w:color="auto"/>
      </w:divBdr>
    </w:div>
    <w:div w:id="1288006456">
      <w:bodyDiv w:val="1"/>
      <w:marLeft w:val="0"/>
      <w:marRight w:val="0"/>
      <w:marTop w:val="0"/>
      <w:marBottom w:val="0"/>
      <w:divBdr>
        <w:top w:val="none" w:sz="0" w:space="0" w:color="auto"/>
        <w:left w:val="none" w:sz="0" w:space="0" w:color="auto"/>
        <w:bottom w:val="none" w:sz="0" w:space="0" w:color="auto"/>
        <w:right w:val="none" w:sz="0" w:space="0" w:color="auto"/>
      </w:divBdr>
    </w:div>
    <w:div w:id="1288075988">
      <w:bodyDiv w:val="1"/>
      <w:marLeft w:val="0"/>
      <w:marRight w:val="0"/>
      <w:marTop w:val="0"/>
      <w:marBottom w:val="0"/>
      <w:divBdr>
        <w:top w:val="none" w:sz="0" w:space="0" w:color="auto"/>
        <w:left w:val="none" w:sz="0" w:space="0" w:color="auto"/>
        <w:bottom w:val="none" w:sz="0" w:space="0" w:color="auto"/>
        <w:right w:val="none" w:sz="0" w:space="0" w:color="auto"/>
      </w:divBdr>
    </w:div>
    <w:div w:id="1288076056">
      <w:bodyDiv w:val="1"/>
      <w:marLeft w:val="0"/>
      <w:marRight w:val="0"/>
      <w:marTop w:val="0"/>
      <w:marBottom w:val="0"/>
      <w:divBdr>
        <w:top w:val="none" w:sz="0" w:space="0" w:color="auto"/>
        <w:left w:val="none" w:sz="0" w:space="0" w:color="auto"/>
        <w:bottom w:val="none" w:sz="0" w:space="0" w:color="auto"/>
        <w:right w:val="none" w:sz="0" w:space="0" w:color="auto"/>
      </w:divBdr>
    </w:div>
    <w:div w:id="1288195082">
      <w:bodyDiv w:val="1"/>
      <w:marLeft w:val="0"/>
      <w:marRight w:val="0"/>
      <w:marTop w:val="0"/>
      <w:marBottom w:val="0"/>
      <w:divBdr>
        <w:top w:val="none" w:sz="0" w:space="0" w:color="auto"/>
        <w:left w:val="none" w:sz="0" w:space="0" w:color="auto"/>
        <w:bottom w:val="none" w:sz="0" w:space="0" w:color="auto"/>
        <w:right w:val="none" w:sz="0" w:space="0" w:color="auto"/>
      </w:divBdr>
    </w:div>
    <w:div w:id="1288317821">
      <w:bodyDiv w:val="1"/>
      <w:marLeft w:val="0"/>
      <w:marRight w:val="0"/>
      <w:marTop w:val="0"/>
      <w:marBottom w:val="0"/>
      <w:divBdr>
        <w:top w:val="none" w:sz="0" w:space="0" w:color="auto"/>
        <w:left w:val="none" w:sz="0" w:space="0" w:color="auto"/>
        <w:bottom w:val="none" w:sz="0" w:space="0" w:color="auto"/>
        <w:right w:val="none" w:sz="0" w:space="0" w:color="auto"/>
      </w:divBdr>
    </w:div>
    <w:div w:id="1288320265">
      <w:bodyDiv w:val="1"/>
      <w:marLeft w:val="0"/>
      <w:marRight w:val="0"/>
      <w:marTop w:val="0"/>
      <w:marBottom w:val="0"/>
      <w:divBdr>
        <w:top w:val="none" w:sz="0" w:space="0" w:color="auto"/>
        <w:left w:val="none" w:sz="0" w:space="0" w:color="auto"/>
        <w:bottom w:val="none" w:sz="0" w:space="0" w:color="auto"/>
        <w:right w:val="none" w:sz="0" w:space="0" w:color="auto"/>
      </w:divBdr>
    </w:div>
    <w:div w:id="1288464177">
      <w:bodyDiv w:val="1"/>
      <w:marLeft w:val="0"/>
      <w:marRight w:val="0"/>
      <w:marTop w:val="0"/>
      <w:marBottom w:val="0"/>
      <w:divBdr>
        <w:top w:val="none" w:sz="0" w:space="0" w:color="auto"/>
        <w:left w:val="none" w:sz="0" w:space="0" w:color="auto"/>
        <w:bottom w:val="none" w:sz="0" w:space="0" w:color="auto"/>
        <w:right w:val="none" w:sz="0" w:space="0" w:color="auto"/>
      </w:divBdr>
    </w:div>
    <w:div w:id="1288511271">
      <w:bodyDiv w:val="1"/>
      <w:marLeft w:val="0"/>
      <w:marRight w:val="0"/>
      <w:marTop w:val="0"/>
      <w:marBottom w:val="0"/>
      <w:divBdr>
        <w:top w:val="none" w:sz="0" w:space="0" w:color="auto"/>
        <w:left w:val="none" w:sz="0" w:space="0" w:color="auto"/>
        <w:bottom w:val="none" w:sz="0" w:space="0" w:color="auto"/>
        <w:right w:val="none" w:sz="0" w:space="0" w:color="auto"/>
      </w:divBdr>
    </w:div>
    <w:div w:id="1288586921">
      <w:bodyDiv w:val="1"/>
      <w:marLeft w:val="0"/>
      <w:marRight w:val="0"/>
      <w:marTop w:val="0"/>
      <w:marBottom w:val="0"/>
      <w:divBdr>
        <w:top w:val="none" w:sz="0" w:space="0" w:color="auto"/>
        <w:left w:val="none" w:sz="0" w:space="0" w:color="auto"/>
        <w:bottom w:val="none" w:sz="0" w:space="0" w:color="auto"/>
        <w:right w:val="none" w:sz="0" w:space="0" w:color="auto"/>
      </w:divBdr>
    </w:div>
    <w:div w:id="1288656036">
      <w:bodyDiv w:val="1"/>
      <w:marLeft w:val="0"/>
      <w:marRight w:val="0"/>
      <w:marTop w:val="0"/>
      <w:marBottom w:val="0"/>
      <w:divBdr>
        <w:top w:val="none" w:sz="0" w:space="0" w:color="auto"/>
        <w:left w:val="none" w:sz="0" w:space="0" w:color="auto"/>
        <w:bottom w:val="none" w:sz="0" w:space="0" w:color="auto"/>
        <w:right w:val="none" w:sz="0" w:space="0" w:color="auto"/>
      </w:divBdr>
    </w:div>
    <w:div w:id="1288704099">
      <w:bodyDiv w:val="1"/>
      <w:marLeft w:val="0"/>
      <w:marRight w:val="0"/>
      <w:marTop w:val="0"/>
      <w:marBottom w:val="0"/>
      <w:divBdr>
        <w:top w:val="none" w:sz="0" w:space="0" w:color="auto"/>
        <w:left w:val="none" w:sz="0" w:space="0" w:color="auto"/>
        <w:bottom w:val="none" w:sz="0" w:space="0" w:color="auto"/>
        <w:right w:val="none" w:sz="0" w:space="0" w:color="auto"/>
      </w:divBdr>
    </w:div>
    <w:div w:id="1288704673">
      <w:bodyDiv w:val="1"/>
      <w:marLeft w:val="0"/>
      <w:marRight w:val="0"/>
      <w:marTop w:val="0"/>
      <w:marBottom w:val="0"/>
      <w:divBdr>
        <w:top w:val="none" w:sz="0" w:space="0" w:color="auto"/>
        <w:left w:val="none" w:sz="0" w:space="0" w:color="auto"/>
        <w:bottom w:val="none" w:sz="0" w:space="0" w:color="auto"/>
        <w:right w:val="none" w:sz="0" w:space="0" w:color="auto"/>
      </w:divBdr>
    </w:div>
    <w:div w:id="1288705959">
      <w:bodyDiv w:val="1"/>
      <w:marLeft w:val="0"/>
      <w:marRight w:val="0"/>
      <w:marTop w:val="0"/>
      <w:marBottom w:val="0"/>
      <w:divBdr>
        <w:top w:val="none" w:sz="0" w:space="0" w:color="auto"/>
        <w:left w:val="none" w:sz="0" w:space="0" w:color="auto"/>
        <w:bottom w:val="none" w:sz="0" w:space="0" w:color="auto"/>
        <w:right w:val="none" w:sz="0" w:space="0" w:color="auto"/>
      </w:divBdr>
    </w:div>
    <w:div w:id="1288849205">
      <w:bodyDiv w:val="1"/>
      <w:marLeft w:val="0"/>
      <w:marRight w:val="0"/>
      <w:marTop w:val="0"/>
      <w:marBottom w:val="0"/>
      <w:divBdr>
        <w:top w:val="none" w:sz="0" w:space="0" w:color="auto"/>
        <w:left w:val="none" w:sz="0" w:space="0" w:color="auto"/>
        <w:bottom w:val="none" w:sz="0" w:space="0" w:color="auto"/>
        <w:right w:val="none" w:sz="0" w:space="0" w:color="auto"/>
      </w:divBdr>
    </w:div>
    <w:div w:id="1288853822">
      <w:bodyDiv w:val="1"/>
      <w:marLeft w:val="0"/>
      <w:marRight w:val="0"/>
      <w:marTop w:val="0"/>
      <w:marBottom w:val="0"/>
      <w:divBdr>
        <w:top w:val="none" w:sz="0" w:space="0" w:color="auto"/>
        <w:left w:val="none" w:sz="0" w:space="0" w:color="auto"/>
        <w:bottom w:val="none" w:sz="0" w:space="0" w:color="auto"/>
        <w:right w:val="none" w:sz="0" w:space="0" w:color="auto"/>
      </w:divBdr>
    </w:div>
    <w:div w:id="1288970153">
      <w:bodyDiv w:val="1"/>
      <w:marLeft w:val="0"/>
      <w:marRight w:val="0"/>
      <w:marTop w:val="0"/>
      <w:marBottom w:val="0"/>
      <w:divBdr>
        <w:top w:val="none" w:sz="0" w:space="0" w:color="auto"/>
        <w:left w:val="none" w:sz="0" w:space="0" w:color="auto"/>
        <w:bottom w:val="none" w:sz="0" w:space="0" w:color="auto"/>
        <w:right w:val="none" w:sz="0" w:space="0" w:color="auto"/>
      </w:divBdr>
    </w:div>
    <w:div w:id="1288971057">
      <w:bodyDiv w:val="1"/>
      <w:marLeft w:val="0"/>
      <w:marRight w:val="0"/>
      <w:marTop w:val="0"/>
      <w:marBottom w:val="0"/>
      <w:divBdr>
        <w:top w:val="none" w:sz="0" w:space="0" w:color="auto"/>
        <w:left w:val="none" w:sz="0" w:space="0" w:color="auto"/>
        <w:bottom w:val="none" w:sz="0" w:space="0" w:color="auto"/>
        <w:right w:val="none" w:sz="0" w:space="0" w:color="auto"/>
      </w:divBdr>
    </w:div>
    <w:div w:id="1289046439">
      <w:bodyDiv w:val="1"/>
      <w:marLeft w:val="0"/>
      <w:marRight w:val="0"/>
      <w:marTop w:val="0"/>
      <w:marBottom w:val="0"/>
      <w:divBdr>
        <w:top w:val="none" w:sz="0" w:space="0" w:color="auto"/>
        <w:left w:val="none" w:sz="0" w:space="0" w:color="auto"/>
        <w:bottom w:val="none" w:sz="0" w:space="0" w:color="auto"/>
        <w:right w:val="none" w:sz="0" w:space="0" w:color="auto"/>
      </w:divBdr>
    </w:div>
    <w:div w:id="1289049957">
      <w:bodyDiv w:val="1"/>
      <w:marLeft w:val="0"/>
      <w:marRight w:val="0"/>
      <w:marTop w:val="0"/>
      <w:marBottom w:val="0"/>
      <w:divBdr>
        <w:top w:val="none" w:sz="0" w:space="0" w:color="auto"/>
        <w:left w:val="none" w:sz="0" w:space="0" w:color="auto"/>
        <w:bottom w:val="none" w:sz="0" w:space="0" w:color="auto"/>
        <w:right w:val="none" w:sz="0" w:space="0" w:color="auto"/>
      </w:divBdr>
    </w:div>
    <w:div w:id="1289093533">
      <w:bodyDiv w:val="1"/>
      <w:marLeft w:val="0"/>
      <w:marRight w:val="0"/>
      <w:marTop w:val="0"/>
      <w:marBottom w:val="0"/>
      <w:divBdr>
        <w:top w:val="none" w:sz="0" w:space="0" w:color="auto"/>
        <w:left w:val="none" w:sz="0" w:space="0" w:color="auto"/>
        <w:bottom w:val="none" w:sz="0" w:space="0" w:color="auto"/>
        <w:right w:val="none" w:sz="0" w:space="0" w:color="auto"/>
      </w:divBdr>
    </w:div>
    <w:div w:id="1289120787">
      <w:bodyDiv w:val="1"/>
      <w:marLeft w:val="0"/>
      <w:marRight w:val="0"/>
      <w:marTop w:val="0"/>
      <w:marBottom w:val="0"/>
      <w:divBdr>
        <w:top w:val="none" w:sz="0" w:space="0" w:color="auto"/>
        <w:left w:val="none" w:sz="0" w:space="0" w:color="auto"/>
        <w:bottom w:val="none" w:sz="0" w:space="0" w:color="auto"/>
        <w:right w:val="none" w:sz="0" w:space="0" w:color="auto"/>
      </w:divBdr>
    </w:div>
    <w:div w:id="1289125777">
      <w:bodyDiv w:val="1"/>
      <w:marLeft w:val="0"/>
      <w:marRight w:val="0"/>
      <w:marTop w:val="0"/>
      <w:marBottom w:val="0"/>
      <w:divBdr>
        <w:top w:val="none" w:sz="0" w:space="0" w:color="auto"/>
        <w:left w:val="none" w:sz="0" w:space="0" w:color="auto"/>
        <w:bottom w:val="none" w:sz="0" w:space="0" w:color="auto"/>
        <w:right w:val="none" w:sz="0" w:space="0" w:color="auto"/>
      </w:divBdr>
    </w:div>
    <w:div w:id="1289163064">
      <w:bodyDiv w:val="1"/>
      <w:marLeft w:val="0"/>
      <w:marRight w:val="0"/>
      <w:marTop w:val="0"/>
      <w:marBottom w:val="0"/>
      <w:divBdr>
        <w:top w:val="none" w:sz="0" w:space="0" w:color="auto"/>
        <w:left w:val="none" w:sz="0" w:space="0" w:color="auto"/>
        <w:bottom w:val="none" w:sz="0" w:space="0" w:color="auto"/>
        <w:right w:val="none" w:sz="0" w:space="0" w:color="auto"/>
      </w:divBdr>
    </w:div>
    <w:div w:id="1289316724">
      <w:bodyDiv w:val="1"/>
      <w:marLeft w:val="0"/>
      <w:marRight w:val="0"/>
      <w:marTop w:val="0"/>
      <w:marBottom w:val="0"/>
      <w:divBdr>
        <w:top w:val="none" w:sz="0" w:space="0" w:color="auto"/>
        <w:left w:val="none" w:sz="0" w:space="0" w:color="auto"/>
        <w:bottom w:val="none" w:sz="0" w:space="0" w:color="auto"/>
        <w:right w:val="none" w:sz="0" w:space="0" w:color="auto"/>
      </w:divBdr>
    </w:div>
    <w:div w:id="1289362322">
      <w:bodyDiv w:val="1"/>
      <w:marLeft w:val="0"/>
      <w:marRight w:val="0"/>
      <w:marTop w:val="0"/>
      <w:marBottom w:val="0"/>
      <w:divBdr>
        <w:top w:val="none" w:sz="0" w:space="0" w:color="auto"/>
        <w:left w:val="none" w:sz="0" w:space="0" w:color="auto"/>
        <w:bottom w:val="none" w:sz="0" w:space="0" w:color="auto"/>
        <w:right w:val="none" w:sz="0" w:space="0" w:color="auto"/>
      </w:divBdr>
    </w:div>
    <w:div w:id="1289583823">
      <w:bodyDiv w:val="1"/>
      <w:marLeft w:val="0"/>
      <w:marRight w:val="0"/>
      <w:marTop w:val="0"/>
      <w:marBottom w:val="0"/>
      <w:divBdr>
        <w:top w:val="none" w:sz="0" w:space="0" w:color="auto"/>
        <w:left w:val="none" w:sz="0" w:space="0" w:color="auto"/>
        <w:bottom w:val="none" w:sz="0" w:space="0" w:color="auto"/>
        <w:right w:val="none" w:sz="0" w:space="0" w:color="auto"/>
      </w:divBdr>
    </w:div>
    <w:div w:id="1289623232">
      <w:bodyDiv w:val="1"/>
      <w:marLeft w:val="0"/>
      <w:marRight w:val="0"/>
      <w:marTop w:val="0"/>
      <w:marBottom w:val="0"/>
      <w:divBdr>
        <w:top w:val="none" w:sz="0" w:space="0" w:color="auto"/>
        <w:left w:val="none" w:sz="0" w:space="0" w:color="auto"/>
        <w:bottom w:val="none" w:sz="0" w:space="0" w:color="auto"/>
        <w:right w:val="none" w:sz="0" w:space="0" w:color="auto"/>
      </w:divBdr>
    </w:div>
    <w:div w:id="1289623457">
      <w:bodyDiv w:val="1"/>
      <w:marLeft w:val="0"/>
      <w:marRight w:val="0"/>
      <w:marTop w:val="0"/>
      <w:marBottom w:val="0"/>
      <w:divBdr>
        <w:top w:val="none" w:sz="0" w:space="0" w:color="auto"/>
        <w:left w:val="none" w:sz="0" w:space="0" w:color="auto"/>
        <w:bottom w:val="none" w:sz="0" w:space="0" w:color="auto"/>
        <w:right w:val="none" w:sz="0" w:space="0" w:color="auto"/>
      </w:divBdr>
    </w:div>
    <w:div w:id="1289628944">
      <w:bodyDiv w:val="1"/>
      <w:marLeft w:val="0"/>
      <w:marRight w:val="0"/>
      <w:marTop w:val="0"/>
      <w:marBottom w:val="0"/>
      <w:divBdr>
        <w:top w:val="none" w:sz="0" w:space="0" w:color="auto"/>
        <w:left w:val="none" w:sz="0" w:space="0" w:color="auto"/>
        <w:bottom w:val="none" w:sz="0" w:space="0" w:color="auto"/>
        <w:right w:val="none" w:sz="0" w:space="0" w:color="auto"/>
      </w:divBdr>
    </w:div>
    <w:div w:id="1289701901">
      <w:bodyDiv w:val="1"/>
      <w:marLeft w:val="0"/>
      <w:marRight w:val="0"/>
      <w:marTop w:val="0"/>
      <w:marBottom w:val="0"/>
      <w:divBdr>
        <w:top w:val="none" w:sz="0" w:space="0" w:color="auto"/>
        <w:left w:val="none" w:sz="0" w:space="0" w:color="auto"/>
        <w:bottom w:val="none" w:sz="0" w:space="0" w:color="auto"/>
        <w:right w:val="none" w:sz="0" w:space="0" w:color="auto"/>
      </w:divBdr>
    </w:div>
    <w:div w:id="1289748821">
      <w:bodyDiv w:val="1"/>
      <w:marLeft w:val="0"/>
      <w:marRight w:val="0"/>
      <w:marTop w:val="0"/>
      <w:marBottom w:val="0"/>
      <w:divBdr>
        <w:top w:val="none" w:sz="0" w:space="0" w:color="auto"/>
        <w:left w:val="none" w:sz="0" w:space="0" w:color="auto"/>
        <w:bottom w:val="none" w:sz="0" w:space="0" w:color="auto"/>
        <w:right w:val="none" w:sz="0" w:space="0" w:color="auto"/>
      </w:divBdr>
    </w:div>
    <w:div w:id="1289779962">
      <w:bodyDiv w:val="1"/>
      <w:marLeft w:val="0"/>
      <w:marRight w:val="0"/>
      <w:marTop w:val="0"/>
      <w:marBottom w:val="0"/>
      <w:divBdr>
        <w:top w:val="none" w:sz="0" w:space="0" w:color="auto"/>
        <w:left w:val="none" w:sz="0" w:space="0" w:color="auto"/>
        <w:bottom w:val="none" w:sz="0" w:space="0" w:color="auto"/>
        <w:right w:val="none" w:sz="0" w:space="0" w:color="auto"/>
      </w:divBdr>
    </w:div>
    <w:div w:id="1289892889">
      <w:bodyDiv w:val="1"/>
      <w:marLeft w:val="0"/>
      <w:marRight w:val="0"/>
      <w:marTop w:val="0"/>
      <w:marBottom w:val="0"/>
      <w:divBdr>
        <w:top w:val="none" w:sz="0" w:space="0" w:color="auto"/>
        <w:left w:val="none" w:sz="0" w:space="0" w:color="auto"/>
        <w:bottom w:val="none" w:sz="0" w:space="0" w:color="auto"/>
        <w:right w:val="none" w:sz="0" w:space="0" w:color="auto"/>
      </w:divBdr>
    </w:div>
    <w:div w:id="1289972917">
      <w:bodyDiv w:val="1"/>
      <w:marLeft w:val="0"/>
      <w:marRight w:val="0"/>
      <w:marTop w:val="0"/>
      <w:marBottom w:val="0"/>
      <w:divBdr>
        <w:top w:val="none" w:sz="0" w:space="0" w:color="auto"/>
        <w:left w:val="none" w:sz="0" w:space="0" w:color="auto"/>
        <w:bottom w:val="none" w:sz="0" w:space="0" w:color="auto"/>
        <w:right w:val="none" w:sz="0" w:space="0" w:color="auto"/>
      </w:divBdr>
    </w:div>
    <w:div w:id="1289974516">
      <w:bodyDiv w:val="1"/>
      <w:marLeft w:val="0"/>
      <w:marRight w:val="0"/>
      <w:marTop w:val="0"/>
      <w:marBottom w:val="0"/>
      <w:divBdr>
        <w:top w:val="none" w:sz="0" w:space="0" w:color="auto"/>
        <w:left w:val="none" w:sz="0" w:space="0" w:color="auto"/>
        <w:bottom w:val="none" w:sz="0" w:space="0" w:color="auto"/>
        <w:right w:val="none" w:sz="0" w:space="0" w:color="auto"/>
      </w:divBdr>
    </w:div>
    <w:div w:id="1290013958">
      <w:bodyDiv w:val="1"/>
      <w:marLeft w:val="0"/>
      <w:marRight w:val="0"/>
      <w:marTop w:val="0"/>
      <w:marBottom w:val="0"/>
      <w:divBdr>
        <w:top w:val="none" w:sz="0" w:space="0" w:color="auto"/>
        <w:left w:val="none" w:sz="0" w:space="0" w:color="auto"/>
        <w:bottom w:val="none" w:sz="0" w:space="0" w:color="auto"/>
        <w:right w:val="none" w:sz="0" w:space="0" w:color="auto"/>
      </w:divBdr>
    </w:div>
    <w:div w:id="1290086449">
      <w:bodyDiv w:val="1"/>
      <w:marLeft w:val="0"/>
      <w:marRight w:val="0"/>
      <w:marTop w:val="0"/>
      <w:marBottom w:val="0"/>
      <w:divBdr>
        <w:top w:val="none" w:sz="0" w:space="0" w:color="auto"/>
        <w:left w:val="none" w:sz="0" w:space="0" w:color="auto"/>
        <w:bottom w:val="none" w:sz="0" w:space="0" w:color="auto"/>
        <w:right w:val="none" w:sz="0" w:space="0" w:color="auto"/>
      </w:divBdr>
    </w:div>
    <w:div w:id="1290092873">
      <w:bodyDiv w:val="1"/>
      <w:marLeft w:val="0"/>
      <w:marRight w:val="0"/>
      <w:marTop w:val="0"/>
      <w:marBottom w:val="0"/>
      <w:divBdr>
        <w:top w:val="none" w:sz="0" w:space="0" w:color="auto"/>
        <w:left w:val="none" w:sz="0" w:space="0" w:color="auto"/>
        <w:bottom w:val="none" w:sz="0" w:space="0" w:color="auto"/>
        <w:right w:val="none" w:sz="0" w:space="0" w:color="auto"/>
      </w:divBdr>
    </w:div>
    <w:div w:id="1290159532">
      <w:bodyDiv w:val="1"/>
      <w:marLeft w:val="0"/>
      <w:marRight w:val="0"/>
      <w:marTop w:val="0"/>
      <w:marBottom w:val="0"/>
      <w:divBdr>
        <w:top w:val="none" w:sz="0" w:space="0" w:color="auto"/>
        <w:left w:val="none" w:sz="0" w:space="0" w:color="auto"/>
        <w:bottom w:val="none" w:sz="0" w:space="0" w:color="auto"/>
        <w:right w:val="none" w:sz="0" w:space="0" w:color="auto"/>
      </w:divBdr>
    </w:div>
    <w:div w:id="1290208433">
      <w:bodyDiv w:val="1"/>
      <w:marLeft w:val="0"/>
      <w:marRight w:val="0"/>
      <w:marTop w:val="0"/>
      <w:marBottom w:val="0"/>
      <w:divBdr>
        <w:top w:val="none" w:sz="0" w:space="0" w:color="auto"/>
        <w:left w:val="none" w:sz="0" w:space="0" w:color="auto"/>
        <w:bottom w:val="none" w:sz="0" w:space="0" w:color="auto"/>
        <w:right w:val="none" w:sz="0" w:space="0" w:color="auto"/>
      </w:divBdr>
    </w:div>
    <w:div w:id="1290236241">
      <w:bodyDiv w:val="1"/>
      <w:marLeft w:val="0"/>
      <w:marRight w:val="0"/>
      <w:marTop w:val="0"/>
      <w:marBottom w:val="0"/>
      <w:divBdr>
        <w:top w:val="none" w:sz="0" w:space="0" w:color="auto"/>
        <w:left w:val="none" w:sz="0" w:space="0" w:color="auto"/>
        <w:bottom w:val="none" w:sz="0" w:space="0" w:color="auto"/>
        <w:right w:val="none" w:sz="0" w:space="0" w:color="auto"/>
      </w:divBdr>
    </w:div>
    <w:div w:id="1290352841">
      <w:bodyDiv w:val="1"/>
      <w:marLeft w:val="0"/>
      <w:marRight w:val="0"/>
      <w:marTop w:val="0"/>
      <w:marBottom w:val="0"/>
      <w:divBdr>
        <w:top w:val="none" w:sz="0" w:space="0" w:color="auto"/>
        <w:left w:val="none" w:sz="0" w:space="0" w:color="auto"/>
        <w:bottom w:val="none" w:sz="0" w:space="0" w:color="auto"/>
        <w:right w:val="none" w:sz="0" w:space="0" w:color="auto"/>
      </w:divBdr>
    </w:div>
    <w:div w:id="1290355440">
      <w:bodyDiv w:val="1"/>
      <w:marLeft w:val="0"/>
      <w:marRight w:val="0"/>
      <w:marTop w:val="0"/>
      <w:marBottom w:val="0"/>
      <w:divBdr>
        <w:top w:val="none" w:sz="0" w:space="0" w:color="auto"/>
        <w:left w:val="none" w:sz="0" w:space="0" w:color="auto"/>
        <w:bottom w:val="none" w:sz="0" w:space="0" w:color="auto"/>
        <w:right w:val="none" w:sz="0" w:space="0" w:color="auto"/>
      </w:divBdr>
    </w:div>
    <w:div w:id="1290431364">
      <w:bodyDiv w:val="1"/>
      <w:marLeft w:val="0"/>
      <w:marRight w:val="0"/>
      <w:marTop w:val="0"/>
      <w:marBottom w:val="0"/>
      <w:divBdr>
        <w:top w:val="none" w:sz="0" w:space="0" w:color="auto"/>
        <w:left w:val="none" w:sz="0" w:space="0" w:color="auto"/>
        <w:bottom w:val="none" w:sz="0" w:space="0" w:color="auto"/>
        <w:right w:val="none" w:sz="0" w:space="0" w:color="auto"/>
      </w:divBdr>
    </w:div>
    <w:div w:id="1290436034">
      <w:bodyDiv w:val="1"/>
      <w:marLeft w:val="0"/>
      <w:marRight w:val="0"/>
      <w:marTop w:val="0"/>
      <w:marBottom w:val="0"/>
      <w:divBdr>
        <w:top w:val="none" w:sz="0" w:space="0" w:color="auto"/>
        <w:left w:val="none" w:sz="0" w:space="0" w:color="auto"/>
        <w:bottom w:val="none" w:sz="0" w:space="0" w:color="auto"/>
        <w:right w:val="none" w:sz="0" w:space="0" w:color="auto"/>
      </w:divBdr>
    </w:div>
    <w:div w:id="1290554450">
      <w:bodyDiv w:val="1"/>
      <w:marLeft w:val="0"/>
      <w:marRight w:val="0"/>
      <w:marTop w:val="0"/>
      <w:marBottom w:val="0"/>
      <w:divBdr>
        <w:top w:val="none" w:sz="0" w:space="0" w:color="auto"/>
        <w:left w:val="none" w:sz="0" w:space="0" w:color="auto"/>
        <w:bottom w:val="none" w:sz="0" w:space="0" w:color="auto"/>
        <w:right w:val="none" w:sz="0" w:space="0" w:color="auto"/>
      </w:divBdr>
    </w:div>
    <w:div w:id="1290666238">
      <w:bodyDiv w:val="1"/>
      <w:marLeft w:val="0"/>
      <w:marRight w:val="0"/>
      <w:marTop w:val="0"/>
      <w:marBottom w:val="0"/>
      <w:divBdr>
        <w:top w:val="none" w:sz="0" w:space="0" w:color="auto"/>
        <w:left w:val="none" w:sz="0" w:space="0" w:color="auto"/>
        <w:bottom w:val="none" w:sz="0" w:space="0" w:color="auto"/>
        <w:right w:val="none" w:sz="0" w:space="0" w:color="auto"/>
      </w:divBdr>
    </w:div>
    <w:div w:id="1290697387">
      <w:bodyDiv w:val="1"/>
      <w:marLeft w:val="0"/>
      <w:marRight w:val="0"/>
      <w:marTop w:val="0"/>
      <w:marBottom w:val="0"/>
      <w:divBdr>
        <w:top w:val="none" w:sz="0" w:space="0" w:color="auto"/>
        <w:left w:val="none" w:sz="0" w:space="0" w:color="auto"/>
        <w:bottom w:val="none" w:sz="0" w:space="0" w:color="auto"/>
        <w:right w:val="none" w:sz="0" w:space="0" w:color="auto"/>
      </w:divBdr>
    </w:div>
    <w:div w:id="1290820139">
      <w:bodyDiv w:val="1"/>
      <w:marLeft w:val="0"/>
      <w:marRight w:val="0"/>
      <w:marTop w:val="0"/>
      <w:marBottom w:val="0"/>
      <w:divBdr>
        <w:top w:val="none" w:sz="0" w:space="0" w:color="auto"/>
        <w:left w:val="none" w:sz="0" w:space="0" w:color="auto"/>
        <w:bottom w:val="none" w:sz="0" w:space="0" w:color="auto"/>
        <w:right w:val="none" w:sz="0" w:space="0" w:color="auto"/>
      </w:divBdr>
    </w:div>
    <w:div w:id="1290863317">
      <w:bodyDiv w:val="1"/>
      <w:marLeft w:val="0"/>
      <w:marRight w:val="0"/>
      <w:marTop w:val="0"/>
      <w:marBottom w:val="0"/>
      <w:divBdr>
        <w:top w:val="none" w:sz="0" w:space="0" w:color="auto"/>
        <w:left w:val="none" w:sz="0" w:space="0" w:color="auto"/>
        <w:bottom w:val="none" w:sz="0" w:space="0" w:color="auto"/>
        <w:right w:val="none" w:sz="0" w:space="0" w:color="auto"/>
      </w:divBdr>
    </w:div>
    <w:div w:id="1290890159">
      <w:bodyDiv w:val="1"/>
      <w:marLeft w:val="0"/>
      <w:marRight w:val="0"/>
      <w:marTop w:val="0"/>
      <w:marBottom w:val="0"/>
      <w:divBdr>
        <w:top w:val="none" w:sz="0" w:space="0" w:color="auto"/>
        <w:left w:val="none" w:sz="0" w:space="0" w:color="auto"/>
        <w:bottom w:val="none" w:sz="0" w:space="0" w:color="auto"/>
        <w:right w:val="none" w:sz="0" w:space="0" w:color="auto"/>
      </w:divBdr>
    </w:div>
    <w:div w:id="1290936041">
      <w:bodyDiv w:val="1"/>
      <w:marLeft w:val="0"/>
      <w:marRight w:val="0"/>
      <w:marTop w:val="0"/>
      <w:marBottom w:val="0"/>
      <w:divBdr>
        <w:top w:val="none" w:sz="0" w:space="0" w:color="auto"/>
        <w:left w:val="none" w:sz="0" w:space="0" w:color="auto"/>
        <w:bottom w:val="none" w:sz="0" w:space="0" w:color="auto"/>
        <w:right w:val="none" w:sz="0" w:space="0" w:color="auto"/>
      </w:divBdr>
    </w:div>
    <w:div w:id="1290938917">
      <w:bodyDiv w:val="1"/>
      <w:marLeft w:val="0"/>
      <w:marRight w:val="0"/>
      <w:marTop w:val="0"/>
      <w:marBottom w:val="0"/>
      <w:divBdr>
        <w:top w:val="none" w:sz="0" w:space="0" w:color="auto"/>
        <w:left w:val="none" w:sz="0" w:space="0" w:color="auto"/>
        <w:bottom w:val="none" w:sz="0" w:space="0" w:color="auto"/>
        <w:right w:val="none" w:sz="0" w:space="0" w:color="auto"/>
      </w:divBdr>
    </w:div>
    <w:div w:id="1290941267">
      <w:bodyDiv w:val="1"/>
      <w:marLeft w:val="0"/>
      <w:marRight w:val="0"/>
      <w:marTop w:val="0"/>
      <w:marBottom w:val="0"/>
      <w:divBdr>
        <w:top w:val="none" w:sz="0" w:space="0" w:color="auto"/>
        <w:left w:val="none" w:sz="0" w:space="0" w:color="auto"/>
        <w:bottom w:val="none" w:sz="0" w:space="0" w:color="auto"/>
        <w:right w:val="none" w:sz="0" w:space="0" w:color="auto"/>
      </w:divBdr>
    </w:div>
    <w:div w:id="1290941724">
      <w:bodyDiv w:val="1"/>
      <w:marLeft w:val="0"/>
      <w:marRight w:val="0"/>
      <w:marTop w:val="0"/>
      <w:marBottom w:val="0"/>
      <w:divBdr>
        <w:top w:val="none" w:sz="0" w:space="0" w:color="auto"/>
        <w:left w:val="none" w:sz="0" w:space="0" w:color="auto"/>
        <w:bottom w:val="none" w:sz="0" w:space="0" w:color="auto"/>
        <w:right w:val="none" w:sz="0" w:space="0" w:color="auto"/>
      </w:divBdr>
    </w:div>
    <w:div w:id="1291011291">
      <w:bodyDiv w:val="1"/>
      <w:marLeft w:val="0"/>
      <w:marRight w:val="0"/>
      <w:marTop w:val="0"/>
      <w:marBottom w:val="0"/>
      <w:divBdr>
        <w:top w:val="none" w:sz="0" w:space="0" w:color="auto"/>
        <w:left w:val="none" w:sz="0" w:space="0" w:color="auto"/>
        <w:bottom w:val="none" w:sz="0" w:space="0" w:color="auto"/>
        <w:right w:val="none" w:sz="0" w:space="0" w:color="auto"/>
      </w:divBdr>
    </w:div>
    <w:div w:id="1291014356">
      <w:bodyDiv w:val="1"/>
      <w:marLeft w:val="0"/>
      <w:marRight w:val="0"/>
      <w:marTop w:val="0"/>
      <w:marBottom w:val="0"/>
      <w:divBdr>
        <w:top w:val="none" w:sz="0" w:space="0" w:color="auto"/>
        <w:left w:val="none" w:sz="0" w:space="0" w:color="auto"/>
        <w:bottom w:val="none" w:sz="0" w:space="0" w:color="auto"/>
        <w:right w:val="none" w:sz="0" w:space="0" w:color="auto"/>
      </w:divBdr>
    </w:div>
    <w:div w:id="1291129887">
      <w:bodyDiv w:val="1"/>
      <w:marLeft w:val="0"/>
      <w:marRight w:val="0"/>
      <w:marTop w:val="0"/>
      <w:marBottom w:val="0"/>
      <w:divBdr>
        <w:top w:val="none" w:sz="0" w:space="0" w:color="auto"/>
        <w:left w:val="none" w:sz="0" w:space="0" w:color="auto"/>
        <w:bottom w:val="none" w:sz="0" w:space="0" w:color="auto"/>
        <w:right w:val="none" w:sz="0" w:space="0" w:color="auto"/>
      </w:divBdr>
    </w:div>
    <w:div w:id="1291202038">
      <w:bodyDiv w:val="1"/>
      <w:marLeft w:val="0"/>
      <w:marRight w:val="0"/>
      <w:marTop w:val="0"/>
      <w:marBottom w:val="0"/>
      <w:divBdr>
        <w:top w:val="none" w:sz="0" w:space="0" w:color="auto"/>
        <w:left w:val="none" w:sz="0" w:space="0" w:color="auto"/>
        <w:bottom w:val="none" w:sz="0" w:space="0" w:color="auto"/>
        <w:right w:val="none" w:sz="0" w:space="0" w:color="auto"/>
      </w:divBdr>
    </w:div>
    <w:div w:id="1291205104">
      <w:bodyDiv w:val="1"/>
      <w:marLeft w:val="0"/>
      <w:marRight w:val="0"/>
      <w:marTop w:val="0"/>
      <w:marBottom w:val="0"/>
      <w:divBdr>
        <w:top w:val="none" w:sz="0" w:space="0" w:color="auto"/>
        <w:left w:val="none" w:sz="0" w:space="0" w:color="auto"/>
        <w:bottom w:val="none" w:sz="0" w:space="0" w:color="auto"/>
        <w:right w:val="none" w:sz="0" w:space="0" w:color="auto"/>
      </w:divBdr>
    </w:div>
    <w:div w:id="1291281289">
      <w:bodyDiv w:val="1"/>
      <w:marLeft w:val="0"/>
      <w:marRight w:val="0"/>
      <w:marTop w:val="0"/>
      <w:marBottom w:val="0"/>
      <w:divBdr>
        <w:top w:val="none" w:sz="0" w:space="0" w:color="auto"/>
        <w:left w:val="none" w:sz="0" w:space="0" w:color="auto"/>
        <w:bottom w:val="none" w:sz="0" w:space="0" w:color="auto"/>
        <w:right w:val="none" w:sz="0" w:space="0" w:color="auto"/>
      </w:divBdr>
    </w:div>
    <w:div w:id="1291323973">
      <w:bodyDiv w:val="1"/>
      <w:marLeft w:val="0"/>
      <w:marRight w:val="0"/>
      <w:marTop w:val="0"/>
      <w:marBottom w:val="0"/>
      <w:divBdr>
        <w:top w:val="none" w:sz="0" w:space="0" w:color="auto"/>
        <w:left w:val="none" w:sz="0" w:space="0" w:color="auto"/>
        <w:bottom w:val="none" w:sz="0" w:space="0" w:color="auto"/>
        <w:right w:val="none" w:sz="0" w:space="0" w:color="auto"/>
      </w:divBdr>
    </w:div>
    <w:div w:id="1291395002">
      <w:bodyDiv w:val="1"/>
      <w:marLeft w:val="0"/>
      <w:marRight w:val="0"/>
      <w:marTop w:val="0"/>
      <w:marBottom w:val="0"/>
      <w:divBdr>
        <w:top w:val="none" w:sz="0" w:space="0" w:color="auto"/>
        <w:left w:val="none" w:sz="0" w:space="0" w:color="auto"/>
        <w:bottom w:val="none" w:sz="0" w:space="0" w:color="auto"/>
        <w:right w:val="none" w:sz="0" w:space="0" w:color="auto"/>
      </w:divBdr>
    </w:div>
    <w:div w:id="1291473723">
      <w:bodyDiv w:val="1"/>
      <w:marLeft w:val="0"/>
      <w:marRight w:val="0"/>
      <w:marTop w:val="0"/>
      <w:marBottom w:val="0"/>
      <w:divBdr>
        <w:top w:val="none" w:sz="0" w:space="0" w:color="auto"/>
        <w:left w:val="none" w:sz="0" w:space="0" w:color="auto"/>
        <w:bottom w:val="none" w:sz="0" w:space="0" w:color="auto"/>
        <w:right w:val="none" w:sz="0" w:space="0" w:color="auto"/>
      </w:divBdr>
    </w:div>
    <w:div w:id="1291520533">
      <w:bodyDiv w:val="1"/>
      <w:marLeft w:val="0"/>
      <w:marRight w:val="0"/>
      <w:marTop w:val="0"/>
      <w:marBottom w:val="0"/>
      <w:divBdr>
        <w:top w:val="none" w:sz="0" w:space="0" w:color="auto"/>
        <w:left w:val="none" w:sz="0" w:space="0" w:color="auto"/>
        <w:bottom w:val="none" w:sz="0" w:space="0" w:color="auto"/>
        <w:right w:val="none" w:sz="0" w:space="0" w:color="auto"/>
      </w:divBdr>
    </w:div>
    <w:div w:id="1291590526">
      <w:bodyDiv w:val="1"/>
      <w:marLeft w:val="0"/>
      <w:marRight w:val="0"/>
      <w:marTop w:val="0"/>
      <w:marBottom w:val="0"/>
      <w:divBdr>
        <w:top w:val="none" w:sz="0" w:space="0" w:color="auto"/>
        <w:left w:val="none" w:sz="0" w:space="0" w:color="auto"/>
        <w:bottom w:val="none" w:sz="0" w:space="0" w:color="auto"/>
        <w:right w:val="none" w:sz="0" w:space="0" w:color="auto"/>
      </w:divBdr>
    </w:div>
    <w:div w:id="1291597173">
      <w:bodyDiv w:val="1"/>
      <w:marLeft w:val="0"/>
      <w:marRight w:val="0"/>
      <w:marTop w:val="0"/>
      <w:marBottom w:val="0"/>
      <w:divBdr>
        <w:top w:val="none" w:sz="0" w:space="0" w:color="auto"/>
        <w:left w:val="none" w:sz="0" w:space="0" w:color="auto"/>
        <w:bottom w:val="none" w:sz="0" w:space="0" w:color="auto"/>
        <w:right w:val="none" w:sz="0" w:space="0" w:color="auto"/>
      </w:divBdr>
    </w:div>
    <w:div w:id="1291671015">
      <w:bodyDiv w:val="1"/>
      <w:marLeft w:val="0"/>
      <w:marRight w:val="0"/>
      <w:marTop w:val="0"/>
      <w:marBottom w:val="0"/>
      <w:divBdr>
        <w:top w:val="none" w:sz="0" w:space="0" w:color="auto"/>
        <w:left w:val="none" w:sz="0" w:space="0" w:color="auto"/>
        <w:bottom w:val="none" w:sz="0" w:space="0" w:color="auto"/>
        <w:right w:val="none" w:sz="0" w:space="0" w:color="auto"/>
      </w:divBdr>
    </w:div>
    <w:div w:id="1291740411">
      <w:bodyDiv w:val="1"/>
      <w:marLeft w:val="0"/>
      <w:marRight w:val="0"/>
      <w:marTop w:val="0"/>
      <w:marBottom w:val="0"/>
      <w:divBdr>
        <w:top w:val="none" w:sz="0" w:space="0" w:color="auto"/>
        <w:left w:val="none" w:sz="0" w:space="0" w:color="auto"/>
        <w:bottom w:val="none" w:sz="0" w:space="0" w:color="auto"/>
        <w:right w:val="none" w:sz="0" w:space="0" w:color="auto"/>
      </w:divBdr>
    </w:div>
    <w:div w:id="1291785979">
      <w:bodyDiv w:val="1"/>
      <w:marLeft w:val="0"/>
      <w:marRight w:val="0"/>
      <w:marTop w:val="0"/>
      <w:marBottom w:val="0"/>
      <w:divBdr>
        <w:top w:val="none" w:sz="0" w:space="0" w:color="auto"/>
        <w:left w:val="none" w:sz="0" w:space="0" w:color="auto"/>
        <w:bottom w:val="none" w:sz="0" w:space="0" w:color="auto"/>
        <w:right w:val="none" w:sz="0" w:space="0" w:color="auto"/>
      </w:divBdr>
    </w:div>
    <w:div w:id="1291933780">
      <w:bodyDiv w:val="1"/>
      <w:marLeft w:val="0"/>
      <w:marRight w:val="0"/>
      <w:marTop w:val="0"/>
      <w:marBottom w:val="0"/>
      <w:divBdr>
        <w:top w:val="none" w:sz="0" w:space="0" w:color="auto"/>
        <w:left w:val="none" w:sz="0" w:space="0" w:color="auto"/>
        <w:bottom w:val="none" w:sz="0" w:space="0" w:color="auto"/>
        <w:right w:val="none" w:sz="0" w:space="0" w:color="auto"/>
      </w:divBdr>
    </w:div>
    <w:div w:id="1291936832">
      <w:bodyDiv w:val="1"/>
      <w:marLeft w:val="0"/>
      <w:marRight w:val="0"/>
      <w:marTop w:val="0"/>
      <w:marBottom w:val="0"/>
      <w:divBdr>
        <w:top w:val="none" w:sz="0" w:space="0" w:color="auto"/>
        <w:left w:val="none" w:sz="0" w:space="0" w:color="auto"/>
        <w:bottom w:val="none" w:sz="0" w:space="0" w:color="auto"/>
        <w:right w:val="none" w:sz="0" w:space="0" w:color="auto"/>
      </w:divBdr>
    </w:div>
    <w:div w:id="1291980937">
      <w:bodyDiv w:val="1"/>
      <w:marLeft w:val="0"/>
      <w:marRight w:val="0"/>
      <w:marTop w:val="0"/>
      <w:marBottom w:val="0"/>
      <w:divBdr>
        <w:top w:val="none" w:sz="0" w:space="0" w:color="auto"/>
        <w:left w:val="none" w:sz="0" w:space="0" w:color="auto"/>
        <w:bottom w:val="none" w:sz="0" w:space="0" w:color="auto"/>
        <w:right w:val="none" w:sz="0" w:space="0" w:color="auto"/>
      </w:divBdr>
    </w:div>
    <w:div w:id="1292053314">
      <w:bodyDiv w:val="1"/>
      <w:marLeft w:val="0"/>
      <w:marRight w:val="0"/>
      <w:marTop w:val="0"/>
      <w:marBottom w:val="0"/>
      <w:divBdr>
        <w:top w:val="none" w:sz="0" w:space="0" w:color="auto"/>
        <w:left w:val="none" w:sz="0" w:space="0" w:color="auto"/>
        <w:bottom w:val="none" w:sz="0" w:space="0" w:color="auto"/>
        <w:right w:val="none" w:sz="0" w:space="0" w:color="auto"/>
      </w:divBdr>
    </w:div>
    <w:div w:id="1292055129">
      <w:bodyDiv w:val="1"/>
      <w:marLeft w:val="0"/>
      <w:marRight w:val="0"/>
      <w:marTop w:val="0"/>
      <w:marBottom w:val="0"/>
      <w:divBdr>
        <w:top w:val="none" w:sz="0" w:space="0" w:color="auto"/>
        <w:left w:val="none" w:sz="0" w:space="0" w:color="auto"/>
        <w:bottom w:val="none" w:sz="0" w:space="0" w:color="auto"/>
        <w:right w:val="none" w:sz="0" w:space="0" w:color="auto"/>
      </w:divBdr>
    </w:div>
    <w:div w:id="1292127082">
      <w:bodyDiv w:val="1"/>
      <w:marLeft w:val="0"/>
      <w:marRight w:val="0"/>
      <w:marTop w:val="0"/>
      <w:marBottom w:val="0"/>
      <w:divBdr>
        <w:top w:val="none" w:sz="0" w:space="0" w:color="auto"/>
        <w:left w:val="none" w:sz="0" w:space="0" w:color="auto"/>
        <w:bottom w:val="none" w:sz="0" w:space="0" w:color="auto"/>
        <w:right w:val="none" w:sz="0" w:space="0" w:color="auto"/>
      </w:divBdr>
    </w:div>
    <w:div w:id="1292135014">
      <w:bodyDiv w:val="1"/>
      <w:marLeft w:val="0"/>
      <w:marRight w:val="0"/>
      <w:marTop w:val="0"/>
      <w:marBottom w:val="0"/>
      <w:divBdr>
        <w:top w:val="none" w:sz="0" w:space="0" w:color="auto"/>
        <w:left w:val="none" w:sz="0" w:space="0" w:color="auto"/>
        <w:bottom w:val="none" w:sz="0" w:space="0" w:color="auto"/>
        <w:right w:val="none" w:sz="0" w:space="0" w:color="auto"/>
      </w:divBdr>
    </w:div>
    <w:div w:id="1292174952">
      <w:bodyDiv w:val="1"/>
      <w:marLeft w:val="0"/>
      <w:marRight w:val="0"/>
      <w:marTop w:val="0"/>
      <w:marBottom w:val="0"/>
      <w:divBdr>
        <w:top w:val="none" w:sz="0" w:space="0" w:color="auto"/>
        <w:left w:val="none" w:sz="0" w:space="0" w:color="auto"/>
        <w:bottom w:val="none" w:sz="0" w:space="0" w:color="auto"/>
        <w:right w:val="none" w:sz="0" w:space="0" w:color="auto"/>
      </w:divBdr>
    </w:div>
    <w:div w:id="1292248743">
      <w:bodyDiv w:val="1"/>
      <w:marLeft w:val="0"/>
      <w:marRight w:val="0"/>
      <w:marTop w:val="0"/>
      <w:marBottom w:val="0"/>
      <w:divBdr>
        <w:top w:val="none" w:sz="0" w:space="0" w:color="auto"/>
        <w:left w:val="none" w:sz="0" w:space="0" w:color="auto"/>
        <w:bottom w:val="none" w:sz="0" w:space="0" w:color="auto"/>
        <w:right w:val="none" w:sz="0" w:space="0" w:color="auto"/>
      </w:divBdr>
    </w:div>
    <w:div w:id="1292321707">
      <w:bodyDiv w:val="1"/>
      <w:marLeft w:val="0"/>
      <w:marRight w:val="0"/>
      <w:marTop w:val="0"/>
      <w:marBottom w:val="0"/>
      <w:divBdr>
        <w:top w:val="none" w:sz="0" w:space="0" w:color="auto"/>
        <w:left w:val="none" w:sz="0" w:space="0" w:color="auto"/>
        <w:bottom w:val="none" w:sz="0" w:space="0" w:color="auto"/>
        <w:right w:val="none" w:sz="0" w:space="0" w:color="auto"/>
      </w:divBdr>
    </w:div>
    <w:div w:id="1292325396">
      <w:bodyDiv w:val="1"/>
      <w:marLeft w:val="0"/>
      <w:marRight w:val="0"/>
      <w:marTop w:val="0"/>
      <w:marBottom w:val="0"/>
      <w:divBdr>
        <w:top w:val="none" w:sz="0" w:space="0" w:color="auto"/>
        <w:left w:val="none" w:sz="0" w:space="0" w:color="auto"/>
        <w:bottom w:val="none" w:sz="0" w:space="0" w:color="auto"/>
        <w:right w:val="none" w:sz="0" w:space="0" w:color="auto"/>
      </w:divBdr>
    </w:div>
    <w:div w:id="1292328451">
      <w:bodyDiv w:val="1"/>
      <w:marLeft w:val="0"/>
      <w:marRight w:val="0"/>
      <w:marTop w:val="0"/>
      <w:marBottom w:val="0"/>
      <w:divBdr>
        <w:top w:val="none" w:sz="0" w:space="0" w:color="auto"/>
        <w:left w:val="none" w:sz="0" w:space="0" w:color="auto"/>
        <w:bottom w:val="none" w:sz="0" w:space="0" w:color="auto"/>
        <w:right w:val="none" w:sz="0" w:space="0" w:color="auto"/>
      </w:divBdr>
    </w:div>
    <w:div w:id="1292394479">
      <w:bodyDiv w:val="1"/>
      <w:marLeft w:val="0"/>
      <w:marRight w:val="0"/>
      <w:marTop w:val="0"/>
      <w:marBottom w:val="0"/>
      <w:divBdr>
        <w:top w:val="none" w:sz="0" w:space="0" w:color="auto"/>
        <w:left w:val="none" w:sz="0" w:space="0" w:color="auto"/>
        <w:bottom w:val="none" w:sz="0" w:space="0" w:color="auto"/>
        <w:right w:val="none" w:sz="0" w:space="0" w:color="auto"/>
      </w:divBdr>
    </w:div>
    <w:div w:id="1292440322">
      <w:bodyDiv w:val="1"/>
      <w:marLeft w:val="0"/>
      <w:marRight w:val="0"/>
      <w:marTop w:val="0"/>
      <w:marBottom w:val="0"/>
      <w:divBdr>
        <w:top w:val="none" w:sz="0" w:space="0" w:color="auto"/>
        <w:left w:val="none" w:sz="0" w:space="0" w:color="auto"/>
        <w:bottom w:val="none" w:sz="0" w:space="0" w:color="auto"/>
        <w:right w:val="none" w:sz="0" w:space="0" w:color="auto"/>
      </w:divBdr>
    </w:div>
    <w:div w:id="1292445629">
      <w:bodyDiv w:val="1"/>
      <w:marLeft w:val="0"/>
      <w:marRight w:val="0"/>
      <w:marTop w:val="0"/>
      <w:marBottom w:val="0"/>
      <w:divBdr>
        <w:top w:val="none" w:sz="0" w:space="0" w:color="auto"/>
        <w:left w:val="none" w:sz="0" w:space="0" w:color="auto"/>
        <w:bottom w:val="none" w:sz="0" w:space="0" w:color="auto"/>
        <w:right w:val="none" w:sz="0" w:space="0" w:color="auto"/>
      </w:divBdr>
    </w:div>
    <w:div w:id="1292633837">
      <w:bodyDiv w:val="1"/>
      <w:marLeft w:val="0"/>
      <w:marRight w:val="0"/>
      <w:marTop w:val="0"/>
      <w:marBottom w:val="0"/>
      <w:divBdr>
        <w:top w:val="none" w:sz="0" w:space="0" w:color="auto"/>
        <w:left w:val="none" w:sz="0" w:space="0" w:color="auto"/>
        <w:bottom w:val="none" w:sz="0" w:space="0" w:color="auto"/>
        <w:right w:val="none" w:sz="0" w:space="0" w:color="auto"/>
      </w:divBdr>
    </w:div>
    <w:div w:id="1292782896">
      <w:bodyDiv w:val="1"/>
      <w:marLeft w:val="0"/>
      <w:marRight w:val="0"/>
      <w:marTop w:val="0"/>
      <w:marBottom w:val="0"/>
      <w:divBdr>
        <w:top w:val="none" w:sz="0" w:space="0" w:color="auto"/>
        <w:left w:val="none" w:sz="0" w:space="0" w:color="auto"/>
        <w:bottom w:val="none" w:sz="0" w:space="0" w:color="auto"/>
        <w:right w:val="none" w:sz="0" w:space="0" w:color="auto"/>
      </w:divBdr>
    </w:div>
    <w:div w:id="1292788800">
      <w:bodyDiv w:val="1"/>
      <w:marLeft w:val="0"/>
      <w:marRight w:val="0"/>
      <w:marTop w:val="0"/>
      <w:marBottom w:val="0"/>
      <w:divBdr>
        <w:top w:val="none" w:sz="0" w:space="0" w:color="auto"/>
        <w:left w:val="none" w:sz="0" w:space="0" w:color="auto"/>
        <w:bottom w:val="none" w:sz="0" w:space="0" w:color="auto"/>
        <w:right w:val="none" w:sz="0" w:space="0" w:color="auto"/>
      </w:divBdr>
    </w:div>
    <w:div w:id="1292899023">
      <w:bodyDiv w:val="1"/>
      <w:marLeft w:val="0"/>
      <w:marRight w:val="0"/>
      <w:marTop w:val="0"/>
      <w:marBottom w:val="0"/>
      <w:divBdr>
        <w:top w:val="none" w:sz="0" w:space="0" w:color="auto"/>
        <w:left w:val="none" w:sz="0" w:space="0" w:color="auto"/>
        <w:bottom w:val="none" w:sz="0" w:space="0" w:color="auto"/>
        <w:right w:val="none" w:sz="0" w:space="0" w:color="auto"/>
      </w:divBdr>
    </w:div>
    <w:div w:id="1293245124">
      <w:bodyDiv w:val="1"/>
      <w:marLeft w:val="0"/>
      <w:marRight w:val="0"/>
      <w:marTop w:val="0"/>
      <w:marBottom w:val="0"/>
      <w:divBdr>
        <w:top w:val="none" w:sz="0" w:space="0" w:color="auto"/>
        <w:left w:val="none" w:sz="0" w:space="0" w:color="auto"/>
        <w:bottom w:val="none" w:sz="0" w:space="0" w:color="auto"/>
        <w:right w:val="none" w:sz="0" w:space="0" w:color="auto"/>
      </w:divBdr>
    </w:div>
    <w:div w:id="1293366035">
      <w:bodyDiv w:val="1"/>
      <w:marLeft w:val="0"/>
      <w:marRight w:val="0"/>
      <w:marTop w:val="0"/>
      <w:marBottom w:val="0"/>
      <w:divBdr>
        <w:top w:val="none" w:sz="0" w:space="0" w:color="auto"/>
        <w:left w:val="none" w:sz="0" w:space="0" w:color="auto"/>
        <w:bottom w:val="none" w:sz="0" w:space="0" w:color="auto"/>
        <w:right w:val="none" w:sz="0" w:space="0" w:color="auto"/>
      </w:divBdr>
    </w:div>
    <w:div w:id="1293366402">
      <w:bodyDiv w:val="1"/>
      <w:marLeft w:val="0"/>
      <w:marRight w:val="0"/>
      <w:marTop w:val="0"/>
      <w:marBottom w:val="0"/>
      <w:divBdr>
        <w:top w:val="none" w:sz="0" w:space="0" w:color="auto"/>
        <w:left w:val="none" w:sz="0" w:space="0" w:color="auto"/>
        <w:bottom w:val="none" w:sz="0" w:space="0" w:color="auto"/>
        <w:right w:val="none" w:sz="0" w:space="0" w:color="auto"/>
      </w:divBdr>
    </w:div>
    <w:div w:id="1293554131">
      <w:bodyDiv w:val="1"/>
      <w:marLeft w:val="0"/>
      <w:marRight w:val="0"/>
      <w:marTop w:val="0"/>
      <w:marBottom w:val="0"/>
      <w:divBdr>
        <w:top w:val="none" w:sz="0" w:space="0" w:color="auto"/>
        <w:left w:val="none" w:sz="0" w:space="0" w:color="auto"/>
        <w:bottom w:val="none" w:sz="0" w:space="0" w:color="auto"/>
        <w:right w:val="none" w:sz="0" w:space="0" w:color="auto"/>
      </w:divBdr>
    </w:div>
    <w:div w:id="1293711708">
      <w:bodyDiv w:val="1"/>
      <w:marLeft w:val="0"/>
      <w:marRight w:val="0"/>
      <w:marTop w:val="0"/>
      <w:marBottom w:val="0"/>
      <w:divBdr>
        <w:top w:val="none" w:sz="0" w:space="0" w:color="auto"/>
        <w:left w:val="none" w:sz="0" w:space="0" w:color="auto"/>
        <w:bottom w:val="none" w:sz="0" w:space="0" w:color="auto"/>
        <w:right w:val="none" w:sz="0" w:space="0" w:color="auto"/>
      </w:divBdr>
    </w:div>
    <w:div w:id="1293946286">
      <w:bodyDiv w:val="1"/>
      <w:marLeft w:val="0"/>
      <w:marRight w:val="0"/>
      <w:marTop w:val="0"/>
      <w:marBottom w:val="0"/>
      <w:divBdr>
        <w:top w:val="none" w:sz="0" w:space="0" w:color="auto"/>
        <w:left w:val="none" w:sz="0" w:space="0" w:color="auto"/>
        <w:bottom w:val="none" w:sz="0" w:space="0" w:color="auto"/>
        <w:right w:val="none" w:sz="0" w:space="0" w:color="auto"/>
      </w:divBdr>
    </w:div>
    <w:div w:id="1294019403">
      <w:bodyDiv w:val="1"/>
      <w:marLeft w:val="0"/>
      <w:marRight w:val="0"/>
      <w:marTop w:val="0"/>
      <w:marBottom w:val="0"/>
      <w:divBdr>
        <w:top w:val="none" w:sz="0" w:space="0" w:color="auto"/>
        <w:left w:val="none" w:sz="0" w:space="0" w:color="auto"/>
        <w:bottom w:val="none" w:sz="0" w:space="0" w:color="auto"/>
        <w:right w:val="none" w:sz="0" w:space="0" w:color="auto"/>
      </w:divBdr>
    </w:div>
    <w:div w:id="1294021974">
      <w:bodyDiv w:val="1"/>
      <w:marLeft w:val="0"/>
      <w:marRight w:val="0"/>
      <w:marTop w:val="0"/>
      <w:marBottom w:val="0"/>
      <w:divBdr>
        <w:top w:val="none" w:sz="0" w:space="0" w:color="auto"/>
        <w:left w:val="none" w:sz="0" w:space="0" w:color="auto"/>
        <w:bottom w:val="none" w:sz="0" w:space="0" w:color="auto"/>
        <w:right w:val="none" w:sz="0" w:space="0" w:color="auto"/>
      </w:divBdr>
    </w:div>
    <w:div w:id="1294091362">
      <w:bodyDiv w:val="1"/>
      <w:marLeft w:val="0"/>
      <w:marRight w:val="0"/>
      <w:marTop w:val="0"/>
      <w:marBottom w:val="0"/>
      <w:divBdr>
        <w:top w:val="none" w:sz="0" w:space="0" w:color="auto"/>
        <w:left w:val="none" w:sz="0" w:space="0" w:color="auto"/>
        <w:bottom w:val="none" w:sz="0" w:space="0" w:color="auto"/>
        <w:right w:val="none" w:sz="0" w:space="0" w:color="auto"/>
      </w:divBdr>
    </w:div>
    <w:div w:id="1294091869">
      <w:bodyDiv w:val="1"/>
      <w:marLeft w:val="0"/>
      <w:marRight w:val="0"/>
      <w:marTop w:val="0"/>
      <w:marBottom w:val="0"/>
      <w:divBdr>
        <w:top w:val="none" w:sz="0" w:space="0" w:color="auto"/>
        <w:left w:val="none" w:sz="0" w:space="0" w:color="auto"/>
        <w:bottom w:val="none" w:sz="0" w:space="0" w:color="auto"/>
        <w:right w:val="none" w:sz="0" w:space="0" w:color="auto"/>
      </w:divBdr>
    </w:div>
    <w:div w:id="1294091920">
      <w:bodyDiv w:val="1"/>
      <w:marLeft w:val="0"/>
      <w:marRight w:val="0"/>
      <w:marTop w:val="0"/>
      <w:marBottom w:val="0"/>
      <w:divBdr>
        <w:top w:val="none" w:sz="0" w:space="0" w:color="auto"/>
        <w:left w:val="none" w:sz="0" w:space="0" w:color="auto"/>
        <w:bottom w:val="none" w:sz="0" w:space="0" w:color="auto"/>
        <w:right w:val="none" w:sz="0" w:space="0" w:color="auto"/>
      </w:divBdr>
    </w:div>
    <w:div w:id="1294139990">
      <w:bodyDiv w:val="1"/>
      <w:marLeft w:val="0"/>
      <w:marRight w:val="0"/>
      <w:marTop w:val="0"/>
      <w:marBottom w:val="0"/>
      <w:divBdr>
        <w:top w:val="none" w:sz="0" w:space="0" w:color="auto"/>
        <w:left w:val="none" w:sz="0" w:space="0" w:color="auto"/>
        <w:bottom w:val="none" w:sz="0" w:space="0" w:color="auto"/>
        <w:right w:val="none" w:sz="0" w:space="0" w:color="auto"/>
      </w:divBdr>
    </w:div>
    <w:div w:id="1294168942">
      <w:bodyDiv w:val="1"/>
      <w:marLeft w:val="0"/>
      <w:marRight w:val="0"/>
      <w:marTop w:val="0"/>
      <w:marBottom w:val="0"/>
      <w:divBdr>
        <w:top w:val="none" w:sz="0" w:space="0" w:color="auto"/>
        <w:left w:val="none" w:sz="0" w:space="0" w:color="auto"/>
        <w:bottom w:val="none" w:sz="0" w:space="0" w:color="auto"/>
        <w:right w:val="none" w:sz="0" w:space="0" w:color="auto"/>
      </w:divBdr>
    </w:div>
    <w:div w:id="1294171457">
      <w:bodyDiv w:val="1"/>
      <w:marLeft w:val="0"/>
      <w:marRight w:val="0"/>
      <w:marTop w:val="0"/>
      <w:marBottom w:val="0"/>
      <w:divBdr>
        <w:top w:val="none" w:sz="0" w:space="0" w:color="auto"/>
        <w:left w:val="none" w:sz="0" w:space="0" w:color="auto"/>
        <w:bottom w:val="none" w:sz="0" w:space="0" w:color="auto"/>
        <w:right w:val="none" w:sz="0" w:space="0" w:color="auto"/>
      </w:divBdr>
    </w:div>
    <w:div w:id="1294212602">
      <w:bodyDiv w:val="1"/>
      <w:marLeft w:val="0"/>
      <w:marRight w:val="0"/>
      <w:marTop w:val="0"/>
      <w:marBottom w:val="0"/>
      <w:divBdr>
        <w:top w:val="none" w:sz="0" w:space="0" w:color="auto"/>
        <w:left w:val="none" w:sz="0" w:space="0" w:color="auto"/>
        <w:bottom w:val="none" w:sz="0" w:space="0" w:color="auto"/>
        <w:right w:val="none" w:sz="0" w:space="0" w:color="auto"/>
      </w:divBdr>
    </w:div>
    <w:div w:id="1294215581">
      <w:bodyDiv w:val="1"/>
      <w:marLeft w:val="0"/>
      <w:marRight w:val="0"/>
      <w:marTop w:val="0"/>
      <w:marBottom w:val="0"/>
      <w:divBdr>
        <w:top w:val="none" w:sz="0" w:space="0" w:color="auto"/>
        <w:left w:val="none" w:sz="0" w:space="0" w:color="auto"/>
        <w:bottom w:val="none" w:sz="0" w:space="0" w:color="auto"/>
        <w:right w:val="none" w:sz="0" w:space="0" w:color="auto"/>
      </w:divBdr>
    </w:div>
    <w:div w:id="1294362213">
      <w:bodyDiv w:val="1"/>
      <w:marLeft w:val="0"/>
      <w:marRight w:val="0"/>
      <w:marTop w:val="0"/>
      <w:marBottom w:val="0"/>
      <w:divBdr>
        <w:top w:val="none" w:sz="0" w:space="0" w:color="auto"/>
        <w:left w:val="none" w:sz="0" w:space="0" w:color="auto"/>
        <w:bottom w:val="none" w:sz="0" w:space="0" w:color="auto"/>
        <w:right w:val="none" w:sz="0" w:space="0" w:color="auto"/>
      </w:divBdr>
    </w:div>
    <w:div w:id="1294411401">
      <w:bodyDiv w:val="1"/>
      <w:marLeft w:val="0"/>
      <w:marRight w:val="0"/>
      <w:marTop w:val="0"/>
      <w:marBottom w:val="0"/>
      <w:divBdr>
        <w:top w:val="none" w:sz="0" w:space="0" w:color="auto"/>
        <w:left w:val="none" w:sz="0" w:space="0" w:color="auto"/>
        <w:bottom w:val="none" w:sz="0" w:space="0" w:color="auto"/>
        <w:right w:val="none" w:sz="0" w:space="0" w:color="auto"/>
      </w:divBdr>
    </w:div>
    <w:div w:id="1294411682">
      <w:bodyDiv w:val="1"/>
      <w:marLeft w:val="0"/>
      <w:marRight w:val="0"/>
      <w:marTop w:val="0"/>
      <w:marBottom w:val="0"/>
      <w:divBdr>
        <w:top w:val="none" w:sz="0" w:space="0" w:color="auto"/>
        <w:left w:val="none" w:sz="0" w:space="0" w:color="auto"/>
        <w:bottom w:val="none" w:sz="0" w:space="0" w:color="auto"/>
        <w:right w:val="none" w:sz="0" w:space="0" w:color="auto"/>
      </w:divBdr>
    </w:div>
    <w:div w:id="1294479600">
      <w:bodyDiv w:val="1"/>
      <w:marLeft w:val="0"/>
      <w:marRight w:val="0"/>
      <w:marTop w:val="0"/>
      <w:marBottom w:val="0"/>
      <w:divBdr>
        <w:top w:val="none" w:sz="0" w:space="0" w:color="auto"/>
        <w:left w:val="none" w:sz="0" w:space="0" w:color="auto"/>
        <w:bottom w:val="none" w:sz="0" w:space="0" w:color="auto"/>
        <w:right w:val="none" w:sz="0" w:space="0" w:color="auto"/>
      </w:divBdr>
    </w:div>
    <w:div w:id="1294557425">
      <w:bodyDiv w:val="1"/>
      <w:marLeft w:val="0"/>
      <w:marRight w:val="0"/>
      <w:marTop w:val="0"/>
      <w:marBottom w:val="0"/>
      <w:divBdr>
        <w:top w:val="none" w:sz="0" w:space="0" w:color="auto"/>
        <w:left w:val="none" w:sz="0" w:space="0" w:color="auto"/>
        <w:bottom w:val="none" w:sz="0" w:space="0" w:color="auto"/>
        <w:right w:val="none" w:sz="0" w:space="0" w:color="auto"/>
      </w:divBdr>
    </w:div>
    <w:div w:id="1294604552">
      <w:bodyDiv w:val="1"/>
      <w:marLeft w:val="0"/>
      <w:marRight w:val="0"/>
      <w:marTop w:val="0"/>
      <w:marBottom w:val="0"/>
      <w:divBdr>
        <w:top w:val="none" w:sz="0" w:space="0" w:color="auto"/>
        <w:left w:val="none" w:sz="0" w:space="0" w:color="auto"/>
        <w:bottom w:val="none" w:sz="0" w:space="0" w:color="auto"/>
        <w:right w:val="none" w:sz="0" w:space="0" w:color="auto"/>
      </w:divBdr>
    </w:div>
    <w:div w:id="1294678860">
      <w:bodyDiv w:val="1"/>
      <w:marLeft w:val="0"/>
      <w:marRight w:val="0"/>
      <w:marTop w:val="0"/>
      <w:marBottom w:val="0"/>
      <w:divBdr>
        <w:top w:val="none" w:sz="0" w:space="0" w:color="auto"/>
        <w:left w:val="none" w:sz="0" w:space="0" w:color="auto"/>
        <w:bottom w:val="none" w:sz="0" w:space="0" w:color="auto"/>
        <w:right w:val="none" w:sz="0" w:space="0" w:color="auto"/>
      </w:divBdr>
    </w:div>
    <w:div w:id="1294796752">
      <w:bodyDiv w:val="1"/>
      <w:marLeft w:val="0"/>
      <w:marRight w:val="0"/>
      <w:marTop w:val="0"/>
      <w:marBottom w:val="0"/>
      <w:divBdr>
        <w:top w:val="none" w:sz="0" w:space="0" w:color="auto"/>
        <w:left w:val="none" w:sz="0" w:space="0" w:color="auto"/>
        <w:bottom w:val="none" w:sz="0" w:space="0" w:color="auto"/>
        <w:right w:val="none" w:sz="0" w:space="0" w:color="auto"/>
      </w:divBdr>
    </w:div>
    <w:div w:id="1294825006">
      <w:bodyDiv w:val="1"/>
      <w:marLeft w:val="0"/>
      <w:marRight w:val="0"/>
      <w:marTop w:val="0"/>
      <w:marBottom w:val="0"/>
      <w:divBdr>
        <w:top w:val="none" w:sz="0" w:space="0" w:color="auto"/>
        <w:left w:val="none" w:sz="0" w:space="0" w:color="auto"/>
        <w:bottom w:val="none" w:sz="0" w:space="0" w:color="auto"/>
        <w:right w:val="none" w:sz="0" w:space="0" w:color="auto"/>
      </w:divBdr>
    </w:div>
    <w:div w:id="1294865304">
      <w:bodyDiv w:val="1"/>
      <w:marLeft w:val="0"/>
      <w:marRight w:val="0"/>
      <w:marTop w:val="0"/>
      <w:marBottom w:val="0"/>
      <w:divBdr>
        <w:top w:val="none" w:sz="0" w:space="0" w:color="auto"/>
        <w:left w:val="none" w:sz="0" w:space="0" w:color="auto"/>
        <w:bottom w:val="none" w:sz="0" w:space="0" w:color="auto"/>
        <w:right w:val="none" w:sz="0" w:space="0" w:color="auto"/>
      </w:divBdr>
    </w:div>
    <w:div w:id="1294869536">
      <w:bodyDiv w:val="1"/>
      <w:marLeft w:val="0"/>
      <w:marRight w:val="0"/>
      <w:marTop w:val="0"/>
      <w:marBottom w:val="0"/>
      <w:divBdr>
        <w:top w:val="none" w:sz="0" w:space="0" w:color="auto"/>
        <w:left w:val="none" w:sz="0" w:space="0" w:color="auto"/>
        <w:bottom w:val="none" w:sz="0" w:space="0" w:color="auto"/>
        <w:right w:val="none" w:sz="0" w:space="0" w:color="auto"/>
      </w:divBdr>
    </w:div>
    <w:div w:id="1294945987">
      <w:bodyDiv w:val="1"/>
      <w:marLeft w:val="0"/>
      <w:marRight w:val="0"/>
      <w:marTop w:val="0"/>
      <w:marBottom w:val="0"/>
      <w:divBdr>
        <w:top w:val="none" w:sz="0" w:space="0" w:color="auto"/>
        <w:left w:val="none" w:sz="0" w:space="0" w:color="auto"/>
        <w:bottom w:val="none" w:sz="0" w:space="0" w:color="auto"/>
        <w:right w:val="none" w:sz="0" w:space="0" w:color="auto"/>
      </w:divBdr>
    </w:div>
    <w:div w:id="1295023312">
      <w:bodyDiv w:val="1"/>
      <w:marLeft w:val="0"/>
      <w:marRight w:val="0"/>
      <w:marTop w:val="0"/>
      <w:marBottom w:val="0"/>
      <w:divBdr>
        <w:top w:val="none" w:sz="0" w:space="0" w:color="auto"/>
        <w:left w:val="none" w:sz="0" w:space="0" w:color="auto"/>
        <w:bottom w:val="none" w:sz="0" w:space="0" w:color="auto"/>
        <w:right w:val="none" w:sz="0" w:space="0" w:color="auto"/>
      </w:divBdr>
    </w:div>
    <w:div w:id="1295058211">
      <w:bodyDiv w:val="1"/>
      <w:marLeft w:val="0"/>
      <w:marRight w:val="0"/>
      <w:marTop w:val="0"/>
      <w:marBottom w:val="0"/>
      <w:divBdr>
        <w:top w:val="none" w:sz="0" w:space="0" w:color="auto"/>
        <w:left w:val="none" w:sz="0" w:space="0" w:color="auto"/>
        <w:bottom w:val="none" w:sz="0" w:space="0" w:color="auto"/>
        <w:right w:val="none" w:sz="0" w:space="0" w:color="auto"/>
      </w:divBdr>
    </w:div>
    <w:div w:id="1295064442">
      <w:bodyDiv w:val="1"/>
      <w:marLeft w:val="0"/>
      <w:marRight w:val="0"/>
      <w:marTop w:val="0"/>
      <w:marBottom w:val="0"/>
      <w:divBdr>
        <w:top w:val="none" w:sz="0" w:space="0" w:color="auto"/>
        <w:left w:val="none" w:sz="0" w:space="0" w:color="auto"/>
        <w:bottom w:val="none" w:sz="0" w:space="0" w:color="auto"/>
        <w:right w:val="none" w:sz="0" w:space="0" w:color="auto"/>
      </w:divBdr>
    </w:div>
    <w:div w:id="1295140686">
      <w:bodyDiv w:val="1"/>
      <w:marLeft w:val="0"/>
      <w:marRight w:val="0"/>
      <w:marTop w:val="0"/>
      <w:marBottom w:val="0"/>
      <w:divBdr>
        <w:top w:val="none" w:sz="0" w:space="0" w:color="auto"/>
        <w:left w:val="none" w:sz="0" w:space="0" w:color="auto"/>
        <w:bottom w:val="none" w:sz="0" w:space="0" w:color="auto"/>
        <w:right w:val="none" w:sz="0" w:space="0" w:color="auto"/>
      </w:divBdr>
    </w:div>
    <w:div w:id="1295213754">
      <w:bodyDiv w:val="1"/>
      <w:marLeft w:val="0"/>
      <w:marRight w:val="0"/>
      <w:marTop w:val="0"/>
      <w:marBottom w:val="0"/>
      <w:divBdr>
        <w:top w:val="none" w:sz="0" w:space="0" w:color="auto"/>
        <w:left w:val="none" w:sz="0" w:space="0" w:color="auto"/>
        <w:bottom w:val="none" w:sz="0" w:space="0" w:color="auto"/>
        <w:right w:val="none" w:sz="0" w:space="0" w:color="auto"/>
      </w:divBdr>
    </w:div>
    <w:div w:id="1295216143">
      <w:bodyDiv w:val="1"/>
      <w:marLeft w:val="0"/>
      <w:marRight w:val="0"/>
      <w:marTop w:val="0"/>
      <w:marBottom w:val="0"/>
      <w:divBdr>
        <w:top w:val="none" w:sz="0" w:space="0" w:color="auto"/>
        <w:left w:val="none" w:sz="0" w:space="0" w:color="auto"/>
        <w:bottom w:val="none" w:sz="0" w:space="0" w:color="auto"/>
        <w:right w:val="none" w:sz="0" w:space="0" w:color="auto"/>
      </w:divBdr>
    </w:div>
    <w:div w:id="1295254927">
      <w:bodyDiv w:val="1"/>
      <w:marLeft w:val="0"/>
      <w:marRight w:val="0"/>
      <w:marTop w:val="0"/>
      <w:marBottom w:val="0"/>
      <w:divBdr>
        <w:top w:val="none" w:sz="0" w:space="0" w:color="auto"/>
        <w:left w:val="none" w:sz="0" w:space="0" w:color="auto"/>
        <w:bottom w:val="none" w:sz="0" w:space="0" w:color="auto"/>
        <w:right w:val="none" w:sz="0" w:space="0" w:color="auto"/>
      </w:divBdr>
    </w:div>
    <w:div w:id="1295336016">
      <w:bodyDiv w:val="1"/>
      <w:marLeft w:val="0"/>
      <w:marRight w:val="0"/>
      <w:marTop w:val="0"/>
      <w:marBottom w:val="0"/>
      <w:divBdr>
        <w:top w:val="none" w:sz="0" w:space="0" w:color="auto"/>
        <w:left w:val="none" w:sz="0" w:space="0" w:color="auto"/>
        <w:bottom w:val="none" w:sz="0" w:space="0" w:color="auto"/>
        <w:right w:val="none" w:sz="0" w:space="0" w:color="auto"/>
      </w:divBdr>
    </w:div>
    <w:div w:id="1295405508">
      <w:bodyDiv w:val="1"/>
      <w:marLeft w:val="0"/>
      <w:marRight w:val="0"/>
      <w:marTop w:val="0"/>
      <w:marBottom w:val="0"/>
      <w:divBdr>
        <w:top w:val="none" w:sz="0" w:space="0" w:color="auto"/>
        <w:left w:val="none" w:sz="0" w:space="0" w:color="auto"/>
        <w:bottom w:val="none" w:sz="0" w:space="0" w:color="auto"/>
        <w:right w:val="none" w:sz="0" w:space="0" w:color="auto"/>
      </w:divBdr>
    </w:div>
    <w:div w:id="1295596442">
      <w:bodyDiv w:val="1"/>
      <w:marLeft w:val="0"/>
      <w:marRight w:val="0"/>
      <w:marTop w:val="0"/>
      <w:marBottom w:val="0"/>
      <w:divBdr>
        <w:top w:val="none" w:sz="0" w:space="0" w:color="auto"/>
        <w:left w:val="none" w:sz="0" w:space="0" w:color="auto"/>
        <w:bottom w:val="none" w:sz="0" w:space="0" w:color="auto"/>
        <w:right w:val="none" w:sz="0" w:space="0" w:color="auto"/>
      </w:divBdr>
    </w:div>
    <w:div w:id="1295672149">
      <w:bodyDiv w:val="1"/>
      <w:marLeft w:val="0"/>
      <w:marRight w:val="0"/>
      <w:marTop w:val="0"/>
      <w:marBottom w:val="0"/>
      <w:divBdr>
        <w:top w:val="none" w:sz="0" w:space="0" w:color="auto"/>
        <w:left w:val="none" w:sz="0" w:space="0" w:color="auto"/>
        <w:bottom w:val="none" w:sz="0" w:space="0" w:color="auto"/>
        <w:right w:val="none" w:sz="0" w:space="0" w:color="auto"/>
      </w:divBdr>
    </w:div>
    <w:div w:id="1295720428">
      <w:bodyDiv w:val="1"/>
      <w:marLeft w:val="0"/>
      <w:marRight w:val="0"/>
      <w:marTop w:val="0"/>
      <w:marBottom w:val="0"/>
      <w:divBdr>
        <w:top w:val="none" w:sz="0" w:space="0" w:color="auto"/>
        <w:left w:val="none" w:sz="0" w:space="0" w:color="auto"/>
        <w:bottom w:val="none" w:sz="0" w:space="0" w:color="auto"/>
        <w:right w:val="none" w:sz="0" w:space="0" w:color="auto"/>
      </w:divBdr>
    </w:div>
    <w:div w:id="1295720837">
      <w:bodyDiv w:val="1"/>
      <w:marLeft w:val="0"/>
      <w:marRight w:val="0"/>
      <w:marTop w:val="0"/>
      <w:marBottom w:val="0"/>
      <w:divBdr>
        <w:top w:val="none" w:sz="0" w:space="0" w:color="auto"/>
        <w:left w:val="none" w:sz="0" w:space="0" w:color="auto"/>
        <w:bottom w:val="none" w:sz="0" w:space="0" w:color="auto"/>
        <w:right w:val="none" w:sz="0" w:space="0" w:color="auto"/>
      </w:divBdr>
    </w:div>
    <w:div w:id="1295795345">
      <w:bodyDiv w:val="1"/>
      <w:marLeft w:val="0"/>
      <w:marRight w:val="0"/>
      <w:marTop w:val="0"/>
      <w:marBottom w:val="0"/>
      <w:divBdr>
        <w:top w:val="none" w:sz="0" w:space="0" w:color="auto"/>
        <w:left w:val="none" w:sz="0" w:space="0" w:color="auto"/>
        <w:bottom w:val="none" w:sz="0" w:space="0" w:color="auto"/>
        <w:right w:val="none" w:sz="0" w:space="0" w:color="auto"/>
      </w:divBdr>
    </w:div>
    <w:div w:id="1295909371">
      <w:bodyDiv w:val="1"/>
      <w:marLeft w:val="0"/>
      <w:marRight w:val="0"/>
      <w:marTop w:val="0"/>
      <w:marBottom w:val="0"/>
      <w:divBdr>
        <w:top w:val="none" w:sz="0" w:space="0" w:color="auto"/>
        <w:left w:val="none" w:sz="0" w:space="0" w:color="auto"/>
        <w:bottom w:val="none" w:sz="0" w:space="0" w:color="auto"/>
        <w:right w:val="none" w:sz="0" w:space="0" w:color="auto"/>
      </w:divBdr>
    </w:div>
    <w:div w:id="1295911361">
      <w:bodyDiv w:val="1"/>
      <w:marLeft w:val="0"/>
      <w:marRight w:val="0"/>
      <w:marTop w:val="0"/>
      <w:marBottom w:val="0"/>
      <w:divBdr>
        <w:top w:val="none" w:sz="0" w:space="0" w:color="auto"/>
        <w:left w:val="none" w:sz="0" w:space="0" w:color="auto"/>
        <w:bottom w:val="none" w:sz="0" w:space="0" w:color="auto"/>
        <w:right w:val="none" w:sz="0" w:space="0" w:color="auto"/>
      </w:divBdr>
    </w:div>
    <w:div w:id="1295915982">
      <w:bodyDiv w:val="1"/>
      <w:marLeft w:val="0"/>
      <w:marRight w:val="0"/>
      <w:marTop w:val="0"/>
      <w:marBottom w:val="0"/>
      <w:divBdr>
        <w:top w:val="none" w:sz="0" w:space="0" w:color="auto"/>
        <w:left w:val="none" w:sz="0" w:space="0" w:color="auto"/>
        <w:bottom w:val="none" w:sz="0" w:space="0" w:color="auto"/>
        <w:right w:val="none" w:sz="0" w:space="0" w:color="auto"/>
      </w:divBdr>
    </w:div>
    <w:div w:id="1295991045">
      <w:bodyDiv w:val="1"/>
      <w:marLeft w:val="0"/>
      <w:marRight w:val="0"/>
      <w:marTop w:val="0"/>
      <w:marBottom w:val="0"/>
      <w:divBdr>
        <w:top w:val="none" w:sz="0" w:space="0" w:color="auto"/>
        <w:left w:val="none" w:sz="0" w:space="0" w:color="auto"/>
        <w:bottom w:val="none" w:sz="0" w:space="0" w:color="auto"/>
        <w:right w:val="none" w:sz="0" w:space="0" w:color="auto"/>
      </w:divBdr>
    </w:div>
    <w:div w:id="1296062779">
      <w:bodyDiv w:val="1"/>
      <w:marLeft w:val="0"/>
      <w:marRight w:val="0"/>
      <w:marTop w:val="0"/>
      <w:marBottom w:val="0"/>
      <w:divBdr>
        <w:top w:val="none" w:sz="0" w:space="0" w:color="auto"/>
        <w:left w:val="none" w:sz="0" w:space="0" w:color="auto"/>
        <w:bottom w:val="none" w:sz="0" w:space="0" w:color="auto"/>
        <w:right w:val="none" w:sz="0" w:space="0" w:color="auto"/>
      </w:divBdr>
    </w:div>
    <w:div w:id="1296133330">
      <w:bodyDiv w:val="1"/>
      <w:marLeft w:val="0"/>
      <w:marRight w:val="0"/>
      <w:marTop w:val="0"/>
      <w:marBottom w:val="0"/>
      <w:divBdr>
        <w:top w:val="none" w:sz="0" w:space="0" w:color="auto"/>
        <w:left w:val="none" w:sz="0" w:space="0" w:color="auto"/>
        <w:bottom w:val="none" w:sz="0" w:space="0" w:color="auto"/>
        <w:right w:val="none" w:sz="0" w:space="0" w:color="auto"/>
      </w:divBdr>
    </w:div>
    <w:div w:id="1296251489">
      <w:bodyDiv w:val="1"/>
      <w:marLeft w:val="0"/>
      <w:marRight w:val="0"/>
      <w:marTop w:val="0"/>
      <w:marBottom w:val="0"/>
      <w:divBdr>
        <w:top w:val="none" w:sz="0" w:space="0" w:color="auto"/>
        <w:left w:val="none" w:sz="0" w:space="0" w:color="auto"/>
        <w:bottom w:val="none" w:sz="0" w:space="0" w:color="auto"/>
        <w:right w:val="none" w:sz="0" w:space="0" w:color="auto"/>
      </w:divBdr>
    </w:div>
    <w:div w:id="1296254259">
      <w:bodyDiv w:val="1"/>
      <w:marLeft w:val="0"/>
      <w:marRight w:val="0"/>
      <w:marTop w:val="0"/>
      <w:marBottom w:val="0"/>
      <w:divBdr>
        <w:top w:val="none" w:sz="0" w:space="0" w:color="auto"/>
        <w:left w:val="none" w:sz="0" w:space="0" w:color="auto"/>
        <w:bottom w:val="none" w:sz="0" w:space="0" w:color="auto"/>
        <w:right w:val="none" w:sz="0" w:space="0" w:color="auto"/>
      </w:divBdr>
    </w:div>
    <w:div w:id="1296451812">
      <w:bodyDiv w:val="1"/>
      <w:marLeft w:val="0"/>
      <w:marRight w:val="0"/>
      <w:marTop w:val="0"/>
      <w:marBottom w:val="0"/>
      <w:divBdr>
        <w:top w:val="none" w:sz="0" w:space="0" w:color="auto"/>
        <w:left w:val="none" w:sz="0" w:space="0" w:color="auto"/>
        <w:bottom w:val="none" w:sz="0" w:space="0" w:color="auto"/>
        <w:right w:val="none" w:sz="0" w:space="0" w:color="auto"/>
      </w:divBdr>
    </w:div>
    <w:div w:id="1296452577">
      <w:bodyDiv w:val="1"/>
      <w:marLeft w:val="0"/>
      <w:marRight w:val="0"/>
      <w:marTop w:val="0"/>
      <w:marBottom w:val="0"/>
      <w:divBdr>
        <w:top w:val="none" w:sz="0" w:space="0" w:color="auto"/>
        <w:left w:val="none" w:sz="0" w:space="0" w:color="auto"/>
        <w:bottom w:val="none" w:sz="0" w:space="0" w:color="auto"/>
        <w:right w:val="none" w:sz="0" w:space="0" w:color="auto"/>
      </w:divBdr>
    </w:div>
    <w:div w:id="1296453084">
      <w:bodyDiv w:val="1"/>
      <w:marLeft w:val="0"/>
      <w:marRight w:val="0"/>
      <w:marTop w:val="0"/>
      <w:marBottom w:val="0"/>
      <w:divBdr>
        <w:top w:val="none" w:sz="0" w:space="0" w:color="auto"/>
        <w:left w:val="none" w:sz="0" w:space="0" w:color="auto"/>
        <w:bottom w:val="none" w:sz="0" w:space="0" w:color="auto"/>
        <w:right w:val="none" w:sz="0" w:space="0" w:color="auto"/>
      </w:divBdr>
    </w:div>
    <w:div w:id="1296520163">
      <w:bodyDiv w:val="1"/>
      <w:marLeft w:val="0"/>
      <w:marRight w:val="0"/>
      <w:marTop w:val="0"/>
      <w:marBottom w:val="0"/>
      <w:divBdr>
        <w:top w:val="none" w:sz="0" w:space="0" w:color="auto"/>
        <w:left w:val="none" w:sz="0" w:space="0" w:color="auto"/>
        <w:bottom w:val="none" w:sz="0" w:space="0" w:color="auto"/>
        <w:right w:val="none" w:sz="0" w:space="0" w:color="auto"/>
      </w:divBdr>
    </w:div>
    <w:div w:id="1296595009">
      <w:bodyDiv w:val="1"/>
      <w:marLeft w:val="0"/>
      <w:marRight w:val="0"/>
      <w:marTop w:val="0"/>
      <w:marBottom w:val="0"/>
      <w:divBdr>
        <w:top w:val="none" w:sz="0" w:space="0" w:color="auto"/>
        <w:left w:val="none" w:sz="0" w:space="0" w:color="auto"/>
        <w:bottom w:val="none" w:sz="0" w:space="0" w:color="auto"/>
        <w:right w:val="none" w:sz="0" w:space="0" w:color="auto"/>
      </w:divBdr>
    </w:div>
    <w:div w:id="1296596588">
      <w:bodyDiv w:val="1"/>
      <w:marLeft w:val="0"/>
      <w:marRight w:val="0"/>
      <w:marTop w:val="0"/>
      <w:marBottom w:val="0"/>
      <w:divBdr>
        <w:top w:val="none" w:sz="0" w:space="0" w:color="auto"/>
        <w:left w:val="none" w:sz="0" w:space="0" w:color="auto"/>
        <w:bottom w:val="none" w:sz="0" w:space="0" w:color="auto"/>
        <w:right w:val="none" w:sz="0" w:space="0" w:color="auto"/>
      </w:divBdr>
    </w:div>
    <w:div w:id="1296646550">
      <w:bodyDiv w:val="1"/>
      <w:marLeft w:val="0"/>
      <w:marRight w:val="0"/>
      <w:marTop w:val="0"/>
      <w:marBottom w:val="0"/>
      <w:divBdr>
        <w:top w:val="none" w:sz="0" w:space="0" w:color="auto"/>
        <w:left w:val="none" w:sz="0" w:space="0" w:color="auto"/>
        <w:bottom w:val="none" w:sz="0" w:space="0" w:color="auto"/>
        <w:right w:val="none" w:sz="0" w:space="0" w:color="auto"/>
      </w:divBdr>
    </w:div>
    <w:div w:id="1296714298">
      <w:bodyDiv w:val="1"/>
      <w:marLeft w:val="0"/>
      <w:marRight w:val="0"/>
      <w:marTop w:val="0"/>
      <w:marBottom w:val="0"/>
      <w:divBdr>
        <w:top w:val="none" w:sz="0" w:space="0" w:color="auto"/>
        <w:left w:val="none" w:sz="0" w:space="0" w:color="auto"/>
        <w:bottom w:val="none" w:sz="0" w:space="0" w:color="auto"/>
        <w:right w:val="none" w:sz="0" w:space="0" w:color="auto"/>
      </w:divBdr>
    </w:div>
    <w:div w:id="1296835320">
      <w:bodyDiv w:val="1"/>
      <w:marLeft w:val="0"/>
      <w:marRight w:val="0"/>
      <w:marTop w:val="0"/>
      <w:marBottom w:val="0"/>
      <w:divBdr>
        <w:top w:val="none" w:sz="0" w:space="0" w:color="auto"/>
        <w:left w:val="none" w:sz="0" w:space="0" w:color="auto"/>
        <w:bottom w:val="none" w:sz="0" w:space="0" w:color="auto"/>
        <w:right w:val="none" w:sz="0" w:space="0" w:color="auto"/>
      </w:divBdr>
    </w:div>
    <w:div w:id="1296838850">
      <w:bodyDiv w:val="1"/>
      <w:marLeft w:val="0"/>
      <w:marRight w:val="0"/>
      <w:marTop w:val="0"/>
      <w:marBottom w:val="0"/>
      <w:divBdr>
        <w:top w:val="none" w:sz="0" w:space="0" w:color="auto"/>
        <w:left w:val="none" w:sz="0" w:space="0" w:color="auto"/>
        <w:bottom w:val="none" w:sz="0" w:space="0" w:color="auto"/>
        <w:right w:val="none" w:sz="0" w:space="0" w:color="auto"/>
      </w:divBdr>
    </w:div>
    <w:div w:id="1296839028">
      <w:bodyDiv w:val="1"/>
      <w:marLeft w:val="0"/>
      <w:marRight w:val="0"/>
      <w:marTop w:val="0"/>
      <w:marBottom w:val="0"/>
      <w:divBdr>
        <w:top w:val="none" w:sz="0" w:space="0" w:color="auto"/>
        <w:left w:val="none" w:sz="0" w:space="0" w:color="auto"/>
        <w:bottom w:val="none" w:sz="0" w:space="0" w:color="auto"/>
        <w:right w:val="none" w:sz="0" w:space="0" w:color="auto"/>
      </w:divBdr>
    </w:div>
    <w:div w:id="1296839181">
      <w:bodyDiv w:val="1"/>
      <w:marLeft w:val="0"/>
      <w:marRight w:val="0"/>
      <w:marTop w:val="0"/>
      <w:marBottom w:val="0"/>
      <w:divBdr>
        <w:top w:val="none" w:sz="0" w:space="0" w:color="auto"/>
        <w:left w:val="none" w:sz="0" w:space="0" w:color="auto"/>
        <w:bottom w:val="none" w:sz="0" w:space="0" w:color="auto"/>
        <w:right w:val="none" w:sz="0" w:space="0" w:color="auto"/>
      </w:divBdr>
    </w:div>
    <w:div w:id="1296908376">
      <w:bodyDiv w:val="1"/>
      <w:marLeft w:val="0"/>
      <w:marRight w:val="0"/>
      <w:marTop w:val="0"/>
      <w:marBottom w:val="0"/>
      <w:divBdr>
        <w:top w:val="none" w:sz="0" w:space="0" w:color="auto"/>
        <w:left w:val="none" w:sz="0" w:space="0" w:color="auto"/>
        <w:bottom w:val="none" w:sz="0" w:space="0" w:color="auto"/>
        <w:right w:val="none" w:sz="0" w:space="0" w:color="auto"/>
      </w:divBdr>
    </w:div>
    <w:div w:id="1296910991">
      <w:bodyDiv w:val="1"/>
      <w:marLeft w:val="0"/>
      <w:marRight w:val="0"/>
      <w:marTop w:val="0"/>
      <w:marBottom w:val="0"/>
      <w:divBdr>
        <w:top w:val="none" w:sz="0" w:space="0" w:color="auto"/>
        <w:left w:val="none" w:sz="0" w:space="0" w:color="auto"/>
        <w:bottom w:val="none" w:sz="0" w:space="0" w:color="auto"/>
        <w:right w:val="none" w:sz="0" w:space="0" w:color="auto"/>
      </w:divBdr>
    </w:div>
    <w:div w:id="1296982825">
      <w:bodyDiv w:val="1"/>
      <w:marLeft w:val="0"/>
      <w:marRight w:val="0"/>
      <w:marTop w:val="0"/>
      <w:marBottom w:val="0"/>
      <w:divBdr>
        <w:top w:val="none" w:sz="0" w:space="0" w:color="auto"/>
        <w:left w:val="none" w:sz="0" w:space="0" w:color="auto"/>
        <w:bottom w:val="none" w:sz="0" w:space="0" w:color="auto"/>
        <w:right w:val="none" w:sz="0" w:space="0" w:color="auto"/>
      </w:divBdr>
    </w:div>
    <w:div w:id="1297102791">
      <w:bodyDiv w:val="1"/>
      <w:marLeft w:val="0"/>
      <w:marRight w:val="0"/>
      <w:marTop w:val="0"/>
      <w:marBottom w:val="0"/>
      <w:divBdr>
        <w:top w:val="none" w:sz="0" w:space="0" w:color="auto"/>
        <w:left w:val="none" w:sz="0" w:space="0" w:color="auto"/>
        <w:bottom w:val="none" w:sz="0" w:space="0" w:color="auto"/>
        <w:right w:val="none" w:sz="0" w:space="0" w:color="auto"/>
      </w:divBdr>
    </w:div>
    <w:div w:id="1297104743">
      <w:bodyDiv w:val="1"/>
      <w:marLeft w:val="0"/>
      <w:marRight w:val="0"/>
      <w:marTop w:val="0"/>
      <w:marBottom w:val="0"/>
      <w:divBdr>
        <w:top w:val="none" w:sz="0" w:space="0" w:color="auto"/>
        <w:left w:val="none" w:sz="0" w:space="0" w:color="auto"/>
        <w:bottom w:val="none" w:sz="0" w:space="0" w:color="auto"/>
        <w:right w:val="none" w:sz="0" w:space="0" w:color="auto"/>
      </w:divBdr>
    </w:div>
    <w:div w:id="1297251989">
      <w:bodyDiv w:val="1"/>
      <w:marLeft w:val="0"/>
      <w:marRight w:val="0"/>
      <w:marTop w:val="0"/>
      <w:marBottom w:val="0"/>
      <w:divBdr>
        <w:top w:val="none" w:sz="0" w:space="0" w:color="auto"/>
        <w:left w:val="none" w:sz="0" w:space="0" w:color="auto"/>
        <w:bottom w:val="none" w:sz="0" w:space="0" w:color="auto"/>
        <w:right w:val="none" w:sz="0" w:space="0" w:color="auto"/>
      </w:divBdr>
    </w:div>
    <w:div w:id="1297299039">
      <w:bodyDiv w:val="1"/>
      <w:marLeft w:val="0"/>
      <w:marRight w:val="0"/>
      <w:marTop w:val="0"/>
      <w:marBottom w:val="0"/>
      <w:divBdr>
        <w:top w:val="none" w:sz="0" w:space="0" w:color="auto"/>
        <w:left w:val="none" w:sz="0" w:space="0" w:color="auto"/>
        <w:bottom w:val="none" w:sz="0" w:space="0" w:color="auto"/>
        <w:right w:val="none" w:sz="0" w:space="0" w:color="auto"/>
      </w:divBdr>
    </w:div>
    <w:div w:id="1297368415">
      <w:bodyDiv w:val="1"/>
      <w:marLeft w:val="0"/>
      <w:marRight w:val="0"/>
      <w:marTop w:val="0"/>
      <w:marBottom w:val="0"/>
      <w:divBdr>
        <w:top w:val="none" w:sz="0" w:space="0" w:color="auto"/>
        <w:left w:val="none" w:sz="0" w:space="0" w:color="auto"/>
        <w:bottom w:val="none" w:sz="0" w:space="0" w:color="auto"/>
        <w:right w:val="none" w:sz="0" w:space="0" w:color="auto"/>
      </w:divBdr>
    </w:div>
    <w:div w:id="1297369881">
      <w:bodyDiv w:val="1"/>
      <w:marLeft w:val="0"/>
      <w:marRight w:val="0"/>
      <w:marTop w:val="0"/>
      <w:marBottom w:val="0"/>
      <w:divBdr>
        <w:top w:val="none" w:sz="0" w:space="0" w:color="auto"/>
        <w:left w:val="none" w:sz="0" w:space="0" w:color="auto"/>
        <w:bottom w:val="none" w:sz="0" w:space="0" w:color="auto"/>
        <w:right w:val="none" w:sz="0" w:space="0" w:color="auto"/>
      </w:divBdr>
    </w:div>
    <w:div w:id="1297370122">
      <w:bodyDiv w:val="1"/>
      <w:marLeft w:val="0"/>
      <w:marRight w:val="0"/>
      <w:marTop w:val="0"/>
      <w:marBottom w:val="0"/>
      <w:divBdr>
        <w:top w:val="none" w:sz="0" w:space="0" w:color="auto"/>
        <w:left w:val="none" w:sz="0" w:space="0" w:color="auto"/>
        <w:bottom w:val="none" w:sz="0" w:space="0" w:color="auto"/>
        <w:right w:val="none" w:sz="0" w:space="0" w:color="auto"/>
      </w:divBdr>
    </w:div>
    <w:div w:id="1297375714">
      <w:bodyDiv w:val="1"/>
      <w:marLeft w:val="0"/>
      <w:marRight w:val="0"/>
      <w:marTop w:val="0"/>
      <w:marBottom w:val="0"/>
      <w:divBdr>
        <w:top w:val="none" w:sz="0" w:space="0" w:color="auto"/>
        <w:left w:val="none" w:sz="0" w:space="0" w:color="auto"/>
        <w:bottom w:val="none" w:sz="0" w:space="0" w:color="auto"/>
        <w:right w:val="none" w:sz="0" w:space="0" w:color="auto"/>
      </w:divBdr>
    </w:div>
    <w:div w:id="1297376149">
      <w:bodyDiv w:val="1"/>
      <w:marLeft w:val="0"/>
      <w:marRight w:val="0"/>
      <w:marTop w:val="0"/>
      <w:marBottom w:val="0"/>
      <w:divBdr>
        <w:top w:val="none" w:sz="0" w:space="0" w:color="auto"/>
        <w:left w:val="none" w:sz="0" w:space="0" w:color="auto"/>
        <w:bottom w:val="none" w:sz="0" w:space="0" w:color="auto"/>
        <w:right w:val="none" w:sz="0" w:space="0" w:color="auto"/>
      </w:divBdr>
    </w:div>
    <w:div w:id="1297444418">
      <w:bodyDiv w:val="1"/>
      <w:marLeft w:val="0"/>
      <w:marRight w:val="0"/>
      <w:marTop w:val="0"/>
      <w:marBottom w:val="0"/>
      <w:divBdr>
        <w:top w:val="none" w:sz="0" w:space="0" w:color="auto"/>
        <w:left w:val="none" w:sz="0" w:space="0" w:color="auto"/>
        <w:bottom w:val="none" w:sz="0" w:space="0" w:color="auto"/>
        <w:right w:val="none" w:sz="0" w:space="0" w:color="auto"/>
      </w:divBdr>
    </w:div>
    <w:div w:id="1297489561">
      <w:bodyDiv w:val="1"/>
      <w:marLeft w:val="0"/>
      <w:marRight w:val="0"/>
      <w:marTop w:val="0"/>
      <w:marBottom w:val="0"/>
      <w:divBdr>
        <w:top w:val="none" w:sz="0" w:space="0" w:color="auto"/>
        <w:left w:val="none" w:sz="0" w:space="0" w:color="auto"/>
        <w:bottom w:val="none" w:sz="0" w:space="0" w:color="auto"/>
        <w:right w:val="none" w:sz="0" w:space="0" w:color="auto"/>
      </w:divBdr>
    </w:div>
    <w:div w:id="1297491337">
      <w:bodyDiv w:val="1"/>
      <w:marLeft w:val="0"/>
      <w:marRight w:val="0"/>
      <w:marTop w:val="0"/>
      <w:marBottom w:val="0"/>
      <w:divBdr>
        <w:top w:val="none" w:sz="0" w:space="0" w:color="auto"/>
        <w:left w:val="none" w:sz="0" w:space="0" w:color="auto"/>
        <w:bottom w:val="none" w:sz="0" w:space="0" w:color="auto"/>
        <w:right w:val="none" w:sz="0" w:space="0" w:color="auto"/>
      </w:divBdr>
    </w:div>
    <w:div w:id="1297643778">
      <w:bodyDiv w:val="1"/>
      <w:marLeft w:val="0"/>
      <w:marRight w:val="0"/>
      <w:marTop w:val="0"/>
      <w:marBottom w:val="0"/>
      <w:divBdr>
        <w:top w:val="none" w:sz="0" w:space="0" w:color="auto"/>
        <w:left w:val="none" w:sz="0" w:space="0" w:color="auto"/>
        <w:bottom w:val="none" w:sz="0" w:space="0" w:color="auto"/>
        <w:right w:val="none" w:sz="0" w:space="0" w:color="auto"/>
      </w:divBdr>
    </w:div>
    <w:div w:id="1297679404">
      <w:bodyDiv w:val="1"/>
      <w:marLeft w:val="0"/>
      <w:marRight w:val="0"/>
      <w:marTop w:val="0"/>
      <w:marBottom w:val="0"/>
      <w:divBdr>
        <w:top w:val="none" w:sz="0" w:space="0" w:color="auto"/>
        <w:left w:val="none" w:sz="0" w:space="0" w:color="auto"/>
        <w:bottom w:val="none" w:sz="0" w:space="0" w:color="auto"/>
        <w:right w:val="none" w:sz="0" w:space="0" w:color="auto"/>
      </w:divBdr>
    </w:div>
    <w:div w:id="1297830829">
      <w:bodyDiv w:val="1"/>
      <w:marLeft w:val="0"/>
      <w:marRight w:val="0"/>
      <w:marTop w:val="0"/>
      <w:marBottom w:val="0"/>
      <w:divBdr>
        <w:top w:val="none" w:sz="0" w:space="0" w:color="auto"/>
        <w:left w:val="none" w:sz="0" w:space="0" w:color="auto"/>
        <w:bottom w:val="none" w:sz="0" w:space="0" w:color="auto"/>
        <w:right w:val="none" w:sz="0" w:space="0" w:color="auto"/>
      </w:divBdr>
    </w:div>
    <w:div w:id="1297838978">
      <w:bodyDiv w:val="1"/>
      <w:marLeft w:val="0"/>
      <w:marRight w:val="0"/>
      <w:marTop w:val="0"/>
      <w:marBottom w:val="0"/>
      <w:divBdr>
        <w:top w:val="none" w:sz="0" w:space="0" w:color="auto"/>
        <w:left w:val="none" w:sz="0" w:space="0" w:color="auto"/>
        <w:bottom w:val="none" w:sz="0" w:space="0" w:color="auto"/>
        <w:right w:val="none" w:sz="0" w:space="0" w:color="auto"/>
      </w:divBdr>
    </w:div>
    <w:div w:id="1297954306">
      <w:bodyDiv w:val="1"/>
      <w:marLeft w:val="0"/>
      <w:marRight w:val="0"/>
      <w:marTop w:val="0"/>
      <w:marBottom w:val="0"/>
      <w:divBdr>
        <w:top w:val="none" w:sz="0" w:space="0" w:color="auto"/>
        <w:left w:val="none" w:sz="0" w:space="0" w:color="auto"/>
        <w:bottom w:val="none" w:sz="0" w:space="0" w:color="auto"/>
        <w:right w:val="none" w:sz="0" w:space="0" w:color="auto"/>
      </w:divBdr>
    </w:div>
    <w:div w:id="1297957021">
      <w:bodyDiv w:val="1"/>
      <w:marLeft w:val="0"/>
      <w:marRight w:val="0"/>
      <w:marTop w:val="0"/>
      <w:marBottom w:val="0"/>
      <w:divBdr>
        <w:top w:val="none" w:sz="0" w:space="0" w:color="auto"/>
        <w:left w:val="none" w:sz="0" w:space="0" w:color="auto"/>
        <w:bottom w:val="none" w:sz="0" w:space="0" w:color="auto"/>
        <w:right w:val="none" w:sz="0" w:space="0" w:color="auto"/>
      </w:divBdr>
    </w:div>
    <w:div w:id="1298025786">
      <w:bodyDiv w:val="1"/>
      <w:marLeft w:val="0"/>
      <w:marRight w:val="0"/>
      <w:marTop w:val="0"/>
      <w:marBottom w:val="0"/>
      <w:divBdr>
        <w:top w:val="none" w:sz="0" w:space="0" w:color="auto"/>
        <w:left w:val="none" w:sz="0" w:space="0" w:color="auto"/>
        <w:bottom w:val="none" w:sz="0" w:space="0" w:color="auto"/>
        <w:right w:val="none" w:sz="0" w:space="0" w:color="auto"/>
      </w:divBdr>
    </w:div>
    <w:div w:id="1298031885">
      <w:bodyDiv w:val="1"/>
      <w:marLeft w:val="0"/>
      <w:marRight w:val="0"/>
      <w:marTop w:val="0"/>
      <w:marBottom w:val="0"/>
      <w:divBdr>
        <w:top w:val="none" w:sz="0" w:space="0" w:color="auto"/>
        <w:left w:val="none" w:sz="0" w:space="0" w:color="auto"/>
        <w:bottom w:val="none" w:sz="0" w:space="0" w:color="auto"/>
        <w:right w:val="none" w:sz="0" w:space="0" w:color="auto"/>
      </w:divBdr>
    </w:div>
    <w:div w:id="1298146807">
      <w:bodyDiv w:val="1"/>
      <w:marLeft w:val="0"/>
      <w:marRight w:val="0"/>
      <w:marTop w:val="0"/>
      <w:marBottom w:val="0"/>
      <w:divBdr>
        <w:top w:val="none" w:sz="0" w:space="0" w:color="auto"/>
        <w:left w:val="none" w:sz="0" w:space="0" w:color="auto"/>
        <w:bottom w:val="none" w:sz="0" w:space="0" w:color="auto"/>
        <w:right w:val="none" w:sz="0" w:space="0" w:color="auto"/>
      </w:divBdr>
    </w:div>
    <w:div w:id="1298295180">
      <w:bodyDiv w:val="1"/>
      <w:marLeft w:val="0"/>
      <w:marRight w:val="0"/>
      <w:marTop w:val="0"/>
      <w:marBottom w:val="0"/>
      <w:divBdr>
        <w:top w:val="none" w:sz="0" w:space="0" w:color="auto"/>
        <w:left w:val="none" w:sz="0" w:space="0" w:color="auto"/>
        <w:bottom w:val="none" w:sz="0" w:space="0" w:color="auto"/>
        <w:right w:val="none" w:sz="0" w:space="0" w:color="auto"/>
      </w:divBdr>
    </w:div>
    <w:div w:id="1298298266">
      <w:bodyDiv w:val="1"/>
      <w:marLeft w:val="0"/>
      <w:marRight w:val="0"/>
      <w:marTop w:val="0"/>
      <w:marBottom w:val="0"/>
      <w:divBdr>
        <w:top w:val="none" w:sz="0" w:space="0" w:color="auto"/>
        <w:left w:val="none" w:sz="0" w:space="0" w:color="auto"/>
        <w:bottom w:val="none" w:sz="0" w:space="0" w:color="auto"/>
        <w:right w:val="none" w:sz="0" w:space="0" w:color="auto"/>
      </w:divBdr>
    </w:div>
    <w:div w:id="1298338801">
      <w:bodyDiv w:val="1"/>
      <w:marLeft w:val="0"/>
      <w:marRight w:val="0"/>
      <w:marTop w:val="0"/>
      <w:marBottom w:val="0"/>
      <w:divBdr>
        <w:top w:val="none" w:sz="0" w:space="0" w:color="auto"/>
        <w:left w:val="none" w:sz="0" w:space="0" w:color="auto"/>
        <w:bottom w:val="none" w:sz="0" w:space="0" w:color="auto"/>
        <w:right w:val="none" w:sz="0" w:space="0" w:color="auto"/>
      </w:divBdr>
    </w:div>
    <w:div w:id="1298340168">
      <w:bodyDiv w:val="1"/>
      <w:marLeft w:val="0"/>
      <w:marRight w:val="0"/>
      <w:marTop w:val="0"/>
      <w:marBottom w:val="0"/>
      <w:divBdr>
        <w:top w:val="none" w:sz="0" w:space="0" w:color="auto"/>
        <w:left w:val="none" w:sz="0" w:space="0" w:color="auto"/>
        <w:bottom w:val="none" w:sz="0" w:space="0" w:color="auto"/>
        <w:right w:val="none" w:sz="0" w:space="0" w:color="auto"/>
      </w:divBdr>
    </w:div>
    <w:div w:id="1298341555">
      <w:bodyDiv w:val="1"/>
      <w:marLeft w:val="0"/>
      <w:marRight w:val="0"/>
      <w:marTop w:val="0"/>
      <w:marBottom w:val="0"/>
      <w:divBdr>
        <w:top w:val="none" w:sz="0" w:space="0" w:color="auto"/>
        <w:left w:val="none" w:sz="0" w:space="0" w:color="auto"/>
        <w:bottom w:val="none" w:sz="0" w:space="0" w:color="auto"/>
        <w:right w:val="none" w:sz="0" w:space="0" w:color="auto"/>
      </w:divBdr>
    </w:div>
    <w:div w:id="1298560643">
      <w:bodyDiv w:val="1"/>
      <w:marLeft w:val="0"/>
      <w:marRight w:val="0"/>
      <w:marTop w:val="0"/>
      <w:marBottom w:val="0"/>
      <w:divBdr>
        <w:top w:val="none" w:sz="0" w:space="0" w:color="auto"/>
        <w:left w:val="none" w:sz="0" w:space="0" w:color="auto"/>
        <w:bottom w:val="none" w:sz="0" w:space="0" w:color="auto"/>
        <w:right w:val="none" w:sz="0" w:space="0" w:color="auto"/>
      </w:divBdr>
    </w:div>
    <w:div w:id="1298561490">
      <w:bodyDiv w:val="1"/>
      <w:marLeft w:val="0"/>
      <w:marRight w:val="0"/>
      <w:marTop w:val="0"/>
      <w:marBottom w:val="0"/>
      <w:divBdr>
        <w:top w:val="none" w:sz="0" w:space="0" w:color="auto"/>
        <w:left w:val="none" w:sz="0" w:space="0" w:color="auto"/>
        <w:bottom w:val="none" w:sz="0" w:space="0" w:color="auto"/>
        <w:right w:val="none" w:sz="0" w:space="0" w:color="auto"/>
      </w:divBdr>
    </w:div>
    <w:div w:id="1298608264">
      <w:bodyDiv w:val="1"/>
      <w:marLeft w:val="0"/>
      <w:marRight w:val="0"/>
      <w:marTop w:val="0"/>
      <w:marBottom w:val="0"/>
      <w:divBdr>
        <w:top w:val="none" w:sz="0" w:space="0" w:color="auto"/>
        <w:left w:val="none" w:sz="0" w:space="0" w:color="auto"/>
        <w:bottom w:val="none" w:sz="0" w:space="0" w:color="auto"/>
        <w:right w:val="none" w:sz="0" w:space="0" w:color="auto"/>
      </w:divBdr>
    </w:div>
    <w:div w:id="1298609029">
      <w:bodyDiv w:val="1"/>
      <w:marLeft w:val="0"/>
      <w:marRight w:val="0"/>
      <w:marTop w:val="0"/>
      <w:marBottom w:val="0"/>
      <w:divBdr>
        <w:top w:val="none" w:sz="0" w:space="0" w:color="auto"/>
        <w:left w:val="none" w:sz="0" w:space="0" w:color="auto"/>
        <w:bottom w:val="none" w:sz="0" w:space="0" w:color="auto"/>
        <w:right w:val="none" w:sz="0" w:space="0" w:color="auto"/>
      </w:divBdr>
    </w:div>
    <w:div w:id="1298682369">
      <w:bodyDiv w:val="1"/>
      <w:marLeft w:val="0"/>
      <w:marRight w:val="0"/>
      <w:marTop w:val="0"/>
      <w:marBottom w:val="0"/>
      <w:divBdr>
        <w:top w:val="none" w:sz="0" w:space="0" w:color="auto"/>
        <w:left w:val="none" w:sz="0" w:space="0" w:color="auto"/>
        <w:bottom w:val="none" w:sz="0" w:space="0" w:color="auto"/>
        <w:right w:val="none" w:sz="0" w:space="0" w:color="auto"/>
      </w:divBdr>
    </w:div>
    <w:div w:id="1298948689">
      <w:bodyDiv w:val="1"/>
      <w:marLeft w:val="0"/>
      <w:marRight w:val="0"/>
      <w:marTop w:val="0"/>
      <w:marBottom w:val="0"/>
      <w:divBdr>
        <w:top w:val="none" w:sz="0" w:space="0" w:color="auto"/>
        <w:left w:val="none" w:sz="0" w:space="0" w:color="auto"/>
        <w:bottom w:val="none" w:sz="0" w:space="0" w:color="auto"/>
        <w:right w:val="none" w:sz="0" w:space="0" w:color="auto"/>
      </w:divBdr>
    </w:div>
    <w:div w:id="1298954664">
      <w:bodyDiv w:val="1"/>
      <w:marLeft w:val="0"/>
      <w:marRight w:val="0"/>
      <w:marTop w:val="0"/>
      <w:marBottom w:val="0"/>
      <w:divBdr>
        <w:top w:val="none" w:sz="0" w:space="0" w:color="auto"/>
        <w:left w:val="none" w:sz="0" w:space="0" w:color="auto"/>
        <w:bottom w:val="none" w:sz="0" w:space="0" w:color="auto"/>
        <w:right w:val="none" w:sz="0" w:space="0" w:color="auto"/>
      </w:divBdr>
    </w:div>
    <w:div w:id="1299145363">
      <w:bodyDiv w:val="1"/>
      <w:marLeft w:val="0"/>
      <w:marRight w:val="0"/>
      <w:marTop w:val="0"/>
      <w:marBottom w:val="0"/>
      <w:divBdr>
        <w:top w:val="none" w:sz="0" w:space="0" w:color="auto"/>
        <w:left w:val="none" w:sz="0" w:space="0" w:color="auto"/>
        <w:bottom w:val="none" w:sz="0" w:space="0" w:color="auto"/>
        <w:right w:val="none" w:sz="0" w:space="0" w:color="auto"/>
      </w:divBdr>
    </w:div>
    <w:div w:id="1299215504">
      <w:bodyDiv w:val="1"/>
      <w:marLeft w:val="0"/>
      <w:marRight w:val="0"/>
      <w:marTop w:val="0"/>
      <w:marBottom w:val="0"/>
      <w:divBdr>
        <w:top w:val="none" w:sz="0" w:space="0" w:color="auto"/>
        <w:left w:val="none" w:sz="0" w:space="0" w:color="auto"/>
        <w:bottom w:val="none" w:sz="0" w:space="0" w:color="auto"/>
        <w:right w:val="none" w:sz="0" w:space="0" w:color="auto"/>
      </w:divBdr>
    </w:div>
    <w:div w:id="1299261592">
      <w:bodyDiv w:val="1"/>
      <w:marLeft w:val="0"/>
      <w:marRight w:val="0"/>
      <w:marTop w:val="0"/>
      <w:marBottom w:val="0"/>
      <w:divBdr>
        <w:top w:val="none" w:sz="0" w:space="0" w:color="auto"/>
        <w:left w:val="none" w:sz="0" w:space="0" w:color="auto"/>
        <w:bottom w:val="none" w:sz="0" w:space="0" w:color="auto"/>
        <w:right w:val="none" w:sz="0" w:space="0" w:color="auto"/>
      </w:divBdr>
    </w:div>
    <w:div w:id="1299453639">
      <w:bodyDiv w:val="1"/>
      <w:marLeft w:val="0"/>
      <w:marRight w:val="0"/>
      <w:marTop w:val="0"/>
      <w:marBottom w:val="0"/>
      <w:divBdr>
        <w:top w:val="none" w:sz="0" w:space="0" w:color="auto"/>
        <w:left w:val="none" w:sz="0" w:space="0" w:color="auto"/>
        <w:bottom w:val="none" w:sz="0" w:space="0" w:color="auto"/>
        <w:right w:val="none" w:sz="0" w:space="0" w:color="auto"/>
      </w:divBdr>
    </w:div>
    <w:div w:id="1299604660">
      <w:bodyDiv w:val="1"/>
      <w:marLeft w:val="0"/>
      <w:marRight w:val="0"/>
      <w:marTop w:val="0"/>
      <w:marBottom w:val="0"/>
      <w:divBdr>
        <w:top w:val="none" w:sz="0" w:space="0" w:color="auto"/>
        <w:left w:val="none" w:sz="0" w:space="0" w:color="auto"/>
        <w:bottom w:val="none" w:sz="0" w:space="0" w:color="auto"/>
        <w:right w:val="none" w:sz="0" w:space="0" w:color="auto"/>
      </w:divBdr>
    </w:div>
    <w:div w:id="1299719935">
      <w:bodyDiv w:val="1"/>
      <w:marLeft w:val="0"/>
      <w:marRight w:val="0"/>
      <w:marTop w:val="0"/>
      <w:marBottom w:val="0"/>
      <w:divBdr>
        <w:top w:val="none" w:sz="0" w:space="0" w:color="auto"/>
        <w:left w:val="none" w:sz="0" w:space="0" w:color="auto"/>
        <w:bottom w:val="none" w:sz="0" w:space="0" w:color="auto"/>
        <w:right w:val="none" w:sz="0" w:space="0" w:color="auto"/>
      </w:divBdr>
    </w:div>
    <w:div w:id="1299725483">
      <w:bodyDiv w:val="1"/>
      <w:marLeft w:val="0"/>
      <w:marRight w:val="0"/>
      <w:marTop w:val="0"/>
      <w:marBottom w:val="0"/>
      <w:divBdr>
        <w:top w:val="none" w:sz="0" w:space="0" w:color="auto"/>
        <w:left w:val="none" w:sz="0" w:space="0" w:color="auto"/>
        <w:bottom w:val="none" w:sz="0" w:space="0" w:color="auto"/>
        <w:right w:val="none" w:sz="0" w:space="0" w:color="auto"/>
      </w:divBdr>
    </w:div>
    <w:div w:id="1299795454">
      <w:bodyDiv w:val="1"/>
      <w:marLeft w:val="0"/>
      <w:marRight w:val="0"/>
      <w:marTop w:val="0"/>
      <w:marBottom w:val="0"/>
      <w:divBdr>
        <w:top w:val="none" w:sz="0" w:space="0" w:color="auto"/>
        <w:left w:val="none" w:sz="0" w:space="0" w:color="auto"/>
        <w:bottom w:val="none" w:sz="0" w:space="0" w:color="auto"/>
        <w:right w:val="none" w:sz="0" w:space="0" w:color="auto"/>
      </w:divBdr>
    </w:div>
    <w:div w:id="1299870837">
      <w:bodyDiv w:val="1"/>
      <w:marLeft w:val="0"/>
      <w:marRight w:val="0"/>
      <w:marTop w:val="0"/>
      <w:marBottom w:val="0"/>
      <w:divBdr>
        <w:top w:val="none" w:sz="0" w:space="0" w:color="auto"/>
        <w:left w:val="none" w:sz="0" w:space="0" w:color="auto"/>
        <w:bottom w:val="none" w:sz="0" w:space="0" w:color="auto"/>
        <w:right w:val="none" w:sz="0" w:space="0" w:color="auto"/>
      </w:divBdr>
    </w:div>
    <w:div w:id="1299916765">
      <w:bodyDiv w:val="1"/>
      <w:marLeft w:val="0"/>
      <w:marRight w:val="0"/>
      <w:marTop w:val="0"/>
      <w:marBottom w:val="0"/>
      <w:divBdr>
        <w:top w:val="none" w:sz="0" w:space="0" w:color="auto"/>
        <w:left w:val="none" w:sz="0" w:space="0" w:color="auto"/>
        <w:bottom w:val="none" w:sz="0" w:space="0" w:color="auto"/>
        <w:right w:val="none" w:sz="0" w:space="0" w:color="auto"/>
      </w:divBdr>
    </w:div>
    <w:div w:id="1299920998">
      <w:bodyDiv w:val="1"/>
      <w:marLeft w:val="0"/>
      <w:marRight w:val="0"/>
      <w:marTop w:val="0"/>
      <w:marBottom w:val="0"/>
      <w:divBdr>
        <w:top w:val="none" w:sz="0" w:space="0" w:color="auto"/>
        <w:left w:val="none" w:sz="0" w:space="0" w:color="auto"/>
        <w:bottom w:val="none" w:sz="0" w:space="0" w:color="auto"/>
        <w:right w:val="none" w:sz="0" w:space="0" w:color="auto"/>
      </w:divBdr>
    </w:div>
    <w:div w:id="1300066069">
      <w:bodyDiv w:val="1"/>
      <w:marLeft w:val="0"/>
      <w:marRight w:val="0"/>
      <w:marTop w:val="0"/>
      <w:marBottom w:val="0"/>
      <w:divBdr>
        <w:top w:val="none" w:sz="0" w:space="0" w:color="auto"/>
        <w:left w:val="none" w:sz="0" w:space="0" w:color="auto"/>
        <w:bottom w:val="none" w:sz="0" w:space="0" w:color="auto"/>
        <w:right w:val="none" w:sz="0" w:space="0" w:color="auto"/>
      </w:divBdr>
    </w:div>
    <w:div w:id="1300066832">
      <w:bodyDiv w:val="1"/>
      <w:marLeft w:val="0"/>
      <w:marRight w:val="0"/>
      <w:marTop w:val="0"/>
      <w:marBottom w:val="0"/>
      <w:divBdr>
        <w:top w:val="none" w:sz="0" w:space="0" w:color="auto"/>
        <w:left w:val="none" w:sz="0" w:space="0" w:color="auto"/>
        <w:bottom w:val="none" w:sz="0" w:space="0" w:color="auto"/>
        <w:right w:val="none" w:sz="0" w:space="0" w:color="auto"/>
      </w:divBdr>
    </w:div>
    <w:div w:id="1300107713">
      <w:bodyDiv w:val="1"/>
      <w:marLeft w:val="0"/>
      <w:marRight w:val="0"/>
      <w:marTop w:val="0"/>
      <w:marBottom w:val="0"/>
      <w:divBdr>
        <w:top w:val="none" w:sz="0" w:space="0" w:color="auto"/>
        <w:left w:val="none" w:sz="0" w:space="0" w:color="auto"/>
        <w:bottom w:val="none" w:sz="0" w:space="0" w:color="auto"/>
        <w:right w:val="none" w:sz="0" w:space="0" w:color="auto"/>
      </w:divBdr>
    </w:div>
    <w:div w:id="1300115854">
      <w:bodyDiv w:val="1"/>
      <w:marLeft w:val="0"/>
      <w:marRight w:val="0"/>
      <w:marTop w:val="0"/>
      <w:marBottom w:val="0"/>
      <w:divBdr>
        <w:top w:val="none" w:sz="0" w:space="0" w:color="auto"/>
        <w:left w:val="none" w:sz="0" w:space="0" w:color="auto"/>
        <w:bottom w:val="none" w:sz="0" w:space="0" w:color="auto"/>
        <w:right w:val="none" w:sz="0" w:space="0" w:color="auto"/>
      </w:divBdr>
    </w:div>
    <w:div w:id="1300189795">
      <w:bodyDiv w:val="1"/>
      <w:marLeft w:val="0"/>
      <w:marRight w:val="0"/>
      <w:marTop w:val="0"/>
      <w:marBottom w:val="0"/>
      <w:divBdr>
        <w:top w:val="none" w:sz="0" w:space="0" w:color="auto"/>
        <w:left w:val="none" w:sz="0" w:space="0" w:color="auto"/>
        <w:bottom w:val="none" w:sz="0" w:space="0" w:color="auto"/>
        <w:right w:val="none" w:sz="0" w:space="0" w:color="auto"/>
      </w:divBdr>
    </w:div>
    <w:div w:id="1300259280">
      <w:bodyDiv w:val="1"/>
      <w:marLeft w:val="0"/>
      <w:marRight w:val="0"/>
      <w:marTop w:val="0"/>
      <w:marBottom w:val="0"/>
      <w:divBdr>
        <w:top w:val="none" w:sz="0" w:space="0" w:color="auto"/>
        <w:left w:val="none" w:sz="0" w:space="0" w:color="auto"/>
        <w:bottom w:val="none" w:sz="0" w:space="0" w:color="auto"/>
        <w:right w:val="none" w:sz="0" w:space="0" w:color="auto"/>
      </w:divBdr>
    </w:div>
    <w:div w:id="1300262128">
      <w:bodyDiv w:val="1"/>
      <w:marLeft w:val="0"/>
      <w:marRight w:val="0"/>
      <w:marTop w:val="0"/>
      <w:marBottom w:val="0"/>
      <w:divBdr>
        <w:top w:val="none" w:sz="0" w:space="0" w:color="auto"/>
        <w:left w:val="none" w:sz="0" w:space="0" w:color="auto"/>
        <w:bottom w:val="none" w:sz="0" w:space="0" w:color="auto"/>
        <w:right w:val="none" w:sz="0" w:space="0" w:color="auto"/>
      </w:divBdr>
    </w:div>
    <w:div w:id="1300265541">
      <w:bodyDiv w:val="1"/>
      <w:marLeft w:val="0"/>
      <w:marRight w:val="0"/>
      <w:marTop w:val="0"/>
      <w:marBottom w:val="0"/>
      <w:divBdr>
        <w:top w:val="none" w:sz="0" w:space="0" w:color="auto"/>
        <w:left w:val="none" w:sz="0" w:space="0" w:color="auto"/>
        <w:bottom w:val="none" w:sz="0" w:space="0" w:color="auto"/>
        <w:right w:val="none" w:sz="0" w:space="0" w:color="auto"/>
      </w:divBdr>
    </w:div>
    <w:div w:id="1300308992">
      <w:bodyDiv w:val="1"/>
      <w:marLeft w:val="0"/>
      <w:marRight w:val="0"/>
      <w:marTop w:val="0"/>
      <w:marBottom w:val="0"/>
      <w:divBdr>
        <w:top w:val="none" w:sz="0" w:space="0" w:color="auto"/>
        <w:left w:val="none" w:sz="0" w:space="0" w:color="auto"/>
        <w:bottom w:val="none" w:sz="0" w:space="0" w:color="auto"/>
        <w:right w:val="none" w:sz="0" w:space="0" w:color="auto"/>
      </w:divBdr>
    </w:div>
    <w:div w:id="1300376668">
      <w:bodyDiv w:val="1"/>
      <w:marLeft w:val="0"/>
      <w:marRight w:val="0"/>
      <w:marTop w:val="0"/>
      <w:marBottom w:val="0"/>
      <w:divBdr>
        <w:top w:val="none" w:sz="0" w:space="0" w:color="auto"/>
        <w:left w:val="none" w:sz="0" w:space="0" w:color="auto"/>
        <w:bottom w:val="none" w:sz="0" w:space="0" w:color="auto"/>
        <w:right w:val="none" w:sz="0" w:space="0" w:color="auto"/>
      </w:divBdr>
    </w:div>
    <w:div w:id="1300453078">
      <w:bodyDiv w:val="1"/>
      <w:marLeft w:val="0"/>
      <w:marRight w:val="0"/>
      <w:marTop w:val="0"/>
      <w:marBottom w:val="0"/>
      <w:divBdr>
        <w:top w:val="none" w:sz="0" w:space="0" w:color="auto"/>
        <w:left w:val="none" w:sz="0" w:space="0" w:color="auto"/>
        <w:bottom w:val="none" w:sz="0" w:space="0" w:color="auto"/>
        <w:right w:val="none" w:sz="0" w:space="0" w:color="auto"/>
      </w:divBdr>
    </w:div>
    <w:div w:id="1300499477">
      <w:bodyDiv w:val="1"/>
      <w:marLeft w:val="0"/>
      <w:marRight w:val="0"/>
      <w:marTop w:val="0"/>
      <w:marBottom w:val="0"/>
      <w:divBdr>
        <w:top w:val="none" w:sz="0" w:space="0" w:color="auto"/>
        <w:left w:val="none" w:sz="0" w:space="0" w:color="auto"/>
        <w:bottom w:val="none" w:sz="0" w:space="0" w:color="auto"/>
        <w:right w:val="none" w:sz="0" w:space="0" w:color="auto"/>
      </w:divBdr>
    </w:div>
    <w:div w:id="1300527232">
      <w:bodyDiv w:val="1"/>
      <w:marLeft w:val="0"/>
      <w:marRight w:val="0"/>
      <w:marTop w:val="0"/>
      <w:marBottom w:val="0"/>
      <w:divBdr>
        <w:top w:val="none" w:sz="0" w:space="0" w:color="auto"/>
        <w:left w:val="none" w:sz="0" w:space="0" w:color="auto"/>
        <w:bottom w:val="none" w:sz="0" w:space="0" w:color="auto"/>
        <w:right w:val="none" w:sz="0" w:space="0" w:color="auto"/>
      </w:divBdr>
    </w:div>
    <w:div w:id="1300651988">
      <w:bodyDiv w:val="1"/>
      <w:marLeft w:val="0"/>
      <w:marRight w:val="0"/>
      <w:marTop w:val="0"/>
      <w:marBottom w:val="0"/>
      <w:divBdr>
        <w:top w:val="none" w:sz="0" w:space="0" w:color="auto"/>
        <w:left w:val="none" w:sz="0" w:space="0" w:color="auto"/>
        <w:bottom w:val="none" w:sz="0" w:space="0" w:color="auto"/>
        <w:right w:val="none" w:sz="0" w:space="0" w:color="auto"/>
      </w:divBdr>
    </w:div>
    <w:div w:id="1300763799">
      <w:bodyDiv w:val="1"/>
      <w:marLeft w:val="0"/>
      <w:marRight w:val="0"/>
      <w:marTop w:val="0"/>
      <w:marBottom w:val="0"/>
      <w:divBdr>
        <w:top w:val="none" w:sz="0" w:space="0" w:color="auto"/>
        <w:left w:val="none" w:sz="0" w:space="0" w:color="auto"/>
        <w:bottom w:val="none" w:sz="0" w:space="0" w:color="auto"/>
        <w:right w:val="none" w:sz="0" w:space="0" w:color="auto"/>
      </w:divBdr>
    </w:div>
    <w:div w:id="1300767237">
      <w:bodyDiv w:val="1"/>
      <w:marLeft w:val="0"/>
      <w:marRight w:val="0"/>
      <w:marTop w:val="0"/>
      <w:marBottom w:val="0"/>
      <w:divBdr>
        <w:top w:val="none" w:sz="0" w:space="0" w:color="auto"/>
        <w:left w:val="none" w:sz="0" w:space="0" w:color="auto"/>
        <w:bottom w:val="none" w:sz="0" w:space="0" w:color="auto"/>
        <w:right w:val="none" w:sz="0" w:space="0" w:color="auto"/>
      </w:divBdr>
    </w:div>
    <w:div w:id="1300841288">
      <w:bodyDiv w:val="1"/>
      <w:marLeft w:val="0"/>
      <w:marRight w:val="0"/>
      <w:marTop w:val="0"/>
      <w:marBottom w:val="0"/>
      <w:divBdr>
        <w:top w:val="none" w:sz="0" w:space="0" w:color="auto"/>
        <w:left w:val="none" w:sz="0" w:space="0" w:color="auto"/>
        <w:bottom w:val="none" w:sz="0" w:space="0" w:color="auto"/>
        <w:right w:val="none" w:sz="0" w:space="0" w:color="auto"/>
      </w:divBdr>
    </w:div>
    <w:div w:id="1300842363">
      <w:bodyDiv w:val="1"/>
      <w:marLeft w:val="0"/>
      <w:marRight w:val="0"/>
      <w:marTop w:val="0"/>
      <w:marBottom w:val="0"/>
      <w:divBdr>
        <w:top w:val="none" w:sz="0" w:space="0" w:color="auto"/>
        <w:left w:val="none" w:sz="0" w:space="0" w:color="auto"/>
        <w:bottom w:val="none" w:sz="0" w:space="0" w:color="auto"/>
        <w:right w:val="none" w:sz="0" w:space="0" w:color="auto"/>
      </w:divBdr>
    </w:div>
    <w:div w:id="1300845251">
      <w:bodyDiv w:val="1"/>
      <w:marLeft w:val="0"/>
      <w:marRight w:val="0"/>
      <w:marTop w:val="0"/>
      <w:marBottom w:val="0"/>
      <w:divBdr>
        <w:top w:val="none" w:sz="0" w:space="0" w:color="auto"/>
        <w:left w:val="none" w:sz="0" w:space="0" w:color="auto"/>
        <w:bottom w:val="none" w:sz="0" w:space="0" w:color="auto"/>
        <w:right w:val="none" w:sz="0" w:space="0" w:color="auto"/>
      </w:divBdr>
    </w:div>
    <w:div w:id="1300916084">
      <w:bodyDiv w:val="1"/>
      <w:marLeft w:val="0"/>
      <w:marRight w:val="0"/>
      <w:marTop w:val="0"/>
      <w:marBottom w:val="0"/>
      <w:divBdr>
        <w:top w:val="none" w:sz="0" w:space="0" w:color="auto"/>
        <w:left w:val="none" w:sz="0" w:space="0" w:color="auto"/>
        <w:bottom w:val="none" w:sz="0" w:space="0" w:color="auto"/>
        <w:right w:val="none" w:sz="0" w:space="0" w:color="auto"/>
      </w:divBdr>
    </w:div>
    <w:div w:id="1300920663">
      <w:bodyDiv w:val="1"/>
      <w:marLeft w:val="0"/>
      <w:marRight w:val="0"/>
      <w:marTop w:val="0"/>
      <w:marBottom w:val="0"/>
      <w:divBdr>
        <w:top w:val="none" w:sz="0" w:space="0" w:color="auto"/>
        <w:left w:val="none" w:sz="0" w:space="0" w:color="auto"/>
        <w:bottom w:val="none" w:sz="0" w:space="0" w:color="auto"/>
        <w:right w:val="none" w:sz="0" w:space="0" w:color="auto"/>
      </w:divBdr>
    </w:div>
    <w:div w:id="1301108818">
      <w:bodyDiv w:val="1"/>
      <w:marLeft w:val="0"/>
      <w:marRight w:val="0"/>
      <w:marTop w:val="0"/>
      <w:marBottom w:val="0"/>
      <w:divBdr>
        <w:top w:val="none" w:sz="0" w:space="0" w:color="auto"/>
        <w:left w:val="none" w:sz="0" w:space="0" w:color="auto"/>
        <w:bottom w:val="none" w:sz="0" w:space="0" w:color="auto"/>
        <w:right w:val="none" w:sz="0" w:space="0" w:color="auto"/>
      </w:divBdr>
    </w:div>
    <w:div w:id="1301182756">
      <w:bodyDiv w:val="1"/>
      <w:marLeft w:val="0"/>
      <w:marRight w:val="0"/>
      <w:marTop w:val="0"/>
      <w:marBottom w:val="0"/>
      <w:divBdr>
        <w:top w:val="none" w:sz="0" w:space="0" w:color="auto"/>
        <w:left w:val="none" w:sz="0" w:space="0" w:color="auto"/>
        <w:bottom w:val="none" w:sz="0" w:space="0" w:color="auto"/>
        <w:right w:val="none" w:sz="0" w:space="0" w:color="auto"/>
      </w:divBdr>
    </w:div>
    <w:div w:id="1301184287">
      <w:bodyDiv w:val="1"/>
      <w:marLeft w:val="0"/>
      <w:marRight w:val="0"/>
      <w:marTop w:val="0"/>
      <w:marBottom w:val="0"/>
      <w:divBdr>
        <w:top w:val="none" w:sz="0" w:space="0" w:color="auto"/>
        <w:left w:val="none" w:sz="0" w:space="0" w:color="auto"/>
        <w:bottom w:val="none" w:sz="0" w:space="0" w:color="auto"/>
        <w:right w:val="none" w:sz="0" w:space="0" w:color="auto"/>
      </w:divBdr>
    </w:div>
    <w:div w:id="1301350707">
      <w:bodyDiv w:val="1"/>
      <w:marLeft w:val="0"/>
      <w:marRight w:val="0"/>
      <w:marTop w:val="0"/>
      <w:marBottom w:val="0"/>
      <w:divBdr>
        <w:top w:val="none" w:sz="0" w:space="0" w:color="auto"/>
        <w:left w:val="none" w:sz="0" w:space="0" w:color="auto"/>
        <w:bottom w:val="none" w:sz="0" w:space="0" w:color="auto"/>
        <w:right w:val="none" w:sz="0" w:space="0" w:color="auto"/>
      </w:divBdr>
    </w:div>
    <w:div w:id="1301374931">
      <w:bodyDiv w:val="1"/>
      <w:marLeft w:val="0"/>
      <w:marRight w:val="0"/>
      <w:marTop w:val="0"/>
      <w:marBottom w:val="0"/>
      <w:divBdr>
        <w:top w:val="none" w:sz="0" w:space="0" w:color="auto"/>
        <w:left w:val="none" w:sz="0" w:space="0" w:color="auto"/>
        <w:bottom w:val="none" w:sz="0" w:space="0" w:color="auto"/>
        <w:right w:val="none" w:sz="0" w:space="0" w:color="auto"/>
      </w:divBdr>
    </w:div>
    <w:div w:id="1301421224">
      <w:bodyDiv w:val="1"/>
      <w:marLeft w:val="0"/>
      <w:marRight w:val="0"/>
      <w:marTop w:val="0"/>
      <w:marBottom w:val="0"/>
      <w:divBdr>
        <w:top w:val="none" w:sz="0" w:space="0" w:color="auto"/>
        <w:left w:val="none" w:sz="0" w:space="0" w:color="auto"/>
        <w:bottom w:val="none" w:sz="0" w:space="0" w:color="auto"/>
        <w:right w:val="none" w:sz="0" w:space="0" w:color="auto"/>
      </w:divBdr>
    </w:div>
    <w:div w:id="1301426569">
      <w:bodyDiv w:val="1"/>
      <w:marLeft w:val="0"/>
      <w:marRight w:val="0"/>
      <w:marTop w:val="0"/>
      <w:marBottom w:val="0"/>
      <w:divBdr>
        <w:top w:val="none" w:sz="0" w:space="0" w:color="auto"/>
        <w:left w:val="none" w:sz="0" w:space="0" w:color="auto"/>
        <w:bottom w:val="none" w:sz="0" w:space="0" w:color="auto"/>
        <w:right w:val="none" w:sz="0" w:space="0" w:color="auto"/>
      </w:divBdr>
    </w:div>
    <w:div w:id="1301497274">
      <w:bodyDiv w:val="1"/>
      <w:marLeft w:val="0"/>
      <w:marRight w:val="0"/>
      <w:marTop w:val="0"/>
      <w:marBottom w:val="0"/>
      <w:divBdr>
        <w:top w:val="none" w:sz="0" w:space="0" w:color="auto"/>
        <w:left w:val="none" w:sz="0" w:space="0" w:color="auto"/>
        <w:bottom w:val="none" w:sz="0" w:space="0" w:color="auto"/>
        <w:right w:val="none" w:sz="0" w:space="0" w:color="auto"/>
      </w:divBdr>
    </w:div>
    <w:div w:id="1301499818">
      <w:bodyDiv w:val="1"/>
      <w:marLeft w:val="0"/>
      <w:marRight w:val="0"/>
      <w:marTop w:val="0"/>
      <w:marBottom w:val="0"/>
      <w:divBdr>
        <w:top w:val="none" w:sz="0" w:space="0" w:color="auto"/>
        <w:left w:val="none" w:sz="0" w:space="0" w:color="auto"/>
        <w:bottom w:val="none" w:sz="0" w:space="0" w:color="auto"/>
        <w:right w:val="none" w:sz="0" w:space="0" w:color="auto"/>
      </w:divBdr>
    </w:div>
    <w:div w:id="1301616892">
      <w:bodyDiv w:val="1"/>
      <w:marLeft w:val="0"/>
      <w:marRight w:val="0"/>
      <w:marTop w:val="0"/>
      <w:marBottom w:val="0"/>
      <w:divBdr>
        <w:top w:val="none" w:sz="0" w:space="0" w:color="auto"/>
        <w:left w:val="none" w:sz="0" w:space="0" w:color="auto"/>
        <w:bottom w:val="none" w:sz="0" w:space="0" w:color="auto"/>
        <w:right w:val="none" w:sz="0" w:space="0" w:color="auto"/>
      </w:divBdr>
    </w:div>
    <w:div w:id="1301618469">
      <w:bodyDiv w:val="1"/>
      <w:marLeft w:val="0"/>
      <w:marRight w:val="0"/>
      <w:marTop w:val="0"/>
      <w:marBottom w:val="0"/>
      <w:divBdr>
        <w:top w:val="none" w:sz="0" w:space="0" w:color="auto"/>
        <w:left w:val="none" w:sz="0" w:space="0" w:color="auto"/>
        <w:bottom w:val="none" w:sz="0" w:space="0" w:color="auto"/>
        <w:right w:val="none" w:sz="0" w:space="0" w:color="auto"/>
      </w:divBdr>
    </w:div>
    <w:div w:id="1301689164">
      <w:bodyDiv w:val="1"/>
      <w:marLeft w:val="0"/>
      <w:marRight w:val="0"/>
      <w:marTop w:val="0"/>
      <w:marBottom w:val="0"/>
      <w:divBdr>
        <w:top w:val="none" w:sz="0" w:space="0" w:color="auto"/>
        <w:left w:val="none" w:sz="0" w:space="0" w:color="auto"/>
        <w:bottom w:val="none" w:sz="0" w:space="0" w:color="auto"/>
        <w:right w:val="none" w:sz="0" w:space="0" w:color="auto"/>
      </w:divBdr>
    </w:div>
    <w:div w:id="1301764904">
      <w:bodyDiv w:val="1"/>
      <w:marLeft w:val="0"/>
      <w:marRight w:val="0"/>
      <w:marTop w:val="0"/>
      <w:marBottom w:val="0"/>
      <w:divBdr>
        <w:top w:val="none" w:sz="0" w:space="0" w:color="auto"/>
        <w:left w:val="none" w:sz="0" w:space="0" w:color="auto"/>
        <w:bottom w:val="none" w:sz="0" w:space="0" w:color="auto"/>
        <w:right w:val="none" w:sz="0" w:space="0" w:color="auto"/>
      </w:divBdr>
    </w:div>
    <w:div w:id="1301955737">
      <w:bodyDiv w:val="1"/>
      <w:marLeft w:val="0"/>
      <w:marRight w:val="0"/>
      <w:marTop w:val="0"/>
      <w:marBottom w:val="0"/>
      <w:divBdr>
        <w:top w:val="none" w:sz="0" w:space="0" w:color="auto"/>
        <w:left w:val="none" w:sz="0" w:space="0" w:color="auto"/>
        <w:bottom w:val="none" w:sz="0" w:space="0" w:color="auto"/>
        <w:right w:val="none" w:sz="0" w:space="0" w:color="auto"/>
      </w:divBdr>
    </w:div>
    <w:div w:id="1302004644">
      <w:bodyDiv w:val="1"/>
      <w:marLeft w:val="0"/>
      <w:marRight w:val="0"/>
      <w:marTop w:val="0"/>
      <w:marBottom w:val="0"/>
      <w:divBdr>
        <w:top w:val="none" w:sz="0" w:space="0" w:color="auto"/>
        <w:left w:val="none" w:sz="0" w:space="0" w:color="auto"/>
        <w:bottom w:val="none" w:sz="0" w:space="0" w:color="auto"/>
        <w:right w:val="none" w:sz="0" w:space="0" w:color="auto"/>
      </w:divBdr>
    </w:div>
    <w:div w:id="1302005915">
      <w:bodyDiv w:val="1"/>
      <w:marLeft w:val="0"/>
      <w:marRight w:val="0"/>
      <w:marTop w:val="0"/>
      <w:marBottom w:val="0"/>
      <w:divBdr>
        <w:top w:val="none" w:sz="0" w:space="0" w:color="auto"/>
        <w:left w:val="none" w:sz="0" w:space="0" w:color="auto"/>
        <w:bottom w:val="none" w:sz="0" w:space="0" w:color="auto"/>
        <w:right w:val="none" w:sz="0" w:space="0" w:color="auto"/>
      </w:divBdr>
    </w:div>
    <w:div w:id="1302080049">
      <w:bodyDiv w:val="1"/>
      <w:marLeft w:val="0"/>
      <w:marRight w:val="0"/>
      <w:marTop w:val="0"/>
      <w:marBottom w:val="0"/>
      <w:divBdr>
        <w:top w:val="none" w:sz="0" w:space="0" w:color="auto"/>
        <w:left w:val="none" w:sz="0" w:space="0" w:color="auto"/>
        <w:bottom w:val="none" w:sz="0" w:space="0" w:color="auto"/>
        <w:right w:val="none" w:sz="0" w:space="0" w:color="auto"/>
      </w:divBdr>
    </w:div>
    <w:div w:id="1302151981">
      <w:bodyDiv w:val="1"/>
      <w:marLeft w:val="0"/>
      <w:marRight w:val="0"/>
      <w:marTop w:val="0"/>
      <w:marBottom w:val="0"/>
      <w:divBdr>
        <w:top w:val="none" w:sz="0" w:space="0" w:color="auto"/>
        <w:left w:val="none" w:sz="0" w:space="0" w:color="auto"/>
        <w:bottom w:val="none" w:sz="0" w:space="0" w:color="auto"/>
        <w:right w:val="none" w:sz="0" w:space="0" w:color="auto"/>
      </w:divBdr>
    </w:div>
    <w:div w:id="1302226533">
      <w:bodyDiv w:val="1"/>
      <w:marLeft w:val="0"/>
      <w:marRight w:val="0"/>
      <w:marTop w:val="0"/>
      <w:marBottom w:val="0"/>
      <w:divBdr>
        <w:top w:val="none" w:sz="0" w:space="0" w:color="auto"/>
        <w:left w:val="none" w:sz="0" w:space="0" w:color="auto"/>
        <w:bottom w:val="none" w:sz="0" w:space="0" w:color="auto"/>
        <w:right w:val="none" w:sz="0" w:space="0" w:color="auto"/>
      </w:divBdr>
    </w:div>
    <w:div w:id="1302227194">
      <w:bodyDiv w:val="1"/>
      <w:marLeft w:val="0"/>
      <w:marRight w:val="0"/>
      <w:marTop w:val="0"/>
      <w:marBottom w:val="0"/>
      <w:divBdr>
        <w:top w:val="none" w:sz="0" w:space="0" w:color="auto"/>
        <w:left w:val="none" w:sz="0" w:space="0" w:color="auto"/>
        <w:bottom w:val="none" w:sz="0" w:space="0" w:color="auto"/>
        <w:right w:val="none" w:sz="0" w:space="0" w:color="auto"/>
      </w:divBdr>
    </w:div>
    <w:div w:id="1302424035">
      <w:bodyDiv w:val="1"/>
      <w:marLeft w:val="0"/>
      <w:marRight w:val="0"/>
      <w:marTop w:val="0"/>
      <w:marBottom w:val="0"/>
      <w:divBdr>
        <w:top w:val="none" w:sz="0" w:space="0" w:color="auto"/>
        <w:left w:val="none" w:sz="0" w:space="0" w:color="auto"/>
        <w:bottom w:val="none" w:sz="0" w:space="0" w:color="auto"/>
        <w:right w:val="none" w:sz="0" w:space="0" w:color="auto"/>
      </w:divBdr>
    </w:div>
    <w:div w:id="1302463484">
      <w:bodyDiv w:val="1"/>
      <w:marLeft w:val="0"/>
      <w:marRight w:val="0"/>
      <w:marTop w:val="0"/>
      <w:marBottom w:val="0"/>
      <w:divBdr>
        <w:top w:val="none" w:sz="0" w:space="0" w:color="auto"/>
        <w:left w:val="none" w:sz="0" w:space="0" w:color="auto"/>
        <w:bottom w:val="none" w:sz="0" w:space="0" w:color="auto"/>
        <w:right w:val="none" w:sz="0" w:space="0" w:color="auto"/>
      </w:divBdr>
    </w:div>
    <w:div w:id="1302492027">
      <w:bodyDiv w:val="1"/>
      <w:marLeft w:val="0"/>
      <w:marRight w:val="0"/>
      <w:marTop w:val="0"/>
      <w:marBottom w:val="0"/>
      <w:divBdr>
        <w:top w:val="none" w:sz="0" w:space="0" w:color="auto"/>
        <w:left w:val="none" w:sz="0" w:space="0" w:color="auto"/>
        <w:bottom w:val="none" w:sz="0" w:space="0" w:color="auto"/>
        <w:right w:val="none" w:sz="0" w:space="0" w:color="auto"/>
      </w:divBdr>
    </w:div>
    <w:div w:id="1302615456">
      <w:bodyDiv w:val="1"/>
      <w:marLeft w:val="0"/>
      <w:marRight w:val="0"/>
      <w:marTop w:val="0"/>
      <w:marBottom w:val="0"/>
      <w:divBdr>
        <w:top w:val="none" w:sz="0" w:space="0" w:color="auto"/>
        <w:left w:val="none" w:sz="0" w:space="0" w:color="auto"/>
        <w:bottom w:val="none" w:sz="0" w:space="0" w:color="auto"/>
        <w:right w:val="none" w:sz="0" w:space="0" w:color="auto"/>
      </w:divBdr>
    </w:div>
    <w:div w:id="1302616996">
      <w:bodyDiv w:val="1"/>
      <w:marLeft w:val="0"/>
      <w:marRight w:val="0"/>
      <w:marTop w:val="0"/>
      <w:marBottom w:val="0"/>
      <w:divBdr>
        <w:top w:val="none" w:sz="0" w:space="0" w:color="auto"/>
        <w:left w:val="none" w:sz="0" w:space="0" w:color="auto"/>
        <w:bottom w:val="none" w:sz="0" w:space="0" w:color="auto"/>
        <w:right w:val="none" w:sz="0" w:space="0" w:color="auto"/>
      </w:divBdr>
    </w:div>
    <w:div w:id="1302731023">
      <w:bodyDiv w:val="1"/>
      <w:marLeft w:val="0"/>
      <w:marRight w:val="0"/>
      <w:marTop w:val="0"/>
      <w:marBottom w:val="0"/>
      <w:divBdr>
        <w:top w:val="none" w:sz="0" w:space="0" w:color="auto"/>
        <w:left w:val="none" w:sz="0" w:space="0" w:color="auto"/>
        <w:bottom w:val="none" w:sz="0" w:space="0" w:color="auto"/>
        <w:right w:val="none" w:sz="0" w:space="0" w:color="auto"/>
      </w:divBdr>
    </w:div>
    <w:div w:id="1302806508">
      <w:bodyDiv w:val="1"/>
      <w:marLeft w:val="0"/>
      <w:marRight w:val="0"/>
      <w:marTop w:val="0"/>
      <w:marBottom w:val="0"/>
      <w:divBdr>
        <w:top w:val="none" w:sz="0" w:space="0" w:color="auto"/>
        <w:left w:val="none" w:sz="0" w:space="0" w:color="auto"/>
        <w:bottom w:val="none" w:sz="0" w:space="0" w:color="auto"/>
        <w:right w:val="none" w:sz="0" w:space="0" w:color="auto"/>
      </w:divBdr>
    </w:div>
    <w:div w:id="1302997960">
      <w:bodyDiv w:val="1"/>
      <w:marLeft w:val="0"/>
      <w:marRight w:val="0"/>
      <w:marTop w:val="0"/>
      <w:marBottom w:val="0"/>
      <w:divBdr>
        <w:top w:val="none" w:sz="0" w:space="0" w:color="auto"/>
        <w:left w:val="none" w:sz="0" w:space="0" w:color="auto"/>
        <w:bottom w:val="none" w:sz="0" w:space="0" w:color="auto"/>
        <w:right w:val="none" w:sz="0" w:space="0" w:color="auto"/>
      </w:divBdr>
    </w:div>
    <w:div w:id="1303000773">
      <w:bodyDiv w:val="1"/>
      <w:marLeft w:val="0"/>
      <w:marRight w:val="0"/>
      <w:marTop w:val="0"/>
      <w:marBottom w:val="0"/>
      <w:divBdr>
        <w:top w:val="none" w:sz="0" w:space="0" w:color="auto"/>
        <w:left w:val="none" w:sz="0" w:space="0" w:color="auto"/>
        <w:bottom w:val="none" w:sz="0" w:space="0" w:color="auto"/>
        <w:right w:val="none" w:sz="0" w:space="0" w:color="auto"/>
      </w:divBdr>
    </w:div>
    <w:div w:id="1303073741">
      <w:bodyDiv w:val="1"/>
      <w:marLeft w:val="0"/>
      <w:marRight w:val="0"/>
      <w:marTop w:val="0"/>
      <w:marBottom w:val="0"/>
      <w:divBdr>
        <w:top w:val="none" w:sz="0" w:space="0" w:color="auto"/>
        <w:left w:val="none" w:sz="0" w:space="0" w:color="auto"/>
        <w:bottom w:val="none" w:sz="0" w:space="0" w:color="auto"/>
        <w:right w:val="none" w:sz="0" w:space="0" w:color="auto"/>
      </w:divBdr>
    </w:div>
    <w:div w:id="1303074322">
      <w:bodyDiv w:val="1"/>
      <w:marLeft w:val="0"/>
      <w:marRight w:val="0"/>
      <w:marTop w:val="0"/>
      <w:marBottom w:val="0"/>
      <w:divBdr>
        <w:top w:val="none" w:sz="0" w:space="0" w:color="auto"/>
        <w:left w:val="none" w:sz="0" w:space="0" w:color="auto"/>
        <w:bottom w:val="none" w:sz="0" w:space="0" w:color="auto"/>
        <w:right w:val="none" w:sz="0" w:space="0" w:color="auto"/>
      </w:divBdr>
    </w:div>
    <w:div w:id="1303077078">
      <w:bodyDiv w:val="1"/>
      <w:marLeft w:val="0"/>
      <w:marRight w:val="0"/>
      <w:marTop w:val="0"/>
      <w:marBottom w:val="0"/>
      <w:divBdr>
        <w:top w:val="none" w:sz="0" w:space="0" w:color="auto"/>
        <w:left w:val="none" w:sz="0" w:space="0" w:color="auto"/>
        <w:bottom w:val="none" w:sz="0" w:space="0" w:color="auto"/>
        <w:right w:val="none" w:sz="0" w:space="0" w:color="auto"/>
      </w:divBdr>
    </w:div>
    <w:div w:id="1303077535">
      <w:bodyDiv w:val="1"/>
      <w:marLeft w:val="0"/>
      <w:marRight w:val="0"/>
      <w:marTop w:val="0"/>
      <w:marBottom w:val="0"/>
      <w:divBdr>
        <w:top w:val="none" w:sz="0" w:space="0" w:color="auto"/>
        <w:left w:val="none" w:sz="0" w:space="0" w:color="auto"/>
        <w:bottom w:val="none" w:sz="0" w:space="0" w:color="auto"/>
        <w:right w:val="none" w:sz="0" w:space="0" w:color="auto"/>
      </w:divBdr>
    </w:div>
    <w:div w:id="1303120051">
      <w:bodyDiv w:val="1"/>
      <w:marLeft w:val="0"/>
      <w:marRight w:val="0"/>
      <w:marTop w:val="0"/>
      <w:marBottom w:val="0"/>
      <w:divBdr>
        <w:top w:val="none" w:sz="0" w:space="0" w:color="auto"/>
        <w:left w:val="none" w:sz="0" w:space="0" w:color="auto"/>
        <w:bottom w:val="none" w:sz="0" w:space="0" w:color="auto"/>
        <w:right w:val="none" w:sz="0" w:space="0" w:color="auto"/>
      </w:divBdr>
    </w:div>
    <w:div w:id="1303123314">
      <w:bodyDiv w:val="1"/>
      <w:marLeft w:val="0"/>
      <w:marRight w:val="0"/>
      <w:marTop w:val="0"/>
      <w:marBottom w:val="0"/>
      <w:divBdr>
        <w:top w:val="none" w:sz="0" w:space="0" w:color="auto"/>
        <w:left w:val="none" w:sz="0" w:space="0" w:color="auto"/>
        <w:bottom w:val="none" w:sz="0" w:space="0" w:color="auto"/>
        <w:right w:val="none" w:sz="0" w:space="0" w:color="auto"/>
      </w:divBdr>
    </w:div>
    <w:div w:id="1303389105">
      <w:bodyDiv w:val="1"/>
      <w:marLeft w:val="0"/>
      <w:marRight w:val="0"/>
      <w:marTop w:val="0"/>
      <w:marBottom w:val="0"/>
      <w:divBdr>
        <w:top w:val="none" w:sz="0" w:space="0" w:color="auto"/>
        <w:left w:val="none" w:sz="0" w:space="0" w:color="auto"/>
        <w:bottom w:val="none" w:sz="0" w:space="0" w:color="auto"/>
        <w:right w:val="none" w:sz="0" w:space="0" w:color="auto"/>
      </w:divBdr>
    </w:div>
    <w:div w:id="1303461663">
      <w:bodyDiv w:val="1"/>
      <w:marLeft w:val="0"/>
      <w:marRight w:val="0"/>
      <w:marTop w:val="0"/>
      <w:marBottom w:val="0"/>
      <w:divBdr>
        <w:top w:val="none" w:sz="0" w:space="0" w:color="auto"/>
        <w:left w:val="none" w:sz="0" w:space="0" w:color="auto"/>
        <w:bottom w:val="none" w:sz="0" w:space="0" w:color="auto"/>
        <w:right w:val="none" w:sz="0" w:space="0" w:color="auto"/>
      </w:divBdr>
    </w:div>
    <w:div w:id="1303465408">
      <w:bodyDiv w:val="1"/>
      <w:marLeft w:val="0"/>
      <w:marRight w:val="0"/>
      <w:marTop w:val="0"/>
      <w:marBottom w:val="0"/>
      <w:divBdr>
        <w:top w:val="none" w:sz="0" w:space="0" w:color="auto"/>
        <w:left w:val="none" w:sz="0" w:space="0" w:color="auto"/>
        <w:bottom w:val="none" w:sz="0" w:space="0" w:color="auto"/>
        <w:right w:val="none" w:sz="0" w:space="0" w:color="auto"/>
      </w:divBdr>
    </w:div>
    <w:div w:id="1303540493">
      <w:bodyDiv w:val="1"/>
      <w:marLeft w:val="0"/>
      <w:marRight w:val="0"/>
      <w:marTop w:val="0"/>
      <w:marBottom w:val="0"/>
      <w:divBdr>
        <w:top w:val="none" w:sz="0" w:space="0" w:color="auto"/>
        <w:left w:val="none" w:sz="0" w:space="0" w:color="auto"/>
        <w:bottom w:val="none" w:sz="0" w:space="0" w:color="auto"/>
        <w:right w:val="none" w:sz="0" w:space="0" w:color="auto"/>
      </w:divBdr>
    </w:div>
    <w:div w:id="1303657709">
      <w:bodyDiv w:val="1"/>
      <w:marLeft w:val="0"/>
      <w:marRight w:val="0"/>
      <w:marTop w:val="0"/>
      <w:marBottom w:val="0"/>
      <w:divBdr>
        <w:top w:val="none" w:sz="0" w:space="0" w:color="auto"/>
        <w:left w:val="none" w:sz="0" w:space="0" w:color="auto"/>
        <w:bottom w:val="none" w:sz="0" w:space="0" w:color="auto"/>
        <w:right w:val="none" w:sz="0" w:space="0" w:color="auto"/>
      </w:divBdr>
    </w:div>
    <w:div w:id="1303730257">
      <w:bodyDiv w:val="1"/>
      <w:marLeft w:val="0"/>
      <w:marRight w:val="0"/>
      <w:marTop w:val="0"/>
      <w:marBottom w:val="0"/>
      <w:divBdr>
        <w:top w:val="none" w:sz="0" w:space="0" w:color="auto"/>
        <w:left w:val="none" w:sz="0" w:space="0" w:color="auto"/>
        <w:bottom w:val="none" w:sz="0" w:space="0" w:color="auto"/>
        <w:right w:val="none" w:sz="0" w:space="0" w:color="auto"/>
      </w:divBdr>
    </w:div>
    <w:div w:id="1303735799">
      <w:bodyDiv w:val="1"/>
      <w:marLeft w:val="0"/>
      <w:marRight w:val="0"/>
      <w:marTop w:val="0"/>
      <w:marBottom w:val="0"/>
      <w:divBdr>
        <w:top w:val="none" w:sz="0" w:space="0" w:color="auto"/>
        <w:left w:val="none" w:sz="0" w:space="0" w:color="auto"/>
        <w:bottom w:val="none" w:sz="0" w:space="0" w:color="auto"/>
        <w:right w:val="none" w:sz="0" w:space="0" w:color="auto"/>
      </w:divBdr>
    </w:div>
    <w:div w:id="1303735883">
      <w:bodyDiv w:val="1"/>
      <w:marLeft w:val="0"/>
      <w:marRight w:val="0"/>
      <w:marTop w:val="0"/>
      <w:marBottom w:val="0"/>
      <w:divBdr>
        <w:top w:val="none" w:sz="0" w:space="0" w:color="auto"/>
        <w:left w:val="none" w:sz="0" w:space="0" w:color="auto"/>
        <w:bottom w:val="none" w:sz="0" w:space="0" w:color="auto"/>
        <w:right w:val="none" w:sz="0" w:space="0" w:color="auto"/>
      </w:divBdr>
    </w:div>
    <w:div w:id="1303773327">
      <w:bodyDiv w:val="1"/>
      <w:marLeft w:val="0"/>
      <w:marRight w:val="0"/>
      <w:marTop w:val="0"/>
      <w:marBottom w:val="0"/>
      <w:divBdr>
        <w:top w:val="none" w:sz="0" w:space="0" w:color="auto"/>
        <w:left w:val="none" w:sz="0" w:space="0" w:color="auto"/>
        <w:bottom w:val="none" w:sz="0" w:space="0" w:color="auto"/>
        <w:right w:val="none" w:sz="0" w:space="0" w:color="auto"/>
      </w:divBdr>
    </w:div>
    <w:div w:id="1303804694">
      <w:bodyDiv w:val="1"/>
      <w:marLeft w:val="0"/>
      <w:marRight w:val="0"/>
      <w:marTop w:val="0"/>
      <w:marBottom w:val="0"/>
      <w:divBdr>
        <w:top w:val="none" w:sz="0" w:space="0" w:color="auto"/>
        <w:left w:val="none" w:sz="0" w:space="0" w:color="auto"/>
        <w:bottom w:val="none" w:sz="0" w:space="0" w:color="auto"/>
        <w:right w:val="none" w:sz="0" w:space="0" w:color="auto"/>
      </w:divBdr>
    </w:div>
    <w:div w:id="1303922964">
      <w:bodyDiv w:val="1"/>
      <w:marLeft w:val="0"/>
      <w:marRight w:val="0"/>
      <w:marTop w:val="0"/>
      <w:marBottom w:val="0"/>
      <w:divBdr>
        <w:top w:val="none" w:sz="0" w:space="0" w:color="auto"/>
        <w:left w:val="none" w:sz="0" w:space="0" w:color="auto"/>
        <w:bottom w:val="none" w:sz="0" w:space="0" w:color="auto"/>
        <w:right w:val="none" w:sz="0" w:space="0" w:color="auto"/>
      </w:divBdr>
    </w:div>
    <w:div w:id="1303928890">
      <w:bodyDiv w:val="1"/>
      <w:marLeft w:val="0"/>
      <w:marRight w:val="0"/>
      <w:marTop w:val="0"/>
      <w:marBottom w:val="0"/>
      <w:divBdr>
        <w:top w:val="none" w:sz="0" w:space="0" w:color="auto"/>
        <w:left w:val="none" w:sz="0" w:space="0" w:color="auto"/>
        <w:bottom w:val="none" w:sz="0" w:space="0" w:color="auto"/>
        <w:right w:val="none" w:sz="0" w:space="0" w:color="auto"/>
      </w:divBdr>
    </w:div>
    <w:div w:id="1303929180">
      <w:bodyDiv w:val="1"/>
      <w:marLeft w:val="0"/>
      <w:marRight w:val="0"/>
      <w:marTop w:val="0"/>
      <w:marBottom w:val="0"/>
      <w:divBdr>
        <w:top w:val="none" w:sz="0" w:space="0" w:color="auto"/>
        <w:left w:val="none" w:sz="0" w:space="0" w:color="auto"/>
        <w:bottom w:val="none" w:sz="0" w:space="0" w:color="auto"/>
        <w:right w:val="none" w:sz="0" w:space="0" w:color="auto"/>
      </w:divBdr>
    </w:div>
    <w:div w:id="1303970816">
      <w:bodyDiv w:val="1"/>
      <w:marLeft w:val="0"/>
      <w:marRight w:val="0"/>
      <w:marTop w:val="0"/>
      <w:marBottom w:val="0"/>
      <w:divBdr>
        <w:top w:val="none" w:sz="0" w:space="0" w:color="auto"/>
        <w:left w:val="none" w:sz="0" w:space="0" w:color="auto"/>
        <w:bottom w:val="none" w:sz="0" w:space="0" w:color="auto"/>
        <w:right w:val="none" w:sz="0" w:space="0" w:color="auto"/>
      </w:divBdr>
    </w:div>
    <w:div w:id="1303972434">
      <w:bodyDiv w:val="1"/>
      <w:marLeft w:val="0"/>
      <w:marRight w:val="0"/>
      <w:marTop w:val="0"/>
      <w:marBottom w:val="0"/>
      <w:divBdr>
        <w:top w:val="none" w:sz="0" w:space="0" w:color="auto"/>
        <w:left w:val="none" w:sz="0" w:space="0" w:color="auto"/>
        <w:bottom w:val="none" w:sz="0" w:space="0" w:color="auto"/>
        <w:right w:val="none" w:sz="0" w:space="0" w:color="auto"/>
      </w:divBdr>
    </w:div>
    <w:div w:id="1304039855">
      <w:bodyDiv w:val="1"/>
      <w:marLeft w:val="0"/>
      <w:marRight w:val="0"/>
      <w:marTop w:val="0"/>
      <w:marBottom w:val="0"/>
      <w:divBdr>
        <w:top w:val="none" w:sz="0" w:space="0" w:color="auto"/>
        <w:left w:val="none" w:sz="0" w:space="0" w:color="auto"/>
        <w:bottom w:val="none" w:sz="0" w:space="0" w:color="auto"/>
        <w:right w:val="none" w:sz="0" w:space="0" w:color="auto"/>
      </w:divBdr>
    </w:div>
    <w:div w:id="1304047199">
      <w:bodyDiv w:val="1"/>
      <w:marLeft w:val="0"/>
      <w:marRight w:val="0"/>
      <w:marTop w:val="0"/>
      <w:marBottom w:val="0"/>
      <w:divBdr>
        <w:top w:val="none" w:sz="0" w:space="0" w:color="auto"/>
        <w:left w:val="none" w:sz="0" w:space="0" w:color="auto"/>
        <w:bottom w:val="none" w:sz="0" w:space="0" w:color="auto"/>
        <w:right w:val="none" w:sz="0" w:space="0" w:color="auto"/>
      </w:divBdr>
    </w:div>
    <w:div w:id="1304193258">
      <w:bodyDiv w:val="1"/>
      <w:marLeft w:val="0"/>
      <w:marRight w:val="0"/>
      <w:marTop w:val="0"/>
      <w:marBottom w:val="0"/>
      <w:divBdr>
        <w:top w:val="none" w:sz="0" w:space="0" w:color="auto"/>
        <w:left w:val="none" w:sz="0" w:space="0" w:color="auto"/>
        <w:bottom w:val="none" w:sz="0" w:space="0" w:color="auto"/>
        <w:right w:val="none" w:sz="0" w:space="0" w:color="auto"/>
      </w:divBdr>
    </w:div>
    <w:div w:id="1304237611">
      <w:bodyDiv w:val="1"/>
      <w:marLeft w:val="0"/>
      <w:marRight w:val="0"/>
      <w:marTop w:val="0"/>
      <w:marBottom w:val="0"/>
      <w:divBdr>
        <w:top w:val="none" w:sz="0" w:space="0" w:color="auto"/>
        <w:left w:val="none" w:sz="0" w:space="0" w:color="auto"/>
        <w:bottom w:val="none" w:sz="0" w:space="0" w:color="auto"/>
        <w:right w:val="none" w:sz="0" w:space="0" w:color="auto"/>
      </w:divBdr>
    </w:div>
    <w:div w:id="1304307305">
      <w:bodyDiv w:val="1"/>
      <w:marLeft w:val="0"/>
      <w:marRight w:val="0"/>
      <w:marTop w:val="0"/>
      <w:marBottom w:val="0"/>
      <w:divBdr>
        <w:top w:val="none" w:sz="0" w:space="0" w:color="auto"/>
        <w:left w:val="none" w:sz="0" w:space="0" w:color="auto"/>
        <w:bottom w:val="none" w:sz="0" w:space="0" w:color="auto"/>
        <w:right w:val="none" w:sz="0" w:space="0" w:color="auto"/>
      </w:divBdr>
    </w:div>
    <w:div w:id="1304310555">
      <w:bodyDiv w:val="1"/>
      <w:marLeft w:val="0"/>
      <w:marRight w:val="0"/>
      <w:marTop w:val="0"/>
      <w:marBottom w:val="0"/>
      <w:divBdr>
        <w:top w:val="none" w:sz="0" w:space="0" w:color="auto"/>
        <w:left w:val="none" w:sz="0" w:space="0" w:color="auto"/>
        <w:bottom w:val="none" w:sz="0" w:space="0" w:color="auto"/>
        <w:right w:val="none" w:sz="0" w:space="0" w:color="auto"/>
      </w:divBdr>
    </w:div>
    <w:div w:id="1304315512">
      <w:bodyDiv w:val="1"/>
      <w:marLeft w:val="0"/>
      <w:marRight w:val="0"/>
      <w:marTop w:val="0"/>
      <w:marBottom w:val="0"/>
      <w:divBdr>
        <w:top w:val="none" w:sz="0" w:space="0" w:color="auto"/>
        <w:left w:val="none" w:sz="0" w:space="0" w:color="auto"/>
        <w:bottom w:val="none" w:sz="0" w:space="0" w:color="auto"/>
        <w:right w:val="none" w:sz="0" w:space="0" w:color="auto"/>
      </w:divBdr>
    </w:div>
    <w:div w:id="1304385091">
      <w:bodyDiv w:val="1"/>
      <w:marLeft w:val="0"/>
      <w:marRight w:val="0"/>
      <w:marTop w:val="0"/>
      <w:marBottom w:val="0"/>
      <w:divBdr>
        <w:top w:val="none" w:sz="0" w:space="0" w:color="auto"/>
        <w:left w:val="none" w:sz="0" w:space="0" w:color="auto"/>
        <w:bottom w:val="none" w:sz="0" w:space="0" w:color="auto"/>
        <w:right w:val="none" w:sz="0" w:space="0" w:color="auto"/>
      </w:divBdr>
    </w:div>
    <w:div w:id="1304388445">
      <w:bodyDiv w:val="1"/>
      <w:marLeft w:val="0"/>
      <w:marRight w:val="0"/>
      <w:marTop w:val="0"/>
      <w:marBottom w:val="0"/>
      <w:divBdr>
        <w:top w:val="none" w:sz="0" w:space="0" w:color="auto"/>
        <w:left w:val="none" w:sz="0" w:space="0" w:color="auto"/>
        <w:bottom w:val="none" w:sz="0" w:space="0" w:color="auto"/>
        <w:right w:val="none" w:sz="0" w:space="0" w:color="auto"/>
      </w:divBdr>
    </w:div>
    <w:div w:id="1304434517">
      <w:bodyDiv w:val="1"/>
      <w:marLeft w:val="0"/>
      <w:marRight w:val="0"/>
      <w:marTop w:val="0"/>
      <w:marBottom w:val="0"/>
      <w:divBdr>
        <w:top w:val="none" w:sz="0" w:space="0" w:color="auto"/>
        <w:left w:val="none" w:sz="0" w:space="0" w:color="auto"/>
        <w:bottom w:val="none" w:sz="0" w:space="0" w:color="auto"/>
        <w:right w:val="none" w:sz="0" w:space="0" w:color="auto"/>
      </w:divBdr>
    </w:div>
    <w:div w:id="1304581513">
      <w:bodyDiv w:val="1"/>
      <w:marLeft w:val="0"/>
      <w:marRight w:val="0"/>
      <w:marTop w:val="0"/>
      <w:marBottom w:val="0"/>
      <w:divBdr>
        <w:top w:val="none" w:sz="0" w:space="0" w:color="auto"/>
        <w:left w:val="none" w:sz="0" w:space="0" w:color="auto"/>
        <w:bottom w:val="none" w:sz="0" w:space="0" w:color="auto"/>
        <w:right w:val="none" w:sz="0" w:space="0" w:color="auto"/>
      </w:divBdr>
    </w:div>
    <w:div w:id="1304584654">
      <w:bodyDiv w:val="1"/>
      <w:marLeft w:val="0"/>
      <w:marRight w:val="0"/>
      <w:marTop w:val="0"/>
      <w:marBottom w:val="0"/>
      <w:divBdr>
        <w:top w:val="none" w:sz="0" w:space="0" w:color="auto"/>
        <w:left w:val="none" w:sz="0" w:space="0" w:color="auto"/>
        <w:bottom w:val="none" w:sz="0" w:space="0" w:color="auto"/>
        <w:right w:val="none" w:sz="0" w:space="0" w:color="auto"/>
      </w:divBdr>
    </w:div>
    <w:div w:id="1304773273">
      <w:bodyDiv w:val="1"/>
      <w:marLeft w:val="0"/>
      <w:marRight w:val="0"/>
      <w:marTop w:val="0"/>
      <w:marBottom w:val="0"/>
      <w:divBdr>
        <w:top w:val="none" w:sz="0" w:space="0" w:color="auto"/>
        <w:left w:val="none" w:sz="0" w:space="0" w:color="auto"/>
        <w:bottom w:val="none" w:sz="0" w:space="0" w:color="auto"/>
        <w:right w:val="none" w:sz="0" w:space="0" w:color="auto"/>
      </w:divBdr>
    </w:div>
    <w:div w:id="1304850346">
      <w:bodyDiv w:val="1"/>
      <w:marLeft w:val="0"/>
      <w:marRight w:val="0"/>
      <w:marTop w:val="0"/>
      <w:marBottom w:val="0"/>
      <w:divBdr>
        <w:top w:val="none" w:sz="0" w:space="0" w:color="auto"/>
        <w:left w:val="none" w:sz="0" w:space="0" w:color="auto"/>
        <w:bottom w:val="none" w:sz="0" w:space="0" w:color="auto"/>
        <w:right w:val="none" w:sz="0" w:space="0" w:color="auto"/>
      </w:divBdr>
    </w:div>
    <w:div w:id="1304852051">
      <w:bodyDiv w:val="1"/>
      <w:marLeft w:val="0"/>
      <w:marRight w:val="0"/>
      <w:marTop w:val="0"/>
      <w:marBottom w:val="0"/>
      <w:divBdr>
        <w:top w:val="none" w:sz="0" w:space="0" w:color="auto"/>
        <w:left w:val="none" w:sz="0" w:space="0" w:color="auto"/>
        <w:bottom w:val="none" w:sz="0" w:space="0" w:color="auto"/>
        <w:right w:val="none" w:sz="0" w:space="0" w:color="auto"/>
      </w:divBdr>
    </w:div>
    <w:div w:id="1304889417">
      <w:bodyDiv w:val="1"/>
      <w:marLeft w:val="0"/>
      <w:marRight w:val="0"/>
      <w:marTop w:val="0"/>
      <w:marBottom w:val="0"/>
      <w:divBdr>
        <w:top w:val="none" w:sz="0" w:space="0" w:color="auto"/>
        <w:left w:val="none" w:sz="0" w:space="0" w:color="auto"/>
        <w:bottom w:val="none" w:sz="0" w:space="0" w:color="auto"/>
        <w:right w:val="none" w:sz="0" w:space="0" w:color="auto"/>
      </w:divBdr>
    </w:div>
    <w:div w:id="1304894292">
      <w:bodyDiv w:val="1"/>
      <w:marLeft w:val="0"/>
      <w:marRight w:val="0"/>
      <w:marTop w:val="0"/>
      <w:marBottom w:val="0"/>
      <w:divBdr>
        <w:top w:val="none" w:sz="0" w:space="0" w:color="auto"/>
        <w:left w:val="none" w:sz="0" w:space="0" w:color="auto"/>
        <w:bottom w:val="none" w:sz="0" w:space="0" w:color="auto"/>
        <w:right w:val="none" w:sz="0" w:space="0" w:color="auto"/>
      </w:divBdr>
    </w:div>
    <w:div w:id="1305046603">
      <w:bodyDiv w:val="1"/>
      <w:marLeft w:val="0"/>
      <w:marRight w:val="0"/>
      <w:marTop w:val="0"/>
      <w:marBottom w:val="0"/>
      <w:divBdr>
        <w:top w:val="none" w:sz="0" w:space="0" w:color="auto"/>
        <w:left w:val="none" w:sz="0" w:space="0" w:color="auto"/>
        <w:bottom w:val="none" w:sz="0" w:space="0" w:color="auto"/>
        <w:right w:val="none" w:sz="0" w:space="0" w:color="auto"/>
      </w:divBdr>
    </w:div>
    <w:div w:id="1305046782">
      <w:bodyDiv w:val="1"/>
      <w:marLeft w:val="0"/>
      <w:marRight w:val="0"/>
      <w:marTop w:val="0"/>
      <w:marBottom w:val="0"/>
      <w:divBdr>
        <w:top w:val="none" w:sz="0" w:space="0" w:color="auto"/>
        <w:left w:val="none" w:sz="0" w:space="0" w:color="auto"/>
        <w:bottom w:val="none" w:sz="0" w:space="0" w:color="auto"/>
        <w:right w:val="none" w:sz="0" w:space="0" w:color="auto"/>
      </w:divBdr>
    </w:div>
    <w:div w:id="1305232101">
      <w:bodyDiv w:val="1"/>
      <w:marLeft w:val="0"/>
      <w:marRight w:val="0"/>
      <w:marTop w:val="0"/>
      <w:marBottom w:val="0"/>
      <w:divBdr>
        <w:top w:val="none" w:sz="0" w:space="0" w:color="auto"/>
        <w:left w:val="none" w:sz="0" w:space="0" w:color="auto"/>
        <w:bottom w:val="none" w:sz="0" w:space="0" w:color="auto"/>
        <w:right w:val="none" w:sz="0" w:space="0" w:color="auto"/>
      </w:divBdr>
    </w:div>
    <w:div w:id="1305234252">
      <w:bodyDiv w:val="1"/>
      <w:marLeft w:val="0"/>
      <w:marRight w:val="0"/>
      <w:marTop w:val="0"/>
      <w:marBottom w:val="0"/>
      <w:divBdr>
        <w:top w:val="none" w:sz="0" w:space="0" w:color="auto"/>
        <w:left w:val="none" w:sz="0" w:space="0" w:color="auto"/>
        <w:bottom w:val="none" w:sz="0" w:space="0" w:color="auto"/>
        <w:right w:val="none" w:sz="0" w:space="0" w:color="auto"/>
      </w:divBdr>
    </w:div>
    <w:div w:id="1305239873">
      <w:bodyDiv w:val="1"/>
      <w:marLeft w:val="0"/>
      <w:marRight w:val="0"/>
      <w:marTop w:val="0"/>
      <w:marBottom w:val="0"/>
      <w:divBdr>
        <w:top w:val="none" w:sz="0" w:space="0" w:color="auto"/>
        <w:left w:val="none" w:sz="0" w:space="0" w:color="auto"/>
        <w:bottom w:val="none" w:sz="0" w:space="0" w:color="auto"/>
        <w:right w:val="none" w:sz="0" w:space="0" w:color="auto"/>
      </w:divBdr>
    </w:div>
    <w:div w:id="1305280930">
      <w:bodyDiv w:val="1"/>
      <w:marLeft w:val="0"/>
      <w:marRight w:val="0"/>
      <w:marTop w:val="0"/>
      <w:marBottom w:val="0"/>
      <w:divBdr>
        <w:top w:val="none" w:sz="0" w:space="0" w:color="auto"/>
        <w:left w:val="none" w:sz="0" w:space="0" w:color="auto"/>
        <w:bottom w:val="none" w:sz="0" w:space="0" w:color="auto"/>
        <w:right w:val="none" w:sz="0" w:space="0" w:color="auto"/>
      </w:divBdr>
    </w:div>
    <w:div w:id="1305281774">
      <w:bodyDiv w:val="1"/>
      <w:marLeft w:val="0"/>
      <w:marRight w:val="0"/>
      <w:marTop w:val="0"/>
      <w:marBottom w:val="0"/>
      <w:divBdr>
        <w:top w:val="none" w:sz="0" w:space="0" w:color="auto"/>
        <w:left w:val="none" w:sz="0" w:space="0" w:color="auto"/>
        <w:bottom w:val="none" w:sz="0" w:space="0" w:color="auto"/>
        <w:right w:val="none" w:sz="0" w:space="0" w:color="auto"/>
      </w:divBdr>
    </w:div>
    <w:div w:id="1305283113">
      <w:bodyDiv w:val="1"/>
      <w:marLeft w:val="0"/>
      <w:marRight w:val="0"/>
      <w:marTop w:val="0"/>
      <w:marBottom w:val="0"/>
      <w:divBdr>
        <w:top w:val="none" w:sz="0" w:space="0" w:color="auto"/>
        <w:left w:val="none" w:sz="0" w:space="0" w:color="auto"/>
        <w:bottom w:val="none" w:sz="0" w:space="0" w:color="auto"/>
        <w:right w:val="none" w:sz="0" w:space="0" w:color="auto"/>
      </w:divBdr>
    </w:div>
    <w:div w:id="1305351596">
      <w:bodyDiv w:val="1"/>
      <w:marLeft w:val="0"/>
      <w:marRight w:val="0"/>
      <w:marTop w:val="0"/>
      <w:marBottom w:val="0"/>
      <w:divBdr>
        <w:top w:val="none" w:sz="0" w:space="0" w:color="auto"/>
        <w:left w:val="none" w:sz="0" w:space="0" w:color="auto"/>
        <w:bottom w:val="none" w:sz="0" w:space="0" w:color="auto"/>
        <w:right w:val="none" w:sz="0" w:space="0" w:color="auto"/>
      </w:divBdr>
    </w:div>
    <w:div w:id="1305354348">
      <w:bodyDiv w:val="1"/>
      <w:marLeft w:val="0"/>
      <w:marRight w:val="0"/>
      <w:marTop w:val="0"/>
      <w:marBottom w:val="0"/>
      <w:divBdr>
        <w:top w:val="none" w:sz="0" w:space="0" w:color="auto"/>
        <w:left w:val="none" w:sz="0" w:space="0" w:color="auto"/>
        <w:bottom w:val="none" w:sz="0" w:space="0" w:color="auto"/>
        <w:right w:val="none" w:sz="0" w:space="0" w:color="auto"/>
      </w:divBdr>
    </w:div>
    <w:div w:id="1305355338">
      <w:bodyDiv w:val="1"/>
      <w:marLeft w:val="0"/>
      <w:marRight w:val="0"/>
      <w:marTop w:val="0"/>
      <w:marBottom w:val="0"/>
      <w:divBdr>
        <w:top w:val="none" w:sz="0" w:space="0" w:color="auto"/>
        <w:left w:val="none" w:sz="0" w:space="0" w:color="auto"/>
        <w:bottom w:val="none" w:sz="0" w:space="0" w:color="auto"/>
        <w:right w:val="none" w:sz="0" w:space="0" w:color="auto"/>
      </w:divBdr>
    </w:div>
    <w:div w:id="1305424987">
      <w:bodyDiv w:val="1"/>
      <w:marLeft w:val="0"/>
      <w:marRight w:val="0"/>
      <w:marTop w:val="0"/>
      <w:marBottom w:val="0"/>
      <w:divBdr>
        <w:top w:val="none" w:sz="0" w:space="0" w:color="auto"/>
        <w:left w:val="none" w:sz="0" w:space="0" w:color="auto"/>
        <w:bottom w:val="none" w:sz="0" w:space="0" w:color="auto"/>
        <w:right w:val="none" w:sz="0" w:space="0" w:color="auto"/>
      </w:divBdr>
    </w:div>
    <w:div w:id="1305543635">
      <w:bodyDiv w:val="1"/>
      <w:marLeft w:val="0"/>
      <w:marRight w:val="0"/>
      <w:marTop w:val="0"/>
      <w:marBottom w:val="0"/>
      <w:divBdr>
        <w:top w:val="none" w:sz="0" w:space="0" w:color="auto"/>
        <w:left w:val="none" w:sz="0" w:space="0" w:color="auto"/>
        <w:bottom w:val="none" w:sz="0" w:space="0" w:color="auto"/>
        <w:right w:val="none" w:sz="0" w:space="0" w:color="auto"/>
      </w:divBdr>
    </w:div>
    <w:div w:id="1305622191">
      <w:bodyDiv w:val="1"/>
      <w:marLeft w:val="0"/>
      <w:marRight w:val="0"/>
      <w:marTop w:val="0"/>
      <w:marBottom w:val="0"/>
      <w:divBdr>
        <w:top w:val="none" w:sz="0" w:space="0" w:color="auto"/>
        <w:left w:val="none" w:sz="0" w:space="0" w:color="auto"/>
        <w:bottom w:val="none" w:sz="0" w:space="0" w:color="auto"/>
        <w:right w:val="none" w:sz="0" w:space="0" w:color="auto"/>
      </w:divBdr>
    </w:div>
    <w:div w:id="1305624076">
      <w:bodyDiv w:val="1"/>
      <w:marLeft w:val="0"/>
      <w:marRight w:val="0"/>
      <w:marTop w:val="0"/>
      <w:marBottom w:val="0"/>
      <w:divBdr>
        <w:top w:val="none" w:sz="0" w:space="0" w:color="auto"/>
        <w:left w:val="none" w:sz="0" w:space="0" w:color="auto"/>
        <w:bottom w:val="none" w:sz="0" w:space="0" w:color="auto"/>
        <w:right w:val="none" w:sz="0" w:space="0" w:color="auto"/>
      </w:divBdr>
    </w:div>
    <w:div w:id="1305810947">
      <w:bodyDiv w:val="1"/>
      <w:marLeft w:val="0"/>
      <w:marRight w:val="0"/>
      <w:marTop w:val="0"/>
      <w:marBottom w:val="0"/>
      <w:divBdr>
        <w:top w:val="none" w:sz="0" w:space="0" w:color="auto"/>
        <w:left w:val="none" w:sz="0" w:space="0" w:color="auto"/>
        <w:bottom w:val="none" w:sz="0" w:space="0" w:color="auto"/>
        <w:right w:val="none" w:sz="0" w:space="0" w:color="auto"/>
      </w:divBdr>
    </w:div>
    <w:div w:id="1305812523">
      <w:bodyDiv w:val="1"/>
      <w:marLeft w:val="0"/>
      <w:marRight w:val="0"/>
      <w:marTop w:val="0"/>
      <w:marBottom w:val="0"/>
      <w:divBdr>
        <w:top w:val="none" w:sz="0" w:space="0" w:color="auto"/>
        <w:left w:val="none" w:sz="0" w:space="0" w:color="auto"/>
        <w:bottom w:val="none" w:sz="0" w:space="0" w:color="auto"/>
        <w:right w:val="none" w:sz="0" w:space="0" w:color="auto"/>
      </w:divBdr>
    </w:div>
    <w:div w:id="1305894934">
      <w:bodyDiv w:val="1"/>
      <w:marLeft w:val="0"/>
      <w:marRight w:val="0"/>
      <w:marTop w:val="0"/>
      <w:marBottom w:val="0"/>
      <w:divBdr>
        <w:top w:val="none" w:sz="0" w:space="0" w:color="auto"/>
        <w:left w:val="none" w:sz="0" w:space="0" w:color="auto"/>
        <w:bottom w:val="none" w:sz="0" w:space="0" w:color="auto"/>
        <w:right w:val="none" w:sz="0" w:space="0" w:color="auto"/>
      </w:divBdr>
    </w:div>
    <w:div w:id="1306007689">
      <w:bodyDiv w:val="1"/>
      <w:marLeft w:val="0"/>
      <w:marRight w:val="0"/>
      <w:marTop w:val="0"/>
      <w:marBottom w:val="0"/>
      <w:divBdr>
        <w:top w:val="none" w:sz="0" w:space="0" w:color="auto"/>
        <w:left w:val="none" w:sz="0" w:space="0" w:color="auto"/>
        <w:bottom w:val="none" w:sz="0" w:space="0" w:color="auto"/>
        <w:right w:val="none" w:sz="0" w:space="0" w:color="auto"/>
      </w:divBdr>
    </w:div>
    <w:div w:id="1306351690">
      <w:bodyDiv w:val="1"/>
      <w:marLeft w:val="0"/>
      <w:marRight w:val="0"/>
      <w:marTop w:val="0"/>
      <w:marBottom w:val="0"/>
      <w:divBdr>
        <w:top w:val="none" w:sz="0" w:space="0" w:color="auto"/>
        <w:left w:val="none" w:sz="0" w:space="0" w:color="auto"/>
        <w:bottom w:val="none" w:sz="0" w:space="0" w:color="auto"/>
        <w:right w:val="none" w:sz="0" w:space="0" w:color="auto"/>
      </w:divBdr>
    </w:div>
    <w:div w:id="1306424520">
      <w:bodyDiv w:val="1"/>
      <w:marLeft w:val="0"/>
      <w:marRight w:val="0"/>
      <w:marTop w:val="0"/>
      <w:marBottom w:val="0"/>
      <w:divBdr>
        <w:top w:val="none" w:sz="0" w:space="0" w:color="auto"/>
        <w:left w:val="none" w:sz="0" w:space="0" w:color="auto"/>
        <w:bottom w:val="none" w:sz="0" w:space="0" w:color="auto"/>
        <w:right w:val="none" w:sz="0" w:space="0" w:color="auto"/>
      </w:divBdr>
    </w:div>
    <w:div w:id="1306424707">
      <w:bodyDiv w:val="1"/>
      <w:marLeft w:val="0"/>
      <w:marRight w:val="0"/>
      <w:marTop w:val="0"/>
      <w:marBottom w:val="0"/>
      <w:divBdr>
        <w:top w:val="none" w:sz="0" w:space="0" w:color="auto"/>
        <w:left w:val="none" w:sz="0" w:space="0" w:color="auto"/>
        <w:bottom w:val="none" w:sz="0" w:space="0" w:color="auto"/>
        <w:right w:val="none" w:sz="0" w:space="0" w:color="auto"/>
      </w:divBdr>
    </w:div>
    <w:div w:id="1306467543">
      <w:bodyDiv w:val="1"/>
      <w:marLeft w:val="0"/>
      <w:marRight w:val="0"/>
      <w:marTop w:val="0"/>
      <w:marBottom w:val="0"/>
      <w:divBdr>
        <w:top w:val="none" w:sz="0" w:space="0" w:color="auto"/>
        <w:left w:val="none" w:sz="0" w:space="0" w:color="auto"/>
        <w:bottom w:val="none" w:sz="0" w:space="0" w:color="auto"/>
        <w:right w:val="none" w:sz="0" w:space="0" w:color="auto"/>
      </w:divBdr>
    </w:div>
    <w:div w:id="1306550876">
      <w:bodyDiv w:val="1"/>
      <w:marLeft w:val="0"/>
      <w:marRight w:val="0"/>
      <w:marTop w:val="0"/>
      <w:marBottom w:val="0"/>
      <w:divBdr>
        <w:top w:val="none" w:sz="0" w:space="0" w:color="auto"/>
        <w:left w:val="none" w:sz="0" w:space="0" w:color="auto"/>
        <w:bottom w:val="none" w:sz="0" w:space="0" w:color="auto"/>
        <w:right w:val="none" w:sz="0" w:space="0" w:color="auto"/>
      </w:divBdr>
    </w:div>
    <w:div w:id="1306591508">
      <w:bodyDiv w:val="1"/>
      <w:marLeft w:val="0"/>
      <w:marRight w:val="0"/>
      <w:marTop w:val="0"/>
      <w:marBottom w:val="0"/>
      <w:divBdr>
        <w:top w:val="none" w:sz="0" w:space="0" w:color="auto"/>
        <w:left w:val="none" w:sz="0" w:space="0" w:color="auto"/>
        <w:bottom w:val="none" w:sz="0" w:space="0" w:color="auto"/>
        <w:right w:val="none" w:sz="0" w:space="0" w:color="auto"/>
      </w:divBdr>
    </w:div>
    <w:div w:id="1306620883">
      <w:bodyDiv w:val="1"/>
      <w:marLeft w:val="0"/>
      <w:marRight w:val="0"/>
      <w:marTop w:val="0"/>
      <w:marBottom w:val="0"/>
      <w:divBdr>
        <w:top w:val="none" w:sz="0" w:space="0" w:color="auto"/>
        <w:left w:val="none" w:sz="0" w:space="0" w:color="auto"/>
        <w:bottom w:val="none" w:sz="0" w:space="0" w:color="auto"/>
        <w:right w:val="none" w:sz="0" w:space="0" w:color="auto"/>
      </w:divBdr>
    </w:div>
    <w:div w:id="1306662603">
      <w:bodyDiv w:val="1"/>
      <w:marLeft w:val="0"/>
      <w:marRight w:val="0"/>
      <w:marTop w:val="0"/>
      <w:marBottom w:val="0"/>
      <w:divBdr>
        <w:top w:val="none" w:sz="0" w:space="0" w:color="auto"/>
        <w:left w:val="none" w:sz="0" w:space="0" w:color="auto"/>
        <w:bottom w:val="none" w:sz="0" w:space="0" w:color="auto"/>
        <w:right w:val="none" w:sz="0" w:space="0" w:color="auto"/>
      </w:divBdr>
    </w:div>
    <w:div w:id="1306810186">
      <w:bodyDiv w:val="1"/>
      <w:marLeft w:val="0"/>
      <w:marRight w:val="0"/>
      <w:marTop w:val="0"/>
      <w:marBottom w:val="0"/>
      <w:divBdr>
        <w:top w:val="none" w:sz="0" w:space="0" w:color="auto"/>
        <w:left w:val="none" w:sz="0" w:space="0" w:color="auto"/>
        <w:bottom w:val="none" w:sz="0" w:space="0" w:color="auto"/>
        <w:right w:val="none" w:sz="0" w:space="0" w:color="auto"/>
      </w:divBdr>
    </w:div>
    <w:div w:id="1306853651">
      <w:bodyDiv w:val="1"/>
      <w:marLeft w:val="0"/>
      <w:marRight w:val="0"/>
      <w:marTop w:val="0"/>
      <w:marBottom w:val="0"/>
      <w:divBdr>
        <w:top w:val="none" w:sz="0" w:space="0" w:color="auto"/>
        <w:left w:val="none" w:sz="0" w:space="0" w:color="auto"/>
        <w:bottom w:val="none" w:sz="0" w:space="0" w:color="auto"/>
        <w:right w:val="none" w:sz="0" w:space="0" w:color="auto"/>
      </w:divBdr>
    </w:div>
    <w:div w:id="1306857643">
      <w:bodyDiv w:val="1"/>
      <w:marLeft w:val="0"/>
      <w:marRight w:val="0"/>
      <w:marTop w:val="0"/>
      <w:marBottom w:val="0"/>
      <w:divBdr>
        <w:top w:val="none" w:sz="0" w:space="0" w:color="auto"/>
        <w:left w:val="none" w:sz="0" w:space="0" w:color="auto"/>
        <w:bottom w:val="none" w:sz="0" w:space="0" w:color="auto"/>
        <w:right w:val="none" w:sz="0" w:space="0" w:color="auto"/>
      </w:divBdr>
    </w:div>
    <w:div w:id="1307010137">
      <w:bodyDiv w:val="1"/>
      <w:marLeft w:val="0"/>
      <w:marRight w:val="0"/>
      <w:marTop w:val="0"/>
      <w:marBottom w:val="0"/>
      <w:divBdr>
        <w:top w:val="none" w:sz="0" w:space="0" w:color="auto"/>
        <w:left w:val="none" w:sz="0" w:space="0" w:color="auto"/>
        <w:bottom w:val="none" w:sz="0" w:space="0" w:color="auto"/>
        <w:right w:val="none" w:sz="0" w:space="0" w:color="auto"/>
      </w:divBdr>
    </w:div>
    <w:div w:id="1307248458">
      <w:bodyDiv w:val="1"/>
      <w:marLeft w:val="0"/>
      <w:marRight w:val="0"/>
      <w:marTop w:val="0"/>
      <w:marBottom w:val="0"/>
      <w:divBdr>
        <w:top w:val="none" w:sz="0" w:space="0" w:color="auto"/>
        <w:left w:val="none" w:sz="0" w:space="0" w:color="auto"/>
        <w:bottom w:val="none" w:sz="0" w:space="0" w:color="auto"/>
        <w:right w:val="none" w:sz="0" w:space="0" w:color="auto"/>
      </w:divBdr>
    </w:div>
    <w:div w:id="1307274826">
      <w:bodyDiv w:val="1"/>
      <w:marLeft w:val="0"/>
      <w:marRight w:val="0"/>
      <w:marTop w:val="0"/>
      <w:marBottom w:val="0"/>
      <w:divBdr>
        <w:top w:val="none" w:sz="0" w:space="0" w:color="auto"/>
        <w:left w:val="none" w:sz="0" w:space="0" w:color="auto"/>
        <w:bottom w:val="none" w:sz="0" w:space="0" w:color="auto"/>
        <w:right w:val="none" w:sz="0" w:space="0" w:color="auto"/>
      </w:divBdr>
    </w:div>
    <w:div w:id="1307315484">
      <w:bodyDiv w:val="1"/>
      <w:marLeft w:val="0"/>
      <w:marRight w:val="0"/>
      <w:marTop w:val="0"/>
      <w:marBottom w:val="0"/>
      <w:divBdr>
        <w:top w:val="none" w:sz="0" w:space="0" w:color="auto"/>
        <w:left w:val="none" w:sz="0" w:space="0" w:color="auto"/>
        <w:bottom w:val="none" w:sz="0" w:space="0" w:color="auto"/>
        <w:right w:val="none" w:sz="0" w:space="0" w:color="auto"/>
      </w:divBdr>
    </w:div>
    <w:div w:id="1307322496">
      <w:bodyDiv w:val="1"/>
      <w:marLeft w:val="0"/>
      <w:marRight w:val="0"/>
      <w:marTop w:val="0"/>
      <w:marBottom w:val="0"/>
      <w:divBdr>
        <w:top w:val="none" w:sz="0" w:space="0" w:color="auto"/>
        <w:left w:val="none" w:sz="0" w:space="0" w:color="auto"/>
        <w:bottom w:val="none" w:sz="0" w:space="0" w:color="auto"/>
        <w:right w:val="none" w:sz="0" w:space="0" w:color="auto"/>
      </w:divBdr>
    </w:div>
    <w:div w:id="1307390872">
      <w:bodyDiv w:val="1"/>
      <w:marLeft w:val="0"/>
      <w:marRight w:val="0"/>
      <w:marTop w:val="0"/>
      <w:marBottom w:val="0"/>
      <w:divBdr>
        <w:top w:val="none" w:sz="0" w:space="0" w:color="auto"/>
        <w:left w:val="none" w:sz="0" w:space="0" w:color="auto"/>
        <w:bottom w:val="none" w:sz="0" w:space="0" w:color="auto"/>
        <w:right w:val="none" w:sz="0" w:space="0" w:color="auto"/>
      </w:divBdr>
    </w:div>
    <w:div w:id="1307397888">
      <w:bodyDiv w:val="1"/>
      <w:marLeft w:val="0"/>
      <w:marRight w:val="0"/>
      <w:marTop w:val="0"/>
      <w:marBottom w:val="0"/>
      <w:divBdr>
        <w:top w:val="none" w:sz="0" w:space="0" w:color="auto"/>
        <w:left w:val="none" w:sz="0" w:space="0" w:color="auto"/>
        <w:bottom w:val="none" w:sz="0" w:space="0" w:color="auto"/>
        <w:right w:val="none" w:sz="0" w:space="0" w:color="auto"/>
      </w:divBdr>
    </w:div>
    <w:div w:id="1307399112">
      <w:bodyDiv w:val="1"/>
      <w:marLeft w:val="0"/>
      <w:marRight w:val="0"/>
      <w:marTop w:val="0"/>
      <w:marBottom w:val="0"/>
      <w:divBdr>
        <w:top w:val="none" w:sz="0" w:space="0" w:color="auto"/>
        <w:left w:val="none" w:sz="0" w:space="0" w:color="auto"/>
        <w:bottom w:val="none" w:sz="0" w:space="0" w:color="auto"/>
        <w:right w:val="none" w:sz="0" w:space="0" w:color="auto"/>
      </w:divBdr>
    </w:div>
    <w:div w:id="1307472176">
      <w:bodyDiv w:val="1"/>
      <w:marLeft w:val="0"/>
      <w:marRight w:val="0"/>
      <w:marTop w:val="0"/>
      <w:marBottom w:val="0"/>
      <w:divBdr>
        <w:top w:val="none" w:sz="0" w:space="0" w:color="auto"/>
        <w:left w:val="none" w:sz="0" w:space="0" w:color="auto"/>
        <w:bottom w:val="none" w:sz="0" w:space="0" w:color="auto"/>
        <w:right w:val="none" w:sz="0" w:space="0" w:color="auto"/>
      </w:divBdr>
    </w:div>
    <w:div w:id="1307473398">
      <w:bodyDiv w:val="1"/>
      <w:marLeft w:val="0"/>
      <w:marRight w:val="0"/>
      <w:marTop w:val="0"/>
      <w:marBottom w:val="0"/>
      <w:divBdr>
        <w:top w:val="none" w:sz="0" w:space="0" w:color="auto"/>
        <w:left w:val="none" w:sz="0" w:space="0" w:color="auto"/>
        <w:bottom w:val="none" w:sz="0" w:space="0" w:color="auto"/>
        <w:right w:val="none" w:sz="0" w:space="0" w:color="auto"/>
      </w:divBdr>
    </w:div>
    <w:div w:id="1307583475">
      <w:bodyDiv w:val="1"/>
      <w:marLeft w:val="0"/>
      <w:marRight w:val="0"/>
      <w:marTop w:val="0"/>
      <w:marBottom w:val="0"/>
      <w:divBdr>
        <w:top w:val="none" w:sz="0" w:space="0" w:color="auto"/>
        <w:left w:val="none" w:sz="0" w:space="0" w:color="auto"/>
        <w:bottom w:val="none" w:sz="0" w:space="0" w:color="auto"/>
        <w:right w:val="none" w:sz="0" w:space="0" w:color="auto"/>
      </w:divBdr>
    </w:div>
    <w:div w:id="1307589091">
      <w:bodyDiv w:val="1"/>
      <w:marLeft w:val="0"/>
      <w:marRight w:val="0"/>
      <w:marTop w:val="0"/>
      <w:marBottom w:val="0"/>
      <w:divBdr>
        <w:top w:val="none" w:sz="0" w:space="0" w:color="auto"/>
        <w:left w:val="none" w:sz="0" w:space="0" w:color="auto"/>
        <w:bottom w:val="none" w:sz="0" w:space="0" w:color="auto"/>
        <w:right w:val="none" w:sz="0" w:space="0" w:color="auto"/>
      </w:divBdr>
    </w:div>
    <w:div w:id="1307662666">
      <w:bodyDiv w:val="1"/>
      <w:marLeft w:val="0"/>
      <w:marRight w:val="0"/>
      <w:marTop w:val="0"/>
      <w:marBottom w:val="0"/>
      <w:divBdr>
        <w:top w:val="none" w:sz="0" w:space="0" w:color="auto"/>
        <w:left w:val="none" w:sz="0" w:space="0" w:color="auto"/>
        <w:bottom w:val="none" w:sz="0" w:space="0" w:color="auto"/>
        <w:right w:val="none" w:sz="0" w:space="0" w:color="auto"/>
      </w:divBdr>
    </w:div>
    <w:div w:id="1307666238">
      <w:bodyDiv w:val="1"/>
      <w:marLeft w:val="0"/>
      <w:marRight w:val="0"/>
      <w:marTop w:val="0"/>
      <w:marBottom w:val="0"/>
      <w:divBdr>
        <w:top w:val="none" w:sz="0" w:space="0" w:color="auto"/>
        <w:left w:val="none" w:sz="0" w:space="0" w:color="auto"/>
        <w:bottom w:val="none" w:sz="0" w:space="0" w:color="auto"/>
        <w:right w:val="none" w:sz="0" w:space="0" w:color="auto"/>
      </w:divBdr>
    </w:div>
    <w:div w:id="1307781602">
      <w:bodyDiv w:val="1"/>
      <w:marLeft w:val="0"/>
      <w:marRight w:val="0"/>
      <w:marTop w:val="0"/>
      <w:marBottom w:val="0"/>
      <w:divBdr>
        <w:top w:val="none" w:sz="0" w:space="0" w:color="auto"/>
        <w:left w:val="none" w:sz="0" w:space="0" w:color="auto"/>
        <w:bottom w:val="none" w:sz="0" w:space="0" w:color="auto"/>
        <w:right w:val="none" w:sz="0" w:space="0" w:color="auto"/>
      </w:divBdr>
    </w:div>
    <w:div w:id="1307853502">
      <w:bodyDiv w:val="1"/>
      <w:marLeft w:val="0"/>
      <w:marRight w:val="0"/>
      <w:marTop w:val="0"/>
      <w:marBottom w:val="0"/>
      <w:divBdr>
        <w:top w:val="none" w:sz="0" w:space="0" w:color="auto"/>
        <w:left w:val="none" w:sz="0" w:space="0" w:color="auto"/>
        <w:bottom w:val="none" w:sz="0" w:space="0" w:color="auto"/>
        <w:right w:val="none" w:sz="0" w:space="0" w:color="auto"/>
      </w:divBdr>
    </w:div>
    <w:div w:id="1307858945">
      <w:bodyDiv w:val="1"/>
      <w:marLeft w:val="0"/>
      <w:marRight w:val="0"/>
      <w:marTop w:val="0"/>
      <w:marBottom w:val="0"/>
      <w:divBdr>
        <w:top w:val="none" w:sz="0" w:space="0" w:color="auto"/>
        <w:left w:val="none" w:sz="0" w:space="0" w:color="auto"/>
        <w:bottom w:val="none" w:sz="0" w:space="0" w:color="auto"/>
        <w:right w:val="none" w:sz="0" w:space="0" w:color="auto"/>
      </w:divBdr>
    </w:div>
    <w:div w:id="1307977119">
      <w:bodyDiv w:val="1"/>
      <w:marLeft w:val="0"/>
      <w:marRight w:val="0"/>
      <w:marTop w:val="0"/>
      <w:marBottom w:val="0"/>
      <w:divBdr>
        <w:top w:val="none" w:sz="0" w:space="0" w:color="auto"/>
        <w:left w:val="none" w:sz="0" w:space="0" w:color="auto"/>
        <w:bottom w:val="none" w:sz="0" w:space="0" w:color="auto"/>
        <w:right w:val="none" w:sz="0" w:space="0" w:color="auto"/>
      </w:divBdr>
    </w:div>
    <w:div w:id="1308120885">
      <w:bodyDiv w:val="1"/>
      <w:marLeft w:val="0"/>
      <w:marRight w:val="0"/>
      <w:marTop w:val="0"/>
      <w:marBottom w:val="0"/>
      <w:divBdr>
        <w:top w:val="none" w:sz="0" w:space="0" w:color="auto"/>
        <w:left w:val="none" w:sz="0" w:space="0" w:color="auto"/>
        <w:bottom w:val="none" w:sz="0" w:space="0" w:color="auto"/>
        <w:right w:val="none" w:sz="0" w:space="0" w:color="auto"/>
      </w:divBdr>
    </w:div>
    <w:div w:id="1308126889">
      <w:bodyDiv w:val="1"/>
      <w:marLeft w:val="0"/>
      <w:marRight w:val="0"/>
      <w:marTop w:val="0"/>
      <w:marBottom w:val="0"/>
      <w:divBdr>
        <w:top w:val="none" w:sz="0" w:space="0" w:color="auto"/>
        <w:left w:val="none" w:sz="0" w:space="0" w:color="auto"/>
        <w:bottom w:val="none" w:sz="0" w:space="0" w:color="auto"/>
        <w:right w:val="none" w:sz="0" w:space="0" w:color="auto"/>
      </w:divBdr>
    </w:div>
    <w:div w:id="1308128968">
      <w:bodyDiv w:val="1"/>
      <w:marLeft w:val="0"/>
      <w:marRight w:val="0"/>
      <w:marTop w:val="0"/>
      <w:marBottom w:val="0"/>
      <w:divBdr>
        <w:top w:val="none" w:sz="0" w:space="0" w:color="auto"/>
        <w:left w:val="none" w:sz="0" w:space="0" w:color="auto"/>
        <w:bottom w:val="none" w:sz="0" w:space="0" w:color="auto"/>
        <w:right w:val="none" w:sz="0" w:space="0" w:color="auto"/>
      </w:divBdr>
    </w:div>
    <w:div w:id="1308318887">
      <w:bodyDiv w:val="1"/>
      <w:marLeft w:val="0"/>
      <w:marRight w:val="0"/>
      <w:marTop w:val="0"/>
      <w:marBottom w:val="0"/>
      <w:divBdr>
        <w:top w:val="none" w:sz="0" w:space="0" w:color="auto"/>
        <w:left w:val="none" w:sz="0" w:space="0" w:color="auto"/>
        <w:bottom w:val="none" w:sz="0" w:space="0" w:color="auto"/>
        <w:right w:val="none" w:sz="0" w:space="0" w:color="auto"/>
      </w:divBdr>
    </w:div>
    <w:div w:id="1308362026">
      <w:bodyDiv w:val="1"/>
      <w:marLeft w:val="0"/>
      <w:marRight w:val="0"/>
      <w:marTop w:val="0"/>
      <w:marBottom w:val="0"/>
      <w:divBdr>
        <w:top w:val="none" w:sz="0" w:space="0" w:color="auto"/>
        <w:left w:val="none" w:sz="0" w:space="0" w:color="auto"/>
        <w:bottom w:val="none" w:sz="0" w:space="0" w:color="auto"/>
        <w:right w:val="none" w:sz="0" w:space="0" w:color="auto"/>
      </w:divBdr>
    </w:div>
    <w:div w:id="1308363175">
      <w:bodyDiv w:val="1"/>
      <w:marLeft w:val="0"/>
      <w:marRight w:val="0"/>
      <w:marTop w:val="0"/>
      <w:marBottom w:val="0"/>
      <w:divBdr>
        <w:top w:val="none" w:sz="0" w:space="0" w:color="auto"/>
        <w:left w:val="none" w:sz="0" w:space="0" w:color="auto"/>
        <w:bottom w:val="none" w:sz="0" w:space="0" w:color="auto"/>
        <w:right w:val="none" w:sz="0" w:space="0" w:color="auto"/>
      </w:divBdr>
    </w:div>
    <w:div w:id="1308390644">
      <w:bodyDiv w:val="1"/>
      <w:marLeft w:val="0"/>
      <w:marRight w:val="0"/>
      <w:marTop w:val="0"/>
      <w:marBottom w:val="0"/>
      <w:divBdr>
        <w:top w:val="none" w:sz="0" w:space="0" w:color="auto"/>
        <w:left w:val="none" w:sz="0" w:space="0" w:color="auto"/>
        <w:bottom w:val="none" w:sz="0" w:space="0" w:color="auto"/>
        <w:right w:val="none" w:sz="0" w:space="0" w:color="auto"/>
      </w:divBdr>
    </w:div>
    <w:div w:id="1308432071">
      <w:bodyDiv w:val="1"/>
      <w:marLeft w:val="0"/>
      <w:marRight w:val="0"/>
      <w:marTop w:val="0"/>
      <w:marBottom w:val="0"/>
      <w:divBdr>
        <w:top w:val="none" w:sz="0" w:space="0" w:color="auto"/>
        <w:left w:val="none" w:sz="0" w:space="0" w:color="auto"/>
        <w:bottom w:val="none" w:sz="0" w:space="0" w:color="auto"/>
        <w:right w:val="none" w:sz="0" w:space="0" w:color="auto"/>
      </w:divBdr>
    </w:div>
    <w:div w:id="1308441202">
      <w:bodyDiv w:val="1"/>
      <w:marLeft w:val="0"/>
      <w:marRight w:val="0"/>
      <w:marTop w:val="0"/>
      <w:marBottom w:val="0"/>
      <w:divBdr>
        <w:top w:val="none" w:sz="0" w:space="0" w:color="auto"/>
        <w:left w:val="none" w:sz="0" w:space="0" w:color="auto"/>
        <w:bottom w:val="none" w:sz="0" w:space="0" w:color="auto"/>
        <w:right w:val="none" w:sz="0" w:space="0" w:color="auto"/>
      </w:divBdr>
    </w:div>
    <w:div w:id="1308586928">
      <w:bodyDiv w:val="1"/>
      <w:marLeft w:val="0"/>
      <w:marRight w:val="0"/>
      <w:marTop w:val="0"/>
      <w:marBottom w:val="0"/>
      <w:divBdr>
        <w:top w:val="none" w:sz="0" w:space="0" w:color="auto"/>
        <w:left w:val="none" w:sz="0" w:space="0" w:color="auto"/>
        <w:bottom w:val="none" w:sz="0" w:space="0" w:color="auto"/>
        <w:right w:val="none" w:sz="0" w:space="0" w:color="auto"/>
      </w:divBdr>
    </w:div>
    <w:div w:id="1308627394">
      <w:bodyDiv w:val="1"/>
      <w:marLeft w:val="0"/>
      <w:marRight w:val="0"/>
      <w:marTop w:val="0"/>
      <w:marBottom w:val="0"/>
      <w:divBdr>
        <w:top w:val="none" w:sz="0" w:space="0" w:color="auto"/>
        <w:left w:val="none" w:sz="0" w:space="0" w:color="auto"/>
        <w:bottom w:val="none" w:sz="0" w:space="0" w:color="auto"/>
        <w:right w:val="none" w:sz="0" w:space="0" w:color="auto"/>
      </w:divBdr>
    </w:div>
    <w:div w:id="1308627478">
      <w:bodyDiv w:val="1"/>
      <w:marLeft w:val="0"/>
      <w:marRight w:val="0"/>
      <w:marTop w:val="0"/>
      <w:marBottom w:val="0"/>
      <w:divBdr>
        <w:top w:val="none" w:sz="0" w:space="0" w:color="auto"/>
        <w:left w:val="none" w:sz="0" w:space="0" w:color="auto"/>
        <w:bottom w:val="none" w:sz="0" w:space="0" w:color="auto"/>
        <w:right w:val="none" w:sz="0" w:space="0" w:color="auto"/>
      </w:divBdr>
    </w:div>
    <w:div w:id="1308629897">
      <w:bodyDiv w:val="1"/>
      <w:marLeft w:val="0"/>
      <w:marRight w:val="0"/>
      <w:marTop w:val="0"/>
      <w:marBottom w:val="0"/>
      <w:divBdr>
        <w:top w:val="none" w:sz="0" w:space="0" w:color="auto"/>
        <w:left w:val="none" w:sz="0" w:space="0" w:color="auto"/>
        <w:bottom w:val="none" w:sz="0" w:space="0" w:color="auto"/>
        <w:right w:val="none" w:sz="0" w:space="0" w:color="auto"/>
      </w:divBdr>
    </w:div>
    <w:div w:id="1308631167">
      <w:bodyDiv w:val="1"/>
      <w:marLeft w:val="0"/>
      <w:marRight w:val="0"/>
      <w:marTop w:val="0"/>
      <w:marBottom w:val="0"/>
      <w:divBdr>
        <w:top w:val="none" w:sz="0" w:space="0" w:color="auto"/>
        <w:left w:val="none" w:sz="0" w:space="0" w:color="auto"/>
        <w:bottom w:val="none" w:sz="0" w:space="0" w:color="auto"/>
        <w:right w:val="none" w:sz="0" w:space="0" w:color="auto"/>
      </w:divBdr>
    </w:div>
    <w:div w:id="1308822229">
      <w:bodyDiv w:val="1"/>
      <w:marLeft w:val="0"/>
      <w:marRight w:val="0"/>
      <w:marTop w:val="0"/>
      <w:marBottom w:val="0"/>
      <w:divBdr>
        <w:top w:val="none" w:sz="0" w:space="0" w:color="auto"/>
        <w:left w:val="none" w:sz="0" w:space="0" w:color="auto"/>
        <w:bottom w:val="none" w:sz="0" w:space="0" w:color="auto"/>
        <w:right w:val="none" w:sz="0" w:space="0" w:color="auto"/>
      </w:divBdr>
    </w:div>
    <w:div w:id="1308824298">
      <w:bodyDiv w:val="1"/>
      <w:marLeft w:val="0"/>
      <w:marRight w:val="0"/>
      <w:marTop w:val="0"/>
      <w:marBottom w:val="0"/>
      <w:divBdr>
        <w:top w:val="none" w:sz="0" w:space="0" w:color="auto"/>
        <w:left w:val="none" w:sz="0" w:space="0" w:color="auto"/>
        <w:bottom w:val="none" w:sz="0" w:space="0" w:color="auto"/>
        <w:right w:val="none" w:sz="0" w:space="0" w:color="auto"/>
      </w:divBdr>
    </w:div>
    <w:div w:id="1308970357">
      <w:bodyDiv w:val="1"/>
      <w:marLeft w:val="0"/>
      <w:marRight w:val="0"/>
      <w:marTop w:val="0"/>
      <w:marBottom w:val="0"/>
      <w:divBdr>
        <w:top w:val="none" w:sz="0" w:space="0" w:color="auto"/>
        <w:left w:val="none" w:sz="0" w:space="0" w:color="auto"/>
        <w:bottom w:val="none" w:sz="0" w:space="0" w:color="auto"/>
        <w:right w:val="none" w:sz="0" w:space="0" w:color="auto"/>
      </w:divBdr>
    </w:div>
    <w:div w:id="1309019449">
      <w:bodyDiv w:val="1"/>
      <w:marLeft w:val="0"/>
      <w:marRight w:val="0"/>
      <w:marTop w:val="0"/>
      <w:marBottom w:val="0"/>
      <w:divBdr>
        <w:top w:val="none" w:sz="0" w:space="0" w:color="auto"/>
        <w:left w:val="none" w:sz="0" w:space="0" w:color="auto"/>
        <w:bottom w:val="none" w:sz="0" w:space="0" w:color="auto"/>
        <w:right w:val="none" w:sz="0" w:space="0" w:color="auto"/>
      </w:divBdr>
    </w:div>
    <w:div w:id="1309048222">
      <w:bodyDiv w:val="1"/>
      <w:marLeft w:val="0"/>
      <w:marRight w:val="0"/>
      <w:marTop w:val="0"/>
      <w:marBottom w:val="0"/>
      <w:divBdr>
        <w:top w:val="none" w:sz="0" w:space="0" w:color="auto"/>
        <w:left w:val="none" w:sz="0" w:space="0" w:color="auto"/>
        <w:bottom w:val="none" w:sz="0" w:space="0" w:color="auto"/>
        <w:right w:val="none" w:sz="0" w:space="0" w:color="auto"/>
      </w:divBdr>
    </w:div>
    <w:div w:id="1309090003">
      <w:bodyDiv w:val="1"/>
      <w:marLeft w:val="0"/>
      <w:marRight w:val="0"/>
      <w:marTop w:val="0"/>
      <w:marBottom w:val="0"/>
      <w:divBdr>
        <w:top w:val="none" w:sz="0" w:space="0" w:color="auto"/>
        <w:left w:val="none" w:sz="0" w:space="0" w:color="auto"/>
        <w:bottom w:val="none" w:sz="0" w:space="0" w:color="auto"/>
        <w:right w:val="none" w:sz="0" w:space="0" w:color="auto"/>
      </w:divBdr>
    </w:div>
    <w:div w:id="1309092663">
      <w:bodyDiv w:val="1"/>
      <w:marLeft w:val="0"/>
      <w:marRight w:val="0"/>
      <w:marTop w:val="0"/>
      <w:marBottom w:val="0"/>
      <w:divBdr>
        <w:top w:val="none" w:sz="0" w:space="0" w:color="auto"/>
        <w:left w:val="none" w:sz="0" w:space="0" w:color="auto"/>
        <w:bottom w:val="none" w:sz="0" w:space="0" w:color="auto"/>
        <w:right w:val="none" w:sz="0" w:space="0" w:color="auto"/>
      </w:divBdr>
    </w:div>
    <w:div w:id="1309163653">
      <w:bodyDiv w:val="1"/>
      <w:marLeft w:val="0"/>
      <w:marRight w:val="0"/>
      <w:marTop w:val="0"/>
      <w:marBottom w:val="0"/>
      <w:divBdr>
        <w:top w:val="none" w:sz="0" w:space="0" w:color="auto"/>
        <w:left w:val="none" w:sz="0" w:space="0" w:color="auto"/>
        <w:bottom w:val="none" w:sz="0" w:space="0" w:color="auto"/>
        <w:right w:val="none" w:sz="0" w:space="0" w:color="auto"/>
      </w:divBdr>
    </w:div>
    <w:div w:id="1309164505">
      <w:bodyDiv w:val="1"/>
      <w:marLeft w:val="0"/>
      <w:marRight w:val="0"/>
      <w:marTop w:val="0"/>
      <w:marBottom w:val="0"/>
      <w:divBdr>
        <w:top w:val="none" w:sz="0" w:space="0" w:color="auto"/>
        <w:left w:val="none" w:sz="0" w:space="0" w:color="auto"/>
        <w:bottom w:val="none" w:sz="0" w:space="0" w:color="auto"/>
        <w:right w:val="none" w:sz="0" w:space="0" w:color="auto"/>
      </w:divBdr>
    </w:div>
    <w:div w:id="1309168245">
      <w:bodyDiv w:val="1"/>
      <w:marLeft w:val="0"/>
      <w:marRight w:val="0"/>
      <w:marTop w:val="0"/>
      <w:marBottom w:val="0"/>
      <w:divBdr>
        <w:top w:val="none" w:sz="0" w:space="0" w:color="auto"/>
        <w:left w:val="none" w:sz="0" w:space="0" w:color="auto"/>
        <w:bottom w:val="none" w:sz="0" w:space="0" w:color="auto"/>
        <w:right w:val="none" w:sz="0" w:space="0" w:color="auto"/>
      </w:divBdr>
    </w:div>
    <w:div w:id="1309285889">
      <w:bodyDiv w:val="1"/>
      <w:marLeft w:val="0"/>
      <w:marRight w:val="0"/>
      <w:marTop w:val="0"/>
      <w:marBottom w:val="0"/>
      <w:divBdr>
        <w:top w:val="none" w:sz="0" w:space="0" w:color="auto"/>
        <w:left w:val="none" w:sz="0" w:space="0" w:color="auto"/>
        <w:bottom w:val="none" w:sz="0" w:space="0" w:color="auto"/>
        <w:right w:val="none" w:sz="0" w:space="0" w:color="auto"/>
      </w:divBdr>
    </w:div>
    <w:div w:id="1309357364">
      <w:bodyDiv w:val="1"/>
      <w:marLeft w:val="0"/>
      <w:marRight w:val="0"/>
      <w:marTop w:val="0"/>
      <w:marBottom w:val="0"/>
      <w:divBdr>
        <w:top w:val="none" w:sz="0" w:space="0" w:color="auto"/>
        <w:left w:val="none" w:sz="0" w:space="0" w:color="auto"/>
        <w:bottom w:val="none" w:sz="0" w:space="0" w:color="auto"/>
        <w:right w:val="none" w:sz="0" w:space="0" w:color="auto"/>
      </w:divBdr>
    </w:div>
    <w:div w:id="1309363473">
      <w:bodyDiv w:val="1"/>
      <w:marLeft w:val="0"/>
      <w:marRight w:val="0"/>
      <w:marTop w:val="0"/>
      <w:marBottom w:val="0"/>
      <w:divBdr>
        <w:top w:val="none" w:sz="0" w:space="0" w:color="auto"/>
        <w:left w:val="none" w:sz="0" w:space="0" w:color="auto"/>
        <w:bottom w:val="none" w:sz="0" w:space="0" w:color="auto"/>
        <w:right w:val="none" w:sz="0" w:space="0" w:color="auto"/>
      </w:divBdr>
    </w:div>
    <w:div w:id="1309433950">
      <w:bodyDiv w:val="1"/>
      <w:marLeft w:val="0"/>
      <w:marRight w:val="0"/>
      <w:marTop w:val="0"/>
      <w:marBottom w:val="0"/>
      <w:divBdr>
        <w:top w:val="none" w:sz="0" w:space="0" w:color="auto"/>
        <w:left w:val="none" w:sz="0" w:space="0" w:color="auto"/>
        <w:bottom w:val="none" w:sz="0" w:space="0" w:color="auto"/>
        <w:right w:val="none" w:sz="0" w:space="0" w:color="auto"/>
      </w:divBdr>
    </w:div>
    <w:div w:id="1309435720">
      <w:bodyDiv w:val="1"/>
      <w:marLeft w:val="0"/>
      <w:marRight w:val="0"/>
      <w:marTop w:val="0"/>
      <w:marBottom w:val="0"/>
      <w:divBdr>
        <w:top w:val="none" w:sz="0" w:space="0" w:color="auto"/>
        <w:left w:val="none" w:sz="0" w:space="0" w:color="auto"/>
        <w:bottom w:val="none" w:sz="0" w:space="0" w:color="auto"/>
        <w:right w:val="none" w:sz="0" w:space="0" w:color="auto"/>
      </w:divBdr>
    </w:div>
    <w:div w:id="1309479000">
      <w:bodyDiv w:val="1"/>
      <w:marLeft w:val="0"/>
      <w:marRight w:val="0"/>
      <w:marTop w:val="0"/>
      <w:marBottom w:val="0"/>
      <w:divBdr>
        <w:top w:val="none" w:sz="0" w:space="0" w:color="auto"/>
        <w:left w:val="none" w:sz="0" w:space="0" w:color="auto"/>
        <w:bottom w:val="none" w:sz="0" w:space="0" w:color="auto"/>
        <w:right w:val="none" w:sz="0" w:space="0" w:color="auto"/>
      </w:divBdr>
    </w:div>
    <w:div w:id="1309482542">
      <w:bodyDiv w:val="1"/>
      <w:marLeft w:val="0"/>
      <w:marRight w:val="0"/>
      <w:marTop w:val="0"/>
      <w:marBottom w:val="0"/>
      <w:divBdr>
        <w:top w:val="none" w:sz="0" w:space="0" w:color="auto"/>
        <w:left w:val="none" w:sz="0" w:space="0" w:color="auto"/>
        <w:bottom w:val="none" w:sz="0" w:space="0" w:color="auto"/>
        <w:right w:val="none" w:sz="0" w:space="0" w:color="auto"/>
      </w:divBdr>
    </w:div>
    <w:div w:id="1309557988">
      <w:bodyDiv w:val="1"/>
      <w:marLeft w:val="0"/>
      <w:marRight w:val="0"/>
      <w:marTop w:val="0"/>
      <w:marBottom w:val="0"/>
      <w:divBdr>
        <w:top w:val="none" w:sz="0" w:space="0" w:color="auto"/>
        <w:left w:val="none" w:sz="0" w:space="0" w:color="auto"/>
        <w:bottom w:val="none" w:sz="0" w:space="0" w:color="auto"/>
        <w:right w:val="none" w:sz="0" w:space="0" w:color="auto"/>
      </w:divBdr>
    </w:div>
    <w:div w:id="1309671465">
      <w:bodyDiv w:val="1"/>
      <w:marLeft w:val="0"/>
      <w:marRight w:val="0"/>
      <w:marTop w:val="0"/>
      <w:marBottom w:val="0"/>
      <w:divBdr>
        <w:top w:val="none" w:sz="0" w:space="0" w:color="auto"/>
        <w:left w:val="none" w:sz="0" w:space="0" w:color="auto"/>
        <w:bottom w:val="none" w:sz="0" w:space="0" w:color="auto"/>
        <w:right w:val="none" w:sz="0" w:space="0" w:color="auto"/>
      </w:divBdr>
    </w:div>
    <w:div w:id="1309699801">
      <w:bodyDiv w:val="1"/>
      <w:marLeft w:val="0"/>
      <w:marRight w:val="0"/>
      <w:marTop w:val="0"/>
      <w:marBottom w:val="0"/>
      <w:divBdr>
        <w:top w:val="none" w:sz="0" w:space="0" w:color="auto"/>
        <w:left w:val="none" w:sz="0" w:space="0" w:color="auto"/>
        <w:bottom w:val="none" w:sz="0" w:space="0" w:color="auto"/>
        <w:right w:val="none" w:sz="0" w:space="0" w:color="auto"/>
      </w:divBdr>
    </w:div>
    <w:div w:id="1309742395">
      <w:bodyDiv w:val="1"/>
      <w:marLeft w:val="0"/>
      <w:marRight w:val="0"/>
      <w:marTop w:val="0"/>
      <w:marBottom w:val="0"/>
      <w:divBdr>
        <w:top w:val="none" w:sz="0" w:space="0" w:color="auto"/>
        <w:left w:val="none" w:sz="0" w:space="0" w:color="auto"/>
        <w:bottom w:val="none" w:sz="0" w:space="0" w:color="auto"/>
        <w:right w:val="none" w:sz="0" w:space="0" w:color="auto"/>
      </w:divBdr>
    </w:div>
    <w:div w:id="1309824927">
      <w:bodyDiv w:val="1"/>
      <w:marLeft w:val="0"/>
      <w:marRight w:val="0"/>
      <w:marTop w:val="0"/>
      <w:marBottom w:val="0"/>
      <w:divBdr>
        <w:top w:val="none" w:sz="0" w:space="0" w:color="auto"/>
        <w:left w:val="none" w:sz="0" w:space="0" w:color="auto"/>
        <w:bottom w:val="none" w:sz="0" w:space="0" w:color="auto"/>
        <w:right w:val="none" w:sz="0" w:space="0" w:color="auto"/>
      </w:divBdr>
    </w:div>
    <w:div w:id="1309868999">
      <w:bodyDiv w:val="1"/>
      <w:marLeft w:val="0"/>
      <w:marRight w:val="0"/>
      <w:marTop w:val="0"/>
      <w:marBottom w:val="0"/>
      <w:divBdr>
        <w:top w:val="none" w:sz="0" w:space="0" w:color="auto"/>
        <w:left w:val="none" w:sz="0" w:space="0" w:color="auto"/>
        <w:bottom w:val="none" w:sz="0" w:space="0" w:color="auto"/>
        <w:right w:val="none" w:sz="0" w:space="0" w:color="auto"/>
      </w:divBdr>
    </w:div>
    <w:div w:id="1309895798">
      <w:bodyDiv w:val="1"/>
      <w:marLeft w:val="0"/>
      <w:marRight w:val="0"/>
      <w:marTop w:val="0"/>
      <w:marBottom w:val="0"/>
      <w:divBdr>
        <w:top w:val="none" w:sz="0" w:space="0" w:color="auto"/>
        <w:left w:val="none" w:sz="0" w:space="0" w:color="auto"/>
        <w:bottom w:val="none" w:sz="0" w:space="0" w:color="auto"/>
        <w:right w:val="none" w:sz="0" w:space="0" w:color="auto"/>
      </w:divBdr>
    </w:div>
    <w:div w:id="1310091897">
      <w:bodyDiv w:val="1"/>
      <w:marLeft w:val="0"/>
      <w:marRight w:val="0"/>
      <w:marTop w:val="0"/>
      <w:marBottom w:val="0"/>
      <w:divBdr>
        <w:top w:val="none" w:sz="0" w:space="0" w:color="auto"/>
        <w:left w:val="none" w:sz="0" w:space="0" w:color="auto"/>
        <w:bottom w:val="none" w:sz="0" w:space="0" w:color="auto"/>
        <w:right w:val="none" w:sz="0" w:space="0" w:color="auto"/>
      </w:divBdr>
    </w:div>
    <w:div w:id="1310210256">
      <w:bodyDiv w:val="1"/>
      <w:marLeft w:val="0"/>
      <w:marRight w:val="0"/>
      <w:marTop w:val="0"/>
      <w:marBottom w:val="0"/>
      <w:divBdr>
        <w:top w:val="none" w:sz="0" w:space="0" w:color="auto"/>
        <w:left w:val="none" w:sz="0" w:space="0" w:color="auto"/>
        <w:bottom w:val="none" w:sz="0" w:space="0" w:color="auto"/>
        <w:right w:val="none" w:sz="0" w:space="0" w:color="auto"/>
      </w:divBdr>
    </w:div>
    <w:div w:id="1310211114">
      <w:bodyDiv w:val="1"/>
      <w:marLeft w:val="0"/>
      <w:marRight w:val="0"/>
      <w:marTop w:val="0"/>
      <w:marBottom w:val="0"/>
      <w:divBdr>
        <w:top w:val="none" w:sz="0" w:space="0" w:color="auto"/>
        <w:left w:val="none" w:sz="0" w:space="0" w:color="auto"/>
        <w:bottom w:val="none" w:sz="0" w:space="0" w:color="auto"/>
        <w:right w:val="none" w:sz="0" w:space="0" w:color="auto"/>
      </w:divBdr>
    </w:div>
    <w:div w:id="1310279779">
      <w:bodyDiv w:val="1"/>
      <w:marLeft w:val="0"/>
      <w:marRight w:val="0"/>
      <w:marTop w:val="0"/>
      <w:marBottom w:val="0"/>
      <w:divBdr>
        <w:top w:val="none" w:sz="0" w:space="0" w:color="auto"/>
        <w:left w:val="none" w:sz="0" w:space="0" w:color="auto"/>
        <w:bottom w:val="none" w:sz="0" w:space="0" w:color="auto"/>
        <w:right w:val="none" w:sz="0" w:space="0" w:color="auto"/>
      </w:divBdr>
    </w:div>
    <w:div w:id="1310283673">
      <w:bodyDiv w:val="1"/>
      <w:marLeft w:val="0"/>
      <w:marRight w:val="0"/>
      <w:marTop w:val="0"/>
      <w:marBottom w:val="0"/>
      <w:divBdr>
        <w:top w:val="none" w:sz="0" w:space="0" w:color="auto"/>
        <w:left w:val="none" w:sz="0" w:space="0" w:color="auto"/>
        <w:bottom w:val="none" w:sz="0" w:space="0" w:color="auto"/>
        <w:right w:val="none" w:sz="0" w:space="0" w:color="auto"/>
      </w:divBdr>
    </w:div>
    <w:div w:id="1310286419">
      <w:bodyDiv w:val="1"/>
      <w:marLeft w:val="0"/>
      <w:marRight w:val="0"/>
      <w:marTop w:val="0"/>
      <w:marBottom w:val="0"/>
      <w:divBdr>
        <w:top w:val="none" w:sz="0" w:space="0" w:color="auto"/>
        <w:left w:val="none" w:sz="0" w:space="0" w:color="auto"/>
        <w:bottom w:val="none" w:sz="0" w:space="0" w:color="auto"/>
        <w:right w:val="none" w:sz="0" w:space="0" w:color="auto"/>
      </w:divBdr>
    </w:div>
    <w:div w:id="1310524697">
      <w:bodyDiv w:val="1"/>
      <w:marLeft w:val="0"/>
      <w:marRight w:val="0"/>
      <w:marTop w:val="0"/>
      <w:marBottom w:val="0"/>
      <w:divBdr>
        <w:top w:val="none" w:sz="0" w:space="0" w:color="auto"/>
        <w:left w:val="none" w:sz="0" w:space="0" w:color="auto"/>
        <w:bottom w:val="none" w:sz="0" w:space="0" w:color="auto"/>
        <w:right w:val="none" w:sz="0" w:space="0" w:color="auto"/>
      </w:divBdr>
    </w:div>
    <w:div w:id="1310554434">
      <w:bodyDiv w:val="1"/>
      <w:marLeft w:val="0"/>
      <w:marRight w:val="0"/>
      <w:marTop w:val="0"/>
      <w:marBottom w:val="0"/>
      <w:divBdr>
        <w:top w:val="none" w:sz="0" w:space="0" w:color="auto"/>
        <w:left w:val="none" w:sz="0" w:space="0" w:color="auto"/>
        <w:bottom w:val="none" w:sz="0" w:space="0" w:color="auto"/>
        <w:right w:val="none" w:sz="0" w:space="0" w:color="auto"/>
      </w:divBdr>
    </w:div>
    <w:div w:id="1310593690">
      <w:bodyDiv w:val="1"/>
      <w:marLeft w:val="0"/>
      <w:marRight w:val="0"/>
      <w:marTop w:val="0"/>
      <w:marBottom w:val="0"/>
      <w:divBdr>
        <w:top w:val="none" w:sz="0" w:space="0" w:color="auto"/>
        <w:left w:val="none" w:sz="0" w:space="0" w:color="auto"/>
        <w:bottom w:val="none" w:sz="0" w:space="0" w:color="auto"/>
        <w:right w:val="none" w:sz="0" w:space="0" w:color="auto"/>
      </w:divBdr>
    </w:div>
    <w:div w:id="1310593868">
      <w:bodyDiv w:val="1"/>
      <w:marLeft w:val="0"/>
      <w:marRight w:val="0"/>
      <w:marTop w:val="0"/>
      <w:marBottom w:val="0"/>
      <w:divBdr>
        <w:top w:val="none" w:sz="0" w:space="0" w:color="auto"/>
        <w:left w:val="none" w:sz="0" w:space="0" w:color="auto"/>
        <w:bottom w:val="none" w:sz="0" w:space="0" w:color="auto"/>
        <w:right w:val="none" w:sz="0" w:space="0" w:color="auto"/>
      </w:divBdr>
    </w:div>
    <w:div w:id="1310595227">
      <w:bodyDiv w:val="1"/>
      <w:marLeft w:val="0"/>
      <w:marRight w:val="0"/>
      <w:marTop w:val="0"/>
      <w:marBottom w:val="0"/>
      <w:divBdr>
        <w:top w:val="none" w:sz="0" w:space="0" w:color="auto"/>
        <w:left w:val="none" w:sz="0" w:space="0" w:color="auto"/>
        <w:bottom w:val="none" w:sz="0" w:space="0" w:color="auto"/>
        <w:right w:val="none" w:sz="0" w:space="0" w:color="auto"/>
      </w:divBdr>
    </w:div>
    <w:div w:id="1310595383">
      <w:bodyDiv w:val="1"/>
      <w:marLeft w:val="0"/>
      <w:marRight w:val="0"/>
      <w:marTop w:val="0"/>
      <w:marBottom w:val="0"/>
      <w:divBdr>
        <w:top w:val="none" w:sz="0" w:space="0" w:color="auto"/>
        <w:left w:val="none" w:sz="0" w:space="0" w:color="auto"/>
        <w:bottom w:val="none" w:sz="0" w:space="0" w:color="auto"/>
        <w:right w:val="none" w:sz="0" w:space="0" w:color="auto"/>
      </w:divBdr>
    </w:div>
    <w:div w:id="1310744383">
      <w:bodyDiv w:val="1"/>
      <w:marLeft w:val="0"/>
      <w:marRight w:val="0"/>
      <w:marTop w:val="0"/>
      <w:marBottom w:val="0"/>
      <w:divBdr>
        <w:top w:val="none" w:sz="0" w:space="0" w:color="auto"/>
        <w:left w:val="none" w:sz="0" w:space="0" w:color="auto"/>
        <w:bottom w:val="none" w:sz="0" w:space="0" w:color="auto"/>
        <w:right w:val="none" w:sz="0" w:space="0" w:color="auto"/>
      </w:divBdr>
    </w:div>
    <w:div w:id="1310750345">
      <w:bodyDiv w:val="1"/>
      <w:marLeft w:val="0"/>
      <w:marRight w:val="0"/>
      <w:marTop w:val="0"/>
      <w:marBottom w:val="0"/>
      <w:divBdr>
        <w:top w:val="none" w:sz="0" w:space="0" w:color="auto"/>
        <w:left w:val="none" w:sz="0" w:space="0" w:color="auto"/>
        <w:bottom w:val="none" w:sz="0" w:space="0" w:color="auto"/>
        <w:right w:val="none" w:sz="0" w:space="0" w:color="auto"/>
      </w:divBdr>
    </w:div>
    <w:div w:id="1310791446">
      <w:bodyDiv w:val="1"/>
      <w:marLeft w:val="0"/>
      <w:marRight w:val="0"/>
      <w:marTop w:val="0"/>
      <w:marBottom w:val="0"/>
      <w:divBdr>
        <w:top w:val="none" w:sz="0" w:space="0" w:color="auto"/>
        <w:left w:val="none" w:sz="0" w:space="0" w:color="auto"/>
        <w:bottom w:val="none" w:sz="0" w:space="0" w:color="auto"/>
        <w:right w:val="none" w:sz="0" w:space="0" w:color="auto"/>
      </w:divBdr>
    </w:div>
    <w:div w:id="1310859629">
      <w:bodyDiv w:val="1"/>
      <w:marLeft w:val="0"/>
      <w:marRight w:val="0"/>
      <w:marTop w:val="0"/>
      <w:marBottom w:val="0"/>
      <w:divBdr>
        <w:top w:val="none" w:sz="0" w:space="0" w:color="auto"/>
        <w:left w:val="none" w:sz="0" w:space="0" w:color="auto"/>
        <w:bottom w:val="none" w:sz="0" w:space="0" w:color="auto"/>
        <w:right w:val="none" w:sz="0" w:space="0" w:color="auto"/>
      </w:divBdr>
    </w:div>
    <w:div w:id="1310859979">
      <w:bodyDiv w:val="1"/>
      <w:marLeft w:val="0"/>
      <w:marRight w:val="0"/>
      <w:marTop w:val="0"/>
      <w:marBottom w:val="0"/>
      <w:divBdr>
        <w:top w:val="none" w:sz="0" w:space="0" w:color="auto"/>
        <w:left w:val="none" w:sz="0" w:space="0" w:color="auto"/>
        <w:bottom w:val="none" w:sz="0" w:space="0" w:color="auto"/>
        <w:right w:val="none" w:sz="0" w:space="0" w:color="auto"/>
      </w:divBdr>
    </w:div>
    <w:div w:id="1310863687">
      <w:bodyDiv w:val="1"/>
      <w:marLeft w:val="0"/>
      <w:marRight w:val="0"/>
      <w:marTop w:val="0"/>
      <w:marBottom w:val="0"/>
      <w:divBdr>
        <w:top w:val="none" w:sz="0" w:space="0" w:color="auto"/>
        <w:left w:val="none" w:sz="0" w:space="0" w:color="auto"/>
        <w:bottom w:val="none" w:sz="0" w:space="0" w:color="auto"/>
        <w:right w:val="none" w:sz="0" w:space="0" w:color="auto"/>
      </w:divBdr>
    </w:div>
    <w:div w:id="1311012074">
      <w:bodyDiv w:val="1"/>
      <w:marLeft w:val="0"/>
      <w:marRight w:val="0"/>
      <w:marTop w:val="0"/>
      <w:marBottom w:val="0"/>
      <w:divBdr>
        <w:top w:val="none" w:sz="0" w:space="0" w:color="auto"/>
        <w:left w:val="none" w:sz="0" w:space="0" w:color="auto"/>
        <w:bottom w:val="none" w:sz="0" w:space="0" w:color="auto"/>
        <w:right w:val="none" w:sz="0" w:space="0" w:color="auto"/>
      </w:divBdr>
    </w:div>
    <w:div w:id="1311205484">
      <w:bodyDiv w:val="1"/>
      <w:marLeft w:val="0"/>
      <w:marRight w:val="0"/>
      <w:marTop w:val="0"/>
      <w:marBottom w:val="0"/>
      <w:divBdr>
        <w:top w:val="none" w:sz="0" w:space="0" w:color="auto"/>
        <w:left w:val="none" w:sz="0" w:space="0" w:color="auto"/>
        <w:bottom w:val="none" w:sz="0" w:space="0" w:color="auto"/>
        <w:right w:val="none" w:sz="0" w:space="0" w:color="auto"/>
      </w:divBdr>
    </w:div>
    <w:div w:id="1311206646">
      <w:bodyDiv w:val="1"/>
      <w:marLeft w:val="0"/>
      <w:marRight w:val="0"/>
      <w:marTop w:val="0"/>
      <w:marBottom w:val="0"/>
      <w:divBdr>
        <w:top w:val="none" w:sz="0" w:space="0" w:color="auto"/>
        <w:left w:val="none" w:sz="0" w:space="0" w:color="auto"/>
        <w:bottom w:val="none" w:sz="0" w:space="0" w:color="auto"/>
        <w:right w:val="none" w:sz="0" w:space="0" w:color="auto"/>
      </w:divBdr>
    </w:div>
    <w:div w:id="1311247231">
      <w:bodyDiv w:val="1"/>
      <w:marLeft w:val="0"/>
      <w:marRight w:val="0"/>
      <w:marTop w:val="0"/>
      <w:marBottom w:val="0"/>
      <w:divBdr>
        <w:top w:val="none" w:sz="0" w:space="0" w:color="auto"/>
        <w:left w:val="none" w:sz="0" w:space="0" w:color="auto"/>
        <w:bottom w:val="none" w:sz="0" w:space="0" w:color="auto"/>
        <w:right w:val="none" w:sz="0" w:space="0" w:color="auto"/>
      </w:divBdr>
    </w:div>
    <w:div w:id="1311327991">
      <w:bodyDiv w:val="1"/>
      <w:marLeft w:val="0"/>
      <w:marRight w:val="0"/>
      <w:marTop w:val="0"/>
      <w:marBottom w:val="0"/>
      <w:divBdr>
        <w:top w:val="none" w:sz="0" w:space="0" w:color="auto"/>
        <w:left w:val="none" w:sz="0" w:space="0" w:color="auto"/>
        <w:bottom w:val="none" w:sz="0" w:space="0" w:color="auto"/>
        <w:right w:val="none" w:sz="0" w:space="0" w:color="auto"/>
      </w:divBdr>
    </w:div>
    <w:div w:id="1311442527">
      <w:bodyDiv w:val="1"/>
      <w:marLeft w:val="0"/>
      <w:marRight w:val="0"/>
      <w:marTop w:val="0"/>
      <w:marBottom w:val="0"/>
      <w:divBdr>
        <w:top w:val="none" w:sz="0" w:space="0" w:color="auto"/>
        <w:left w:val="none" w:sz="0" w:space="0" w:color="auto"/>
        <w:bottom w:val="none" w:sz="0" w:space="0" w:color="auto"/>
        <w:right w:val="none" w:sz="0" w:space="0" w:color="auto"/>
      </w:divBdr>
    </w:div>
    <w:div w:id="1311597680">
      <w:bodyDiv w:val="1"/>
      <w:marLeft w:val="0"/>
      <w:marRight w:val="0"/>
      <w:marTop w:val="0"/>
      <w:marBottom w:val="0"/>
      <w:divBdr>
        <w:top w:val="none" w:sz="0" w:space="0" w:color="auto"/>
        <w:left w:val="none" w:sz="0" w:space="0" w:color="auto"/>
        <w:bottom w:val="none" w:sz="0" w:space="0" w:color="auto"/>
        <w:right w:val="none" w:sz="0" w:space="0" w:color="auto"/>
      </w:divBdr>
    </w:div>
    <w:div w:id="1311638880">
      <w:bodyDiv w:val="1"/>
      <w:marLeft w:val="0"/>
      <w:marRight w:val="0"/>
      <w:marTop w:val="0"/>
      <w:marBottom w:val="0"/>
      <w:divBdr>
        <w:top w:val="none" w:sz="0" w:space="0" w:color="auto"/>
        <w:left w:val="none" w:sz="0" w:space="0" w:color="auto"/>
        <w:bottom w:val="none" w:sz="0" w:space="0" w:color="auto"/>
        <w:right w:val="none" w:sz="0" w:space="0" w:color="auto"/>
      </w:divBdr>
    </w:div>
    <w:div w:id="1311708505">
      <w:bodyDiv w:val="1"/>
      <w:marLeft w:val="0"/>
      <w:marRight w:val="0"/>
      <w:marTop w:val="0"/>
      <w:marBottom w:val="0"/>
      <w:divBdr>
        <w:top w:val="none" w:sz="0" w:space="0" w:color="auto"/>
        <w:left w:val="none" w:sz="0" w:space="0" w:color="auto"/>
        <w:bottom w:val="none" w:sz="0" w:space="0" w:color="auto"/>
        <w:right w:val="none" w:sz="0" w:space="0" w:color="auto"/>
      </w:divBdr>
    </w:div>
    <w:div w:id="1311709930">
      <w:bodyDiv w:val="1"/>
      <w:marLeft w:val="0"/>
      <w:marRight w:val="0"/>
      <w:marTop w:val="0"/>
      <w:marBottom w:val="0"/>
      <w:divBdr>
        <w:top w:val="none" w:sz="0" w:space="0" w:color="auto"/>
        <w:left w:val="none" w:sz="0" w:space="0" w:color="auto"/>
        <w:bottom w:val="none" w:sz="0" w:space="0" w:color="auto"/>
        <w:right w:val="none" w:sz="0" w:space="0" w:color="auto"/>
      </w:divBdr>
    </w:div>
    <w:div w:id="1311715811">
      <w:bodyDiv w:val="1"/>
      <w:marLeft w:val="0"/>
      <w:marRight w:val="0"/>
      <w:marTop w:val="0"/>
      <w:marBottom w:val="0"/>
      <w:divBdr>
        <w:top w:val="none" w:sz="0" w:space="0" w:color="auto"/>
        <w:left w:val="none" w:sz="0" w:space="0" w:color="auto"/>
        <w:bottom w:val="none" w:sz="0" w:space="0" w:color="auto"/>
        <w:right w:val="none" w:sz="0" w:space="0" w:color="auto"/>
      </w:divBdr>
    </w:div>
    <w:div w:id="1311866086">
      <w:bodyDiv w:val="1"/>
      <w:marLeft w:val="0"/>
      <w:marRight w:val="0"/>
      <w:marTop w:val="0"/>
      <w:marBottom w:val="0"/>
      <w:divBdr>
        <w:top w:val="none" w:sz="0" w:space="0" w:color="auto"/>
        <w:left w:val="none" w:sz="0" w:space="0" w:color="auto"/>
        <w:bottom w:val="none" w:sz="0" w:space="0" w:color="auto"/>
        <w:right w:val="none" w:sz="0" w:space="0" w:color="auto"/>
      </w:divBdr>
    </w:div>
    <w:div w:id="1312103287">
      <w:bodyDiv w:val="1"/>
      <w:marLeft w:val="0"/>
      <w:marRight w:val="0"/>
      <w:marTop w:val="0"/>
      <w:marBottom w:val="0"/>
      <w:divBdr>
        <w:top w:val="none" w:sz="0" w:space="0" w:color="auto"/>
        <w:left w:val="none" w:sz="0" w:space="0" w:color="auto"/>
        <w:bottom w:val="none" w:sz="0" w:space="0" w:color="auto"/>
        <w:right w:val="none" w:sz="0" w:space="0" w:color="auto"/>
      </w:divBdr>
    </w:div>
    <w:div w:id="1312246609">
      <w:bodyDiv w:val="1"/>
      <w:marLeft w:val="0"/>
      <w:marRight w:val="0"/>
      <w:marTop w:val="0"/>
      <w:marBottom w:val="0"/>
      <w:divBdr>
        <w:top w:val="none" w:sz="0" w:space="0" w:color="auto"/>
        <w:left w:val="none" w:sz="0" w:space="0" w:color="auto"/>
        <w:bottom w:val="none" w:sz="0" w:space="0" w:color="auto"/>
        <w:right w:val="none" w:sz="0" w:space="0" w:color="auto"/>
      </w:divBdr>
    </w:div>
    <w:div w:id="1312294770">
      <w:bodyDiv w:val="1"/>
      <w:marLeft w:val="0"/>
      <w:marRight w:val="0"/>
      <w:marTop w:val="0"/>
      <w:marBottom w:val="0"/>
      <w:divBdr>
        <w:top w:val="none" w:sz="0" w:space="0" w:color="auto"/>
        <w:left w:val="none" w:sz="0" w:space="0" w:color="auto"/>
        <w:bottom w:val="none" w:sz="0" w:space="0" w:color="auto"/>
        <w:right w:val="none" w:sz="0" w:space="0" w:color="auto"/>
      </w:divBdr>
    </w:div>
    <w:div w:id="1312296293">
      <w:bodyDiv w:val="1"/>
      <w:marLeft w:val="0"/>
      <w:marRight w:val="0"/>
      <w:marTop w:val="0"/>
      <w:marBottom w:val="0"/>
      <w:divBdr>
        <w:top w:val="none" w:sz="0" w:space="0" w:color="auto"/>
        <w:left w:val="none" w:sz="0" w:space="0" w:color="auto"/>
        <w:bottom w:val="none" w:sz="0" w:space="0" w:color="auto"/>
        <w:right w:val="none" w:sz="0" w:space="0" w:color="auto"/>
      </w:divBdr>
    </w:div>
    <w:div w:id="1312322189">
      <w:bodyDiv w:val="1"/>
      <w:marLeft w:val="0"/>
      <w:marRight w:val="0"/>
      <w:marTop w:val="0"/>
      <w:marBottom w:val="0"/>
      <w:divBdr>
        <w:top w:val="none" w:sz="0" w:space="0" w:color="auto"/>
        <w:left w:val="none" w:sz="0" w:space="0" w:color="auto"/>
        <w:bottom w:val="none" w:sz="0" w:space="0" w:color="auto"/>
        <w:right w:val="none" w:sz="0" w:space="0" w:color="auto"/>
      </w:divBdr>
    </w:div>
    <w:div w:id="1312366650">
      <w:bodyDiv w:val="1"/>
      <w:marLeft w:val="0"/>
      <w:marRight w:val="0"/>
      <w:marTop w:val="0"/>
      <w:marBottom w:val="0"/>
      <w:divBdr>
        <w:top w:val="none" w:sz="0" w:space="0" w:color="auto"/>
        <w:left w:val="none" w:sz="0" w:space="0" w:color="auto"/>
        <w:bottom w:val="none" w:sz="0" w:space="0" w:color="auto"/>
        <w:right w:val="none" w:sz="0" w:space="0" w:color="auto"/>
      </w:divBdr>
    </w:div>
    <w:div w:id="1312446344">
      <w:bodyDiv w:val="1"/>
      <w:marLeft w:val="0"/>
      <w:marRight w:val="0"/>
      <w:marTop w:val="0"/>
      <w:marBottom w:val="0"/>
      <w:divBdr>
        <w:top w:val="none" w:sz="0" w:space="0" w:color="auto"/>
        <w:left w:val="none" w:sz="0" w:space="0" w:color="auto"/>
        <w:bottom w:val="none" w:sz="0" w:space="0" w:color="auto"/>
        <w:right w:val="none" w:sz="0" w:space="0" w:color="auto"/>
      </w:divBdr>
    </w:div>
    <w:div w:id="1312519111">
      <w:bodyDiv w:val="1"/>
      <w:marLeft w:val="0"/>
      <w:marRight w:val="0"/>
      <w:marTop w:val="0"/>
      <w:marBottom w:val="0"/>
      <w:divBdr>
        <w:top w:val="none" w:sz="0" w:space="0" w:color="auto"/>
        <w:left w:val="none" w:sz="0" w:space="0" w:color="auto"/>
        <w:bottom w:val="none" w:sz="0" w:space="0" w:color="auto"/>
        <w:right w:val="none" w:sz="0" w:space="0" w:color="auto"/>
      </w:divBdr>
    </w:div>
    <w:div w:id="1312556709">
      <w:bodyDiv w:val="1"/>
      <w:marLeft w:val="0"/>
      <w:marRight w:val="0"/>
      <w:marTop w:val="0"/>
      <w:marBottom w:val="0"/>
      <w:divBdr>
        <w:top w:val="none" w:sz="0" w:space="0" w:color="auto"/>
        <w:left w:val="none" w:sz="0" w:space="0" w:color="auto"/>
        <w:bottom w:val="none" w:sz="0" w:space="0" w:color="auto"/>
        <w:right w:val="none" w:sz="0" w:space="0" w:color="auto"/>
      </w:divBdr>
    </w:div>
    <w:div w:id="1312753486">
      <w:bodyDiv w:val="1"/>
      <w:marLeft w:val="0"/>
      <w:marRight w:val="0"/>
      <w:marTop w:val="0"/>
      <w:marBottom w:val="0"/>
      <w:divBdr>
        <w:top w:val="none" w:sz="0" w:space="0" w:color="auto"/>
        <w:left w:val="none" w:sz="0" w:space="0" w:color="auto"/>
        <w:bottom w:val="none" w:sz="0" w:space="0" w:color="auto"/>
        <w:right w:val="none" w:sz="0" w:space="0" w:color="auto"/>
      </w:divBdr>
    </w:div>
    <w:div w:id="1312828883">
      <w:bodyDiv w:val="1"/>
      <w:marLeft w:val="0"/>
      <w:marRight w:val="0"/>
      <w:marTop w:val="0"/>
      <w:marBottom w:val="0"/>
      <w:divBdr>
        <w:top w:val="none" w:sz="0" w:space="0" w:color="auto"/>
        <w:left w:val="none" w:sz="0" w:space="0" w:color="auto"/>
        <w:bottom w:val="none" w:sz="0" w:space="0" w:color="auto"/>
        <w:right w:val="none" w:sz="0" w:space="0" w:color="auto"/>
      </w:divBdr>
    </w:div>
    <w:div w:id="1312901441">
      <w:bodyDiv w:val="1"/>
      <w:marLeft w:val="0"/>
      <w:marRight w:val="0"/>
      <w:marTop w:val="0"/>
      <w:marBottom w:val="0"/>
      <w:divBdr>
        <w:top w:val="none" w:sz="0" w:space="0" w:color="auto"/>
        <w:left w:val="none" w:sz="0" w:space="0" w:color="auto"/>
        <w:bottom w:val="none" w:sz="0" w:space="0" w:color="auto"/>
        <w:right w:val="none" w:sz="0" w:space="0" w:color="auto"/>
      </w:divBdr>
    </w:div>
    <w:div w:id="1312903151">
      <w:bodyDiv w:val="1"/>
      <w:marLeft w:val="0"/>
      <w:marRight w:val="0"/>
      <w:marTop w:val="0"/>
      <w:marBottom w:val="0"/>
      <w:divBdr>
        <w:top w:val="none" w:sz="0" w:space="0" w:color="auto"/>
        <w:left w:val="none" w:sz="0" w:space="0" w:color="auto"/>
        <w:bottom w:val="none" w:sz="0" w:space="0" w:color="auto"/>
        <w:right w:val="none" w:sz="0" w:space="0" w:color="auto"/>
      </w:divBdr>
    </w:div>
    <w:div w:id="1313027797">
      <w:bodyDiv w:val="1"/>
      <w:marLeft w:val="0"/>
      <w:marRight w:val="0"/>
      <w:marTop w:val="0"/>
      <w:marBottom w:val="0"/>
      <w:divBdr>
        <w:top w:val="none" w:sz="0" w:space="0" w:color="auto"/>
        <w:left w:val="none" w:sz="0" w:space="0" w:color="auto"/>
        <w:bottom w:val="none" w:sz="0" w:space="0" w:color="auto"/>
        <w:right w:val="none" w:sz="0" w:space="0" w:color="auto"/>
      </w:divBdr>
    </w:div>
    <w:div w:id="1313095047">
      <w:bodyDiv w:val="1"/>
      <w:marLeft w:val="0"/>
      <w:marRight w:val="0"/>
      <w:marTop w:val="0"/>
      <w:marBottom w:val="0"/>
      <w:divBdr>
        <w:top w:val="none" w:sz="0" w:space="0" w:color="auto"/>
        <w:left w:val="none" w:sz="0" w:space="0" w:color="auto"/>
        <w:bottom w:val="none" w:sz="0" w:space="0" w:color="auto"/>
        <w:right w:val="none" w:sz="0" w:space="0" w:color="auto"/>
      </w:divBdr>
    </w:div>
    <w:div w:id="1313171846">
      <w:bodyDiv w:val="1"/>
      <w:marLeft w:val="0"/>
      <w:marRight w:val="0"/>
      <w:marTop w:val="0"/>
      <w:marBottom w:val="0"/>
      <w:divBdr>
        <w:top w:val="none" w:sz="0" w:space="0" w:color="auto"/>
        <w:left w:val="none" w:sz="0" w:space="0" w:color="auto"/>
        <w:bottom w:val="none" w:sz="0" w:space="0" w:color="auto"/>
        <w:right w:val="none" w:sz="0" w:space="0" w:color="auto"/>
      </w:divBdr>
    </w:div>
    <w:div w:id="1313218702">
      <w:bodyDiv w:val="1"/>
      <w:marLeft w:val="0"/>
      <w:marRight w:val="0"/>
      <w:marTop w:val="0"/>
      <w:marBottom w:val="0"/>
      <w:divBdr>
        <w:top w:val="none" w:sz="0" w:space="0" w:color="auto"/>
        <w:left w:val="none" w:sz="0" w:space="0" w:color="auto"/>
        <w:bottom w:val="none" w:sz="0" w:space="0" w:color="auto"/>
        <w:right w:val="none" w:sz="0" w:space="0" w:color="auto"/>
      </w:divBdr>
    </w:div>
    <w:div w:id="1313481755">
      <w:bodyDiv w:val="1"/>
      <w:marLeft w:val="0"/>
      <w:marRight w:val="0"/>
      <w:marTop w:val="0"/>
      <w:marBottom w:val="0"/>
      <w:divBdr>
        <w:top w:val="none" w:sz="0" w:space="0" w:color="auto"/>
        <w:left w:val="none" w:sz="0" w:space="0" w:color="auto"/>
        <w:bottom w:val="none" w:sz="0" w:space="0" w:color="auto"/>
        <w:right w:val="none" w:sz="0" w:space="0" w:color="auto"/>
      </w:divBdr>
    </w:div>
    <w:div w:id="1313483933">
      <w:bodyDiv w:val="1"/>
      <w:marLeft w:val="0"/>
      <w:marRight w:val="0"/>
      <w:marTop w:val="0"/>
      <w:marBottom w:val="0"/>
      <w:divBdr>
        <w:top w:val="none" w:sz="0" w:space="0" w:color="auto"/>
        <w:left w:val="none" w:sz="0" w:space="0" w:color="auto"/>
        <w:bottom w:val="none" w:sz="0" w:space="0" w:color="auto"/>
        <w:right w:val="none" w:sz="0" w:space="0" w:color="auto"/>
      </w:divBdr>
    </w:div>
    <w:div w:id="1313486107">
      <w:bodyDiv w:val="1"/>
      <w:marLeft w:val="0"/>
      <w:marRight w:val="0"/>
      <w:marTop w:val="0"/>
      <w:marBottom w:val="0"/>
      <w:divBdr>
        <w:top w:val="none" w:sz="0" w:space="0" w:color="auto"/>
        <w:left w:val="none" w:sz="0" w:space="0" w:color="auto"/>
        <w:bottom w:val="none" w:sz="0" w:space="0" w:color="auto"/>
        <w:right w:val="none" w:sz="0" w:space="0" w:color="auto"/>
      </w:divBdr>
    </w:div>
    <w:div w:id="1313607022">
      <w:bodyDiv w:val="1"/>
      <w:marLeft w:val="0"/>
      <w:marRight w:val="0"/>
      <w:marTop w:val="0"/>
      <w:marBottom w:val="0"/>
      <w:divBdr>
        <w:top w:val="none" w:sz="0" w:space="0" w:color="auto"/>
        <w:left w:val="none" w:sz="0" w:space="0" w:color="auto"/>
        <w:bottom w:val="none" w:sz="0" w:space="0" w:color="auto"/>
        <w:right w:val="none" w:sz="0" w:space="0" w:color="auto"/>
      </w:divBdr>
    </w:div>
    <w:div w:id="1313607734">
      <w:bodyDiv w:val="1"/>
      <w:marLeft w:val="0"/>
      <w:marRight w:val="0"/>
      <w:marTop w:val="0"/>
      <w:marBottom w:val="0"/>
      <w:divBdr>
        <w:top w:val="none" w:sz="0" w:space="0" w:color="auto"/>
        <w:left w:val="none" w:sz="0" w:space="0" w:color="auto"/>
        <w:bottom w:val="none" w:sz="0" w:space="0" w:color="auto"/>
        <w:right w:val="none" w:sz="0" w:space="0" w:color="auto"/>
      </w:divBdr>
    </w:div>
    <w:div w:id="1313676187">
      <w:bodyDiv w:val="1"/>
      <w:marLeft w:val="0"/>
      <w:marRight w:val="0"/>
      <w:marTop w:val="0"/>
      <w:marBottom w:val="0"/>
      <w:divBdr>
        <w:top w:val="none" w:sz="0" w:space="0" w:color="auto"/>
        <w:left w:val="none" w:sz="0" w:space="0" w:color="auto"/>
        <w:bottom w:val="none" w:sz="0" w:space="0" w:color="auto"/>
        <w:right w:val="none" w:sz="0" w:space="0" w:color="auto"/>
      </w:divBdr>
    </w:div>
    <w:div w:id="1313677295">
      <w:bodyDiv w:val="1"/>
      <w:marLeft w:val="0"/>
      <w:marRight w:val="0"/>
      <w:marTop w:val="0"/>
      <w:marBottom w:val="0"/>
      <w:divBdr>
        <w:top w:val="none" w:sz="0" w:space="0" w:color="auto"/>
        <w:left w:val="none" w:sz="0" w:space="0" w:color="auto"/>
        <w:bottom w:val="none" w:sz="0" w:space="0" w:color="auto"/>
        <w:right w:val="none" w:sz="0" w:space="0" w:color="auto"/>
      </w:divBdr>
    </w:div>
    <w:div w:id="1313830599">
      <w:bodyDiv w:val="1"/>
      <w:marLeft w:val="0"/>
      <w:marRight w:val="0"/>
      <w:marTop w:val="0"/>
      <w:marBottom w:val="0"/>
      <w:divBdr>
        <w:top w:val="none" w:sz="0" w:space="0" w:color="auto"/>
        <w:left w:val="none" w:sz="0" w:space="0" w:color="auto"/>
        <w:bottom w:val="none" w:sz="0" w:space="0" w:color="auto"/>
        <w:right w:val="none" w:sz="0" w:space="0" w:color="auto"/>
      </w:divBdr>
    </w:div>
    <w:div w:id="1314136355">
      <w:bodyDiv w:val="1"/>
      <w:marLeft w:val="0"/>
      <w:marRight w:val="0"/>
      <w:marTop w:val="0"/>
      <w:marBottom w:val="0"/>
      <w:divBdr>
        <w:top w:val="none" w:sz="0" w:space="0" w:color="auto"/>
        <w:left w:val="none" w:sz="0" w:space="0" w:color="auto"/>
        <w:bottom w:val="none" w:sz="0" w:space="0" w:color="auto"/>
        <w:right w:val="none" w:sz="0" w:space="0" w:color="auto"/>
      </w:divBdr>
    </w:div>
    <w:div w:id="1314408186">
      <w:bodyDiv w:val="1"/>
      <w:marLeft w:val="0"/>
      <w:marRight w:val="0"/>
      <w:marTop w:val="0"/>
      <w:marBottom w:val="0"/>
      <w:divBdr>
        <w:top w:val="none" w:sz="0" w:space="0" w:color="auto"/>
        <w:left w:val="none" w:sz="0" w:space="0" w:color="auto"/>
        <w:bottom w:val="none" w:sz="0" w:space="0" w:color="auto"/>
        <w:right w:val="none" w:sz="0" w:space="0" w:color="auto"/>
      </w:divBdr>
    </w:div>
    <w:div w:id="1314523441">
      <w:bodyDiv w:val="1"/>
      <w:marLeft w:val="0"/>
      <w:marRight w:val="0"/>
      <w:marTop w:val="0"/>
      <w:marBottom w:val="0"/>
      <w:divBdr>
        <w:top w:val="none" w:sz="0" w:space="0" w:color="auto"/>
        <w:left w:val="none" w:sz="0" w:space="0" w:color="auto"/>
        <w:bottom w:val="none" w:sz="0" w:space="0" w:color="auto"/>
        <w:right w:val="none" w:sz="0" w:space="0" w:color="auto"/>
      </w:divBdr>
    </w:div>
    <w:div w:id="1314526033">
      <w:bodyDiv w:val="1"/>
      <w:marLeft w:val="0"/>
      <w:marRight w:val="0"/>
      <w:marTop w:val="0"/>
      <w:marBottom w:val="0"/>
      <w:divBdr>
        <w:top w:val="none" w:sz="0" w:space="0" w:color="auto"/>
        <w:left w:val="none" w:sz="0" w:space="0" w:color="auto"/>
        <w:bottom w:val="none" w:sz="0" w:space="0" w:color="auto"/>
        <w:right w:val="none" w:sz="0" w:space="0" w:color="auto"/>
      </w:divBdr>
    </w:div>
    <w:div w:id="1314527741">
      <w:bodyDiv w:val="1"/>
      <w:marLeft w:val="0"/>
      <w:marRight w:val="0"/>
      <w:marTop w:val="0"/>
      <w:marBottom w:val="0"/>
      <w:divBdr>
        <w:top w:val="none" w:sz="0" w:space="0" w:color="auto"/>
        <w:left w:val="none" w:sz="0" w:space="0" w:color="auto"/>
        <w:bottom w:val="none" w:sz="0" w:space="0" w:color="auto"/>
        <w:right w:val="none" w:sz="0" w:space="0" w:color="auto"/>
      </w:divBdr>
    </w:div>
    <w:div w:id="1314530917">
      <w:bodyDiv w:val="1"/>
      <w:marLeft w:val="0"/>
      <w:marRight w:val="0"/>
      <w:marTop w:val="0"/>
      <w:marBottom w:val="0"/>
      <w:divBdr>
        <w:top w:val="none" w:sz="0" w:space="0" w:color="auto"/>
        <w:left w:val="none" w:sz="0" w:space="0" w:color="auto"/>
        <w:bottom w:val="none" w:sz="0" w:space="0" w:color="auto"/>
        <w:right w:val="none" w:sz="0" w:space="0" w:color="auto"/>
      </w:divBdr>
    </w:div>
    <w:div w:id="1314677554">
      <w:bodyDiv w:val="1"/>
      <w:marLeft w:val="0"/>
      <w:marRight w:val="0"/>
      <w:marTop w:val="0"/>
      <w:marBottom w:val="0"/>
      <w:divBdr>
        <w:top w:val="none" w:sz="0" w:space="0" w:color="auto"/>
        <w:left w:val="none" w:sz="0" w:space="0" w:color="auto"/>
        <w:bottom w:val="none" w:sz="0" w:space="0" w:color="auto"/>
        <w:right w:val="none" w:sz="0" w:space="0" w:color="auto"/>
      </w:divBdr>
    </w:div>
    <w:div w:id="1314793689">
      <w:bodyDiv w:val="1"/>
      <w:marLeft w:val="0"/>
      <w:marRight w:val="0"/>
      <w:marTop w:val="0"/>
      <w:marBottom w:val="0"/>
      <w:divBdr>
        <w:top w:val="none" w:sz="0" w:space="0" w:color="auto"/>
        <w:left w:val="none" w:sz="0" w:space="0" w:color="auto"/>
        <w:bottom w:val="none" w:sz="0" w:space="0" w:color="auto"/>
        <w:right w:val="none" w:sz="0" w:space="0" w:color="auto"/>
      </w:divBdr>
    </w:div>
    <w:div w:id="1314869539">
      <w:bodyDiv w:val="1"/>
      <w:marLeft w:val="0"/>
      <w:marRight w:val="0"/>
      <w:marTop w:val="0"/>
      <w:marBottom w:val="0"/>
      <w:divBdr>
        <w:top w:val="none" w:sz="0" w:space="0" w:color="auto"/>
        <w:left w:val="none" w:sz="0" w:space="0" w:color="auto"/>
        <w:bottom w:val="none" w:sz="0" w:space="0" w:color="auto"/>
        <w:right w:val="none" w:sz="0" w:space="0" w:color="auto"/>
      </w:divBdr>
    </w:div>
    <w:div w:id="1314988009">
      <w:bodyDiv w:val="1"/>
      <w:marLeft w:val="0"/>
      <w:marRight w:val="0"/>
      <w:marTop w:val="0"/>
      <w:marBottom w:val="0"/>
      <w:divBdr>
        <w:top w:val="none" w:sz="0" w:space="0" w:color="auto"/>
        <w:left w:val="none" w:sz="0" w:space="0" w:color="auto"/>
        <w:bottom w:val="none" w:sz="0" w:space="0" w:color="auto"/>
        <w:right w:val="none" w:sz="0" w:space="0" w:color="auto"/>
      </w:divBdr>
    </w:div>
    <w:div w:id="1315111272">
      <w:bodyDiv w:val="1"/>
      <w:marLeft w:val="0"/>
      <w:marRight w:val="0"/>
      <w:marTop w:val="0"/>
      <w:marBottom w:val="0"/>
      <w:divBdr>
        <w:top w:val="none" w:sz="0" w:space="0" w:color="auto"/>
        <w:left w:val="none" w:sz="0" w:space="0" w:color="auto"/>
        <w:bottom w:val="none" w:sz="0" w:space="0" w:color="auto"/>
        <w:right w:val="none" w:sz="0" w:space="0" w:color="auto"/>
      </w:divBdr>
    </w:div>
    <w:div w:id="1315140900">
      <w:bodyDiv w:val="1"/>
      <w:marLeft w:val="0"/>
      <w:marRight w:val="0"/>
      <w:marTop w:val="0"/>
      <w:marBottom w:val="0"/>
      <w:divBdr>
        <w:top w:val="none" w:sz="0" w:space="0" w:color="auto"/>
        <w:left w:val="none" w:sz="0" w:space="0" w:color="auto"/>
        <w:bottom w:val="none" w:sz="0" w:space="0" w:color="auto"/>
        <w:right w:val="none" w:sz="0" w:space="0" w:color="auto"/>
      </w:divBdr>
    </w:div>
    <w:div w:id="1315257184">
      <w:bodyDiv w:val="1"/>
      <w:marLeft w:val="0"/>
      <w:marRight w:val="0"/>
      <w:marTop w:val="0"/>
      <w:marBottom w:val="0"/>
      <w:divBdr>
        <w:top w:val="none" w:sz="0" w:space="0" w:color="auto"/>
        <w:left w:val="none" w:sz="0" w:space="0" w:color="auto"/>
        <w:bottom w:val="none" w:sz="0" w:space="0" w:color="auto"/>
        <w:right w:val="none" w:sz="0" w:space="0" w:color="auto"/>
      </w:divBdr>
    </w:div>
    <w:div w:id="1315373391">
      <w:bodyDiv w:val="1"/>
      <w:marLeft w:val="0"/>
      <w:marRight w:val="0"/>
      <w:marTop w:val="0"/>
      <w:marBottom w:val="0"/>
      <w:divBdr>
        <w:top w:val="none" w:sz="0" w:space="0" w:color="auto"/>
        <w:left w:val="none" w:sz="0" w:space="0" w:color="auto"/>
        <w:bottom w:val="none" w:sz="0" w:space="0" w:color="auto"/>
        <w:right w:val="none" w:sz="0" w:space="0" w:color="auto"/>
      </w:divBdr>
    </w:div>
    <w:div w:id="1315529787">
      <w:bodyDiv w:val="1"/>
      <w:marLeft w:val="0"/>
      <w:marRight w:val="0"/>
      <w:marTop w:val="0"/>
      <w:marBottom w:val="0"/>
      <w:divBdr>
        <w:top w:val="none" w:sz="0" w:space="0" w:color="auto"/>
        <w:left w:val="none" w:sz="0" w:space="0" w:color="auto"/>
        <w:bottom w:val="none" w:sz="0" w:space="0" w:color="auto"/>
        <w:right w:val="none" w:sz="0" w:space="0" w:color="auto"/>
      </w:divBdr>
    </w:div>
    <w:div w:id="1315529896">
      <w:bodyDiv w:val="1"/>
      <w:marLeft w:val="0"/>
      <w:marRight w:val="0"/>
      <w:marTop w:val="0"/>
      <w:marBottom w:val="0"/>
      <w:divBdr>
        <w:top w:val="none" w:sz="0" w:space="0" w:color="auto"/>
        <w:left w:val="none" w:sz="0" w:space="0" w:color="auto"/>
        <w:bottom w:val="none" w:sz="0" w:space="0" w:color="auto"/>
        <w:right w:val="none" w:sz="0" w:space="0" w:color="auto"/>
      </w:divBdr>
    </w:div>
    <w:div w:id="1315641447">
      <w:bodyDiv w:val="1"/>
      <w:marLeft w:val="0"/>
      <w:marRight w:val="0"/>
      <w:marTop w:val="0"/>
      <w:marBottom w:val="0"/>
      <w:divBdr>
        <w:top w:val="none" w:sz="0" w:space="0" w:color="auto"/>
        <w:left w:val="none" w:sz="0" w:space="0" w:color="auto"/>
        <w:bottom w:val="none" w:sz="0" w:space="0" w:color="auto"/>
        <w:right w:val="none" w:sz="0" w:space="0" w:color="auto"/>
      </w:divBdr>
    </w:div>
    <w:div w:id="1315643521">
      <w:bodyDiv w:val="1"/>
      <w:marLeft w:val="0"/>
      <w:marRight w:val="0"/>
      <w:marTop w:val="0"/>
      <w:marBottom w:val="0"/>
      <w:divBdr>
        <w:top w:val="none" w:sz="0" w:space="0" w:color="auto"/>
        <w:left w:val="none" w:sz="0" w:space="0" w:color="auto"/>
        <w:bottom w:val="none" w:sz="0" w:space="0" w:color="auto"/>
        <w:right w:val="none" w:sz="0" w:space="0" w:color="auto"/>
      </w:divBdr>
    </w:div>
    <w:div w:id="1315645690">
      <w:bodyDiv w:val="1"/>
      <w:marLeft w:val="0"/>
      <w:marRight w:val="0"/>
      <w:marTop w:val="0"/>
      <w:marBottom w:val="0"/>
      <w:divBdr>
        <w:top w:val="none" w:sz="0" w:space="0" w:color="auto"/>
        <w:left w:val="none" w:sz="0" w:space="0" w:color="auto"/>
        <w:bottom w:val="none" w:sz="0" w:space="0" w:color="auto"/>
        <w:right w:val="none" w:sz="0" w:space="0" w:color="auto"/>
      </w:divBdr>
    </w:div>
    <w:div w:id="1315721242">
      <w:bodyDiv w:val="1"/>
      <w:marLeft w:val="0"/>
      <w:marRight w:val="0"/>
      <w:marTop w:val="0"/>
      <w:marBottom w:val="0"/>
      <w:divBdr>
        <w:top w:val="none" w:sz="0" w:space="0" w:color="auto"/>
        <w:left w:val="none" w:sz="0" w:space="0" w:color="auto"/>
        <w:bottom w:val="none" w:sz="0" w:space="0" w:color="auto"/>
        <w:right w:val="none" w:sz="0" w:space="0" w:color="auto"/>
      </w:divBdr>
    </w:div>
    <w:div w:id="1315991027">
      <w:bodyDiv w:val="1"/>
      <w:marLeft w:val="0"/>
      <w:marRight w:val="0"/>
      <w:marTop w:val="0"/>
      <w:marBottom w:val="0"/>
      <w:divBdr>
        <w:top w:val="none" w:sz="0" w:space="0" w:color="auto"/>
        <w:left w:val="none" w:sz="0" w:space="0" w:color="auto"/>
        <w:bottom w:val="none" w:sz="0" w:space="0" w:color="auto"/>
        <w:right w:val="none" w:sz="0" w:space="0" w:color="auto"/>
      </w:divBdr>
    </w:div>
    <w:div w:id="1316031468">
      <w:bodyDiv w:val="1"/>
      <w:marLeft w:val="0"/>
      <w:marRight w:val="0"/>
      <w:marTop w:val="0"/>
      <w:marBottom w:val="0"/>
      <w:divBdr>
        <w:top w:val="none" w:sz="0" w:space="0" w:color="auto"/>
        <w:left w:val="none" w:sz="0" w:space="0" w:color="auto"/>
        <w:bottom w:val="none" w:sz="0" w:space="0" w:color="auto"/>
        <w:right w:val="none" w:sz="0" w:space="0" w:color="auto"/>
      </w:divBdr>
    </w:div>
    <w:div w:id="1316101947">
      <w:bodyDiv w:val="1"/>
      <w:marLeft w:val="0"/>
      <w:marRight w:val="0"/>
      <w:marTop w:val="0"/>
      <w:marBottom w:val="0"/>
      <w:divBdr>
        <w:top w:val="none" w:sz="0" w:space="0" w:color="auto"/>
        <w:left w:val="none" w:sz="0" w:space="0" w:color="auto"/>
        <w:bottom w:val="none" w:sz="0" w:space="0" w:color="auto"/>
        <w:right w:val="none" w:sz="0" w:space="0" w:color="auto"/>
      </w:divBdr>
    </w:div>
    <w:div w:id="1316184100">
      <w:bodyDiv w:val="1"/>
      <w:marLeft w:val="0"/>
      <w:marRight w:val="0"/>
      <w:marTop w:val="0"/>
      <w:marBottom w:val="0"/>
      <w:divBdr>
        <w:top w:val="none" w:sz="0" w:space="0" w:color="auto"/>
        <w:left w:val="none" w:sz="0" w:space="0" w:color="auto"/>
        <w:bottom w:val="none" w:sz="0" w:space="0" w:color="auto"/>
        <w:right w:val="none" w:sz="0" w:space="0" w:color="auto"/>
      </w:divBdr>
    </w:div>
    <w:div w:id="1316256064">
      <w:bodyDiv w:val="1"/>
      <w:marLeft w:val="0"/>
      <w:marRight w:val="0"/>
      <w:marTop w:val="0"/>
      <w:marBottom w:val="0"/>
      <w:divBdr>
        <w:top w:val="none" w:sz="0" w:space="0" w:color="auto"/>
        <w:left w:val="none" w:sz="0" w:space="0" w:color="auto"/>
        <w:bottom w:val="none" w:sz="0" w:space="0" w:color="auto"/>
        <w:right w:val="none" w:sz="0" w:space="0" w:color="auto"/>
      </w:divBdr>
    </w:div>
    <w:div w:id="1316301269">
      <w:bodyDiv w:val="1"/>
      <w:marLeft w:val="0"/>
      <w:marRight w:val="0"/>
      <w:marTop w:val="0"/>
      <w:marBottom w:val="0"/>
      <w:divBdr>
        <w:top w:val="none" w:sz="0" w:space="0" w:color="auto"/>
        <w:left w:val="none" w:sz="0" w:space="0" w:color="auto"/>
        <w:bottom w:val="none" w:sz="0" w:space="0" w:color="auto"/>
        <w:right w:val="none" w:sz="0" w:space="0" w:color="auto"/>
      </w:divBdr>
    </w:div>
    <w:div w:id="1316373855">
      <w:bodyDiv w:val="1"/>
      <w:marLeft w:val="0"/>
      <w:marRight w:val="0"/>
      <w:marTop w:val="0"/>
      <w:marBottom w:val="0"/>
      <w:divBdr>
        <w:top w:val="none" w:sz="0" w:space="0" w:color="auto"/>
        <w:left w:val="none" w:sz="0" w:space="0" w:color="auto"/>
        <w:bottom w:val="none" w:sz="0" w:space="0" w:color="auto"/>
        <w:right w:val="none" w:sz="0" w:space="0" w:color="auto"/>
      </w:divBdr>
    </w:div>
    <w:div w:id="1316374985">
      <w:bodyDiv w:val="1"/>
      <w:marLeft w:val="0"/>
      <w:marRight w:val="0"/>
      <w:marTop w:val="0"/>
      <w:marBottom w:val="0"/>
      <w:divBdr>
        <w:top w:val="none" w:sz="0" w:space="0" w:color="auto"/>
        <w:left w:val="none" w:sz="0" w:space="0" w:color="auto"/>
        <w:bottom w:val="none" w:sz="0" w:space="0" w:color="auto"/>
        <w:right w:val="none" w:sz="0" w:space="0" w:color="auto"/>
      </w:divBdr>
    </w:div>
    <w:div w:id="1316376734">
      <w:bodyDiv w:val="1"/>
      <w:marLeft w:val="0"/>
      <w:marRight w:val="0"/>
      <w:marTop w:val="0"/>
      <w:marBottom w:val="0"/>
      <w:divBdr>
        <w:top w:val="none" w:sz="0" w:space="0" w:color="auto"/>
        <w:left w:val="none" w:sz="0" w:space="0" w:color="auto"/>
        <w:bottom w:val="none" w:sz="0" w:space="0" w:color="auto"/>
        <w:right w:val="none" w:sz="0" w:space="0" w:color="auto"/>
      </w:divBdr>
    </w:div>
    <w:div w:id="1316377127">
      <w:bodyDiv w:val="1"/>
      <w:marLeft w:val="0"/>
      <w:marRight w:val="0"/>
      <w:marTop w:val="0"/>
      <w:marBottom w:val="0"/>
      <w:divBdr>
        <w:top w:val="none" w:sz="0" w:space="0" w:color="auto"/>
        <w:left w:val="none" w:sz="0" w:space="0" w:color="auto"/>
        <w:bottom w:val="none" w:sz="0" w:space="0" w:color="auto"/>
        <w:right w:val="none" w:sz="0" w:space="0" w:color="auto"/>
      </w:divBdr>
    </w:div>
    <w:div w:id="1316378826">
      <w:bodyDiv w:val="1"/>
      <w:marLeft w:val="0"/>
      <w:marRight w:val="0"/>
      <w:marTop w:val="0"/>
      <w:marBottom w:val="0"/>
      <w:divBdr>
        <w:top w:val="none" w:sz="0" w:space="0" w:color="auto"/>
        <w:left w:val="none" w:sz="0" w:space="0" w:color="auto"/>
        <w:bottom w:val="none" w:sz="0" w:space="0" w:color="auto"/>
        <w:right w:val="none" w:sz="0" w:space="0" w:color="auto"/>
      </w:divBdr>
    </w:div>
    <w:div w:id="1316641670">
      <w:bodyDiv w:val="1"/>
      <w:marLeft w:val="0"/>
      <w:marRight w:val="0"/>
      <w:marTop w:val="0"/>
      <w:marBottom w:val="0"/>
      <w:divBdr>
        <w:top w:val="none" w:sz="0" w:space="0" w:color="auto"/>
        <w:left w:val="none" w:sz="0" w:space="0" w:color="auto"/>
        <w:bottom w:val="none" w:sz="0" w:space="0" w:color="auto"/>
        <w:right w:val="none" w:sz="0" w:space="0" w:color="auto"/>
      </w:divBdr>
    </w:div>
    <w:div w:id="1316644791">
      <w:bodyDiv w:val="1"/>
      <w:marLeft w:val="0"/>
      <w:marRight w:val="0"/>
      <w:marTop w:val="0"/>
      <w:marBottom w:val="0"/>
      <w:divBdr>
        <w:top w:val="none" w:sz="0" w:space="0" w:color="auto"/>
        <w:left w:val="none" w:sz="0" w:space="0" w:color="auto"/>
        <w:bottom w:val="none" w:sz="0" w:space="0" w:color="auto"/>
        <w:right w:val="none" w:sz="0" w:space="0" w:color="auto"/>
      </w:divBdr>
    </w:div>
    <w:div w:id="1316688745">
      <w:bodyDiv w:val="1"/>
      <w:marLeft w:val="0"/>
      <w:marRight w:val="0"/>
      <w:marTop w:val="0"/>
      <w:marBottom w:val="0"/>
      <w:divBdr>
        <w:top w:val="none" w:sz="0" w:space="0" w:color="auto"/>
        <w:left w:val="none" w:sz="0" w:space="0" w:color="auto"/>
        <w:bottom w:val="none" w:sz="0" w:space="0" w:color="auto"/>
        <w:right w:val="none" w:sz="0" w:space="0" w:color="auto"/>
      </w:divBdr>
    </w:div>
    <w:div w:id="1316832788">
      <w:bodyDiv w:val="1"/>
      <w:marLeft w:val="0"/>
      <w:marRight w:val="0"/>
      <w:marTop w:val="0"/>
      <w:marBottom w:val="0"/>
      <w:divBdr>
        <w:top w:val="none" w:sz="0" w:space="0" w:color="auto"/>
        <w:left w:val="none" w:sz="0" w:space="0" w:color="auto"/>
        <w:bottom w:val="none" w:sz="0" w:space="0" w:color="auto"/>
        <w:right w:val="none" w:sz="0" w:space="0" w:color="auto"/>
      </w:divBdr>
    </w:div>
    <w:div w:id="1316910587">
      <w:bodyDiv w:val="1"/>
      <w:marLeft w:val="0"/>
      <w:marRight w:val="0"/>
      <w:marTop w:val="0"/>
      <w:marBottom w:val="0"/>
      <w:divBdr>
        <w:top w:val="none" w:sz="0" w:space="0" w:color="auto"/>
        <w:left w:val="none" w:sz="0" w:space="0" w:color="auto"/>
        <w:bottom w:val="none" w:sz="0" w:space="0" w:color="auto"/>
        <w:right w:val="none" w:sz="0" w:space="0" w:color="auto"/>
      </w:divBdr>
    </w:div>
    <w:div w:id="1316913073">
      <w:bodyDiv w:val="1"/>
      <w:marLeft w:val="0"/>
      <w:marRight w:val="0"/>
      <w:marTop w:val="0"/>
      <w:marBottom w:val="0"/>
      <w:divBdr>
        <w:top w:val="none" w:sz="0" w:space="0" w:color="auto"/>
        <w:left w:val="none" w:sz="0" w:space="0" w:color="auto"/>
        <w:bottom w:val="none" w:sz="0" w:space="0" w:color="auto"/>
        <w:right w:val="none" w:sz="0" w:space="0" w:color="auto"/>
      </w:divBdr>
    </w:div>
    <w:div w:id="1316951933">
      <w:bodyDiv w:val="1"/>
      <w:marLeft w:val="0"/>
      <w:marRight w:val="0"/>
      <w:marTop w:val="0"/>
      <w:marBottom w:val="0"/>
      <w:divBdr>
        <w:top w:val="none" w:sz="0" w:space="0" w:color="auto"/>
        <w:left w:val="none" w:sz="0" w:space="0" w:color="auto"/>
        <w:bottom w:val="none" w:sz="0" w:space="0" w:color="auto"/>
        <w:right w:val="none" w:sz="0" w:space="0" w:color="auto"/>
      </w:divBdr>
    </w:div>
    <w:div w:id="1316953938">
      <w:bodyDiv w:val="1"/>
      <w:marLeft w:val="0"/>
      <w:marRight w:val="0"/>
      <w:marTop w:val="0"/>
      <w:marBottom w:val="0"/>
      <w:divBdr>
        <w:top w:val="none" w:sz="0" w:space="0" w:color="auto"/>
        <w:left w:val="none" w:sz="0" w:space="0" w:color="auto"/>
        <w:bottom w:val="none" w:sz="0" w:space="0" w:color="auto"/>
        <w:right w:val="none" w:sz="0" w:space="0" w:color="auto"/>
      </w:divBdr>
    </w:div>
    <w:div w:id="1317105792">
      <w:bodyDiv w:val="1"/>
      <w:marLeft w:val="0"/>
      <w:marRight w:val="0"/>
      <w:marTop w:val="0"/>
      <w:marBottom w:val="0"/>
      <w:divBdr>
        <w:top w:val="none" w:sz="0" w:space="0" w:color="auto"/>
        <w:left w:val="none" w:sz="0" w:space="0" w:color="auto"/>
        <w:bottom w:val="none" w:sz="0" w:space="0" w:color="auto"/>
        <w:right w:val="none" w:sz="0" w:space="0" w:color="auto"/>
      </w:divBdr>
    </w:div>
    <w:div w:id="1317109567">
      <w:bodyDiv w:val="1"/>
      <w:marLeft w:val="0"/>
      <w:marRight w:val="0"/>
      <w:marTop w:val="0"/>
      <w:marBottom w:val="0"/>
      <w:divBdr>
        <w:top w:val="none" w:sz="0" w:space="0" w:color="auto"/>
        <w:left w:val="none" w:sz="0" w:space="0" w:color="auto"/>
        <w:bottom w:val="none" w:sz="0" w:space="0" w:color="auto"/>
        <w:right w:val="none" w:sz="0" w:space="0" w:color="auto"/>
      </w:divBdr>
    </w:div>
    <w:div w:id="1317147187">
      <w:bodyDiv w:val="1"/>
      <w:marLeft w:val="0"/>
      <w:marRight w:val="0"/>
      <w:marTop w:val="0"/>
      <w:marBottom w:val="0"/>
      <w:divBdr>
        <w:top w:val="none" w:sz="0" w:space="0" w:color="auto"/>
        <w:left w:val="none" w:sz="0" w:space="0" w:color="auto"/>
        <w:bottom w:val="none" w:sz="0" w:space="0" w:color="auto"/>
        <w:right w:val="none" w:sz="0" w:space="0" w:color="auto"/>
      </w:divBdr>
    </w:div>
    <w:div w:id="1317227760">
      <w:bodyDiv w:val="1"/>
      <w:marLeft w:val="0"/>
      <w:marRight w:val="0"/>
      <w:marTop w:val="0"/>
      <w:marBottom w:val="0"/>
      <w:divBdr>
        <w:top w:val="none" w:sz="0" w:space="0" w:color="auto"/>
        <w:left w:val="none" w:sz="0" w:space="0" w:color="auto"/>
        <w:bottom w:val="none" w:sz="0" w:space="0" w:color="auto"/>
        <w:right w:val="none" w:sz="0" w:space="0" w:color="auto"/>
      </w:divBdr>
    </w:div>
    <w:div w:id="1317297806">
      <w:bodyDiv w:val="1"/>
      <w:marLeft w:val="0"/>
      <w:marRight w:val="0"/>
      <w:marTop w:val="0"/>
      <w:marBottom w:val="0"/>
      <w:divBdr>
        <w:top w:val="none" w:sz="0" w:space="0" w:color="auto"/>
        <w:left w:val="none" w:sz="0" w:space="0" w:color="auto"/>
        <w:bottom w:val="none" w:sz="0" w:space="0" w:color="auto"/>
        <w:right w:val="none" w:sz="0" w:space="0" w:color="auto"/>
      </w:divBdr>
    </w:div>
    <w:div w:id="1317492612">
      <w:bodyDiv w:val="1"/>
      <w:marLeft w:val="0"/>
      <w:marRight w:val="0"/>
      <w:marTop w:val="0"/>
      <w:marBottom w:val="0"/>
      <w:divBdr>
        <w:top w:val="none" w:sz="0" w:space="0" w:color="auto"/>
        <w:left w:val="none" w:sz="0" w:space="0" w:color="auto"/>
        <w:bottom w:val="none" w:sz="0" w:space="0" w:color="auto"/>
        <w:right w:val="none" w:sz="0" w:space="0" w:color="auto"/>
      </w:divBdr>
    </w:div>
    <w:div w:id="1317493411">
      <w:bodyDiv w:val="1"/>
      <w:marLeft w:val="0"/>
      <w:marRight w:val="0"/>
      <w:marTop w:val="0"/>
      <w:marBottom w:val="0"/>
      <w:divBdr>
        <w:top w:val="none" w:sz="0" w:space="0" w:color="auto"/>
        <w:left w:val="none" w:sz="0" w:space="0" w:color="auto"/>
        <w:bottom w:val="none" w:sz="0" w:space="0" w:color="auto"/>
        <w:right w:val="none" w:sz="0" w:space="0" w:color="auto"/>
      </w:divBdr>
    </w:div>
    <w:div w:id="1317494448">
      <w:bodyDiv w:val="1"/>
      <w:marLeft w:val="0"/>
      <w:marRight w:val="0"/>
      <w:marTop w:val="0"/>
      <w:marBottom w:val="0"/>
      <w:divBdr>
        <w:top w:val="none" w:sz="0" w:space="0" w:color="auto"/>
        <w:left w:val="none" w:sz="0" w:space="0" w:color="auto"/>
        <w:bottom w:val="none" w:sz="0" w:space="0" w:color="auto"/>
        <w:right w:val="none" w:sz="0" w:space="0" w:color="auto"/>
      </w:divBdr>
    </w:div>
    <w:div w:id="1317606901">
      <w:bodyDiv w:val="1"/>
      <w:marLeft w:val="0"/>
      <w:marRight w:val="0"/>
      <w:marTop w:val="0"/>
      <w:marBottom w:val="0"/>
      <w:divBdr>
        <w:top w:val="none" w:sz="0" w:space="0" w:color="auto"/>
        <w:left w:val="none" w:sz="0" w:space="0" w:color="auto"/>
        <w:bottom w:val="none" w:sz="0" w:space="0" w:color="auto"/>
        <w:right w:val="none" w:sz="0" w:space="0" w:color="auto"/>
      </w:divBdr>
    </w:div>
    <w:div w:id="1317607502">
      <w:bodyDiv w:val="1"/>
      <w:marLeft w:val="0"/>
      <w:marRight w:val="0"/>
      <w:marTop w:val="0"/>
      <w:marBottom w:val="0"/>
      <w:divBdr>
        <w:top w:val="none" w:sz="0" w:space="0" w:color="auto"/>
        <w:left w:val="none" w:sz="0" w:space="0" w:color="auto"/>
        <w:bottom w:val="none" w:sz="0" w:space="0" w:color="auto"/>
        <w:right w:val="none" w:sz="0" w:space="0" w:color="auto"/>
      </w:divBdr>
    </w:div>
    <w:div w:id="1317681202">
      <w:bodyDiv w:val="1"/>
      <w:marLeft w:val="0"/>
      <w:marRight w:val="0"/>
      <w:marTop w:val="0"/>
      <w:marBottom w:val="0"/>
      <w:divBdr>
        <w:top w:val="none" w:sz="0" w:space="0" w:color="auto"/>
        <w:left w:val="none" w:sz="0" w:space="0" w:color="auto"/>
        <w:bottom w:val="none" w:sz="0" w:space="0" w:color="auto"/>
        <w:right w:val="none" w:sz="0" w:space="0" w:color="auto"/>
      </w:divBdr>
    </w:div>
    <w:div w:id="1317685854">
      <w:bodyDiv w:val="1"/>
      <w:marLeft w:val="0"/>
      <w:marRight w:val="0"/>
      <w:marTop w:val="0"/>
      <w:marBottom w:val="0"/>
      <w:divBdr>
        <w:top w:val="none" w:sz="0" w:space="0" w:color="auto"/>
        <w:left w:val="none" w:sz="0" w:space="0" w:color="auto"/>
        <w:bottom w:val="none" w:sz="0" w:space="0" w:color="auto"/>
        <w:right w:val="none" w:sz="0" w:space="0" w:color="auto"/>
      </w:divBdr>
    </w:div>
    <w:div w:id="1317764148">
      <w:bodyDiv w:val="1"/>
      <w:marLeft w:val="0"/>
      <w:marRight w:val="0"/>
      <w:marTop w:val="0"/>
      <w:marBottom w:val="0"/>
      <w:divBdr>
        <w:top w:val="none" w:sz="0" w:space="0" w:color="auto"/>
        <w:left w:val="none" w:sz="0" w:space="0" w:color="auto"/>
        <w:bottom w:val="none" w:sz="0" w:space="0" w:color="auto"/>
        <w:right w:val="none" w:sz="0" w:space="0" w:color="auto"/>
      </w:divBdr>
    </w:div>
    <w:div w:id="1317875847">
      <w:bodyDiv w:val="1"/>
      <w:marLeft w:val="0"/>
      <w:marRight w:val="0"/>
      <w:marTop w:val="0"/>
      <w:marBottom w:val="0"/>
      <w:divBdr>
        <w:top w:val="none" w:sz="0" w:space="0" w:color="auto"/>
        <w:left w:val="none" w:sz="0" w:space="0" w:color="auto"/>
        <w:bottom w:val="none" w:sz="0" w:space="0" w:color="auto"/>
        <w:right w:val="none" w:sz="0" w:space="0" w:color="auto"/>
      </w:divBdr>
    </w:div>
    <w:div w:id="1317950740">
      <w:bodyDiv w:val="1"/>
      <w:marLeft w:val="0"/>
      <w:marRight w:val="0"/>
      <w:marTop w:val="0"/>
      <w:marBottom w:val="0"/>
      <w:divBdr>
        <w:top w:val="none" w:sz="0" w:space="0" w:color="auto"/>
        <w:left w:val="none" w:sz="0" w:space="0" w:color="auto"/>
        <w:bottom w:val="none" w:sz="0" w:space="0" w:color="auto"/>
        <w:right w:val="none" w:sz="0" w:space="0" w:color="auto"/>
      </w:divBdr>
    </w:div>
    <w:div w:id="1318026633">
      <w:bodyDiv w:val="1"/>
      <w:marLeft w:val="0"/>
      <w:marRight w:val="0"/>
      <w:marTop w:val="0"/>
      <w:marBottom w:val="0"/>
      <w:divBdr>
        <w:top w:val="none" w:sz="0" w:space="0" w:color="auto"/>
        <w:left w:val="none" w:sz="0" w:space="0" w:color="auto"/>
        <w:bottom w:val="none" w:sz="0" w:space="0" w:color="auto"/>
        <w:right w:val="none" w:sz="0" w:space="0" w:color="auto"/>
      </w:divBdr>
    </w:div>
    <w:div w:id="1318069945">
      <w:bodyDiv w:val="1"/>
      <w:marLeft w:val="0"/>
      <w:marRight w:val="0"/>
      <w:marTop w:val="0"/>
      <w:marBottom w:val="0"/>
      <w:divBdr>
        <w:top w:val="none" w:sz="0" w:space="0" w:color="auto"/>
        <w:left w:val="none" w:sz="0" w:space="0" w:color="auto"/>
        <w:bottom w:val="none" w:sz="0" w:space="0" w:color="auto"/>
        <w:right w:val="none" w:sz="0" w:space="0" w:color="auto"/>
      </w:divBdr>
    </w:div>
    <w:div w:id="1318145735">
      <w:bodyDiv w:val="1"/>
      <w:marLeft w:val="0"/>
      <w:marRight w:val="0"/>
      <w:marTop w:val="0"/>
      <w:marBottom w:val="0"/>
      <w:divBdr>
        <w:top w:val="none" w:sz="0" w:space="0" w:color="auto"/>
        <w:left w:val="none" w:sz="0" w:space="0" w:color="auto"/>
        <w:bottom w:val="none" w:sz="0" w:space="0" w:color="auto"/>
        <w:right w:val="none" w:sz="0" w:space="0" w:color="auto"/>
      </w:divBdr>
    </w:div>
    <w:div w:id="1318265851">
      <w:bodyDiv w:val="1"/>
      <w:marLeft w:val="0"/>
      <w:marRight w:val="0"/>
      <w:marTop w:val="0"/>
      <w:marBottom w:val="0"/>
      <w:divBdr>
        <w:top w:val="none" w:sz="0" w:space="0" w:color="auto"/>
        <w:left w:val="none" w:sz="0" w:space="0" w:color="auto"/>
        <w:bottom w:val="none" w:sz="0" w:space="0" w:color="auto"/>
        <w:right w:val="none" w:sz="0" w:space="0" w:color="auto"/>
      </w:divBdr>
    </w:div>
    <w:div w:id="1318338651">
      <w:bodyDiv w:val="1"/>
      <w:marLeft w:val="0"/>
      <w:marRight w:val="0"/>
      <w:marTop w:val="0"/>
      <w:marBottom w:val="0"/>
      <w:divBdr>
        <w:top w:val="none" w:sz="0" w:space="0" w:color="auto"/>
        <w:left w:val="none" w:sz="0" w:space="0" w:color="auto"/>
        <w:bottom w:val="none" w:sz="0" w:space="0" w:color="auto"/>
        <w:right w:val="none" w:sz="0" w:space="0" w:color="auto"/>
      </w:divBdr>
    </w:div>
    <w:div w:id="1318341043">
      <w:bodyDiv w:val="1"/>
      <w:marLeft w:val="0"/>
      <w:marRight w:val="0"/>
      <w:marTop w:val="0"/>
      <w:marBottom w:val="0"/>
      <w:divBdr>
        <w:top w:val="none" w:sz="0" w:space="0" w:color="auto"/>
        <w:left w:val="none" w:sz="0" w:space="0" w:color="auto"/>
        <w:bottom w:val="none" w:sz="0" w:space="0" w:color="auto"/>
        <w:right w:val="none" w:sz="0" w:space="0" w:color="auto"/>
      </w:divBdr>
    </w:div>
    <w:div w:id="1318417786">
      <w:bodyDiv w:val="1"/>
      <w:marLeft w:val="0"/>
      <w:marRight w:val="0"/>
      <w:marTop w:val="0"/>
      <w:marBottom w:val="0"/>
      <w:divBdr>
        <w:top w:val="none" w:sz="0" w:space="0" w:color="auto"/>
        <w:left w:val="none" w:sz="0" w:space="0" w:color="auto"/>
        <w:bottom w:val="none" w:sz="0" w:space="0" w:color="auto"/>
        <w:right w:val="none" w:sz="0" w:space="0" w:color="auto"/>
      </w:divBdr>
    </w:div>
    <w:div w:id="1318419782">
      <w:bodyDiv w:val="1"/>
      <w:marLeft w:val="0"/>
      <w:marRight w:val="0"/>
      <w:marTop w:val="0"/>
      <w:marBottom w:val="0"/>
      <w:divBdr>
        <w:top w:val="none" w:sz="0" w:space="0" w:color="auto"/>
        <w:left w:val="none" w:sz="0" w:space="0" w:color="auto"/>
        <w:bottom w:val="none" w:sz="0" w:space="0" w:color="auto"/>
        <w:right w:val="none" w:sz="0" w:space="0" w:color="auto"/>
      </w:divBdr>
    </w:div>
    <w:div w:id="1318459342">
      <w:bodyDiv w:val="1"/>
      <w:marLeft w:val="0"/>
      <w:marRight w:val="0"/>
      <w:marTop w:val="0"/>
      <w:marBottom w:val="0"/>
      <w:divBdr>
        <w:top w:val="none" w:sz="0" w:space="0" w:color="auto"/>
        <w:left w:val="none" w:sz="0" w:space="0" w:color="auto"/>
        <w:bottom w:val="none" w:sz="0" w:space="0" w:color="auto"/>
        <w:right w:val="none" w:sz="0" w:space="0" w:color="auto"/>
      </w:divBdr>
    </w:div>
    <w:div w:id="1318608578">
      <w:bodyDiv w:val="1"/>
      <w:marLeft w:val="0"/>
      <w:marRight w:val="0"/>
      <w:marTop w:val="0"/>
      <w:marBottom w:val="0"/>
      <w:divBdr>
        <w:top w:val="none" w:sz="0" w:space="0" w:color="auto"/>
        <w:left w:val="none" w:sz="0" w:space="0" w:color="auto"/>
        <w:bottom w:val="none" w:sz="0" w:space="0" w:color="auto"/>
        <w:right w:val="none" w:sz="0" w:space="0" w:color="auto"/>
      </w:divBdr>
    </w:div>
    <w:div w:id="1318650157">
      <w:bodyDiv w:val="1"/>
      <w:marLeft w:val="0"/>
      <w:marRight w:val="0"/>
      <w:marTop w:val="0"/>
      <w:marBottom w:val="0"/>
      <w:divBdr>
        <w:top w:val="none" w:sz="0" w:space="0" w:color="auto"/>
        <w:left w:val="none" w:sz="0" w:space="0" w:color="auto"/>
        <w:bottom w:val="none" w:sz="0" w:space="0" w:color="auto"/>
        <w:right w:val="none" w:sz="0" w:space="0" w:color="auto"/>
      </w:divBdr>
    </w:div>
    <w:div w:id="1318655602">
      <w:bodyDiv w:val="1"/>
      <w:marLeft w:val="0"/>
      <w:marRight w:val="0"/>
      <w:marTop w:val="0"/>
      <w:marBottom w:val="0"/>
      <w:divBdr>
        <w:top w:val="none" w:sz="0" w:space="0" w:color="auto"/>
        <w:left w:val="none" w:sz="0" w:space="0" w:color="auto"/>
        <w:bottom w:val="none" w:sz="0" w:space="0" w:color="auto"/>
        <w:right w:val="none" w:sz="0" w:space="0" w:color="auto"/>
      </w:divBdr>
    </w:div>
    <w:div w:id="1318681694">
      <w:bodyDiv w:val="1"/>
      <w:marLeft w:val="0"/>
      <w:marRight w:val="0"/>
      <w:marTop w:val="0"/>
      <w:marBottom w:val="0"/>
      <w:divBdr>
        <w:top w:val="none" w:sz="0" w:space="0" w:color="auto"/>
        <w:left w:val="none" w:sz="0" w:space="0" w:color="auto"/>
        <w:bottom w:val="none" w:sz="0" w:space="0" w:color="auto"/>
        <w:right w:val="none" w:sz="0" w:space="0" w:color="auto"/>
      </w:divBdr>
    </w:div>
    <w:div w:id="1318849507">
      <w:bodyDiv w:val="1"/>
      <w:marLeft w:val="0"/>
      <w:marRight w:val="0"/>
      <w:marTop w:val="0"/>
      <w:marBottom w:val="0"/>
      <w:divBdr>
        <w:top w:val="none" w:sz="0" w:space="0" w:color="auto"/>
        <w:left w:val="none" w:sz="0" w:space="0" w:color="auto"/>
        <w:bottom w:val="none" w:sz="0" w:space="0" w:color="auto"/>
        <w:right w:val="none" w:sz="0" w:space="0" w:color="auto"/>
      </w:divBdr>
    </w:div>
    <w:div w:id="1318873572">
      <w:bodyDiv w:val="1"/>
      <w:marLeft w:val="0"/>
      <w:marRight w:val="0"/>
      <w:marTop w:val="0"/>
      <w:marBottom w:val="0"/>
      <w:divBdr>
        <w:top w:val="none" w:sz="0" w:space="0" w:color="auto"/>
        <w:left w:val="none" w:sz="0" w:space="0" w:color="auto"/>
        <w:bottom w:val="none" w:sz="0" w:space="0" w:color="auto"/>
        <w:right w:val="none" w:sz="0" w:space="0" w:color="auto"/>
      </w:divBdr>
    </w:div>
    <w:div w:id="1318874765">
      <w:bodyDiv w:val="1"/>
      <w:marLeft w:val="0"/>
      <w:marRight w:val="0"/>
      <w:marTop w:val="0"/>
      <w:marBottom w:val="0"/>
      <w:divBdr>
        <w:top w:val="none" w:sz="0" w:space="0" w:color="auto"/>
        <w:left w:val="none" w:sz="0" w:space="0" w:color="auto"/>
        <w:bottom w:val="none" w:sz="0" w:space="0" w:color="auto"/>
        <w:right w:val="none" w:sz="0" w:space="0" w:color="auto"/>
      </w:divBdr>
    </w:div>
    <w:div w:id="1318879177">
      <w:bodyDiv w:val="1"/>
      <w:marLeft w:val="0"/>
      <w:marRight w:val="0"/>
      <w:marTop w:val="0"/>
      <w:marBottom w:val="0"/>
      <w:divBdr>
        <w:top w:val="none" w:sz="0" w:space="0" w:color="auto"/>
        <w:left w:val="none" w:sz="0" w:space="0" w:color="auto"/>
        <w:bottom w:val="none" w:sz="0" w:space="0" w:color="auto"/>
        <w:right w:val="none" w:sz="0" w:space="0" w:color="auto"/>
      </w:divBdr>
    </w:div>
    <w:div w:id="1318991789">
      <w:bodyDiv w:val="1"/>
      <w:marLeft w:val="0"/>
      <w:marRight w:val="0"/>
      <w:marTop w:val="0"/>
      <w:marBottom w:val="0"/>
      <w:divBdr>
        <w:top w:val="none" w:sz="0" w:space="0" w:color="auto"/>
        <w:left w:val="none" w:sz="0" w:space="0" w:color="auto"/>
        <w:bottom w:val="none" w:sz="0" w:space="0" w:color="auto"/>
        <w:right w:val="none" w:sz="0" w:space="0" w:color="auto"/>
      </w:divBdr>
    </w:div>
    <w:div w:id="1318995093">
      <w:bodyDiv w:val="1"/>
      <w:marLeft w:val="0"/>
      <w:marRight w:val="0"/>
      <w:marTop w:val="0"/>
      <w:marBottom w:val="0"/>
      <w:divBdr>
        <w:top w:val="none" w:sz="0" w:space="0" w:color="auto"/>
        <w:left w:val="none" w:sz="0" w:space="0" w:color="auto"/>
        <w:bottom w:val="none" w:sz="0" w:space="0" w:color="auto"/>
        <w:right w:val="none" w:sz="0" w:space="0" w:color="auto"/>
      </w:divBdr>
    </w:div>
    <w:div w:id="1319072698">
      <w:bodyDiv w:val="1"/>
      <w:marLeft w:val="0"/>
      <w:marRight w:val="0"/>
      <w:marTop w:val="0"/>
      <w:marBottom w:val="0"/>
      <w:divBdr>
        <w:top w:val="none" w:sz="0" w:space="0" w:color="auto"/>
        <w:left w:val="none" w:sz="0" w:space="0" w:color="auto"/>
        <w:bottom w:val="none" w:sz="0" w:space="0" w:color="auto"/>
        <w:right w:val="none" w:sz="0" w:space="0" w:color="auto"/>
      </w:divBdr>
    </w:div>
    <w:div w:id="1319266153">
      <w:bodyDiv w:val="1"/>
      <w:marLeft w:val="0"/>
      <w:marRight w:val="0"/>
      <w:marTop w:val="0"/>
      <w:marBottom w:val="0"/>
      <w:divBdr>
        <w:top w:val="none" w:sz="0" w:space="0" w:color="auto"/>
        <w:left w:val="none" w:sz="0" w:space="0" w:color="auto"/>
        <w:bottom w:val="none" w:sz="0" w:space="0" w:color="auto"/>
        <w:right w:val="none" w:sz="0" w:space="0" w:color="auto"/>
      </w:divBdr>
    </w:div>
    <w:div w:id="1319266366">
      <w:bodyDiv w:val="1"/>
      <w:marLeft w:val="0"/>
      <w:marRight w:val="0"/>
      <w:marTop w:val="0"/>
      <w:marBottom w:val="0"/>
      <w:divBdr>
        <w:top w:val="none" w:sz="0" w:space="0" w:color="auto"/>
        <w:left w:val="none" w:sz="0" w:space="0" w:color="auto"/>
        <w:bottom w:val="none" w:sz="0" w:space="0" w:color="auto"/>
        <w:right w:val="none" w:sz="0" w:space="0" w:color="auto"/>
      </w:divBdr>
    </w:div>
    <w:div w:id="1319266436">
      <w:bodyDiv w:val="1"/>
      <w:marLeft w:val="0"/>
      <w:marRight w:val="0"/>
      <w:marTop w:val="0"/>
      <w:marBottom w:val="0"/>
      <w:divBdr>
        <w:top w:val="none" w:sz="0" w:space="0" w:color="auto"/>
        <w:left w:val="none" w:sz="0" w:space="0" w:color="auto"/>
        <w:bottom w:val="none" w:sz="0" w:space="0" w:color="auto"/>
        <w:right w:val="none" w:sz="0" w:space="0" w:color="auto"/>
      </w:divBdr>
    </w:div>
    <w:div w:id="1319267694">
      <w:bodyDiv w:val="1"/>
      <w:marLeft w:val="0"/>
      <w:marRight w:val="0"/>
      <w:marTop w:val="0"/>
      <w:marBottom w:val="0"/>
      <w:divBdr>
        <w:top w:val="none" w:sz="0" w:space="0" w:color="auto"/>
        <w:left w:val="none" w:sz="0" w:space="0" w:color="auto"/>
        <w:bottom w:val="none" w:sz="0" w:space="0" w:color="auto"/>
        <w:right w:val="none" w:sz="0" w:space="0" w:color="auto"/>
      </w:divBdr>
    </w:div>
    <w:div w:id="1319268044">
      <w:bodyDiv w:val="1"/>
      <w:marLeft w:val="0"/>
      <w:marRight w:val="0"/>
      <w:marTop w:val="0"/>
      <w:marBottom w:val="0"/>
      <w:divBdr>
        <w:top w:val="none" w:sz="0" w:space="0" w:color="auto"/>
        <w:left w:val="none" w:sz="0" w:space="0" w:color="auto"/>
        <w:bottom w:val="none" w:sz="0" w:space="0" w:color="auto"/>
        <w:right w:val="none" w:sz="0" w:space="0" w:color="auto"/>
      </w:divBdr>
    </w:div>
    <w:div w:id="1319571809">
      <w:bodyDiv w:val="1"/>
      <w:marLeft w:val="0"/>
      <w:marRight w:val="0"/>
      <w:marTop w:val="0"/>
      <w:marBottom w:val="0"/>
      <w:divBdr>
        <w:top w:val="none" w:sz="0" w:space="0" w:color="auto"/>
        <w:left w:val="none" w:sz="0" w:space="0" w:color="auto"/>
        <w:bottom w:val="none" w:sz="0" w:space="0" w:color="auto"/>
        <w:right w:val="none" w:sz="0" w:space="0" w:color="auto"/>
      </w:divBdr>
    </w:div>
    <w:div w:id="1319572108">
      <w:bodyDiv w:val="1"/>
      <w:marLeft w:val="0"/>
      <w:marRight w:val="0"/>
      <w:marTop w:val="0"/>
      <w:marBottom w:val="0"/>
      <w:divBdr>
        <w:top w:val="none" w:sz="0" w:space="0" w:color="auto"/>
        <w:left w:val="none" w:sz="0" w:space="0" w:color="auto"/>
        <w:bottom w:val="none" w:sz="0" w:space="0" w:color="auto"/>
        <w:right w:val="none" w:sz="0" w:space="0" w:color="auto"/>
      </w:divBdr>
    </w:div>
    <w:div w:id="1319656249">
      <w:bodyDiv w:val="1"/>
      <w:marLeft w:val="0"/>
      <w:marRight w:val="0"/>
      <w:marTop w:val="0"/>
      <w:marBottom w:val="0"/>
      <w:divBdr>
        <w:top w:val="none" w:sz="0" w:space="0" w:color="auto"/>
        <w:left w:val="none" w:sz="0" w:space="0" w:color="auto"/>
        <w:bottom w:val="none" w:sz="0" w:space="0" w:color="auto"/>
        <w:right w:val="none" w:sz="0" w:space="0" w:color="auto"/>
      </w:divBdr>
    </w:div>
    <w:div w:id="1319656432">
      <w:bodyDiv w:val="1"/>
      <w:marLeft w:val="0"/>
      <w:marRight w:val="0"/>
      <w:marTop w:val="0"/>
      <w:marBottom w:val="0"/>
      <w:divBdr>
        <w:top w:val="none" w:sz="0" w:space="0" w:color="auto"/>
        <w:left w:val="none" w:sz="0" w:space="0" w:color="auto"/>
        <w:bottom w:val="none" w:sz="0" w:space="0" w:color="auto"/>
        <w:right w:val="none" w:sz="0" w:space="0" w:color="auto"/>
      </w:divBdr>
    </w:div>
    <w:div w:id="1319698638">
      <w:bodyDiv w:val="1"/>
      <w:marLeft w:val="0"/>
      <w:marRight w:val="0"/>
      <w:marTop w:val="0"/>
      <w:marBottom w:val="0"/>
      <w:divBdr>
        <w:top w:val="none" w:sz="0" w:space="0" w:color="auto"/>
        <w:left w:val="none" w:sz="0" w:space="0" w:color="auto"/>
        <w:bottom w:val="none" w:sz="0" w:space="0" w:color="auto"/>
        <w:right w:val="none" w:sz="0" w:space="0" w:color="auto"/>
      </w:divBdr>
    </w:div>
    <w:div w:id="1319846685">
      <w:bodyDiv w:val="1"/>
      <w:marLeft w:val="0"/>
      <w:marRight w:val="0"/>
      <w:marTop w:val="0"/>
      <w:marBottom w:val="0"/>
      <w:divBdr>
        <w:top w:val="none" w:sz="0" w:space="0" w:color="auto"/>
        <w:left w:val="none" w:sz="0" w:space="0" w:color="auto"/>
        <w:bottom w:val="none" w:sz="0" w:space="0" w:color="auto"/>
        <w:right w:val="none" w:sz="0" w:space="0" w:color="auto"/>
      </w:divBdr>
    </w:div>
    <w:div w:id="1319917276">
      <w:bodyDiv w:val="1"/>
      <w:marLeft w:val="0"/>
      <w:marRight w:val="0"/>
      <w:marTop w:val="0"/>
      <w:marBottom w:val="0"/>
      <w:divBdr>
        <w:top w:val="none" w:sz="0" w:space="0" w:color="auto"/>
        <w:left w:val="none" w:sz="0" w:space="0" w:color="auto"/>
        <w:bottom w:val="none" w:sz="0" w:space="0" w:color="auto"/>
        <w:right w:val="none" w:sz="0" w:space="0" w:color="auto"/>
      </w:divBdr>
    </w:div>
    <w:div w:id="1319965434">
      <w:bodyDiv w:val="1"/>
      <w:marLeft w:val="0"/>
      <w:marRight w:val="0"/>
      <w:marTop w:val="0"/>
      <w:marBottom w:val="0"/>
      <w:divBdr>
        <w:top w:val="none" w:sz="0" w:space="0" w:color="auto"/>
        <w:left w:val="none" w:sz="0" w:space="0" w:color="auto"/>
        <w:bottom w:val="none" w:sz="0" w:space="0" w:color="auto"/>
        <w:right w:val="none" w:sz="0" w:space="0" w:color="auto"/>
      </w:divBdr>
    </w:div>
    <w:div w:id="1319991275">
      <w:bodyDiv w:val="1"/>
      <w:marLeft w:val="0"/>
      <w:marRight w:val="0"/>
      <w:marTop w:val="0"/>
      <w:marBottom w:val="0"/>
      <w:divBdr>
        <w:top w:val="none" w:sz="0" w:space="0" w:color="auto"/>
        <w:left w:val="none" w:sz="0" w:space="0" w:color="auto"/>
        <w:bottom w:val="none" w:sz="0" w:space="0" w:color="auto"/>
        <w:right w:val="none" w:sz="0" w:space="0" w:color="auto"/>
      </w:divBdr>
    </w:div>
    <w:div w:id="1320038294">
      <w:bodyDiv w:val="1"/>
      <w:marLeft w:val="0"/>
      <w:marRight w:val="0"/>
      <w:marTop w:val="0"/>
      <w:marBottom w:val="0"/>
      <w:divBdr>
        <w:top w:val="none" w:sz="0" w:space="0" w:color="auto"/>
        <w:left w:val="none" w:sz="0" w:space="0" w:color="auto"/>
        <w:bottom w:val="none" w:sz="0" w:space="0" w:color="auto"/>
        <w:right w:val="none" w:sz="0" w:space="0" w:color="auto"/>
      </w:divBdr>
    </w:div>
    <w:div w:id="1320116116">
      <w:bodyDiv w:val="1"/>
      <w:marLeft w:val="0"/>
      <w:marRight w:val="0"/>
      <w:marTop w:val="0"/>
      <w:marBottom w:val="0"/>
      <w:divBdr>
        <w:top w:val="none" w:sz="0" w:space="0" w:color="auto"/>
        <w:left w:val="none" w:sz="0" w:space="0" w:color="auto"/>
        <w:bottom w:val="none" w:sz="0" w:space="0" w:color="auto"/>
        <w:right w:val="none" w:sz="0" w:space="0" w:color="auto"/>
      </w:divBdr>
    </w:div>
    <w:div w:id="1320234198">
      <w:bodyDiv w:val="1"/>
      <w:marLeft w:val="0"/>
      <w:marRight w:val="0"/>
      <w:marTop w:val="0"/>
      <w:marBottom w:val="0"/>
      <w:divBdr>
        <w:top w:val="none" w:sz="0" w:space="0" w:color="auto"/>
        <w:left w:val="none" w:sz="0" w:space="0" w:color="auto"/>
        <w:bottom w:val="none" w:sz="0" w:space="0" w:color="auto"/>
        <w:right w:val="none" w:sz="0" w:space="0" w:color="auto"/>
      </w:divBdr>
    </w:div>
    <w:div w:id="1320302767">
      <w:bodyDiv w:val="1"/>
      <w:marLeft w:val="0"/>
      <w:marRight w:val="0"/>
      <w:marTop w:val="0"/>
      <w:marBottom w:val="0"/>
      <w:divBdr>
        <w:top w:val="none" w:sz="0" w:space="0" w:color="auto"/>
        <w:left w:val="none" w:sz="0" w:space="0" w:color="auto"/>
        <w:bottom w:val="none" w:sz="0" w:space="0" w:color="auto"/>
        <w:right w:val="none" w:sz="0" w:space="0" w:color="auto"/>
      </w:divBdr>
    </w:div>
    <w:div w:id="1320382383">
      <w:bodyDiv w:val="1"/>
      <w:marLeft w:val="0"/>
      <w:marRight w:val="0"/>
      <w:marTop w:val="0"/>
      <w:marBottom w:val="0"/>
      <w:divBdr>
        <w:top w:val="none" w:sz="0" w:space="0" w:color="auto"/>
        <w:left w:val="none" w:sz="0" w:space="0" w:color="auto"/>
        <w:bottom w:val="none" w:sz="0" w:space="0" w:color="auto"/>
        <w:right w:val="none" w:sz="0" w:space="0" w:color="auto"/>
      </w:divBdr>
    </w:div>
    <w:div w:id="1320384261">
      <w:bodyDiv w:val="1"/>
      <w:marLeft w:val="0"/>
      <w:marRight w:val="0"/>
      <w:marTop w:val="0"/>
      <w:marBottom w:val="0"/>
      <w:divBdr>
        <w:top w:val="none" w:sz="0" w:space="0" w:color="auto"/>
        <w:left w:val="none" w:sz="0" w:space="0" w:color="auto"/>
        <w:bottom w:val="none" w:sz="0" w:space="0" w:color="auto"/>
        <w:right w:val="none" w:sz="0" w:space="0" w:color="auto"/>
      </w:divBdr>
    </w:div>
    <w:div w:id="1320428457">
      <w:bodyDiv w:val="1"/>
      <w:marLeft w:val="0"/>
      <w:marRight w:val="0"/>
      <w:marTop w:val="0"/>
      <w:marBottom w:val="0"/>
      <w:divBdr>
        <w:top w:val="none" w:sz="0" w:space="0" w:color="auto"/>
        <w:left w:val="none" w:sz="0" w:space="0" w:color="auto"/>
        <w:bottom w:val="none" w:sz="0" w:space="0" w:color="auto"/>
        <w:right w:val="none" w:sz="0" w:space="0" w:color="auto"/>
      </w:divBdr>
    </w:div>
    <w:div w:id="1320619760">
      <w:bodyDiv w:val="1"/>
      <w:marLeft w:val="0"/>
      <w:marRight w:val="0"/>
      <w:marTop w:val="0"/>
      <w:marBottom w:val="0"/>
      <w:divBdr>
        <w:top w:val="none" w:sz="0" w:space="0" w:color="auto"/>
        <w:left w:val="none" w:sz="0" w:space="0" w:color="auto"/>
        <w:bottom w:val="none" w:sz="0" w:space="0" w:color="auto"/>
        <w:right w:val="none" w:sz="0" w:space="0" w:color="auto"/>
      </w:divBdr>
    </w:div>
    <w:div w:id="1320691214">
      <w:bodyDiv w:val="1"/>
      <w:marLeft w:val="0"/>
      <w:marRight w:val="0"/>
      <w:marTop w:val="0"/>
      <w:marBottom w:val="0"/>
      <w:divBdr>
        <w:top w:val="none" w:sz="0" w:space="0" w:color="auto"/>
        <w:left w:val="none" w:sz="0" w:space="0" w:color="auto"/>
        <w:bottom w:val="none" w:sz="0" w:space="0" w:color="auto"/>
        <w:right w:val="none" w:sz="0" w:space="0" w:color="auto"/>
      </w:divBdr>
    </w:div>
    <w:div w:id="1320694011">
      <w:bodyDiv w:val="1"/>
      <w:marLeft w:val="0"/>
      <w:marRight w:val="0"/>
      <w:marTop w:val="0"/>
      <w:marBottom w:val="0"/>
      <w:divBdr>
        <w:top w:val="none" w:sz="0" w:space="0" w:color="auto"/>
        <w:left w:val="none" w:sz="0" w:space="0" w:color="auto"/>
        <w:bottom w:val="none" w:sz="0" w:space="0" w:color="auto"/>
        <w:right w:val="none" w:sz="0" w:space="0" w:color="auto"/>
      </w:divBdr>
    </w:div>
    <w:div w:id="1320694688">
      <w:bodyDiv w:val="1"/>
      <w:marLeft w:val="0"/>
      <w:marRight w:val="0"/>
      <w:marTop w:val="0"/>
      <w:marBottom w:val="0"/>
      <w:divBdr>
        <w:top w:val="none" w:sz="0" w:space="0" w:color="auto"/>
        <w:left w:val="none" w:sz="0" w:space="0" w:color="auto"/>
        <w:bottom w:val="none" w:sz="0" w:space="0" w:color="auto"/>
        <w:right w:val="none" w:sz="0" w:space="0" w:color="auto"/>
      </w:divBdr>
    </w:div>
    <w:div w:id="1320764604">
      <w:bodyDiv w:val="1"/>
      <w:marLeft w:val="0"/>
      <w:marRight w:val="0"/>
      <w:marTop w:val="0"/>
      <w:marBottom w:val="0"/>
      <w:divBdr>
        <w:top w:val="none" w:sz="0" w:space="0" w:color="auto"/>
        <w:left w:val="none" w:sz="0" w:space="0" w:color="auto"/>
        <w:bottom w:val="none" w:sz="0" w:space="0" w:color="auto"/>
        <w:right w:val="none" w:sz="0" w:space="0" w:color="auto"/>
      </w:divBdr>
    </w:div>
    <w:div w:id="1320814986">
      <w:bodyDiv w:val="1"/>
      <w:marLeft w:val="0"/>
      <w:marRight w:val="0"/>
      <w:marTop w:val="0"/>
      <w:marBottom w:val="0"/>
      <w:divBdr>
        <w:top w:val="none" w:sz="0" w:space="0" w:color="auto"/>
        <w:left w:val="none" w:sz="0" w:space="0" w:color="auto"/>
        <w:bottom w:val="none" w:sz="0" w:space="0" w:color="auto"/>
        <w:right w:val="none" w:sz="0" w:space="0" w:color="auto"/>
      </w:divBdr>
    </w:div>
    <w:div w:id="1320965032">
      <w:bodyDiv w:val="1"/>
      <w:marLeft w:val="0"/>
      <w:marRight w:val="0"/>
      <w:marTop w:val="0"/>
      <w:marBottom w:val="0"/>
      <w:divBdr>
        <w:top w:val="none" w:sz="0" w:space="0" w:color="auto"/>
        <w:left w:val="none" w:sz="0" w:space="0" w:color="auto"/>
        <w:bottom w:val="none" w:sz="0" w:space="0" w:color="auto"/>
        <w:right w:val="none" w:sz="0" w:space="0" w:color="auto"/>
      </w:divBdr>
    </w:div>
    <w:div w:id="1321035244">
      <w:bodyDiv w:val="1"/>
      <w:marLeft w:val="0"/>
      <w:marRight w:val="0"/>
      <w:marTop w:val="0"/>
      <w:marBottom w:val="0"/>
      <w:divBdr>
        <w:top w:val="none" w:sz="0" w:space="0" w:color="auto"/>
        <w:left w:val="none" w:sz="0" w:space="0" w:color="auto"/>
        <w:bottom w:val="none" w:sz="0" w:space="0" w:color="auto"/>
        <w:right w:val="none" w:sz="0" w:space="0" w:color="auto"/>
      </w:divBdr>
    </w:div>
    <w:div w:id="1321078381">
      <w:bodyDiv w:val="1"/>
      <w:marLeft w:val="0"/>
      <w:marRight w:val="0"/>
      <w:marTop w:val="0"/>
      <w:marBottom w:val="0"/>
      <w:divBdr>
        <w:top w:val="none" w:sz="0" w:space="0" w:color="auto"/>
        <w:left w:val="none" w:sz="0" w:space="0" w:color="auto"/>
        <w:bottom w:val="none" w:sz="0" w:space="0" w:color="auto"/>
        <w:right w:val="none" w:sz="0" w:space="0" w:color="auto"/>
      </w:divBdr>
    </w:div>
    <w:div w:id="1321080905">
      <w:bodyDiv w:val="1"/>
      <w:marLeft w:val="0"/>
      <w:marRight w:val="0"/>
      <w:marTop w:val="0"/>
      <w:marBottom w:val="0"/>
      <w:divBdr>
        <w:top w:val="none" w:sz="0" w:space="0" w:color="auto"/>
        <w:left w:val="none" w:sz="0" w:space="0" w:color="auto"/>
        <w:bottom w:val="none" w:sz="0" w:space="0" w:color="auto"/>
        <w:right w:val="none" w:sz="0" w:space="0" w:color="auto"/>
      </w:divBdr>
    </w:div>
    <w:div w:id="1321152854">
      <w:bodyDiv w:val="1"/>
      <w:marLeft w:val="0"/>
      <w:marRight w:val="0"/>
      <w:marTop w:val="0"/>
      <w:marBottom w:val="0"/>
      <w:divBdr>
        <w:top w:val="none" w:sz="0" w:space="0" w:color="auto"/>
        <w:left w:val="none" w:sz="0" w:space="0" w:color="auto"/>
        <w:bottom w:val="none" w:sz="0" w:space="0" w:color="auto"/>
        <w:right w:val="none" w:sz="0" w:space="0" w:color="auto"/>
      </w:divBdr>
    </w:div>
    <w:div w:id="1321158248">
      <w:bodyDiv w:val="1"/>
      <w:marLeft w:val="0"/>
      <w:marRight w:val="0"/>
      <w:marTop w:val="0"/>
      <w:marBottom w:val="0"/>
      <w:divBdr>
        <w:top w:val="none" w:sz="0" w:space="0" w:color="auto"/>
        <w:left w:val="none" w:sz="0" w:space="0" w:color="auto"/>
        <w:bottom w:val="none" w:sz="0" w:space="0" w:color="auto"/>
        <w:right w:val="none" w:sz="0" w:space="0" w:color="auto"/>
      </w:divBdr>
    </w:div>
    <w:div w:id="1321227733">
      <w:bodyDiv w:val="1"/>
      <w:marLeft w:val="0"/>
      <w:marRight w:val="0"/>
      <w:marTop w:val="0"/>
      <w:marBottom w:val="0"/>
      <w:divBdr>
        <w:top w:val="none" w:sz="0" w:space="0" w:color="auto"/>
        <w:left w:val="none" w:sz="0" w:space="0" w:color="auto"/>
        <w:bottom w:val="none" w:sz="0" w:space="0" w:color="auto"/>
        <w:right w:val="none" w:sz="0" w:space="0" w:color="auto"/>
      </w:divBdr>
    </w:div>
    <w:div w:id="1321348378">
      <w:bodyDiv w:val="1"/>
      <w:marLeft w:val="0"/>
      <w:marRight w:val="0"/>
      <w:marTop w:val="0"/>
      <w:marBottom w:val="0"/>
      <w:divBdr>
        <w:top w:val="none" w:sz="0" w:space="0" w:color="auto"/>
        <w:left w:val="none" w:sz="0" w:space="0" w:color="auto"/>
        <w:bottom w:val="none" w:sz="0" w:space="0" w:color="auto"/>
        <w:right w:val="none" w:sz="0" w:space="0" w:color="auto"/>
      </w:divBdr>
    </w:div>
    <w:div w:id="1321497938">
      <w:bodyDiv w:val="1"/>
      <w:marLeft w:val="0"/>
      <w:marRight w:val="0"/>
      <w:marTop w:val="0"/>
      <w:marBottom w:val="0"/>
      <w:divBdr>
        <w:top w:val="none" w:sz="0" w:space="0" w:color="auto"/>
        <w:left w:val="none" w:sz="0" w:space="0" w:color="auto"/>
        <w:bottom w:val="none" w:sz="0" w:space="0" w:color="auto"/>
        <w:right w:val="none" w:sz="0" w:space="0" w:color="auto"/>
      </w:divBdr>
    </w:div>
    <w:div w:id="1321498393">
      <w:bodyDiv w:val="1"/>
      <w:marLeft w:val="0"/>
      <w:marRight w:val="0"/>
      <w:marTop w:val="0"/>
      <w:marBottom w:val="0"/>
      <w:divBdr>
        <w:top w:val="none" w:sz="0" w:space="0" w:color="auto"/>
        <w:left w:val="none" w:sz="0" w:space="0" w:color="auto"/>
        <w:bottom w:val="none" w:sz="0" w:space="0" w:color="auto"/>
        <w:right w:val="none" w:sz="0" w:space="0" w:color="auto"/>
      </w:divBdr>
    </w:div>
    <w:div w:id="1321499711">
      <w:bodyDiv w:val="1"/>
      <w:marLeft w:val="0"/>
      <w:marRight w:val="0"/>
      <w:marTop w:val="0"/>
      <w:marBottom w:val="0"/>
      <w:divBdr>
        <w:top w:val="none" w:sz="0" w:space="0" w:color="auto"/>
        <w:left w:val="none" w:sz="0" w:space="0" w:color="auto"/>
        <w:bottom w:val="none" w:sz="0" w:space="0" w:color="auto"/>
        <w:right w:val="none" w:sz="0" w:space="0" w:color="auto"/>
      </w:divBdr>
    </w:div>
    <w:div w:id="1321537764">
      <w:bodyDiv w:val="1"/>
      <w:marLeft w:val="0"/>
      <w:marRight w:val="0"/>
      <w:marTop w:val="0"/>
      <w:marBottom w:val="0"/>
      <w:divBdr>
        <w:top w:val="none" w:sz="0" w:space="0" w:color="auto"/>
        <w:left w:val="none" w:sz="0" w:space="0" w:color="auto"/>
        <w:bottom w:val="none" w:sz="0" w:space="0" w:color="auto"/>
        <w:right w:val="none" w:sz="0" w:space="0" w:color="auto"/>
      </w:divBdr>
    </w:div>
    <w:div w:id="1321617297">
      <w:bodyDiv w:val="1"/>
      <w:marLeft w:val="0"/>
      <w:marRight w:val="0"/>
      <w:marTop w:val="0"/>
      <w:marBottom w:val="0"/>
      <w:divBdr>
        <w:top w:val="none" w:sz="0" w:space="0" w:color="auto"/>
        <w:left w:val="none" w:sz="0" w:space="0" w:color="auto"/>
        <w:bottom w:val="none" w:sz="0" w:space="0" w:color="auto"/>
        <w:right w:val="none" w:sz="0" w:space="0" w:color="auto"/>
      </w:divBdr>
    </w:div>
    <w:div w:id="1321809923">
      <w:bodyDiv w:val="1"/>
      <w:marLeft w:val="0"/>
      <w:marRight w:val="0"/>
      <w:marTop w:val="0"/>
      <w:marBottom w:val="0"/>
      <w:divBdr>
        <w:top w:val="none" w:sz="0" w:space="0" w:color="auto"/>
        <w:left w:val="none" w:sz="0" w:space="0" w:color="auto"/>
        <w:bottom w:val="none" w:sz="0" w:space="0" w:color="auto"/>
        <w:right w:val="none" w:sz="0" w:space="0" w:color="auto"/>
      </w:divBdr>
    </w:div>
    <w:div w:id="1321810165">
      <w:bodyDiv w:val="1"/>
      <w:marLeft w:val="0"/>
      <w:marRight w:val="0"/>
      <w:marTop w:val="0"/>
      <w:marBottom w:val="0"/>
      <w:divBdr>
        <w:top w:val="none" w:sz="0" w:space="0" w:color="auto"/>
        <w:left w:val="none" w:sz="0" w:space="0" w:color="auto"/>
        <w:bottom w:val="none" w:sz="0" w:space="0" w:color="auto"/>
        <w:right w:val="none" w:sz="0" w:space="0" w:color="auto"/>
      </w:divBdr>
    </w:div>
    <w:div w:id="1321814205">
      <w:bodyDiv w:val="1"/>
      <w:marLeft w:val="0"/>
      <w:marRight w:val="0"/>
      <w:marTop w:val="0"/>
      <w:marBottom w:val="0"/>
      <w:divBdr>
        <w:top w:val="none" w:sz="0" w:space="0" w:color="auto"/>
        <w:left w:val="none" w:sz="0" w:space="0" w:color="auto"/>
        <w:bottom w:val="none" w:sz="0" w:space="0" w:color="auto"/>
        <w:right w:val="none" w:sz="0" w:space="0" w:color="auto"/>
      </w:divBdr>
    </w:div>
    <w:div w:id="1321882022">
      <w:bodyDiv w:val="1"/>
      <w:marLeft w:val="0"/>
      <w:marRight w:val="0"/>
      <w:marTop w:val="0"/>
      <w:marBottom w:val="0"/>
      <w:divBdr>
        <w:top w:val="none" w:sz="0" w:space="0" w:color="auto"/>
        <w:left w:val="none" w:sz="0" w:space="0" w:color="auto"/>
        <w:bottom w:val="none" w:sz="0" w:space="0" w:color="auto"/>
        <w:right w:val="none" w:sz="0" w:space="0" w:color="auto"/>
      </w:divBdr>
    </w:div>
    <w:div w:id="1321885494">
      <w:bodyDiv w:val="1"/>
      <w:marLeft w:val="0"/>
      <w:marRight w:val="0"/>
      <w:marTop w:val="0"/>
      <w:marBottom w:val="0"/>
      <w:divBdr>
        <w:top w:val="none" w:sz="0" w:space="0" w:color="auto"/>
        <w:left w:val="none" w:sz="0" w:space="0" w:color="auto"/>
        <w:bottom w:val="none" w:sz="0" w:space="0" w:color="auto"/>
        <w:right w:val="none" w:sz="0" w:space="0" w:color="auto"/>
      </w:divBdr>
    </w:div>
    <w:div w:id="1322000200">
      <w:bodyDiv w:val="1"/>
      <w:marLeft w:val="0"/>
      <w:marRight w:val="0"/>
      <w:marTop w:val="0"/>
      <w:marBottom w:val="0"/>
      <w:divBdr>
        <w:top w:val="none" w:sz="0" w:space="0" w:color="auto"/>
        <w:left w:val="none" w:sz="0" w:space="0" w:color="auto"/>
        <w:bottom w:val="none" w:sz="0" w:space="0" w:color="auto"/>
        <w:right w:val="none" w:sz="0" w:space="0" w:color="auto"/>
      </w:divBdr>
    </w:div>
    <w:div w:id="1322003152">
      <w:bodyDiv w:val="1"/>
      <w:marLeft w:val="0"/>
      <w:marRight w:val="0"/>
      <w:marTop w:val="0"/>
      <w:marBottom w:val="0"/>
      <w:divBdr>
        <w:top w:val="none" w:sz="0" w:space="0" w:color="auto"/>
        <w:left w:val="none" w:sz="0" w:space="0" w:color="auto"/>
        <w:bottom w:val="none" w:sz="0" w:space="0" w:color="auto"/>
        <w:right w:val="none" w:sz="0" w:space="0" w:color="auto"/>
      </w:divBdr>
    </w:div>
    <w:div w:id="1322078305">
      <w:bodyDiv w:val="1"/>
      <w:marLeft w:val="0"/>
      <w:marRight w:val="0"/>
      <w:marTop w:val="0"/>
      <w:marBottom w:val="0"/>
      <w:divBdr>
        <w:top w:val="none" w:sz="0" w:space="0" w:color="auto"/>
        <w:left w:val="none" w:sz="0" w:space="0" w:color="auto"/>
        <w:bottom w:val="none" w:sz="0" w:space="0" w:color="auto"/>
        <w:right w:val="none" w:sz="0" w:space="0" w:color="auto"/>
      </w:divBdr>
    </w:div>
    <w:div w:id="1322081301">
      <w:bodyDiv w:val="1"/>
      <w:marLeft w:val="0"/>
      <w:marRight w:val="0"/>
      <w:marTop w:val="0"/>
      <w:marBottom w:val="0"/>
      <w:divBdr>
        <w:top w:val="none" w:sz="0" w:space="0" w:color="auto"/>
        <w:left w:val="none" w:sz="0" w:space="0" w:color="auto"/>
        <w:bottom w:val="none" w:sz="0" w:space="0" w:color="auto"/>
        <w:right w:val="none" w:sz="0" w:space="0" w:color="auto"/>
      </w:divBdr>
    </w:div>
    <w:div w:id="1322150069">
      <w:bodyDiv w:val="1"/>
      <w:marLeft w:val="0"/>
      <w:marRight w:val="0"/>
      <w:marTop w:val="0"/>
      <w:marBottom w:val="0"/>
      <w:divBdr>
        <w:top w:val="none" w:sz="0" w:space="0" w:color="auto"/>
        <w:left w:val="none" w:sz="0" w:space="0" w:color="auto"/>
        <w:bottom w:val="none" w:sz="0" w:space="0" w:color="auto"/>
        <w:right w:val="none" w:sz="0" w:space="0" w:color="auto"/>
      </w:divBdr>
    </w:div>
    <w:div w:id="1322273211">
      <w:bodyDiv w:val="1"/>
      <w:marLeft w:val="0"/>
      <w:marRight w:val="0"/>
      <w:marTop w:val="0"/>
      <w:marBottom w:val="0"/>
      <w:divBdr>
        <w:top w:val="none" w:sz="0" w:space="0" w:color="auto"/>
        <w:left w:val="none" w:sz="0" w:space="0" w:color="auto"/>
        <w:bottom w:val="none" w:sz="0" w:space="0" w:color="auto"/>
        <w:right w:val="none" w:sz="0" w:space="0" w:color="auto"/>
      </w:divBdr>
    </w:div>
    <w:div w:id="1322348902">
      <w:bodyDiv w:val="1"/>
      <w:marLeft w:val="0"/>
      <w:marRight w:val="0"/>
      <w:marTop w:val="0"/>
      <w:marBottom w:val="0"/>
      <w:divBdr>
        <w:top w:val="none" w:sz="0" w:space="0" w:color="auto"/>
        <w:left w:val="none" w:sz="0" w:space="0" w:color="auto"/>
        <w:bottom w:val="none" w:sz="0" w:space="0" w:color="auto"/>
        <w:right w:val="none" w:sz="0" w:space="0" w:color="auto"/>
      </w:divBdr>
    </w:div>
    <w:div w:id="1322612477">
      <w:bodyDiv w:val="1"/>
      <w:marLeft w:val="0"/>
      <w:marRight w:val="0"/>
      <w:marTop w:val="0"/>
      <w:marBottom w:val="0"/>
      <w:divBdr>
        <w:top w:val="none" w:sz="0" w:space="0" w:color="auto"/>
        <w:left w:val="none" w:sz="0" w:space="0" w:color="auto"/>
        <w:bottom w:val="none" w:sz="0" w:space="0" w:color="auto"/>
        <w:right w:val="none" w:sz="0" w:space="0" w:color="auto"/>
      </w:divBdr>
    </w:div>
    <w:div w:id="1322664102">
      <w:bodyDiv w:val="1"/>
      <w:marLeft w:val="0"/>
      <w:marRight w:val="0"/>
      <w:marTop w:val="0"/>
      <w:marBottom w:val="0"/>
      <w:divBdr>
        <w:top w:val="none" w:sz="0" w:space="0" w:color="auto"/>
        <w:left w:val="none" w:sz="0" w:space="0" w:color="auto"/>
        <w:bottom w:val="none" w:sz="0" w:space="0" w:color="auto"/>
        <w:right w:val="none" w:sz="0" w:space="0" w:color="auto"/>
      </w:divBdr>
    </w:div>
    <w:div w:id="1322731263">
      <w:bodyDiv w:val="1"/>
      <w:marLeft w:val="0"/>
      <w:marRight w:val="0"/>
      <w:marTop w:val="0"/>
      <w:marBottom w:val="0"/>
      <w:divBdr>
        <w:top w:val="none" w:sz="0" w:space="0" w:color="auto"/>
        <w:left w:val="none" w:sz="0" w:space="0" w:color="auto"/>
        <w:bottom w:val="none" w:sz="0" w:space="0" w:color="auto"/>
        <w:right w:val="none" w:sz="0" w:space="0" w:color="auto"/>
      </w:divBdr>
    </w:div>
    <w:div w:id="1322732453">
      <w:bodyDiv w:val="1"/>
      <w:marLeft w:val="0"/>
      <w:marRight w:val="0"/>
      <w:marTop w:val="0"/>
      <w:marBottom w:val="0"/>
      <w:divBdr>
        <w:top w:val="none" w:sz="0" w:space="0" w:color="auto"/>
        <w:left w:val="none" w:sz="0" w:space="0" w:color="auto"/>
        <w:bottom w:val="none" w:sz="0" w:space="0" w:color="auto"/>
        <w:right w:val="none" w:sz="0" w:space="0" w:color="auto"/>
      </w:divBdr>
    </w:div>
    <w:div w:id="1322779854">
      <w:bodyDiv w:val="1"/>
      <w:marLeft w:val="0"/>
      <w:marRight w:val="0"/>
      <w:marTop w:val="0"/>
      <w:marBottom w:val="0"/>
      <w:divBdr>
        <w:top w:val="none" w:sz="0" w:space="0" w:color="auto"/>
        <w:left w:val="none" w:sz="0" w:space="0" w:color="auto"/>
        <w:bottom w:val="none" w:sz="0" w:space="0" w:color="auto"/>
        <w:right w:val="none" w:sz="0" w:space="0" w:color="auto"/>
      </w:divBdr>
    </w:div>
    <w:div w:id="1322853241">
      <w:bodyDiv w:val="1"/>
      <w:marLeft w:val="0"/>
      <w:marRight w:val="0"/>
      <w:marTop w:val="0"/>
      <w:marBottom w:val="0"/>
      <w:divBdr>
        <w:top w:val="none" w:sz="0" w:space="0" w:color="auto"/>
        <w:left w:val="none" w:sz="0" w:space="0" w:color="auto"/>
        <w:bottom w:val="none" w:sz="0" w:space="0" w:color="auto"/>
        <w:right w:val="none" w:sz="0" w:space="0" w:color="auto"/>
      </w:divBdr>
    </w:div>
    <w:div w:id="1322855487">
      <w:bodyDiv w:val="1"/>
      <w:marLeft w:val="0"/>
      <w:marRight w:val="0"/>
      <w:marTop w:val="0"/>
      <w:marBottom w:val="0"/>
      <w:divBdr>
        <w:top w:val="none" w:sz="0" w:space="0" w:color="auto"/>
        <w:left w:val="none" w:sz="0" w:space="0" w:color="auto"/>
        <w:bottom w:val="none" w:sz="0" w:space="0" w:color="auto"/>
        <w:right w:val="none" w:sz="0" w:space="0" w:color="auto"/>
      </w:divBdr>
    </w:div>
    <w:div w:id="1322927350">
      <w:bodyDiv w:val="1"/>
      <w:marLeft w:val="0"/>
      <w:marRight w:val="0"/>
      <w:marTop w:val="0"/>
      <w:marBottom w:val="0"/>
      <w:divBdr>
        <w:top w:val="none" w:sz="0" w:space="0" w:color="auto"/>
        <w:left w:val="none" w:sz="0" w:space="0" w:color="auto"/>
        <w:bottom w:val="none" w:sz="0" w:space="0" w:color="auto"/>
        <w:right w:val="none" w:sz="0" w:space="0" w:color="auto"/>
      </w:divBdr>
    </w:div>
    <w:div w:id="1323045344">
      <w:bodyDiv w:val="1"/>
      <w:marLeft w:val="0"/>
      <w:marRight w:val="0"/>
      <w:marTop w:val="0"/>
      <w:marBottom w:val="0"/>
      <w:divBdr>
        <w:top w:val="none" w:sz="0" w:space="0" w:color="auto"/>
        <w:left w:val="none" w:sz="0" w:space="0" w:color="auto"/>
        <w:bottom w:val="none" w:sz="0" w:space="0" w:color="auto"/>
        <w:right w:val="none" w:sz="0" w:space="0" w:color="auto"/>
      </w:divBdr>
    </w:div>
    <w:div w:id="1323048822">
      <w:bodyDiv w:val="1"/>
      <w:marLeft w:val="0"/>
      <w:marRight w:val="0"/>
      <w:marTop w:val="0"/>
      <w:marBottom w:val="0"/>
      <w:divBdr>
        <w:top w:val="none" w:sz="0" w:space="0" w:color="auto"/>
        <w:left w:val="none" w:sz="0" w:space="0" w:color="auto"/>
        <w:bottom w:val="none" w:sz="0" w:space="0" w:color="auto"/>
        <w:right w:val="none" w:sz="0" w:space="0" w:color="auto"/>
      </w:divBdr>
    </w:div>
    <w:div w:id="1323385942">
      <w:bodyDiv w:val="1"/>
      <w:marLeft w:val="0"/>
      <w:marRight w:val="0"/>
      <w:marTop w:val="0"/>
      <w:marBottom w:val="0"/>
      <w:divBdr>
        <w:top w:val="none" w:sz="0" w:space="0" w:color="auto"/>
        <w:left w:val="none" w:sz="0" w:space="0" w:color="auto"/>
        <w:bottom w:val="none" w:sz="0" w:space="0" w:color="auto"/>
        <w:right w:val="none" w:sz="0" w:space="0" w:color="auto"/>
      </w:divBdr>
    </w:div>
    <w:div w:id="1323503130">
      <w:bodyDiv w:val="1"/>
      <w:marLeft w:val="0"/>
      <w:marRight w:val="0"/>
      <w:marTop w:val="0"/>
      <w:marBottom w:val="0"/>
      <w:divBdr>
        <w:top w:val="none" w:sz="0" w:space="0" w:color="auto"/>
        <w:left w:val="none" w:sz="0" w:space="0" w:color="auto"/>
        <w:bottom w:val="none" w:sz="0" w:space="0" w:color="auto"/>
        <w:right w:val="none" w:sz="0" w:space="0" w:color="auto"/>
      </w:divBdr>
    </w:div>
    <w:div w:id="1323503821">
      <w:bodyDiv w:val="1"/>
      <w:marLeft w:val="0"/>
      <w:marRight w:val="0"/>
      <w:marTop w:val="0"/>
      <w:marBottom w:val="0"/>
      <w:divBdr>
        <w:top w:val="none" w:sz="0" w:space="0" w:color="auto"/>
        <w:left w:val="none" w:sz="0" w:space="0" w:color="auto"/>
        <w:bottom w:val="none" w:sz="0" w:space="0" w:color="auto"/>
        <w:right w:val="none" w:sz="0" w:space="0" w:color="auto"/>
      </w:divBdr>
    </w:div>
    <w:div w:id="1323504941">
      <w:bodyDiv w:val="1"/>
      <w:marLeft w:val="0"/>
      <w:marRight w:val="0"/>
      <w:marTop w:val="0"/>
      <w:marBottom w:val="0"/>
      <w:divBdr>
        <w:top w:val="none" w:sz="0" w:space="0" w:color="auto"/>
        <w:left w:val="none" w:sz="0" w:space="0" w:color="auto"/>
        <w:bottom w:val="none" w:sz="0" w:space="0" w:color="auto"/>
        <w:right w:val="none" w:sz="0" w:space="0" w:color="auto"/>
      </w:divBdr>
    </w:div>
    <w:div w:id="1323506920">
      <w:bodyDiv w:val="1"/>
      <w:marLeft w:val="0"/>
      <w:marRight w:val="0"/>
      <w:marTop w:val="0"/>
      <w:marBottom w:val="0"/>
      <w:divBdr>
        <w:top w:val="none" w:sz="0" w:space="0" w:color="auto"/>
        <w:left w:val="none" w:sz="0" w:space="0" w:color="auto"/>
        <w:bottom w:val="none" w:sz="0" w:space="0" w:color="auto"/>
        <w:right w:val="none" w:sz="0" w:space="0" w:color="auto"/>
      </w:divBdr>
    </w:div>
    <w:div w:id="1323580458">
      <w:bodyDiv w:val="1"/>
      <w:marLeft w:val="0"/>
      <w:marRight w:val="0"/>
      <w:marTop w:val="0"/>
      <w:marBottom w:val="0"/>
      <w:divBdr>
        <w:top w:val="none" w:sz="0" w:space="0" w:color="auto"/>
        <w:left w:val="none" w:sz="0" w:space="0" w:color="auto"/>
        <w:bottom w:val="none" w:sz="0" w:space="0" w:color="auto"/>
        <w:right w:val="none" w:sz="0" w:space="0" w:color="auto"/>
      </w:divBdr>
    </w:div>
    <w:div w:id="1323581276">
      <w:bodyDiv w:val="1"/>
      <w:marLeft w:val="0"/>
      <w:marRight w:val="0"/>
      <w:marTop w:val="0"/>
      <w:marBottom w:val="0"/>
      <w:divBdr>
        <w:top w:val="none" w:sz="0" w:space="0" w:color="auto"/>
        <w:left w:val="none" w:sz="0" w:space="0" w:color="auto"/>
        <w:bottom w:val="none" w:sz="0" w:space="0" w:color="auto"/>
        <w:right w:val="none" w:sz="0" w:space="0" w:color="auto"/>
      </w:divBdr>
    </w:div>
    <w:div w:id="1323659383">
      <w:bodyDiv w:val="1"/>
      <w:marLeft w:val="0"/>
      <w:marRight w:val="0"/>
      <w:marTop w:val="0"/>
      <w:marBottom w:val="0"/>
      <w:divBdr>
        <w:top w:val="none" w:sz="0" w:space="0" w:color="auto"/>
        <w:left w:val="none" w:sz="0" w:space="0" w:color="auto"/>
        <w:bottom w:val="none" w:sz="0" w:space="0" w:color="auto"/>
        <w:right w:val="none" w:sz="0" w:space="0" w:color="auto"/>
      </w:divBdr>
    </w:div>
    <w:div w:id="1323776592">
      <w:bodyDiv w:val="1"/>
      <w:marLeft w:val="0"/>
      <w:marRight w:val="0"/>
      <w:marTop w:val="0"/>
      <w:marBottom w:val="0"/>
      <w:divBdr>
        <w:top w:val="none" w:sz="0" w:space="0" w:color="auto"/>
        <w:left w:val="none" w:sz="0" w:space="0" w:color="auto"/>
        <w:bottom w:val="none" w:sz="0" w:space="0" w:color="auto"/>
        <w:right w:val="none" w:sz="0" w:space="0" w:color="auto"/>
      </w:divBdr>
    </w:div>
    <w:div w:id="1323779572">
      <w:bodyDiv w:val="1"/>
      <w:marLeft w:val="0"/>
      <w:marRight w:val="0"/>
      <w:marTop w:val="0"/>
      <w:marBottom w:val="0"/>
      <w:divBdr>
        <w:top w:val="none" w:sz="0" w:space="0" w:color="auto"/>
        <w:left w:val="none" w:sz="0" w:space="0" w:color="auto"/>
        <w:bottom w:val="none" w:sz="0" w:space="0" w:color="auto"/>
        <w:right w:val="none" w:sz="0" w:space="0" w:color="auto"/>
      </w:divBdr>
    </w:div>
    <w:div w:id="1323895422">
      <w:bodyDiv w:val="1"/>
      <w:marLeft w:val="0"/>
      <w:marRight w:val="0"/>
      <w:marTop w:val="0"/>
      <w:marBottom w:val="0"/>
      <w:divBdr>
        <w:top w:val="none" w:sz="0" w:space="0" w:color="auto"/>
        <w:left w:val="none" w:sz="0" w:space="0" w:color="auto"/>
        <w:bottom w:val="none" w:sz="0" w:space="0" w:color="auto"/>
        <w:right w:val="none" w:sz="0" w:space="0" w:color="auto"/>
      </w:divBdr>
    </w:div>
    <w:div w:id="1324044410">
      <w:bodyDiv w:val="1"/>
      <w:marLeft w:val="0"/>
      <w:marRight w:val="0"/>
      <w:marTop w:val="0"/>
      <w:marBottom w:val="0"/>
      <w:divBdr>
        <w:top w:val="none" w:sz="0" w:space="0" w:color="auto"/>
        <w:left w:val="none" w:sz="0" w:space="0" w:color="auto"/>
        <w:bottom w:val="none" w:sz="0" w:space="0" w:color="auto"/>
        <w:right w:val="none" w:sz="0" w:space="0" w:color="auto"/>
      </w:divBdr>
    </w:div>
    <w:div w:id="1324165195">
      <w:bodyDiv w:val="1"/>
      <w:marLeft w:val="0"/>
      <w:marRight w:val="0"/>
      <w:marTop w:val="0"/>
      <w:marBottom w:val="0"/>
      <w:divBdr>
        <w:top w:val="none" w:sz="0" w:space="0" w:color="auto"/>
        <w:left w:val="none" w:sz="0" w:space="0" w:color="auto"/>
        <w:bottom w:val="none" w:sz="0" w:space="0" w:color="auto"/>
        <w:right w:val="none" w:sz="0" w:space="0" w:color="auto"/>
      </w:divBdr>
    </w:div>
    <w:div w:id="1324242038">
      <w:bodyDiv w:val="1"/>
      <w:marLeft w:val="0"/>
      <w:marRight w:val="0"/>
      <w:marTop w:val="0"/>
      <w:marBottom w:val="0"/>
      <w:divBdr>
        <w:top w:val="none" w:sz="0" w:space="0" w:color="auto"/>
        <w:left w:val="none" w:sz="0" w:space="0" w:color="auto"/>
        <w:bottom w:val="none" w:sz="0" w:space="0" w:color="auto"/>
        <w:right w:val="none" w:sz="0" w:space="0" w:color="auto"/>
      </w:divBdr>
    </w:div>
    <w:div w:id="1324314353">
      <w:bodyDiv w:val="1"/>
      <w:marLeft w:val="0"/>
      <w:marRight w:val="0"/>
      <w:marTop w:val="0"/>
      <w:marBottom w:val="0"/>
      <w:divBdr>
        <w:top w:val="none" w:sz="0" w:space="0" w:color="auto"/>
        <w:left w:val="none" w:sz="0" w:space="0" w:color="auto"/>
        <w:bottom w:val="none" w:sz="0" w:space="0" w:color="auto"/>
        <w:right w:val="none" w:sz="0" w:space="0" w:color="auto"/>
      </w:divBdr>
    </w:div>
    <w:div w:id="1324360702">
      <w:bodyDiv w:val="1"/>
      <w:marLeft w:val="0"/>
      <w:marRight w:val="0"/>
      <w:marTop w:val="0"/>
      <w:marBottom w:val="0"/>
      <w:divBdr>
        <w:top w:val="none" w:sz="0" w:space="0" w:color="auto"/>
        <w:left w:val="none" w:sz="0" w:space="0" w:color="auto"/>
        <w:bottom w:val="none" w:sz="0" w:space="0" w:color="auto"/>
        <w:right w:val="none" w:sz="0" w:space="0" w:color="auto"/>
      </w:divBdr>
    </w:div>
    <w:div w:id="1324621387">
      <w:bodyDiv w:val="1"/>
      <w:marLeft w:val="0"/>
      <w:marRight w:val="0"/>
      <w:marTop w:val="0"/>
      <w:marBottom w:val="0"/>
      <w:divBdr>
        <w:top w:val="none" w:sz="0" w:space="0" w:color="auto"/>
        <w:left w:val="none" w:sz="0" w:space="0" w:color="auto"/>
        <w:bottom w:val="none" w:sz="0" w:space="0" w:color="auto"/>
        <w:right w:val="none" w:sz="0" w:space="0" w:color="auto"/>
      </w:divBdr>
    </w:div>
    <w:div w:id="1324622271">
      <w:bodyDiv w:val="1"/>
      <w:marLeft w:val="0"/>
      <w:marRight w:val="0"/>
      <w:marTop w:val="0"/>
      <w:marBottom w:val="0"/>
      <w:divBdr>
        <w:top w:val="none" w:sz="0" w:space="0" w:color="auto"/>
        <w:left w:val="none" w:sz="0" w:space="0" w:color="auto"/>
        <w:bottom w:val="none" w:sz="0" w:space="0" w:color="auto"/>
        <w:right w:val="none" w:sz="0" w:space="0" w:color="auto"/>
      </w:divBdr>
    </w:div>
    <w:div w:id="1324623060">
      <w:bodyDiv w:val="1"/>
      <w:marLeft w:val="0"/>
      <w:marRight w:val="0"/>
      <w:marTop w:val="0"/>
      <w:marBottom w:val="0"/>
      <w:divBdr>
        <w:top w:val="none" w:sz="0" w:space="0" w:color="auto"/>
        <w:left w:val="none" w:sz="0" w:space="0" w:color="auto"/>
        <w:bottom w:val="none" w:sz="0" w:space="0" w:color="auto"/>
        <w:right w:val="none" w:sz="0" w:space="0" w:color="auto"/>
      </w:divBdr>
    </w:div>
    <w:div w:id="1324972226">
      <w:bodyDiv w:val="1"/>
      <w:marLeft w:val="0"/>
      <w:marRight w:val="0"/>
      <w:marTop w:val="0"/>
      <w:marBottom w:val="0"/>
      <w:divBdr>
        <w:top w:val="none" w:sz="0" w:space="0" w:color="auto"/>
        <w:left w:val="none" w:sz="0" w:space="0" w:color="auto"/>
        <w:bottom w:val="none" w:sz="0" w:space="0" w:color="auto"/>
        <w:right w:val="none" w:sz="0" w:space="0" w:color="auto"/>
      </w:divBdr>
    </w:div>
    <w:div w:id="1324972627">
      <w:bodyDiv w:val="1"/>
      <w:marLeft w:val="0"/>
      <w:marRight w:val="0"/>
      <w:marTop w:val="0"/>
      <w:marBottom w:val="0"/>
      <w:divBdr>
        <w:top w:val="none" w:sz="0" w:space="0" w:color="auto"/>
        <w:left w:val="none" w:sz="0" w:space="0" w:color="auto"/>
        <w:bottom w:val="none" w:sz="0" w:space="0" w:color="auto"/>
        <w:right w:val="none" w:sz="0" w:space="0" w:color="auto"/>
      </w:divBdr>
    </w:div>
    <w:div w:id="1325007852">
      <w:bodyDiv w:val="1"/>
      <w:marLeft w:val="0"/>
      <w:marRight w:val="0"/>
      <w:marTop w:val="0"/>
      <w:marBottom w:val="0"/>
      <w:divBdr>
        <w:top w:val="none" w:sz="0" w:space="0" w:color="auto"/>
        <w:left w:val="none" w:sz="0" w:space="0" w:color="auto"/>
        <w:bottom w:val="none" w:sz="0" w:space="0" w:color="auto"/>
        <w:right w:val="none" w:sz="0" w:space="0" w:color="auto"/>
      </w:divBdr>
    </w:div>
    <w:div w:id="1325084875">
      <w:bodyDiv w:val="1"/>
      <w:marLeft w:val="0"/>
      <w:marRight w:val="0"/>
      <w:marTop w:val="0"/>
      <w:marBottom w:val="0"/>
      <w:divBdr>
        <w:top w:val="none" w:sz="0" w:space="0" w:color="auto"/>
        <w:left w:val="none" w:sz="0" w:space="0" w:color="auto"/>
        <w:bottom w:val="none" w:sz="0" w:space="0" w:color="auto"/>
        <w:right w:val="none" w:sz="0" w:space="0" w:color="auto"/>
      </w:divBdr>
    </w:div>
    <w:div w:id="1325089593">
      <w:bodyDiv w:val="1"/>
      <w:marLeft w:val="0"/>
      <w:marRight w:val="0"/>
      <w:marTop w:val="0"/>
      <w:marBottom w:val="0"/>
      <w:divBdr>
        <w:top w:val="none" w:sz="0" w:space="0" w:color="auto"/>
        <w:left w:val="none" w:sz="0" w:space="0" w:color="auto"/>
        <w:bottom w:val="none" w:sz="0" w:space="0" w:color="auto"/>
        <w:right w:val="none" w:sz="0" w:space="0" w:color="auto"/>
      </w:divBdr>
    </w:div>
    <w:div w:id="1325275833">
      <w:bodyDiv w:val="1"/>
      <w:marLeft w:val="0"/>
      <w:marRight w:val="0"/>
      <w:marTop w:val="0"/>
      <w:marBottom w:val="0"/>
      <w:divBdr>
        <w:top w:val="none" w:sz="0" w:space="0" w:color="auto"/>
        <w:left w:val="none" w:sz="0" w:space="0" w:color="auto"/>
        <w:bottom w:val="none" w:sz="0" w:space="0" w:color="auto"/>
        <w:right w:val="none" w:sz="0" w:space="0" w:color="auto"/>
      </w:divBdr>
    </w:div>
    <w:div w:id="1325277752">
      <w:bodyDiv w:val="1"/>
      <w:marLeft w:val="0"/>
      <w:marRight w:val="0"/>
      <w:marTop w:val="0"/>
      <w:marBottom w:val="0"/>
      <w:divBdr>
        <w:top w:val="none" w:sz="0" w:space="0" w:color="auto"/>
        <w:left w:val="none" w:sz="0" w:space="0" w:color="auto"/>
        <w:bottom w:val="none" w:sz="0" w:space="0" w:color="auto"/>
        <w:right w:val="none" w:sz="0" w:space="0" w:color="auto"/>
      </w:divBdr>
    </w:div>
    <w:div w:id="1325864306">
      <w:bodyDiv w:val="1"/>
      <w:marLeft w:val="0"/>
      <w:marRight w:val="0"/>
      <w:marTop w:val="0"/>
      <w:marBottom w:val="0"/>
      <w:divBdr>
        <w:top w:val="none" w:sz="0" w:space="0" w:color="auto"/>
        <w:left w:val="none" w:sz="0" w:space="0" w:color="auto"/>
        <w:bottom w:val="none" w:sz="0" w:space="0" w:color="auto"/>
        <w:right w:val="none" w:sz="0" w:space="0" w:color="auto"/>
      </w:divBdr>
    </w:div>
    <w:div w:id="1325891205">
      <w:bodyDiv w:val="1"/>
      <w:marLeft w:val="0"/>
      <w:marRight w:val="0"/>
      <w:marTop w:val="0"/>
      <w:marBottom w:val="0"/>
      <w:divBdr>
        <w:top w:val="none" w:sz="0" w:space="0" w:color="auto"/>
        <w:left w:val="none" w:sz="0" w:space="0" w:color="auto"/>
        <w:bottom w:val="none" w:sz="0" w:space="0" w:color="auto"/>
        <w:right w:val="none" w:sz="0" w:space="0" w:color="auto"/>
      </w:divBdr>
    </w:div>
    <w:div w:id="1326081942">
      <w:bodyDiv w:val="1"/>
      <w:marLeft w:val="0"/>
      <w:marRight w:val="0"/>
      <w:marTop w:val="0"/>
      <w:marBottom w:val="0"/>
      <w:divBdr>
        <w:top w:val="none" w:sz="0" w:space="0" w:color="auto"/>
        <w:left w:val="none" w:sz="0" w:space="0" w:color="auto"/>
        <w:bottom w:val="none" w:sz="0" w:space="0" w:color="auto"/>
        <w:right w:val="none" w:sz="0" w:space="0" w:color="auto"/>
      </w:divBdr>
    </w:div>
    <w:div w:id="1326084846">
      <w:bodyDiv w:val="1"/>
      <w:marLeft w:val="0"/>
      <w:marRight w:val="0"/>
      <w:marTop w:val="0"/>
      <w:marBottom w:val="0"/>
      <w:divBdr>
        <w:top w:val="none" w:sz="0" w:space="0" w:color="auto"/>
        <w:left w:val="none" w:sz="0" w:space="0" w:color="auto"/>
        <w:bottom w:val="none" w:sz="0" w:space="0" w:color="auto"/>
        <w:right w:val="none" w:sz="0" w:space="0" w:color="auto"/>
      </w:divBdr>
    </w:div>
    <w:div w:id="1326276168">
      <w:bodyDiv w:val="1"/>
      <w:marLeft w:val="0"/>
      <w:marRight w:val="0"/>
      <w:marTop w:val="0"/>
      <w:marBottom w:val="0"/>
      <w:divBdr>
        <w:top w:val="none" w:sz="0" w:space="0" w:color="auto"/>
        <w:left w:val="none" w:sz="0" w:space="0" w:color="auto"/>
        <w:bottom w:val="none" w:sz="0" w:space="0" w:color="auto"/>
        <w:right w:val="none" w:sz="0" w:space="0" w:color="auto"/>
      </w:divBdr>
    </w:div>
    <w:div w:id="1326281729">
      <w:bodyDiv w:val="1"/>
      <w:marLeft w:val="0"/>
      <w:marRight w:val="0"/>
      <w:marTop w:val="0"/>
      <w:marBottom w:val="0"/>
      <w:divBdr>
        <w:top w:val="none" w:sz="0" w:space="0" w:color="auto"/>
        <w:left w:val="none" w:sz="0" w:space="0" w:color="auto"/>
        <w:bottom w:val="none" w:sz="0" w:space="0" w:color="auto"/>
        <w:right w:val="none" w:sz="0" w:space="0" w:color="auto"/>
      </w:divBdr>
    </w:div>
    <w:div w:id="1326282346">
      <w:bodyDiv w:val="1"/>
      <w:marLeft w:val="0"/>
      <w:marRight w:val="0"/>
      <w:marTop w:val="0"/>
      <w:marBottom w:val="0"/>
      <w:divBdr>
        <w:top w:val="none" w:sz="0" w:space="0" w:color="auto"/>
        <w:left w:val="none" w:sz="0" w:space="0" w:color="auto"/>
        <w:bottom w:val="none" w:sz="0" w:space="0" w:color="auto"/>
        <w:right w:val="none" w:sz="0" w:space="0" w:color="auto"/>
      </w:divBdr>
    </w:div>
    <w:div w:id="1326669128">
      <w:bodyDiv w:val="1"/>
      <w:marLeft w:val="0"/>
      <w:marRight w:val="0"/>
      <w:marTop w:val="0"/>
      <w:marBottom w:val="0"/>
      <w:divBdr>
        <w:top w:val="none" w:sz="0" w:space="0" w:color="auto"/>
        <w:left w:val="none" w:sz="0" w:space="0" w:color="auto"/>
        <w:bottom w:val="none" w:sz="0" w:space="0" w:color="auto"/>
        <w:right w:val="none" w:sz="0" w:space="0" w:color="auto"/>
      </w:divBdr>
    </w:div>
    <w:div w:id="1326739525">
      <w:bodyDiv w:val="1"/>
      <w:marLeft w:val="0"/>
      <w:marRight w:val="0"/>
      <w:marTop w:val="0"/>
      <w:marBottom w:val="0"/>
      <w:divBdr>
        <w:top w:val="none" w:sz="0" w:space="0" w:color="auto"/>
        <w:left w:val="none" w:sz="0" w:space="0" w:color="auto"/>
        <w:bottom w:val="none" w:sz="0" w:space="0" w:color="auto"/>
        <w:right w:val="none" w:sz="0" w:space="0" w:color="auto"/>
      </w:divBdr>
    </w:div>
    <w:div w:id="1326788474">
      <w:bodyDiv w:val="1"/>
      <w:marLeft w:val="0"/>
      <w:marRight w:val="0"/>
      <w:marTop w:val="0"/>
      <w:marBottom w:val="0"/>
      <w:divBdr>
        <w:top w:val="none" w:sz="0" w:space="0" w:color="auto"/>
        <w:left w:val="none" w:sz="0" w:space="0" w:color="auto"/>
        <w:bottom w:val="none" w:sz="0" w:space="0" w:color="auto"/>
        <w:right w:val="none" w:sz="0" w:space="0" w:color="auto"/>
      </w:divBdr>
    </w:div>
    <w:div w:id="1326856426">
      <w:bodyDiv w:val="1"/>
      <w:marLeft w:val="0"/>
      <w:marRight w:val="0"/>
      <w:marTop w:val="0"/>
      <w:marBottom w:val="0"/>
      <w:divBdr>
        <w:top w:val="none" w:sz="0" w:space="0" w:color="auto"/>
        <w:left w:val="none" w:sz="0" w:space="0" w:color="auto"/>
        <w:bottom w:val="none" w:sz="0" w:space="0" w:color="auto"/>
        <w:right w:val="none" w:sz="0" w:space="0" w:color="auto"/>
      </w:divBdr>
    </w:div>
    <w:div w:id="1326934269">
      <w:bodyDiv w:val="1"/>
      <w:marLeft w:val="0"/>
      <w:marRight w:val="0"/>
      <w:marTop w:val="0"/>
      <w:marBottom w:val="0"/>
      <w:divBdr>
        <w:top w:val="none" w:sz="0" w:space="0" w:color="auto"/>
        <w:left w:val="none" w:sz="0" w:space="0" w:color="auto"/>
        <w:bottom w:val="none" w:sz="0" w:space="0" w:color="auto"/>
        <w:right w:val="none" w:sz="0" w:space="0" w:color="auto"/>
      </w:divBdr>
    </w:div>
    <w:div w:id="1326935239">
      <w:bodyDiv w:val="1"/>
      <w:marLeft w:val="0"/>
      <w:marRight w:val="0"/>
      <w:marTop w:val="0"/>
      <w:marBottom w:val="0"/>
      <w:divBdr>
        <w:top w:val="none" w:sz="0" w:space="0" w:color="auto"/>
        <w:left w:val="none" w:sz="0" w:space="0" w:color="auto"/>
        <w:bottom w:val="none" w:sz="0" w:space="0" w:color="auto"/>
        <w:right w:val="none" w:sz="0" w:space="0" w:color="auto"/>
      </w:divBdr>
    </w:div>
    <w:div w:id="1327054184">
      <w:bodyDiv w:val="1"/>
      <w:marLeft w:val="0"/>
      <w:marRight w:val="0"/>
      <w:marTop w:val="0"/>
      <w:marBottom w:val="0"/>
      <w:divBdr>
        <w:top w:val="none" w:sz="0" w:space="0" w:color="auto"/>
        <w:left w:val="none" w:sz="0" w:space="0" w:color="auto"/>
        <w:bottom w:val="none" w:sz="0" w:space="0" w:color="auto"/>
        <w:right w:val="none" w:sz="0" w:space="0" w:color="auto"/>
      </w:divBdr>
    </w:div>
    <w:div w:id="1327125445">
      <w:bodyDiv w:val="1"/>
      <w:marLeft w:val="0"/>
      <w:marRight w:val="0"/>
      <w:marTop w:val="0"/>
      <w:marBottom w:val="0"/>
      <w:divBdr>
        <w:top w:val="none" w:sz="0" w:space="0" w:color="auto"/>
        <w:left w:val="none" w:sz="0" w:space="0" w:color="auto"/>
        <w:bottom w:val="none" w:sz="0" w:space="0" w:color="auto"/>
        <w:right w:val="none" w:sz="0" w:space="0" w:color="auto"/>
      </w:divBdr>
    </w:div>
    <w:div w:id="1327125897">
      <w:bodyDiv w:val="1"/>
      <w:marLeft w:val="0"/>
      <w:marRight w:val="0"/>
      <w:marTop w:val="0"/>
      <w:marBottom w:val="0"/>
      <w:divBdr>
        <w:top w:val="none" w:sz="0" w:space="0" w:color="auto"/>
        <w:left w:val="none" w:sz="0" w:space="0" w:color="auto"/>
        <w:bottom w:val="none" w:sz="0" w:space="0" w:color="auto"/>
        <w:right w:val="none" w:sz="0" w:space="0" w:color="auto"/>
      </w:divBdr>
    </w:div>
    <w:div w:id="1327241818">
      <w:bodyDiv w:val="1"/>
      <w:marLeft w:val="0"/>
      <w:marRight w:val="0"/>
      <w:marTop w:val="0"/>
      <w:marBottom w:val="0"/>
      <w:divBdr>
        <w:top w:val="none" w:sz="0" w:space="0" w:color="auto"/>
        <w:left w:val="none" w:sz="0" w:space="0" w:color="auto"/>
        <w:bottom w:val="none" w:sz="0" w:space="0" w:color="auto"/>
        <w:right w:val="none" w:sz="0" w:space="0" w:color="auto"/>
      </w:divBdr>
    </w:div>
    <w:div w:id="1327317168">
      <w:bodyDiv w:val="1"/>
      <w:marLeft w:val="0"/>
      <w:marRight w:val="0"/>
      <w:marTop w:val="0"/>
      <w:marBottom w:val="0"/>
      <w:divBdr>
        <w:top w:val="none" w:sz="0" w:space="0" w:color="auto"/>
        <w:left w:val="none" w:sz="0" w:space="0" w:color="auto"/>
        <w:bottom w:val="none" w:sz="0" w:space="0" w:color="auto"/>
        <w:right w:val="none" w:sz="0" w:space="0" w:color="auto"/>
      </w:divBdr>
    </w:div>
    <w:div w:id="1327434809">
      <w:bodyDiv w:val="1"/>
      <w:marLeft w:val="0"/>
      <w:marRight w:val="0"/>
      <w:marTop w:val="0"/>
      <w:marBottom w:val="0"/>
      <w:divBdr>
        <w:top w:val="none" w:sz="0" w:space="0" w:color="auto"/>
        <w:left w:val="none" w:sz="0" w:space="0" w:color="auto"/>
        <w:bottom w:val="none" w:sz="0" w:space="0" w:color="auto"/>
        <w:right w:val="none" w:sz="0" w:space="0" w:color="auto"/>
      </w:divBdr>
    </w:div>
    <w:div w:id="1327516461">
      <w:bodyDiv w:val="1"/>
      <w:marLeft w:val="0"/>
      <w:marRight w:val="0"/>
      <w:marTop w:val="0"/>
      <w:marBottom w:val="0"/>
      <w:divBdr>
        <w:top w:val="none" w:sz="0" w:space="0" w:color="auto"/>
        <w:left w:val="none" w:sz="0" w:space="0" w:color="auto"/>
        <w:bottom w:val="none" w:sz="0" w:space="0" w:color="auto"/>
        <w:right w:val="none" w:sz="0" w:space="0" w:color="auto"/>
      </w:divBdr>
    </w:div>
    <w:div w:id="1327593150">
      <w:bodyDiv w:val="1"/>
      <w:marLeft w:val="0"/>
      <w:marRight w:val="0"/>
      <w:marTop w:val="0"/>
      <w:marBottom w:val="0"/>
      <w:divBdr>
        <w:top w:val="none" w:sz="0" w:space="0" w:color="auto"/>
        <w:left w:val="none" w:sz="0" w:space="0" w:color="auto"/>
        <w:bottom w:val="none" w:sz="0" w:space="0" w:color="auto"/>
        <w:right w:val="none" w:sz="0" w:space="0" w:color="auto"/>
      </w:divBdr>
    </w:div>
    <w:div w:id="1327636210">
      <w:bodyDiv w:val="1"/>
      <w:marLeft w:val="0"/>
      <w:marRight w:val="0"/>
      <w:marTop w:val="0"/>
      <w:marBottom w:val="0"/>
      <w:divBdr>
        <w:top w:val="none" w:sz="0" w:space="0" w:color="auto"/>
        <w:left w:val="none" w:sz="0" w:space="0" w:color="auto"/>
        <w:bottom w:val="none" w:sz="0" w:space="0" w:color="auto"/>
        <w:right w:val="none" w:sz="0" w:space="0" w:color="auto"/>
      </w:divBdr>
    </w:div>
    <w:div w:id="1327703984">
      <w:bodyDiv w:val="1"/>
      <w:marLeft w:val="0"/>
      <w:marRight w:val="0"/>
      <w:marTop w:val="0"/>
      <w:marBottom w:val="0"/>
      <w:divBdr>
        <w:top w:val="none" w:sz="0" w:space="0" w:color="auto"/>
        <w:left w:val="none" w:sz="0" w:space="0" w:color="auto"/>
        <w:bottom w:val="none" w:sz="0" w:space="0" w:color="auto"/>
        <w:right w:val="none" w:sz="0" w:space="0" w:color="auto"/>
      </w:divBdr>
    </w:div>
    <w:div w:id="1327711196">
      <w:bodyDiv w:val="1"/>
      <w:marLeft w:val="0"/>
      <w:marRight w:val="0"/>
      <w:marTop w:val="0"/>
      <w:marBottom w:val="0"/>
      <w:divBdr>
        <w:top w:val="none" w:sz="0" w:space="0" w:color="auto"/>
        <w:left w:val="none" w:sz="0" w:space="0" w:color="auto"/>
        <w:bottom w:val="none" w:sz="0" w:space="0" w:color="auto"/>
        <w:right w:val="none" w:sz="0" w:space="0" w:color="auto"/>
      </w:divBdr>
    </w:div>
    <w:div w:id="1327781271">
      <w:bodyDiv w:val="1"/>
      <w:marLeft w:val="0"/>
      <w:marRight w:val="0"/>
      <w:marTop w:val="0"/>
      <w:marBottom w:val="0"/>
      <w:divBdr>
        <w:top w:val="none" w:sz="0" w:space="0" w:color="auto"/>
        <w:left w:val="none" w:sz="0" w:space="0" w:color="auto"/>
        <w:bottom w:val="none" w:sz="0" w:space="0" w:color="auto"/>
        <w:right w:val="none" w:sz="0" w:space="0" w:color="auto"/>
      </w:divBdr>
    </w:div>
    <w:div w:id="1327897219">
      <w:bodyDiv w:val="1"/>
      <w:marLeft w:val="0"/>
      <w:marRight w:val="0"/>
      <w:marTop w:val="0"/>
      <w:marBottom w:val="0"/>
      <w:divBdr>
        <w:top w:val="none" w:sz="0" w:space="0" w:color="auto"/>
        <w:left w:val="none" w:sz="0" w:space="0" w:color="auto"/>
        <w:bottom w:val="none" w:sz="0" w:space="0" w:color="auto"/>
        <w:right w:val="none" w:sz="0" w:space="0" w:color="auto"/>
      </w:divBdr>
    </w:div>
    <w:div w:id="1327979529">
      <w:bodyDiv w:val="1"/>
      <w:marLeft w:val="0"/>
      <w:marRight w:val="0"/>
      <w:marTop w:val="0"/>
      <w:marBottom w:val="0"/>
      <w:divBdr>
        <w:top w:val="none" w:sz="0" w:space="0" w:color="auto"/>
        <w:left w:val="none" w:sz="0" w:space="0" w:color="auto"/>
        <w:bottom w:val="none" w:sz="0" w:space="0" w:color="auto"/>
        <w:right w:val="none" w:sz="0" w:space="0" w:color="auto"/>
      </w:divBdr>
    </w:div>
    <w:div w:id="1328166640">
      <w:bodyDiv w:val="1"/>
      <w:marLeft w:val="0"/>
      <w:marRight w:val="0"/>
      <w:marTop w:val="0"/>
      <w:marBottom w:val="0"/>
      <w:divBdr>
        <w:top w:val="none" w:sz="0" w:space="0" w:color="auto"/>
        <w:left w:val="none" w:sz="0" w:space="0" w:color="auto"/>
        <w:bottom w:val="none" w:sz="0" w:space="0" w:color="auto"/>
        <w:right w:val="none" w:sz="0" w:space="0" w:color="auto"/>
      </w:divBdr>
    </w:div>
    <w:div w:id="1328243820">
      <w:bodyDiv w:val="1"/>
      <w:marLeft w:val="0"/>
      <w:marRight w:val="0"/>
      <w:marTop w:val="0"/>
      <w:marBottom w:val="0"/>
      <w:divBdr>
        <w:top w:val="none" w:sz="0" w:space="0" w:color="auto"/>
        <w:left w:val="none" w:sz="0" w:space="0" w:color="auto"/>
        <w:bottom w:val="none" w:sz="0" w:space="0" w:color="auto"/>
        <w:right w:val="none" w:sz="0" w:space="0" w:color="auto"/>
      </w:divBdr>
    </w:div>
    <w:div w:id="1328246995">
      <w:bodyDiv w:val="1"/>
      <w:marLeft w:val="0"/>
      <w:marRight w:val="0"/>
      <w:marTop w:val="0"/>
      <w:marBottom w:val="0"/>
      <w:divBdr>
        <w:top w:val="none" w:sz="0" w:space="0" w:color="auto"/>
        <w:left w:val="none" w:sz="0" w:space="0" w:color="auto"/>
        <w:bottom w:val="none" w:sz="0" w:space="0" w:color="auto"/>
        <w:right w:val="none" w:sz="0" w:space="0" w:color="auto"/>
      </w:divBdr>
    </w:div>
    <w:div w:id="1328248038">
      <w:bodyDiv w:val="1"/>
      <w:marLeft w:val="0"/>
      <w:marRight w:val="0"/>
      <w:marTop w:val="0"/>
      <w:marBottom w:val="0"/>
      <w:divBdr>
        <w:top w:val="none" w:sz="0" w:space="0" w:color="auto"/>
        <w:left w:val="none" w:sz="0" w:space="0" w:color="auto"/>
        <w:bottom w:val="none" w:sz="0" w:space="0" w:color="auto"/>
        <w:right w:val="none" w:sz="0" w:space="0" w:color="auto"/>
      </w:divBdr>
    </w:div>
    <w:div w:id="1328285831">
      <w:bodyDiv w:val="1"/>
      <w:marLeft w:val="0"/>
      <w:marRight w:val="0"/>
      <w:marTop w:val="0"/>
      <w:marBottom w:val="0"/>
      <w:divBdr>
        <w:top w:val="none" w:sz="0" w:space="0" w:color="auto"/>
        <w:left w:val="none" w:sz="0" w:space="0" w:color="auto"/>
        <w:bottom w:val="none" w:sz="0" w:space="0" w:color="auto"/>
        <w:right w:val="none" w:sz="0" w:space="0" w:color="auto"/>
      </w:divBdr>
    </w:div>
    <w:div w:id="1328485743">
      <w:bodyDiv w:val="1"/>
      <w:marLeft w:val="0"/>
      <w:marRight w:val="0"/>
      <w:marTop w:val="0"/>
      <w:marBottom w:val="0"/>
      <w:divBdr>
        <w:top w:val="none" w:sz="0" w:space="0" w:color="auto"/>
        <w:left w:val="none" w:sz="0" w:space="0" w:color="auto"/>
        <w:bottom w:val="none" w:sz="0" w:space="0" w:color="auto"/>
        <w:right w:val="none" w:sz="0" w:space="0" w:color="auto"/>
      </w:divBdr>
    </w:div>
    <w:div w:id="1328511450">
      <w:bodyDiv w:val="1"/>
      <w:marLeft w:val="0"/>
      <w:marRight w:val="0"/>
      <w:marTop w:val="0"/>
      <w:marBottom w:val="0"/>
      <w:divBdr>
        <w:top w:val="none" w:sz="0" w:space="0" w:color="auto"/>
        <w:left w:val="none" w:sz="0" w:space="0" w:color="auto"/>
        <w:bottom w:val="none" w:sz="0" w:space="0" w:color="auto"/>
        <w:right w:val="none" w:sz="0" w:space="0" w:color="auto"/>
      </w:divBdr>
    </w:div>
    <w:div w:id="1328554814">
      <w:bodyDiv w:val="1"/>
      <w:marLeft w:val="0"/>
      <w:marRight w:val="0"/>
      <w:marTop w:val="0"/>
      <w:marBottom w:val="0"/>
      <w:divBdr>
        <w:top w:val="none" w:sz="0" w:space="0" w:color="auto"/>
        <w:left w:val="none" w:sz="0" w:space="0" w:color="auto"/>
        <w:bottom w:val="none" w:sz="0" w:space="0" w:color="auto"/>
        <w:right w:val="none" w:sz="0" w:space="0" w:color="auto"/>
      </w:divBdr>
    </w:div>
    <w:div w:id="1328627486">
      <w:bodyDiv w:val="1"/>
      <w:marLeft w:val="0"/>
      <w:marRight w:val="0"/>
      <w:marTop w:val="0"/>
      <w:marBottom w:val="0"/>
      <w:divBdr>
        <w:top w:val="none" w:sz="0" w:space="0" w:color="auto"/>
        <w:left w:val="none" w:sz="0" w:space="0" w:color="auto"/>
        <w:bottom w:val="none" w:sz="0" w:space="0" w:color="auto"/>
        <w:right w:val="none" w:sz="0" w:space="0" w:color="auto"/>
      </w:divBdr>
    </w:div>
    <w:div w:id="1328635371">
      <w:bodyDiv w:val="1"/>
      <w:marLeft w:val="0"/>
      <w:marRight w:val="0"/>
      <w:marTop w:val="0"/>
      <w:marBottom w:val="0"/>
      <w:divBdr>
        <w:top w:val="none" w:sz="0" w:space="0" w:color="auto"/>
        <w:left w:val="none" w:sz="0" w:space="0" w:color="auto"/>
        <w:bottom w:val="none" w:sz="0" w:space="0" w:color="auto"/>
        <w:right w:val="none" w:sz="0" w:space="0" w:color="auto"/>
      </w:divBdr>
    </w:div>
    <w:div w:id="1328706791">
      <w:bodyDiv w:val="1"/>
      <w:marLeft w:val="0"/>
      <w:marRight w:val="0"/>
      <w:marTop w:val="0"/>
      <w:marBottom w:val="0"/>
      <w:divBdr>
        <w:top w:val="none" w:sz="0" w:space="0" w:color="auto"/>
        <w:left w:val="none" w:sz="0" w:space="0" w:color="auto"/>
        <w:bottom w:val="none" w:sz="0" w:space="0" w:color="auto"/>
        <w:right w:val="none" w:sz="0" w:space="0" w:color="auto"/>
      </w:divBdr>
    </w:div>
    <w:div w:id="1328748426">
      <w:bodyDiv w:val="1"/>
      <w:marLeft w:val="0"/>
      <w:marRight w:val="0"/>
      <w:marTop w:val="0"/>
      <w:marBottom w:val="0"/>
      <w:divBdr>
        <w:top w:val="none" w:sz="0" w:space="0" w:color="auto"/>
        <w:left w:val="none" w:sz="0" w:space="0" w:color="auto"/>
        <w:bottom w:val="none" w:sz="0" w:space="0" w:color="auto"/>
        <w:right w:val="none" w:sz="0" w:space="0" w:color="auto"/>
      </w:divBdr>
    </w:div>
    <w:div w:id="1328753718">
      <w:bodyDiv w:val="1"/>
      <w:marLeft w:val="0"/>
      <w:marRight w:val="0"/>
      <w:marTop w:val="0"/>
      <w:marBottom w:val="0"/>
      <w:divBdr>
        <w:top w:val="none" w:sz="0" w:space="0" w:color="auto"/>
        <w:left w:val="none" w:sz="0" w:space="0" w:color="auto"/>
        <w:bottom w:val="none" w:sz="0" w:space="0" w:color="auto"/>
        <w:right w:val="none" w:sz="0" w:space="0" w:color="auto"/>
      </w:divBdr>
    </w:div>
    <w:div w:id="1328821118">
      <w:bodyDiv w:val="1"/>
      <w:marLeft w:val="0"/>
      <w:marRight w:val="0"/>
      <w:marTop w:val="0"/>
      <w:marBottom w:val="0"/>
      <w:divBdr>
        <w:top w:val="none" w:sz="0" w:space="0" w:color="auto"/>
        <w:left w:val="none" w:sz="0" w:space="0" w:color="auto"/>
        <w:bottom w:val="none" w:sz="0" w:space="0" w:color="auto"/>
        <w:right w:val="none" w:sz="0" w:space="0" w:color="auto"/>
      </w:divBdr>
    </w:div>
    <w:div w:id="1328827078">
      <w:bodyDiv w:val="1"/>
      <w:marLeft w:val="0"/>
      <w:marRight w:val="0"/>
      <w:marTop w:val="0"/>
      <w:marBottom w:val="0"/>
      <w:divBdr>
        <w:top w:val="none" w:sz="0" w:space="0" w:color="auto"/>
        <w:left w:val="none" w:sz="0" w:space="0" w:color="auto"/>
        <w:bottom w:val="none" w:sz="0" w:space="0" w:color="auto"/>
        <w:right w:val="none" w:sz="0" w:space="0" w:color="auto"/>
      </w:divBdr>
    </w:div>
    <w:div w:id="1328940697">
      <w:bodyDiv w:val="1"/>
      <w:marLeft w:val="0"/>
      <w:marRight w:val="0"/>
      <w:marTop w:val="0"/>
      <w:marBottom w:val="0"/>
      <w:divBdr>
        <w:top w:val="none" w:sz="0" w:space="0" w:color="auto"/>
        <w:left w:val="none" w:sz="0" w:space="0" w:color="auto"/>
        <w:bottom w:val="none" w:sz="0" w:space="0" w:color="auto"/>
        <w:right w:val="none" w:sz="0" w:space="0" w:color="auto"/>
      </w:divBdr>
    </w:div>
    <w:div w:id="1328945939">
      <w:bodyDiv w:val="1"/>
      <w:marLeft w:val="0"/>
      <w:marRight w:val="0"/>
      <w:marTop w:val="0"/>
      <w:marBottom w:val="0"/>
      <w:divBdr>
        <w:top w:val="none" w:sz="0" w:space="0" w:color="auto"/>
        <w:left w:val="none" w:sz="0" w:space="0" w:color="auto"/>
        <w:bottom w:val="none" w:sz="0" w:space="0" w:color="auto"/>
        <w:right w:val="none" w:sz="0" w:space="0" w:color="auto"/>
      </w:divBdr>
    </w:div>
    <w:div w:id="1329020761">
      <w:bodyDiv w:val="1"/>
      <w:marLeft w:val="0"/>
      <w:marRight w:val="0"/>
      <w:marTop w:val="0"/>
      <w:marBottom w:val="0"/>
      <w:divBdr>
        <w:top w:val="none" w:sz="0" w:space="0" w:color="auto"/>
        <w:left w:val="none" w:sz="0" w:space="0" w:color="auto"/>
        <w:bottom w:val="none" w:sz="0" w:space="0" w:color="auto"/>
        <w:right w:val="none" w:sz="0" w:space="0" w:color="auto"/>
      </w:divBdr>
    </w:div>
    <w:div w:id="1329089279">
      <w:bodyDiv w:val="1"/>
      <w:marLeft w:val="0"/>
      <w:marRight w:val="0"/>
      <w:marTop w:val="0"/>
      <w:marBottom w:val="0"/>
      <w:divBdr>
        <w:top w:val="none" w:sz="0" w:space="0" w:color="auto"/>
        <w:left w:val="none" w:sz="0" w:space="0" w:color="auto"/>
        <w:bottom w:val="none" w:sz="0" w:space="0" w:color="auto"/>
        <w:right w:val="none" w:sz="0" w:space="0" w:color="auto"/>
      </w:divBdr>
    </w:div>
    <w:div w:id="1329090985">
      <w:bodyDiv w:val="1"/>
      <w:marLeft w:val="0"/>
      <w:marRight w:val="0"/>
      <w:marTop w:val="0"/>
      <w:marBottom w:val="0"/>
      <w:divBdr>
        <w:top w:val="none" w:sz="0" w:space="0" w:color="auto"/>
        <w:left w:val="none" w:sz="0" w:space="0" w:color="auto"/>
        <w:bottom w:val="none" w:sz="0" w:space="0" w:color="auto"/>
        <w:right w:val="none" w:sz="0" w:space="0" w:color="auto"/>
      </w:divBdr>
    </w:div>
    <w:div w:id="1329165918">
      <w:bodyDiv w:val="1"/>
      <w:marLeft w:val="0"/>
      <w:marRight w:val="0"/>
      <w:marTop w:val="0"/>
      <w:marBottom w:val="0"/>
      <w:divBdr>
        <w:top w:val="none" w:sz="0" w:space="0" w:color="auto"/>
        <w:left w:val="none" w:sz="0" w:space="0" w:color="auto"/>
        <w:bottom w:val="none" w:sz="0" w:space="0" w:color="auto"/>
        <w:right w:val="none" w:sz="0" w:space="0" w:color="auto"/>
      </w:divBdr>
    </w:div>
    <w:div w:id="1329214154">
      <w:bodyDiv w:val="1"/>
      <w:marLeft w:val="0"/>
      <w:marRight w:val="0"/>
      <w:marTop w:val="0"/>
      <w:marBottom w:val="0"/>
      <w:divBdr>
        <w:top w:val="none" w:sz="0" w:space="0" w:color="auto"/>
        <w:left w:val="none" w:sz="0" w:space="0" w:color="auto"/>
        <w:bottom w:val="none" w:sz="0" w:space="0" w:color="auto"/>
        <w:right w:val="none" w:sz="0" w:space="0" w:color="auto"/>
      </w:divBdr>
    </w:div>
    <w:div w:id="1329291888">
      <w:bodyDiv w:val="1"/>
      <w:marLeft w:val="0"/>
      <w:marRight w:val="0"/>
      <w:marTop w:val="0"/>
      <w:marBottom w:val="0"/>
      <w:divBdr>
        <w:top w:val="none" w:sz="0" w:space="0" w:color="auto"/>
        <w:left w:val="none" w:sz="0" w:space="0" w:color="auto"/>
        <w:bottom w:val="none" w:sz="0" w:space="0" w:color="auto"/>
        <w:right w:val="none" w:sz="0" w:space="0" w:color="auto"/>
      </w:divBdr>
    </w:div>
    <w:div w:id="1329401958">
      <w:bodyDiv w:val="1"/>
      <w:marLeft w:val="0"/>
      <w:marRight w:val="0"/>
      <w:marTop w:val="0"/>
      <w:marBottom w:val="0"/>
      <w:divBdr>
        <w:top w:val="none" w:sz="0" w:space="0" w:color="auto"/>
        <w:left w:val="none" w:sz="0" w:space="0" w:color="auto"/>
        <w:bottom w:val="none" w:sz="0" w:space="0" w:color="auto"/>
        <w:right w:val="none" w:sz="0" w:space="0" w:color="auto"/>
      </w:divBdr>
    </w:div>
    <w:div w:id="1329406447">
      <w:bodyDiv w:val="1"/>
      <w:marLeft w:val="0"/>
      <w:marRight w:val="0"/>
      <w:marTop w:val="0"/>
      <w:marBottom w:val="0"/>
      <w:divBdr>
        <w:top w:val="none" w:sz="0" w:space="0" w:color="auto"/>
        <w:left w:val="none" w:sz="0" w:space="0" w:color="auto"/>
        <w:bottom w:val="none" w:sz="0" w:space="0" w:color="auto"/>
        <w:right w:val="none" w:sz="0" w:space="0" w:color="auto"/>
      </w:divBdr>
    </w:div>
    <w:div w:id="1329481138">
      <w:bodyDiv w:val="1"/>
      <w:marLeft w:val="0"/>
      <w:marRight w:val="0"/>
      <w:marTop w:val="0"/>
      <w:marBottom w:val="0"/>
      <w:divBdr>
        <w:top w:val="none" w:sz="0" w:space="0" w:color="auto"/>
        <w:left w:val="none" w:sz="0" w:space="0" w:color="auto"/>
        <w:bottom w:val="none" w:sz="0" w:space="0" w:color="auto"/>
        <w:right w:val="none" w:sz="0" w:space="0" w:color="auto"/>
      </w:divBdr>
    </w:div>
    <w:div w:id="1329482338">
      <w:bodyDiv w:val="1"/>
      <w:marLeft w:val="0"/>
      <w:marRight w:val="0"/>
      <w:marTop w:val="0"/>
      <w:marBottom w:val="0"/>
      <w:divBdr>
        <w:top w:val="none" w:sz="0" w:space="0" w:color="auto"/>
        <w:left w:val="none" w:sz="0" w:space="0" w:color="auto"/>
        <w:bottom w:val="none" w:sz="0" w:space="0" w:color="auto"/>
        <w:right w:val="none" w:sz="0" w:space="0" w:color="auto"/>
      </w:divBdr>
    </w:div>
    <w:div w:id="1329552141">
      <w:bodyDiv w:val="1"/>
      <w:marLeft w:val="0"/>
      <w:marRight w:val="0"/>
      <w:marTop w:val="0"/>
      <w:marBottom w:val="0"/>
      <w:divBdr>
        <w:top w:val="none" w:sz="0" w:space="0" w:color="auto"/>
        <w:left w:val="none" w:sz="0" w:space="0" w:color="auto"/>
        <w:bottom w:val="none" w:sz="0" w:space="0" w:color="auto"/>
        <w:right w:val="none" w:sz="0" w:space="0" w:color="auto"/>
      </w:divBdr>
    </w:div>
    <w:div w:id="1329552232">
      <w:bodyDiv w:val="1"/>
      <w:marLeft w:val="0"/>
      <w:marRight w:val="0"/>
      <w:marTop w:val="0"/>
      <w:marBottom w:val="0"/>
      <w:divBdr>
        <w:top w:val="none" w:sz="0" w:space="0" w:color="auto"/>
        <w:left w:val="none" w:sz="0" w:space="0" w:color="auto"/>
        <w:bottom w:val="none" w:sz="0" w:space="0" w:color="auto"/>
        <w:right w:val="none" w:sz="0" w:space="0" w:color="auto"/>
      </w:divBdr>
    </w:div>
    <w:div w:id="1329552869">
      <w:bodyDiv w:val="1"/>
      <w:marLeft w:val="0"/>
      <w:marRight w:val="0"/>
      <w:marTop w:val="0"/>
      <w:marBottom w:val="0"/>
      <w:divBdr>
        <w:top w:val="none" w:sz="0" w:space="0" w:color="auto"/>
        <w:left w:val="none" w:sz="0" w:space="0" w:color="auto"/>
        <w:bottom w:val="none" w:sz="0" w:space="0" w:color="auto"/>
        <w:right w:val="none" w:sz="0" w:space="0" w:color="auto"/>
      </w:divBdr>
    </w:div>
    <w:div w:id="1329553802">
      <w:bodyDiv w:val="1"/>
      <w:marLeft w:val="0"/>
      <w:marRight w:val="0"/>
      <w:marTop w:val="0"/>
      <w:marBottom w:val="0"/>
      <w:divBdr>
        <w:top w:val="none" w:sz="0" w:space="0" w:color="auto"/>
        <w:left w:val="none" w:sz="0" w:space="0" w:color="auto"/>
        <w:bottom w:val="none" w:sz="0" w:space="0" w:color="auto"/>
        <w:right w:val="none" w:sz="0" w:space="0" w:color="auto"/>
      </w:divBdr>
    </w:div>
    <w:div w:id="1329557335">
      <w:bodyDiv w:val="1"/>
      <w:marLeft w:val="0"/>
      <w:marRight w:val="0"/>
      <w:marTop w:val="0"/>
      <w:marBottom w:val="0"/>
      <w:divBdr>
        <w:top w:val="none" w:sz="0" w:space="0" w:color="auto"/>
        <w:left w:val="none" w:sz="0" w:space="0" w:color="auto"/>
        <w:bottom w:val="none" w:sz="0" w:space="0" w:color="auto"/>
        <w:right w:val="none" w:sz="0" w:space="0" w:color="auto"/>
      </w:divBdr>
    </w:div>
    <w:div w:id="1329626637">
      <w:bodyDiv w:val="1"/>
      <w:marLeft w:val="0"/>
      <w:marRight w:val="0"/>
      <w:marTop w:val="0"/>
      <w:marBottom w:val="0"/>
      <w:divBdr>
        <w:top w:val="none" w:sz="0" w:space="0" w:color="auto"/>
        <w:left w:val="none" w:sz="0" w:space="0" w:color="auto"/>
        <w:bottom w:val="none" w:sz="0" w:space="0" w:color="auto"/>
        <w:right w:val="none" w:sz="0" w:space="0" w:color="auto"/>
      </w:divBdr>
    </w:div>
    <w:div w:id="1329675387">
      <w:bodyDiv w:val="1"/>
      <w:marLeft w:val="0"/>
      <w:marRight w:val="0"/>
      <w:marTop w:val="0"/>
      <w:marBottom w:val="0"/>
      <w:divBdr>
        <w:top w:val="none" w:sz="0" w:space="0" w:color="auto"/>
        <w:left w:val="none" w:sz="0" w:space="0" w:color="auto"/>
        <w:bottom w:val="none" w:sz="0" w:space="0" w:color="auto"/>
        <w:right w:val="none" w:sz="0" w:space="0" w:color="auto"/>
      </w:divBdr>
    </w:div>
    <w:div w:id="1329675660">
      <w:bodyDiv w:val="1"/>
      <w:marLeft w:val="0"/>
      <w:marRight w:val="0"/>
      <w:marTop w:val="0"/>
      <w:marBottom w:val="0"/>
      <w:divBdr>
        <w:top w:val="none" w:sz="0" w:space="0" w:color="auto"/>
        <w:left w:val="none" w:sz="0" w:space="0" w:color="auto"/>
        <w:bottom w:val="none" w:sz="0" w:space="0" w:color="auto"/>
        <w:right w:val="none" w:sz="0" w:space="0" w:color="auto"/>
      </w:divBdr>
    </w:div>
    <w:div w:id="1329677403">
      <w:bodyDiv w:val="1"/>
      <w:marLeft w:val="0"/>
      <w:marRight w:val="0"/>
      <w:marTop w:val="0"/>
      <w:marBottom w:val="0"/>
      <w:divBdr>
        <w:top w:val="none" w:sz="0" w:space="0" w:color="auto"/>
        <w:left w:val="none" w:sz="0" w:space="0" w:color="auto"/>
        <w:bottom w:val="none" w:sz="0" w:space="0" w:color="auto"/>
        <w:right w:val="none" w:sz="0" w:space="0" w:color="auto"/>
      </w:divBdr>
    </w:div>
    <w:div w:id="1329751505">
      <w:bodyDiv w:val="1"/>
      <w:marLeft w:val="0"/>
      <w:marRight w:val="0"/>
      <w:marTop w:val="0"/>
      <w:marBottom w:val="0"/>
      <w:divBdr>
        <w:top w:val="none" w:sz="0" w:space="0" w:color="auto"/>
        <w:left w:val="none" w:sz="0" w:space="0" w:color="auto"/>
        <w:bottom w:val="none" w:sz="0" w:space="0" w:color="auto"/>
        <w:right w:val="none" w:sz="0" w:space="0" w:color="auto"/>
      </w:divBdr>
    </w:div>
    <w:div w:id="1329752410">
      <w:bodyDiv w:val="1"/>
      <w:marLeft w:val="0"/>
      <w:marRight w:val="0"/>
      <w:marTop w:val="0"/>
      <w:marBottom w:val="0"/>
      <w:divBdr>
        <w:top w:val="none" w:sz="0" w:space="0" w:color="auto"/>
        <w:left w:val="none" w:sz="0" w:space="0" w:color="auto"/>
        <w:bottom w:val="none" w:sz="0" w:space="0" w:color="auto"/>
        <w:right w:val="none" w:sz="0" w:space="0" w:color="auto"/>
      </w:divBdr>
    </w:div>
    <w:div w:id="1329863560">
      <w:bodyDiv w:val="1"/>
      <w:marLeft w:val="0"/>
      <w:marRight w:val="0"/>
      <w:marTop w:val="0"/>
      <w:marBottom w:val="0"/>
      <w:divBdr>
        <w:top w:val="none" w:sz="0" w:space="0" w:color="auto"/>
        <w:left w:val="none" w:sz="0" w:space="0" w:color="auto"/>
        <w:bottom w:val="none" w:sz="0" w:space="0" w:color="auto"/>
        <w:right w:val="none" w:sz="0" w:space="0" w:color="auto"/>
      </w:divBdr>
    </w:div>
    <w:div w:id="1329869969">
      <w:bodyDiv w:val="1"/>
      <w:marLeft w:val="0"/>
      <w:marRight w:val="0"/>
      <w:marTop w:val="0"/>
      <w:marBottom w:val="0"/>
      <w:divBdr>
        <w:top w:val="none" w:sz="0" w:space="0" w:color="auto"/>
        <w:left w:val="none" w:sz="0" w:space="0" w:color="auto"/>
        <w:bottom w:val="none" w:sz="0" w:space="0" w:color="auto"/>
        <w:right w:val="none" w:sz="0" w:space="0" w:color="auto"/>
      </w:divBdr>
    </w:div>
    <w:div w:id="1330132573">
      <w:bodyDiv w:val="1"/>
      <w:marLeft w:val="0"/>
      <w:marRight w:val="0"/>
      <w:marTop w:val="0"/>
      <w:marBottom w:val="0"/>
      <w:divBdr>
        <w:top w:val="none" w:sz="0" w:space="0" w:color="auto"/>
        <w:left w:val="none" w:sz="0" w:space="0" w:color="auto"/>
        <w:bottom w:val="none" w:sz="0" w:space="0" w:color="auto"/>
        <w:right w:val="none" w:sz="0" w:space="0" w:color="auto"/>
      </w:divBdr>
    </w:div>
    <w:div w:id="1330210259">
      <w:bodyDiv w:val="1"/>
      <w:marLeft w:val="0"/>
      <w:marRight w:val="0"/>
      <w:marTop w:val="0"/>
      <w:marBottom w:val="0"/>
      <w:divBdr>
        <w:top w:val="none" w:sz="0" w:space="0" w:color="auto"/>
        <w:left w:val="none" w:sz="0" w:space="0" w:color="auto"/>
        <w:bottom w:val="none" w:sz="0" w:space="0" w:color="auto"/>
        <w:right w:val="none" w:sz="0" w:space="0" w:color="auto"/>
      </w:divBdr>
    </w:div>
    <w:div w:id="1330253850">
      <w:bodyDiv w:val="1"/>
      <w:marLeft w:val="0"/>
      <w:marRight w:val="0"/>
      <w:marTop w:val="0"/>
      <w:marBottom w:val="0"/>
      <w:divBdr>
        <w:top w:val="none" w:sz="0" w:space="0" w:color="auto"/>
        <w:left w:val="none" w:sz="0" w:space="0" w:color="auto"/>
        <w:bottom w:val="none" w:sz="0" w:space="0" w:color="auto"/>
        <w:right w:val="none" w:sz="0" w:space="0" w:color="auto"/>
      </w:divBdr>
    </w:div>
    <w:div w:id="1330333005">
      <w:bodyDiv w:val="1"/>
      <w:marLeft w:val="0"/>
      <w:marRight w:val="0"/>
      <w:marTop w:val="0"/>
      <w:marBottom w:val="0"/>
      <w:divBdr>
        <w:top w:val="none" w:sz="0" w:space="0" w:color="auto"/>
        <w:left w:val="none" w:sz="0" w:space="0" w:color="auto"/>
        <w:bottom w:val="none" w:sz="0" w:space="0" w:color="auto"/>
        <w:right w:val="none" w:sz="0" w:space="0" w:color="auto"/>
      </w:divBdr>
    </w:div>
    <w:div w:id="1330593710">
      <w:bodyDiv w:val="1"/>
      <w:marLeft w:val="0"/>
      <w:marRight w:val="0"/>
      <w:marTop w:val="0"/>
      <w:marBottom w:val="0"/>
      <w:divBdr>
        <w:top w:val="none" w:sz="0" w:space="0" w:color="auto"/>
        <w:left w:val="none" w:sz="0" w:space="0" w:color="auto"/>
        <w:bottom w:val="none" w:sz="0" w:space="0" w:color="auto"/>
        <w:right w:val="none" w:sz="0" w:space="0" w:color="auto"/>
      </w:divBdr>
    </w:div>
    <w:div w:id="1330787035">
      <w:bodyDiv w:val="1"/>
      <w:marLeft w:val="0"/>
      <w:marRight w:val="0"/>
      <w:marTop w:val="0"/>
      <w:marBottom w:val="0"/>
      <w:divBdr>
        <w:top w:val="none" w:sz="0" w:space="0" w:color="auto"/>
        <w:left w:val="none" w:sz="0" w:space="0" w:color="auto"/>
        <w:bottom w:val="none" w:sz="0" w:space="0" w:color="auto"/>
        <w:right w:val="none" w:sz="0" w:space="0" w:color="auto"/>
      </w:divBdr>
    </w:div>
    <w:div w:id="1330795133">
      <w:bodyDiv w:val="1"/>
      <w:marLeft w:val="0"/>
      <w:marRight w:val="0"/>
      <w:marTop w:val="0"/>
      <w:marBottom w:val="0"/>
      <w:divBdr>
        <w:top w:val="none" w:sz="0" w:space="0" w:color="auto"/>
        <w:left w:val="none" w:sz="0" w:space="0" w:color="auto"/>
        <w:bottom w:val="none" w:sz="0" w:space="0" w:color="auto"/>
        <w:right w:val="none" w:sz="0" w:space="0" w:color="auto"/>
      </w:divBdr>
    </w:div>
    <w:div w:id="1330866027">
      <w:bodyDiv w:val="1"/>
      <w:marLeft w:val="0"/>
      <w:marRight w:val="0"/>
      <w:marTop w:val="0"/>
      <w:marBottom w:val="0"/>
      <w:divBdr>
        <w:top w:val="none" w:sz="0" w:space="0" w:color="auto"/>
        <w:left w:val="none" w:sz="0" w:space="0" w:color="auto"/>
        <w:bottom w:val="none" w:sz="0" w:space="0" w:color="auto"/>
        <w:right w:val="none" w:sz="0" w:space="0" w:color="auto"/>
      </w:divBdr>
    </w:div>
    <w:div w:id="1330868967">
      <w:bodyDiv w:val="1"/>
      <w:marLeft w:val="0"/>
      <w:marRight w:val="0"/>
      <w:marTop w:val="0"/>
      <w:marBottom w:val="0"/>
      <w:divBdr>
        <w:top w:val="none" w:sz="0" w:space="0" w:color="auto"/>
        <w:left w:val="none" w:sz="0" w:space="0" w:color="auto"/>
        <w:bottom w:val="none" w:sz="0" w:space="0" w:color="auto"/>
        <w:right w:val="none" w:sz="0" w:space="0" w:color="auto"/>
      </w:divBdr>
    </w:div>
    <w:div w:id="1330869632">
      <w:bodyDiv w:val="1"/>
      <w:marLeft w:val="0"/>
      <w:marRight w:val="0"/>
      <w:marTop w:val="0"/>
      <w:marBottom w:val="0"/>
      <w:divBdr>
        <w:top w:val="none" w:sz="0" w:space="0" w:color="auto"/>
        <w:left w:val="none" w:sz="0" w:space="0" w:color="auto"/>
        <w:bottom w:val="none" w:sz="0" w:space="0" w:color="auto"/>
        <w:right w:val="none" w:sz="0" w:space="0" w:color="auto"/>
      </w:divBdr>
    </w:div>
    <w:div w:id="1330982365">
      <w:bodyDiv w:val="1"/>
      <w:marLeft w:val="0"/>
      <w:marRight w:val="0"/>
      <w:marTop w:val="0"/>
      <w:marBottom w:val="0"/>
      <w:divBdr>
        <w:top w:val="none" w:sz="0" w:space="0" w:color="auto"/>
        <w:left w:val="none" w:sz="0" w:space="0" w:color="auto"/>
        <w:bottom w:val="none" w:sz="0" w:space="0" w:color="auto"/>
        <w:right w:val="none" w:sz="0" w:space="0" w:color="auto"/>
      </w:divBdr>
    </w:div>
    <w:div w:id="1331130782">
      <w:bodyDiv w:val="1"/>
      <w:marLeft w:val="0"/>
      <w:marRight w:val="0"/>
      <w:marTop w:val="0"/>
      <w:marBottom w:val="0"/>
      <w:divBdr>
        <w:top w:val="none" w:sz="0" w:space="0" w:color="auto"/>
        <w:left w:val="none" w:sz="0" w:space="0" w:color="auto"/>
        <w:bottom w:val="none" w:sz="0" w:space="0" w:color="auto"/>
        <w:right w:val="none" w:sz="0" w:space="0" w:color="auto"/>
      </w:divBdr>
    </w:div>
    <w:div w:id="1331175180">
      <w:bodyDiv w:val="1"/>
      <w:marLeft w:val="0"/>
      <w:marRight w:val="0"/>
      <w:marTop w:val="0"/>
      <w:marBottom w:val="0"/>
      <w:divBdr>
        <w:top w:val="none" w:sz="0" w:space="0" w:color="auto"/>
        <w:left w:val="none" w:sz="0" w:space="0" w:color="auto"/>
        <w:bottom w:val="none" w:sz="0" w:space="0" w:color="auto"/>
        <w:right w:val="none" w:sz="0" w:space="0" w:color="auto"/>
      </w:divBdr>
    </w:div>
    <w:div w:id="1331175854">
      <w:bodyDiv w:val="1"/>
      <w:marLeft w:val="0"/>
      <w:marRight w:val="0"/>
      <w:marTop w:val="0"/>
      <w:marBottom w:val="0"/>
      <w:divBdr>
        <w:top w:val="none" w:sz="0" w:space="0" w:color="auto"/>
        <w:left w:val="none" w:sz="0" w:space="0" w:color="auto"/>
        <w:bottom w:val="none" w:sz="0" w:space="0" w:color="auto"/>
        <w:right w:val="none" w:sz="0" w:space="0" w:color="auto"/>
      </w:divBdr>
    </w:div>
    <w:div w:id="1331248784">
      <w:bodyDiv w:val="1"/>
      <w:marLeft w:val="0"/>
      <w:marRight w:val="0"/>
      <w:marTop w:val="0"/>
      <w:marBottom w:val="0"/>
      <w:divBdr>
        <w:top w:val="none" w:sz="0" w:space="0" w:color="auto"/>
        <w:left w:val="none" w:sz="0" w:space="0" w:color="auto"/>
        <w:bottom w:val="none" w:sz="0" w:space="0" w:color="auto"/>
        <w:right w:val="none" w:sz="0" w:space="0" w:color="auto"/>
      </w:divBdr>
    </w:div>
    <w:div w:id="1331253694">
      <w:bodyDiv w:val="1"/>
      <w:marLeft w:val="0"/>
      <w:marRight w:val="0"/>
      <w:marTop w:val="0"/>
      <w:marBottom w:val="0"/>
      <w:divBdr>
        <w:top w:val="none" w:sz="0" w:space="0" w:color="auto"/>
        <w:left w:val="none" w:sz="0" w:space="0" w:color="auto"/>
        <w:bottom w:val="none" w:sz="0" w:space="0" w:color="auto"/>
        <w:right w:val="none" w:sz="0" w:space="0" w:color="auto"/>
      </w:divBdr>
    </w:div>
    <w:div w:id="1331518310">
      <w:bodyDiv w:val="1"/>
      <w:marLeft w:val="0"/>
      <w:marRight w:val="0"/>
      <w:marTop w:val="0"/>
      <w:marBottom w:val="0"/>
      <w:divBdr>
        <w:top w:val="none" w:sz="0" w:space="0" w:color="auto"/>
        <w:left w:val="none" w:sz="0" w:space="0" w:color="auto"/>
        <w:bottom w:val="none" w:sz="0" w:space="0" w:color="auto"/>
        <w:right w:val="none" w:sz="0" w:space="0" w:color="auto"/>
      </w:divBdr>
    </w:div>
    <w:div w:id="1331522963">
      <w:bodyDiv w:val="1"/>
      <w:marLeft w:val="0"/>
      <w:marRight w:val="0"/>
      <w:marTop w:val="0"/>
      <w:marBottom w:val="0"/>
      <w:divBdr>
        <w:top w:val="none" w:sz="0" w:space="0" w:color="auto"/>
        <w:left w:val="none" w:sz="0" w:space="0" w:color="auto"/>
        <w:bottom w:val="none" w:sz="0" w:space="0" w:color="auto"/>
        <w:right w:val="none" w:sz="0" w:space="0" w:color="auto"/>
      </w:divBdr>
    </w:div>
    <w:div w:id="1331714711">
      <w:bodyDiv w:val="1"/>
      <w:marLeft w:val="0"/>
      <w:marRight w:val="0"/>
      <w:marTop w:val="0"/>
      <w:marBottom w:val="0"/>
      <w:divBdr>
        <w:top w:val="none" w:sz="0" w:space="0" w:color="auto"/>
        <w:left w:val="none" w:sz="0" w:space="0" w:color="auto"/>
        <w:bottom w:val="none" w:sz="0" w:space="0" w:color="auto"/>
        <w:right w:val="none" w:sz="0" w:space="0" w:color="auto"/>
      </w:divBdr>
    </w:div>
    <w:div w:id="1331758761">
      <w:bodyDiv w:val="1"/>
      <w:marLeft w:val="0"/>
      <w:marRight w:val="0"/>
      <w:marTop w:val="0"/>
      <w:marBottom w:val="0"/>
      <w:divBdr>
        <w:top w:val="none" w:sz="0" w:space="0" w:color="auto"/>
        <w:left w:val="none" w:sz="0" w:space="0" w:color="auto"/>
        <w:bottom w:val="none" w:sz="0" w:space="0" w:color="auto"/>
        <w:right w:val="none" w:sz="0" w:space="0" w:color="auto"/>
      </w:divBdr>
    </w:div>
    <w:div w:id="1331904741">
      <w:bodyDiv w:val="1"/>
      <w:marLeft w:val="0"/>
      <w:marRight w:val="0"/>
      <w:marTop w:val="0"/>
      <w:marBottom w:val="0"/>
      <w:divBdr>
        <w:top w:val="none" w:sz="0" w:space="0" w:color="auto"/>
        <w:left w:val="none" w:sz="0" w:space="0" w:color="auto"/>
        <w:bottom w:val="none" w:sz="0" w:space="0" w:color="auto"/>
        <w:right w:val="none" w:sz="0" w:space="0" w:color="auto"/>
      </w:divBdr>
    </w:div>
    <w:div w:id="1331954330">
      <w:bodyDiv w:val="1"/>
      <w:marLeft w:val="0"/>
      <w:marRight w:val="0"/>
      <w:marTop w:val="0"/>
      <w:marBottom w:val="0"/>
      <w:divBdr>
        <w:top w:val="none" w:sz="0" w:space="0" w:color="auto"/>
        <w:left w:val="none" w:sz="0" w:space="0" w:color="auto"/>
        <w:bottom w:val="none" w:sz="0" w:space="0" w:color="auto"/>
        <w:right w:val="none" w:sz="0" w:space="0" w:color="auto"/>
      </w:divBdr>
    </w:div>
    <w:div w:id="1332022209">
      <w:bodyDiv w:val="1"/>
      <w:marLeft w:val="0"/>
      <w:marRight w:val="0"/>
      <w:marTop w:val="0"/>
      <w:marBottom w:val="0"/>
      <w:divBdr>
        <w:top w:val="none" w:sz="0" w:space="0" w:color="auto"/>
        <w:left w:val="none" w:sz="0" w:space="0" w:color="auto"/>
        <w:bottom w:val="none" w:sz="0" w:space="0" w:color="auto"/>
        <w:right w:val="none" w:sz="0" w:space="0" w:color="auto"/>
      </w:divBdr>
    </w:div>
    <w:div w:id="1332100065">
      <w:bodyDiv w:val="1"/>
      <w:marLeft w:val="0"/>
      <w:marRight w:val="0"/>
      <w:marTop w:val="0"/>
      <w:marBottom w:val="0"/>
      <w:divBdr>
        <w:top w:val="none" w:sz="0" w:space="0" w:color="auto"/>
        <w:left w:val="none" w:sz="0" w:space="0" w:color="auto"/>
        <w:bottom w:val="none" w:sz="0" w:space="0" w:color="auto"/>
        <w:right w:val="none" w:sz="0" w:space="0" w:color="auto"/>
      </w:divBdr>
    </w:div>
    <w:div w:id="1332103296">
      <w:bodyDiv w:val="1"/>
      <w:marLeft w:val="0"/>
      <w:marRight w:val="0"/>
      <w:marTop w:val="0"/>
      <w:marBottom w:val="0"/>
      <w:divBdr>
        <w:top w:val="none" w:sz="0" w:space="0" w:color="auto"/>
        <w:left w:val="none" w:sz="0" w:space="0" w:color="auto"/>
        <w:bottom w:val="none" w:sz="0" w:space="0" w:color="auto"/>
        <w:right w:val="none" w:sz="0" w:space="0" w:color="auto"/>
      </w:divBdr>
    </w:div>
    <w:div w:id="1332175980">
      <w:bodyDiv w:val="1"/>
      <w:marLeft w:val="0"/>
      <w:marRight w:val="0"/>
      <w:marTop w:val="0"/>
      <w:marBottom w:val="0"/>
      <w:divBdr>
        <w:top w:val="none" w:sz="0" w:space="0" w:color="auto"/>
        <w:left w:val="none" w:sz="0" w:space="0" w:color="auto"/>
        <w:bottom w:val="none" w:sz="0" w:space="0" w:color="auto"/>
        <w:right w:val="none" w:sz="0" w:space="0" w:color="auto"/>
      </w:divBdr>
    </w:div>
    <w:div w:id="1332178820">
      <w:bodyDiv w:val="1"/>
      <w:marLeft w:val="0"/>
      <w:marRight w:val="0"/>
      <w:marTop w:val="0"/>
      <w:marBottom w:val="0"/>
      <w:divBdr>
        <w:top w:val="none" w:sz="0" w:space="0" w:color="auto"/>
        <w:left w:val="none" w:sz="0" w:space="0" w:color="auto"/>
        <w:bottom w:val="none" w:sz="0" w:space="0" w:color="auto"/>
        <w:right w:val="none" w:sz="0" w:space="0" w:color="auto"/>
      </w:divBdr>
    </w:div>
    <w:div w:id="1332222331">
      <w:bodyDiv w:val="1"/>
      <w:marLeft w:val="0"/>
      <w:marRight w:val="0"/>
      <w:marTop w:val="0"/>
      <w:marBottom w:val="0"/>
      <w:divBdr>
        <w:top w:val="none" w:sz="0" w:space="0" w:color="auto"/>
        <w:left w:val="none" w:sz="0" w:space="0" w:color="auto"/>
        <w:bottom w:val="none" w:sz="0" w:space="0" w:color="auto"/>
        <w:right w:val="none" w:sz="0" w:space="0" w:color="auto"/>
      </w:divBdr>
    </w:div>
    <w:div w:id="1332367094">
      <w:bodyDiv w:val="1"/>
      <w:marLeft w:val="0"/>
      <w:marRight w:val="0"/>
      <w:marTop w:val="0"/>
      <w:marBottom w:val="0"/>
      <w:divBdr>
        <w:top w:val="none" w:sz="0" w:space="0" w:color="auto"/>
        <w:left w:val="none" w:sz="0" w:space="0" w:color="auto"/>
        <w:bottom w:val="none" w:sz="0" w:space="0" w:color="auto"/>
        <w:right w:val="none" w:sz="0" w:space="0" w:color="auto"/>
      </w:divBdr>
    </w:div>
    <w:div w:id="1332367100">
      <w:bodyDiv w:val="1"/>
      <w:marLeft w:val="0"/>
      <w:marRight w:val="0"/>
      <w:marTop w:val="0"/>
      <w:marBottom w:val="0"/>
      <w:divBdr>
        <w:top w:val="none" w:sz="0" w:space="0" w:color="auto"/>
        <w:left w:val="none" w:sz="0" w:space="0" w:color="auto"/>
        <w:bottom w:val="none" w:sz="0" w:space="0" w:color="auto"/>
        <w:right w:val="none" w:sz="0" w:space="0" w:color="auto"/>
      </w:divBdr>
    </w:div>
    <w:div w:id="1332443256">
      <w:bodyDiv w:val="1"/>
      <w:marLeft w:val="0"/>
      <w:marRight w:val="0"/>
      <w:marTop w:val="0"/>
      <w:marBottom w:val="0"/>
      <w:divBdr>
        <w:top w:val="none" w:sz="0" w:space="0" w:color="auto"/>
        <w:left w:val="none" w:sz="0" w:space="0" w:color="auto"/>
        <w:bottom w:val="none" w:sz="0" w:space="0" w:color="auto"/>
        <w:right w:val="none" w:sz="0" w:space="0" w:color="auto"/>
      </w:divBdr>
    </w:div>
    <w:div w:id="1332488195">
      <w:bodyDiv w:val="1"/>
      <w:marLeft w:val="0"/>
      <w:marRight w:val="0"/>
      <w:marTop w:val="0"/>
      <w:marBottom w:val="0"/>
      <w:divBdr>
        <w:top w:val="none" w:sz="0" w:space="0" w:color="auto"/>
        <w:left w:val="none" w:sz="0" w:space="0" w:color="auto"/>
        <w:bottom w:val="none" w:sz="0" w:space="0" w:color="auto"/>
        <w:right w:val="none" w:sz="0" w:space="0" w:color="auto"/>
      </w:divBdr>
    </w:div>
    <w:div w:id="1332560094">
      <w:bodyDiv w:val="1"/>
      <w:marLeft w:val="0"/>
      <w:marRight w:val="0"/>
      <w:marTop w:val="0"/>
      <w:marBottom w:val="0"/>
      <w:divBdr>
        <w:top w:val="none" w:sz="0" w:space="0" w:color="auto"/>
        <w:left w:val="none" w:sz="0" w:space="0" w:color="auto"/>
        <w:bottom w:val="none" w:sz="0" w:space="0" w:color="auto"/>
        <w:right w:val="none" w:sz="0" w:space="0" w:color="auto"/>
      </w:divBdr>
    </w:div>
    <w:div w:id="1332567629">
      <w:bodyDiv w:val="1"/>
      <w:marLeft w:val="0"/>
      <w:marRight w:val="0"/>
      <w:marTop w:val="0"/>
      <w:marBottom w:val="0"/>
      <w:divBdr>
        <w:top w:val="none" w:sz="0" w:space="0" w:color="auto"/>
        <w:left w:val="none" w:sz="0" w:space="0" w:color="auto"/>
        <w:bottom w:val="none" w:sz="0" w:space="0" w:color="auto"/>
        <w:right w:val="none" w:sz="0" w:space="0" w:color="auto"/>
      </w:divBdr>
    </w:div>
    <w:div w:id="1332678529">
      <w:bodyDiv w:val="1"/>
      <w:marLeft w:val="0"/>
      <w:marRight w:val="0"/>
      <w:marTop w:val="0"/>
      <w:marBottom w:val="0"/>
      <w:divBdr>
        <w:top w:val="none" w:sz="0" w:space="0" w:color="auto"/>
        <w:left w:val="none" w:sz="0" w:space="0" w:color="auto"/>
        <w:bottom w:val="none" w:sz="0" w:space="0" w:color="auto"/>
        <w:right w:val="none" w:sz="0" w:space="0" w:color="auto"/>
      </w:divBdr>
    </w:div>
    <w:div w:id="1332681005">
      <w:bodyDiv w:val="1"/>
      <w:marLeft w:val="0"/>
      <w:marRight w:val="0"/>
      <w:marTop w:val="0"/>
      <w:marBottom w:val="0"/>
      <w:divBdr>
        <w:top w:val="none" w:sz="0" w:space="0" w:color="auto"/>
        <w:left w:val="none" w:sz="0" w:space="0" w:color="auto"/>
        <w:bottom w:val="none" w:sz="0" w:space="0" w:color="auto"/>
        <w:right w:val="none" w:sz="0" w:space="0" w:color="auto"/>
      </w:divBdr>
    </w:div>
    <w:div w:id="1332827738">
      <w:bodyDiv w:val="1"/>
      <w:marLeft w:val="0"/>
      <w:marRight w:val="0"/>
      <w:marTop w:val="0"/>
      <w:marBottom w:val="0"/>
      <w:divBdr>
        <w:top w:val="none" w:sz="0" w:space="0" w:color="auto"/>
        <w:left w:val="none" w:sz="0" w:space="0" w:color="auto"/>
        <w:bottom w:val="none" w:sz="0" w:space="0" w:color="auto"/>
        <w:right w:val="none" w:sz="0" w:space="0" w:color="auto"/>
      </w:divBdr>
    </w:div>
    <w:div w:id="1332831941">
      <w:bodyDiv w:val="1"/>
      <w:marLeft w:val="0"/>
      <w:marRight w:val="0"/>
      <w:marTop w:val="0"/>
      <w:marBottom w:val="0"/>
      <w:divBdr>
        <w:top w:val="none" w:sz="0" w:space="0" w:color="auto"/>
        <w:left w:val="none" w:sz="0" w:space="0" w:color="auto"/>
        <w:bottom w:val="none" w:sz="0" w:space="0" w:color="auto"/>
        <w:right w:val="none" w:sz="0" w:space="0" w:color="auto"/>
      </w:divBdr>
    </w:div>
    <w:div w:id="1332875922">
      <w:bodyDiv w:val="1"/>
      <w:marLeft w:val="0"/>
      <w:marRight w:val="0"/>
      <w:marTop w:val="0"/>
      <w:marBottom w:val="0"/>
      <w:divBdr>
        <w:top w:val="none" w:sz="0" w:space="0" w:color="auto"/>
        <w:left w:val="none" w:sz="0" w:space="0" w:color="auto"/>
        <w:bottom w:val="none" w:sz="0" w:space="0" w:color="auto"/>
        <w:right w:val="none" w:sz="0" w:space="0" w:color="auto"/>
      </w:divBdr>
    </w:div>
    <w:div w:id="1332947968">
      <w:bodyDiv w:val="1"/>
      <w:marLeft w:val="0"/>
      <w:marRight w:val="0"/>
      <w:marTop w:val="0"/>
      <w:marBottom w:val="0"/>
      <w:divBdr>
        <w:top w:val="none" w:sz="0" w:space="0" w:color="auto"/>
        <w:left w:val="none" w:sz="0" w:space="0" w:color="auto"/>
        <w:bottom w:val="none" w:sz="0" w:space="0" w:color="auto"/>
        <w:right w:val="none" w:sz="0" w:space="0" w:color="auto"/>
      </w:divBdr>
    </w:div>
    <w:div w:id="1333022291">
      <w:bodyDiv w:val="1"/>
      <w:marLeft w:val="0"/>
      <w:marRight w:val="0"/>
      <w:marTop w:val="0"/>
      <w:marBottom w:val="0"/>
      <w:divBdr>
        <w:top w:val="none" w:sz="0" w:space="0" w:color="auto"/>
        <w:left w:val="none" w:sz="0" w:space="0" w:color="auto"/>
        <w:bottom w:val="none" w:sz="0" w:space="0" w:color="auto"/>
        <w:right w:val="none" w:sz="0" w:space="0" w:color="auto"/>
      </w:divBdr>
    </w:div>
    <w:div w:id="1333026784">
      <w:bodyDiv w:val="1"/>
      <w:marLeft w:val="0"/>
      <w:marRight w:val="0"/>
      <w:marTop w:val="0"/>
      <w:marBottom w:val="0"/>
      <w:divBdr>
        <w:top w:val="none" w:sz="0" w:space="0" w:color="auto"/>
        <w:left w:val="none" w:sz="0" w:space="0" w:color="auto"/>
        <w:bottom w:val="none" w:sz="0" w:space="0" w:color="auto"/>
        <w:right w:val="none" w:sz="0" w:space="0" w:color="auto"/>
      </w:divBdr>
    </w:div>
    <w:div w:id="1333068351">
      <w:bodyDiv w:val="1"/>
      <w:marLeft w:val="0"/>
      <w:marRight w:val="0"/>
      <w:marTop w:val="0"/>
      <w:marBottom w:val="0"/>
      <w:divBdr>
        <w:top w:val="none" w:sz="0" w:space="0" w:color="auto"/>
        <w:left w:val="none" w:sz="0" w:space="0" w:color="auto"/>
        <w:bottom w:val="none" w:sz="0" w:space="0" w:color="auto"/>
        <w:right w:val="none" w:sz="0" w:space="0" w:color="auto"/>
      </w:divBdr>
    </w:div>
    <w:div w:id="1333100014">
      <w:bodyDiv w:val="1"/>
      <w:marLeft w:val="0"/>
      <w:marRight w:val="0"/>
      <w:marTop w:val="0"/>
      <w:marBottom w:val="0"/>
      <w:divBdr>
        <w:top w:val="none" w:sz="0" w:space="0" w:color="auto"/>
        <w:left w:val="none" w:sz="0" w:space="0" w:color="auto"/>
        <w:bottom w:val="none" w:sz="0" w:space="0" w:color="auto"/>
        <w:right w:val="none" w:sz="0" w:space="0" w:color="auto"/>
      </w:divBdr>
    </w:div>
    <w:div w:id="1333140925">
      <w:bodyDiv w:val="1"/>
      <w:marLeft w:val="0"/>
      <w:marRight w:val="0"/>
      <w:marTop w:val="0"/>
      <w:marBottom w:val="0"/>
      <w:divBdr>
        <w:top w:val="none" w:sz="0" w:space="0" w:color="auto"/>
        <w:left w:val="none" w:sz="0" w:space="0" w:color="auto"/>
        <w:bottom w:val="none" w:sz="0" w:space="0" w:color="auto"/>
        <w:right w:val="none" w:sz="0" w:space="0" w:color="auto"/>
      </w:divBdr>
    </w:div>
    <w:div w:id="1333216841">
      <w:bodyDiv w:val="1"/>
      <w:marLeft w:val="0"/>
      <w:marRight w:val="0"/>
      <w:marTop w:val="0"/>
      <w:marBottom w:val="0"/>
      <w:divBdr>
        <w:top w:val="none" w:sz="0" w:space="0" w:color="auto"/>
        <w:left w:val="none" w:sz="0" w:space="0" w:color="auto"/>
        <w:bottom w:val="none" w:sz="0" w:space="0" w:color="auto"/>
        <w:right w:val="none" w:sz="0" w:space="0" w:color="auto"/>
      </w:divBdr>
    </w:div>
    <w:div w:id="1333333826">
      <w:bodyDiv w:val="1"/>
      <w:marLeft w:val="0"/>
      <w:marRight w:val="0"/>
      <w:marTop w:val="0"/>
      <w:marBottom w:val="0"/>
      <w:divBdr>
        <w:top w:val="none" w:sz="0" w:space="0" w:color="auto"/>
        <w:left w:val="none" w:sz="0" w:space="0" w:color="auto"/>
        <w:bottom w:val="none" w:sz="0" w:space="0" w:color="auto"/>
        <w:right w:val="none" w:sz="0" w:space="0" w:color="auto"/>
      </w:divBdr>
    </w:div>
    <w:div w:id="1333339555">
      <w:bodyDiv w:val="1"/>
      <w:marLeft w:val="0"/>
      <w:marRight w:val="0"/>
      <w:marTop w:val="0"/>
      <w:marBottom w:val="0"/>
      <w:divBdr>
        <w:top w:val="none" w:sz="0" w:space="0" w:color="auto"/>
        <w:left w:val="none" w:sz="0" w:space="0" w:color="auto"/>
        <w:bottom w:val="none" w:sz="0" w:space="0" w:color="auto"/>
        <w:right w:val="none" w:sz="0" w:space="0" w:color="auto"/>
      </w:divBdr>
    </w:div>
    <w:div w:id="1333415821">
      <w:bodyDiv w:val="1"/>
      <w:marLeft w:val="0"/>
      <w:marRight w:val="0"/>
      <w:marTop w:val="0"/>
      <w:marBottom w:val="0"/>
      <w:divBdr>
        <w:top w:val="none" w:sz="0" w:space="0" w:color="auto"/>
        <w:left w:val="none" w:sz="0" w:space="0" w:color="auto"/>
        <w:bottom w:val="none" w:sz="0" w:space="0" w:color="auto"/>
        <w:right w:val="none" w:sz="0" w:space="0" w:color="auto"/>
      </w:divBdr>
    </w:div>
    <w:div w:id="1333490931">
      <w:bodyDiv w:val="1"/>
      <w:marLeft w:val="0"/>
      <w:marRight w:val="0"/>
      <w:marTop w:val="0"/>
      <w:marBottom w:val="0"/>
      <w:divBdr>
        <w:top w:val="none" w:sz="0" w:space="0" w:color="auto"/>
        <w:left w:val="none" w:sz="0" w:space="0" w:color="auto"/>
        <w:bottom w:val="none" w:sz="0" w:space="0" w:color="auto"/>
        <w:right w:val="none" w:sz="0" w:space="0" w:color="auto"/>
      </w:divBdr>
    </w:div>
    <w:div w:id="1333602605">
      <w:bodyDiv w:val="1"/>
      <w:marLeft w:val="0"/>
      <w:marRight w:val="0"/>
      <w:marTop w:val="0"/>
      <w:marBottom w:val="0"/>
      <w:divBdr>
        <w:top w:val="none" w:sz="0" w:space="0" w:color="auto"/>
        <w:left w:val="none" w:sz="0" w:space="0" w:color="auto"/>
        <w:bottom w:val="none" w:sz="0" w:space="0" w:color="auto"/>
        <w:right w:val="none" w:sz="0" w:space="0" w:color="auto"/>
      </w:divBdr>
    </w:div>
    <w:div w:id="1333755199">
      <w:bodyDiv w:val="1"/>
      <w:marLeft w:val="0"/>
      <w:marRight w:val="0"/>
      <w:marTop w:val="0"/>
      <w:marBottom w:val="0"/>
      <w:divBdr>
        <w:top w:val="none" w:sz="0" w:space="0" w:color="auto"/>
        <w:left w:val="none" w:sz="0" w:space="0" w:color="auto"/>
        <w:bottom w:val="none" w:sz="0" w:space="0" w:color="auto"/>
        <w:right w:val="none" w:sz="0" w:space="0" w:color="auto"/>
      </w:divBdr>
    </w:div>
    <w:div w:id="1333872090">
      <w:bodyDiv w:val="1"/>
      <w:marLeft w:val="0"/>
      <w:marRight w:val="0"/>
      <w:marTop w:val="0"/>
      <w:marBottom w:val="0"/>
      <w:divBdr>
        <w:top w:val="none" w:sz="0" w:space="0" w:color="auto"/>
        <w:left w:val="none" w:sz="0" w:space="0" w:color="auto"/>
        <w:bottom w:val="none" w:sz="0" w:space="0" w:color="auto"/>
        <w:right w:val="none" w:sz="0" w:space="0" w:color="auto"/>
      </w:divBdr>
    </w:div>
    <w:div w:id="1333872154">
      <w:bodyDiv w:val="1"/>
      <w:marLeft w:val="0"/>
      <w:marRight w:val="0"/>
      <w:marTop w:val="0"/>
      <w:marBottom w:val="0"/>
      <w:divBdr>
        <w:top w:val="none" w:sz="0" w:space="0" w:color="auto"/>
        <w:left w:val="none" w:sz="0" w:space="0" w:color="auto"/>
        <w:bottom w:val="none" w:sz="0" w:space="0" w:color="auto"/>
        <w:right w:val="none" w:sz="0" w:space="0" w:color="auto"/>
      </w:divBdr>
    </w:div>
    <w:div w:id="1333878969">
      <w:bodyDiv w:val="1"/>
      <w:marLeft w:val="0"/>
      <w:marRight w:val="0"/>
      <w:marTop w:val="0"/>
      <w:marBottom w:val="0"/>
      <w:divBdr>
        <w:top w:val="none" w:sz="0" w:space="0" w:color="auto"/>
        <w:left w:val="none" w:sz="0" w:space="0" w:color="auto"/>
        <w:bottom w:val="none" w:sz="0" w:space="0" w:color="auto"/>
        <w:right w:val="none" w:sz="0" w:space="0" w:color="auto"/>
      </w:divBdr>
    </w:div>
    <w:div w:id="1333946937">
      <w:bodyDiv w:val="1"/>
      <w:marLeft w:val="0"/>
      <w:marRight w:val="0"/>
      <w:marTop w:val="0"/>
      <w:marBottom w:val="0"/>
      <w:divBdr>
        <w:top w:val="none" w:sz="0" w:space="0" w:color="auto"/>
        <w:left w:val="none" w:sz="0" w:space="0" w:color="auto"/>
        <w:bottom w:val="none" w:sz="0" w:space="0" w:color="auto"/>
        <w:right w:val="none" w:sz="0" w:space="0" w:color="auto"/>
      </w:divBdr>
    </w:div>
    <w:div w:id="1333991994">
      <w:bodyDiv w:val="1"/>
      <w:marLeft w:val="0"/>
      <w:marRight w:val="0"/>
      <w:marTop w:val="0"/>
      <w:marBottom w:val="0"/>
      <w:divBdr>
        <w:top w:val="none" w:sz="0" w:space="0" w:color="auto"/>
        <w:left w:val="none" w:sz="0" w:space="0" w:color="auto"/>
        <w:bottom w:val="none" w:sz="0" w:space="0" w:color="auto"/>
        <w:right w:val="none" w:sz="0" w:space="0" w:color="auto"/>
      </w:divBdr>
    </w:div>
    <w:div w:id="1334063299">
      <w:bodyDiv w:val="1"/>
      <w:marLeft w:val="0"/>
      <w:marRight w:val="0"/>
      <w:marTop w:val="0"/>
      <w:marBottom w:val="0"/>
      <w:divBdr>
        <w:top w:val="none" w:sz="0" w:space="0" w:color="auto"/>
        <w:left w:val="none" w:sz="0" w:space="0" w:color="auto"/>
        <w:bottom w:val="none" w:sz="0" w:space="0" w:color="auto"/>
        <w:right w:val="none" w:sz="0" w:space="0" w:color="auto"/>
      </w:divBdr>
    </w:div>
    <w:div w:id="1334066296">
      <w:bodyDiv w:val="1"/>
      <w:marLeft w:val="0"/>
      <w:marRight w:val="0"/>
      <w:marTop w:val="0"/>
      <w:marBottom w:val="0"/>
      <w:divBdr>
        <w:top w:val="none" w:sz="0" w:space="0" w:color="auto"/>
        <w:left w:val="none" w:sz="0" w:space="0" w:color="auto"/>
        <w:bottom w:val="none" w:sz="0" w:space="0" w:color="auto"/>
        <w:right w:val="none" w:sz="0" w:space="0" w:color="auto"/>
      </w:divBdr>
    </w:div>
    <w:div w:id="1334068002">
      <w:bodyDiv w:val="1"/>
      <w:marLeft w:val="0"/>
      <w:marRight w:val="0"/>
      <w:marTop w:val="0"/>
      <w:marBottom w:val="0"/>
      <w:divBdr>
        <w:top w:val="none" w:sz="0" w:space="0" w:color="auto"/>
        <w:left w:val="none" w:sz="0" w:space="0" w:color="auto"/>
        <w:bottom w:val="none" w:sz="0" w:space="0" w:color="auto"/>
        <w:right w:val="none" w:sz="0" w:space="0" w:color="auto"/>
      </w:divBdr>
    </w:div>
    <w:div w:id="1334147069">
      <w:bodyDiv w:val="1"/>
      <w:marLeft w:val="0"/>
      <w:marRight w:val="0"/>
      <w:marTop w:val="0"/>
      <w:marBottom w:val="0"/>
      <w:divBdr>
        <w:top w:val="none" w:sz="0" w:space="0" w:color="auto"/>
        <w:left w:val="none" w:sz="0" w:space="0" w:color="auto"/>
        <w:bottom w:val="none" w:sz="0" w:space="0" w:color="auto"/>
        <w:right w:val="none" w:sz="0" w:space="0" w:color="auto"/>
      </w:divBdr>
    </w:div>
    <w:div w:id="1334186518">
      <w:bodyDiv w:val="1"/>
      <w:marLeft w:val="0"/>
      <w:marRight w:val="0"/>
      <w:marTop w:val="0"/>
      <w:marBottom w:val="0"/>
      <w:divBdr>
        <w:top w:val="none" w:sz="0" w:space="0" w:color="auto"/>
        <w:left w:val="none" w:sz="0" w:space="0" w:color="auto"/>
        <w:bottom w:val="none" w:sz="0" w:space="0" w:color="auto"/>
        <w:right w:val="none" w:sz="0" w:space="0" w:color="auto"/>
      </w:divBdr>
    </w:div>
    <w:div w:id="1334189413">
      <w:bodyDiv w:val="1"/>
      <w:marLeft w:val="0"/>
      <w:marRight w:val="0"/>
      <w:marTop w:val="0"/>
      <w:marBottom w:val="0"/>
      <w:divBdr>
        <w:top w:val="none" w:sz="0" w:space="0" w:color="auto"/>
        <w:left w:val="none" w:sz="0" w:space="0" w:color="auto"/>
        <w:bottom w:val="none" w:sz="0" w:space="0" w:color="auto"/>
        <w:right w:val="none" w:sz="0" w:space="0" w:color="auto"/>
      </w:divBdr>
    </w:div>
    <w:div w:id="1334256410">
      <w:bodyDiv w:val="1"/>
      <w:marLeft w:val="0"/>
      <w:marRight w:val="0"/>
      <w:marTop w:val="0"/>
      <w:marBottom w:val="0"/>
      <w:divBdr>
        <w:top w:val="none" w:sz="0" w:space="0" w:color="auto"/>
        <w:left w:val="none" w:sz="0" w:space="0" w:color="auto"/>
        <w:bottom w:val="none" w:sz="0" w:space="0" w:color="auto"/>
        <w:right w:val="none" w:sz="0" w:space="0" w:color="auto"/>
      </w:divBdr>
    </w:div>
    <w:div w:id="1334383287">
      <w:bodyDiv w:val="1"/>
      <w:marLeft w:val="0"/>
      <w:marRight w:val="0"/>
      <w:marTop w:val="0"/>
      <w:marBottom w:val="0"/>
      <w:divBdr>
        <w:top w:val="none" w:sz="0" w:space="0" w:color="auto"/>
        <w:left w:val="none" w:sz="0" w:space="0" w:color="auto"/>
        <w:bottom w:val="none" w:sz="0" w:space="0" w:color="auto"/>
        <w:right w:val="none" w:sz="0" w:space="0" w:color="auto"/>
      </w:divBdr>
    </w:div>
    <w:div w:id="1334575893">
      <w:bodyDiv w:val="1"/>
      <w:marLeft w:val="0"/>
      <w:marRight w:val="0"/>
      <w:marTop w:val="0"/>
      <w:marBottom w:val="0"/>
      <w:divBdr>
        <w:top w:val="none" w:sz="0" w:space="0" w:color="auto"/>
        <w:left w:val="none" w:sz="0" w:space="0" w:color="auto"/>
        <w:bottom w:val="none" w:sz="0" w:space="0" w:color="auto"/>
        <w:right w:val="none" w:sz="0" w:space="0" w:color="auto"/>
      </w:divBdr>
    </w:div>
    <w:div w:id="1334642553">
      <w:bodyDiv w:val="1"/>
      <w:marLeft w:val="0"/>
      <w:marRight w:val="0"/>
      <w:marTop w:val="0"/>
      <w:marBottom w:val="0"/>
      <w:divBdr>
        <w:top w:val="none" w:sz="0" w:space="0" w:color="auto"/>
        <w:left w:val="none" w:sz="0" w:space="0" w:color="auto"/>
        <w:bottom w:val="none" w:sz="0" w:space="0" w:color="auto"/>
        <w:right w:val="none" w:sz="0" w:space="0" w:color="auto"/>
      </w:divBdr>
    </w:div>
    <w:div w:id="1334650315">
      <w:bodyDiv w:val="1"/>
      <w:marLeft w:val="0"/>
      <w:marRight w:val="0"/>
      <w:marTop w:val="0"/>
      <w:marBottom w:val="0"/>
      <w:divBdr>
        <w:top w:val="none" w:sz="0" w:space="0" w:color="auto"/>
        <w:left w:val="none" w:sz="0" w:space="0" w:color="auto"/>
        <w:bottom w:val="none" w:sz="0" w:space="0" w:color="auto"/>
        <w:right w:val="none" w:sz="0" w:space="0" w:color="auto"/>
      </w:divBdr>
    </w:div>
    <w:div w:id="1334651683">
      <w:bodyDiv w:val="1"/>
      <w:marLeft w:val="0"/>
      <w:marRight w:val="0"/>
      <w:marTop w:val="0"/>
      <w:marBottom w:val="0"/>
      <w:divBdr>
        <w:top w:val="none" w:sz="0" w:space="0" w:color="auto"/>
        <w:left w:val="none" w:sz="0" w:space="0" w:color="auto"/>
        <w:bottom w:val="none" w:sz="0" w:space="0" w:color="auto"/>
        <w:right w:val="none" w:sz="0" w:space="0" w:color="auto"/>
      </w:divBdr>
    </w:div>
    <w:div w:id="1334721322">
      <w:bodyDiv w:val="1"/>
      <w:marLeft w:val="0"/>
      <w:marRight w:val="0"/>
      <w:marTop w:val="0"/>
      <w:marBottom w:val="0"/>
      <w:divBdr>
        <w:top w:val="none" w:sz="0" w:space="0" w:color="auto"/>
        <w:left w:val="none" w:sz="0" w:space="0" w:color="auto"/>
        <w:bottom w:val="none" w:sz="0" w:space="0" w:color="auto"/>
        <w:right w:val="none" w:sz="0" w:space="0" w:color="auto"/>
      </w:divBdr>
    </w:div>
    <w:div w:id="1334801488">
      <w:bodyDiv w:val="1"/>
      <w:marLeft w:val="0"/>
      <w:marRight w:val="0"/>
      <w:marTop w:val="0"/>
      <w:marBottom w:val="0"/>
      <w:divBdr>
        <w:top w:val="none" w:sz="0" w:space="0" w:color="auto"/>
        <w:left w:val="none" w:sz="0" w:space="0" w:color="auto"/>
        <w:bottom w:val="none" w:sz="0" w:space="0" w:color="auto"/>
        <w:right w:val="none" w:sz="0" w:space="0" w:color="auto"/>
      </w:divBdr>
    </w:div>
    <w:div w:id="1334869123">
      <w:bodyDiv w:val="1"/>
      <w:marLeft w:val="0"/>
      <w:marRight w:val="0"/>
      <w:marTop w:val="0"/>
      <w:marBottom w:val="0"/>
      <w:divBdr>
        <w:top w:val="none" w:sz="0" w:space="0" w:color="auto"/>
        <w:left w:val="none" w:sz="0" w:space="0" w:color="auto"/>
        <w:bottom w:val="none" w:sz="0" w:space="0" w:color="auto"/>
        <w:right w:val="none" w:sz="0" w:space="0" w:color="auto"/>
      </w:divBdr>
    </w:div>
    <w:div w:id="1334917873">
      <w:bodyDiv w:val="1"/>
      <w:marLeft w:val="0"/>
      <w:marRight w:val="0"/>
      <w:marTop w:val="0"/>
      <w:marBottom w:val="0"/>
      <w:divBdr>
        <w:top w:val="none" w:sz="0" w:space="0" w:color="auto"/>
        <w:left w:val="none" w:sz="0" w:space="0" w:color="auto"/>
        <w:bottom w:val="none" w:sz="0" w:space="0" w:color="auto"/>
        <w:right w:val="none" w:sz="0" w:space="0" w:color="auto"/>
      </w:divBdr>
    </w:div>
    <w:div w:id="1334919274">
      <w:bodyDiv w:val="1"/>
      <w:marLeft w:val="0"/>
      <w:marRight w:val="0"/>
      <w:marTop w:val="0"/>
      <w:marBottom w:val="0"/>
      <w:divBdr>
        <w:top w:val="none" w:sz="0" w:space="0" w:color="auto"/>
        <w:left w:val="none" w:sz="0" w:space="0" w:color="auto"/>
        <w:bottom w:val="none" w:sz="0" w:space="0" w:color="auto"/>
        <w:right w:val="none" w:sz="0" w:space="0" w:color="auto"/>
      </w:divBdr>
    </w:div>
    <w:div w:id="1334995019">
      <w:bodyDiv w:val="1"/>
      <w:marLeft w:val="0"/>
      <w:marRight w:val="0"/>
      <w:marTop w:val="0"/>
      <w:marBottom w:val="0"/>
      <w:divBdr>
        <w:top w:val="none" w:sz="0" w:space="0" w:color="auto"/>
        <w:left w:val="none" w:sz="0" w:space="0" w:color="auto"/>
        <w:bottom w:val="none" w:sz="0" w:space="0" w:color="auto"/>
        <w:right w:val="none" w:sz="0" w:space="0" w:color="auto"/>
      </w:divBdr>
    </w:div>
    <w:div w:id="1335111919">
      <w:bodyDiv w:val="1"/>
      <w:marLeft w:val="0"/>
      <w:marRight w:val="0"/>
      <w:marTop w:val="0"/>
      <w:marBottom w:val="0"/>
      <w:divBdr>
        <w:top w:val="none" w:sz="0" w:space="0" w:color="auto"/>
        <w:left w:val="none" w:sz="0" w:space="0" w:color="auto"/>
        <w:bottom w:val="none" w:sz="0" w:space="0" w:color="auto"/>
        <w:right w:val="none" w:sz="0" w:space="0" w:color="auto"/>
      </w:divBdr>
    </w:div>
    <w:div w:id="1335112517">
      <w:bodyDiv w:val="1"/>
      <w:marLeft w:val="0"/>
      <w:marRight w:val="0"/>
      <w:marTop w:val="0"/>
      <w:marBottom w:val="0"/>
      <w:divBdr>
        <w:top w:val="none" w:sz="0" w:space="0" w:color="auto"/>
        <w:left w:val="none" w:sz="0" w:space="0" w:color="auto"/>
        <w:bottom w:val="none" w:sz="0" w:space="0" w:color="auto"/>
        <w:right w:val="none" w:sz="0" w:space="0" w:color="auto"/>
      </w:divBdr>
    </w:div>
    <w:div w:id="1335307136">
      <w:bodyDiv w:val="1"/>
      <w:marLeft w:val="0"/>
      <w:marRight w:val="0"/>
      <w:marTop w:val="0"/>
      <w:marBottom w:val="0"/>
      <w:divBdr>
        <w:top w:val="none" w:sz="0" w:space="0" w:color="auto"/>
        <w:left w:val="none" w:sz="0" w:space="0" w:color="auto"/>
        <w:bottom w:val="none" w:sz="0" w:space="0" w:color="auto"/>
        <w:right w:val="none" w:sz="0" w:space="0" w:color="auto"/>
      </w:divBdr>
    </w:div>
    <w:div w:id="1335454349">
      <w:bodyDiv w:val="1"/>
      <w:marLeft w:val="0"/>
      <w:marRight w:val="0"/>
      <w:marTop w:val="0"/>
      <w:marBottom w:val="0"/>
      <w:divBdr>
        <w:top w:val="none" w:sz="0" w:space="0" w:color="auto"/>
        <w:left w:val="none" w:sz="0" w:space="0" w:color="auto"/>
        <w:bottom w:val="none" w:sz="0" w:space="0" w:color="auto"/>
        <w:right w:val="none" w:sz="0" w:space="0" w:color="auto"/>
      </w:divBdr>
    </w:div>
    <w:div w:id="1335495049">
      <w:bodyDiv w:val="1"/>
      <w:marLeft w:val="0"/>
      <w:marRight w:val="0"/>
      <w:marTop w:val="0"/>
      <w:marBottom w:val="0"/>
      <w:divBdr>
        <w:top w:val="none" w:sz="0" w:space="0" w:color="auto"/>
        <w:left w:val="none" w:sz="0" w:space="0" w:color="auto"/>
        <w:bottom w:val="none" w:sz="0" w:space="0" w:color="auto"/>
        <w:right w:val="none" w:sz="0" w:space="0" w:color="auto"/>
      </w:divBdr>
    </w:div>
    <w:div w:id="1335571516">
      <w:bodyDiv w:val="1"/>
      <w:marLeft w:val="0"/>
      <w:marRight w:val="0"/>
      <w:marTop w:val="0"/>
      <w:marBottom w:val="0"/>
      <w:divBdr>
        <w:top w:val="none" w:sz="0" w:space="0" w:color="auto"/>
        <w:left w:val="none" w:sz="0" w:space="0" w:color="auto"/>
        <w:bottom w:val="none" w:sz="0" w:space="0" w:color="auto"/>
        <w:right w:val="none" w:sz="0" w:space="0" w:color="auto"/>
      </w:divBdr>
    </w:div>
    <w:div w:id="1335910934">
      <w:bodyDiv w:val="1"/>
      <w:marLeft w:val="0"/>
      <w:marRight w:val="0"/>
      <w:marTop w:val="0"/>
      <w:marBottom w:val="0"/>
      <w:divBdr>
        <w:top w:val="none" w:sz="0" w:space="0" w:color="auto"/>
        <w:left w:val="none" w:sz="0" w:space="0" w:color="auto"/>
        <w:bottom w:val="none" w:sz="0" w:space="0" w:color="auto"/>
        <w:right w:val="none" w:sz="0" w:space="0" w:color="auto"/>
      </w:divBdr>
    </w:div>
    <w:div w:id="1335914585">
      <w:bodyDiv w:val="1"/>
      <w:marLeft w:val="0"/>
      <w:marRight w:val="0"/>
      <w:marTop w:val="0"/>
      <w:marBottom w:val="0"/>
      <w:divBdr>
        <w:top w:val="none" w:sz="0" w:space="0" w:color="auto"/>
        <w:left w:val="none" w:sz="0" w:space="0" w:color="auto"/>
        <w:bottom w:val="none" w:sz="0" w:space="0" w:color="auto"/>
        <w:right w:val="none" w:sz="0" w:space="0" w:color="auto"/>
      </w:divBdr>
    </w:div>
    <w:div w:id="1335953873">
      <w:bodyDiv w:val="1"/>
      <w:marLeft w:val="0"/>
      <w:marRight w:val="0"/>
      <w:marTop w:val="0"/>
      <w:marBottom w:val="0"/>
      <w:divBdr>
        <w:top w:val="none" w:sz="0" w:space="0" w:color="auto"/>
        <w:left w:val="none" w:sz="0" w:space="0" w:color="auto"/>
        <w:bottom w:val="none" w:sz="0" w:space="0" w:color="auto"/>
        <w:right w:val="none" w:sz="0" w:space="0" w:color="auto"/>
      </w:divBdr>
    </w:div>
    <w:div w:id="1336031350">
      <w:bodyDiv w:val="1"/>
      <w:marLeft w:val="0"/>
      <w:marRight w:val="0"/>
      <w:marTop w:val="0"/>
      <w:marBottom w:val="0"/>
      <w:divBdr>
        <w:top w:val="none" w:sz="0" w:space="0" w:color="auto"/>
        <w:left w:val="none" w:sz="0" w:space="0" w:color="auto"/>
        <w:bottom w:val="none" w:sz="0" w:space="0" w:color="auto"/>
        <w:right w:val="none" w:sz="0" w:space="0" w:color="auto"/>
      </w:divBdr>
    </w:div>
    <w:div w:id="1336032733">
      <w:bodyDiv w:val="1"/>
      <w:marLeft w:val="0"/>
      <w:marRight w:val="0"/>
      <w:marTop w:val="0"/>
      <w:marBottom w:val="0"/>
      <w:divBdr>
        <w:top w:val="none" w:sz="0" w:space="0" w:color="auto"/>
        <w:left w:val="none" w:sz="0" w:space="0" w:color="auto"/>
        <w:bottom w:val="none" w:sz="0" w:space="0" w:color="auto"/>
        <w:right w:val="none" w:sz="0" w:space="0" w:color="auto"/>
      </w:divBdr>
    </w:div>
    <w:div w:id="1336035046">
      <w:bodyDiv w:val="1"/>
      <w:marLeft w:val="0"/>
      <w:marRight w:val="0"/>
      <w:marTop w:val="0"/>
      <w:marBottom w:val="0"/>
      <w:divBdr>
        <w:top w:val="none" w:sz="0" w:space="0" w:color="auto"/>
        <w:left w:val="none" w:sz="0" w:space="0" w:color="auto"/>
        <w:bottom w:val="none" w:sz="0" w:space="0" w:color="auto"/>
        <w:right w:val="none" w:sz="0" w:space="0" w:color="auto"/>
      </w:divBdr>
    </w:div>
    <w:div w:id="1336228454">
      <w:bodyDiv w:val="1"/>
      <w:marLeft w:val="0"/>
      <w:marRight w:val="0"/>
      <w:marTop w:val="0"/>
      <w:marBottom w:val="0"/>
      <w:divBdr>
        <w:top w:val="none" w:sz="0" w:space="0" w:color="auto"/>
        <w:left w:val="none" w:sz="0" w:space="0" w:color="auto"/>
        <w:bottom w:val="none" w:sz="0" w:space="0" w:color="auto"/>
        <w:right w:val="none" w:sz="0" w:space="0" w:color="auto"/>
      </w:divBdr>
    </w:div>
    <w:div w:id="1336229255">
      <w:bodyDiv w:val="1"/>
      <w:marLeft w:val="0"/>
      <w:marRight w:val="0"/>
      <w:marTop w:val="0"/>
      <w:marBottom w:val="0"/>
      <w:divBdr>
        <w:top w:val="none" w:sz="0" w:space="0" w:color="auto"/>
        <w:left w:val="none" w:sz="0" w:space="0" w:color="auto"/>
        <w:bottom w:val="none" w:sz="0" w:space="0" w:color="auto"/>
        <w:right w:val="none" w:sz="0" w:space="0" w:color="auto"/>
      </w:divBdr>
    </w:div>
    <w:div w:id="1336231196">
      <w:bodyDiv w:val="1"/>
      <w:marLeft w:val="0"/>
      <w:marRight w:val="0"/>
      <w:marTop w:val="0"/>
      <w:marBottom w:val="0"/>
      <w:divBdr>
        <w:top w:val="none" w:sz="0" w:space="0" w:color="auto"/>
        <w:left w:val="none" w:sz="0" w:space="0" w:color="auto"/>
        <w:bottom w:val="none" w:sz="0" w:space="0" w:color="auto"/>
        <w:right w:val="none" w:sz="0" w:space="0" w:color="auto"/>
      </w:divBdr>
    </w:div>
    <w:div w:id="1336301182">
      <w:bodyDiv w:val="1"/>
      <w:marLeft w:val="0"/>
      <w:marRight w:val="0"/>
      <w:marTop w:val="0"/>
      <w:marBottom w:val="0"/>
      <w:divBdr>
        <w:top w:val="none" w:sz="0" w:space="0" w:color="auto"/>
        <w:left w:val="none" w:sz="0" w:space="0" w:color="auto"/>
        <w:bottom w:val="none" w:sz="0" w:space="0" w:color="auto"/>
        <w:right w:val="none" w:sz="0" w:space="0" w:color="auto"/>
      </w:divBdr>
    </w:div>
    <w:div w:id="1336301524">
      <w:bodyDiv w:val="1"/>
      <w:marLeft w:val="0"/>
      <w:marRight w:val="0"/>
      <w:marTop w:val="0"/>
      <w:marBottom w:val="0"/>
      <w:divBdr>
        <w:top w:val="none" w:sz="0" w:space="0" w:color="auto"/>
        <w:left w:val="none" w:sz="0" w:space="0" w:color="auto"/>
        <w:bottom w:val="none" w:sz="0" w:space="0" w:color="auto"/>
        <w:right w:val="none" w:sz="0" w:space="0" w:color="auto"/>
      </w:divBdr>
    </w:div>
    <w:div w:id="1336347738">
      <w:bodyDiv w:val="1"/>
      <w:marLeft w:val="0"/>
      <w:marRight w:val="0"/>
      <w:marTop w:val="0"/>
      <w:marBottom w:val="0"/>
      <w:divBdr>
        <w:top w:val="none" w:sz="0" w:space="0" w:color="auto"/>
        <w:left w:val="none" w:sz="0" w:space="0" w:color="auto"/>
        <w:bottom w:val="none" w:sz="0" w:space="0" w:color="auto"/>
        <w:right w:val="none" w:sz="0" w:space="0" w:color="auto"/>
      </w:divBdr>
    </w:div>
    <w:div w:id="1336372847">
      <w:bodyDiv w:val="1"/>
      <w:marLeft w:val="0"/>
      <w:marRight w:val="0"/>
      <w:marTop w:val="0"/>
      <w:marBottom w:val="0"/>
      <w:divBdr>
        <w:top w:val="none" w:sz="0" w:space="0" w:color="auto"/>
        <w:left w:val="none" w:sz="0" w:space="0" w:color="auto"/>
        <w:bottom w:val="none" w:sz="0" w:space="0" w:color="auto"/>
        <w:right w:val="none" w:sz="0" w:space="0" w:color="auto"/>
      </w:divBdr>
    </w:div>
    <w:div w:id="1336418919">
      <w:bodyDiv w:val="1"/>
      <w:marLeft w:val="0"/>
      <w:marRight w:val="0"/>
      <w:marTop w:val="0"/>
      <w:marBottom w:val="0"/>
      <w:divBdr>
        <w:top w:val="none" w:sz="0" w:space="0" w:color="auto"/>
        <w:left w:val="none" w:sz="0" w:space="0" w:color="auto"/>
        <w:bottom w:val="none" w:sz="0" w:space="0" w:color="auto"/>
        <w:right w:val="none" w:sz="0" w:space="0" w:color="auto"/>
      </w:divBdr>
    </w:div>
    <w:div w:id="1336419691">
      <w:bodyDiv w:val="1"/>
      <w:marLeft w:val="0"/>
      <w:marRight w:val="0"/>
      <w:marTop w:val="0"/>
      <w:marBottom w:val="0"/>
      <w:divBdr>
        <w:top w:val="none" w:sz="0" w:space="0" w:color="auto"/>
        <w:left w:val="none" w:sz="0" w:space="0" w:color="auto"/>
        <w:bottom w:val="none" w:sz="0" w:space="0" w:color="auto"/>
        <w:right w:val="none" w:sz="0" w:space="0" w:color="auto"/>
      </w:divBdr>
    </w:div>
    <w:div w:id="1336424196">
      <w:bodyDiv w:val="1"/>
      <w:marLeft w:val="0"/>
      <w:marRight w:val="0"/>
      <w:marTop w:val="0"/>
      <w:marBottom w:val="0"/>
      <w:divBdr>
        <w:top w:val="none" w:sz="0" w:space="0" w:color="auto"/>
        <w:left w:val="none" w:sz="0" w:space="0" w:color="auto"/>
        <w:bottom w:val="none" w:sz="0" w:space="0" w:color="auto"/>
        <w:right w:val="none" w:sz="0" w:space="0" w:color="auto"/>
      </w:divBdr>
    </w:div>
    <w:div w:id="1336493214">
      <w:bodyDiv w:val="1"/>
      <w:marLeft w:val="0"/>
      <w:marRight w:val="0"/>
      <w:marTop w:val="0"/>
      <w:marBottom w:val="0"/>
      <w:divBdr>
        <w:top w:val="none" w:sz="0" w:space="0" w:color="auto"/>
        <w:left w:val="none" w:sz="0" w:space="0" w:color="auto"/>
        <w:bottom w:val="none" w:sz="0" w:space="0" w:color="auto"/>
        <w:right w:val="none" w:sz="0" w:space="0" w:color="auto"/>
      </w:divBdr>
    </w:div>
    <w:div w:id="1336617174">
      <w:bodyDiv w:val="1"/>
      <w:marLeft w:val="0"/>
      <w:marRight w:val="0"/>
      <w:marTop w:val="0"/>
      <w:marBottom w:val="0"/>
      <w:divBdr>
        <w:top w:val="none" w:sz="0" w:space="0" w:color="auto"/>
        <w:left w:val="none" w:sz="0" w:space="0" w:color="auto"/>
        <w:bottom w:val="none" w:sz="0" w:space="0" w:color="auto"/>
        <w:right w:val="none" w:sz="0" w:space="0" w:color="auto"/>
      </w:divBdr>
    </w:div>
    <w:div w:id="1336685013">
      <w:bodyDiv w:val="1"/>
      <w:marLeft w:val="0"/>
      <w:marRight w:val="0"/>
      <w:marTop w:val="0"/>
      <w:marBottom w:val="0"/>
      <w:divBdr>
        <w:top w:val="none" w:sz="0" w:space="0" w:color="auto"/>
        <w:left w:val="none" w:sz="0" w:space="0" w:color="auto"/>
        <w:bottom w:val="none" w:sz="0" w:space="0" w:color="auto"/>
        <w:right w:val="none" w:sz="0" w:space="0" w:color="auto"/>
      </w:divBdr>
    </w:div>
    <w:div w:id="1336689333">
      <w:bodyDiv w:val="1"/>
      <w:marLeft w:val="0"/>
      <w:marRight w:val="0"/>
      <w:marTop w:val="0"/>
      <w:marBottom w:val="0"/>
      <w:divBdr>
        <w:top w:val="none" w:sz="0" w:space="0" w:color="auto"/>
        <w:left w:val="none" w:sz="0" w:space="0" w:color="auto"/>
        <w:bottom w:val="none" w:sz="0" w:space="0" w:color="auto"/>
        <w:right w:val="none" w:sz="0" w:space="0" w:color="auto"/>
      </w:divBdr>
    </w:div>
    <w:div w:id="1336805289">
      <w:bodyDiv w:val="1"/>
      <w:marLeft w:val="0"/>
      <w:marRight w:val="0"/>
      <w:marTop w:val="0"/>
      <w:marBottom w:val="0"/>
      <w:divBdr>
        <w:top w:val="none" w:sz="0" w:space="0" w:color="auto"/>
        <w:left w:val="none" w:sz="0" w:space="0" w:color="auto"/>
        <w:bottom w:val="none" w:sz="0" w:space="0" w:color="auto"/>
        <w:right w:val="none" w:sz="0" w:space="0" w:color="auto"/>
      </w:divBdr>
    </w:div>
    <w:div w:id="1336882241">
      <w:bodyDiv w:val="1"/>
      <w:marLeft w:val="0"/>
      <w:marRight w:val="0"/>
      <w:marTop w:val="0"/>
      <w:marBottom w:val="0"/>
      <w:divBdr>
        <w:top w:val="none" w:sz="0" w:space="0" w:color="auto"/>
        <w:left w:val="none" w:sz="0" w:space="0" w:color="auto"/>
        <w:bottom w:val="none" w:sz="0" w:space="0" w:color="auto"/>
        <w:right w:val="none" w:sz="0" w:space="0" w:color="auto"/>
      </w:divBdr>
    </w:div>
    <w:div w:id="1337145606">
      <w:bodyDiv w:val="1"/>
      <w:marLeft w:val="0"/>
      <w:marRight w:val="0"/>
      <w:marTop w:val="0"/>
      <w:marBottom w:val="0"/>
      <w:divBdr>
        <w:top w:val="none" w:sz="0" w:space="0" w:color="auto"/>
        <w:left w:val="none" w:sz="0" w:space="0" w:color="auto"/>
        <w:bottom w:val="none" w:sz="0" w:space="0" w:color="auto"/>
        <w:right w:val="none" w:sz="0" w:space="0" w:color="auto"/>
      </w:divBdr>
    </w:div>
    <w:div w:id="1337146028">
      <w:bodyDiv w:val="1"/>
      <w:marLeft w:val="0"/>
      <w:marRight w:val="0"/>
      <w:marTop w:val="0"/>
      <w:marBottom w:val="0"/>
      <w:divBdr>
        <w:top w:val="none" w:sz="0" w:space="0" w:color="auto"/>
        <w:left w:val="none" w:sz="0" w:space="0" w:color="auto"/>
        <w:bottom w:val="none" w:sz="0" w:space="0" w:color="auto"/>
        <w:right w:val="none" w:sz="0" w:space="0" w:color="auto"/>
      </w:divBdr>
    </w:div>
    <w:div w:id="1337148650">
      <w:bodyDiv w:val="1"/>
      <w:marLeft w:val="0"/>
      <w:marRight w:val="0"/>
      <w:marTop w:val="0"/>
      <w:marBottom w:val="0"/>
      <w:divBdr>
        <w:top w:val="none" w:sz="0" w:space="0" w:color="auto"/>
        <w:left w:val="none" w:sz="0" w:space="0" w:color="auto"/>
        <w:bottom w:val="none" w:sz="0" w:space="0" w:color="auto"/>
        <w:right w:val="none" w:sz="0" w:space="0" w:color="auto"/>
      </w:divBdr>
    </w:div>
    <w:div w:id="1337221607">
      <w:bodyDiv w:val="1"/>
      <w:marLeft w:val="0"/>
      <w:marRight w:val="0"/>
      <w:marTop w:val="0"/>
      <w:marBottom w:val="0"/>
      <w:divBdr>
        <w:top w:val="none" w:sz="0" w:space="0" w:color="auto"/>
        <w:left w:val="none" w:sz="0" w:space="0" w:color="auto"/>
        <w:bottom w:val="none" w:sz="0" w:space="0" w:color="auto"/>
        <w:right w:val="none" w:sz="0" w:space="0" w:color="auto"/>
      </w:divBdr>
    </w:div>
    <w:div w:id="1337224377">
      <w:bodyDiv w:val="1"/>
      <w:marLeft w:val="0"/>
      <w:marRight w:val="0"/>
      <w:marTop w:val="0"/>
      <w:marBottom w:val="0"/>
      <w:divBdr>
        <w:top w:val="none" w:sz="0" w:space="0" w:color="auto"/>
        <w:left w:val="none" w:sz="0" w:space="0" w:color="auto"/>
        <w:bottom w:val="none" w:sz="0" w:space="0" w:color="auto"/>
        <w:right w:val="none" w:sz="0" w:space="0" w:color="auto"/>
      </w:divBdr>
    </w:div>
    <w:div w:id="1337465938">
      <w:bodyDiv w:val="1"/>
      <w:marLeft w:val="0"/>
      <w:marRight w:val="0"/>
      <w:marTop w:val="0"/>
      <w:marBottom w:val="0"/>
      <w:divBdr>
        <w:top w:val="none" w:sz="0" w:space="0" w:color="auto"/>
        <w:left w:val="none" w:sz="0" w:space="0" w:color="auto"/>
        <w:bottom w:val="none" w:sz="0" w:space="0" w:color="auto"/>
        <w:right w:val="none" w:sz="0" w:space="0" w:color="auto"/>
      </w:divBdr>
    </w:div>
    <w:div w:id="1337614779">
      <w:bodyDiv w:val="1"/>
      <w:marLeft w:val="0"/>
      <w:marRight w:val="0"/>
      <w:marTop w:val="0"/>
      <w:marBottom w:val="0"/>
      <w:divBdr>
        <w:top w:val="none" w:sz="0" w:space="0" w:color="auto"/>
        <w:left w:val="none" w:sz="0" w:space="0" w:color="auto"/>
        <w:bottom w:val="none" w:sz="0" w:space="0" w:color="auto"/>
        <w:right w:val="none" w:sz="0" w:space="0" w:color="auto"/>
      </w:divBdr>
    </w:div>
    <w:div w:id="1337659498">
      <w:bodyDiv w:val="1"/>
      <w:marLeft w:val="0"/>
      <w:marRight w:val="0"/>
      <w:marTop w:val="0"/>
      <w:marBottom w:val="0"/>
      <w:divBdr>
        <w:top w:val="none" w:sz="0" w:space="0" w:color="auto"/>
        <w:left w:val="none" w:sz="0" w:space="0" w:color="auto"/>
        <w:bottom w:val="none" w:sz="0" w:space="0" w:color="auto"/>
        <w:right w:val="none" w:sz="0" w:space="0" w:color="auto"/>
      </w:divBdr>
    </w:div>
    <w:div w:id="1337878570">
      <w:bodyDiv w:val="1"/>
      <w:marLeft w:val="0"/>
      <w:marRight w:val="0"/>
      <w:marTop w:val="0"/>
      <w:marBottom w:val="0"/>
      <w:divBdr>
        <w:top w:val="none" w:sz="0" w:space="0" w:color="auto"/>
        <w:left w:val="none" w:sz="0" w:space="0" w:color="auto"/>
        <w:bottom w:val="none" w:sz="0" w:space="0" w:color="auto"/>
        <w:right w:val="none" w:sz="0" w:space="0" w:color="auto"/>
      </w:divBdr>
    </w:div>
    <w:div w:id="1337881609">
      <w:bodyDiv w:val="1"/>
      <w:marLeft w:val="0"/>
      <w:marRight w:val="0"/>
      <w:marTop w:val="0"/>
      <w:marBottom w:val="0"/>
      <w:divBdr>
        <w:top w:val="none" w:sz="0" w:space="0" w:color="auto"/>
        <w:left w:val="none" w:sz="0" w:space="0" w:color="auto"/>
        <w:bottom w:val="none" w:sz="0" w:space="0" w:color="auto"/>
        <w:right w:val="none" w:sz="0" w:space="0" w:color="auto"/>
      </w:divBdr>
    </w:div>
    <w:div w:id="1338195268">
      <w:bodyDiv w:val="1"/>
      <w:marLeft w:val="0"/>
      <w:marRight w:val="0"/>
      <w:marTop w:val="0"/>
      <w:marBottom w:val="0"/>
      <w:divBdr>
        <w:top w:val="none" w:sz="0" w:space="0" w:color="auto"/>
        <w:left w:val="none" w:sz="0" w:space="0" w:color="auto"/>
        <w:bottom w:val="none" w:sz="0" w:space="0" w:color="auto"/>
        <w:right w:val="none" w:sz="0" w:space="0" w:color="auto"/>
      </w:divBdr>
    </w:div>
    <w:div w:id="1338195794">
      <w:bodyDiv w:val="1"/>
      <w:marLeft w:val="0"/>
      <w:marRight w:val="0"/>
      <w:marTop w:val="0"/>
      <w:marBottom w:val="0"/>
      <w:divBdr>
        <w:top w:val="none" w:sz="0" w:space="0" w:color="auto"/>
        <w:left w:val="none" w:sz="0" w:space="0" w:color="auto"/>
        <w:bottom w:val="none" w:sz="0" w:space="0" w:color="auto"/>
        <w:right w:val="none" w:sz="0" w:space="0" w:color="auto"/>
      </w:divBdr>
    </w:div>
    <w:div w:id="1338538182">
      <w:bodyDiv w:val="1"/>
      <w:marLeft w:val="0"/>
      <w:marRight w:val="0"/>
      <w:marTop w:val="0"/>
      <w:marBottom w:val="0"/>
      <w:divBdr>
        <w:top w:val="none" w:sz="0" w:space="0" w:color="auto"/>
        <w:left w:val="none" w:sz="0" w:space="0" w:color="auto"/>
        <w:bottom w:val="none" w:sz="0" w:space="0" w:color="auto"/>
        <w:right w:val="none" w:sz="0" w:space="0" w:color="auto"/>
      </w:divBdr>
    </w:div>
    <w:div w:id="1338539866">
      <w:bodyDiv w:val="1"/>
      <w:marLeft w:val="0"/>
      <w:marRight w:val="0"/>
      <w:marTop w:val="0"/>
      <w:marBottom w:val="0"/>
      <w:divBdr>
        <w:top w:val="none" w:sz="0" w:space="0" w:color="auto"/>
        <w:left w:val="none" w:sz="0" w:space="0" w:color="auto"/>
        <w:bottom w:val="none" w:sz="0" w:space="0" w:color="auto"/>
        <w:right w:val="none" w:sz="0" w:space="0" w:color="auto"/>
      </w:divBdr>
    </w:div>
    <w:div w:id="1338732732">
      <w:bodyDiv w:val="1"/>
      <w:marLeft w:val="0"/>
      <w:marRight w:val="0"/>
      <w:marTop w:val="0"/>
      <w:marBottom w:val="0"/>
      <w:divBdr>
        <w:top w:val="none" w:sz="0" w:space="0" w:color="auto"/>
        <w:left w:val="none" w:sz="0" w:space="0" w:color="auto"/>
        <w:bottom w:val="none" w:sz="0" w:space="0" w:color="auto"/>
        <w:right w:val="none" w:sz="0" w:space="0" w:color="auto"/>
      </w:divBdr>
    </w:div>
    <w:div w:id="1338996753">
      <w:bodyDiv w:val="1"/>
      <w:marLeft w:val="0"/>
      <w:marRight w:val="0"/>
      <w:marTop w:val="0"/>
      <w:marBottom w:val="0"/>
      <w:divBdr>
        <w:top w:val="none" w:sz="0" w:space="0" w:color="auto"/>
        <w:left w:val="none" w:sz="0" w:space="0" w:color="auto"/>
        <w:bottom w:val="none" w:sz="0" w:space="0" w:color="auto"/>
        <w:right w:val="none" w:sz="0" w:space="0" w:color="auto"/>
      </w:divBdr>
    </w:div>
    <w:div w:id="1339038383">
      <w:bodyDiv w:val="1"/>
      <w:marLeft w:val="0"/>
      <w:marRight w:val="0"/>
      <w:marTop w:val="0"/>
      <w:marBottom w:val="0"/>
      <w:divBdr>
        <w:top w:val="none" w:sz="0" w:space="0" w:color="auto"/>
        <w:left w:val="none" w:sz="0" w:space="0" w:color="auto"/>
        <w:bottom w:val="none" w:sz="0" w:space="0" w:color="auto"/>
        <w:right w:val="none" w:sz="0" w:space="0" w:color="auto"/>
      </w:divBdr>
    </w:div>
    <w:div w:id="1339114983">
      <w:bodyDiv w:val="1"/>
      <w:marLeft w:val="0"/>
      <w:marRight w:val="0"/>
      <w:marTop w:val="0"/>
      <w:marBottom w:val="0"/>
      <w:divBdr>
        <w:top w:val="none" w:sz="0" w:space="0" w:color="auto"/>
        <w:left w:val="none" w:sz="0" w:space="0" w:color="auto"/>
        <w:bottom w:val="none" w:sz="0" w:space="0" w:color="auto"/>
        <w:right w:val="none" w:sz="0" w:space="0" w:color="auto"/>
      </w:divBdr>
    </w:div>
    <w:div w:id="1339117152">
      <w:bodyDiv w:val="1"/>
      <w:marLeft w:val="0"/>
      <w:marRight w:val="0"/>
      <w:marTop w:val="0"/>
      <w:marBottom w:val="0"/>
      <w:divBdr>
        <w:top w:val="none" w:sz="0" w:space="0" w:color="auto"/>
        <w:left w:val="none" w:sz="0" w:space="0" w:color="auto"/>
        <w:bottom w:val="none" w:sz="0" w:space="0" w:color="auto"/>
        <w:right w:val="none" w:sz="0" w:space="0" w:color="auto"/>
      </w:divBdr>
    </w:div>
    <w:div w:id="1339383343">
      <w:bodyDiv w:val="1"/>
      <w:marLeft w:val="0"/>
      <w:marRight w:val="0"/>
      <w:marTop w:val="0"/>
      <w:marBottom w:val="0"/>
      <w:divBdr>
        <w:top w:val="none" w:sz="0" w:space="0" w:color="auto"/>
        <w:left w:val="none" w:sz="0" w:space="0" w:color="auto"/>
        <w:bottom w:val="none" w:sz="0" w:space="0" w:color="auto"/>
        <w:right w:val="none" w:sz="0" w:space="0" w:color="auto"/>
      </w:divBdr>
    </w:div>
    <w:div w:id="1339384013">
      <w:bodyDiv w:val="1"/>
      <w:marLeft w:val="0"/>
      <w:marRight w:val="0"/>
      <w:marTop w:val="0"/>
      <w:marBottom w:val="0"/>
      <w:divBdr>
        <w:top w:val="none" w:sz="0" w:space="0" w:color="auto"/>
        <w:left w:val="none" w:sz="0" w:space="0" w:color="auto"/>
        <w:bottom w:val="none" w:sz="0" w:space="0" w:color="auto"/>
        <w:right w:val="none" w:sz="0" w:space="0" w:color="auto"/>
      </w:divBdr>
    </w:div>
    <w:div w:id="1339429833">
      <w:bodyDiv w:val="1"/>
      <w:marLeft w:val="0"/>
      <w:marRight w:val="0"/>
      <w:marTop w:val="0"/>
      <w:marBottom w:val="0"/>
      <w:divBdr>
        <w:top w:val="none" w:sz="0" w:space="0" w:color="auto"/>
        <w:left w:val="none" w:sz="0" w:space="0" w:color="auto"/>
        <w:bottom w:val="none" w:sz="0" w:space="0" w:color="auto"/>
        <w:right w:val="none" w:sz="0" w:space="0" w:color="auto"/>
      </w:divBdr>
    </w:div>
    <w:div w:id="1339503886">
      <w:bodyDiv w:val="1"/>
      <w:marLeft w:val="0"/>
      <w:marRight w:val="0"/>
      <w:marTop w:val="0"/>
      <w:marBottom w:val="0"/>
      <w:divBdr>
        <w:top w:val="none" w:sz="0" w:space="0" w:color="auto"/>
        <w:left w:val="none" w:sz="0" w:space="0" w:color="auto"/>
        <w:bottom w:val="none" w:sz="0" w:space="0" w:color="auto"/>
        <w:right w:val="none" w:sz="0" w:space="0" w:color="auto"/>
      </w:divBdr>
    </w:div>
    <w:div w:id="1339582235">
      <w:bodyDiv w:val="1"/>
      <w:marLeft w:val="0"/>
      <w:marRight w:val="0"/>
      <w:marTop w:val="0"/>
      <w:marBottom w:val="0"/>
      <w:divBdr>
        <w:top w:val="none" w:sz="0" w:space="0" w:color="auto"/>
        <w:left w:val="none" w:sz="0" w:space="0" w:color="auto"/>
        <w:bottom w:val="none" w:sz="0" w:space="0" w:color="auto"/>
        <w:right w:val="none" w:sz="0" w:space="0" w:color="auto"/>
      </w:divBdr>
    </w:div>
    <w:div w:id="1339652895">
      <w:bodyDiv w:val="1"/>
      <w:marLeft w:val="0"/>
      <w:marRight w:val="0"/>
      <w:marTop w:val="0"/>
      <w:marBottom w:val="0"/>
      <w:divBdr>
        <w:top w:val="none" w:sz="0" w:space="0" w:color="auto"/>
        <w:left w:val="none" w:sz="0" w:space="0" w:color="auto"/>
        <w:bottom w:val="none" w:sz="0" w:space="0" w:color="auto"/>
        <w:right w:val="none" w:sz="0" w:space="0" w:color="auto"/>
      </w:divBdr>
    </w:div>
    <w:div w:id="1339699279">
      <w:bodyDiv w:val="1"/>
      <w:marLeft w:val="0"/>
      <w:marRight w:val="0"/>
      <w:marTop w:val="0"/>
      <w:marBottom w:val="0"/>
      <w:divBdr>
        <w:top w:val="none" w:sz="0" w:space="0" w:color="auto"/>
        <w:left w:val="none" w:sz="0" w:space="0" w:color="auto"/>
        <w:bottom w:val="none" w:sz="0" w:space="0" w:color="auto"/>
        <w:right w:val="none" w:sz="0" w:space="0" w:color="auto"/>
      </w:divBdr>
    </w:div>
    <w:div w:id="1339770602">
      <w:bodyDiv w:val="1"/>
      <w:marLeft w:val="0"/>
      <w:marRight w:val="0"/>
      <w:marTop w:val="0"/>
      <w:marBottom w:val="0"/>
      <w:divBdr>
        <w:top w:val="none" w:sz="0" w:space="0" w:color="auto"/>
        <w:left w:val="none" w:sz="0" w:space="0" w:color="auto"/>
        <w:bottom w:val="none" w:sz="0" w:space="0" w:color="auto"/>
        <w:right w:val="none" w:sz="0" w:space="0" w:color="auto"/>
      </w:divBdr>
    </w:div>
    <w:div w:id="1339844595">
      <w:bodyDiv w:val="1"/>
      <w:marLeft w:val="0"/>
      <w:marRight w:val="0"/>
      <w:marTop w:val="0"/>
      <w:marBottom w:val="0"/>
      <w:divBdr>
        <w:top w:val="none" w:sz="0" w:space="0" w:color="auto"/>
        <w:left w:val="none" w:sz="0" w:space="0" w:color="auto"/>
        <w:bottom w:val="none" w:sz="0" w:space="0" w:color="auto"/>
        <w:right w:val="none" w:sz="0" w:space="0" w:color="auto"/>
      </w:divBdr>
    </w:div>
    <w:div w:id="1340154094">
      <w:bodyDiv w:val="1"/>
      <w:marLeft w:val="0"/>
      <w:marRight w:val="0"/>
      <w:marTop w:val="0"/>
      <w:marBottom w:val="0"/>
      <w:divBdr>
        <w:top w:val="none" w:sz="0" w:space="0" w:color="auto"/>
        <w:left w:val="none" w:sz="0" w:space="0" w:color="auto"/>
        <w:bottom w:val="none" w:sz="0" w:space="0" w:color="auto"/>
        <w:right w:val="none" w:sz="0" w:space="0" w:color="auto"/>
      </w:divBdr>
    </w:div>
    <w:div w:id="1340156299">
      <w:bodyDiv w:val="1"/>
      <w:marLeft w:val="0"/>
      <w:marRight w:val="0"/>
      <w:marTop w:val="0"/>
      <w:marBottom w:val="0"/>
      <w:divBdr>
        <w:top w:val="none" w:sz="0" w:space="0" w:color="auto"/>
        <w:left w:val="none" w:sz="0" w:space="0" w:color="auto"/>
        <w:bottom w:val="none" w:sz="0" w:space="0" w:color="auto"/>
        <w:right w:val="none" w:sz="0" w:space="0" w:color="auto"/>
      </w:divBdr>
    </w:div>
    <w:div w:id="1340158811">
      <w:bodyDiv w:val="1"/>
      <w:marLeft w:val="0"/>
      <w:marRight w:val="0"/>
      <w:marTop w:val="0"/>
      <w:marBottom w:val="0"/>
      <w:divBdr>
        <w:top w:val="none" w:sz="0" w:space="0" w:color="auto"/>
        <w:left w:val="none" w:sz="0" w:space="0" w:color="auto"/>
        <w:bottom w:val="none" w:sz="0" w:space="0" w:color="auto"/>
        <w:right w:val="none" w:sz="0" w:space="0" w:color="auto"/>
      </w:divBdr>
    </w:div>
    <w:div w:id="1340236046">
      <w:bodyDiv w:val="1"/>
      <w:marLeft w:val="0"/>
      <w:marRight w:val="0"/>
      <w:marTop w:val="0"/>
      <w:marBottom w:val="0"/>
      <w:divBdr>
        <w:top w:val="none" w:sz="0" w:space="0" w:color="auto"/>
        <w:left w:val="none" w:sz="0" w:space="0" w:color="auto"/>
        <w:bottom w:val="none" w:sz="0" w:space="0" w:color="auto"/>
        <w:right w:val="none" w:sz="0" w:space="0" w:color="auto"/>
      </w:divBdr>
    </w:div>
    <w:div w:id="1340346716">
      <w:bodyDiv w:val="1"/>
      <w:marLeft w:val="0"/>
      <w:marRight w:val="0"/>
      <w:marTop w:val="0"/>
      <w:marBottom w:val="0"/>
      <w:divBdr>
        <w:top w:val="none" w:sz="0" w:space="0" w:color="auto"/>
        <w:left w:val="none" w:sz="0" w:space="0" w:color="auto"/>
        <w:bottom w:val="none" w:sz="0" w:space="0" w:color="auto"/>
        <w:right w:val="none" w:sz="0" w:space="0" w:color="auto"/>
      </w:divBdr>
    </w:div>
    <w:div w:id="1340424741">
      <w:bodyDiv w:val="1"/>
      <w:marLeft w:val="0"/>
      <w:marRight w:val="0"/>
      <w:marTop w:val="0"/>
      <w:marBottom w:val="0"/>
      <w:divBdr>
        <w:top w:val="none" w:sz="0" w:space="0" w:color="auto"/>
        <w:left w:val="none" w:sz="0" w:space="0" w:color="auto"/>
        <w:bottom w:val="none" w:sz="0" w:space="0" w:color="auto"/>
        <w:right w:val="none" w:sz="0" w:space="0" w:color="auto"/>
      </w:divBdr>
    </w:div>
    <w:div w:id="1340498600">
      <w:bodyDiv w:val="1"/>
      <w:marLeft w:val="0"/>
      <w:marRight w:val="0"/>
      <w:marTop w:val="0"/>
      <w:marBottom w:val="0"/>
      <w:divBdr>
        <w:top w:val="none" w:sz="0" w:space="0" w:color="auto"/>
        <w:left w:val="none" w:sz="0" w:space="0" w:color="auto"/>
        <w:bottom w:val="none" w:sz="0" w:space="0" w:color="auto"/>
        <w:right w:val="none" w:sz="0" w:space="0" w:color="auto"/>
      </w:divBdr>
    </w:div>
    <w:div w:id="1340544932">
      <w:bodyDiv w:val="1"/>
      <w:marLeft w:val="0"/>
      <w:marRight w:val="0"/>
      <w:marTop w:val="0"/>
      <w:marBottom w:val="0"/>
      <w:divBdr>
        <w:top w:val="none" w:sz="0" w:space="0" w:color="auto"/>
        <w:left w:val="none" w:sz="0" w:space="0" w:color="auto"/>
        <w:bottom w:val="none" w:sz="0" w:space="0" w:color="auto"/>
        <w:right w:val="none" w:sz="0" w:space="0" w:color="auto"/>
      </w:divBdr>
    </w:div>
    <w:div w:id="1340546139">
      <w:bodyDiv w:val="1"/>
      <w:marLeft w:val="0"/>
      <w:marRight w:val="0"/>
      <w:marTop w:val="0"/>
      <w:marBottom w:val="0"/>
      <w:divBdr>
        <w:top w:val="none" w:sz="0" w:space="0" w:color="auto"/>
        <w:left w:val="none" w:sz="0" w:space="0" w:color="auto"/>
        <w:bottom w:val="none" w:sz="0" w:space="0" w:color="auto"/>
        <w:right w:val="none" w:sz="0" w:space="0" w:color="auto"/>
      </w:divBdr>
    </w:div>
    <w:div w:id="1340698215">
      <w:bodyDiv w:val="1"/>
      <w:marLeft w:val="0"/>
      <w:marRight w:val="0"/>
      <w:marTop w:val="0"/>
      <w:marBottom w:val="0"/>
      <w:divBdr>
        <w:top w:val="none" w:sz="0" w:space="0" w:color="auto"/>
        <w:left w:val="none" w:sz="0" w:space="0" w:color="auto"/>
        <w:bottom w:val="none" w:sz="0" w:space="0" w:color="auto"/>
        <w:right w:val="none" w:sz="0" w:space="0" w:color="auto"/>
      </w:divBdr>
    </w:div>
    <w:div w:id="1340736322">
      <w:bodyDiv w:val="1"/>
      <w:marLeft w:val="0"/>
      <w:marRight w:val="0"/>
      <w:marTop w:val="0"/>
      <w:marBottom w:val="0"/>
      <w:divBdr>
        <w:top w:val="none" w:sz="0" w:space="0" w:color="auto"/>
        <w:left w:val="none" w:sz="0" w:space="0" w:color="auto"/>
        <w:bottom w:val="none" w:sz="0" w:space="0" w:color="auto"/>
        <w:right w:val="none" w:sz="0" w:space="0" w:color="auto"/>
      </w:divBdr>
    </w:div>
    <w:div w:id="1340888172">
      <w:bodyDiv w:val="1"/>
      <w:marLeft w:val="0"/>
      <w:marRight w:val="0"/>
      <w:marTop w:val="0"/>
      <w:marBottom w:val="0"/>
      <w:divBdr>
        <w:top w:val="none" w:sz="0" w:space="0" w:color="auto"/>
        <w:left w:val="none" w:sz="0" w:space="0" w:color="auto"/>
        <w:bottom w:val="none" w:sz="0" w:space="0" w:color="auto"/>
        <w:right w:val="none" w:sz="0" w:space="0" w:color="auto"/>
      </w:divBdr>
    </w:div>
    <w:div w:id="1340891428">
      <w:bodyDiv w:val="1"/>
      <w:marLeft w:val="0"/>
      <w:marRight w:val="0"/>
      <w:marTop w:val="0"/>
      <w:marBottom w:val="0"/>
      <w:divBdr>
        <w:top w:val="none" w:sz="0" w:space="0" w:color="auto"/>
        <w:left w:val="none" w:sz="0" w:space="0" w:color="auto"/>
        <w:bottom w:val="none" w:sz="0" w:space="0" w:color="auto"/>
        <w:right w:val="none" w:sz="0" w:space="0" w:color="auto"/>
      </w:divBdr>
    </w:div>
    <w:div w:id="1341079454">
      <w:bodyDiv w:val="1"/>
      <w:marLeft w:val="0"/>
      <w:marRight w:val="0"/>
      <w:marTop w:val="0"/>
      <w:marBottom w:val="0"/>
      <w:divBdr>
        <w:top w:val="none" w:sz="0" w:space="0" w:color="auto"/>
        <w:left w:val="none" w:sz="0" w:space="0" w:color="auto"/>
        <w:bottom w:val="none" w:sz="0" w:space="0" w:color="auto"/>
        <w:right w:val="none" w:sz="0" w:space="0" w:color="auto"/>
      </w:divBdr>
    </w:div>
    <w:div w:id="1341083152">
      <w:bodyDiv w:val="1"/>
      <w:marLeft w:val="0"/>
      <w:marRight w:val="0"/>
      <w:marTop w:val="0"/>
      <w:marBottom w:val="0"/>
      <w:divBdr>
        <w:top w:val="none" w:sz="0" w:space="0" w:color="auto"/>
        <w:left w:val="none" w:sz="0" w:space="0" w:color="auto"/>
        <w:bottom w:val="none" w:sz="0" w:space="0" w:color="auto"/>
        <w:right w:val="none" w:sz="0" w:space="0" w:color="auto"/>
      </w:divBdr>
    </w:div>
    <w:div w:id="1341085587">
      <w:bodyDiv w:val="1"/>
      <w:marLeft w:val="0"/>
      <w:marRight w:val="0"/>
      <w:marTop w:val="0"/>
      <w:marBottom w:val="0"/>
      <w:divBdr>
        <w:top w:val="none" w:sz="0" w:space="0" w:color="auto"/>
        <w:left w:val="none" w:sz="0" w:space="0" w:color="auto"/>
        <w:bottom w:val="none" w:sz="0" w:space="0" w:color="auto"/>
        <w:right w:val="none" w:sz="0" w:space="0" w:color="auto"/>
      </w:divBdr>
    </w:div>
    <w:div w:id="1341155640">
      <w:bodyDiv w:val="1"/>
      <w:marLeft w:val="0"/>
      <w:marRight w:val="0"/>
      <w:marTop w:val="0"/>
      <w:marBottom w:val="0"/>
      <w:divBdr>
        <w:top w:val="none" w:sz="0" w:space="0" w:color="auto"/>
        <w:left w:val="none" w:sz="0" w:space="0" w:color="auto"/>
        <w:bottom w:val="none" w:sz="0" w:space="0" w:color="auto"/>
        <w:right w:val="none" w:sz="0" w:space="0" w:color="auto"/>
      </w:divBdr>
    </w:div>
    <w:div w:id="1341273530">
      <w:bodyDiv w:val="1"/>
      <w:marLeft w:val="0"/>
      <w:marRight w:val="0"/>
      <w:marTop w:val="0"/>
      <w:marBottom w:val="0"/>
      <w:divBdr>
        <w:top w:val="none" w:sz="0" w:space="0" w:color="auto"/>
        <w:left w:val="none" w:sz="0" w:space="0" w:color="auto"/>
        <w:bottom w:val="none" w:sz="0" w:space="0" w:color="auto"/>
        <w:right w:val="none" w:sz="0" w:space="0" w:color="auto"/>
      </w:divBdr>
    </w:div>
    <w:div w:id="1341350615">
      <w:bodyDiv w:val="1"/>
      <w:marLeft w:val="0"/>
      <w:marRight w:val="0"/>
      <w:marTop w:val="0"/>
      <w:marBottom w:val="0"/>
      <w:divBdr>
        <w:top w:val="none" w:sz="0" w:space="0" w:color="auto"/>
        <w:left w:val="none" w:sz="0" w:space="0" w:color="auto"/>
        <w:bottom w:val="none" w:sz="0" w:space="0" w:color="auto"/>
        <w:right w:val="none" w:sz="0" w:space="0" w:color="auto"/>
      </w:divBdr>
    </w:div>
    <w:div w:id="1341352308">
      <w:bodyDiv w:val="1"/>
      <w:marLeft w:val="0"/>
      <w:marRight w:val="0"/>
      <w:marTop w:val="0"/>
      <w:marBottom w:val="0"/>
      <w:divBdr>
        <w:top w:val="none" w:sz="0" w:space="0" w:color="auto"/>
        <w:left w:val="none" w:sz="0" w:space="0" w:color="auto"/>
        <w:bottom w:val="none" w:sz="0" w:space="0" w:color="auto"/>
        <w:right w:val="none" w:sz="0" w:space="0" w:color="auto"/>
      </w:divBdr>
    </w:div>
    <w:div w:id="1341394098">
      <w:bodyDiv w:val="1"/>
      <w:marLeft w:val="0"/>
      <w:marRight w:val="0"/>
      <w:marTop w:val="0"/>
      <w:marBottom w:val="0"/>
      <w:divBdr>
        <w:top w:val="none" w:sz="0" w:space="0" w:color="auto"/>
        <w:left w:val="none" w:sz="0" w:space="0" w:color="auto"/>
        <w:bottom w:val="none" w:sz="0" w:space="0" w:color="auto"/>
        <w:right w:val="none" w:sz="0" w:space="0" w:color="auto"/>
      </w:divBdr>
    </w:div>
    <w:div w:id="1341397618">
      <w:bodyDiv w:val="1"/>
      <w:marLeft w:val="0"/>
      <w:marRight w:val="0"/>
      <w:marTop w:val="0"/>
      <w:marBottom w:val="0"/>
      <w:divBdr>
        <w:top w:val="none" w:sz="0" w:space="0" w:color="auto"/>
        <w:left w:val="none" w:sz="0" w:space="0" w:color="auto"/>
        <w:bottom w:val="none" w:sz="0" w:space="0" w:color="auto"/>
        <w:right w:val="none" w:sz="0" w:space="0" w:color="auto"/>
      </w:divBdr>
    </w:div>
    <w:div w:id="1341540534">
      <w:bodyDiv w:val="1"/>
      <w:marLeft w:val="0"/>
      <w:marRight w:val="0"/>
      <w:marTop w:val="0"/>
      <w:marBottom w:val="0"/>
      <w:divBdr>
        <w:top w:val="none" w:sz="0" w:space="0" w:color="auto"/>
        <w:left w:val="none" w:sz="0" w:space="0" w:color="auto"/>
        <w:bottom w:val="none" w:sz="0" w:space="0" w:color="auto"/>
        <w:right w:val="none" w:sz="0" w:space="0" w:color="auto"/>
      </w:divBdr>
    </w:div>
    <w:div w:id="1341664151">
      <w:bodyDiv w:val="1"/>
      <w:marLeft w:val="0"/>
      <w:marRight w:val="0"/>
      <w:marTop w:val="0"/>
      <w:marBottom w:val="0"/>
      <w:divBdr>
        <w:top w:val="none" w:sz="0" w:space="0" w:color="auto"/>
        <w:left w:val="none" w:sz="0" w:space="0" w:color="auto"/>
        <w:bottom w:val="none" w:sz="0" w:space="0" w:color="auto"/>
        <w:right w:val="none" w:sz="0" w:space="0" w:color="auto"/>
      </w:divBdr>
    </w:div>
    <w:div w:id="1341734998">
      <w:bodyDiv w:val="1"/>
      <w:marLeft w:val="0"/>
      <w:marRight w:val="0"/>
      <w:marTop w:val="0"/>
      <w:marBottom w:val="0"/>
      <w:divBdr>
        <w:top w:val="none" w:sz="0" w:space="0" w:color="auto"/>
        <w:left w:val="none" w:sz="0" w:space="0" w:color="auto"/>
        <w:bottom w:val="none" w:sz="0" w:space="0" w:color="auto"/>
        <w:right w:val="none" w:sz="0" w:space="0" w:color="auto"/>
      </w:divBdr>
    </w:div>
    <w:div w:id="1341784628">
      <w:bodyDiv w:val="1"/>
      <w:marLeft w:val="0"/>
      <w:marRight w:val="0"/>
      <w:marTop w:val="0"/>
      <w:marBottom w:val="0"/>
      <w:divBdr>
        <w:top w:val="none" w:sz="0" w:space="0" w:color="auto"/>
        <w:left w:val="none" w:sz="0" w:space="0" w:color="auto"/>
        <w:bottom w:val="none" w:sz="0" w:space="0" w:color="auto"/>
        <w:right w:val="none" w:sz="0" w:space="0" w:color="auto"/>
      </w:divBdr>
    </w:div>
    <w:div w:id="1341850807">
      <w:bodyDiv w:val="1"/>
      <w:marLeft w:val="0"/>
      <w:marRight w:val="0"/>
      <w:marTop w:val="0"/>
      <w:marBottom w:val="0"/>
      <w:divBdr>
        <w:top w:val="none" w:sz="0" w:space="0" w:color="auto"/>
        <w:left w:val="none" w:sz="0" w:space="0" w:color="auto"/>
        <w:bottom w:val="none" w:sz="0" w:space="0" w:color="auto"/>
        <w:right w:val="none" w:sz="0" w:space="0" w:color="auto"/>
      </w:divBdr>
    </w:div>
    <w:div w:id="1341859331">
      <w:bodyDiv w:val="1"/>
      <w:marLeft w:val="0"/>
      <w:marRight w:val="0"/>
      <w:marTop w:val="0"/>
      <w:marBottom w:val="0"/>
      <w:divBdr>
        <w:top w:val="none" w:sz="0" w:space="0" w:color="auto"/>
        <w:left w:val="none" w:sz="0" w:space="0" w:color="auto"/>
        <w:bottom w:val="none" w:sz="0" w:space="0" w:color="auto"/>
        <w:right w:val="none" w:sz="0" w:space="0" w:color="auto"/>
      </w:divBdr>
    </w:div>
    <w:div w:id="1341927289">
      <w:bodyDiv w:val="1"/>
      <w:marLeft w:val="0"/>
      <w:marRight w:val="0"/>
      <w:marTop w:val="0"/>
      <w:marBottom w:val="0"/>
      <w:divBdr>
        <w:top w:val="none" w:sz="0" w:space="0" w:color="auto"/>
        <w:left w:val="none" w:sz="0" w:space="0" w:color="auto"/>
        <w:bottom w:val="none" w:sz="0" w:space="0" w:color="auto"/>
        <w:right w:val="none" w:sz="0" w:space="0" w:color="auto"/>
      </w:divBdr>
    </w:div>
    <w:div w:id="1341935048">
      <w:bodyDiv w:val="1"/>
      <w:marLeft w:val="0"/>
      <w:marRight w:val="0"/>
      <w:marTop w:val="0"/>
      <w:marBottom w:val="0"/>
      <w:divBdr>
        <w:top w:val="none" w:sz="0" w:space="0" w:color="auto"/>
        <w:left w:val="none" w:sz="0" w:space="0" w:color="auto"/>
        <w:bottom w:val="none" w:sz="0" w:space="0" w:color="auto"/>
        <w:right w:val="none" w:sz="0" w:space="0" w:color="auto"/>
      </w:divBdr>
    </w:div>
    <w:div w:id="1342001361">
      <w:bodyDiv w:val="1"/>
      <w:marLeft w:val="0"/>
      <w:marRight w:val="0"/>
      <w:marTop w:val="0"/>
      <w:marBottom w:val="0"/>
      <w:divBdr>
        <w:top w:val="none" w:sz="0" w:space="0" w:color="auto"/>
        <w:left w:val="none" w:sz="0" w:space="0" w:color="auto"/>
        <w:bottom w:val="none" w:sz="0" w:space="0" w:color="auto"/>
        <w:right w:val="none" w:sz="0" w:space="0" w:color="auto"/>
      </w:divBdr>
    </w:div>
    <w:div w:id="1342052679">
      <w:bodyDiv w:val="1"/>
      <w:marLeft w:val="0"/>
      <w:marRight w:val="0"/>
      <w:marTop w:val="0"/>
      <w:marBottom w:val="0"/>
      <w:divBdr>
        <w:top w:val="none" w:sz="0" w:space="0" w:color="auto"/>
        <w:left w:val="none" w:sz="0" w:space="0" w:color="auto"/>
        <w:bottom w:val="none" w:sz="0" w:space="0" w:color="auto"/>
        <w:right w:val="none" w:sz="0" w:space="0" w:color="auto"/>
      </w:divBdr>
    </w:div>
    <w:div w:id="1342078084">
      <w:bodyDiv w:val="1"/>
      <w:marLeft w:val="0"/>
      <w:marRight w:val="0"/>
      <w:marTop w:val="0"/>
      <w:marBottom w:val="0"/>
      <w:divBdr>
        <w:top w:val="none" w:sz="0" w:space="0" w:color="auto"/>
        <w:left w:val="none" w:sz="0" w:space="0" w:color="auto"/>
        <w:bottom w:val="none" w:sz="0" w:space="0" w:color="auto"/>
        <w:right w:val="none" w:sz="0" w:space="0" w:color="auto"/>
      </w:divBdr>
    </w:div>
    <w:div w:id="1342120451">
      <w:bodyDiv w:val="1"/>
      <w:marLeft w:val="0"/>
      <w:marRight w:val="0"/>
      <w:marTop w:val="0"/>
      <w:marBottom w:val="0"/>
      <w:divBdr>
        <w:top w:val="none" w:sz="0" w:space="0" w:color="auto"/>
        <w:left w:val="none" w:sz="0" w:space="0" w:color="auto"/>
        <w:bottom w:val="none" w:sz="0" w:space="0" w:color="auto"/>
        <w:right w:val="none" w:sz="0" w:space="0" w:color="auto"/>
      </w:divBdr>
    </w:div>
    <w:div w:id="1342201944">
      <w:bodyDiv w:val="1"/>
      <w:marLeft w:val="0"/>
      <w:marRight w:val="0"/>
      <w:marTop w:val="0"/>
      <w:marBottom w:val="0"/>
      <w:divBdr>
        <w:top w:val="none" w:sz="0" w:space="0" w:color="auto"/>
        <w:left w:val="none" w:sz="0" w:space="0" w:color="auto"/>
        <w:bottom w:val="none" w:sz="0" w:space="0" w:color="auto"/>
        <w:right w:val="none" w:sz="0" w:space="0" w:color="auto"/>
      </w:divBdr>
    </w:div>
    <w:div w:id="1342272063">
      <w:bodyDiv w:val="1"/>
      <w:marLeft w:val="0"/>
      <w:marRight w:val="0"/>
      <w:marTop w:val="0"/>
      <w:marBottom w:val="0"/>
      <w:divBdr>
        <w:top w:val="none" w:sz="0" w:space="0" w:color="auto"/>
        <w:left w:val="none" w:sz="0" w:space="0" w:color="auto"/>
        <w:bottom w:val="none" w:sz="0" w:space="0" w:color="auto"/>
        <w:right w:val="none" w:sz="0" w:space="0" w:color="auto"/>
      </w:divBdr>
    </w:div>
    <w:div w:id="1342313132">
      <w:bodyDiv w:val="1"/>
      <w:marLeft w:val="0"/>
      <w:marRight w:val="0"/>
      <w:marTop w:val="0"/>
      <w:marBottom w:val="0"/>
      <w:divBdr>
        <w:top w:val="none" w:sz="0" w:space="0" w:color="auto"/>
        <w:left w:val="none" w:sz="0" w:space="0" w:color="auto"/>
        <w:bottom w:val="none" w:sz="0" w:space="0" w:color="auto"/>
        <w:right w:val="none" w:sz="0" w:space="0" w:color="auto"/>
      </w:divBdr>
    </w:div>
    <w:div w:id="1342315081">
      <w:bodyDiv w:val="1"/>
      <w:marLeft w:val="0"/>
      <w:marRight w:val="0"/>
      <w:marTop w:val="0"/>
      <w:marBottom w:val="0"/>
      <w:divBdr>
        <w:top w:val="none" w:sz="0" w:space="0" w:color="auto"/>
        <w:left w:val="none" w:sz="0" w:space="0" w:color="auto"/>
        <w:bottom w:val="none" w:sz="0" w:space="0" w:color="auto"/>
        <w:right w:val="none" w:sz="0" w:space="0" w:color="auto"/>
      </w:divBdr>
    </w:div>
    <w:div w:id="1342316855">
      <w:bodyDiv w:val="1"/>
      <w:marLeft w:val="0"/>
      <w:marRight w:val="0"/>
      <w:marTop w:val="0"/>
      <w:marBottom w:val="0"/>
      <w:divBdr>
        <w:top w:val="none" w:sz="0" w:space="0" w:color="auto"/>
        <w:left w:val="none" w:sz="0" w:space="0" w:color="auto"/>
        <w:bottom w:val="none" w:sz="0" w:space="0" w:color="auto"/>
        <w:right w:val="none" w:sz="0" w:space="0" w:color="auto"/>
      </w:divBdr>
    </w:div>
    <w:div w:id="1342387898">
      <w:bodyDiv w:val="1"/>
      <w:marLeft w:val="0"/>
      <w:marRight w:val="0"/>
      <w:marTop w:val="0"/>
      <w:marBottom w:val="0"/>
      <w:divBdr>
        <w:top w:val="none" w:sz="0" w:space="0" w:color="auto"/>
        <w:left w:val="none" w:sz="0" w:space="0" w:color="auto"/>
        <w:bottom w:val="none" w:sz="0" w:space="0" w:color="auto"/>
        <w:right w:val="none" w:sz="0" w:space="0" w:color="auto"/>
      </w:divBdr>
    </w:div>
    <w:div w:id="1342389887">
      <w:bodyDiv w:val="1"/>
      <w:marLeft w:val="0"/>
      <w:marRight w:val="0"/>
      <w:marTop w:val="0"/>
      <w:marBottom w:val="0"/>
      <w:divBdr>
        <w:top w:val="none" w:sz="0" w:space="0" w:color="auto"/>
        <w:left w:val="none" w:sz="0" w:space="0" w:color="auto"/>
        <w:bottom w:val="none" w:sz="0" w:space="0" w:color="auto"/>
        <w:right w:val="none" w:sz="0" w:space="0" w:color="auto"/>
      </w:divBdr>
    </w:div>
    <w:div w:id="1342466662">
      <w:bodyDiv w:val="1"/>
      <w:marLeft w:val="0"/>
      <w:marRight w:val="0"/>
      <w:marTop w:val="0"/>
      <w:marBottom w:val="0"/>
      <w:divBdr>
        <w:top w:val="none" w:sz="0" w:space="0" w:color="auto"/>
        <w:left w:val="none" w:sz="0" w:space="0" w:color="auto"/>
        <w:bottom w:val="none" w:sz="0" w:space="0" w:color="auto"/>
        <w:right w:val="none" w:sz="0" w:space="0" w:color="auto"/>
      </w:divBdr>
    </w:div>
    <w:div w:id="1342470392">
      <w:bodyDiv w:val="1"/>
      <w:marLeft w:val="0"/>
      <w:marRight w:val="0"/>
      <w:marTop w:val="0"/>
      <w:marBottom w:val="0"/>
      <w:divBdr>
        <w:top w:val="none" w:sz="0" w:space="0" w:color="auto"/>
        <w:left w:val="none" w:sz="0" w:space="0" w:color="auto"/>
        <w:bottom w:val="none" w:sz="0" w:space="0" w:color="auto"/>
        <w:right w:val="none" w:sz="0" w:space="0" w:color="auto"/>
      </w:divBdr>
    </w:div>
    <w:div w:id="1342512175">
      <w:bodyDiv w:val="1"/>
      <w:marLeft w:val="0"/>
      <w:marRight w:val="0"/>
      <w:marTop w:val="0"/>
      <w:marBottom w:val="0"/>
      <w:divBdr>
        <w:top w:val="none" w:sz="0" w:space="0" w:color="auto"/>
        <w:left w:val="none" w:sz="0" w:space="0" w:color="auto"/>
        <w:bottom w:val="none" w:sz="0" w:space="0" w:color="auto"/>
        <w:right w:val="none" w:sz="0" w:space="0" w:color="auto"/>
      </w:divBdr>
    </w:div>
    <w:div w:id="1342581100">
      <w:bodyDiv w:val="1"/>
      <w:marLeft w:val="0"/>
      <w:marRight w:val="0"/>
      <w:marTop w:val="0"/>
      <w:marBottom w:val="0"/>
      <w:divBdr>
        <w:top w:val="none" w:sz="0" w:space="0" w:color="auto"/>
        <w:left w:val="none" w:sz="0" w:space="0" w:color="auto"/>
        <w:bottom w:val="none" w:sz="0" w:space="0" w:color="auto"/>
        <w:right w:val="none" w:sz="0" w:space="0" w:color="auto"/>
      </w:divBdr>
    </w:div>
    <w:div w:id="1342589957">
      <w:bodyDiv w:val="1"/>
      <w:marLeft w:val="0"/>
      <w:marRight w:val="0"/>
      <w:marTop w:val="0"/>
      <w:marBottom w:val="0"/>
      <w:divBdr>
        <w:top w:val="none" w:sz="0" w:space="0" w:color="auto"/>
        <w:left w:val="none" w:sz="0" w:space="0" w:color="auto"/>
        <w:bottom w:val="none" w:sz="0" w:space="0" w:color="auto"/>
        <w:right w:val="none" w:sz="0" w:space="0" w:color="auto"/>
      </w:divBdr>
    </w:div>
    <w:div w:id="1342704920">
      <w:bodyDiv w:val="1"/>
      <w:marLeft w:val="0"/>
      <w:marRight w:val="0"/>
      <w:marTop w:val="0"/>
      <w:marBottom w:val="0"/>
      <w:divBdr>
        <w:top w:val="none" w:sz="0" w:space="0" w:color="auto"/>
        <w:left w:val="none" w:sz="0" w:space="0" w:color="auto"/>
        <w:bottom w:val="none" w:sz="0" w:space="0" w:color="auto"/>
        <w:right w:val="none" w:sz="0" w:space="0" w:color="auto"/>
      </w:divBdr>
    </w:div>
    <w:div w:id="1342775710">
      <w:bodyDiv w:val="1"/>
      <w:marLeft w:val="0"/>
      <w:marRight w:val="0"/>
      <w:marTop w:val="0"/>
      <w:marBottom w:val="0"/>
      <w:divBdr>
        <w:top w:val="none" w:sz="0" w:space="0" w:color="auto"/>
        <w:left w:val="none" w:sz="0" w:space="0" w:color="auto"/>
        <w:bottom w:val="none" w:sz="0" w:space="0" w:color="auto"/>
        <w:right w:val="none" w:sz="0" w:space="0" w:color="auto"/>
      </w:divBdr>
    </w:div>
    <w:div w:id="1342854639">
      <w:bodyDiv w:val="1"/>
      <w:marLeft w:val="0"/>
      <w:marRight w:val="0"/>
      <w:marTop w:val="0"/>
      <w:marBottom w:val="0"/>
      <w:divBdr>
        <w:top w:val="none" w:sz="0" w:space="0" w:color="auto"/>
        <w:left w:val="none" w:sz="0" w:space="0" w:color="auto"/>
        <w:bottom w:val="none" w:sz="0" w:space="0" w:color="auto"/>
        <w:right w:val="none" w:sz="0" w:space="0" w:color="auto"/>
      </w:divBdr>
    </w:div>
    <w:div w:id="1342925951">
      <w:bodyDiv w:val="1"/>
      <w:marLeft w:val="0"/>
      <w:marRight w:val="0"/>
      <w:marTop w:val="0"/>
      <w:marBottom w:val="0"/>
      <w:divBdr>
        <w:top w:val="none" w:sz="0" w:space="0" w:color="auto"/>
        <w:left w:val="none" w:sz="0" w:space="0" w:color="auto"/>
        <w:bottom w:val="none" w:sz="0" w:space="0" w:color="auto"/>
        <w:right w:val="none" w:sz="0" w:space="0" w:color="auto"/>
      </w:divBdr>
    </w:div>
    <w:div w:id="1342927712">
      <w:bodyDiv w:val="1"/>
      <w:marLeft w:val="0"/>
      <w:marRight w:val="0"/>
      <w:marTop w:val="0"/>
      <w:marBottom w:val="0"/>
      <w:divBdr>
        <w:top w:val="none" w:sz="0" w:space="0" w:color="auto"/>
        <w:left w:val="none" w:sz="0" w:space="0" w:color="auto"/>
        <w:bottom w:val="none" w:sz="0" w:space="0" w:color="auto"/>
        <w:right w:val="none" w:sz="0" w:space="0" w:color="auto"/>
      </w:divBdr>
    </w:div>
    <w:div w:id="1342928176">
      <w:bodyDiv w:val="1"/>
      <w:marLeft w:val="0"/>
      <w:marRight w:val="0"/>
      <w:marTop w:val="0"/>
      <w:marBottom w:val="0"/>
      <w:divBdr>
        <w:top w:val="none" w:sz="0" w:space="0" w:color="auto"/>
        <w:left w:val="none" w:sz="0" w:space="0" w:color="auto"/>
        <w:bottom w:val="none" w:sz="0" w:space="0" w:color="auto"/>
        <w:right w:val="none" w:sz="0" w:space="0" w:color="auto"/>
      </w:divBdr>
    </w:div>
    <w:div w:id="1342976032">
      <w:bodyDiv w:val="1"/>
      <w:marLeft w:val="0"/>
      <w:marRight w:val="0"/>
      <w:marTop w:val="0"/>
      <w:marBottom w:val="0"/>
      <w:divBdr>
        <w:top w:val="none" w:sz="0" w:space="0" w:color="auto"/>
        <w:left w:val="none" w:sz="0" w:space="0" w:color="auto"/>
        <w:bottom w:val="none" w:sz="0" w:space="0" w:color="auto"/>
        <w:right w:val="none" w:sz="0" w:space="0" w:color="auto"/>
      </w:divBdr>
    </w:div>
    <w:div w:id="1343043504">
      <w:bodyDiv w:val="1"/>
      <w:marLeft w:val="0"/>
      <w:marRight w:val="0"/>
      <w:marTop w:val="0"/>
      <w:marBottom w:val="0"/>
      <w:divBdr>
        <w:top w:val="none" w:sz="0" w:space="0" w:color="auto"/>
        <w:left w:val="none" w:sz="0" w:space="0" w:color="auto"/>
        <w:bottom w:val="none" w:sz="0" w:space="0" w:color="auto"/>
        <w:right w:val="none" w:sz="0" w:space="0" w:color="auto"/>
      </w:divBdr>
    </w:div>
    <w:div w:id="1343043906">
      <w:bodyDiv w:val="1"/>
      <w:marLeft w:val="0"/>
      <w:marRight w:val="0"/>
      <w:marTop w:val="0"/>
      <w:marBottom w:val="0"/>
      <w:divBdr>
        <w:top w:val="none" w:sz="0" w:space="0" w:color="auto"/>
        <w:left w:val="none" w:sz="0" w:space="0" w:color="auto"/>
        <w:bottom w:val="none" w:sz="0" w:space="0" w:color="auto"/>
        <w:right w:val="none" w:sz="0" w:space="0" w:color="auto"/>
      </w:divBdr>
    </w:div>
    <w:div w:id="1343095395">
      <w:bodyDiv w:val="1"/>
      <w:marLeft w:val="0"/>
      <w:marRight w:val="0"/>
      <w:marTop w:val="0"/>
      <w:marBottom w:val="0"/>
      <w:divBdr>
        <w:top w:val="none" w:sz="0" w:space="0" w:color="auto"/>
        <w:left w:val="none" w:sz="0" w:space="0" w:color="auto"/>
        <w:bottom w:val="none" w:sz="0" w:space="0" w:color="auto"/>
        <w:right w:val="none" w:sz="0" w:space="0" w:color="auto"/>
      </w:divBdr>
    </w:div>
    <w:div w:id="1343244450">
      <w:bodyDiv w:val="1"/>
      <w:marLeft w:val="0"/>
      <w:marRight w:val="0"/>
      <w:marTop w:val="0"/>
      <w:marBottom w:val="0"/>
      <w:divBdr>
        <w:top w:val="none" w:sz="0" w:space="0" w:color="auto"/>
        <w:left w:val="none" w:sz="0" w:space="0" w:color="auto"/>
        <w:bottom w:val="none" w:sz="0" w:space="0" w:color="auto"/>
        <w:right w:val="none" w:sz="0" w:space="0" w:color="auto"/>
      </w:divBdr>
    </w:div>
    <w:div w:id="1343388784">
      <w:bodyDiv w:val="1"/>
      <w:marLeft w:val="0"/>
      <w:marRight w:val="0"/>
      <w:marTop w:val="0"/>
      <w:marBottom w:val="0"/>
      <w:divBdr>
        <w:top w:val="none" w:sz="0" w:space="0" w:color="auto"/>
        <w:left w:val="none" w:sz="0" w:space="0" w:color="auto"/>
        <w:bottom w:val="none" w:sz="0" w:space="0" w:color="auto"/>
        <w:right w:val="none" w:sz="0" w:space="0" w:color="auto"/>
      </w:divBdr>
    </w:div>
    <w:div w:id="1343432757">
      <w:bodyDiv w:val="1"/>
      <w:marLeft w:val="0"/>
      <w:marRight w:val="0"/>
      <w:marTop w:val="0"/>
      <w:marBottom w:val="0"/>
      <w:divBdr>
        <w:top w:val="none" w:sz="0" w:space="0" w:color="auto"/>
        <w:left w:val="none" w:sz="0" w:space="0" w:color="auto"/>
        <w:bottom w:val="none" w:sz="0" w:space="0" w:color="auto"/>
        <w:right w:val="none" w:sz="0" w:space="0" w:color="auto"/>
      </w:divBdr>
    </w:div>
    <w:div w:id="1343435779">
      <w:bodyDiv w:val="1"/>
      <w:marLeft w:val="0"/>
      <w:marRight w:val="0"/>
      <w:marTop w:val="0"/>
      <w:marBottom w:val="0"/>
      <w:divBdr>
        <w:top w:val="none" w:sz="0" w:space="0" w:color="auto"/>
        <w:left w:val="none" w:sz="0" w:space="0" w:color="auto"/>
        <w:bottom w:val="none" w:sz="0" w:space="0" w:color="auto"/>
        <w:right w:val="none" w:sz="0" w:space="0" w:color="auto"/>
      </w:divBdr>
    </w:div>
    <w:div w:id="1343508244">
      <w:bodyDiv w:val="1"/>
      <w:marLeft w:val="0"/>
      <w:marRight w:val="0"/>
      <w:marTop w:val="0"/>
      <w:marBottom w:val="0"/>
      <w:divBdr>
        <w:top w:val="none" w:sz="0" w:space="0" w:color="auto"/>
        <w:left w:val="none" w:sz="0" w:space="0" w:color="auto"/>
        <w:bottom w:val="none" w:sz="0" w:space="0" w:color="auto"/>
        <w:right w:val="none" w:sz="0" w:space="0" w:color="auto"/>
      </w:divBdr>
    </w:div>
    <w:div w:id="1343509183">
      <w:bodyDiv w:val="1"/>
      <w:marLeft w:val="0"/>
      <w:marRight w:val="0"/>
      <w:marTop w:val="0"/>
      <w:marBottom w:val="0"/>
      <w:divBdr>
        <w:top w:val="none" w:sz="0" w:space="0" w:color="auto"/>
        <w:left w:val="none" w:sz="0" w:space="0" w:color="auto"/>
        <w:bottom w:val="none" w:sz="0" w:space="0" w:color="auto"/>
        <w:right w:val="none" w:sz="0" w:space="0" w:color="auto"/>
      </w:divBdr>
    </w:div>
    <w:div w:id="1343583908">
      <w:bodyDiv w:val="1"/>
      <w:marLeft w:val="0"/>
      <w:marRight w:val="0"/>
      <w:marTop w:val="0"/>
      <w:marBottom w:val="0"/>
      <w:divBdr>
        <w:top w:val="none" w:sz="0" w:space="0" w:color="auto"/>
        <w:left w:val="none" w:sz="0" w:space="0" w:color="auto"/>
        <w:bottom w:val="none" w:sz="0" w:space="0" w:color="auto"/>
        <w:right w:val="none" w:sz="0" w:space="0" w:color="auto"/>
      </w:divBdr>
    </w:div>
    <w:div w:id="1343623277">
      <w:bodyDiv w:val="1"/>
      <w:marLeft w:val="0"/>
      <w:marRight w:val="0"/>
      <w:marTop w:val="0"/>
      <w:marBottom w:val="0"/>
      <w:divBdr>
        <w:top w:val="none" w:sz="0" w:space="0" w:color="auto"/>
        <w:left w:val="none" w:sz="0" w:space="0" w:color="auto"/>
        <w:bottom w:val="none" w:sz="0" w:space="0" w:color="auto"/>
        <w:right w:val="none" w:sz="0" w:space="0" w:color="auto"/>
      </w:divBdr>
    </w:div>
    <w:div w:id="1343700921">
      <w:bodyDiv w:val="1"/>
      <w:marLeft w:val="0"/>
      <w:marRight w:val="0"/>
      <w:marTop w:val="0"/>
      <w:marBottom w:val="0"/>
      <w:divBdr>
        <w:top w:val="none" w:sz="0" w:space="0" w:color="auto"/>
        <w:left w:val="none" w:sz="0" w:space="0" w:color="auto"/>
        <w:bottom w:val="none" w:sz="0" w:space="0" w:color="auto"/>
        <w:right w:val="none" w:sz="0" w:space="0" w:color="auto"/>
      </w:divBdr>
    </w:div>
    <w:div w:id="1343822668">
      <w:bodyDiv w:val="1"/>
      <w:marLeft w:val="0"/>
      <w:marRight w:val="0"/>
      <w:marTop w:val="0"/>
      <w:marBottom w:val="0"/>
      <w:divBdr>
        <w:top w:val="none" w:sz="0" w:space="0" w:color="auto"/>
        <w:left w:val="none" w:sz="0" w:space="0" w:color="auto"/>
        <w:bottom w:val="none" w:sz="0" w:space="0" w:color="auto"/>
        <w:right w:val="none" w:sz="0" w:space="0" w:color="auto"/>
      </w:divBdr>
    </w:div>
    <w:div w:id="1343894788">
      <w:bodyDiv w:val="1"/>
      <w:marLeft w:val="0"/>
      <w:marRight w:val="0"/>
      <w:marTop w:val="0"/>
      <w:marBottom w:val="0"/>
      <w:divBdr>
        <w:top w:val="none" w:sz="0" w:space="0" w:color="auto"/>
        <w:left w:val="none" w:sz="0" w:space="0" w:color="auto"/>
        <w:bottom w:val="none" w:sz="0" w:space="0" w:color="auto"/>
        <w:right w:val="none" w:sz="0" w:space="0" w:color="auto"/>
      </w:divBdr>
    </w:div>
    <w:div w:id="1343894975">
      <w:bodyDiv w:val="1"/>
      <w:marLeft w:val="0"/>
      <w:marRight w:val="0"/>
      <w:marTop w:val="0"/>
      <w:marBottom w:val="0"/>
      <w:divBdr>
        <w:top w:val="none" w:sz="0" w:space="0" w:color="auto"/>
        <w:left w:val="none" w:sz="0" w:space="0" w:color="auto"/>
        <w:bottom w:val="none" w:sz="0" w:space="0" w:color="auto"/>
        <w:right w:val="none" w:sz="0" w:space="0" w:color="auto"/>
      </w:divBdr>
    </w:div>
    <w:div w:id="1344043409">
      <w:bodyDiv w:val="1"/>
      <w:marLeft w:val="0"/>
      <w:marRight w:val="0"/>
      <w:marTop w:val="0"/>
      <w:marBottom w:val="0"/>
      <w:divBdr>
        <w:top w:val="none" w:sz="0" w:space="0" w:color="auto"/>
        <w:left w:val="none" w:sz="0" w:space="0" w:color="auto"/>
        <w:bottom w:val="none" w:sz="0" w:space="0" w:color="auto"/>
        <w:right w:val="none" w:sz="0" w:space="0" w:color="auto"/>
      </w:divBdr>
    </w:div>
    <w:div w:id="1344089930">
      <w:bodyDiv w:val="1"/>
      <w:marLeft w:val="0"/>
      <w:marRight w:val="0"/>
      <w:marTop w:val="0"/>
      <w:marBottom w:val="0"/>
      <w:divBdr>
        <w:top w:val="none" w:sz="0" w:space="0" w:color="auto"/>
        <w:left w:val="none" w:sz="0" w:space="0" w:color="auto"/>
        <w:bottom w:val="none" w:sz="0" w:space="0" w:color="auto"/>
        <w:right w:val="none" w:sz="0" w:space="0" w:color="auto"/>
      </w:divBdr>
    </w:div>
    <w:div w:id="1344091340">
      <w:bodyDiv w:val="1"/>
      <w:marLeft w:val="0"/>
      <w:marRight w:val="0"/>
      <w:marTop w:val="0"/>
      <w:marBottom w:val="0"/>
      <w:divBdr>
        <w:top w:val="none" w:sz="0" w:space="0" w:color="auto"/>
        <w:left w:val="none" w:sz="0" w:space="0" w:color="auto"/>
        <w:bottom w:val="none" w:sz="0" w:space="0" w:color="auto"/>
        <w:right w:val="none" w:sz="0" w:space="0" w:color="auto"/>
      </w:divBdr>
    </w:div>
    <w:div w:id="1344169938">
      <w:bodyDiv w:val="1"/>
      <w:marLeft w:val="0"/>
      <w:marRight w:val="0"/>
      <w:marTop w:val="0"/>
      <w:marBottom w:val="0"/>
      <w:divBdr>
        <w:top w:val="none" w:sz="0" w:space="0" w:color="auto"/>
        <w:left w:val="none" w:sz="0" w:space="0" w:color="auto"/>
        <w:bottom w:val="none" w:sz="0" w:space="0" w:color="auto"/>
        <w:right w:val="none" w:sz="0" w:space="0" w:color="auto"/>
      </w:divBdr>
    </w:div>
    <w:div w:id="1344238322">
      <w:bodyDiv w:val="1"/>
      <w:marLeft w:val="0"/>
      <w:marRight w:val="0"/>
      <w:marTop w:val="0"/>
      <w:marBottom w:val="0"/>
      <w:divBdr>
        <w:top w:val="none" w:sz="0" w:space="0" w:color="auto"/>
        <w:left w:val="none" w:sz="0" w:space="0" w:color="auto"/>
        <w:bottom w:val="none" w:sz="0" w:space="0" w:color="auto"/>
        <w:right w:val="none" w:sz="0" w:space="0" w:color="auto"/>
      </w:divBdr>
    </w:div>
    <w:div w:id="1344281727">
      <w:bodyDiv w:val="1"/>
      <w:marLeft w:val="0"/>
      <w:marRight w:val="0"/>
      <w:marTop w:val="0"/>
      <w:marBottom w:val="0"/>
      <w:divBdr>
        <w:top w:val="none" w:sz="0" w:space="0" w:color="auto"/>
        <w:left w:val="none" w:sz="0" w:space="0" w:color="auto"/>
        <w:bottom w:val="none" w:sz="0" w:space="0" w:color="auto"/>
        <w:right w:val="none" w:sz="0" w:space="0" w:color="auto"/>
      </w:divBdr>
    </w:div>
    <w:div w:id="1344282763">
      <w:bodyDiv w:val="1"/>
      <w:marLeft w:val="0"/>
      <w:marRight w:val="0"/>
      <w:marTop w:val="0"/>
      <w:marBottom w:val="0"/>
      <w:divBdr>
        <w:top w:val="none" w:sz="0" w:space="0" w:color="auto"/>
        <w:left w:val="none" w:sz="0" w:space="0" w:color="auto"/>
        <w:bottom w:val="none" w:sz="0" w:space="0" w:color="auto"/>
        <w:right w:val="none" w:sz="0" w:space="0" w:color="auto"/>
      </w:divBdr>
    </w:div>
    <w:div w:id="1344286556">
      <w:bodyDiv w:val="1"/>
      <w:marLeft w:val="0"/>
      <w:marRight w:val="0"/>
      <w:marTop w:val="0"/>
      <w:marBottom w:val="0"/>
      <w:divBdr>
        <w:top w:val="none" w:sz="0" w:space="0" w:color="auto"/>
        <w:left w:val="none" w:sz="0" w:space="0" w:color="auto"/>
        <w:bottom w:val="none" w:sz="0" w:space="0" w:color="auto"/>
        <w:right w:val="none" w:sz="0" w:space="0" w:color="auto"/>
      </w:divBdr>
    </w:div>
    <w:div w:id="1344354517">
      <w:bodyDiv w:val="1"/>
      <w:marLeft w:val="0"/>
      <w:marRight w:val="0"/>
      <w:marTop w:val="0"/>
      <w:marBottom w:val="0"/>
      <w:divBdr>
        <w:top w:val="none" w:sz="0" w:space="0" w:color="auto"/>
        <w:left w:val="none" w:sz="0" w:space="0" w:color="auto"/>
        <w:bottom w:val="none" w:sz="0" w:space="0" w:color="auto"/>
        <w:right w:val="none" w:sz="0" w:space="0" w:color="auto"/>
      </w:divBdr>
    </w:div>
    <w:div w:id="1344358858">
      <w:bodyDiv w:val="1"/>
      <w:marLeft w:val="0"/>
      <w:marRight w:val="0"/>
      <w:marTop w:val="0"/>
      <w:marBottom w:val="0"/>
      <w:divBdr>
        <w:top w:val="none" w:sz="0" w:space="0" w:color="auto"/>
        <w:left w:val="none" w:sz="0" w:space="0" w:color="auto"/>
        <w:bottom w:val="none" w:sz="0" w:space="0" w:color="auto"/>
        <w:right w:val="none" w:sz="0" w:space="0" w:color="auto"/>
      </w:divBdr>
    </w:div>
    <w:div w:id="1344405831">
      <w:bodyDiv w:val="1"/>
      <w:marLeft w:val="0"/>
      <w:marRight w:val="0"/>
      <w:marTop w:val="0"/>
      <w:marBottom w:val="0"/>
      <w:divBdr>
        <w:top w:val="none" w:sz="0" w:space="0" w:color="auto"/>
        <w:left w:val="none" w:sz="0" w:space="0" w:color="auto"/>
        <w:bottom w:val="none" w:sz="0" w:space="0" w:color="auto"/>
        <w:right w:val="none" w:sz="0" w:space="0" w:color="auto"/>
      </w:divBdr>
    </w:div>
    <w:div w:id="1344550487">
      <w:bodyDiv w:val="1"/>
      <w:marLeft w:val="0"/>
      <w:marRight w:val="0"/>
      <w:marTop w:val="0"/>
      <w:marBottom w:val="0"/>
      <w:divBdr>
        <w:top w:val="none" w:sz="0" w:space="0" w:color="auto"/>
        <w:left w:val="none" w:sz="0" w:space="0" w:color="auto"/>
        <w:bottom w:val="none" w:sz="0" w:space="0" w:color="auto"/>
        <w:right w:val="none" w:sz="0" w:space="0" w:color="auto"/>
      </w:divBdr>
    </w:div>
    <w:div w:id="1344553238">
      <w:bodyDiv w:val="1"/>
      <w:marLeft w:val="0"/>
      <w:marRight w:val="0"/>
      <w:marTop w:val="0"/>
      <w:marBottom w:val="0"/>
      <w:divBdr>
        <w:top w:val="none" w:sz="0" w:space="0" w:color="auto"/>
        <w:left w:val="none" w:sz="0" w:space="0" w:color="auto"/>
        <w:bottom w:val="none" w:sz="0" w:space="0" w:color="auto"/>
        <w:right w:val="none" w:sz="0" w:space="0" w:color="auto"/>
      </w:divBdr>
    </w:div>
    <w:div w:id="1344624774">
      <w:bodyDiv w:val="1"/>
      <w:marLeft w:val="0"/>
      <w:marRight w:val="0"/>
      <w:marTop w:val="0"/>
      <w:marBottom w:val="0"/>
      <w:divBdr>
        <w:top w:val="none" w:sz="0" w:space="0" w:color="auto"/>
        <w:left w:val="none" w:sz="0" w:space="0" w:color="auto"/>
        <w:bottom w:val="none" w:sz="0" w:space="0" w:color="auto"/>
        <w:right w:val="none" w:sz="0" w:space="0" w:color="auto"/>
      </w:divBdr>
    </w:div>
    <w:div w:id="1344744013">
      <w:bodyDiv w:val="1"/>
      <w:marLeft w:val="0"/>
      <w:marRight w:val="0"/>
      <w:marTop w:val="0"/>
      <w:marBottom w:val="0"/>
      <w:divBdr>
        <w:top w:val="none" w:sz="0" w:space="0" w:color="auto"/>
        <w:left w:val="none" w:sz="0" w:space="0" w:color="auto"/>
        <w:bottom w:val="none" w:sz="0" w:space="0" w:color="auto"/>
        <w:right w:val="none" w:sz="0" w:space="0" w:color="auto"/>
      </w:divBdr>
    </w:div>
    <w:div w:id="1344823620">
      <w:bodyDiv w:val="1"/>
      <w:marLeft w:val="0"/>
      <w:marRight w:val="0"/>
      <w:marTop w:val="0"/>
      <w:marBottom w:val="0"/>
      <w:divBdr>
        <w:top w:val="none" w:sz="0" w:space="0" w:color="auto"/>
        <w:left w:val="none" w:sz="0" w:space="0" w:color="auto"/>
        <w:bottom w:val="none" w:sz="0" w:space="0" w:color="auto"/>
        <w:right w:val="none" w:sz="0" w:space="0" w:color="auto"/>
      </w:divBdr>
    </w:div>
    <w:div w:id="1344894578">
      <w:bodyDiv w:val="1"/>
      <w:marLeft w:val="0"/>
      <w:marRight w:val="0"/>
      <w:marTop w:val="0"/>
      <w:marBottom w:val="0"/>
      <w:divBdr>
        <w:top w:val="none" w:sz="0" w:space="0" w:color="auto"/>
        <w:left w:val="none" w:sz="0" w:space="0" w:color="auto"/>
        <w:bottom w:val="none" w:sz="0" w:space="0" w:color="auto"/>
        <w:right w:val="none" w:sz="0" w:space="0" w:color="auto"/>
      </w:divBdr>
    </w:div>
    <w:div w:id="1345085995">
      <w:bodyDiv w:val="1"/>
      <w:marLeft w:val="0"/>
      <w:marRight w:val="0"/>
      <w:marTop w:val="0"/>
      <w:marBottom w:val="0"/>
      <w:divBdr>
        <w:top w:val="none" w:sz="0" w:space="0" w:color="auto"/>
        <w:left w:val="none" w:sz="0" w:space="0" w:color="auto"/>
        <w:bottom w:val="none" w:sz="0" w:space="0" w:color="auto"/>
        <w:right w:val="none" w:sz="0" w:space="0" w:color="auto"/>
      </w:divBdr>
    </w:div>
    <w:div w:id="1345127979">
      <w:bodyDiv w:val="1"/>
      <w:marLeft w:val="0"/>
      <w:marRight w:val="0"/>
      <w:marTop w:val="0"/>
      <w:marBottom w:val="0"/>
      <w:divBdr>
        <w:top w:val="none" w:sz="0" w:space="0" w:color="auto"/>
        <w:left w:val="none" w:sz="0" w:space="0" w:color="auto"/>
        <w:bottom w:val="none" w:sz="0" w:space="0" w:color="auto"/>
        <w:right w:val="none" w:sz="0" w:space="0" w:color="auto"/>
      </w:divBdr>
    </w:div>
    <w:div w:id="1345327473">
      <w:bodyDiv w:val="1"/>
      <w:marLeft w:val="0"/>
      <w:marRight w:val="0"/>
      <w:marTop w:val="0"/>
      <w:marBottom w:val="0"/>
      <w:divBdr>
        <w:top w:val="none" w:sz="0" w:space="0" w:color="auto"/>
        <w:left w:val="none" w:sz="0" w:space="0" w:color="auto"/>
        <w:bottom w:val="none" w:sz="0" w:space="0" w:color="auto"/>
        <w:right w:val="none" w:sz="0" w:space="0" w:color="auto"/>
      </w:divBdr>
    </w:div>
    <w:div w:id="1345355084">
      <w:bodyDiv w:val="1"/>
      <w:marLeft w:val="0"/>
      <w:marRight w:val="0"/>
      <w:marTop w:val="0"/>
      <w:marBottom w:val="0"/>
      <w:divBdr>
        <w:top w:val="none" w:sz="0" w:space="0" w:color="auto"/>
        <w:left w:val="none" w:sz="0" w:space="0" w:color="auto"/>
        <w:bottom w:val="none" w:sz="0" w:space="0" w:color="auto"/>
        <w:right w:val="none" w:sz="0" w:space="0" w:color="auto"/>
      </w:divBdr>
    </w:div>
    <w:div w:id="1345474617">
      <w:bodyDiv w:val="1"/>
      <w:marLeft w:val="0"/>
      <w:marRight w:val="0"/>
      <w:marTop w:val="0"/>
      <w:marBottom w:val="0"/>
      <w:divBdr>
        <w:top w:val="none" w:sz="0" w:space="0" w:color="auto"/>
        <w:left w:val="none" w:sz="0" w:space="0" w:color="auto"/>
        <w:bottom w:val="none" w:sz="0" w:space="0" w:color="auto"/>
        <w:right w:val="none" w:sz="0" w:space="0" w:color="auto"/>
      </w:divBdr>
    </w:div>
    <w:div w:id="1345550754">
      <w:bodyDiv w:val="1"/>
      <w:marLeft w:val="0"/>
      <w:marRight w:val="0"/>
      <w:marTop w:val="0"/>
      <w:marBottom w:val="0"/>
      <w:divBdr>
        <w:top w:val="none" w:sz="0" w:space="0" w:color="auto"/>
        <w:left w:val="none" w:sz="0" w:space="0" w:color="auto"/>
        <w:bottom w:val="none" w:sz="0" w:space="0" w:color="auto"/>
        <w:right w:val="none" w:sz="0" w:space="0" w:color="auto"/>
      </w:divBdr>
    </w:div>
    <w:div w:id="1345598327">
      <w:bodyDiv w:val="1"/>
      <w:marLeft w:val="0"/>
      <w:marRight w:val="0"/>
      <w:marTop w:val="0"/>
      <w:marBottom w:val="0"/>
      <w:divBdr>
        <w:top w:val="none" w:sz="0" w:space="0" w:color="auto"/>
        <w:left w:val="none" w:sz="0" w:space="0" w:color="auto"/>
        <w:bottom w:val="none" w:sz="0" w:space="0" w:color="auto"/>
        <w:right w:val="none" w:sz="0" w:space="0" w:color="auto"/>
      </w:divBdr>
    </w:div>
    <w:div w:id="1345673493">
      <w:bodyDiv w:val="1"/>
      <w:marLeft w:val="0"/>
      <w:marRight w:val="0"/>
      <w:marTop w:val="0"/>
      <w:marBottom w:val="0"/>
      <w:divBdr>
        <w:top w:val="none" w:sz="0" w:space="0" w:color="auto"/>
        <w:left w:val="none" w:sz="0" w:space="0" w:color="auto"/>
        <w:bottom w:val="none" w:sz="0" w:space="0" w:color="auto"/>
        <w:right w:val="none" w:sz="0" w:space="0" w:color="auto"/>
      </w:divBdr>
    </w:div>
    <w:div w:id="1345744239">
      <w:bodyDiv w:val="1"/>
      <w:marLeft w:val="0"/>
      <w:marRight w:val="0"/>
      <w:marTop w:val="0"/>
      <w:marBottom w:val="0"/>
      <w:divBdr>
        <w:top w:val="none" w:sz="0" w:space="0" w:color="auto"/>
        <w:left w:val="none" w:sz="0" w:space="0" w:color="auto"/>
        <w:bottom w:val="none" w:sz="0" w:space="0" w:color="auto"/>
        <w:right w:val="none" w:sz="0" w:space="0" w:color="auto"/>
      </w:divBdr>
    </w:div>
    <w:div w:id="1345748805">
      <w:bodyDiv w:val="1"/>
      <w:marLeft w:val="0"/>
      <w:marRight w:val="0"/>
      <w:marTop w:val="0"/>
      <w:marBottom w:val="0"/>
      <w:divBdr>
        <w:top w:val="none" w:sz="0" w:space="0" w:color="auto"/>
        <w:left w:val="none" w:sz="0" w:space="0" w:color="auto"/>
        <w:bottom w:val="none" w:sz="0" w:space="0" w:color="auto"/>
        <w:right w:val="none" w:sz="0" w:space="0" w:color="auto"/>
      </w:divBdr>
    </w:div>
    <w:div w:id="1345787517">
      <w:bodyDiv w:val="1"/>
      <w:marLeft w:val="0"/>
      <w:marRight w:val="0"/>
      <w:marTop w:val="0"/>
      <w:marBottom w:val="0"/>
      <w:divBdr>
        <w:top w:val="none" w:sz="0" w:space="0" w:color="auto"/>
        <w:left w:val="none" w:sz="0" w:space="0" w:color="auto"/>
        <w:bottom w:val="none" w:sz="0" w:space="0" w:color="auto"/>
        <w:right w:val="none" w:sz="0" w:space="0" w:color="auto"/>
      </w:divBdr>
    </w:div>
    <w:div w:id="1345985103">
      <w:bodyDiv w:val="1"/>
      <w:marLeft w:val="0"/>
      <w:marRight w:val="0"/>
      <w:marTop w:val="0"/>
      <w:marBottom w:val="0"/>
      <w:divBdr>
        <w:top w:val="none" w:sz="0" w:space="0" w:color="auto"/>
        <w:left w:val="none" w:sz="0" w:space="0" w:color="auto"/>
        <w:bottom w:val="none" w:sz="0" w:space="0" w:color="auto"/>
        <w:right w:val="none" w:sz="0" w:space="0" w:color="auto"/>
      </w:divBdr>
    </w:div>
    <w:div w:id="1346009700">
      <w:bodyDiv w:val="1"/>
      <w:marLeft w:val="0"/>
      <w:marRight w:val="0"/>
      <w:marTop w:val="0"/>
      <w:marBottom w:val="0"/>
      <w:divBdr>
        <w:top w:val="none" w:sz="0" w:space="0" w:color="auto"/>
        <w:left w:val="none" w:sz="0" w:space="0" w:color="auto"/>
        <w:bottom w:val="none" w:sz="0" w:space="0" w:color="auto"/>
        <w:right w:val="none" w:sz="0" w:space="0" w:color="auto"/>
      </w:divBdr>
    </w:div>
    <w:div w:id="1346051493">
      <w:bodyDiv w:val="1"/>
      <w:marLeft w:val="0"/>
      <w:marRight w:val="0"/>
      <w:marTop w:val="0"/>
      <w:marBottom w:val="0"/>
      <w:divBdr>
        <w:top w:val="none" w:sz="0" w:space="0" w:color="auto"/>
        <w:left w:val="none" w:sz="0" w:space="0" w:color="auto"/>
        <w:bottom w:val="none" w:sz="0" w:space="0" w:color="auto"/>
        <w:right w:val="none" w:sz="0" w:space="0" w:color="auto"/>
      </w:divBdr>
    </w:div>
    <w:div w:id="1346059546">
      <w:bodyDiv w:val="1"/>
      <w:marLeft w:val="0"/>
      <w:marRight w:val="0"/>
      <w:marTop w:val="0"/>
      <w:marBottom w:val="0"/>
      <w:divBdr>
        <w:top w:val="none" w:sz="0" w:space="0" w:color="auto"/>
        <w:left w:val="none" w:sz="0" w:space="0" w:color="auto"/>
        <w:bottom w:val="none" w:sz="0" w:space="0" w:color="auto"/>
        <w:right w:val="none" w:sz="0" w:space="0" w:color="auto"/>
      </w:divBdr>
    </w:div>
    <w:div w:id="1346134089">
      <w:bodyDiv w:val="1"/>
      <w:marLeft w:val="0"/>
      <w:marRight w:val="0"/>
      <w:marTop w:val="0"/>
      <w:marBottom w:val="0"/>
      <w:divBdr>
        <w:top w:val="none" w:sz="0" w:space="0" w:color="auto"/>
        <w:left w:val="none" w:sz="0" w:space="0" w:color="auto"/>
        <w:bottom w:val="none" w:sz="0" w:space="0" w:color="auto"/>
        <w:right w:val="none" w:sz="0" w:space="0" w:color="auto"/>
      </w:divBdr>
    </w:div>
    <w:div w:id="1346177277">
      <w:bodyDiv w:val="1"/>
      <w:marLeft w:val="0"/>
      <w:marRight w:val="0"/>
      <w:marTop w:val="0"/>
      <w:marBottom w:val="0"/>
      <w:divBdr>
        <w:top w:val="none" w:sz="0" w:space="0" w:color="auto"/>
        <w:left w:val="none" w:sz="0" w:space="0" w:color="auto"/>
        <w:bottom w:val="none" w:sz="0" w:space="0" w:color="auto"/>
        <w:right w:val="none" w:sz="0" w:space="0" w:color="auto"/>
      </w:divBdr>
    </w:div>
    <w:div w:id="1346250242">
      <w:bodyDiv w:val="1"/>
      <w:marLeft w:val="0"/>
      <w:marRight w:val="0"/>
      <w:marTop w:val="0"/>
      <w:marBottom w:val="0"/>
      <w:divBdr>
        <w:top w:val="none" w:sz="0" w:space="0" w:color="auto"/>
        <w:left w:val="none" w:sz="0" w:space="0" w:color="auto"/>
        <w:bottom w:val="none" w:sz="0" w:space="0" w:color="auto"/>
        <w:right w:val="none" w:sz="0" w:space="0" w:color="auto"/>
      </w:divBdr>
    </w:div>
    <w:div w:id="1346327933">
      <w:bodyDiv w:val="1"/>
      <w:marLeft w:val="0"/>
      <w:marRight w:val="0"/>
      <w:marTop w:val="0"/>
      <w:marBottom w:val="0"/>
      <w:divBdr>
        <w:top w:val="none" w:sz="0" w:space="0" w:color="auto"/>
        <w:left w:val="none" w:sz="0" w:space="0" w:color="auto"/>
        <w:bottom w:val="none" w:sz="0" w:space="0" w:color="auto"/>
        <w:right w:val="none" w:sz="0" w:space="0" w:color="auto"/>
      </w:divBdr>
    </w:div>
    <w:div w:id="1346396893">
      <w:bodyDiv w:val="1"/>
      <w:marLeft w:val="0"/>
      <w:marRight w:val="0"/>
      <w:marTop w:val="0"/>
      <w:marBottom w:val="0"/>
      <w:divBdr>
        <w:top w:val="none" w:sz="0" w:space="0" w:color="auto"/>
        <w:left w:val="none" w:sz="0" w:space="0" w:color="auto"/>
        <w:bottom w:val="none" w:sz="0" w:space="0" w:color="auto"/>
        <w:right w:val="none" w:sz="0" w:space="0" w:color="auto"/>
      </w:divBdr>
    </w:div>
    <w:div w:id="1346596255">
      <w:bodyDiv w:val="1"/>
      <w:marLeft w:val="0"/>
      <w:marRight w:val="0"/>
      <w:marTop w:val="0"/>
      <w:marBottom w:val="0"/>
      <w:divBdr>
        <w:top w:val="none" w:sz="0" w:space="0" w:color="auto"/>
        <w:left w:val="none" w:sz="0" w:space="0" w:color="auto"/>
        <w:bottom w:val="none" w:sz="0" w:space="0" w:color="auto"/>
        <w:right w:val="none" w:sz="0" w:space="0" w:color="auto"/>
      </w:divBdr>
    </w:div>
    <w:div w:id="1346633745">
      <w:bodyDiv w:val="1"/>
      <w:marLeft w:val="0"/>
      <w:marRight w:val="0"/>
      <w:marTop w:val="0"/>
      <w:marBottom w:val="0"/>
      <w:divBdr>
        <w:top w:val="none" w:sz="0" w:space="0" w:color="auto"/>
        <w:left w:val="none" w:sz="0" w:space="0" w:color="auto"/>
        <w:bottom w:val="none" w:sz="0" w:space="0" w:color="auto"/>
        <w:right w:val="none" w:sz="0" w:space="0" w:color="auto"/>
      </w:divBdr>
    </w:div>
    <w:div w:id="1346634158">
      <w:bodyDiv w:val="1"/>
      <w:marLeft w:val="0"/>
      <w:marRight w:val="0"/>
      <w:marTop w:val="0"/>
      <w:marBottom w:val="0"/>
      <w:divBdr>
        <w:top w:val="none" w:sz="0" w:space="0" w:color="auto"/>
        <w:left w:val="none" w:sz="0" w:space="0" w:color="auto"/>
        <w:bottom w:val="none" w:sz="0" w:space="0" w:color="auto"/>
        <w:right w:val="none" w:sz="0" w:space="0" w:color="auto"/>
      </w:divBdr>
    </w:div>
    <w:div w:id="1346781985">
      <w:bodyDiv w:val="1"/>
      <w:marLeft w:val="0"/>
      <w:marRight w:val="0"/>
      <w:marTop w:val="0"/>
      <w:marBottom w:val="0"/>
      <w:divBdr>
        <w:top w:val="none" w:sz="0" w:space="0" w:color="auto"/>
        <w:left w:val="none" w:sz="0" w:space="0" w:color="auto"/>
        <w:bottom w:val="none" w:sz="0" w:space="0" w:color="auto"/>
        <w:right w:val="none" w:sz="0" w:space="0" w:color="auto"/>
      </w:divBdr>
    </w:div>
    <w:div w:id="1346785552">
      <w:bodyDiv w:val="1"/>
      <w:marLeft w:val="0"/>
      <w:marRight w:val="0"/>
      <w:marTop w:val="0"/>
      <w:marBottom w:val="0"/>
      <w:divBdr>
        <w:top w:val="none" w:sz="0" w:space="0" w:color="auto"/>
        <w:left w:val="none" w:sz="0" w:space="0" w:color="auto"/>
        <w:bottom w:val="none" w:sz="0" w:space="0" w:color="auto"/>
        <w:right w:val="none" w:sz="0" w:space="0" w:color="auto"/>
      </w:divBdr>
    </w:div>
    <w:div w:id="1346905327">
      <w:bodyDiv w:val="1"/>
      <w:marLeft w:val="0"/>
      <w:marRight w:val="0"/>
      <w:marTop w:val="0"/>
      <w:marBottom w:val="0"/>
      <w:divBdr>
        <w:top w:val="none" w:sz="0" w:space="0" w:color="auto"/>
        <w:left w:val="none" w:sz="0" w:space="0" w:color="auto"/>
        <w:bottom w:val="none" w:sz="0" w:space="0" w:color="auto"/>
        <w:right w:val="none" w:sz="0" w:space="0" w:color="auto"/>
      </w:divBdr>
    </w:div>
    <w:div w:id="1346980254">
      <w:bodyDiv w:val="1"/>
      <w:marLeft w:val="0"/>
      <w:marRight w:val="0"/>
      <w:marTop w:val="0"/>
      <w:marBottom w:val="0"/>
      <w:divBdr>
        <w:top w:val="none" w:sz="0" w:space="0" w:color="auto"/>
        <w:left w:val="none" w:sz="0" w:space="0" w:color="auto"/>
        <w:bottom w:val="none" w:sz="0" w:space="0" w:color="auto"/>
        <w:right w:val="none" w:sz="0" w:space="0" w:color="auto"/>
      </w:divBdr>
    </w:div>
    <w:div w:id="1346980809">
      <w:bodyDiv w:val="1"/>
      <w:marLeft w:val="0"/>
      <w:marRight w:val="0"/>
      <w:marTop w:val="0"/>
      <w:marBottom w:val="0"/>
      <w:divBdr>
        <w:top w:val="none" w:sz="0" w:space="0" w:color="auto"/>
        <w:left w:val="none" w:sz="0" w:space="0" w:color="auto"/>
        <w:bottom w:val="none" w:sz="0" w:space="0" w:color="auto"/>
        <w:right w:val="none" w:sz="0" w:space="0" w:color="auto"/>
      </w:divBdr>
    </w:div>
    <w:div w:id="1347057214">
      <w:bodyDiv w:val="1"/>
      <w:marLeft w:val="0"/>
      <w:marRight w:val="0"/>
      <w:marTop w:val="0"/>
      <w:marBottom w:val="0"/>
      <w:divBdr>
        <w:top w:val="none" w:sz="0" w:space="0" w:color="auto"/>
        <w:left w:val="none" w:sz="0" w:space="0" w:color="auto"/>
        <w:bottom w:val="none" w:sz="0" w:space="0" w:color="auto"/>
        <w:right w:val="none" w:sz="0" w:space="0" w:color="auto"/>
      </w:divBdr>
    </w:div>
    <w:div w:id="1347057754">
      <w:bodyDiv w:val="1"/>
      <w:marLeft w:val="0"/>
      <w:marRight w:val="0"/>
      <w:marTop w:val="0"/>
      <w:marBottom w:val="0"/>
      <w:divBdr>
        <w:top w:val="none" w:sz="0" w:space="0" w:color="auto"/>
        <w:left w:val="none" w:sz="0" w:space="0" w:color="auto"/>
        <w:bottom w:val="none" w:sz="0" w:space="0" w:color="auto"/>
        <w:right w:val="none" w:sz="0" w:space="0" w:color="auto"/>
      </w:divBdr>
    </w:div>
    <w:div w:id="1347094685">
      <w:bodyDiv w:val="1"/>
      <w:marLeft w:val="0"/>
      <w:marRight w:val="0"/>
      <w:marTop w:val="0"/>
      <w:marBottom w:val="0"/>
      <w:divBdr>
        <w:top w:val="none" w:sz="0" w:space="0" w:color="auto"/>
        <w:left w:val="none" w:sz="0" w:space="0" w:color="auto"/>
        <w:bottom w:val="none" w:sz="0" w:space="0" w:color="auto"/>
        <w:right w:val="none" w:sz="0" w:space="0" w:color="auto"/>
      </w:divBdr>
    </w:div>
    <w:div w:id="1347098804">
      <w:bodyDiv w:val="1"/>
      <w:marLeft w:val="0"/>
      <w:marRight w:val="0"/>
      <w:marTop w:val="0"/>
      <w:marBottom w:val="0"/>
      <w:divBdr>
        <w:top w:val="none" w:sz="0" w:space="0" w:color="auto"/>
        <w:left w:val="none" w:sz="0" w:space="0" w:color="auto"/>
        <w:bottom w:val="none" w:sz="0" w:space="0" w:color="auto"/>
        <w:right w:val="none" w:sz="0" w:space="0" w:color="auto"/>
      </w:divBdr>
    </w:div>
    <w:div w:id="1347102242">
      <w:bodyDiv w:val="1"/>
      <w:marLeft w:val="0"/>
      <w:marRight w:val="0"/>
      <w:marTop w:val="0"/>
      <w:marBottom w:val="0"/>
      <w:divBdr>
        <w:top w:val="none" w:sz="0" w:space="0" w:color="auto"/>
        <w:left w:val="none" w:sz="0" w:space="0" w:color="auto"/>
        <w:bottom w:val="none" w:sz="0" w:space="0" w:color="auto"/>
        <w:right w:val="none" w:sz="0" w:space="0" w:color="auto"/>
      </w:divBdr>
    </w:div>
    <w:div w:id="1347250248">
      <w:bodyDiv w:val="1"/>
      <w:marLeft w:val="0"/>
      <w:marRight w:val="0"/>
      <w:marTop w:val="0"/>
      <w:marBottom w:val="0"/>
      <w:divBdr>
        <w:top w:val="none" w:sz="0" w:space="0" w:color="auto"/>
        <w:left w:val="none" w:sz="0" w:space="0" w:color="auto"/>
        <w:bottom w:val="none" w:sz="0" w:space="0" w:color="auto"/>
        <w:right w:val="none" w:sz="0" w:space="0" w:color="auto"/>
      </w:divBdr>
    </w:div>
    <w:div w:id="1347321079">
      <w:bodyDiv w:val="1"/>
      <w:marLeft w:val="0"/>
      <w:marRight w:val="0"/>
      <w:marTop w:val="0"/>
      <w:marBottom w:val="0"/>
      <w:divBdr>
        <w:top w:val="none" w:sz="0" w:space="0" w:color="auto"/>
        <w:left w:val="none" w:sz="0" w:space="0" w:color="auto"/>
        <w:bottom w:val="none" w:sz="0" w:space="0" w:color="auto"/>
        <w:right w:val="none" w:sz="0" w:space="0" w:color="auto"/>
      </w:divBdr>
    </w:div>
    <w:div w:id="1347365578">
      <w:bodyDiv w:val="1"/>
      <w:marLeft w:val="0"/>
      <w:marRight w:val="0"/>
      <w:marTop w:val="0"/>
      <w:marBottom w:val="0"/>
      <w:divBdr>
        <w:top w:val="none" w:sz="0" w:space="0" w:color="auto"/>
        <w:left w:val="none" w:sz="0" w:space="0" w:color="auto"/>
        <w:bottom w:val="none" w:sz="0" w:space="0" w:color="auto"/>
        <w:right w:val="none" w:sz="0" w:space="0" w:color="auto"/>
      </w:divBdr>
    </w:div>
    <w:div w:id="1347368971">
      <w:bodyDiv w:val="1"/>
      <w:marLeft w:val="0"/>
      <w:marRight w:val="0"/>
      <w:marTop w:val="0"/>
      <w:marBottom w:val="0"/>
      <w:divBdr>
        <w:top w:val="none" w:sz="0" w:space="0" w:color="auto"/>
        <w:left w:val="none" w:sz="0" w:space="0" w:color="auto"/>
        <w:bottom w:val="none" w:sz="0" w:space="0" w:color="auto"/>
        <w:right w:val="none" w:sz="0" w:space="0" w:color="auto"/>
      </w:divBdr>
    </w:div>
    <w:div w:id="1347438029">
      <w:bodyDiv w:val="1"/>
      <w:marLeft w:val="0"/>
      <w:marRight w:val="0"/>
      <w:marTop w:val="0"/>
      <w:marBottom w:val="0"/>
      <w:divBdr>
        <w:top w:val="none" w:sz="0" w:space="0" w:color="auto"/>
        <w:left w:val="none" w:sz="0" w:space="0" w:color="auto"/>
        <w:bottom w:val="none" w:sz="0" w:space="0" w:color="auto"/>
        <w:right w:val="none" w:sz="0" w:space="0" w:color="auto"/>
      </w:divBdr>
    </w:div>
    <w:div w:id="1347517801">
      <w:bodyDiv w:val="1"/>
      <w:marLeft w:val="0"/>
      <w:marRight w:val="0"/>
      <w:marTop w:val="0"/>
      <w:marBottom w:val="0"/>
      <w:divBdr>
        <w:top w:val="none" w:sz="0" w:space="0" w:color="auto"/>
        <w:left w:val="none" w:sz="0" w:space="0" w:color="auto"/>
        <w:bottom w:val="none" w:sz="0" w:space="0" w:color="auto"/>
        <w:right w:val="none" w:sz="0" w:space="0" w:color="auto"/>
      </w:divBdr>
    </w:div>
    <w:div w:id="1347556157">
      <w:bodyDiv w:val="1"/>
      <w:marLeft w:val="0"/>
      <w:marRight w:val="0"/>
      <w:marTop w:val="0"/>
      <w:marBottom w:val="0"/>
      <w:divBdr>
        <w:top w:val="none" w:sz="0" w:space="0" w:color="auto"/>
        <w:left w:val="none" w:sz="0" w:space="0" w:color="auto"/>
        <w:bottom w:val="none" w:sz="0" w:space="0" w:color="auto"/>
        <w:right w:val="none" w:sz="0" w:space="0" w:color="auto"/>
      </w:divBdr>
    </w:div>
    <w:div w:id="1347558167">
      <w:bodyDiv w:val="1"/>
      <w:marLeft w:val="0"/>
      <w:marRight w:val="0"/>
      <w:marTop w:val="0"/>
      <w:marBottom w:val="0"/>
      <w:divBdr>
        <w:top w:val="none" w:sz="0" w:space="0" w:color="auto"/>
        <w:left w:val="none" w:sz="0" w:space="0" w:color="auto"/>
        <w:bottom w:val="none" w:sz="0" w:space="0" w:color="auto"/>
        <w:right w:val="none" w:sz="0" w:space="0" w:color="auto"/>
      </w:divBdr>
    </w:div>
    <w:div w:id="1347635051">
      <w:bodyDiv w:val="1"/>
      <w:marLeft w:val="0"/>
      <w:marRight w:val="0"/>
      <w:marTop w:val="0"/>
      <w:marBottom w:val="0"/>
      <w:divBdr>
        <w:top w:val="none" w:sz="0" w:space="0" w:color="auto"/>
        <w:left w:val="none" w:sz="0" w:space="0" w:color="auto"/>
        <w:bottom w:val="none" w:sz="0" w:space="0" w:color="auto"/>
        <w:right w:val="none" w:sz="0" w:space="0" w:color="auto"/>
      </w:divBdr>
    </w:div>
    <w:div w:id="1347637528">
      <w:bodyDiv w:val="1"/>
      <w:marLeft w:val="0"/>
      <w:marRight w:val="0"/>
      <w:marTop w:val="0"/>
      <w:marBottom w:val="0"/>
      <w:divBdr>
        <w:top w:val="none" w:sz="0" w:space="0" w:color="auto"/>
        <w:left w:val="none" w:sz="0" w:space="0" w:color="auto"/>
        <w:bottom w:val="none" w:sz="0" w:space="0" w:color="auto"/>
        <w:right w:val="none" w:sz="0" w:space="0" w:color="auto"/>
      </w:divBdr>
    </w:div>
    <w:div w:id="1347638302">
      <w:bodyDiv w:val="1"/>
      <w:marLeft w:val="0"/>
      <w:marRight w:val="0"/>
      <w:marTop w:val="0"/>
      <w:marBottom w:val="0"/>
      <w:divBdr>
        <w:top w:val="none" w:sz="0" w:space="0" w:color="auto"/>
        <w:left w:val="none" w:sz="0" w:space="0" w:color="auto"/>
        <w:bottom w:val="none" w:sz="0" w:space="0" w:color="auto"/>
        <w:right w:val="none" w:sz="0" w:space="0" w:color="auto"/>
      </w:divBdr>
    </w:div>
    <w:div w:id="1347639270">
      <w:bodyDiv w:val="1"/>
      <w:marLeft w:val="0"/>
      <w:marRight w:val="0"/>
      <w:marTop w:val="0"/>
      <w:marBottom w:val="0"/>
      <w:divBdr>
        <w:top w:val="none" w:sz="0" w:space="0" w:color="auto"/>
        <w:left w:val="none" w:sz="0" w:space="0" w:color="auto"/>
        <w:bottom w:val="none" w:sz="0" w:space="0" w:color="auto"/>
        <w:right w:val="none" w:sz="0" w:space="0" w:color="auto"/>
      </w:divBdr>
    </w:div>
    <w:div w:id="1347639523">
      <w:bodyDiv w:val="1"/>
      <w:marLeft w:val="0"/>
      <w:marRight w:val="0"/>
      <w:marTop w:val="0"/>
      <w:marBottom w:val="0"/>
      <w:divBdr>
        <w:top w:val="none" w:sz="0" w:space="0" w:color="auto"/>
        <w:left w:val="none" w:sz="0" w:space="0" w:color="auto"/>
        <w:bottom w:val="none" w:sz="0" w:space="0" w:color="auto"/>
        <w:right w:val="none" w:sz="0" w:space="0" w:color="auto"/>
      </w:divBdr>
    </w:div>
    <w:div w:id="1347707852">
      <w:bodyDiv w:val="1"/>
      <w:marLeft w:val="0"/>
      <w:marRight w:val="0"/>
      <w:marTop w:val="0"/>
      <w:marBottom w:val="0"/>
      <w:divBdr>
        <w:top w:val="none" w:sz="0" w:space="0" w:color="auto"/>
        <w:left w:val="none" w:sz="0" w:space="0" w:color="auto"/>
        <w:bottom w:val="none" w:sz="0" w:space="0" w:color="auto"/>
        <w:right w:val="none" w:sz="0" w:space="0" w:color="auto"/>
      </w:divBdr>
    </w:div>
    <w:div w:id="1347748330">
      <w:bodyDiv w:val="1"/>
      <w:marLeft w:val="0"/>
      <w:marRight w:val="0"/>
      <w:marTop w:val="0"/>
      <w:marBottom w:val="0"/>
      <w:divBdr>
        <w:top w:val="none" w:sz="0" w:space="0" w:color="auto"/>
        <w:left w:val="none" w:sz="0" w:space="0" w:color="auto"/>
        <w:bottom w:val="none" w:sz="0" w:space="0" w:color="auto"/>
        <w:right w:val="none" w:sz="0" w:space="0" w:color="auto"/>
      </w:divBdr>
    </w:div>
    <w:div w:id="1347973978">
      <w:bodyDiv w:val="1"/>
      <w:marLeft w:val="0"/>
      <w:marRight w:val="0"/>
      <w:marTop w:val="0"/>
      <w:marBottom w:val="0"/>
      <w:divBdr>
        <w:top w:val="none" w:sz="0" w:space="0" w:color="auto"/>
        <w:left w:val="none" w:sz="0" w:space="0" w:color="auto"/>
        <w:bottom w:val="none" w:sz="0" w:space="0" w:color="auto"/>
        <w:right w:val="none" w:sz="0" w:space="0" w:color="auto"/>
      </w:divBdr>
    </w:div>
    <w:div w:id="1348020009">
      <w:bodyDiv w:val="1"/>
      <w:marLeft w:val="0"/>
      <w:marRight w:val="0"/>
      <w:marTop w:val="0"/>
      <w:marBottom w:val="0"/>
      <w:divBdr>
        <w:top w:val="none" w:sz="0" w:space="0" w:color="auto"/>
        <w:left w:val="none" w:sz="0" w:space="0" w:color="auto"/>
        <w:bottom w:val="none" w:sz="0" w:space="0" w:color="auto"/>
        <w:right w:val="none" w:sz="0" w:space="0" w:color="auto"/>
      </w:divBdr>
    </w:div>
    <w:div w:id="1348094387">
      <w:bodyDiv w:val="1"/>
      <w:marLeft w:val="0"/>
      <w:marRight w:val="0"/>
      <w:marTop w:val="0"/>
      <w:marBottom w:val="0"/>
      <w:divBdr>
        <w:top w:val="none" w:sz="0" w:space="0" w:color="auto"/>
        <w:left w:val="none" w:sz="0" w:space="0" w:color="auto"/>
        <w:bottom w:val="none" w:sz="0" w:space="0" w:color="auto"/>
        <w:right w:val="none" w:sz="0" w:space="0" w:color="auto"/>
      </w:divBdr>
    </w:div>
    <w:div w:id="1348095302">
      <w:bodyDiv w:val="1"/>
      <w:marLeft w:val="0"/>
      <w:marRight w:val="0"/>
      <w:marTop w:val="0"/>
      <w:marBottom w:val="0"/>
      <w:divBdr>
        <w:top w:val="none" w:sz="0" w:space="0" w:color="auto"/>
        <w:left w:val="none" w:sz="0" w:space="0" w:color="auto"/>
        <w:bottom w:val="none" w:sz="0" w:space="0" w:color="auto"/>
        <w:right w:val="none" w:sz="0" w:space="0" w:color="auto"/>
      </w:divBdr>
    </w:div>
    <w:div w:id="1348096006">
      <w:bodyDiv w:val="1"/>
      <w:marLeft w:val="0"/>
      <w:marRight w:val="0"/>
      <w:marTop w:val="0"/>
      <w:marBottom w:val="0"/>
      <w:divBdr>
        <w:top w:val="none" w:sz="0" w:space="0" w:color="auto"/>
        <w:left w:val="none" w:sz="0" w:space="0" w:color="auto"/>
        <w:bottom w:val="none" w:sz="0" w:space="0" w:color="auto"/>
        <w:right w:val="none" w:sz="0" w:space="0" w:color="auto"/>
      </w:divBdr>
    </w:div>
    <w:div w:id="1348170534">
      <w:bodyDiv w:val="1"/>
      <w:marLeft w:val="0"/>
      <w:marRight w:val="0"/>
      <w:marTop w:val="0"/>
      <w:marBottom w:val="0"/>
      <w:divBdr>
        <w:top w:val="none" w:sz="0" w:space="0" w:color="auto"/>
        <w:left w:val="none" w:sz="0" w:space="0" w:color="auto"/>
        <w:bottom w:val="none" w:sz="0" w:space="0" w:color="auto"/>
        <w:right w:val="none" w:sz="0" w:space="0" w:color="auto"/>
      </w:divBdr>
    </w:div>
    <w:div w:id="1348216627">
      <w:bodyDiv w:val="1"/>
      <w:marLeft w:val="0"/>
      <w:marRight w:val="0"/>
      <w:marTop w:val="0"/>
      <w:marBottom w:val="0"/>
      <w:divBdr>
        <w:top w:val="none" w:sz="0" w:space="0" w:color="auto"/>
        <w:left w:val="none" w:sz="0" w:space="0" w:color="auto"/>
        <w:bottom w:val="none" w:sz="0" w:space="0" w:color="auto"/>
        <w:right w:val="none" w:sz="0" w:space="0" w:color="auto"/>
      </w:divBdr>
    </w:div>
    <w:div w:id="1348406252">
      <w:bodyDiv w:val="1"/>
      <w:marLeft w:val="0"/>
      <w:marRight w:val="0"/>
      <w:marTop w:val="0"/>
      <w:marBottom w:val="0"/>
      <w:divBdr>
        <w:top w:val="none" w:sz="0" w:space="0" w:color="auto"/>
        <w:left w:val="none" w:sz="0" w:space="0" w:color="auto"/>
        <w:bottom w:val="none" w:sz="0" w:space="0" w:color="auto"/>
        <w:right w:val="none" w:sz="0" w:space="0" w:color="auto"/>
      </w:divBdr>
    </w:div>
    <w:div w:id="1348412482">
      <w:bodyDiv w:val="1"/>
      <w:marLeft w:val="0"/>
      <w:marRight w:val="0"/>
      <w:marTop w:val="0"/>
      <w:marBottom w:val="0"/>
      <w:divBdr>
        <w:top w:val="none" w:sz="0" w:space="0" w:color="auto"/>
        <w:left w:val="none" w:sz="0" w:space="0" w:color="auto"/>
        <w:bottom w:val="none" w:sz="0" w:space="0" w:color="auto"/>
        <w:right w:val="none" w:sz="0" w:space="0" w:color="auto"/>
      </w:divBdr>
    </w:div>
    <w:div w:id="1348558111">
      <w:bodyDiv w:val="1"/>
      <w:marLeft w:val="0"/>
      <w:marRight w:val="0"/>
      <w:marTop w:val="0"/>
      <w:marBottom w:val="0"/>
      <w:divBdr>
        <w:top w:val="none" w:sz="0" w:space="0" w:color="auto"/>
        <w:left w:val="none" w:sz="0" w:space="0" w:color="auto"/>
        <w:bottom w:val="none" w:sz="0" w:space="0" w:color="auto"/>
        <w:right w:val="none" w:sz="0" w:space="0" w:color="auto"/>
      </w:divBdr>
    </w:div>
    <w:div w:id="1348600171">
      <w:bodyDiv w:val="1"/>
      <w:marLeft w:val="0"/>
      <w:marRight w:val="0"/>
      <w:marTop w:val="0"/>
      <w:marBottom w:val="0"/>
      <w:divBdr>
        <w:top w:val="none" w:sz="0" w:space="0" w:color="auto"/>
        <w:left w:val="none" w:sz="0" w:space="0" w:color="auto"/>
        <w:bottom w:val="none" w:sz="0" w:space="0" w:color="auto"/>
        <w:right w:val="none" w:sz="0" w:space="0" w:color="auto"/>
      </w:divBdr>
    </w:div>
    <w:div w:id="1348673691">
      <w:bodyDiv w:val="1"/>
      <w:marLeft w:val="0"/>
      <w:marRight w:val="0"/>
      <w:marTop w:val="0"/>
      <w:marBottom w:val="0"/>
      <w:divBdr>
        <w:top w:val="none" w:sz="0" w:space="0" w:color="auto"/>
        <w:left w:val="none" w:sz="0" w:space="0" w:color="auto"/>
        <w:bottom w:val="none" w:sz="0" w:space="0" w:color="auto"/>
        <w:right w:val="none" w:sz="0" w:space="0" w:color="auto"/>
      </w:divBdr>
    </w:div>
    <w:div w:id="1348680814">
      <w:bodyDiv w:val="1"/>
      <w:marLeft w:val="0"/>
      <w:marRight w:val="0"/>
      <w:marTop w:val="0"/>
      <w:marBottom w:val="0"/>
      <w:divBdr>
        <w:top w:val="none" w:sz="0" w:space="0" w:color="auto"/>
        <w:left w:val="none" w:sz="0" w:space="0" w:color="auto"/>
        <w:bottom w:val="none" w:sz="0" w:space="0" w:color="auto"/>
        <w:right w:val="none" w:sz="0" w:space="0" w:color="auto"/>
      </w:divBdr>
    </w:div>
    <w:div w:id="1348752727">
      <w:bodyDiv w:val="1"/>
      <w:marLeft w:val="0"/>
      <w:marRight w:val="0"/>
      <w:marTop w:val="0"/>
      <w:marBottom w:val="0"/>
      <w:divBdr>
        <w:top w:val="none" w:sz="0" w:space="0" w:color="auto"/>
        <w:left w:val="none" w:sz="0" w:space="0" w:color="auto"/>
        <w:bottom w:val="none" w:sz="0" w:space="0" w:color="auto"/>
        <w:right w:val="none" w:sz="0" w:space="0" w:color="auto"/>
      </w:divBdr>
    </w:div>
    <w:div w:id="1349020479">
      <w:bodyDiv w:val="1"/>
      <w:marLeft w:val="0"/>
      <w:marRight w:val="0"/>
      <w:marTop w:val="0"/>
      <w:marBottom w:val="0"/>
      <w:divBdr>
        <w:top w:val="none" w:sz="0" w:space="0" w:color="auto"/>
        <w:left w:val="none" w:sz="0" w:space="0" w:color="auto"/>
        <w:bottom w:val="none" w:sz="0" w:space="0" w:color="auto"/>
        <w:right w:val="none" w:sz="0" w:space="0" w:color="auto"/>
      </w:divBdr>
    </w:div>
    <w:div w:id="1349021087">
      <w:bodyDiv w:val="1"/>
      <w:marLeft w:val="0"/>
      <w:marRight w:val="0"/>
      <w:marTop w:val="0"/>
      <w:marBottom w:val="0"/>
      <w:divBdr>
        <w:top w:val="none" w:sz="0" w:space="0" w:color="auto"/>
        <w:left w:val="none" w:sz="0" w:space="0" w:color="auto"/>
        <w:bottom w:val="none" w:sz="0" w:space="0" w:color="auto"/>
        <w:right w:val="none" w:sz="0" w:space="0" w:color="auto"/>
      </w:divBdr>
    </w:div>
    <w:div w:id="1349259928">
      <w:bodyDiv w:val="1"/>
      <w:marLeft w:val="0"/>
      <w:marRight w:val="0"/>
      <w:marTop w:val="0"/>
      <w:marBottom w:val="0"/>
      <w:divBdr>
        <w:top w:val="none" w:sz="0" w:space="0" w:color="auto"/>
        <w:left w:val="none" w:sz="0" w:space="0" w:color="auto"/>
        <w:bottom w:val="none" w:sz="0" w:space="0" w:color="auto"/>
        <w:right w:val="none" w:sz="0" w:space="0" w:color="auto"/>
      </w:divBdr>
    </w:div>
    <w:div w:id="1349260257">
      <w:bodyDiv w:val="1"/>
      <w:marLeft w:val="0"/>
      <w:marRight w:val="0"/>
      <w:marTop w:val="0"/>
      <w:marBottom w:val="0"/>
      <w:divBdr>
        <w:top w:val="none" w:sz="0" w:space="0" w:color="auto"/>
        <w:left w:val="none" w:sz="0" w:space="0" w:color="auto"/>
        <w:bottom w:val="none" w:sz="0" w:space="0" w:color="auto"/>
        <w:right w:val="none" w:sz="0" w:space="0" w:color="auto"/>
      </w:divBdr>
    </w:div>
    <w:div w:id="1349285748">
      <w:bodyDiv w:val="1"/>
      <w:marLeft w:val="0"/>
      <w:marRight w:val="0"/>
      <w:marTop w:val="0"/>
      <w:marBottom w:val="0"/>
      <w:divBdr>
        <w:top w:val="none" w:sz="0" w:space="0" w:color="auto"/>
        <w:left w:val="none" w:sz="0" w:space="0" w:color="auto"/>
        <w:bottom w:val="none" w:sz="0" w:space="0" w:color="auto"/>
        <w:right w:val="none" w:sz="0" w:space="0" w:color="auto"/>
      </w:divBdr>
    </w:div>
    <w:div w:id="1349333783">
      <w:bodyDiv w:val="1"/>
      <w:marLeft w:val="0"/>
      <w:marRight w:val="0"/>
      <w:marTop w:val="0"/>
      <w:marBottom w:val="0"/>
      <w:divBdr>
        <w:top w:val="none" w:sz="0" w:space="0" w:color="auto"/>
        <w:left w:val="none" w:sz="0" w:space="0" w:color="auto"/>
        <w:bottom w:val="none" w:sz="0" w:space="0" w:color="auto"/>
        <w:right w:val="none" w:sz="0" w:space="0" w:color="auto"/>
      </w:divBdr>
    </w:div>
    <w:div w:id="1349404420">
      <w:bodyDiv w:val="1"/>
      <w:marLeft w:val="0"/>
      <w:marRight w:val="0"/>
      <w:marTop w:val="0"/>
      <w:marBottom w:val="0"/>
      <w:divBdr>
        <w:top w:val="none" w:sz="0" w:space="0" w:color="auto"/>
        <w:left w:val="none" w:sz="0" w:space="0" w:color="auto"/>
        <w:bottom w:val="none" w:sz="0" w:space="0" w:color="auto"/>
        <w:right w:val="none" w:sz="0" w:space="0" w:color="auto"/>
      </w:divBdr>
    </w:div>
    <w:div w:id="1349478220">
      <w:bodyDiv w:val="1"/>
      <w:marLeft w:val="0"/>
      <w:marRight w:val="0"/>
      <w:marTop w:val="0"/>
      <w:marBottom w:val="0"/>
      <w:divBdr>
        <w:top w:val="none" w:sz="0" w:space="0" w:color="auto"/>
        <w:left w:val="none" w:sz="0" w:space="0" w:color="auto"/>
        <w:bottom w:val="none" w:sz="0" w:space="0" w:color="auto"/>
        <w:right w:val="none" w:sz="0" w:space="0" w:color="auto"/>
      </w:divBdr>
    </w:div>
    <w:div w:id="1349522103">
      <w:bodyDiv w:val="1"/>
      <w:marLeft w:val="0"/>
      <w:marRight w:val="0"/>
      <w:marTop w:val="0"/>
      <w:marBottom w:val="0"/>
      <w:divBdr>
        <w:top w:val="none" w:sz="0" w:space="0" w:color="auto"/>
        <w:left w:val="none" w:sz="0" w:space="0" w:color="auto"/>
        <w:bottom w:val="none" w:sz="0" w:space="0" w:color="auto"/>
        <w:right w:val="none" w:sz="0" w:space="0" w:color="auto"/>
      </w:divBdr>
    </w:div>
    <w:div w:id="1349525058">
      <w:bodyDiv w:val="1"/>
      <w:marLeft w:val="0"/>
      <w:marRight w:val="0"/>
      <w:marTop w:val="0"/>
      <w:marBottom w:val="0"/>
      <w:divBdr>
        <w:top w:val="none" w:sz="0" w:space="0" w:color="auto"/>
        <w:left w:val="none" w:sz="0" w:space="0" w:color="auto"/>
        <w:bottom w:val="none" w:sz="0" w:space="0" w:color="auto"/>
        <w:right w:val="none" w:sz="0" w:space="0" w:color="auto"/>
      </w:divBdr>
    </w:div>
    <w:div w:id="1349597934">
      <w:bodyDiv w:val="1"/>
      <w:marLeft w:val="0"/>
      <w:marRight w:val="0"/>
      <w:marTop w:val="0"/>
      <w:marBottom w:val="0"/>
      <w:divBdr>
        <w:top w:val="none" w:sz="0" w:space="0" w:color="auto"/>
        <w:left w:val="none" w:sz="0" w:space="0" w:color="auto"/>
        <w:bottom w:val="none" w:sz="0" w:space="0" w:color="auto"/>
        <w:right w:val="none" w:sz="0" w:space="0" w:color="auto"/>
      </w:divBdr>
    </w:div>
    <w:div w:id="1349797444">
      <w:bodyDiv w:val="1"/>
      <w:marLeft w:val="0"/>
      <w:marRight w:val="0"/>
      <w:marTop w:val="0"/>
      <w:marBottom w:val="0"/>
      <w:divBdr>
        <w:top w:val="none" w:sz="0" w:space="0" w:color="auto"/>
        <w:left w:val="none" w:sz="0" w:space="0" w:color="auto"/>
        <w:bottom w:val="none" w:sz="0" w:space="0" w:color="auto"/>
        <w:right w:val="none" w:sz="0" w:space="0" w:color="auto"/>
      </w:divBdr>
    </w:div>
    <w:div w:id="1349866243">
      <w:bodyDiv w:val="1"/>
      <w:marLeft w:val="0"/>
      <w:marRight w:val="0"/>
      <w:marTop w:val="0"/>
      <w:marBottom w:val="0"/>
      <w:divBdr>
        <w:top w:val="none" w:sz="0" w:space="0" w:color="auto"/>
        <w:left w:val="none" w:sz="0" w:space="0" w:color="auto"/>
        <w:bottom w:val="none" w:sz="0" w:space="0" w:color="auto"/>
        <w:right w:val="none" w:sz="0" w:space="0" w:color="auto"/>
      </w:divBdr>
    </w:div>
    <w:div w:id="1349914862">
      <w:bodyDiv w:val="1"/>
      <w:marLeft w:val="0"/>
      <w:marRight w:val="0"/>
      <w:marTop w:val="0"/>
      <w:marBottom w:val="0"/>
      <w:divBdr>
        <w:top w:val="none" w:sz="0" w:space="0" w:color="auto"/>
        <w:left w:val="none" w:sz="0" w:space="0" w:color="auto"/>
        <w:bottom w:val="none" w:sz="0" w:space="0" w:color="auto"/>
        <w:right w:val="none" w:sz="0" w:space="0" w:color="auto"/>
      </w:divBdr>
    </w:div>
    <w:div w:id="1349988654">
      <w:bodyDiv w:val="1"/>
      <w:marLeft w:val="0"/>
      <w:marRight w:val="0"/>
      <w:marTop w:val="0"/>
      <w:marBottom w:val="0"/>
      <w:divBdr>
        <w:top w:val="none" w:sz="0" w:space="0" w:color="auto"/>
        <w:left w:val="none" w:sz="0" w:space="0" w:color="auto"/>
        <w:bottom w:val="none" w:sz="0" w:space="0" w:color="auto"/>
        <w:right w:val="none" w:sz="0" w:space="0" w:color="auto"/>
      </w:divBdr>
    </w:div>
    <w:div w:id="1350058839">
      <w:bodyDiv w:val="1"/>
      <w:marLeft w:val="0"/>
      <w:marRight w:val="0"/>
      <w:marTop w:val="0"/>
      <w:marBottom w:val="0"/>
      <w:divBdr>
        <w:top w:val="none" w:sz="0" w:space="0" w:color="auto"/>
        <w:left w:val="none" w:sz="0" w:space="0" w:color="auto"/>
        <w:bottom w:val="none" w:sz="0" w:space="0" w:color="auto"/>
        <w:right w:val="none" w:sz="0" w:space="0" w:color="auto"/>
      </w:divBdr>
    </w:div>
    <w:div w:id="1350138428">
      <w:bodyDiv w:val="1"/>
      <w:marLeft w:val="0"/>
      <w:marRight w:val="0"/>
      <w:marTop w:val="0"/>
      <w:marBottom w:val="0"/>
      <w:divBdr>
        <w:top w:val="none" w:sz="0" w:space="0" w:color="auto"/>
        <w:left w:val="none" w:sz="0" w:space="0" w:color="auto"/>
        <w:bottom w:val="none" w:sz="0" w:space="0" w:color="auto"/>
        <w:right w:val="none" w:sz="0" w:space="0" w:color="auto"/>
      </w:divBdr>
    </w:div>
    <w:div w:id="1350251035">
      <w:bodyDiv w:val="1"/>
      <w:marLeft w:val="0"/>
      <w:marRight w:val="0"/>
      <w:marTop w:val="0"/>
      <w:marBottom w:val="0"/>
      <w:divBdr>
        <w:top w:val="none" w:sz="0" w:space="0" w:color="auto"/>
        <w:left w:val="none" w:sz="0" w:space="0" w:color="auto"/>
        <w:bottom w:val="none" w:sz="0" w:space="0" w:color="auto"/>
        <w:right w:val="none" w:sz="0" w:space="0" w:color="auto"/>
      </w:divBdr>
    </w:div>
    <w:div w:id="1350251345">
      <w:bodyDiv w:val="1"/>
      <w:marLeft w:val="0"/>
      <w:marRight w:val="0"/>
      <w:marTop w:val="0"/>
      <w:marBottom w:val="0"/>
      <w:divBdr>
        <w:top w:val="none" w:sz="0" w:space="0" w:color="auto"/>
        <w:left w:val="none" w:sz="0" w:space="0" w:color="auto"/>
        <w:bottom w:val="none" w:sz="0" w:space="0" w:color="auto"/>
        <w:right w:val="none" w:sz="0" w:space="0" w:color="auto"/>
      </w:divBdr>
    </w:div>
    <w:div w:id="1350257980">
      <w:bodyDiv w:val="1"/>
      <w:marLeft w:val="0"/>
      <w:marRight w:val="0"/>
      <w:marTop w:val="0"/>
      <w:marBottom w:val="0"/>
      <w:divBdr>
        <w:top w:val="none" w:sz="0" w:space="0" w:color="auto"/>
        <w:left w:val="none" w:sz="0" w:space="0" w:color="auto"/>
        <w:bottom w:val="none" w:sz="0" w:space="0" w:color="auto"/>
        <w:right w:val="none" w:sz="0" w:space="0" w:color="auto"/>
      </w:divBdr>
    </w:div>
    <w:div w:id="1350445698">
      <w:bodyDiv w:val="1"/>
      <w:marLeft w:val="0"/>
      <w:marRight w:val="0"/>
      <w:marTop w:val="0"/>
      <w:marBottom w:val="0"/>
      <w:divBdr>
        <w:top w:val="none" w:sz="0" w:space="0" w:color="auto"/>
        <w:left w:val="none" w:sz="0" w:space="0" w:color="auto"/>
        <w:bottom w:val="none" w:sz="0" w:space="0" w:color="auto"/>
        <w:right w:val="none" w:sz="0" w:space="0" w:color="auto"/>
      </w:divBdr>
    </w:div>
    <w:div w:id="1350448915">
      <w:bodyDiv w:val="1"/>
      <w:marLeft w:val="0"/>
      <w:marRight w:val="0"/>
      <w:marTop w:val="0"/>
      <w:marBottom w:val="0"/>
      <w:divBdr>
        <w:top w:val="none" w:sz="0" w:space="0" w:color="auto"/>
        <w:left w:val="none" w:sz="0" w:space="0" w:color="auto"/>
        <w:bottom w:val="none" w:sz="0" w:space="0" w:color="auto"/>
        <w:right w:val="none" w:sz="0" w:space="0" w:color="auto"/>
      </w:divBdr>
    </w:div>
    <w:div w:id="1350642397">
      <w:bodyDiv w:val="1"/>
      <w:marLeft w:val="0"/>
      <w:marRight w:val="0"/>
      <w:marTop w:val="0"/>
      <w:marBottom w:val="0"/>
      <w:divBdr>
        <w:top w:val="none" w:sz="0" w:space="0" w:color="auto"/>
        <w:left w:val="none" w:sz="0" w:space="0" w:color="auto"/>
        <w:bottom w:val="none" w:sz="0" w:space="0" w:color="auto"/>
        <w:right w:val="none" w:sz="0" w:space="0" w:color="auto"/>
      </w:divBdr>
    </w:div>
    <w:div w:id="1350834270">
      <w:bodyDiv w:val="1"/>
      <w:marLeft w:val="0"/>
      <w:marRight w:val="0"/>
      <w:marTop w:val="0"/>
      <w:marBottom w:val="0"/>
      <w:divBdr>
        <w:top w:val="none" w:sz="0" w:space="0" w:color="auto"/>
        <w:left w:val="none" w:sz="0" w:space="0" w:color="auto"/>
        <w:bottom w:val="none" w:sz="0" w:space="0" w:color="auto"/>
        <w:right w:val="none" w:sz="0" w:space="0" w:color="auto"/>
      </w:divBdr>
    </w:div>
    <w:div w:id="1350989038">
      <w:bodyDiv w:val="1"/>
      <w:marLeft w:val="0"/>
      <w:marRight w:val="0"/>
      <w:marTop w:val="0"/>
      <w:marBottom w:val="0"/>
      <w:divBdr>
        <w:top w:val="none" w:sz="0" w:space="0" w:color="auto"/>
        <w:left w:val="none" w:sz="0" w:space="0" w:color="auto"/>
        <w:bottom w:val="none" w:sz="0" w:space="0" w:color="auto"/>
        <w:right w:val="none" w:sz="0" w:space="0" w:color="auto"/>
      </w:divBdr>
    </w:div>
    <w:div w:id="1351024792">
      <w:bodyDiv w:val="1"/>
      <w:marLeft w:val="0"/>
      <w:marRight w:val="0"/>
      <w:marTop w:val="0"/>
      <w:marBottom w:val="0"/>
      <w:divBdr>
        <w:top w:val="none" w:sz="0" w:space="0" w:color="auto"/>
        <w:left w:val="none" w:sz="0" w:space="0" w:color="auto"/>
        <w:bottom w:val="none" w:sz="0" w:space="0" w:color="auto"/>
        <w:right w:val="none" w:sz="0" w:space="0" w:color="auto"/>
      </w:divBdr>
    </w:div>
    <w:div w:id="1351027811">
      <w:bodyDiv w:val="1"/>
      <w:marLeft w:val="0"/>
      <w:marRight w:val="0"/>
      <w:marTop w:val="0"/>
      <w:marBottom w:val="0"/>
      <w:divBdr>
        <w:top w:val="none" w:sz="0" w:space="0" w:color="auto"/>
        <w:left w:val="none" w:sz="0" w:space="0" w:color="auto"/>
        <w:bottom w:val="none" w:sz="0" w:space="0" w:color="auto"/>
        <w:right w:val="none" w:sz="0" w:space="0" w:color="auto"/>
      </w:divBdr>
    </w:div>
    <w:div w:id="1351028894">
      <w:bodyDiv w:val="1"/>
      <w:marLeft w:val="0"/>
      <w:marRight w:val="0"/>
      <w:marTop w:val="0"/>
      <w:marBottom w:val="0"/>
      <w:divBdr>
        <w:top w:val="none" w:sz="0" w:space="0" w:color="auto"/>
        <w:left w:val="none" w:sz="0" w:space="0" w:color="auto"/>
        <w:bottom w:val="none" w:sz="0" w:space="0" w:color="auto"/>
        <w:right w:val="none" w:sz="0" w:space="0" w:color="auto"/>
      </w:divBdr>
    </w:div>
    <w:div w:id="1351106611">
      <w:bodyDiv w:val="1"/>
      <w:marLeft w:val="0"/>
      <w:marRight w:val="0"/>
      <w:marTop w:val="0"/>
      <w:marBottom w:val="0"/>
      <w:divBdr>
        <w:top w:val="none" w:sz="0" w:space="0" w:color="auto"/>
        <w:left w:val="none" w:sz="0" w:space="0" w:color="auto"/>
        <w:bottom w:val="none" w:sz="0" w:space="0" w:color="auto"/>
        <w:right w:val="none" w:sz="0" w:space="0" w:color="auto"/>
      </w:divBdr>
    </w:div>
    <w:div w:id="1351106989">
      <w:bodyDiv w:val="1"/>
      <w:marLeft w:val="0"/>
      <w:marRight w:val="0"/>
      <w:marTop w:val="0"/>
      <w:marBottom w:val="0"/>
      <w:divBdr>
        <w:top w:val="none" w:sz="0" w:space="0" w:color="auto"/>
        <w:left w:val="none" w:sz="0" w:space="0" w:color="auto"/>
        <w:bottom w:val="none" w:sz="0" w:space="0" w:color="auto"/>
        <w:right w:val="none" w:sz="0" w:space="0" w:color="auto"/>
      </w:divBdr>
    </w:div>
    <w:div w:id="1351181642">
      <w:bodyDiv w:val="1"/>
      <w:marLeft w:val="0"/>
      <w:marRight w:val="0"/>
      <w:marTop w:val="0"/>
      <w:marBottom w:val="0"/>
      <w:divBdr>
        <w:top w:val="none" w:sz="0" w:space="0" w:color="auto"/>
        <w:left w:val="none" w:sz="0" w:space="0" w:color="auto"/>
        <w:bottom w:val="none" w:sz="0" w:space="0" w:color="auto"/>
        <w:right w:val="none" w:sz="0" w:space="0" w:color="auto"/>
      </w:divBdr>
    </w:div>
    <w:div w:id="1351221472">
      <w:bodyDiv w:val="1"/>
      <w:marLeft w:val="0"/>
      <w:marRight w:val="0"/>
      <w:marTop w:val="0"/>
      <w:marBottom w:val="0"/>
      <w:divBdr>
        <w:top w:val="none" w:sz="0" w:space="0" w:color="auto"/>
        <w:left w:val="none" w:sz="0" w:space="0" w:color="auto"/>
        <w:bottom w:val="none" w:sz="0" w:space="0" w:color="auto"/>
        <w:right w:val="none" w:sz="0" w:space="0" w:color="auto"/>
      </w:divBdr>
    </w:div>
    <w:div w:id="1351224579">
      <w:bodyDiv w:val="1"/>
      <w:marLeft w:val="0"/>
      <w:marRight w:val="0"/>
      <w:marTop w:val="0"/>
      <w:marBottom w:val="0"/>
      <w:divBdr>
        <w:top w:val="none" w:sz="0" w:space="0" w:color="auto"/>
        <w:left w:val="none" w:sz="0" w:space="0" w:color="auto"/>
        <w:bottom w:val="none" w:sz="0" w:space="0" w:color="auto"/>
        <w:right w:val="none" w:sz="0" w:space="0" w:color="auto"/>
      </w:divBdr>
    </w:div>
    <w:div w:id="1351251815">
      <w:bodyDiv w:val="1"/>
      <w:marLeft w:val="0"/>
      <w:marRight w:val="0"/>
      <w:marTop w:val="0"/>
      <w:marBottom w:val="0"/>
      <w:divBdr>
        <w:top w:val="none" w:sz="0" w:space="0" w:color="auto"/>
        <w:left w:val="none" w:sz="0" w:space="0" w:color="auto"/>
        <w:bottom w:val="none" w:sz="0" w:space="0" w:color="auto"/>
        <w:right w:val="none" w:sz="0" w:space="0" w:color="auto"/>
      </w:divBdr>
    </w:div>
    <w:div w:id="1351298081">
      <w:bodyDiv w:val="1"/>
      <w:marLeft w:val="0"/>
      <w:marRight w:val="0"/>
      <w:marTop w:val="0"/>
      <w:marBottom w:val="0"/>
      <w:divBdr>
        <w:top w:val="none" w:sz="0" w:space="0" w:color="auto"/>
        <w:left w:val="none" w:sz="0" w:space="0" w:color="auto"/>
        <w:bottom w:val="none" w:sz="0" w:space="0" w:color="auto"/>
        <w:right w:val="none" w:sz="0" w:space="0" w:color="auto"/>
      </w:divBdr>
    </w:div>
    <w:div w:id="1351300686">
      <w:bodyDiv w:val="1"/>
      <w:marLeft w:val="0"/>
      <w:marRight w:val="0"/>
      <w:marTop w:val="0"/>
      <w:marBottom w:val="0"/>
      <w:divBdr>
        <w:top w:val="none" w:sz="0" w:space="0" w:color="auto"/>
        <w:left w:val="none" w:sz="0" w:space="0" w:color="auto"/>
        <w:bottom w:val="none" w:sz="0" w:space="0" w:color="auto"/>
        <w:right w:val="none" w:sz="0" w:space="0" w:color="auto"/>
      </w:divBdr>
    </w:div>
    <w:div w:id="1351302145">
      <w:bodyDiv w:val="1"/>
      <w:marLeft w:val="0"/>
      <w:marRight w:val="0"/>
      <w:marTop w:val="0"/>
      <w:marBottom w:val="0"/>
      <w:divBdr>
        <w:top w:val="none" w:sz="0" w:space="0" w:color="auto"/>
        <w:left w:val="none" w:sz="0" w:space="0" w:color="auto"/>
        <w:bottom w:val="none" w:sz="0" w:space="0" w:color="auto"/>
        <w:right w:val="none" w:sz="0" w:space="0" w:color="auto"/>
      </w:divBdr>
    </w:div>
    <w:div w:id="1351376162">
      <w:bodyDiv w:val="1"/>
      <w:marLeft w:val="0"/>
      <w:marRight w:val="0"/>
      <w:marTop w:val="0"/>
      <w:marBottom w:val="0"/>
      <w:divBdr>
        <w:top w:val="none" w:sz="0" w:space="0" w:color="auto"/>
        <w:left w:val="none" w:sz="0" w:space="0" w:color="auto"/>
        <w:bottom w:val="none" w:sz="0" w:space="0" w:color="auto"/>
        <w:right w:val="none" w:sz="0" w:space="0" w:color="auto"/>
      </w:divBdr>
    </w:div>
    <w:div w:id="1351419359">
      <w:bodyDiv w:val="1"/>
      <w:marLeft w:val="0"/>
      <w:marRight w:val="0"/>
      <w:marTop w:val="0"/>
      <w:marBottom w:val="0"/>
      <w:divBdr>
        <w:top w:val="none" w:sz="0" w:space="0" w:color="auto"/>
        <w:left w:val="none" w:sz="0" w:space="0" w:color="auto"/>
        <w:bottom w:val="none" w:sz="0" w:space="0" w:color="auto"/>
        <w:right w:val="none" w:sz="0" w:space="0" w:color="auto"/>
      </w:divBdr>
    </w:div>
    <w:div w:id="1351564855">
      <w:bodyDiv w:val="1"/>
      <w:marLeft w:val="0"/>
      <w:marRight w:val="0"/>
      <w:marTop w:val="0"/>
      <w:marBottom w:val="0"/>
      <w:divBdr>
        <w:top w:val="none" w:sz="0" w:space="0" w:color="auto"/>
        <w:left w:val="none" w:sz="0" w:space="0" w:color="auto"/>
        <w:bottom w:val="none" w:sz="0" w:space="0" w:color="auto"/>
        <w:right w:val="none" w:sz="0" w:space="0" w:color="auto"/>
      </w:divBdr>
    </w:div>
    <w:div w:id="1351565171">
      <w:bodyDiv w:val="1"/>
      <w:marLeft w:val="0"/>
      <w:marRight w:val="0"/>
      <w:marTop w:val="0"/>
      <w:marBottom w:val="0"/>
      <w:divBdr>
        <w:top w:val="none" w:sz="0" w:space="0" w:color="auto"/>
        <w:left w:val="none" w:sz="0" w:space="0" w:color="auto"/>
        <w:bottom w:val="none" w:sz="0" w:space="0" w:color="auto"/>
        <w:right w:val="none" w:sz="0" w:space="0" w:color="auto"/>
      </w:divBdr>
    </w:div>
    <w:div w:id="1351640443">
      <w:bodyDiv w:val="1"/>
      <w:marLeft w:val="0"/>
      <w:marRight w:val="0"/>
      <w:marTop w:val="0"/>
      <w:marBottom w:val="0"/>
      <w:divBdr>
        <w:top w:val="none" w:sz="0" w:space="0" w:color="auto"/>
        <w:left w:val="none" w:sz="0" w:space="0" w:color="auto"/>
        <w:bottom w:val="none" w:sz="0" w:space="0" w:color="auto"/>
        <w:right w:val="none" w:sz="0" w:space="0" w:color="auto"/>
      </w:divBdr>
    </w:div>
    <w:div w:id="1351641486">
      <w:bodyDiv w:val="1"/>
      <w:marLeft w:val="0"/>
      <w:marRight w:val="0"/>
      <w:marTop w:val="0"/>
      <w:marBottom w:val="0"/>
      <w:divBdr>
        <w:top w:val="none" w:sz="0" w:space="0" w:color="auto"/>
        <w:left w:val="none" w:sz="0" w:space="0" w:color="auto"/>
        <w:bottom w:val="none" w:sz="0" w:space="0" w:color="auto"/>
        <w:right w:val="none" w:sz="0" w:space="0" w:color="auto"/>
      </w:divBdr>
    </w:div>
    <w:div w:id="1351643265">
      <w:bodyDiv w:val="1"/>
      <w:marLeft w:val="0"/>
      <w:marRight w:val="0"/>
      <w:marTop w:val="0"/>
      <w:marBottom w:val="0"/>
      <w:divBdr>
        <w:top w:val="none" w:sz="0" w:space="0" w:color="auto"/>
        <w:left w:val="none" w:sz="0" w:space="0" w:color="auto"/>
        <w:bottom w:val="none" w:sz="0" w:space="0" w:color="auto"/>
        <w:right w:val="none" w:sz="0" w:space="0" w:color="auto"/>
      </w:divBdr>
    </w:div>
    <w:div w:id="1351680546">
      <w:bodyDiv w:val="1"/>
      <w:marLeft w:val="0"/>
      <w:marRight w:val="0"/>
      <w:marTop w:val="0"/>
      <w:marBottom w:val="0"/>
      <w:divBdr>
        <w:top w:val="none" w:sz="0" w:space="0" w:color="auto"/>
        <w:left w:val="none" w:sz="0" w:space="0" w:color="auto"/>
        <w:bottom w:val="none" w:sz="0" w:space="0" w:color="auto"/>
        <w:right w:val="none" w:sz="0" w:space="0" w:color="auto"/>
      </w:divBdr>
    </w:div>
    <w:div w:id="1351756747">
      <w:bodyDiv w:val="1"/>
      <w:marLeft w:val="0"/>
      <w:marRight w:val="0"/>
      <w:marTop w:val="0"/>
      <w:marBottom w:val="0"/>
      <w:divBdr>
        <w:top w:val="none" w:sz="0" w:space="0" w:color="auto"/>
        <w:left w:val="none" w:sz="0" w:space="0" w:color="auto"/>
        <w:bottom w:val="none" w:sz="0" w:space="0" w:color="auto"/>
        <w:right w:val="none" w:sz="0" w:space="0" w:color="auto"/>
      </w:divBdr>
    </w:div>
    <w:div w:id="1351757504">
      <w:bodyDiv w:val="1"/>
      <w:marLeft w:val="0"/>
      <w:marRight w:val="0"/>
      <w:marTop w:val="0"/>
      <w:marBottom w:val="0"/>
      <w:divBdr>
        <w:top w:val="none" w:sz="0" w:space="0" w:color="auto"/>
        <w:left w:val="none" w:sz="0" w:space="0" w:color="auto"/>
        <w:bottom w:val="none" w:sz="0" w:space="0" w:color="auto"/>
        <w:right w:val="none" w:sz="0" w:space="0" w:color="auto"/>
      </w:divBdr>
    </w:div>
    <w:div w:id="1351833628">
      <w:bodyDiv w:val="1"/>
      <w:marLeft w:val="0"/>
      <w:marRight w:val="0"/>
      <w:marTop w:val="0"/>
      <w:marBottom w:val="0"/>
      <w:divBdr>
        <w:top w:val="none" w:sz="0" w:space="0" w:color="auto"/>
        <w:left w:val="none" w:sz="0" w:space="0" w:color="auto"/>
        <w:bottom w:val="none" w:sz="0" w:space="0" w:color="auto"/>
        <w:right w:val="none" w:sz="0" w:space="0" w:color="auto"/>
      </w:divBdr>
    </w:div>
    <w:div w:id="1351834574">
      <w:bodyDiv w:val="1"/>
      <w:marLeft w:val="0"/>
      <w:marRight w:val="0"/>
      <w:marTop w:val="0"/>
      <w:marBottom w:val="0"/>
      <w:divBdr>
        <w:top w:val="none" w:sz="0" w:space="0" w:color="auto"/>
        <w:left w:val="none" w:sz="0" w:space="0" w:color="auto"/>
        <w:bottom w:val="none" w:sz="0" w:space="0" w:color="auto"/>
        <w:right w:val="none" w:sz="0" w:space="0" w:color="auto"/>
      </w:divBdr>
    </w:div>
    <w:div w:id="1351836443">
      <w:bodyDiv w:val="1"/>
      <w:marLeft w:val="0"/>
      <w:marRight w:val="0"/>
      <w:marTop w:val="0"/>
      <w:marBottom w:val="0"/>
      <w:divBdr>
        <w:top w:val="none" w:sz="0" w:space="0" w:color="auto"/>
        <w:left w:val="none" w:sz="0" w:space="0" w:color="auto"/>
        <w:bottom w:val="none" w:sz="0" w:space="0" w:color="auto"/>
        <w:right w:val="none" w:sz="0" w:space="0" w:color="auto"/>
      </w:divBdr>
    </w:div>
    <w:div w:id="1351907618">
      <w:bodyDiv w:val="1"/>
      <w:marLeft w:val="0"/>
      <w:marRight w:val="0"/>
      <w:marTop w:val="0"/>
      <w:marBottom w:val="0"/>
      <w:divBdr>
        <w:top w:val="none" w:sz="0" w:space="0" w:color="auto"/>
        <w:left w:val="none" w:sz="0" w:space="0" w:color="auto"/>
        <w:bottom w:val="none" w:sz="0" w:space="0" w:color="auto"/>
        <w:right w:val="none" w:sz="0" w:space="0" w:color="auto"/>
      </w:divBdr>
    </w:div>
    <w:div w:id="1352075432">
      <w:bodyDiv w:val="1"/>
      <w:marLeft w:val="0"/>
      <w:marRight w:val="0"/>
      <w:marTop w:val="0"/>
      <w:marBottom w:val="0"/>
      <w:divBdr>
        <w:top w:val="none" w:sz="0" w:space="0" w:color="auto"/>
        <w:left w:val="none" w:sz="0" w:space="0" w:color="auto"/>
        <w:bottom w:val="none" w:sz="0" w:space="0" w:color="auto"/>
        <w:right w:val="none" w:sz="0" w:space="0" w:color="auto"/>
      </w:divBdr>
    </w:div>
    <w:div w:id="1352145760">
      <w:bodyDiv w:val="1"/>
      <w:marLeft w:val="0"/>
      <w:marRight w:val="0"/>
      <w:marTop w:val="0"/>
      <w:marBottom w:val="0"/>
      <w:divBdr>
        <w:top w:val="none" w:sz="0" w:space="0" w:color="auto"/>
        <w:left w:val="none" w:sz="0" w:space="0" w:color="auto"/>
        <w:bottom w:val="none" w:sz="0" w:space="0" w:color="auto"/>
        <w:right w:val="none" w:sz="0" w:space="0" w:color="auto"/>
      </w:divBdr>
    </w:div>
    <w:div w:id="1352340913">
      <w:bodyDiv w:val="1"/>
      <w:marLeft w:val="0"/>
      <w:marRight w:val="0"/>
      <w:marTop w:val="0"/>
      <w:marBottom w:val="0"/>
      <w:divBdr>
        <w:top w:val="none" w:sz="0" w:space="0" w:color="auto"/>
        <w:left w:val="none" w:sz="0" w:space="0" w:color="auto"/>
        <w:bottom w:val="none" w:sz="0" w:space="0" w:color="auto"/>
        <w:right w:val="none" w:sz="0" w:space="0" w:color="auto"/>
      </w:divBdr>
    </w:div>
    <w:div w:id="1352341753">
      <w:bodyDiv w:val="1"/>
      <w:marLeft w:val="0"/>
      <w:marRight w:val="0"/>
      <w:marTop w:val="0"/>
      <w:marBottom w:val="0"/>
      <w:divBdr>
        <w:top w:val="none" w:sz="0" w:space="0" w:color="auto"/>
        <w:left w:val="none" w:sz="0" w:space="0" w:color="auto"/>
        <w:bottom w:val="none" w:sz="0" w:space="0" w:color="auto"/>
        <w:right w:val="none" w:sz="0" w:space="0" w:color="auto"/>
      </w:divBdr>
    </w:div>
    <w:div w:id="1352488656">
      <w:bodyDiv w:val="1"/>
      <w:marLeft w:val="0"/>
      <w:marRight w:val="0"/>
      <w:marTop w:val="0"/>
      <w:marBottom w:val="0"/>
      <w:divBdr>
        <w:top w:val="none" w:sz="0" w:space="0" w:color="auto"/>
        <w:left w:val="none" w:sz="0" w:space="0" w:color="auto"/>
        <w:bottom w:val="none" w:sz="0" w:space="0" w:color="auto"/>
        <w:right w:val="none" w:sz="0" w:space="0" w:color="auto"/>
      </w:divBdr>
    </w:div>
    <w:div w:id="1352492484">
      <w:bodyDiv w:val="1"/>
      <w:marLeft w:val="0"/>
      <w:marRight w:val="0"/>
      <w:marTop w:val="0"/>
      <w:marBottom w:val="0"/>
      <w:divBdr>
        <w:top w:val="none" w:sz="0" w:space="0" w:color="auto"/>
        <w:left w:val="none" w:sz="0" w:space="0" w:color="auto"/>
        <w:bottom w:val="none" w:sz="0" w:space="0" w:color="auto"/>
        <w:right w:val="none" w:sz="0" w:space="0" w:color="auto"/>
      </w:divBdr>
    </w:div>
    <w:div w:id="1352532891">
      <w:bodyDiv w:val="1"/>
      <w:marLeft w:val="0"/>
      <w:marRight w:val="0"/>
      <w:marTop w:val="0"/>
      <w:marBottom w:val="0"/>
      <w:divBdr>
        <w:top w:val="none" w:sz="0" w:space="0" w:color="auto"/>
        <w:left w:val="none" w:sz="0" w:space="0" w:color="auto"/>
        <w:bottom w:val="none" w:sz="0" w:space="0" w:color="auto"/>
        <w:right w:val="none" w:sz="0" w:space="0" w:color="auto"/>
      </w:divBdr>
    </w:div>
    <w:div w:id="1352561107">
      <w:bodyDiv w:val="1"/>
      <w:marLeft w:val="0"/>
      <w:marRight w:val="0"/>
      <w:marTop w:val="0"/>
      <w:marBottom w:val="0"/>
      <w:divBdr>
        <w:top w:val="none" w:sz="0" w:space="0" w:color="auto"/>
        <w:left w:val="none" w:sz="0" w:space="0" w:color="auto"/>
        <w:bottom w:val="none" w:sz="0" w:space="0" w:color="auto"/>
        <w:right w:val="none" w:sz="0" w:space="0" w:color="auto"/>
      </w:divBdr>
    </w:div>
    <w:div w:id="1352682767">
      <w:bodyDiv w:val="1"/>
      <w:marLeft w:val="0"/>
      <w:marRight w:val="0"/>
      <w:marTop w:val="0"/>
      <w:marBottom w:val="0"/>
      <w:divBdr>
        <w:top w:val="none" w:sz="0" w:space="0" w:color="auto"/>
        <w:left w:val="none" w:sz="0" w:space="0" w:color="auto"/>
        <w:bottom w:val="none" w:sz="0" w:space="0" w:color="auto"/>
        <w:right w:val="none" w:sz="0" w:space="0" w:color="auto"/>
      </w:divBdr>
    </w:div>
    <w:div w:id="1352799171">
      <w:bodyDiv w:val="1"/>
      <w:marLeft w:val="0"/>
      <w:marRight w:val="0"/>
      <w:marTop w:val="0"/>
      <w:marBottom w:val="0"/>
      <w:divBdr>
        <w:top w:val="none" w:sz="0" w:space="0" w:color="auto"/>
        <w:left w:val="none" w:sz="0" w:space="0" w:color="auto"/>
        <w:bottom w:val="none" w:sz="0" w:space="0" w:color="auto"/>
        <w:right w:val="none" w:sz="0" w:space="0" w:color="auto"/>
      </w:divBdr>
    </w:div>
    <w:div w:id="1352802382">
      <w:bodyDiv w:val="1"/>
      <w:marLeft w:val="0"/>
      <w:marRight w:val="0"/>
      <w:marTop w:val="0"/>
      <w:marBottom w:val="0"/>
      <w:divBdr>
        <w:top w:val="none" w:sz="0" w:space="0" w:color="auto"/>
        <w:left w:val="none" w:sz="0" w:space="0" w:color="auto"/>
        <w:bottom w:val="none" w:sz="0" w:space="0" w:color="auto"/>
        <w:right w:val="none" w:sz="0" w:space="0" w:color="auto"/>
      </w:divBdr>
    </w:div>
    <w:div w:id="1352876772">
      <w:bodyDiv w:val="1"/>
      <w:marLeft w:val="0"/>
      <w:marRight w:val="0"/>
      <w:marTop w:val="0"/>
      <w:marBottom w:val="0"/>
      <w:divBdr>
        <w:top w:val="none" w:sz="0" w:space="0" w:color="auto"/>
        <w:left w:val="none" w:sz="0" w:space="0" w:color="auto"/>
        <w:bottom w:val="none" w:sz="0" w:space="0" w:color="auto"/>
        <w:right w:val="none" w:sz="0" w:space="0" w:color="auto"/>
      </w:divBdr>
    </w:div>
    <w:div w:id="1352948896">
      <w:bodyDiv w:val="1"/>
      <w:marLeft w:val="0"/>
      <w:marRight w:val="0"/>
      <w:marTop w:val="0"/>
      <w:marBottom w:val="0"/>
      <w:divBdr>
        <w:top w:val="none" w:sz="0" w:space="0" w:color="auto"/>
        <w:left w:val="none" w:sz="0" w:space="0" w:color="auto"/>
        <w:bottom w:val="none" w:sz="0" w:space="0" w:color="auto"/>
        <w:right w:val="none" w:sz="0" w:space="0" w:color="auto"/>
      </w:divBdr>
    </w:div>
    <w:div w:id="1352953448">
      <w:bodyDiv w:val="1"/>
      <w:marLeft w:val="0"/>
      <w:marRight w:val="0"/>
      <w:marTop w:val="0"/>
      <w:marBottom w:val="0"/>
      <w:divBdr>
        <w:top w:val="none" w:sz="0" w:space="0" w:color="auto"/>
        <w:left w:val="none" w:sz="0" w:space="0" w:color="auto"/>
        <w:bottom w:val="none" w:sz="0" w:space="0" w:color="auto"/>
        <w:right w:val="none" w:sz="0" w:space="0" w:color="auto"/>
      </w:divBdr>
    </w:div>
    <w:div w:id="1352957001">
      <w:bodyDiv w:val="1"/>
      <w:marLeft w:val="0"/>
      <w:marRight w:val="0"/>
      <w:marTop w:val="0"/>
      <w:marBottom w:val="0"/>
      <w:divBdr>
        <w:top w:val="none" w:sz="0" w:space="0" w:color="auto"/>
        <w:left w:val="none" w:sz="0" w:space="0" w:color="auto"/>
        <w:bottom w:val="none" w:sz="0" w:space="0" w:color="auto"/>
        <w:right w:val="none" w:sz="0" w:space="0" w:color="auto"/>
      </w:divBdr>
    </w:div>
    <w:div w:id="1352994095">
      <w:bodyDiv w:val="1"/>
      <w:marLeft w:val="0"/>
      <w:marRight w:val="0"/>
      <w:marTop w:val="0"/>
      <w:marBottom w:val="0"/>
      <w:divBdr>
        <w:top w:val="none" w:sz="0" w:space="0" w:color="auto"/>
        <w:left w:val="none" w:sz="0" w:space="0" w:color="auto"/>
        <w:bottom w:val="none" w:sz="0" w:space="0" w:color="auto"/>
        <w:right w:val="none" w:sz="0" w:space="0" w:color="auto"/>
      </w:divBdr>
    </w:div>
    <w:div w:id="1353141241">
      <w:bodyDiv w:val="1"/>
      <w:marLeft w:val="0"/>
      <w:marRight w:val="0"/>
      <w:marTop w:val="0"/>
      <w:marBottom w:val="0"/>
      <w:divBdr>
        <w:top w:val="none" w:sz="0" w:space="0" w:color="auto"/>
        <w:left w:val="none" w:sz="0" w:space="0" w:color="auto"/>
        <w:bottom w:val="none" w:sz="0" w:space="0" w:color="auto"/>
        <w:right w:val="none" w:sz="0" w:space="0" w:color="auto"/>
      </w:divBdr>
    </w:div>
    <w:div w:id="1353149030">
      <w:bodyDiv w:val="1"/>
      <w:marLeft w:val="0"/>
      <w:marRight w:val="0"/>
      <w:marTop w:val="0"/>
      <w:marBottom w:val="0"/>
      <w:divBdr>
        <w:top w:val="none" w:sz="0" w:space="0" w:color="auto"/>
        <w:left w:val="none" w:sz="0" w:space="0" w:color="auto"/>
        <w:bottom w:val="none" w:sz="0" w:space="0" w:color="auto"/>
        <w:right w:val="none" w:sz="0" w:space="0" w:color="auto"/>
      </w:divBdr>
    </w:div>
    <w:div w:id="1353150010">
      <w:bodyDiv w:val="1"/>
      <w:marLeft w:val="0"/>
      <w:marRight w:val="0"/>
      <w:marTop w:val="0"/>
      <w:marBottom w:val="0"/>
      <w:divBdr>
        <w:top w:val="none" w:sz="0" w:space="0" w:color="auto"/>
        <w:left w:val="none" w:sz="0" w:space="0" w:color="auto"/>
        <w:bottom w:val="none" w:sz="0" w:space="0" w:color="auto"/>
        <w:right w:val="none" w:sz="0" w:space="0" w:color="auto"/>
      </w:divBdr>
    </w:div>
    <w:div w:id="1353261674">
      <w:bodyDiv w:val="1"/>
      <w:marLeft w:val="0"/>
      <w:marRight w:val="0"/>
      <w:marTop w:val="0"/>
      <w:marBottom w:val="0"/>
      <w:divBdr>
        <w:top w:val="none" w:sz="0" w:space="0" w:color="auto"/>
        <w:left w:val="none" w:sz="0" w:space="0" w:color="auto"/>
        <w:bottom w:val="none" w:sz="0" w:space="0" w:color="auto"/>
        <w:right w:val="none" w:sz="0" w:space="0" w:color="auto"/>
      </w:divBdr>
    </w:div>
    <w:div w:id="1353413873">
      <w:bodyDiv w:val="1"/>
      <w:marLeft w:val="0"/>
      <w:marRight w:val="0"/>
      <w:marTop w:val="0"/>
      <w:marBottom w:val="0"/>
      <w:divBdr>
        <w:top w:val="none" w:sz="0" w:space="0" w:color="auto"/>
        <w:left w:val="none" w:sz="0" w:space="0" w:color="auto"/>
        <w:bottom w:val="none" w:sz="0" w:space="0" w:color="auto"/>
        <w:right w:val="none" w:sz="0" w:space="0" w:color="auto"/>
      </w:divBdr>
    </w:div>
    <w:div w:id="1353460163">
      <w:bodyDiv w:val="1"/>
      <w:marLeft w:val="0"/>
      <w:marRight w:val="0"/>
      <w:marTop w:val="0"/>
      <w:marBottom w:val="0"/>
      <w:divBdr>
        <w:top w:val="none" w:sz="0" w:space="0" w:color="auto"/>
        <w:left w:val="none" w:sz="0" w:space="0" w:color="auto"/>
        <w:bottom w:val="none" w:sz="0" w:space="0" w:color="auto"/>
        <w:right w:val="none" w:sz="0" w:space="0" w:color="auto"/>
      </w:divBdr>
    </w:div>
    <w:div w:id="1353532076">
      <w:bodyDiv w:val="1"/>
      <w:marLeft w:val="0"/>
      <w:marRight w:val="0"/>
      <w:marTop w:val="0"/>
      <w:marBottom w:val="0"/>
      <w:divBdr>
        <w:top w:val="none" w:sz="0" w:space="0" w:color="auto"/>
        <w:left w:val="none" w:sz="0" w:space="0" w:color="auto"/>
        <w:bottom w:val="none" w:sz="0" w:space="0" w:color="auto"/>
        <w:right w:val="none" w:sz="0" w:space="0" w:color="auto"/>
      </w:divBdr>
    </w:div>
    <w:div w:id="1353804157">
      <w:bodyDiv w:val="1"/>
      <w:marLeft w:val="0"/>
      <w:marRight w:val="0"/>
      <w:marTop w:val="0"/>
      <w:marBottom w:val="0"/>
      <w:divBdr>
        <w:top w:val="none" w:sz="0" w:space="0" w:color="auto"/>
        <w:left w:val="none" w:sz="0" w:space="0" w:color="auto"/>
        <w:bottom w:val="none" w:sz="0" w:space="0" w:color="auto"/>
        <w:right w:val="none" w:sz="0" w:space="0" w:color="auto"/>
      </w:divBdr>
    </w:div>
    <w:div w:id="1353842914">
      <w:bodyDiv w:val="1"/>
      <w:marLeft w:val="0"/>
      <w:marRight w:val="0"/>
      <w:marTop w:val="0"/>
      <w:marBottom w:val="0"/>
      <w:divBdr>
        <w:top w:val="none" w:sz="0" w:space="0" w:color="auto"/>
        <w:left w:val="none" w:sz="0" w:space="0" w:color="auto"/>
        <w:bottom w:val="none" w:sz="0" w:space="0" w:color="auto"/>
        <w:right w:val="none" w:sz="0" w:space="0" w:color="auto"/>
      </w:divBdr>
    </w:div>
    <w:div w:id="1353918195">
      <w:bodyDiv w:val="1"/>
      <w:marLeft w:val="0"/>
      <w:marRight w:val="0"/>
      <w:marTop w:val="0"/>
      <w:marBottom w:val="0"/>
      <w:divBdr>
        <w:top w:val="none" w:sz="0" w:space="0" w:color="auto"/>
        <w:left w:val="none" w:sz="0" w:space="0" w:color="auto"/>
        <w:bottom w:val="none" w:sz="0" w:space="0" w:color="auto"/>
        <w:right w:val="none" w:sz="0" w:space="0" w:color="auto"/>
      </w:divBdr>
    </w:div>
    <w:div w:id="1353989317">
      <w:bodyDiv w:val="1"/>
      <w:marLeft w:val="0"/>
      <w:marRight w:val="0"/>
      <w:marTop w:val="0"/>
      <w:marBottom w:val="0"/>
      <w:divBdr>
        <w:top w:val="none" w:sz="0" w:space="0" w:color="auto"/>
        <w:left w:val="none" w:sz="0" w:space="0" w:color="auto"/>
        <w:bottom w:val="none" w:sz="0" w:space="0" w:color="auto"/>
        <w:right w:val="none" w:sz="0" w:space="0" w:color="auto"/>
      </w:divBdr>
    </w:div>
    <w:div w:id="1353990560">
      <w:bodyDiv w:val="1"/>
      <w:marLeft w:val="0"/>
      <w:marRight w:val="0"/>
      <w:marTop w:val="0"/>
      <w:marBottom w:val="0"/>
      <w:divBdr>
        <w:top w:val="none" w:sz="0" w:space="0" w:color="auto"/>
        <w:left w:val="none" w:sz="0" w:space="0" w:color="auto"/>
        <w:bottom w:val="none" w:sz="0" w:space="0" w:color="auto"/>
        <w:right w:val="none" w:sz="0" w:space="0" w:color="auto"/>
      </w:divBdr>
    </w:div>
    <w:div w:id="1353996450">
      <w:bodyDiv w:val="1"/>
      <w:marLeft w:val="0"/>
      <w:marRight w:val="0"/>
      <w:marTop w:val="0"/>
      <w:marBottom w:val="0"/>
      <w:divBdr>
        <w:top w:val="none" w:sz="0" w:space="0" w:color="auto"/>
        <w:left w:val="none" w:sz="0" w:space="0" w:color="auto"/>
        <w:bottom w:val="none" w:sz="0" w:space="0" w:color="auto"/>
        <w:right w:val="none" w:sz="0" w:space="0" w:color="auto"/>
      </w:divBdr>
    </w:div>
    <w:div w:id="1353998849">
      <w:bodyDiv w:val="1"/>
      <w:marLeft w:val="0"/>
      <w:marRight w:val="0"/>
      <w:marTop w:val="0"/>
      <w:marBottom w:val="0"/>
      <w:divBdr>
        <w:top w:val="none" w:sz="0" w:space="0" w:color="auto"/>
        <w:left w:val="none" w:sz="0" w:space="0" w:color="auto"/>
        <w:bottom w:val="none" w:sz="0" w:space="0" w:color="auto"/>
        <w:right w:val="none" w:sz="0" w:space="0" w:color="auto"/>
      </w:divBdr>
    </w:div>
    <w:div w:id="1354071982">
      <w:bodyDiv w:val="1"/>
      <w:marLeft w:val="0"/>
      <w:marRight w:val="0"/>
      <w:marTop w:val="0"/>
      <w:marBottom w:val="0"/>
      <w:divBdr>
        <w:top w:val="none" w:sz="0" w:space="0" w:color="auto"/>
        <w:left w:val="none" w:sz="0" w:space="0" w:color="auto"/>
        <w:bottom w:val="none" w:sz="0" w:space="0" w:color="auto"/>
        <w:right w:val="none" w:sz="0" w:space="0" w:color="auto"/>
      </w:divBdr>
    </w:div>
    <w:div w:id="1354115076">
      <w:bodyDiv w:val="1"/>
      <w:marLeft w:val="0"/>
      <w:marRight w:val="0"/>
      <w:marTop w:val="0"/>
      <w:marBottom w:val="0"/>
      <w:divBdr>
        <w:top w:val="none" w:sz="0" w:space="0" w:color="auto"/>
        <w:left w:val="none" w:sz="0" w:space="0" w:color="auto"/>
        <w:bottom w:val="none" w:sz="0" w:space="0" w:color="auto"/>
        <w:right w:val="none" w:sz="0" w:space="0" w:color="auto"/>
      </w:divBdr>
    </w:div>
    <w:div w:id="1354189650">
      <w:bodyDiv w:val="1"/>
      <w:marLeft w:val="0"/>
      <w:marRight w:val="0"/>
      <w:marTop w:val="0"/>
      <w:marBottom w:val="0"/>
      <w:divBdr>
        <w:top w:val="none" w:sz="0" w:space="0" w:color="auto"/>
        <w:left w:val="none" w:sz="0" w:space="0" w:color="auto"/>
        <w:bottom w:val="none" w:sz="0" w:space="0" w:color="auto"/>
        <w:right w:val="none" w:sz="0" w:space="0" w:color="auto"/>
      </w:divBdr>
    </w:div>
    <w:div w:id="1354191135">
      <w:bodyDiv w:val="1"/>
      <w:marLeft w:val="0"/>
      <w:marRight w:val="0"/>
      <w:marTop w:val="0"/>
      <w:marBottom w:val="0"/>
      <w:divBdr>
        <w:top w:val="none" w:sz="0" w:space="0" w:color="auto"/>
        <w:left w:val="none" w:sz="0" w:space="0" w:color="auto"/>
        <w:bottom w:val="none" w:sz="0" w:space="0" w:color="auto"/>
        <w:right w:val="none" w:sz="0" w:space="0" w:color="auto"/>
      </w:divBdr>
    </w:div>
    <w:div w:id="1354262272">
      <w:bodyDiv w:val="1"/>
      <w:marLeft w:val="0"/>
      <w:marRight w:val="0"/>
      <w:marTop w:val="0"/>
      <w:marBottom w:val="0"/>
      <w:divBdr>
        <w:top w:val="none" w:sz="0" w:space="0" w:color="auto"/>
        <w:left w:val="none" w:sz="0" w:space="0" w:color="auto"/>
        <w:bottom w:val="none" w:sz="0" w:space="0" w:color="auto"/>
        <w:right w:val="none" w:sz="0" w:space="0" w:color="auto"/>
      </w:divBdr>
    </w:div>
    <w:div w:id="1354309872">
      <w:bodyDiv w:val="1"/>
      <w:marLeft w:val="0"/>
      <w:marRight w:val="0"/>
      <w:marTop w:val="0"/>
      <w:marBottom w:val="0"/>
      <w:divBdr>
        <w:top w:val="none" w:sz="0" w:space="0" w:color="auto"/>
        <w:left w:val="none" w:sz="0" w:space="0" w:color="auto"/>
        <w:bottom w:val="none" w:sz="0" w:space="0" w:color="auto"/>
        <w:right w:val="none" w:sz="0" w:space="0" w:color="auto"/>
      </w:divBdr>
    </w:div>
    <w:div w:id="1354376722">
      <w:bodyDiv w:val="1"/>
      <w:marLeft w:val="0"/>
      <w:marRight w:val="0"/>
      <w:marTop w:val="0"/>
      <w:marBottom w:val="0"/>
      <w:divBdr>
        <w:top w:val="none" w:sz="0" w:space="0" w:color="auto"/>
        <w:left w:val="none" w:sz="0" w:space="0" w:color="auto"/>
        <w:bottom w:val="none" w:sz="0" w:space="0" w:color="auto"/>
        <w:right w:val="none" w:sz="0" w:space="0" w:color="auto"/>
      </w:divBdr>
    </w:div>
    <w:div w:id="1354381430">
      <w:bodyDiv w:val="1"/>
      <w:marLeft w:val="0"/>
      <w:marRight w:val="0"/>
      <w:marTop w:val="0"/>
      <w:marBottom w:val="0"/>
      <w:divBdr>
        <w:top w:val="none" w:sz="0" w:space="0" w:color="auto"/>
        <w:left w:val="none" w:sz="0" w:space="0" w:color="auto"/>
        <w:bottom w:val="none" w:sz="0" w:space="0" w:color="auto"/>
        <w:right w:val="none" w:sz="0" w:space="0" w:color="auto"/>
      </w:divBdr>
    </w:div>
    <w:div w:id="1354455283">
      <w:bodyDiv w:val="1"/>
      <w:marLeft w:val="0"/>
      <w:marRight w:val="0"/>
      <w:marTop w:val="0"/>
      <w:marBottom w:val="0"/>
      <w:divBdr>
        <w:top w:val="none" w:sz="0" w:space="0" w:color="auto"/>
        <w:left w:val="none" w:sz="0" w:space="0" w:color="auto"/>
        <w:bottom w:val="none" w:sz="0" w:space="0" w:color="auto"/>
        <w:right w:val="none" w:sz="0" w:space="0" w:color="auto"/>
      </w:divBdr>
    </w:div>
    <w:div w:id="1354528105">
      <w:bodyDiv w:val="1"/>
      <w:marLeft w:val="0"/>
      <w:marRight w:val="0"/>
      <w:marTop w:val="0"/>
      <w:marBottom w:val="0"/>
      <w:divBdr>
        <w:top w:val="none" w:sz="0" w:space="0" w:color="auto"/>
        <w:left w:val="none" w:sz="0" w:space="0" w:color="auto"/>
        <w:bottom w:val="none" w:sz="0" w:space="0" w:color="auto"/>
        <w:right w:val="none" w:sz="0" w:space="0" w:color="auto"/>
      </w:divBdr>
    </w:div>
    <w:div w:id="1354528317">
      <w:bodyDiv w:val="1"/>
      <w:marLeft w:val="0"/>
      <w:marRight w:val="0"/>
      <w:marTop w:val="0"/>
      <w:marBottom w:val="0"/>
      <w:divBdr>
        <w:top w:val="none" w:sz="0" w:space="0" w:color="auto"/>
        <w:left w:val="none" w:sz="0" w:space="0" w:color="auto"/>
        <w:bottom w:val="none" w:sz="0" w:space="0" w:color="auto"/>
        <w:right w:val="none" w:sz="0" w:space="0" w:color="auto"/>
      </w:divBdr>
    </w:div>
    <w:div w:id="1354528339">
      <w:bodyDiv w:val="1"/>
      <w:marLeft w:val="0"/>
      <w:marRight w:val="0"/>
      <w:marTop w:val="0"/>
      <w:marBottom w:val="0"/>
      <w:divBdr>
        <w:top w:val="none" w:sz="0" w:space="0" w:color="auto"/>
        <w:left w:val="none" w:sz="0" w:space="0" w:color="auto"/>
        <w:bottom w:val="none" w:sz="0" w:space="0" w:color="auto"/>
        <w:right w:val="none" w:sz="0" w:space="0" w:color="auto"/>
      </w:divBdr>
    </w:div>
    <w:div w:id="1354651883">
      <w:bodyDiv w:val="1"/>
      <w:marLeft w:val="0"/>
      <w:marRight w:val="0"/>
      <w:marTop w:val="0"/>
      <w:marBottom w:val="0"/>
      <w:divBdr>
        <w:top w:val="none" w:sz="0" w:space="0" w:color="auto"/>
        <w:left w:val="none" w:sz="0" w:space="0" w:color="auto"/>
        <w:bottom w:val="none" w:sz="0" w:space="0" w:color="auto"/>
        <w:right w:val="none" w:sz="0" w:space="0" w:color="auto"/>
      </w:divBdr>
    </w:div>
    <w:div w:id="1354653140">
      <w:bodyDiv w:val="1"/>
      <w:marLeft w:val="0"/>
      <w:marRight w:val="0"/>
      <w:marTop w:val="0"/>
      <w:marBottom w:val="0"/>
      <w:divBdr>
        <w:top w:val="none" w:sz="0" w:space="0" w:color="auto"/>
        <w:left w:val="none" w:sz="0" w:space="0" w:color="auto"/>
        <w:bottom w:val="none" w:sz="0" w:space="0" w:color="auto"/>
        <w:right w:val="none" w:sz="0" w:space="0" w:color="auto"/>
      </w:divBdr>
    </w:div>
    <w:div w:id="1354694755">
      <w:bodyDiv w:val="1"/>
      <w:marLeft w:val="0"/>
      <w:marRight w:val="0"/>
      <w:marTop w:val="0"/>
      <w:marBottom w:val="0"/>
      <w:divBdr>
        <w:top w:val="none" w:sz="0" w:space="0" w:color="auto"/>
        <w:left w:val="none" w:sz="0" w:space="0" w:color="auto"/>
        <w:bottom w:val="none" w:sz="0" w:space="0" w:color="auto"/>
        <w:right w:val="none" w:sz="0" w:space="0" w:color="auto"/>
      </w:divBdr>
    </w:div>
    <w:div w:id="1354847274">
      <w:bodyDiv w:val="1"/>
      <w:marLeft w:val="0"/>
      <w:marRight w:val="0"/>
      <w:marTop w:val="0"/>
      <w:marBottom w:val="0"/>
      <w:divBdr>
        <w:top w:val="none" w:sz="0" w:space="0" w:color="auto"/>
        <w:left w:val="none" w:sz="0" w:space="0" w:color="auto"/>
        <w:bottom w:val="none" w:sz="0" w:space="0" w:color="auto"/>
        <w:right w:val="none" w:sz="0" w:space="0" w:color="auto"/>
      </w:divBdr>
    </w:div>
    <w:div w:id="1355036997">
      <w:bodyDiv w:val="1"/>
      <w:marLeft w:val="0"/>
      <w:marRight w:val="0"/>
      <w:marTop w:val="0"/>
      <w:marBottom w:val="0"/>
      <w:divBdr>
        <w:top w:val="none" w:sz="0" w:space="0" w:color="auto"/>
        <w:left w:val="none" w:sz="0" w:space="0" w:color="auto"/>
        <w:bottom w:val="none" w:sz="0" w:space="0" w:color="auto"/>
        <w:right w:val="none" w:sz="0" w:space="0" w:color="auto"/>
      </w:divBdr>
    </w:div>
    <w:div w:id="1355038235">
      <w:bodyDiv w:val="1"/>
      <w:marLeft w:val="0"/>
      <w:marRight w:val="0"/>
      <w:marTop w:val="0"/>
      <w:marBottom w:val="0"/>
      <w:divBdr>
        <w:top w:val="none" w:sz="0" w:space="0" w:color="auto"/>
        <w:left w:val="none" w:sz="0" w:space="0" w:color="auto"/>
        <w:bottom w:val="none" w:sz="0" w:space="0" w:color="auto"/>
        <w:right w:val="none" w:sz="0" w:space="0" w:color="auto"/>
      </w:divBdr>
    </w:div>
    <w:div w:id="1355039152">
      <w:bodyDiv w:val="1"/>
      <w:marLeft w:val="0"/>
      <w:marRight w:val="0"/>
      <w:marTop w:val="0"/>
      <w:marBottom w:val="0"/>
      <w:divBdr>
        <w:top w:val="none" w:sz="0" w:space="0" w:color="auto"/>
        <w:left w:val="none" w:sz="0" w:space="0" w:color="auto"/>
        <w:bottom w:val="none" w:sz="0" w:space="0" w:color="auto"/>
        <w:right w:val="none" w:sz="0" w:space="0" w:color="auto"/>
      </w:divBdr>
    </w:div>
    <w:div w:id="1355112922">
      <w:bodyDiv w:val="1"/>
      <w:marLeft w:val="0"/>
      <w:marRight w:val="0"/>
      <w:marTop w:val="0"/>
      <w:marBottom w:val="0"/>
      <w:divBdr>
        <w:top w:val="none" w:sz="0" w:space="0" w:color="auto"/>
        <w:left w:val="none" w:sz="0" w:space="0" w:color="auto"/>
        <w:bottom w:val="none" w:sz="0" w:space="0" w:color="auto"/>
        <w:right w:val="none" w:sz="0" w:space="0" w:color="auto"/>
      </w:divBdr>
    </w:div>
    <w:div w:id="1355115076">
      <w:bodyDiv w:val="1"/>
      <w:marLeft w:val="0"/>
      <w:marRight w:val="0"/>
      <w:marTop w:val="0"/>
      <w:marBottom w:val="0"/>
      <w:divBdr>
        <w:top w:val="none" w:sz="0" w:space="0" w:color="auto"/>
        <w:left w:val="none" w:sz="0" w:space="0" w:color="auto"/>
        <w:bottom w:val="none" w:sz="0" w:space="0" w:color="auto"/>
        <w:right w:val="none" w:sz="0" w:space="0" w:color="auto"/>
      </w:divBdr>
    </w:div>
    <w:div w:id="1355153902">
      <w:bodyDiv w:val="1"/>
      <w:marLeft w:val="0"/>
      <w:marRight w:val="0"/>
      <w:marTop w:val="0"/>
      <w:marBottom w:val="0"/>
      <w:divBdr>
        <w:top w:val="none" w:sz="0" w:space="0" w:color="auto"/>
        <w:left w:val="none" w:sz="0" w:space="0" w:color="auto"/>
        <w:bottom w:val="none" w:sz="0" w:space="0" w:color="auto"/>
        <w:right w:val="none" w:sz="0" w:space="0" w:color="auto"/>
      </w:divBdr>
    </w:div>
    <w:div w:id="1355158295">
      <w:bodyDiv w:val="1"/>
      <w:marLeft w:val="0"/>
      <w:marRight w:val="0"/>
      <w:marTop w:val="0"/>
      <w:marBottom w:val="0"/>
      <w:divBdr>
        <w:top w:val="none" w:sz="0" w:space="0" w:color="auto"/>
        <w:left w:val="none" w:sz="0" w:space="0" w:color="auto"/>
        <w:bottom w:val="none" w:sz="0" w:space="0" w:color="auto"/>
        <w:right w:val="none" w:sz="0" w:space="0" w:color="auto"/>
      </w:divBdr>
    </w:div>
    <w:div w:id="1355224469">
      <w:bodyDiv w:val="1"/>
      <w:marLeft w:val="0"/>
      <w:marRight w:val="0"/>
      <w:marTop w:val="0"/>
      <w:marBottom w:val="0"/>
      <w:divBdr>
        <w:top w:val="none" w:sz="0" w:space="0" w:color="auto"/>
        <w:left w:val="none" w:sz="0" w:space="0" w:color="auto"/>
        <w:bottom w:val="none" w:sz="0" w:space="0" w:color="auto"/>
        <w:right w:val="none" w:sz="0" w:space="0" w:color="auto"/>
      </w:divBdr>
    </w:div>
    <w:div w:id="1355225632">
      <w:bodyDiv w:val="1"/>
      <w:marLeft w:val="0"/>
      <w:marRight w:val="0"/>
      <w:marTop w:val="0"/>
      <w:marBottom w:val="0"/>
      <w:divBdr>
        <w:top w:val="none" w:sz="0" w:space="0" w:color="auto"/>
        <w:left w:val="none" w:sz="0" w:space="0" w:color="auto"/>
        <w:bottom w:val="none" w:sz="0" w:space="0" w:color="auto"/>
        <w:right w:val="none" w:sz="0" w:space="0" w:color="auto"/>
      </w:divBdr>
    </w:div>
    <w:div w:id="1355300134">
      <w:bodyDiv w:val="1"/>
      <w:marLeft w:val="0"/>
      <w:marRight w:val="0"/>
      <w:marTop w:val="0"/>
      <w:marBottom w:val="0"/>
      <w:divBdr>
        <w:top w:val="none" w:sz="0" w:space="0" w:color="auto"/>
        <w:left w:val="none" w:sz="0" w:space="0" w:color="auto"/>
        <w:bottom w:val="none" w:sz="0" w:space="0" w:color="auto"/>
        <w:right w:val="none" w:sz="0" w:space="0" w:color="auto"/>
      </w:divBdr>
    </w:div>
    <w:div w:id="1355377183">
      <w:bodyDiv w:val="1"/>
      <w:marLeft w:val="0"/>
      <w:marRight w:val="0"/>
      <w:marTop w:val="0"/>
      <w:marBottom w:val="0"/>
      <w:divBdr>
        <w:top w:val="none" w:sz="0" w:space="0" w:color="auto"/>
        <w:left w:val="none" w:sz="0" w:space="0" w:color="auto"/>
        <w:bottom w:val="none" w:sz="0" w:space="0" w:color="auto"/>
        <w:right w:val="none" w:sz="0" w:space="0" w:color="auto"/>
      </w:divBdr>
    </w:div>
    <w:div w:id="1355417892">
      <w:bodyDiv w:val="1"/>
      <w:marLeft w:val="0"/>
      <w:marRight w:val="0"/>
      <w:marTop w:val="0"/>
      <w:marBottom w:val="0"/>
      <w:divBdr>
        <w:top w:val="none" w:sz="0" w:space="0" w:color="auto"/>
        <w:left w:val="none" w:sz="0" w:space="0" w:color="auto"/>
        <w:bottom w:val="none" w:sz="0" w:space="0" w:color="auto"/>
        <w:right w:val="none" w:sz="0" w:space="0" w:color="auto"/>
      </w:divBdr>
    </w:div>
    <w:div w:id="1355499104">
      <w:bodyDiv w:val="1"/>
      <w:marLeft w:val="0"/>
      <w:marRight w:val="0"/>
      <w:marTop w:val="0"/>
      <w:marBottom w:val="0"/>
      <w:divBdr>
        <w:top w:val="none" w:sz="0" w:space="0" w:color="auto"/>
        <w:left w:val="none" w:sz="0" w:space="0" w:color="auto"/>
        <w:bottom w:val="none" w:sz="0" w:space="0" w:color="auto"/>
        <w:right w:val="none" w:sz="0" w:space="0" w:color="auto"/>
      </w:divBdr>
    </w:div>
    <w:div w:id="1355571386">
      <w:bodyDiv w:val="1"/>
      <w:marLeft w:val="0"/>
      <w:marRight w:val="0"/>
      <w:marTop w:val="0"/>
      <w:marBottom w:val="0"/>
      <w:divBdr>
        <w:top w:val="none" w:sz="0" w:space="0" w:color="auto"/>
        <w:left w:val="none" w:sz="0" w:space="0" w:color="auto"/>
        <w:bottom w:val="none" w:sz="0" w:space="0" w:color="auto"/>
        <w:right w:val="none" w:sz="0" w:space="0" w:color="auto"/>
      </w:divBdr>
    </w:div>
    <w:div w:id="1355577580">
      <w:bodyDiv w:val="1"/>
      <w:marLeft w:val="0"/>
      <w:marRight w:val="0"/>
      <w:marTop w:val="0"/>
      <w:marBottom w:val="0"/>
      <w:divBdr>
        <w:top w:val="none" w:sz="0" w:space="0" w:color="auto"/>
        <w:left w:val="none" w:sz="0" w:space="0" w:color="auto"/>
        <w:bottom w:val="none" w:sz="0" w:space="0" w:color="auto"/>
        <w:right w:val="none" w:sz="0" w:space="0" w:color="auto"/>
      </w:divBdr>
    </w:div>
    <w:div w:id="1355687414">
      <w:bodyDiv w:val="1"/>
      <w:marLeft w:val="0"/>
      <w:marRight w:val="0"/>
      <w:marTop w:val="0"/>
      <w:marBottom w:val="0"/>
      <w:divBdr>
        <w:top w:val="none" w:sz="0" w:space="0" w:color="auto"/>
        <w:left w:val="none" w:sz="0" w:space="0" w:color="auto"/>
        <w:bottom w:val="none" w:sz="0" w:space="0" w:color="auto"/>
        <w:right w:val="none" w:sz="0" w:space="0" w:color="auto"/>
      </w:divBdr>
    </w:div>
    <w:div w:id="1355692043">
      <w:bodyDiv w:val="1"/>
      <w:marLeft w:val="0"/>
      <w:marRight w:val="0"/>
      <w:marTop w:val="0"/>
      <w:marBottom w:val="0"/>
      <w:divBdr>
        <w:top w:val="none" w:sz="0" w:space="0" w:color="auto"/>
        <w:left w:val="none" w:sz="0" w:space="0" w:color="auto"/>
        <w:bottom w:val="none" w:sz="0" w:space="0" w:color="auto"/>
        <w:right w:val="none" w:sz="0" w:space="0" w:color="auto"/>
      </w:divBdr>
    </w:div>
    <w:div w:id="1355764323">
      <w:bodyDiv w:val="1"/>
      <w:marLeft w:val="0"/>
      <w:marRight w:val="0"/>
      <w:marTop w:val="0"/>
      <w:marBottom w:val="0"/>
      <w:divBdr>
        <w:top w:val="none" w:sz="0" w:space="0" w:color="auto"/>
        <w:left w:val="none" w:sz="0" w:space="0" w:color="auto"/>
        <w:bottom w:val="none" w:sz="0" w:space="0" w:color="auto"/>
        <w:right w:val="none" w:sz="0" w:space="0" w:color="auto"/>
      </w:divBdr>
    </w:div>
    <w:div w:id="1355766686">
      <w:bodyDiv w:val="1"/>
      <w:marLeft w:val="0"/>
      <w:marRight w:val="0"/>
      <w:marTop w:val="0"/>
      <w:marBottom w:val="0"/>
      <w:divBdr>
        <w:top w:val="none" w:sz="0" w:space="0" w:color="auto"/>
        <w:left w:val="none" w:sz="0" w:space="0" w:color="auto"/>
        <w:bottom w:val="none" w:sz="0" w:space="0" w:color="auto"/>
        <w:right w:val="none" w:sz="0" w:space="0" w:color="auto"/>
      </w:divBdr>
    </w:div>
    <w:div w:id="1355810529">
      <w:bodyDiv w:val="1"/>
      <w:marLeft w:val="0"/>
      <w:marRight w:val="0"/>
      <w:marTop w:val="0"/>
      <w:marBottom w:val="0"/>
      <w:divBdr>
        <w:top w:val="none" w:sz="0" w:space="0" w:color="auto"/>
        <w:left w:val="none" w:sz="0" w:space="0" w:color="auto"/>
        <w:bottom w:val="none" w:sz="0" w:space="0" w:color="auto"/>
        <w:right w:val="none" w:sz="0" w:space="0" w:color="auto"/>
      </w:divBdr>
    </w:div>
    <w:div w:id="1355959023">
      <w:bodyDiv w:val="1"/>
      <w:marLeft w:val="0"/>
      <w:marRight w:val="0"/>
      <w:marTop w:val="0"/>
      <w:marBottom w:val="0"/>
      <w:divBdr>
        <w:top w:val="none" w:sz="0" w:space="0" w:color="auto"/>
        <w:left w:val="none" w:sz="0" w:space="0" w:color="auto"/>
        <w:bottom w:val="none" w:sz="0" w:space="0" w:color="auto"/>
        <w:right w:val="none" w:sz="0" w:space="0" w:color="auto"/>
      </w:divBdr>
    </w:div>
    <w:div w:id="1356037940">
      <w:bodyDiv w:val="1"/>
      <w:marLeft w:val="0"/>
      <w:marRight w:val="0"/>
      <w:marTop w:val="0"/>
      <w:marBottom w:val="0"/>
      <w:divBdr>
        <w:top w:val="none" w:sz="0" w:space="0" w:color="auto"/>
        <w:left w:val="none" w:sz="0" w:space="0" w:color="auto"/>
        <w:bottom w:val="none" w:sz="0" w:space="0" w:color="auto"/>
        <w:right w:val="none" w:sz="0" w:space="0" w:color="auto"/>
      </w:divBdr>
      <w:divsChild>
        <w:div w:id="1511892">
          <w:marLeft w:val="0"/>
          <w:marRight w:val="0"/>
          <w:marTop w:val="0"/>
          <w:marBottom w:val="0"/>
          <w:divBdr>
            <w:top w:val="none" w:sz="0" w:space="0" w:color="auto"/>
            <w:left w:val="none" w:sz="0" w:space="0" w:color="auto"/>
            <w:bottom w:val="none" w:sz="0" w:space="0" w:color="auto"/>
            <w:right w:val="none" w:sz="0" w:space="0" w:color="auto"/>
          </w:divBdr>
        </w:div>
        <w:div w:id="12731190">
          <w:marLeft w:val="0"/>
          <w:marRight w:val="0"/>
          <w:marTop w:val="0"/>
          <w:marBottom w:val="0"/>
          <w:divBdr>
            <w:top w:val="none" w:sz="0" w:space="0" w:color="auto"/>
            <w:left w:val="none" w:sz="0" w:space="0" w:color="auto"/>
            <w:bottom w:val="none" w:sz="0" w:space="0" w:color="auto"/>
            <w:right w:val="none" w:sz="0" w:space="0" w:color="auto"/>
          </w:divBdr>
        </w:div>
        <w:div w:id="13922750">
          <w:marLeft w:val="0"/>
          <w:marRight w:val="0"/>
          <w:marTop w:val="0"/>
          <w:marBottom w:val="0"/>
          <w:divBdr>
            <w:top w:val="none" w:sz="0" w:space="0" w:color="auto"/>
            <w:left w:val="none" w:sz="0" w:space="0" w:color="auto"/>
            <w:bottom w:val="none" w:sz="0" w:space="0" w:color="auto"/>
            <w:right w:val="none" w:sz="0" w:space="0" w:color="auto"/>
          </w:divBdr>
        </w:div>
        <w:div w:id="20596567">
          <w:marLeft w:val="0"/>
          <w:marRight w:val="0"/>
          <w:marTop w:val="0"/>
          <w:marBottom w:val="0"/>
          <w:divBdr>
            <w:top w:val="none" w:sz="0" w:space="0" w:color="auto"/>
            <w:left w:val="none" w:sz="0" w:space="0" w:color="auto"/>
            <w:bottom w:val="none" w:sz="0" w:space="0" w:color="auto"/>
            <w:right w:val="none" w:sz="0" w:space="0" w:color="auto"/>
          </w:divBdr>
        </w:div>
        <w:div w:id="35156063">
          <w:marLeft w:val="0"/>
          <w:marRight w:val="0"/>
          <w:marTop w:val="0"/>
          <w:marBottom w:val="0"/>
          <w:divBdr>
            <w:top w:val="none" w:sz="0" w:space="0" w:color="auto"/>
            <w:left w:val="none" w:sz="0" w:space="0" w:color="auto"/>
            <w:bottom w:val="none" w:sz="0" w:space="0" w:color="auto"/>
            <w:right w:val="none" w:sz="0" w:space="0" w:color="auto"/>
          </w:divBdr>
        </w:div>
        <w:div w:id="41028677">
          <w:marLeft w:val="0"/>
          <w:marRight w:val="0"/>
          <w:marTop w:val="0"/>
          <w:marBottom w:val="0"/>
          <w:divBdr>
            <w:top w:val="none" w:sz="0" w:space="0" w:color="auto"/>
            <w:left w:val="none" w:sz="0" w:space="0" w:color="auto"/>
            <w:bottom w:val="none" w:sz="0" w:space="0" w:color="auto"/>
            <w:right w:val="none" w:sz="0" w:space="0" w:color="auto"/>
          </w:divBdr>
        </w:div>
        <w:div w:id="41642539">
          <w:marLeft w:val="0"/>
          <w:marRight w:val="0"/>
          <w:marTop w:val="0"/>
          <w:marBottom w:val="0"/>
          <w:divBdr>
            <w:top w:val="none" w:sz="0" w:space="0" w:color="auto"/>
            <w:left w:val="none" w:sz="0" w:space="0" w:color="auto"/>
            <w:bottom w:val="none" w:sz="0" w:space="0" w:color="auto"/>
            <w:right w:val="none" w:sz="0" w:space="0" w:color="auto"/>
          </w:divBdr>
        </w:div>
        <w:div w:id="45378727">
          <w:marLeft w:val="0"/>
          <w:marRight w:val="0"/>
          <w:marTop w:val="0"/>
          <w:marBottom w:val="0"/>
          <w:divBdr>
            <w:top w:val="none" w:sz="0" w:space="0" w:color="auto"/>
            <w:left w:val="none" w:sz="0" w:space="0" w:color="auto"/>
            <w:bottom w:val="none" w:sz="0" w:space="0" w:color="auto"/>
            <w:right w:val="none" w:sz="0" w:space="0" w:color="auto"/>
          </w:divBdr>
        </w:div>
        <w:div w:id="81878430">
          <w:marLeft w:val="0"/>
          <w:marRight w:val="0"/>
          <w:marTop w:val="0"/>
          <w:marBottom w:val="0"/>
          <w:divBdr>
            <w:top w:val="none" w:sz="0" w:space="0" w:color="auto"/>
            <w:left w:val="none" w:sz="0" w:space="0" w:color="auto"/>
            <w:bottom w:val="none" w:sz="0" w:space="0" w:color="auto"/>
            <w:right w:val="none" w:sz="0" w:space="0" w:color="auto"/>
          </w:divBdr>
        </w:div>
        <w:div w:id="85735078">
          <w:marLeft w:val="0"/>
          <w:marRight w:val="0"/>
          <w:marTop w:val="0"/>
          <w:marBottom w:val="0"/>
          <w:divBdr>
            <w:top w:val="none" w:sz="0" w:space="0" w:color="auto"/>
            <w:left w:val="none" w:sz="0" w:space="0" w:color="auto"/>
            <w:bottom w:val="none" w:sz="0" w:space="0" w:color="auto"/>
            <w:right w:val="none" w:sz="0" w:space="0" w:color="auto"/>
          </w:divBdr>
        </w:div>
        <w:div w:id="94372523">
          <w:marLeft w:val="0"/>
          <w:marRight w:val="0"/>
          <w:marTop w:val="0"/>
          <w:marBottom w:val="0"/>
          <w:divBdr>
            <w:top w:val="none" w:sz="0" w:space="0" w:color="auto"/>
            <w:left w:val="none" w:sz="0" w:space="0" w:color="auto"/>
            <w:bottom w:val="none" w:sz="0" w:space="0" w:color="auto"/>
            <w:right w:val="none" w:sz="0" w:space="0" w:color="auto"/>
          </w:divBdr>
        </w:div>
        <w:div w:id="96365318">
          <w:marLeft w:val="0"/>
          <w:marRight w:val="0"/>
          <w:marTop w:val="0"/>
          <w:marBottom w:val="0"/>
          <w:divBdr>
            <w:top w:val="none" w:sz="0" w:space="0" w:color="auto"/>
            <w:left w:val="none" w:sz="0" w:space="0" w:color="auto"/>
            <w:bottom w:val="none" w:sz="0" w:space="0" w:color="auto"/>
            <w:right w:val="none" w:sz="0" w:space="0" w:color="auto"/>
          </w:divBdr>
        </w:div>
        <w:div w:id="121198092">
          <w:marLeft w:val="0"/>
          <w:marRight w:val="0"/>
          <w:marTop w:val="0"/>
          <w:marBottom w:val="0"/>
          <w:divBdr>
            <w:top w:val="none" w:sz="0" w:space="0" w:color="auto"/>
            <w:left w:val="none" w:sz="0" w:space="0" w:color="auto"/>
            <w:bottom w:val="none" w:sz="0" w:space="0" w:color="auto"/>
            <w:right w:val="none" w:sz="0" w:space="0" w:color="auto"/>
          </w:divBdr>
        </w:div>
        <w:div w:id="133569553">
          <w:marLeft w:val="0"/>
          <w:marRight w:val="0"/>
          <w:marTop w:val="0"/>
          <w:marBottom w:val="0"/>
          <w:divBdr>
            <w:top w:val="none" w:sz="0" w:space="0" w:color="auto"/>
            <w:left w:val="none" w:sz="0" w:space="0" w:color="auto"/>
            <w:bottom w:val="none" w:sz="0" w:space="0" w:color="auto"/>
            <w:right w:val="none" w:sz="0" w:space="0" w:color="auto"/>
          </w:divBdr>
        </w:div>
        <w:div w:id="163018147">
          <w:marLeft w:val="0"/>
          <w:marRight w:val="0"/>
          <w:marTop w:val="0"/>
          <w:marBottom w:val="0"/>
          <w:divBdr>
            <w:top w:val="none" w:sz="0" w:space="0" w:color="auto"/>
            <w:left w:val="none" w:sz="0" w:space="0" w:color="auto"/>
            <w:bottom w:val="none" w:sz="0" w:space="0" w:color="auto"/>
            <w:right w:val="none" w:sz="0" w:space="0" w:color="auto"/>
          </w:divBdr>
        </w:div>
        <w:div w:id="174194814">
          <w:marLeft w:val="0"/>
          <w:marRight w:val="0"/>
          <w:marTop w:val="0"/>
          <w:marBottom w:val="0"/>
          <w:divBdr>
            <w:top w:val="none" w:sz="0" w:space="0" w:color="auto"/>
            <w:left w:val="none" w:sz="0" w:space="0" w:color="auto"/>
            <w:bottom w:val="none" w:sz="0" w:space="0" w:color="auto"/>
            <w:right w:val="none" w:sz="0" w:space="0" w:color="auto"/>
          </w:divBdr>
        </w:div>
        <w:div w:id="188376518">
          <w:marLeft w:val="0"/>
          <w:marRight w:val="0"/>
          <w:marTop w:val="0"/>
          <w:marBottom w:val="0"/>
          <w:divBdr>
            <w:top w:val="none" w:sz="0" w:space="0" w:color="auto"/>
            <w:left w:val="none" w:sz="0" w:space="0" w:color="auto"/>
            <w:bottom w:val="none" w:sz="0" w:space="0" w:color="auto"/>
            <w:right w:val="none" w:sz="0" w:space="0" w:color="auto"/>
          </w:divBdr>
        </w:div>
        <w:div w:id="194195487">
          <w:marLeft w:val="0"/>
          <w:marRight w:val="0"/>
          <w:marTop w:val="0"/>
          <w:marBottom w:val="0"/>
          <w:divBdr>
            <w:top w:val="none" w:sz="0" w:space="0" w:color="auto"/>
            <w:left w:val="none" w:sz="0" w:space="0" w:color="auto"/>
            <w:bottom w:val="none" w:sz="0" w:space="0" w:color="auto"/>
            <w:right w:val="none" w:sz="0" w:space="0" w:color="auto"/>
          </w:divBdr>
        </w:div>
        <w:div w:id="205071904">
          <w:marLeft w:val="0"/>
          <w:marRight w:val="0"/>
          <w:marTop w:val="0"/>
          <w:marBottom w:val="0"/>
          <w:divBdr>
            <w:top w:val="none" w:sz="0" w:space="0" w:color="auto"/>
            <w:left w:val="none" w:sz="0" w:space="0" w:color="auto"/>
            <w:bottom w:val="none" w:sz="0" w:space="0" w:color="auto"/>
            <w:right w:val="none" w:sz="0" w:space="0" w:color="auto"/>
          </w:divBdr>
        </w:div>
        <w:div w:id="206796865">
          <w:marLeft w:val="0"/>
          <w:marRight w:val="0"/>
          <w:marTop w:val="0"/>
          <w:marBottom w:val="0"/>
          <w:divBdr>
            <w:top w:val="none" w:sz="0" w:space="0" w:color="auto"/>
            <w:left w:val="none" w:sz="0" w:space="0" w:color="auto"/>
            <w:bottom w:val="none" w:sz="0" w:space="0" w:color="auto"/>
            <w:right w:val="none" w:sz="0" w:space="0" w:color="auto"/>
          </w:divBdr>
        </w:div>
        <w:div w:id="234364657">
          <w:marLeft w:val="0"/>
          <w:marRight w:val="0"/>
          <w:marTop w:val="0"/>
          <w:marBottom w:val="0"/>
          <w:divBdr>
            <w:top w:val="none" w:sz="0" w:space="0" w:color="auto"/>
            <w:left w:val="none" w:sz="0" w:space="0" w:color="auto"/>
            <w:bottom w:val="none" w:sz="0" w:space="0" w:color="auto"/>
            <w:right w:val="none" w:sz="0" w:space="0" w:color="auto"/>
          </w:divBdr>
        </w:div>
        <w:div w:id="253704826">
          <w:marLeft w:val="0"/>
          <w:marRight w:val="0"/>
          <w:marTop w:val="0"/>
          <w:marBottom w:val="0"/>
          <w:divBdr>
            <w:top w:val="none" w:sz="0" w:space="0" w:color="auto"/>
            <w:left w:val="none" w:sz="0" w:space="0" w:color="auto"/>
            <w:bottom w:val="none" w:sz="0" w:space="0" w:color="auto"/>
            <w:right w:val="none" w:sz="0" w:space="0" w:color="auto"/>
          </w:divBdr>
        </w:div>
        <w:div w:id="262424003">
          <w:marLeft w:val="0"/>
          <w:marRight w:val="0"/>
          <w:marTop w:val="0"/>
          <w:marBottom w:val="0"/>
          <w:divBdr>
            <w:top w:val="none" w:sz="0" w:space="0" w:color="auto"/>
            <w:left w:val="none" w:sz="0" w:space="0" w:color="auto"/>
            <w:bottom w:val="none" w:sz="0" w:space="0" w:color="auto"/>
            <w:right w:val="none" w:sz="0" w:space="0" w:color="auto"/>
          </w:divBdr>
        </w:div>
        <w:div w:id="263193046">
          <w:marLeft w:val="0"/>
          <w:marRight w:val="0"/>
          <w:marTop w:val="0"/>
          <w:marBottom w:val="0"/>
          <w:divBdr>
            <w:top w:val="none" w:sz="0" w:space="0" w:color="auto"/>
            <w:left w:val="none" w:sz="0" w:space="0" w:color="auto"/>
            <w:bottom w:val="none" w:sz="0" w:space="0" w:color="auto"/>
            <w:right w:val="none" w:sz="0" w:space="0" w:color="auto"/>
          </w:divBdr>
        </w:div>
        <w:div w:id="276760876">
          <w:marLeft w:val="0"/>
          <w:marRight w:val="0"/>
          <w:marTop w:val="0"/>
          <w:marBottom w:val="0"/>
          <w:divBdr>
            <w:top w:val="none" w:sz="0" w:space="0" w:color="auto"/>
            <w:left w:val="none" w:sz="0" w:space="0" w:color="auto"/>
            <w:bottom w:val="none" w:sz="0" w:space="0" w:color="auto"/>
            <w:right w:val="none" w:sz="0" w:space="0" w:color="auto"/>
          </w:divBdr>
        </w:div>
        <w:div w:id="276956388">
          <w:marLeft w:val="0"/>
          <w:marRight w:val="0"/>
          <w:marTop w:val="0"/>
          <w:marBottom w:val="0"/>
          <w:divBdr>
            <w:top w:val="none" w:sz="0" w:space="0" w:color="auto"/>
            <w:left w:val="none" w:sz="0" w:space="0" w:color="auto"/>
            <w:bottom w:val="none" w:sz="0" w:space="0" w:color="auto"/>
            <w:right w:val="none" w:sz="0" w:space="0" w:color="auto"/>
          </w:divBdr>
        </w:div>
        <w:div w:id="329409242">
          <w:marLeft w:val="0"/>
          <w:marRight w:val="0"/>
          <w:marTop w:val="0"/>
          <w:marBottom w:val="0"/>
          <w:divBdr>
            <w:top w:val="none" w:sz="0" w:space="0" w:color="auto"/>
            <w:left w:val="none" w:sz="0" w:space="0" w:color="auto"/>
            <w:bottom w:val="none" w:sz="0" w:space="0" w:color="auto"/>
            <w:right w:val="none" w:sz="0" w:space="0" w:color="auto"/>
          </w:divBdr>
        </w:div>
        <w:div w:id="331298196">
          <w:marLeft w:val="0"/>
          <w:marRight w:val="0"/>
          <w:marTop w:val="0"/>
          <w:marBottom w:val="0"/>
          <w:divBdr>
            <w:top w:val="none" w:sz="0" w:space="0" w:color="auto"/>
            <w:left w:val="none" w:sz="0" w:space="0" w:color="auto"/>
            <w:bottom w:val="none" w:sz="0" w:space="0" w:color="auto"/>
            <w:right w:val="none" w:sz="0" w:space="0" w:color="auto"/>
          </w:divBdr>
        </w:div>
        <w:div w:id="344941796">
          <w:marLeft w:val="0"/>
          <w:marRight w:val="0"/>
          <w:marTop w:val="0"/>
          <w:marBottom w:val="0"/>
          <w:divBdr>
            <w:top w:val="none" w:sz="0" w:space="0" w:color="auto"/>
            <w:left w:val="none" w:sz="0" w:space="0" w:color="auto"/>
            <w:bottom w:val="none" w:sz="0" w:space="0" w:color="auto"/>
            <w:right w:val="none" w:sz="0" w:space="0" w:color="auto"/>
          </w:divBdr>
        </w:div>
        <w:div w:id="366487439">
          <w:marLeft w:val="0"/>
          <w:marRight w:val="0"/>
          <w:marTop w:val="0"/>
          <w:marBottom w:val="0"/>
          <w:divBdr>
            <w:top w:val="none" w:sz="0" w:space="0" w:color="auto"/>
            <w:left w:val="none" w:sz="0" w:space="0" w:color="auto"/>
            <w:bottom w:val="none" w:sz="0" w:space="0" w:color="auto"/>
            <w:right w:val="none" w:sz="0" w:space="0" w:color="auto"/>
          </w:divBdr>
        </w:div>
        <w:div w:id="375159641">
          <w:marLeft w:val="0"/>
          <w:marRight w:val="0"/>
          <w:marTop w:val="0"/>
          <w:marBottom w:val="0"/>
          <w:divBdr>
            <w:top w:val="none" w:sz="0" w:space="0" w:color="auto"/>
            <w:left w:val="none" w:sz="0" w:space="0" w:color="auto"/>
            <w:bottom w:val="none" w:sz="0" w:space="0" w:color="auto"/>
            <w:right w:val="none" w:sz="0" w:space="0" w:color="auto"/>
          </w:divBdr>
        </w:div>
        <w:div w:id="380053975">
          <w:marLeft w:val="0"/>
          <w:marRight w:val="0"/>
          <w:marTop w:val="0"/>
          <w:marBottom w:val="0"/>
          <w:divBdr>
            <w:top w:val="none" w:sz="0" w:space="0" w:color="auto"/>
            <w:left w:val="none" w:sz="0" w:space="0" w:color="auto"/>
            <w:bottom w:val="none" w:sz="0" w:space="0" w:color="auto"/>
            <w:right w:val="none" w:sz="0" w:space="0" w:color="auto"/>
          </w:divBdr>
        </w:div>
        <w:div w:id="386953241">
          <w:marLeft w:val="0"/>
          <w:marRight w:val="0"/>
          <w:marTop w:val="0"/>
          <w:marBottom w:val="0"/>
          <w:divBdr>
            <w:top w:val="none" w:sz="0" w:space="0" w:color="auto"/>
            <w:left w:val="none" w:sz="0" w:space="0" w:color="auto"/>
            <w:bottom w:val="none" w:sz="0" w:space="0" w:color="auto"/>
            <w:right w:val="none" w:sz="0" w:space="0" w:color="auto"/>
          </w:divBdr>
        </w:div>
        <w:div w:id="402218691">
          <w:marLeft w:val="0"/>
          <w:marRight w:val="0"/>
          <w:marTop w:val="0"/>
          <w:marBottom w:val="0"/>
          <w:divBdr>
            <w:top w:val="none" w:sz="0" w:space="0" w:color="auto"/>
            <w:left w:val="none" w:sz="0" w:space="0" w:color="auto"/>
            <w:bottom w:val="none" w:sz="0" w:space="0" w:color="auto"/>
            <w:right w:val="none" w:sz="0" w:space="0" w:color="auto"/>
          </w:divBdr>
        </w:div>
        <w:div w:id="402987723">
          <w:marLeft w:val="0"/>
          <w:marRight w:val="0"/>
          <w:marTop w:val="0"/>
          <w:marBottom w:val="0"/>
          <w:divBdr>
            <w:top w:val="none" w:sz="0" w:space="0" w:color="auto"/>
            <w:left w:val="none" w:sz="0" w:space="0" w:color="auto"/>
            <w:bottom w:val="none" w:sz="0" w:space="0" w:color="auto"/>
            <w:right w:val="none" w:sz="0" w:space="0" w:color="auto"/>
          </w:divBdr>
        </w:div>
        <w:div w:id="424764286">
          <w:marLeft w:val="0"/>
          <w:marRight w:val="0"/>
          <w:marTop w:val="0"/>
          <w:marBottom w:val="0"/>
          <w:divBdr>
            <w:top w:val="none" w:sz="0" w:space="0" w:color="auto"/>
            <w:left w:val="none" w:sz="0" w:space="0" w:color="auto"/>
            <w:bottom w:val="none" w:sz="0" w:space="0" w:color="auto"/>
            <w:right w:val="none" w:sz="0" w:space="0" w:color="auto"/>
          </w:divBdr>
        </w:div>
        <w:div w:id="433673843">
          <w:marLeft w:val="0"/>
          <w:marRight w:val="0"/>
          <w:marTop w:val="0"/>
          <w:marBottom w:val="0"/>
          <w:divBdr>
            <w:top w:val="none" w:sz="0" w:space="0" w:color="auto"/>
            <w:left w:val="none" w:sz="0" w:space="0" w:color="auto"/>
            <w:bottom w:val="none" w:sz="0" w:space="0" w:color="auto"/>
            <w:right w:val="none" w:sz="0" w:space="0" w:color="auto"/>
          </w:divBdr>
        </w:div>
        <w:div w:id="452292623">
          <w:marLeft w:val="0"/>
          <w:marRight w:val="0"/>
          <w:marTop w:val="0"/>
          <w:marBottom w:val="0"/>
          <w:divBdr>
            <w:top w:val="none" w:sz="0" w:space="0" w:color="auto"/>
            <w:left w:val="none" w:sz="0" w:space="0" w:color="auto"/>
            <w:bottom w:val="none" w:sz="0" w:space="0" w:color="auto"/>
            <w:right w:val="none" w:sz="0" w:space="0" w:color="auto"/>
          </w:divBdr>
        </w:div>
        <w:div w:id="460080271">
          <w:marLeft w:val="0"/>
          <w:marRight w:val="0"/>
          <w:marTop w:val="0"/>
          <w:marBottom w:val="0"/>
          <w:divBdr>
            <w:top w:val="none" w:sz="0" w:space="0" w:color="auto"/>
            <w:left w:val="none" w:sz="0" w:space="0" w:color="auto"/>
            <w:bottom w:val="none" w:sz="0" w:space="0" w:color="auto"/>
            <w:right w:val="none" w:sz="0" w:space="0" w:color="auto"/>
          </w:divBdr>
        </w:div>
        <w:div w:id="461272436">
          <w:marLeft w:val="0"/>
          <w:marRight w:val="0"/>
          <w:marTop w:val="0"/>
          <w:marBottom w:val="0"/>
          <w:divBdr>
            <w:top w:val="none" w:sz="0" w:space="0" w:color="auto"/>
            <w:left w:val="none" w:sz="0" w:space="0" w:color="auto"/>
            <w:bottom w:val="none" w:sz="0" w:space="0" w:color="auto"/>
            <w:right w:val="none" w:sz="0" w:space="0" w:color="auto"/>
          </w:divBdr>
        </w:div>
        <w:div w:id="474110236">
          <w:marLeft w:val="0"/>
          <w:marRight w:val="0"/>
          <w:marTop w:val="0"/>
          <w:marBottom w:val="0"/>
          <w:divBdr>
            <w:top w:val="none" w:sz="0" w:space="0" w:color="auto"/>
            <w:left w:val="none" w:sz="0" w:space="0" w:color="auto"/>
            <w:bottom w:val="none" w:sz="0" w:space="0" w:color="auto"/>
            <w:right w:val="none" w:sz="0" w:space="0" w:color="auto"/>
          </w:divBdr>
        </w:div>
        <w:div w:id="475493227">
          <w:marLeft w:val="0"/>
          <w:marRight w:val="0"/>
          <w:marTop w:val="0"/>
          <w:marBottom w:val="0"/>
          <w:divBdr>
            <w:top w:val="none" w:sz="0" w:space="0" w:color="auto"/>
            <w:left w:val="none" w:sz="0" w:space="0" w:color="auto"/>
            <w:bottom w:val="none" w:sz="0" w:space="0" w:color="auto"/>
            <w:right w:val="none" w:sz="0" w:space="0" w:color="auto"/>
          </w:divBdr>
        </w:div>
        <w:div w:id="485165344">
          <w:marLeft w:val="0"/>
          <w:marRight w:val="0"/>
          <w:marTop w:val="0"/>
          <w:marBottom w:val="0"/>
          <w:divBdr>
            <w:top w:val="none" w:sz="0" w:space="0" w:color="auto"/>
            <w:left w:val="none" w:sz="0" w:space="0" w:color="auto"/>
            <w:bottom w:val="none" w:sz="0" w:space="0" w:color="auto"/>
            <w:right w:val="none" w:sz="0" w:space="0" w:color="auto"/>
          </w:divBdr>
        </w:div>
        <w:div w:id="487670789">
          <w:marLeft w:val="0"/>
          <w:marRight w:val="0"/>
          <w:marTop w:val="0"/>
          <w:marBottom w:val="0"/>
          <w:divBdr>
            <w:top w:val="none" w:sz="0" w:space="0" w:color="auto"/>
            <w:left w:val="none" w:sz="0" w:space="0" w:color="auto"/>
            <w:bottom w:val="none" w:sz="0" w:space="0" w:color="auto"/>
            <w:right w:val="none" w:sz="0" w:space="0" w:color="auto"/>
          </w:divBdr>
        </w:div>
        <w:div w:id="501235547">
          <w:marLeft w:val="0"/>
          <w:marRight w:val="0"/>
          <w:marTop w:val="0"/>
          <w:marBottom w:val="0"/>
          <w:divBdr>
            <w:top w:val="none" w:sz="0" w:space="0" w:color="auto"/>
            <w:left w:val="none" w:sz="0" w:space="0" w:color="auto"/>
            <w:bottom w:val="none" w:sz="0" w:space="0" w:color="auto"/>
            <w:right w:val="none" w:sz="0" w:space="0" w:color="auto"/>
          </w:divBdr>
        </w:div>
        <w:div w:id="514421344">
          <w:marLeft w:val="0"/>
          <w:marRight w:val="0"/>
          <w:marTop w:val="0"/>
          <w:marBottom w:val="0"/>
          <w:divBdr>
            <w:top w:val="none" w:sz="0" w:space="0" w:color="auto"/>
            <w:left w:val="none" w:sz="0" w:space="0" w:color="auto"/>
            <w:bottom w:val="none" w:sz="0" w:space="0" w:color="auto"/>
            <w:right w:val="none" w:sz="0" w:space="0" w:color="auto"/>
          </w:divBdr>
        </w:div>
        <w:div w:id="514655676">
          <w:marLeft w:val="0"/>
          <w:marRight w:val="0"/>
          <w:marTop w:val="0"/>
          <w:marBottom w:val="0"/>
          <w:divBdr>
            <w:top w:val="none" w:sz="0" w:space="0" w:color="auto"/>
            <w:left w:val="none" w:sz="0" w:space="0" w:color="auto"/>
            <w:bottom w:val="none" w:sz="0" w:space="0" w:color="auto"/>
            <w:right w:val="none" w:sz="0" w:space="0" w:color="auto"/>
          </w:divBdr>
        </w:div>
        <w:div w:id="536086406">
          <w:marLeft w:val="0"/>
          <w:marRight w:val="0"/>
          <w:marTop w:val="0"/>
          <w:marBottom w:val="0"/>
          <w:divBdr>
            <w:top w:val="none" w:sz="0" w:space="0" w:color="auto"/>
            <w:left w:val="none" w:sz="0" w:space="0" w:color="auto"/>
            <w:bottom w:val="none" w:sz="0" w:space="0" w:color="auto"/>
            <w:right w:val="none" w:sz="0" w:space="0" w:color="auto"/>
          </w:divBdr>
        </w:div>
        <w:div w:id="563874344">
          <w:marLeft w:val="0"/>
          <w:marRight w:val="0"/>
          <w:marTop w:val="0"/>
          <w:marBottom w:val="0"/>
          <w:divBdr>
            <w:top w:val="none" w:sz="0" w:space="0" w:color="auto"/>
            <w:left w:val="none" w:sz="0" w:space="0" w:color="auto"/>
            <w:bottom w:val="none" w:sz="0" w:space="0" w:color="auto"/>
            <w:right w:val="none" w:sz="0" w:space="0" w:color="auto"/>
          </w:divBdr>
        </w:div>
        <w:div w:id="567301083">
          <w:marLeft w:val="0"/>
          <w:marRight w:val="0"/>
          <w:marTop w:val="0"/>
          <w:marBottom w:val="0"/>
          <w:divBdr>
            <w:top w:val="none" w:sz="0" w:space="0" w:color="auto"/>
            <w:left w:val="none" w:sz="0" w:space="0" w:color="auto"/>
            <w:bottom w:val="none" w:sz="0" w:space="0" w:color="auto"/>
            <w:right w:val="none" w:sz="0" w:space="0" w:color="auto"/>
          </w:divBdr>
        </w:div>
        <w:div w:id="575092483">
          <w:marLeft w:val="0"/>
          <w:marRight w:val="0"/>
          <w:marTop w:val="0"/>
          <w:marBottom w:val="0"/>
          <w:divBdr>
            <w:top w:val="none" w:sz="0" w:space="0" w:color="auto"/>
            <w:left w:val="none" w:sz="0" w:space="0" w:color="auto"/>
            <w:bottom w:val="none" w:sz="0" w:space="0" w:color="auto"/>
            <w:right w:val="none" w:sz="0" w:space="0" w:color="auto"/>
          </w:divBdr>
        </w:div>
        <w:div w:id="599487911">
          <w:marLeft w:val="0"/>
          <w:marRight w:val="0"/>
          <w:marTop w:val="0"/>
          <w:marBottom w:val="0"/>
          <w:divBdr>
            <w:top w:val="none" w:sz="0" w:space="0" w:color="auto"/>
            <w:left w:val="none" w:sz="0" w:space="0" w:color="auto"/>
            <w:bottom w:val="none" w:sz="0" w:space="0" w:color="auto"/>
            <w:right w:val="none" w:sz="0" w:space="0" w:color="auto"/>
          </w:divBdr>
        </w:div>
        <w:div w:id="603852895">
          <w:marLeft w:val="0"/>
          <w:marRight w:val="0"/>
          <w:marTop w:val="0"/>
          <w:marBottom w:val="0"/>
          <w:divBdr>
            <w:top w:val="none" w:sz="0" w:space="0" w:color="auto"/>
            <w:left w:val="none" w:sz="0" w:space="0" w:color="auto"/>
            <w:bottom w:val="none" w:sz="0" w:space="0" w:color="auto"/>
            <w:right w:val="none" w:sz="0" w:space="0" w:color="auto"/>
          </w:divBdr>
        </w:div>
        <w:div w:id="607929305">
          <w:marLeft w:val="0"/>
          <w:marRight w:val="0"/>
          <w:marTop w:val="0"/>
          <w:marBottom w:val="0"/>
          <w:divBdr>
            <w:top w:val="none" w:sz="0" w:space="0" w:color="auto"/>
            <w:left w:val="none" w:sz="0" w:space="0" w:color="auto"/>
            <w:bottom w:val="none" w:sz="0" w:space="0" w:color="auto"/>
            <w:right w:val="none" w:sz="0" w:space="0" w:color="auto"/>
          </w:divBdr>
        </w:div>
        <w:div w:id="626664915">
          <w:marLeft w:val="0"/>
          <w:marRight w:val="0"/>
          <w:marTop w:val="0"/>
          <w:marBottom w:val="0"/>
          <w:divBdr>
            <w:top w:val="none" w:sz="0" w:space="0" w:color="auto"/>
            <w:left w:val="none" w:sz="0" w:space="0" w:color="auto"/>
            <w:bottom w:val="none" w:sz="0" w:space="0" w:color="auto"/>
            <w:right w:val="none" w:sz="0" w:space="0" w:color="auto"/>
          </w:divBdr>
        </w:div>
        <w:div w:id="634021131">
          <w:marLeft w:val="0"/>
          <w:marRight w:val="0"/>
          <w:marTop w:val="0"/>
          <w:marBottom w:val="0"/>
          <w:divBdr>
            <w:top w:val="none" w:sz="0" w:space="0" w:color="auto"/>
            <w:left w:val="none" w:sz="0" w:space="0" w:color="auto"/>
            <w:bottom w:val="none" w:sz="0" w:space="0" w:color="auto"/>
            <w:right w:val="none" w:sz="0" w:space="0" w:color="auto"/>
          </w:divBdr>
        </w:div>
        <w:div w:id="639652906">
          <w:marLeft w:val="0"/>
          <w:marRight w:val="0"/>
          <w:marTop w:val="0"/>
          <w:marBottom w:val="0"/>
          <w:divBdr>
            <w:top w:val="none" w:sz="0" w:space="0" w:color="auto"/>
            <w:left w:val="none" w:sz="0" w:space="0" w:color="auto"/>
            <w:bottom w:val="none" w:sz="0" w:space="0" w:color="auto"/>
            <w:right w:val="none" w:sz="0" w:space="0" w:color="auto"/>
          </w:divBdr>
        </w:div>
        <w:div w:id="643197347">
          <w:marLeft w:val="0"/>
          <w:marRight w:val="0"/>
          <w:marTop w:val="0"/>
          <w:marBottom w:val="0"/>
          <w:divBdr>
            <w:top w:val="none" w:sz="0" w:space="0" w:color="auto"/>
            <w:left w:val="none" w:sz="0" w:space="0" w:color="auto"/>
            <w:bottom w:val="none" w:sz="0" w:space="0" w:color="auto"/>
            <w:right w:val="none" w:sz="0" w:space="0" w:color="auto"/>
          </w:divBdr>
        </w:div>
        <w:div w:id="659042357">
          <w:marLeft w:val="0"/>
          <w:marRight w:val="0"/>
          <w:marTop w:val="0"/>
          <w:marBottom w:val="0"/>
          <w:divBdr>
            <w:top w:val="none" w:sz="0" w:space="0" w:color="auto"/>
            <w:left w:val="none" w:sz="0" w:space="0" w:color="auto"/>
            <w:bottom w:val="none" w:sz="0" w:space="0" w:color="auto"/>
            <w:right w:val="none" w:sz="0" w:space="0" w:color="auto"/>
          </w:divBdr>
        </w:div>
        <w:div w:id="682827777">
          <w:marLeft w:val="0"/>
          <w:marRight w:val="0"/>
          <w:marTop w:val="0"/>
          <w:marBottom w:val="0"/>
          <w:divBdr>
            <w:top w:val="none" w:sz="0" w:space="0" w:color="auto"/>
            <w:left w:val="none" w:sz="0" w:space="0" w:color="auto"/>
            <w:bottom w:val="none" w:sz="0" w:space="0" w:color="auto"/>
            <w:right w:val="none" w:sz="0" w:space="0" w:color="auto"/>
          </w:divBdr>
        </w:div>
        <w:div w:id="696082954">
          <w:marLeft w:val="0"/>
          <w:marRight w:val="0"/>
          <w:marTop w:val="0"/>
          <w:marBottom w:val="0"/>
          <w:divBdr>
            <w:top w:val="none" w:sz="0" w:space="0" w:color="auto"/>
            <w:left w:val="none" w:sz="0" w:space="0" w:color="auto"/>
            <w:bottom w:val="none" w:sz="0" w:space="0" w:color="auto"/>
            <w:right w:val="none" w:sz="0" w:space="0" w:color="auto"/>
          </w:divBdr>
        </w:div>
        <w:div w:id="708989858">
          <w:marLeft w:val="0"/>
          <w:marRight w:val="0"/>
          <w:marTop w:val="0"/>
          <w:marBottom w:val="0"/>
          <w:divBdr>
            <w:top w:val="none" w:sz="0" w:space="0" w:color="auto"/>
            <w:left w:val="none" w:sz="0" w:space="0" w:color="auto"/>
            <w:bottom w:val="none" w:sz="0" w:space="0" w:color="auto"/>
            <w:right w:val="none" w:sz="0" w:space="0" w:color="auto"/>
          </w:divBdr>
        </w:div>
        <w:div w:id="716051980">
          <w:marLeft w:val="0"/>
          <w:marRight w:val="0"/>
          <w:marTop w:val="0"/>
          <w:marBottom w:val="0"/>
          <w:divBdr>
            <w:top w:val="none" w:sz="0" w:space="0" w:color="auto"/>
            <w:left w:val="none" w:sz="0" w:space="0" w:color="auto"/>
            <w:bottom w:val="none" w:sz="0" w:space="0" w:color="auto"/>
            <w:right w:val="none" w:sz="0" w:space="0" w:color="auto"/>
          </w:divBdr>
        </w:div>
        <w:div w:id="717972356">
          <w:marLeft w:val="0"/>
          <w:marRight w:val="0"/>
          <w:marTop w:val="0"/>
          <w:marBottom w:val="0"/>
          <w:divBdr>
            <w:top w:val="none" w:sz="0" w:space="0" w:color="auto"/>
            <w:left w:val="none" w:sz="0" w:space="0" w:color="auto"/>
            <w:bottom w:val="none" w:sz="0" w:space="0" w:color="auto"/>
            <w:right w:val="none" w:sz="0" w:space="0" w:color="auto"/>
          </w:divBdr>
        </w:div>
        <w:div w:id="721825858">
          <w:marLeft w:val="0"/>
          <w:marRight w:val="0"/>
          <w:marTop w:val="0"/>
          <w:marBottom w:val="0"/>
          <w:divBdr>
            <w:top w:val="none" w:sz="0" w:space="0" w:color="auto"/>
            <w:left w:val="none" w:sz="0" w:space="0" w:color="auto"/>
            <w:bottom w:val="none" w:sz="0" w:space="0" w:color="auto"/>
            <w:right w:val="none" w:sz="0" w:space="0" w:color="auto"/>
          </w:divBdr>
        </w:div>
        <w:div w:id="722561374">
          <w:marLeft w:val="0"/>
          <w:marRight w:val="0"/>
          <w:marTop w:val="0"/>
          <w:marBottom w:val="0"/>
          <w:divBdr>
            <w:top w:val="none" w:sz="0" w:space="0" w:color="auto"/>
            <w:left w:val="none" w:sz="0" w:space="0" w:color="auto"/>
            <w:bottom w:val="none" w:sz="0" w:space="0" w:color="auto"/>
            <w:right w:val="none" w:sz="0" w:space="0" w:color="auto"/>
          </w:divBdr>
        </w:div>
        <w:div w:id="729961540">
          <w:marLeft w:val="0"/>
          <w:marRight w:val="0"/>
          <w:marTop w:val="0"/>
          <w:marBottom w:val="0"/>
          <w:divBdr>
            <w:top w:val="none" w:sz="0" w:space="0" w:color="auto"/>
            <w:left w:val="none" w:sz="0" w:space="0" w:color="auto"/>
            <w:bottom w:val="none" w:sz="0" w:space="0" w:color="auto"/>
            <w:right w:val="none" w:sz="0" w:space="0" w:color="auto"/>
          </w:divBdr>
        </w:div>
        <w:div w:id="730882074">
          <w:marLeft w:val="0"/>
          <w:marRight w:val="0"/>
          <w:marTop w:val="0"/>
          <w:marBottom w:val="0"/>
          <w:divBdr>
            <w:top w:val="none" w:sz="0" w:space="0" w:color="auto"/>
            <w:left w:val="none" w:sz="0" w:space="0" w:color="auto"/>
            <w:bottom w:val="none" w:sz="0" w:space="0" w:color="auto"/>
            <w:right w:val="none" w:sz="0" w:space="0" w:color="auto"/>
          </w:divBdr>
        </w:div>
        <w:div w:id="743187751">
          <w:marLeft w:val="0"/>
          <w:marRight w:val="0"/>
          <w:marTop w:val="0"/>
          <w:marBottom w:val="0"/>
          <w:divBdr>
            <w:top w:val="none" w:sz="0" w:space="0" w:color="auto"/>
            <w:left w:val="none" w:sz="0" w:space="0" w:color="auto"/>
            <w:bottom w:val="none" w:sz="0" w:space="0" w:color="auto"/>
            <w:right w:val="none" w:sz="0" w:space="0" w:color="auto"/>
          </w:divBdr>
        </w:div>
        <w:div w:id="746683342">
          <w:marLeft w:val="0"/>
          <w:marRight w:val="0"/>
          <w:marTop w:val="0"/>
          <w:marBottom w:val="0"/>
          <w:divBdr>
            <w:top w:val="none" w:sz="0" w:space="0" w:color="auto"/>
            <w:left w:val="none" w:sz="0" w:space="0" w:color="auto"/>
            <w:bottom w:val="none" w:sz="0" w:space="0" w:color="auto"/>
            <w:right w:val="none" w:sz="0" w:space="0" w:color="auto"/>
          </w:divBdr>
        </w:div>
        <w:div w:id="751198788">
          <w:marLeft w:val="0"/>
          <w:marRight w:val="0"/>
          <w:marTop w:val="0"/>
          <w:marBottom w:val="0"/>
          <w:divBdr>
            <w:top w:val="none" w:sz="0" w:space="0" w:color="auto"/>
            <w:left w:val="none" w:sz="0" w:space="0" w:color="auto"/>
            <w:bottom w:val="none" w:sz="0" w:space="0" w:color="auto"/>
            <w:right w:val="none" w:sz="0" w:space="0" w:color="auto"/>
          </w:divBdr>
        </w:div>
        <w:div w:id="763452639">
          <w:marLeft w:val="0"/>
          <w:marRight w:val="0"/>
          <w:marTop w:val="0"/>
          <w:marBottom w:val="0"/>
          <w:divBdr>
            <w:top w:val="none" w:sz="0" w:space="0" w:color="auto"/>
            <w:left w:val="none" w:sz="0" w:space="0" w:color="auto"/>
            <w:bottom w:val="none" w:sz="0" w:space="0" w:color="auto"/>
            <w:right w:val="none" w:sz="0" w:space="0" w:color="auto"/>
          </w:divBdr>
        </w:div>
        <w:div w:id="764378058">
          <w:marLeft w:val="0"/>
          <w:marRight w:val="0"/>
          <w:marTop w:val="0"/>
          <w:marBottom w:val="0"/>
          <w:divBdr>
            <w:top w:val="none" w:sz="0" w:space="0" w:color="auto"/>
            <w:left w:val="none" w:sz="0" w:space="0" w:color="auto"/>
            <w:bottom w:val="none" w:sz="0" w:space="0" w:color="auto"/>
            <w:right w:val="none" w:sz="0" w:space="0" w:color="auto"/>
          </w:divBdr>
        </w:div>
        <w:div w:id="766117920">
          <w:marLeft w:val="0"/>
          <w:marRight w:val="0"/>
          <w:marTop w:val="0"/>
          <w:marBottom w:val="0"/>
          <w:divBdr>
            <w:top w:val="none" w:sz="0" w:space="0" w:color="auto"/>
            <w:left w:val="none" w:sz="0" w:space="0" w:color="auto"/>
            <w:bottom w:val="none" w:sz="0" w:space="0" w:color="auto"/>
            <w:right w:val="none" w:sz="0" w:space="0" w:color="auto"/>
          </w:divBdr>
        </w:div>
        <w:div w:id="769398676">
          <w:marLeft w:val="0"/>
          <w:marRight w:val="0"/>
          <w:marTop w:val="0"/>
          <w:marBottom w:val="0"/>
          <w:divBdr>
            <w:top w:val="none" w:sz="0" w:space="0" w:color="auto"/>
            <w:left w:val="none" w:sz="0" w:space="0" w:color="auto"/>
            <w:bottom w:val="none" w:sz="0" w:space="0" w:color="auto"/>
            <w:right w:val="none" w:sz="0" w:space="0" w:color="auto"/>
          </w:divBdr>
        </w:div>
        <w:div w:id="789402846">
          <w:marLeft w:val="0"/>
          <w:marRight w:val="0"/>
          <w:marTop w:val="0"/>
          <w:marBottom w:val="0"/>
          <w:divBdr>
            <w:top w:val="none" w:sz="0" w:space="0" w:color="auto"/>
            <w:left w:val="none" w:sz="0" w:space="0" w:color="auto"/>
            <w:bottom w:val="none" w:sz="0" w:space="0" w:color="auto"/>
            <w:right w:val="none" w:sz="0" w:space="0" w:color="auto"/>
          </w:divBdr>
        </w:div>
        <w:div w:id="806239848">
          <w:marLeft w:val="0"/>
          <w:marRight w:val="0"/>
          <w:marTop w:val="0"/>
          <w:marBottom w:val="0"/>
          <w:divBdr>
            <w:top w:val="none" w:sz="0" w:space="0" w:color="auto"/>
            <w:left w:val="none" w:sz="0" w:space="0" w:color="auto"/>
            <w:bottom w:val="none" w:sz="0" w:space="0" w:color="auto"/>
            <w:right w:val="none" w:sz="0" w:space="0" w:color="auto"/>
          </w:divBdr>
        </w:div>
        <w:div w:id="807891981">
          <w:marLeft w:val="0"/>
          <w:marRight w:val="0"/>
          <w:marTop w:val="0"/>
          <w:marBottom w:val="0"/>
          <w:divBdr>
            <w:top w:val="none" w:sz="0" w:space="0" w:color="auto"/>
            <w:left w:val="none" w:sz="0" w:space="0" w:color="auto"/>
            <w:bottom w:val="none" w:sz="0" w:space="0" w:color="auto"/>
            <w:right w:val="none" w:sz="0" w:space="0" w:color="auto"/>
          </w:divBdr>
        </w:div>
        <w:div w:id="811024101">
          <w:marLeft w:val="0"/>
          <w:marRight w:val="0"/>
          <w:marTop w:val="0"/>
          <w:marBottom w:val="0"/>
          <w:divBdr>
            <w:top w:val="none" w:sz="0" w:space="0" w:color="auto"/>
            <w:left w:val="none" w:sz="0" w:space="0" w:color="auto"/>
            <w:bottom w:val="none" w:sz="0" w:space="0" w:color="auto"/>
            <w:right w:val="none" w:sz="0" w:space="0" w:color="auto"/>
          </w:divBdr>
        </w:div>
        <w:div w:id="818111160">
          <w:marLeft w:val="0"/>
          <w:marRight w:val="0"/>
          <w:marTop w:val="0"/>
          <w:marBottom w:val="0"/>
          <w:divBdr>
            <w:top w:val="none" w:sz="0" w:space="0" w:color="auto"/>
            <w:left w:val="none" w:sz="0" w:space="0" w:color="auto"/>
            <w:bottom w:val="none" w:sz="0" w:space="0" w:color="auto"/>
            <w:right w:val="none" w:sz="0" w:space="0" w:color="auto"/>
          </w:divBdr>
        </w:div>
        <w:div w:id="841428686">
          <w:marLeft w:val="0"/>
          <w:marRight w:val="0"/>
          <w:marTop w:val="0"/>
          <w:marBottom w:val="0"/>
          <w:divBdr>
            <w:top w:val="none" w:sz="0" w:space="0" w:color="auto"/>
            <w:left w:val="none" w:sz="0" w:space="0" w:color="auto"/>
            <w:bottom w:val="none" w:sz="0" w:space="0" w:color="auto"/>
            <w:right w:val="none" w:sz="0" w:space="0" w:color="auto"/>
          </w:divBdr>
        </w:div>
        <w:div w:id="857502636">
          <w:marLeft w:val="0"/>
          <w:marRight w:val="0"/>
          <w:marTop w:val="0"/>
          <w:marBottom w:val="0"/>
          <w:divBdr>
            <w:top w:val="none" w:sz="0" w:space="0" w:color="auto"/>
            <w:left w:val="none" w:sz="0" w:space="0" w:color="auto"/>
            <w:bottom w:val="none" w:sz="0" w:space="0" w:color="auto"/>
            <w:right w:val="none" w:sz="0" w:space="0" w:color="auto"/>
          </w:divBdr>
        </w:div>
        <w:div w:id="872377673">
          <w:marLeft w:val="0"/>
          <w:marRight w:val="0"/>
          <w:marTop w:val="0"/>
          <w:marBottom w:val="0"/>
          <w:divBdr>
            <w:top w:val="none" w:sz="0" w:space="0" w:color="auto"/>
            <w:left w:val="none" w:sz="0" w:space="0" w:color="auto"/>
            <w:bottom w:val="none" w:sz="0" w:space="0" w:color="auto"/>
            <w:right w:val="none" w:sz="0" w:space="0" w:color="auto"/>
          </w:divBdr>
        </w:div>
        <w:div w:id="879512467">
          <w:marLeft w:val="0"/>
          <w:marRight w:val="0"/>
          <w:marTop w:val="0"/>
          <w:marBottom w:val="0"/>
          <w:divBdr>
            <w:top w:val="none" w:sz="0" w:space="0" w:color="auto"/>
            <w:left w:val="none" w:sz="0" w:space="0" w:color="auto"/>
            <w:bottom w:val="none" w:sz="0" w:space="0" w:color="auto"/>
            <w:right w:val="none" w:sz="0" w:space="0" w:color="auto"/>
          </w:divBdr>
        </w:div>
        <w:div w:id="891624213">
          <w:marLeft w:val="0"/>
          <w:marRight w:val="0"/>
          <w:marTop w:val="0"/>
          <w:marBottom w:val="0"/>
          <w:divBdr>
            <w:top w:val="none" w:sz="0" w:space="0" w:color="auto"/>
            <w:left w:val="none" w:sz="0" w:space="0" w:color="auto"/>
            <w:bottom w:val="none" w:sz="0" w:space="0" w:color="auto"/>
            <w:right w:val="none" w:sz="0" w:space="0" w:color="auto"/>
          </w:divBdr>
        </w:div>
        <w:div w:id="898981182">
          <w:marLeft w:val="0"/>
          <w:marRight w:val="0"/>
          <w:marTop w:val="0"/>
          <w:marBottom w:val="0"/>
          <w:divBdr>
            <w:top w:val="none" w:sz="0" w:space="0" w:color="auto"/>
            <w:left w:val="none" w:sz="0" w:space="0" w:color="auto"/>
            <w:bottom w:val="none" w:sz="0" w:space="0" w:color="auto"/>
            <w:right w:val="none" w:sz="0" w:space="0" w:color="auto"/>
          </w:divBdr>
        </w:div>
        <w:div w:id="938371111">
          <w:marLeft w:val="0"/>
          <w:marRight w:val="0"/>
          <w:marTop w:val="0"/>
          <w:marBottom w:val="0"/>
          <w:divBdr>
            <w:top w:val="none" w:sz="0" w:space="0" w:color="auto"/>
            <w:left w:val="none" w:sz="0" w:space="0" w:color="auto"/>
            <w:bottom w:val="none" w:sz="0" w:space="0" w:color="auto"/>
            <w:right w:val="none" w:sz="0" w:space="0" w:color="auto"/>
          </w:divBdr>
        </w:div>
        <w:div w:id="950168766">
          <w:marLeft w:val="0"/>
          <w:marRight w:val="0"/>
          <w:marTop w:val="0"/>
          <w:marBottom w:val="0"/>
          <w:divBdr>
            <w:top w:val="none" w:sz="0" w:space="0" w:color="auto"/>
            <w:left w:val="none" w:sz="0" w:space="0" w:color="auto"/>
            <w:bottom w:val="none" w:sz="0" w:space="0" w:color="auto"/>
            <w:right w:val="none" w:sz="0" w:space="0" w:color="auto"/>
          </w:divBdr>
        </w:div>
        <w:div w:id="959336632">
          <w:marLeft w:val="0"/>
          <w:marRight w:val="0"/>
          <w:marTop w:val="0"/>
          <w:marBottom w:val="0"/>
          <w:divBdr>
            <w:top w:val="none" w:sz="0" w:space="0" w:color="auto"/>
            <w:left w:val="none" w:sz="0" w:space="0" w:color="auto"/>
            <w:bottom w:val="none" w:sz="0" w:space="0" w:color="auto"/>
            <w:right w:val="none" w:sz="0" w:space="0" w:color="auto"/>
          </w:divBdr>
        </w:div>
        <w:div w:id="960653048">
          <w:marLeft w:val="0"/>
          <w:marRight w:val="0"/>
          <w:marTop w:val="0"/>
          <w:marBottom w:val="0"/>
          <w:divBdr>
            <w:top w:val="none" w:sz="0" w:space="0" w:color="auto"/>
            <w:left w:val="none" w:sz="0" w:space="0" w:color="auto"/>
            <w:bottom w:val="none" w:sz="0" w:space="0" w:color="auto"/>
            <w:right w:val="none" w:sz="0" w:space="0" w:color="auto"/>
          </w:divBdr>
        </w:div>
        <w:div w:id="968978690">
          <w:marLeft w:val="0"/>
          <w:marRight w:val="0"/>
          <w:marTop w:val="0"/>
          <w:marBottom w:val="0"/>
          <w:divBdr>
            <w:top w:val="none" w:sz="0" w:space="0" w:color="auto"/>
            <w:left w:val="none" w:sz="0" w:space="0" w:color="auto"/>
            <w:bottom w:val="none" w:sz="0" w:space="0" w:color="auto"/>
            <w:right w:val="none" w:sz="0" w:space="0" w:color="auto"/>
          </w:divBdr>
        </w:div>
        <w:div w:id="992834455">
          <w:marLeft w:val="0"/>
          <w:marRight w:val="0"/>
          <w:marTop w:val="0"/>
          <w:marBottom w:val="0"/>
          <w:divBdr>
            <w:top w:val="none" w:sz="0" w:space="0" w:color="auto"/>
            <w:left w:val="none" w:sz="0" w:space="0" w:color="auto"/>
            <w:bottom w:val="none" w:sz="0" w:space="0" w:color="auto"/>
            <w:right w:val="none" w:sz="0" w:space="0" w:color="auto"/>
          </w:divBdr>
        </w:div>
        <w:div w:id="1004550415">
          <w:marLeft w:val="0"/>
          <w:marRight w:val="0"/>
          <w:marTop w:val="0"/>
          <w:marBottom w:val="0"/>
          <w:divBdr>
            <w:top w:val="none" w:sz="0" w:space="0" w:color="auto"/>
            <w:left w:val="none" w:sz="0" w:space="0" w:color="auto"/>
            <w:bottom w:val="none" w:sz="0" w:space="0" w:color="auto"/>
            <w:right w:val="none" w:sz="0" w:space="0" w:color="auto"/>
          </w:divBdr>
        </w:div>
        <w:div w:id="1016344715">
          <w:marLeft w:val="0"/>
          <w:marRight w:val="0"/>
          <w:marTop w:val="0"/>
          <w:marBottom w:val="0"/>
          <w:divBdr>
            <w:top w:val="none" w:sz="0" w:space="0" w:color="auto"/>
            <w:left w:val="none" w:sz="0" w:space="0" w:color="auto"/>
            <w:bottom w:val="none" w:sz="0" w:space="0" w:color="auto"/>
            <w:right w:val="none" w:sz="0" w:space="0" w:color="auto"/>
          </w:divBdr>
        </w:div>
        <w:div w:id="1036854931">
          <w:marLeft w:val="0"/>
          <w:marRight w:val="0"/>
          <w:marTop w:val="0"/>
          <w:marBottom w:val="0"/>
          <w:divBdr>
            <w:top w:val="none" w:sz="0" w:space="0" w:color="auto"/>
            <w:left w:val="none" w:sz="0" w:space="0" w:color="auto"/>
            <w:bottom w:val="none" w:sz="0" w:space="0" w:color="auto"/>
            <w:right w:val="none" w:sz="0" w:space="0" w:color="auto"/>
          </w:divBdr>
        </w:div>
        <w:div w:id="1039814495">
          <w:marLeft w:val="0"/>
          <w:marRight w:val="0"/>
          <w:marTop w:val="0"/>
          <w:marBottom w:val="0"/>
          <w:divBdr>
            <w:top w:val="none" w:sz="0" w:space="0" w:color="auto"/>
            <w:left w:val="none" w:sz="0" w:space="0" w:color="auto"/>
            <w:bottom w:val="none" w:sz="0" w:space="0" w:color="auto"/>
            <w:right w:val="none" w:sz="0" w:space="0" w:color="auto"/>
          </w:divBdr>
        </w:div>
        <w:div w:id="1043138484">
          <w:marLeft w:val="0"/>
          <w:marRight w:val="0"/>
          <w:marTop w:val="0"/>
          <w:marBottom w:val="0"/>
          <w:divBdr>
            <w:top w:val="none" w:sz="0" w:space="0" w:color="auto"/>
            <w:left w:val="none" w:sz="0" w:space="0" w:color="auto"/>
            <w:bottom w:val="none" w:sz="0" w:space="0" w:color="auto"/>
            <w:right w:val="none" w:sz="0" w:space="0" w:color="auto"/>
          </w:divBdr>
        </w:div>
        <w:div w:id="1046098573">
          <w:marLeft w:val="0"/>
          <w:marRight w:val="0"/>
          <w:marTop w:val="0"/>
          <w:marBottom w:val="0"/>
          <w:divBdr>
            <w:top w:val="none" w:sz="0" w:space="0" w:color="auto"/>
            <w:left w:val="none" w:sz="0" w:space="0" w:color="auto"/>
            <w:bottom w:val="none" w:sz="0" w:space="0" w:color="auto"/>
            <w:right w:val="none" w:sz="0" w:space="0" w:color="auto"/>
          </w:divBdr>
        </w:div>
        <w:div w:id="1064714553">
          <w:marLeft w:val="0"/>
          <w:marRight w:val="0"/>
          <w:marTop w:val="0"/>
          <w:marBottom w:val="0"/>
          <w:divBdr>
            <w:top w:val="none" w:sz="0" w:space="0" w:color="auto"/>
            <w:left w:val="none" w:sz="0" w:space="0" w:color="auto"/>
            <w:bottom w:val="none" w:sz="0" w:space="0" w:color="auto"/>
            <w:right w:val="none" w:sz="0" w:space="0" w:color="auto"/>
          </w:divBdr>
        </w:div>
        <w:div w:id="1065908829">
          <w:marLeft w:val="0"/>
          <w:marRight w:val="0"/>
          <w:marTop w:val="0"/>
          <w:marBottom w:val="0"/>
          <w:divBdr>
            <w:top w:val="none" w:sz="0" w:space="0" w:color="auto"/>
            <w:left w:val="none" w:sz="0" w:space="0" w:color="auto"/>
            <w:bottom w:val="none" w:sz="0" w:space="0" w:color="auto"/>
            <w:right w:val="none" w:sz="0" w:space="0" w:color="auto"/>
          </w:divBdr>
        </w:div>
        <w:div w:id="1090737129">
          <w:marLeft w:val="0"/>
          <w:marRight w:val="0"/>
          <w:marTop w:val="0"/>
          <w:marBottom w:val="0"/>
          <w:divBdr>
            <w:top w:val="none" w:sz="0" w:space="0" w:color="auto"/>
            <w:left w:val="none" w:sz="0" w:space="0" w:color="auto"/>
            <w:bottom w:val="none" w:sz="0" w:space="0" w:color="auto"/>
            <w:right w:val="none" w:sz="0" w:space="0" w:color="auto"/>
          </w:divBdr>
        </w:div>
        <w:div w:id="1096365339">
          <w:marLeft w:val="0"/>
          <w:marRight w:val="0"/>
          <w:marTop w:val="0"/>
          <w:marBottom w:val="0"/>
          <w:divBdr>
            <w:top w:val="none" w:sz="0" w:space="0" w:color="auto"/>
            <w:left w:val="none" w:sz="0" w:space="0" w:color="auto"/>
            <w:bottom w:val="none" w:sz="0" w:space="0" w:color="auto"/>
            <w:right w:val="none" w:sz="0" w:space="0" w:color="auto"/>
          </w:divBdr>
        </w:div>
        <w:div w:id="1097679514">
          <w:marLeft w:val="0"/>
          <w:marRight w:val="0"/>
          <w:marTop w:val="0"/>
          <w:marBottom w:val="0"/>
          <w:divBdr>
            <w:top w:val="none" w:sz="0" w:space="0" w:color="auto"/>
            <w:left w:val="none" w:sz="0" w:space="0" w:color="auto"/>
            <w:bottom w:val="none" w:sz="0" w:space="0" w:color="auto"/>
            <w:right w:val="none" w:sz="0" w:space="0" w:color="auto"/>
          </w:divBdr>
        </w:div>
        <w:div w:id="1102578346">
          <w:marLeft w:val="0"/>
          <w:marRight w:val="0"/>
          <w:marTop w:val="0"/>
          <w:marBottom w:val="0"/>
          <w:divBdr>
            <w:top w:val="none" w:sz="0" w:space="0" w:color="auto"/>
            <w:left w:val="none" w:sz="0" w:space="0" w:color="auto"/>
            <w:bottom w:val="none" w:sz="0" w:space="0" w:color="auto"/>
            <w:right w:val="none" w:sz="0" w:space="0" w:color="auto"/>
          </w:divBdr>
        </w:div>
        <w:div w:id="1106585260">
          <w:marLeft w:val="0"/>
          <w:marRight w:val="0"/>
          <w:marTop w:val="0"/>
          <w:marBottom w:val="0"/>
          <w:divBdr>
            <w:top w:val="none" w:sz="0" w:space="0" w:color="auto"/>
            <w:left w:val="none" w:sz="0" w:space="0" w:color="auto"/>
            <w:bottom w:val="none" w:sz="0" w:space="0" w:color="auto"/>
            <w:right w:val="none" w:sz="0" w:space="0" w:color="auto"/>
          </w:divBdr>
        </w:div>
        <w:div w:id="1159540793">
          <w:marLeft w:val="0"/>
          <w:marRight w:val="0"/>
          <w:marTop w:val="0"/>
          <w:marBottom w:val="0"/>
          <w:divBdr>
            <w:top w:val="none" w:sz="0" w:space="0" w:color="auto"/>
            <w:left w:val="none" w:sz="0" w:space="0" w:color="auto"/>
            <w:bottom w:val="none" w:sz="0" w:space="0" w:color="auto"/>
            <w:right w:val="none" w:sz="0" w:space="0" w:color="auto"/>
          </w:divBdr>
        </w:div>
        <w:div w:id="1188249287">
          <w:marLeft w:val="0"/>
          <w:marRight w:val="0"/>
          <w:marTop w:val="0"/>
          <w:marBottom w:val="0"/>
          <w:divBdr>
            <w:top w:val="none" w:sz="0" w:space="0" w:color="auto"/>
            <w:left w:val="none" w:sz="0" w:space="0" w:color="auto"/>
            <w:bottom w:val="none" w:sz="0" w:space="0" w:color="auto"/>
            <w:right w:val="none" w:sz="0" w:space="0" w:color="auto"/>
          </w:divBdr>
        </w:div>
        <w:div w:id="1200626264">
          <w:marLeft w:val="0"/>
          <w:marRight w:val="0"/>
          <w:marTop w:val="0"/>
          <w:marBottom w:val="0"/>
          <w:divBdr>
            <w:top w:val="none" w:sz="0" w:space="0" w:color="auto"/>
            <w:left w:val="none" w:sz="0" w:space="0" w:color="auto"/>
            <w:bottom w:val="none" w:sz="0" w:space="0" w:color="auto"/>
            <w:right w:val="none" w:sz="0" w:space="0" w:color="auto"/>
          </w:divBdr>
        </w:div>
        <w:div w:id="1231429687">
          <w:marLeft w:val="0"/>
          <w:marRight w:val="0"/>
          <w:marTop w:val="0"/>
          <w:marBottom w:val="0"/>
          <w:divBdr>
            <w:top w:val="none" w:sz="0" w:space="0" w:color="auto"/>
            <w:left w:val="none" w:sz="0" w:space="0" w:color="auto"/>
            <w:bottom w:val="none" w:sz="0" w:space="0" w:color="auto"/>
            <w:right w:val="none" w:sz="0" w:space="0" w:color="auto"/>
          </w:divBdr>
        </w:div>
        <w:div w:id="1240408804">
          <w:marLeft w:val="0"/>
          <w:marRight w:val="0"/>
          <w:marTop w:val="0"/>
          <w:marBottom w:val="0"/>
          <w:divBdr>
            <w:top w:val="none" w:sz="0" w:space="0" w:color="auto"/>
            <w:left w:val="none" w:sz="0" w:space="0" w:color="auto"/>
            <w:bottom w:val="none" w:sz="0" w:space="0" w:color="auto"/>
            <w:right w:val="none" w:sz="0" w:space="0" w:color="auto"/>
          </w:divBdr>
        </w:div>
        <w:div w:id="1267034360">
          <w:marLeft w:val="0"/>
          <w:marRight w:val="0"/>
          <w:marTop w:val="0"/>
          <w:marBottom w:val="0"/>
          <w:divBdr>
            <w:top w:val="none" w:sz="0" w:space="0" w:color="auto"/>
            <w:left w:val="none" w:sz="0" w:space="0" w:color="auto"/>
            <w:bottom w:val="none" w:sz="0" w:space="0" w:color="auto"/>
            <w:right w:val="none" w:sz="0" w:space="0" w:color="auto"/>
          </w:divBdr>
        </w:div>
        <w:div w:id="1271477453">
          <w:marLeft w:val="0"/>
          <w:marRight w:val="0"/>
          <w:marTop w:val="0"/>
          <w:marBottom w:val="0"/>
          <w:divBdr>
            <w:top w:val="none" w:sz="0" w:space="0" w:color="auto"/>
            <w:left w:val="none" w:sz="0" w:space="0" w:color="auto"/>
            <w:bottom w:val="none" w:sz="0" w:space="0" w:color="auto"/>
            <w:right w:val="none" w:sz="0" w:space="0" w:color="auto"/>
          </w:divBdr>
        </w:div>
        <w:div w:id="1278177297">
          <w:marLeft w:val="0"/>
          <w:marRight w:val="0"/>
          <w:marTop w:val="0"/>
          <w:marBottom w:val="0"/>
          <w:divBdr>
            <w:top w:val="none" w:sz="0" w:space="0" w:color="auto"/>
            <w:left w:val="none" w:sz="0" w:space="0" w:color="auto"/>
            <w:bottom w:val="none" w:sz="0" w:space="0" w:color="auto"/>
            <w:right w:val="none" w:sz="0" w:space="0" w:color="auto"/>
          </w:divBdr>
        </w:div>
        <w:div w:id="1280137815">
          <w:marLeft w:val="0"/>
          <w:marRight w:val="0"/>
          <w:marTop w:val="0"/>
          <w:marBottom w:val="0"/>
          <w:divBdr>
            <w:top w:val="none" w:sz="0" w:space="0" w:color="auto"/>
            <w:left w:val="none" w:sz="0" w:space="0" w:color="auto"/>
            <w:bottom w:val="none" w:sz="0" w:space="0" w:color="auto"/>
            <w:right w:val="none" w:sz="0" w:space="0" w:color="auto"/>
          </w:divBdr>
        </w:div>
        <w:div w:id="1282955624">
          <w:marLeft w:val="0"/>
          <w:marRight w:val="0"/>
          <w:marTop w:val="0"/>
          <w:marBottom w:val="0"/>
          <w:divBdr>
            <w:top w:val="none" w:sz="0" w:space="0" w:color="auto"/>
            <w:left w:val="none" w:sz="0" w:space="0" w:color="auto"/>
            <w:bottom w:val="none" w:sz="0" w:space="0" w:color="auto"/>
            <w:right w:val="none" w:sz="0" w:space="0" w:color="auto"/>
          </w:divBdr>
        </w:div>
        <w:div w:id="1283146476">
          <w:marLeft w:val="0"/>
          <w:marRight w:val="0"/>
          <w:marTop w:val="0"/>
          <w:marBottom w:val="0"/>
          <w:divBdr>
            <w:top w:val="none" w:sz="0" w:space="0" w:color="auto"/>
            <w:left w:val="none" w:sz="0" w:space="0" w:color="auto"/>
            <w:bottom w:val="none" w:sz="0" w:space="0" w:color="auto"/>
            <w:right w:val="none" w:sz="0" w:space="0" w:color="auto"/>
          </w:divBdr>
        </w:div>
        <w:div w:id="1309280460">
          <w:marLeft w:val="0"/>
          <w:marRight w:val="0"/>
          <w:marTop w:val="0"/>
          <w:marBottom w:val="0"/>
          <w:divBdr>
            <w:top w:val="none" w:sz="0" w:space="0" w:color="auto"/>
            <w:left w:val="none" w:sz="0" w:space="0" w:color="auto"/>
            <w:bottom w:val="none" w:sz="0" w:space="0" w:color="auto"/>
            <w:right w:val="none" w:sz="0" w:space="0" w:color="auto"/>
          </w:divBdr>
        </w:div>
        <w:div w:id="1330594913">
          <w:marLeft w:val="0"/>
          <w:marRight w:val="0"/>
          <w:marTop w:val="0"/>
          <w:marBottom w:val="0"/>
          <w:divBdr>
            <w:top w:val="none" w:sz="0" w:space="0" w:color="auto"/>
            <w:left w:val="none" w:sz="0" w:space="0" w:color="auto"/>
            <w:bottom w:val="none" w:sz="0" w:space="0" w:color="auto"/>
            <w:right w:val="none" w:sz="0" w:space="0" w:color="auto"/>
          </w:divBdr>
        </w:div>
        <w:div w:id="1334718245">
          <w:marLeft w:val="0"/>
          <w:marRight w:val="0"/>
          <w:marTop w:val="0"/>
          <w:marBottom w:val="0"/>
          <w:divBdr>
            <w:top w:val="none" w:sz="0" w:space="0" w:color="auto"/>
            <w:left w:val="none" w:sz="0" w:space="0" w:color="auto"/>
            <w:bottom w:val="none" w:sz="0" w:space="0" w:color="auto"/>
            <w:right w:val="none" w:sz="0" w:space="0" w:color="auto"/>
          </w:divBdr>
        </w:div>
        <w:div w:id="1355305929">
          <w:marLeft w:val="0"/>
          <w:marRight w:val="0"/>
          <w:marTop w:val="0"/>
          <w:marBottom w:val="0"/>
          <w:divBdr>
            <w:top w:val="none" w:sz="0" w:space="0" w:color="auto"/>
            <w:left w:val="none" w:sz="0" w:space="0" w:color="auto"/>
            <w:bottom w:val="none" w:sz="0" w:space="0" w:color="auto"/>
            <w:right w:val="none" w:sz="0" w:space="0" w:color="auto"/>
          </w:divBdr>
        </w:div>
        <w:div w:id="1385831756">
          <w:marLeft w:val="0"/>
          <w:marRight w:val="0"/>
          <w:marTop w:val="0"/>
          <w:marBottom w:val="0"/>
          <w:divBdr>
            <w:top w:val="none" w:sz="0" w:space="0" w:color="auto"/>
            <w:left w:val="none" w:sz="0" w:space="0" w:color="auto"/>
            <w:bottom w:val="none" w:sz="0" w:space="0" w:color="auto"/>
            <w:right w:val="none" w:sz="0" w:space="0" w:color="auto"/>
          </w:divBdr>
        </w:div>
        <w:div w:id="1389112985">
          <w:marLeft w:val="0"/>
          <w:marRight w:val="0"/>
          <w:marTop w:val="0"/>
          <w:marBottom w:val="0"/>
          <w:divBdr>
            <w:top w:val="none" w:sz="0" w:space="0" w:color="auto"/>
            <w:left w:val="none" w:sz="0" w:space="0" w:color="auto"/>
            <w:bottom w:val="none" w:sz="0" w:space="0" w:color="auto"/>
            <w:right w:val="none" w:sz="0" w:space="0" w:color="auto"/>
          </w:divBdr>
        </w:div>
        <w:div w:id="1412460495">
          <w:marLeft w:val="0"/>
          <w:marRight w:val="0"/>
          <w:marTop w:val="0"/>
          <w:marBottom w:val="0"/>
          <w:divBdr>
            <w:top w:val="none" w:sz="0" w:space="0" w:color="auto"/>
            <w:left w:val="none" w:sz="0" w:space="0" w:color="auto"/>
            <w:bottom w:val="none" w:sz="0" w:space="0" w:color="auto"/>
            <w:right w:val="none" w:sz="0" w:space="0" w:color="auto"/>
          </w:divBdr>
        </w:div>
        <w:div w:id="1419906239">
          <w:marLeft w:val="0"/>
          <w:marRight w:val="0"/>
          <w:marTop w:val="0"/>
          <w:marBottom w:val="0"/>
          <w:divBdr>
            <w:top w:val="none" w:sz="0" w:space="0" w:color="auto"/>
            <w:left w:val="none" w:sz="0" w:space="0" w:color="auto"/>
            <w:bottom w:val="none" w:sz="0" w:space="0" w:color="auto"/>
            <w:right w:val="none" w:sz="0" w:space="0" w:color="auto"/>
          </w:divBdr>
        </w:div>
        <w:div w:id="1451513056">
          <w:marLeft w:val="0"/>
          <w:marRight w:val="0"/>
          <w:marTop w:val="0"/>
          <w:marBottom w:val="0"/>
          <w:divBdr>
            <w:top w:val="none" w:sz="0" w:space="0" w:color="auto"/>
            <w:left w:val="none" w:sz="0" w:space="0" w:color="auto"/>
            <w:bottom w:val="none" w:sz="0" w:space="0" w:color="auto"/>
            <w:right w:val="none" w:sz="0" w:space="0" w:color="auto"/>
          </w:divBdr>
        </w:div>
        <w:div w:id="1456634467">
          <w:marLeft w:val="0"/>
          <w:marRight w:val="0"/>
          <w:marTop w:val="0"/>
          <w:marBottom w:val="0"/>
          <w:divBdr>
            <w:top w:val="none" w:sz="0" w:space="0" w:color="auto"/>
            <w:left w:val="none" w:sz="0" w:space="0" w:color="auto"/>
            <w:bottom w:val="none" w:sz="0" w:space="0" w:color="auto"/>
            <w:right w:val="none" w:sz="0" w:space="0" w:color="auto"/>
          </w:divBdr>
        </w:div>
        <w:div w:id="1469778813">
          <w:marLeft w:val="0"/>
          <w:marRight w:val="0"/>
          <w:marTop w:val="0"/>
          <w:marBottom w:val="0"/>
          <w:divBdr>
            <w:top w:val="none" w:sz="0" w:space="0" w:color="auto"/>
            <w:left w:val="none" w:sz="0" w:space="0" w:color="auto"/>
            <w:bottom w:val="none" w:sz="0" w:space="0" w:color="auto"/>
            <w:right w:val="none" w:sz="0" w:space="0" w:color="auto"/>
          </w:divBdr>
        </w:div>
        <w:div w:id="1476294369">
          <w:marLeft w:val="0"/>
          <w:marRight w:val="0"/>
          <w:marTop w:val="0"/>
          <w:marBottom w:val="0"/>
          <w:divBdr>
            <w:top w:val="none" w:sz="0" w:space="0" w:color="auto"/>
            <w:left w:val="none" w:sz="0" w:space="0" w:color="auto"/>
            <w:bottom w:val="none" w:sz="0" w:space="0" w:color="auto"/>
            <w:right w:val="none" w:sz="0" w:space="0" w:color="auto"/>
          </w:divBdr>
        </w:div>
        <w:div w:id="1483889793">
          <w:marLeft w:val="0"/>
          <w:marRight w:val="0"/>
          <w:marTop w:val="0"/>
          <w:marBottom w:val="0"/>
          <w:divBdr>
            <w:top w:val="none" w:sz="0" w:space="0" w:color="auto"/>
            <w:left w:val="none" w:sz="0" w:space="0" w:color="auto"/>
            <w:bottom w:val="none" w:sz="0" w:space="0" w:color="auto"/>
            <w:right w:val="none" w:sz="0" w:space="0" w:color="auto"/>
          </w:divBdr>
        </w:div>
        <w:div w:id="1505559048">
          <w:marLeft w:val="0"/>
          <w:marRight w:val="0"/>
          <w:marTop w:val="0"/>
          <w:marBottom w:val="0"/>
          <w:divBdr>
            <w:top w:val="none" w:sz="0" w:space="0" w:color="auto"/>
            <w:left w:val="none" w:sz="0" w:space="0" w:color="auto"/>
            <w:bottom w:val="none" w:sz="0" w:space="0" w:color="auto"/>
            <w:right w:val="none" w:sz="0" w:space="0" w:color="auto"/>
          </w:divBdr>
        </w:div>
        <w:div w:id="1541087245">
          <w:marLeft w:val="0"/>
          <w:marRight w:val="0"/>
          <w:marTop w:val="0"/>
          <w:marBottom w:val="0"/>
          <w:divBdr>
            <w:top w:val="none" w:sz="0" w:space="0" w:color="auto"/>
            <w:left w:val="none" w:sz="0" w:space="0" w:color="auto"/>
            <w:bottom w:val="none" w:sz="0" w:space="0" w:color="auto"/>
            <w:right w:val="none" w:sz="0" w:space="0" w:color="auto"/>
          </w:divBdr>
        </w:div>
        <w:div w:id="1544440947">
          <w:marLeft w:val="0"/>
          <w:marRight w:val="0"/>
          <w:marTop w:val="0"/>
          <w:marBottom w:val="0"/>
          <w:divBdr>
            <w:top w:val="none" w:sz="0" w:space="0" w:color="auto"/>
            <w:left w:val="none" w:sz="0" w:space="0" w:color="auto"/>
            <w:bottom w:val="none" w:sz="0" w:space="0" w:color="auto"/>
            <w:right w:val="none" w:sz="0" w:space="0" w:color="auto"/>
          </w:divBdr>
        </w:div>
        <w:div w:id="1548881442">
          <w:marLeft w:val="0"/>
          <w:marRight w:val="0"/>
          <w:marTop w:val="0"/>
          <w:marBottom w:val="0"/>
          <w:divBdr>
            <w:top w:val="none" w:sz="0" w:space="0" w:color="auto"/>
            <w:left w:val="none" w:sz="0" w:space="0" w:color="auto"/>
            <w:bottom w:val="none" w:sz="0" w:space="0" w:color="auto"/>
            <w:right w:val="none" w:sz="0" w:space="0" w:color="auto"/>
          </w:divBdr>
        </w:div>
        <w:div w:id="1589264770">
          <w:marLeft w:val="0"/>
          <w:marRight w:val="0"/>
          <w:marTop w:val="0"/>
          <w:marBottom w:val="0"/>
          <w:divBdr>
            <w:top w:val="none" w:sz="0" w:space="0" w:color="auto"/>
            <w:left w:val="none" w:sz="0" w:space="0" w:color="auto"/>
            <w:bottom w:val="none" w:sz="0" w:space="0" w:color="auto"/>
            <w:right w:val="none" w:sz="0" w:space="0" w:color="auto"/>
          </w:divBdr>
        </w:div>
        <w:div w:id="1593733857">
          <w:marLeft w:val="0"/>
          <w:marRight w:val="0"/>
          <w:marTop w:val="0"/>
          <w:marBottom w:val="0"/>
          <w:divBdr>
            <w:top w:val="none" w:sz="0" w:space="0" w:color="auto"/>
            <w:left w:val="none" w:sz="0" w:space="0" w:color="auto"/>
            <w:bottom w:val="none" w:sz="0" w:space="0" w:color="auto"/>
            <w:right w:val="none" w:sz="0" w:space="0" w:color="auto"/>
          </w:divBdr>
        </w:div>
        <w:div w:id="1603489326">
          <w:marLeft w:val="0"/>
          <w:marRight w:val="0"/>
          <w:marTop w:val="0"/>
          <w:marBottom w:val="0"/>
          <w:divBdr>
            <w:top w:val="none" w:sz="0" w:space="0" w:color="auto"/>
            <w:left w:val="none" w:sz="0" w:space="0" w:color="auto"/>
            <w:bottom w:val="none" w:sz="0" w:space="0" w:color="auto"/>
            <w:right w:val="none" w:sz="0" w:space="0" w:color="auto"/>
          </w:divBdr>
        </w:div>
        <w:div w:id="1612007293">
          <w:marLeft w:val="0"/>
          <w:marRight w:val="0"/>
          <w:marTop w:val="0"/>
          <w:marBottom w:val="0"/>
          <w:divBdr>
            <w:top w:val="none" w:sz="0" w:space="0" w:color="auto"/>
            <w:left w:val="none" w:sz="0" w:space="0" w:color="auto"/>
            <w:bottom w:val="none" w:sz="0" w:space="0" w:color="auto"/>
            <w:right w:val="none" w:sz="0" w:space="0" w:color="auto"/>
          </w:divBdr>
        </w:div>
        <w:div w:id="1619415656">
          <w:marLeft w:val="0"/>
          <w:marRight w:val="0"/>
          <w:marTop w:val="0"/>
          <w:marBottom w:val="0"/>
          <w:divBdr>
            <w:top w:val="none" w:sz="0" w:space="0" w:color="auto"/>
            <w:left w:val="none" w:sz="0" w:space="0" w:color="auto"/>
            <w:bottom w:val="none" w:sz="0" w:space="0" w:color="auto"/>
            <w:right w:val="none" w:sz="0" w:space="0" w:color="auto"/>
          </w:divBdr>
        </w:div>
        <w:div w:id="1631931572">
          <w:marLeft w:val="0"/>
          <w:marRight w:val="0"/>
          <w:marTop w:val="0"/>
          <w:marBottom w:val="0"/>
          <w:divBdr>
            <w:top w:val="none" w:sz="0" w:space="0" w:color="auto"/>
            <w:left w:val="none" w:sz="0" w:space="0" w:color="auto"/>
            <w:bottom w:val="none" w:sz="0" w:space="0" w:color="auto"/>
            <w:right w:val="none" w:sz="0" w:space="0" w:color="auto"/>
          </w:divBdr>
        </w:div>
        <w:div w:id="1635719245">
          <w:marLeft w:val="0"/>
          <w:marRight w:val="0"/>
          <w:marTop w:val="0"/>
          <w:marBottom w:val="0"/>
          <w:divBdr>
            <w:top w:val="none" w:sz="0" w:space="0" w:color="auto"/>
            <w:left w:val="none" w:sz="0" w:space="0" w:color="auto"/>
            <w:bottom w:val="none" w:sz="0" w:space="0" w:color="auto"/>
            <w:right w:val="none" w:sz="0" w:space="0" w:color="auto"/>
          </w:divBdr>
        </w:div>
        <w:div w:id="1649939634">
          <w:marLeft w:val="0"/>
          <w:marRight w:val="0"/>
          <w:marTop w:val="0"/>
          <w:marBottom w:val="0"/>
          <w:divBdr>
            <w:top w:val="none" w:sz="0" w:space="0" w:color="auto"/>
            <w:left w:val="none" w:sz="0" w:space="0" w:color="auto"/>
            <w:bottom w:val="none" w:sz="0" w:space="0" w:color="auto"/>
            <w:right w:val="none" w:sz="0" w:space="0" w:color="auto"/>
          </w:divBdr>
        </w:div>
        <w:div w:id="1688366072">
          <w:marLeft w:val="0"/>
          <w:marRight w:val="0"/>
          <w:marTop w:val="0"/>
          <w:marBottom w:val="0"/>
          <w:divBdr>
            <w:top w:val="none" w:sz="0" w:space="0" w:color="auto"/>
            <w:left w:val="none" w:sz="0" w:space="0" w:color="auto"/>
            <w:bottom w:val="none" w:sz="0" w:space="0" w:color="auto"/>
            <w:right w:val="none" w:sz="0" w:space="0" w:color="auto"/>
          </w:divBdr>
        </w:div>
        <w:div w:id="1734501944">
          <w:marLeft w:val="0"/>
          <w:marRight w:val="0"/>
          <w:marTop w:val="0"/>
          <w:marBottom w:val="0"/>
          <w:divBdr>
            <w:top w:val="none" w:sz="0" w:space="0" w:color="auto"/>
            <w:left w:val="none" w:sz="0" w:space="0" w:color="auto"/>
            <w:bottom w:val="none" w:sz="0" w:space="0" w:color="auto"/>
            <w:right w:val="none" w:sz="0" w:space="0" w:color="auto"/>
          </w:divBdr>
        </w:div>
        <w:div w:id="1744258339">
          <w:marLeft w:val="0"/>
          <w:marRight w:val="0"/>
          <w:marTop w:val="0"/>
          <w:marBottom w:val="0"/>
          <w:divBdr>
            <w:top w:val="none" w:sz="0" w:space="0" w:color="auto"/>
            <w:left w:val="none" w:sz="0" w:space="0" w:color="auto"/>
            <w:bottom w:val="none" w:sz="0" w:space="0" w:color="auto"/>
            <w:right w:val="none" w:sz="0" w:space="0" w:color="auto"/>
          </w:divBdr>
        </w:div>
        <w:div w:id="1769617353">
          <w:marLeft w:val="0"/>
          <w:marRight w:val="0"/>
          <w:marTop w:val="0"/>
          <w:marBottom w:val="0"/>
          <w:divBdr>
            <w:top w:val="none" w:sz="0" w:space="0" w:color="auto"/>
            <w:left w:val="none" w:sz="0" w:space="0" w:color="auto"/>
            <w:bottom w:val="none" w:sz="0" w:space="0" w:color="auto"/>
            <w:right w:val="none" w:sz="0" w:space="0" w:color="auto"/>
          </w:divBdr>
        </w:div>
        <w:div w:id="1787430514">
          <w:marLeft w:val="0"/>
          <w:marRight w:val="0"/>
          <w:marTop w:val="0"/>
          <w:marBottom w:val="0"/>
          <w:divBdr>
            <w:top w:val="none" w:sz="0" w:space="0" w:color="auto"/>
            <w:left w:val="none" w:sz="0" w:space="0" w:color="auto"/>
            <w:bottom w:val="none" w:sz="0" w:space="0" w:color="auto"/>
            <w:right w:val="none" w:sz="0" w:space="0" w:color="auto"/>
          </w:divBdr>
        </w:div>
        <w:div w:id="1789616146">
          <w:marLeft w:val="0"/>
          <w:marRight w:val="0"/>
          <w:marTop w:val="0"/>
          <w:marBottom w:val="0"/>
          <w:divBdr>
            <w:top w:val="none" w:sz="0" w:space="0" w:color="auto"/>
            <w:left w:val="none" w:sz="0" w:space="0" w:color="auto"/>
            <w:bottom w:val="none" w:sz="0" w:space="0" w:color="auto"/>
            <w:right w:val="none" w:sz="0" w:space="0" w:color="auto"/>
          </w:divBdr>
        </w:div>
        <w:div w:id="1792280983">
          <w:marLeft w:val="0"/>
          <w:marRight w:val="0"/>
          <w:marTop w:val="0"/>
          <w:marBottom w:val="0"/>
          <w:divBdr>
            <w:top w:val="none" w:sz="0" w:space="0" w:color="auto"/>
            <w:left w:val="none" w:sz="0" w:space="0" w:color="auto"/>
            <w:bottom w:val="none" w:sz="0" w:space="0" w:color="auto"/>
            <w:right w:val="none" w:sz="0" w:space="0" w:color="auto"/>
          </w:divBdr>
        </w:div>
        <w:div w:id="1793473065">
          <w:marLeft w:val="0"/>
          <w:marRight w:val="0"/>
          <w:marTop w:val="0"/>
          <w:marBottom w:val="0"/>
          <w:divBdr>
            <w:top w:val="none" w:sz="0" w:space="0" w:color="auto"/>
            <w:left w:val="none" w:sz="0" w:space="0" w:color="auto"/>
            <w:bottom w:val="none" w:sz="0" w:space="0" w:color="auto"/>
            <w:right w:val="none" w:sz="0" w:space="0" w:color="auto"/>
          </w:divBdr>
        </w:div>
        <w:div w:id="1797944027">
          <w:marLeft w:val="0"/>
          <w:marRight w:val="0"/>
          <w:marTop w:val="0"/>
          <w:marBottom w:val="0"/>
          <w:divBdr>
            <w:top w:val="none" w:sz="0" w:space="0" w:color="auto"/>
            <w:left w:val="none" w:sz="0" w:space="0" w:color="auto"/>
            <w:bottom w:val="none" w:sz="0" w:space="0" w:color="auto"/>
            <w:right w:val="none" w:sz="0" w:space="0" w:color="auto"/>
          </w:divBdr>
        </w:div>
        <w:div w:id="1817532865">
          <w:marLeft w:val="0"/>
          <w:marRight w:val="0"/>
          <w:marTop w:val="0"/>
          <w:marBottom w:val="0"/>
          <w:divBdr>
            <w:top w:val="none" w:sz="0" w:space="0" w:color="auto"/>
            <w:left w:val="none" w:sz="0" w:space="0" w:color="auto"/>
            <w:bottom w:val="none" w:sz="0" w:space="0" w:color="auto"/>
            <w:right w:val="none" w:sz="0" w:space="0" w:color="auto"/>
          </w:divBdr>
        </w:div>
        <w:div w:id="1847591196">
          <w:marLeft w:val="0"/>
          <w:marRight w:val="0"/>
          <w:marTop w:val="0"/>
          <w:marBottom w:val="0"/>
          <w:divBdr>
            <w:top w:val="none" w:sz="0" w:space="0" w:color="auto"/>
            <w:left w:val="none" w:sz="0" w:space="0" w:color="auto"/>
            <w:bottom w:val="none" w:sz="0" w:space="0" w:color="auto"/>
            <w:right w:val="none" w:sz="0" w:space="0" w:color="auto"/>
          </w:divBdr>
        </w:div>
        <w:div w:id="1850290787">
          <w:marLeft w:val="0"/>
          <w:marRight w:val="0"/>
          <w:marTop w:val="0"/>
          <w:marBottom w:val="0"/>
          <w:divBdr>
            <w:top w:val="none" w:sz="0" w:space="0" w:color="auto"/>
            <w:left w:val="none" w:sz="0" w:space="0" w:color="auto"/>
            <w:bottom w:val="none" w:sz="0" w:space="0" w:color="auto"/>
            <w:right w:val="none" w:sz="0" w:space="0" w:color="auto"/>
          </w:divBdr>
        </w:div>
        <w:div w:id="1853952372">
          <w:marLeft w:val="0"/>
          <w:marRight w:val="0"/>
          <w:marTop w:val="0"/>
          <w:marBottom w:val="0"/>
          <w:divBdr>
            <w:top w:val="none" w:sz="0" w:space="0" w:color="auto"/>
            <w:left w:val="none" w:sz="0" w:space="0" w:color="auto"/>
            <w:bottom w:val="none" w:sz="0" w:space="0" w:color="auto"/>
            <w:right w:val="none" w:sz="0" w:space="0" w:color="auto"/>
          </w:divBdr>
        </w:div>
        <w:div w:id="1857496624">
          <w:marLeft w:val="0"/>
          <w:marRight w:val="0"/>
          <w:marTop w:val="0"/>
          <w:marBottom w:val="0"/>
          <w:divBdr>
            <w:top w:val="none" w:sz="0" w:space="0" w:color="auto"/>
            <w:left w:val="none" w:sz="0" w:space="0" w:color="auto"/>
            <w:bottom w:val="none" w:sz="0" w:space="0" w:color="auto"/>
            <w:right w:val="none" w:sz="0" w:space="0" w:color="auto"/>
          </w:divBdr>
        </w:div>
        <w:div w:id="1862009372">
          <w:marLeft w:val="0"/>
          <w:marRight w:val="0"/>
          <w:marTop w:val="0"/>
          <w:marBottom w:val="0"/>
          <w:divBdr>
            <w:top w:val="none" w:sz="0" w:space="0" w:color="auto"/>
            <w:left w:val="none" w:sz="0" w:space="0" w:color="auto"/>
            <w:bottom w:val="none" w:sz="0" w:space="0" w:color="auto"/>
            <w:right w:val="none" w:sz="0" w:space="0" w:color="auto"/>
          </w:divBdr>
        </w:div>
        <w:div w:id="1881045960">
          <w:marLeft w:val="0"/>
          <w:marRight w:val="0"/>
          <w:marTop w:val="0"/>
          <w:marBottom w:val="0"/>
          <w:divBdr>
            <w:top w:val="none" w:sz="0" w:space="0" w:color="auto"/>
            <w:left w:val="none" w:sz="0" w:space="0" w:color="auto"/>
            <w:bottom w:val="none" w:sz="0" w:space="0" w:color="auto"/>
            <w:right w:val="none" w:sz="0" w:space="0" w:color="auto"/>
          </w:divBdr>
        </w:div>
        <w:div w:id="1883057470">
          <w:marLeft w:val="0"/>
          <w:marRight w:val="0"/>
          <w:marTop w:val="0"/>
          <w:marBottom w:val="0"/>
          <w:divBdr>
            <w:top w:val="none" w:sz="0" w:space="0" w:color="auto"/>
            <w:left w:val="none" w:sz="0" w:space="0" w:color="auto"/>
            <w:bottom w:val="none" w:sz="0" w:space="0" w:color="auto"/>
            <w:right w:val="none" w:sz="0" w:space="0" w:color="auto"/>
          </w:divBdr>
        </w:div>
        <w:div w:id="1885823589">
          <w:marLeft w:val="0"/>
          <w:marRight w:val="0"/>
          <w:marTop w:val="0"/>
          <w:marBottom w:val="0"/>
          <w:divBdr>
            <w:top w:val="none" w:sz="0" w:space="0" w:color="auto"/>
            <w:left w:val="none" w:sz="0" w:space="0" w:color="auto"/>
            <w:bottom w:val="none" w:sz="0" w:space="0" w:color="auto"/>
            <w:right w:val="none" w:sz="0" w:space="0" w:color="auto"/>
          </w:divBdr>
        </w:div>
        <w:div w:id="1885873221">
          <w:marLeft w:val="0"/>
          <w:marRight w:val="0"/>
          <w:marTop w:val="0"/>
          <w:marBottom w:val="0"/>
          <w:divBdr>
            <w:top w:val="none" w:sz="0" w:space="0" w:color="auto"/>
            <w:left w:val="none" w:sz="0" w:space="0" w:color="auto"/>
            <w:bottom w:val="none" w:sz="0" w:space="0" w:color="auto"/>
            <w:right w:val="none" w:sz="0" w:space="0" w:color="auto"/>
          </w:divBdr>
        </w:div>
        <w:div w:id="1905292745">
          <w:marLeft w:val="0"/>
          <w:marRight w:val="0"/>
          <w:marTop w:val="0"/>
          <w:marBottom w:val="0"/>
          <w:divBdr>
            <w:top w:val="none" w:sz="0" w:space="0" w:color="auto"/>
            <w:left w:val="none" w:sz="0" w:space="0" w:color="auto"/>
            <w:bottom w:val="none" w:sz="0" w:space="0" w:color="auto"/>
            <w:right w:val="none" w:sz="0" w:space="0" w:color="auto"/>
          </w:divBdr>
        </w:div>
        <w:div w:id="1905525298">
          <w:marLeft w:val="0"/>
          <w:marRight w:val="0"/>
          <w:marTop w:val="0"/>
          <w:marBottom w:val="0"/>
          <w:divBdr>
            <w:top w:val="none" w:sz="0" w:space="0" w:color="auto"/>
            <w:left w:val="none" w:sz="0" w:space="0" w:color="auto"/>
            <w:bottom w:val="none" w:sz="0" w:space="0" w:color="auto"/>
            <w:right w:val="none" w:sz="0" w:space="0" w:color="auto"/>
          </w:divBdr>
        </w:div>
        <w:div w:id="1985965255">
          <w:marLeft w:val="0"/>
          <w:marRight w:val="0"/>
          <w:marTop w:val="0"/>
          <w:marBottom w:val="0"/>
          <w:divBdr>
            <w:top w:val="none" w:sz="0" w:space="0" w:color="auto"/>
            <w:left w:val="none" w:sz="0" w:space="0" w:color="auto"/>
            <w:bottom w:val="none" w:sz="0" w:space="0" w:color="auto"/>
            <w:right w:val="none" w:sz="0" w:space="0" w:color="auto"/>
          </w:divBdr>
        </w:div>
        <w:div w:id="2001499301">
          <w:marLeft w:val="0"/>
          <w:marRight w:val="0"/>
          <w:marTop w:val="0"/>
          <w:marBottom w:val="0"/>
          <w:divBdr>
            <w:top w:val="none" w:sz="0" w:space="0" w:color="auto"/>
            <w:left w:val="none" w:sz="0" w:space="0" w:color="auto"/>
            <w:bottom w:val="none" w:sz="0" w:space="0" w:color="auto"/>
            <w:right w:val="none" w:sz="0" w:space="0" w:color="auto"/>
          </w:divBdr>
        </w:div>
        <w:div w:id="2025939402">
          <w:marLeft w:val="0"/>
          <w:marRight w:val="0"/>
          <w:marTop w:val="0"/>
          <w:marBottom w:val="0"/>
          <w:divBdr>
            <w:top w:val="none" w:sz="0" w:space="0" w:color="auto"/>
            <w:left w:val="none" w:sz="0" w:space="0" w:color="auto"/>
            <w:bottom w:val="none" w:sz="0" w:space="0" w:color="auto"/>
            <w:right w:val="none" w:sz="0" w:space="0" w:color="auto"/>
          </w:divBdr>
        </w:div>
      </w:divsChild>
    </w:div>
    <w:div w:id="1356073851">
      <w:bodyDiv w:val="1"/>
      <w:marLeft w:val="0"/>
      <w:marRight w:val="0"/>
      <w:marTop w:val="0"/>
      <w:marBottom w:val="0"/>
      <w:divBdr>
        <w:top w:val="none" w:sz="0" w:space="0" w:color="auto"/>
        <w:left w:val="none" w:sz="0" w:space="0" w:color="auto"/>
        <w:bottom w:val="none" w:sz="0" w:space="0" w:color="auto"/>
        <w:right w:val="none" w:sz="0" w:space="0" w:color="auto"/>
      </w:divBdr>
    </w:div>
    <w:div w:id="1356079506">
      <w:bodyDiv w:val="1"/>
      <w:marLeft w:val="0"/>
      <w:marRight w:val="0"/>
      <w:marTop w:val="0"/>
      <w:marBottom w:val="0"/>
      <w:divBdr>
        <w:top w:val="none" w:sz="0" w:space="0" w:color="auto"/>
        <w:left w:val="none" w:sz="0" w:space="0" w:color="auto"/>
        <w:bottom w:val="none" w:sz="0" w:space="0" w:color="auto"/>
        <w:right w:val="none" w:sz="0" w:space="0" w:color="auto"/>
      </w:divBdr>
    </w:div>
    <w:div w:id="1356268481">
      <w:bodyDiv w:val="1"/>
      <w:marLeft w:val="0"/>
      <w:marRight w:val="0"/>
      <w:marTop w:val="0"/>
      <w:marBottom w:val="0"/>
      <w:divBdr>
        <w:top w:val="none" w:sz="0" w:space="0" w:color="auto"/>
        <w:left w:val="none" w:sz="0" w:space="0" w:color="auto"/>
        <w:bottom w:val="none" w:sz="0" w:space="0" w:color="auto"/>
        <w:right w:val="none" w:sz="0" w:space="0" w:color="auto"/>
      </w:divBdr>
    </w:div>
    <w:div w:id="1356268876">
      <w:bodyDiv w:val="1"/>
      <w:marLeft w:val="0"/>
      <w:marRight w:val="0"/>
      <w:marTop w:val="0"/>
      <w:marBottom w:val="0"/>
      <w:divBdr>
        <w:top w:val="none" w:sz="0" w:space="0" w:color="auto"/>
        <w:left w:val="none" w:sz="0" w:space="0" w:color="auto"/>
        <w:bottom w:val="none" w:sz="0" w:space="0" w:color="auto"/>
        <w:right w:val="none" w:sz="0" w:space="0" w:color="auto"/>
      </w:divBdr>
    </w:div>
    <w:div w:id="1356299157">
      <w:bodyDiv w:val="1"/>
      <w:marLeft w:val="0"/>
      <w:marRight w:val="0"/>
      <w:marTop w:val="0"/>
      <w:marBottom w:val="0"/>
      <w:divBdr>
        <w:top w:val="none" w:sz="0" w:space="0" w:color="auto"/>
        <w:left w:val="none" w:sz="0" w:space="0" w:color="auto"/>
        <w:bottom w:val="none" w:sz="0" w:space="0" w:color="auto"/>
        <w:right w:val="none" w:sz="0" w:space="0" w:color="auto"/>
      </w:divBdr>
    </w:div>
    <w:div w:id="1356343476">
      <w:bodyDiv w:val="1"/>
      <w:marLeft w:val="0"/>
      <w:marRight w:val="0"/>
      <w:marTop w:val="0"/>
      <w:marBottom w:val="0"/>
      <w:divBdr>
        <w:top w:val="none" w:sz="0" w:space="0" w:color="auto"/>
        <w:left w:val="none" w:sz="0" w:space="0" w:color="auto"/>
        <w:bottom w:val="none" w:sz="0" w:space="0" w:color="auto"/>
        <w:right w:val="none" w:sz="0" w:space="0" w:color="auto"/>
      </w:divBdr>
    </w:div>
    <w:div w:id="1356348668">
      <w:bodyDiv w:val="1"/>
      <w:marLeft w:val="0"/>
      <w:marRight w:val="0"/>
      <w:marTop w:val="0"/>
      <w:marBottom w:val="0"/>
      <w:divBdr>
        <w:top w:val="none" w:sz="0" w:space="0" w:color="auto"/>
        <w:left w:val="none" w:sz="0" w:space="0" w:color="auto"/>
        <w:bottom w:val="none" w:sz="0" w:space="0" w:color="auto"/>
        <w:right w:val="none" w:sz="0" w:space="0" w:color="auto"/>
      </w:divBdr>
    </w:div>
    <w:div w:id="1356611655">
      <w:bodyDiv w:val="1"/>
      <w:marLeft w:val="0"/>
      <w:marRight w:val="0"/>
      <w:marTop w:val="0"/>
      <w:marBottom w:val="0"/>
      <w:divBdr>
        <w:top w:val="none" w:sz="0" w:space="0" w:color="auto"/>
        <w:left w:val="none" w:sz="0" w:space="0" w:color="auto"/>
        <w:bottom w:val="none" w:sz="0" w:space="0" w:color="auto"/>
        <w:right w:val="none" w:sz="0" w:space="0" w:color="auto"/>
      </w:divBdr>
    </w:div>
    <w:div w:id="1356613838">
      <w:bodyDiv w:val="1"/>
      <w:marLeft w:val="0"/>
      <w:marRight w:val="0"/>
      <w:marTop w:val="0"/>
      <w:marBottom w:val="0"/>
      <w:divBdr>
        <w:top w:val="none" w:sz="0" w:space="0" w:color="auto"/>
        <w:left w:val="none" w:sz="0" w:space="0" w:color="auto"/>
        <w:bottom w:val="none" w:sz="0" w:space="0" w:color="auto"/>
        <w:right w:val="none" w:sz="0" w:space="0" w:color="auto"/>
      </w:divBdr>
    </w:div>
    <w:div w:id="1356616228">
      <w:bodyDiv w:val="1"/>
      <w:marLeft w:val="0"/>
      <w:marRight w:val="0"/>
      <w:marTop w:val="0"/>
      <w:marBottom w:val="0"/>
      <w:divBdr>
        <w:top w:val="none" w:sz="0" w:space="0" w:color="auto"/>
        <w:left w:val="none" w:sz="0" w:space="0" w:color="auto"/>
        <w:bottom w:val="none" w:sz="0" w:space="0" w:color="auto"/>
        <w:right w:val="none" w:sz="0" w:space="0" w:color="auto"/>
      </w:divBdr>
    </w:div>
    <w:div w:id="1356732932">
      <w:bodyDiv w:val="1"/>
      <w:marLeft w:val="0"/>
      <w:marRight w:val="0"/>
      <w:marTop w:val="0"/>
      <w:marBottom w:val="0"/>
      <w:divBdr>
        <w:top w:val="none" w:sz="0" w:space="0" w:color="auto"/>
        <w:left w:val="none" w:sz="0" w:space="0" w:color="auto"/>
        <w:bottom w:val="none" w:sz="0" w:space="0" w:color="auto"/>
        <w:right w:val="none" w:sz="0" w:space="0" w:color="auto"/>
      </w:divBdr>
    </w:div>
    <w:div w:id="1356809928">
      <w:bodyDiv w:val="1"/>
      <w:marLeft w:val="0"/>
      <w:marRight w:val="0"/>
      <w:marTop w:val="0"/>
      <w:marBottom w:val="0"/>
      <w:divBdr>
        <w:top w:val="none" w:sz="0" w:space="0" w:color="auto"/>
        <w:left w:val="none" w:sz="0" w:space="0" w:color="auto"/>
        <w:bottom w:val="none" w:sz="0" w:space="0" w:color="auto"/>
        <w:right w:val="none" w:sz="0" w:space="0" w:color="auto"/>
      </w:divBdr>
    </w:div>
    <w:div w:id="1356881731">
      <w:bodyDiv w:val="1"/>
      <w:marLeft w:val="0"/>
      <w:marRight w:val="0"/>
      <w:marTop w:val="0"/>
      <w:marBottom w:val="0"/>
      <w:divBdr>
        <w:top w:val="none" w:sz="0" w:space="0" w:color="auto"/>
        <w:left w:val="none" w:sz="0" w:space="0" w:color="auto"/>
        <w:bottom w:val="none" w:sz="0" w:space="0" w:color="auto"/>
        <w:right w:val="none" w:sz="0" w:space="0" w:color="auto"/>
      </w:divBdr>
    </w:div>
    <w:div w:id="1356885272">
      <w:bodyDiv w:val="1"/>
      <w:marLeft w:val="0"/>
      <w:marRight w:val="0"/>
      <w:marTop w:val="0"/>
      <w:marBottom w:val="0"/>
      <w:divBdr>
        <w:top w:val="none" w:sz="0" w:space="0" w:color="auto"/>
        <w:left w:val="none" w:sz="0" w:space="0" w:color="auto"/>
        <w:bottom w:val="none" w:sz="0" w:space="0" w:color="auto"/>
        <w:right w:val="none" w:sz="0" w:space="0" w:color="auto"/>
      </w:divBdr>
    </w:div>
    <w:div w:id="1356887062">
      <w:bodyDiv w:val="1"/>
      <w:marLeft w:val="0"/>
      <w:marRight w:val="0"/>
      <w:marTop w:val="0"/>
      <w:marBottom w:val="0"/>
      <w:divBdr>
        <w:top w:val="none" w:sz="0" w:space="0" w:color="auto"/>
        <w:left w:val="none" w:sz="0" w:space="0" w:color="auto"/>
        <w:bottom w:val="none" w:sz="0" w:space="0" w:color="auto"/>
        <w:right w:val="none" w:sz="0" w:space="0" w:color="auto"/>
      </w:divBdr>
    </w:div>
    <w:div w:id="1356888438">
      <w:bodyDiv w:val="1"/>
      <w:marLeft w:val="0"/>
      <w:marRight w:val="0"/>
      <w:marTop w:val="0"/>
      <w:marBottom w:val="0"/>
      <w:divBdr>
        <w:top w:val="none" w:sz="0" w:space="0" w:color="auto"/>
        <w:left w:val="none" w:sz="0" w:space="0" w:color="auto"/>
        <w:bottom w:val="none" w:sz="0" w:space="0" w:color="auto"/>
        <w:right w:val="none" w:sz="0" w:space="0" w:color="auto"/>
      </w:divBdr>
    </w:div>
    <w:div w:id="1356997322">
      <w:bodyDiv w:val="1"/>
      <w:marLeft w:val="0"/>
      <w:marRight w:val="0"/>
      <w:marTop w:val="0"/>
      <w:marBottom w:val="0"/>
      <w:divBdr>
        <w:top w:val="none" w:sz="0" w:space="0" w:color="auto"/>
        <w:left w:val="none" w:sz="0" w:space="0" w:color="auto"/>
        <w:bottom w:val="none" w:sz="0" w:space="0" w:color="auto"/>
        <w:right w:val="none" w:sz="0" w:space="0" w:color="auto"/>
      </w:divBdr>
    </w:div>
    <w:div w:id="1356998342">
      <w:bodyDiv w:val="1"/>
      <w:marLeft w:val="0"/>
      <w:marRight w:val="0"/>
      <w:marTop w:val="0"/>
      <w:marBottom w:val="0"/>
      <w:divBdr>
        <w:top w:val="none" w:sz="0" w:space="0" w:color="auto"/>
        <w:left w:val="none" w:sz="0" w:space="0" w:color="auto"/>
        <w:bottom w:val="none" w:sz="0" w:space="0" w:color="auto"/>
        <w:right w:val="none" w:sz="0" w:space="0" w:color="auto"/>
      </w:divBdr>
    </w:div>
    <w:div w:id="1356998664">
      <w:bodyDiv w:val="1"/>
      <w:marLeft w:val="0"/>
      <w:marRight w:val="0"/>
      <w:marTop w:val="0"/>
      <w:marBottom w:val="0"/>
      <w:divBdr>
        <w:top w:val="none" w:sz="0" w:space="0" w:color="auto"/>
        <w:left w:val="none" w:sz="0" w:space="0" w:color="auto"/>
        <w:bottom w:val="none" w:sz="0" w:space="0" w:color="auto"/>
        <w:right w:val="none" w:sz="0" w:space="0" w:color="auto"/>
      </w:divBdr>
    </w:div>
    <w:div w:id="1357003783">
      <w:bodyDiv w:val="1"/>
      <w:marLeft w:val="0"/>
      <w:marRight w:val="0"/>
      <w:marTop w:val="0"/>
      <w:marBottom w:val="0"/>
      <w:divBdr>
        <w:top w:val="none" w:sz="0" w:space="0" w:color="auto"/>
        <w:left w:val="none" w:sz="0" w:space="0" w:color="auto"/>
        <w:bottom w:val="none" w:sz="0" w:space="0" w:color="auto"/>
        <w:right w:val="none" w:sz="0" w:space="0" w:color="auto"/>
      </w:divBdr>
    </w:div>
    <w:div w:id="1357076184">
      <w:bodyDiv w:val="1"/>
      <w:marLeft w:val="0"/>
      <w:marRight w:val="0"/>
      <w:marTop w:val="0"/>
      <w:marBottom w:val="0"/>
      <w:divBdr>
        <w:top w:val="none" w:sz="0" w:space="0" w:color="auto"/>
        <w:left w:val="none" w:sz="0" w:space="0" w:color="auto"/>
        <w:bottom w:val="none" w:sz="0" w:space="0" w:color="auto"/>
        <w:right w:val="none" w:sz="0" w:space="0" w:color="auto"/>
      </w:divBdr>
    </w:div>
    <w:div w:id="1357077723">
      <w:bodyDiv w:val="1"/>
      <w:marLeft w:val="0"/>
      <w:marRight w:val="0"/>
      <w:marTop w:val="0"/>
      <w:marBottom w:val="0"/>
      <w:divBdr>
        <w:top w:val="none" w:sz="0" w:space="0" w:color="auto"/>
        <w:left w:val="none" w:sz="0" w:space="0" w:color="auto"/>
        <w:bottom w:val="none" w:sz="0" w:space="0" w:color="auto"/>
        <w:right w:val="none" w:sz="0" w:space="0" w:color="auto"/>
      </w:divBdr>
    </w:div>
    <w:div w:id="1357192400">
      <w:bodyDiv w:val="1"/>
      <w:marLeft w:val="0"/>
      <w:marRight w:val="0"/>
      <w:marTop w:val="0"/>
      <w:marBottom w:val="0"/>
      <w:divBdr>
        <w:top w:val="none" w:sz="0" w:space="0" w:color="auto"/>
        <w:left w:val="none" w:sz="0" w:space="0" w:color="auto"/>
        <w:bottom w:val="none" w:sz="0" w:space="0" w:color="auto"/>
        <w:right w:val="none" w:sz="0" w:space="0" w:color="auto"/>
      </w:divBdr>
    </w:div>
    <w:div w:id="1357195763">
      <w:bodyDiv w:val="1"/>
      <w:marLeft w:val="0"/>
      <w:marRight w:val="0"/>
      <w:marTop w:val="0"/>
      <w:marBottom w:val="0"/>
      <w:divBdr>
        <w:top w:val="none" w:sz="0" w:space="0" w:color="auto"/>
        <w:left w:val="none" w:sz="0" w:space="0" w:color="auto"/>
        <w:bottom w:val="none" w:sz="0" w:space="0" w:color="auto"/>
        <w:right w:val="none" w:sz="0" w:space="0" w:color="auto"/>
      </w:divBdr>
    </w:div>
    <w:div w:id="1357267437">
      <w:bodyDiv w:val="1"/>
      <w:marLeft w:val="0"/>
      <w:marRight w:val="0"/>
      <w:marTop w:val="0"/>
      <w:marBottom w:val="0"/>
      <w:divBdr>
        <w:top w:val="none" w:sz="0" w:space="0" w:color="auto"/>
        <w:left w:val="none" w:sz="0" w:space="0" w:color="auto"/>
        <w:bottom w:val="none" w:sz="0" w:space="0" w:color="auto"/>
        <w:right w:val="none" w:sz="0" w:space="0" w:color="auto"/>
      </w:divBdr>
    </w:div>
    <w:div w:id="1357316427">
      <w:bodyDiv w:val="1"/>
      <w:marLeft w:val="0"/>
      <w:marRight w:val="0"/>
      <w:marTop w:val="0"/>
      <w:marBottom w:val="0"/>
      <w:divBdr>
        <w:top w:val="none" w:sz="0" w:space="0" w:color="auto"/>
        <w:left w:val="none" w:sz="0" w:space="0" w:color="auto"/>
        <w:bottom w:val="none" w:sz="0" w:space="0" w:color="auto"/>
        <w:right w:val="none" w:sz="0" w:space="0" w:color="auto"/>
      </w:divBdr>
    </w:div>
    <w:div w:id="1357341528">
      <w:bodyDiv w:val="1"/>
      <w:marLeft w:val="0"/>
      <w:marRight w:val="0"/>
      <w:marTop w:val="0"/>
      <w:marBottom w:val="0"/>
      <w:divBdr>
        <w:top w:val="none" w:sz="0" w:space="0" w:color="auto"/>
        <w:left w:val="none" w:sz="0" w:space="0" w:color="auto"/>
        <w:bottom w:val="none" w:sz="0" w:space="0" w:color="auto"/>
        <w:right w:val="none" w:sz="0" w:space="0" w:color="auto"/>
      </w:divBdr>
    </w:div>
    <w:div w:id="1357342753">
      <w:bodyDiv w:val="1"/>
      <w:marLeft w:val="0"/>
      <w:marRight w:val="0"/>
      <w:marTop w:val="0"/>
      <w:marBottom w:val="0"/>
      <w:divBdr>
        <w:top w:val="none" w:sz="0" w:space="0" w:color="auto"/>
        <w:left w:val="none" w:sz="0" w:space="0" w:color="auto"/>
        <w:bottom w:val="none" w:sz="0" w:space="0" w:color="auto"/>
        <w:right w:val="none" w:sz="0" w:space="0" w:color="auto"/>
      </w:divBdr>
    </w:div>
    <w:div w:id="1357389744">
      <w:bodyDiv w:val="1"/>
      <w:marLeft w:val="0"/>
      <w:marRight w:val="0"/>
      <w:marTop w:val="0"/>
      <w:marBottom w:val="0"/>
      <w:divBdr>
        <w:top w:val="none" w:sz="0" w:space="0" w:color="auto"/>
        <w:left w:val="none" w:sz="0" w:space="0" w:color="auto"/>
        <w:bottom w:val="none" w:sz="0" w:space="0" w:color="auto"/>
        <w:right w:val="none" w:sz="0" w:space="0" w:color="auto"/>
      </w:divBdr>
    </w:div>
    <w:div w:id="1357468195">
      <w:bodyDiv w:val="1"/>
      <w:marLeft w:val="0"/>
      <w:marRight w:val="0"/>
      <w:marTop w:val="0"/>
      <w:marBottom w:val="0"/>
      <w:divBdr>
        <w:top w:val="none" w:sz="0" w:space="0" w:color="auto"/>
        <w:left w:val="none" w:sz="0" w:space="0" w:color="auto"/>
        <w:bottom w:val="none" w:sz="0" w:space="0" w:color="auto"/>
        <w:right w:val="none" w:sz="0" w:space="0" w:color="auto"/>
      </w:divBdr>
    </w:div>
    <w:div w:id="1357539021">
      <w:bodyDiv w:val="1"/>
      <w:marLeft w:val="0"/>
      <w:marRight w:val="0"/>
      <w:marTop w:val="0"/>
      <w:marBottom w:val="0"/>
      <w:divBdr>
        <w:top w:val="none" w:sz="0" w:space="0" w:color="auto"/>
        <w:left w:val="none" w:sz="0" w:space="0" w:color="auto"/>
        <w:bottom w:val="none" w:sz="0" w:space="0" w:color="auto"/>
        <w:right w:val="none" w:sz="0" w:space="0" w:color="auto"/>
      </w:divBdr>
    </w:div>
    <w:div w:id="1357582195">
      <w:bodyDiv w:val="1"/>
      <w:marLeft w:val="0"/>
      <w:marRight w:val="0"/>
      <w:marTop w:val="0"/>
      <w:marBottom w:val="0"/>
      <w:divBdr>
        <w:top w:val="none" w:sz="0" w:space="0" w:color="auto"/>
        <w:left w:val="none" w:sz="0" w:space="0" w:color="auto"/>
        <w:bottom w:val="none" w:sz="0" w:space="0" w:color="auto"/>
        <w:right w:val="none" w:sz="0" w:space="0" w:color="auto"/>
      </w:divBdr>
    </w:div>
    <w:div w:id="1357777283">
      <w:bodyDiv w:val="1"/>
      <w:marLeft w:val="0"/>
      <w:marRight w:val="0"/>
      <w:marTop w:val="0"/>
      <w:marBottom w:val="0"/>
      <w:divBdr>
        <w:top w:val="none" w:sz="0" w:space="0" w:color="auto"/>
        <w:left w:val="none" w:sz="0" w:space="0" w:color="auto"/>
        <w:bottom w:val="none" w:sz="0" w:space="0" w:color="auto"/>
        <w:right w:val="none" w:sz="0" w:space="0" w:color="auto"/>
      </w:divBdr>
    </w:div>
    <w:div w:id="1358040945">
      <w:bodyDiv w:val="1"/>
      <w:marLeft w:val="0"/>
      <w:marRight w:val="0"/>
      <w:marTop w:val="0"/>
      <w:marBottom w:val="0"/>
      <w:divBdr>
        <w:top w:val="none" w:sz="0" w:space="0" w:color="auto"/>
        <w:left w:val="none" w:sz="0" w:space="0" w:color="auto"/>
        <w:bottom w:val="none" w:sz="0" w:space="0" w:color="auto"/>
        <w:right w:val="none" w:sz="0" w:space="0" w:color="auto"/>
      </w:divBdr>
    </w:div>
    <w:div w:id="1358048558">
      <w:bodyDiv w:val="1"/>
      <w:marLeft w:val="0"/>
      <w:marRight w:val="0"/>
      <w:marTop w:val="0"/>
      <w:marBottom w:val="0"/>
      <w:divBdr>
        <w:top w:val="none" w:sz="0" w:space="0" w:color="auto"/>
        <w:left w:val="none" w:sz="0" w:space="0" w:color="auto"/>
        <w:bottom w:val="none" w:sz="0" w:space="0" w:color="auto"/>
        <w:right w:val="none" w:sz="0" w:space="0" w:color="auto"/>
      </w:divBdr>
    </w:div>
    <w:div w:id="1358265549">
      <w:bodyDiv w:val="1"/>
      <w:marLeft w:val="0"/>
      <w:marRight w:val="0"/>
      <w:marTop w:val="0"/>
      <w:marBottom w:val="0"/>
      <w:divBdr>
        <w:top w:val="none" w:sz="0" w:space="0" w:color="auto"/>
        <w:left w:val="none" w:sz="0" w:space="0" w:color="auto"/>
        <w:bottom w:val="none" w:sz="0" w:space="0" w:color="auto"/>
        <w:right w:val="none" w:sz="0" w:space="0" w:color="auto"/>
      </w:divBdr>
    </w:div>
    <w:div w:id="1358461958">
      <w:bodyDiv w:val="1"/>
      <w:marLeft w:val="0"/>
      <w:marRight w:val="0"/>
      <w:marTop w:val="0"/>
      <w:marBottom w:val="0"/>
      <w:divBdr>
        <w:top w:val="none" w:sz="0" w:space="0" w:color="auto"/>
        <w:left w:val="none" w:sz="0" w:space="0" w:color="auto"/>
        <w:bottom w:val="none" w:sz="0" w:space="0" w:color="auto"/>
        <w:right w:val="none" w:sz="0" w:space="0" w:color="auto"/>
      </w:divBdr>
    </w:div>
    <w:div w:id="1358657076">
      <w:bodyDiv w:val="1"/>
      <w:marLeft w:val="0"/>
      <w:marRight w:val="0"/>
      <w:marTop w:val="0"/>
      <w:marBottom w:val="0"/>
      <w:divBdr>
        <w:top w:val="none" w:sz="0" w:space="0" w:color="auto"/>
        <w:left w:val="none" w:sz="0" w:space="0" w:color="auto"/>
        <w:bottom w:val="none" w:sz="0" w:space="0" w:color="auto"/>
        <w:right w:val="none" w:sz="0" w:space="0" w:color="auto"/>
      </w:divBdr>
    </w:div>
    <w:div w:id="1358696879">
      <w:bodyDiv w:val="1"/>
      <w:marLeft w:val="0"/>
      <w:marRight w:val="0"/>
      <w:marTop w:val="0"/>
      <w:marBottom w:val="0"/>
      <w:divBdr>
        <w:top w:val="none" w:sz="0" w:space="0" w:color="auto"/>
        <w:left w:val="none" w:sz="0" w:space="0" w:color="auto"/>
        <w:bottom w:val="none" w:sz="0" w:space="0" w:color="auto"/>
        <w:right w:val="none" w:sz="0" w:space="0" w:color="auto"/>
      </w:divBdr>
    </w:div>
    <w:div w:id="1358920337">
      <w:bodyDiv w:val="1"/>
      <w:marLeft w:val="0"/>
      <w:marRight w:val="0"/>
      <w:marTop w:val="0"/>
      <w:marBottom w:val="0"/>
      <w:divBdr>
        <w:top w:val="none" w:sz="0" w:space="0" w:color="auto"/>
        <w:left w:val="none" w:sz="0" w:space="0" w:color="auto"/>
        <w:bottom w:val="none" w:sz="0" w:space="0" w:color="auto"/>
        <w:right w:val="none" w:sz="0" w:space="0" w:color="auto"/>
      </w:divBdr>
    </w:div>
    <w:div w:id="1359040131">
      <w:bodyDiv w:val="1"/>
      <w:marLeft w:val="0"/>
      <w:marRight w:val="0"/>
      <w:marTop w:val="0"/>
      <w:marBottom w:val="0"/>
      <w:divBdr>
        <w:top w:val="none" w:sz="0" w:space="0" w:color="auto"/>
        <w:left w:val="none" w:sz="0" w:space="0" w:color="auto"/>
        <w:bottom w:val="none" w:sz="0" w:space="0" w:color="auto"/>
        <w:right w:val="none" w:sz="0" w:space="0" w:color="auto"/>
      </w:divBdr>
    </w:div>
    <w:div w:id="1359115945">
      <w:bodyDiv w:val="1"/>
      <w:marLeft w:val="0"/>
      <w:marRight w:val="0"/>
      <w:marTop w:val="0"/>
      <w:marBottom w:val="0"/>
      <w:divBdr>
        <w:top w:val="none" w:sz="0" w:space="0" w:color="auto"/>
        <w:left w:val="none" w:sz="0" w:space="0" w:color="auto"/>
        <w:bottom w:val="none" w:sz="0" w:space="0" w:color="auto"/>
        <w:right w:val="none" w:sz="0" w:space="0" w:color="auto"/>
      </w:divBdr>
    </w:div>
    <w:div w:id="1359164349">
      <w:bodyDiv w:val="1"/>
      <w:marLeft w:val="0"/>
      <w:marRight w:val="0"/>
      <w:marTop w:val="0"/>
      <w:marBottom w:val="0"/>
      <w:divBdr>
        <w:top w:val="none" w:sz="0" w:space="0" w:color="auto"/>
        <w:left w:val="none" w:sz="0" w:space="0" w:color="auto"/>
        <w:bottom w:val="none" w:sz="0" w:space="0" w:color="auto"/>
        <w:right w:val="none" w:sz="0" w:space="0" w:color="auto"/>
      </w:divBdr>
    </w:div>
    <w:div w:id="1359236603">
      <w:bodyDiv w:val="1"/>
      <w:marLeft w:val="0"/>
      <w:marRight w:val="0"/>
      <w:marTop w:val="0"/>
      <w:marBottom w:val="0"/>
      <w:divBdr>
        <w:top w:val="none" w:sz="0" w:space="0" w:color="auto"/>
        <w:left w:val="none" w:sz="0" w:space="0" w:color="auto"/>
        <w:bottom w:val="none" w:sz="0" w:space="0" w:color="auto"/>
        <w:right w:val="none" w:sz="0" w:space="0" w:color="auto"/>
      </w:divBdr>
    </w:div>
    <w:div w:id="1359307496">
      <w:bodyDiv w:val="1"/>
      <w:marLeft w:val="0"/>
      <w:marRight w:val="0"/>
      <w:marTop w:val="0"/>
      <w:marBottom w:val="0"/>
      <w:divBdr>
        <w:top w:val="none" w:sz="0" w:space="0" w:color="auto"/>
        <w:left w:val="none" w:sz="0" w:space="0" w:color="auto"/>
        <w:bottom w:val="none" w:sz="0" w:space="0" w:color="auto"/>
        <w:right w:val="none" w:sz="0" w:space="0" w:color="auto"/>
      </w:divBdr>
    </w:div>
    <w:div w:id="1359308820">
      <w:bodyDiv w:val="1"/>
      <w:marLeft w:val="0"/>
      <w:marRight w:val="0"/>
      <w:marTop w:val="0"/>
      <w:marBottom w:val="0"/>
      <w:divBdr>
        <w:top w:val="none" w:sz="0" w:space="0" w:color="auto"/>
        <w:left w:val="none" w:sz="0" w:space="0" w:color="auto"/>
        <w:bottom w:val="none" w:sz="0" w:space="0" w:color="auto"/>
        <w:right w:val="none" w:sz="0" w:space="0" w:color="auto"/>
      </w:divBdr>
    </w:div>
    <w:div w:id="1359314309">
      <w:bodyDiv w:val="1"/>
      <w:marLeft w:val="0"/>
      <w:marRight w:val="0"/>
      <w:marTop w:val="0"/>
      <w:marBottom w:val="0"/>
      <w:divBdr>
        <w:top w:val="none" w:sz="0" w:space="0" w:color="auto"/>
        <w:left w:val="none" w:sz="0" w:space="0" w:color="auto"/>
        <w:bottom w:val="none" w:sz="0" w:space="0" w:color="auto"/>
        <w:right w:val="none" w:sz="0" w:space="0" w:color="auto"/>
      </w:divBdr>
    </w:div>
    <w:div w:id="1359354671">
      <w:bodyDiv w:val="1"/>
      <w:marLeft w:val="0"/>
      <w:marRight w:val="0"/>
      <w:marTop w:val="0"/>
      <w:marBottom w:val="0"/>
      <w:divBdr>
        <w:top w:val="none" w:sz="0" w:space="0" w:color="auto"/>
        <w:left w:val="none" w:sz="0" w:space="0" w:color="auto"/>
        <w:bottom w:val="none" w:sz="0" w:space="0" w:color="auto"/>
        <w:right w:val="none" w:sz="0" w:space="0" w:color="auto"/>
      </w:divBdr>
    </w:div>
    <w:div w:id="1359430186">
      <w:bodyDiv w:val="1"/>
      <w:marLeft w:val="0"/>
      <w:marRight w:val="0"/>
      <w:marTop w:val="0"/>
      <w:marBottom w:val="0"/>
      <w:divBdr>
        <w:top w:val="none" w:sz="0" w:space="0" w:color="auto"/>
        <w:left w:val="none" w:sz="0" w:space="0" w:color="auto"/>
        <w:bottom w:val="none" w:sz="0" w:space="0" w:color="auto"/>
        <w:right w:val="none" w:sz="0" w:space="0" w:color="auto"/>
      </w:divBdr>
    </w:div>
    <w:div w:id="1359433352">
      <w:bodyDiv w:val="1"/>
      <w:marLeft w:val="0"/>
      <w:marRight w:val="0"/>
      <w:marTop w:val="0"/>
      <w:marBottom w:val="0"/>
      <w:divBdr>
        <w:top w:val="none" w:sz="0" w:space="0" w:color="auto"/>
        <w:left w:val="none" w:sz="0" w:space="0" w:color="auto"/>
        <w:bottom w:val="none" w:sz="0" w:space="0" w:color="auto"/>
        <w:right w:val="none" w:sz="0" w:space="0" w:color="auto"/>
      </w:divBdr>
    </w:div>
    <w:div w:id="1359505151">
      <w:bodyDiv w:val="1"/>
      <w:marLeft w:val="0"/>
      <w:marRight w:val="0"/>
      <w:marTop w:val="0"/>
      <w:marBottom w:val="0"/>
      <w:divBdr>
        <w:top w:val="none" w:sz="0" w:space="0" w:color="auto"/>
        <w:left w:val="none" w:sz="0" w:space="0" w:color="auto"/>
        <w:bottom w:val="none" w:sz="0" w:space="0" w:color="auto"/>
        <w:right w:val="none" w:sz="0" w:space="0" w:color="auto"/>
      </w:divBdr>
    </w:div>
    <w:div w:id="1359622910">
      <w:bodyDiv w:val="1"/>
      <w:marLeft w:val="0"/>
      <w:marRight w:val="0"/>
      <w:marTop w:val="0"/>
      <w:marBottom w:val="0"/>
      <w:divBdr>
        <w:top w:val="none" w:sz="0" w:space="0" w:color="auto"/>
        <w:left w:val="none" w:sz="0" w:space="0" w:color="auto"/>
        <w:bottom w:val="none" w:sz="0" w:space="0" w:color="auto"/>
        <w:right w:val="none" w:sz="0" w:space="0" w:color="auto"/>
      </w:divBdr>
    </w:div>
    <w:div w:id="1359624525">
      <w:bodyDiv w:val="1"/>
      <w:marLeft w:val="0"/>
      <w:marRight w:val="0"/>
      <w:marTop w:val="0"/>
      <w:marBottom w:val="0"/>
      <w:divBdr>
        <w:top w:val="none" w:sz="0" w:space="0" w:color="auto"/>
        <w:left w:val="none" w:sz="0" w:space="0" w:color="auto"/>
        <w:bottom w:val="none" w:sz="0" w:space="0" w:color="auto"/>
        <w:right w:val="none" w:sz="0" w:space="0" w:color="auto"/>
      </w:divBdr>
    </w:div>
    <w:div w:id="1359699347">
      <w:bodyDiv w:val="1"/>
      <w:marLeft w:val="0"/>
      <w:marRight w:val="0"/>
      <w:marTop w:val="0"/>
      <w:marBottom w:val="0"/>
      <w:divBdr>
        <w:top w:val="none" w:sz="0" w:space="0" w:color="auto"/>
        <w:left w:val="none" w:sz="0" w:space="0" w:color="auto"/>
        <w:bottom w:val="none" w:sz="0" w:space="0" w:color="auto"/>
        <w:right w:val="none" w:sz="0" w:space="0" w:color="auto"/>
      </w:divBdr>
    </w:div>
    <w:div w:id="1359700185">
      <w:bodyDiv w:val="1"/>
      <w:marLeft w:val="0"/>
      <w:marRight w:val="0"/>
      <w:marTop w:val="0"/>
      <w:marBottom w:val="0"/>
      <w:divBdr>
        <w:top w:val="none" w:sz="0" w:space="0" w:color="auto"/>
        <w:left w:val="none" w:sz="0" w:space="0" w:color="auto"/>
        <w:bottom w:val="none" w:sz="0" w:space="0" w:color="auto"/>
        <w:right w:val="none" w:sz="0" w:space="0" w:color="auto"/>
      </w:divBdr>
    </w:div>
    <w:div w:id="1359770778">
      <w:bodyDiv w:val="1"/>
      <w:marLeft w:val="0"/>
      <w:marRight w:val="0"/>
      <w:marTop w:val="0"/>
      <w:marBottom w:val="0"/>
      <w:divBdr>
        <w:top w:val="none" w:sz="0" w:space="0" w:color="auto"/>
        <w:left w:val="none" w:sz="0" w:space="0" w:color="auto"/>
        <w:bottom w:val="none" w:sz="0" w:space="0" w:color="auto"/>
        <w:right w:val="none" w:sz="0" w:space="0" w:color="auto"/>
      </w:divBdr>
    </w:div>
    <w:div w:id="1360007270">
      <w:bodyDiv w:val="1"/>
      <w:marLeft w:val="0"/>
      <w:marRight w:val="0"/>
      <w:marTop w:val="0"/>
      <w:marBottom w:val="0"/>
      <w:divBdr>
        <w:top w:val="none" w:sz="0" w:space="0" w:color="auto"/>
        <w:left w:val="none" w:sz="0" w:space="0" w:color="auto"/>
        <w:bottom w:val="none" w:sz="0" w:space="0" w:color="auto"/>
        <w:right w:val="none" w:sz="0" w:space="0" w:color="auto"/>
      </w:divBdr>
    </w:div>
    <w:div w:id="1360007466">
      <w:bodyDiv w:val="1"/>
      <w:marLeft w:val="0"/>
      <w:marRight w:val="0"/>
      <w:marTop w:val="0"/>
      <w:marBottom w:val="0"/>
      <w:divBdr>
        <w:top w:val="none" w:sz="0" w:space="0" w:color="auto"/>
        <w:left w:val="none" w:sz="0" w:space="0" w:color="auto"/>
        <w:bottom w:val="none" w:sz="0" w:space="0" w:color="auto"/>
        <w:right w:val="none" w:sz="0" w:space="0" w:color="auto"/>
      </w:divBdr>
    </w:div>
    <w:div w:id="1360080494">
      <w:bodyDiv w:val="1"/>
      <w:marLeft w:val="0"/>
      <w:marRight w:val="0"/>
      <w:marTop w:val="0"/>
      <w:marBottom w:val="0"/>
      <w:divBdr>
        <w:top w:val="none" w:sz="0" w:space="0" w:color="auto"/>
        <w:left w:val="none" w:sz="0" w:space="0" w:color="auto"/>
        <w:bottom w:val="none" w:sz="0" w:space="0" w:color="auto"/>
        <w:right w:val="none" w:sz="0" w:space="0" w:color="auto"/>
      </w:divBdr>
    </w:div>
    <w:div w:id="1360083991">
      <w:bodyDiv w:val="1"/>
      <w:marLeft w:val="0"/>
      <w:marRight w:val="0"/>
      <w:marTop w:val="0"/>
      <w:marBottom w:val="0"/>
      <w:divBdr>
        <w:top w:val="none" w:sz="0" w:space="0" w:color="auto"/>
        <w:left w:val="none" w:sz="0" w:space="0" w:color="auto"/>
        <w:bottom w:val="none" w:sz="0" w:space="0" w:color="auto"/>
        <w:right w:val="none" w:sz="0" w:space="0" w:color="auto"/>
      </w:divBdr>
    </w:div>
    <w:div w:id="1360088406">
      <w:bodyDiv w:val="1"/>
      <w:marLeft w:val="0"/>
      <w:marRight w:val="0"/>
      <w:marTop w:val="0"/>
      <w:marBottom w:val="0"/>
      <w:divBdr>
        <w:top w:val="none" w:sz="0" w:space="0" w:color="auto"/>
        <w:left w:val="none" w:sz="0" w:space="0" w:color="auto"/>
        <w:bottom w:val="none" w:sz="0" w:space="0" w:color="auto"/>
        <w:right w:val="none" w:sz="0" w:space="0" w:color="auto"/>
      </w:divBdr>
    </w:div>
    <w:div w:id="1360164482">
      <w:bodyDiv w:val="1"/>
      <w:marLeft w:val="0"/>
      <w:marRight w:val="0"/>
      <w:marTop w:val="0"/>
      <w:marBottom w:val="0"/>
      <w:divBdr>
        <w:top w:val="none" w:sz="0" w:space="0" w:color="auto"/>
        <w:left w:val="none" w:sz="0" w:space="0" w:color="auto"/>
        <w:bottom w:val="none" w:sz="0" w:space="0" w:color="auto"/>
        <w:right w:val="none" w:sz="0" w:space="0" w:color="auto"/>
      </w:divBdr>
    </w:div>
    <w:div w:id="1360282564">
      <w:bodyDiv w:val="1"/>
      <w:marLeft w:val="0"/>
      <w:marRight w:val="0"/>
      <w:marTop w:val="0"/>
      <w:marBottom w:val="0"/>
      <w:divBdr>
        <w:top w:val="none" w:sz="0" w:space="0" w:color="auto"/>
        <w:left w:val="none" w:sz="0" w:space="0" w:color="auto"/>
        <w:bottom w:val="none" w:sz="0" w:space="0" w:color="auto"/>
        <w:right w:val="none" w:sz="0" w:space="0" w:color="auto"/>
      </w:divBdr>
    </w:div>
    <w:div w:id="1360354091">
      <w:bodyDiv w:val="1"/>
      <w:marLeft w:val="0"/>
      <w:marRight w:val="0"/>
      <w:marTop w:val="0"/>
      <w:marBottom w:val="0"/>
      <w:divBdr>
        <w:top w:val="none" w:sz="0" w:space="0" w:color="auto"/>
        <w:left w:val="none" w:sz="0" w:space="0" w:color="auto"/>
        <w:bottom w:val="none" w:sz="0" w:space="0" w:color="auto"/>
        <w:right w:val="none" w:sz="0" w:space="0" w:color="auto"/>
      </w:divBdr>
    </w:div>
    <w:div w:id="1360542742">
      <w:bodyDiv w:val="1"/>
      <w:marLeft w:val="0"/>
      <w:marRight w:val="0"/>
      <w:marTop w:val="0"/>
      <w:marBottom w:val="0"/>
      <w:divBdr>
        <w:top w:val="none" w:sz="0" w:space="0" w:color="auto"/>
        <w:left w:val="none" w:sz="0" w:space="0" w:color="auto"/>
        <w:bottom w:val="none" w:sz="0" w:space="0" w:color="auto"/>
        <w:right w:val="none" w:sz="0" w:space="0" w:color="auto"/>
      </w:divBdr>
    </w:div>
    <w:div w:id="1360545440">
      <w:bodyDiv w:val="1"/>
      <w:marLeft w:val="0"/>
      <w:marRight w:val="0"/>
      <w:marTop w:val="0"/>
      <w:marBottom w:val="0"/>
      <w:divBdr>
        <w:top w:val="none" w:sz="0" w:space="0" w:color="auto"/>
        <w:left w:val="none" w:sz="0" w:space="0" w:color="auto"/>
        <w:bottom w:val="none" w:sz="0" w:space="0" w:color="auto"/>
        <w:right w:val="none" w:sz="0" w:space="0" w:color="auto"/>
      </w:divBdr>
    </w:div>
    <w:div w:id="1360547409">
      <w:bodyDiv w:val="1"/>
      <w:marLeft w:val="0"/>
      <w:marRight w:val="0"/>
      <w:marTop w:val="0"/>
      <w:marBottom w:val="0"/>
      <w:divBdr>
        <w:top w:val="none" w:sz="0" w:space="0" w:color="auto"/>
        <w:left w:val="none" w:sz="0" w:space="0" w:color="auto"/>
        <w:bottom w:val="none" w:sz="0" w:space="0" w:color="auto"/>
        <w:right w:val="none" w:sz="0" w:space="0" w:color="auto"/>
      </w:divBdr>
    </w:div>
    <w:div w:id="1360547884">
      <w:bodyDiv w:val="1"/>
      <w:marLeft w:val="0"/>
      <w:marRight w:val="0"/>
      <w:marTop w:val="0"/>
      <w:marBottom w:val="0"/>
      <w:divBdr>
        <w:top w:val="none" w:sz="0" w:space="0" w:color="auto"/>
        <w:left w:val="none" w:sz="0" w:space="0" w:color="auto"/>
        <w:bottom w:val="none" w:sz="0" w:space="0" w:color="auto"/>
        <w:right w:val="none" w:sz="0" w:space="0" w:color="auto"/>
      </w:divBdr>
    </w:div>
    <w:div w:id="1360625298">
      <w:bodyDiv w:val="1"/>
      <w:marLeft w:val="0"/>
      <w:marRight w:val="0"/>
      <w:marTop w:val="0"/>
      <w:marBottom w:val="0"/>
      <w:divBdr>
        <w:top w:val="none" w:sz="0" w:space="0" w:color="auto"/>
        <w:left w:val="none" w:sz="0" w:space="0" w:color="auto"/>
        <w:bottom w:val="none" w:sz="0" w:space="0" w:color="auto"/>
        <w:right w:val="none" w:sz="0" w:space="0" w:color="auto"/>
      </w:divBdr>
    </w:div>
    <w:div w:id="1360660401">
      <w:bodyDiv w:val="1"/>
      <w:marLeft w:val="0"/>
      <w:marRight w:val="0"/>
      <w:marTop w:val="0"/>
      <w:marBottom w:val="0"/>
      <w:divBdr>
        <w:top w:val="none" w:sz="0" w:space="0" w:color="auto"/>
        <w:left w:val="none" w:sz="0" w:space="0" w:color="auto"/>
        <w:bottom w:val="none" w:sz="0" w:space="0" w:color="auto"/>
        <w:right w:val="none" w:sz="0" w:space="0" w:color="auto"/>
      </w:divBdr>
    </w:div>
    <w:div w:id="1360661666">
      <w:bodyDiv w:val="1"/>
      <w:marLeft w:val="0"/>
      <w:marRight w:val="0"/>
      <w:marTop w:val="0"/>
      <w:marBottom w:val="0"/>
      <w:divBdr>
        <w:top w:val="none" w:sz="0" w:space="0" w:color="auto"/>
        <w:left w:val="none" w:sz="0" w:space="0" w:color="auto"/>
        <w:bottom w:val="none" w:sz="0" w:space="0" w:color="auto"/>
        <w:right w:val="none" w:sz="0" w:space="0" w:color="auto"/>
      </w:divBdr>
    </w:div>
    <w:div w:id="1360661996">
      <w:bodyDiv w:val="1"/>
      <w:marLeft w:val="0"/>
      <w:marRight w:val="0"/>
      <w:marTop w:val="0"/>
      <w:marBottom w:val="0"/>
      <w:divBdr>
        <w:top w:val="none" w:sz="0" w:space="0" w:color="auto"/>
        <w:left w:val="none" w:sz="0" w:space="0" w:color="auto"/>
        <w:bottom w:val="none" w:sz="0" w:space="0" w:color="auto"/>
        <w:right w:val="none" w:sz="0" w:space="0" w:color="auto"/>
      </w:divBdr>
    </w:div>
    <w:div w:id="1360665663">
      <w:bodyDiv w:val="1"/>
      <w:marLeft w:val="0"/>
      <w:marRight w:val="0"/>
      <w:marTop w:val="0"/>
      <w:marBottom w:val="0"/>
      <w:divBdr>
        <w:top w:val="none" w:sz="0" w:space="0" w:color="auto"/>
        <w:left w:val="none" w:sz="0" w:space="0" w:color="auto"/>
        <w:bottom w:val="none" w:sz="0" w:space="0" w:color="auto"/>
        <w:right w:val="none" w:sz="0" w:space="0" w:color="auto"/>
      </w:divBdr>
    </w:div>
    <w:div w:id="1360814668">
      <w:bodyDiv w:val="1"/>
      <w:marLeft w:val="0"/>
      <w:marRight w:val="0"/>
      <w:marTop w:val="0"/>
      <w:marBottom w:val="0"/>
      <w:divBdr>
        <w:top w:val="none" w:sz="0" w:space="0" w:color="auto"/>
        <w:left w:val="none" w:sz="0" w:space="0" w:color="auto"/>
        <w:bottom w:val="none" w:sz="0" w:space="0" w:color="auto"/>
        <w:right w:val="none" w:sz="0" w:space="0" w:color="auto"/>
      </w:divBdr>
    </w:div>
    <w:div w:id="1361004101">
      <w:bodyDiv w:val="1"/>
      <w:marLeft w:val="0"/>
      <w:marRight w:val="0"/>
      <w:marTop w:val="0"/>
      <w:marBottom w:val="0"/>
      <w:divBdr>
        <w:top w:val="none" w:sz="0" w:space="0" w:color="auto"/>
        <w:left w:val="none" w:sz="0" w:space="0" w:color="auto"/>
        <w:bottom w:val="none" w:sz="0" w:space="0" w:color="auto"/>
        <w:right w:val="none" w:sz="0" w:space="0" w:color="auto"/>
      </w:divBdr>
    </w:div>
    <w:div w:id="1361052618">
      <w:bodyDiv w:val="1"/>
      <w:marLeft w:val="0"/>
      <w:marRight w:val="0"/>
      <w:marTop w:val="0"/>
      <w:marBottom w:val="0"/>
      <w:divBdr>
        <w:top w:val="none" w:sz="0" w:space="0" w:color="auto"/>
        <w:left w:val="none" w:sz="0" w:space="0" w:color="auto"/>
        <w:bottom w:val="none" w:sz="0" w:space="0" w:color="auto"/>
        <w:right w:val="none" w:sz="0" w:space="0" w:color="auto"/>
      </w:divBdr>
    </w:div>
    <w:div w:id="1361054208">
      <w:bodyDiv w:val="1"/>
      <w:marLeft w:val="0"/>
      <w:marRight w:val="0"/>
      <w:marTop w:val="0"/>
      <w:marBottom w:val="0"/>
      <w:divBdr>
        <w:top w:val="none" w:sz="0" w:space="0" w:color="auto"/>
        <w:left w:val="none" w:sz="0" w:space="0" w:color="auto"/>
        <w:bottom w:val="none" w:sz="0" w:space="0" w:color="auto"/>
        <w:right w:val="none" w:sz="0" w:space="0" w:color="auto"/>
      </w:divBdr>
    </w:div>
    <w:div w:id="1361081435">
      <w:bodyDiv w:val="1"/>
      <w:marLeft w:val="0"/>
      <w:marRight w:val="0"/>
      <w:marTop w:val="0"/>
      <w:marBottom w:val="0"/>
      <w:divBdr>
        <w:top w:val="none" w:sz="0" w:space="0" w:color="auto"/>
        <w:left w:val="none" w:sz="0" w:space="0" w:color="auto"/>
        <w:bottom w:val="none" w:sz="0" w:space="0" w:color="auto"/>
        <w:right w:val="none" w:sz="0" w:space="0" w:color="auto"/>
      </w:divBdr>
    </w:div>
    <w:div w:id="1361198023">
      <w:bodyDiv w:val="1"/>
      <w:marLeft w:val="0"/>
      <w:marRight w:val="0"/>
      <w:marTop w:val="0"/>
      <w:marBottom w:val="0"/>
      <w:divBdr>
        <w:top w:val="none" w:sz="0" w:space="0" w:color="auto"/>
        <w:left w:val="none" w:sz="0" w:space="0" w:color="auto"/>
        <w:bottom w:val="none" w:sz="0" w:space="0" w:color="auto"/>
        <w:right w:val="none" w:sz="0" w:space="0" w:color="auto"/>
      </w:divBdr>
    </w:div>
    <w:div w:id="1361200747">
      <w:bodyDiv w:val="1"/>
      <w:marLeft w:val="0"/>
      <w:marRight w:val="0"/>
      <w:marTop w:val="0"/>
      <w:marBottom w:val="0"/>
      <w:divBdr>
        <w:top w:val="none" w:sz="0" w:space="0" w:color="auto"/>
        <w:left w:val="none" w:sz="0" w:space="0" w:color="auto"/>
        <w:bottom w:val="none" w:sz="0" w:space="0" w:color="auto"/>
        <w:right w:val="none" w:sz="0" w:space="0" w:color="auto"/>
      </w:divBdr>
    </w:div>
    <w:div w:id="1361275395">
      <w:bodyDiv w:val="1"/>
      <w:marLeft w:val="0"/>
      <w:marRight w:val="0"/>
      <w:marTop w:val="0"/>
      <w:marBottom w:val="0"/>
      <w:divBdr>
        <w:top w:val="none" w:sz="0" w:space="0" w:color="auto"/>
        <w:left w:val="none" w:sz="0" w:space="0" w:color="auto"/>
        <w:bottom w:val="none" w:sz="0" w:space="0" w:color="auto"/>
        <w:right w:val="none" w:sz="0" w:space="0" w:color="auto"/>
      </w:divBdr>
    </w:div>
    <w:div w:id="1361279936">
      <w:bodyDiv w:val="1"/>
      <w:marLeft w:val="0"/>
      <w:marRight w:val="0"/>
      <w:marTop w:val="0"/>
      <w:marBottom w:val="0"/>
      <w:divBdr>
        <w:top w:val="none" w:sz="0" w:space="0" w:color="auto"/>
        <w:left w:val="none" w:sz="0" w:space="0" w:color="auto"/>
        <w:bottom w:val="none" w:sz="0" w:space="0" w:color="auto"/>
        <w:right w:val="none" w:sz="0" w:space="0" w:color="auto"/>
      </w:divBdr>
    </w:div>
    <w:div w:id="1361317017">
      <w:bodyDiv w:val="1"/>
      <w:marLeft w:val="0"/>
      <w:marRight w:val="0"/>
      <w:marTop w:val="0"/>
      <w:marBottom w:val="0"/>
      <w:divBdr>
        <w:top w:val="none" w:sz="0" w:space="0" w:color="auto"/>
        <w:left w:val="none" w:sz="0" w:space="0" w:color="auto"/>
        <w:bottom w:val="none" w:sz="0" w:space="0" w:color="auto"/>
        <w:right w:val="none" w:sz="0" w:space="0" w:color="auto"/>
      </w:divBdr>
    </w:div>
    <w:div w:id="1361319394">
      <w:bodyDiv w:val="1"/>
      <w:marLeft w:val="0"/>
      <w:marRight w:val="0"/>
      <w:marTop w:val="0"/>
      <w:marBottom w:val="0"/>
      <w:divBdr>
        <w:top w:val="none" w:sz="0" w:space="0" w:color="auto"/>
        <w:left w:val="none" w:sz="0" w:space="0" w:color="auto"/>
        <w:bottom w:val="none" w:sz="0" w:space="0" w:color="auto"/>
        <w:right w:val="none" w:sz="0" w:space="0" w:color="auto"/>
      </w:divBdr>
    </w:div>
    <w:div w:id="1361391189">
      <w:bodyDiv w:val="1"/>
      <w:marLeft w:val="0"/>
      <w:marRight w:val="0"/>
      <w:marTop w:val="0"/>
      <w:marBottom w:val="0"/>
      <w:divBdr>
        <w:top w:val="none" w:sz="0" w:space="0" w:color="auto"/>
        <w:left w:val="none" w:sz="0" w:space="0" w:color="auto"/>
        <w:bottom w:val="none" w:sz="0" w:space="0" w:color="auto"/>
        <w:right w:val="none" w:sz="0" w:space="0" w:color="auto"/>
      </w:divBdr>
    </w:div>
    <w:div w:id="1361392259">
      <w:bodyDiv w:val="1"/>
      <w:marLeft w:val="0"/>
      <w:marRight w:val="0"/>
      <w:marTop w:val="0"/>
      <w:marBottom w:val="0"/>
      <w:divBdr>
        <w:top w:val="none" w:sz="0" w:space="0" w:color="auto"/>
        <w:left w:val="none" w:sz="0" w:space="0" w:color="auto"/>
        <w:bottom w:val="none" w:sz="0" w:space="0" w:color="auto"/>
        <w:right w:val="none" w:sz="0" w:space="0" w:color="auto"/>
      </w:divBdr>
    </w:div>
    <w:div w:id="1361467559">
      <w:bodyDiv w:val="1"/>
      <w:marLeft w:val="0"/>
      <w:marRight w:val="0"/>
      <w:marTop w:val="0"/>
      <w:marBottom w:val="0"/>
      <w:divBdr>
        <w:top w:val="none" w:sz="0" w:space="0" w:color="auto"/>
        <w:left w:val="none" w:sz="0" w:space="0" w:color="auto"/>
        <w:bottom w:val="none" w:sz="0" w:space="0" w:color="auto"/>
        <w:right w:val="none" w:sz="0" w:space="0" w:color="auto"/>
      </w:divBdr>
    </w:div>
    <w:div w:id="1361474558">
      <w:bodyDiv w:val="1"/>
      <w:marLeft w:val="0"/>
      <w:marRight w:val="0"/>
      <w:marTop w:val="0"/>
      <w:marBottom w:val="0"/>
      <w:divBdr>
        <w:top w:val="none" w:sz="0" w:space="0" w:color="auto"/>
        <w:left w:val="none" w:sz="0" w:space="0" w:color="auto"/>
        <w:bottom w:val="none" w:sz="0" w:space="0" w:color="auto"/>
        <w:right w:val="none" w:sz="0" w:space="0" w:color="auto"/>
      </w:divBdr>
    </w:div>
    <w:div w:id="1361665140">
      <w:bodyDiv w:val="1"/>
      <w:marLeft w:val="0"/>
      <w:marRight w:val="0"/>
      <w:marTop w:val="0"/>
      <w:marBottom w:val="0"/>
      <w:divBdr>
        <w:top w:val="none" w:sz="0" w:space="0" w:color="auto"/>
        <w:left w:val="none" w:sz="0" w:space="0" w:color="auto"/>
        <w:bottom w:val="none" w:sz="0" w:space="0" w:color="auto"/>
        <w:right w:val="none" w:sz="0" w:space="0" w:color="auto"/>
      </w:divBdr>
    </w:div>
    <w:div w:id="1361667221">
      <w:bodyDiv w:val="1"/>
      <w:marLeft w:val="0"/>
      <w:marRight w:val="0"/>
      <w:marTop w:val="0"/>
      <w:marBottom w:val="0"/>
      <w:divBdr>
        <w:top w:val="none" w:sz="0" w:space="0" w:color="auto"/>
        <w:left w:val="none" w:sz="0" w:space="0" w:color="auto"/>
        <w:bottom w:val="none" w:sz="0" w:space="0" w:color="auto"/>
        <w:right w:val="none" w:sz="0" w:space="0" w:color="auto"/>
      </w:divBdr>
    </w:div>
    <w:div w:id="1361668372">
      <w:bodyDiv w:val="1"/>
      <w:marLeft w:val="0"/>
      <w:marRight w:val="0"/>
      <w:marTop w:val="0"/>
      <w:marBottom w:val="0"/>
      <w:divBdr>
        <w:top w:val="none" w:sz="0" w:space="0" w:color="auto"/>
        <w:left w:val="none" w:sz="0" w:space="0" w:color="auto"/>
        <w:bottom w:val="none" w:sz="0" w:space="0" w:color="auto"/>
        <w:right w:val="none" w:sz="0" w:space="0" w:color="auto"/>
      </w:divBdr>
    </w:div>
    <w:div w:id="1361668908">
      <w:bodyDiv w:val="1"/>
      <w:marLeft w:val="0"/>
      <w:marRight w:val="0"/>
      <w:marTop w:val="0"/>
      <w:marBottom w:val="0"/>
      <w:divBdr>
        <w:top w:val="none" w:sz="0" w:space="0" w:color="auto"/>
        <w:left w:val="none" w:sz="0" w:space="0" w:color="auto"/>
        <w:bottom w:val="none" w:sz="0" w:space="0" w:color="auto"/>
        <w:right w:val="none" w:sz="0" w:space="0" w:color="auto"/>
      </w:divBdr>
    </w:div>
    <w:div w:id="1361707285">
      <w:bodyDiv w:val="1"/>
      <w:marLeft w:val="0"/>
      <w:marRight w:val="0"/>
      <w:marTop w:val="0"/>
      <w:marBottom w:val="0"/>
      <w:divBdr>
        <w:top w:val="none" w:sz="0" w:space="0" w:color="auto"/>
        <w:left w:val="none" w:sz="0" w:space="0" w:color="auto"/>
        <w:bottom w:val="none" w:sz="0" w:space="0" w:color="auto"/>
        <w:right w:val="none" w:sz="0" w:space="0" w:color="auto"/>
      </w:divBdr>
    </w:div>
    <w:div w:id="1361707787">
      <w:bodyDiv w:val="1"/>
      <w:marLeft w:val="0"/>
      <w:marRight w:val="0"/>
      <w:marTop w:val="0"/>
      <w:marBottom w:val="0"/>
      <w:divBdr>
        <w:top w:val="none" w:sz="0" w:space="0" w:color="auto"/>
        <w:left w:val="none" w:sz="0" w:space="0" w:color="auto"/>
        <w:bottom w:val="none" w:sz="0" w:space="0" w:color="auto"/>
        <w:right w:val="none" w:sz="0" w:space="0" w:color="auto"/>
      </w:divBdr>
    </w:div>
    <w:div w:id="1361856900">
      <w:bodyDiv w:val="1"/>
      <w:marLeft w:val="0"/>
      <w:marRight w:val="0"/>
      <w:marTop w:val="0"/>
      <w:marBottom w:val="0"/>
      <w:divBdr>
        <w:top w:val="none" w:sz="0" w:space="0" w:color="auto"/>
        <w:left w:val="none" w:sz="0" w:space="0" w:color="auto"/>
        <w:bottom w:val="none" w:sz="0" w:space="0" w:color="auto"/>
        <w:right w:val="none" w:sz="0" w:space="0" w:color="auto"/>
      </w:divBdr>
    </w:div>
    <w:div w:id="1361932360">
      <w:bodyDiv w:val="1"/>
      <w:marLeft w:val="0"/>
      <w:marRight w:val="0"/>
      <w:marTop w:val="0"/>
      <w:marBottom w:val="0"/>
      <w:divBdr>
        <w:top w:val="none" w:sz="0" w:space="0" w:color="auto"/>
        <w:left w:val="none" w:sz="0" w:space="0" w:color="auto"/>
        <w:bottom w:val="none" w:sz="0" w:space="0" w:color="auto"/>
        <w:right w:val="none" w:sz="0" w:space="0" w:color="auto"/>
      </w:divBdr>
    </w:div>
    <w:div w:id="1362048285">
      <w:bodyDiv w:val="1"/>
      <w:marLeft w:val="0"/>
      <w:marRight w:val="0"/>
      <w:marTop w:val="0"/>
      <w:marBottom w:val="0"/>
      <w:divBdr>
        <w:top w:val="none" w:sz="0" w:space="0" w:color="auto"/>
        <w:left w:val="none" w:sz="0" w:space="0" w:color="auto"/>
        <w:bottom w:val="none" w:sz="0" w:space="0" w:color="auto"/>
        <w:right w:val="none" w:sz="0" w:space="0" w:color="auto"/>
      </w:divBdr>
    </w:div>
    <w:div w:id="1362050915">
      <w:bodyDiv w:val="1"/>
      <w:marLeft w:val="0"/>
      <w:marRight w:val="0"/>
      <w:marTop w:val="0"/>
      <w:marBottom w:val="0"/>
      <w:divBdr>
        <w:top w:val="none" w:sz="0" w:space="0" w:color="auto"/>
        <w:left w:val="none" w:sz="0" w:space="0" w:color="auto"/>
        <w:bottom w:val="none" w:sz="0" w:space="0" w:color="auto"/>
        <w:right w:val="none" w:sz="0" w:space="0" w:color="auto"/>
      </w:divBdr>
    </w:div>
    <w:div w:id="1362121915">
      <w:bodyDiv w:val="1"/>
      <w:marLeft w:val="0"/>
      <w:marRight w:val="0"/>
      <w:marTop w:val="0"/>
      <w:marBottom w:val="0"/>
      <w:divBdr>
        <w:top w:val="none" w:sz="0" w:space="0" w:color="auto"/>
        <w:left w:val="none" w:sz="0" w:space="0" w:color="auto"/>
        <w:bottom w:val="none" w:sz="0" w:space="0" w:color="auto"/>
        <w:right w:val="none" w:sz="0" w:space="0" w:color="auto"/>
      </w:divBdr>
    </w:div>
    <w:div w:id="1362129988">
      <w:bodyDiv w:val="1"/>
      <w:marLeft w:val="0"/>
      <w:marRight w:val="0"/>
      <w:marTop w:val="0"/>
      <w:marBottom w:val="0"/>
      <w:divBdr>
        <w:top w:val="none" w:sz="0" w:space="0" w:color="auto"/>
        <w:left w:val="none" w:sz="0" w:space="0" w:color="auto"/>
        <w:bottom w:val="none" w:sz="0" w:space="0" w:color="auto"/>
        <w:right w:val="none" w:sz="0" w:space="0" w:color="auto"/>
      </w:divBdr>
    </w:div>
    <w:div w:id="1362166155">
      <w:bodyDiv w:val="1"/>
      <w:marLeft w:val="0"/>
      <w:marRight w:val="0"/>
      <w:marTop w:val="0"/>
      <w:marBottom w:val="0"/>
      <w:divBdr>
        <w:top w:val="none" w:sz="0" w:space="0" w:color="auto"/>
        <w:left w:val="none" w:sz="0" w:space="0" w:color="auto"/>
        <w:bottom w:val="none" w:sz="0" w:space="0" w:color="auto"/>
        <w:right w:val="none" w:sz="0" w:space="0" w:color="auto"/>
      </w:divBdr>
    </w:div>
    <w:div w:id="1362171351">
      <w:bodyDiv w:val="1"/>
      <w:marLeft w:val="0"/>
      <w:marRight w:val="0"/>
      <w:marTop w:val="0"/>
      <w:marBottom w:val="0"/>
      <w:divBdr>
        <w:top w:val="none" w:sz="0" w:space="0" w:color="auto"/>
        <w:left w:val="none" w:sz="0" w:space="0" w:color="auto"/>
        <w:bottom w:val="none" w:sz="0" w:space="0" w:color="auto"/>
        <w:right w:val="none" w:sz="0" w:space="0" w:color="auto"/>
      </w:divBdr>
    </w:div>
    <w:div w:id="1362172736">
      <w:bodyDiv w:val="1"/>
      <w:marLeft w:val="0"/>
      <w:marRight w:val="0"/>
      <w:marTop w:val="0"/>
      <w:marBottom w:val="0"/>
      <w:divBdr>
        <w:top w:val="none" w:sz="0" w:space="0" w:color="auto"/>
        <w:left w:val="none" w:sz="0" w:space="0" w:color="auto"/>
        <w:bottom w:val="none" w:sz="0" w:space="0" w:color="auto"/>
        <w:right w:val="none" w:sz="0" w:space="0" w:color="auto"/>
      </w:divBdr>
    </w:div>
    <w:div w:id="1362173099">
      <w:bodyDiv w:val="1"/>
      <w:marLeft w:val="0"/>
      <w:marRight w:val="0"/>
      <w:marTop w:val="0"/>
      <w:marBottom w:val="0"/>
      <w:divBdr>
        <w:top w:val="none" w:sz="0" w:space="0" w:color="auto"/>
        <w:left w:val="none" w:sz="0" w:space="0" w:color="auto"/>
        <w:bottom w:val="none" w:sz="0" w:space="0" w:color="auto"/>
        <w:right w:val="none" w:sz="0" w:space="0" w:color="auto"/>
      </w:divBdr>
    </w:div>
    <w:div w:id="1362197412">
      <w:bodyDiv w:val="1"/>
      <w:marLeft w:val="0"/>
      <w:marRight w:val="0"/>
      <w:marTop w:val="0"/>
      <w:marBottom w:val="0"/>
      <w:divBdr>
        <w:top w:val="none" w:sz="0" w:space="0" w:color="auto"/>
        <w:left w:val="none" w:sz="0" w:space="0" w:color="auto"/>
        <w:bottom w:val="none" w:sz="0" w:space="0" w:color="auto"/>
        <w:right w:val="none" w:sz="0" w:space="0" w:color="auto"/>
      </w:divBdr>
    </w:div>
    <w:div w:id="1362316068">
      <w:bodyDiv w:val="1"/>
      <w:marLeft w:val="0"/>
      <w:marRight w:val="0"/>
      <w:marTop w:val="0"/>
      <w:marBottom w:val="0"/>
      <w:divBdr>
        <w:top w:val="none" w:sz="0" w:space="0" w:color="auto"/>
        <w:left w:val="none" w:sz="0" w:space="0" w:color="auto"/>
        <w:bottom w:val="none" w:sz="0" w:space="0" w:color="auto"/>
        <w:right w:val="none" w:sz="0" w:space="0" w:color="auto"/>
      </w:divBdr>
    </w:div>
    <w:div w:id="1362319686">
      <w:bodyDiv w:val="1"/>
      <w:marLeft w:val="0"/>
      <w:marRight w:val="0"/>
      <w:marTop w:val="0"/>
      <w:marBottom w:val="0"/>
      <w:divBdr>
        <w:top w:val="none" w:sz="0" w:space="0" w:color="auto"/>
        <w:left w:val="none" w:sz="0" w:space="0" w:color="auto"/>
        <w:bottom w:val="none" w:sz="0" w:space="0" w:color="auto"/>
        <w:right w:val="none" w:sz="0" w:space="0" w:color="auto"/>
      </w:divBdr>
    </w:div>
    <w:div w:id="1362363882">
      <w:bodyDiv w:val="1"/>
      <w:marLeft w:val="0"/>
      <w:marRight w:val="0"/>
      <w:marTop w:val="0"/>
      <w:marBottom w:val="0"/>
      <w:divBdr>
        <w:top w:val="none" w:sz="0" w:space="0" w:color="auto"/>
        <w:left w:val="none" w:sz="0" w:space="0" w:color="auto"/>
        <w:bottom w:val="none" w:sz="0" w:space="0" w:color="auto"/>
        <w:right w:val="none" w:sz="0" w:space="0" w:color="auto"/>
      </w:divBdr>
    </w:div>
    <w:div w:id="1362435844">
      <w:bodyDiv w:val="1"/>
      <w:marLeft w:val="0"/>
      <w:marRight w:val="0"/>
      <w:marTop w:val="0"/>
      <w:marBottom w:val="0"/>
      <w:divBdr>
        <w:top w:val="none" w:sz="0" w:space="0" w:color="auto"/>
        <w:left w:val="none" w:sz="0" w:space="0" w:color="auto"/>
        <w:bottom w:val="none" w:sz="0" w:space="0" w:color="auto"/>
        <w:right w:val="none" w:sz="0" w:space="0" w:color="auto"/>
      </w:divBdr>
    </w:div>
    <w:div w:id="1362437576">
      <w:bodyDiv w:val="1"/>
      <w:marLeft w:val="0"/>
      <w:marRight w:val="0"/>
      <w:marTop w:val="0"/>
      <w:marBottom w:val="0"/>
      <w:divBdr>
        <w:top w:val="none" w:sz="0" w:space="0" w:color="auto"/>
        <w:left w:val="none" w:sz="0" w:space="0" w:color="auto"/>
        <w:bottom w:val="none" w:sz="0" w:space="0" w:color="auto"/>
        <w:right w:val="none" w:sz="0" w:space="0" w:color="auto"/>
      </w:divBdr>
    </w:div>
    <w:div w:id="1362441773">
      <w:bodyDiv w:val="1"/>
      <w:marLeft w:val="0"/>
      <w:marRight w:val="0"/>
      <w:marTop w:val="0"/>
      <w:marBottom w:val="0"/>
      <w:divBdr>
        <w:top w:val="none" w:sz="0" w:space="0" w:color="auto"/>
        <w:left w:val="none" w:sz="0" w:space="0" w:color="auto"/>
        <w:bottom w:val="none" w:sz="0" w:space="0" w:color="auto"/>
        <w:right w:val="none" w:sz="0" w:space="0" w:color="auto"/>
      </w:divBdr>
    </w:div>
    <w:div w:id="1362512285">
      <w:bodyDiv w:val="1"/>
      <w:marLeft w:val="0"/>
      <w:marRight w:val="0"/>
      <w:marTop w:val="0"/>
      <w:marBottom w:val="0"/>
      <w:divBdr>
        <w:top w:val="none" w:sz="0" w:space="0" w:color="auto"/>
        <w:left w:val="none" w:sz="0" w:space="0" w:color="auto"/>
        <w:bottom w:val="none" w:sz="0" w:space="0" w:color="auto"/>
        <w:right w:val="none" w:sz="0" w:space="0" w:color="auto"/>
      </w:divBdr>
    </w:div>
    <w:div w:id="1362559703">
      <w:bodyDiv w:val="1"/>
      <w:marLeft w:val="0"/>
      <w:marRight w:val="0"/>
      <w:marTop w:val="0"/>
      <w:marBottom w:val="0"/>
      <w:divBdr>
        <w:top w:val="none" w:sz="0" w:space="0" w:color="auto"/>
        <w:left w:val="none" w:sz="0" w:space="0" w:color="auto"/>
        <w:bottom w:val="none" w:sz="0" w:space="0" w:color="auto"/>
        <w:right w:val="none" w:sz="0" w:space="0" w:color="auto"/>
      </w:divBdr>
    </w:div>
    <w:div w:id="1362629051">
      <w:bodyDiv w:val="1"/>
      <w:marLeft w:val="0"/>
      <w:marRight w:val="0"/>
      <w:marTop w:val="0"/>
      <w:marBottom w:val="0"/>
      <w:divBdr>
        <w:top w:val="none" w:sz="0" w:space="0" w:color="auto"/>
        <w:left w:val="none" w:sz="0" w:space="0" w:color="auto"/>
        <w:bottom w:val="none" w:sz="0" w:space="0" w:color="auto"/>
        <w:right w:val="none" w:sz="0" w:space="0" w:color="auto"/>
      </w:divBdr>
    </w:div>
    <w:div w:id="1362702231">
      <w:bodyDiv w:val="1"/>
      <w:marLeft w:val="0"/>
      <w:marRight w:val="0"/>
      <w:marTop w:val="0"/>
      <w:marBottom w:val="0"/>
      <w:divBdr>
        <w:top w:val="none" w:sz="0" w:space="0" w:color="auto"/>
        <w:left w:val="none" w:sz="0" w:space="0" w:color="auto"/>
        <w:bottom w:val="none" w:sz="0" w:space="0" w:color="auto"/>
        <w:right w:val="none" w:sz="0" w:space="0" w:color="auto"/>
      </w:divBdr>
    </w:div>
    <w:div w:id="1362708214">
      <w:bodyDiv w:val="1"/>
      <w:marLeft w:val="0"/>
      <w:marRight w:val="0"/>
      <w:marTop w:val="0"/>
      <w:marBottom w:val="0"/>
      <w:divBdr>
        <w:top w:val="none" w:sz="0" w:space="0" w:color="auto"/>
        <w:left w:val="none" w:sz="0" w:space="0" w:color="auto"/>
        <w:bottom w:val="none" w:sz="0" w:space="0" w:color="auto"/>
        <w:right w:val="none" w:sz="0" w:space="0" w:color="auto"/>
      </w:divBdr>
    </w:div>
    <w:div w:id="1362776819">
      <w:bodyDiv w:val="1"/>
      <w:marLeft w:val="0"/>
      <w:marRight w:val="0"/>
      <w:marTop w:val="0"/>
      <w:marBottom w:val="0"/>
      <w:divBdr>
        <w:top w:val="none" w:sz="0" w:space="0" w:color="auto"/>
        <w:left w:val="none" w:sz="0" w:space="0" w:color="auto"/>
        <w:bottom w:val="none" w:sz="0" w:space="0" w:color="auto"/>
        <w:right w:val="none" w:sz="0" w:space="0" w:color="auto"/>
      </w:divBdr>
    </w:div>
    <w:div w:id="1362781693">
      <w:bodyDiv w:val="1"/>
      <w:marLeft w:val="0"/>
      <w:marRight w:val="0"/>
      <w:marTop w:val="0"/>
      <w:marBottom w:val="0"/>
      <w:divBdr>
        <w:top w:val="none" w:sz="0" w:space="0" w:color="auto"/>
        <w:left w:val="none" w:sz="0" w:space="0" w:color="auto"/>
        <w:bottom w:val="none" w:sz="0" w:space="0" w:color="auto"/>
        <w:right w:val="none" w:sz="0" w:space="0" w:color="auto"/>
      </w:divBdr>
    </w:div>
    <w:div w:id="1362785676">
      <w:bodyDiv w:val="1"/>
      <w:marLeft w:val="0"/>
      <w:marRight w:val="0"/>
      <w:marTop w:val="0"/>
      <w:marBottom w:val="0"/>
      <w:divBdr>
        <w:top w:val="none" w:sz="0" w:space="0" w:color="auto"/>
        <w:left w:val="none" w:sz="0" w:space="0" w:color="auto"/>
        <w:bottom w:val="none" w:sz="0" w:space="0" w:color="auto"/>
        <w:right w:val="none" w:sz="0" w:space="0" w:color="auto"/>
      </w:divBdr>
    </w:div>
    <w:div w:id="1362824237">
      <w:bodyDiv w:val="1"/>
      <w:marLeft w:val="0"/>
      <w:marRight w:val="0"/>
      <w:marTop w:val="0"/>
      <w:marBottom w:val="0"/>
      <w:divBdr>
        <w:top w:val="none" w:sz="0" w:space="0" w:color="auto"/>
        <w:left w:val="none" w:sz="0" w:space="0" w:color="auto"/>
        <w:bottom w:val="none" w:sz="0" w:space="0" w:color="auto"/>
        <w:right w:val="none" w:sz="0" w:space="0" w:color="auto"/>
      </w:divBdr>
    </w:div>
    <w:div w:id="1362895119">
      <w:bodyDiv w:val="1"/>
      <w:marLeft w:val="0"/>
      <w:marRight w:val="0"/>
      <w:marTop w:val="0"/>
      <w:marBottom w:val="0"/>
      <w:divBdr>
        <w:top w:val="none" w:sz="0" w:space="0" w:color="auto"/>
        <w:left w:val="none" w:sz="0" w:space="0" w:color="auto"/>
        <w:bottom w:val="none" w:sz="0" w:space="0" w:color="auto"/>
        <w:right w:val="none" w:sz="0" w:space="0" w:color="auto"/>
      </w:divBdr>
    </w:div>
    <w:div w:id="1362897732">
      <w:bodyDiv w:val="1"/>
      <w:marLeft w:val="0"/>
      <w:marRight w:val="0"/>
      <w:marTop w:val="0"/>
      <w:marBottom w:val="0"/>
      <w:divBdr>
        <w:top w:val="none" w:sz="0" w:space="0" w:color="auto"/>
        <w:left w:val="none" w:sz="0" w:space="0" w:color="auto"/>
        <w:bottom w:val="none" w:sz="0" w:space="0" w:color="auto"/>
        <w:right w:val="none" w:sz="0" w:space="0" w:color="auto"/>
      </w:divBdr>
    </w:div>
    <w:div w:id="1363088338">
      <w:bodyDiv w:val="1"/>
      <w:marLeft w:val="0"/>
      <w:marRight w:val="0"/>
      <w:marTop w:val="0"/>
      <w:marBottom w:val="0"/>
      <w:divBdr>
        <w:top w:val="none" w:sz="0" w:space="0" w:color="auto"/>
        <w:left w:val="none" w:sz="0" w:space="0" w:color="auto"/>
        <w:bottom w:val="none" w:sz="0" w:space="0" w:color="auto"/>
        <w:right w:val="none" w:sz="0" w:space="0" w:color="auto"/>
      </w:divBdr>
    </w:div>
    <w:div w:id="1363284719">
      <w:bodyDiv w:val="1"/>
      <w:marLeft w:val="0"/>
      <w:marRight w:val="0"/>
      <w:marTop w:val="0"/>
      <w:marBottom w:val="0"/>
      <w:divBdr>
        <w:top w:val="none" w:sz="0" w:space="0" w:color="auto"/>
        <w:left w:val="none" w:sz="0" w:space="0" w:color="auto"/>
        <w:bottom w:val="none" w:sz="0" w:space="0" w:color="auto"/>
        <w:right w:val="none" w:sz="0" w:space="0" w:color="auto"/>
      </w:divBdr>
    </w:div>
    <w:div w:id="1363436640">
      <w:bodyDiv w:val="1"/>
      <w:marLeft w:val="0"/>
      <w:marRight w:val="0"/>
      <w:marTop w:val="0"/>
      <w:marBottom w:val="0"/>
      <w:divBdr>
        <w:top w:val="none" w:sz="0" w:space="0" w:color="auto"/>
        <w:left w:val="none" w:sz="0" w:space="0" w:color="auto"/>
        <w:bottom w:val="none" w:sz="0" w:space="0" w:color="auto"/>
        <w:right w:val="none" w:sz="0" w:space="0" w:color="auto"/>
      </w:divBdr>
    </w:div>
    <w:div w:id="1363483577">
      <w:bodyDiv w:val="1"/>
      <w:marLeft w:val="0"/>
      <w:marRight w:val="0"/>
      <w:marTop w:val="0"/>
      <w:marBottom w:val="0"/>
      <w:divBdr>
        <w:top w:val="none" w:sz="0" w:space="0" w:color="auto"/>
        <w:left w:val="none" w:sz="0" w:space="0" w:color="auto"/>
        <w:bottom w:val="none" w:sz="0" w:space="0" w:color="auto"/>
        <w:right w:val="none" w:sz="0" w:space="0" w:color="auto"/>
      </w:divBdr>
    </w:div>
    <w:div w:id="1363552928">
      <w:bodyDiv w:val="1"/>
      <w:marLeft w:val="0"/>
      <w:marRight w:val="0"/>
      <w:marTop w:val="0"/>
      <w:marBottom w:val="0"/>
      <w:divBdr>
        <w:top w:val="none" w:sz="0" w:space="0" w:color="auto"/>
        <w:left w:val="none" w:sz="0" w:space="0" w:color="auto"/>
        <w:bottom w:val="none" w:sz="0" w:space="0" w:color="auto"/>
        <w:right w:val="none" w:sz="0" w:space="0" w:color="auto"/>
      </w:divBdr>
    </w:div>
    <w:div w:id="1363632434">
      <w:bodyDiv w:val="1"/>
      <w:marLeft w:val="0"/>
      <w:marRight w:val="0"/>
      <w:marTop w:val="0"/>
      <w:marBottom w:val="0"/>
      <w:divBdr>
        <w:top w:val="none" w:sz="0" w:space="0" w:color="auto"/>
        <w:left w:val="none" w:sz="0" w:space="0" w:color="auto"/>
        <w:bottom w:val="none" w:sz="0" w:space="0" w:color="auto"/>
        <w:right w:val="none" w:sz="0" w:space="0" w:color="auto"/>
      </w:divBdr>
    </w:div>
    <w:div w:id="1363743920">
      <w:bodyDiv w:val="1"/>
      <w:marLeft w:val="0"/>
      <w:marRight w:val="0"/>
      <w:marTop w:val="0"/>
      <w:marBottom w:val="0"/>
      <w:divBdr>
        <w:top w:val="none" w:sz="0" w:space="0" w:color="auto"/>
        <w:left w:val="none" w:sz="0" w:space="0" w:color="auto"/>
        <w:bottom w:val="none" w:sz="0" w:space="0" w:color="auto"/>
        <w:right w:val="none" w:sz="0" w:space="0" w:color="auto"/>
      </w:divBdr>
    </w:div>
    <w:div w:id="1363819574">
      <w:bodyDiv w:val="1"/>
      <w:marLeft w:val="0"/>
      <w:marRight w:val="0"/>
      <w:marTop w:val="0"/>
      <w:marBottom w:val="0"/>
      <w:divBdr>
        <w:top w:val="none" w:sz="0" w:space="0" w:color="auto"/>
        <w:left w:val="none" w:sz="0" w:space="0" w:color="auto"/>
        <w:bottom w:val="none" w:sz="0" w:space="0" w:color="auto"/>
        <w:right w:val="none" w:sz="0" w:space="0" w:color="auto"/>
      </w:divBdr>
    </w:div>
    <w:div w:id="1363821988">
      <w:bodyDiv w:val="1"/>
      <w:marLeft w:val="0"/>
      <w:marRight w:val="0"/>
      <w:marTop w:val="0"/>
      <w:marBottom w:val="0"/>
      <w:divBdr>
        <w:top w:val="none" w:sz="0" w:space="0" w:color="auto"/>
        <w:left w:val="none" w:sz="0" w:space="0" w:color="auto"/>
        <w:bottom w:val="none" w:sz="0" w:space="0" w:color="auto"/>
        <w:right w:val="none" w:sz="0" w:space="0" w:color="auto"/>
      </w:divBdr>
    </w:div>
    <w:div w:id="1363870253">
      <w:bodyDiv w:val="1"/>
      <w:marLeft w:val="0"/>
      <w:marRight w:val="0"/>
      <w:marTop w:val="0"/>
      <w:marBottom w:val="0"/>
      <w:divBdr>
        <w:top w:val="none" w:sz="0" w:space="0" w:color="auto"/>
        <w:left w:val="none" w:sz="0" w:space="0" w:color="auto"/>
        <w:bottom w:val="none" w:sz="0" w:space="0" w:color="auto"/>
        <w:right w:val="none" w:sz="0" w:space="0" w:color="auto"/>
      </w:divBdr>
    </w:div>
    <w:div w:id="1363941317">
      <w:bodyDiv w:val="1"/>
      <w:marLeft w:val="0"/>
      <w:marRight w:val="0"/>
      <w:marTop w:val="0"/>
      <w:marBottom w:val="0"/>
      <w:divBdr>
        <w:top w:val="none" w:sz="0" w:space="0" w:color="auto"/>
        <w:left w:val="none" w:sz="0" w:space="0" w:color="auto"/>
        <w:bottom w:val="none" w:sz="0" w:space="0" w:color="auto"/>
        <w:right w:val="none" w:sz="0" w:space="0" w:color="auto"/>
      </w:divBdr>
    </w:div>
    <w:div w:id="1364096713">
      <w:bodyDiv w:val="1"/>
      <w:marLeft w:val="0"/>
      <w:marRight w:val="0"/>
      <w:marTop w:val="0"/>
      <w:marBottom w:val="0"/>
      <w:divBdr>
        <w:top w:val="none" w:sz="0" w:space="0" w:color="auto"/>
        <w:left w:val="none" w:sz="0" w:space="0" w:color="auto"/>
        <w:bottom w:val="none" w:sz="0" w:space="0" w:color="auto"/>
        <w:right w:val="none" w:sz="0" w:space="0" w:color="auto"/>
      </w:divBdr>
    </w:div>
    <w:div w:id="1364136479">
      <w:bodyDiv w:val="1"/>
      <w:marLeft w:val="0"/>
      <w:marRight w:val="0"/>
      <w:marTop w:val="0"/>
      <w:marBottom w:val="0"/>
      <w:divBdr>
        <w:top w:val="none" w:sz="0" w:space="0" w:color="auto"/>
        <w:left w:val="none" w:sz="0" w:space="0" w:color="auto"/>
        <w:bottom w:val="none" w:sz="0" w:space="0" w:color="auto"/>
        <w:right w:val="none" w:sz="0" w:space="0" w:color="auto"/>
      </w:divBdr>
    </w:div>
    <w:div w:id="1364280522">
      <w:bodyDiv w:val="1"/>
      <w:marLeft w:val="0"/>
      <w:marRight w:val="0"/>
      <w:marTop w:val="0"/>
      <w:marBottom w:val="0"/>
      <w:divBdr>
        <w:top w:val="none" w:sz="0" w:space="0" w:color="auto"/>
        <w:left w:val="none" w:sz="0" w:space="0" w:color="auto"/>
        <w:bottom w:val="none" w:sz="0" w:space="0" w:color="auto"/>
        <w:right w:val="none" w:sz="0" w:space="0" w:color="auto"/>
      </w:divBdr>
    </w:div>
    <w:div w:id="1364552874">
      <w:bodyDiv w:val="1"/>
      <w:marLeft w:val="0"/>
      <w:marRight w:val="0"/>
      <w:marTop w:val="0"/>
      <w:marBottom w:val="0"/>
      <w:divBdr>
        <w:top w:val="none" w:sz="0" w:space="0" w:color="auto"/>
        <w:left w:val="none" w:sz="0" w:space="0" w:color="auto"/>
        <w:bottom w:val="none" w:sz="0" w:space="0" w:color="auto"/>
        <w:right w:val="none" w:sz="0" w:space="0" w:color="auto"/>
      </w:divBdr>
    </w:div>
    <w:div w:id="1364594489">
      <w:bodyDiv w:val="1"/>
      <w:marLeft w:val="0"/>
      <w:marRight w:val="0"/>
      <w:marTop w:val="0"/>
      <w:marBottom w:val="0"/>
      <w:divBdr>
        <w:top w:val="none" w:sz="0" w:space="0" w:color="auto"/>
        <w:left w:val="none" w:sz="0" w:space="0" w:color="auto"/>
        <w:bottom w:val="none" w:sz="0" w:space="0" w:color="auto"/>
        <w:right w:val="none" w:sz="0" w:space="0" w:color="auto"/>
      </w:divBdr>
    </w:div>
    <w:div w:id="1364675258">
      <w:bodyDiv w:val="1"/>
      <w:marLeft w:val="0"/>
      <w:marRight w:val="0"/>
      <w:marTop w:val="0"/>
      <w:marBottom w:val="0"/>
      <w:divBdr>
        <w:top w:val="none" w:sz="0" w:space="0" w:color="auto"/>
        <w:left w:val="none" w:sz="0" w:space="0" w:color="auto"/>
        <w:bottom w:val="none" w:sz="0" w:space="0" w:color="auto"/>
        <w:right w:val="none" w:sz="0" w:space="0" w:color="auto"/>
      </w:divBdr>
    </w:div>
    <w:div w:id="1364819829">
      <w:bodyDiv w:val="1"/>
      <w:marLeft w:val="0"/>
      <w:marRight w:val="0"/>
      <w:marTop w:val="0"/>
      <w:marBottom w:val="0"/>
      <w:divBdr>
        <w:top w:val="none" w:sz="0" w:space="0" w:color="auto"/>
        <w:left w:val="none" w:sz="0" w:space="0" w:color="auto"/>
        <w:bottom w:val="none" w:sz="0" w:space="0" w:color="auto"/>
        <w:right w:val="none" w:sz="0" w:space="0" w:color="auto"/>
      </w:divBdr>
    </w:div>
    <w:div w:id="1364987444">
      <w:bodyDiv w:val="1"/>
      <w:marLeft w:val="0"/>
      <w:marRight w:val="0"/>
      <w:marTop w:val="0"/>
      <w:marBottom w:val="0"/>
      <w:divBdr>
        <w:top w:val="none" w:sz="0" w:space="0" w:color="auto"/>
        <w:left w:val="none" w:sz="0" w:space="0" w:color="auto"/>
        <w:bottom w:val="none" w:sz="0" w:space="0" w:color="auto"/>
        <w:right w:val="none" w:sz="0" w:space="0" w:color="auto"/>
      </w:divBdr>
    </w:div>
    <w:div w:id="1365015094">
      <w:bodyDiv w:val="1"/>
      <w:marLeft w:val="0"/>
      <w:marRight w:val="0"/>
      <w:marTop w:val="0"/>
      <w:marBottom w:val="0"/>
      <w:divBdr>
        <w:top w:val="none" w:sz="0" w:space="0" w:color="auto"/>
        <w:left w:val="none" w:sz="0" w:space="0" w:color="auto"/>
        <w:bottom w:val="none" w:sz="0" w:space="0" w:color="auto"/>
        <w:right w:val="none" w:sz="0" w:space="0" w:color="auto"/>
      </w:divBdr>
    </w:div>
    <w:div w:id="1365132561">
      <w:bodyDiv w:val="1"/>
      <w:marLeft w:val="0"/>
      <w:marRight w:val="0"/>
      <w:marTop w:val="0"/>
      <w:marBottom w:val="0"/>
      <w:divBdr>
        <w:top w:val="none" w:sz="0" w:space="0" w:color="auto"/>
        <w:left w:val="none" w:sz="0" w:space="0" w:color="auto"/>
        <w:bottom w:val="none" w:sz="0" w:space="0" w:color="auto"/>
        <w:right w:val="none" w:sz="0" w:space="0" w:color="auto"/>
      </w:divBdr>
    </w:div>
    <w:div w:id="1365137761">
      <w:bodyDiv w:val="1"/>
      <w:marLeft w:val="0"/>
      <w:marRight w:val="0"/>
      <w:marTop w:val="0"/>
      <w:marBottom w:val="0"/>
      <w:divBdr>
        <w:top w:val="none" w:sz="0" w:space="0" w:color="auto"/>
        <w:left w:val="none" w:sz="0" w:space="0" w:color="auto"/>
        <w:bottom w:val="none" w:sz="0" w:space="0" w:color="auto"/>
        <w:right w:val="none" w:sz="0" w:space="0" w:color="auto"/>
      </w:divBdr>
    </w:div>
    <w:div w:id="1365138523">
      <w:bodyDiv w:val="1"/>
      <w:marLeft w:val="0"/>
      <w:marRight w:val="0"/>
      <w:marTop w:val="0"/>
      <w:marBottom w:val="0"/>
      <w:divBdr>
        <w:top w:val="none" w:sz="0" w:space="0" w:color="auto"/>
        <w:left w:val="none" w:sz="0" w:space="0" w:color="auto"/>
        <w:bottom w:val="none" w:sz="0" w:space="0" w:color="auto"/>
        <w:right w:val="none" w:sz="0" w:space="0" w:color="auto"/>
      </w:divBdr>
    </w:div>
    <w:div w:id="1365180928">
      <w:bodyDiv w:val="1"/>
      <w:marLeft w:val="0"/>
      <w:marRight w:val="0"/>
      <w:marTop w:val="0"/>
      <w:marBottom w:val="0"/>
      <w:divBdr>
        <w:top w:val="none" w:sz="0" w:space="0" w:color="auto"/>
        <w:left w:val="none" w:sz="0" w:space="0" w:color="auto"/>
        <w:bottom w:val="none" w:sz="0" w:space="0" w:color="auto"/>
        <w:right w:val="none" w:sz="0" w:space="0" w:color="auto"/>
      </w:divBdr>
    </w:div>
    <w:div w:id="1365331730">
      <w:bodyDiv w:val="1"/>
      <w:marLeft w:val="0"/>
      <w:marRight w:val="0"/>
      <w:marTop w:val="0"/>
      <w:marBottom w:val="0"/>
      <w:divBdr>
        <w:top w:val="none" w:sz="0" w:space="0" w:color="auto"/>
        <w:left w:val="none" w:sz="0" w:space="0" w:color="auto"/>
        <w:bottom w:val="none" w:sz="0" w:space="0" w:color="auto"/>
        <w:right w:val="none" w:sz="0" w:space="0" w:color="auto"/>
      </w:divBdr>
    </w:div>
    <w:div w:id="1365404779">
      <w:bodyDiv w:val="1"/>
      <w:marLeft w:val="0"/>
      <w:marRight w:val="0"/>
      <w:marTop w:val="0"/>
      <w:marBottom w:val="0"/>
      <w:divBdr>
        <w:top w:val="none" w:sz="0" w:space="0" w:color="auto"/>
        <w:left w:val="none" w:sz="0" w:space="0" w:color="auto"/>
        <w:bottom w:val="none" w:sz="0" w:space="0" w:color="auto"/>
        <w:right w:val="none" w:sz="0" w:space="0" w:color="auto"/>
      </w:divBdr>
    </w:div>
    <w:div w:id="1365405152">
      <w:bodyDiv w:val="1"/>
      <w:marLeft w:val="0"/>
      <w:marRight w:val="0"/>
      <w:marTop w:val="0"/>
      <w:marBottom w:val="0"/>
      <w:divBdr>
        <w:top w:val="none" w:sz="0" w:space="0" w:color="auto"/>
        <w:left w:val="none" w:sz="0" w:space="0" w:color="auto"/>
        <w:bottom w:val="none" w:sz="0" w:space="0" w:color="auto"/>
        <w:right w:val="none" w:sz="0" w:space="0" w:color="auto"/>
      </w:divBdr>
    </w:div>
    <w:div w:id="1365520465">
      <w:bodyDiv w:val="1"/>
      <w:marLeft w:val="0"/>
      <w:marRight w:val="0"/>
      <w:marTop w:val="0"/>
      <w:marBottom w:val="0"/>
      <w:divBdr>
        <w:top w:val="none" w:sz="0" w:space="0" w:color="auto"/>
        <w:left w:val="none" w:sz="0" w:space="0" w:color="auto"/>
        <w:bottom w:val="none" w:sz="0" w:space="0" w:color="auto"/>
        <w:right w:val="none" w:sz="0" w:space="0" w:color="auto"/>
      </w:divBdr>
    </w:div>
    <w:div w:id="1365715500">
      <w:bodyDiv w:val="1"/>
      <w:marLeft w:val="0"/>
      <w:marRight w:val="0"/>
      <w:marTop w:val="0"/>
      <w:marBottom w:val="0"/>
      <w:divBdr>
        <w:top w:val="none" w:sz="0" w:space="0" w:color="auto"/>
        <w:left w:val="none" w:sz="0" w:space="0" w:color="auto"/>
        <w:bottom w:val="none" w:sz="0" w:space="0" w:color="auto"/>
        <w:right w:val="none" w:sz="0" w:space="0" w:color="auto"/>
      </w:divBdr>
    </w:div>
    <w:div w:id="1365790801">
      <w:bodyDiv w:val="1"/>
      <w:marLeft w:val="0"/>
      <w:marRight w:val="0"/>
      <w:marTop w:val="0"/>
      <w:marBottom w:val="0"/>
      <w:divBdr>
        <w:top w:val="none" w:sz="0" w:space="0" w:color="auto"/>
        <w:left w:val="none" w:sz="0" w:space="0" w:color="auto"/>
        <w:bottom w:val="none" w:sz="0" w:space="0" w:color="auto"/>
        <w:right w:val="none" w:sz="0" w:space="0" w:color="auto"/>
      </w:divBdr>
    </w:div>
    <w:div w:id="1365792496">
      <w:bodyDiv w:val="1"/>
      <w:marLeft w:val="0"/>
      <w:marRight w:val="0"/>
      <w:marTop w:val="0"/>
      <w:marBottom w:val="0"/>
      <w:divBdr>
        <w:top w:val="none" w:sz="0" w:space="0" w:color="auto"/>
        <w:left w:val="none" w:sz="0" w:space="0" w:color="auto"/>
        <w:bottom w:val="none" w:sz="0" w:space="0" w:color="auto"/>
        <w:right w:val="none" w:sz="0" w:space="0" w:color="auto"/>
      </w:divBdr>
    </w:div>
    <w:div w:id="1365910934">
      <w:bodyDiv w:val="1"/>
      <w:marLeft w:val="0"/>
      <w:marRight w:val="0"/>
      <w:marTop w:val="0"/>
      <w:marBottom w:val="0"/>
      <w:divBdr>
        <w:top w:val="none" w:sz="0" w:space="0" w:color="auto"/>
        <w:left w:val="none" w:sz="0" w:space="0" w:color="auto"/>
        <w:bottom w:val="none" w:sz="0" w:space="0" w:color="auto"/>
        <w:right w:val="none" w:sz="0" w:space="0" w:color="auto"/>
      </w:divBdr>
    </w:div>
    <w:div w:id="1366053452">
      <w:bodyDiv w:val="1"/>
      <w:marLeft w:val="0"/>
      <w:marRight w:val="0"/>
      <w:marTop w:val="0"/>
      <w:marBottom w:val="0"/>
      <w:divBdr>
        <w:top w:val="none" w:sz="0" w:space="0" w:color="auto"/>
        <w:left w:val="none" w:sz="0" w:space="0" w:color="auto"/>
        <w:bottom w:val="none" w:sz="0" w:space="0" w:color="auto"/>
        <w:right w:val="none" w:sz="0" w:space="0" w:color="auto"/>
      </w:divBdr>
    </w:div>
    <w:div w:id="1366101149">
      <w:bodyDiv w:val="1"/>
      <w:marLeft w:val="0"/>
      <w:marRight w:val="0"/>
      <w:marTop w:val="0"/>
      <w:marBottom w:val="0"/>
      <w:divBdr>
        <w:top w:val="none" w:sz="0" w:space="0" w:color="auto"/>
        <w:left w:val="none" w:sz="0" w:space="0" w:color="auto"/>
        <w:bottom w:val="none" w:sz="0" w:space="0" w:color="auto"/>
        <w:right w:val="none" w:sz="0" w:space="0" w:color="auto"/>
      </w:divBdr>
    </w:div>
    <w:div w:id="1366174479">
      <w:bodyDiv w:val="1"/>
      <w:marLeft w:val="0"/>
      <w:marRight w:val="0"/>
      <w:marTop w:val="0"/>
      <w:marBottom w:val="0"/>
      <w:divBdr>
        <w:top w:val="none" w:sz="0" w:space="0" w:color="auto"/>
        <w:left w:val="none" w:sz="0" w:space="0" w:color="auto"/>
        <w:bottom w:val="none" w:sz="0" w:space="0" w:color="auto"/>
        <w:right w:val="none" w:sz="0" w:space="0" w:color="auto"/>
      </w:divBdr>
    </w:div>
    <w:div w:id="1366324291">
      <w:bodyDiv w:val="1"/>
      <w:marLeft w:val="0"/>
      <w:marRight w:val="0"/>
      <w:marTop w:val="0"/>
      <w:marBottom w:val="0"/>
      <w:divBdr>
        <w:top w:val="none" w:sz="0" w:space="0" w:color="auto"/>
        <w:left w:val="none" w:sz="0" w:space="0" w:color="auto"/>
        <w:bottom w:val="none" w:sz="0" w:space="0" w:color="auto"/>
        <w:right w:val="none" w:sz="0" w:space="0" w:color="auto"/>
      </w:divBdr>
      <w:divsChild>
        <w:div w:id="5452119">
          <w:marLeft w:val="0"/>
          <w:marRight w:val="0"/>
          <w:marTop w:val="0"/>
          <w:marBottom w:val="0"/>
          <w:divBdr>
            <w:top w:val="none" w:sz="0" w:space="0" w:color="auto"/>
            <w:left w:val="none" w:sz="0" w:space="0" w:color="auto"/>
            <w:bottom w:val="none" w:sz="0" w:space="0" w:color="auto"/>
            <w:right w:val="none" w:sz="0" w:space="0" w:color="auto"/>
          </w:divBdr>
        </w:div>
        <w:div w:id="18119969">
          <w:marLeft w:val="0"/>
          <w:marRight w:val="0"/>
          <w:marTop w:val="0"/>
          <w:marBottom w:val="0"/>
          <w:divBdr>
            <w:top w:val="none" w:sz="0" w:space="0" w:color="auto"/>
            <w:left w:val="none" w:sz="0" w:space="0" w:color="auto"/>
            <w:bottom w:val="none" w:sz="0" w:space="0" w:color="auto"/>
            <w:right w:val="none" w:sz="0" w:space="0" w:color="auto"/>
          </w:divBdr>
        </w:div>
        <w:div w:id="25911199">
          <w:marLeft w:val="0"/>
          <w:marRight w:val="0"/>
          <w:marTop w:val="0"/>
          <w:marBottom w:val="0"/>
          <w:divBdr>
            <w:top w:val="none" w:sz="0" w:space="0" w:color="auto"/>
            <w:left w:val="none" w:sz="0" w:space="0" w:color="auto"/>
            <w:bottom w:val="none" w:sz="0" w:space="0" w:color="auto"/>
            <w:right w:val="none" w:sz="0" w:space="0" w:color="auto"/>
          </w:divBdr>
        </w:div>
        <w:div w:id="36319467">
          <w:marLeft w:val="0"/>
          <w:marRight w:val="0"/>
          <w:marTop w:val="0"/>
          <w:marBottom w:val="0"/>
          <w:divBdr>
            <w:top w:val="none" w:sz="0" w:space="0" w:color="auto"/>
            <w:left w:val="none" w:sz="0" w:space="0" w:color="auto"/>
            <w:bottom w:val="none" w:sz="0" w:space="0" w:color="auto"/>
            <w:right w:val="none" w:sz="0" w:space="0" w:color="auto"/>
          </w:divBdr>
        </w:div>
        <w:div w:id="55014387">
          <w:marLeft w:val="0"/>
          <w:marRight w:val="0"/>
          <w:marTop w:val="0"/>
          <w:marBottom w:val="0"/>
          <w:divBdr>
            <w:top w:val="none" w:sz="0" w:space="0" w:color="auto"/>
            <w:left w:val="none" w:sz="0" w:space="0" w:color="auto"/>
            <w:bottom w:val="none" w:sz="0" w:space="0" w:color="auto"/>
            <w:right w:val="none" w:sz="0" w:space="0" w:color="auto"/>
          </w:divBdr>
        </w:div>
        <w:div w:id="80491075">
          <w:marLeft w:val="0"/>
          <w:marRight w:val="0"/>
          <w:marTop w:val="0"/>
          <w:marBottom w:val="0"/>
          <w:divBdr>
            <w:top w:val="none" w:sz="0" w:space="0" w:color="auto"/>
            <w:left w:val="none" w:sz="0" w:space="0" w:color="auto"/>
            <w:bottom w:val="none" w:sz="0" w:space="0" w:color="auto"/>
            <w:right w:val="none" w:sz="0" w:space="0" w:color="auto"/>
          </w:divBdr>
        </w:div>
        <w:div w:id="88157367">
          <w:marLeft w:val="0"/>
          <w:marRight w:val="0"/>
          <w:marTop w:val="0"/>
          <w:marBottom w:val="0"/>
          <w:divBdr>
            <w:top w:val="none" w:sz="0" w:space="0" w:color="auto"/>
            <w:left w:val="none" w:sz="0" w:space="0" w:color="auto"/>
            <w:bottom w:val="none" w:sz="0" w:space="0" w:color="auto"/>
            <w:right w:val="none" w:sz="0" w:space="0" w:color="auto"/>
          </w:divBdr>
        </w:div>
        <w:div w:id="114644953">
          <w:marLeft w:val="0"/>
          <w:marRight w:val="0"/>
          <w:marTop w:val="0"/>
          <w:marBottom w:val="0"/>
          <w:divBdr>
            <w:top w:val="none" w:sz="0" w:space="0" w:color="auto"/>
            <w:left w:val="none" w:sz="0" w:space="0" w:color="auto"/>
            <w:bottom w:val="none" w:sz="0" w:space="0" w:color="auto"/>
            <w:right w:val="none" w:sz="0" w:space="0" w:color="auto"/>
          </w:divBdr>
        </w:div>
        <w:div w:id="114907022">
          <w:marLeft w:val="0"/>
          <w:marRight w:val="0"/>
          <w:marTop w:val="0"/>
          <w:marBottom w:val="0"/>
          <w:divBdr>
            <w:top w:val="none" w:sz="0" w:space="0" w:color="auto"/>
            <w:left w:val="none" w:sz="0" w:space="0" w:color="auto"/>
            <w:bottom w:val="none" w:sz="0" w:space="0" w:color="auto"/>
            <w:right w:val="none" w:sz="0" w:space="0" w:color="auto"/>
          </w:divBdr>
        </w:div>
        <w:div w:id="118770592">
          <w:marLeft w:val="0"/>
          <w:marRight w:val="0"/>
          <w:marTop w:val="0"/>
          <w:marBottom w:val="0"/>
          <w:divBdr>
            <w:top w:val="none" w:sz="0" w:space="0" w:color="auto"/>
            <w:left w:val="none" w:sz="0" w:space="0" w:color="auto"/>
            <w:bottom w:val="none" w:sz="0" w:space="0" w:color="auto"/>
            <w:right w:val="none" w:sz="0" w:space="0" w:color="auto"/>
          </w:divBdr>
        </w:div>
        <w:div w:id="122388116">
          <w:marLeft w:val="0"/>
          <w:marRight w:val="0"/>
          <w:marTop w:val="0"/>
          <w:marBottom w:val="0"/>
          <w:divBdr>
            <w:top w:val="none" w:sz="0" w:space="0" w:color="auto"/>
            <w:left w:val="none" w:sz="0" w:space="0" w:color="auto"/>
            <w:bottom w:val="none" w:sz="0" w:space="0" w:color="auto"/>
            <w:right w:val="none" w:sz="0" w:space="0" w:color="auto"/>
          </w:divBdr>
        </w:div>
        <w:div w:id="126550259">
          <w:marLeft w:val="0"/>
          <w:marRight w:val="0"/>
          <w:marTop w:val="0"/>
          <w:marBottom w:val="0"/>
          <w:divBdr>
            <w:top w:val="none" w:sz="0" w:space="0" w:color="auto"/>
            <w:left w:val="none" w:sz="0" w:space="0" w:color="auto"/>
            <w:bottom w:val="none" w:sz="0" w:space="0" w:color="auto"/>
            <w:right w:val="none" w:sz="0" w:space="0" w:color="auto"/>
          </w:divBdr>
        </w:div>
        <w:div w:id="129328120">
          <w:marLeft w:val="0"/>
          <w:marRight w:val="0"/>
          <w:marTop w:val="0"/>
          <w:marBottom w:val="0"/>
          <w:divBdr>
            <w:top w:val="none" w:sz="0" w:space="0" w:color="auto"/>
            <w:left w:val="none" w:sz="0" w:space="0" w:color="auto"/>
            <w:bottom w:val="none" w:sz="0" w:space="0" w:color="auto"/>
            <w:right w:val="none" w:sz="0" w:space="0" w:color="auto"/>
          </w:divBdr>
        </w:div>
        <w:div w:id="176117712">
          <w:marLeft w:val="0"/>
          <w:marRight w:val="0"/>
          <w:marTop w:val="0"/>
          <w:marBottom w:val="0"/>
          <w:divBdr>
            <w:top w:val="none" w:sz="0" w:space="0" w:color="auto"/>
            <w:left w:val="none" w:sz="0" w:space="0" w:color="auto"/>
            <w:bottom w:val="none" w:sz="0" w:space="0" w:color="auto"/>
            <w:right w:val="none" w:sz="0" w:space="0" w:color="auto"/>
          </w:divBdr>
        </w:div>
        <w:div w:id="182978287">
          <w:marLeft w:val="0"/>
          <w:marRight w:val="0"/>
          <w:marTop w:val="0"/>
          <w:marBottom w:val="0"/>
          <w:divBdr>
            <w:top w:val="none" w:sz="0" w:space="0" w:color="auto"/>
            <w:left w:val="none" w:sz="0" w:space="0" w:color="auto"/>
            <w:bottom w:val="none" w:sz="0" w:space="0" w:color="auto"/>
            <w:right w:val="none" w:sz="0" w:space="0" w:color="auto"/>
          </w:divBdr>
        </w:div>
        <w:div w:id="195655708">
          <w:marLeft w:val="0"/>
          <w:marRight w:val="0"/>
          <w:marTop w:val="0"/>
          <w:marBottom w:val="0"/>
          <w:divBdr>
            <w:top w:val="none" w:sz="0" w:space="0" w:color="auto"/>
            <w:left w:val="none" w:sz="0" w:space="0" w:color="auto"/>
            <w:bottom w:val="none" w:sz="0" w:space="0" w:color="auto"/>
            <w:right w:val="none" w:sz="0" w:space="0" w:color="auto"/>
          </w:divBdr>
        </w:div>
        <w:div w:id="206645194">
          <w:marLeft w:val="0"/>
          <w:marRight w:val="0"/>
          <w:marTop w:val="0"/>
          <w:marBottom w:val="0"/>
          <w:divBdr>
            <w:top w:val="none" w:sz="0" w:space="0" w:color="auto"/>
            <w:left w:val="none" w:sz="0" w:space="0" w:color="auto"/>
            <w:bottom w:val="none" w:sz="0" w:space="0" w:color="auto"/>
            <w:right w:val="none" w:sz="0" w:space="0" w:color="auto"/>
          </w:divBdr>
        </w:div>
        <w:div w:id="209609345">
          <w:marLeft w:val="0"/>
          <w:marRight w:val="0"/>
          <w:marTop w:val="0"/>
          <w:marBottom w:val="0"/>
          <w:divBdr>
            <w:top w:val="none" w:sz="0" w:space="0" w:color="auto"/>
            <w:left w:val="none" w:sz="0" w:space="0" w:color="auto"/>
            <w:bottom w:val="none" w:sz="0" w:space="0" w:color="auto"/>
            <w:right w:val="none" w:sz="0" w:space="0" w:color="auto"/>
          </w:divBdr>
        </w:div>
        <w:div w:id="252904479">
          <w:marLeft w:val="0"/>
          <w:marRight w:val="0"/>
          <w:marTop w:val="0"/>
          <w:marBottom w:val="0"/>
          <w:divBdr>
            <w:top w:val="none" w:sz="0" w:space="0" w:color="auto"/>
            <w:left w:val="none" w:sz="0" w:space="0" w:color="auto"/>
            <w:bottom w:val="none" w:sz="0" w:space="0" w:color="auto"/>
            <w:right w:val="none" w:sz="0" w:space="0" w:color="auto"/>
          </w:divBdr>
        </w:div>
        <w:div w:id="261496407">
          <w:marLeft w:val="0"/>
          <w:marRight w:val="0"/>
          <w:marTop w:val="0"/>
          <w:marBottom w:val="0"/>
          <w:divBdr>
            <w:top w:val="none" w:sz="0" w:space="0" w:color="auto"/>
            <w:left w:val="none" w:sz="0" w:space="0" w:color="auto"/>
            <w:bottom w:val="none" w:sz="0" w:space="0" w:color="auto"/>
            <w:right w:val="none" w:sz="0" w:space="0" w:color="auto"/>
          </w:divBdr>
        </w:div>
        <w:div w:id="275335229">
          <w:marLeft w:val="0"/>
          <w:marRight w:val="0"/>
          <w:marTop w:val="0"/>
          <w:marBottom w:val="0"/>
          <w:divBdr>
            <w:top w:val="none" w:sz="0" w:space="0" w:color="auto"/>
            <w:left w:val="none" w:sz="0" w:space="0" w:color="auto"/>
            <w:bottom w:val="none" w:sz="0" w:space="0" w:color="auto"/>
            <w:right w:val="none" w:sz="0" w:space="0" w:color="auto"/>
          </w:divBdr>
        </w:div>
        <w:div w:id="280576263">
          <w:marLeft w:val="0"/>
          <w:marRight w:val="0"/>
          <w:marTop w:val="0"/>
          <w:marBottom w:val="0"/>
          <w:divBdr>
            <w:top w:val="none" w:sz="0" w:space="0" w:color="auto"/>
            <w:left w:val="none" w:sz="0" w:space="0" w:color="auto"/>
            <w:bottom w:val="none" w:sz="0" w:space="0" w:color="auto"/>
            <w:right w:val="none" w:sz="0" w:space="0" w:color="auto"/>
          </w:divBdr>
        </w:div>
        <w:div w:id="290988297">
          <w:marLeft w:val="0"/>
          <w:marRight w:val="0"/>
          <w:marTop w:val="0"/>
          <w:marBottom w:val="0"/>
          <w:divBdr>
            <w:top w:val="none" w:sz="0" w:space="0" w:color="auto"/>
            <w:left w:val="none" w:sz="0" w:space="0" w:color="auto"/>
            <w:bottom w:val="none" w:sz="0" w:space="0" w:color="auto"/>
            <w:right w:val="none" w:sz="0" w:space="0" w:color="auto"/>
          </w:divBdr>
        </w:div>
        <w:div w:id="292827984">
          <w:marLeft w:val="0"/>
          <w:marRight w:val="0"/>
          <w:marTop w:val="0"/>
          <w:marBottom w:val="0"/>
          <w:divBdr>
            <w:top w:val="none" w:sz="0" w:space="0" w:color="auto"/>
            <w:left w:val="none" w:sz="0" w:space="0" w:color="auto"/>
            <w:bottom w:val="none" w:sz="0" w:space="0" w:color="auto"/>
            <w:right w:val="none" w:sz="0" w:space="0" w:color="auto"/>
          </w:divBdr>
        </w:div>
        <w:div w:id="300228603">
          <w:marLeft w:val="0"/>
          <w:marRight w:val="0"/>
          <w:marTop w:val="0"/>
          <w:marBottom w:val="0"/>
          <w:divBdr>
            <w:top w:val="none" w:sz="0" w:space="0" w:color="auto"/>
            <w:left w:val="none" w:sz="0" w:space="0" w:color="auto"/>
            <w:bottom w:val="none" w:sz="0" w:space="0" w:color="auto"/>
            <w:right w:val="none" w:sz="0" w:space="0" w:color="auto"/>
          </w:divBdr>
        </w:div>
        <w:div w:id="302002014">
          <w:marLeft w:val="0"/>
          <w:marRight w:val="0"/>
          <w:marTop w:val="0"/>
          <w:marBottom w:val="0"/>
          <w:divBdr>
            <w:top w:val="none" w:sz="0" w:space="0" w:color="auto"/>
            <w:left w:val="none" w:sz="0" w:space="0" w:color="auto"/>
            <w:bottom w:val="none" w:sz="0" w:space="0" w:color="auto"/>
            <w:right w:val="none" w:sz="0" w:space="0" w:color="auto"/>
          </w:divBdr>
        </w:div>
        <w:div w:id="305862611">
          <w:marLeft w:val="0"/>
          <w:marRight w:val="0"/>
          <w:marTop w:val="0"/>
          <w:marBottom w:val="0"/>
          <w:divBdr>
            <w:top w:val="none" w:sz="0" w:space="0" w:color="auto"/>
            <w:left w:val="none" w:sz="0" w:space="0" w:color="auto"/>
            <w:bottom w:val="none" w:sz="0" w:space="0" w:color="auto"/>
            <w:right w:val="none" w:sz="0" w:space="0" w:color="auto"/>
          </w:divBdr>
        </w:div>
        <w:div w:id="316421103">
          <w:marLeft w:val="0"/>
          <w:marRight w:val="0"/>
          <w:marTop w:val="0"/>
          <w:marBottom w:val="0"/>
          <w:divBdr>
            <w:top w:val="none" w:sz="0" w:space="0" w:color="auto"/>
            <w:left w:val="none" w:sz="0" w:space="0" w:color="auto"/>
            <w:bottom w:val="none" w:sz="0" w:space="0" w:color="auto"/>
            <w:right w:val="none" w:sz="0" w:space="0" w:color="auto"/>
          </w:divBdr>
        </w:div>
        <w:div w:id="331497566">
          <w:marLeft w:val="0"/>
          <w:marRight w:val="0"/>
          <w:marTop w:val="0"/>
          <w:marBottom w:val="0"/>
          <w:divBdr>
            <w:top w:val="none" w:sz="0" w:space="0" w:color="auto"/>
            <w:left w:val="none" w:sz="0" w:space="0" w:color="auto"/>
            <w:bottom w:val="none" w:sz="0" w:space="0" w:color="auto"/>
            <w:right w:val="none" w:sz="0" w:space="0" w:color="auto"/>
          </w:divBdr>
        </w:div>
        <w:div w:id="340476732">
          <w:marLeft w:val="0"/>
          <w:marRight w:val="0"/>
          <w:marTop w:val="0"/>
          <w:marBottom w:val="0"/>
          <w:divBdr>
            <w:top w:val="none" w:sz="0" w:space="0" w:color="auto"/>
            <w:left w:val="none" w:sz="0" w:space="0" w:color="auto"/>
            <w:bottom w:val="none" w:sz="0" w:space="0" w:color="auto"/>
            <w:right w:val="none" w:sz="0" w:space="0" w:color="auto"/>
          </w:divBdr>
        </w:div>
        <w:div w:id="344286002">
          <w:marLeft w:val="0"/>
          <w:marRight w:val="0"/>
          <w:marTop w:val="0"/>
          <w:marBottom w:val="0"/>
          <w:divBdr>
            <w:top w:val="none" w:sz="0" w:space="0" w:color="auto"/>
            <w:left w:val="none" w:sz="0" w:space="0" w:color="auto"/>
            <w:bottom w:val="none" w:sz="0" w:space="0" w:color="auto"/>
            <w:right w:val="none" w:sz="0" w:space="0" w:color="auto"/>
          </w:divBdr>
        </w:div>
        <w:div w:id="354622117">
          <w:marLeft w:val="0"/>
          <w:marRight w:val="0"/>
          <w:marTop w:val="0"/>
          <w:marBottom w:val="0"/>
          <w:divBdr>
            <w:top w:val="none" w:sz="0" w:space="0" w:color="auto"/>
            <w:left w:val="none" w:sz="0" w:space="0" w:color="auto"/>
            <w:bottom w:val="none" w:sz="0" w:space="0" w:color="auto"/>
            <w:right w:val="none" w:sz="0" w:space="0" w:color="auto"/>
          </w:divBdr>
        </w:div>
        <w:div w:id="359819027">
          <w:marLeft w:val="0"/>
          <w:marRight w:val="0"/>
          <w:marTop w:val="0"/>
          <w:marBottom w:val="0"/>
          <w:divBdr>
            <w:top w:val="none" w:sz="0" w:space="0" w:color="auto"/>
            <w:left w:val="none" w:sz="0" w:space="0" w:color="auto"/>
            <w:bottom w:val="none" w:sz="0" w:space="0" w:color="auto"/>
            <w:right w:val="none" w:sz="0" w:space="0" w:color="auto"/>
          </w:divBdr>
        </w:div>
        <w:div w:id="380131741">
          <w:marLeft w:val="0"/>
          <w:marRight w:val="0"/>
          <w:marTop w:val="0"/>
          <w:marBottom w:val="0"/>
          <w:divBdr>
            <w:top w:val="none" w:sz="0" w:space="0" w:color="auto"/>
            <w:left w:val="none" w:sz="0" w:space="0" w:color="auto"/>
            <w:bottom w:val="none" w:sz="0" w:space="0" w:color="auto"/>
            <w:right w:val="none" w:sz="0" w:space="0" w:color="auto"/>
          </w:divBdr>
        </w:div>
        <w:div w:id="383024714">
          <w:marLeft w:val="0"/>
          <w:marRight w:val="0"/>
          <w:marTop w:val="0"/>
          <w:marBottom w:val="0"/>
          <w:divBdr>
            <w:top w:val="none" w:sz="0" w:space="0" w:color="auto"/>
            <w:left w:val="none" w:sz="0" w:space="0" w:color="auto"/>
            <w:bottom w:val="none" w:sz="0" w:space="0" w:color="auto"/>
            <w:right w:val="none" w:sz="0" w:space="0" w:color="auto"/>
          </w:divBdr>
        </w:div>
        <w:div w:id="389428970">
          <w:marLeft w:val="0"/>
          <w:marRight w:val="0"/>
          <w:marTop w:val="0"/>
          <w:marBottom w:val="0"/>
          <w:divBdr>
            <w:top w:val="none" w:sz="0" w:space="0" w:color="auto"/>
            <w:left w:val="none" w:sz="0" w:space="0" w:color="auto"/>
            <w:bottom w:val="none" w:sz="0" w:space="0" w:color="auto"/>
            <w:right w:val="none" w:sz="0" w:space="0" w:color="auto"/>
          </w:divBdr>
        </w:div>
        <w:div w:id="398015314">
          <w:marLeft w:val="0"/>
          <w:marRight w:val="0"/>
          <w:marTop w:val="0"/>
          <w:marBottom w:val="0"/>
          <w:divBdr>
            <w:top w:val="none" w:sz="0" w:space="0" w:color="auto"/>
            <w:left w:val="none" w:sz="0" w:space="0" w:color="auto"/>
            <w:bottom w:val="none" w:sz="0" w:space="0" w:color="auto"/>
            <w:right w:val="none" w:sz="0" w:space="0" w:color="auto"/>
          </w:divBdr>
        </w:div>
        <w:div w:id="399403640">
          <w:marLeft w:val="0"/>
          <w:marRight w:val="0"/>
          <w:marTop w:val="0"/>
          <w:marBottom w:val="0"/>
          <w:divBdr>
            <w:top w:val="none" w:sz="0" w:space="0" w:color="auto"/>
            <w:left w:val="none" w:sz="0" w:space="0" w:color="auto"/>
            <w:bottom w:val="none" w:sz="0" w:space="0" w:color="auto"/>
            <w:right w:val="none" w:sz="0" w:space="0" w:color="auto"/>
          </w:divBdr>
        </w:div>
        <w:div w:id="403845687">
          <w:marLeft w:val="0"/>
          <w:marRight w:val="0"/>
          <w:marTop w:val="0"/>
          <w:marBottom w:val="0"/>
          <w:divBdr>
            <w:top w:val="none" w:sz="0" w:space="0" w:color="auto"/>
            <w:left w:val="none" w:sz="0" w:space="0" w:color="auto"/>
            <w:bottom w:val="none" w:sz="0" w:space="0" w:color="auto"/>
            <w:right w:val="none" w:sz="0" w:space="0" w:color="auto"/>
          </w:divBdr>
        </w:div>
        <w:div w:id="408387565">
          <w:marLeft w:val="0"/>
          <w:marRight w:val="0"/>
          <w:marTop w:val="0"/>
          <w:marBottom w:val="0"/>
          <w:divBdr>
            <w:top w:val="none" w:sz="0" w:space="0" w:color="auto"/>
            <w:left w:val="none" w:sz="0" w:space="0" w:color="auto"/>
            <w:bottom w:val="none" w:sz="0" w:space="0" w:color="auto"/>
            <w:right w:val="none" w:sz="0" w:space="0" w:color="auto"/>
          </w:divBdr>
        </w:div>
        <w:div w:id="419302546">
          <w:marLeft w:val="0"/>
          <w:marRight w:val="0"/>
          <w:marTop w:val="0"/>
          <w:marBottom w:val="0"/>
          <w:divBdr>
            <w:top w:val="none" w:sz="0" w:space="0" w:color="auto"/>
            <w:left w:val="none" w:sz="0" w:space="0" w:color="auto"/>
            <w:bottom w:val="none" w:sz="0" w:space="0" w:color="auto"/>
            <w:right w:val="none" w:sz="0" w:space="0" w:color="auto"/>
          </w:divBdr>
        </w:div>
        <w:div w:id="432096583">
          <w:marLeft w:val="0"/>
          <w:marRight w:val="0"/>
          <w:marTop w:val="0"/>
          <w:marBottom w:val="0"/>
          <w:divBdr>
            <w:top w:val="none" w:sz="0" w:space="0" w:color="auto"/>
            <w:left w:val="none" w:sz="0" w:space="0" w:color="auto"/>
            <w:bottom w:val="none" w:sz="0" w:space="0" w:color="auto"/>
            <w:right w:val="none" w:sz="0" w:space="0" w:color="auto"/>
          </w:divBdr>
        </w:div>
        <w:div w:id="432751784">
          <w:marLeft w:val="0"/>
          <w:marRight w:val="0"/>
          <w:marTop w:val="0"/>
          <w:marBottom w:val="0"/>
          <w:divBdr>
            <w:top w:val="none" w:sz="0" w:space="0" w:color="auto"/>
            <w:left w:val="none" w:sz="0" w:space="0" w:color="auto"/>
            <w:bottom w:val="none" w:sz="0" w:space="0" w:color="auto"/>
            <w:right w:val="none" w:sz="0" w:space="0" w:color="auto"/>
          </w:divBdr>
        </w:div>
        <w:div w:id="435440631">
          <w:marLeft w:val="0"/>
          <w:marRight w:val="0"/>
          <w:marTop w:val="0"/>
          <w:marBottom w:val="0"/>
          <w:divBdr>
            <w:top w:val="none" w:sz="0" w:space="0" w:color="auto"/>
            <w:left w:val="none" w:sz="0" w:space="0" w:color="auto"/>
            <w:bottom w:val="none" w:sz="0" w:space="0" w:color="auto"/>
            <w:right w:val="none" w:sz="0" w:space="0" w:color="auto"/>
          </w:divBdr>
        </w:div>
        <w:div w:id="440884923">
          <w:marLeft w:val="0"/>
          <w:marRight w:val="0"/>
          <w:marTop w:val="0"/>
          <w:marBottom w:val="0"/>
          <w:divBdr>
            <w:top w:val="none" w:sz="0" w:space="0" w:color="auto"/>
            <w:left w:val="none" w:sz="0" w:space="0" w:color="auto"/>
            <w:bottom w:val="none" w:sz="0" w:space="0" w:color="auto"/>
            <w:right w:val="none" w:sz="0" w:space="0" w:color="auto"/>
          </w:divBdr>
        </w:div>
        <w:div w:id="443306447">
          <w:marLeft w:val="0"/>
          <w:marRight w:val="0"/>
          <w:marTop w:val="0"/>
          <w:marBottom w:val="0"/>
          <w:divBdr>
            <w:top w:val="none" w:sz="0" w:space="0" w:color="auto"/>
            <w:left w:val="none" w:sz="0" w:space="0" w:color="auto"/>
            <w:bottom w:val="none" w:sz="0" w:space="0" w:color="auto"/>
            <w:right w:val="none" w:sz="0" w:space="0" w:color="auto"/>
          </w:divBdr>
        </w:div>
        <w:div w:id="445733589">
          <w:marLeft w:val="0"/>
          <w:marRight w:val="0"/>
          <w:marTop w:val="0"/>
          <w:marBottom w:val="0"/>
          <w:divBdr>
            <w:top w:val="none" w:sz="0" w:space="0" w:color="auto"/>
            <w:left w:val="none" w:sz="0" w:space="0" w:color="auto"/>
            <w:bottom w:val="none" w:sz="0" w:space="0" w:color="auto"/>
            <w:right w:val="none" w:sz="0" w:space="0" w:color="auto"/>
          </w:divBdr>
        </w:div>
        <w:div w:id="505100217">
          <w:marLeft w:val="0"/>
          <w:marRight w:val="0"/>
          <w:marTop w:val="0"/>
          <w:marBottom w:val="0"/>
          <w:divBdr>
            <w:top w:val="none" w:sz="0" w:space="0" w:color="auto"/>
            <w:left w:val="none" w:sz="0" w:space="0" w:color="auto"/>
            <w:bottom w:val="none" w:sz="0" w:space="0" w:color="auto"/>
            <w:right w:val="none" w:sz="0" w:space="0" w:color="auto"/>
          </w:divBdr>
        </w:div>
        <w:div w:id="505436440">
          <w:marLeft w:val="0"/>
          <w:marRight w:val="0"/>
          <w:marTop w:val="0"/>
          <w:marBottom w:val="0"/>
          <w:divBdr>
            <w:top w:val="none" w:sz="0" w:space="0" w:color="auto"/>
            <w:left w:val="none" w:sz="0" w:space="0" w:color="auto"/>
            <w:bottom w:val="none" w:sz="0" w:space="0" w:color="auto"/>
            <w:right w:val="none" w:sz="0" w:space="0" w:color="auto"/>
          </w:divBdr>
        </w:div>
        <w:div w:id="519205378">
          <w:marLeft w:val="0"/>
          <w:marRight w:val="0"/>
          <w:marTop w:val="0"/>
          <w:marBottom w:val="0"/>
          <w:divBdr>
            <w:top w:val="none" w:sz="0" w:space="0" w:color="auto"/>
            <w:left w:val="none" w:sz="0" w:space="0" w:color="auto"/>
            <w:bottom w:val="none" w:sz="0" w:space="0" w:color="auto"/>
            <w:right w:val="none" w:sz="0" w:space="0" w:color="auto"/>
          </w:divBdr>
        </w:div>
        <w:div w:id="528417705">
          <w:marLeft w:val="0"/>
          <w:marRight w:val="0"/>
          <w:marTop w:val="0"/>
          <w:marBottom w:val="0"/>
          <w:divBdr>
            <w:top w:val="none" w:sz="0" w:space="0" w:color="auto"/>
            <w:left w:val="none" w:sz="0" w:space="0" w:color="auto"/>
            <w:bottom w:val="none" w:sz="0" w:space="0" w:color="auto"/>
            <w:right w:val="none" w:sz="0" w:space="0" w:color="auto"/>
          </w:divBdr>
        </w:div>
        <w:div w:id="550774075">
          <w:marLeft w:val="0"/>
          <w:marRight w:val="0"/>
          <w:marTop w:val="0"/>
          <w:marBottom w:val="0"/>
          <w:divBdr>
            <w:top w:val="none" w:sz="0" w:space="0" w:color="auto"/>
            <w:left w:val="none" w:sz="0" w:space="0" w:color="auto"/>
            <w:bottom w:val="none" w:sz="0" w:space="0" w:color="auto"/>
            <w:right w:val="none" w:sz="0" w:space="0" w:color="auto"/>
          </w:divBdr>
        </w:div>
        <w:div w:id="566381078">
          <w:marLeft w:val="0"/>
          <w:marRight w:val="0"/>
          <w:marTop w:val="0"/>
          <w:marBottom w:val="0"/>
          <w:divBdr>
            <w:top w:val="none" w:sz="0" w:space="0" w:color="auto"/>
            <w:left w:val="none" w:sz="0" w:space="0" w:color="auto"/>
            <w:bottom w:val="none" w:sz="0" w:space="0" w:color="auto"/>
            <w:right w:val="none" w:sz="0" w:space="0" w:color="auto"/>
          </w:divBdr>
        </w:div>
        <w:div w:id="570970902">
          <w:marLeft w:val="0"/>
          <w:marRight w:val="0"/>
          <w:marTop w:val="0"/>
          <w:marBottom w:val="0"/>
          <w:divBdr>
            <w:top w:val="none" w:sz="0" w:space="0" w:color="auto"/>
            <w:left w:val="none" w:sz="0" w:space="0" w:color="auto"/>
            <w:bottom w:val="none" w:sz="0" w:space="0" w:color="auto"/>
            <w:right w:val="none" w:sz="0" w:space="0" w:color="auto"/>
          </w:divBdr>
        </w:div>
        <w:div w:id="579296060">
          <w:marLeft w:val="0"/>
          <w:marRight w:val="0"/>
          <w:marTop w:val="0"/>
          <w:marBottom w:val="0"/>
          <w:divBdr>
            <w:top w:val="none" w:sz="0" w:space="0" w:color="auto"/>
            <w:left w:val="none" w:sz="0" w:space="0" w:color="auto"/>
            <w:bottom w:val="none" w:sz="0" w:space="0" w:color="auto"/>
            <w:right w:val="none" w:sz="0" w:space="0" w:color="auto"/>
          </w:divBdr>
        </w:div>
        <w:div w:id="584650661">
          <w:marLeft w:val="0"/>
          <w:marRight w:val="0"/>
          <w:marTop w:val="0"/>
          <w:marBottom w:val="0"/>
          <w:divBdr>
            <w:top w:val="none" w:sz="0" w:space="0" w:color="auto"/>
            <w:left w:val="none" w:sz="0" w:space="0" w:color="auto"/>
            <w:bottom w:val="none" w:sz="0" w:space="0" w:color="auto"/>
            <w:right w:val="none" w:sz="0" w:space="0" w:color="auto"/>
          </w:divBdr>
        </w:div>
        <w:div w:id="595872230">
          <w:marLeft w:val="0"/>
          <w:marRight w:val="0"/>
          <w:marTop w:val="0"/>
          <w:marBottom w:val="0"/>
          <w:divBdr>
            <w:top w:val="none" w:sz="0" w:space="0" w:color="auto"/>
            <w:left w:val="none" w:sz="0" w:space="0" w:color="auto"/>
            <w:bottom w:val="none" w:sz="0" w:space="0" w:color="auto"/>
            <w:right w:val="none" w:sz="0" w:space="0" w:color="auto"/>
          </w:divBdr>
        </w:div>
        <w:div w:id="600144745">
          <w:marLeft w:val="0"/>
          <w:marRight w:val="0"/>
          <w:marTop w:val="0"/>
          <w:marBottom w:val="0"/>
          <w:divBdr>
            <w:top w:val="none" w:sz="0" w:space="0" w:color="auto"/>
            <w:left w:val="none" w:sz="0" w:space="0" w:color="auto"/>
            <w:bottom w:val="none" w:sz="0" w:space="0" w:color="auto"/>
            <w:right w:val="none" w:sz="0" w:space="0" w:color="auto"/>
          </w:divBdr>
        </w:div>
        <w:div w:id="640380670">
          <w:marLeft w:val="0"/>
          <w:marRight w:val="0"/>
          <w:marTop w:val="0"/>
          <w:marBottom w:val="0"/>
          <w:divBdr>
            <w:top w:val="none" w:sz="0" w:space="0" w:color="auto"/>
            <w:left w:val="none" w:sz="0" w:space="0" w:color="auto"/>
            <w:bottom w:val="none" w:sz="0" w:space="0" w:color="auto"/>
            <w:right w:val="none" w:sz="0" w:space="0" w:color="auto"/>
          </w:divBdr>
        </w:div>
        <w:div w:id="667904052">
          <w:marLeft w:val="0"/>
          <w:marRight w:val="0"/>
          <w:marTop w:val="0"/>
          <w:marBottom w:val="0"/>
          <w:divBdr>
            <w:top w:val="none" w:sz="0" w:space="0" w:color="auto"/>
            <w:left w:val="none" w:sz="0" w:space="0" w:color="auto"/>
            <w:bottom w:val="none" w:sz="0" w:space="0" w:color="auto"/>
            <w:right w:val="none" w:sz="0" w:space="0" w:color="auto"/>
          </w:divBdr>
        </w:div>
        <w:div w:id="697123234">
          <w:marLeft w:val="0"/>
          <w:marRight w:val="0"/>
          <w:marTop w:val="0"/>
          <w:marBottom w:val="0"/>
          <w:divBdr>
            <w:top w:val="none" w:sz="0" w:space="0" w:color="auto"/>
            <w:left w:val="none" w:sz="0" w:space="0" w:color="auto"/>
            <w:bottom w:val="none" w:sz="0" w:space="0" w:color="auto"/>
            <w:right w:val="none" w:sz="0" w:space="0" w:color="auto"/>
          </w:divBdr>
        </w:div>
        <w:div w:id="706680623">
          <w:marLeft w:val="0"/>
          <w:marRight w:val="0"/>
          <w:marTop w:val="0"/>
          <w:marBottom w:val="0"/>
          <w:divBdr>
            <w:top w:val="none" w:sz="0" w:space="0" w:color="auto"/>
            <w:left w:val="none" w:sz="0" w:space="0" w:color="auto"/>
            <w:bottom w:val="none" w:sz="0" w:space="0" w:color="auto"/>
            <w:right w:val="none" w:sz="0" w:space="0" w:color="auto"/>
          </w:divBdr>
        </w:div>
        <w:div w:id="709767301">
          <w:marLeft w:val="0"/>
          <w:marRight w:val="0"/>
          <w:marTop w:val="0"/>
          <w:marBottom w:val="0"/>
          <w:divBdr>
            <w:top w:val="none" w:sz="0" w:space="0" w:color="auto"/>
            <w:left w:val="none" w:sz="0" w:space="0" w:color="auto"/>
            <w:bottom w:val="none" w:sz="0" w:space="0" w:color="auto"/>
            <w:right w:val="none" w:sz="0" w:space="0" w:color="auto"/>
          </w:divBdr>
        </w:div>
        <w:div w:id="720980913">
          <w:marLeft w:val="0"/>
          <w:marRight w:val="0"/>
          <w:marTop w:val="0"/>
          <w:marBottom w:val="0"/>
          <w:divBdr>
            <w:top w:val="none" w:sz="0" w:space="0" w:color="auto"/>
            <w:left w:val="none" w:sz="0" w:space="0" w:color="auto"/>
            <w:bottom w:val="none" w:sz="0" w:space="0" w:color="auto"/>
            <w:right w:val="none" w:sz="0" w:space="0" w:color="auto"/>
          </w:divBdr>
        </w:div>
        <w:div w:id="744110233">
          <w:marLeft w:val="0"/>
          <w:marRight w:val="0"/>
          <w:marTop w:val="0"/>
          <w:marBottom w:val="0"/>
          <w:divBdr>
            <w:top w:val="none" w:sz="0" w:space="0" w:color="auto"/>
            <w:left w:val="none" w:sz="0" w:space="0" w:color="auto"/>
            <w:bottom w:val="none" w:sz="0" w:space="0" w:color="auto"/>
            <w:right w:val="none" w:sz="0" w:space="0" w:color="auto"/>
          </w:divBdr>
        </w:div>
        <w:div w:id="759527149">
          <w:marLeft w:val="0"/>
          <w:marRight w:val="0"/>
          <w:marTop w:val="0"/>
          <w:marBottom w:val="0"/>
          <w:divBdr>
            <w:top w:val="none" w:sz="0" w:space="0" w:color="auto"/>
            <w:left w:val="none" w:sz="0" w:space="0" w:color="auto"/>
            <w:bottom w:val="none" w:sz="0" w:space="0" w:color="auto"/>
            <w:right w:val="none" w:sz="0" w:space="0" w:color="auto"/>
          </w:divBdr>
        </w:div>
        <w:div w:id="764957030">
          <w:marLeft w:val="0"/>
          <w:marRight w:val="0"/>
          <w:marTop w:val="0"/>
          <w:marBottom w:val="0"/>
          <w:divBdr>
            <w:top w:val="none" w:sz="0" w:space="0" w:color="auto"/>
            <w:left w:val="none" w:sz="0" w:space="0" w:color="auto"/>
            <w:bottom w:val="none" w:sz="0" w:space="0" w:color="auto"/>
            <w:right w:val="none" w:sz="0" w:space="0" w:color="auto"/>
          </w:divBdr>
        </w:div>
        <w:div w:id="772822168">
          <w:marLeft w:val="0"/>
          <w:marRight w:val="0"/>
          <w:marTop w:val="0"/>
          <w:marBottom w:val="0"/>
          <w:divBdr>
            <w:top w:val="none" w:sz="0" w:space="0" w:color="auto"/>
            <w:left w:val="none" w:sz="0" w:space="0" w:color="auto"/>
            <w:bottom w:val="none" w:sz="0" w:space="0" w:color="auto"/>
            <w:right w:val="none" w:sz="0" w:space="0" w:color="auto"/>
          </w:divBdr>
        </w:div>
        <w:div w:id="793257629">
          <w:marLeft w:val="0"/>
          <w:marRight w:val="0"/>
          <w:marTop w:val="0"/>
          <w:marBottom w:val="0"/>
          <w:divBdr>
            <w:top w:val="none" w:sz="0" w:space="0" w:color="auto"/>
            <w:left w:val="none" w:sz="0" w:space="0" w:color="auto"/>
            <w:bottom w:val="none" w:sz="0" w:space="0" w:color="auto"/>
            <w:right w:val="none" w:sz="0" w:space="0" w:color="auto"/>
          </w:divBdr>
        </w:div>
        <w:div w:id="798113973">
          <w:marLeft w:val="0"/>
          <w:marRight w:val="0"/>
          <w:marTop w:val="0"/>
          <w:marBottom w:val="0"/>
          <w:divBdr>
            <w:top w:val="none" w:sz="0" w:space="0" w:color="auto"/>
            <w:left w:val="none" w:sz="0" w:space="0" w:color="auto"/>
            <w:bottom w:val="none" w:sz="0" w:space="0" w:color="auto"/>
            <w:right w:val="none" w:sz="0" w:space="0" w:color="auto"/>
          </w:divBdr>
        </w:div>
        <w:div w:id="817913974">
          <w:marLeft w:val="0"/>
          <w:marRight w:val="0"/>
          <w:marTop w:val="0"/>
          <w:marBottom w:val="0"/>
          <w:divBdr>
            <w:top w:val="none" w:sz="0" w:space="0" w:color="auto"/>
            <w:left w:val="none" w:sz="0" w:space="0" w:color="auto"/>
            <w:bottom w:val="none" w:sz="0" w:space="0" w:color="auto"/>
            <w:right w:val="none" w:sz="0" w:space="0" w:color="auto"/>
          </w:divBdr>
        </w:div>
        <w:div w:id="831605383">
          <w:marLeft w:val="0"/>
          <w:marRight w:val="0"/>
          <w:marTop w:val="0"/>
          <w:marBottom w:val="0"/>
          <w:divBdr>
            <w:top w:val="none" w:sz="0" w:space="0" w:color="auto"/>
            <w:left w:val="none" w:sz="0" w:space="0" w:color="auto"/>
            <w:bottom w:val="none" w:sz="0" w:space="0" w:color="auto"/>
            <w:right w:val="none" w:sz="0" w:space="0" w:color="auto"/>
          </w:divBdr>
        </w:div>
        <w:div w:id="837499528">
          <w:marLeft w:val="0"/>
          <w:marRight w:val="0"/>
          <w:marTop w:val="0"/>
          <w:marBottom w:val="0"/>
          <w:divBdr>
            <w:top w:val="none" w:sz="0" w:space="0" w:color="auto"/>
            <w:left w:val="none" w:sz="0" w:space="0" w:color="auto"/>
            <w:bottom w:val="none" w:sz="0" w:space="0" w:color="auto"/>
            <w:right w:val="none" w:sz="0" w:space="0" w:color="auto"/>
          </w:divBdr>
        </w:div>
        <w:div w:id="852960130">
          <w:marLeft w:val="0"/>
          <w:marRight w:val="0"/>
          <w:marTop w:val="0"/>
          <w:marBottom w:val="0"/>
          <w:divBdr>
            <w:top w:val="none" w:sz="0" w:space="0" w:color="auto"/>
            <w:left w:val="none" w:sz="0" w:space="0" w:color="auto"/>
            <w:bottom w:val="none" w:sz="0" w:space="0" w:color="auto"/>
            <w:right w:val="none" w:sz="0" w:space="0" w:color="auto"/>
          </w:divBdr>
        </w:div>
        <w:div w:id="853036196">
          <w:marLeft w:val="0"/>
          <w:marRight w:val="0"/>
          <w:marTop w:val="0"/>
          <w:marBottom w:val="0"/>
          <w:divBdr>
            <w:top w:val="none" w:sz="0" w:space="0" w:color="auto"/>
            <w:left w:val="none" w:sz="0" w:space="0" w:color="auto"/>
            <w:bottom w:val="none" w:sz="0" w:space="0" w:color="auto"/>
            <w:right w:val="none" w:sz="0" w:space="0" w:color="auto"/>
          </w:divBdr>
        </w:div>
        <w:div w:id="859201313">
          <w:marLeft w:val="0"/>
          <w:marRight w:val="0"/>
          <w:marTop w:val="0"/>
          <w:marBottom w:val="0"/>
          <w:divBdr>
            <w:top w:val="none" w:sz="0" w:space="0" w:color="auto"/>
            <w:left w:val="none" w:sz="0" w:space="0" w:color="auto"/>
            <w:bottom w:val="none" w:sz="0" w:space="0" w:color="auto"/>
            <w:right w:val="none" w:sz="0" w:space="0" w:color="auto"/>
          </w:divBdr>
        </w:div>
        <w:div w:id="862137505">
          <w:marLeft w:val="0"/>
          <w:marRight w:val="0"/>
          <w:marTop w:val="0"/>
          <w:marBottom w:val="0"/>
          <w:divBdr>
            <w:top w:val="none" w:sz="0" w:space="0" w:color="auto"/>
            <w:left w:val="none" w:sz="0" w:space="0" w:color="auto"/>
            <w:bottom w:val="none" w:sz="0" w:space="0" w:color="auto"/>
            <w:right w:val="none" w:sz="0" w:space="0" w:color="auto"/>
          </w:divBdr>
        </w:div>
        <w:div w:id="869492523">
          <w:marLeft w:val="0"/>
          <w:marRight w:val="0"/>
          <w:marTop w:val="0"/>
          <w:marBottom w:val="0"/>
          <w:divBdr>
            <w:top w:val="none" w:sz="0" w:space="0" w:color="auto"/>
            <w:left w:val="none" w:sz="0" w:space="0" w:color="auto"/>
            <w:bottom w:val="none" w:sz="0" w:space="0" w:color="auto"/>
            <w:right w:val="none" w:sz="0" w:space="0" w:color="auto"/>
          </w:divBdr>
        </w:div>
        <w:div w:id="876624733">
          <w:marLeft w:val="0"/>
          <w:marRight w:val="0"/>
          <w:marTop w:val="0"/>
          <w:marBottom w:val="0"/>
          <w:divBdr>
            <w:top w:val="none" w:sz="0" w:space="0" w:color="auto"/>
            <w:left w:val="none" w:sz="0" w:space="0" w:color="auto"/>
            <w:bottom w:val="none" w:sz="0" w:space="0" w:color="auto"/>
            <w:right w:val="none" w:sz="0" w:space="0" w:color="auto"/>
          </w:divBdr>
        </w:div>
        <w:div w:id="890843634">
          <w:marLeft w:val="0"/>
          <w:marRight w:val="0"/>
          <w:marTop w:val="0"/>
          <w:marBottom w:val="0"/>
          <w:divBdr>
            <w:top w:val="none" w:sz="0" w:space="0" w:color="auto"/>
            <w:left w:val="none" w:sz="0" w:space="0" w:color="auto"/>
            <w:bottom w:val="none" w:sz="0" w:space="0" w:color="auto"/>
            <w:right w:val="none" w:sz="0" w:space="0" w:color="auto"/>
          </w:divBdr>
        </w:div>
        <w:div w:id="903415409">
          <w:marLeft w:val="0"/>
          <w:marRight w:val="0"/>
          <w:marTop w:val="0"/>
          <w:marBottom w:val="0"/>
          <w:divBdr>
            <w:top w:val="none" w:sz="0" w:space="0" w:color="auto"/>
            <w:left w:val="none" w:sz="0" w:space="0" w:color="auto"/>
            <w:bottom w:val="none" w:sz="0" w:space="0" w:color="auto"/>
            <w:right w:val="none" w:sz="0" w:space="0" w:color="auto"/>
          </w:divBdr>
        </w:div>
        <w:div w:id="935408621">
          <w:marLeft w:val="0"/>
          <w:marRight w:val="0"/>
          <w:marTop w:val="0"/>
          <w:marBottom w:val="0"/>
          <w:divBdr>
            <w:top w:val="none" w:sz="0" w:space="0" w:color="auto"/>
            <w:left w:val="none" w:sz="0" w:space="0" w:color="auto"/>
            <w:bottom w:val="none" w:sz="0" w:space="0" w:color="auto"/>
            <w:right w:val="none" w:sz="0" w:space="0" w:color="auto"/>
          </w:divBdr>
        </w:div>
        <w:div w:id="941256272">
          <w:marLeft w:val="0"/>
          <w:marRight w:val="0"/>
          <w:marTop w:val="0"/>
          <w:marBottom w:val="0"/>
          <w:divBdr>
            <w:top w:val="none" w:sz="0" w:space="0" w:color="auto"/>
            <w:left w:val="none" w:sz="0" w:space="0" w:color="auto"/>
            <w:bottom w:val="none" w:sz="0" w:space="0" w:color="auto"/>
            <w:right w:val="none" w:sz="0" w:space="0" w:color="auto"/>
          </w:divBdr>
        </w:div>
        <w:div w:id="959343228">
          <w:marLeft w:val="0"/>
          <w:marRight w:val="0"/>
          <w:marTop w:val="0"/>
          <w:marBottom w:val="0"/>
          <w:divBdr>
            <w:top w:val="none" w:sz="0" w:space="0" w:color="auto"/>
            <w:left w:val="none" w:sz="0" w:space="0" w:color="auto"/>
            <w:bottom w:val="none" w:sz="0" w:space="0" w:color="auto"/>
            <w:right w:val="none" w:sz="0" w:space="0" w:color="auto"/>
          </w:divBdr>
        </w:div>
        <w:div w:id="983006353">
          <w:marLeft w:val="0"/>
          <w:marRight w:val="0"/>
          <w:marTop w:val="0"/>
          <w:marBottom w:val="0"/>
          <w:divBdr>
            <w:top w:val="none" w:sz="0" w:space="0" w:color="auto"/>
            <w:left w:val="none" w:sz="0" w:space="0" w:color="auto"/>
            <w:bottom w:val="none" w:sz="0" w:space="0" w:color="auto"/>
            <w:right w:val="none" w:sz="0" w:space="0" w:color="auto"/>
          </w:divBdr>
        </w:div>
        <w:div w:id="1018852762">
          <w:marLeft w:val="0"/>
          <w:marRight w:val="0"/>
          <w:marTop w:val="0"/>
          <w:marBottom w:val="0"/>
          <w:divBdr>
            <w:top w:val="none" w:sz="0" w:space="0" w:color="auto"/>
            <w:left w:val="none" w:sz="0" w:space="0" w:color="auto"/>
            <w:bottom w:val="none" w:sz="0" w:space="0" w:color="auto"/>
            <w:right w:val="none" w:sz="0" w:space="0" w:color="auto"/>
          </w:divBdr>
        </w:div>
        <w:div w:id="1020813039">
          <w:marLeft w:val="0"/>
          <w:marRight w:val="0"/>
          <w:marTop w:val="0"/>
          <w:marBottom w:val="0"/>
          <w:divBdr>
            <w:top w:val="none" w:sz="0" w:space="0" w:color="auto"/>
            <w:left w:val="none" w:sz="0" w:space="0" w:color="auto"/>
            <w:bottom w:val="none" w:sz="0" w:space="0" w:color="auto"/>
            <w:right w:val="none" w:sz="0" w:space="0" w:color="auto"/>
          </w:divBdr>
        </w:div>
        <w:div w:id="1028867943">
          <w:marLeft w:val="0"/>
          <w:marRight w:val="0"/>
          <w:marTop w:val="0"/>
          <w:marBottom w:val="0"/>
          <w:divBdr>
            <w:top w:val="none" w:sz="0" w:space="0" w:color="auto"/>
            <w:left w:val="none" w:sz="0" w:space="0" w:color="auto"/>
            <w:bottom w:val="none" w:sz="0" w:space="0" w:color="auto"/>
            <w:right w:val="none" w:sz="0" w:space="0" w:color="auto"/>
          </w:divBdr>
        </w:div>
        <w:div w:id="1036930485">
          <w:marLeft w:val="0"/>
          <w:marRight w:val="0"/>
          <w:marTop w:val="0"/>
          <w:marBottom w:val="0"/>
          <w:divBdr>
            <w:top w:val="none" w:sz="0" w:space="0" w:color="auto"/>
            <w:left w:val="none" w:sz="0" w:space="0" w:color="auto"/>
            <w:bottom w:val="none" w:sz="0" w:space="0" w:color="auto"/>
            <w:right w:val="none" w:sz="0" w:space="0" w:color="auto"/>
          </w:divBdr>
        </w:div>
        <w:div w:id="1042290622">
          <w:marLeft w:val="0"/>
          <w:marRight w:val="0"/>
          <w:marTop w:val="0"/>
          <w:marBottom w:val="0"/>
          <w:divBdr>
            <w:top w:val="none" w:sz="0" w:space="0" w:color="auto"/>
            <w:left w:val="none" w:sz="0" w:space="0" w:color="auto"/>
            <w:bottom w:val="none" w:sz="0" w:space="0" w:color="auto"/>
            <w:right w:val="none" w:sz="0" w:space="0" w:color="auto"/>
          </w:divBdr>
        </w:div>
        <w:div w:id="1043555236">
          <w:marLeft w:val="0"/>
          <w:marRight w:val="0"/>
          <w:marTop w:val="0"/>
          <w:marBottom w:val="0"/>
          <w:divBdr>
            <w:top w:val="none" w:sz="0" w:space="0" w:color="auto"/>
            <w:left w:val="none" w:sz="0" w:space="0" w:color="auto"/>
            <w:bottom w:val="none" w:sz="0" w:space="0" w:color="auto"/>
            <w:right w:val="none" w:sz="0" w:space="0" w:color="auto"/>
          </w:divBdr>
        </w:div>
        <w:div w:id="1043990564">
          <w:marLeft w:val="0"/>
          <w:marRight w:val="0"/>
          <w:marTop w:val="0"/>
          <w:marBottom w:val="0"/>
          <w:divBdr>
            <w:top w:val="none" w:sz="0" w:space="0" w:color="auto"/>
            <w:left w:val="none" w:sz="0" w:space="0" w:color="auto"/>
            <w:bottom w:val="none" w:sz="0" w:space="0" w:color="auto"/>
            <w:right w:val="none" w:sz="0" w:space="0" w:color="auto"/>
          </w:divBdr>
        </w:div>
        <w:div w:id="1102607212">
          <w:marLeft w:val="0"/>
          <w:marRight w:val="0"/>
          <w:marTop w:val="0"/>
          <w:marBottom w:val="0"/>
          <w:divBdr>
            <w:top w:val="none" w:sz="0" w:space="0" w:color="auto"/>
            <w:left w:val="none" w:sz="0" w:space="0" w:color="auto"/>
            <w:bottom w:val="none" w:sz="0" w:space="0" w:color="auto"/>
            <w:right w:val="none" w:sz="0" w:space="0" w:color="auto"/>
          </w:divBdr>
        </w:div>
        <w:div w:id="1122186815">
          <w:marLeft w:val="0"/>
          <w:marRight w:val="0"/>
          <w:marTop w:val="0"/>
          <w:marBottom w:val="0"/>
          <w:divBdr>
            <w:top w:val="none" w:sz="0" w:space="0" w:color="auto"/>
            <w:left w:val="none" w:sz="0" w:space="0" w:color="auto"/>
            <w:bottom w:val="none" w:sz="0" w:space="0" w:color="auto"/>
            <w:right w:val="none" w:sz="0" w:space="0" w:color="auto"/>
          </w:divBdr>
        </w:div>
        <w:div w:id="1122454483">
          <w:marLeft w:val="0"/>
          <w:marRight w:val="0"/>
          <w:marTop w:val="0"/>
          <w:marBottom w:val="0"/>
          <w:divBdr>
            <w:top w:val="none" w:sz="0" w:space="0" w:color="auto"/>
            <w:left w:val="none" w:sz="0" w:space="0" w:color="auto"/>
            <w:bottom w:val="none" w:sz="0" w:space="0" w:color="auto"/>
            <w:right w:val="none" w:sz="0" w:space="0" w:color="auto"/>
          </w:divBdr>
        </w:div>
        <w:div w:id="1123764489">
          <w:marLeft w:val="0"/>
          <w:marRight w:val="0"/>
          <w:marTop w:val="0"/>
          <w:marBottom w:val="0"/>
          <w:divBdr>
            <w:top w:val="none" w:sz="0" w:space="0" w:color="auto"/>
            <w:left w:val="none" w:sz="0" w:space="0" w:color="auto"/>
            <w:bottom w:val="none" w:sz="0" w:space="0" w:color="auto"/>
            <w:right w:val="none" w:sz="0" w:space="0" w:color="auto"/>
          </w:divBdr>
        </w:div>
        <w:div w:id="1156338187">
          <w:marLeft w:val="0"/>
          <w:marRight w:val="0"/>
          <w:marTop w:val="0"/>
          <w:marBottom w:val="0"/>
          <w:divBdr>
            <w:top w:val="none" w:sz="0" w:space="0" w:color="auto"/>
            <w:left w:val="none" w:sz="0" w:space="0" w:color="auto"/>
            <w:bottom w:val="none" w:sz="0" w:space="0" w:color="auto"/>
            <w:right w:val="none" w:sz="0" w:space="0" w:color="auto"/>
          </w:divBdr>
        </w:div>
        <w:div w:id="1159887445">
          <w:marLeft w:val="0"/>
          <w:marRight w:val="0"/>
          <w:marTop w:val="0"/>
          <w:marBottom w:val="0"/>
          <w:divBdr>
            <w:top w:val="none" w:sz="0" w:space="0" w:color="auto"/>
            <w:left w:val="none" w:sz="0" w:space="0" w:color="auto"/>
            <w:bottom w:val="none" w:sz="0" w:space="0" w:color="auto"/>
            <w:right w:val="none" w:sz="0" w:space="0" w:color="auto"/>
          </w:divBdr>
        </w:div>
        <w:div w:id="1161769653">
          <w:marLeft w:val="0"/>
          <w:marRight w:val="0"/>
          <w:marTop w:val="0"/>
          <w:marBottom w:val="0"/>
          <w:divBdr>
            <w:top w:val="none" w:sz="0" w:space="0" w:color="auto"/>
            <w:left w:val="none" w:sz="0" w:space="0" w:color="auto"/>
            <w:bottom w:val="none" w:sz="0" w:space="0" w:color="auto"/>
            <w:right w:val="none" w:sz="0" w:space="0" w:color="auto"/>
          </w:divBdr>
        </w:div>
        <w:div w:id="1166818964">
          <w:marLeft w:val="0"/>
          <w:marRight w:val="0"/>
          <w:marTop w:val="0"/>
          <w:marBottom w:val="0"/>
          <w:divBdr>
            <w:top w:val="none" w:sz="0" w:space="0" w:color="auto"/>
            <w:left w:val="none" w:sz="0" w:space="0" w:color="auto"/>
            <w:bottom w:val="none" w:sz="0" w:space="0" w:color="auto"/>
            <w:right w:val="none" w:sz="0" w:space="0" w:color="auto"/>
          </w:divBdr>
        </w:div>
        <w:div w:id="1169371047">
          <w:marLeft w:val="0"/>
          <w:marRight w:val="0"/>
          <w:marTop w:val="0"/>
          <w:marBottom w:val="0"/>
          <w:divBdr>
            <w:top w:val="none" w:sz="0" w:space="0" w:color="auto"/>
            <w:left w:val="none" w:sz="0" w:space="0" w:color="auto"/>
            <w:bottom w:val="none" w:sz="0" w:space="0" w:color="auto"/>
            <w:right w:val="none" w:sz="0" w:space="0" w:color="auto"/>
          </w:divBdr>
        </w:div>
        <w:div w:id="1179542717">
          <w:marLeft w:val="0"/>
          <w:marRight w:val="0"/>
          <w:marTop w:val="0"/>
          <w:marBottom w:val="0"/>
          <w:divBdr>
            <w:top w:val="none" w:sz="0" w:space="0" w:color="auto"/>
            <w:left w:val="none" w:sz="0" w:space="0" w:color="auto"/>
            <w:bottom w:val="none" w:sz="0" w:space="0" w:color="auto"/>
            <w:right w:val="none" w:sz="0" w:space="0" w:color="auto"/>
          </w:divBdr>
        </w:div>
        <w:div w:id="1192500867">
          <w:marLeft w:val="0"/>
          <w:marRight w:val="0"/>
          <w:marTop w:val="0"/>
          <w:marBottom w:val="0"/>
          <w:divBdr>
            <w:top w:val="none" w:sz="0" w:space="0" w:color="auto"/>
            <w:left w:val="none" w:sz="0" w:space="0" w:color="auto"/>
            <w:bottom w:val="none" w:sz="0" w:space="0" w:color="auto"/>
            <w:right w:val="none" w:sz="0" w:space="0" w:color="auto"/>
          </w:divBdr>
        </w:div>
        <w:div w:id="1223827686">
          <w:marLeft w:val="0"/>
          <w:marRight w:val="0"/>
          <w:marTop w:val="0"/>
          <w:marBottom w:val="0"/>
          <w:divBdr>
            <w:top w:val="none" w:sz="0" w:space="0" w:color="auto"/>
            <w:left w:val="none" w:sz="0" w:space="0" w:color="auto"/>
            <w:bottom w:val="none" w:sz="0" w:space="0" w:color="auto"/>
            <w:right w:val="none" w:sz="0" w:space="0" w:color="auto"/>
          </w:divBdr>
        </w:div>
        <w:div w:id="1227107186">
          <w:marLeft w:val="0"/>
          <w:marRight w:val="0"/>
          <w:marTop w:val="0"/>
          <w:marBottom w:val="0"/>
          <w:divBdr>
            <w:top w:val="none" w:sz="0" w:space="0" w:color="auto"/>
            <w:left w:val="none" w:sz="0" w:space="0" w:color="auto"/>
            <w:bottom w:val="none" w:sz="0" w:space="0" w:color="auto"/>
            <w:right w:val="none" w:sz="0" w:space="0" w:color="auto"/>
          </w:divBdr>
        </w:div>
        <w:div w:id="1248535424">
          <w:marLeft w:val="0"/>
          <w:marRight w:val="0"/>
          <w:marTop w:val="0"/>
          <w:marBottom w:val="0"/>
          <w:divBdr>
            <w:top w:val="none" w:sz="0" w:space="0" w:color="auto"/>
            <w:left w:val="none" w:sz="0" w:space="0" w:color="auto"/>
            <w:bottom w:val="none" w:sz="0" w:space="0" w:color="auto"/>
            <w:right w:val="none" w:sz="0" w:space="0" w:color="auto"/>
          </w:divBdr>
        </w:div>
        <w:div w:id="1270312288">
          <w:marLeft w:val="0"/>
          <w:marRight w:val="0"/>
          <w:marTop w:val="0"/>
          <w:marBottom w:val="0"/>
          <w:divBdr>
            <w:top w:val="none" w:sz="0" w:space="0" w:color="auto"/>
            <w:left w:val="none" w:sz="0" w:space="0" w:color="auto"/>
            <w:bottom w:val="none" w:sz="0" w:space="0" w:color="auto"/>
            <w:right w:val="none" w:sz="0" w:space="0" w:color="auto"/>
          </w:divBdr>
        </w:div>
        <w:div w:id="1282148847">
          <w:marLeft w:val="0"/>
          <w:marRight w:val="0"/>
          <w:marTop w:val="0"/>
          <w:marBottom w:val="0"/>
          <w:divBdr>
            <w:top w:val="none" w:sz="0" w:space="0" w:color="auto"/>
            <w:left w:val="none" w:sz="0" w:space="0" w:color="auto"/>
            <w:bottom w:val="none" w:sz="0" w:space="0" w:color="auto"/>
            <w:right w:val="none" w:sz="0" w:space="0" w:color="auto"/>
          </w:divBdr>
        </w:div>
        <w:div w:id="1283147937">
          <w:marLeft w:val="0"/>
          <w:marRight w:val="0"/>
          <w:marTop w:val="0"/>
          <w:marBottom w:val="0"/>
          <w:divBdr>
            <w:top w:val="none" w:sz="0" w:space="0" w:color="auto"/>
            <w:left w:val="none" w:sz="0" w:space="0" w:color="auto"/>
            <w:bottom w:val="none" w:sz="0" w:space="0" w:color="auto"/>
            <w:right w:val="none" w:sz="0" w:space="0" w:color="auto"/>
          </w:divBdr>
        </w:div>
        <w:div w:id="1283925976">
          <w:marLeft w:val="0"/>
          <w:marRight w:val="0"/>
          <w:marTop w:val="0"/>
          <w:marBottom w:val="0"/>
          <w:divBdr>
            <w:top w:val="none" w:sz="0" w:space="0" w:color="auto"/>
            <w:left w:val="none" w:sz="0" w:space="0" w:color="auto"/>
            <w:bottom w:val="none" w:sz="0" w:space="0" w:color="auto"/>
            <w:right w:val="none" w:sz="0" w:space="0" w:color="auto"/>
          </w:divBdr>
        </w:div>
        <w:div w:id="1299262728">
          <w:marLeft w:val="0"/>
          <w:marRight w:val="0"/>
          <w:marTop w:val="0"/>
          <w:marBottom w:val="0"/>
          <w:divBdr>
            <w:top w:val="none" w:sz="0" w:space="0" w:color="auto"/>
            <w:left w:val="none" w:sz="0" w:space="0" w:color="auto"/>
            <w:bottom w:val="none" w:sz="0" w:space="0" w:color="auto"/>
            <w:right w:val="none" w:sz="0" w:space="0" w:color="auto"/>
          </w:divBdr>
        </w:div>
        <w:div w:id="1320235664">
          <w:marLeft w:val="0"/>
          <w:marRight w:val="0"/>
          <w:marTop w:val="0"/>
          <w:marBottom w:val="0"/>
          <w:divBdr>
            <w:top w:val="none" w:sz="0" w:space="0" w:color="auto"/>
            <w:left w:val="none" w:sz="0" w:space="0" w:color="auto"/>
            <w:bottom w:val="none" w:sz="0" w:space="0" w:color="auto"/>
            <w:right w:val="none" w:sz="0" w:space="0" w:color="auto"/>
          </w:divBdr>
        </w:div>
        <w:div w:id="1322852263">
          <w:marLeft w:val="0"/>
          <w:marRight w:val="0"/>
          <w:marTop w:val="0"/>
          <w:marBottom w:val="0"/>
          <w:divBdr>
            <w:top w:val="none" w:sz="0" w:space="0" w:color="auto"/>
            <w:left w:val="none" w:sz="0" w:space="0" w:color="auto"/>
            <w:bottom w:val="none" w:sz="0" w:space="0" w:color="auto"/>
            <w:right w:val="none" w:sz="0" w:space="0" w:color="auto"/>
          </w:divBdr>
        </w:div>
        <w:div w:id="1335494763">
          <w:marLeft w:val="0"/>
          <w:marRight w:val="0"/>
          <w:marTop w:val="0"/>
          <w:marBottom w:val="0"/>
          <w:divBdr>
            <w:top w:val="none" w:sz="0" w:space="0" w:color="auto"/>
            <w:left w:val="none" w:sz="0" w:space="0" w:color="auto"/>
            <w:bottom w:val="none" w:sz="0" w:space="0" w:color="auto"/>
            <w:right w:val="none" w:sz="0" w:space="0" w:color="auto"/>
          </w:divBdr>
        </w:div>
        <w:div w:id="1343891720">
          <w:marLeft w:val="0"/>
          <w:marRight w:val="0"/>
          <w:marTop w:val="0"/>
          <w:marBottom w:val="0"/>
          <w:divBdr>
            <w:top w:val="none" w:sz="0" w:space="0" w:color="auto"/>
            <w:left w:val="none" w:sz="0" w:space="0" w:color="auto"/>
            <w:bottom w:val="none" w:sz="0" w:space="0" w:color="auto"/>
            <w:right w:val="none" w:sz="0" w:space="0" w:color="auto"/>
          </w:divBdr>
        </w:div>
        <w:div w:id="1356344312">
          <w:marLeft w:val="0"/>
          <w:marRight w:val="0"/>
          <w:marTop w:val="0"/>
          <w:marBottom w:val="0"/>
          <w:divBdr>
            <w:top w:val="none" w:sz="0" w:space="0" w:color="auto"/>
            <w:left w:val="none" w:sz="0" w:space="0" w:color="auto"/>
            <w:bottom w:val="none" w:sz="0" w:space="0" w:color="auto"/>
            <w:right w:val="none" w:sz="0" w:space="0" w:color="auto"/>
          </w:divBdr>
        </w:div>
        <w:div w:id="1364208823">
          <w:marLeft w:val="0"/>
          <w:marRight w:val="0"/>
          <w:marTop w:val="0"/>
          <w:marBottom w:val="0"/>
          <w:divBdr>
            <w:top w:val="none" w:sz="0" w:space="0" w:color="auto"/>
            <w:left w:val="none" w:sz="0" w:space="0" w:color="auto"/>
            <w:bottom w:val="none" w:sz="0" w:space="0" w:color="auto"/>
            <w:right w:val="none" w:sz="0" w:space="0" w:color="auto"/>
          </w:divBdr>
        </w:div>
        <w:div w:id="1414008678">
          <w:marLeft w:val="0"/>
          <w:marRight w:val="0"/>
          <w:marTop w:val="0"/>
          <w:marBottom w:val="0"/>
          <w:divBdr>
            <w:top w:val="none" w:sz="0" w:space="0" w:color="auto"/>
            <w:left w:val="none" w:sz="0" w:space="0" w:color="auto"/>
            <w:bottom w:val="none" w:sz="0" w:space="0" w:color="auto"/>
            <w:right w:val="none" w:sz="0" w:space="0" w:color="auto"/>
          </w:divBdr>
        </w:div>
        <w:div w:id="1419642819">
          <w:marLeft w:val="0"/>
          <w:marRight w:val="0"/>
          <w:marTop w:val="0"/>
          <w:marBottom w:val="0"/>
          <w:divBdr>
            <w:top w:val="none" w:sz="0" w:space="0" w:color="auto"/>
            <w:left w:val="none" w:sz="0" w:space="0" w:color="auto"/>
            <w:bottom w:val="none" w:sz="0" w:space="0" w:color="auto"/>
            <w:right w:val="none" w:sz="0" w:space="0" w:color="auto"/>
          </w:divBdr>
        </w:div>
        <w:div w:id="1425372877">
          <w:marLeft w:val="0"/>
          <w:marRight w:val="0"/>
          <w:marTop w:val="0"/>
          <w:marBottom w:val="0"/>
          <w:divBdr>
            <w:top w:val="none" w:sz="0" w:space="0" w:color="auto"/>
            <w:left w:val="none" w:sz="0" w:space="0" w:color="auto"/>
            <w:bottom w:val="none" w:sz="0" w:space="0" w:color="auto"/>
            <w:right w:val="none" w:sz="0" w:space="0" w:color="auto"/>
          </w:divBdr>
        </w:div>
        <w:div w:id="1439180053">
          <w:marLeft w:val="0"/>
          <w:marRight w:val="0"/>
          <w:marTop w:val="0"/>
          <w:marBottom w:val="0"/>
          <w:divBdr>
            <w:top w:val="none" w:sz="0" w:space="0" w:color="auto"/>
            <w:left w:val="none" w:sz="0" w:space="0" w:color="auto"/>
            <w:bottom w:val="none" w:sz="0" w:space="0" w:color="auto"/>
            <w:right w:val="none" w:sz="0" w:space="0" w:color="auto"/>
          </w:divBdr>
        </w:div>
        <w:div w:id="1450275918">
          <w:marLeft w:val="0"/>
          <w:marRight w:val="0"/>
          <w:marTop w:val="0"/>
          <w:marBottom w:val="0"/>
          <w:divBdr>
            <w:top w:val="none" w:sz="0" w:space="0" w:color="auto"/>
            <w:left w:val="none" w:sz="0" w:space="0" w:color="auto"/>
            <w:bottom w:val="none" w:sz="0" w:space="0" w:color="auto"/>
            <w:right w:val="none" w:sz="0" w:space="0" w:color="auto"/>
          </w:divBdr>
        </w:div>
        <w:div w:id="1450930182">
          <w:marLeft w:val="0"/>
          <w:marRight w:val="0"/>
          <w:marTop w:val="0"/>
          <w:marBottom w:val="0"/>
          <w:divBdr>
            <w:top w:val="none" w:sz="0" w:space="0" w:color="auto"/>
            <w:left w:val="none" w:sz="0" w:space="0" w:color="auto"/>
            <w:bottom w:val="none" w:sz="0" w:space="0" w:color="auto"/>
            <w:right w:val="none" w:sz="0" w:space="0" w:color="auto"/>
          </w:divBdr>
        </w:div>
        <w:div w:id="1453288323">
          <w:marLeft w:val="0"/>
          <w:marRight w:val="0"/>
          <w:marTop w:val="0"/>
          <w:marBottom w:val="0"/>
          <w:divBdr>
            <w:top w:val="none" w:sz="0" w:space="0" w:color="auto"/>
            <w:left w:val="none" w:sz="0" w:space="0" w:color="auto"/>
            <w:bottom w:val="none" w:sz="0" w:space="0" w:color="auto"/>
            <w:right w:val="none" w:sz="0" w:space="0" w:color="auto"/>
          </w:divBdr>
        </w:div>
        <w:div w:id="1456607492">
          <w:marLeft w:val="0"/>
          <w:marRight w:val="0"/>
          <w:marTop w:val="0"/>
          <w:marBottom w:val="0"/>
          <w:divBdr>
            <w:top w:val="none" w:sz="0" w:space="0" w:color="auto"/>
            <w:left w:val="none" w:sz="0" w:space="0" w:color="auto"/>
            <w:bottom w:val="none" w:sz="0" w:space="0" w:color="auto"/>
            <w:right w:val="none" w:sz="0" w:space="0" w:color="auto"/>
          </w:divBdr>
        </w:div>
        <w:div w:id="1457870807">
          <w:marLeft w:val="0"/>
          <w:marRight w:val="0"/>
          <w:marTop w:val="0"/>
          <w:marBottom w:val="0"/>
          <w:divBdr>
            <w:top w:val="none" w:sz="0" w:space="0" w:color="auto"/>
            <w:left w:val="none" w:sz="0" w:space="0" w:color="auto"/>
            <w:bottom w:val="none" w:sz="0" w:space="0" w:color="auto"/>
            <w:right w:val="none" w:sz="0" w:space="0" w:color="auto"/>
          </w:divBdr>
        </w:div>
        <w:div w:id="1465540732">
          <w:marLeft w:val="0"/>
          <w:marRight w:val="0"/>
          <w:marTop w:val="0"/>
          <w:marBottom w:val="0"/>
          <w:divBdr>
            <w:top w:val="none" w:sz="0" w:space="0" w:color="auto"/>
            <w:left w:val="none" w:sz="0" w:space="0" w:color="auto"/>
            <w:bottom w:val="none" w:sz="0" w:space="0" w:color="auto"/>
            <w:right w:val="none" w:sz="0" w:space="0" w:color="auto"/>
          </w:divBdr>
        </w:div>
        <w:div w:id="1474639158">
          <w:marLeft w:val="0"/>
          <w:marRight w:val="0"/>
          <w:marTop w:val="0"/>
          <w:marBottom w:val="0"/>
          <w:divBdr>
            <w:top w:val="none" w:sz="0" w:space="0" w:color="auto"/>
            <w:left w:val="none" w:sz="0" w:space="0" w:color="auto"/>
            <w:bottom w:val="none" w:sz="0" w:space="0" w:color="auto"/>
            <w:right w:val="none" w:sz="0" w:space="0" w:color="auto"/>
          </w:divBdr>
        </w:div>
        <w:div w:id="1482818004">
          <w:marLeft w:val="0"/>
          <w:marRight w:val="0"/>
          <w:marTop w:val="0"/>
          <w:marBottom w:val="0"/>
          <w:divBdr>
            <w:top w:val="none" w:sz="0" w:space="0" w:color="auto"/>
            <w:left w:val="none" w:sz="0" w:space="0" w:color="auto"/>
            <w:bottom w:val="none" w:sz="0" w:space="0" w:color="auto"/>
            <w:right w:val="none" w:sz="0" w:space="0" w:color="auto"/>
          </w:divBdr>
        </w:div>
        <w:div w:id="1505246985">
          <w:marLeft w:val="0"/>
          <w:marRight w:val="0"/>
          <w:marTop w:val="0"/>
          <w:marBottom w:val="0"/>
          <w:divBdr>
            <w:top w:val="none" w:sz="0" w:space="0" w:color="auto"/>
            <w:left w:val="none" w:sz="0" w:space="0" w:color="auto"/>
            <w:bottom w:val="none" w:sz="0" w:space="0" w:color="auto"/>
            <w:right w:val="none" w:sz="0" w:space="0" w:color="auto"/>
          </w:divBdr>
        </w:div>
        <w:div w:id="1509176471">
          <w:marLeft w:val="0"/>
          <w:marRight w:val="0"/>
          <w:marTop w:val="0"/>
          <w:marBottom w:val="0"/>
          <w:divBdr>
            <w:top w:val="none" w:sz="0" w:space="0" w:color="auto"/>
            <w:left w:val="none" w:sz="0" w:space="0" w:color="auto"/>
            <w:bottom w:val="none" w:sz="0" w:space="0" w:color="auto"/>
            <w:right w:val="none" w:sz="0" w:space="0" w:color="auto"/>
          </w:divBdr>
        </w:div>
        <w:div w:id="1564674911">
          <w:marLeft w:val="0"/>
          <w:marRight w:val="0"/>
          <w:marTop w:val="0"/>
          <w:marBottom w:val="0"/>
          <w:divBdr>
            <w:top w:val="none" w:sz="0" w:space="0" w:color="auto"/>
            <w:left w:val="none" w:sz="0" w:space="0" w:color="auto"/>
            <w:bottom w:val="none" w:sz="0" w:space="0" w:color="auto"/>
            <w:right w:val="none" w:sz="0" w:space="0" w:color="auto"/>
          </w:divBdr>
        </w:div>
        <w:div w:id="1600869009">
          <w:marLeft w:val="0"/>
          <w:marRight w:val="0"/>
          <w:marTop w:val="0"/>
          <w:marBottom w:val="0"/>
          <w:divBdr>
            <w:top w:val="none" w:sz="0" w:space="0" w:color="auto"/>
            <w:left w:val="none" w:sz="0" w:space="0" w:color="auto"/>
            <w:bottom w:val="none" w:sz="0" w:space="0" w:color="auto"/>
            <w:right w:val="none" w:sz="0" w:space="0" w:color="auto"/>
          </w:divBdr>
        </w:div>
        <w:div w:id="1614748303">
          <w:marLeft w:val="0"/>
          <w:marRight w:val="0"/>
          <w:marTop w:val="0"/>
          <w:marBottom w:val="0"/>
          <w:divBdr>
            <w:top w:val="none" w:sz="0" w:space="0" w:color="auto"/>
            <w:left w:val="none" w:sz="0" w:space="0" w:color="auto"/>
            <w:bottom w:val="none" w:sz="0" w:space="0" w:color="auto"/>
            <w:right w:val="none" w:sz="0" w:space="0" w:color="auto"/>
          </w:divBdr>
        </w:div>
        <w:div w:id="1637299446">
          <w:marLeft w:val="0"/>
          <w:marRight w:val="0"/>
          <w:marTop w:val="0"/>
          <w:marBottom w:val="0"/>
          <w:divBdr>
            <w:top w:val="none" w:sz="0" w:space="0" w:color="auto"/>
            <w:left w:val="none" w:sz="0" w:space="0" w:color="auto"/>
            <w:bottom w:val="none" w:sz="0" w:space="0" w:color="auto"/>
            <w:right w:val="none" w:sz="0" w:space="0" w:color="auto"/>
          </w:divBdr>
        </w:div>
        <w:div w:id="1646474181">
          <w:marLeft w:val="0"/>
          <w:marRight w:val="0"/>
          <w:marTop w:val="0"/>
          <w:marBottom w:val="0"/>
          <w:divBdr>
            <w:top w:val="none" w:sz="0" w:space="0" w:color="auto"/>
            <w:left w:val="none" w:sz="0" w:space="0" w:color="auto"/>
            <w:bottom w:val="none" w:sz="0" w:space="0" w:color="auto"/>
            <w:right w:val="none" w:sz="0" w:space="0" w:color="auto"/>
          </w:divBdr>
        </w:div>
        <w:div w:id="1660111417">
          <w:marLeft w:val="0"/>
          <w:marRight w:val="0"/>
          <w:marTop w:val="0"/>
          <w:marBottom w:val="0"/>
          <w:divBdr>
            <w:top w:val="none" w:sz="0" w:space="0" w:color="auto"/>
            <w:left w:val="none" w:sz="0" w:space="0" w:color="auto"/>
            <w:bottom w:val="none" w:sz="0" w:space="0" w:color="auto"/>
            <w:right w:val="none" w:sz="0" w:space="0" w:color="auto"/>
          </w:divBdr>
        </w:div>
        <w:div w:id="1667902005">
          <w:marLeft w:val="0"/>
          <w:marRight w:val="0"/>
          <w:marTop w:val="0"/>
          <w:marBottom w:val="0"/>
          <w:divBdr>
            <w:top w:val="none" w:sz="0" w:space="0" w:color="auto"/>
            <w:left w:val="none" w:sz="0" w:space="0" w:color="auto"/>
            <w:bottom w:val="none" w:sz="0" w:space="0" w:color="auto"/>
            <w:right w:val="none" w:sz="0" w:space="0" w:color="auto"/>
          </w:divBdr>
        </w:div>
        <w:div w:id="1668442878">
          <w:marLeft w:val="0"/>
          <w:marRight w:val="0"/>
          <w:marTop w:val="0"/>
          <w:marBottom w:val="0"/>
          <w:divBdr>
            <w:top w:val="none" w:sz="0" w:space="0" w:color="auto"/>
            <w:left w:val="none" w:sz="0" w:space="0" w:color="auto"/>
            <w:bottom w:val="none" w:sz="0" w:space="0" w:color="auto"/>
            <w:right w:val="none" w:sz="0" w:space="0" w:color="auto"/>
          </w:divBdr>
        </w:div>
        <w:div w:id="1670253039">
          <w:marLeft w:val="0"/>
          <w:marRight w:val="0"/>
          <w:marTop w:val="0"/>
          <w:marBottom w:val="0"/>
          <w:divBdr>
            <w:top w:val="none" w:sz="0" w:space="0" w:color="auto"/>
            <w:left w:val="none" w:sz="0" w:space="0" w:color="auto"/>
            <w:bottom w:val="none" w:sz="0" w:space="0" w:color="auto"/>
            <w:right w:val="none" w:sz="0" w:space="0" w:color="auto"/>
          </w:divBdr>
        </w:div>
        <w:div w:id="1670327774">
          <w:marLeft w:val="0"/>
          <w:marRight w:val="0"/>
          <w:marTop w:val="0"/>
          <w:marBottom w:val="0"/>
          <w:divBdr>
            <w:top w:val="none" w:sz="0" w:space="0" w:color="auto"/>
            <w:left w:val="none" w:sz="0" w:space="0" w:color="auto"/>
            <w:bottom w:val="none" w:sz="0" w:space="0" w:color="auto"/>
            <w:right w:val="none" w:sz="0" w:space="0" w:color="auto"/>
          </w:divBdr>
        </w:div>
        <w:div w:id="1677687073">
          <w:marLeft w:val="0"/>
          <w:marRight w:val="0"/>
          <w:marTop w:val="0"/>
          <w:marBottom w:val="0"/>
          <w:divBdr>
            <w:top w:val="none" w:sz="0" w:space="0" w:color="auto"/>
            <w:left w:val="none" w:sz="0" w:space="0" w:color="auto"/>
            <w:bottom w:val="none" w:sz="0" w:space="0" w:color="auto"/>
            <w:right w:val="none" w:sz="0" w:space="0" w:color="auto"/>
          </w:divBdr>
        </w:div>
        <w:div w:id="1728648204">
          <w:marLeft w:val="0"/>
          <w:marRight w:val="0"/>
          <w:marTop w:val="0"/>
          <w:marBottom w:val="0"/>
          <w:divBdr>
            <w:top w:val="none" w:sz="0" w:space="0" w:color="auto"/>
            <w:left w:val="none" w:sz="0" w:space="0" w:color="auto"/>
            <w:bottom w:val="none" w:sz="0" w:space="0" w:color="auto"/>
            <w:right w:val="none" w:sz="0" w:space="0" w:color="auto"/>
          </w:divBdr>
        </w:div>
        <w:div w:id="1732116501">
          <w:marLeft w:val="0"/>
          <w:marRight w:val="0"/>
          <w:marTop w:val="0"/>
          <w:marBottom w:val="0"/>
          <w:divBdr>
            <w:top w:val="none" w:sz="0" w:space="0" w:color="auto"/>
            <w:left w:val="none" w:sz="0" w:space="0" w:color="auto"/>
            <w:bottom w:val="none" w:sz="0" w:space="0" w:color="auto"/>
            <w:right w:val="none" w:sz="0" w:space="0" w:color="auto"/>
          </w:divBdr>
        </w:div>
        <w:div w:id="1739478309">
          <w:marLeft w:val="0"/>
          <w:marRight w:val="0"/>
          <w:marTop w:val="0"/>
          <w:marBottom w:val="0"/>
          <w:divBdr>
            <w:top w:val="none" w:sz="0" w:space="0" w:color="auto"/>
            <w:left w:val="none" w:sz="0" w:space="0" w:color="auto"/>
            <w:bottom w:val="none" w:sz="0" w:space="0" w:color="auto"/>
            <w:right w:val="none" w:sz="0" w:space="0" w:color="auto"/>
          </w:divBdr>
        </w:div>
        <w:div w:id="1758359237">
          <w:marLeft w:val="0"/>
          <w:marRight w:val="0"/>
          <w:marTop w:val="0"/>
          <w:marBottom w:val="0"/>
          <w:divBdr>
            <w:top w:val="none" w:sz="0" w:space="0" w:color="auto"/>
            <w:left w:val="none" w:sz="0" w:space="0" w:color="auto"/>
            <w:bottom w:val="none" w:sz="0" w:space="0" w:color="auto"/>
            <w:right w:val="none" w:sz="0" w:space="0" w:color="auto"/>
          </w:divBdr>
        </w:div>
        <w:div w:id="1762529644">
          <w:marLeft w:val="0"/>
          <w:marRight w:val="0"/>
          <w:marTop w:val="0"/>
          <w:marBottom w:val="0"/>
          <w:divBdr>
            <w:top w:val="none" w:sz="0" w:space="0" w:color="auto"/>
            <w:left w:val="none" w:sz="0" w:space="0" w:color="auto"/>
            <w:bottom w:val="none" w:sz="0" w:space="0" w:color="auto"/>
            <w:right w:val="none" w:sz="0" w:space="0" w:color="auto"/>
          </w:divBdr>
        </w:div>
        <w:div w:id="1773820612">
          <w:marLeft w:val="0"/>
          <w:marRight w:val="0"/>
          <w:marTop w:val="0"/>
          <w:marBottom w:val="0"/>
          <w:divBdr>
            <w:top w:val="none" w:sz="0" w:space="0" w:color="auto"/>
            <w:left w:val="none" w:sz="0" w:space="0" w:color="auto"/>
            <w:bottom w:val="none" w:sz="0" w:space="0" w:color="auto"/>
            <w:right w:val="none" w:sz="0" w:space="0" w:color="auto"/>
          </w:divBdr>
        </w:div>
        <w:div w:id="1776166899">
          <w:marLeft w:val="0"/>
          <w:marRight w:val="0"/>
          <w:marTop w:val="0"/>
          <w:marBottom w:val="0"/>
          <w:divBdr>
            <w:top w:val="none" w:sz="0" w:space="0" w:color="auto"/>
            <w:left w:val="none" w:sz="0" w:space="0" w:color="auto"/>
            <w:bottom w:val="none" w:sz="0" w:space="0" w:color="auto"/>
            <w:right w:val="none" w:sz="0" w:space="0" w:color="auto"/>
          </w:divBdr>
        </w:div>
        <w:div w:id="1795949639">
          <w:marLeft w:val="0"/>
          <w:marRight w:val="0"/>
          <w:marTop w:val="0"/>
          <w:marBottom w:val="0"/>
          <w:divBdr>
            <w:top w:val="none" w:sz="0" w:space="0" w:color="auto"/>
            <w:left w:val="none" w:sz="0" w:space="0" w:color="auto"/>
            <w:bottom w:val="none" w:sz="0" w:space="0" w:color="auto"/>
            <w:right w:val="none" w:sz="0" w:space="0" w:color="auto"/>
          </w:divBdr>
        </w:div>
        <w:div w:id="1813018846">
          <w:marLeft w:val="0"/>
          <w:marRight w:val="0"/>
          <w:marTop w:val="0"/>
          <w:marBottom w:val="0"/>
          <w:divBdr>
            <w:top w:val="none" w:sz="0" w:space="0" w:color="auto"/>
            <w:left w:val="none" w:sz="0" w:space="0" w:color="auto"/>
            <w:bottom w:val="none" w:sz="0" w:space="0" w:color="auto"/>
            <w:right w:val="none" w:sz="0" w:space="0" w:color="auto"/>
          </w:divBdr>
        </w:div>
        <w:div w:id="1820221996">
          <w:marLeft w:val="0"/>
          <w:marRight w:val="0"/>
          <w:marTop w:val="0"/>
          <w:marBottom w:val="0"/>
          <w:divBdr>
            <w:top w:val="none" w:sz="0" w:space="0" w:color="auto"/>
            <w:left w:val="none" w:sz="0" w:space="0" w:color="auto"/>
            <w:bottom w:val="none" w:sz="0" w:space="0" w:color="auto"/>
            <w:right w:val="none" w:sz="0" w:space="0" w:color="auto"/>
          </w:divBdr>
        </w:div>
        <w:div w:id="1836647960">
          <w:marLeft w:val="0"/>
          <w:marRight w:val="0"/>
          <w:marTop w:val="0"/>
          <w:marBottom w:val="0"/>
          <w:divBdr>
            <w:top w:val="none" w:sz="0" w:space="0" w:color="auto"/>
            <w:left w:val="none" w:sz="0" w:space="0" w:color="auto"/>
            <w:bottom w:val="none" w:sz="0" w:space="0" w:color="auto"/>
            <w:right w:val="none" w:sz="0" w:space="0" w:color="auto"/>
          </w:divBdr>
        </w:div>
        <w:div w:id="1860653936">
          <w:marLeft w:val="0"/>
          <w:marRight w:val="0"/>
          <w:marTop w:val="0"/>
          <w:marBottom w:val="0"/>
          <w:divBdr>
            <w:top w:val="none" w:sz="0" w:space="0" w:color="auto"/>
            <w:left w:val="none" w:sz="0" w:space="0" w:color="auto"/>
            <w:bottom w:val="none" w:sz="0" w:space="0" w:color="auto"/>
            <w:right w:val="none" w:sz="0" w:space="0" w:color="auto"/>
          </w:divBdr>
        </w:div>
        <w:div w:id="1870410640">
          <w:marLeft w:val="0"/>
          <w:marRight w:val="0"/>
          <w:marTop w:val="0"/>
          <w:marBottom w:val="0"/>
          <w:divBdr>
            <w:top w:val="none" w:sz="0" w:space="0" w:color="auto"/>
            <w:left w:val="none" w:sz="0" w:space="0" w:color="auto"/>
            <w:bottom w:val="none" w:sz="0" w:space="0" w:color="auto"/>
            <w:right w:val="none" w:sz="0" w:space="0" w:color="auto"/>
          </w:divBdr>
        </w:div>
        <w:div w:id="1898321421">
          <w:marLeft w:val="0"/>
          <w:marRight w:val="0"/>
          <w:marTop w:val="0"/>
          <w:marBottom w:val="0"/>
          <w:divBdr>
            <w:top w:val="none" w:sz="0" w:space="0" w:color="auto"/>
            <w:left w:val="none" w:sz="0" w:space="0" w:color="auto"/>
            <w:bottom w:val="none" w:sz="0" w:space="0" w:color="auto"/>
            <w:right w:val="none" w:sz="0" w:space="0" w:color="auto"/>
          </w:divBdr>
        </w:div>
        <w:div w:id="1898734768">
          <w:marLeft w:val="0"/>
          <w:marRight w:val="0"/>
          <w:marTop w:val="0"/>
          <w:marBottom w:val="0"/>
          <w:divBdr>
            <w:top w:val="none" w:sz="0" w:space="0" w:color="auto"/>
            <w:left w:val="none" w:sz="0" w:space="0" w:color="auto"/>
            <w:bottom w:val="none" w:sz="0" w:space="0" w:color="auto"/>
            <w:right w:val="none" w:sz="0" w:space="0" w:color="auto"/>
          </w:divBdr>
        </w:div>
        <w:div w:id="1920014588">
          <w:marLeft w:val="0"/>
          <w:marRight w:val="0"/>
          <w:marTop w:val="0"/>
          <w:marBottom w:val="0"/>
          <w:divBdr>
            <w:top w:val="none" w:sz="0" w:space="0" w:color="auto"/>
            <w:left w:val="none" w:sz="0" w:space="0" w:color="auto"/>
            <w:bottom w:val="none" w:sz="0" w:space="0" w:color="auto"/>
            <w:right w:val="none" w:sz="0" w:space="0" w:color="auto"/>
          </w:divBdr>
        </w:div>
        <w:div w:id="1945109048">
          <w:marLeft w:val="0"/>
          <w:marRight w:val="0"/>
          <w:marTop w:val="0"/>
          <w:marBottom w:val="0"/>
          <w:divBdr>
            <w:top w:val="none" w:sz="0" w:space="0" w:color="auto"/>
            <w:left w:val="none" w:sz="0" w:space="0" w:color="auto"/>
            <w:bottom w:val="none" w:sz="0" w:space="0" w:color="auto"/>
            <w:right w:val="none" w:sz="0" w:space="0" w:color="auto"/>
          </w:divBdr>
        </w:div>
        <w:div w:id="1954359308">
          <w:marLeft w:val="0"/>
          <w:marRight w:val="0"/>
          <w:marTop w:val="0"/>
          <w:marBottom w:val="0"/>
          <w:divBdr>
            <w:top w:val="none" w:sz="0" w:space="0" w:color="auto"/>
            <w:left w:val="none" w:sz="0" w:space="0" w:color="auto"/>
            <w:bottom w:val="none" w:sz="0" w:space="0" w:color="auto"/>
            <w:right w:val="none" w:sz="0" w:space="0" w:color="auto"/>
          </w:divBdr>
        </w:div>
        <w:div w:id="2001763000">
          <w:marLeft w:val="0"/>
          <w:marRight w:val="0"/>
          <w:marTop w:val="0"/>
          <w:marBottom w:val="0"/>
          <w:divBdr>
            <w:top w:val="none" w:sz="0" w:space="0" w:color="auto"/>
            <w:left w:val="none" w:sz="0" w:space="0" w:color="auto"/>
            <w:bottom w:val="none" w:sz="0" w:space="0" w:color="auto"/>
            <w:right w:val="none" w:sz="0" w:space="0" w:color="auto"/>
          </w:divBdr>
        </w:div>
        <w:div w:id="2006665697">
          <w:marLeft w:val="0"/>
          <w:marRight w:val="0"/>
          <w:marTop w:val="0"/>
          <w:marBottom w:val="0"/>
          <w:divBdr>
            <w:top w:val="none" w:sz="0" w:space="0" w:color="auto"/>
            <w:left w:val="none" w:sz="0" w:space="0" w:color="auto"/>
            <w:bottom w:val="none" w:sz="0" w:space="0" w:color="auto"/>
            <w:right w:val="none" w:sz="0" w:space="0" w:color="auto"/>
          </w:divBdr>
        </w:div>
        <w:div w:id="2023239626">
          <w:marLeft w:val="0"/>
          <w:marRight w:val="0"/>
          <w:marTop w:val="0"/>
          <w:marBottom w:val="0"/>
          <w:divBdr>
            <w:top w:val="none" w:sz="0" w:space="0" w:color="auto"/>
            <w:left w:val="none" w:sz="0" w:space="0" w:color="auto"/>
            <w:bottom w:val="none" w:sz="0" w:space="0" w:color="auto"/>
            <w:right w:val="none" w:sz="0" w:space="0" w:color="auto"/>
          </w:divBdr>
        </w:div>
        <w:div w:id="2024362090">
          <w:marLeft w:val="0"/>
          <w:marRight w:val="0"/>
          <w:marTop w:val="0"/>
          <w:marBottom w:val="0"/>
          <w:divBdr>
            <w:top w:val="none" w:sz="0" w:space="0" w:color="auto"/>
            <w:left w:val="none" w:sz="0" w:space="0" w:color="auto"/>
            <w:bottom w:val="none" w:sz="0" w:space="0" w:color="auto"/>
            <w:right w:val="none" w:sz="0" w:space="0" w:color="auto"/>
          </w:divBdr>
        </w:div>
      </w:divsChild>
    </w:div>
    <w:div w:id="1366369071">
      <w:bodyDiv w:val="1"/>
      <w:marLeft w:val="0"/>
      <w:marRight w:val="0"/>
      <w:marTop w:val="0"/>
      <w:marBottom w:val="0"/>
      <w:divBdr>
        <w:top w:val="none" w:sz="0" w:space="0" w:color="auto"/>
        <w:left w:val="none" w:sz="0" w:space="0" w:color="auto"/>
        <w:bottom w:val="none" w:sz="0" w:space="0" w:color="auto"/>
        <w:right w:val="none" w:sz="0" w:space="0" w:color="auto"/>
      </w:divBdr>
    </w:div>
    <w:div w:id="1366369231">
      <w:bodyDiv w:val="1"/>
      <w:marLeft w:val="0"/>
      <w:marRight w:val="0"/>
      <w:marTop w:val="0"/>
      <w:marBottom w:val="0"/>
      <w:divBdr>
        <w:top w:val="none" w:sz="0" w:space="0" w:color="auto"/>
        <w:left w:val="none" w:sz="0" w:space="0" w:color="auto"/>
        <w:bottom w:val="none" w:sz="0" w:space="0" w:color="auto"/>
        <w:right w:val="none" w:sz="0" w:space="0" w:color="auto"/>
      </w:divBdr>
    </w:div>
    <w:div w:id="1366370304">
      <w:bodyDiv w:val="1"/>
      <w:marLeft w:val="0"/>
      <w:marRight w:val="0"/>
      <w:marTop w:val="0"/>
      <w:marBottom w:val="0"/>
      <w:divBdr>
        <w:top w:val="none" w:sz="0" w:space="0" w:color="auto"/>
        <w:left w:val="none" w:sz="0" w:space="0" w:color="auto"/>
        <w:bottom w:val="none" w:sz="0" w:space="0" w:color="auto"/>
        <w:right w:val="none" w:sz="0" w:space="0" w:color="auto"/>
      </w:divBdr>
    </w:div>
    <w:div w:id="1366439848">
      <w:bodyDiv w:val="1"/>
      <w:marLeft w:val="0"/>
      <w:marRight w:val="0"/>
      <w:marTop w:val="0"/>
      <w:marBottom w:val="0"/>
      <w:divBdr>
        <w:top w:val="none" w:sz="0" w:space="0" w:color="auto"/>
        <w:left w:val="none" w:sz="0" w:space="0" w:color="auto"/>
        <w:bottom w:val="none" w:sz="0" w:space="0" w:color="auto"/>
        <w:right w:val="none" w:sz="0" w:space="0" w:color="auto"/>
      </w:divBdr>
    </w:div>
    <w:div w:id="1366561728">
      <w:bodyDiv w:val="1"/>
      <w:marLeft w:val="0"/>
      <w:marRight w:val="0"/>
      <w:marTop w:val="0"/>
      <w:marBottom w:val="0"/>
      <w:divBdr>
        <w:top w:val="none" w:sz="0" w:space="0" w:color="auto"/>
        <w:left w:val="none" w:sz="0" w:space="0" w:color="auto"/>
        <w:bottom w:val="none" w:sz="0" w:space="0" w:color="auto"/>
        <w:right w:val="none" w:sz="0" w:space="0" w:color="auto"/>
      </w:divBdr>
    </w:div>
    <w:div w:id="1366565331">
      <w:bodyDiv w:val="1"/>
      <w:marLeft w:val="0"/>
      <w:marRight w:val="0"/>
      <w:marTop w:val="0"/>
      <w:marBottom w:val="0"/>
      <w:divBdr>
        <w:top w:val="none" w:sz="0" w:space="0" w:color="auto"/>
        <w:left w:val="none" w:sz="0" w:space="0" w:color="auto"/>
        <w:bottom w:val="none" w:sz="0" w:space="0" w:color="auto"/>
        <w:right w:val="none" w:sz="0" w:space="0" w:color="auto"/>
      </w:divBdr>
    </w:div>
    <w:div w:id="1366636679">
      <w:bodyDiv w:val="1"/>
      <w:marLeft w:val="0"/>
      <w:marRight w:val="0"/>
      <w:marTop w:val="0"/>
      <w:marBottom w:val="0"/>
      <w:divBdr>
        <w:top w:val="none" w:sz="0" w:space="0" w:color="auto"/>
        <w:left w:val="none" w:sz="0" w:space="0" w:color="auto"/>
        <w:bottom w:val="none" w:sz="0" w:space="0" w:color="auto"/>
        <w:right w:val="none" w:sz="0" w:space="0" w:color="auto"/>
      </w:divBdr>
    </w:div>
    <w:div w:id="1366639325">
      <w:bodyDiv w:val="1"/>
      <w:marLeft w:val="0"/>
      <w:marRight w:val="0"/>
      <w:marTop w:val="0"/>
      <w:marBottom w:val="0"/>
      <w:divBdr>
        <w:top w:val="none" w:sz="0" w:space="0" w:color="auto"/>
        <w:left w:val="none" w:sz="0" w:space="0" w:color="auto"/>
        <w:bottom w:val="none" w:sz="0" w:space="0" w:color="auto"/>
        <w:right w:val="none" w:sz="0" w:space="0" w:color="auto"/>
      </w:divBdr>
    </w:div>
    <w:div w:id="1366717699">
      <w:bodyDiv w:val="1"/>
      <w:marLeft w:val="0"/>
      <w:marRight w:val="0"/>
      <w:marTop w:val="0"/>
      <w:marBottom w:val="0"/>
      <w:divBdr>
        <w:top w:val="none" w:sz="0" w:space="0" w:color="auto"/>
        <w:left w:val="none" w:sz="0" w:space="0" w:color="auto"/>
        <w:bottom w:val="none" w:sz="0" w:space="0" w:color="auto"/>
        <w:right w:val="none" w:sz="0" w:space="0" w:color="auto"/>
      </w:divBdr>
    </w:div>
    <w:div w:id="1366834804">
      <w:bodyDiv w:val="1"/>
      <w:marLeft w:val="0"/>
      <w:marRight w:val="0"/>
      <w:marTop w:val="0"/>
      <w:marBottom w:val="0"/>
      <w:divBdr>
        <w:top w:val="none" w:sz="0" w:space="0" w:color="auto"/>
        <w:left w:val="none" w:sz="0" w:space="0" w:color="auto"/>
        <w:bottom w:val="none" w:sz="0" w:space="0" w:color="auto"/>
        <w:right w:val="none" w:sz="0" w:space="0" w:color="auto"/>
      </w:divBdr>
    </w:div>
    <w:div w:id="1366903642">
      <w:bodyDiv w:val="1"/>
      <w:marLeft w:val="0"/>
      <w:marRight w:val="0"/>
      <w:marTop w:val="0"/>
      <w:marBottom w:val="0"/>
      <w:divBdr>
        <w:top w:val="none" w:sz="0" w:space="0" w:color="auto"/>
        <w:left w:val="none" w:sz="0" w:space="0" w:color="auto"/>
        <w:bottom w:val="none" w:sz="0" w:space="0" w:color="auto"/>
        <w:right w:val="none" w:sz="0" w:space="0" w:color="auto"/>
      </w:divBdr>
    </w:div>
    <w:div w:id="1366905157">
      <w:bodyDiv w:val="1"/>
      <w:marLeft w:val="0"/>
      <w:marRight w:val="0"/>
      <w:marTop w:val="0"/>
      <w:marBottom w:val="0"/>
      <w:divBdr>
        <w:top w:val="none" w:sz="0" w:space="0" w:color="auto"/>
        <w:left w:val="none" w:sz="0" w:space="0" w:color="auto"/>
        <w:bottom w:val="none" w:sz="0" w:space="0" w:color="auto"/>
        <w:right w:val="none" w:sz="0" w:space="0" w:color="auto"/>
      </w:divBdr>
    </w:div>
    <w:div w:id="1367022849">
      <w:bodyDiv w:val="1"/>
      <w:marLeft w:val="0"/>
      <w:marRight w:val="0"/>
      <w:marTop w:val="0"/>
      <w:marBottom w:val="0"/>
      <w:divBdr>
        <w:top w:val="none" w:sz="0" w:space="0" w:color="auto"/>
        <w:left w:val="none" w:sz="0" w:space="0" w:color="auto"/>
        <w:bottom w:val="none" w:sz="0" w:space="0" w:color="auto"/>
        <w:right w:val="none" w:sz="0" w:space="0" w:color="auto"/>
      </w:divBdr>
    </w:div>
    <w:div w:id="1367171933">
      <w:bodyDiv w:val="1"/>
      <w:marLeft w:val="0"/>
      <w:marRight w:val="0"/>
      <w:marTop w:val="0"/>
      <w:marBottom w:val="0"/>
      <w:divBdr>
        <w:top w:val="none" w:sz="0" w:space="0" w:color="auto"/>
        <w:left w:val="none" w:sz="0" w:space="0" w:color="auto"/>
        <w:bottom w:val="none" w:sz="0" w:space="0" w:color="auto"/>
        <w:right w:val="none" w:sz="0" w:space="0" w:color="auto"/>
      </w:divBdr>
    </w:div>
    <w:div w:id="1367176809">
      <w:bodyDiv w:val="1"/>
      <w:marLeft w:val="0"/>
      <w:marRight w:val="0"/>
      <w:marTop w:val="0"/>
      <w:marBottom w:val="0"/>
      <w:divBdr>
        <w:top w:val="none" w:sz="0" w:space="0" w:color="auto"/>
        <w:left w:val="none" w:sz="0" w:space="0" w:color="auto"/>
        <w:bottom w:val="none" w:sz="0" w:space="0" w:color="auto"/>
        <w:right w:val="none" w:sz="0" w:space="0" w:color="auto"/>
      </w:divBdr>
    </w:div>
    <w:div w:id="1367559008">
      <w:bodyDiv w:val="1"/>
      <w:marLeft w:val="0"/>
      <w:marRight w:val="0"/>
      <w:marTop w:val="0"/>
      <w:marBottom w:val="0"/>
      <w:divBdr>
        <w:top w:val="none" w:sz="0" w:space="0" w:color="auto"/>
        <w:left w:val="none" w:sz="0" w:space="0" w:color="auto"/>
        <w:bottom w:val="none" w:sz="0" w:space="0" w:color="auto"/>
        <w:right w:val="none" w:sz="0" w:space="0" w:color="auto"/>
      </w:divBdr>
    </w:div>
    <w:div w:id="1367608315">
      <w:bodyDiv w:val="1"/>
      <w:marLeft w:val="0"/>
      <w:marRight w:val="0"/>
      <w:marTop w:val="0"/>
      <w:marBottom w:val="0"/>
      <w:divBdr>
        <w:top w:val="none" w:sz="0" w:space="0" w:color="auto"/>
        <w:left w:val="none" w:sz="0" w:space="0" w:color="auto"/>
        <w:bottom w:val="none" w:sz="0" w:space="0" w:color="auto"/>
        <w:right w:val="none" w:sz="0" w:space="0" w:color="auto"/>
      </w:divBdr>
    </w:div>
    <w:div w:id="1367684247">
      <w:bodyDiv w:val="1"/>
      <w:marLeft w:val="0"/>
      <w:marRight w:val="0"/>
      <w:marTop w:val="0"/>
      <w:marBottom w:val="0"/>
      <w:divBdr>
        <w:top w:val="none" w:sz="0" w:space="0" w:color="auto"/>
        <w:left w:val="none" w:sz="0" w:space="0" w:color="auto"/>
        <w:bottom w:val="none" w:sz="0" w:space="0" w:color="auto"/>
        <w:right w:val="none" w:sz="0" w:space="0" w:color="auto"/>
      </w:divBdr>
    </w:div>
    <w:div w:id="1367831522">
      <w:bodyDiv w:val="1"/>
      <w:marLeft w:val="0"/>
      <w:marRight w:val="0"/>
      <w:marTop w:val="0"/>
      <w:marBottom w:val="0"/>
      <w:divBdr>
        <w:top w:val="none" w:sz="0" w:space="0" w:color="auto"/>
        <w:left w:val="none" w:sz="0" w:space="0" w:color="auto"/>
        <w:bottom w:val="none" w:sz="0" w:space="0" w:color="auto"/>
        <w:right w:val="none" w:sz="0" w:space="0" w:color="auto"/>
      </w:divBdr>
    </w:div>
    <w:div w:id="1367834369">
      <w:bodyDiv w:val="1"/>
      <w:marLeft w:val="0"/>
      <w:marRight w:val="0"/>
      <w:marTop w:val="0"/>
      <w:marBottom w:val="0"/>
      <w:divBdr>
        <w:top w:val="none" w:sz="0" w:space="0" w:color="auto"/>
        <w:left w:val="none" w:sz="0" w:space="0" w:color="auto"/>
        <w:bottom w:val="none" w:sz="0" w:space="0" w:color="auto"/>
        <w:right w:val="none" w:sz="0" w:space="0" w:color="auto"/>
      </w:divBdr>
    </w:div>
    <w:div w:id="1367872832">
      <w:bodyDiv w:val="1"/>
      <w:marLeft w:val="0"/>
      <w:marRight w:val="0"/>
      <w:marTop w:val="0"/>
      <w:marBottom w:val="0"/>
      <w:divBdr>
        <w:top w:val="none" w:sz="0" w:space="0" w:color="auto"/>
        <w:left w:val="none" w:sz="0" w:space="0" w:color="auto"/>
        <w:bottom w:val="none" w:sz="0" w:space="0" w:color="auto"/>
        <w:right w:val="none" w:sz="0" w:space="0" w:color="auto"/>
      </w:divBdr>
    </w:div>
    <w:div w:id="1368137931">
      <w:bodyDiv w:val="1"/>
      <w:marLeft w:val="0"/>
      <w:marRight w:val="0"/>
      <w:marTop w:val="0"/>
      <w:marBottom w:val="0"/>
      <w:divBdr>
        <w:top w:val="none" w:sz="0" w:space="0" w:color="auto"/>
        <w:left w:val="none" w:sz="0" w:space="0" w:color="auto"/>
        <w:bottom w:val="none" w:sz="0" w:space="0" w:color="auto"/>
        <w:right w:val="none" w:sz="0" w:space="0" w:color="auto"/>
      </w:divBdr>
    </w:div>
    <w:div w:id="1368216086">
      <w:bodyDiv w:val="1"/>
      <w:marLeft w:val="0"/>
      <w:marRight w:val="0"/>
      <w:marTop w:val="0"/>
      <w:marBottom w:val="0"/>
      <w:divBdr>
        <w:top w:val="none" w:sz="0" w:space="0" w:color="auto"/>
        <w:left w:val="none" w:sz="0" w:space="0" w:color="auto"/>
        <w:bottom w:val="none" w:sz="0" w:space="0" w:color="auto"/>
        <w:right w:val="none" w:sz="0" w:space="0" w:color="auto"/>
      </w:divBdr>
    </w:div>
    <w:div w:id="1368289236">
      <w:bodyDiv w:val="1"/>
      <w:marLeft w:val="0"/>
      <w:marRight w:val="0"/>
      <w:marTop w:val="0"/>
      <w:marBottom w:val="0"/>
      <w:divBdr>
        <w:top w:val="none" w:sz="0" w:space="0" w:color="auto"/>
        <w:left w:val="none" w:sz="0" w:space="0" w:color="auto"/>
        <w:bottom w:val="none" w:sz="0" w:space="0" w:color="auto"/>
        <w:right w:val="none" w:sz="0" w:space="0" w:color="auto"/>
      </w:divBdr>
    </w:div>
    <w:div w:id="1368405274">
      <w:bodyDiv w:val="1"/>
      <w:marLeft w:val="0"/>
      <w:marRight w:val="0"/>
      <w:marTop w:val="0"/>
      <w:marBottom w:val="0"/>
      <w:divBdr>
        <w:top w:val="none" w:sz="0" w:space="0" w:color="auto"/>
        <w:left w:val="none" w:sz="0" w:space="0" w:color="auto"/>
        <w:bottom w:val="none" w:sz="0" w:space="0" w:color="auto"/>
        <w:right w:val="none" w:sz="0" w:space="0" w:color="auto"/>
      </w:divBdr>
    </w:div>
    <w:div w:id="1368484849">
      <w:bodyDiv w:val="1"/>
      <w:marLeft w:val="0"/>
      <w:marRight w:val="0"/>
      <w:marTop w:val="0"/>
      <w:marBottom w:val="0"/>
      <w:divBdr>
        <w:top w:val="none" w:sz="0" w:space="0" w:color="auto"/>
        <w:left w:val="none" w:sz="0" w:space="0" w:color="auto"/>
        <w:bottom w:val="none" w:sz="0" w:space="0" w:color="auto"/>
        <w:right w:val="none" w:sz="0" w:space="0" w:color="auto"/>
      </w:divBdr>
    </w:div>
    <w:div w:id="1368524117">
      <w:bodyDiv w:val="1"/>
      <w:marLeft w:val="0"/>
      <w:marRight w:val="0"/>
      <w:marTop w:val="0"/>
      <w:marBottom w:val="0"/>
      <w:divBdr>
        <w:top w:val="none" w:sz="0" w:space="0" w:color="auto"/>
        <w:left w:val="none" w:sz="0" w:space="0" w:color="auto"/>
        <w:bottom w:val="none" w:sz="0" w:space="0" w:color="auto"/>
        <w:right w:val="none" w:sz="0" w:space="0" w:color="auto"/>
      </w:divBdr>
    </w:div>
    <w:div w:id="1368599756">
      <w:bodyDiv w:val="1"/>
      <w:marLeft w:val="0"/>
      <w:marRight w:val="0"/>
      <w:marTop w:val="0"/>
      <w:marBottom w:val="0"/>
      <w:divBdr>
        <w:top w:val="none" w:sz="0" w:space="0" w:color="auto"/>
        <w:left w:val="none" w:sz="0" w:space="0" w:color="auto"/>
        <w:bottom w:val="none" w:sz="0" w:space="0" w:color="auto"/>
        <w:right w:val="none" w:sz="0" w:space="0" w:color="auto"/>
      </w:divBdr>
    </w:div>
    <w:div w:id="1368606982">
      <w:bodyDiv w:val="1"/>
      <w:marLeft w:val="0"/>
      <w:marRight w:val="0"/>
      <w:marTop w:val="0"/>
      <w:marBottom w:val="0"/>
      <w:divBdr>
        <w:top w:val="none" w:sz="0" w:space="0" w:color="auto"/>
        <w:left w:val="none" w:sz="0" w:space="0" w:color="auto"/>
        <w:bottom w:val="none" w:sz="0" w:space="0" w:color="auto"/>
        <w:right w:val="none" w:sz="0" w:space="0" w:color="auto"/>
      </w:divBdr>
    </w:div>
    <w:div w:id="1368678438">
      <w:bodyDiv w:val="1"/>
      <w:marLeft w:val="0"/>
      <w:marRight w:val="0"/>
      <w:marTop w:val="0"/>
      <w:marBottom w:val="0"/>
      <w:divBdr>
        <w:top w:val="none" w:sz="0" w:space="0" w:color="auto"/>
        <w:left w:val="none" w:sz="0" w:space="0" w:color="auto"/>
        <w:bottom w:val="none" w:sz="0" w:space="0" w:color="auto"/>
        <w:right w:val="none" w:sz="0" w:space="0" w:color="auto"/>
      </w:divBdr>
    </w:div>
    <w:div w:id="1368723719">
      <w:bodyDiv w:val="1"/>
      <w:marLeft w:val="0"/>
      <w:marRight w:val="0"/>
      <w:marTop w:val="0"/>
      <w:marBottom w:val="0"/>
      <w:divBdr>
        <w:top w:val="none" w:sz="0" w:space="0" w:color="auto"/>
        <w:left w:val="none" w:sz="0" w:space="0" w:color="auto"/>
        <w:bottom w:val="none" w:sz="0" w:space="0" w:color="auto"/>
        <w:right w:val="none" w:sz="0" w:space="0" w:color="auto"/>
      </w:divBdr>
    </w:div>
    <w:div w:id="1368798005">
      <w:bodyDiv w:val="1"/>
      <w:marLeft w:val="0"/>
      <w:marRight w:val="0"/>
      <w:marTop w:val="0"/>
      <w:marBottom w:val="0"/>
      <w:divBdr>
        <w:top w:val="none" w:sz="0" w:space="0" w:color="auto"/>
        <w:left w:val="none" w:sz="0" w:space="0" w:color="auto"/>
        <w:bottom w:val="none" w:sz="0" w:space="0" w:color="auto"/>
        <w:right w:val="none" w:sz="0" w:space="0" w:color="auto"/>
      </w:divBdr>
    </w:div>
    <w:div w:id="1368867493">
      <w:bodyDiv w:val="1"/>
      <w:marLeft w:val="0"/>
      <w:marRight w:val="0"/>
      <w:marTop w:val="0"/>
      <w:marBottom w:val="0"/>
      <w:divBdr>
        <w:top w:val="none" w:sz="0" w:space="0" w:color="auto"/>
        <w:left w:val="none" w:sz="0" w:space="0" w:color="auto"/>
        <w:bottom w:val="none" w:sz="0" w:space="0" w:color="auto"/>
        <w:right w:val="none" w:sz="0" w:space="0" w:color="auto"/>
      </w:divBdr>
    </w:div>
    <w:div w:id="1368872276">
      <w:bodyDiv w:val="1"/>
      <w:marLeft w:val="0"/>
      <w:marRight w:val="0"/>
      <w:marTop w:val="0"/>
      <w:marBottom w:val="0"/>
      <w:divBdr>
        <w:top w:val="none" w:sz="0" w:space="0" w:color="auto"/>
        <w:left w:val="none" w:sz="0" w:space="0" w:color="auto"/>
        <w:bottom w:val="none" w:sz="0" w:space="0" w:color="auto"/>
        <w:right w:val="none" w:sz="0" w:space="0" w:color="auto"/>
      </w:divBdr>
    </w:div>
    <w:div w:id="1368943473">
      <w:bodyDiv w:val="1"/>
      <w:marLeft w:val="0"/>
      <w:marRight w:val="0"/>
      <w:marTop w:val="0"/>
      <w:marBottom w:val="0"/>
      <w:divBdr>
        <w:top w:val="none" w:sz="0" w:space="0" w:color="auto"/>
        <w:left w:val="none" w:sz="0" w:space="0" w:color="auto"/>
        <w:bottom w:val="none" w:sz="0" w:space="0" w:color="auto"/>
        <w:right w:val="none" w:sz="0" w:space="0" w:color="auto"/>
      </w:divBdr>
    </w:div>
    <w:div w:id="1369136480">
      <w:bodyDiv w:val="1"/>
      <w:marLeft w:val="0"/>
      <w:marRight w:val="0"/>
      <w:marTop w:val="0"/>
      <w:marBottom w:val="0"/>
      <w:divBdr>
        <w:top w:val="none" w:sz="0" w:space="0" w:color="auto"/>
        <w:left w:val="none" w:sz="0" w:space="0" w:color="auto"/>
        <w:bottom w:val="none" w:sz="0" w:space="0" w:color="auto"/>
        <w:right w:val="none" w:sz="0" w:space="0" w:color="auto"/>
      </w:divBdr>
    </w:div>
    <w:div w:id="1369138689">
      <w:bodyDiv w:val="1"/>
      <w:marLeft w:val="0"/>
      <w:marRight w:val="0"/>
      <w:marTop w:val="0"/>
      <w:marBottom w:val="0"/>
      <w:divBdr>
        <w:top w:val="none" w:sz="0" w:space="0" w:color="auto"/>
        <w:left w:val="none" w:sz="0" w:space="0" w:color="auto"/>
        <w:bottom w:val="none" w:sz="0" w:space="0" w:color="auto"/>
        <w:right w:val="none" w:sz="0" w:space="0" w:color="auto"/>
      </w:divBdr>
    </w:div>
    <w:div w:id="1369142468">
      <w:bodyDiv w:val="1"/>
      <w:marLeft w:val="0"/>
      <w:marRight w:val="0"/>
      <w:marTop w:val="0"/>
      <w:marBottom w:val="0"/>
      <w:divBdr>
        <w:top w:val="none" w:sz="0" w:space="0" w:color="auto"/>
        <w:left w:val="none" w:sz="0" w:space="0" w:color="auto"/>
        <w:bottom w:val="none" w:sz="0" w:space="0" w:color="auto"/>
        <w:right w:val="none" w:sz="0" w:space="0" w:color="auto"/>
      </w:divBdr>
    </w:div>
    <w:div w:id="1369337339">
      <w:bodyDiv w:val="1"/>
      <w:marLeft w:val="0"/>
      <w:marRight w:val="0"/>
      <w:marTop w:val="0"/>
      <w:marBottom w:val="0"/>
      <w:divBdr>
        <w:top w:val="none" w:sz="0" w:space="0" w:color="auto"/>
        <w:left w:val="none" w:sz="0" w:space="0" w:color="auto"/>
        <w:bottom w:val="none" w:sz="0" w:space="0" w:color="auto"/>
        <w:right w:val="none" w:sz="0" w:space="0" w:color="auto"/>
      </w:divBdr>
    </w:div>
    <w:div w:id="1369573654">
      <w:bodyDiv w:val="1"/>
      <w:marLeft w:val="0"/>
      <w:marRight w:val="0"/>
      <w:marTop w:val="0"/>
      <w:marBottom w:val="0"/>
      <w:divBdr>
        <w:top w:val="none" w:sz="0" w:space="0" w:color="auto"/>
        <w:left w:val="none" w:sz="0" w:space="0" w:color="auto"/>
        <w:bottom w:val="none" w:sz="0" w:space="0" w:color="auto"/>
        <w:right w:val="none" w:sz="0" w:space="0" w:color="auto"/>
      </w:divBdr>
    </w:div>
    <w:div w:id="1369574359">
      <w:bodyDiv w:val="1"/>
      <w:marLeft w:val="0"/>
      <w:marRight w:val="0"/>
      <w:marTop w:val="0"/>
      <w:marBottom w:val="0"/>
      <w:divBdr>
        <w:top w:val="none" w:sz="0" w:space="0" w:color="auto"/>
        <w:left w:val="none" w:sz="0" w:space="0" w:color="auto"/>
        <w:bottom w:val="none" w:sz="0" w:space="0" w:color="auto"/>
        <w:right w:val="none" w:sz="0" w:space="0" w:color="auto"/>
      </w:divBdr>
    </w:div>
    <w:div w:id="1369640757">
      <w:bodyDiv w:val="1"/>
      <w:marLeft w:val="0"/>
      <w:marRight w:val="0"/>
      <w:marTop w:val="0"/>
      <w:marBottom w:val="0"/>
      <w:divBdr>
        <w:top w:val="none" w:sz="0" w:space="0" w:color="auto"/>
        <w:left w:val="none" w:sz="0" w:space="0" w:color="auto"/>
        <w:bottom w:val="none" w:sz="0" w:space="0" w:color="auto"/>
        <w:right w:val="none" w:sz="0" w:space="0" w:color="auto"/>
      </w:divBdr>
    </w:div>
    <w:div w:id="1369717408">
      <w:bodyDiv w:val="1"/>
      <w:marLeft w:val="0"/>
      <w:marRight w:val="0"/>
      <w:marTop w:val="0"/>
      <w:marBottom w:val="0"/>
      <w:divBdr>
        <w:top w:val="none" w:sz="0" w:space="0" w:color="auto"/>
        <w:left w:val="none" w:sz="0" w:space="0" w:color="auto"/>
        <w:bottom w:val="none" w:sz="0" w:space="0" w:color="auto"/>
        <w:right w:val="none" w:sz="0" w:space="0" w:color="auto"/>
      </w:divBdr>
    </w:div>
    <w:div w:id="1369798928">
      <w:bodyDiv w:val="1"/>
      <w:marLeft w:val="0"/>
      <w:marRight w:val="0"/>
      <w:marTop w:val="0"/>
      <w:marBottom w:val="0"/>
      <w:divBdr>
        <w:top w:val="none" w:sz="0" w:space="0" w:color="auto"/>
        <w:left w:val="none" w:sz="0" w:space="0" w:color="auto"/>
        <w:bottom w:val="none" w:sz="0" w:space="0" w:color="auto"/>
        <w:right w:val="none" w:sz="0" w:space="0" w:color="auto"/>
      </w:divBdr>
    </w:div>
    <w:div w:id="1369833722">
      <w:bodyDiv w:val="1"/>
      <w:marLeft w:val="0"/>
      <w:marRight w:val="0"/>
      <w:marTop w:val="0"/>
      <w:marBottom w:val="0"/>
      <w:divBdr>
        <w:top w:val="none" w:sz="0" w:space="0" w:color="auto"/>
        <w:left w:val="none" w:sz="0" w:space="0" w:color="auto"/>
        <w:bottom w:val="none" w:sz="0" w:space="0" w:color="auto"/>
        <w:right w:val="none" w:sz="0" w:space="0" w:color="auto"/>
      </w:divBdr>
    </w:div>
    <w:div w:id="1369909726">
      <w:bodyDiv w:val="1"/>
      <w:marLeft w:val="0"/>
      <w:marRight w:val="0"/>
      <w:marTop w:val="0"/>
      <w:marBottom w:val="0"/>
      <w:divBdr>
        <w:top w:val="none" w:sz="0" w:space="0" w:color="auto"/>
        <w:left w:val="none" w:sz="0" w:space="0" w:color="auto"/>
        <w:bottom w:val="none" w:sz="0" w:space="0" w:color="auto"/>
        <w:right w:val="none" w:sz="0" w:space="0" w:color="auto"/>
      </w:divBdr>
    </w:div>
    <w:div w:id="1369985455">
      <w:bodyDiv w:val="1"/>
      <w:marLeft w:val="0"/>
      <w:marRight w:val="0"/>
      <w:marTop w:val="0"/>
      <w:marBottom w:val="0"/>
      <w:divBdr>
        <w:top w:val="none" w:sz="0" w:space="0" w:color="auto"/>
        <w:left w:val="none" w:sz="0" w:space="0" w:color="auto"/>
        <w:bottom w:val="none" w:sz="0" w:space="0" w:color="auto"/>
        <w:right w:val="none" w:sz="0" w:space="0" w:color="auto"/>
      </w:divBdr>
    </w:div>
    <w:div w:id="1370030197">
      <w:bodyDiv w:val="1"/>
      <w:marLeft w:val="0"/>
      <w:marRight w:val="0"/>
      <w:marTop w:val="0"/>
      <w:marBottom w:val="0"/>
      <w:divBdr>
        <w:top w:val="none" w:sz="0" w:space="0" w:color="auto"/>
        <w:left w:val="none" w:sz="0" w:space="0" w:color="auto"/>
        <w:bottom w:val="none" w:sz="0" w:space="0" w:color="auto"/>
        <w:right w:val="none" w:sz="0" w:space="0" w:color="auto"/>
      </w:divBdr>
    </w:div>
    <w:div w:id="1370179247">
      <w:bodyDiv w:val="1"/>
      <w:marLeft w:val="0"/>
      <w:marRight w:val="0"/>
      <w:marTop w:val="0"/>
      <w:marBottom w:val="0"/>
      <w:divBdr>
        <w:top w:val="none" w:sz="0" w:space="0" w:color="auto"/>
        <w:left w:val="none" w:sz="0" w:space="0" w:color="auto"/>
        <w:bottom w:val="none" w:sz="0" w:space="0" w:color="auto"/>
        <w:right w:val="none" w:sz="0" w:space="0" w:color="auto"/>
      </w:divBdr>
    </w:div>
    <w:div w:id="1370229716">
      <w:bodyDiv w:val="1"/>
      <w:marLeft w:val="0"/>
      <w:marRight w:val="0"/>
      <w:marTop w:val="0"/>
      <w:marBottom w:val="0"/>
      <w:divBdr>
        <w:top w:val="none" w:sz="0" w:space="0" w:color="auto"/>
        <w:left w:val="none" w:sz="0" w:space="0" w:color="auto"/>
        <w:bottom w:val="none" w:sz="0" w:space="0" w:color="auto"/>
        <w:right w:val="none" w:sz="0" w:space="0" w:color="auto"/>
      </w:divBdr>
    </w:div>
    <w:div w:id="1370297118">
      <w:bodyDiv w:val="1"/>
      <w:marLeft w:val="0"/>
      <w:marRight w:val="0"/>
      <w:marTop w:val="0"/>
      <w:marBottom w:val="0"/>
      <w:divBdr>
        <w:top w:val="none" w:sz="0" w:space="0" w:color="auto"/>
        <w:left w:val="none" w:sz="0" w:space="0" w:color="auto"/>
        <w:bottom w:val="none" w:sz="0" w:space="0" w:color="auto"/>
        <w:right w:val="none" w:sz="0" w:space="0" w:color="auto"/>
      </w:divBdr>
    </w:div>
    <w:div w:id="1370298921">
      <w:bodyDiv w:val="1"/>
      <w:marLeft w:val="0"/>
      <w:marRight w:val="0"/>
      <w:marTop w:val="0"/>
      <w:marBottom w:val="0"/>
      <w:divBdr>
        <w:top w:val="none" w:sz="0" w:space="0" w:color="auto"/>
        <w:left w:val="none" w:sz="0" w:space="0" w:color="auto"/>
        <w:bottom w:val="none" w:sz="0" w:space="0" w:color="auto"/>
        <w:right w:val="none" w:sz="0" w:space="0" w:color="auto"/>
      </w:divBdr>
    </w:div>
    <w:div w:id="1370303773">
      <w:bodyDiv w:val="1"/>
      <w:marLeft w:val="0"/>
      <w:marRight w:val="0"/>
      <w:marTop w:val="0"/>
      <w:marBottom w:val="0"/>
      <w:divBdr>
        <w:top w:val="none" w:sz="0" w:space="0" w:color="auto"/>
        <w:left w:val="none" w:sz="0" w:space="0" w:color="auto"/>
        <w:bottom w:val="none" w:sz="0" w:space="0" w:color="auto"/>
        <w:right w:val="none" w:sz="0" w:space="0" w:color="auto"/>
      </w:divBdr>
    </w:div>
    <w:div w:id="1370453156">
      <w:bodyDiv w:val="1"/>
      <w:marLeft w:val="0"/>
      <w:marRight w:val="0"/>
      <w:marTop w:val="0"/>
      <w:marBottom w:val="0"/>
      <w:divBdr>
        <w:top w:val="none" w:sz="0" w:space="0" w:color="auto"/>
        <w:left w:val="none" w:sz="0" w:space="0" w:color="auto"/>
        <w:bottom w:val="none" w:sz="0" w:space="0" w:color="auto"/>
        <w:right w:val="none" w:sz="0" w:space="0" w:color="auto"/>
      </w:divBdr>
    </w:div>
    <w:div w:id="1370496771">
      <w:bodyDiv w:val="1"/>
      <w:marLeft w:val="0"/>
      <w:marRight w:val="0"/>
      <w:marTop w:val="0"/>
      <w:marBottom w:val="0"/>
      <w:divBdr>
        <w:top w:val="none" w:sz="0" w:space="0" w:color="auto"/>
        <w:left w:val="none" w:sz="0" w:space="0" w:color="auto"/>
        <w:bottom w:val="none" w:sz="0" w:space="0" w:color="auto"/>
        <w:right w:val="none" w:sz="0" w:space="0" w:color="auto"/>
      </w:divBdr>
    </w:div>
    <w:div w:id="1370497497">
      <w:bodyDiv w:val="1"/>
      <w:marLeft w:val="0"/>
      <w:marRight w:val="0"/>
      <w:marTop w:val="0"/>
      <w:marBottom w:val="0"/>
      <w:divBdr>
        <w:top w:val="none" w:sz="0" w:space="0" w:color="auto"/>
        <w:left w:val="none" w:sz="0" w:space="0" w:color="auto"/>
        <w:bottom w:val="none" w:sz="0" w:space="0" w:color="auto"/>
        <w:right w:val="none" w:sz="0" w:space="0" w:color="auto"/>
      </w:divBdr>
    </w:div>
    <w:div w:id="1370564837">
      <w:bodyDiv w:val="1"/>
      <w:marLeft w:val="0"/>
      <w:marRight w:val="0"/>
      <w:marTop w:val="0"/>
      <w:marBottom w:val="0"/>
      <w:divBdr>
        <w:top w:val="none" w:sz="0" w:space="0" w:color="auto"/>
        <w:left w:val="none" w:sz="0" w:space="0" w:color="auto"/>
        <w:bottom w:val="none" w:sz="0" w:space="0" w:color="auto"/>
        <w:right w:val="none" w:sz="0" w:space="0" w:color="auto"/>
      </w:divBdr>
    </w:div>
    <w:div w:id="1370564962">
      <w:bodyDiv w:val="1"/>
      <w:marLeft w:val="0"/>
      <w:marRight w:val="0"/>
      <w:marTop w:val="0"/>
      <w:marBottom w:val="0"/>
      <w:divBdr>
        <w:top w:val="none" w:sz="0" w:space="0" w:color="auto"/>
        <w:left w:val="none" w:sz="0" w:space="0" w:color="auto"/>
        <w:bottom w:val="none" w:sz="0" w:space="0" w:color="auto"/>
        <w:right w:val="none" w:sz="0" w:space="0" w:color="auto"/>
      </w:divBdr>
    </w:div>
    <w:div w:id="1370647760">
      <w:bodyDiv w:val="1"/>
      <w:marLeft w:val="0"/>
      <w:marRight w:val="0"/>
      <w:marTop w:val="0"/>
      <w:marBottom w:val="0"/>
      <w:divBdr>
        <w:top w:val="none" w:sz="0" w:space="0" w:color="auto"/>
        <w:left w:val="none" w:sz="0" w:space="0" w:color="auto"/>
        <w:bottom w:val="none" w:sz="0" w:space="0" w:color="auto"/>
        <w:right w:val="none" w:sz="0" w:space="0" w:color="auto"/>
      </w:divBdr>
    </w:div>
    <w:div w:id="1370688187">
      <w:bodyDiv w:val="1"/>
      <w:marLeft w:val="0"/>
      <w:marRight w:val="0"/>
      <w:marTop w:val="0"/>
      <w:marBottom w:val="0"/>
      <w:divBdr>
        <w:top w:val="none" w:sz="0" w:space="0" w:color="auto"/>
        <w:left w:val="none" w:sz="0" w:space="0" w:color="auto"/>
        <w:bottom w:val="none" w:sz="0" w:space="0" w:color="auto"/>
        <w:right w:val="none" w:sz="0" w:space="0" w:color="auto"/>
      </w:divBdr>
    </w:div>
    <w:div w:id="1370715638">
      <w:bodyDiv w:val="1"/>
      <w:marLeft w:val="0"/>
      <w:marRight w:val="0"/>
      <w:marTop w:val="0"/>
      <w:marBottom w:val="0"/>
      <w:divBdr>
        <w:top w:val="none" w:sz="0" w:space="0" w:color="auto"/>
        <w:left w:val="none" w:sz="0" w:space="0" w:color="auto"/>
        <w:bottom w:val="none" w:sz="0" w:space="0" w:color="auto"/>
        <w:right w:val="none" w:sz="0" w:space="0" w:color="auto"/>
      </w:divBdr>
    </w:div>
    <w:div w:id="1370759395">
      <w:bodyDiv w:val="1"/>
      <w:marLeft w:val="0"/>
      <w:marRight w:val="0"/>
      <w:marTop w:val="0"/>
      <w:marBottom w:val="0"/>
      <w:divBdr>
        <w:top w:val="none" w:sz="0" w:space="0" w:color="auto"/>
        <w:left w:val="none" w:sz="0" w:space="0" w:color="auto"/>
        <w:bottom w:val="none" w:sz="0" w:space="0" w:color="auto"/>
        <w:right w:val="none" w:sz="0" w:space="0" w:color="auto"/>
      </w:divBdr>
    </w:div>
    <w:div w:id="1370835797">
      <w:bodyDiv w:val="1"/>
      <w:marLeft w:val="0"/>
      <w:marRight w:val="0"/>
      <w:marTop w:val="0"/>
      <w:marBottom w:val="0"/>
      <w:divBdr>
        <w:top w:val="none" w:sz="0" w:space="0" w:color="auto"/>
        <w:left w:val="none" w:sz="0" w:space="0" w:color="auto"/>
        <w:bottom w:val="none" w:sz="0" w:space="0" w:color="auto"/>
        <w:right w:val="none" w:sz="0" w:space="0" w:color="auto"/>
      </w:divBdr>
    </w:div>
    <w:div w:id="1370883839">
      <w:bodyDiv w:val="1"/>
      <w:marLeft w:val="0"/>
      <w:marRight w:val="0"/>
      <w:marTop w:val="0"/>
      <w:marBottom w:val="0"/>
      <w:divBdr>
        <w:top w:val="none" w:sz="0" w:space="0" w:color="auto"/>
        <w:left w:val="none" w:sz="0" w:space="0" w:color="auto"/>
        <w:bottom w:val="none" w:sz="0" w:space="0" w:color="auto"/>
        <w:right w:val="none" w:sz="0" w:space="0" w:color="auto"/>
      </w:divBdr>
    </w:div>
    <w:div w:id="1370957487">
      <w:bodyDiv w:val="1"/>
      <w:marLeft w:val="0"/>
      <w:marRight w:val="0"/>
      <w:marTop w:val="0"/>
      <w:marBottom w:val="0"/>
      <w:divBdr>
        <w:top w:val="none" w:sz="0" w:space="0" w:color="auto"/>
        <w:left w:val="none" w:sz="0" w:space="0" w:color="auto"/>
        <w:bottom w:val="none" w:sz="0" w:space="0" w:color="auto"/>
        <w:right w:val="none" w:sz="0" w:space="0" w:color="auto"/>
      </w:divBdr>
    </w:div>
    <w:div w:id="1371030281">
      <w:bodyDiv w:val="1"/>
      <w:marLeft w:val="0"/>
      <w:marRight w:val="0"/>
      <w:marTop w:val="0"/>
      <w:marBottom w:val="0"/>
      <w:divBdr>
        <w:top w:val="none" w:sz="0" w:space="0" w:color="auto"/>
        <w:left w:val="none" w:sz="0" w:space="0" w:color="auto"/>
        <w:bottom w:val="none" w:sz="0" w:space="0" w:color="auto"/>
        <w:right w:val="none" w:sz="0" w:space="0" w:color="auto"/>
      </w:divBdr>
    </w:div>
    <w:div w:id="1371107249">
      <w:bodyDiv w:val="1"/>
      <w:marLeft w:val="0"/>
      <w:marRight w:val="0"/>
      <w:marTop w:val="0"/>
      <w:marBottom w:val="0"/>
      <w:divBdr>
        <w:top w:val="none" w:sz="0" w:space="0" w:color="auto"/>
        <w:left w:val="none" w:sz="0" w:space="0" w:color="auto"/>
        <w:bottom w:val="none" w:sz="0" w:space="0" w:color="auto"/>
        <w:right w:val="none" w:sz="0" w:space="0" w:color="auto"/>
      </w:divBdr>
    </w:div>
    <w:div w:id="1371144521">
      <w:bodyDiv w:val="1"/>
      <w:marLeft w:val="0"/>
      <w:marRight w:val="0"/>
      <w:marTop w:val="0"/>
      <w:marBottom w:val="0"/>
      <w:divBdr>
        <w:top w:val="none" w:sz="0" w:space="0" w:color="auto"/>
        <w:left w:val="none" w:sz="0" w:space="0" w:color="auto"/>
        <w:bottom w:val="none" w:sz="0" w:space="0" w:color="auto"/>
        <w:right w:val="none" w:sz="0" w:space="0" w:color="auto"/>
      </w:divBdr>
    </w:div>
    <w:div w:id="1371147830">
      <w:bodyDiv w:val="1"/>
      <w:marLeft w:val="0"/>
      <w:marRight w:val="0"/>
      <w:marTop w:val="0"/>
      <w:marBottom w:val="0"/>
      <w:divBdr>
        <w:top w:val="none" w:sz="0" w:space="0" w:color="auto"/>
        <w:left w:val="none" w:sz="0" w:space="0" w:color="auto"/>
        <w:bottom w:val="none" w:sz="0" w:space="0" w:color="auto"/>
        <w:right w:val="none" w:sz="0" w:space="0" w:color="auto"/>
      </w:divBdr>
    </w:div>
    <w:div w:id="1371344857">
      <w:bodyDiv w:val="1"/>
      <w:marLeft w:val="0"/>
      <w:marRight w:val="0"/>
      <w:marTop w:val="0"/>
      <w:marBottom w:val="0"/>
      <w:divBdr>
        <w:top w:val="none" w:sz="0" w:space="0" w:color="auto"/>
        <w:left w:val="none" w:sz="0" w:space="0" w:color="auto"/>
        <w:bottom w:val="none" w:sz="0" w:space="0" w:color="auto"/>
        <w:right w:val="none" w:sz="0" w:space="0" w:color="auto"/>
      </w:divBdr>
    </w:div>
    <w:div w:id="1371370397">
      <w:bodyDiv w:val="1"/>
      <w:marLeft w:val="0"/>
      <w:marRight w:val="0"/>
      <w:marTop w:val="0"/>
      <w:marBottom w:val="0"/>
      <w:divBdr>
        <w:top w:val="none" w:sz="0" w:space="0" w:color="auto"/>
        <w:left w:val="none" w:sz="0" w:space="0" w:color="auto"/>
        <w:bottom w:val="none" w:sz="0" w:space="0" w:color="auto"/>
        <w:right w:val="none" w:sz="0" w:space="0" w:color="auto"/>
      </w:divBdr>
    </w:div>
    <w:div w:id="1371413473">
      <w:bodyDiv w:val="1"/>
      <w:marLeft w:val="0"/>
      <w:marRight w:val="0"/>
      <w:marTop w:val="0"/>
      <w:marBottom w:val="0"/>
      <w:divBdr>
        <w:top w:val="none" w:sz="0" w:space="0" w:color="auto"/>
        <w:left w:val="none" w:sz="0" w:space="0" w:color="auto"/>
        <w:bottom w:val="none" w:sz="0" w:space="0" w:color="auto"/>
        <w:right w:val="none" w:sz="0" w:space="0" w:color="auto"/>
      </w:divBdr>
    </w:div>
    <w:div w:id="1371422570">
      <w:bodyDiv w:val="1"/>
      <w:marLeft w:val="0"/>
      <w:marRight w:val="0"/>
      <w:marTop w:val="0"/>
      <w:marBottom w:val="0"/>
      <w:divBdr>
        <w:top w:val="none" w:sz="0" w:space="0" w:color="auto"/>
        <w:left w:val="none" w:sz="0" w:space="0" w:color="auto"/>
        <w:bottom w:val="none" w:sz="0" w:space="0" w:color="auto"/>
        <w:right w:val="none" w:sz="0" w:space="0" w:color="auto"/>
      </w:divBdr>
    </w:div>
    <w:div w:id="1371488432">
      <w:bodyDiv w:val="1"/>
      <w:marLeft w:val="0"/>
      <w:marRight w:val="0"/>
      <w:marTop w:val="0"/>
      <w:marBottom w:val="0"/>
      <w:divBdr>
        <w:top w:val="none" w:sz="0" w:space="0" w:color="auto"/>
        <w:left w:val="none" w:sz="0" w:space="0" w:color="auto"/>
        <w:bottom w:val="none" w:sz="0" w:space="0" w:color="auto"/>
        <w:right w:val="none" w:sz="0" w:space="0" w:color="auto"/>
      </w:divBdr>
    </w:div>
    <w:div w:id="1371537849">
      <w:bodyDiv w:val="1"/>
      <w:marLeft w:val="0"/>
      <w:marRight w:val="0"/>
      <w:marTop w:val="0"/>
      <w:marBottom w:val="0"/>
      <w:divBdr>
        <w:top w:val="none" w:sz="0" w:space="0" w:color="auto"/>
        <w:left w:val="none" w:sz="0" w:space="0" w:color="auto"/>
        <w:bottom w:val="none" w:sz="0" w:space="0" w:color="auto"/>
        <w:right w:val="none" w:sz="0" w:space="0" w:color="auto"/>
      </w:divBdr>
    </w:div>
    <w:div w:id="1371540516">
      <w:bodyDiv w:val="1"/>
      <w:marLeft w:val="0"/>
      <w:marRight w:val="0"/>
      <w:marTop w:val="0"/>
      <w:marBottom w:val="0"/>
      <w:divBdr>
        <w:top w:val="none" w:sz="0" w:space="0" w:color="auto"/>
        <w:left w:val="none" w:sz="0" w:space="0" w:color="auto"/>
        <w:bottom w:val="none" w:sz="0" w:space="0" w:color="auto"/>
        <w:right w:val="none" w:sz="0" w:space="0" w:color="auto"/>
      </w:divBdr>
    </w:div>
    <w:div w:id="1371566470">
      <w:bodyDiv w:val="1"/>
      <w:marLeft w:val="0"/>
      <w:marRight w:val="0"/>
      <w:marTop w:val="0"/>
      <w:marBottom w:val="0"/>
      <w:divBdr>
        <w:top w:val="none" w:sz="0" w:space="0" w:color="auto"/>
        <w:left w:val="none" w:sz="0" w:space="0" w:color="auto"/>
        <w:bottom w:val="none" w:sz="0" w:space="0" w:color="auto"/>
        <w:right w:val="none" w:sz="0" w:space="0" w:color="auto"/>
      </w:divBdr>
    </w:div>
    <w:div w:id="1371610148">
      <w:bodyDiv w:val="1"/>
      <w:marLeft w:val="0"/>
      <w:marRight w:val="0"/>
      <w:marTop w:val="0"/>
      <w:marBottom w:val="0"/>
      <w:divBdr>
        <w:top w:val="none" w:sz="0" w:space="0" w:color="auto"/>
        <w:left w:val="none" w:sz="0" w:space="0" w:color="auto"/>
        <w:bottom w:val="none" w:sz="0" w:space="0" w:color="auto"/>
        <w:right w:val="none" w:sz="0" w:space="0" w:color="auto"/>
      </w:divBdr>
    </w:div>
    <w:div w:id="1371611774">
      <w:bodyDiv w:val="1"/>
      <w:marLeft w:val="0"/>
      <w:marRight w:val="0"/>
      <w:marTop w:val="0"/>
      <w:marBottom w:val="0"/>
      <w:divBdr>
        <w:top w:val="none" w:sz="0" w:space="0" w:color="auto"/>
        <w:left w:val="none" w:sz="0" w:space="0" w:color="auto"/>
        <w:bottom w:val="none" w:sz="0" w:space="0" w:color="auto"/>
        <w:right w:val="none" w:sz="0" w:space="0" w:color="auto"/>
      </w:divBdr>
    </w:div>
    <w:div w:id="1371875116">
      <w:bodyDiv w:val="1"/>
      <w:marLeft w:val="0"/>
      <w:marRight w:val="0"/>
      <w:marTop w:val="0"/>
      <w:marBottom w:val="0"/>
      <w:divBdr>
        <w:top w:val="none" w:sz="0" w:space="0" w:color="auto"/>
        <w:left w:val="none" w:sz="0" w:space="0" w:color="auto"/>
        <w:bottom w:val="none" w:sz="0" w:space="0" w:color="auto"/>
        <w:right w:val="none" w:sz="0" w:space="0" w:color="auto"/>
      </w:divBdr>
    </w:div>
    <w:div w:id="1371880626">
      <w:bodyDiv w:val="1"/>
      <w:marLeft w:val="0"/>
      <w:marRight w:val="0"/>
      <w:marTop w:val="0"/>
      <w:marBottom w:val="0"/>
      <w:divBdr>
        <w:top w:val="none" w:sz="0" w:space="0" w:color="auto"/>
        <w:left w:val="none" w:sz="0" w:space="0" w:color="auto"/>
        <w:bottom w:val="none" w:sz="0" w:space="0" w:color="auto"/>
        <w:right w:val="none" w:sz="0" w:space="0" w:color="auto"/>
      </w:divBdr>
    </w:div>
    <w:div w:id="1372074393">
      <w:bodyDiv w:val="1"/>
      <w:marLeft w:val="0"/>
      <w:marRight w:val="0"/>
      <w:marTop w:val="0"/>
      <w:marBottom w:val="0"/>
      <w:divBdr>
        <w:top w:val="none" w:sz="0" w:space="0" w:color="auto"/>
        <w:left w:val="none" w:sz="0" w:space="0" w:color="auto"/>
        <w:bottom w:val="none" w:sz="0" w:space="0" w:color="auto"/>
        <w:right w:val="none" w:sz="0" w:space="0" w:color="auto"/>
      </w:divBdr>
    </w:div>
    <w:div w:id="1372145259">
      <w:bodyDiv w:val="1"/>
      <w:marLeft w:val="0"/>
      <w:marRight w:val="0"/>
      <w:marTop w:val="0"/>
      <w:marBottom w:val="0"/>
      <w:divBdr>
        <w:top w:val="none" w:sz="0" w:space="0" w:color="auto"/>
        <w:left w:val="none" w:sz="0" w:space="0" w:color="auto"/>
        <w:bottom w:val="none" w:sz="0" w:space="0" w:color="auto"/>
        <w:right w:val="none" w:sz="0" w:space="0" w:color="auto"/>
      </w:divBdr>
    </w:div>
    <w:div w:id="1372146330">
      <w:bodyDiv w:val="1"/>
      <w:marLeft w:val="0"/>
      <w:marRight w:val="0"/>
      <w:marTop w:val="0"/>
      <w:marBottom w:val="0"/>
      <w:divBdr>
        <w:top w:val="none" w:sz="0" w:space="0" w:color="auto"/>
        <w:left w:val="none" w:sz="0" w:space="0" w:color="auto"/>
        <w:bottom w:val="none" w:sz="0" w:space="0" w:color="auto"/>
        <w:right w:val="none" w:sz="0" w:space="0" w:color="auto"/>
      </w:divBdr>
    </w:div>
    <w:div w:id="1372152646">
      <w:bodyDiv w:val="1"/>
      <w:marLeft w:val="0"/>
      <w:marRight w:val="0"/>
      <w:marTop w:val="0"/>
      <w:marBottom w:val="0"/>
      <w:divBdr>
        <w:top w:val="none" w:sz="0" w:space="0" w:color="auto"/>
        <w:left w:val="none" w:sz="0" w:space="0" w:color="auto"/>
        <w:bottom w:val="none" w:sz="0" w:space="0" w:color="auto"/>
        <w:right w:val="none" w:sz="0" w:space="0" w:color="auto"/>
      </w:divBdr>
    </w:div>
    <w:div w:id="1372193105">
      <w:bodyDiv w:val="1"/>
      <w:marLeft w:val="0"/>
      <w:marRight w:val="0"/>
      <w:marTop w:val="0"/>
      <w:marBottom w:val="0"/>
      <w:divBdr>
        <w:top w:val="none" w:sz="0" w:space="0" w:color="auto"/>
        <w:left w:val="none" w:sz="0" w:space="0" w:color="auto"/>
        <w:bottom w:val="none" w:sz="0" w:space="0" w:color="auto"/>
        <w:right w:val="none" w:sz="0" w:space="0" w:color="auto"/>
      </w:divBdr>
    </w:div>
    <w:div w:id="1372337711">
      <w:bodyDiv w:val="1"/>
      <w:marLeft w:val="0"/>
      <w:marRight w:val="0"/>
      <w:marTop w:val="0"/>
      <w:marBottom w:val="0"/>
      <w:divBdr>
        <w:top w:val="none" w:sz="0" w:space="0" w:color="auto"/>
        <w:left w:val="none" w:sz="0" w:space="0" w:color="auto"/>
        <w:bottom w:val="none" w:sz="0" w:space="0" w:color="auto"/>
        <w:right w:val="none" w:sz="0" w:space="0" w:color="auto"/>
      </w:divBdr>
    </w:div>
    <w:div w:id="1372338590">
      <w:bodyDiv w:val="1"/>
      <w:marLeft w:val="0"/>
      <w:marRight w:val="0"/>
      <w:marTop w:val="0"/>
      <w:marBottom w:val="0"/>
      <w:divBdr>
        <w:top w:val="none" w:sz="0" w:space="0" w:color="auto"/>
        <w:left w:val="none" w:sz="0" w:space="0" w:color="auto"/>
        <w:bottom w:val="none" w:sz="0" w:space="0" w:color="auto"/>
        <w:right w:val="none" w:sz="0" w:space="0" w:color="auto"/>
      </w:divBdr>
    </w:div>
    <w:div w:id="1372341819">
      <w:bodyDiv w:val="1"/>
      <w:marLeft w:val="0"/>
      <w:marRight w:val="0"/>
      <w:marTop w:val="0"/>
      <w:marBottom w:val="0"/>
      <w:divBdr>
        <w:top w:val="none" w:sz="0" w:space="0" w:color="auto"/>
        <w:left w:val="none" w:sz="0" w:space="0" w:color="auto"/>
        <w:bottom w:val="none" w:sz="0" w:space="0" w:color="auto"/>
        <w:right w:val="none" w:sz="0" w:space="0" w:color="auto"/>
      </w:divBdr>
    </w:div>
    <w:div w:id="1372455326">
      <w:bodyDiv w:val="1"/>
      <w:marLeft w:val="0"/>
      <w:marRight w:val="0"/>
      <w:marTop w:val="0"/>
      <w:marBottom w:val="0"/>
      <w:divBdr>
        <w:top w:val="none" w:sz="0" w:space="0" w:color="auto"/>
        <w:left w:val="none" w:sz="0" w:space="0" w:color="auto"/>
        <w:bottom w:val="none" w:sz="0" w:space="0" w:color="auto"/>
        <w:right w:val="none" w:sz="0" w:space="0" w:color="auto"/>
      </w:divBdr>
    </w:div>
    <w:div w:id="1372536761">
      <w:bodyDiv w:val="1"/>
      <w:marLeft w:val="0"/>
      <w:marRight w:val="0"/>
      <w:marTop w:val="0"/>
      <w:marBottom w:val="0"/>
      <w:divBdr>
        <w:top w:val="none" w:sz="0" w:space="0" w:color="auto"/>
        <w:left w:val="none" w:sz="0" w:space="0" w:color="auto"/>
        <w:bottom w:val="none" w:sz="0" w:space="0" w:color="auto"/>
        <w:right w:val="none" w:sz="0" w:space="0" w:color="auto"/>
      </w:divBdr>
    </w:div>
    <w:div w:id="1372538649">
      <w:bodyDiv w:val="1"/>
      <w:marLeft w:val="0"/>
      <w:marRight w:val="0"/>
      <w:marTop w:val="0"/>
      <w:marBottom w:val="0"/>
      <w:divBdr>
        <w:top w:val="none" w:sz="0" w:space="0" w:color="auto"/>
        <w:left w:val="none" w:sz="0" w:space="0" w:color="auto"/>
        <w:bottom w:val="none" w:sz="0" w:space="0" w:color="auto"/>
        <w:right w:val="none" w:sz="0" w:space="0" w:color="auto"/>
      </w:divBdr>
    </w:div>
    <w:div w:id="1372681297">
      <w:bodyDiv w:val="1"/>
      <w:marLeft w:val="0"/>
      <w:marRight w:val="0"/>
      <w:marTop w:val="0"/>
      <w:marBottom w:val="0"/>
      <w:divBdr>
        <w:top w:val="none" w:sz="0" w:space="0" w:color="auto"/>
        <w:left w:val="none" w:sz="0" w:space="0" w:color="auto"/>
        <w:bottom w:val="none" w:sz="0" w:space="0" w:color="auto"/>
        <w:right w:val="none" w:sz="0" w:space="0" w:color="auto"/>
      </w:divBdr>
    </w:div>
    <w:div w:id="1372683312">
      <w:bodyDiv w:val="1"/>
      <w:marLeft w:val="0"/>
      <w:marRight w:val="0"/>
      <w:marTop w:val="0"/>
      <w:marBottom w:val="0"/>
      <w:divBdr>
        <w:top w:val="none" w:sz="0" w:space="0" w:color="auto"/>
        <w:left w:val="none" w:sz="0" w:space="0" w:color="auto"/>
        <w:bottom w:val="none" w:sz="0" w:space="0" w:color="auto"/>
        <w:right w:val="none" w:sz="0" w:space="0" w:color="auto"/>
      </w:divBdr>
    </w:div>
    <w:div w:id="1372803607">
      <w:bodyDiv w:val="1"/>
      <w:marLeft w:val="0"/>
      <w:marRight w:val="0"/>
      <w:marTop w:val="0"/>
      <w:marBottom w:val="0"/>
      <w:divBdr>
        <w:top w:val="none" w:sz="0" w:space="0" w:color="auto"/>
        <w:left w:val="none" w:sz="0" w:space="0" w:color="auto"/>
        <w:bottom w:val="none" w:sz="0" w:space="0" w:color="auto"/>
        <w:right w:val="none" w:sz="0" w:space="0" w:color="auto"/>
      </w:divBdr>
    </w:div>
    <w:div w:id="1372875603">
      <w:bodyDiv w:val="1"/>
      <w:marLeft w:val="0"/>
      <w:marRight w:val="0"/>
      <w:marTop w:val="0"/>
      <w:marBottom w:val="0"/>
      <w:divBdr>
        <w:top w:val="none" w:sz="0" w:space="0" w:color="auto"/>
        <w:left w:val="none" w:sz="0" w:space="0" w:color="auto"/>
        <w:bottom w:val="none" w:sz="0" w:space="0" w:color="auto"/>
        <w:right w:val="none" w:sz="0" w:space="0" w:color="auto"/>
      </w:divBdr>
    </w:div>
    <w:div w:id="1372996570">
      <w:bodyDiv w:val="1"/>
      <w:marLeft w:val="0"/>
      <w:marRight w:val="0"/>
      <w:marTop w:val="0"/>
      <w:marBottom w:val="0"/>
      <w:divBdr>
        <w:top w:val="none" w:sz="0" w:space="0" w:color="auto"/>
        <w:left w:val="none" w:sz="0" w:space="0" w:color="auto"/>
        <w:bottom w:val="none" w:sz="0" w:space="0" w:color="auto"/>
        <w:right w:val="none" w:sz="0" w:space="0" w:color="auto"/>
      </w:divBdr>
    </w:div>
    <w:div w:id="1373000055">
      <w:bodyDiv w:val="1"/>
      <w:marLeft w:val="0"/>
      <w:marRight w:val="0"/>
      <w:marTop w:val="0"/>
      <w:marBottom w:val="0"/>
      <w:divBdr>
        <w:top w:val="none" w:sz="0" w:space="0" w:color="auto"/>
        <w:left w:val="none" w:sz="0" w:space="0" w:color="auto"/>
        <w:bottom w:val="none" w:sz="0" w:space="0" w:color="auto"/>
        <w:right w:val="none" w:sz="0" w:space="0" w:color="auto"/>
      </w:divBdr>
    </w:div>
    <w:div w:id="1373110733">
      <w:bodyDiv w:val="1"/>
      <w:marLeft w:val="0"/>
      <w:marRight w:val="0"/>
      <w:marTop w:val="0"/>
      <w:marBottom w:val="0"/>
      <w:divBdr>
        <w:top w:val="none" w:sz="0" w:space="0" w:color="auto"/>
        <w:left w:val="none" w:sz="0" w:space="0" w:color="auto"/>
        <w:bottom w:val="none" w:sz="0" w:space="0" w:color="auto"/>
        <w:right w:val="none" w:sz="0" w:space="0" w:color="auto"/>
      </w:divBdr>
    </w:div>
    <w:div w:id="1373114990">
      <w:bodyDiv w:val="1"/>
      <w:marLeft w:val="0"/>
      <w:marRight w:val="0"/>
      <w:marTop w:val="0"/>
      <w:marBottom w:val="0"/>
      <w:divBdr>
        <w:top w:val="none" w:sz="0" w:space="0" w:color="auto"/>
        <w:left w:val="none" w:sz="0" w:space="0" w:color="auto"/>
        <w:bottom w:val="none" w:sz="0" w:space="0" w:color="auto"/>
        <w:right w:val="none" w:sz="0" w:space="0" w:color="auto"/>
      </w:divBdr>
    </w:div>
    <w:div w:id="1373188532">
      <w:bodyDiv w:val="1"/>
      <w:marLeft w:val="0"/>
      <w:marRight w:val="0"/>
      <w:marTop w:val="0"/>
      <w:marBottom w:val="0"/>
      <w:divBdr>
        <w:top w:val="none" w:sz="0" w:space="0" w:color="auto"/>
        <w:left w:val="none" w:sz="0" w:space="0" w:color="auto"/>
        <w:bottom w:val="none" w:sz="0" w:space="0" w:color="auto"/>
        <w:right w:val="none" w:sz="0" w:space="0" w:color="auto"/>
      </w:divBdr>
    </w:div>
    <w:div w:id="1373190060">
      <w:bodyDiv w:val="1"/>
      <w:marLeft w:val="0"/>
      <w:marRight w:val="0"/>
      <w:marTop w:val="0"/>
      <w:marBottom w:val="0"/>
      <w:divBdr>
        <w:top w:val="none" w:sz="0" w:space="0" w:color="auto"/>
        <w:left w:val="none" w:sz="0" w:space="0" w:color="auto"/>
        <w:bottom w:val="none" w:sz="0" w:space="0" w:color="auto"/>
        <w:right w:val="none" w:sz="0" w:space="0" w:color="auto"/>
      </w:divBdr>
    </w:div>
    <w:div w:id="1373267199">
      <w:bodyDiv w:val="1"/>
      <w:marLeft w:val="0"/>
      <w:marRight w:val="0"/>
      <w:marTop w:val="0"/>
      <w:marBottom w:val="0"/>
      <w:divBdr>
        <w:top w:val="none" w:sz="0" w:space="0" w:color="auto"/>
        <w:left w:val="none" w:sz="0" w:space="0" w:color="auto"/>
        <w:bottom w:val="none" w:sz="0" w:space="0" w:color="auto"/>
        <w:right w:val="none" w:sz="0" w:space="0" w:color="auto"/>
      </w:divBdr>
    </w:div>
    <w:div w:id="1373269503">
      <w:bodyDiv w:val="1"/>
      <w:marLeft w:val="0"/>
      <w:marRight w:val="0"/>
      <w:marTop w:val="0"/>
      <w:marBottom w:val="0"/>
      <w:divBdr>
        <w:top w:val="none" w:sz="0" w:space="0" w:color="auto"/>
        <w:left w:val="none" w:sz="0" w:space="0" w:color="auto"/>
        <w:bottom w:val="none" w:sz="0" w:space="0" w:color="auto"/>
        <w:right w:val="none" w:sz="0" w:space="0" w:color="auto"/>
      </w:divBdr>
    </w:div>
    <w:div w:id="1373312630">
      <w:bodyDiv w:val="1"/>
      <w:marLeft w:val="0"/>
      <w:marRight w:val="0"/>
      <w:marTop w:val="0"/>
      <w:marBottom w:val="0"/>
      <w:divBdr>
        <w:top w:val="none" w:sz="0" w:space="0" w:color="auto"/>
        <w:left w:val="none" w:sz="0" w:space="0" w:color="auto"/>
        <w:bottom w:val="none" w:sz="0" w:space="0" w:color="auto"/>
        <w:right w:val="none" w:sz="0" w:space="0" w:color="auto"/>
      </w:divBdr>
    </w:div>
    <w:div w:id="1373337689">
      <w:bodyDiv w:val="1"/>
      <w:marLeft w:val="0"/>
      <w:marRight w:val="0"/>
      <w:marTop w:val="0"/>
      <w:marBottom w:val="0"/>
      <w:divBdr>
        <w:top w:val="none" w:sz="0" w:space="0" w:color="auto"/>
        <w:left w:val="none" w:sz="0" w:space="0" w:color="auto"/>
        <w:bottom w:val="none" w:sz="0" w:space="0" w:color="auto"/>
        <w:right w:val="none" w:sz="0" w:space="0" w:color="auto"/>
      </w:divBdr>
    </w:div>
    <w:div w:id="1373339300">
      <w:bodyDiv w:val="1"/>
      <w:marLeft w:val="0"/>
      <w:marRight w:val="0"/>
      <w:marTop w:val="0"/>
      <w:marBottom w:val="0"/>
      <w:divBdr>
        <w:top w:val="none" w:sz="0" w:space="0" w:color="auto"/>
        <w:left w:val="none" w:sz="0" w:space="0" w:color="auto"/>
        <w:bottom w:val="none" w:sz="0" w:space="0" w:color="auto"/>
        <w:right w:val="none" w:sz="0" w:space="0" w:color="auto"/>
      </w:divBdr>
    </w:div>
    <w:div w:id="1373723584">
      <w:bodyDiv w:val="1"/>
      <w:marLeft w:val="0"/>
      <w:marRight w:val="0"/>
      <w:marTop w:val="0"/>
      <w:marBottom w:val="0"/>
      <w:divBdr>
        <w:top w:val="none" w:sz="0" w:space="0" w:color="auto"/>
        <w:left w:val="none" w:sz="0" w:space="0" w:color="auto"/>
        <w:bottom w:val="none" w:sz="0" w:space="0" w:color="auto"/>
        <w:right w:val="none" w:sz="0" w:space="0" w:color="auto"/>
      </w:divBdr>
    </w:div>
    <w:div w:id="1373731011">
      <w:bodyDiv w:val="1"/>
      <w:marLeft w:val="0"/>
      <w:marRight w:val="0"/>
      <w:marTop w:val="0"/>
      <w:marBottom w:val="0"/>
      <w:divBdr>
        <w:top w:val="none" w:sz="0" w:space="0" w:color="auto"/>
        <w:left w:val="none" w:sz="0" w:space="0" w:color="auto"/>
        <w:bottom w:val="none" w:sz="0" w:space="0" w:color="auto"/>
        <w:right w:val="none" w:sz="0" w:space="0" w:color="auto"/>
      </w:divBdr>
    </w:div>
    <w:div w:id="1373921125">
      <w:bodyDiv w:val="1"/>
      <w:marLeft w:val="0"/>
      <w:marRight w:val="0"/>
      <w:marTop w:val="0"/>
      <w:marBottom w:val="0"/>
      <w:divBdr>
        <w:top w:val="none" w:sz="0" w:space="0" w:color="auto"/>
        <w:left w:val="none" w:sz="0" w:space="0" w:color="auto"/>
        <w:bottom w:val="none" w:sz="0" w:space="0" w:color="auto"/>
        <w:right w:val="none" w:sz="0" w:space="0" w:color="auto"/>
      </w:divBdr>
    </w:div>
    <w:div w:id="1373992581">
      <w:bodyDiv w:val="1"/>
      <w:marLeft w:val="0"/>
      <w:marRight w:val="0"/>
      <w:marTop w:val="0"/>
      <w:marBottom w:val="0"/>
      <w:divBdr>
        <w:top w:val="none" w:sz="0" w:space="0" w:color="auto"/>
        <w:left w:val="none" w:sz="0" w:space="0" w:color="auto"/>
        <w:bottom w:val="none" w:sz="0" w:space="0" w:color="auto"/>
        <w:right w:val="none" w:sz="0" w:space="0" w:color="auto"/>
      </w:divBdr>
    </w:div>
    <w:div w:id="1374034172">
      <w:bodyDiv w:val="1"/>
      <w:marLeft w:val="0"/>
      <w:marRight w:val="0"/>
      <w:marTop w:val="0"/>
      <w:marBottom w:val="0"/>
      <w:divBdr>
        <w:top w:val="none" w:sz="0" w:space="0" w:color="auto"/>
        <w:left w:val="none" w:sz="0" w:space="0" w:color="auto"/>
        <w:bottom w:val="none" w:sz="0" w:space="0" w:color="auto"/>
        <w:right w:val="none" w:sz="0" w:space="0" w:color="auto"/>
      </w:divBdr>
    </w:div>
    <w:div w:id="1374037086">
      <w:bodyDiv w:val="1"/>
      <w:marLeft w:val="0"/>
      <w:marRight w:val="0"/>
      <w:marTop w:val="0"/>
      <w:marBottom w:val="0"/>
      <w:divBdr>
        <w:top w:val="none" w:sz="0" w:space="0" w:color="auto"/>
        <w:left w:val="none" w:sz="0" w:space="0" w:color="auto"/>
        <w:bottom w:val="none" w:sz="0" w:space="0" w:color="auto"/>
        <w:right w:val="none" w:sz="0" w:space="0" w:color="auto"/>
      </w:divBdr>
    </w:div>
    <w:div w:id="1374113108">
      <w:bodyDiv w:val="1"/>
      <w:marLeft w:val="0"/>
      <w:marRight w:val="0"/>
      <w:marTop w:val="0"/>
      <w:marBottom w:val="0"/>
      <w:divBdr>
        <w:top w:val="none" w:sz="0" w:space="0" w:color="auto"/>
        <w:left w:val="none" w:sz="0" w:space="0" w:color="auto"/>
        <w:bottom w:val="none" w:sz="0" w:space="0" w:color="auto"/>
        <w:right w:val="none" w:sz="0" w:space="0" w:color="auto"/>
      </w:divBdr>
    </w:div>
    <w:div w:id="1374116391">
      <w:bodyDiv w:val="1"/>
      <w:marLeft w:val="0"/>
      <w:marRight w:val="0"/>
      <w:marTop w:val="0"/>
      <w:marBottom w:val="0"/>
      <w:divBdr>
        <w:top w:val="none" w:sz="0" w:space="0" w:color="auto"/>
        <w:left w:val="none" w:sz="0" w:space="0" w:color="auto"/>
        <w:bottom w:val="none" w:sz="0" w:space="0" w:color="auto"/>
        <w:right w:val="none" w:sz="0" w:space="0" w:color="auto"/>
      </w:divBdr>
    </w:div>
    <w:div w:id="1374116484">
      <w:bodyDiv w:val="1"/>
      <w:marLeft w:val="0"/>
      <w:marRight w:val="0"/>
      <w:marTop w:val="0"/>
      <w:marBottom w:val="0"/>
      <w:divBdr>
        <w:top w:val="none" w:sz="0" w:space="0" w:color="auto"/>
        <w:left w:val="none" w:sz="0" w:space="0" w:color="auto"/>
        <w:bottom w:val="none" w:sz="0" w:space="0" w:color="auto"/>
        <w:right w:val="none" w:sz="0" w:space="0" w:color="auto"/>
      </w:divBdr>
    </w:div>
    <w:div w:id="1374119027">
      <w:bodyDiv w:val="1"/>
      <w:marLeft w:val="0"/>
      <w:marRight w:val="0"/>
      <w:marTop w:val="0"/>
      <w:marBottom w:val="0"/>
      <w:divBdr>
        <w:top w:val="none" w:sz="0" w:space="0" w:color="auto"/>
        <w:left w:val="none" w:sz="0" w:space="0" w:color="auto"/>
        <w:bottom w:val="none" w:sz="0" w:space="0" w:color="auto"/>
        <w:right w:val="none" w:sz="0" w:space="0" w:color="auto"/>
      </w:divBdr>
    </w:div>
    <w:div w:id="1374185625">
      <w:bodyDiv w:val="1"/>
      <w:marLeft w:val="0"/>
      <w:marRight w:val="0"/>
      <w:marTop w:val="0"/>
      <w:marBottom w:val="0"/>
      <w:divBdr>
        <w:top w:val="none" w:sz="0" w:space="0" w:color="auto"/>
        <w:left w:val="none" w:sz="0" w:space="0" w:color="auto"/>
        <w:bottom w:val="none" w:sz="0" w:space="0" w:color="auto"/>
        <w:right w:val="none" w:sz="0" w:space="0" w:color="auto"/>
      </w:divBdr>
    </w:div>
    <w:div w:id="1374188046">
      <w:bodyDiv w:val="1"/>
      <w:marLeft w:val="0"/>
      <w:marRight w:val="0"/>
      <w:marTop w:val="0"/>
      <w:marBottom w:val="0"/>
      <w:divBdr>
        <w:top w:val="none" w:sz="0" w:space="0" w:color="auto"/>
        <w:left w:val="none" w:sz="0" w:space="0" w:color="auto"/>
        <w:bottom w:val="none" w:sz="0" w:space="0" w:color="auto"/>
        <w:right w:val="none" w:sz="0" w:space="0" w:color="auto"/>
      </w:divBdr>
    </w:div>
    <w:div w:id="1374191231">
      <w:bodyDiv w:val="1"/>
      <w:marLeft w:val="0"/>
      <w:marRight w:val="0"/>
      <w:marTop w:val="0"/>
      <w:marBottom w:val="0"/>
      <w:divBdr>
        <w:top w:val="none" w:sz="0" w:space="0" w:color="auto"/>
        <w:left w:val="none" w:sz="0" w:space="0" w:color="auto"/>
        <w:bottom w:val="none" w:sz="0" w:space="0" w:color="auto"/>
        <w:right w:val="none" w:sz="0" w:space="0" w:color="auto"/>
      </w:divBdr>
    </w:div>
    <w:div w:id="1374378303">
      <w:bodyDiv w:val="1"/>
      <w:marLeft w:val="0"/>
      <w:marRight w:val="0"/>
      <w:marTop w:val="0"/>
      <w:marBottom w:val="0"/>
      <w:divBdr>
        <w:top w:val="none" w:sz="0" w:space="0" w:color="auto"/>
        <w:left w:val="none" w:sz="0" w:space="0" w:color="auto"/>
        <w:bottom w:val="none" w:sz="0" w:space="0" w:color="auto"/>
        <w:right w:val="none" w:sz="0" w:space="0" w:color="auto"/>
      </w:divBdr>
    </w:div>
    <w:div w:id="1374379242">
      <w:bodyDiv w:val="1"/>
      <w:marLeft w:val="0"/>
      <w:marRight w:val="0"/>
      <w:marTop w:val="0"/>
      <w:marBottom w:val="0"/>
      <w:divBdr>
        <w:top w:val="none" w:sz="0" w:space="0" w:color="auto"/>
        <w:left w:val="none" w:sz="0" w:space="0" w:color="auto"/>
        <w:bottom w:val="none" w:sz="0" w:space="0" w:color="auto"/>
        <w:right w:val="none" w:sz="0" w:space="0" w:color="auto"/>
      </w:divBdr>
    </w:div>
    <w:div w:id="1374422647">
      <w:bodyDiv w:val="1"/>
      <w:marLeft w:val="0"/>
      <w:marRight w:val="0"/>
      <w:marTop w:val="0"/>
      <w:marBottom w:val="0"/>
      <w:divBdr>
        <w:top w:val="none" w:sz="0" w:space="0" w:color="auto"/>
        <w:left w:val="none" w:sz="0" w:space="0" w:color="auto"/>
        <w:bottom w:val="none" w:sz="0" w:space="0" w:color="auto"/>
        <w:right w:val="none" w:sz="0" w:space="0" w:color="auto"/>
      </w:divBdr>
    </w:div>
    <w:div w:id="1374498021">
      <w:bodyDiv w:val="1"/>
      <w:marLeft w:val="0"/>
      <w:marRight w:val="0"/>
      <w:marTop w:val="0"/>
      <w:marBottom w:val="0"/>
      <w:divBdr>
        <w:top w:val="none" w:sz="0" w:space="0" w:color="auto"/>
        <w:left w:val="none" w:sz="0" w:space="0" w:color="auto"/>
        <w:bottom w:val="none" w:sz="0" w:space="0" w:color="auto"/>
        <w:right w:val="none" w:sz="0" w:space="0" w:color="auto"/>
      </w:divBdr>
    </w:div>
    <w:div w:id="1374501314">
      <w:bodyDiv w:val="1"/>
      <w:marLeft w:val="0"/>
      <w:marRight w:val="0"/>
      <w:marTop w:val="0"/>
      <w:marBottom w:val="0"/>
      <w:divBdr>
        <w:top w:val="none" w:sz="0" w:space="0" w:color="auto"/>
        <w:left w:val="none" w:sz="0" w:space="0" w:color="auto"/>
        <w:bottom w:val="none" w:sz="0" w:space="0" w:color="auto"/>
        <w:right w:val="none" w:sz="0" w:space="0" w:color="auto"/>
      </w:divBdr>
    </w:div>
    <w:div w:id="1374767171">
      <w:bodyDiv w:val="1"/>
      <w:marLeft w:val="0"/>
      <w:marRight w:val="0"/>
      <w:marTop w:val="0"/>
      <w:marBottom w:val="0"/>
      <w:divBdr>
        <w:top w:val="none" w:sz="0" w:space="0" w:color="auto"/>
        <w:left w:val="none" w:sz="0" w:space="0" w:color="auto"/>
        <w:bottom w:val="none" w:sz="0" w:space="0" w:color="auto"/>
        <w:right w:val="none" w:sz="0" w:space="0" w:color="auto"/>
      </w:divBdr>
    </w:div>
    <w:div w:id="1374841109">
      <w:bodyDiv w:val="1"/>
      <w:marLeft w:val="0"/>
      <w:marRight w:val="0"/>
      <w:marTop w:val="0"/>
      <w:marBottom w:val="0"/>
      <w:divBdr>
        <w:top w:val="none" w:sz="0" w:space="0" w:color="auto"/>
        <w:left w:val="none" w:sz="0" w:space="0" w:color="auto"/>
        <w:bottom w:val="none" w:sz="0" w:space="0" w:color="auto"/>
        <w:right w:val="none" w:sz="0" w:space="0" w:color="auto"/>
      </w:divBdr>
    </w:div>
    <w:div w:id="1374846198">
      <w:bodyDiv w:val="1"/>
      <w:marLeft w:val="0"/>
      <w:marRight w:val="0"/>
      <w:marTop w:val="0"/>
      <w:marBottom w:val="0"/>
      <w:divBdr>
        <w:top w:val="none" w:sz="0" w:space="0" w:color="auto"/>
        <w:left w:val="none" w:sz="0" w:space="0" w:color="auto"/>
        <w:bottom w:val="none" w:sz="0" w:space="0" w:color="auto"/>
        <w:right w:val="none" w:sz="0" w:space="0" w:color="auto"/>
      </w:divBdr>
    </w:div>
    <w:div w:id="1374959775">
      <w:bodyDiv w:val="1"/>
      <w:marLeft w:val="0"/>
      <w:marRight w:val="0"/>
      <w:marTop w:val="0"/>
      <w:marBottom w:val="0"/>
      <w:divBdr>
        <w:top w:val="none" w:sz="0" w:space="0" w:color="auto"/>
        <w:left w:val="none" w:sz="0" w:space="0" w:color="auto"/>
        <w:bottom w:val="none" w:sz="0" w:space="0" w:color="auto"/>
        <w:right w:val="none" w:sz="0" w:space="0" w:color="auto"/>
      </w:divBdr>
    </w:div>
    <w:div w:id="1375033248">
      <w:bodyDiv w:val="1"/>
      <w:marLeft w:val="0"/>
      <w:marRight w:val="0"/>
      <w:marTop w:val="0"/>
      <w:marBottom w:val="0"/>
      <w:divBdr>
        <w:top w:val="none" w:sz="0" w:space="0" w:color="auto"/>
        <w:left w:val="none" w:sz="0" w:space="0" w:color="auto"/>
        <w:bottom w:val="none" w:sz="0" w:space="0" w:color="auto"/>
        <w:right w:val="none" w:sz="0" w:space="0" w:color="auto"/>
      </w:divBdr>
    </w:div>
    <w:div w:id="1375158735">
      <w:bodyDiv w:val="1"/>
      <w:marLeft w:val="0"/>
      <w:marRight w:val="0"/>
      <w:marTop w:val="0"/>
      <w:marBottom w:val="0"/>
      <w:divBdr>
        <w:top w:val="none" w:sz="0" w:space="0" w:color="auto"/>
        <w:left w:val="none" w:sz="0" w:space="0" w:color="auto"/>
        <w:bottom w:val="none" w:sz="0" w:space="0" w:color="auto"/>
        <w:right w:val="none" w:sz="0" w:space="0" w:color="auto"/>
      </w:divBdr>
    </w:div>
    <w:div w:id="1375230981">
      <w:bodyDiv w:val="1"/>
      <w:marLeft w:val="0"/>
      <w:marRight w:val="0"/>
      <w:marTop w:val="0"/>
      <w:marBottom w:val="0"/>
      <w:divBdr>
        <w:top w:val="none" w:sz="0" w:space="0" w:color="auto"/>
        <w:left w:val="none" w:sz="0" w:space="0" w:color="auto"/>
        <w:bottom w:val="none" w:sz="0" w:space="0" w:color="auto"/>
        <w:right w:val="none" w:sz="0" w:space="0" w:color="auto"/>
      </w:divBdr>
    </w:div>
    <w:div w:id="1375233419">
      <w:bodyDiv w:val="1"/>
      <w:marLeft w:val="0"/>
      <w:marRight w:val="0"/>
      <w:marTop w:val="0"/>
      <w:marBottom w:val="0"/>
      <w:divBdr>
        <w:top w:val="none" w:sz="0" w:space="0" w:color="auto"/>
        <w:left w:val="none" w:sz="0" w:space="0" w:color="auto"/>
        <w:bottom w:val="none" w:sz="0" w:space="0" w:color="auto"/>
        <w:right w:val="none" w:sz="0" w:space="0" w:color="auto"/>
      </w:divBdr>
    </w:div>
    <w:div w:id="1375236178">
      <w:bodyDiv w:val="1"/>
      <w:marLeft w:val="0"/>
      <w:marRight w:val="0"/>
      <w:marTop w:val="0"/>
      <w:marBottom w:val="0"/>
      <w:divBdr>
        <w:top w:val="none" w:sz="0" w:space="0" w:color="auto"/>
        <w:left w:val="none" w:sz="0" w:space="0" w:color="auto"/>
        <w:bottom w:val="none" w:sz="0" w:space="0" w:color="auto"/>
        <w:right w:val="none" w:sz="0" w:space="0" w:color="auto"/>
      </w:divBdr>
    </w:div>
    <w:div w:id="1375275638">
      <w:bodyDiv w:val="1"/>
      <w:marLeft w:val="0"/>
      <w:marRight w:val="0"/>
      <w:marTop w:val="0"/>
      <w:marBottom w:val="0"/>
      <w:divBdr>
        <w:top w:val="none" w:sz="0" w:space="0" w:color="auto"/>
        <w:left w:val="none" w:sz="0" w:space="0" w:color="auto"/>
        <w:bottom w:val="none" w:sz="0" w:space="0" w:color="auto"/>
        <w:right w:val="none" w:sz="0" w:space="0" w:color="auto"/>
      </w:divBdr>
    </w:div>
    <w:div w:id="1375303087">
      <w:bodyDiv w:val="1"/>
      <w:marLeft w:val="0"/>
      <w:marRight w:val="0"/>
      <w:marTop w:val="0"/>
      <w:marBottom w:val="0"/>
      <w:divBdr>
        <w:top w:val="none" w:sz="0" w:space="0" w:color="auto"/>
        <w:left w:val="none" w:sz="0" w:space="0" w:color="auto"/>
        <w:bottom w:val="none" w:sz="0" w:space="0" w:color="auto"/>
        <w:right w:val="none" w:sz="0" w:space="0" w:color="auto"/>
      </w:divBdr>
    </w:div>
    <w:div w:id="1375352386">
      <w:bodyDiv w:val="1"/>
      <w:marLeft w:val="0"/>
      <w:marRight w:val="0"/>
      <w:marTop w:val="0"/>
      <w:marBottom w:val="0"/>
      <w:divBdr>
        <w:top w:val="none" w:sz="0" w:space="0" w:color="auto"/>
        <w:left w:val="none" w:sz="0" w:space="0" w:color="auto"/>
        <w:bottom w:val="none" w:sz="0" w:space="0" w:color="auto"/>
        <w:right w:val="none" w:sz="0" w:space="0" w:color="auto"/>
      </w:divBdr>
    </w:div>
    <w:div w:id="1375428077">
      <w:bodyDiv w:val="1"/>
      <w:marLeft w:val="0"/>
      <w:marRight w:val="0"/>
      <w:marTop w:val="0"/>
      <w:marBottom w:val="0"/>
      <w:divBdr>
        <w:top w:val="none" w:sz="0" w:space="0" w:color="auto"/>
        <w:left w:val="none" w:sz="0" w:space="0" w:color="auto"/>
        <w:bottom w:val="none" w:sz="0" w:space="0" w:color="auto"/>
        <w:right w:val="none" w:sz="0" w:space="0" w:color="auto"/>
      </w:divBdr>
    </w:div>
    <w:div w:id="1375499659">
      <w:bodyDiv w:val="1"/>
      <w:marLeft w:val="0"/>
      <w:marRight w:val="0"/>
      <w:marTop w:val="0"/>
      <w:marBottom w:val="0"/>
      <w:divBdr>
        <w:top w:val="none" w:sz="0" w:space="0" w:color="auto"/>
        <w:left w:val="none" w:sz="0" w:space="0" w:color="auto"/>
        <w:bottom w:val="none" w:sz="0" w:space="0" w:color="auto"/>
        <w:right w:val="none" w:sz="0" w:space="0" w:color="auto"/>
      </w:divBdr>
    </w:div>
    <w:div w:id="1375616012">
      <w:bodyDiv w:val="1"/>
      <w:marLeft w:val="0"/>
      <w:marRight w:val="0"/>
      <w:marTop w:val="0"/>
      <w:marBottom w:val="0"/>
      <w:divBdr>
        <w:top w:val="none" w:sz="0" w:space="0" w:color="auto"/>
        <w:left w:val="none" w:sz="0" w:space="0" w:color="auto"/>
        <w:bottom w:val="none" w:sz="0" w:space="0" w:color="auto"/>
        <w:right w:val="none" w:sz="0" w:space="0" w:color="auto"/>
      </w:divBdr>
    </w:div>
    <w:div w:id="1375618195">
      <w:bodyDiv w:val="1"/>
      <w:marLeft w:val="0"/>
      <w:marRight w:val="0"/>
      <w:marTop w:val="0"/>
      <w:marBottom w:val="0"/>
      <w:divBdr>
        <w:top w:val="none" w:sz="0" w:space="0" w:color="auto"/>
        <w:left w:val="none" w:sz="0" w:space="0" w:color="auto"/>
        <w:bottom w:val="none" w:sz="0" w:space="0" w:color="auto"/>
        <w:right w:val="none" w:sz="0" w:space="0" w:color="auto"/>
      </w:divBdr>
    </w:div>
    <w:div w:id="1375693567">
      <w:bodyDiv w:val="1"/>
      <w:marLeft w:val="0"/>
      <w:marRight w:val="0"/>
      <w:marTop w:val="0"/>
      <w:marBottom w:val="0"/>
      <w:divBdr>
        <w:top w:val="none" w:sz="0" w:space="0" w:color="auto"/>
        <w:left w:val="none" w:sz="0" w:space="0" w:color="auto"/>
        <w:bottom w:val="none" w:sz="0" w:space="0" w:color="auto"/>
        <w:right w:val="none" w:sz="0" w:space="0" w:color="auto"/>
      </w:divBdr>
    </w:div>
    <w:div w:id="1375733015">
      <w:bodyDiv w:val="1"/>
      <w:marLeft w:val="0"/>
      <w:marRight w:val="0"/>
      <w:marTop w:val="0"/>
      <w:marBottom w:val="0"/>
      <w:divBdr>
        <w:top w:val="none" w:sz="0" w:space="0" w:color="auto"/>
        <w:left w:val="none" w:sz="0" w:space="0" w:color="auto"/>
        <w:bottom w:val="none" w:sz="0" w:space="0" w:color="auto"/>
        <w:right w:val="none" w:sz="0" w:space="0" w:color="auto"/>
      </w:divBdr>
    </w:div>
    <w:div w:id="1375813157">
      <w:bodyDiv w:val="1"/>
      <w:marLeft w:val="0"/>
      <w:marRight w:val="0"/>
      <w:marTop w:val="0"/>
      <w:marBottom w:val="0"/>
      <w:divBdr>
        <w:top w:val="none" w:sz="0" w:space="0" w:color="auto"/>
        <w:left w:val="none" w:sz="0" w:space="0" w:color="auto"/>
        <w:bottom w:val="none" w:sz="0" w:space="0" w:color="auto"/>
        <w:right w:val="none" w:sz="0" w:space="0" w:color="auto"/>
      </w:divBdr>
    </w:div>
    <w:div w:id="1375814977">
      <w:bodyDiv w:val="1"/>
      <w:marLeft w:val="0"/>
      <w:marRight w:val="0"/>
      <w:marTop w:val="0"/>
      <w:marBottom w:val="0"/>
      <w:divBdr>
        <w:top w:val="none" w:sz="0" w:space="0" w:color="auto"/>
        <w:left w:val="none" w:sz="0" w:space="0" w:color="auto"/>
        <w:bottom w:val="none" w:sz="0" w:space="0" w:color="auto"/>
        <w:right w:val="none" w:sz="0" w:space="0" w:color="auto"/>
      </w:divBdr>
    </w:div>
    <w:div w:id="1375884443">
      <w:bodyDiv w:val="1"/>
      <w:marLeft w:val="0"/>
      <w:marRight w:val="0"/>
      <w:marTop w:val="0"/>
      <w:marBottom w:val="0"/>
      <w:divBdr>
        <w:top w:val="none" w:sz="0" w:space="0" w:color="auto"/>
        <w:left w:val="none" w:sz="0" w:space="0" w:color="auto"/>
        <w:bottom w:val="none" w:sz="0" w:space="0" w:color="auto"/>
        <w:right w:val="none" w:sz="0" w:space="0" w:color="auto"/>
      </w:divBdr>
    </w:div>
    <w:div w:id="1376006242">
      <w:bodyDiv w:val="1"/>
      <w:marLeft w:val="0"/>
      <w:marRight w:val="0"/>
      <w:marTop w:val="0"/>
      <w:marBottom w:val="0"/>
      <w:divBdr>
        <w:top w:val="none" w:sz="0" w:space="0" w:color="auto"/>
        <w:left w:val="none" w:sz="0" w:space="0" w:color="auto"/>
        <w:bottom w:val="none" w:sz="0" w:space="0" w:color="auto"/>
        <w:right w:val="none" w:sz="0" w:space="0" w:color="auto"/>
      </w:divBdr>
    </w:div>
    <w:div w:id="1376075379">
      <w:bodyDiv w:val="1"/>
      <w:marLeft w:val="0"/>
      <w:marRight w:val="0"/>
      <w:marTop w:val="0"/>
      <w:marBottom w:val="0"/>
      <w:divBdr>
        <w:top w:val="none" w:sz="0" w:space="0" w:color="auto"/>
        <w:left w:val="none" w:sz="0" w:space="0" w:color="auto"/>
        <w:bottom w:val="none" w:sz="0" w:space="0" w:color="auto"/>
        <w:right w:val="none" w:sz="0" w:space="0" w:color="auto"/>
      </w:divBdr>
    </w:div>
    <w:div w:id="1376078339">
      <w:bodyDiv w:val="1"/>
      <w:marLeft w:val="0"/>
      <w:marRight w:val="0"/>
      <w:marTop w:val="0"/>
      <w:marBottom w:val="0"/>
      <w:divBdr>
        <w:top w:val="none" w:sz="0" w:space="0" w:color="auto"/>
        <w:left w:val="none" w:sz="0" w:space="0" w:color="auto"/>
        <w:bottom w:val="none" w:sz="0" w:space="0" w:color="auto"/>
        <w:right w:val="none" w:sz="0" w:space="0" w:color="auto"/>
      </w:divBdr>
    </w:div>
    <w:div w:id="1376126213">
      <w:bodyDiv w:val="1"/>
      <w:marLeft w:val="0"/>
      <w:marRight w:val="0"/>
      <w:marTop w:val="0"/>
      <w:marBottom w:val="0"/>
      <w:divBdr>
        <w:top w:val="none" w:sz="0" w:space="0" w:color="auto"/>
        <w:left w:val="none" w:sz="0" w:space="0" w:color="auto"/>
        <w:bottom w:val="none" w:sz="0" w:space="0" w:color="auto"/>
        <w:right w:val="none" w:sz="0" w:space="0" w:color="auto"/>
      </w:divBdr>
    </w:div>
    <w:div w:id="1376150773">
      <w:bodyDiv w:val="1"/>
      <w:marLeft w:val="0"/>
      <w:marRight w:val="0"/>
      <w:marTop w:val="0"/>
      <w:marBottom w:val="0"/>
      <w:divBdr>
        <w:top w:val="none" w:sz="0" w:space="0" w:color="auto"/>
        <w:left w:val="none" w:sz="0" w:space="0" w:color="auto"/>
        <w:bottom w:val="none" w:sz="0" w:space="0" w:color="auto"/>
        <w:right w:val="none" w:sz="0" w:space="0" w:color="auto"/>
      </w:divBdr>
    </w:div>
    <w:div w:id="1376200486">
      <w:bodyDiv w:val="1"/>
      <w:marLeft w:val="0"/>
      <w:marRight w:val="0"/>
      <w:marTop w:val="0"/>
      <w:marBottom w:val="0"/>
      <w:divBdr>
        <w:top w:val="none" w:sz="0" w:space="0" w:color="auto"/>
        <w:left w:val="none" w:sz="0" w:space="0" w:color="auto"/>
        <w:bottom w:val="none" w:sz="0" w:space="0" w:color="auto"/>
        <w:right w:val="none" w:sz="0" w:space="0" w:color="auto"/>
      </w:divBdr>
    </w:div>
    <w:div w:id="1376272057">
      <w:bodyDiv w:val="1"/>
      <w:marLeft w:val="0"/>
      <w:marRight w:val="0"/>
      <w:marTop w:val="0"/>
      <w:marBottom w:val="0"/>
      <w:divBdr>
        <w:top w:val="none" w:sz="0" w:space="0" w:color="auto"/>
        <w:left w:val="none" w:sz="0" w:space="0" w:color="auto"/>
        <w:bottom w:val="none" w:sz="0" w:space="0" w:color="auto"/>
        <w:right w:val="none" w:sz="0" w:space="0" w:color="auto"/>
      </w:divBdr>
    </w:div>
    <w:div w:id="1376277328">
      <w:bodyDiv w:val="1"/>
      <w:marLeft w:val="0"/>
      <w:marRight w:val="0"/>
      <w:marTop w:val="0"/>
      <w:marBottom w:val="0"/>
      <w:divBdr>
        <w:top w:val="none" w:sz="0" w:space="0" w:color="auto"/>
        <w:left w:val="none" w:sz="0" w:space="0" w:color="auto"/>
        <w:bottom w:val="none" w:sz="0" w:space="0" w:color="auto"/>
        <w:right w:val="none" w:sz="0" w:space="0" w:color="auto"/>
      </w:divBdr>
    </w:div>
    <w:div w:id="1376348673">
      <w:bodyDiv w:val="1"/>
      <w:marLeft w:val="0"/>
      <w:marRight w:val="0"/>
      <w:marTop w:val="0"/>
      <w:marBottom w:val="0"/>
      <w:divBdr>
        <w:top w:val="none" w:sz="0" w:space="0" w:color="auto"/>
        <w:left w:val="none" w:sz="0" w:space="0" w:color="auto"/>
        <w:bottom w:val="none" w:sz="0" w:space="0" w:color="auto"/>
        <w:right w:val="none" w:sz="0" w:space="0" w:color="auto"/>
      </w:divBdr>
    </w:div>
    <w:div w:id="1376462422">
      <w:bodyDiv w:val="1"/>
      <w:marLeft w:val="0"/>
      <w:marRight w:val="0"/>
      <w:marTop w:val="0"/>
      <w:marBottom w:val="0"/>
      <w:divBdr>
        <w:top w:val="none" w:sz="0" w:space="0" w:color="auto"/>
        <w:left w:val="none" w:sz="0" w:space="0" w:color="auto"/>
        <w:bottom w:val="none" w:sz="0" w:space="0" w:color="auto"/>
        <w:right w:val="none" w:sz="0" w:space="0" w:color="auto"/>
      </w:divBdr>
    </w:div>
    <w:div w:id="1376539504">
      <w:bodyDiv w:val="1"/>
      <w:marLeft w:val="0"/>
      <w:marRight w:val="0"/>
      <w:marTop w:val="0"/>
      <w:marBottom w:val="0"/>
      <w:divBdr>
        <w:top w:val="none" w:sz="0" w:space="0" w:color="auto"/>
        <w:left w:val="none" w:sz="0" w:space="0" w:color="auto"/>
        <w:bottom w:val="none" w:sz="0" w:space="0" w:color="auto"/>
        <w:right w:val="none" w:sz="0" w:space="0" w:color="auto"/>
      </w:divBdr>
    </w:div>
    <w:div w:id="1376541466">
      <w:bodyDiv w:val="1"/>
      <w:marLeft w:val="0"/>
      <w:marRight w:val="0"/>
      <w:marTop w:val="0"/>
      <w:marBottom w:val="0"/>
      <w:divBdr>
        <w:top w:val="none" w:sz="0" w:space="0" w:color="auto"/>
        <w:left w:val="none" w:sz="0" w:space="0" w:color="auto"/>
        <w:bottom w:val="none" w:sz="0" w:space="0" w:color="auto"/>
        <w:right w:val="none" w:sz="0" w:space="0" w:color="auto"/>
      </w:divBdr>
    </w:div>
    <w:div w:id="1376544540">
      <w:bodyDiv w:val="1"/>
      <w:marLeft w:val="0"/>
      <w:marRight w:val="0"/>
      <w:marTop w:val="0"/>
      <w:marBottom w:val="0"/>
      <w:divBdr>
        <w:top w:val="none" w:sz="0" w:space="0" w:color="auto"/>
        <w:left w:val="none" w:sz="0" w:space="0" w:color="auto"/>
        <w:bottom w:val="none" w:sz="0" w:space="0" w:color="auto"/>
        <w:right w:val="none" w:sz="0" w:space="0" w:color="auto"/>
      </w:divBdr>
    </w:div>
    <w:div w:id="1376587246">
      <w:bodyDiv w:val="1"/>
      <w:marLeft w:val="0"/>
      <w:marRight w:val="0"/>
      <w:marTop w:val="0"/>
      <w:marBottom w:val="0"/>
      <w:divBdr>
        <w:top w:val="none" w:sz="0" w:space="0" w:color="auto"/>
        <w:left w:val="none" w:sz="0" w:space="0" w:color="auto"/>
        <w:bottom w:val="none" w:sz="0" w:space="0" w:color="auto"/>
        <w:right w:val="none" w:sz="0" w:space="0" w:color="auto"/>
      </w:divBdr>
    </w:div>
    <w:div w:id="1376612743">
      <w:bodyDiv w:val="1"/>
      <w:marLeft w:val="0"/>
      <w:marRight w:val="0"/>
      <w:marTop w:val="0"/>
      <w:marBottom w:val="0"/>
      <w:divBdr>
        <w:top w:val="none" w:sz="0" w:space="0" w:color="auto"/>
        <w:left w:val="none" w:sz="0" w:space="0" w:color="auto"/>
        <w:bottom w:val="none" w:sz="0" w:space="0" w:color="auto"/>
        <w:right w:val="none" w:sz="0" w:space="0" w:color="auto"/>
      </w:divBdr>
    </w:div>
    <w:div w:id="1376808549">
      <w:bodyDiv w:val="1"/>
      <w:marLeft w:val="0"/>
      <w:marRight w:val="0"/>
      <w:marTop w:val="0"/>
      <w:marBottom w:val="0"/>
      <w:divBdr>
        <w:top w:val="none" w:sz="0" w:space="0" w:color="auto"/>
        <w:left w:val="none" w:sz="0" w:space="0" w:color="auto"/>
        <w:bottom w:val="none" w:sz="0" w:space="0" w:color="auto"/>
        <w:right w:val="none" w:sz="0" w:space="0" w:color="auto"/>
      </w:divBdr>
    </w:div>
    <w:div w:id="1376927895">
      <w:bodyDiv w:val="1"/>
      <w:marLeft w:val="0"/>
      <w:marRight w:val="0"/>
      <w:marTop w:val="0"/>
      <w:marBottom w:val="0"/>
      <w:divBdr>
        <w:top w:val="none" w:sz="0" w:space="0" w:color="auto"/>
        <w:left w:val="none" w:sz="0" w:space="0" w:color="auto"/>
        <w:bottom w:val="none" w:sz="0" w:space="0" w:color="auto"/>
        <w:right w:val="none" w:sz="0" w:space="0" w:color="auto"/>
      </w:divBdr>
    </w:div>
    <w:div w:id="1376933105">
      <w:bodyDiv w:val="1"/>
      <w:marLeft w:val="0"/>
      <w:marRight w:val="0"/>
      <w:marTop w:val="0"/>
      <w:marBottom w:val="0"/>
      <w:divBdr>
        <w:top w:val="none" w:sz="0" w:space="0" w:color="auto"/>
        <w:left w:val="none" w:sz="0" w:space="0" w:color="auto"/>
        <w:bottom w:val="none" w:sz="0" w:space="0" w:color="auto"/>
        <w:right w:val="none" w:sz="0" w:space="0" w:color="auto"/>
      </w:divBdr>
    </w:div>
    <w:div w:id="1377075095">
      <w:bodyDiv w:val="1"/>
      <w:marLeft w:val="0"/>
      <w:marRight w:val="0"/>
      <w:marTop w:val="0"/>
      <w:marBottom w:val="0"/>
      <w:divBdr>
        <w:top w:val="none" w:sz="0" w:space="0" w:color="auto"/>
        <w:left w:val="none" w:sz="0" w:space="0" w:color="auto"/>
        <w:bottom w:val="none" w:sz="0" w:space="0" w:color="auto"/>
        <w:right w:val="none" w:sz="0" w:space="0" w:color="auto"/>
      </w:divBdr>
    </w:div>
    <w:div w:id="1377196803">
      <w:bodyDiv w:val="1"/>
      <w:marLeft w:val="0"/>
      <w:marRight w:val="0"/>
      <w:marTop w:val="0"/>
      <w:marBottom w:val="0"/>
      <w:divBdr>
        <w:top w:val="none" w:sz="0" w:space="0" w:color="auto"/>
        <w:left w:val="none" w:sz="0" w:space="0" w:color="auto"/>
        <w:bottom w:val="none" w:sz="0" w:space="0" w:color="auto"/>
        <w:right w:val="none" w:sz="0" w:space="0" w:color="auto"/>
      </w:divBdr>
    </w:div>
    <w:div w:id="1377315850">
      <w:bodyDiv w:val="1"/>
      <w:marLeft w:val="0"/>
      <w:marRight w:val="0"/>
      <w:marTop w:val="0"/>
      <w:marBottom w:val="0"/>
      <w:divBdr>
        <w:top w:val="none" w:sz="0" w:space="0" w:color="auto"/>
        <w:left w:val="none" w:sz="0" w:space="0" w:color="auto"/>
        <w:bottom w:val="none" w:sz="0" w:space="0" w:color="auto"/>
        <w:right w:val="none" w:sz="0" w:space="0" w:color="auto"/>
      </w:divBdr>
    </w:div>
    <w:div w:id="1377463166">
      <w:bodyDiv w:val="1"/>
      <w:marLeft w:val="0"/>
      <w:marRight w:val="0"/>
      <w:marTop w:val="0"/>
      <w:marBottom w:val="0"/>
      <w:divBdr>
        <w:top w:val="none" w:sz="0" w:space="0" w:color="auto"/>
        <w:left w:val="none" w:sz="0" w:space="0" w:color="auto"/>
        <w:bottom w:val="none" w:sz="0" w:space="0" w:color="auto"/>
        <w:right w:val="none" w:sz="0" w:space="0" w:color="auto"/>
      </w:divBdr>
    </w:div>
    <w:div w:id="1377506066">
      <w:bodyDiv w:val="1"/>
      <w:marLeft w:val="0"/>
      <w:marRight w:val="0"/>
      <w:marTop w:val="0"/>
      <w:marBottom w:val="0"/>
      <w:divBdr>
        <w:top w:val="none" w:sz="0" w:space="0" w:color="auto"/>
        <w:left w:val="none" w:sz="0" w:space="0" w:color="auto"/>
        <w:bottom w:val="none" w:sz="0" w:space="0" w:color="auto"/>
        <w:right w:val="none" w:sz="0" w:space="0" w:color="auto"/>
      </w:divBdr>
    </w:div>
    <w:div w:id="1377581887">
      <w:bodyDiv w:val="1"/>
      <w:marLeft w:val="0"/>
      <w:marRight w:val="0"/>
      <w:marTop w:val="0"/>
      <w:marBottom w:val="0"/>
      <w:divBdr>
        <w:top w:val="none" w:sz="0" w:space="0" w:color="auto"/>
        <w:left w:val="none" w:sz="0" w:space="0" w:color="auto"/>
        <w:bottom w:val="none" w:sz="0" w:space="0" w:color="auto"/>
        <w:right w:val="none" w:sz="0" w:space="0" w:color="auto"/>
      </w:divBdr>
    </w:div>
    <w:div w:id="1377699878">
      <w:bodyDiv w:val="1"/>
      <w:marLeft w:val="0"/>
      <w:marRight w:val="0"/>
      <w:marTop w:val="0"/>
      <w:marBottom w:val="0"/>
      <w:divBdr>
        <w:top w:val="none" w:sz="0" w:space="0" w:color="auto"/>
        <w:left w:val="none" w:sz="0" w:space="0" w:color="auto"/>
        <w:bottom w:val="none" w:sz="0" w:space="0" w:color="auto"/>
        <w:right w:val="none" w:sz="0" w:space="0" w:color="auto"/>
      </w:divBdr>
    </w:div>
    <w:div w:id="1377700957">
      <w:bodyDiv w:val="1"/>
      <w:marLeft w:val="0"/>
      <w:marRight w:val="0"/>
      <w:marTop w:val="0"/>
      <w:marBottom w:val="0"/>
      <w:divBdr>
        <w:top w:val="none" w:sz="0" w:space="0" w:color="auto"/>
        <w:left w:val="none" w:sz="0" w:space="0" w:color="auto"/>
        <w:bottom w:val="none" w:sz="0" w:space="0" w:color="auto"/>
        <w:right w:val="none" w:sz="0" w:space="0" w:color="auto"/>
      </w:divBdr>
    </w:div>
    <w:div w:id="1377849652">
      <w:bodyDiv w:val="1"/>
      <w:marLeft w:val="0"/>
      <w:marRight w:val="0"/>
      <w:marTop w:val="0"/>
      <w:marBottom w:val="0"/>
      <w:divBdr>
        <w:top w:val="none" w:sz="0" w:space="0" w:color="auto"/>
        <w:left w:val="none" w:sz="0" w:space="0" w:color="auto"/>
        <w:bottom w:val="none" w:sz="0" w:space="0" w:color="auto"/>
        <w:right w:val="none" w:sz="0" w:space="0" w:color="auto"/>
      </w:divBdr>
    </w:div>
    <w:div w:id="1377895767">
      <w:bodyDiv w:val="1"/>
      <w:marLeft w:val="0"/>
      <w:marRight w:val="0"/>
      <w:marTop w:val="0"/>
      <w:marBottom w:val="0"/>
      <w:divBdr>
        <w:top w:val="none" w:sz="0" w:space="0" w:color="auto"/>
        <w:left w:val="none" w:sz="0" w:space="0" w:color="auto"/>
        <w:bottom w:val="none" w:sz="0" w:space="0" w:color="auto"/>
        <w:right w:val="none" w:sz="0" w:space="0" w:color="auto"/>
      </w:divBdr>
    </w:div>
    <w:div w:id="1377924175">
      <w:bodyDiv w:val="1"/>
      <w:marLeft w:val="0"/>
      <w:marRight w:val="0"/>
      <w:marTop w:val="0"/>
      <w:marBottom w:val="0"/>
      <w:divBdr>
        <w:top w:val="none" w:sz="0" w:space="0" w:color="auto"/>
        <w:left w:val="none" w:sz="0" w:space="0" w:color="auto"/>
        <w:bottom w:val="none" w:sz="0" w:space="0" w:color="auto"/>
        <w:right w:val="none" w:sz="0" w:space="0" w:color="auto"/>
      </w:divBdr>
    </w:div>
    <w:div w:id="1378049809">
      <w:bodyDiv w:val="1"/>
      <w:marLeft w:val="0"/>
      <w:marRight w:val="0"/>
      <w:marTop w:val="0"/>
      <w:marBottom w:val="0"/>
      <w:divBdr>
        <w:top w:val="none" w:sz="0" w:space="0" w:color="auto"/>
        <w:left w:val="none" w:sz="0" w:space="0" w:color="auto"/>
        <w:bottom w:val="none" w:sz="0" w:space="0" w:color="auto"/>
        <w:right w:val="none" w:sz="0" w:space="0" w:color="auto"/>
      </w:divBdr>
    </w:div>
    <w:div w:id="1378234591">
      <w:bodyDiv w:val="1"/>
      <w:marLeft w:val="0"/>
      <w:marRight w:val="0"/>
      <w:marTop w:val="0"/>
      <w:marBottom w:val="0"/>
      <w:divBdr>
        <w:top w:val="none" w:sz="0" w:space="0" w:color="auto"/>
        <w:left w:val="none" w:sz="0" w:space="0" w:color="auto"/>
        <w:bottom w:val="none" w:sz="0" w:space="0" w:color="auto"/>
        <w:right w:val="none" w:sz="0" w:space="0" w:color="auto"/>
      </w:divBdr>
    </w:div>
    <w:div w:id="1378238138">
      <w:bodyDiv w:val="1"/>
      <w:marLeft w:val="0"/>
      <w:marRight w:val="0"/>
      <w:marTop w:val="0"/>
      <w:marBottom w:val="0"/>
      <w:divBdr>
        <w:top w:val="none" w:sz="0" w:space="0" w:color="auto"/>
        <w:left w:val="none" w:sz="0" w:space="0" w:color="auto"/>
        <w:bottom w:val="none" w:sz="0" w:space="0" w:color="auto"/>
        <w:right w:val="none" w:sz="0" w:space="0" w:color="auto"/>
      </w:divBdr>
    </w:div>
    <w:div w:id="1378359475">
      <w:bodyDiv w:val="1"/>
      <w:marLeft w:val="0"/>
      <w:marRight w:val="0"/>
      <w:marTop w:val="0"/>
      <w:marBottom w:val="0"/>
      <w:divBdr>
        <w:top w:val="none" w:sz="0" w:space="0" w:color="auto"/>
        <w:left w:val="none" w:sz="0" w:space="0" w:color="auto"/>
        <w:bottom w:val="none" w:sz="0" w:space="0" w:color="auto"/>
        <w:right w:val="none" w:sz="0" w:space="0" w:color="auto"/>
      </w:divBdr>
    </w:div>
    <w:div w:id="1378430460">
      <w:bodyDiv w:val="1"/>
      <w:marLeft w:val="0"/>
      <w:marRight w:val="0"/>
      <w:marTop w:val="0"/>
      <w:marBottom w:val="0"/>
      <w:divBdr>
        <w:top w:val="none" w:sz="0" w:space="0" w:color="auto"/>
        <w:left w:val="none" w:sz="0" w:space="0" w:color="auto"/>
        <w:bottom w:val="none" w:sz="0" w:space="0" w:color="auto"/>
        <w:right w:val="none" w:sz="0" w:space="0" w:color="auto"/>
      </w:divBdr>
    </w:div>
    <w:div w:id="1378504422">
      <w:bodyDiv w:val="1"/>
      <w:marLeft w:val="0"/>
      <w:marRight w:val="0"/>
      <w:marTop w:val="0"/>
      <w:marBottom w:val="0"/>
      <w:divBdr>
        <w:top w:val="none" w:sz="0" w:space="0" w:color="auto"/>
        <w:left w:val="none" w:sz="0" w:space="0" w:color="auto"/>
        <w:bottom w:val="none" w:sz="0" w:space="0" w:color="auto"/>
        <w:right w:val="none" w:sz="0" w:space="0" w:color="auto"/>
      </w:divBdr>
    </w:div>
    <w:div w:id="1378505430">
      <w:bodyDiv w:val="1"/>
      <w:marLeft w:val="0"/>
      <w:marRight w:val="0"/>
      <w:marTop w:val="0"/>
      <w:marBottom w:val="0"/>
      <w:divBdr>
        <w:top w:val="none" w:sz="0" w:space="0" w:color="auto"/>
        <w:left w:val="none" w:sz="0" w:space="0" w:color="auto"/>
        <w:bottom w:val="none" w:sz="0" w:space="0" w:color="auto"/>
        <w:right w:val="none" w:sz="0" w:space="0" w:color="auto"/>
      </w:divBdr>
    </w:div>
    <w:div w:id="1378555010">
      <w:bodyDiv w:val="1"/>
      <w:marLeft w:val="0"/>
      <w:marRight w:val="0"/>
      <w:marTop w:val="0"/>
      <w:marBottom w:val="0"/>
      <w:divBdr>
        <w:top w:val="none" w:sz="0" w:space="0" w:color="auto"/>
        <w:left w:val="none" w:sz="0" w:space="0" w:color="auto"/>
        <w:bottom w:val="none" w:sz="0" w:space="0" w:color="auto"/>
        <w:right w:val="none" w:sz="0" w:space="0" w:color="auto"/>
      </w:divBdr>
    </w:div>
    <w:div w:id="1378580366">
      <w:bodyDiv w:val="1"/>
      <w:marLeft w:val="0"/>
      <w:marRight w:val="0"/>
      <w:marTop w:val="0"/>
      <w:marBottom w:val="0"/>
      <w:divBdr>
        <w:top w:val="none" w:sz="0" w:space="0" w:color="auto"/>
        <w:left w:val="none" w:sz="0" w:space="0" w:color="auto"/>
        <w:bottom w:val="none" w:sz="0" w:space="0" w:color="auto"/>
        <w:right w:val="none" w:sz="0" w:space="0" w:color="auto"/>
      </w:divBdr>
    </w:div>
    <w:div w:id="1378582270">
      <w:bodyDiv w:val="1"/>
      <w:marLeft w:val="0"/>
      <w:marRight w:val="0"/>
      <w:marTop w:val="0"/>
      <w:marBottom w:val="0"/>
      <w:divBdr>
        <w:top w:val="none" w:sz="0" w:space="0" w:color="auto"/>
        <w:left w:val="none" w:sz="0" w:space="0" w:color="auto"/>
        <w:bottom w:val="none" w:sz="0" w:space="0" w:color="auto"/>
        <w:right w:val="none" w:sz="0" w:space="0" w:color="auto"/>
      </w:divBdr>
    </w:div>
    <w:div w:id="1378622550">
      <w:bodyDiv w:val="1"/>
      <w:marLeft w:val="0"/>
      <w:marRight w:val="0"/>
      <w:marTop w:val="0"/>
      <w:marBottom w:val="0"/>
      <w:divBdr>
        <w:top w:val="none" w:sz="0" w:space="0" w:color="auto"/>
        <w:left w:val="none" w:sz="0" w:space="0" w:color="auto"/>
        <w:bottom w:val="none" w:sz="0" w:space="0" w:color="auto"/>
        <w:right w:val="none" w:sz="0" w:space="0" w:color="auto"/>
      </w:divBdr>
    </w:div>
    <w:div w:id="1378699820">
      <w:bodyDiv w:val="1"/>
      <w:marLeft w:val="0"/>
      <w:marRight w:val="0"/>
      <w:marTop w:val="0"/>
      <w:marBottom w:val="0"/>
      <w:divBdr>
        <w:top w:val="none" w:sz="0" w:space="0" w:color="auto"/>
        <w:left w:val="none" w:sz="0" w:space="0" w:color="auto"/>
        <w:bottom w:val="none" w:sz="0" w:space="0" w:color="auto"/>
        <w:right w:val="none" w:sz="0" w:space="0" w:color="auto"/>
      </w:divBdr>
    </w:div>
    <w:div w:id="1378747132">
      <w:bodyDiv w:val="1"/>
      <w:marLeft w:val="0"/>
      <w:marRight w:val="0"/>
      <w:marTop w:val="0"/>
      <w:marBottom w:val="0"/>
      <w:divBdr>
        <w:top w:val="none" w:sz="0" w:space="0" w:color="auto"/>
        <w:left w:val="none" w:sz="0" w:space="0" w:color="auto"/>
        <w:bottom w:val="none" w:sz="0" w:space="0" w:color="auto"/>
        <w:right w:val="none" w:sz="0" w:space="0" w:color="auto"/>
      </w:divBdr>
    </w:div>
    <w:div w:id="1378773534">
      <w:bodyDiv w:val="1"/>
      <w:marLeft w:val="0"/>
      <w:marRight w:val="0"/>
      <w:marTop w:val="0"/>
      <w:marBottom w:val="0"/>
      <w:divBdr>
        <w:top w:val="none" w:sz="0" w:space="0" w:color="auto"/>
        <w:left w:val="none" w:sz="0" w:space="0" w:color="auto"/>
        <w:bottom w:val="none" w:sz="0" w:space="0" w:color="auto"/>
        <w:right w:val="none" w:sz="0" w:space="0" w:color="auto"/>
      </w:divBdr>
    </w:div>
    <w:div w:id="1378773963">
      <w:bodyDiv w:val="1"/>
      <w:marLeft w:val="0"/>
      <w:marRight w:val="0"/>
      <w:marTop w:val="0"/>
      <w:marBottom w:val="0"/>
      <w:divBdr>
        <w:top w:val="none" w:sz="0" w:space="0" w:color="auto"/>
        <w:left w:val="none" w:sz="0" w:space="0" w:color="auto"/>
        <w:bottom w:val="none" w:sz="0" w:space="0" w:color="auto"/>
        <w:right w:val="none" w:sz="0" w:space="0" w:color="auto"/>
      </w:divBdr>
    </w:div>
    <w:div w:id="1378819577">
      <w:bodyDiv w:val="1"/>
      <w:marLeft w:val="0"/>
      <w:marRight w:val="0"/>
      <w:marTop w:val="0"/>
      <w:marBottom w:val="0"/>
      <w:divBdr>
        <w:top w:val="none" w:sz="0" w:space="0" w:color="auto"/>
        <w:left w:val="none" w:sz="0" w:space="0" w:color="auto"/>
        <w:bottom w:val="none" w:sz="0" w:space="0" w:color="auto"/>
        <w:right w:val="none" w:sz="0" w:space="0" w:color="auto"/>
      </w:divBdr>
    </w:div>
    <w:div w:id="1378823223">
      <w:bodyDiv w:val="1"/>
      <w:marLeft w:val="0"/>
      <w:marRight w:val="0"/>
      <w:marTop w:val="0"/>
      <w:marBottom w:val="0"/>
      <w:divBdr>
        <w:top w:val="none" w:sz="0" w:space="0" w:color="auto"/>
        <w:left w:val="none" w:sz="0" w:space="0" w:color="auto"/>
        <w:bottom w:val="none" w:sz="0" w:space="0" w:color="auto"/>
        <w:right w:val="none" w:sz="0" w:space="0" w:color="auto"/>
      </w:divBdr>
    </w:div>
    <w:div w:id="1378896001">
      <w:bodyDiv w:val="1"/>
      <w:marLeft w:val="0"/>
      <w:marRight w:val="0"/>
      <w:marTop w:val="0"/>
      <w:marBottom w:val="0"/>
      <w:divBdr>
        <w:top w:val="none" w:sz="0" w:space="0" w:color="auto"/>
        <w:left w:val="none" w:sz="0" w:space="0" w:color="auto"/>
        <w:bottom w:val="none" w:sz="0" w:space="0" w:color="auto"/>
        <w:right w:val="none" w:sz="0" w:space="0" w:color="auto"/>
      </w:divBdr>
    </w:div>
    <w:div w:id="1379009409">
      <w:bodyDiv w:val="1"/>
      <w:marLeft w:val="0"/>
      <w:marRight w:val="0"/>
      <w:marTop w:val="0"/>
      <w:marBottom w:val="0"/>
      <w:divBdr>
        <w:top w:val="none" w:sz="0" w:space="0" w:color="auto"/>
        <w:left w:val="none" w:sz="0" w:space="0" w:color="auto"/>
        <w:bottom w:val="none" w:sz="0" w:space="0" w:color="auto"/>
        <w:right w:val="none" w:sz="0" w:space="0" w:color="auto"/>
      </w:divBdr>
    </w:div>
    <w:div w:id="1379014946">
      <w:bodyDiv w:val="1"/>
      <w:marLeft w:val="0"/>
      <w:marRight w:val="0"/>
      <w:marTop w:val="0"/>
      <w:marBottom w:val="0"/>
      <w:divBdr>
        <w:top w:val="none" w:sz="0" w:space="0" w:color="auto"/>
        <w:left w:val="none" w:sz="0" w:space="0" w:color="auto"/>
        <w:bottom w:val="none" w:sz="0" w:space="0" w:color="auto"/>
        <w:right w:val="none" w:sz="0" w:space="0" w:color="auto"/>
      </w:divBdr>
    </w:div>
    <w:div w:id="1379084790">
      <w:bodyDiv w:val="1"/>
      <w:marLeft w:val="0"/>
      <w:marRight w:val="0"/>
      <w:marTop w:val="0"/>
      <w:marBottom w:val="0"/>
      <w:divBdr>
        <w:top w:val="none" w:sz="0" w:space="0" w:color="auto"/>
        <w:left w:val="none" w:sz="0" w:space="0" w:color="auto"/>
        <w:bottom w:val="none" w:sz="0" w:space="0" w:color="auto"/>
        <w:right w:val="none" w:sz="0" w:space="0" w:color="auto"/>
      </w:divBdr>
    </w:div>
    <w:div w:id="1379158744">
      <w:bodyDiv w:val="1"/>
      <w:marLeft w:val="0"/>
      <w:marRight w:val="0"/>
      <w:marTop w:val="0"/>
      <w:marBottom w:val="0"/>
      <w:divBdr>
        <w:top w:val="none" w:sz="0" w:space="0" w:color="auto"/>
        <w:left w:val="none" w:sz="0" w:space="0" w:color="auto"/>
        <w:bottom w:val="none" w:sz="0" w:space="0" w:color="auto"/>
        <w:right w:val="none" w:sz="0" w:space="0" w:color="auto"/>
      </w:divBdr>
    </w:div>
    <w:div w:id="1379161725">
      <w:bodyDiv w:val="1"/>
      <w:marLeft w:val="0"/>
      <w:marRight w:val="0"/>
      <w:marTop w:val="0"/>
      <w:marBottom w:val="0"/>
      <w:divBdr>
        <w:top w:val="none" w:sz="0" w:space="0" w:color="auto"/>
        <w:left w:val="none" w:sz="0" w:space="0" w:color="auto"/>
        <w:bottom w:val="none" w:sz="0" w:space="0" w:color="auto"/>
        <w:right w:val="none" w:sz="0" w:space="0" w:color="auto"/>
      </w:divBdr>
    </w:div>
    <w:div w:id="1379234380">
      <w:bodyDiv w:val="1"/>
      <w:marLeft w:val="0"/>
      <w:marRight w:val="0"/>
      <w:marTop w:val="0"/>
      <w:marBottom w:val="0"/>
      <w:divBdr>
        <w:top w:val="none" w:sz="0" w:space="0" w:color="auto"/>
        <w:left w:val="none" w:sz="0" w:space="0" w:color="auto"/>
        <w:bottom w:val="none" w:sz="0" w:space="0" w:color="auto"/>
        <w:right w:val="none" w:sz="0" w:space="0" w:color="auto"/>
      </w:divBdr>
    </w:div>
    <w:div w:id="1379283802">
      <w:bodyDiv w:val="1"/>
      <w:marLeft w:val="0"/>
      <w:marRight w:val="0"/>
      <w:marTop w:val="0"/>
      <w:marBottom w:val="0"/>
      <w:divBdr>
        <w:top w:val="none" w:sz="0" w:space="0" w:color="auto"/>
        <w:left w:val="none" w:sz="0" w:space="0" w:color="auto"/>
        <w:bottom w:val="none" w:sz="0" w:space="0" w:color="auto"/>
        <w:right w:val="none" w:sz="0" w:space="0" w:color="auto"/>
      </w:divBdr>
    </w:div>
    <w:div w:id="1379430303">
      <w:bodyDiv w:val="1"/>
      <w:marLeft w:val="0"/>
      <w:marRight w:val="0"/>
      <w:marTop w:val="0"/>
      <w:marBottom w:val="0"/>
      <w:divBdr>
        <w:top w:val="none" w:sz="0" w:space="0" w:color="auto"/>
        <w:left w:val="none" w:sz="0" w:space="0" w:color="auto"/>
        <w:bottom w:val="none" w:sz="0" w:space="0" w:color="auto"/>
        <w:right w:val="none" w:sz="0" w:space="0" w:color="auto"/>
      </w:divBdr>
    </w:div>
    <w:div w:id="1379666493">
      <w:bodyDiv w:val="1"/>
      <w:marLeft w:val="0"/>
      <w:marRight w:val="0"/>
      <w:marTop w:val="0"/>
      <w:marBottom w:val="0"/>
      <w:divBdr>
        <w:top w:val="none" w:sz="0" w:space="0" w:color="auto"/>
        <w:left w:val="none" w:sz="0" w:space="0" w:color="auto"/>
        <w:bottom w:val="none" w:sz="0" w:space="0" w:color="auto"/>
        <w:right w:val="none" w:sz="0" w:space="0" w:color="auto"/>
      </w:divBdr>
    </w:div>
    <w:div w:id="1379696333">
      <w:bodyDiv w:val="1"/>
      <w:marLeft w:val="0"/>
      <w:marRight w:val="0"/>
      <w:marTop w:val="0"/>
      <w:marBottom w:val="0"/>
      <w:divBdr>
        <w:top w:val="none" w:sz="0" w:space="0" w:color="auto"/>
        <w:left w:val="none" w:sz="0" w:space="0" w:color="auto"/>
        <w:bottom w:val="none" w:sz="0" w:space="0" w:color="auto"/>
        <w:right w:val="none" w:sz="0" w:space="0" w:color="auto"/>
      </w:divBdr>
    </w:div>
    <w:div w:id="1379816880">
      <w:bodyDiv w:val="1"/>
      <w:marLeft w:val="0"/>
      <w:marRight w:val="0"/>
      <w:marTop w:val="0"/>
      <w:marBottom w:val="0"/>
      <w:divBdr>
        <w:top w:val="none" w:sz="0" w:space="0" w:color="auto"/>
        <w:left w:val="none" w:sz="0" w:space="0" w:color="auto"/>
        <w:bottom w:val="none" w:sz="0" w:space="0" w:color="auto"/>
        <w:right w:val="none" w:sz="0" w:space="0" w:color="auto"/>
      </w:divBdr>
    </w:div>
    <w:div w:id="1379822522">
      <w:bodyDiv w:val="1"/>
      <w:marLeft w:val="0"/>
      <w:marRight w:val="0"/>
      <w:marTop w:val="0"/>
      <w:marBottom w:val="0"/>
      <w:divBdr>
        <w:top w:val="none" w:sz="0" w:space="0" w:color="auto"/>
        <w:left w:val="none" w:sz="0" w:space="0" w:color="auto"/>
        <w:bottom w:val="none" w:sz="0" w:space="0" w:color="auto"/>
        <w:right w:val="none" w:sz="0" w:space="0" w:color="auto"/>
      </w:divBdr>
    </w:div>
    <w:div w:id="1379861686">
      <w:bodyDiv w:val="1"/>
      <w:marLeft w:val="0"/>
      <w:marRight w:val="0"/>
      <w:marTop w:val="0"/>
      <w:marBottom w:val="0"/>
      <w:divBdr>
        <w:top w:val="none" w:sz="0" w:space="0" w:color="auto"/>
        <w:left w:val="none" w:sz="0" w:space="0" w:color="auto"/>
        <w:bottom w:val="none" w:sz="0" w:space="0" w:color="auto"/>
        <w:right w:val="none" w:sz="0" w:space="0" w:color="auto"/>
      </w:divBdr>
    </w:div>
    <w:div w:id="1379889609">
      <w:bodyDiv w:val="1"/>
      <w:marLeft w:val="0"/>
      <w:marRight w:val="0"/>
      <w:marTop w:val="0"/>
      <w:marBottom w:val="0"/>
      <w:divBdr>
        <w:top w:val="none" w:sz="0" w:space="0" w:color="auto"/>
        <w:left w:val="none" w:sz="0" w:space="0" w:color="auto"/>
        <w:bottom w:val="none" w:sz="0" w:space="0" w:color="auto"/>
        <w:right w:val="none" w:sz="0" w:space="0" w:color="auto"/>
      </w:divBdr>
    </w:div>
    <w:div w:id="1380010837">
      <w:bodyDiv w:val="1"/>
      <w:marLeft w:val="0"/>
      <w:marRight w:val="0"/>
      <w:marTop w:val="0"/>
      <w:marBottom w:val="0"/>
      <w:divBdr>
        <w:top w:val="none" w:sz="0" w:space="0" w:color="auto"/>
        <w:left w:val="none" w:sz="0" w:space="0" w:color="auto"/>
        <w:bottom w:val="none" w:sz="0" w:space="0" w:color="auto"/>
        <w:right w:val="none" w:sz="0" w:space="0" w:color="auto"/>
      </w:divBdr>
    </w:div>
    <w:div w:id="1380128850">
      <w:bodyDiv w:val="1"/>
      <w:marLeft w:val="0"/>
      <w:marRight w:val="0"/>
      <w:marTop w:val="0"/>
      <w:marBottom w:val="0"/>
      <w:divBdr>
        <w:top w:val="none" w:sz="0" w:space="0" w:color="auto"/>
        <w:left w:val="none" w:sz="0" w:space="0" w:color="auto"/>
        <w:bottom w:val="none" w:sz="0" w:space="0" w:color="auto"/>
        <w:right w:val="none" w:sz="0" w:space="0" w:color="auto"/>
      </w:divBdr>
    </w:div>
    <w:div w:id="1380128876">
      <w:bodyDiv w:val="1"/>
      <w:marLeft w:val="0"/>
      <w:marRight w:val="0"/>
      <w:marTop w:val="0"/>
      <w:marBottom w:val="0"/>
      <w:divBdr>
        <w:top w:val="none" w:sz="0" w:space="0" w:color="auto"/>
        <w:left w:val="none" w:sz="0" w:space="0" w:color="auto"/>
        <w:bottom w:val="none" w:sz="0" w:space="0" w:color="auto"/>
        <w:right w:val="none" w:sz="0" w:space="0" w:color="auto"/>
      </w:divBdr>
    </w:div>
    <w:div w:id="1380131375">
      <w:bodyDiv w:val="1"/>
      <w:marLeft w:val="0"/>
      <w:marRight w:val="0"/>
      <w:marTop w:val="0"/>
      <w:marBottom w:val="0"/>
      <w:divBdr>
        <w:top w:val="none" w:sz="0" w:space="0" w:color="auto"/>
        <w:left w:val="none" w:sz="0" w:space="0" w:color="auto"/>
        <w:bottom w:val="none" w:sz="0" w:space="0" w:color="auto"/>
        <w:right w:val="none" w:sz="0" w:space="0" w:color="auto"/>
      </w:divBdr>
    </w:div>
    <w:div w:id="1380203862">
      <w:bodyDiv w:val="1"/>
      <w:marLeft w:val="0"/>
      <w:marRight w:val="0"/>
      <w:marTop w:val="0"/>
      <w:marBottom w:val="0"/>
      <w:divBdr>
        <w:top w:val="none" w:sz="0" w:space="0" w:color="auto"/>
        <w:left w:val="none" w:sz="0" w:space="0" w:color="auto"/>
        <w:bottom w:val="none" w:sz="0" w:space="0" w:color="auto"/>
        <w:right w:val="none" w:sz="0" w:space="0" w:color="auto"/>
      </w:divBdr>
    </w:div>
    <w:div w:id="1380278607">
      <w:bodyDiv w:val="1"/>
      <w:marLeft w:val="0"/>
      <w:marRight w:val="0"/>
      <w:marTop w:val="0"/>
      <w:marBottom w:val="0"/>
      <w:divBdr>
        <w:top w:val="none" w:sz="0" w:space="0" w:color="auto"/>
        <w:left w:val="none" w:sz="0" w:space="0" w:color="auto"/>
        <w:bottom w:val="none" w:sz="0" w:space="0" w:color="auto"/>
        <w:right w:val="none" w:sz="0" w:space="0" w:color="auto"/>
      </w:divBdr>
    </w:div>
    <w:div w:id="1380469369">
      <w:bodyDiv w:val="1"/>
      <w:marLeft w:val="0"/>
      <w:marRight w:val="0"/>
      <w:marTop w:val="0"/>
      <w:marBottom w:val="0"/>
      <w:divBdr>
        <w:top w:val="none" w:sz="0" w:space="0" w:color="auto"/>
        <w:left w:val="none" w:sz="0" w:space="0" w:color="auto"/>
        <w:bottom w:val="none" w:sz="0" w:space="0" w:color="auto"/>
        <w:right w:val="none" w:sz="0" w:space="0" w:color="auto"/>
      </w:divBdr>
    </w:div>
    <w:div w:id="1380594504">
      <w:bodyDiv w:val="1"/>
      <w:marLeft w:val="0"/>
      <w:marRight w:val="0"/>
      <w:marTop w:val="0"/>
      <w:marBottom w:val="0"/>
      <w:divBdr>
        <w:top w:val="none" w:sz="0" w:space="0" w:color="auto"/>
        <w:left w:val="none" w:sz="0" w:space="0" w:color="auto"/>
        <w:bottom w:val="none" w:sz="0" w:space="0" w:color="auto"/>
        <w:right w:val="none" w:sz="0" w:space="0" w:color="auto"/>
      </w:divBdr>
    </w:div>
    <w:div w:id="1380663775">
      <w:bodyDiv w:val="1"/>
      <w:marLeft w:val="0"/>
      <w:marRight w:val="0"/>
      <w:marTop w:val="0"/>
      <w:marBottom w:val="0"/>
      <w:divBdr>
        <w:top w:val="none" w:sz="0" w:space="0" w:color="auto"/>
        <w:left w:val="none" w:sz="0" w:space="0" w:color="auto"/>
        <w:bottom w:val="none" w:sz="0" w:space="0" w:color="auto"/>
        <w:right w:val="none" w:sz="0" w:space="0" w:color="auto"/>
      </w:divBdr>
    </w:div>
    <w:div w:id="1380785573">
      <w:bodyDiv w:val="1"/>
      <w:marLeft w:val="0"/>
      <w:marRight w:val="0"/>
      <w:marTop w:val="0"/>
      <w:marBottom w:val="0"/>
      <w:divBdr>
        <w:top w:val="none" w:sz="0" w:space="0" w:color="auto"/>
        <w:left w:val="none" w:sz="0" w:space="0" w:color="auto"/>
        <w:bottom w:val="none" w:sz="0" w:space="0" w:color="auto"/>
        <w:right w:val="none" w:sz="0" w:space="0" w:color="auto"/>
      </w:divBdr>
    </w:div>
    <w:div w:id="1380786195">
      <w:bodyDiv w:val="1"/>
      <w:marLeft w:val="0"/>
      <w:marRight w:val="0"/>
      <w:marTop w:val="0"/>
      <w:marBottom w:val="0"/>
      <w:divBdr>
        <w:top w:val="none" w:sz="0" w:space="0" w:color="auto"/>
        <w:left w:val="none" w:sz="0" w:space="0" w:color="auto"/>
        <w:bottom w:val="none" w:sz="0" w:space="0" w:color="auto"/>
        <w:right w:val="none" w:sz="0" w:space="0" w:color="auto"/>
      </w:divBdr>
    </w:div>
    <w:div w:id="1380855465">
      <w:bodyDiv w:val="1"/>
      <w:marLeft w:val="0"/>
      <w:marRight w:val="0"/>
      <w:marTop w:val="0"/>
      <w:marBottom w:val="0"/>
      <w:divBdr>
        <w:top w:val="none" w:sz="0" w:space="0" w:color="auto"/>
        <w:left w:val="none" w:sz="0" w:space="0" w:color="auto"/>
        <w:bottom w:val="none" w:sz="0" w:space="0" w:color="auto"/>
        <w:right w:val="none" w:sz="0" w:space="0" w:color="auto"/>
      </w:divBdr>
    </w:div>
    <w:div w:id="1380857297">
      <w:bodyDiv w:val="1"/>
      <w:marLeft w:val="0"/>
      <w:marRight w:val="0"/>
      <w:marTop w:val="0"/>
      <w:marBottom w:val="0"/>
      <w:divBdr>
        <w:top w:val="none" w:sz="0" w:space="0" w:color="auto"/>
        <w:left w:val="none" w:sz="0" w:space="0" w:color="auto"/>
        <w:bottom w:val="none" w:sz="0" w:space="0" w:color="auto"/>
        <w:right w:val="none" w:sz="0" w:space="0" w:color="auto"/>
      </w:divBdr>
    </w:div>
    <w:div w:id="1380857540">
      <w:bodyDiv w:val="1"/>
      <w:marLeft w:val="0"/>
      <w:marRight w:val="0"/>
      <w:marTop w:val="0"/>
      <w:marBottom w:val="0"/>
      <w:divBdr>
        <w:top w:val="none" w:sz="0" w:space="0" w:color="auto"/>
        <w:left w:val="none" w:sz="0" w:space="0" w:color="auto"/>
        <w:bottom w:val="none" w:sz="0" w:space="0" w:color="auto"/>
        <w:right w:val="none" w:sz="0" w:space="0" w:color="auto"/>
      </w:divBdr>
    </w:div>
    <w:div w:id="1380975601">
      <w:bodyDiv w:val="1"/>
      <w:marLeft w:val="0"/>
      <w:marRight w:val="0"/>
      <w:marTop w:val="0"/>
      <w:marBottom w:val="0"/>
      <w:divBdr>
        <w:top w:val="none" w:sz="0" w:space="0" w:color="auto"/>
        <w:left w:val="none" w:sz="0" w:space="0" w:color="auto"/>
        <w:bottom w:val="none" w:sz="0" w:space="0" w:color="auto"/>
        <w:right w:val="none" w:sz="0" w:space="0" w:color="auto"/>
      </w:divBdr>
    </w:div>
    <w:div w:id="1380980067">
      <w:bodyDiv w:val="1"/>
      <w:marLeft w:val="0"/>
      <w:marRight w:val="0"/>
      <w:marTop w:val="0"/>
      <w:marBottom w:val="0"/>
      <w:divBdr>
        <w:top w:val="none" w:sz="0" w:space="0" w:color="auto"/>
        <w:left w:val="none" w:sz="0" w:space="0" w:color="auto"/>
        <w:bottom w:val="none" w:sz="0" w:space="0" w:color="auto"/>
        <w:right w:val="none" w:sz="0" w:space="0" w:color="auto"/>
      </w:divBdr>
    </w:div>
    <w:div w:id="1380982496">
      <w:bodyDiv w:val="1"/>
      <w:marLeft w:val="0"/>
      <w:marRight w:val="0"/>
      <w:marTop w:val="0"/>
      <w:marBottom w:val="0"/>
      <w:divBdr>
        <w:top w:val="none" w:sz="0" w:space="0" w:color="auto"/>
        <w:left w:val="none" w:sz="0" w:space="0" w:color="auto"/>
        <w:bottom w:val="none" w:sz="0" w:space="0" w:color="auto"/>
        <w:right w:val="none" w:sz="0" w:space="0" w:color="auto"/>
      </w:divBdr>
    </w:div>
    <w:div w:id="1381130553">
      <w:bodyDiv w:val="1"/>
      <w:marLeft w:val="0"/>
      <w:marRight w:val="0"/>
      <w:marTop w:val="0"/>
      <w:marBottom w:val="0"/>
      <w:divBdr>
        <w:top w:val="none" w:sz="0" w:space="0" w:color="auto"/>
        <w:left w:val="none" w:sz="0" w:space="0" w:color="auto"/>
        <w:bottom w:val="none" w:sz="0" w:space="0" w:color="auto"/>
        <w:right w:val="none" w:sz="0" w:space="0" w:color="auto"/>
      </w:divBdr>
    </w:div>
    <w:div w:id="1381319379">
      <w:bodyDiv w:val="1"/>
      <w:marLeft w:val="0"/>
      <w:marRight w:val="0"/>
      <w:marTop w:val="0"/>
      <w:marBottom w:val="0"/>
      <w:divBdr>
        <w:top w:val="none" w:sz="0" w:space="0" w:color="auto"/>
        <w:left w:val="none" w:sz="0" w:space="0" w:color="auto"/>
        <w:bottom w:val="none" w:sz="0" w:space="0" w:color="auto"/>
        <w:right w:val="none" w:sz="0" w:space="0" w:color="auto"/>
      </w:divBdr>
    </w:div>
    <w:div w:id="1381437546">
      <w:bodyDiv w:val="1"/>
      <w:marLeft w:val="0"/>
      <w:marRight w:val="0"/>
      <w:marTop w:val="0"/>
      <w:marBottom w:val="0"/>
      <w:divBdr>
        <w:top w:val="none" w:sz="0" w:space="0" w:color="auto"/>
        <w:left w:val="none" w:sz="0" w:space="0" w:color="auto"/>
        <w:bottom w:val="none" w:sz="0" w:space="0" w:color="auto"/>
        <w:right w:val="none" w:sz="0" w:space="0" w:color="auto"/>
      </w:divBdr>
    </w:div>
    <w:div w:id="1381438774">
      <w:bodyDiv w:val="1"/>
      <w:marLeft w:val="0"/>
      <w:marRight w:val="0"/>
      <w:marTop w:val="0"/>
      <w:marBottom w:val="0"/>
      <w:divBdr>
        <w:top w:val="none" w:sz="0" w:space="0" w:color="auto"/>
        <w:left w:val="none" w:sz="0" w:space="0" w:color="auto"/>
        <w:bottom w:val="none" w:sz="0" w:space="0" w:color="auto"/>
        <w:right w:val="none" w:sz="0" w:space="0" w:color="auto"/>
      </w:divBdr>
    </w:div>
    <w:div w:id="1381439429">
      <w:bodyDiv w:val="1"/>
      <w:marLeft w:val="0"/>
      <w:marRight w:val="0"/>
      <w:marTop w:val="0"/>
      <w:marBottom w:val="0"/>
      <w:divBdr>
        <w:top w:val="none" w:sz="0" w:space="0" w:color="auto"/>
        <w:left w:val="none" w:sz="0" w:space="0" w:color="auto"/>
        <w:bottom w:val="none" w:sz="0" w:space="0" w:color="auto"/>
        <w:right w:val="none" w:sz="0" w:space="0" w:color="auto"/>
      </w:divBdr>
    </w:div>
    <w:div w:id="1381443887">
      <w:bodyDiv w:val="1"/>
      <w:marLeft w:val="0"/>
      <w:marRight w:val="0"/>
      <w:marTop w:val="0"/>
      <w:marBottom w:val="0"/>
      <w:divBdr>
        <w:top w:val="none" w:sz="0" w:space="0" w:color="auto"/>
        <w:left w:val="none" w:sz="0" w:space="0" w:color="auto"/>
        <w:bottom w:val="none" w:sz="0" w:space="0" w:color="auto"/>
        <w:right w:val="none" w:sz="0" w:space="0" w:color="auto"/>
      </w:divBdr>
    </w:div>
    <w:div w:id="1381594669">
      <w:bodyDiv w:val="1"/>
      <w:marLeft w:val="0"/>
      <w:marRight w:val="0"/>
      <w:marTop w:val="0"/>
      <w:marBottom w:val="0"/>
      <w:divBdr>
        <w:top w:val="none" w:sz="0" w:space="0" w:color="auto"/>
        <w:left w:val="none" w:sz="0" w:space="0" w:color="auto"/>
        <w:bottom w:val="none" w:sz="0" w:space="0" w:color="auto"/>
        <w:right w:val="none" w:sz="0" w:space="0" w:color="auto"/>
      </w:divBdr>
    </w:div>
    <w:div w:id="1381637819">
      <w:bodyDiv w:val="1"/>
      <w:marLeft w:val="0"/>
      <w:marRight w:val="0"/>
      <w:marTop w:val="0"/>
      <w:marBottom w:val="0"/>
      <w:divBdr>
        <w:top w:val="none" w:sz="0" w:space="0" w:color="auto"/>
        <w:left w:val="none" w:sz="0" w:space="0" w:color="auto"/>
        <w:bottom w:val="none" w:sz="0" w:space="0" w:color="auto"/>
        <w:right w:val="none" w:sz="0" w:space="0" w:color="auto"/>
      </w:divBdr>
    </w:div>
    <w:div w:id="1381785908">
      <w:bodyDiv w:val="1"/>
      <w:marLeft w:val="0"/>
      <w:marRight w:val="0"/>
      <w:marTop w:val="0"/>
      <w:marBottom w:val="0"/>
      <w:divBdr>
        <w:top w:val="none" w:sz="0" w:space="0" w:color="auto"/>
        <w:left w:val="none" w:sz="0" w:space="0" w:color="auto"/>
        <w:bottom w:val="none" w:sz="0" w:space="0" w:color="auto"/>
        <w:right w:val="none" w:sz="0" w:space="0" w:color="auto"/>
      </w:divBdr>
    </w:div>
    <w:div w:id="1381855447">
      <w:bodyDiv w:val="1"/>
      <w:marLeft w:val="0"/>
      <w:marRight w:val="0"/>
      <w:marTop w:val="0"/>
      <w:marBottom w:val="0"/>
      <w:divBdr>
        <w:top w:val="none" w:sz="0" w:space="0" w:color="auto"/>
        <w:left w:val="none" w:sz="0" w:space="0" w:color="auto"/>
        <w:bottom w:val="none" w:sz="0" w:space="0" w:color="auto"/>
        <w:right w:val="none" w:sz="0" w:space="0" w:color="auto"/>
      </w:divBdr>
    </w:div>
    <w:div w:id="1381857299">
      <w:bodyDiv w:val="1"/>
      <w:marLeft w:val="0"/>
      <w:marRight w:val="0"/>
      <w:marTop w:val="0"/>
      <w:marBottom w:val="0"/>
      <w:divBdr>
        <w:top w:val="none" w:sz="0" w:space="0" w:color="auto"/>
        <w:left w:val="none" w:sz="0" w:space="0" w:color="auto"/>
        <w:bottom w:val="none" w:sz="0" w:space="0" w:color="auto"/>
        <w:right w:val="none" w:sz="0" w:space="0" w:color="auto"/>
      </w:divBdr>
    </w:div>
    <w:div w:id="1381903356">
      <w:bodyDiv w:val="1"/>
      <w:marLeft w:val="0"/>
      <w:marRight w:val="0"/>
      <w:marTop w:val="0"/>
      <w:marBottom w:val="0"/>
      <w:divBdr>
        <w:top w:val="none" w:sz="0" w:space="0" w:color="auto"/>
        <w:left w:val="none" w:sz="0" w:space="0" w:color="auto"/>
        <w:bottom w:val="none" w:sz="0" w:space="0" w:color="auto"/>
        <w:right w:val="none" w:sz="0" w:space="0" w:color="auto"/>
      </w:divBdr>
    </w:div>
    <w:div w:id="1381903777">
      <w:bodyDiv w:val="1"/>
      <w:marLeft w:val="0"/>
      <w:marRight w:val="0"/>
      <w:marTop w:val="0"/>
      <w:marBottom w:val="0"/>
      <w:divBdr>
        <w:top w:val="none" w:sz="0" w:space="0" w:color="auto"/>
        <w:left w:val="none" w:sz="0" w:space="0" w:color="auto"/>
        <w:bottom w:val="none" w:sz="0" w:space="0" w:color="auto"/>
        <w:right w:val="none" w:sz="0" w:space="0" w:color="auto"/>
      </w:divBdr>
    </w:div>
    <w:div w:id="1381904059">
      <w:bodyDiv w:val="1"/>
      <w:marLeft w:val="0"/>
      <w:marRight w:val="0"/>
      <w:marTop w:val="0"/>
      <w:marBottom w:val="0"/>
      <w:divBdr>
        <w:top w:val="none" w:sz="0" w:space="0" w:color="auto"/>
        <w:left w:val="none" w:sz="0" w:space="0" w:color="auto"/>
        <w:bottom w:val="none" w:sz="0" w:space="0" w:color="auto"/>
        <w:right w:val="none" w:sz="0" w:space="0" w:color="auto"/>
      </w:divBdr>
    </w:div>
    <w:div w:id="1382052170">
      <w:bodyDiv w:val="1"/>
      <w:marLeft w:val="0"/>
      <w:marRight w:val="0"/>
      <w:marTop w:val="0"/>
      <w:marBottom w:val="0"/>
      <w:divBdr>
        <w:top w:val="none" w:sz="0" w:space="0" w:color="auto"/>
        <w:left w:val="none" w:sz="0" w:space="0" w:color="auto"/>
        <w:bottom w:val="none" w:sz="0" w:space="0" w:color="auto"/>
        <w:right w:val="none" w:sz="0" w:space="0" w:color="auto"/>
      </w:divBdr>
    </w:div>
    <w:div w:id="1382052558">
      <w:bodyDiv w:val="1"/>
      <w:marLeft w:val="0"/>
      <w:marRight w:val="0"/>
      <w:marTop w:val="0"/>
      <w:marBottom w:val="0"/>
      <w:divBdr>
        <w:top w:val="none" w:sz="0" w:space="0" w:color="auto"/>
        <w:left w:val="none" w:sz="0" w:space="0" w:color="auto"/>
        <w:bottom w:val="none" w:sz="0" w:space="0" w:color="auto"/>
        <w:right w:val="none" w:sz="0" w:space="0" w:color="auto"/>
      </w:divBdr>
    </w:div>
    <w:div w:id="1382095871">
      <w:bodyDiv w:val="1"/>
      <w:marLeft w:val="0"/>
      <w:marRight w:val="0"/>
      <w:marTop w:val="0"/>
      <w:marBottom w:val="0"/>
      <w:divBdr>
        <w:top w:val="none" w:sz="0" w:space="0" w:color="auto"/>
        <w:left w:val="none" w:sz="0" w:space="0" w:color="auto"/>
        <w:bottom w:val="none" w:sz="0" w:space="0" w:color="auto"/>
        <w:right w:val="none" w:sz="0" w:space="0" w:color="auto"/>
      </w:divBdr>
    </w:div>
    <w:div w:id="1382166614">
      <w:bodyDiv w:val="1"/>
      <w:marLeft w:val="0"/>
      <w:marRight w:val="0"/>
      <w:marTop w:val="0"/>
      <w:marBottom w:val="0"/>
      <w:divBdr>
        <w:top w:val="none" w:sz="0" w:space="0" w:color="auto"/>
        <w:left w:val="none" w:sz="0" w:space="0" w:color="auto"/>
        <w:bottom w:val="none" w:sz="0" w:space="0" w:color="auto"/>
        <w:right w:val="none" w:sz="0" w:space="0" w:color="auto"/>
      </w:divBdr>
    </w:div>
    <w:div w:id="1382241434">
      <w:bodyDiv w:val="1"/>
      <w:marLeft w:val="0"/>
      <w:marRight w:val="0"/>
      <w:marTop w:val="0"/>
      <w:marBottom w:val="0"/>
      <w:divBdr>
        <w:top w:val="none" w:sz="0" w:space="0" w:color="auto"/>
        <w:left w:val="none" w:sz="0" w:space="0" w:color="auto"/>
        <w:bottom w:val="none" w:sz="0" w:space="0" w:color="auto"/>
        <w:right w:val="none" w:sz="0" w:space="0" w:color="auto"/>
      </w:divBdr>
    </w:div>
    <w:div w:id="1382290960">
      <w:bodyDiv w:val="1"/>
      <w:marLeft w:val="0"/>
      <w:marRight w:val="0"/>
      <w:marTop w:val="0"/>
      <w:marBottom w:val="0"/>
      <w:divBdr>
        <w:top w:val="none" w:sz="0" w:space="0" w:color="auto"/>
        <w:left w:val="none" w:sz="0" w:space="0" w:color="auto"/>
        <w:bottom w:val="none" w:sz="0" w:space="0" w:color="auto"/>
        <w:right w:val="none" w:sz="0" w:space="0" w:color="auto"/>
      </w:divBdr>
    </w:div>
    <w:div w:id="1382367881">
      <w:bodyDiv w:val="1"/>
      <w:marLeft w:val="0"/>
      <w:marRight w:val="0"/>
      <w:marTop w:val="0"/>
      <w:marBottom w:val="0"/>
      <w:divBdr>
        <w:top w:val="none" w:sz="0" w:space="0" w:color="auto"/>
        <w:left w:val="none" w:sz="0" w:space="0" w:color="auto"/>
        <w:bottom w:val="none" w:sz="0" w:space="0" w:color="auto"/>
        <w:right w:val="none" w:sz="0" w:space="0" w:color="auto"/>
      </w:divBdr>
    </w:div>
    <w:div w:id="1382509893">
      <w:bodyDiv w:val="1"/>
      <w:marLeft w:val="0"/>
      <w:marRight w:val="0"/>
      <w:marTop w:val="0"/>
      <w:marBottom w:val="0"/>
      <w:divBdr>
        <w:top w:val="none" w:sz="0" w:space="0" w:color="auto"/>
        <w:left w:val="none" w:sz="0" w:space="0" w:color="auto"/>
        <w:bottom w:val="none" w:sz="0" w:space="0" w:color="auto"/>
        <w:right w:val="none" w:sz="0" w:space="0" w:color="auto"/>
      </w:divBdr>
    </w:div>
    <w:div w:id="1382511137">
      <w:bodyDiv w:val="1"/>
      <w:marLeft w:val="0"/>
      <w:marRight w:val="0"/>
      <w:marTop w:val="0"/>
      <w:marBottom w:val="0"/>
      <w:divBdr>
        <w:top w:val="none" w:sz="0" w:space="0" w:color="auto"/>
        <w:left w:val="none" w:sz="0" w:space="0" w:color="auto"/>
        <w:bottom w:val="none" w:sz="0" w:space="0" w:color="auto"/>
        <w:right w:val="none" w:sz="0" w:space="0" w:color="auto"/>
      </w:divBdr>
    </w:div>
    <w:div w:id="1382553142">
      <w:bodyDiv w:val="1"/>
      <w:marLeft w:val="0"/>
      <w:marRight w:val="0"/>
      <w:marTop w:val="0"/>
      <w:marBottom w:val="0"/>
      <w:divBdr>
        <w:top w:val="none" w:sz="0" w:space="0" w:color="auto"/>
        <w:left w:val="none" w:sz="0" w:space="0" w:color="auto"/>
        <w:bottom w:val="none" w:sz="0" w:space="0" w:color="auto"/>
        <w:right w:val="none" w:sz="0" w:space="0" w:color="auto"/>
      </w:divBdr>
    </w:div>
    <w:div w:id="1383095674">
      <w:bodyDiv w:val="1"/>
      <w:marLeft w:val="0"/>
      <w:marRight w:val="0"/>
      <w:marTop w:val="0"/>
      <w:marBottom w:val="0"/>
      <w:divBdr>
        <w:top w:val="none" w:sz="0" w:space="0" w:color="auto"/>
        <w:left w:val="none" w:sz="0" w:space="0" w:color="auto"/>
        <w:bottom w:val="none" w:sz="0" w:space="0" w:color="auto"/>
        <w:right w:val="none" w:sz="0" w:space="0" w:color="auto"/>
      </w:divBdr>
    </w:div>
    <w:div w:id="1383360489">
      <w:bodyDiv w:val="1"/>
      <w:marLeft w:val="0"/>
      <w:marRight w:val="0"/>
      <w:marTop w:val="0"/>
      <w:marBottom w:val="0"/>
      <w:divBdr>
        <w:top w:val="none" w:sz="0" w:space="0" w:color="auto"/>
        <w:left w:val="none" w:sz="0" w:space="0" w:color="auto"/>
        <w:bottom w:val="none" w:sz="0" w:space="0" w:color="auto"/>
        <w:right w:val="none" w:sz="0" w:space="0" w:color="auto"/>
      </w:divBdr>
    </w:div>
    <w:div w:id="1383362275">
      <w:bodyDiv w:val="1"/>
      <w:marLeft w:val="0"/>
      <w:marRight w:val="0"/>
      <w:marTop w:val="0"/>
      <w:marBottom w:val="0"/>
      <w:divBdr>
        <w:top w:val="none" w:sz="0" w:space="0" w:color="auto"/>
        <w:left w:val="none" w:sz="0" w:space="0" w:color="auto"/>
        <w:bottom w:val="none" w:sz="0" w:space="0" w:color="auto"/>
        <w:right w:val="none" w:sz="0" w:space="0" w:color="auto"/>
      </w:divBdr>
    </w:div>
    <w:div w:id="1383402445">
      <w:bodyDiv w:val="1"/>
      <w:marLeft w:val="0"/>
      <w:marRight w:val="0"/>
      <w:marTop w:val="0"/>
      <w:marBottom w:val="0"/>
      <w:divBdr>
        <w:top w:val="none" w:sz="0" w:space="0" w:color="auto"/>
        <w:left w:val="none" w:sz="0" w:space="0" w:color="auto"/>
        <w:bottom w:val="none" w:sz="0" w:space="0" w:color="auto"/>
        <w:right w:val="none" w:sz="0" w:space="0" w:color="auto"/>
      </w:divBdr>
    </w:div>
    <w:div w:id="1383404524">
      <w:bodyDiv w:val="1"/>
      <w:marLeft w:val="0"/>
      <w:marRight w:val="0"/>
      <w:marTop w:val="0"/>
      <w:marBottom w:val="0"/>
      <w:divBdr>
        <w:top w:val="none" w:sz="0" w:space="0" w:color="auto"/>
        <w:left w:val="none" w:sz="0" w:space="0" w:color="auto"/>
        <w:bottom w:val="none" w:sz="0" w:space="0" w:color="auto"/>
        <w:right w:val="none" w:sz="0" w:space="0" w:color="auto"/>
      </w:divBdr>
    </w:div>
    <w:div w:id="1383477164">
      <w:bodyDiv w:val="1"/>
      <w:marLeft w:val="0"/>
      <w:marRight w:val="0"/>
      <w:marTop w:val="0"/>
      <w:marBottom w:val="0"/>
      <w:divBdr>
        <w:top w:val="none" w:sz="0" w:space="0" w:color="auto"/>
        <w:left w:val="none" w:sz="0" w:space="0" w:color="auto"/>
        <w:bottom w:val="none" w:sz="0" w:space="0" w:color="auto"/>
        <w:right w:val="none" w:sz="0" w:space="0" w:color="auto"/>
      </w:divBdr>
    </w:div>
    <w:div w:id="1383556483">
      <w:bodyDiv w:val="1"/>
      <w:marLeft w:val="0"/>
      <w:marRight w:val="0"/>
      <w:marTop w:val="0"/>
      <w:marBottom w:val="0"/>
      <w:divBdr>
        <w:top w:val="none" w:sz="0" w:space="0" w:color="auto"/>
        <w:left w:val="none" w:sz="0" w:space="0" w:color="auto"/>
        <w:bottom w:val="none" w:sz="0" w:space="0" w:color="auto"/>
        <w:right w:val="none" w:sz="0" w:space="0" w:color="auto"/>
      </w:divBdr>
    </w:div>
    <w:div w:id="1383745392">
      <w:bodyDiv w:val="1"/>
      <w:marLeft w:val="0"/>
      <w:marRight w:val="0"/>
      <w:marTop w:val="0"/>
      <w:marBottom w:val="0"/>
      <w:divBdr>
        <w:top w:val="none" w:sz="0" w:space="0" w:color="auto"/>
        <w:left w:val="none" w:sz="0" w:space="0" w:color="auto"/>
        <w:bottom w:val="none" w:sz="0" w:space="0" w:color="auto"/>
        <w:right w:val="none" w:sz="0" w:space="0" w:color="auto"/>
      </w:divBdr>
    </w:div>
    <w:div w:id="1383748076">
      <w:bodyDiv w:val="1"/>
      <w:marLeft w:val="0"/>
      <w:marRight w:val="0"/>
      <w:marTop w:val="0"/>
      <w:marBottom w:val="0"/>
      <w:divBdr>
        <w:top w:val="none" w:sz="0" w:space="0" w:color="auto"/>
        <w:left w:val="none" w:sz="0" w:space="0" w:color="auto"/>
        <w:bottom w:val="none" w:sz="0" w:space="0" w:color="auto"/>
        <w:right w:val="none" w:sz="0" w:space="0" w:color="auto"/>
      </w:divBdr>
    </w:div>
    <w:div w:id="1383821219">
      <w:bodyDiv w:val="1"/>
      <w:marLeft w:val="0"/>
      <w:marRight w:val="0"/>
      <w:marTop w:val="0"/>
      <w:marBottom w:val="0"/>
      <w:divBdr>
        <w:top w:val="none" w:sz="0" w:space="0" w:color="auto"/>
        <w:left w:val="none" w:sz="0" w:space="0" w:color="auto"/>
        <w:bottom w:val="none" w:sz="0" w:space="0" w:color="auto"/>
        <w:right w:val="none" w:sz="0" w:space="0" w:color="auto"/>
      </w:divBdr>
    </w:div>
    <w:div w:id="1383867269">
      <w:bodyDiv w:val="1"/>
      <w:marLeft w:val="0"/>
      <w:marRight w:val="0"/>
      <w:marTop w:val="0"/>
      <w:marBottom w:val="0"/>
      <w:divBdr>
        <w:top w:val="none" w:sz="0" w:space="0" w:color="auto"/>
        <w:left w:val="none" w:sz="0" w:space="0" w:color="auto"/>
        <w:bottom w:val="none" w:sz="0" w:space="0" w:color="auto"/>
        <w:right w:val="none" w:sz="0" w:space="0" w:color="auto"/>
      </w:divBdr>
    </w:div>
    <w:div w:id="1383872719">
      <w:bodyDiv w:val="1"/>
      <w:marLeft w:val="0"/>
      <w:marRight w:val="0"/>
      <w:marTop w:val="0"/>
      <w:marBottom w:val="0"/>
      <w:divBdr>
        <w:top w:val="none" w:sz="0" w:space="0" w:color="auto"/>
        <w:left w:val="none" w:sz="0" w:space="0" w:color="auto"/>
        <w:bottom w:val="none" w:sz="0" w:space="0" w:color="auto"/>
        <w:right w:val="none" w:sz="0" w:space="0" w:color="auto"/>
      </w:divBdr>
    </w:div>
    <w:div w:id="1384019764">
      <w:bodyDiv w:val="1"/>
      <w:marLeft w:val="0"/>
      <w:marRight w:val="0"/>
      <w:marTop w:val="0"/>
      <w:marBottom w:val="0"/>
      <w:divBdr>
        <w:top w:val="none" w:sz="0" w:space="0" w:color="auto"/>
        <w:left w:val="none" w:sz="0" w:space="0" w:color="auto"/>
        <w:bottom w:val="none" w:sz="0" w:space="0" w:color="auto"/>
        <w:right w:val="none" w:sz="0" w:space="0" w:color="auto"/>
      </w:divBdr>
    </w:div>
    <w:div w:id="1384064214">
      <w:bodyDiv w:val="1"/>
      <w:marLeft w:val="0"/>
      <w:marRight w:val="0"/>
      <w:marTop w:val="0"/>
      <w:marBottom w:val="0"/>
      <w:divBdr>
        <w:top w:val="none" w:sz="0" w:space="0" w:color="auto"/>
        <w:left w:val="none" w:sz="0" w:space="0" w:color="auto"/>
        <w:bottom w:val="none" w:sz="0" w:space="0" w:color="auto"/>
        <w:right w:val="none" w:sz="0" w:space="0" w:color="auto"/>
      </w:divBdr>
    </w:div>
    <w:div w:id="1384065979">
      <w:bodyDiv w:val="1"/>
      <w:marLeft w:val="0"/>
      <w:marRight w:val="0"/>
      <w:marTop w:val="0"/>
      <w:marBottom w:val="0"/>
      <w:divBdr>
        <w:top w:val="none" w:sz="0" w:space="0" w:color="auto"/>
        <w:left w:val="none" w:sz="0" w:space="0" w:color="auto"/>
        <w:bottom w:val="none" w:sz="0" w:space="0" w:color="auto"/>
        <w:right w:val="none" w:sz="0" w:space="0" w:color="auto"/>
      </w:divBdr>
    </w:div>
    <w:div w:id="1384137258">
      <w:bodyDiv w:val="1"/>
      <w:marLeft w:val="0"/>
      <w:marRight w:val="0"/>
      <w:marTop w:val="0"/>
      <w:marBottom w:val="0"/>
      <w:divBdr>
        <w:top w:val="none" w:sz="0" w:space="0" w:color="auto"/>
        <w:left w:val="none" w:sz="0" w:space="0" w:color="auto"/>
        <w:bottom w:val="none" w:sz="0" w:space="0" w:color="auto"/>
        <w:right w:val="none" w:sz="0" w:space="0" w:color="auto"/>
      </w:divBdr>
    </w:div>
    <w:div w:id="1384329913">
      <w:bodyDiv w:val="1"/>
      <w:marLeft w:val="0"/>
      <w:marRight w:val="0"/>
      <w:marTop w:val="0"/>
      <w:marBottom w:val="0"/>
      <w:divBdr>
        <w:top w:val="none" w:sz="0" w:space="0" w:color="auto"/>
        <w:left w:val="none" w:sz="0" w:space="0" w:color="auto"/>
        <w:bottom w:val="none" w:sz="0" w:space="0" w:color="auto"/>
        <w:right w:val="none" w:sz="0" w:space="0" w:color="auto"/>
      </w:divBdr>
    </w:div>
    <w:div w:id="1384331994">
      <w:bodyDiv w:val="1"/>
      <w:marLeft w:val="0"/>
      <w:marRight w:val="0"/>
      <w:marTop w:val="0"/>
      <w:marBottom w:val="0"/>
      <w:divBdr>
        <w:top w:val="none" w:sz="0" w:space="0" w:color="auto"/>
        <w:left w:val="none" w:sz="0" w:space="0" w:color="auto"/>
        <w:bottom w:val="none" w:sz="0" w:space="0" w:color="auto"/>
        <w:right w:val="none" w:sz="0" w:space="0" w:color="auto"/>
      </w:divBdr>
    </w:div>
    <w:div w:id="1384332894">
      <w:bodyDiv w:val="1"/>
      <w:marLeft w:val="0"/>
      <w:marRight w:val="0"/>
      <w:marTop w:val="0"/>
      <w:marBottom w:val="0"/>
      <w:divBdr>
        <w:top w:val="none" w:sz="0" w:space="0" w:color="auto"/>
        <w:left w:val="none" w:sz="0" w:space="0" w:color="auto"/>
        <w:bottom w:val="none" w:sz="0" w:space="0" w:color="auto"/>
        <w:right w:val="none" w:sz="0" w:space="0" w:color="auto"/>
      </w:divBdr>
    </w:div>
    <w:div w:id="1384405545">
      <w:bodyDiv w:val="1"/>
      <w:marLeft w:val="0"/>
      <w:marRight w:val="0"/>
      <w:marTop w:val="0"/>
      <w:marBottom w:val="0"/>
      <w:divBdr>
        <w:top w:val="none" w:sz="0" w:space="0" w:color="auto"/>
        <w:left w:val="none" w:sz="0" w:space="0" w:color="auto"/>
        <w:bottom w:val="none" w:sz="0" w:space="0" w:color="auto"/>
        <w:right w:val="none" w:sz="0" w:space="0" w:color="auto"/>
      </w:divBdr>
    </w:div>
    <w:div w:id="1384475846">
      <w:bodyDiv w:val="1"/>
      <w:marLeft w:val="0"/>
      <w:marRight w:val="0"/>
      <w:marTop w:val="0"/>
      <w:marBottom w:val="0"/>
      <w:divBdr>
        <w:top w:val="none" w:sz="0" w:space="0" w:color="auto"/>
        <w:left w:val="none" w:sz="0" w:space="0" w:color="auto"/>
        <w:bottom w:val="none" w:sz="0" w:space="0" w:color="auto"/>
        <w:right w:val="none" w:sz="0" w:space="0" w:color="auto"/>
      </w:divBdr>
    </w:div>
    <w:div w:id="1384520395">
      <w:bodyDiv w:val="1"/>
      <w:marLeft w:val="0"/>
      <w:marRight w:val="0"/>
      <w:marTop w:val="0"/>
      <w:marBottom w:val="0"/>
      <w:divBdr>
        <w:top w:val="none" w:sz="0" w:space="0" w:color="auto"/>
        <w:left w:val="none" w:sz="0" w:space="0" w:color="auto"/>
        <w:bottom w:val="none" w:sz="0" w:space="0" w:color="auto"/>
        <w:right w:val="none" w:sz="0" w:space="0" w:color="auto"/>
      </w:divBdr>
    </w:div>
    <w:div w:id="1384520853">
      <w:bodyDiv w:val="1"/>
      <w:marLeft w:val="0"/>
      <w:marRight w:val="0"/>
      <w:marTop w:val="0"/>
      <w:marBottom w:val="0"/>
      <w:divBdr>
        <w:top w:val="none" w:sz="0" w:space="0" w:color="auto"/>
        <w:left w:val="none" w:sz="0" w:space="0" w:color="auto"/>
        <w:bottom w:val="none" w:sz="0" w:space="0" w:color="auto"/>
        <w:right w:val="none" w:sz="0" w:space="0" w:color="auto"/>
      </w:divBdr>
    </w:div>
    <w:div w:id="1384594030">
      <w:bodyDiv w:val="1"/>
      <w:marLeft w:val="0"/>
      <w:marRight w:val="0"/>
      <w:marTop w:val="0"/>
      <w:marBottom w:val="0"/>
      <w:divBdr>
        <w:top w:val="none" w:sz="0" w:space="0" w:color="auto"/>
        <w:left w:val="none" w:sz="0" w:space="0" w:color="auto"/>
        <w:bottom w:val="none" w:sz="0" w:space="0" w:color="auto"/>
        <w:right w:val="none" w:sz="0" w:space="0" w:color="auto"/>
      </w:divBdr>
    </w:div>
    <w:div w:id="1384602733">
      <w:bodyDiv w:val="1"/>
      <w:marLeft w:val="0"/>
      <w:marRight w:val="0"/>
      <w:marTop w:val="0"/>
      <w:marBottom w:val="0"/>
      <w:divBdr>
        <w:top w:val="none" w:sz="0" w:space="0" w:color="auto"/>
        <w:left w:val="none" w:sz="0" w:space="0" w:color="auto"/>
        <w:bottom w:val="none" w:sz="0" w:space="0" w:color="auto"/>
        <w:right w:val="none" w:sz="0" w:space="0" w:color="auto"/>
      </w:divBdr>
    </w:div>
    <w:div w:id="1384644897">
      <w:bodyDiv w:val="1"/>
      <w:marLeft w:val="0"/>
      <w:marRight w:val="0"/>
      <w:marTop w:val="0"/>
      <w:marBottom w:val="0"/>
      <w:divBdr>
        <w:top w:val="none" w:sz="0" w:space="0" w:color="auto"/>
        <w:left w:val="none" w:sz="0" w:space="0" w:color="auto"/>
        <w:bottom w:val="none" w:sz="0" w:space="0" w:color="auto"/>
        <w:right w:val="none" w:sz="0" w:space="0" w:color="auto"/>
      </w:divBdr>
    </w:div>
    <w:div w:id="1384671929">
      <w:bodyDiv w:val="1"/>
      <w:marLeft w:val="0"/>
      <w:marRight w:val="0"/>
      <w:marTop w:val="0"/>
      <w:marBottom w:val="0"/>
      <w:divBdr>
        <w:top w:val="none" w:sz="0" w:space="0" w:color="auto"/>
        <w:left w:val="none" w:sz="0" w:space="0" w:color="auto"/>
        <w:bottom w:val="none" w:sz="0" w:space="0" w:color="auto"/>
        <w:right w:val="none" w:sz="0" w:space="0" w:color="auto"/>
      </w:divBdr>
    </w:div>
    <w:div w:id="1384717217">
      <w:bodyDiv w:val="1"/>
      <w:marLeft w:val="0"/>
      <w:marRight w:val="0"/>
      <w:marTop w:val="0"/>
      <w:marBottom w:val="0"/>
      <w:divBdr>
        <w:top w:val="none" w:sz="0" w:space="0" w:color="auto"/>
        <w:left w:val="none" w:sz="0" w:space="0" w:color="auto"/>
        <w:bottom w:val="none" w:sz="0" w:space="0" w:color="auto"/>
        <w:right w:val="none" w:sz="0" w:space="0" w:color="auto"/>
      </w:divBdr>
    </w:div>
    <w:div w:id="1384792744">
      <w:bodyDiv w:val="1"/>
      <w:marLeft w:val="0"/>
      <w:marRight w:val="0"/>
      <w:marTop w:val="0"/>
      <w:marBottom w:val="0"/>
      <w:divBdr>
        <w:top w:val="none" w:sz="0" w:space="0" w:color="auto"/>
        <w:left w:val="none" w:sz="0" w:space="0" w:color="auto"/>
        <w:bottom w:val="none" w:sz="0" w:space="0" w:color="auto"/>
        <w:right w:val="none" w:sz="0" w:space="0" w:color="auto"/>
      </w:divBdr>
    </w:div>
    <w:div w:id="1384988941">
      <w:bodyDiv w:val="1"/>
      <w:marLeft w:val="0"/>
      <w:marRight w:val="0"/>
      <w:marTop w:val="0"/>
      <w:marBottom w:val="0"/>
      <w:divBdr>
        <w:top w:val="none" w:sz="0" w:space="0" w:color="auto"/>
        <w:left w:val="none" w:sz="0" w:space="0" w:color="auto"/>
        <w:bottom w:val="none" w:sz="0" w:space="0" w:color="auto"/>
        <w:right w:val="none" w:sz="0" w:space="0" w:color="auto"/>
      </w:divBdr>
    </w:div>
    <w:div w:id="1385062952">
      <w:bodyDiv w:val="1"/>
      <w:marLeft w:val="0"/>
      <w:marRight w:val="0"/>
      <w:marTop w:val="0"/>
      <w:marBottom w:val="0"/>
      <w:divBdr>
        <w:top w:val="none" w:sz="0" w:space="0" w:color="auto"/>
        <w:left w:val="none" w:sz="0" w:space="0" w:color="auto"/>
        <w:bottom w:val="none" w:sz="0" w:space="0" w:color="auto"/>
        <w:right w:val="none" w:sz="0" w:space="0" w:color="auto"/>
      </w:divBdr>
    </w:div>
    <w:div w:id="1385104414">
      <w:bodyDiv w:val="1"/>
      <w:marLeft w:val="0"/>
      <w:marRight w:val="0"/>
      <w:marTop w:val="0"/>
      <w:marBottom w:val="0"/>
      <w:divBdr>
        <w:top w:val="none" w:sz="0" w:space="0" w:color="auto"/>
        <w:left w:val="none" w:sz="0" w:space="0" w:color="auto"/>
        <w:bottom w:val="none" w:sz="0" w:space="0" w:color="auto"/>
        <w:right w:val="none" w:sz="0" w:space="0" w:color="auto"/>
      </w:divBdr>
    </w:div>
    <w:div w:id="1385106077">
      <w:bodyDiv w:val="1"/>
      <w:marLeft w:val="0"/>
      <w:marRight w:val="0"/>
      <w:marTop w:val="0"/>
      <w:marBottom w:val="0"/>
      <w:divBdr>
        <w:top w:val="none" w:sz="0" w:space="0" w:color="auto"/>
        <w:left w:val="none" w:sz="0" w:space="0" w:color="auto"/>
        <w:bottom w:val="none" w:sz="0" w:space="0" w:color="auto"/>
        <w:right w:val="none" w:sz="0" w:space="0" w:color="auto"/>
      </w:divBdr>
    </w:div>
    <w:div w:id="1385131407">
      <w:bodyDiv w:val="1"/>
      <w:marLeft w:val="0"/>
      <w:marRight w:val="0"/>
      <w:marTop w:val="0"/>
      <w:marBottom w:val="0"/>
      <w:divBdr>
        <w:top w:val="none" w:sz="0" w:space="0" w:color="auto"/>
        <w:left w:val="none" w:sz="0" w:space="0" w:color="auto"/>
        <w:bottom w:val="none" w:sz="0" w:space="0" w:color="auto"/>
        <w:right w:val="none" w:sz="0" w:space="0" w:color="auto"/>
      </w:divBdr>
    </w:div>
    <w:div w:id="1385134654">
      <w:bodyDiv w:val="1"/>
      <w:marLeft w:val="0"/>
      <w:marRight w:val="0"/>
      <w:marTop w:val="0"/>
      <w:marBottom w:val="0"/>
      <w:divBdr>
        <w:top w:val="none" w:sz="0" w:space="0" w:color="auto"/>
        <w:left w:val="none" w:sz="0" w:space="0" w:color="auto"/>
        <w:bottom w:val="none" w:sz="0" w:space="0" w:color="auto"/>
        <w:right w:val="none" w:sz="0" w:space="0" w:color="auto"/>
      </w:divBdr>
    </w:div>
    <w:div w:id="1385134812">
      <w:bodyDiv w:val="1"/>
      <w:marLeft w:val="0"/>
      <w:marRight w:val="0"/>
      <w:marTop w:val="0"/>
      <w:marBottom w:val="0"/>
      <w:divBdr>
        <w:top w:val="none" w:sz="0" w:space="0" w:color="auto"/>
        <w:left w:val="none" w:sz="0" w:space="0" w:color="auto"/>
        <w:bottom w:val="none" w:sz="0" w:space="0" w:color="auto"/>
        <w:right w:val="none" w:sz="0" w:space="0" w:color="auto"/>
      </w:divBdr>
    </w:div>
    <w:div w:id="1385182802">
      <w:bodyDiv w:val="1"/>
      <w:marLeft w:val="0"/>
      <w:marRight w:val="0"/>
      <w:marTop w:val="0"/>
      <w:marBottom w:val="0"/>
      <w:divBdr>
        <w:top w:val="none" w:sz="0" w:space="0" w:color="auto"/>
        <w:left w:val="none" w:sz="0" w:space="0" w:color="auto"/>
        <w:bottom w:val="none" w:sz="0" w:space="0" w:color="auto"/>
        <w:right w:val="none" w:sz="0" w:space="0" w:color="auto"/>
      </w:divBdr>
    </w:div>
    <w:div w:id="1385326742">
      <w:bodyDiv w:val="1"/>
      <w:marLeft w:val="0"/>
      <w:marRight w:val="0"/>
      <w:marTop w:val="0"/>
      <w:marBottom w:val="0"/>
      <w:divBdr>
        <w:top w:val="none" w:sz="0" w:space="0" w:color="auto"/>
        <w:left w:val="none" w:sz="0" w:space="0" w:color="auto"/>
        <w:bottom w:val="none" w:sz="0" w:space="0" w:color="auto"/>
        <w:right w:val="none" w:sz="0" w:space="0" w:color="auto"/>
      </w:divBdr>
    </w:div>
    <w:div w:id="1385328129">
      <w:bodyDiv w:val="1"/>
      <w:marLeft w:val="0"/>
      <w:marRight w:val="0"/>
      <w:marTop w:val="0"/>
      <w:marBottom w:val="0"/>
      <w:divBdr>
        <w:top w:val="none" w:sz="0" w:space="0" w:color="auto"/>
        <w:left w:val="none" w:sz="0" w:space="0" w:color="auto"/>
        <w:bottom w:val="none" w:sz="0" w:space="0" w:color="auto"/>
        <w:right w:val="none" w:sz="0" w:space="0" w:color="auto"/>
      </w:divBdr>
    </w:div>
    <w:div w:id="1385367888">
      <w:bodyDiv w:val="1"/>
      <w:marLeft w:val="0"/>
      <w:marRight w:val="0"/>
      <w:marTop w:val="0"/>
      <w:marBottom w:val="0"/>
      <w:divBdr>
        <w:top w:val="none" w:sz="0" w:space="0" w:color="auto"/>
        <w:left w:val="none" w:sz="0" w:space="0" w:color="auto"/>
        <w:bottom w:val="none" w:sz="0" w:space="0" w:color="auto"/>
        <w:right w:val="none" w:sz="0" w:space="0" w:color="auto"/>
      </w:divBdr>
    </w:div>
    <w:div w:id="1385525296">
      <w:bodyDiv w:val="1"/>
      <w:marLeft w:val="0"/>
      <w:marRight w:val="0"/>
      <w:marTop w:val="0"/>
      <w:marBottom w:val="0"/>
      <w:divBdr>
        <w:top w:val="none" w:sz="0" w:space="0" w:color="auto"/>
        <w:left w:val="none" w:sz="0" w:space="0" w:color="auto"/>
        <w:bottom w:val="none" w:sz="0" w:space="0" w:color="auto"/>
        <w:right w:val="none" w:sz="0" w:space="0" w:color="auto"/>
      </w:divBdr>
    </w:div>
    <w:div w:id="1385562597">
      <w:bodyDiv w:val="1"/>
      <w:marLeft w:val="0"/>
      <w:marRight w:val="0"/>
      <w:marTop w:val="0"/>
      <w:marBottom w:val="0"/>
      <w:divBdr>
        <w:top w:val="none" w:sz="0" w:space="0" w:color="auto"/>
        <w:left w:val="none" w:sz="0" w:space="0" w:color="auto"/>
        <w:bottom w:val="none" w:sz="0" w:space="0" w:color="auto"/>
        <w:right w:val="none" w:sz="0" w:space="0" w:color="auto"/>
      </w:divBdr>
    </w:div>
    <w:div w:id="1385569165">
      <w:bodyDiv w:val="1"/>
      <w:marLeft w:val="0"/>
      <w:marRight w:val="0"/>
      <w:marTop w:val="0"/>
      <w:marBottom w:val="0"/>
      <w:divBdr>
        <w:top w:val="none" w:sz="0" w:space="0" w:color="auto"/>
        <w:left w:val="none" w:sz="0" w:space="0" w:color="auto"/>
        <w:bottom w:val="none" w:sz="0" w:space="0" w:color="auto"/>
        <w:right w:val="none" w:sz="0" w:space="0" w:color="auto"/>
      </w:divBdr>
    </w:div>
    <w:div w:id="1385711139">
      <w:bodyDiv w:val="1"/>
      <w:marLeft w:val="0"/>
      <w:marRight w:val="0"/>
      <w:marTop w:val="0"/>
      <w:marBottom w:val="0"/>
      <w:divBdr>
        <w:top w:val="none" w:sz="0" w:space="0" w:color="auto"/>
        <w:left w:val="none" w:sz="0" w:space="0" w:color="auto"/>
        <w:bottom w:val="none" w:sz="0" w:space="0" w:color="auto"/>
        <w:right w:val="none" w:sz="0" w:space="0" w:color="auto"/>
      </w:divBdr>
    </w:div>
    <w:div w:id="1385718079">
      <w:bodyDiv w:val="1"/>
      <w:marLeft w:val="0"/>
      <w:marRight w:val="0"/>
      <w:marTop w:val="0"/>
      <w:marBottom w:val="0"/>
      <w:divBdr>
        <w:top w:val="none" w:sz="0" w:space="0" w:color="auto"/>
        <w:left w:val="none" w:sz="0" w:space="0" w:color="auto"/>
        <w:bottom w:val="none" w:sz="0" w:space="0" w:color="auto"/>
        <w:right w:val="none" w:sz="0" w:space="0" w:color="auto"/>
      </w:divBdr>
    </w:div>
    <w:div w:id="1385759028">
      <w:bodyDiv w:val="1"/>
      <w:marLeft w:val="0"/>
      <w:marRight w:val="0"/>
      <w:marTop w:val="0"/>
      <w:marBottom w:val="0"/>
      <w:divBdr>
        <w:top w:val="none" w:sz="0" w:space="0" w:color="auto"/>
        <w:left w:val="none" w:sz="0" w:space="0" w:color="auto"/>
        <w:bottom w:val="none" w:sz="0" w:space="0" w:color="auto"/>
        <w:right w:val="none" w:sz="0" w:space="0" w:color="auto"/>
      </w:divBdr>
    </w:div>
    <w:div w:id="1385908218">
      <w:bodyDiv w:val="1"/>
      <w:marLeft w:val="0"/>
      <w:marRight w:val="0"/>
      <w:marTop w:val="0"/>
      <w:marBottom w:val="0"/>
      <w:divBdr>
        <w:top w:val="none" w:sz="0" w:space="0" w:color="auto"/>
        <w:left w:val="none" w:sz="0" w:space="0" w:color="auto"/>
        <w:bottom w:val="none" w:sz="0" w:space="0" w:color="auto"/>
        <w:right w:val="none" w:sz="0" w:space="0" w:color="auto"/>
      </w:divBdr>
    </w:div>
    <w:div w:id="1385984815">
      <w:bodyDiv w:val="1"/>
      <w:marLeft w:val="0"/>
      <w:marRight w:val="0"/>
      <w:marTop w:val="0"/>
      <w:marBottom w:val="0"/>
      <w:divBdr>
        <w:top w:val="none" w:sz="0" w:space="0" w:color="auto"/>
        <w:left w:val="none" w:sz="0" w:space="0" w:color="auto"/>
        <w:bottom w:val="none" w:sz="0" w:space="0" w:color="auto"/>
        <w:right w:val="none" w:sz="0" w:space="0" w:color="auto"/>
      </w:divBdr>
    </w:div>
    <w:div w:id="1385984861">
      <w:bodyDiv w:val="1"/>
      <w:marLeft w:val="0"/>
      <w:marRight w:val="0"/>
      <w:marTop w:val="0"/>
      <w:marBottom w:val="0"/>
      <w:divBdr>
        <w:top w:val="none" w:sz="0" w:space="0" w:color="auto"/>
        <w:left w:val="none" w:sz="0" w:space="0" w:color="auto"/>
        <w:bottom w:val="none" w:sz="0" w:space="0" w:color="auto"/>
        <w:right w:val="none" w:sz="0" w:space="0" w:color="auto"/>
      </w:divBdr>
    </w:div>
    <w:div w:id="1385985814">
      <w:bodyDiv w:val="1"/>
      <w:marLeft w:val="0"/>
      <w:marRight w:val="0"/>
      <w:marTop w:val="0"/>
      <w:marBottom w:val="0"/>
      <w:divBdr>
        <w:top w:val="none" w:sz="0" w:space="0" w:color="auto"/>
        <w:left w:val="none" w:sz="0" w:space="0" w:color="auto"/>
        <w:bottom w:val="none" w:sz="0" w:space="0" w:color="auto"/>
        <w:right w:val="none" w:sz="0" w:space="0" w:color="auto"/>
      </w:divBdr>
    </w:div>
    <w:div w:id="1386025153">
      <w:bodyDiv w:val="1"/>
      <w:marLeft w:val="0"/>
      <w:marRight w:val="0"/>
      <w:marTop w:val="0"/>
      <w:marBottom w:val="0"/>
      <w:divBdr>
        <w:top w:val="none" w:sz="0" w:space="0" w:color="auto"/>
        <w:left w:val="none" w:sz="0" w:space="0" w:color="auto"/>
        <w:bottom w:val="none" w:sz="0" w:space="0" w:color="auto"/>
        <w:right w:val="none" w:sz="0" w:space="0" w:color="auto"/>
      </w:divBdr>
    </w:div>
    <w:div w:id="1386106765">
      <w:bodyDiv w:val="1"/>
      <w:marLeft w:val="0"/>
      <w:marRight w:val="0"/>
      <w:marTop w:val="0"/>
      <w:marBottom w:val="0"/>
      <w:divBdr>
        <w:top w:val="none" w:sz="0" w:space="0" w:color="auto"/>
        <w:left w:val="none" w:sz="0" w:space="0" w:color="auto"/>
        <w:bottom w:val="none" w:sz="0" w:space="0" w:color="auto"/>
        <w:right w:val="none" w:sz="0" w:space="0" w:color="auto"/>
      </w:divBdr>
    </w:div>
    <w:div w:id="1386173765">
      <w:bodyDiv w:val="1"/>
      <w:marLeft w:val="0"/>
      <w:marRight w:val="0"/>
      <w:marTop w:val="0"/>
      <w:marBottom w:val="0"/>
      <w:divBdr>
        <w:top w:val="none" w:sz="0" w:space="0" w:color="auto"/>
        <w:left w:val="none" w:sz="0" w:space="0" w:color="auto"/>
        <w:bottom w:val="none" w:sz="0" w:space="0" w:color="auto"/>
        <w:right w:val="none" w:sz="0" w:space="0" w:color="auto"/>
      </w:divBdr>
    </w:div>
    <w:div w:id="1386217838">
      <w:bodyDiv w:val="1"/>
      <w:marLeft w:val="0"/>
      <w:marRight w:val="0"/>
      <w:marTop w:val="0"/>
      <w:marBottom w:val="0"/>
      <w:divBdr>
        <w:top w:val="none" w:sz="0" w:space="0" w:color="auto"/>
        <w:left w:val="none" w:sz="0" w:space="0" w:color="auto"/>
        <w:bottom w:val="none" w:sz="0" w:space="0" w:color="auto"/>
        <w:right w:val="none" w:sz="0" w:space="0" w:color="auto"/>
      </w:divBdr>
    </w:div>
    <w:div w:id="1386222982">
      <w:bodyDiv w:val="1"/>
      <w:marLeft w:val="0"/>
      <w:marRight w:val="0"/>
      <w:marTop w:val="0"/>
      <w:marBottom w:val="0"/>
      <w:divBdr>
        <w:top w:val="none" w:sz="0" w:space="0" w:color="auto"/>
        <w:left w:val="none" w:sz="0" w:space="0" w:color="auto"/>
        <w:bottom w:val="none" w:sz="0" w:space="0" w:color="auto"/>
        <w:right w:val="none" w:sz="0" w:space="0" w:color="auto"/>
      </w:divBdr>
    </w:div>
    <w:div w:id="1386299571">
      <w:bodyDiv w:val="1"/>
      <w:marLeft w:val="0"/>
      <w:marRight w:val="0"/>
      <w:marTop w:val="0"/>
      <w:marBottom w:val="0"/>
      <w:divBdr>
        <w:top w:val="none" w:sz="0" w:space="0" w:color="auto"/>
        <w:left w:val="none" w:sz="0" w:space="0" w:color="auto"/>
        <w:bottom w:val="none" w:sz="0" w:space="0" w:color="auto"/>
        <w:right w:val="none" w:sz="0" w:space="0" w:color="auto"/>
      </w:divBdr>
    </w:div>
    <w:div w:id="1386370093">
      <w:bodyDiv w:val="1"/>
      <w:marLeft w:val="0"/>
      <w:marRight w:val="0"/>
      <w:marTop w:val="0"/>
      <w:marBottom w:val="0"/>
      <w:divBdr>
        <w:top w:val="none" w:sz="0" w:space="0" w:color="auto"/>
        <w:left w:val="none" w:sz="0" w:space="0" w:color="auto"/>
        <w:bottom w:val="none" w:sz="0" w:space="0" w:color="auto"/>
        <w:right w:val="none" w:sz="0" w:space="0" w:color="auto"/>
      </w:divBdr>
    </w:div>
    <w:div w:id="1386372040">
      <w:bodyDiv w:val="1"/>
      <w:marLeft w:val="0"/>
      <w:marRight w:val="0"/>
      <w:marTop w:val="0"/>
      <w:marBottom w:val="0"/>
      <w:divBdr>
        <w:top w:val="none" w:sz="0" w:space="0" w:color="auto"/>
        <w:left w:val="none" w:sz="0" w:space="0" w:color="auto"/>
        <w:bottom w:val="none" w:sz="0" w:space="0" w:color="auto"/>
        <w:right w:val="none" w:sz="0" w:space="0" w:color="auto"/>
      </w:divBdr>
    </w:div>
    <w:div w:id="1386372626">
      <w:bodyDiv w:val="1"/>
      <w:marLeft w:val="0"/>
      <w:marRight w:val="0"/>
      <w:marTop w:val="0"/>
      <w:marBottom w:val="0"/>
      <w:divBdr>
        <w:top w:val="none" w:sz="0" w:space="0" w:color="auto"/>
        <w:left w:val="none" w:sz="0" w:space="0" w:color="auto"/>
        <w:bottom w:val="none" w:sz="0" w:space="0" w:color="auto"/>
        <w:right w:val="none" w:sz="0" w:space="0" w:color="auto"/>
      </w:divBdr>
    </w:div>
    <w:div w:id="1386638597">
      <w:bodyDiv w:val="1"/>
      <w:marLeft w:val="0"/>
      <w:marRight w:val="0"/>
      <w:marTop w:val="0"/>
      <w:marBottom w:val="0"/>
      <w:divBdr>
        <w:top w:val="none" w:sz="0" w:space="0" w:color="auto"/>
        <w:left w:val="none" w:sz="0" w:space="0" w:color="auto"/>
        <w:bottom w:val="none" w:sz="0" w:space="0" w:color="auto"/>
        <w:right w:val="none" w:sz="0" w:space="0" w:color="auto"/>
      </w:divBdr>
    </w:div>
    <w:div w:id="1386757122">
      <w:bodyDiv w:val="1"/>
      <w:marLeft w:val="0"/>
      <w:marRight w:val="0"/>
      <w:marTop w:val="0"/>
      <w:marBottom w:val="0"/>
      <w:divBdr>
        <w:top w:val="none" w:sz="0" w:space="0" w:color="auto"/>
        <w:left w:val="none" w:sz="0" w:space="0" w:color="auto"/>
        <w:bottom w:val="none" w:sz="0" w:space="0" w:color="auto"/>
        <w:right w:val="none" w:sz="0" w:space="0" w:color="auto"/>
      </w:divBdr>
    </w:div>
    <w:div w:id="1386828315">
      <w:bodyDiv w:val="1"/>
      <w:marLeft w:val="0"/>
      <w:marRight w:val="0"/>
      <w:marTop w:val="0"/>
      <w:marBottom w:val="0"/>
      <w:divBdr>
        <w:top w:val="none" w:sz="0" w:space="0" w:color="auto"/>
        <w:left w:val="none" w:sz="0" w:space="0" w:color="auto"/>
        <w:bottom w:val="none" w:sz="0" w:space="0" w:color="auto"/>
        <w:right w:val="none" w:sz="0" w:space="0" w:color="auto"/>
      </w:divBdr>
    </w:div>
    <w:div w:id="1386948705">
      <w:bodyDiv w:val="1"/>
      <w:marLeft w:val="0"/>
      <w:marRight w:val="0"/>
      <w:marTop w:val="0"/>
      <w:marBottom w:val="0"/>
      <w:divBdr>
        <w:top w:val="none" w:sz="0" w:space="0" w:color="auto"/>
        <w:left w:val="none" w:sz="0" w:space="0" w:color="auto"/>
        <w:bottom w:val="none" w:sz="0" w:space="0" w:color="auto"/>
        <w:right w:val="none" w:sz="0" w:space="0" w:color="auto"/>
      </w:divBdr>
    </w:div>
    <w:div w:id="1386954043">
      <w:bodyDiv w:val="1"/>
      <w:marLeft w:val="0"/>
      <w:marRight w:val="0"/>
      <w:marTop w:val="0"/>
      <w:marBottom w:val="0"/>
      <w:divBdr>
        <w:top w:val="none" w:sz="0" w:space="0" w:color="auto"/>
        <w:left w:val="none" w:sz="0" w:space="0" w:color="auto"/>
        <w:bottom w:val="none" w:sz="0" w:space="0" w:color="auto"/>
        <w:right w:val="none" w:sz="0" w:space="0" w:color="auto"/>
      </w:divBdr>
    </w:div>
    <w:div w:id="1387139711">
      <w:bodyDiv w:val="1"/>
      <w:marLeft w:val="0"/>
      <w:marRight w:val="0"/>
      <w:marTop w:val="0"/>
      <w:marBottom w:val="0"/>
      <w:divBdr>
        <w:top w:val="none" w:sz="0" w:space="0" w:color="auto"/>
        <w:left w:val="none" w:sz="0" w:space="0" w:color="auto"/>
        <w:bottom w:val="none" w:sz="0" w:space="0" w:color="auto"/>
        <w:right w:val="none" w:sz="0" w:space="0" w:color="auto"/>
      </w:divBdr>
    </w:div>
    <w:div w:id="1387215424">
      <w:bodyDiv w:val="1"/>
      <w:marLeft w:val="0"/>
      <w:marRight w:val="0"/>
      <w:marTop w:val="0"/>
      <w:marBottom w:val="0"/>
      <w:divBdr>
        <w:top w:val="none" w:sz="0" w:space="0" w:color="auto"/>
        <w:left w:val="none" w:sz="0" w:space="0" w:color="auto"/>
        <w:bottom w:val="none" w:sz="0" w:space="0" w:color="auto"/>
        <w:right w:val="none" w:sz="0" w:space="0" w:color="auto"/>
      </w:divBdr>
    </w:div>
    <w:div w:id="1387222618">
      <w:bodyDiv w:val="1"/>
      <w:marLeft w:val="0"/>
      <w:marRight w:val="0"/>
      <w:marTop w:val="0"/>
      <w:marBottom w:val="0"/>
      <w:divBdr>
        <w:top w:val="none" w:sz="0" w:space="0" w:color="auto"/>
        <w:left w:val="none" w:sz="0" w:space="0" w:color="auto"/>
        <w:bottom w:val="none" w:sz="0" w:space="0" w:color="auto"/>
        <w:right w:val="none" w:sz="0" w:space="0" w:color="auto"/>
      </w:divBdr>
    </w:div>
    <w:div w:id="1387296289">
      <w:bodyDiv w:val="1"/>
      <w:marLeft w:val="0"/>
      <w:marRight w:val="0"/>
      <w:marTop w:val="0"/>
      <w:marBottom w:val="0"/>
      <w:divBdr>
        <w:top w:val="none" w:sz="0" w:space="0" w:color="auto"/>
        <w:left w:val="none" w:sz="0" w:space="0" w:color="auto"/>
        <w:bottom w:val="none" w:sz="0" w:space="0" w:color="auto"/>
        <w:right w:val="none" w:sz="0" w:space="0" w:color="auto"/>
      </w:divBdr>
    </w:div>
    <w:div w:id="1387408927">
      <w:bodyDiv w:val="1"/>
      <w:marLeft w:val="0"/>
      <w:marRight w:val="0"/>
      <w:marTop w:val="0"/>
      <w:marBottom w:val="0"/>
      <w:divBdr>
        <w:top w:val="none" w:sz="0" w:space="0" w:color="auto"/>
        <w:left w:val="none" w:sz="0" w:space="0" w:color="auto"/>
        <w:bottom w:val="none" w:sz="0" w:space="0" w:color="auto"/>
        <w:right w:val="none" w:sz="0" w:space="0" w:color="auto"/>
      </w:divBdr>
    </w:div>
    <w:div w:id="1387530206">
      <w:bodyDiv w:val="1"/>
      <w:marLeft w:val="0"/>
      <w:marRight w:val="0"/>
      <w:marTop w:val="0"/>
      <w:marBottom w:val="0"/>
      <w:divBdr>
        <w:top w:val="none" w:sz="0" w:space="0" w:color="auto"/>
        <w:left w:val="none" w:sz="0" w:space="0" w:color="auto"/>
        <w:bottom w:val="none" w:sz="0" w:space="0" w:color="auto"/>
        <w:right w:val="none" w:sz="0" w:space="0" w:color="auto"/>
      </w:divBdr>
    </w:div>
    <w:div w:id="1387609341">
      <w:bodyDiv w:val="1"/>
      <w:marLeft w:val="0"/>
      <w:marRight w:val="0"/>
      <w:marTop w:val="0"/>
      <w:marBottom w:val="0"/>
      <w:divBdr>
        <w:top w:val="none" w:sz="0" w:space="0" w:color="auto"/>
        <w:left w:val="none" w:sz="0" w:space="0" w:color="auto"/>
        <w:bottom w:val="none" w:sz="0" w:space="0" w:color="auto"/>
        <w:right w:val="none" w:sz="0" w:space="0" w:color="auto"/>
      </w:divBdr>
    </w:div>
    <w:div w:id="1387681755">
      <w:bodyDiv w:val="1"/>
      <w:marLeft w:val="0"/>
      <w:marRight w:val="0"/>
      <w:marTop w:val="0"/>
      <w:marBottom w:val="0"/>
      <w:divBdr>
        <w:top w:val="none" w:sz="0" w:space="0" w:color="auto"/>
        <w:left w:val="none" w:sz="0" w:space="0" w:color="auto"/>
        <w:bottom w:val="none" w:sz="0" w:space="0" w:color="auto"/>
        <w:right w:val="none" w:sz="0" w:space="0" w:color="auto"/>
      </w:divBdr>
    </w:div>
    <w:div w:id="1387877923">
      <w:bodyDiv w:val="1"/>
      <w:marLeft w:val="0"/>
      <w:marRight w:val="0"/>
      <w:marTop w:val="0"/>
      <w:marBottom w:val="0"/>
      <w:divBdr>
        <w:top w:val="none" w:sz="0" w:space="0" w:color="auto"/>
        <w:left w:val="none" w:sz="0" w:space="0" w:color="auto"/>
        <w:bottom w:val="none" w:sz="0" w:space="0" w:color="auto"/>
        <w:right w:val="none" w:sz="0" w:space="0" w:color="auto"/>
      </w:divBdr>
    </w:div>
    <w:div w:id="1387921731">
      <w:bodyDiv w:val="1"/>
      <w:marLeft w:val="0"/>
      <w:marRight w:val="0"/>
      <w:marTop w:val="0"/>
      <w:marBottom w:val="0"/>
      <w:divBdr>
        <w:top w:val="none" w:sz="0" w:space="0" w:color="auto"/>
        <w:left w:val="none" w:sz="0" w:space="0" w:color="auto"/>
        <w:bottom w:val="none" w:sz="0" w:space="0" w:color="auto"/>
        <w:right w:val="none" w:sz="0" w:space="0" w:color="auto"/>
      </w:divBdr>
    </w:div>
    <w:div w:id="1387946734">
      <w:bodyDiv w:val="1"/>
      <w:marLeft w:val="0"/>
      <w:marRight w:val="0"/>
      <w:marTop w:val="0"/>
      <w:marBottom w:val="0"/>
      <w:divBdr>
        <w:top w:val="none" w:sz="0" w:space="0" w:color="auto"/>
        <w:left w:val="none" w:sz="0" w:space="0" w:color="auto"/>
        <w:bottom w:val="none" w:sz="0" w:space="0" w:color="auto"/>
        <w:right w:val="none" w:sz="0" w:space="0" w:color="auto"/>
      </w:divBdr>
    </w:div>
    <w:div w:id="1387954039">
      <w:bodyDiv w:val="1"/>
      <w:marLeft w:val="0"/>
      <w:marRight w:val="0"/>
      <w:marTop w:val="0"/>
      <w:marBottom w:val="0"/>
      <w:divBdr>
        <w:top w:val="none" w:sz="0" w:space="0" w:color="auto"/>
        <w:left w:val="none" w:sz="0" w:space="0" w:color="auto"/>
        <w:bottom w:val="none" w:sz="0" w:space="0" w:color="auto"/>
        <w:right w:val="none" w:sz="0" w:space="0" w:color="auto"/>
      </w:divBdr>
    </w:div>
    <w:div w:id="1387992047">
      <w:bodyDiv w:val="1"/>
      <w:marLeft w:val="0"/>
      <w:marRight w:val="0"/>
      <w:marTop w:val="0"/>
      <w:marBottom w:val="0"/>
      <w:divBdr>
        <w:top w:val="none" w:sz="0" w:space="0" w:color="auto"/>
        <w:left w:val="none" w:sz="0" w:space="0" w:color="auto"/>
        <w:bottom w:val="none" w:sz="0" w:space="0" w:color="auto"/>
        <w:right w:val="none" w:sz="0" w:space="0" w:color="auto"/>
      </w:divBdr>
    </w:div>
    <w:div w:id="1387996918">
      <w:bodyDiv w:val="1"/>
      <w:marLeft w:val="0"/>
      <w:marRight w:val="0"/>
      <w:marTop w:val="0"/>
      <w:marBottom w:val="0"/>
      <w:divBdr>
        <w:top w:val="none" w:sz="0" w:space="0" w:color="auto"/>
        <w:left w:val="none" w:sz="0" w:space="0" w:color="auto"/>
        <w:bottom w:val="none" w:sz="0" w:space="0" w:color="auto"/>
        <w:right w:val="none" w:sz="0" w:space="0" w:color="auto"/>
      </w:divBdr>
    </w:div>
    <w:div w:id="1388066621">
      <w:bodyDiv w:val="1"/>
      <w:marLeft w:val="0"/>
      <w:marRight w:val="0"/>
      <w:marTop w:val="0"/>
      <w:marBottom w:val="0"/>
      <w:divBdr>
        <w:top w:val="none" w:sz="0" w:space="0" w:color="auto"/>
        <w:left w:val="none" w:sz="0" w:space="0" w:color="auto"/>
        <w:bottom w:val="none" w:sz="0" w:space="0" w:color="auto"/>
        <w:right w:val="none" w:sz="0" w:space="0" w:color="auto"/>
      </w:divBdr>
    </w:div>
    <w:div w:id="1388144117">
      <w:bodyDiv w:val="1"/>
      <w:marLeft w:val="0"/>
      <w:marRight w:val="0"/>
      <w:marTop w:val="0"/>
      <w:marBottom w:val="0"/>
      <w:divBdr>
        <w:top w:val="none" w:sz="0" w:space="0" w:color="auto"/>
        <w:left w:val="none" w:sz="0" w:space="0" w:color="auto"/>
        <w:bottom w:val="none" w:sz="0" w:space="0" w:color="auto"/>
        <w:right w:val="none" w:sz="0" w:space="0" w:color="auto"/>
      </w:divBdr>
    </w:div>
    <w:div w:id="1388261013">
      <w:bodyDiv w:val="1"/>
      <w:marLeft w:val="0"/>
      <w:marRight w:val="0"/>
      <w:marTop w:val="0"/>
      <w:marBottom w:val="0"/>
      <w:divBdr>
        <w:top w:val="none" w:sz="0" w:space="0" w:color="auto"/>
        <w:left w:val="none" w:sz="0" w:space="0" w:color="auto"/>
        <w:bottom w:val="none" w:sz="0" w:space="0" w:color="auto"/>
        <w:right w:val="none" w:sz="0" w:space="0" w:color="auto"/>
      </w:divBdr>
    </w:div>
    <w:div w:id="1388333044">
      <w:bodyDiv w:val="1"/>
      <w:marLeft w:val="0"/>
      <w:marRight w:val="0"/>
      <w:marTop w:val="0"/>
      <w:marBottom w:val="0"/>
      <w:divBdr>
        <w:top w:val="none" w:sz="0" w:space="0" w:color="auto"/>
        <w:left w:val="none" w:sz="0" w:space="0" w:color="auto"/>
        <w:bottom w:val="none" w:sz="0" w:space="0" w:color="auto"/>
        <w:right w:val="none" w:sz="0" w:space="0" w:color="auto"/>
      </w:divBdr>
    </w:div>
    <w:div w:id="1388458057">
      <w:bodyDiv w:val="1"/>
      <w:marLeft w:val="0"/>
      <w:marRight w:val="0"/>
      <w:marTop w:val="0"/>
      <w:marBottom w:val="0"/>
      <w:divBdr>
        <w:top w:val="none" w:sz="0" w:space="0" w:color="auto"/>
        <w:left w:val="none" w:sz="0" w:space="0" w:color="auto"/>
        <w:bottom w:val="none" w:sz="0" w:space="0" w:color="auto"/>
        <w:right w:val="none" w:sz="0" w:space="0" w:color="auto"/>
      </w:divBdr>
    </w:div>
    <w:div w:id="1388606692">
      <w:bodyDiv w:val="1"/>
      <w:marLeft w:val="0"/>
      <w:marRight w:val="0"/>
      <w:marTop w:val="0"/>
      <w:marBottom w:val="0"/>
      <w:divBdr>
        <w:top w:val="none" w:sz="0" w:space="0" w:color="auto"/>
        <w:left w:val="none" w:sz="0" w:space="0" w:color="auto"/>
        <w:bottom w:val="none" w:sz="0" w:space="0" w:color="auto"/>
        <w:right w:val="none" w:sz="0" w:space="0" w:color="auto"/>
      </w:divBdr>
    </w:div>
    <w:div w:id="1388722075">
      <w:bodyDiv w:val="1"/>
      <w:marLeft w:val="0"/>
      <w:marRight w:val="0"/>
      <w:marTop w:val="0"/>
      <w:marBottom w:val="0"/>
      <w:divBdr>
        <w:top w:val="none" w:sz="0" w:space="0" w:color="auto"/>
        <w:left w:val="none" w:sz="0" w:space="0" w:color="auto"/>
        <w:bottom w:val="none" w:sz="0" w:space="0" w:color="auto"/>
        <w:right w:val="none" w:sz="0" w:space="0" w:color="auto"/>
      </w:divBdr>
    </w:div>
    <w:div w:id="1388794146">
      <w:bodyDiv w:val="1"/>
      <w:marLeft w:val="0"/>
      <w:marRight w:val="0"/>
      <w:marTop w:val="0"/>
      <w:marBottom w:val="0"/>
      <w:divBdr>
        <w:top w:val="none" w:sz="0" w:space="0" w:color="auto"/>
        <w:left w:val="none" w:sz="0" w:space="0" w:color="auto"/>
        <w:bottom w:val="none" w:sz="0" w:space="0" w:color="auto"/>
        <w:right w:val="none" w:sz="0" w:space="0" w:color="auto"/>
      </w:divBdr>
    </w:div>
    <w:div w:id="1388839996">
      <w:bodyDiv w:val="1"/>
      <w:marLeft w:val="0"/>
      <w:marRight w:val="0"/>
      <w:marTop w:val="0"/>
      <w:marBottom w:val="0"/>
      <w:divBdr>
        <w:top w:val="none" w:sz="0" w:space="0" w:color="auto"/>
        <w:left w:val="none" w:sz="0" w:space="0" w:color="auto"/>
        <w:bottom w:val="none" w:sz="0" w:space="0" w:color="auto"/>
        <w:right w:val="none" w:sz="0" w:space="0" w:color="auto"/>
      </w:divBdr>
    </w:div>
    <w:div w:id="1388844479">
      <w:bodyDiv w:val="1"/>
      <w:marLeft w:val="0"/>
      <w:marRight w:val="0"/>
      <w:marTop w:val="0"/>
      <w:marBottom w:val="0"/>
      <w:divBdr>
        <w:top w:val="none" w:sz="0" w:space="0" w:color="auto"/>
        <w:left w:val="none" w:sz="0" w:space="0" w:color="auto"/>
        <w:bottom w:val="none" w:sz="0" w:space="0" w:color="auto"/>
        <w:right w:val="none" w:sz="0" w:space="0" w:color="auto"/>
      </w:divBdr>
    </w:div>
    <w:div w:id="1388918711">
      <w:bodyDiv w:val="1"/>
      <w:marLeft w:val="0"/>
      <w:marRight w:val="0"/>
      <w:marTop w:val="0"/>
      <w:marBottom w:val="0"/>
      <w:divBdr>
        <w:top w:val="none" w:sz="0" w:space="0" w:color="auto"/>
        <w:left w:val="none" w:sz="0" w:space="0" w:color="auto"/>
        <w:bottom w:val="none" w:sz="0" w:space="0" w:color="auto"/>
        <w:right w:val="none" w:sz="0" w:space="0" w:color="auto"/>
      </w:divBdr>
    </w:div>
    <w:div w:id="1389064838">
      <w:bodyDiv w:val="1"/>
      <w:marLeft w:val="0"/>
      <w:marRight w:val="0"/>
      <w:marTop w:val="0"/>
      <w:marBottom w:val="0"/>
      <w:divBdr>
        <w:top w:val="none" w:sz="0" w:space="0" w:color="auto"/>
        <w:left w:val="none" w:sz="0" w:space="0" w:color="auto"/>
        <w:bottom w:val="none" w:sz="0" w:space="0" w:color="auto"/>
        <w:right w:val="none" w:sz="0" w:space="0" w:color="auto"/>
      </w:divBdr>
    </w:div>
    <w:div w:id="1389377547">
      <w:bodyDiv w:val="1"/>
      <w:marLeft w:val="0"/>
      <w:marRight w:val="0"/>
      <w:marTop w:val="0"/>
      <w:marBottom w:val="0"/>
      <w:divBdr>
        <w:top w:val="none" w:sz="0" w:space="0" w:color="auto"/>
        <w:left w:val="none" w:sz="0" w:space="0" w:color="auto"/>
        <w:bottom w:val="none" w:sz="0" w:space="0" w:color="auto"/>
        <w:right w:val="none" w:sz="0" w:space="0" w:color="auto"/>
      </w:divBdr>
    </w:div>
    <w:div w:id="1389450594">
      <w:bodyDiv w:val="1"/>
      <w:marLeft w:val="0"/>
      <w:marRight w:val="0"/>
      <w:marTop w:val="0"/>
      <w:marBottom w:val="0"/>
      <w:divBdr>
        <w:top w:val="none" w:sz="0" w:space="0" w:color="auto"/>
        <w:left w:val="none" w:sz="0" w:space="0" w:color="auto"/>
        <w:bottom w:val="none" w:sz="0" w:space="0" w:color="auto"/>
        <w:right w:val="none" w:sz="0" w:space="0" w:color="auto"/>
      </w:divBdr>
    </w:div>
    <w:div w:id="1389456351">
      <w:bodyDiv w:val="1"/>
      <w:marLeft w:val="0"/>
      <w:marRight w:val="0"/>
      <w:marTop w:val="0"/>
      <w:marBottom w:val="0"/>
      <w:divBdr>
        <w:top w:val="none" w:sz="0" w:space="0" w:color="auto"/>
        <w:left w:val="none" w:sz="0" w:space="0" w:color="auto"/>
        <w:bottom w:val="none" w:sz="0" w:space="0" w:color="auto"/>
        <w:right w:val="none" w:sz="0" w:space="0" w:color="auto"/>
      </w:divBdr>
    </w:div>
    <w:div w:id="1389499028">
      <w:bodyDiv w:val="1"/>
      <w:marLeft w:val="0"/>
      <w:marRight w:val="0"/>
      <w:marTop w:val="0"/>
      <w:marBottom w:val="0"/>
      <w:divBdr>
        <w:top w:val="none" w:sz="0" w:space="0" w:color="auto"/>
        <w:left w:val="none" w:sz="0" w:space="0" w:color="auto"/>
        <w:bottom w:val="none" w:sz="0" w:space="0" w:color="auto"/>
        <w:right w:val="none" w:sz="0" w:space="0" w:color="auto"/>
      </w:divBdr>
    </w:div>
    <w:div w:id="1389499396">
      <w:bodyDiv w:val="1"/>
      <w:marLeft w:val="0"/>
      <w:marRight w:val="0"/>
      <w:marTop w:val="0"/>
      <w:marBottom w:val="0"/>
      <w:divBdr>
        <w:top w:val="none" w:sz="0" w:space="0" w:color="auto"/>
        <w:left w:val="none" w:sz="0" w:space="0" w:color="auto"/>
        <w:bottom w:val="none" w:sz="0" w:space="0" w:color="auto"/>
        <w:right w:val="none" w:sz="0" w:space="0" w:color="auto"/>
      </w:divBdr>
    </w:div>
    <w:div w:id="1389500609">
      <w:bodyDiv w:val="1"/>
      <w:marLeft w:val="0"/>
      <w:marRight w:val="0"/>
      <w:marTop w:val="0"/>
      <w:marBottom w:val="0"/>
      <w:divBdr>
        <w:top w:val="none" w:sz="0" w:space="0" w:color="auto"/>
        <w:left w:val="none" w:sz="0" w:space="0" w:color="auto"/>
        <w:bottom w:val="none" w:sz="0" w:space="0" w:color="auto"/>
        <w:right w:val="none" w:sz="0" w:space="0" w:color="auto"/>
      </w:divBdr>
    </w:div>
    <w:div w:id="1389648519">
      <w:bodyDiv w:val="1"/>
      <w:marLeft w:val="0"/>
      <w:marRight w:val="0"/>
      <w:marTop w:val="0"/>
      <w:marBottom w:val="0"/>
      <w:divBdr>
        <w:top w:val="none" w:sz="0" w:space="0" w:color="auto"/>
        <w:left w:val="none" w:sz="0" w:space="0" w:color="auto"/>
        <w:bottom w:val="none" w:sz="0" w:space="0" w:color="auto"/>
        <w:right w:val="none" w:sz="0" w:space="0" w:color="auto"/>
      </w:divBdr>
    </w:div>
    <w:div w:id="1389651683">
      <w:bodyDiv w:val="1"/>
      <w:marLeft w:val="0"/>
      <w:marRight w:val="0"/>
      <w:marTop w:val="0"/>
      <w:marBottom w:val="0"/>
      <w:divBdr>
        <w:top w:val="none" w:sz="0" w:space="0" w:color="auto"/>
        <w:left w:val="none" w:sz="0" w:space="0" w:color="auto"/>
        <w:bottom w:val="none" w:sz="0" w:space="0" w:color="auto"/>
        <w:right w:val="none" w:sz="0" w:space="0" w:color="auto"/>
      </w:divBdr>
    </w:div>
    <w:div w:id="1389720511">
      <w:bodyDiv w:val="1"/>
      <w:marLeft w:val="0"/>
      <w:marRight w:val="0"/>
      <w:marTop w:val="0"/>
      <w:marBottom w:val="0"/>
      <w:divBdr>
        <w:top w:val="none" w:sz="0" w:space="0" w:color="auto"/>
        <w:left w:val="none" w:sz="0" w:space="0" w:color="auto"/>
        <w:bottom w:val="none" w:sz="0" w:space="0" w:color="auto"/>
        <w:right w:val="none" w:sz="0" w:space="0" w:color="auto"/>
      </w:divBdr>
    </w:div>
    <w:div w:id="1389722930">
      <w:bodyDiv w:val="1"/>
      <w:marLeft w:val="0"/>
      <w:marRight w:val="0"/>
      <w:marTop w:val="0"/>
      <w:marBottom w:val="0"/>
      <w:divBdr>
        <w:top w:val="none" w:sz="0" w:space="0" w:color="auto"/>
        <w:left w:val="none" w:sz="0" w:space="0" w:color="auto"/>
        <w:bottom w:val="none" w:sz="0" w:space="0" w:color="auto"/>
        <w:right w:val="none" w:sz="0" w:space="0" w:color="auto"/>
      </w:divBdr>
    </w:div>
    <w:div w:id="1389763044">
      <w:bodyDiv w:val="1"/>
      <w:marLeft w:val="0"/>
      <w:marRight w:val="0"/>
      <w:marTop w:val="0"/>
      <w:marBottom w:val="0"/>
      <w:divBdr>
        <w:top w:val="none" w:sz="0" w:space="0" w:color="auto"/>
        <w:left w:val="none" w:sz="0" w:space="0" w:color="auto"/>
        <w:bottom w:val="none" w:sz="0" w:space="0" w:color="auto"/>
        <w:right w:val="none" w:sz="0" w:space="0" w:color="auto"/>
      </w:divBdr>
    </w:div>
    <w:div w:id="1389768836">
      <w:bodyDiv w:val="1"/>
      <w:marLeft w:val="0"/>
      <w:marRight w:val="0"/>
      <w:marTop w:val="0"/>
      <w:marBottom w:val="0"/>
      <w:divBdr>
        <w:top w:val="none" w:sz="0" w:space="0" w:color="auto"/>
        <w:left w:val="none" w:sz="0" w:space="0" w:color="auto"/>
        <w:bottom w:val="none" w:sz="0" w:space="0" w:color="auto"/>
        <w:right w:val="none" w:sz="0" w:space="0" w:color="auto"/>
      </w:divBdr>
    </w:div>
    <w:div w:id="1389841973">
      <w:bodyDiv w:val="1"/>
      <w:marLeft w:val="0"/>
      <w:marRight w:val="0"/>
      <w:marTop w:val="0"/>
      <w:marBottom w:val="0"/>
      <w:divBdr>
        <w:top w:val="none" w:sz="0" w:space="0" w:color="auto"/>
        <w:left w:val="none" w:sz="0" w:space="0" w:color="auto"/>
        <w:bottom w:val="none" w:sz="0" w:space="0" w:color="auto"/>
        <w:right w:val="none" w:sz="0" w:space="0" w:color="auto"/>
      </w:divBdr>
    </w:div>
    <w:div w:id="1389920153">
      <w:bodyDiv w:val="1"/>
      <w:marLeft w:val="0"/>
      <w:marRight w:val="0"/>
      <w:marTop w:val="0"/>
      <w:marBottom w:val="0"/>
      <w:divBdr>
        <w:top w:val="none" w:sz="0" w:space="0" w:color="auto"/>
        <w:left w:val="none" w:sz="0" w:space="0" w:color="auto"/>
        <w:bottom w:val="none" w:sz="0" w:space="0" w:color="auto"/>
        <w:right w:val="none" w:sz="0" w:space="0" w:color="auto"/>
      </w:divBdr>
    </w:div>
    <w:div w:id="1389958972">
      <w:bodyDiv w:val="1"/>
      <w:marLeft w:val="0"/>
      <w:marRight w:val="0"/>
      <w:marTop w:val="0"/>
      <w:marBottom w:val="0"/>
      <w:divBdr>
        <w:top w:val="none" w:sz="0" w:space="0" w:color="auto"/>
        <w:left w:val="none" w:sz="0" w:space="0" w:color="auto"/>
        <w:bottom w:val="none" w:sz="0" w:space="0" w:color="auto"/>
        <w:right w:val="none" w:sz="0" w:space="0" w:color="auto"/>
      </w:divBdr>
    </w:div>
    <w:div w:id="1390029423">
      <w:bodyDiv w:val="1"/>
      <w:marLeft w:val="0"/>
      <w:marRight w:val="0"/>
      <w:marTop w:val="0"/>
      <w:marBottom w:val="0"/>
      <w:divBdr>
        <w:top w:val="none" w:sz="0" w:space="0" w:color="auto"/>
        <w:left w:val="none" w:sz="0" w:space="0" w:color="auto"/>
        <w:bottom w:val="none" w:sz="0" w:space="0" w:color="auto"/>
        <w:right w:val="none" w:sz="0" w:space="0" w:color="auto"/>
      </w:divBdr>
    </w:div>
    <w:div w:id="1390104456">
      <w:bodyDiv w:val="1"/>
      <w:marLeft w:val="0"/>
      <w:marRight w:val="0"/>
      <w:marTop w:val="0"/>
      <w:marBottom w:val="0"/>
      <w:divBdr>
        <w:top w:val="none" w:sz="0" w:space="0" w:color="auto"/>
        <w:left w:val="none" w:sz="0" w:space="0" w:color="auto"/>
        <w:bottom w:val="none" w:sz="0" w:space="0" w:color="auto"/>
        <w:right w:val="none" w:sz="0" w:space="0" w:color="auto"/>
      </w:divBdr>
    </w:div>
    <w:div w:id="1390112145">
      <w:bodyDiv w:val="1"/>
      <w:marLeft w:val="0"/>
      <w:marRight w:val="0"/>
      <w:marTop w:val="0"/>
      <w:marBottom w:val="0"/>
      <w:divBdr>
        <w:top w:val="none" w:sz="0" w:space="0" w:color="auto"/>
        <w:left w:val="none" w:sz="0" w:space="0" w:color="auto"/>
        <w:bottom w:val="none" w:sz="0" w:space="0" w:color="auto"/>
        <w:right w:val="none" w:sz="0" w:space="0" w:color="auto"/>
      </w:divBdr>
    </w:div>
    <w:div w:id="1390112325">
      <w:bodyDiv w:val="1"/>
      <w:marLeft w:val="0"/>
      <w:marRight w:val="0"/>
      <w:marTop w:val="0"/>
      <w:marBottom w:val="0"/>
      <w:divBdr>
        <w:top w:val="none" w:sz="0" w:space="0" w:color="auto"/>
        <w:left w:val="none" w:sz="0" w:space="0" w:color="auto"/>
        <w:bottom w:val="none" w:sz="0" w:space="0" w:color="auto"/>
        <w:right w:val="none" w:sz="0" w:space="0" w:color="auto"/>
      </w:divBdr>
    </w:div>
    <w:div w:id="1390228992">
      <w:bodyDiv w:val="1"/>
      <w:marLeft w:val="0"/>
      <w:marRight w:val="0"/>
      <w:marTop w:val="0"/>
      <w:marBottom w:val="0"/>
      <w:divBdr>
        <w:top w:val="none" w:sz="0" w:space="0" w:color="auto"/>
        <w:left w:val="none" w:sz="0" w:space="0" w:color="auto"/>
        <w:bottom w:val="none" w:sz="0" w:space="0" w:color="auto"/>
        <w:right w:val="none" w:sz="0" w:space="0" w:color="auto"/>
      </w:divBdr>
    </w:div>
    <w:div w:id="1390231164">
      <w:bodyDiv w:val="1"/>
      <w:marLeft w:val="0"/>
      <w:marRight w:val="0"/>
      <w:marTop w:val="0"/>
      <w:marBottom w:val="0"/>
      <w:divBdr>
        <w:top w:val="none" w:sz="0" w:space="0" w:color="auto"/>
        <w:left w:val="none" w:sz="0" w:space="0" w:color="auto"/>
        <w:bottom w:val="none" w:sz="0" w:space="0" w:color="auto"/>
        <w:right w:val="none" w:sz="0" w:space="0" w:color="auto"/>
      </w:divBdr>
    </w:div>
    <w:div w:id="1390231213">
      <w:bodyDiv w:val="1"/>
      <w:marLeft w:val="0"/>
      <w:marRight w:val="0"/>
      <w:marTop w:val="0"/>
      <w:marBottom w:val="0"/>
      <w:divBdr>
        <w:top w:val="none" w:sz="0" w:space="0" w:color="auto"/>
        <w:left w:val="none" w:sz="0" w:space="0" w:color="auto"/>
        <w:bottom w:val="none" w:sz="0" w:space="0" w:color="auto"/>
        <w:right w:val="none" w:sz="0" w:space="0" w:color="auto"/>
      </w:divBdr>
    </w:div>
    <w:div w:id="1390303704">
      <w:bodyDiv w:val="1"/>
      <w:marLeft w:val="0"/>
      <w:marRight w:val="0"/>
      <w:marTop w:val="0"/>
      <w:marBottom w:val="0"/>
      <w:divBdr>
        <w:top w:val="none" w:sz="0" w:space="0" w:color="auto"/>
        <w:left w:val="none" w:sz="0" w:space="0" w:color="auto"/>
        <w:bottom w:val="none" w:sz="0" w:space="0" w:color="auto"/>
        <w:right w:val="none" w:sz="0" w:space="0" w:color="auto"/>
      </w:divBdr>
    </w:div>
    <w:div w:id="1390376955">
      <w:bodyDiv w:val="1"/>
      <w:marLeft w:val="0"/>
      <w:marRight w:val="0"/>
      <w:marTop w:val="0"/>
      <w:marBottom w:val="0"/>
      <w:divBdr>
        <w:top w:val="none" w:sz="0" w:space="0" w:color="auto"/>
        <w:left w:val="none" w:sz="0" w:space="0" w:color="auto"/>
        <w:bottom w:val="none" w:sz="0" w:space="0" w:color="auto"/>
        <w:right w:val="none" w:sz="0" w:space="0" w:color="auto"/>
      </w:divBdr>
    </w:div>
    <w:div w:id="1390416620">
      <w:bodyDiv w:val="1"/>
      <w:marLeft w:val="0"/>
      <w:marRight w:val="0"/>
      <w:marTop w:val="0"/>
      <w:marBottom w:val="0"/>
      <w:divBdr>
        <w:top w:val="none" w:sz="0" w:space="0" w:color="auto"/>
        <w:left w:val="none" w:sz="0" w:space="0" w:color="auto"/>
        <w:bottom w:val="none" w:sz="0" w:space="0" w:color="auto"/>
        <w:right w:val="none" w:sz="0" w:space="0" w:color="auto"/>
      </w:divBdr>
    </w:div>
    <w:div w:id="1390491130">
      <w:bodyDiv w:val="1"/>
      <w:marLeft w:val="0"/>
      <w:marRight w:val="0"/>
      <w:marTop w:val="0"/>
      <w:marBottom w:val="0"/>
      <w:divBdr>
        <w:top w:val="none" w:sz="0" w:space="0" w:color="auto"/>
        <w:left w:val="none" w:sz="0" w:space="0" w:color="auto"/>
        <w:bottom w:val="none" w:sz="0" w:space="0" w:color="auto"/>
        <w:right w:val="none" w:sz="0" w:space="0" w:color="auto"/>
      </w:divBdr>
    </w:div>
    <w:div w:id="1390492220">
      <w:bodyDiv w:val="1"/>
      <w:marLeft w:val="0"/>
      <w:marRight w:val="0"/>
      <w:marTop w:val="0"/>
      <w:marBottom w:val="0"/>
      <w:divBdr>
        <w:top w:val="none" w:sz="0" w:space="0" w:color="auto"/>
        <w:left w:val="none" w:sz="0" w:space="0" w:color="auto"/>
        <w:bottom w:val="none" w:sz="0" w:space="0" w:color="auto"/>
        <w:right w:val="none" w:sz="0" w:space="0" w:color="auto"/>
      </w:divBdr>
    </w:div>
    <w:div w:id="1390494422">
      <w:bodyDiv w:val="1"/>
      <w:marLeft w:val="0"/>
      <w:marRight w:val="0"/>
      <w:marTop w:val="0"/>
      <w:marBottom w:val="0"/>
      <w:divBdr>
        <w:top w:val="none" w:sz="0" w:space="0" w:color="auto"/>
        <w:left w:val="none" w:sz="0" w:space="0" w:color="auto"/>
        <w:bottom w:val="none" w:sz="0" w:space="0" w:color="auto"/>
        <w:right w:val="none" w:sz="0" w:space="0" w:color="auto"/>
      </w:divBdr>
    </w:div>
    <w:div w:id="1390566803">
      <w:bodyDiv w:val="1"/>
      <w:marLeft w:val="0"/>
      <w:marRight w:val="0"/>
      <w:marTop w:val="0"/>
      <w:marBottom w:val="0"/>
      <w:divBdr>
        <w:top w:val="none" w:sz="0" w:space="0" w:color="auto"/>
        <w:left w:val="none" w:sz="0" w:space="0" w:color="auto"/>
        <w:bottom w:val="none" w:sz="0" w:space="0" w:color="auto"/>
        <w:right w:val="none" w:sz="0" w:space="0" w:color="auto"/>
      </w:divBdr>
    </w:div>
    <w:div w:id="1390567585">
      <w:bodyDiv w:val="1"/>
      <w:marLeft w:val="0"/>
      <w:marRight w:val="0"/>
      <w:marTop w:val="0"/>
      <w:marBottom w:val="0"/>
      <w:divBdr>
        <w:top w:val="none" w:sz="0" w:space="0" w:color="auto"/>
        <w:left w:val="none" w:sz="0" w:space="0" w:color="auto"/>
        <w:bottom w:val="none" w:sz="0" w:space="0" w:color="auto"/>
        <w:right w:val="none" w:sz="0" w:space="0" w:color="auto"/>
      </w:divBdr>
    </w:div>
    <w:div w:id="1390575186">
      <w:bodyDiv w:val="1"/>
      <w:marLeft w:val="0"/>
      <w:marRight w:val="0"/>
      <w:marTop w:val="0"/>
      <w:marBottom w:val="0"/>
      <w:divBdr>
        <w:top w:val="none" w:sz="0" w:space="0" w:color="auto"/>
        <w:left w:val="none" w:sz="0" w:space="0" w:color="auto"/>
        <w:bottom w:val="none" w:sz="0" w:space="0" w:color="auto"/>
        <w:right w:val="none" w:sz="0" w:space="0" w:color="auto"/>
      </w:divBdr>
    </w:div>
    <w:div w:id="1390616751">
      <w:bodyDiv w:val="1"/>
      <w:marLeft w:val="0"/>
      <w:marRight w:val="0"/>
      <w:marTop w:val="0"/>
      <w:marBottom w:val="0"/>
      <w:divBdr>
        <w:top w:val="none" w:sz="0" w:space="0" w:color="auto"/>
        <w:left w:val="none" w:sz="0" w:space="0" w:color="auto"/>
        <w:bottom w:val="none" w:sz="0" w:space="0" w:color="auto"/>
        <w:right w:val="none" w:sz="0" w:space="0" w:color="auto"/>
      </w:divBdr>
    </w:div>
    <w:div w:id="1390691105">
      <w:bodyDiv w:val="1"/>
      <w:marLeft w:val="0"/>
      <w:marRight w:val="0"/>
      <w:marTop w:val="0"/>
      <w:marBottom w:val="0"/>
      <w:divBdr>
        <w:top w:val="none" w:sz="0" w:space="0" w:color="auto"/>
        <w:left w:val="none" w:sz="0" w:space="0" w:color="auto"/>
        <w:bottom w:val="none" w:sz="0" w:space="0" w:color="auto"/>
        <w:right w:val="none" w:sz="0" w:space="0" w:color="auto"/>
      </w:divBdr>
    </w:div>
    <w:div w:id="1390878110">
      <w:bodyDiv w:val="1"/>
      <w:marLeft w:val="0"/>
      <w:marRight w:val="0"/>
      <w:marTop w:val="0"/>
      <w:marBottom w:val="0"/>
      <w:divBdr>
        <w:top w:val="none" w:sz="0" w:space="0" w:color="auto"/>
        <w:left w:val="none" w:sz="0" w:space="0" w:color="auto"/>
        <w:bottom w:val="none" w:sz="0" w:space="0" w:color="auto"/>
        <w:right w:val="none" w:sz="0" w:space="0" w:color="auto"/>
      </w:divBdr>
    </w:div>
    <w:div w:id="1390880279">
      <w:bodyDiv w:val="1"/>
      <w:marLeft w:val="0"/>
      <w:marRight w:val="0"/>
      <w:marTop w:val="0"/>
      <w:marBottom w:val="0"/>
      <w:divBdr>
        <w:top w:val="none" w:sz="0" w:space="0" w:color="auto"/>
        <w:left w:val="none" w:sz="0" w:space="0" w:color="auto"/>
        <w:bottom w:val="none" w:sz="0" w:space="0" w:color="auto"/>
        <w:right w:val="none" w:sz="0" w:space="0" w:color="auto"/>
      </w:divBdr>
    </w:div>
    <w:div w:id="1390886532">
      <w:bodyDiv w:val="1"/>
      <w:marLeft w:val="0"/>
      <w:marRight w:val="0"/>
      <w:marTop w:val="0"/>
      <w:marBottom w:val="0"/>
      <w:divBdr>
        <w:top w:val="none" w:sz="0" w:space="0" w:color="auto"/>
        <w:left w:val="none" w:sz="0" w:space="0" w:color="auto"/>
        <w:bottom w:val="none" w:sz="0" w:space="0" w:color="auto"/>
        <w:right w:val="none" w:sz="0" w:space="0" w:color="auto"/>
      </w:divBdr>
    </w:div>
    <w:div w:id="1391078314">
      <w:bodyDiv w:val="1"/>
      <w:marLeft w:val="0"/>
      <w:marRight w:val="0"/>
      <w:marTop w:val="0"/>
      <w:marBottom w:val="0"/>
      <w:divBdr>
        <w:top w:val="none" w:sz="0" w:space="0" w:color="auto"/>
        <w:left w:val="none" w:sz="0" w:space="0" w:color="auto"/>
        <w:bottom w:val="none" w:sz="0" w:space="0" w:color="auto"/>
        <w:right w:val="none" w:sz="0" w:space="0" w:color="auto"/>
      </w:divBdr>
    </w:div>
    <w:div w:id="1391198682">
      <w:bodyDiv w:val="1"/>
      <w:marLeft w:val="0"/>
      <w:marRight w:val="0"/>
      <w:marTop w:val="0"/>
      <w:marBottom w:val="0"/>
      <w:divBdr>
        <w:top w:val="none" w:sz="0" w:space="0" w:color="auto"/>
        <w:left w:val="none" w:sz="0" w:space="0" w:color="auto"/>
        <w:bottom w:val="none" w:sz="0" w:space="0" w:color="auto"/>
        <w:right w:val="none" w:sz="0" w:space="0" w:color="auto"/>
      </w:divBdr>
    </w:div>
    <w:div w:id="1391268542">
      <w:bodyDiv w:val="1"/>
      <w:marLeft w:val="0"/>
      <w:marRight w:val="0"/>
      <w:marTop w:val="0"/>
      <w:marBottom w:val="0"/>
      <w:divBdr>
        <w:top w:val="none" w:sz="0" w:space="0" w:color="auto"/>
        <w:left w:val="none" w:sz="0" w:space="0" w:color="auto"/>
        <w:bottom w:val="none" w:sz="0" w:space="0" w:color="auto"/>
        <w:right w:val="none" w:sz="0" w:space="0" w:color="auto"/>
      </w:divBdr>
    </w:div>
    <w:div w:id="1391420354">
      <w:bodyDiv w:val="1"/>
      <w:marLeft w:val="0"/>
      <w:marRight w:val="0"/>
      <w:marTop w:val="0"/>
      <w:marBottom w:val="0"/>
      <w:divBdr>
        <w:top w:val="none" w:sz="0" w:space="0" w:color="auto"/>
        <w:left w:val="none" w:sz="0" w:space="0" w:color="auto"/>
        <w:bottom w:val="none" w:sz="0" w:space="0" w:color="auto"/>
        <w:right w:val="none" w:sz="0" w:space="0" w:color="auto"/>
      </w:divBdr>
    </w:div>
    <w:div w:id="1391659691">
      <w:bodyDiv w:val="1"/>
      <w:marLeft w:val="0"/>
      <w:marRight w:val="0"/>
      <w:marTop w:val="0"/>
      <w:marBottom w:val="0"/>
      <w:divBdr>
        <w:top w:val="none" w:sz="0" w:space="0" w:color="auto"/>
        <w:left w:val="none" w:sz="0" w:space="0" w:color="auto"/>
        <w:bottom w:val="none" w:sz="0" w:space="0" w:color="auto"/>
        <w:right w:val="none" w:sz="0" w:space="0" w:color="auto"/>
      </w:divBdr>
    </w:div>
    <w:div w:id="1391659850">
      <w:bodyDiv w:val="1"/>
      <w:marLeft w:val="0"/>
      <w:marRight w:val="0"/>
      <w:marTop w:val="0"/>
      <w:marBottom w:val="0"/>
      <w:divBdr>
        <w:top w:val="none" w:sz="0" w:space="0" w:color="auto"/>
        <w:left w:val="none" w:sz="0" w:space="0" w:color="auto"/>
        <w:bottom w:val="none" w:sz="0" w:space="0" w:color="auto"/>
        <w:right w:val="none" w:sz="0" w:space="0" w:color="auto"/>
      </w:divBdr>
    </w:div>
    <w:div w:id="1391807663">
      <w:bodyDiv w:val="1"/>
      <w:marLeft w:val="0"/>
      <w:marRight w:val="0"/>
      <w:marTop w:val="0"/>
      <w:marBottom w:val="0"/>
      <w:divBdr>
        <w:top w:val="none" w:sz="0" w:space="0" w:color="auto"/>
        <w:left w:val="none" w:sz="0" w:space="0" w:color="auto"/>
        <w:bottom w:val="none" w:sz="0" w:space="0" w:color="auto"/>
        <w:right w:val="none" w:sz="0" w:space="0" w:color="auto"/>
      </w:divBdr>
    </w:div>
    <w:div w:id="1391886178">
      <w:bodyDiv w:val="1"/>
      <w:marLeft w:val="0"/>
      <w:marRight w:val="0"/>
      <w:marTop w:val="0"/>
      <w:marBottom w:val="0"/>
      <w:divBdr>
        <w:top w:val="none" w:sz="0" w:space="0" w:color="auto"/>
        <w:left w:val="none" w:sz="0" w:space="0" w:color="auto"/>
        <w:bottom w:val="none" w:sz="0" w:space="0" w:color="auto"/>
        <w:right w:val="none" w:sz="0" w:space="0" w:color="auto"/>
      </w:divBdr>
    </w:div>
    <w:div w:id="1391925967">
      <w:bodyDiv w:val="1"/>
      <w:marLeft w:val="0"/>
      <w:marRight w:val="0"/>
      <w:marTop w:val="0"/>
      <w:marBottom w:val="0"/>
      <w:divBdr>
        <w:top w:val="none" w:sz="0" w:space="0" w:color="auto"/>
        <w:left w:val="none" w:sz="0" w:space="0" w:color="auto"/>
        <w:bottom w:val="none" w:sz="0" w:space="0" w:color="auto"/>
        <w:right w:val="none" w:sz="0" w:space="0" w:color="auto"/>
      </w:divBdr>
    </w:div>
    <w:div w:id="1392000550">
      <w:bodyDiv w:val="1"/>
      <w:marLeft w:val="0"/>
      <w:marRight w:val="0"/>
      <w:marTop w:val="0"/>
      <w:marBottom w:val="0"/>
      <w:divBdr>
        <w:top w:val="none" w:sz="0" w:space="0" w:color="auto"/>
        <w:left w:val="none" w:sz="0" w:space="0" w:color="auto"/>
        <w:bottom w:val="none" w:sz="0" w:space="0" w:color="auto"/>
        <w:right w:val="none" w:sz="0" w:space="0" w:color="auto"/>
      </w:divBdr>
    </w:div>
    <w:div w:id="1392001090">
      <w:bodyDiv w:val="1"/>
      <w:marLeft w:val="0"/>
      <w:marRight w:val="0"/>
      <w:marTop w:val="0"/>
      <w:marBottom w:val="0"/>
      <w:divBdr>
        <w:top w:val="none" w:sz="0" w:space="0" w:color="auto"/>
        <w:left w:val="none" w:sz="0" w:space="0" w:color="auto"/>
        <w:bottom w:val="none" w:sz="0" w:space="0" w:color="auto"/>
        <w:right w:val="none" w:sz="0" w:space="0" w:color="auto"/>
      </w:divBdr>
    </w:div>
    <w:div w:id="1392001978">
      <w:bodyDiv w:val="1"/>
      <w:marLeft w:val="0"/>
      <w:marRight w:val="0"/>
      <w:marTop w:val="0"/>
      <w:marBottom w:val="0"/>
      <w:divBdr>
        <w:top w:val="none" w:sz="0" w:space="0" w:color="auto"/>
        <w:left w:val="none" w:sz="0" w:space="0" w:color="auto"/>
        <w:bottom w:val="none" w:sz="0" w:space="0" w:color="auto"/>
        <w:right w:val="none" w:sz="0" w:space="0" w:color="auto"/>
      </w:divBdr>
    </w:div>
    <w:div w:id="1392195279">
      <w:bodyDiv w:val="1"/>
      <w:marLeft w:val="0"/>
      <w:marRight w:val="0"/>
      <w:marTop w:val="0"/>
      <w:marBottom w:val="0"/>
      <w:divBdr>
        <w:top w:val="none" w:sz="0" w:space="0" w:color="auto"/>
        <w:left w:val="none" w:sz="0" w:space="0" w:color="auto"/>
        <w:bottom w:val="none" w:sz="0" w:space="0" w:color="auto"/>
        <w:right w:val="none" w:sz="0" w:space="0" w:color="auto"/>
      </w:divBdr>
    </w:div>
    <w:div w:id="1392267152">
      <w:bodyDiv w:val="1"/>
      <w:marLeft w:val="0"/>
      <w:marRight w:val="0"/>
      <w:marTop w:val="0"/>
      <w:marBottom w:val="0"/>
      <w:divBdr>
        <w:top w:val="none" w:sz="0" w:space="0" w:color="auto"/>
        <w:left w:val="none" w:sz="0" w:space="0" w:color="auto"/>
        <w:bottom w:val="none" w:sz="0" w:space="0" w:color="auto"/>
        <w:right w:val="none" w:sz="0" w:space="0" w:color="auto"/>
      </w:divBdr>
    </w:div>
    <w:div w:id="1392273087">
      <w:bodyDiv w:val="1"/>
      <w:marLeft w:val="0"/>
      <w:marRight w:val="0"/>
      <w:marTop w:val="0"/>
      <w:marBottom w:val="0"/>
      <w:divBdr>
        <w:top w:val="none" w:sz="0" w:space="0" w:color="auto"/>
        <w:left w:val="none" w:sz="0" w:space="0" w:color="auto"/>
        <w:bottom w:val="none" w:sz="0" w:space="0" w:color="auto"/>
        <w:right w:val="none" w:sz="0" w:space="0" w:color="auto"/>
      </w:divBdr>
    </w:div>
    <w:div w:id="1392312989">
      <w:bodyDiv w:val="1"/>
      <w:marLeft w:val="0"/>
      <w:marRight w:val="0"/>
      <w:marTop w:val="0"/>
      <w:marBottom w:val="0"/>
      <w:divBdr>
        <w:top w:val="none" w:sz="0" w:space="0" w:color="auto"/>
        <w:left w:val="none" w:sz="0" w:space="0" w:color="auto"/>
        <w:bottom w:val="none" w:sz="0" w:space="0" w:color="auto"/>
        <w:right w:val="none" w:sz="0" w:space="0" w:color="auto"/>
      </w:divBdr>
    </w:div>
    <w:div w:id="1392385524">
      <w:bodyDiv w:val="1"/>
      <w:marLeft w:val="0"/>
      <w:marRight w:val="0"/>
      <w:marTop w:val="0"/>
      <w:marBottom w:val="0"/>
      <w:divBdr>
        <w:top w:val="none" w:sz="0" w:space="0" w:color="auto"/>
        <w:left w:val="none" w:sz="0" w:space="0" w:color="auto"/>
        <w:bottom w:val="none" w:sz="0" w:space="0" w:color="auto"/>
        <w:right w:val="none" w:sz="0" w:space="0" w:color="auto"/>
      </w:divBdr>
    </w:div>
    <w:div w:id="1392533069">
      <w:bodyDiv w:val="1"/>
      <w:marLeft w:val="0"/>
      <w:marRight w:val="0"/>
      <w:marTop w:val="0"/>
      <w:marBottom w:val="0"/>
      <w:divBdr>
        <w:top w:val="none" w:sz="0" w:space="0" w:color="auto"/>
        <w:left w:val="none" w:sz="0" w:space="0" w:color="auto"/>
        <w:bottom w:val="none" w:sz="0" w:space="0" w:color="auto"/>
        <w:right w:val="none" w:sz="0" w:space="0" w:color="auto"/>
      </w:divBdr>
    </w:div>
    <w:div w:id="1392534215">
      <w:bodyDiv w:val="1"/>
      <w:marLeft w:val="0"/>
      <w:marRight w:val="0"/>
      <w:marTop w:val="0"/>
      <w:marBottom w:val="0"/>
      <w:divBdr>
        <w:top w:val="none" w:sz="0" w:space="0" w:color="auto"/>
        <w:left w:val="none" w:sz="0" w:space="0" w:color="auto"/>
        <w:bottom w:val="none" w:sz="0" w:space="0" w:color="auto"/>
        <w:right w:val="none" w:sz="0" w:space="0" w:color="auto"/>
      </w:divBdr>
    </w:div>
    <w:div w:id="1392652572">
      <w:bodyDiv w:val="1"/>
      <w:marLeft w:val="0"/>
      <w:marRight w:val="0"/>
      <w:marTop w:val="0"/>
      <w:marBottom w:val="0"/>
      <w:divBdr>
        <w:top w:val="none" w:sz="0" w:space="0" w:color="auto"/>
        <w:left w:val="none" w:sz="0" w:space="0" w:color="auto"/>
        <w:bottom w:val="none" w:sz="0" w:space="0" w:color="auto"/>
        <w:right w:val="none" w:sz="0" w:space="0" w:color="auto"/>
      </w:divBdr>
    </w:div>
    <w:div w:id="1392654478">
      <w:bodyDiv w:val="1"/>
      <w:marLeft w:val="0"/>
      <w:marRight w:val="0"/>
      <w:marTop w:val="0"/>
      <w:marBottom w:val="0"/>
      <w:divBdr>
        <w:top w:val="none" w:sz="0" w:space="0" w:color="auto"/>
        <w:left w:val="none" w:sz="0" w:space="0" w:color="auto"/>
        <w:bottom w:val="none" w:sz="0" w:space="0" w:color="auto"/>
        <w:right w:val="none" w:sz="0" w:space="0" w:color="auto"/>
      </w:divBdr>
    </w:div>
    <w:div w:id="1392776722">
      <w:bodyDiv w:val="1"/>
      <w:marLeft w:val="0"/>
      <w:marRight w:val="0"/>
      <w:marTop w:val="0"/>
      <w:marBottom w:val="0"/>
      <w:divBdr>
        <w:top w:val="none" w:sz="0" w:space="0" w:color="auto"/>
        <w:left w:val="none" w:sz="0" w:space="0" w:color="auto"/>
        <w:bottom w:val="none" w:sz="0" w:space="0" w:color="auto"/>
        <w:right w:val="none" w:sz="0" w:space="0" w:color="auto"/>
      </w:divBdr>
    </w:div>
    <w:div w:id="1392777700">
      <w:bodyDiv w:val="1"/>
      <w:marLeft w:val="0"/>
      <w:marRight w:val="0"/>
      <w:marTop w:val="0"/>
      <w:marBottom w:val="0"/>
      <w:divBdr>
        <w:top w:val="none" w:sz="0" w:space="0" w:color="auto"/>
        <w:left w:val="none" w:sz="0" w:space="0" w:color="auto"/>
        <w:bottom w:val="none" w:sz="0" w:space="0" w:color="auto"/>
        <w:right w:val="none" w:sz="0" w:space="0" w:color="auto"/>
      </w:divBdr>
    </w:div>
    <w:div w:id="1392844080">
      <w:bodyDiv w:val="1"/>
      <w:marLeft w:val="0"/>
      <w:marRight w:val="0"/>
      <w:marTop w:val="0"/>
      <w:marBottom w:val="0"/>
      <w:divBdr>
        <w:top w:val="none" w:sz="0" w:space="0" w:color="auto"/>
        <w:left w:val="none" w:sz="0" w:space="0" w:color="auto"/>
        <w:bottom w:val="none" w:sz="0" w:space="0" w:color="auto"/>
        <w:right w:val="none" w:sz="0" w:space="0" w:color="auto"/>
      </w:divBdr>
    </w:div>
    <w:div w:id="1392848085">
      <w:bodyDiv w:val="1"/>
      <w:marLeft w:val="0"/>
      <w:marRight w:val="0"/>
      <w:marTop w:val="0"/>
      <w:marBottom w:val="0"/>
      <w:divBdr>
        <w:top w:val="none" w:sz="0" w:space="0" w:color="auto"/>
        <w:left w:val="none" w:sz="0" w:space="0" w:color="auto"/>
        <w:bottom w:val="none" w:sz="0" w:space="0" w:color="auto"/>
        <w:right w:val="none" w:sz="0" w:space="0" w:color="auto"/>
      </w:divBdr>
    </w:div>
    <w:div w:id="1392921345">
      <w:bodyDiv w:val="1"/>
      <w:marLeft w:val="0"/>
      <w:marRight w:val="0"/>
      <w:marTop w:val="0"/>
      <w:marBottom w:val="0"/>
      <w:divBdr>
        <w:top w:val="none" w:sz="0" w:space="0" w:color="auto"/>
        <w:left w:val="none" w:sz="0" w:space="0" w:color="auto"/>
        <w:bottom w:val="none" w:sz="0" w:space="0" w:color="auto"/>
        <w:right w:val="none" w:sz="0" w:space="0" w:color="auto"/>
      </w:divBdr>
    </w:div>
    <w:div w:id="1393112728">
      <w:bodyDiv w:val="1"/>
      <w:marLeft w:val="0"/>
      <w:marRight w:val="0"/>
      <w:marTop w:val="0"/>
      <w:marBottom w:val="0"/>
      <w:divBdr>
        <w:top w:val="none" w:sz="0" w:space="0" w:color="auto"/>
        <w:left w:val="none" w:sz="0" w:space="0" w:color="auto"/>
        <w:bottom w:val="none" w:sz="0" w:space="0" w:color="auto"/>
        <w:right w:val="none" w:sz="0" w:space="0" w:color="auto"/>
      </w:divBdr>
    </w:div>
    <w:div w:id="1393190366">
      <w:bodyDiv w:val="1"/>
      <w:marLeft w:val="0"/>
      <w:marRight w:val="0"/>
      <w:marTop w:val="0"/>
      <w:marBottom w:val="0"/>
      <w:divBdr>
        <w:top w:val="none" w:sz="0" w:space="0" w:color="auto"/>
        <w:left w:val="none" w:sz="0" w:space="0" w:color="auto"/>
        <w:bottom w:val="none" w:sz="0" w:space="0" w:color="auto"/>
        <w:right w:val="none" w:sz="0" w:space="0" w:color="auto"/>
      </w:divBdr>
    </w:div>
    <w:div w:id="1393195208">
      <w:bodyDiv w:val="1"/>
      <w:marLeft w:val="0"/>
      <w:marRight w:val="0"/>
      <w:marTop w:val="0"/>
      <w:marBottom w:val="0"/>
      <w:divBdr>
        <w:top w:val="none" w:sz="0" w:space="0" w:color="auto"/>
        <w:left w:val="none" w:sz="0" w:space="0" w:color="auto"/>
        <w:bottom w:val="none" w:sz="0" w:space="0" w:color="auto"/>
        <w:right w:val="none" w:sz="0" w:space="0" w:color="auto"/>
      </w:divBdr>
    </w:div>
    <w:div w:id="1393196496">
      <w:bodyDiv w:val="1"/>
      <w:marLeft w:val="0"/>
      <w:marRight w:val="0"/>
      <w:marTop w:val="0"/>
      <w:marBottom w:val="0"/>
      <w:divBdr>
        <w:top w:val="none" w:sz="0" w:space="0" w:color="auto"/>
        <w:left w:val="none" w:sz="0" w:space="0" w:color="auto"/>
        <w:bottom w:val="none" w:sz="0" w:space="0" w:color="auto"/>
        <w:right w:val="none" w:sz="0" w:space="0" w:color="auto"/>
      </w:divBdr>
    </w:div>
    <w:div w:id="1393232244">
      <w:bodyDiv w:val="1"/>
      <w:marLeft w:val="0"/>
      <w:marRight w:val="0"/>
      <w:marTop w:val="0"/>
      <w:marBottom w:val="0"/>
      <w:divBdr>
        <w:top w:val="none" w:sz="0" w:space="0" w:color="auto"/>
        <w:left w:val="none" w:sz="0" w:space="0" w:color="auto"/>
        <w:bottom w:val="none" w:sz="0" w:space="0" w:color="auto"/>
        <w:right w:val="none" w:sz="0" w:space="0" w:color="auto"/>
      </w:divBdr>
    </w:div>
    <w:div w:id="1393307666">
      <w:bodyDiv w:val="1"/>
      <w:marLeft w:val="0"/>
      <w:marRight w:val="0"/>
      <w:marTop w:val="0"/>
      <w:marBottom w:val="0"/>
      <w:divBdr>
        <w:top w:val="none" w:sz="0" w:space="0" w:color="auto"/>
        <w:left w:val="none" w:sz="0" w:space="0" w:color="auto"/>
        <w:bottom w:val="none" w:sz="0" w:space="0" w:color="auto"/>
        <w:right w:val="none" w:sz="0" w:space="0" w:color="auto"/>
      </w:divBdr>
    </w:div>
    <w:div w:id="1393387966">
      <w:bodyDiv w:val="1"/>
      <w:marLeft w:val="0"/>
      <w:marRight w:val="0"/>
      <w:marTop w:val="0"/>
      <w:marBottom w:val="0"/>
      <w:divBdr>
        <w:top w:val="none" w:sz="0" w:space="0" w:color="auto"/>
        <w:left w:val="none" w:sz="0" w:space="0" w:color="auto"/>
        <w:bottom w:val="none" w:sz="0" w:space="0" w:color="auto"/>
        <w:right w:val="none" w:sz="0" w:space="0" w:color="auto"/>
      </w:divBdr>
    </w:div>
    <w:div w:id="1393428166">
      <w:bodyDiv w:val="1"/>
      <w:marLeft w:val="0"/>
      <w:marRight w:val="0"/>
      <w:marTop w:val="0"/>
      <w:marBottom w:val="0"/>
      <w:divBdr>
        <w:top w:val="none" w:sz="0" w:space="0" w:color="auto"/>
        <w:left w:val="none" w:sz="0" w:space="0" w:color="auto"/>
        <w:bottom w:val="none" w:sz="0" w:space="0" w:color="auto"/>
        <w:right w:val="none" w:sz="0" w:space="0" w:color="auto"/>
      </w:divBdr>
    </w:div>
    <w:div w:id="1393500865">
      <w:bodyDiv w:val="1"/>
      <w:marLeft w:val="0"/>
      <w:marRight w:val="0"/>
      <w:marTop w:val="0"/>
      <w:marBottom w:val="0"/>
      <w:divBdr>
        <w:top w:val="none" w:sz="0" w:space="0" w:color="auto"/>
        <w:left w:val="none" w:sz="0" w:space="0" w:color="auto"/>
        <w:bottom w:val="none" w:sz="0" w:space="0" w:color="auto"/>
        <w:right w:val="none" w:sz="0" w:space="0" w:color="auto"/>
      </w:divBdr>
    </w:div>
    <w:div w:id="1393502377">
      <w:bodyDiv w:val="1"/>
      <w:marLeft w:val="0"/>
      <w:marRight w:val="0"/>
      <w:marTop w:val="0"/>
      <w:marBottom w:val="0"/>
      <w:divBdr>
        <w:top w:val="none" w:sz="0" w:space="0" w:color="auto"/>
        <w:left w:val="none" w:sz="0" w:space="0" w:color="auto"/>
        <w:bottom w:val="none" w:sz="0" w:space="0" w:color="auto"/>
        <w:right w:val="none" w:sz="0" w:space="0" w:color="auto"/>
      </w:divBdr>
    </w:div>
    <w:div w:id="1393506347">
      <w:bodyDiv w:val="1"/>
      <w:marLeft w:val="0"/>
      <w:marRight w:val="0"/>
      <w:marTop w:val="0"/>
      <w:marBottom w:val="0"/>
      <w:divBdr>
        <w:top w:val="none" w:sz="0" w:space="0" w:color="auto"/>
        <w:left w:val="none" w:sz="0" w:space="0" w:color="auto"/>
        <w:bottom w:val="none" w:sz="0" w:space="0" w:color="auto"/>
        <w:right w:val="none" w:sz="0" w:space="0" w:color="auto"/>
      </w:divBdr>
    </w:div>
    <w:div w:id="1393577963">
      <w:bodyDiv w:val="1"/>
      <w:marLeft w:val="0"/>
      <w:marRight w:val="0"/>
      <w:marTop w:val="0"/>
      <w:marBottom w:val="0"/>
      <w:divBdr>
        <w:top w:val="none" w:sz="0" w:space="0" w:color="auto"/>
        <w:left w:val="none" w:sz="0" w:space="0" w:color="auto"/>
        <w:bottom w:val="none" w:sz="0" w:space="0" w:color="auto"/>
        <w:right w:val="none" w:sz="0" w:space="0" w:color="auto"/>
      </w:divBdr>
    </w:div>
    <w:div w:id="1393582940">
      <w:bodyDiv w:val="1"/>
      <w:marLeft w:val="0"/>
      <w:marRight w:val="0"/>
      <w:marTop w:val="0"/>
      <w:marBottom w:val="0"/>
      <w:divBdr>
        <w:top w:val="none" w:sz="0" w:space="0" w:color="auto"/>
        <w:left w:val="none" w:sz="0" w:space="0" w:color="auto"/>
        <w:bottom w:val="none" w:sz="0" w:space="0" w:color="auto"/>
        <w:right w:val="none" w:sz="0" w:space="0" w:color="auto"/>
      </w:divBdr>
    </w:div>
    <w:div w:id="1393769909">
      <w:bodyDiv w:val="1"/>
      <w:marLeft w:val="0"/>
      <w:marRight w:val="0"/>
      <w:marTop w:val="0"/>
      <w:marBottom w:val="0"/>
      <w:divBdr>
        <w:top w:val="none" w:sz="0" w:space="0" w:color="auto"/>
        <w:left w:val="none" w:sz="0" w:space="0" w:color="auto"/>
        <w:bottom w:val="none" w:sz="0" w:space="0" w:color="auto"/>
        <w:right w:val="none" w:sz="0" w:space="0" w:color="auto"/>
      </w:divBdr>
    </w:div>
    <w:div w:id="1393770361">
      <w:bodyDiv w:val="1"/>
      <w:marLeft w:val="0"/>
      <w:marRight w:val="0"/>
      <w:marTop w:val="0"/>
      <w:marBottom w:val="0"/>
      <w:divBdr>
        <w:top w:val="none" w:sz="0" w:space="0" w:color="auto"/>
        <w:left w:val="none" w:sz="0" w:space="0" w:color="auto"/>
        <w:bottom w:val="none" w:sz="0" w:space="0" w:color="auto"/>
        <w:right w:val="none" w:sz="0" w:space="0" w:color="auto"/>
      </w:divBdr>
    </w:div>
    <w:div w:id="1393776912">
      <w:bodyDiv w:val="1"/>
      <w:marLeft w:val="0"/>
      <w:marRight w:val="0"/>
      <w:marTop w:val="0"/>
      <w:marBottom w:val="0"/>
      <w:divBdr>
        <w:top w:val="none" w:sz="0" w:space="0" w:color="auto"/>
        <w:left w:val="none" w:sz="0" w:space="0" w:color="auto"/>
        <w:bottom w:val="none" w:sz="0" w:space="0" w:color="auto"/>
        <w:right w:val="none" w:sz="0" w:space="0" w:color="auto"/>
      </w:divBdr>
    </w:div>
    <w:div w:id="1393850677">
      <w:bodyDiv w:val="1"/>
      <w:marLeft w:val="0"/>
      <w:marRight w:val="0"/>
      <w:marTop w:val="0"/>
      <w:marBottom w:val="0"/>
      <w:divBdr>
        <w:top w:val="none" w:sz="0" w:space="0" w:color="auto"/>
        <w:left w:val="none" w:sz="0" w:space="0" w:color="auto"/>
        <w:bottom w:val="none" w:sz="0" w:space="0" w:color="auto"/>
        <w:right w:val="none" w:sz="0" w:space="0" w:color="auto"/>
      </w:divBdr>
    </w:div>
    <w:div w:id="1393851222">
      <w:bodyDiv w:val="1"/>
      <w:marLeft w:val="0"/>
      <w:marRight w:val="0"/>
      <w:marTop w:val="0"/>
      <w:marBottom w:val="0"/>
      <w:divBdr>
        <w:top w:val="none" w:sz="0" w:space="0" w:color="auto"/>
        <w:left w:val="none" w:sz="0" w:space="0" w:color="auto"/>
        <w:bottom w:val="none" w:sz="0" w:space="0" w:color="auto"/>
        <w:right w:val="none" w:sz="0" w:space="0" w:color="auto"/>
      </w:divBdr>
    </w:div>
    <w:div w:id="1393851586">
      <w:bodyDiv w:val="1"/>
      <w:marLeft w:val="0"/>
      <w:marRight w:val="0"/>
      <w:marTop w:val="0"/>
      <w:marBottom w:val="0"/>
      <w:divBdr>
        <w:top w:val="none" w:sz="0" w:space="0" w:color="auto"/>
        <w:left w:val="none" w:sz="0" w:space="0" w:color="auto"/>
        <w:bottom w:val="none" w:sz="0" w:space="0" w:color="auto"/>
        <w:right w:val="none" w:sz="0" w:space="0" w:color="auto"/>
      </w:divBdr>
    </w:div>
    <w:div w:id="1393886754">
      <w:bodyDiv w:val="1"/>
      <w:marLeft w:val="0"/>
      <w:marRight w:val="0"/>
      <w:marTop w:val="0"/>
      <w:marBottom w:val="0"/>
      <w:divBdr>
        <w:top w:val="none" w:sz="0" w:space="0" w:color="auto"/>
        <w:left w:val="none" w:sz="0" w:space="0" w:color="auto"/>
        <w:bottom w:val="none" w:sz="0" w:space="0" w:color="auto"/>
        <w:right w:val="none" w:sz="0" w:space="0" w:color="auto"/>
      </w:divBdr>
    </w:div>
    <w:div w:id="1393887714">
      <w:bodyDiv w:val="1"/>
      <w:marLeft w:val="0"/>
      <w:marRight w:val="0"/>
      <w:marTop w:val="0"/>
      <w:marBottom w:val="0"/>
      <w:divBdr>
        <w:top w:val="none" w:sz="0" w:space="0" w:color="auto"/>
        <w:left w:val="none" w:sz="0" w:space="0" w:color="auto"/>
        <w:bottom w:val="none" w:sz="0" w:space="0" w:color="auto"/>
        <w:right w:val="none" w:sz="0" w:space="0" w:color="auto"/>
      </w:divBdr>
    </w:div>
    <w:div w:id="1393889420">
      <w:bodyDiv w:val="1"/>
      <w:marLeft w:val="0"/>
      <w:marRight w:val="0"/>
      <w:marTop w:val="0"/>
      <w:marBottom w:val="0"/>
      <w:divBdr>
        <w:top w:val="none" w:sz="0" w:space="0" w:color="auto"/>
        <w:left w:val="none" w:sz="0" w:space="0" w:color="auto"/>
        <w:bottom w:val="none" w:sz="0" w:space="0" w:color="auto"/>
        <w:right w:val="none" w:sz="0" w:space="0" w:color="auto"/>
      </w:divBdr>
    </w:div>
    <w:div w:id="1393964035">
      <w:bodyDiv w:val="1"/>
      <w:marLeft w:val="0"/>
      <w:marRight w:val="0"/>
      <w:marTop w:val="0"/>
      <w:marBottom w:val="0"/>
      <w:divBdr>
        <w:top w:val="none" w:sz="0" w:space="0" w:color="auto"/>
        <w:left w:val="none" w:sz="0" w:space="0" w:color="auto"/>
        <w:bottom w:val="none" w:sz="0" w:space="0" w:color="auto"/>
        <w:right w:val="none" w:sz="0" w:space="0" w:color="auto"/>
      </w:divBdr>
    </w:div>
    <w:div w:id="1393969581">
      <w:bodyDiv w:val="1"/>
      <w:marLeft w:val="0"/>
      <w:marRight w:val="0"/>
      <w:marTop w:val="0"/>
      <w:marBottom w:val="0"/>
      <w:divBdr>
        <w:top w:val="none" w:sz="0" w:space="0" w:color="auto"/>
        <w:left w:val="none" w:sz="0" w:space="0" w:color="auto"/>
        <w:bottom w:val="none" w:sz="0" w:space="0" w:color="auto"/>
        <w:right w:val="none" w:sz="0" w:space="0" w:color="auto"/>
      </w:divBdr>
    </w:div>
    <w:div w:id="1394082174">
      <w:bodyDiv w:val="1"/>
      <w:marLeft w:val="0"/>
      <w:marRight w:val="0"/>
      <w:marTop w:val="0"/>
      <w:marBottom w:val="0"/>
      <w:divBdr>
        <w:top w:val="none" w:sz="0" w:space="0" w:color="auto"/>
        <w:left w:val="none" w:sz="0" w:space="0" w:color="auto"/>
        <w:bottom w:val="none" w:sz="0" w:space="0" w:color="auto"/>
        <w:right w:val="none" w:sz="0" w:space="0" w:color="auto"/>
      </w:divBdr>
    </w:div>
    <w:div w:id="1394112854">
      <w:bodyDiv w:val="1"/>
      <w:marLeft w:val="0"/>
      <w:marRight w:val="0"/>
      <w:marTop w:val="0"/>
      <w:marBottom w:val="0"/>
      <w:divBdr>
        <w:top w:val="none" w:sz="0" w:space="0" w:color="auto"/>
        <w:left w:val="none" w:sz="0" w:space="0" w:color="auto"/>
        <w:bottom w:val="none" w:sz="0" w:space="0" w:color="auto"/>
        <w:right w:val="none" w:sz="0" w:space="0" w:color="auto"/>
      </w:divBdr>
    </w:div>
    <w:div w:id="1394162055">
      <w:bodyDiv w:val="1"/>
      <w:marLeft w:val="0"/>
      <w:marRight w:val="0"/>
      <w:marTop w:val="0"/>
      <w:marBottom w:val="0"/>
      <w:divBdr>
        <w:top w:val="none" w:sz="0" w:space="0" w:color="auto"/>
        <w:left w:val="none" w:sz="0" w:space="0" w:color="auto"/>
        <w:bottom w:val="none" w:sz="0" w:space="0" w:color="auto"/>
        <w:right w:val="none" w:sz="0" w:space="0" w:color="auto"/>
      </w:divBdr>
    </w:div>
    <w:div w:id="1394163568">
      <w:bodyDiv w:val="1"/>
      <w:marLeft w:val="0"/>
      <w:marRight w:val="0"/>
      <w:marTop w:val="0"/>
      <w:marBottom w:val="0"/>
      <w:divBdr>
        <w:top w:val="none" w:sz="0" w:space="0" w:color="auto"/>
        <w:left w:val="none" w:sz="0" w:space="0" w:color="auto"/>
        <w:bottom w:val="none" w:sz="0" w:space="0" w:color="auto"/>
        <w:right w:val="none" w:sz="0" w:space="0" w:color="auto"/>
      </w:divBdr>
    </w:div>
    <w:div w:id="1394279597">
      <w:bodyDiv w:val="1"/>
      <w:marLeft w:val="0"/>
      <w:marRight w:val="0"/>
      <w:marTop w:val="0"/>
      <w:marBottom w:val="0"/>
      <w:divBdr>
        <w:top w:val="none" w:sz="0" w:space="0" w:color="auto"/>
        <w:left w:val="none" w:sz="0" w:space="0" w:color="auto"/>
        <w:bottom w:val="none" w:sz="0" w:space="0" w:color="auto"/>
        <w:right w:val="none" w:sz="0" w:space="0" w:color="auto"/>
      </w:divBdr>
    </w:div>
    <w:div w:id="1394281711">
      <w:bodyDiv w:val="1"/>
      <w:marLeft w:val="0"/>
      <w:marRight w:val="0"/>
      <w:marTop w:val="0"/>
      <w:marBottom w:val="0"/>
      <w:divBdr>
        <w:top w:val="none" w:sz="0" w:space="0" w:color="auto"/>
        <w:left w:val="none" w:sz="0" w:space="0" w:color="auto"/>
        <w:bottom w:val="none" w:sz="0" w:space="0" w:color="auto"/>
        <w:right w:val="none" w:sz="0" w:space="0" w:color="auto"/>
      </w:divBdr>
    </w:div>
    <w:div w:id="1394506233">
      <w:bodyDiv w:val="1"/>
      <w:marLeft w:val="0"/>
      <w:marRight w:val="0"/>
      <w:marTop w:val="0"/>
      <w:marBottom w:val="0"/>
      <w:divBdr>
        <w:top w:val="none" w:sz="0" w:space="0" w:color="auto"/>
        <w:left w:val="none" w:sz="0" w:space="0" w:color="auto"/>
        <w:bottom w:val="none" w:sz="0" w:space="0" w:color="auto"/>
        <w:right w:val="none" w:sz="0" w:space="0" w:color="auto"/>
      </w:divBdr>
    </w:div>
    <w:div w:id="1394543082">
      <w:bodyDiv w:val="1"/>
      <w:marLeft w:val="0"/>
      <w:marRight w:val="0"/>
      <w:marTop w:val="0"/>
      <w:marBottom w:val="0"/>
      <w:divBdr>
        <w:top w:val="none" w:sz="0" w:space="0" w:color="auto"/>
        <w:left w:val="none" w:sz="0" w:space="0" w:color="auto"/>
        <w:bottom w:val="none" w:sz="0" w:space="0" w:color="auto"/>
        <w:right w:val="none" w:sz="0" w:space="0" w:color="auto"/>
      </w:divBdr>
    </w:div>
    <w:div w:id="1394695049">
      <w:bodyDiv w:val="1"/>
      <w:marLeft w:val="0"/>
      <w:marRight w:val="0"/>
      <w:marTop w:val="0"/>
      <w:marBottom w:val="0"/>
      <w:divBdr>
        <w:top w:val="none" w:sz="0" w:space="0" w:color="auto"/>
        <w:left w:val="none" w:sz="0" w:space="0" w:color="auto"/>
        <w:bottom w:val="none" w:sz="0" w:space="0" w:color="auto"/>
        <w:right w:val="none" w:sz="0" w:space="0" w:color="auto"/>
      </w:divBdr>
    </w:div>
    <w:div w:id="1394695387">
      <w:bodyDiv w:val="1"/>
      <w:marLeft w:val="0"/>
      <w:marRight w:val="0"/>
      <w:marTop w:val="0"/>
      <w:marBottom w:val="0"/>
      <w:divBdr>
        <w:top w:val="none" w:sz="0" w:space="0" w:color="auto"/>
        <w:left w:val="none" w:sz="0" w:space="0" w:color="auto"/>
        <w:bottom w:val="none" w:sz="0" w:space="0" w:color="auto"/>
        <w:right w:val="none" w:sz="0" w:space="0" w:color="auto"/>
      </w:divBdr>
    </w:div>
    <w:div w:id="1394696525">
      <w:bodyDiv w:val="1"/>
      <w:marLeft w:val="0"/>
      <w:marRight w:val="0"/>
      <w:marTop w:val="0"/>
      <w:marBottom w:val="0"/>
      <w:divBdr>
        <w:top w:val="none" w:sz="0" w:space="0" w:color="auto"/>
        <w:left w:val="none" w:sz="0" w:space="0" w:color="auto"/>
        <w:bottom w:val="none" w:sz="0" w:space="0" w:color="auto"/>
        <w:right w:val="none" w:sz="0" w:space="0" w:color="auto"/>
      </w:divBdr>
    </w:div>
    <w:div w:id="1394699471">
      <w:bodyDiv w:val="1"/>
      <w:marLeft w:val="0"/>
      <w:marRight w:val="0"/>
      <w:marTop w:val="0"/>
      <w:marBottom w:val="0"/>
      <w:divBdr>
        <w:top w:val="none" w:sz="0" w:space="0" w:color="auto"/>
        <w:left w:val="none" w:sz="0" w:space="0" w:color="auto"/>
        <w:bottom w:val="none" w:sz="0" w:space="0" w:color="auto"/>
        <w:right w:val="none" w:sz="0" w:space="0" w:color="auto"/>
      </w:divBdr>
    </w:div>
    <w:div w:id="1394768355">
      <w:bodyDiv w:val="1"/>
      <w:marLeft w:val="0"/>
      <w:marRight w:val="0"/>
      <w:marTop w:val="0"/>
      <w:marBottom w:val="0"/>
      <w:divBdr>
        <w:top w:val="none" w:sz="0" w:space="0" w:color="auto"/>
        <w:left w:val="none" w:sz="0" w:space="0" w:color="auto"/>
        <w:bottom w:val="none" w:sz="0" w:space="0" w:color="auto"/>
        <w:right w:val="none" w:sz="0" w:space="0" w:color="auto"/>
      </w:divBdr>
    </w:div>
    <w:div w:id="1394812745">
      <w:bodyDiv w:val="1"/>
      <w:marLeft w:val="0"/>
      <w:marRight w:val="0"/>
      <w:marTop w:val="0"/>
      <w:marBottom w:val="0"/>
      <w:divBdr>
        <w:top w:val="none" w:sz="0" w:space="0" w:color="auto"/>
        <w:left w:val="none" w:sz="0" w:space="0" w:color="auto"/>
        <w:bottom w:val="none" w:sz="0" w:space="0" w:color="auto"/>
        <w:right w:val="none" w:sz="0" w:space="0" w:color="auto"/>
      </w:divBdr>
    </w:div>
    <w:div w:id="1394813769">
      <w:bodyDiv w:val="1"/>
      <w:marLeft w:val="0"/>
      <w:marRight w:val="0"/>
      <w:marTop w:val="0"/>
      <w:marBottom w:val="0"/>
      <w:divBdr>
        <w:top w:val="none" w:sz="0" w:space="0" w:color="auto"/>
        <w:left w:val="none" w:sz="0" w:space="0" w:color="auto"/>
        <w:bottom w:val="none" w:sz="0" w:space="0" w:color="auto"/>
        <w:right w:val="none" w:sz="0" w:space="0" w:color="auto"/>
      </w:divBdr>
    </w:div>
    <w:div w:id="1394884689">
      <w:bodyDiv w:val="1"/>
      <w:marLeft w:val="0"/>
      <w:marRight w:val="0"/>
      <w:marTop w:val="0"/>
      <w:marBottom w:val="0"/>
      <w:divBdr>
        <w:top w:val="none" w:sz="0" w:space="0" w:color="auto"/>
        <w:left w:val="none" w:sz="0" w:space="0" w:color="auto"/>
        <w:bottom w:val="none" w:sz="0" w:space="0" w:color="auto"/>
        <w:right w:val="none" w:sz="0" w:space="0" w:color="auto"/>
      </w:divBdr>
    </w:div>
    <w:div w:id="1394885234">
      <w:bodyDiv w:val="1"/>
      <w:marLeft w:val="0"/>
      <w:marRight w:val="0"/>
      <w:marTop w:val="0"/>
      <w:marBottom w:val="0"/>
      <w:divBdr>
        <w:top w:val="none" w:sz="0" w:space="0" w:color="auto"/>
        <w:left w:val="none" w:sz="0" w:space="0" w:color="auto"/>
        <w:bottom w:val="none" w:sz="0" w:space="0" w:color="auto"/>
        <w:right w:val="none" w:sz="0" w:space="0" w:color="auto"/>
      </w:divBdr>
    </w:div>
    <w:div w:id="1394887330">
      <w:bodyDiv w:val="1"/>
      <w:marLeft w:val="0"/>
      <w:marRight w:val="0"/>
      <w:marTop w:val="0"/>
      <w:marBottom w:val="0"/>
      <w:divBdr>
        <w:top w:val="none" w:sz="0" w:space="0" w:color="auto"/>
        <w:left w:val="none" w:sz="0" w:space="0" w:color="auto"/>
        <w:bottom w:val="none" w:sz="0" w:space="0" w:color="auto"/>
        <w:right w:val="none" w:sz="0" w:space="0" w:color="auto"/>
      </w:divBdr>
    </w:div>
    <w:div w:id="1395008148">
      <w:bodyDiv w:val="1"/>
      <w:marLeft w:val="0"/>
      <w:marRight w:val="0"/>
      <w:marTop w:val="0"/>
      <w:marBottom w:val="0"/>
      <w:divBdr>
        <w:top w:val="none" w:sz="0" w:space="0" w:color="auto"/>
        <w:left w:val="none" w:sz="0" w:space="0" w:color="auto"/>
        <w:bottom w:val="none" w:sz="0" w:space="0" w:color="auto"/>
        <w:right w:val="none" w:sz="0" w:space="0" w:color="auto"/>
      </w:divBdr>
    </w:div>
    <w:div w:id="1395153515">
      <w:bodyDiv w:val="1"/>
      <w:marLeft w:val="0"/>
      <w:marRight w:val="0"/>
      <w:marTop w:val="0"/>
      <w:marBottom w:val="0"/>
      <w:divBdr>
        <w:top w:val="none" w:sz="0" w:space="0" w:color="auto"/>
        <w:left w:val="none" w:sz="0" w:space="0" w:color="auto"/>
        <w:bottom w:val="none" w:sz="0" w:space="0" w:color="auto"/>
        <w:right w:val="none" w:sz="0" w:space="0" w:color="auto"/>
      </w:divBdr>
    </w:div>
    <w:div w:id="1395465349">
      <w:bodyDiv w:val="1"/>
      <w:marLeft w:val="0"/>
      <w:marRight w:val="0"/>
      <w:marTop w:val="0"/>
      <w:marBottom w:val="0"/>
      <w:divBdr>
        <w:top w:val="none" w:sz="0" w:space="0" w:color="auto"/>
        <w:left w:val="none" w:sz="0" w:space="0" w:color="auto"/>
        <w:bottom w:val="none" w:sz="0" w:space="0" w:color="auto"/>
        <w:right w:val="none" w:sz="0" w:space="0" w:color="auto"/>
      </w:divBdr>
    </w:div>
    <w:div w:id="1395592281">
      <w:bodyDiv w:val="1"/>
      <w:marLeft w:val="0"/>
      <w:marRight w:val="0"/>
      <w:marTop w:val="0"/>
      <w:marBottom w:val="0"/>
      <w:divBdr>
        <w:top w:val="none" w:sz="0" w:space="0" w:color="auto"/>
        <w:left w:val="none" w:sz="0" w:space="0" w:color="auto"/>
        <w:bottom w:val="none" w:sz="0" w:space="0" w:color="auto"/>
        <w:right w:val="none" w:sz="0" w:space="0" w:color="auto"/>
      </w:divBdr>
    </w:div>
    <w:div w:id="1395621753">
      <w:bodyDiv w:val="1"/>
      <w:marLeft w:val="0"/>
      <w:marRight w:val="0"/>
      <w:marTop w:val="0"/>
      <w:marBottom w:val="0"/>
      <w:divBdr>
        <w:top w:val="none" w:sz="0" w:space="0" w:color="auto"/>
        <w:left w:val="none" w:sz="0" w:space="0" w:color="auto"/>
        <w:bottom w:val="none" w:sz="0" w:space="0" w:color="auto"/>
        <w:right w:val="none" w:sz="0" w:space="0" w:color="auto"/>
      </w:divBdr>
    </w:div>
    <w:div w:id="1395660605">
      <w:bodyDiv w:val="1"/>
      <w:marLeft w:val="0"/>
      <w:marRight w:val="0"/>
      <w:marTop w:val="0"/>
      <w:marBottom w:val="0"/>
      <w:divBdr>
        <w:top w:val="none" w:sz="0" w:space="0" w:color="auto"/>
        <w:left w:val="none" w:sz="0" w:space="0" w:color="auto"/>
        <w:bottom w:val="none" w:sz="0" w:space="0" w:color="auto"/>
        <w:right w:val="none" w:sz="0" w:space="0" w:color="auto"/>
      </w:divBdr>
    </w:div>
    <w:div w:id="1395663042">
      <w:bodyDiv w:val="1"/>
      <w:marLeft w:val="0"/>
      <w:marRight w:val="0"/>
      <w:marTop w:val="0"/>
      <w:marBottom w:val="0"/>
      <w:divBdr>
        <w:top w:val="none" w:sz="0" w:space="0" w:color="auto"/>
        <w:left w:val="none" w:sz="0" w:space="0" w:color="auto"/>
        <w:bottom w:val="none" w:sz="0" w:space="0" w:color="auto"/>
        <w:right w:val="none" w:sz="0" w:space="0" w:color="auto"/>
      </w:divBdr>
    </w:div>
    <w:div w:id="1395814414">
      <w:bodyDiv w:val="1"/>
      <w:marLeft w:val="0"/>
      <w:marRight w:val="0"/>
      <w:marTop w:val="0"/>
      <w:marBottom w:val="0"/>
      <w:divBdr>
        <w:top w:val="none" w:sz="0" w:space="0" w:color="auto"/>
        <w:left w:val="none" w:sz="0" w:space="0" w:color="auto"/>
        <w:bottom w:val="none" w:sz="0" w:space="0" w:color="auto"/>
        <w:right w:val="none" w:sz="0" w:space="0" w:color="auto"/>
      </w:divBdr>
    </w:div>
    <w:div w:id="1395853900">
      <w:bodyDiv w:val="1"/>
      <w:marLeft w:val="0"/>
      <w:marRight w:val="0"/>
      <w:marTop w:val="0"/>
      <w:marBottom w:val="0"/>
      <w:divBdr>
        <w:top w:val="none" w:sz="0" w:space="0" w:color="auto"/>
        <w:left w:val="none" w:sz="0" w:space="0" w:color="auto"/>
        <w:bottom w:val="none" w:sz="0" w:space="0" w:color="auto"/>
        <w:right w:val="none" w:sz="0" w:space="0" w:color="auto"/>
      </w:divBdr>
    </w:div>
    <w:div w:id="1395859960">
      <w:bodyDiv w:val="1"/>
      <w:marLeft w:val="0"/>
      <w:marRight w:val="0"/>
      <w:marTop w:val="0"/>
      <w:marBottom w:val="0"/>
      <w:divBdr>
        <w:top w:val="none" w:sz="0" w:space="0" w:color="auto"/>
        <w:left w:val="none" w:sz="0" w:space="0" w:color="auto"/>
        <w:bottom w:val="none" w:sz="0" w:space="0" w:color="auto"/>
        <w:right w:val="none" w:sz="0" w:space="0" w:color="auto"/>
      </w:divBdr>
    </w:div>
    <w:div w:id="1395860006">
      <w:bodyDiv w:val="1"/>
      <w:marLeft w:val="0"/>
      <w:marRight w:val="0"/>
      <w:marTop w:val="0"/>
      <w:marBottom w:val="0"/>
      <w:divBdr>
        <w:top w:val="none" w:sz="0" w:space="0" w:color="auto"/>
        <w:left w:val="none" w:sz="0" w:space="0" w:color="auto"/>
        <w:bottom w:val="none" w:sz="0" w:space="0" w:color="auto"/>
        <w:right w:val="none" w:sz="0" w:space="0" w:color="auto"/>
      </w:divBdr>
    </w:div>
    <w:div w:id="1395860658">
      <w:bodyDiv w:val="1"/>
      <w:marLeft w:val="0"/>
      <w:marRight w:val="0"/>
      <w:marTop w:val="0"/>
      <w:marBottom w:val="0"/>
      <w:divBdr>
        <w:top w:val="none" w:sz="0" w:space="0" w:color="auto"/>
        <w:left w:val="none" w:sz="0" w:space="0" w:color="auto"/>
        <w:bottom w:val="none" w:sz="0" w:space="0" w:color="auto"/>
        <w:right w:val="none" w:sz="0" w:space="0" w:color="auto"/>
      </w:divBdr>
    </w:div>
    <w:div w:id="1395934722">
      <w:bodyDiv w:val="1"/>
      <w:marLeft w:val="0"/>
      <w:marRight w:val="0"/>
      <w:marTop w:val="0"/>
      <w:marBottom w:val="0"/>
      <w:divBdr>
        <w:top w:val="none" w:sz="0" w:space="0" w:color="auto"/>
        <w:left w:val="none" w:sz="0" w:space="0" w:color="auto"/>
        <w:bottom w:val="none" w:sz="0" w:space="0" w:color="auto"/>
        <w:right w:val="none" w:sz="0" w:space="0" w:color="auto"/>
      </w:divBdr>
    </w:div>
    <w:div w:id="1396048742">
      <w:bodyDiv w:val="1"/>
      <w:marLeft w:val="0"/>
      <w:marRight w:val="0"/>
      <w:marTop w:val="0"/>
      <w:marBottom w:val="0"/>
      <w:divBdr>
        <w:top w:val="none" w:sz="0" w:space="0" w:color="auto"/>
        <w:left w:val="none" w:sz="0" w:space="0" w:color="auto"/>
        <w:bottom w:val="none" w:sz="0" w:space="0" w:color="auto"/>
        <w:right w:val="none" w:sz="0" w:space="0" w:color="auto"/>
      </w:divBdr>
    </w:div>
    <w:div w:id="1396052579">
      <w:bodyDiv w:val="1"/>
      <w:marLeft w:val="0"/>
      <w:marRight w:val="0"/>
      <w:marTop w:val="0"/>
      <w:marBottom w:val="0"/>
      <w:divBdr>
        <w:top w:val="none" w:sz="0" w:space="0" w:color="auto"/>
        <w:left w:val="none" w:sz="0" w:space="0" w:color="auto"/>
        <w:bottom w:val="none" w:sz="0" w:space="0" w:color="auto"/>
        <w:right w:val="none" w:sz="0" w:space="0" w:color="auto"/>
      </w:divBdr>
    </w:div>
    <w:div w:id="1396052593">
      <w:bodyDiv w:val="1"/>
      <w:marLeft w:val="0"/>
      <w:marRight w:val="0"/>
      <w:marTop w:val="0"/>
      <w:marBottom w:val="0"/>
      <w:divBdr>
        <w:top w:val="none" w:sz="0" w:space="0" w:color="auto"/>
        <w:left w:val="none" w:sz="0" w:space="0" w:color="auto"/>
        <w:bottom w:val="none" w:sz="0" w:space="0" w:color="auto"/>
        <w:right w:val="none" w:sz="0" w:space="0" w:color="auto"/>
      </w:divBdr>
    </w:div>
    <w:div w:id="1396053953">
      <w:bodyDiv w:val="1"/>
      <w:marLeft w:val="0"/>
      <w:marRight w:val="0"/>
      <w:marTop w:val="0"/>
      <w:marBottom w:val="0"/>
      <w:divBdr>
        <w:top w:val="none" w:sz="0" w:space="0" w:color="auto"/>
        <w:left w:val="none" w:sz="0" w:space="0" w:color="auto"/>
        <w:bottom w:val="none" w:sz="0" w:space="0" w:color="auto"/>
        <w:right w:val="none" w:sz="0" w:space="0" w:color="auto"/>
      </w:divBdr>
    </w:div>
    <w:div w:id="1396202571">
      <w:bodyDiv w:val="1"/>
      <w:marLeft w:val="0"/>
      <w:marRight w:val="0"/>
      <w:marTop w:val="0"/>
      <w:marBottom w:val="0"/>
      <w:divBdr>
        <w:top w:val="none" w:sz="0" w:space="0" w:color="auto"/>
        <w:left w:val="none" w:sz="0" w:space="0" w:color="auto"/>
        <w:bottom w:val="none" w:sz="0" w:space="0" w:color="auto"/>
        <w:right w:val="none" w:sz="0" w:space="0" w:color="auto"/>
      </w:divBdr>
    </w:div>
    <w:div w:id="1396271725">
      <w:bodyDiv w:val="1"/>
      <w:marLeft w:val="0"/>
      <w:marRight w:val="0"/>
      <w:marTop w:val="0"/>
      <w:marBottom w:val="0"/>
      <w:divBdr>
        <w:top w:val="none" w:sz="0" w:space="0" w:color="auto"/>
        <w:left w:val="none" w:sz="0" w:space="0" w:color="auto"/>
        <w:bottom w:val="none" w:sz="0" w:space="0" w:color="auto"/>
        <w:right w:val="none" w:sz="0" w:space="0" w:color="auto"/>
      </w:divBdr>
    </w:div>
    <w:div w:id="1396272334">
      <w:bodyDiv w:val="1"/>
      <w:marLeft w:val="0"/>
      <w:marRight w:val="0"/>
      <w:marTop w:val="0"/>
      <w:marBottom w:val="0"/>
      <w:divBdr>
        <w:top w:val="none" w:sz="0" w:space="0" w:color="auto"/>
        <w:left w:val="none" w:sz="0" w:space="0" w:color="auto"/>
        <w:bottom w:val="none" w:sz="0" w:space="0" w:color="auto"/>
        <w:right w:val="none" w:sz="0" w:space="0" w:color="auto"/>
      </w:divBdr>
    </w:div>
    <w:div w:id="1396274165">
      <w:bodyDiv w:val="1"/>
      <w:marLeft w:val="0"/>
      <w:marRight w:val="0"/>
      <w:marTop w:val="0"/>
      <w:marBottom w:val="0"/>
      <w:divBdr>
        <w:top w:val="none" w:sz="0" w:space="0" w:color="auto"/>
        <w:left w:val="none" w:sz="0" w:space="0" w:color="auto"/>
        <w:bottom w:val="none" w:sz="0" w:space="0" w:color="auto"/>
        <w:right w:val="none" w:sz="0" w:space="0" w:color="auto"/>
      </w:divBdr>
    </w:div>
    <w:div w:id="1396317266">
      <w:bodyDiv w:val="1"/>
      <w:marLeft w:val="0"/>
      <w:marRight w:val="0"/>
      <w:marTop w:val="0"/>
      <w:marBottom w:val="0"/>
      <w:divBdr>
        <w:top w:val="none" w:sz="0" w:space="0" w:color="auto"/>
        <w:left w:val="none" w:sz="0" w:space="0" w:color="auto"/>
        <w:bottom w:val="none" w:sz="0" w:space="0" w:color="auto"/>
        <w:right w:val="none" w:sz="0" w:space="0" w:color="auto"/>
      </w:divBdr>
    </w:div>
    <w:div w:id="1396319471">
      <w:bodyDiv w:val="1"/>
      <w:marLeft w:val="0"/>
      <w:marRight w:val="0"/>
      <w:marTop w:val="0"/>
      <w:marBottom w:val="0"/>
      <w:divBdr>
        <w:top w:val="none" w:sz="0" w:space="0" w:color="auto"/>
        <w:left w:val="none" w:sz="0" w:space="0" w:color="auto"/>
        <w:bottom w:val="none" w:sz="0" w:space="0" w:color="auto"/>
        <w:right w:val="none" w:sz="0" w:space="0" w:color="auto"/>
      </w:divBdr>
    </w:div>
    <w:div w:id="1396388912">
      <w:bodyDiv w:val="1"/>
      <w:marLeft w:val="0"/>
      <w:marRight w:val="0"/>
      <w:marTop w:val="0"/>
      <w:marBottom w:val="0"/>
      <w:divBdr>
        <w:top w:val="none" w:sz="0" w:space="0" w:color="auto"/>
        <w:left w:val="none" w:sz="0" w:space="0" w:color="auto"/>
        <w:bottom w:val="none" w:sz="0" w:space="0" w:color="auto"/>
        <w:right w:val="none" w:sz="0" w:space="0" w:color="auto"/>
      </w:divBdr>
    </w:div>
    <w:div w:id="1396390588">
      <w:bodyDiv w:val="1"/>
      <w:marLeft w:val="0"/>
      <w:marRight w:val="0"/>
      <w:marTop w:val="0"/>
      <w:marBottom w:val="0"/>
      <w:divBdr>
        <w:top w:val="none" w:sz="0" w:space="0" w:color="auto"/>
        <w:left w:val="none" w:sz="0" w:space="0" w:color="auto"/>
        <w:bottom w:val="none" w:sz="0" w:space="0" w:color="auto"/>
        <w:right w:val="none" w:sz="0" w:space="0" w:color="auto"/>
      </w:divBdr>
    </w:div>
    <w:div w:id="1396472005">
      <w:bodyDiv w:val="1"/>
      <w:marLeft w:val="0"/>
      <w:marRight w:val="0"/>
      <w:marTop w:val="0"/>
      <w:marBottom w:val="0"/>
      <w:divBdr>
        <w:top w:val="none" w:sz="0" w:space="0" w:color="auto"/>
        <w:left w:val="none" w:sz="0" w:space="0" w:color="auto"/>
        <w:bottom w:val="none" w:sz="0" w:space="0" w:color="auto"/>
        <w:right w:val="none" w:sz="0" w:space="0" w:color="auto"/>
      </w:divBdr>
    </w:div>
    <w:div w:id="1396514715">
      <w:bodyDiv w:val="1"/>
      <w:marLeft w:val="0"/>
      <w:marRight w:val="0"/>
      <w:marTop w:val="0"/>
      <w:marBottom w:val="0"/>
      <w:divBdr>
        <w:top w:val="none" w:sz="0" w:space="0" w:color="auto"/>
        <w:left w:val="none" w:sz="0" w:space="0" w:color="auto"/>
        <w:bottom w:val="none" w:sz="0" w:space="0" w:color="auto"/>
        <w:right w:val="none" w:sz="0" w:space="0" w:color="auto"/>
      </w:divBdr>
    </w:div>
    <w:div w:id="1396515368">
      <w:bodyDiv w:val="1"/>
      <w:marLeft w:val="0"/>
      <w:marRight w:val="0"/>
      <w:marTop w:val="0"/>
      <w:marBottom w:val="0"/>
      <w:divBdr>
        <w:top w:val="none" w:sz="0" w:space="0" w:color="auto"/>
        <w:left w:val="none" w:sz="0" w:space="0" w:color="auto"/>
        <w:bottom w:val="none" w:sz="0" w:space="0" w:color="auto"/>
        <w:right w:val="none" w:sz="0" w:space="0" w:color="auto"/>
      </w:divBdr>
    </w:div>
    <w:div w:id="1396516012">
      <w:bodyDiv w:val="1"/>
      <w:marLeft w:val="0"/>
      <w:marRight w:val="0"/>
      <w:marTop w:val="0"/>
      <w:marBottom w:val="0"/>
      <w:divBdr>
        <w:top w:val="none" w:sz="0" w:space="0" w:color="auto"/>
        <w:left w:val="none" w:sz="0" w:space="0" w:color="auto"/>
        <w:bottom w:val="none" w:sz="0" w:space="0" w:color="auto"/>
        <w:right w:val="none" w:sz="0" w:space="0" w:color="auto"/>
      </w:divBdr>
    </w:div>
    <w:div w:id="1396657581">
      <w:bodyDiv w:val="1"/>
      <w:marLeft w:val="0"/>
      <w:marRight w:val="0"/>
      <w:marTop w:val="0"/>
      <w:marBottom w:val="0"/>
      <w:divBdr>
        <w:top w:val="none" w:sz="0" w:space="0" w:color="auto"/>
        <w:left w:val="none" w:sz="0" w:space="0" w:color="auto"/>
        <w:bottom w:val="none" w:sz="0" w:space="0" w:color="auto"/>
        <w:right w:val="none" w:sz="0" w:space="0" w:color="auto"/>
      </w:divBdr>
    </w:div>
    <w:div w:id="1396659836">
      <w:bodyDiv w:val="1"/>
      <w:marLeft w:val="0"/>
      <w:marRight w:val="0"/>
      <w:marTop w:val="0"/>
      <w:marBottom w:val="0"/>
      <w:divBdr>
        <w:top w:val="none" w:sz="0" w:space="0" w:color="auto"/>
        <w:left w:val="none" w:sz="0" w:space="0" w:color="auto"/>
        <w:bottom w:val="none" w:sz="0" w:space="0" w:color="auto"/>
        <w:right w:val="none" w:sz="0" w:space="0" w:color="auto"/>
      </w:divBdr>
    </w:div>
    <w:div w:id="1396664463">
      <w:bodyDiv w:val="1"/>
      <w:marLeft w:val="0"/>
      <w:marRight w:val="0"/>
      <w:marTop w:val="0"/>
      <w:marBottom w:val="0"/>
      <w:divBdr>
        <w:top w:val="none" w:sz="0" w:space="0" w:color="auto"/>
        <w:left w:val="none" w:sz="0" w:space="0" w:color="auto"/>
        <w:bottom w:val="none" w:sz="0" w:space="0" w:color="auto"/>
        <w:right w:val="none" w:sz="0" w:space="0" w:color="auto"/>
      </w:divBdr>
    </w:div>
    <w:div w:id="1396704322">
      <w:bodyDiv w:val="1"/>
      <w:marLeft w:val="0"/>
      <w:marRight w:val="0"/>
      <w:marTop w:val="0"/>
      <w:marBottom w:val="0"/>
      <w:divBdr>
        <w:top w:val="none" w:sz="0" w:space="0" w:color="auto"/>
        <w:left w:val="none" w:sz="0" w:space="0" w:color="auto"/>
        <w:bottom w:val="none" w:sz="0" w:space="0" w:color="auto"/>
        <w:right w:val="none" w:sz="0" w:space="0" w:color="auto"/>
      </w:divBdr>
    </w:div>
    <w:div w:id="1396708093">
      <w:bodyDiv w:val="1"/>
      <w:marLeft w:val="0"/>
      <w:marRight w:val="0"/>
      <w:marTop w:val="0"/>
      <w:marBottom w:val="0"/>
      <w:divBdr>
        <w:top w:val="none" w:sz="0" w:space="0" w:color="auto"/>
        <w:left w:val="none" w:sz="0" w:space="0" w:color="auto"/>
        <w:bottom w:val="none" w:sz="0" w:space="0" w:color="auto"/>
        <w:right w:val="none" w:sz="0" w:space="0" w:color="auto"/>
      </w:divBdr>
    </w:div>
    <w:div w:id="1396708999">
      <w:bodyDiv w:val="1"/>
      <w:marLeft w:val="0"/>
      <w:marRight w:val="0"/>
      <w:marTop w:val="0"/>
      <w:marBottom w:val="0"/>
      <w:divBdr>
        <w:top w:val="none" w:sz="0" w:space="0" w:color="auto"/>
        <w:left w:val="none" w:sz="0" w:space="0" w:color="auto"/>
        <w:bottom w:val="none" w:sz="0" w:space="0" w:color="auto"/>
        <w:right w:val="none" w:sz="0" w:space="0" w:color="auto"/>
      </w:divBdr>
    </w:div>
    <w:div w:id="1396709005">
      <w:bodyDiv w:val="1"/>
      <w:marLeft w:val="0"/>
      <w:marRight w:val="0"/>
      <w:marTop w:val="0"/>
      <w:marBottom w:val="0"/>
      <w:divBdr>
        <w:top w:val="none" w:sz="0" w:space="0" w:color="auto"/>
        <w:left w:val="none" w:sz="0" w:space="0" w:color="auto"/>
        <w:bottom w:val="none" w:sz="0" w:space="0" w:color="auto"/>
        <w:right w:val="none" w:sz="0" w:space="0" w:color="auto"/>
      </w:divBdr>
    </w:div>
    <w:div w:id="1396780647">
      <w:bodyDiv w:val="1"/>
      <w:marLeft w:val="0"/>
      <w:marRight w:val="0"/>
      <w:marTop w:val="0"/>
      <w:marBottom w:val="0"/>
      <w:divBdr>
        <w:top w:val="none" w:sz="0" w:space="0" w:color="auto"/>
        <w:left w:val="none" w:sz="0" w:space="0" w:color="auto"/>
        <w:bottom w:val="none" w:sz="0" w:space="0" w:color="auto"/>
        <w:right w:val="none" w:sz="0" w:space="0" w:color="auto"/>
      </w:divBdr>
    </w:div>
    <w:div w:id="1396781507">
      <w:bodyDiv w:val="1"/>
      <w:marLeft w:val="0"/>
      <w:marRight w:val="0"/>
      <w:marTop w:val="0"/>
      <w:marBottom w:val="0"/>
      <w:divBdr>
        <w:top w:val="none" w:sz="0" w:space="0" w:color="auto"/>
        <w:left w:val="none" w:sz="0" w:space="0" w:color="auto"/>
        <w:bottom w:val="none" w:sz="0" w:space="0" w:color="auto"/>
        <w:right w:val="none" w:sz="0" w:space="0" w:color="auto"/>
      </w:divBdr>
    </w:div>
    <w:div w:id="1396856903">
      <w:bodyDiv w:val="1"/>
      <w:marLeft w:val="0"/>
      <w:marRight w:val="0"/>
      <w:marTop w:val="0"/>
      <w:marBottom w:val="0"/>
      <w:divBdr>
        <w:top w:val="none" w:sz="0" w:space="0" w:color="auto"/>
        <w:left w:val="none" w:sz="0" w:space="0" w:color="auto"/>
        <w:bottom w:val="none" w:sz="0" w:space="0" w:color="auto"/>
        <w:right w:val="none" w:sz="0" w:space="0" w:color="auto"/>
      </w:divBdr>
    </w:div>
    <w:div w:id="1396902395">
      <w:bodyDiv w:val="1"/>
      <w:marLeft w:val="0"/>
      <w:marRight w:val="0"/>
      <w:marTop w:val="0"/>
      <w:marBottom w:val="0"/>
      <w:divBdr>
        <w:top w:val="none" w:sz="0" w:space="0" w:color="auto"/>
        <w:left w:val="none" w:sz="0" w:space="0" w:color="auto"/>
        <w:bottom w:val="none" w:sz="0" w:space="0" w:color="auto"/>
        <w:right w:val="none" w:sz="0" w:space="0" w:color="auto"/>
      </w:divBdr>
    </w:div>
    <w:div w:id="1396928147">
      <w:bodyDiv w:val="1"/>
      <w:marLeft w:val="0"/>
      <w:marRight w:val="0"/>
      <w:marTop w:val="0"/>
      <w:marBottom w:val="0"/>
      <w:divBdr>
        <w:top w:val="none" w:sz="0" w:space="0" w:color="auto"/>
        <w:left w:val="none" w:sz="0" w:space="0" w:color="auto"/>
        <w:bottom w:val="none" w:sz="0" w:space="0" w:color="auto"/>
        <w:right w:val="none" w:sz="0" w:space="0" w:color="auto"/>
      </w:divBdr>
    </w:div>
    <w:div w:id="1397045285">
      <w:bodyDiv w:val="1"/>
      <w:marLeft w:val="0"/>
      <w:marRight w:val="0"/>
      <w:marTop w:val="0"/>
      <w:marBottom w:val="0"/>
      <w:divBdr>
        <w:top w:val="none" w:sz="0" w:space="0" w:color="auto"/>
        <w:left w:val="none" w:sz="0" w:space="0" w:color="auto"/>
        <w:bottom w:val="none" w:sz="0" w:space="0" w:color="auto"/>
        <w:right w:val="none" w:sz="0" w:space="0" w:color="auto"/>
      </w:divBdr>
    </w:div>
    <w:div w:id="1397168106">
      <w:bodyDiv w:val="1"/>
      <w:marLeft w:val="0"/>
      <w:marRight w:val="0"/>
      <w:marTop w:val="0"/>
      <w:marBottom w:val="0"/>
      <w:divBdr>
        <w:top w:val="none" w:sz="0" w:space="0" w:color="auto"/>
        <w:left w:val="none" w:sz="0" w:space="0" w:color="auto"/>
        <w:bottom w:val="none" w:sz="0" w:space="0" w:color="auto"/>
        <w:right w:val="none" w:sz="0" w:space="0" w:color="auto"/>
      </w:divBdr>
    </w:div>
    <w:div w:id="1397363163">
      <w:bodyDiv w:val="1"/>
      <w:marLeft w:val="0"/>
      <w:marRight w:val="0"/>
      <w:marTop w:val="0"/>
      <w:marBottom w:val="0"/>
      <w:divBdr>
        <w:top w:val="none" w:sz="0" w:space="0" w:color="auto"/>
        <w:left w:val="none" w:sz="0" w:space="0" w:color="auto"/>
        <w:bottom w:val="none" w:sz="0" w:space="0" w:color="auto"/>
        <w:right w:val="none" w:sz="0" w:space="0" w:color="auto"/>
      </w:divBdr>
    </w:div>
    <w:div w:id="1397430629">
      <w:bodyDiv w:val="1"/>
      <w:marLeft w:val="0"/>
      <w:marRight w:val="0"/>
      <w:marTop w:val="0"/>
      <w:marBottom w:val="0"/>
      <w:divBdr>
        <w:top w:val="none" w:sz="0" w:space="0" w:color="auto"/>
        <w:left w:val="none" w:sz="0" w:space="0" w:color="auto"/>
        <w:bottom w:val="none" w:sz="0" w:space="0" w:color="auto"/>
        <w:right w:val="none" w:sz="0" w:space="0" w:color="auto"/>
      </w:divBdr>
    </w:div>
    <w:div w:id="1397431825">
      <w:bodyDiv w:val="1"/>
      <w:marLeft w:val="0"/>
      <w:marRight w:val="0"/>
      <w:marTop w:val="0"/>
      <w:marBottom w:val="0"/>
      <w:divBdr>
        <w:top w:val="none" w:sz="0" w:space="0" w:color="auto"/>
        <w:left w:val="none" w:sz="0" w:space="0" w:color="auto"/>
        <w:bottom w:val="none" w:sz="0" w:space="0" w:color="auto"/>
        <w:right w:val="none" w:sz="0" w:space="0" w:color="auto"/>
      </w:divBdr>
    </w:div>
    <w:div w:id="1397432888">
      <w:bodyDiv w:val="1"/>
      <w:marLeft w:val="0"/>
      <w:marRight w:val="0"/>
      <w:marTop w:val="0"/>
      <w:marBottom w:val="0"/>
      <w:divBdr>
        <w:top w:val="none" w:sz="0" w:space="0" w:color="auto"/>
        <w:left w:val="none" w:sz="0" w:space="0" w:color="auto"/>
        <w:bottom w:val="none" w:sz="0" w:space="0" w:color="auto"/>
        <w:right w:val="none" w:sz="0" w:space="0" w:color="auto"/>
      </w:divBdr>
    </w:div>
    <w:div w:id="1397512271">
      <w:bodyDiv w:val="1"/>
      <w:marLeft w:val="0"/>
      <w:marRight w:val="0"/>
      <w:marTop w:val="0"/>
      <w:marBottom w:val="0"/>
      <w:divBdr>
        <w:top w:val="none" w:sz="0" w:space="0" w:color="auto"/>
        <w:left w:val="none" w:sz="0" w:space="0" w:color="auto"/>
        <w:bottom w:val="none" w:sz="0" w:space="0" w:color="auto"/>
        <w:right w:val="none" w:sz="0" w:space="0" w:color="auto"/>
      </w:divBdr>
    </w:div>
    <w:div w:id="1397556858">
      <w:bodyDiv w:val="1"/>
      <w:marLeft w:val="0"/>
      <w:marRight w:val="0"/>
      <w:marTop w:val="0"/>
      <w:marBottom w:val="0"/>
      <w:divBdr>
        <w:top w:val="none" w:sz="0" w:space="0" w:color="auto"/>
        <w:left w:val="none" w:sz="0" w:space="0" w:color="auto"/>
        <w:bottom w:val="none" w:sz="0" w:space="0" w:color="auto"/>
        <w:right w:val="none" w:sz="0" w:space="0" w:color="auto"/>
      </w:divBdr>
    </w:div>
    <w:div w:id="1397587449">
      <w:bodyDiv w:val="1"/>
      <w:marLeft w:val="0"/>
      <w:marRight w:val="0"/>
      <w:marTop w:val="0"/>
      <w:marBottom w:val="0"/>
      <w:divBdr>
        <w:top w:val="none" w:sz="0" w:space="0" w:color="auto"/>
        <w:left w:val="none" w:sz="0" w:space="0" w:color="auto"/>
        <w:bottom w:val="none" w:sz="0" w:space="0" w:color="auto"/>
        <w:right w:val="none" w:sz="0" w:space="0" w:color="auto"/>
      </w:divBdr>
    </w:div>
    <w:div w:id="1397587845">
      <w:bodyDiv w:val="1"/>
      <w:marLeft w:val="0"/>
      <w:marRight w:val="0"/>
      <w:marTop w:val="0"/>
      <w:marBottom w:val="0"/>
      <w:divBdr>
        <w:top w:val="none" w:sz="0" w:space="0" w:color="auto"/>
        <w:left w:val="none" w:sz="0" w:space="0" w:color="auto"/>
        <w:bottom w:val="none" w:sz="0" w:space="0" w:color="auto"/>
        <w:right w:val="none" w:sz="0" w:space="0" w:color="auto"/>
      </w:divBdr>
    </w:div>
    <w:div w:id="1397630211">
      <w:bodyDiv w:val="1"/>
      <w:marLeft w:val="0"/>
      <w:marRight w:val="0"/>
      <w:marTop w:val="0"/>
      <w:marBottom w:val="0"/>
      <w:divBdr>
        <w:top w:val="none" w:sz="0" w:space="0" w:color="auto"/>
        <w:left w:val="none" w:sz="0" w:space="0" w:color="auto"/>
        <w:bottom w:val="none" w:sz="0" w:space="0" w:color="auto"/>
        <w:right w:val="none" w:sz="0" w:space="0" w:color="auto"/>
      </w:divBdr>
    </w:div>
    <w:div w:id="1397776276">
      <w:bodyDiv w:val="1"/>
      <w:marLeft w:val="0"/>
      <w:marRight w:val="0"/>
      <w:marTop w:val="0"/>
      <w:marBottom w:val="0"/>
      <w:divBdr>
        <w:top w:val="none" w:sz="0" w:space="0" w:color="auto"/>
        <w:left w:val="none" w:sz="0" w:space="0" w:color="auto"/>
        <w:bottom w:val="none" w:sz="0" w:space="0" w:color="auto"/>
        <w:right w:val="none" w:sz="0" w:space="0" w:color="auto"/>
      </w:divBdr>
    </w:div>
    <w:div w:id="1397822552">
      <w:bodyDiv w:val="1"/>
      <w:marLeft w:val="0"/>
      <w:marRight w:val="0"/>
      <w:marTop w:val="0"/>
      <w:marBottom w:val="0"/>
      <w:divBdr>
        <w:top w:val="none" w:sz="0" w:space="0" w:color="auto"/>
        <w:left w:val="none" w:sz="0" w:space="0" w:color="auto"/>
        <w:bottom w:val="none" w:sz="0" w:space="0" w:color="auto"/>
        <w:right w:val="none" w:sz="0" w:space="0" w:color="auto"/>
      </w:divBdr>
    </w:div>
    <w:div w:id="1397892552">
      <w:bodyDiv w:val="1"/>
      <w:marLeft w:val="0"/>
      <w:marRight w:val="0"/>
      <w:marTop w:val="0"/>
      <w:marBottom w:val="0"/>
      <w:divBdr>
        <w:top w:val="none" w:sz="0" w:space="0" w:color="auto"/>
        <w:left w:val="none" w:sz="0" w:space="0" w:color="auto"/>
        <w:bottom w:val="none" w:sz="0" w:space="0" w:color="auto"/>
        <w:right w:val="none" w:sz="0" w:space="0" w:color="auto"/>
      </w:divBdr>
    </w:div>
    <w:div w:id="1397894680">
      <w:bodyDiv w:val="1"/>
      <w:marLeft w:val="0"/>
      <w:marRight w:val="0"/>
      <w:marTop w:val="0"/>
      <w:marBottom w:val="0"/>
      <w:divBdr>
        <w:top w:val="none" w:sz="0" w:space="0" w:color="auto"/>
        <w:left w:val="none" w:sz="0" w:space="0" w:color="auto"/>
        <w:bottom w:val="none" w:sz="0" w:space="0" w:color="auto"/>
        <w:right w:val="none" w:sz="0" w:space="0" w:color="auto"/>
      </w:divBdr>
    </w:div>
    <w:div w:id="1397899986">
      <w:bodyDiv w:val="1"/>
      <w:marLeft w:val="0"/>
      <w:marRight w:val="0"/>
      <w:marTop w:val="0"/>
      <w:marBottom w:val="0"/>
      <w:divBdr>
        <w:top w:val="none" w:sz="0" w:space="0" w:color="auto"/>
        <w:left w:val="none" w:sz="0" w:space="0" w:color="auto"/>
        <w:bottom w:val="none" w:sz="0" w:space="0" w:color="auto"/>
        <w:right w:val="none" w:sz="0" w:space="0" w:color="auto"/>
      </w:divBdr>
    </w:div>
    <w:div w:id="1398094973">
      <w:bodyDiv w:val="1"/>
      <w:marLeft w:val="0"/>
      <w:marRight w:val="0"/>
      <w:marTop w:val="0"/>
      <w:marBottom w:val="0"/>
      <w:divBdr>
        <w:top w:val="none" w:sz="0" w:space="0" w:color="auto"/>
        <w:left w:val="none" w:sz="0" w:space="0" w:color="auto"/>
        <w:bottom w:val="none" w:sz="0" w:space="0" w:color="auto"/>
        <w:right w:val="none" w:sz="0" w:space="0" w:color="auto"/>
      </w:divBdr>
    </w:div>
    <w:div w:id="1398280221">
      <w:bodyDiv w:val="1"/>
      <w:marLeft w:val="0"/>
      <w:marRight w:val="0"/>
      <w:marTop w:val="0"/>
      <w:marBottom w:val="0"/>
      <w:divBdr>
        <w:top w:val="none" w:sz="0" w:space="0" w:color="auto"/>
        <w:left w:val="none" w:sz="0" w:space="0" w:color="auto"/>
        <w:bottom w:val="none" w:sz="0" w:space="0" w:color="auto"/>
        <w:right w:val="none" w:sz="0" w:space="0" w:color="auto"/>
      </w:divBdr>
    </w:div>
    <w:div w:id="1398280834">
      <w:bodyDiv w:val="1"/>
      <w:marLeft w:val="0"/>
      <w:marRight w:val="0"/>
      <w:marTop w:val="0"/>
      <w:marBottom w:val="0"/>
      <w:divBdr>
        <w:top w:val="none" w:sz="0" w:space="0" w:color="auto"/>
        <w:left w:val="none" w:sz="0" w:space="0" w:color="auto"/>
        <w:bottom w:val="none" w:sz="0" w:space="0" w:color="auto"/>
        <w:right w:val="none" w:sz="0" w:space="0" w:color="auto"/>
      </w:divBdr>
    </w:div>
    <w:div w:id="1398435850">
      <w:bodyDiv w:val="1"/>
      <w:marLeft w:val="0"/>
      <w:marRight w:val="0"/>
      <w:marTop w:val="0"/>
      <w:marBottom w:val="0"/>
      <w:divBdr>
        <w:top w:val="none" w:sz="0" w:space="0" w:color="auto"/>
        <w:left w:val="none" w:sz="0" w:space="0" w:color="auto"/>
        <w:bottom w:val="none" w:sz="0" w:space="0" w:color="auto"/>
        <w:right w:val="none" w:sz="0" w:space="0" w:color="auto"/>
      </w:divBdr>
    </w:div>
    <w:div w:id="1398438495">
      <w:bodyDiv w:val="1"/>
      <w:marLeft w:val="0"/>
      <w:marRight w:val="0"/>
      <w:marTop w:val="0"/>
      <w:marBottom w:val="0"/>
      <w:divBdr>
        <w:top w:val="none" w:sz="0" w:space="0" w:color="auto"/>
        <w:left w:val="none" w:sz="0" w:space="0" w:color="auto"/>
        <w:bottom w:val="none" w:sz="0" w:space="0" w:color="auto"/>
        <w:right w:val="none" w:sz="0" w:space="0" w:color="auto"/>
      </w:divBdr>
    </w:div>
    <w:div w:id="1398622998">
      <w:bodyDiv w:val="1"/>
      <w:marLeft w:val="0"/>
      <w:marRight w:val="0"/>
      <w:marTop w:val="0"/>
      <w:marBottom w:val="0"/>
      <w:divBdr>
        <w:top w:val="none" w:sz="0" w:space="0" w:color="auto"/>
        <w:left w:val="none" w:sz="0" w:space="0" w:color="auto"/>
        <w:bottom w:val="none" w:sz="0" w:space="0" w:color="auto"/>
        <w:right w:val="none" w:sz="0" w:space="0" w:color="auto"/>
      </w:divBdr>
    </w:div>
    <w:div w:id="1398629580">
      <w:bodyDiv w:val="1"/>
      <w:marLeft w:val="0"/>
      <w:marRight w:val="0"/>
      <w:marTop w:val="0"/>
      <w:marBottom w:val="0"/>
      <w:divBdr>
        <w:top w:val="none" w:sz="0" w:space="0" w:color="auto"/>
        <w:left w:val="none" w:sz="0" w:space="0" w:color="auto"/>
        <w:bottom w:val="none" w:sz="0" w:space="0" w:color="auto"/>
        <w:right w:val="none" w:sz="0" w:space="0" w:color="auto"/>
      </w:divBdr>
    </w:div>
    <w:div w:id="1398629971">
      <w:bodyDiv w:val="1"/>
      <w:marLeft w:val="0"/>
      <w:marRight w:val="0"/>
      <w:marTop w:val="0"/>
      <w:marBottom w:val="0"/>
      <w:divBdr>
        <w:top w:val="none" w:sz="0" w:space="0" w:color="auto"/>
        <w:left w:val="none" w:sz="0" w:space="0" w:color="auto"/>
        <w:bottom w:val="none" w:sz="0" w:space="0" w:color="auto"/>
        <w:right w:val="none" w:sz="0" w:space="0" w:color="auto"/>
      </w:divBdr>
    </w:div>
    <w:div w:id="1398747726">
      <w:bodyDiv w:val="1"/>
      <w:marLeft w:val="0"/>
      <w:marRight w:val="0"/>
      <w:marTop w:val="0"/>
      <w:marBottom w:val="0"/>
      <w:divBdr>
        <w:top w:val="none" w:sz="0" w:space="0" w:color="auto"/>
        <w:left w:val="none" w:sz="0" w:space="0" w:color="auto"/>
        <w:bottom w:val="none" w:sz="0" w:space="0" w:color="auto"/>
        <w:right w:val="none" w:sz="0" w:space="0" w:color="auto"/>
      </w:divBdr>
    </w:div>
    <w:div w:id="1398820586">
      <w:bodyDiv w:val="1"/>
      <w:marLeft w:val="0"/>
      <w:marRight w:val="0"/>
      <w:marTop w:val="0"/>
      <w:marBottom w:val="0"/>
      <w:divBdr>
        <w:top w:val="none" w:sz="0" w:space="0" w:color="auto"/>
        <w:left w:val="none" w:sz="0" w:space="0" w:color="auto"/>
        <w:bottom w:val="none" w:sz="0" w:space="0" w:color="auto"/>
        <w:right w:val="none" w:sz="0" w:space="0" w:color="auto"/>
      </w:divBdr>
    </w:div>
    <w:div w:id="1398895640">
      <w:bodyDiv w:val="1"/>
      <w:marLeft w:val="0"/>
      <w:marRight w:val="0"/>
      <w:marTop w:val="0"/>
      <w:marBottom w:val="0"/>
      <w:divBdr>
        <w:top w:val="none" w:sz="0" w:space="0" w:color="auto"/>
        <w:left w:val="none" w:sz="0" w:space="0" w:color="auto"/>
        <w:bottom w:val="none" w:sz="0" w:space="0" w:color="auto"/>
        <w:right w:val="none" w:sz="0" w:space="0" w:color="auto"/>
      </w:divBdr>
    </w:div>
    <w:div w:id="1398896546">
      <w:bodyDiv w:val="1"/>
      <w:marLeft w:val="0"/>
      <w:marRight w:val="0"/>
      <w:marTop w:val="0"/>
      <w:marBottom w:val="0"/>
      <w:divBdr>
        <w:top w:val="none" w:sz="0" w:space="0" w:color="auto"/>
        <w:left w:val="none" w:sz="0" w:space="0" w:color="auto"/>
        <w:bottom w:val="none" w:sz="0" w:space="0" w:color="auto"/>
        <w:right w:val="none" w:sz="0" w:space="0" w:color="auto"/>
      </w:divBdr>
    </w:div>
    <w:div w:id="1398939770">
      <w:bodyDiv w:val="1"/>
      <w:marLeft w:val="0"/>
      <w:marRight w:val="0"/>
      <w:marTop w:val="0"/>
      <w:marBottom w:val="0"/>
      <w:divBdr>
        <w:top w:val="none" w:sz="0" w:space="0" w:color="auto"/>
        <w:left w:val="none" w:sz="0" w:space="0" w:color="auto"/>
        <w:bottom w:val="none" w:sz="0" w:space="0" w:color="auto"/>
        <w:right w:val="none" w:sz="0" w:space="0" w:color="auto"/>
      </w:divBdr>
    </w:div>
    <w:div w:id="1399128094">
      <w:bodyDiv w:val="1"/>
      <w:marLeft w:val="0"/>
      <w:marRight w:val="0"/>
      <w:marTop w:val="0"/>
      <w:marBottom w:val="0"/>
      <w:divBdr>
        <w:top w:val="none" w:sz="0" w:space="0" w:color="auto"/>
        <w:left w:val="none" w:sz="0" w:space="0" w:color="auto"/>
        <w:bottom w:val="none" w:sz="0" w:space="0" w:color="auto"/>
        <w:right w:val="none" w:sz="0" w:space="0" w:color="auto"/>
      </w:divBdr>
    </w:div>
    <w:div w:id="1399206583">
      <w:bodyDiv w:val="1"/>
      <w:marLeft w:val="0"/>
      <w:marRight w:val="0"/>
      <w:marTop w:val="0"/>
      <w:marBottom w:val="0"/>
      <w:divBdr>
        <w:top w:val="none" w:sz="0" w:space="0" w:color="auto"/>
        <w:left w:val="none" w:sz="0" w:space="0" w:color="auto"/>
        <w:bottom w:val="none" w:sz="0" w:space="0" w:color="auto"/>
        <w:right w:val="none" w:sz="0" w:space="0" w:color="auto"/>
      </w:divBdr>
    </w:div>
    <w:div w:id="1399279353">
      <w:bodyDiv w:val="1"/>
      <w:marLeft w:val="0"/>
      <w:marRight w:val="0"/>
      <w:marTop w:val="0"/>
      <w:marBottom w:val="0"/>
      <w:divBdr>
        <w:top w:val="none" w:sz="0" w:space="0" w:color="auto"/>
        <w:left w:val="none" w:sz="0" w:space="0" w:color="auto"/>
        <w:bottom w:val="none" w:sz="0" w:space="0" w:color="auto"/>
        <w:right w:val="none" w:sz="0" w:space="0" w:color="auto"/>
      </w:divBdr>
    </w:div>
    <w:div w:id="1399400169">
      <w:bodyDiv w:val="1"/>
      <w:marLeft w:val="0"/>
      <w:marRight w:val="0"/>
      <w:marTop w:val="0"/>
      <w:marBottom w:val="0"/>
      <w:divBdr>
        <w:top w:val="none" w:sz="0" w:space="0" w:color="auto"/>
        <w:left w:val="none" w:sz="0" w:space="0" w:color="auto"/>
        <w:bottom w:val="none" w:sz="0" w:space="0" w:color="auto"/>
        <w:right w:val="none" w:sz="0" w:space="0" w:color="auto"/>
      </w:divBdr>
    </w:div>
    <w:div w:id="1399471871">
      <w:bodyDiv w:val="1"/>
      <w:marLeft w:val="0"/>
      <w:marRight w:val="0"/>
      <w:marTop w:val="0"/>
      <w:marBottom w:val="0"/>
      <w:divBdr>
        <w:top w:val="none" w:sz="0" w:space="0" w:color="auto"/>
        <w:left w:val="none" w:sz="0" w:space="0" w:color="auto"/>
        <w:bottom w:val="none" w:sz="0" w:space="0" w:color="auto"/>
        <w:right w:val="none" w:sz="0" w:space="0" w:color="auto"/>
      </w:divBdr>
    </w:div>
    <w:div w:id="1399474923">
      <w:bodyDiv w:val="1"/>
      <w:marLeft w:val="0"/>
      <w:marRight w:val="0"/>
      <w:marTop w:val="0"/>
      <w:marBottom w:val="0"/>
      <w:divBdr>
        <w:top w:val="none" w:sz="0" w:space="0" w:color="auto"/>
        <w:left w:val="none" w:sz="0" w:space="0" w:color="auto"/>
        <w:bottom w:val="none" w:sz="0" w:space="0" w:color="auto"/>
        <w:right w:val="none" w:sz="0" w:space="0" w:color="auto"/>
      </w:divBdr>
    </w:div>
    <w:div w:id="1399476665">
      <w:bodyDiv w:val="1"/>
      <w:marLeft w:val="0"/>
      <w:marRight w:val="0"/>
      <w:marTop w:val="0"/>
      <w:marBottom w:val="0"/>
      <w:divBdr>
        <w:top w:val="none" w:sz="0" w:space="0" w:color="auto"/>
        <w:left w:val="none" w:sz="0" w:space="0" w:color="auto"/>
        <w:bottom w:val="none" w:sz="0" w:space="0" w:color="auto"/>
        <w:right w:val="none" w:sz="0" w:space="0" w:color="auto"/>
      </w:divBdr>
    </w:div>
    <w:div w:id="1399476708">
      <w:bodyDiv w:val="1"/>
      <w:marLeft w:val="0"/>
      <w:marRight w:val="0"/>
      <w:marTop w:val="0"/>
      <w:marBottom w:val="0"/>
      <w:divBdr>
        <w:top w:val="none" w:sz="0" w:space="0" w:color="auto"/>
        <w:left w:val="none" w:sz="0" w:space="0" w:color="auto"/>
        <w:bottom w:val="none" w:sz="0" w:space="0" w:color="auto"/>
        <w:right w:val="none" w:sz="0" w:space="0" w:color="auto"/>
      </w:divBdr>
    </w:div>
    <w:div w:id="1399549524">
      <w:bodyDiv w:val="1"/>
      <w:marLeft w:val="0"/>
      <w:marRight w:val="0"/>
      <w:marTop w:val="0"/>
      <w:marBottom w:val="0"/>
      <w:divBdr>
        <w:top w:val="none" w:sz="0" w:space="0" w:color="auto"/>
        <w:left w:val="none" w:sz="0" w:space="0" w:color="auto"/>
        <w:bottom w:val="none" w:sz="0" w:space="0" w:color="auto"/>
        <w:right w:val="none" w:sz="0" w:space="0" w:color="auto"/>
      </w:divBdr>
    </w:div>
    <w:div w:id="1399674483">
      <w:bodyDiv w:val="1"/>
      <w:marLeft w:val="0"/>
      <w:marRight w:val="0"/>
      <w:marTop w:val="0"/>
      <w:marBottom w:val="0"/>
      <w:divBdr>
        <w:top w:val="none" w:sz="0" w:space="0" w:color="auto"/>
        <w:left w:val="none" w:sz="0" w:space="0" w:color="auto"/>
        <w:bottom w:val="none" w:sz="0" w:space="0" w:color="auto"/>
        <w:right w:val="none" w:sz="0" w:space="0" w:color="auto"/>
      </w:divBdr>
    </w:div>
    <w:div w:id="1399785863">
      <w:bodyDiv w:val="1"/>
      <w:marLeft w:val="0"/>
      <w:marRight w:val="0"/>
      <w:marTop w:val="0"/>
      <w:marBottom w:val="0"/>
      <w:divBdr>
        <w:top w:val="none" w:sz="0" w:space="0" w:color="auto"/>
        <w:left w:val="none" w:sz="0" w:space="0" w:color="auto"/>
        <w:bottom w:val="none" w:sz="0" w:space="0" w:color="auto"/>
        <w:right w:val="none" w:sz="0" w:space="0" w:color="auto"/>
      </w:divBdr>
    </w:div>
    <w:div w:id="1399792541">
      <w:bodyDiv w:val="1"/>
      <w:marLeft w:val="0"/>
      <w:marRight w:val="0"/>
      <w:marTop w:val="0"/>
      <w:marBottom w:val="0"/>
      <w:divBdr>
        <w:top w:val="none" w:sz="0" w:space="0" w:color="auto"/>
        <w:left w:val="none" w:sz="0" w:space="0" w:color="auto"/>
        <w:bottom w:val="none" w:sz="0" w:space="0" w:color="auto"/>
        <w:right w:val="none" w:sz="0" w:space="0" w:color="auto"/>
      </w:divBdr>
    </w:div>
    <w:div w:id="1399860927">
      <w:bodyDiv w:val="1"/>
      <w:marLeft w:val="0"/>
      <w:marRight w:val="0"/>
      <w:marTop w:val="0"/>
      <w:marBottom w:val="0"/>
      <w:divBdr>
        <w:top w:val="none" w:sz="0" w:space="0" w:color="auto"/>
        <w:left w:val="none" w:sz="0" w:space="0" w:color="auto"/>
        <w:bottom w:val="none" w:sz="0" w:space="0" w:color="auto"/>
        <w:right w:val="none" w:sz="0" w:space="0" w:color="auto"/>
      </w:divBdr>
    </w:div>
    <w:div w:id="1399943098">
      <w:bodyDiv w:val="1"/>
      <w:marLeft w:val="0"/>
      <w:marRight w:val="0"/>
      <w:marTop w:val="0"/>
      <w:marBottom w:val="0"/>
      <w:divBdr>
        <w:top w:val="none" w:sz="0" w:space="0" w:color="auto"/>
        <w:left w:val="none" w:sz="0" w:space="0" w:color="auto"/>
        <w:bottom w:val="none" w:sz="0" w:space="0" w:color="auto"/>
        <w:right w:val="none" w:sz="0" w:space="0" w:color="auto"/>
      </w:divBdr>
    </w:div>
    <w:div w:id="1399985100">
      <w:bodyDiv w:val="1"/>
      <w:marLeft w:val="0"/>
      <w:marRight w:val="0"/>
      <w:marTop w:val="0"/>
      <w:marBottom w:val="0"/>
      <w:divBdr>
        <w:top w:val="none" w:sz="0" w:space="0" w:color="auto"/>
        <w:left w:val="none" w:sz="0" w:space="0" w:color="auto"/>
        <w:bottom w:val="none" w:sz="0" w:space="0" w:color="auto"/>
        <w:right w:val="none" w:sz="0" w:space="0" w:color="auto"/>
      </w:divBdr>
    </w:div>
    <w:div w:id="1400134582">
      <w:bodyDiv w:val="1"/>
      <w:marLeft w:val="0"/>
      <w:marRight w:val="0"/>
      <w:marTop w:val="0"/>
      <w:marBottom w:val="0"/>
      <w:divBdr>
        <w:top w:val="none" w:sz="0" w:space="0" w:color="auto"/>
        <w:left w:val="none" w:sz="0" w:space="0" w:color="auto"/>
        <w:bottom w:val="none" w:sz="0" w:space="0" w:color="auto"/>
        <w:right w:val="none" w:sz="0" w:space="0" w:color="auto"/>
      </w:divBdr>
    </w:div>
    <w:div w:id="1400251411">
      <w:bodyDiv w:val="1"/>
      <w:marLeft w:val="0"/>
      <w:marRight w:val="0"/>
      <w:marTop w:val="0"/>
      <w:marBottom w:val="0"/>
      <w:divBdr>
        <w:top w:val="none" w:sz="0" w:space="0" w:color="auto"/>
        <w:left w:val="none" w:sz="0" w:space="0" w:color="auto"/>
        <w:bottom w:val="none" w:sz="0" w:space="0" w:color="auto"/>
        <w:right w:val="none" w:sz="0" w:space="0" w:color="auto"/>
      </w:divBdr>
    </w:div>
    <w:div w:id="1400327872">
      <w:bodyDiv w:val="1"/>
      <w:marLeft w:val="0"/>
      <w:marRight w:val="0"/>
      <w:marTop w:val="0"/>
      <w:marBottom w:val="0"/>
      <w:divBdr>
        <w:top w:val="none" w:sz="0" w:space="0" w:color="auto"/>
        <w:left w:val="none" w:sz="0" w:space="0" w:color="auto"/>
        <w:bottom w:val="none" w:sz="0" w:space="0" w:color="auto"/>
        <w:right w:val="none" w:sz="0" w:space="0" w:color="auto"/>
      </w:divBdr>
    </w:div>
    <w:div w:id="1400397865">
      <w:bodyDiv w:val="1"/>
      <w:marLeft w:val="0"/>
      <w:marRight w:val="0"/>
      <w:marTop w:val="0"/>
      <w:marBottom w:val="0"/>
      <w:divBdr>
        <w:top w:val="none" w:sz="0" w:space="0" w:color="auto"/>
        <w:left w:val="none" w:sz="0" w:space="0" w:color="auto"/>
        <w:bottom w:val="none" w:sz="0" w:space="0" w:color="auto"/>
        <w:right w:val="none" w:sz="0" w:space="0" w:color="auto"/>
      </w:divBdr>
    </w:div>
    <w:div w:id="1400398868">
      <w:bodyDiv w:val="1"/>
      <w:marLeft w:val="0"/>
      <w:marRight w:val="0"/>
      <w:marTop w:val="0"/>
      <w:marBottom w:val="0"/>
      <w:divBdr>
        <w:top w:val="none" w:sz="0" w:space="0" w:color="auto"/>
        <w:left w:val="none" w:sz="0" w:space="0" w:color="auto"/>
        <w:bottom w:val="none" w:sz="0" w:space="0" w:color="auto"/>
        <w:right w:val="none" w:sz="0" w:space="0" w:color="auto"/>
      </w:divBdr>
    </w:div>
    <w:div w:id="1400445203">
      <w:bodyDiv w:val="1"/>
      <w:marLeft w:val="0"/>
      <w:marRight w:val="0"/>
      <w:marTop w:val="0"/>
      <w:marBottom w:val="0"/>
      <w:divBdr>
        <w:top w:val="none" w:sz="0" w:space="0" w:color="auto"/>
        <w:left w:val="none" w:sz="0" w:space="0" w:color="auto"/>
        <w:bottom w:val="none" w:sz="0" w:space="0" w:color="auto"/>
        <w:right w:val="none" w:sz="0" w:space="0" w:color="auto"/>
      </w:divBdr>
    </w:div>
    <w:div w:id="1400516059">
      <w:bodyDiv w:val="1"/>
      <w:marLeft w:val="0"/>
      <w:marRight w:val="0"/>
      <w:marTop w:val="0"/>
      <w:marBottom w:val="0"/>
      <w:divBdr>
        <w:top w:val="none" w:sz="0" w:space="0" w:color="auto"/>
        <w:left w:val="none" w:sz="0" w:space="0" w:color="auto"/>
        <w:bottom w:val="none" w:sz="0" w:space="0" w:color="auto"/>
        <w:right w:val="none" w:sz="0" w:space="0" w:color="auto"/>
      </w:divBdr>
    </w:div>
    <w:div w:id="1400784700">
      <w:bodyDiv w:val="1"/>
      <w:marLeft w:val="0"/>
      <w:marRight w:val="0"/>
      <w:marTop w:val="0"/>
      <w:marBottom w:val="0"/>
      <w:divBdr>
        <w:top w:val="none" w:sz="0" w:space="0" w:color="auto"/>
        <w:left w:val="none" w:sz="0" w:space="0" w:color="auto"/>
        <w:bottom w:val="none" w:sz="0" w:space="0" w:color="auto"/>
        <w:right w:val="none" w:sz="0" w:space="0" w:color="auto"/>
      </w:divBdr>
    </w:div>
    <w:div w:id="1400787081">
      <w:bodyDiv w:val="1"/>
      <w:marLeft w:val="0"/>
      <w:marRight w:val="0"/>
      <w:marTop w:val="0"/>
      <w:marBottom w:val="0"/>
      <w:divBdr>
        <w:top w:val="none" w:sz="0" w:space="0" w:color="auto"/>
        <w:left w:val="none" w:sz="0" w:space="0" w:color="auto"/>
        <w:bottom w:val="none" w:sz="0" w:space="0" w:color="auto"/>
        <w:right w:val="none" w:sz="0" w:space="0" w:color="auto"/>
      </w:divBdr>
    </w:div>
    <w:div w:id="1400788525">
      <w:bodyDiv w:val="1"/>
      <w:marLeft w:val="0"/>
      <w:marRight w:val="0"/>
      <w:marTop w:val="0"/>
      <w:marBottom w:val="0"/>
      <w:divBdr>
        <w:top w:val="none" w:sz="0" w:space="0" w:color="auto"/>
        <w:left w:val="none" w:sz="0" w:space="0" w:color="auto"/>
        <w:bottom w:val="none" w:sz="0" w:space="0" w:color="auto"/>
        <w:right w:val="none" w:sz="0" w:space="0" w:color="auto"/>
      </w:divBdr>
    </w:div>
    <w:div w:id="1400901651">
      <w:bodyDiv w:val="1"/>
      <w:marLeft w:val="0"/>
      <w:marRight w:val="0"/>
      <w:marTop w:val="0"/>
      <w:marBottom w:val="0"/>
      <w:divBdr>
        <w:top w:val="none" w:sz="0" w:space="0" w:color="auto"/>
        <w:left w:val="none" w:sz="0" w:space="0" w:color="auto"/>
        <w:bottom w:val="none" w:sz="0" w:space="0" w:color="auto"/>
        <w:right w:val="none" w:sz="0" w:space="0" w:color="auto"/>
      </w:divBdr>
    </w:div>
    <w:div w:id="1400982956">
      <w:bodyDiv w:val="1"/>
      <w:marLeft w:val="0"/>
      <w:marRight w:val="0"/>
      <w:marTop w:val="0"/>
      <w:marBottom w:val="0"/>
      <w:divBdr>
        <w:top w:val="none" w:sz="0" w:space="0" w:color="auto"/>
        <w:left w:val="none" w:sz="0" w:space="0" w:color="auto"/>
        <w:bottom w:val="none" w:sz="0" w:space="0" w:color="auto"/>
        <w:right w:val="none" w:sz="0" w:space="0" w:color="auto"/>
      </w:divBdr>
    </w:div>
    <w:div w:id="1400982976">
      <w:bodyDiv w:val="1"/>
      <w:marLeft w:val="0"/>
      <w:marRight w:val="0"/>
      <w:marTop w:val="0"/>
      <w:marBottom w:val="0"/>
      <w:divBdr>
        <w:top w:val="none" w:sz="0" w:space="0" w:color="auto"/>
        <w:left w:val="none" w:sz="0" w:space="0" w:color="auto"/>
        <w:bottom w:val="none" w:sz="0" w:space="0" w:color="auto"/>
        <w:right w:val="none" w:sz="0" w:space="0" w:color="auto"/>
      </w:divBdr>
    </w:div>
    <w:div w:id="1401056769">
      <w:bodyDiv w:val="1"/>
      <w:marLeft w:val="0"/>
      <w:marRight w:val="0"/>
      <w:marTop w:val="0"/>
      <w:marBottom w:val="0"/>
      <w:divBdr>
        <w:top w:val="none" w:sz="0" w:space="0" w:color="auto"/>
        <w:left w:val="none" w:sz="0" w:space="0" w:color="auto"/>
        <w:bottom w:val="none" w:sz="0" w:space="0" w:color="auto"/>
        <w:right w:val="none" w:sz="0" w:space="0" w:color="auto"/>
      </w:divBdr>
    </w:div>
    <w:div w:id="1401059960">
      <w:bodyDiv w:val="1"/>
      <w:marLeft w:val="0"/>
      <w:marRight w:val="0"/>
      <w:marTop w:val="0"/>
      <w:marBottom w:val="0"/>
      <w:divBdr>
        <w:top w:val="none" w:sz="0" w:space="0" w:color="auto"/>
        <w:left w:val="none" w:sz="0" w:space="0" w:color="auto"/>
        <w:bottom w:val="none" w:sz="0" w:space="0" w:color="auto"/>
        <w:right w:val="none" w:sz="0" w:space="0" w:color="auto"/>
      </w:divBdr>
    </w:div>
    <w:div w:id="1401168788">
      <w:bodyDiv w:val="1"/>
      <w:marLeft w:val="0"/>
      <w:marRight w:val="0"/>
      <w:marTop w:val="0"/>
      <w:marBottom w:val="0"/>
      <w:divBdr>
        <w:top w:val="none" w:sz="0" w:space="0" w:color="auto"/>
        <w:left w:val="none" w:sz="0" w:space="0" w:color="auto"/>
        <w:bottom w:val="none" w:sz="0" w:space="0" w:color="auto"/>
        <w:right w:val="none" w:sz="0" w:space="0" w:color="auto"/>
      </w:divBdr>
    </w:div>
    <w:div w:id="1401173952">
      <w:bodyDiv w:val="1"/>
      <w:marLeft w:val="0"/>
      <w:marRight w:val="0"/>
      <w:marTop w:val="0"/>
      <w:marBottom w:val="0"/>
      <w:divBdr>
        <w:top w:val="none" w:sz="0" w:space="0" w:color="auto"/>
        <w:left w:val="none" w:sz="0" w:space="0" w:color="auto"/>
        <w:bottom w:val="none" w:sz="0" w:space="0" w:color="auto"/>
        <w:right w:val="none" w:sz="0" w:space="0" w:color="auto"/>
      </w:divBdr>
    </w:div>
    <w:div w:id="1401244191">
      <w:bodyDiv w:val="1"/>
      <w:marLeft w:val="0"/>
      <w:marRight w:val="0"/>
      <w:marTop w:val="0"/>
      <w:marBottom w:val="0"/>
      <w:divBdr>
        <w:top w:val="none" w:sz="0" w:space="0" w:color="auto"/>
        <w:left w:val="none" w:sz="0" w:space="0" w:color="auto"/>
        <w:bottom w:val="none" w:sz="0" w:space="0" w:color="auto"/>
        <w:right w:val="none" w:sz="0" w:space="0" w:color="auto"/>
      </w:divBdr>
    </w:div>
    <w:div w:id="1401290879">
      <w:bodyDiv w:val="1"/>
      <w:marLeft w:val="0"/>
      <w:marRight w:val="0"/>
      <w:marTop w:val="0"/>
      <w:marBottom w:val="0"/>
      <w:divBdr>
        <w:top w:val="none" w:sz="0" w:space="0" w:color="auto"/>
        <w:left w:val="none" w:sz="0" w:space="0" w:color="auto"/>
        <w:bottom w:val="none" w:sz="0" w:space="0" w:color="auto"/>
        <w:right w:val="none" w:sz="0" w:space="0" w:color="auto"/>
      </w:divBdr>
    </w:div>
    <w:div w:id="1401291406">
      <w:bodyDiv w:val="1"/>
      <w:marLeft w:val="0"/>
      <w:marRight w:val="0"/>
      <w:marTop w:val="0"/>
      <w:marBottom w:val="0"/>
      <w:divBdr>
        <w:top w:val="none" w:sz="0" w:space="0" w:color="auto"/>
        <w:left w:val="none" w:sz="0" w:space="0" w:color="auto"/>
        <w:bottom w:val="none" w:sz="0" w:space="0" w:color="auto"/>
        <w:right w:val="none" w:sz="0" w:space="0" w:color="auto"/>
      </w:divBdr>
    </w:div>
    <w:div w:id="1401488637">
      <w:bodyDiv w:val="1"/>
      <w:marLeft w:val="0"/>
      <w:marRight w:val="0"/>
      <w:marTop w:val="0"/>
      <w:marBottom w:val="0"/>
      <w:divBdr>
        <w:top w:val="none" w:sz="0" w:space="0" w:color="auto"/>
        <w:left w:val="none" w:sz="0" w:space="0" w:color="auto"/>
        <w:bottom w:val="none" w:sz="0" w:space="0" w:color="auto"/>
        <w:right w:val="none" w:sz="0" w:space="0" w:color="auto"/>
      </w:divBdr>
    </w:div>
    <w:div w:id="1401518108">
      <w:bodyDiv w:val="1"/>
      <w:marLeft w:val="0"/>
      <w:marRight w:val="0"/>
      <w:marTop w:val="0"/>
      <w:marBottom w:val="0"/>
      <w:divBdr>
        <w:top w:val="none" w:sz="0" w:space="0" w:color="auto"/>
        <w:left w:val="none" w:sz="0" w:space="0" w:color="auto"/>
        <w:bottom w:val="none" w:sz="0" w:space="0" w:color="auto"/>
        <w:right w:val="none" w:sz="0" w:space="0" w:color="auto"/>
      </w:divBdr>
    </w:div>
    <w:div w:id="1401518220">
      <w:bodyDiv w:val="1"/>
      <w:marLeft w:val="0"/>
      <w:marRight w:val="0"/>
      <w:marTop w:val="0"/>
      <w:marBottom w:val="0"/>
      <w:divBdr>
        <w:top w:val="none" w:sz="0" w:space="0" w:color="auto"/>
        <w:left w:val="none" w:sz="0" w:space="0" w:color="auto"/>
        <w:bottom w:val="none" w:sz="0" w:space="0" w:color="auto"/>
        <w:right w:val="none" w:sz="0" w:space="0" w:color="auto"/>
      </w:divBdr>
    </w:div>
    <w:div w:id="1401640156">
      <w:bodyDiv w:val="1"/>
      <w:marLeft w:val="0"/>
      <w:marRight w:val="0"/>
      <w:marTop w:val="0"/>
      <w:marBottom w:val="0"/>
      <w:divBdr>
        <w:top w:val="none" w:sz="0" w:space="0" w:color="auto"/>
        <w:left w:val="none" w:sz="0" w:space="0" w:color="auto"/>
        <w:bottom w:val="none" w:sz="0" w:space="0" w:color="auto"/>
        <w:right w:val="none" w:sz="0" w:space="0" w:color="auto"/>
      </w:divBdr>
    </w:div>
    <w:div w:id="1401756751">
      <w:bodyDiv w:val="1"/>
      <w:marLeft w:val="0"/>
      <w:marRight w:val="0"/>
      <w:marTop w:val="0"/>
      <w:marBottom w:val="0"/>
      <w:divBdr>
        <w:top w:val="none" w:sz="0" w:space="0" w:color="auto"/>
        <w:left w:val="none" w:sz="0" w:space="0" w:color="auto"/>
        <w:bottom w:val="none" w:sz="0" w:space="0" w:color="auto"/>
        <w:right w:val="none" w:sz="0" w:space="0" w:color="auto"/>
      </w:divBdr>
    </w:div>
    <w:div w:id="1401908820">
      <w:bodyDiv w:val="1"/>
      <w:marLeft w:val="0"/>
      <w:marRight w:val="0"/>
      <w:marTop w:val="0"/>
      <w:marBottom w:val="0"/>
      <w:divBdr>
        <w:top w:val="none" w:sz="0" w:space="0" w:color="auto"/>
        <w:left w:val="none" w:sz="0" w:space="0" w:color="auto"/>
        <w:bottom w:val="none" w:sz="0" w:space="0" w:color="auto"/>
        <w:right w:val="none" w:sz="0" w:space="0" w:color="auto"/>
      </w:divBdr>
    </w:div>
    <w:div w:id="1401948812">
      <w:bodyDiv w:val="1"/>
      <w:marLeft w:val="0"/>
      <w:marRight w:val="0"/>
      <w:marTop w:val="0"/>
      <w:marBottom w:val="0"/>
      <w:divBdr>
        <w:top w:val="none" w:sz="0" w:space="0" w:color="auto"/>
        <w:left w:val="none" w:sz="0" w:space="0" w:color="auto"/>
        <w:bottom w:val="none" w:sz="0" w:space="0" w:color="auto"/>
        <w:right w:val="none" w:sz="0" w:space="0" w:color="auto"/>
      </w:divBdr>
    </w:div>
    <w:div w:id="1401975449">
      <w:bodyDiv w:val="1"/>
      <w:marLeft w:val="0"/>
      <w:marRight w:val="0"/>
      <w:marTop w:val="0"/>
      <w:marBottom w:val="0"/>
      <w:divBdr>
        <w:top w:val="none" w:sz="0" w:space="0" w:color="auto"/>
        <w:left w:val="none" w:sz="0" w:space="0" w:color="auto"/>
        <w:bottom w:val="none" w:sz="0" w:space="0" w:color="auto"/>
        <w:right w:val="none" w:sz="0" w:space="0" w:color="auto"/>
      </w:divBdr>
    </w:div>
    <w:div w:id="1402026417">
      <w:bodyDiv w:val="1"/>
      <w:marLeft w:val="0"/>
      <w:marRight w:val="0"/>
      <w:marTop w:val="0"/>
      <w:marBottom w:val="0"/>
      <w:divBdr>
        <w:top w:val="none" w:sz="0" w:space="0" w:color="auto"/>
        <w:left w:val="none" w:sz="0" w:space="0" w:color="auto"/>
        <w:bottom w:val="none" w:sz="0" w:space="0" w:color="auto"/>
        <w:right w:val="none" w:sz="0" w:space="0" w:color="auto"/>
      </w:divBdr>
    </w:div>
    <w:div w:id="1402216516">
      <w:bodyDiv w:val="1"/>
      <w:marLeft w:val="0"/>
      <w:marRight w:val="0"/>
      <w:marTop w:val="0"/>
      <w:marBottom w:val="0"/>
      <w:divBdr>
        <w:top w:val="none" w:sz="0" w:space="0" w:color="auto"/>
        <w:left w:val="none" w:sz="0" w:space="0" w:color="auto"/>
        <w:bottom w:val="none" w:sz="0" w:space="0" w:color="auto"/>
        <w:right w:val="none" w:sz="0" w:space="0" w:color="auto"/>
      </w:divBdr>
    </w:div>
    <w:div w:id="1402218805">
      <w:bodyDiv w:val="1"/>
      <w:marLeft w:val="0"/>
      <w:marRight w:val="0"/>
      <w:marTop w:val="0"/>
      <w:marBottom w:val="0"/>
      <w:divBdr>
        <w:top w:val="none" w:sz="0" w:space="0" w:color="auto"/>
        <w:left w:val="none" w:sz="0" w:space="0" w:color="auto"/>
        <w:bottom w:val="none" w:sz="0" w:space="0" w:color="auto"/>
        <w:right w:val="none" w:sz="0" w:space="0" w:color="auto"/>
      </w:divBdr>
    </w:div>
    <w:div w:id="1402286589">
      <w:bodyDiv w:val="1"/>
      <w:marLeft w:val="0"/>
      <w:marRight w:val="0"/>
      <w:marTop w:val="0"/>
      <w:marBottom w:val="0"/>
      <w:divBdr>
        <w:top w:val="none" w:sz="0" w:space="0" w:color="auto"/>
        <w:left w:val="none" w:sz="0" w:space="0" w:color="auto"/>
        <w:bottom w:val="none" w:sz="0" w:space="0" w:color="auto"/>
        <w:right w:val="none" w:sz="0" w:space="0" w:color="auto"/>
      </w:divBdr>
    </w:div>
    <w:div w:id="1402290319">
      <w:bodyDiv w:val="1"/>
      <w:marLeft w:val="0"/>
      <w:marRight w:val="0"/>
      <w:marTop w:val="0"/>
      <w:marBottom w:val="0"/>
      <w:divBdr>
        <w:top w:val="none" w:sz="0" w:space="0" w:color="auto"/>
        <w:left w:val="none" w:sz="0" w:space="0" w:color="auto"/>
        <w:bottom w:val="none" w:sz="0" w:space="0" w:color="auto"/>
        <w:right w:val="none" w:sz="0" w:space="0" w:color="auto"/>
      </w:divBdr>
    </w:div>
    <w:div w:id="1402291865">
      <w:bodyDiv w:val="1"/>
      <w:marLeft w:val="0"/>
      <w:marRight w:val="0"/>
      <w:marTop w:val="0"/>
      <w:marBottom w:val="0"/>
      <w:divBdr>
        <w:top w:val="none" w:sz="0" w:space="0" w:color="auto"/>
        <w:left w:val="none" w:sz="0" w:space="0" w:color="auto"/>
        <w:bottom w:val="none" w:sz="0" w:space="0" w:color="auto"/>
        <w:right w:val="none" w:sz="0" w:space="0" w:color="auto"/>
      </w:divBdr>
    </w:div>
    <w:div w:id="1402293518">
      <w:bodyDiv w:val="1"/>
      <w:marLeft w:val="0"/>
      <w:marRight w:val="0"/>
      <w:marTop w:val="0"/>
      <w:marBottom w:val="0"/>
      <w:divBdr>
        <w:top w:val="none" w:sz="0" w:space="0" w:color="auto"/>
        <w:left w:val="none" w:sz="0" w:space="0" w:color="auto"/>
        <w:bottom w:val="none" w:sz="0" w:space="0" w:color="auto"/>
        <w:right w:val="none" w:sz="0" w:space="0" w:color="auto"/>
      </w:divBdr>
    </w:div>
    <w:div w:id="1402606726">
      <w:bodyDiv w:val="1"/>
      <w:marLeft w:val="0"/>
      <w:marRight w:val="0"/>
      <w:marTop w:val="0"/>
      <w:marBottom w:val="0"/>
      <w:divBdr>
        <w:top w:val="none" w:sz="0" w:space="0" w:color="auto"/>
        <w:left w:val="none" w:sz="0" w:space="0" w:color="auto"/>
        <w:bottom w:val="none" w:sz="0" w:space="0" w:color="auto"/>
        <w:right w:val="none" w:sz="0" w:space="0" w:color="auto"/>
      </w:divBdr>
    </w:div>
    <w:div w:id="1402672714">
      <w:bodyDiv w:val="1"/>
      <w:marLeft w:val="0"/>
      <w:marRight w:val="0"/>
      <w:marTop w:val="0"/>
      <w:marBottom w:val="0"/>
      <w:divBdr>
        <w:top w:val="none" w:sz="0" w:space="0" w:color="auto"/>
        <w:left w:val="none" w:sz="0" w:space="0" w:color="auto"/>
        <w:bottom w:val="none" w:sz="0" w:space="0" w:color="auto"/>
        <w:right w:val="none" w:sz="0" w:space="0" w:color="auto"/>
      </w:divBdr>
    </w:div>
    <w:div w:id="1402676722">
      <w:bodyDiv w:val="1"/>
      <w:marLeft w:val="0"/>
      <w:marRight w:val="0"/>
      <w:marTop w:val="0"/>
      <w:marBottom w:val="0"/>
      <w:divBdr>
        <w:top w:val="none" w:sz="0" w:space="0" w:color="auto"/>
        <w:left w:val="none" w:sz="0" w:space="0" w:color="auto"/>
        <w:bottom w:val="none" w:sz="0" w:space="0" w:color="auto"/>
        <w:right w:val="none" w:sz="0" w:space="0" w:color="auto"/>
      </w:divBdr>
    </w:div>
    <w:div w:id="1402681552">
      <w:bodyDiv w:val="1"/>
      <w:marLeft w:val="0"/>
      <w:marRight w:val="0"/>
      <w:marTop w:val="0"/>
      <w:marBottom w:val="0"/>
      <w:divBdr>
        <w:top w:val="none" w:sz="0" w:space="0" w:color="auto"/>
        <w:left w:val="none" w:sz="0" w:space="0" w:color="auto"/>
        <w:bottom w:val="none" w:sz="0" w:space="0" w:color="auto"/>
        <w:right w:val="none" w:sz="0" w:space="0" w:color="auto"/>
      </w:divBdr>
    </w:div>
    <w:div w:id="1402749340">
      <w:bodyDiv w:val="1"/>
      <w:marLeft w:val="0"/>
      <w:marRight w:val="0"/>
      <w:marTop w:val="0"/>
      <w:marBottom w:val="0"/>
      <w:divBdr>
        <w:top w:val="none" w:sz="0" w:space="0" w:color="auto"/>
        <w:left w:val="none" w:sz="0" w:space="0" w:color="auto"/>
        <w:bottom w:val="none" w:sz="0" w:space="0" w:color="auto"/>
        <w:right w:val="none" w:sz="0" w:space="0" w:color="auto"/>
      </w:divBdr>
    </w:div>
    <w:div w:id="1402868904">
      <w:bodyDiv w:val="1"/>
      <w:marLeft w:val="0"/>
      <w:marRight w:val="0"/>
      <w:marTop w:val="0"/>
      <w:marBottom w:val="0"/>
      <w:divBdr>
        <w:top w:val="none" w:sz="0" w:space="0" w:color="auto"/>
        <w:left w:val="none" w:sz="0" w:space="0" w:color="auto"/>
        <w:bottom w:val="none" w:sz="0" w:space="0" w:color="auto"/>
        <w:right w:val="none" w:sz="0" w:space="0" w:color="auto"/>
      </w:divBdr>
    </w:div>
    <w:div w:id="1402871510">
      <w:bodyDiv w:val="1"/>
      <w:marLeft w:val="0"/>
      <w:marRight w:val="0"/>
      <w:marTop w:val="0"/>
      <w:marBottom w:val="0"/>
      <w:divBdr>
        <w:top w:val="none" w:sz="0" w:space="0" w:color="auto"/>
        <w:left w:val="none" w:sz="0" w:space="0" w:color="auto"/>
        <w:bottom w:val="none" w:sz="0" w:space="0" w:color="auto"/>
        <w:right w:val="none" w:sz="0" w:space="0" w:color="auto"/>
      </w:divBdr>
    </w:div>
    <w:div w:id="1402872464">
      <w:bodyDiv w:val="1"/>
      <w:marLeft w:val="0"/>
      <w:marRight w:val="0"/>
      <w:marTop w:val="0"/>
      <w:marBottom w:val="0"/>
      <w:divBdr>
        <w:top w:val="none" w:sz="0" w:space="0" w:color="auto"/>
        <w:left w:val="none" w:sz="0" w:space="0" w:color="auto"/>
        <w:bottom w:val="none" w:sz="0" w:space="0" w:color="auto"/>
        <w:right w:val="none" w:sz="0" w:space="0" w:color="auto"/>
      </w:divBdr>
    </w:div>
    <w:div w:id="1402874332">
      <w:bodyDiv w:val="1"/>
      <w:marLeft w:val="0"/>
      <w:marRight w:val="0"/>
      <w:marTop w:val="0"/>
      <w:marBottom w:val="0"/>
      <w:divBdr>
        <w:top w:val="none" w:sz="0" w:space="0" w:color="auto"/>
        <w:left w:val="none" w:sz="0" w:space="0" w:color="auto"/>
        <w:bottom w:val="none" w:sz="0" w:space="0" w:color="auto"/>
        <w:right w:val="none" w:sz="0" w:space="0" w:color="auto"/>
      </w:divBdr>
    </w:div>
    <w:div w:id="1403022776">
      <w:bodyDiv w:val="1"/>
      <w:marLeft w:val="0"/>
      <w:marRight w:val="0"/>
      <w:marTop w:val="0"/>
      <w:marBottom w:val="0"/>
      <w:divBdr>
        <w:top w:val="none" w:sz="0" w:space="0" w:color="auto"/>
        <w:left w:val="none" w:sz="0" w:space="0" w:color="auto"/>
        <w:bottom w:val="none" w:sz="0" w:space="0" w:color="auto"/>
        <w:right w:val="none" w:sz="0" w:space="0" w:color="auto"/>
      </w:divBdr>
    </w:div>
    <w:div w:id="1403141377">
      <w:bodyDiv w:val="1"/>
      <w:marLeft w:val="0"/>
      <w:marRight w:val="0"/>
      <w:marTop w:val="0"/>
      <w:marBottom w:val="0"/>
      <w:divBdr>
        <w:top w:val="none" w:sz="0" w:space="0" w:color="auto"/>
        <w:left w:val="none" w:sz="0" w:space="0" w:color="auto"/>
        <w:bottom w:val="none" w:sz="0" w:space="0" w:color="auto"/>
        <w:right w:val="none" w:sz="0" w:space="0" w:color="auto"/>
      </w:divBdr>
    </w:div>
    <w:div w:id="1403219152">
      <w:bodyDiv w:val="1"/>
      <w:marLeft w:val="0"/>
      <w:marRight w:val="0"/>
      <w:marTop w:val="0"/>
      <w:marBottom w:val="0"/>
      <w:divBdr>
        <w:top w:val="none" w:sz="0" w:space="0" w:color="auto"/>
        <w:left w:val="none" w:sz="0" w:space="0" w:color="auto"/>
        <w:bottom w:val="none" w:sz="0" w:space="0" w:color="auto"/>
        <w:right w:val="none" w:sz="0" w:space="0" w:color="auto"/>
      </w:divBdr>
    </w:div>
    <w:div w:id="1403285380">
      <w:bodyDiv w:val="1"/>
      <w:marLeft w:val="0"/>
      <w:marRight w:val="0"/>
      <w:marTop w:val="0"/>
      <w:marBottom w:val="0"/>
      <w:divBdr>
        <w:top w:val="none" w:sz="0" w:space="0" w:color="auto"/>
        <w:left w:val="none" w:sz="0" w:space="0" w:color="auto"/>
        <w:bottom w:val="none" w:sz="0" w:space="0" w:color="auto"/>
        <w:right w:val="none" w:sz="0" w:space="0" w:color="auto"/>
      </w:divBdr>
    </w:div>
    <w:div w:id="1403287764">
      <w:bodyDiv w:val="1"/>
      <w:marLeft w:val="0"/>
      <w:marRight w:val="0"/>
      <w:marTop w:val="0"/>
      <w:marBottom w:val="0"/>
      <w:divBdr>
        <w:top w:val="none" w:sz="0" w:space="0" w:color="auto"/>
        <w:left w:val="none" w:sz="0" w:space="0" w:color="auto"/>
        <w:bottom w:val="none" w:sz="0" w:space="0" w:color="auto"/>
        <w:right w:val="none" w:sz="0" w:space="0" w:color="auto"/>
      </w:divBdr>
    </w:div>
    <w:div w:id="1403327984">
      <w:bodyDiv w:val="1"/>
      <w:marLeft w:val="0"/>
      <w:marRight w:val="0"/>
      <w:marTop w:val="0"/>
      <w:marBottom w:val="0"/>
      <w:divBdr>
        <w:top w:val="none" w:sz="0" w:space="0" w:color="auto"/>
        <w:left w:val="none" w:sz="0" w:space="0" w:color="auto"/>
        <w:bottom w:val="none" w:sz="0" w:space="0" w:color="auto"/>
        <w:right w:val="none" w:sz="0" w:space="0" w:color="auto"/>
      </w:divBdr>
    </w:div>
    <w:div w:id="1403330623">
      <w:bodyDiv w:val="1"/>
      <w:marLeft w:val="0"/>
      <w:marRight w:val="0"/>
      <w:marTop w:val="0"/>
      <w:marBottom w:val="0"/>
      <w:divBdr>
        <w:top w:val="none" w:sz="0" w:space="0" w:color="auto"/>
        <w:left w:val="none" w:sz="0" w:space="0" w:color="auto"/>
        <w:bottom w:val="none" w:sz="0" w:space="0" w:color="auto"/>
        <w:right w:val="none" w:sz="0" w:space="0" w:color="auto"/>
      </w:divBdr>
    </w:div>
    <w:div w:id="1403331476">
      <w:bodyDiv w:val="1"/>
      <w:marLeft w:val="0"/>
      <w:marRight w:val="0"/>
      <w:marTop w:val="0"/>
      <w:marBottom w:val="0"/>
      <w:divBdr>
        <w:top w:val="none" w:sz="0" w:space="0" w:color="auto"/>
        <w:left w:val="none" w:sz="0" w:space="0" w:color="auto"/>
        <w:bottom w:val="none" w:sz="0" w:space="0" w:color="auto"/>
        <w:right w:val="none" w:sz="0" w:space="0" w:color="auto"/>
      </w:divBdr>
    </w:div>
    <w:div w:id="1403404909">
      <w:bodyDiv w:val="1"/>
      <w:marLeft w:val="0"/>
      <w:marRight w:val="0"/>
      <w:marTop w:val="0"/>
      <w:marBottom w:val="0"/>
      <w:divBdr>
        <w:top w:val="none" w:sz="0" w:space="0" w:color="auto"/>
        <w:left w:val="none" w:sz="0" w:space="0" w:color="auto"/>
        <w:bottom w:val="none" w:sz="0" w:space="0" w:color="auto"/>
        <w:right w:val="none" w:sz="0" w:space="0" w:color="auto"/>
      </w:divBdr>
    </w:div>
    <w:div w:id="1403405196">
      <w:bodyDiv w:val="1"/>
      <w:marLeft w:val="0"/>
      <w:marRight w:val="0"/>
      <w:marTop w:val="0"/>
      <w:marBottom w:val="0"/>
      <w:divBdr>
        <w:top w:val="none" w:sz="0" w:space="0" w:color="auto"/>
        <w:left w:val="none" w:sz="0" w:space="0" w:color="auto"/>
        <w:bottom w:val="none" w:sz="0" w:space="0" w:color="auto"/>
        <w:right w:val="none" w:sz="0" w:space="0" w:color="auto"/>
      </w:divBdr>
    </w:div>
    <w:div w:id="1403411292">
      <w:bodyDiv w:val="1"/>
      <w:marLeft w:val="0"/>
      <w:marRight w:val="0"/>
      <w:marTop w:val="0"/>
      <w:marBottom w:val="0"/>
      <w:divBdr>
        <w:top w:val="none" w:sz="0" w:space="0" w:color="auto"/>
        <w:left w:val="none" w:sz="0" w:space="0" w:color="auto"/>
        <w:bottom w:val="none" w:sz="0" w:space="0" w:color="auto"/>
        <w:right w:val="none" w:sz="0" w:space="0" w:color="auto"/>
      </w:divBdr>
    </w:div>
    <w:div w:id="1403484027">
      <w:bodyDiv w:val="1"/>
      <w:marLeft w:val="0"/>
      <w:marRight w:val="0"/>
      <w:marTop w:val="0"/>
      <w:marBottom w:val="0"/>
      <w:divBdr>
        <w:top w:val="none" w:sz="0" w:space="0" w:color="auto"/>
        <w:left w:val="none" w:sz="0" w:space="0" w:color="auto"/>
        <w:bottom w:val="none" w:sz="0" w:space="0" w:color="auto"/>
        <w:right w:val="none" w:sz="0" w:space="0" w:color="auto"/>
      </w:divBdr>
    </w:div>
    <w:div w:id="1403521141">
      <w:bodyDiv w:val="1"/>
      <w:marLeft w:val="0"/>
      <w:marRight w:val="0"/>
      <w:marTop w:val="0"/>
      <w:marBottom w:val="0"/>
      <w:divBdr>
        <w:top w:val="none" w:sz="0" w:space="0" w:color="auto"/>
        <w:left w:val="none" w:sz="0" w:space="0" w:color="auto"/>
        <w:bottom w:val="none" w:sz="0" w:space="0" w:color="auto"/>
        <w:right w:val="none" w:sz="0" w:space="0" w:color="auto"/>
      </w:divBdr>
    </w:div>
    <w:div w:id="1403523953">
      <w:bodyDiv w:val="1"/>
      <w:marLeft w:val="0"/>
      <w:marRight w:val="0"/>
      <w:marTop w:val="0"/>
      <w:marBottom w:val="0"/>
      <w:divBdr>
        <w:top w:val="none" w:sz="0" w:space="0" w:color="auto"/>
        <w:left w:val="none" w:sz="0" w:space="0" w:color="auto"/>
        <w:bottom w:val="none" w:sz="0" w:space="0" w:color="auto"/>
        <w:right w:val="none" w:sz="0" w:space="0" w:color="auto"/>
      </w:divBdr>
    </w:div>
    <w:div w:id="1403599228">
      <w:bodyDiv w:val="1"/>
      <w:marLeft w:val="0"/>
      <w:marRight w:val="0"/>
      <w:marTop w:val="0"/>
      <w:marBottom w:val="0"/>
      <w:divBdr>
        <w:top w:val="none" w:sz="0" w:space="0" w:color="auto"/>
        <w:left w:val="none" w:sz="0" w:space="0" w:color="auto"/>
        <w:bottom w:val="none" w:sz="0" w:space="0" w:color="auto"/>
        <w:right w:val="none" w:sz="0" w:space="0" w:color="auto"/>
      </w:divBdr>
    </w:div>
    <w:div w:id="1403677094">
      <w:bodyDiv w:val="1"/>
      <w:marLeft w:val="0"/>
      <w:marRight w:val="0"/>
      <w:marTop w:val="0"/>
      <w:marBottom w:val="0"/>
      <w:divBdr>
        <w:top w:val="none" w:sz="0" w:space="0" w:color="auto"/>
        <w:left w:val="none" w:sz="0" w:space="0" w:color="auto"/>
        <w:bottom w:val="none" w:sz="0" w:space="0" w:color="auto"/>
        <w:right w:val="none" w:sz="0" w:space="0" w:color="auto"/>
      </w:divBdr>
    </w:div>
    <w:div w:id="1403717718">
      <w:bodyDiv w:val="1"/>
      <w:marLeft w:val="0"/>
      <w:marRight w:val="0"/>
      <w:marTop w:val="0"/>
      <w:marBottom w:val="0"/>
      <w:divBdr>
        <w:top w:val="none" w:sz="0" w:space="0" w:color="auto"/>
        <w:left w:val="none" w:sz="0" w:space="0" w:color="auto"/>
        <w:bottom w:val="none" w:sz="0" w:space="0" w:color="auto"/>
        <w:right w:val="none" w:sz="0" w:space="0" w:color="auto"/>
      </w:divBdr>
    </w:div>
    <w:div w:id="1403791013">
      <w:bodyDiv w:val="1"/>
      <w:marLeft w:val="0"/>
      <w:marRight w:val="0"/>
      <w:marTop w:val="0"/>
      <w:marBottom w:val="0"/>
      <w:divBdr>
        <w:top w:val="none" w:sz="0" w:space="0" w:color="auto"/>
        <w:left w:val="none" w:sz="0" w:space="0" w:color="auto"/>
        <w:bottom w:val="none" w:sz="0" w:space="0" w:color="auto"/>
        <w:right w:val="none" w:sz="0" w:space="0" w:color="auto"/>
      </w:divBdr>
    </w:div>
    <w:div w:id="1403793055">
      <w:bodyDiv w:val="1"/>
      <w:marLeft w:val="0"/>
      <w:marRight w:val="0"/>
      <w:marTop w:val="0"/>
      <w:marBottom w:val="0"/>
      <w:divBdr>
        <w:top w:val="none" w:sz="0" w:space="0" w:color="auto"/>
        <w:left w:val="none" w:sz="0" w:space="0" w:color="auto"/>
        <w:bottom w:val="none" w:sz="0" w:space="0" w:color="auto"/>
        <w:right w:val="none" w:sz="0" w:space="0" w:color="auto"/>
      </w:divBdr>
    </w:div>
    <w:div w:id="1403795655">
      <w:bodyDiv w:val="1"/>
      <w:marLeft w:val="0"/>
      <w:marRight w:val="0"/>
      <w:marTop w:val="0"/>
      <w:marBottom w:val="0"/>
      <w:divBdr>
        <w:top w:val="none" w:sz="0" w:space="0" w:color="auto"/>
        <w:left w:val="none" w:sz="0" w:space="0" w:color="auto"/>
        <w:bottom w:val="none" w:sz="0" w:space="0" w:color="auto"/>
        <w:right w:val="none" w:sz="0" w:space="0" w:color="auto"/>
      </w:divBdr>
    </w:div>
    <w:div w:id="1403799141">
      <w:bodyDiv w:val="1"/>
      <w:marLeft w:val="0"/>
      <w:marRight w:val="0"/>
      <w:marTop w:val="0"/>
      <w:marBottom w:val="0"/>
      <w:divBdr>
        <w:top w:val="none" w:sz="0" w:space="0" w:color="auto"/>
        <w:left w:val="none" w:sz="0" w:space="0" w:color="auto"/>
        <w:bottom w:val="none" w:sz="0" w:space="0" w:color="auto"/>
        <w:right w:val="none" w:sz="0" w:space="0" w:color="auto"/>
      </w:divBdr>
    </w:div>
    <w:div w:id="1403868526">
      <w:bodyDiv w:val="1"/>
      <w:marLeft w:val="0"/>
      <w:marRight w:val="0"/>
      <w:marTop w:val="0"/>
      <w:marBottom w:val="0"/>
      <w:divBdr>
        <w:top w:val="none" w:sz="0" w:space="0" w:color="auto"/>
        <w:left w:val="none" w:sz="0" w:space="0" w:color="auto"/>
        <w:bottom w:val="none" w:sz="0" w:space="0" w:color="auto"/>
        <w:right w:val="none" w:sz="0" w:space="0" w:color="auto"/>
      </w:divBdr>
    </w:div>
    <w:div w:id="1403869904">
      <w:bodyDiv w:val="1"/>
      <w:marLeft w:val="0"/>
      <w:marRight w:val="0"/>
      <w:marTop w:val="0"/>
      <w:marBottom w:val="0"/>
      <w:divBdr>
        <w:top w:val="none" w:sz="0" w:space="0" w:color="auto"/>
        <w:left w:val="none" w:sz="0" w:space="0" w:color="auto"/>
        <w:bottom w:val="none" w:sz="0" w:space="0" w:color="auto"/>
        <w:right w:val="none" w:sz="0" w:space="0" w:color="auto"/>
      </w:divBdr>
    </w:div>
    <w:div w:id="1403916989">
      <w:bodyDiv w:val="1"/>
      <w:marLeft w:val="0"/>
      <w:marRight w:val="0"/>
      <w:marTop w:val="0"/>
      <w:marBottom w:val="0"/>
      <w:divBdr>
        <w:top w:val="none" w:sz="0" w:space="0" w:color="auto"/>
        <w:left w:val="none" w:sz="0" w:space="0" w:color="auto"/>
        <w:bottom w:val="none" w:sz="0" w:space="0" w:color="auto"/>
        <w:right w:val="none" w:sz="0" w:space="0" w:color="auto"/>
      </w:divBdr>
    </w:div>
    <w:div w:id="1404060815">
      <w:bodyDiv w:val="1"/>
      <w:marLeft w:val="0"/>
      <w:marRight w:val="0"/>
      <w:marTop w:val="0"/>
      <w:marBottom w:val="0"/>
      <w:divBdr>
        <w:top w:val="none" w:sz="0" w:space="0" w:color="auto"/>
        <w:left w:val="none" w:sz="0" w:space="0" w:color="auto"/>
        <w:bottom w:val="none" w:sz="0" w:space="0" w:color="auto"/>
        <w:right w:val="none" w:sz="0" w:space="0" w:color="auto"/>
      </w:divBdr>
    </w:div>
    <w:div w:id="1404061529">
      <w:bodyDiv w:val="1"/>
      <w:marLeft w:val="0"/>
      <w:marRight w:val="0"/>
      <w:marTop w:val="0"/>
      <w:marBottom w:val="0"/>
      <w:divBdr>
        <w:top w:val="none" w:sz="0" w:space="0" w:color="auto"/>
        <w:left w:val="none" w:sz="0" w:space="0" w:color="auto"/>
        <w:bottom w:val="none" w:sz="0" w:space="0" w:color="auto"/>
        <w:right w:val="none" w:sz="0" w:space="0" w:color="auto"/>
      </w:divBdr>
    </w:div>
    <w:div w:id="1404063587">
      <w:bodyDiv w:val="1"/>
      <w:marLeft w:val="0"/>
      <w:marRight w:val="0"/>
      <w:marTop w:val="0"/>
      <w:marBottom w:val="0"/>
      <w:divBdr>
        <w:top w:val="none" w:sz="0" w:space="0" w:color="auto"/>
        <w:left w:val="none" w:sz="0" w:space="0" w:color="auto"/>
        <w:bottom w:val="none" w:sz="0" w:space="0" w:color="auto"/>
        <w:right w:val="none" w:sz="0" w:space="0" w:color="auto"/>
      </w:divBdr>
    </w:div>
    <w:div w:id="1404066127">
      <w:bodyDiv w:val="1"/>
      <w:marLeft w:val="0"/>
      <w:marRight w:val="0"/>
      <w:marTop w:val="0"/>
      <w:marBottom w:val="0"/>
      <w:divBdr>
        <w:top w:val="none" w:sz="0" w:space="0" w:color="auto"/>
        <w:left w:val="none" w:sz="0" w:space="0" w:color="auto"/>
        <w:bottom w:val="none" w:sz="0" w:space="0" w:color="auto"/>
        <w:right w:val="none" w:sz="0" w:space="0" w:color="auto"/>
      </w:divBdr>
    </w:div>
    <w:div w:id="1404067622">
      <w:bodyDiv w:val="1"/>
      <w:marLeft w:val="0"/>
      <w:marRight w:val="0"/>
      <w:marTop w:val="0"/>
      <w:marBottom w:val="0"/>
      <w:divBdr>
        <w:top w:val="none" w:sz="0" w:space="0" w:color="auto"/>
        <w:left w:val="none" w:sz="0" w:space="0" w:color="auto"/>
        <w:bottom w:val="none" w:sz="0" w:space="0" w:color="auto"/>
        <w:right w:val="none" w:sz="0" w:space="0" w:color="auto"/>
      </w:divBdr>
    </w:div>
    <w:div w:id="1404134110">
      <w:bodyDiv w:val="1"/>
      <w:marLeft w:val="0"/>
      <w:marRight w:val="0"/>
      <w:marTop w:val="0"/>
      <w:marBottom w:val="0"/>
      <w:divBdr>
        <w:top w:val="none" w:sz="0" w:space="0" w:color="auto"/>
        <w:left w:val="none" w:sz="0" w:space="0" w:color="auto"/>
        <w:bottom w:val="none" w:sz="0" w:space="0" w:color="auto"/>
        <w:right w:val="none" w:sz="0" w:space="0" w:color="auto"/>
      </w:divBdr>
    </w:div>
    <w:div w:id="1404136869">
      <w:bodyDiv w:val="1"/>
      <w:marLeft w:val="0"/>
      <w:marRight w:val="0"/>
      <w:marTop w:val="0"/>
      <w:marBottom w:val="0"/>
      <w:divBdr>
        <w:top w:val="none" w:sz="0" w:space="0" w:color="auto"/>
        <w:left w:val="none" w:sz="0" w:space="0" w:color="auto"/>
        <w:bottom w:val="none" w:sz="0" w:space="0" w:color="auto"/>
        <w:right w:val="none" w:sz="0" w:space="0" w:color="auto"/>
      </w:divBdr>
    </w:div>
    <w:div w:id="1404371271">
      <w:bodyDiv w:val="1"/>
      <w:marLeft w:val="0"/>
      <w:marRight w:val="0"/>
      <w:marTop w:val="0"/>
      <w:marBottom w:val="0"/>
      <w:divBdr>
        <w:top w:val="none" w:sz="0" w:space="0" w:color="auto"/>
        <w:left w:val="none" w:sz="0" w:space="0" w:color="auto"/>
        <w:bottom w:val="none" w:sz="0" w:space="0" w:color="auto"/>
        <w:right w:val="none" w:sz="0" w:space="0" w:color="auto"/>
      </w:divBdr>
    </w:div>
    <w:div w:id="1404447885">
      <w:bodyDiv w:val="1"/>
      <w:marLeft w:val="0"/>
      <w:marRight w:val="0"/>
      <w:marTop w:val="0"/>
      <w:marBottom w:val="0"/>
      <w:divBdr>
        <w:top w:val="none" w:sz="0" w:space="0" w:color="auto"/>
        <w:left w:val="none" w:sz="0" w:space="0" w:color="auto"/>
        <w:bottom w:val="none" w:sz="0" w:space="0" w:color="auto"/>
        <w:right w:val="none" w:sz="0" w:space="0" w:color="auto"/>
      </w:divBdr>
    </w:div>
    <w:div w:id="1404527420">
      <w:bodyDiv w:val="1"/>
      <w:marLeft w:val="0"/>
      <w:marRight w:val="0"/>
      <w:marTop w:val="0"/>
      <w:marBottom w:val="0"/>
      <w:divBdr>
        <w:top w:val="none" w:sz="0" w:space="0" w:color="auto"/>
        <w:left w:val="none" w:sz="0" w:space="0" w:color="auto"/>
        <w:bottom w:val="none" w:sz="0" w:space="0" w:color="auto"/>
        <w:right w:val="none" w:sz="0" w:space="0" w:color="auto"/>
      </w:divBdr>
    </w:div>
    <w:div w:id="1404598238">
      <w:bodyDiv w:val="1"/>
      <w:marLeft w:val="0"/>
      <w:marRight w:val="0"/>
      <w:marTop w:val="0"/>
      <w:marBottom w:val="0"/>
      <w:divBdr>
        <w:top w:val="none" w:sz="0" w:space="0" w:color="auto"/>
        <w:left w:val="none" w:sz="0" w:space="0" w:color="auto"/>
        <w:bottom w:val="none" w:sz="0" w:space="0" w:color="auto"/>
        <w:right w:val="none" w:sz="0" w:space="0" w:color="auto"/>
      </w:divBdr>
    </w:div>
    <w:div w:id="1404792375">
      <w:bodyDiv w:val="1"/>
      <w:marLeft w:val="0"/>
      <w:marRight w:val="0"/>
      <w:marTop w:val="0"/>
      <w:marBottom w:val="0"/>
      <w:divBdr>
        <w:top w:val="none" w:sz="0" w:space="0" w:color="auto"/>
        <w:left w:val="none" w:sz="0" w:space="0" w:color="auto"/>
        <w:bottom w:val="none" w:sz="0" w:space="0" w:color="auto"/>
        <w:right w:val="none" w:sz="0" w:space="0" w:color="auto"/>
      </w:divBdr>
    </w:div>
    <w:div w:id="1404792866">
      <w:bodyDiv w:val="1"/>
      <w:marLeft w:val="0"/>
      <w:marRight w:val="0"/>
      <w:marTop w:val="0"/>
      <w:marBottom w:val="0"/>
      <w:divBdr>
        <w:top w:val="none" w:sz="0" w:space="0" w:color="auto"/>
        <w:left w:val="none" w:sz="0" w:space="0" w:color="auto"/>
        <w:bottom w:val="none" w:sz="0" w:space="0" w:color="auto"/>
        <w:right w:val="none" w:sz="0" w:space="0" w:color="auto"/>
      </w:divBdr>
    </w:div>
    <w:div w:id="1404832031">
      <w:bodyDiv w:val="1"/>
      <w:marLeft w:val="0"/>
      <w:marRight w:val="0"/>
      <w:marTop w:val="0"/>
      <w:marBottom w:val="0"/>
      <w:divBdr>
        <w:top w:val="none" w:sz="0" w:space="0" w:color="auto"/>
        <w:left w:val="none" w:sz="0" w:space="0" w:color="auto"/>
        <w:bottom w:val="none" w:sz="0" w:space="0" w:color="auto"/>
        <w:right w:val="none" w:sz="0" w:space="0" w:color="auto"/>
      </w:divBdr>
    </w:div>
    <w:div w:id="1404832193">
      <w:bodyDiv w:val="1"/>
      <w:marLeft w:val="0"/>
      <w:marRight w:val="0"/>
      <w:marTop w:val="0"/>
      <w:marBottom w:val="0"/>
      <w:divBdr>
        <w:top w:val="none" w:sz="0" w:space="0" w:color="auto"/>
        <w:left w:val="none" w:sz="0" w:space="0" w:color="auto"/>
        <w:bottom w:val="none" w:sz="0" w:space="0" w:color="auto"/>
        <w:right w:val="none" w:sz="0" w:space="0" w:color="auto"/>
      </w:divBdr>
    </w:div>
    <w:div w:id="1404836378">
      <w:bodyDiv w:val="1"/>
      <w:marLeft w:val="0"/>
      <w:marRight w:val="0"/>
      <w:marTop w:val="0"/>
      <w:marBottom w:val="0"/>
      <w:divBdr>
        <w:top w:val="none" w:sz="0" w:space="0" w:color="auto"/>
        <w:left w:val="none" w:sz="0" w:space="0" w:color="auto"/>
        <w:bottom w:val="none" w:sz="0" w:space="0" w:color="auto"/>
        <w:right w:val="none" w:sz="0" w:space="0" w:color="auto"/>
      </w:divBdr>
    </w:div>
    <w:div w:id="1405031062">
      <w:bodyDiv w:val="1"/>
      <w:marLeft w:val="0"/>
      <w:marRight w:val="0"/>
      <w:marTop w:val="0"/>
      <w:marBottom w:val="0"/>
      <w:divBdr>
        <w:top w:val="none" w:sz="0" w:space="0" w:color="auto"/>
        <w:left w:val="none" w:sz="0" w:space="0" w:color="auto"/>
        <w:bottom w:val="none" w:sz="0" w:space="0" w:color="auto"/>
        <w:right w:val="none" w:sz="0" w:space="0" w:color="auto"/>
      </w:divBdr>
    </w:div>
    <w:div w:id="1405107763">
      <w:bodyDiv w:val="1"/>
      <w:marLeft w:val="0"/>
      <w:marRight w:val="0"/>
      <w:marTop w:val="0"/>
      <w:marBottom w:val="0"/>
      <w:divBdr>
        <w:top w:val="none" w:sz="0" w:space="0" w:color="auto"/>
        <w:left w:val="none" w:sz="0" w:space="0" w:color="auto"/>
        <w:bottom w:val="none" w:sz="0" w:space="0" w:color="auto"/>
        <w:right w:val="none" w:sz="0" w:space="0" w:color="auto"/>
      </w:divBdr>
    </w:div>
    <w:div w:id="1405176356">
      <w:bodyDiv w:val="1"/>
      <w:marLeft w:val="0"/>
      <w:marRight w:val="0"/>
      <w:marTop w:val="0"/>
      <w:marBottom w:val="0"/>
      <w:divBdr>
        <w:top w:val="none" w:sz="0" w:space="0" w:color="auto"/>
        <w:left w:val="none" w:sz="0" w:space="0" w:color="auto"/>
        <w:bottom w:val="none" w:sz="0" w:space="0" w:color="auto"/>
        <w:right w:val="none" w:sz="0" w:space="0" w:color="auto"/>
      </w:divBdr>
    </w:div>
    <w:div w:id="1405226855">
      <w:bodyDiv w:val="1"/>
      <w:marLeft w:val="0"/>
      <w:marRight w:val="0"/>
      <w:marTop w:val="0"/>
      <w:marBottom w:val="0"/>
      <w:divBdr>
        <w:top w:val="none" w:sz="0" w:space="0" w:color="auto"/>
        <w:left w:val="none" w:sz="0" w:space="0" w:color="auto"/>
        <w:bottom w:val="none" w:sz="0" w:space="0" w:color="auto"/>
        <w:right w:val="none" w:sz="0" w:space="0" w:color="auto"/>
      </w:divBdr>
    </w:div>
    <w:div w:id="1405369083">
      <w:bodyDiv w:val="1"/>
      <w:marLeft w:val="0"/>
      <w:marRight w:val="0"/>
      <w:marTop w:val="0"/>
      <w:marBottom w:val="0"/>
      <w:divBdr>
        <w:top w:val="none" w:sz="0" w:space="0" w:color="auto"/>
        <w:left w:val="none" w:sz="0" w:space="0" w:color="auto"/>
        <w:bottom w:val="none" w:sz="0" w:space="0" w:color="auto"/>
        <w:right w:val="none" w:sz="0" w:space="0" w:color="auto"/>
      </w:divBdr>
    </w:div>
    <w:div w:id="1405371292">
      <w:bodyDiv w:val="1"/>
      <w:marLeft w:val="0"/>
      <w:marRight w:val="0"/>
      <w:marTop w:val="0"/>
      <w:marBottom w:val="0"/>
      <w:divBdr>
        <w:top w:val="none" w:sz="0" w:space="0" w:color="auto"/>
        <w:left w:val="none" w:sz="0" w:space="0" w:color="auto"/>
        <w:bottom w:val="none" w:sz="0" w:space="0" w:color="auto"/>
        <w:right w:val="none" w:sz="0" w:space="0" w:color="auto"/>
      </w:divBdr>
    </w:div>
    <w:div w:id="1405491073">
      <w:bodyDiv w:val="1"/>
      <w:marLeft w:val="0"/>
      <w:marRight w:val="0"/>
      <w:marTop w:val="0"/>
      <w:marBottom w:val="0"/>
      <w:divBdr>
        <w:top w:val="none" w:sz="0" w:space="0" w:color="auto"/>
        <w:left w:val="none" w:sz="0" w:space="0" w:color="auto"/>
        <w:bottom w:val="none" w:sz="0" w:space="0" w:color="auto"/>
        <w:right w:val="none" w:sz="0" w:space="0" w:color="auto"/>
      </w:divBdr>
    </w:div>
    <w:div w:id="1405644331">
      <w:bodyDiv w:val="1"/>
      <w:marLeft w:val="0"/>
      <w:marRight w:val="0"/>
      <w:marTop w:val="0"/>
      <w:marBottom w:val="0"/>
      <w:divBdr>
        <w:top w:val="none" w:sz="0" w:space="0" w:color="auto"/>
        <w:left w:val="none" w:sz="0" w:space="0" w:color="auto"/>
        <w:bottom w:val="none" w:sz="0" w:space="0" w:color="auto"/>
        <w:right w:val="none" w:sz="0" w:space="0" w:color="auto"/>
      </w:divBdr>
    </w:div>
    <w:div w:id="1405878457">
      <w:bodyDiv w:val="1"/>
      <w:marLeft w:val="0"/>
      <w:marRight w:val="0"/>
      <w:marTop w:val="0"/>
      <w:marBottom w:val="0"/>
      <w:divBdr>
        <w:top w:val="none" w:sz="0" w:space="0" w:color="auto"/>
        <w:left w:val="none" w:sz="0" w:space="0" w:color="auto"/>
        <w:bottom w:val="none" w:sz="0" w:space="0" w:color="auto"/>
        <w:right w:val="none" w:sz="0" w:space="0" w:color="auto"/>
      </w:divBdr>
    </w:div>
    <w:div w:id="1405906614">
      <w:bodyDiv w:val="1"/>
      <w:marLeft w:val="0"/>
      <w:marRight w:val="0"/>
      <w:marTop w:val="0"/>
      <w:marBottom w:val="0"/>
      <w:divBdr>
        <w:top w:val="none" w:sz="0" w:space="0" w:color="auto"/>
        <w:left w:val="none" w:sz="0" w:space="0" w:color="auto"/>
        <w:bottom w:val="none" w:sz="0" w:space="0" w:color="auto"/>
        <w:right w:val="none" w:sz="0" w:space="0" w:color="auto"/>
      </w:divBdr>
    </w:div>
    <w:div w:id="1405907870">
      <w:bodyDiv w:val="1"/>
      <w:marLeft w:val="0"/>
      <w:marRight w:val="0"/>
      <w:marTop w:val="0"/>
      <w:marBottom w:val="0"/>
      <w:divBdr>
        <w:top w:val="none" w:sz="0" w:space="0" w:color="auto"/>
        <w:left w:val="none" w:sz="0" w:space="0" w:color="auto"/>
        <w:bottom w:val="none" w:sz="0" w:space="0" w:color="auto"/>
        <w:right w:val="none" w:sz="0" w:space="0" w:color="auto"/>
      </w:divBdr>
    </w:div>
    <w:div w:id="1405948921">
      <w:bodyDiv w:val="1"/>
      <w:marLeft w:val="0"/>
      <w:marRight w:val="0"/>
      <w:marTop w:val="0"/>
      <w:marBottom w:val="0"/>
      <w:divBdr>
        <w:top w:val="none" w:sz="0" w:space="0" w:color="auto"/>
        <w:left w:val="none" w:sz="0" w:space="0" w:color="auto"/>
        <w:bottom w:val="none" w:sz="0" w:space="0" w:color="auto"/>
        <w:right w:val="none" w:sz="0" w:space="0" w:color="auto"/>
      </w:divBdr>
    </w:div>
    <w:div w:id="1406026576">
      <w:bodyDiv w:val="1"/>
      <w:marLeft w:val="0"/>
      <w:marRight w:val="0"/>
      <w:marTop w:val="0"/>
      <w:marBottom w:val="0"/>
      <w:divBdr>
        <w:top w:val="none" w:sz="0" w:space="0" w:color="auto"/>
        <w:left w:val="none" w:sz="0" w:space="0" w:color="auto"/>
        <w:bottom w:val="none" w:sz="0" w:space="0" w:color="auto"/>
        <w:right w:val="none" w:sz="0" w:space="0" w:color="auto"/>
      </w:divBdr>
    </w:div>
    <w:div w:id="1406075471">
      <w:bodyDiv w:val="1"/>
      <w:marLeft w:val="0"/>
      <w:marRight w:val="0"/>
      <w:marTop w:val="0"/>
      <w:marBottom w:val="0"/>
      <w:divBdr>
        <w:top w:val="none" w:sz="0" w:space="0" w:color="auto"/>
        <w:left w:val="none" w:sz="0" w:space="0" w:color="auto"/>
        <w:bottom w:val="none" w:sz="0" w:space="0" w:color="auto"/>
        <w:right w:val="none" w:sz="0" w:space="0" w:color="auto"/>
      </w:divBdr>
    </w:div>
    <w:div w:id="1406102132">
      <w:bodyDiv w:val="1"/>
      <w:marLeft w:val="0"/>
      <w:marRight w:val="0"/>
      <w:marTop w:val="0"/>
      <w:marBottom w:val="0"/>
      <w:divBdr>
        <w:top w:val="none" w:sz="0" w:space="0" w:color="auto"/>
        <w:left w:val="none" w:sz="0" w:space="0" w:color="auto"/>
        <w:bottom w:val="none" w:sz="0" w:space="0" w:color="auto"/>
        <w:right w:val="none" w:sz="0" w:space="0" w:color="auto"/>
      </w:divBdr>
    </w:div>
    <w:div w:id="1406146275">
      <w:bodyDiv w:val="1"/>
      <w:marLeft w:val="0"/>
      <w:marRight w:val="0"/>
      <w:marTop w:val="0"/>
      <w:marBottom w:val="0"/>
      <w:divBdr>
        <w:top w:val="none" w:sz="0" w:space="0" w:color="auto"/>
        <w:left w:val="none" w:sz="0" w:space="0" w:color="auto"/>
        <w:bottom w:val="none" w:sz="0" w:space="0" w:color="auto"/>
        <w:right w:val="none" w:sz="0" w:space="0" w:color="auto"/>
      </w:divBdr>
    </w:div>
    <w:div w:id="1406148897">
      <w:bodyDiv w:val="1"/>
      <w:marLeft w:val="0"/>
      <w:marRight w:val="0"/>
      <w:marTop w:val="0"/>
      <w:marBottom w:val="0"/>
      <w:divBdr>
        <w:top w:val="none" w:sz="0" w:space="0" w:color="auto"/>
        <w:left w:val="none" w:sz="0" w:space="0" w:color="auto"/>
        <w:bottom w:val="none" w:sz="0" w:space="0" w:color="auto"/>
        <w:right w:val="none" w:sz="0" w:space="0" w:color="auto"/>
      </w:divBdr>
    </w:div>
    <w:div w:id="1406219930">
      <w:bodyDiv w:val="1"/>
      <w:marLeft w:val="0"/>
      <w:marRight w:val="0"/>
      <w:marTop w:val="0"/>
      <w:marBottom w:val="0"/>
      <w:divBdr>
        <w:top w:val="none" w:sz="0" w:space="0" w:color="auto"/>
        <w:left w:val="none" w:sz="0" w:space="0" w:color="auto"/>
        <w:bottom w:val="none" w:sz="0" w:space="0" w:color="auto"/>
        <w:right w:val="none" w:sz="0" w:space="0" w:color="auto"/>
      </w:divBdr>
    </w:div>
    <w:div w:id="1406294052">
      <w:bodyDiv w:val="1"/>
      <w:marLeft w:val="0"/>
      <w:marRight w:val="0"/>
      <w:marTop w:val="0"/>
      <w:marBottom w:val="0"/>
      <w:divBdr>
        <w:top w:val="none" w:sz="0" w:space="0" w:color="auto"/>
        <w:left w:val="none" w:sz="0" w:space="0" w:color="auto"/>
        <w:bottom w:val="none" w:sz="0" w:space="0" w:color="auto"/>
        <w:right w:val="none" w:sz="0" w:space="0" w:color="auto"/>
      </w:divBdr>
    </w:div>
    <w:div w:id="1406495966">
      <w:bodyDiv w:val="1"/>
      <w:marLeft w:val="0"/>
      <w:marRight w:val="0"/>
      <w:marTop w:val="0"/>
      <w:marBottom w:val="0"/>
      <w:divBdr>
        <w:top w:val="none" w:sz="0" w:space="0" w:color="auto"/>
        <w:left w:val="none" w:sz="0" w:space="0" w:color="auto"/>
        <w:bottom w:val="none" w:sz="0" w:space="0" w:color="auto"/>
        <w:right w:val="none" w:sz="0" w:space="0" w:color="auto"/>
      </w:divBdr>
    </w:div>
    <w:div w:id="1406561688">
      <w:bodyDiv w:val="1"/>
      <w:marLeft w:val="0"/>
      <w:marRight w:val="0"/>
      <w:marTop w:val="0"/>
      <w:marBottom w:val="0"/>
      <w:divBdr>
        <w:top w:val="none" w:sz="0" w:space="0" w:color="auto"/>
        <w:left w:val="none" w:sz="0" w:space="0" w:color="auto"/>
        <w:bottom w:val="none" w:sz="0" w:space="0" w:color="auto"/>
        <w:right w:val="none" w:sz="0" w:space="0" w:color="auto"/>
      </w:divBdr>
    </w:div>
    <w:div w:id="1406758440">
      <w:bodyDiv w:val="1"/>
      <w:marLeft w:val="0"/>
      <w:marRight w:val="0"/>
      <w:marTop w:val="0"/>
      <w:marBottom w:val="0"/>
      <w:divBdr>
        <w:top w:val="none" w:sz="0" w:space="0" w:color="auto"/>
        <w:left w:val="none" w:sz="0" w:space="0" w:color="auto"/>
        <w:bottom w:val="none" w:sz="0" w:space="0" w:color="auto"/>
        <w:right w:val="none" w:sz="0" w:space="0" w:color="auto"/>
      </w:divBdr>
    </w:div>
    <w:div w:id="1406759520">
      <w:bodyDiv w:val="1"/>
      <w:marLeft w:val="0"/>
      <w:marRight w:val="0"/>
      <w:marTop w:val="0"/>
      <w:marBottom w:val="0"/>
      <w:divBdr>
        <w:top w:val="none" w:sz="0" w:space="0" w:color="auto"/>
        <w:left w:val="none" w:sz="0" w:space="0" w:color="auto"/>
        <w:bottom w:val="none" w:sz="0" w:space="0" w:color="auto"/>
        <w:right w:val="none" w:sz="0" w:space="0" w:color="auto"/>
      </w:divBdr>
    </w:div>
    <w:div w:id="1406953572">
      <w:bodyDiv w:val="1"/>
      <w:marLeft w:val="0"/>
      <w:marRight w:val="0"/>
      <w:marTop w:val="0"/>
      <w:marBottom w:val="0"/>
      <w:divBdr>
        <w:top w:val="none" w:sz="0" w:space="0" w:color="auto"/>
        <w:left w:val="none" w:sz="0" w:space="0" w:color="auto"/>
        <w:bottom w:val="none" w:sz="0" w:space="0" w:color="auto"/>
        <w:right w:val="none" w:sz="0" w:space="0" w:color="auto"/>
      </w:divBdr>
    </w:div>
    <w:div w:id="1406955726">
      <w:bodyDiv w:val="1"/>
      <w:marLeft w:val="0"/>
      <w:marRight w:val="0"/>
      <w:marTop w:val="0"/>
      <w:marBottom w:val="0"/>
      <w:divBdr>
        <w:top w:val="none" w:sz="0" w:space="0" w:color="auto"/>
        <w:left w:val="none" w:sz="0" w:space="0" w:color="auto"/>
        <w:bottom w:val="none" w:sz="0" w:space="0" w:color="auto"/>
        <w:right w:val="none" w:sz="0" w:space="0" w:color="auto"/>
      </w:divBdr>
    </w:div>
    <w:div w:id="1406956264">
      <w:bodyDiv w:val="1"/>
      <w:marLeft w:val="0"/>
      <w:marRight w:val="0"/>
      <w:marTop w:val="0"/>
      <w:marBottom w:val="0"/>
      <w:divBdr>
        <w:top w:val="none" w:sz="0" w:space="0" w:color="auto"/>
        <w:left w:val="none" w:sz="0" w:space="0" w:color="auto"/>
        <w:bottom w:val="none" w:sz="0" w:space="0" w:color="auto"/>
        <w:right w:val="none" w:sz="0" w:space="0" w:color="auto"/>
      </w:divBdr>
    </w:div>
    <w:div w:id="1406993487">
      <w:bodyDiv w:val="1"/>
      <w:marLeft w:val="0"/>
      <w:marRight w:val="0"/>
      <w:marTop w:val="0"/>
      <w:marBottom w:val="0"/>
      <w:divBdr>
        <w:top w:val="none" w:sz="0" w:space="0" w:color="auto"/>
        <w:left w:val="none" w:sz="0" w:space="0" w:color="auto"/>
        <w:bottom w:val="none" w:sz="0" w:space="0" w:color="auto"/>
        <w:right w:val="none" w:sz="0" w:space="0" w:color="auto"/>
      </w:divBdr>
    </w:div>
    <w:div w:id="1407075626">
      <w:bodyDiv w:val="1"/>
      <w:marLeft w:val="0"/>
      <w:marRight w:val="0"/>
      <w:marTop w:val="0"/>
      <w:marBottom w:val="0"/>
      <w:divBdr>
        <w:top w:val="none" w:sz="0" w:space="0" w:color="auto"/>
        <w:left w:val="none" w:sz="0" w:space="0" w:color="auto"/>
        <w:bottom w:val="none" w:sz="0" w:space="0" w:color="auto"/>
        <w:right w:val="none" w:sz="0" w:space="0" w:color="auto"/>
      </w:divBdr>
    </w:div>
    <w:div w:id="1407191222">
      <w:bodyDiv w:val="1"/>
      <w:marLeft w:val="0"/>
      <w:marRight w:val="0"/>
      <w:marTop w:val="0"/>
      <w:marBottom w:val="0"/>
      <w:divBdr>
        <w:top w:val="none" w:sz="0" w:space="0" w:color="auto"/>
        <w:left w:val="none" w:sz="0" w:space="0" w:color="auto"/>
        <w:bottom w:val="none" w:sz="0" w:space="0" w:color="auto"/>
        <w:right w:val="none" w:sz="0" w:space="0" w:color="auto"/>
      </w:divBdr>
    </w:div>
    <w:div w:id="1407193655">
      <w:bodyDiv w:val="1"/>
      <w:marLeft w:val="0"/>
      <w:marRight w:val="0"/>
      <w:marTop w:val="0"/>
      <w:marBottom w:val="0"/>
      <w:divBdr>
        <w:top w:val="none" w:sz="0" w:space="0" w:color="auto"/>
        <w:left w:val="none" w:sz="0" w:space="0" w:color="auto"/>
        <w:bottom w:val="none" w:sz="0" w:space="0" w:color="auto"/>
        <w:right w:val="none" w:sz="0" w:space="0" w:color="auto"/>
      </w:divBdr>
    </w:div>
    <w:div w:id="1407218974">
      <w:bodyDiv w:val="1"/>
      <w:marLeft w:val="0"/>
      <w:marRight w:val="0"/>
      <w:marTop w:val="0"/>
      <w:marBottom w:val="0"/>
      <w:divBdr>
        <w:top w:val="none" w:sz="0" w:space="0" w:color="auto"/>
        <w:left w:val="none" w:sz="0" w:space="0" w:color="auto"/>
        <w:bottom w:val="none" w:sz="0" w:space="0" w:color="auto"/>
        <w:right w:val="none" w:sz="0" w:space="0" w:color="auto"/>
      </w:divBdr>
    </w:div>
    <w:div w:id="1407265887">
      <w:bodyDiv w:val="1"/>
      <w:marLeft w:val="0"/>
      <w:marRight w:val="0"/>
      <w:marTop w:val="0"/>
      <w:marBottom w:val="0"/>
      <w:divBdr>
        <w:top w:val="none" w:sz="0" w:space="0" w:color="auto"/>
        <w:left w:val="none" w:sz="0" w:space="0" w:color="auto"/>
        <w:bottom w:val="none" w:sz="0" w:space="0" w:color="auto"/>
        <w:right w:val="none" w:sz="0" w:space="0" w:color="auto"/>
      </w:divBdr>
    </w:div>
    <w:div w:id="1407339979">
      <w:bodyDiv w:val="1"/>
      <w:marLeft w:val="0"/>
      <w:marRight w:val="0"/>
      <w:marTop w:val="0"/>
      <w:marBottom w:val="0"/>
      <w:divBdr>
        <w:top w:val="none" w:sz="0" w:space="0" w:color="auto"/>
        <w:left w:val="none" w:sz="0" w:space="0" w:color="auto"/>
        <w:bottom w:val="none" w:sz="0" w:space="0" w:color="auto"/>
        <w:right w:val="none" w:sz="0" w:space="0" w:color="auto"/>
      </w:divBdr>
    </w:div>
    <w:div w:id="1407455378">
      <w:bodyDiv w:val="1"/>
      <w:marLeft w:val="0"/>
      <w:marRight w:val="0"/>
      <w:marTop w:val="0"/>
      <w:marBottom w:val="0"/>
      <w:divBdr>
        <w:top w:val="none" w:sz="0" w:space="0" w:color="auto"/>
        <w:left w:val="none" w:sz="0" w:space="0" w:color="auto"/>
        <w:bottom w:val="none" w:sz="0" w:space="0" w:color="auto"/>
        <w:right w:val="none" w:sz="0" w:space="0" w:color="auto"/>
      </w:divBdr>
    </w:div>
    <w:div w:id="1407534746">
      <w:bodyDiv w:val="1"/>
      <w:marLeft w:val="0"/>
      <w:marRight w:val="0"/>
      <w:marTop w:val="0"/>
      <w:marBottom w:val="0"/>
      <w:divBdr>
        <w:top w:val="none" w:sz="0" w:space="0" w:color="auto"/>
        <w:left w:val="none" w:sz="0" w:space="0" w:color="auto"/>
        <w:bottom w:val="none" w:sz="0" w:space="0" w:color="auto"/>
        <w:right w:val="none" w:sz="0" w:space="0" w:color="auto"/>
      </w:divBdr>
    </w:div>
    <w:div w:id="1407609406">
      <w:bodyDiv w:val="1"/>
      <w:marLeft w:val="0"/>
      <w:marRight w:val="0"/>
      <w:marTop w:val="0"/>
      <w:marBottom w:val="0"/>
      <w:divBdr>
        <w:top w:val="none" w:sz="0" w:space="0" w:color="auto"/>
        <w:left w:val="none" w:sz="0" w:space="0" w:color="auto"/>
        <w:bottom w:val="none" w:sz="0" w:space="0" w:color="auto"/>
        <w:right w:val="none" w:sz="0" w:space="0" w:color="auto"/>
      </w:divBdr>
    </w:div>
    <w:div w:id="1407609793">
      <w:bodyDiv w:val="1"/>
      <w:marLeft w:val="0"/>
      <w:marRight w:val="0"/>
      <w:marTop w:val="0"/>
      <w:marBottom w:val="0"/>
      <w:divBdr>
        <w:top w:val="none" w:sz="0" w:space="0" w:color="auto"/>
        <w:left w:val="none" w:sz="0" w:space="0" w:color="auto"/>
        <w:bottom w:val="none" w:sz="0" w:space="0" w:color="auto"/>
        <w:right w:val="none" w:sz="0" w:space="0" w:color="auto"/>
      </w:divBdr>
    </w:div>
    <w:div w:id="1407802932">
      <w:bodyDiv w:val="1"/>
      <w:marLeft w:val="0"/>
      <w:marRight w:val="0"/>
      <w:marTop w:val="0"/>
      <w:marBottom w:val="0"/>
      <w:divBdr>
        <w:top w:val="none" w:sz="0" w:space="0" w:color="auto"/>
        <w:left w:val="none" w:sz="0" w:space="0" w:color="auto"/>
        <w:bottom w:val="none" w:sz="0" w:space="0" w:color="auto"/>
        <w:right w:val="none" w:sz="0" w:space="0" w:color="auto"/>
      </w:divBdr>
    </w:div>
    <w:div w:id="1407803511">
      <w:bodyDiv w:val="1"/>
      <w:marLeft w:val="0"/>
      <w:marRight w:val="0"/>
      <w:marTop w:val="0"/>
      <w:marBottom w:val="0"/>
      <w:divBdr>
        <w:top w:val="none" w:sz="0" w:space="0" w:color="auto"/>
        <w:left w:val="none" w:sz="0" w:space="0" w:color="auto"/>
        <w:bottom w:val="none" w:sz="0" w:space="0" w:color="auto"/>
        <w:right w:val="none" w:sz="0" w:space="0" w:color="auto"/>
      </w:divBdr>
    </w:div>
    <w:div w:id="1407806166">
      <w:bodyDiv w:val="1"/>
      <w:marLeft w:val="0"/>
      <w:marRight w:val="0"/>
      <w:marTop w:val="0"/>
      <w:marBottom w:val="0"/>
      <w:divBdr>
        <w:top w:val="none" w:sz="0" w:space="0" w:color="auto"/>
        <w:left w:val="none" w:sz="0" w:space="0" w:color="auto"/>
        <w:bottom w:val="none" w:sz="0" w:space="0" w:color="auto"/>
        <w:right w:val="none" w:sz="0" w:space="0" w:color="auto"/>
      </w:divBdr>
    </w:div>
    <w:div w:id="1407872186">
      <w:bodyDiv w:val="1"/>
      <w:marLeft w:val="0"/>
      <w:marRight w:val="0"/>
      <w:marTop w:val="0"/>
      <w:marBottom w:val="0"/>
      <w:divBdr>
        <w:top w:val="none" w:sz="0" w:space="0" w:color="auto"/>
        <w:left w:val="none" w:sz="0" w:space="0" w:color="auto"/>
        <w:bottom w:val="none" w:sz="0" w:space="0" w:color="auto"/>
        <w:right w:val="none" w:sz="0" w:space="0" w:color="auto"/>
      </w:divBdr>
    </w:div>
    <w:div w:id="1407915377">
      <w:bodyDiv w:val="1"/>
      <w:marLeft w:val="0"/>
      <w:marRight w:val="0"/>
      <w:marTop w:val="0"/>
      <w:marBottom w:val="0"/>
      <w:divBdr>
        <w:top w:val="none" w:sz="0" w:space="0" w:color="auto"/>
        <w:left w:val="none" w:sz="0" w:space="0" w:color="auto"/>
        <w:bottom w:val="none" w:sz="0" w:space="0" w:color="auto"/>
        <w:right w:val="none" w:sz="0" w:space="0" w:color="auto"/>
      </w:divBdr>
    </w:div>
    <w:div w:id="1407919999">
      <w:bodyDiv w:val="1"/>
      <w:marLeft w:val="0"/>
      <w:marRight w:val="0"/>
      <w:marTop w:val="0"/>
      <w:marBottom w:val="0"/>
      <w:divBdr>
        <w:top w:val="none" w:sz="0" w:space="0" w:color="auto"/>
        <w:left w:val="none" w:sz="0" w:space="0" w:color="auto"/>
        <w:bottom w:val="none" w:sz="0" w:space="0" w:color="auto"/>
        <w:right w:val="none" w:sz="0" w:space="0" w:color="auto"/>
      </w:divBdr>
    </w:div>
    <w:div w:id="1407990652">
      <w:bodyDiv w:val="1"/>
      <w:marLeft w:val="0"/>
      <w:marRight w:val="0"/>
      <w:marTop w:val="0"/>
      <w:marBottom w:val="0"/>
      <w:divBdr>
        <w:top w:val="none" w:sz="0" w:space="0" w:color="auto"/>
        <w:left w:val="none" w:sz="0" w:space="0" w:color="auto"/>
        <w:bottom w:val="none" w:sz="0" w:space="0" w:color="auto"/>
        <w:right w:val="none" w:sz="0" w:space="0" w:color="auto"/>
      </w:divBdr>
    </w:div>
    <w:div w:id="1408109586">
      <w:bodyDiv w:val="1"/>
      <w:marLeft w:val="0"/>
      <w:marRight w:val="0"/>
      <w:marTop w:val="0"/>
      <w:marBottom w:val="0"/>
      <w:divBdr>
        <w:top w:val="none" w:sz="0" w:space="0" w:color="auto"/>
        <w:left w:val="none" w:sz="0" w:space="0" w:color="auto"/>
        <w:bottom w:val="none" w:sz="0" w:space="0" w:color="auto"/>
        <w:right w:val="none" w:sz="0" w:space="0" w:color="auto"/>
      </w:divBdr>
    </w:div>
    <w:div w:id="1408183535">
      <w:bodyDiv w:val="1"/>
      <w:marLeft w:val="0"/>
      <w:marRight w:val="0"/>
      <w:marTop w:val="0"/>
      <w:marBottom w:val="0"/>
      <w:divBdr>
        <w:top w:val="none" w:sz="0" w:space="0" w:color="auto"/>
        <w:left w:val="none" w:sz="0" w:space="0" w:color="auto"/>
        <w:bottom w:val="none" w:sz="0" w:space="0" w:color="auto"/>
        <w:right w:val="none" w:sz="0" w:space="0" w:color="auto"/>
      </w:divBdr>
    </w:div>
    <w:div w:id="1408306161">
      <w:bodyDiv w:val="1"/>
      <w:marLeft w:val="0"/>
      <w:marRight w:val="0"/>
      <w:marTop w:val="0"/>
      <w:marBottom w:val="0"/>
      <w:divBdr>
        <w:top w:val="none" w:sz="0" w:space="0" w:color="auto"/>
        <w:left w:val="none" w:sz="0" w:space="0" w:color="auto"/>
        <w:bottom w:val="none" w:sz="0" w:space="0" w:color="auto"/>
        <w:right w:val="none" w:sz="0" w:space="0" w:color="auto"/>
      </w:divBdr>
    </w:div>
    <w:div w:id="1408530184">
      <w:bodyDiv w:val="1"/>
      <w:marLeft w:val="0"/>
      <w:marRight w:val="0"/>
      <w:marTop w:val="0"/>
      <w:marBottom w:val="0"/>
      <w:divBdr>
        <w:top w:val="none" w:sz="0" w:space="0" w:color="auto"/>
        <w:left w:val="none" w:sz="0" w:space="0" w:color="auto"/>
        <w:bottom w:val="none" w:sz="0" w:space="0" w:color="auto"/>
        <w:right w:val="none" w:sz="0" w:space="0" w:color="auto"/>
      </w:divBdr>
    </w:div>
    <w:div w:id="1408653493">
      <w:bodyDiv w:val="1"/>
      <w:marLeft w:val="0"/>
      <w:marRight w:val="0"/>
      <w:marTop w:val="0"/>
      <w:marBottom w:val="0"/>
      <w:divBdr>
        <w:top w:val="none" w:sz="0" w:space="0" w:color="auto"/>
        <w:left w:val="none" w:sz="0" w:space="0" w:color="auto"/>
        <w:bottom w:val="none" w:sz="0" w:space="0" w:color="auto"/>
        <w:right w:val="none" w:sz="0" w:space="0" w:color="auto"/>
      </w:divBdr>
    </w:div>
    <w:div w:id="1408721228">
      <w:bodyDiv w:val="1"/>
      <w:marLeft w:val="0"/>
      <w:marRight w:val="0"/>
      <w:marTop w:val="0"/>
      <w:marBottom w:val="0"/>
      <w:divBdr>
        <w:top w:val="none" w:sz="0" w:space="0" w:color="auto"/>
        <w:left w:val="none" w:sz="0" w:space="0" w:color="auto"/>
        <w:bottom w:val="none" w:sz="0" w:space="0" w:color="auto"/>
        <w:right w:val="none" w:sz="0" w:space="0" w:color="auto"/>
      </w:divBdr>
    </w:div>
    <w:div w:id="1408766607">
      <w:bodyDiv w:val="1"/>
      <w:marLeft w:val="0"/>
      <w:marRight w:val="0"/>
      <w:marTop w:val="0"/>
      <w:marBottom w:val="0"/>
      <w:divBdr>
        <w:top w:val="none" w:sz="0" w:space="0" w:color="auto"/>
        <w:left w:val="none" w:sz="0" w:space="0" w:color="auto"/>
        <w:bottom w:val="none" w:sz="0" w:space="0" w:color="auto"/>
        <w:right w:val="none" w:sz="0" w:space="0" w:color="auto"/>
      </w:divBdr>
    </w:div>
    <w:div w:id="1408841652">
      <w:bodyDiv w:val="1"/>
      <w:marLeft w:val="0"/>
      <w:marRight w:val="0"/>
      <w:marTop w:val="0"/>
      <w:marBottom w:val="0"/>
      <w:divBdr>
        <w:top w:val="none" w:sz="0" w:space="0" w:color="auto"/>
        <w:left w:val="none" w:sz="0" w:space="0" w:color="auto"/>
        <w:bottom w:val="none" w:sz="0" w:space="0" w:color="auto"/>
        <w:right w:val="none" w:sz="0" w:space="0" w:color="auto"/>
      </w:divBdr>
    </w:div>
    <w:div w:id="1408842188">
      <w:bodyDiv w:val="1"/>
      <w:marLeft w:val="0"/>
      <w:marRight w:val="0"/>
      <w:marTop w:val="0"/>
      <w:marBottom w:val="0"/>
      <w:divBdr>
        <w:top w:val="none" w:sz="0" w:space="0" w:color="auto"/>
        <w:left w:val="none" w:sz="0" w:space="0" w:color="auto"/>
        <w:bottom w:val="none" w:sz="0" w:space="0" w:color="auto"/>
        <w:right w:val="none" w:sz="0" w:space="0" w:color="auto"/>
      </w:divBdr>
    </w:div>
    <w:div w:id="1408844612">
      <w:bodyDiv w:val="1"/>
      <w:marLeft w:val="0"/>
      <w:marRight w:val="0"/>
      <w:marTop w:val="0"/>
      <w:marBottom w:val="0"/>
      <w:divBdr>
        <w:top w:val="none" w:sz="0" w:space="0" w:color="auto"/>
        <w:left w:val="none" w:sz="0" w:space="0" w:color="auto"/>
        <w:bottom w:val="none" w:sz="0" w:space="0" w:color="auto"/>
        <w:right w:val="none" w:sz="0" w:space="0" w:color="auto"/>
      </w:divBdr>
    </w:div>
    <w:div w:id="1408845152">
      <w:bodyDiv w:val="1"/>
      <w:marLeft w:val="0"/>
      <w:marRight w:val="0"/>
      <w:marTop w:val="0"/>
      <w:marBottom w:val="0"/>
      <w:divBdr>
        <w:top w:val="none" w:sz="0" w:space="0" w:color="auto"/>
        <w:left w:val="none" w:sz="0" w:space="0" w:color="auto"/>
        <w:bottom w:val="none" w:sz="0" w:space="0" w:color="auto"/>
        <w:right w:val="none" w:sz="0" w:space="0" w:color="auto"/>
      </w:divBdr>
    </w:div>
    <w:div w:id="1408848253">
      <w:bodyDiv w:val="1"/>
      <w:marLeft w:val="0"/>
      <w:marRight w:val="0"/>
      <w:marTop w:val="0"/>
      <w:marBottom w:val="0"/>
      <w:divBdr>
        <w:top w:val="none" w:sz="0" w:space="0" w:color="auto"/>
        <w:left w:val="none" w:sz="0" w:space="0" w:color="auto"/>
        <w:bottom w:val="none" w:sz="0" w:space="0" w:color="auto"/>
        <w:right w:val="none" w:sz="0" w:space="0" w:color="auto"/>
      </w:divBdr>
    </w:div>
    <w:div w:id="1408916587">
      <w:bodyDiv w:val="1"/>
      <w:marLeft w:val="0"/>
      <w:marRight w:val="0"/>
      <w:marTop w:val="0"/>
      <w:marBottom w:val="0"/>
      <w:divBdr>
        <w:top w:val="none" w:sz="0" w:space="0" w:color="auto"/>
        <w:left w:val="none" w:sz="0" w:space="0" w:color="auto"/>
        <w:bottom w:val="none" w:sz="0" w:space="0" w:color="auto"/>
        <w:right w:val="none" w:sz="0" w:space="0" w:color="auto"/>
      </w:divBdr>
    </w:div>
    <w:div w:id="1408917008">
      <w:bodyDiv w:val="1"/>
      <w:marLeft w:val="0"/>
      <w:marRight w:val="0"/>
      <w:marTop w:val="0"/>
      <w:marBottom w:val="0"/>
      <w:divBdr>
        <w:top w:val="none" w:sz="0" w:space="0" w:color="auto"/>
        <w:left w:val="none" w:sz="0" w:space="0" w:color="auto"/>
        <w:bottom w:val="none" w:sz="0" w:space="0" w:color="auto"/>
        <w:right w:val="none" w:sz="0" w:space="0" w:color="auto"/>
      </w:divBdr>
    </w:div>
    <w:div w:id="1409033563">
      <w:bodyDiv w:val="1"/>
      <w:marLeft w:val="0"/>
      <w:marRight w:val="0"/>
      <w:marTop w:val="0"/>
      <w:marBottom w:val="0"/>
      <w:divBdr>
        <w:top w:val="none" w:sz="0" w:space="0" w:color="auto"/>
        <w:left w:val="none" w:sz="0" w:space="0" w:color="auto"/>
        <w:bottom w:val="none" w:sz="0" w:space="0" w:color="auto"/>
        <w:right w:val="none" w:sz="0" w:space="0" w:color="auto"/>
      </w:divBdr>
    </w:div>
    <w:div w:id="1409039168">
      <w:bodyDiv w:val="1"/>
      <w:marLeft w:val="0"/>
      <w:marRight w:val="0"/>
      <w:marTop w:val="0"/>
      <w:marBottom w:val="0"/>
      <w:divBdr>
        <w:top w:val="none" w:sz="0" w:space="0" w:color="auto"/>
        <w:left w:val="none" w:sz="0" w:space="0" w:color="auto"/>
        <w:bottom w:val="none" w:sz="0" w:space="0" w:color="auto"/>
        <w:right w:val="none" w:sz="0" w:space="0" w:color="auto"/>
      </w:divBdr>
    </w:div>
    <w:div w:id="1409186486">
      <w:bodyDiv w:val="1"/>
      <w:marLeft w:val="0"/>
      <w:marRight w:val="0"/>
      <w:marTop w:val="0"/>
      <w:marBottom w:val="0"/>
      <w:divBdr>
        <w:top w:val="none" w:sz="0" w:space="0" w:color="auto"/>
        <w:left w:val="none" w:sz="0" w:space="0" w:color="auto"/>
        <w:bottom w:val="none" w:sz="0" w:space="0" w:color="auto"/>
        <w:right w:val="none" w:sz="0" w:space="0" w:color="auto"/>
      </w:divBdr>
    </w:div>
    <w:div w:id="1409232618">
      <w:bodyDiv w:val="1"/>
      <w:marLeft w:val="0"/>
      <w:marRight w:val="0"/>
      <w:marTop w:val="0"/>
      <w:marBottom w:val="0"/>
      <w:divBdr>
        <w:top w:val="none" w:sz="0" w:space="0" w:color="auto"/>
        <w:left w:val="none" w:sz="0" w:space="0" w:color="auto"/>
        <w:bottom w:val="none" w:sz="0" w:space="0" w:color="auto"/>
        <w:right w:val="none" w:sz="0" w:space="0" w:color="auto"/>
      </w:divBdr>
    </w:div>
    <w:div w:id="1409376683">
      <w:bodyDiv w:val="1"/>
      <w:marLeft w:val="0"/>
      <w:marRight w:val="0"/>
      <w:marTop w:val="0"/>
      <w:marBottom w:val="0"/>
      <w:divBdr>
        <w:top w:val="none" w:sz="0" w:space="0" w:color="auto"/>
        <w:left w:val="none" w:sz="0" w:space="0" w:color="auto"/>
        <w:bottom w:val="none" w:sz="0" w:space="0" w:color="auto"/>
        <w:right w:val="none" w:sz="0" w:space="0" w:color="auto"/>
      </w:divBdr>
    </w:div>
    <w:div w:id="1409420773">
      <w:bodyDiv w:val="1"/>
      <w:marLeft w:val="0"/>
      <w:marRight w:val="0"/>
      <w:marTop w:val="0"/>
      <w:marBottom w:val="0"/>
      <w:divBdr>
        <w:top w:val="none" w:sz="0" w:space="0" w:color="auto"/>
        <w:left w:val="none" w:sz="0" w:space="0" w:color="auto"/>
        <w:bottom w:val="none" w:sz="0" w:space="0" w:color="auto"/>
        <w:right w:val="none" w:sz="0" w:space="0" w:color="auto"/>
      </w:divBdr>
    </w:div>
    <w:div w:id="1409573894">
      <w:bodyDiv w:val="1"/>
      <w:marLeft w:val="0"/>
      <w:marRight w:val="0"/>
      <w:marTop w:val="0"/>
      <w:marBottom w:val="0"/>
      <w:divBdr>
        <w:top w:val="none" w:sz="0" w:space="0" w:color="auto"/>
        <w:left w:val="none" w:sz="0" w:space="0" w:color="auto"/>
        <w:bottom w:val="none" w:sz="0" w:space="0" w:color="auto"/>
        <w:right w:val="none" w:sz="0" w:space="0" w:color="auto"/>
      </w:divBdr>
    </w:div>
    <w:div w:id="1409614832">
      <w:bodyDiv w:val="1"/>
      <w:marLeft w:val="0"/>
      <w:marRight w:val="0"/>
      <w:marTop w:val="0"/>
      <w:marBottom w:val="0"/>
      <w:divBdr>
        <w:top w:val="none" w:sz="0" w:space="0" w:color="auto"/>
        <w:left w:val="none" w:sz="0" w:space="0" w:color="auto"/>
        <w:bottom w:val="none" w:sz="0" w:space="0" w:color="auto"/>
        <w:right w:val="none" w:sz="0" w:space="0" w:color="auto"/>
      </w:divBdr>
    </w:div>
    <w:div w:id="1409615532">
      <w:bodyDiv w:val="1"/>
      <w:marLeft w:val="0"/>
      <w:marRight w:val="0"/>
      <w:marTop w:val="0"/>
      <w:marBottom w:val="0"/>
      <w:divBdr>
        <w:top w:val="none" w:sz="0" w:space="0" w:color="auto"/>
        <w:left w:val="none" w:sz="0" w:space="0" w:color="auto"/>
        <w:bottom w:val="none" w:sz="0" w:space="0" w:color="auto"/>
        <w:right w:val="none" w:sz="0" w:space="0" w:color="auto"/>
      </w:divBdr>
    </w:div>
    <w:div w:id="1409889704">
      <w:bodyDiv w:val="1"/>
      <w:marLeft w:val="0"/>
      <w:marRight w:val="0"/>
      <w:marTop w:val="0"/>
      <w:marBottom w:val="0"/>
      <w:divBdr>
        <w:top w:val="none" w:sz="0" w:space="0" w:color="auto"/>
        <w:left w:val="none" w:sz="0" w:space="0" w:color="auto"/>
        <w:bottom w:val="none" w:sz="0" w:space="0" w:color="auto"/>
        <w:right w:val="none" w:sz="0" w:space="0" w:color="auto"/>
      </w:divBdr>
    </w:div>
    <w:div w:id="1410007621">
      <w:bodyDiv w:val="1"/>
      <w:marLeft w:val="0"/>
      <w:marRight w:val="0"/>
      <w:marTop w:val="0"/>
      <w:marBottom w:val="0"/>
      <w:divBdr>
        <w:top w:val="none" w:sz="0" w:space="0" w:color="auto"/>
        <w:left w:val="none" w:sz="0" w:space="0" w:color="auto"/>
        <w:bottom w:val="none" w:sz="0" w:space="0" w:color="auto"/>
        <w:right w:val="none" w:sz="0" w:space="0" w:color="auto"/>
      </w:divBdr>
    </w:div>
    <w:div w:id="1410076645">
      <w:bodyDiv w:val="1"/>
      <w:marLeft w:val="0"/>
      <w:marRight w:val="0"/>
      <w:marTop w:val="0"/>
      <w:marBottom w:val="0"/>
      <w:divBdr>
        <w:top w:val="none" w:sz="0" w:space="0" w:color="auto"/>
        <w:left w:val="none" w:sz="0" w:space="0" w:color="auto"/>
        <w:bottom w:val="none" w:sz="0" w:space="0" w:color="auto"/>
        <w:right w:val="none" w:sz="0" w:space="0" w:color="auto"/>
      </w:divBdr>
    </w:div>
    <w:div w:id="1410269885">
      <w:bodyDiv w:val="1"/>
      <w:marLeft w:val="0"/>
      <w:marRight w:val="0"/>
      <w:marTop w:val="0"/>
      <w:marBottom w:val="0"/>
      <w:divBdr>
        <w:top w:val="none" w:sz="0" w:space="0" w:color="auto"/>
        <w:left w:val="none" w:sz="0" w:space="0" w:color="auto"/>
        <w:bottom w:val="none" w:sz="0" w:space="0" w:color="auto"/>
        <w:right w:val="none" w:sz="0" w:space="0" w:color="auto"/>
      </w:divBdr>
    </w:div>
    <w:div w:id="1410273434">
      <w:bodyDiv w:val="1"/>
      <w:marLeft w:val="0"/>
      <w:marRight w:val="0"/>
      <w:marTop w:val="0"/>
      <w:marBottom w:val="0"/>
      <w:divBdr>
        <w:top w:val="none" w:sz="0" w:space="0" w:color="auto"/>
        <w:left w:val="none" w:sz="0" w:space="0" w:color="auto"/>
        <w:bottom w:val="none" w:sz="0" w:space="0" w:color="auto"/>
        <w:right w:val="none" w:sz="0" w:space="0" w:color="auto"/>
      </w:divBdr>
    </w:div>
    <w:div w:id="1410273648">
      <w:bodyDiv w:val="1"/>
      <w:marLeft w:val="0"/>
      <w:marRight w:val="0"/>
      <w:marTop w:val="0"/>
      <w:marBottom w:val="0"/>
      <w:divBdr>
        <w:top w:val="none" w:sz="0" w:space="0" w:color="auto"/>
        <w:left w:val="none" w:sz="0" w:space="0" w:color="auto"/>
        <w:bottom w:val="none" w:sz="0" w:space="0" w:color="auto"/>
        <w:right w:val="none" w:sz="0" w:space="0" w:color="auto"/>
      </w:divBdr>
    </w:div>
    <w:div w:id="1410301909">
      <w:bodyDiv w:val="1"/>
      <w:marLeft w:val="0"/>
      <w:marRight w:val="0"/>
      <w:marTop w:val="0"/>
      <w:marBottom w:val="0"/>
      <w:divBdr>
        <w:top w:val="none" w:sz="0" w:space="0" w:color="auto"/>
        <w:left w:val="none" w:sz="0" w:space="0" w:color="auto"/>
        <w:bottom w:val="none" w:sz="0" w:space="0" w:color="auto"/>
        <w:right w:val="none" w:sz="0" w:space="0" w:color="auto"/>
      </w:divBdr>
    </w:div>
    <w:div w:id="1410424272">
      <w:bodyDiv w:val="1"/>
      <w:marLeft w:val="0"/>
      <w:marRight w:val="0"/>
      <w:marTop w:val="0"/>
      <w:marBottom w:val="0"/>
      <w:divBdr>
        <w:top w:val="none" w:sz="0" w:space="0" w:color="auto"/>
        <w:left w:val="none" w:sz="0" w:space="0" w:color="auto"/>
        <w:bottom w:val="none" w:sz="0" w:space="0" w:color="auto"/>
        <w:right w:val="none" w:sz="0" w:space="0" w:color="auto"/>
      </w:divBdr>
    </w:div>
    <w:div w:id="1410539734">
      <w:bodyDiv w:val="1"/>
      <w:marLeft w:val="0"/>
      <w:marRight w:val="0"/>
      <w:marTop w:val="0"/>
      <w:marBottom w:val="0"/>
      <w:divBdr>
        <w:top w:val="none" w:sz="0" w:space="0" w:color="auto"/>
        <w:left w:val="none" w:sz="0" w:space="0" w:color="auto"/>
        <w:bottom w:val="none" w:sz="0" w:space="0" w:color="auto"/>
        <w:right w:val="none" w:sz="0" w:space="0" w:color="auto"/>
      </w:divBdr>
    </w:div>
    <w:div w:id="1410612939">
      <w:bodyDiv w:val="1"/>
      <w:marLeft w:val="0"/>
      <w:marRight w:val="0"/>
      <w:marTop w:val="0"/>
      <w:marBottom w:val="0"/>
      <w:divBdr>
        <w:top w:val="none" w:sz="0" w:space="0" w:color="auto"/>
        <w:left w:val="none" w:sz="0" w:space="0" w:color="auto"/>
        <w:bottom w:val="none" w:sz="0" w:space="0" w:color="auto"/>
        <w:right w:val="none" w:sz="0" w:space="0" w:color="auto"/>
      </w:divBdr>
    </w:div>
    <w:div w:id="1410736829">
      <w:bodyDiv w:val="1"/>
      <w:marLeft w:val="0"/>
      <w:marRight w:val="0"/>
      <w:marTop w:val="0"/>
      <w:marBottom w:val="0"/>
      <w:divBdr>
        <w:top w:val="none" w:sz="0" w:space="0" w:color="auto"/>
        <w:left w:val="none" w:sz="0" w:space="0" w:color="auto"/>
        <w:bottom w:val="none" w:sz="0" w:space="0" w:color="auto"/>
        <w:right w:val="none" w:sz="0" w:space="0" w:color="auto"/>
      </w:divBdr>
    </w:div>
    <w:div w:id="1410737353">
      <w:bodyDiv w:val="1"/>
      <w:marLeft w:val="0"/>
      <w:marRight w:val="0"/>
      <w:marTop w:val="0"/>
      <w:marBottom w:val="0"/>
      <w:divBdr>
        <w:top w:val="none" w:sz="0" w:space="0" w:color="auto"/>
        <w:left w:val="none" w:sz="0" w:space="0" w:color="auto"/>
        <w:bottom w:val="none" w:sz="0" w:space="0" w:color="auto"/>
        <w:right w:val="none" w:sz="0" w:space="0" w:color="auto"/>
      </w:divBdr>
    </w:div>
    <w:div w:id="1410808561">
      <w:bodyDiv w:val="1"/>
      <w:marLeft w:val="0"/>
      <w:marRight w:val="0"/>
      <w:marTop w:val="0"/>
      <w:marBottom w:val="0"/>
      <w:divBdr>
        <w:top w:val="none" w:sz="0" w:space="0" w:color="auto"/>
        <w:left w:val="none" w:sz="0" w:space="0" w:color="auto"/>
        <w:bottom w:val="none" w:sz="0" w:space="0" w:color="auto"/>
        <w:right w:val="none" w:sz="0" w:space="0" w:color="auto"/>
      </w:divBdr>
    </w:div>
    <w:div w:id="1410809219">
      <w:bodyDiv w:val="1"/>
      <w:marLeft w:val="0"/>
      <w:marRight w:val="0"/>
      <w:marTop w:val="0"/>
      <w:marBottom w:val="0"/>
      <w:divBdr>
        <w:top w:val="none" w:sz="0" w:space="0" w:color="auto"/>
        <w:left w:val="none" w:sz="0" w:space="0" w:color="auto"/>
        <w:bottom w:val="none" w:sz="0" w:space="0" w:color="auto"/>
        <w:right w:val="none" w:sz="0" w:space="0" w:color="auto"/>
      </w:divBdr>
    </w:div>
    <w:div w:id="1410813715">
      <w:bodyDiv w:val="1"/>
      <w:marLeft w:val="0"/>
      <w:marRight w:val="0"/>
      <w:marTop w:val="0"/>
      <w:marBottom w:val="0"/>
      <w:divBdr>
        <w:top w:val="none" w:sz="0" w:space="0" w:color="auto"/>
        <w:left w:val="none" w:sz="0" w:space="0" w:color="auto"/>
        <w:bottom w:val="none" w:sz="0" w:space="0" w:color="auto"/>
        <w:right w:val="none" w:sz="0" w:space="0" w:color="auto"/>
      </w:divBdr>
    </w:div>
    <w:div w:id="1410813889">
      <w:bodyDiv w:val="1"/>
      <w:marLeft w:val="0"/>
      <w:marRight w:val="0"/>
      <w:marTop w:val="0"/>
      <w:marBottom w:val="0"/>
      <w:divBdr>
        <w:top w:val="none" w:sz="0" w:space="0" w:color="auto"/>
        <w:left w:val="none" w:sz="0" w:space="0" w:color="auto"/>
        <w:bottom w:val="none" w:sz="0" w:space="0" w:color="auto"/>
        <w:right w:val="none" w:sz="0" w:space="0" w:color="auto"/>
      </w:divBdr>
    </w:div>
    <w:div w:id="1410883543">
      <w:bodyDiv w:val="1"/>
      <w:marLeft w:val="0"/>
      <w:marRight w:val="0"/>
      <w:marTop w:val="0"/>
      <w:marBottom w:val="0"/>
      <w:divBdr>
        <w:top w:val="none" w:sz="0" w:space="0" w:color="auto"/>
        <w:left w:val="none" w:sz="0" w:space="0" w:color="auto"/>
        <w:bottom w:val="none" w:sz="0" w:space="0" w:color="auto"/>
        <w:right w:val="none" w:sz="0" w:space="0" w:color="auto"/>
      </w:divBdr>
    </w:div>
    <w:div w:id="1410926087">
      <w:bodyDiv w:val="1"/>
      <w:marLeft w:val="0"/>
      <w:marRight w:val="0"/>
      <w:marTop w:val="0"/>
      <w:marBottom w:val="0"/>
      <w:divBdr>
        <w:top w:val="none" w:sz="0" w:space="0" w:color="auto"/>
        <w:left w:val="none" w:sz="0" w:space="0" w:color="auto"/>
        <w:bottom w:val="none" w:sz="0" w:space="0" w:color="auto"/>
        <w:right w:val="none" w:sz="0" w:space="0" w:color="auto"/>
      </w:divBdr>
    </w:div>
    <w:div w:id="1410956108">
      <w:bodyDiv w:val="1"/>
      <w:marLeft w:val="0"/>
      <w:marRight w:val="0"/>
      <w:marTop w:val="0"/>
      <w:marBottom w:val="0"/>
      <w:divBdr>
        <w:top w:val="none" w:sz="0" w:space="0" w:color="auto"/>
        <w:left w:val="none" w:sz="0" w:space="0" w:color="auto"/>
        <w:bottom w:val="none" w:sz="0" w:space="0" w:color="auto"/>
        <w:right w:val="none" w:sz="0" w:space="0" w:color="auto"/>
      </w:divBdr>
    </w:div>
    <w:div w:id="1410999695">
      <w:bodyDiv w:val="1"/>
      <w:marLeft w:val="0"/>
      <w:marRight w:val="0"/>
      <w:marTop w:val="0"/>
      <w:marBottom w:val="0"/>
      <w:divBdr>
        <w:top w:val="none" w:sz="0" w:space="0" w:color="auto"/>
        <w:left w:val="none" w:sz="0" w:space="0" w:color="auto"/>
        <w:bottom w:val="none" w:sz="0" w:space="0" w:color="auto"/>
        <w:right w:val="none" w:sz="0" w:space="0" w:color="auto"/>
      </w:divBdr>
    </w:div>
    <w:div w:id="1411006458">
      <w:bodyDiv w:val="1"/>
      <w:marLeft w:val="0"/>
      <w:marRight w:val="0"/>
      <w:marTop w:val="0"/>
      <w:marBottom w:val="0"/>
      <w:divBdr>
        <w:top w:val="none" w:sz="0" w:space="0" w:color="auto"/>
        <w:left w:val="none" w:sz="0" w:space="0" w:color="auto"/>
        <w:bottom w:val="none" w:sz="0" w:space="0" w:color="auto"/>
        <w:right w:val="none" w:sz="0" w:space="0" w:color="auto"/>
      </w:divBdr>
    </w:div>
    <w:div w:id="1411074781">
      <w:bodyDiv w:val="1"/>
      <w:marLeft w:val="0"/>
      <w:marRight w:val="0"/>
      <w:marTop w:val="0"/>
      <w:marBottom w:val="0"/>
      <w:divBdr>
        <w:top w:val="none" w:sz="0" w:space="0" w:color="auto"/>
        <w:left w:val="none" w:sz="0" w:space="0" w:color="auto"/>
        <w:bottom w:val="none" w:sz="0" w:space="0" w:color="auto"/>
        <w:right w:val="none" w:sz="0" w:space="0" w:color="auto"/>
      </w:divBdr>
    </w:div>
    <w:div w:id="1411075370">
      <w:bodyDiv w:val="1"/>
      <w:marLeft w:val="0"/>
      <w:marRight w:val="0"/>
      <w:marTop w:val="0"/>
      <w:marBottom w:val="0"/>
      <w:divBdr>
        <w:top w:val="none" w:sz="0" w:space="0" w:color="auto"/>
        <w:left w:val="none" w:sz="0" w:space="0" w:color="auto"/>
        <w:bottom w:val="none" w:sz="0" w:space="0" w:color="auto"/>
        <w:right w:val="none" w:sz="0" w:space="0" w:color="auto"/>
      </w:divBdr>
    </w:div>
    <w:div w:id="1411191769">
      <w:bodyDiv w:val="1"/>
      <w:marLeft w:val="0"/>
      <w:marRight w:val="0"/>
      <w:marTop w:val="0"/>
      <w:marBottom w:val="0"/>
      <w:divBdr>
        <w:top w:val="none" w:sz="0" w:space="0" w:color="auto"/>
        <w:left w:val="none" w:sz="0" w:space="0" w:color="auto"/>
        <w:bottom w:val="none" w:sz="0" w:space="0" w:color="auto"/>
        <w:right w:val="none" w:sz="0" w:space="0" w:color="auto"/>
      </w:divBdr>
    </w:div>
    <w:div w:id="1411193798">
      <w:bodyDiv w:val="1"/>
      <w:marLeft w:val="0"/>
      <w:marRight w:val="0"/>
      <w:marTop w:val="0"/>
      <w:marBottom w:val="0"/>
      <w:divBdr>
        <w:top w:val="none" w:sz="0" w:space="0" w:color="auto"/>
        <w:left w:val="none" w:sz="0" w:space="0" w:color="auto"/>
        <w:bottom w:val="none" w:sz="0" w:space="0" w:color="auto"/>
        <w:right w:val="none" w:sz="0" w:space="0" w:color="auto"/>
      </w:divBdr>
    </w:div>
    <w:div w:id="1411199063">
      <w:bodyDiv w:val="1"/>
      <w:marLeft w:val="0"/>
      <w:marRight w:val="0"/>
      <w:marTop w:val="0"/>
      <w:marBottom w:val="0"/>
      <w:divBdr>
        <w:top w:val="none" w:sz="0" w:space="0" w:color="auto"/>
        <w:left w:val="none" w:sz="0" w:space="0" w:color="auto"/>
        <w:bottom w:val="none" w:sz="0" w:space="0" w:color="auto"/>
        <w:right w:val="none" w:sz="0" w:space="0" w:color="auto"/>
      </w:divBdr>
    </w:div>
    <w:div w:id="1411267673">
      <w:bodyDiv w:val="1"/>
      <w:marLeft w:val="0"/>
      <w:marRight w:val="0"/>
      <w:marTop w:val="0"/>
      <w:marBottom w:val="0"/>
      <w:divBdr>
        <w:top w:val="none" w:sz="0" w:space="0" w:color="auto"/>
        <w:left w:val="none" w:sz="0" w:space="0" w:color="auto"/>
        <w:bottom w:val="none" w:sz="0" w:space="0" w:color="auto"/>
        <w:right w:val="none" w:sz="0" w:space="0" w:color="auto"/>
      </w:divBdr>
    </w:div>
    <w:div w:id="1411343450">
      <w:bodyDiv w:val="1"/>
      <w:marLeft w:val="0"/>
      <w:marRight w:val="0"/>
      <w:marTop w:val="0"/>
      <w:marBottom w:val="0"/>
      <w:divBdr>
        <w:top w:val="none" w:sz="0" w:space="0" w:color="auto"/>
        <w:left w:val="none" w:sz="0" w:space="0" w:color="auto"/>
        <w:bottom w:val="none" w:sz="0" w:space="0" w:color="auto"/>
        <w:right w:val="none" w:sz="0" w:space="0" w:color="auto"/>
      </w:divBdr>
    </w:div>
    <w:div w:id="1411347915">
      <w:bodyDiv w:val="1"/>
      <w:marLeft w:val="0"/>
      <w:marRight w:val="0"/>
      <w:marTop w:val="0"/>
      <w:marBottom w:val="0"/>
      <w:divBdr>
        <w:top w:val="none" w:sz="0" w:space="0" w:color="auto"/>
        <w:left w:val="none" w:sz="0" w:space="0" w:color="auto"/>
        <w:bottom w:val="none" w:sz="0" w:space="0" w:color="auto"/>
        <w:right w:val="none" w:sz="0" w:space="0" w:color="auto"/>
      </w:divBdr>
    </w:div>
    <w:div w:id="1411392945">
      <w:bodyDiv w:val="1"/>
      <w:marLeft w:val="0"/>
      <w:marRight w:val="0"/>
      <w:marTop w:val="0"/>
      <w:marBottom w:val="0"/>
      <w:divBdr>
        <w:top w:val="none" w:sz="0" w:space="0" w:color="auto"/>
        <w:left w:val="none" w:sz="0" w:space="0" w:color="auto"/>
        <w:bottom w:val="none" w:sz="0" w:space="0" w:color="auto"/>
        <w:right w:val="none" w:sz="0" w:space="0" w:color="auto"/>
      </w:divBdr>
    </w:div>
    <w:div w:id="1411393489">
      <w:bodyDiv w:val="1"/>
      <w:marLeft w:val="0"/>
      <w:marRight w:val="0"/>
      <w:marTop w:val="0"/>
      <w:marBottom w:val="0"/>
      <w:divBdr>
        <w:top w:val="none" w:sz="0" w:space="0" w:color="auto"/>
        <w:left w:val="none" w:sz="0" w:space="0" w:color="auto"/>
        <w:bottom w:val="none" w:sz="0" w:space="0" w:color="auto"/>
        <w:right w:val="none" w:sz="0" w:space="0" w:color="auto"/>
      </w:divBdr>
    </w:div>
    <w:div w:id="1411462615">
      <w:bodyDiv w:val="1"/>
      <w:marLeft w:val="0"/>
      <w:marRight w:val="0"/>
      <w:marTop w:val="0"/>
      <w:marBottom w:val="0"/>
      <w:divBdr>
        <w:top w:val="none" w:sz="0" w:space="0" w:color="auto"/>
        <w:left w:val="none" w:sz="0" w:space="0" w:color="auto"/>
        <w:bottom w:val="none" w:sz="0" w:space="0" w:color="auto"/>
        <w:right w:val="none" w:sz="0" w:space="0" w:color="auto"/>
      </w:divBdr>
    </w:div>
    <w:div w:id="1411541688">
      <w:bodyDiv w:val="1"/>
      <w:marLeft w:val="0"/>
      <w:marRight w:val="0"/>
      <w:marTop w:val="0"/>
      <w:marBottom w:val="0"/>
      <w:divBdr>
        <w:top w:val="none" w:sz="0" w:space="0" w:color="auto"/>
        <w:left w:val="none" w:sz="0" w:space="0" w:color="auto"/>
        <w:bottom w:val="none" w:sz="0" w:space="0" w:color="auto"/>
        <w:right w:val="none" w:sz="0" w:space="0" w:color="auto"/>
      </w:divBdr>
    </w:div>
    <w:div w:id="1411734238">
      <w:bodyDiv w:val="1"/>
      <w:marLeft w:val="0"/>
      <w:marRight w:val="0"/>
      <w:marTop w:val="0"/>
      <w:marBottom w:val="0"/>
      <w:divBdr>
        <w:top w:val="none" w:sz="0" w:space="0" w:color="auto"/>
        <w:left w:val="none" w:sz="0" w:space="0" w:color="auto"/>
        <w:bottom w:val="none" w:sz="0" w:space="0" w:color="auto"/>
        <w:right w:val="none" w:sz="0" w:space="0" w:color="auto"/>
      </w:divBdr>
    </w:div>
    <w:div w:id="1411776635">
      <w:bodyDiv w:val="1"/>
      <w:marLeft w:val="0"/>
      <w:marRight w:val="0"/>
      <w:marTop w:val="0"/>
      <w:marBottom w:val="0"/>
      <w:divBdr>
        <w:top w:val="none" w:sz="0" w:space="0" w:color="auto"/>
        <w:left w:val="none" w:sz="0" w:space="0" w:color="auto"/>
        <w:bottom w:val="none" w:sz="0" w:space="0" w:color="auto"/>
        <w:right w:val="none" w:sz="0" w:space="0" w:color="auto"/>
      </w:divBdr>
    </w:div>
    <w:div w:id="1411847788">
      <w:bodyDiv w:val="1"/>
      <w:marLeft w:val="0"/>
      <w:marRight w:val="0"/>
      <w:marTop w:val="0"/>
      <w:marBottom w:val="0"/>
      <w:divBdr>
        <w:top w:val="none" w:sz="0" w:space="0" w:color="auto"/>
        <w:left w:val="none" w:sz="0" w:space="0" w:color="auto"/>
        <w:bottom w:val="none" w:sz="0" w:space="0" w:color="auto"/>
        <w:right w:val="none" w:sz="0" w:space="0" w:color="auto"/>
      </w:divBdr>
    </w:div>
    <w:div w:id="1412047607">
      <w:bodyDiv w:val="1"/>
      <w:marLeft w:val="0"/>
      <w:marRight w:val="0"/>
      <w:marTop w:val="0"/>
      <w:marBottom w:val="0"/>
      <w:divBdr>
        <w:top w:val="none" w:sz="0" w:space="0" w:color="auto"/>
        <w:left w:val="none" w:sz="0" w:space="0" w:color="auto"/>
        <w:bottom w:val="none" w:sz="0" w:space="0" w:color="auto"/>
        <w:right w:val="none" w:sz="0" w:space="0" w:color="auto"/>
      </w:divBdr>
    </w:div>
    <w:div w:id="1412120136">
      <w:bodyDiv w:val="1"/>
      <w:marLeft w:val="0"/>
      <w:marRight w:val="0"/>
      <w:marTop w:val="0"/>
      <w:marBottom w:val="0"/>
      <w:divBdr>
        <w:top w:val="none" w:sz="0" w:space="0" w:color="auto"/>
        <w:left w:val="none" w:sz="0" w:space="0" w:color="auto"/>
        <w:bottom w:val="none" w:sz="0" w:space="0" w:color="auto"/>
        <w:right w:val="none" w:sz="0" w:space="0" w:color="auto"/>
      </w:divBdr>
    </w:div>
    <w:div w:id="1412122688">
      <w:bodyDiv w:val="1"/>
      <w:marLeft w:val="0"/>
      <w:marRight w:val="0"/>
      <w:marTop w:val="0"/>
      <w:marBottom w:val="0"/>
      <w:divBdr>
        <w:top w:val="none" w:sz="0" w:space="0" w:color="auto"/>
        <w:left w:val="none" w:sz="0" w:space="0" w:color="auto"/>
        <w:bottom w:val="none" w:sz="0" w:space="0" w:color="auto"/>
        <w:right w:val="none" w:sz="0" w:space="0" w:color="auto"/>
      </w:divBdr>
    </w:div>
    <w:div w:id="1412193151">
      <w:bodyDiv w:val="1"/>
      <w:marLeft w:val="0"/>
      <w:marRight w:val="0"/>
      <w:marTop w:val="0"/>
      <w:marBottom w:val="0"/>
      <w:divBdr>
        <w:top w:val="none" w:sz="0" w:space="0" w:color="auto"/>
        <w:left w:val="none" w:sz="0" w:space="0" w:color="auto"/>
        <w:bottom w:val="none" w:sz="0" w:space="0" w:color="auto"/>
        <w:right w:val="none" w:sz="0" w:space="0" w:color="auto"/>
      </w:divBdr>
    </w:div>
    <w:div w:id="1412241829">
      <w:bodyDiv w:val="1"/>
      <w:marLeft w:val="0"/>
      <w:marRight w:val="0"/>
      <w:marTop w:val="0"/>
      <w:marBottom w:val="0"/>
      <w:divBdr>
        <w:top w:val="none" w:sz="0" w:space="0" w:color="auto"/>
        <w:left w:val="none" w:sz="0" w:space="0" w:color="auto"/>
        <w:bottom w:val="none" w:sz="0" w:space="0" w:color="auto"/>
        <w:right w:val="none" w:sz="0" w:space="0" w:color="auto"/>
      </w:divBdr>
    </w:div>
    <w:div w:id="1412267078">
      <w:bodyDiv w:val="1"/>
      <w:marLeft w:val="0"/>
      <w:marRight w:val="0"/>
      <w:marTop w:val="0"/>
      <w:marBottom w:val="0"/>
      <w:divBdr>
        <w:top w:val="none" w:sz="0" w:space="0" w:color="auto"/>
        <w:left w:val="none" w:sz="0" w:space="0" w:color="auto"/>
        <w:bottom w:val="none" w:sz="0" w:space="0" w:color="auto"/>
        <w:right w:val="none" w:sz="0" w:space="0" w:color="auto"/>
      </w:divBdr>
    </w:div>
    <w:div w:id="1412267383">
      <w:bodyDiv w:val="1"/>
      <w:marLeft w:val="0"/>
      <w:marRight w:val="0"/>
      <w:marTop w:val="0"/>
      <w:marBottom w:val="0"/>
      <w:divBdr>
        <w:top w:val="none" w:sz="0" w:space="0" w:color="auto"/>
        <w:left w:val="none" w:sz="0" w:space="0" w:color="auto"/>
        <w:bottom w:val="none" w:sz="0" w:space="0" w:color="auto"/>
        <w:right w:val="none" w:sz="0" w:space="0" w:color="auto"/>
      </w:divBdr>
    </w:div>
    <w:div w:id="1412576883">
      <w:bodyDiv w:val="1"/>
      <w:marLeft w:val="0"/>
      <w:marRight w:val="0"/>
      <w:marTop w:val="0"/>
      <w:marBottom w:val="0"/>
      <w:divBdr>
        <w:top w:val="none" w:sz="0" w:space="0" w:color="auto"/>
        <w:left w:val="none" w:sz="0" w:space="0" w:color="auto"/>
        <w:bottom w:val="none" w:sz="0" w:space="0" w:color="auto"/>
        <w:right w:val="none" w:sz="0" w:space="0" w:color="auto"/>
      </w:divBdr>
    </w:div>
    <w:div w:id="1412658137">
      <w:bodyDiv w:val="1"/>
      <w:marLeft w:val="0"/>
      <w:marRight w:val="0"/>
      <w:marTop w:val="0"/>
      <w:marBottom w:val="0"/>
      <w:divBdr>
        <w:top w:val="none" w:sz="0" w:space="0" w:color="auto"/>
        <w:left w:val="none" w:sz="0" w:space="0" w:color="auto"/>
        <w:bottom w:val="none" w:sz="0" w:space="0" w:color="auto"/>
        <w:right w:val="none" w:sz="0" w:space="0" w:color="auto"/>
      </w:divBdr>
    </w:div>
    <w:div w:id="1412966571">
      <w:bodyDiv w:val="1"/>
      <w:marLeft w:val="0"/>
      <w:marRight w:val="0"/>
      <w:marTop w:val="0"/>
      <w:marBottom w:val="0"/>
      <w:divBdr>
        <w:top w:val="none" w:sz="0" w:space="0" w:color="auto"/>
        <w:left w:val="none" w:sz="0" w:space="0" w:color="auto"/>
        <w:bottom w:val="none" w:sz="0" w:space="0" w:color="auto"/>
        <w:right w:val="none" w:sz="0" w:space="0" w:color="auto"/>
      </w:divBdr>
    </w:div>
    <w:div w:id="1413047256">
      <w:bodyDiv w:val="1"/>
      <w:marLeft w:val="0"/>
      <w:marRight w:val="0"/>
      <w:marTop w:val="0"/>
      <w:marBottom w:val="0"/>
      <w:divBdr>
        <w:top w:val="none" w:sz="0" w:space="0" w:color="auto"/>
        <w:left w:val="none" w:sz="0" w:space="0" w:color="auto"/>
        <w:bottom w:val="none" w:sz="0" w:space="0" w:color="auto"/>
        <w:right w:val="none" w:sz="0" w:space="0" w:color="auto"/>
      </w:divBdr>
    </w:div>
    <w:div w:id="1413115716">
      <w:bodyDiv w:val="1"/>
      <w:marLeft w:val="0"/>
      <w:marRight w:val="0"/>
      <w:marTop w:val="0"/>
      <w:marBottom w:val="0"/>
      <w:divBdr>
        <w:top w:val="none" w:sz="0" w:space="0" w:color="auto"/>
        <w:left w:val="none" w:sz="0" w:space="0" w:color="auto"/>
        <w:bottom w:val="none" w:sz="0" w:space="0" w:color="auto"/>
        <w:right w:val="none" w:sz="0" w:space="0" w:color="auto"/>
      </w:divBdr>
    </w:div>
    <w:div w:id="1413160498">
      <w:bodyDiv w:val="1"/>
      <w:marLeft w:val="0"/>
      <w:marRight w:val="0"/>
      <w:marTop w:val="0"/>
      <w:marBottom w:val="0"/>
      <w:divBdr>
        <w:top w:val="none" w:sz="0" w:space="0" w:color="auto"/>
        <w:left w:val="none" w:sz="0" w:space="0" w:color="auto"/>
        <w:bottom w:val="none" w:sz="0" w:space="0" w:color="auto"/>
        <w:right w:val="none" w:sz="0" w:space="0" w:color="auto"/>
      </w:divBdr>
    </w:div>
    <w:div w:id="1413236872">
      <w:bodyDiv w:val="1"/>
      <w:marLeft w:val="0"/>
      <w:marRight w:val="0"/>
      <w:marTop w:val="0"/>
      <w:marBottom w:val="0"/>
      <w:divBdr>
        <w:top w:val="none" w:sz="0" w:space="0" w:color="auto"/>
        <w:left w:val="none" w:sz="0" w:space="0" w:color="auto"/>
        <w:bottom w:val="none" w:sz="0" w:space="0" w:color="auto"/>
        <w:right w:val="none" w:sz="0" w:space="0" w:color="auto"/>
      </w:divBdr>
    </w:div>
    <w:div w:id="1413238759">
      <w:bodyDiv w:val="1"/>
      <w:marLeft w:val="0"/>
      <w:marRight w:val="0"/>
      <w:marTop w:val="0"/>
      <w:marBottom w:val="0"/>
      <w:divBdr>
        <w:top w:val="none" w:sz="0" w:space="0" w:color="auto"/>
        <w:left w:val="none" w:sz="0" w:space="0" w:color="auto"/>
        <w:bottom w:val="none" w:sz="0" w:space="0" w:color="auto"/>
        <w:right w:val="none" w:sz="0" w:space="0" w:color="auto"/>
      </w:divBdr>
    </w:div>
    <w:div w:id="1413241218">
      <w:bodyDiv w:val="1"/>
      <w:marLeft w:val="0"/>
      <w:marRight w:val="0"/>
      <w:marTop w:val="0"/>
      <w:marBottom w:val="0"/>
      <w:divBdr>
        <w:top w:val="none" w:sz="0" w:space="0" w:color="auto"/>
        <w:left w:val="none" w:sz="0" w:space="0" w:color="auto"/>
        <w:bottom w:val="none" w:sz="0" w:space="0" w:color="auto"/>
        <w:right w:val="none" w:sz="0" w:space="0" w:color="auto"/>
      </w:divBdr>
    </w:div>
    <w:div w:id="1413315903">
      <w:bodyDiv w:val="1"/>
      <w:marLeft w:val="0"/>
      <w:marRight w:val="0"/>
      <w:marTop w:val="0"/>
      <w:marBottom w:val="0"/>
      <w:divBdr>
        <w:top w:val="none" w:sz="0" w:space="0" w:color="auto"/>
        <w:left w:val="none" w:sz="0" w:space="0" w:color="auto"/>
        <w:bottom w:val="none" w:sz="0" w:space="0" w:color="auto"/>
        <w:right w:val="none" w:sz="0" w:space="0" w:color="auto"/>
      </w:divBdr>
    </w:div>
    <w:div w:id="1413427311">
      <w:bodyDiv w:val="1"/>
      <w:marLeft w:val="0"/>
      <w:marRight w:val="0"/>
      <w:marTop w:val="0"/>
      <w:marBottom w:val="0"/>
      <w:divBdr>
        <w:top w:val="none" w:sz="0" w:space="0" w:color="auto"/>
        <w:left w:val="none" w:sz="0" w:space="0" w:color="auto"/>
        <w:bottom w:val="none" w:sz="0" w:space="0" w:color="auto"/>
        <w:right w:val="none" w:sz="0" w:space="0" w:color="auto"/>
      </w:divBdr>
    </w:div>
    <w:div w:id="1413432137">
      <w:bodyDiv w:val="1"/>
      <w:marLeft w:val="0"/>
      <w:marRight w:val="0"/>
      <w:marTop w:val="0"/>
      <w:marBottom w:val="0"/>
      <w:divBdr>
        <w:top w:val="none" w:sz="0" w:space="0" w:color="auto"/>
        <w:left w:val="none" w:sz="0" w:space="0" w:color="auto"/>
        <w:bottom w:val="none" w:sz="0" w:space="0" w:color="auto"/>
        <w:right w:val="none" w:sz="0" w:space="0" w:color="auto"/>
      </w:divBdr>
    </w:div>
    <w:div w:id="1413432936">
      <w:bodyDiv w:val="1"/>
      <w:marLeft w:val="0"/>
      <w:marRight w:val="0"/>
      <w:marTop w:val="0"/>
      <w:marBottom w:val="0"/>
      <w:divBdr>
        <w:top w:val="none" w:sz="0" w:space="0" w:color="auto"/>
        <w:left w:val="none" w:sz="0" w:space="0" w:color="auto"/>
        <w:bottom w:val="none" w:sz="0" w:space="0" w:color="auto"/>
        <w:right w:val="none" w:sz="0" w:space="0" w:color="auto"/>
      </w:divBdr>
    </w:div>
    <w:div w:id="1413508005">
      <w:bodyDiv w:val="1"/>
      <w:marLeft w:val="0"/>
      <w:marRight w:val="0"/>
      <w:marTop w:val="0"/>
      <w:marBottom w:val="0"/>
      <w:divBdr>
        <w:top w:val="none" w:sz="0" w:space="0" w:color="auto"/>
        <w:left w:val="none" w:sz="0" w:space="0" w:color="auto"/>
        <w:bottom w:val="none" w:sz="0" w:space="0" w:color="auto"/>
        <w:right w:val="none" w:sz="0" w:space="0" w:color="auto"/>
      </w:divBdr>
    </w:div>
    <w:div w:id="1413624160">
      <w:bodyDiv w:val="1"/>
      <w:marLeft w:val="0"/>
      <w:marRight w:val="0"/>
      <w:marTop w:val="0"/>
      <w:marBottom w:val="0"/>
      <w:divBdr>
        <w:top w:val="none" w:sz="0" w:space="0" w:color="auto"/>
        <w:left w:val="none" w:sz="0" w:space="0" w:color="auto"/>
        <w:bottom w:val="none" w:sz="0" w:space="0" w:color="auto"/>
        <w:right w:val="none" w:sz="0" w:space="0" w:color="auto"/>
      </w:divBdr>
    </w:div>
    <w:div w:id="1413744404">
      <w:bodyDiv w:val="1"/>
      <w:marLeft w:val="0"/>
      <w:marRight w:val="0"/>
      <w:marTop w:val="0"/>
      <w:marBottom w:val="0"/>
      <w:divBdr>
        <w:top w:val="none" w:sz="0" w:space="0" w:color="auto"/>
        <w:left w:val="none" w:sz="0" w:space="0" w:color="auto"/>
        <w:bottom w:val="none" w:sz="0" w:space="0" w:color="auto"/>
        <w:right w:val="none" w:sz="0" w:space="0" w:color="auto"/>
      </w:divBdr>
    </w:div>
    <w:div w:id="1413745105">
      <w:bodyDiv w:val="1"/>
      <w:marLeft w:val="0"/>
      <w:marRight w:val="0"/>
      <w:marTop w:val="0"/>
      <w:marBottom w:val="0"/>
      <w:divBdr>
        <w:top w:val="none" w:sz="0" w:space="0" w:color="auto"/>
        <w:left w:val="none" w:sz="0" w:space="0" w:color="auto"/>
        <w:bottom w:val="none" w:sz="0" w:space="0" w:color="auto"/>
        <w:right w:val="none" w:sz="0" w:space="0" w:color="auto"/>
      </w:divBdr>
    </w:div>
    <w:div w:id="1413745975">
      <w:bodyDiv w:val="1"/>
      <w:marLeft w:val="0"/>
      <w:marRight w:val="0"/>
      <w:marTop w:val="0"/>
      <w:marBottom w:val="0"/>
      <w:divBdr>
        <w:top w:val="none" w:sz="0" w:space="0" w:color="auto"/>
        <w:left w:val="none" w:sz="0" w:space="0" w:color="auto"/>
        <w:bottom w:val="none" w:sz="0" w:space="0" w:color="auto"/>
        <w:right w:val="none" w:sz="0" w:space="0" w:color="auto"/>
      </w:divBdr>
    </w:div>
    <w:div w:id="1413772554">
      <w:bodyDiv w:val="1"/>
      <w:marLeft w:val="0"/>
      <w:marRight w:val="0"/>
      <w:marTop w:val="0"/>
      <w:marBottom w:val="0"/>
      <w:divBdr>
        <w:top w:val="none" w:sz="0" w:space="0" w:color="auto"/>
        <w:left w:val="none" w:sz="0" w:space="0" w:color="auto"/>
        <w:bottom w:val="none" w:sz="0" w:space="0" w:color="auto"/>
        <w:right w:val="none" w:sz="0" w:space="0" w:color="auto"/>
      </w:divBdr>
    </w:div>
    <w:div w:id="1413887940">
      <w:bodyDiv w:val="1"/>
      <w:marLeft w:val="0"/>
      <w:marRight w:val="0"/>
      <w:marTop w:val="0"/>
      <w:marBottom w:val="0"/>
      <w:divBdr>
        <w:top w:val="none" w:sz="0" w:space="0" w:color="auto"/>
        <w:left w:val="none" w:sz="0" w:space="0" w:color="auto"/>
        <w:bottom w:val="none" w:sz="0" w:space="0" w:color="auto"/>
        <w:right w:val="none" w:sz="0" w:space="0" w:color="auto"/>
      </w:divBdr>
    </w:div>
    <w:div w:id="1413894635">
      <w:bodyDiv w:val="1"/>
      <w:marLeft w:val="0"/>
      <w:marRight w:val="0"/>
      <w:marTop w:val="0"/>
      <w:marBottom w:val="0"/>
      <w:divBdr>
        <w:top w:val="none" w:sz="0" w:space="0" w:color="auto"/>
        <w:left w:val="none" w:sz="0" w:space="0" w:color="auto"/>
        <w:bottom w:val="none" w:sz="0" w:space="0" w:color="auto"/>
        <w:right w:val="none" w:sz="0" w:space="0" w:color="auto"/>
      </w:divBdr>
    </w:div>
    <w:div w:id="1413965962">
      <w:bodyDiv w:val="1"/>
      <w:marLeft w:val="0"/>
      <w:marRight w:val="0"/>
      <w:marTop w:val="0"/>
      <w:marBottom w:val="0"/>
      <w:divBdr>
        <w:top w:val="none" w:sz="0" w:space="0" w:color="auto"/>
        <w:left w:val="none" w:sz="0" w:space="0" w:color="auto"/>
        <w:bottom w:val="none" w:sz="0" w:space="0" w:color="auto"/>
        <w:right w:val="none" w:sz="0" w:space="0" w:color="auto"/>
      </w:divBdr>
    </w:div>
    <w:div w:id="1414011215">
      <w:bodyDiv w:val="1"/>
      <w:marLeft w:val="0"/>
      <w:marRight w:val="0"/>
      <w:marTop w:val="0"/>
      <w:marBottom w:val="0"/>
      <w:divBdr>
        <w:top w:val="none" w:sz="0" w:space="0" w:color="auto"/>
        <w:left w:val="none" w:sz="0" w:space="0" w:color="auto"/>
        <w:bottom w:val="none" w:sz="0" w:space="0" w:color="auto"/>
        <w:right w:val="none" w:sz="0" w:space="0" w:color="auto"/>
      </w:divBdr>
    </w:div>
    <w:div w:id="1414012504">
      <w:bodyDiv w:val="1"/>
      <w:marLeft w:val="0"/>
      <w:marRight w:val="0"/>
      <w:marTop w:val="0"/>
      <w:marBottom w:val="0"/>
      <w:divBdr>
        <w:top w:val="none" w:sz="0" w:space="0" w:color="auto"/>
        <w:left w:val="none" w:sz="0" w:space="0" w:color="auto"/>
        <w:bottom w:val="none" w:sz="0" w:space="0" w:color="auto"/>
        <w:right w:val="none" w:sz="0" w:space="0" w:color="auto"/>
      </w:divBdr>
    </w:div>
    <w:div w:id="1414014957">
      <w:bodyDiv w:val="1"/>
      <w:marLeft w:val="0"/>
      <w:marRight w:val="0"/>
      <w:marTop w:val="0"/>
      <w:marBottom w:val="0"/>
      <w:divBdr>
        <w:top w:val="none" w:sz="0" w:space="0" w:color="auto"/>
        <w:left w:val="none" w:sz="0" w:space="0" w:color="auto"/>
        <w:bottom w:val="none" w:sz="0" w:space="0" w:color="auto"/>
        <w:right w:val="none" w:sz="0" w:space="0" w:color="auto"/>
      </w:divBdr>
    </w:div>
    <w:div w:id="1414084936">
      <w:bodyDiv w:val="1"/>
      <w:marLeft w:val="0"/>
      <w:marRight w:val="0"/>
      <w:marTop w:val="0"/>
      <w:marBottom w:val="0"/>
      <w:divBdr>
        <w:top w:val="none" w:sz="0" w:space="0" w:color="auto"/>
        <w:left w:val="none" w:sz="0" w:space="0" w:color="auto"/>
        <w:bottom w:val="none" w:sz="0" w:space="0" w:color="auto"/>
        <w:right w:val="none" w:sz="0" w:space="0" w:color="auto"/>
      </w:divBdr>
    </w:div>
    <w:div w:id="1414203300">
      <w:bodyDiv w:val="1"/>
      <w:marLeft w:val="0"/>
      <w:marRight w:val="0"/>
      <w:marTop w:val="0"/>
      <w:marBottom w:val="0"/>
      <w:divBdr>
        <w:top w:val="none" w:sz="0" w:space="0" w:color="auto"/>
        <w:left w:val="none" w:sz="0" w:space="0" w:color="auto"/>
        <w:bottom w:val="none" w:sz="0" w:space="0" w:color="auto"/>
        <w:right w:val="none" w:sz="0" w:space="0" w:color="auto"/>
      </w:divBdr>
    </w:div>
    <w:div w:id="1414350430">
      <w:bodyDiv w:val="1"/>
      <w:marLeft w:val="0"/>
      <w:marRight w:val="0"/>
      <w:marTop w:val="0"/>
      <w:marBottom w:val="0"/>
      <w:divBdr>
        <w:top w:val="none" w:sz="0" w:space="0" w:color="auto"/>
        <w:left w:val="none" w:sz="0" w:space="0" w:color="auto"/>
        <w:bottom w:val="none" w:sz="0" w:space="0" w:color="auto"/>
        <w:right w:val="none" w:sz="0" w:space="0" w:color="auto"/>
      </w:divBdr>
    </w:div>
    <w:div w:id="1414468410">
      <w:bodyDiv w:val="1"/>
      <w:marLeft w:val="0"/>
      <w:marRight w:val="0"/>
      <w:marTop w:val="0"/>
      <w:marBottom w:val="0"/>
      <w:divBdr>
        <w:top w:val="none" w:sz="0" w:space="0" w:color="auto"/>
        <w:left w:val="none" w:sz="0" w:space="0" w:color="auto"/>
        <w:bottom w:val="none" w:sz="0" w:space="0" w:color="auto"/>
        <w:right w:val="none" w:sz="0" w:space="0" w:color="auto"/>
      </w:divBdr>
    </w:div>
    <w:div w:id="1414547841">
      <w:bodyDiv w:val="1"/>
      <w:marLeft w:val="0"/>
      <w:marRight w:val="0"/>
      <w:marTop w:val="0"/>
      <w:marBottom w:val="0"/>
      <w:divBdr>
        <w:top w:val="none" w:sz="0" w:space="0" w:color="auto"/>
        <w:left w:val="none" w:sz="0" w:space="0" w:color="auto"/>
        <w:bottom w:val="none" w:sz="0" w:space="0" w:color="auto"/>
        <w:right w:val="none" w:sz="0" w:space="0" w:color="auto"/>
      </w:divBdr>
    </w:div>
    <w:div w:id="1414625519">
      <w:bodyDiv w:val="1"/>
      <w:marLeft w:val="0"/>
      <w:marRight w:val="0"/>
      <w:marTop w:val="0"/>
      <w:marBottom w:val="0"/>
      <w:divBdr>
        <w:top w:val="none" w:sz="0" w:space="0" w:color="auto"/>
        <w:left w:val="none" w:sz="0" w:space="0" w:color="auto"/>
        <w:bottom w:val="none" w:sz="0" w:space="0" w:color="auto"/>
        <w:right w:val="none" w:sz="0" w:space="0" w:color="auto"/>
      </w:divBdr>
    </w:div>
    <w:div w:id="1414627177">
      <w:bodyDiv w:val="1"/>
      <w:marLeft w:val="0"/>
      <w:marRight w:val="0"/>
      <w:marTop w:val="0"/>
      <w:marBottom w:val="0"/>
      <w:divBdr>
        <w:top w:val="none" w:sz="0" w:space="0" w:color="auto"/>
        <w:left w:val="none" w:sz="0" w:space="0" w:color="auto"/>
        <w:bottom w:val="none" w:sz="0" w:space="0" w:color="auto"/>
        <w:right w:val="none" w:sz="0" w:space="0" w:color="auto"/>
      </w:divBdr>
    </w:div>
    <w:div w:id="1414661293">
      <w:bodyDiv w:val="1"/>
      <w:marLeft w:val="0"/>
      <w:marRight w:val="0"/>
      <w:marTop w:val="0"/>
      <w:marBottom w:val="0"/>
      <w:divBdr>
        <w:top w:val="none" w:sz="0" w:space="0" w:color="auto"/>
        <w:left w:val="none" w:sz="0" w:space="0" w:color="auto"/>
        <w:bottom w:val="none" w:sz="0" w:space="0" w:color="auto"/>
        <w:right w:val="none" w:sz="0" w:space="0" w:color="auto"/>
      </w:divBdr>
    </w:div>
    <w:div w:id="1414936060">
      <w:bodyDiv w:val="1"/>
      <w:marLeft w:val="0"/>
      <w:marRight w:val="0"/>
      <w:marTop w:val="0"/>
      <w:marBottom w:val="0"/>
      <w:divBdr>
        <w:top w:val="none" w:sz="0" w:space="0" w:color="auto"/>
        <w:left w:val="none" w:sz="0" w:space="0" w:color="auto"/>
        <w:bottom w:val="none" w:sz="0" w:space="0" w:color="auto"/>
        <w:right w:val="none" w:sz="0" w:space="0" w:color="auto"/>
      </w:divBdr>
    </w:div>
    <w:div w:id="1414938814">
      <w:bodyDiv w:val="1"/>
      <w:marLeft w:val="0"/>
      <w:marRight w:val="0"/>
      <w:marTop w:val="0"/>
      <w:marBottom w:val="0"/>
      <w:divBdr>
        <w:top w:val="none" w:sz="0" w:space="0" w:color="auto"/>
        <w:left w:val="none" w:sz="0" w:space="0" w:color="auto"/>
        <w:bottom w:val="none" w:sz="0" w:space="0" w:color="auto"/>
        <w:right w:val="none" w:sz="0" w:space="0" w:color="auto"/>
      </w:divBdr>
    </w:div>
    <w:div w:id="1415006821">
      <w:bodyDiv w:val="1"/>
      <w:marLeft w:val="0"/>
      <w:marRight w:val="0"/>
      <w:marTop w:val="0"/>
      <w:marBottom w:val="0"/>
      <w:divBdr>
        <w:top w:val="none" w:sz="0" w:space="0" w:color="auto"/>
        <w:left w:val="none" w:sz="0" w:space="0" w:color="auto"/>
        <w:bottom w:val="none" w:sz="0" w:space="0" w:color="auto"/>
        <w:right w:val="none" w:sz="0" w:space="0" w:color="auto"/>
      </w:divBdr>
    </w:div>
    <w:div w:id="1415127197">
      <w:bodyDiv w:val="1"/>
      <w:marLeft w:val="0"/>
      <w:marRight w:val="0"/>
      <w:marTop w:val="0"/>
      <w:marBottom w:val="0"/>
      <w:divBdr>
        <w:top w:val="none" w:sz="0" w:space="0" w:color="auto"/>
        <w:left w:val="none" w:sz="0" w:space="0" w:color="auto"/>
        <w:bottom w:val="none" w:sz="0" w:space="0" w:color="auto"/>
        <w:right w:val="none" w:sz="0" w:space="0" w:color="auto"/>
      </w:divBdr>
    </w:div>
    <w:div w:id="1415132006">
      <w:bodyDiv w:val="1"/>
      <w:marLeft w:val="0"/>
      <w:marRight w:val="0"/>
      <w:marTop w:val="0"/>
      <w:marBottom w:val="0"/>
      <w:divBdr>
        <w:top w:val="none" w:sz="0" w:space="0" w:color="auto"/>
        <w:left w:val="none" w:sz="0" w:space="0" w:color="auto"/>
        <w:bottom w:val="none" w:sz="0" w:space="0" w:color="auto"/>
        <w:right w:val="none" w:sz="0" w:space="0" w:color="auto"/>
      </w:divBdr>
    </w:div>
    <w:div w:id="1415200128">
      <w:bodyDiv w:val="1"/>
      <w:marLeft w:val="0"/>
      <w:marRight w:val="0"/>
      <w:marTop w:val="0"/>
      <w:marBottom w:val="0"/>
      <w:divBdr>
        <w:top w:val="none" w:sz="0" w:space="0" w:color="auto"/>
        <w:left w:val="none" w:sz="0" w:space="0" w:color="auto"/>
        <w:bottom w:val="none" w:sz="0" w:space="0" w:color="auto"/>
        <w:right w:val="none" w:sz="0" w:space="0" w:color="auto"/>
      </w:divBdr>
    </w:div>
    <w:div w:id="1415316818">
      <w:bodyDiv w:val="1"/>
      <w:marLeft w:val="0"/>
      <w:marRight w:val="0"/>
      <w:marTop w:val="0"/>
      <w:marBottom w:val="0"/>
      <w:divBdr>
        <w:top w:val="none" w:sz="0" w:space="0" w:color="auto"/>
        <w:left w:val="none" w:sz="0" w:space="0" w:color="auto"/>
        <w:bottom w:val="none" w:sz="0" w:space="0" w:color="auto"/>
        <w:right w:val="none" w:sz="0" w:space="0" w:color="auto"/>
      </w:divBdr>
    </w:div>
    <w:div w:id="1415395280">
      <w:bodyDiv w:val="1"/>
      <w:marLeft w:val="0"/>
      <w:marRight w:val="0"/>
      <w:marTop w:val="0"/>
      <w:marBottom w:val="0"/>
      <w:divBdr>
        <w:top w:val="none" w:sz="0" w:space="0" w:color="auto"/>
        <w:left w:val="none" w:sz="0" w:space="0" w:color="auto"/>
        <w:bottom w:val="none" w:sz="0" w:space="0" w:color="auto"/>
        <w:right w:val="none" w:sz="0" w:space="0" w:color="auto"/>
      </w:divBdr>
    </w:div>
    <w:div w:id="1415590996">
      <w:bodyDiv w:val="1"/>
      <w:marLeft w:val="0"/>
      <w:marRight w:val="0"/>
      <w:marTop w:val="0"/>
      <w:marBottom w:val="0"/>
      <w:divBdr>
        <w:top w:val="none" w:sz="0" w:space="0" w:color="auto"/>
        <w:left w:val="none" w:sz="0" w:space="0" w:color="auto"/>
        <w:bottom w:val="none" w:sz="0" w:space="0" w:color="auto"/>
        <w:right w:val="none" w:sz="0" w:space="0" w:color="auto"/>
      </w:divBdr>
    </w:div>
    <w:div w:id="1415594079">
      <w:bodyDiv w:val="1"/>
      <w:marLeft w:val="0"/>
      <w:marRight w:val="0"/>
      <w:marTop w:val="0"/>
      <w:marBottom w:val="0"/>
      <w:divBdr>
        <w:top w:val="none" w:sz="0" w:space="0" w:color="auto"/>
        <w:left w:val="none" w:sz="0" w:space="0" w:color="auto"/>
        <w:bottom w:val="none" w:sz="0" w:space="0" w:color="auto"/>
        <w:right w:val="none" w:sz="0" w:space="0" w:color="auto"/>
      </w:divBdr>
    </w:div>
    <w:div w:id="1415661218">
      <w:bodyDiv w:val="1"/>
      <w:marLeft w:val="0"/>
      <w:marRight w:val="0"/>
      <w:marTop w:val="0"/>
      <w:marBottom w:val="0"/>
      <w:divBdr>
        <w:top w:val="none" w:sz="0" w:space="0" w:color="auto"/>
        <w:left w:val="none" w:sz="0" w:space="0" w:color="auto"/>
        <w:bottom w:val="none" w:sz="0" w:space="0" w:color="auto"/>
        <w:right w:val="none" w:sz="0" w:space="0" w:color="auto"/>
      </w:divBdr>
    </w:div>
    <w:div w:id="1415740277">
      <w:bodyDiv w:val="1"/>
      <w:marLeft w:val="0"/>
      <w:marRight w:val="0"/>
      <w:marTop w:val="0"/>
      <w:marBottom w:val="0"/>
      <w:divBdr>
        <w:top w:val="none" w:sz="0" w:space="0" w:color="auto"/>
        <w:left w:val="none" w:sz="0" w:space="0" w:color="auto"/>
        <w:bottom w:val="none" w:sz="0" w:space="0" w:color="auto"/>
        <w:right w:val="none" w:sz="0" w:space="0" w:color="auto"/>
      </w:divBdr>
    </w:div>
    <w:div w:id="1415740840">
      <w:bodyDiv w:val="1"/>
      <w:marLeft w:val="0"/>
      <w:marRight w:val="0"/>
      <w:marTop w:val="0"/>
      <w:marBottom w:val="0"/>
      <w:divBdr>
        <w:top w:val="none" w:sz="0" w:space="0" w:color="auto"/>
        <w:left w:val="none" w:sz="0" w:space="0" w:color="auto"/>
        <w:bottom w:val="none" w:sz="0" w:space="0" w:color="auto"/>
        <w:right w:val="none" w:sz="0" w:space="0" w:color="auto"/>
      </w:divBdr>
    </w:div>
    <w:div w:id="1415862453">
      <w:bodyDiv w:val="1"/>
      <w:marLeft w:val="0"/>
      <w:marRight w:val="0"/>
      <w:marTop w:val="0"/>
      <w:marBottom w:val="0"/>
      <w:divBdr>
        <w:top w:val="none" w:sz="0" w:space="0" w:color="auto"/>
        <w:left w:val="none" w:sz="0" w:space="0" w:color="auto"/>
        <w:bottom w:val="none" w:sz="0" w:space="0" w:color="auto"/>
        <w:right w:val="none" w:sz="0" w:space="0" w:color="auto"/>
      </w:divBdr>
    </w:div>
    <w:div w:id="1416050115">
      <w:bodyDiv w:val="1"/>
      <w:marLeft w:val="0"/>
      <w:marRight w:val="0"/>
      <w:marTop w:val="0"/>
      <w:marBottom w:val="0"/>
      <w:divBdr>
        <w:top w:val="none" w:sz="0" w:space="0" w:color="auto"/>
        <w:left w:val="none" w:sz="0" w:space="0" w:color="auto"/>
        <w:bottom w:val="none" w:sz="0" w:space="0" w:color="auto"/>
        <w:right w:val="none" w:sz="0" w:space="0" w:color="auto"/>
      </w:divBdr>
    </w:div>
    <w:div w:id="1416055244">
      <w:bodyDiv w:val="1"/>
      <w:marLeft w:val="0"/>
      <w:marRight w:val="0"/>
      <w:marTop w:val="0"/>
      <w:marBottom w:val="0"/>
      <w:divBdr>
        <w:top w:val="none" w:sz="0" w:space="0" w:color="auto"/>
        <w:left w:val="none" w:sz="0" w:space="0" w:color="auto"/>
        <w:bottom w:val="none" w:sz="0" w:space="0" w:color="auto"/>
        <w:right w:val="none" w:sz="0" w:space="0" w:color="auto"/>
      </w:divBdr>
    </w:div>
    <w:div w:id="1416124253">
      <w:bodyDiv w:val="1"/>
      <w:marLeft w:val="0"/>
      <w:marRight w:val="0"/>
      <w:marTop w:val="0"/>
      <w:marBottom w:val="0"/>
      <w:divBdr>
        <w:top w:val="none" w:sz="0" w:space="0" w:color="auto"/>
        <w:left w:val="none" w:sz="0" w:space="0" w:color="auto"/>
        <w:bottom w:val="none" w:sz="0" w:space="0" w:color="auto"/>
        <w:right w:val="none" w:sz="0" w:space="0" w:color="auto"/>
      </w:divBdr>
    </w:div>
    <w:div w:id="1416128659">
      <w:bodyDiv w:val="1"/>
      <w:marLeft w:val="0"/>
      <w:marRight w:val="0"/>
      <w:marTop w:val="0"/>
      <w:marBottom w:val="0"/>
      <w:divBdr>
        <w:top w:val="none" w:sz="0" w:space="0" w:color="auto"/>
        <w:left w:val="none" w:sz="0" w:space="0" w:color="auto"/>
        <w:bottom w:val="none" w:sz="0" w:space="0" w:color="auto"/>
        <w:right w:val="none" w:sz="0" w:space="0" w:color="auto"/>
      </w:divBdr>
    </w:div>
    <w:div w:id="1416131459">
      <w:bodyDiv w:val="1"/>
      <w:marLeft w:val="0"/>
      <w:marRight w:val="0"/>
      <w:marTop w:val="0"/>
      <w:marBottom w:val="0"/>
      <w:divBdr>
        <w:top w:val="none" w:sz="0" w:space="0" w:color="auto"/>
        <w:left w:val="none" w:sz="0" w:space="0" w:color="auto"/>
        <w:bottom w:val="none" w:sz="0" w:space="0" w:color="auto"/>
        <w:right w:val="none" w:sz="0" w:space="0" w:color="auto"/>
      </w:divBdr>
    </w:div>
    <w:div w:id="1416244705">
      <w:bodyDiv w:val="1"/>
      <w:marLeft w:val="0"/>
      <w:marRight w:val="0"/>
      <w:marTop w:val="0"/>
      <w:marBottom w:val="0"/>
      <w:divBdr>
        <w:top w:val="none" w:sz="0" w:space="0" w:color="auto"/>
        <w:left w:val="none" w:sz="0" w:space="0" w:color="auto"/>
        <w:bottom w:val="none" w:sz="0" w:space="0" w:color="auto"/>
        <w:right w:val="none" w:sz="0" w:space="0" w:color="auto"/>
      </w:divBdr>
    </w:div>
    <w:div w:id="1416247084">
      <w:bodyDiv w:val="1"/>
      <w:marLeft w:val="0"/>
      <w:marRight w:val="0"/>
      <w:marTop w:val="0"/>
      <w:marBottom w:val="0"/>
      <w:divBdr>
        <w:top w:val="none" w:sz="0" w:space="0" w:color="auto"/>
        <w:left w:val="none" w:sz="0" w:space="0" w:color="auto"/>
        <w:bottom w:val="none" w:sz="0" w:space="0" w:color="auto"/>
        <w:right w:val="none" w:sz="0" w:space="0" w:color="auto"/>
      </w:divBdr>
    </w:div>
    <w:div w:id="1416248792">
      <w:bodyDiv w:val="1"/>
      <w:marLeft w:val="0"/>
      <w:marRight w:val="0"/>
      <w:marTop w:val="0"/>
      <w:marBottom w:val="0"/>
      <w:divBdr>
        <w:top w:val="none" w:sz="0" w:space="0" w:color="auto"/>
        <w:left w:val="none" w:sz="0" w:space="0" w:color="auto"/>
        <w:bottom w:val="none" w:sz="0" w:space="0" w:color="auto"/>
        <w:right w:val="none" w:sz="0" w:space="0" w:color="auto"/>
      </w:divBdr>
    </w:div>
    <w:div w:id="1416323378">
      <w:bodyDiv w:val="1"/>
      <w:marLeft w:val="0"/>
      <w:marRight w:val="0"/>
      <w:marTop w:val="0"/>
      <w:marBottom w:val="0"/>
      <w:divBdr>
        <w:top w:val="none" w:sz="0" w:space="0" w:color="auto"/>
        <w:left w:val="none" w:sz="0" w:space="0" w:color="auto"/>
        <w:bottom w:val="none" w:sz="0" w:space="0" w:color="auto"/>
        <w:right w:val="none" w:sz="0" w:space="0" w:color="auto"/>
      </w:divBdr>
    </w:div>
    <w:div w:id="1416324727">
      <w:bodyDiv w:val="1"/>
      <w:marLeft w:val="0"/>
      <w:marRight w:val="0"/>
      <w:marTop w:val="0"/>
      <w:marBottom w:val="0"/>
      <w:divBdr>
        <w:top w:val="none" w:sz="0" w:space="0" w:color="auto"/>
        <w:left w:val="none" w:sz="0" w:space="0" w:color="auto"/>
        <w:bottom w:val="none" w:sz="0" w:space="0" w:color="auto"/>
        <w:right w:val="none" w:sz="0" w:space="0" w:color="auto"/>
      </w:divBdr>
    </w:div>
    <w:div w:id="1416365154">
      <w:bodyDiv w:val="1"/>
      <w:marLeft w:val="0"/>
      <w:marRight w:val="0"/>
      <w:marTop w:val="0"/>
      <w:marBottom w:val="0"/>
      <w:divBdr>
        <w:top w:val="none" w:sz="0" w:space="0" w:color="auto"/>
        <w:left w:val="none" w:sz="0" w:space="0" w:color="auto"/>
        <w:bottom w:val="none" w:sz="0" w:space="0" w:color="auto"/>
        <w:right w:val="none" w:sz="0" w:space="0" w:color="auto"/>
      </w:divBdr>
    </w:div>
    <w:div w:id="1416433724">
      <w:bodyDiv w:val="1"/>
      <w:marLeft w:val="0"/>
      <w:marRight w:val="0"/>
      <w:marTop w:val="0"/>
      <w:marBottom w:val="0"/>
      <w:divBdr>
        <w:top w:val="none" w:sz="0" w:space="0" w:color="auto"/>
        <w:left w:val="none" w:sz="0" w:space="0" w:color="auto"/>
        <w:bottom w:val="none" w:sz="0" w:space="0" w:color="auto"/>
        <w:right w:val="none" w:sz="0" w:space="0" w:color="auto"/>
      </w:divBdr>
    </w:div>
    <w:div w:id="1416510311">
      <w:bodyDiv w:val="1"/>
      <w:marLeft w:val="0"/>
      <w:marRight w:val="0"/>
      <w:marTop w:val="0"/>
      <w:marBottom w:val="0"/>
      <w:divBdr>
        <w:top w:val="none" w:sz="0" w:space="0" w:color="auto"/>
        <w:left w:val="none" w:sz="0" w:space="0" w:color="auto"/>
        <w:bottom w:val="none" w:sz="0" w:space="0" w:color="auto"/>
        <w:right w:val="none" w:sz="0" w:space="0" w:color="auto"/>
      </w:divBdr>
    </w:div>
    <w:div w:id="1416630273">
      <w:bodyDiv w:val="1"/>
      <w:marLeft w:val="0"/>
      <w:marRight w:val="0"/>
      <w:marTop w:val="0"/>
      <w:marBottom w:val="0"/>
      <w:divBdr>
        <w:top w:val="none" w:sz="0" w:space="0" w:color="auto"/>
        <w:left w:val="none" w:sz="0" w:space="0" w:color="auto"/>
        <w:bottom w:val="none" w:sz="0" w:space="0" w:color="auto"/>
        <w:right w:val="none" w:sz="0" w:space="0" w:color="auto"/>
      </w:divBdr>
    </w:div>
    <w:div w:id="1416780633">
      <w:bodyDiv w:val="1"/>
      <w:marLeft w:val="0"/>
      <w:marRight w:val="0"/>
      <w:marTop w:val="0"/>
      <w:marBottom w:val="0"/>
      <w:divBdr>
        <w:top w:val="none" w:sz="0" w:space="0" w:color="auto"/>
        <w:left w:val="none" w:sz="0" w:space="0" w:color="auto"/>
        <w:bottom w:val="none" w:sz="0" w:space="0" w:color="auto"/>
        <w:right w:val="none" w:sz="0" w:space="0" w:color="auto"/>
      </w:divBdr>
    </w:div>
    <w:div w:id="1416972310">
      <w:bodyDiv w:val="1"/>
      <w:marLeft w:val="0"/>
      <w:marRight w:val="0"/>
      <w:marTop w:val="0"/>
      <w:marBottom w:val="0"/>
      <w:divBdr>
        <w:top w:val="none" w:sz="0" w:space="0" w:color="auto"/>
        <w:left w:val="none" w:sz="0" w:space="0" w:color="auto"/>
        <w:bottom w:val="none" w:sz="0" w:space="0" w:color="auto"/>
        <w:right w:val="none" w:sz="0" w:space="0" w:color="auto"/>
      </w:divBdr>
    </w:div>
    <w:div w:id="1416972443">
      <w:bodyDiv w:val="1"/>
      <w:marLeft w:val="0"/>
      <w:marRight w:val="0"/>
      <w:marTop w:val="0"/>
      <w:marBottom w:val="0"/>
      <w:divBdr>
        <w:top w:val="none" w:sz="0" w:space="0" w:color="auto"/>
        <w:left w:val="none" w:sz="0" w:space="0" w:color="auto"/>
        <w:bottom w:val="none" w:sz="0" w:space="0" w:color="auto"/>
        <w:right w:val="none" w:sz="0" w:space="0" w:color="auto"/>
      </w:divBdr>
    </w:div>
    <w:div w:id="1416979451">
      <w:bodyDiv w:val="1"/>
      <w:marLeft w:val="0"/>
      <w:marRight w:val="0"/>
      <w:marTop w:val="0"/>
      <w:marBottom w:val="0"/>
      <w:divBdr>
        <w:top w:val="none" w:sz="0" w:space="0" w:color="auto"/>
        <w:left w:val="none" w:sz="0" w:space="0" w:color="auto"/>
        <w:bottom w:val="none" w:sz="0" w:space="0" w:color="auto"/>
        <w:right w:val="none" w:sz="0" w:space="0" w:color="auto"/>
      </w:divBdr>
    </w:div>
    <w:div w:id="1417047481">
      <w:bodyDiv w:val="1"/>
      <w:marLeft w:val="0"/>
      <w:marRight w:val="0"/>
      <w:marTop w:val="0"/>
      <w:marBottom w:val="0"/>
      <w:divBdr>
        <w:top w:val="none" w:sz="0" w:space="0" w:color="auto"/>
        <w:left w:val="none" w:sz="0" w:space="0" w:color="auto"/>
        <w:bottom w:val="none" w:sz="0" w:space="0" w:color="auto"/>
        <w:right w:val="none" w:sz="0" w:space="0" w:color="auto"/>
      </w:divBdr>
    </w:div>
    <w:div w:id="1417049532">
      <w:bodyDiv w:val="1"/>
      <w:marLeft w:val="0"/>
      <w:marRight w:val="0"/>
      <w:marTop w:val="0"/>
      <w:marBottom w:val="0"/>
      <w:divBdr>
        <w:top w:val="none" w:sz="0" w:space="0" w:color="auto"/>
        <w:left w:val="none" w:sz="0" w:space="0" w:color="auto"/>
        <w:bottom w:val="none" w:sz="0" w:space="0" w:color="auto"/>
        <w:right w:val="none" w:sz="0" w:space="0" w:color="auto"/>
      </w:divBdr>
    </w:div>
    <w:div w:id="1417050507">
      <w:bodyDiv w:val="1"/>
      <w:marLeft w:val="0"/>
      <w:marRight w:val="0"/>
      <w:marTop w:val="0"/>
      <w:marBottom w:val="0"/>
      <w:divBdr>
        <w:top w:val="none" w:sz="0" w:space="0" w:color="auto"/>
        <w:left w:val="none" w:sz="0" w:space="0" w:color="auto"/>
        <w:bottom w:val="none" w:sz="0" w:space="0" w:color="auto"/>
        <w:right w:val="none" w:sz="0" w:space="0" w:color="auto"/>
      </w:divBdr>
    </w:div>
    <w:div w:id="1417169503">
      <w:bodyDiv w:val="1"/>
      <w:marLeft w:val="0"/>
      <w:marRight w:val="0"/>
      <w:marTop w:val="0"/>
      <w:marBottom w:val="0"/>
      <w:divBdr>
        <w:top w:val="none" w:sz="0" w:space="0" w:color="auto"/>
        <w:left w:val="none" w:sz="0" w:space="0" w:color="auto"/>
        <w:bottom w:val="none" w:sz="0" w:space="0" w:color="auto"/>
        <w:right w:val="none" w:sz="0" w:space="0" w:color="auto"/>
      </w:divBdr>
    </w:div>
    <w:div w:id="1417171799">
      <w:bodyDiv w:val="1"/>
      <w:marLeft w:val="0"/>
      <w:marRight w:val="0"/>
      <w:marTop w:val="0"/>
      <w:marBottom w:val="0"/>
      <w:divBdr>
        <w:top w:val="none" w:sz="0" w:space="0" w:color="auto"/>
        <w:left w:val="none" w:sz="0" w:space="0" w:color="auto"/>
        <w:bottom w:val="none" w:sz="0" w:space="0" w:color="auto"/>
        <w:right w:val="none" w:sz="0" w:space="0" w:color="auto"/>
      </w:divBdr>
    </w:div>
    <w:div w:id="1417283216">
      <w:bodyDiv w:val="1"/>
      <w:marLeft w:val="0"/>
      <w:marRight w:val="0"/>
      <w:marTop w:val="0"/>
      <w:marBottom w:val="0"/>
      <w:divBdr>
        <w:top w:val="none" w:sz="0" w:space="0" w:color="auto"/>
        <w:left w:val="none" w:sz="0" w:space="0" w:color="auto"/>
        <w:bottom w:val="none" w:sz="0" w:space="0" w:color="auto"/>
        <w:right w:val="none" w:sz="0" w:space="0" w:color="auto"/>
      </w:divBdr>
    </w:div>
    <w:div w:id="1417360344">
      <w:bodyDiv w:val="1"/>
      <w:marLeft w:val="0"/>
      <w:marRight w:val="0"/>
      <w:marTop w:val="0"/>
      <w:marBottom w:val="0"/>
      <w:divBdr>
        <w:top w:val="none" w:sz="0" w:space="0" w:color="auto"/>
        <w:left w:val="none" w:sz="0" w:space="0" w:color="auto"/>
        <w:bottom w:val="none" w:sz="0" w:space="0" w:color="auto"/>
        <w:right w:val="none" w:sz="0" w:space="0" w:color="auto"/>
      </w:divBdr>
    </w:div>
    <w:div w:id="1417432743">
      <w:bodyDiv w:val="1"/>
      <w:marLeft w:val="0"/>
      <w:marRight w:val="0"/>
      <w:marTop w:val="0"/>
      <w:marBottom w:val="0"/>
      <w:divBdr>
        <w:top w:val="none" w:sz="0" w:space="0" w:color="auto"/>
        <w:left w:val="none" w:sz="0" w:space="0" w:color="auto"/>
        <w:bottom w:val="none" w:sz="0" w:space="0" w:color="auto"/>
        <w:right w:val="none" w:sz="0" w:space="0" w:color="auto"/>
      </w:divBdr>
    </w:div>
    <w:div w:id="1417434386">
      <w:bodyDiv w:val="1"/>
      <w:marLeft w:val="0"/>
      <w:marRight w:val="0"/>
      <w:marTop w:val="0"/>
      <w:marBottom w:val="0"/>
      <w:divBdr>
        <w:top w:val="none" w:sz="0" w:space="0" w:color="auto"/>
        <w:left w:val="none" w:sz="0" w:space="0" w:color="auto"/>
        <w:bottom w:val="none" w:sz="0" w:space="0" w:color="auto"/>
        <w:right w:val="none" w:sz="0" w:space="0" w:color="auto"/>
      </w:divBdr>
    </w:div>
    <w:div w:id="1417441878">
      <w:bodyDiv w:val="1"/>
      <w:marLeft w:val="0"/>
      <w:marRight w:val="0"/>
      <w:marTop w:val="0"/>
      <w:marBottom w:val="0"/>
      <w:divBdr>
        <w:top w:val="none" w:sz="0" w:space="0" w:color="auto"/>
        <w:left w:val="none" w:sz="0" w:space="0" w:color="auto"/>
        <w:bottom w:val="none" w:sz="0" w:space="0" w:color="auto"/>
        <w:right w:val="none" w:sz="0" w:space="0" w:color="auto"/>
      </w:divBdr>
    </w:div>
    <w:div w:id="1417626385">
      <w:bodyDiv w:val="1"/>
      <w:marLeft w:val="0"/>
      <w:marRight w:val="0"/>
      <w:marTop w:val="0"/>
      <w:marBottom w:val="0"/>
      <w:divBdr>
        <w:top w:val="none" w:sz="0" w:space="0" w:color="auto"/>
        <w:left w:val="none" w:sz="0" w:space="0" w:color="auto"/>
        <w:bottom w:val="none" w:sz="0" w:space="0" w:color="auto"/>
        <w:right w:val="none" w:sz="0" w:space="0" w:color="auto"/>
      </w:divBdr>
    </w:div>
    <w:div w:id="1417749911">
      <w:bodyDiv w:val="1"/>
      <w:marLeft w:val="0"/>
      <w:marRight w:val="0"/>
      <w:marTop w:val="0"/>
      <w:marBottom w:val="0"/>
      <w:divBdr>
        <w:top w:val="none" w:sz="0" w:space="0" w:color="auto"/>
        <w:left w:val="none" w:sz="0" w:space="0" w:color="auto"/>
        <w:bottom w:val="none" w:sz="0" w:space="0" w:color="auto"/>
        <w:right w:val="none" w:sz="0" w:space="0" w:color="auto"/>
      </w:divBdr>
    </w:div>
    <w:div w:id="1417825764">
      <w:bodyDiv w:val="1"/>
      <w:marLeft w:val="0"/>
      <w:marRight w:val="0"/>
      <w:marTop w:val="0"/>
      <w:marBottom w:val="0"/>
      <w:divBdr>
        <w:top w:val="none" w:sz="0" w:space="0" w:color="auto"/>
        <w:left w:val="none" w:sz="0" w:space="0" w:color="auto"/>
        <w:bottom w:val="none" w:sz="0" w:space="0" w:color="auto"/>
        <w:right w:val="none" w:sz="0" w:space="0" w:color="auto"/>
      </w:divBdr>
    </w:div>
    <w:div w:id="1417902982">
      <w:bodyDiv w:val="1"/>
      <w:marLeft w:val="0"/>
      <w:marRight w:val="0"/>
      <w:marTop w:val="0"/>
      <w:marBottom w:val="0"/>
      <w:divBdr>
        <w:top w:val="none" w:sz="0" w:space="0" w:color="auto"/>
        <w:left w:val="none" w:sz="0" w:space="0" w:color="auto"/>
        <w:bottom w:val="none" w:sz="0" w:space="0" w:color="auto"/>
        <w:right w:val="none" w:sz="0" w:space="0" w:color="auto"/>
      </w:divBdr>
    </w:div>
    <w:div w:id="1417944452">
      <w:bodyDiv w:val="1"/>
      <w:marLeft w:val="0"/>
      <w:marRight w:val="0"/>
      <w:marTop w:val="0"/>
      <w:marBottom w:val="0"/>
      <w:divBdr>
        <w:top w:val="none" w:sz="0" w:space="0" w:color="auto"/>
        <w:left w:val="none" w:sz="0" w:space="0" w:color="auto"/>
        <w:bottom w:val="none" w:sz="0" w:space="0" w:color="auto"/>
        <w:right w:val="none" w:sz="0" w:space="0" w:color="auto"/>
      </w:divBdr>
    </w:div>
    <w:div w:id="1418097220">
      <w:bodyDiv w:val="1"/>
      <w:marLeft w:val="0"/>
      <w:marRight w:val="0"/>
      <w:marTop w:val="0"/>
      <w:marBottom w:val="0"/>
      <w:divBdr>
        <w:top w:val="none" w:sz="0" w:space="0" w:color="auto"/>
        <w:left w:val="none" w:sz="0" w:space="0" w:color="auto"/>
        <w:bottom w:val="none" w:sz="0" w:space="0" w:color="auto"/>
        <w:right w:val="none" w:sz="0" w:space="0" w:color="auto"/>
      </w:divBdr>
    </w:div>
    <w:div w:id="1418360000">
      <w:bodyDiv w:val="1"/>
      <w:marLeft w:val="0"/>
      <w:marRight w:val="0"/>
      <w:marTop w:val="0"/>
      <w:marBottom w:val="0"/>
      <w:divBdr>
        <w:top w:val="none" w:sz="0" w:space="0" w:color="auto"/>
        <w:left w:val="none" w:sz="0" w:space="0" w:color="auto"/>
        <w:bottom w:val="none" w:sz="0" w:space="0" w:color="auto"/>
        <w:right w:val="none" w:sz="0" w:space="0" w:color="auto"/>
      </w:divBdr>
    </w:div>
    <w:div w:id="1418403485">
      <w:bodyDiv w:val="1"/>
      <w:marLeft w:val="0"/>
      <w:marRight w:val="0"/>
      <w:marTop w:val="0"/>
      <w:marBottom w:val="0"/>
      <w:divBdr>
        <w:top w:val="none" w:sz="0" w:space="0" w:color="auto"/>
        <w:left w:val="none" w:sz="0" w:space="0" w:color="auto"/>
        <w:bottom w:val="none" w:sz="0" w:space="0" w:color="auto"/>
        <w:right w:val="none" w:sz="0" w:space="0" w:color="auto"/>
      </w:divBdr>
    </w:div>
    <w:div w:id="1418556179">
      <w:bodyDiv w:val="1"/>
      <w:marLeft w:val="0"/>
      <w:marRight w:val="0"/>
      <w:marTop w:val="0"/>
      <w:marBottom w:val="0"/>
      <w:divBdr>
        <w:top w:val="none" w:sz="0" w:space="0" w:color="auto"/>
        <w:left w:val="none" w:sz="0" w:space="0" w:color="auto"/>
        <w:bottom w:val="none" w:sz="0" w:space="0" w:color="auto"/>
        <w:right w:val="none" w:sz="0" w:space="0" w:color="auto"/>
      </w:divBdr>
    </w:div>
    <w:div w:id="1418557640">
      <w:bodyDiv w:val="1"/>
      <w:marLeft w:val="0"/>
      <w:marRight w:val="0"/>
      <w:marTop w:val="0"/>
      <w:marBottom w:val="0"/>
      <w:divBdr>
        <w:top w:val="none" w:sz="0" w:space="0" w:color="auto"/>
        <w:left w:val="none" w:sz="0" w:space="0" w:color="auto"/>
        <w:bottom w:val="none" w:sz="0" w:space="0" w:color="auto"/>
        <w:right w:val="none" w:sz="0" w:space="0" w:color="auto"/>
      </w:divBdr>
    </w:div>
    <w:div w:id="1418594966">
      <w:bodyDiv w:val="1"/>
      <w:marLeft w:val="0"/>
      <w:marRight w:val="0"/>
      <w:marTop w:val="0"/>
      <w:marBottom w:val="0"/>
      <w:divBdr>
        <w:top w:val="none" w:sz="0" w:space="0" w:color="auto"/>
        <w:left w:val="none" w:sz="0" w:space="0" w:color="auto"/>
        <w:bottom w:val="none" w:sz="0" w:space="0" w:color="auto"/>
        <w:right w:val="none" w:sz="0" w:space="0" w:color="auto"/>
      </w:divBdr>
    </w:div>
    <w:div w:id="1418597235">
      <w:bodyDiv w:val="1"/>
      <w:marLeft w:val="0"/>
      <w:marRight w:val="0"/>
      <w:marTop w:val="0"/>
      <w:marBottom w:val="0"/>
      <w:divBdr>
        <w:top w:val="none" w:sz="0" w:space="0" w:color="auto"/>
        <w:left w:val="none" w:sz="0" w:space="0" w:color="auto"/>
        <w:bottom w:val="none" w:sz="0" w:space="0" w:color="auto"/>
        <w:right w:val="none" w:sz="0" w:space="0" w:color="auto"/>
      </w:divBdr>
    </w:div>
    <w:div w:id="1418598617">
      <w:bodyDiv w:val="1"/>
      <w:marLeft w:val="0"/>
      <w:marRight w:val="0"/>
      <w:marTop w:val="0"/>
      <w:marBottom w:val="0"/>
      <w:divBdr>
        <w:top w:val="none" w:sz="0" w:space="0" w:color="auto"/>
        <w:left w:val="none" w:sz="0" w:space="0" w:color="auto"/>
        <w:bottom w:val="none" w:sz="0" w:space="0" w:color="auto"/>
        <w:right w:val="none" w:sz="0" w:space="0" w:color="auto"/>
      </w:divBdr>
    </w:div>
    <w:div w:id="1418746982">
      <w:bodyDiv w:val="1"/>
      <w:marLeft w:val="0"/>
      <w:marRight w:val="0"/>
      <w:marTop w:val="0"/>
      <w:marBottom w:val="0"/>
      <w:divBdr>
        <w:top w:val="none" w:sz="0" w:space="0" w:color="auto"/>
        <w:left w:val="none" w:sz="0" w:space="0" w:color="auto"/>
        <w:bottom w:val="none" w:sz="0" w:space="0" w:color="auto"/>
        <w:right w:val="none" w:sz="0" w:space="0" w:color="auto"/>
      </w:divBdr>
    </w:div>
    <w:div w:id="1418794602">
      <w:bodyDiv w:val="1"/>
      <w:marLeft w:val="0"/>
      <w:marRight w:val="0"/>
      <w:marTop w:val="0"/>
      <w:marBottom w:val="0"/>
      <w:divBdr>
        <w:top w:val="none" w:sz="0" w:space="0" w:color="auto"/>
        <w:left w:val="none" w:sz="0" w:space="0" w:color="auto"/>
        <w:bottom w:val="none" w:sz="0" w:space="0" w:color="auto"/>
        <w:right w:val="none" w:sz="0" w:space="0" w:color="auto"/>
      </w:divBdr>
    </w:div>
    <w:div w:id="1418866357">
      <w:bodyDiv w:val="1"/>
      <w:marLeft w:val="0"/>
      <w:marRight w:val="0"/>
      <w:marTop w:val="0"/>
      <w:marBottom w:val="0"/>
      <w:divBdr>
        <w:top w:val="none" w:sz="0" w:space="0" w:color="auto"/>
        <w:left w:val="none" w:sz="0" w:space="0" w:color="auto"/>
        <w:bottom w:val="none" w:sz="0" w:space="0" w:color="auto"/>
        <w:right w:val="none" w:sz="0" w:space="0" w:color="auto"/>
      </w:divBdr>
    </w:div>
    <w:div w:id="1418937396">
      <w:bodyDiv w:val="1"/>
      <w:marLeft w:val="0"/>
      <w:marRight w:val="0"/>
      <w:marTop w:val="0"/>
      <w:marBottom w:val="0"/>
      <w:divBdr>
        <w:top w:val="none" w:sz="0" w:space="0" w:color="auto"/>
        <w:left w:val="none" w:sz="0" w:space="0" w:color="auto"/>
        <w:bottom w:val="none" w:sz="0" w:space="0" w:color="auto"/>
        <w:right w:val="none" w:sz="0" w:space="0" w:color="auto"/>
      </w:divBdr>
    </w:div>
    <w:div w:id="1419015256">
      <w:bodyDiv w:val="1"/>
      <w:marLeft w:val="0"/>
      <w:marRight w:val="0"/>
      <w:marTop w:val="0"/>
      <w:marBottom w:val="0"/>
      <w:divBdr>
        <w:top w:val="none" w:sz="0" w:space="0" w:color="auto"/>
        <w:left w:val="none" w:sz="0" w:space="0" w:color="auto"/>
        <w:bottom w:val="none" w:sz="0" w:space="0" w:color="auto"/>
        <w:right w:val="none" w:sz="0" w:space="0" w:color="auto"/>
      </w:divBdr>
    </w:div>
    <w:div w:id="1419016300">
      <w:bodyDiv w:val="1"/>
      <w:marLeft w:val="0"/>
      <w:marRight w:val="0"/>
      <w:marTop w:val="0"/>
      <w:marBottom w:val="0"/>
      <w:divBdr>
        <w:top w:val="none" w:sz="0" w:space="0" w:color="auto"/>
        <w:left w:val="none" w:sz="0" w:space="0" w:color="auto"/>
        <w:bottom w:val="none" w:sz="0" w:space="0" w:color="auto"/>
        <w:right w:val="none" w:sz="0" w:space="0" w:color="auto"/>
      </w:divBdr>
    </w:div>
    <w:div w:id="1419137208">
      <w:bodyDiv w:val="1"/>
      <w:marLeft w:val="0"/>
      <w:marRight w:val="0"/>
      <w:marTop w:val="0"/>
      <w:marBottom w:val="0"/>
      <w:divBdr>
        <w:top w:val="none" w:sz="0" w:space="0" w:color="auto"/>
        <w:left w:val="none" w:sz="0" w:space="0" w:color="auto"/>
        <w:bottom w:val="none" w:sz="0" w:space="0" w:color="auto"/>
        <w:right w:val="none" w:sz="0" w:space="0" w:color="auto"/>
      </w:divBdr>
    </w:div>
    <w:div w:id="1419205030">
      <w:bodyDiv w:val="1"/>
      <w:marLeft w:val="0"/>
      <w:marRight w:val="0"/>
      <w:marTop w:val="0"/>
      <w:marBottom w:val="0"/>
      <w:divBdr>
        <w:top w:val="none" w:sz="0" w:space="0" w:color="auto"/>
        <w:left w:val="none" w:sz="0" w:space="0" w:color="auto"/>
        <w:bottom w:val="none" w:sz="0" w:space="0" w:color="auto"/>
        <w:right w:val="none" w:sz="0" w:space="0" w:color="auto"/>
      </w:divBdr>
    </w:div>
    <w:div w:id="1419324152">
      <w:bodyDiv w:val="1"/>
      <w:marLeft w:val="0"/>
      <w:marRight w:val="0"/>
      <w:marTop w:val="0"/>
      <w:marBottom w:val="0"/>
      <w:divBdr>
        <w:top w:val="none" w:sz="0" w:space="0" w:color="auto"/>
        <w:left w:val="none" w:sz="0" w:space="0" w:color="auto"/>
        <w:bottom w:val="none" w:sz="0" w:space="0" w:color="auto"/>
        <w:right w:val="none" w:sz="0" w:space="0" w:color="auto"/>
      </w:divBdr>
    </w:div>
    <w:div w:id="1419403230">
      <w:bodyDiv w:val="1"/>
      <w:marLeft w:val="0"/>
      <w:marRight w:val="0"/>
      <w:marTop w:val="0"/>
      <w:marBottom w:val="0"/>
      <w:divBdr>
        <w:top w:val="none" w:sz="0" w:space="0" w:color="auto"/>
        <w:left w:val="none" w:sz="0" w:space="0" w:color="auto"/>
        <w:bottom w:val="none" w:sz="0" w:space="0" w:color="auto"/>
        <w:right w:val="none" w:sz="0" w:space="0" w:color="auto"/>
      </w:divBdr>
    </w:div>
    <w:div w:id="1419476007">
      <w:bodyDiv w:val="1"/>
      <w:marLeft w:val="0"/>
      <w:marRight w:val="0"/>
      <w:marTop w:val="0"/>
      <w:marBottom w:val="0"/>
      <w:divBdr>
        <w:top w:val="none" w:sz="0" w:space="0" w:color="auto"/>
        <w:left w:val="none" w:sz="0" w:space="0" w:color="auto"/>
        <w:bottom w:val="none" w:sz="0" w:space="0" w:color="auto"/>
        <w:right w:val="none" w:sz="0" w:space="0" w:color="auto"/>
      </w:divBdr>
    </w:div>
    <w:div w:id="1419476294">
      <w:bodyDiv w:val="1"/>
      <w:marLeft w:val="0"/>
      <w:marRight w:val="0"/>
      <w:marTop w:val="0"/>
      <w:marBottom w:val="0"/>
      <w:divBdr>
        <w:top w:val="none" w:sz="0" w:space="0" w:color="auto"/>
        <w:left w:val="none" w:sz="0" w:space="0" w:color="auto"/>
        <w:bottom w:val="none" w:sz="0" w:space="0" w:color="auto"/>
        <w:right w:val="none" w:sz="0" w:space="0" w:color="auto"/>
      </w:divBdr>
    </w:div>
    <w:div w:id="1419594420">
      <w:bodyDiv w:val="1"/>
      <w:marLeft w:val="0"/>
      <w:marRight w:val="0"/>
      <w:marTop w:val="0"/>
      <w:marBottom w:val="0"/>
      <w:divBdr>
        <w:top w:val="none" w:sz="0" w:space="0" w:color="auto"/>
        <w:left w:val="none" w:sz="0" w:space="0" w:color="auto"/>
        <w:bottom w:val="none" w:sz="0" w:space="0" w:color="auto"/>
        <w:right w:val="none" w:sz="0" w:space="0" w:color="auto"/>
      </w:divBdr>
    </w:div>
    <w:div w:id="1419599310">
      <w:bodyDiv w:val="1"/>
      <w:marLeft w:val="0"/>
      <w:marRight w:val="0"/>
      <w:marTop w:val="0"/>
      <w:marBottom w:val="0"/>
      <w:divBdr>
        <w:top w:val="none" w:sz="0" w:space="0" w:color="auto"/>
        <w:left w:val="none" w:sz="0" w:space="0" w:color="auto"/>
        <w:bottom w:val="none" w:sz="0" w:space="0" w:color="auto"/>
        <w:right w:val="none" w:sz="0" w:space="0" w:color="auto"/>
      </w:divBdr>
    </w:div>
    <w:div w:id="1419672107">
      <w:bodyDiv w:val="1"/>
      <w:marLeft w:val="0"/>
      <w:marRight w:val="0"/>
      <w:marTop w:val="0"/>
      <w:marBottom w:val="0"/>
      <w:divBdr>
        <w:top w:val="none" w:sz="0" w:space="0" w:color="auto"/>
        <w:left w:val="none" w:sz="0" w:space="0" w:color="auto"/>
        <w:bottom w:val="none" w:sz="0" w:space="0" w:color="auto"/>
        <w:right w:val="none" w:sz="0" w:space="0" w:color="auto"/>
      </w:divBdr>
    </w:div>
    <w:div w:id="1419716237">
      <w:bodyDiv w:val="1"/>
      <w:marLeft w:val="0"/>
      <w:marRight w:val="0"/>
      <w:marTop w:val="0"/>
      <w:marBottom w:val="0"/>
      <w:divBdr>
        <w:top w:val="none" w:sz="0" w:space="0" w:color="auto"/>
        <w:left w:val="none" w:sz="0" w:space="0" w:color="auto"/>
        <w:bottom w:val="none" w:sz="0" w:space="0" w:color="auto"/>
        <w:right w:val="none" w:sz="0" w:space="0" w:color="auto"/>
      </w:divBdr>
    </w:div>
    <w:div w:id="1419864659">
      <w:bodyDiv w:val="1"/>
      <w:marLeft w:val="0"/>
      <w:marRight w:val="0"/>
      <w:marTop w:val="0"/>
      <w:marBottom w:val="0"/>
      <w:divBdr>
        <w:top w:val="none" w:sz="0" w:space="0" w:color="auto"/>
        <w:left w:val="none" w:sz="0" w:space="0" w:color="auto"/>
        <w:bottom w:val="none" w:sz="0" w:space="0" w:color="auto"/>
        <w:right w:val="none" w:sz="0" w:space="0" w:color="auto"/>
      </w:divBdr>
    </w:div>
    <w:div w:id="1419866170">
      <w:bodyDiv w:val="1"/>
      <w:marLeft w:val="0"/>
      <w:marRight w:val="0"/>
      <w:marTop w:val="0"/>
      <w:marBottom w:val="0"/>
      <w:divBdr>
        <w:top w:val="none" w:sz="0" w:space="0" w:color="auto"/>
        <w:left w:val="none" w:sz="0" w:space="0" w:color="auto"/>
        <w:bottom w:val="none" w:sz="0" w:space="0" w:color="auto"/>
        <w:right w:val="none" w:sz="0" w:space="0" w:color="auto"/>
      </w:divBdr>
    </w:div>
    <w:div w:id="1419908727">
      <w:bodyDiv w:val="1"/>
      <w:marLeft w:val="0"/>
      <w:marRight w:val="0"/>
      <w:marTop w:val="0"/>
      <w:marBottom w:val="0"/>
      <w:divBdr>
        <w:top w:val="none" w:sz="0" w:space="0" w:color="auto"/>
        <w:left w:val="none" w:sz="0" w:space="0" w:color="auto"/>
        <w:bottom w:val="none" w:sz="0" w:space="0" w:color="auto"/>
        <w:right w:val="none" w:sz="0" w:space="0" w:color="auto"/>
      </w:divBdr>
    </w:div>
    <w:div w:id="1420054776">
      <w:bodyDiv w:val="1"/>
      <w:marLeft w:val="0"/>
      <w:marRight w:val="0"/>
      <w:marTop w:val="0"/>
      <w:marBottom w:val="0"/>
      <w:divBdr>
        <w:top w:val="none" w:sz="0" w:space="0" w:color="auto"/>
        <w:left w:val="none" w:sz="0" w:space="0" w:color="auto"/>
        <w:bottom w:val="none" w:sz="0" w:space="0" w:color="auto"/>
        <w:right w:val="none" w:sz="0" w:space="0" w:color="auto"/>
      </w:divBdr>
    </w:div>
    <w:div w:id="1420174579">
      <w:bodyDiv w:val="1"/>
      <w:marLeft w:val="0"/>
      <w:marRight w:val="0"/>
      <w:marTop w:val="0"/>
      <w:marBottom w:val="0"/>
      <w:divBdr>
        <w:top w:val="none" w:sz="0" w:space="0" w:color="auto"/>
        <w:left w:val="none" w:sz="0" w:space="0" w:color="auto"/>
        <w:bottom w:val="none" w:sz="0" w:space="0" w:color="auto"/>
        <w:right w:val="none" w:sz="0" w:space="0" w:color="auto"/>
      </w:divBdr>
    </w:div>
    <w:div w:id="1420325161">
      <w:bodyDiv w:val="1"/>
      <w:marLeft w:val="0"/>
      <w:marRight w:val="0"/>
      <w:marTop w:val="0"/>
      <w:marBottom w:val="0"/>
      <w:divBdr>
        <w:top w:val="none" w:sz="0" w:space="0" w:color="auto"/>
        <w:left w:val="none" w:sz="0" w:space="0" w:color="auto"/>
        <w:bottom w:val="none" w:sz="0" w:space="0" w:color="auto"/>
        <w:right w:val="none" w:sz="0" w:space="0" w:color="auto"/>
      </w:divBdr>
    </w:div>
    <w:div w:id="1420444826">
      <w:bodyDiv w:val="1"/>
      <w:marLeft w:val="0"/>
      <w:marRight w:val="0"/>
      <w:marTop w:val="0"/>
      <w:marBottom w:val="0"/>
      <w:divBdr>
        <w:top w:val="none" w:sz="0" w:space="0" w:color="auto"/>
        <w:left w:val="none" w:sz="0" w:space="0" w:color="auto"/>
        <w:bottom w:val="none" w:sz="0" w:space="0" w:color="auto"/>
        <w:right w:val="none" w:sz="0" w:space="0" w:color="auto"/>
      </w:divBdr>
    </w:div>
    <w:div w:id="1420445258">
      <w:bodyDiv w:val="1"/>
      <w:marLeft w:val="0"/>
      <w:marRight w:val="0"/>
      <w:marTop w:val="0"/>
      <w:marBottom w:val="0"/>
      <w:divBdr>
        <w:top w:val="none" w:sz="0" w:space="0" w:color="auto"/>
        <w:left w:val="none" w:sz="0" w:space="0" w:color="auto"/>
        <w:bottom w:val="none" w:sz="0" w:space="0" w:color="auto"/>
        <w:right w:val="none" w:sz="0" w:space="0" w:color="auto"/>
      </w:divBdr>
    </w:div>
    <w:div w:id="1420516193">
      <w:bodyDiv w:val="1"/>
      <w:marLeft w:val="0"/>
      <w:marRight w:val="0"/>
      <w:marTop w:val="0"/>
      <w:marBottom w:val="0"/>
      <w:divBdr>
        <w:top w:val="none" w:sz="0" w:space="0" w:color="auto"/>
        <w:left w:val="none" w:sz="0" w:space="0" w:color="auto"/>
        <w:bottom w:val="none" w:sz="0" w:space="0" w:color="auto"/>
        <w:right w:val="none" w:sz="0" w:space="0" w:color="auto"/>
      </w:divBdr>
    </w:div>
    <w:div w:id="1420559317">
      <w:bodyDiv w:val="1"/>
      <w:marLeft w:val="0"/>
      <w:marRight w:val="0"/>
      <w:marTop w:val="0"/>
      <w:marBottom w:val="0"/>
      <w:divBdr>
        <w:top w:val="none" w:sz="0" w:space="0" w:color="auto"/>
        <w:left w:val="none" w:sz="0" w:space="0" w:color="auto"/>
        <w:bottom w:val="none" w:sz="0" w:space="0" w:color="auto"/>
        <w:right w:val="none" w:sz="0" w:space="0" w:color="auto"/>
      </w:divBdr>
    </w:div>
    <w:div w:id="1420560051">
      <w:bodyDiv w:val="1"/>
      <w:marLeft w:val="0"/>
      <w:marRight w:val="0"/>
      <w:marTop w:val="0"/>
      <w:marBottom w:val="0"/>
      <w:divBdr>
        <w:top w:val="none" w:sz="0" w:space="0" w:color="auto"/>
        <w:left w:val="none" w:sz="0" w:space="0" w:color="auto"/>
        <w:bottom w:val="none" w:sz="0" w:space="0" w:color="auto"/>
        <w:right w:val="none" w:sz="0" w:space="0" w:color="auto"/>
      </w:divBdr>
    </w:div>
    <w:div w:id="1420638112">
      <w:bodyDiv w:val="1"/>
      <w:marLeft w:val="0"/>
      <w:marRight w:val="0"/>
      <w:marTop w:val="0"/>
      <w:marBottom w:val="0"/>
      <w:divBdr>
        <w:top w:val="none" w:sz="0" w:space="0" w:color="auto"/>
        <w:left w:val="none" w:sz="0" w:space="0" w:color="auto"/>
        <w:bottom w:val="none" w:sz="0" w:space="0" w:color="auto"/>
        <w:right w:val="none" w:sz="0" w:space="0" w:color="auto"/>
      </w:divBdr>
    </w:div>
    <w:div w:id="1420715689">
      <w:bodyDiv w:val="1"/>
      <w:marLeft w:val="0"/>
      <w:marRight w:val="0"/>
      <w:marTop w:val="0"/>
      <w:marBottom w:val="0"/>
      <w:divBdr>
        <w:top w:val="none" w:sz="0" w:space="0" w:color="auto"/>
        <w:left w:val="none" w:sz="0" w:space="0" w:color="auto"/>
        <w:bottom w:val="none" w:sz="0" w:space="0" w:color="auto"/>
        <w:right w:val="none" w:sz="0" w:space="0" w:color="auto"/>
      </w:divBdr>
    </w:div>
    <w:div w:id="1420784240">
      <w:bodyDiv w:val="1"/>
      <w:marLeft w:val="0"/>
      <w:marRight w:val="0"/>
      <w:marTop w:val="0"/>
      <w:marBottom w:val="0"/>
      <w:divBdr>
        <w:top w:val="none" w:sz="0" w:space="0" w:color="auto"/>
        <w:left w:val="none" w:sz="0" w:space="0" w:color="auto"/>
        <w:bottom w:val="none" w:sz="0" w:space="0" w:color="auto"/>
        <w:right w:val="none" w:sz="0" w:space="0" w:color="auto"/>
      </w:divBdr>
    </w:div>
    <w:div w:id="1420785856">
      <w:bodyDiv w:val="1"/>
      <w:marLeft w:val="0"/>
      <w:marRight w:val="0"/>
      <w:marTop w:val="0"/>
      <w:marBottom w:val="0"/>
      <w:divBdr>
        <w:top w:val="none" w:sz="0" w:space="0" w:color="auto"/>
        <w:left w:val="none" w:sz="0" w:space="0" w:color="auto"/>
        <w:bottom w:val="none" w:sz="0" w:space="0" w:color="auto"/>
        <w:right w:val="none" w:sz="0" w:space="0" w:color="auto"/>
      </w:divBdr>
    </w:div>
    <w:div w:id="1420832505">
      <w:bodyDiv w:val="1"/>
      <w:marLeft w:val="0"/>
      <w:marRight w:val="0"/>
      <w:marTop w:val="0"/>
      <w:marBottom w:val="0"/>
      <w:divBdr>
        <w:top w:val="none" w:sz="0" w:space="0" w:color="auto"/>
        <w:left w:val="none" w:sz="0" w:space="0" w:color="auto"/>
        <w:bottom w:val="none" w:sz="0" w:space="0" w:color="auto"/>
        <w:right w:val="none" w:sz="0" w:space="0" w:color="auto"/>
      </w:divBdr>
    </w:div>
    <w:div w:id="1420834293">
      <w:bodyDiv w:val="1"/>
      <w:marLeft w:val="0"/>
      <w:marRight w:val="0"/>
      <w:marTop w:val="0"/>
      <w:marBottom w:val="0"/>
      <w:divBdr>
        <w:top w:val="none" w:sz="0" w:space="0" w:color="auto"/>
        <w:left w:val="none" w:sz="0" w:space="0" w:color="auto"/>
        <w:bottom w:val="none" w:sz="0" w:space="0" w:color="auto"/>
        <w:right w:val="none" w:sz="0" w:space="0" w:color="auto"/>
      </w:divBdr>
    </w:div>
    <w:div w:id="1420980090">
      <w:bodyDiv w:val="1"/>
      <w:marLeft w:val="0"/>
      <w:marRight w:val="0"/>
      <w:marTop w:val="0"/>
      <w:marBottom w:val="0"/>
      <w:divBdr>
        <w:top w:val="none" w:sz="0" w:space="0" w:color="auto"/>
        <w:left w:val="none" w:sz="0" w:space="0" w:color="auto"/>
        <w:bottom w:val="none" w:sz="0" w:space="0" w:color="auto"/>
        <w:right w:val="none" w:sz="0" w:space="0" w:color="auto"/>
      </w:divBdr>
    </w:div>
    <w:div w:id="1421026833">
      <w:bodyDiv w:val="1"/>
      <w:marLeft w:val="0"/>
      <w:marRight w:val="0"/>
      <w:marTop w:val="0"/>
      <w:marBottom w:val="0"/>
      <w:divBdr>
        <w:top w:val="none" w:sz="0" w:space="0" w:color="auto"/>
        <w:left w:val="none" w:sz="0" w:space="0" w:color="auto"/>
        <w:bottom w:val="none" w:sz="0" w:space="0" w:color="auto"/>
        <w:right w:val="none" w:sz="0" w:space="0" w:color="auto"/>
      </w:divBdr>
    </w:div>
    <w:div w:id="1421095525">
      <w:bodyDiv w:val="1"/>
      <w:marLeft w:val="0"/>
      <w:marRight w:val="0"/>
      <w:marTop w:val="0"/>
      <w:marBottom w:val="0"/>
      <w:divBdr>
        <w:top w:val="none" w:sz="0" w:space="0" w:color="auto"/>
        <w:left w:val="none" w:sz="0" w:space="0" w:color="auto"/>
        <w:bottom w:val="none" w:sz="0" w:space="0" w:color="auto"/>
        <w:right w:val="none" w:sz="0" w:space="0" w:color="auto"/>
      </w:divBdr>
    </w:div>
    <w:div w:id="1421175754">
      <w:bodyDiv w:val="1"/>
      <w:marLeft w:val="0"/>
      <w:marRight w:val="0"/>
      <w:marTop w:val="0"/>
      <w:marBottom w:val="0"/>
      <w:divBdr>
        <w:top w:val="none" w:sz="0" w:space="0" w:color="auto"/>
        <w:left w:val="none" w:sz="0" w:space="0" w:color="auto"/>
        <w:bottom w:val="none" w:sz="0" w:space="0" w:color="auto"/>
        <w:right w:val="none" w:sz="0" w:space="0" w:color="auto"/>
      </w:divBdr>
    </w:div>
    <w:div w:id="1421220592">
      <w:bodyDiv w:val="1"/>
      <w:marLeft w:val="0"/>
      <w:marRight w:val="0"/>
      <w:marTop w:val="0"/>
      <w:marBottom w:val="0"/>
      <w:divBdr>
        <w:top w:val="none" w:sz="0" w:space="0" w:color="auto"/>
        <w:left w:val="none" w:sz="0" w:space="0" w:color="auto"/>
        <w:bottom w:val="none" w:sz="0" w:space="0" w:color="auto"/>
        <w:right w:val="none" w:sz="0" w:space="0" w:color="auto"/>
      </w:divBdr>
    </w:div>
    <w:div w:id="1421294485">
      <w:bodyDiv w:val="1"/>
      <w:marLeft w:val="0"/>
      <w:marRight w:val="0"/>
      <w:marTop w:val="0"/>
      <w:marBottom w:val="0"/>
      <w:divBdr>
        <w:top w:val="none" w:sz="0" w:space="0" w:color="auto"/>
        <w:left w:val="none" w:sz="0" w:space="0" w:color="auto"/>
        <w:bottom w:val="none" w:sz="0" w:space="0" w:color="auto"/>
        <w:right w:val="none" w:sz="0" w:space="0" w:color="auto"/>
      </w:divBdr>
    </w:div>
    <w:div w:id="1421370342">
      <w:bodyDiv w:val="1"/>
      <w:marLeft w:val="0"/>
      <w:marRight w:val="0"/>
      <w:marTop w:val="0"/>
      <w:marBottom w:val="0"/>
      <w:divBdr>
        <w:top w:val="none" w:sz="0" w:space="0" w:color="auto"/>
        <w:left w:val="none" w:sz="0" w:space="0" w:color="auto"/>
        <w:bottom w:val="none" w:sz="0" w:space="0" w:color="auto"/>
        <w:right w:val="none" w:sz="0" w:space="0" w:color="auto"/>
      </w:divBdr>
    </w:div>
    <w:div w:id="1421486890">
      <w:bodyDiv w:val="1"/>
      <w:marLeft w:val="0"/>
      <w:marRight w:val="0"/>
      <w:marTop w:val="0"/>
      <w:marBottom w:val="0"/>
      <w:divBdr>
        <w:top w:val="none" w:sz="0" w:space="0" w:color="auto"/>
        <w:left w:val="none" w:sz="0" w:space="0" w:color="auto"/>
        <w:bottom w:val="none" w:sz="0" w:space="0" w:color="auto"/>
        <w:right w:val="none" w:sz="0" w:space="0" w:color="auto"/>
      </w:divBdr>
    </w:div>
    <w:div w:id="1421560192">
      <w:bodyDiv w:val="1"/>
      <w:marLeft w:val="0"/>
      <w:marRight w:val="0"/>
      <w:marTop w:val="0"/>
      <w:marBottom w:val="0"/>
      <w:divBdr>
        <w:top w:val="none" w:sz="0" w:space="0" w:color="auto"/>
        <w:left w:val="none" w:sz="0" w:space="0" w:color="auto"/>
        <w:bottom w:val="none" w:sz="0" w:space="0" w:color="auto"/>
        <w:right w:val="none" w:sz="0" w:space="0" w:color="auto"/>
      </w:divBdr>
    </w:div>
    <w:div w:id="1421565244">
      <w:bodyDiv w:val="1"/>
      <w:marLeft w:val="0"/>
      <w:marRight w:val="0"/>
      <w:marTop w:val="0"/>
      <w:marBottom w:val="0"/>
      <w:divBdr>
        <w:top w:val="none" w:sz="0" w:space="0" w:color="auto"/>
        <w:left w:val="none" w:sz="0" w:space="0" w:color="auto"/>
        <w:bottom w:val="none" w:sz="0" w:space="0" w:color="auto"/>
        <w:right w:val="none" w:sz="0" w:space="0" w:color="auto"/>
      </w:divBdr>
    </w:div>
    <w:div w:id="1421607475">
      <w:bodyDiv w:val="1"/>
      <w:marLeft w:val="0"/>
      <w:marRight w:val="0"/>
      <w:marTop w:val="0"/>
      <w:marBottom w:val="0"/>
      <w:divBdr>
        <w:top w:val="none" w:sz="0" w:space="0" w:color="auto"/>
        <w:left w:val="none" w:sz="0" w:space="0" w:color="auto"/>
        <w:bottom w:val="none" w:sz="0" w:space="0" w:color="auto"/>
        <w:right w:val="none" w:sz="0" w:space="0" w:color="auto"/>
      </w:divBdr>
    </w:div>
    <w:div w:id="1421752706">
      <w:bodyDiv w:val="1"/>
      <w:marLeft w:val="0"/>
      <w:marRight w:val="0"/>
      <w:marTop w:val="0"/>
      <w:marBottom w:val="0"/>
      <w:divBdr>
        <w:top w:val="none" w:sz="0" w:space="0" w:color="auto"/>
        <w:left w:val="none" w:sz="0" w:space="0" w:color="auto"/>
        <w:bottom w:val="none" w:sz="0" w:space="0" w:color="auto"/>
        <w:right w:val="none" w:sz="0" w:space="0" w:color="auto"/>
      </w:divBdr>
    </w:div>
    <w:div w:id="1421760433">
      <w:bodyDiv w:val="1"/>
      <w:marLeft w:val="0"/>
      <w:marRight w:val="0"/>
      <w:marTop w:val="0"/>
      <w:marBottom w:val="0"/>
      <w:divBdr>
        <w:top w:val="none" w:sz="0" w:space="0" w:color="auto"/>
        <w:left w:val="none" w:sz="0" w:space="0" w:color="auto"/>
        <w:bottom w:val="none" w:sz="0" w:space="0" w:color="auto"/>
        <w:right w:val="none" w:sz="0" w:space="0" w:color="auto"/>
      </w:divBdr>
    </w:div>
    <w:div w:id="1422097828">
      <w:bodyDiv w:val="1"/>
      <w:marLeft w:val="0"/>
      <w:marRight w:val="0"/>
      <w:marTop w:val="0"/>
      <w:marBottom w:val="0"/>
      <w:divBdr>
        <w:top w:val="none" w:sz="0" w:space="0" w:color="auto"/>
        <w:left w:val="none" w:sz="0" w:space="0" w:color="auto"/>
        <w:bottom w:val="none" w:sz="0" w:space="0" w:color="auto"/>
        <w:right w:val="none" w:sz="0" w:space="0" w:color="auto"/>
      </w:divBdr>
    </w:div>
    <w:div w:id="1422144161">
      <w:bodyDiv w:val="1"/>
      <w:marLeft w:val="0"/>
      <w:marRight w:val="0"/>
      <w:marTop w:val="0"/>
      <w:marBottom w:val="0"/>
      <w:divBdr>
        <w:top w:val="none" w:sz="0" w:space="0" w:color="auto"/>
        <w:left w:val="none" w:sz="0" w:space="0" w:color="auto"/>
        <w:bottom w:val="none" w:sz="0" w:space="0" w:color="auto"/>
        <w:right w:val="none" w:sz="0" w:space="0" w:color="auto"/>
      </w:divBdr>
    </w:div>
    <w:div w:id="1422145785">
      <w:bodyDiv w:val="1"/>
      <w:marLeft w:val="0"/>
      <w:marRight w:val="0"/>
      <w:marTop w:val="0"/>
      <w:marBottom w:val="0"/>
      <w:divBdr>
        <w:top w:val="none" w:sz="0" w:space="0" w:color="auto"/>
        <w:left w:val="none" w:sz="0" w:space="0" w:color="auto"/>
        <w:bottom w:val="none" w:sz="0" w:space="0" w:color="auto"/>
        <w:right w:val="none" w:sz="0" w:space="0" w:color="auto"/>
      </w:divBdr>
    </w:div>
    <w:div w:id="1422215746">
      <w:bodyDiv w:val="1"/>
      <w:marLeft w:val="0"/>
      <w:marRight w:val="0"/>
      <w:marTop w:val="0"/>
      <w:marBottom w:val="0"/>
      <w:divBdr>
        <w:top w:val="none" w:sz="0" w:space="0" w:color="auto"/>
        <w:left w:val="none" w:sz="0" w:space="0" w:color="auto"/>
        <w:bottom w:val="none" w:sz="0" w:space="0" w:color="auto"/>
        <w:right w:val="none" w:sz="0" w:space="0" w:color="auto"/>
      </w:divBdr>
    </w:div>
    <w:div w:id="1422409140">
      <w:bodyDiv w:val="1"/>
      <w:marLeft w:val="0"/>
      <w:marRight w:val="0"/>
      <w:marTop w:val="0"/>
      <w:marBottom w:val="0"/>
      <w:divBdr>
        <w:top w:val="none" w:sz="0" w:space="0" w:color="auto"/>
        <w:left w:val="none" w:sz="0" w:space="0" w:color="auto"/>
        <w:bottom w:val="none" w:sz="0" w:space="0" w:color="auto"/>
        <w:right w:val="none" w:sz="0" w:space="0" w:color="auto"/>
      </w:divBdr>
    </w:div>
    <w:div w:id="1422412586">
      <w:bodyDiv w:val="1"/>
      <w:marLeft w:val="0"/>
      <w:marRight w:val="0"/>
      <w:marTop w:val="0"/>
      <w:marBottom w:val="0"/>
      <w:divBdr>
        <w:top w:val="none" w:sz="0" w:space="0" w:color="auto"/>
        <w:left w:val="none" w:sz="0" w:space="0" w:color="auto"/>
        <w:bottom w:val="none" w:sz="0" w:space="0" w:color="auto"/>
        <w:right w:val="none" w:sz="0" w:space="0" w:color="auto"/>
      </w:divBdr>
    </w:div>
    <w:div w:id="1422602263">
      <w:bodyDiv w:val="1"/>
      <w:marLeft w:val="0"/>
      <w:marRight w:val="0"/>
      <w:marTop w:val="0"/>
      <w:marBottom w:val="0"/>
      <w:divBdr>
        <w:top w:val="none" w:sz="0" w:space="0" w:color="auto"/>
        <w:left w:val="none" w:sz="0" w:space="0" w:color="auto"/>
        <w:bottom w:val="none" w:sz="0" w:space="0" w:color="auto"/>
        <w:right w:val="none" w:sz="0" w:space="0" w:color="auto"/>
      </w:divBdr>
    </w:div>
    <w:div w:id="1422602816">
      <w:bodyDiv w:val="1"/>
      <w:marLeft w:val="0"/>
      <w:marRight w:val="0"/>
      <w:marTop w:val="0"/>
      <w:marBottom w:val="0"/>
      <w:divBdr>
        <w:top w:val="none" w:sz="0" w:space="0" w:color="auto"/>
        <w:left w:val="none" w:sz="0" w:space="0" w:color="auto"/>
        <w:bottom w:val="none" w:sz="0" w:space="0" w:color="auto"/>
        <w:right w:val="none" w:sz="0" w:space="0" w:color="auto"/>
      </w:divBdr>
    </w:div>
    <w:div w:id="1422875629">
      <w:bodyDiv w:val="1"/>
      <w:marLeft w:val="0"/>
      <w:marRight w:val="0"/>
      <w:marTop w:val="0"/>
      <w:marBottom w:val="0"/>
      <w:divBdr>
        <w:top w:val="none" w:sz="0" w:space="0" w:color="auto"/>
        <w:left w:val="none" w:sz="0" w:space="0" w:color="auto"/>
        <w:bottom w:val="none" w:sz="0" w:space="0" w:color="auto"/>
        <w:right w:val="none" w:sz="0" w:space="0" w:color="auto"/>
      </w:divBdr>
    </w:div>
    <w:div w:id="1422876080">
      <w:bodyDiv w:val="1"/>
      <w:marLeft w:val="0"/>
      <w:marRight w:val="0"/>
      <w:marTop w:val="0"/>
      <w:marBottom w:val="0"/>
      <w:divBdr>
        <w:top w:val="none" w:sz="0" w:space="0" w:color="auto"/>
        <w:left w:val="none" w:sz="0" w:space="0" w:color="auto"/>
        <w:bottom w:val="none" w:sz="0" w:space="0" w:color="auto"/>
        <w:right w:val="none" w:sz="0" w:space="0" w:color="auto"/>
      </w:divBdr>
    </w:div>
    <w:div w:id="1422946861">
      <w:bodyDiv w:val="1"/>
      <w:marLeft w:val="0"/>
      <w:marRight w:val="0"/>
      <w:marTop w:val="0"/>
      <w:marBottom w:val="0"/>
      <w:divBdr>
        <w:top w:val="none" w:sz="0" w:space="0" w:color="auto"/>
        <w:left w:val="none" w:sz="0" w:space="0" w:color="auto"/>
        <w:bottom w:val="none" w:sz="0" w:space="0" w:color="auto"/>
        <w:right w:val="none" w:sz="0" w:space="0" w:color="auto"/>
      </w:divBdr>
    </w:div>
    <w:div w:id="1422946892">
      <w:bodyDiv w:val="1"/>
      <w:marLeft w:val="0"/>
      <w:marRight w:val="0"/>
      <w:marTop w:val="0"/>
      <w:marBottom w:val="0"/>
      <w:divBdr>
        <w:top w:val="none" w:sz="0" w:space="0" w:color="auto"/>
        <w:left w:val="none" w:sz="0" w:space="0" w:color="auto"/>
        <w:bottom w:val="none" w:sz="0" w:space="0" w:color="auto"/>
        <w:right w:val="none" w:sz="0" w:space="0" w:color="auto"/>
      </w:divBdr>
    </w:div>
    <w:div w:id="1422990465">
      <w:bodyDiv w:val="1"/>
      <w:marLeft w:val="0"/>
      <w:marRight w:val="0"/>
      <w:marTop w:val="0"/>
      <w:marBottom w:val="0"/>
      <w:divBdr>
        <w:top w:val="none" w:sz="0" w:space="0" w:color="auto"/>
        <w:left w:val="none" w:sz="0" w:space="0" w:color="auto"/>
        <w:bottom w:val="none" w:sz="0" w:space="0" w:color="auto"/>
        <w:right w:val="none" w:sz="0" w:space="0" w:color="auto"/>
      </w:divBdr>
    </w:div>
    <w:div w:id="1422993825">
      <w:bodyDiv w:val="1"/>
      <w:marLeft w:val="0"/>
      <w:marRight w:val="0"/>
      <w:marTop w:val="0"/>
      <w:marBottom w:val="0"/>
      <w:divBdr>
        <w:top w:val="none" w:sz="0" w:space="0" w:color="auto"/>
        <w:left w:val="none" w:sz="0" w:space="0" w:color="auto"/>
        <w:bottom w:val="none" w:sz="0" w:space="0" w:color="auto"/>
        <w:right w:val="none" w:sz="0" w:space="0" w:color="auto"/>
      </w:divBdr>
    </w:div>
    <w:div w:id="1423063496">
      <w:bodyDiv w:val="1"/>
      <w:marLeft w:val="0"/>
      <w:marRight w:val="0"/>
      <w:marTop w:val="0"/>
      <w:marBottom w:val="0"/>
      <w:divBdr>
        <w:top w:val="none" w:sz="0" w:space="0" w:color="auto"/>
        <w:left w:val="none" w:sz="0" w:space="0" w:color="auto"/>
        <w:bottom w:val="none" w:sz="0" w:space="0" w:color="auto"/>
        <w:right w:val="none" w:sz="0" w:space="0" w:color="auto"/>
      </w:divBdr>
    </w:div>
    <w:div w:id="1423137206">
      <w:bodyDiv w:val="1"/>
      <w:marLeft w:val="0"/>
      <w:marRight w:val="0"/>
      <w:marTop w:val="0"/>
      <w:marBottom w:val="0"/>
      <w:divBdr>
        <w:top w:val="none" w:sz="0" w:space="0" w:color="auto"/>
        <w:left w:val="none" w:sz="0" w:space="0" w:color="auto"/>
        <w:bottom w:val="none" w:sz="0" w:space="0" w:color="auto"/>
        <w:right w:val="none" w:sz="0" w:space="0" w:color="auto"/>
      </w:divBdr>
    </w:div>
    <w:div w:id="1423183389">
      <w:bodyDiv w:val="1"/>
      <w:marLeft w:val="0"/>
      <w:marRight w:val="0"/>
      <w:marTop w:val="0"/>
      <w:marBottom w:val="0"/>
      <w:divBdr>
        <w:top w:val="none" w:sz="0" w:space="0" w:color="auto"/>
        <w:left w:val="none" w:sz="0" w:space="0" w:color="auto"/>
        <w:bottom w:val="none" w:sz="0" w:space="0" w:color="auto"/>
        <w:right w:val="none" w:sz="0" w:space="0" w:color="auto"/>
      </w:divBdr>
    </w:div>
    <w:div w:id="1423183516">
      <w:bodyDiv w:val="1"/>
      <w:marLeft w:val="0"/>
      <w:marRight w:val="0"/>
      <w:marTop w:val="0"/>
      <w:marBottom w:val="0"/>
      <w:divBdr>
        <w:top w:val="none" w:sz="0" w:space="0" w:color="auto"/>
        <w:left w:val="none" w:sz="0" w:space="0" w:color="auto"/>
        <w:bottom w:val="none" w:sz="0" w:space="0" w:color="auto"/>
        <w:right w:val="none" w:sz="0" w:space="0" w:color="auto"/>
      </w:divBdr>
    </w:div>
    <w:div w:id="1423260426">
      <w:bodyDiv w:val="1"/>
      <w:marLeft w:val="0"/>
      <w:marRight w:val="0"/>
      <w:marTop w:val="0"/>
      <w:marBottom w:val="0"/>
      <w:divBdr>
        <w:top w:val="none" w:sz="0" w:space="0" w:color="auto"/>
        <w:left w:val="none" w:sz="0" w:space="0" w:color="auto"/>
        <w:bottom w:val="none" w:sz="0" w:space="0" w:color="auto"/>
        <w:right w:val="none" w:sz="0" w:space="0" w:color="auto"/>
      </w:divBdr>
    </w:div>
    <w:div w:id="1423263157">
      <w:bodyDiv w:val="1"/>
      <w:marLeft w:val="0"/>
      <w:marRight w:val="0"/>
      <w:marTop w:val="0"/>
      <w:marBottom w:val="0"/>
      <w:divBdr>
        <w:top w:val="none" w:sz="0" w:space="0" w:color="auto"/>
        <w:left w:val="none" w:sz="0" w:space="0" w:color="auto"/>
        <w:bottom w:val="none" w:sz="0" w:space="0" w:color="auto"/>
        <w:right w:val="none" w:sz="0" w:space="0" w:color="auto"/>
      </w:divBdr>
    </w:div>
    <w:div w:id="1423450015">
      <w:bodyDiv w:val="1"/>
      <w:marLeft w:val="0"/>
      <w:marRight w:val="0"/>
      <w:marTop w:val="0"/>
      <w:marBottom w:val="0"/>
      <w:divBdr>
        <w:top w:val="none" w:sz="0" w:space="0" w:color="auto"/>
        <w:left w:val="none" w:sz="0" w:space="0" w:color="auto"/>
        <w:bottom w:val="none" w:sz="0" w:space="0" w:color="auto"/>
        <w:right w:val="none" w:sz="0" w:space="0" w:color="auto"/>
      </w:divBdr>
    </w:div>
    <w:div w:id="1423454042">
      <w:bodyDiv w:val="1"/>
      <w:marLeft w:val="0"/>
      <w:marRight w:val="0"/>
      <w:marTop w:val="0"/>
      <w:marBottom w:val="0"/>
      <w:divBdr>
        <w:top w:val="none" w:sz="0" w:space="0" w:color="auto"/>
        <w:left w:val="none" w:sz="0" w:space="0" w:color="auto"/>
        <w:bottom w:val="none" w:sz="0" w:space="0" w:color="auto"/>
        <w:right w:val="none" w:sz="0" w:space="0" w:color="auto"/>
      </w:divBdr>
    </w:div>
    <w:div w:id="1423457173">
      <w:bodyDiv w:val="1"/>
      <w:marLeft w:val="0"/>
      <w:marRight w:val="0"/>
      <w:marTop w:val="0"/>
      <w:marBottom w:val="0"/>
      <w:divBdr>
        <w:top w:val="none" w:sz="0" w:space="0" w:color="auto"/>
        <w:left w:val="none" w:sz="0" w:space="0" w:color="auto"/>
        <w:bottom w:val="none" w:sz="0" w:space="0" w:color="auto"/>
        <w:right w:val="none" w:sz="0" w:space="0" w:color="auto"/>
      </w:divBdr>
    </w:div>
    <w:div w:id="1423526108">
      <w:bodyDiv w:val="1"/>
      <w:marLeft w:val="0"/>
      <w:marRight w:val="0"/>
      <w:marTop w:val="0"/>
      <w:marBottom w:val="0"/>
      <w:divBdr>
        <w:top w:val="none" w:sz="0" w:space="0" w:color="auto"/>
        <w:left w:val="none" w:sz="0" w:space="0" w:color="auto"/>
        <w:bottom w:val="none" w:sz="0" w:space="0" w:color="auto"/>
        <w:right w:val="none" w:sz="0" w:space="0" w:color="auto"/>
      </w:divBdr>
    </w:div>
    <w:div w:id="1423532152">
      <w:bodyDiv w:val="1"/>
      <w:marLeft w:val="0"/>
      <w:marRight w:val="0"/>
      <w:marTop w:val="0"/>
      <w:marBottom w:val="0"/>
      <w:divBdr>
        <w:top w:val="none" w:sz="0" w:space="0" w:color="auto"/>
        <w:left w:val="none" w:sz="0" w:space="0" w:color="auto"/>
        <w:bottom w:val="none" w:sz="0" w:space="0" w:color="auto"/>
        <w:right w:val="none" w:sz="0" w:space="0" w:color="auto"/>
      </w:divBdr>
    </w:div>
    <w:div w:id="1423644768">
      <w:bodyDiv w:val="1"/>
      <w:marLeft w:val="0"/>
      <w:marRight w:val="0"/>
      <w:marTop w:val="0"/>
      <w:marBottom w:val="0"/>
      <w:divBdr>
        <w:top w:val="none" w:sz="0" w:space="0" w:color="auto"/>
        <w:left w:val="none" w:sz="0" w:space="0" w:color="auto"/>
        <w:bottom w:val="none" w:sz="0" w:space="0" w:color="auto"/>
        <w:right w:val="none" w:sz="0" w:space="0" w:color="auto"/>
      </w:divBdr>
    </w:div>
    <w:div w:id="1423646988">
      <w:bodyDiv w:val="1"/>
      <w:marLeft w:val="0"/>
      <w:marRight w:val="0"/>
      <w:marTop w:val="0"/>
      <w:marBottom w:val="0"/>
      <w:divBdr>
        <w:top w:val="none" w:sz="0" w:space="0" w:color="auto"/>
        <w:left w:val="none" w:sz="0" w:space="0" w:color="auto"/>
        <w:bottom w:val="none" w:sz="0" w:space="0" w:color="auto"/>
        <w:right w:val="none" w:sz="0" w:space="0" w:color="auto"/>
      </w:divBdr>
    </w:div>
    <w:div w:id="1423647511">
      <w:bodyDiv w:val="1"/>
      <w:marLeft w:val="0"/>
      <w:marRight w:val="0"/>
      <w:marTop w:val="0"/>
      <w:marBottom w:val="0"/>
      <w:divBdr>
        <w:top w:val="none" w:sz="0" w:space="0" w:color="auto"/>
        <w:left w:val="none" w:sz="0" w:space="0" w:color="auto"/>
        <w:bottom w:val="none" w:sz="0" w:space="0" w:color="auto"/>
        <w:right w:val="none" w:sz="0" w:space="0" w:color="auto"/>
      </w:divBdr>
    </w:div>
    <w:div w:id="1423649930">
      <w:bodyDiv w:val="1"/>
      <w:marLeft w:val="0"/>
      <w:marRight w:val="0"/>
      <w:marTop w:val="0"/>
      <w:marBottom w:val="0"/>
      <w:divBdr>
        <w:top w:val="none" w:sz="0" w:space="0" w:color="auto"/>
        <w:left w:val="none" w:sz="0" w:space="0" w:color="auto"/>
        <w:bottom w:val="none" w:sz="0" w:space="0" w:color="auto"/>
        <w:right w:val="none" w:sz="0" w:space="0" w:color="auto"/>
      </w:divBdr>
    </w:div>
    <w:div w:id="1423716821">
      <w:bodyDiv w:val="1"/>
      <w:marLeft w:val="0"/>
      <w:marRight w:val="0"/>
      <w:marTop w:val="0"/>
      <w:marBottom w:val="0"/>
      <w:divBdr>
        <w:top w:val="none" w:sz="0" w:space="0" w:color="auto"/>
        <w:left w:val="none" w:sz="0" w:space="0" w:color="auto"/>
        <w:bottom w:val="none" w:sz="0" w:space="0" w:color="auto"/>
        <w:right w:val="none" w:sz="0" w:space="0" w:color="auto"/>
      </w:divBdr>
    </w:div>
    <w:div w:id="1423717767">
      <w:bodyDiv w:val="1"/>
      <w:marLeft w:val="0"/>
      <w:marRight w:val="0"/>
      <w:marTop w:val="0"/>
      <w:marBottom w:val="0"/>
      <w:divBdr>
        <w:top w:val="none" w:sz="0" w:space="0" w:color="auto"/>
        <w:left w:val="none" w:sz="0" w:space="0" w:color="auto"/>
        <w:bottom w:val="none" w:sz="0" w:space="0" w:color="auto"/>
        <w:right w:val="none" w:sz="0" w:space="0" w:color="auto"/>
      </w:divBdr>
    </w:div>
    <w:div w:id="1423717986">
      <w:bodyDiv w:val="1"/>
      <w:marLeft w:val="0"/>
      <w:marRight w:val="0"/>
      <w:marTop w:val="0"/>
      <w:marBottom w:val="0"/>
      <w:divBdr>
        <w:top w:val="none" w:sz="0" w:space="0" w:color="auto"/>
        <w:left w:val="none" w:sz="0" w:space="0" w:color="auto"/>
        <w:bottom w:val="none" w:sz="0" w:space="0" w:color="auto"/>
        <w:right w:val="none" w:sz="0" w:space="0" w:color="auto"/>
      </w:divBdr>
    </w:div>
    <w:div w:id="1423724590">
      <w:bodyDiv w:val="1"/>
      <w:marLeft w:val="0"/>
      <w:marRight w:val="0"/>
      <w:marTop w:val="0"/>
      <w:marBottom w:val="0"/>
      <w:divBdr>
        <w:top w:val="none" w:sz="0" w:space="0" w:color="auto"/>
        <w:left w:val="none" w:sz="0" w:space="0" w:color="auto"/>
        <w:bottom w:val="none" w:sz="0" w:space="0" w:color="auto"/>
        <w:right w:val="none" w:sz="0" w:space="0" w:color="auto"/>
      </w:divBdr>
    </w:div>
    <w:div w:id="1423794505">
      <w:bodyDiv w:val="1"/>
      <w:marLeft w:val="0"/>
      <w:marRight w:val="0"/>
      <w:marTop w:val="0"/>
      <w:marBottom w:val="0"/>
      <w:divBdr>
        <w:top w:val="none" w:sz="0" w:space="0" w:color="auto"/>
        <w:left w:val="none" w:sz="0" w:space="0" w:color="auto"/>
        <w:bottom w:val="none" w:sz="0" w:space="0" w:color="auto"/>
        <w:right w:val="none" w:sz="0" w:space="0" w:color="auto"/>
      </w:divBdr>
    </w:div>
    <w:div w:id="1423794642">
      <w:bodyDiv w:val="1"/>
      <w:marLeft w:val="0"/>
      <w:marRight w:val="0"/>
      <w:marTop w:val="0"/>
      <w:marBottom w:val="0"/>
      <w:divBdr>
        <w:top w:val="none" w:sz="0" w:space="0" w:color="auto"/>
        <w:left w:val="none" w:sz="0" w:space="0" w:color="auto"/>
        <w:bottom w:val="none" w:sz="0" w:space="0" w:color="auto"/>
        <w:right w:val="none" w:sz="0" w:space="0" w:color="auto"/>
      </w:divBdr>
    </w:div>
    <w:div w:id="1423800706">
      <w:bodyDiv w:val="1"/>
      <w:marLeft w:val="0"/>
      <w:marRight w:val="0"/>
      <w:marTop w:val="0"/>
      <w:marBottom w:val="0"/>
      <w:divBdr>
        <w:top w:val="none" w:sz="0" w:space="0" w:color="auto"/>
        <w:left w:val="none" w:sz="0" w:space="0" w:color="auto"/>
        <w:bottom w:val="none" w:sz="0" w:space="0" w:color="auto"/>
        <w:right w:val="none" w:sz="0" w:space="0" w:color="auto"/>
      </w:divBdr>
    </w:div>
    <w:div w:id="1423801450">
      <w:bodyDiv w:val="1"/>
      <w:marLeft w:val="0"/>
      <w:marRight w:val="0"/>
      <w:marTop w:val="0"/>
      <w:marBottom w:val="0"/>
      <w:divBdr>
        <w:top w:val="none" w:sz="0" w:space="0" w:color="auto"/>
        <w:left w:val="none" w:sz="0" w:space="0" w:color="auto"/>
        <w:bottom w:val="none" w:sz="0" w:space="0" w:color="auto"/>
        <w:right w:val="none" w:sz="0" w:space="0" w:color="auto"/>
      </w:divBdr>
    </w:div>
    <w:div w:id="1423838661">
      <w:bodyDiv w:val="1"/>
      <w:marLeft w:val="0"/>
      <w:marRight w:val="0"/>
      <w:marTop w:val="0"/>
      <w:marBottom w:val="0"/>
      <w:divBdr>
        <w:top w:val="none" w:sz="0" w:space="0" w:color="auto"/>
        <w:left w:val="none" w:sz="0" w:space="0" w:color="auto"/>
        <w:bottom w:val="none" w:sz="0" w:space="0" w:color="auto"/>
        <w:right w:val="none" w:sz="0" w:space="0" w:color="auto"/>
      </w:divBdr>
    </w:div>
    <w:div w:id="1423916684">
      <w:bodyDiv w:val="1"/>
      <w:marLeft w:val="0"/>
      <w:marRight w:val="0"/>
      <w:marTop w:val="0"/>
      <w:marBottom w:val="0"/>
      <w:divBdr>
        <w:top w:val="none" w:sz="0" w:space="0" w:color="auto"/>
        <w:left w:val="none" w:sz="0" w:space="0" w:color="auto"/>
        <w:bottom w:val="none" w:sz="0" w:space="0" w:color="auto"/>
        <w:right w:val="none" w:sz="0" w:space="0" w:color="auto"/>
      </w:divBdr>
    </w:div>
    <w:div w:id="1423916941">
      <w:bodyDiv w:val="1"/>
      <w:marLeft w:val="0"/>
      <w:marRight w:val="0"/>
      <w:marTop w:val="0"/>
      <w:marBottom w:val="0"/>
      <w:divBdr>
        <w:top w:val="none" w:sz="0" w:space="0" w:color="auto"/>
        <w:left w:val="none" w:sz="0" w:space="0" w:color="auto"/>
        <w:bottom w:val="none" w:sz="0" w:space="0" w:color="auto"/>
        <w:right w:val="none" w:sz="0" w:space="0" w:color="auto"/>
      </w:divBdr>
    </w:div>
    <w:div w:id="1423988717">
      <w:bodyDiv w:val="1"/>
      <w:marLeft w:val="0"/>
      <w:marRight w:val="0"/>
      <w:marTop w:val="0"/>
      <w:marBottom w:val="0"/>
      <w:divBdr>
        <w:top w:val="none" w:sz="0" w:space="0" w:color="auto"/>
        <w:left w:val="none" w:sz="0" w:space="0" w:color="auto"/>
        <w:bottom w:val="none" w:sz="0" w:space="0" w:color="auto"/>
        <w:right w:val="none" w:sz="0" w:space="0" w:color="auto"/>
      </w:divBdr>
    </w:div>
    <w:div w:id="1423994461">
      <w:bodyDiv w:val="1"/>
      <w:marLeft w:val="0"/>
      <w:marRight w:val="0"/>
      <w:marTop w:val="0"/>
      <w:marBottom w:val="0"/>
      <w:divBdr>
        <w:top w:val="none" w:sz="0" w:space="0" w:color="auto"/>
        <w:left w:val="none" w:sz="0" w:space="0" w:color="auto"/>
        <w:bottom w:val="none" w:sz="0" w:space="0" w:color="auto"/>
        <w:right w:val="none" w:sz="0" w:space="0" w:color="auto"/>
      </w:divBdr>
    </w:div>
    <w:div w:id="1424178660">
      <w:bodyDiv w:val="1"/>
      <w:marLeft w:val="0"/>
      <w:marRight w:val="0"/>
      <w:marTop w:val="0"/>
      <w:marBottom w:val="0"/>
      <w:divBdr>
        <w:top w:val="none" w:sz="0" w:space="0" w:color="auto"/>
        <w:left w:val="none" w:sz="0" w:space="0" w:color="auto"/>
        <w:bottom w:val="none" w:sz="0" w:space="0" w:color="auto"/>
        <w:right w:val="none" w:sz="0" w:space="0" w:color="auto"/>
      </w:divBdr>
    </w:div>
    <w:div w:id="1424178895">
      <w:bodyDiv w:val="1"/>
      <w:marLeft w:val="0"/>
      <w:marRight w:val="0"/>
      <w:marTop w:val="0"/>
      <w:marBottom w:val="0"/>
      <w:divBdr>
        <w:top w:val="none" w:sz="0" w:space="0" w:color="auto"/>
        <w:left w:val="none" w:sz="0" w:space="0" w:color="auto"/>
        <w:bottom w:val="none" w:sz="0" w:space="0" w:color="auto"/>
        <w:right w:val="none" w:sz="0" w:space="0" w:color="auto"/>
      </w:divBdr>
    </w:div>
    <w:div w:id="1424184523">
      <w:bodyDiv w:val="1"/>
      <w:marLeft w:val="0"/>
      <w:marRight w:val="0"/>
      <w:marTop w:val="0"/>
      <w:marBottom w:val="0"/>
      <w:divBdr>
        <w:top w:val="none" w:sz="0" w:space="0" w:color="auto"/>
        <w:left w:val="none" w:sz="0" w:space="0" w:color="auto"/>
        <w:bottom w:val="none" w:sz="0" w:space="0" w:color="auto"/>
        <w:right w:val="none" w:sz="0" w:space="0" w:color="auto"/>
      </w:divBdr>
    </w:div>
    <w:div w:id="1424257706">
      <w:bodyDiv w:val="1"/>
      <w:marLeft w:val="0"/>
      <w:marRight w:val="0"/>
      <w:marTop w:val="0"/>
      <w:marBottom w:val="0"/>
      <w:divBdr>
        <w:top w:val="none" w:sz="0" w:space="0" w:color="auto"/>
        <w:left w:val="none" w:sz="0" w:space="0" w:color="auto"/>
        <w:bottom w:val="none" w:sz="0" w:space="0" w:color="auto"/>
        <w:right w:val="none" w:sz="0" w:space="0" w:color="auto"/>
      </w:divBdr>
    </w:div>
    <w:div w:id="1424375973">
      <w:bodyDiv w:val="1"/>
      <w:marLeft w:val="0"/>
      <w:marRight w:val="0"/>
      <w:marTop w:val="0"/>
      <w:marBottom w:val="0"/>
      <w:divBdr>
        <w:top w:val="none" w:sz="0" w:space="0" w:color="auto"/>
        <w:left w:val="none" w:sz="0" w:space="0" w:color="auto"/>
        <w:bottom w:val="none" w:sz="0" w:space="0" w:color="auto"/>
        <w:right w:val="none" w:sz="0" w:space="0" w:color="auto"/>
      </w:divBdr>
    </w:div>
    <w:div w:id="1424450760">
      <w:bodyDiv w:val="1"/>
      <w:marLeft w:val="0"/>
      <w:marRight w:val="0"/>
      <w:marTop w:val="0"/>
      <w:marBottom w:val="0"/>
      <w:divBdr>
        <w:top w:val="none" w:sz="0" w:space="0" w:color="auto"/>
        <w:left w:val="none" w:sz="0" w:space="0" w:color="auto"/>
        <w:bottom w:val="none" w:sz="0" w:space="0" w:color="auto"/>
        <w:right w:val="none" w:sz="0" w:space="0" w:color="auto"/>
      </w:divBdr>
    </w:div>
    <w:div w:id="1424451774">
      <w:bodyDiv w:val="1"/>
      <w:marLeft w:val="0"/>
      <w:marRight w:val="0"/>
      <w:marTop w:val="0"/>
      <w:marBottom w:val="0"/>
      <w:divBdr>
        <w:top w:val="none" w:sz="0" w:space="0" w:color="auto"/>
        <w:left w:val="none" w:sz="0" w:space="0" w:color="auto"/>
        <w:bottom w:val="none" w:sz="0" w:space="0" w:color="auto"/>
        <w:right w:val="none" w:sz="0" w:space="0" w:color="auto"/>
      </w:divBdr>
    </w:div>
    <w:div w:id="1424453525">
      <w:bodyDiv w:val="1"/>
      <w:marLeft w:val="0"/>
      <w:marRight w:val="0"/>
      <w:marTop w:val="0"/>
      <w:marBottom w:val="0"/>
      <w:divBdr>
        <w:top w:val="none" w:sz="0" w:space="0" w:color="auto"/>
        <w:left w:val="none" w:sz="0" w:space="0" w:color="auto"/>
        <w:bottom w:val="none" w:sz="0" w:space="0" w:color="auto"/>
        <w:right w:val="none" w:sz="0" w:space="0" w:color="auto"/>
      </w:divBdr>
    </w:div>
    <w:div w:id="1424574286">
      <w:bodyDiv w:val="1"/>
      <w:marLeft w:val="0"/>
      <w:marRight w:val="0"/>
      <w:marTop w:val="0"/>
      <w:marBottom w:val="0"/>
      <w:divBdr>
        <w:top w:val="none" w:sz="0" w:space="0" w:color="auto"/>
        <w:left w:val="none" w:sz="0" w:space="0" w:color="auto"/>
        <w:bottom w:val="none" w:sz="0" w:space="0" w:color="auto"/>
        <w:right w:val="none" w:sz="0" w:space="0" w:color="auto"/>
      </w:divBdr>
    </w:div>
    <w:div w:id="1424691315">
      <w:bodyDiv w:val="1"/>
      <w:marLeft w:val="0"/>
      <w:marRight w:val="0"/>
      <w:marTop w:val="0"/>
      <w:marBottom w:val="0"/>
      <w:divBdr>
        <w:top w:val="none" w:sz="0" w:space="0" w:color="auto"/>
        <w:left w:val="none" w:sz="0" w:space="0" w:color="auto"/>
        <w:bottom w:val="none" w:sz="0" w:space="0" w:color="auto"/>
        <w:right w:val="none" w:sz="0" w:space="0" w:color="auto"/>
      </w:divBdr>
    </w:div>
    <w:div w:id="1424718645">
      <w:bodyDiv w:val="1"/>
      <w:marLeft w:val="0"/>
      <w:marRight w:val="0"/>
      <w:marTop w:val="0"/>
      <w:marBottom w:val="0"/>
      <w:divBdr>
        <w:top w:val="none" w:sz="0" w:space="0" w:color="auto"/>
        <w:left w:val="none" w:sz="0" w:space="0" w:color="auto"/>
        <w:bottom w:val="none" w:sz="0" w:space="0" w:color="auto"/>
        <w:right w:val="none" w:sz="0" w:space="0" w:color="auto"/>
      </w:divBdr>
    </w:div>
    <w:div w:id="1424758725">
      <w:bodyDiv w:val="1"/>
      <w:marLeft w:val="0"/>
      <w:marRight w:val="0"/>
      <w:marTop w:val="0"/>
      <w:marBottom w:val="0"/>
      <w:divBdr>
        <w:top w:val="none" w:sz="0" w:space="0" w:color="auto"/>
        <w:left w:val="none" w:sz="0" w:space="0" w:color="auto"/>
        <w:bottom w:val="none" w:sz="0" w:space="0" w:color="auto"/>
        <w:right w:val="none" w:sz="0" w:space="0" w:color="auto"/>
      </w:divBdr>
    </w:div>
    <w:div w:id="1424759977">
      <w:bodyDiv w:val="1"/>
      <w:marLeft w:val="0"/>
      <w:marRight w:val="0"/>
      <w:marTop w:val="0"/>
      <w:marBottom w:val="0"/>
      <w:divBdr>
        <w:top w:val="none" w:sz="0" w:space="0" w:color="auto"/>
        <w:left w:val="none" w:sz="0" w:space="0" w:color="auto"/>
        <w:bottom w:val="none" w:sz="0" w:space="0" w:color="auto"/>
        <w:right w:val="none" w:sz="0" w:space="0" w:color="auto"/>
      </w:divBdr>
    </w:div>
    <w:div w:id="1424760718">
      <w:bodyDiv w:val="1"/>
      <w:marLeft w:val="0"/>
      <w:marRight w:val="0"/>
      <w:marTop w:val="0"/>
      <w:marBottom w:val="0"/>
      <w:divBdr>
        <w:top w:val="none" w:sz="0" w:space="0" w:color="auto"/>
        <w:left w:val="none" w:sz="0" w:space="0" w:color="auto"/>
        <w:bottom w:val="none" w:sz="0" w:space="0" w:color="auto"/>
        <w:right w:val="none" w:sz="0" w:space="0" w:color="auto"/>
      </w:divBdr>
    </w:div>
    <w:div w:id="1424765687">
      <w:bodyDiv w:val="1"/>
      <w:marLeft w:val="0"/>
      <w:marRight w:val="0"/>
      <w:marTop w:val="0"/>
      <w:marBottom w:val="0"/>
      <w:divBdr>
        <w:top w:val="none" w:sz="0" w:space="0" w:color="auto"/>
        <w:left w:val="none" w:sz="0" w:space="0" w:color="auto"/>
        <w:bottom w:val="none" w:sz="0" w:space="0" w:color="auto"/>
        <w:right w:val="none" w:sz="0" w:space="0" w:color="auto"/>
      </w:divBdr>
    </w:div>
    <w:div w:id="1424840305">
      <w:bodyDiv w:val="1"/>
      <w:marLeft w:val="0"/>
      <w:marRight w:val="0"/>
      <w:marTop w:val="0"/>
      <w:marBottom w:val="0"/>
      <w:divBdr>
        <w:top w:val="none" w:sz="0" w:space="0" w:color="auto"/>
        <w:left w:val="none" w:sz="0" w:space="0" w:color="auto"/>
        <w:bottom w:val="none" w:sz="0" w:space="0" w:color="auto"/>
        <w:right w:val="none" w:sz="0" w:space="0" w:color="auto"/>
      </w:divBdr>
    </w:div>
    <w:div w:id="1425222011">
      <w:bodyDiv w:val="1"/>
      <w:marLeft w:val="0"/>
      <w:marRight w:val="0"/>
      <w:marTop w:val="0"/>
      <w:marBottom w:val="0"/>
      <w:divBdr>
        <w:top w:val="none" w:sz="0" w:space="0" w:color="auto"/>
        <w:left w:val="none" w:sz="0" w:space="0" w:color="auto"/>
        <w:bottom w:val="none" w:sz="0" w:space="0" w:color="auto"/>
        <w:right w:val="none" w:sz="0" w:space="0" w:color="auto"/>
      </w:divBdr>
    </w:div>
    <w:div w:id="1425224133">
      <w:bodyDiv w:val="1"/>
      <w:marLeft w:val="0"/>
      <w:marRight w:val="0"/>
      <w:marTop w:val="0"/>
      <w:marBottom w:val="0"/>
      <w:divBdr>
        <w:top w:val="none" w:sz="0" w:space="0" w:color="auto"/>
        <w:left w:val="none" w:sz="0" w:space="0" w:color="auto"/>
        <w:bottom w:val="none" w:sz="0" w:space="0" w:color="auto"/>
        <w:right w:val="none" w:sz="0" w:space="0" w:color="auto"/>
      </w:divBdr>
    </w:div>
    <w:div w:id="1425228748">
      <w:bodyDiv w:val="1"/>
      <w:marLeft w:val="0"/>
      <w:marRight w:val="0"/>
      <w:marTop w:val="0"/>
      <w:marBottom w:val="0"/>
      <w:divBdr>
        <w:top w:val="none" w:sz="0" w:space="0" w:color="auto"/>
        <w:left w:val="none" w:sz="0" w:space="0" w:color="auto"/>
        <w:bottom w:val="none" w:sz="0" w:space="0" w:color="auto"/>
        <w:right w:val="none" w:sz="0" w:space="0" w:color="auto"/>
      </w:divBdr>
    </w:div>
    <w:div w:id="1425296261">
      <w:bodyDiv w:val="1"/>
      <w:marLeft w:val="0"/>
      <w:marRight w:val="0"/>
      <w:marTop w:val="0"/>
      <w:marBottom w:val="0"/>
      <w:divBdr>
        <w:top w:val="none" w:sz="0" w:space="0" w:color="auto"/>
        <w:left w:val="none" w:sz="0" w:space="0" w:color="auto"/>
        <w:bottom w:val="none" w:sz="0" w:space="0" w:color="auto"/>
        <w:right w:val="none" w:sz="0" w:space="0" w:color="auto"/>
      </w:divBdr>
    </w:div>
    <w:div w:id="1425300224">
      <w:bodyDiv w:val="1"/>
      <w:marLeft w:val="0"/>
      <w:marRight w:val="0"/>
      <w:marTop w:val="0"/>
      <w:marBottom w:val="0"/>
      <w:divBdr>
        <w:top w:val="none" w:sz="0" w:space="0" w:color="auto"/>
        <w:left w:val="none" w:sz="0" w:space="0" w:color="auto"/>
        <w:bottom w:val="none" w:sz="0" w:space="0" w:color="auto"/>
        <w:right w:val="none" w:sz="0" w:space="0" w:color="auto"/>
      </w:divBdr>
    </w:div>
    <w:div w:id="1425301887">
      <w:bodyDiv w:val="1"/>
      <w:marLeft w:val="0"/>
      <w:marRight w:val="0"/>
      <w:marTop w:val="0"/>
      <w:marBottom w:val="0"/>
      <w:divBdr>
        <w:top w:val="none" w:sz="0" w:space="0" w:color="auto"/>
        <w:left w:val="none" w:sz="0" w:space="0" w:color="auto"/>
        <w:bottom w:val="none" w:sz="0" w:space="0" w:color="auto"/>
        <w:right w:val="none" w:sz="0" w:space="0" w:color="auto"/>
      </w:divBdr>
    </w:div>
    <w:div w:id="1425344038">
      <w:bodyDiv w:val="1"/>
      <w:marLeft w:val="0"/>
      <w:marRight w:val="0"/>
      <w:marTop w:val="0"/>
      <w:marBottom w:val="0"/>
      <w:divBdr>
        <w:top w:val="none" w:sz="0" w:space="0" w:color="auto"/>
        <w:left w:val="none" w:sz="0" w:space="0" w:color="auto"/>
        <w:bottom w:val="none" w:sz="0" w:space="0" w:color="auto"/>
        <w:right w:val="none" w:sz="0" w:space="0" w:color="auto"/>
      </w:divBdr>
    </w:div>
    <w:div w:id="1425347615">
      <w:bodyDiv w:val="1"/>
      <w:marLeft w:val="0"/>
      <w:marRight w:val="0"/>
      <w:marTop w:val="0"/>
      <w:marBottom w:val="0"/>
      <w:divBdr>
        <w:top w:val="none" w:sz="0" w:space="0" w:color="auto"/>
        <w:left w:val="none" w:sz="0" w:space="0" w:color="auto"/>
        <w:bottom w:val="none" w:sz="0" w:space="0" w:color="auto"/>
        <w:right w:val="none" w:sz="0" w:space="0" w:color="auto"/>
      </w:divBdr>
    </w:div>
    <w:div w:id="1425490175">
      <w:bodyDiv w:val="1"/>
      <w:marLeft w:val="0"/>
      <w:marRight w:val="0"/>
      <w:marTop w:val="0"/>
      <w:marBottom w:val="0"/>
      <w:divBdr>
        <w:top w:val="none" w:sz="0" w:space="0" w:color="auto"/>
        <w:left w:val="none" w:sz="0" w:space="0" w:color="auto"/>
        <w:bottom w:val="none" w:sz="0" w:space="0" w:color="auto"/>
        <w:right w:val="none" w:sz="0" w:space="0" w:color="auto"/>
      </w:divBdr>
    </w:div>
    <w:div w:id="1425608705">
      <w:bodyDiv w:val="1"/>
      <w:marLeft w:val="0"/>
      <w:marRight w:val="0"/>
      <w:marTop w:val="0"/>
      <w:marBottom w:val="0"/>
      <w:divBdr>
        <w:top w:val="none" w:sz="0" w:space="0" w:color="auto"/>
        <w:left w:val="none" w:sz="0" w:space="0" w:color="auto"/>
        <w:bottom w:val="none" w:sz="0" w:space="0" w:color="auto"/>
        <w:right w:val="none" w:sz="0" w:space="0" w:color="auto"/>
      </w:divBdr>
    </w:div>
    <w:div w:id="1425806631">
      <w:bodyDiv w:val="1"/>
      <w:marLeft w:val="0"/>
      <w:marRight w:val="0"/>
      <w:marTop w:val="0"/>
      <w:marBottom w:val="0"/>
      <w:divBdr>
        <w:top w:val="none" w:sz="0" w:space="0" w:color="auto"/>
        <w:left w:val="none" w:sz="0" w:space="0" w:color="auto"/>
        <w:bottom w:val="none" w:sz="0" w:space="0" w:color="auto"/>
        <w:right w:val="none" w:sz="0" w:space="0" w:color="auto"/>
      </w:divBdr>
    </w:div>
    <w:div w:id="1425880788">
      <w:bodyDiv w:val="1"/>
      <w:marLeft w:val="0"/>
      <w:marRight w:val="0"/>
      <w:marTop w:val="0"/>
      <w:marBottom w:val="0"/>
      <w:divBdr>
        <w:top w:val="none" w:sz="0" w:space="0" w:color="auto"/>
        <w:left w:val="none" w:sz="0" w:space="0" w:color="auto"/>
        <w:bottom w:val="none" w:sz="0" w:space="0" w:color="auto"/>
        <w:right w:val="none" w:sz="0" w:space="0" w:color="auto"/>
      </w:divBdr>
    </w:div>
    <w:div w:id="1425884512">
      <w:bodyDiv w:val="1"/>
      <w:marLeft w:val="0"/>
      <w:marRight w:val="0"/>
      <w:marTop w:val="0"/>
      <w:marBottom w:val="0"/>
      <w:divBdr>
        <w:top w:val="none" w:sz="0" w:space="0" w:color="auto"/>
        <w:left w:val="none" w:sz="0" w:space="0" w:color="auto"/>
        <w:bottom w:val="none" w:sz="0" w:space="0" w:color="auto"/>
        <w:right w:val="none" w:sz="0" w:space="0" w:color="auto"/>
      </w:divBdr>
    </w:div>
    <w:div w:id="1425885022">
      <w:bodyDiv w:val="1"/>
      <w:marLeft w:val="0"/>
      <w:marRight w:val="0"/>
      <w:marTop w:val="0"/>
      <w:marBottom w:val="0"/>
      <w:divBdr>
        <w:top w:val="none" w:sz="0" w:space="0" w:color="auto"/>
        <w:left w:val="none" w:sz="0" w:space="0" w:color="auto"/>
        <w:bottom w:val="none" w:sz="0" w:space="0" w:color="auto"/>
        <w:right w:val="none" w:sz="0" w:space="0" w:color="auto"/>
      </w:divBdr>
    </w:div>
    <w:div w:id="1425955251">
      <w:bodyDiv w:val="1"/>
      <w:marLeft w:val="0"/>
      <w:marRight w:val="0"/>
      <w:marTop w:val="0"/>
      <w:marBottom w:val="0"/>
      <w:divBdr>
        <w:top w:val="none" w:sz="0" w:space="0" w:color="auto"/>
        <w:left w:val="none" w:sz="0" w:space="0" w:color="auto"/>
        <w:bottom w:val="none" w:sz="0" w:space="0" w:color="auto"/>
        <w:right w:val="none" w:sz="0" w:space="0" w:color="auto"/>
      </w:divBdr>
    </w:div>
    <w:div w:id="1426069468">
      <w:bodyDiv w:val="1"/>
      <w:marLeft w:val="0"/>
      <w:marRight w:val="0"/>
      <w:marTop w:val="0"/>
      <w:marBottom w:val="0"/>
      <w:divBdr>
        <w:top w:val="none" w:sz="0" w:space="0" w:color="auto"/>
        <w:left w:val="none" w:sz="0" w:space="0" w:color="auto"/>
        <w:bottom w:val="none" w:sz="0" w:space="0" w:color="auto"/>
        <w:right w:val="none" w:sz="0" w:space="0" w:color="auto"/>
      </w:divBdr>
    </w:div>
    <w:div w:id="1426073512">
      <w:bodyDiv w:val="1"/>
      <w:marLeft w:val="0"/>
      <w:marRight w:val="0"/>
      <w:marTop w:val="0"/>
      <w:marBottom w:val="0"/>
      <w:divBdr>
        <w:top w:val="none" w:sz="0" w:space="0" w:color="auto"/>
        <w:left w:val="none" w:sz="0" w:space="0" w:color="auto"/>
        <w:bottom w:val="none" w:sz="0" w:space="0" w:color="auto"/>
        <w:right w:val="none" w:sz="0" w:space="0" w:color="auto"/>
      </w:divBdr>
    </w:div>
    <w:div w:id="1426147978">
      <w:bodyDiv w:val="1"/>
      <w:marLeft w:val="0"/>
      <w:marRight w:val="0"/>
      <w:marTop w:val="0"/>
      <w:marBottom w:val="0"/>
      <w:divBdr>
        <w:top w:val="none" w:sz="0" w:space="0" w:color="auto"/>
        <w:left w:val="none" w:sz="0" w:space="0" w:color="auto"/>
        <w:bottom w:val="none" w:sz="0" w:space="0" w:color="auto"/>
        <w:right w:val="none" w:sz="0" w:space="0" w:color="auto"/>
      </w:divBdr>
    </w:div>
    <w:div w:id="1426148249">
      <w:bodyDiv w:val="1"/>
      <w:marLeft w:val="0"/>
      <w:marRight w:val="0"/>
      <w:marTop w:val="0"/>
      <w:marBottom w:val="0"/>
      <w:divBdr>
        <w:top w:val="none" w:sz="0" w:space="0" w:color="auto"/>
        <w:left w:val="none" w:sz="0" w:space="0" w:color="auto"/>
        <w:bottom w:val="none" w:sz="0" w:space="0" w:color="auto"/>
        <w:right w:val="none" w:sz="0" w:space="0" w:color="auto"/>
      </w:divBdr>
    </w:div>
    <w:div w:id="1426151894">
      <w:bodyDiv w:val="1"/>
      <w:marLeft w:val="0"/>
      <w:marRight w:val="0"/>
      <w:marTop w:val="0"/>
      <w:marBottom w:val="0"/>
      <w:divBdr>
        <w:top w:val="none" w:sz="0" w:space="0" w:color="auto"/>
        <w:left w:val="none" w:sz="0" w:space="0" w:color="auto"/>
        <w:bottom w:val="none" w:sz="0" w:space="0" w:color="auto"/>
        <w:right w:val="none" w:sz="0" w:space="0" w:color="auto"/>
      </w:divBdr>
    </w:div>
    <w:div w:id="1426264581">
      <w:bodyDiv w:val="1"/>
      <w:marLeft w:val="0"/>
      <w:marRight w:val="0"/>
      <w:marTop w:val="0"/>
      <w:marBottom w:val="0"/>
      <w:divBdr>
        <w:top w:val="none" w:sz="0" w:space="0" w:color="auto"/>
        <w:left w:val="none" w:sz="0" w:space="0" w:color="auto"/>
        <w:bottom w:val="none" w:sz="0" w:space="0" w:color="auto"/>
        <w:right w:val="none" w:sz="0" w:space="0" w:color="auto"/>
      </w:divBdr>
    </w:div>
    <w:div w:id="1426339212">
      <w:bodyDiv w:val="1"/>
      <w:marLeft w:val="0"/>
      <w:marRight w:val="0"/>
      <w:marTop w:val="0"/>
      <w:marBottom w:val="0"/>
      <w:divBdr>
        <w:top w:val="none" w:sz="0" w:space="0" w:color="auto"/>
        <w:left w:val="none" w:sz="0" w:space="0" w:color="auto"/>
        <w:bottom w:val="none" w:sz="0" w:space="0" w:color="auto"/>
        <w:right w:val="none" w:sz="0" w:space="0" w:color="auto"/>
      </w:divBdr>
    </w:div>
    <w:div w:id="1426339772">
      <w:bodyDiv w:val="1"/>
      <w:marLeft w:val="0"/>
      <w:marRight w:val="0"/>
      <w:marTop w:val="0"/>
      <w:marBottom w:val="0"/>
      <w:divBdr>
        <w:top w:val="none" w:sz="0" w:space="0" w:color="auto"/>
        <w:left w:val="none" w:sz="0" w:space="0" w:color="auto"/>
        <w:bottom w:val="none" w:sz="0" w:space="0" w:color="auto"/>
        <w:right w:val="none" w:sz="0" w:space="0" w:color="auto"/>
      </w:divBdr>
    </w:div>
    <w:div w:id="1426413139">
      <w:bodyDiv w:val="1"/>
      <w:marLeft w:val="0"/>
      <w:marRight w:val="0"/>
      <w:marTop w:val="0"/>
      <w:marBottom w:val="0"/>
      <w:divBdr>
        <w:top w:val="none" w:sz="0" w:space="0" w:color="auto"/>
        <w:left w:val="none" w:sz="0" w:space="0" w:color="auto"/>
        <w:bottom w:val="none" w:sz="0" w:space="0" w:color="auto"/>
        <w:right w:val="none" w:sz="0" w:space="0" w:color="auto"/>
      </w:divBdr>
    </w:div>
    <w:div w:id="1426416876">
      <w:bodyDiv w:val="1"/>
      <w:marLeft w:val="0"/>
      <w:marRight w:val="0"/>
      <w:marTop w:val="0"/>
      <w:marBottom w:val="0"/>
      <w:divBdr>
        <w:top w:val="none" w:sz="0" w:space="0" w:color="auto"/>
        <w:left w:val="none" w:sz="0" w:space="0" w:color="auto"/>
        <w:bottom w:val="none" w:sz="0" w:space="0" w:color="auto"/>
        <w:right w:val="none" w:sz="0" w:space="0" w:color="auto"/>
      </w:divBdr>
    </w:div>
    <w:div w:id="1426456662">
      <w:bodyDiv w:val="1"/>
      <w:marLeft w:val="0"/>
      <w:marRight w:val="0"/>
      <w:marTop w:val="0"/>
      <w:marBottom w:val="0"/>
      <w:divBdr>
        <w:top w:val="none" w:sz="0" w:space="0" w:color="auto"/>
        <w:left w:val="none" w:sz="0" w:space="0" w:color="auto"/>
        <w:bottom w:val="none" w:sz="0" w:space="0" w:color="auto"/>
        <w:right w:val="none" w:sz="0" w:space="0" w:color="auto"/>
      </w:divBdr>
    </w:div>
    <w:div w:id="1426459132">
      <w:bodyDiv w:val="1"/>
      <w:marLeft w:val="0"/>
      <w:marRight w:val="0"/>
      <w:marTop w:val="0"/>
      <w:marBottom w:val="0"/>
      <w:divBdr>
        <w:top w:val="none" w:sz="0" w:space="0" w:color="auto"/>
        <w:left w:val="none" w:sz="0" w:space="0" w:color="auto"/>
        <w:bottom w:val="none" w:sz="0" w:space="0" w:color="auto"/>
        <w:right w:val="none" w:sz="0" w:space="0" w:color="auto"/>
      </w:divBdr>
    </w:div>
    <w:div w:id="1426654241">
      <w:bodyDiv w:val="1"/>
      <w:marLeft w:val="0"/>
      <w:marRight w:val="0"/>
      <w:marTop w:val="0"/>
      <w:marBottom w:val="0"/>
      <w:divBdr>
        <w:top w:val="none" w:sz="0" w:space="0" w:color="auto"/>
        <w:left w:val="none" w:sz="0" w:space="0" w:color="auto"/>
        <w:bottom w:val="none" w:sz="0" w:space="0" w:color="auto"/>
        <w:right w:val="none" w:sz="0" w:space="0" w:color="auto"/>
      </w:divBdr>
    </w:div>
    <w:div w:id="1426726393">
      <w:bodyDiv w:val="1"/>
      <w:marLeft w:val="0"/>
      <w:marRight w:val="0"/>
      <w:marTop w:val="0"/>
      <w:marBottom w:val="0"/>
      <w:divBdr>
        <w:top w:val="none" w:sz="0" w:space="0" w:color="auto"/>
        <w:left w:val="none" w:sz="0" w:space="0" w:color="auto"/>
        <w:bottom w:val="none" w:sz="0" w:space="0" w:color="auto"/>
        <w:right w:val="none" w:sz="0" w:space="0" w:color="auto"/>
      </w:divBdr>
    </w:div>
    <w:div w:id="1426879599">
      <w:bodyDiv w:val="1"/>
      <w:marLeft w:val="0"/>
      <w:marRight w:val="0"/>
      <w:marTop w:val="0"/>
      <w:marBottom w:val="0"/>
      <w:divBdr>
        <w:top w:val="none" w:sz="0" w:space="0" w:color="auto"/>
        <w:left w:val="none" w:sz="0" w:space="0" w:color="auto"/>
        <w:bottom w:val="none" w:sz="0" w:space="0" w:color="auto"/>
        <w:right w:val="none" w:sz="0" w:space="0" w:color="auto"/>
      </w:divBdr>
    </w:div>
    <w:div w:id="1426918736">
      <w:bodyDiv w:val="1"/>
      <w:marLeft w:val="0"/>
      <w:marRight w:val="0"/>
      <w:marTop w:val="0"/>
      <w:marBottom w:val="0"/>
      <w:divBdr>
        <w:top w:val="none" w:sz="0" w:space="0" w:color="auto"/>
        <w:left w:val="none" w:sz="0" w:space="0" w:color="auto"/>
        <w:bottom w:val="none" w:sz="0" w:space="0" w:color="auto"/>
        <w:right w:val="none" w:sz="0" w:space="0" w:color="auto"/>
      </w:divBdr>
    </w:div>
    <w:div w:id="1427074325">
      <w:bodyDiv w:val="1"/>
      <w:marLeft w:val="0"/>
      <w:marRight w:val="0"/>
      <w:marTop w:val="0"/>
      <w:marBottom w:val="0"/>
      <w:divBdr>
        <w:top w:val="none" w:sz="0" w:space="0" w:color="auto"/>
        <w:left w:val="none" w:sz="0" w:space="0" w:color="auto"/>
        <w:bottom w:val="none" w:sz="0" w:space="0" w:color="auto"/>
        <w:right w:val="none" w:sz="0" w:space="0" w:color="auto"/>
      </w:divBdr>
    </w:div>
    <w:div w:id="1427115217">
      <w:bodyDiv w:val="1"/>
      <w:marLeft w:val="0"/>
      <w:marRight w:val="0"/>
      <w:marTop w:val="0"/>
      <w:marBottom w:val="0"/>
      <w:divBdr>
        <w:top w:val="none" w:sz="0" w:space="0" w:color="auto"/>
        <w:left w:val="none" w:sz="0" w:space="0" w:color="auto"/>
        <w:bottom w:val="none" w:sz="0" w:space="0" w:color="auto"/>
        <w:right w:val="none" w:sz="0" w:space="0" w:color="auto"/>
      </w:divBdr>
    </w:div>
    <w:div w:id="1427144151">
      <w:bodyDiv w:val="1"/>
      <w:marLeft w:val="0"/>
      <w:marRight w:val="0"/>
      <w:marTop w:val="0"/>
      <w:marBottom w:val="0"/>
      <w:divBdr>
        <w:top w:val="none" w:sz="0" w:space="0" w:color="auto"/>
        <w:left w:val="none" w:sz="0" w:space="0" w:color="auto"/>
        <w:bottom w:val="none" w:sz="0" w:space="0" w:color="auto"/>
        <w:right w:val="none" w:sz="0" w:space="0" w:color="auto"/>
      </w:divBdr>
    </w:div>
    <w:div w:id="1427192261">
      <w:bodyDiv w:val="1"/>
      <w:marLeft w:val="0"/>
      <w:marRight w:val="0"/>
      <w:marTop w:val="0"/>
      <w:marBottom w:val="0"/>
      <w:divBdr>
        <w:top w:val="none" w:sz="0" w:space="0" w:color="auto"/>
        <w:left w:val="none" w:sz="0" w:space="0" w:color="auto"/>
        <w:bottom w:val="none" w:sz="0" w:space="0" w:color="auto"/>
        <w:right w:val="none" w:sz="0" w:space="0" w:color="auto"/>
      </w:divBdr>
    </w:div>
    <w:div w:id="1427464196">
      <w:bodyDiv w:val="1"/>
      <w:marLeft w:val="0"/>
      <w:marRight w:val="0"/>
      <w:marTop w:val="0"/>
      <w:marBottom w:val="0"/>
      <w:divBdr>
        <w:top w:val="none" w:sz="0" w:space="0" w:color="auto"/>
        <w:left w:val="none" w:sz="0" w:space="0" w:color="auto"/>
        <w:bottom w:val="none" w:sz="0" w:space="0" w:color="auto"/>
        <w:right w:val="none" w:sz="0" w:space="0" w:color="auto"/>
      </w:divBdr>
    </w:div>
    <w:div w:id="1427580401">
      <w:bodyDiv w:val="1"/>
      <w:marLeft w:val="0"/>
      <w:marRight w:val="0"/>
      <w:marTop w:val="0"/>
      <w:marBottom w:val="0"/>
      <w:divBdr>
        <w:top w:val="none" w:sz="0" w:space="0" w:color="auto"/>
        <w:left w:val="none" w:sz="0" w:space="0" w:color="auto"/>
        <w:bottom w:val="none" w:sz="0" w:space="0" w:color="auto"/>
        <w:right w:val="none" w:sz="0" w:space="0" w:color="auto"/>
      </w:divBdr>
    </w:div>
    <w:div w:id="1427581101">
      <w:bodyDiv w:val="1"/>
      <w:marLeft w:val="0"/>
      <w:marRight w:val="0"/>
      <w:marTop w:val="0"/>
      <w:marBottom w:val="0"/>
      <w:divBdr>
        <w:top w:val="none" w:sz="0" w:space="0" w:color="auto"/>
        <w:left w:val="none" w:sz="0" w:space="0" w:color="auto"/>
        <w:bottom w:val="none" w:sz="0" w:space="0" w:color="auto"/>
        <w:right w:val="none" w:sz="0" w:space="0" w:color="auto"/>
      </w:divBdr>
    </w:div>
    <w:div w:id="1427772845">
      <w:bodyDiv w:val="1"/>
      <w:marLeft w:val="0"/>
      <w:marRight w:val="0"/>
      <w:marTop w:val="0"/>
      <w:marBottom w:val="0"/>
      <w:divBdr>
        <w:top w:val="none" w:sz="0" w:space="0" w:color="auto"/>
        <w:left w:val="none" w:sz="0" w:space="0" w:color="auto"/>
        <w:bottom w:val="none" w:sz="0" w:space="0" w:color="auto"/>
        <w:right w:val="none" w:sz="0" w:space="0" w:color="auto"/>
      </w:divBdr>
    </w:div>
    <w:div w:id="1427846295">
      <w:bodyDiv w:val="1"/>
      <w:marLeft w:val="0"/>
      <w:marRight w:val="0"/>
      <w:marTop w:val="0"/>
      <w:marBottom w:val="0"/>
      <w:divBdr>
        <w:top w:val="none" w:sz="0" w:space="0" w:color="auto"/>
        <w:left w:val="none" w:sz="0" w:space="0" w:color="auto"/>
        <w:bottom w:val="none" w:sz="0" w:space="0" w:color="auto"/>
        <w:right w:val="none" w:sz="0" w:space="0" w:color="auto"/>
      </w:divBdr>
    </w:div>
    <w:div w:id="1427921516">
      <w:bodyDiv w:val="1"/>
      <w:marLeft w:val="0"/>
      <w:marRight w:val="0"/>
      <w:marTop w:val="0"/>
      <w:marBottom w:val="0"/>
      <w:divBdr>
        <w:top w:val="none" w:sz="0" w:space="0" w:color="auto"/>
        <w:left w:val="none" w:sz="0" w:space="0" w:color="auto"/>
        <w:bottom w:val="none" w:sz="0" w:space="0" w:color="auto"/>
        <w:right w:val="none" w:sz="0" w:space="0" w:color="auto"/>
      </w:divBdr>
    </w:div>
    <w:div w:id="1427925921">
      <w:bodyDiv w:val="1"/>
      <w:marLeft w:val="0"/>
      <w:marRight w:val="0"/>
      <w:marTop w:val="0"/>
      <w:marBottom w:val="0"/>
      <w:divBdr>
        <w:top w:val="none" w:sz="0" w:space="0" w:color="auto"/>
        <w:left w:val="none" w:sz="0" w:space="0" w:color="auto"/>
        <w:bottom w:val="none" w:sz="0" w:space="0" w:color="auto"/>
        <w:right w:val="none" w:sz="0" w:space="0" w:color="auto"/>
      </w:divBdr>
    </w:div>
    <w:div w:id="1428043625">
      <w:bodyDiv w:val="1"/>
      <w:marLeft w:val="0"/>
      <w:marRight w:val="0"/>
      <w:marTop w:val="0"/>
      <w:marBottom w:val="0"/>
      <w:divBdr>
        <w:top w:val="none" w:sz="0" w:space="0" w:color="auto"/>
        <w:left w:val="none" w:sz="0" w:space="0" w:color="auto"/>
        <w:bottom w:val="none" w:sz="0" w:space="0" w:color="auto"/>
        <w:right w:val="none" w:sz="0" w:space="0" w:color="auto"/>
      </w:divBdr>
    </w:div>
    <w:div w:id="1428043643">
      <w:bodyDiv w:val="1"/>
      <w:marLeft w:val="0"/>
      <w:marRight w:val="0"/>
      <w:marTop w:val="0"/>
      <w:marBottom w:val="0"/>
      <w:divBdr>
        <w:top w:val="none" w:sz="0" w:space="0" w:color="auto"/>
        <w:left w:val="none" w:sz="0" w:space="0" w:color="auto"/>
        <w:bottom w:val="none" w:sz="0" w:space="0" w:color="auto"/>
        <w:right w:val="none" w:sz="0" w:space="0" w:color="auto"/>
      </w:divBdr>
    </w:div>
    <w:div w:id="1428191289">
      <w:bodyDiv w:val="1"/>
      <w:marLeft w:val="0"/>
      <w:marRight w:val="0"/>
      <w:marTop w:val="0"/>
      <w:marBottom w:val="0"/>
      <w:divBdr>
        <w:top w:val="none" w:sz="0" w:space="0" w:color="auto"/>
        <w:left w:val="none" w:sz="0" w:space="0" w:color="auto"/>
        <w:bottom w:val="none" w:sz="0" w:space="0" w:color="auto"/>
        <w:right w:val="none" w:sz="0" w:space="0" w:color="auto"/>
      </w:divBdr>
    </w:div>
    <w:div w:id="1428308437">
      <w:bodyDiv w:val="1"/>
      <w:marLeft w:val="0"/>
      <w:marRight w:val="0"/>
      <w:marTop w:val="0"/>
      <w:marBottom w:val="0"/>
      <w:divBdr>
        <w:top w:val="none" w:sz="0" w:space="0" w:color="auto"/>
        <w:left w:val="none" w:sz="0" w:space="0" w:color="auto"/>
        <w:bottom w:val="none" w:sz="0" w:space="0" w:color="auto"/>
        <w:right w:val="none" w:sz="0" w:space="0" w:color="auto"/>
      </w:divBdr>
    </w:div>
    <w:div w:id="1428311557">
      <w:bodyDiv w:val="1"/>
      <w:marLeft w:val="0"/>
      <w:marRight w:val="0"/>
      <w:marTop w:val="0"/>
      <w:marBottom w:val="0"/>
      <w:divBdr>
        <w:top w:val="none" w:sz="0" w:space="0" w:color="auto"/>
        <w:left w:val="none" w:sz="0" w:space="0" w:color="auto"/>
        <w:bottom w:val="none" w:sz="0" w:space="0" w:color="auto"/>
        <w:right w:val="none" w:sz="0" w:space="0" w:color="auto"/>
      </w:divBdr>
    </w:div>
    <w:div w:id="1428386052">
      <w:bodyDiv w:val="1"/>
      <w:marLeft w:val="0"/>
      <w:marRight w:val="0"/>
      <w:marTop w:val="0"/>
      <w:marBottom w:val="0"/>
      <w:divBdr>
        <w:top w:val="none" w:sz="0" w:space="0" w:color="auto"/>
        <w:left w:val="none" w:sz="0" w:space="0" w:color="auto"/>
        <w:bottom w:val="none" w:sz="0" w:space="0" w:color="auto"/>
        <w:right w:val="none" w:sz="0" w:space="0" w:color="auto"/>
      </w:divBdr>
    </w:div>
    <w:div w:id="1428427965">
      <w:bodyDiv w:val="1"/>
      <w:marLeft w:val="0"/>
      <w:marRight w:val="0"/>
      <w:marTop w:val="0"/>
      <w:marBottom w:val="0"/>
      <w:divBdr>
        <w:top w:val="none" w:sz="0" w:space="0" w:color="auto"/>
        <w:left w:val="none" w:sz="0" w:space="0" w:color="auto"/>
        <w:bottom w:val="none" w:sz="0" w:space="0" w:color="auto"/>
        <w:right w:val="none" w:sz="0" w:space="0" w:color="auto"/>
      </w:divBdr>
    </w:div>
    <w:div w:id="1428430908">
      <w:bodyDiv w:val="1"/>
      <w:marLeft w:val="0"/>
      <w:marRight w:val="0"/>
      <w:marTop w:val="0"/>
      <w:marBottom w:val="0"/>
      <w:divBdr>
        <w:top w:val="none" w:sz="0" w:space="0" w:color="auto"/>
        <w:left w:val="none" w:sz="0" w:space="0" w:color="auto"/>
        <w:bottom w:val="none" w:sz="0" w:space="0" w:color="auto"/>
        <w:right w:val="none" w:sz="0" w:space="0" w:color="auto"/>
      </w:divBdr>
    </w:div>
    <w:div w:id="1428505938">
      <w:bodyDiv w:val="1"/>
      <w:marLeft w:val="0"/>
      <w:marRight w:val="0"/>
      <w:marTop w:val="0"/>
      <w:marBottom w:val="0"/>
      <w:divBdr>
        <w:top w:val="none" w:sz="0" w:space="0" w:color="auto"/>
        <w:left w:val="none" w:sz="0" w:space="0" w:color="auto"/>
        <w:bottom w:val="none" w:sz="0" w:space="0" w:color="auto"/>
        <w:right w:val="none" w:sz="0" w:space="0" w:color="auto"/>
      </w:divBdr>
    </w:div>
    <w:div w:id="1428620454">
      <w:bodyDiv w:val="1"/>
      <w:marLeft w:val="0"/>
      <w:marRight w:val="0"/>
      <w:marTop w:val="0"/>
      <w:marBottom w:val="0"/>
      <w:divBdr>
        <w:top w:val="none" w:sz="0" w:space="0" w:color="auto"/>
        <w:left w:val="none" w:sz="0" w:space="0" w:color="auto"/>
        <w:bottom w:val="none" w:sz="0" w:space="0" w:color="auto"/>
        <w:right w:val="none" w:sz="0" w:space="0" w:color="auto"/>
      </w:divBdr>
    </w:div>
    <w:div w:id="1428621283">
      <w:bodyDiv w:val="1"/>
      <w:marLeft w:val="0"/>
      <w:marRight w:val="0"/>
      <w:marTop w:val="0"/>
      <w:marBottom w:val="0"/>
      <w:divBdr>
        <w:top w:val="none" w:sz="0" w:space="0" w:color="auto"/>
        <w:left w:val="none" w:sz="0" w:space="0" w:color="auto"/>
        <w:bottom w:val="none" w:sz="0" w:space="0" w:color="auto"/>
        <w:right w:val="none" w:sz="0" w:space="0" w:color="auto"/>
      </w:divBdr>
    </w:div>
    <w:div w:id="1428696956">
      <w:bodyDiv w:val="1"/>
      <w:marLeft w:val="0"/>
      <w:marRight w:val="0"/>
      <w:marTop w:val="0"/>
      <w:marBottom w:val="0"/>
      <w:divBdr>
        <w:top w:val="none" w:sz="0" w:space="0" w:color="auto"/>
        <w:left w:val="none" w:sz="0" w:space="0" w:color="auto"/>
        <w:bottom w:val="none" w:sz="0" w:space="0" w:color="auto"/>
        <w:right w:val="none" w:sz="0" w:space="0" w:color="auto"/>
      </w:divBdr>
    </w:div>
    <w:div w:id="1428847582">
      <w:bodyDiv w:val="1"/>
      <w:marLeft w:val="0"/>
      <w:marRight w:val="0"/>
      <w:marTop w:val="0"/>
      <w:marBottom w:val="0"/>
      <w:divBdr>
        <w:top w:val="none" w:sz="0" w:space="0" w:color="auto"/>
        <w:left w:val="none" w:sz="0" w:space="0" w:color="auto"/>
        <w:bottom w:val="none" w:sz="0" w:space="0" w:color="auto"/>
        <w:right w:val="none" w:sz="0" w:space="0" w:color="auto"/>
      </w:divBdr>
    </w:div>
    <w:div w:id="1428960369">
      <w:bodyDiv w:val="1"/>
      <w:marLeft w:val="0"/>
      <w:marRight w:val="0"/>
      <w:marTop w:val="0"/>
      <w:marBottom w:val="0"/>
      <w:divBdr>
        <w:top w:val="none" w:sz="0" w:space="0" w:color="auto"/>
        <w:left w:val="none" w:sz="0" w:space="0" w:color="auto"/>
        <w:bottom w:val="none" w:sz="0" w:space="0" w:color="auto"/>
        <w:right w:val="none" w:sz="0" w:space="0" w:color="auto"/>
      </w:divBdr>
    </w:div>
    <w:div w:id="1428965676">
      <w:bodyDiv w:val="1"/>
      <w:marLeft w:val="0"/>
      <w:marRight w:val="0"/>
      <w:marTop w:val="0"/>
      <w:marBottom w:val="0"/>
      <w:divBdr>
        <w:top w:val="none" w:sz="0" w:space="0" w:color="auto"/>
        <w:left w:val="none" w:sz="0" w:space="0" w:color="auto"/>
        <w:bottom w:val="none" w:sz="0" w:space="0" w:color="auto"/>
        <w:right w:val="none" w:sz="0" w:space="0" w:color="auto"/>
      </w:divBdr>
    </w:div>
    <w:div w:id="1429227442">
      <w:bodyDiv w:val="1"/>
      <w:marLeft w:val="0"/>
      <w:marRight w:val="0"/>
      <w:marTop w:val="0"/>
      <w:marBottom w:val="0"/>
      <w:divBdr>
        <w:top w:val="none" w:sz="0" w:space="0" w:color="auto"/>
        <w:left w:val="none" w:sz="0" w:space="0" w:color="auto"/>
        <w:bottom w:val="none" w:sz="0" w:space="0" w:color="auto"/>
        <w:right w:val="none" w:sz="0" w:space="0" w:color="auto"/>
      </w:divBdr>
    </w:div>
    <w:div w:id="1429304271">
      <w:bodyDiv w:val="1"/>
      <w:marLeft w:val="0"/>
      <w:marRight w:val="0"/>
      <w:marTop w:val="0"/>
      <w:marBottom w:val="0"/>
      <w:divBdr>
        <w:top w:val="none" w:sz="0" w:space="0" w:color="auto"/>
        <w:left w:val="none" w:sz="0" w:space="0" w:color="auto"/>
        <w:bottom w:val="none" w:sz="0" w:space="0" w:color="auto"/>
        <w:right w:val="none" w:sz="0" w:space="0" w:color="auto"/>
      </w:divBdr>
    </w:div>
    <w:div w:id="1429351490">
      <w:bodyDiv w:val="1"/>
      <w:marLeft w:val="0"/>
      <w:marRight w:val="0"/>
      <w:marTop w:val="0"/>
      <w:marBottom w:val="0"/>
      <w:divBdr>
        <w:top w:val="none" w:sz="0" w:space="0" w:color="auto"/>
        <w:left w:val="none" w:sz="0" w:space="0" w:color="auto"/>
        <w:bottom w:val="none" w:sz="0" w:space="0" w:color="auto"/>
        <w:right w:val="none" w:sz="0" w:space="0" w:color="auto"/>
      </w:divBdr>
    </w:div>
    <w:div w:id="1429424158">
      <w:bodyDiv w:val="1"/>
      <w:marLeft w:val="0"/>
      <w:marRight w:val="0"/>
      <w:marTop w:val="0"/>
      <w:marBottom w:val="0"/>
      <w:divBdr>
        <w:top w:val="none" w:sz="0" w:space="0" w:color="auto"/>
        <w:left w:val="none" w:sz="0" w:space="0" w:color="auto"/>
        <w:bottom w:val="none" w:sz="0" w:space="0" w:color="auto"/>
        <w:right w:val="none" w:sz="0" w:space="0" w:color="auto"/>
      </w:divBdr>
    </w:div>
    <w:div w:id="1429502723">
      <w:bodyDiv w:val="1"/>
      <w:marLeft w:val="0"/>
      <w:marRight w:val="0"/>
      <w:marTop w:val="0"/>
      <w:marBottom w:val="0"/>
      <w:divBdr>
        <w:top w:val="none" w:sz="0" w:space="0" w:color="auto"/>
        <w:left w:val="none" w:sz="0" w:space="0" w:color="auto"/>
        <w:bottom w:val="none" w:sz="0" w:space="0" w:color="auto"/>
        <w:right w:val="none" w:sz="0" w:space="0" w:color="auto"/>
      </w:divBdr>
    </w:div>
    <w:div w:id="1429692178">
      <w:bodyDiv w:val="1"/>
      <w:marLeft w:val="0"/>
      <w:marRight w:val="0"/>
      <w:marTop w:val="0"/>
      <w:marBottom w:val="0"/>
      <w:divBdr>
        <w:top w:val="none" w:sz="0" w:space="0" w:color="auto"/>
        <w:left w:val="none" w:sz="0" w:space="0" w:color="auto"/>
        <w:bottom w:val="none" w:sz="0" w:space="0" w:color="auto"/>
        <w:right w:val="none" w:sz="0" w:space="0" w:color="auto"/>
      </w:divBdr>
    </w:div>
    <w:div w:id="1429764977">
      <w:bodyDiv w:val="1"/>
      <w:marLeft w:val="0"/>
      <w:marRight w:val="0"/>
      <w:marTop w:val="0"/>
      <w:marBottom w:val="0"/>
      <w:divBdr>
        <w:top w:val="none" w:sz="0" w:space="0" w:color="auto"/>
        <w:left w:val="none" w:sz="0" w:space="0" w:color="auto"/>
        <w:bottom w:val="none" w:sz="0" w:space="0" w:color="auto"/>
        <w:right w:val="none" w:sz="0" w:space="0" w:color="auto"/>
      </w:divBdr>
    </w:div>
    <w:div w:id="1429959321">
      <w:bodyDiv w:val="1"/>
      <w:marLeft w:val="0"/>
      <w:marRight w:val="0"/>
      <w:marTop w:val="0"/>
      <w:marBottom w:val="0"/>
      <w:divBdr>
        <w:top w:val="none" w:sz="0" w:space="0" w:color="auto"/>
        <w:left w:val="none" w:sz="0" w:space="0" w:color="auto"/>
        <w:bottom w:val="none" w:sz="0" w:space="0" w:color="auto"/>
        <w:right w:val="none" w:sz="0" w:space="0" w:color="auto"/>
      </w:divBdr>
    </w:div>
    <w:div w:id="1429961967">
      <w:bodyDiv w:val="1"/>
      <w:marLeft w:val="0"/>
      <w:marRight w:val="0"/>
      <w:marTop w:val="0"/>
      <w:marBottom w:val="0"/>
      <w:divBdr>
        <w:top w:val="none" w:sz="0" w:space="0" w:color="auto"/>
        <w:left w:val="none" w:sz="0" w:space="0" w:color="auto"/>
        <w:bottom w:val="none" w:sz="0" w:space="0" w:color="auto"/>
        <w:right w:val="none" w:sz="0" w:space="0" w:color="auto"/>
      </w:divBdr>
    </w:div>
    <w:div w:id="1430004326">
      <w:bodyDiv w:val="1"/>
      <w:marLeft w:val="0"/>
      <w:marRight w:val="0"/>
      <w:marTop w:val="0"/>
      <w:marBottom w:val="0"/>
      <w:divBdr>
        <w:top w:val="none" w:sz="0" w:space="0" w:color="auto"/>
        <w:left w:val="none" w:sz="0" w:space="0" w:color="auto"/>
        <w:bottom w:val="none" w:sz="0" w:space="0" w:color="auto"/>
        <w:right w:val="none" w:sz="0" w:space="0" w:color="auto"/>
      </w:divBdr>
    </w:div>
    <w:div w:id="1430006398">
      <w:bodyDiv w:val="1"/>
      <w:marLeft w:val="0"/>
      <w:marRight w:val="0"/>
      <w:marTop w:val="0"/>
      <w:marBottom w:val="0"/>
      <w:divBdr>
        <w:top w:val="none" w:sz="0" w:space="0" w:color="auto"/>
        <w:left w:val="none" w:sz="0" w:space="0" w:color="auto"/>
        <w:bottom w:val="none" w:sz="0" w:space="0" w:color="auto"/>
        <w:right w:val="none" w:sz="0" w:space="0" w:color="auto"/>
      </w:divBdr>
    </w:div>
    <w:div w:id="1430075865">
      <w:bodyDiv w:val="1"/>
      <w:marLeft w:val="0"/>
      <w:marRight w:val="0"/>
      <w:marTop w:val="0"/>
      <w:marBottom w:val="0"/>
      <w:divBdr>
        <w:top w:val="none" w:sz="0" w:space="0" w:color="auto"/>
        <w:left w:val="none" w:sz="0" w:space="0" w:color="auto"/>
        <w:bottom w:val="none" w:sz="0" w:space="0" w:color="auto"/>
        <w:right w:val="none" w:sz="0" w:space="0" w:color="auto"/>
      </w:divBdr>
    </w:div>
    <w:div w:id="1430079739">
      <w:bodyDiv w:val="1"/>
      <w:marLeft w:val="0"/>
      <w:marRight w:val="0"/>
      <w:marTop w:val="0"/>
      <w:marBottom w:val="0"/>
      <w:divBdr>
        <w:top w:val="none" w:sz="0" w:space="0" w:color="auto"/>
        <w:left w:val="none" w:sz="0" w:space="0" w:color="auto"/>
        <w:bottom w:val="none" w:sz="0" w:space="0" w:color="auto"/>
        <w:right w:val="none" w:sz="0" w:space="0" w:color="auto"/>
      </w:divBdr>
    </w:div>
    <w:div w:id="1430196188">
      <w:bodyDiv w:val="1"/>
      <w:marLeft w:val="0"/>
      <w:marRight w:val="0"/>
      <w:marTop w:val="0"/>
      <w:marBottom w:val="0"/>
      <w:divBdr>
        <w:top w:val="none" w:sz="0" w:space="0" w:color="auto"/>
        <w:left w:val="none" w:sz="0" w:space="0" w:color="auto"/>
        <w:bottom w:val="none" w:sz="0" w:space="0" w:color="auto"/>
        <w:right w:val="none" w:sz="0" w:space="0" w:color="auto"/>
      </w:divBdr>
    </w:div>
    <w:div w:id="1430270497">
      <w:bodyDiv w:val="1"/>
      <w:marLeft w:val="0"/>
      <w:marRight w:val="0"/>
      <w:marTop w:val="0"/>
      <w:marBottom w:val="0"/>
      <w:divBdr>
        <w:top w:val="none" w:sz="0" w:space="0" w:color="auto"/>
        <w:left w:val="none" w:sz="0" w:space="0" w:color="auto"/>
        <w:bottom w:val="none" w:sz="0" w:space="0" w:color="auto"/>
        <w:right w:val="none" w:sz="0" w:space="0" w:color="auto"/>
      </w:divBdr>
    </w:div>
    <w:div w:id="1430352578">
      <w:bodyDiv w:val="1"/>
      <w:marLeft w:val="0"/>
      <w:marRight w:val="0"/>
      <w:marTop w:val="0"/>
      <w:marBottom w:val="0"/>
      <w:divBdr>
        <w:top w:val="none" w:sz="0" w:space="0" w:color="auto"/>
        <w:left w:val="none" w:sz="0" w:space="0" w:color="auto"/>
        <w:bottom w:val="none" w:sz="0" w:space="0" w:color="auto"/>
        <w:right w:val="none" w:sz="0" w:space="0" w:color="auto"/>
      </w:divBdr>
    </w:div>
    <w:div w:id="1430468228">
      <w:bodyDiv w:val="1"/>
      <w:marLeft w:val="0"/>
      <w:marRight w:val="0"/>
      <w:marTop w:val="0"/>
      <w:marBottom w:val="0"/>
      <w:divBdr>
        <w:top w:val="none" w:sz="0" w:space="0" w:color="auto"/>
        <w:left w:val="none" w:sz="0" w:space="0" w:color="auto"/>
        <w:bottom w:val="none" w:sz="0" w:space="0" w:color="auto"/>
        <w:right w:val="none" w:sz="0" w:space="0" w:color="auto"/>
      </w:divBdr>
    </w:div>
    <w:div w:id="1430540509">
      <w:bodyDiv w:val="1"/>
      <w:marLeft w:val="0"/>
      <w:marRight w:val="0"/>
      <w:marTop w:val="0"/>
      <w:marBottom w:val="0"/>
      <w:divBdr>
        <w:top w:val="none" w:sz="0" w:space="0" w:color="auto"/>
        <w:left w:val="none" w:sz="0" w:space="0" w:color="auto"/>
        <w:bottom w:val="none" w:sz="0" w:space="0" w:color="auto"/>
        <w:right w:val="none" w:sz="0" w:space="0" w:color="auto"/>
      </w:divBdr>
    </w:div>
    <w:div w:id="1430542530">
      <w:bodyDiv w:val="1"/>
      <w:marLeft w:val="0"/>
      <w:marRight w:val="0"/>
      <w:marTop w:val="0"/>
      <w:marBottom w:val="0"/>
      <w:divBdr>
        <w:top w:val="none" w:sz="0" w:space="0" w:color="auto"/>
        <w:left w:val="none" w:sz="0" w:space="0" w:color="auto"/>
        <w:bottom w:val="none" w:sz="0" w:space="0" w:color="auto"/>
        <w:right w:val="none" w:sz="0" w:space="0" w:color="auto"/>
      </w:divBdr>
    </w:div>
    <w:div w:id="1430543661">
      <w:bodyDiv w:val="1"/>
      <w:marLeft w:val="0"/>
      <w:marRight w:val="0"/>
      <w:marTop w:val="0"/>
      <w:marBottom w:val="0"/>
      <w:divBdr>
        <w:top w:val="none" w:sz="0" w:space="0" w:color="auto"/>
        <w:left w:val="none" w:sz="0" w:space="0" w:color="auto"/>
        <w:bottom w:val="none" w:sz="0" w:space="0" w:color="auto"/>
        <w:right w:val="none" w:sz="0" w:space="0" w:color="auto"/>
      </w:divBdr>
    </w:div>
    <w:div w:id="1430547384">
      <w:bodyDiv w:val="1"/>
      <w:marLeft w:val="0"/>
      <w:marRight w:val="0"/>
      <w:marTop w:val="0"/>
      <w:marBottom w:val="0"/>
      <w:divBdr>
        <w:top w:val="none" w:sz="0" w:space="0" w:color="auto"/>
        <w:left w:val="none" w:sz="0" w:space="0" w:color="auto"/>
        <w:bottom w:val="none" w:sz="0" w:space="0" w:color="auto"/>
        <w:right w:val="none" w:sz="0" w:space="0" w:color="auto"/>
      </w:divBdr>
    </w:div>
    <w:div w:id="1430613821">
      <w:bodyDiv w:val="1"/>
      <w:marLeft w:val="0"/>
      <w:marRight w:val="0"/>
      <w:marTop w:val="0"/>
      <w:marBottom w:val="0"/>
      <w:divBdr>
        <w:top w:val="none" w:sz="0" w:space="0" w:color="auto"/>
        <w:left w:val="none" w:sz="0" w:space="0" w:color="auto"/>
        <w:bottom w:val="none" w:sz="0" w:space="0" w:color="auto"/>
        <w:right w:val="none" w:sz="0" w:space="0" w:color="auto"/>
      </w:divBdr>
    </w:div>
    <w:div w:id="1430656927">
      <w:bodyDiv w:val="1"/>
      <w:marLeft w:val="0"/>
      <w:marRight w:val="0"/>
      <w:marTop w:val="0"/>
      <w:marBottom w:val="0"/>
      <w:divBdr>
        <w:top w:val="none" w:sz="0" w:space="0" w:color="auto"/>
        <w:left w:val="none" w:sz="0" w:space="0" w:color="auto"/>
        <w:bottom w:val="none" w:sz="0" w:space="0" w:color="auto"/>
        <w:right w:val="none" w:sz="0" w:space="0" w:color="auto"/>
      </w:divBdr>
    </w:div>
    <w:div w:id="1430659338">
      <w:bodyDiv w:val="1"/>
      <w:marLeft w:val="0"/>
      <w:marRight w:val="0"/>
      <w:marTop w:val="0"/>
      <w:marBottom w:val="0"/>
      <w:divBdr>
        <w:top w:val="none" w:sz="0" w:space="0" w:color="auto"/>
        <w:left w:val="none" w:sz="0" w:space="0" w:color="auto"/>
        <w:bottom w:val="none" w:sz="0" w:space="0" w:color="auto"/>
        <w:right w:val="none" w:sz="0" w:space="0" w:color="auto"/>
      </w:divBdr>
    </w:div>
    <w:div w:id="1430732390">
      <w:bodyDiv w:val="1"/>
      <w:marLeft w:val="0"/>
      <w:marRight w:val="0"/>
      <w:marTop w:val="0"/>
      <w:marBottom w:val="0"/>
      <w:divBdr>
        <w:top w:val="none" w:sz="0" w:space="0" w:color="auto"/>
        <w:left w:val="none" w:sz="0" w:space="0" w:color="auto"/>
        <w:bottom w:val="none" w:sz="0" w:space="0" w:color="auto"/>
        <w:right w:val="none" w:sz="0" w:space="0" w:color="auto"/>
      </w:divBdr>
    </w:div>
    <w:div w:id="1431197387">
      <w:bodyDiv w:val="1"/>
      <w:marLeft w:val="0"/>
      <w:marRight w:val="0"/>
      <w:marTop w:val="0"/>
      <w:marBottom w:val="0"/>
      <w:divBdr>
        <w:top w:val="none" w:sz="0" w:space="0" w:color="auto"/>
        <w:left w:val="none" w:sz="0" w:space="0" w:color="auto"/>
        <w:bottom w:val="none" w:sz="0" w:space="0" w:color="auto"/>
        <w:right w:val="none" w:sz="0" w:space="0" w:color="auto"/>
      </w:divBdr>
    </w:div>
    <w:div w:id="1431269911">
      <w:bodyDiv w:val="1"/>
      <w:marLeft w:val="0"/>
      <w:marRight w:val="0"/>
      <w:marTop w:val="0"/>
      <w:marBottom w:val="0"/>
      <w:divBdr>
        <w:top w:val="none" w:sz="0" w:space="0" w:color="auto"/>
        <w:left w:val="none" w:sz="0" w:space="0" w:color="auto"/>
        <w:bottom w:val="none" w:sz="0" w:space="0" w:color="auto"/>
        <w:right w:val="none" w:sz="0" w:space="0" w:color="auto"/>
      </w:divBdr>
    </w:div>
    <w:div w:id="1431316512">
      <w:bodyDiv w:val="1"/>
      <w:marLeft w:val="0"/>
      <w:marRight w:val="0"/>
      <w:marTop w:val="0"/>
      <w:marBottom w:val="0"/>
      <w:divBdr>
        <w:top w:val="none" w:sz="0" w:space="0" w:color="auto"/>
        <w:left w:val="none" w:sz="0" w:space="0" w:color="auto"/>
        <w:bottom w:val="none" w:sz="0" w:space="0" w:color="auto"/>
        <w:right w:val="none" w:sz="0" w:space="0" w:color="auto"/>
      </w:divBdr>
    </w:div>
    <w:div w:id="1431320326">
      <w:bodyDiv w:val="1"/>
      <w:marLeft w:val="0"/>
      <w:marRight w:val="0"/>
      <w:marTop w:val="0"/>
      <w:marBottom w:val="0"/>
      <w:divBdr>
        <w:top w:val="none" w:sz="0" w:space="0" w:color="auto"/>
        <w:left w:val="none" w:sz="0" w:space="0" w:color="auto"/>
        <w:bottom w:val="none" w:sz="0" w:space="0" w:color="auto"/>
        <w:right w:val="none" w:sz="0" w:space="0" w:color="auto"/>
      </w:divBdr>
    </w:div>
    <w:div w:id="1431386941">
      <w:bodyDiv w:val="1"/>
      <w:marLeft w:val="0"/>
      <w:marRight w:val="0"/>
      <w:marTop w:val="0"/>
      <w:marBottom w:val="0"/>
      <w:divBdr>
        <w:top w:val="none" w:sz="0" w:space="0" w:color="auto"/>
        <w:left w:val="none" w:sz="0" w:space="0" w:color="auto"/>
        <w:bottom w:val="none" w:sz="0" w:space="0" w:color="auto"/>
        <w:right w:val="none" w:sz="0" w:space="0" w:color="auto"/>
      </w:divBdr>
    </w:div>
    <w:div w:id="1431391956">
      <w:bodyDiv w:val="1"/>
      <w:marLeft w:val="0"/>
      <w:marRight w:val="0"/>
      <w:marTop w:val="0"/>
      <w:marBottom w:val="0"/>
      <w:divBdr>
        <w:top w:val="none" w:sz="0" w:space="0" w:color="auto"/>
        <w:left w:val="none" w:sz="0" w:space="0" w:color="auto"/>
        <w:bottom w:val="none" w:sz="0" w:space="0" w:color="auto"/>
        <w:right w:val="none" w:sz="0" w:space="0" w:color="auto"/>
      </w:divBdr>
    </w:div>
    <w:div w:id="1431393240">
      <w:bodyDiv w:val="1"/>
      <w:marLeft w:val="0"/>
      <w:marRight w:val="0"/>
      <w:marTop w:val="0"/>
      <w:marBottom w:val="0"/>
      <w:divBdr>
        <w:top w:val="none" w:sz="0" w:space="0" w:color="auto"/>
        <w:left w:val="none" w:sz="0" w:space="0" w:color="auto"/>
        <w:bottom w:val="none" w:sz="0" w:space="0" w:color="auto"/>
        <w:right w:val="none" w:sz="0" w:space="0" w:color="auto"/>
      </w:divBdr>
    </w:div>
    <w:div w:id="1431511055">
      <w:bodyDiv w:val="1"/>
      <w:marLeft w:val="0"/>
      <w:marRight w:val="0"/>
      <w:marTop w:val="0"/>
      <w:marBottom w:val="0"/>
      <w:divBdr>
        <w:top w:val="none" w:sz="0" w:space="0" w:color="auto"/>
        <w:left w:val="none" w:sz="0" w:space="0" w:color="auto"/>
        <w:bottom w:val="none" w:sz="0" w:space="0" w:color="auto"/>
        <w:right w:val="none" w:sz="0" w:space="0" w:color="auto"/>
      </w:divBdr>
    </w:div>
    <w:div w:id="1431588674">
      <w:bodyDiv w:val="1"/>
      <w:marLeft w:val="0"/>
      <w:marRight w:val="0"/>
      <w:marTop w:val="0"/>
      <w:marBottom w:val="0"/>
      <w:divBdr>
        <w:top w:val="none" w:sz="0" w:space="0" w:color="auto"/>
        <w:left w:val="none" w:sz="0" w:space="0" w:color="auto"/>
        <w:bottom w:val="none" w:sz="0" w:space="0" w:color="auto"/>
        <w:right w:val="none" w:sz="0" w:space="0" w:color="auto"/>
      </w:divBdr>
    </w:div>
    <w:div w:id="1431655095">
      <w:bodyDiv w:val="1"/>
      <w:marLeft w:val="0"/>
      <w:marRight w:val="0"/>
      <w:marTop w:val="0"/>
      <w:marBottom w:val="0"/>
      <w:divBdr>
        <w:top w:val="none" w:sz="0" w:space="0" w:color="auto"/>
        <w:left w:val="none" w:sz="0" w:space="0" w:color="auto"/>
        <w:bottom w:val="none" w:sz="0" w:space="0" w:color="auto"/>
        <w:right w:val="none" w:sz="0" w:space="0" w:color="auto"/>
      </w:divBdr>
    </w:div>
    <w:div w:id="1431655347">
      <w:bodyDiv w:val="1"/>
      <w:marLeft w:val="0"/>
      <w:marRight w:val="0"/>
      <w:marTop w:val="0"/>
      <w:marBottom w:val="0"/>
      <w:divBdr>
        <w:top w:val="none" w:sz="0" w:space="0" w:color="auto"/>
        <w:left w:val="none" w:sz="0" w:space="0" w:color="auto"/>
        <w:bottom w:val="none" w:sz="0" w:space="0" w:color="auto"/>
        <w:right w:val="none" w:sz="0" w:space="0" w:color="auto"/>
      </w:divBdr>
    </w:div>
    <w:div w:id="1431700833">
      <w:bodyDiv w:val="1"/>
      <w:marLeft w:val="0"/>
      <w:marRight w:val="0"/>
      <w:marTop w:val="0"/>
      <w:marBottom w:val="0"/>
      <w:divBdr>
        <w:top w:val="none" w:sz="0" w:space="0" w:color="auto"/>
        <w:left w:val="none" w:sz="0" w:space="0" w:color="auto"/>
        <w:bottom w:val="none" w:sz="0" w:space="0" w:color="auto"/>
        <w:right w:val="none" w:sz="0" w:space="0" w:color="auto"/>
      </w:divBdr>
    </w:div>
    <w:div w:id="1431732131">
      <w:bodyDiv w:val="1"/>
      <w:marLeft w:val="0"/>
      <w:marRight w:val="0"/>
      <w:marTop w:val="0"/>
      <w:marBottom w:val="0"/>
      <w:divBdr>
        <w:top w:val="none" w:sz="0" w:space="0" w:color="auto"/>
        <w:left w:val="none" w:sz="0" w:space="0" w:color="auto"/>
        <w:bottom w:val="none" w:sz="0" w:space="0" w:color="auto"/>
        <w:right w:val="none" w:sz="0" w:space="0" w:color="auto"/>
      </w:divBdr>
    </w:div>
    <w:div w:id="1431775658">
      <w:bodyDiv w:val="1"/>
      <w:marLeft w:val="0"/>
      <w:marRight w:val="0"/>
      <w:marTop w:val="0"/>
      <w:marBottom w:val="0"/>
      <w:divBdr>
        <w:top w:val="none" w:sz="0" w:space="0" w:color="auto"/>
        <w:left w:val="none" w:sz="0" w:space="0" w:color="auto"/>
        <w:bottom w:val="none" w:sz="0" w:space="0" w:color="auto"/>
        <w:right w:val="none" w:sz="0" w:space="0" w:color="auto"/>
      </w:divBdr>
    </w:div>
    <w:div w:id="1431776425">
      <w:bodyDiv w:val="1"/>
      <w:marLeft w:val="0"/>
      <w:marRight w:val="0"/>
      <w:marTop w:val="0"/>
      <w:marBottom w:val="0"/>
      <w:divBdr>
        <w:top w:val="none" w:sz="0" w:space="0" w:color="auto"/>
        <w:left w:val="none" w:sz="0" w:space="0" w:color="auto"/>
        <w:bottom w:val="none" w:sz="0" w:space="0" w:color="auto"/>
        <w:right w:val="none" w:sz="0" w:space="0" w:color="auto"/>
      </w:divBdr>
    </w:div>
    <w:div w:id="1431780872">
      <w:bodyDiv w:val="1"/>
      <w:marLeft w:val="0"/>
      <w:marRight w:val="0"/>
      <w:marTop w:val="0"/>
      <w:marBottom w:val="0"/>
      <w:divBdr>
        <w:top w:val="none" w:sz="0" w:space="0" w:color="auto"/>
        <w:left w:val="none" w:sz="0" w:space="0" w:color="auto"/>
        <w:bottom w:val="none" w:sz="0" w:space="0" w:color="auto"/>
        <w:right w:val="none" w:sz="0" w:space="0" w:color="auto"/>
      </w:divBdr>
    </w:div>
    <w:div w:id="1431848766">
      <w:bodyDiv w:val="1"/>
      <w:marLeft w:val="0"/>
      <w:marRight w:val="0"/>
      <w:marTop w:val="0"/>
      <w:marBottom w:val="0"/>
      <w:divBdr>
        <w:top w:val="none" w:sz="0" w:space="0" w:color="auto"/>
        <w:left w:val="none" w:sz="0" w:space="0" w:color="auto"/>
        <w:bottom w:val="none" w:sz="0" w:space="0" w:color="auto"/>
        <w:right w:val="none" w:sz="0" w:space="0" w:color="auto"/>
      </w:divBdr>
    </w:div>
    <w:div w:id="1431857625">
      <w:bodyDiv w:val="1"/>
      <w:marLeft w:val="0"/>
      <w:marRight w:val="0"/>
      <w:marTop w:val="0"/>
      <w:marBottom w:val="0"/>
      <w:divBdr>
        <w:top w:val="none" w:sz="0" w:space="0" w:color="auto"/>
        <w:left w:val="none" w:sz="0" w:space="0" w:color="auto"/>
        <w:bottom w:val="none" w:sz="0" w:space="0" w:color="auto"/>
        <w:right w:val="none" w:sz="0" w:space="0" w:color="auto"/>
      </w:divBdr>
    </w:div>
    <w:div w:id="1432167015">
      <w:bodyDiv w:val="1"/>
      <w:marLeft w:val="0"/>
      <w:marRight w:val="0"/>
      <w:marTop w:val="0"/>
      <w:marBottom w:val="0"/>
      <w:divBdr>
        <w:top w:val="none" w:sz="0" w:space="0" w:color="auto"/>
        <w:left w:val="none" w:sz="0" w:space="0" w:color="auto"/>
        <w:bottom w:val="none" w:sz="0" w:space="0" w:color="auto"/>
        <w:right w:val="none" w:sz="0" w:space="0" w:color="auto"/>
      </w:divBdr>
    </w:div>
    <w:div w:id="1432237073">
      <w:bodyDiv w:val="1"/>
      <w:marLeft w:val="0"/>
      <w:marRight w:val="0"/>
      <w:marTop w:val="0"/>
      <w:marBottom w:val="0"/>
      <w:divBdr>
        <w:top w:val="none" w:sz="0" w:space="0" w:color="auto"/>
        <w:left w:val="none" w:sz="0" w:space="0" w:color="auto"/>
        <w:bottom w:val="none" w:sz="0" w:space="0" w:color="auto"/>
        <w:right w:val="none" w:sz="0" w:space="0" w:color="auto"/>
      </w:divBdr>
    </w:div>
    <w:div w:id="1432241413">
      <w:bodyDiv w:val="1"/>
      <w:marLeft w:val="0"/>
      <w:marRight w:val="0"/>
      <w:marTop w:val="0"/>
      <w:marBottom w:val="0"/>
      <w:divBdr>
        <w:top w:val="none" w:sz="0" w:space="0" w:color="auto"/>
        <w:left w:val="none" w:sz="0" w:space="0" w:color="auto"/>
        <w:bottom w:val="none" w:sz="0" w:space="0" w:color="auto"/>
        <w:right w:val="none" w:sz="0" w:space="0" w:color="auto"/>
      </w:divBdr>
    </w:div>
    <w:div w:id="1432311854">
      <w:bodyDiv w:val="1"/>
      <w:marLeft w:val="0"/>
      <w:marRight w:val="0"/>
      <w:marTop w:val="0"/>
      <w:marBottom w:val="0"/>
      <w:divBdr>
        <w:top w:val="none" w:sz="0" w:space="0" w:color="auto"/>
        <w:left w:val="none" w:sz="0" w:space="0" w:color="auto"/>
        <w:bottom w:val="none" w:sz="0" w:space="0" w:color="auto"/>
        <w:right w:val="none" w:sz="0" w:space="0" w:color="auto"/>
      </w:divBdr>
    </w:div>
    <w:div w:id="1432318017">
      <w:bodyDiv w:val="1"/>
      <w:marLeft w:val="0"/>
      <w:marRight w:val="0"/>
      <w:marTop w:val="0"/>
      <w:marBottom w:val="0"/>
      <w:divBdr>
        <w:top w:val="none" w:sz="0" w:space="0" w:color="auto"/>
        <w:left w:val="none" w:sz="0" w:space="0" w:color="auto"/>
        <w:bottom w:val="none" w:sz="0" w:space="0" w:color="auto"/>
        <w:right w:val="none" w:sz="0" w:space="0" w:color="auto"/>
      </w:divBdr>
    </w:div>
    <w:div w:id="1432361362">
      <w:bodyDiv w:val="1"/>
      <w:marLeft w:val="0"/>
      <w:marRight w:val="0"/>
      <w:marTop w:val="0"/>
      <w:marBottom w:val="0"/>
      <w:divBdr>
        <w:top w:val="none" w:sz="0" w:space="0" w:color="auto"/>
        <w:left w:val="none" w:sz="0" w:space="0" w:color="auto"/>
        <w:bottom w:val="none" w:sz="0" w:space="0" w:color="auto"/>
        <w:right w:val="none" w:sz="0" w:space="0" w:color="auto"/>
      </w:divBdr>
    </w:div>
    <w:div w:id="1432386440">
      <w:bodyDiv w:val="1"/>
      <w:marLeft w:val="0"/>
      <w:marRight w:val="0"/>
      <w:marTop w:val="0"/>
      <w:marBottom w:val="0"/>
      <w:divBdr>
        <w:top w:val="none" w:sz="0" w:space="0" w:color="auto"/>
        <w:left w:val="none" w:sz="0" w:space="0" w:color="auto"/>
        <w:bottom w:val="none" w:sz="0" w:space="0" w:color="auto"/>
        <w:right w:val="none" w:sz="0" w:space="0" w:color="auto"/>
      </w:divBdr>
    </w:div>
    <w:div w:id="1432387579">
      <w:bodyDiv w:val="1"/>
      <w:marLeft w:val="0"/>
      <w:marRight w:val="0"/>
      <w:marTop w:val="0"/>
      <w:marBottom w:val="0"/>
      <w:divBdr>
        <w:top w:val="none" w:sz="0" w:space="0" w:color="auto"/>
        <w:left w:val="none" w:sz="0" w:space="0" w:color="auto"/>
        <w:bottom w:val="none" w:sz="0" w:space="0" w:color="auto"/>
        <w:right w:val="none" w:sz="0" w:space="0" w:color="auto"/>
      </w:divBdr>
    </w:div>
    <w:div w:id="1432553330">
      <w:bodyDiv w:val="1"/>
      <w:marLeft w:val="0"/>
      <w:marRight w:val="0"/>
      <w:marTop w:val="0"/>
      <w:marBottom w:val="0"/>
      <w:divBdr>
        <w:top w:val="none" w:sz="0" w:space="0" w:color="auto"/>
        <w:left w:val="none" w:sz="0" w:space="0" w:color="auto"/>
        <w:bottom w:val="none" w:sz="0" w:space="0" w:color="auto"/>
        <w:right w:val="none" w:sz="0" w:space="0" w:color="auto"/>
      </w:divBdr>
    </w:div>
    <w:div w:id="1432703028">
      <w:bodyDiv w:val="1"/>
      <w:marLeft w:val="0"/>
      <w:marRight w:val="0"/>
      <w:marTop w:val="0"/>
      <w:marBottom w:val="0"/>
      <w:divBdr>
        <w:top w:val="none" w:sz="0" w:space="0" w:color="auto"/>
        <w:left w:val="none" w:sz="0" w:space="0" w:color="auto"/>
        <w:bottom w:val="none" w:sz="0" w:space="0" w:color="auto"/>
        <w:right w:val="none" w:sz="0" w:space="0" w:color="auto"/>
      </w:divBdr>
    </w:div>
    <w:div w:id="1432818097">
      <w:bodyDiv w:val="1"/>
      <w:marLeft w:val="0"/>
      <w:marRight w:val="0"/>
      <w:marTop w:val="0"/>
      <w:marBottom w:val="0"/>
      <w:divBdr>
        <w:top w:val="none" w:sz="0" w:space="0" w:color="auto"/>
        <w:left w:val="none" w:sz="0" w:space="0" w:color="auto"/>
        <w:bottom w:val="none" w:sz="0" w:space="0" w:color="auto"/>
        <w:right w:val="none" w:sz="0" w:space="0" w:color="auto"/>
      </w:divBdr>
    </w:div>
    <w:div w:id="1432892623">
      <w:bodyDiv w:val="1"/>
      <w:marLeft w:val="0"/>
      <w:marRight w:val="0"/>
      <w:marTop w:val="0"/>
      <w:marBottom w:val="0"/>
      <w:divBdr>
        <w:top w:val="none" w:sz="0" w:space="0" w:color="auto"/>
        <w:left w:val="none" w:sz="0" w:space="0" w:color="auto"/>
        <w:bottom w:val="none" w:sz="0" w:space="0" w:color="auto"/>
        <w:right w:val="none" w:sz="0" w:space="0" w:color="auto"/>
      </w:divBdr>
    </w:div>
    <w:div w:id="1432893315">
      <w:bodyDiv w:val="1"/>
      <w:marLeft w:val="0"/>
      <w:marRight w:val="0"/>
      <w:marTop w:val="0"/>
      <w:marBottom w:val="0"/>
      <w:divBdr>
        <w:top w:val="none" w:sz="0" w:space="0" w:color="auto"/>
        <w:left w:val="none" w:sz="0" w:space="0" w:color="auto"/>
        <w:bottom w:val="none" w:sz="0" w:space="0" w:color="auto"/>
        <w:right w:val="none" w:sz="0" w:space="0" w:color="auto"/>
      </w:divBdr>
    </w:div>
    <w:div w:id="1432968039">
      <w:bodyDiv w:val="1"/>
      <w:marLeft w:val="0"/>
      <w:marRight w:val="0"/>
      <w:marTop w:val="0"/>
      <w:marBottom w:val="0"/>
      <w:divBdr>
        <w:top w:val="none" w:sz="0" w:space="0" w:color="auto"/>
        <w:left w:val="none" w:sz="0" w:space="0" w:color="auto"/>
        <w:bottom w:val="none" w:sz="0" w:space="0" w:color="auto"/>
        <w:right w:val="none" w:sz="0" w:space="0" w:color="auto"/>
      </w:divBdr>
    </w:div>
    <w:div w:id="1432972138">
      <w:bodyDiv w:val="1"/>
      <w:marLeft w:val="0"/>
      <w:marRight w:val="0"/>
      <w:marTop w:val="0"/>
      <w:marBottom w:val="0"/>
      <w:divBdr>
        <w:top w:val="none" w:sz="0" w:space="0" w:color="auto"/>
        <w:left w:val="none" w:sz="0" w:space="0" w:color="auto"/>
        <w:bottom w:val="none" w:sz="0" w:space="0" w:color="auto"/>
        <w:right w:val="none" w:sz="0" w:space="0" w:color="auto"/>
      </w:divBdr>
    </w:div>
    <w:div w:id="1433017847">
      <w:bodyDiv w:val="1"/>
      <w:marLeft w:val="0"/>
      <w:marRight w:val="0"/>
      <w:marTop w:val="0"/>
      <w:marBottom w:val="0"/>
      <w:divBdr>
        <w:top w:val="none" w:sz="0" w:space="0" w:color="auto"/>
        <w:left w:val="none" w:sz="0" w:space="0" w:color="auto"/>
        <w:bottom w:val="none" w:sz="0" w:space="0" w:color="auto"/>
        <w:right w:val="none" w:sz="0" w:space="0" w:color="auto"/>
      </w:divBdr>
    </w:div>
    <w:div w:id="1433166749">
      <w:bodyDiv w:val="1"/>
      <w:marLeft w:val="0"/>
      <w:marRight w:val="0"/>
      <w:marTop w:val="0"/>
      <w:marBottom w:val="0"/>
      <w:divBdr>
        <w:top w:val="none" w:sz="0" w:space="0" w:color="auto"/>
        <w:left w:val="none" w:sz="0" w:space="0" w:color="auto"/>
        <w:bottom w:val="none" w:sz="0" w:space="0" w:color="auto"/>
        <w:right w:val="none" w:sz="0" w:space="0" w:color="auto"/>
      </w:divBdr>
    </w:div>
    <w:div w:id="1433208200">
      <w:bodyDiv w:val="1"/>
      <w:marLeft w:val="0"/>
      <w:marRight w:val="0"/>
      <w:marTop w:val="0"/>
      <w:marBottom w:val="0"/>
      <w:divBdr>
        <w:top w:val="none" w:sz="0" w:space="0" w:color="auto"/>
        <w:left w:val="none" w:sz="0" w:space="0" w:color="auto"/>
        <w:bottom w:val="none" w:sz="0" w:space="0" w:color="auto"/>
        <w:right w:val="none" w:sz="0" w:space="0" w:color="auto"/>
      </w:divBdr>
    </w:div>
    <w:div w:id="1433234496">
      <w:bodyDiv w:val="1"/>
      <w:marLeft w:val="0"/>
      <w:marRight w:val="0"/>
      <w:marTop w:val="0"/>
      <w:marBottom w:val="0"/>
      <w:divBdr>
        <w:top w:val="none" w:sz="0" w:space="0" w:color="auto"/>
        <w:left w:val="none" w:sz="0" w:space="0" w:color="auto"/>
        <w:bottom w:val="none" w:sz="0" w:space="0" w:color="auto"/>
        <w:right w:val="none" w:sz="0" w:space="0" w:color="auto"/>
      </w:divBdr>
    </w:div>
    <w:div w:id="1433283787">
      <w:bodyDiv w:val="1"/>
      <w:marLeft w:val="0"/>
      <w:marRight w:val="0"/>
      <w:marTop w:val="0"/>
      <w:marBottom w:val="0"/>
      <w:divBdr>
        <w:top w:val="none" w:sz="0" w:space="0" w:color="auto"/>
        <w:left w:val="none" w:sz="0" w:space="0" w:color="auto"/>
        <w:bottom w:val="none" w:sz="0" w:space="0" w:color="auto"/>
        <w:right w:val="none" w:sz="0" w:space="0" w:color="auto"/>
      </w:divBdr>
    </w:div>
    <w:div w:id="1433284718">
      <w:bodyDiv w:val="1"/>
      <w:marLeft w:val="0"/>
      <w:marRight w:val="0"/>
      <w:marTop w:val="0"/>
      <w:marBottom w:val="0"/>
      <w:divBdr>
        <w:top w:val="none" w:sz="0" w:space="0" w:color="auto"/>
        <w:left w:val="none" w:sz="0" w:space="0" w:color="auto"/>
        <w:bottom w:val="none" w:sz="0" w:space="0" w:color="auto"/>
        <w:right w:val="none" w:sz="0" w:space="0" w:color="auto"/>
      </w:divBdr>
    </w:div>
    <w:div w:id="1433354915">
      <w:bodyDiv w:val="1"/>
      <w:marLeft w:val="0"/>
      <w:marRight w:val="0"/>
      <w:marTop w:val="0"/>
      <w:marBottom w:val="0"/>
      <w:divBdr>
        <w:top w:val="none" w:sz="0" w:space="0" w:color="auto"/>
        <w:left w:val="none" w:sz="0" w:space="0" w:color="auto"/>
        <w:bottom w:val="none" w:sz="0" w:space="0" w:color="auto"/>
        <w:right w:val="none" w:sz="0" w:space="0" w:color="auto"/>
      </w:divBdr>
    </w:div>
    <w:div w:id="1433360326">
      <w:bodyDiv w:val="1"/>
      <w:marLeft w:val="0"/>
      <w:marRight w:val="0"/>
      <w:marTop w:val="0"/>
      <w:marBottom w:val="0"/>
      <w:divBdr>
        <w:top w:val="none" w:sz="0" w:space="0" w:color="auto"/>
        <w:left w:val="none" w:sz="0" w:space="0" w:color="auto"/>
        <w:bottom w:val="none" w:sz="0" w:space="0" w:color="auto"/>
        <w:right w:val="none" w:sz="0" w:space="0" w:color="auto"/>
      </w:divBdr>
    </w:div>
    <w:div w:id="1433403422">
      <w:bodyDiv w:val="1"/>
      <w:marLeft w:val="0"/>
      <w:marRight w:val="0"/>
      <w:marTop w:val="0"/>
      <w:marBottom w:val="0"/>
      <w:divBdr>
        <w:top w:val="none" w:sz="0" w:space="0" w:color="auto"/>
        <w:left w:val="none" w:sz="0" w:space="0" w:color="auto"/>
        <w:bottom w:val="none" w:sz="0" w:space="0" w:color="auto"/>
        <w:right w:val="none" w:sz="0" w:space="0" w:color="auto"/>
      </w:divBdr>
    </w:div>
    <w:div w:id="1433428465">
      <w:bodyDiv w:val="1"/>
      <w:marLeft w:val="0"/>
      <w:marRight w:val="0"/>
      <w:marTop w:val="0"/>
      <w:marBottom w:val="0"/>
      <w:divBdr>
        <w:top w:val="none" w:sz="0" w:space="0" w:color="auto"/>
        <w:left w:val="none" w:sz="0" w:space="0" w:color="auto"/>
        <w:bottom w:val="none" w:sz="0" w:space="0" w:color="auto"/>
        <w:right w:val="none" w:sz="0" w:space="0" w:color="auto"/>
      </w:divBdr>
    </w:div>
    <w:div w:id="1433553451">
      <w:bodyDiv w:val="1"/>
      <w:marLeft w:val="0"/>
      <w:marRight w:val="0"/>
      <w:marTop w:val="0"/>
      <w:marBottom w:val="0"/>
      <w:divBdr>
        <w:top w:val="none" w:sz="0" w:space="0" w:color="auto"/>
        <w:left w:val="none" w:sz="0" w:space="0" w:color="auto"/>
        <w:bottom w:val="none" w:sz="0" w:space="0" w:color="auto"/>
        <w:right w:val="none" w:sz="0" w:space="0" w:color="auto"/>
      </w:divBdr>
    </w:div>
    <w:div w:id="1433672856">
      <w:bodyDiv w:val="1"/>
      <w:marLeft w:val="0"/>
      <w:marRight w:val="0"/>
      <w:marTop w:val="0"/>
      <w:marBottom w:val="0"/>
      <w:divBdr>
        <w:top w:val="none" w:sz="0" w:space="0" w:color="auto"/>
        <w:left w:val="none" w:sz="0" w:space="0" w:color="auto"/>
        <w:bottom w:val="none" w:sz="0" w:space="0" w:color="auto"/>
        <w:right w:val="none" w:sz="0" w:space="0" w:color="auto"/>
      </w:divBdr>
    </w:div>
    <w:div w:id="1433673045">
      <w:bodyDiv w:val="1"/>
      <w:marLeft w:val="0"/>
      <w:marRight w:val="0"/>
      <w:marTop w:val="0"/>
      <w:marBottom w:val="0"/>
      <w:divBdr>
        <w:top w:val="none" w:sz="0" w:space="0" w:color="auto"/>
        <w:left w:val="none" w:sz="0" w:space="0" w:color="auto"/>
        <w:bottom w:val="none" w:sz="0" w:space="0" w:color="auto"/>
        <w:right w:val="none" w:sz="0" w:space="0" w:color="auto"/>
      </w:divBdr>
    </w:div>
    <w:div w:id="1433744852">
      <w:bodyDiv w:val="1"/>
      <w:marLeft w:val="0"/>
      <w:marRight w:val="0"/>
      <w:marTop w:val="0"/>
      <w:marBottom w:val="0"/>
      <w:divBdr>
        <w:top w:val="none" w:sz="0" w:space="0" w:color="auto"/>
        <w:left w:val="none" w:sz="0" w:space="0" w:color="auto"/>
        <w:bottom w:val="none" w:sz="0" w:space="0" w:color="auto"/>
        <w:right w:val="none" w:sz="0" w:space="0" w:color="auto"/>
      </w:divBdr>
    </w:div>
    <w:div w:id="1433818628">
      <w:bodyDiv w:val="1"/>
      <w:marLeft w:val="0"/>
      <w:marRight w:val="0"/>
      <w:marTop w:val="0"/>
      <w:marBottom w:val="0"/>
      <w:divBdr>
        <w:top w:val="none" w:sz="0" w:space="0" w:color="auto"/>
        <w:left w:val="none" w:sz="0" w:space="0" w:color="auto"/>
        <w:bottom w:val="none" w:sz="0" w:space="0" w:color="auto"/>
        <w:right w:val="none" w:sz="0" w:space="0" w:color="auto"/>
      </w:divBdr>
    </w:div>
    <w:div w:id="1433864856">
      <w:bodyDiv w:val="1"/>
      <w:marLeft w:val="0"/>
      <w:marRight w:val="0"/>
      <w:marTop w:val="0"/>
      <w:marBottom w:val="0"/>
      <w:divBdr>
        <w:top w:val="none" w:sz="0" w:space="0" w:color="auto"/>
        <w:left w:val="none" w:sz="0" w:space="0" w:color="auto"/>
        <w:bottom w:val="none" w:sz="0" w:space="0" w:color="auto"/>
        <w:right w:val="none" w:sz="0" w:space="0" w:color="auto"/>
      </w:divBdr>
    </w:div>
    <w:div w:id="1433938698">
      <w:bodyDiv w:val="1"/>
      <w:marLeft w:val="0"/>
      <w:marRight w:val="0"/>
      <w:marTop w:val="0"/>
      <w:marBottom w:val="0"/>
      <w:divBdr>
        <w:top w:val="none" w:sz="0" w:space="0" w:color="auto"/>
        <w:left w:val="none" w:sz="0" w:space="0" w:color="auto"/>
        <w:bottom w:val="none" w:sz="0" w:space="0" w:color="auto"/>
        <w:right w:val="none" w:sz="0" w:space="0" w:color="auto"/>
      </w:divBdr>
    </w:div>
    <w:div w:id="1434087781">
      <w:bodyDiv w:val="1"/>
      <w:marLeft w:val="0"/>
      <w:marRight w:val="0"/>
      <w:marTop w:val="0"/>
      <w:marBottom w:val="0"/>
      <w:divBdr>
        <w:top w:val="none" w:sz="0" w:space="0" w:color="auto"/>
        <w:left w:val="none" w:sz="0" w:space="0" w:color="auto"/>
        <w:bottom w:val="none" w:sz="0" w:space="0" w:color="auto"/>
        <w:right w:val="none" w:sz="0" w:space="0" w:color="auto"/>
      </w:divBdr>
    </w:div>
    <w:div w:id="1434126934">
      <w:bodyDiv w:val="1"/>
      <w:marLeft w:val="0"/>
      <w:marRight w:val="0"/>
      <w:marTop w:val="0"/>
      <w:marBottom w:val="0"/>
      <w:divBdr>
        <w:top w:val="none" w:sz="0" w:space="0" w:color="auto"/>
        <w:left w:val="none" w:sz="0" w:space="0" w:color="auto"/>
        <w:bottom w:val="none" w:sz="0" w:space="0" w:color="auto"/>
        <w:right w:val="none" w:sz="0" w:space="0" w:color="auto"/>
      </w:divBdr>
    </w:div>
    <w:div w:id="1434478649">
      <w:bodyDiv w:val="1"/>
      <w:marLeft w:val="0"/>
      <w:marRight w:val="0"/>
      <w:marTop w:val="0"/>
      <w:marBottom w:val="0"/>
      <w:divBdr>
        <w:top w:val="none" w:sz="0" w:space="0" w:color="auto"/>
        <w:left w:val="none" w:sz="0" w:space="0" w:color="auto"/>
        <w:bottom w:val="none" w:sz="0" w:space="0" w:color="auto"/>
        <w:right w:val="none" w:sz="0" w:space="0" w:color="auto"/>
      </w:divBdr>
    </w:div>
    <w:div w:id="1434590304">
      <w:bodyDiv w:val="1"/>
      <w:marLeft w:val="0"/>
      <w:marRight w:val="0"/>
      <w:marTop w:val="0"/>
      <w:marBottom w:val="0"/>
      <w:divBdr>
        <w:top w:val="none" w:sz="0" w:space="0" w:color="auto"/>
        <w:left w:val="none" w:sz="0" w:space="0" w:color="auto"/>
        <w:bottom w:val="none" w:sz="0" w:space="0" w:color="auto"/>
        <w:right w:val="none" w:sz="0" w:space="0" w:color="auto"/>
      </w:divBdr>
    </w:div>
    <w:div w:id="1434596185">
      <w:bodyDiv w:val="1"/>
      <w:marLeft w:val="0"/>
      <w:marRight w:val="0"/>
      <w:marTop w:val="0"/>
      <w:marBottom w:val="0"/>
      <w:divBdr>
        <w:top w:val="none" w:sz="0" w:space="0" w:color="auto"/>
        <w:left w:val="none" w:sz="0" w:space="0" w:color="auto"/>
        <w:bottom w:val="none" w:sz="0" w:space="0" w:color="auto"/>
        <w:right w:val="none" w:sz="0" w:space="0" w:color="auto"/>
      </w:divBdr>
    </w:div>
    <w:div w:id="1434663213">
      <w:bodyDiv w:val="1"/>
      <w:marLeft w:val="0"/>
      <w:marRight w:val="0"/>
      <w:marTop w:val="0"/>
      <w:marBottom w:val="0"/>
      <w:divBdr>
        <w:top w:val="none" w:sz="0" w:space="0" w:color="auto"/>
        <w:left w:val="none" w:sz="0" w:space="0" w:color="auto"/>
        <w:bottom w:val="none" w:sz="0" w:space="0" w:color="auto"/>
        <w:right w:val="none" w:sz="0" w:space="0" w:color="auto"/>
      </w:divBdr>
    </w:div>
    <w:div w:id="1434742543">
      <w:bodyDiv w:val="1"/>
      <w:marLeft w:val="0"/>
      <w:marRight w:val="0"/>
      <w:marTop w:val="0"/>
      <w:marBottom w:val="0"/>
      <w:divBdr>
        <w:top w:val="none" w:sz="0" w:space="0" w:color="auto"/>
        <w:left w:val="none" w:sz="0" w:space="0" w:color="auto"/>
        <w:bottom w:val="none" w:sz="0" w:space="0" w:color="auto"/>
        <w:right w:val="none" w:sz="0" w:space="0" w:color="auto"/>
      </w:divBdr>
    </w:div>
    <w:div w:id="1434743258">
      <w:bodyDiv w:val="1"/>
      <w:marLeft w:val="0"/>
      <w:marRight w:val="0"/>
      <w:marTop w:val="0"/>
      <w:marBottom w:val="0"/>
      <w:divBdr>
        <w:top w:val="none" w:sz="0" w:space="0" w:color="auto"/>
        <w:left w:val="none" w:sz="0" w:space="0" w:color="auto"/>
        <w:bottom w:val="none" w:sz="0" w:space="0" w:color="auto"/>
        <w:right w:val="none" w:sz="0" w:space="0" w:color="auto"/>
      </w:divBdr>
    </w:div>
    <w:div w:id="1434862725">
      <w:bodyDiv w:val="1"/>
      <w:marLeft w:val="0"/>
      <w:marRight w:val="0"/>
      <w:marTop w:val="0"/>
      <w:marBottom w:val="0"/>
      <w:divBdr>
        <w:top w:val="none" w:sz="0" w:space="0" w:color="auto"/>
        <w:left w:val="none" w:sz="0" w:space="0" w:color="auto"/>
        <w:bottom w:val="none" w:sz="0" w:space="0" w:color="auto"/>
        <w:right w:val="none" w:sz="0" w:space="0" w:color="auto"/>
      </w:divBdr>
    </w:div>
    <w:div w:id="1435007304">
      <w:bodyDiv w:val="1"/>
      <w:marLeft w:val="0"/>
      <w:marRight w:val="0"/>
      <w:marTop w:val="0"/>
      <w:marBottom w:val="0"/>
      <w:divBdr>
        <w:top w:val="none" w:sz="0" w:space="0" w:color="auto"/>
        <w:left w:val="none" w:sz="0" w:space="0" w:color="auto"/>
        <w:bottom w:val="none" w:sz="0" w:space="0" w:color="auto"/>
        <w:right w:val="none" w:sz="0" w:space="0" w:color="auto"/>
      </w:divBdr>
    </w:div>
    <w:div w:id="1435051598">
      <w:bodyDiv w:val="1"/>
      <w:marLeft w:val="0"/>
      <w:marRight w:val="0"/>
      <w:marTop w:val="0"/>
      <w:marBottom w:val="0"/>
      <w:divBdr>
        <w:top w:val="none" w:sz="0" w:space="0" w:color="auto"/>
        <w:left w:val="none" w:sz="0" w:space="0" w:color="auto"/>
        <w:bottom w:val="none" w:sz="0" w:space="0" w:color="auto"/>
        <w:right w:val="none" w:sz="0" w:space="0" w:color="auto"/>
      </w:divBdr>
    </w:div>
    <w:div w:id="1435058317">
      <w:bodyDiv w:val="1"/>
      <w:marLeft w:val="0"/>
      <w:marRight w:val="0"/>
      <w:marTop w:val="0"/>
      <w:marBottom w:val="0"/>
      <w:divBdr>
        <w:top w:val="none" w:sz="0" w:space="0" w:color="auto"/>
        <w:left w:val="none" w:sz="0" w:space="0" w:color="auto"/>
        <w:bottom w:val="none" w:sz="0" w:space="0" w:color="auto"/>
        <w:right w:val="none" w:sz="0" w:space="0" w:color="auto"/>
      </w:divBdr>
    </w:div>
    <w:div w:id="1435125926">
      <w:bodyDiv w:val="1"/>
      <w:marLeft w:val="0"/>
      <w:marRight w:val="0"/>
      <w:marTop w:val="0"/>
      <w:marBottom w:val="0"/>
      <w:divBdr>
        <w:top w:val="none" w:sz="0" w:space="0" w:color="auto"/>
        <w:left w:val="none" w:sz="0" w:space="0" w:color="auto"/>
        <w:bottom w:val="none" w:sz="0" w:space="0" w:color="auto"/>
        <w:right w:val="none" w:sz="0" w:space="0" w:color="auto"/>
      </w:divBdr>
    </w:div>
    <w:div w:id="1435128027">
      <w:bodyDiv w:val="1"/>
      <w:marLeft w:val="0"/>
      <w:marRight w:val="0"/>
      <w:marTop w:val="0"/>
      <w:marBottom w:val="0"/>
      <w:divBdr>
        <w:top w:val="none" w:sz="0" w:space="0" w:color="auto"/>
        <w:left w:val="none" w:sz="0" w:space="0" w:color="auto"/>
        <w:bottom w:val="none" w:sz="0" w:space="0" w:color="auto"/>
        <w:right w:val="none" w:sz="0" w:space="0" w:color="auto"/>
      </w:divBdr>
    </w:div>
    <w:div w:id="1435132210">
      <w:bodyDiv w:val="1"/>
      <w:marLeft w:val="0"/>
      <w:marRight w:val="0"/>
      <w:marTop w:val="0"/>
      <w:marBottom w:val="0"/>
      <w:divBdr>
        <w:top w:val="none" w:sz="0" w:space="0" w:color="auto"/>
        <w:left w:val="none" w:sz="0" w:space="0" w:color="auto"/>
        <w:bottom w:val="none" w:sz="0" w:space="0" w:color="auto"/>
        <w:right w:val="none" w:sz="0" w:space="0" w:color="auto"/>
      </w:divBdr>
    </w:div>
    <w:div w:id="1435246896">
      <w:bodyDiv w:val="1"/>
      <w:marLeft w:val="0"/>
      <w:marRight w:val="0"/>
      <w:marTop w:val="0"/>
      <w:marBottom w:val="0"/>
      <w:divBdr>
        <w:top w:val="none" w:sz="0" w:space="0" w:color="auto"/>
        <w:left w:val="none" w:sz="0" w:space="0" w:color="auto"/>
        <w:bottom w:val="none" w:sz="0" w:space="0" w:color="auto"/>
        <w:right w:val="none" w:sz="0" w:space="0" w:color="auto"/>
      </w:divBdr>
    </w:div>
    <w:div w:id="1435250699">
      <w:bodyDiv w:val="1"/>
      <w:marLeft w:val="0"/>
      <w:marRight w:val="0"/>
      <w:marTop w:val="0"/>
      <w:marBottom w:val="0"/>
      <w:divBdr>
        <w:top w:val="none" w:sz="0" w:space="0" w:color="auto"/>
        <w:left w:val="none" w:sz="0" w:space="0" w:color="auto"/>
        <w:bottom w:val="none" w:sz="0" w:space="0" w:color="auto"/>
        <w:right w:val="none" w:sz="0" w:space="0" w:color="auto"/>
      </w:divBdr>
    </w:div>
    <w:div w:id="1435395613">
      <w:bodyDiv w:val="1"/>
      <w:marLeft w:val="0"/>
      <w:marRight w:val="0"/>
      <w:marTop w:val="0"/>
      <w:marBottom w:val="0"/>
      <w:divBdr>
        <w:top w:val="none" w:sz="0" w:space="0" w:color="auto"/>
        <w:left w:val="none" w:sz="0" w:space="0" w:color="auto"/>
        <w:bottom w:val="none" w:sz="0" w:space="0" w:color="auto"/>
        <w:right w:val="none" w:sz="0" w:space="0" w:color="auto"/>
      </w:divBdr>
    </w:div>
    <w:div w:id="1435397730">
      <w:bodyDiv w:val="1"/>
      <w:marLeft w:val="0"/>
      <w:marRight w:val="0"/>
      <w:marTop w:val="0"/>
      <w:marBottom w:val="0"/>
      <w:divBdr>
        <w:top w:val="none" w:sz="0" w:space="0" w:color="auto"/>
        <w:left w:val="none" w:sz="0" w:space="0" w:color="auto"/>
        <w:bottom w:val="none" w:sz="0" w:space="0" w:color="auto"/>
        <w:right w:val="none" w:sz="0" w:space="0" w:color="auto"/>
      </w:divBdr>
    </w:div>
    <w:div w:id="1435399108">
      <w:bodyDiv w:val="1"/>
      <w:marLeft w:val="0"/>
      <w:marRight w:val="0"/>
      <w:marTop w:val="0"/>
      <w:marBottom w:val="0"/>
      <w:divBdr>
        <w:top w:val="none" w:sz="0" w:space="0" w:color="auto"/>
        <w:left w:val="none" w:sz="0" w:space="0" w:color="auto"/>
        <w:bottom w:val="none" w:sz="0" w:space="0" w:color="auto"/>
        <w:right w:val="none" w:sz="0" w:space="0" w:color="auto"/>
      </w:divBdr>
    </w:div>
    <w:div w:id="1435441404">
      <w:bodyDiv w:val="1"/>
      <w:marLeft w:val="0"/>
      <w:marRight w:val="0"/>
      <w:marTop w:val="0"/>
      <w:marBottom w:val="0"/>
      <w:divBdr>
        <w:top w:val="none" w:sz="0" w:space="0" w:color="auto"/>
        <w:left w:val="none" w:sz="0" w:space="0" w:color="auto"/>
        <w:bottom w:val="none" w:sz="0" w:space="0" w:color="auto"/>
        <w:right w:val="none" w:sz="0" w:space="0" w:color="auto"/>
      </w:divBdr>
    </w:div>
    <w:div w:id="1435518388">
      <w:bodyDiv w:val="1"/>
      <w:marLeft w:val="0"/>
      <w:marRight w:val="0"/>
      <w:marTop w:val="0"/>
      <w:marBottom w:val="0"/>
      <w:divBdr>
        <w:top w:val="none" w:sz="0" w:space="0" w:color="auto"/>
        <w:left w:val="none" w:sz="0" w:space="0" w:color="auto"/>
        <w:bottom w:val="none" w:sz="0" w:space="0" w:color="auto"/>
        <w:right w:val="none" w:sz="0" w:space="0" w:color="auto"/>
      </w:divBdr>
    </w:div>
    <w:div w:id="1435591527">
      <w:bodyDiv w:val="1"/>
      <w:marLeft w:val="0"/>
      <w:marRight w:val="0"/>
      <w:marTop w:val="0"/>
      <w:marBottom w:val="0"/>
      <w:divBdr>
        <w:top w:val="none" w:sz="0" w:space="0" w:color="auto"/>
        <w:left w:val="none" w:sz="0" w:space="0" w:color="auto"/>
        <w:bottom w:val="none" w:sz="0" w:space="0" w:color="auto"/>
        <w:right w:val="none" w:sz="0" w:space="0" w:color="auto"/>
      </w:divBdr>
    </w:div>
    <w:div w:id="1435633521">
      <w:bodyDiv w:val="1"/>
      <w:marLeft w:val="0"/>
      <w:marRight w:val="0"/>
      <w:marTop w:val="0"/>
      <w:marBottom w:val="0"/>
      <w:divBdr>
        <w:top w:val="none" w:sz="0" w:space="0" w:color="auto"/>
        <w:left w:val="none" w:sz="0" w:space="0" w:color="auto"/>
        <w:bottom w:val="none" w:sz="0" w:space="0" w:color="auto"/>
        <w:right w:val="none" w:sz="0" w:space="0" w:color="auto"/>
      </w:divBdr>
    </w:div>
    <w:div w:id="1435636690">
      <w:bodyDiv w:val="1"/>
      <w:marLeft w:val="0"/>
      <w:marRight w:val="0"/>
      <w:marTop w:val="0"/>
      <w:marBottom w:val="0"/>
      <w:divBdr>
        <w:top w:val="none" w:sz="0" w:space="0" w:color="auto"/>
        <w:left w:val="none" w:sz="0" w:space="0" w:color="auto"/>
        <w:bottom w:val="none" w:sz="0" w:space="0" w:color="auto"/>
        <w:right w:val="none" w:sz="0" w:space="0" w:color="auto"/>
      </w:divBdr>
    </w:div>
    <w:div w:id="1435785078">
      <w:bodyDiv w:val="1"/>
      <w:marLeft w:val="0"/>
      <w:marRight w:val="0"/>
      <w:marTop w:val="0"/>
      <w:marBottom w:val="0"/>
      <w:divBdr>
        <w:top w:val="none" w:sz="0" w:space="0" w:color="auto"/>
        <w:left w:val="none" w:sz="0" w:space="0" w:color="auto"/>
        <w:bottom w:val="none" w:sz="0" w:space="0" w:color="auto"/>
        <w:right w:val="none" w:sz="0" w:space="0" w:color="auto"/>
      </w:divBdr>
    </w:div>
    <w:div w:id="1435829097">
      <w:bodyDiv w:val="1"/>
      <w:marLeft w:val="0"/>
      <w:marRight w:val="0"/>
      <w:marTop w:val="0"/>
      <w:marBottom w:val="0"/>
      <w:divBdr>
        <w:top w:val="none" w:sz="0" w:space="0" w:color="auto"/>
        <w:left w:val="none" w:sz="0" w:space="0" w:color="auto"/>
        <w:bottom w:val="none" w:sz="0" w:space="0" w:color="auto"/>
        <w:right w:val="none" w:sz="0" w:space="0" w:color="auto"/>
      </w:divBdr>
    </w:div>
    <w:div w:id="1435857939">
      <w:bodyDiv w:val="1"/>
      <w:marLeft w:val="0"/>
      <w:marRight w:val="0"/>
      <w:marTop w:val="0"/>
      <w:marBottom w:val="0"/>
      <w:divBdr>
        <w:top w:val="none" w:sz="0" w:space="0" w:color="auto"/>
        <w:left w:val="none" w:sz="0" w:space="0" w:color="auto"/>
        <w:bottom w:val="none" w:sz="0" w:space="0" w:color="auto"/>
        <w:right w:val="none" w:sz="0" w:space="0" w:color="auto"/>
      </w:divBdr>
    </w:div>
    <w:div w:id="1435906261">
      <w:bodyDiv w:val="1"/>
      <w:marLeft w:val="0"/>
      <w:marRight w:val="0"/>
      <w:marTop w:val="0"/>
      <w:marBottom w:val="0"/>
      <w:divBdr>
        <w:top w:val="none" w:sz="0" w:space="0" w:color="auto"/>
        <w:left w:val="none" w:sz="0" w:space="0" w:color="auto"/>
        <w:bottom w:val="none" w:sz="0" w:space="0" w:color="auto"/>
        <w:right w:val="none" w:sz="0" w:space="0" w:color="auto"/>
      </w:divBdr>
    </w:div>
    <w:div w:id="1436091700">
      <w:bodyDiv w:val="1"/>
      <w:marLeft w:val="0"/>
      <w:marRight w:val="0"/>
      <w:marTop w:val="0"/>
      <w:marBottom w:val="0"/>
      <w:divBdr>
        <w:top w:val="none" w:sz="0" w:space="0" w:color="auto"/>
        <w:left w:val="none" w:sz="0" w:space="0" w:color="auto"/>
        <w:bottom w:val="none" w:sz="0" w:space="0" w:color="auto"/>
        <w:right w:val="none" w:sz="0" w:space="0" w:color="auto"/>
      </w:divBdr>
    </w:div>
    <w:div w:id="1436094195">
      <w:bodyDiv w:val="1"/>
      <w:marLeft w:val="0"/>
      <w:marRight w:val="0"/>
      <w:marTop w:val="0"/>
      <w:marBottom w:val="0"/>
      <w:divBdr>
        <w:top w:val="none" w:sz="0" w:space="0" w:color="auto"/>
        <w:left w:val="none" w:sz="0" w:space="0" w:color="auto"/>
        <w:bottom w:val="none" w:sz="0" w:space="0" w:color="auto"/>
        <w:right w:val="none" w:sz="0" w:space="0" w:color="auto"/>
      </w:divBdr>
    </w:div>
    <w:div w:id="1436172466">
      <w:bodyDiv w:val="1"/>
      <w:marLeft w:val="0"/>
      <w:marRight w:val="0"/>
      <w:marTop w:val="0"/>
      <w:marBottom w:val="0"/>
      <w:divBdr>
        <w:top w:val="none" w:sz="0" w:space="0" w:color="auto"/>
        <w:left w:val="none" w:sz="0" w:space="0" w:color="auto"/>
        <w:bottom w:val="none" w:sz="0" w:space="0" w:color="auto"/>
        <w:right w:val="none" w:sz="0" w:space="0" w:color="auto"/>
      </w:divBdr>
    </w:div>
    <w:div w:id="1436242296">
      <w:bodyDiv w:val="1"/>
      <w:marLeft w:val="0"/>
      <w:marRight w:val="0"/>
      <w:marTop w:val="0"/>
      <w:marBottom w:val="0"/>
      <w:divBdr>
        <w:top w:val="none" w:sz="0" w:space="0" w:color="auto"/>
        <w:left w:val="none" w:sz="0" w:space="0" w:color="auto"/>
        <w:bottom w:val="none" w:sz="0" w:space="0" w:color="auto"/>
        <w:right w:val="none" w:sz="0" w:space="0" w:color="auto"/>
      </w:divBdr>
    </w:div>
    <w:div w:id="1436287217">
      <w:bodyDiv w:val="1"/>
      <w:marLeft w:val="0"/>
      <w:marRight w:val="0"/>
      <w:marTop w:val="0"/>
      <w:marBottom w:val="0"/>
      <w:divBdr>
        <w:top w:val="none" w:sz="0" w:space="0" w:color="auto"/>
        <w:left w:val="none" w:sz="0" w:space="0" w:color="auto"/>
        <w:bottom w:val="none" w:sz="0" w:space="0" w:color="auto"/>
        <w:right w:val="none" w:sz="0" w:space="0" w:color="auto"/>
      </w:divBdr>
    </w:div>
    <w:div w:id="1436292220">
      <w:bodyDiv w:val="1"/>
      <w:marLeft w:val="0"/>
      <w:marRight w:val="0"/>
      <w:marTop w:val="0"/>
      <w:marBottom w:val="0"/>
      <w:divBdr>
        <w:top w:val="none" w:sz="0" w:space="0" w:color="auto"/>
        <w:left w:val="none" w:sz="0" w:space="0" w:color="auto"/>
        <w:bottom w:val="none" w:sz="0" w:space="0" w:color="auto"/>
        <w:right w:val="none" w:sz="0" w:space="0" w:color="auto"/>
      </w:divBdr>
    </w:div>
    <w:div w:id="1436439607">
      <w:bodyDiv w:val="1"/>
      <w:marLeft w:val="0"/>
      <w:marRight w:val="0"/>
      <w:marTop w:val="0"/>
      <w:marBottom w:val="0"/>
      <w:divBdr>
        <w:top w:val="none" w:sz="0" w:space="0" w:color="auto"/>
        <w:left w:val="none" w:sz="0" w:space="0" w:color="auto"/>
        <w:bottom w:val="none" w:sz="0" w:space="0" w:color="auto"/>
        <w:right w:val="none" w:sz="0" w:space="0" w:color="auto"/>
      </w:divBdr>
    </w:div>
    <w:div w:id="1436562824">
      <w:bodyDiv w:val="1"/>
      <w:marLeft w:val="0"/>
      <w:marRight w:val="0"/>
      <w:marTop w:val="0"/>
      <w:marBottom w:val="0"/>
      <w:divBdr>
        <w:top w:val="none" w:sz="0" w:space="0" w:color="auto"/>
        <w:left w:val="none" w:sz="0" w:space="0" w:color="auto"/>
        <w:bottom w:val="none" w:sz="0" w:space="0" w:color="auto"/>
        <w:right w:val="none" w:sz="0" w:space="0" w:color="auto"/>
      </w:divBdr>
    </w:div>
    <w:div w:id="1436634468">
      <w:bodyDiv w:val="1"/>
      <w:marLeft w:val="0"/>
      <w:marRight w:val="0"/>
      <w:marTop w:val="0"/>
      <w:marBottom w:val="0"/>
      <w:divBdr>
        <w:top w:val="none" w:sz="0" w:space="0" w:color="auto"/>
        <w:left w:val="none" w:sz="0" w:space="0" w:color="auto"/>
        <w:bottom w:val="none" w:sz="0" w:space="0" w:color="auto"/>
        <w:right w:val="none" w:sz="0" w:space="0" w:color="auto"/>
      </w:divBdr>
    </w:div>
    <w:div w:id="1436705768">
      <w:bodyDiv w:val="1"/>
      <w:marLeft w:val="0"/>
      <w:marRight w:val="0"/>
      <w:marTop w:val="0"/>
      <w:marBottom w:val="0"/>
      <w:divBdr>
        <w:top w:val="none" w:sz="0" w:space="0" w:color="auto"/>
        <w:left w:val="none" w:sz="0" w:space="0" w:color="auto"/>
        <w:bottom w:val="none" w:sz="0" w:space="0" w:color="auto"/>
        <w:right w:val="none" w:sz="0" w:space="0" w:color="auto"/>
      </w:divBdr>
    </w:div>
    <w:div w:id="1437140878">
      <w:bodyDiv w:val="1"/>
      <w:marLeft w:val="0"/>
      <w:marRight w:val="0"/>
      <w:marTop w:val="0"/>
      <w:marBottom w:val="0"/>
      <w:divBdr>
        <w:top w:val="none" w:sz="0" w:space="0" w:color="auto"/>
        <w:left w:val="none" w:sz="0" w:space="0" w:color="auto"/>
        <w:bottom w:val="none" w:sz="0" w:space="0" w:color="auto"/>
        <w:right w:val="none" w:sz="0" w:space="0" w:color="auto"/>
      </w:divBdr>
    </w:div>
    <w:div w:id="1437168136">
      <w:bodyDiv w:val="1"/>
      <w:marLeft w:val="0"/>
      <w:marRight w:val="0"/>
      <w:marTop w:val="0"/>
      <w:marBottom w:val="0"/>
      <w:divBdr>
        <w:top w:val="none" w:sz="0" w:space="0" w:color="auto"/>
        <w:left w:val="none" w:sz="0" w:space="0" w:color="auto"/>
        <w:bottom w:val="none" w:sz="0" w:space="0" w:color="auto"/>
        <w:right w:val="none" w:sz="0" w:space="0" w:color="auto"/>
      </w:divBdr>
    </w:div>
    <w:div w:id="1437211709">
      <w:bodyDiv w:val="1"/>
      <w:marLeft w:val="0"/>
      <w:marRight w:val="0"/>
      <w:marTop w:val="0"/>
      <w:marBottom w:val="0"/>
      <w:divBdr>
        <w:top w:val="none" w:sz="0" w:space="0" w:color="auto"/>
        <w:left w:val="none" w:sz="0" w:space="0" w:color="auto"/>
        <w:bottom w:val="none" w:sz="0" w:space="0" w:color="auto"/>
        <w:right w:val="none" w:sz="0" w:space="0" w:color="auto"/>
      </w:divBdr>
    </w:div>
    <w:div w:id="1437288559">
      <w:bodyDiv w:val="1"/>
      <w:marLeft w:val="0"/>
      <w:marRight w:val="0"/>
      <w:marTop w:val="0"/>
      <w:marBottom w:val="0"/>
      <w:divBdr>
        <w:top w:val="none" w:sz="0" w:space="0" w:color="auto"/>
        <w:left w:val="none" w:sz="0" w:space="0" w:color="auto"/>
        <w:bottom w:val="none" w:sz="0" w:space="0" w:color="auto"/>
        <w:right w:val="none" w:sz="0" w:space="0" w:color="auto"/>
      </w:divBdr>
    </w:div>
    <w:div w:id="1437289366">
      <w:bodyDiv w:val="1"/>
      <w:marLeft w:val="0"/>
      <w:marRight w:val="0"/>
      <w:marTop w:val="0"/>
      <w:marBottom w:val="0"/>
      <w:divBdr>
        <w:top w:val="none" w:sz="0" w:space="0" w:color="auto"/>
        <w:left w:val="none" w:sz="0" w:space="0" w:color="auto"/>
        <w:bottom w:val="none" w:sz="0" w:space="0" w:color="auto"/>
        <w:right w:val="none" w:sz="0" w:space="0" w:color="auto"/>
      </w:divBdr>
    </w:div>
    <w:div w:id="1437289571">
      <w:bodyDiv w:val="1"/>
      <w:marLeft w:val="0"/>
      <w:marRight w:val="0"/>
      <w:marTop w:val="0"/>
      <w:marBottom w:val="0"/>
      <w:divBdr>
        <w:top w:val="none" w:sz="0" w:space="0" w:color="auto"/>
        <w:left w:val="none" w:sz="0" w:space="0" w:color="auto"/>
        <w:bottom w:val="none" w:sz="0" w:space="0" w:color="auto"/>
        <w:right w:val="none" w:sz="0" w:space="0" w:color="auto"/>
      </w:divBdr>
    </w:div>
    <w:div w:id="1437478570">
      <w:bodyDiv w:val="1"/>
      <w:marLeft w:val="0"/>
      <w:marRight w:val="0"/>
      <w:marTop w:val="0"/>
      <w:marBottom w:val="0"/>
      <w:divBdr>
        <w:top w:val="none" w:sz="0" w:space="0" w:color="auto"/>
        <w:left w:val="none" w:sz="0" w:space="0" w:color="auto"/>
        <w:bottom w:val="none" w:sz="0" w:space="0" w:color="auto"/>
        <w:right w:val="none" w:sz="0" w:space="0" w:color="auto"/>
      </w:divBdr>
    </w:div>
    <w:div w:id="1437479172">
      <w:bodyDiv w:val="1"/>
      <w:marLeft w:val="0"/>
      <w:marRight w:val="0"/>
      <w:marTop w:val="0"/>
      <w:marBottom w:val="0"/>
      <w:divBdr>
        <w:top w:val="none" w:sz="0" w:space="0" w:color="auto"/>
        <w:left w:val="none" w:sz="0" w:space="0" w:color="auto"/>
        <w:bottom w:val="none" w:sz="0" w:space="0" w:color="auto"/>
        <w:right w:val="none" w:sz="0" w:space="0" w:color="auto"/>
      </w:divBdr>
    </w:div>
    <w:div w:id="1437483853">
      <w:bodyDiv w:val="1"/>
      <w:marLeft w:val="0"/>
      <w:marRight w:val="0"/>
      <w:marTop w:val="0"/>
      <w:marBottom w:val="0"/>
      <w:divBdr>
        <w:top w:val="none" w:sz="0" w:space="0" w:color="auto"/>
        <w:left w:val="none" w:sz="0" w:space="0" w:color="auto"/>
        <w:bottom w:val="none" w:sz="0" w:space="0" w:color="auto"/>
        <w:right w:val="none" w:sz="0" w:space="0" w:color="auto"/>
      </w:divBdr>
    </w:div>
    <w:div w:id="1437555704">
      <w:bodyDiv w:val="1"/>
      <w:marLeft w:val="0"/>
      <w:marRight w:val="0"/>
      <w:marTop w:val="0"/>
      <w:marBottom w:val="0"/>
      <w:divBdr>
        <w:top w:val="none" w:sz="0" w:space="0" w:color="auto"/>
        <w:left w:val="none" w:sz="0" w:space="0" w:color="auto"/>
        <w:bottom w:val="none" w:sz="0" w:space="0" w:color="auto"/>
        <w:right w:val="none" w:sz="0" w:space="0" w:color="auto"/>
      </w:divBdr>
    </w:div>
    <w:div w:id="1437557482">
      <w:bodyDiv w:val="1"/>
      <w:marLeft w:val="0"/>
      <w:marRight w:val="0"/>
      <w:marTop w:val="0"/>
      <w:marBottom w:val="0"/>
      <w:divBdr>
        <w:top w:val="none" w:sz="0" w:space="0" w:color="auto"/>
        <w:left w:val="none" w:sz="0" w:space="0" w:color="auto"/>
        <w:bottom w:val="none" w:sz="0" w:space="0" w:color="auto"/>
        <w:right w:val="none" w:sz="0" w:space="0" w:color="auto"/>
      </w:divBdr>
    </w:div>
    <w:div w:id="1437600297">
      <w:bodyDiv w:val="1"/>
      <w:marLeft w:val="0"/>
      <w:marRight w:val="0"/>
      <w:marTop w:val="0"/>
      <w:marBottom w:val="0"/>
      <w:divBdr>
        <w:top w:val="none" w:sz="0" w:space="0" w:color="auto"/>
        <w:left w:val="none" w:sz="0" w:space="0" w:color="auto"/>
        <w:bottom w:val="none" w:sz="0" w:space="0" w:color="auto"/>
        <w:right w:val="none" w:sz="0" w:space="0" w:color="auto"/>
      </w:divBdr>
    </w:div>
    <w:div w:id="1437604726">
      <w:bodyDiv w:val="1"/>
      <w:marLeft w:val="0"/>
      <w:marRight w:val="0"/>
      <w:marTop w:val="0"/>
      <w:marBottom w:val="0"/>
      <w:divBdr>
        <w:top w:val="none" w:sz="0" w:space="0" w:color="auto"/>
        <w:left w:val="none" w:sz="0" w:space="0" w:color="auto"/>
        <w:bottom w:val="none" w:sz="0" w:space="0" w:color="auto"/>
        <w:right w:val="none" w:sz="0" w:space="0" w:color="auto"/>
      </w:divBdr>
    </w:div>
    <w:div w:id="1437753151">
      <w:bodyDiv w:val="1"/>
      <w:marLeft w:val="0"/>
      <w:marRight w:val="0"/>
      <w:marTop w:val="0"/>
      <w:marBottom w:val="0"/>
      <w:divBdr>
        <w:top w:val="none" w:sz="0" w:space="0" w:color="auto"/>
        <w:left w:val="none" w:sz="0" w:space="0" w:color="auto"/>
        <w:bottom w:val="none" w:sz="0" w:space="0" w:color="auto"/>
        <w:right w:val="none" w:sz="0" w:space="0" w:color="auto"/>
      </w:divBdr>
    </w:div>
    <w:div w:id="1437948744">
      <w:bodyDiv w:val="1"/>
      <w:marLeft w:val="0"/>
      <w:marRight w:val="0"/>
      <w:marTop w:val="0"/>
      <w:marBottom w:val="0"/>
      <w:divBdr>
        <w:top w:val="none" w:sz="0" w:space="0" w:color="auto"/>
        <w:left w:val="none" w:sz="0" w:space="0" w:color="auto"/>
        <w:bottom w:val="none" w:sz="0" w:space="0" w:color="auto"/>
        <w:right w:val="none" w:sz="0" w:space="0" w:color="auto"/>
      </w:divBdr>
    </w:div>
    <w:div w:id="1438018089">
      <w:bodyDiv w:val="1"/>
      <w:marLeft w:val="0"/>
      <w:marRight w:val="0"/>
      <w:marTop w:val="0"/>
      <w:marBottom w:val="0"/>
      <w:divBdr>
        <w:top w:val="none" w:sz="0" w:space="0" w:color="auto"/>
        <w:left w:val="none" w:sz="0" w:space="0" w:color="auto"/>
        <w:bottom w:val="none" w:sz="0" w:space="0" w:color="auto"/>
        <w:right w:val="none" w:sz="0" w:space="0" w:color="auto"/>
      </w:divBdr>
    </w:div>
    <w:div w:id="1438022752">
      <w:bodyDiv w:val="1"/>
      <w:marLeft w:val="0"/>
      <w:marRight w:val="0"/>
      <w:marTop w:val="0"/>
      <w:marBottom w:val="0"/>
      <w:divBdr>
        <w:top w:val="none" w:sz="0" w:space="0" w:color="auto"/>
        <w:left w:val="none" w:sz="0" w:space="0" w:color="auto"/>
        <w:bottom w:val="none" w:sz="0" w:space="0" w:color="auto"/>
        <w:right w:val="none" w:sz="0" w:space="0" w:color="auto"/>
      </w:divBdr>
    </w:div>
    <w:div w:id="1438065850">
      <w:bodyDiv w:val="1"/>
      <w:marLeft w:val="0"/>
      <w:marRight w:val="0"/>
      <w:marTop w:val="0"/>
      <w:marBottom w:val="0"/>
      <w:divBdr>
        <w:top w:val="none" w:sz="0" w:space="0" w:color="auto"/>
        <w:left w:val="none" w:sz="0" w:space="0" w:color="auto"/>
        <w:bottom w:val="none" w:sz="0" w:space="0" w:color="auto"/>
        <w:right w:val="none" w:sz="0" w:space="0" w:color="auto"/>
      </w:divBdr>
    </w:div>
    <w:div w:id="1438136323">
      <w:bodyDiv w:val="1"/>
      <w:marLeft w:val="0"/>
      <w:marRight w:val="0"/>
      <w:marTop w:val="0"/>
      <w:marBottom w:val="0"/>
      <w:divBdr>
        <w:top w:val="none" w:sz="0" w:space="0" w:color="auto"/>
        <w:left w:val="none" w:sz="0" w:space="0" w:color="auto"/>
        <w:bottom w:val="none" w:sz="0" w:space="0" w:color="auto"/>
        <w:right w:val="none" w:sz="0" w:space="0" w:color="auto"/>
      </w:divBdr>
    </w:div>
    <w:div w:id="1438139892">
      <w:bodyDiv w:val="1"/>
      <w:marLeft w:val="0"/>
      <w:marRight w:val="0"/>
      <w:marTop w:val="0"/>
      <w:marBottom w:val="0"/>
      <w:divBdr>
        <w:top w:val="none" w:sz="0" w:space="0" w:color="auto"/>
        <w:left w:val="none" w:sz="0" w:space="0" w:color="auto"/>
        <w:bottom w:val="none" w:sz="0" w:space="0" w:color="auto"/>
        <w:right w:val="none" w:sz="0" w:space="0" w:color="auto"/>
      </w:divBdr>
    </w:div>
    <w:div w:id="1438140770">
      <w:bodyDiv w:val="1"/>
      <w:marLeft w:val="0"/>
      <w:marRight w:val="0"/>
      <w:marTop w:val="0"/>
      <w:marBottom w:val="0"/>
      <w:divBdr>
        <w:top w:val="none" w:sz="0" w:space="0" w:color="auto"/>
        <w:left w:val="none" w:sz="0" w:space="0" w:color="auto"/>
        <w:bottom w:val="none" w:sz="0" w:space="0" w:color="auto"/>
        <w:right w:val="none" w:sz="0" w:space="0" w:color="auto"/>
      </w:divBdr>
    </w:div>
    <w:div w:id="1438253504">
      <w:bodyDiv w:val="1"/>
      <w:marLeft w:val="0"/>
      <w:marRight w:val="0"/>
      <w:marTop w:val="0"/>
      <w:marBottom w:val="0"/>
      <w:divBdr>
        <w:top w:val="none" w:sz="0" w:space="0" w:color="auto"/>
        <w:left w:val="none" w:sz="0" w:space="0" w:color="auto"/>
        <w:bottom w:val="none" w:sz="0" w:space="0" w:color="auto"/>
        <w:right w:val="none" w:sz="0" w:space="0" w:color="auto"/>
      </w:divBdr>
    </w:div>
    <w:div w:id="1438285332">
      <w:bodyDiv w:val="1"/>
      <w:marLeft w:val="0"/>
      <w:marRight w:val="0"/>
      <w:marTop w:val="0"/>
      <w:marBottom w:val="0"/>
      <w:divBdr>
        <w:top w:val="none" w:sz="0" w:space="0" w:color="auto"/>
        <w:left w:val="none" w:sz="0" w:space="0" w:color="auto"/>
        <w:bottom w:val="none" w:sz="0" w:space="0" w:color="auto"/>
        <w:right w:val="none" w:sz="0" w:space="0" w:color="auto"/>
      </w:divBdr>
    </w:div>
    <w:div w:id="1438326211">
      <w:bodyDiv w:val="1"/>
      <w:marLeft w:val="0"/>
      <w:marRight w:val="0"/>
      <w:marTop w:val="0"/>
      <w:marBottom w:val="0"/>
      <w:divBdr>
        <w:top w:val="none" w:sz="0" w:space="0" w:color="auto"/>
        <w:left w:val="none" w:sz="0" w:space="0" w:color="auto"/>
        <w:bottom w:val="none" w:sz="0" w:space="0" w:color="auto"/>
        <w:right w:val="none" w:sz="0" w:space="0" w:color="auto"/>
      </w:divBdr>
    </w:div>
    <w:div w:id="1438329088">
      <w:bodyDiv w:val="1"/>
      <w:marLeft w:val="0"/>
      <w:marRight w:val="0"/>
      <w:marTop w:val="0"/>
      <w:marBottom w:val="0"/>
      <w:divBdr>
        <w:top w:val="none" w:sz="0" w:space="0" w:color="auto"/>
        <w:left w:val="none" w:sz="0" w:space="0" w:color="auto"/>
        <w:bottom w:val="none" w:sz="0" w:space="0" w:color="auto"/>
        <w:right w:val="none" w:sz="0" w:space="0" w:color="auto"/>
      </w:divBdr>
    </w:div>
    <w:div w:id="1438332054">
      <w:bodyDiv w:val="1"/>
      <w:marLeft w:val="0"/>
      <w:marRight w:val="0"/>
      <w:marTop w:val="0"/>
      <w:marBottom w:val="0"/>
      <w:divBdr>
        <w:top w:val="none" w:sz="0" w:space="0" w:color="auto"/>
        <w:left w:val="none" w:sz="0" w:space="0" w:color="auto"/>
        <w:bottom w:val="none" w:sz="0" w:space="0" w:color="auto"/>
        <w:right w:val="none" w:sz="0" w:space="0" w:color="auto"/>
      </w:divBdr>
    </w:div>
    <w:div w:id="1438521354">
      <w:bodyDiv w:val="1"/>
      <w:marLeft w:val="0"/>
      <w:marRight w:val="0"/>
      <w:marTop w:val="0"/>
      <w:marBottom w:val="0"/>
      <w:divBdr>
        <w:top w:val="none" w:sz="0" w:space="0" w:color="auto"/>
        <w:left w:val="none" w:sz="0" w:space="0" w:color="auto"/>
        <w:bottom w:val="none" w:sz="0" w:space="0" w:color="auto"/>
        <w:right w:val="none" w:sz="0" w:space="0" w:color="auto"/>
      </w:divBdr>
    </w:div>
    <w:div w:id="1438523656">
      <w:bodyDiv w:val="1"/>
      <w:marLeft w:val="0"/>
      <w:marRight w:val="0"/>
      <w:marTop w:val="0"/>
      <w:marBottom w:val="0"/>
      <w:divBdr>
        <w:top w:val="none" w:sz="0" w:space="0" w:color="auto"/>
        <w:left w:val="none" w:sz="0" w:space="0" w:color="auto"/>
        <w:bottom w:val="none" w:sz="0" w:space="0" w:color="auto"/>
        <w:right w:val="none" w:sz="0" w:space="0" w:color="auto"/>
      </w:divBdr>
    </w:div>
    <w:div w:id="1438676340">
      <w:bodyDiv w:val="1"/>
      <w:marLeft w:val="0"/>
      <w:marRight w:val="0"/>
      <w:marTop w:val="0"/>
      <w:marBottom w:val="0"/>
      <w:divBdr>
        <w:top w:val="none" w:sz="0" w:space="0" w:color="auto"/>
        <w:left w:val="none" w:sz="0" w:space="0" w:color="auto"/>
        <w:bottom w:val="none" w:sz="0" w:space="0" w:color="auto"/>
        <w:right w:val="none" w:sz="0" w:space="0" w:color="auto"/>
      </w:divBdr>
    </w:div>
    <w:div w:id="1438787797">
      <w:bodyDiv w:val="1"/>
      <w:marLeft w:val="0"/>
      <w:marRight w:val="0"/>
      <w:marTop w:val="0"/>
      <w:marBottom w:val="0"/>
      <w:divBdr>
        <w:top w:val="none" w:sz="0" w:space="0" w:color="auto"/>
        <w:left w:val="none" w:sz="0" w:space="0" w:color="auto"/>
        <w:bottom w:val="none" w:sz="0" w:space="0" w:color="auto"/>
        <w:right w:val="none" w:sz="0" w:space="0" w:color="auto"/>
      </w:divBdr>
    </w:div>
    <w:div w:id="1438789323">
      <w:bodyDiv w:val="1"/>
      <w:marLeft w:val="0"/>
      <w:marRight w:val="0"/>
      <w:marTop w:val="0"/>
      <w:marBottom w:val="0"/>
      <w:divBdr>
        <w:top w:val="none" w:sz="0" w:space="0" w:color="auto"/>
        <w:left w:val="none" w:sz="0" w:space="0" w:color="auto"/>
        <w:bottom w:val="none" w:sz="0" w:space="0" w:color="auto"/>
        <w:right w:val="none" w:sz="0" w:space="0" w:color="auto"/>
      </w:divBdr>
    </w:div>
    <w:div w:id="1438864618">
      <w:bodyDiv w:val="1"/>
      <w:marLeft w:val="0"/>
      <w:marRight w:val="0"/>
      <w:marTop w:val="0"/>
      <w:marBottom w:val="0"/>
      <w:divBdr>
        <w:top w:val="none" w:sz="0" w:space="0" w:color="auto"/>
        <w:left w:val="none" w:sz="0" w:space="0" w:color="auto"/>
        <w:bottom w:val="none" w:sz="0" w:space="0" w:color="auto"/>
        <w:right w:val="none" w:sz="0" w:space="0" w:color="auto"/>
      </w:divBdr>
    </w:div>
    <w:div w:id="1438869506">
      <w:bodyDiv w:val="1"/>
      <w:marLeft w:val="0"/>
      <w:marRight w:val="0"/>
      <w:marTop w:val="0"/>
      <w:marBottom w:val="0"/>
      <w:divBdr>
        <w:top w:val="none" w:sz="0" w:space="0" w:color="auto"/>
        <w:left w:val="none" w:sz="0" w:space="0" w:color="auto"/>
        <w:bottom w:val="none" w:sz="0" w:space="0" w:color="auto"/>
        <w:right w:val="none" w:sz="0" w:space="0" w:color="auto"/>
      </w:divBdr>
    </w:div>
    <w:div w:id="1439134108">
      <w:bodyDiv w:val="1"/>
      <w:marLeft w:val="0"/>
      <w:marRight w:val="0"/>
      <w:marTop w:val="0"/>
      <w:marBottom w:val="0"/>
      <w:divBdr>
        <w:top w:val="none" w:sz="0" w:space="0" w:color="auto"/>
        <w:left w:val="none" w:sz="0" w:space="0" w:color="auto"/>
        <w:bottom w:val="none" w:sz="0" w:space="0" w:color="auto"/>
        <w:right w:val="none" w:sz="0" w:space="0" w:color="auto"/>
      </w:divBdr>
    </w:div>
    <w:div w:id="1439135768">
      <w:bodyDiv w:val="1"/>
      <w:marLeft w:val="0"/>
      <w:marRight w:val="0"/>
      <w:marTop w:val="0"/>
      <w:marBottom w:val="0"/>
      <w:divBdr>
        <w:top w:val="none" w:sz="0" w:space="0" w:color="auto"/>
        <w:left w:val="none" w:sz="0" w:space="0" w:color="auto"/>
        <w:bottom w:val="none" w:sz="0" w:space="0" w:color="auto"/>
        <w:right w:val="none" w:sz="0" w:space="0" w:color="auto"/>
      </w:divBdr>
    </w:div>
    <w:div w:id="1439177057">
      <w:bodyDiv w:val="1"/>
      <w:marLeft w:val="0"/>
      <w:marRight w:val="0"/>
      <w:marTop w:val="0"/>
      <w:marBottom w:val="0"/>
      <w:divBdr>
        <w:top w:val="none" w:sz="0" w:space="0" w:color="auto"/>
        <w:left w:val="none" w:sz="0" w:space="0" w:color="auto"/>
        <w:bottom w:val="none" w:sz="0" w:space="0" w:color="auto"/>
        <w:right w:val="none" w:sz="0" w:space="0" w:color="auto"/>
      </w:divBdr>
    </w:div>
    <w:div w:id="1439334351">
      <w:bodyDiv w:val="1"/>
      <w:marLeft w:val="0"/>
      <w:marRight w:val="0"/>
      <w:marTop w:val="0"/>
      <w:marBottom w:val="0"/>
      <w:divBdr>
        <w:top w:val="none" w:sz="0" w:space="0" w:color="auto"/>
        <w:left w:val="none" w:sz="0" w:space="0" w:color="auto"/>
        <w:bottom w:val="none" w:sz="0" w:space="0" w:color="auto"/>
        <w:right w:val="none" w:sz="0" w:space="0" w:color="auto"/>
      </w:divBdr>
    </w:div>
    <w:div w:id="1439377248">
      <w:bodyDiv w:val="1"/>
      <w:marLeft w:val="0"/>
      <w:marRight w:val="0"/>
      <w:marTop w:val="0"/>
      <w:marBottom w:val="0"/>
      <w:divBdr>
        <w:top w:val="none" w:sz="0" w:space="0" w:color="auto"/>
        <w:left w:val="none" w:sz="0" w:space="0" w:color="auto"/>
        <w:bottom w:val="none" w:sz="0" w:space="0" w:color="auto"/>
        <w:right w:val="none" w:sz="0" w:space="0" w:color="auto"/>
      </w:divBdr>
    </w:div>
    <w:div w:id="1439445665">
      <w:bodyDiv w:val="1"/>
      <w:marLeft w:val="0"/>
      <w:marRight w:val="0"/>
      <w:marTop w:val="0"/>
      <w:marBottom w:val="0"/>
      <w:divBdr>
        <w:top w:val="none" w:sz="0" w:space="0" w:color="auto"/>
        <w:left w:val="none" w:sz="0" w:space="0" w:color="auto"/>
        <w:bottom w:val="none" w:sz="0" w:space="0" w:color="auto"/>
        <w:right w:val="none" w:sz="0" w:space="0" w:color="auto"/>
      </w:divBdr>
    </w:div>
    <w:div w:id="1439449499">
      <w:bodyDiv w:val="1"/>
      <w:marLeft w:val="0"/>
      <w:marRight w:val="0"/>
      <w:marTop w:val="0"/>
      <w:marBottom w:val="0"/>
      <w:divBdr>
        <w:top w:val="none" w:sz="0" w:space="0" w:color="auto"/>
        <w:left w:val="none" w:sz="0" w:space="0" w:color="auto"/>
        <w:bottom w:val="none" w:sz="0" w:space="0" w:color="auto"/>
        <w:right w:val="none" w:sz="0" w:space="0" w:color="auto"/>
      </w:divBdr>
    </w:div>
    <w:div w:id="1439596171">
      <w:bodyDiv w:val="1"/>
      <w:marLeft w:val="0"/>
      <w:marRight w:val="0"/>
      <w:marTop w:val="0"/>
      <w:marBottom w:val="0"/>
      <w:divBdr>
        <w:top w:val="none" w:sz="0" w:space="0" w:color="auto"/>
        <w:left w:val="none" w:sz="0" w:space="0" w:color="auto"/>
        <w:bottom w:val="none" w:sz="0" w:space="0" w:color="auto"/>
        <w:right w:val="none" w:sz="0" w:space="0" w:color="auto"/>
      </w:divBdr>
    </w:div>
    <w:div w:id="1439638391">
      <w:bodyDiv w:val="1"/>
      <w:marLeft w:val="0"/>
      <w:marRight w:val="0"/>
      <w:marTop w:val="0"/>
      <w:marBottom w:val="0"/>
      <w:divBdr>
        <w:top w:val="none" w:sz="0" w:space="0" w:color="auto"/>
        <w:left w:val="none" w:sz="0" w:space="0" w:color="auto"/>
        <w:bottom w:val="none" w:sz="0" w:space="0" w:color="auto"/>
        <w:right w:val="none" w:sz="0" w:space="0" w:color="auto"/>
      </w:divBdr>
    </w:div>
    <w:div w:id="1439643299">
      <w:bodyDiv w:val="1"/>
      <w:marLeft w:val="0"/>
      <w:marRight w:val="0"/>
      <w:marTop w:val="0"/>
      <w:marBottom w:val="0"/>
      <w:divBdr>
        <w:top w:val="none" w:sz="0" w:space="0" w:color="auto"/>
        <w:left w:val="none" w:sz="0" w:space="0" w:color="auto"/>
        <w:bottom w:val="none" w:sz="0" w:space="0" w:color="auto"/>
        <w:right w:val="none" w:sz="0" w:space="0" w:color="auto"/>
      </w:divBdr>
    </w:div>
    <w:div w:id="1439789463">
      <w:bodyDiv w:val="1"/>
      <w:marLeft w:val="0"/>
      <w:marRight w:val="0"/>
      <w:marTop w:val="0"/>
      <w:marBottom w:val="0"/>
      <w:divBdr>
        <w:top w:val="none" w:sz="0" w:space="0" w:color="auto"/>
        <w:left w:val="none" w:sz="0" w:space="0" w:color="auto"/>
        <w:bottom w:val="none" w:sz="0" w:space="0" w:color="auto"/>
        <w:right w:val="none" w:sz="0" w:space="0" w:color="auto"/>
      </w:divBdr>
    </w:div>
    <w:div w:id="1439835053">
      <w:bodyDiv w:val="1"/>
      <w:marLeft w:val="0"/>
      <w:marRight w:val="0"/>
      <w:marTop w:val="0"/>
      <w:marBottom w:val="0"/>
      <w:divBdr>
        <w:top w:val="none" w:sz="0" w:space="0" w:color="auto"/>
        <w:left w:val="none" w:sz="0" w:space="0" w:color="auto"/>
        <w:bottom w:val="none" w:sz="0" w:space="0" w:color="auto"/>
        <w:right w:val="none" w:sz="0" w:space="0" w:color="auto"/>
      </w:divBdr>
    </w:div>
    <w:div w:id="1439906708">
      <w:bodyDiv w:val="1"/>
      <w:marLeft w:val="0"/>
      <w:marRight w:val="0"/>
      <w:marTop w:val="0"/>
      <w:marBottom w:val="0"/>
      <w:divBdr>
        <w:top w:val="none" w:sz="0" w:space="0" w:color="auto"/>
        <w:left w:val="none" w:sz="0" w:space="0" w:color="auto"/>
        <w:bottom w:val="none" w:sz="0" w:space="0" w:color="auto"/>
        <w:right w:val="none" w:sz="0" w:space="0" w:color="auto"/>
      </w:divBdr>
    </w:div>
    <w:div w:id="1439986670">
      <w:bodyDiv w:val="1"/>
      <w:marLeft w:val="0"/>
      <w:marRight w:val="0"/>
      <w:marTop w:val="0"/>
      <w:marBottom w:val="0"/>
      <w:divBdr>
        <w:top w:val="none" w:sz="0" w:space="0" w:color="auto"/>
        <w:left w:val="none" w:sz="0" w:space="0" w:color="auto"/>
        <w:bottom w:val="none" w:sz="0" w:space="0" w:color="auto"/>
        <w:right w:val="none" w:sz="0" w:space="0" w:color="auto"/>
      </w:divBdr>
    </w:div>
    <w:div w:id="1440028054">
      <w:bodyDiv w:val="1"/>
      <w:marLeft w:val="0"/>
      <w:marRight w:val="0"/>
      <w:marTop w:val="0"/>
      <w:marBottom w:val="0"/>
      <w:divBdr>
        <w:top w:val="none" w:sz="0" w:space="0" w:color="auto"/>
        <w:left w:val="none" w:sz="0" w:space="0" w:color="auto"/>
        <w:bottom w:val="none" w:sz="0" w:space="0" w:color="auto"/>
        <w:right w:val="none" w:sz="0" w:space="0" w:color="auto"/>
      </w:divBdr>
    </w:div>
    <w:div w:id="1440028078">
      <w:bodyDiv w:val="1"/>
      <w:marLeft w:val="0"/>
      <w:marRight w:val="0"/>
      <w:marTop w:val="0"/>
      <w:marBottom w:val="0"/>
      <w:divBdr>
        <w:top w:val="none" w:sz="0" w:space="0" w:color="auto"/>
        <w:left w:val="none" w:sz="0" w:space="0" w:color="auto"/>
        <w:bottom w:val="none" w:sz="0" w:space="0" w:color="auto"/>
        <w:right w:val="none" w:sz="0" w:space="0" w:color="auto"/>
      </w:divBdr>
    </w:div>
    <w:div w:id="1440100609">
      <w:bodyDiv w:val="1"/>
      <w:marLeft w:val="0"/>
      <w:marRight w:val="0"/>
      <w:marTop w:val="0"/>
      <w:marBottom w:val="0"/>
      <w:divBdr>
        <w:top w:val="none" w:sz="0" w:space="0" w:color="auto"/>
        <w:left w:val="none" w:sz="0" w:space="0" w:color="auto"/>
        <w:bottom w:val="none" w:sz="0" w:space="0" w:color="auto"/>
        <w:right w:val="none" w:sz="0" w:space="0" w:color="auto"/>
      </w:divBdr>
    </w:div>
    <w:div w:id="1440103792">
      <w:bodyDiv w:val="1"/>
      <w:marLeft w:val="0"/>
      <w:marRight w:val="0"/>
      <w:marTop w:val="0"/>
      <w:marBottom w:val="0"/>
      <w:divBdr>
        <w:top w:val="none" w:sz="0" w:space="0" w:color="auto"/>
        <w:left w:val="none" w:sz="0" w:space="0" w:color="auto"/>
        <w:bottom w:val="none" w:sz="0" w:space="0" w:color="auto"/>
        <w:right w:val="none" w:sz="0" w:space="0" w:color="auto"/>
      </w:divBdr>
    </w:div>
    <w:div w:id="1440174229">
      <w:bodyDiv w:val="1"/>
      <w:marLeft w:val="0"/>
      <w:marRight w:val="0"/>
      <w:marTop w:val="0"/>
      <w:marBottom w:val="0"/>
      <w:divBdr>
        <w:top w:val="none" w:sz="0" w:space="0" w:color="auto"/>
        <w:left w:val="none" w:sz="0" w:space="0" w:color="auto"/>
        <w:bottom w:val="none" w:sz="0" w:space="0" w:color="auto"/>
        <w:right w:val="none" w:sz="0" w:space="0" w:color="auto"/>
      </w:divBdr>
    </w:div>
    <w:div w:id="1440222794">
      <w:bodyDiv w:val="1"/>
      <w:marLeft w:val="0"/>
      <w:marRight w:val="0"/>
      <w:marTop w:val="0"/>
      <w:marBottom w:val="0"/>
      <w:divBdr>
        <w:top w:val="none" w:sz="0" w:space="0" w:color="auto"/>
        <w:left w:val="none" w:sz="0" w:space="0" w:color="auto"/>
        <w:bottom w:val="none" w:sz="0" w:space="0" w:color="auto"/>
        <w:right w:val="none" w:sz="0" w:space="0" w:color="auto"/>
      </w:divBdr>
    </w:div>
    <w:div w:id="1440291909">
      <w:bodyDiv w:val="1"/>
      <w:marLeft w:val="0"/>
      <w:marRight w:val="0"/>
      <w:marTop w:val="0"/>
      <w:marBottom w:val="0"/>
      <w:divBdr>
        <w:top w:val="none" w:sz="0" w:space="0" w:color="auto"/>
        <w:left w:val="none" w:sz="0" w:space="0" w:color="auto"/>
        <w:bottom w:val="none" w:sz="0" w:space="0" w:color="auto"/>
        <w:right w:val="none" w:sz="0" w:space="0" w:color="auto"/>
      </w:divBdr>
    </w:div>
    <w:div w:id="1440294877">
      <w:bodyDiv w:val="1"/>
      <w:marLeft w:val="0"/>
      <w:marRight w:val="0"/>
      <w:marTop w:val="0"/>
      <w:marBottom w:val="0"/>
      <w:divBdr>
        <w:top w:val="none" w:sz="0" w:space="0" w:color="auto"/>
        <w:left w:val="none" w:sz="0" w:space="0" w:color="auto"/>
        <w:bottom w:val="none" w:sz="0" w:space="0" w:color="auto"/>
        <w:right w:val="none" w:sz="0" w:space="0" w:color="auto"/>
      </w:divBdr>
    </w:div>
    <w:div w:id="1440300842">
      <w:bodyDiv w:val="1"/>
      <w:marLeft w:val="0"/>
      <w:marRight w:val="0"/>
      <w:marTop w:val="0"/>
      <w:marBottom w:val="0"/>
      <w:divBdr>
        <w:top w:val="none" w:sz="0" w:space="0" w:color="auto"/>
        <w:left w:val="none" w:sz="0" w:space="0" w:color="auto"/>
        <w:bottom w:val="none" w:sz="0" w:space="0" w:color="auto"/>
        <w:right w:val="none" w:sz="0" w:space="0" w:color="auto"/>
      </w:divBdr>
    </w:div>
    <w:div w:id="1440368291">
      <w:bodyDiv w:val="1"/>
      <w:marLeft w:val="0"/>
      <w:marRight w:val="0"/>
      <w:marTop w:val="0"/>
      <w:marBottom w:val="0"/>
      <w:divBdr>
        <w:top w:val="none" w:sz="0" w:space="0" w:color="auto"/>
        <w:left w:val="none" w:sz="0" w:space="0" w:color="auto"/>
        <w:bottom w:val="none" w:sz="0" w:space="0" w:color="auto"/>
        <w:right w:val="none" w:sz="0" w:space="0" w:color="auto"/>
      </w:divBdr>
    </w:div>
    <w:div w:id="1440418046">
      <w:bodyDiv w:val="1"/>
      <w:marLeft w:val="0"/>
      <w:marRight w:val="0"/>
      <w:marTop w:val="0"/>
      <w:marBottom w:val="0"/>
      <w:divBdr>
        <w:top w:val="none" w:sz="0" w:space="0" w:color="auto"/>
        <w:left w:val="none" w:sz="0" w:space="0" w:color="auto"/>
        <w:bottom w:val="none" w:sz="0" w:space="0" w:color="auto"/>
        <w:right w:val="none" w:sz="0" w:space="0" w:color="auto"/>
      </w:divBdr>
    </w:div>
    <w:div w:id="1440446138">
      <w:bodyDiv w:val="1"/>
      <w:marLeft w:val="0"/>
      <w:marRight w:val="0"/>
      <w:marTop w:val="0"/>
      <w:marBottom w:val="0"/>
      <w:divBdr>
        <w:top w:val="none" w:sz="0" w:space="0" w:color="auto"/>
        <w:left w:val="none" w:sz="0" w:space="0" w:color="auto"/>
        <w:bottom w:val="none" w:sz="0" w:space="0" w:color="auto"/>
        <w:right w:val="none" w:sz="0" w:space="0" w:color="auto"/>
      </w:divBdr>
    </w:div>
    <w:div w:id="1440489609">
      <w:bodyDiv w:val="1"/>
      <w:marLeft w:val="0"/>
      <w:marRight w:val="0"/>
      <w:marTop w:val="0"/>
      <w:marBottom w:val="0"/>
      <w:divBdr>
        <w:top w:val="none" w:sz="0" w:space="0" w:color="auto"/>
        <w:left w:val="none" w:sz="0" w:space="0" w:color="auto"/>
        <w:bottom w:val="none" w:sz="0" w:space="0" w:color="auto"/>
        <w:right w:val="none" w:sz="0" w:space="0" w:color="auto"/>
      </w:divBdr>
    </w:div>
    <w:div w:id="1440560172">
      <w:bodyDiv w:val="1"/>
      <w:marLeft w:val="0"/>
      <w:marRight w:val="0"/>
      <w:marTop w:val="0"/>
      <w:marBottom w:val="0"/>
      <w:divBdr>
        <w:top w:val="none" w:sz="0" w:space="0" w:color="auto"/>
        <w:left w:val="none" w:sz="0" w:space="0" w:color="auto"/>
        <w:bottom w:val="none" w:sz="0" w:space="0" w:color="auto"/>
        <w:right w:val="none" w:sz="0" w:space="0" w:color="auto"/>
      </w:divBdr>
    </w:div>
    <w:div w:id="1440565915">
      <w:bodyDiv w:val="1"/>
      <w:marLeft w:val="0"/>
      <w:marRight w:val="0"/>
      <w:marTop w:val="0"/>
      <w:marBottom w:val="0"/>
      <w:divBdr>
        <w:top w:val="none" w:sz="0" w:space="0" w:color="auto"/>
        <w:left w:val="none" w:sz="0" w:space="0" w:color="auto"/>
        <w:bottom w:val="none" w:sz="0" w:space="0" w:color="auto"/>
        <w:right w:val="none" w:sz="0" w:space="0" w:color="auto"/>
      </w:divBdr>
    </w:div>
    <w:div w:id="1440641574">
      <w:bodyDiv w:val="1"/>
      <w:marLeft w:val="0"/>
      <w:marRight w:val="0"/>
      <w:marTop w:val="0"/>
      <w:marBottom w:val="0"/>
      <w:divBdr>
        <w:top w:val="none" w:sz="0" w:space="0" w:color="auto"/>
        <w:left w:val="none" w:sz="0" w:space="0" w:color="auto"/>
        <w:bottom w:val="none" w:sz="0" w:space="0" w:color="auto"/>
        <w:right w:val="none" w:sz="0" w:space="0" w:color="auto"/>
      </w:divBdr>
    </w:div>
    <w:div w:id="1440679734">
      <w:bodyDiv w:val="1"/>
      <w:marLeft w:val="0"/>
      <w:marRight w:val="0"/>
      <w:marTop w:val="0"/>
      <w:marBottom w:val="0"/>
      <w:divBdr>
        <w:top w:val="none" w:sz="0" w:space="0" w:color="auto"/>
        <w:left w:val="none" w:sz="0" w:space="0" w:color="auto"/>
        <w:bottom w:val="none" w:sz="0" w:space="0" w:color="auto"/>
        <w:right w:val="none" w:sz="0" w:space="0" w:color="auto"/>
      </w:divBdr>
    </w:div>
    <w:div w:id="1440755423">
      <w:bodyDiv w:val="1"/>
      <w:marLeft w:val="0"/>
      <w:marRight w:val="0"/>
      <w:marTop w:val="0"/>
      <w:marBottom w:val="0"/>
      <w:divBdr>
        <w:top w:val="none" w:sz="0" w:space="0" w:color="auto"/>
        <w:left w:val="none" w:sz="0" w:space="0" w:color="auto"/>
        <w:bottom w:val="none" w:sz="0" w:space="0" w:color="auto"/>
        <w:right w:val="none" w:sz="0" w:space="0" w:color="auto"/>
      </w:divBdr>
    </w:div>
    <w:div w:id="1440759405">
      <w:bodyDiv w:val="1"/>
      <w:marLeft w:val="0"/>
      <w:marRight w:val="0"/>
      <w:marTop w:val="0"/>
      <w:marBottom w:val="0"/>
      <w:divBdr>
        <w:top w:val="none" w:sz="0" w:space="0" w:color="auto"/>
        <w:left w:val="none" w:sz="0" w:space="0" w:color="auto"/>
        <w:bottom w:val="none" w:sz="0" w:space="0" w:color="auto"/>
        <w:right w:val="none" w:sz="0" w:space="0" w:color="auto"/>
      </w:divBdr>
    </w:div>
    <w:div w:id="1440759860">
      <w:bodyDiv w:val="1"/>
      <w:marLeft w:val="0"/>
      <w:marRight w:val="0"/>
      <w:marTop w:val="0"/>
      <w:marBottom w:val="0"/>
      <w:divBdr>
        <w:top w:val="none" w:sz="0" w:space="0" w:color="auto"/>
        <w:left w:val="none" w:sz="0" w:space="0" w:color="auto"/>
        <w:bottom w:val="none" w:sz="0" w:space="0" w:color="auto"/>
        <w:right w:val="none" w:sz="0" w:space="0" w:color="auto"/>
      </w:divBdr>
    </w:div>
    <w:div w:id="1440831208">
      <w:bodyDiv w:val="1"/>
      <w:marLeft w:val="0"/>
      <w:marRight w:val="0"/>
      <w:marTop w:val="0"/>
      <w:marBottom w:val="0"/>
      <w:divBdr>
        <w:top w:val="none" w:sz="0" w:space="0" w:color="auto"/>
        <w:left w:val="none" w:sz="0" w:space="0" w:color="auto"/>
        <w:bottom w:val="none" w:sz="0" w:space="0" w:color="auto"/>
        <w:right w:val="none" w:sz="0" w:space="0" w:color="auto"/>
      </w:divBdr>
    </w:div>
    <w:div w:id="1440880582">
      <w:bodyDiv w:val="1"/>
      <w:marLeft w:val="0"/>
      <w:marRight w:val="0"/>
      <w:marTop w:val="0"/>
      <w:marBottom w:val="0"/>
      <w:divBdr>
        <w:top w:val="none" w:sz="0" w:space="0" w:color="auto"/>
        <w:left w:val="none" w:sz="0" w:space="0" w:color="auto"/>
        <w:bottom w:val="none" w:sz="0" w:space="0" w:color="auto"/>
        <w:right w:val="none" w:sz="0" w:space="0" w:color="auto"/>
      </w:divBdr>
    </w:div>
    <w:div w:id="1441218651">
      <w:bodyDiv w:val="1"/>
      <w:marLeft w:val="0"/>
      <w:marRight w:val="0"/>
      <w:marTop w:val="0"/>
      <w:marBottom w:val="0"/>
      <w:divBdr>
        <w:top w:val="none" w:sz="0" w:space="0" w:color="auto"/>
        <w:left w:val="none" w:sz="0" w:space="0" w:color="auto"/>
        <w:bottom w:val="none" w:sz="0" w:space="0" w:color="auto"/>
        <w:right w:val="none" w:sz="0" w:space="0" w:color="auto"/>
      </w:divBdr>
    </w:div>
    <w:div w:id="1441291889">
      <w:bodyDiv w:val="1"/>
      <w:marLeft w:val="0"/>
      <w:marRight w:val="0"/>
      <w:marTop w:val="0"/>
      <w:marBottom w:val="0"/>
      <w:divBdr>
        <w:top w:val="none" w:sz="0" w:space="0" w:color="auto"/>
        <w:left w:val="none" w:sz="0" w:space="0" w:color="auto"/>
        <w:bottom w:val="none" w:sz="0" w:space="0" w:color="auto"/>
        <w:right w:val="none" w:sz="0" w:space="0" w:color="auto"/>
      </w:divBdr>
    </w:div>
    <w:div w:id="1441342237">
      <w:bodyDiv w:val="1"/>
      <w:marLeft w:val="0"/>
      <w:marRight w:val="0"/>
      <w:marTop w:val="0"/>
      <w:marBottom w:val="0"/>
      <w:divBdr>
        <w:top w:val="none" w:sz="0" w:space="0" w:color="auto"/>
        <w:left w:val="none" w:sz="0" w:space="0" w:color="auto"/>
        <w:bottom w:val="none" w:sz="0" w:space="0" w:color="auto"/>
        <w:right w:val="none" w:sz="0" w:space="0" w:color="auto"/>
      </w:divBdr>
    </w:div>
    <w:div w:id="1441415702">
      <w:bodyDiv w:val="1"/>
      <w:marLeft w:val="0"/>
      <w:marRight w:val="0"/>
      <w:marTop w:val="0"/>
      <w:marBottom w:val="0"/>
      <w:divBdr>
        <w:top w:val="none" w:sz="0" w:space="0" w:color="auto"/>
        <w:left w:val="none" w:sz="0" w:space="0" w:color="auto"/>
        <w:bottom w:val="none" w:sz="0" w:space="0" w:color="auto"/>
        <w:right w:val="none" w:sz="0" w:space="0" w:color="auto"/>
      </w:divBdr>
    </w:div>
    <w:div w:id="1441416204">
      <w:bodyDiv w:val="1"/>
      <w:marLeft w:val="0"/>
      <w:marRight w:val="0"/>
      <w:marTop w:val="0"/>
      <w:marBottom w:val="0"/>
      <w:divBdr>
        <w:top w:val="none" w:sz="0" w:space="0" w:color="auto"/>
        <w:left w:val="none" w:sz="0" w:space="0" w:color="auto"/>
        <w:bottom w:val="none" w:sz="0" w:space="0" w:color="auto"/>
        <w:right w:val="none" w:sz="0" w:space="0" w:color="auto"/>
      </w:divBdr>
    </w:div>
    <w:div w:id="1441756852">
      <w:bodyDiv w:val="1"/>
      <w:marLeft w:val="0"/>
      <w:marRight w:val="0"/>
      <w:marTop w:val="0"/>
      <w:marBottom w:val="0"/>
      <w:divBdr>
        <w:top w:val="none" w:sz="0" w:space="0" w:color="auto"/>
        <w:left w:val="none" w:sz="0" w:space="0" w:color="auto"/>
        <w:bottom w:val="none" w:sz="0" w:space="0" w:color="auto"/>
        <w:right w:val="none" w:sz="0" w:space="0" w:color="auto"/>
      </w:divBdr>
    </w:div>
    <w:div w:id="1441874621">
      <w:bodyDiv w:val="1"/>
      <w:marLeft w:val="0"/>
      <w:marRight w:val="0"/>
      <w:marTop w:val="0"/>
      <w:marBottom w:val="0"/>
      <w:divBdr>
        <w:top w:val="none" w:sz="0" w:space="0" w:color="auto"/>
        <w:left w:val="none" w:sz="0" w:space="0" w:color="auto"/>
        <w:bottom w:val="none" w:sz="0" w:space="0" w:color="auto"/>
        <w:right w:val="none" w:sz="0" w:space="0" w:color="auto"/>
      </w:divBdr>
    </w:div>
    <w:div w:id="1441991496">
      <w:bodyDiv w:val="1"/>
      <w:marLeft w:val="0"/>
      <w:marRight w:val="0"/>
      <w:marTop w:val="0"/>
      <w:marBottom w:val="0"/>
      <w:divBdr>
        <w:top w:val="none" w:sz="0" w:space="0" w:color="auto"/>
        <w:left w:val="none" w:sz="0" w:space="0" w:color="auto"/>
        <w:bottom w:val="none" w:sz="0" w:space="0" w:color="auto"/>
        <w:right w:val="none" w:sz="0" w:space="0" w:color="auto"/>
      </w:divBdr>
    </w:div>
    <w:div w:id="1442067120">
      <w:bodyDiv w:val="1"/>
      <w:marLeft w:val="0"/>
      <w:marRight w:val="0"/>
      <w:marTop w:val="0"/>
      <w:marBottom w:val="0"/>
      <w:divBdr>
        <w:top w:val="none" w:sz="0" w:space="0" w:color="auto"/>
        <w:left w:val="none" w:sz="0" w:space="0" w:color="auto"/>
        <w:bottom w:val="none" w:sz="0" w:space="0" w:color="auto"/>
        <w:right w:val="none" w:sz="0" w:space="0" w:color="auto"/>
      </w:divBdr>
    </w:div>
    <w:div w:id="1442148195">
      <w:bodyDiv w:val="1"/>
      <w:marLeft w:val="0"/>
      <w:marRight w:val="0"/>
      <w:marTop w:val="0"/>
      <w:marBottom w:val="0"/>
      <w:divBdr>
        <w:top w:val="none" w:sz="0" w:space="0" w:color="auto"/>
        <w:left w:val="none" w:sz="0" w:space="0" w:color="auto"/>
        <w:bottom w:val="none" w:sz="0" w:space="0" w:color="auto"/>
        <w:right w:val="none" w:sz="0" w:space="0" w:color="auto"/>
      </w:divBdr>
    </w:div>
    <w:div w:id="1442334762">
      <w:bodyDiv w:val="1"/>
      <w:marLeft w:val="0"/>
      <w:marRight w:val="0"/>
      <w:marTop w:val="0"/>
      <w:marBottom w:val="0"/>
      <w:divBdr>
        <w:top w:val="none" w:sz="0" w:space="0" w:color="auto"/>
        <w:left w:val="none" w:sz="0" w:space="0" w:color="auto"/>
        <w:bottom w:val="none" w:sz="0" w:space="0" w:color="auto"/>
        <w:right w:val="none" w:sz="0" w:space="0" w:color="auto"/>
      </w:divBdr>
    </w:div>
    <w:div w:id="1442339539">
      <w:bodyDiv w:val="1"/>
      <w:marLeft w:val="0"/>
      <w:marRight w:val="0"/>
      <w:marTop w:val="0"/>
      <w:marBottom w:val="0"/>
      <w:divBdr>
        <w:top w:val="none" w:sz="0" w:space="0" w:color="auto"/>
        <w:left w:val="none" w:sz="0" w:space="0" w:color="auto"/>
        <w:bottom w:val="none" w:sz="0" w:space="0" w:color="auto"/>
        <w:right w:val="none" w:sz="0" w:space="0" w:color="auto"/>
      </w:divBdr>
    </w:div>
    <w:div w:id="1442340171">
      <w:bodyDiv w:val="1"/>
      <w:marLeft w:val="0"/>
      <w:marRight w:val="0"/>
      <w:marTop w:val="0"/>
      <w:marBottom w:val="0"/>
      <w:divBdr>
        <w:top w:val="none" w:sz="0" w:space="0" w:color="auto"/>
        <w:left w:val="none" w:sz="0" w:space="0" w:color="auto"/>
        <w:bottom w:val="none" w:sz="0" w:space="0" w:color="auto"/>
        <w:right w:val="none" w:sz="0" w:space="0" w:color="auto"/>
      </w:divBdr>
    </w:div>
    <w:div w:id="1442459680">
      <w:bodyDiv w:val="1"/>
      <w:marLeft w:val="0"/>
      <w:marRight w:val="0"/>
      <w:marTop w:val="0"/>
      <w:marBottom w:val="0"/>
      <w:divBdr>
        <w:top w:val="none" w:sz="0" w:space="0" w:color="auto"/>
        <w:left w:val="none" w:sz="0" w:space="0" w:color="auto"/>
        <w:bottom w:val="none" w:sz="0" w:space="0" w:color="auto"/>
        <w:right w:val="none" w:sz="0" w:space="0" w:color="auto"/>
      </w:divBdr>
    </w:div>
    <w:div w:id="1442644553">
      <w:bodyDiv w:val="1"/>
      <w:marLeft w:val="0"/>
      <w:marRight w:val="0"/>
      <w:marTop w:val="0"/>
      <w:marBottom w:val="0"/>
      <w:divBdr>
        <w:top w:val="none" w:sz="0" w:space="0" w:color="auto"/>
        <w:left w:val="none" w:sz="0" w:space="0" w:color="auto"/>
        <w:bottom w:val="none" w:sz="0" w:space="0" w:color="auto"/>
        <w:right w:val="none" w:sz="0" w:space="0" w:color="auto"/>
      </w:divBdr>
    </w:div>
    <w:div w:id="1442726752">
      <w:bodyDiv w:val="1"/>
      <w:marLeft w:val="0"/>
      <w:marRight w:val="0"/>
      <w:marTop w:val="0"/>
      <w:marBottom w:val="0"/>
      <w:divBdr>
        <w:top w:val="none" w:sz="0" w:space="0" w:color="auto"/>
        <w:left w:val="none" w:sz="0" w:space="0" w:color="auto"/>
        <w:bottom w:val="none" w:sz="0" w:space="0" w:color="auto"/>
        <w:right w:val="none" w:sz="0" w:space="0" w:color="auto"/>
      </w:divBdr>
    </w:div>
    <w:div w:id="1442798548">
      <w:bodyDiv w:val="1"/>
      <w:marLeft w:val="0"/>
      <w:marRight w:val="0"/>
      <w:marTop w:val="0"/>
      <w:marBottom w:val="0"/>
      <w:divBdr>
        <w:top w:val="none" w:sz="0" w:space="0" w:color="auto"/>
        <w:left w:val="none" w:sz="0" w:space="0" w:color="auto"/>
        <w:bottom w:val="none" w:sz="0" w:space="0" w:color="auto"/>
        <w:right w:val="none" w:sz="0" w:space="0" w:color="auto"/>
      </w:divBdr>
    </w:div>
    <w:div w:id="1442996948">
      <w:bodyDiv w:val="1"/>
      <w:marLeft w:val="0"/>
      <w:marRight w:val="0"/>
      <w:marTop w:val="0"/>
      <w:marBottom w:val="0"/>
      <w:divBdr>
        <w:top w:val="none" w:sz="0" w:space="0" w:color="auto"/>
        <w:left w:val="none" w:sz="0" w:space="0" w:color="auto"/>
        <w:bottom w:val="none" w:sz="0" w:space="0" w:color="auto"/>
        <w:right w:val="none" w:sz="0" w:space="0" w:color="auto"/>
      </w:divBdr>
    </w:div>
    <w:div w:id="1443037850">
      <w:bodyDiv w:val="1"/>
      <w:marLeft w:val="0"/>
      <w:marRight w:val="0"/>
      <w:marTop w:val="0"/>
      <w:marBottom w:val="0"/>
      <w:divBdr>
        <w:top w:val="none" w:sz="0" w:space="0" w:color="auto"/>
        <w:left w:val="none" w:sz="0" w:space="0" w:color="auto"/>
        <w:bottom w:val="none" w:sz="0" w:space="0" w:color="auto"/>
        <w:right w:val="none" w:sz="0" w:space="0" w:color="auto"/>
      </w:divBdr>
    </w:div>
    <w:div w:id="1443069712">
      <w:bodyDiv w:val="1"/>
      <w:marLeft w:val="0"/>
      <w:marRight w:val="0"/>
      <w:marTop w:val="0"/>
      <w:marBottom w:val="0"/>
      <w:divBdr>
        <w:top w:val="none" w:sz="0" w:space="0" w:color="auto"/>
        <w:left w:val="none" w:sz="0" w:space="0" w:color="auto"/>
        <w:bottom w:val="none" w:sz="0" w:space="0" w:color="auto"/>
        <w:right w:val="none" w:sz="0" w:space="0" w:color="auto"/>
      </w:divBdr>
    </w:div>
    <w:div w:id="1443261135">
      <w:bodyDiv w:val="1"/>
      <w:marLeft w:val="0"/>
      <w:marRight w:val="0"/>
      <w:marTop w:val="0"/>
      <w:marBottom w:val="0"/>
      <w:divBdr>
        <w:top w:val="none" w:sz="0" w:space="0" w:color="auto"/>
        <w:left w:val="none" w:sz="0" w:space="0" w:color="auto"/>
        <w:bottom w:val="none" w:sz="0" w:space="0" w:color="auto"/>
        <w:right w:val="none" w:sz="0" w:space="0" w:color="auto"/>
      </w:divBdr>
    </w:div>
    <w:div w:id="1443526639">
      <w:bodyDiv w:val="1"/>
      <w:marLeft w:val="0"/>
      <w:marRight w:val="0"/>
      <w:marTop w:val="0"/>
      <w:marBottom w:val="0"/>
      <w:divBdr>
        <w:top w:val="none" w:sz="0" w:space="0" w:color="auto"/>
        <w:left w:val="none" w:sz="0" w:space="0" w:color="auto"/>
        <w:bottom w:val="none" w:sz="0" w:space="0" w:color="auto"/>
        <w:right w:val="none" w:sz="0" w:space="0" w:color="auto"/>
      </w:divBdr>
    </w:div>
    <w:div w:id="1443568182">
      <w:bodyDiv w:val="1"/>
      <w:marLeft w:val="0"/>
      <w:marRight w:val="0"/>
      <w:marTop w:val="0"/>
      <w:marBottom w:val="0"/>
      <w:divBdr>
        <w:top w:val="none" w:sz="0" w:space="0" w:color="auto"/>
        <w:left w:val="none" w:sz="0" w:space="0" w:color="auto"/>
        <w:bottom w:val="none" w:sz="0" w:space="0" w:color="auto"/>
        <w:right w:val="none" w:sz="0" w:space="0" w:color="auto"/>
      </w:divBdr>
    </w:div>
    <w:div w:id="1443572329">
      <w:bodyDiv w:val="1"/>
      <w:marLeft w:val="0"/>
      <w:marRight w:val="0"/>
      <w:marTop w:val="0"/>
      <w:marBottom w:val="0"/>
      <w:divBdr>
        <w:top w:val="none" w:sz="0" w:space="0" w:color="auto"/>
        <w:left w:val="none" w:sz="0" w:space="0" w:color="auto"/>
        <w:bottom w:val="none" w:sz="0" w:space="0" w:color="auto"/>
        <w:right w:val="none" w:sz="0" w:space="0" w:color="auto"/>
      </w:divBdr>
    </w:div>
    <w:div w:id="1443574059">
      <w:bodyDiv w:val="1"/>
      <w:marLeft w:val="0"/>
      <w:marRight w:val="0"/>
      <w:marTop w:val="0"/>
      <w:marBottom w:val="0"/>
      <w:divBdr>
        <w:top w:val="none" w:sz="0" w:space="0" w:color="auto"/>
        <w:left w:val="none" w:sz="0" w:space="0" w:color="auto"/>
        <w:bottom w:val="none" w:sz="0" w:space="0" w:color="auto"/>
        <w:right w:val="none" w:sz="0" w:space="0" w:color="auto"/>
      </w:divBdr>
    </w:div>
    <w:div w:id="1443646265">
      <w:bodyDiv w:val="1"/>
      <w:marLeft w:val="0"/>
      <w:marRight w:val="0"/>
      <w:marTop w:val="0"/>
      <w:marBottom w:val="0"/>
      <w:divBdr>
        <w:top w:val="none" w:sz="0" w:space="0" w:color="auto"/>
        <w:left w:val="none" w:sz="0" w:space="0" w:color="auto"/>
        <w:bottom w:val="none" w:sz="0" w:space="0" w:color="auto"/>
        <w:right w:val="none" w:sz="0" w:space="0" w:color="auto"/>
      </w:divBdr>
    </w:div>
    <w:div w:id="1443650030">
      <w:bodyDiv w:val="1"/>
      <w:marLeft w:val="0"/>
      <w:marRight w:val="0"/>
      <w:marTop w:val="0"/>
      <w:marBottom w:val="0"/>
      <w:divBdr>
        <w:top w:val="none" w:sz="0" w:space="0" w:color="auto"/>
        <w:left w:val="none" w:sz="0" w:space="0" w:color="auto"/>
        <w:bottom w:val="none" w:sz="0" w:space="0" w:color="auto"/>
        <w:right w:val="none" w:sz="0" w:space="0" w:color="auto"/>
      </w:divBdr>
    </w:div>
    <w:div w:id="1443695204">
      <w:bodyDiv w:val="1"/>
      <w:marLeft w:val="0"/>
      <w:marRight w:val="0"/>
      <w:marTop w:val="0"/>
      <w:marBottom w:val="0"/>
      <w:divBdr>
        <w:top w:val="none" w:sz="0" w:space="0" w:color="auto"/>
        <w:left w:val="none" w:sz="0" w:space="0" w:color="auto"/>
        <w:bottom w:val="none" w:sz="0" w:space="0" w:color="auto"/>
        <w:right w:val="none" w:sz="0" w:space="0" w:color="auto"/>
      </w:divBdr>
    </w:div>
    <w:div w:id="1443719858">
      <w:bodyDiv w:val="1"/>
      <w:marLeft w:val="0"/>
      <w:marRight w:val="0"/>
      <w:marTop w:val="0"/>
      <w:marBottom w:val="0"/>
      <w:divBdr>
        <w:top w:val="none" w:sz="0" w:space="0" w:color="auto"/>
        <w:left w:val="none" w:sz="0" w:space="0" w:color="auto"/>
        <w:bottom w:val="none" w:sz="0" w:space="0" w:color="auto"/>
        <w:right w:val="none" w:sz="0" w:space="0" w:color="auto"/>
      </w:divBdr>
    </w:div>
    <w:div w:id="1443837224">
      <w:bodyDiv w:val="1"/>
      <w:marLeft w:val="0"/>
      <w:marRight w:val="0"/>
      <w:marTop w:val="0"/>
      <w:marBottom w:val="0"/>
      <w:divBdr>
        <w:top w:val="none" w:sz="0" w:space="0" w:color="auto"/>
        <w:left w:val="none" w:sz="0" w:space="0" w:color="auto"/>
        <w:bottom w:val="none" w:sz="0" w:space="0" w:color="auto"/>
        <w:right w:val="none" w:sz="0" w:space="0" w:color="auto"/>
      </w:divBdr>
    </w:div>
    <w:div w:id="1443844256">
      <w:bodyDiv w:val="1"/>
      <w:marLeft w:val="0"/>
      <w:marRight w:val="0"/>
      <w:marTop w:val="0"/>
      <w:marBottom w:val="0"/>
      <w:divBdr>
        <w:top w:val="none" w:sz="0" w:space="0" w:color="auto"/>
        <w:left w:val="none" w:sz="0" w:space="0" w:color="auto"/>
        <w:bottom w:val="none" w:sz="0" w:space="0" w:color="auto"/>
        <w:right w:val="none" w:sz="0" w:space="0" w:color="auto"/>
      </w:divBdr>
    </w:div>
    <w:div w:id="1443845033">
      <w:bodyDiv w:val="1"/>
      <w:marLeft w:val="0"/>
      <w:marRight w:val="0"/>
      <w:marTop w:val="0"/>
      <w:marBottom w:val="0"/>
      <w:divBdr>
        <w:top w:val="none" w:sz="0" w:space="0" w:color="auto"/>
        <w:left w:val="none" w:sz="0" w:space="0" w:color="auto"/>
        <w:bottom w:val="none" w:sz="0" w:space="0" w:color="auto"/>
        <w:right w:val="none" w:sz="0" w:space="0" w:color="auto"/>
      </w:divBdr>
    </w:div>
    <w:div w:id="1443915685">
      <w:bodyDiv w:val="1"/>
      <w:marLeft w:val="0"/>
      <w:marRight w:val="0"/>
      <w:marTop w:val="0"/>
      <w:marBottom w:val="0"/>
      <w:divBdr>
        <w:top w:val="none" w:sz="0" w:space="0" w:color="auto"/>
        <w:left w:val="none" w:sz="0" w:space="0" w:color="auto"/>
        <w:bottom w:val="none" w:sz="0" w:space="0" w:color="auto"/>
        <w:right w:val="none" w:sz="0" w:space="0" w:color="auto"/>
      </w:divBdr>
    </w:div>
    <w:div w:id="1443919865">
      <w:bodyDiv w:val="1"/>
      <w:marLeft w:val="0"/>
      <w:marRight w:val="0"/>
      <w:marTop w:val="0"/>
      <w:marBottom w:val="0"/>
      <w:divBdr>
        <w:top w:val="none" w:sz="0" w:space="0" w:color="auto"/>
        <w:left w:val="none" w:sz="0" w:space="0" w:color="auto"/>
        <w:bottom w:val="none" w:sz="0" w:space="0" w:color="auto"/>
        <w:right w:val="none" w:sz="0" w:space="0" w:color="auto"/>
      </w:divBdr>
    </w:div>
    <w:div w:id="1444034616">
      <w:bodyDiv w:val="1"/>
      <w:marLeft w:val="0"/>
      <w:marRight w:val="0"/>
      <w:marTop w:val="0"/>
      <w:marBottom w:val="0"/>
      <w:divBdr>
        <w:top w:val="none" w:sz="0" w:space="0" w:color="auto"/>
        <w:left w:val="none" w:sz="0" w:space="0" w:color="auto"/>
        <w:bottom w:val="none" w:sz="0" w:space="0" w:color="auto"/>
        <w:right w:val="none" w:sz="0" w:space="0" w:color="auto"/>
      </w:divBdr>
    </w:div>
    <w:div w:id="1444152948">
      <w:bodyDiv w:val="1"/>
      <w:marLeft w:val="0"/>
      <w:marRight w:val="0"/>
      <w:marTop w:val="0"/>
      <w:marBottom w:val="0"/>
      <w:divBdr>
        <w:top w:val="none" w:sz="0" w:space="0" w:color="auto"/>
        <w:left w:val="none" w:sz="0" w:space="0" w:color="auto"/>
        <w:bottom w:val="none" w:sz="0" w:space="0" w:color="auto"/>
        <w:right w:val="none" w:sz="0" w:space="0" w:color="auto"/>
      </w:divBdr>
    </w:div>
    <w:div w:id="1444494565">
      <w:bodyDiv w:val="1"/>
      <w:marLeft w:val="0"/>
      <w:marRight w:val="0"/>
      <w:marTop w:val="0"/>
      <w:marBottom w:val="0"/>
      <w:divBdr>
        <w:top w:val="none" w:sz="0" w:space="0" w:color="auto"/>
        <w:left w:val="none" w:sz="0" w:space="0" w:color="auto"/>
        <w:bottom w:val="none" w:sz="0" w:space="0" w:color="auto"/>
        <w:right w:val="none" w:sz="0" w:space="0" w:color="auto"/>
      </w:divBdr>
    </w:div>
    <w:div w:id="1444501436">
      <w:bodyDiv w:val="1"/>
      <w:marLeft w:val="0"/>
      <w:marRight w:val="0"/>
      <w:marTop w:val="0"/>
      <w:marBottom w:val="0"/>
      <w:divBdr>
        <w:top w:val="none" w:sz="0" w:space="0" w:color="auto"/>
        <w:left w:val="none" w:sz="0" w:space="0" w:color="auto"/>
        <w:bottom w:val="none" w:sz="0" w:space="0" w:color="auto"/>
        <w:right w:val="none" w:sz="0" w:space="0" w:color="auto"/>
      </w:divBdr>
    </w:div>
    <w:div w:id="1444574403">
      <w:bodyDiv w:val="1"/>
      <w:marLeft w:val="0"/>
      <w:marRight w:val="0"/>
      <w:marTop w:val="0"/>
      <w:marBottom w:val="0"/>
      <w:divBdr>
        <w:top w:val="none" w:sz="0" w:space="0" w:color="auto"/>
        <w:left w:val="none" w:sz="0" w:space="0" w:color="auto"/>
        <w:bottom w:val="none" w:sz="0" w:space="0" w:color="auto"/>
        <w:right w:val="none" w:sz="0" w:space="0" w:color="auto"/>
      </w:divBdr>
    </w:div>
    <w:div w:id="1444617346">
      <w:bodyDiv w:val="1"/>
      <w:marLeft w:val="0"/>
      <w:marRight w:val="0"/>
      <w:marTop w:val="0"/>
      <w:marBottom w:val="0"/>
      <w:divBdr>
        <w:top w:val="none" w:sz="0" w:space="0" w:color="auto"/>
        <w:left w:val="none" w:sz="0" w:space="0" w:color="auto"/>
        <w:bottom w:val="none" w:sz="0" w:space="0" w:color="auto"/>
        <w:right w:val="none" w:sz="0" w:space="0" w:color="auto"/>
      </w:divBdr>
    </w:div>
    <w:div w:id="1444691004">
      <w:bodyDiv w:val="1"/>
      <w:marLeft w:val="0"/>
      <w:marRight w:val="0"/>
      <w:marTop w:val="0"/>
      <w:marBottom w:val="0"/>
      <w:divBdr>
        <w:top w:val="none" w:sz="0" w:space="0" w:color="auto"/>
        <w:left w:val="none" w:sz="0" w:space="0" w:color="auto"/>
        <w:bottom w:val="none" w:sz="0" w:space="0" w:color="auto"/>
        <w:right w:val="none" w:sz="0" w:space="0" w:color="auto"/>
      </w:divBdr>
    </w:div>
    <w:div w:id="1444765798">
      <w:bodyDiv w:val="1"/>
      <w:marLeft w:val="0"/>
      <w:marRight w:val="0"/>
      <w:marTop w:val="0"/>
      <w:marBottom w:val="0"/>
      <w:divBdr>
        <w:top w:val="none" w:sz="0" w:space="0" w:color="auto"/>
        <w:left w:val="none" w:sz="0" w:space="0" w:color="auto"/>
        <w:bottom w:val="none" w:sz="0" w:space="0" w:color="auto"/>
        <w:right w:val="none" w:sz="0" w:space="0" w:color="auto"/>
      </w:divBdr>
    </w:div>
    <w:div w:id="1444836622">
      <w:bodyDiv w:val="1"/>
      <w:marLeft w:val="0"/>
      <w:marRight w:val="0"/>
      <w:marTop w:val="0"/>
      <w:marBottom w:val="0"/>
      <w:divBdr>
        <w:top w:val="none" w:sz="0" w:space="0" w:color="auto"/>
        <w:left w:val="none" w:sz="0" w:space="0" w:color="auto"/>
        <w:bottom w:val="none" w:sz="0" w:space="0" w:color="auto"/>
        <w:right w:val="none" w:sz="0" w:space="0" w:color="auto"/>
      </w:divBdr>
    </w:div>
    <w:div w:id="1445005291">
      <w:bodyDiv w:val="1"/>
      <w:marLeft w:val="0"/>
      <w:marRight w:val="0"/>
      <w:marTop w:val="0"/>
      <w:marBottom w:val="0"/>
      <w:divBdr>
        <w:top w:val="none" w:sz="0" w:space="0" w:color="auto"/>
        <w:left w:val="none" w:sz="0" w:space="0" w:color="auto"/>
        <w:bottom w:val="none" w:sz="0" w:space="0" w:color="auto"/>
        <w:right w:val="none" w:sz="0" w:space="0" w:color="auto"/>
      </w:divBdr>
    </w:div>
    <w:div w:id="1445033072">
      <w:bodyDiv w:val="1"/>
      <w:marLeft w:val="0"/>
      <w:marRight w:val="0"/>
      <w:marTop w:val="0"/>
      <w:marBottom w:val="0"/>
      <w:divBdr>
        <w:top w:val="none" w:sz="0" w:space="0" w:color="auto"/>
        <w:left w:val="none" w:sz="0" w:space="0" w:color="auto"/>
        <w:bottom w:val="none" w:sz="0" w:space="0" w:color="auto"/>
        <w:right w:val="none" w:sz="0" w:space="0" w:color="auto"/>
      </w:divBdr>
    </w:div>
    <w:div w:id="1445155440">
      <w:bodyDiv w:val="1"/>
      <w:marLeft w:val="0"/>
      <w:marRight w:val="0"/>
      <w:marTop w:val="0"/>
      <w:marBottom w:val="0"/>
      <w:divBdr>
        <w:top w:val="none" w:sz="0" w:space="0" w:color="auto"/>
        <w:left w:val="none" w:sz="0" w:space="0" w:color="auto"/>
        <w:bottom w:val="none" w:sz="0" w:space="0" w:color="auto"/>
        <w:right w:val="none" w:sz="0" w:space="0" w:color="auto"/>
      </w:divBdr>
    </w:div>
    <w:div w:id="1445231582">
      <w:bodyDiv w:val="1"/>
      <w:marLeft w:val="0"/>
      <w:marRight w:val="0"/>
      <w:marTop w:val="0"/>
      <w:marBottom w:val="0"/>
      <w:divBdr>
        <w:top w:val="none" w:sz="0" w:space="0" w:color="auto"/>
        <w:left w:val="none" w:sz="0" w:space="0" w:color="auto"/>
        <w:bottom w:val="none" w:sz="0" w:space="0" w:color="auto"/>
        <w:right w:val="none" w:sz="0" w:space="0" w:color="auto"/>
      </w:divBdr>
    </w:div>
    <w:div w:id="1445348216">
      <w:bodyDiv w:val="1"/>
      <w:marLeft w:val="0"/>
      <w:marRight w:val="0"/>
      <w:marTop w:val="0"/>
      <w:marBottom w:val="0"/>
      <w:divBdr>
        <w:top w:val="none" w:sz="0" w:space="0" w:color="auto"/>
        <w:left w:val="none" w:sz="0" w:space="0" w:color="auto"/>
        <w:bottom w:val="none" w:sz="0" w:space="0" w:color="auto"/>
        <w:right w:val="none" w:sz="0" w:space="0" w:color="auto"/>
      </w:divBdr>
    </w:div>
    <w:div w:id="1445421054">
      <w:bodyDiv w:val="1"/>
      <w:marLeft w:val="0"/>
      <w:marRight w:val="0"/>
      <w:marTop w:val="0"/>
      <w:marBottom w:val="0"/>
      <w:divBdr>
        <w:top w:val="none" w:sz="0" w:space="0" w:color="auto"/>
        <w:left w:val="none" w:sz="0" w:space="0" w:color="auto"/>
        <w:bottom w:val="none" w:sz="0" w:space="0" w:color="auto"/>
        <w:right w:val="none" w:sz="0" w:space="0" w:color="auto"/>
      </w:divBdr>
    </w:div>
    <w:div w:id="1445422792">
      <w:bodyDiv w:val="1"/>
      <w:marLeft w:val="0"/>
      <w:marRight w:val="0"/>
      <w:marTop w:val="0"/>
      <w:marBottom w:val="0"/>
      <w:divBdr>
        <w:top w:val="none" w:sz="0" w:space="0" w:color="auto"/>
        <w:left w:val="none" w:sz="0" w:space="0" w:color="auto"/>
        <w:bottom w:val="none" w:sz="0" w:space="0" w:color="auto"/>
        <w:right w:val="none" w:sz="0" w:space="0" w:color="auto"/>
      </w:divBdr>
    </w:div>
    <w:div w:id="1445610627">
      <w:bodyDiv w:val="1"/>
      <w:marLeft w:val="0"/>
      <w:marRight w:val="0"/>
      <w:marTop w:val="0"/>
      <w:marBottom w:val="0"/>
      <w:divBdr>
        <w:top w:val="none" w:sz="0" w:space="0" w:color="auto"/>
        <w:left w:val="none" w:sz="0" w:space="0" w:color="auto"/>
        <w:bottom w:val="none" w:sz="0" w:space="0" w:color="auto"/>
        <w:right w:val="none" w:sz="0" w:space="0" w:color="auto"/>
      </w:divBdr>
    </w:div>
    <w:div w:id="1445686056">
      <w:bodyDiv w:val="1"/>
      <w:marLeft w:val="0"/>
      <w:marRight w:val="0"/>
      <w:marTop w:val="0"/>
      <w:marBottom w:val="0"/>
      <w:divBdr>
        <w:top w:val="none" w:sz="0" w:space="0" w:color="auto"/>
        <w:left w:val="none" w:sz="0" w:space="0" w:color="auto"/>
        <w:bottom w:val="none" w:sz="0" w:space="0" w:color="auto"/>
        <w:right w:val="none" w:sz="0" w:space="0" w:color="auto"/>
      </w:divBdr>
    </w:div>
    <w:div w:id="1445804606">
      <w:bodyDiv w:val="1"/>
      <w:marLeft w:val="0"/>
      <w:marRight w:val="0"/>
      <w:marTop w:val="0"/>
      <w:marBottom w:val="0"/>
      <w:divBdr>
        <w:top w:val="none" w:sz="0" w:space="0" w:color="auto"/>
        <w:left w:val="none" w:sz="0" w:space="0" w:color="auto"/>
        <w:bottom w:val="none" w:sz="0" w:space="0" w:color="auto"/>
        <w:right w:val="none" w:sz="0" w:space="0" w:color="auto"/>
      </w:divBdr>
    </w:div>
    <w:div w:id="1445807065">
      <w:bodyDiv w:val="1"/>
      <w:marLeft w:val="0"/>
      <w:marRight w:val="0"/>
      <w:marTop w:val="0"/>
      <w:marBottom w:val="0"/>
      <w:divBdr>
        <w:top w:val="none" w:sz="0" w:space="0" w:color="auto"/>
        <w:left w:val="none" w:sz="0" w:space="0" w:color="auto"/>
        <w:bottom w:val="none" w:sz="0" w:space="0" w:color="auto"/>
        <w:right w:val="none" w:sz="0" w:space="0" w:color="auto"/>
      </w:divBdr>
    </w:div>
    <w:div w:id="1445809239">
      <w:bodyDiv w:val="1"/>
      <w:marLeft w:val="0"/>
      <w:marRight w:val="0"/>
      <w:marTop w:val="0"/>
      <w:marBottom w:val="0"/>
      <w:divBdr>
        <w:top w:val="none" w:sz="0" w:space="0" w:color="auto"/>
        <w:left w:val="none" w:sz="0" w:space="0" w:color="auto"/>
        <w:bottom w:val="none" w:sz="0" w:space="0" w:color="auto"/>
        <w:right w:val="none" w:sz="0" w:space="0" w:color="auto"/>
      </w:divBdr>
    </w:div>
    <w:div w:id="1445925250">
      <w:bodyDiv w:val="1"/>
      <w:marLeft w:val="0"/>
      <w:marRight w:val="0"/>
      <w:marTop w:val="0"/>
      <w:marBottom w:val="0"/>
      <w:divBdr>
        <w:top w:val="none" w:sz="0" w:space="0" w:color="auto"/>
        <w:left w:val="none" w:sz="0" w:space="0" w:color="auto"/>
        <w:bottom w:val="none" w:sz="0" w:space="0" w:color="auto"/>
        <w:right w:val="none" w:sz="0" w:space="0" w:color="auto"/>
      </w:divBdr>
    </w:div>
    <w:div w:id="1445996103">
      <w:bodyDiv w:val="1"/>
      <w:marLeft w:val="0"/>
      <w:marRight w:val="0"/>
      <w:marTop w:val="0"/>
      <w:marBottom w:val="0"/>
      <w:divBdr>
        <w:top w:val="none" w:sz="0" w:space="0" w:color="auto"/>
        <w:left w:val="none" w:sz="0" w:space="0" w:color="auto"/>
        <w:bottom w:val="none" w:sz="0" w:space="0" w:color="auto"/>
        <w:right w:val="none" w:sz="0" w:space="0" w:color="auto"/>
      </w:divBdr>
    </w:div>
    <w:div w:id="1445999314">
      <w:bodyDiv w:val="1"/>
      <w:marLeft w:val="0"/>
      <w:marRight w:val="0"/>
      <w:marTop w:val="0"/>
      <w:marBottom w:val="0"/>
      <w:divBdr>
        <w:top w:val="none" w:sz="0" w:space="0" w:color="auto"/>
        <w:left w:val="none" w:sz="0" w:space="0" w:color="auto"/>
        <w:bottom w:val="none" w:sz="0" w:space="0" w:color="auto"/>
        <w:right w:val="none" w:sz="0" w:space="0" w:color="auto"/>
      </w:divBdr>
    </w:div>
    <w:div w:id="1446076464">
      <w:bodyDiv w:val="1"/>
      <w:marLeft w:val="0"/>
      <w:marRight w:val="0"/>
      <w:marTop w:val="0"/>
      <w:marBottom w:val="0"/>
      <w:divBdr>
        <w:top w:val="none" w:sz="0" w:space="0" w:color="auto"/>
        <w:left w:val="none" w:sz="0" w:space="0" w:color="auto"/>
        <w:bottom w:val="none" w:sz="0" w:space="0" w:color="auto"/>
        <w:right w:val="none" w:sz="0" w:space="0" w:color="auto"/>
      </w:divBdr>
    </w:div>
    <w:div w:id="1446146844">
      <w:bodyDiv w:val="1"/>
      <w:marLeft w:val="0"/>
      <w:marRight w:val="0"/>
      <w:marTop w:val="0"/>
      <w:marBottom w:val="0"/>
      <w:divBdr>
        <w:top w:val="none" w:sz="0" w:space="0" w:color="auto"/>
        <w:left w:val="none" w:sz="0" w:space="0" w:color="auto"/>
        <w:bottom w:val="none" w:sz="0" w:space="0" w:color="auto"/>
        <w:right w:val="none" w:sz="0" w:space="0" w:color="auto"/>
      </w:divBdr>
    </w:div>
    <w:div w:id="1446266869">
      <w:bodyDiv w:val="1"/>
      <w:marLeft w:val="0"/>
      <w:marRight w:val="0"/>
      <w:marTop w:val="0"/>
      <w:marBottom w:val="0"/>
      <w:divBdr>
        <w:top w:val="none" w:sz="0" w:space="0" w:color="auto"/>
        <w:left w:val="none" w:sz="0" w:space="0" w:color="auto"/>
        <w:bottom w:val="none" w:sz="0" w:space="0" w:color="auto"/>
        <w:right w:val="none" w:sz="0" w:space="0" w:color="auto"/>
      </w:divBdr>
    </w:div>
    <w:div w:id="1446271107">
      <w:bodyDiv w:val="1"/>
      <w:marLeft w:val="0"/>
      <w:marRight w:val="0"/>
      <w:marTop w:val="0"/>
      <w:marBottom w:val="0"/>
      <w:divBdr>
        <w:top w:val="none" w:sz="0" w:space="0" w:color="auto"/>
        <w:left w:val="none" w:sz="0" w:space="0" w:color="auto"/>
        <w:bottom w:val="none" w:sz="0" w:space="0" w:color="auto"/>
        <w:right w:val="none" w:sz="0" w:space="0" w:color="auto"/>
      </w:divBdr>
    </w:div>
    <w:div w:id="1446314143">
      <w:bodyDiv w:val="1"/>
      <w:marLeft w:val="0"/>
      <w:marRight w:val="0"/>
      <w:marTop w:val="0"/>
      <w:marBottom w:val="0"/>
      <w:divBdr>
        <w:top w:val="none" w:sz="0" w:space="0" w:color="auto"/>
        <w:left w:val="none" w:sz="0" w:space="0" w:color="auto"/>
        <w:bottom w:val="none" w:sz="0" w:space="0" w:color="auto"/>
        <w:right w:val="none" w:sz="0" w:space="0" w:color="auto"/>
      </w:divBdr>
    </w:div>
    <w:div w:id="1446654723">
      <w:bodyDiv w:val="1"/>
      <w:marLeft w:val="0"/>
      <w:marRight w:val="0"/>
      <w:marTop w:val="0"/>
      <w:marBottom w:val="0"/>
      <w:divBdr>
        <w:top w:val="none" w:sz="0" w:space="0" w:color="auto"/>
        <w:left w:val="none" w:sz="0" w:space="0" w:color="auto"/>
        <w:bottom w:val="none" w:sz="0" w:space="0" w:color="auto"/>
        <w:right w:val="none" w:sz="0" w:space="0" w:color="auto"/>
      </w:divBdr>
    </w:div>
    <w:div w:id="1446727496">
      <w:bodyDiv w:val="1"/>
      <w:marLeft w:val="0"/>
      <w:marRight w:val="0"/>
      <w:marTop w:val="0"/>
      <w:marBottom w:val="0"/>
      <w:divBdr>
        <w:top w:val="none" w:sz="0" w:space="0" w:color="auto"/>
        <w:left w:val="none" w:sz="0" w:space="0" w:color="auto"/>
        <w:bottom w:val="none" w:sz="0" w:space="0" w:color="auto"/>
        <w:right w:val="none" w:sz="0" w:space="0" w:color="auto"/>
      </w:divBdr>
    </w:div>
    <w:div w:id="1446922907">
      <w:bodyDiv w:val="1"/>
      <w:marLeft w:val="0"/>
      <w:marRight w:val="0"/>
      <w:marTop w:val="0"/>
      <w:marBottom w:val="0"/>
      <w:divBdr>
        <w:top w:val="none" w:sz="0" w:space="0" w:color="auto"/>
        <w:left w:val="none" w:sz="0" w:space="0" w:color="auto"/>
        <w:bottom w:val="none" w:sz="0" w:space="0" w:color="auto"/>
        <w:right w:val="none" w:sz="0" w:space="0" w:color="auto"/>
      </w:divBdr>
    </w:div>
    <w:div w:id="1447037573">
      <w:bodyDiv w:val="1"/>
      <w:marLeft w:val="0"/>
      <w:marRight w:val="0"/>
      <w:marTop w:val="0"/>
      <w:marBottom w:val="0"/>
      <w:divBdr>
        <w:top w:val="none" w:sz="0" w:space="0" w:color="auto"/>
        <w:left w:val="none" w:sz="0" w:space="0" w:color="auto"/>
        <w:bottom w:val="none" w:sz="0" w:space="0" w:color="auto"/>
        <w:right w:val="none" w:sz="0" w:space="0" w:color="auto"/>
      </w:divBdr>
    </w:div>
    <w:div w:id="1447038933">
      <w:bodyDiv w:val="1"/>
      <w:marLeft w:val="0"/>
      <w:marRight w:val="0"/>
      <w:marTop w:val="0"/>
      <w:marBottom w:val="0"/>
      <w:divBdr>
        <w:top w:val="none" w:sz="0" w:space="0" w:color="auto"/>
        <w:left w:val="none" w:sz="0" w:space="0" w:color="auto"/>
        <w:bottom w:val="none" w:sz="0" w:space="0" w:color="auto"/>
        <w:right w:val="none" w:sz="0" w:space="0" w:color="auto"/>
      </w:divBdr>
    </w:div>
    <w:div w:id="1447235857">
      <w:bodyDiv w:val="1"/>
      <w:marLeft w:val="0"/>
      <w:marRight w:val="0"/>
      <w:marTop w:val="0"/>
      <w:marBottom w:val="0"/>
      <w:divBdr>
        <w:top w:val="none" w:sz="0" w:space="0" w:color="auto"/>
        <w:left w:val="none" w:sz="0" w:space="0" w:color="auto"/>
        <w:bottom w:val="none" w:sz="0" w:space="0" w:color="auto"/>
        <w:right w:val="none" w:sz="0" w:space="0" w:color="auto"/>
      </w:divBdr>
    </w:div>
    <w:div w:id="1447238940">
      <w:bodyDiv w:val="1"/>
      <w:marLeft w:val="0"/>
      <w:marRight w:val="0"/>
      <w:marTop w:val="0"/>
      <w:marBottom w:val="0"/>
      <w:divBdr>
        <w:top w:val="none" w:sz="0" w:space="0" w:color="auto"/>
        <w:left w:val="none" w:sz="0" w:space="0" w:color="auto"/>
        <w:bottom w:val="none" w:sz="0" w:space="0" w:color="auto"/>
        <w:right w:val="none" w:sz="0" w:space="0" w:color="auto"/>
      </w:divBdr>
    </w:div>
    <w:div w:id="1447308475">
      <w:bodyDiv w:val="1"/>
      <w:marLeft w:val="0"/>
      <w:marRight w:val="0"/>
      <w:marTop w:val="0"/>
      <w:marBottom w:val="0"/>
      <w:divBdr>
        <w:top w:val="none" w:sz="0" w:space="0" w:color="auto"/>
        <w:left w:val="none" w:sz="0" w:space="0" w:color="auto"/>
        <w:bottom w:val="none" w:sz="0" w:space="0" w:color="auto"/>
        <w:right w:val="none" w:sz="0" w:space="0" w:color="auto"/>
      </w:divBdr>
    </w:div>
    <w:div w:id="1447312365">
      <w:bodyDiv w:val="1"/>
      <w:marLeft w:val="0"/>
      <w:marRight w:val="0"/>
      <w:marTop w:val="0"/>
      <w:marBottom w:val="0"/>
      <w:divBdr>
        <w:top w:val="none" w:sz="0" w:space="0" w:color="auto"/>
        <w:left w:val="none" w:sz="0" w:space="0" w:color="auto"/>
        <w:bottom w:val="none" w:sz="0" w:space="0" w:color="auto"/>
        <w:right w:val="none" w:sz="0" w:space="0" w:color="auto"/>
      </w:divBdr>
    </w:div>
    <w:div w:id="1447315550">
      <w:bodyDiv w:val="1"/>
      <w:marLeft w:val="0"/>
      <w:marRight w:val="0"/>
      <w:marTop w:val="0"/>
      <w:marBottom w:val="0"/>
      <w:divBdr>
        <w:top w:val="none" w:sz="0" w:space="0" w:color="auto"/>
        <w:left w:val="none" w:sz="0" w:space="0" w:color="auto"/>
        <w:bottom w:val="none" w:sz="0" w:space="0" w:color="auto"/>
        <w:right w:val="none" w:sz="0" w:space="0" w:color="auto"/>
      </w:divBdr>
    </w:div>
    <w:div w:id="1447390422">
      <w:bodyDiv w:val="1"/>
      <w:marLeft w:val="0"/>
      <w:marRight w:val="0"/>
      <w:marTop w:val="0"/>
      <w:marBottom w:val="0"/>
      <w:divBdr>
        <w:top w:val="none" w:sz="0" w:space="0" w:color="auto"/>
        <w:left w:val="none" w:sz="0" w:space="0" w:color="auto"/>
        <w:bottom w:val="none" w:sz="0" w:space="0" w:color="auto"/>
        <w:right w:val="none" w:sz="0" w:space="0" w:color="auto"/>
      </w:divBdr>
    </w:div>
    <w:div w:id="1447460226">
      <w:bodyDiv w:val="1"/>
      <w:marLeft w:val="0"/>
      <w:marRight w:val="0"/>
      <w:marTop w:val="0"/>
      <w:marBottom w:val="0"/>
      <w:divBdr>
        <w:top w:val="none" w:sz="0" w:space="0" w:color="auto"/>
        <w:left w:val="none" w:sz="0" w:space="0" w:color="auto"/>
        <w:bottom w:val="none" w:sz="0" w:space="0" w:color="auto"/>
        <w:right w:val="none" w:sz="0" w:space="0" w:color="auto"/>
      </w:divBdr>
    </w:div>
    <w:div w:id="1447502880">
      <w:bodyDiv w:val="1"/>
      <w:marLeft w:val="0"/>
      <w:marRight w:val="0"/>
      <w:marTop w:val="0"/>
      <w:marBottom w:val="0"/>
      <w:divBdr>
        <w:top w:val="none" w:sz="0" w:space="0" w:color="auto"/>
        <w:left w:val="none" w:sz="0" w:space="0" w:color="auto"/>
        <w:bottom w:val="none" w:sz="0" w:space="0" w:color="auto"/>
        <w:right w:val="none" w:sz="0" w:space="0" w:color="auto"/>
      </w:divBdr>
    </w:div>
    <w:div w:id="1447696184">
      <w:bodyDiv w:val="1"/>
      <w:marLeft w:val="0"/>
      <w:marRight w:val="0"/>
      <w:marTop w:val="0"/>
      <w:marBottom w:val="0"/>
      <w:divBdr>
        <w:top w:val="none" w:sz="0" w:space="0" w:color="auto"/>
        <w:left w:val="none" w:sz="0" w:space="0" w:color="auto"/>
        <w:bottom w:val="none" w:sz="0" w:space="0" w:color="auto"/>
        <w:right w:val="none" w:sz="0" w:space="0" w:color="auto"/>
      </w:divBdr>
    </w:div>
    <w:div w:id="1447697554">
      <w:bodyDiv w:val="1"/>
      <w:marLeft w:val="0"/>
      <w:marRight w:val="0"/>
      <w:marTop w:val="0"/>
      <w:marBottom w:val="0"/>
      <w:divBdr>
        <w:top w:val="none" w:sz="0" w:space="0" w:color="auto"/>
        <w:left w:val="none" w:sz="0" w:space="0" w:color="auto"/>
        <w:bottom w:val="none" w:sz="0" w:space="0" w:color="auto"/>
        <w:right w:val="none" w:sz="0" w:space="0" w:color="auto"/>
      </w:divBdr>
    </w:div>
    <w:div w:id="1447769203">
      <w:bodyDiv w:val="1"/>
      <w:marLeft w:val="0"/>
      <w:marRight w:val="0"/>
      <w:marTop w:val="0"/>
      <w:marBottom w:val="0"/>
      <w:divBdr>
        <w:top w:val="none" w:sz="0" w:space="0" w:color="auto"/>
        <w:left w:val="none" w:sz="0" w:space="0" w:color="auto"/>
        <w:bottom w:val="none" w:sz="0" w:space="0" w:color="auto"/>
        <w:right w:val="none" w:sz="0" w:space="0" w:color="auto"/>
      </w:divBdr>
    </w:div>
    <w:div w:id="1447773185">
      <w:bodyDiv w:val="1"/>
      <w:marLeft w:val="0"/>
      <w:marRight w:val="0"/>
      <w:marTop w:val="0"/>
      <w:marBottom w:val="0"/>
      <w:divBdr>
        <w:top w:val="none" w:sz="0" w:space="0" w:color="auto"/>
        <w:left w:val="none" w:sz="0" w:space="0" w:color="auto"/>
        <w:bottom w:val="none" w:sz="0" w:space="0" w:color="auto"/>
        <w:right w:val="none" w:sz="0" w:space="0" w:color="auto"/>
      </w:divBdr>
    </w:div>
    <w:div w:id="1447773466">
      <w:bodyDiv w:val="1"/>
      <w:marLeft w:val="0"/>
      <w:marRight w:val="0"/>
      <w:marTop w:val="0"/>
      <w:marBottom w:val="0"/>
      <w:divBdr>
        <w:top w:val="none" w:sz="0" w:space="0" w:color="auto"/>
        <w:left w:val="none" w:sz="0" w:space="0" w:color="auto"/>
        <w:bottom w:val="none" w:sz="0" w:space="0" w:color="auto"/>
        <w:right w:val="none" w:sz="0" w:space="0" w:color="auto"/>
      </w:divBdr>
    </w:div>
    <w:div w:id="1447775854">
      <w:bodyDiv w:val="1"/>
      <w:marLeft w:val="0"/>
      <w:marRight w:val="0"/>
      <w:marTop w:val="0"/>
      <w:marBottom w:val="0"/>
      <w:divBdr>
        <w:top w:val="none" w:sz="0" w:space="0" w:color="auto"/>
        <w:left w:val="none" w:sz="0" w:space="0" w:color="auto"/>
        <w:bottom w:val="none" w:sz="0" w:space="0" w:color="auto"/>
        <w:right w:val="none" w:sz="0" w:space="0" w:color="auto"/>
      </w:divBdr>
    </w:div>
    <w:div w:id="1447851822">
      <w:bodyDiv w:val="1"/>
      <w:marLeft w:val="0"/>
      <w:marRight w:val="0"/>
      <w:marTop w:val="0"/>
      <w:marBottom w:val="0"/>
      <w:divBdr>
        <w:top w:val="none" w:sz="0" w:space="0" w:color="auto"/>
        <w:left w:val="none" w:sz="0" w:space="0" w:color="auto"/>
        <w:bottom w:val="none" w:sz="0" w:space="0" w:color="auto"/>
        <w:right w:val="none" w:sz="0" w:space="0" w:color="auto"/>
      </w:divBdr>
    </w:div>
    <w:div w:id="1447886865">
      <w:bodyDiv w:val="1"/>
      <w:marLeft w:val="0"/>
      <w:marRight w:val="0"/>
      <w:marTop w:val="0"/>
      <w:marBottom w:val="0"/>
      <w:divBdr>
        <w:top w:val="none" w:sz="0" w:space="0" w:color="auto"/>
        <w:left w:val="none" w:sz="0" w:space="0" w:color="auto"/>
        <w:bottom w:val="none" w:sz="0" w:space="0" w:color="auto"/>
        <w:right w:val="none" w:sz="0" w:space="0" w:color="auto"/>
      </w:divBdr>
    </w:div>
    <w:div w:id="1448038603">
      <w:bodyDiv w:val="1"/>
      <w:marLeft w:val="0"/>
      <w:marRight w:val="0"/>
      <w:marTop w:val="0"/>
      <w:marBottom w:val="0"/>
      <w:divBdr>
        <w:top w:val="none" w:sz="0" w:space="0" w:color="auto"/>
        <w:left w:val="none" w:sz="0" w:space="0" w:color="auto"/>
        <w:bottom w:val="none" w:sz="0" w:space="0" w:color="auto"/>
        <w:right w:val="none" w:sz="0" w:space="0" w:color="auto"/>
      </w:divBdr>
    </w:div>
    <w:div w:id="1448112974">
      <w:bodyDiv w:val="1"/>
      <w:marLeft w:val="0"/>
      <w:marRight w:val="0"/>
      <w:marTop w:val="0"/>
      <w:marBottom w:val="0"/>
      <w:divBdr>
        <w:top w:val="none" w:sz="0" w:space="0" w:color="auto"/>
        <w:left w:val="none" w:sz="0" w:space="0" w:color="auto"/>
        <w:bottom w:val="none" w:sz="0" w:space="0" w:color="auto"/>
        <w:right w:val="none" w:sz="0" w:space="0" w:color="auto"/>
      </w:divBdr>
    </w:div>
    <w:div w:id="1448113850">
      <w:bodyDiv w:val="1"/>
      <w:marLeft w:val="0"/>
      <w:marRight w:val="0"/>
      <w:marTop w:val="0"/>
      <w:marBottom w:val="0"/>
      <w:divBdr>
        <w:top w:val="none" w:sz="0" w:space="0" w:color="auto"/>
        <w:left w:val="none" w:sz="0" w:space="0" w:color="auto"/>
        <w:bottom w:val="none" w:sz="0" w:space="0" w:color="auto"/>
        <w:right w:val="none" w:sz="0" w:space="0" w:color="auto"/>
      </w:divBdr>
    </w:div>
    <w:div w:id="1448160850">
      <w:bodyDiv w:val="1"/>
      <w:marLeft w:val="0"/>
      <w:marRight w:val="0"/>
      <w:marTop w:val="0"/>
      <w:marBottom w:val="0"/>
      <w:divBdr>
        <w:top w:val="none" w:sz="0" w:space="0" w:color="auto"/>
        <w:left w:val="none" w:sz="0" w:space="0" w:color="auto"/>
        <w:bottom w:val="none" w:sz="0" w:space="0" w:color="auto"/>
        <w:right w:val="none" w:sz="0" w:space="0" w:color="auto"/>
      </w:divBdr>
    </w:div>
    <w:div w:id="1448235457">
      <w:bodyDiv w:val="1"/>
      <w:marLeft w:val="0"/>
      <w:marRight w:val="0"/>
      <w:marTop w:val="0"/>
      <w:marBottom w:val="0"/>
      <w:divBdr>
        <w:top w:val="none" w:sz="0" w:space="0" w:color="auto"/>
        <w:left w:val="none" w:sz="0" w:space="0" w:color="auto"/>
        <w:bottom w:val="none" w:sz="0" w:space="0" w:color="auto"/>
        <w:right w:val="none" w:sz="0" w:space="0" w:color="auto"/>
      </w:divBdr>
    </w:div>
    <w:div w:id="1448348294">
      <w:bodyDiv w:val="1"/>
      <w:marLeft w:val="0"/>
      <w:marRight w:val="0"/>
      <w:marTop w:val="0"/>
      <w:marBottom w:val="0"/>
      <w:divBdr>
        <w:top w:val="none" w:sz="0" w:space="0" w:color="auto"/>
        <w:left w:val="none" w:sz="0" w:space="0" w:color="auto"/>
        <w:bottom w:val="none" w:sz="0" w:space="0" w:color="auto"/>
        <w:right w:val="none" w:sz="0" w:space="0" w:color="auto"/>
      </w:divBdr>
    </w:div>
    <w:div w:id="1448428084">
      <w:bodyDiv w:val="1"/>
      <w:marLeft w:val="0"/>
      <w:marRight w:val="0"/>
      <w:marTop w:val="0"/>
      <w:marBottom w:val="0"/>
      <w:divBdr>
        <w:top w:val="none" w:sz="0" w:space="0" w:color="auto"/>
        <w:left w:val="none" w:sz="0" w:space="0" w:color="auto"/>
        <w:bottom w:val="none" w:sz="0" w:space="0" w:color="auto"/>
        <w:right w:val="none" w:sz="0" w:space="0" w:color="auto"/>
      </w:divBdr>
    </w:div>
    <w:div w:id="1448431996">
      <w:bodyDiv w:val="1"/>
      <w:marLeft w:val="0"/>
      <w:marRight w:val="0"/>
      <w:marTop w:val="0"/>
      <w:marBottom w:val="0"/>
      <w:divBdr>
        <w:top w:val="none" w:sz="0" w:space="0" w:color="auto"/>
        <w:left w:val="none" w:sz="0" w:space="0" w:color="auto"/>
        <w:bottom w:val="none" w:sz="0" w:space="0" w:color="auto"/>
        <w:right w:val="none" w:sz="0" w:space="0" w:color="auto"/>
      </w:divBdr>
    </w:div>
    <w:div w:id="1448508361">
      <w:bodyDiv w:val="1"/>
      <w:marLeft w:val="0"/>
      <w:marRight w:val="0"/>
      <w:marTop w:val="0"/>
      <w:marBottom w:val="0"/>
      <w:divBdr>
        <w:top w:val="none" w:sz="0" w:space="0" w:color="auto"/>
        <w:left w:val="none" w:sz="0" w:space="0" w:color="auto"/>
        <w:bottom w:val="none" w:sz="0" w:space="0" w:color="auto"/>
        <w:right w:val="none" w:sz="0" w:space="0" w:color="auto"/>
      </w:divBdr>
    </w:div>
    <w:div w:id="1448546513">
      <w:bodyDiv w:val="1"/>
      <w:marLeft w:val="0"/>
      <w:marRight w:val="0"/>
      <w:marTop w:val="0"/>
      <w:marBottom w:val="0"/>
      <w:divBdr>
        <w:top w:val="none" w:sz="0" w:space="0" w:color="auto"/>
        <w:left w:val="none" w:sz="0" w:space="0" w:color="auto"/>
        <w:bottom w:val="none" w:sz="0" w:space="0" w:color="auto"/>
        <w:right w:val="none" w:sz="0" w:space="0" w:color="auto"/>
      </w:divBdr>
    </w:div>
    <w:div w:id="1448546872">
      <w:bodyDiv w:val="1"/>
      <w:marLeft w:val="0"/>
      <w:marRight w:val="0"/>
      <w:marTop w:val="0"/>
      <w:marBottom w:val="0"/>
      <w:divBdr>
        <w:top w:val="none" w:sz="0" w:space="0" w:color="auto"/>
        <w:left w:val="none" w:sz="0" w:space="0" w:color="auto"/>
        <w:bottom w:val="none" w:sz="0" w:space="0" w:color="auto"/>
        <w:right w:val="none" w:sz="0" w:space="0" w:color="auto"/>
      </w:divBdr>
    </w:div>
    <w:div w:id="1448617003">
      <w:bodyDiv w:val="1"/>
      <w:marLeft w:val="0"/>
      <w:marRight w:val="0"/>
      <w:marTop w:val="0"/>
      <w:marBottom w:val="0"/>
      <w:divBdr>
        <w:top w:val="none" w:sz="0" w:space="0" w:color="auto"/>
        <w:left w:val="none" w:sz="0" w:space="0" w:color="auto"/>
        <w:bottom w:val="none" w:sz="0" w:space="0" w:color="auto"/>
        <w:right w:val="none" w:sz="0" w:space="0" w:color="auto"/>
      </w:divBdr>
    </w:div>
    <w:div w:id="1448694264">
      <w:bodyDiv w:val="1"/>
      <w:marLeft w:val="0"/>
      <w:marRight w:val="0"/>
      <w:marTop w:val="0"/>
      <w:marBottom w:val="0"/>
      <w:divBdr>
        <w:top w:val="none" w:sz="0" w:space="0" w:color="auto"/>
        <w:left w:val="none" w:sz="0" w:space="0" w:color="auto"/>
        <w:bottom w:val="none" w:sz="0" w:space="0" w:color="auto"/>
        <w:right w:val="none" w:sz="0" w:space="0" w:color="auto"/>
      </w:divBdr>
    </w:div>
    <w:div w:id="1448740455">
      <w:bodyDiv w:val="1"/>
      <w:marLeft w:val="0"/>
      <w:marRight w:val="0"/>
      <w:marTop w:val="0"/>
      <w:marBottom w:val="0"/>
      <w:divBdr>
        <w:top w:val="none" w:sz="0" w:space="0" w:color="auto"/>
        <w:left w:val="none" w:sz="0" w:space="0" w:color="auto"/>
        <w:bottom w:val="none" w:sz="0" w:space="0" w:color="auto"/>
        <w:right w:val="none" w:sz="0" w:space="0" w:color="auto"/>
      </w:divBdr>
    </w:div>
    <w:div w:id="1448741233">
      <w:bodyDiv w:val="1"/>
      <w:marLeft w:val="0"/>
      <w:marRight w:val="0"/>
      <w:marTop w:val="0"/>
      <w:marBottom w:val="0"/>
      <w:divBdr>
        <w:top w:val="none" w:sz="0" w:space="0" w:color="auto"/>
        <w:left w:val="none" w:sz="0" w:space="0" w:color="auto"/>
        <w:bottom w:val="none" w:sz="0" w:space="0" w:color="auto"/>
        <w:right w:val="none" w:sz="0" w:space="0" w:color="auto"/>
      </w:divBdr>
    </w:div>
    <w:div w:id="1448767511">
      <w:bodyDiv w:val="1"/>
      <w:marLeft w:val="0"/>
      <w:marRight w:val="0"/>
      <w:marTop w:val="0"/>
      <w:marBottom w:val="0"/>
      <w:divBdr>
        <w:top w:val="none" w:sz="0" w:space="0" w:color="auto"/>
        <w:left w:val="none" w:sz="0" w:space="0" w:color="auto"/>
        <w:bottom w:val="none" w:sz="0" w:space="0" w:color="auto"/>
        <w:right w:val="none" w:sz="0" w:space="0" w:color="auto"/>
      </w:divBdr>
    </w:div>
    <w:div w:id="1448811718">
      <w:bodyDiv w:val="1"/>
      <w:marLeft w:val="0"/>
      <w:marRight w:val="0"/>
      <w:marTop w:val="0"/>
      <w:marBottom w:val="0"/>
      <w:divBdr>
        <w:top w:val="none" w:sz="0" w:space="0" w:color="auto"/>
        <w:left w:val="none" w:sz="0" w:space="0" w:color="auto"/>
        <w:bottom w:val="none" w:sz="0" w:space="0" w:color="auto"/>
        <w:right w:val="none" w:sz="0" w:space="0" w:color="auto"/>
      </w:divBdr>
    </w:div>
    <w:div w:id="1448816709">
      <w:bodyDiv w:val="1"/>
      <w:marLeft w:val="0"/>
      <w:marRight w:val="0"/>
      <w:marTop w:val="0"/>
      <w:marBottom w:val="0"/>
      <w:divBdr>
        <w:top w:val="none" w:sz="0" w:space="0" w:color="auto"/>
        <w:left w:val="none" w:sz="0" w:space="0" w:color="auto"/>
        <w:bottom w:val="none" w:sz="0" w:space="0" w:color="auto"/>
        <w:right w:val="none" w:sz="0" w:space="0" w:color="auto"/>
      </w:divBdr>
    </w:div>
    <w:div w:id="1449005915">
      <w:bodyDiv w:val="1"/>
      <w:marLeft w:val="0"/>
      <w:marRight w:val="0"/>
      <w:marTop w:val="0"/>
      <w:marBottom w:val="0"/>
      <w:divBdr>
        <w:top w:val="none" w:sz="0" w:space="0" w:color="auto"/>
        <w:left w:val="none" w:sz="0" w:space="0" w:color="auto"/>
        <w:bottom w:val="none" w:sz="0" w:space="0" w:color="auto"/>
        <w:right w:val="none" w:sz="0" w:space="0" w:color="auto"/>
      </w:divBdr>
    </w:div>
    <w:div w:id="1449084881">
      <w:bodyDiv w:val="1"/>
      <w:marLeft w:val="0"/>
      <w:marRight w:val="0"/>
      <w:marTop w:val="0"/>
      <w:marBottom w:val="0"/>
      <w:divBdr>
        <w:top w:val="none" w:sz="0" w:space="0" w:color="auto"/>
        <w:left w:val="none" w:sz="0" w:space="0" w:color="auto"/>
        <w:bottom w:val="none" w:sz="0" w:space="0" w:color="auto"/>
        <w:right w:val="none" w:sz="0" w:space="0" w:color="auto"/>
      </w:divBdr>
    </w:div>
    <w:div w:id="1449086928">
      <w:bodyDiv w:val="1"/>
      <w:marLeft w:val="0"/>
      <w:marRight w:val="0"/>
      <w:marTop w:val="0"/>
      <w:marBottom w:val="0"/>
      <w:divBdr>
        <w:top w:val="none" w:sz="0" w:space="0" w:color="auto"/>
        <w:left w:val="none" w:sz="0" w:space="0" w:color="auto"/>
        <w:bottom w:val="none" w:sz="0" w:space="0" w:color="auto"/>
        <w:right w:val="none" w:sz="0" w:space="0" w:color="auto"/>
      </w:divBdr>
    </w:div>
    <w:div w:id="1449087157">
      <w:bodyDiv w:val="1"/>
      <w:marLeft w:val="0"/>
      <w:marRight w:val="0"/>
      <w:marTop w:val="0"/>
      <w:marBottom w:val="0"/>
      <w:divBdr>
        <w:top w:val="none" w:sz="0" w:space="0" w:color="auto"/>
        <w:left w:val="none" w:sz="0" w:space="0" w:color="auto"/>
        <w:bottom w:val="none" w:sz="0" w:space="0" w:color="auto"/>
        <w:right w:val="none" w:sz="0" w:space="0" w:color="auto"/>
      </w:divBdr>
    </w:div>
    <w:div w:id="1449199258">
      <w:bodyDiv w:val="1"/>
      <w:marLeft w:val="0"/>
      <w:marRight w:val="0"/>
      <w:marTop w:val="0"/>
      <w:marBottom w:val="0"/>
      <w:divBdr>
        <w:top w:val="none" w:sz="0" w:space="0" w:color="auto"/>
        <w:left w:val="none" w:sz="0" w:space="0" w:color="auto"/>
        <w:bottom w:val="none" w:sz="0" w:space="0" w:color="auto"/>
        <w:right w:val="none" w:sz="0" w:space="0" w:color="auto"/>
      </w:divBdr>
    </w:div>
    <w:div w:id="1449202662">
      <w:bodyDiv w:val="1"/>
      <w:marLeft w:val="0"/>
      <w:marRight w:val="0"/>
      <w:marTop w:val="0"/>
      <w:marBottom w:val="0"/>
      <w:divBdr>
        <w:top w:val="none" w:sz="0" w:space="0" w:color="auto"/>
        <w:left w:val="none" w:sz="0" w:space="0" w:color="auto"/>
        <w:bottom w:val="none" w:sz="0" w:space="0" w:color="auto"/>
        <w:right w:val="none" w:sz="0" w:space="0" w:color="auto"/>
      </w:divBdr>
    </w:div>
    <w:div w:id="1449204792">
      <w:bodyDiv w:val="1"/>
      <w:marLeft w:val="0"/>
      <w:marRight w:val="0"/>
      <w:marTop w:val="0"/>
      <w:marBottom w:val="0"/>
      <w:divBdr>
        <w:top w:val="none" w:sz="0" w:space="0" w:color="auto"/>
        <w:left w:val="none" w:sz="0" w:space="0" w:color="auto"/>
        <w:bottom w:val="none" w:sz="0" w:space="0" w:color="auto"/>
        <w:right w:val="none" w:sz="0" w:space="0" w:color="auto"/>
      </w:divBdr>
    </w:div>
    <w:div w:id="1449351185">
      <w:bodyDiv w:val="1"/>
      <w:marLeft w:val="0"/>
      <w:marRight w:val="0"/>
      <w:marTop w:val="0"/>
      <w:marBottom w:val="0"/>
      <w:divBdr>
        <w:top w:val="none" w:sz="0" w:space="0" w:color="auto"/>
        <w:left w:val="none" w:sz="0" w:space="0" w:color="auto"/>
        <w:bottom w:val="none" w:sz="0" w:space="0" w:color="auto"/>
        <w:right w:val="none" w:sz="0" w:space="0" w:color="auto"/>
      </w:divBdr>
    </w:div>
    <w:div w:id="1449354099">
      <w:bodyDiv w:val="1"/>
      <w:marLeft w:val="0"/>
      <w:marRight w:val="0"/>
      <w:marTop w:val="0"/>
      <w:marBottom w:val="0"/>
      <w:divBdr>
        <w:top w:val="none" w:sz="0" w:space="0" w:color="auto"/>
        <w:left w:val="none" w:sz="0" w:space="0" w:color="auto"/>
        <w:bottom w:val="none" w:sz="0" w:space="0" w:color="auto"/>
        <w:right w:val="none" w:sz="0" w:space="0" w:color="auto"/>
      </w:divBdr>
    </w:div>
    <w:div w:id="1449424555">
      <w:bodyDiv w:val="1"/>
      <w:marLeft w:val="0"/>
      <w:marRight w:val="0"/>
      <w:marTop w:val="0"/>
      <w:marBottom w:val="0"/>
      <w:divBdr>
        <w:top w:val="none" w:sz="0" w:space="0" w:color="auto"/>
        <w:left w:val="none" w:sz="0" w:space="0" w:color="auto"/>
        <w:bottom w:val="none" w:sz="0" w:space="0" w:color="auto"/>
        <w:right w:val="none" w:sz="0" w:space="0" w:color="auto"/>
      </w:divBdr>
    </w:div>
    <w:div w:id="1449426584">
      <w:bodyDiv w:val="1"/>
      <w:marLeft w:val="0"/>
      <w:marRight w:val="0"/>
      <w:marTop w:val="0"/>
      <w:marBottom w:val="0"/>
      <w:divBdr>
        <w:top w:val="none" w:sz="0" w:space="0" w:color="auto"/>
        <w:left w:val="none" w:sz="0" w:space="0" w:color="auto"/>
        <w:bottom w:val="none" w:sz="0" w:space="0" w:color="auto"/>
        <w:right w:val="none" w:sz="0" w:space="0" w:color="auto"/>
      </w:divBdr>
    </w:div>
    <w:div w:id="1449475012">
      <w:bodyDiv w:val="1"/>
      <w:marLeft w:val="0"/>
      <w:marRight w:val="0"/>
      <w:marTop w:val="0"/>
      <w:marBottom w:val="0"/>
      <w:divBdr>
        <w:top w:val="none" w:sz="0" w:space="0" w:color="auto"/>
        <w:left w:val="none" w:sz="0" w:space="0" w:color="auto"/>
        <w:bottom w:val="none" w:sz="0" w:space="0" w:color="auto"/>
        <w:right w:val="none" w:sz="0" w:space="0" w:color="auto"/>
      </w:divBdr>
    </w:div>
    <w:div w:id="1449618418">
      <w:bodyDiv w:val="1"/>
      <w:marLeft w:val="0"/>
      <w:marRight w:val="0"/>
      <w:marTop w:val="0"/>
      <w:marBottom w:val="0"/>
      <w:divBdr>
        <w:top w:val="none" w:sz="0" w:space="0" w:color="auto"/>
        <w:left w:val="none" w:sz="0" w:space="0" w:color="auto"/>
        <w:bottom w:val="none" w:sz="0" w:space="0" w:color="auto"/>
        <w:right w:val="none" w:sz="0" w:space="0" w:color="auto"/>
      </w:divBdr>
    </w:div>
    <w:div w:id="1449663860">
      <w:bodyDiv w:val="1"/>
      <w:marLeft w:val="0"/>
      <w:marRight w:val="0"/>
      <w:marTop w:val="0"/>
      <w:marBottom w:val="0"/>
      <w:divBdr>
        <w:top w:val="none" w:sz="0" w:space="0" w:color="auto"/>
        <w:left w:val="none" w:sz="0" w:space="0" w:color="auto"/>
        <w:bottom w:val="none" w:sz="0" w:space="0" w:color="auto"/>
        <w:right w:val="none" w:sz="0" w:space="0" w:color="auto"/>
      </w:divBdr>
    </w:div>
    <w:div w:id="1449664695">
      <w:bodyDiv w:val="1"/>
      <w:marLeft w:val="0"/>
      <w:marRight w:val="0"/>
      <w:marTop w:val="0"/>
      <w:marBottom w:val="0"/>
      <w:divBdr>
        <w:top w:val="none" w:sz="0" w:space="0" w:color="auto"/>
        <w:left w:val="none" w:sz="0" w:space="0" w:color="auto"/>
        <w:bottom w:val="none" w:sz="0" w:space="0" w:color="auto"/>
        <w:right w:val="none" w:sz="0" w:space="0" w:color="auto"/>
      </w:divBdr>
    </w:div>
    <w:div w:id="1449809326">
      <w:bodyDiv w:val="1"/>
      <w:marLeft w:val="0"/>
      <w:marRight w:val="0"/>
      <w:marTop w:val="0"/>
      <w:marBottom w:val="0"/>
      <w:divBdr>
        <w:top w:val="none" w:sz="0" w:space="0" w:color="auto"/>
        <w:left w:val="none" w:sz="0" w:space="0" w:color="auto"/>
        <w:bottom w:val="none" w:sz="0" w:space="0" w:color="auto"/>
        <w:right w:val="none" w:sz="0" w:space="0" w:color="auto"/>
      </w:divBdr>
    </w:div>
    <w:div w:id="1449811674">
      <w:bodyDiv w:val="1"/>
      <w:marLeft w:val="0"/>
      <w:marRight w:val="0"/>
      <w:marTop w:val="0"/>
      <w:marBottom w:val="0"/>
      <w:divBdr>
        <w:top w:val="none" w:sz="0" w:space="0" w:color="auto"/>
        <w:left w:val="none" w:sz="0" w:space="0" w:color="auto"/>
        <w:bottom w:val="none" w:sz="0" w:space="0" w:color="auto"/>
        <w:right w:val="none" w:sz="0" w:space="0" w:color="auto"/>
      </w:divBdr>
    </w:div>
    <w:div w:id="1449858082">
      <w:bodyDiv w:val="1"/>
      <w:marLeft w:val="0"/>
      <w:marRight w:val="0"/>
      <w:marTop w:val="0"/>
      <w:marBottom w:val="0"/>
      <w:divBdr>
        <w:top w:val="none" w:sz="0" w:space="0" w:color="auto"/>
        <w:left w:val="none" w:sz="0" w:space="0" w:color="auto"/>
        <w:bottom w:val="none" w:sz="0" w:space="0" w:color="auto"/>
        <w:right w:val="none" w:sz="0" w:space="0" w:color="auto"/>
      </w:divBdr>
    </w:div>
    <w:div w:id="1449933805">
      <w:bodyDiv w:val="1"/>
      <w:marLeft w:val="0"/>
      <w:marRight w:val="0"/>
      <w:marTop w:val="0"/>
      <w:marBottom w:val="0"/>
      <w:divBdr>
        <w:top w:val="none" w:sz="0" w:space="0" w:color="auto"/>
        <w:left w:val="none" w:sz="0" w:space="0" w:color="auto"/>
        <w:bottom w:val="none" w:sz="0" w:space="0" w:color="auto"/>
        <w:right w:val="none" w:sz="0" w:space="0" w:color="auto"/>
      </w:divBdr>
    </w:div>
    <w:div w:id="1449936218">
      <w:bodyDiv w:val="1"/>
      <w:marLeft w:val="0"/>
      <w:marRight w:val="0"/>
      <w:marTop w:val="0"/>
      <w:marBottom w:val="0"/>
      <w:divBdr>
        <w:top w:val="none" w:sz="0" w:space="0" w:color="auto"/>
        <w:left w:val="none" w:sz="0" w:space="0" w:color="auto"/>
        <w:bottom w:val="none" w:sz="0" w:space="0" w:color="auto"/>
        <w:right w:val="none" w:sz="0" w:space="0" w:color="auto"/>
      </w:divBdr>
    </w:div>
    <w:div w:id="1450004275">
      <w:bodyDiv w:val="1"/>
      <w:marLeft w:val="0"/>
      <w:marRight w:val="0"/>
      <w:marTop w:val="0"/>
      <w:marBottom w:val="0"/>
      <w:divBdr>
        <w:top w:val="none" w:sz="0" w:space="0" w:color="auto"/>
        <w:left w:val="none" w:sz="0" w:space="0" w:color="auto"/>
        <w:bottom w:val="none" w:sz="0" w:space="0" w:color="auto"/>
        <w:right w:val="none" w:sz="0" w:space="0" w:color="auto"/>
      </w:divBdr>
    </w:div>
    <w:div w:id="1450127444">
      <w:bodyDiv w:val="1"/>
      <w:marLeft w:val="0"/>
      <w:marRight w:val="0"/>
      <w:marTop w:val="0"/>
      <w:marBottom w:val="0"/>
      <w:divBdr>
        <w:top w:val="none" w:sz="0" w:space="0" w:color="auto"/>
        <w:left w:val="none" w:sz="0" w:space="0" w:color="auto"/>
        <w:bottom w:val="none" w:sz="0" w:space="0" w:color="auto"/>
        <w:right w:val="none" w:sz="0" w:space="0" w:color="auto"/>
      </w:divBdr>
    </w:div>
    <w:div w:id="1450127849">
      <w:bodyDiv w:val="1"/>
      <w:marLeft w:val="0"/>
      <w:marRight w:val="0"/>
      <w:marTop w:val="0"/>
      <w:marBottom w:val="0"/>
      <w:divBdr>
        <w:top w:val="none" w:sz="0" w:space="0" w:color="auto"/>
        <w:left w:val="none" w:sz="0" w:space="0" w:color="auto"/>
        <w:bottom w:val="none" w:sz="0" w:space="0" w:color="auto"/>
        <w:right w:val="none" w:sz="0" w:space="0" w:color="auto"/>
      </w:divBdr>
    </w:div>
    <w:div w:id="1450127921">
      <w:bodyDiv w:val="1"/>
      <w:marLeft w:val="0"/>
      <w:marRight w:val="0"/>
      <w:marTop w:val="0"/>
      <w:marBottom w:val="0"/>
      <w:divBdr>
        <w:top w:val="none" w:sz="0" w:space="0" w:color="auto"/>
        <w:left w:val="none" w:sz="0" w:space="0" w:color="auto"/>
        <w:bottom w:val="none" w:sz="0" w:space="0" w:color="auto"/>
        <w:right w:val="none" w:sz="0" w:space="0" w:color="auto"/>
      </w:divBdr>
    </w:div>
    <w:div w:id="1450199560">
      <w:bodyDiv w:val="1"/>
      <w:marLeft w:val="0"/>
      <w:marRight w:val="0"/>
      <w:marTop w:val="0"/>
      <w:marBottom w:val="0"/>
      <w:divBdr>
        <w:top w:val="none" w:sz="0" w:space="0" w:color="auto"/>
        <w:left w:val="none" w:sz="0" w:space="0" w:color="auto"/>
        <w:bottom w:val="none" w:sz="0" w:space="0" w:color="auto"/>
        <w:right w:val="none" w:sz="0" w:space="0" w:color="auto"/>
      </w:divBdr>
    </w:div>
    <w:div w:id="1450205153">
      <w:bodyDiv w:val="1"/>
      <w:marLeft w:val="0"/>
      <w:marRight w:val="0"/>
      <w:marTop w:val="0"/>
      <w:marBottom w:val="0"/>
      <w:divBdr>
        <w:top w:val="none" w:sz="0" w:space="0" w:color="auto"/>
        <w:left w:val="none" w:sz="0" w:space="0" w:color="auto"/>
        <w:bottom w:val="none" w:sz="0" w:space="0" w:color="auto"/>
        <w:right w:val="none" w:sz="0" w:space="0" w:color="auto"/>
      </w:divBdr>
    </w:div>
    <w:div w:id="1450274083">
      <w:bodyDiv w:val="1"/>
      <w:marLeft w:val="0"/>
      <w:marRight w:val="0"/>
      <w:marTop w:val="0"/>
      <w:marBottom w:val="0"/>
      <w:divBdr>
        <w:top w:val="none" w:sz="0" w:space="0" w:color="auto"/>
        <w:left w:val="none" w:sz="0" w:space="0" w:color="auto"/>
        <w:bottom w:val="none" w:sz="0" w:space="0" w:color="auto"/>
        <w:right w:val="none" w:sz="0" w:space="0" w:color="auto"/>
      </w:divBdr>
    </w:div>
    <w:div w:id="1450585807">
      <w:bodyDiv w:val="1"/>
      <w:marLeft w:val="0"/>
      <w:marRight w:val="0"/>
      <w:marTop w:val="0"/>
      <w:marBottom w:val="0"/>
      <w:divBdr>
        <w:top w:val="none" w:sz="0" w:space="0" w:color="auto"/>
        <w:left w:val="none" w:sz="0" w:space="0" w:color="auto"/>
        <w:bottom w:val="none" w:sz="0" w:space="0" w:color="auto"/>
        <w:right w:val="none" w:sz="0" w:space="0" w:color="auto"/>
      </w:divBdr>
    </w:div>
    <w:div w:id="1450659278">
      <w:bodyDiv w:val="1"/>
      <w:marLeft w:val="0"/>
      <w:marRight w:val="0"/>
      <w:marTop w:val="0"/>
      <w:marBottom w:val="0"/>
      <w:divBdr>
        <w:top w:val="none" w:sz="0" w:space="0" w:color="auto"/>
        <w:left w:val="none" w:sz="0" w:space="0" w:color="auto"/>
        <w:bottom w:val="none" w:sz="0" w:space="0" w:color="auto"/>
        <w:right w:val="none" w:sz="0" w:space="0" w:color="auto"/>
      </w:divBdr>
    </w:div>
    <w:div w:id="1450665140">
      <w:bodyDiv w:val="1"/>
      <w:marLeft w:val="0"/>
      <w:marRight w:val="0"/>
      <w:marTop w:val="0"/>
      <w:marBottom w:val="0"/>
      <w:divBdr>
        <w:top w:val="none" w:sz="0" w:space="0" w:color="auto"/>
        <w:left w:val="none" w:sz="0" w:space="0" w:color="auto"/>
        <w:bottom w:val="none" w:sz="0" w:space="0" w:color="auto"/>
        <w:right w:val="none" w:sz="0" w:space="0" w:color="auto"/>
      </w:divBdr>
    </w:div>
    <w:div w:id="1450665299">
      <w:bodyDiv w:val="1"/>
      <w:marLeft w:val="0"/>
      <w:marRight w:val="0"/>
      <w:marTop w:val="0"/>
      <w:marBottom w:val="0"/>
      <w:divBdr>
        <w:top w:val="none" w:sz="0" w:space="0" w:color="auto"/>
        <w:left w:val="none" w:sz="0" w:space="0" w:color="auto"/>
        <w:bottom w:val="none" w:sz="0" w:space="0" w:color="auto"/>
        <w:right w:val="none" w:sz="0" w:space="0" w:color="auto"/>
      </w:divBdr>
    </w:div>
    <w:div w:id="1450707634">
      <w:bodyDiv w:val="1"/>
      <w:marLeft w:val="0"/>
      <w:marRight w:val="0"/>
      <w:marTop w:val="0"/>
      <w:marBottom w:val="0"/>
      <w:divBdr>
        <w:top w:val="none" w:sz="0" w:space="0" w:color="auto"/>
        <w:left w:val="none" w:sz="0" w:space="0" w:color="auto"/>
        <w:bottom w:val="none" w:sz="0" w:space="0" w:color="auto"/>
        <w:right w:val="none" w:sz="0" w:space="0" w:color="auto"/>
      </w:divBdr>
    </w:div>
    <w:div w:id="1450777890">
      <w:bodyDiv w:val="1"/>
      <w:marLeft w:val="0"/>
      <w:marRight w:val="0"/>
      <w:marTop w:val="0"/>
      <w:marBottom w:val="0"/>
      <w:divBdr>
        <w:top w:val="none" w:sz="0" w:space="0" w:color="auto"/>
        <w:left w:val="none" w:sz="0" w:space="0" w:color="auto"/>
        <w:bottom w:val="none" w:sz="0" w:space="0" w:color="auto"/>
        <w:right w:val="none" w:sz="0" w:space="0" w:color="auto"/>
      </w:divBdr>
    </w:div>
    <w:div w:id="1450778509">
      <w:bodyDiv w:val="1"/>
      <w:marLeft w:val="0"/>
      <w:marRight w:val="0"/>
      <w:marTop w:val="0"/>
      <w:marBottom w:val="0"/>
      <w:divBdr>
        <w:top w:val="none" w:sz="0" w:space="0" w:color="auto"/>
        <w:left w:val="none" w:sz="0" w:space="0" w:color="auto"/>
        <w:bottom w:val="none" w:sz="0" w:space="0" w:color="auto"/>
        <w:right w:val="none" w:sz="0" w:space="0" w:color="auto"/>
      </w:divBdr>
    </w:div>
    <w:div w:id="1450854181">
      <w:bodyDiv w:val="1"/>
      <w:marLeft w:val="0"/>
      <w:marRight w:val="0"/>
      <w:marTop w:val="0"/>
      <w:marBottom w:val="0"/>
      <w:divBdr>
        <w:top w:val="none" w:sz="0" w:space="0" w:color="auto"/>
        <w:left w:val="none" w:sz="0" w:space="0" w:color="auto"/>
        <w:bottom w:val="none" w:sz="0" w:space="0" w:color="auto"/>
        <w:right w:val="none" w:sz="0" w:space="0" w:color="auto"/>
      </w:divBdr>
    </w:div>
    <w:div w:id="1450933313">
      <w:bodyDiv w:val="1"/>
      <w:marLeft w:val="0"/>
      <w:marRight w:val="0"/>
      <w:marTop w:val="0"/>
      <w:marBottom w:val="0"/>
      <w:divBdr>
        <w:top w:val="none" w:sz="0" w:space="0" w:color="auto"/>
        <w:left w:val="none" w:sz="0" w:space="0" w:color="auto"/>
        <w:bottom w:val="none" w:sz="0" w:space="0" w:color="auto"/>
        <w:right w:val="none" w:sz="0" w:space="0" w:color="auto"/>
      </w:divBdr>
    </w:div>
    <w:div w:id="1450970255">
      <w:bodyDiv w:val="1"/>
      <w:marLeft w:val="0"/>
      <w:marRight w:val="0"/>
      <w:marTop w:val="0"/>
      <w:marBottom w:val="0"/>
      <w:divBdr>
        <w:top w:val="none" w:sz="0" w:space="0" w:color="auto"/>
        <w:left w:val="none" w:sz="0" w:space="0" w:color="auto"/>
        <w:bottom w:val="none" w:sz="0" w:space="0" w:color="auto"/>
        <w:right w:val="none" w:sz="0" w:space="0" w:color="auto"/>
      </w:divBdr>
    </w:div>
    <w:div w:id="1450970489">
      <w:bodyDiv w:val="1"/>
      <w:marLeft w:val="0"/>
      <w:marRight w:val="0"/>
      <w:marTop w:val="0"/>
      <w:marBottom w:val="0"/>
      <w:divBdr>
        <w:top w:val="none" w:sz="0" w:space="0" w:color="auto"/>
        <w:left w:val="none" w:sz="0" w:space="0" w:color="auto"/>
        <w:bottom w:val="none" w:sz="0" w:space="0" w:color="auto"/>
        <w:right w:val="none" w:sz="0" w:space="0" w:color="auto"/>
      </w:divBdr>
    </w:div>
    <w:div w:id="1451313706">
      <w:bodyDiv w:val="1"/>
      <w:marLeft w:val="0"/>
      <w:marRight w:val="0"/>
      <w:marTop w:val="0"/>
      <w:marBottom w:val="0"/>
      <w:divBdr>
        <w:top w:val="none" w:sz="0" w:space="0" w:color="auto"/>
        <w:left w:val="none" w:sz="0" w:space="0" w:color="auto"/>
        <w:bottom w:val="none" w:sz="0" w:space="0" w:color="auto"/>
        <w:right w:val="none" w:sz="0" w:space="0" w:color="auto"/>
      </w:divBdr>
    </w:div>
    <w:div w:id="1451388512">
      <w:bodyDiv w:val="1"/>
      <w:marLeft w:val="0"/>
      <w:marRight w:val="0"/>
      <w:marTop w:val="0"/>
      <w:marBottom w:val="0"/>
      <w:divBdr>
        <w:top w:val="none" w:sz="0" w:space="0" w:color="auto"/>
        <w:left w:val="none" w:sz="0" w:space="0" w:color="auto"/>
        <w:bottom w:val="none" w:sz="0" w:space="0" w:color="auto"/>
        <w:right w:val="none" w:sz="0" w:space="0" w:color="auto"/>
      </w:divBdr>
    </w:div>
    <w:div w:id="1451507360">
      <w:bodyDiv w:val="1"/>
      <w:marLeft w:val="0"/>
      <w:marRight w:val="0"/>
      <w:marTop w:val="0"/>
      <w:marBottom w:val="0"/>
      <w:divBdr>
        <w:top w:val="none" w:sz="0" w:space="0" w:color="auto"/>
        <w:left w:val="none" w:sz="0" w:space="0" w:color="auto"/>
        <w:bottom w:val="none" w:sz="0" w:space="0" w:color="auto"/>
        <w:right w:val="none" w:sz="0" w:space="0" w:color="auto"/>
      </w:divBdr>
    </w:div>
    <w:div w:id="1451511494">
      <w:bodyDiv w:val="1"/>
      <w:marLeft w:val="0"/>
      <w:marRight w:val="0"/>
      <w:marTop w:val="0"/>
      <w:marBottom w:val="0"/>
      <w:divBdr>
        <w:top w:val="none" w:sz="0" w:space="0" w:color="auto"/>
        <w:left w:val="none" w:sz="0" w:space="0" w:color="auto"/>
        <w:bottom w:val="none" w:sz="0" w:space="0" w:color="auto"/>
        <w:right w:val="none" w:sz="0" w:space="0" w:color="auto"/>
      </w:divBdr>
    </w:div>
    <w:div w:id="1451513360">
      <w:bodyDiv w:val="1"/>
      <w:marLeft w:val="0"/>
      <w:marRight w:val="0"/>
      <w:marTop w:val="0"/>
      <w:marBottom w:val="0"/>
      <w:divBdr>
        <w:top w:val="none" w:sz="0" w:space="0" w:color="auto"/>
        <w:left w:val="none" w:sz="0" w:space="0" w:color="auto"/>
        <w:bottom w:val="none" w:sz="0" w:space="0" w:color="auto"/>
        <w:right w:val="none" w:sz="0" w:space="0" w:color="auto"/>
      </w:divBdr>
    </w:div>
    <w:div w:id="1451582419">
      <w:bodyDiv w:val="1"/>
      <w:marLeft w:val="0"/>
      <w:marRight w:val="0"/>
      <w:marTop w:val="0"/>
      <w:marBottom w:val="0"/>
      <w:divBdr>
        <w:top w:val="none" w:sz="0" w:space="0" w:color="auto"/>
        <w:left w:val="none" w:sz="0" w:space="0" w:color="auto"/>
        <w:bottom w:val="none" w:sz="0" w:space="0" w:color="auto"/>
        <w:right w:val="none" w:sz="0" w:space="0" w:color="auto"/>
      </w:divBdr>
    </w:div>
    <w:div w:id="1451587974">
      <w:bodyDiv w:val="1"/>
      <w:marLeft w:val="0"/>
      <w:marRight w:val="0"/>
      <w:marTop w:val="0"/>
      <w:marBottom w:val="0"/>
      <w:divBdr>
        <w:top w:val="none" w:sz="0" w:space="0" w:color="auto"/>
        <w:left w:val="none" w:sz="0" w:space="0" w:color="auto"/>
        <w:bottom w:val="none" w:sz="0" w:space="0" w:color="auto"/>
        <w:right w:val="none" w:sz="0" w:space="0" w:color="auto"/>
      </w:divBdr>
    </w:div>
    <w:div w:id="1451629940">
      <w:bodyDiv w:val="1"/>
      <w:marLeft w:val="0"/>
      <w:marRight w:val="0"/>
      <w:marTop w:val="0"/>
      <w:marBottom w:val="0"/>
      <w:divBdr>
        <w:top w:val="none" w:sz="0" w:space="0" w:color="auto"/>
        <w:left w:val="none" w:sz="0" w:space="0" w:color="auto"/>
        <w:bottom w:val="none" w:sz="0" w:space="0" w:color="auto"/>
        <w:right w:val="none" w:sz="0" w:space="0" w:color="auto"/>
      </w:divBdr>
    </w:div>
    <w:div w:id="1451820589">
      <w:bodyDiv w:val="1"/>
      <w:marLeft w:val="0"/>
      <w:marRight w:val="0"/>
      <w:marTop w:val="0"/>
      <w:marBottom w:val="0"/>
      <w:divBdr>
        <w:top w:val="none" w:sz="0" w:space="0" w:color="auto"/>
        <w:left w:val="none" w:sz="0" w:space="0" w:color="auto"/>
        <w:bottom w:val="none" w:sz="0" w:space="0" w:color="auto"/>
        <w:right w:val="none" w:sz="0" w:space="0" w:color="auto"/>
      </w:divBdr>
    </w:div>
    <w:div w:id="1451822751">
      <w:bodyDiv w:val="1"/>
      <w:marLeft w:val="0"/>
      <w:marRight w:val="0"/>
      <w:marTop w:val="0"/>
      <w:marBottom w:val="0"/>
      <w:divBdr>
        <w:top w:val="none" w:sz="0" w:space="0" w:color="auto"/>
        <w:left w:val="none" w:sz="0" w:space="0" w:color="auto"/>
        <w:bottom w:val="none" w:sz="0" w:space="0" w:color="auto"/>
        <w:right w:val="none" w:sz="0" w:space="0" w:color="auto"/>
      </w:divBdr>
    </w:div>
    <w:div w:id="1451825629">
      <w:bodyDiv w:val="1"/>
      <w:marLeft w:val="0"/>
      <w:marRight w:val="0"/>
      <w:marTop w:val="0"/>
      <w:marBottom w:val="0"/>
      <w:divBdr>
        <w:top w:val="none" w:sz="0" w:space="0" w:color="auto"/>
        <w:left w:val="none" w:sz="0" w:space="0" w:color="auto"/>
        <w:bottom w:val="none" w:sz="0" w:space="0" w:color="auto"/>
        <w:right w:val="none" w:sz="0" w:space="0" w:color="auto"/>
      </w:divBdr>
    </w:div>
    <w:div w:id="1451973627">
      <w:bodyDiv w:val="1"/>
      <w:marLeft w:val="0"/>
      <w:marRight w:val="0"/>
      <w:marTop w:val="0"/>
      <w:marBottom w:val="0"/>
      <w:divBdr>
        <w:top w:val="none" w:sz="0" w:space="0" w:color="auto"/>
        <w:left w:val="none" w:sz="0" w:space="0" w:color="auto"/>
        <w:bottom w:val="none" w:sz="0" w:space="0" w:color="auto"/>
        <w:right w:val="none" w:sz="0" w:space="0" w:color="auto"/>
      </w:divBdr>
    </w:div>
    <w:div w:id="1452016643">
      <w:bodyDiv w:val="1"/>
      <w:marLeft w:val="0"/>
      <w:marRight w:val="0"/>
      <w:marTop w:val="0"/>
      <w:marBottom w:val="0"/>
      <w:divBdr>
        <w:top w:val="none" w:sz="0" w:space="0" w:color="auto"/>
        <w:left w:val="none" w:sz="0" w:space="0" w:color="auto"/>
        <w:bottom w:val="none" w:sz="0" w:space="0" w:color="auto"/>
        <w:right w:val="none" w:sz="0" w:space="0" w:color="auto"/>
      </w:divBdr>
    </w:div>
    <w:div w:id="1452086488">
      <w:bodyDiv w:val="1"/>
      <w:marLeft w:val="0"/>
      <w:marRight w:val="0"/>
      <w:marTop w:val="0"/>
      <w:marBottom w:val="0"/>
      <w:divBdr>
        <w:top w:val="none" w:sz="0" w:space="0" w:color="auto"/>
        <w:left w:val="none" w:sz="0" w:space="0" w:color="auto"/>
        <w:bottom w:val="none" w:sz="0" w:space="0" w:color="auto"/>
        <w:right w:val="none" w:sz="0" w:space="0" w:color="auto"/>
      </w:divBdr>
    </w:div>
    <w:div w:id="1452094628">
      <w:bodyDiv w:val="1"/>
      <w:marLeft w:val="0"/>
      <w:marRight w:val="0"/>
      <w:marTop w:val="0"/>
      <w:marBottom w:val="0"/>
      <w:divBdr>
        <w:top w:val="none" w:sz="0" w:space="0" w:color="auto"/>
        <w:left w:val="none" w:sz="0" w:space="0" w:color="auto"/>
        <w:bottom w:val="none" w:sz="0" w:space="0" w:color="auto"/>
        <w:right w:val="none" w:sz="0" w:space="0" w:color="auto"/>
      </w:divBdr>
    </w:div>
    <w:div w:id="1452165174">
      <w:bodyDiv w:val="1"/>
      <w:marLeft w:val="0"/>
      <w:marRight w:val="0"/>
      <w:marTop w:val="0"/>
      <w:marBottom w:val="0"/>
      <w:divBdr>
        <w:top w:val="none" w:sz="0" w:space="0" w:color="auto"/>
        <w:left w:val="none" w:sz="0" w:space="0" w:color="auto"/>
        <w:bottom w:val="none" w:sz="0" w:space="0" w:color="auto"/>
        <w:right w:val="none" w:sz="0" w:space="0" w:color="auto"/>
      </w:divBdr>
    </w:div>
    <w:div w:id="1452240466">
      <w:bodyDiv w:val="1"/>
      <w:marLeft w:val="0"/>
      <w:marRight w:val="0"/>
      <w:marTop w:val="0"/>
      <w:marBottom w:val="0"/>
      <w:divBdr>
        <w:top w:val="none" w:sz="0" w:space="0" w:color="auto"/>
        <w:left w:val="none" w:sz="0" w:space="0" w:color="auto"/>
        <w:bottom w:val="none" w:sz="0" w:space="0" w:color="auto"/>
        <w:right w:val="none" w:sz="0" w:space="0" w:color="auto"/>
      </w:divBdr>
    </w:div>
    <w:div w:id="1452242398">
      <w:bodyDiv w:val="1"/>
      <w:marLeft w:val="0"/>
      <w:marRight w:val="0"/>
      <w:marTop w:val="0"/>
      <w:marBottom w:val="0"/>
      <w:divBdr>
        <w:top w:val="none" w:sz="0" w:space="0" w:color="auto"/>
        <w:left w:val="none" w:sz="0" w:space="0" w:color="auto"/>
        <w:bottom w:val="none" w:sz="0" w:space="0" w:color="auto"/>
        <w:right w:val="none" w:sz="0" w:space="0" w:color="auto"/>
      </w:divBdr>
    </w:div>
    <w:div w:id="1452281808">
      <w:bodyDiv w:val="1"/>
      <w:marLeft w:val="0"/>
      <w:marRight w:val="0"/>
      <w:marTop w:val="0"/>
      <w:marBottom w:val="0"/>
      <w:divBdr>
        <w:top w:val="none" w:sz="0" w:space="0" w:color="auto"/>
        <w:left w:val="none" w:sz="0" w:space="0" w:color="auto"/>
        <w:bottom w:val="none" w:sz="0" w:space="0" w:color="auto"/>
        <w:right w:val="none" w:sz="0" w:space="0" w:color="auto"/>
      </w:divBdr>
    </w:div>
    <w:div w:id="1452358316">
      <w:bodyDiv w:val="1"/>
      <w:marLeft w:val="0"/>
      <w:marRight w:val="0"/>
      <w:marTop w:val="0"/>
      <w:marBottom w:val="0"/>
      <w:divBdr>
        <w:top w:val="none" w:sz="0" w:space="0" w:color="auto"/>
        <w:left w:val="none" w:sz="0" w:space="0" w:color="auto"/>
        <w:bottom w:val="none" w:sz="0" w:space="0" w:color="auto"/>
        <w:right w:val="none" w:sz="0" w:space="0" w:color="auto"/>
      </w:divBdr>
    </w:div>
    <w:div w:id="1452364302">
      <w:bodyDiv w:val="1"/>
      <w:marLeft w:val="0"/>
      <w:marRight w:val="0"/>
      <w:marTop w:val="0"/>
      <w:marBottom w:val="0"/>
      <w:divBdr>
        <w:top w:val="none" w:sz="0" w:space="0" w:color="auto"/>
        <w:left w:val="none" w:sz="0" w:space="0" w:color="auto"/>
        <w:bottom w:val="none" w:sz="0" w:space="0" w:color="auto"/>
        <w:right w:val="none" w:sz="0" w:space="0" w:color="auto"/>
      </w:divBdr>
    </w:div>
    <w:div w:id="1452431951">
      <w:bodyDiv w:val="1"/>
      <w:marLeft w:val="0"/>
      <w:marRight w:val="0"/>
      <w:marTop w:val="0"/>
      <w:marBottom w:val="0"/>
      <w:divBdr>
        <w:top w:val="none" w:sz="0" w:space="0" w:color="auto"/>
        <w:left w:val="none" w:sz="0" w:space="0" w:color="auto"/>
        <w:bottom w:val="none" w:sz="0" w:space="0" w:color="auto"/>
        <w:right w:val="none" w:sz="0" w:space="0" w:color="auto"/>
      </w:divBdr>
    </w:div>
    <w:div w:id="1452555575">
      <w:bodyDiv w:val="1"/>
      <w:marLeft w:val="0"/>
      <w:marRight w:val="0"/>
      <w:marTop w:val="0"/>
      <w:marBottom w:val="0"/>
      <w:divBdr>
        <w:top w:val="none" w:sz="0" w:space="0" w:color="auto"/>
        <w:left w:val="none" w:sz="0" w:space="0" w:color="auto"/>
        <w:bottom w:val="none" w:sz="0" w:space="0" w:color="auto"/>
        <w:right w:val="none" w:sz="0" w:space="0" w:color="auto"/>
      </w:divBdr>
    </w:div>
    <w:div w:id="1452628693">
      <w:bodyDiv w:val="1"/>
      <w:marLeft w:val="0"/>
      <w:marRight w:val="0"/>
      <w:marTop w:val="0"/>
      <w:marBottom w:val="0"/>
      <w:divBdr>
        <w:top w:val="none" w:sz="0" w:space="0" w:color="auto"/>
        <w:left w:val="none" w:sz="0" w:space="0" w:color="auto"/>
        <w:bottom w:val="none" w:sz="0" w:space="0" w:color="auto"/>
        <w:right w:val="none" w:sz="0" w:space="0" w:color="auto"/>
      </w:divBdr>
    </w:div>
    <w:div w:id="1452672462">
      <w:bodyDiv w:val="1"/>
      <w:marLeft w:val="0"/>
      <w:marRight w:val="0"/>
      <w:marTop w:val="0"/>
      <w:marBottom w:val="0"/>
      <w:divBdr>
        <w:top w:val="none" w:sz="0" w:space="0" w:color="auto"/>
        <w:left w:val="none" w:sz="0" w:space="0" w:color="auto"/>
        <w:bottom w:val="none" w:sz="0" w:space="0" w:color="auto"/>
        <w:right w:val="none" w:sz="0" w:space="0" w:color="auto"/>
      </w:divBdr>
    </w:div>
    <w:div w:id="1452675817">
      <w:bodyDiv w:val="1"/>
      <w:marLeft w:val="0"/>
      <w:marRight w:val="0"/>
      <w:marTop w:val="0"/>
      <w:marBottom w:val="0"/>
      <w:divBdr>
        <w:top w:val="none" w:sz="0" w:space="0" w:color="auto"/>
        <w:left w:val="none" w:sz="0" w:space="0" w:color="auto"/>
        <w:bottom w:val="none" w:sz="0" w:space="0" w:color="auto"/>
        <w:right w:val="none" w:sz="0" w:space="0" w:color="auto"/>
      </w:divBdr>
    </w:div>
    <w:div w:id="1452743541">
      <w:bodyDiv w:val="1"/>
      <w:marLeft w:val="0"/>
      <w:marRight w:val="0"/>
      <w:marTop w:val="0"/>
      <w:marBottom w:val="0"/>
      <w:divBdr>
        <w:top w:val="none" w:sz="0" w:space="0" w:color="auto"/>
        <w:left w:val="none" w:sz="0" w:space="0" w:color="auto"/>
        <w:bottom w:val="none" w:sz="0" w:space="0" w:color="auto"/>
        <w:right w:val="none" w:sz="0" w:space="0" w:color="auto"/>
      </w:divBdr>
    </w:div>
    <w:div w:id="1452747045">
      <w:bodyDiv w:val="1"/>
      <w:marLeft w:val="0"/>
      <w:marRight w:val="0"/>
      <w:marTop w:val="0"/>
      <w:marBottom w:val="0"/>
      <w:divBdr>
        <w:top w:val="none" w:sz="0" w:space="0" w:color="auto"/>
        <w:left w:val="none" w:sz="0" w:space="0" w:color="auto"/>
        <w:bottom w:val="none" w:sz="0" w:space="0" w:color="auto"/>
        <w:right w:val="none" w:sz="0" w:space="0" w:color="auto"/>
      </w:divBdr>
    </w:div>
    <w:div w:id="1452748717">
      <w:bodyDiv w:val="1"/>
      <w:marLeft w:val="0"/>
      <w:marRight w:val="0"/>
      <w:marTop w:val="0"/>
      <w:marBottom w:val="0"/>
      <w:divBdr>
        <w:top w:val="none" w:sz="0" w:space="0" w:color="auto"/>
        <w:left w:val="none" w:sz="0" w:space="0" w:color="auto"/>
        <w:bottom w:val="none" w:sz="0" w:space="0" w:color="auto"/>
        <w:right w:val="none" w:sz="0" w:space="0" w:color="auto"/>
      </w:divBdr>
    </w:div>
    <w:div w:id="1452820574">
      <w:bodyDiv w:val="1"/>
      <w:marLeft w:val="0"/>
      <w:marRight w:val="0"/>
      <w:marTop w:val="0"/>
      <w:marBottom w:val="0"/>
      <w:divBdr>
        <w:top w:val="none" w:sz="0" w:space="0" w:color="auto"/>
        <w:left w:val="none" w:sz="0" w:space="0" w:color="auto"/>
        <w:bottom w:val="none" w:sz="0" w:space="0" w:color="auto"/>
        <w:right w:val="none" w:sz="0" w:space="0" w:color="auto"/>
      </w:divBdr>
    </w:div>
    <w:div w:id="1452895517">
      <w:bodyDiv w:val="1"/>
      <w:marLeft w:val="0"/>
      <w:marRight w:val="0"/>
      <w:marTop w:val="0"/>
      <w:marBottom w:val="0"/>
      <w:divBdr>
        <w:top w:val="none" w:sz="0" w:space="0" w:color="auto"/>
        <w:left w:val="none" w:sz="0" w:space="0" w:color="auto"/>
        <w:bottom w:val="none" w:sz="0" w:space="0" w:color="auto"/>
        <w:right w:val="none" w:sz="0" w:space="0" w:color="auto"/>
      </w:divBdr>
    </w:div>
    <w:div w:id="1452941383">
      <w:bodyDiv w:val="1"/>
      <w:marLeft w:val="0"/>
      <w:marRight w:val="0"/>
      <w:marTop w:val="0"/>
      <w:marBottom w:val="0"/>
      <w:divBdr>
        <w:top w:val="none" w:sz="0" w:space="0" w:color="auto"/>
        <w:left w:val="none" w:sz="0" w:space="0" w:color="auto"/>
        <w:bottom w:val="none" w:sz="0" w:space="0" w:color="auto"/>
        <w:right w:val="none" w:sz="0" w:space="0" w:color="auto"/>
      </w:divBdr>
    </w:div>
    <w:div w:id="1453016185">
      <w:bodyDiv w:val="1"/>
      <w:marLeft w:val="0"/>
      <w:marRight w:val="0"/>
      <w:marTop w:val="0"/>
      <w:marBottom w:val="0"/>
      <w:divBdr>
        <w:top w:val="none" w:sz="0" w:space="0" w:color="auto"/>
        <w:left w:val="none" w:sz="0" w:space="0" w:color="auto"/>
        <w:bottom w:val="none" w:sz="0" w:space="0" w:color="auto"/>
        <w:right w:val="none" w:sz="0" w:space="0" w:color="auto"/>
      </w:divBdr>
    </w:div>
    <w:div w:id="1453090435">
      <w:bodyDiv w:val="1"/>
      <w:marLeft w:val="0"/>
      <w:marRight w:val="0"/>
      <w:marTop w:val="0"/>
      <w:marBottom w:val="0"/>
      <w:divBdr>
        <w:top w:val="none" w:sz="0" w:space="0" w:color="auto"/>
        <w:left w:val="none" w:sz="0" w:space="0" w:color="auto"/>
        <w:bottom w:val="none" w:sz="0" w:space="0" w:color="auto"/>
        <w:right w:val="none" w:sz="0" w:space="0" w:color="auto"/>
      </w:divBdr>
    </w:div>
    <w:div w:id="1453095045">
      <w:bodyDiv w:val="1"/>
      <w:marLeft w:val="0"/>
      <w:marRight w:val="0"/>
      <w:marTop w:val="0"/>
      <w:marBottom w:val="0"/>
      <w:divBdr>
        <w:top w:val="none" w:sz="0" w:space="0" w:color="auto"/>
        <w:left w:val="none" w:sz="0" w:space="0" w:color="auto"/>
        <w:bottom w:val="none" w:sz="0" w:space="0" w:color="auto"/>
        <w:right w:val="none" w:sz="0" w:space="0" w:color="auto"/>
      </w:divBdr>
    </w:div>
    <w:div w:id="1453133452">
      <w:bodyDiv w:val="1"/>
      <w:marLeft w:val="0"/>
      <w:marRight w:val="0"/>
      <w:marTop w:val="0"/>
      <w:marBottom w:val="0"/>
      <w:divBdr>
        <w:top w:val="none" w:sz="0" w:space="0" w:color="auto"/>
        <w:left w:val="none" w:sz="0" w:space="0" w:color="auto"/>
        <w:bottom w:val="none" w:sz="0" w:space="0" w:color="auto"/>
        <w:right w:val="none" w:sz="0" w:space="0" w:color="auto"/>
      </w:divBdr>
    </w:div>
    <w:div w:id="1453207537">
      <w:bodyDiv w:val="1"/>
      <w:marLeft w:val="0"/>
      <w:marRight w:val="0"/>
      <w:marTop w:val="0"/>
      <w:marBottom w:val="0"/>
      <w:divBdr>
        <w:top w:val="none" w:sz="0" w:space="0" w:color="auto"/>
        <w:left w:val="none" w:sz="0" w:space="0" w:color="auto"/>
        <w:bottom w:val="none" w:sz="0" w:space="0" w:color="auto"/>
        <w:right w:val="none" w:sz="0" w:space="0" w:color="auto"/>
      </w:divBdr>
    </w:div>
    <w:div w:id="1453211687">
      <w:bodyDiv w:val="1"/>
      <w:marLeft w:val="0"/>
      <w:marRight w:val="0"/>
      <w:marTop w:val="0"/>
      <w:marBottom w:val="0"/>
      <w:divBdr>
        <w:top w:val="none" w:sz="0" w:space="0" w:color="auto"/>
        <w:left w:val="none" w:sz="0" w:space="0" w:color="auto"/>
        <w:bottom w:val="none" w:sz="0" w:space="0" w:color="auto"/>
        <w:right w:val="none" w:sz="0" w:space="0" w:color="auto"/>
      </w:divBdr>
    </w:div>
    <w:div w:id="1453401977">
      <w:bodyDiv w:val="1"/>
      <w:marLeft w:val="0"/>
      <w:marRight w:val="0"/>
      <w:marTop w:val="0"/>
      <w:marBottom w:val="0"/>
      <w:divBdr>
        <w:top w:val="none" w:sz="0" w:space="0" w:color="auto"/>
        <w:left w:val="none" w:sz="0" w:space="0" w:color="auto"/>
        <w:bottom w:val="none" w:sz="0" w:space="0" w:color="auto"/>
        <w:right w:val="none" w:sz="0" w:space="0" w:color="auto"/>
      </w:divBdr>
    </w:div>
    <w:div w:id="1453477065">
      <w:bodyDiv w:val="1"/>
      <w:marLeft w:val="0"/>
      <w:marRight w:val="0"/>
      <w:marTop w:val="0"/>
      <w:marBottom w:val="0"/>
      <w:divBdr>
        <w:top w:val="none" w:sz="0" w:space="0" w:color="auto"/>
        <w:left w:val="none" w:sz="0" w:space="0" w:color="auto"/>
        <w:bottom w:val="none" w:sz="0" w:space="0" w:color="auto"/>
        <w:right w:val="none" w:sz="0" w:space="0" w:color="auto"/>
      </w:divBdr>
    </w:div>
    <w:div w:id="1453478050">
      <w:bodyDiv w:val="1"/>
      <w:marLeft w:val="0"/>
      <w:marRight w:val="0"/>
      <w:marTop w:val="0"/>
      <w:marBottom w:val="0"/>
      <w:divBdr>
        <w:top w:val="none" w:sz="0" w:space="0" w:color="auto"/>
        <w:left w:val="none" w:sz="0" w:space="0" w:color="auto"/>
        <w:bottom w:val="none" w:sz="0" w:space="0" w:color="auto"/>
        <w:right w:val="none" w:sz="0" w:space="0" w:color="auto"/>
      </w:divBdr>
    </w:div>
    <w:div w:id="1453599434">
      <w:bodyDiv w:val="1"/>
      <w:marLeft w:val="0"/>
      <w:marRight w:val="0"/>
      <w:marTop w:val="0"/>
      <w:marBottom w:val="0"/>
      <w:divBdr>
        <w:top w:val="none" w:sz="0" w:space="0" w:color="auto"/>
        <w:left w:val="none" w:sz="0" w:space="0" w:color="auto"/>
        <w:bottom w:val="none" w:sz="0" w:space="0" w:color="auto"/>
        <w:right w:val="none" w:sz="0" w:space="0" w:color="auto"/>
      </w:divBdr>
    </w:div>
    <w:div w:id="1453666232">
      <w:bodyDiv w:val="1"/>
      <w:marLeft w:val="0"/>
      <w:marRight w:val="0"/>
      <w:marTop w:val="0"/>
      <w:marBottom w:val="0"/>
      <w:divBdr>
        <w:top w:val="none" w:sz="0" w:space="0" w:color="auto"/>
        <w:left w:val="none" w:sz="0" w:space="0" w:color="auto"/>
        <w:bottom w:val="none" w:sz="0" w:space="0" w:color="auto"/>
        <w:right w:val="none" w:sz="0" w:space="0" w:color="auto"/>
      </w:divBdr>
    </w:div>
    <w:div w:id="1453672885">
      <w:bodyDiv w:val="1"/>
      <w:marLeft w:val="0"/>
      <w:marRight w:val="0"/>
      <w:marTop w:val="0"/>
      <w:marBottom w:val="0"/>
      <w:divBdr>
        <w:top w:val="none" w:sz="0" w:space="0" w:color="auto"/>
        <w:left w:val="none" w:sz="0" w:space="0" w:color="auto"/>
        <w:bottom w:val="none" w:sz="0" w:space="0" w:color="auto"/>
        <w:right w:val="none" w:sz="0" w:space="0" w:color="auto"/>
      </w:divBdr>
    </w:div>
    <w:div w:id="1454013364">
      <w:bodyDiv w:val="1"/>
      <w:marLeft w:val="0"/>
      <w:marRight w:val="0"/>
      <w:marTop w:val="0"/>
      <w:marBottom w:val="0"/>
      <w:divBdr>
        <w:top w:val="none" w:sz="0" w:space="0" w:color="auto"/>
        <w:left w:val="none" w:sz="0" w:space="0" w:color="auto"/>
        <w:bottom w:val="none" w:sz="0" w:space="0" w:color="auto"/>
        <w:right w:val="none" w:sz="0" w:space="0" w:color="auto"/>
      </w:divBdr>
    </w:div>
    <w:div w:id="1454013534">
      <w:bodyDiv w:val="1"/>
      <w:marLeft w:val="0"/>
      <w:marRight w:val="0"/>
      <w:marTop w:val="0"/>
      <w:marBottom w:val="0"/>
      <w:divBdr>
        <w:top w:val="none" w:sz="0" w:space="0" w:color="auto"/>
        <w:left w:val="none" w:sz="0" w:space="0" w:color="auto"/>
        <w:bottom w:val="none" w:sz="0" w:space="0" w:color="auto"/>
        <w:right w:val="none" w:sz="0" w:space="0" w:color="auto"/>
      </w:divBdr>
    </w:div>
    <w:div w:id="1454013976">
      <w:bodyDiv w:val="1"/>
      <w:marLeft w:val="0"/>
      <w:marRight w:val="0"/>
      <w:marTop w:val="0"/>
      <w:marBottom w:val="0"/>
      <w:divBdr>
        <w:top w:val="none" w:sz="0" w:space="0" w:color="auto"/>
        <w:left w:val="none" w:sz="0" w:space="0" w:color="auto"/>
        <w:bottom w:val="none" w:sz="0" w:space="0" w:color="auto"/>
        <w:right w:val="none" w:sz="0" w:space="0" w:color="auto"/>
      </w:divBdr>
    </w:div>
    <w:div w:id="1454132597">
      <w:bodyDiv w:val="1"/>
      <w:marLeft w:val="0"/>
      <w:marRight w:val="0"/>
      <w:marTop w:val="0"/>
      <w:marBottom w:val="0"/>
      <w:divBdr>
        <w:top w:val="none" w:sz="0" w:space="0" w:color="auto"/>
        <w:left w:val="none" w:sz="0" w:space="0" w:color="auto"/>
        <w:bottom w:val="none" w:sz="0" w:space="0" w:color="auto"/>
        <w:right w:val="none" w:sz="0" w:space="0" w:color="auto"/>
      </w:divBdr>
    </w:div>
    <w:div w:id="1454593505">
      <w:bodyDiv w:val="1"/>
      <w:marLeft w:val="0"/>
      <w:marRight w:val="0"/>
      <w:marTop w:val="0"/>
      <w:marBottom w:val="0"/>
      <w:divBdr>
        <w:top w:val="none" w:sz="0" w:space="0" w:color="auto"/>
        <w:left w:val="none" w:sz="0" w:space="0" w:color="auto"/>
        <w:bottom w:val="none" w:sz="0" w:space="0" w:color="auto"/>
        <w:right w:val="none" w:sz="0" w:space="0" w:color="auto"/>
      </w:divBdr>
    </w:div>
    <w:div w:id="1454710256">
      <w:bodyDiv w:val="1"/>
      <w:marLeft w:val="0"/>
      <w:marRight w:val="0"/>
      <w:marTop w:val="0"/>
      <w:marBottom w:val="0"/>
      <w:divBdr>
        <w:top w:val="none" w:sz="0" w:space="0" w:color="auto"/>
        <w:left w:val="none" w:sz="0" w:space="0" w:color="auto"/>
        <w:bottom w:val="none" w:sz="0" w:space="0" w:color="auto"/>
        <w:right w:val="none" w:sz="0" w:space="0" w:color="auto"/>
      </w:divBdr>
    </w:div>
    <w:div w:id="1454790674">
      <w:bodyDiv w:val="1"/>
      <w:marLeft w:val="0"/>
      <w:marRight w:val="0"/>
      <w:marTop w:val="0"/>
      <w:marBottom w:val="0"/>
      <w:divBdr>
        <w:top w:val="none" w:sz="0" w:space="0" w:color="auto"/>
        <w:left w:val="none" w:sz="0" w:space="0" w:color="auto"/>
        <w:bottom w:val="none" w:sz="0" w:space="0" w:color="auto"/>
        <w:right w:val="none" w:sz="0" w:space="0" w:color="auto"/>
      </w:divBdr>
    </w:div>
    <w:div w:id="1454862768">
      <w:bodyDiv w:val="1"/>
      <w:marLeft w:val="0"/>
      <w:marRight w:val="0"/>
      <w:marTop w:val="0"/>
      <w:marBottom w:val="0"/>
      <w:divBdr>
        <w:top w:val="none" w:sz="0" w:space="0" w:color="auto"/>
        <w:left w:val="none" w:sz="0" w:space="0" w:color="auto"/>
        <w:bottom w:val="none" w:sz="0" w:space="0" w:color="auto"/>
        <w:right w:val="none" w:sz="0" w:space="0" w:color="auto"/>
      </w:divBdr>
    </w:div>
    <w:div w:id="1454909461">
      <w:bodyDiv w:val="1"/>
      <w:marLeft w:val="0"/>
      <w:marRight w:val="0"/>
      <w:marTop w:val="0"/>
      <w:marBottom w:val="0"/>
      <w:divBdr>
        <w:top w:val="none" w:sz="0" w:space="0" w:color="auto"/>
        <w:left w:val="none" w:sz="0" w:space="0" w:color="auto"/>
        <w:bottom w:val="none" w:sz="0" w:space="0" w:color="auto"/>
        <w:right w:val="none" w:sz="0" w:space="0" w:color="auto"/>
      </w:divBdr>
    </w:div>
    <w:div w:id="1455060130">
      <w:bodyDiv w:val="1"/>
      <w:marLeft w:val="0"/>
      <w:marRight w:val="0"/>
      <w:marTop w:val="0"/>
      <w:marBottom w:val="0"/>
      <w:divBdr>
        <w:top w:val="none" w:sz="0" w:space="0" w:color="auto"/>
        <w:left w:val="none" w:sz="0" w:space="0" w:color="auto"/>
        <w:bottom w:val="none" w:sz="0" w:space="0" w:color="auto"/>
        <w:right w:val="none" w:sz="0" w:space="0" w:color="auto"/>
      </w:divBdr>
    </w:div>
    <w:div w:id="1455171075">
      <w:bodyDiv w:val="1"/>
      <w:marLeft w:val="0"/>
      <w:marRight w:val="0"/>
      <w:marTop w:val="0"/>
      <w:marBottom w:val="0"/>
      <w:divBdr>
        <w:top w:val="none" w:sz="0" w:space="0" w:color="auto"/>
        <w:left w:val="none" w:sz="0" w:space="0" w:color="auto"/>
        <w:bottom w:val="none" w:sz="0" w:space="0" w:color="auto"/>
        <w:right w:val="none" w:sz="0" w:space="0" w:color="auto"/>
      </w:divBdr>
    </w:div>
    <w:div w:id="1455296390">
      <w:bodyDiv w:val="1"/>
      <w:marLeft w:val="0"/>
      <w:marRight w:val="0"/>
      <w:marTop w:val="0"/>
      <w:marBottom w:val="0"/>
      <w:divBdr>
        <w:top w:val="none" w:sz="0" w:space="0" w:color="auto"/>
        <w:left w:val="none" w:sz="0" w:space="0" w:color="auto"/>
        <w:bottom w:val="none" w:sz="0" w:space="0" w:color="auto"/>
        <w:right w:val="none" w:sz="0" w:space="0" w:color="auto"/>
      </w:divBdr>
    </w:div>
    <w:div w:id="1455365679">
      <w:bodyDiv w:val="1"/>
      <w:marLeft w:val="0"/>
      <w:marRight w:val="0"/>
      <w:marTop w:val="0"/>
      <w:marBottom w:val="0"/>
      <w:divBdr>
        <w:top w:val="none" w:sz="0" w:space="0" w:color="auto"/>
        <w:left w:val="none" w:sz="0" w:space="0" w:color="auto"/>
        <w:bottom w:val="none" w:sz="0" w:space="0" w:color="auto"/>
        <w:right w:val="none" w:sz="0" w:space="0" w:color="auto"/>
      </w:divBdr>
    </w:div>
    <w:div w:id="1455445296">
      <w:bodyDiv w:val="1"/>
      <w:marLeft w:val="0"/>
      <w:marRight w:val="0"/>
      <w:marTop w:val="0"/>
      <w:marBottom w:val="0"/>
      <w:divBdr>
        <w:top w:val="none" w:sz="0" w:space="0" w:color="auto"/>
        <w:left w:val="none" w:sz="0" w:space="0" w:color="auto"/>
        <w:bottom w:val="none" w:sz="0" w:space="0" w:color="auto"/>
        <w:right w:val="none" w:sz="0" w:space="0" w:color="auto"/>
      </w:divBdr>
    </w:div>
    <w:div w:id="1455515786">
      <w:bodyDiv w:val="1"/>
      <w:marLeft w:val="0"/>
      <w:marRight w:val="0"/>
      <w:marTop w:val="0"/>
      <w:marBottom w:val="0"/>
      <w:divBdr>
        <w:top w:val="none" w:sz="0" w:space="0" w:color="auto"/>
        <w:left w:val="none" w:sz="0" w:space="0" w:color="auto"/>
        <w:bottom w:val="none" w:sz="0" w:space="0" w:color="auto"/>
        <w:right w:val="none" w:sz="0" w:space="0" w:color="auto"/>
      </w:divBdr>
    </w:div>
    <w:div w:id="1455640210">
      <w:bodyDiv w:val="1"/>
      <w:marLeft w:val="0"/>
      <w:marRight w:val="0"/>
      <w:marTop w:val="0"/>
      <w:marBottom w:val="0"/>
      <w:divBdr>
        <w:top w:val="none" w:sz="0" w:space="0" w:color="auto"/>
        <w:left w:val="none" w:sz="0" w:space="0" w:color="auto"/>
        <w:bottom w:val="none" w:sz="0" w:space="0" w:color="auto"/>
        <w:right w:val="none" w:sz="0" w:space="0" w:color="auto"/>
      </w:divBdr>
    </w:div>
    <w:div w:id="1455640657">
      <w:bodyDiv w:val="1"/>
      <w:marLeft w:val="0"/>
      <w:marRight w:val="0"/>
      <w:marTop w:val="0"/>
      <w:marBottom w:val="0"/>
      <w:divBdr>
        <w:top w:val="none" w:sz="0" w:space="0" w:color="auto"/>
        <w:left w:val="none" w:sz="0" w:space="0" w:color="auto"/>
        <w:bottom w:val="none" w:sz="0" w:space="0" w:color="auto"/>
        <w:right w:val="none" w:sz="0" w:space="0" w:color="auto"/>
      </w:divBdr>
    </w:div>
    <w:div w:id="1455716054">
      <w:bodyDiv w:val="1"/>
      <w:marLeft w:val="0"/>
      <w:marRight w:val="0"/>
      <w:marTop w:val="0"/>
      <w:marBottom w:val="0"/>
      <w:divBdr>
        <w:top w:val="none" w:sz="0" w:space="0" w:color="auto"/>
        <w:left w:val="none" w:sz="0" w:space="0" w:color="auto"/>
        <w:bottom w:val="none" w:sz="0" w:space="0" w:color="auto"/>
        <w:right w:val="none" w:sz="0" w:space="0" w:color="auto"/>
      </w:divBdr>
    </w:div>
    <w:div w:id="1455754013">
      <w:bodyDiv w:val="1"/>
      <w:marLeft w:val="0"/>
      <w:marRight w:val="0"/>
      <w:marTop w:val="0"/>
      <w:marBottom w:val="0"/>
      <w:divBdr>
        <w:top w:val="none" w:sz="0" w:space="0" w:color="auto"/>
        <w:left w:val="none" w:sz="0" w:space="0" w:color="auto"/>
        <w:bottom w:val="none" w:sz="0" w:space="0" w:color="auto"/>
        <w:right w:val="none" w:sz="0" w:space="0" w:color="auto"/>
      </w:divBdr>
    </w:div>
    <w:div w:id="1455825853">
      <w:bodyDiv w:val="1"/>
      <w:marLeft w:val="0"/>
      <w:marRight w:val="0"/>
      <w:marTop w:val="0"/>
      <w:marBottom w:val="0"/>
      <w:divBdr>
        <w:top w:val="none" w:sz="0" w:space="0" w:color="auto"/>
        <w:left w:val="none" w:sz="0" w:space="0" w:color="auto"/>
        <w:bottom w:val="none" w:sz="0" w:space="0" w:color="auto"/>
        <w:right w:val="none" w:sz="0" w:space="0" w:color="auto"/>
      </w:divBdr>
    </w:div>
    <w:div w:id="1455903256">
      <w:bodyDiv w:val="1"/>
      <w:marLeft w:val="0"/>
      <w:marRight w:val="0"/>
      <w:marTop w:val="0"/>
      <w:marBottom w:val="0"/>
      <w:divBdr>
        <w:top w:val="none" w:sz="0" w:space="0" w:color="auto"/>
        <w:left w:val="none" w:sz="0" w:space="0" w:color="auto"/>
        <w:bottom w:val="none" w:sz="0" w:space="0" w:color="auto"/>
        <w:right w:val="none" w:sz="0" w:space="0" w:color="auto"/>
      </w:divBdr>
    </w:div>
    <w:div w:id="1455948217">
      <w:bodyDiv w:val="1"/>
      <w:marLeft w:val="0"/>
      <w:marRight w:val="0"/>
      <w:marTop w:val="0"/>
      <w:marBottom w:val="0"/>
      <w:divBdr>
        <w:top w:val="none" w:sz="0" w:space="0" w:color="auto"/>
        <w:left w:val="none" w:sz="0" w:space="0" w:color="auto"/>
        <w:bottom w:val="none" w:sz="0" w:space="0" w:color="auto"/>
        <w:right w:val="none" w:sz="0" w:space="0" w:color="auto"/>
      </w:divBdr>
    </w:div>
    <w:div w:id="1455977634">
      <w:bodyDiv w:val="1"/>
      <w:marLeft w:val="0"/>
      <w:marRight w:val="0"/>
      <w:marTop w:val="0"/>
      <w:marBottom w:val="0"/>
      <w:divBdr>
        <w:top w:val="none" w:sz="0" w:space="0" w:color="auto"/>
        <w:left w:val="none" w:sz="0" w:space="0" w:color="auto"/>
        <w:bottom w:val="none" w:sz="0" w:space="0" w:color="auto"/>
        <w:right w:val="none" w:sz="0" w:space="0" w:color="auto"/>
      </w:divBdr>
    </w:div>
    <w:div w:id="1456021706">
      <w:bodyDiv w:val="1"/>
      <w:marLeft w:val="0"/>
      <w:marRight w:val="0"/>
      <w:marTop w:val="0"/>
      <w:marBottom w:val="0"/>
      <w:divBdr>
        <w:top w:val="none" w:sz="0" w:space="0" w:color="auto"/>
        <w:left w:val="none" w:sz="0" w:space="0" w:color="auto"/>
        <w:bottom w:val="none" w:sz="0" w:space="0" w:color="auto"/>
        <w:right w:val="none" w:sz="0" w:space="0" w:color="auto"/>
      </w:divBdr>
    </w:div>
    <w:div w:id="1456023455">
      <w:bodyDiv w:val="1"/>
      <w:marLeft w:val="0"/>
      <w:marRight w:val="0"/>
      <w:marTop w:val="0"/>
      <w:marBottom w:val="0"/>
      <w:divBdr>
        <w:top w:val="none" w:sz="0" w:space="0" w:color="auto"/>
        <w:left w:val="none" w:sz="0" w:space="0" w:color="auto"/>
        <w:bottom w:val="none" w:sz="0" w:space="0" w:color="auto"/>
        <w:right w:val="none" w:sz="0" w:space="0" w:color="auto"/>
      </w:divBdr>
    </w:div>
    <w:div w:id="1456094638">
      <w:bodyDiv w:val="1"/>
      <w:marLeft w:val="0"/>
      <w:marRight w:val="0"/>
      <w:marTop w:val="0"/>
      <w:marBottom w:val="0"/>
      <w:divBdr>
        <w:top w:val="none" w:sz="0" w:space="0" w:color="auto"/>
        <w:left w:val="none" w:sz="0" w:space="0" w:color="auto"/>
        <w:bottom w:val="none" w:sz="0" w:space="0" w:color="auto"/>
        <w:right w:val="none" w:sz="0" w:space="0" w:color="auto"/>
      </w:divBdr>
    </w:div>
    <w:div w:id="1456172579">
      <w:bodyDiv w:val="1"/>
      <w:marLeft w:val="0"/>
      <w:marRight w:val="0"/>
      <w:marTop w:val="0"/>
      <w:marBottom w:val="0"/>
      <w:divBdr>
        <w:top w:val="none" w:sz="0" w:space="0" w:color="auto"/>
        <w:left w:val="none" w:sz="0" w:space="0" w:color="auto"/>
        <w:bottom w:val="none" w:sz="0" w:space="0" w:color="auto"/>
        <w:right w:val="none" w:sz="0" w:space="0" w:color="auto"/>
      </w:divBdr>
    </w:div>
    <w:div w:id="1456213791">
      <w:bodyDiv w:val="1"/>
      <w:marLeft w:val="0"/>
      <w:marRight w:val="0"/>
      <w:marTop w:val="0"/>
      <w:marBottom w:val="0"/>
      <w:divBdr>
        <w:top w:val="none" w:sz="0" w:space="0" w:color="auto"/>
        <w:left w:val="none" w:sz="0" w:space="0" w:color="auto"/>
        <w:bottom w:val="none" w:sz="0" w:space="0" w:color="auto"/>
        <w:right w:val="none" w:sz="0" w:space="0" w:color="auto"/>
      </w:divBdr>
    </w:div>
    <w:div w:id="1456217765">
      <w:bodyDiv w:val="1"/>
      <w:marLeft w:val="0"/>
      <w:marRight w:val="0"/>
      <w:marTop w:val="0"/>
      <w:marBottom w:val="0"/>
      <w:divBdr>
        <w:top w:val="none" w:sz="0" w:space="0" w:color="auto"/>
        <w:left w:val="none" w:sz="0" w:space="0" w:color="auto"/>
        <w:bottom w:val="none" w:sz="0" w:space="0" w:color="auto"/>
        <w:right w:val="none" w:sz="0" w:space="0" w:color="auto"/>
      </w:divBdr>
    </w:div>
    <w:div w:id="1456219809">
      <w:bodyDiv w:val="1"/>
      <w:marLeft w:val="0"/>
      <w:marRight w:val="0"/>
      <w:marTop w:val="0"/>
      <w:marBottom w:val="0"/>
      <w:divBdr>
        <w:top w:val="none" w:sz="0" w:space="0" w:color="auto"/>
        <w:left w:val="none" w:sz="0" w:space="0" w:color="auto"/>
        <w:bottom w:val="none" w:sz="0" w:space="0" w:color="auto"/>
        <w:right w:val="none" w:sz="0" w:space="0" w:color="auto"/>
      </w:divBdr>
    </w:div>
    <w:div w:id="1456287989">
      <w:bodyDiv w:val="1"/>
      <w:marLeft w:val="0"/>
      <w:marRight w:val="0"/>
      <w:marTop w:val="0"/>
      <w:marBottom w:val="0"/>
      <w:divBdr>
        <w:top w:val="none" w:sz="0" w:space="0" w:color="auto"/>
        <w:left w:val="none" w:sz="0" w:space="0" w:color="auto"/>
        <w:bottom w:val="none" w:sz="0" w:space="0" w:color="auto"/>
        <w:right w:val="none" w:sz="0" w:space="0" w:color="auto"/>
      </w:divBdr>
    </w:div>
    <w:div w:id="1456370117">
      <w:bodyDiv w:val="1"/>
      <w:marLeft w:val="0"/>
      <w:marRight w:val="0"/>
      <w:marTop w:val="0"/>
      <w:marBottom w:val="0"/>
      <w:divBdr>
        <w:top w:val="none" w:sz="0" w:space="0" w:color="auto"/>
        <w:left w:val="none" w:sz="0" w:space="0" w:color="auto"/>
        <w:bottom w:val="none" w:sz="0" w:space="0" w:color="auto"/>
        <w:right w:val="none" w:sz="0" w:space="0" w:color="auto"/>
      </w:divBdr>
    </w:div>
    <w:div w:id="1456631730">
      <w:bodyDiv w:val="1"/>
      <w:marLeft w:val="0"/>
      <w:marRight w:val="0"/>
      <w:marTop w:val="0"/>
      <w:marBottom w:val="0"/>
      <w:divBdr>
        <w:top w:val="none" w:sz="0" w:space="0" w:color="auto"/>
        <w:left w:val="none" w:sz="0" w:space="0" w:color="auto"/>
        <w:bottom w:val="none" w:sz="0" w:space="0" w:color="auto"/>
        <w:right w:val="none" w:sz="0" w:space="0" w:color="auto"/>
      </w:divBdr>
    </w:div>
    <w:div w:id="1456752160">
      <w:bodyDiv w:val="1"/>
      <w:marLeft w:val="0"/>
      <w:marRight w:val="0"/>
      <w:marTop w:val="0"/>
      <w:marBottom w:val="0"/>
      <w:divBdr>
        <w:top w:val="none" w:sz="0" w:space="0" w:color="auto"/>
        <w:left w:val="none" w:sz="0" w:space="0" w:color="auto"/>
        <w:bottom w:val="none" w:sz="0" w:space="0" w:color="auto"/>
        <w:right w:val="none" w:sz="0" w:space="0" w:color="auto"/>
      </w:divBdr>
    </w:div>
    <w:div w:id="1457063649">
      <w:bodyDiv w:val="1"/>
      <w:marLeft w:val="0"/>
      <w:marRight w:val="0"/>
      <w:marTop w:val="0"/>
      <w:marBottom w:val="0"/>
      <w:divBdr>
        <w:top w:val="none" w:sz="0" w:space="0" w:color="auto"/>
        <w:left w:val="none" w:sz="0" w:space="0" w:color="auto"/>
        <w:bottom w:val="none" w:sz="0" w:space="0" w:color="auto"/>
        <w:right w:val="none" w:sz="0" w:space="0" w:color="auto"/>
      </w:divBdr>
    </w:div>
    <w:div w:id="1457135275">
      <w:bodyDiv w:val="1"/>
      <w:marLeft w:val="0"/>
      <w:marRight w:val="0"/>
      <w:marTop w:val="0"/>
      <w:marBottom w:val="0"/>
      <w:divBdr>
        <w:top w:val="none" w:sz="0" w:space="0" w:color="auto"/>
        <w:left w:val="none" w:sz="0" w:space="0" w:color="auto"/>
        <w:bottom w:val="none" w:sz="0" w:space="0" w:color="auto"/>
        <w:right w:val="none" w:sz="0" w:space="0" w:color="auto"/>
      </w:divBdr>
    </w:div>
    <w:div w:id="1457212119">
      <w:bodyDiv w:val="1"/>
      <w:marLeft w:val="0"/>
      <w:marRight w:val="0"/>
      <w:marTop w:val="0"/>
      <w:marBottom w:val="0"/>
      <w:divBdr>
        <w:top w:val="none" w:sz="0" w:space="0" w:color="auto"/>
        <w:left w:val="none" w:sz="0" w:space="0" w:color="auto"/>
        <w:bottom w:val="none" w:sz="0" w:space="0" w:color="auto"/>
        <w:right w:val="none" w:sz="0" w:space="0" w:color="auto"/>
      </w:divBdr>
    </w:div>
    <w:div w:id="1457258898">
      <w:bodyDiv w:val="1"/>
      <w:marLeft w:val="0"/>
      <w:marRight w:val="0"/>
      <w:marTop w:val="0"/>
      <w:marBottom w:val="0"/>
      <w:divBdr>
        <w:top w:val="none" w:sz="0" w:space="0" w:color="auto"/>
        <w:left w:val="none" w:sz="0" w:space="0" w:color="auto"/>
        <w:bottom w:val="none" w:sz="0" w:space="0" w:color="auto"/>
        <w:right w:val="none" w:sz="0" w:space="0" w:color="auto"/>
      </w:divBdr>
    </w:div>
    <w:div w:id="1457289753">
      <w:bodyDiv w:val="1"/>
      <w:marLeft w:val="0"/>
      <w:marRight w:val="0"/>
      <w:marTop w:val="0"/>
      <w:marBottom w:val="0"/>
      <w:divBdr>
        <w:top w:val="none" w:sz="0" w:space="0" w:color="auto"/>
        <w:left w:val="none" w:sz="0" w:space="0" w:color="auto"/>
        <w:bottom w:val="none" w:sz="0" w:space="0" w:color="auto"/>
        <w:right w:val="none" w:sz="0" w:space="0" w:color="auto"/>
      </w:divBdr>
    </w:div>
    <w:div w:id="1457328995">
      <w:bodyDiv w:val="1"/>
      <w:marLeft w:val="0"/>
      <w:marRight w:val="0"/>
      <w:marTop w:val="0"/>
      <w:marBottom w:val="0"/>
      <w:divBdr>
        <w:top w:val="none" w:sz="0" w:space="0" w:color="auto"/>
        <w:left w:val="none" w:sz="0" w:space="0" w:color="auto"/>
        <w:bottom w:val="none" w:sz="0" w:space="0" w:color="auto"/>
        <w:right w:val="none" w:sz="0" w:space="0" w:color="auto"/>
      </w:divBdr>
    </w:div>
    <w:div w:id="1457407246">
      <w:bodyDiv w:val="1"/>
      <w:marLeft w:val="0"/>
      <w:marRight w:val="0"/>
      <w:marTop w:val="0"/>
      <w:marBottom w:val="0"/>
      <w:divBdr>
        <w:top w:val="none" w:sz="0" w:space="0" w:color="auto"/>
        <w:left w:val="none" w:sz="0" w:space="0" w:color="auto"/>
        <w:bottom w:val="none" w:sz="0" w:space="0" w:color="auto"/>
        <w:right w:val="none" w:sz="0" w:space="0" w:color="auto"/>
      </w:divBdr>
    </w:div>
    <w:div w:id="1457481600">
      <w:bodyDiv w:val="1"/>
      <w:marLeft w:val="0"/>
      <w:marRight w:val="0"/>
      <w:marTop w:val="0"/>
      <w:marBottom w:val="0"/>
      <w:divBdr>
        <w:top w:val="none" w:sz="0" w:space="0" w:color="auto"/>
        <w:left w:val="none" w:sz="0" w:space="0" w:color="auto"/>
        <w:bottom w:val="none" w:sz="0" w:space="0" w:color="auto"/>
        <w:right w:val="none" w:sz="0" w:space="0" w:color="auto"/>
      </w:divBdr>
    </w:div>
    <w:div w:id="1457522798">
      <w:bodyDiv w:val="1"/>
      <w:marLeft w:val="0"/>
      <w:marRight w:val="0"/>
      <w:marTop w:val="0"/>
      <w:marBottom w:val="0"/>
      <w:divBdr>
        <w:top w:val="none" w:sz="0" w:space="0" w:color="auto"/>
        <w:left w:val="none" w:sz="0" w:space="0" w:color="auto"/>
        <w:bottom w:val="none" w:sz="0" w:space="0" w:color="auto"/>
        <w:right w:val="none" w:sz="0" w:space="0" w:color="auto"/>
      </w:divBdr>
    </w:div>
    <w:div w:id="1457530097">
      <w:bodyDiv w:val="1"/>
      <w:marLeft w:val="0"/>
      <w:marRight w:val="0"/>
      <w:marTop w:val="0"/>
      <w:marBottom w:val="0"/>
      <w:divBdr>
        <w:top w:val="none" w:sz="0" w:space="0" w:color="auto"/>
        <w:left w:val="none" w:sz="0" w:space="0" w:color="auto"/>
        <w:bottom w:val="none" w:sz="0" w:space="0" w:color="auto"/>
        <w:right w:val="none" w:sz="0" w:space="0" w:color="auto"/>
      </w:divBdr>
    </w:div>
    <w:div w:id="1457601480">
      <w:bodyDiv w:val="1"/>
      <w:marLeft w:val="0"/>
      <w:marRight w:val="0"/>
      <w:marTop w:val="0"/>
      <w:marBottom w:val="0"/>
      <w:divBdr>
        <w:top w:val="none" w:sz="0" w:space="0" w:color="auto"/>
        <w:left w:val="none" w:sz="0" w:space="0" w:color="auto"/>
        <w:bottom w:val="none" w:sz="0" w:space="0" w:color="auto"/>
        <w:right w:val="none" w:sz="0" w:space="0" w:color="auto"/>
      </w:divBdr>
    </w:div>
    <w:div w:id="1457720417">
      <w:bodyDiv w:val="1"/>
      <w:marLeft w:val="0"/>
      <w:marRight w:val="0"/>
      <w:marTop w:val="0"/>
      <w:marBottom w:val="0"/>
      <w:divBdr>
        <w:top w:val="none" w:sz="0" w:space="0" w:color="auto"/>
        <w:left w:val="none" w:sz="0" w:space="0" w:color="auto"/>
        <w:bottom w:val="none" w:sz="0" w:space="0" w:color="auto"/>
        <w:right w:val="none" w:sz="0" w:space="0" w:color="auto"/>
      </w:divBdr>
    </w:div>
    <w:div w:id="1457791371">
      <w:bodyDiv w:val="1"/>
      <w:marLeft w:val="0"/>
      <w:marRight w:val="0"/>
      <w:marTop w:val="0"/>
      <w:marBottom w:val="0"/>
      <w:divBdr>
        <w:top w:val="none" w:sz="0" w:space="0" w:color="auto"/>
        <w:left w:val="none" w:sz="0" w:space="0" w:color="auto"/>
        <w:bottom w:val="none" w:sz="0" w:space="0" w:color="auto"/>
        <w:right w:val="none" w:sz="0" w:space="0" w:color="auto"/>
      </w:divBdr>
    </w:div>
    <w:div w:id="1457793153">
      <w:bodyDiv w:val="1"/>
      <w:marLeft w:val="0"/>
      <w:marRight w:val="0"/>
      <w:marTop w:val="0"/>
      <w:marBottom w:val="0"/>
      <w:divBdr>
        <w:top w:val="none" w:sz="0" w:space="0" w:color="auto"/>
        <w:left w:val="none" w:sz="0" w:space="0" w:color="auto"/>
        <w:bottom w:val="none" w:sz="0" w:space="0" w:color="auto"/>
        <w:right w:val="none" w:sz="0" w:space="0" w:color="auto"/>
      </w:divBdr>
    </w:div>
    <w:div w:id="1457794314">
      <w:bodyDiv w:val="1"/>
      <w:marLeft w:val="0"/>
      <w:marRight w:val="0"/>
      <w:marTop w:val="0"/>
      <w:marBottom w:val="0"/>
      <w:divBdr>
        <w:top w:val="none" w:sz="0" w:space="0" w:color="auto"/>
        <w:left w:val="none" w:sz="0" w:space="0" w:color="auto"/>
        <w:bottom w:val="none" w:sz="0" w:space="0" w:color="auto"/>
        <w:right w:val="none" w:sz="0" w:space="0" w:color="auto"/>
      </w:divBdr>
    </w:div>
    <w:div w:id="1457915702">
      <w:bodyDiv w:val="1"/>
      <w:marLeft w:val="0"/>
      <w:marRight w:val="0"/>
      <w:marTop w:val="0"/>
      <w:marBottom w:val="0"/>
      <w:divBdr>
        <w:top w:val="none" w:sz="0" w:space="0" w:color="auto"/>
        <w:left w:val="none" w:sz="0" w:space="0" w:color="auto"/>
        <w:bottom w:val="none" w:sz="0" w:space="0" w:color="auto"/>
        <w:right w:val="none" w:sz="0" w:space="0" w:color="auto"/>
      </w:divBdr>
    </w:div>
    <w:div w:id="1457942446">
      <w:bodyDiv w:val="1"/>
      <w:marLeft w:val="0"/>
      <w:marRight w:val="0"/>
      <w:marTop w:val="0"/>
      <w:marBottom w:val="0"/>
      <w:divBdr>
        <w:top w:val="none" w:sz="0" w:space="0" w:color="auto"/>
        <w:left w:val="none" w:sz="0" w:space="0" w:color="auto"/>
        <w:bottom w:val="none" w:sz="0" w:space="0" w:color="auto"/>
        <w:right w:val="none" w:sz="0" w:space="0" w:color="auto"/>
      </w:divBdr>
    </w:div>
    <w:div w:id="1458060087">
      <w:bodyDiv w:val="1"/>
      <w:marLeft w:val="0"/>
      <w:marRight w:val="0"/>
      <w:marTop w:val="0"/>
      <w:marBottom w:val="0"/>
      <w:divBdr>
        <w:top w:val="none" w:sz="0" w:space="0" w:color="auto"/>
        <w:left w:val="none" w:sz="0" w:space="0" w:color="auto"/>
        <w:bottom w:val="none" w:sz="0" w:space="0" w:color="auto"/>
        <w:right w:val="none" w:sz="0" w:space="0" w:color="auto"/>
      </w:divBdr>
    </w:div>
    <w:div w:id="1458060850">
      <w:bodyDiv w:val="1"/>
      <w:marLeft w:val="0"/>
      <w:marRight w:val="0"/>
      <w:marTop w:val="0"/>
      <w:marBottom w:val="0"/>
      <w:divBdr>
        <w:top w:val="none" w:sz="0" w:space="0" w:color="auto"/>
        <w:left w:val="none" w:sz="0" w:space="0" w:color="auto"/>
        <w:bottom w:val="none" w:sz="0" w:space="0" w:color="auto"/>
        <w:right w:val="none" w:sz="0" w:space="0" w:color="auto"/>
      </w:divBdr>
    </w:div>
    <w:div w:id="1458062286">
      <w:bodyDiv w:val="1"/>
      <w:marLeft w:val="0"/>
      <w:marRight w:val="0"/>
      <w:marTop w:val="0"/>
      <w:marBottom w:val="0"/>
      <w:divBdr>
        <w:top w:val="none" w:sz="0" w:space="0" w:color="auto"/>
        <w:left w:val="none" w:sz="0" w:space="0" w:color="auto"/>
        <w:bottom w:val="none" w:sz="0" w:space="0" w:color="auto"/>
        <w:right w:val="none" w:sz="0" w:space="0" w:color="auto"/>
      </w:divBdr>
    </w:div>
    <w:div w:id="1458065468">
      <w:bodyDiv w:val="1"/>
      <w:marLeft w:val="0"/>
      <w:marRight w:val="0"/>
      <w:marTop w:val="0"/>
      <w:marBottom w:val="0"/>
      <w:divBdr>
        <w:top w:val="none" w:sz="0" w:space="0" w:color="auto"/>
        <w:left w:val="none" w:sz="0" w:space="0" w:color="auto"/>
        <w:bottom w:val="none" w:sz="0" w:space="0" w:color="auto"/>
        <w:right w:val="none" w:sz="0" w:space="0" w:color="auto"/>
      </w:divBdr>
    </w:div>
    <w:div w:id="1458253392">
      <w:bodyDiv w:val="1"/>
      <w:marLeft w:val="0"/>
      <w:marRight w:val="0"/>
      <w:marTop w:val="0"/>
      <w:marBottom w:val="0"/>
      <w:divBdr>
        <w:top w:val="none" w:sz="0" w:space="0" w:color="auto"/>
        <w:left w:val="none" w:sz="0" w:space="0" w:color="auto"/>
        <w:bottom w:val="none" w:sz="0" w:space="0" w:color="auto"/>
        <w:right w:val="none" w:sz="0" w:space="0" w:color="auto"/>
      </w:divBdr>
    </w:div>
    <w:div w:id="1458254206">
      <w:bodyDiv w:val="1"/>
      <w:marLeft w:val="0"/>
      <w:marRight w:val="0"/>
      <w:marTop w:val="0"/>
      <w:marBottom w:val="0"/>
      <w:divBdr>
        <w:top w:val="none" w:sz="0" w:space="0" w:color="auto"/>
        <w:left w:val="none" w:sz="0" w:space="0" w:color="auto"/>
        <w:bottom w:val="none" w:sz="0" w:space="0" w:color="auto"/>
        <w:right w:val="none" w:sz="0" w:space="0" w:color="auto"/>
      </w:divBdr>
    </w:div>
    <w:div w:id="1458376872">
      <w:bodyDiv w:val="1"/>
      <w:marLeft w:val="0"/>
      <w:marRight w:val="0"/>
      <w:marTop w:val="0"/>
      <w:marBottom w:val="0"/>
      <w:divBdr>
        <w:top w:val="none" w:sz="0" w:space="0" w:color="auto"/>
        <w:left w:val="none" w:sz="0" w:space="0" w:color="auto"/>
        <w:bottom w:val="none" w:sz="0" w:space="0" w:color="auto"/>
        <w:right w:val="none" w:sz="0" w:space="0" w:color="auto"/>
      </w:divBdr>
    </w:div>
    <w:div w:id="1458454969">
      <w:bodyDiv w:val="1"/>
      <w:marLeft w:val="0"/>
      <w:marRight w:val="0"/>
      <w:marTop w:val="0"/>
      <w:marBottom w:val="0"/>
      <w:divBdr>
        <w:top w:val="none" w:sz="0" w:space="0" w:color="auto"/>
        <w:left w:val="none" w:sz="0" w:space="0" w:color="auto"/>
        <w:bottom w:val="none" w:sz="0" w:space="0" w:color="auto"/>
        <w:right w:val="none" w:sz="0" w:space="0" w:color="auto"/>
      </w:divBdr>
    </w:div>
    <w:div w:id="1458524360">
      <w:bodyDiv w:val="1"/>
      <w:marLeft w:val="0"/>
      <w:marRight w:val="0"/>
      <w:marTop w:val="0"/>
      <w:marBottom w:val="0"/>
      <w:divBdr>
        <w:top w:val="none" w:sz="0" w:space="0" w:color="auto"/>
        <w:left w:val="none" w:sz="0" w:space="0" w:color="auto"/>
        <w:bottom w:val="none" w:sz="0" w:space="0" w:color="auto"/>
        <w:right w:val="none" w:sz="0" w:space="0" w:color="auto"/>
      </w:divBdr>
    </w:div>
    <w:div w:id="1458721288">
      <w:bodyDiv w:val="1"/>
      <w:marLeft w:val="0"/>
      <w:marRight w:val="0"/>
      <w:marTop w:val="0"/>
      <w:marBottom w:val="0"/>
      <w:divBdr>
        <w:top w:val="none" w:sz="0" w:space="0" w:color="auto"/>
        <w:left w:val="none" w:sz="0" w:space="0" w:color="auto"/>
        <w:bottom w:val="none" w:sz="0" w:space="0" w:color="auto"/>
        <w:right w:val="none" w:sz="0" w:space="0" w:color="auto"/>
      </w:divBdr>
    </w:div>
    <w:div w:id="1458722727">
      <w:bodyDiv w:val="1"/>
      <w:marLeft w:val="0"/>
      <w:marRight w:val="0"/>
      <w:marTop w:val="0"/>
      <w:marBottom w:val="0"/>
      <w:divBdr>
        <w:top w:val="none" w:sz="0" w:space="0" w:color="auto"/>
        <w:left w:val="none" w:sz="0" w:space="0" w:color="auto"/>
        <w:bottom w:val="none" w:sz="0" w:space="0" w:color="auto"/>
        <w:right w:val="none" w:sz="0" w:space="0" w:color="auto"/>
      </w:divBdr>
    </w:div>
    <w:div w:id="1458723139">
      <w:bodyDiv w:val="1"/>
      <w:marLeft w:val="0"/>
      <w:marRight w:val="0"/>
      <w:marTop w:val="0"/>
      <w:marBottom w:val="0"/>
      <w:divBdr>
        <w:top w:val="none" w:sz="0" w:space="0" w:color="auto"/>
        <w:left w:val="none" w:sz="0" w:space="0" w:color="auto"/>
        <w:bottom w:val="none" w:sz="0" w:space="0" w:color="auto"/>
        <w:right w:val="none" w:sz="0" w:space="0" w:color="auto"/>
      </w:divBdr>
    </w:div>
    <w:div w:id="1458791997">
      <w:bodyDiv w:val="1"/>
      <w:marLeft w:val="0"/>
      <w:marRight w:val="0"/>
      <w:marTop w:val="0"/>
      <w:marBottom w:val="0"/>
      <w:divBdr>
        <w:top w:val="none" w:sz="0" w:space="0" w:color="auto"/>
        <w:left w:val="none" w:sz="0" w:space="0" w:color="auto"/>
        <w:bottom w:val="none" w:sz="0" w:space="0" w:color="auto"/>
        <w:right w:val="none" w:sz="0" w:space="0" w:color="auto"/>
      </w:divBdr>
    </w:div>
    <w:div w:id="1458793558">
      <w:bodyDiv w:val="1"/>
      <w:marLeft w:val="0"/>
      <w:marRight w:val="0"/>
      <w:marTop w:val="0"/>
      <w:marBottom w:val="0"/>
      <w:divBdr>
        <w:top w:val="none" w:sz="0" w:space="0" w:color="auto"/>
        <w:left w:val="none" w:sz="0" w:space="0" w:color="auto"/>
        <w:bottom w:val="none" w:sz="0" w:space="0" w:color="auto"/>
        <w:right w:val="none" w:sz="0" w:space="0" w:color="auto"/>
      </w:divBdr>
    </w:div>
    <w:div w:id="1458795168">
      <w:bodyDiv w:val="1"/>
      <w:marLeft w:val="0"/>
      <w:marRight w:val="0"/>
      <w:marTop w:val="0"/>
      <w:marBottom w:val="0"/>
      <w:divBdr>
        <w:top w:val="none" w:sz="0" w:space="0" w:color="auto"/>
        <w:left w:val="none" w:sz="0" w:space="0" w:color="auto"/>
        <w:bottom w:val="none" w:sz="0" w:space="0" w:color="auto"/>
        <w:right w:val="none" w:sz="0" w:space="0" w:color="auto"/>
      </w:divBdr>
    </w:div>
    <w:div w:id="1458798013">
      <w:bodyDiv w:val="1"/>
      <w:marLeft w:val="0"/>
      <w:marRight w:val="0"/>
      <w:marTop w:val="0"/>
      <w:marBottom w:val="0"/>
      <w:divBdr>
        <w:top w:val="none" w:sz="0" w:space="0" w:color="auto"/>
        <w:left w:val="none" w:sz="0" w:space="0" w:color="auto"/>
        <w:bottom w:val="none" w:sz="0" w:space="0" w:color="auto"/>
        <w:right w:val="none" w:sz="0" w:space="0" w:color="auto"/>
      </w:divBdr>
    </w:div>
    <w:div w:id="1458838555">
      <w:bodyDiv w:val="1"/>
      <w:marLeft w:val="0"/>
      <w:marRight w:val="0"/>
      <w:marTop w:val="0"/>
      <w:marBottom w:val="0"/>
      <w:divBdr>
        <w:top w:val="none" w:sz="0" w:space="0" w:color="auto"/>
        <w:left w:val="none" w:sz="0" w:space="0" w:color="auto"/>
        <w:bottom w:val="none" w:sz="0" w:space="0" w:color="auto"/>
        <w:right w:val="none" w:sz="0" w:space="0" w:color="auto"/>
      </w:divBdr>
    </w:div>
    <w:div w:id="1458841506">
      <w:bodyDiv w:val="1"/>
      <w:marLeft w:val="0"/>
      <w:marRight w:val="0"/>
      <w:marTop w:val="0"/>
      <w:marBottom w:val="0"/>
      <w:divBdr>
        <w:top w:val="none" w:sz="0" w:space="0" w:color="auto"/>
        <w:left w:val="none" w:sz="0" w:space="0" w:color="auto"/>
        <w:bottom w:val="none" w:sz="0" w:space="0" w:color="auto"/>
        <w:right w:val="none" w:sz="0" w:space="0" w:color="auto"/>
      </w:divBdr>
    </w:div>
    <w:div w:id="1458985832">
      <w:bodyDiv w:val="1"/>
      <w:marLeft w:val="0"/>
      <w:marRight w:val="0"/>
      <w:marTop w:val="0"/>
      <w:marBottom w:val="0"/>
      <w:divBdr>
        <w:top w:val="none" w:sz="0" w:space="0" w:color="auto"/>
        <w:left w:val="none" w:sz="0" w:space="0" w:color="auto"/>
        <w:bottom w:val="none" w:sz="0" w:space="0" w:color="auto"/>
        <w:right w:val="none" w:sz="0" w:space="0" w:color="auto"/>
      </w:divBdr>
    </w:div>
    <w:div w:id="1458987623">
      <w:bodyDiv w:val="1"/>
      <w:marLeft w:val="0"/>
      <w:marRight w:val="0"/>
      <w:marTop w:val="0"/>
      <w:marBottom w:val="0"/>
      <w:divBdr>
        <w:top w:val="none" w:sz="0" w:space="0" w:color="auto"/>
        <w:left w:val="none" w:sz="0" w:space="0" w:color="auto"/>
        <w:bottom w:val="none" w:sz="0" w:space="0" w:color="auto"/>
        <w:right w:val="none" w:sz="0" w:space="0" w:color="auto"/>
      </w:divBdr>
    </w:div>
    <w:div w:id="1458989165">
      <w:bodyDiv w:val="1"/>
      <w:marLeft w:val="0"/>
      <w:marRight w:val="0"/>
      <w:marTop w:val="0"/>
      <w:marBottom w:val="0"/>
      <w:divBdr>
        <w:top w:val="none" w:sz="0" w:space="0" w:color="auto"/>
        <w:left w:val="none" w:sz="0" w:space="0" w:color="auto"/>
        <w:bottom w:val="none" w:sz="0" w:space="0" w:color="auto"/>
        <w:right w:val="none" w:sz="0" w:space="0" w:color="auto"/>
      </w:divBdr>
    </w:div>
    <w:div w:id="1459028222">
      <w:bodyDiv w:val="1"/>
      <w:marLeft w:val="0"/>
      <w:marRight w:val="0"/>
      <w:marTop w:val="0"/>
      <w:marBottom w:val="0"/>
      <w:divBdr>
        <w:top w:val="none" w:sz="0" w:space="0" w:color="auto"/>
        <w:left w:val="none" w:sz="0" w:space="0" w:color="auto"/>
        <w:bottom w:val="none" w:sz="0" w:space="0" w:color="auto"/>
        <w:right w:val="none" w:sz="0" w:space="0" w:color="auto"/>
      </w:divBdr>
    </w:div>
    <w:div w:id="1459031372">
      <w:bodyDiv w:val="1"/>
      <w:marLeft w:val="0"/>
      <w:marRight w:val="0"/>
      <w:marTop w:val="0"/>
      <w:marBottom w:val="0"/>
      <w:divBdr>
        <w:top w:val="none" w:sz="0" w:space="0" w:color="auto"/>
        <w:left w:val="none" w:sz="0" w:space="0" w:color="auto"/>
        <w:bottom w:val="none" w:sz="0" w:space="0" w:color="auto"/>
        <w:right w:val="none" w:sz="0" w:space="0" w:color="auto"/>
      </w:divBdr>
    </w:div>
    <w:div w:id="1459102960">
      <w:bodyDiv w:val="1"/>
      <w:marLeft w:val="0"/>
      <w:marRight w:val="0"/>
      <w:marTop w:val="0"/>
      <w:marBottom w:val="0"/>
      <w:divBdr>
        <w:top w:val="none" w:sz="0" w:space="0" w:color="auto"/>
        <w:left w:val="none" w:sz="0" w:space="0" w:color="auto"/>
        <w:bottom w:val="none" w:sz="0" w:space="0" w:color="auto"/>
        <w:right w:val="none" w:sz="0" w:space="0" w:color="auto"/>
      </w:divBdr>
    </w:div>
    <w:div w:id="1459103417">
      <w:bodyDiv w:val="1"/>
      <w:marLeft w:val="0"/>
      <w:marRight w:val="0"/>
      <w:marTop w:val="0"/>
      <w:marBottom w:val="0"/>
      <w:divBdr>
        <w:top w:val="none" w:sz="0" w:space="0" w:color="auto"/>
        <w:left w:val="none" w:sz="0" w:space="0" w:color="auto"/>
        <w:bottom w:val="none" w:sz="0" w:space="0" w:color="auto"/>
        <w:right w:val="none" w:sz="0" w:space="0" w:color="auto"/>
      </w:divBdr>
    </w:div>
    <w:div w:id="1459104424">
      <w:bodyDiv w:val="1"/>
      <w:marLeft w:val="0"/>
      <w:marRight w:val="0"/>
      <w:marTop w:val="0"/>
      <w:marBottom w:val="0"/>
      <w:divBdr>
        <w:top w:val="none" w:sz="0" w:space="0" w:color="auto"/>
        <w:left w:val="none" w:sz="0" w:space="0" w:color="auto"/>
        <w:bottom w:val="none" w:sz="0" w:space="0" w:color="auto"/>
        <w:right w:val="none" w:sz="0" w:space="0" w:color="auto"/>
      </w:divBdr>
    </w:div>
    <w:div w:id="1459107506">
      <w:bodyDiv w:val="1"/>
      <w:marLeft w:val="0"/>
      <w:marRight w:val="0"/>
      <w:marTop w:val="0"/>
      <w:marBottom w:val="0"/>
      <w:divBdr>
        <w:top w:val="none" w:sz="0" w:space="0" w:color="auto"/>
        <w:left w:val="none" w:sz="0" w:space="0" w:color="auto"/>
        <w:bottom w:val="none" w:sz="0" w:space="0" w:color="auto"/>
        <w:right w:val="none" w:sz="0" w:space="0" w:color="auto"/>
      </w:divBdr>
    </w:div>
    <w:div w:id="1459107523">
      <w:bodyDiv w:val="1"/>
      <w:marLeft w:val="0"/>
      <w:marRight w:val="0"/>
      <w:marTop w:val="0"/>
      <w:marBottom w:val="0"/>
      <w:divBdr>
        <w:top w:val="none" w:sz="0" w:space="0" w:color="auto"/>
        <w:left w:val="none" w:sz="0" w:space="0" w:color="auto"/>
        <w:bottom w:val="none" w:sz="0" w:space="0" w:color="auto"/>
        <w:right w:val="none" w:sz="0" w:space="0" w:color="auto"/>
      </w:divBdr>
    </w:div>
    <w:div w:id="1459182801">
      <w:bodyDiv w:val="1"/>
      <w:marLeft w:val="0"/>
      <w:marRight w:val="0"/>
      <w:marTop w:val="0"/>
      <w:marBottom w:val="0"/>
      <w:divBdr>
        <w:top w:val="none" w:sz="0" w:space="0" w:color="auto"/>
        <w:left w:val="none" w:sz="0" w:space="0" w:color="auto"/>
        <w:bottom w:val="none" w:sz="0" w:space="0" w:color="auto"/>
        <w:right w:val="none" w:sz="0" w:space="0" w:color="auto"/>
      </w:divBdr>
    </w:div>
    <w:div w:id="1459253878">
      <w:bodyDiv w:val="1"/>
      <w:marLeft w:val="0"/>
      <w:marRight w:val="0"/>
      <w:marTop w:val="0"/>
      <w:marBottom w:val="0"/>
      <w:divBdr>
        <w:top w:val="none" w:sz="0" w:space="0" w:color="auto"/>
        <w:left w:val="none" w:sz="0" w:space="0" w:color="auto"/>
        <w:bottom w:val="none" w:sz="0" w:space="0" w:color="auto"/>
        <w:right w:val="none" w:sz="0" w:space="0" w:color="auto"/>
      </w:divBdr>
    </w:div>
    <w:div w:id="1459295870">
      <w:bodyDiv w:val="1"/>
      <w:marLeft w:val="0"/>
      <w:marRight w:val="0"/>
      <w:marTop w:val="0"/>
      <w:marBottom w:val="0"/>
      <w:divBdr>
        <w:top w:val="none" w:sz="0" w:space="0" w:color="auto"/>
        <w:left w:val="none" w:sz="0" w:space="0" w:color="auto"/>
        <w:bottom w:val="none" w:sz="0" w:space="0" w:color="auto"/>
        <w:right w:val="none" w:sz="0" w:space="0" w:color="auto"/>
      </w:divBdr>
    </w:div>
    <w:div w:id="1459299692">
      <w:bodyDiv w:val="1"/>
      <w:marLeft w:val="0"/>
      <w:marRight w:val="0"/>
      <w:marTop w:val="0"/>
      <w:marBottom w:val="0"/>
      <w:divBdr>
        <w:top w:val="none" w:sz="0" w:space="0" w:color="auto"/>
        <w:left w:val="none" w:sz="0" w:space="0" w:color="auto"/>
        <w:bottom w:val="none" w:sz="0" w:space="0" w:color="auto"/>
        <w:right w:val="none" w:sz="0" w:space="0" w:color="auto"/>
      </w:divBdr>
    </w:div>
    <w:div w:id="1459300204">
      <w:bodyDiv w:val="1"/>
      <w:marLeft w:val="0"/>
      <w:marRight w:val="0"/>
      <w:marTop w:val="0"/>
      <w:marBottom w:val="0"/>
      <w:divBdr>
        <w:top w:val="none" w:sz="0" w:space="0" w:color="auto"/>
        <w:left w:val="none" w:sz="0" w:space="0" w:color="auto"/>
        <w:bottom w:val="none" w:sz="0" w:space="0" w:color="auto"/>
        <w:right w:val="none" w:sz="0" w:space="0" w:color="auto"/>
      </w:divBdr>
    </w:div>
    <w:div w:id="1459301512">
      <w:bodyDiv w:val="1"/>
      <w:marLeft w:val="0"/>
      <w:marRight w:val="0"/>
      <w:marTop w:val="0"/>
      <w:marBottom w:val="0"/>
      <w:divBdr>
        <w:top w:val="none" w:sz="0" w:space="0" w:color="auto"/>
        <w:left w:val="none" w:sz="0" w:space="0" w:color="auto"/>
        <w:bottom w:val="none" w:sz="0" w:space="0" w:color="auto"/>
        <w:right w:val="none" w:sz="0" w:space="0" w:color="auto"/>
      </w:divBdr>
    </w:div>
    <w:div w:id="1459496370">
      <w:bodyDiv w:val="1"/>
      <w:marLeft w:val="0"/>
      <w:marRight w:val="0"/>
      <w:marTop w:val="0"/>
      <w:marBottom w:val="0"/>
      <w:divBdr>
        <w:top w:val="none" w:sz="0" w:space="0" w:color="auto"/>
        <w:left w:val="none" w:sz="0" w:space="0" w:color="auto"/>
        <w:bottom w:val="none" w:sz="0" w:space="0" w:color="auto"/>
        <w:right w:val="none" w:sz="0" w:space="0" w:color="auto"/>
      </w:divBdr>
    </w:div>
    <w:div w:id="1459641464">
      <w:bodyDiv w:val="1"/>
      <w:marLeft w:val="0"/>
      <w:marRight w:val="0"/>
      <w:marTop w:val="0"/>
      <w:marBottom w:val="0"/>
      <w:divBdr>
        <w:top w:val="none" w:sz="0" w:space="0" w:color="auto"/>
        <w:left w:val="none" w:sz="0" w:space="0" w:color="auto"/>
        <w:bottom w:val="none" w:sz="0" w:space="0" w:color="auto"/>
        <w:right w:val="none" w:sz="0" w:space="0" w:color="auto"/>
      </w:divBdr>
    </w:div>
    <w:div w:id="1459642565">
      <w:bodyDiv w:val="1"/>
      <w:marLeft w:val="0"/>
      <w:marRight w:val="0"/>
      <w:marTop w:val="0"/>
      <w:marBottom w:val="0"/>
      <w:divBdr>
        <w:top w:val="none" w:sz="0" w:space="0" w:color="auto"/>
        <w:left w:val="none" w:sz="0" w:space="0" w:color="auto"/>
        <w:bottom w:val="none" w:sz="0" w:space="0" w:color="auto"/>
        <w:right w:val="none" w:sz="0" w:space="0" w:color="auto"/>
      </w:divBdr>
    </w:div>
    <w:div w:id="1459644647">
      <w:bodyDiv w:val="1"/>
      <w:marLeft w:val="0"/>
      <w:marRight w:val="0"/>
      <w:marTop w:val="0"/>
      <w:marBottom w:val="0"/>
      <w:divBdr>
        <w:top w:val="none" w:sz="0" w:space="0" w:color="auto"/>
        <w:left w:val="none" w:sz="0" w:space="0" w:color="auto"/>
        <w:bottom w:val="none" w:sz="0" w:space="0" w:color="auto"/>
        <w:right w:val="none" w:sz="0" w:space="0" w:color="auto"/>
      </w:divBdr>
    </w:div>
    <w:div w:id="1459686574">
      <w:bodyDiv w:val="1"/>
      <w:marLeft w:val="0"/>
      <w:marRight w:val="0"/>
      <w:marTop w:val="0"/>
      <w:marBottom w:val="0"/>
      <w:divBdr>
        <w:top w:val="none" w:sz="0" w:space="0" w:color="auto"/>
        <w:left w:val="none" w:sz="0" w:space="0" w:color="auto"/>
        <w:bottom w:val="none" w:sz="0" w:space="0" w:color="auto"/>
        <w:right w:val="none" w:sz="0" w:space="0" w:color="auto"/>
      </w:divBdr>
    </w:div>
    <w:div w:id="1459715856">
      <w:bodyDiv w:val="1"/>
      <w:marLeft w:val="0"/>
      <w:marRight w:val="0"/>
      <w:marTop w:val="0"/>
      <w:marBottom w:val="0"/>
      <w:divBdr>
        <w:top w:val="none" w:sz="0" w:space="0" w:color="auto"/>
        <w:left w:val="none" w:sz="0" w:space="0" w:color="auto"/>
        <w:bottom w:val="none" w:sz="0" w:space="0" w:color="auto"/>
        <w:right w:val="none" w:sz="0" w:space="0" w:color="auto"/>
      </w:divBdr>
    </w:div>
    <w:div w:id="1459758273">
      <w:bodyDiv w:val="1"/>
      <w:marLeft w:val="0"/>
      <w:marRight w:val="0"/>
      <w:marTop w:val="0"/>
      <w:marBottom w:val="0"/>
      <w:divBdr>
        <w:top w:val="none" w:sz="0" w:space="0" w:color="auto"/>
        <w:left w:val="none" w:sz="0" w:space="0" w:color="auto"/>
        <w:bottom w:val="none" w:sz="0" w:space="0" w:color="auto"/>
        <w:right w:val="none" w:sz="0" w:space="0" w:color="auto"/>
      </w:divBdr>
    </w:div>
    <w:div w:id="1459760422">
      <w:bodyDiv w:val="1"/>
      <w:marLeft w:val="0"/>
      <w:marRight w:val="0"/>
      <w:marTop w:val="0"/>
      <w:marBottom w:val="0"/>
      <w:divBdr>
        <w:top w:val="none" w:sz="0" w:space="0" w:color="auto"/>
        <w:left w:val="none" w:sz="0" w:space="0" w:color="auto"/>
        <w:bottom w:val="none" w:sz="0" w:space="0" w:color="auto"/>
        <w:right w:val="none" w:sz="0" w:space="0" w:color="auto"/>
      </w:divBdr>
    </w:div>
    <w:div w:id="1459764909">
      <w:bodyDiv w:val="1"/>
      <w:marLeft w:val="0"/>
      <w:marRight w:val="0"/>
      <w:marTop w:val="0"/>
      <w:marBottom w:val="0"/>
      <w:divBdr>
        <w:top w:val="none" w:sz="0" w:space="0" w:color="auto"/>
        <w:left w:val="none" w:sz="0" w:space="0" w:color="auto"/>
        <w:bottom w:val="none" w:sz="0" w:space="0" w:color="auto"/>
        <w:right w:val="none" w:sz="0" w:space="0" w:color="auto"/>
      </w:divBdr>
    </w:div>
    <w:div w:id="1459834599">
      <w:bodyDiv w:val="1"/>
      <w:marLeft w:val="0"/>
      <w:marRight w:val="0"/>
      <w:marTop w:val="0"/>
      <w:marBottom w:val="0"/>
      <w:divBdr>
        <w:top w:val="none" w:sz="0" w:space="0" w:color="auto"/>
        <w:left w:val="none" w:sz="0" w:space="0" w:color="auto"/>
        <w:bottom w:val="none" w:sz="0" w:space="0" w:color="auto"/>
        <w:right w:val="none" w:sz="0" w:space="0" w:color="auto"/>
      </w:divBdr>
    </w:div>
    <w:div w:id="1459881732">
      <w:bodyDiv w:val="1"/>
      <w:marLeft w:val="0"/>
      <w:marRight w:val="0"/>
      <w:marTop w:val="0"/>
      <w:marBottom w:val="0"/>
      <w:divBdr>
        <w:top w:val="none" w:sz="0" w:space="0" w:color="auto"/>
        <w:left w:val="none" w:sz="0" w:space="0" w:color="auto"/>
        <w:bottom w:val="none" w:sz="0" w:space="0" w:color="auto"/>
        <w:right w:val="none" w:sz="0" w:space="0" w:color="auto"/>
      </w:divBdr>
    </w:div>
    <w:div w:id="1459952628">
      <w:bodyDiv w:val="1"/>
      <w:marLeft w:val="0"/>
      <w:marRight w:val="0"/>
      <w:marTop w:val="0"/>
      <w:marBottom w:val="0"/>
      <w:divBdr>
        <w:top w:val="none" w:sz="0" w:space="0" w:color="auto"/>
        <w:left w:val="none" w:sz="0" w:space="0" w:color="auto"/>
        <w:bottom w:val="none" w:sz="0" w:space="0" w:color="auto"/>
        <w:right w:val="none" w:sz="0" w:space="0" w:color="auto"/>
      </w:divBdr>
    </w:div>
    <w:div w:id="1460100534">
      <w:bodyDiv w:val="1"/>
      <w:marLeft w:val="0"/>
      <w:marRight w:val="0"/>
      <w:marTop w:val="0"/>
      <w:marBottom w:val="0"/>
      <w:divBdr>
        <w:top w:val="none" w:sz="0" w:space="0" w:color="auto"/>
        <w:left w:val="none" w:sz="0" w:space="0" w:color="auto"/>
        <w:bottom w:val="none" w:sz="0" w:space="0" w:color="auto"/>
        <w:right w:val="none" w:sz="0" w:space="0" w:color="auto"/>
      </w:divBdr>
    </w:div>
    <w:div w:id="1460102141">
      <w:bodyDiv w:val="1"/>
      <w:marLeft w:val="0"/>
      <w:marRight w:val="0"/>
      <w:marTop w:val="0"/>
      <w:marBottom w:val="0"/>
      <w:divBdr>
        <w:top w:val="none" w:sz="0" w:space="0" w:color="auto"/>
        <w:left w:val="none" w:sz="0" w:space="0" w:color="auto"/>
        <w:bottom w:val="none" w:sz="0" w:space="0" w:color="auto"/>
        <w:right w:val="none" w:sz="0" w:space="0" w:color="auto"/>
      </w:divBdr>
    </w:div>
    <w:div w:id="1460218478">
      <w:bodyDiv w:val="1"/>
      <w:marLeft w:val="0"/>
      <w:marRight w:val="0"/>
      <w:marTop w:val="0"/>
      <w:marBottom w:val="0"/>
      <w:divBdr>
        <w:top w:val="none" w:sz="0" w:space="0" w:color="auto"/>
        <w:left w:val="none" w:sz="0" w:space="0" w:color="auto"/>
        <w:bottom w:val="none" w:sz="0" w:space="0" w:color="auto"/>
        <w:right w:val="none" w:sz="0" w:space="0" w:color="auto"/>
      </w:divBdr>
    </w:div>
    <w:div w:id="1460226315">
      <w:bodyDiv w:val="1"/>
      <w:marLeft w:val="0"/>
      <w:marRight w:val="0"/>
      <w:marTop w:val="0"/>
      <w:marBottom w:val="0"/>
      <w:divBdr>
        <w:top w:val="none" w:sz="0" w:space="0" w:color="auto"/>
        <w:left w:val="none" w:sz="0" w:space="0" w:color="auto"/>
        <w:bottom w:val="none" w:sz="0" w:space="0" w:color="auto"/>
        <w:right w:val="none" w:sz="0" w:space="0" w:color="auto"/>
      </w:divBdr>
    </w:div>
    <w:div w:id="1460297099">
      <w:bodyDiv w:val="1"/>
      <w:marLeft w:val="0"/>
      <w:marRight w:val="0"/>
      <w:marTop w:val="0"/>
      <w:marBottom w:val="0"/>
      <w:divBdr>
        <w:top w:val="none" w:sz="0" w:space="0" w:color="auto"/>
        <w:left w:val="none" w:sz="0" w:space="0" w:color="auto"/>
        <w:bottom w:val="none" w:sz="0" w:space="0" w:color="auto"/>
        <w:right w:val="none" w:sz="0" w:space="0" w:color="auto"/>
      </w:divBdr>
    </w:div>
    <w:div w:id="1460342561">
      <w:bodyDiv w:val="1"/>
      <w:marLeft w:val="0"/>
      <w:marRight w:val="0"/>
      <w:marTop w:val="0"/>
      <w:marBottom w:val="0"/>
      <w:divBdr>
        <w:top w:val="none" w:sz="0" w:space="0" w:color="auto"/>
        <w:left w:val="none" w:sz="0" w:space="0" w:color="auto"/>
        <w:bottom w:val="none" w:sz="0" w:space="0" w:color="auto"/>
        <w:right w:val="none" w:sz="0" w:space="0" w:color="auto"/>
      </w:divBdr>
    </w:div>
    <w:div w:id="1460370880">
      <w:bodyDiv w:val="1"/>
      <w:marLeft w:val="0"/>
      <w:marRight w:val="0"/>
      <w:marTop w:val="0"/>
      <w:marBottom w:val="0"/>
      <w:divBdr>
        <w:top w:val="none" w:sz="0" w:space="0" w:color="auto"/>
        <w:left w:val="none" w:sz="0" w:space="0" w:color="auto"/>
        <w:bottom w:val="none" w:sz="0" w:space="0" w:color="auto"/>
        <w:right w:val="none" w:sz="0" w:space="0" w:color="auto"/>
      </w:divBdr>
    </w:div>
    <w:div w:id="1460495771">
      <w:bodyDiv w:val="1"/>
      <w:marLeft w:val="0"/>
      <w:marRight w:val="0"/>
      <w:marTop w:val="0"/>
      <w:marBottom w:val="0"/>
      <w:divBdr>
        <w:top w:val="none" w:sz="0" w:space="0" w:color="auto"/>
        <w:left w:val="none" w:sz="0" w:space="0" w:color="auto"/>
        <w:bottom w:val="none" w:sz="0" w:space="0" w:color="auto"/>
        <w:right w:val="none" w:sz="0" w:space="0" w:color="auto"/>
      </w:divBdr>
    </w:div>
    <w:div w:id="1460562731">
      <w:bodyDiv w:val="1"/>
      <w:marLeft w:val="0"/>
      <w:marRight w:val="0"/>
      <w:marTop w:val="0"/>
      <w:marBottom w:val="0"/>
      <w:divBdr>
        <w:top w:val="none" w:sz="0" w:space="0" w:color="auto"/>
        <w:left w:val="none" w:sz="0" w:space="0" w:color="auto"/>
        <w:bottom w:val="none" w:sz="0" w:space="0" w:color="auto"/>
        <w:right w:val="none" w:sz="0" w:space="0" w:color="auto"/>
      </w:divBdr>
    </w:div>
    <w:div w:id="1460613706">
      <w:bodyDiv w:val="1"/>
      <w:marLeft w:val="0"/>
      <w:marRight w:val="0"/>
      <w:marTop w:val="0"/>
      <w:marBottom w:val="0"/>
      <w:divBdr>
        <w:top w:val="none" w:sz="0" w:space="0" w:color="auto"/>
        <w:left w:val="none" w:sz="0" w:space="0" w:color="auto"/>
        <w:bottom w:val="none" w:sz="0" w:space="0" w:color="auto"/>
        <w:right w:val="none" w:sz="0" w:space="0" w:color="auto"/>
      </w:divBdr>
    </w:div>
    <w:div w:id="1460613873">
      <w:bodyDiv w:val="1"/>
      <w:marLeft w:val="0"/>
      <w:marRight w:val="0"/>
      <w:marTop w:val="0"/>
      <w:marBottom w:val="0"/>
      <w:divBdr>
        <w:top w:val="none" w:sz="0" w:space="0" w:color="auto"/>
        <w:left w:val="none" w:sz="0" w:space="0" w:color="auto"/>
        <w:bottom w:val="none" w:sz="0" w:space="0" w:color="auto"/>
        <w:right w:val="none" w:sz="0" w:space="0" w:color="auto"/>
      </w:divBdr>
    </w:div>
    <w:div w:id="1460680952">
      <w:bodyDiv w:val="1"/>
      <w:marLeft w:val="0"/>
      <w:marRight w:val="0"/>
      <w:marTop w:val="0"/>
      <w:marBottom w:val="0"/>
      <w:divBdr>
        <w:top w:val="none" w:sz="0" w:space="0" w:color="auto"/>
        <w:left w:val="none" w:sz="0" w:space="0" w:color="auto"/>
        <w:bottom w:val="none" w:sz="0" w:space="0" w:color="auto"/>
        <w:right w:val="none" w:sz="0" w:space="0" w:color="auto"/>
      </w:divBdr>
    </w:div>
    <w:div w:id="1460682964">
      <w:bodyDiv w:val="1"/>
      <w:marLeft w:val="0"/>
      <w:marRight w:val="0"/>
      <w:marTop w:val="0"/>
      <w:marBottom w:val="0"/>
      <w:divBdr>
        <w:top w:val="none" w:sz="0" w:space="0" w:color="auto"/>
        <w:left w:val="none" w:sz="0" w:space="0" w:color="auto"/>
        <w:bottom w:val="none" w:sz="0" w:space="0" w:color="auto"/>
        <w:right w:val="none" w:sz="0" w:space="0" w:color="auto"/>
      </w:divBdr>
    </w:div>
    <w:div w:id="1460689087">
      <w:bodyDiv w:val="1"/>
      <w:marLeft w:val="0"/>
      <w:marRight w:val="0"/>
      <w:marTop w:val="0"/>
      <w:marBottom w:val="0"/>
      <w:divBdr>
        <w:top w:val="none" w:sz="0" w:space="0" w:color="auto"/>
        <w:left w:val="none" w:sz="0" w:space="0" w:color="auto"/>
        <w:bottom w:val="none" w:sz="0" w:space="0" w:color="auto"/>
        <w:right w:val="none" w:sz="0" w:space="0" w:color="auto"/>
      </w:divBdr>
    </w:div>
    <w:div w:id="1460689235">
      <w:bodyDiv w:val="1"/>
      <w:marLeft w:val="0"/>
      <w:marRight w:val="0"/>
      <w:marTop w:val="0"/>
      <w:marBottom w:val="0"/>
      <w:divBdr>
        <w:top w:val="none" w:sz="0" w:space="0" w:color="auto"/>
        <w:left w:val="none" w:sz="0" w:space="0" w:color="auto"/>
        <w:bottom w:val="none" w:sz="0" w:space="0" w:color="auto"/>
        <w:right w:val="none" w:sz="0" w:space="0" w:color="auto"/>
      </w:divBdr>
    </w:div>
    <w:div w:id="1460689944">
      <w:bodyDiv w:val="1"/>
      <w:marLeft w:val="0"/>
      <w:marRight w:val="0"/>
      <w:marTop w:val="0"/>
      <w:marBottom w:val="0"/>
      <w:divBdr>
        <w:top w:val="none" w:sz="0" w:space="0" w:color="auto"/>
        <w:left w:val="none" w:sz="0" w:space="0" w:color="auto"/>
        <w:bottom w:val="none" w:sz="0" w:space="0" w:color="auto"/>
        <w:right w:val="none" w:sz="0" w:space="0" w:color="auto"/>
      </w:divBdr>
    </w:div>
    <w:div w:id="1460873713">
      <w:bodyDiv w:val="1"/>
      <w:marLeft w:val="0"/>
      <w:marRight w:val="0"/>
      <w:marTop w:val="0"/>
      <w:marBottom w:val="0"/>
      <w:divBdr>
        <w:top w:val="none" w:sz="0" w:space="0" w:color="auto"/>
        <w:left w:val="none" w:sz="0" w:space="0" w:color="auto"/>
        <w:bottom w:val="none" w:sz="0" w:space="0" w:color="auto"/>
        <w:right w:val="none" w:sz="0" w:space="0" w:color="auto"/>
      </w:divBdr>
    </w:div>
    <w:div w:id="1460877293">
      <w:bodyDiv w:val="1"/>
      <w:marLeft w:val="0"/>
      <w:marRight w:val="0"/>
      <w:marTop w:val="0"/>
      <w:marBottom w:val="0"/>
      <w:divBdr>
        <w:top w:val="none" w:sz="0" w:space="0" w:color="auto"/>
        <w:left w:val="none" w:sz="0" w:space="0" w:color="auto"/>
        <w:bottom w:val="none" w:sz="0" w:space="0" w:color="auto"/>
        <w:right w:val="none" w:sz="0" w:space="0" w:color="auto"/>
      </w:divBdr>
    </w:div>
    <w:div w:id="1460958187">
      <w:bodyDiv w:val="1"/>
      <w:marLeft w:val="0"/>
      <w:marRight w:val="0"/>
      <w:marTop w:val="0"/>
      <w:marBottom w:val="0"/>
      <w:divBdr>
        <w:top w:val="none" w:sz="0" w:space="0" w:color="auto"/>
        <w:left w:val="none" w:sz="0" w:space="0" w:color="auto"/>
        <w:bottom w:val="none" w:sz="0" w:space="0" w:color="auto"/>
        <w:right w:val="none" w:sz="0" w:space="0" w:color="auto"/>
      </w:divBdr>
    </w:div>
    <w:div w:id="1461000507">
      <w:bodyDiv w:val="1"/>
      <w:marLeft w:val="0"/>
      <w:marRight w:val="0"/>
      <w:marTop w:val="0"/>
      <w:marBottom w:val="0"/>
      <w:divBdr>
        <w:top w:val="none" w:sz="0" w:space="0" w:color="auto"/>
        <w:left w:val="none" w:sz="0" w:space="0" w:color="auto"/>
        <w:bottom w:val="none" w:sz="0" w:space="0" w:color="auto"/>
        <w:right w:val="none" w:sz="0" w:space="0" w:color="auto"/>
      </w:divBdr>
    </w:div>
    <w:div w:id="1461074266">
      <w:bodyDiv w:val="1"/>
      <w:marLeft w:val="0"/>
      <w:marRight w:val="0"/>
      <w:marTop w:val="0"/>
      <w:marBottom w:val="0"/>
      <w:divBdr>
        <w:top w:val="none" w:sz="0" w:space="0" w:color="auto"/>
        <w:left w:val="none" w:sz="0" w:space="0" w:color="auto"/>
        <w:bottom w:val="none" w:sz="0" w:space="0" w:color="auto"/>
        <w:right w:val="none" w:sz="0" w:space="0" w:color="auto"/>
      </w:divBdr>
    </w:div>
    <w:div w:id="1461219625">
      <w:bodyDiv w:val="1"/>
      <w:marLeft w:val="0"/>
      <w:marRight w:val="0"/>
      <w:marTop w:val="0"/>
      <w:marBottom w:val="0"/>
      <w:divBdr>
        <w:top w:val="none" w:sz="0" w:space="0" w:color="auto"/>
        <w:left w:val="none" w:sz="0" w:space="0" w:color="auto"/>
        <w:bottom w:val="none" w:sz="0" w:space="0" w:color="auto"/>
        <w:right w:val="none" w:sz="0" w:space="0" w:color="auto"/>
      </w:divBdr>
    </w:div>
    <w:div w:id="1461263699">
      <w:bodyDiv w:val="1"/>
      <w:marLeft w:val="0"/>
      <w:marRight w:val="0"/>
      <w:marTop w:val="0"/>
      <w:marBottom w:val="0"/>
      <w:divBdr>
        <w:top w:val="none" w:sz="0" w:space="0" w:color="auto"/>
        <w:left w:val="none" w:sz="0" w:space="0" w:color="auto"/>
        <w:bottom w:val="none" w:sz="0" w:space="0" w:color="auto"/>
        <w:right w:val="none" w:sz="0" w:space="0" w:color="auto"/>
      </w:divBdr>
    </w:div>
    <w:div w:id="1461416736">
      <w:bodyDiv w:val="1"/>
      <w:marLeft w:val="0"/>
      <w:marRight w:val="0"/>
      <w:marTop w:val="0"/>
      <w:marBottom w:val="0"/>
      <w:divBdr>
        <w:top w:val="none" w:sz="0" w:space="0" w:color="auto"/>
        <w:left w:val="none" w:sz="0" w:space="0" w:color="auto"/>
        <w:bottom w:val="none" w:sz="0" w:space="0" w:color="auto"/>
        <w:right w:val="none" w:sz="0" w:space="0" w:color="auto"/>
      </w:divBdr>
    </w:div>
    <w:div w:id="1461650814">
      <w:bodyDiv w:val="1"/>
      <w:marLeft w:val="0"/>
      <w:marRight w:val="0"/>
      <w:marTop w:val="0"/>
      <w:marBottom w:val="0"/>
      <w:divBdr>
        <w:top w:val="none" w:sz="0" w:space="0" w:color="auto"/>
        <w:left w:val="none" w:sz="0" w:space="0" w:color="auto"/>
        <w:bottom w:val="none" w:sz="0" w:space="0" w:color="auto"/>
        <w:right w:val="none" w:sz="0" w:space="0" w:color="auto"/>
      </w:divBdr>
    </w:div>
    <w:div w:id="1461650847">
      <w:bodyDiv w:val="1"/>
      <w:marLeft w:val="0"/>
      <w:marRight w:val="0"/>
      <w:marTop w:val="0"/>
      <w:marBottom w:val="0"/>
      <w:divBdr>
        <w:top w:val="none" w:sz="0" w:space="0" w:color="auto"/>
        <w:left w:val="none" w:sz="0" w:space="0" w:color="auto"/>
        <w:bottom w:val="none" w:sz="0" w:space="0" w:color="auto"/>
        <w:right w:val="none" w:sz="0" w:space="0" w:color="auto"/>
      </w:divBdr>
    </w:div>
    <w:div w:id="1461656216">
      <w:bodyDiv w:val="1"/>
      <w:marLeft w:val="0"/>
      <w:marRight w:val="0"/>
      <w:marTop w:val="0"/>
      <w:marBottom w:val="0"/>
      <w:divBdr>
        <w:top w:val="none" w:sz="0" w:space="0" w:color="auto"/>
        <w:left w:val="none" w:sz="0" w:space="0" w:color="auto"/>
        <w:bottom w:val="none" w:sz="0" w:space="0" w:color="auto"/>
        <w:right w:val="none" w:sz="0" w:space="0" w:color="auto"/>
      </w:divBdr>
    </w:div>
    <w:div w:id="1461723335">
      <w:bodyDiv w:val="1"/>
      <w:marLeft w:val="0"/>
      <w:marRight w:val="0"/>
      <w:marTop w:val="0"/>
      <w:marBottom w:val="0"/>
      <w:divBdr>
        <w:top w:val="none" w:sz="0" w:space="0" w:color="auto"/>
        <w:left w:val="none" w:sz="0" w:space="0" w:color="auto"/>
        <w:bottom w:val="none" w:sz="0" w:space="0" w:color="auto"/>
        <w:right w:val="none" w:sz="0" w:space="0" w:color="auto"/>
      </w:divBdr>
    </w:div>
    <w:div w:id="1461727884">
      <w:bodyDiv w:val="1"/>
      <w:marLeft w:val="0"/>
      <w:marRight w:val="0"/>
      <w:marTop w:val="0"/>
      <w:marBottom w:val="0"/>
      <w:divBdr>
        <w:top w:val="none" w:sz="0" w:space="0" w:color="auto"/>
        <w:left w:val="none" w:sz="0" w:space="0" w:color="auto"/>
        <w:bottom w:val="none" w:sz="0" w:space="0" w:color="auto"/>
        <w:right w:val="none" w:sz="0" w:space="0" w:color="auto"/>
      </w:divBdr>
    </w:div>
    <w:div w:id="1461728809">
      <w:bodyDiv w:val="1"/>
      <w:marLeft w:val="0"/>
      <w:marRight w:val="0"/>
      <w:marTop w:val="0"/>
      <w:marBottom w:val="0"/>
      <w:divBdr>
        <w:top w:val="none" w:sz="0" w:space="0" w:color="auto"/>
        <w:left w:val="none" w:sz="0" w:space="0" w:color="auto"/>
        <w:bottom w:val="none" w:sz="0" w:space="0" w:color="auto"/>
        <w:right w:val="none" w:sz="0" w:space="0" w:color="auto"/>
      </w:divBdr>
    </w:div>
    <w:div w:id="1461797470">
      <w:bodyDiv w:val="1"/>
      <w:marLeft w:val="0"/>
      <w:marRight w:val="0"/>
      <w:marTop w:val="0"/>
      <w:marBottom w:val="0"/>
      <w:divBdr>
        <w:top w:val="none" w:sz="0" w:space="0" w:color="auto"/>
        <w:left w:val="none" w:sz="0" w:space="0" w:color="auto"/>
        <w:bottom w:val="none" w:sz="0" w:space="0" w:color="auto"/>
        <w:right w:val="none" w:sz="0" w:space="0" w:color="auto"/>
      </w:divBdr>
    </w:div>
    <w:div w:id="1461848735">
      <w:bodyDiv w:val="1"/>
      <w:marLeft w:val="0"/>
      <w:marRight w:val="0"/>
      <w:marTop w:val="0"/>
      <w:marBottom w:val="0"/>
      <w:divBdr>
        <w:top w:val="none" w:sz="0" w:space="0" w:color="auto"/>
        <w:left w:val="none" w:sz="0" w:space="0" w:color="auto"/>
        <w:bottom w:val="none" w:sz="0" w:space="0" w:color="auto"/>
        <w:right w:val="none" w:sz="0" w:space="0" w:color="auto"/>
      </w:divBdr>
    </w:div>
    <w:div w:id="1461877722">
      <w:bodyDiv w:val="1"/>
      <w:marLeft w:val="0"/>
      <w:marRight w:val="0"/>
      <w:marTop w:val="0"/>
      <w:marBottom w:val="0"/>
      <w:divBdr>
        <w:top w:val="none" w:sz="0" w:space="0" w:color="auto"/>
        <w:left w:val="none" w:sz="0" w:space="0" w:color="auto"/>
        <w:bottom w:val="none" w:sz="0" w:space="0" w:color="auto"/>
        <w:right w:val="none" w:sz="0" w:space="0" w:color="auto"/>
      </w:divBdr>
    </w:div>
    <w:div w:id="1461915397">
      <w:bodyDiv w:val="1"/>
      <w:marLeft w:val="0"/>
      <w:marRight w:val="0"/>
      <w:marTop w:val="0"/>
      <w:marBottom w:val="0"/>
      <w:divBdr>
        <w:top w:val="none" w:sz="0" w:space="0" w:color="auto"/>
        <w:left w:val="none" w:sz="0" w:space="0" w:color="auto"/>
        <w:bottom w:val="none" w:sz="0" w:space="0" w:color="auto"/>
        <w:right w:val="none" w:sz="0" w:space="0" w:color="auto"/>
      </w:divBdr>
    </w:div>
    <w:div w:id="1461918757">
      <w:bodyDiv w:val="1"/>
      <w:marLeft w:val="0"/>
      <w:marRight w:val="0"/>
      <w:marTop w:val="0"/>
      <w:marBottom w:val="0"/>
      <w:divBdr>
        <w:top w:val="none" w:sz="0" w:space="0" w:color="auto"/>
        <w:left w:val="none" w:sz="0" w:space="0" w:color="auto"/>
        <w:bottom w:val="none" w:sz="0" w:space="0" w:color="auto"/>
        <w:right w:val="none" w:sz="0" w:space="0" w:color="auto"/>
      </w:divBdr>
    </w:div>
    <w:div w:id="1461922185">
      <w:bodyDiv w:val="1"/>
      <w:marLeft w:val="0"/>
      <w:marRight w:val="0"/>
      <w:marTop w:val="0"/>
      <w:marBottom w:val="0"/>
      <w:divBdr>
        <w:top w:val="none" w:sz="0" w:space="0" w:color="auto"/>
        <w:left w:val="none" w:sz="0" w:space="0" w:color="auto"/>
        <w:bottom w:val="none" w:sz="0" w:space="0" w:color="auto"/>
        <w:right w:val="none" w:sz="0" w:space="0" w:color="auto"/>
      </w:divBdr>
    </w:div>
    <w:div w:id="1462067701">
      <w:bodyDiv w:val="1"/>
      <w:marLeft w:val="0"/>
      <w:marRight w:val="0"/>
      <w:marTop w:val="0"/>
      <w:marBottom w:val="0"/>
      <w:divBdr>
        <w:top w:val="none" w:sz="0" w:space="0" w:color="auto"/>
        <w:left w:val="none" w:sz="0" w:space="0" w:color="auto"/>
        <w:bottom w:val="none" w:sz="0" w:space="0" w:color="auto"/>
        <w:right w:val="none" w:sz="0" w:space="0" w:color="auto"/>
      </w:divBdr>
    </w:div>
    <w:div w:id="1462109203">
      <w:bodyDiv w:val="1"/>
      <w:marLeft w:val="0"/>
      <w:marRight w:val="0"/>
      <w:marTop w:val="0"/>
      <w:marBottom w:val="0"/>
      <w:divBdr>
        <w:top w:val="none" w:sz="0" w:space="0" w:color="auto"/>
        <w:left w:val="none" w:sz="0" w:space="0" w:color="auto"/>
        <w:bottom w:val="none" w:sz="0" w:space="0" w:color="auto"/>
        <w:right w:val="none" w:sz="0" w:space="0" w:color="auto"/>
      </w:divBdr>
    </w:div>
    <w:div w:id="1462110510">
      <w:bodyDiv w:val="1"/>
      <w:marLeft w:val="0"/>
      <w:marRight w:val="0"/>
      <w:marTop w:val="0"/>
      <w:marBottom w:val="0"/>
      <w:divBdr>
        <w:top w:val="none" w:sz="0" w:space="0" w:color="auto"/>
        <w:left w:val="none" w:sz="0" w:space="0" w:color="auto"/>
        <w:bottom w:val="none" w:sz="0" w:space="0" w:color="auto"/>
        <w:right w:val="none" w:sz="0" w:space="0" w:color="auto"/>
      </w:divBdr>
    </w:div>
    <w:div w:id="1462111095">
      <w:bodyDiv w:val="1"/>
      <w:marLeft w:val="0"/>
      <w:marRight w:val="0"/>
      <w:marTop w:val="0"/>
      <w:marBottom w:val="0"/>
      <w:divBdr>
        <w:top w:val="none" w:sz="0" w:space="0" w:color="auto"/>
        <w:left w:val="none" w:sz="0" w:space="0" w:color="auto"/>
        <w:bottom w:val="none" w:sz="0" w:space="0" w:color="auto"/>
        <w:right w:val="none" w:sz="0" w:space="0" w:color="auto"/>
      </w:divBdr>
    </w:div>
    <w:div w:id="1462184379">
      <w:bodyDiv w:val="1"/>
      <w:marLeft w:val="0"/>
      <w:marRight w:val="0"/>
      <w:marTop w:val="0"/>
      <w:marBottom w:val="0"/>
      <w:divBdr>
        <w:top w:val="none" w:sz="0" w:space="0" w:color="auto"/>
        <w:left w:val="none" w:sz="0" w:space="0" w:color="auto"/>
        <w:bottom w:val="none" w:sz="0" w:space="0" w:color="auto"/>
        <w:right w:val="none" w:sz="0" w:space="0" w:color="auto"/>
      </w:divBdr>
    </w:div>
    <w:div w:id="1462191919">
      <w:bodyDiv w:val="1"/>
      <w:marLeft w:val="0"/>
      <w:marRight w:val="0"/>
      <w:marTop w:val="0"/>
      <w:marBottom w:val="0"/>
      <w:divBdr>
        <w:top w:val="none" w:sz="0" w:space="0" w:color="auto"/>
        <w:left w:val="none" w:sz="0" w:space="0" w:color="auto"/>
        <w:bottom w:val="none" w:sz="0" w:space="0" w:color="auto"/>
        <w:right w:val="none" w:sz="0" w:space="0" w:color="auto"/>
      </w:divBdr>
    </w:div>
    <w:div w:id="1462262097">
      <w:bodyDiv w:val="1"/>
      <w:marLeft w:val="0"/>
      <w:marRight w:val="0"/>
      <w:marTop w:val="0"/>
      <w:marBottom w:val="0"/>
      <w:divBdr>
        <w:top w:val="none" w:sz="0" w:space="0" w:color="auto"/>
        <w:left w:val="none" w:sz="0" w:space="0" w:color="auto"/>
        <w:bottom w:val="none" w:sz="0" w:space="0" w:color="auto"/>
        <w:right w:val="none" w:sz="0" w:space="0" w:color="auto"/>
      </w:divBdr>
    </w:div>
    <w:div w:id="1462336851">
      <w:bodyDiv w:val="1"/>
      <w:marLeft w:val="0"/>
      <w:marRight w:val="0"/>
      <w:marTop w:val="0"/>
      <w:marBottom w:val="0"/>
      <w:divBdr>
        <w:top w:val="none" w:sz="0" w:space="0" w:color="auto"/>
        <w:left w:val="none" w:sz="0" w:space="0" w:color="auto"/>
        <w:bottom w:val="none" w:sz="0" w:space="0" w:color="auto"/>
        <w:right w:val="none" w:sz="0" w:space="0" w:color="auto"/>
      </w:divBdr>
    </w:div>
    <w:div w:id="1462382490">
      <w:bodyDiv w:val="1"/>
      <w:marLeft w:val="0"/>
      <w:marRight w:val="0"/>
      <w:marTop w:val="0"/>
      <w:marBottom w:val="0"/>
      <w:divBdr>
        <w:top w:val="none" w:sz="0" w:space="0" w:color="auto"/>
        <w:left w:val="none" w:sz="0" w:space="0" w:color="auto"/>
        <w:bottom w:val="none" w:sz="0" w:space="0" w:color="auto"/>
        <w:right w:val="none" w:sz="0" w:space="0" w:color="auto"/>
      </w:divBdr>
    </w:div>
    <w:div w:id="1462386536">
      <w:bodyDiv w:val="1"/>
      <w:marLeft w:val="0"/>
      <w:marRight w:val="0"/>
      <w:marTop w:val="0"/>
      <w:marBottom w:val="0"/>
      <w:divBdr>
        <w:top w:val="none" w:sz="0" w:space="0" w:color="auto"/>
        <w:left w:val="none" w:sz="0" w:space="0" w:color="auto"/>
        <w:bottom w:val="none" w:sz="0" w:space="0" w:color="auto"/>
        <w:right w:val="none" w:sz="0" w:space="0" w:color="auto"/>
      </w:divBdr>
    </w:div>
    <w:div w:id="1462453192">
      <w:bodyDiv w:val="1"/>
      <w:marLeft w:val="0"/>
      <w:marRight w:val="0"/>
      <w:marTop w:val="0"/>
      <w:marBottom w:val="0"/>
      <w:divBdr>
        <w:top w:val="none" w:sz="0" w:space="0" w:color="auto"/>
        <w:left w:val="none" w:sz="0" w:space="0" w:color="auto"/>
        <w:bottom w:val="none" w:sz="0" w:space="0" w:color="auto"/>
        <w:right w:val="none" w:sz="0" w:space="0" w:color="auto"/>
      </w:divBdr>
    </w:div>
    <w:div w:id="1462459638">
      <w:bodyDiv w:val="1"/>
      <w:marLeft w:val="0"/>
      <w:marRight w:val="0"/>
      <w:marTop w:val="0"/>
      <w:marBottom w:val="0"/>
      <w:divBdr>
        <w:top w:val="none" w:sz="0" w:space="0" w:color="auto"/>
        <w:left w:val="none" w:sz="0" w:space="0" w:color="auto"/>
        <w:bottom w:val="none" w:sz="0" w:space="0" w:color="auto"/>
        <w:right w:val="none" w:sz="0" w:space="0" w:color="auto"/>
      </w:divBdr>
    </w:div>
    <w:div w:id="1462503837">
      <w:bodyDiv w:val="1"/>
      <w:marLeft w:val="0"/>
      <w:marRight w:val="0"/>
      <w:marTop w:val="0"/>
      <w:marBottom w:val="0"/>
      <w:divBdr>
        <w:top w:val="none" w:sz="0" w:space="0" w:color="auto"/>
        <w:left w:val="none" w:sz="0" w:space="0" w:color="auto"/>
        <w:bottom w:val="none" w:sz="0" w:space="0" w:color="auto"/>
        <w:right w:val="none" w:sz="0" w:space="0" w:color="auto"/>
      </w:divBdr>
    </w:div>
    <w:div w:id="1462576868">
      <w:bodyDiv w:val="1"/>
      <w:marLeft w:val="0"/>
      <w:marRight w:val="0"/>
      <w:marTop w:val="0"/>
      <w:marBottom w:val="0"/>
      <w:divBdr>
        <w:top w:val="none" w:sz="0" w:space="0" w:color="auto"/>
        <w:left w:val="none" w:sz="0" w:space="0" w:color="auto"/>
        <w:bottom w:val="none" w:sz="0" w:space="0" w:color="auto"/>
        <w:right w:val="none" w:sz="0" w:space="0" w:color="auto"/>
      </w:divBdr>
    </w:div>
    <w:div w:id="1462646644">
      <w:bodyDiv w:val="1"/>
      <w:marLeft w:val="0"/>
      <w:marRight w:val="0"/>
      <w:marTop w:val="0"/>
      <w:marBottom w:val="0"/>
      <w:divBdr>
        <w:top w:val="none" w:sz="0" w:space="0" w:color="auto"/>
        <w:left w:val="none" w:sz="0" w:space="0" w:color="auto"/>
        <w:bottom w:val="none" w:sz="0" w:space="0" w:color="auto"/>
        <w:right w:val="none" w:sz="0" w:space="0" w:color="auto"/>
      </w:divBdr>
    </w:div>
    <w:div w:id="1462721357">
      <w:bodyDiv w:val="1"/>
      <w:marLeft w:val="0"/>
      <w:marRight w:val="0"/>
      <w:marTop w:val="0"/>
      <w:marBottom w:val="0"/>
      <w:divBdr>
        <w:top w:val="none" w:sz="0" w:space="0" w:color="auto"/>
        <w:left w:val="none" w:sz="0" w:space="0" w:color="auto"/>
        <w:bottom w:val="none" w:sz="0" w:space="0" w:color="auto"/>
        <w:right w:val="none" w:sz="0" w:space="0" w:color="auto"/>
      </w:divBdr>
    </w:div>
    <w:div w:id="1462727078">
      <w:bodyDiv w:val="1"/>
      <w:marLeft w:val="0"/>
      <w:marRight w:val="0"/>
      <w:marTop w:val="0"/>
      <w:marBottom w:val="0"/>
      <w:divBdr>
        <w:top w:val="none" w:sz="0" w:space="0" w:color="auto"/>
        <w:left w:val="none" w:sz="0" w:space="0" w:color="auto"/>
        <w:bottom w:val="none" w:sz="0" w:space="0" w:color="auto"/>
        <w:right w:val="none" w:sz="0" w:space="0" w:color="auto"/>
      </w:divBdr>
    </w:div>
    <w:div w:id="1462728464">
      <w:bodyDiv w:val="1"/>
      <w:marLeft w:val="0"/>
      <w:marRight w:val="0"/>
      <w:marTop w:val="0"/>
      <w:marBottom w:val="0"/>
      <w:divBdr>
        <w:top w:val="none" w:sz="0" w:space="0" w:color="auto"/>
        <w:left w:val="none" w:sz="0" w:space="0" w:color="auto"/>
        <w:bottom w:val="none" w:sz="0" w:space="0" w:color="auto"/>
        <w:right w:val="none" w:sz="0" w:space="0" w:color="auto"/>
      </w:divBdr>
    </w:div>
    <w:div w:id="1462730734">
      <w:bodyDiv w:val="1"/>
      <w:marLeft w:val="0"/>
      <w:marRight w:val="0"/>
      <w:marTop w:val="0"/>
      <w:marBottom w:val="0"/>
      <w:divBdr>
        <w:top w:val="none" w:sz="0" w:space="0" w:color="auto"/>
        <w:left w:val="none" w:sz="0" w:space="0" w:color="auto"/>
        <w:bottom w:val="none" w:sz="0" w:space="0" w:color="auto"/>
        <w:right w:val="none" w:sz="0" w:space="0" w:color="auto"/>
      </w:divBdr>
    </w:div>
    <w:div w:id="1462772288">
      <w:bodyDiv w:val="1"/>
      <w:marLeft w:val="0"/>
      <w:marRight w:val="0"/>
      <w:marTop w:val="0"/>
      <w:marBottom w:val="0"/>
      <w:divBdr>
        <w:top w:val="none" w:sz="0" w:space="0" w:color="auto"/>
        <w:left w:val="none" w:sz="0" w:space="0" w:color="auto"/>
        <w:bottom w:val="none" w:sz="0" w:space="0" w:color="auto"/>
        <w:right w:val="none" w:sz="0" w:space="0" w:color="auto"/>
      </w:divBdr>
    </w:div>
    <w:div w:id="1462772882">
      <w:bodyDiv w:val="1"/>
      <w:marLeft w:val="0"/>
      <w:marRight w:val="0"/>
      <w:marTop w:val="0"/>
      <w:marBottom w:val="0"/>
      <w:divBdr>
        <w:top w:val="none" w:sz="0" w:space="0" w:color="auto"/>
        <w:left w:val="none" w:sz="0" w:space="0" w:color="auto"/>
        <w:bottom w:val="none" w:sz="0" w:space="0" w:color="auto"/>
        <w:right w:val="none" w:sz="0" w:space="0" w:color="auto"/>
      </w:divBdr>
    </w:div>
    <w:div w:id="1462918965">
      <w:bodyDiv w:val="1"/>
      <w:marLeft w:val="0"/>
      <w:marRight w:val="0"/>
      <w:marTop w:val="0"/>
      <w:marBottom w:val="0"/>
      <w:divBdr>
        <w:top w:val="none" w:sz="0" w:space="0" w:color="auto"/>
        <w:left w:val="none" w:sz="0" w:space="0" w:color="auto"/>
        <w:bottom w:val="none" w:sz="0" w:space="0" w:color="auto"/>
        <w:right w:val="none" w:sz="0" w:space="0" w:color="auto"/>
      </w:divBdr>
    </w:div>
    <w:div w:id="1462919122">
      <w:bodyDiv w:val="1"/>
      <w:marLeft w:val="0"/>
      <w:marRight w:val="0"/>
      <w:marTop w:val="0"/>
      <w:marBottom w:val="0"/>
      <w:divBdr>
        <w:top w:val="none" w:sz="0" w:space="0" w:color="auto"/>
        <w:left w:val="none" w:sz="0" w:space="0" w:color="auto"/>
        <w:bottom w:val="none" w:sz="0" w:space="0" w:color="auto"/>
        <w:right w:val="none" w:sz="0" w:space="0" w:color="auto"/>
      </w:divBdr>
    </w:div>
    <w:div w:id="1462964693">
      <w:bodyDiv w:val="1"/>
      <w:marLeft w:val="0"/>
      <w:marRight w:val="0"/>
      <w:marTop w:val="0"/>
      <w:marBottom w:val="0"/>
      <w:divBdr>
        <w:top w:val="none" w:sz="0" w:space="0" w:color="auto"/>
        <w:left w:val="none" w:sz="0" w:space="0" w:color="auto"/>
        <w:bottom w:val="none" w:sz="0" w:space="0" w:color="auto"/>
        <w:right w:val="none" w:sz="0" w:space="0" w:color="auto"/>
      </w:divBdr>
    </w:div>
    <w:div w:id="1463034165">
      <w:bodyDiv w:val="1"/>
      <w:marLeft w:val="0"/>
      <w:marRight w:val="0"/>
      <w:marTop w:val="0"/>
      <w:marBottom w:val="0"/>
      <w:divBdr>
        <w:top w:val="none" w:sz="0" w:space="0" w:color="auto"/>
        <w:left w:val="none" w:sz="0" w:space="0" w:color="auto"/>
        <w:bottom w:val="none" w:sz="0" w:space="0" w:color="auto"/>
        <w:right w:val="none" w:sz="0" w:space="0" w:color="auto"/>
      </w:divBdr>
    </w:div>
    <w:div w:id="1463040821">
      <w:bodyDiv w:val="1"/>
      <w:marLeft w:val="0"/>
      <w:marRight w:val="0"/>
      <w:marTop w:val="0"/>
      <w:marBottom w:val="0"/>
      <w:divBdr>
        <w:top w:val="none" w:sz="0" w:space="0" w:color="auto"/>
        <w:left w:val="none" w:sz="0" w:space="0" w:color="auto"/>
        <w:bottom w:val="none" w:sz="0" w:space="0" w:color="auto"/>
        <w:right w:val="none" w:sz="0" w:space="0" w:color="auto"/>
      </w:divBdr>
    </w:div>
    <w:div w:id="1463115655">
      <w:bodyDiv w:val="1"/>
      <w:marLeft w:val="0"/>
      <w:marRight w:val="0"/>
      <w:marTop w:val="0"/>
      <w:marBottom w:val="0"/>
      <w:divBdr>
        <w:top w:val="none" w:sz="0" w:space="0" w:color="auto"/>
        <w:left w:val="none" w:sz="0" w:space="0" w:color="auto"/>
        <w:bottom w:val="none" w:sz="0" w:space="0" w:color="auto"/>
        <w:right w:val="none" w:sz="0" w:space="0" w:color="auto"/>
      </w:divBdr>
    </w:div>
    <w:div w:id="1463158952">
      <w:bodyDiv w:val="1"/>
      <w:marLeft w:val="0"/>
      <w:marRight w:val="0"/>
      <w:marTop w:val="0"/>
      <w:marBottom w:val="0"/>
      <w:divBdr>
        <w:top w:val="none" w:sz="0" w:space="0" w:color="auto"/>
        <w:left w:val="none" w:sz="0" w:space="0" w:color="auto"/>
        <w:bottom w:val="none" w:sz="0" w:space="0" w:color="auto"/>
        <w:right w:val="none" w:sz="0" w:space="0" w:color="auto"/>
      </w:divBdr>
    </w:div>
    <w:div w:id="1463230760">
      <w:bodyDiv w:val="1"/>
      <w:marLeft w:val="0"/>
      <w:marRight w:val="0"/>
      <w:marTop w:val="0"/>
      <w:marBottom w:val="0"/>
      <w:divBdr>
        <w:top w:val="none" w:sz="0" w:space="0" w:color="auto"/>
        <w:left w:val="none" w:sz="0" w:space="0" w:color="auto"/>
        <w:bottom w:val="none" w:sz="0" w:space="0" w:color="auto"/>
        <w:right w:val="none" w:sz="0" w:space="0" w:color="auto"/>
      </w:divBdr>
    </w:div>
    <w:div w:id="1463303438">
      <w:bodyDiv w:val="1"/>
      <w:marLeft w:val="0"/>
      <w:marRight w:val="0"/>
      <w:marTop w:val="0"/>
      <w:marBottom w:val="0"/>
      <w:divBdr>
        <w:top w:val="none" w:sz="0" w:space="0" w:color="auto"/>
        <w:left w:val="none" w:sz="0" w:space="0" w:color="auto"/>
        <w:bottom w:val="none" w:sz="0" w:space="0" w:color="auto"/>
        <w:right w:val="none" w:sz="0" w:space="0" w:color="auto"/>
      </w:divBdr>
    </w:div>
    <w:div w:id="1463304370">
      <w:bodyDiv w:val="1"/>
      <w:marLeft w:val="0"/>
      <w:marRight w:val="0"/>
      <w:marTop w:val="0"/>
      <w:marBottom w:val="0"/>
      <w:divBdr>
        <w:top w:val="none" w:sz="0" w:space="0" w:color="auto"/>
        <w:left w:val="none" w:sz="0" w:space="0" w:color="auto"/>
        <w:bottom w:val="none" w:sz="0" w:space="0" w:color="auto"/>
        <w:right w:val="none" w:sz="0" w:space="0" w:color="auto"/>
      </w:divBdr>
    </w:div>
    <w:div w:id="1463304952">
      <w:bodyDiv w:val="1"/>
      <w:marLeft w:val="0"/>
      <w:marRight w:val="0"/>
      <w:marTop w:val="0"/>
      <w:marBottom w:val="0"/>
      <w:divBdr>
        <w:top w:val="none" w:sz="0" w:space="0" w:color="auto"/>
        <w:left w:val="none" w:sz="0" w:space="0" w:color="auto"/>
        <w:bottom w:val="none" w:sz="0" w:space="0" w:color="auto"/>
        <w:right w:val="none" w:sz="0" w:space="0" w:color="auto"/>
      </w:divBdr>
    </w:div>
    <w:div w:id="1463378733">
      <w:bodyDiv w:val="1"/>
      <w:marLeft w:val="0"/>
      <w:marRight w:val="0"/>
      <w:marTop w:val="0"/>
      <w:marBottom w:val="0"/>
      <w:divBdr>
        <w:top w:val="none" w:sz="0" w:space="0" w:color="auto"/>
        <w:left w:val="none" w:sz="0" w:space="0" w:color="auto"/>
        <w:bottom w:val="none" w:sz="0" w:space="0" w:color="auto"/>
        <w:right w:val="none" w:sz="0" w:space="0" w:color="auto"/>
      </w:divBdr>
    </w:div>
    <w:div w:id="1463423604">
      <w:bodyDiv w:val="1"/>
      <w:marLeft w:val="0"/>
      <w:marRight w:val="0"/>
      <w:marTop w:val="0"/>
      <w:marBottom w:val="0"/>
      <w:divBdr>
        <w:top w:val="none" w:sz="0" w:space="0" w:color="auto"/>
        <w:left w:val="none" w:sz="0" w:space="0" w:color="auto"/>
        <w:bottom w:val="none" w:sz="0" w:space="0" w:color="auto"/>
        <w:right w:val="none" w:sz="0" w:space="0" w:color="auto"/>
      </w:divBdr>
    </w:div>
    <w:div w:id="1463425534">
      <w:bodyDiv w:val="1"/>
      <w:marLeft w:val="0"/>
      <w:marRight w:val="0"/>
      <w:marTop w:val="0"/>
      <w:marBottom w:val="0"/>
      <w:divBdr>
        <w:top w:val="none" w:sz="0" w:space="0" w:color="auto"/>
        <w:left w:val="none" w:sz="0" w:space="0" w:color="auto"/>
        <w:bottom w:val="none" w:sz="0" w:space="0" w:color="auto"/>
        <w:right w:val="none" w:sz="0" w:space="0" w:color="auto"/>
      </w:divBdr>
    </w:div>
    <w:div w:id="1463428819">
      <w:bodyDiv w:val="1"/>
      <w:marLeft w:val="0"/>
      <w:marRight w:val="0"/>
      <w:marTop w:val="0"/>
      <w:marBottom w:val="0"/>
      <w:divBdr>
        <w:top w:val="none" w:sz="0" w:space="0" w:color="auto"/>
        <w:left w:val="none" w:sz="0" w:space="0" w:color="auto"/>
        <w:bottom w:val="none" w:sz="0" w:space="0" w:color="auto"/>
        <w:right w:val="none" w:sz="0" w:space="0" w:color="auto"/>
      </w:divBdr>
    </w:div>
    <w:div w:id="1463502140">
      <w:bodyDiv w:val="1"/>
      <w:marLeft w:val="0"/>
      <w:marRight w:val="0"/>
      <w:marTop w:val="0"/>
      <w:marBottom w:val="0"/>
      <w:divBdr>
        <w:top w:val="none" w:sz="0" w:space="0" w:color="auto"/>
        <w:left w:val="none" w:sz="0" w:space="0" w:color="auto"/>
        <w:bottom w:val="none" w:sz="0" w:space="0" w:color="auto"/>
        <w:right w:val="none" w:sz="0" w:space="0" w:color="auto"/>
      </w:divBdr>
    </w:div>
    <w:div w:id="1463572955">
      <w:bodyDiv w:val="1"/>
      <w:marLeft w:val="0"/>
      <w:marRight w:val="0"/>
      <w:marTop w:val="0"/>
      <w:marBottom w:val="0"/>
      <w:divBdr>
        <w:top w:val="none" w:sz="0" w:space="0" w:color="auto"/>
        <w:left w:val="none" w:sz="0" w:space="0" w:color="auto"/>
        <w:bottom w:val="none" w:sz="0" w:space="0" w:color="auto"/>
        <w:right w:val="none" w:sz="0" w:space="0" w:color="auto"/>
      </w:divBdr>
    </w:div>
    <w:div w:id="1463577438">
      <w:bodyDiv w:val="1"/>
      <w:marLeft w:val="0"/>
      <w:marRight w:val="0"/>
      <w:marTop w:val="0"/>
      <w:marBottom w:val="0"/>
      <w:divBdr>
        <w:top w:val="none" w:sz="0" w:space="0" w:color="auto"/>
        <w:left w:val="none" w:sz="0" w:space="0" w:color="auto"/>
        <w:bottom w:val="none" w:sz="0" w:space="0" w:color="auto"/>
        <w:right w:val="none" w:sz="0" w:space="0" w:color="auto"/>
      </w:divBdr>
    </w:div>
    <w:div w:id="1463688255">
      <w:bodyDiv w:val="1"/>
      <w:marLeft w:val="0"/>
      <w:marRight w:val="0"/>
      <w:marTop w:val="0"/>
      <w:marBottom w:val="0"/>
      <w:divBdr>
        <w:top w:val="none" w:sz="0" w:space="0" w:color="auto"/>
        <w:left w:val="none" w:sz="0" w:space="0" w:color="auto"/>
        <w:bottom w:val="none" w:sz="0" w:space="0" w:color="auto"/>
        <w:right w:val="none" w:sz="0" w:space="0" w:color="auto"/>
      </w:divBdr>
    </w:div>
    <w:div w:id="1463769395">
      <w:bodyDiv w:val="1"/>
      <w:marLeft w:val="0"/>
      <w:marRight w:val="0"/>
      <w:marTop w:val="0"/>
      <w:marBottom w:val="0"/>
      <w:divBdr>
        <w:top w:val="none" w:sz="0" w:space="0" w:color="auto"/>
        <w:left w:val="none" w:sz="0" w:space="0" w:color="auto"/>
        <w:bottom w:val="none" w:sz="0" w:space="0" w:color="auto"/>
        <w:right w:val="none" w:sz="0" w:space="0" w:color="auto"/>
      </w:divBdr>
    </w:div>
    <w:div w:id="1463812752">
      <w:bodyDiv w:val="1"/>
      <w:marLeft w:val="0"/>
      <w:marRight w:val="0"/>
      <w:marTop w:val="0"/>
      <w:marBottom w:val="0"/>
      <w:divBdr>
        <w:top w:val="none" w:sz="0" w:space="0" w:color="auto"/>
        <w:left w:val="none" w:sz="0" w:space="0" w:color="auto"/>
        <w:bottom w:val="none" w:sz="0" w:space="0" w:color="auto"/>
        <w:right w:val="none" w:sz="0" w:space="0" w:color="auto"/>
      </w:divBdr>
    </w:div>
    <w:div w:id="1463813683">
      <w:bodyDiv w:val="1"/>
      <w:marLeft w:val="0"/>
      <w:marRight w:val="0"/>
      <w:marTop w:val="0"/>
      <w:marBottom w:val="0"/>
      <w:divBdr>
        <w:top w:val="none" w:sz="0" w:space="0" w:color="auto"/>
        <w:left w:val="none" w:sz="0" w:space="0" w:color="auto"/>
        <w:bottom w:val="none" w:sz="0" w:space="0" w:color="auto"/>
        <w:right w:val="none" w:sz="0" w:space="0" w:color="auto"/>
      </w:divBdr>
    </w:div>
    <w:div w:id="1463958427">
      <w:bodyDiv w:val="1"/>
      <w:marLeft w:val="0"/>
      <w:marRight w:val="0"/>
      <w:marTop w:val="0"/>
      <w:marBottom w:val="0"/>
      <w:divBdr>
        <w:top w:val="none" w:sz="0" w:space="0" w:color="auto"/>
        <w:left w:val="none" w:sz="0" w:space="0" w:color="auto"/>
        <w:bottom w:val="none" w:sz="0" w:space="0" w:color="auto"/>
        <w:right w:val="none" w:sz="0" w:space="0" w:color="auto"/>
      </w:divBdr>
    </w:div>
    <w:div w:id="1464036673">
      <w:bodyDiv w:val="1"/>
      <w:marLeft w:val="0"/>
      <w:marRight w:val="0"/>
      <w:marTop w:val="0"/>
      <w:marBottom w:val="0"/>
      <w:divBdr>
        <w:top w:val="none" w:sz="0" w:space="0" w:color="auto"/>
        <w:left w:val="none" w:sz="0" w:space="0" w:color="auto"/>
        <w:bottom w:val="none" w:sz="0" w:space="0" w:color="auto"/>
        <w:right w:val="none" w:sz="0" w:space="0" w:color="auto"/>
      </w:divBdr>
    </w:div>
    <w:div w:id="1464038186">
      <w:bodyDiv w:val="1"/>
      <w:marLeft w:val="0"/>
      <w:marRight w:val="0"/>
      <w:marTop w:val="0"/>
      <w:marBottom w:val="0"/>
      <w:divBdr>
        <w:top w:val="none" w:sz="0" w:space="0" w:color="auto"/>
        <w:left w:val="none" w:sz="0" w:space="0" w:color="auto"/>
        <w:bottom w:val="none" w:sz="0" w:space="0" w:color="auto"/>
        <w:right w:val="none" w:sz="0" w:space="0" w:color="auto"/>
      </w:divBdr>
    </w:div>
    <w:div w:id="1464040871">
      <w:bodyDiv w:val="1"/>
      <w:marLeft w:val="0"/>
      <w:marRight w:val="0"/>
      <w:marTop w:val="0"/>
      <w:marBottom w:val="0"/>
      <w:divBdr>
        <w:top w:val="none" w:sz="0" w:space="0" w:color="auto"/>
        <w:left w:val="none" w:sz="0" w:space="0" w:color="auto"/>
        <w:bottom w:val="none" w:sz="0" w:space="0" w:color="auto"/>
        <w:right w:val="none" w:sz="0" w:space="0" w:color="auto"/>
      </w:divBdr>
    </w:div>
    <w:div w:id="1464083950">
      <w:bodyDiv w:val="1"/>
      <w:marLeft w:val="0"/>
      <w:marRight w:val="0"/>
      <w:marTop w:val="0"/>
      <w:marBottom w:val="0"/>
      <w:divBdr>
        <w:top w:val="none" w:sz="0" w:space="0" w:color="auto"/>
        <w:left w:val="none" w:sz="0" w:space="0" w:color="auto"/>
        <w:bottom w:val="none" w:sz="0" w:space="0" w:color="auto"/>
        <w:right w:val="none" w:sz="0" w:space="0" w:color="auto"/>
      </w:divBdr>
    </w:div>
    <w:div w:id="1464157367">
      <w:bodyDiv w:val="1"/>
      <w:marLeft w:val="0"/>
      <w:marRight w:val="0"/>
      <w:marTop w:val="0"/>
      <w:marBottom w:val="0"/>
      <w:divBdr>
        <w:top w:val="none" w:sz="0" w:space="0" w:color="auto"/>
        <w:left w:val="none" w:sz="0" w:space="0" w:color="auto"/>
        <w:bottom w:val="none" w:sz="0" w:space="0" w:color="auto"/>
        <w:right w:val="none" w:sz="0" w:space="0" w:color="auto"/>
      </w:divBdr>
    </w:div>
    <w:div w:id="1464232183">
      <w:bodyDiv w:val="1"/>
      <w:marLeft w:val="0"/>
      <w:marRight w:val="0"/>
      <w:marTop w:val="0"/>
      <w:marBottom w:val="0"/>
      <w:divBdr>
        <w:top w:val="none" w:sz="0" w:space="0" w:color="auto"/>
        <w:left w:val="none" w:sz="0" w:space="0" w:color="auto"/>
        <w:bottom w:val="none" w:sz="0" w:space="0" w:color="auto"/>
        <w:right w:val="none" w:sz="0" w:space="0" w:color="auto"/>
      </w:divBdr>
    </w:div>
    <w:div w:id="1464301348">
      <w:bodyDiv w:val="1"/>
      <w:marLeft w:val="0"/>
      <w:marRight w:val="0"/>
      <w:marTop w:val="0"/>
      <w:marBottom w:val="0"/>
      <w:divBdr>
        <w:top w:val="none" w:sz="0" w:space="0" w:color="auto"/>
        <w:left w:val="none" w:sz="0" w:space="0" w:color="auto"/>
        <w:bottom w:val="none" w:sz="0" w:space="0" w:color="auto"/>
        <w:right w:val="none" w:sz="0" w:space="0" w:color="auto"/>
      </w:divBdr>
    </w:div>
    <w:div w:id="1464344967">
      <w:bodyDiv w:val="1"/>
      <w:marLeft w:val="0"/>
      <w:marRight w:val="0"/>
      <w:marTop w:val="0"/>
      <w:marBottom w:val="0"/>
      <w:divBdr>
        <w:top w:val="none" w:sz="0" w:space="0" w:color="auto"/>
        <w:left w:val="none" w:sz="0" w:space="0" w:color="auto"/>
        <w:bottom w:val="none" w:sz="0" w:space="0" w:color="auto"/>
        <w:right w:val="none" w:sz="0" w:space="0" w:color="auto"/>
      </w:divBdr>
    </w:div>
    <w:div w:id="1464348453">
      <w:bodyDiv w:val="1"/>
      <w:marLeft w:val="0"/>
      <w:marRight w:val="0"/>
      <w:marTop w:val="0"/>
      <w:marBottom w:val="0"/>
      <w:divBdr>
        <w:top w:val="none" w:sz="0" w:space="0" w:color="auto"/>
        <w:left w:val="none" w:sz="0" w:space="0" w:color="auto"/>
        <w:bottom w:val="none" w:sz="0" w:space="0" w:color="auto"/>
        <w:right w:val="none" w:sz="0" w:space="0" w:color="auto"/>
      </w:divBdr>
    </w:div>
    <w:div w:id="1464427956">
      <w:bodyDiv w:val="1"/>
      <w:marLeft w:val="0"/>
      <w:marRight w:val="0"/>
      <w:marTop w:val="0"/>
      <w:marBottom w:val="0"/>
      <w:divBdr>
        <w:top w:val="none" w:sz="0" w:space="0" w:color="auto"/>
        <w:left w:val="none" w:sz="0" w:space="0" w:color="auto"/>
        <w:bottom w:val="none" w:sz="0" w:space="0" w:color="auto"/>
        <w:right w:val="none" w:sz="0" w:space="0" w:color="auto"/>
      </w:divBdr>
    </w:div>
    <w:div w:id="1464468175">
      <w:bodyDiv w:val="1"/>
      <w:marLeft w:val="0"/>
      <w:marRight w:val="0"/>
      <w:marTop w:val="0"/>
      <w:marBottom w:val="0"/>
      <w:divBdr>
        <w:top w:val="none" w:sz="0" w:space="0" w:color="auto"/>
        <w:left w:val="none" w:sz="0" w:space="0" w:color="auto"/>
        <w:bottom w:val="none" w:sz="0" w:space="0" w:color="auto"/>
        <w:right w:val="none" w:sz="0" w:space="0" w:color="auto"/>
      </w:divBdr>
    </w:div>
    <w:div w:id="1464497715">
      <w:bodyDiv w:val="1"/>
      <w:marLeft w:val="0"/>
      <w:marRight w:val="0"/>
      <w:marTop w:val="0"/>
      <w:marBottom w:val="0"/>
      <w:divBdr>
        <w:top w:val="none" w:sz="0" w:space="0" w:color="auto"/>
        <w:left w:val="none" w:sz="0" w:space="0" w:color="auto"/>
        <w:bottom w:val="none" w:sz="0" w:space="0" w:color="auto"/>
        <w:right w:val="none" w:sz="0" w:space="0" w:color="auto"/>
      </w:divBdr>
    </w:div>
    <w:div w:id="1464613735">
      <w:bodyDiv w:val="1"/>
      <w:marLeft w:val="0"/>
      <w:marRight w:val="0"/>
      <w:marTop w:val="0"/>
      <w:marBottom w:val="0"/>
      <w:divBdr>
        <w:top w:val="none" w:sz="0" w:space="0" w:color="auto"/>
        <w:left w:val="none" w:sz="0" w:space="0" w:color="auto"/>
        <w:bottom w:val="none" w:sz="0" w:space="0" w:color="auto"/>
        <w:right w:val="none" w:sz="0" w:space="0" w:color="auto"/>
      </w:divBdr>
    </w:div>
    <w:div w:id="1464615684">
      <w:bodyDiv w:val="1"/>
      <w:marLeft w:val="0"/>
      <w:marRight w:val="0"/>
      <w:marTop w:val="0"/>
      <w:marBottom w:val="0"/>
      <w:divBdr>
        <w:top w:val="none" w:sz="0" w:space="0" w:color="auto"/>
        <w:left w:val="none" w:sz="0" w:space="0" w:color="auto"/>
        <w:bottom w:val="none" w:sz="0" w:space="0" w:color="auto"/>
        <w:right w:val="none" w:sz="0" w:space="0" w:color="auto"/>
      </w:divBdr>
    </w:div>
    <w:div w:id="1464693550">
      <w:bodyDiv w:val="1"/>
      <w:marLeft w:val="0"/>
      <w:marRight w:val="0"/>
      <w:marTop w:val="0"/>
      <w:marBottom w:val="0"/>
      <w:divBdr>
        <w:top w:val="none" w:sz="0" w:space="0" w:color="auto"/>
        <w:left w:val="none" w:sz="0" w:space="0" w:color="auto"/>
        <w:bottom w:val="none" w:sz="0" w:space="0" w:color="auto"/>
        <w:right w:val="none" w:sz="0" w:space="0" w:color="auto"/>
      </w:divBdr>
    </w:div>
    <w:div w:id="1464693714">
      <w:bodyDiv w:val="1"/>
      <w:marLeft w:val="0"/>
      <w:marRight w:val="0"/>
      <w:marTop w:val="0"/>
      <w:marBottom w:val="0"/>
      <w:divBdr>
        <w:top w:val="none" w:sz="0" w:space="0" w:color="auto"/>
        <w:left w:val="none" w:sz="0" w:space="0" w:color="auto"/>
        <w:bottom w:val="none" w:sz="0" w:space="0" w:color="auto"/>
        <w:right w:val="none" w:sz="0" w:space="0" w:color="auto"/>
      </w:divBdr>
    </w:div>
    <w:div w:id="1464696753">
      <w:bodyDiv w:val="1"/>
      <w:marLeft w:val="0"/>
      <w:marRight w:val="0"/>
      <w:marTop w:val="0"/>
      <w:marBottom w:val="0"/>
      <w:divBdr>
        <w:top w:val="none" w:sz="0" w:space="0" w:color="auto"/>
        <w:left w:val="none" w:sz="0" w:space="0" w:color="auto"/>
        <w:bottom w:val="none" w:sz="0" w:space="0" w:color="auto"/>
        <w:right w:val="none" w:sz="0" w:space="0" w:color="auto"/>
      </w:divBdr>
    </w:div>
    <w:div w:id="1464738855">
      <w:bodyDiv w:val="1"/>
      <w:marLeft w:val="0"/>
      <w:marRight w:val="0"/>
      <w:marTop w:val="0"/>
      <w:marBottom w:val="0"/>
      <w:divBdr>
        <w:top w:val="none" w:sz="0" w:space="0" w:color="auto"/>
        <w:left w:val="none" w:sz="0" w:space="0" w:color="auto"/>
        <w:bottom w:val="none" w:sz="0" w:space="0" w:color="auto"/>
        <w:right w:val="none" w:sz="0" w:space="0" w:color="auto"/>
      </w:divBdr>
    </w:div>
    <w:div w:id="1464810590">
      <w:bodyDiv w:val="1"/>
      <w:marLeft w:val="0"/>
      <w:marRight w:val="0"/>
      <w:marTop w:val="0"/>
      <w:marBottom w:val="0"/>
      <w:divBdr>
        <w:top w:val="none" w:sz="0" w:space="0" w:color="auto"/>
        <w:left w:val="none" w:sz="0" w:space="0" w:color="auto"/>
        <w:bottom w:val="none" w:sz="0" w:space="0" w:color="auto"/>
        <w:right w:val="none" w:sz="0" w:space="0" w:color="auto"/>
      </w:divBdr>
    </w:div>
    <w:div w:id="1464880599">
      <w:bodyDiv w:val="1"/>
      <w:marLeft w:val="0"/>
      <w:marRight w:val="0"/>
      <w:marTop w:val="0"/>
      <w:marBottom w:val="0"/>
      <w:divBdr>
        <w:top w:val="none" w:sz="0" w:space="0" w:color="auto"/>
        <w:left w:val="none" w:sz="0" w:space="0" w:color="auto"/>
        <w:bottom w:val="none" w:sz="0" w:space="0" w:color="auto"/>
        <w:right w:val="none" w:sz="0" w:space="0" w:color="auto"/>
      </w:divBdr>
    </w:div>
    <w:div w:id="1465000059">
      <w:bodyDiv w:val="1"/>
      <w:marLeft w:val="0"/>
      <w:marRight w:val="0"/>
      <w:marTop w:val="0"/>
      <w:marBottom w:val="0"/>
      <w:divBdr>
        <w:top w:val="none" w:sz="0" w:space="0" w:color="auto"/>
        <w:left w:val="none" w:sz="0" w:space="0" w:color="auto"/>
        <w:bottom w:val="none" w:sz="0" w:space="0" w:color="auto"/>
        <w:right w:val="none" w:sz="0" w:space="0" w:color="auto"/>
      </w:divBdr>
    </w:div>
    <w:div w:id="1465126154">
      <w:bodyDiv w:val="1"/>
      <w:marLeft w:val="0"/>
      <w:marRight w:val="0"/>
      <w:marTop w:val="0"/>
      <w:marBottom w:val="0"/>
      <w:divBdr>
        <w:top w:val="none" w:sz="0" w:space="0" w:color="auto"/>
        <w:left w:val="none" w:sz="0" w:space="0" w:color="auto"/>
        <w:bottom w:val="none" w:sz="0" w:space="0" w:color="auto"/>
        <w:right w:val="none" w:sz="0" w:space="0" w:color="auto"/>
      </w:divBdr>
    </w:div>
    <w:div w:id="1465192407">
      <w:bodyDiv w:val="1"/>
      <w:marLeft w:val="0"/>
      <w:marRight w:val="0"/>
      <w:marTop w:val="0"/>
      <w:marBottom w:val="0"/>
      <w:divBdr>
        <w:top w:val="none" w:sz="0" w:space="0" w:color="auto"/>
        <w:left w:val="none" w:sz="0" w:space="0" w:color="auto"/>
        <w:bottom w:val="none" w:sz="0" w:space="0" w:color="auto"/>
        <w:right w:val="none" w:sz="0" w:space="0" w:color="auto"/>
      </w:divBdr>
    </w:div>
    <w:div w:id="1465200194">
      <w:bodyDiv w:val="1"/>
      <w:marLeft w:val="0"/>
      <w:marRight w:val="0"/>
      <w:marTop w:val="0"/>
      <w:marBottom w:val="0"/>
      <w:divBdr>
        <w:top w:val="none" w:sz="0" w:space="0" w:color="auto"/>
        <w:left w:val="none" w:sz="0" w:space="0" w:color="auto"/>
        <w:bottom w:val="none" w:sz="0" w:space="0" w:color="auto"/>
        <w:right w:val="none" w:sz="0" w:space="0" w:color="auto"/>
      </w:divBdr>
    </w:div>
    <w:div w:id="1465390601">
      <w:bodyDiv w:val="1"/>
      <w:marLeft w:val="0"/>
      <w:marRight w:val="0"/>
      <w:marTop w:val="0"/>
      <w:marBottom w:val="0"/>
      <w:divBdr>
        <w:top w:val="none" w:sz="0" w:space="0" w:color="auto"/>
        <w:left w:val="none" w:sz="0" w:space="0" w:color="auto"/>
        <w:bottom w:val="none" w:sz="0" w:space="0" w:color="auto"/>
        <w:right w:val="none" w:sz="0" w:space="0" w:color="auto"/>
      </w:divBdr>
    </w:div>
    <w:div w:id="1465582298">
      <w:bodyDiv w:val="1"/>
      <w:marLeft w:val="0"/>
      <w:marRight w:val="0"/>
      <w:marTop w:val="0"/>
      <w:marBottom w:val="0"/>
      <w:divBdr>
        <w:top w:val="none" w:sz="0" w:space="0" w:color="auto"/>
        <w:left w:val="none" w:sz="0" w:space="0" w:color="auto"/>
        <w:bottom w:val="none" w:sz="0" w:space="0" w:color="auto"/>
        <w:right w:val="none" w:sz="0" w:space="0" w:color="auto"/>
      </w:divBdr>
    </w:div>
    <w:div w:id="1465586267">
      <w:bodyDiv w:val="1"/>
      <w:marLeft w:val="0"/>
      <w:marRight w:val="0"/>
      <w:marTop w:val="0"/>
      <w:marBottom w:val="0"/>
      <w:divBdr>
        <w:top w:val="none" w:sz="0" w:space="0" w:color="auto"/>
        <w:left w:val="none" w:sz="0" w:space="0" w:color="auto"/>
        <w:bottom w:val="none" w:sz="0" w:space="0" w:color="auto"/>
        <w:right w:val="none" w:sz="0" w:space="0" w:color="auto"/>
      </w:divBdr>
    </w:div>
    <w:div w:id="1465731521">
      <w:bodyDiv w:val="1"/>
      <w:marLeft w:val="0"/>
      <w:marRight w:val="0"/>
      <w:marTop w:val="0"/>
      <w:marBottom w:val="0"/>
      <w:divBdr>
        <w:top w:val="none" w:sz="0" w:space="0" w:color="auto"/>
        <w:left w:val="none" w:sz="0" w:space="0" w:color="auto"/>
        <w:bottom w:val="none" w:sz="0" w:space="0" w:color="auto"/>
        <w:right w:val="none" w:sz="0" w:space="0" w:color="auto"/>
      </w:divBdr>
    </w:div>
    <w:div w:id="1465732389">
      <w:bodyDiv w:val="1"/>
      <w:marLeft w:val="0"/>
      <w:marRight w:val="0"/>
      <w:marTop w:val="0"/>
      <w:marBottom w:val="0"/>
      <w:divBdr>
        <w:top w:val="none" w:sz="0" w:space="0" w:color="auto"/>
        <w:left w:val="none" w:sz="0" w:space="0" w:color="auto"/>
        <w:bottom w:val="none" w:sz="0" w:space="0" w:color="auto"/>
        <w:right w:val="none" w:sz="0" w:space="0" w:color="auto"/>
      </w:divBdr>
    </w:div>
    <w:div w:id="1465848431">
      <w:bodyDiv w:val="1"/>
      <w:marLeft w:val="0"/>
      <w:marRight w:val="0"/>
      <w:marTop w:val="0"/>
      <w:marBottom w:val="0"/>
      <w:divBdr>
        <w:top w:val="none" w:sz="0" w:space="0" w:color="auto"/>
        <w:left w:val="none" w:sz="0" w:space="0" w:color="auto"/>
        <w:bottom w:val="none" w:sz="0" w:space="0" w:color="auto"/>
        <w:right w:val="none" w:sz="0" w:space="0" w:color="auto"/>
      </w:divBdr>
    </w:div>
    <w:div w:id="1465924073">
      <w:bodyDiv w:val="1"/>
      <w:marLeft w:val="0"/>
      <w:marRight w:val="0"/>
      <w:marTop w:val="0"/>
      <w:marBottom w:val="0"/>
      <w:divBdr>
        <w:top w:val="none" w:sz="0" w:space="0" w:color="auto"/>
        <w:left w:val="none" w:sz="0" w:space="0" w:color="auto"/>
        <w:bottom w:val="none" w:sz="0" w:space="0" w:color="auto"/>
        <w:right w:val="none" w:sz="0" w:space="0" w:color="auto"/>
      </w:divBdr>
    </w:div>
    <w:div w:id="1465924253">
      <w:bodyDiv w:val="1"/>
      <w:marLeft w:val="0"/>
      <w:marRight w:val="0"/>
      <w:marTop w:val="0"/>
      <w:marBottom w:val="0"/>
      <w:divBdr>
        <w:top w:val="none" w:sz="0" w:space="0" w:color="auto"/>
        <w:left w:val="none" w:sz="0" w:space="0" w:color="auto"/>
        <w:bottom w:val="none" w:sz="0" w:space="0" w:color="auto"/>
        <w:right w:val="none" w:sz="0" w:space="0" w:color="auto"/>
      </w:divBdr>
    </w:div>
    <w:div w:id="1465930197">
      <w:bodyDiv w:val="1"/>
      <w:marLeft w:val="0"/>
      <w:marRight w:val="0"/>
      <w:marTop w:val="0"/>
      <w:marBottom w:val="0"/>
      <w:divBdr>
        <w:top w:val="none" w:sz="0" w:space="0" w:color="auto"/>
        <w:left w:val="none" w:sz="0" w:space="0" w:color="auto"/>
        <w:bottom w:val="none" w:sz="0" w:space="0" w:color="auto"/>
        <w:right w:val="none" w:sz="0" w:space="0" w:color="auto"/>
      </w:divBdr>
    </w:div>
    <w:div w:id="1466006828">
      <w:bodyDiv w:val="1"/>
      <w:marLeft w:val="0"/>
      <w:marRight w:val="0"/>
      <w:marTop w:val="0"/>
      <w:marBottom w:val="0"/>
      <w:divBdr>
        <w:top w:val="none" w:sz="0" w:space="0" w:color="auto"/>
        <w:left w:val="none" w:sz="0" w:space="0" w:color="auto"/>
        <w:bottom w:val="none" w:sz="0" w:space="0" w:color="auto"/>
        <w:right w:val="none" w:sz="0" w:space="0" w:color="auto"/>
      </w:divBdr>
    </w:div>
    <w:div w:id="1466121060">
      <w:bodyDiv w:val="1"/>
      <w:marLeft w:val="0"/>
      <w:marRight w:val="0"/>
      <w:marTop w:val="0"/>
      <w:marBottom w:val="0"/>
      <w:divBdr>
        <w:top w:val="none" w:sz="0" w:space="0" w:color="auto"/>
        <w:left w:val="none" w:sz="0" w:space="0" w:color="auto"/>
        <w:bottom w:val="none" w:sz="0" w:space="0" w:color="auto"/>
        <w:right w:val="none" w:sz="0" w:space="0" w:color="auto"/>
      </w:divBdr>
    </w:div>
    <w:div w:id="1466123319">
      <w:bodyDiv w:val="1"/>
      <w:marLeft w:val="0"/>
      <w:marRight w:val="0"/>
      <w:marTop w:val="0"/>
      <w:marBottom w:val="0"/>
      <w:divBdr>
        <w:top w:val="none" w:sz="0" w:space="0" w:color="auto"/>
        <w:left w:val="none" w:sz="0" w:space="0" w:color="auto"/>
        <w:bottom w:val="none" w:sz="0" w:space="0" w:color="auto"/>
        <w:right w:val="none" w:sz="0" w:space="0" w:color="auto"/>
      </w:divBdr>
    </w:div>
    <w:div w:id="1466195637">
      <w:bodyDiv w:val="1"/>
      <w:marLeft w:val="0"/>
      <w:marRight w:val="0"/>
      <w:marTop w:val="0"/>
      <w:marBottom w:val="0"/>
      <w:divBdr>
        <w:top w:val="none" w:sz="0" w:space="0" w:color="auto"/>
        <w:left w:val="none" w:sz="0" w:space="0" w:color="auto"/>
        <w:bottom w:val="none" w:sz="0" w:space="0" w:color="auto"/>
        <w:right w:val="none" w:sz="0" w:space="0" w:color="auto"/>
      </w:divBdr>
    </w:div>
    <w:div w:id="1466199769">
      <w:bodyDiv w:val="1"/>
      <w:marLeft w:val="0"/>
      <w:marRight w:val="0"/>
      <w:marTop w:val="0"/>
      <w:marBottom w:val="0"/>
      <w:divBdr>
        <w:top w:val="none" w:sz="0" w:space="0" w:color="auto"/>
        <w:left w:val="none" w:sz="0" w:space="0" w:color="auto"/>
        <w:bottom w:val="none" w:sz="0" w:space="0" w:color="auto"/>
        <w:right w:val="none" w:sz="0" w:space="0" w:color="auto"/>
      </w:divBdr>
    </w:div>
    <w:div w:id="1466241386">
      <w:bodyDiv w:val="1"/>
      <w:marLeft w:val="0"/>
      <w:marRight w:val="0"/>
      <w:marTop w:val="0"/>
      <w:marBottom w:val="0"/>
      <w:divBdr>
        <w:top w:val="none" w:sz="0" w:space="0" w:color="auto"/>
        <w:left w:val="none" w:sz="0" w:space="0" w:color="auto"/>
        <w:bottom w:val="none" w:sz="0" w:space="0" w:color="auto"/>
        <w:right w:val="none" w:sz="0" w:space="0" w:color="auto"/>
      </w:divBdr>
    </w:div>
    <w:div w:id="1466316005">
      <w:bodyDiv w:val="1"/>
      <w:marLeft w:val="0"/>
      <w:marRight w:val="0"/>
      <w:marTop w:val="0"/>
      <w:marBottom w:val="0"/>
      <w:divBdr>
        <w:top w:val="none" w:sz="0" w:space="0" w:color="auto"/>
        <w:left w:val="none" w:sz="0" w:space="0" w:color="auto"/>
        <w:bottom w:val="none" w:sz="0" w:space="0" w:color="auto"/>
        <w:right w:val="none" w:sz="0" w:space="0" w:color="auto"/>
      </w:divBdr>
    </w:div>
    <w:div w:id="1466316640">
      <w:bodyDiv w:val="1"/>
      <w:marLeft w:val="0"/>
      <w:marRight w:val="0"/>
      <w:marTop w:val="0"/>
      <w:marBottom w:val="0"/>
      <w:divBdr>
        <w:top w:val="none" w:sz="0" w:space="0" w:color="auto"/>
        <w:left w:val="none" w:sz="0" w:space="0" w:color="auto"/>
        <w:bottom w:val="none" w:sz="0" w:space="0" w:color="auto"/>
        <w:right w:val="none" w:sz="0" w:space="0" w:color="auto"/>
      </w:divBdr>
    </w:div>
    <w:div w:id="1466434605">
      <w:bodyDiv w:val="1"/>
      <w:marLeft w:val="0"/>
      <w:marRight w:val="0"/>
      <w:marTop w:val="0"/>
      <w:marBottom w:val="0"/>
      <w:divBdr>
        <w:top w:val="none" w:sz="0" w:space="0" w:color="auto"/>
        <w:left w:val="none" w:sz="0" w:space="0" w:color="auto"/>
        <w:bottom w:val="none" w:sz="0" w:space="0" w:color="auto"/>
        <w:right w:val="none" w:sz="0" w:space="0" w:color="auto"/>
      </w:divBdr>
    </w:div>
    <w:div w:id="1466580268">
      <w:bodyDiv w:val="1"/>
      <w:marLeft w:val="0"/>
      <w:marRight w:val="0"/>
      <w:marTop w:val="0"/>
      <w:marBottom w:val="0"/>
      <w:divBdr>
        <w:top w:val="none" w:sz="0" w:space="0" w:color="auto"/>
        <w:left w:val="none" w:sz="0" w:space="0" w:color="auto"/>
        <w:bottom w:val="none" w:sz="0" w:space="0" w:color="auto"/>
        <w:right w:val="none" w:sz="0" w:space="0" w:color="auto"/>
      </w:divBdr>
    </w:div>
    <w:div w:id="1466580719">
      <w:bodyDiv w:val="1"/>
      <w:marLeft w:val="0"/>
      <w:marRight w:val="0"/>
      <w:marTop w:val="0"/>
      <w:marBottom w:val="0"/>
      <w:divBdr>
        <w:top w:val="none" w:sz="0" w:space="0" w:color="auto"/>
        <w:left w:val="none" w:sz="0" w:space="0" w:color="auto"/>
        <w:bottom w:val="none" w:sz="0" w:space="0" w:color="auto"/>
        <w:right w:val="none" w:sz="0" w:space="0" w:color="auto"/>
      </w:divBdr>
    </w:div>
    <w:div w:id="1466581397">
      <w:bodyDiv w:val="1"/>
      <w:marLeft w:val="0"/>
      <w:marRight w:val="0"/>
      <w:marTop w:val="0"/>
      <w:marBottom w:val="0"/>
      <w:divBdr>
        <w:top w:val="none" w:sz="0" w:space="0" w:color="auto"/>
        <w:left w:val="none" w:sz="0" w:space="0" w:color="auto"/>
        <w:bottom w:val="none" w:sz="0" w:space="0" w:color="auto"/>
        <w:right w:val="none" w:sz="0" w:space="0" w:color="auto"/>
      </w:divBdr>
    </w:div>
    <w:div w:id="1466700749">
      <w:bodyDiv w:val="1"/>
      <w:marLeft w:val="0"/>
      <w:marRight w:val="0"/>
      <w:marTop w:val="0"/>
      <w:marBottom w:val="0"/>
      <w:divBdr>
        <w:top w:val="none" w:sz="0" w:space="0" w:color="auto"/>
        <w:left w:val="none" w:sz="0" w:space="0" w:color="auto"/>
        <w:bottom w:val="none" w:sz="0" w:space="0" w:color="auto"/>
        <w:right w:val="none" w:sz="0" w:space="0" w:color="auto"/>
      </w:divBdr>
    </w:div>
    <w:div w:id="1466703577">
      <w:bodyDiv w:val="1"/>
      <w:marLeft w:val="0"/>
      <w:marRight w:val="0"/>
      <w:marTop w:val="0"/>
      <w:marBottom w:val="0"/>
      <w:divBdr>
        <w:top w:val="none" w:sz="0" w:space="0" w:color="auto"/>
        <w:left w:val="none" w:sz="0" w:space="0" w:color="auto"/>
        <w:bottom w:val="none" w:sz="0" w:space="0" w:color="auto"/>
        <w:right w:val="none" w:sz="0" w:space="0" w:color="auto"/>
      </w:divBdr>
    </w:div>
    <w:div w:id="1466704991">
      <w:bodyDiv w:val="1"/>
      <w:marLeft w:val="0"/>
      <w:marRight w:val="0"/>
      <w:marTop w:val="0"/>
      <w:marBottom w:val="0"/>
      <w:divBdr>
        <w:top w:val="none" w:sz="0" w:space="0" w:color="auto"/>
        <w:left w:val="none" w:sz="0" w:space="0" w:color="auto"/>
        <w:bottom w:val="none" w:sz="0" w:space="0" w:color="auto"/>
        <w:right w:val="none" w:sz="0" w:space="0" w:color="auto"/>
      </w:divBdr>
    </w:div>
    <w:div w:id="1466774200">
      <w:bodyDiv w:val="1"/>
      <w:marLeft w:val="0"/>
      <w:marRight w:val="0"/>
      <w:marTop w:val="0"/>
      <w:marBottom w:val="0"/>
      <w:divBdr>
        <w:top w:val="none" w:sz="0" w:space="0" w:color="auto"/>
        <w:left w:val="none" w:sz="0" w:space="0" w:color="auto"/>
        <w:bottom w:val="none" w:sz="0" w:space="0" w:color="auto"/>
        <w:right w:val="none" w:sz="0" w:space="0" w:color="auto"/>
      </w:divBdr>
    </w:div>
    <w:div w:id="1466774520">
      <w:bodyDiv w:val="1"/>
      <w:marLeft w:val="0"/>
      <w:marRight w:val="0"/>
      <w:marTop w:val="0"/>
      <w:marBottom w:val="0"/>
      <w:divBdr>
        <w:top w:val="none" w:sz="0" w:space="0" w:color="auto"/>
        <w:left w:val="none" w:sz="0" w:space="0" w:color="auto"/>
        <w:bottom w:val="none" w:sz="0" w:space="0" w:color="auto"/>
        <w:right w:val="none" w:sz="0" w:space="0" w:color="auto"/>
      </w:divBdr>
    </w:div>
    <w:div w:id="1466777550">
      <w:bodyDiv w:val="1"/>
      <w:marLeft w:val="0"/>
      <w:marRight w:val="0"/>
      <w:marTop w:val="0"/>
      <w:marBottom w:val="0"/>
      <w:divBdr>
        <w:top w:val="none" w:sz="0" w:space="0" w:color="auto"/>
        <w:left w:val="none" w:sz="0" w:space="0" w:color="auto"/>
        <w:bottom w:val="none" w:sz="0" w:space="0" w:color="auto"/>
        <w:right w:val="none" w:sz="0" w:space="0" w:color="auto"/>
      </w:divBdr>
    </w:div>
    <w:div w:id="1466851779">
      <w:bodyDiv w:val="1"/>
      <w:marLeft w:val="0"/>
      <w:marRight w:val="0"/>
      <w:marTop w:val="0"/>
      <w:marBottom w:val="0"/>
      <w:divBdr>
        <w:top w:val="none" w:sz="0" w:space="0" w:color="auto"/>
        <w:left w:val="none" w:sz="0" w:space="0" w:color="auto"/>
        <w:bottom w:val="none" w:sz="0" w:space="0" w:color="auto"/>
        <w:right w:val="none" w:sz="0" w:space="0" w:color="auto"/>
      </w:divBdr>
    </w:div>
    <w:div w:id="1466898406">
      <w:bodyDiv w:val="1"/>
      <w:marLeft w:val="0"/>
      <w:marRight w:val="0"/>
      <w:marTop w:val="0"/>
      <w:marBottom w:val="0"/>
      <w:divBdr>
        <w:top w:val="none" w:sz="0" w:space="0" w:color="auto"/>
        <w:left w:val="none" w:sz="0" w:space="0" w:color="auto"/>
        <w:bottom w:val="none" w:sz="0" w:space="0" w:color="auto"/>
        <w:right w:val="none" w:sz="0" w:space="0" w:color="auto"/>
      </w:divBdr>
    </w:div>
    <w:div w:id="1466969871">
      <w:bodyDiv w:val="1"/>
      <w:marLeft w:val="0"/>
      <w:marRight w:val="0"/>
      <w:marTop w:val="0"/>
      <w:marBottom w:val="0"/>
      <w:divBdr>
        <w:top w:val="none" w:sz="0" w:space="0" w:color="auto"/>
        <w:left w:val="none" w:sz="0" w:space="0" w:color="auto"/>
        <w:bottom w:val="none" w:sz="0" w:space="0" w:color="auto"/>
        <w:right w:val="none" w:sz="0" w:space="0" w:color="auto"/>
      </w:divBdr>
    </w:div>
    <w:div w:id="1467041594">
      <w:bodyDiv w:val="1"/>
      <w:marLeft w:val="0"/>
      <w:marRight w:val="0"/>
      <w:marTop w:val="0"/>
      <w:marBottom w:val="0"/>
      <w:divBdr>
        <w:top w:val="none" w:sz="0" w:space="0" w:color="auto"/>
        <w:left w:val="none" w:sz="0" w:space="0" w:color="auto"/>
        <w:bottom w:val="none" w:sz="0" w:space="0" w:color="auto"/>
        <w:right w:val="none" w:sz="0" w:space="0" w:color="auto"/>
      </w:divBdr>
    </w:div>
    <w:div w:id="1467118339">
      <w:bodyDiv w:val="1"/>
      <w:marLeft w:val="0"/>
      <w:marRight w:val="0"/>
      <w:marTop w:val="0"/>
      <w:marBottom w:val="0"/>
      <w:divBdr>
        <w:top w:val="none" w:sz="0" w:space="0" w:color="auto"/>
        <w:left w:val="none" w:sz="0" w:space="0" w:color="auto"/>
        <w:bottom w:val="none" w:sz="0" w:space="0" w:color="auto"/>
        <w:right w:val="none" w:sz="0" w:space="0" w:color="auto"/>
      </w:divBdr>
    </w:div>
    <w:div w:id="1467165670">
      <w:bodyDiv w:val="1"/>
      <w:marLeft w:val="0"/>
      <w:marRight w:val="0"/>
      <w:marTop w:val="0"/>
      <w:marBottom w:val="0"/>
      <w:divBdr>
        <w:top w:val="none" w:sz="0" w:space="0" w:color="auto"/>
        <w:left w:val="none" w:sz="0" w:space="0" w:color="auto"/>
        <w:bottom w:val="none" w:sz="0" w:space="0" w:color="auto"/>
        <w:right w:val="none" w:sz="0" w:space="0" w:color="auto"/>
      </w:divBdr>
    </w:div>
    <w:div w:id="1467236684">
      <w:bodyDiv w:val="1"/>
      <w:marLeft w:val="0"/>
      <w:marRight w:val="0"/>
      <w:marTop w:val="0"/>
      <w:marBottom w:val="0"/>
      <w:divBdr>
        <w:top w:val="none" w:sz="0" w:space="0" w:color="auto"/>
        <w:left w:val="none" w:sz="0" w:space="0" w:color="auto"/>
        <w:bottom w:val="none" w:sz="0" w:space="0" w:color="auto"/>
        <w:right w:val="none" w:sz="0" w:space="0" w:color="auto"/>
      </w:divBdr>
    </w:div>
    <w:div w:id="1467237353">
      <w:bodyDiv w:val="1"/>
      <w:marLeft w:val="0"/>
      <w:marRight w:val="0"/>
      <w:marTop w:val="0"/>
      <w:marBottom w:val="0"/>
      <w:divBdr>
        <w:top w:val="none" w:sz="0" w:space="0" w:color="auto"/>
        <w:left w:val="none" w:sz="0" w:space="0" w:color="auto"/>
        <w:bottom w:val="none" w:sz="0" w:space="0" w:color="auto"/>
        <w:right w:val="none" w:sz="0" w:space="0" w:color="auto"/>
      </w:divBdr>
    </w:div>
    <w:div w:id="1467352475">
      <w:bodyDiv w:val="1"/>
      <w:marLeft w:val="0"/>
      <w:marRight w:val="0"/>
      <w:marTop w:val="0"/>
      <w:marBottom w:val="0"/>
      <w:divBdr>
        <w:top w:val="none" w:sz="0" w:space="0" w:color="auto"/>
        <w:left w:val="none" w:sz="0" w:space="0" w:color="auto"/>
        <w:bottom w:val="none" w:sz="0" w:space="0" w:color="auto"/>
        <w:right w:val="none" w:sz="0" w:space="0" w:color="auto"/>
      </w:divBdr>
    </w:div>
    <w:div w:id="1467430639">
      <w:bodyDiv w:val="1"/>
      <w:marLeft w:val="0"/>
      <w:marRight w:val="0"/>
      <w:marTop w:val="0"/>
      <w:marBottom w:val="0"/>
      <w:divBdr>
        <w:top w:val="none" w:sz="0" w:space="0" w:color="auto"/>
        <w:left w:val="none" w:sz="0" w:space="0" w:color="auto"/>
        <w:bottom w:val="none" w:sz="0" w:space="0" w:color="auto"/>
        <w:right w:val="none" w:sz="0" w:space="0" w:color="auto"/>
      </w:divBdr>
    </w:div>
    <w:div w:id="1467553522">
      <w:bodyDiv w:val="1"/>
      <w:marLeft w:val="0"/>
      <w:marRight w:val="0"/>
      <w:marTop w:val="0"/>
      <w:marBottom w:val="0"/>
      <w:divBdr>
        <w:top w:val="none" w:sz="0" w:space="0" w:color="auto"/>
        <w:left w:val="none" w:sz="0" w:space="0" w:color="auto"/>
        <w:bottom w:val="none" w:sz="0" w:space="0" w:color="auto"/>
        <w:right w:val="none" w:sz="0" w:space="0" w:color="auto"/>
      </w:divBdr>
    </w:div>
    <w:div w:id="1467628567">
      <w:bodyDiv w:val="1"/>
      <w:marLeft w:val="0"/>
      <w:marRight w:val="0"/>
      <w:marTop w:val="0"/>
      <w:marBottom w:val="0"/>
      <w:divBdr>
        <w:top w:val="none" w:sz="0" w:space="0" w:color="auto"/>
        <w:left w:val="none" w:sz="0" w:space="0" w:color="auto"/>
        <w:bottom w:val="none" w:sz="0" w:space="0" w:color="auto"/>
        <w:right w:val="none" w:sz="0" w:space="0" w:color="auto"/>
      </w:divBdr>
    </w:div>
    <w:div w:id="1467628736">
      <w:bodyDiv w:val="1"/>
      <w:marLeft w:val="0"/>
      <w:marRight w:val="0"/>
      <w:marTop w:val="0"/>
      <w:marBottom w:val="0"/>
      <w:divBdr>
        <w:top w:val="none" w:sz="0" w:space="0" w:color="auto"/>
        <w:left w:val="none" w:sz="0" w:space="0" w:color="auto"/>
        <w:bottom w:val="none" w:sz="0" w:space="0" w:color="auto"/>
        <w:right w:val="none" w:sz="0" w:space="0" w:color="auto"/>
      </w:divBdr>
    </w:div>
    <w:div w:id="1467700422">
      <w:bodyDiv w:val="1"/>
      <w:marLeft w:val="0"/>
      <w:marRight w:val="0"/>
      <w:marTop w:val="0"/>
      <w:marBottom w:val="0"/>
      <w:divBdr>
        <w:top w:val="none" w:sz="0" w:space="0" w:color="auto"/>
        <w:left w:val="none" w:sz="0" w:space="0" w:color="auto"/>
        <w:bottom w:val="none" w:sz="0" w:space="0" w:color="auto"/>
        <w:right w:val="none" w:sz="0" w:space="0" w:color="auto"/>
      </w:divBdr>
    </w:div>
    <w:div w:id="1467813959">
      <w:bodyDiv w:val="1"/>
      <w:marLeft w:val="0"/>
      <w:marRight w:val="0"/>
      <w:marTop w:val="0"/>
      <w:marBottom w:val="0"/>
      <w:divBdr>
        <w:top w:val="none" w:sz="0" w:space="0" w:color="auto"/>
        <w:left w:val="none" w:sz="0" w:space="0" w:color="auto"/>
        <w:bottom w:val="none" w:sz="0" w:space="0" w:color="auto"/>
        <w:right w:val="none" w:sz="0" w:space="0" w:color="auto"/>
      </w:divBdr>
    </w:div>
    <w:div w:id="1467896618">
      <w:bodyDiv w:val="1"/>
      <w:marLeft w:val="0"/>
      <w:marRight w:val="0"/>
      <w:marTop w:val="0"/>
      <w:marBottom w:val="0"/>
      <w:divBdr>
        <w:top w:val="none" w:sz="0" w:space="0" w:color="auto"/>
        <w:left w:val="none" w:sz="0" w:space="0" w:color="auto"/>
        <w:bottom w:val="none" w:sz="0" w:space="0" w:color="auto"/>
        <w:right w:val="none" w:sz="0" w:space="0" w:color="auto"/>
      </w:divBdr>
    </w:div>
    <w:div w:id="1468081889">
      <w:bodyDiv w:val="1"/>
      <w:marLeft w:val="0"/>
      <w:marRight w:val="0"/>
      <w:marTop w:val="0"/>
      <w:marBottom w:val="0"/>
      <w:divBdr>
        <w:top w:val="none" w:sz="0" w:space="0" w:color="auto"/>
        <w:left w:val="none" w:sz="0" w:space="0" w:color="auto"/>
        <w:bottom w:val="none" w:sz="0" w:space="0" w:color="auto"/>
        <w:right w:val="none" w:sz="0" w:space="0" w:color="auto"/>
      </w:divBdr>
    </w:div>
    <w:div w:id="1468161845">
      <w:bodyDiv w:val="1"/>
      <w:marLeft w:val="0"/>
      <w:marRight w:val="0"/>
      <w:marTop w:val="0"/>
      <w:marBottom w:val="0"/>
      <w:divBdr>
        <w:top w:val="none" w:sz="0" w:space="0" w:color="auto"/>
        <w:left w:val="none" w:sz="0" w:space="0" w:color="auto"/>
        <w:bottom w:val="none" w:sz="0" w:space="0" w:color="auto"/>
        <w:right w:val="none" w:sz="0" w:space="0" w:color="auto"/>
      </w:divBdr>
    </w:div>
    <w:div w:id="1468205687">
      <w:bodyDiv w:val="1"/>
      <w:marLeft w:val="0"/>
      <w:marRight w:val="0"/>
      <w:marTop w:val="0"/>
      <w:marBottom w:val="0"/>
      <w:divBdr>
        <w:top w:val="none" w:sz="0" w:space="0" w:color="auto"/>
        <w:left w:val="none" w:sz="0" w:space="0" w:color="auto"/>
        <w:bottom w:val="none" w:sz="0" w:space="0" w:color="auto"/>
        <w:right w:val="none" w:sz="0" w:space="0" w:color="auto"/>
      </w:divBdr>
    </w:div>
    <w:div w:id="1468275582">
      <w:bodyDiv w:val="1"/>
      <w:marLeft w:val="0"/>
      <w:marRight w:val="0"/>
      <w:marTop w:val="0"/>
      <w:marBottom w:val="0"/>
      <w:divBdr>
        <w:top w:val="none" w:sz="0" w:space="0" w:color="auto"/>
        <w:left w:val="none" w:sz="0" w:space="0" w:color="auto"/>
        <w:bottom w:val="none" w:sz="0" w:space="0" w:color="auto"/>
        <w:right w:val="none" w:sz="0" w:space="0" w:color="auto"/>
      </w:divBdr>
    </w:div>
    <w:div w:id="1468351645">
      <w:bodyDiv w:val="1"/>
      <w:marLeft w:val="0"/>
      <w:marRight w:val="0"/>
      <w:marTop w:val="0"/>
      <w:marBottom w:val="0"/>
      <w:divBdr>
        <w:top w:val="none" w:sz="0" w:space="0" w:color="auto"/>
        <w:left w:val="none" w:sz="0" w:space="0" w:color="auto"/>
        <w:bottom w:val="none" w:sz="0" w:space="0" w:color="auto"/>
        <w:right w:val="none" w:sz="0" w:space="0" w:color="auto"/>
      </w:divBdr>
    </w:div>
    <w:div w:id="1468353270">
      <w:bodyDiv w:val="1"/>
      <w:marLeft w:val="0"/>
      <w:marRight w:val="0"/>
      <w:marTop w:val="0"/>
      <w:marBottom w:val="0"/>
      <w:divBdr>
        <w:top w:val="none" w:sz="0" w:space="0" w:color="auto"/>
        <w:left w:val="none" w:sz="0" w:space="0" w:color="auto"/>
        <w:bottom w:val="none" w:sz="0" w:space="0" w:color="auto"/>
        <w:right w:val="none" w:sz="0" w:space="0" w:color="auto"/>
      </w:divBdr>
    </w:div>
    <w:div w:id="1468355861">
      <w:bodyDiv w:val="1"/>
      <w:marLeft w:val="0"/>
      <w:marRight w:val="0"/>
      <w:marTop w:val="0"/>
      <w:marBottom w:val="0"/>
      <w:divBdr>
        <w:top w:val="none" w:sz="0" w:space="0" w:color="auto"/>
        <w:left w:val="none" w:sz="0" w:space="0" w:color="auto"/>
        <w:bottom w:val="none" w:sz="0" w:space="0" w:color="auto"/>
        <w:right w:val="none" w:sz="0" w:space="0" w:color="auto"/>
      </w:divBdr>
    </w:div>
    <w:div w:id="1468425769">
      <w:bodyDiv w:val="1"/>
      <w:marLeft w:val="0"/>
      <w:marRight w:val="0"/>
      <w:marTop w:val="0"/>
      <w:marBottom w:val="0"/>
      <w:divBdr>
        <w:top w:val="none" w:sz="0" w:space="0" w:color="auto"/>
        <w:left w:val="none" w:sz="0" w:space="0" w:color="auto"/>
        <w:bottom w:val="none" w:sz="0" w:space="0" w:color="auto"/>
        <w:right w:val="none" w:sz="0" w:space="0" w:color="auto"/>
      </w:divBdr>
    </w:div>
    <w:div w:id="1468628022">
      <w:bodyDiv w:val="1"/>
      <w:marLeft w:val="0"/>
      <w:marRight w:val="0"/>
      <w:marTop w:val="0"/>
      <w:marBottom w:val="0"/>
      <w:divBdr>
        <w:top w:val="none" w:sz="0" w:space="0" w:color="auto"/>
        <w:left w:val="none" w:sz="0" w:space="0" w:color="auto"/>
        <w:bottom w:val="none" w:sz="0" w:space="0" w:color="auto"/>
        <w:right w:val="none" w:sz="0" w:space="0" w:color="auto"/>
      </w:divBdr>
    </w:div>
    <w:div w:id="1468863046">
      <w:bodyDiv w:val="1"/>
      <w:marLeft w:val="0"/>
      <w:marRight w:val="0"/>
      <w:marTop w:val="0"/>
      <w:marBottom w:val="0"/>
      <w:divBdr>
        <w:top w:val="none" w:sz="0" w:space="0" w:color="auto"/>
        <w:left w:val="none" w:sz="0" w:space="0" w:color="auto"/>
        <w:bottom w:val="none" w:sz="0" w:space="0" w:color="auto"/>
        <w:right w:val="none" w:sz="0" w:space="0" w:color="auto"/>
      </w:divBdr>
    </w:div>
    <w:div w:id="1468931937">
      <w:bodyDiv w:val="1"/>
      <w:marLeft w:val="0"/>
      <w:marRight w:val="0"/>
      <w:marTop w:val="0"/>
      <w:marBottom w:val="0"/>
      <w:divBdr>
        <w:top w:val="none" w:sz="0" w:space="0" w:color="auto"/>
        <w:left w:val="none" w:sz="0" w:space="0" w:color="auto"/>
        <w:bottom w:val="none" w:sz="0" w:space="0" w:color="auto"/>
        <w:right w:val="none" w:sz="0" w:space="0" w:color="auto"/>
      </w:divBdr>
    </w:div>
    <w:div w:id="1469011471">
      <w:bodyDiv w:val="1"/>
      <w:marLeft w:val="0"/>
      <w:marRight w:val="0"/>
      <w:marTop w:val="0"/>
      <w:marBottom w:val="0"/>
      <w:divBdr>
        <w:top w:val="none" w:sz="0" w:space="0" w:color="auto"/>
        <w:left w:val="none" w:sz="0" w:space="0" w:color="auto"/>
        <w:bottom w:val="none" w:sz="0" w:space="0" w:color="auto"/>
        <w:right w:val="none" w:sz="0" w:space="0" w:color="auto"/>
      </w:divBdr>
    </w:div>
    <w:div w:id="1469124406">
      <w:bodyDiv w:val="1"/>
      <w:marLeft w:val="0"/>
      <w:marRight w:val="0"/>
      <w:marTop w:val="0"/>
      <w:marBottom w:val="0"/>
      <w:divBdr>
        <w:top w:val="none" w:sz="0" w:space="0" w:color="auto"/>
        <w:left w:val="none" w:sz="0" w:space="0" w:color="auto"/>
        <w:bottom w:val="none" w:sz="0" w:space="0" w:color="auto"/>
        <w:right w:val="none" w:sz="0" w:space="0" w:color="auto"/>
      </w:divBdr>
    </w:div>
    <w:div w:id="1469128437">
      <w:bodyDiv w:val="1"/>
      <w:marLeft w:val="0"/>
      <w:marRight w:val="0"/>
      <w:marTop w:val="0"/>
      <w:marBottom w:val="0"/>
      <w:divBdr>
        <w:top w:val="none" w:sz="0" w:space="0" w:color="auto"/>
        <w:left w:val="none" w:sz="0" w:space="0" w:color="auto"/>
        <w:bottom w:val="none" w:sz="0" w:space="0" w:color="auto"/>
        <w:right w:val="none" w:sz="0" w:space="0" w:color="auto"/>
      </w:divBdr>
    </w:div>
    <w:div w:id="1469132187">
      <w:bodyDiv w:val="1"/>
      <w:marLeft w:val="0"/>
      <w:marRight w:val="0"/>
      <w:marTop w:val="0"/>
      <w:marBottom w:val="0"/>
      <w:divBdr>
        <w:top w:val="none" w:sz="0" w:space="0" w:color="auto"/>
        <w:left w:val="none" w:sz="0" w:space="0" w:color="auto"/>
        <w:bottom w:val="none" w:sz="0" w:space="0" w:color="auto"/>
        <w:right w:val="none" w:sz="0" w:space="0" w:color="auto"/>
      </w:divBdr>
    </w:div>
    <w:div w:id="1469207549">
      <w:bodyDiv w:val="1"/>
      <w:marLeft w:val="0"/>
      <w:marRight w:val="0"/>
      <w:marTop w:val="0"/>
      <w:marBottom w:val="0"/>
      <w:divBdr>
        <w:top w:val="none" w:sz="0" w:space="0" w:color="auto"/>
        <w:left w:val="none" w:sz="0" w:space="0" w:color="auto"/>
        <w:bottom w:val="none" w:sz="0" w:space="0" w:color="auto"/>
        <w:right w:val="none" w:sz="0" w:space="0" w:color="auto"/>
      </w:divBdr>
    </w:div>
    <w:div w:id="1469275403">
      <w:bodyDiv w:val="1"/>
      <w:marLeft w:val="0"/>
      <w:marRight w:val="0"/>
      <w:marTop w:val="0"/>
      <w:marBottom w:val="0"/>
      <w:divBdr>
        <w:top w:val="none" w:sz="0" w:space="0" w:color="auto"/>
        <w:left w:val="none" w:sz="0" w:space="0" w:color="auto"/>
        <w:bottom w:val="none" w:sz="0" w:space="0" w:color="auto"/>
        <w:right w:val="none" w:sz="0" w:space="0" w:color="auto"/>
      </w:divBdr>
    </w:div>
    <w:div w:id="1469323355">
      <w:bodyDiv w:val="1"/>
      <w:marLeft w:val="0"/>
      <w:marRight w:val="0"/>
      <w:marTop w:val="0"/>
      <w:marBottom w:val="0"/>
      <w:divBdr>
        <w:top w:val="none" w:sz="0" w:space="0" w:color="auto"/>
        <w:left w:val="none" w:sz="0" w:space="0" w:color="auto"/>
        <w:bottom w:val="none" w:sz="0" w:space="0" w:color="auto"/>
        <w:right w:val="none" w:sz="0" w:space="0" w:color="auto"/>
      </w:divBdr>
    </w:div>
    <w:div w:id="1469393018">
      <w:bodyDiv w:val="1"/>
      <w:marLeft w:val="0"/>
      <w:marRight w:val="0"/>
      <w:marTop w:val="0"/>
      <w:marBottom w:val="0"/>
      <w:divBdr>
        <w:top w:val="none" w:sz="0" w:space="0" w:color="auto"/>
        <w:left w:val="none" w:sz="0" w:space="0" w:color="auto"/>
        <w:bottom w:val="none" w:sz="0" w:space="0" w:color="auto"/>
        <w:right w:val="none" w:sz="0" w:space="0" w:color="auto"/>
      </w:divBdr>
    </w:div>
    <w:div w:id="1469543731">
      <w:bodyDiv w:val="1"/>
      <w:marLeft w:val="0"/>
      <w:marRight w:val="0"/>
      <w:marTop w:val="0"/>
      <w:marBottom w:val="0"/>
      <w:divBdr>
        <w:top w:val="none" w:sz="0" w:space="0" w:color="auto"/>
        <w:left w:val="none" w:sz="0" w:space="0" w:color="auto"/>
        <w:bottom w:val="none" w:sz="0" w:space="0" w:color="auto"/>
        <w:right w:val="none" w:sz="0" w:space="0" w:color="auto"/>
      </w:divBdr>
    </w:div>
    <w:div w:id="1469740613">
      <w:bodyDiv w:val="1"/>
      <w:marLeft w:val="0"/>
      <w:marRight w:val="0"/>
      <w:marTop w:val="0"/>
      <w:marBottom w:val="0"/>
      <w:divBdr>
        <w:top w:val="none" w:sz="0" w:space="0" w:color="auto"/>
        <w:left w:val="none" w:sz="0" w:space="0" w:color="auto"/>
        <w:bottom w:val="none" w:sz="0" w:space="0" w:color="auto"/>
        <w:right w:val="none" w:sz="0" w:space="0" w:color="auto"/>
      </w:divBdr>
    </w:div>
    <w:div w:id="1469742560">
      <w:bodyDiv w:val="1"/>
      <w:marLeft w:val="0"/>
      <w:marRight w:val="0"/>
      <w:marTop w:val="0"/>
      <w:marBottom w:val="0"/>
      <w:divBdr>
        <w:top w:val="none" w:sz="0" w:space="0" w:color="auto"/>
        <w:left w:val="none" w:sz="0" w:space="0" w:color="auto"/>
        <w:bottom w:val="none" w:sz="0" w:space="0" w:color="auto"/>
        <w:right w:val="none" w:sz="0" w:space="0" w:color="auto"/>
      </w:divBdr>
    </w:div>
    <w:div w:id="1469780683">
      <w:bodyDiv w:val="1"/>
      <w:marLeft w:val="0"/>
      <w:marRight w:val="0"/>
      <w:marTop w:val="0"/>
      <w:marBottom w:val="0"/>
      <w:divBdr>
        <w:top w:val="none" w:sz="0" w:space="0" w:color="auto"/>
        <w:left w:val="none" w:sz="0" w:space="0" w:color="auto"/>
        <w:bottom w:val="none" w:sz="0" w:space="0" w:color="auto"/>
        <w:right w:val="none" w:sz="0" w:space="0" w:color="auto"/>
      </w:divBdr>
    </w:div>
    <w:div w:id="1469973609">
      <w:bodyDiv w:val="1"/>
      <w:marLeft w:val="0"/>
      <w:marRight w:val="0"/>
      <w:marTop w:val="0"/>
      <w:marBottom w:val="0"/>
      <w:divBdr>
        <w:top w:val="none" w:sz="0" w:space="0" w:color="auto"/>
        <w:left w:val="none" w:sz="0" w:space="0" w:color="auto"/>
        <w:bottom w:val="none" w:sz="0" w:space="0" w:color="auto"/>
        <w:right w:val="none" w:sz="0" w:space="0" w:color="auto"/>
      </w:divBdr>
    </w:div>
    <w:div w:id="1470055557">
      <w:bodyDiv w:val="1"/>
      <w:marLeft w:val="0"/>
      <w:marRight w:val="0"/>
      <w:marTop w:val="0"/>
      <w:marBottom w:val="0"/>
      <w:divBdr>
        <w:top w:val="none" w:sz="0" w:space="0" w:color="auto"/>
        <w:left w:val="none" w:sz="0" w:space="0" w:color="auto"/>
        <w:bottom w:val="none" w:sz="0" w:space="0" w:color="auto"/>
        <w:right w:val="none" w:sz="0" w:space="0" w:color="auto"/>
      </w:divBdr>
    </w:div>
    <w:div w:id="1470128476">
      <w:bodyDiv w:val="1"/>
      <w:marLeft w:val="0"/>
      <w:marRight w:val="0"/>
      <w:marTop w:val="0"/>
      <w:marBottom w:val="0"/>
      <w:divBdr>
        <w:top w:val="none" w:sz="0" w:space="0" w:color="auto"/>
        <w:left w:val="none" w:sz="0" w:space="0" w:color="auto"/>
        <w:bottom w:val="none" w:sz="0" w:space="0" w:color="auto"/>
        <w:right w:val="none" w:sz="0" w:space="0" w:color="auto"/>
      </w:divBdr>
    </w:div>
    <w:div w:id="1470130110">
      <w:bodyDiv w:val="1"/>
      <w:marLeft w:val="0"/>
      <w:marRight w:val="0"/>
      <w:marTop w:val="0"/>
      <w:marBottom w:val="0"/>
      <w:divBdr>
        <w:top w:val="none" w:sz="0" w:space="0" w:color="auto"/>
        <w:left w:val="none" w:sz="0" w:space="0" w:color="auto"/>
        <w:bottom w:val="none" w:sz="0" w:space="0" w:color="auto"/>
        <w:right w:val="none" w:sz="0" w:space="0" w:color="auto"/>
      </w:divBdr>
    </w:div>
    <w:div w:id="1470170726">
      <w:bodyDiv w:val="1"/>
      <w:marLeft w:val="0"/>
      <w:marRight w:val="0"/>
      <w:marTop w:val="0"/>
      <w:marBottom w:val="0"/>
      <w:divBdr>
        <w:top w:val="none" w:sz="0" w:space="0" w:color="auto"/>
        <w:left w:val="none" w:sz="0" w:space="0" w:color="auto"/>
        <w:bottom w:val="none" w:sz="0" w:space="0" w:color="auto"/>
        <w:right w:val="none" w:sz="0" w:space="0" w:color="auto"/>
      </w:divBdr>
    </w:div>
    <w:div w:id="1470324990">
      <w:bodyDiv w:val="1"/>
      <w:marLeft w:val="0"/>
      <w:marRight w:val="0"/>
      <w:marTop w:val="0"/>
      <w:marBottom w:val="0"/>
      <w:divBdr>
        <w:top w:val="none" w:sz="0" w:space="0" w:color="auto"/>
        <w:left w:val="none" w:sz="0" w:space="0" w:color="auto"/>
        <w:bottom w:val="none" w:sz="0" w:space="0" w:color="auto"/>
        <w:right w:val="none" w:sz="0" w:space="0" w:color="auto"/>
      </w:divBdr>
    </w:div>
    <w:div w:id="1470391672">
      <w:bodyDiv w:val="1"/>
      <w:marLeft w:val="0"/>
      <w:marRight w:val="0"/>
      <w:marTop w:val="0"/>
      <w:marBottom w:val="0"/>
      <w:divBdr>
        <w:top w:val="none" w:sz="0" w:space="0" w:color="auto"/>
        <w:left w:val="none" w:sz="0" w:space="0" w:color="auto"/>
        <w:bottom w:val="none" w:sz="0" w:space="0" w:color="auto"/>
        <w:right w:val="none" w:sz="0" w:space="0" w:color="auto"/>
      </w:divBdr>
    </w:div>
    <w:div w:id="1470515127">
      <w:bodyDiv w:val="1"/>
      <w:marLeft w:val="0"/>
      <w:marRight w:val="0"/>
      <w:marTop w:val="0"/>
      <w:marBottom w:val="0"/>
      <w:divBdr>
        <w:top w:val="none" w:sz="0" w:space="0" w:color="auto"/>
        <w:left w:val="none" w:sz="0" w:space="0" w:color="auto"/>
        <w:bottom w:val="none" w:sz="0" w:space="0" w:color="auto"/>
        <w:right w:val="none" w:sz="0" w:space="0" w:color="auto"/>
      </w:divBdr>
    </w:div>
    <w:div w:id="1470629418">
      <w:bodyDiv w:val="1"/>
      <w:marLeft w:val="0"/>
      <w:marRight w:val="0"/>
      <w:marTop w:val="0"/>
      <w:marBottom w:val="0"/>
      <w:divBdr>
        <w:top w:val="none" w:sz="0" w:space="0" w:color="auto"/>
        <w:left w:val="none" w:sz="0" w:space="0" w:color="auto"/>
        <w:bottom w:val="none" w:sz="0" w:space="0" w:color="auto"/>
        <w:right w:val="none" w:sz="0" w:space="0" w:color="auto"/>
      </w:divBdr>
    </w:div>
    <w:div w:id="1470635414">
      <w:bodyDiv w:val="1"/>
      <w:marLeft w:val="0"/>
      <w:marRight w:val="0"/>
      <w:marTop w:val="0"/>
      <w:marBottom w:val="0"/>
      <w:divBdr>
        <w:top w:val="none" w:sz="0" w:space="0" w:color="auto"/>
        <w:left w:val="none" w:sz="0" w:space="0" w:color="auto"/>
        <w:bottom w:val="none" w:sz="0" w:space="0" w:color="auto"/>
        <w:right w:val="none" w:sz="0" w:space="0" w:color="auto"/>
      </w:divBdr>
    </w:div>
    <w:div w:id="1470784957">
      <w:bodyDiv w:val="1"/>
      <w:marLeft w:val="0"/>
      <w:marRight w:val="0"/>
      <w:marTop w:val="0"/>
      <w:marBottom w:val="0"/>
      <w:divBdr>
        <w:top w:val="none" w:sz="0" w:space="0" w:color="auto"/>
        <w:left w:val="none" w:sz="0" w:space="0" w:color="auto"/>
        <w:bottom w:val="none" w:sz="0" w:space="0" w:color="auto"/>
        <w:right w:val="none" w:sz="0" w:space="0" w:color="auto"/>
      </w:divBdr>
    </w:div>
    <w:div w:id="1470829071">
      <w:bodyDiv w:val="1"/>
      <w:marLeft w:val="0"/>
      <w:marRight w:val="0"/>
      <w:marTop w:val="0"/>
      <w:marBottom w:val="0"/>
      <w:divBdr>
        <w:top w:val="none" w:sz="0" w:space="0" w:color="auto"/>
        <w:left w:val="none" w:sz="0" w:space="0" w:color="auto"/>
        <w:bottom w:val="none" w:sz="0" w:space="0" w:color="auto"/>
        <w:right w:val="none" w:sz="0" w:space="0" w:color="auto"/>
      </w:divBdr>
    </w:div>
    <w:div w:id="1470896143">
      <w:bodyDiv w:val="1"/>
      <w:marLeft w:val="0"/>
      <w:marRight w:val="0"/>
      <w:marTop w:val="0"/>
      <w:marBottom w:val="0"/>
      <w:divBdr>
        <w:top w:val="none" w:sz="0" w:space="0" w:color="auto"/>
        <w:left w:val="none" w:sz="0" w:space="0" w:color="auto"/>
        <w:bottom w:val="none" w:sz="0" w:space="0" w:color="auto"/>
        <w:right w:val="none" w:sz="0" w:space="0" w:color="auto"/>
      </w:divBdr>
    </w:div>
    <w:div w:id="1470980649">
      <w:bodyDiv w:val="1"/>
      <w:marLeft w:val="0"/>
      <w:marRight w:val="0"/>
      <w:marTop w:val="0"/>
      <w:marBottom w:val="0"/>
      <w:divBdr>
        <w:top w:val="none" w:sz="0" w:space="0" w:color="auto"/>
        <w:left w:val="none" w:sz="0" w:space="0" w:color="auto"/>
        <w:bottom w:val="none" w:sz="0" w:space="0" w:color="auto"/>
        <w:right w:val="none" w:sz="0" w:space="0" w:color="auto"/>
      </w:divBdr>
    </w:div>
    <w:div w:id="1471021291">
      <w:bodyDiv w:val="1"/>
      <w:marLeft w:val="0"/>
      <w:marRight w:val="0"/>
      <w:marTop w:val="0"/>
      <w:marBottom w:val="0"/>
      <w:divBdr>
        <w:top w:val="none" w:sz="0" w:space="0" w:color="auto"/>
        <w:left w:val="none" w:sz="0" w:space="0" w:color="auto"/>
        <w:bottom w:val="none" w:sz="0" w:space="0" w:color="auto"/>
        <w:right w:val="none" w:sz="0" w:space="0" w:color="auto"/>
      </w:divBdr>
    </w:div>
    <w:div w:id="1471023223">
      <w:bodyDiv w:val="1"/>
      <w:marLeft w:val="0"/>
      <w:marRight w:val="0"/>
      <w:marTop w:val="0"/>
      <w:marBottom w:val="0"/>
      <w:divBdr>
        <w:top w:val="none" w:sz="0" w:space="0" w:color="auto"/>
        <w:left w:val="none" w:sz="0" w:space="0" w:color="auto"/>
        <w:bottom w:val="none" w:sz="0" w:space="0" w:color="auto"/>
        <w:right w:val="none" w:sz="0" w:space="0" w:color="auto"/>
      </w:divBdr>
    </w:div>
    <w:div w:id="1471097777">
      <w:bodyDiv w:val="1"/>
      <w:marLeft w:val="0"/>
      <w:marRight w:val="0"/>
      <w:marTop w:val="0"/>
      <w:marBottom w:val="0"/>
      <w:divBdr>
        <w:top w:val="none" w:sz="0" w:space="0" w:color="auto"/>
        <w:left w:val="none" w:sz="0" w:space="0" w:color="auto"/>
        <w:bottom w:val="none" w:sz="0" w:space="0" w:color="auto"/>
        <w:right w:val="none" w:sz="0" w:space="0" w:color="auto"/>
      </w:divBdr>
    </w:div>
    <w:div w:id="1471164721">
      <w:bodyDiv w:val="1"/>
      <w:marLeft w:val="0"/>
      <w:marRight w:val="0"/>
      <w:marTop w:val="0"/>
      <w:marBottom w:val="0"/>
      <w:divBdr>
        <w:top w:val="none" w:sz="0" w:space="0" w:color="auto"/>
        <w:left w:val="none" w:sz="0" w:space="0" w:color="auto"/>
        <w:bottom w:val="none" w:sz="0" w:space="0" w:color="auto"/>
        <w:right w:val="none" w:sz="0" w:space="0" w:color="auto"/>
      </w:divBdr>
    </w:div>
    <w:div w:id="1471167719">
      <w:bodyDiv w:val="1"/>
      <w:marLeft w:val="0"/>
      <w:marRight w:val="0"/>
      <w:marTop w:val="0"/>
      <w:marBottom w:val="0"/>
      <w:divBdr>
        <w:top w:val="none" w:sz="0" w:space="0" w:color="auto"/>
        <w:left w:val="none" w:sz="0" w:space="0" w:color="auto"/>
        <w:bottom w:val="none" w:sz="0" w:space="0" w:color="auto"/>
        <w:right w:val="none" w:sz="0" w:space="0" w:color="auto"/>
      </w:divBdr>
    </w:div>
    <w:div w:id="1471171812">
      <w:bodyDiv w:val="1"/>
      <w:marLeft w:val="0"/>
      <w:marRight w:val="0"/>
      <w:marTop w:val="0"/>
      <w:marBottom w:val="0"/>
      <w:divBdr>
        <w:top w:val="none" w:sz="0" w:space="0" w:color="auto"/>
        <w:left w:val="none" w:sz="0" w:space="0" w:color="auto"/>
        <w:bottom w:val="none" w:sz="0" w:space="0" w:color="auto"/>
        <w:right w:val="none" w:sz="0" w:space="0" w:color="auto"/>
      </w:divBdr>
    </w:div>
    <w:div w:id="1471172332">
      <w:bodyDiv w:val="1"/>
      <w:marLeft w:val="0"/>
      <w:marRight w:val="0"/>
      <w:marTop w:val="0"/>
      <w:marBottom w:val="0"/>
      <w:divBdr>
        <w:top w:val="none" w:sz="0" w:space="0" w:color="auto"/>
        <w:left w:val="none" w:sz="0" w:space="0" w:color="auto"/>
        <w:bottom w:val="none" w:sz="0" w:space="0" w:color="auto"/>
        <w:right w:val="none" w:sz="0" w:space="0" w:color="auto"/>
      </w:divBdr>
    </w:div>
    <w:div w:id="1471245160">
      <w:bodyDiv w:val="1"/>
      <w:marLeft w:val="0"/>
      <w:marRight w:val="0"/>
      <w:marTop w:val="0"/>
      <w:marBottom w:val="0"/>
      <w:divBdr>
        <w:top w:val="none" w:sz="0" w:space="0" w:color="auto"/>
        <w:left w:val="none" w:sz="0" w:space="0" w:color="auto"/>
        <w:bottom w:val="none" w:sz="0" w:space="0" w:color="auto"/>
        <w:right w:val="none" w:sz="0" w:space="0" w:color="auto"/>
      </w:divBdr>
    </w:div>
    <w:div w:id="1471246188">
      <w:bodyDiv w:val="1"/>
      <w:marLeft w:val="0"/>
      <w:marRight w:val="0"/>
      <w:marTop w:val="0"/>
      <w:marBottom w:val="0"/>
      <w:divBdr>
        <w:top w:val="none" w:sz="0" w:space="0" w:color="auto"/>
        <w:left w:val="none" w:sz="0" w:space="0" w:color="auto"/>
        <w:bottom w:val="none" w:sz="0" w:space="0" w:color="auto"/>
        <w:right w:val="none" w:sz="0" w:space="0" w:color="auto"/>
      </w:divBdr>
    </w:div>
    <w:div w:id="1471286820">
      <w:bodyDiv w:val="1"/>
      <w:marLeft w:val="0"/>
      <w:marRight w:val="0"/>
      <w:marTop w:val="0"/>
      <w:marBottom w:val="0"/>
      <w:divBdr>
        <w:top w:val="none" w:sz="0" w:space="0" w:color="auto"/>
        <w:left w:val="none" w:sz="0" w:space="0" w:color="auto"/>
        <w:bottom w:val="none" w:sz="0" w:space="0" w:color="auto"/>
        <w:right w:val="none" w:sz="0" w:space="0" w:color="auto"/>
      </w:divBdr>
    </w:div>
    <w:div w:id="1471290508">
      <w:bodyDiv w:val="1"/>
      <w:marLeft w:val="0"/>
      <w:marRight w:val="0"/>
      <w:marTop w:val="0"/>
      <w:marBottom w:val="0"/>
      <w:divBdr>
        <w:top w:val="none" w:sz="0" w:space="0" w:color="auto"/>
        <w:left w:val="none" w:sz="0" w:space="0" w:color="auto"/>
        <w:bottom w:val="none" w:sz="0" w:space="0" w:color="auto"/>
        <w:right w:val="none" w:sz="0" w:space="0" w:color="auto"/>
      </w:divBdr>
    </w:div>
    <w:div w:id="1471315652">
      <w:bodyDiv w:val="1"/>
      <w:marLeft w:val="0"/>
      <w:marRight w:val="0"/>
      <w:marTop w:val="0"/>
      <w:marBottom w:val="0"/>
      <w:divBdr>
        <w:top w:val="none" w:sz="0" w:space="0" w:color="auto"/>
        <w:left w:val="none" w:sz="0" w:space="0" w:color="auto"/>
        <w:bottom w:val="none" w:sz="0" w:space="0" w:color="auto"/>
        <w:right w:val="none" w:sz="0" w:space="0" w:color="auto"/>
      </w:divBdr>
    </w:div>
    <w:div w:id="1471367235">
      <w:bodyDiv w:val="1"/>
      <w:marLeft w:val="0"/>
      <w:marRight w:val="0"/>
      <w:marTop w:val="0"/>
      <w:marBottom w:val="0"/>
      <w:divBdr>
        <w:top w:val="none" w:sz="0" w:space="0" w:color="auto"/>
        <w:left w:val="none" w:sz="0" w:space="0" w:color="auto"/>
        <w:bottom w:val="none" w:sz="0" w:space="0" w:color="auto"/>
        <w:right w:val="none" w:sz="0" w:space="0" w:color="auto"/>
      </w:divBdr>
    </w:div>
    <w:div w:id="1471433643">
      <w:bodyDiv w:val="1"/>
      <w:marLeft w:val="0"/>
      <w:marRight w:val="0"/>
      <w:marTop w:val="0"/>
      <w:marBottom w:val="0"/>
      <w:divBdr>
        <w:top w:val="none" w:sz="0" w:space="0" w:color="auto"/>
        <w:left w:val="none" w:sz="0" w:space="0" w:color="auto"/>
        <w:bottom w:val="none" w:sz="0" w:space="0" w:color="auto"/>
        <w:right w:val="none" w:sz="0" w:space="0" w:color="auto"/>
      </w:divBdr>
    </w:div>
    <w:div w:id="1471554903">
      <w:bodyDiv w:val="1"/>
      <w:marLeft w:val="0"/>
      <w:marRight w:val="0"/>
      <w:marTop w:val="0"/>
      <w:marBottom w:val="0"/>
      <w:divBdr>
        <w:top w:val="none" w:sz="0" w:space="0" w:color="auto"/>
        <w:left w:val="none" w:sz="0" w:space="0" w:color="auto"/>
        <w:bottom w:val="none" w:sz="0" w:space="0" w:color="auto"/>
        <w:right w:val="none" w:sz="0" w:space="0" w:color="auto"/>
      </w:divBdr>
    </w:div>
    <w:div w:id="1471631525">
      <w:bodyDiv w:val="1"/>
      <w:marLeft w:val="0"/>
      <w:marRight w:val="0"/>
      <w:marTop w:val="0"/>
      <w:marBottom w:val="0"/>
      <w:divBdr>
        <w:top w:val="none" w:sz="0" w:space="0" w:color="auto"/>
        <w:left w:val="none" w:sz="0" w:space="0" w:color="auto"/>
        <w:bottom w:val="none" w:sz="0" w:space="0" w:color="auto"/>
        <w:right w:val="none" w:sz="0" w:space="0" w:color="auto"/>
      </w:divBdr>
    </w:div>
    <w:div w:id="1471745957">
      <w:bodyDiv w:val="1"/>
      <w:marLeft w:val="0"/>
      <w:marRight w:val="0"/>
      <w:marTop w:val="0"/>
      <w:marBottom w:val="0"/>
      <w:divBdr>
        <w:top w:val="none" w:sz="0" w:space="0" w:color="auto"/>
        <w:left w:val="none" w:sz="0" w:space="0" w:color="auto"/>
        <w:bottom w:val="none" w:sz="0" w:space="0" w:color="auto"/>
        <w:right w:val="none" w:sz="0" w:space="0" w:color="auto"/>
      </w:divBdr>
    </w:div>
    <w:div w:id="1471899567">
      <w:bodyDiv w:val="1"/>
      <w:marLeft w:val="0"/>
      <w:marRight w:val="0"/>
      <w:marTop w:val="0"/>
      <w:marBottom w:val="0"/>
      <w:divBdr>
        <w:top w:val="none" w:sz="0" w:space="0" w:color="auto"/>
        <w:left w:val="none" w:sz="0" w:space="0" w:color="auto"/>
        <w:bottom w:val="none" w:sz="0" w:space="0" w:color="auto"/>
        <w:right w:val="none" w:sz="0" w:space="0" w:color="auto"/>
      </w:divBdr>
    </w:div>
    <w:div w:id="1471942422">
      <w:bodyDiv w:val="1"/>
      <w:marLeft w:val="0"/>
      <w:marRight w:val="0"/>
      <w:marTop w:val="0"/>
      <w:marBottom w:val="0"/>
      <w:divBdr>
        <w:top w:val="none" w:sz="0" w:space="0" w:color="auto"/>
        <w:left w:val="none" w:sz="0" w:space="0" w:color="auto"/>
        <w:bottom w:val="none" w:sz="0" w:space="0" w:color="auto"/>
        <w:right w:val="none" w:sz="0" w:space="0" w:color="auto"/>
      </w:divBdr>
    </w:div>
    <w:div w:id="1471944514">
      <w:bodyDiv w:val="1"/>
      <w:marLeft w:val="0"/>
      <w:marRight w:val="0"/>
      <w:marTop w:val="0"/>
      <w:marBottom w:val="0"/>
      <w:divBdr>
        <w:top w:val="none" w:sz="0" w:space="0" w:color="auto"/>
        <w:left w:val="none" w:sz="0" w:space="0" w:color="auto"/>
        <w:bottom w:val="none" w:sz="0" w:space="0" w:color="auto"/>
        <w:right w:val="none" w:sz="0" w:space="0" w:color="auto"/>
      </w:divBdr>
    </w:div>
    <w:div w:id="1472166152">
      <w:bodyDiv w:val="1"/>
      <w:marLeft w:val="0"/>
      <w:marRight w:val="0"/>
      <w:marTop w:val="0"/>
      <w:marBottom w:val="0"/>
      <w:divBdr>
        <w:top w:val="none" w:sz="0" w:space="0" w:color="auto"/>
        <w:left w:val="none" w:sz="0" w:space="0" w:color="auto"/>
        <w:bottom w:val="none" w:sz="0" w:space="0" w:color="auto"/>
        <w:right w:val="none" w:sz="0" w:space="0" w:color="auto"/>
      </w:divBdr>
    </w:div>
    <w:div w:id="1472208239">
      <w:bodyDiv w:val="1"/>
      <w:marLeft w:val="0"/>
      <w:marRight w:val="0"/>
      <w:marTop w:val="0"/>
      <w:marBottom w:val="0"/>
      <w:divBdr>
        <w:top w:val="none" w:sz="0" w:space="0" w:color="auto"/>
        <w:left w:val="none" w:sz="0" w:space="0" w:color="auto"/>
        <w:bottom w:val="none" w:sz="0" w:space="0" w:color="auto"/>
        <w:right w:val="none" w:sz="0" w:space="0" w:color="auto"/>
      </w:divBdr>
    </w:div>
    <w:div w:id="1472209711">
      <w:bodyDiv w:val="1"/>
      <w:marLeft w:val="0"/>
      <w:marRight w:val="0"/>
      <w:marTop w:val="0"/>
      <w:marBottom w:val="0"/>
      <w:divBdr>
        <w:top w:val="none" w:sz="0" w:space="0" w:color="auto"/>
        <w:left w:val="none" w:sz="0" w:space="0" w:color="auto"/>
        <w:bottom w:val="none" w:sz="0" w:space="0" w:color="auto"/>
        <w:right w:val="none" w:sz="0" w:space="0" w:color="auto"/>
      </w:divBdr>
    </w:div>
    <w:div w:id="1472478470">
      <w:bodyDiv w:val="1"/>
      <w:marLeft w:val="0"/>
      <w:marRight w:val="0"/>
      <w:marTop w:val="0"/>
      <w:marBottom w:val="0"/>
      <w:divBdr>
        <w:top w:val="none" w:sz="0" w:space="0" w:color="auto"/>
        <w:left w:val="none" w:sz="0" w:space="0" w:color="auto"/>
        <w:bottom w:val="none" w:sz="0" w:space="0" w:color="auto"/>
        <w:right w:val="none" w:sz="0" w:space="0" w:color="auto"/>
      </w:divBdr>
    </w:div>
    <w:div w:id="1472795492">
      <w:bodyDiv w:val="1"/>
      <w:marLeft w:val="0"/>
      <w:marRight w:val="0"/>
      <w:marTop w:val="0"/>
      <w:marBottom w:val="0"/>
      <w:divBdr>
        <w:top w:val="none" w:sz="0" w:space="0" w:color="auto"/>
        <w:left w:val="none" w:sz="0" w:space="0" w:color="auto"/>
        <w:bottom w:val="none" w:sz="0" w:space="0" w:color="auto"/>
        <w:right w:val="none" w:sz="0" w:space="0" w:color="auto"/>
      </w:divBdr>
    </w:div>
    <w:div w:id="1472863094">
      <w:bodyDiv w:val="1"/>
      <w:marLeft w:val="0"/>
      <w:marRight w:val="0"/>
      <w:marTop w:val="0"/>
      <w:marBottom w:val="0"/>
      <w:divBdr>
        <w:top w:val="none" w:sz="0" w:space="0" w:color="auto"/>
        <w:left w:val="none" w:sz="0" w:space="0" w:color="auto"/>
        <w:bottom w:val="none" w:sz="0" w:space="0" w:color="auto"/>
        <w:right w:val="none" w:sz="0" w:space="0" w:color="auto"/>
      </w:divBdr>
    </w:div>
    <w:div w:id="1472870790">
      <w:bodyDiv w:val="1"/>
      <w:marLeft w:val="0"/>
      <w:marRight w:val="0"/>
      <w:marTop w:val="0"/>
      <w:marBottom w:val="0"/>
      <w:divBdr>
        <w:top w:val="none" w:sz="0" w:space="0" w:color="auto"/>
        <w:left w:val="none" w:sz="0" w:space="0" w:color="auto"/>
        <w:bottom w:val="none" w:sz="0" w:space="0" w:color="auto"/>
        <w:right w:val="none" w:sz="0" w:space="0" w:color="auto"/>
      </w:divBdr>
    </w:div>
    <w:div w:id="1473017956">
      <w:bodyDiv w:val="1"/>
      <w:marLeft w:val="0"/>
      <w:marRight w:val="0"/>
      <w:marTop w:val="0"/>
      <w:marBottom w:val="0"/>
      <w:divBdr>
        <w:top w:val="none" w:sz="0" w:space="0" w:color="auto"/>
        <w:left w:val="none" w:sz="0" w:space="0" w:color="auto"/>
        <w:bottom w:val="none" w:sz="0" w:space="0" w:color="auto"/>
        <w:right w:val="none" w:sz="0" w:space="0" w:color="auto"/>
      </w:divBdr>
    </w:div>
    <w:div w:id="1473056443">
      <w:bodyDiv w:val="1"/>
      <w:marLeft w:val="0"/>
      <w:marRight w:val="0"/>
      <w:marTop w:val="0"/>
      <w:marBottom w:val="0"/>
      <w:divBdr>
        <w:top w:val="none" w:sz="0" w:space="0" w:color="auto"/>
        <w:left w:val="none" w:sz="0" w:space="0" w:color="auto"/>
        <w:bottom w:val="none" w:sz="0" w:space="0" w:color="auto"/>
        <w:right w:val="none" w:sz="0" w:space="0" w:color="auto"/>
      </w:divBdr>
    </w:div>
    <w:div w:id="1473056911">
      <w:bodyDiv w:val="1"/>
      <w:marLeft w:val="0"/>
      <w:marRight w:val="0"/>
      <w:marTop w:val="0"/>
      <w:marBottom w:val="0"/>
      <w:divBdr>
        <w:top w:val="none" w:sz="0" w:space="0" w:color="auto"/>
        <w:left w:val="none" w:sz="0" w:space="0" w:color="auto"/>
        <w:bottom w:val="none" w:sz="0" w:space="0" w:color="auto"/>
        <w:right w:val="none" w:sz="0" w:space="0" w:color="auto"/>
      </w:divBdr>
    </w:div>
    <w:div w:id="1473058536">
      <w:bodyDiv w:val="1"/>
      <w:marLeft w:val="0"/>
      <w:marRight w:val="0"/>
      <w:marTop w:val="0"/>
      <w:marBottom w:val="0"/>
      <w:divBdr>
        <w:top w:val="none" w:sz="0" w:space="0" w:color="auto"/>
        <w:left w:val="none" w:sz="0" w:space="0" w:color="auto"/>
        <w:bottom w:val="none" w:sz="0" w:space="0" w:color="auto"/>
        <w:right w:val="none" w:sz="0" w:space="0" w:color="auto"/>
      </w:divBdr>
    </w:div>
    <w:div w:id="1473138762">
      <w:bodyDiv w:val="1"/>
      <w:marLeft w:val="0"/>
      <w:marRight w:val="0"/>
      <w:marTop w:val="0"/>
      <w:marBottom w:val="0"/>
      <w:divBdr>
        <w:top w:val="none" w:sz="0" w:space="0" w:color="auto"/>
        <w:left w:val="none" w:sz="0" w:space="0" w:color="auto"/>
        <w:bottom w:val="none" w:sz="0" w:space="0" w:color="auto"/>
        <w:right w:val="none" w:sz="0" w:space="0" w:color="auto"/>
      </w:divBdr>
    </w:div>
    <w:div w:id="1473210881">
      <w:bodyDiv w:val="1"/>
      <w:marLeft w:val="0"/>
      <w:marRight w:val="0"/>
      <w:marTop w:val="0"/>
      <w:marBottom w:val="0"/>
      <w:divBdr>
        <w:top w:val="none" w:sz="0" w:space="0" w:color="auto"/>
        <w:left w:val="none" w:sz="0" w:space="0" w:color="auto"/>
        <w:bottom w:val="none" w:sz="0" w:space="0" w:color="auto"/>
        <w:right w:val="none" w:sz="0" w:space="0" w:color="auto"/>
      </w:divBdr>
    </w:div>
    <w:div w:id="1473249941">
      <w:bodyDiv w:val="1"/>
      <w:marLeft w:val="0"/>
      <w:marRight w:val="0"/>
      <w:marTop w:val="0"/>
      <w:marBottom w:val="0"/>
      <w:divBdr>
        <w:top w:val="none" w:sz="0" w:space="0" w:color="auto"/>
        <w:left w:val="none" w:sz="0" w:space="0" w:color="auto"/>
        <w:bottom w:val="none" w:sz="0" w:space="0" w:color="auto"/>
        <w:right w:val="none" w:sz="0" w:space="0" w:color="auto"/>
      </w:divBdr>
    </w:div>
    <w:div w:id="1473255639">
      <w:bodyDiv w:val="1"/>
      <w:marLeft w:val="0"/>
      <w:marRight w:val="0"/>
      <w:marTop w:val="0"/>
      <w:marBottom w:val="0"/>
      <w:divBdr>
        <w:top w:val="none" w:sz="0" w:space="0" w:color="auto"/>
        <w:left w:val="none" w:sz="0" w:space="0" w:color="auto"/>
        <w:bottom w:val="none" w:sz="0" w:space="0" w:color="auto"/>
        <w:right w:val="none" w:sz="0" w:space="0" w:color="auto"/>
      </w:divBdr>
    </w:div>
    <w:div w:id="1473256308">
      <w:bodyDiv w:val="1"/>
      <w:marLeft w:val="0"/>
      <w:marRight w:val="0"/>
      <w:marTop w:val="0"/>
      <w:marBottom w:val="0"/>
      <w:divBdr>
        <w:top w:val="none" w:sz="0" w:space="0" w:color="auto"/>
        <w:left w:val="none" w:sz="0" w:space="0" w:color="auto"/>
        <w:bottom w:val="none" w:sz="0" w:space="0" w:color="auto"/>
        <w:right w:val="none" w:sz="0" w:space="0" w:color="auto"/>
      </w:divBdr>
    </w:div>
    <w:div w:id="1473257021">
      <w:bodyDiv w:val="1"/>
      <w:marLeft w:val="0"/>
      <w:marRight w:val="0"/>
      <w:marTop w:val="0"/>
      <w:marBottom w:val="0"/>
      <w:divBdr>
        <w:top w:val="none" w:sz="0" w:space="0" w:color="auto"/>
        <w:left w:val="none" w:sz="0" w:space="0" w:color="auto"/>
        <w:bottom w:val="none" w:sz="0" w:space="0" w:color="auto"/>
        <w:right w:val="none" w:sz="0" w:space="0" w:color="auto"/>
      </w:divBdr>
    </w:div>
    <w:div w:id="1473401967">
      <w:bodyDiv w:val="1"/>
      <w:marLeft w:val="0"/>
      <w:marRight w:val="0"/>
      <w:marTop w:val="0"/>
      <w:marBottom w:val="0"/>
      <w:divBdr>
        <w:top w:val="none" w:sz="0" w:space="0" w:color="auto"/>
        <w:left w:val="none" w:sz="0" w:space="0" w:color="auto"/>
        <w:bottom w:val="none" w:sz="0" w:space="0" w:color="auto"/>
        <w:right w:val="none" w:sz="0" w:space="0" w:color="auto"/>
      </w:divBdr>
    </w:div>
    <w:div w:id="1473450874">
      <w:bodyDiv w:val="1"/>
      <w:marLeft w:val="0"/>
      <w:marRight w:val="0"/>
      <w:marTop w:val="0"/>
      <w:marBottom w:val="0"/>
      <w:divBdr>
        <w:top w:val="none" w:sz="0" w:space="0" w:color="auto"/>
        <w:left w:val="none" w:sz="0" w:space="0" w:color="auto"/>
        <w:bottom w:val="none" w:sz="0" w:space="0" w:color="auto"/>
        <w:right w:val="none" w:sz="0" w:space="0" w:color="auto"/>
      </w:divBdr>
    </w:div>
    <w:div w:id="1473520868">
      <w:bodyDiv w:val="1"/>
      <w:marLeft w:val="0"/>
      <w:marRight w:val="0"/>
      <w:marTop w:val="0"/>
      <w:marBottom w:val="0"/>
      <w:divBdr>
        <w:top w:val="none" w:sz="0" w:space="0" w:color="auto"/>
        <w:left w:val="none" w:sz="0" w:space="0" w:color="auto"/>
        <w:bottom w:val="none" w:sz="0" w:space="0" w:color="auto"/>
        <w:right w:val="none" w:sz="0" w:space="0" w:color="auto"/>
      </w:divBdr>
    </w:div>
    <w:div w:id="1473595379">
      <w:bodyDiv w:val="1"/>
      <w:marLeft w:val="0"/>
      <w:marRight w:val="0"/>
      <w:marTop w:val="0"/>
      <w:marBottom w:val="0"/>
      <w:divBdr>
        <w:top w:val="none" w:sz="0" w:space="0" w:color="auto"/>
        <w:left w:val="none" w:sz="0" w:space="0" w:color="auto"/>
        <w:bottom w:val="none" w:sz="0" w:space="0" w:color="auto"/>
        <w:right w:val="none" w:sz="0" w:space="0" w:color="auto"/>
      </w:divBdr>
    </w:div>
    <w:div w:id="1473642852">
      <w:bodyDiv w:val="1"/>
      <w:marLeft w:val="0"/>
      <w:marRight w:val="0"/>
      <w:marTop w:val="0"/>
      <w:marBottom w:val="0"/>
      <w:divBdr>
        <w:top w:val="none" w:sz="0" w:space="0" w:color="auto"/>
        <w:left w:val="none" w:sz="0" w:space="0" w:color="auto"/>
        <w:bottom w:val="none" w:sz="0" w:space="0" w:color="auto"/>
        <w:right w:val="none" w:sz="0" w:space="0" w:color="auto"/>
      </w:divBdr>
    </w:div>
    <w:div w:id="1473671324">
      <w:bodyDiv w:val="1"/>
      <w:marLeft w:val="0"/>
      <w:marRight w:val="0"/>
      <w:marTop w:val="0"/>
      <w:marBottom w:val="0"/>
      <w:divBdr>
        <w:top w:val="none" w:sz="0" w:space="0" w:color="auto"/>
        <w:left w:val="none" w:sz="0" w:space="0" w:color="auto"/>
        <w:bottom w:val="none" w:sz="0" w:space="0" w:color="auto"/>
        <w:right w:val="none" w:sz="0" w:space="0" w:color="auto"/>
      </w:divBdr>
    </w:div>
    <w:div w:id="1473672961">
      <w:bodyDiv w:val="1"/>
      <w:marLeft w:val="0"/>
      <w:marRight w:val="0"/>
      <w:marTop w:val="0"/>
      <w:marBottom w:val="0"/>
      <w:divBdr>
        <w:top w:val="none" w:sz="0" w:space="0" w:color="auto"/>
        <w:left w:val="none" w:sz="0" w:space="0" w:color="auto"/>
        <w:bottom w:val="none" w:sz="0" w:space="0" w:color="auto"/>
        <w:right w:val="none" w:sz="0" w:space="0" w:color="auto"/>
      </w:divBdr>
    </w:div>
    <w:div w:id="1473791184">
      <w:bodyDiv w:val="1"/>
      <w:marLeft w:val="0"/>
      <w:marRight w:val="0"/>
      <w:marTop w:val="0"/>
      <w:marBottom w:val="0"/>
      <w:divBdr>
        <w:top w:val="none" w:sz="0" w:space="0" w:color="auto"/>
        <w:left w:val="none" w:sz="0" w:space="0" w:color="auto"/>
        <w:bottom w:val="none" w:sz="0" w:space="0" w:color="auto"/>
        <w:right w:val="none" w:sz="0" w:space="0" w:color="auto"/>
      </w:divBdr>
    </w:div>
    <w:div w:id="1473987305">
      <w:bodyDiv w:val="1"/>
      <w:marLeft w:val="0"/>
      <w:marRight w:val="0"/>
      <w:marTop w:val="0"/>
      <w:marBottom w:val="0"/>
      <w:divBdr>
        <w:top w:val="none" w:sz="0" w:space="0" w:color="auto"/>
        <w:left w:val="none" w:sz="0" w:space="0" w:color="auto"/>
        <w:bottom w:val="none" w:sz="0" w:space="0" w:color="auto"/>
        <w:right w:val="none" w:sz="0" w:space="0" w:color="auto"/>
      </w:divBdr>
    </w:div>
    <w:div w:id="1474058273">
      <w:bodyDiv w:val="1"/>
      <w:marLeft w:val="0"/>
      <w:marRight w:val="0"/>
      <w:marTop w:val="0"/>
      <w:marBottom w:val="0"/>
      <w:divBdr>
        <w:top w:val="none" w:sz="0" w:space="0" w:color="auto"/>
        <w:left w:val="none" w:sz="0" w:space="0" w:color="auto"/>
        <w:bottom w:val="none" w:sz="0" w:space="0" w:color="auto"/>
        <w:right w:val="none" w:sz="0" w:space="0" w:color="auto"/>
      </w:divBdr>
    </w:div>
    <w:div w:id="1474249172">
      <w:bodyDiv w:val="1"/>
      <w:marLeft w:val="0"/>
      <w:marRight w:val="0"/>
      <w:marTop w:val="0"/>
      <w:marBottom w:val="0"/>
      <w:divBdr>
        <w:top w:val="none" w:sz="0" w:space="0" w:color="auto"/>
        <w:left w:val="none" w:sz="0" w:space="0" w:color="auto"/>
        <w:bottom w:val="none" w:sz="0" w:space="0" w:color="auto"/>
        <w:right w:val="none" w:sz="0" w:space="0" w:color="auto"/>
      </w:divBdr>
    </w:div>
    <w:div w:id="1474250357">
      <w:bodyDiv w:val="1"/>
      <w:marLeft w:val="0"/>
      <w:marRight w:val="0"/>
      <w:marTop w:val="0"/>
      <w:marBottom w:val="0"/>
      <w:divBdr>
        <w:top w:val="none" w:sz="0" w:space="0" w:color="auto"/>
        <w:left w:val="none" w:sz="0" w:space="0" w:color="auto"/>
        <w:bottom w:val="none" w:sz="0" w:space="0" w:color="auto"/>
        <w:right w:val="none" w:sz="0" w:space="0" w:color="auto"/>
      </w:divBdr>
    </w:div>
    <w:div w:id="1474298340">
      <w:bodyDiv w:val="1"/>
      <w:marLeft w:val="0"/>
      <w:marRight w:val="0"/>
      <w:marTop w:val="0"/>
      <w:marBottom w:val="0"/>
      <w:divBdr>
        <w:top w:val="none" w:sz="0" w:space="0" w:color="auto"/>
        <w:left w:val="none" w:sz="0" w:space="0" w:color="auto"/>
        <w:bottom w:val="none" w:sz="0" w:space="0" w:color="auto"/>
        <w:right w:val="none" w:sz="0" w:space="0" w:color="auto"/>
      </w:divBdr>
    </w:div>
    <w:div w:id="1474325570">
      <w:bodyDiv w:val="1"/>
      <w:marLeft w:val="0"/>
      <w:marRight w:val="0"/>
      <w:marTop w:val="0"/>
      <w:marBottom w:val="0"/>
      <w:divBdr>
        <w:top w:val="none" w:sz="0" w:space="0" w:color="auto"/>
        <w:left w:val="none" w:sz="0" w:space="0" w:color="auto"/>
        <w:bottom w:val="none" w:sz="0" w:space="0" w:color="auto"/>
        <w:right w:val="none" w:sz="0" w:space="0" w:color="auto"/>
      </w:divBdr>
    </w:div>
    <w:div w:id="1474374828">
      <w:bodyDiv w:val="1"/>
      <w:marLeft w:val="0"/>
      <w:marRight w:val="0"/>
      <w:marTop w:val="0"/>
      <w:marBottom w:val="0"/>
      <w:divBdr>
        <w:top w:val="none" w:sz="0" w:space="0" w:color="auto"/>
        <w:left w:val="none" w:sz="0" w:space="0" w:color="auto"/>
        <w:bottom w:val="none" w:sz="0" w:space="0" w:color="auto"/>
        <w:right w:val="none" w:sz="0" w:space="0" w:color="auto"/>
      </w:divBdr>
    </w:div>
    <w:div w:id="1474445652">
      <w:bodyDiv w:val="1"/>
      <w:marLeft w:val="0"/>
      <w:marRight w:val="0"/>
      <w:marTop w:val="0"/>
      <w:marBottom w:val="0"/>
      <w:divBdr>
        <w:top w:val="none" w:sz="0" w:space="0" w:color="auto"/>
        <w:left w:val="none" w:sz="0" w:space="0" w:color="auto"/>
        <w:bottom w:val="none" w:sz="0" w:space="0" w:color="auto"/>
        <w:right w:val="none" w:sz="0" w:space="0" w:color="auto"/>
      </w:divBdr>
    </w:div>
    <w:div w:id="1474449495">
      <w:bodyDiv w:val="1"/>
      <w:marLeft w:val="0"/>
      <w:marRight w:val="0"/>
      <w:marTop w:val="0"/>
      <w:marBottom w:val="0"/>
      <w:divBdr>
        <w:top w:val="none" w:sz="0" w:space="0" w:color="auto"/>
        <w:left w:val="none" w:sz="0" w:space="0" w:color="auto"/>
        <w:bottom w:val="none" w:sz="0" w:space="0" w:color="auto"/>
        <w:right w:val="none" w:sz="0" w:space="0" w:color="auto"/>
      </w:divBdr>
    </w:div>
    <w:div w:id="1474520790">
      <w:bodyDiv w:val="1"/>
      <w:marLeft w:val="0"/>
      <w:marRight w:val="0"/>
      <w:marTop w:val="0"/>
      <w:marBottom w:val="0"/>
      <w:divBdr>
        <w:top w:val="none" w:sz="0" w:space="0" w:color="auto"/>
        <w:left w:val="none" w:sz="0" w:space="0" w:color="auto"/>
        <w:bottom w:val="none" w:sz="0" w:space="0" w:color="auto"/>
        <w:right w:val="none" w:sz="0" w:space="0" w:color="auto"/>
      </w:divBdr>
    </w:div>
    <w:div w:id="1474521720">
      <w:bodyDiv w:val="1"/>
      <w:marLeft w:val="0"/>
      <w:marRight w:val="0"/>
      <w:marTop w:val="0"/>
      <w:marBottom w:val="0"/>
      <w:divBdr>
        <w:top w:val="none" w:sz="0" w:space="0" w:color="auto"/>
        <w:left w:val="none" w:sz="0" w:space="0" w:color="auto"/>
        <w:bottom w:val="none" w:sz="0" w:space="0" w:color="auto"/>
        <w:right w:val="none" w:sz="0" w:space="0" w:color="auto"/>
      </w:divBdr>
    </w:div>
    <w:div w:id="1474525209">
      <w:bodyDiv w:val="1"/>
      <w:marLeft w:val="0"/>
      <w:marRight w:val="0"/>
      <w:marTop w:val="0"/>
      <w:marBottom w:val="0"/>
      <w:divBdr>
        <w:top w:val="none" w:sz="0" w:space="0" w:color="auto"/>
        <w:left w:val="none" w:sz="0" w:space="0" w:color="auto"/>
        <w:bottom w:val="none" w:sz="0" w:space="0" w:color="auto"/>
        <w:right w:val="none" w:sz="0" w:space="0" w:color="auto"/>
      </w:divBdr>
    </w:div>
    <w:div w:id="1474829512">
      <w:bodyDiv w:val="1"/>
      <w:marLeft w:val="0"/>
      <w:marRight w:val="0"/>
      <w:marTop w:val="0"/>
      <w:marBottom w:val="0"/>
      <w:divBdr>
        <w:top w:val="none" w:sz="0" w:space="0" w:color="auto"/>
        <w:left w:val="none" w:sz="0" w:space="0" w:color="auto"/>
        <w:bottom w:val="none" w:sz="0" w:space="0" w:color="auto"/>
        <w:right w:val="none" w:sz="0" w:space="0" w:color="auto"/>
      </w:divBdr>
    </w:div>
    <w:div w:id="1474830952">
      <w:bodyDiv w:val="1"/>
      <w:marLeft w:val="0"/>
      <w:marRight w:val="0"/>
      <w:marTop w:val="0"/>
      <w:marBottom w:val="0"/>
      <w:divBdr>
        <w:top w:val="none" w:sz="0" w:space="0" w:color="auto"/>
        <w:left w:val="none" w:sz="0" w:space="0" w:color="auto"/>
        <w:bottom w:val="none" w:sz="0" w:space="0" w:color="auto"/>
        <w:right w:val="none" w:sz="0" w:space="0" w:color="auto"/>
      </w:divBdr>
    </w:div>
    <w:div w:id="1474831408">
      <w:bodyDiv w:val="1"/>
      <w:marLeft w:val="0"/>
      <w:marRight w:val="0"/>
      <w:marTop w:val="0"/>
      <w:marBottom w:val="0"/>
      <w:divBdr>
        <w:top w:val="none" w:sz="0" w:space="0" w:color="auto"/>
        <w:left w:val="none" w:sz="0" w:space="0" w:color="auto"/>
        <w:bottom w:val="none" w:sz="0" w:space="0" w:color="auto"/>
        <w:right w:val="none" w:sz="0" w:space="0" w:color="auto"/>
      </w:divBdr>
    </w:div>
    <w:div w:id="1474836269">
      <w:bodyDiv w:val="1"/>
      <w:marLeft w:val="0"/>
      <w:marRight w:val="0"/>
      <w:marTop w:val="0"/>
      <w:marBottom w:val="0"/>
      <w:divBdr>
        <w:top w:val="none" w:sz="0" w:space="0" w:color="auto"/>
        <w:left w:val="none" w:sz="0" w:space="0" w:color="auto"/>
        <w:bottom w:val="none" w:sz="0" w:space="0" w:color="auto"/>
        <w:right w:val="none" w:sz="0" w:space="0" w:color="auto"/>
      </w:divBdr>
    </w:div>
    <w:div w:id="1474903614">
      <w:bodyDiv w:val="1"/>
      <w:marLeft w:val="0"/>
      <w:marRight w:val="0"/>
      <w:marTop w:val="0"/>
      <w:marBottom w:val="0"/>
      <w:divBdr>
        <w:top w:val="none" w:sz="0" w:space="0" w:color="auto"/>
        <w:left w:val="none" w:sz="0" w:space="0" w:color="auto"/>
        <w:bottom w:val="none" w:sz="0" w:space="0" w:color="auto"/>
        <w:right w:val="none" w:sz="0" w:space="0" w:color="auto"/>
      </w:divBdr>
    </w:div>
    <w:div w:id="1474904742">
      <w:bodyDiv w:val="1"/>
      <w:marLeft w:val="0"/>
      <w:marRight w:val="0"/>
      <w:marTop w:val="0"/>
      <w:marBottom w:val="0"/>
      <w:divBdr>
        <w:top w:val="none" w:sz="0" w:space="0" w:color="auto"/>
        <w:left w:val="none" w:sz="0" w:space="0" w:color="auto"/>
        <w:bottom w:val="none" w:sz="0" w:space="0" w:color="auto"/>
        <w:right w:val="none" w:sz="0" w:space="0" w:color="auto"/>
      </w:divBdr>
    </w:div>
    <w:div w:id="1474982981">
      <w:bodyDiv w:val="1"/>
      <w:marLeft w:val="0"/>
      <w:marRight w:val="0"/>
      <w:marTop w:val="0"/>
      <w:marBottom w:val="0"/>
      <w:divBdr>
        <w:top w:val="none" w:sz="0" w:space="0" w:color="auto"/>
        <w:left w:val="none" w:sz="0" w:space="0" w:color="auto"/>
        <w:bottom w:val="none" w:sz="0" w:space="0" w:color="auto"/>
        <w:right w:val="none" w:sz="0" w:space="0" w:color="auto"/>
      </w:divBdr>
    </w:div>
    <w:div w:id="1474982993">
      <w:bodyDiv w:val="1"/>
      <w:marLeft w:val="0"/>
      <w:marRight w:val="0"/>
      <w:marTop w:val="0"/>
      <w:marBottom w:val="0"/>
      <w:divBdr>
        <w:top w:val="none" w:sz="0" w:space="0" w:color="auto"/>
        <w:left w:val="none" w:sz="0" w:space="0" w:color="auto"/>
        <w:bottom w:val="none" w:sz="0" w:space="0" w:color="auto"/>
        <w:right w:val="none" w:sz="0" w:space="0" w:color="auto"/>
      </w:divBdr>
    </w:div>
    <w:div w:id="1474983193">
      <w:bodyDiv w:val="1"/>
      <w:marLeft w:val="0"/>
      <w:marRight w:val="0"/>
      <w:marTop w:val="0"/>
      <w:marBottom w:val="0"/>
      <w:divBdr>
        <w:top w:val="none" w:sz="0" w:space="0" w:color="auto"/>
        <w:left w:val="none" w:sz="0" w:space="0" w:color="auto"/>
        <w:bottom w:val="none" w:sz="0" w:space="0" w:color="auto"/>
        <w:right w:val="none" w:sz="0" w:space="0" w:color="auto"/>
      </w:divBdr>
    </w:div>
    <w:div w:id="1474983613">
      <w:bodyDiv w:val="1"/>
      <w:marLeft w:val="0"/>
      <w:marRight w:val="0"/>
      <w:marTop w:val="0"/>
      <w:marBottom w:val="0"/>
      <w:divBdr>
        <w:top w:val="none" w:sz="0" w:space="0" w:color="auto"/>
        <w:left w:val="none" w:sz="0" w:space="0" w:color="auto"/>
        <w:bottom w:val="none" w:sz="0" w:space="0" w:color="auto"/>
        <w:right w:val="none" w:sz="0" w:space="0" w:color="auto"/>
      </w:divBdr>
    </w:div>
    <w:div w:id="1475024704">
      <w:bodyDiv w:val="1"/>
      <w:marLeft w:val="0"/>
      <w:marRight w:val="0"/>
      <w:marTop w:val="0"/>
      <w:marBottom w:val="0"/>
      <w:divBdr>
        <w:top w:val="none" w:sz="0" w:space="0" w:color="auto"/>
        <w:left w:val="none" w:sz="0" w:space="0" w:color="auto"/>
        <w:bottom w:val="none" w:sz="0" w:space="0" w:color="auto"/>
        <w:right w:val="none" w:sz="0" w:space="0" w:color="auto"/>
      </w:divBdr>
    </w:div>
    <w:div w:id="1475100590">
      <w:bodyDiv w:val="1"/>
      <w:marLeft w:val="0"/>
      <w:marRight w:val="0"/>
      <w:marTop w:val="0"/>
      <w:marBottom w:val="0"/>
      <w:divBdr>
        <w:top w:val="none" w:sz="0" w:space="0" w:color="auto"/>
        <w:left w:val="none" w:sz="0" w:space="0" w:color="auto"/>
        <w:bottom w:val="none" w:sz="0" w:space="0" w:color="auto"/>
        <w:right w:val="none" w:sz="0" w:space="0" w:color="auto"/>
      </w:divBdr>
    </w:div>
    <w:div w:id="1475179687">
      <w:bodyDiv w:val="1"/>
      <w:marLeft w:val="0"/>
      <w:marRight w:val="0"/>
      <w:marTop w:val="0"/>
      <w:marBottom w:val="0"/>
      <w:divBdr>
        <w:top w:val="none" w:sz="0" w:space="0" w:color="auto"/>
        <w:left w:val="none" w:sz="0" w:space="0" w:color="auto"/>
        <w:bottom w:val="none" w:sz="0" w:space="0" w:color="auto"/>
        <w:right w:val="none" w:sz="0" w:space="0" w:color="auto"/>
      </w:divBdr>
    </w:div>
    <w:div w:id="1475290677">
      <w:bodyDiv w:val="1"/>
      <w:marLeft w:val="0"/>
      <w:marRight w:val="0"/>
      <w:marTop w:val="0"/>
      <w:marBottom w:val="0"/>
      <w:divBdr>
        <w:top w:val="none" w:sz="0" w:space="0" w:color="auto"/>
        <w:left w:val="none" w:sz="0" w:space="0" w:color="auto"/>
        <w:bottom w:val="none" w:sz="0" w:space="0" w:color="auto"/>
        <w:right w:val="none" w:sz="0" w:space="0" w:color="auto"/>
      </w:divBdr>
    </w:div>
    <w:div w:id="1475293470">
      <w:bodyDiv w:val="1"/>
      <w:marLeft w:val="0"/>
      <w:marRight w:val="0"/>
      <w:marTop w:val="0"/>
      <w:marBottom w:val="0"/>
      <w:divBdr>
        <w:top w:val="none" w:sz="0" w:space="0" w:color="auto"/>
        <w:left w:val="none" w:sz="0" w:space="0" w:color="auto"/>
        <w:bottom w:val="none" w:sz="0" w:space="0" w:color="auto"/>
        <w:right w:val="none" w:sz="0" w:space="0" w:color="auto"/>
      </w:divBdr>
    </w:div>
    <w:div w:id="1475373725">
      <w:bodyDiv w:val="1"/>
      <w:marLeft w:val="0"/>
      <w:marRight w:val="0"/>
      <w:marTop w:val="0"/>
      <w:marBottom w:val="0"/>
      <w:divBdr>
        <w:top w:val="none" w:sz="0" w:space="0" w:color="auto"/>
        <w:left w:val="none" w:sz="0" w:space="0" w:color="auto"/>
        <w:bottom w:val="none" w:sz="0" w:space="0" w:color="auto"/>
        <w:right w:val="none" w:sz="0" w:space="0" w:color="auto"/>
      </w:divBdr>
    </w:div>
    <w:div w:id="1475413554">
      <w:bodyDiv w:val="1"/>
      <w:marLeft w:val="0"/>
      <w:marRight w:val="0"/>
      <w:marTop w:val="0"/>
      <w:marBottom w:val="0"/>
      <w:divBdr>
        <w:top w:val="none" w:sz="0" w:space="0" w:color="auto"/>
        <w:left w:val="none" w:sz="0" w:space="0" w:color="auto"/>
        <w:bottom w:val="none" w:sz="0" w:space="0" w:color="auto"/>
        <w:right w:val="none" w:sz="0" w:space="0" w:color="auto"/>
      </w:divBdr>
    </w:div>
    <w:div w:id="1475485447">
      <w:bodyDiv w:val="1"/>
      <w:marLeft w:val="0"/>
      <w:marRight w:val="0"/>
      <w:marTop w:val="0"/>
      <w:marBottom w:val="0"/>
      <w:divBdr>
        <w:top w:val="none" w:sz="0" w:space="0" w:color="auto"/>
        <w:left w:val="none" w:sz="0" w:space="0" w:color="auto"/>
        <w:bottom w:val="none" w:sz="0" w:space="0" w:color="auto"/>
        <w:right w:val="none" w:sz="0" w:space="0" w:color="auto"/>
      </w:divBdr>
    </w:div>
    <w:div w:id="1475486254">
      <w:bodyDiv w:val="1"/>
      <w:marLeft w:val="0"/>
      <w:marRight w:val="0"/>
      <w:marTop w:val="0"/>
      <w:marBottom w:val="0"/>
      <w:divBdr>
        <w:top w:val="none" w:sz="0" w:space="0" w:color="auto"/>
        <w:left w:val="none" w:sz="0" w:space="0" w:color="auto"/>
        <w:bottom w:val="none" w:sz="0" w:space="0" w:color="auto"/>
        <w:right w:val="none" w:sz="0" w:space="0" w:color="auto"/>
      </w:divBdr>
    </w:div>
    <w:div w:id="1475487221">
      <w:bodyDiv w:val="1"/>
      <w:marLeft w:val="0"/>
      <w:marRight w:val="0"/>
      <w:marTop w:val="0"/>
      <w:marBottom w:val="0"/>
      <w:divBdr>
        <w:top w:val="none" w:sz="0" w:space="0" w:color="auto"/>
        <w:left w:val="none" w:sz="0" w:space="0" w:color="auto"/>
        <w:bottom w:val="none" w:sz="0" w:space="0" w:color="auto"/>
        <w:right w:val="none" w:sz="0" w:space="0" w:color="auto"/>
      </w:divBdr>
    </w:div>
    <w:div w:id="1475676461">
      <w:bodyDiv w:val="1"/>
      <w:marLeft w:val="0"/>
      <w:marRight w:val="0"/>
      <w:marTop w:val="0"/>
      <w:marBottom w:val="0"/>
      <w:divBdr>
        <w:top w:val="none" w:sz="0" w:space="0" w:color="auto"/>
        <w:left w:val="none" w:sz="0" w:space="0" w:color="auto"/>
        <w:bottom w:val="none" w:sz="0" w:space="0" w:color="auto"/>
        <w:right w:val="none" w:sz="0" w:space="0" w:color="auto"/>
      </w:divBdr>
    </w:div>
    <w:div w:id="1475829260">
      <w:bodyDiv w:val="1"/>
      <w:marLeft w:val="0"/>
      <w:marRight w:val="0"/>
      <w:marTop w:val="0"/>
      <w:marBottom w:val="0"/>
      <w:divBdr>
        <w:top w:val="none" w:sz="0" w:space="0" w:color="auto"/>
        <w:left w:val="none" w:sz="0" w:space="0" w:color="auto"/>
        <w:bottom w:val="none" w:sz="0" w:space="0" w:color="auto"/>
        <w:right w:val="none" w:sz="0" w:space="0" w:color="auto"/>
      </w:divBdr>
    </w:div>
    <w:div w:id="1475946104">
      <w:bodyDiv w:val="1"/>
      <w:marLeft w:val="0"/>
      <w:marRight w:val="0"/>
      <w:marTop w:val="0"/>
      <w:marBottom w:val="0"/>
      <w:divBdr>
        <w:top w:val="none" w:sz="0" w:space="0" w:color="auto"/>
        <w:left w:val="none" w:sz="0" w:space="0" w:color="auto"/>
        <w:bottom w:val="none" w:sz="0" w:space="0" w:color="auto"/>
        <w:right w:val="none" w:sz="0" w:space="0" w:color="auto"/>
      </w:divBdr>
    </w:div>
    <w:div w:id="1476026198">
      <w:bodyDiv w:val="1"/>
      <w:marLeft w:val="0"/>
      <w:marRight w:val="0"/>
      <w:marTop w:val="0"/>
      <w:marBottom w:val="0"/>
      <w:divBdr>
        <w:top w:val="none" w:sz="0" w:space="0" w:color="auto"/>
        <w:left w:val="none" w:sz="0" w:space="0" w:color="auto"/>
        <w:bottom w:val="none" w:sz="0" w:space="0" w:color="auto"/>
        <w:right w:val="none" w:sz="0" w:space="0" w:color="auto"/>
      </w:divBdr>
    </w:div>
    <w:div w:id="1476139881">
      <w:bodyDiv w:val="1"/>
      <w:marLeft w:val="0"/>
      <w:marRight w:val="0"/>
      <w:marTop w:val="0"/>
      <w:marBottom w:val="0"/>
      <w:divBdr>
        <w:top w:val="none" w:sz="0" w:space="0" w:color="auto"/>
        <w:left w:val="none" w:sz="0" w:space="0" w:color="auto"/>
        <w:bottom w:val="none" w:sz="0" w:space="0" w:color="auto"/>
        <w:right w:val="none" w:sz="0" w:space="0" w:color="auto"/>
      </w:divBdr>
    </w:div>
    <w:div w:id="1476215105">
      <w:bodyDiv w:val="1"/>
      <w:marLeft w:val="0"/>
      <w:marRight w:val="0"/>
      <w:marTop w:val="0"/>
      <w:marBottom w:val="0"/>
      <w:divBdr>
        <w:top w:val="none" w:sz="0" w:space="0" w:color="auto"/>
        <w:left w:val="none" w:sz="0" w:space="0" w:color="auto"/>
        <w:bottom w:val="none" w:sz="0" w:space="0" w:color="auto"/>
        <w:right w:val="none" w:sz="0" w:space="0" w:color="auto"/>
      </w:divBdr>
    </w:div>
    <w:div w:id="1476217616">
      <w:bodyDiv w:val="1"/>
      <w:marLeft w:val="0"/>
      <w:marRight w:val="0"/>
      <w:marTop w:val="0"/>
      <w:marBottom w:val="0"/>
      <w:divBdr>
        <w:top w:val="none" w:sz="0" w:space="0" w:color="auto"/>
        <w:left w:val="none" w:sz="0" w:space="0" w:color="auto"/>
        <w:bottom w:val="none" w:sz="0" w:space="0" w:color="auto"/>
        <w:right w:val="none" w:sz="0" w:space="0" w:color="auto"/>
      </w:divBdr>
    </w:div>
    <w:div w:id="1476291630">
      <w:bodyDiv w:val="1"/>
      <w:marLeft w:val="0"/>
      <w:marRight w:val="0"/>
      <w:marTop w:val="0"/>
      <w:marBottom w:val="0"/>
      <w:divBdr>
        <w:top w:val="none" w:sz="0" w:space="0" w:color="auto"/>
        <w:left w:val="none" w:sz="0" w:space="0" w:color="auto"/>
        <w:bottom w:val="none" w:sz="0" w:space="0" w:color="auto"/>
        <w:right w:val="none" w:sz="0" w:space="0" w:color="auto"/>
      </w:divBdr>
    </w:div>
    <w:div w:id="1476295248">
      <w:bodyDiv w:val="1"/>
      <w:marLeft w:val="0"/>
      <w:marRight w:val="0"/>
      <w:marTop w:val="0"/>
      <w:marBottom w:val="0"/>
      <w:divBdr>
        <w:top w:val="none" w:sz="0" w:space="0" w:color="auto"/>
        <w:left w:val="none" w:sz="0" w:space="0" w:color="auto"/>
        <w:bottom w:val="none" w:sz="0" w:space="0" w:color="auto"/>
        <w:right w:val="none" w:sz="0" w:space="0" w:color="auto"/>
      </w:divBdr>
    </w:div>
    <w:div w:id="1476332441">
      <w:bodyDiv w:val="1"/>
      <w:marLeft w:val="0"/>
      <w:marRight w:val="0"/>
      <w:marTop w:val="0"/>
      <w:marBottom w:val="0"/>
      <w:divBdr>
        <w:top w:val="none" w:sz="0" w:space="0" w:color="auto"/>
        <w:left w:val="none" w:sz="0" w:space="0" w:color="auto"/>
        <w:bottom w:val="none" w:sz="0" w:space="0" w:color="auto"/>
        <w:right w:val="none" w:sz="0" w:space="0" w:color="auto"/>
      </w:divBdr>
    </w:div>
    <w:div w:id="1476410321">
      <w:bodyDiv w:val="1"/>
      <w:marLeft w:val="0"/>
      <w:marRight w:val="0"/>
      <w:marTop w:val="0"/>
      <w:marBottom w:val="0"/>
      <w:divBdr>
        <w:top w:val="none" w:sz="0" w:space="0" w:color="auto"/>
        <w:left w:val="none" w:sz="0" w:space="0" w:color="auto"/>
        <w:bottom w:val="none" w:sz="0" w:space="0" w:color="auto"/>
        <w:right w:val="none" w:sz="0" w:space="0" w:color="auto"/>
      </w:divBdr>
    </w:div>
    <w:div w:id="1476410702">
      <w:bodyDiv w:val="1"/>
      <w:marLeft w:val="0"/>
      <w:marRight w:val="0"/>
      <w:marTop w:val="0"/>
      <w:marBottom w:val="0"/>
      <w:divBdr>
        <w:top w:val="none" w:sz="0" w:space="0" w:color="auto"/>
        <w:left w:val="none" w:sz="0" w:space="0" w:color="auto"/>
        <w:bottom w:val="none" w:sz="0" w:space="0" w:color="auto"/>
        <w:right w:val="none" w:sz="0" w:space="0" w:color="auto"/>
      </w:divBdr>
    </w:div>
    <w:div w:id="1476411253">
      <w:bodyDiv w:val="1"/>
      <w:marLeft w:val="0"/>
      <w:marRight w:val="0"/>
      <w:marTop w:val="0"/>
      <w:marBottom w:val="0"/>
      <w:divBdr>
        <w:top w:val="none" w:sz="0" w:space="0" w:color="auto"/>
        <w:left w:val="none" w:sz="0" w:space="0" w:color="auto"/>
        <w:bottom w:val="none" w:sz="0" w:space="0" w:color="auto"/>
        <w:right w:val="none" w:sz="0" w:space="0" w:color="auto"/>
      </w:divBdr>
    </w:div>
    <w:div w:id="1476487944">
      <w:bodyDiv w:val="1"/>
      <w:marLeft w:val="0"/>
      <w:marRight w:val="0"/>
      <w:marTop w:val="0"/>
      <w:marBottom w:val="0"/>
      <w:divBdr>
        <w:top w:val="none" w:sz="0" w:space="0" w:color="auto"/>
        <w:left w:val="none" w:sz="0" w:space="0" w:color="auto"/>
        <w:bottom w:val="none" w:sz="0" w:space="0" w:color="auto"/>
        <w:right w:val="none" w:sz="0" w:space="0" w:color="auto"/>
      </w:divBdr>
    </w:div>
    <w:div w:id="1476558291">
      <w:bodyDiv w:val="1"/>
      <w:marLeft w:val="0"/>
      <w:marRight w:val="0"/>
      <w:marTop w:val="0"/>
      <w:marBottom w:val="0"/>
      <w:divBdr>
        <w:top w:val="none" w:sz="0" w:space="0" w:color="auto"/>
        <w:left w:val="none" w:sz="0" w:space="0" w:color="auto"/>
        <w:bottom w:val="none" w:sz="0" w:space="0" w:color="auto"/>
        <w:right w:val="none" w:sz="0" w:space="0" w:color="auto"/>
      </w:divBdr>
    </w:div>
    <w:div w:id="1476725898">
      <w:bodyDiv w:val="1"/>
      <w:marLeft w:val="0"/>
      <w:marRight w:val="0"/>
      <w:marTop w:val="0"/>
      <w:marBottom w:val="0"/>
      <w:divBdr>
        <w:top w:val="none" w:sz="0" w:space="0" w:color="auto"/>
        <w:left w:val="none" w:sz="0" w:space="0" w:color="auto"/>
        <w:bottom w:val="none" w:sz="0" w:space="0" w:color="auto"/>
        <w:right w:val="none" w:sz="0" w:space="0" w:color="auto"/>
      </w:divBdr>
    </w:div>
    <w:div w:id="1476797384">
      <w:bodyDiv w:val="1"/>
      <w:marLeft w:val="0"/>
      <w:marRight w:val="0"/>
      <w:marTop w:val="0"/>
      <w:marBottom w:val="0"/>
      <w:divBdr>
        <w:top w:val="none" w:sz="0" w:space="0" w:color="auto"/>
        <w:left w:val="none" w:sz="0" w:space="0" w:color="auto"/>
        <w:bottom w:val="none" w:sz="0" w:space="0" w:color="auto"/>
        <w:right w:val="none" w:sz="0" w:space="0" w:color="auto"/>
      </w:divBdr>
    </w:div>
    <w:div w:id="1476798047">
      <w:bodyDiv w:val="1"/>
      <w:marLeft w:val="0"/>
      <w:marRight w:val="0"/>
      <w:marTop w:val="0"/>
      <w:marBottom w:val="0"/>
      <w:divBdr>
        <w:top w:val="none" w:sz="0" w:space="0" w:color="auto"/>
        <w:left w:val="none" w:sz="0" w:space="0" w:color="auto"/>
        <w:bottom w:val="none" w:sz="0" w:space="0" w:color="auto"/>
        <w:right w:val="none" w:sz="0" w:space="0" w:color="auto"/>
      </w:divBdr>
    </w:div>
    <w:div w:id="1476989494">
      <w:bodyDiv w:val="1"/>
      <w:marLeft w:val="0"/>
      <w:marRight w:val="0"/>
      <w:marTop w:val="0"/>
      <w:marBottom w:val="0"/>
      <w:divBdr>
        <w:top w:val="none" w:sz="0" w:space="0" w:color="auto"/>
        <w:left w:val="none" w:sz="0" w:space="0" w:color="auto"/>
        <w:bottom w:val="none" w:sz="0" w:space="0" w:color="auto"/>
        <w:right w:val="none" w:sz="0" w:space="0" w:color="auto"/>
      </w:divBdr>
    </w:div>
    <w:div w:id="1476990101">
      <w:bodyDiv w:val="1"/>
      <w:marLeft w:val="0"/>
      <w:marRight w:val="0"/>
      <w:marTop w:val="0"/>
      <w:marBottom w:val="0"/>
      <w:divBdr>
        <w:top w:val="none" w:sz="0" w:space="0" w:color="auto"/>
        <w:left w:val="none" w:sz="0" w:space="0" w:color="auto"/>
        <w:bottom w:val="none" w:sz="0" w:space="0" w:color="auto"/>
        <w:right w:val="none" w:sz="0" w:space="0" w:color="auto"/>
      </w:divBdr>
    </w:div>
    <w:div w:id="1476995133">
      <w:bodyDiv w:val="1"/>
      <w:marLeft w:val="0"/>
      <w:marRight w:val="0"/>
      <w:marTop w:val="0"/>
      <w:marBottom w:val="0"/>
      <w:divBdr>
        <w:top w:val="none" w:sz="0" w:space="0" w:color="auto"/>
        <w:left w:val="none" w:sz="0" w:space="0" w:color="auto"/>
        <w:bottom w:val="none" w:sz="0" w:space="0" w:color="auto"/>
        <w:right w:val="none" w:sz="0" w:space="0" w:color="auto"/>
      </w:divBdr>
    </w:div>
    <w:div w:id="1477137671">
      <w:bodyDiv w:val="1"/>
      <w:marLeft w:val="0"/>
      <w:marRight w:val="0"/>
      <w:marTop w:val="0"/>
      <w:marBottom w:val="0"/>
      <w:divBdr>
        <w:top w:val="none" w:sz="0" w:space="0" w:color="auto"/>
        <w:left w:val="none" w:sz="0" w:space="0" w:color="auto"/>
        <w:bottom w:val="none" w:sz="0" w:space="0" w:color="auto"/>
        <w:right w:val="none" w:sz="0" w:space="0" w:color="auto"/>
      </w:divBdr>
    </w:div>
    <w:div w:id="1477141236">
      <w:bodyDiv w:val="1"/>
      <w:marLeft w:val="0"/>
      <w:marRight w:val="0"/>
      <w:marTop w:val="0"/>
      <w:marBottom w:val="0"/>
      <w:divBdr>
        <w:top w:val="none" w:sz="0" w:space="0" w:color="auto"/>
        <w:left w:val="none" w:sz="0" w:space="0" w:color="auto"/>
        <w:bottom w:val="none" w:sz="0" w:space="0" w:color="auto"/>
        <w:right w:val="none" w:sz="0" w:space="0" w:color="auto"/>
      </w:divBdr>
    </w:div>
    <w:div w:id="1477187358">
      <w:bodyDiv w:val="1"/>
      <w:marLeft w:val="0"/>
      <w:marRight w:val="0"/>
      <w:marTop w:val="0"/>
      <w:marBottom w:val="0"/>
      <w:divBdr>
        <w:top w:val="none" w:sz="0" w:space="0" w:color="auto"/>
        <w:left w:val="none" w:sz="0" w:space="0" w:color="auto"/>
        <w:bottom w:val="none" w:sz="0" w:space="0" w:color="auto"/>
        <w:right w:val="none" w:sz="0" w:space="0" w:color="auto"/>
      </w:divBdr>
    </w:div>
    <w:div w:id="1477601106">
      <w:bodyDiv w:val="1"/>
      <w:marLeft w:val="0"/>
      <w:marRight w:val="0"/>
      <w:marTop w:val="0"/>
      <w:marBottom w:val="0"/>
      <w:divBdr>
        <w:top w:val="none" w:sz="0" w:space="0" w:color="auto"/>
        <w:left w:val="none" w:sz="0" w:space="0" w:color="auto"/>
        <w:bottom w:val="none" w:sz="0" w:space="0" w:color="auto"/>
        <w:right w:val="none" w:sz="0" w:space="0" w:color="auto"/>
      </w:divBdr>
    </w:div>
    <w:div w:id="1477604097">
      <w:bodyDiv w:val="1"/>
      <w:marLeft w:val="0"/>
      <w:marRight w:val="0"/>
      <w:marTop w:val="0"/>
      <w:marBottom w:val="0"/>
      <w:divBdr>
        <w:top w:val="none" w:sz="0" w:space="0" w:color="auto"/>
        <w:left w:val="none" w:sz="0" w:space="0" w:color="auto"/>
        <w:bottom w:val="none" w:sz="0" w:space="0" w:color="auto"/>
        <w:right w:val="none" w:sz="0" w:space="0" w:color="auto"/>
      </w:divBdr>
    </w:div>
    <w:div w:id="1477606463">
      <w:bodyDiv w:val="1"/>
      <w:marLeft w:val="0"/>
      <w:marRight w:val="0"/>
      <w:marTop w:val="0"/>
      <w:marBottom w:val="0"/>
      <w:divBdr>
        <w:top w:val="none" w:sz="0" w:space="0" w:color="auto"/>
        <w:left w:val="none" w:sz="0" w:space="0" w:color="auto"/>
        <w:bottom w:val="none" w:sz="0" w:space="0" w:color="auto"/>
        <w:right w:val="none" w:sz="0" w:space="0" w:color="auto"/>
      </w:divBdr>
    </w:div>
    <w:div w:id="1477645990">
      <w:bodyDiv w:val="1"/>
      <w:marLeft w:val="0"/>
      <w:marRight w:val="0"/>
      <w:marTop w:val="0"/>
      <w:marBottom w:val="0"/>
      <w:divBdr>
        <w:top w:val="none" w:sz="0" w:space="0" w:color="auto"/>
        <w:left w:val="none" w:sz="0" w:space="0" w:color="auto"/>
        <w:bottom w:val="none" w:sz="0" w:space="0" w:color="auto"/>
        <w:right w:val="none" w:sz="0" w:space="0" w:color="auto"/>
      </w:divBdr>
    </w:div>
    <w:div w:id="1477649321">
      <w:bodyDiv w:val="1"/>
      <w:marLeft w:val="0"/>
      <w:marRight w:val="0"/>
      <w:marTop w:val="0"/>
      <w:marBottom w:val="0"/>
      <w:divBdr>
        <w:top w:val="none" w:sz="0" w:space="0" w:color="auto"/>
        <w:left w:val="none" w:sz="0" w:space="0" w:color="auto"/>
        <w:bottom w:val="none" w:sz="0" w:space="0" w:color="auto"/>
        <w:right w:val="none" w:sz="0" w:space="0" w:color="auto"/>
      </w:divBdr>
    </w:div>
    <w:div w:id="1477722685">
      <w:bodyDiv w:val="1"/>
      <w:marLeft w:val="0"/>
      <w:marRight w:val="0"/>
      <w:marTop w:val="0"/>
      <w:marBottom w:val="0"/>
      <w:divBdr>
        <w:top w:val="none" w:sz="0" w:space="0" w:color="auto"/>
        <w:left w:val="none" w:sz="0" w:space="0" w:color="auto"/>
        <w:bottom w:val="none" w:sz="0" w:space="0" w:color="auto"/>
        <w:right w:val="none" w:sz="0" w:space="0" w:color="auto"/>
      </w:divBdr>
    </w:div>
    <w:div w:id="1477723181">
      <w:bodyDiv w:val="1"/>
      <w:marLeft w:val="0"/>
      <w:marRight w:val="0"/>
      <w:marTop w:val="0"/>
      <w:marBottom w:val="0"/>
      <w:divBdr>
        <w:top w:val="none" w:sz="0" w:space="0" w:color="auto"/>
        <w:left w:val="none" w:sz="0" w:space="0" w:color="auto"/>
        <w:bottom w:val="none" w:sz="0" w:space="0" w:color="auto"/>
        <w:right w:val="none" w:sz="0" w:space="0" w:color="auto"/>
      </w:divBdr>
    </w:div>
    <w:div w:id="1477724098">
      <w:bodyDiv w:val="1"/>
      <w:marLeft w:val="0"/>
      <w:marRight w:val="0"/>
      <w:marTop w:val="0"/>
      <w:marBottom w:val="0"/>
      <w:divBdr>
        <w:top w:val="none" w:sz="0" w:space="0" w:color="auto"/>
        <w:left w:val="none" w:sz="0" w:space="0" w:color="auto"/>
        <w:bottom w:val="none" w:sz="0" w:space="0" w:color="auto"/>
        <w:right w:val="none" w:sz="0" w:space="0" w:color="auto"/>
      </w:divBdr>
    </w:div>
    <w:div w:id="1477839460">
      <w:bodyDiv w:val="1"/>
      <w:marLeft w:val="0"/>
      <w:marRight w:val="0"/>
      <w:marTop w:val="0"/>
      <w:marBottom w:val="0"/>
      <w:divBdr>
        <w:top w:val="none" w:sz="0" w:space="0" w:color="auto"/>
        <w:left w:val="none" w:sz="0" w:space="0" w:color="auto"/>
        <w:bottom w:val="none" w:sz="0" w:space="0" w:color="auto"/>
        <w:right w:val="none" w:sz="0" w:space="0" w:color="auto"/>
      </w:divBdr>
    </w:div>
    <w:div w:id="1477868747">
      <w:bodyDiv w:val="1"/>
      <w:marLeft w:val="0"/>
      <w:marRight w:val="0"/>
      <w:marTop w:val="0"/>
      <w:marBottom w:val="0"/>
      <w:divBdr>
        <w:top w:val="none" w:sz="0" w:space="0" w:color="auto"/>
        <w:left w:val="none" w:sz="0" w:space="0" w:color="auto"/>
        <w:bottom w:val="none" w:sz="0" w:space="0" w:color="auto"/>
        <w:right w:val="none" w:sz="0" w:space="0" w:color="auto"/>
      </w:divBdr>
    </w:div>
    <w:div w:id="1477915344">
      <w:bodyDiv w:val="1"/>
      <w:marLeft w:val="0"/>
      <w:marRight w:val="0"/>
      <w:marTop w:val="0"/>
      <w:marBottom w:val="0"/>
      <w:divBdr>
        <w:top w:val="none" w:sz="0" w:space="0" w:color="auto"/>
        <w:left w:val="none" w:sz="0" w:space="0" w:color="auto"/>
        <w:bottom w:val="none" w:sz="0" w:space="0" w:color="auto"/>
        <w:right w:val="none" w:sz="0" w:space="0" w:color="auto"/>
      </w:divBdr>
    </w:div>
    <w:div w:id="1478033945">
      <w:bodyDiv w:val="1"/>
      <w:marLeft w:val="0"/>
      <w:marRight w:val="0"/>
      <w:marTop w:val="0"/>
      <w:marBottom w:val="0"/>
      <w:divBdr>
        <w:top w:val="none" w:sz="0" w:space="0" w:color="auto"/>
        <w:left w:val="none" w:sz="0" w:space="0" w:color="auto"/>
        <w:bottom w:val="none" w:sz="0" w:space="0" w:color="auto"/>
        <w:right w:val="none" w:sz="0" w:space="0" w:color="auto"/>
      </w:divBdr>
    </w:div>
    <w:div w:id="1478065777">
      <w:bodyDiv w:val="1"/>
      <w:marLeft w:val="0"/>
      <w:marRight w:val="0"/>
      <w:marTop w:val="0"/>
      <w:marBottom w:val="0"/>
      <w:divBdr>
        <w:top w:val="none" w:sz="0" w:space="0" w:color="auto"/>
        <w:left w:val="none" w:sz="0" w:space="0" w:color="auto"/>
        <w:bottom w:val="none" w:sz="0" w:space="0" w:color="auto"/>
        <w:right w:val="none" w:sz="0" w:space="0" w:color="auto"/>
      </w:divBdr>
    </w:div>
    <w:div w:id="1478106962">
      <w:bodyDiv w:val="1"/>
      <w:marLeft w:val="0"/>
      <w:marRight w:val="0"/>
      <w:marTop w:val="0"/>
      <w:marBottom w:val="0"/>
      <w:divBdr>
        <w:top w:val="none" w:sz="0" w:space="0" w:color="auto"/>
        <w:left w:val="none" w:sz="0" w:space="0" w:color="auto"/>
        <w:bottom w:val="none" w:sz="0" w:space="0" w:color="auto"/>
        <w:right w:val="none" w:sz="0" w:space="0" w:color="auto"/>
      </w:divBdr>
    </w:div>
    <w:div w:id="1478185450">
      <w:bodyDiv w:val="1"/>
      <w:marLeft w:val="0"/>
      <w:marRight w:val="0"/>
      <w:marTop w:val="0"/>
      <w:marBottom w:val="0"/>
      <w:divBdr>
        <w:top w:val="none" w:sz="0" w:space="0" w:color="auto"/>
        <w:left w:val="none" w:sz="0" w:space="0" w:color="auto"/>
        <w:bottom w:val="none" w:sz="0" w:space="0" w:color="auto"/>
        <w:right w:val="none" w:sz="0" w:space="0" w:color="auto"/>
      </w:divBdr>
    </w:div>
    <w:div w:id="1478258293">
      <w:bodyDiv w:val="1"/>
      <w:marLeft w:val="0"/>
      <w:marRight w:val="0"/>
      <w:marTop w:val="0"/>
      <w:marBottom w:val="0"/>
      <w:divBdr>
        <w:top w:val="none" w:sz="0" w:space="0" w:color="auto"/>
        <w:left w:val="none" w:sz="0" w:space="0" w:color="auto"/>
        <w:bottom w:val="none" w:sz="0" w:space="0" w:color="auto"/>
        <w:right w:val="none" w:sz="0" w:space="0" w:color="auto"/>
      </w:divBdr>
    </w:div>
    <w:div w:id="1478500063">
      <w:bodyDiv w:val="1"/>
      <w:marLeft w:val="0"/>
      <w:marRight w:val="0"/>
      <w:marTop w:val="0"/>
      <w:marBottom w:val="0"/>
      <w:divBdr>
        <w:top w:val="none" w:sz="0" w:space="0" w:color="auto"/>
        <w:left w:val="none" w:sz="0" w:space="0" w:color="auto"/>
        <w:bottom w:val="none" w:sz="0" w:space="0" w:color="auto"/>
        <w:right w:val="none" w:sz="0" w:space="0" w:color="auto"/>
      </w:divBdr>
    </w:div>
    <w:div w:id="1478641721">
      <w:bodyDiv w:val="1"/>
      <w:marLeft w:val="0"/>
      <w:marRight w:val="0"/>
      <w:marTop w:val="0"/>
      <w:marBottom w:val="0"/>
      <w:divBdr>
        <w:top w:val="none" w:sz="0" w:space="0" w:color="auto"/>
        <w:left w:val="none" w:sz="0" w:space="0" w:color="auto"/>
        <w:bottom w:val="none" w:sz="0" w:space="0" w:color="auto"/>
        <w:right w:val="none" w:sz="0" w:space="0" w:color="auto"/>
      </w:divBdr>
    </w:div>
    <w:div w:id="1478645757">
      <w:bodyDiv w:val="1"/>
      <w:marLeft w:val="0"/>
      <w:marRight w:val="0"/>
      <w:marTop w:val="0"/>
      <w:marBottom w:val="0"/>
      <w:divBdr>
        <w:top w:val="none" w:sz="0" w:space="0" w:color="auto"/>
        <w:left w:val="none" w:sz="0" w:space="0" w:color="auto"/>
        <w:bottom w:val="none" w:sz="0" w:space="0" w:color="auto"/>
        <w:right w:val="none" w:sz="0" w:space="0" w:color="auto"/>
      </w:divBdr>
    </w:div>
    <w:div w:id="1478689202">
      <w:bodyDiv w:val="1"/>
      <w:marLeft w:val="0"/>
      <w:marRight w:val="0"/>
      <w:marTop w:val="0"/>
      <w:marBottom w:val="0"/>
      <w:divBdr>
        <w:top w:val="none" w:sz="0" w:space="0" w:color="auto"/>
        <w:left w:val="none" w:sz="0" w:space="0" w:color="auto"/>
        <w:bottom w:val="none" w:sz="0" w:space="0" w:color="auto"/>
        <w:right w:val="none" w:sz="0" w:space="0" w:color="auto"/>
      </w:divBdr>
    </w:div>
    <w:div w:id="1478763058">
      <w:bodyDiv w:val="1"/>
      <w:marLeft w:val="0"/>
      <w:marRight w:val="0"/>
      <w:marTop w:val="0"/>
      <w:marBottom w:val="0"/>
      <w:divBdr>
        <w:top w:val="none" w:sz="0" w:space="0" w:color="auto"/>
        <w:left w:val="none" w:sz="0" w:space="0" w:color="auto"/>
        <w:bottom w:val="none" w:sz="0" w:space="0" w:color="auto"/>
        <w:right w:val="none" w:sz="0" w:space="0" w:color="auto"/>
      </w:divBdr>
    </w:div>
    <w:div w:id="1478763202">
      <w:bodyDiv w:val="1"/>
      <w:marLeft w:val="0"/>
      <w:marRight w:val="0"/>
      <w:marTop w:val="0"/>
      <w:marBottom w:val="0"/>
      <w:divBdr>
        <w:top w:val="none" w:sz="0" w:space="0" w:color="auto"/>
        <w:left w:val="none" w:sz="0" w:space="0" w:color="auto"/>
        <w:bottom w:val="none" w:sz="0" w:space="0" w:color="auto"/>
        <w:right w:val="none" w:sz="0" w:space="0" w:color="auto"/>
      </w:divBdr>
    </w:div>
    <w:div w:id="1478838205">
      <w:bodyDiv w:val="1"/>
      <w:marLeft w:val="0"/>
      <w:marRight w:val="0"/>
      <w:marTop w:val="0"/>
      <w:marBottom w:val="0"/>
      <w:divBdr>
        <w:top w:val="none" w:sz="0" w:space="0" w:color="auto"/>
        <w:left w:val="none" w:sz="0" w:space="0" w:color="auto"/>
        <w:bottom w:val="none" w:sz="0" w:space="0" w:color="auto"/>
        <w:right w:val="none" w:sz="0" w:space="0" w:color="auto"/>
      </w:divBdr>
    </w:div>
    <w:div w:id="1478842059">
      <w:bodyDiv w:val="1"/>
      <w:marLeft w:val="0"/>
      <w:marRight w:val="0"/>
      <w:marTop w:val="0"/>
      <w:marBottom w:val="0"/>
      <w:divBdr>
        <w:top w:val="none" w:sz="0" w:space="0" w:color="auto"/>
        <w:left w:val="none" w:sz="0" w:space="0" w:color="auto"/>
        <w:bottom w:val="none" w:sz="0" w:space="0" w:color="auto"/>
        <w:right w:val="none" w:sz="0" w:space="0" w:color="auto"/>
      </w:divBdr>
    </w:div>
    <w:div w:id="1478885970">
      <w:bodyDiv w:val="1"/>
      <w:marLeft w:val="0"/>
      <w:marRight w:val="0"/>
      <w:marTop w:val="0"/>
      <w:marBottom w:val="0"/>
      <w:divBdr>
        <w:top w:val="none" w:sz="0" w:space="0" w:color="auto"/>
        <w:left w:val="none" w:sz="0" w:space="0" w:color="auto"/>
        <w:bottom w:val="none" w:sz="0" w:space="0" w:color="auto"/>
        <w:right w:val="none" w:sz="0" w:space="0" w:color="auto"/>
      </w:divBdr>
    </w:div>
    <w:div w:id="1478886193">
      <w:bodyDiv w:val="1"/>
      <w:marLeft w:val="0"/>
      <w:marRight w:val="0"/>
      <w:marTop w:val="0"/>
      <w:marBottom w:val="0"/>
      <w:divBdr>
        <w:top w:val="none" w:sz="0" w:space="0" w:color="auto"/>
        <w:left w:val="none" w:sz="0" w:space="0" w:color="auto"/>
        <w:bottom w:val="none" w:sz="0" w:space="0" w:color="auto"/>
        <w:right w:val="none" w:sz="0" w:space="0" w:color="auto"/>
      </w:divBdr>
    </w:div>
    <w:div w:id="1478910522">
      <w:bodyDiv w:val="1"/>
      <w:marLeft w:val="0"/>
      <w:marRight w:val="0"/>
      <w:marTop w:val="0"/>
      <w:marBottom w:val="0"/>
      <w:divBdr>
        <w:top w:val="none" w:sz="0" w:space="0" w:color="auto"/>
        <w:left w:val="none" w:sz="0" w:space="0" w:color="auto"/>
        <w:bottom w:val="none" w:sz="0" w:space="0" w:color="auto"/>
        <w:right w:val="none" w:sz="0" w:space="0" w:color="auto"/>
      </w:divBdr>
    </w:div>
    <w:div w:id="1479033967">
      <w:bodyDiv w:val="1"/>
      <w:marLeft w:val="0"/>
      <w:marRight w:val="0"/>
      <w:marTop w:val="0"/>
      <w:marBottom w:val="0"/>
      <w:divBdr>
        <w:top w:val="none" w:sz="0" w:space="0" w:color="auto"/>
        <w:left w:val="none" w:sz="0" w:space="0" w:color="auto"/>
        <w:bottom w:val="none" w:sz="0" w:space="0" w:color="auto"/>
        <w:right w:val="none" w:sz="0" w:space="0" w:color="auto"/>
      </w:divBdr>
    </w:div>
    <w:div w:id="1479034700">
      <w:bodyDiv w:val="1"/>
      <w:marLeft w:val="0"/>
      <w:marRight w:val="0"/>
      <w:marTop w:val="0"/>
      <w:marBottom w:val="0"/>
      <w:divBdr>
        <w:top w:val="none" w:sz="0" w:space="0" w:color="auto"/>
        <w:left w:val="none" w:sz="0" w:space="0" w:color="auto"/>
        <w:bottom w:val="none" w:sz="0" w:space="0" w:color="auto"/>
        <w:right w:val="none" w:sz="0" w:space="0" w:color="auto"/>
      </w:divBdr>
    </w:div>
    <w:div w:id="1479035110">
      <w:bodyDiv w:val="1"/>
      <w:marLeft w:val="0"/>
      <w:marRight w:val="0"/>
      <w:marTop w:val="0"/>
      <w:marBottom w:val="0"/>
      <w:divBdr>
        <w:top w:val="none" w:sz="0" w:space="0" w:color="auto"/>
        <w:left w:val="none" w:sz="0" w:space="0" w:color="auto"/>
        <w:bottom w:val="none" w:sz="0" w:space="0" w:color="auto"/>
        <w:right w:val="none" w:sz="0" w:space="0" w:color="auto"/>
      </w:divBdr>
    </w:div>
    <w:div w:id="1479346805">
      <w:bodyDiv w:val="1"/>
      <w:marLeft w:val="0"/>
      <w:marRight w:val="0"/>
      <w:marTop w:val="0"/>
      <w:marBottom w:val="0"/>
      <w:divBdr>
        <w:top w:val="none" w:sz="0" w:space="0" w:color="auto"/>
        <w:left w:val="none" w:sz="0" w:space="0" w:color="auto"/>
        <w:bottom w:val="none" w:sz="0" w:space="0" w:color="auto"/>
        <w:right w:val="none" w:sz="0" w:space="0" w:color="auto"/>
      </w:divBdr>
    </w:div>
    <w:div w:id="1479420947">
      <w:bodyDiv w:val="1"/>
      <w:marLeft w:val="0"/>
      <w:marRight w:val="0"/>
      <w:marTop w:val="0"/>
      <w:marBottom w:val="0"/>
      <w:divBdr>
        <w:top w:val="none" w:sz="0" w:space="0" w:color="auto"/>
        <w:left w:val="none" w:sz="0" w:space="0" w:color="auto"/>
        <w:bottom w:val="none" w:sz="0" w:space="0" w:color="auto"/>
        <w:right w:val="none" w:sz="0" w:space="0" w:color="auto"/>
      </w:divBdr>
    </w:div>
    <w:div w:id="1479803576">
      <w:bodyDiv w:val="1"/>
      <w:marLeft w:val="0"/>
      <w:marRight w:val="0"/>
      <w:marTop w:val="0"/>
      <w:marBottom w:val="0"/>
      <w:divBdr>
        <w:top w:val="none" w:sz="0" w:space="0" w:color="auto"/>
        <w:left w:val="none" w:sz="0" w:space="0" w:color="auto"/>
        <w:bottom w:val="none" w:sz="0" w:space="0" w:color="auto"/>
        <w:right w:val="none" w:sz="0" w:space="0" w:color="auto"/>
      </w:divBdr>
    </w:div>
    <w:div w:id="1479806577">
      <w:bodyDiv w:val="1"/>
      <w:marLeft w:val="0"/>
      <w:marRight w:val="0"/>
      <w:marTop w:val="0"/>
      <w:marBottom w:val="0"/>
      <w:divBdr>
        <w:top w:val="none" w:sz="0" w:space="0" w:color="auto"/>
        <w:left w:val="none" w:sz="0" w:space="0" w:color="auto"/>
        <w:bottom w:val="none" w:sz="0" w:space="0" w:color="auto"/>
        <w:right w:val="none" w:sz="0" w:space="0" w:color="auto"/>
      </w:divBdr>
    </w:div>
    <w:div w:id="1479954585">
      <w:bodyDiv w:val="1"/>
      <w:marLeft w:val="0"/>
      <w:marRight w:val="0"/>
      <w:marTop w:val="0"/>
      <w:marBottom w:val="0"/>
      <w:divBdr>
        <w:top w:val="none" w:sz="0" w:space="0" w:color="auto"/>
        <w:left w:val="none" w:sz="0" w:space="0" w:color="auto"/>
        <w:bottom w:val="none" w:sz="0" w:space="0" w:color="auto"/>
        <w:right w:val="none" w:sz="0" w:space="0" w:color="auto"/>
      </w:divBdr>
    </w:div>
    <w:div w:id="1480003954">
      <w:bodyDiv w:val="1"/>
      <w:marLeft w:val="0"/>
      <w:marRight w:val="0"/>
      <w:marTop w:val="0"/>
      <w:marBottom w:val="0"/>
      <w:divBdr>
        <w:top w:val="none" w:sz="0" w:space="0" w:color="auto"/>
        <w:left w:val="none" w:sz="0" w:space="0" w:color="auto"/>
        <w:bottom w:val="none" w:sz="0" w:space="0" w:color="auto"/>
        <w:right w:val="none" w:sz="0" w:space="0" w:color="auto"/>
      </w:divBdr>
    </w:div>
    <w:div w:id="1480339088">
      <w:bodyDiv w:val="1"/>
      <w:marLeft w:val="0"/>
      <w:marRight w:val="0"/>
      <w:marTop w:val="0"/>
      <w:marBottom w:val="0"/>
      <w:divBdr>
        <w:top w:val="none" w:sz="0" w:space="0" w:color="auto"/>
        <w:left w:val="none" w:sz="0" w:space="0" w:color="auto"/>
        <w:bottom w:val="none" w:sz="0" w:space="0" w:color="auto"/>
        <w:right w:val="none" w:sz="0" w:space="0" w:color="auto"/>
      </w:divBdr>
    </w:div>
    <w:div w:id="1480345107">
      <w:bodyDiv w:val="1"/>
      <w:marLeft w:val="0"/>
      <w:marRight w:val="0"/>
      <w:marTop w:val="0"/>
      <w:marBottom w:val="0"/>
      <w:divBdr>
        <w:top w:val="none" w:sz="0" w:space="0" w:color="auto"/>
        <w:left w:val="none" w:sz="0" w:space="0" w:color="auto"/>
        <w:bottom w:val="none" w:sz="0" w:space="0" w:color="auto"/>
        <w:right w:val="none" w:sz="0" w:space="0" w:color="auto"/>
      </w:divBdr>
    </w:div>
    <w:div w:id="1480345696">
      <w:bodyDiv w:val="1"/>
      <w:marLeft w:val="0"/>
      <w:marRight w:val="0"/>
      <w:marTop w:val="0"/>
      <w:marBottom w:val="0"/>
      <w:divBdr>
        <w:top w:val="none" w:sz="0" w:space="0" w:color="auto"/>
        <w:left w:val="none" w:sz="0" w:space="0" w:color="auto"/>
        <w:bottom w:val="none" w:sz="0" w:space="0" w:color="auto"/>
        <w:right w:val="none" w:sz="0" w:space="0" w:color="auto"/>
      </w:divBdr>
    </w:div>
    <w:div w:id="1480415383">
      <w:bodyDiv w:val="1"/>
      <w:marLeft w:val="0"/>
      <w:marRight w:val="0"/>
      <w:marTop w:val="0"/>
      <w:marBottom w:val="0"/>
      <w:divBdr>
        <w:top w:val="none" w:sz="0" w:space="0" w:color="auto"/>
        <w:left w:val="none" w:sz="0" w:space="0" w:color="auto"/>
        <w:bottom w:val="none" w:sz="0" w:space="0" w:color="auto"/>
        <w:right w:val="none" w:sz="0" w:space="0" w:color="auto"/>
      </w:divBdr>
    </w:div>
    <w:div w:id="1480416505">
      <w:bodyDiv w:val="1"/>
      <w:marLeft w:val="0"/>
      <w:marRight w:val="0"/>
      <w:marTop w:val="0"/>
      <w:marBottom w:val="0"/>
      <w:divBdr>
        <w:top w:val="none" w:sz="0" w:space="0" w:color="auto"/>
        <w:left w:val="none" w:sz="0" w:space="0" w:color="auto"/>
        <w:bottom w:val="none" w:sz="0" w:space="0" w:color="auto"/>
        <w:right w:val="none" w:sz="0" w:space="0" w:color="auto"/>
      </w:divBdr>
    </w:div>
    <w:div w:id="1480465359">
      <w:bodyDiv w:val="1"/>
      <w:marLeft w:val="0"/>
      <w:marRight w:val="0"/>
      <w:marTop w:val="0"/>
      <w:marBottom w:val="0"/>
      <w:divBdr>
        <w:top w:val="none" w:sz="0" w:space="0" w:color="auto"/>
        <w:left w:val="none" w:sz="0" w:space="0" w:color="auto"/>
        <w:bottom w:val="none" w:sz="0" w:space="0" w:color="auto"/>
        <w:right w:val="none" w:sz="0" w:space="0" w:color="auto"/>
      </w:divBdr>
    </w:div>
    <w:div w:id="1480489170">
      <w:bodyDiv w:val="1"/>
      <w:marLeft w:val="0"/>
      <w:marRight w:val="0"/>
      <w:marTop w:val="0"/>
      <w:marBottom w:val="0"/>
      <w:divBdr>
        <w:top w:val="none" w:sz="0" w:space="0" w:color="auto"/>
        <w:left w:val="none" w:sz="0" w:space="0" w:color="auto"/>
        <w:bottom w:val="none" w:sz="0" w:space="0" w:color="auto"/>
        <w:right w:val="none" w:sz="0" w:space="0" w:color="auto"/>
      </w:divBdr>
    </w:div>
    <w:div w:id="1480538571">
      <w:bodyDiv w:val="1"/>
      <w:marLeft w:val="0"/>
      <w:marRight w:val="0"/>
      <w:marTop w:val="0"/>
      <w:marBottom w:val="0"/>
      <w:divBdr>
        <w:top w:val="none" w:sz="0" w:space="0" w:color="auto"/>
        <w:left w:val="none" w:sz="0" w:space="0" w:color="auto"/>
        <w:bottom w:val="none" w:sz="0" w:space="0" w:color="auto"/>
        <w:right w:val="none" w:sz="0" w:space="0" w:color="auto"/>
      </w:divBdr>
    </w:div>
    <w:div w:id="1480608749">
      <w:bodyDiv w:val="1"/>
      <w:marLeft w:val="0"/>
      <w:marRight w:val="0"/>
      <w:marTop w:val="0"/>
      <w:marBottom w:val="0"/>
      <w:divBdr>
        <w:top w:val="none" w:sz="0" w:space="0" w:color="auto"/>
        <w:left w:val="none" w:sz="0" w:space="0" w:color="auto"/>
        <w:bottom w:val="none" w:sz="0" w:space="0" w:color="auto"/>
        <w:right w:val="none" w:sz="0" w:space="0" w:color="auto"/>
      </w:divBdr>
    </w:div>
    <w:div w:id="1480615255">
      <w:bodyDiv w:val="1"/>
      <w:marLeft w:val="0"/>
      <w:marRight w:val="0"/>
      <w:marTop w:val="0"/>
      <w:marBottom w:val="0"/>
      <w:divBdr>
        <w:top w:val="none" w:sz="0" w:space="0" w:color="auto"/>
        <w:left w:val="none" w:sz="0" w:space="0" w:color="auto"/>
        <w:bottom w:val="none" w:sz="0" w:space="0" w:color="auto"/>
        <w:right w:val="none" w:sz="0" w:space="0" w:color="auto"/>
      </w:divBdr>
    </w:div>
    <w:div w:id="1480684656">
      <w:bodyDiv w:val="1"/>
      <w:marLeft w:val="0"/>
      <w:marRight w:val="0"/>
      <w:marTop w:val="0"/>
      <w:marBottom w:val="0"/>
      <w:divBdr>
        <w:top w:val="none" w:sz="0" w:space="0" w:color="auto"/>
        <w:left w:val="none" w:sz="0" w:space="0" w:color="auto"/>
        <w:bottom w:val="none" w:sz="0" w:space="0" w:color="auto"/>
        <w:right w:val="none" w:sz="0" w:space="0" w:color="auto"/>
      </w:divBdr>
    </w:div>
    <w:div w:id="1480687278">
      <w:bodyDiv w:val="1"/>
      <w:marLeft w:val="0"/>
      <w:marRight w:val="0"/>
      <w:marTop w:val="0"/>
      <w:marBottom w:val="0"/>
      <w:divBdr>
        <w:top w:val="none" w:sz="0" w:space="0" w:color="auto"/>
        <w:left w:val="none" w:sz="0" w:space="0" w:color="auto"/>
        <w:bottom w:val="none" w:sz="0" w:space="0" w:color="auto"/>
        <w:right w:val="none" w:sz="0" w:space="0" w:color="auto"/>
      </w:divBdr>
    </w:div>
    <w:div w:id="1480727949">
      <w:bodyDiv w:val="1"/>
      <w:marLeft w:val="0"/>
      <w:marRight w:val="0"/>
      <w:marTop w:val="0"/>
      <w:marBottom w:val="0"/>
      <w:divBdr>
        <w:top w:val="none" w:sz="0" w:space="0" w:color="auto"/>
        <w:left w:val="none" w:sz="0" w:space="0" w:color="auto"/>
        <w:bottom w:val="none" w:sz="0" w:space="0" w:color="auto"/>
        <w:right w:val="none" w:sz="0" w:space="0" w:color="auto"/>
      </w:divBdr>
    </w:div>
    <w:div w:id="1480732385">
      <w:bodyDiv w:val="1"/>
      <w:marLeft w:val="0"/>
      <w:marRight w:val="0"/>
      <w:marTop w:val="0"/>
      <w:marBottom w:val="0"/>
      <w:divBdr>
        <w:top w:val="none" w:sz="0" w:space="0" w:color="auto"/>
        <w:left w:val="none" w:sz="0" w:space="0" w:color="auto"/>
        <w:bottom w:val="none" w:sz="0" w:space="0" w:color="auto"/>
        <w:right w:val="none" w:sz="0" w:space="0" w:color="auto"/>
      </w:divBdr>
    </w:div>
    <w:div w:id="1480877301">
      <w:bodyDiv w:val="1"/>
      <w:marLeft w:val="0"/>
      <w:marRight w:val="0"/>
      <w:marTop w:val="0"/>
      <w:marBottom w:val="0"/>
      <w:divBdr>
        <w:top w:val="none" w:sz="0" w:space="0" w:color="auto"/>
        <w:left w:val="none" w:sz="0" w:space="0" w:color="auto"/>
        <w:bottom w:val="none" w:sz="0" w:space="0" w:color="auto"/>
        <w:right w:val="none" w:sz="0" w:space="0" w:color="auto"/>
      </w:divBdr>
    </w:div>
    <w:div w:id="1480926102">
      <w:bodyDiv w:val="1"/>
      <w:marLeft w:val="0"/>
      <w:marRight w:val="0"/>
      <w:marTop w:val="0"/>
      <w:marBottom w:val="0"/>
      <w:divBdr>
        <w:top w:val="none" w:sz="0" w:space="0" w:color="auto"/>
        <w:left w:val="none" w:sz="0" w:space="0" w:color="auto"/>
        <w:bottom w:val="none" w:sz="0" w:space="0" w:color="auto"/>
        <w:right w:val="none" w:sz="0" w:space="0" w:color="auto"/>
      </w:divBdr>
    </w:div>
    <w:div w:id="1481119087">
      <w:bodyDiv w:val="1"/>
      <w:marLeft w:val="0"/>
      <w:marRight w:val="0"/>
      <w:marTop w:val="0"/>
      <w:marBottom w:val="0"/>
      <w:divBdr>
        <w:top w:val="none" w:sz="0" w:space="0" w:color="auto"/>
        <w:left w:val="none" w:sz="0" w:space="0" w:color="auto"/>
        <w:bottom w:val="none" w:sz="0" w:space="0" w:color="auto"/>
        <w:right w:val="none" w:sz="0" w:space="0" w:color="auto"/>
      </w:divBdr>
    </w:div>
    <w:div w:id="1481196468">
      <w:bodyDiv w:val="1"/>
      <w:marLeft w:val="0"/>
      <w:marRight w:val="0"/>
      <w:marTop w:val="0"/>
      <w:marBottom w:val="0"/>
      <w:divBdr>
        <w:top w:val="none" w:sz="0" w:space="0" w:color="auto"/>
        <w:left w:val="none" w:sz="0" w:space="0" w:color="auto"/>
        <w:bottom w:val="none" w:sz="0" w:space="0" w:color="auto"/>
        <w:right w:val="none" w:sz="0" w:space="0" w:color="auto"/>
      </w:divBdr>
    </w:div>
    <w:div w:id="1481312283">
      <w:bodyDiv w:val="1"/>
      <w:marLeft w:val="0"/>
      <w:marRight w:val="0"/>
      <w:marTop w:val="0"/>
      <w:marBottom w:val="0"/>
      <w:divBdr>
        <w:top w:val="none" w:sz="0" w:space="0" w:color="auto"/>
        <w:left w:val="none" w:sz="0" w:space="0" w:color="auto"/>
        <w:bottom w:val="none" w:sz="0" w:space="0" w:color="auto"/>
        <w:right w:val="none" w:sz="0" w:space="0" w:color="auto"/>
      </w:divBdr>
    </w:div>
    <w:div w:id="1481465243">
      <w:bodyDiv w:val="1"/>
      <w:marLeft w:val="0"/>
      <w:marRight w:val="0"/>
      <w:marTop w:val="0"/>
      <w:marBottom w:val="0"/>
      <w:divBdr>
        <w:top w:val="none" w:sz="0" w:space="0" w:color="auto"/>
        <w:left w:val="none" w:sz="0" w:space="0" w:color="auto"/>
        <w:bottom w:val="none" w:sz="0" w:space="0" w:color="auto"/>
        <w:right w:val="none" w:sz="0" w:space="0" w:color="auto"/>
      </w:divBdr>
    </w:div>
    <w:div w:id="1481733353">
      <w:bodyDiv w:val="1"/>
      <w:marLeft w:val="0"/>
      <w:marRight w:val="0"/>
      <w:marTop w:val="0"/>
      <w:marBottom w:val="0"/>
      <w:divBdr>
        <w:top w:val="none" w:sz="0" w:space="0" w:color="auto"/>
        <w:left w:val="none" w:sz="0" w:space="0" w:color="auto"/>
        <w:bottom w:val="none" w:sz="0" w:space="0" w:color="auto"/>
        <w:right w:val="none" w:sz="0" w:space="0" w:color="auto"/>
      </w:divBdr>
    </w:div>
    <w:div w:id="1481845326">
      <w:bodyDiv w:val="1"/>
      <w:marLeft w:val="0"/>
      <w:marRight w:val="0"/>
      <w:marTop w:val="0"/>
      <w:marBottom w:val="0"/>
      <w:divBdr>
        <w:top w:val="none" w:sz="0" w:space="0" w:color="auto"/>
        <w:left w:val="none" w:sz="0" w:space="0" w:color="auto"/>
        <w:bottom w:val="none" w:sz="0" w:space="0" w:color="auto"/>
        <w:right w:val="none" w:sz="0" w:space="0" w:color="auto"/>
      </w:divBdr>
    </w:div>
    <w:div w:id="1481850650">
      <w:bodyDiv w:val="1"/>
      <w:marLeft w:val="0"/>
      <w:marRight w:val="0"/>
      <w:marTop w:val="0"/>
      <w:marBottom w:val="0"/>
      <w:divBdr>
        <w:top w:val="none" w:sz="0" w:space="0" w:color="auto"/>
        <w:left w:val="none" w:sz="0" w:space="0" w:color="auto"/>
        <w:bottom w:val="none" w:sz="0" w:space="0" w:color="auto"/>
        <w:right w:val="none" w:sz="0" w:space="0" w:color="auto"/>
      </w:divBdr>
    </w:div>
    <w:div w:id="1481920366">
      <w:bodyDiv w:val="1"/>
      <w:marLeft w:val="0"/>
      <w:marRight w:val="0"/>
      <w:marTop w:val="0"/>
      <w:marBottom w:val="0"/>
      <w:divBdr>
        <w:top w:val="none" w:sz="0" w:space="0" w:color="auto"/>
        <w:left w:val="none" w:sz="0" w:space="0" w:color="auto"/>
        <w:bottom w:val="none" w:sz="0" w:space="0" w:color="auto"/>
        <w:right w:val="none" w:sz="0" w:space="0" w:color="auto"/>
      </w:divBdr>
    </w:div>
    <w:div w:id="1481922152">
      <w:bodyDiv w:val="1"/>
      <w:marLeft w:val="0"/>
      <w:marRight w:val="0"/>
      <w:marTop w:val="0"/>
      <w:marBottom w:val="0"/>
      <w:divBdr>
        <w:top w:val="none" w:sz="0" w:space="0" w:color="auto"/>
        <w:left w:val="none" w:sz="0" w:space="0" w:color="auto"/>
        <w:bottom w:val="none" w:sz="0" w:space="0" w:color="auto"/>
        <w:right w:val="none" w:sz="0" w:space="0" w:color="auto"/>
      </w:divBdr>
    </w:div>
    <w:div w:id="1481968321">
      <w:bodyDiv w:val="1"/>
      <w:marLeft w:val="0"/>
      <w:marRight w:val="0"/>
      <w:marTop w:val="0"/>
      <w:marBottom w:val="0"/>
      <w:divBdr>
        <w:top w:val="none" w:sz="0" w:space="0" w:color="auto"/>
        <w:left w:val="none" w:sz="0" w:space="0" w:color="auto"/>
        <w:bottom w:val="none" w:sz="0" w:space="0" w:color="auto"/>
        <w:right w:val="none" w:sz="0" w:space="0" w:color="auto"/>
      </w:divBdr>
    </w:div>
    <w:div w:id="1481993146">
      <w:bodyDiv w:val="1"/>
      <w:marLeft w:val="0"/>
      <w:marRight w:val="0"/>
      <w:marTop w:val="0"/>
      <w:marBottom w:val="0"/>
      <w:divBdr>
        <w:top w:val="none" w:sz="0" w:space="0" w:color="auto"/>
        <w:left w:val="none" w:sz="0" w:space="0" w:color="auto"/>
        <w:bottom w:val="none" w:sz="0" w:space="0" w:color="auto"/>
        <w:right w:val="none" w:sz="0" w:space="0" w:color="auto"/>
      </w:divBdr>
    </w:div>
    <w:div w:id="1481993663">
      <w:bodyDiv w:val="1"/>
      <w:marLeft w:val="0"/>
      <w:marRight w:val="0"/>
      <w:marTop w:val="0"/>
      <w:marBottom w:val="0"/>
      <w:divBdr>
        <w:top w:val="none" w:sz="0" w:space="0" w:color="auto"/>
        <w:left w:val="none" w:sz="0" w:space="0" w:color="auto"/>
        <w:bottom w:val="none" w:sz="0" w:space="0" w:color="auto"/>
        <w:right w:val="none" w:sz="0" w:space="0" w:color="auto"/>
      </w:divBdr>
    </w:div>
    <w:div w:id="1482037745">
      <w:bodyDiv w:val="1"/>
      <w:marLeft w:val="0"/>
      <w:marRight w:val="0"/>
      <w:marTop w:val="0"/>
      <w:marBottom w:val="0"/>
      <w:divBdr>
        <w:top w:val="none" w:sz="0" w:space="0" w:color="auto"/>
        <w:left w:val="none" w:sz="0" w:space="0" w:color="auto"/>
        <w:bottom w:val="none" w:sz="0" w:space="0" w:color="auto"/>
        <w:right w:val="none" w:sz="0" w:space="0" w:color="auto"/>
      </w:divBdr>
    </w:div>
    <w:div w:id="1482190605">
      <w:bodyDiv w:val="1"/>
      <w:marLeft w:val="0"/>
      <w:marRight w:val="0"/>
      <w:marTop w:val="0"/>
      <w:marBottom w:val="0"/>
      <w:divBdr>
        <w:top w:val="none" w:sz="0" w:space="0" w:color="auto"/>
        <w:left w:val="none" w:sz="0" w:space="0" w:color="auto"/>
        <w:bottom w:val="none" w:sz="0" w:space="0" w:color="auto"/>
        <w:right w:val="none" w:sz="0" w:space="0" w:color="auto"/>
      </w:divBdr>
    </w:div>
    <w:div w:id="1482234828">
      <w:bodyDiv w:val="1"/>
      <w:marLeft w:val="0"/>
      <w:marRight w:val="0"/>
      <w:marTop w:val="0"/>
      <w:marBottom w:val="0"/>
      <w:divBdr>
        <w:top w:val="none" w:sz="0" w:space="0" w:color="auto"/>
        <w:left w:val="none" w:sz="0" w:space="0" w:color="auto"/>
        <w:bottom w:val="none" w:sz="0" w:space="0" w:color="auto"/>
        <w:right w:val="none" w:sz="0" w:space="0" w:color="auto"/>
      </w:divBdr>
    </w:div>
    <w:div w:id="1482304596">
      <w:bodyDiv w:val="1"/>
      <w:marLeft w:val="0"/>
      <w:marRight w:val="0"/>
      <w:marTop w:val="0"/>
      <w:marBottom w:val="0"/>
      <w:divBdr>
        <w:top w:val="none" w:sz="0" w:space="0" w:color="auto"/>
        <w:left w:val="none" w:sz="0" w:space="0" w:color="auto"/>
        <w:bottom w:val="none" w:sz="0" w:space="0" w:color="auto"/>
        <w:right w:val="none" w:sz="0" w:space="0" w:color="auto"/>
      </w:divBdr>
    </w:div>
    <w:div w:id="1482305104">
      <w:bodyDiv w:val="1"/>
      <w:marLeft w:val="0"/>
      <w:marRight w:val="0"/>
      <w:marTop w:val="0"/>
      <w:marBottom w:val="0"/>
      <w:divBdr>
        <w:top w:val="none" w:sz="0" w:space="0" w:color="auto"/>
        <w:left w:val="none" w:sz="0" w:space="0" w:color="auto"/>
        <w:bottom w:val="none" w:sz="0" w:space="0" w:color="auto"/>
        <w:right w:val="none" w:sz="0" w:space="0" w:color="auto"/>
      </w:divBdr>
    </w:div>
    <w:div w:id="1482386297">
      <w:bodyDiv w:val="1"/>
      <w:marLeft w:val="0"/>
      <w:marRight w:val="0"/>
      <w:marTop w:val="0"/>
      <w:marBottom w:val="0"/>
      <w:divBdr>
        <w:top w:val="none" w:sz="0" w:space="0" w:color="auto"/>
        <w:left w:val="none" w:sz="0" w:space="0" w:color="auto"/>
        <w:bottom w:val="none" w:sz="0" w:space="0" w:color="auto"/>
        <w:right w:val="none" w:sz="0" w:space="0" w:color="auto"/>
      </w:divBdr>
    </w:div>
    <w:div w:id="1482456511">
      <w:bodyDiv w:val="1"/>
      <w:marLeft w:val="0"/>
      <w:marRight w:val="0"/>
      <w:marTop w:val="0"/>
      <w:marBottom w:val="0"/>
      <w:divBdr>
        <w:top w:val="none" w:sz="0" w:space="0" w:color="auto"/>
        <w:left w:val="none" w:sz="0" w:space="0" w:color="auto"/>
        <w:bottom w:val="none" w:sz="0" w:space="0" w:color="auto"/>
        <w:right w:val="none" w:sz="0" w:space="0" w:color="auto"/>
      </w:divBdr>
    </w:div>
    <w:div w:id="1482499014">
      <w:bodyDiv w:val="1"/>
      <w:marLeft w:val="0"/>
      <w:marRight w:val="0"/>
      <w:marTop w:val="0"/>
      <w:marBottom w:val="0"/>
      <w:divBdr>
        <w:top w:val="none" w:sz="0" w:space="0" w:color="auto"/>
        <w:left w:val="none" w:sz="0" w:space="0" w:color="auto"/>
        <w:bottom w:val="none" w:sz="0" w:space="0" w:color="auto"/>
        <w:right w:val="none" w:sz="0" w:space="0" w:color="auto"/>
      </w:divBdr>
    </w:div>
    <w:div w:id="1482577044">
      <w:bodyDiv w:val="1"/>
      <w:marLeft w:val="0"/>
      <w:marRight w:val="0"/>
      <w:marTop w:val="0"/>
      <w:marBottom w:val="0"/>
      <w:divBdr>
        <w:top w:val="none" w:sz="0" w:space="0" w:color="auto"/>
        <w:left w:val="none" w:sz="0" w:space="0" w:color="auto"/>
        <w:bottom w:val="none" w:sz="0" w:space="0" w:color="auto"/>
        <w:right w:val="none" w:sz="0" w:space="0" w:color="auto"/>
      </w:divBdr>
    </w:div>
    <w:div w:id="1482693406">
      <w:bodyDiv w:val="1"/>
      <w:marLeft w:val="0"/>
      <w:marRight w:val="0"/>
      <w:marTop w:val="0"/>
      <w:marBottom w:val="0"/>
      <w:divBdr>
        <w:top w:val="none" w:sz="0" w:space="0" w:color="auto"/>
        <w:left w:val="none" w:sz="0" w:space="0" w:color="auto"/>
        <w:bottom w:val="none" w:sz="0" w:space="0" w:color="auto"/>
        <w:right w:val="none" w:sz="0" w:space="0" w:color="auto"/>
      </w:divBdr>
    </w:div>
    <w:div w:id="1482696612">
      <w:bodyDiv w:val="1"/>
      <w:marLeft w:val="0"/>
      <w:marRight w:val="0"/>
      <w:marTop w:val="0"/>
      <w:marBottom w:val="0"/>
      <w:divBdr>
        <w:top w:val="none" w:sz="0" w:space="0" w:color="auto"/>
        <w:left w:val="none" w:sz="0" w:space="0" w:color="auto"/>
        <w:bottom w:val="none" w:sz="0" w:space="0" w:color="auto"/>
        <w:right w:val="none" w:sz="0" w:space="0" w:color="auto"/>
      </w:divBdr>
    </w:div>
    <w:div w:id="1482699027">
      <w:bodyDiv w:val="1"/>
      <w:marLeft w:val="0"/>
      <w:marRight w:val="0"/>
      <w:marTop w:val="0"/>
      <w:marBottom w:val="0"/>
      <w:divBdr>
        <w:top w:val="none" w:sz="0" w:space="0" w:color="auto"/>
        <w:left w:val="none" w:sz="0" w:space="0" w:color="auto"/>
        <w:bottom w:val="none" w:sz="0" w:space="0" w:color="auto"/>
        <w:right w:val="none" w:sz="0" w:space="0" w:color="auto"/>
      </w:divBdr>
    </w:div>
    <w:div w:id="1482766371">
      <w:bodyDiv w:val="1"/>
      <w:marLeft w:val="0"/>
      <w:marRight w:val="0"/>
      <w:marTop w:val="0"/>
      <w:marBottom w:val="0"/>
      <w:divBdr>
        <w:top w:val="none" w:sz="0" w:space="0" w:color="auto"/>
        <w:left w:val="none" w:sz="0" w:space="0" w:color="auto"/>
        <w:bottom w:val="none" w:sz="0" w:space="0" w:color="auto"/>
        <w:right w:val="none" w:sz="0" w:space="0" w:color="auto"/>
      </w:divBdr>
    </w:div>
    <w:div w:id="1482844520">
      <w:bodyDiv w:val="1"/>
      <w:marLeft w:val="0"/>
      <w:marRight w:val="0"/>
      <w:marTop w:val="0"/>
      <w:marBottom w:val="0"/>
      <w:divBdr>
        <w:top w:val="none" w:sz="0" w:space="0" w:color="auto"/>
        <w:left w:val="none" w:sz="0" w:space="0" w:color="auto"/>
        <w:bottom w:val="none" w:sz="0" w:space="0" w:color="auto"/>
        <w:right w:val="none" w:sz="0" w:space="0" w:color="auto"/>
      </w:divBdr>
    </w:div>
    <w:div w:id="1483036422">
      <w:bodyDiv w:val="1"/>
      <w:marLeft w:val="0"/>
      <w:marRight w:val="0"/>
      <w:marTop w:val="0"/>
      <w:marBottom w:val="0"/>
      <w:divBdr>
        <w:top w:val="none" w:sz="0" w:space="0" w:color="auto"/>
        <w:left w:val="none" w:sz="0" w:space="0" w:color="auto"/>
        <w:bottom w:val="none" w:sz="0" w:space="0" w:color="auto"/>
        <w:right w:val="none" w:sz="0" w:space="0" w:color="auto"/>
      </w:divBdr>
    </w:div>
    <w:div w:id="1483086980">
      <w:bodyDiv w:val="1"/>
      <w:marLeft w:val="0"/>
      <w:marRight w:val="0"/>
      <w:marTop w:val="0"/>
      <w:marBottom w:val="0"/>
      <w:divBdr>
        <w:top w:val="none" w:sz="0" w:space="0" w:color="auto"/>
        <w:left w:val="none" w:sz="0" w:space="0" w:color="auto"/>
        <w:bottom w:val="none" w:sz="0" w:space="0" w:color="auto"/>
        <w:right w:val="none" w:sz="0" w:space="0" w:color="auto"/>
      </w:divBdr>
    </w:div>
    <w:div w:id="1483230714">
      <w:bodyDiv w:val="1"/>
      <w:marLeft w:val="0"/>
      <w:marRight w:val="0"/>
      <w:marTop w:val="0"/>
      <w:marBottom w:val="0"/>
      <w:divBdr>
        <w:top w:val="none" w:sz="0" w:space="0" w:color="auto"/>
        <w:left w:val="none" w:sz="0" w:space="0" w:color="auto"/>
        <w:bottom w:val="none" w:sz="0" w:space="0" w:color="auto"/>
        <w:right w:val="none" w:sz="0" w:space="0" w:color="auto"/>
      </w:divBdr>
    </w:div>
    <w:div w:id="1483308194">
      <w:bodyDiv w:val="1"/>
      <w:marLeft w:val="0"/>
      <w:marRight w:val="0"/>
      <w:marTop w:val="0"/>
      <w:marBottom w:val="0"/>
      <w:divBdr>
        <w:top w:val="none" w:sz="0" w:space="0" w:color="auto"/>
        <w:left w:val="none" w:sz="0" w:space="0" w:color="auto"/>
        <w:bottom w:val="none" w:sz="0" w:space="0" w:color="auto"/>
        <w:right w:val="none" w:sz="0" w:space="0" w:color="auto"/>
      </w:divBdr>
    </w:div>
    <w:div w:id="1483346198">
      <w:bodyDiv w:val="1"/>
      <w:marLeft w:val="0"/>
      <w:marRight w:val="0"/>
      <w:marTop w:val="0"/>
      <w:marBottom w:val="0"/>
      <w:divBdr>
        <w:top w:val="none" w:sz="0" w:space="0" w:color="auto"/>
        <w:left w:val="none" w:sz="0" w:space="0" w:color="auto"/>
        <w:bottom w:val="none" w:sz="0" w:space="0" w:color="auto"/>
        <w:right w:val="none" w:sz="0" w:space="0" w:color="auto"/>
      </w:divBdr>
    </w:div>
    <w:div w:id="1483497144">
      <w:bodyDiv w:val="1"/>
      <w:marLeft w:val="0"/>
      <w:marRight w:val="0"/>
      <w:marTop w:val="0"/>
      <w:marBottom w:val="0"/>
      <w:divBdr>
        <w:top w:val="none" w:sz="0" w:space="0" w:color="auto"/>
        <w:left w:val="none" w:sz="0" w:space="0" w:color="auto"/>
        <w:bottom w:val="none" w:sz="0" w:space="0" w:color="auto"/>
        <w:right w:val="none" w:sz="0" w:space="0" w:color="auto"/>
      </w:divBdr>
    </w:div>
    <w:div w:id="1483501491">
      <w:bodyDiv w:val="1"/>
      <w:marLeft w:val="0"/>
      <w:marRight w:val="0"/>
      <w:marTop w:val="0"/>
      <w:marBottom w:val="0"/>
      <w:divBdr>
        <w:top w:val="none" w:sz="0" w:space="0" w:color="auto"/>
        <w:left w:val="none" w:sz="0" w:space="0" w:color="auto"/>
        <w:bottom w:val="none" w:sz="0" w:space="0" w:color="auto"/>
        <w:right w:val="none" w:sz="0" w:space="0" w:color="auto"/>
      </w:divBdr>
    </w:div>
    <w:div w:id="1483541345">
      <w:bodyDiv w:val="1"/>
      <w:marLeft w:val="0"/>
      <w:marRight w:val="0"/>
      <w:marTop w:val="0"/>
      <w:marBottom w:val="0"/>
      <w:divBdr>
        <w:top w:val="none" w:sz="0" w:space="0" w:color="auto"/>
        <w:left w:val="none" w:sz="0" w:space="0" w:color="auto"/>
        <w:bottom w:val="none" w:sz="0" w:space="0" w:color="auto"/>
        <w:right w:val="none" w:sz="0" w:space="0" w:color="auto"/>
      </w:divBdr>
    </w:div>
    <w:div w:id="1483622388">
      <w:bodyDiv w:val="1"/>
      <w:marLeft w:val="0"/>
      <w:marRight w:val="0"/>
      <w:marTop w:val="0"/>
      <w:marBottom w:val="0"/>
      <w:divBdr>
        <w:top w:val="none" w:sz="0" w:space="0" w:color="auto"/>
        <w:left w:val="none" w:sz="0" w:space="0" w:color="auto"/>
        <w:bottom w:val="none" w:sz="0" w:space="0" w:color="auto"/>
        <w:right w:val="none" w:sz="0" w:space="0" w:color="auto"/>
      </w:divBdr>
    </w:div>
    <w:div w:id="1483690789">
      <w:bodyDiv w:val="1"/>
      <w:marLeft w:val="0"/>
      <w:marRight w:val="0"/>
      <w:marTop w:val="0"/>
      <w:marBottom w:val="0"/>
      <w:divBdr>
        <w:top w:val="none" w:sz="0" w:space="0" w:color="auto"/>
        <w:left w:val="none" w:sz="0" w:space="0" w:color="auto"/>
        <w:bottom w:val="none" w:sz="0" w:space="0" w:color="auto"/>
        <w:right w:val="none" w:sz="0" w:space="0" w:color="auto"/>
      </w:divBdr>
    </w:div>
    <w:div w:id="1483736587">
      <w:bodyDiv w:val="1"/>
      <w:marLeft w:val="0"/>
      <w:marRight w:val="0"/>
      <w:marTop w:val="0"/>
      <w:marBottom w:val="0"/>
      <w:divBdr>
        <w:top w:val="none" w:sz="0" w:space="0" w:color="auto"/>
        <w:left w:val="none" w:sz="0" w:space="0" w:color="auto"/>
        <w:bottom w:val="none" w:sz="0" w:space="0" w:color="auto"/>
        <w:right w:val="none" w:sz="0" w:space="0" w:color="auto"/>
      </w:divBdr>
    </w:div>
    <w:div w:id="1483738795">
      <w:bodyDiv w:val="1"/>
      <w:marLeft w:val="0"/>
      <w:marRight w:val="0"/>
      <w:marTop w:val="0"/>
      <w:marBottom w:val="0"/>
      <w:divBdr>
        <w:top w:val="none" w:sz="0" w:space="0" w:color="auto"/>
        <w:left w:val="none" w:sz="0" w:space="0" w:color="auto"/>
        <w:bottom w:val="none" w:sz="0" w:space="0" w:color="auto"/>
        <w:right w:val="none" w:sz="0" w:space="0" w:color="auto"/>
      </w:divBdr>
    </w:div>
    <w:div w:id="1483959930">
      <w:bodyDiv w:val="1"/>
      <w:marLeft w:val="0"/>
      <w:marRight w:val="0"/>
      <w:marTop w:val="0"/>
      <w:marBottom w:val="0"/>
      <w:divBdr>
        <w:top w:val="none" w:sz="0" w:space="0" w:color="auto"/>
        <w:left w:val="none" w:sz="0" w:space="0" w:color="auto"/>
        <w:bottom w:val="none" w:sz="0" w:space="0" w:color="auto"/>
        <w:right w:val="none" w:sz="0" w:space="0" w:color="auto"/>
      </w:divBdr>
    </w:div>
    <w:div w:id="1484010792">
      <w:bodyDiv w:val="1"/>
      <w:marLeft w:val="0"/>
      <w:marRight w:val="0"/>
      <w:marTop w:val="0"/>
      <w:marBottom w:val="0"/>
      <w:divBdr>
        <w:top w:val="none" w:sz="0" w:space="0" w:color="auto"/>
        <w:left w:val="none" w:sz="0" w:space="0" w:color="auto"/>
        <w:bottom w:val="none" w:sz="0" w:space="0" w:color="auto"/>
        <w:right w:val="none" w:sz="0" w:space="0" w:color="auto"/>
      </w:divBdr>
    </w:div>
    <w:div w:id="1484274383">
      <w:bodyDiv w:val="1"/>
      <w:marLeft w:val="0"/>
      <w:marRight w:val="0"/>
      <w:marTop w:val="0"/>
      <w:marBottom w:val="0"/>
      <w:divBdr>
        <w:top w:val="none" w:sz="0" w:space="0" w:color="auto"/>
        <w:left w:val="none" w:sz="0" w:space="0" w:color="auto"/>
        <w:bottom w:val="none" w:sz="0" w:space="0" w:color="auto"/>
        <w:right w:val="none" w:sz="0" w:space="0" w:color="auto"/>
      </w:divBdr>
    </w:div>
    <w:div w:id="1484345399">
      <w:bodyDiv w:val="1"/>
      <w:marLeft w:val="0"/>
      <w:marRight w:val="0"/>
      <w:marTop w:val="0"/>
      <w:marBottom w:val="0"/>
      <w:divBdr>
        <w:top w:val="none" w:sz="0" w:space="0" w:color="auto"/>
        <w:left w:val="none" w:sz="0" w:space="0" w:color="auto"/>
        <w:bottom w:val="none" w:sz="0" w:space="0" w:color="auto"/>
        <w:right w:val="none" w:sz="0" w:space="0" w:color="auto"/>
      </w:divBdr>
    </w:div>
    <w:div w:id="1484348077">
      <w:bodyDiv w:val="1"/>
      <w:marLeft w:val="0"/>
      <w:marRight w:val="0"/>
      <w:marTop w:val="0"/>
      <w:marBottom w:val="0"/>
      <w:divBdr>
        <w:top w:val="none" w:sz="0" w:space="0" w:color="auto"/>
        <w:left w:val="none" w:sz="0" w:space="0" w:color="auto"/>
        <w:bottom w:val="none" w:sz="0" w:space="0" w:color="auto"/>
        <w:right w:val="none" w:sz="0" w:space="0" w:color="auto"/>
      </w:divBdr>
    </w:div>
    <w:div w:id="1484348881">
      <w:bodyDiv w:val="1"/>
      <w:marLeft w:val="0"/>
      <w:marRight w:val="0"/>
      <w:marTop w:val="0"/>
      <w:marBottom w:val="0"/>
      <w:divBdr>
        <w:top w:val="none" w:sz="0" w:space="0" w:color="auto"/>
        <w:left w:val="none" w:sz="0" w:space="0" w:color="auto"/>
        <w:bottom w:val="none" w:sz="0" w:space="0" w:color="auto"/>
        <w:right w:val="none" w:sz="0" w:space="0" w:color="auto"/>
      </w:divBdr>
    </w:div>
    <w:div w:id="1484469622">
      <w:bodyDiv w:val="1"/>
      <w:marLeft w:val="0"/>
      <w:marRight w:val="0"/>
      <w:marTop w:val="0"/>
      <w:marBottom w:val="0"/>
      <w:divBdr>
        <w:top w:val="none" w:sz="0" w:space="0" w:color="auto"/>
        <w:left w:val="none" w:sz="0" w:space="0" w:color="auto"/>
        <w:bottom w:val="none" w:sz="0" w:space="0" w:color="auto"/>
        <w:right w:val="none" w:sz="0" w:space="0" w:color="auto"/>
      </w:divBdr>
    </w:div>
    <w:div w:id="1484540342">
      <w:bodyDiv w:val="1"/>
      <w:marLeft w:val="0"/>
      <w:marRight w:val="0"/>
      <w:marTop w:val="0"/>
      <w:marBottom w:val="0"/>
      <w:divBdr>
        <w:top w:val="none" w:sz="0" w:space="0" w:color="auto"/>
        <w:left w:val="none" w:sz="0" w:space="0" w:color="auto"/>
        <w:bottom w:val="none" w:sz="0" w:space="0" w:color="auto"/>
        <w:right w:val="none" w:sz="0" w:space="0" w:color="auto"/>
      </w:divBdr>
    </w:div>
    <w:div w:id="1484544812">
      <w:bodyDiv w:val="1"/>
      <w:marLeft w:val="0"/>
      <w:marRight w:val="0"/>
      <w:marTop w:val="0"/>
      <w:marBottom w:val="0"/>
      <w:divBdr>
        <w:top w:val="none" w:sz="0" w:space="0" w:color="auto"/>
        <w:left w:val="none" w:sz="0" w:space="0" w:color="auto"/>
        <w:bottom w:val="none" w:sz="0" w:space="0" w:color="auto"/>
        <w:right w:val="none" w:sz="0" w:space="0" w:color="auto"/>
      </w:divBdr>
    </w:div>
    <w:div w:id="1484619639">
      <w:bodyDiv w:val="1"/>
      <w:marLeft w:val="0"/>
      <w:marRight w:val="0"/>
      <w:marTop w:val="0"/>
      <w:marBottom w:val="0"/>
      <w:divBdr>
        <w:top w:val="none" w:sz="0" w:space="0" w:color="auto"/>
        <w:left w:val="none" w:sz="0" w:space="0" w:color="auto"/>
        <w:bottom w:val="none" w:sz="0" w:space="0" w:color="auto"/>
        <w:right w:val="none" w:sz="0" w:space="0" w:color="auto"/>
      </w:divBdr>
    </w:div>
    <w:div w:id="1484808119">
      <w:bodyDiv w:val="1"/>
      <w:marLeft w:val="0"/>
      <w:marRight w:val="0"/>
      <w:marTop w:val="0"/>
      <w:marBottom w:val="0"/>
      <w:divBdr>
        <w:top w:val="none" w:sz="0" w:space="0" w:color="auto"/>
        <w:left w:val="none" w:sz="0" w:space="0" w:color="auto"/>
        <w:bottom w:val="none" w:sz="0" w:space="0" w:color="auto"/>
        <w:right w:val="none" w:sz="0" w:space="0" w:color="auto"/>
      </w:divBdr>
    </w:div>
    <w:div w:id="1484851257">
      <w:bodyDiv w:val="1"/>
      <w:marLeft w:val="0"/>
      <w:marRight w:val="0"/>
      <w:marTop w:val="0"/>
      <w:marBottom w:val="0"/>
      <w:divBdr>
        <w:top w:val="none" w:sz="0" w:space="0" w:color="auto"/>
        <w:left w:val="none" w:sz="0" w:space="0" w:color="auto"/>
        <w:bottom w:val="none" w:sz="0" w:space="0" w:color="auto"/>
        <w:right w:val="none" w:sz="0" w:space="0" w:color="auto"/>
      </w:divBdr>
    </w:div>
    <w:div w:id="1484856519">
      <w:bodyDiv w:val="1"/>
      <w:marLeft w:val="0"/>
      <w:marRight w:val="0"/>
      <w:marTop w:val="0"/>
      <w:marBottom w:val="0"/>
      <w:divBdr>
        <w:top w:val="none" w:sz="0" w:space="0" w:color="auto"/>
        <w:left w:val="none" w:sz="0" w:space="0" w:color="auto"/>
        <w:bottom w:val="none" w:sz="0" w:space="0" w:color="auto"/>
        <w:right w:val="none" w:sz="0" w:space="0" w:color="auto"/>
      </w:divBdr>
    </w:div>
    <w:div w:id="1484928204">
      <w:bodyDiv w:val="1"/>
      <w:marLeft w:val="0"/>
      <w:marRight w:val="0"/>
      <w:marTop w:val="0"/>
      <w:marBottom w:val="0"/>
      <w:divBdr>
        <w:top w:val="none" w:sz="0" w:space="0" w:color="auto"/>
        <w:left w:val="none" w:sz="0" w:space="0" w:color="auto"/>
        <w:bottom w:val="none" w:sz="0" w:space="0" w:color="auto"/>
        <w:right w:val="none" w:sz="0" w:space="0" w:color="auto"/>
      </w:divBdr>
    </w:div>
    <w:div w:id="1484934151">
      <w:bodyDiv w:val="1"/>
      <w:marLeft w:val="0"/>
      <w:marRight w:val="0"/>
      <w:marTop w:val="0"/>
      <w:marBottom w:val="0"/>
      <w:divBdr>
        <w:top w:val="none" w:sz="0" w:space="0" w:color="auto"/>
        <w:left w:val="none" w:sz="0" w:space="0" w:color="auto"/>
        <w:bottom w:val="none" w:sz="0" w:space="0" w:color="auto"/>
        <w:right w:val="none" w:sz="0" w:space="0" w:color="auto"/>
      </w:divBdr>
    </w:div>
    <w:div w:id="1485050805">
      <w:bodyDiv w:val="1"/>
      <w:marLeft w:val="0"/>
      <w:marRight w:val="0"/>
      <w:marTop w:val="0"/>
      <w:marBottom w:val="0"/>
      <w:divBdr>
        <w:top w:val="none" w:sz="0" w:space="0" w:color="auto"/>
        <w:left w:val="none" w:sz="0" w:space="0" w:color="auto"/>
        <w:bottom w:val="none" w:sz="0" w:space="0" w:color="auto"/>
        <w:right w:val="none" w:sz="0" w:space="0" w:color="auto"/>
      </w:divBdr>
    </w:div>
    <w:div w:id="1485077268">
      <w:bodyDiv w:val="1"/>
      <w:marLeft w:val="0"/>
      <w:marRight w:val="0"/>
      <w:marTop w:val="0"/>
      <w:marBottom w:val="0"/>
      <w:divBdr>
        <w:top w:val="none" w:sz="0" w:space="0" w:color="auto"/>
        <w:left w:val="none" w:sz="0" w:space="0" w:color="auto"/>
        <w:bottom w:val="none" w:sz="0" w:space="0" w:color="auto"/>
        <w:right w:val="none" w:sz="0" w:space="0" w:color="auto"/>
      </w:divBdr>
    </w:div>
    <w:div w:id="1485243778">
      <w:bodyDiv w:val="1"/>
      <w:marLeft w:val="0"/>
      <w:marRight w:val="0"/>
      <w:marTop w:val="0"/>
      <w:marBottom w:val="0"/>
      <w:divBdr>
        <w:top w:val="none" w:sz="0" w:space="0" w:color="auto"/>
        <w:left w:val="none" w:sz="0" w:space="0" w:color="auto"/>
        <w:bottom w:val="none" w:sz="0" w:space="0" w:color="auto"/>
        <w:right w:val="none" w:sz="0" w:space="0" w:color="auto"/>
      </w:divBdr>
    </w:div>
    <w:div w:id="1485314738">
      <w:bodyDiv w:val="1"/>
      <w:marLeft w:val="0"/>
      <w:marRight w:val="0"/>
      <w:marTop w:val="0"/>
      <w:marBottom w:val="0"/>
      <w:divBdr>
        <w:top w:val="none" w:sz="0" w:space="0" w:color="auto"/>
        <w:left w:val="none" w:sz="0" w:space="0" w:color="auto"/>
        <w:bottom w:val="none" w:sz="0" w:space="0" w:color="auto"/>
        <w:right w:val="none" w:sz="0" w:space="0" w:color="auto"/>
      </w:divBdr>
    </w:div>
    <w:div w:id="1485393326">
      <w:bodyDiv w:val="1"/>
      <w:marLeft w:val="0"/>
      <w:marRight w:val="0"/>
      <w:marTop w:val="0"/>
      <w:marBottom w:val="0"/>
      <w:divBdr>
        <w:top w:val="none" w:sz="0" w:space="0" w:color="auto"/>
        <w:left w:val="none" w:sz="0" w:space="0" w:color="auto"/>
        <w:bottom w:val="none" w:sz="0" w:space="0" w:color="auto"/>
        <w:right w:val="none" w:sz="0" w:space="0" w:color="auto"/>
      </w:divBdr>
    </w:div>
    <w:div w:id="1485469187">
      <w:bodyDiv w:val="1"/>
      <w:marLeft w:val="0"/>
      <w:marRight w:val="0"/>
      <w:marTop w:val="0"/>
      <w:marBottom w:val="0"/>
      <w:divBdr>
        <w:top w:val="none" w:sz="0" w:space="0" w:color="auto"/>
        <w:left w:val="none" w:sz="0" w:space="0" w:color="auto"/>
        <w:bottom w:val="none" w:sz="0" w:space="0" w:color="auto"/>
        <w:right w:val="none" w:sz="0" w:space="0" w:color="auto"/>
      </w:divBdr>
    </w:div>
    <w:div w:id="1485580540">
      <w:bodyDiv w:val="1"/>
      <w:marLeft w:val="0"/>
      <w:marRight w:val="0"/>
      <w:marTop w:val="0"/>
      <w:marBottom w:val="0"/>
      <w:divBdr>
        <w:top w:val="none" w:sz="0" w:space="0" w:color="auto"/>
        <w:left w:val="none" w:sz="0" w:space="0" w:color="auto"/>
        <w:bottom w:val="none" w:sz="0" w:space="0" w:color="auto"/>
        <w:right w:val="none" w:sz="0" w:space="0" w:color="auto"/>
      </w:divBdr>
    </w:div>
    <w:div w:id="1485584284">
      <w:bodyDiv w:val="1"/>
      <w:marLeft w:val="0"/>
      <w:marRight w:val="0"/>
      <w:marTop w:val="0"/>
      <w:marBottom w:val="0"/>
      <w:divBdr>
        <w:top w:val="none" w:sz="0" w:space="0" w:color="auto"/>
        <w:left w:val="none" w:sz="0" w:space="0" w:color="auto"/>
        <w:bottom w:val="none" w:sz="0" w:space="0" w:color="auto"/>
        <w:right w:val="none" w:sz="0" w:space="0" w:color="auto"/>
      </w:divBdr>
    </w:div>
    <w:div w:id="1485587609">
      <w:bodyDiv w:val="1"/>
      <w:marLeft w:val="0"/>
      <w:marRight w:val="0"/>
      <w:marTop w:val="0"/>
      <w:marBottom w:val="0"/>
      <w:divBdr>
        <w:top w:val="none" w:sz="0" w:space="0" w:color="auto"/>
        <w:left w:val="none" w:sz="0" w:space="0" w:color="auto"/>
        <w:bottom w:val="none" w:sz="0" w:space="0" w:color="auto"/>
        <w:right w:val="none" w:sz="0" w:space="0" w:color="auto"/>
      </w:divBdr>
    </w:div>
    <w:div w:id="1485706583">
      <w:bodyDiv w:val="1"/>
      <w:marLeft w:val="0"/>
      <w:marRight w:val="0"/>
      <w:marTop w:val="0"/>
      <w:marBottom w:val="0"/>
      <w:divBdr>
        <w:top w:val="none" w:sz="0" w:space="0" w:color="auto"/>
        <w:left w:val="none" w:sz="0" w:space="0" w:color="auto"/>
        <w:bottom w:val="none" w:sz="0" w:space="0" w:color="auto"/>
        <w:right w:val="none" w:sz="0" w:space="0" w:color="auto"/>
      </w:divBdr>
    </w:div>
    <w:div w:id="1485731899">
      <w:bodyDiv w:val="1"/>
      <w:marLeft w:val="0"/>
      <w:marRight w:val="0"/>
      <w:marTop w:val="0"/>
      <w:marBottom w:val="0"/>
      <w:divBdr>
        <w:top w:val="none" w:sz="0" w:space="0" w:color="auto"/>
        <w:left w:val="none" w:sz="0" w:space="0" w:color="auto"/>
        <w:bottom w:val="none" w:sz="0" w:space="0" w:color="auto"/>
        <w:right w:val="none" w:sz="0" w:space="0" w:color="auto"/>
      </w:divBdr>
    </w:div>
    <w:div w:id="1485777865">
      <w:bodyDiv w:val="1"/>
      <w:marLeft w:val="0"/>
      <w:marRight w:val="0"/>
      <w:marTop w:val="0"/>
      <w:marBottom w:val="0"/>
      <w:divBdr>
        <w:top w:val="none" w:sz="0" w:space="0" w:color="auto"/>
        <w:left w:val="none" w:sz="0" w:space="0" w:color="auto"/>
        <w:bottom w:val="none" w:sz="0" w:space="0" w:color="auto"/>
        <w:right w:val="none" w:sz="0" w:space="0" w:color="auto"/>
      </w:divBdr>
    </w:div>
    <w:div w:id="1485854714">
      <w:bodyDiv w:val="1"/>
      <w:marLeft w:val="0"/>
      <w:marRight w:val="0"/>
      <w:marTop w:val="0"/>
      <w:marBottom w:val="0"/>
      <w:divBdr>
        <w:top w:val="none" w:sz="0" w:space="0" w:color="auto"/>
        <w:left w:val="none" w:sz="0" w:space="0" w:color="auto"/>
        <w:bottom w:val="none" w:sz="0" w:space="0" w:color="auto"/>
        <w:right w:val="none" w:sz="0" w:space="0" w:color="auto"/>
      </w:divBdr>
    </w:div>
    <w:div w:id="1485858216">
      <w:bodyDiv w:val="1"/>
      <w:marLeft w:val="0"/>
      <w:marRight w:val="0"/>
      <w:marTop w:val="0"/>
      <w:marBottom w:val="0"/>
      <w:divBdr>
        <w:top w:val="none" w:sz="0" w:space="0" w:color="auto"/>
        <w:left w:val="none" w:sz="0" w:space="0" w:color="auto"/>
        <w:bottom w:val="none" w:sz="0" w:space="0" w:color="auto"/>
        <w:right w:val="none" w:sz="0" w:space="0" w:color="auto"/>
      </w:divBdr>
    </w:div>
    <w:div w:id="1485898617">
      <w:bodyDiv w:val="1"/>
      <w:marLeft w:val="0"/>
      <w:marRight w:val="0"/>
      <w:marTop w:val="0"/>
      <w:marBottom w:val="0"/>
      <w:divBdr>
        <w:top w:val="none" w:sz="0" w:space="0" w:color="auto"/>
        <w:left w:val="none" w:sz="0" w:space="0" w:color="auto"/>
        <w:bottom w:val="none" w:sz="0" w:space="0" w:color="auto"/>
        <w:right w:val="none" w:sz="0" w:space="0" w:color="auto"/>
      </w:divBdr>
    </w:div>
    <w:div w:id="1485899060">
      <w:bodyDiv w:val="1"/>
      <w:marLeft w:val="0"/>
      <w:marRight w:val="0"/>
      <w:marTop w:val="0"/>
      <w:marBottom w:val="0"/>
      <w:divBdr>
        <w:top w:val="none" w:sz="0" w:space="0" w:color="auto"/>
        <w:left w:val="none" w:sz="0" w:space="0" w:color="auto"/>
        <w:bottom w:val="none" w:sz="0" w:space="0" w:color="auto"/>
        <w:right w:val="none" w:sz="0" w:space="0" w:color="auto"/>
      </w:divBdr>
    </w:div>
    <w:div w:id="1485974699">
      <w:bodyDiv w:val="1"/>
      <w:marLeft w:val="0"/>
      <w:marRight w:val="0"/>
      <w:marTop w:val="0"/>
      <w:marBottom w:val="0"/>
      <w:divBdr>
        <w:top w:val="none" w:sz="0" w:space="0" w:color="auto"/>
        <w:left w:val="none" w:sz="0" w:space="0" w:color="auto"/>
        <w:bottom w:val="none" w:sz="0" w:space="0" w:color="auto"/>
        <w:right w:val="none" w:sz="0" w:space="0" w:color="auto"/>
      </w:divBdr>
    </w:div>
    <w:div w:id="1486043224">
      <w:bodyDiv w:val="1"/>
      <w:marLeft w:val="0"/>
      <w:marRight w:val="0"/>
      <w:marTop w:val="0"/>
      <w:marBottom w:val="0"/>
      <w:divBdr>
        <w:top w:val="none" w:sz="0" w:space="0" w:color="auto"/>
        <w:left w:val="none" w:sz="0" w:space="0" w:color="auto"/>
        <w:bottom w:val="none" w:sz="0" w:space="0" w:color="auto"/>
        <w:right w:val="none" w:sz="0" w:space="0" w:color="auto"/>
      </w:divBdr>
    </w:div>
    <w:div w:id="1486044955">
      <w:bodyDiv w:val="1"/>
      <w:marLeft w:val="0"/>
      <w:marRight w:val="0"/>
      <w:marTop w:val="0"/>
      <w:marBottom w:val="0"/>
      <w:divBdr>
        <w:top w:val="none" w:sz="0" w:space="0" w:color="auto"/>
        <w:left w:val="none" w:sz="0" w:space="0" w:color="auto"/>
        <w:bottom w:val="none" w:sz="0" w:space="0" w:color="auto"/>
        <w:right w:val="none" w:sz="0" w:space="0" w:color="auto"/>
      </w:divBdr>
    </w:div>
    <w:div w:id="1486051794">
      <w:bodyDiv w:val="1"/>
      <w:marLeft w:val="0"/>
      <w:marRight w:val="0"/>
      <w:marTop w:val="0"/>
      <w:marBottom w:val="0"/>
      <w:divBdr>
        <w:top w:val="none" w:sz="0" w:space="0" w:color="auto"/>
        <w:left w:val="none" w:sz="0" w:space="0" w:color="auto"/>
        <w:bottom w:val="none" w:sz="0" w:space="0" w:color="auto"/>
        <w:right w:val="none" w:sz="0" w:space="0" w:color="auto"/>
      </w:divBdr>
    </w:div>
    <w:div w:id="1486160956">
      <w:bodyDiv w:val="1"/>
      <w:marLeft w:val="0"/>
      <w:marRight w:val="0"/>
      <w:marTop w:val="0"/>
      <w:marBottom w:val="0"/>
      <w:divBdr>
        <w:top w:val="none" w:sz="0" w:space="0" w:color="auto"/>
        <w:left w:val="none" w:sz="0" w:space="0" w:color="auto"/>
        <w:bottom w:val="none" w:sz="0" w:space="0" w:color="auto"/>
        <w:right w:val="none" w:sz="0" w:space="0" w:color="auto"/>
      </w:divBdr>
    </w:div>
    <w:div w:id="1486162778">
      <w:bodyDiv w:val="1"/>
      <w:marLeft w:val="0"/>
      <w:marRight w:val="0"/>
      <w:marTop w:val="0"/>
      <w:marBottom w:val="0"/>
      <w:divBdr>
        <w:top w:val="none" w:sz="0" w:space="0" w:color="auto"/>
        <w:left w:val="none" w:sz="0" w:space="0" w:color="auto"/>
        <w:bottom w:val="none" w:sz="0" w:space="0" w:color="auto"/>
        <w:right w:val="none" w:sz="0" w:space="0" w:color="auto"/>
      </w:divBdr>
    </w:div>
    <w:div w:id="1486169695">
      <w:bodyDiv w:val="1"/>
      <w:marLeft w:val="0"/>
      <w:marRight w:val="0"/>
      <w:marTop w:val="0"/>
      <w:marBottom w:val="0"/>
      <w:divBdr>
        <w:top w:val="none" w:sz="0" w:space="0" w:color="auto"/>
        <w:left w:val="none" w:sz="0" w:space="0" w:color="auto"/>
        <w:bottom w:val="none" w:sz="0" w:space="0" w:color="auto"/>
        <w:right w:val="none" w:sz="0" w:space="0" w:color="auto"/>
      </w:divBdr>
    </w:div>
    <w:div w:id="1486169698">
      <w:bodyDiv w:val="1"/>
      <w:marLeft w:val="0"/>
      <w:marRight w:val="0"/>
      <w:marTop w:val="0"/>
      <w:marBottom w:val="0"/>
      <w:divBdr>
        <w:top w:val="none" w:sz="0" w:space="0" w:color="auto"/>
        <w:left w:val="none" w:sz="0" w:space="0" w:color="auto"/>
        <w:bottom w:val="none" w:sz="0" w:space="0" w:color="auto"/>
        <w:right w:val="none" w:sz="0" w:space="0" w:color="auto"/>
      </w:divBdr>
    </w:div>
    <w:div w:id="1486237824">
      <w:bodyDiv w:val="1"/>
      <w:marLeft w:val="0"/>
      <w:marRight w:val="0"/>
      <w:marTop w:val="0"/>
      <w:marBottom w:val="0"/>
      <w:divBdr>
        <w:top w:val="none" w:sz="0" w:space="0" w:color="auto"/>
        <w:left w:val="none" w:sz="0" w:space="0" w:color="auto"/>
        <w:bottom w:val="none" w:sz="0" w:space="0" w:color="auto"/>
        <w:right w:val="none" w:sz="0" w:space="0" w:color="auto"/>
      </w:divBdr>
    </w:div>
    <w:div w:id="1486581360">
      <w:bodyDiv w:val="1"/>
      <w:marLeft w:val="0"/>
      <w:marRight w:val="0"/>
      <w:marTop w:val="0"/>
      <w:marBottom w:val="0"/>
      <w:divBdr>
        <w:top w:val="none" w:sz="0" w:space="0" w:color="auto"/>
        <w:left w:val="none" w:sz="0" w:space="0" w:color="auto"/>
        <w:bottom w:val="none" w:sz="0" w:space="0" w:color="auto"/>
        <w:right w:val="none" w:sz="0" w:space="0" w:color="auto"/>
      </w:divBdr>
    </w:div>
    <w:div w:id="1486585033">
      <w:bodyDiv w:val="1"/>
      <w:marLeft w:val="0"/>
      <w:marRight w:val="0"/>
      <w:marTop w:val="0"/>
      <w:marBottom w:val="0"/>
      <w:divBdr>
        <w:top w:val="none" w:sz="0" w:space="0" w:color="auto"/>
        <w:left w:val="none" w:sz="0" w:space="0" w:color="auto"/>
        <w:bottom w:val="none" w:sz="0" w:space="0" w:color="auto"/>
        <w:right w:val="none" w:sz="0" w:space="0" w:color="auto"/>
      </w:divBdr>
    </w:div>
    <w:div w:id="1486627135">
      <w:bodyDiv w:val="1"/>
      <w:marLeft w:val="0"/>
      <w:marRight w:val="0"/>
      <w:marTop w:val="0"/>
      <w:marBottom w:val="0"/>
      <w:divBdr>
        <w:top w:val="none" w:sz="0" w:space="0" w:color="auto"/>
        <w:left w:val="none" w:sz="0" w:space="0" w:color="auto"/>
        <w:bottom w:val="none" w:sz="0" w:space="0" w:color="auto"/>
        <w:right w:val="none" w:sz="0" w:space="0" w:color="auto"/>
      </w:divBdr>
    </w:div>
    <w:div w:id="1486627494">
      <w:bodyDiv w:val="1"/>
      <w:marLeft w:val="0"/>
      <w:marRight w:val="0"/>
      <w:marTop w:val="0"/>
      <w:marBottom w:val="0"/>
      <w:divBdr>
        <w:top w:val="none" w:sz="0" w:space="0" w:color="auto"/>
        <w:left w:val="none" w:sz="0" w:space="0" w:color="auto"/>
        <w:bottom w:val="none" w:sz="0" w:space="0" w:color="auto"/>
        <w:right w:val="none" w:sz="0" w:space="0" w:color="auto"/>
      </w:divBdr>
    </w:div>
    <w:div w:id="1486697952">
      <w:bodyDiv w:val="1"/>
      <w:marLeft w:val="0"/>
      <w:marRight w:val="0"/>
      <w:marTop w:val="0"/>
      <w:marBottom w:val="0"/>
      <w:divBdr>
        <w:top w:val="none" w:sz="0" w:space="0" w:color="auto"/>
        <w:left w:val="none" w:sz="0" w:space="0" w:color="auto"/>
        <w:bottom w:val="none" w:sz="0" w:space="0" w:color="auto"/>
        <w:right w:val="none" w:sz="0" w:space="0" w:color="auto"/>
      </w:divBdr>
    </w:div>
    <w:div w:id="1486706406">
      <w:bodyDiv w:val="1"/>
      <w:marLeft w:val="0"/>
      <w:marRight w:val="0"/>
      <w:marTop w:val="0"/>
      <w:marBottom w:val="0"/>
      <w:divBdr>
        <w:top w:val="none" w:sz="0" w:space="0" w:color="auto"/>
        <w:left w:val="none" w:sz="0" w:space="0" w:color="auto"/>
        <w:bottom w:val="none" w:sz="0" w:space="0" w:color="auto"/>
        <w:right w:val="none" w:sz="0" w:space="0" w:color="auto"/>
      </w:divBdr>
    </w:div>
    <w:div w:id="1486774761">
      <w:bodyDiv w:val="1"/>
      <w:marLeft w:val="0"/>
      <w:marRight w:val="0"/>
      <w:marTop w:val="0"/>
      <w:marBottom w:val="0"/>
      <w:divBdr>
        <w:top w:val="none" w:sz="0" w:space="0" w:color="auto"/>
        <w:left w:val="none" w:sz="0" w:space="0" w:color="auto"/>
        <w:bottom w:val="none" w:sz="0" w:space="0" w:color="auto"/>
        <w:right w:val="none" w:sz="0" w:space="0" w:color="auto"/>
      </w:divBdr>
    </w:div>
    <w:div w:id="1486776438">
      <w:bodyDiv w:val="1"/>
      <w:marLeft w:val="0"/>
      <w:marRight w:val="0"/>
      <w:marTop w:val="0"/>
      <w:marBottom w:val="0"/>
      <w:divBdr>
        <w:top w:val="none" w:sz="0" w:space="0" w:color="auto"/>
        <w:left w:val="none" w:sz="0" w:space="0" w:color="auto"/>
        <w:bottom w:val="none" w:sz="0" w:space="0" w:color="auto"/>
        <w:right w:val="none" w:sz="0" w:space="0" w:color="auto"/>
      </w:divBdr>
    </w:div>
    <w:div w:id="1486824156">
      <w:bodyDiv w:val="1"/>
      <w:marLeft w:val="0"/>
      <w:marRight w:val="0"/>
      <w:marTop w:val="0"/>
      <w:marBottom w:val="0"/>
      <w:divBdr>
        <w:top w:val="none" w:sz="0" w:space="0" w:color="auto"/>
        <w:left w:val="none" w:sz="0" w:space="0" w:color="auto"/>
        <w:bottom w:val="none" w:sz="0" w:space="0" w:color="auto"/>
        <w:right w:val="none" w:sz="0" w:space="0" w:color="auto"/>
      </w:divBdr>
    </w:div>
    <w:div w:id="1486824910">
      <w:bodyDiv w:val="1"/>
      <w:marLeft w:val="0"/>
      <w:marRight w:val="0"/>
      <w:marTop w:val="0"/>
      <w:marBottom w:val="0"/>
      <w:divBdr>
        <w:top w:val="none" w:sz="0" w:space="0" w:color="auto"/>
        <w:left w:val="none" w:sz="0" w:space="0" w:color="auto"/>
        <w:bottom w:val="none" w:sz="0" w:space="0" w:color="auto"/>
        <w:right w:val="none" w:sz="0" w:space="0" w:color="auto"/>
      </w:divBdr>
    </w:div>
    <w:div w:id="1486900237">
      <w:bodyDiv w:val="1"/>
      <w:marLeft w:val="0"/>
      <w:marRight w:val="0"/>
      <w:marTop w:val="0"/>
      <w:marBottom w:val="0"/>
      <w:divBdr>
        <w:top w:val="none" w:sz="0" w:space="0" w:color="auto"/>
        <w:left w:val="none" w:sz="0" w:space="0" w:color="auto"/>
        <w:bottom w:val="none" w:sz="0" w:space="0" w:color="auto"/>
        <w:right w:val="none" w:sz="0" w:space="0" w:color="auto"/>
      </w:divBdr>
    </w:div>
    <w:div w:id="1486972884">
      <w:bodyDiv w:val="1"/>
      <w:marLeft w:val="0"/>
      <w:marRight w:val="0"/>
      <w:marTop w:val="0"/>
      <w:marBottom w:val="0"/>
      <w:divBdr>
        <w:top w:val="none" w:sz="0" w:space="0" w:color="auto"/>
        <w:left w:val="none" w:sz="0" w:space="0" w:color="auto"/>
        <w:bottom w:val="none" w:sz="0" w:space="0" w:color="auto"/>
        <w:right w:val="none" w:sz="0" w:space="0" w:color="auto"/>
      </w:divBdr>
    </w:div>
    <w:div w:id="1486975276">
      <w:bodyDiv w:val="1"/>
      <w:marLeft w:val="0"/>
      <w:marRight w:val="0"/>
      <w:marTop w:val="0"/>
      <w:marBottom w:val="0"/>
      <w:divBdr>
        <w:top w:val="none" w:sz="0" w:space="0" w:color="auto"/>
        <w:left w:val="none" w:sz="0" w:space="0" w:color="auto"/>
        <w:bottom w:val="none" w:sz="0" w:space="0" w:color="auto"/>
        <w:right w:val="none" w:sz="0" w:space="0" w:color="auto"/>
      </w:divBdr>
    </w:div>
    <w:div w:id="1487043084">
      <w:bodyDiv w:val="1"/>
      <w:marLeft w:val="0"/>
      <w:marRight w:val="0"/>
      <w:marTop w:val="0"/>
      <w:marBottom w:val="0"/>
      <w:divBdr>
        <w:top w:val="none" w:sz="0" w:space="0" w:color="auto"/>
        <w:left w:val="none" w:sz="0" w:space="0" w:color="auto"/>
        <w:bottom w:val="none" w:sz="0" w:space="0" w:color="auto"/>
        <w:right w:val="none" w:sz="0" w:space="0" w:color="auto"/>
      </w:divBdr>
    </w:div>
    <w:div w:id="1487164099">
      <w:bodyDiv w:val="1"/>
      <w:marLeft w:val="0"/>
      <w:marRight w:val="0"/>
      <w:marTop w:val="0"/>
      <w:marBottom w:val="0"/>
      <w:divBdr>
        <w:top w:val="none" w:sz="0" w:space="0" w:color="auto"/>
        <w:left w:val="none" w:sz="0" w:space="0" w:color="auto"/>
        <w:bottom w:val="none" w:sz="0" w:space="0" w:color="auto"/>
        <w:right w:val="none" w:sz="0" w:space="0" w:color="auto"/>
      </w:divBdr>
    </w:div>
    <w:div w:id="1487165708">
      <w:bodyDiv w:val="1"/>
      <w:marLeft w:val="0"/>
      <w:marRight w:val="0"/>
      <w:marTop w:val="0"/>
      <w:marBottom w:val="0"/>
      <w:divBdr>
        <w:top w:val="none" w:sz="0" w:space="0" w:color="auto"/>
        <w:left w:val="none" w:sz="0" w:space="0" w:color="auto"/>
        <w:bottom w:val="none" w:sz="0" w:space="0" w:color="auto"/>
        <w:right w:val="none" w:sz="0" w:space="0" w:color="auto"/>
      </w:divBdr>
    </w:div>
    <w:div w:id="1487165885">
      <w:bodyDiv w:val="1"/>
      <w:marLeft w:val="0"/>
      <w:marRight w:val="0"/>
      <w:marTop w:val="0"/>
      <w:marBottom w:val="0"/>
      <w:divBdr>
        <w:top w:val="none" w:sz="0" w:space="0" w:color="auto"/>
        <w:left w:val="none" w:sz="0" w:space="0" w:color="auto"/>
        <w:bottom w:val="none" w:sz="0" w:space="0" w:color="auto"/>
        <w:right w:val="none" w:sz="0" w:space="0" w:color="auto"/>
      </w:divBdr>
    </w:div>
    <w:div w:id="1487359218">
      <w:bodyDiv w:val="1"/>
      <w:marLeft w:val="0"/>
      <w:marRight w:val="0"/>
      <w:marTop w:val="0"/>
      <w:marBottom w:val="0"/>
      <w:divBdr>
        <w:top w:val="none" w:sz="0" w:space="0" w:color="auto"/>
        <w:left w:val="none" w:sz="0" w:space="0" w:color="auto"/>
        <w:bottom w:val="none" w:sz="0" w:space="0" w:color="auto"/>
        <w:right w:val="none" w:sz="0" w:space="0" w:color="auto"/>
      </w:divBdr>
    </w:div>
    <w:div w:id="1487478614">
      <w:bodyDiv w:val="1"/>
      <w:marLeft w:val="0"/>
      <w:marRight w:val="0"/>
      <w:marTop w:val="0"/>
      <w:marBottom w:val="0"/>
      <w:divBdr>
        <w:top w:val="none" w:sz="0" w:space="0" w:color="auto"/>
        <w:left w:val="none" w:sz="0" w:space="0" w:color="auto"/>
        <w:bottom w:val="none" w:sz="0" w:space="0" w:color="auto"/>
        <w:right w:val="none" w:sz="0" w:space="0" w:color="auto"/>
      </w:divBdr>
    </w:div>
    <w:div w:id="1487699596">
      <w:bodyDiv w:val="1"/>
      <w:marLeft w:val="0"/>
      <w:marRight w:val="0"/>
      <w:marTop w:val="0"/>
      <w:marBottom w:val="0"/>
      <w:divBdr>
        <w:top w:val="none" w:sz="0" w:space="0" w:color="auto"/>
        <w:left w:val="none" w:sz="0" w:space="0" w:color="auto"/>
        <w:bottom w:val="none" w:sz="0" w:space="0" w:color="auto"/>
        <w:right w:val="none" w:sz="0" w:space="0" w:color="auto"/>
      </w:divBdr>
    </w:div>
    <w:div w:id="1487739672">
      <w:bodyDiv w:val="1"/>
      <w:marLeft w:val="0"/>
      <w:marRight w:val="0"/>
      <w:marTop w:val="0"/>
      <w:marBottom w:val="0"/>
      <w:divBdr>
        <w:top w:val="none" w:sz="0" w:space="0" w:color="auto"/>
        <w:left w:val="none" w:sz="0" w:space="0" w:color="auto"/>
        <w:bottom w:val="none" w:sz="0" w:space="0" w:color="auto"/>
        <w:right w:val="none" w:sz="0" w:space="0" w:color="auto"/>
      </w:divBdr>
    </w:div>
    <w:div w:id="1487741245">
      <w:bodyDiv w:val="1"/>
      <w:marLeft w:val="0"/>
      <w:marRight w:val="0"/>
      <w:marTop w:val="0"/>
      <w:marBottom w:val="0"/>
      <w:divBdr>
        <w:top w:val="none" w:sz="0" w:space="0" w:color="auto"/>
        <w:left w:val="none" w:sz="0" w:space="0" w:color="auto"/>
        <w:bottom w:val="none" w:sz="0" w:space="0" w:color="auto"/>
        <w:right w:val="none" w:sz="0" w:space="0" w:color="auto"/>
      </w:divBdr>
    </w:div>
    <w:div w:id="1487746393">
      <w:bodyDiv w:val="1"/>
      <w:marLeft w:val="0"/>
      <w:marRight w:val="0"/>
      <w:marTop w:val="0"/>
      <w:marBottom w:val="0"/>
      <w:divBdr>
        <w:top w:val="none" w:sz="0" w:space="0" w:color="auto"/>
        <w:left w:val="none" w:sz="0" w:space="0" w:color="auto"/>
        <w:bottom w:val="none" w:sz="0" w:space="0" w:color="auto"/>
        <w:right w:val="none" w:sz="0" w:space="0" w:color="auto"/>
      </w:divBdr>
    </w:div>
    <w:div w:id="1487816457">
      <w:bodyDiv w:val="1"/>
      <w:marLeft w:val="0"/>
      <w:marRight w:val="0"/>
      <w:marTop w:val="0"/>
      <w:marBottom w:val="0"/>
      <w:divBdr>
        <w:top w:val="none" w:sz="0" w:space="0" w:color="auto"/>
        <w:left w:val="none" w:sz="0" w:space="0" w:color="auto"/>
        <w:bottom w:val="none" w:sz="0" w:space="0" w:color="auto"/>
        <w:right w:val="none" w:sz="0" w:space="0" w:color="auto"/>
      </w:divBdr>
    </w:div>
    <w:div w:id="1487939509">
      <w:bodyDiv w:val="1"/>
      <w:marLeft w:val="0"/>
      <w:marRight w:val="0"/>
      <w:marTop w:val="0"/>
      <w:marBottom w:val="0"/>
      <w:divBdr>
        <w:top w:val="none" w:sz="0" w:space="0" w:color="auto"/>
        <w:left w:val="none" w:sz="0" w:space="0" w:color="auto"/>
        <w:bottom w:val="none" w:sz="0" w:space="0" w:color="auto"/>
        <w:right w:val="none" w:sz="0" w:space="0" w:color="auto"/>
      </w:divBdr>
    </w:div>
    <w:div w:id="1488008587">
      <w:bodyDiv w:val="1"/>
      <w:marLeft w:val="0"/>
      <w:marRight w:val="0"/>
      <w:marTop w:val="0"/>
      <w:marBottom w:val="0"/>
      <w:divBdr>
        <w:top w:val="none" w:sz="0" w:space="0" w:color="auto"/>
        <w:left w:val="none" w:sz="0" w:space="0" w:color="auto"/>
        <w:bottom w:val="none" w:sz="0" w:space="0" w:color="auto"/>
        <w:right w:val="none" w:sz="0" w:space="0" w:color="auto"/>
      </w:divBdr>
    </w:div>
    <w:div w:id="1488017107">
      <w:bodyDiv w:val="1"/>
      <w:marLeft w:val="0"/>
      <w:marRight w:val="0"/>
      <w:marTop w:val="0"/>
      <w:marBottom w:val="0"/>
      <w:divBdr>
        <w:top w:val="none" w:sz="0" w:space="0" w:color="auto"/>
        <w:left w:val="none" w:sz="0" w:space="0" w:color="auto"/>
        <w:bottom w:val="none" w:sz="0" w:space="0" w:color="auto"/>
        <w:right w:val="none" w:sz="0" w:space="0" w:color="auto"/>
      </w:divBdr>
    </w:div>
    <w:div w:id="1488286161">
      <w:bodyDiv w:val="1"/>
      <w:marLeft w:val="0"/>
      <w:marRight w:val="0"/>
      <w:marTop w:val="0"/>
      <w:marBottom w:val="0"/>
      <w:divBdr>
        <w:top w:val="none" w:sz="0" w:space="0" w:color="auto"/>
        <w:left w:val="none" w:sz="0" w:space="0" w:color="auto"/>
        <w:bottom w:val="none" w:sz="0" w:space="0" w:color="auto"/>
        <w:right w:val="none" w:sz="0" w:space="0" w:color="auto"/>
      </w:divBdr>
    </w:div>
    <w:div w:id="1488323342">
      <w:bodyDiv w:val="1"/>
      <w:marLeft w:val="0"/>
      <w:marRight w:val="0"/>
      <w:marTop w:val="0"/>
      <w:marBottom w:val="0"/>
      <w:divBdr>
        <w:top w:val="none" w:sz="0" w:space="0" w:color="auto"/>
        <w:left w:val="none" w:sz="0" w:space="0" w:color="auto"/>
        <w:bottom w:val="none" w:sz="0" w:space="0" w:color="auto"/>
        <w:right w:val="none" w:sz="0" w:space="0" w:color="auto"/>
      </w:divBdr>
    </w:div>
    <w:div w:id="1488328151">
      <w:bodyDiv w:val="1"/>
      <w:marLeft w:val="0"/>
      <w:marRight w:val="0"/>
      <w:marTop w:val="0"/>
      <w:marBottom w:val="0"/>
      <w:divBdr>
        <w:top w:val="none" w:sz="0" w:space="0" w:color="auto"/>
        <w:left w:val="none" w:sz="0" w:space="0" w:color="auto"/>
        <w:bottom w:val="none" w:sz="0" w:space="0" w:color="auto"/>
        <w:right w:val="none" w:sz="0" w:space="0" w:color="auto"/>
      </w:divBdr>
    </w:div>
    <w:div w:id="1488352239">
      <w:bodyDiv w:val="1"/>
      <w:marLeft w:val="0"/>
      <w:marRight w:val="0"/>
      <w:marTop w:val="0"/>
      <w:marBottom w:val="0"/>
      <w:divBdr>
        <w:top w:val="none" w:sz="0" w:space="0" w:color="auto"/>
        <w:left w:val="none" w:sz="0" w:space="0" w:color="auto"/>
        <w:bottom w:val="none" w:sz="0" w:space="0" w:color="auto"/>
        <w:right w:val="none" w:sz="0" w:space="0" w:color="auto"/>
      </w:divBdr>
    </w:div>
    <w:div w:id="1488402738">
      <w:bodyDiv w:val="1"/>
      <w:marLeft w:val="0"/>
      <w:marRight w:val="0"/>
      <w:marTop w:val="0"/>
      <w:marBottom w:val="0"/>
      <w:divBdr>
        <w:top w:val="none" w:sz="0" w:space="0" w:color="auto"/>
        <w:left w:val="none" w:sz="0" w:space="0" w:color="auto"/>
        <w:bottom w:val="none" w:sz="0" w:space="0" w:color="auto"/>
        <w:right w:val="none" w:sz="0" w:space="0" w:color="auto"/>
      </w:divBdr>
    </w:div>
    <w:div w:id="1488519343">
      <w:bodyDiv w:val="1"/>
      <w:marLeft w:val="0"/>
      <w:marRight w:val="0"/>
      <w:marTop w:val="0"/>
      <w:marBottom w:val="0"/>
      <w:divBdr>
        <w:top w:val="none" w:sz="0" w:space="0" w:color="auto"/>
        <w:left w:val="none" w:sz="0" w:space="0" w:color="auto"/>
        <w:bottom w:val="none" w:sz="0" w:space="0" w:color="auto"/>
        <w:right w:val="none" w:sz="0" w:space="0" w:color="auto"/>
      </w:divBdr>
    </w:div>
    <w:div w:id="1488546038">
      <w:bodyDiv w:val="1"/>
      <w:marLeft w:val="0"/>
      <w:marRight w:val="0"/>
      <w:marTop w:val="0"/>
      <w:marBottom w:val="0"/>
      <w:divBdr>
        <w:top w:val="none" w:sz="0" w:space="0" w:color="auto"/>
        <w:left w:val="none" w:sz="0" w:space="0" w:color="auto"/>
        <w:bottom w:val="none" w:sz="0" w:space="0" w:color="auto"/>
        <w:right w:val="none" w:sz="0" w:space="0" w:color="auto"/>
      </w:divBdr>
    </w:div>
    <w:div w:id="1488668122">
      <w:bodyDiv w:val="1"/>
      <w:marLeft w:val="0"/>
      <w:marRight w:val="0"/>
      <w:marTop w:val="0"/>
      <w:marBottom w:val="0"/>
      <w:divBdr>
        <w:top w:val="none" w:sz="0" w:space="0" w:color="auto"/>
        <w:left w:val="none" w:sz="0" w:space="0" w:color="auto"/>
        <w:bottom w:val="none" w:sz="0" w:space="0" w:color="auto"/>
        <w:right w:val="none" w:sz="0" w:space="0" w:color="auto"/>
      </w:divBdr>
    </w:div>
    <w:div w:id="1488671771">
      <w:bodyDiv w:val="1"/>
      <w:marLeft w:val="0"/>
      <w:marRight w:val="0"/>
      <w:marTop w:val="0"/>
      <w:marBottom w:val="0"/>
      <w:divBdr>
        <w:top w:val="none" w:sz="0" w:space="0" w:color="auto"/>
        <w:left w:val="none" w:sz="0" w:space="0" w:color="auto"/>
        <w:bottom w:val="none" w:sz="0" w:space="0" w:color="auto"/>
        <w:right w:val="none" w:sz="0" w:space="0" w:color="auto"/>
      </w:divBdr>
    </w:div>
    <w:div w:id="1488858903">
      <w:bodyDiv w:val="1"/>
      <w:marLeft w:val="0"/>
      <w:marRight w:val="0"/>
      <w:marTop w:val="0"/>
      <w:marBottom w:val="0"/>
      <w:divBdr>
        <w:top w:val="none" w:sz="0" w:space="0" w:color="auto"/>
        <w:left w:val="none" w:sz="0" w:space="0" w:color="auto"/>
        <w:bottom w:val="none" w:sz="0" w:space="0" w:color="auto"/>
        <w:right w:val="none" w:sz="0" w:space="0" w:color="auto"/>
      </w:divBdr>
    </w:div>
    <w:div w:id="1488940225">
      <w:bodyDiv w:val="1"/>
      <w:marLeft w:val="0"/>
      <w:marRight w:val="0"/>
      <w:marTop w:val="0"/>
      <w:marBottom w:val="0"/>
      <w:divBdr>
        <w:top w:val="none" w:sz="0" w:space="0" w:color="auto"/>
        <w:left w:val="none" w:sz="0" w:space="0" w:color="auto"/>
        <w:bottom w:val="none" w:sz="0" w:space="0" w:color="auto"/>
        <w:right w:val="none" w:sz="0" w:space="0" w:color="auto"/>
      </w:divBdr>
    </w:div>
    <w:div w:id="1489130869">
      <w:bodyDiv w:val="1"/>
      <w:marLeft w:val="0"/>
      <w:marRight w:val="0"/>
      <w:marTop w:val="0"/>
      <w:marBottom w:val="0"/>
      <w:divBdr>
        <w:top w:val="none" w:sz="0" w:space="0" w:color="auto"/>
        <w:left w:val="none" w:sz="0" w:space="0" w:color="auto"/>
        <w:bottom w:val="none" w:sz="0" w:space="0" w:color="auto"/>
        <w:right w:val="none" w:sz="0" w:space="0" w:color="auto"/>
      </w:divBdr>
    </w:div>
    <w:div w:id="1489201813">
      <w:bodyDiv w:val="1"/>
      <w:marLeft w:val="0"/>
      <w:marRight w:val="0"/>
      <w:marTop w:val="0"/>
      <w:marBottom w:val="0"/>
      <w:divBdr>
        <w:top w:val="none" w:sz="0" w:space="0" w:color="auto"/>
        <w:left w:val="none" w:sz="0" w:space="0" w:color="auto"/>
        <w:bottom w:val="none" w:sz="0" w:space="0" w:color="auto"/>
        <w:right w:val="none" w:sz="0" w:space="0" w:color="auto"/>
      </w:divBdr>
    </w:div>
    <w:div w:id="1489249052">
      <w:bodyDiv w:val="1"/>
      <w:marLeft w:val="0"/>
      <w:marRight w:val="0"/>
      <w:marTop w:val="0"/>
      <w:marBottom w:val="0"/>
      <w:divBdr>
        <w:top w:val="none" w:sz="0" w:space="0" w:color="auto"/>
        <w:left w:val="none" w:sz="0" w:space="0" w:color="auto"/>
        <w:bottom w:val="none" w:sz="0" w:space="0" w:color="auto"/>
        <w:right w:val="none" w:sz="0" w:space="0" w:color="auto"/>
      </w:divBdr>
    </w:div>
    <w:div w:id="1489251259">
      <w:bodyDiv w:val="1"/>
      <w:marLeft w:val="0"/>
      <w:marRight w:val="0"/>
      <w:marTop w:val="0"/>
      <w:marBottom w:val="0"/>
      <w:divBdr>
        <w:top w:val="none" w:sz="0" w:space="0" w:color="auto"/>
        <w:left w:val="none" w:sz="0" w:space="0" w:color="auto"/>
        <w:bottom w:val="none" w:sz="0" w:space="0" w:color="auto"/>
        <w:right w:val="none" w:sz="0" w:space="0" w:color="auto"/>
      </w:divBdr>
    </w:div>
    <w:div w:id="1489323916">
      <w:bodyDiv w:val="1"/>
      <w:marLeft w:val="0"/>
      <w:marRight w:val="0"/>
      <w:marTop w:val="0"/>
      <w:marBottom w:val="0"/>
      <w:divBdr>
        <w:top w:val="none" w:sz="0" w:space="0" w:color="auto"/>
        <w:left w:val="none" w:sz="0" w:space="0" w:color="auto"/>
        <w:bottom w:val="none" w:sz="0" w:space="0" w:color="auto"/>
        <w:right w:val="none" w:sz="0" w:space="0" w:color="auto"/>
      </w:divBdr>
    </w:div>
    <w:div w:id="1489396178">
      <w:bodyDiv w:val="1"/>
      <w:marLeft w:val="0"/>
      <w:marRight w:val="0"/>
      <w:marTop w:val="0"/>
      <w:marBottom w:val="0"/>
      <w:divBdr>
        <w:top w:val="none" w:sz="0" w:space="0" w:color="auto"/>
        <w:left w:val="none" w:sz="0" w:space="0" w:color="auto"/>
        <w:bottom w:val="none" w:sz="0" w:space="0" w:color="auto"/>
        <w:right w:val="none" w:sz="0" w:space="0" w:color="auto"/>
      </w:divBdr>
    </w:div>
    <w:div w:id="1489445428">
      <w:bodyDiv w:val="1"/>
      <w:marLeft w:val="0"/>
      <w:marRight w:val="0"/>
      <w:marTop w:val="0"/>
      <w:marBottom w:val="0"/>
      <w:divBdr>
        <w:top w:val="none" w:sz="0" w:space="0" w:color="auto"/>
        <w:left w:val="none" w:sz="0" w:space="0" w:color="auto"/>
        <w:bottom w:val="none" w:sz="0" w:space="0" w:color="auto"/>
        <w:right w:val="none" w:sz="0" w:space="0" w:color="auto"/>
      </w:divBdr>
    </w:div>
    <w:div w:id="1489587644">
      <w:bodyDiv w:val="1"/>
      <w:marLeft w:val="0"/>
      <w:marRight w:val="0"/>
      <w:marTop w:val="0"/>
      <w:marBottom w:val="0"/>
      <w:divBdr>
        <w:top w:val="none" w:sz="0" w:space="0" w:color="auto"/>
        <w:left w:val="none" w:sz="0" w:space="0" w:color="auto"/>
        <w:bottom w:val="none" w:sz="0" w:space="0" w:color="auto"/>
        <w:right w:val="none" w:sz="0" w:space="0" w:color="auto"/>
      </w:divBdr>
    </w:div>
    <w:div w:id="1489595524">
      <w:bodyDiv w:val="1"/>
      <w:marLeft w:val="0"/>
      <w:marRight w:val="0"/>
      <w:marTop w:val="0"/>
      <w:marBottom w:val="0"/>
      <w:divBdr>
        <w:top w:val="none" w:sz="0" w:space="0" w:color="auto"/>
        <w:left w:val="none" w:sz="0" w:space="0" w:color="auto"/>
        <w:bottom w:val="none" w:sz="0" w:space="0" w:color="auto"/>
        <w:right w:val="none" w:sz="0" w:space="0" w:color="auto"/>
      </w:divBdr>
    </w:div>
    <w:div w:id="1489638154">
      <w:bodyDiv w:val="1"/>
      <w:marLeft w:val="0"/>
      <w:marRight w:val="0"/>
      <w:marTop w:val="0"/>
      <w:marBottom w:val="0"/>
      <w:divBdr>
        <w:top w:val="none" w:sz="0" w:space="0" w:color="auto"/>
        <w:left w:val="none" w:sz="0" w:space="0" w:color="auto"/>
        <w:bottom w:val="none" w:sz="0" w:space="0" w:color="auto"/>
        <w:right w:val="none" w:sz="0" w:space="0" w:color="auto"/>
      </w:divBdr>
    </w:div>
    <w:div w:id="1489788808">
      <w:bodyDiv w:val="1"/>
      <w:marLeft w:val="0"/>
      <w:marRight w:val="0"/>
      <w:marTop w:val="0"/>
      <w:marBottom w:val="0"/>
      <w:divBdr>
        <w:top w:val="none" w:sz="0" w:space="0" w:color="auto"/>
        <w:left w:val="none" w:sz="0" w:space="0" w:color="auto"/>
        <w:bottom w:val="none" w:sz="0" w:space="0" w:color="auto"/>
        <w:right w:val="none" w:sz="0" w:space="0" w:color="auto"/>
      </w:divBdr>
    </w:div>
    <w:div w:id="1489790061">
      <w:bodyDiv w:val="1"/>
      <w:marLeft w:val="0"/>
      <w:marRight w:val="0"/>
      <w:marTop w:val="0"/>
      <w:marBottom w:val="0"/>
      <w:divBdr>
        <w:top w:val="none" w:sz="0" w:space="0" w:color="auto"/>
        <w:left w:val="none" w:sz="0" w:space="0" w:color="auto"/>
        <w:bottom w:val="none" w:sz="0" w:space="0" w:color="auto"/>
        <w:right w:val="none" w:sz="0" w:space="0" w:color="auto"/>
      </w:divBdr>
    </w:div>
    <w:div w:id="1489899522">
      <w:bodyDiv w:val="1"/>
      <w:marLeft w:val="0"/>
      <w:marRight w:val="0"/>
      <w:marTop w:val="0"/>
      <w:marBottom w:val="0"/>
      <w:divBdr>
        <w:top w:val="none" w:sz="0" w:space="0" w:color="auto"/>
        <w:left w:val="none" w:sz="0" w:space="0" w:color="auto"/>
        <w:bottom w:val="none" w:sz="0" w:space="0" w:color="auto"/>
        <w:right w:val="none" w:sz="0" w:space="0" w:color="auto"/>
      </w:divBdr>
    </w:div>
    <w:div w:id="1489906589">
      <w:bodyDiv w:val="1"/>
      <w:marLeft w:val="0"/>
      <w:marRight w:val="0"/>
      <w:marTop w:val="0"/>
      <w:marBottom w:val="0"/>
      <w:divBdr>
        <w:top w:val="none" w:sz="0" w:space="0" w:color="auto"/>
        <w:left w:val="none" w:sz="0" w:space="0" w:color="auto"/>
        <w:bottom w:val="none" w:sz="0" w:space="0" w:color="auto"/>
        <w:right w:val="none" w:sz="0" w:space="0" w:color="auto"/>
      </w:divBdr>
    </w:div>
    <w:div w:id="1489975603">
      <w:bodyDiv w:val="1"/>
      <w:marLeft w:val="0"/>
      <w:marRight w:val="0"/>
      <w:marTop w:val="0"/>
      <w:marBottom w:val="0"/>
      <w:divBdr>
        <w:top w:val="none" w:sz="0" w:space="0" w:color="auto"/>
        <w:left w:val="none" w:sz="0" w:space="0" w:color="auto"/>
        <w:bottom w:val="none" w:sz="0" w:space="0" w:color="auto"/>
        <w:right w:val="none" w:sz="0" w:space="0" w:color="auto"/>
      </w:divBdr>
    </w:div>
    <w:div w:id="1490053387">
      <w:bodyDiv w:val="1"/>
      <w:marLeft w:val="0"/>
      <w:marRight w:val="0"/>
      <w:marTop w:val="0"/>
      <w:marBottom w:val="0"/>
      <w:divBdr>
        <w:top w:val="none" w:sz="0" w:space="0" w:color="auto"/>
        <w:left w:val="none" w:sz="0" w:space="0" w:color="auto"/>
        <w:bottom w:val="none" w:sz="0" w:space="0" w:color="auto"/>
        <w:right w:val="none" w:sz="0" w:space="0" w:color="auto"/>
      </w:divBdr>
    </w:div>
    <w:div w:id="1490055489">
      <w:bodyDiv w:val="1"/>
      <w:marLeft w:val="0"/>
      <w:marRight w:val="0"/>
      <w:marTop w:val="0"/>
      <w:marBottom w:val="0"/>
      <w:divBdr>
        <w:top w:val="none" w:sz="0" w:space="0" w:color="auto"/>
        <w:left w:val="none" w:sz="0" w:space="0" w:color="auto"/>
        <w:bottom w:val="none" w:sz="0" w:space="0" w:color="auto"/>
        <w:right w:val="none" w:sz="0" w:space="0" w:color="auto"/>
      </w:divBdr>
    </w:div>
    <w:div w:id="1490249951">
      <w:bodyDiv w:val="1"/>
      <w:marLeft w:val="0"/>
      <w:marRight w:val="0"/>
      <w:marTop w:val="0"/>
      <w:marBottom w:val="0"/>
      <w:divBdr>
        <w:top w:val="none" w:sz="0" w:space="0" w:color="auto"/>
        <w:left w:val="none" w:sz="0" w:space="0" w:color="auto"/>
        <w:bottom w:val="none" w:sz="0" w:space="0" w:color="auto"/>
        <w:right w:val="none" w:sz="0" w:space="0" w:color="auto"/>
      </w:divBdr>
    </w:div>
    <w:div w:id="1490250110">
      <w:bodyDiv w:val="1"/>
      <w:marLeft w:val="0"/>
      <w:marRight w:val="0"/>
      <w:marTop w:val="0"/>
      <w:marBottom w:val="0"/>
      <w:divBdr>
        <w:top w:val="none" w:sz="0" w:space="0" w:color="auto"/>
        <w:left w:val="none" w:sz="0" w:space="0" w:color="auto"/>
        <w:bottom w:val="none" w:sz="0" w:space="0" w:color="auto"/>
        <w:right w:val="none" w:sz="0" w:space="0" w:color="auto"/>
      </w:divBdr>
    </w:div>
    <w:div w:id="1490362753">
      <w:bodyDiv w:val="1"/>
      <w:marLeft w:val="0"/>
      <w:marRight w:val="0"/>
      <w:marTop w:val="0"/>
      <w:marBottom w:val="0"/>
      <w:divBdr>
        <w:top w:val="none" w:sz="0" w:space="0" w:color="auto"/>
        <w:left w:val="none" w:sz="0" w:space="0" w:color="auto"/>
        <w:bottom w:val="none" w:sz="0" w:space="0" w:color="auto"/>
        <w:right w:val="none" w:sz="0" w:space="0" w:color="auto"/>
      </w:divBdr>
    </w:div>
    <w:div w:id="1490512496">
      <w:bodyDiv w:val="1"/>
      <w:marLeft w:val="0"/>
      <w:marRight w:val="0"/>
      <w:marTop w:val="0"/>
      <w:marBottom w:val="0"/>
      <w:divBdr>
        <w:top w:val="none" w:sz="0" w:space="0" w:color="auto"/>
        <w:left w:val="none" w:sz="0" w:space="0" w:color="auto"/>
        <w:bottom w:val="none" w:sz="0" w:space="0" w:color="auto"/>
        <w:right w:val="none" w:sz="0" w:space="0" w:color="auto"/>
      </w:divBdr>
    </w:div>
    <w:div w:id="1490751048">
      <w:bodyDiv w:val="1"/>
      <w:marLeft w:val="0"/>
      <w:marRight w:val="0"/>
      <w:marTop w:val="0"/>
      <w:marBottom w:val="0"/>
      <w:divBdr>
        <w:top w:val="none" w:sz="0" w:space="0" w:color="auto"/>
        <w:left w:val="none" w:sz="0" w:space="0" w:color="auto"/>
        <w:bottom w:val="none" w:sz="0" w:space="0" w:color="auto"/>
        <w:right w:val="none" w:sz="0" w:space="0" w:color="auto"/>
      </w:divBdr>
    </w:div>
    <w:div w:id="1490831571">
      <w:bodyDiv w:val="1"/>
      <w:marLeft w:val="0"/>
      <w:marRight w:val="0"/>
      <w:marTop w:val="0"/>
      <w:marBottom w:val="0"/>
      <w:divBdr>
        <w:top w:val="none" w:sz="0" w:space="0" w:color="auto"/>
        <w:left w:val="none" w:sz="0" w:space="0" w:color="auto"/>
        <w:bottom w:val="none" w:sz="0" w:space="0" w:color="auto"/>
        <w:right w:val="none" w:sz="0" w:space="0" w:color="auto"/>
      </w:divBdr>
    </w:div>
    <w:div w:id="1490902015">
      <w:bodyDiv w:val="1"/>
      <w:marLeft w:val="0"/>
      <w:marRight w:val="0"/>
      <w:marTop w:val="0"/>
      <w:marBottom w:val="0"/>
      <w:divBdr>
        <w:top w:val="none" w:sz="0" w:space="0" w:color="auto"/>
        <w:left w:val="none" w:sz="0" w:space="0" w:color="auto"/>
        <w:bottom w:val="none" w:sz="0" w:space="0" w:color="auto"/>
        <w:right w:val="none" w:sz="0" w:space="0" w:color="auto"/>
      </w:divBdr>
    </w:div>
    <w:div w:id="1490903949">
      <w:bodyDiv w:val="1"/>
      <w:marLeft w:val="0"/>
      <w:marRight w:val="0"/>
      <w:marTop w:val="0"/>
      <w:marBottom w:val="0"/>
      <w:divBdr>
        <w:top w:val="none" w:sz="0" w:space="0" w:color="auto"/>
        <w:left w:val="none" w:sz="0" w:space="0" w:color="auto"/>
        <w:bottom w:val="none" w:sz="0" w:space="0" w:color="auto"/>
        <w:right w:val="none" w:sz="0" w:space="0" w:color="auto"/>
      </w:divBdr>
    </w:div>
    <w:div w:id="1490950202">
      <w:bodyDiv w:val="1"/>
      <w:marLeft w:val="0"/>
      <w:marRight w:val="0"/>
      <w:marTop w:val="0"/>
      <w:marBottom w:val="0"/>
      <w:divBdr>
        <w:top w:val="none" w:sz="0" w:space="0" w:color="auto"/>
        <w:left w:val="none" w:sz="0" w:space="0" w:color="auto"/>
        <w:bottom w:val="none" w:sz="0" w:space="0" w:color="auto"/>
        <w:right w:val="none" w:sz="0" w:space="0" w:color="auto"/>
      </w:divBdr>
    </w:div>
    <w:div w:id="1490976082">
      <w:bodyDiv w:val="1"/>
      <w:marLeft w:val="0"/>
      <w:marRight w:val="0"/>
      <w:marTop w:val="0"/>
      <w:marBottom w:val="0"/>
      <w:divBdr>
        <w:top w:val="none" w:sz="0" w:space="0" w:color="auto"/>
        <w:left w:val="none" w:sz="0" w:space="0" w:color="auto"/>
        <w:bottom w:val="none" w:sz="0" w:space="0" w:color="auto"/>
        <w:right w:val="none" w:sz="0" w:space="0" w:color="auto"/>
      </w:divBdr>
    </w:div>
    <w:div w:id="1491168620">
      <w:bodyDiv w:val="1"/>
      <w:marLeft w:val="0"/>
      <w:marRight w:val="0"/>
      <w:marTop w:val="0"/>
      <w:marBottom w:val="0"/>
      <w:divBdr>
        <w:top w:val="none" w:sz="0" w:space="0" w:color="auto"/>
        <w:left w:val="none" w:sz="0" w:space="0" w:color="auto"/>
        <w:bottom w:val="none" w:sz="0" w:space="0" w:color="auto"/>
        <w:right w:val="none" w:sz="0" w:space="0" w:color="auto"/>
      </w:divBdr>
    </w:div>
    <w:div w:id="1491218235">
      <w:bodyDiv w:val="1"/>
      <w:marLeft w:val="0"/>
      <w:marRight w:val="0"/>
      <w:marTop w:val="0"/>
      <w:marBottom w:val="0"/>
      <w:divBdr>
        <w:top w:val="none" w:sz="0" w:space="0" w:color="auto"/>
        <w:left w:val="none" w:sz="0" w:space="0" w:color="auto"/>
        <w:bottom w:val="none" w:sz="0" w:space="0" w:color="auto"/>
        <w:right w:val="none" w:sz="0" w:space="0" w:color="auto"/>
      </w:divBdr>
    </w:div>
    <w:div w:id="1491286703">
      <w:bodyDiv w:val="1"/>
      <w:marLeft w:val="0"/>
      <w:marRight w:val="0"/>
      <w:marTop w:val="0"/>
      <w:marBottom w:val="0"/>
      <w:divBdr>
        <w:top w:val="none" w:sz="0" w:space="0" w:color="auto"/>
        <w:left w:val="none" w:sz="0" w:space="0" w:color="auto"/>
        <w:bottom w:val="none" w:sz="0" w:space="0" w:color="auto"/>
        <w:right w:val="none" w:sz="0" w:space="0" w:color="auto"/>
      </w:divBdr>
    </w:div>
    <w:div w:id="1491292879">
      <w:bodyDiv w:val="1"/>
      <w:marLeft w:val="0"/>
      <w:marRight w:val="0"/>
      <w:marTop w:val="0"/>
      <w:marBottom w:val="0"/>
      <w:divBdr>
        <w:top w:val="none" w:sz="0" w:space="0" w:color="auto"/>
        <w:left w:val="none" w:sz="0" w:space="0" w:color="auto"/>
        <w:bottom w:val="none" w:sz="0" w:space="0" w:color="auto"/>
        <w:right w:val="none" w:sz="0" w:space="0" w:color="auto"/>
      </w:divBdr>
    </w:div>
    <w:div w:id="1491366792">
      <w:bodyDiv w:val="1"/>
      <w:marLeft w:val="0"/>
      <w:marRight w:val="0"/>
      <w:marTop w:val="0"/>
      <w:marBottom w:val="0"/>
      <w:divBdr>
        <w:top w:val="none" w:sz="0" w:space="0" w:color="auto"/>
        <w:left w:val="none" w:sz="0" w:space="0" w:color="auto"/>
        <w:bottom w:val="none" w:sz="0" w:space="0" w:color="auto"/>
        <w:right w:val="none" w:sz="0" w:space="0" w:color="auto"/>
      </w:divBdr>
    </w:div>
    <w:div w:id="1491406788">
      <w:bodyDiv w:val="1"/>
      <w:marLeft w:val="0"/>
      <w:marRight w:val="0"/>
      <w:marTop w:val="0"/>
      <w:marBottom w:val="0"/>
      <w:divBdr>
        <w:top w:val="none" w:sz="0" w:space="0" w:color="auto"/>
        <w:left w:val="none" w:sz="0" w:space="0" w:color="auto"/>
        <w:bottom w:val="none" w:sz="0" w:space="0" w:color="auto"/>
        <w:right w:val="none" w:sz="0" w:space="0" w:color="auto"/>
      </w:divBdr>
    </w:div>
    <w:div w:id="1491408540">
      <w:bodyDiv w:val="1"/>
      <w:marLeft w:val="0"/>
      <w:marRight w:val="0"/>
      <w:marTop w:val="0"/>
      <w:marBottom w:val="0"/>
      <w:divBdr>
        <w:top w:val="none" w:sz="0" w:space="0" w:color="auto"/>
        <w:left w:val="none" w:sz="0" w:space="0" w:color="auto"/>
        <w:bottom w:val="none" w:sz="0" w:space="0" w:color="auto"/>
        <w:right w:val="none" w:sz="0" w:space="0" w:color="auto"/>
      </w:divBdr>
    </w:div>
    <w:div w:id="1491600794">
      <w:bodyDiv w:val="1"/>
      <w:marLeft w:val="0"/>
      <w:marRight w:val="0"/>
      <w:marTop w:val="0"/>
      <w:marBottom w:val="0"/>
      <w:divBdr>
        <w:top w:val="none" w:sz="0" w:space="0" w:color="auto"/>
        <w:left w:val="none" w:sz="0" w:space="0" w:color="auto"/>
        <w:bottom w:val="none" w:sz="0" w:space="0" w:color="auto"/>
        <w:right w:val="none" w:sz="0" w:space="0" w:color="auto"/>
      </w:divBdr>
    </w:div>
    <w:div w:id="1491601890">
      <w:bodyDiv w:val="1"/>
      <w:marLeft w:val="0"/>
      <w:marRight w:val="0"/>
      <w:marTop w:val="0"/>
      <w:marBottom w:val="0"/>
      <w:divBdr>
        <w:top w:val="none" w:sz="0" w:space="0" w:color="auto"/>
        <w:left w:val="none" w:sz="0" w:space="0" w:color="auto"/>
        <w:bottom w:val="none" w:sz="0" w:space="0" w:color="auto"/>
        <w:right w:val="none" w:sz="0" w:space="0" w:color="auto"/>
      </w:divBdr>
    </w:div>
    <w:div w:id="1491676041">
      <w:bodyDiv w:val="1"/>
      <w:marLeft w:val="0"/>
      <w:marRight w:val="0"/>
      <w:marTop w:val="0"/>
      <w:marBottom w:val="0"/>
      <w:divBdr>
        <w:top w:val="none" w:sz="0" w:space="0" w:color="auto"/>
        <w:left w:val="none" w:sz="0" w:space="0" w:color="auto"/>
        <w:bottom w:val="none" w:sz="0" w:space="0" w:color="auto"/>
        <w:right w:val="none" w:sz="0" w:space="0" w:color="auto"/>
      </w:divBdr>
    </w:div>
    <w:div w:id="1491748134">
      <w:bodyDiv w:val="1"/>
      <w:marLeft w:val="0"/>
      <w:marRight w:val="0"/>
      <w:marTop w:val="0"/>
      <w:marBottom w:val="0"/>
      <w:divBdr>
        <w:top w:val="none" w:sz="0" w:space="0" w:color="auto"/>
        <w:left w:val="none" w:sz="0" w:space="0" w:color="auto"/>
        <w:bottom w:val="none" w:sz="0" w:space="0" w:color="auto"/>
        <w:right w:val="none" w:sz="0" w:space="0" w:color="auto"/>
      </w:divBdr>
    </w:div>
    <w:div w:id="1491751145">
      <w:bodyDiv w:val="1"/>
      <w:marLeft w:val="0"/>
      <w:marRight w:val="0"/>
      <w:marTop w:val="0"/>
      <w:marBottom w:val="0"/>
      <w:divBdr>
        <w:top w:val="none" w:sz="0" w:space="0" w:color="auto"/>
        <w:left w:val="none" w:sz="0" w:space="0" w:color="auto"/>
        <w:bottom w:val="none" w:sz="0" w:space="0" w:color="auto"/>
        <w:right w:val="none" w:sz="0" w:space="0" w:color="auto"/>
      </w:divBdr>
      <w:divsChild>
        <w:div w:id="10689392">
          <w:marLeft w:val="0"/>
          <w:marRight w:val="0"/>
          <w:marTop w:val="0"/>
          <w:marBottom w:val="0"/>
          <w:divBdr>
            <w:top w:val="none" w:sz="0" w:space="0" w:color="auto"/>
            <w:left w:val="none" w:sz="0" w:space="0" w:color="auto"/>
            <w:bottom w:val="none" w:sz="0" w:space="0" w:color="auto"/>
            <w:right w:val="none" w:sz="0" w:space="0" w:color="auto"/>
          </w:divBdr>
        </w:div>
        <w:div w:id="14817551">
          <w:marLeft w:val="0"/>
          <w:marRight w:val="0"/>
          <w:marTop w:val="0"/>
          <w:marBottom w:val="0"/>
          <w:divBdr>
            <w:top w:val="none" w:sz="0" w:space="0" w:color="auto"/>
            <w:left w:val="none" w:sz="0" w:space="0" w:color="auto"/>
            <w:bottom w:val="none" w:sz="0" w:space="0" w:color="auto"/>
            <w:right w:val="none" w:sz="0" w:space="0" w:color="auto"/>
          </w:divBdr>
        </w:div>
        <w:div w:id="35207688">
          <w:marLeft w:val="0"/>
          <w:marRight w:val="0"/>
          <w:marTop w:val="0"/>
          <w:marBottom w:val="0"/>
          <w:divBdr>
            <w:top w:val="none" w:sz="0" w:space="0" w:color="auto"/>
            <w:left w:val="none" w:sz="0" w:space="0" w:color="auto"/>
            <w:bottom w:val="none" w:sz="0" w:space="0" w:color="auto"/>
            <w:right w:val="none" w:sz="0" w:space="0" w:color="auto"/>
          </w:divBdr>
        </w:div>
        <w:div w:id="54132927">
          <w:marLeft w:val="0"/>
          <w:marRight w:val="0"/>
          <w:marTop w:val="0"/>
          <w:marBottom w:val="0"/>
          <w:divBdr>
            <w:top w:val="none" w:sz="0" w:space="0" w:color="auto"/>
            <w:left w:val="none" w:sz="0" w:space="0" w:color="auto"/>
            <w:bottom w:val="none" w:sz="0" w:space="0" w:color="auto"/>
            <w:right w:val="none" w:sz="0" w:space="0" w:color="auto"/>
          </w:divBdr>
        </w:div>
        <w:div w:id="67924247">
          <w:marLeft w:val="0"/>
          <w:marRight w:val="0"/>
          <w:marTop w:val="0"/>
          <w:marBottom w:val="0"/>
          <w:divBdr>
            <w:top w:val="none" w:sz="0" w:space="0" w:color="auto"/>
            <w:left w:val="none" w:sz="0" w:space="0" w:color="auto"/>
            <w:bottom w:val="none" w:sz="0" w:space="0" w:color="auto"/>
            <w:right w:val="none" w:sz="0" w:space="0" w:color="auto"/>
          </w:divBdr>
        </w:div>
        <w:div w:id="76446854">
          <w:marLeft w:val="0"/>
          <w:marRight w:val="0"/>
          <w:marTop w:val="0"/>
          <w:marBottom w:val="0"/>
          <w:divBdr>
            <w:top w:val="none" w:sz="0" w:space="0" w:color="auto"/>
            <w:left w:val="none" w:sz="0" w:space="0" w:color="auto"/>
            <w:bottom w:val="none" w:sz="0" w:space="0" w:color="auto"/>
            <w:right w:val="none" w:sz="0" w:space="0" w:color="auto"/>
          </w:divBdr>
        </w:div>
        <w:div w:id="88695128">
          <w:marLeft w:val="0"/>
          <w:marRight w:val="0"/>
          <w:marTop w:val="0"/>
          <w:marBottom w:val="0"/>
          <w:divBdr>
            <w:top w:val="none" w:sz="0" w:space="0" w:color="auto"/>
            <w:left w:val="none" w:sz="0" w:space="0" w:color="auto"/>
            <w:bottom w:val="none" w:sz="0" w:space="0" w:color="auto"/>
            <w:right w:val="none" w:sz="0" w:space="0" w:color="auto"/>
          </w:divBdr>
        </w:div>
        <w:div w:id="91518050">
          <w:marLeft w:val="0"/>
          <w:marRight w:val="0"/>
          <w:marTop w:val="0"/>
          <w:marBottom w:val="0"/>
          <w:divBdr>
            <w:top w:val="none" w:sz="0" w:space="0" w:color="auto"/>
            <w:left w:val="none" w:sz="0" w:space="0" w:color="auto"/>
            <w:bottom w:val="none" w:sz="0" w:space="0" w:color="auto"/>
            <w:right w:val="none" w:sz="0" w:space="0" w:color="auto"/>
          </w:divBdr>
        </w:div>
        <w:div w:id="104547997">
          <w:marLeft w:val="0"/>
          <w:marRight w:val="0"/>
          <w:marTop w:val="0"/>
          <w:marBottom w:val="0"/>
          <w:divBdr>
            <w:top w:val="none" w:sz="0" w:space="0" w:color="auto"/>
            <w:left w:val="none" w:sz="0" w:space="0" w:color="auto"/>
            <w:bottom w:val="none" w:sz="0" w:space="0" w:color="auto"/>
            <w:right w:val="none" w:sz="0" w:space="0" w:color="auto"/>
          </w:divBdr>
        </w:div>
        <w:div w:id="106002776">
          <w:marLeft w:val="0"/>
          <w:marRight w:val="0"/>
          <w:marTop w:val="0"/>
          <w:marBottom w:val="0"/>
          <w:divBdr>
            <w:top w:val="none" w:sz="0" w:space="0" w:color="auto"/>
            <w:left w:val="none" w:sz="0" w:space="0" w:color="auto"/>
            <w:bottom w:val="none" w:sz="0" w:space="0" w:color="auto"/>
            <w:right w:val="none" w:sz="0" w:space="0" w:color="auto"/>
          </w:divBdr>
        </w:div>
        <w:div w:id="106431112">
          <w:marLeft w:val="0"/>
          <w:marRight w:val="0"/>
          <w:marTop w:val="0"/>
          <w:marBottom w:val="0"/>
          <w:divBdr>
            <w:top w:val="none" w:sz="0" w:space="0" w:color="auto"/>
            <w:left w:val="none" w:sz="0" w:space="0" w:color="auto"/>
            <w:bottom w:val="none" w:sz="0" w:space="0" w:color="auto"/>
            <w:right w:val="none" w:sz="0" w:space="0" w:color="auto"/>
          </w:divBdr>
        </w:div>
        <w:div w:id="125895198">
          <w:marLeft w:val="0"/>
          <w:marRight w:val="0"/>
          <w:marTop w:val="0"/>
          <w:marBottom w:val="0"/>
          <w:divBdr>
            <w:top w:val="none" w:sz="0" w:space="0" w:color="auto"/>
            <w:left w:val="none" w:sz="0" w:space="0" w:color="auto"/>
            <w:bottom w:val="none" w:sz="0" w:space="0" w:color="auto"/>
            <w:right w:val="none" w:sz="0" w:space="0" w:color="auto"/>
          </w:divBdr>
        </w:div>
        <w:div w:id="171725528">
          <w:marLeft w:val="0"/>
          <w:marRight w:val="0"/>
          <w:marTop w:val="0"/>
          <w:marBottom w:val="0"/>
          <w:divBdr>
            <w:top w:val="none" w:sz="0" w:space="0" w:color="auto"/>
            <w:left w:val="none" w:sz="0" w:space="0" w:color="auto"/>
            <w:bottom w:val="none" w:sz="0" w:space="0" w:color="auto"/>
            <w:right w:val="none" w:sz="0" w:space="0" w:color="auto"/>
          </w:divBdr>
        </w:div>
        <w:div w:id="174076994">
          <w:marLeft w:val="0"/>
          <w:marRight w:val="0"/>
          <w:marTop w:val="0"/>
          <w:marBottom w:val="0"/>
          <w:divBdr>
            <w:top w:val="none" w:sz="0" w:space="0" w:color="auto"/>
            <w:left w:val="none" w:sz="0" w:space="0" w:color="auto"/>
            <w:bottom w:val="none" w:sz="0" w:space="0" w:color="auto"/>
            <w:right w:val="none" w:sz="0" w:space="0" w:color="auto"/>
          </w:divBdr>
        </w:div>
        <w:div w:id="179902126">
          <w:marLeft w:val="0"/>
          <w:marRight w:val="0"/>
          <w:marTop w:val="0"/>
          <w:marBottom w:val="0"/>
          <w:divBdr>
            <w:top w:val="none" w:sz="0" w:space="0" w:color="auto"/>
            <w:left w:val="none" w:sz="0" w:space="0" w:color="auto"/>
            <w:bottom w:val="none" w:sz="0" w:space="0" w:color="auto"/>
            <w:right w:val="none" w:sz="0" w:space="0" w:color="auto"/>
          </w:divBdr>
        </w:div>
        <w:div w:id="202140251">
          <w:marLeft w:val="0"/>
          <w:marRight w:val="0"/>
          <w:marTop w:val="0"/>
          <w:marBottom w:val="0"/>
          <w:divBdr>
            <w:top w:val="none" w:sz="0" w:space="0" w:color="auto"/>
            <w:left w:val="none" w:sz="0" w:space="0" w:color="auto"/>
            <w:bottom w:val="none" w:sz="0" w:space="0" w:color="auto"/>
            <w:right w:val="none" w:sz="0" w:space="0" w:color="auto"/>
          </w:divBdr>
        </w:div>
        <w:div w:id="219946493">
          <w:marLeft w:val="0"/>
          <w:marRight w:val="0"/>
          <w:marTop w:val="0"/>
          <w:marBottom w:val="0"/>
          <w:divBdr>
            <w:top w:val="none" w:sz="0" w:space="0" w:color="auto"/>
            <w:left w:val="none" w:sz="0" w:space="0" w:color="auto"/>
            <w:bottom w:val="none" w:sz="0" w:space="0" w:color="auto"/>
            <w:right w:val="none" w:sz="0" w:space="0" w:color="auto"/>
          </w:divBdr>
        </w:div>
        <w:div w:id="221065006">
          <w:marLeft w:val="0"/>
          <w:marRight w:val="0"/>
          <w:marTop w:val="0"/>
          <w:marBottom w:val="0"/>
          <w:divBdr>
            <w:top w:val="none" w:sz="0" w:space="0" w:color="auto"/>
            <w:left w:val="none" w:sz="0" w:space="0" w:color="auto"/>
            <w:bottom w:val="none" w:sz="0" w:space="0" w:color="auto"/>
            <w:right w:val="none" w:sz="0" w:space="0" w:color="auto"/>
          </w:divBdr>
        </w:div>
        <w:div w:id="234630459">
          <w:marLeft w:val="0"/>
          <w:marRight w:val="0"/>
          <w:marTop w:val="0"/>
          <w:marBottom w:val="0"/>
          <w:divBdr>
            <w:top w:val="none" w:sz="0" w:space="0" w:color="auto"/>
            <w:left w:val="none" w:sz="0" w:space="0" w:color="auto"/>
            <w:bottom w:val="none" w:sz="0" w:space="0" w:color="auto"/>
            <w:right w:val="none" w:sz="0" w:space="0" w:color="auto"/>
          </w:divBdr>
        </w:div>
        <w:div w:id="256862677">
          <w:marLeft w:val="0"/>
          <w:marRight w:val="0"/>
          <w:marTop w:val="0"/>
          <w:marBottom w:val="0"/>
          <w:divBdr>
            <w:top w:val="none" w:sz="0" w:space="0" w:color="auto"/>
            <w:left w:val="none" w:sz="0" w:space="0" w:color="auto"/>
            <w:bottom w:val="none" w:sz="0" w:space="0" w:color="auto"/>
            <w:right w:val="none" w:sz="0" w:space="0" w:color="auto"/>
          </w:divBdr>
        </w:div>
        <w:div w:id="257760039">
          <w:marLeft w:val="0"/>
          <w:marRight w:val="0"/>
          <w:marTop w:val="0"/>
          <w:marBottom w:val="0"/>
          <w:divBdr>
            <w:top w:val="none" w:sz="0" w:space="0" w:color="auto"/>
            <w:left w:val="none" w:sz="0" w:space="0" w:color="auto"/>
            <w:bottom w:val="none" w:sz="0" w:space="0" w:color="auto"/>
            <w:right w:val="none" w:sz="0" w:space="0" w:color="auto"/>
          </w:divBdr>
        </w:div>
        <w:div w:id="259222405">
          <w:marLeft w:val="0"/>
          <w:marRight w:val="0"/>
          <w:marTop w:val="0"/>
          <w:marBottom w:val="0"/>
          <w:divBdr>
            <w:top w:val="none" w:sz="0" w:space="0" w:color="auto"/>
            <w:left w:val="none" w:sz="0" w:space="0" w:color="auto"/>
            <w:bottom w:val="none" w:sz="0" w:space="0" w:color="auto"/>
            <w:right w:val="none" w:sz="0" w:space="0" w:color="auto"/>
          </w:divBdr>
        </w:div>
        <w:div w:id="262955803">
          <w:marLeft w:val="0"/>
          <w:marRight w:val="0"/>
          <w:marTop w:val="0"/>
          <w:marBottom w:val="0"/>
          <w:divBdr>
            <w:top w:val="none" w:sz="0" w:space="0" w:color="auto"/>
            <w:left w:val="none" w:sz="0" w:space="0" w:color="auto"/>
            <w:bottom w:val="none" w:sz="0" w:space="0" w:color="auto"/>
            <w:right w:val="none" w:sz="0" w:space="0" w:color="auto"/>
          </w:divBdr>
        </w:div>
        <w:div w:id="267272592">
          <w:marLeft w:val="0"/>
          <w:marRight w:val="0"/>
          <w:marTop w:val="0"/>
          <w:marBottom w:val="0"/>
          <w:divBdr>
            <w:top w:val="none" w:sz="0" w:space="0" w:color="auto"/>
            <w:left w:val="none" w:sz="0" w:space="0" w:color="auto"/>
            <w:bottom w:val="none" w:sz="0" w:space="0" w:color="auto"/>
            <w:right w:val="none" w:sz="0" w:space="0" w:color="auto"/>
          </w:divBdr>
        </w:div>
        <w:div w:id="270482106">
          <w:marLeft w:val="0"/>
          <w:marRight w:val="0"/>
          <w:marTop w:val="0"/>
          <w:marBottom w:val="0"/>
          <w:divBdr>
            <w:top w:val="none" w:sz="0" w:space="0" w:color="auto"/>
            <w:left w:val="none" w:sz="0" w:space="0" w:color="auto"/>
            <w:bottom w:val="none" w:sz="0" w:space="0" w:color="auto"/>
            <w:right w:val="none" w:sz="0" w:space="0" w:color="auto"/>
          </w:divBdr>
        </w:div>
        <w:div w:id="281808691">
          <w:marLeft w:val="0"/>
          <w:marRight w:val="0"/>
          <w:marTop w:val="0"/>
          <w:marBottom w:val="0"/>
          <w:divBdr>
            <w:top w:val="none" w:sz="0" w:space="0" w:color="auto"/>
            <w:left w:val="none" w:sz="0" w:space="0" w:color="auto"/>
            <w:bottom w:val="none" w:sz="0" w:space="0" w:color="auto"/>
            <w:right w:val="none" w:sz="0" w:space="0" w:color="auto"/>
          </w:divBdr>
        </w:div>
        <w:div w:id="284819738">
          <w:marLeft w:val="0"/>
          <w:marRight w:val="0"/>
          <w:marTop w:val="0"/>
          <w:marBottom w:val="0"/>
          <w:divBdr>
            <w:top w:val="none" w:sz="0" w:space="0" w:color="auto"/>
            <w:left w:val="none" w:sz="0" w:space="0" w:color="auto"/>
            <w:bottom w:val="none" w:sz="0" w:space="0" w:color="auto"/>
            <w:right w:val="none" w:sz="0" w:space="0" w:color="auto"/>
          </w:divBdr>
        </w:div>
        <w:div w:id="291054929">
          <w:marLeft w:val="0"/>
          <w:marRight w:val="0"/>
          <w:marTop w:val="0"/>
          <w:marBottom w:val="0"/>
          <w:divBdr>
            <w:top w:val="none" w:sz="0" w:space="0" w:color="auto"/>
            <w:left w:val="none" w:sz="0" w:space="0" w:color="auto"/>
            <w:bottom w:val="none" w:sz="0" w:space="0" w:color="auto"/>
            <w:right w:val="none" w:sz="0" w:space="0" w:color="auto"/>
          </w:divBdr>
        </w:div>
        <w:div w:id="303320997">
          <w:marLeft w:val="0"/>
          <w:marRight w:val="0"/>
          <w:marTop w:val="0"/>
          <w:marBottom w:val="0"/>
          <w:divBdr>
            <w:top w:val="none" w:sz="0" w:space="0" w:color="auto"/>
            <w:left w:val="none" w:sz="0" w:space="0" w:color="auto"/>
            <w:bottom w:val="none" w:sz="0" w:space="0" w:color="auto"/>
            <w:right w:val="none" w:sz="0" w:space="0" w:color="auto"/>
          </w:divBdr>
        </w:div>
        <w:div w:id="308754499">
          <w:marLeft w:val="0"/>
          <w:marRight w:val="0"/>
          <w:marTop w:val="0"/>
          <w:marBottom w:val="0"/>
          <w:divBdr>
            <w:top w:val="none" w:sz="0" w:space="0" w:color="auto"/>
            <w:left w:val="none" w:sz="0" w:space="0" w:color="auto"/>
            <w:bottom w:val="none" w:sz="0" w:space="0" w:color="auto"/>
            <w:right w:val="none" w:sz="0" w:space="0" w:color="auto"/>
          </w:divBdr>
        </w:div>
        <w:div w:id="316957383">
          <w:marLeft w:val="0"/>
          <w:marRight w:val="0"/>
          <w:marTop w:val="0"/>
          <w:marBottom w:val="0"/>
          <w:divBdr>
            <w:top w:val="none" w:sz="0" w:space="0" w:color="auto"/>
            <w:left w:val="none" w:sz="0" w:space="0" w:color="auto"/>
            <w:bottom w:val="none" w:sz="0" w:space="0" w:color="auto"/>
            <w:right w:val="none" w:sz="0" w:space="0" w:color="auto"/>
          </w:divBdr>
        </w:div>
        <w:div w:id="317807776">
          <w:marLeft w:val="0"/>
          <w:marRight w:val="0"/>
          <w:marTop w:val="0"/>
          <w:marBottom w:val="0"/>
          <w:divBdr>
            <w:top w:val="none" w:sz="0" w:space="0" w:color="auto"/>
            <w:left w:val="none" w:sz="0" w:space="0" w:color="auto"/>
            <w:bottom w:val="none" w:sz="0" w:space="0" w:color="auto"/>
            <w:right w:val="none" w:sz="0" w:space="0" w:color="auto"/>
          </w:divBdr>
        </w:div>
        <w:div w:id="347761329">
          <w:marLeft w:val="0"/>
          <w:marRight w:val="0"/>
          <w:marTop w:val="0"/>
          <w:marBottom w:val="0"/>
          <w:divBdr>
            <w:top w:val="none" w:sz="0" w:space="0" w:color="auto"/>
            <w:left w:val="none" w:sz="0" w:space="0" w:color="auto"/>
            <w:bottom w:val="none" w:sz="0" w:space="0" w:color="auto"/>
            <w:right w:val="none" w:sz="0" w:space="0" w:color="auto"/>
          </w:divBdr>
        </w:div>
        <w:div w:id="351495481">
          <w:marLeft w:val="0"/>
          <w:marRight w:val="0"/>
          <w:marTop w:val="0"/>
          <w:marBottom w:val="0"/>
          <w:divBdr>
            <w:top w:val="none" w:sz="0" w:space="0" w:color="auto"/>
            <w:left w:val="none" w:sz="0" w:space="0" w:color="auto"/>
            <w:bottom w:val="none" w:sz="0" w:space="0" w:color="auto"/>
            <w:right w:val="none" w:sz="0" w:space="0" w:color="auto"/>
          </w:divBdr>
        </w:div>
        <w:div w:id="353308542">
          <w:marLeft w:val="0"/>
          <w:marRight w:val="0"/>
          <w:marTop w:val="0"/>
          <w:marBottom w:val="0"/>
          <w:divBdr>
            <w:top w:val="none" w:sz="0" w:space="0" w:color="auto"/>
            <w:left w:val="none" w:sz="0" w:space="0" w:color="auto"/>
            <w:bottom w:val="none" w:sz="0" w:space="0" w:color="auto"/>
            <w:right w:val="none" w:sz="0" w:space="0" w:color="auto"/>
          </w:divBdr>
        </w:div>
        <w:div w:id="369501215">
          <w:marLeft w:val="0"/>
          <w:marRight w:val="0"/>
          <w:marTop w:val="0"/>
          <w:marBottom w:val="0"/>
          <w:divBdr>
            <w:top w:val="none" w:sz="0" w:space="0" w:color="auto"/>
            <w:left w:val="none" w:sz="0" w:space="0" w:color="auto"/>
            <w:bottom w:val="none" w:sz="0" w:space="0" w:color="auto"/>
            <w:right w:val="none" w:sz="0" w:space="0" w:color="auto"/>
          </w:divBdr>
        </w:div>
        <w:div w:id="371074307">
          <w:marLeft w:val="0"/>
          <w:marRight w:val="0"/>
          <w:marTop w:val="0"/>
          <w:marBottom w:val="0"/>
          <w:divBdr>
            <w:top w:val="none" w:sz="0" w:space="0" w:color="auto"/>
            <w:left w:val="none" w:sz="0" w:space="0" w:color="auto"/>
            <w:bottom w:val="none" w:sz="0" w:space="0" w:color="auto"/>
            <w:right w:val="none" w:sz="0" w:space="0" w:color="auto"/>
          </w:divBdr>
        </w:div>
        <w:div w:id="379598046">
          <w:marLeft w:val="0"/>
          <w:marRight w:val="0"/>
          <w:marTop w:val="0"/>
          <w:marBottom w:val="0"/>
          <w:divBdr>
            <w:top w:val="none" w:sz="0" w:space="0" w:color="auto"/>
            <w:left w:val="none" w:sz="0" w:space="0" w:color="auto"/>
            <w:bottom w:val="none" w:sz="0" w:space="0" w:color="auto"/>
            <w:right w:val="none" w:sz="0" w:space="0" w:color="auto"/>
          </w:divBdr>
        </w:div>
        <w:div w:id="387608807">
          <w:marLeft w:val="0"/>
          <w:marRight w:val="0"/>
          <w:marTop w:val="0"/>
          <w:marBottom w:val="0"/>
          <w:divBdr>
            <w:top w:val="none" w:sz="0" w:space="0" w:color="auto"/>
            <w:left w:val="none" w:sz="0" w:space="0" w:color="auto"/>
            <w:bottom w:val="none" w:sz="0" w:space="0" w:color="auto"/>
            <w:right w:val="none" w:sz="0" w:space="0" w:color="auto"/>
          </w:divBdr>
        </w:div>
        <w:div w:id="388649190">
          <w:marLeft w:val="0"/>
          <w:marRight w:val="0"/>
          <w:marTop w:val="0"/>
          <w:marBottom w:val="0"/>
          <w:divBdr>
            <w:top w:val="none" w:sz="0" w:space="0" w:color="auto"/>
            <w:left w:val="none" w:sz="0" w:space="0" w:color="auto"/>
            <w:bottom w:val="none" w:sz="0" w:space="0" w:color="auto"/>
            <w:right w:val="none" w:sz="0" w:space="0" w:color="auto"/>
          </w:divBdr>
        </w:div>
        <w:div w:id="409624082">
          <w:marLeft w:val="0"/>
          <w:marRight w:val="0"/>
          <w:marTop w:val="0"/>
          <w:marBottom w:val="0"/>
          <w:divBdr>
            <w:top w:val="none" w:sz="0" w:space="0" w:color="auto"/>
            <w:left w:val="none" w:sz="0" w:space="0" w:color="auto"/>
            <w:bottom w:val="none" w:sz="0" w:space="0" w:color="auto"/>
            <w:right w:val="none" w:sz="0" w:space="0" w:color="auto"/>
          </w:divBdr>
        </w:div>
        <w:div w:id="455374954">
          <w:marLeft w:val="0"/>
          <w:marRight w:val="0"/>
          <w:marTop w:val="0"/>
          <w:marBottom w:val="0"/>
          <w:divBdr>
            <w:top w:val="none" w:sz="0" w:space="0" w:color="auto"/>
            <w:left w:val="none" w:sz="0" w:space="0" w:color="auto"/>
            <w:bottom w:val="none" w:sz="0" w:space="0" w:color="auto"/>
            <w:right w:val="none" w:sz="0" w:space="0" w:color="auto"/>
          </w:divBdr>
        </w:div>
        <w:div w:id="485129683">
          <w:marLeft w:val="0"/>
          <w:marRight w:val="0"/>
          <w:marTop w:val="0"/>
          <w:marBottom w:val="0"/>
          <w:divBdr>
            <w:top w:val="none" w:sz="0" w:space="0" w:color="auto"/>
            <w:left w:val="none" w:sz="0" w:space="0" w:color="auto"/>
            <w:bottom w:val="none" w:sz="0" w:space="0" w:color="auto"/>
            <w:right w:val="none" w:sz="0" w:space="0" w:color="auto"/>
          </w:divBdr>
        </w:div>
        <w:div w:id="495657220">
          <w:marLeft w:val="0"/>
          <w:marRight w:val="0"/>
          <w:marTop w:val="0"/>
          <w:marBottom w:val="0"/>
          <w:divBdr>
            <w:top w:val="none" w:sz="0" w:space="0" w:color="auto"/>
            <w:left w:val="none" w:sz="0" w:space="0" w:color="auto"/>
            <w:bottom w:val="none" w:sz="0" w:space="0" w:color="auto"/>
            <w:right w:val="none" w:sz="0" w:space="0" w:color="auto"/>
          </w:divBdr>
        </w:div>
        <w:div w:id="510263683">
          <w:marLeft w:val="0"/>
          <w:marRight w:val="0"/>
          <w:marTop w:val="0"/>
          <w:marBottom w:val="0"/>
          <w:divBdr>
            <w:top w:val="none" w:sz="0" w:space="0" w:color="auto"/>
            <w:left w:val="none" w:sz="0" w:space="0" w:color="auto"/>
            <w:bottom w:val="none" w:sz="0" w:space="0" w:color="auto"/>
            <w:right w:val="none" w:sz="0" w:space="0" w:color="auto"/>
          </w:divBdr>
        </w:div>
        <w:div w:id="514921592">
          <w:marLeft w:val="0"/>
          <w:marRight w:val="0"/>
          <w:marTop w:val="0"/>
          <w:marBottom w:val="0"/>
          <w:divBdr>
            <w:top w:val="none" w:sz="0" w:space="0" w:color="auto"/>
            <w:left w:val="none" w:sz="0" w:space="0" w:color="auto"/>
            <w:bottom w:val="none" w:sz="0" w:space="0" w:color="auto"/>
            <w:right w:val="none" w:sz="0" w:space="0" w:color="auto"/>
          </w:divBdr>
        </w:div>
        <w:div w:id="550189726">
          <w:marLeft w:val="0"/>
          <w:marRight w:val="0"/>
          <w:marTop w:val="0"/>
          <w:marBottom w:val="0"/>
          <w:divBdr>
            <w:top w:val="none" w:sz="0" w:space="0" w:color="auto"/>
            <w:left w:val="none" w:sz="0" w:space="0" w:color="auto"/>
            <w:bottom w:val="none" w:sz="0" w:space="0" w:color="auto"/>
            <w:right w:val="none" w:sz="0" w:space="0" w:color="auto"/>
          </w:divBdr>
        </w:div>
        <w:div w:id="561914033">
          <w:marLeft w:val="0"/>
          <w:marRight w:val="0"/>
          <w:marTop w:val="0"/>
          <w:marBottom w:val="0"/>
          <w:divBdr>
            <w:top w:val="none" w:sz="0" w:space="0" w:color="auto"/>
            <w:left w:val="none" w:sz="0" w:space="0" w:color="auto"/>
            <w:bottom w:val="none" w:sz="0" w:space="0" w:color="auto"/>
            <w:right w:val="none" w:sz="0" w:space="0" w:color="auto"/>
          </w:divBdr>
        </w:div>
        <w:div w:id="580335209">
          <w:marLeft w:val="0"/>
          <w:marRight w:val="0"/>
          <w:marTop w:val="0"/>
          <w:marBottom w:val="0"/>
          <w:divBdr>
            <w:top w:val="none" w:sz="0" w:space="0" w:color="auto"/>
            <w:left w:val="none" w:sz="0" w:space="0" w:color="auto"/>
            <w:bottom w:val="none" w:sz="0" w:space="0" w:color="auto"/>
            <w:right w:val="none" w:sz="0" w:space="0" w:color="auto"/>
          </w:divBdr>
        </w:div>
        <w:div w:id="586571648">
          <w:marLeft w:val="0"/>
          <w:marRight w:val="0"/>
          <w:marTop w:val="0"/>
          <w:marBottom w:val="0"/>
          <w:divBdr>
            <w:top w:val="none" w:sz="0" w:space="0" w:color="auto"/>
            <w:left w:val="none" w:sz="0" w:space="0" w:color="auto"/>
            <w:bottom w:val="none" w:sz="0" w:space="0" w:color="auto"/>
            <w:right w:val="none" w:sz="0" w:space="0" w:color="auto"/>
          </w:divBdr>
        </w:div>
        <w:div w:id="598488353">
          <w:marLeft w:val="0"/>
          <w:marRight w:val="0"/>
          <w:marTop w:val="0"/>
          <w:marBottom w:val="0"/>
          <w:divBdr>
            <w:top w:val="none" w:sz="0" w:space="0" w:color="auto"/>
            <w:left w:val="none" w:sz="0" w:space="0" w:color="auto"/>
            <w:bottom w:val="none" w:sz="0" w:space="0" w:color="auto"/>
            <w:right w:val="none" w:sz="0" w:space="0" w:color="auto"/>
          </w:divBdr>
        </w:div>
        <w:div w:id="611664602">
          <w:marLeft w:val="0"/>
          <w:marRight w:val="0"/>
          <w:marTop w:val="0"/>
          <w:marBottom w:val="0"/>
          <w:divBdr>
            <w:top w:val="none" w:sz="0" w:space="0" w:color="auto"/>
            <w:left w:val="none" w:sz="0" w:space="0" w:color="auto"/>
            <w:bottom w:val="none" w:sz="0" w:space="0" w:color="auto"/>
            <w:right w:val="none" w:sz="0" w:space="0" w:color="auto"/>
          </w:divBdr>
        </w:div>
        <w:div w:id="619216544">
          <w:marLeft w:val="0"/>
          <w:marRight w:val="0"/>
          <w:marTop w:val="0"/>
          <w:marBottom w:val="0"/>
          <w:divBdr>
            <w:top w:val="none" w:sz="0" w:space="0" w:color="auto"/>
            <w:left w:val="none" w:sz="0" w:space="0" w:color="auto"/>
            <w:bottom w:val="none" w:sz="0" w:space="0" w:color="auto"/>
            <w:right w:val="none" w:sz="0" w:space="0" w:color="auto"/>
          </w:divBdr>
        </w:div>
        <w:div w:id="663245615">
          <w:marLeft w:val="0"/>
          <w:marRight w:val="0"/>
          <w:marTop w:val="0"/>
          <w:marBottom w:val="0"/>
          <w:divBdr>
            <w:top w:val="none" w:sz="0" w:space="0" w:color="auto"/>
            <w:left w:val="none" w:sz="0" w:space="0" w:color="auto"/>
            <w:bottom w:val="none" w:sz="0" w:space="0" w:color="auto"/>
            <w:right w:val="none" w:sz="0" w:space="0" w:color="auto"/>
          </w:divBdr>
        </w:div>
        <w:div w:id="676809452">
          <w:marLeft w:val="0"/>
          <w:marRight w:val="0"/>
          <w:marTop w:val="0"/>
          <w:marBottom w:val="0"/>
          <w:divBdr>
            <w:top w:val="none" w:sz="0" w:space="0" w:color="auto"/>
            <w:left w:val="none" w:sz="0" w:space="0" w:color="auto"/>
            <w:bottom w:val="none" w:sz="0" w:space="0" w:color="auto"/>
            <w:right w:val="none" w:sz="0" w:space="0" w:color="auto"/>
          </w:divBdr>
        </w:div>
        <w:div w:id="703410174">
          <w:marLeft w:val="0"/>
          <w:marRight w:val="0"/>
          <w:marTop w:val="0"/>
          <w:marBottom w:val="0"/>
          <w:divBdr>
            <w:top w:val="none" w:sz="0" w:space="0" w:color="auto"/>
            <w:left w:val="none" w:sz="0" w:space="0" w:color="auto"/>
            <w:bottom w:val="none" w:sz="0" w:space="0" w:color="auto"/>
            <w:right w:val="none" w:sz="0" w:space="0" w:color="auto"/>
          </w:divBdr>
        </w:div>
        <w:div w:id="712077617">
          <w:marLeft w:val="0"/>
          <w:marRight w:val="0"/>
          <w:marTop w:val="0"/>
          <w:marBottom w:val="0"/>
          <w:divBdr>
            <w:top w:val="none" w:sz="0" w:space="0" w:color="auto"/>
            <w:left w:val="none" w:sz="0" w:space="0" w:color="auto"/>
            <w:bottom w:val="none" w:sz="0" w:space="0" w:color="auto"/>
            <w:right w:val="none" w:sz="0" w:space="0" w:color="auto"/>
          </w:divBdr>
        </w:div>
        <w:div w:id="718358180">
          <w:marLeft w:val="0"/>
          <w:marRight w:val="0"/>
          <w:marTop w:val="0"/>
          <w:marBottom w:val="0"/>
          <w:divBdr>
            <w:top w:val="none" w:sz="0" w:space="0" w:color="auto"/>
            <w:left w:val="none" w:sz="0" w:space="0" w:color="auto"/>
            <w:bottom w:val="none" w:sz="0" w:space="0" w:color="auto"/>
            <w:right w:val="none" w:sz="0" w:space="0" w:color="auto"/>
          </w:divBdr>
        </w:div>
        <w:div w:id="739711620">
          <w:marLeft w:val="0"/>
          <w:marRight w:val="0"/>
          <w:marTop w:val="0"/>
          <w:marBottom w:val="0"/>
          <w:divBdr>
            <w:top w:val="none" w:sz="0" w:space="0" w:color="auto"/>
            <w:left w:val="none" w:sz="0" w:space="0" w:color="auto"/>
            <w:bottom w:val="none" w:sz="0" w:space="0" w:color="auto"/>
            <w:right w:val="none" w:sz="0" w:space="0" w:color="auto"/>
          </w:divBdr>
        </w:div>
        <w:div w:id="745809741">
          <w:marLeft w:val="0"/>
          <w:marRight w:val="0"/>
          <w:marTop w:val="0"/>
          <w:marBottom w:val="0"/>
          <w:divBdr>
            <w:top w:val="none" w:sz="0" w:space="0" w:color="auto"/>
            <w:left w:val="none" w:sz="0" w:space="0" w:color="auto"/>
            <w:bottom w:val="none" w:sz="0" w:space="0" w:color="auto"/>
            <w:right w:val="none" w:sz="0" w:space="0" w:color="auto"/>
          </w:divBdr>
        </w:div>
        <w:div w:id="767192563">
          <w:marLeft w:val="0"/>
          <w:marRight w:val="0"/>
          <w:marTop w:val="0"/>
          <w:marBottom w:val="0"/>
          <w:divBdr>
            <w:top w:val="none" w:sz="0" w:space="0" w:color="auto"/>
            <w:left w:val="none" w:sz="0" w:space="0" w:color="auto"/>
            <w:bottom w:val="none" w:sz="0" w:space="0" w:color="auto"/>
            <w:right w:val="none" w:sz="0" w:space="0" w:color="auto"/>
          </w:divBdr>
        </w:div>
        <w:div w:id="776364504">
          <w:marLeft w:val="0"/>
          <w:marRight w:val="0"/>
          <w:marTop w:val="0"/>
          <w:marBottom w:val="0"/>
          <w:divBdr>
            <w:top w:val="none" w:sz="0" w:space="0" w:color="auto"/>
            <w:left w:val="none" w:sz="0" w:space="0" w:color="auto"/>
            <w:bottom w:val="none" w:sz="0" w:space="0" w:color="auto"/>
            <w:right w:val="none" w:sz="0" w:space="0" w:color="auto"/>
          </w:divBdr>
        </w:div>
        <w:div w:id="776680395">
          <w:marLeft w:val="0"/>
          <w:marRight w:val="0"/>
          <w:marTop w:val="0"/>
          <w:marBottom w:val="0"/>
          <w:divBdr>
            <w:top w:val="none" w:sz="0" w:space="0" w:color="auto"/>
            <w:left w:val="none" w:sz="0" w:space="0" w:color="auto"/>
            <w:bottom w:val="none" w:sz="0" w:space="0" w:color="auto"/>
            <w:right w:val="none" w:sz="0" w:space="0" w:color="auto"/>
          </w:divBdr>
        </w:div>
        <w:div w:id="778453855">
          <w:marLeft w:val="0"/>
          <w:marRight w:val="0"/>
          <w:marTop w:val="0"/>
          <w:marBottom w:val="0"/>
          <w:divBdr>
            <w:top w:val="none" w:sz="0" w:space="0" w:color="auto"/>
            <w:left w:val="none" w:sz="0" w:space="0" w:color="auto"/>
            <w:bottom w:val="none" w:sz="0" w:space="0" w:color="auto"/>
            <w:right w:val="none" w:sz="0" w:space="0" w:color="auto"/>
          </w:divBdr>
        </w:div>
        <w:div w:id="798765205">
          <w:marLeft w:val="0"/>
          <w:marRight w:val="0"/>
          <w:marTop w:val="0"/>
          <w:marBottom w:val="0"/>
          <w:divBdr>
            <w:top w:val="none" w:sz="0" w:space="0" w:color="auto"/>
            <w:left w:val="none" w:sz="0" w:space="0" w:color="auto"/>
            <w:bottom w:val="none" w:sz="0" w:space="0" w:color="auto"/>
            <w:right w:val="none" w:sz="0" w:space="0" w:color="auto"/>
          </w:divBdr>
        </w:div>
        <w:div w:id="806238423">
          <w:marLeft w:val="0"/>
          <w:marRight w:val="0"/>
          <w:marTop w:val="0"/>
          <w:marBottom w:val="0"/>
          <w:divBdr>
            <w:top w:val="none" w:sz="0" w:space="0" w:color="auto"/>
            <w:left w:val="none" w:sz="0" w:space="0" w:color="auto"/>
            <w:bottom w:val="none" w:sz="0" w:space="0" w:color="auto"/>
            <w:right w:val="none" w:sz="0" w:space="0" w:color="auto"/>
          </w:divBdr>
        </w:div>
        <w:div w:id="820537718">
          <w:marLeft w:val="0"/>
          <w:marRight w:val="0"/>
          <w:marTop w:val="0"/>
          <w:marBottom w:val="0"/>
          <w:divBdr>
            <w:top w:val="none" w:sz="0" w:space="0" w:color="auto"/>
            <w:left w:val="none" w:sz="0" w:space="0" w:color="auto"/>
            <w:bottom w:val="none" w:sz="0" w:space="0" w:color="auto"/>
            <w:right w:val="none" w:sz="0" w:space="0" w:color="auto"/>
          </w:divBdr>
        </w:div>
        <w:div w:id="821000657">
          <w:marLeft w:val="0"/>
          <w:marRight w:val="0"/>
          <w:marTop w:val="0"/>
          <w:marBottom w:val="0"/>
          <w:divBdr>
            <w:top w:val="none" w:sz="0" w:space="0" w:color="auto"/>
            <w:left w:val="none" w:sz="0" w:space="0" w:color="auto"/>
            <w:bottom w:val="none" w:sz="0" w:space="0" w:color="auto"/>
            <w:right w:val="none" w:sz="0" w:space="0" w:color="auto"/>
          </w:divBdr>
        </w:div>
        <w:div w:id="829247902">
          <w:marLeft w:val="0"/>
          <w:marRight w:val="0"/>
          <w:marTop w:val="0"/>
          <w:marBottom w:val="0"/>
          <w:divBdr>
            <w:top w:val="none" w:sz="0" w:space="0" w:color="auto"/>
            <w:left w:val="none" w:sz="0" w:space="0" w:color="auto"/>
            <w:bottom w:val="none" w:sz="0" w:space="0" w:color="auto"/>
            <w:right w:val="none" w:sz="0" w:space="0" w:color="auto"/>
          </w:divBdr>
        </w:div>
        <w:div w:id="829323538">
          <w:marLeft w:val="0"/>
          <w:marRight w:val="0"/>
          <w:marTop w:val="0"/>
          <w:marBottom w:val="0"/>
          <w:divBdr>
            <w:top w:val="none" w:sz="0" w:space="0" w:color="auto"/>
            <w:left w:val="none" w:sz="0" w:space="0" w:color="auto"/>
            <w:bottom w:val="none" w:sz="0" w:space="0" w:color="auto"/>
            <w:right w:val="none" w:sz="0" w:space="0" w:color="auto"/>
          </w:divBdr>
        </w:div>
        <w:div w:id="867648474">
          <w:marLeft w:val="0"/>
          <w:marRight w:val="0"/>
          <w:marTop w:val="0"/>
          <w:marBottom w:val="0"/>
          <w:divBdr>
            <w:top w:val="none" w:sz="0" w:space="0" w:color="auto"/>
            <w:left w:val="none" w:sz="0" w:space="0" w:color="auto"/>
            <w:bottom w:val="none" w:sz="0" w:space="0" w:color="auto"/>
            <w:right w:val="none" w:sz="0" w:space="0" w:color="auto"/>
          </w:divBdr>
        </w:div>
        <w:div w:id="892617933">
          <w:marLeft w:val="0"/>
          <w:marRight w:val="0"/>
          <w:marTop w:val="0"/>
          <w:marBottom w:val="0"/>
          <w:divBdr>
            <w:top w:val="none" w:sz="0" w:space="0" w:color="auto"/>
            <w:left w:val="none" w:sz="0" w:space="0" w:color="auto"/>
            <w:bottom w:val="none" w:sz="0" w:space="0" w:color="auto"/>
            <w:right w:val="none" w:sz="0" w:space="0" w:color="auto"/>
          </w:divBdr>
        </w:div>
        <w:div w:id="921373815">
          <w:marLeft w:val="0"/>
          <w:marRight w:val="0"/>
          <w:marTop w:val="0"/>
          <w:marBottom w:val="0"/>
          <w:divBdr>
            <w:top w:val="none" w:sz="0" w:space="0" w:color="auto"/>
            <w:left w:val="none" w:sz="0" w:space="0" w:color="auto"/>
            <w:bottom w:val="none" w:sz="0" w:space="0" w:color="auto"/>
            <w:right w:val="none" w:sz="0" w:space="0" w:color="auto"/>
          </w:divBdr>
        </w:div>
        <w:div w:id="926382497">
          <w:marLeft w:val="0"/>
          <w:marRight w:val="0"/>
          <w:marTop w:val="0"/>
          <w:marBottom w:val="0"/>
          <w:divBdr>
            <w:top w:val="none" w:sz="0" w:space="0" w:color="auto"/>
            <w:left w:val="none" w:sz="0" w:space="0" w:color="auto"/>
            <w:bottom w:val="none" w:sz="0" w:space="0" w:color="auto"/>
            <w:right w:val="none" w:sz="0" w:space="0" w:color="auto"/>
          </w:divBdr>
        </w:div>
        <w:div w:id="933711543">
          <w:marLeft w:val="0"/>
          <w:marRight w:val="0"/>
          <w:marTop w:val="0"/>
          <w:marBottom w:val="0"/>
          <w:divBdr>
            <w:top w:val="none" w:sz="0" w:space="0" w:color="auto"/>
            <w:left w:val="none" w:sz="0" w:space="0" w:color="auto"/>
            <w:bottom w:val="none" w:sz="0" w:space="0" w:color="auto"/>
            <w:right w:val="none" w:sz="0" w:space="0" w:color="auto"/>
          </w:divBdr>
        </w:div>
        <w:div w:id="946933392">
          <w:marLeft w:val="0"/>
          <w:marRight w:val="0"/>
          <w:marTop w:val="0"/>
          <w:marBottom w:val="0"/>
          <w:divBdr>
            <w:top w:val="none" w:sz="0" w:space="0" w:color="auto"/>
            <w:left w:val="none" w:sz="0" w:space="0" w:color="auto"/>
            <w:bottom w:val="none" w:sz="0" w:space="0" w:color="auto"/>
            <w:right w:val="none" w:sz="0" w:space="0" w:color="auto"/>
          </w:divBdr>
        </w:div>
        <w:div w:id="950210406">
          <w:marLeft w:val="0"/>
          <w:marRight w:val="0"/>
          <w:marTop w:val="0"/>
          <w:marBottom w:val="0"/>
          <w:divBdr>
            <w:top w:val="none" w:sz="0" w:space="0" w:color="auto"/>
            <w:left w:val="none" w:sz="0" w:space="0" w:color="auto"/>
            <w:bottom w:val="none" w:sz="0" w:space="0" w:color="auto"/>
            <w:right w:val="none" w:sz="0" w:space="0" w:color="auto"/>
          </w:divBdr>
        </w:div>
        <w:div w:id="955599422">
          <w:marLeft w:val="0"/>
          <w:marRight w:val="0"/>
          <w:marTop w:val="0"/>
          <w:marBottom w:val="0"/>
          <w:divBdr>
            <w:top w:val="none" w:sz="0" w:space="0" w:color="auto"/>
            <w:left w:val="none" w:sz="0" w:space="0" w:color="auto"/>
            <w:bottom w:val="none" w:sz="0" w:space="0" w:color="auto"/>
            <w:right w:val="none" w:sz="0" w:space="0" w:color="auto"/>
          </w:divBdr>
        </w:div>
        <w:div w:id="1012338964">
          <w:marLeft w:val="0"/>
          <w:marRight w:val="0"/>
          <w:marTop w:val="0"/>
          <w:marBottom w:val="0"/>
          <w:divBdr>
            <w:top w:val="none" w:sz="0" w:space="0" w:color="auto"/>
            <w:left w:val="none" w:sz="0" w:space="0" w:color="auto"/>
            <w:bottom w:val="none" w:sz="0" w:space="0" w:color="auto"/>
            <w:right w:val="none" w:sz="0" w:space="0" w:color="auto"/>
          </w:divBdr>
        </w:div>
        <w:div w:id="1030296475">
          <w:marLeft w:val="0"/>
          <w:marRight w:val="0"/>
          <w:marTop w:val="0"/>
          <w:marBottom w:val="0"/>
          <w:divBdr>
            <w:top w:val="none" w:sz="0" w:space="0" w:color="auto"/>
            <w:left w:val="none" w:sz="0" w:space="0" w:color="auto"/>
            <w:bottom w:val="none" w:sz="0" w:space="0" w:color="auto"/>
            <w:right w:val="none" w:sz="0" w:space="0" w:color="auto"/>
          </w:divBdr>
        </w:div>
        <w:div w:id="1034648519">
          <w:marLeft w:val="0"/>
          <w:marRight w:val="0"/>
          <w:marTop w:val="0"/>
          <w:marBottom w:val="0"/>
          <w:divBdr>
            <w:top w:val="none" w:sz="0" w:space="0" w:color="auto"/>
            <w:left w:val="none" w:sz="0" w:space="0" w:color="auto"/>
            <w:bottom w:val="none" w:sz="0" w:space="0" w:color="auto"/>
            <w:right w:val="none" w:sz="0" w:space="0" w:color="auto"/>
          </w:divBdr>
        </w:div>
        <w:div w:id="1036388728">
          <w:marLeft w:val="0"/>
          <w:marRight w:val="0"/>
          <w:marTop w:val="0"/>
          <w:marBottom w:val="0"/>
          <w:divBdr>
            <w:top w:val="none" w:sz="0" w:space="0" w:color="auto"/>
            <w:left w:val="none" w:sz="0" w:space="0" w:color="auto"/>
            <w:bottom w:val="none" w:sz="0" w:space="0" w:color="auto"/>
            <w:right w:val="none" w:sz="0" w:space="0" w:color="auto"/>
          </w:divBdr>
        </w:div>
        <w:div w:id="1041633133">
          <w:marLeft w:val="0"/>
          <w:marRight w:val="0"/>
          <w:marTop w:val="0"/>
          <w:marBottom w:val="0"/>
          <w:divBdr>
            <w:top w:val="none" w:sz="0" w:space="0" w:color="auto"/>
            <w:left w:val="none" w:sz="0" w:space="0" w:color="auto"/>
            <w:bottom w:val="none" w:sz="0" w:space="0" w:color="auto"/>
            <w:right w:val="none" w:sz="0" w:space="0" w:color="auto"/>
          </w:divBdr>
        </w:div>
        <w:div w:id="1047605585">
          <w:marLeft w:val="0"/>
          <w:marRight w:val="0"/>
          <w:marTop w:val="0"/>
          <w:marBottom w:val="0"/>
          <w:divBdr>
            <w:top w:val="none" w:sz="0" w:space="0" w:color="auto"/>
            <w:left w:val="none" w:sz="0" w:space="0" w:color="auto"/>
            <w:bottom w:val="none" w:sz="0" w:space="0" w:color="auto"/>
            <w:right w:val="none" w:sz="0" w:space="0" w:color="auto"/>
          </w:divBdr>
        </w:div>
        <w:div w:id="1057893137">
          <w:marLeft w:val="0"/>
          <w:marRight w:val="0"/>
          <w:marTop w:val="0"/>
          <w:marBottom w:val="0"/>
          <w:divBdr>
            <w:top w:val="none" w:sz="0" w:space="0" w:color="auto"/>
            <w:left w:val="none" w:sz="0" w:space="0" w:color="auto"/>
            <w:bottom w:val="none" w:sz="0" w:space="0" w:color="auto"/>
            <w:right w:val="none" w:sz="0" w:space="0" w:color="auto"/>
          </w:divBdr>
        </w:div>
        <w:div w:id="1066949885">
          <w:marLeft w:val="0"/>
          <w:marRight w:val="0"/>
          <w:marTop w:val="0"/>
          <w:marBottom w:val="0"/>
          <w:divBdr>
            <w:top w:val="none" w:sz="0" w:space="0" w:color="auto"/>
            <w:left w:val="none" w:sz="0" w:space="0" w:color="auto"/>
            <w:bottom w:val="none" w:sz="0" w:space="0" w:color="auto"/>
            <w:right w:val="none" w:sz="0" w:space="0" w:color="auto"/>
          </w:divBdr>
        </w:div>
        <w:div w:id="1079988262">
          <w:marLeft w:val="0"/>
          <w:marRight w:val="0"/>
          <w:marTop w:val="0"/>
          <w:marBottom w:val="0"/>
          <w:divBdr>
            <w:top w:val="none" w:sz="0" w:space="0" w:color="auto"/>
            <w:left w:val="none" w:sz="0" w:space="0" w:color="auto"/>
            <w:bottom w:val="none" w:sz="0" w:space="0" w:color="auto"/>
            <w:right w:val="none" w:sz="0" w:space="0" w:color="auto"/>
          </w:divBdr>
        </w:div>
        <w:div w:id="1089691671">
          <w:marLeft w:val="0"/>
          <w:marRight w:val="0"/>
          <w:marTop w:val="0"/>
          <w:marBottom w:val="0"/>
          <w:divBdr>
            <w:top w:val="none" w:sz="0" w:space="0" w:color="auto"/>
            <w:left w:val="none" w:sz="0" w:space="0" w:color="auto"/>
            <w:bottom w:val="none" w:sz="0" w:space="0" w:color="auto"/>
            <w:right w:val="none" w:sz="0" w:space="0" w:color="auto"/>
          </w:divBdr>
        </w:div>
        <w:div w:id="1090155958">
          <w:marLeft w:val="0"/>
          <w:marRight w:val="0"/>
          <w:marTop w:val="0"/>
          <w:marBottom w:val="0"/>
          <w:divBdr>
            <w:top w:val="none" w:sz="0" w:space="0" w:color="auto"/>
            <w:left w:val="none" w:sz="0" w:space="0" w:color="auto"/>
            <w:bottom w:val="none" w:sz="0" w:space="0" w:color="auto"/>
            <w:right w:val="none" w:sz="0" w:space="0" w:color="auto"/>
          </w:divBdr>
        </w:div>
        <w:div w:id="1126242051">
          <w:marLeft w:val="0"/>
          <w:marRight w:val="0"/>
          <w:marTop w:val="0"/>
          <w:marBottom w:val="0"/>
          <w:divBdr>
            <w:top w:val="none" w:sz="0" w:space="0" w:color="auto"/>
            <w:left w:val="none" w:sz="0" w:space="0" w:color="auto"/>
            <w:bottom w:val="none" w:sz="0" w:space="0" w:color="auto"/>
            <w:right w:val="none" w:sz="0" w:space="0" w:color="auto"/>
          </w:divBdr>
        </w:div>
        <w:div w:id="1145127869">
          <w:marLeft w:val="0"/>
          <w:marRight w:val="0"/>
          <w:marTop w:val="0"/>
          <w:marBottom w:val="0"/>
          <w:divBdr>
            <w:top w:val="none" w:sz="0" w:space="0" w:color="auto"/>
            <w:left w:val="none" w:sz="0" w:space="0" w:color="auto"/>
            <w:bottom w:val="none" w:sz="0" w:space="0" w:color="auto"/>
            <w:right w:val="none" w:sz="0" w:space="0" w:color="auto"/>
          </w:divBdr>
        </w:div>
        <w:div w:id="1145901357">
          <w:marLeft w:val="0"/>
          <w:marRight w:val="0"/>
          <w:marTop w:val="0"/>
          <w:marBottom w:val="0"/>
          <w:divBdr>
            <w:top w:val="none" w:sz="0" w:space="0" w:color="auto"/>
            <w:left w:val="none" w:sz="0" w:space="0" w:color="auto"/>
            <w:bottom w:val="none" w:sz="0" w:space="0" w:color="auto"/>
            <w:right w:val="none" w:sz="0" w:space="0" w:color="auto"/>
          </w:divBdr>
        </w:div>
        <w:div w:id="1146628019">
          <w:marLeft w:val="0"/>
          <w:marRight w:val="0"/>
          <w:marTop w:val="0"/>
          <w:marBottom w:val="0"/>
          <w:divBdr>
            <w:top w:val="none" w:sz="0" w:space="0" w:color="auto"/>
            <w:left w:val="none" w:sz="0" w:space="0" w:color="auto"/>
            <w:bottom w:val="none" w:sz="0" w:space="0" w:color="auto"/>
            <w:right w:val="none" w:sz="0" w:space="0" w:color="auto"/>
          </w:divBdr>
        </w:div>
        <w:div w:id="1148519713">
          <w:marLeft w:val="0"/>
          <w:marRight w:val="0"/>
          <w:marTop w:val="0"/>
          <w:marBottom w:val="0"/>
          <w:divBdr>
            <w:top w:val="none" w:sz="0" w:space="0" w:color="auto"/>
            <w:left w:val="none" w:sz="0" w:space="0" w:color="auto"/>
            <w:bottom w:val="none" w:sz="0" w:space="0" w:color="auto"/>
            <w:right w:val="none" w:sz="0" w:space="0" w:color="auto"/>
          </w:divBdr>
        </w:div>
        <w:div w:id="1149009805">
          <w:marLeft w:val="0"/>
          <w:marRight w:val="0"/>
          <w:marTop w:val="0"/>
          <w:marBottom w:val="0"/>
          <w:divBdr>
            <w:top w:val="none" w:sz="0" w:space="0" w:color="auto"/>
            <w:left w:val="none" w:sz="0" w:space="0" w:color="auto"/>
            <w:bottom w:val="none" w:sz="0" w:space="0" w:color="auto"/>
            <w:right w:val="none" w:sz="0" w:space="0" w:color="auto"/>
          </w:divBdr>
        </w:div>
        <w:div w:id="1154176920">
          <w:marLeft w:val="0"/>
          <w:marRight w:val="0"/>
          <w:marTop w:val="0"/>
          <w:marBottom w:val="0"/>
          <w:divBdr>
            <w:top w:val="none" w:sz="0" w:space="0" w:color="auto"/>
            <w:left w:val="none" w:sz="0" w:space="0" w:color="auto"/>
            <w:bottom w:val="none" w:sz="0" w:space="0" w:color="auto"/>
            <w:right w:val="none" w:sz="0" w:space="0" w:color="auto"/>
          </w:divBdr>
        </w:div>
        <w:div w:id="1172263442">
          <w:marLeft w:val="0"/>
          <w:marRight w:val="0"/>
          <w:marTop w:val="0"/>
          <w:marBottom w:val="0"/>
          <w:divBdr>
            <w:top w:val="none" w:sz="0" w:space="0" w:color="auto"/>
            <w:left w:val="none" w:sz="0" w:space="0" w:color="auto"/>
            <w:bottom w:val="none" w:sz="0" w:space="0" w:color="auto"/>
            <w:right w:val="none" w:sz="0" w:space="0" w:color="auto"/>
          </w:divBdr>
        </w:div>
        <w:div w:id="1176766615">
          <w:marLeft w:val="0"/>
          <w:marRight w:val="0"/>
          <w:marTop w:val="0"/>
          <w:marBottom w:val="0"/>
          <w:divBdr>
            <w:top w:val="none" w:sz="0" w:space="0" w:color="auto"/>
            <w:left w:val="none" w:sz="0" w:space="0" w:color="auto"/>
            <w:bottom w:val="none" w:sz="0" w:space="0" w:color="auto"/>
            <w:right w:val="none" w:sz="0" w:space="0" w:color="auto"/>
          </w:divBdr>
        </w:div>
        <w:div w:id="1186209249">
          <w:marLeft w:val="0"/>
          <w:marRight w:val="0"/>
          <w:marTop w:val="0"/>
          <w:marBottom w:val="0"/>
          <w:divBdr>
            <w:top w:val="none" w:sz="0" w:space="0" w:color="auto"/>
            <w:left w:val="none" w:sz="0" w:space="0" w:color="auto"/>
            <w:bottom w:val="none" w:sz="0" w:space="0" w:color="auto"/>
            <w:right w:val="none" w:sz="0" w:space="0" w:color="auto"/>
          </w:divBdr>
        </w:div>
        <w:div w:id="1186477452">
          <w:marLeft w:val="0"/>
          <w:marRight w:val="0"/>
          <w:marTop w:val="0"/>
          <w:marBottom w:val="0"/>
          <w:divBdr>
            <w:top w:val="none" w:sz="0" w:space="0" w:color="auto"/>
            <w:left w:val="none" w:sz="0" w:space="0" w:color="auto"/>
            <w:bottom w:val="none" w:sz="0" w:space="0" w:color="auto"/>
            <w:right w:val="none" w:sz="0" w:space="0" w:color="auto"/>
          </w:divBdr>
        </w:div>
        <w:div w:id="1187866023">
          <w:marLeft w:val="0"/>
          <w:marRight w:val="0"/>
          <w:marTop w:val="0"/>
          <w:marBottom w:val="0"/>
          <w:divBdr>
            <w:top w:val="none" w:sz="0" w:space="0" w:color="auto"/>
            <w:left w:val="none" w:sz="0" w:space="0" w:color="auto"/>
            <w:bottom w:val="none" w:sz="0" w:space="0" w:color="auto"/>
            <w:right w:val="none" w:sz="0" w:space="0" w:color="auto"/>
          </w:divBdr>
        </w:div>
        <w:div w:id="1221137382">
          <w:marLeft w:val="0"/>
          <w:marRight w:val="0"/>
          <w:marTop w:val="0"/>
          <w:marBottom w:val="0"/>
          <w:divBdr>
            <w:top w:val="none" w:sz="0" w:space="0" w:color="auto"/>
            <w:left w:val="none" w:sz="0" w:space="0" w:color="auto"/>
            <w:bottom w:val="none" w:sz="0" w:space="0" w:color="auto"/>
            <w:right w:val="none" w:sz="0" w:space="0" w:color="auto"/>
          </w:divBdr>
        </w:div>
        <w:div w:id="1223172489">
          <w:marLeft w:val="0"/>
          <w:marRight w:val="0"/>
          <w:marTop w:val="0"/>
          <w:marBottom w:val="0"/>
          <w:divBdr>
            <w:top w:val="none" w:sz="0" w:space="0" w:color="auto"/>
            <w:left w:val="none" w:sz="0" w:space="0" w:color="auto"/>
            <w:bottom w:val="none" w:sz="0" w:space="0" w:color="auto"/>
            <w:right w:val="none" w:sz="0" w:space="0" w:color="auto"/>
          </w:divBdr>
        </w:div>
        <w:div w:id="1228955695">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240023142">
          <w:marLeft w:val="0"/>
          <w:marRight w:val="0"/>
          <w:marTop w:val="0"/>
          <w:marBottom w:val="0"/>
          <w:divBdr>
            <w:top w:val="none" w:sz="0" w:space="0" w:color="auto"/>
            <w:left w:val="none" w:sz="0" w:space="0" w:color="auto"/>
            <w:bottom w:val="none" w:sz="0" w:space="0" w:color="auto"/>
            <w:right w:val="none" w:sz="0" w:space="0" w:color="auto"/>
          </w:divBdr>
        </w:div>
        <w:div w:id="1248730639">
          <w:marLeft w:val="0"/>
          <w:marRight w:val="0"/>
          <w:marTop w:val="0"/>
          <w:marBottom w:val="0"/>
          <w:divBdr>
            <w:top w:val="none" w:sz="0" w:space="0" w:color="auto"/>
            <w:left w:val="none" w:sz="0" w:space="0" w:color="auto"/>
            <w:bottom w:val="none" w:sz="0" w:space="0" w:color="auto"/>
            <w:right w:val="none" w:sz="0" w:space="0" w:color="auto"/>
          </w:divBdr>
        </w:div>
        <w:div w:id="1251699273">
          <w:marLeft w:val="0"/>
          <w:marRight w:val="0"/>
          <w:marTop w:val="0"/>
          <w:marBottom w:val="0"/>
          <w:divBdr>
            <w:top w:val="none" w:sz="0" w:space="0" w:color="auto"/>
            <w:left w:val="none" w:sz="0" w:space="0" w:color="auto"/>
            <w:bottom w:val="none" w:sz="0" w:space="0" w:color="auto"/>
            <w:right w:val="none" w:sz="0" w:space="0" w:color="auto"/>
          </w:divBdr>
        </w:div>
        <w:div w:id="1255087845">
          <w:marLeft w:val="0"/>
          <w:marRight w:val="0"/>
          <w:marTop w:val="0"/>
          <w:marBottom w:val="0"/>
          <w:divBdr>
            <w:top w:val="none" w:sz="0" w:space="0" w:color="auto"/>
            <w:left w:val="none" w:sz="0" w:space="0" w:color="auto"/>
            <w:bottom w:val="none" w:sz="0" w:space="0" w:color="auto"/>
            <w:right w:val="none" w:sz="0" w:space="0" w:color="auto"/>
          </w:divBdr>
        </w:div>
        <w:div w:id="1261992136">
          <w:marLeft w:val="0"/>
          <w:marRight w:val="0"/>
          <w:marTop w:val="0"/>
          <w:marBottom w:val="0"/>
          <w:divBdr>
            <w:top w:val="none" w:sz="0" w:space="0" w:color="auto"/>
            <w:left w:val="none" w:sz="0" w:space="0" w:color="auto"/>
            <w:bottom w:val="none" w:sz="0" w:space="0" w:color="auto"/>
            <w:right w:val="none" w:sz="0" w:space="0" w:color="auto"/>
          </w:divBdr>
        </w:div>
        <w:div w:id="1264261585">
          <w:marLeft w:val="0"/>
          <w:marRight w:val="0"/>
          <w:marTop w:val="0"/>
          <w:marBottom w:val="0"/>
          <w:divBdr>
            <w:top w:val="none" w:sz="0" w:space="0" w:color="auto"/>
            <w:left w:val="none" w:sz="0" w:space="0" w:color="auto"/>
            <w:bottom w:val="none" w:sz="0" w:space="0" w:color="auto"/>
            <w:right w:val="none" w:sz="0" w:space="0" w:color="auto"/>
          </w:divBdr>
        </w:div>
        <w:div w:id="1265068507">
          <w:marLeft w:val="0"/>
          <w:marRight w:val="0"/>
          <w:marTop w:val="0"/>
          <w:marBottom w:val="0"/>
          <w:divBdr>
            <w:top w:val="none" w:sz="0" w:space="0" w:color="auto"/>
            <w:left w:val="none" w:sz="0" w:space="0" w:color="auto"/>
            <w:bottom w:val="none" w:sz="0" w:space="0" w:color="auto"/>
            <w:right w:val="none" w:sz="0" w:space="0" w:color="auto"/>
          </w:divBdr>
        </w:div>
        <w:div w:id="1285766683">
          <w:marLeft w:val="0"/>
          <w:marRight w:val="0"/>
          <w:marTop w:val="0"/>
          <w:marBottom w:val="0"/>
          <w:divBdr>
            <w:top w:val="none" w:sz="0" w:space="0" w:color="auto"/>
            <w:left w:val="none" w:sz="0" w:space="0" w:color="auto"/>
            <w:bottom w:val="none" w:sz="0" w:space="0" w:color="auto"/>
            <w:right w:val="none" w:sz="0" w:space="0" w:color="auto"/>
          </w:divBdr>
        </w:div>
        <w:div w:id="1294409767">
          <w:marLeft w:val="0"/>
          <w:marRight w:val="0"/>
          <w:marTop w:val="0"/>
          <w:marBottom w:val="0"/>
          <w:divBdr>
            <w:top w:val="none" w:sz="0" w:space="0" w:color="auto"/>
            <w:left w:val="none" w:sz="0" w:space="0" w:color="auto"/>
            <w:bottom w:val="none" w:sz="0" w:space="0" w:color="auto"/>
            <w:right w:val="none" w:sz="0" w:space="0" w:color="auto"/>
          </w:divBdr>
        </w:div>
        <w:div w:id="1301421222">
          <w:marLeft w:val="0"/>
          <w:marRight w:val="0"/>
          <w:marTop w:val="0"/>
          <w:marBottom w:val="0"/>
          <w:divBdr>
            <w:top w:val="none" w:sz="0" w:space="0" w:color="auto"/>
            <w:left w:val="none" w:sz="0" w:space="0" w:color="auto"/>
            <w:bottom w:val="none" w:sz="0" w:space="0" w:color="auto"/>
            <w:right w:val="none" w:sz="0" w:space="0" w:color="auto"/>
          </w:divBdr>
        </w:div>
        <w:div w:id="1304771864">
          <w:marLeft w:val="0"/>
          <w:marRight w:val="0"/>
          <w:marTop w:val="0"/>
          <w:marBottom w:val="0"/>
          <w:divBdr>
            <w:top w:val="none" w:sz="0" w:space="0" w:color="auto"/>
            <w:left w:val="none" w:sz="0" w:space="0" w:color="auto"/>
            <w:bottom w:val="none" w:sz="0" w:space="0" w:color="auto"/>
            <w:right w:val="none" w:sz="0" w:space="0" w:color="auto"/>
          </w:divBdr>
        </w:div>
        <w:div w:id="1311254653">
          <w:marLeft w:val="0"/>
          <w:marRight w:val="0"/>
          <w:marTop w:val="0"/>
          <w:marBottom w:val="0"/>
          <w:divBdr>
            <w:top w:val="none" w:sz="0" w:space="0" w:color="auto"/>
            <w:left w:val="none" w:sz="0" w:space="0" w:color="auto"/>
            <w:bottom w:val="none" w:sz="0" w:space="0" w:color="auto"/>
            <w:right w:val="none" w:sz="0" w:space="0" w:color="auto"/>
          </w:divBdr>
        </w:div>
        <w:div w:id="1321349120">
          <w:marLeft w:val="0"/>
          <w:marRight w:val="0"/>
          <w:marTop w:val="0"/>
          <w:marBottom w:val="0"/>
          <w:divBdr>
            <w:top w:val="none" w:sz="0" w:space="0" w:color="auto"/>
            <w:left w:val="none" w:sz="0" w:space="0" w:color="auto"/>
            <w:bottom w:val="none" w:sz="0" w:space="0" w:color="auto"/>
            <w:right w:val="none" w:sz="0" w:space="0" w:color="auto"/>
          </w:divBdr>
        </w:div>
        <w:div w:id="1329405102">
          <w:marLeft w:val="0"/>
          <w:marRight w:val="0"/>
          <w:marTop w:val="0"/>
          <w:marBottom w:val="0"/>
          <w:divBdr>
            <w:top w:val="none" w:sz="0" w:space="0" w:color="auto"/>
            <w:left w:val="none" w:sz="0" w:space="0" w:color="auto"/>
            <w:bottom w:val="none" w:sz="0" w:space="0" w:color="auto"/>
            <w:right w:val="none" w:sz="0" w:space="0" w:color="auto"/>
          </w:divBdr>
        </w:div>
        <w:div w:id="1332022241">
          <w:marLeft w:val="0"/>
          <w:marRight w:val="0"/>
          <w:marTop w:val="0"/>
          <w:marBottom w:val="0"/>
          <w:divBdr>
            <w:top w:val="none" w:sz="0" w:space="0" w:color="auto"/>
            <w:left w:val="none" w:sz="0" w:space="0" w:color="auto"/>
            <w:bottom w:val="none" w:sz="0" w:space="0" w:color="auto"/>
            <w:right w:val="none" w:sz="0" w:space="0" w:color="auto"/>
          </w:divBdr>
        </w:div>
        <w:div w:id="1368599084">
          <w:marLeft w:val="0"/>
          <w:marRight w:val="0"/>
          <w:marTop w:val="0"/>
          <w:marBottom w:val="0"/>
          <w:divBdr>
            <w:top w:val="none" w:sz="0" w:space="0" w:color="auto"/>
            <w:left w:val="none" w:sz="0" w:space="0" w:color="auto"/>
            <w:bottom w:val="none" w:sz="0" w:space="0" w:color="auto"/>
            <w:right w:val="none" w:sz="0" w:space="0" w:color="auto"/>
          </w:divBdr>
        </w:div>
        <w:div w:id="1379236488">
          <w:marLeft w:val="0"/>
          <w:marRight w:val="0"/>
          <w:marTop w:val="0"/>
          <w:marBottom w:val="0"/>
          <w:divBdr>
            <w:top w:val="none" w:sz="0" w:space="0" w:color="auto"/>
            <w:left w:val="none" w:sz="0" w:space="0" w:color="auto"/>
            <w:bottom w:val="none" w:sz="0" w:space="0" w:color="auto"/>
            <w:right w:val="none" w:sz="0" w:space="0" w:color="auto"/>
          </w:divBdr>
        </w:div>
        <w:div w:id="1388842344">
          <w:marLeft w:val="0"/>
          <w:marRight w:val="0"/>
          <w:marTop w:val="0"/>
          <w:marBottom w:val="0"/>
          <w:divBdr>
            <w:top w:val="none" w:sz="0" w:space="0" w:color="auto"/>
            <w:left w:val="none" w:sz="0" w:space="0" w:color="auto"/>
            <w:bottom w:val="none" w:sz="0" w:space="0" w:color="auto"/>
            <w:right w:val="none" w:sz="0" w:space="0" w:color="auto"/>
          </w:divBdr>
        </w:div>
        <w:div w:id="1390300649">
          <w:marLeft w:val="0"/>
          <w:marRight w:val="0"/>
          <w:marTop w:val="0"/>
          <w:marBottom w:val="0"/>
          <w:divBdr>
            <w:top w:val="none" w:sz="0" w:space="0" w:color="auto"/>
            <w:left w:val="none" w:sz="0" w:space="0" w:color="auto"/>
            <w:bottom w:val="none" w:sz="0" w:space="0" w:color="auto"/>
            <w:right w:val="none" w:sz="0" w:space="0" w:color="auto"/>
          </w:divBdr>
        </w:div>
        <w:div w:id="1394620096">
          <w:marLeft w:val="0"/>
          <w:marRight w:val="0"/>
          <w:marTop w:val="0"/>
          <w:marBottom w:val="0"/>
          <w:divBdr>
            <w:top w:val="none" w:sz="0" w:space="0" w:color="auto"/>
            <w:left w:val="none" w:sz="0" w:space="0" w:color="auto"/>
            <w:bottom w:val="none" w:sz="0" w:space="0" w:color="auto"/>
            <w:right w:val="none" w:sz="0" w:space="0" w:color="auto"/>
          </w:divBdr>
        </w:div>
        <w:div w:id="1396971343">
          <w:marLeft w:val="0"/>
          <w:marRight w:val="0"/>
          <w:marTop w:val="0"/>
          <w:marBottom w:val="0"/>
          <w:divBdr>
            <w:top w:val="none" w:sz="0" w:space="0" w:color="auto"/>
            <w:left w:val="none" w:sz="0" w:space="0" w:color="auto"/>
            <w:bottom w:val="none" w:sz="0" w:space="0" w:color="auto"/>
            <w:right w:val="none" w:sz="0" w:space="0" w:color="auto"/>
          </w:divBdr>
        </w:div>
        <w:div w:id="1401951233">
          <w:marLeft w:val="0"/>
          <w:marRight w:val="0"/>
          <w:marTop w:val="0"/>
          <w:marBottom w:val="0"/>
          <w:divBdr>
            <w:top w:val="none" w:sz="0" w:space="0" w:color="auto"/>
            <w:left w:val="none" w:sz="0" w:space="0" w:color="auto"/>
            <w:bottom w:val="none" w:sz="0" w:space="0" w:color="auto"/>
            <w:right w:val="none" w:sz="0" w:space="0" w:color="auto"/>
          </w:divBdr>
        </w:div>
        <w:div w:id="1406877862">
          <w:marLeft w:val="0"/>
          <w:marRight w:val="0"/>
          <w:marTop w:val="0"/>
          <w:marBottom w:val="0"/>
          <w:divBdr>
            <w:top w:val="none" w:sz="0" w:space="0" w:color="auto"/>
            <w:left w:val="none" w:sz="0" w:space="0" w:color="auto"/>
            <w:bottom w:val="none" w:sz="0" w:space="0" w:color="auto"/>
            <w:right w:val="none" w:sz="0" w:space="0" w:color="auto"/>
          </w:divBdr>
        </w:div>
        <w:div w:id="1444686563">
          <w:marLeft w:val="0"/>
          <w:marRight w:val="0"/>
          <w:marTop w:val="0"/>
          <w:marBottom w:val="0"/>
          <w:divBdr>
            <w:top w:val="none" w:sz="0" w:space="0" w:color="auto"/>
            <w:left w:val="none" w:sz="0" w:space="0" w:color="auto"/>
            <w:bottom w:val="none" w:sz="0" w:space="0" w:color="auto"/>
            <w:right w:val="none" w:sz="0" w:space="0" w:color="auto"/>
          </w:divBdr>
        </w:div>
        <w:div w:id="1455832192">
          <w:marLeft w:val="0"/>
          <w:marRight w:val="0"/>
          <w:marTop w:val="0"/>
          <w:marBottom w:val="0"/>
          <w:divBdr>
            <w:top w:val="none" w:sz="0" w:space="0" w:color="auto"/>
            <w:left w:val="none" w:sz="0" w:space="0" w:color="auto"/>
            <w:bottom w:val="none" w:sz="0" w:space="0" w:color="auto"/>
            <w:right w:val="none" w:sz="0" w:space="0" w:color="auto"/>
          </w:divBdr>
        </w:div>
        <w:div w:id="1458182102">
          <w:marLeft w:val="0"/>
          <w:marRight w:val="0"/>
          <w:marTop w:val="0"/>
          <w:marBottom w:val="0"/>
          <w:divBdr>
            <w:top w:val="none" w:sz="0" w:space="0" w:color="auto"/>
            <w:left w:val="none" w:sz="0" w:space="0" w:color="auto"/>
            <w:bottom w:val="none" w:sz="0" w:space="0" w:color="auto"/>
            <w:right w:val="none" w:sz="0" w:space="0" w:color="auto"/>
          </w:divBdr>
        </w:div>
        <w:div w:id="1474711467">
          <w:marLeft w:val="0"/>
          <w:marRight w:val="0"/>
          <w:marTop w:val="0"/>
          <w:marBottom w:val="0"/>
          <w:divBdr>
            <w:top w:val="none" w:sz="0" w:space="0" w:color="auto"/>
            <w:left w:val="none" w:sz="0" w:space="0" w:color="auto"/>
            <w:bottom w:val="none" w:sz="0" w:space="0" w:color="auto"/>
            <w:right w:val="none" w:sz="0" w:space="0" w:color="auto"/>
          </w:divBdr>
        </w:div>
        <w:div w:id="1481077900">
          <w:marLeft w:val="0"/>
          <w:marRight w:val="0"/>
          <w:marTop w:val="0"/>
          <w:marBottom w:val="0"/>
          <w:divBdr>
            <w:top w:val="none" w:sz="0" w:space="0" w:color="auto"/>
            <w:left w:val="none" w:sz="0" w:space="0" w:color="auto"/>
            <w:bottom w:val="none" w:sz="0" w:space="0" w:color="auto"/>
            <w:right w:val="none" w:sz="0" w:space="0" w:color="auto"/>
          </w:divBdr>
        </w:div>
        <w:div w:id="1488742542">
          <w:marLeft w:val="0"/>
          <w:marRight w:val="0"/>
          <w:marTop w:val="0"/>
          <w:marBottom w:val="0"/>
          <w:divBdr>
            <w:top w:val="none" w:sz="0" w:space="0" w:color="auto"/>
            <w:left w:val="none" w:sz="0" w:space="0" w:color="auto"/>
            <w:bottom w:val="none" w:sz="0" w:space="0" w:color="auto"/>
            <w:right w:val="none" w:sz="0" w:space="0" w:color="auto"/>
          </w:divBdr>
        </w:div>
        <w:div w:id="1525168587">
          <w:marLeft w:val="0"/>
          <w:marRight w:val="0"/>
          <w:marTop w:val="0"/>
          <w:marBottom w:val="0"/>
          <w:divBdr>
            <w:top w:val="none" w:sz="0" w:space="0" w:color="auto"/>
            <w:left w:val="none" w:sz="0" w:space="0" w:color="auto"/>
            <w:bottom w:val="none" w:sz="0" w:space="0" w:color="auto"/>
            <w:right w:val="none" w:sz="0" w:space="0" w:color="auto"/>
          </w:divBdr>
        </w:div>
        <w:div w:id="1527718898">
          <w:marLeft w:val="0"/>
          <w:marRight w:val="0"/>
          <w:marTop w:val="0"/>
          <w:marBottom w:val="0"/>
          <w:divBdr>
            <w:top w:val="none" w:sz="0" w:space="0" w:color="auto"/>
            <w:left w:val="none" w:sz="0" w:space="0" w:color="auto"/>
            <w:bottom w:val="none" w:sz="0" w:space="0" w:color="auto"/>
            <w:right w:val="none" w:sz="0" w:space="0" w:color="auto"/>
          </w:divBdr>
        </w:div>
        <w:div w:id="1537888721">
          <w:marLeft w:val="0"/>
          <w:marRight w:val="0"/>
          <w:marTop w:val="0"/>
          <w:marBottom w:val="0"/>
          <w:divBdr>
            <w:top w:val="none" w:sz="0" w:space="0" w:color="auto"/>
            <w:left w:val="none" w:sz="0" w:space="0" w:color="auto"/>
            <w:bottom w:val="none" w:sz="0" w:space="0" w:color="auto"/>
            <w:right w:val="none" w:sz="0" w:space="0" w:color="auto"/>
          </w:divBdr>
        </w:div>
        <w:div w:id="1542672009">
          <w:marLeft w:val="0"/>
          <w:marRight w:val="0"/>
          <w:marTop w:val="0"/>
          <w:marBottom w:val="0"/>
          <w:divBdr>
            <w:top w:val="none" w:sz="0" w:space="0" w:color="auto"/>
            <w:left w:val="none" w:sz="0" w:space="0" w:color="auto"/>
            <w:bottom w:val="none" w:sz="0" w:space="0" w:color="auto"/>
            <w:right w:val="none" w:sz="0" w:space="0" w:color="auto"/>
          </w:divBdr>
        </w:div>
        <w:div w:id="1545017069">
          <w:marLeft w:val="0"/>
          <w:marRight w:val="0"/>
          <w:marTop w:val="0"/>
          <w:marBottom w:val="0"/>
          <w:divBdr>
            <w:top w:val="none" w:sz="0" w:space="0" w:color="auto"/>
            <w:left w:val="none" w:sz="0" w:space="0" w:color="auto"/>
            <w:bottom w:val="none" w:sz="0" w:space="0" w:color="auto"/>
            <w:right w:val="none" w:sz="0" w:space="0" w:color="auto"/>
          </w:divBdr>
        </w:div>
        <w:div w:id="1546411415">
          <w:marLeft w:val="0"/>
          <w:marRight w:val="0"/>
          <w:marTop w:val="0"/>
          <w:marBottom w:val="0"/>
          <w:divBdr>
            <w:top w:val="none" w:sz="0" w:space="0" w:color="auto"/>
            <w:left w:val="none" w:sz="0" w:space="0" w:color="auto"/>
            <w:bottom w:val="none" w:sz="0" w:space="0" w:color="auto"/>
            <w:right w:val="none" w:sz="0" w:space="0" w:color="auto"/>
          </w:divBdr>
        </w:div>
        <w:div w:id="1548184316">
          <w:marLeft w:val="0"/>
          <w:marRight w:val="0"/>
          <w:marTop w:val="0"/>
          <w:marBottom w:val="0"/>
          <w:divBdr>
            <w:top w:val="none" w:sz="0" w:space="0" w:color="auto"/>
            <w:left w:val="none" w:sz="0" w:space="0" w:color="auto"/>
            <w:bottom w:val="none" w:sz="0" w:space="0" w:color="auto"/>
            <w:right w:val="none" w:sz="0" w:space="0" w:color="auto"/>
          </w:divBdr>
        </w:div>
        <w:div w:id="1578441213">
          <w:marLeft w:val="0"/>
          <w:marRight w:val="0"/>
          <w:marTop w:val="0"/>
          <w:marBottom w:val="0"/>
          <w:divBdr>
            <w:top w:val="none" w:sz="0" w:space="0" w:color="auto"/>
            <w:left w:val="none" w:sz="0" w:space="0" w:color="auto"/>
            <w:bottom w:val="none" w:sz="0" w:space="0" w:color="auto"/>
            <w:right w:val="none" w:sz="0" w:space="0" w:color="auto"/>
          </w:divBdr>
        </w:div>
        <w:div w:id="1586063127">
          <w:marLeft w:val="0"/>
          <w:marRight w:val="0"/>
          <w:marTop w:val="0"/>
          <w:marBottom w:val="0"/>
          <w:divBdr>
            <w:top w:val="none" w:sz="0" w:space="0" w:color="auto"/>
            <w:left w:val="none" w:sz="0" w:space="0" w:color="auto"/>
            <w:bottom w:val="none" w:sz="0" w:space="0" w:color="auto"/>
            <w:right w:val="none" w:sz="0" w:space="0" w:color="auto"/>
          </w:divBdr>
        </w:div>
        <w:div w:id="1591038632">
          <w:marLeft w:val="0"/>
          <w:marRight w:val="0"/>
          <w:marTop w:val="0"/>
          <w:marBottom w:val="0"/>
          <w:divBdr>
            <w:top w:val="none" w:sz="0" w:space="0" w:color="auto"/>
            <w:left w:val="none" w:sz="0" w:space="0" w:color="auto"/>
            <w:bottom w:val="none" w:sz="0" w:space="0" w:color="auto"/>
            <w:right w:val="none" w:sz="0" w:space="0" w:color="auto"/>
          </w:divBdr>
        </w:div>
        <w:div w:id="1604874700">
          <w:marLeft w:val="0"/>
          <w:marRight w:val="0"/>
          <w:marTop w:val="0"/>
          <w:marBottom w:val="0"/>
          <w:divBdr>
            <w:top w:val="none" w:sz="0" w:space="0" w:color="auto"/>
            <w:left w:val="none" w:sz="0" w:space="0" w:color="auto"/>
            <w:bottom w:val="none" w:sz="0" w:space="0" w:color="auto"/>
            <w:right w:val="none" w:sz="0" w:space="0" w:color="auto"/>
          </w:divBdr>
        </w:div>
        <w:div w:id="1608391240">
          <w:marLeft w:val="0"/>
          <w:marRight w:val="0"/>
          <w:marTop w:val="0"/>
          <w:marBottom w:val="0"/>
          <w:divBdr>
            <w:top w:val="none" w:sz="0" w:space="0" w:color="auto"/>
            <w:left w:val="none" w:sz="0" w:space="0" w:color="auto"/>
            <w:bottom w:val="none" w:sz="0" w:space="0" w:color="auto"/>
            <w:right w:val="none" w:sz="0" w:space="0" w:color="auto"/>
          </w:divBdr>
        </w:div>
        <w:div w:id="1619680407">
          <w:marLeft w:val="0"/>
          <w:marRight w:val="0"/>
          <w:marTop w:val="0"/>
          <w:marBottom w:val="0"/>
          <w:divBdr>
            <w:top w:val="none" w:sz="0" w:space="0" w:color="auto"/>
            <w:left w:val="none" w:sz="0" w:space="0" w:color="auto"/>
            <w:bottom w:val="none" w:sz="0" w:space="0" w:color="auto"/>
            <w:right w:val="none" w:sz="0" w:space="0" w:color="auto"/>
          </w:divBdr>
        </w:div>
        <w:div w:id="1739133107">
          <w:marLeft w:val="0"/>
          <w:marRight w:val="0"/>
          <w:marTop w:val="0"/>
          <w:marBottom w:val="0"/>
          <w:divBdr>
            <w:top w:val="none" w:sz="0" w:space="0" w:color="auto"/>
            <w:left w:val="none" w:sz="0" w:space="0" w:color="auto"/>
            <w:bottom w:val="none" w:sz="0" w:space="0" w:color="auto"/>
            <w:right w:val="none" w:sz="0" w:space="0" w:color="auto"/>
          </w:divBdr>
        </w:div>
        <w:div w:id="1756854607">
          <w:marLeft w:val="0"/>
          <w:marRight w:val="0"/>
          <w:marTop w:val="0"/>
          <w:marBottom w:val="0"/>
          <w:divBdr>
            <w:top w:val="none" w:sz="0" w:space="0" w:color="auto"/>
            <w:left w:val="none" w:sz="0" w:space="0" w:color="auto"/>
            <w:bottom w:val="none" w:sz="0" w:space="0" w:color="auto"/>
            <w:right w:val="none" w:sz="0" w:space="0" w:color="auto"/>
          </w:divBdr>
        </w:div>
        <w:div w:id="1775249925">
          <w:marLeft w:val="0"/>
          <w:marRight w:val="0"/>
          <w:marTop w:val="0"/>
          <w:marBottom w:val="0"/>
          <w:divBdr>
            <w:top w:val="none" w:sz="0" w:space="0" w:color="auto"/>
            <w:left w:val="none" w:sz="0" w:space="0" w:color="auto"/>
            <w:bottom w:val="none" w:sz="0" w:space="0" w:color="auto"/>
            <w:right w:val="none" w:sz="0" w:space="0" w:color="auto"/>
          </w:divBdr>
        </w:div>
        <w:div w:id="1782020883">
          <w:marLeft w:val="0"/>
          <w:marRight w:val="0"/>
          <w:marTop w:val="0"/>
          <w:marBottom w:val="0"/>
          <w:divBdr>
            <w:top w:val="none" w:sz="0" w:space="0" w:color="auto"/>
            <w:left w:val="none" w:sz="0" w:space="0" w:color="auto"/>
            <w:bottom w:val="none" w:sz="0" w:space="0" w:color="auto"/>
            <w:right w:val="none" w:sz="0" w:space="0" w:color="auto"/>
          </w:divBdr>
        </w:div>
        <w:div w:id="1800998628">
          <w:marLeft w:val="0"/>
          <w:marRight w:val="0"/>
          <w:marTop w:val="0"/>
          <w:marBottom w:val="0"/>
          <w:divBdr>
            <w:top w:val="none" w:sz="0" w:space="0" w:color="auto"/>
            <w:left w:val="none" w:sz="0" w:space="0" w:color="auto"/>
            <w:bottom w:val="none" w:sz="0" w:space="0" w:color="auto"/>
            <w:right w:val="none" w:sz="0" w:space="0" w:color="auto"/>
          </w:divBdr>
        </w:div>
        <w:div w:id="1820415915">
          <w:marLeft w:val="0"/>
          <w:marRight w:val="0"/>
          <w:marTop w:val="0"/>
          <w:marBottom w:val="0"/>
          <w:divBdr>
            <w:top w:val="none" w:sz="0" w:space="0" w:color="auto"/>
            <w:left w:val="none" w:sz="0" w:space="0" w:color="auto"/>
            <w:bottom w:val="none" w:sz="0" w:space="0" w:color="auto"/>
            <w:right w:val="none" w:sz="0" w:space="0" w:color="auto"/>
          </w:divBdr>
        </w:div>
        <w:div w:id="1867401411">
          <w:marLeft w:val="0"/>
          <w:marRight w:val="0"/>
          <w:marTop w:val="0"/>
          <w:marBottom w:val="0"/>
          <w:divBdr>
            <w:top w:val="none" w:sz="0" w:space="0" w:color="auto"/>
            <w:left w:val="none" w:sz="0" w:space="0" w:color="auto"/>
            <w:bottom w:val="none" w:sz="0" w:space="0" w:color="auto"/>
            <w:right w:val="none" w:sz="0" w:space="0" w:color="auto"/>
          </w:divBdr>
        </w:div>
        <w:div w:id="1879320650">
          <w:marLeft w:val="0"/>
          <w:marRight w:val="0"/>
          <w:marTop w:val="0"/>
          <w:marBottom w:val="0"/>
          <w:divBdr>
            <w:top w:val="none" w:sz="0" w:space="0" w:color="auto"/>
            <w:left w:val="none" w:sz="0" w:space="0" w:color="auto"/>
            <w:bottom w:val="none" w:sz="0" w:space="0" w:color="auto"/>
            <w:right w:val="none" w:sz="0" w:space="0" w:color="auto"/>
          </w:divBdr>
        </w:div>
        <w:div w:id="1881278630">
          <w:marLeft w:val="0"/>
          <w:marRight w:val="0"/>
          <w:marTop w:val="0"/>
          <w:marBottom w:val="0"/>
          <w:divBdr>
            <w:top w:val="none" w:sz="0" w:space="0" w:color="auto"/>
            <w:left w:val="none" w:sz="0" w:space="0" w:color="auto"/>
            <w:bottom w:val="none" w:sz="0" w:space="0" w:color="auto"/>
            <w:right w:val="none" w:sz="0" w:space="0" w:color="auto"/>
          </w:divBdr>
        </w:div>
        <w:div w:id="1918980025">
          <w:marLeft w:val="0"/>
          <w:marRight w:val="0"/>
          <w:marTop w:val="0"/>
          <w:marBottom w:val="0"/>
          <w:divBdr>
            <w:top w:val="none" w:sz="0" w:space="0" w:color="auto"/>
            <w:left w:val="none" w:sz="0" w:space="0" w:color="auto"/>
            <w:bottom w:val="none" w:sz="0" w:space="0" w:color="auto"/>
            <w:right w:val="none" w:sz="0" w:space="0" w:color="auto"/>
          </w:divBdr>
        </w:div>
        <w:div w:id="1928921790">
          <w:marLeft w:val="0"/>
          <w:marRight w:val="0"/>
          <w:marTop w:val="0"/>
          <w:marBottom w:val="0"/>
          <w:divBdr>
            <w:top w:val="none" w:sz="0" w:space="0" w:color="auto"/>
            <w:left w:val="none" w:sz="0" w:space="0" w:color="auto"/>
            <w:bottom w:val="none" w:sz="0" w:space="0" w:color="auto"/>
            <w:right w:val="none" w:sz="0" w:space="0" w:color="auto"/>
          </w:divBdr>
        </w:div>
        <w:div w:id="1944727915">
          <w:marLeft w:val="0"/>
          <w:marRight w:val="0"/>
          <w:marTop w:val="0"/>
          <w:marBottom w:val="0"/>
          <w:divBdr>
            <w:top w:val="none" w:sz="0" w:space="0" w:color="auto"/>
            <w:left w:val="none" w:sz="0" w:space="0" w:color="auto"/>
            <w:bottom w:val="none" w:sz="0" w:space="0" w:color="auto"/>
            <w:right w:val="none" w:sz="0" w:space="0" w:color="auto"/>
          </w:divBdr>
        </w:div>
        <w:div w:id="1945192570">
          <w:marLeft w:val="0"/>
          <w:marRight w:val="0"/>
          <w:marTop w:val="0"/>
          <w:marBottom w:val="0"/>
          <w:divBdr>
            <w:top w:val="none" w:sz="0" w:space="0" w:color="auto"/>
            <w:left w:val="none" w:sz="0" w:space="0" w:color="auto"/>
            <w:bottom w:val="none" w:sz="0" w:space="0" w:color="auto"/>
            <w:right w:val="none" w:sz="0" w:space="0" w:color="auto"/>
          </w:divBdr>
        </w:div>
        <w:div w:id="1945845615">
          <w:marLeft w:val="0"/>
          <w:marRight w:val="0"/>
          <w:marTop w:val="0"/>
          <w:marBottom w:val="0"/>
          <w:divBdr>
            <w:top w:val="none" w:sz="0" w:space="0" w:color="auto"/>
            <w:left w:val="none" w:sz="0" w:space="0" w:color="auto"/>
            <w:bottom w:val="none" w:sz="0" w:space="0" w:color="auto"/>
            <w:right w:val="none" w:sz="0" w:space="0" w:color="auto"/>
          </w:divBdr>
        </w:div>
        <w:div w:id="1966541110">
          <w:marLeft w:val="0"/>
          <w:marRight w:val="0"/>
          <w:marTop w:val="0"/>
          <w:marBottom w:val="0"/>
          <w:divBdr>
            <w:top w:val="none" w:sz="0" w:space="0" w:color="auto"/>
            <w:left w:val="none" w:sz="0" w:space="0" w:color="auto"/>
            <w:bottom w:val="none" w:sz="0" w:space="0" w:color="auto"/>
            <w:right w:val="none" w:sz="0" w:space="0" w:color="auto"/>
          </w:divBdr>
        </w:div>
        <w:div w:id="1968004958">
          <w:marLeft w:val="0"/>
          <w:marRight w:val="0"/>
          <w:marTop w:val="0"/>
          <w:marBottom w:val="0"/>
          <w:divBdr>
            <w:top w:val="none" w:sz="0" w:space="0" w:color="auto"/>
            <w:left w:val="none" w:sz="0" w:space="0" w:color="auto"/>
            <w:bottom w:val="none" w:sz="0" w:space="0" w:color="auto"/>
            <w:right w:val="none" w:sz="0" w:space="0" w:color="auto"/>
          </w:divBdr>
        </w:div>
        <w:div w:id="1999072983">
          <w:marLeft w:val="0"/>
          <w:marRight w:val="0"/>
          <w:marTop w:val="0"/>
          <w:marBottom w:val="0"/>
          <w:divBdr>
            <w:top w:val="none" w:sz="0" w:space="0" w:color="auto"/>
            <w:left w:val="none" w:sz="0" w:space="0" w:color="auto"/>
            <w:bottom w:val="none" w:sz="0" w:space="0" w:color="auto"/>
            <w:right w:val="none" w:sz="0" w:space="0" w:color="auto"/>
          </w:divBdr>
        </w:div>
        <w:div w:id="2020111285">
          <w:marLeft w:val="0"/>
          <w:marRight w:val="0"/>
          <w:marTop w:val="0"/>
          <w:marBottom w:val="0"/>
          <w:divBdr>
            <w:top w:val="none" w:sz="0" w:space="0" w:color="auto"/>
            <w:left w:val="none" w:sz="0" w:space="0" w:color="auto"/>
            <w:bottom w:val="none" w:sz="0" w:space="0" w:color="auto"/>
            <w:right w:val="none" w:sz="0" w:space="0" w:color="auto"/>
          </w:divBdr>
        </w:div>
      </w:divsChild>
    </w:div>
    <w:div w:id="1491822597">
      <w:bodyDiv w:val="1"/>
      <w:marLeft w:val="0"/>
      <w:marRight w:val="0"/>
      <w:marTop w:val="0"/>
      <w:marBottom w:val="0"/>
      <w:divBdr>
        <w:top w:val="none" w:sz="0" w:space="0" w:color="auto"/>
        <w:left w:val="none" w:sz="0" w:space="0" w:color="auto"/>
        <w:bottom w:val="none" w:sz="0" w:space="0" w:color="auto"/>
        <w:right w:val="none" w:sz="0" w:space="0" w:color="auto"/>
      </w:divBdr>
    </w:div>
    <w:div w:id="1491870324">
      <w:bodyDiv w:val="1"/>
      <w:marLeft w:val="0"/>
      <w:marRight w:val="0"/>
      <w:marTop w:val="0"/>
      <w:marBottom w:val="0"/>
      <w:divBdr>
        <w:top w:val="none" w:sz="0" w:space="0" w:color="auto"/>
        <w:left w:val="none" w:sz="0" w:space="0" w:color="auto"/>
        <w:bottom w:val="none" w:sz="0" w:space="0" w:color="auto"/>
        <w:right w:val="none" w:sz="0" w:space="0" w:color="auto"/>
      </w:divBdr>
    </w:div>
    <w:div w:id="1491942309">
      <w:bodyDiv w:val="1"/>
      <w:marLeft w:val="0"/>
      <w:marRight w:val="0"/>
      <w:marTop w:val="0"/>
      <w:marBottom w:val="0"/>
      <w:divBdr>
        <w:top w:val="none" w:sz="0" w:space="0" w:color="auto"/>
        <w:left w:val="none" w:sz="0" w:space="0" w:color="auto"/>
        <w:bottom w:val="none" w:sz="0" w:space="0" w:color="auto"/>
        <w:right w:val="none" w:sz="0" w:space="0" w:color="auto"/>
      </w:divBdr>
    </w:div>
    <w:div w:id="1492016406">
      <w:bodyDiv w:val="1"/>
      <w:marLeft w:val="0"/>
      <w:marRight w:val="0"/>
      <w:marTop w:val="0"/>
      <w:marBottom w:val="0"/>
      <w:divBdr>
        <w:top w:val="none" w:sz="0" w:space="0" w:color="auto"/>
        <w:left w:val="none" w:sz="0" w:space="0" w:color="auto"/>
        <w:bottom w:val="none" w:sz="0" w:space="0" w:color="auto"/>
        <w:right w:val="none" w:sz="0" w:space="0" w:color="auto"/>
      </w:divBdr>
    </w:div>
    <w:div w:id="1492135317">
      <w:bodyDiv w:val="1"/>
      <w:marLeft w:val="0"/>
      <w:marRight w:val="0"/>
      <w:marTop w:val="0"/>
      <w:marBottom w:val="0"/>
      <w:divBdr>
        <w:top w:val="none" w:sz="0" w:space="0" w:color="auto"/>
        <w:left w:val="none" w:sz="0" w:space="0" w:color="auto"/>
        <w:bottom w:val="none" w:sz="0" w:space="0" w:color="auto"/>
        <w:right w:val="none" w:sz="0" w:space="0" w:color="auto"/>
      </w:divBdr>
    </w:div>
    <w:div w:id="1492139749">
      <w:bodyDiv w:val="1"/>
      <w:marLeft w:val="0"/>
      <w:marRight w:val="0"/>
      <w:marTop w:val="0"/>
      <w:marBottom w:val="0"/>
      <w:divBdr>
        <w:top w:val="none" w:sz="0" w:space="0" w:color="auto"/>
        <w:left w:val="none" w:sz="0" w:space="0" w:color="auto"/>
        <w:bottom w:val="none" w:sz="0" w:space="0" w:color="auto"/>
        <w:right w:val="none" w:sz="0" w:space="0" w:color="auto"/>
      </w:divBdr>
    </w:div>
    <w:div w:id="1492142614">
      <w:bodyDiv w:val="1"/>
      <w:marLeft w:val="0"/>
      <w:marRight w:val="0"/>
      <w:marTop w:val="0"/>
      <w:marBottom w:val="0"/>
      <w:divBdr>
        <w:top w:val="none" w:sz="0" w:space="0" w:color="auto"/>
        <w:left w:val="none" w:sz="0" w:space="0" w:color="auto"/>
        <w:bottom w:val="none" w:sz="0" w:space="0" w:color="auto"/>
        <w:right w:val="none" w:sz="0" w:space="0" w:color="auto"/>
      </w:divBdr>
    </w:div>
    <w:div w:id="1492258733">
      <w:bodyDiv w:val="1"/>
      <w:marLeft w:val="0"/>
      <w:marRight w:val="0"/>
      <w:marTop w:val="0"/>
      <w:marBottom w:val="0"/>
      <w:divBdr>
        <w:top w:val="none" w:sz="0" w:space="0" w:color="auto"/>
        <w:left w:val="none" w:sz="0" w:space="0" w:color="auto"/>
        <w:bottom w:val="none" w:sz="0" w:space="0" w:color="auto"/>
        <w:right w:val="none" w:sz="0" w:space="0" w:color="auto"/>
      </w:divBdr>
    </w:div>
    <w:div w:id="1492335254">
      <w:bodyDiv w:val="1"/>
      <w:marLeft w:val="0"/>
      <w:marRight w:val="0"/>
      <w:marTop w:val="0"/>
      <w:marBottom w:val="0"/>
      <w:divBdr>
        <w:top w:val="none" w:sz="0" w:space="0" w:color="auto"/>
        <w:left w:val="none" w:sz="0" w:space="0" w:color="auto"/>
        <w:bottom w:val="none" w:sz="0" w:space="0" w:color="auto"/>
        <w:right w:val="none" w:sz="0" w:space="0" w:color="auto"/>
      </w:divBdr>
    </w:div>
    <w:div w:id="1492335959">
      <w:bodyDiv w:val="1"/>
      <w:marLeft w:val="0"/>
      <w:marRight w:val="0"/>
      <w:marTop w:val="0"/>
      <w:marBottom w:val="0"/>
      <w:divBdr>
        <w:top w:val="none" w:sz="0" w:space="0" w:color="auto"/>
        <w:left w:val="none" w:sz="0" w:space="0" w:color="auto"/>
        <w:bottom w:val="none" w:sz="0" w:space="0" w:color="auto"/>
        <w:right w:val="none" w:sz="0" w:space="0" w:color="auto"/>
      </w:divBdr>
    </w:div>
    <w:div w:id="1492407525">
      <w:bodyDiv w:val="1"/>
      <w:marLeft w:val="0"/>
      <w:marRight w:val="0"/>
      <w:marTop w:val="0"/>
      <w:marBottom w:val="0"/>
      <w:divBdr>
        <w:top w:val="none" w:sz="0" w:space="0" w:color="auto"/>
        <w:left w:val="none" w:sz="0" w:space="0" w:color="auto"/>
        <w:bottom w:val="none" w:sz="0" w:space="0" w:color="auto"/>
        <w:right w:val="none" w:sz="0" w:space="0" w:color="auto"/>
      </w:divBdr>
    </w:div>
    <w:div w:id="1492477201">
      <w:bodyDiv w:val="1"/>
      <w:marLeft w:val="0"/>
      <w:marRight w:val="0"/>
      <w:marTop w:val="0"/>
      <w:marBottom w:val="0"/>
      <w:divBdr>
        <w:top w:val="none" w:sz="0" w:space="0" w:color="auto"/>
        <w:left w:val="none" w:sz="0" w:space="0" w:color="auto"/>
        <w:bottom w:val="none" w:sz="0" w:space="0" w:color="auto"/>
        <w:right w:val="none" w:sz="0" w:space="0" w:color="auto"/>
      </w:divBdr>
    </w:div>
    <w:div w:id="1492478071">
      <w:bodyDiv w:val="1"/>
      <w:marLeft w:val="0"/>
      <w:marRight w:val="0"/>
      <w:marTop w:val="0"/>
      <w:marBottom w:val="0"/>
      <w:divBdr>
        <w:top w:val="none" w:sz="0" w:space="0" w:color="auto"/>
        <w:left w:val="none" w:sz="0" w:space="0" w:color="auto"/>
        <w:bottom w:val="none" w:sz="0" w:space="0" w:color="auto"/>
        <w:right w:val="none" w:sz="0" w:space="0" w:color="auto"/>
      </w:divBdr>
    </w:div>
    <w:div w:id="1492529350">
      <w:bodyDiv w:val="1"/>
      <w:marLeft w:val="0"/>
      <w:marRight w:val="0"/>
      <w:marTop w:val="0"/>
      <w:marBottom w:val="0"/>
      <w:divBdr>
        <w:top w:val="none" w:sz="0" w:space="0" w:color="auto"/>
        <w:left w:val="none" w:sz="0" w:space="0" w:color="auto"/>
        <w:bottom w:val="none" w:sz="0" w:space="0" w:color="auto"/>
        <w:right w:val="none" w:sz="0" w:space="0" w:color="auto"/>
      </w:divBdr>
    </w:div>
    <w:div w:id="1492671443">
      <w:bodyDiv w:val="1"/>
      <w:marLeft w:val="0"/>
      <w:marRight w:val="0"/>
      <w:marTop w:val="0"/>
      <w:marBottom w:val="0"/>
      <w:divBdr>
        <w:top w:val="none" w:sz="0" w:space="0" w:color="auto"/>
        <w:left w:val="none" w:sz="0" w:space="0" w:color="auto"/>
        <w:bottom w:val="none" w:sz="0" w:space="0" w:color="auto"/>
        <w:right w:val="none" w:sz="0" w:space="0" w:color="auto"/>
      </w:divBdr>
    </w:div>
    <w:div w:id="1492719292">
      <w:bodyDiv w:val="1"/>
      <w:marLeft w:val="0"/>
      <w:marRight w:val="0"/>
      <w:marTop w:val="0"/>
      <w:marBottom w:val="0"/>
      <w:divBdr>
        <w:top w:val="none" w:sz="0" w:space="0" w:color="auto"/>
        <w:left w:val="none" w:sz="0" w:space="0" w:color="auto"/>
        <w:bottom w:val="none" w:sz="0" w:space="0" w:color="auto"/>
        <w:right w:val="none" w:sz="0" w:space="0" w:color="auto"/>
      </w:divBdr>
    </w:div>
    <w:div w:id="1492719827">
      <w:bodyDiv w:val="1"/>
      <w:marLeft w:val="0"/>
      <w:marRight w:val="0"/>
      <w:marTop w:val="0"/>
      <w:marBottom w:val="0"/>
      <w:divBdr>
        <w:top w:val="none" w:sz="0" w:space="0" w:color="auto"/>
        <w:left w:val="none" w:sz="0" w:space="0" w:color="auto"/>
        <w:bottom w:val="none" w:sz="0" w:space="0" w:color="auto"/>
        <w:right w:val="none" w:sz="0" w:space="0" w:color="auto"/>
      </w:divBdr>
    </w:div>
    <w:div w:id="1492789924">
      <w:bodyDiv w:val="1"/>
      <w:marLeft w:val="0"/>
      <w:marRight w:val="0"/>
      <w:marTop w:val="0"/>
      <w:marBottom w:val="0"/>
      <w:divBdr>
        <w:top w:val="none" w:sz="0" w:space="0" w:color="auto"/>
        <w:left w:val="none" w:sz="0" w:space="0" w:color="auto"/>
        <w:bottom w:val="none" w:sz="0" w:space="0" w:color="auto"/>
        <w:right w:val="none" w:sz="0" w:space="0" w:color="auto"/>
      </w:divBdr>
    </w:div>
    <w:div w:id="1492942355">
      <w:bodyDiv w:val="1"/>
      <w:marLeft w:val="0"/>
      <w:marRight w:val="0"/>
      <w:marTop w:val="0"/>
      <w:marBottom w:val="0"/>
      <w:divBdr>
        <w:top w:val="none" w:sz="0" w:space="0" w:color="auto"/>
        <w:left w:val="none" w:sz="0" w:space="0" w:color="auto"/>
        <w:bottom w:val="none" w:sz="0" w:space="0" w:color="auto"/>
        <w:right w:val="none" w:sz="0" w:space="0" w:color="auto"/>
      </w:divBdr>
    </w:div>
    <w:div w:id="1492984060">
      <w:bodyDiv w:val="1"/>
      <w:marLeft w:val="0"/>
      <w:marRight w:val="0"/>
      <w:marTop w:val="0"/>
      <w:marBottom w:val="0"/>
      <w:divBdr>
        <w:top w:val="none" w:sz="0" w:space="0" w:color="auto"/>
        <w:left w:val="none" w:sz="0" w:space="0" w:color="auto"/>
        <w:bottom w:val="none" w:sz="0" w:space="0" w:color="auto"/>
        <w:right w:val="none" w:sz="0" w:space="0" w:color="auto"/>
      </w:divBdr>
    </w:div>
    <w:div w:id="1492984523">
      <w:bodyDiv w:val="1"/>
      <w:marLeft w:val="0"/>
      <w:marRight w:val="0"/>
      <w:marTop w:val="0"/>
      <w:marBottom w:val="0"/>
      <w:divBdr>
        <w:top w:val="none" w:sz="0" w:space="0" w:color="auto"/>
        <w:left w:val="none" w:sz="0" w:space="0" w:color="auto"/>
        <w:bottom w:val="none" w:sz="0" w:space="0" w:color="auto"/>
        <w:right w:val="none" w:sz="0" w:space="0" w:color="auto"/>
      </w:divBdr>
    </w:div>
    <w:div w:id="1493060130">
      <w:bodyDiv w:val="1"/>
      <w:marLeft w:val="0"/>
      <w:marRight w:val="0"/>
      <w:marTop w:val="0"/>
      <w:marBottom w:val="0"/>
      <w:divBdr>
        <w:top w:val="none" w:sz="0" w:space="0" w:color="auto"/>
        <w:left w:val="none" w:sz="0" w:space="0" w:color="auto"/>
        <w:bottom w:val="none" w:sz="0" w:space="0" w:color="auto"/>
        <w:right w:val="none" w:sz="0" w:space="0" w:color="auto"/>
      </w:divBdr>
    </w:div>
    <w:div w:id="1493065250">
      <w:bodyDiv w:val="1"/>
      <w:marLeft w:val="0"/>
      <w:marRight w:val="0"/>
      <w:marTop w:val="0"/>
      <w:marBottom w:val="0"/>
      <w:divBdr>
        <w:top w:val="none" w:sz="0" w:space="0" w:color="auto"/>
        <w:left w:val="none" w:sz="0" w:space="0" w:color="auto"/>
        <w:bottom w:val="none" w:sz="0" w:space="0" w:color="auto"/>
        <w:right w:val="none" w:sz="0" w:space="0" w:color="auto"/>
      </w:divBdr>
    </w:div>
    <w:div w:id="1493251856">
      <w:bodyDiv w:val="1"/>
      <w:marLeft w:val="0"/>
      <w:marRight w:val="0"/>
      <w:marTop w:val="0"/>
      <w:marBottom w:val="0"/>
      <w:divBdr>
        <w:top w:val="none" w:sz="0" w:space="0" w:color="auto"/>
        <w:left w:val="none" w:sz="0" w:space="0" w:color="auto"/>
        <w:bottom w:val="none" w:sz="0" w:space="0" w:color="auto"/>
        <w:right w:val="none" w:sz="0" w:space="0" w:color="auto"/>
      </w:divBdr>
    </w:div>
    <w:div w:id="1493328486">
      <w:bodyDiv w:val="1"/>
      <w:marLeft w:val="0"/>
      <w:marRight w:val="0"/>
      <w:marTop w:val="0"/>
      <w:marBottom w:val="0"/>
      <w:divBdr>
        <w:top w:val="none" w:sz="0" w:space="0" w:color="auto"/>
        <w:left w:val="none" w:sz="0" w:space="0" w:color="auto"/>
        <w:bottom w:val="none" w:sz="0" w:space="0" w:color="auto"/>
        <w:right w:val="none" w:sz="0" w:space="0" w:color="auto"/>
      </w:divBdr>
    </w:div>
    <w:div w:id="1493333977">
      <w:bodyDiv w:val="1"/>
      <w:marLeft w:val="0"/>
      <w:marRight w:val="0"/>
      <w:marTop w:val="0"/>
      <w:marBottom w:val="0"/>
      <w:divBdr>
        <w:top w:val="none" w:sz="0" w:space="0" w:color="auto"/>
        <w:left w:val="none" w:sz="0" w:space="0" w:color="auto"/>
        <w:bottom w:val="none" w:sz="0" w:space="0" w:color="auto"/>
        <w:right w:val="none" w:sz="0" w:space="0" w:color="auto"/>
      </w:divBdr>
    </w:div>
    <w:div w:id="1493370674">
      <w:bodyDiv w:val="1"/>
      <w:marLeft w:val="0"/>
      <w:marRight w:val="0"/>
      <w:marTop w:val="0"/>
      <w:marBottom w:val="0"/>
      <w:divBdr>
        <w:top w:val="none" w:sz="0" w:space="0" w:color="auto"/>
        <w:left w:val="none" w:sz="0" w:space="0" w:color="auto"/>
        <w:bottom w:val="none" w:sz="0" w:space="0" w:color="auto"/>
        <w:right w:val="none" w:sz="0" w:space="0" w:color="auto"/>
      </w:divBdr>
    </w:div>
    <w:div w:id="1493375637">
      <w:bodyDiv w:val="1"/>
      <w:marLeft w:val="0"/>
      <w:marRight w:val="0"/>
      <w:marTop w:val="0"/>
      <w:marBottom w:val="0"/>
      <w:divBdr>
        <w:top w:val="none" w:sz="0" w:space="0" w:color="auto"/>
        <w:left w:val="none" w:sz="0" w:space="0" w:color="auto"/>
        <w:bottom w:val="none" w:sz="0" w:space="0" w:color="auto"/>
        <w:right w:val="none" w:sz="0" w:space="0" w:color="auto"/>
      </w:divBdr>
    </w:div>
    <w:div w:id="1493446184">
      <w:bodyDiv w:val="1"/>
      <w:marLeft w:val="0"/>
      <w:marRight w:val="0"/>
      <w:marTop w:val="0"/>
      <w:marBottom w:val="0"/>
      <w:divBdr>
        <w:top w:val="none" w:sz="0" w:space="0" w:color="auto"/>
        <w:left w:val="none" w:sz="0" w:space="0" w:color="auto"/>
        <w:bottom w:val="none" w:sz="0" w:space="0" w:color="auto"/>
        <w:right w:val="none" w:sz="0" w:space="0" w:color="auto"/>
      </w:divBdr>
    </w:div>
    <w:div w:id="1493449710">
      <w:bodyDiv w:val="1"/>
      <w:marLeft w:val="0"/>
      <w:marRight w:val="0"/>
      <w:marTop w:val="0"/>
      <w:marBottom w:val="0"/>
      <w:divBdr>
        <w:top w:val="none" w:sz="0" w:space="0" w:color="auto"/>
        <w:left w:val="none" w:sz="0" w:space="0" w:color="auto"/>
        <w:bottom w:val="none" w:sz="0" w:space="0" w:color="auto"/>
        <w:right w:val="none" w:sz="0" w:space="0" w:color="auto"/>
      </w:divBdr>
    </w:div>
    <w:div w:id="1493451770">
      <w:bodyDiv w:val="1"/>
      <w:marLeft w:val="0"/>
      <w:marRight w:val="0"/>
      <w:marTop w:val="0"/>
      <w:marBottom w:val="0"/>
      <w:divBdr>
        <w:top w:val="none" w:sz="0" w:space="0" w:color="auto"/>
        <w:left w:val="none" w:sz="0" w:space="0" w:color="auto"/>
        <w:bottom w:val="none" w:sz="0" w:space="0" w:color="auto"/>
        <w:right w:val="none" w:sz="0" w:space="0" w:color="auto"/>
      </w:divBdr>
    </w:div>
    <w:div w:id="1493522317">
      <w:bodyDiv w:val="1"/>
      <w:marLeft w:val="0"/>
      <w:marRight w:val="0"/>
      <w:marTop w:val="0"/>
      <w:marBottom w:val="0"/>
      <w:divBdr>
        <w:top w:val="none" w:sz="0" w:space="0" w:color="auto"/>
        <w:left w:val="none" w:sz="0" w:space="0" w:color="auto"/>
        <w:bottom w:val="none" w:sz="0" w:space="0" w:color="auto"/>
        <w:right w:val="none" w:sz="0" w:space="0" w:color="auto"/>
      </w:divBdr>
    </w:div>
    <w:div w:id="1493528409">
      <w:bodyDiv w:val="1"/>
      <w:marLeft w:val="0"/>
      <w:marRight w:val="0"/>
      <w:marTop w:val="0"/>
      <w:marBottom w:val="0"/>
      <w:divBdr>
        <w:top w:val="none" w:sz="0" w:space="0" w:color="auto"/>
        <w:left w:val="none" w:sz="0" w:space="0" w:color="auto"/>
        <w:bottom w:val="none" w:sz="0" w:space="0" w:color="auto"/>
        <w:right w:val="none" w:sz="0" w:space="0" w:color="auto"/>
      </w:divBdr>
    </w:div>
    <w:div w:id="1493646005">
      <w:bodyDiv w:val="1"/>
      <w:marLeft w:val="0"/>
      <w:marRight w:val="0"/>
      <w:marTop w:val="0"/>
      <w:marBottom w:val="0"/>
      <w:divBdr>
        <w:top w:val="none" w:sz="0" w:space="0" w:color="auto"/>
        <w:left w:val="none" w:sz="0" w:space="0" w:color="auto"/>
        <w:bottom w:val="none" w:sz="0" w:space="0" w:color="auto"/>
        <w:right w:val="none" w:sz="0" w:space="0" w:color="auto"/>
      </w:divBdr>
    </w:div>
    <w:div w:id="1493714107">
      <w:bodyDiv w:val="1"/>
      <w:marLeft w:val="0"/>
      <w:marRight w:val="0"/>
      <w:marTop w:val="0"/>
      <w:marBottom w:val="0"/>
      <w:divBdr>
        <w:top w:val="none" w:sz="0" w:space="0" w:color="auto"/>
        <w:left w:val="none" w:sz="0" w:space="0" w:color="auto"/>
        <w:bottom w:val="none" w:sz="0" w:space="0" w:color="auto"/>
        <w:right w:val="none" w:sz="0" w:space="0" w:color="auto"/>
      </w:divBdr>
    </w:div>
    <w:div w:id="1493714527">
      <w:bodyDiv w:val="1"/>
      <w:marLeft w:val="0"/>
      <w:marRight w:val="0"/>
      <w:marTop w:val="0"/>
      <w:marBottom w:val="0"/>
      <w:divBdr>
        <w:top w:val="none" w:sz="0" w:space="0" w:color="auto"/>
        <w:left w:val="none" w:sz="0" w:space="0" w:color="auto"/>
        <w:bottom w:val="none" w:sz="0" w:space="0" w:color="auto"/>
        <w:right w:val="none" w:sz="0" w:space="0" w:color="auto"/>
      </w:divBdr>
    </w:div>
    <w:div w:id="1493764265">
      <w:bodyDiv w:val="1"/>
      <w:marLeft w:val="0"/>
      <w:marRight w:val="0"/>
      <w:marTop w:val="0"/>
      <w:marBottom w:val="0"/>
      <w:divBdr>
        <w:top w:val="none" w:sz="0" w:space="0" w:color="auto"/>
        <w:left w:val="none" w:sz="0" w:space="0" w:color="auto"/>
        <w:bottom w:val="none" w:sz="0" w:space="0" w:color="auto"/>
        <w:right w:val="none" w:sz="0" w:space="0" w:color="auto"/>
      </w:divBdr>
    </w:div>
    <w:div w:id="1493790411">
      <w:bodyDiv w:val="1"/>
      <w:marLeft w:val="0"/>
      <w:marRight w:val="0"/>
      <w:marTop w:val="0"/>
      <w:marBottom w:val="0"/>
      <w:divBdr>
        <w:top w:val="none" w:sz="0" w:space="0" w:color="auto"/>
        <w:left w:val="none" w:sz="0" w:space="0" w:color="auto"/>
        <w:bottom w:val="none" w:sz="0" w:space="0" w:color="auto"/>
        <w:right w:val="none" w:sz="0" w:space="0" w:color="auto"/>
      </w:divBdr>
    </w:div>
    <w:div w:id="1493837104">
      <w:bodyDiv w:val="1"/>
      <w:marLeft w:val="0"/>
      <w:marRight w:val="0"/>
      <w:marTop w:val="0"/>
      <w:marBottom w:val="0"/>
      <w:divBdr>
        <w:top w:val="none" w:sz="0" w:space="0" w:color="auto"/>
        <w:left w:val="none" w:sz="0" w:space="0" w:color="auto"/>
        <w:bottom w:val="none" w:sz="0" w:space="0" w:color="auto"/>
        <w:right w:val="none" w:sz="0" w:space="0" w:color="auto"/>
      </w:divBdr>
    </w:div>
    <w:div w:id="1493906492">
      <w:bodyDiv w:val="1"/>
      <w:marLeft w:val="0"/>
      <w:marRight w:val="0"/>
      <w:marTop w:val="0"/>
      <w:marBottom w:val="0"/>
      <w:divBdr>
        <w:top w:val="none" w:sz="0" w:space="0" w:color="auto"/>
        <w:left w:val="none" w:sz="0" w:space="0" w:color="auto"/>
        <w:bottom w:val="none" w:sz="0" w:space="0" w:color="auto"/>
        <w:right w:val="none" w:sz="0" w:space="0" w:color="auto"/>
      </w:divBdr>
    </w:div>
    <w:div w:id="1493908635">
      <w:bodyDiv w:val="1"/>
      <w:marLeft w:val="0"/>
      <w:marRight w:val="0"/>
      <w:marTop w:val="0"/>
      <w:marBottom w:val="0"/>
      <w:divBdr>
        <w:top w:val="none" w:sz="0" w:space="0" w:color="auto"/>
        <w:left w:val="none" w:sz="0" w:space="0" w:color="auto"/>
        <w:bottom w:val="none" w:sz="0" w:space="0" w:color="auto"/>
        <w:right w:val="none" w:sz="0" w:space="0" w:color="auto"/>
      </w:divBdr>
    </w:div>
    <w:div w:id="1493981086">
      <w:bodyDiv w:val="1"/>
      <w:marLeft w:val="0"/>
      <w:marRight w:val="0"/>
      <w:marTop w:val="0"/>
      <w:marBottom w:val="0"/>
      <w:divBdr>
        <w:top w:val="none" w:sz="0" w:space="0" w:color="auto"/>
        <w:left w:val="none" w:sz="0" w:space="0" w:color="auto"/>
        <w:bottom w:val="none" w:sz="0" w:space="0" w:color="auto"/>
        <w:right w:val="none" w:sz="0" w:space="0" w:color="auto"/>
      </w:divBdr>
    </w:div>
    <w:div w:id="1494107879">
      <w:bodyDiv w:val="1"/>
      <w:marLeft w:val="0"/>
      <w:marRight w:val="0"/>
      <w:marTop w:val="0"/>
      <w:marBottom w:val="0"/>
      <w:divBdr>
        <w:top w:val="none" w:sz="0" w:space="0" w:color="auto"/>
        <w:left w:val="none" w:sz="0" w:space="0" w:color="auto"/>
        <w:bottom w:val="none" w:sz="0" w:space="0" w:color="auto"/>
        <w:right w:val="none" w:sz="0" w:space="0" w:color="auto"/>
      </w:divBdr>
    </w:div>
    <w:div w:id="1494252524">
      <w:bodyDiv w:val="1"/>
      <w:marLeft w:val="0"/>
      <w:marRight w:val="0"/>
      <w:marTop w:val="0"/>
      <w:marBottom w:val="0"/>
      <w:divBdr>
        <w:top w:val="none" w:sz="0" w:space="0" w:color="auto"/>
        <w:left w:val="none" w:sz="0" w:space="0" w:color="auto"/>
        <w:bottom w:val="none" w:sz="0" w:space="0" w:color="auto"/>
        <w:right w:val="none" w:sz="0" w:space="0" w:color="auto"/>
      </w:divBdr>
    </w:div>
    <w:div w:id="1494297395">
      <w:bodyDiv w:val="1"/>
      <w:marLeft w:val="0"/>
      <w:marRight w:val="0"/>
      <w:marTop w:val="0"/>
      <w:marBottom w:val="0"/>
      <w:divBdr>
        <w:top w:val="none" w:sz="0" w:space="0" w:color="auto"/>
        <w:left w:val="none" w:sz="0" w:space="0" w:color="auto"/>
        <w:bottom w:val="none" w:sz="0" w:space="0" w:color="auto"/>
        <w:right w:val="none" w:sz="0" w:space="0" w:color="auto"/>
      </w:divBdr>
    </w:div>
    <w:div w:id="1494300667">
      <w:bodyDiv w:val="1"/>
      <w:marLeft w:val="0"/>
      <w:marRight w:val="0"/>
      <w:marTop w:val="0"/>
      <w:marBottom w:val="0"/>
      <w:divBdr>
        <w:top w:val="none" w:sz="0" w:space="0" w:color="auto"/>
        <w:left w:val="none" w:sz="0" w:space="0" w:color="auto"/>
        <w:bottom w:val="none" w:sz="0" w:space="0" w:color="auto"/>
        <w:right w:val="none" w:sz="0" w:space="0" w:color="auto"/>
      </w:divBdr>
    </w:div>
    <w:div w:id="1494368696">
      <w:bodyDiv w:val="1"/>
      <w:marLeft w:val="0"/>
      <w:marRight w:val="0"/>
      <w:marTop w:val="0"/>
      <w:marBottom w:val="0"/>
      <w:divBdr>
        <w:top w:val="none" w:sz="0" w:space="0" w:color="auto"/>
        <w:left w:val="none" w:sz="0" w:space="0" w:color="auto"/>
        <w:bottom w:val="none" w:sz="0" w:space="0" w:color="auto"/>
        <w:right w:val="none" w:sz="0" w:space="0" w:color="auto"/>
      </w:divBdr>
    </w:div>
    <w:div w:id="1494372879">
      <w:bodyDiv w:val="1"/>
      <w:marLeft w:val="0"/>
      <w:marRight w:val="0"/>
      <w:marTop w:val="0"/>
      <w:marBottom w:val="0"/>
      <w:divBdr>
        <w:top w:val="none" w:sz="0" w:space="0" w:color="auto"/>
        <w:left w:val="none" w:sz="0" w:space="0" w:color="auto"/>
        <w:bottom w:val="none" w:sz="0" w:space="0" w:color="auto"/>
        <w:right w:val="none" w:sz="0" w:space="0" w:color="auto"/>
      </w:divBdr>
    </w:div>
    <w:div w:id="1494373909">
      <w:bodyDiv w:val="1"/>
      <w:marLeft w:val="0"/>
      <w:marRight w:val="0"/>
      <w:marTop w:val="0"/>
      <w:marBottom w:val="0"/>
      <w:divBdr>
        <w:top w:val="none" w:sz="0" w:space="0" w:color="auto"/>
        <w:left w:val="none" w:sz="0" w:space="0" w:color="auto"/>
        <w:bottom w:val="none" w:sz="0" w:space="0" w:color="auto"/>
        <w:right w:val="none" w:sz="0" w:space="0" w:color="auto"/>
      </w:divBdr>
    </w:div>
    <w:div w:id="1494376659">
      <w:bodyDiv w:val="1"/>
      <w:marLeft w:val="0"/>
      <w:marRight w:val="0"/>
      <w:marTop w:val="0"/>
      <w:marBottom w:val="0"/>
      <w:divBdr>
        <w:top w:val="none" w:sz="0" w:space="0" w:color="auto"/>
        <w:left w:val="none" w:sz="0" w:space="0" w:color="auto"/>
        <w:bottom w:val="none" w:sz="0" w:space="0" w:color="auto"/>
        <w:right w:val="none" w:sz="0" w:space="0" w:color="auto"/>
      </w:divBdr>
    </w:div>
    <w:div w:id="1494446769">
      <w:bodyDiv w:val="1"/>
      <w:marLeft w:val="0"/>
      <w:marRight w:val="0"/>
      <w:marTop w:val="0"/>
      <w:marBottom w:val="0"/>
      <w:divBdr>
        <w:top w:val="none" w:sz="0" w:space="0" w:color="auto"/>
        <w:left w:val="none" w:sz="0" w:space="0" w:color="auto"/>
        <w:bottom w:val="none" w:sz="0" w:space="0" w:color="auto"/>
        <w:right w:val="none" w:sz="0" w:space="0" w:color="auto"/>
      </w:divBdr>
    </w:div>
    <w:div w:id="1494448272">
      <w:bodyDiv w:val="1"/>
      <w:marLeft w:val="0"/>
      <w:marRight w:val="0"/>
      <w:marTop w:val="0"/>
      <w:marBottom w:val="0"/>
      <w:divBdr>
        <w:top w:val="none" w:sz="0" w:space="0" w:color="auto"/>
        <w:left w:val="none" w:sz="0" w:space="0" w:color="auto"/>
        <w:bottom w:val="none" w:sz="0" w:space="0" w:color="auto"/>
        <w:right w:val="none" w:sz="0" w:space="0" w:color="auto"/>
      </w:divBdr>
    </w:div>
    <w:div w:id="1494570123">
      <w:bodyDiv w:val="1"/>
      <w:marLeft w:val="0"/>
      <w:marRight w:val="0"/>
      <w:marTop w:val="0"/>
      <w:marBottom w:val="0"/>
      <w:divBdr>
        <w:top w:val="none" w:sz="0" w:space="0" w:color="auto"/>
        <w:left w:val="none" w:sz="0" w:space="0" w:color="auto"/>
        <w:bottom w:val="none" w:sz="0" w:space="0" w:color="auto"/>
        <w:right w:val="none" w:sz="0" w:space="0" w:color="auto"/>
      </w:divBdr>
    </w:div>
    <w:div w:id="1494685012">
      <w:bodyDiv w:val="1"/>
      <w:marLeft w:val="0"/>
      <w:marRight w:val="0"/>
      <w:marTop w:val="0"/>
      <w:marBottom w:val="0"/>
      <w:divBdr>
        <w:top w:val="none" w:sz="0" w:space="0" w:color="auto"/>
        <w:left w:val="none" w:sz="0" w:space="0" w:color="auto"/>
        <w:bottom w:val="none" w:sz="0" w:space="0" w:color="auto"/>
        <w:right w:val="none" w:sz="0" w:space="0" w:color="auto"/>
      </w:divBdr>
    </w:div>
    <w:div w:id="1494755293">
      <w:bodyDiv w:val="1"/>
      <w:marLeft w:val="0"/>
      <w:marRight w:val="0"/>
      <w:marTop w:val="0"/>
      <w:marBottom w:val="0"/>
      <w:divBdr>
        <w:top w:val="none" w:sz="0" w:space="0" w:color="auto"/>
        <w:left w:val="none" w:sz="0" w:space="0" w:color="auto"/>
        <w:bottom w:val="none" w:sz="0" w:space="0" w:color="auto"/>
        <w:right w:val="none" w:sz="0" w:space="0" w:color="auto"/>
      </w:divBdr>
    </w:div>
    <w:div w:id="1494831308">
      <w:bodyDiv w:val="1"/>
      <w:marLeft w:val="0"/>
      <w:marRight w:val="0"/>
      <w:marTop w:val="0"/>
      <w:marBottom w:val="0"/>
      <w:divBdr>
        <w:top w:val="none" w:sz="0" w:space="0" w:color="auto"/>
        <w:left w:val="none" w:sz="0" w:space="0" w:color="auto"/>
        <w:bottom w:val="none" w:sz="0" w:space="0" w:color="auto"/>
        <w:right w:val="none" w:sz="0" w:space="0" w:color="auto"/>
      </w:divBdr>
    </w:div>
    <w:div w:id="1494907337">
      <w:bodyDiv w:val="1"/>
      <w:marLeft w:val="0"/>
      <w:marRight w:val="0"/>
      <w:marTop w:val="0"/>
      <w:marBottom w:val="0"/>
      <w:divBdr>
        <w:top w:val="none" w:sz="0" w:space="0" w:color="auto"/>
        <w:left w:val="none" w:sz="0" w:space="0" w:color="auto"/>
        <w:bottom w:val="none" w:sz="0" w:space="0" w:color="auto"/>
        <w:right w:val="none" w:sz="0" w:space="0" w:color="auto"/>
      </w:divBdr>
    </w:div>
    <w:div w:id="1494955444">
      <w:bodyDiv w:val="1"/>
      <w:marLeft w:val="0"/>
      <w:marRight w:val="0"/>
      <w:marTop w:val="0"/>
      <w:marBottom w:val="0"/>
      <w:divBdr>
        <w:top w:val="none" w:sz="0" w:space="0" w:color="auto"/>
        <w:left w:val="none" w:sz="0" w:space="0" w:color="auto"/>
        <w:bottom w:val="none" w:sz="0" w:space="0" w:color="auto"/>
        <w:right w:val="none" w:sz="0" w:space="0" w:color="auto"/>
      </w:divBdr>
    </w:div>
    <w:div w:id="1495147901">
      <w:bodyDiv w:val="1"/>
      <w:marLeft w:val="0"/>
      <w:marRight w:val="0"/>
      <w:marTop w:val="0"/>
      <w:marBottom w:val="0"/>
      <w:divBdr>
        <w:top w:val="none" w:sz="0" w:space="0" w:color="auto"/>
        <w:left w:val="none" w:sz="0" w:space="0" w:color="auto"/>
        <w:bottom w:val="none" w:sz="0" w:space="0" w:color="auto"/>
        <w:right w:val="none" w:sz="0" w:space="0" w:color="auto"/>
      </w:divBdr>
    </w:div>
    <w:div w:id="1495149155">
      <w:bodyDiv w:val="1"/>
      <w:marLeft w:val="0"/>
      <w:marRight w:val="0"/>
      <w:marTop w:val="0"/>
      <w:marBottom w:val="0"/>
      <w:divBdr>
        <w:top w:val="none" w:sz="0" w:space="0" w:color="auto"/>
        <w:left w:val="none" w:sz="0" w:space="0" w:color="auto"/>
        <w:bottom w:val="none" w:sz="0" w:space="0" w:color="auto"/>
        <w:right w:val="none" w:sz="0" w:space="0" w:color="auto"/>
      </w:divBdr>
    </w:div>
    <w:div w:id="1495221540">
      <w:bodyDiv w:val="1"/>
      <w:marLeft w:val="0"/>
      <w:marRight w:val="0"/>
      <w:marTop w:val="0"/>
      <w:marBottom w:val="0"/>
      <w:divBdr>
        <w:top w:val="none" w:sz="0" w:space="0" w:color="auto"/>
        <w:left w:val="none" w:sz="0" w:space="0" w:color="auto"/>
        <w:bottom w:val="none" w:sz="0" w:space="0" w:color="auto"/>
        <w:right w:val="none" w:sz="0" w:space="0" w:color="auto"/>
      </w:divBdr>
    </w:div>
    <w:div w:id="1495337935">
      <w:bodyDiv w:val="1"/>
      <w:marLeft w:val="0"/>
      <w:marRight w:val="0"/>
      <w:marTop w:val="0"/>
      <w:marBottom w:val="0"/>
      <w:divBdr>
        <w:top w:val="none" w:sz="0" w:space="0" w:color="auto"/>
        <w:left w:val="none" w:sz="0" w:space="0" w:color="auto"/>
        <w:bottom w:val="none" w:sz="0" w:space="0" w:color="auto"/>
        <w:right w:val="none" w:sz="0" w:space="0" w:color="auto"/>
      </w:divBdr>
    </w:div>
    <w:div w:id="1495340907">
      <w:bodyDiv w:val="1"/>
      <w:marLeft w:val="0"/>
      <w:marRight w:val="0"/>
      <w:marTop w:val="0"/>
      <w:marBottom w:val="0"/>
      <w:divBdr>
        <w:top w:val="none" w:sz="0" w:space="0" w:color="auto"/>
        <w:left w:val="none" w:sz="0" w:space="0" w:color="auto"/>
        <w:bottom w:val="none" w:sz="0" w:space="0" w:color="auto"/>
        <w:right w:val="none" w:sz="0" w:space="0" w:color="auto"/>
      </w:divBdr>
    </w:div>
    <w:div w:id="1495418460">
      <w:bodyDiv w:val="1"/>
      <w:marLeft w:val="0"/>
      <w:marRight w:val="0"/>
      <w:marTop w:val="0"/>
      <w:marBottom w:val="0"/>
      <w:divBdr>
        <w:top w:val="none" w:sz="0" w:space="0" w:color="auto"/>
        <w:left w:val="none" w:sz="0" w:space="0" w:color="auto"/>
        <w:bottom w:val="none" w:sz="0" w:space="0" w:color="auto"/>
        <w:right w:val="none" w:sz="0" w:space="0" w:color="auto"/>
      </w:divBdr>
    </w:div>
    <w:div w:id="1495489390">
      <w:bodyDiv w:val="1"/>
      <w:marLeft w:val="0"/>
      <w:marRight w:val="0"/>
      <w:marTop w:val="0"/>
      <w:marBottom w:val="0"/>
      <w:divBdr>
        <w:top w:val="none" w:sz="0" w:space="0" w:color="auto"/>
        <w:left w:val="none" w:sz="0" w:space="0" w:color="auto"/>
        <w:bottom w:val="none" w:sz="0" w:space="0" w:color="auto"/>
        <w:right w:val="none" w:sz="0" w:space="0" w:color="auto"/>
      </w:divBdr>
    </w:div>
    <w:div w:id="1495490751">
      <w:bodyDiv w:val="1"/>
      <w:marLeft w:val="0"/>
      <w:marRight w:val="0"/>
      <w:marTop w:val="0"/>
      <w:marBottom w:val="0"/>
      <w:divBdr>
        <w:top w:val="none" w:sz="0" w:space="0" w:color="auto"/>
        <w:left w:val="none" w:sz="0" w:space="0" w:color="auto"/>
        <w:bottom w:val="none" w:sz="0" w:space="0" w:color="auto"/>
        <w:right w:val="none" w:sz="0" w:space="0" w:color="auto"/>
      </w:divBdr>
    </w:div>
    <w:div w:id="1495603212">
      <w:bodyDiv w:val="1"/>
      <w:marLeft w:val="0"/>
      <w:marRight w:val="0"/>
      <w:marTop w:val="0"/>
      <w:marBottom w:val="0"/>
      <w:divBdr>
        <w:top w:val="none" w:sz="0" w:space="0" w:color="auto"/>
        <w:left w:val="none" w:sz="0" w:space="0" w:color="auto"/>
        <w:bottom w:val="none" w:sz="0" w:space="0" w:color="auto"/>
        <w:right w:val="none" w:sz="0" w:space="0" w:color="auto"/>
      </w:divBdr>
    </w:div>
    <w:div w:id="1495679182">
      <w:bodyDiv w:val="1"/>
      <w:marLeft w:val="0"/>
      <w:marRight w:val="0"/>
      <w:marTop w:val="0"/>
      <w:marBottom w:val="0"/>
      <w:divBdr>
        <w:top w:val="none" w:sz="0" w:space="0" w:color="auto"/>
        <w:left w:val="none" w:sz="0" w:space="0" w:color="auto"/>
        <w:bottom w:val="none" w:sz="0" w:space="0" w:color="auto"/>
        <w:right w:val="none" w:sz="0" w:space="0" w:color="auto"/>
      </w:divBdr>
    </w:div>
    <w:div w:id="1495756845">
      <w:bodyDiv w:val="1"/>
      <w:marLeft w:val="0"/>
      <w:marRight w:val="0"/>
      <w:marTop w:val="0"/>
      <w:marBottom w:val="0"/>
      <w:divBdr>
        <w:top w:val="none" w:sz="0" w:space="0" w:color="auto"/>
        <w:left w:val="none" w:sz="0" w:space="0" w:color="auto"/>
        <w:bottom w:val="none" w:sz="0" w:space="0" w:color="auto"/>
        <w:right w:val="none" w:sz="0" w:space="0" w:color="auto"/>
      </w:divBdr>
    </w:div>
    <w:div w:id="1495759414">
      <w:bodyDiv w:val="1"/>
      <w:marLeft w:val="0"/>
      <w:marRight w:val="0"/>
      <w:marTop w:val="0"/>
      <w:marBottom w:val="0"/>
      <w:divBdr>
        <w:top w:val="none" w:sz="0" w:space="0" w:color="auto"/>
        <w:left w:val="none" w:sz="0" w:space="0" w:color="auto"/>
        <w:bottom w:val="none" w:sz="0" w:space="0" w:color="auto"/>
        <w:right w:val="none" w:sz="0" w:space="0" w:color="auto"/>
      </w:divBdr>
    </w:div>
    <w:div w:id="1495874442">
      <w:bodyDiv w:val="1"/>
      <w:marLeft w:val="0"/>
      <w:marRight w:val="0"/>
      <w:marTop w:val="0"/>
      <w:marBottom w:val="0"/>
      <w:divBdr>
        <w:top w:val="none" w:sz="0" w:space="0" w:color="auto"/>
        <w:left w:val="none" w:sz="0" w:space="0" w:color="auto"/>
        <w:bottom w:val="none" w:sz="0" w:space="0" w:color="auto"/>
        <w:right w:val="none" w:sz="0" w:space="0" w:color="auto"/>
      </w:divBdr>
    </w:div>
    <w:div w:id="1496022504">
      <w:bodyDiv w:val="1"/>
      <w:marLeft w:val="0"/>
      <w:marRight w:val="0"/>
      <w:marTop w:val="0"/>
      <w:marBottom w:val="0"/>
      <w:divBdr>
        <w:top w:val="none" w:sz="0" w:space="0" w:color="auto"/>
        <w:left w:val="none" w:sz="0" w:space="0" w:color="auto"/>
        <w:bottom w:val="none" w:sz="0" w:space="0" w:color="auto"/>
        <w:right w:val="none" w:sz="0" w:space="0" w:color="auto"/>
      </w:divBdr>
    </w:div>
    <w:div w:id="1496066522">
      <w:bodyDiv w:val="1"/>
      <w:marLeft w:val="0"/>
      <w:marRight w:val="0"/>
      <w:marTop w:val="0"/>
      <w:marBottom w:val="0"/>
      <w:divBdr>
        <w:top w:val="none" w:sz="0" w:space="0" w:color="auto"/>
        <w:left w:val="none" w:sz="0" w:space="0" w:color="auto"/>
        <w:bottom w:val="none" w:sz="0" w:space="0" w:color="auto"/>
        <w:right w:val="none" w:sz="0" w:space="0" w:color="auto"/>
      </w:divBdr>
    </w:div>
    <w:div w:id="1496066733">
      <w:bodyDiv w:val="1"/>
      <w:marLeft w:val="0"/>
      <w:marRight w:val="0"/>
      <w:marTop w:val="0"/>
      <w:marBottom w:val="0"/>
      <w:divBdr>
        <w:top w:val="none" w:sz="0" w:space="0" w:color="auto"/>
        <w:left w:val="none" w:sz="0" w:space="0" w:color="auto"/>
        <w:bottom w:val="none" w:sz="0" w:space="0" w:color="auto"/>
        <w:right w:val="none" w:sz="0" w:space="0" w:color="auto"/>
      </w:divBdr>
    </w:div>
    <w:div w:id="1496140728">
      <w:bodyDiv w:val="1"/>
      <w:marLeft w:val="0"/>
      <w:marRight w:val="0"/>
      <w:marTop w:val="0"/>
      <w:marBottom w:val="0"/>
      <w:divBdr>
        <w:top w:val="none" w:sz="0" w:space="0" w:color="auto"/>
        <w:left w:val="none" w:sz="0" w:space="0" w:color="auto"/>
        <w:bottom w:val="none" w:sz="0" w:space="0" w:color="auto"/>
        <w:right w:val="none" w:sz="0" w:space="0" w:color="auto"/>
      </w:divBdr>
    </w:div>
    <w:div w:id="1496191261">
      <w:bodyDiv w:val="1"/>
      <w:marLeft w:val="0"/>
      <w:marRight w:val="0"/>
      <w:marTop w:val="0"/>
      <w:marBottom w:val="0"/>
      <w:divBdr>
        <w:top w:val="none" w:sz="0" w:space="0" w:color="auto"/>
        <w:left w:val="none" w:sz="0" w:space="0" w:color="auto"/>
        <w:bottom w:val="none" w:sz="0" w:space="0" w:color="auto"/>
        <w:right w:val="none" w:sz="0" w:space="0" w:color="auto"/>
      </w:divBdr>
    </w:div>
    <w:div w:id="1496263815">
      <w:bodyDiv w:val="1"/>
      <w:marLeft w:val="0"/>
      <w:marRight w:val="0"/>
      <w:marTop w:val="0"/>
      <w:marBottom w:val="0"/>
      <w:divBdr>
        <w:top w:val="none" w:sz="0" w:space="0" w:color="auto"/>
        <w:left w:val="none" w:sz="0" w:space="0" w:color="auto"/>
        <w:bottom w:val="none" w:sz="0" w:space="0" w:color="auto"/>
        <w:right w:val="none" w:sz="0" w:space="0" w:color="auto"/>
      </w:divBdr>
    </w:div>
    <w:div w:id="1496336265">
      <w:bodyDiv w:val="1"/>
      <w:marLeft w:val="0"/>
      <w:marRight w:val="0"/>
      <w:marTop w:val="0"/>
      <w:marBottom w:val="0"/>
      <w:divBdr>
        <w:top w:val="none" w:sz="0" w:space="0" w:color="auto"/>
        <w:left w:val="none" w:sz="0" w:space="0" w:color="auto"/>
        <w:bottom w:val="none" w:sz="0" w:space="0" w:color="auto"/>
        <w:right w:val="none" w:sz="0" w:space="0" w:color="auto"/>
      </w:divBdr>
    </w:div>
    <w:div w:id="1496339922">
      <w:bodyDiv w:val="1"/>
      <w:marLeft w:val="0"/>
      <w:marRight w:val="0"/>
      <w:marTop w:val="0"/>
      <w:marBottom w:val="0"/>
      <w:divBdr>
        <w:top w:val="none" w:sz="0" w:space="0" w:color="auto"/>
        <w:left w:val="none" w:sz="0" w:space="0" w:color="auto"/>
        <w:bottom w:val="none" w:sz="0" w:space="0" w:color="auto"/>
        <w:right w:val="none" w:sz="0" w:space="0" w:color="auto"/>
      </w:divBdr>
    </w:div>
    <w:div w:id="1496453953">
      <w:bodyDiv w:val="1"/>
      <w:marLeft w:val="0"/>
      <w:marRight w:val="0"/>
      <w:marTop w:val="0"/>
      <w:marBottom w:val="0"/>
      <w:divBdr>
        <w:top w:val="none" w:sz="0" w:space="0" w:color="auto"/>
        <w:left w:val="none" w:sz="0" w:space="0" w:color="auto"/>
        <w:bottom w:val="none" w:sz="0" w:space="0" w:color="auto"/>
        <w:right w:val="none" w:sz="0" w:space="0" w:color="auto"/>
      </w:divBdr>
    </w:div>
    <w:div w:id="1496532950">
      <w:bodyDiv w:val="1"/>
      <w:marLeft w:val="0"/>
      <w:marRight w:val="0"/>
      <w:marTop w:val="0"/>
      <w:marBottom w:val="0"/>
      <w:divBdr>
        <w:top w:val="none" w:sz="0" w:space="0" w:color="auto"/>
        <w:left w:val="none" w:sz="0" w:space="0" w:color="auto"/>
        <w:bottom w:val="none" w:sz="0" w:space="0" w:color="auto"/>
        <w:right w:val="none" w:sz="0" w:space="0" w:color="auto"/>
      </w:divBdr>
    </w:div>
    <w:div w:id="1496535255">
      <w:bodyDiv w:val="1"/>
      <w:marLeft w:val="0"/>
      <w:marRight w:val="0"/>
      <w:marTop w:val="0"/>
      <w:marBottom w:val="0"/>
      <w:divBdr>
        <w:top w:val="none" w:sz="0" w:space="0" w:color="auto"/>
        <w:left w:val="none" w:sz="0" w:space="0" w:color="auto"/>
        <w:bottom w:val="none" w:sz="0" w:space="0" w:color="auto"/>
        <w:right w:val="none" w:sz="0" w:space="0" w:color="auto"/>
      </w:divBdr>
    </w:div>
    <w:div w:id="1496649654">
      <w:bodyDiv w:val="1"/>
      <w:marLeft w:val="0"/>
      <w:marRight w:val="0"/>
      <w:marTop w:val="0"/>
      <w:marBottom w:val="0"/>
      <w:divBdr>
        <w:top w:val="none" w:sz="0" w:space="0" w:color="auto"/>
        <w:left w:val="none" w:sz="0" w:space="0" w:color="auto"/>
        <w:bottom w:val="none" w:sz="0" w:space="0" w:color="auto"/>
        <w:right w:val="none" w:sz="0" w:space="0" w:color="auto"/>
      </w:divBdr>
    </w:div>
    <w:div w:id="1496652371">
      <w:bodyDiv w:val="1"/>
      <w:marLeft w:val="0"/>
      <w:marRight w:val="0"/>
      <w:marTop w:val="0"/>
      <w:marBottom w:val="0"/>
      <w:divBdr>
        <w:top w:val="none" w:sz="0" w:space="0" w:color="auto"/>
        <w:left w:val="none" w:sz="0" w:space="0" w:color="auto"/>
        <w:bottom w:val="none" w:sz="0" w:space="0" w:color="auto"/>
        <w:right w:val="none" w:sz="0" w:space="0" w:color="auto"/>
      </w:divBdr>
    </w:div>
    <w:div w:id="1496797074">
      <w:bodyDiv w:val="1"/>
      <w:marLeft w:val="0"/>
      <w:marRight w:val="0"/>
      <w:marTop w:val="0"/>
      <w:marBottom w:val="0"/>
      <w:divBdr>
        <w:top w:val="none" w:sz="0" w:space="0" w:color="auto"/>
        <w:left w:val="none" w:sz="0" w:space="0" w:color="auto"/>
        <w:bottom w:val="none" w:sz="0" w:space="0" w:color="auto"/>
        <w:right w:val="none" w:sz="0" w:space="0" w:color="auto"/>
      </w:divBdr>
    </w:div>
    <w:div w:id="1496802376">
      <w:bodyDiv w:val="1"/>
      <w:marLeft w:val="0"/>
      <w:marRight w:val="0"/>
      <w:marTop w:val="0"/>
      <w:marBottom w:val="0"/>
      <w:divBdr>
        <w:top w:val="none" w:sz="0" w:space="0" w:color="auto"/>
        <w:left w:val="none" w:sz="0" w:space="0" w:color="auto"/>
        <w:bottom w:val="none" w:sz="0" w:space="0" w:color="auto"/>
        <w:right w:val="none" w:sz="0" w:space="0" w:color="auto"/>
      </w:divBdr>
    </w:div>
    <w:div w:id="1496842452">
      <w:bodyDiv w:val="1"/>
      <w:marLeft w:val="0"/>
      <w:marRight w:val="0"/>
      <w:marTop w:val="0"/>
      <w:marBottom w:val="0"/>
      <w:divBdr>
        <w:top w:val="none" w:sz="0" w:space="0" w:color="auto"/>
        <w:left w:val="none" w:sz="0" w:space="0" w:color="auto"/>
        <w:bottom w:val="none" w:sz="0" w:space="0" w:color="auto"/>
        <w:right w:val="none" w:sz="0" w:space="0" w:color="auto"/>
      </w:divBdr>
    </w:div>
    <w:div w:id="1496871197">
      <w:bodyDiv w:val="1"/>
      <w:marLeft w:val="0"/>
      <w:marRight w:val="0"/>
      <w:marTop w:val="0"/>
      <w:marBottom w:val="0"/>
      <w:divBdr>
        <w:top w:val="none" w:sz="0" w:space="0" w:color="auto"/>
        <w:left w:val="none" w:sz="0" w:space="0" w:color="auto"/>
        <w:bottom w:val="none" w:sz="0" w:space="0" w:color="auto"/>
        <w:right w:val="none" w:sz="0" w:space="0" w:color="auto"/>
      </w:divBdr>
    </w:div>
    <w:div w:id="1496994245">
      <w:bodyDiv w:val="1"/>
      <w:marLeft w:val="0"/>
      <w:marRight w:val="0"/>
      <w:marTop w:val="0"/>
      <w:marBottom w:val="0"/>
      <w:divBdr>
        <w:top w:val="none" w:sz="0" w:space="0" w:color="auto"/>
        <w:left w:val="none" w:sz="0" w:space="0" w:color="auto"/>
        <w:bottom w:val="none" w:sz="0" w:space="0" w:color="auto"/>
        <w:right w:val="none" w:sz="0" w:space="0" w:color="auto"/>
      </w:divBdr>
    </w:div>
    <w:div w:id="1496996330">
      <w:bodyDiv w:val="1"/>
      <w:marLeft w:val="0"/>
      <w:marRight w:val="0"/>
      <w:marTop w:val="0"/>
      <w:marBottom w:val="0"/>
      <w:divBdr>
        <w:top w:val="none" w:sz="0" w:space="0" w:color="auto"/>
        <w:left w:val="none" w:sz="0" w:space="0" w:color="auto"/>
        <w:bottom w:val="none" w:sz="0" w:space="0" w:color="auto"/>
        <w:right w:val="none" w:sz="0" w:space="0" w:color="auto"/>
      </w:divBdr>
    </w:div>
    <w:div w:id="1497040867">
      <w:bodyDiv w:val="1"/>
      <w:marLeft w:val="0"/>
      <w:marRight w:val="0"/>
      <w:marTop w:val="0"/>
      <w:marBottom w:val="0"/>
      <w:divBdr>
        <w:top w:val="none" w:sz="0" w:space="0" w:color="auto"/>
        <w:left w:val="none" w:sz="0" w:space="0" w:color="auto"/>
        <w:bottom w:val="none" w:sz="0" w:space="0" w:color="auto"/>
        <w:right w:val="none" w:sz="0" w:space="0" w:color="auto"/>
      </w:divBdr>
    </w:div>
    <w:div w:id="1497189165">
      <w:bodyDiv w:val="1"/>
      <w:marLeft w:val="0"/>
      <w:marRight w:val="0"/>
      <w:marTop w:val="0"/>
      <w:marBottom w:val="0"/>
      <w:divBdr>
        <w:top w:val="none" w:sz="0" w:space="0" w:color="auto"/>
        <w:left w:val="none" w:sz="0" w:space="0" w:color="auto"/>
        <w:bottom w:val="none" w:sz="0" w:space="0" w:color="auto"/>
        <w:right w:val="none" w:sz="0" w:space="0" w:color="auto"/>
      </w:divBdr>
    </w:div>
    <w:div w:id="1497265305">
      <w:bodyDiv w:val="1"/>
      <w:marLeft w:val="0"/>
      <w:marRight w:val="0"/>
      <w:marTop w:val="0"/>
      <w:marBottom w:val="0"/>
      <w:divBdr>
        <w:top w:val="none" w:sz="0" w:space="0" w:color="auto"/>
        <w:left w:val="none" w:sz="0" w:space="0" w:color="auto"/>
        <w:bottom w:val="none" w:sz="0" w:space="0" w:color="auto"/>
        <w:right w:val="none" w:sz="0" w:space="0" w:color="auto"/>
      </w:divBdr>
    </w:div>
    <w:div w:id="1497266706">
      <w:bodyDiv w:val="1"/>
      <w:marLeft w:val="0"/>
      <w:marRight w:val="0"/>
      <w:marTop w:val="0"/>
      <w:marBottom w:val="0"/>
      <w:divBdr>
        <w:top w:val="none" w:sz="0" w:space="0" w:color="auto"/>
        <w:left w:val="none" w:sz="0" w:space="0" w:color="auto"/>
        <w:bottom w:val="none" w:sz="0" w:space="0" w:color="auto"/>
        <w:right w:val="none" w:sz="0" w:space="0" w:color="auto"/>
      </w:divBdr>
    </w:div>
    <w:div w:id="1497301629">
      <w:bodyDiv w:val="1"/>
      <w:marLeft w:val="0"/>
      <w:marRight w:val="0"/>
      <w:marTop w:val="0"/>
      <w:marBottom w:val="0"/>
      <w:divBdr>
        <w:top w:val="none" w:sz="0" w:space="0" w:color="auto"/>
        <w:left w:val="none" w:sz="0" w:space="0" w:color="auto"/>
        <w:bottom w:val="none" w:sz="0" w:space="0" w:color="auto"/>
        <w:right w:val="none" w:sz="0" w:space="0" w:color="auto"/>
      </w:divBdr>
    </w:div>
    <w:div w:id="1497305314">
      <w:bodyDiv w:val="1"/>
      <w:marLeft w:val="0"/>
      <w:marRight w:val="0"/>
      <w:marTop w:val="0"/>
      <w:marBottom w:val="0"/>
      <w:divBdr>
        <w:top w:val="none" w:sz="0" w:space="0" w:color="auto"/>
        <w:left w:val="none" w:sz="0" w:space="0" w:color="auto"/>
        <w:bottom w:val="none" w:sz="0" w:space="0" w:color="auto"/>
        <w:right w:val="none" w:sz="0" w:space="0" w:color="auto"/>
      </w:divBdr>
    </w:div>
    <w:div w:id="1497380997">
      <w:bodyDiv w:val="1"/>
      <w:marLeft w:val="0"/>
      <w:marRight w:val="0"/>
      <w:marTop w:val="0"/>
      <w:marBottom w:val="0"/>
      <w:divBdr>
        <w:top w:val="none" w:sz="0" w:space="0" w:color="auto"/>
        <w:left w:val="none" w:sz="0" w:space="0" w:color="auto"/>
        <w:bottom w:val="none" w:sz="0" w:space="0" w:color="auto"/>
        <w:right w:val="none" w:sz="0" w:space="0" w:color="auto"/>
      </w:divBdr>
    </w:div>
    <w:div w:id="1497452293">
      <w:bodyDiv w:val="1"/>
      <w:marLeft w:val="0"/>
      <w:marRight w:val="0"/>
      <w:marTop w:val="0"/>
      <w:marBottom w:val="0"/>
      <w:divBdr>
        <w:top w:val="none" w:sz="0" w:space="0" w:color="auto"/>
        <w:left w:val="none" w:sz="0" w:space="0" w:color="auto"/>
        <w:bottom w:val="none" w:sz="0" w:space="0" w:color="auto"/>
        <w:right w:val="none" w:sz="0" w:space="0" w:color="auto"/>
      </w:divBdr>
    </w:div>
    <w:div w:id="1497458333">
      <w:bodyDiv w:val="1"/>
      <w:marLeft w:val="0"/>
      <w:marRight w:val="0"/>
      <w:marTop w:val="0"/>
      <w:marBottom w:val="0"/>
      <w:divBdr>
        <w:top w:val="none" w:sz="0" w:space="0" w:color="auto"/>
        <w:left w:val="none" w:sz="0" w:space="0" w:color="auto"/>
        <w:bottom w:val="none" w:sz="0" w:space="0" w:color="auto"/>
        <w:right w:val="none" w:sz="0" w:space="0" w:color="auto"/>
      </w:divBdr>
    </w:div>
    <w:div w:id="1497646149">
      <w:bodyDiv w:val="1"/>
      <w:marLeft w:val="0"/>
      <w:marRight w:val="0"/>
      <w:marTop w:val="0"/>
      <w:marBottom w:val="0"/>
      <w:divBdr>
        <w:top w:val="none" w:sz="0" w:space="0" w:color="auto"/>
        <w:left w:val="none" w:sz="0" w:space="0" w:color="auto"/>
        <w:bottom w:val="none" w:sz="0" w:space="0" w:color="auto"/>
        <w:right w:val="none" w:sz="0" w:space="0" w:color="auto"/>
      </w:divBdr>
    </w:div>
    <w:div w:id="1497770781">
      <w:bodyDiv w:val="1"/>
      <w:marLeft w:val="0"/>
      <w:marRight w:val="0"/>
      <w:marTop w:val="0"/>
      <w:marBottom w:val="0"/>
      <w:divBdr>
        <w:top w:val="none" w:sz="0" w:space="0" w:color="auto"/>
        <w:left w:val="none" w:sz="0" w:space="0" w:color="auto"/>
        <w:bottom w:val="none" w:sz="0" w:space="0" w:color="auto"/>
        <w:right w:val="none" w:sz="0" w:space="0" w:color="auto"/>
      </w:divBdr>
    </w:div>
    <w:div w:id="1497840524">
      <w:bodyDiv w:val="1"/>
      <w:marLeft w:val="0"/>
      <w:marRight w:val="0"/>
      <w:marTop w:val="0"/>
      <w:marBottom w:val="0"/>
      <w:divBdr>
        <w:top w:val="none" w:sz="0" w:space="0" w:color="auto"/>
        <w:left w:val="none" w:sz="0" w:space="0" w:color="auto"/>
        <w:bottom w:val="none" w:sz="0" w:space="0" w:color="auto"/>
        <w:right w:val="none" w:sz="0" w:space="0" w:color="auto"/>
      </w:divBdr>
    </w:div>
    <w:div w:id="1497959124">
      <w:bodyDiv w:val="1"/>
      <w:marLeft w:val="0"/>
      <w:marRight w:val="0"/>
      <w:marTop w:val="0"/>
      <w:marBottom w:val="0"/>
      <w:divBdr>
        <w:top w:val="none" w:sz="0" w:space="0" w:color="auto"/>
        <w:left w:val="none" w:sz="0" w:space="0" w:color="auto"/>
        <w:bottom w:val="none" w:sz="0" w:space="0" w:color="auto"/>
        <w:right w:val="none" w:sz="0" w:space="0" w:color="auto"/>
      </w:divBdr>
    </w:div>
    <w:div w:id="1497960385">
      <w:bodyDiv w:val="1"/>
      <w:marLeft w:val="0"/>
      <w:marRight w:val="0"/>
      <w:marTop w:val="0"/>
      <w:marBottom w:val="0"/>
      <w:divBdr>
        <w:top w:val="none" w:sz="0" w:space="0" w:color="auto"/>
        <w:left w:val="none" w:sz="0" w:space="0" w:color="auto"/>
        <w:bottom w:val="none" w:sz="0" w:space="0" w:color="auto"/>
        <w:right w:val="none" w:sz="0" w:space="0" w:color="auto"/>
      </w:divBdr>
    </w:div>
    <w:div w:id="1497964202">
      <w:bodyDiv w:val="1"/>
      <w:marLeft w:val="0"/>
      <w:marRight w:val="0"/>
      <w:marTop w:val="0"/>
      <w:marBottom w:val="0"/>
      <w:divBdr>
        <w:top w:val="none" w:sz="0" w:space="0" w:color="auto"/>
        <w:left w:val="none" w:sz="0" w:space="0" w:color="auto"/>
        <w:bottom w:val="none" w:sz="0" w:space="0" w:color="auto"/>
        <w:right w:val="none" w:sz="0" w:space="0" w:color="auto"/>
      </w:divBdr>
    </w:div>
    <w:div w:id="1498106535">
      <w:bodyDiv w:val="1"/>
      <w:marLeft w:val="0"/>
      <w:marRight w:val="0"/>
      <w:marTop w:val="0"/>
      <w:marBottom w:val="0"/>
      <w:divBdr>
        <w:top w:val="none" w:sz="0" w:space="0" w:color="auto"/>
        <w:left w:val="none" w:sz="0" w:space="0" w:color="auto"/>
        <w:bottom w:val="none" w:sz="0" w:space="0" w:color="auto"/>
        <w:right w:val="none" w:sz="0" w:space="0" w:color="auto"/>
      </w:divBdr>
    </w:div>
    <w:div w:id="1498229476">
      <w:bodyDiv w:val="1"/>
      <w:marLeft w:val="0"/>
      <w:marRight w:val="0"/>
      <w:marTop w:val="0"/>
      <w:marBottom w:val="0"/>
      <w:divBdr>
        <w:top w:val="none" w:sz="0" w:space="0" w:color="auto"/>
        <w:left w:val="none" w:sz="0" w:space="0" w:color="auto"/>
        <w:bottom w:val="none" w:sz="0" w:space="0" w:color="auto"/>
        <w:right w:val="none" w:sz="0" w:space="0" w:color="auto"/>
      </w:divBdr>
    </w:div>
    <w:div w:id="1498418250">
      <w:bodyDiv w:val="1"/>
      <w:marLeft w:val="0"/>
      <w:marRight w:val="0"/>
      <w:marTop w:val="0"/>
      <w:marBottom w:val="0"/>
      <w:divBdr>
        <w:top w:val="none" w:sz="0" w:space="0" w:color="auto"/>
        <w:left w:val="none" w:sz="0" w:space="0" w:color="auto"/>
        <w:bottom w:val="none" w:sz="0" w:space="0" w:color="auto"/>
        <w:right w:val="none" w:sz="0" w:space="0" w:color="auto"/>
      </w:divBdr>
    </w:div>
    <w:div w:id="1498575354">
      <w:bodyDiv w:val="1"/>
      <w:marLeft w:val="0"/>
      <w:marRight w:val="0"/>
      <w:marTop w:val="0"/>
      <w:marBottom w:val="0"/>
      <w:divBdr>
        <w:top w:val="none" w:sz="0" w:space="0" w:color="auto"/>
        <w:left w:val="none" w:sz="0" w:space="0" w:color="auto"/>
        <w:bottom w:val="none" w:sz="0" w:space="0" w:color="auto"/>
        <w:right w:val="none" w:sz="0" w:space="0" w:color="auto"/>
      </w:divBdr>
    </w:div>
    <w:div w:id="1498618599">
      <w:bodyDiv w:val="1"/>
      <w:marLeft w:val="0"/>
      <w:marRight w:val="0"/>
      <w:marTop w:val="0"/>
      <w:marBottom w:val="0"/>
      <w:divBdr>
        <w:top w:val="none" w:sz="0" w:space="0" w:color="auto"/>
        <w:left w:val="none" w:sz="0" w:space="0" w:color="auto"/>
        <w:bottom w:val="none" w:sz="0" w:space="0" w:color="auto"/>
        <w:right w:val="none" w:sz="0" w:space="0" w:color="auto"/>
      </w:divBdr>
    </w:div>
    <w:div w:id="1498811516">
      <w:bodyDiv w:val="1"/>
      <w:marLeft w:val="0"/>
      <w:marRight w:val="0"/>
      <w:marTop w:val="0"/>
      <w:marBottom w:val="0"/>
      <w:divBdr>
        <w:top w:val="none" w:sz="0" w:space="0" w:color="auto"/>
        <w:left w:val="none" w:sz="0" w:space="0" w:color="auto"/>
        <w:bottom w:val="none" w:sz="0" w:space="0" w:color="auto"/>
        <w:right w:val="none" w:sz="0" w:space="0" w:color="auto"/>
      </w:divBdr>
    </w:div>
    <w:div w:id="1498836886">
      <w:bodyDiv w:val="1"/>
      <w:marLeft w:val="0"/>
      <w:marRight w:val="0"/>
      <w:marTop w:val="0"/>
      <w:marBottom w:val="0"/>
      <w:divBdr>
        <w:top w:val="none" w:sz="0" w:space="0" w:color="auto"/>
        <w:left w:val="none" w:sz="0" w:space="0" w:color="auto"/>
        <w:bottom w:val="none" w:sz="0" w:space="0" w:color="auto"/>
        <w:right w:val="none" w:sz="0" w:space="0" w:color="auto"/>
      </w:divBdr>
    </w:div>
    <w:div w:id="1498837656">
      <w:bodyDiv w:val="1"/>
      <w:marLeft w:val="0"/>
      <w:marRight w:val="0"/>
      <w:marTop w:val="0"/>
      <w:marBottom w:val="0"/>
      <w:divBdr>
        <w:top w:val="none" w:sz="0" w:space="0" w:color="auto"/>
        <w:left w:val="none" w:sz="0" w:space="0" w:color="auto"/>
        <w:bottom w:val="none" w:sz="0" w:space="0" w:color="auto"/>
        <w:right w:val="none" w:sz="0" w:space="0" w:color="auto"/>
      </w:divBdr>
    </w:div>
    <w:div w:id="1498958787">
      <w:bodyDiv w:val="1"/>
      <w:marLeft w:val="0"/>
      <w:marRight w:val="0"/>
      <w:marTop w:val="0"/>
      <w:marBottom w:val="0"/>
      <w:divBdr>
        <w:top w:val="none" w:sz="0" w:space="0" w:color="auto"/>
        <w:left w:val="none" w:sz="0" w:space="0" w:color="auto"/>
        <w:bottom w:val="none" w:sz="0" w:space="0" w:color="auto"/>
        <w:right w:val="none" w:sz="0" w:space="0" w:color="auto"/>
      </w:divBdr>
    </w:div>
    <w:div w:id="1498961199">
      <w:bodyDiv w:val="1"/>
      <w:marLeft w:val="0"/>
      <w:marRight w:val="0"/>
      <w:marTop w:val="0"/>
      <w:marBottom w:val="0"/>
      <w:divBdr>
        <w:top w:val="none" w:sz="0" w:space="0" w:color="auto"/>
        <w:left w:val="none" w:sz="0" w:space="0" w:color="auto"/>
        <w:bottom w:val="none" w:sz="0" w:space="0" w:color="auto"/>
        <w:right w:val="none" w:sz="0" w:space="0" w:color="auto"/>
      </w:divBdr>
    </w:div>
    <w:div w:id="1499075160">
      <w:bodyDiv w:val="1"/>
      <w:marLeft w:val="0"/>
      <w:marRight w:val="0"/>
      <w:marTop w:val="0"/>
      <w:marBottom w:val="0"/>
      <w:divBdr>
        <w:top w:val="none" w:sz="0" w:space="0" w:color="auto"/>
        <w:left w:val="none" w:sz="0" w:space="0" w:color="auto"/>
        <w:bottom w:val="none" w:sz="0" w:space="0" w:color="auto"/>
        <w:right w:val="none" w:sz="0" w:space="0" w:color="auto"/>
      </w:divBdr>
    </w:div>
    <w:div w:id="1499079345">
      <w:bodyDiv w:val="1"/>
      <w:marLeft w:val="0"/>
      <w:marRight w:val="0"/>
      <w:marTop w:val="0"/>
      <w:marBottom w:val="0"/>
      <w:divBdr>
        <w:top w:val="none" w:sz="0" w:space="0" w:color="auto"/>
        <w:left w:val="none" w:sz="0" w:space="0" w:color="auto"/>
        <w:bottom w:val="none" w:sz="0" w:space="0" w:color="auto"/>
        <w:right w:val="none" w:sz="0" w:space="0" w:color="auto"/>
      </w:divBdr>
    </w:div>
    <w:div w:id="1499223770">
      <w:bodyDiv w:val="1"/>
      <w:marLeft w:val="0"/>
      <w:marRight w:val="0"/>
      <w:marTop w:val="0"/>
      <w:marBottom w:val="0"/>
      <w:divBdr>
        <w:top w:val="none" w:sz="0" w:space="0" w:color="auto"/>
        <w:left w:val="none" w:sz="0" w:space="0" w:color="auto"/>
        <w:bottom w:val="none" w:sz="0" w:space="0" w:color="auto"/>
        <w:right w:val="none" w:sz="0" w:space="0" w:color="auto"/>
      </w:divBdr>
    </w:div>
    <w:div w:id="1499231851">
      <w:bodyDiv w:val="1"/>
      <w:marLeft w:val="0"/>
      <w:marRight w:val="0"/>
      <w:marTop w:val="0"/>
      <w:marBottom w:val="0"/>
      <w:divBdr>
        <w:top w:val="none" w:sz="0" w:space="0" w:color="auto"/>
        <w:left w:val="none" w:sz="0" w:space="0" w:color="auto"/>
        <w:bottom w:val="none" w:sz="0" w:space="0" w:color="auto"/>
        <w:right w:val="none" w:sz="0" w:space="0" w:color="auto"/>
      </w:divBdr>
    </w:div>
    <w:div w:id="1499232236">
      <w:bodyDiv w:val="1"/>
      <w:marLeft w:val="0"/>
      <w:marRight w:val="0"/>
      <w:marTop w:val="0"/>
      <w:marBottom w:val="0"/>
      <w:divBdr>
        <w:top w:val="none" w:sz="0" w:space="0" w:color="auto"/>
        <w:left w:val="none" w:sz="0" w:space="0" w:color="auto"/>
        <w:bottom w:val="none" w:sz="0" w:space="0" w:color="auto"/>
        <w:right w:val="none" w:sz="0" w:space="0" w:color="auto"/>
      </w:divBdr>
    </w:div>
    <w:div w:id="1499270232">
      <w:bodyDiv w:val="1"/>
      <w:marLeft w:val="0"/>
      <w:marRight w:val="0"/>
      <w:marTop w:val="0"/>
      <w:marBottom w:val="0"/>
      <w:divBdr>
        <w:top w:val="none" w:sz="0" w:space="0" w:color="auto"/>
        <w:left w:val="none" w:sz="0" w:space="0" w:color="auto"/>
        <w:bottom w:val="none" w:sz="0" w:space="0" w:color="auto"/>
        <w:right w:val="none" w:sz="0" w:space="0" w:color="auto"/>
      </w:divBdr>
    </w:div>
    <w:div w:id="1499273084">
      <w:bodyDiv w:val="1"/>
      <w:marLeft w:val="0"/>
      <w:marRight w:val="0"/>
      <w:marTop w:val="0"/>
      <w:marBottom w:val="0"/>
      <w:divBdr>
        <w:top w:val="none" w:sz="0" w:space="0" w:color="auto"/>
        <w:left w:val="none" w:sz="0" w:space="0" w:color="auto"/>
        <w:bottom w:val="none" w:sz="0" w:space="0" w:color="auto"/>
        <w:right w:val="none" w:sz="0" w:space="0" w:color="auto"/>
      </w:divBdr>
    </w:div>
    <w:div w:id="1499274418">
      <w:bodyDiv w:val="1"/>
      <w:marLeft w:val="0"/>
      <w:marRight w:val="0"/>
      <w:marTop w:val="0"/>
      <w:marBottom w:val="0"/>
      <w:divBdr>
        <w:top w:val="none" w:sz="0" w:space="0" w:color="auto"/>
        <w:left w:val="none" w:sz="0" w:space="0" w:color="auto"/>
        <w:bottom w:val="none" w:sz="0" w:space="0" w:color="auto"/>
        <w:right w:val="none" w:sz="0" w:space="0" w:color="auto"/>
      </w:divBdr>
    </w:div>
    <w:div w:id="1499420567">
      <w:bodyDiv w:val="1"/>
      <w:marLeft w:val="0"/>
      <w:marRight w:val="0"/>
      <w:marTop w:val="0"/>
      <w:marBottom w:val="0"/>
      <w:divBdr>
        <w:top w:val="none" w:sz="0" w:space="0" w:color="auto"/>
        <w:left w:val="none" w:sz="0" w:space="0" w:color="auto"/>
        <w:bottom w:val="none" w:sz="0" w:space="0" w:color="auto"/>
        <w:right w:val="none" w:sz="0" w:space="0" w:color="auto"/>
      </w:divBdr>
    </w:div>
    <w:div w:id="1499465732">
      <w:bodyDiv w:val="1"/>
      <w:marLeft w:val="0"/>
      <w:marRight w:val="0"/>
      <w:marTop w:val="0"/>
      <w:marBottom w:val="0"/>
      <w:divBdr>
        <w:top w:val="none" w:sz="0" w:space="0" w:color="auto"/>
        <w:left w:val="none" w:sz="0" w:space="0" w:color="auto"/>
        <w:bottom w:val="none" w:sz="0" w:space="0" w:color="auto"/>
        <w:right w:val="none" w:sz="0" w:space="0" w:color="auto"/>
      </w:divBdr>
    </w:div>
    <w:div w:id="1499538104">
      <w:bodyDiv w:val="1"/>
      <w:marLeft w:val="0"/>
      <w:marRight w:val="0"/>
      <w:marTop w:val="0"/>
      <w:marBottom w:val="0"/>
      <w:divBdr>
        <w:top w:val="none" w:sz="0" w:space="0" w:color="auto"/>
        <w:left w:val="none" w:sz="0" w:space="0" w:color="auto"/>
        <w:bottom w:val="none" w:sz="0" w:space="0" w:color="auto"/>
        <w:right w:val="none" w:sz="0" w:space="0" w:color="auto"/>
      </w:divBdr>
    </w:div>
    <w:div w:id="1499729036">
      <w:bodyDiv w:val="1"/>
      <w:marLeft w:val="0"/>
      <w:marRight w:val="0"/>
      <w:marTop w:val="0"/>
      <w:marBottom w:val="0"/>
      <w:divBdr>
        <w:top w:val="none" w:sz="0" w:space="0" w:color="auto"/>
        <w:left w:val="none" w:sz="0" w:space="0" w:color="auto"/>
        <w:bottom w:val="none" w:sz="0" w:space="0" w:color="auto"/>
        <w:right w:val="none" w:sz="0" w:space="0" w:color="auto"/>
      </w:divBdr>
    </w:div>
    <w:div w:id="1499805082">
      <w:bodyDiv w:val="1"/>
      <w:marLeft w:val="0"/>
      <w:marRight w:val="0"/>
      <w:marTop w:val="0"/>
      <w:marBottom w:val="0"/>
      <w:divBdr>
        <w:top w:val="none" w:sz="0" w:space="0" w:color="auto"/>
        <w:left w:val="none" w:sz="0" w:space="0" w:color="auto"/>
        <w:bottom w:val="none" w:sz="0" w:space="0" w:color="auto"/>
        <w:right w:val="none" w:sz="0" w:space="0" w:color="auto"/>
      </w:divBdr>
    </w:div>
    <w:div w:id="1499806073">
      <w:bodyDiv w:val="1"/>
      <w:marLeft w:val="0"/>
      <w:marRight w:val="0"/>
      <w:marTop w:val="0"/>
      <w:marBottom w:val="0"/>
      <w:divBdr>
        <w:top w:val="none" w:sz="0" w:space="0" w:color="auto"/>
        <w:left w:val="none" w:sz="0" w:space="0" w:color="auto"/>
        <w:bottom w:val="none" w:sz="0" w:space="0" w:color="auto"/>
        <w:right w:val="none" w:sz="0" w:space="0" w:color="auto"/>
      </w:divBdr>
    </w:div>
    <w:div w:id="1499883532">
      <w:bodyDiv w:val="1"/>
      <w:marLeft w:val="0"/>
      <w:marRight w:val="0"/>
      <w:marTop w:val="0"/>
      <w:marBottom w:val="0"/>
      <w:divBdr>
        <w:top w:val="none" w:sz="0" w:space="0" w:color="auto"/>
        <w:left w:val="none" w:sz="0" w:space="0" w:color="auto"/>
        <w:bottom w:val="none" w:sz="0" w:space="0" w:color="auto"/>
        <w:right w:val="none" w:sz="0" w:space="0" w:color="auto"/>
      </w:divBdr>
    </w:div>
    <w:div w:id="1500074498">
      <w:bodyDiv w:val="1"/>
      <w:marLeft w:val="0"/>
      <w:marRight w:val="0"/>
      <w:marTop w:val="0"/>
      <w:marBottom w:val="0"/>
      <w:divBdr>
        <w:top w:val="none" w:sz="0" w:space="0" w:color="auto"/>
        <w:left w:val="none" w:sz="0" w:space="0" w:color="auto"/>
        <w:bottom w:val="none" w:sz="0" w:space="0" w:color="auto"/>
        <w:right w:val="none" w:sz="0" w:space="0" w:color="auto"/>
      </w:divBdr>
    </w:div>
    <w:div w:id="1500079300">
      <w:bodyDiv w:val="1"/>
      <w:marLeft w:val="0"/>
      <w:marRight w:val="0"/>
      <w:marTop w:val="0"/>
      <w:marBottom w:val="0"/>
      <w:divBdr>
        <w:top w:val="none" w:sz="0" w:space="0" w:color="auto"/>
        <w:left w:val="none" w:sz="0" w:space="0" w:color="auto"/>
        <w:bottom w:val="none" w:sz="0" w:space="0" w:color="auto"/>
        <w:right w:val="none" w:sz="0" w:space="0" w:color="auto"/>
      </w:divBdr>
    </w:div>
    <w:div w:id="1500119303">
      <w:bodyDiv w:val="1"/>
      <w:marLeft w:val="0"/>
      <w:marRight w:val="0"/>
      <w:marTop w:val="0"/>
      <w:marBottom w:val="0"/>
      <w:divBdr>
        <w:top w:val="none" w:sz="0" w:space="0" w:color="auto"/>
        <w:left w:val="none" w:sz="0" w:space="0" w:color="auto"/>
        <w:bottom w:val="none" w:sz="0" w:space="0" w:color="auto"/>
        <w:right w:val="none" w:sz="0" w:space="0" w:color="auto"/>
      </w:divBdr>
    </w:div>
    <w:div w:id="1500191038">
      <w:bodyDiv w:val="1"/>
      <w:marLeft w:val="0"/>
      <w:marRight w:val="0"/>
      <w:marTop w:val="0"/>
      <w:marBottom w:val="0"/>
      <w:divBdr>
        <w:top w:val="none" w:sz="0" w:space="0" w:color="auto"/>
        <w:left w:val="none" w:sz="0" w:space="0" w:color="auto"/>
        <w:bottom w:val="none" w:sz="0" w:space="0" w:color="auto"/>
        <w:right w:val="none" w:sz="0" w:space="0" w:color="auto"/>
      </w:divBdr>
    </w:div>
    <w:div w:id="1500192968">
      <w:bodyDiv w:val="1"/>
      <w:marLeft w:val="0"/>
      <w:marRight w:val="0"/>
      <w:marTop w:val="0"/>
      <w:marBottom w:val="0"/>
      <w:divBdr>
        <w:top w:val="none" w:sz="0" w:space="0" w:color="auto"/>
        <w:left w:val="none" w:sz="0" w:space="0" w:color="auto"/>
        <w:bottom w:val="none" w:sz="0" w:space="0" w:color="auto"/>
        <w:right w:val="none" w:sz="0" w:space="0" w:color="auto"/>
      </w:divBdr>
    </w:div>
    <w:div w:id="1500196447">
      <w:bodyDiv w:val="1"/>
      <w:marLeft w:val="0"/>
      <w:marRight w:val="0"/>
      <w:marTop w:val="0"/>
      <w:marBottom w:val="0"/>
      <w:divBdr>
        <w:top w:val="none" w:sz="0" w:space="0" w:color="auto"/>
        <w:left w:val="none" w:sz="0" w:space="0" w:color="auto"/>
        <w:bottom w:val="none" w:sz="0" w:space="0" w:color="auto"/>
        <w:right w:val="none" w:sz="0" w:space="0" w:color="auto"/>
      </w:divBdr>
    </w:div>
    <w:div w:id="1500268686">
      <w:bodyDiv w:val="1"/>
      <w:marLeft w:val="0"/>
      <w:marRight w:val="0"/>
      <w:marTop w:val="0"/>
      <w:marBottom w:val="0"/>
      <w:divBdr>
        <w:top w:val="none" w:sz="0" w:space="0" w:color="auto"/>
        <w:left w:val="none" w:sz="0" w:space="0" w:color="auto"/>
        <w:bottom w:val="none" w:sz="0" w:space="0" w:color="auto"/>
        <w:right w:val="none" w:sz="0" w:space="0" w:color="auto"/>
      </w:divBdr>
    </w:div>
    <w:div w:id="1500273676">
      <w:bodyDiv w:val="1"/>
      <w:marLeft w:val="0"/>
      <w:marRight w:val="0"/>
      <w:marTop w:val="0"/>
      <w:marBottom w:val="0"/>
      <w:divBdr>
        <w:top w:val="none" w:sz="0" w:space="0" w:color="auto"/>
        <w:left w:val="none" w:sz="0" w:space="0" w:color="auto"/>
        <w:bottom w:val="none" w:sz="0" w:space="0" w:color="auto"/>
        <w:right w:val="none" w:sz="0" w:space="0" w:color="auto"/>
      </w:divBdr>
    </w:div>
    <w:div w:id="1500345999">
      <w:bodyDiv w:val="1"/>
      <w:marLeft w:val="0"/>
      <w:marRight w:val="0"/>
      <w:marTop w:val="0"/>
      <w:marBottom w:val="0"/>
      <w:divBdr>
        <w:top w:val="none" w:sz="0" w:space="0" w:color="auto"/>
        <w:left w:val="none" w:sz="0" w:space="0" w:color="auto"/>
        <w:bottom w:val="none" w:sz="0" w:space="0" w:color="auto"/>
        <w:right w:val="none" w:sz="0" w:space="0" w:color="auto"/>
      </w:divBdr>
    </w:div>
    <w:div w:id="1500463882">
      <w:bodyDiv w:val="1"/>
      <w:marLeft w:val="0"/>
      <w:marRight w:val="0"/>
      <w:marTop w:val="0"/>
      <w:marBottom w:val="0"/>
      <w:divBdr>
        <w:top w:val="none" w:sz="0" w:space="0" w:color="auto"/>
        <w:left w:val="none" w:sz="0" w:space="0" w:color="auto"/>
        <w:bottom w:val="none" w:sz="0" w:space="0" w:color="auto"/>
        <w:right w:val="none" w:sz="0" w:space="0" w:color="auto"/>
      </w:divBdr>
    </w:div>
    <w:div w:id="1500541954">
      <w:bodyDiv w:val="1"/>
      <w:marLeft w:val="0"/>
      <w:marRight w:val="0"/>
      <w:marTop w:val="0"/>
      <w:marBottom w:val="0"/>
      <w:divBdr>
        <w:top w:val="none" w:sz="0" w:space="0" w:color="auto"/>
        <w:left w:val="none" w:sz="0" w:space="0" w:color="auto"/>
        <w:bottom w:val="none" w:sz="0" w:space="0" w:color="auto"/>
        <w:right w:val="none" w:sz="0" w:space="0" w:color="auto"/>
      </w:divBdr>
    </w:div>
    <w:div w:id="1500585395">
      <w:bodyDiv w:val="1"/>
      <w:marLeft w:val="0"/>
      <w:marRight w:val="0"/>
      <w:marTop w:val="0"/>
      <w:marBottom w:val="0"/>
      <w:divBdr>
        <w:top w:val="none" w:sz="0" w:space="0" w:color="auto"/>
        <w:left w:val="none" w:sz="0" w:space="0" w:color="auto"/>
        <w:bottom w:val="none" w:sz="0" w:space="0" w:color="auto"/>
        <w:right w:val="none" w:sz="0" w:space="0" w:color="auto"/>
      </w:divBdr>
    </w:div>
    <w:div w:id="1500656812">
      <w:bodyDiv w:val="1"/>
      <w:marLeft w:val="0"/>
      <w:marRight w:val="0"/>
      <w:marTop w:val="0"/>
      <w:marBottom w:val="0"/>
      <w:divBdr>
        <w:top w:val="none" w:sz="0" w:space="0" w:color="auto"/>
        <w:left w:val="none" w:sz="0" w:space="0" w:color="auto"/>
        <w:bottom w:val="none" w:sz="0" w:space="0" w:color="auto"/>
        <w:right w:val="none" w:sz="0" w:space="0" w:color="auto"/>
      </w:divBdr>
    </w:div>
    <w:div w:id="1500776619">
      <w:bodyDiv w:val="1"/>
      <w:marLeft w:val="0"/>
      <w:marRight w:val="0"/>
      <w:marTop w:val="0"/>
      <w:marBottom w:val="0"/>
      <w:divBdr>
        <w:top w:val="none" w:sz="0" w:space="0" w:color="auto"/>
        <w:left w:val="none" w:sz="0" w:space="0" w:color="auto"/>
        <w:bottom w:val="none" w:sz="0" w:space="0" w:color="auto"/>
        <w:right w:val="none" w:sz="0" w:space="0" w:color="auto"/>
      </w:divBdr>
    </w:div>
    <w:div w:id="1500921181">
      <w:bodyDiv w:val="1"/>
      <w:marLeft w:val="0"/>
      <w:marRight w:val="0"/>
      <w:marTop w:val="0"/>
      <w:marBottom w:val="0"/>
      <w:divBdr>
        <w:top w:val="none" w:sz="0" w:space="0" w:color="auto"/>
        <w:left w:val="none" w:sz="0" w:space="0" w:color="auto"/>
        <w:bottom w:val="none" w:sz="0" w:space="0" w:color="auto"/>
        <w:right w:val="none" w:sz="0" w:space="0" w:color="auto"/>
      </w:divBdr>
    </w:div>
    <w:div w:id="1500921941">
      <w:bodyDiv w:val="1"/>
      <w:marLeft w:val="0"/>
      <w:marRight w:val="0"/>
      <w:marTop w:val="0"/>
      <w:marBottom w:val="0"/>
      <w:divBdr>
        <w:top w:val="none" w:sz="0" w:space="0" w:color="auto"/>
        <w:left w:val="none" w:sz="0" w:space="0" w:color="auto"/>
        <w:bottom w:val="none" w:sz="0" w:space="0" w:color="auto"/>
        <w:right w:val="none" w:sz="0" w:space="0" w:color="auto"/>
      </w:divBdr>
    </w:div>
    <w:div w:id="1500998231">
      <w:bodyDiv w:val="1"/>
      <w:marLeft w:val="0"/>
      <w:marRight w:val="0"/>
      <w:marTop w:val="0"/>
      <w:marBottom w:val="0"/>
      <w:divBdr>
        <w:top w:val="none" w:sz="0" w:space="0" w:color="auto"/>
        <w:left w:val="none" w:sz="0" w:space="0" w:color="auto"/>
        <w:bottom w:val="none" w:sz="0" w:space="0" w:color="auto"/>
        <w:right w:val="none" w:sz="0" w:space="0" w:color="auto"/>
      </w:divBdr>
    </w:div>
    <w:div w:id="1501120043">
      <w:bodyDiv w:val="1"/>
      <w:marLeft w:val="0"/>
      <w:marRight w:val="0"/>
      <w:marTop w:val="0"/>
      <w:marBottom w:val="0"/>
      <w:divBdr>
        <w:top w:val="none" w:sz="0" w:space="0" w:color="auto"/>
        <w:left w:val="none" w:sz="0" w:space="0" w:color="auto"/>
        <w:bottom w:val="none" w:sz="0" w:space="0" w:color="auto"/>
        <w:right w:val="none" w:sz="0" w:space="0" w:color="auto"/>
      </w:divBdr>
    </w:div>
    <w:div w:id="1501233976">
      <w:bodyDiv w:val="1"/>
      <w:marLeft w:val="0"/>
      <w:marRight w:val="0"/>
      <w:marTop w:val="0"/>
      <w:marBottom w:val="0"/>
      <w:divBdr>
        <w:top w:val="none" w:sz="0" w:space="0" w:color="auto"/>
        <w:left w:val="none" w:sz="0" w:space="0" w:color="auto"/>
        <w:bottom w:val="none" w:sz="0" w:space="0" w:color="auto"/>
        <w:right w:val="none" w:sz="0" w:space="0" w:color="auto"/>
      </w:divBdr>
    </w:div>
    <w:div w:id="1501239053">
      <w:bodyDiv w:val="1"/>
      <w:marLeft w:val="0"/>
      <w:marRight w:val="0"/>
      <w:marTop w:val="0"/>
      <w:marBottom w:val="0"/>
      <w:divBdr>
        <w:top w:val="none" w:sz="0" w:space="0" w:color="auto"/>
        <w:left w:val="none" w:sz="0" w:space="0" w:color="auto"/>
        <w:bottom w:val="none" w:sz="0" w:space="0" w:color="auto"/>
        <w:right w:val="none" w:sz="0" w:space="0" w:color="auto"/>
      </w:divBdr>
    </w:div>
    <w:div w:id="1501312717">
      <w:bodyDiv w:val="1"/>
      <w:marLeft w:val="0"/>
      <w:marRight w:val="0"/>
      <w:marTop w:val="0"/>
      <w:marBottom w:val="0"/>
      <w:divBdr>
        <w:top w:val="none" w:sz="0" w:space="0" w:color="auto"/>
        <w:left w:val="none" w:sz="0" w:space="0" w:color="auto"/>
        <w:bottom w:val="none" w:sz="0" w:space="0" w:color="auto"/>
        <w:right w:val="none" w:sz="0" w:space="0" w:color="auto"/>
      </w:divBdr>
    </w:div>
    <w:div w:id="1501389942">
      <w:bodyDiv w:val="1"/>
      <w:marLeft w:val="0"/>
      <w:marRight w:val="0"/>
      <w:marTop w:val="0"/>
      <w:marBottom w:val="0"/>
      <w:divBdr>
        <w:top w:val="none" w:sz="0" w:space="0" w:color="auto"/>
        <w:left w:val="none" w:sz="0" w:space="0" w:color="auto"/>
        <w:bottom w:val="none" w:sz="0" w:space="0" w:color="auto"/>
        <w:right w:val="none" w:sz="0" w:space="0" w:color="auto"/>
      </w:divBdr>
    </w:div>
    <w:div w:id="1501457697">
      <w:bodyDiv w:val="1"/>
      <w:marLeft w:val="0"/>
      <w:marRight w:val="0"/>
      <w:marTop w:val="0"/>
      <w:marBottom w:val="0"/>
      <w:divBdr>
        <w:top w:val="none" w:sz="0" w:space="0" w:color="auto"/>
        <w:left w:val="none" w:sz="0" w:space="0" w:color="auto"/>
        <w:bottom w:val="none" w:sz="0" w:space="0" w:color="auto"/>
        <w:right w:val="none" w:sz="0" w:space="0" w:color="auto"/>
      </w:divBdr>
    </w:div>
    <w:div w:id="1501509421">
      <w:bodyDiv w:val="1"/>
      <w:marLeft w:val="0"/>
      <w:marRight w:val="0"/>
      <w:marTop w:val="0"/>
      <w:marBottom w:val="0"/>
      <w:divBdr>
        <w:top w:val="none" w:sz="0" w:space="0" w:color="auto"/>
        <w:left w:val="none" w:sz="0" w:space="0" w:color="auto"/>
        <w:bottom w:val="none" w:sz="0" w:space="0" w:color="auto"/>
        <w:right w:val="none" w:sz="0" w:space="0" w:color="auto"/>
      </w:divBdr>
    </w:div>
    <w:div w:id="1501699893">
      <w:bodyDiv w:val="1"/>
      <w:marLeft w:val="0"/>
      <w:marRight w:val="0"/>
      <w:marTop w:val="0"/>
      <w:marBottom w:val="0"/>
      <w:divBdr>
        <w:top w:val="none" w:sz="0" w:space="0" w:color="auto"/>
        <w:left w:val="none" w:sz="0" w:space="0" w:color="auto"/>
        <w:bottom w:val="none" w:sz="0" w:space="0" w:color="auto"/>
        <w:right w:val="none" w:sz="0" w:space="0" w:color="auto"/>
      </w:divBdr>
    </w:div>
    <w:div w:id="1501703161">
      <w:bodyDiv w:val="1"/>
      <w:marLeft w:val="0"/>
      <w:marRight w:val="0"/>
      <w:marTop w:val="0"/>
      <w:marBottom w:val="0"/>
      <w:divBdr>
        <w:top w:val="none" w:sz="0" w:space="0" w:color="auto"/>
        <w:left w:val="none" w:sz="0" w:space="0" w:color="auto"/>
        <w:bottom w:val="none" w:sz="0" w:space="0" w:color="auto"/>
        <w:right w:val="none" w:sz="0" w:space="0" w:color="auto"/>
      </w:divBdr>
    </w:div>
    <w:div w:id="1501893157">
      <w:bodyDiv w:val="1"/>
      <w:marLeft w:val="0"/>
      <w:marRight w:val="0"/>
      <w:marTop w:val="0"/>
      <w:marBottom w:val="0"/>
      <w:divBdr>
        <w:top w:val="none" w:sz="0" w:space="0" w:color="auto"/>
        <w:left w:val="none" w:sz="0" w:space="0" w:color="auto"/>
        <w:bottom w:val="none" w:sz="0" w:space="0" w:color="auto"/>
        <w:right w:val="none" w:sz="0" w:space="0" w:color="auto"/>
      </w:divBdr>
    </w:div>
    <w:div w:id="1501964773">
      <w:bodyDiv w:val="1"/>
      <w:marLeft w:val="0"/>
      <w:marRight w:val="0"/>
      <w:marTop w:val="0"/>
      <w:marBottom w:val="0"/>
      <w:divBdr>
        <w:top w:val="none" w:sz="0" w:space="0" w:color="auto"/>
        <w:left w:val="none" w:sz="0" w:space="0" w:color="auto"/>
        <w:bottom w:val="none" w:sz="0" w:space="0" w:color="auto"/>
        <w:right w:val="none" w:sz="0" w:space="0" w:color="auto"/>
      </w:divBdr>
    </w:div>
    <w:div w:id="1501969098">
      <w:bodyDiv w:val="1"/>
      <w:marLeft w:val="0"/>
      <w:marRight w:val="0"/>
      <w:marTop w:val="0"/>
      <w:marBottom w:val="0"/>
      <w:divBdr>
        <w:top w:val="none" w:sz="0" w:space="0" w:color="auto"/>
        <w:left w:val="none" w:sz="0" w:space="0" w:color="auto"/>
        <w:bottom w:val="none" w:sz="0" w:space="0" w:color="auto"/>
        <w:right w:val="none" w:sz="0" w:space="0" w:color="auto"/>
      </w:divBdr>
    </w:div>
    <w:div w:id="1502039178">
      <w:bodyDiv w:val="1"/>
      <w:marLeft w:val="0"/>
      <w:marRight w:val="0"/>
      <w:marTop w:val="0"/>
      <w:marBottom w:val="0"/>
      <w:divBdr>
        <w:top w:val="none" w:sz="0" w:space="0" w:color="auto"/>
        <w:left w:val="none" w:sz="0" w:space="0" w:color="auto"/>
        <w:bottom w:val="none" w:sz="0" w:space="0" w:color="auto"/>
        <w:right w:val="none" w:sz="0" w:space="0" w:color="auto"/>
      </w:divBdr>
    </w:div>
    <w:div w:id="1502089015">
      <w:bodyDiv w:val="1"/>
      <w:marLeft w:val="0"/>
      <w:marRight w:val="0"/>
      <w:marTop w:val="0"/>
      <w:marBottom w:val="0"/>
      <w:divBdr>
        <w:top w:val="none" w:sz="0" w:space="0" w:color="auto"/>
        <w:left w:val="none" w:sz="0" w:space="0" w:color="auto"/>
        <w:bottom w:val="none" w:sz="0" w:space="0" w:color="auto"/>
        <w:right w:val="none" w:sz="0" w:space="0" w:color="auto"/>
      </w:divBdr>
    </w:div>
    <w:div w:id="1502117318">
      <w:bodyDiv w:val="1"/>
      <w:marLeft w:val="0"/>
      <w:marRight w:val="0"/>
      <w:marTop w:val="0"/>
      <w:marBottom w:val="0"/>
      <w:divBdr>
        <w:top w:val="none" w:sz="0" w:space="0" w:color="auto"/>
        <w:left w:val="none" w:sz="0" w:space="0" w:color="auto"/>
        <w:bottom w:val="none" w:sz="0" w:space="0" w:color="auto"/>
        <w:right w:val="none" w:sz="0" w:space="0" w:color="auto"/>
      </w:divBdr>
    </w:div>
    <w:div w:id="1502161187">
      <w:bodyDiv w:val="1"/>
      <w:marLeft w:val="0"/>
      <w:marRight w:val="0"/>
      <w:marTop w:val="0"/>
      <w:marBottom w:val="0"/>
      <w:divBdr>
        <w:top w:val="none" w:sz="0" w:space="0" w:color="auto"/>
        <w:left w:val="none" w:sz="0" w:space="0" w:color="auto"/>
        <w:bottom w:val="none" w:sz="0" w:space="0" w:color="auto"/>
        <w:right w:val="none" w:sz="0" w:space="0" w:color="auto"/>
      </w:divBdr>
    </w:div>
    <w:div w:id="1502163411">
      <w:bodyDiv w:val="1"/>
      <w:marLeft w:val="0"/>
      <w:marRight w:val="0"/>
      <w:marTop w:val="0"/>
      <w:marBottom w:val="0"/>
      <w:divBdr>
        <w:top w:val="none" w:sz="0" w:space="0" w:color="auto"/>
        <w:left w:val="none" w:sz="0" w:space="0" w:color="auto"/>
        <w:bottom w:val="none" w:sz="0" w:space="0" w:color="auto"/>
        <w:right w:val="none" w:sz="0" w:space="0" w:color="auto"/>
      </w:divBdr>
    </w:div>
    <w:div w:id="1502354854">
      <w:bodyDiv w:val="1"/>
      <w:marLeft w:val="0"/>
      <w:marRight w:val="0"/>
      <w:marTop w:val="0"/>
      <w:marBottom w:val="0"/>
      <w:divBdr>
        <w:top w:val="none" w:sz="0" w:space="0" w:color="auto"/>
        <w:left w:val="none" w:sz="0" w:space="0" w:color="auto"/>
        <w:bottom w:val="none" w:sz="0" w:space="0" w:color="auto"/>
        <w:right w:val="none" w:sz="0" w:space="0" w:color="auto"/>
      </w:divBdr>
    </w:div>
    <w:div w:id="1502424669">
      <w:bodyDiv w:val="1"/>
      <w:marLeft w:val="0"/>
      <w:marRight w:val="0"/>
      <w:marTop w:val="0"/>
      <w:marBottom w:val="0"/>
      <w:divBdr>
        <w:top w:val="none" w:sz="0" w:space="0" w:color="auto"/>
        <w:left w:val="none" w:sz="0" w:space="0" w:color="auto"/>
        <w:bottom w:val="none" w:sz="0" w:space="0" w:color="auto"/>
        <w:right w:val="none" w:sz="0" w:space="0" w:color="auto"/>
      </w:divBdr>
    </w:div>
    <w:div w:id="1502549542">
      <w:bodyDiv w:val="1"/>
      <w:marLeft w:val="0"/>
      <w:marRight w:val="0"/>
      <w:marTop w:val="0"/>
      <w:marBottom w:val="0"/>
      <w:divBdr>
        <w:top w:val="none" w:sz="0" w:space="0" w:color="auto"/>
        <w:left w:val="none" w:sz="0" w:space="0" w:color="auto"/>
        <w:bottom w:val="none" w:sz="0" w:space="0" w:color="auto"/>
        <w:right w:val="none" w:sz="0" w:space="0" w:color="auto"/>
      </w:divBdr>
    </w:div>
    <w:div w:id="1502622117">
      <w:bodyDiv w:val="1"/>
      <w:marLeft w:val="0"/>
      <w:marRight w:val="0"/>
      <w:marTop w:val="0"/>
      <w:marBottom w:val="0"/>
      <w:divBdr>
        <w:top w:val="none" w:sz="0" w:space="0" w:color="auto"/>
        <w:left w:val="none" w:sz="0" w:space="0" w:color="auto"/>
        <w:bottom w:val="none" w:sz="0" w:space="0" w:color="auto"/>
        <w:right w:val="none" w:sz="0" w:space="0" w:color="auto"/>
      </w:divBdr>
    </w:div>
    <w:div w:id="1502745128">
      <w:bodyDiv w:val="1"/>
      <w:marLeft w:val="0"/>
      <w:marRight w:val="0"/>
      <w:marTop w:val="0"/>
      <w:marBottom w:val="0"/>
      <w:divBdr>
        <w:top w:val="none" w:sz="0" w:space="0" w:color="auto"/>
        <w:left w:val="none" w:sz="0" w:space="0" w:color="auto"/>
        <w:bottom w:val="none" w:sz="0" w:space="0" w:color="auto"/>
        <w:right w:val="none" w:sz="0" w:space="0" w:color="auto"/>
      </w:divBdr>
    </w:div>
    <w:div w:id="1502812601">
      <w:bodyDiv w:val="1"/>
      <w:marLeft w:val="0"/>
      <w:marRight w:val="0"/>
      <w:marTop w:val="0"/>
      <w:marBottom w:val="0"/>
      <w:divBdr>
        <w:top w:val="none" w:sz="0" w:space="0" w:color="auto"/>
        <w:left w:val="none" w:sz="0" w:space="0" w:color="auto"/>
        <w:bottom w:val="none" w:sz="0" w:space="0" w:color="auto"/>
        <w:right w:val="none" w:sz="0" w:space="0" w:color="auto"/>
      </w:divBdr>
    </w:div>
    <w:div w:id="1502816432">
      <w:bodyDiv w:val="1"/>
      <w:marLeft w:val="0"/>
      <w:marRight w:val="0"/>
      <w:marTop w:val="0"/>
      <w:marBottom w:val="0"/>
      <w:divBdr>
        <w:top w:val="none" w:sz="0" w:space="0" w:color="auto"/>
        <w:left w:val="none" w:sz="0" w:space="0" w:color="auto"/>
        <w:bottom w:val="none" w:sz="0" w:space="0" w:color="auto"/>
        <w:right w:val="none" w:sz="0" w:space="0" w:color="auto"/>
      </w:divBdr>
    </w:div>
    <w:div w:id="1502887058">
      <w:bodyDiv w:val="1"/>
      <w:marLeft w:val="0"/>
      <w:marRight w:val="0"/>
      <w:marTop w:val="0"/>
      <w:marBottom w:val="0"/>
      <w:divBdr>
        <w:top w:val="none" w:sz="0" w:space="0" w:color="auto"/>
        <w:left w:val="none" w:sz="0" w:space="0" w:color="auto"/>
        <w:bottom w:val="none" w:sz="0" w:space="0" w:color="auto"/>
        <w:right w:val="none" w:sz="0" w:space="0" w:color="auto"/>
      </w:divBdr>
    </w:div>
    <w:div w:id="1502967790">
      <w:bodyDiv w:val="1"/>
      <w:marLeft w:val="0"/>
      <w:marRight w:val="0"/>
      <w:marTop w:val="0"/>
      <w:marBottom w:val="0"/>
      <w:divBdr>
        <w:top w:val="none" w:sz="0" w:space="0" w:color="auto"/>
        <w:left w:val="none" w:sz="0" w:space="0" w:color="auto"/>
        <w:bottom w:val="none" w:sz="0" w:space="0" w:color="auto"/>
        <w:right w:val="none" w:sz="0" w:space="0" w:color="auto"/>
      </w:divBdr>
    </w:div>
    <w:div w:id="1503006171">
      <w:bodyDiv w:val="1"/>
      <w:marLeft w:val="0"/>
      <w:marRight w:val="0"/>
      <w:marTop w:val="0"/>
      <w:marBottom w:val="0"/>
      <w:divBdr>
        <w:top w:val="none" w:sz="0" w:space="0" w:color="auto"/>
        <w:left w:val="none" w:sz="0" w:space="0" w:color="auto"/>
        <w:bottom w:val="none" w:sz="0" w:space="0" w:color="auto"/>
        <w:right w:val="none" w:sz="0" w:space="0" w:color="auto"/>
      </w:divBdr>
    </w:div>
    <w:div w:id="1503084943">
      <w:bodyDiv w:val="1"/>
      <w:marLeft w:val="0"/>
      <w:marRight w:val="0"/>
      <w:marTop w:val="0"/>
      <w:marBottom w:val="0"/>
      <w:divBdr>
        <w:top w:val="none" w:sz="0" w:space="0" w:color="auto"/>
        <w:left w:val="none" w:sz="0" w:space="0" w:color="auto"/>
        <w:bottom w:val="none" w:sz="0" w:space="0" w:color="auto"/>
        <w:right w:val="none" w:sz="0" w:space="0" w:color="auto"/>
      </w:divBdr>
    </w:div>
    <w:div w:id="1503085831">
      <w:bodyDiv w:val="1"/>
      <w:marLeft w:val="0"/>
      <w:marRight w:val="0"/>
      <w:marTop w:val="0"/>
      <w:marBottom w:val="0"/>
      <w:divBdr>
        <w:top w:val="none" w:sz="0" w:space="0" w:color="auto"/>
        <w:left w:val="none" w:sz="0" w:space="0" w:color="auto"/>
        <w:bottom w:val="none" w:sz="0" w:space="0" w:color="auto"/>
        <w:right w:val="none" w:sz="0" w:space="0" w:color="auto"/>
      </w:divBdr>
    </w:div>
    <w:div w:id="1503160851">
      <w:bodyDiv w:val="1"/>
      <w:marLeft w:val="0"/>
      <w:marRight w:val="0"/>
      <w:marTop w:val="0"/>
      <w:marBottom w:val="0"/>
      <w:divBdr>
        <w:top w:val="none" w:sz="0" w:space="0" w:color="auto"/>
        <w:left w:val="none" w:sz="0" w:space="0" w:color="auto"/>
        <w:bottom w:val="none" w:sz="0" w:space="0" w:color="auto"/>
        <w:right w:val="none" w:sz="0" w:space="0" w:color="auto"/>
      </w:divBdr>
    </w:div>
    <w:div w:id="1503200186">
      <w:bodyDiv w:val="1"/>
      <w:marLeft w:val="0"/>
      <w:marRight w:val="0"/>
      <w:marTop w:val="0"/>
      <w:marBottom w:val="0"/>
      <w:divBdr>
        <w:top w:val="none" w:sz="0" w:space="0" w:color="auto"/>
        <w:left w:val="none" w:sz="0" w:space="0" w:color="auto"/>
        <w:bottom w:val="none" w:sz="0" w:space="0" w:color="auto"/>
        <w:right w:val="none" w:sz="0" w:space="0" w:color="auto"/>
      </w:divBdr>
    </w:div>
    <w:div w:id="1503201259">
      <w:bodyDiv w:val="1"/>
      <w:marLeft w:val="0"/>
      <w:marRight w:val="0"/>
      <w:marTop w:val="0"/>
      <w:marBottom w:val="0"/>
      <w:divBdr>
        <w:top w:val="none" w:sz="0" w:space="0" w:color="auto"/>
        <w:left w:val="none" w:sz="0" w:space="0" w:color="auto"/>
        <w:bottom w:val="none" w:sz="0" w:space="0" w:color="auto"/>
        <w:right w:val="none" w:sz="0" w:space="0" w:color="auto"/>
      </w:divBdr>
    </w:div>
    <w:div w:id="1503274167">
      <w:bodyDiv w:val="1"/>
      <w:marLeft w:val="0"/>
      <w:marRight w:val="0"/>
      <w:marTop w:val="0"/>
      <w:marBottom w:val="0"/>
      <w:divBdr>
        <w:top w:val="none" w:sz="0" w:space="0" w:color="auto"/>
        <w:left w:val="none" w:sz="0" w:space="0" w:color="auto"/>
        <w:bottom w:val="none" w:sz="0" w:space="0" w:color="auto"/>
        <w:right w:val="none" w:sz="0" w:space="0" w:color="auto"/>
      </w:divBdr>
    </w:div>
    <w:div w:id="1503425961">
      <w:bodyDiv w:val="1"/>
      <w:marLeft w:val="0"/>
      <w:marRight w:val="0"/>
      <w:marTop w:val="0"/>
      <w:marBottom w:val="0"/>
      <w:divBdr>
        <w:top w:val="none" w:sz="0" w:space="0" w:color="auto"/>
        <w:left w:val="none" w:sz="0" w:space="0" w:color="auto"/>
        <w:bottom w:val="none" w:sz="0" w:space="0" w:color="auto"/>
        <w:right w:val="none" w:sz="0" w:space="0" w:color="auto"/>
      </w:divBdr>
    </w:div>
    <w:div w:id="1503426262">
      <w:bodyDiv w:val="1"/>
      <w:marLeft w:val="0"/>
      <w:marRight w:val="0"/>
      <w:marTop w:val="0"/>
      <w:marBottom w:val="0"/>
      <w:divBdr>
        <w:top w:val="none" w:sz="0" w:space="0" w:color="auto"/>
        <w:left w:val="none" w:sz="0" w:space="0" w:color="auto"/>
        <w:bottom w:val="none" w:sz="0" w:space="0" w:color="auto"/>
        <w:right w:val="none" w:sz="0" w:space="0" w:color="auto"/>
      </w:divBdr>
    </w:div>
    <w:div w:id="1503549877">
      <w:bodyDiv w:val="1"/>
      <w:marLeft w:val="0"/>
      <w:marRight w:val="0"/>
      <w:marTop w:val="0"/>
      <w:marBottom w:val="0"/>
      <w:divBdr>
        <w:top w:val="none" w:sz="0" w:space="0" w:color="auto"/>
        <w:left w:val="none" w:sz="0" w:space="0" w:color="auto"/>
        <w:bottom w:val="none" w:sz="0" w:space="0" w:color="auto"/>
        <w:right w:val="none" w:sz="0" w:space="0" w:color="auto"/>
      </w:divBdr>
    </w:div>
    <w:div w:id="1503659705">
      <w:bodyDiv w:val="1"/>
      <w:marLeft w:val="0"/>
      <w:marRight w:val="0"/>
      <w:marTop w:val="0"/>
      <w:marBottom w:val="0"/>
      <w:divBdr>
        <w:top w:val="none" w:sz="0" w:space="0" w:color="auto"/>
        <w:left w:val="none" w:sz="0" w:space="0" w:color="auto"/>
        <w:bottom w:val="none" w:sz="0" w:space="0" w:color="auto"/>
        <w:right w:val="none" w:sz="0" w:space="0" w:color="auto"/>
      </w:divBdr>
    </w:div>
    <w:div w:id="1503667662">
      <w:bodyDiv w:val="1"/>
      <w:marLeft w:val="0"/>
      <w:marRight w:val="0"/>
      <w:marTop w:val="0"/>
      <w:marBottom w:val="0"/>
      <w:divBdr>
        <w:top w:val="none" w:sz="0" w:space="0" w:color="auto"/>
        <w:left w:val="none" w:sz="0" w:space="0" w:color="auto"/>
        <w:bottom w:val="none" w:sz="0" w:space="0" w:color="auto"/>
        <w:right w:val="none" w:sz="0" w:space="0" w:color="auto"/>
      </w:divBdr>
    </w:div>
    <w:div w:id="1503668553">
      <w:bodyDiv w:val="1"/>
      <w:marLeft w:val="0"/>
      <w:marRight w:val="0"/>
      <w:marTop w:val="0"/>
      <w:marBottom w:val="0"/>
      <w:divBdr>
        <w:top w:val="none" w:sz="0" w:space="0" w:color="auto"/>
        <w:left w:val="none" w:sz="0" w:space="0" w:color="auto"/>
        <w:bottom w:val="none" w:sz="0" w:space="0" w:color="auto"/>
        <w:right w:val="none" w:sz="0" w:space="0" w:color="auto"/>
      </w:divBdr>
    </w:div>
    <w:div w:id="1503810384">
      <w:bodyDiv w:val="1"/>
      <w:marLeft w:val="0"/>
      <w:marRight w:val="0"/>
      <w:marTop w:val="0"/>
      <w:marBottom w:val="0"/>
      <w:divBdr>
        <w:top w:val="none" w:sz="0" w:space="0" w:color="auto"/>
        <w:left w:val="none" w:sz="0" w:space="0" w:color="auto"/>
        <w:bottom w:val="none" w:sz="0" w:space="0" w:color="auto"/>
        <w:right w:val="none" w:sz="0" w:space="0" w:color="auto"/>
      </w:divBdr>
    </w:div>
    <w:div w:id="1503812214">
      <w:bodyDiv w:val="1"/>
      <w:marLeft w:val="0"/>
      <w:marRight w:val="0"/>
      <w:marTop w:val="0"/>
      <w:marBottom w:val="0"/>
      <w:divBdr>
        <w:top w:val="none" w:sz="0" w:space="0" w:color="auto"/>
        <w:left w:val="none" w:sz="0" w:space="0" w:color="auto"/>
        <w:bottom w:val="none" w:sz="0" w:space="0" w:color="auto"/>
        <w:right w:val="none" w:sz="0" w:space="0" w:color="auto"/>
      </w:divBdr>
    </w:div>
    <w:div w:id="1503861000">
      <w:bodyDiv w:val="1"/>
      <w:marLeft w:val="0"/>
      <w:marRight w:val="0"/>
      <w:marTop w:val="0"/>
      <w:marBottom w:val="0"/>
      <w:divBdr>
        <w:top w:val="none" w:sz="0" w:space="0" w:color="auto"/>
        <w:left w:val="none" w:sz="0" w:space="0" w:color="auto"/>
        <w:bottom w:val="none" w:sz="0" w:space="0" w:color="auto"/>
        <w:right w:val="none" w:sz="0" w:space="0" w:color="auto"/>
      </w:divBdr>
    </w:div>
    <w:div w:id="1504003915">
      <w:bodyDiv w:val="1"/>
      <w:marLeft w:val="0"/>
      <w:marRight w:val="0"/>
      <w:marTop w:val="0"/>
      <w:marBottom w:val="0"/>
      <w:divBdr>
        <w:top w:val="none" w:sz="0" w:space="0" w:color="auto"/>
        <w:left w:val="none" w:sz="0" w:space="0" w:color="auto"/>
        <w:bottom w:val="none" w:sz="0" w:space="0" w:color="auto"/>
        <w:right w:val="none" w:sz="0" w:space="0" w:color="auto"/>
      </w:divBdr>
    </w:div>
    <w:div w:id="1504083090">
      <w:bodyDiv w:val="1"/>
      <w:marLeft w:val="0"/>
      <w:marRight w:val="0"/>
      <w:marTop w:val="0"/>
      <w:marBottom w:val="0"/>
      <w:divBdr>
        <w:top w:val="none" w:sz="0" w:space="0" w:color="auto"/>
        <w:left w:val="none" w:sz="0" w:space="0" w:color="auto"/>
        <w:bottom w:val="none" w:sz="0" w:space="0" w:color="auto"/>
        <w:right w:val="none" w:sz="0" w:space="0" w:color="auto"/>
      </w:divBdr>
    </w:div>
    <w:div w:id="1504130569">
      <w:bodyDiv w:val="1"/>
      <w:marLeft w:val="0"/>
      <w:marRight w:val="0"/>
      <w:marTop w:val="0"/>
      <w:marBottom w:val="0"/>
      <w:divBdr>
        <w:top w:val="none" w:sz="0" w:space="0" w:color="auto"/>
        <w:left w:val="none" w:sz="0" w:space="0" w:color="auto"/>
        <w:bottom w:val="none" w:sz="0" w:space="0" w:color="auto"/>
        <w:right w:val="none" w:sz="0" w:space="0" w:color="auto"/>
      </w:divBdr>
    </w:div>
    <w:div w:id="1504198438">
      <w:bodyDiv w:val="1"/>
      <w:marLeft w:val="0"/>
      <w:marRight w:val="0"/>
      <w:marTop w:val="0"/>
      <w:marBottom w:val="0"/>
      <w:divBdr>
        <w:top w:val="none" w:sz="0" w:space="0" w:color="auto"/>
        <w:left w:val="none" w:sz="0" w:space="0" w:color="auto"/>
        <w:bottom w:val="none" w:sz="0" w:space="0" w:color="auto"/>
        <w:right w:val="none" w:sz="0" w:space="0" w:color="auto"/>
      </w:divBdr>
    </w:div>
    <w:div w:id="1504199582">
      <w:bodyDiv w:val="1"/>
      <w:marLeft w:val="0"/>
      <w:marRight w:val="0"/>
      <w:marTop w:val="0"/>
      <w:marBottom w:val="0"/>
      <w:divBdr>
        <w:top w:val="none" w:sz="0" w:space="0" w:color="auto"/>
        <w:left w:val="none" w:sz="0" w:space="0" w:color="auto"/>
        <w:bottom w:val="none" w:sz="0" w:space="0" w:color="auto"/>
        <w:right w:val="none" w:sz="0" w:space="0" w:color="auto"/>
      </w:divBdr>
    </w:div>
    <w:div w:id="1504202407">
      <w:bodyDiv w:val="1"/>
      <w:marLeft w:val="0"/>
      <w:marRight w:val="0"/>
      <w:marTop w:val="0"/>
      <w:marBottom w:val="0"/>
      <w:divBdr>
        <w:top w:val="none" w:sz="0" w:space="0" w:color="auto"/>
        <w:left w:val="none" w:sz="0" w:space="0" w:color="auto"/>
        <w:bottom w:val="none" w:sz="0" w:space="0" w:color="auto"/>
        <w:right w:val="none" w:sz="0" w:space="0" w:color="auto"/>
      </w:divBdr>
    </w:div>
    <w:div w:id="1504323685">
      <w:bodyDiv w:val="1"/>
      <w:marLeft w:val="0"/>
      <w:marRight w:val="0"/>
      <w:marTop w:val="0"/>
      <w:marBottom w:val="0"/>
      <w:divBdr>
        <w:top w:val="none" w:sz="0" w:space="0" w:color="auto"/>
        <w:left w:val="none" w:sz="0" w:space="0" w:color="auto"/>
        <w:bottom w:val="none" w:sz="0" w:space="0" w:color="auto"/>
        <w:right w:val="none" w:sz="0" w:space="0" w:color="auto"/>
      </w:divBdr>
    </w:div>
    <w:div w:id="1504394782">
      <w:bodyDiv w:val="1"/>
      <w:marLeft w:val="0"/>
      <w:marRight w:val="0"/>
      <w:marTop w:val="0"/>
      <w:marBottom w:val="0"/>
      <w:divBdr>
        <w:top w:val="none" w:sz="0" w:space="0" w:color="auto"/>
        <w:left w:val="none" w:sz="0" w:space="0" w:color="auto"/>
        <w:bottom w:val="none" w:sz="0" w:space="0" w:color="auto"/>
        <w:right w:val="none" w:sz="0" w:space="0" w:color="auto"/>
      </w:divBdr>
    </w:div>
    <w:div w:id="1504469242">
      <w:bodyDiv w:val="1"/>
      <w:marLeft w:val="0"/>
      <w:marRight w:val="0"/>
      <w:marTop w:val="0"/>
      <w:marBottom w:val="0"/>
      <w:divBdr>
        <w:top w:val="none" w:sz="0" w:space="0" w:color="auto"/>
        <w:left w:val="none" w:sz="0" w:space="0" w:color="auto"/>
        <w:bottom w:val="none" w:sz="0" w:space="0" w:color="auto"/>
        <w:right w:val="none" w:sz="0" w:space="0" w:color="auto"/>
      </w:divBdr>
    </w:div>
    <w:div w:id="1504472229">
      <w:bodyDiv w:val="1"/>
      <w:marLeft w:val="0"/>
      <w:marRight w:val="0"/>
      <w:marTop w:val="0"/>
      <w:marBottom w:val="0"/>
      <w:divBdr>
        <w:top w:val="none" w:sz="0" w:space="0" w:color="auto"/>
        <w:left w:val="none" w:sz="0" w:space="0" w:color="auto"/>
        <w:bottom w:val="none" w:sz="0" w:space="0" w:color="auto"/>
        <w:right w:val="none" w:sz="0" w:space="0" w:color="auto"/>
      </w:divBdr>
    </w:div>
    <w:div w:id="1504517267">
      <w:bodyDiv w:val="1"/>
      <w:marLeft w:val="0"/>
      <w:marRight w:val="0"/>
      <w:marTop w:val="0"/>
      <w:marBottom w:val="0"/>
      <w:divBdr>
        <w:top w:val="none" w:sz="0" w:space="0" w:color="auto"/>
        <w:left w:val="none" w:sz="0" w:space="0" w:color="auto"/>
        <w:bottom w:val="none" w:sz="0" w:space="0" w:color="auto"/>
        <w:right w:val="none" w:sz="0" w:space="0" w:color="auto"/>
      </w:divBdr>
    </w:div>
    <w:div w:id="1504586419">
      <w:bodyDiv w:val="1"/>
      <w:marLeft w:val="0"/>
      <w:marRight w:val="0"/>
      <w:marTop w:val="0"/>
      <w:marBottom w:val="0"/>
      <w:divBdr>
        <w:top w:val="none" w:sz="0" w:space="0" w:color="auto"/>
        <w:left w:val="none" w:sz="0" w:space="0" w:color="auto"/>
        <w:bottom w:val="none" w:sz="0" w:space="0" w:color="auto"/>
        <w:right w:val="none" w:sz="0" w:space="0" w:color="auto"/>
      </w:divBdr>
    </w:div>
    <w:div w:id="1504661218">
      <w:bodyDiv w:val="1"/>
      <w:marLeft w:val="0"/>
      <w:marRight w:val="0"/>
      <w:marTop w:val="0"/>
      <w:marBottom w:val="0"/>
      <w:divBdr>
        <w:top w:val="none" w:sz="0" w:space="0" w:color="auto"/>
        <w:left w:val="none" w:sz="0" w:space="0" w:color="auto"/>
        <w:bottom w:val="none" w:sz="0" w:space="0" w:color="auto"/>
        <w:right w:val="none" w:sz="0" w:space="0" w:color="auto"/>
      </w:divBdr>
    </w:div>
    <w:div w:id="1504854538">
      <w:bodyDiv w:val="1"/>
      <w:marLeft w:val="0"/>
      <w:marRight w:val="0"/>
      <w:marTop w:val="0"/>
      <w:marBottom w:val="0"/>
      <w:divBdr>
        <w:top w:val="none" w:sz="0" w:space="0" w:color="auto"/>
        <w:left w:val="none" w:sz="0" w:space="0" w:color="auto"/>
        <w:bottom w:val="none" w:sz="0" w:space="0" w:color="auto"/>
        <w:right w:val="none" w:sz="0" w:space="0" w:color="auto"/>
      </w:divBdr>
    </w:div>
    <w:div w:id="1504855994">
      <w:bodyDiv w:val="1"/>
      <w:marLeft w:val="0"/>
      <w:marRight w:val="0"/>
      <w:marTop w:val="0"/>
      <w:marBottom w:val="0"/>
      <w:divBdr>
        <w:top w:val="none" w:sz="0" w:space="0" w:color="auto"/>
        <w:left w:val="none" w:sz="0" w:space="0" w:color="auto"/>
        <w:bottom w:val="none" w:sz="0" w:space="0" w:color="auto"/>
        <w:right w:val="none" w:sz="0" w:space="0" w:color="auto"/>
      </w:divBdr>
    </w:div>
    <w:div w:id="1504859831">
      <w:bodyDiv w:val="1"/>
      <w:marLeft w:val="0"/>
      <w:marRight w:val="0"/>
      <w:marTop w:val="0"/>
      <w:marBottom w:val="0"/>
      <w:divBdr>
        <w:top w:val="none" w:sz="0" w:space="0" w:color="auto"/>
        <w:left w:val="none" w:sz="0" w:space="0" w:color="auto"/>
        <w:bottom w:val="none" w:sz="0" w:space="0" w:color="auto"/>
        <w:right w:val="none" w:sz="0" w:space="0" w:color="auto"/>
      </w:divBdr>
    </w:div>
    <w:div w:id="1504932512">
      <w:bodyDiv w:val="1"/>
      <w:marLeft w:val="0"/>
      <w:marRight w:val="0"/>
      <w:marTop w:val="0"/>
      <w:marBottom w:val="0"/>
      <w:divBdr>
        <w:top w:val="none" w:sz="0" w:space="0" w:color="auto"/>
        <w:left w:val="none" w:sz="0" w:space="0" w:color="auto"/>
        <w:bottom w:val="none" w:sz="0" w:space="0" w:color="auto"/>
        <w:right w:val="none" w:sz="0" w:space="0" w:color="auto"/>
      </w:divBdr>
    </w:div>
    <w:div w:id="1504978226">
      <w:bodyDiv w:val="1"/>
      <w:marLeft w:val="0"/>
      <w:marRight w:val="0"/>
      <w:marTop w:val="0"/>
      <w:marBottom w:val="0"/>
      <w:divBdr>
        <w:top w:val="none" w:sz="0" w:space="0" w:color="auto"/>
        <w:left w:val="none" w:sz="0" w:space="0" w:color="auto"/>
        <w:bottom w:val="none" w:sz="0" w:space="0" w:color="auto"/>
        <w:right w:val="none" w:sz="0" w:space="0" w:color="auto"/>
      </w:divBdr>
    </w:div>
    <w:div w:id="1505051908">
      <w:bodyDiv w:val="1"/>
      <w:marLeft w:val="0"/>
      <w:marRight w:val="0"/>
      <w:marTop w:val="0"/>
      <w:marBottom w:val="0"/>
      <w:divBdr>
        <w:top w:val="none" w:sz="0" w:space="0" w:color="auto"/>
        <w:left w:val="none" w:sz="0" w:space="0" w:color="auto"/>
        <w:bottom w:val="none" w:sz="0" w:space="0" w:color="auto"/>
        <w:right w:val="none" w:sz="0" w:space="0" w:color="auto"/>
      </w:divBdr>
    </w:div>
    <w:div w:id="1505123772">
      <w:bodyDiv w:val="1"/>
      <w:marLeft w:val="0"/>
      <w:marRight w:val="0"/>
      <w:marTop w:val="0"/>
      <w:marBottom w:val="0"/>
      <w:divBdr>
        <w:top w:val="none" w:sz="0" w:space="0" w:color="auto"/>
        <w:left w:val="none" w:sz="0" w:space="0" w:color="auto"/>
        <w:bottom w:val="none" w:sz="0" w:space="0" w:color="auto"/>
        <w:right w:val="none" w:sz="0" w:space="0" w:color="auto"/>
      </w:divBdr>
    </w:div>
    <w:div w:id="1505128746">
      <w:bodyDiv w:val="1"/>
      <w:marLeft w:val="0"/>
      <w:marRight w:val="0"/>
      <w:marTop w:val="0"/>
      <w:marBottom w:val="0"/>
      <w:divBdr>
        <w:top w:val="none" w:sz="0" w:space="0" w:color="auto"/>
        <w:left w:val="none" w:sz="0" w:space="0" w:color="auto"/>
        <w:bottom w:val="none" w:sz="0" w:space="0" w:color="auto"/>
        <w:right w:val="none" w:sz="0" w:space="0" w:color="auto"/>
      </w:divBdr>
    </w:div>
    <w:div w:id="1505130066">
      <w:bodyDiv w:val="1"/>
      <w:marLeft w:val="0"/>
      <w:marRight w:val="0"/>
      <w:marTop w:val="0"/>
      <w:marBottom w:val="0"/>
      <w:divBdr>
        <w:top w:val="none" w:sz="0" w:space="0" w:color="auto"/>
        <w:left w:val="none" w:sz="0" w:space="0" w:color="auto"/>
        <w:bottom w:val="none" w:sz="0" w:space="0" w:color="auto"/>
        <w:right w:val="none" w:sz="0" w:space="0" w:color="auto"/>
      </w:divBdr>
    </w:div>
    <w:div w:id="1505314422">
      <w:bodyDiv w:val="1"/>
      <w:marLeft w:val="0"/>
      <w:marRight w:val="0"/>
      <w:marTop w:val="0"/>
      <w:marBottom w:val="0"/>
      <w:divBdr>
        <w:top w:val="none" w:sz="0" w:space="0" w:color="auto"/>
        <w:left w:val="none" w:sz="0" w:space="0" w:color="auto"/>
        <w:bottom w:val="none" w:sz="0" w:space="0" w:color="auto"/>
        <w:right w:val="none" w:sz="0" w:space="0" w:color="auto"/>
      </w:divBdr>
    </w:div>
    <w:div w:id="1505319698">
      <w:bodyDiv w:val="1"/>
      <w:marLeft w:val="0"/>
      <w:marRight w:val="0"/>
      <w:marTop w:val="0"/>
      <w:marBottom w:val="0"/>
      <w:divBdr>
        <w:top w:val="none" w:sz="0" w:space="0" w:color="auto"/>
        <w:left w:val="none" w:sz="0" w:space="0" w:color="auto"/>
        <w:bottom w:val="none" w:sz="0" w:space="0" w:color="auto"/>
        <w:right w:val="none" w:sz="0" w:space="0" w:color="auto"/>
      </w:divBdr>
    </w:div>
    <w:div w:id="1505433102">
      <w:bodyDiv w:val="1"/>
      <w:marLeft w:val="0"/>
      <w:marRight w:val="0"/>
      <w:marTop w:val="0"/>
      <w:marBottom w:val="0"/>
      <w:divBdr>
        <w:top w:val="none" w:sz="0" w:space="0" w:color="auto"/>
        <w:left w:val="none" w:sz="0" w:space="0" w:color="auto"/>
        <w:bottom w:val="none" w:sz="0" w:space="0" w:color="auto"/>
        <w:right w:val="none" w:sz="0" w:space="0" w:color="auto"/>
      </w:divBdr>
    </w:div>
    <w:div w:id="1505630357">
      <w:bodyDiv w:val="1"/>
      <w:marLeft w:val="0"/>
      <w:marRight w:val="0"/>
      <w:marTop w:val="0"/>
      <w:marBottom w:val="0"/>
      <w:divBdr>
        <w:top w:val="none" w:sz="0" w:space="0" w:color="auto"/>
        <w:left w:val="none" w:sz="0" w:space="0" w:color="auto"/>
        <w:bottom w:val="none" w:sz="0" w:space="0" w:color="auto"/>
        <w:right w:val="none" w:sz="0" w:space="0" w:color="auto"/>
      </w:divBdr>
    </w:div>
    <w:div w:id="1505778402">
      <w:bodyDiv w:val="1"/>
      <w:marLeft w:val="0"/>
      <w:marRight w:val="0"/>
      <w:marTop w:val="0"/>
      <w:marBottom w:val="0"/>
      <w:divBdr>
        <w:top w:val="none" w:sz="0" w:space="0" w:color="auto"/>
        <w:left w:val="none" w:sz="0" w:space="0" w:color="auto"/>
        <w:bottom w:val="none" w:sz="0" w:space="0" w:color="auto"/>
        <w:right w:val="none" w:sz="0" w:space="0" w:color="auto"/>
      </w:divBdr>
    </w:div>
    <w:div w:id="1505782926">
      <w:bodyDiv w:val="1"/>
      <w:marLeft w:val="0"/>
      <w:marRight w:val="0"/>
      <w:marTop w:val="0"/>
      <w:marBottom w:val="0"/>
      <w:divBdr>
        <w:top w:val="none" w:sz="0" w:space="0" w:color="auto"/>
        <w:left w:val="none" w:sz="0" w:space="0" w:color="auto"/>
        <w:bottom w:val="none" w:sz="0" w:space="0" w:color="auto"/>
        <w:right w:val="none" w:sz="0" w:space="0" w:color="auto"/>
      </w:divBdr>
    </w:div>
    <w:div w:id="1505785452">
      <w:bodyDiv w:val="1"/>
      <w:marLeft w:val="0"/>
      <w:marRight w:val="0"/>
      <w:marTop w:val="0"/>
      <w:marBottom w:val="0"/>
      <w:divBdr>
        <w:top w:val="none" w:sz="0" w:space="0" w:color="auto"/>
        <w:left w:val="none" w:sz="0" w:space="0" w:color="auto"/>
        <w:bottom w:val="none" w:sz="0" w:space="0" w:color="auto"/>
        <w:right w:val="none" w:sz="0" w:space="0" w:color="auto"/>
      </w:divBdr>
    </w:div>
    <w:div w:id="1505822693">
      <w:bodyDiv w:val="1"/>
      <w:marLeft w:val="0"/>
      <w:marRight w:val="0"/>
      <w:marTop w:val="0"/>
      <w:marBottom w:val="0"/>
      <w:divBdr>
        <w:top w:val="none" w:sz="0" w:space="0" w:color="auto"/>
        <w:left w:val="none" w:sz="0" w:space="0" w:color="auto"/>
        <w:bottom w:val="none" w:sz="0" w:space="0" w:color="auto"/>
        <w:right w:val="none" w:sz="0" w:space="0" w:color="auto"/>
      </w:divBdr>
    </w:div>
    <w:div w:id="1505973264">
      <w:bodyDiv w:val="1"/>
      <w:marLeft w:val="0"/>
      <w:marRight w:val="0"/>
      <w:marTop w:val="0"/>
      <w:marBottom w:val="0"/>
      <w:divBdr>
        <w:top w:val="none" w:sz="0" w:space="0" w:color="auto"/>
        <w:left w:val="none" w:sz="0" w:space="0" w:color="auto"/>
        <w:bottom w:val="none" w:sz="0" w:space="0" w:color="auto"/>
        <w:right w:val="none" w:sz="0" w:space="0" w:color="auto"/>
      </w:divBdr>
    </w:div>
    <w:div w:id="1505976603">
      <w:bodyDiv w:val="1"/>
      <w:marLeft w:val="0"/>
      <w:marRight w:val="0"/>
      <w:marTop w:val="0"/>
      <w:marBottom w:val="0"/>
      <w:divBdr>
        <w:top w:val="none" w:sz="0" w:space="0" w:color="auto"/>
        <w:left w:val="none" w:sz="0" w:space="0" w:color="auto"/>
        <w:bottom w:val="none" w:sz="0" w:space="0" w:color="auto"/>
        <w:right w:val="none" w:sz="0" w:space="0" w:color="auto"/>
      </w:divBdr>
    </w:div>
    <w:div w:id="1506095672">
      <w:bodyDiv w:val="1"/>
      <w:marLeft w:val="0"/>
      <w:marRight w:val="0"/>
      <w:marTop w:val="0"/>
      <w:marBottom w:val="0"/>
      <w:divBdr>
        <w:top w:val="none" w:sz="0" w:space="0" w:color="auto"/>
        <w:left w:val="none" w:sz="0" w:space="0" w:color="auto"/>
        <w:bottom w:val="none" w:sz="0" w:space="0" w:color="auto"/>
        <w:right w:val="none" w:sz="0" w:space="0" w:color="auto"/>
      </w:divBdr>
    </w:div>
    <w:div w:id="1506285445">
      <w:bodyDiv w:val="1"/>
      <w:marLeft w:val="0"/>
      <w:marRight w:val="0"/>
      <w:marTop w:val="0"/>
      <w:marBottom w:val="0"/>
      <w:divBdr>
        <w:top w:val="none" w:sz="0" w:space="0" w:color="auto"/>
        <w:left w:val="none" w:sz="0" w:space="0" w:color="auto"/>
        <w:bottom w:val="none" w:sz="0" w:space="0" w:color="auto"/>
        <w:right w:val="none" w:sz="0" w:space="0" w:color="auto"/>
      </w:divBdr>
    </w:div>
    <w:div w:id="1506432648">
      <w:bodyDiv w:val="1"/>
      <w:marLeft w:val="0"/>
      <w:marRight w:val="0"/>
      <w:marTop w:val="0"/>
      <w:marBottom w:val="0"/>
      <w:divBdr>
        <w:top w:val="none" w:sz="0" w:space="0" w:color="auto"/>
        <w:left w:val="none" w:sz="0" w:space="0" w:color="auto"/>
        <w:bottom w:val="none" w:sz="0" w:space="0" w:color="auto"/>
        <w:right w:val="none" w:sz="0" w:space="0" w:color="auto"/>
      </w:divBdr>
    </w:div>
    <w:div w:id="1506436157">
      <w:bodyDiv w:val="1"/>
      <w:marLeft w:val="0"/>
      <w:marRight w:val="0"/>
      <w:marTop w:val="0"/>
      <w:marBottom w:val="0"/>
      <w:divBdr>
        <w:top w:val="none" w:sz="0" w:space="0" w:color="auto"/>
        <w:left w:val="none" w:sz="0" w:space="0" w:color="auto"/>
        <w:bottom w:val="none" w:sz="0" w:space="0" w:color="auto"/>
        <w:right w:val="none" w:sz="0" w:space="0" w:color="auto"/>
      </w:divBdr>
    </w:div>
    <w:div w:id="1506482717">
      <w:bodyDiv w:val="1"/>
      <w:marLeft w:val="0"/>
      <w:marRight w:val="0"/>
      <w:marTop w:val="0"/>
      <w:marBottom w:val="0"/>
      <w:divBdr>
        <w:top w:val="none" w:sz="0" w:space="0" w:color="auto"/>
        <w:left w:val="none" w:sz="0" w:space="0" w:color="auto"/>
        <w:bottom w:val="none" w:sz="0" w:space="0" w:color="auto"/>
        <w:right w:val="none" w:sz="0" w:space="0" w:color="auto"/>
      </w:divBdr>
    </w:div>
    <w:div w:id="1506700233">
      <w:bodyDiv w:val="1"/>
      <w:marLeft w:val="0"/>
      <w:marRight w:val="0"/>
      <w:marTop w:val="0"/>
      <w:marBottom w:val="0"/>
      <w:divBdr>
        <w:top w:val="none" w:sz="0" w:space="0" w:color="auto"/>
        <w:left w:val="none" w:sz="0" w:space="0" w:color="auto"/>
        <w:bottom w:val="none" w:sz="0" w:space="0" w:color="auto"/>
        <w:right w:val="none" w:sz="0" w:space="0" w:color="auto"/>
      </w:divBdr>
    </w:div>
    <w:div w:id="1506750451">
      <w:bodyDiv w:val="1"/>
      <w:marLeft w:val="0"/>
      <w:marRight w:val="0"/>
      <w:marTop w:val="0"/>
      <w:marBottom w:val="0"/>
      <w:divBdr>
        <w:top w:val="none" w:sz="0" w:space="0" w:color="auto"/>
        <w:left w:val="none" w:sz="0" w:space="0" w:color="auto"/>
        <w:bottom w:val="none" w:sz="0" w:space="0" w:color="auto"/>
        <w:right w:val="none" w:sz="0" w:space="0" w:color="auto"/>
      </w:divBdr>
    </w:div>
    <w:div w:id="1506899364">
      <w:bodyDiv w:val="1"/>
      <w:marLeft w:val="0"/>
      <w:marRight w:val="0"/>
      <w:marTop w:val="0"/>
      <w:marBottom w:val="0"/>
      <w:divBdr>
        <w:top w:val="none" w:sz="0" w:space="0" w:color="auto"/>
        <w:left w:val="none" w:sz="0" w:space="0" w:color="auto"/>
        <w:bottom w:val="none" w:sz="0" w:space="0" w:color="auto"/>
        <w:right w:val="none" w:sz="0" w:space="0" w:color="auto"/>
      </w:divBdr>
    </w:div>
    <w:div w:id="1506943214">
      <w:bodyDiv w:val="1"/>
      <w:marLeft w:val="0"/>
      <w:marRight w:val="0"/>
      <w:marTop w:val="0"/>
      <w:marBottom w:val="0"/>
      <w:divBdr>
        <w:top w:val="none" w:sz="0" w:space="0" w:color="auto"/>
        <w:left w:val="none" w:sz="0" w:space="0" w:color="auto"/>
        <w:bottom w:val="none" w:sz="0" w:space="0" w:color="auto"/>
        <w:right w:val="none" w:sz="0" w:space="0" w:color="auto"/>
      </w:divBdr>
    </w:div>
    <w:div w:id="1507013131">
      <w:bodyDiv w:val="1"/>
      <w:marLeft w:val="0"/>
      <w:marRight w:val="0"/>
      <w:marTop w:val="0"/>
      <w:marBottom w:val="0"/>
      <w:divBdr>
        <w:top w:val="none" w:sz="0" w:space="0" w:color="auto"/>
        <w:left w:val="none" w:sz="0" w:space="0" w:color="auto"/>
        <w:bottom w:val="none" w:sz="0" w:space="0" w:color="auto"/>
        <w:right w:val="none" w:sz="0" w:space="0" w:color="auto"/>
      </w:divBdr>
    </w:div>
    <w:div w:id="1507093497">
      <w:bodyDiv w:val="1"/>
      <w:marLeft w:val="0"/>
      <w:marRight w:val="0"/>
      <w:marTop w:val="0"/>
      <w:marBottom w:val="0"/>
      <w:divBdr>
        <w:top w:val="none" w:sz="0" w:space="0" w:color="auto"/>
        <w:left w:val="none" w:sz="0" w:space="0" w:color="auto"/>
        <w:bottom w:val="none" w:sz="0" w:space="0" w:color="auto"/>
        <w:right w:val="none" w:sz="0" w:space="0" w:color="auto"/>
      </w:divBdr>
    </w:div>
    <w:div w:id="1507205238">
      <w:bodyDiv w:val="1"/>
      <w:marLeft w:val="0"/>
      <w:marRight w:val="0"/>
      <w:marTop w:val="0"/>
      <w:marBottom w:val="0"/>
      <w:divBdr>
        <w:top w:val="none" w:sz="0" w:space="0" w:color="auto"/>
        <w:left w:val="none" w:sz="0" w:space="0" w:color="auto"/>
        <w:bottom w:val="none" w:sz="0" w:space="0" w:color="auto"/>
        <w:right w:val="none" w:sz="0" w:space="0" w:color="auto"/>
      </w:divBdr>
    </w:div>
    <w:div w:id="1507280554">
      <w:bodyDiv w:val="1"/>
      <w:marLeft w:val="0"/>
      <w:marRight w:val="0"/>
      <w:marTop w:val="0"/>
      <w:marBottom w:val="0"/>
      <w:divBdr>
        <w:top w:val="none" w:sz="0" w:space="0" w:color="auto"/>
        <w:left w:val="none" w:sz="0" w:space="0" w:color="auto"/>
        <w:bottom w:val="none" w:sz="0" w:space="0" w:color="auto"/>
        <w:right w:val="none" w:sz="0" w:space="0" w:color="auto"/>
      </w:divBdr>
    </w:div>
    <w:div w:id="1507280829">
      <w:bodyDiv w:val="1"/>
      <w:marLeft w:val="0"/>
      <w:marRight w:val="0"/>
      <w:marTop w:val="0"/>
      <w:marBottom w:val="0"/>
      <w:divBdr>
        <w:top w:val="none" w:sz="0" w:space="0" w:color="auto"/>
        <w:left w:val="none" w:sz="0" w:space="0" w:color="auto"/>
        <w:bottom w:val="none" w:sz="0" w:space="0" w:color="auto"/>
        <w:right w:val="none" w:sz="0" w:space="0" w:color="auto"/>
      </w:divBdr>
    </w:div>
    <w:div w:id="1507283929">
      <w:bodyDiv w:val="1"/>
      <w:marLeft w:val="0"/>
      <w:marRight w:val="0"/>
      <w:marTop w:val="0"/>
      <w:marBottom w:val="0"/>
      <w:divBdr>
        <w:top w:val="none" w:sz="0" w:space="0" w:color="auto"/>
        <w:left w:val="none" w:sz="0" w:space="0" w:color="auto"/>
        <w:bottom w:val="none" w:sz="0" w:space="0" w:color="auto"/>
        <w:right w:val="none" w:sz="0" w:space="0" w:color="auto"/>
      </w:divBdr>
    </w:div>
    <w:div w:id="1507286656">
      <w:bodyDiv w:val="1"/>
      <w:marLeft w:val="0"/>
      <w:marRight w:val="0"/>
      <w:marTop w:val="0"/>
      <w:marBottom w:val="0"/>
      <w:divBdr>
        <w:top w:val="none" w:sz="0" w:space="0" w:color="auto"/>
        <w:left w:val="none" w:sz="0" w:space="0" w:color="auto"/>
        <w:bottom w:val="none" w:sz="0" w:space="0" w:color="auto"/>
        <w:right w:val="none" w:sz="0" w:space="0" w:color="auto"/>
      </w:divBdr>
    </w:div>
    <w:div w:id="1507478066">
      <w:bodyDiv w:val="1"/>
      <w:marLeft w:val="0"/>
      <w:marRight w:val="0"/>
      <w:marTop w:val="0"/>
      <w:marBottom w:val="0"/>
      <w:divBdr>
        <w:top w:val="none" w:sz="0" w:space="0" w:color="auto"/>
        <w:left w:val="none" w:sz="0" w:space="0" w:color="auto"/>
        <w:bottom w:val="none" w:sz="0" w:space="0" w:color="auto"/>
        <w:right w:val="none" w:sz="0" w:space="0" w:color="auto"/>
      </w:divBdr>
    </w:div>
    <w:div w:id="1507550467">
      <w:bodyDiv w:val="1"/>
      <w:marLeft w:val="0"/>
      <w:marRight w:val="0"/>
      <w:marTop w:val="0"/>
      <w:marBottom w:val="0"/>
      <w:divBdr>
        <w:top w:val="none" w:sz="0" w:space="0" w:color="auto"/>
        <w:left w:val="none" w:sz="0" w:space="0" w:color="auto"/>
        <w:bottom w:val="none" w:sz="0" w:space="0" w:color="auto"/>
        <w:right w:val="none" w:sz="0" w:space="0" w:color="auto"/>
      </w:divBdr>
    </w:div>
    <w:div w:id="1507599105">
      <w:bodyDiv w:val="1"/>
      <w:marLeft w:val="0"/>
      <w:marRight w:val="0"/>
      <w:marTop w:val="0"/>
      <w:marBottom w:val="0"/>
      <w:divBdr>
        <w:top w:val="none" w:sz="0" w:space="0" w:color="auto"/>
        <w:left w:val="none" w:sz="0" w:space="0" w:color="auto"/>
        <w:bottom w:val="none" w:sz="0" w:space="0" w:color="auto"/>
        <w:right w:val="none" w:sz="0" w:space="0" w:color="auto"/>
      </w:divBdr>
    </w:div>
    <w:div w:id="1507666766">
      <w:bodyDiv w:val="1"/>
      <w:marLeft w:val="0"/>
      <w:marRight w:val="0"/>
      <w:marTop w:val="0"/>
      <w:marBottom w:val="0"/>
      <w:divBdr>
        <w:top w:val="none" w:sz="0" w:space="0" w:color="auto"/>
        <w:left w:val="none" w:sz="0" w:space="0" w:color="auto"/>
        <w:bottom w:val="none" w:sz="0" w:space="0" w:color="auto"/>
        <w:right w:val="none" w:sz="0" w:space="0" w:color="auto"/>
      </w:divBdr>
    </w:div>
    <w:div w:id="1507667104">
      <w:bodyDiv w:val="1"/>
      <w:marLeft w:val="0"/>
      <w:marRight w:val="0"/>
      <w:marTop w:val="0"/>
      <w:marBottom w:val="0"/>
      <w:divBdr>
        <w:top w:val="none" w:sz="0" w:space="0" w:color="auto"/>
        <w:left w:val="none" w:sz="0" w:space="0" w:color="auto"/>
        <w:bottom w:val="none" w:sz="0" w:space="0" w:color="auto"/>
        <w:right w:val="none" w:sz="0" w:space="0" w:color="auto"/>
      </w:divBdr>
    </w:div>
    <w:div w:id="1507675694">
      <w:bodyDiv w:val="1"/>
      <w:marLeft w:val="0"/>
      <w:marRight w:val="0"/>
      <w:marTop w:val="0"/>
      <w:marBottom w:val="0"/>
      <w:divBdr>
        <w:top w:val="none" w:sz="0" w:space="0" w:color="auto"/>
        <w:left w:val="none" w:sz="0" w:space="0" w:color="auto"/>
        <w:bottom w:val="none" w:sz="0" w:space="0" w:color="auto"/>
        <w:right w:val="none" w:sz="0" w:space="0" w:color="auto"/>
      </w:divBdr>
    </w:div>
    <w:div w:id="1507744199">
      <w:bodyDiv w:val="1"/>
      <w:marLeft w:val="0"/>
      <w:marRight w:val="0"/>
      <w:marTop w:val="0"/>
      <w:marBottom w:val="0"/>
      <w:divBdr>
        <w:top w:val="none" w:sz="0" w:space="0" w:color="auto"/>
        <w:left w:val="none" w:sz="0" w:space="0" w:color="auto"/>
        <w:bottom w:val="none" w:sz="0" w:space="0" w:color="auto"/>
        <w:right w:val="none" w:sz="0" w:space="0" w:color="auto"/>
      </w:divBdr>
    </w:div>
    <w:div w:id="1507750380">
      <w:bodyDiv w:val="1"/>
      <w:marLeft w:val="0"/>
      <w:marRight w:val="0"/>
      <w:marTop w:val="0"/>
      <w:marBottom w:val="0"/>
      <w:divBdr>
        <w:top w:val="none" w:sz="0" w:space="0" w:color="auto"/>
        <w:left w:val="none" w:sz="0" w:space="0" w:color="auto"/>
        <w:bottom w:val="none" w:sz="0" w:space="0" w:color="auto"/>
        <w:right w:val="none" w:sz="0" w:space="0" w:color="auto"/>
      </w:divBdr>
    </w:div>
    <w:div w:id="1507790466">
      <w:bodyDiv w:val="1"/>
      <w:marLeft w:val="0"/>
      <w:marRight w:val="0"/>
      <w:marTop w:val="0"/>
      <w:marBottom w:val="0"/>
      <w:divBdr>
        <w:top w:val="none" w:sz="0" w:space="0" w:color="auto"/>
        <w:left w:val="none" w:sz="0" w:space="0" w:color="auto"/>
        <w:bottom w:val="none" w:sz="0" w:space="0" w:color="auto"/>
        <w:right w:val="none" w:sz="0" w:space="0" w:color="auto"/>
      </w:divBdr>
    </w:div>
    <w:div w:id="1507793714">
      <w:bodyDiv w:val="1"/>
      <w:marLeft w:val="0"/>
      <w:marRight w:val="0"/>
      <w:marTop w:val="0"/>
      <w:marBottom w:val="0"/>
      <w:divBdr>
        <w:top w:val="none" w:sz="0" w:space="0" w:color="auto"/>
        <w:left w:val="none" w:sz="0" w:space="0" w:color="auto"/>
        <w:bottom w:val="none" w:sz="0" w:space="0" w:color="auto"/>
        <w:right w:val="none" w:sz="0" w:space="0" w:color="auto"/>
      </w:divBdr>
    </w:div>
    <w:div w:id="1507817952">
      <w:bodyDiv w:val="1"/>
      <w:marLeft w:val="0"/>
      <w:marRight w:val="0"/>
      <w:marTop w:val="0"/>
      <w:marBottom w:val="0"/>
      <w:divBdr>
        <w:top w:val="none" w:sz="0" w:space="0" w:color="auto"/>
        <w:left w:val="none" w:sz="0" w:space="0" w:color="auto"/>
        <w:bottom w:val="none" w:sz="0" w:space="0" w:color="auto"/>
        <w:right w:val="none" w:sz="0" w:space="0" w:color="auto"/>
      </w:divBdr>
    </w:div>
    <w:div w:id="1507818024">
      <w:bodyDiv w:val="1"/>
      <w:marLeft w:val="0"/>
      <w:marRight w:val="0"/>
      <w:marTop w:val="0"/>
      <w:marBottom w:val="0"/>
      <w:divBdr>
        <w:top w:val="none" w:sz="0" w:space="0" w:color="auto"/>
        <w:left w:val="none" w:sz="0" w:space="0" w:color="auto"/>
        <w:bottom w:val="none" w:sz="0" w:space="0" w:color="auto"/>
        <w:right w:val="none" w:sz="0" w:space="0" w:color="auto"/>
      </w:divBdr>
    </w:div>
    <w:div w:id="1507939700">
      <w:bodyDiv w:val="1"/>
      <w:marLeft w:val="0"/>
      <w:marRight w:val="0"/>
      <w:marTop w:val="0"/>
      <w:marBottom w:val="0"/>
      <w:divBdr>
        <w:top w:val="none" w:sz="0" w:space="0" w:color="auto"/>
        <w:left w:val="none" w:sz="0" w:space="0" w:color="auto"/>
        <w:bottom w:val="none" w:sz="0" w:space="0" w:color="auto"/>
        <w:right w:val="none" w:sz="0" w:space="0" w:color="auto"/>
      </w:divBdr>
    </w:div>
    <w:div w:id="1507984267">
      <w:bodyDiv w:val="1"/>
      <w:marLeft w:val="0"/>
      <w:marRight w:val="0"/>
      <w:marTop w:val="0"/>
      <w:marBottom w:val="0"/>
      <w:divBdr>
        <w:top w:val="none" w:sz="0" w:space="0" w:color="auto"/>
        <w:left w:val="none" w:sz="0" w:space="0" w:color="auto"/>
        <w:bottom w:val="none" w:sz="0" w:space="0" w:color="auto"/>
        <w:right w:val="none" w:sz="0" w:space="0" w:color="auto"/>
      </w:divBdr>
    </w:div>
    <w:div w:id="1508053287">
      <w:bodyDiv w:val="1"/>
      <w:marLeft w:val="0"/>
      <w:marRight w:val="0"/>
      <w:marTop w:val="0"/>
      <w:marBottom w:val="0"/>
      <w:divBdr>
        <w:top w:val="none" w:sz="0" w:space="0" w:color="auto"/>
        <w:left w:val="none" w:sz="0" w:space="0" w:color="auto"/>
        <w:bottom w:val="none" w:sz="0" w:space="0" w:color="auto"/>
        <w:right w:val="none" w:sz="0" w:space="0" w:color="auto"/>
      </w:divBdr>
    </w:div>
    <w:div w:id="1508062089">
      <w:bodyDiv w:val="1"/>
      <w:marLeft w:val="0"/>
      <w:marRight w:val="0"/>
      <w:marTop w:val="0"/>
      <w:marBottom w:val="0"/>
      <w:divBdr>
        <w:top w:val="none" w:sz="0" w:space="0" w:color="auto"/>
        <w:left w:val="none" w:sz="0" w:space="0" w:color="auto"/>
        <w:bottom w:val="none" w:sz="0" w:space="0" w:color="auto"/>
        <w:right w:val="none" w:sz="0" w:space="0" w:color="auto"/>
      </w:divBdr>
    </w:div>
    <w:div w:id="1508250086">
      <w:bodyDiv w:val="1"/>
      <w:marLeft w:val="0"/>
      <w:marRight w:val="0"/>
      <w:marTop w:val="0"/>
      <w:marBottom w:val="0"/>
      <w:divBdr>
        <w:top w:val="none" w:sz="0" w:space="0" w:color="auto"/>
        <w:left w:val="none" w:sz="0" w:space="0" w:color="auto"/>
        <w:bottom w:val="none" w:sz="0" w:space="0" w:color="auto"/>
        <w:right w:val="none" w:sz="0" w:space="0" w:color="auto"/>
      </w:divBdr>
    </w:div>
    <w:div w:id="1508402367">
      <w:bodyDiv w:val="1"/>
      <w:marLeft w:val="0"/>
      <w:marRight w:val="0"/>
      <w:marTop w:val="0"/>
      <w:marBottom w:val="0"/>
      <w:divBdr>
        <w:top w:val="none" w:sz="0" w:space="0" w:color="auto"/>
        <w:left w:val="none" w:sz="0" w:space="0" w:color="auto"/>
        <w:bottom w:val="none" w:sz="0" w:space="0" w:color="auto"/>
        <w:right w:val="none" w:sz="0" w:space="0" w:color="auto"/>
      </w:divBdr>
    </w:div>
    <w:div w:id="1508714141">
      <w:bodyDiv w:val="1"/>
      <w:marLeft w:val="0"/>
      <w:marRight w:val="0"/>
      <w:marTop w:val="0"/>
      <w:marBottom w:val="0"/>
      <w:divBdr>
        <w:top w:val="none" w:sz="0" w:space="0" w:color="auto"/>
        <w:left w:val="none" w:sz="0" w:space="0" w:color="auto"/>
        <w:bottom w:val="none" w:sz="0" w:space="0" w:color="auto"/>
        <w:right w:val="none" w:sz="0" w:space="0" w:color="auto"/>
      </w:divBdr>
    </w:div>
    <w:div w:id="1508791339">
      <w:bodyDiv w:val="1"/>
      <w:marLeft w:val="0"/>
      <w:marRight w:val="0"/>
      <w:marTop w:val="0"/>
      <w:marBottom w:val="0"/>
      <w:divBdr>
        <w:top w:val="none" w:sz="0" w:space="0" w:color="auto"/>
        <w:left w:val="none" w:sz="0" w:space="0" w:color="auto"/>
        <w:bottom w:val="none" w:sz="0" w:space="0" w:color="auto"/>
        <w:right w:val="none" w:sz="0" w:space="0" w:color="auto"/>
      </w:divBdr>
    </w:div>
    <w:div w:id="1508792564">
      <w:bodyDiv w:val="1"/>
      <w:marLeft w:val="0"/>
      <w:marRight w:val="0"/>
      <w:marTop w:val="0"/>
      <w:marBottom w:val="0"/>
      <w:divBdr>
        <w:top w:val="none" w:sz="0" w:space="0" w:color="auto"/>
        <w:left w:val="none" w:sz="0" w:space="0" w:color="auto"/>
        <w:bottom w:val="none" w:sz="0" w:space="0" w:color="auto"/>
        <w:right w:val="none" w:sz="0" w:space="0" w:color="auto"/>
      </w:divBdr>
    </w:div>
    <w:div w:id="1508835407">
      <w:bodyDiv w:val="1"/>
      <w:marLeft w:val="0"/>
      <w:marRight w:val="0"/>
      <w:marTop w:val="0"/>
      <w:marBottom w:val="0"/>
      <w:divBdr>
        <w:top w:val="none" w:sz="0" w:space="0" w:color="auto"/>
        <w:left w:val="none" w:sz="0" w:space="0" w:color="auto"/>
        <w:bottom w:val="none" w:sz="0" w:space="0" w:color="auto"/>
        <w:right w:val="none" w:sz="0" w:space="0" w:color="auto"/>
      </w:divBdr>
    </w:div>
    <w:div w:id="1508860098">
      <w:bodyDiv w:val="1"/>
      <w:marLeft w:val="0"/>
      <w:marRight w:val="0"/>
      <w:marTop w:val="0"/>
      <w:marBottom w:val="0"/>
      <w:divBdr>
        <w:top w:val="none" w:sz="0" w:space="0" w:color="auto"/>
        <w:left w:val="none" w:sz="0" w:space="0" w:color="auto"/>
        <w:bottom w:val="none" w:sz="0" w:space="0" w:color="auto"/>
        <w:right w:val="none" w:sz="0" w:space="0" w:color="auto"/>
      </w:divBdr>
    </w:div>
    <w:div w:id="1508865307">
      <w:bodyDiv w:val="1"/>
      <w:marLeft w:val="0"/>
      <w:marRight w:val="0"/>
      <w:marTop w:val="0"/>
      <w:marBottom w:val="0"/>
      <w:divBdr>
        <w:top w:val="none" w:sz="0" w:space="0" w:color="auto"/>
        <w:left w:val="none" w:sz="0" w:space="0" w:color="auto"/>
        <w:bottom w:val="none" w:sz="0" w:space="0" w:color="auto"/>
        <w:right w:val="none" w:sz="0" w:space="0" w:color="auto"/>
      </w:divBdr>
    </w:div>
    <w:div w:id="1508865604">
      <w:bodyDiv w:val="1"/>
      <w:marLeft w:val="0"/>
      <w:marRight w:val="0"/>
      <w:marTop w:val="0"/>
      <w:marBottom w:val="0"/>
      <w:divBdr>
        <w:top w:val="none" w:sz="0" w:space="0" w:color="auto"/>
        <w:left w:val="none" w:sz="0" w:space="0" w:color="auto"/>
        <w:bottom w:val="none" w:sz="0" w:space="0" w:color="auto"/>
        <w:right w:val="none" w:sz="0" w:space="0" w:color="auto"/>
      </w:divBdr>
    </w:div>
    <w:div w:id="1508866654">
      <w:bodyDiv w:val="1"/>
      <w:marLeft w:val="0"/>
      <w:marRight w:val="0"/>
      <w:marTop w:val="0"/>
      <w:marBottom w:val="0"/>
      <w:divBdr>
        <w:top w:val="none" w:sz="0" w:space="0" w:color="auto"/>
        <w:left w:val="none" w:sz="0" w:space="0" w:color="auto"/>
        <w:bottom w:val="none" w:sz="0" w:space="0" w:color="auto"/>
        <w:right w:val="none" w:sz="0" w:space="0" w:color="auto"/>
      </w:divBdr>
    </w:div>
    <w:div w:id="1508904965">
      <w:bodyDiv w:val="1"/>
      <w:marLeft w:val="0"/>
      <w:marRight w:val="0"/>
      <w:marTop w:val="0"/>
      <w:marBottom w:val="0"/>
      <w:divBdr>
        <w:top w:val="none" w:sz="0" w:space="0" w:color="auto"/>
        <w:left w:val="none" w:sz="0" w:space="0" w:color="auto"/>
        <w:bottom w:val="none" w:sz="0" w:space="0" w:color="auto"/>
        <w:right w:val="none" w:sz="0" w:space="0" w:color="auto"/>
      </w:divBdr>
    </w:div>
    <w:div w:id="1509056627">
      <w:bodyDiv w:val="1"/>
      <w:marLeft w:val="0"/>
      <w:marRight w:val="0"/>
      <w:marTop w:val="0"/>
      <w:marBottom w:val="0"/>
      <w:divBdr>
        <w:top w:val="none" w:sz="0" w:space="0" w:color="auto"/>
        <w:left w:val="none" w:sz="0" w:space="0" w:color="auto"/>
        <w:bottom w:val="none" w:sz="0" w:space="0" w:color="auto"/>
        <w:right w:val="none" w:sz="0" w:space="0" w:color="auto"/>
      </w:divBdr>
    </w:div>
    <w:div w:id="1509173673">
      <w:bodyDiv w:val="1"/>
      <w:marLeft w:val="0"/>
      <w:marRight w:val="0"/>
      <w:marTop w:val="0"/>
      <w:marBottom w:val="0"/>
      <w:divBdr>
        <w:top w:val="none" w:sz="0" w:space="0" w:color="auto"/>
        <w:left w:val="none" w:sz="0" w:space="0" w:color="auto"/>
        <w:bottom w:val="none" w:sz="0" w:space="0" w:color="auto"/>
        <w:right w:val="none" w:sz="0" w:space="0" w:color="auto"/>
      </w:divBdr>
    </w:div>
    <w:div w:id="1509178655">
      <w:bodyDiv w:val="1"/>
      <w:marLeft w:val="0"/>
      <w:marRight w:val="0"/>
      <w:marTop w:val="0"/>
      <w:marBottom w:val="0"/>
      <w:divBdr>
        <w:top w:val="none" w:sz="0" w:space="0" w:color="auto"/>
        <w:left w:val="none" w:sz="0" w:space="0" w:color="auto"/>
        <w:bottom w:val="none" w:sz="0" w:space="0" w:color="auto"/>
        <w:right w:val="none" w:sz="0" w:space="0" w:color="auto"/>
      </w:divBdr>
    </w:div>
    <w:div w:id="1509248573">
      <w:bodyDiv w:val="1"/>
      <w:marLeft w:val="0"/>
      <w:marRight w:val="0"/>
      <w:marTop w:val="0"/>
      <w:marBottom w:val="0"/>
      <w:divBdr>
        <w:top w:val="none" w:sz="0" w:space="0" w:color="auto"/>
        <w:left w:val="none" w:sz="0" w:space="0" w:color="auto"/>
        <w:bottom w:val="none" w:sz="0" w:space="0" w:color="auto"/>
        <w:right w:val="none" w:sz="0" w:space="0" w:color="auto"/>
      </w:divBdr>
    </w:div>
    <w:div w:id="1509369685">
      <w:bodyDiv w:val="1"/>
      <w:marLeft w:val="0"/>
      <w:marRight w:val="0"/>
      <w:marTop w:val="0"/>
      <w:marBottom w:val="0"/>
      <w:divBdr>
        <w:top w:val="none" w:sz="0" w:space="0" w:color="auto"/>
        <w:left w:val="none" w:sz="0" w:space="0" w:color="auto"/>
        <w:bottom w:val="none" w:sz="0" w:space="0" w:color="auto"/>
        <w:right w:val="none" w:sz="0" w:space="0" w:color="auto"/>
      </w:divBdr>
    </w:div>
    <w:div w:id="1509557268">
      <w:bodyDiv w:val="1"/>
      <w:marLeft w:val="0"/>
      <w:marRight w:val="0"/>
      <w:marTop w:val="0"/>
      <w:marBottom w:val="0"/>
      <w:divBdr>
        <w:top w:val="none" w:sz="0" w:space="0" w:color="auto"/>
        <w:left w:val="none" w:sz="0" w:space="0" w:color="auto"/>
        <w:bottom w:val="none" w:sz="0" w:space="0" w:color="auto"/>
        <w:right w:val="none" w:sz="0" w:space="0" w:color="auto"/>
      </w:divBdr>
    </w:div>
    <w:div w:id="1509565495">
      <w:bodyDiv w:val="1"/>
      <w:marLeft w:val="0"/>
      <w:marRight w:val="0"/>
      <w:marTop w:val="0"/>
      <w:marBottom w:val="0"/>
      <w:divBdr>
        <w:top w:val="none" w:sz="0" w:space="0" w:color="auto"/>
        <w:left w:val="none" w:sz="0" w:space="0" w:color="auto"/>
        <w:bottom w:val="none" w:sz="0" w:space="0" w:color="auto"/>
        <w:right w:val="none" w:sz="0" w:space="0" w:color="auto"/>
      </w:divBdr>
    </w:div>
    <w:div w:id="1509639707">
      <w:bodyDiv w:val="1"/>
      <w:marLeft w:val="0"/>
      <w:marRight w:val="0"/>
      <w:marTop w:val="0"/>
      <w:marBottom w:val="0"/>
      <w:divBdr>
        <w:top w:val="none" w:sz="0" w:space="0" w:color="auto"/>
        <w:left w:val="none" w:sz="0" w:space="0" w:color="auto"/>
        <w:bottom w:val="none" w:sz="0" w:space="0" w:color="auto"/>
        <w:right w:val="none" w:sz="0" w:space="0" w:color="auto"/>
      </w:divBdr>
    </w:div>
    <w:div w:id="1509714976">
      <w:bodyDiv w:val="1"/>
      <w:marLeft w:val="0"/>
      <w:marRight w:val="0"/>
      <w:marTop w:val="0"/>
      <w:marBottom w:val="0"/>
      <w:divBdr>
        <w:top w:val="none" w:sz="0" w:space="0" w:color="auto"/>
        <w:left w:val="none" w:sz="0" w:space="0" w:color="auto"/>
        <w:bottom w:val="none" w:sz="0" w:space="0" w:color="auto"/>
        <w:right w:val="none" w:sz="0" w:space="0" w:color="auto"/>
      </w:divBdr>
    </w:div>
    <w:div w:id="1509759189">
      <w:bodyDiv w:val="1"/>
      <w:marLeft w:val="0"/>
      <w:marRight w:val="0"/>
      <w:marTop w:val="0"/>
      <w:marBottom w:val="0"/>
      <w:divBdr>
        <w:top w:val="none" w:sz="0" w:space="0" w:color="auto"/>
        <w:left w:val="none" w:sz="0" w:space="0" w:color="auto"/>
        <w:bottom w:val="none" w:sz="0" w:space="0" w:color="auto"/>
        <w:right w:val="none" w:sz="0" w:space="0" w:color="auto"/>
      </w:divBdr>
    </w:div>
    <w:div w:id="1509826742">
      <w:bodyDiv w:val="1"/>
      <w:marLeft w:val="0"/>
      <w:marRight w:val="0"/>
      <w:marTop w:val="0"/>
      <w:marBottom w:val="0"/>
      <w:divBdr>
        <w:top w:val="none" w:sz="0" w:space="0" w:color="auto"/>
        <w:left w:val="none" w:sz="0" w:space="0" w:color="auto"/>
        <w:bottom w:val="none" w:sz="0" w:space="0" w:color="auto"/>
        <w:right w:val="none" w:sz="0" w:space="0" w:color="auto"/>
      </w:divBdr>
    </w:div>
    <w:div w:id="1509831900">
      <w:bodyDiv w:val="1"/>
      <w:marLeft w:val="0"/>
      <w:marRight w:val="0"/>
      <w:marTop w:val="0"/>
      <w:marBottom w:val="0"/>
      <w:divBdr>
        <w:top w:val="none" w:sz="0" w:space="0" w:color="auto"/>
        <w:left w:val="none" w:sz="0" w:space="0" w:color="auto"/>
        <w:bottom w:val="none" w:sz="0" w:space="0" w:color="auto"/>
        <w:right w:val="none" w:sz="0" w:space="0" w:color="auto"/>
      </w:divBdr>
    </w:div>
    <w:div w:id="1509976425">
      <w:bodyDiv w:val="1"/>
      <w:marLeft w:val="0"/>
      <w:marRight w:val="0"/>
      <w:marTop w:val="0"/>
      <w:marBottom w:val="0"/>
      <w:divBdr>
        <w:top w:val="none" w:sz="0" w:space="0" w:color="auto"/>
        <w:left w:val="none" w:sz="0" w:space="0" w:color="auto"/>
        <w:bottom w:val="none" w:sz="0" w:space="0" w:color="auto"/>
        <w:right w:val="none" w:sz="0" w:space="0" w:color="auto"/>
      </w:divBdr>
    </w:div>
    <w:div w:id="1510026805">
      <w:bodyDiv w:val="1"/>
      <w:marLeft w:val="0"/>
      <w:marRight w:val="0"/>
      <w:marTop w:val="0"/>
      <w:marBottom w:val="0"/>
      <w:divBdr>
        <w:top w:val="none" w:sz="0" w:space="0" w:color="auto"/>
        <w:left w:val="none" w:sz="0" w:space="0" w:color="auto"/>
        <w:bottom w:val="none" w:sz="0" w:space="0" w:color="auto"/>
        <w:right w:val="none" w:sz="0" w:space="0" w:color="auto"/>
      </w:divBdr>
    </w:div>
    <w:div w:id="1510096554">
      <w:bodyDiv w:val="1"/>
      <w:marLeft w:val="0"/>
      <w:marRight w:val="0"/>
      <w:marTop w:val="0"/>
      <w:marBottom w:val="0"/>
      <w:divBdr>
        <w:top w:val="none" w:sz="0" w:space="0" w:color="auto"/>
        <w:left w:val="none" w:sz="0" w:space="0" w:color="auto"/>
        <w:bottom w:val="none" w:sz="0" w:space="0" w:color="auto"/>
        <w:right w:val="none" w:sz="0" w:space="0" w:color="auto"/>
      </w:divBdr>
    </w:div>
    <w:div w:id="1510215386">
      <w:bodyDiv w:val="1"/>
      <w:marLeft w:val="0"/>
      <w:marRight w:val="0"/>
      <w:marTop w:val="0"/>
      <w:marBottom w:val="0"/>
      <w:divBdr>
        <w:top w:val="none" w:sz="0" w:space="0" w:color="auto"/>
        <w:left w:val="none" w:sz="0" w:space="0" w:color="auto"/>
        <w:bottom w:val="none" w:sz="0" w:space="0" w:color="auto"/>
        <w:right w:val="none" w:sz="0" w:space="0" w:color="auto"/>
      </w:divBdr>
    </w:div>
    <w:div w:id="1510365862">
      <w:bodyDiv w:val="1"/>
      <w:marLeft w:val="0"/>
      <w:marRight w:val="0"/>
      <w:marTop w:val="0"/>
      <w:marBottom w:val="0"/>
      <w:divBdr>
        <w:top w:val="none" w:sz="0" w:space="0" w:color="auto"/>
        <w:left w:val="none" w:sz="0" w:space="0" w:color="auto"/>
        <w:bottom w:val="none" w:sz="0" w:space="0" w:color="auto"/>
        <w:right w:val="none" w:sz="0" w:space="0" w:color="auto"/>
      </w:divBdr>
    </w:div>
    <w:div w:id="1510487769">
      <w:bodyDiv w:val="1"/>
      <w:marLeft w:val="0"/>
      <w:marRight w:val="0"/>
      <w:marTop w:val="0"/>
      <w:marBottom w:val="0"/>
      <w:divBdr>
        <w:top w:val="none" w:sz="0" w:space="0" w:color="auto"/>
        <w:left w:val="none" w:sz="0" w:space="0" w:color="auto"/>
        <w:bottom w:val="none" w:sz="0" w:space="0" w:color="auto"/>
        <w:right w:val="none" w:sz="0" w:space="0" w:color="auto"/>
      </w:divBdr>
    </w:div>
    <w:div w:id="1510563579">
      <w:bodyDiv w:val="1"/>
      <w:marLeft w:val="0"/>
      <w:marRight w:val="0"/>
      <w:marTop w:val="0"/>
      <w:marBottom w:val="0"/>
      <w:divBdr>
        <w:top w:val="none" w:sz="0" w:space="0" w:color="auto"/>
        <w:left w:val="none" w:sz="0" w:space="0" w:color="auto"/>
        <w:bottom w:val="none" w:sz="0" w:space="0" w:color="auto"/>
        <w:right w:val="none" w:sz="0" w:space="0" w:color="auto"/>
      </w:divBdr>
    </w:div>
    <w:div w:id="1510563593">
      <w:bodyDiv w:val="1"/>
      <w:marLeft w:val="0"/>
      <w:marRight w:val="0"/>
      <w:marTop w:val="0"/>
      <w:marBottom w:val="0"/>
      <w:divBdr>
        <w:top w:val="none" w:sz="0" w:space="0" w:color="auto"/>
        <w:left w:val="none" w:sz="0" w:space="0" w:color="auto"/>
        <w:bottom w:val="none" w:sz="0" w:space="0" w:color="auto"/>
        <w:right w:val="none" w:sz="0" w:space="0" w:color="auto"/>
      </w:divBdr>
    </w:div>
    <w:div w:id="1510632332">
      <w:bodyDiv w:val="1"/>
      <w:marLeft w:val="0"/>
      <w:marRight w:val="0"/>
      <w:marTop w:val="0"/>
      <w:marBottom w:val="0"/>
      <w:divBdr>
        <w:top w:val="none" w:sz="0" w:space="0" w:color="auto"/>
        <w:left w:val="none" w:sz="0" w:space="0" w:color="auto"/>
        <w:bottom w:val="none" w:sz="0" w:space="0" w:color="auto"/>
        <w:right w:val="none" w:sz="0" w:space="0" w:color="auto"/>
      </w:divBdr>
    </w:div>
    <w:div w:id="1510944228">
      <w:bodyDiv w:val="1"/>
      <w:marLeft w:val="0"/>
      <w:marRight w:val="0"/>
      <w:marTop w:val="0"/>
      <w:marBottom w:val="0"/>
      <w:divBdr>
        <w:top w:val="none" w:sz="0" w:space="0" w:color="auto"/>
        <w:left w:val="none" w:sz="0" w:space="0" w:color="auto"/>
        <w:bottom w:val="none" w:sz="0" w:space="0" w:color="auto"/>
        <w:right w:val="none" w:sz="0" w:space="0" w:color="auto"/>
      </w:divBdr>
    </w:div>
    <w:div w:id="1511024821">
      <w:bodyDiv w:val="1"/>
      <w:marLeft w:val="0"/>
      <w:marRight w:val="0"/>
      <w:marTop w:val="0"/>
      <w:marBottom w:val="0"/>
      <w:divBdr>
        <w:top w:val="none" w:sz="0" w:space="0" w:color="auto"/>
        <w:left w:val="none" w:sz="0" w:space="0" w:color="auto"/>
        <w:bottom w:val="none" w:sz="0" w:space="0" w:color="auto"/>
        <w:right w:val="none" w:sz="0" w:space="0" w:color="auto"/>
      </w:divBdr>
    </w:div>
    <w:div w:id="1511063596">
      <w:bodyDiv w:val="1"/>
      <w:marLeft w:val="0"/>
      <w:marRight w:val="0"/>
      <w:marTop w:val="0"/>
      <w:marBottom w:val="0"/>
      <w:divBdr>
        <w:top w:val="none" w:sz="0" w:space="0" w:color="auto"/>
        <w:left w:val="none" w:sz="0" w:space="0" w:color="auto"/>
        <w:bottom w:val="none" w:sz="0" w:space="0" w:color="auto"/>
        <w:right w:val="none" w:sz="0" w:space="0" w:color="auto"/>
      </w:divBdr>
    </w:div>
    <w:div w:id="1511067655">
      <w:bodyDiv w:val="1"/>
      <w:marLeft w:val="0"/>
      <w:marRight w:val="0"/>
      <w:marTop w:val="0"/>
      <w:marBottom w:val="0"/>
      <w:divBdr>
        <w:top w:val="none" w:sz="0" w:space="0" w:color="auto"/>
        <w:left w:val="none" w:sz="0" w:space="0" w:color="auto"/>
        <w:bottom w:val="none" w:sz="0" w:space="0" w:color="auto"/>
        <w:right w:val="none" w:sz="0" w:space="0" w:color="auto"/>
      </w:divBdr>
    </w:div>
    <w:div w:id="1511095563">
      <w:bodyDiv w:val="1"/>
      <w:marLeft w:val="0"/>
      <w:marRight w:val="0"/>
      <w:marTop w:val="0"/>
      <w:marBottom w:val="0"/>
      <w:divBdr>
        <w:top w:val="none" w:sz="0" w:space="0" w:color="auto"/>
        <w:left w:val="none" w:sz="0" w:space="0" w:color="auto"/>
        <w:bottom w:val="none" w:sz="0" w:space="0" w:color="auto"/>
        <w:right w:val="none" w:sz="0" w:space="0" w:color="auto"/>
      </w:divBdr>
    </w:div>
    <w:div w:id="1511143822">
      <w:bodyDiv w:val="1"/>
      <w:marLeft w:val="0"/>
      <w:marRight w:val="0"/>
      <w:marTop w:val="0"/>
      <w:marBottom w:val="0"/>
      <w:divBdr>
        <w:top w:val="none" w:sz="0" w:space="0" w:color="auto"/>
        <w:left w:val="none" w:sz="0" w:space="0" w:color="auto"/>
        <w:bottom w:val="none" w:sz="0" w:space="0" w:color="auto"/>
        <w:right w:val="none" w:sz="0" w:space="0" w:color="auto"/>
      </w:divBdr>
    </w:div>
    <w:div w:id="1511144305">
      <w:bodyDiv w:val="1"/>
      <w:marLeft w:val="0"/>
      <w:marRight w:val="0"/>
      <w:marTop w:val="0"/>
      <w:marBottom w:val="0"/>
      <w:divBdr>
        <w:top w:val="none" w:sz="0" w:space="0" w:color="auto"/>
        <w:left w:val="none" w:sz="0" w:space="0" w:color="auto"/>
        <w:bottom w:val="none" w:sz="0" w:space="0" w:color="auto"/>
        <w:right w:val="none" w:sz="0" w:space="0" w:color="auto"/>
      </w:divBdr>
    </w:div>
    <w:div w:id="1511145401">
      <w:bodyDiv w:val="1"/>
      <w:marLeft w:val="0"/>
      <w:marRight w:val="0"/>
      <w:marTop w:val="0"/>
      <w:marBottom w:val="0"/>
      <w:divBdr>
        <w:top w:val="none" w:sz="0" w:space="0" w:color="auto"/>
        <w:left w:val="none" w:sz="0" w:space="0" w:color="auto"/>
        <w:bottom w:val="none" w:sz="0" w:space="0" w:color="auto"/>
        <w:right w:val="none" w:sz="0" w:space="0" w:color="auto"/>
      </w:divBdr>
    </w:div>
    <w:div w:id="1511218839">
      <w:bodyDiv w:val="1"/>
      <w:marLeft w:val="0"/>
      <w:marRight w:val="0"/>
      <w:marTop w:val="0"/>
      <w:marBottom w:val="0"/>
      <w:divBdr>
        <w:top w:val="none" w:sz="0" w:space="0" w:color="auto"/>
        <w:left w:val="none" w:sz="0" w:space="0" w:color="auto"/>
        <w:bottom w:val="none" w:sz="0" w:space="0" w:color="auto"/>
        <w:right w:val="none" w:sz="0" w:space="0" w:color="auto"/>
      </w:divBdr>
    </w:div>
    <w:div w:id="1511219167">
      <w:bodyDiv w:val="1"/>
      <w:marLeft w:val="0"/>
      <w:marRight w:val="0"/>
      <w:marTop w:val="0"/>
      <w:marBottom w:val="0"/>
      <w:divBdr>
        <w:top w:val="none" w:sz="0" w:space="0" w:color="auto"/>
        <w:left w:val="none" w:sz="0" w:space="0" w:color="auto"/>
        <w:bottom w:val="none" w:sz="0" w:space="0" w:color="auto"/>
        <w:right w:val="none" w:sz="0" w:space="0" w:color="auto"/>
      </w:divBdr>
    </w:div>
    <w:div w:id="1511261529">
      <w:bodyDiv w:val="1"/>
      <w:marLeft w:val="0"/>
      <w:marRight w:val="0"/>
      <w:marTop w:val="0"/>
      <w:marBottom w:val="0"/>
      <w:divBdr>
        <w:top w:val="none" w:sz="0" w:space="0" w:color="auto"/>
        <w:left w:val="none" w:sz="0" w:space="0" w:color="auto"/>
        <w:bottom w:val="none" w:sz="0" w:space="0" w:color="auto"/>
        <w:right w:val="none" w:sz="0" w:space="0" w:color="auto"/>
      </w:divBdr>
    </w:div>
    <w:div w:id="1511288014">
      <w:bodyDiv w:val="1"/>
      <w:marLeft w:val="0"/>
      <w:marRight w:val="0"/>
      <w:marTop w:val="0"/>
      <w:marBottom w:val="0"/>
      <w:divBdr>
        <w:top w:val="none" w:sz="0" w:space="0" w:color="auto"/>
        <w:left w:val="none" w:sz="0" w:space="0" w:color="auto"/>
        <w:bottom w:val="none" w:sz="0" w:space="0" w:color="auto"/>
        <w:right w:val="none" w:sz="0" w:space="0" w:color="auto"/>
      </w:divBdr>
    </w:div>
    <w:div w:id="1511332026">
      <w:bodyDiv w:val="1"/>
      <w:marLeft w:val="0"/>
      <w:marRight w:val="0"/>
      <w:marTop w:val="0"/>
      <w:marBottom w:val="0"/>
      <w:divBdr>
        <w:top w:val="none" w:sz="0" w:space="0" w:color="auto"/>
        <w:left w:val="none" w:sz="0" w:space="0" w:color="auto"/>
        <w:bottom w:val="none" w:sz="0" w:space="0" w:color="auto"/>
        <w:right w:val="none" w:sz="0" w:space="0" w:color="auto"/>
      </w:divBdr>
    </w:div>
    <w:div w:id="1511410843">
      <w:bodyDiv w:val="1"/>
      <w:marLeft w:val="0"/>
      <w:marRight w:val="0"/>
      <w:marTop w:val="0"/>
      <w:marBottom w:val="0"/>
      <w:divBdr>
        <w:top w:val="none" w:sz="0" w:space="0" w:color="auto"/>
        <w:left w:val="none" w:sz="0" w:space="0" w:color="auto"/>
        <w:bottom w:val="none" w:sz="0" w:space="0" w:color="auto"/>
        <w:right w:val="none" w:sz="0" w:space="0" w:color="auto"/>
      </w:divBdr>
    </w:div>
    <w:div w:id="1511486163">
      <w:bodyDiv w:val="1"/>
      <w:marLeft w:val="0"/>
      <w:marRight w:val="0"/>
      <w:marTop w:val="0"/>
      <w:marBottom w:val="0"/>
      <w:divBdr>
        <w:top w:val="none" w:sz="0" w:space="0" w:color="auto"/>
        <w:left w:val="none" w:sz="0" w:space="0" w:color="auto"/>
        <w:bottom w:val="none" w:sz="0" w:space="0" w:color="auto"/>
        <w:right w:val="none" w:sz="0" w:space="0" w:color="auto"/>
      </w:divBdr>
    </w:div>
    <w:div w:id="1511487574">
      <w:bodyDiv w:val="1"/>
      <w:marLeft w:val="0"/>
      <w:marRight w:val="0"/>
      <w:marTop w:val="0"/>
      <w:marBottom w:val="0"/>
      <w:divBdr>
        <w:top w:val="none" w:sz="0" w:space="0" w:color="auto"/>
        <w:left w:val="none" w:sz="0" w:space="0" w:color="auto"/>
        <w:bottom w:val="none" w:sz="0" w:space="0" w:color="auto"/>
        <w:right w:val="none" w:sz="0" w:space="0" w:color="auto"/>
      </w:divBdr>
    </w:div>
    <w:div w:id="1511528242">
      <w:bodyDiv w:val="1"/>
      <w:marLeft w:val="0"/>
      <w:marRight w:val="0"/>
      <w:marTop w:val="0"/>
      <w:marBottom w:val="0"/>
      <w:divBdr>
        <w:top w:val="none" w:sz="0" w:space="0" w:color="auto"/>
        <w:left w:val="none" w:sz="0" w:space="0" w:color="auto"/>
        <w:bottom w:val="none" w:sz="0" w:space="0" w:color="auto"/>
        <w:right w:val="none" w:sz="0" w:space="0" w:color="auto"/>
      </w:divBdr>
    </w:div>
    <w:div w:id="1511528920">
      <w:bodyDiv w:val="1"/>
      <w:marLeft w:val="0"/>
      <w:marRight w:val="0"/>
      <w:marTop w:val="0"/>
      <w:marBottom w:val="0"/>
      <w:divBdr>
        <w:top w:val="none" w:sz="0" w:space="0" w:color="auto"/>
        <w:left w:val="none" w:sz="0" w:space="0" w:color="auto"/>
        <w:bottom w:val="none" w:sz="0" w:space="0" w:color="auto"/>
        <w:right w:val="none" w:sz="0" w:space="0" w:color="auto"/>
      </w:divBdr>
    </w:div>
    <w:div w:id="1511598816">
      <w:bodyDiv w:val="1"/>
      <w:marLeft w:val="0"/>
      <w:marRight w:val="0"/>
      <w:marTop w:val="0"/>
      <w:marBottom w:val="0"/>
      <w:divBdr>
        <w:top w:val="none" w:sz="0" w:space="0" w:color="auto"/>
        <w:left w:val="none" w:sz="0" w:space="0" w:color="auto"/>
        <w:bottom w:val="none" w:sz="0" w:space="0" w:color="auto"/>
        <w:right w:val="none" w:sz="0" w:space="0" w:color="auto"/>
      </w:divBdr>
    </w:div>
    <w:div w:id="1511677110">
      <w:bodyDiv w:val="1"/>
      <w:marLeft w:val="0"/>
      <w:marRight w:val="0"/>
      <w:marTop w:val="0"/>
      <w:marBottom w:val="0"/>
      <w:divBdr>
        <w:top w:val="none" w:sz="0" w:space="0" w:color="auto"/>
        <w:left w:val="none" w:sz="0" w:space="0" w:color="auto"/>
        <w:bottom w:val="none" w:sz="0" w:space="0" w:color="auto"/>
        <w:right w:val="none" w:sz="0" w:space="0" w:color="auto"/>
      </w:divBdr>
    </w:div>
    <w:div w:id="1511678967">
      <w:bodyDiv w:val="1"/>
      <w:marLeft w:val="0"/>
      <w:marRight w:val="0"/>
      <w:marTop w:val="0"/>
      <w:marBottom w:val="0"/>
      <w:divBdr>
        <w:top w:val="none" w:sz="0" w:space="0" w:color="auto"/>
        <w:left w:val="none" w:sz="0" w:space="0" w:color="auto"/>
        <w:bottom w:val="none" w:sz="0" w:space="0" w:color="auto"/>
        <w:right w:val="none" w:sz="0" w:space="0" w:color="auto"/>
      </w:divBdr>
    </w:div>
    <w:div w:id="1511679531">
      <w:bodyDiv w:val="1"/>
      <w:marLeft w:val="0"/>
      <w:marRight w:val="0"/>
      <w:marTop w:val="0"/>
      <w:marBottom w:val="0"/>
      <w:divBdr>
        <w:top w:val="none" w:sz="0" w:space="0" w:color="auto"/>
        <w:left w:val="none" w:sz="0" w:space="0" w:color="auto"/>
        <w:bottom w:val="none" w:sz="0" w:space="0" w:color="auto"/>
        <w:right w:val="none" w:sz="0" w:space="0" w:color="auto"/>
      </w:divBdr>
    </w:div>
    <w:div w:id="1511680396">
      <w:bodyDiv w:val="1"/>
      <w:marLeft w:val="0"/>
      <w:marRight w:val="0"/>
      <w:marTop w:val="0"/>
      <w:marBottom w:val="0"/>
      <w:divBdr>
        <w:top w:val="none" w:sz="0" w:space="0" w:color="auto"/>
        <w:left w:val="none" w:sz="0" w:space="0" w:color="auto"/>
        <w:bottom w:val="none" w:sz="0" w:space="0" w:color="auto"/>
        <w:right w:val="none" w:sz="0" w:space="0" w:color="auto"/>
      </w:divBdr>
    </w:div>
    <w:div w:id="1511720580">
      <w:bodyDiv w:val="1"/>
      <w:marLeft w:val="0"/>
      <w:marRight w:val="0"/>
      <w:marTop w:val="0"/>
      <w:marBottom w:val="0"/>
      <w:divBdr>
        <w:top w:val="none" w:sz="0" w:space="0" w:color="auto"/>
        <w:left w:val="none" w:sz="0" w:space="0" w:color="auto"/>
        <w:bottom w:val="none" w:sz="0" w:space="0" w:color="auto"/>
        <w:right w:val="none" w:sz="0" w:space="0" w:color="auto"/>
      </w:divBdr>
    </w:div>
    <w:div w:id="1511795257">
      <w:bodyDiv w:val="1"/>
      <w:marLeft w:val="0"/>
      <w:marRight w:val="0"/>
      <w:marTop w:val="0"/>
      <w:marBottom w:val="0"/>
      <w:divBdr>
        <w:top w:val="none" w:sz="0" w:space="0" w:color="auto"/>
        <w:left w:val="none" w:sz="0" w:space="0" w:color="auto"/>
        <w:bottom w:val="none" w:sz="0" w:space="0" w:color="auto"/>
        <w:right w:val="none" w:sz="0" w:space="0" w:color="auto"/>
      </w:divBdr>
    </w:div>
    <w:div w:id="1511796875">
      <w:bodyDiv w:val="1"/>
      <w:marLeft w:val="0"/>
      <w:marRight w:val="0"/>
      <w:marTop w:val="0"/>
      <w:marBottom w:val="0"/>
      <w:divBdr>
        <w:top w:val="none" w:sz="0" w:space="0" w:color="auto"/>
        <w:left w:val="none" w:sz="0" w:space="0" w:color="auto"/>
        <w:bottom w:val="none" w:sz="0" w:space="0" w:color="auto"/>
        <w:right w:val="none" w:sz="0" w:space="0" w:color="auto"/>
      </w:divBdr>
    </w:div>
    <w:div w:id="1511869514">
      <w:bodyDiv w:val="1"/>
      <w:marLeft w:val="0"/>
      <w:marRight w:val="0"/>
      <w:marTop w:val="0"/>
      <w:marBottom w:val="0"/>
      <w:divBdr>
        <w:top w:val="none" w:sz="0" w:space="0" w:color="auto"/>
        <w:left w:val="none" w:sz="0" w:space="0" w:color="auto"/>
        <w:bottom w:val="none" w:sz="0" w:space="0" w:color="auto"/>
        <w:right w:val="none" w:sz="0" w:space="0" w:color="auto"/>
      </w:divBdr>
    </w:div>
    <w:div w:id="1511875044">
      <w:bodyDiv w:val="1"/>
      <w:marLeft w:val="0"/>
      <w:marRight w:val="0"/>
      <w:marTop w:val="0"/>
      <w:marBottom w:val="0"/>
      <w:divBdr>
        <w:top w:val="none" w:sz="0" w:space="0" w:color="auto"/>
        <w:left w:val="none" w:sz="0" w:space="0" w:color="auto"/>
        <w:bottom w:val="none" w:sz="0" w:space="0" w:color="auto"/>
        <w:right w:val="none" w:sz="0" w:space="0" w:color="auto"/>
      </w:divBdr>
    </w:div>
    <w:div w:id="1511875170">
      <w:bodyDiv w:val="1"/>
      <w:marLeft w:val="0"/>
      <w:marRight w:val="0"/>
      <w:marTop w:val="0"/>
      <w:marBottom w:val="0"/>
      <w:divBdr>
        <w:top w:val="none" w:sz="0" w:space="0" w:color="auto"/>
        <w:left w:val="none" w:sz="0" w:space="0" w:color="auto"/>
        <w:bottom w:val="none" w:sz="0" w:space="0" w:color="auto"/>
        <w:right w:val="none" w:sz="0" w:space="0" w:color="auto"/>
      </w:divBdr>
    </w:div>
    <w:div w:id="1511875819">
      <w:bodyDiv w:val="1"/>
      <w:marLeft w:val="0"/>
      <w:marRight w:val="0"/>
      <w:marTop w:val="0"/>
      <w:marBottom w:val="0"/>
      <w:divBdr>
        <w:top w:val="none" w:sz="0" w:space="0" w:color="auto"/>
        <w:left w:val="none" w:sz="0" w:space="0" w:color="auto"/>
        <w:bottom w:val="none" w:sz="0" w:space="0" w:color="auto"/>
        <w:right w:val="none" w:sz="0" w:space="0" w:color="auto"/>
      </w:divBdr>
    </w:div>
    <w:div w:id="1511946793">
      <w:bodyDiv w:val="1"/>
      <w:marLeft w:val="0"/>
      <w:marRight w:val="0"/>
      <w:marTop w:val="0"/>
      <w:marBottom w:val="0"/>
      <w:divBdr>
        <w:top w:val="none" w:sz="0" w:space="0" w:color="auto"/>
        <w:left w:val="none" w:sz="0" w:space="0" w:color="auto"/>
        <w:bottom w:val="none" w:sz="0" w:space="0" w:color="auto"/>
        <w:right w:val="none" w:sz="0" w:space="0" w:color="auto"/>
      </w:divBdr>
    </w:div>
    <w:div w:id="1512140916">
      <w:bodyDiv w:val="1"/>
      <w:marLeft w:val="0"/>
      <w:marRight w:val="0"/>
      <w:marTop w:val="0"/>
      <w:marBottom w:val="0"/>
      <w:divBdr>
        <w:top w:val="none" w:sz="0" w:space="0" w:color="auto"/>
        <w:left w:val="none" w:sz="0" w:space="0" w:color="auto"/>
        <w:bottom w:val="none" w:sz="0" w:space="0" w:color="auto"/>
        <w:right w:val="none" w:sz="0" w:space="0" w:color="auto"/>
      </w:divBdr>
    </w:div>
    <w:div w:id="1512181033">
      <w:bodyDiv w:val="1"/>
      <w:marLeft w:val="0"/>
      <w:marRight w:val="0"/>
      <w:marTop w:val="0"/>
      <w:marBottom w:val="0"/>
      <w:divBdr>
        <w:top w:val="none" w:sz="0" w:space="0" w:color="auto"/>
        <w:left w:val="none" w:sz="0" w:space="0" w:color="auto"/>
        <w:bottom w:val="none" w:sz="0" w:space="0" w:color="auto"/>
        <w:right w:val="none" w:sz="0" w:space="0" w:color="auto"/>
      </w:divBdr>
    </w:div>
    <w:div w:id="1512259450">
      <w:bodyDiv w:val="1"/>
      <w:marLeft w:val="0"/>
      <w:marRight w:val="0"/>
      <w:marTop w:val="0"/>
      <w:marBottom w:val="0"/>
      <w:divBdr>
        <w:top w:val="none" w:sz="0" w:space="0" w:color="auto"/>
        <w:left w:val="none" w:sz="0" w:space="0" w:color="auto"/>
        <w:bottom w:val="none" w:sz="0" w:space="0" w:color="auto"/>
        <w:right w:val="none" w:sz="0" w:space="0" w:color="auto"/>
      </w:divBdr>
    </w:div>
    <w:div w:id="1512260085">
      <w:bodyDiv w:val="1"/>
      <w:marLeft w:val="0"/>
      <w:marRight w:val="0"/>
      <w:marTop w:val="0"/>
      <w:marBottom w:val="0"/>
      <w:divBdr>
        <w:top w:val="none" w:sz="0" w:space="0" w:color="auto"/>
        <w:left w:val="none" w:sz="0" w:space="0" w:color="auto"/>
        <w:bottom w:val="none" w:sz="0" w:space="0" w:color="auto"/>
        <w:right w:val="none" w:sz="0" w:space="0" w:color="auto"/>
      </w:divBdr>
    </w:div>
    <w:div w:id="1512329450">
      <w:bodyDiv w:val="1"/>
      <w:marLeft w:val="0"/>
      <w:marRight w:val="0"/>
      <w:marTop w:val="0"/>
      <w:marBottom w:val="0"/>
      <w:divBdr>
        <w:top w:val="none" w:sz="0" w:space="0" w:color="auto"/>
        <w:left w:val="none" w:sz="0" w:space="0" w:color="auto"/>
        <w:bottom w:val="none" w:sz="0" w:space="0" w:color="auto"/>
        <w:right w:val="none" w:sz="0" w:space="0" w:color="auto"/>
      </w:divBdr>
    </w:div>
    <w:div w:id="1512338204">
      <w:bodyDiv w:val="1"/>
      <w:marLeft w:val="0"/>
      <w:marRight w:val="0"/>
      <w:marTop w:val="0"/>
      <w:marBottom w:val="0"/>
      <w:divBdr>
        <w:top w:val="none" w:sz="0" w:space="0" w:color="auto"/>
        <w:left w:val="none" w:sz="0" w:space="0" w:color="auto"/>
        <w:bottom w:val="none" w:sz="0" w:space="0" w:color="auto"/>
        <w:right w:val="none" w:sz="0" w:space="0" w:color="auto"/>
      </w:divBdr>
    </w:div>
    <w:div w:id="1512379556">
      <w:bodyDiv w:val="1"/>
      <w:marLeft w:val="0"/>
      <w:marRight w:val="0"/>
      <w:marTop w:val="0"/>
      <w:marBottom w:val="0"/>
      <w:divBdr>
        <w:top w:val="none" w:sz="0" w:space="0" w:color="auto"/>
        <w:left w:val="none" w:sz="0" w:space="0" w:color="auto"/>
        <w:bottom w:val="none" w:sz="0" w:space="0" w:color="auto"/>
        <w:right w:val="none" w:sz="0" w:space="0" w:color="auto"/>
      </w:divBdr>
    </w:div>
    <w:div w:id="1512380575">
      <w:bodyDiv w:val="1"/>
      <w:marLeft w:val="0"/>
      <w:marRight w:val="0"/>
      <w:marTop w:val="0"/>
      <w:marBottom w:val="0"/>
      <w:divBdr>
        <w:top w:val="none" w:sz="0" w:space="0" w:color="auto"/>
        <w:left w:val="none" w:sz="0" w:space="0" w:color="auto"/>
        <w:bottom w:val="none" w:sz="0" w:space="0" w:color="auto"/>
        <w:right w:val="none" w:sz="0" w:space="0" w:color="auto"/>
      </w:divBdr>
    </w:div>
    <w:div w:id="1512448412">
      <w:bodyDiv w:val="1"/>
      <w:marLeft w:val="0"/>
      <w:marRight w:val="0"/>
      <w:marTop w:val="0"/>
      <w:marBottom w:val="0"/>
      <w:divBdr>
        <w:top w:val="none" w:sz="0" w:space="0" w:color="auto"/>
        <w:left w:val="none" w:sz="0" w:space="0" w:color="auto"/>
        <w:bottom w:val="none" w:sz="0" w:space="0" w:color="auto"/>
        <w:right w:val="none" w:sz="0" w:space="0" w:color="auto"/>
      </w:divBdr>
    </w:div>
    <w:div w:id="1512449392">
      <w:bodyDiv w:val="1"/>
      <w:marLeft w:val="0"/>
      <w:marRight w:val="0"/>
      <w:marTop w:val="0"/>
      <w:marBottom w:val="0"/>
      <w:divBdr>
        <w:top w:val="none" w:sz="0" w:space="0" w:color="auto"/>
        <w:left w:val="none" w:sz="0" w:space="0" w:color="auto"/>
        <w:bottom w:val="none" w:sz="0" w:space="0" w:color="auto"/>
        <w:right w:val="none" w:sz="0" w:space="0" w:color="auto"/>
      </w:divBdr>
    </w:div>
    <w:div w:id="1512530088">
      <w:bodyDiv w:val="1"/>
      <w:marLeft w:val="0"/>
      <w:marRight w:val="0"/>
      <w:marTop w:val="0"/>
      <w:marBottom w:val="0"/>
      <w:divBdr>
        <w:top w:val="none" w:sz="0" w:space="0" w:color="auto"/>
        <w:left w:val="none" w:sz="0" w:space="0" w:color="auto"/>
        <w:bottom w:val="none" w:sz="0" w:space="0" w:color="auto"/>
        <w:right w:val="none" w:sz="0" w:space="0" w:color="auto"/>
      </w:divBdr>
    </w:div>
    <w:div w:id="1512573558">
      <w:bodyDiv w:val="1"/>
      <w:marLeft w:val="0"/>
      <w:marRight w:val="0"/>
      <w:marTop w:val="0"/>
      <w:marBottom w:val="0"/>
      <w:divBdr>
        <w:top w:val="none" w:sz="0" w:space="0" w:color="auto"/>
        <w:left w:val="none" w:sz="0" w:space="0" w:color="auto"/>
        <w:bottom w:val="none" w:sz="0" w:space="0" w:color="auto"/>
        <w:right w:val="none" w:sz="0" w:space="0" w:color="auto"/>
      </w:divBdr>
    </w:div>
    <w:div w:id="1512640044">
      <w:bodyDiv w:val="1"/>
      <w:marLeft w:val="0"/>
      <w:marRight w:val="0"/>
      <w:marTop w:val="0"/>
      <w:marBottom w:val="0"/>
      <w:divBdr>
        <w:top w:val="none" w:sz="0" w:space="0" w:color="auto"/>
        <w:left w:val="none" w:sz="0" w:space="0" w:color="auto"/>
        <w:bottom w:val="none" w:sz="0" w:space="0" w:color="auto"/>
        <w:right w:val="none" w:sz="0" w:space="0" w:color="auto"/>
      </w:divBdr>
    </w:div>
    <w:div w:id="1512643776">
      <w:bodyDiv w:val="1"/>
      <w:marLeft w:val="0"/>
      <w:marRight w:val="0"/>
      <w:marTop w:val="0"/>
      <w:marBottom w:val="0"/>
      <w:divBdr>
        <w:top w:val="none" w:sz="0" w:space="0" w:color="auto"/>
        <w:left w:val="none" w:sz="0" w:space="0" w:color="auto"/>
        <w:bottom w:val="none" w:sz="0" w:space="0" w:color="auto"/>
        <w:right w:val="none" w:sz="0" w:space="0" w:color="auto"/>
      </w:divBdr>
    </w:div>
    <w:div w:id="1512839286">
      <w:bodyDiv w:val="1"/>
      <w:marLeft w:val="0"/>
      <w:marRight w:val="0"/>
      <w:marTop w:val="0"/>
      <w:marBottom w:val="0"/>
      <w:divBdr>
        <w:top w:val="none" w:sz="0" w:space="0" w:color="auto"/>
        <w:left w:val="none" w:sz="0" w:space="0" w:color="auto"/>
        <w:bottom w:val="none" w:sz="0" w:space="0" w:color="auto"/>
        <w:right w:val="none" w:sz="0" w:space="0" w:color="auto"/>
      </w:divBdr>
    </w:div>
    <w:div w:id="1512991870">
      <w:bodyDiv w:val="1"/>
      <w:marLeft w:val="0"/>
      <w:marRight w:val="0"/>
      <w:marTop w:val="0"/>
      <w:marBottom w:val="0"/>
      <w:divBdr>
        <w:top w:val="none" w:sz="0" w:space="0" w:color="auto"/>
        <w:left w:val="none" w:sz="0" w:space="0" w:color="auto"/>
        <w:bottom w:val="none" w:sz="0" w:space="0" w:color="auto"/>
        <w:right w:val="none" w:sz="0" w:space="0" w:color="auto"/>
      </w:divBdr>
    </w:div>
    <w:div w:id="1513109864">
      <w:bodyDiv w:val="1"/>
      <w:marLeft w:val="0"/>
      <w:marRight w:val="0"/>
      <w:marTop w:val="0"/>
      <w:marBottom w:val="0"/>
      <w:divBdr>
        <w:top w:val="none" w:sz="0" w:space="0" w:color="auto"/>
        <w:left w:val="none" w:sz="0" w:space="0" w:color="auto"/>
        <w:bottom w:val="none" w:sz="0" w:space="0" w:color="auto"/>
        <w:right w:val="none" w:sz="0" w:space="0" w:color="auto"/>
      </w:divBdr>
    </w:div>
    <w:div w:id="1513304031">
      <w:bodyDiv w:val="1"/>
      <w:marLeft w:val="0"/>
      <w:marRight w:val="0"/>
      <w:marTop w:val="0"/>
      <w:marBottom w:val="0"/>
      <w:divBdr>
        <w:top w:val="none" w:sz="0" w:space="0" w:color="auto"/>
        <w:left w:val="none" w:sz="0" w:space="0" w:color="auto"/>
        <w:bottom w:val="none" w:sz="0" w:space="0" w:color="auto"/>
        <w:right w:val="none" w:sz="0" w:space="0" w:color="auto"/>
      </w:divBdr>
    </w:div>
    <w:div w:id="1513375039">
      <w:bodyDiv w:val="1"/>
      <w:marLeft w:val="0"/>
      <w:marRight w:val="0"/>
      <w:marTop w:val="0"/>
      <w:marBottom w:val="0"/>
      <w:divBdr>
        <w:top w:val="none" w:sz="0" w:space="0" w:color="auto"/>
        <w:left w:val="none" w:sz="0" w:space="0" w:color="auto"/>
        <w:bottom w:val="none" w:sz="0" w:space="0" w:color="auto"/>
        <w:right w:val="none" w:sz="0" w:space="0" w:color="auto"/>
      </w:divBdr>
    </w:div>
    <w:div w:id="1513450028">
      <w:bodyDiv w:val="1"/>
      <w:marLeft w:val="0"/>
      <w:marRight w:val="0"/>
      <w:marTop w:val="0"/>
      <w:marBottom w:val="0"/>
      <w:divBdr>
        <w:top w:val="none" w:sz="0" w:space="0" w:color="auto"/>
        <w:left w:val="none" w:sz="0" w:space="0" w:color="auto"/>
        <w:bottom w:val="none" w:sz="0" w:space="0" w:color="auto"/>
        <w:right w:val="none" w:sz="0" w:space="0" w:color="auto"/>
      </w:divBdr>
    </w:div>
    <w:div w:id="1513497630">
      <w:bodyDiv w:val="1"/>
      <w:marLeft w:val="0"/>
      <w:marRight w:val="0"/>
      <w:marTop w:val="0"/>
      <w:marBottom w:val="0"/>
      <w:divBdr>
        <w:top w:val="none" w:sz="0" w:space="0" w:color="auto"/>
        <w:left w:val="none" w:sz="0" w:space="0" w:color="auto"/>
        <w:bottom w:val="none" w:sz="0" w:space="0" w:color="auto"/>
        <w:right w:val="none" w:sz="0" w:space="0" w:color="auto"/>
      </w:divBdr>
    </w:div>
    <w:div w:id="1513567344">
      <w:bodyDiv w:val="1"/>
      <w:marLeft w:val="0"/>
      <w:marRight w:val="0"/>
      <w:marTop w:val="0"/>
      <w:marBottom w:val="0"/>
      <w:divBdr>
        <w:top w:val="none" w:sz="0" w:space="0" w:color="auto"/>
        <w:left w:val="none" w:sz="0" w:space="0" w:color="auto"/>
        <w:bottom w:val="none" w:sz="0" w:space="0" w:color="auto"/>
        <w:right w:val="none" w:sz="0" w:space="0" w:color="auto"/>
      </w:divBdr>
    </w:div>
    <w:div w:id="1513645829">
      <w:bodyDiv w:val="1"/>
      <w:marLeft w:val="0"/>
      <w:marRight w:val="0"/>
      <w:marTop w:val="0"/>
      <w:marBottom w:val="0"/>
      <w:divBdr>
        <w:top w:val="none" w:sz="0" w:space="0" w:color="auto"/>
        <w:left w:val="none" w:sz="0" w:space="0" w:color="auto"/>
        <w:bottom w:val="none" w:sz="0" w:space="0" w:color="auto"/>
        <w:right w:val="none" w:sz="0" w:space="0" w:color="auto"/>
      </w:divBdr>
    </w:div>
    <w:div w:id="1513758761">
      <w:bodyDiv w:val="1"/>
      <w:marLeft w:val="0"/>
      <w:marRight w:val="0"/>
      <w:marTop w:val="0"/>
      <w:marBottom w:val="0"/>
      <w:divBdr>
        <w:top w:val="none" w:sz="0" w:space="0" w:color="auto"/>
        <w:left w:val="none" w:sz="0" w:space="0" w:color="auto"/>
        <w:bottom w:val="none" w:sz="0" w:space="0" w:color="auto"/>
        <w:right w:val="none" w:sz="0" w:space="0" w:color="auto"/>
      </w:divBdr>
    </w:div>
    <w:div w:id="1513765568">
      <w:bodyDiv w:val="1"/>
      <w:marLeft w:val="0"/>
      <w:marRight w:val="0"/>
      <w:marTop w:val="0"/>
      <w:marBottom w:val="0"/>
      <w:divBdr>
        <w:top w:val="none" w:sz="0" w:space="0" w:color="auto"/>
        <w:left w:val="none" w:sz="0" w:space="0" w:color="auto"/>
        <w:bottom w:val="none" w:sz="0" w:space="0" w:color="auto"/>
        <w:right w:val="none" w:sz="0" w:space="0" w:color="auto"/>
      </w:divBdr>
    </w:div>
    <w:div w:id="1513838564">
      <w:bodyDiv w:val="1"/>
      <w:marLeft w:val="0"/>
      <w:marRight w:val="0"/>
      <w:marTop w:val="0"/>
      <w:marBottom w:val="0"/>
      <w:divBdr>
        <w:top w:val="none" w:sz="0" w:space="0" w:color="auto"/>
        <w:left w:val="none" w:sz="0" w:space="0" w:color="auto"/>
        <w:bottom w:val="none" w:sz="0" w:space="0" w:color="auto"/>
        <w:right w:val="none" w:sz="0" w:space="0" w:color="auto"/>
      </w:divBdr>
    </w:div>
    <w:div w:id="1513840443">
      <w:bodyDiv w:val="1"/>
      <w:marLeft w:val="0"/>
      <w:marRight w:val="0"/>
      <w:marTop w:val="0"/>
      <w:marBottom w:val="0"/>
      <w:divBdr>
        <w:top w:val="none" w:sz="0" w:space="0" w:color="auto"/>
        <w:left w:val="none" w:sz="0" w:space="0" w:color="auto"/>
        <w:bottom w:val="none" w:sz="0" w:space="0" w:color="auto"/>
        <w:right w:val="none" w:sz="0" w:space="0" w:color="auto"/>
      </w:divBdr>
    </w:div>
    <w:div w:id="1513908121">
      <w:bodyDiv w:val="1"/>
      <w:marLeft w:val="0"/>
      <w:marRight w:val="0"/>
      <w:marTop w:val="0"/>
      <w:marBottom w:val="0"/>
      <w:divBdr>
        <w:top w:val="none" w:sz="0" w:space="0" w:color="auto"/>
        <w:left w:val="none" w:sz="0" w:space="0" w:color="auto"/>
        <w:bottom w:val="none" w:sz="0" w:space="0" w:color="auto"/>
        <w:right w:val="none" w:sz="0" w:space="0" w:color="auto"/>
      </w:divBdr>
    </w:div>
    <w:div w:id="1513910310">
      <w:bodyDiv w:val="1"/>
      <w:marLeft w:val="0"/>
      <w:marRight w:val="0"/>
      <w:marTop w:val="0"/>
      <w:marBottom w:val="0"/>
      <w:divBdr>
        <w:top w:val="none" w:sz="0" w:space="0" w:color="auto"/>
        <w:left w:val="none" w:sz="0" w:space="0" w:color="auto"/>
        <w:bottom w:val="none" w:sz="0" w:space="0" w:color="auto"/>
        <w:right w:val="none" w:sz="0" w:space="0" w:color="auto"/>
      </w:divBdr>
    </w:div>
    <w:div w:id="1513914249">
      <w:bodyDiv w:val="1"/>
      <w:marLeft w:val="0"/>
      <w:marRight w:val="0"/>
      <w:marTop w:val="0"/>
      <w:marBottom w:val="0"/>
      <w:divBdr>
        <w:top w:val="none" w:sz="0" w:space="0" w:color="auto"/>
        <w:left w:val="none" w:sz="0" w:space="0" w:color="auto"/>
        <w:bottom w:val="none" w:sz="0" w:space="0" w:color="auto"/>
        <w:right w:val="none" w:sz="0" w:space="0" w:color="auto"/>
      </w:divBdr>
    </w:div>
    <w:div w:id="1513953296">
      <w:bodyDiv w:val="1"/>
      <w:marLeft w:val="0"/>
      <w:marRight w:val="0"/>
      <w:marTop w:val="0"/>
      <w:marBottom w:val="0"/>
      <w:divBdr>
        <w:top w:val="none" w:sz="0" w:space="0" w:color="auto"/>
        <w:left w:val="none" w:sz="0" w:space="0" w:color="auto"/>
        <w:bottom w:val="none" w:sz="0" w:space="0" w:color="auto"/>
        <w:right w:val="none" w:sz="0" w:space="0" w:color="auto"/>
      </w:divBdr>
    </w:div>
    <w:div w:id="1513954793">
      <w:bodyDiv w:val="1"/>
      <w:marLeft w:val="0"/>
      <w:marRight w:val="0"/>
      <w:marTop w:val="0"/>
      <w:marBottom w:val="0"/>
      <w:divBdr>
        <w:top w:val="none" w:sz="0" w:space="0" w:color="auto"/>
        <w:left w:val="none" w:sz="0" w:space="0" w:color="auto"/>
        <w:bottom w:val="none" w:sz="0" w:space="0" w:color="auto"/>
        <w:right w:val="none" w:sz="0" w:space="0" w:color="auto"/>
      </w:divBdr>
    </w:div>
    <w:div w:id="1513957729">
      <w:bodyDiv w:val="1"/>
      <w:marLeft w:val="0"/>
      <w:marRight w:val="0"/>
      <w:marTop w:val="0"/>
      <w:marBottom w:val="0"/>
      <w:divBdr>
        <w:top w:val="none" w:sz="0" w:space="0" w:color="auto"/>
        <w:left w:val="none" w:sz="0" w:space="0" w:color="auto"/>
        <w:bottom w:val="none" w:sz="0" w:space="0" w:color="auto"/>
        <w:right w:val="none" w:sz="0" w:space="0" w:color="auto"/>
      </w:divBdr>
    </w:div>
    <w:div w:id="1514028072">
      <w:bodyDiv w:val="1"/>
      <w:marLeft w:val="0"/>
      <w:marRight w:val="0"/>
      <w:marTop w:val="0"/>
      <w:marBottom w:val="0"/>
      <w:divBdr>
        <w:top w:val="none" w:sz="0" w:space="0" w:color="auto"/>
        <w:left w:val="none" w:sz="0" w:space="0" w:color="auto"/>
        <w:bottom w:val="none" w:sz="0" w:space="0" w:color="auto"/>
        <w:right w:val="none" w:sz="0" w:space="0" w:color="auto"/>
      </w:divBdr>
    </w:div>
    <w:div w:id="1514034160">
      <w:bodyDiv w:val="1"/>
      <w:marLeft w:val="0"/>
      <w:marRight w:val="0"/>
      <w:marTop w:val="0"/>
      <w:marBottom w:val="0"/>
      <w:divBdr>
        <w:top w:val="none" w:sz="0" w:space="0" w:color="auto"/>
        <w:left w:val="none" w:sz="0" w:space="0" w:color="auto"/>
        <w:bottom w:val="none" w:sz="0" w:space="0" w:color="auto"/>
        <w:right w:val="none" w:sz="0" w:space="0" w:color="auto"/>
      </w:divBdr>
    </w:div>
    <w:div w:id="1514107412">
      <w:bodyDiv w:val="1"/>
      <w:marLeft w:val="0"/>
      <w:marRight w:val="0"/>
      <w:marTop w:val="0"/>
      <w:marBottom w:val="0"/>
      <w:divBdr>
        <w:top w:val="none" w:sz="0" w:space="0" w:color="auto"/>
        <w:left w:val="none" w:sz="0" w:space="0" w:color="auto"/>
        <w:bottom w:val="none" w:sz="0" w:space="0" w:color="auto"/>
        <w:right w:val="none" w:sz="0" w:space="0" w:color="auto"/>
      </w:divBdr>
    </w:div>
    <w:div w:id="1514109800">
      <w:bodyDiv w:val="1"/>
      <w:marLeft w:val="0"/>
      <w:marRight w:val="0"/>
      <w:marTop w:val="0"/>
      <w:marBottom w:val="0"/>
      <w:divBdr>
        <w:top w:val="none" w:sz="0" w:space="0" w:color="auto"/>
        <w:left w:val="none" w:sz="0" w:space="0" w:color="auto"/>
        <w:bottom w:val="none" w:sz="0" w:space="0" w:color="auto"/>
        <w:right w:val="none" w:sz="0" w:space="0" w:color="auto"/>
      </w:divBdr>
    </w:div>
    <w:div w:id="1514295955">
      <w:bodyDiv w:val="1"/>
      <w:marLeft w:val="0"/>
      <w:marRight w:val="0"/>
      <w:marTop w:val="0"/>
      <w:marBottom w:val="0"/>
      <w:divBdr>
        <w:top w:val="none" w:sz="0" w:space="0" w:color="auto"/>
        <w:left w:val="none" w:sz="0" w:space="0" w:color="auto"/>
        <w:bottom w:val="none" w:sz="0" w:space="0" w:color="auto"/>
        <w:right w:val="none" w:sz="0" w:space="0" w:color="auto"/>
      </w:divBdr>
    </w:div>
    <w:div w:id="1514299299">
      <w:bodyDiv w:val="1"/>
      <w:marLeft w:val="0"/>
      <w:marRight w:val="0"/>
      <w:marTop w:val="0"/>
      <w:marBottom w:val="0"/>
      <w:divBdr>
        <w:top w:val="none" w:sz="0" w:space="0" w:color="auto"/>
        <w:left w:val="none" w:sz="0" w:space="0" w:color="auto"/>
        <w:bottom w:val="none" w:sz="0" w:space="0" w:color="auto"/>
        <w:right w:val="none" w:sz="0" w:space="0" w:color="auto"/>
      </w:divBdr>
    </w:div>
    <w:div w:id="1514301265">
      <w:bodyDiv w:val="1"/>
      <w:marLeft w:val="0"/>
      <w:marRight w:val="0"/>
      <w:marTop w:val="0"/>
      <w:marBottom w:val="0"/>
      <w:divBdr>
        <w:top w:val="none" w:sz="0" w:space="0" w:color="auto"/>
        <w:left w:val="none" w:sz="0" w:space="0" w:color="auto"/>
        <w:bottom w:val="none" w:sz="0" w:space="0" w:color="auto"/>
        <w:right w:val="none" w:sz="0" w:space="0" w:color="auto"/>
      </w:divBdr>
    </w:div>
    <w:div w:id="1514371772">
      <w:bodyDiv w:val="1"/>
      <w:marLeft w:val="0"/>
      <w:marRight w:val="0"/>
      <w:marTop w:val="0"/>
      <w:marBottom w:val="0"/>
      <w:divBdr>
        <w:top w:val="none" w:sz="0" w:space="0" w:color="auto"/>
        <w:left w:val="none" w:sz="0" w:space="0" w:color="auto"/>
        <w:bottom w:val="none" w:sz="0" w:space="0" w:color="auto"/>
        <w:right w:val="none" w:sz="0" w:space="0" w:color="auto"/>
      </w:divBdr>
    </w:div>
    <w:div w:id="1514418421">
      <w:bodyDiv w:val="1"/>
      <w:marLeft w:val="0"/>
      <w:marRight w:val="0"/>
      <w:marTop w:val="0"/>
      <w:marBottom w:val="0"/>
      <w:divBdr>
        <w:top w:val="none" w:sz="0" w:space="0" w:color="auto"/>
        <w:left w:val="none" w:sz="0" w:space="0" w:color="auto"/>
        <w:bottom w:val="none" w:sz="0" w:space="0" w:color="auto"/>
        <w:right w:val="none" w:sz="0" w:space="0" w:color="auto"/>
      </w:divBdr>
    </w:div>
    <w:div w:id="1514418467">
      <w:bodyDiv w:val="1"/>
      <w:marLeft w:val="0"/>
      <w:marRight w:val="0"/>
      <w:marTop w:val="0"/>
      <w:marBottom w:val="0"/>
      <w:divBdr>
        <w:top w:val="none" w:sz="0" w:space="0" w:color="auto"/>
        <w:left w:val="none" w:sz="0" w:space="0" w:color="auto"/>
        <w:bottom w:val="none" w:sz="0" w:space="0" w:color="auto"/>
        <w:right w:val="none" w:sz="0" w:space="0" w:color="auto"/>
      </w:divBdr>
    </w:div>
    <w:div w:id="1514421483">
      <w:bodyDiv w:val="1"/>
      <w:marLeft w:val="0"/>
      <w:marRight w:val="0"/>
      <w:marTop w:val="0"/>
      <w:marBottom w:val="0"/>
      <w:divBdr>
        <w:top w:val="none" w:sz="0" w:space="0" w:color="auto"/>
        <w:left w:val="none" w:sz="0" w:space="0" w:color="auto"/>
        <w:bottom w:val="none" w:sz="0" w:space="0" w:color="auto"/>
        <w:right w:val="none" w:sz="0" w:space="0" w:color="auto"/>
      </w:divBdr>
    </w:div>
    <w:div w:id="1514538866">
      <w:bodyDiv w:val="1"/>
      <w:marLeft w:val="0"/>
      <w:marRight w:val="0"/>
      <w:marTop w:val="0"/>
      <w:marBottom w:val="0"/>
      <w:divBdr>
        <w:top w:val="none" w:sz="0" w:space="0" w:color="auto"/>
        <w:left w:val="none" w:sz="0" w:space="0" w:color="auto"/>
        <w:bottom w:val="none" w:sz="0" w:space="0" w:color="auto"/>
        <w:right w:val="none" w:sz="0" w:space="0" w:color="auto"/>
      </w:divBdr>
    </w:div>
    <w:div w:id="1514610507">
      <w:bodyDiv w:val="1"/>
      <w:marLeft w:val="0"/>
      <w:marRight w:val="0"/>
      <w:marTop w:val="0"/>
      <w:marBottom w:val="0"/>
      <w:divBdr>
        <w:top w:val="none" w:sz="0" w:space="0" w:color="auto"/>
        <w:left w:val="none" w:sz="0" w:space="0" w:color="auto"/>
        <w:bottom w:val="none" w:sz="0" w:space="0" w:color="auto"/>
        <w:right w:val="none" w:sz="0" w:space="0" w:color="auto"/>
      </w:divBdr>
    </w:div>
    <w:div w:id="1514680950">
      <w:bodyDiv w:val="1"/>
      <w:marLeft w:val="0"/>
      <w:marRight w:val="0"/>
      <w:marTop w:val="0"/>
      <w:marBottom w:val="0"/>
      <w:divBdr>
        <w:top w:val="none" w:sz="0" w:space="0" w:color="auto"/>
        <w:left w:val="none" w:sz="0" w:space="0" w:color="auto"/>
        <w:bottom w:val="none" w:sz="0" w:space="0" w:color="auto"/>
        <w:right w:val="none" w:sz="0" w:space="0" w:color="auto"/>
      </w:divBdr>
    </w:div>
    <w:div w:id="1514681544">
      <w:bodyDiv w:val="1"/>
      <w:marLeft w:val="0"/>
      <w:marRight w:val="0"/>
      <w:marTop w:val="0"/>
      <w:marBottom w:val="0"/>
      <w:divBdr>
        <w:top w:val="none" w:sz="0" w:space="0" w:color="auto"/>
        <w:left w:val="none" w:sz="0" w:space="0" w:color="auto"/>
        <w:bottom w:val="none" w:sz="0" w:space="0" w:color="auto"/>
        <w:right w:val="none" w:sz="0" w:space="0" w:color="auto"/>
      </w:divBdr>
    </w:div>
    <w:div w:id="1514807352">
      <w:bodyDiv w:val="1"/>
      <w:marLeft w:val="0"/>
      <w:marRight w:val="0"/>
      <w:marTop w:val="0"/>
      <w:marBottom w:val="0"/>
      <w:divBdr>
        <w:top w:val="none" w:sz="0" w:space="0" w:color="auto"/>
        <w:left w:val="none" w:sz="0" w:space="0" w:color="auto"/>
        <w:bottom w:val="none" w:sz="0" w:space="0" w:color="auto"/>
        <w:right w:val="none" w:sz="0" w:space="0" w:color="auto"/>
      </w:divBdr>
    </w:div>
    <w:div w:id="1514958906">
      <w:bodyDiv w:val="1"/>
      <w:marLeft w:val="0"/>
      <w:marRight w:val="0"/>
      <w:marTop w:val="0"/>
      <w:marBottom w:val="0"/>
      <w:divBdr>
        <w:top w:val="none" w:sz="0" w:space="0" w:color="auto"/>
        <w:left w:val="none" w:sz="0" w:space="0" w:color="auto"/>
        <w:bottom w:val="none" w:sz="0" w:space="0" w:color="auto"/>
        <w:right w:val="none" w:sz="0" w:space="0" w:color="auto"/>
      </w:divBdr>
    </w:div>
    <w:div w:id="1515000060">
      <w:bodyDiv w:val="1"/>
      <w:marLeft w:val="0"/>
      <w:marRight w:val="0"/>
      <w:marTop w:val="0"/>
      <w:marBottom w:val="0"/>
      <w:divBdr>
        <w:top w:val="none" w:sz="0" w:space="0" w:color="auto"/>
        <w:left w:val="none" w:sz="0" w:space="0" w:color="auto"/>
        <w:bottom w:val="none" w:sz="0" w:space="0" w:color="auto"/>
        <w:right w:val="none" w:sz="0" w:space="0" w:color="auto"/>
      </w:divBdr>
    </w:div>
    <w:div w:id="1515028146">
      <w:bodyDiv w:val="1"/>
      <w:marLeft w:val="0"/>
      <w:marRight w:val="0"/>
      <w:marTop w:val="0"/>
      <w:marBottom w:val="0"/>
      <w:divBdr>
        <w:top w:val="none" w:sz="0" w:space="0" w:color="auto"/>
        <w:left w:val="none" w:sz="0" w:space="0" w:color="auto"/>
        <w:bottom w:val="none" w:sz="0" w:space="0" w:color="auto"/>
        <w:right w:val="none" w:sz="0" w:space="0" w:color="auto"/>
      </w:divBdr>
    </w:div>
    <w:div w:id="1515070011">
      <w:bodyDiv w:val="1"/>
      <w:marLeft w:val="0"/>
      <w:marRight w:val="0"/>
      <w:marTop w:val="0"/>
      <w:marBottom w:val="0"/>
      <w:divBdr>
        <w:top w:val="none" w:sz="0" w:space="0" w:color="auto"/>
        <w:left w:val="none" w:sz="0" w:space="0" w:color="auto"/>
        <w:bottom w:val="none" w:sz="0" w:space="0" w:color="auto"/>
        <w:right w:val="none" w:sz="0" w:space="0" w:color="auto"/>
      </w:divBdr>
    </w:div>
    <w:div w:id="1515070434">
      <w:bodyDiv w:val="1"/>
      <w:marLeft w:val="0"/>
      <w:marRight w:val="0"/>
      <w:marTop w:val="0"/>
      <w:marBottom w:val="0"/>
      <w:divBdr>
        <w:top w:val="none" w:sz="0" w:space="0" w:color="auto"/>
        <w:left w:val="none" w:sz="0" w:space="0" w:color="auto"/>
        <w:bottom w:val="none" w:sz="0" w:space="0" w:color="auto"/>
        <w:right w:val="none" w:sz="0" w:space="0" w:color="auto"/>
      </w:divBdr>
    </w:div>
    <w:div w:id="1515193391">
      <w:bodyDiv w:val="1"/>
      <w:marLeft w:val="0"/>
      <w:marRight w:val="0"/>
      <w:marTop w:val="0"/>
      <w:marBottom w:val="0"/>
      <w:divBdr>
        <w:top w:val="none" w:sz="0" w:space="0" w:color="auto"/>
        <w:left w:val="none" w:sz="0" w:space="0" w:color="auto"/>
        <w:bottom w:val="none" w:sz="0" w:space="0" w:color="auto"/>
        <w:right w:val="none" w:sz="0" w:space="0" w:color="auto"/>
      </w:divBdr>
    </w:div>
    <w:div w:id="1515418830">
      <w:bodyDiv w:val="1"/>
      <w:marLeft w:val="0"/>
      <w:marRight w:val="0"/>
      <w:marTop w:val="0"/>
      <w:marBottom w:val="0"/>
      <w:divBdr>
        <w:top w:val="none" w:sz="0" w:space="0" w:color="auto"/>
        <w:left w:val="none" w:sz="0" w:space="0" w:color="auto"/>
        <w:bottom w:val="none" w:sz="0" w:space="0" w:color="auto"/>
        <w:right w:val="none" w:sz="0" w:space="0" w:color="auto"/>
      </w:divBdr>
    </w:div>
    <w:div w:id="1515463594">
      <w:bodyDiv w:val="1"/>
      <w:marLeft w:val="0"/>
      <w:marRight w:val="0"/>
      <w:marTop w:val="0"/>
      <w:marBottom w:val="0"/>
      <w:divBdr>
        <w:top w:val="none" w:sz="0" w:space="0" w:color="auto"/>
        <w:left w:val="none" w:sz="0" w:space="0" w:color="auto"/>
        <w:bottom w:val="none" w:sz="0" w:space="0" w:color="auto"/>
        <w:right w:val="none" w:sz="0" w:space="0" w:color="auto"/>
      </w:divBdr>
    </w:div>
    <w:div w:id="1515533976">
      <w:bodyDiv w:val="1"/>
      <w:marLeft w:val="0"/>
      <w:marRight w:val="0"/>
      <w:marTop w:val="0"/>
      <w:marBottom w:val="0"/>
      <w:divBdr>
        <w:top w:val="none" w:sz="0" w:space="0" w:color="auto"/>
        <w:left w:val="none" w:sz="0" w:space="0" w:color="auto"/>
        <w:bottom w:val="none" w:sz="0" w:space="0" w:color="auto"/>
        <w:right w:val="none" w:sz="0" w:space="0" w:color="auto"/>
      </w:divBdr>
    </w:div>
    <w:div w:id="1515849545">
      <w:bodyDiv w:val="1"/>
      <w:marLeft w:val="0"/>
      <w:marRight w:val="0"/>
      <w:marTop w:val="0"/>
      <w:marBottom w:val="0"/>
      <w:divBdr>
        <w:top w:val="none" w:sz="0" w:space="0" w:color="auto"/>
        <w:left w:val="none" w:sz="0" w:space="0" w:color="auto"/>
        <w:bottom w:val="none" w:sz="0" w:space="0" w:color="auto"/>
        <w:right w:val="none" w:sz="0" w:space="0" w:color="auto"/>
      </w:divBdr>
    </w:div>
    <w:div w:id="1515874947">
      <w:bodyDiv w:val="1"/>
      <w:marLeft w:val="0"/>
      <w:marRight w:val="0"/>
      <w:marTop w:val="0"/>
      <w:marBottom w:val="0"/>
      <w:divBdr>
        <w:top w:val="none" w:sz="0" w:space="0" w:color="auto"/>
        <w:left w:val="none" w:sz="0" w:space="0" w:color="auto"/>
        <w:bottom w:val="none" w:sz="0" w:space="0" w:color="auto"/>
        <w:right w:val="none" w:sz="0" w:space="0" w:color="auto"/>
      </w:divBdr>
    </w:div>
    <w:div w:id="1515921866">
      <w:bodyDiv w:val="1"/>
      <w:marLeft w:val="0"/>
      <w:marRight w:val="0"/>
      <w:marTop w:val="0"/>
      <w:marBottom w:val="0"/>
      <w:divBdr>
        <w:top w:val="none" w:sz="0" w:space="0" w:color="auto"/>
        <w:left w:val="none" w:sz="0" w:space="0" w:color="auto"/>
        <w:bottom w:val="none" w:sz="0" w:space="0" w:color="auto"/>
        <w:right w:val="none" w:sz="0" w:space="0" w:color="auto"/>
      </w:divBdr>
    </w:div>
    <w:div w:id="1515992222">
      <w:bodyDiv w:val="1"/>
      <w:marLeft w:val="0"/>
      <w:marRight w:val="0"/>
      <w:marTop w:val="0"/>
      <w:marBottom w:val="0"/>
      <w:divBdr>
        <w:top w:val="none" w:sz="0" w:space="0" w:color="auto"/>
        <w:left w:val="none" w:sz="0" w:space="0" w:color="auto"/>
        <w:bottom w:val="none" w:sz="0" w:space="0" w:color="auto"/>
        <w:right w:val="none" w:sz="0" w:space="0" w:color="auto"/>
      </w:divBdr>
    </w:div>
    <w:div w:id="1515993839">
      <w:bodyDiv w:val="1"/>
      <w:marLeft w:val="0"/>
      <w:marRight w:val="0"/>
      <w:marTop w:val="0"/>
      <w:marBottom w:val="0"/>
      <w:divBdr>
        <w:top w:val="none" w:sz="0" w:space="0" w:color="auto"/>
        <w:left w:val="none" w:sz="0" w:space="0" w:color="auto"/>
        <w:bottom w:val="none" w:sz="0" w:space="0" w:color="auto"/>
        <w:right w:val="none" w:sz="0" w:space="0" w:color="auto"/>
      </w:divBdr>
    </w:div>
    <w:div w:id="1515996585">
      <w:bodyDiv w:val="1"/>
      <w:marLeft w:val="0"/>
      <w:marRight w:val="0"/>
      <w:marTop w:val="0"/>
      <w:marBottom w:val="0"/>
      <w:divBdr>
        <w:top w:val="none" w:sz="0" w:space="0" w:color="auto"/>
        <w:left w:val="none" w:sz="0" w:space="0" w:color="auto"/>
        <w:bottom w:val="none" w:sz="0" w:space="0" w:color="auto"/>
        <w:right w:val="none" w:sz="0" w:space="0" w:color="auto"/>
      </w:divBdr>
    </w:div>
    <w:div w:id="1516000883">
      <w:bodyDiv w:val="1"/>
      <w:marLeft w:val="0"/>
      <w:marRight w:val="0"/>
      <w:marTop w:val="0"/>
      <w:marBottom w:val="0"/>
      <w:divBdr>
        <w:top w:val="none" w:sz="0" w:space="0" w:color="auto"/>
        <w:left w:val="none" w:sz="0" w:space="0" w:color="auto"/>
        <w:bottom w:val="none" w:sz="0" w:space="0" w:color="auto"/>
        <w:right w:val="none" w:sz="0" w:space="0" w:color="auto"/>
      </w:divBdr>
    </w:div>
    <w:div w:id="1516067837">
      <w:bodyDiv w:val="1"/>
      <w:marLeft w:val="0"/>
      <w:marRight w:val="0"/>
      <w:marTop w:val="0"/>
      <w:marBottom w:val="0"/>
      <w:divBdr>
        <w:top w:val="none" w:sz="0" w:space="0" w:color="auto"/>
        <w:left w:val="none" w:sz="0" w:space="0" w:color="auto"/>
        <w:bottom w:val="none" w:sz="0" w:space="0" w:color="auto"/>
        <w:right w:val="none" w:sz="0" w:space="0" w:color="auto"/>
      </w:divBdr>
    </w:div>
    <w:div w:id="1516073194">
      <w:bodyDiv w:val="1"/>
      <w:marLeft w:val="0"/>
      <w:marRight w:val="0"/>
      <w:marTop w:val="0"/>
      <w:marBottom w:val="0"/>
      <w:divBdr>
        <w:top w:val="none" w:sz="0" w:space="0" w:color="auto"/>
        <w:left w:val="none" w:sz="0" w:space="0" w:color="auto"/>
        <w:bottom w:val="none" w:sz="0" w:space="0" w:color="auto"/>
        <w:right w:val="none" w:sz="0" w:space="0" w:color="auto"/>
      </w:divBdr>
    </w:div>
    <w:div w:id="1516112085">
      <w:bodyDiv w:val="1"/>
      <w:marLeft w:val="0"/>
      <w:marRight w:val="0"/>
      <w:marTop w:val="0"/>
      <w:marBottom w:val="0"/>
      <w:divBdr>
        <w:top w:val="none" w:sz="0" w:space="0" w:color="auto"/>
        <w:left w:val="none" w:sz="0" w:space="0" w:color="auto"/>
        <w:bottom w:val="none" w:sz="0" w:space="0" w:color="auto"/>
        <w:right w:val="none" w:sz="0" w:space="0" w:color="auto"/>
      </w:divBdr>
    </w:div>
    <w:div w:id="1516269348">
      <w:bodyDiv w:val="1"/>
      <w:marLeft w:val="0"/>
      <w:marRight w:val="0"/>
      <w:marTop w:val="0"/>
      <w:marBottom w:val="0"/>
      <w:divBdr>
        <w:top w:val="none" w:sz="0" w:space="0" w:color="auto"/>
        <w:left w:val="none" w:sz="0" w:space="0" w:color="auto"/>
        <w:bottom w:val="none" w:sz="0" w:space="0" w:color="auto"/>
        <w:right w:val="none" w:sz="0" w:space="0" w:color="auto"/>
      </w:divBdr>
    </w:div>
    <w:div w:id="1516385398">
      <w:bodyDiv w:val="1"/>
      <w:marLeft w:val="0"/>
      <w:marRight w:val="0"/>
      <w:marTop w:val="0"/>
      <w:marBottom w:val="0"/>
      <w:divBdr>
        <w:top w:val="none" w:sz="0" w:space="0" w:color="auto"/>
        <w:left w:val="none" w:sz="0" w:space="0" w:color="auto"/>
        <w:bottom w:val="none" w:sz="0" w:space="0" w:color="auto"/>
        <w:right w:val="none" w:sz="0" w:space="0" w:color="auto"/>
      </w:divBdr>
    </w:div>
    <w:div w:id="1516455596">
      <w:bodyDiv w:val="1"/>
      <w:marLeft w:val="0"/>
      <w:marRight w:val="0"/>
      <w:marTop w:val="0"/>
      <w:marBottom w:val="0"/>
      <w:divBdr>
        <w:top w:val="none" w:sz="0" w:space="0" w:color="auto"/>
        <w:left w:val="none" w:sz="0" w:space="0" w:color="auto"/>
        <w:bottom w:val="none" w:sz="0" w:space="0" w:color="auto"/>
        <w:right w:val="none" w:sz="0" w:space="0" w:color="auto"/>
      </w:divBdr>
    </w:div>
    <w:div w:id="1516532708">
      <w:bodyDiv w:val="1"/>
      <w:marLeft w:val="0"/>
      <w:marRight w:val="0"/>
      <w:marTop w:val="0"/>
      <w:marBottom w:val="0"/>
      <w:divBdr>
        <w:top w:val="none" w:sz="0" w:space="0" w:color="auto"/>
        <w:left w:val="none" w:sz="0" w:space="0" w:color="auto"/>
        <w:bottom w:val="none" w:sz="0" w:space="0" w:color="auto"/>
        <w:right w:val="none" w:sz="0" w:space="0" w:color="auto"/>
      </w:divBdr>
    </w:div>
    <w:div w:id="1516648563">
      <w:bodyDiv w:val="1"/>
      <w:marLeft w:val="0"/>
      <w:marRight w:val="0"/>
      <w:marTop w:val="0"/>
      <w:marBottom w:val="0"/>
      <w:divBdr>
        <w:top w:val="none" w:sz="0" w:space="0" w:color="auto"/>
        <w:left w:val="none" w:sz="0" w:space="0" w:color="auto"/>
        <w:bottom w:val="none" w:sz="0" w:space="0" w:color="auto"/>
        <w:right w:val="none" w:sz="0" w:space="0" w:color="auto"/>
      </w:divBdr>
    </w:div>
    <w:div w:id="1516649122">
      <w:bodyDiv w:val="1"/>
      <w:marLeft w:val="0"/>
      <w:marRight w:val="0"/>
      <w:marTop w:val="0"/>
      <w:marBottom w:val="0"/>
      <w:divBdr>
        <w:top w:val="none" w:sz="0" w:space="0" w:color="auto"/>
        <w:left w:val="none" w:sz="0" w:space="0" w:color="auto"/>
        <w:bottom w:val="none" w:sz="0" w:space="0" w:color="auto"/>
        <w:right w:val="none" w:sz="0" w:space="0" w:color="auto"/>
      </w:divBdr>
    </w:div>
    <w:div w:id="1516723676">
      <w:bodyDiv w:val="1"/>
      <w:marLeft w:val="0"/>
      <w:marRight w:val="0"/>
      <w:marTop w:val="0"/>
      <w:marBottom w:val="0"/>
      <w:divBdr>
        <w:top w:val="none" w:sz="0" w:space="0" w:color="auto"/>
        <w:left w:val="none" w:sz="0" w:space="0" w:color="auto"/>
        <w:bottom w:val="none" w:sz="0" w:space="0" w:color="auto"/>
        <w:right w:val="none" w:sz="0" w:space="0" w:color="auto"/>
      </w:divBdr>
    </w:div>
    <w:div w:id="1516725149">
      <w:bodyDiv w:val="1"/>
      <w:marLeft w:val="0"/>
      <w:marRight w:val="0"/>
      <w:marTop w:val="0"/>
      <w:marBottom w:val="0"/>
      <w:divBdr>
        <w:top w:val="none" w:sz="0" w:space="0" w:color="auto"/>
        <w:left w:val="none" w:sz="0" w:space="0" w:color="auto"/>
        <w:bottom w:val="none" w:sz="0" w:space="0" w:color="auto"/>
        <w:right w:val="none" w:sz="0" w:space="0" w:color="auto"/>
      </w:divBdr>
    </w:div>
    <w:div w:id="1516726953">
      <w:bodyDiv w:val="1"/>
      <w:marLeft w:val="0"/>
      <w:marRight w:val="0"/>
      <w:marTop w:val="0"/>
      <w:marBottom w:val="0"/>
      <w:divBdr>
        <w:top w:val="none" w:sz="0" w:space="0" w:color="auto"/>
        <w:left w:val="none" w:sz="0" w:space="0" w:color="auto"/>
        <w:bottom w:val="none" w:sz="0" w:space="0" w:color="auto"/>
        <w:right w:val="none" w:sz="0" w:space="0" w:color="auto"/>
      </w:divBdr>
    </w:div>
    <w:div w:id="1516847261">
      <w:bodyDiv w:val="1"/>
      <w:marLeft w:val="0"/>
      <w:marRight w:val="0"/>
      <w:marTop w:val="0"/>
      <w:marBottom w:val="0"/>
      <w:divBdr>
        <w:top w:val="none" w:sz="0" w:space="0" w:color="auto"/>
        <w:left w:val="none" w:sz="0" w:space="0" w:color="auto"/>
        <w:bottom w:val="none" w:sz="0" w:space="0" w:color="auto"/>
        <w:right w:val="none" w:sz="0" w:space="0" w:color="auto"/>
      </w:divBdr>
    </w:div>
    <w:div w:id="1516915479">
      <w:bodyDiv w:val="1"/>
      <w:marLeft w:val="0"/>
      <w:marRight w:val="0"/>
      <w:marTop w:val="0"/>
      <w:marBottom w:val="0"/>
      <w:divBdr>
        <w:top w:val="none" w:sz="0" w:space="0" w:color="auto"/>
        <w:left w:val="none" w:sz="0" w:space="0" w:color="auto"/>
        <w:bottom w:val="none" w:sz="0" w:space="0" w:color="auto"/>
        <w:right w:val="none" w:sz="0" w:space="0" w:color="auto"/>
      </w:divBdr>
    </w:div>
    <w:div w:id="1516916217">
      <w:bodyDiv w:val="1"/>
      <w:marLeft w:val="0"/>
      <w:marRight w:val="0"/>
      <w:marTop w:val="0"/>
      <w:marBottom w:val="0"/>
      <w:divBdr>
        <w:top w:val="none" w:sz="0" w:space="0" w:color="auto"/>
        <w:left w:val="none" w:sz="0" w:space="0" w:color="auto"/>
        <w:bottom w:val="none" w:sz="0" w:space="0" w:color="auto"/>
        <w:right w:val="none" w:sz="0" w:space="0" w:color="auto"/>
      </w:divBdr>
    </w:div>
    <w:div w:id="1516920486">
      <w:bodyDiv w:val="1"/>
      <w:marLeft w:val="0"/>
      <w:marRight w:val="0"/>
      <w:marTop w:val="0"/>
      <w:marBottom w:val="0"/>
      <w:divBdr>
        <w:top w:val="none" w:sz="0" w:space="0" w:color="auto"/>
        <w:left w:val="none" w:sz="0" w:space="0" w:color="auto"/>
        <w:bottom w:val="none" w:sz="0" w:space="0" w:color="auto"/>
        <w:right w:val="none" w:sz="0" w:space="0" w:color="auto"/>
      </w:divBdr>
    </w:div>
    <w:div w:id="1516993562">
      <w:bodyDiv w:val="1"/>
      <w:marLeft w:val="0"/>
      <w:marRight w:val="0"/>
      <w:marTop w:val="0"/>
      <w:marBottom w:val="0"/>
      <w:divBdr>
        <w:top w:val="none" w:sz="0" w:space="0" w:color="auto"/>
        <w:left w:val="none" w:sz="0" w:space="0" w:color="auto"/>
        <w:bottom w:val="none" w:sz="0" w:space="0" w:color="auto"/>
        <w:right w:val="none" w:sz="0" w:space="0" w:color="auto"/>
      </w:divBdr>
    </w:div>
    <w:div w:id="1517039485">
      <w:bodyDiv w:val="1"/>
      <w:marLeft w:val="0"/>
      <w:marRight w:val="0"/>
      <w:marTop w:val="0"/>
      <w:marBottom w:val="0"/>
      <w:divBdr>
        <w:top w:val="none" w:sz="0" w:space="0" w:color="auto"/>
        <w:left w:val="none" w:sz="0" w:space="0" w:color="auto"/>
        <w:bottom w:val="none" w:sz="0" w:space="0" w:color="auto"/>
        <w:right w:val="none" w:sz="0" w:space="0" w:color="auto"/>
      </w:divBdr>
    </w:div>
    <w:div w:id="1517039942">
      <w:bodyDiv w:val="1"/>
      <w:marLeft w:val="0"/>
      <w:marRight w:val="0"/>
      <w:marTop w:val="0"/>
      <w:marBottom w:val="0"/>
      <w:divBdr>
        <w:top w:val="none" w:sz="0" w:space="0" w:color="auto"/>
        <w:left w:val="none" w:sz="0" w:space="0" w:color="auto"/>
        <w:bottom w:val="none" w:sz="0" w:space="0" w:color="auto"/>
        <w:right w:val="none" w:sz="0" w:space="0" w:color="auto"/>
      </w:divBdr>
    </w:div>
    <w:div w:id="1517111114">
      <w:bodyDiv w:val="1"/>
      <w:marLeft w:val="0"/>
      <w:marRight w:val="0"/>
      <w:marTop w:val="0"/>
      <w:marBottom w:val="0"/>
      <w:divBdr>
        <w:top w:val="none" w:sz="0" w:space="0" w:color="auto"/>
        <w:left w:val="none" w:sz="0" w:space="0" w:color="auto"/>
        <w:bottom w:val="none" w:sz="0" w:space="0" w:color="auto"/>
        <w:right w:val="none" w:sz="0" w:space="0" w:color="auto"/>
      </w:divBdr>
    </w:div>
    <w:div w:id="1517191016">
      <w:bodyDiv w:val="1"/>
      <w:marLeft w:val="0"/>
      <w:marRight w:val="0"/>
      <w:marTop w:val="0"/>
      <w:marBottom w:val="0"/>
      <w:divBdr>
        <w:top w:val="none" w:sz="0" w:space="0" w:color="auto"/>
        <w:left w:val="none" w:sz="0" w:space="0" w:color="auto"/>
        <w:bottom w:val="none" w:sz="0" w:space="0" w:color="auto"/>
        <w:right w:val="none" w:sz="0" w:space="0" w:color="auto"/>
      </w:divBdr>
    </w:div>
    <w:div w:id="1517311345">
      <w:bodyDiv w:val="1"/>
      <w:marLeft w:val="0"/>
      <w:marRight w:val="0"/>
      <w:marTop w:val="0"/>
      <w:marBottom w:val="0"/>
      <w:divBdr>
        <w:top w:val="none" w:sz="0" w:space="0" w:color="auto"/>
        <w:left w:val="none" w:sz="0" w:space="0" w:color="auto"/>
        <w:bottom w:val="none" w:sz="0" w:space="0" w:color="auto"/>
        <w:right w:val="none" w:sz="0" w:space="0" w:color="auto"/>
      </w:divBdr>
    </w:div>
    <w:div w:id="1517381859">
      <w:bodyDiv w:val="1"/>
      <w:marLeft w:val="0"/>
      <w:marRight w:val="0"/>
      <w:marTop w:val="0"/>
      <w:marBottom w:val="0"/>
      <w:divBdr>
        <w:top w:val="none" w:sz="0" w:space="0" w:color="auto"/>
        <w:left w:val="none" w:sz="0" w:space="0" w:color="auto"/>
        <w:bottom w:val="none" w:sz="0" w:space="0" w:color="auto"/>
        <w:right w:val="none" w:sz="0" w:space="0" w:color="auto"/>
      </w:divBdr>
    </w:div>
    <w:div w:id="1517495940">
      <w:bodyDiv w:val="1"/>
      <w:marLeft w:val="0"/>
      <w:marRight w:val="0"/>
      <w:marTop w:val="0"/>
      <w:marBottom w:val="0"/>
      <w:divBdr>
        <w:top w:val="none" w:sz="0" w:space="0" w:color="auto"/>
        <w:left w:val="none" w:sz="0" w:space="0" w:color="auto"/>
        <w:bottom w:val="none" w:sz="0" w:space="0" w:color="auto"/>
        <w:right w:val="none" w:sz="0" w:space="0" w:color="auto"/>
      </w:divBdr>
    </w:div>
    <w:div w:id="1517502551">
      <w:bodyDiv w:val="1"/>
      <w:marLeft w:val="0"/>
      <w:marRight w:val="0"/>
      <w:marTop w:val="0"/>
      <w:marBottom w:val="0"/>
      <w:divBdr>
        <w:top w:val="none" w:sz="0" w:space="0" w:color="auto"/>
        <w:left w:val="none" w:sz="0" w:space="0" w:color="auto"/>
        <w:bottom w:val="none" w:sz="0" w:space="0" w:color="auto"/>
        <w:right w:val="none" w:sz="0" w:space="0" w:color="auto"/>
      </w:divBdr>
    </w:div>
    <w:div w:id="1517571450">
      <w:bodyDiv w:val="1"/>
      <w:marLeft w:val="0"/>
      <w:marRight w:val="0"/>
      <w:marTop w:val="0"/>
      <w:marBottom w:val="0"/>
      <w:divBdr>
        <w:top w:val="none" w:sz="0" w:space="0" w:color="auto"/>
        <w:left w:val="none" w:sz="0" w:space="0" w:color="auto"/>
        <w:bottom w:val="none" w:sz="0" w:space="0" w:color="auto"/>
        <w:right w:val="none" w:sz="0" w:space="0" w:color="auto"/>
      </w:divBdr>
    </w:div>
    <w:div w:id="1517689340">
      <w:bodyDiv w:val="1"/>
      <w:marLeft w:val="0"/>
      <w:marRight w:val="0"/>
      <w:marTop w:val="0"/>
      <w:marBottom w:val="0"/>
      <w:divBdr>
        <w:top w:val="none" w:sz="0" w:space="0" w:color="auto"/>
        <w:left w:val="none" w:sz="0" w:space="0" w:color="auto"/>
        <w:bottom w:val="none" w:sz="0" w:space="0" w:color="auto"/>
        <w:right w:val="none" w:sz="0" w:space="0" w:color="auto"/>
      </w:divBdr>
    </w:div>
    <w:div w:id="1517697574">
      <w:bodyDiv w:val="1"/>
      <w:marLeft w:val="0"/>
      <w:marRight w:val="0"/>
      <w:marTop w:val="0"/>
      <w:marBottom w:val="0"/>
      <w:divBdr>
        <w:top w:val="none" w:sz="0" w:space="0" w:color="auto"/>
        <w:left w:val="none" w:sz="0" w:space="0" w:color="auto"/>
        <w:bottom w:val="none" w:sz="0" w:space="0" w:color="auto"/>
        <w:right w:val="none" w:sz="0" w:space="0" w:color="auto"/>
      </w:divBdr>
    </w:div>
    <w:div w:id="1517697597">
      <w:bodyDiv w:val="1"/>
      <w:marLeft w:val="0"/>
      <w:marRight w:val="0"/>
      <w:marTop w:val="0"/>
      <w:marBottom w:val="0"/>
      <w:divBdr>
        <w:top w:val="none" w:sz="0" w:space="0" w:color="auto"/>
        <w:left w:val="none" w:sz="0" w:space="0" w:color="auto"/>
        <w:bottom w:val="none" w:sz="0" w:space="0" w:color="auto"/>
        <w:right w:val="none" w:sz="0" w:space="0" w:color="auto"/>
      </w:divBdr>
    </w:div>
    <w:div w:id="1517697840">
      <w:bodyDiv w:val="1"/>
      <w:marLeft w:val="0"/>
      <w:marRight w:val="0"/>
      <w:marTop w:val="0"/>
      <w:marBottom w:val="0"/>
      <w:divBdr>
        <w:top w:val="none" w:sz="0" w:space="0" w:color="auto"/>
        <w:left w:val="none" w:sz="0" w:space="0" w:color="auto"/>
        <w:bottom w:val="none" w:sz="0" w:space="0" w:color="auto"/>
        <w:right w:val="none" w:sz="0" w:space="0" w:color="auto"/>
      </w:divBdr>
    </w:div>
    <w:div w:id="1517697926">
      <w:bodyDiv w:val="1"/>
      <w:marLeft w:val="0"/>
      <w:marRight w:val="0"/>
      <w:marTop w:val="0"/>
      <w:marBottom w:val="0"/>
      <w:divBdr>
        <w:top w:val="none" w:sz="0" w:space="0" w:color="auto"/>
        <w:left w:val="none" w:sz="0" w:space="0" w:color="auto"/>
        <w:bottom w:val="none" w:sz="0" w:space="0" w:color="auto"/>
        <w:right w:val="none" w:sz="0" w:space="0" w:color="auto"/>
      </w:divBdr>
    </w:div>
    <w:div w:id="1517967052">
      <w:bodyDiv w:val="1"/>
      <w:marLeft w:val="0"/>
      <w:marRight w:val="0"/>
      <w:marTop w:val="0"/>
      <w:marBottom w:val="0"/>
      <w:divBdr>
        <w:top w:val="none" w:sz="0" w:space="0" w:color="auto"/>
        <w:left w:val="none" w:sz="0" w:space="0" w:color="auto"/>
        <w:bottom w:val="none" w:sz="0" w:space="0" w:color="auto"/>
        <w:right w:val="none" w:sz="0" w:space="0" w:color="auto"/>
      </w:divBdr>
    </w:div>
    <w:div w:id="1518081870">
      <w:bodyDiv w:val="1"/>
      <w:marLeft w:val="0"/>
      <w:marRight w:val="0"/>
      <w:marTop w:val="0"/>
      <w:marBottom w:val="0"/>
      <w:divBdr>
        <w:top w:val="none" w:sz="0" w:space="0" w:color="auto"/>
        <w:left w:val="none" w:sz="0" w:space="0" w:color="auto"/>
        <w:bottom w:val="none" w:sz="0" w:space="0" w:color="auto"/>
        <w:right w:val="none" w:sz="0" w:space="0" w:color="auto"/>
      </w:divBdr>
    </w:div>
    <w:div w:id="1518084881">
      <w:bodyDiv w:val="1"/>
      <w:marLeft w:val="0"/>
      <w:marRight w:val="0"/>
      <w:marTop w:val="0"/>
      <w:marBottom w:val="0"/>
      <w:divBdr>
        <w:top w:val="none" w:sz="0" w:space="0" w:color="auto"/>
        <w:left w:val="none" w:sz="0" w:space="0" w:color="auto"/>
        <w:bottom w:val="none" w:sz="0" w:space="0" w:color="auto"/>
        <w:right w:val="none" w:sz="0" w:space="0" w:color="auto"/>
      </w:divBdr>
    </w:div>
    <w:div w:id="1518232018">
      <w:bodyDiv w:val="1"/>
      <w:marLeft w:val="0"/>
      <w:marRight w:val="0"/>
      <w:marTop w:val="0"/>
      <w:marBottom w:val="0"/>
      <w:divBdr>
        <w:top w:val="none" w:sz="0" w:space="0" w:color="auto"/>
        <w:left w:val="none" w:sz="0" w:space="0" w:color="auto"/>
        <w:bottom w:val="none" w:sz="0" w:space="0" w:color="auto"/>
        <w:right w:val="none" w:sz="0" w:space="0" w:color="auto"/>
      </w:divBdr>
    </w:div>
    <w:div w:id="1518349132">
      <w:bodyDiv w:val="1"/>
      <w:marLeft w:val="0"/>
      <w:marRight w:val="0"/>
      <w:marTop w:val="0"/>
      <w:marBottom w:val="0"/>
      <w:divBdr>
        <w:top w:val="none" w:sz="0" w:space="0" w:color="auto"/>
        <w:left w:val="none" w:sz="0" w:space="0" w:color="auto"/>
        <w:bottom w:val="none" w:sz="0" w:space="0" w:color="auto"/>
        <w:right w:val="none" w:sz="0" w:space="0" w:color="auto"/>
      </w:divBdr>
    </w:div>
    <w:div w:id="1518349766">
      <w:bodyDiv w:val="1"/>
      <w:marLeft w:val="0"/>
      <w:marRight w:val="0"/>
      <w:marTop w:val="0"/>
      <w:marBottom w:val="0"/>
      <w:divBdr>
        <w:top w:val="none" w:sz="0" w:space="0" w:color="auto"/>
        <w:left w:val="none" w:sz="0" w:space="0" w:color="auto"/>
        <w:bottom w:val="none" w:sz="0" w:space="0" w:color="auto"/>
        <w:right w:val="none" w:sz="0" w:space="0" w:color="auto"/>
      </w:divBdr>
    </w:div>
    <w:div w:id="1518469456">
      <w:bodyDiv w:val="1"/>
      <w:marLeft w:val="0"/>
      <w:marRight w:val="0"/>
      <w:marTop w:val="0"/>
      <w:marBottom w:val="0"/>
      <w:divBdr>
        <w:top w:val="none" w:sz="0" w:space="0" w:color="auto"/>
        <w:left w:val="none" w:sz="0" w:space="0" w:color="auto"/>
        <w:bottom w:val="none" w:sz="0" w:space="0" w:color="auto"/>
        <w:right w:val="none" w:sz="0" w:space="0" w:color="auto"/>
      </w:divBdr>
    </w:div>
    <w:div w:id="1518546867">
      <w:bodyDiv w:val="1"/>
      <w:marLeft w:val="0"/>
      <w:marRight w:val="0"/>
      <w:marTop w:val="0"/>
      <w:marBottom w:val="0"/>
      <w:divBdr>
        <w:top w:val="none" w:sz="0" w:space="0" w:color="auto"/>
        <w:left w:val="none" w:sz="0" w:space="0" w:color="auto"/>
        <w:bottom w:val="none" w:sz="0" w:space="0" w:color="auto"/>
        <w:right w:val="none" w:sz="0" w:space="0" w:color="auto"/>
      </w:divBdr>
    </w:div>
    <w:div w:id="1518622231">
      <w:bodyDiv w:val="1"/>
      <w:marLeft w:val="0"/>
      <w:marRight w:val="0"/>
      <w:marTop w:val="0"/>
      <w:marBottom w:val="0"/>
      <w:divBdr>
        <w:top w:val="none" w:sz="0" w:space="0" w:color="auto"/>
        <w:left w:val="none" w:sz="0" w:space="0" w:color="auto"/>
        <w:bottom w:val="none" w:sz="0" w:space="0" w:color="auto"/>
        <w:right w:val="none" w:sz="0" w:space="0" w:color="auto"/>
      </w:divBdr>
    </w:div>
    <w:div w:id="1518622240">
      <w:bodyDiv w:val="1"/>
      <w:marLeft w:val="0"/>
      <w:marRight w:val="0"/>
      <w:marTop w:val="0"/>
      <w:marBottom w:val="0"/>
      <w:divBdr>
        <w:top w:val="none" w:sz="0" w:space="0" w:color="auto"/>
        <w:left w:val="none" w:sz="0" w:space="0" w:color="auto"/>
        <w:bottom w:val="none" w:sz="0" w:space="0" w:color="auto"/>
        <w:right w:val="none" w:sz="0" w:space="0" w:color="auto"/>
      </w:divBdr>
    </w:div>
    <w:div w:id="1518688633">
      <w:bodyDiv w:val="1"/>
      <w:marLeft w:val="0"/>
      <w:marRight w:val="0"/>
      <w:marTop w:val="0"/>
      <w:marBottom w:val="0"/>
      <w:divBdr>
        <w:top w:val="none" w:sz="0" w:space="0" w:color="auto"/>
        <w:left w:val="none" w:sz="0" w:space="0" w:color="auto"/>
        <w:bottom w:val="none" w:sz="0" w:space="0" w:color="auto"/>
        <w:right w:val="none" w:sz="0" w:space="0" w:color="auto"/>
      </w:divBdr>
    </w:div>
    <w:div w:id="1518690052">
      <w:bodyDiv w:val="1"/>
      <w:marLeft w:val="0"/>
      <w:marRight w:val="0"/>
      <w:marTop w:val="0"/>
      <w:marBottom w:val="0"/>
      <w:divBdr>
        <w:top w:val="none" w:sz="0" w:space="0" w:color="auto"/>
        <w:left w:val="none" w:sz="0" w:space="0" w:color="auto"/>
        <w:bottom w:val="none" w:sz="0" w:space="0" w:color="auto"/>
        <w:right w:val="none" w:sz="0" w:space="0" w:color="auto"/>
      </w:divBdr>
    </w:div>
    <w:div w:id="1518806386">
      <w:bodyDiv w:val="1"/>
      <w:marLeft w:val="0"/>
      <w:marRight w:val="0"/>
      <w:marTop w:val="0"/>
      <w:marBottom w:val="0"/>
      <w:divBdr>
        <w:top w:val="none" w:sz="0" w:space="0" w:color="auto"/>
        <w:left w:val="none" w:sz="0" w:space="0" w:color="auto"/>
        <w:bottom w:val="none" w:sz="0" w:space="0" w:color="auto"/>
        <w:right w:val="none" w:sz="0" w:space="0" w:color="auto"/>
      </w:divBdr>
    </w:div>
    <w:div w:id="1518932767">
      <w:bodyDiv w:val="1"/>
      <w:marLeft w:val="0"/>
      <w:marRight w:val="0"/>
      <w:marTop w:val="0"/>
      <w:marBottom w:val="0"/>
      <w:divBdr>
        <w:top w:val="none" w:sz="0" w:space="0" w:color="auto"/>
        <w:left w:val="none" w:sz="0" w:space="0" w:color="auto"/>
        <w:bottom w:val="none" w:sz="0" w:space="0" w:color="auto"/>
        <w:right w:val="none" w:sz="0" w:space="0" w:color="auto"/>
      </w:divBdr>
    </w:div>
    <w:div w:id="1518957444">
      <w:bodyDiv w:val="1"/>
      <w:marLeft w:val="0"/>
      <w:marRight w:val="0"/>
      <w:marTop w:val="0"/>
      <w:marBottom w:val="0"/>
      <w:divBdr>
        <w:top w:val="none" w:sz="0" w:space="0" w:color="auto"/>
        <w:left w:val="none" w:sz="0" w:space="0" w:color="auto"/>
        <w:bottom w:val="none" w:sz="0" w:space="0" w:color="auto"/>
        <w:right w:val="none" w:sz="0" w:space="0" w:color="auto"/>
      </w:divBdr>
    </w:div>
    <w:div w:id="1519006218">
      <w:bodyDiv w:val="1"/>
      <w:marLeft w:val="0"/>
      <w:marRight w:val="0"/>
      <w:marTop w:val="0"/>
      <w:marBottom w:val="0"/>
      <w:divBdr>
        <w:top w:val="none" w:sz="0" w:space="0" w:color="auto"/>
        <w:left w:val="none" w:sz="0" w:space="0" w:color="auto"/>
        <w:bottom w:val="none" w:sz="0" w:space="0" w:color="auto"/>
        <w:right w:val="none" w:sz="0" w:space="0" w:color="auto"/>
      </w:divBdr>
    </w:div>
    <w:div w:id="1519078130">
      <w:bodyDiv w:val="1"/>
      <w:marLeft w:val="0"/>
      <w:marRight w:val="0"/>
      <w:marTop w:val="0"/>
      <w:marBottom w:val="0"/>
      <w:divBdr>
        <w:top w:val="none" w:sz="0" w:space="0" w:color="auto"/>
        <w:left w:val="none" w:sz="0" w:space="0" w:color="auto"/>
        <w:bottom w:val="none" w:sz="0" w:space="0" w:color="auto"/>
        <w:right w:val="none" w:sz="0" w:space="0" w:color="auto"/>
      </w:divBdr>
    </w:div>
    <w:div w:id="1519199062">
      <w:bodyDiv w:val="1"/>
      <w:marLeft w:val="0"/>
      <w:marRight w:val="0"/>
      <w:marTop w:val="0"/>
      <w:marBottom w:val="0"/>
      <w:divBdr>
        <w:top w:val="none" w:sz="0" w:space="0" w:color="auto"/>
        <w:left w:val="none" w:sz="0" w:space="0" w:color="auto"/>
        <w:bottom w:val="none" w:sz="0" w:space="0" w:color="auto"/>
        <w:right w:val="none" w:sz="0" w:space="0" w:color="auto"/>
      </w:divBdr>
    </w:div>
    <w:div w:id="1519267854">
      <w:bodyDiv w:val="1"/>
      <w:marLeft w:val="0"/>
      <w:marRight w:val="0"/>
      <w:marTop w:val="0"/>
      <w:marBottom w:val="0"/>
      <w:divBdr>
        <w:top w:val="none" w:sz="0" w:space="0" w:color="auto"/>
        <w:left w:val="none" w:sz="0" w:space="0" w:color="auto"/>
        <w:bottom w:val="none" w:sz="0" w:space="0" w:color="auto"/>
        <w:right w:val="none" w:sz="0" w:space="0" w:color="auto"/>
      </w:divBdr>
    </w:div>
    <w:div w:id="1519272863">
      <w:bodyDiv w:val="1"/>
      <w:marLeft w:val="0"/>
      <w:marRight w:val="0"/>
      <w:marTop w:val="0"/>
      <w:marBottom w:val="0"/>
      <w:divBdr>
        <w:top w:val="none" w:sz="0" w:space="0" w:color="auto"/>
        <w:left w:val="none" w:sz="0" w:space="0" w:color="auto"/>
        <w:bottom w:val="none" w:sz="0" w:space="0" w:color="auto"/>
        <w:right w:val="none" w:sz="0" w:space="0" w:color="auto"/>
      </w:divBdr>
    </w:div>
    <w:div w:id="1519345776">
      <w:bodyDiv w:val="1"/>
      <w:marLeft w:val="0"/>
      <w:marRight w:val="0"/>
      <w:marTop w:val="0"/>
      <w:marBottom w:val="0"/>
      <w:divBdr>
        <w:top w:val="none" w:sz="0" w:space="0" w:color="auto"/>
        <w:left w:val="none" w:sz="0" w:space="0" w:color="auto"/>
        <w:bottom w:val="none" w:sz="0" w:space="0" w:color="auto"/>
        <w:right w:val="none" w:sz="0" w:space="0" w:color="auto"/>
      </w:divBdr>
    </w:div>
    <w:div w:id="1519349200">
      <w:bodyDiv w:val="1"/>
      <w:marLeft w:val="0"/>
      <w:marRight w:val="0"/>
      <w:marTop w:val="0"/>
      <w:marBottom w:val="0"/>
      <w:divBdr>
        <w:top w:val="none" w:sz="0" w:space="0" w:color="auto"/>
        <w:left w:val="none" w:sz="0" w:space="0" w:color="auto"/>
        <w:bottom w:val="none" w:sz="0" w:space="0" w:color="auto"/>
        <w:right w:val="none" w:sz="0" w:space="0" w:color="auto"/>
      </w:divBdr>
    </w:div>
    <w:div w:id="1519393260">
      <w:bodyDiv w:val="1"/>
      <w:marLeft w:val="0"/>
      <w:marRight w:val="0"/>
      <w:marTop w:val="0"/>
      <w:marBottom w:val="0"/>
      <w:divBdr>
        <w:top w:val="none" w:sz="0" w:space="0" w:color="auto"/>
        <w:left w:val="none" w:sz="0" w:space="0" w:color="auto"/>
        <w:bottom w:val="none" w:sz="0" w:space="0" w:color="auto"/>
        <w:right w:val="none" w:sz="0" w:space="0" w:color="auto"/>
      </w:divBdr>
    </w:div>
    <w:div w:id="1519585867">
      <w:bodyDiv w:val="1"/>
      <w:marLeft w:val="0"/>
      <w:marRight w:val="0"/>
      <w:marTop w:val="0"/>
      <w:marBottom w:val="0"/>
      <w:divBdr>
        <w:top w:val="none" w:sz="0" w:space="0" w:color="auto"/>
        <w:left w:val="none" w:sz="0" w:space="0" w:color="auto"/>
        <w:bottom w:val="none" w:sz="0" w:space="0" w:color="auto"/>
        <w:right w:val="none" w:sz="0" w:space="0" w:color="auto"/>
      </w:divBdr>
    </w:div>
    <w:div w:id="1519655062">
      <w:bodyDiv w:val="1"/>
      <w:marLeft w:val="0"/>
      <w:marRight w:val="0"/>
      <w:marTop w:val="0"/>
      <w:marBottom w:val="0"/>
      <w:divBdr>
        <w:top w:val="none" w:sz="0" w:space="0" w:color="auto"/>
        <w:left w:val="none" w:sz="0" w:space="0" w:color="auto"/>
        <w:bottom w:val="none" w:sz="0" w:space="0" w:color="auto"/>
        <w:right w:val="none" w:sz="0" w:space="0" w:color="auto"/>
      </w:divBdr>
    </w:div>
    <w:div w:id="1519657224">
      <w:bodyDiv w:val="1"/>
      <w:marLeft w:val="0"/>
      <w:marRight w:val="0"/>
      <w:marTop w:val="0"/>
      <w:marBottom w:val="0"/>
      <w:divBdr>
        <w:top w:val="none" w:sz="0" w:space="0" w:color="auto"/>
        <w:left w:val="none" w:sz="0" w:space="0" w:color="auto"/>
        <w:bottom w:val="none" w:sz="0" w:space="0" w:color="auto"/>
        <w:right w:val="none" w:sz="0" w:space="0" w:color="auto"/>
      </w:divBdr>
    </w:div>
    <w:div w:id="1519732542">
      <w:bodyDiv w:val="1"/>
      <w:marLeft w:val="0"/>
      <w:marRight w:val="0"/>
      <w:marTop w:val="0"/>
      <w:marBottom w:val="0"/>
      <w:divBdr>
        <w:top w:val="none" w:sz="0" w:space="0" w:color="auto"/>
        <w:left w:val="none" w:sz="0" w:space="0" w:color="auto"/>
        <w:bottom w:val="none" w:sz="0" w:space="0" w:color="auto"/>
        <w:right w:val="none" w:sz="0" w:space="0" w:color="auto"/>
      </w:divBdr>
    </w:div>
    <w:div w:id="1519780252">
      <w:bodyDiv w:val="1"/>
      <w:marLeft w:val="0"/>
      <w:marRight w:val="0"/>
      <w:marTop w:val="0"/>
      <w:marBottom w:val="0"/>
      <w:divBdr>
        <w:top w:val="none" w:sz="0" w:space="0" w:color="auto"/>
        <w:left w:val="none" w:sz="0" w:space="0" w:color="auto"/>
        <w:bottom w:val="none" w:sz="0" w:space="0" w:color="auto"/>
        <w:right w:val="none" w:sz="0" w:space="0" w:color="auto"/>
      </w:divBdr>
    </w:div>
    <w:div w:id="1519848952">
      <w:bodyDiv w:val="1"/>
      <w:marLeft w:val="0"/>
      <w:marRight w:val="0"/>
      <w:marTop w:val="0"/>
      <w:marBottom w:val="0"/>
      <w:divBdr>
        <w:top w:val="none" w:sz="0" w:space="0" w:color="auto"/>
        <w:left w:val="none" w:sz="0" w:space="0" w:color="auto"/>
        <w:bottom w:val="none" w:sz="0" w:space="0" w:color="auto"/>
        <w:right w:val="none" w:sz="0" w:space="0" w:color="auto"/>
      </w:divBdr>
    </w:div>
    <w:div w:id="1519853109">
      <w:bodyDiv w:val="1"/>
      <w:marLeft w:val="0"/>
      <w:marRight w:val="0"/>
      <w:marTop w:val="0"/>
      <w:marBottom w:val="0"/>
      <w:divBdr>
        <w:top w:val="none" w:sz="0" w:space="0" w:color="auto"/>
        <w:left w:val="none" w:sz="0" w:space="0" w:color="auto"/>
        <w:bottom w:val="none" w:sz="0" w:space="0" w:color="auto"/>
        <w:right w:val="none" w:sz="0" w:space="0" w:color="auto"/>
      </w:divBdr>
    </w:div>
    <w:div w:id="1519923432">
      <w:bodyDiv w:val="1"/>
      <w:marLeft w:val="0"/>
      <w:marRight w:val="0"/>
      <w:marTop w:val="0"/>
      <w:marBottom w:val="0"/>
      <w:divBdr>
        <w:top w:val="none" w:sz="0" w:space="0" w:color="auto"/>
        <w:left w:val="none" w:sz="0" w:space="0" w:color="auto"/>
        <w:bottom w:val="none" w:sz="0" w:space="0" w:color="auto"/>
        <w:right w:val="none" w:sz="0" w:space="0" w:color="auto"/>
      </w:divBdr>
    </w:div>
    <w:div w:id="1519926622">
      <w:bodyDiv w:val="1"/>
      <w:marLeft w:val="0"/>
      <w:marRight w:val="0"/>
      <w:marTop w:val="0"/>
      <w:marBottom w:val="0"/>
      <w:divBdr>
        <w:top w:val="none" w:sz="0" w:space="0" w:color="auto"/>
        <w:left w:val="none" w:sz="0" w:space="0" w:color="auto"/>
        <w:bottom w:val="none" w:sz="0" w:space="0" w:color="auto"/>
        <w:right w:val="none" w:sz="0" w:space="0" w:color="auto"/>
      </w:divBdr>
    </w:div>
    <w:div w:id="1520005598">
      <w:bodyDiv w:val="1"/>
      <w:marLeft w:val="0"/>
      <w:marRight w:val="0"/>
      <w:marTop w:val="0"/>
      <w:marBottom w:val="0"/>
      <w:divBdr>
        <w:top w:val="none" w:sz="0" w:space="0" w:color="auto"/>
        <w:left w:val="none" w:sz="0" w:space="0" w:color="auto"/>
        <w:bottom w:val="none" w:sz="0" w:space="0" w:color="auto"/>
        <w:right w:val="none" w:sz="0" w:space="0" w:color="auto"/>
      </w:divBdr>
    </w:div>
    <w:div w:id="1520119130">
      <w:bodyDiv w:val="1"/>
      <w:marLeft w:val="0"/>
      <w:marRight w:val="0"/>
      <w:marTop w:val="0"/>
      <w:marBottom w:val="0"/>
      <w:divBdr>
        <w:top w:val="none" w:sz="0" w:space="0" w:color="auto"/>
        <w:left w:val="none" w:sz="0" w:space="0" w:color="auto"/>
        <w:bottom w:val="none" w:sz="0" w:space="0" w:color="auto"/>
        <w:right w:val="none" w:sz="0" w:space="0" w:color="auto"/>
      </w:divBdr>
    </w:div>
    <w:div w:id="1520119566">
      <w:bodyDiv w:val="1"/>
      <w:marLeft w:val="0"/>
      <w:marRight w:val="0"/>
      <w:marTop w:val="0"/>
      <w:marBottom w:val="0"/>
      <w:divBdr>
        <w:top w:val="none" w:sz="0" w:space="0" w:color="auto"/>
        <w:left w:val="none" w:sz="0" w:space="0" w:color="auto"/>
        <w:bottom w:val="none" w:sz="0" w:space="0" w:color="auto"/>
        <w:right w:val="none" w:sz="0" w:space="0" w:color="auto"/>
      </w:divBdr>
    </w:div>
    <w:div w:id="1520124214">
      <w:bodyDiv w:val="1"/>
      <w:marLeft w:val="0"/>
      <w:marRight w:val="0"/>
      <w:marTop w:val="0"/>
      <w:marBottom w:val="0"/>
      <w:divBdr>
        <w:top w:val="none" w:sz="0" w:space="0" w:color="auto"/>
        <w:left w:val="none" w:sz="0" w:space="0" w:color="auto"/>
        <w:bottom w:val="none" w:sz="0" w:space="0" w:color="auto"/>
        <w:right w:val="none" w:sz="0" w:space="0" w:color="auto"/>
      </w:divBdr>
    </w:div>
    <w:div w:id="1520194655">
      <w:bodyDiv w:val="1"/>
      <w:marLeft w:val="0"/>
      <w:marRight w:val="0"/>
      <w:marTop w:val="0"/>
      <w:marBottom w:val="0"/>
      <w:divBdr>
        <w:top w:val="none" w:sz="0" w:space="0" w:color="auto"/>
        <w:left w:val="none" w:sz="0" w:space="0" w:color="auto"/>
        <w:bottom w:val="none" w:sz="0" w:space="0" w:color="auto"/>
        <w:right w:val="none" w:sz="0" w:space="0" w:color="auto"/>
      </w:divBdr>
    </w:div>
    <w:div w:id="1520199654">
      <w:bodyDiv w:val="1"/>
      <w:marLeft w:val="0"/>
      <w:marRight w:val="0"/>
      <w:marTop w:val="0"/>
      <w:marBottom w:val="0"/>
      <w:divBdr>
        <w:top w:val="none" w:sz="0" w:space="0" w:color="auto"/>
        <w:left w:val="none" w:sz="0" w:space="0" w:color="auto"/>
        <w:bottom w:val="none" w:sz="0" w:space="0" w:color="auto"/>
        <w:right w:val="none" w:sz="0" w:space="0" w:color="auto"/>
      </w:divBdr>
    </w:div>
    <w:div w:id="1520387790">
      <w:bodyDiv w:val="1"/>
      <w:marLeft w:val="0"/>
      <w:marRight w:val="0"/>
      <w:marTop w:val="0"/>
      <w:marBottom w:val="0"/>
      <w:divBdr>
        <w:top w:val="none" w:sz="0" w:space="0" w:color="auto"/>
        <w:left w:val="none" w:sz="0" w:space="0" w:color="auto"/>
        <w:bottom w:val="none" w:sz="0" w:space="0" w:color="auto"/>
        <w:right w:val="none" w:sz="0" w:space="0" w:color="auto"/>
      </w:divBdr>
    </w:div>
    <w:div w:id="1520463437">
      <w:bodyDiv w:val="1"/>
      <w:marLeft w:val="0"/>
      <w:marRight w:val="0"/>
      <w:marTop w:val="0"/>
      <w:marBottom w:val="0"/>
      <w:divBdr>
        <w:top w:val="none" w:sz="0" w:space="0" w:color="auto"/>
        <w:left w:val="none" w:sz="0" w:space="0" w:color="auto"/>
        <w:bottom w:val="none" w:sz="0" w:space="0" w:color="auto"/>
        <w:right w:val="none" w:sz="0" w:space="0" w:color="auto"/>
      </w:divBdr>
    </w:div>
    <w:div w:id="1520511910">
      <w:bodyDiv w:val="1"/>
      <w:marLeft w:val="0"/>
      <w:marRight w:val="0"/>
      <w:marTop w:val="0"/>
      <w:marBottom w:val="0"/>
      <w:divBdr>
        <w:top w:val="none" w:sz="0" w:space="0" w:color="auto"/>
        <w:left w:val="none" w:sz="0" w:space="0" w:color="auto"/>
        <w:bottom w:val="none" w:sz="0" w:space="0" w:color="auto"/>
        <w:right w:val="none" w:sz="0" w:space="0" w:color="auto"/>
      </w:divBdr>
    </w:div>
    <w:div w:id="1520581040">
      <w:bodyDiv w:val="1"/>
      <w:marLeft w:val="0"/>
      <w:marRight w:val="0"/>
      <w:marTop w:val="0"/>
      <w:marBottom w:val="0"/>
      <w:divBdr>
        <w:top w:val="none" w:sz="0" w:space="0" w:color="auto"/>
        <w:left w:val="none" w:sz="0" w:space="0" w:color="auto"/>
        <w:bottom w:val="none" w:sz="0" w:space="0" w:color="auto"/>
        <w:right w:val="none" w:sz="0" w:space="0" w:color="auto"/>
      </w:divBdr>
    </w:div>
    <w:div w:id="1520662801">
      <w:bodyDiv w:val="1"/>
      <w:marLeft w:val="0"/>
      <w:marRight w:val="0"/>
      <w:marTop w:val="0"/>
      <w:marBottom w:val="0"/>
      <w:divBdr>
        <w:top w:val="none" w:sz="0" w:space="0" w:color="auto"/>
        <w:left w:val="none" w:sz="0" w:space="0" w:color="auto"/>
        <w:bottom w:val="none" w:sz="0" w:space="0" w:color="auto"/>
        <w:right w:val="none" w:sz="0" w:space="0" w:color="auto"/>
      </w:divBdr>
    </w:div>
    <w:div w:id="1520698312">
      <w:bodyDiv w:val="1"/>
      <w:marLeft w:val="0"/>
      <w:marRight w:val="0"/>
      <w:marTop w:val="0"/>
      <w:marBottom w:val="0"/>
      <w:divBdr>
        <w:top w:val="none" w:sz="0" w:space="0" w:color="auto"/>
        <w:left w:val="none" w:sz="0" w:space="0" w:color="auto"/>
        <w:bottom w:val="none" w:sz="0" w:space="0" w:color="auto"/>
        <w:right w:val="none" w:sz="0" w:space="0" w:color="auto"/>
      </w:divBdr>
    </w:div>
    <w:div w:id="1520729674">
      <w:bodyDiv w:val="1"/>
      <w:marLeft w:val="0"/>
      <w:marRight w:val="0"/>
      <w:marTop w:val="0"/>
      <w:marBottom w:val="0"/>
      <w:divBdr>
        <w:top w:val="none" w:sz="0" w:space="0" w:color="auto"/>
        <w:left w:val="none" w:sz="0" w:space="0" w:color="auto"/>
        <w:bottom w:val="none" w:sz="0" w:space="0" w:color="auto"/>
        <w:right w:val="none" w:sz="0" w:space="0" w:color="auto"/>
      </w:divBdr>
    </w:div>
    <w:div w:id="1521050051">
      <w:bodyDiv w:val="1"/>
      <w:marLeft w:val="0"/>
      <w:marRight w:val="0"/>
      <w:marTop w:val="0"/>
      <w:marBottom w:val="0"/>
      <w:divBdr>
        <w:top w:val="none" w:sz="0" w:space="0" w:color="auto"/>
        <w:left w:val="none" w:sz="0" w:space="0" w:color="auto"/>
        <w:bottom w:val="none" w:sz="0" w:space="0" w:color="auto"/>
        <w:right w:val="none" w:sz="0" w:space="0" w:color="auto"/>
      </w:divBdr>
    </w:div>
    <w:div w:id="1521234405">
      <w:bodyDiv w:val="1"/>
      <w:marLeft w:val="0"/>
      <w:marRight w:val="0"/>
      <w:marTop w:val="0"/>
      <w:marBottom w:val="0"/>
      <w:divBdr>
        <w:top w:val="none" w:sz="0" w:space="0" w:color="auto"/>
        <w:left w:val="none" w:sz="0" w:space="0" w:color="auto"/>
        <w:bottom w:val="none" w:sz="0" w:space="0" w:color="auto"/>
        <w:right w:val="none" w:sz="0" w:space="0" w:color="auto"/>
      </w:divBdr>
    </w:div>
    <w:div w:id="1521237629">
      <w:bodyDiv w:val="1"/>
      <w:marLeft w:val="0"/>
      <w:marRight w:val="0"/>
      <w:marTop w:val="0"/>
      <w:marBottom w:val="0"/>
      <w:divBdr>
        <w:top w:val="none" w:sz="0" w:space="0" w:color="auto"/>
        <w:left w:val="none" w:sz="0" w:space="0" w:color="auto"/>
        <w:bottom w:val="none" w:sz="0" w:space="0" w:color="auto"/>
        <w:right w:val="none" w:sz="0" w:space="0" w:color="auto"/>
      </w:divBdr>
    </w:div>
    <w:div w:id="1521241843">
      <w:bodyDiv w:val="1"/>
      <w:marLeft w:val="0"/>
      <w:marRight w:val="0"/>
      <w:marTop w:val="0"/>
      <w:marBottom w:val="0"/>
      <w:divBdr>
        <w:top w:val="none" w:sz="0" w:space="0" w:color="auto"/>
        <w:left w:val="none" w:sz="0" w:space="0" w:color="auto"/>
        <w:bottom w:val="none" w:sz="0" w:space="0" w:color="auto"/>
        <w:right w:val="none" w:sz="0" w:space="0" w:color="auto"/>
      </w:divBdr>
    </w:div>
    <w:div w:id="1521313202">
      <w:bodyDiv w:val="1"/>
      <w:marLeft w:val="0"/>
      <w:marRight w:val="0"/>
      <w:marTop w:val="0"/>
      <w:marBottom w:val="0"/>
      <w:divBdr>
        <w:top w:val="none" w:sz="0" w:space="0" w:color="auto"/>
        <w:left w:val="none" w:sz="0" w:space="0" w:color="auto"/>
        <w:bottom w:val="none" w:sz="0" w:space="0" w:color="auto"/>
        <w:right w:val="none" w:sz="0" w:space="0" w:color="auto"/>
      </w:divBdr>
    </w:div>
    <w:div w:id="1521355773">
      <w:bodyDiv w:val="1"/>
      <w:marLeft w:val="0"/>
      <w:marRight w:val="0"/>
      <w:marTop w:val="0"/>
      <w:marBottom w:val="0"/>
      <w:divBdr>
        <w:top w:val="none" w:sz="0" w:space="0" w:color="auto"/>
        <w:left w:val="none" w:sz="0" w:space="0" w:color="auto"/>
        <w:bottom w:val="none" w:sz="0" w:space="0" w:color="auto"/>
        <w:right w:val="none" w:sz="0" w:space="0" w:color="auto"/>
      </w:divBdr>
    </w:div>
    <w:div w:id="1521360725">
      <w:bodyDiv w:val="1"/>
      <w:marLeft w:val="0"/>
      <w:marRight w:val="0"/>
      <w:marTop w:val="0"/>
      <w:marBottom w:val="0"/>
      <w:divBdr>
        <w:top w:val="none" w:sz="0" w:space="0" w:color="auto"/>
        <w:left w:val="none" w:sz="0" w:space="0" w:color="auto"/>
        <w:bottom w:val="none" w:sz="0" w:space="0" w:color="auto"/>
        <w:right w:val="none" w:sz="0" w:space="0" w:color="auto"/>
      </w:divBdr>
    </w:div>
    <w:div w:id="1521509277">
      <w:bodyDiv w:val="1"/>
      <w:marLeft w:val="0"/>
      <w:marRight w:val="0"/>
      <w:marTop w:val="0"/>
      <w:marBottom w:val="0"/>
      <w:divBdr>
        <w:top w:val="none" w:sz="0" w:space="0" w:color="auto"/>
        <w:left w:val="none" w:sz="0" w:space="0" w:color="auto"/>
        <w:bottom w:val="none" w:sz="0" w:space="0" w:color="auto"/>
        <w:right w:val="none" w:sz="0" w:space="0" w:color="auto"/>
      </w:divBdr>
    </w:div>
    <w:div w:id="1521627941">
      <w:bodyDiv w:val="1"/>
      <w:marLeft w:val="0"/>
      <w:marRight w:val="0"/>
      <w:marTop w:val="0"/>
      <w:marBottom w:val="0"/>
      <w:divBdr>
        <w:top w:val="none" w:sz="0" w:space="0" w:color="auto"/>
        <w:left w:val="none" w:sz="0" w:space="0" w:color="auto"/>
        <w:bottom w:val="none" w:sz="0" w:space="0" w:color="auto"/>
        <w:right w:val="none" w:sz="0" w:space="0" w:color="auto"/>
      </w:divBdr>
    </w:div>
    <w:div w:id="1521701135">
      <w:bodyDiv w:val="1"/>
      <w:marLeft w:val="0"/>
      <w:marRight w:val="0"/>
      <w:marTop w:val="0"/>
      <w:marBottom w:val="0"/>
      <w:divBdr>
        <w:top w:val="none" w:sz="0" w:space="0" w:color="auto"/>
        <w:left w:val="none" w:sz="0" w:space="0" w:color="auto"/>
        <w:bottom w:val="none" w:sz="0" w:space="0" w:color="auto"/>
        <w:right w:val="none" w:sz="0" w:space="0" w:color="auto"/>
      </w:divBdr>
    </w:div>
    <w:div w:id="1521774792">
      <w:bodyDiv w:val="1"/>
      <w:marLeft w:val="0"/>
      <w:marRight w:val="0"/>
      <w:marTop w:val="0"/>
      <w:marBottom w:val="0"/>
      <w:divBdr>
        <w:top w:val="none" w:sz="0" w:space="0" w:color="auto"/>
        <w:left w:val="none" w:sz="0" w:space="0" w:color="auto"/>
        <w:bottom w:val="none" w:sz="0" w:space="0" w:color="auto"/>
        <w:right w:val="none" w:sz="0" w:space="0" w:color="auto"/>
      </w:divBdr>
    </w:div>
    <w:div w:id="1521889582">
      <w:bodyDiv w:val="1"/>
      <w:marLeft w:val="0"/>
      <w:marRight w:val="0"/>
      <w:marTop w:val="0"/>
      <w:marBottom w:val="0"/>
      <w:divBdr>
        <w:top w:val="none" w:sz="0" w:space="0" w:color="auto"/>
        <w:left w:val="none" w:sz="0" w:space="0" w:color="auto"/>
        <w:bottom w:val="none" w:sz="0" w:space="0" w:color="auto"/>
        <w:right w:val="none" w:sz="0" w:space="0" w:color="auto"/>
      </w:divBdr>
    </w:div>
    <w:div w:id="1521891179">
      <w:bodyDiv w:val="1"/>
      <w:marLeft w:val="0"/>
      <w:marRight w:val="0"/>
      <w:marTop w:val="0"/>
      <w:marBottom w:val="0"/>
      <w:divBdr>
        <w:top w:val="none" w:sz="0" w:space="0" w:color="auto"/>
        <w:left w:val="none" w:sz="0" w:space="0" w:color="auto"/>
        <w:bottom w:val="none" w:sz="0" w:space="0" w:color="auto"/>
        <w:right w:val="none" w:sz="0" w:space="0" w:color="auto"/>
      </w:divBdr>
    </w:div>
    <w:div w:id="1521968506">
      <w:bodyDiv w:val="1"/>
      <w:marLeft w:val="0"/>
      <w:marRight w:val="0"/>
      <w:marTop w:val="0"/>
      <w:marBottom w:val="0"/>
      <w:divBdr>
        <w:top w:val="none" w:sz="0" w:space="0" w:color="auto"/>
        <w:left w:val="none" w:sz="0" w:space="0" w:color="auto"/>
        <w:bottom w:val="none" w:sz="0" w:space="0" w:color="auto"/>
        <w:right w:val="none" w:sz="0" w:space="0" w:color="auto"/>
      </w:divBdr>
    </w:div>
    <w:div w:id="1522040205">
      <w:bodyDiv w:val="1"/>
      <w:marLeft w:val="0"/>
      <w:marRight w:val="0"/>
      <w:marTop w:val="0"/>
      <w:marBottom w:val="0"/>
      <w:divBdr>
        <w:top w:val="none" w:sz="0" w:space="0" w:color="auto"/>
        <w:left w:val="none" w:sz="0" w:space="0" w:color="auto"/>
        <w:bottom w:val="none" w:sz="0" w:space="0" w:color="auto"/>
        <w:right w:val="none" w:sz="0" w:space="0" w:color="auto"/>
      </w:divBdr>
    </w:div>
    <w:div w:id="1522083988">
      <w:bodyDiv w:val="1"/>
      <w:marLeft w:val="0"/>
      <w:marRight w:val="0"/>
      <w:marTop w:val="0"/>
      <w:marBottom w:val="0"/>
      <w:divBdr>
        <w:top w:val="none" w:sz="0" w:space="0" w:color="auto"/>
        <w:left w:val="none" w:sz="0" w:space="0" w:color="auto"/>
        <w:bottom w:val="none" w:sz="0" w:space="0" w:color="auto"/>
        <w:right w:val="none" w:sz="0" w:space="0" w:color="auto"/>
      </w:divBdr>
    </w:div>
    <w:div w:id="1522163690">
      <w:bodyDiv w:val="1"/>
      <w:marLeft w:val="0"/>
      <w:marRight w:val="0"/>
      <w:marTop w:val="0"/>
      <w:marBottom w:val="0"/>
      <w:divBdr>
        <w:top w:val="none" w:sz="0" w:space="0" w:color="auto"/>
        <w:left w:val="none" w:sz="0" w:space="0" w:color="auto"/>
        <w:bottom w:val="none" w:sz="0" w:space="0" w:color="auto"/>
        <w:right w:val="none" w:sz="0" w:space="0" w:color="auto"/>
      </w:divBdr>
    </w:div>
    <w:div w:id="1522276496">
      <w:bodyDiv w:val="1"/>
      <w:marLeft w:val="0"/>
      <w:marRight w:val="0"/>
      <w:marTop w:val="0"/>
      <w:marBottom w:val="0"/>
      <w:divBdr>
        <w:top w:val="none" w:sz="0" w:space="0" w:color="auto"/>
        <w:left w:val="none" w:sz="0" w:space="0" w:color="auto"/>
        <w:bottom w:val="none" w:sz="0" w:space="0" w:color="auto"/>
        <w:right w:val="none" w:sz="0" w:space="0" w:color="auto"/>
      </w:divBdr>
    </w:div>
    <w:div w:id="1522353462">
      <w:bodyDiv w:val="1"/>
      <w:marLeft w:val="0"/>
      <w:marRight w:val="0"/>
      <w:marTop w:val="0"/>
      <w:marBottom w:val="0"/>
      <w:divBdr>
        <w:top w:val="none" w:sz="0" w:space="0" w:color="auto"/>
        <w:left w:val="none" w:sz="0" w:space="0" w:color="auto"/>
        <w:bottom w:val="none" w:sz="0" w:space="0" w:color="auto"/>
        <w:right w:val="none" w:sz="0" w:space="0" w:color="auto"/>
      </w:divBdr>
    </w:div>
    <w:div w:id="1522358403">
      <w:bodyDiv w:val="1"/>
      <w:marLeft w:val="0"/>
      <w:marRight w:val="0"/>
      <w:marTop w:val="0"/>
      <w:marBottom w:val="0"/>
      <w:divBdr>
        <w:top w:val="none" w:sz="0" w:space="0" w:color="auto"/>
        <w:left w:val="none" w:sz="0" w:space="0" w:color="auto"/>
        <w:bottom w:val="none" w:sz="0" w:space="0" w:color="auto"/>
        <w:right w:val="none" w:sz="0" w:space="0" w:color="auto"/>
      </w:divBdr>
    </w:div>
    <w:div w:id="1522426363">
      <w:bodyDiv w:val="1"/>
      <w:marLeft w:val="0"/>
      <w:marRight w:val="0"/>
      <w:marTop w:val="0"/>
      <w:marBottom w:val="0"/>
      <w:divBdr>
        <w:top w:val="none" w:sz="0" w:space="0" w:color="auto"/>
        <w:left w:val="none" w:sz="0" w:space="0" w:color="auto"/>
        <w:bottom w:val="none" w:sz="0" w:space="0" w:color="auto"/>
        <w:right w:val="none" w:sz="0" w:space="0" w:color="auto"/>
      </w:divBdr>
    </w:div>
    <w:div w:id="1522473071">
      <w:bodyDiv w:val="1"/>
      <w:marLeft w:val="0"/>
      <w:marRight w:val="0"/>
      <w:marTop w:val="0"/>
      <w:marBottom w:val="0"/>
      <w:divBdr>
        <w:top w:val="none" w:sz="0" w:space="0" w:color="auto"/>
        <w:left w:val="none" w:sz="0" w:space="0" w:color="auto"/>
        <w:bottom w:val="none" w:sz="0" w:space="0" w:color="auto"/>
        <w:right w:val="none" w:sz="0" w:space="0" w:color="auto"/>
      </w:divBdr>
    </w:div>
    <w:div w:id="1522620322">
      <w:bodyDiv w:val="1"/>
      <w:marLeft w:val="0"/>
      <w:marRight w:val="0"/>
      <w:marTop w:val="0"/>
      <w:marBottom w:val="0"/>
      <w:divBdr>
        <w:top w:val="none" w:sz="0" w:space="0" w:color="auto"/>
        <w:left w:val="none" w:sz="0" w:space="0" w:color="auto"/>
        <w:bottom w:val="none" w:sz="0" w:space="0" w:color="auto"/>
        <w:right w:val="none" w:sz="0" w:space="0" w:color="auto"/>
      </w:divBdr>
    </w:div>
    <w:div w:id="1522628939">
      <w:bodyDiv w:val="1"/>
      <w:marLeft w:val="0"/>
      <w:marRight w:val="0"/>
      <w:marTop w:val="0"/>
      <w:marBottom w:val="0"/>
      <w:divBdr>
        <w:top w:val="none" w:sz="0" w:space="0" w:color="auto"/>
        <w:left w:val="none" w:sz="0" w:space="0" w:color="auto"/>
        <w:bottom w:val="none" w:sz="0" w:space="0" w:color="auto"/>
        <w:right w:val="none" w:sz="0" w:space="0" w:color="auto"/>
      </w:divBdr>
    </w:div>
    <w:div w:id="1522741618">
      <w:bodyDiv w:val="1"/>
      <w:marLeft w:val="0"/>
      <w:marRight w:val="0"/>
      <w:marTop w:val="0"/>
      <w:marBottom w:val="0"/>
      <w:divBdr>
        <w:top w:val="none" w:sz="0" w:space="0" w:color="auto"/>
        <w:left w:val="none" w:sz="0" w:space="0" w:color="auto"/>
        <w:bottom w:val="none" w:sz="0" w:space="0" w:color="auto"/>
        <w:right w:val="none" w:sz="0" w:space="0" w:color="auto"/>
      </w:divBdr>
    </w:div>
    <w:div w:id="1522821580">
      <w:bodyDiv w:val="1"/>
      <w:marLeft w:val="0"/>
      <w:marRight w:val="0"/>
      <w:marTop w:val="0"/>
      <w:marBottom w:val="0"/>
      <w:divBdr>
        <w:top w:val="none" w:sz="0" w:space="0" w:color="auto"/>
        <w:left w:val="none" w:sz="0" w:space="0" w:color="auto"/>
        <w:bottom w:val="none" w:sz="0" w:space="0" w:color="auto"/>
        <w:right w:val="none" w:sz="0" w:space="0" w:color="auto"/>
      </w:divBdr>
    </w:div>
    <w:div w:id="1522889097">
      <w:bodyDiv w:val="1"/>
      <w:marLeft w:val="0"/>
      <w:marRight w:val="0"/>
      <w:marTop w:val="0"/>
      <w:marBottom w:val="0"/>
      <w:divBdr>
        <w:top w:val="none" w:sz="0" w:space="0" w:color="auto"/>
        <w:left w:val="none" w:sz="0" w:space="0" w:color="auto"/>
        <w:bottom w:val="none" w:sz="0" w:space="0" w:color="auto"/>
        <w:right w:val="none" w:sz="0" w:space="0" w:color="auto"/>
      </w:divBdr>
    </w:div>
    <w:div w:id="1523010860">
      <w:bodyDiv w:val="1"/>
      <w:marLeft w:val="0"/>
      <w:marRight w:val="0"/>
      <w:marTop w:val="0"/>
      <w:marBottom w:val="0"/>
      <w:divBdr>
        <w:top w:val="none" w:sz="0" w:space="0" w:color="auto"/>
        <w:left w:val="none" w:sz="0" w:space="0" w:color="auto"/>
        <w:bottom w:val="none" w:sz="0" w:space="0" w:color="auto"/>
        <w:right w:val="none" w:sz="0" w:space="0" w:color="auto"/>
      </w:divBdr>
    </w:div>
    <w:div w:id="1523085394">
      <w:bodyDiv w:val="1"/>
      <w:marLeft w:val="0"/>
      <w:marRight w:val="0"/>
      <w:marTop w:val="0"/>
      <w:marBottom w:val="0"/>
      <w:divBdr>
        <w:top w:val="none" w:sz="0" w:space="0" w:color="auto"/>
        <w:left w:val="none" w:sz="0" w:space="0" w:color="auto"/>
        <w:bottom w:val="none" w:sz="0" w:space="0" w:color="auto"/>
        <w:right w:val="none" w:sz="0" w:space="0" w:color="auto"/>
      </w:divBdr>
    </w:div>
    <w:div w:id="1523278451">
      <w:bodyDiv w:val="1"/>
      <w:marLeft w:val="0"/>
      <w:marRight w:val="0"/>
      <w:marTop w:val="0"/>
      <w:marBottom w:val="0"/>
      <w:divBdr>
        <w:top w:val="none" w:sz="0" w:space="0" w:color="auto"/>
        <w:left w:val="none" w:sz="0" w:space="0" w:color="auto"/>
        <w:bottom w:val="none" w:sz="0" w:space="0" w:color="auto"/>
        <w:right w:val="none" w:sz="0" w:space="0" w:color="auto"/>
      </w:divBdr>
    </w:div>
    <w:div w:id="1523283301">
      <w:bodyDiv w:val="1"/>
      <w:marLeft w:val="0"/>
      <w:marRight w:val="0"/>
      <w:marTop w:val="0"/>
      <w:marBottom w:val="0"/>
      <w:divBdr>
        <w:top w:val="none" w:sz="0" w:space="0" w:color="auto"/>
        <w:left w:val="none" w:sz="0" w:space="0" w:color="auto"/>
        <w:bottom w:val="none" w:sz="0" w:space="0" w:color="auto"/>
        <w:right w:val="none" w:sz="0" w:space="0" w:color="auto"/>
      </w:divBdr>
    </w:div>
    <w:div w:id="1523397911">
      <w:bodyDiv w:val="1"/>
      <w:marLeft w:val="0"/>
      <w:marRight w:val="0"/>
      <w:marTop w:val="0"/>
      <w:marBottom w:val="0"/>
      <w:divBdr>
        <w:top w:val="none" w:sz="0" w:space="0" w:color="auto"/>
        <w:left w:val="none" w:sz="0" w:space="0" w:color="auto"/>
        <w:bottom w:val="none" w:sz="0" w:space="0" w:color="auto"/>
        <w:right w:val="none" w:sz="0" w:space="0" w:color="auto"/>
      </w:divBdr>
    </w:div>
    <w:div w:id="1523400768">
      <w:bodyDiv w:val="1"/>
      <w:marLeft w:val="0"/>
      <w:marRight w:val="0"/>
      <w:marTop w:val="0"/>
      <w:marBottom w:val="0"/>
      <w:divBdr>
        <w:top w:val="none" w:sz="0" w:space="0" w:color="auto"/>
        <w:left w:val="none" w:sz="0" w:space="0" w:color="auto"/>
        <w:bottom w:val="none" w:sz="0" w:space="0" w:color="auto"/>
        <w:right w:val="none" w:sz="0" w:space="0" w:color="auto"/>
      </w:divBdr>
    </w:div>
    <w:div w:id="1523470044">
      <w:bodyDiv w:val="1"/>
      <w:marLeft w:val="0"/>
      <w:marRight w:val="0"/>
      <w:marTop w:val="0"/>
      <w:marBottom w:val="0"/>
      <w:divBdr>
        <w:top w:val="none" w:sz="0" w:space="0" w:color="auto"/>
        <w:left w:val="none" w:sz="0" w:space="0" w:color="auto"/>
        <w:bottom w:val="none" w:sz="0" w:space="0" w:color="auto"/>
        <w:right w:val="none" w:sz="0" w:space="0" w:color="auto"/>
      </w:divBdr>
    </w:div>
    <w:div w:id="1523515737">
      <w:bodyDiv w:val="1"/>
      <w:marLeft w:val="0"/>
      <w:marRight w:val="0"/>
      <w:marTop w:val="0"/>
      <w:marBottom w:val="0"/>
      <w:divBdr>
        <w:top w:val="none" w:sz="0" w:space="0" w:color="auto"/>
        <w:left w:val="none" w:sz="0" w:space="0" w:color="auto"/>
        <w:bottom w:val="none" w:sz="0" w:space="0" w:color="auto"/>
        <w:right w:val="none" w:sz="0" w:space="0" w:color="auto"/>
      </w:divBdr>
    </w:div>
    <w:div w:id="1523518217">
      <w:bodyDiv w:val="1"/>
      <w:marLeft w:val="0"/>
      <w:marRight w:val="0"/>
      <w:marTop w:val="0"/>
      <w:marBottom w:val="0"/>
      <w:divBdr>
        <w:top w:val="none" w:sz="0" w:space="0" w:color="auto"/>
        <w:left w:val="none" w:sz="0" w:space="0" w:color="auto"/>
        <w:bottom w:val="none" w:sz="0" w:space="0" w:color="auto"/>
        <w:right w:val="none" w:sz="0" w:space="0" w:color="auto"/>
      </w:divBdr>
    </w:div>
    <w:div w:id="1523590687">
      <w:bodyDiv w:val="1"/>
      <w:marLeft w:val="0"/>
      <w:marRight w:val="0"/>
      <w:marTop w:val="0"/>
      <w:marBottom w:val="0"/>
      <w:divBdr>
        <w:top w:val="none" w:sz="0" w:space="0" w:color="auto"/>
        <w:left w:val="none" w:sz="0" w:space="0" w:color="auto"/>
        <w:bottom w:val="none" w:sz="0" w:space="0" w:color="auto"/>
        <w:right w:val="none" w:sz="0" w:space="0" w:color="auto"/>
      </w:divBdr>
    </w:div>
    <w:div w:id="1523592408">
      <w:bodyDiv w:val="1"/>
      <w:marLeft w:val="0"/>
      <w:marRight w:val="0"/>
      <w:marTop w:val="0"/>
      <w:marBottom w:val="0"/>
      <w:divBdr>
        <w:top w:val="none" w:sz="0" w:space="0" w:color="auto"/>
        <w:left w:val="none" w:sz="0" w:space="0" w:color="auto"/>
        <w:bottom w:val="none" w:sz="0" w:space="0" w:color="auto"/>
        <w:right w:val="none" w:sz="0" w:space="0" w:color="auto"/>
      </w:divBdr>
    </w:div>
    <w:div w:id="1523661664">
      <w:bodyDiv w:val="1"/>
      <w:marLeft w:val="0"/>
      <w:marRight w:val="0"/>
      <w:marTop w:val="0"/>
      <w:marBottom w:val="0"/>
      <w:divBdr>
        <w:top w:val="none" w:sz="0" w:space="0" w:color="auto"/>
        <w:left w:val="none" w:sz="0" w:space="0" w:color="auto"/>
        <w:bottom w:val="none" w:sz="0" w:space="0" w:color="auto"/>
        <w:right w:val="none" w:sz="0" w:space="0" w:color="auto"/>
      </w:divBdr>
    </w:div>
    <w:div w:id="1523667211">
      <w:bodyDiv w:val="1"/>
      <w:marLeft w:val="0"/>
      <w:marRight w:val="0"/>
      <w:marTop w:val="0"/>
      <w:marBottom w:val="0"/>
      <w:divBdr>
        <w:top w:val="none" w:sz="0" w:space="0" w:color="auto"/>
        <w:left w:val="none" w:sz="0" w:space="0" w:color="auto"/>
        <w:bottom w:val="none" w:sz="0" w:space="0" w:color="auto"/>
        <w:right w:val="none" w:sz="0" w:space="0" w:color="auto"/>
      </w:divBdr>
    </w:div>
    <w:div w:id="1523668336">
      <w:bodyDiv w:val="1"/>
      <w:marLeft w:val="0"/>
      <w:marRight w:val="0"/>
      <w:marTop w:val="0"/>
      <w:marBottom w:val="0"/>
      <w:divBdr>
        <w:top w:val="none" w:sz="0" w:space="0" w:color="auto"/>
        <w:left w:val="none" w:sz="0" w:space="0" w:color="auto"/>
        <w:bottom w:val="none" w:sz="0" w:space="0" w:color="auto"/>
        <w:right w:val="none" w:sz="0" w:space="0" w:color="auto"/>
      </w:divBdr>
    </w:div>
    <w:div w:id="1523737798">
      <w:bodyDiv w:val="1"/>
      <w:marLeft w:val="0"/>
      <w:marRight w:val="0"/>
      <w:marTop w:val="0"/>
      <w:marBottom w:val="0"/>
      <w:divBdr>
        <w:top w:val="none" w:sz="0" w:space="0" w:color="auto"/>
        <w:left w:val="none" w:sz="0" w:space="0" w:color="auto"/>
        <w:bottom w:val="none" w:sz="0" w:space="0" w:color="auto"/>
        <w:right w:val="none" w:sz="0" w:space="0" w:color="auto"/>
      </w:divBdr>
    </w:div>
    <w:div w:id="1524005582">
      <w:bodyDiv w:val="1"/>
      <w:marLeft w:val="0"/>
      <w:marRight w:val="0"/>
      <w:marTop w:val="0"/>
      <w:marBottom w:val="0"/>
      <w:divBdr>
        <w:top w:val="none" w:sz="0" w:space="0" w:color="auto"/>
        <w:left w:val="none" w:sz="0" w:space="0" w:color="auto"/>
        <w:bottom w:val="none" w:sz="0" w:space="0" w:color="auto"/>
        <w:right w:val="none" w:sz="0" w:space="0" w:color="auto"/>
      </w:divBdr>
    </w:div>
    <w:div w:id="1524050889">
      <w:bodyDiv w:val="1"/>
      <w:marLeft w:val="0"/>
      <w:marRight w:val="0"/>
      <w:marTop w:val="0"/>
      <w:marBottom w:val="0"/>
      <w:divBdr>
        <w:top w:val="none" w:sz="0" w:space="0" w:color="auto"/>
        <w:left w:val="none" w:sz="0" w:space="0" w:color="auto"/>
        <w:bottom w:val="none" w:sz="0" w:space="0" w:color="auto"/>
        <w:right w:val="none" w:sz="0" w:space="0" w:color="auto"/>
      </w:divBdr>
    </w:div>
    <w:div w:id="1524055290">
      <w:bodyDiv w:val="1"/>
      <w:marLeft w:val="0"/>
      <w:marRight w:val="0"/>
      <w:marTop w:val="0"/>
      <w:marBottom w:val="0"/>
      <w:divBdr>
        <w:top w:val="none" w:sz="0" w:space="0" w:color="auto"/>
        <w:left w:val="none" w:sz="0" w:space="0" w:color="auto"/>
        <w:bottom w:val="none" w:sz="0" w:space="0" w:color="auto"/>
        <w:right w:val="none" w:sz="0" w:space="0" w:color="auto"/>
      </w:divBdr>
    </w:div>
    <w:div w:id="1524199401">
      <w:bodyDiv w:val="1"/>
      <w:marLeft w:val="0"/>
      <w:marRight w:val="0"/>
      <w:marTop w:val="0"/>
      <w:marBottom w:val="0"/>
      <w:divBdr>
        <w:top w:val="none" w:sz="0" w:space="0" w:color="auto"/>
        <w:left w:val="none" w:sz="0" w:space="0" w:color="auto"/>
        <w:bottom w:val="none" w:sz="0" w:space="0" w:color="auto"/>
        <w:right w:val="none" w:sz="0" w:space="0" w:color="auto"/>
      </w:divBdr>
    </w:div>
    <w:div w:id="1524202530">
      <w:bodyDiv w:val="1"/>
      <w:marLeft w:val="0"/>
      <w:marRight w:val="0"/>
      <w:marTop w:val="0"/>
      <w:marBottom w:val="0"/>
      <w:divBdr>
        <w:top w:val="none" w:sz="0" w:space="0" w:color="auto"/>
        <w:left w:val="none" w:sz="0" w:space="0" w:color="auto"/>
        <w:bottom w:val="none" w:sz="0" w:space="0" w:color="auto"/>
        <w:right w:val="none" w:sz="0" w:space="0" w:color="auto"/>
      </w:divBdr>
    </w:div>
    <w:div w:id="1524250401">
      <w:bodyDiv w:val="1"/>
      <w:marLeft w:val="0"/>
      <w:marRight w:val="0"/>
      <w:marTop w:val="0"/>
      <w:marBottom w:val="0"/>
      <w:divBdr>
        <w:top w:val="none" w:sz="0" w:space="0" w:color="auto"/>
        <w:left w:val="none" w:sz="0" w:space="0" w:color="auto"/>
        <w:bottom w:val="none" w:sz="0" w:space="0" w:color="auto"/>
        <w:right w:val="none" w:sz="0" w:space="0" w:color="auto"/>
      </w:divBdr>
    </w:div>
    <w:div w:id="1524442504">
      <w:bodyDiv w:val="1"/>
      <w:marLeft w:val="0"/>
      <w:marRight w:val="0"/>
      <w:marTop w:val="0"/>
      <w:marBottom w:val="0"/>
      <w:divBdr>
        <w:top w:val="none" w:sz="0" w:space="0" w:color="auto"/>
        <w:left w:val="none" w:sz="0" w:space="0" w:color="auto"/>
        <w:bottom w:val="none" w:sz="0" w:space="0" w:color="auto"/>
        <w:right w:val="none" w:sz="0" w:space="0" w:color="auto"/>
      </w:divBdr>
    </w:div>
    <w:div w:id="1524511199">
      <w:bodyDiv w:val="1"/>
      <w:marLeft w:val="0"/>
      <w:marRight w:val="0"/>
      <w:marTop w:val="0"/>
      <w:marBottom w:val="0"/>
      <w:divBdr>
        <w:top w:val="none" w:sz="0" w:space="0" w:color="auto"/>
        <w:left w:val="none" w:sz="0" w:space="0" w:color="auto"/>
        <w:bottom w:val="none" w:sz="0" w:space="0" w:color="auto"/>
        <w:right w:val="none" w:sz="0" w:space="0" w:color="auto"/>
      </w:divBdr>
    </w:div>
    <w:div w:id="1524513557">
      <w:bodyDiv w:val="1"/>
      <w:marLeft w:val="0"/>
      <w:marRight w:val="0"/>
      <w:marTop w:val="0"/>
      <w:marBottom w:val="0"/>
      <w:divBdr>
        <w:top w:val="none" w:sz="0" w:space="0" w:color="auto"/>
        <w:left w:val="none" w:sz="0" w:space="0" w:color="auto"/>
        <w:bottom w:val="none" w:sz="0" w:space="0" w:color="auto"/>
        <w:right w:val="none" w:sz="0" w:space="0" w:color="auto"/>
      </w:divBdr>
    </w:div>
    <w:div w:id="1524517330">
      <w:bodyDiv w:val="1"/>
      <w:marLeft w:val="0"/>
      <w:marRight w:val="0"/>
      <w:marTop w:val="0"/>
      <w:marBottom w:val="0"/>
      <w:divBdr>
        <w:top w:val="none" w:sz="0" w:space="0" w:color="auto"/>
        <w:left w:val="none" w:sz="0" w:space="0" w:color="auto"/>
        <w:bottom w:val="none" w:sz="0" w:space="0" w:color="auto"/>
        <w:right w:val="none" w:sz="0" w:space="0" w:color="auto"/>
      </w:divBdr>
    </w:div>
    <w:div w:id="1524585602">
      <w:bodyDiv w:val="1"/>
      <w:marLeft w:val="0"/>
      <w:marRight w:val="0"/>
      <w:marTop w:val="0"/>
      <w:marBottom w:val="0"/>
      <w:divBdr>
        <w:top w:val="none" w:sz="0" w:space="0" w:color="auto"/>
        <w:left w:val="none" w:sz="0" w:space="0" w:color="auto"/>
        <w:bottom w:val="none" w:sz="0" w:space="0" w:color="auto"/>
        <w:right w:val="none" w:sz="0" w:space="0" w:color="auto"/>
      </w:divBdr>
    </w:div>
    <w:div w:id="1524594860">
      <w:bodyDiv w:val="1"/>
      <w:marLeft w:val="0"/>
      <w:marRight w:val="0"/>
      <w:marTop w:val="0"/>
      <w:marBottom w:val="0"/>
      <w:divBdr>
        <w:top w:val="none" w:sz="0" w:space="0" w:color="auto"/>
        <w:left w:val="none" w:sz="0" w:space="0" w:color="auto"/>
        <w:bottom w:val="none" w:sz="0" w:space="0" w:color="auto"/>
        <w:right w:val="none" w:sz="0" w:space="0" w:color="auto"/>
      </w:divBdr>
    </w:div>
    <w:div w:id="1524634381">
      <w:bodyDiv w:val="1"/>
      <w:marLeft w:val="0"/>
      <w:marRight w:val="0"/>
      <w:marTop w:val="0"/>
      <w:marBottom w:val="0"/>
      <w:divBdr>
        <w:top w:val="none" w:sz="0" w:space="0" w:color="auto"/>
        <w:left w:val="none" w:sz="0" w:space="0" w:color="auto"/>
        <w:bottom w:val="none" w:sz="0" w:space="0" w:color="auto"/>
        <w:right w:val="none" w:sz="0" w:space="0" w:color="auto"/>
      </w:divBdr>
    </w:div>
    <w:div w:id="1524708785">
      <w:bodyDiv w:val="1"/>
      <w:marLeft w:val="0"/>
      <w:marRight w:val="0"/>
      <w:marTop w:val="0"/>
      <w:marBottom w:val="0"/>
      <w:divBdr>
        <w:top w:val="none" w:sz="0" w:space="0" w:color="auto"/>
        <w:left w:val="none" w:sz="0" w:space="0" w:color="auto"/>
        <w:bottom w:val="none" w:sz="0" w:space="0" w:color="auto"/>
        <w:right w:val="none" w:sz="0" w:space="0" w:color="auto"/>
      </w:divBdr>
    </w:div>
    <w:div w:id="1524857249">
      <w:bodyDiv w:val="1"/>
      <w:marLeft w:val="0"/>
      <w:marRight w:val="0"/>
      <w:marTop w:val="0"/>
      <w:marBottom w:val="0"/>
      <w:divBdr>
        <w:top w:val="none" w:sz="0" w:space="0" w:color="auto"/>
        <w:left w:val="none" w:sz="0" w:space="0" w:color="auto"/>
        <w:bottom w:val="none" w:sz="0" w:space="0" w:color="auto"/>
        <w:right w:val="none" w:sz="0" w:space="0" w:color="auto"/>
      </w:divBdr>
    </w:div>
    <w:div w:id="1524897160">
      <w:bodyDiv w:val="1"/>
      <w:marLeft w:val="0"/>
      <w:marRight w:val="0"/>
      <w:marTop w:val="0"/>
      <w:marBottom w:val="0"/>
      <w:divBdr>
        <w:top w:val="none" w:sz="0" w:space="0" w:color="auto"/>
        <w:left w:val="none" w:sz="0" w:space="0" w:color="auto"/>
        <w:bottom w:val="none" w:sz="0" w:space="0" w:color="auto"/>
        <w:right w:val="none" w:sz="0" w:space="0" w:color="auto"/>
      </w:divBdr>
    </w:div>
    <w:div w:id="1524903443">
      <w:bodyDiv w:val="1"/>
      <w:marLeft w:val="0"/>
      <w:marRight w:val="0"/>
      <w:marTop w:val="0"/>
      <w:marBottom w:val="0"/>
      <w:divBdr>
        <w:top w:val="none" w:sz="0" w:space="0" w:color="auto"/>
        <w:left w:val="none" w:sz="0" w:space="0" w:color="auto"/>
        <w:bottom w:val="none" w:sz="0" w:space="0" w:color="auto"/>
        <w:right w:val="none" w:sz="0" w:space="0" w:color="auto"/>
      </w:divBdr>
    </w:div>
    <w:div w:id="1525047610">
      <w:bodyDiv w:val="1"/>
      <w:marLeft w:val="0"/>
      <w:marRight w:val="0"/>
      <w:marTop w:val="0"/>
      <w:marBottom w:val="0"/>
      <w:divBdr>
        <w:top w:val="none" w:sz="0" w:space="0" w:color="auto"/>
        <w:left w:val="none" w:sz="0" w:space="0" w:color="auto"/>
        <w:bottom w:val="none" w:sz="0" w:space="0" w:color="auto"/>
        <w:right w:val="none" w:sz="0" w:space="0" w:color="auto"/>
      </w:divBdr>
    </w:div>
    <w:div w:id="1525053365">
      <w:bodyDiv w:val="1"/>
      <w:marLeft w:val="0"/>
      <w:marRight w:val="0"/>
      <w:marTop w:val="0"/>
      <w:marBottom w:val="0"/>
      <w:divBdr>
        <w:top w:val="none" w:sz="0" w:space="0" w:color="auto"/>
        <w:left w:val="none" w:sz="0" w:space="0" w:color="auto"/>
        <w:bottom w:val="none" w:sz="0" w:space="0" w:color="auto"/>
        <w:right w:val="none" w:sz="0" w:space="0" w:color="auto"/>
      </w:divBdr>
    </w:div>
    <w:div w:id="1525286617">
      <w:bodyDiv w:val="1"/>
      <w:marLeft w:val="0"/>
      <w:marRight w:val="0"/>
      <w:marTop w:val="0"/>
      <w:marBottom w:val="0"/>
      <w:divBdr>
        <w:top w:val="none" w:sz="0" w:space="0" w:color="auto"/>
        <w:left w:val="none" w:sz="0" w:space="0" w:color="auto"/>
        <w:bottom w:val="none" w:sz="0" w:space="0" w:color="auto"/>
        <w:right w:val="none" w:sz="0" w:space="0" w:color="auto"/>
      </w:divBdr>
    </w:div>
    <w:div w:id="1525290635">
      <w:bodyDiv w:val="1"/>
      <w:marLeft w:val="0"/>
      <w:marRight w:val="0"/>
      <w:marTop w:val="0"/>
      <w:marBottom w:val="0"/>
      <w:divBdr>
        <w:top w:val="none" w:sz="0" w:space="0" w:color="auto"/>
        <w:left w:val="none" w:sz="0" w:space="0" w:color="auto"/>
        <w:bottom w:val="none" w:sz="0" w:space="0" w:color="auto"/>
        <w:right w:val="none" w:sz="0" w:space="0" w:color="auto"/>
      </w:divBdr>
    </w:div>
    <w:div w:id="1525291215">
      <w:bodyDiv w:val="1"/>
      <w:marLeft w:val="0"/>
      <w:marRight w:val="0"/>
      <w:marTop w:val="0"/>
      <w:marBottom w:val="0"/>
      <w:divBdr>
        <w:top w:val="none" w:sz="0" w:space="0" w:color="auto"/>
        <w:left w:val="none" w:sz="0" w:space="0" w:color="auto"/>
        <w:bottom w:val="none" w:sz="0" w:space="0" w:color="auto"/>
        <w:right w:val="none" w:sz="0" w:space="0" w:color="auto"/>
      </w:divBdr>
    </w:div>
    <w:div w:id="1525358707">
      <w:bodyDiv w:val="1"/>
      <w:marLeft w:val="0"/>
      <w:marRight w:val="0"/>
      <w:marTop w:val="0"/>
      <w:marBottom w:val="0"/>
      <w:divBdr>
        <w:top w:val="none" w:sz="0" w:space="0" w:color="auto"/>
        <w:left w:val="none" w:sz="0" w:space="0" w:color="auto"/>
        <w:bottom w:val="none" w:sz="0" w:space="0" w:color="auto"/>
        <w:right w:val="none" w:sz="0" w:space="0" w:color="auto"/>
      </w:divBdr>
    </w:div>
    <w:div w:id="1525364584">
      <w:bodyDiv w:val="1"/>
      <w:marLeft w:val="0"/>
      <w:marRight w:val="0"/>
      <w:marTop w:val="0"/>
      <w:marBottom w:val="0"/>
      <w:divBdr>
        <w:top w:val="none" w:sz="0" w:space="0" w:color="auto"/>
        <w:left w:val="none" w:sz="0" w:space="0" w:color="auto"/>
        <w:bottom w:val="none" w:sz="0" w:space="0" w:color="auto"/>
        <w:right w:val="none" w:sz="0" w:space="0" w:color="auto"/>
      </w:divBdr>
    </w:div>
    <w:div w:id="1525434516">
      <w:bodyDiv w:val="1"/>
      <w:marLeft w:val="0"/>
      <w:marRight w:val="0"/>
      <w:marTop w:val="0"/>
      <w:marBottom w:val="0"/>
      <w:divBdr>
        <w:top w:val="none" w:sz="0" w:space="0" w:color="auto"/>
        <w:left w:val="none" w:sz="0" w:space="0" w:color="auto"/>
        <w:bottom w:val="none" w:sz="0" w:space="0" w:color="auto"/>
        <w:right w:val="none" w:sz="0" w:space="0" w:color="auto"/>
      </w:divBdr>
    </w:div>
    <w:div w:id="1525440550">
      <w:bodyDiv w:val="1"/>
      <w:marLeft w:val="0"/>
      <w:marRight w:val="0"/>
      <w:marTop w:val="0"/>
      <w:marBottom w:val="0"/>
      <w:divBdr>
        <w:top w:val="none" w:sz="0" w:space="0" w:color="auto"/>
        <w:left w:val="none" w:sz="0" w:space="0" w:color="auto"/>
        <w:bottom w:val="none" w:sz="0" w:space="0" w:color="auto"/>
        <w:right w:val="none" w:sz="0" w:space="0" w:color="auto"/>
      </w:divBdr>
    </w:div>
    <w:div w:id="1525553839">
      <w:bodyDiv w:val="1"/>
      <w:marLeft w:val="0"/>
      <w:marRight w:val="0"/>
      <w:marTop w:val="0"/>
      <w:marBottom w:val="0"/>
      <w:divBdr>
        <w:top w:val="none" w:sz="0" w:space="0" w:color="auto"/>
        <w:left w:val="none" w:sz="0" w:space="0" w:color="auto"/>
        <w:bottom w:val="none" w:sz="0" w:space="0" w:color="auto"/>
        <w:right w:val="none" w:sz="0" w:space="0" w:color="auto"/>
      </w:divBdr>
    </w:div>
    <w:div w:id="1525558372">
      <w:bodyDiv w:val="1"/>
      <w:marLeft w:val="0"/>
      <w:marRight w:val="0"/>
      <w:marTop w:val="0"/>
      <w:marBottom w:val="0"/>
      <w:divBdr>
        <w:top w:val="none" w:sz="0" w:space="0" w:color="auto"/>
        <w:left w:val="none" w:sz="0" w:space="0" w:color="auto"/>
        <w:bottom w:val="none" w:sz="0" w:space="0" w:color="auto"/>
        <w:right w:val="none" w:sz="0" w:space="0" w:color="auto"/>
      </w:divBdr>
    </w:div>
    <w:div w:id="1525710146">
      <w:bodyDiv w:val="1"/>
      <w:marLeft w:val="0"/>
      <w:marRight w:val="0"/>
      <w:marTop w:val="0"/>
      <w:marBottom w:val="0"/>
      <w:divBdr>
        <w:top w:val="none" w:sz="0" w:space="0" w:color="auto"/>
        <w:left w:val="none" w:sz="0" w:space="0" w:color="auto"/>
        <w:bottom w:val="none" w:sz="0" w:space="0" w:color="auto"/>
        <w:right w:val="none" w:sz="0" w:space="0" w:color="auto"/>
      </w:divBdr>
    </w:div>
    <w:div w:id="1525946345">
      <w:bodyDiv w:val="1"/>
      <w:marLeft w:val="0"/>
      <w:marRight w:val="0"/>
      <w:marTop w:val="0"/>
      <w:marBottom w:val="0"/>
      <w:divBdr>
        <w:top w:val="none" w:sz="0" w:space="0" w:color="auto"/>
        <w:left w:val="none" w:sz="0" w:space="0" w:color="auto"/>
        <w:bottom w:val="none" w:sz="0" w:space="0" w:color="auto"/>
        <w:right w:val="none" w:sz="0" w:space="0" w:color="auto"/>
      </w:divBdr>
    </w:div>
    <w:div w:id="1525946402">
      <w:bodyDiv w:val="1"/>
      <w:marLeft w:val="0"/>
      <w:marRight w:val="0"/>
      <w:marTop w:val="0"/>
      <w:marBottom w:val="0"/>
      <w:divBdr>
        <w:top w:val="none" w:sz="0" w:space="0" w:color="auto"/>
        <w:left w:val="none" w:sz="0" w:space="0" w:color="auto"/>
        <w:bottom w:val="none" w:sz="0" w:space="0" w:color="auto"/>
        <w:right w:val="none" w:sz="0" w:space="0" w:color="auto"/>
      </w:divBdr>
    </w:div>
    <w:div w:id="1525971546">
      <w:bodyDiv w:val="1"/>
      <w:marLeft w:val="0"/>
      <w:marRight w:val="0"/>
      <w:marTop w:val="0"/>
      <w:marBottom w:val="0"/>
      <w:divBdr>
        <w:top w:val="none" w:sz="0" w:space="0" w:color="auto"/>
        <w:left w:val="none" w:sz="0" w:space="0" w:color="auto"/>
        <w:bottom w:val="none" w:sz="0" w:space="0" w:color="auto"/>
        <w:right w:val="none" w:sz="0" w:space="0" w:color="auto"/>
      </w:divBdr>
    </w:div>
    <w:div w:id="1525971802">
      <w:bodyDiv w:val="1"/>
      <w:marLeft w:val="0"/>
      <w:marRight w:val="0"/>
      <w:marTop w:val="0"/>
      <w:marBottom w:val="0"/>
      <w:divBdr>
        <w:top w:val="none" w:sz="0" w:space="0" w:color="auto"/>
        <w:left w:val="none" w:sz="0" w:space="0" w:color="auto"/>
        <w:bottom w:val="none" w:sz="0" w:space="0" w:color="auto"/>
        <w:right w:val="none" w:sz="0" w:space="0" w:color="auto"/>
      </w:divBdr>
    </w:div>
    <w:div w:id="1526019371">
      <w:bodyDiv w:val="1"/>
      <w:marLeft w:val="0"/>
      <w:marRight w:val="0"/>
      <w:marTop w:val="0"/>
      <w:marBottom w:val="0"/>
      <w:divBdr>
        <w:top w:val="none" w:sz="0" w:space="0" w:color="auto"/>
        <w:left w:val="none" w:sz="0" w:space="0" w:color="auto"/>
        <w:bottom w:val="none" w:sz="0" w:space="0" w:color="auto"/>
        <w:right w:val="none" w:sz="0" w:space="0" w:color="auto"/>
      </w:divBdr>
    </w:div>
    <w:div w:id="1526020758">
      <w:bodyDiv w:val="1"/>
      <w:marLeft w:val="0"/>
      <w:marRight w:val="0"/>
      <w:marTop w:val="0"/>
      <w:marBottom w:val="0"/>
      <w:divBdr>
        <w:top w:val="none" w:sz="0" w:space="0" w:color="auto"/>
        <w:left w:val="none" w:sz="0" w:space="0" w:color="auto"/>
        <w:bottom w:val="none" w:sz="0" w:space="0" w:color="auto"/>
        <w:right w:val="none" w:sz="0" w:space="0" w:color="auto"/>
      </w:divBdr>
    </w:div>
    <w:div w:id="1526089551">
      <w:bodyDiv w:val="1"/>
      <w:marLeft w:val="0"/>
      <w:marRight w:val="0"/>
      <w:marTop w:val="0"/>
      <w:marBottom w:val="0"/>
      <w:divBdr>
        <w:top w:val="none" w:sz="0" w:space="0" w:color="auto"/>
        <w:left w:val="none" w:sz="0" w:space="0" w:color="auto"/>
        <w:bottom w:val="none" w:sz="0" w:space="0" w:color="auto"/>
        <w:right w:val="none" w:sz="0" w:space="0" w:color="auto"/>
      </w:divBdr>
    </w:div>
    <w:div w:id="1526095029">
      <w:bodyDiv w:val="1"/>
      <w:marLeft w:val="0"/>
      <w:marRight w:val="0"/>
      <w:marTop w:val="0"/>
      <w:marBottom w:val="0"/>
      <w:divBdr>
        <w:top w:val="none" w:sz="0" w:space="0" w:color="auto"/>
        <w:left w:val="none" w:sz="0" w:space="0" w:color="auto"/>
        <w:bottom w:val="none" w:sz="0" w:space="0" w:color="auto"/>
        <w:right w:val="none" w:sz="0" w:space="0" w:color="auto"/>
      </w:divBdr>
    </w:div>
    <w:div w:id="1526359245">
      <w:bodyDiv w:val="1"/>
      <w:marLeft w:val="0"/>
      <w:marRight w:val="0"/>
      <w:marTop w:val="0"/>
      <w:marBottom w:val="0"/>
      <w:divBdr>
        <w:top w:val="none" w:sz="0" w:space="0" w:color="auto"/>
        <w:left w:val="none" w:sz="0" w:space="0" w:color="auto"/>
        <w:bottom w:val="none" w:sz="0" w:space="0" w:color="auto"/>
        <w:right w:val="none" w:sz="0" w:space="0" w:color="auto"/>
      </w:divBdr>
    </w:div>
    <w:div w:id="1526359647">
      <w:bodyDiv w:val="1"/>
      <w:marLeft w:val="0"/>
      <w:marRight w:val="0"/>
      <w:marTop w:val="0"/>
      <w:marBottom w:val="0"/>
      <w:divBdr>
        <w:top w:val="none" w:sz="0" w:space="0" w:color="auto"/>
        <w:left w:val="none" w:sz="0" w:space="0" w:color="auto"/>
        <w:bottom w:val="none" w:sz="0" w:space="0" w:color="auto"/>
        <w:right w:val="none" w:sz="0" w:space="0" w:color="auto"/>
      </w:divBdr>
    </w:div>
    <w:div w:id="1526361348">
      <w:bodyDiv w:val="1"/>
      <w:marLeft w:val="0"/>
      <w:marRight w:val="0"/>
      <w:marTop w:val="0"/>
      <w:marBottom w:val="0"/>
      <w:divBdr>
        <w:top w:val="none" w:sz="0" w:space="0" w:color="auto"/>
        <w:left w:val="none" w:sz="0" w:space="0" w:color="auto"/>
        <w:bottom w:val="none" w:sz="0" w:space="0" w:color="auto"/>
        <w:right w:val="none" w:sz="0" w:space="0" w:color="auto"/>
      </w:divBdr>
    </w:div>
    <w:div w:id="1526364543">
      <w:bodyDiv w:val="1"/>
      <w:marLeft w:val="0"/>
      <w:marRight w:val="0"/>
      <w:marTop w:val="0"/>
      <w:marBottom w:val="0"/>
      <w:divBdr>
        <w:top w:val="none" w:sz="0" w:space="0" w:color="auto"/>
        <w:left w:val="none" w:sz="0" w:space="0" w:color="auto"/>
        <w:bottom w:val="none" w:sz="0" w:space="0" w:color="auto"/>
        <w:right w:val="none" w:sz="0" w:space="0" w:color="auto"/>
      </w:divBdr>
    </w:div>
    <w:div w:id="1526403010">
      <w:bodyDiv w:val="1"/>
      <w:marLeft w:val="0"/>
      <w:marRight w:val="0"/>
      <w:marTop w:val="0"/>
      <w:marBottom w:val="0"/>
      <w:divBdr>
        <w:top w:val="none" w:sz="0" w:space="0" w:color="auto"/>
        <w:left w:val="none" w:sz="0" w:space="0" w:color="auto"/>
        <w:bottom w:val="none" w:sz="0" w:space="0" w:color="auto"/>
        <w:right w:val="none" w:sz="0" w:space="0" w:color="auto"/>
      </w:divBdr>
    </w:div>
    <w:div w:id="1526409753">
      <w:bodyDiv w:val="1"/>
      <w:marLeft w:val="0"/>
      <w:marRight w:val="0"/>
      <w:marTop w:val="0"/>
      <w:marBottom w:val="0"/>
      <w:divBdr>
        <w:top w:val="none" w:sz="0" w:space="0" w:color="auto"/>
        <w:left w:val="none" w:sz="0" w:space="0" w:color="auto"/>
        <w:bottom w:val="none" w:sz="0" w:space="0" w:color="auto"/>
        <w:right w:val="none" w:sz="0" w:space="0" w:color="auto"/>
      </w:divBdr>
    </w:div>
    <w:div w:id="1526478521">
      <w:bodyDiv w:val="1"/>
      <w:marLeft w:val="0"/>
      <w:marRight w:val="0"/>
      <w:marTop w:val="0"/>
      <w:marBottom w:val="0"/>
      <w:divBdr>
        <w:top w:val="none" w:sz="0" w:space="0" w:color="auto"/>
        <w:left w:val="none" w:sz="0" w:space="0" w:color="auto"/>
        <w:bottom w:val="none" w:sz="0" w:space="0" w:color="auto"/>
        <w:right w:val="none" w:sz="0" w:space="0" w:color="auto"/>
      </w:divBdr>
    </w:div>
    <w:div w:id="1526553235">
      <w:bodyDiv w:val="1"/>
      <w:marLeft w:val="0"/>
      <w:marRight w:val="0"/>
      <w:marTop w:val="0"/>
      <w:marBottom w:val="0"/>
      <w:divBdr>
        <w:top w:val="none" w:sz="0" w:space="0" w:color="auto"/>
        <w:left w:val="none" w:sz="0" w:space="0" w:color="auto"/>
        <w:bottom w:val="none" w:sz="0" w:space="0" w:color="auto"/>
        <w:right w:val="none" w:sz="0" w:space="0" w:color="auto"/>
      </w:divBdr>
    </w:div>
    <w:div w:id="1526558896">
      <w:bodyDiv w:val="1"/>
      <w:marLeft w:val="0"/>
      <w:marRight w:val="0"/>
      <w:marTop w:val="0"/>
      <w:marBottom w:val="0"/>
      <w:divBdr>
        <w:top w:val="none" w:sz="0" w:space="0" w:color="auto"/>
        <w:left w:val="none" w:sz="0" w:space="0" w:color="auto"/>
        <w:bottom w:val="none" w:sz="0" w:space="0" w:color="auto"/>
        <w:right w:val="none" w:sz="0" w:space="0" w:color="auto"/>
      </w:divBdr>
    </w:div>
    <w:div w:id="1526600104">
      <w:bodyDiv w:val="1"/>
      <w:marLeft w:val="0"/>
      <w:marRight w:val="0"/>
      <w:marTop w:val="0"/>
      <w:marBottom w:val="0"/>
      <w:divBdr>
        <w:top w:val="none" w:sz="0" w:space="0" w:color="auto"/>
        <w:left w:val="none" w:sz="0" w:space="0" w:color="auto"/>
        <w:bottom w:val="none" w:sz="0" w:space="0" w:color="auto"/>
        <w:right w:val="none" w:sz="0" w:space="0" w:color="auto"/>
      </w:divBdr>
    </w:div>
    <w:div w:id="1526749308">
      <w:bodyDiv w:val="1"/>
      <w:marLeft w:val="0"/>
      <w:marRight w:val="0"/>
      <w:marTop w:val="0"/>
      <w:marBottom w:val="0"/>
      <w:divBdr>
        <w:top w:val="none" w:sz="0" w:space="0" w:color="auto"/>
        <w:left w:val="none" w:sz="0" w:space="0" w:color="auto"/>
        <w:bottom w:val="none" w:sz="0" w:space="0" w:color="auto"/>
        <w:right w:val="none" w:sz="0" w:space="0" w:color="auto"/>
      </w:divBdr>
    </w:div>
    <w:div w:id="1526866220">
      <w:bodyDiv w:val="1"/>
      <w:marLeft w:val="0"/>
      <w:marRight w:val="0"/>
      <w:marTop w:val="0"/>
      <w:marBottom w:val="0"/>
      <w:divBdr>
        <w:top w:val="none" w:sz="0" w:space="0" w:color="auto"/>
        <w:left w:val="none" w:sz="0" w:space="0" w:color="auto"/>
        <w:bottom w:val="none" w:sz="0" w:space="0" w:color="auto"/>
        <w:right w:val="none" w:sz="0" w:space="0" w:color="auto"/>
      </w:divBdr>
    </w:div>
    <w:div w:id="1526946516">
      <w:bodyDiv w:val="1"/>
      <w:marLeft w:val="0"/>
      <w:marRight w:val="0"/>
      <w:marTop w:val="0"/>
      <w:marBottom w:val="0"/>
      <w:divBdr>
        <w:top w:val="none" w:sz="0" w:space="0" w:color="auto"/>
        <w:left w:val="none" w:sz="0" w:space="0" w:color="auto"/>
        <w:bottom w:val="none" w:sz="0" w:space="0" w:color="auto"/>
        <w:right w:val="none" w:sz="0" w:space="0" w:color="auto"/>
      </w:divBdr>
    </w:div>
    <w:div w:id="1527020420">
      <w:bodyDiv w:val="1"/>
      <w:marLeft w:val="0"/>
      <w:marRight w:val="0"/>
      <w:marTop w:val="0"/>
      <w:marBottom w:val="0"/>
      <w:divBdr>
        <w:top w:val="none" w:sz="0" w:space="0" w:color="auto"/>
        <w:left w:val="none" w:sz="0" w:space="0" w:color="auto"/>
        <w:bottom w:val="none" w:sz="0" w:space="0" w:color="auto"/>
        <w:right w:val="none" w:sz="0" w:space="0" w:color="auto"/>
      </w:divBdr>
    </w:div>
    <w:div w:id="1527136644">
      <w:bodyDiv w:val="1"/>
      <w:marLeft w:val="0"/>
      <w:marRight w:val="0"/>
      <w:marTop w:val="0"/>
      <w:marBottom w:val="0"/>
      <w:divBdr>
        <w:top w:val="none" w:sz="0" w:space="0" w:color="auto"/>
        <w:left w:val="none" w:sz="0" w:space="0" w:color="auto"/>
        <w:bottom w:val="none" w:sz="0" w:space="0" w:color="auto"/>
        <w:right w:val="none" w:sz="0" w:space="0" w:color="auto"/>
      </w:divBdr>
    </w:div>
    <w:div w:id="1527206720">
      <w:bodyDiv w:val="1"/>
      <w:marLeft w:val="0"/>
      <w:marRight w:val="0"/>
      <w:marTop w:val="0"/>
      <w:marBottom w:val="0"/>
      <w:divBdr>
        <w:top w:val="none" w:sz="0" w:space="0" w:color="auto"/>
        <w:left w:val="none" w:sz="0" w:space="0" w:color="auto"/>
        <w:bottom w:val="none" w:sz="0" w:space="0" w:color="auto"/>
        <w:right w:val="none" w:sz="0" w:space="0" w:color="auto"/>
      </w:divBdr>
    </w:div>
    <w:div w:id="1527208439">
      <w:bodyDiv w:val="1"/>
      <w:marLeft w:val="0"/>
      <w:marRight w:val="0"/>
      <w:marTop w:val="0"/>
      <w:marBottom w:val="0"/>
      <w:divBdr>
        <w:top w:val="none" w:sz="0" w:space="0" w:color="auto"/>
        <w:left w:val="none" w:sz="0" w:space="0" w:color="auto"/>
        <w:bottom w:val="none" w:sz="0" w:space="0" w:color="auto"/>
        <w:right w:val="none" w:sz="0" w:space="0" w:color="auto"/>
      </w:divBdr>
    </w:div>
    <w:div w:id="1527251574">
      <w:bodyDiv w:val="1"/>
      <w:marLeft w:val="0"/>
      <w:marRight w:val="0"/>
      <w:marTop w:val="0"/>
      <w:marBottom w:val="0"/>
      <w:divBdr>
        <w:top w:val="none" w:sz="0" w:space="0" w:color="auto"/>
        <w:left w:val="none" w:sz="0" w:space="0" w:color="auto"/>
        <w:bottom w:val="none" w:sz="0" w:space="0" w:color="auto"/>
        <w:right w:val="none" w:sz="0" w:space="0" w:color="auto"/>
      </w:divBdr>
    </w:div>
    <w:div w:id="1527401724">
      <w:bodyDiv w:val="1"/>
      <w:marLeft w:val="0"/>
      <w:marRight w:val="0"/>
      <w:marTop w:val="0"/>
      <w:marBottom w:val="0"/>
      <w:divBdr>
        <w:top w:val="none" w:sz="0" w:space="0" w:color="auto"/>
        <w:left w:val="none" w:sz="0" w:space="0" w:color="auto"/>
        <w:bottom w:val="none" w:sz="0" w:space="0" w:color="auto"/>
        <w:right w:val="none" w:sz="0" w:space="0" w:color="auto"/>
      </w:divBdr>
    </w:div>
    <w:div w:id="1527403399">
      <w:bodyDiv w:val="1"/>
      <w:marLeft w:val="0"/>
      <w:marRight w:val="0"/>
      <w:marTop w:val="0"/>
      <w:marBottom w:val="0"/>
      <w:divBdr>
        <w:top w:val="none" w:sz="0" w:space="0" w:color="auto"/>
        <w:left w:val="none" w:sz="0" w:space="0" w:color="auto"/>
        <w:bottom w:val="none" w:sz="0" w:space="0" w:color="auto"/>
        <w:right w:val="none" w:sz="0" w:space="0" w:color="auto"/>
      </w:divBdr>
    </w:div>
    <w:div w:id="1527447671">
      <w:bodyDiv w:val="1"/>
      <w:marLeft w:val="0"/>
      <w:marRight w:val="0"/>
      <w:marTop w:val="0"/>
      <w:marBottom w:val="0"/>
      <w:divBdr>
        <w:top w:val="none" w:sz="0" w:space="0" w:color="auto"/>
        <w:left w:val="none" w:sz="0" w:space="0" w:color="auto"/>
        <w:bottom w:val="none" w:sz="0" w:space="0" w:color="auto"/>
        <w:right w:val="none" w:sz="0" w:space="0" w:color="auto"/>
      </w:divBdr>
    </w:div>
    <w:div w:id="1527477628">
      <w:bodyDiv w:val="1"/>
      <w:marLeft w:val="0"/>
      <w:marRight w:val="0"/>
      <w:marTop w:val="0"/>
      <w:marBottom w:val="0"/>
      <w:divBdr>
        <w:top w:val="none" w:sz="0" w:space="0" w:color="auto"/>
        <w:left w:val="none" w:sz="0" w:space="0" w:color="auto"/>
        <w:bottom w:val="none" w:sz="0" w:space="0" w:color="auto"/>
        <w:right w:val="none" w:sz="0" w:space="0" w:color="auto"/>
      </w:divBdr>
    </w:div>
    <w:div w:id="1527522965">
      <w:bodyDiv w:val="1"/>
      <w:marLeft w:val="0"/>
      <w:marRight w:val="0"/>
      <w:marTop w:val="0"/>
      <w:marBottom w:val="0"/>
      <w:divBdr>
        <w:top w:val="none" w:sz="0" w:space="0" w:color="auto"/>
        <w:left w:val="none" w:sz="0" w:space="0" w:color="auto"/>
        <w:bottom w:val="none" w:sz="0" w:space="0" w:color="auto"/>
        <w:right w:val="none" w:sz="0" w:space="0" w:color="auto"/>
      </w:divBdr>
    </w:div>
    <w:div w:id="1527601592">
      <w:bodyDiv w:val="1"/>
      <w:marLeft w:val="0"/>
      <w:marRight w:val="0"/>
      <w:marTop w:val="0"/>
      <w:marBottom w:val="0"/>
      <w:divBdr>
        <w:top w:val="none" w:sz="0" w:space="0" w:color="auto"/>
        <w:left w:val="none" w:sz="0" w:space="0" w:color="auto"/>
        <w:bottom w:val="none" w:sz="0" w:space="0" w:color="auto"/>
        <w:right w:val="none" w:sz="0" w:space="0" w:color="auto"/>
      </w:divBdr>
    </w:div>
    <w:div w:id="1528062461">
      <w:bodyDiv w:val="1"/>
      <w:marLeft w:val="0"/>
      <w:marRight w:val="0"/>
      <w:marTop w:val="0"/>
      <w:marBottom w:val="0"/>
      <w:divBdr>
        <w:top w:val="none" w:sz="0" w:space="0" w:color="auto"/>
        <w:left w:val="none" w:sz="0" w:space="0" w:color="auto"/>
        <w:bottom w:val="none" w:sz="0" w:space="0" w:color="auto"/>
        <w:right w:val="none" w:sz="0" w:space="0" w:color="auto"/>
      </w:divBdr>
    </w:div>
    <w:div w:id="1528107040">
      <w:bodyDiv w:val="1"/>
      <w:marLeft w:val="0"/>
      <w:marRight w:val="0"/>
      <w:marTop w:val="0"/>
      <w:marBottom w:val="0"/>
      <w:divBdr>
        <w:top w:val="none" w:sz="0" w:space="0" w:color="auto"/>
        <w:left w:val="none" w:sz="0" w:space="0" w:color="auto"/>
        <w:bottom w:val="none" w:sz="0" w:space="0" w:color="auto"/>
        <w:right w:val="none" w:sz="0" w:space="0" w:color="auto"/>
      </w:divBdr>
    </w:div>
    <w:div w:id="1528132170">
      <w:bodyDiv w:val="1"/>
      <w:marLeft w:val="0"/>
      <w:marRight w:val="0"/>
      <w:marTop w:val="0"/>
      <w:marBottom w:val="0"/>
      <w:divBdr>
        <w:top w:val="none" w:sz="0" w:space="0" w:color="auto"/>
        <w:left w:val="none" w:sz="0" w:space="0" w:color="auto"/>
        <w:bottom w:val="none" w:sz="0" w:space="0" w:color="auto"/>
        <w:right w:val="none" w:sz="0" w:space="0" w:color="auto"/>
      </w:divBdr>
    </w:div>
    <w:div w:id="1528449565">
      <w:bodyDiv w:val="1"/>
      <w:marLeft w:val="0"/>
      <w:marRight w:val="0"/>
      <w:marTop w:val="0"/>
      <w:marBottom w:val="0"/>
      <w:divBdr>
        <w:top w:val="none" w:sz="0" w:space="0" w:color="auto"/>
        <w:left w:val="none" w:sz="0" w:space="0" w:color="auto"/>
        <w:bottom w:val="none" w:sz="0" w:space="0" w:color="auto"/>
        <w:right w:val="none" w:sz="0" w:space="0" w:color="auto"/>
      </w:divBdr>
    </w:div>
    <w:div w:id="1528522087">
      <w:bodyDiv w:val="1"/>
      <w:marLeft w:val="0"/>
      <w:marRight w:val="0"/>
      <w:marTop w:val="0"/>
      <w:marBottom w:val="0"/>
      <w:divBdr>
        <w:top w:val="none" w:sz="0" w:space="0" w:color="auto"/>
        <w:left w:val="none" w:sz="0" w:space="0" w:color="auto"/>
        <w:bottom w:val="none" w:sz="0" w:space="0" w:color="auto"/>
        <w:right w:val="none" w:sz="0" w:space="0" w:color="auto"/>
      </w:divBdr>
    </w:div>
    <w:div w:id="1528565848">
      <w:bodyDiv w:val="1"/>
      <w:marLeft w:val="0"/>
      <w:marRight w:val="0"/>
      <w:marTop w:val="0"/>
      <w:marBottom w:val="0"/>
      <w:divBdr>
        <w:top w:val="none" w:sz="0" w:space="0" w:color="auto"/>
        <w:left w:val="none" w:sz="0" w:space="0" w:color="auto"/>
        <w:bottom w:val="none" w:sz="0" w:space="0" w:color="auto"/>
        <w:right w:val="none" w:sz="0" w:space="0" w:color="auto"/>
      </w:divBdr>
    </w:div>
    <w:div w:id="1528567342">
      <w:bodyDiv w:val="1"/>
      <w:marLeft w:val="0"/>
      <w:marRight w:val="0"/>
      <w:marTop w:val="0"/>
      <w:marBottom w:val="0"/>
      <w:divBdr>
        <w:top w:val="none" w:sz="0" w:space="0" w:color="auto"/>
        <w:left w:val="none" w:sz="0" w:space="0" w:color="auto"/>
        <w:bottom w:val="none" w:sz="0" w:space="0" w:color="auto"/>
        <w:right w:val="none" w:sz="0" w:space="0" w:color="auto"/>
      </w:divBdr>
    </w:div>
    <w:div w:id="1528642415">
      <w:bodyDiv w:val="1"/>
      <w:marLeft w:val="0"/>
      <w:marRight w:val="0"/>
      <w:marTop w:val="0"/>
      <w:marBottom w:val="0"/>
      <w:divBdr>
        <w:top w:val="none" w:sz="0" w:space="0" w:color="auto"/>
        <w:left w:val="none" w:sz="0" w:space="0" w:color="auto"/>
        <w:bottom w:val="none" w:sz="0" w:space="0" w:color="auto"/>
        <w:right w:val="none" w:sz="0" w:space="0" w:color="auto"/>
      </w:divBdr>
    </w:div>
    <w:div w:id="1528643213">
      <w:bodyDiv w:val="1"/>
      <w:marLeft w:val="0"/>
      <w:marRight w:val="0"/>
      <w:marTop w:val="0"/>
      <w:marBottom w:val="0"/>
      <w:divBdr>
        <w:top w:val="none" w:sz="0" w:space="0" w:color="auto"/>
        <w:left w:val="none" w:sz="0" w:space="0" w:color="auto"/>
        <w:bottom w:val="none" w:sz="0" w:space="0" w:color="auto"/>
        <w:right w:val="none" w:sz="0" w:space="0" w:color="auto"/>
      </w:divBdr>
    </w:div>
    <w:div w:id="1528715909">
      <w:bodyDiv w:val="1"/>
      <w:marLeft w:val="0"/>
      <w:marRight w:val="0"/>
      <w:marTop w:val="0"/>
      <w:marBottom w:val="0"/>
      <w:divBdr>
        <w:top w:val="none" w:sz="0" w:space="0" w:color="auto"/>
        <w:left w:val="none" w:sz="0" w:space="0" w:color="auto"/>
        <w:bottom w:val="none" w:sz="0" w:space="0" w:color="auto"/>
        <w:right w:val="none" w:sz="0" w:space="0" w:color="auto"/>
      </w:divBdr>
    </w:div>
    <w:div w:id="1528907797">
      <w:bodyDiv w:val="1"/>
      <w:marLeft w:val="0"/>
      <w:marRight w:val="0"/>
      <w:marTop w:val="0"/>
      <w:marBottom w:val="0"/>
      <w:divBdr>
        <w:top w:val="none" w:sz="0" w:space="0" w:color="auto"/>
        <w:left w:val="none" w:sz="0" w:space="0" w:color="auto"/>
        <w:bottom w:val="none" w:sz="0" w:space="0" w:color="auto"/>
        <w:right w:val="none" w:sz="0" w:space="0" w:color="auto"/>
      </w:divBdr>
    </w:div>
    <w:div w:id="1528980728">
      <w:bodyDiv w:val="1"/>
      <w:marLeft w:val="0"/>
      <w:marRight w:val="0"/>
      <w:marTop w:val="0"/>
      <w:marBottom w:val="0"/>
      <w:divBdr>
        <w:top w:val="none" w:sz="0" w:space="0" w:color="auto"/>
        <w:left w:val="none" w:sz="0" w:space="0" w:color="auto"/>
        <w:bottom w:val="none" w:sz="0" w:space="0" w:color="auto"/>
        <w:right w:val="none" w:sz="0" w:space="0" w:color="auto"/>
      </w:divBdr>
    </w:div>
    <w:div w:id="1529096831">
      <w:bodyDiv w:val="1"/>
      <w:marLeft w:val="0"/>
      <w:marRight w:val="0"/>
      <w:marTop w:val="0"/>
      <w:marBottom w:val="0"/>
      <w:divBdr>
        <w:top w:val="none" w:sz="0" w:space="0" w:color="auto"/>
        <w:left w:val="none" w:sz="0" w:space="0" w:color="auto"/>
        <w:bottom w:val="none" w:sz="0" w:space="0" w:color="auto"/>
        <w:right w:val="none" w:sz="0" w:space="0" w:color="auto"/>
      </w:divBdr>
    </w:div>
    <w:div w:id="1529104595">
      <w:bodyDiv w:val="1"/>
      <w:marLeft w:val="0"/>
      <w:marRight w:val="0"/>
      <w:marTop w:val="0"/>
      <w:marBottom w:val="0"/>
      <w:divBdr>
        <w:top w:val="none" w:sz="0" w:space="0" w:color="auto"/>
        <w:left w:val="none" w:sz="0" w:space="0" w:color="auto"/>
        <w:bottom w:val="none" w:sz="0" w:space="0" w:color="auto"/>
        <w:right w:val="none" w:sz="0" w:space="0" w:color="auto"/>
      </w:divBdr>
    </w:div>
    <w:div w:id="1529173118">
      <w:bodyDiv w:val="1"/>
      <w:marLeft w:val="0"/>
      <w:marRight w:val="0"/>
      <w:marTop w:val="0"/>
      <w:marBottom w:val="0"/>
      <w:divBdr>
        <w:top w:val="none" w:sz="0" w:space="0" w:color="auto"/>
        <w:left w:val="none" w:sz="0" w:space="0" w:color="auto"/>
        <w:bottom w:val="none" w:sz="0" w:space="0" w:color="auto"/>
        <w:right w:val="none" w:sz="0" w:space="0" w:color="auto"/>
      </w:divBdr>
    </w:div>
    <w:div w:id="1529178738">
      <w:bodyDiv w:val="1"/>
      <w:marLeft w:val="0"/>
      <w:marRight w:val="0"/>
      <w:marTop w:val="0"/>
      <w:marBottom w:val="0"/>
      <w:divBdr>
        <w:top w:val="none" w:sz="0" w:space="0" w:color="auto"/>
        <w:left w:val="none" w:sz="0" w:space="0" w:color="auto"/>
        <w:bottom w:val="none" w:sz="0" w:space="0" w:color="auto"/>
        <w:right w:val="none" w:sz="0" w:space="0" w:color="auto"/>
      </w:divBdr>
    </w:div>
    <w:div w:id="1529217492">
      <w:bodyDiv w:val="1"/>
      <w:marLeft w:val="0"/>
      <w:marRight w:val="0"/>
      <w:marTop w:val="0"/>
      <w:marBottom w:val="0"/>
      <w:divBdr>
        <w:top w:val="none" w:sz="0" w:space="0" w:color="auto"/>
        <w:left w:val="none" w:sz="0" w:space="0" w:color="auto"/>
        <w:bottom w:val="none" w:sz="0" w:space="0" w:color="auto"/>
        <w:right w:val="none" w:sz="0" w:space="0" w:color="auto"/>
      </w:divBdr>
    </w:div>
    <w:div w:id="1529218477">
      <w:bodyDiv w:val="1"/>
      <w:marLeft w:val="0"/>
      <w:marRight w:val="0"/>
      <w:marTop w:val="0"/>
      <w:marBottom w:val="0"/>
      <w:divBdr>
        <w:top w:val="none" w:sz="0" w:space="0" w:color="auto"/>
        <w:left w:val="none" w:sz="0" w:space="0" w:color="auto"/>
        <w:bottom w:val="none" w:sz="0" w:space="0" w:color="auto"/>
        <w:right w:val="none" w:sz="0" w:space="0" w:color="auto"/>
      </w:divBdr>
    </w:div>
    <w:div w:id="1529220237">
      <w:bodyDiv w:val="1"/>
      <w:marLeft w:val="0"/>
      <w:marRight w:val="0"/>
      <w:marTop w:val="0"/>
      <w:marBottom w:val="0"/>
      <w:divBdr>
        <w:top w:val="none" w:sz="0" w:space="0" w:color="auto"/>
        <w:left w:val="none" w:sz="0" w:space="0" w:color="auto"/>
        <w:bottom w:val="none" w:sz="0" w:space="0" w:color="auto"/>
        <w:right w:val="none" w:sz="0" w:space="0" w:color="auto"/>
      </w:divBdr>
    </w:div>
    <w:div w:id="1529249402">
      <w:bodyDiv w:val="1"/>
      <w:marLeft w:val="0"/>
      <w:marRight w:val="0"/>
      <w:marTop w:val="0"/>
      <w:marBottom w:val="0"/>
      <w:divBdr>
        <w:top w:val="none" w:sz="0" w:space="0" w:color="auto"/>
        <w:left w:val="none" w:sz="0" w:space="0" w:color="auto"/>
        <w:bottom w:val="none" w:sz="0" w:space="0" w:color="auto"/>
        <w:right w:val="none" w:sz="0" w:space="0" w:color="auto"/>
      </w:divBdr>
    </w:div>
    <w:div w:id="1529489411">
      <w:bodyDiv w:val="1"/>
      <w:marLeft w:val="0"/>
      <w:marRight w:val="0"/>
      <w:marTop w:val="0"/>
      <w:marBottom w:val="0"/>
      <w:divBdr>
        <w:top w:val="none" w:sz="0" w:space="0" w:color="auto"/>
        <w:left w:val="none" w:sz="0" w:space="0" w:color="auto"/>
        <w:bottom w:val="none" w:sz="0" w:space="0" w:color="auto"/>
        <w:right w:val="none" w:sz="0" w:space="0" w:color="auto"/>
      </w:divBdr>
    </w:div>
    <w:div w:id="1529678138">
      <w:bodyDiv w:val="1"/>
      <w:marLeft w:val="0"/>
      <w:marRight w:val="0"/>
      <w:marTop w:val="0"/>
      <w:marBottom w:val="0"/>
      <w:divBdr>
        <w:top w:val="none" w:sz="0" w:space="0" w:color="auto"/>
        <w:left w:val="none" w:sz="0" w:space="0" w:color="auto"/>
        <w:bottom w:val="none" w:sz="0" w:space="0" w:color="auto"/>
        <w:right w:val="none" w:sz="0" w:space="0" w:color="auto"/>
      </w:divBdr>
    </w:div>
    <w:div w:id="1529684526">
      <w:bodyDiv w:val="1"/>
      <w:marLeft w:val="0"/>
      <w:marRight w:val="0"/>
      <w:marTop w:val="0"/>
      <w:marBottom w:val="0"/>
      <w:divBdr>
        <w:top w:val="none" w:sz="0" w:space="0" w:color="auto"/>
        <w:left w:val="none" w:sz="0" w:space="0" w:color="auto"/>
        <w:bottom w:val="none" w:sz="0" w:space="0" w:color="auto"/>
        <w:right w:val="none" w:sz="0" w:space="0" w:color="auto"/>
      </w:divBdr>
      <w:divsChild>
        <w:div w:id="11691083">
          <w:marLeft w:val="0"/>
          <w:marRight w:val="0"/>
          <w:marTop w:val="0"/>
          <w:marBottom w:val="0"/>
          <w:divBdr>
            <w:top w:val="none" w:sz="0" w:space="0" w:color="auto"/>
            <w:left w:val="none" w:sz="0" w:space="0" w:color="auto"/>
            <w:bottom w:val="none" w:sz="0" w:space="0" w:color="auto"/>
            <w:right w:val="none" w:sz="0" w:space="0" w:color="auto"/>
          </w:divBdr>
        </w:div>
        <w:div w:id="21515114">
          <w:marLeft w:val="0"/>
          <w:marRight w:val="0"/>
          <w:marTop w:val="0"/>
          <w:marBottom w:val="0"/>
          <w:divBdr>
            <w:top w:val="none" w:sz="0" w:space="0" w:color="auto"/>
            <w:left w:val="none" w:sz="0" w:space="0" w:color="auto"/>
            <w:bottom w:val="none" w:sz="0" w:space="0" w:color="auto"/>
            <w:right w:val="none" w:sz="0" w:space="0" w:color="auto"/>
          </w:divBdr>
        </w:div>
        <w:div w:id="27413233">
          <w:marLeft w:val="0"/>
          <w:marRight w:val="0"/>
          <w:marTop w:val="0"/>
          <w:marBottom w:val="0"/>
          <w:divBdr>
            <w:top w:val="none" w:sz="0" w:space="0" w:color="auto"/>
            <w:left w:val="none" w:sz="0" w:space="0" w:color="auto"/>
            <w:bottom w:val="none" w:sz="0" w:space="0" w:color="auto"/>
            <w:right w:val="none" w:sz="0" w:space="0" w:color="auto"/>
          </w:divBdr>
        </w:div>
        <w:div w:id="30889445">
          <w:marLeft w:val="0"/>
          <w:marRight w:val="0"/>
          <w:marTop w:val="0"/>
          <w:marBottom w:val="0"/>
          <w:divBdr>
            <w:top w:val="none" w:sz="0" w:space="0" w:color="auto"/>
            <w:left w:val="none" w:sz="0" w:space="0" w:color="auto"/>
            <w:bottom w:val="none" w:sz="0" w:space="0" w:color="auto"/>
            <w:right w:val="none" w:sz="0" w:space="0" w:color="auto"/>
          </w:divBdr>
        </w:div>
        <w:div w:id="55858045">
          <w:marLeft w:val="0"/>
          <w:marRight w:val="0"/>
          <w:marTop w:val="0"/>
          <w:marBottom w:val="0"/>
          <w:divBdr>
            <w:top w:val="none" w:sz="0" w:space="0" w:color="auto"/>
            <w:left w:val="none" w:sz="0" w:space="0" w:color="auto"/>
            <w:bottom w:val="none" w:sz="0" w:space="0" w:color="auto"/>
            <w:right w:val="none" w:sz="0" w:space="0" w:color="auto"/>
          </w:divBdr>
        </w:div>
        <w:div w:id="93207276">
          <w:marLeft w:val="0"/>
          <w:marRight w:val="0"/>
          <w:marTop w:val="0"/>
          <w:marBottom w:val="0"/>
          <w:divBdr>
            <w:top w:val="none" w:sz="0" w:space="0" w:color="auto"/>
            <w:left w:val="none" w:sz="0" w:space="0" w:color="auto"/>
            <w:bottom w:val="none" w:sz="0" w:space="0" w:color="auto"/>
            <w:right w:val="none" w:sz="0" w:space="0" w:color="auto"/>
          </w:divBdr>
        </w:div>
        <w:div w:id="93988858">
          <w:marLeft w:val="0"/>
          <w:marRight w:val="0"/>
          <w:marTop w:val="0"/>
          <w:marBottom w:val="0"/>
          <w:divBdr>
            <w:top w:val="none" w:sz="0" w:space="0" w:color="auto"/>
            <w:left w:val="none" w:sz="0" w:space="0" w:color="auto"/>
            <w:bottom w:val="none" w:sz="0" w:space="0" w:color="auto"/>
            <w:right w:val="none" w:sz="0" w:space="0" w:color="auto"/>
          </w:divBdr>
        </w:div>
        <w:div w:id="142428897">
          <w:marLeft w:val="0"/>
          <w:marRight w:val="0"/>
          <w:marTop w:val="0"/>
          <w:marBottom w:val="0"/>
          <w:divBdr>
            <w:top w:val="none" w:sz="0" w:space="0" w:color="auto"/>
            <w:left w:val="none" w:sz="0" w:space="0" w:color="auto"/>
            <w:bottom w:val="none" w:sz="0" w:space="0" w:color="auto"/>
            <w:right w:val="none" w:sz="0" w:space="0" w:color="auto"/>
          </w:divBdr>
        </w:div>
        <w:div w:id="152795233">
          <w:marLeft w:val="0"/>
          <w:marRight w:val="0"/>
          <w:marTop w:val="0"/>
          <w:marBottom w:val="0"/>
          <w:divBdr>
            <w:top w:val="none" w:sz="0" w:space="0" w:color="auto"/>
            <w:left w:val="none" w:sz="0" w:space="0" w:color="auto"/>
            <w:bottom w:val="none" w:sz="0" w:space="0" w:color="auto"/>
            <w:right w:val="none" w:sz="0" w:space="0" w:color="auto"/>
          </w:divBdr>
        </w:div>
        <w:div w:id="172382749">
          <w:marLeft w:val="0"/>
          <w:marRight w:val="0"/>
          <w:marTop w:val="0"/>
          <w:marBottom w:val="0"/>
          <w:divBdr>
            <w:top w:val="none" w:sz="0" w:space="0" w:color="auto"/>
            <w:left w:val="none" w:sz="0" w:space="0" w:color="auto"/>
            <w:bottom w:val="none" w:sz="0" w:space="0" w:color="auto"/>
            <w:right w:val="none" w:sz="0" w:space="0" w:color="auto"/>
          </w:divBdr>
        </w:div>
        <w:div w:id="195045715">
          <w:marLeft w:val="0"/>
          <w:marRight w:val="0"/>
          <w:marTop w:val="0"/>
          <w:marBottom w:val="0"/>
          <w:divBdr>
            <w:top w:val="none" w:sz="0" w:space="0" w:color="auto"/>
            <w:left w:val="none" w:sz="0" w:space="0" w:color="auto"/>
            <w:bottom w:val="none" w:sz="0" w:space="0" w:color="auto"/>
            <w:right w:val="none" w:sz="0" w:space="0" w:color="auto"/>
          </w:divBdr>
        </w:div>
        <w:div w:id="201358458">
          <w:marLeft w:val="0"/>
          <w:marRight w:val="0"/>
          <w:marTop w:val="0"/>
          <w:marBottom w:val="0"/>
          <w:divBdr>
            <w:top w:val="none" w:sz="0" w:space="0" w:color="auto"/>
            <w:left w:val="none" w:sz="0" w:space="0" w:color="auto"/>
            <w:bottom w:val="none" w:sz="0" w:space="0" w:color="auto"/>
            <w:right w:val="none" w:sz="0" w:space="0" w:color="auto"/>
          </w:divBdr>
        </w:div>
        <w:div w:id="214859223">
          <w:marLeft w:val="0"/>
          <w:marRight w:val="0"/>
          <w:marTop w:val="0"/>
          <w:marBottom w:val="0"/>
          <w:divBdr>
            <w:top w:val="none" w:sz="0" w:space="0" w:color="auto"/>
            <w:left w:val="none" w:sz="0" w:space="0" w:color="auto"/>
            <w:bottom w:val="none" w:sz="0" w:space="0" w:color="auto"/>
            <w:right w:val="none" w:sz="0" w:space="0" w:color="auto"/>
          </w:divBdr>
        </w:div>
        <w:div w:id="222563391">
          <w:marLeft w:val="0"/>
          <w:marRight w:val="0"/>
          <w:marTop w:val="0"/>
          <w:marBottom w:val="0"/>
          <w:divBdr>
            <w:top w:val="none" w:sz="0" w:space="0" w:color="auto"/>
            <w:left w:val="none" w:sz="0" w:space="0" w:color="auto"/>
            <w:bottom w:val="none" w:sz="0" w:space="0" w:color="auto"/>
            <w:right w:val="none" w:sz="0" w:space="0" w:color="auto"/>
          </w:divBdr>
        </w:div>
        <w:div w:id="228268496">
          <w:marLeft w:val="0"/>
          <w:marRight w:val="0"/>
          <w:marTop w:val="0"/>
          <w:marBottom w:val="0"/>
          <w:divBdr>
            <w:top w:val="none" w:sz="0" w:space="0" w:color="auto"/>
            <w:left w:val="none" w:sz="0" w:space="0" w:color="auto"/>
            <w:bottom w:val="none" w:sz="0" w:space="0" w:color="auto"/>
            <w:right w:val="none" w:sz="0" w:space="0" w:color="auto"/>
          </w:divBdr>
        </w:div>
        <w:div w:id="235751117">
          <w:marLeft w:val="0"/>
          <w:marRight w:val="0"/>
          <w:marTop w:val="0"/>
          <w:marBottom w:val="0"/>
          <w:divBdr>
            <w:top w:val="none" w:sz="0" w:space="0" w:color="auto"/>
            <w:left w:val="none" w:sz="0" w:space="0" w:color="auto"/>
            <w:bottom w:val="none" w:sz="0" w:space="0" w:color="auto"/>
            <w:right w:val="none" w:sz="0" w:space="0" w:color="auto"/>
          </w:divBdr>
        </w:div>
        <w:div w:id="247465947">
          <w:marLeft w:val="0"/>
          <w:marRight w:val="0"/>
          <w:marTop w:val="0"/>
          <w:marBottom w:val="0"/>
          <w:divBdr>
            <w:top w:val="none" w:sz="0" w:space="0" w:color="auto"/>
            <w:left w:val="none" w:sz="0" w:space="0" w:color="auto"/>
            <w:bottom w:val="none" w:sz="0" w:space="0" w:color="auto"/>
            <w:right w:val="none" w:sz="0" w:space="0" w:color="auto"/>
          </w:divBdr>
        </w:div>
        <w:div w:id="249242142">
          <w:marLeft w:val="0"/>
          <w:marRight w:val="0"/>
          <w:marTop w:val="0"/>
          <w:marBottom w:val="0"/>
          <w:divBdr>
            <w:top w:val="none" w:sz="0" w:space="0" w:color="auto"/>
            <w:left w:val="none" w:sz="0" w:space="0" w:color="auto"/>
            <w:bottom w:val="none" w:sz="0" w:space="0" w:color="auto"/>
            <w:right w:val="none" w:sz="0" w:space="0" w:color="auto"/>
          </w:divBdr>
        </w:div>
        <w:div w:id="251161499">
          <w:marLeft w:val="0"/>
          <w:marRight w:val="0"/>
          <w:marTop w:val="0"/>
          <w:marBottom w:val="0"/>
          <w:divBdr>
            <w:top w:val="none" w:sz="0" w:space="0" w:color="auto"/>
            <w:left w:val="none" w:sz="0" w:space="0" w:color="auto"/>
            <w:bottom w:val="none" w:sz="0" w:space="0" w:color="auto"/>
            <w:right w:val="none" w:sz="0" w:space="0" w:color="auto"/>
          </w:divBdr>
        </w:div>
        <w:div w:id="260068699">
          <w:marLeft w:val="0"/>
          <w:marRight w:val="0"/>
          <w:marTop w:val="0"/>
          <w:marBottom w:val="0"/>
          <w:divBdr>
            <w:top w:val="none" w:sz="0" w:space="0" w:color="auto"/>
            <w:left w:val="none" w:sz="0" w:space="0" w:color="auto"/>
            <w:bottom w:val="none" w:sz="0" w:space="0" w:color="auto"/>
            <w:right w:val="none" w:sz="0" w:space="0" w:color="auto"/>
          </w:divBdr>
        </w:div>
        <w:div w:id="272128692">
          <w:marLeft w:val="0"/>
          <w:marRight w:val="0"/>
          <w:marTop w:val="0"/>
          <w:marBottom w:val="0"/>
          <w:divBdr>
            <w:top w:val="none" w:sz="0" w:space="0" w:color="auto"/>
            <w:left w:val="none" w:sz="0" w:space="0" w:color="auto"/>
            <w:bottom w:val="none" w:sz="0" w:space="0" w:color="auto"/>
            <w:right w:val="none" w:sz="0" w:space="0" w:color="auto"/>
          </w:divBdr>
        </w:div>
        <w:div w:id="285697633">
          <w:marLeft w:val="0"/>
          <w:marRight w:val="0"/>
          <w:marTop w:val="0"/>
          <w:marBottom w:val="0"/>
          <w:divBdr>
            <w:top w:val="none" w:sz="0" w:space="0" w:color="auto"/>
            <w:left w:val="none" w:sz="0" w:space="0" w:color="auto"/>
            <w:bottom w:val="none" w:sz="0" w:space="0" w:color="auto"/>
            <w:right w:val="none" w:sz="0" w:space="0" w:color="auto"/>
          </w:divBdr>
        </w:div>
        <w:div w:id="295765863">
          <w:marLeft w:val="0"/>
          <w:marRight w:val="0"/>
          <w:marTop w:val="0"/>
          <w:marBottom w:val="0"/>
          <w:divBdr>
            <w:top w:val="none" w:sz="0" w:space="0" w:color="auto"/>
            <w:left w:val="none" w:sz="0" w:space="0" w:color="auto"/>
            <w:bottom w:val="none" w:sz="0" w:space="0" w:color="auto"/>
            <w:right w:val="none" w:sz="0" w:space="0" w:color="auto"/>
          </w:divBdr>
        </w:div>
        <w:div w:id="297035177">
          <w:marLeft w:val="0"/>
          <w:marRight w:val="0"/>
          <w:marTop w:val="0"/>
          <w:marBottom w:val="0"/>
          <w:divBdr>
            <w:top w:val="none" w:sz="0" w:space="0" w:color="auto"/>
            <w:left w:val="none" w:sz="0" w:space="0" w:color="auto"/>
            <w:bottom w:val="none" w:sz="0" w:space="0" w:color="auto"/>
            <w:right w:val="none" w:sz="0" w:space="0" w:color="auto"/>
          </w:divBdr>
        </w:div>
        <w:div w:id="297688909">
          <w:marLeft w:val="0"/>
          <w:marRight w:val="0"/>
          <w:marTop w:val="0"/>
          <w:marBottom w:val="0"/>
          <w:divBdr>
            <w:top w:val="none" w:sz="0" w:space="0" w:color="auto"/>
            <w:left w:val="none" w:sz="0" w:space="0" w:color="auto"/>
            <w:bottom w:val="none" w:sz="0" w:space="0" w:color="auto"/>
            <w:right w:val="none" w:sz="0" w:space="0" w:color="auto"/>
          </w:divBdr>
        </w:div>
        <w:div w:id="303777256">
          <w:marLeft w:val="0"/>
          <w:marRight w:val="0"/>
          <w:marTop w:val="0"/>
          <w:marBottom w:val="0"/>
          <w:divBdr>
            <w:top w:val="none" w:sz="0" w:space="0" w:color="auto"/>
            <w:left w:val="none" w:sz="0" w:space="0" w:color="auto"/>
            <w:bottom w:val="none" w:sz="0" w:space="0" w:color="auto"/>
            <w:right w:val="none" w:sz="0" w:space="0" w:color="auto"/>
          </w:divBdr>
        </w:div>
        <w:div w:id="304044327">
          <w:marLeft w:val="0"/>
          <w:marRight w:val="0"/>
          <w:marTop w:val="0"/>
          <w:marBottom w:val="0"/>
          <w:divBdr>
            <w:top w:val="none" w:sz="0" w:space="0" w:color="auto"/>
            <w:left w:val="none" w:sz="0" w:space="0" w:color="auto"/>
            <w:bottom w:val="none" w:sz="0" w:space="0" w:color="auto"/>
            <w:right w:val="none" w:sz="0" w:space="0" w:color="auto"/>
          </w:divBdr>
        </w:div>
        <w:div w:id="305937297">
          <w:marLeft w:val="0"/>
          <w:marRight w:val="0"/>
          <w:marTop w:val="0"/>
          <w:marBottom w:val="0"/>
          <w:divBdr>
            <w:top w:val="none" w:sz="0" w:space="0" w:color="auto"/>
            <w:left w:val="none" w:sz="0" w:space="0" w:color="auto"/>
            <w:bottom w:val="none" w:sz="0" w:space="0" w:color="auto"/>
            <w:right w:val="none" w:sz="0" w:space="0" w:color="auto"/>
          </w:divBdr>
        </w:div>
        <w:div w:id="313995813">
          <w:marLeft w:val="0"/>
          <w:marRight w:val="0"/>
          <w:marTop w:val="0"/>
          <w:marBottom w:val="0"/>
          <w:divBdr>
            <w:top w:val="none" w:sz="0" w:space="0" w:color="auto"/>
            <w:left w:val="none" w:sz="0" w:space="0" w:color="auto"/>
            <w:bottom w:val="none" w:sz="0" w:space="0" w:color="auto"/>
            <w:right w:val="none" w:sz="0" w:space="0" w:color="auto"/>
          </w:divBdr>
        </w:div>
        <w:div w:id="320424173">
          <w:marLeft w:val="0"/>
          <w:marRight w:val="0"/>
          <w:marTop w:val="0"/>
          <w:marBottom w:val="0"/>
          <w:divBdr>
            <w:top w:val="none" w:sz="0" w:space="0" w:color="auto"/>
            <w:left w:val="none" w:sz="0" w:space="0" w:color="auto"/>
            <w:bottom w:val="none" w:sz="0" w:space="0" w:color="auto"/>
            <w:right w:val="none" w:sz="0" w:space="0" w:color="auto"/>
          </w:divBdr>
        </w:div>
        <w:div w:id="382994723">
          <w:marLeft w:val="0"/>
          <w:marRight w:val="0"/>
          <w:marTop w:val="0"/>
          <w:marBottom w:val="0"/>
          <w:divBdr>
            <w:top w:val="none" w:sz="0" w:space="0" w:color="auto"/>
            <w:left w:val="none" w:sz="0" w:space="0" w:color="auto"/>
            <w:bottom w:val="none" w:sz="0" w:space="0" w:color="auto"/>
            <w:right w:val="none" w:sz="0" w:space="0" w:color="auto"/>
          </w:divBdr>
        </w:div>
        <w:div w:id="385376118">
          <w:marLeft w:val="0"/>
          <w:marRight w:val="0"/>
          <w:marTop w:val="0"/>
          <w:marBottom w:val="0"/>
          <w:divBdr>
            <w:top w:val="none" w:sz="0" w:space="0" w:color="auto"/>
            <w:left w:val="none" w:sz="0" w:space="0" w:color="auto"/>
            <w:bottom w:val="none" w:sz="0" w:space="0" w:color="auto"/>
            <w:right w:val="none" w:sz="0" w:space="0" w:color="auto"/>
          </w:divBdr>
        </w:div>
        <w:div w:id="393047695">
          <w:marLeft w:val="0"/>
          <w:marRight w:val="0"/>
          <w:marTop w:val="0"/>
          <w:marBottom w:val="0"/>
          <w:divBdr>
            <w:top w:val="none" w:sz="0" w:space="0" w:color="auto"/>
            <w:left w:val="none" w:sz="0" w:space="0" w:color="auto"/>
            <w:bottom w:val="none" w:sz="0" w:space="0" w:color="auto"/>
            <w:right w:val="none" w:sz="0" w:space="0" w:color="auto"/>
          </w:divBdr>
        </w:div>
        <w:div w:id="396171333">
          <w:marLeft w:val="0"/>
          <w:marRight w:val="0"/>
          <w:marTop w:val="0"/>
          <w:marBottom w:val="0"/>
          <w:divBdr>
            <w:top w:val="none" w:sz="0" w:space="0" w:color="auto"/>
            <w:left w:val="none" w:sz="0" w:space="0" w:color="auto"/>
            <w:bottom w:val="none" w:sz="0" w:space="0" w:color="auto"/>
            <w:right w:val="none" w:sz="0" w:space="0" w:color="auto"/>
          </w:divBdr>
        </w:div>
        <w:div w:id="421151232">
          <w:marLeft w:val="0"/>
          <w:marRight w:val="0"/>
          <w:marTop w:val="0"/>
          <w:marBottom w:val="0"/>
          <w:divBdr>
            <w:top w:val="none" w:sz="0" w:space="0" w:color="auto"/>
            <w:left w:val="none" w:sz="0" w:space="0" w:color="auto"/>
            <w:bottom w:val="none" w:sz="0" w:space="0" w:color="auto"/>
            <w:right w:val="none" w:sz="0" w:space="0" w:color="auto"/>
          </w:divBdr>
        </w:div>
        <w:div w:id="441264382">
          <w:marLeft w:val="0"/>
          <w:marRight w:val="0"/>
          <w:marTop w:val="0"/>
          <w:marBottom w:val="0"/>
          <w:divBdr>
            <w:top w:val="none" w:sz="0" w:space="0" w:color="auto"/>
            <w:left w:val="none" w:sz="0" w:space="0" w:color="auto"/>
            <w:bottom w:val="none" w:sz="0" w:space="0" w:color="auto"/>
            <w:right w:val="none" w:sz="0" w:space="0" w:color="auto"/>
          </w:divBdr>
        </w:div>
        <w:div w:id="455758028">
          <w:marLeft w:val="0"/>
          <w:marRight w:val="0"/>
          <w:marTop w:val="0"/>
          <w:marBottom w:val="0"/>
          <w:divBdr>
            <w:top w:val="none" w:sz="0" w:space="0" w:color="auto"/>
            <w:left w:val="none" w:sz="0" w:space="0" w:color="auto"/>
            <w:bottom w:val="none" w:sz="0" w:space="0" w:color="auto"/>
            <w:right w:val="none" w:sz="0" w:space="0" w:color="auto"/>
          </w:divBdr>
        </w:div>
        <w:div w:id="467281109">
          <w:marLeft w:val="0"/>
          <w:marRight w:val="0"/>
          <w:marTop w:val="0"/>
          <w:marBottom w:val="0"/>
          <w:divBdr>
            <w:top w:val="none" w:sz="0" w:space="0" w:color="auto"/>
            <w:left w:val="none" w:sz="0" w:space="0" w:color="auto"/>
            <w:bottom w:val="none" w:sz="0" w:space="0" w:color="auto"/>
            <w:right w:val="none" w:sz="0" w:space="0" w:color="auto"/>
          </w:divBdr>
        </w:div>
        <w:div w:id="490759276">
          <w:marLeft w:val="0"/>
          <w:marRight w:val="0"/>
          <w:marTop w:val="0"/>
          <w:marBottom w:val="0"/>
          <w:divBdr>
            <w:top w:val="none" w:sz="0" w:space="0" w:color="auto"/>
            <w:left w:val="none" w:sz="0" w:space="0" w:color="auto"/>
            <w:bottom w:val="none" w:sz="0" w:space="0" w:color="auto"/>
            <w:right w:val="none" w:sz="0" w:space="0" w:color="auto"/>
          </w:divBdr>
        </w:div>
        <w:div w:id="504714527">
          <w:marLeft w:val="0"/>
          <w:marRight w:val="0"/>
          <w:marTop w:val="0"/>
          <w:marBottom w:val="0"/>
          <w:divBdr>
            <w:top w:val="none" w:sz="0" w:space="0" w:color="auto"/>
            <w:left w:val="none" w:sz="0" w:space="0" w:color="auto"/>
            <w:bottom w:val="none" w:sz="0" w:space="0" w:color="auto"/>
            <w:right w:val="none" w:sz="0" w:space="0" w:color="auto"/>
          </w:divBdr>
        </w:div>
        <w:div w:id="508908493">
          <w:marLeft w:val="0"/>
          <w:marRight w:val="0"/>
          <w:marTop w:val="0"/>
          <w:marBottom w:val="0"/>
          <w:divBdr>
            <w:top w:val="none" w:sz="0" w:space="0" w:color="auto"/>
            <w:left w:val="none" w:sz="0" w:space="0" w:color="auto"/>
            <w:bottom w:val="none" w:sz="0" w:space="0" w:color="auto"/>
            <w:right w:val="none" w:sz="0" w:space="0" w:color="auto"/>
          </w:divBdr>
        </w:div>
        <w:div w:id="551771105">
          <w:marLeft w:val="0"/>
          <w:marRight w:val="0"/>
          <w:marTop w:val="0"/>
          <w:marBottom w:val="0"/>
          <w:divBdr>
            <w:top w:val="none" w:sz="0" w:space="0" w:color="auto"/>
            <w:left w:val="none" w:sz="0" w:space="0" w:color="auto"/>
            <w:bottom w:val="none" w:sz="0" w:space="0" w:color="auto"/>
            <w:right w:val="none" w:sz="0" w:space="0" w:color="auto"/>
          </w:divBdr>
        </w:div>
        <w:div w:id="558712515">
          <w:marLeft w:val="0"/>
          <w:marRight w:val="0"/>
          <w:marTop w:val="0"/>
          <w:marBottom w:val="0"/>
          <w:divBdr>
            <w:top w:val="none" w:sz="0" w:space="0" w:color="auto"/>
            <w:left w:val="none" w:sz="0" w:space="0" w:color="auto"/>
            <w:bottom w:val="none" w:sz="0" w:space="0" w:color="auto"/>
            <w:right w:val="none" w:sz="0" w:space="0" w:color="auto"/>
          </w:divBdr>
        </w:div>
        <w:div w:id="560948346">
          <w:marLeft w:val="0"/>
          <w:marRight w:val="0"/>
          <w:marTop w:val="0"/>
          <w:marBottom w:val="0"/>
          <w:divBdr>
            <w:top w:val="none" w:sz="0" w:space="0" w:color="auto"/>
            <w:left w:val="none" w:sz="0" w:space="0" w:color="auto"/>
            <w:bottom w:val="none" w:sz="0" w:space="0" w:color="auto"/>
            <w:right w:val="none" w:sz="0" w:space="0" w:color="auto"/>
          </w:divBdr>
        </w:div>
        <w:div w:id="566066073">
          <w:marLeft w:val="0"/>
          <w:marRight w:val="0"/>
          <w:marTop w:val="0"/>
          <w:marBottom w:val="0"/>
          <w:divBdr>
            <w:top w:val="none" w:sz="0" w:space="0" w:color="auto"/>
            <w:left w:val="none" w:sz="0" w:space="0" w:color="auto"/>
            <w:bottom w:val="none" w:sz="0" w:space="0" w:color="auto"/>
            <w:right w:val="none" w:sz="0" w:space="0" w:color="auto"/>
          </w:divBdr>
        </w:div>
        <w:div w:id="590360094">
          <w:marLeft w:val="0"/>
          <w:marRight w:val="0"/>
          <w:marTop w:val="0"/>
          <w:marBottom w:val="0"/>
          <w:divBdr>
            <w:top w:val="none" w:sz="0" w:space="0" w:color="auto"/>
            <w:left w:val="none" w:sz="0" w:space="0" w:color="auto"/>
            <w:bottom w:val="none" w:sz="0" w:space="0" w:color="auto"/>
            <w:right w:val="none" w:sz="0" w:space="0" w:color="auto"/>
          </w:divBdr>
        </w:div>
        <w:div w:id="596594185">
          <w:marLeft w:val="0"/>
          <w:marRight w:val="0"/>
          <w:marTop w:val="0"/>
          <w:marBottom w:val="0"/>
          <w:divBdr>
            <w:top w:val="none" w:sz="0" w:space="0" w:color="auto"/>
            <w:left w:val="none" w:sz="0" w:space="0" w:color="auto"/>
            <w:bottom w:val="none" w:sz="0" w:space="0" w:color="auto"/>
            <w:right w:val="none" w:sz="0" w:space="0" w:color="auto"/>
          </w:divBdr>
        </w:div>
        <w:div w:id="603339659">
          <w:marLeft w:val="0"/>
          <w:marRight w:val="0"/>
          <w:marTop w:val="0"/>
          <w:marBottom w:val="0"/>
          <w:divBdr>
            <w:top w:val="none" w:sz="0" w:space="0" w:color="auto"/>
            <w:left w:val="none" w:sz="0" w:space="0" w:color="auto"/>
            <w:bottom w:val="none" w:sz="0" w:space="0" w:color="auto"/>
            <w:right w:val="none" w:sz="0" w:space="0" w:color="auto"/>
          </w:divBdr>
        </w:div>
        <w:div w:id="606355818">
          <w:marLeft w:val="0"/>
          <w:marRight w:val="0"/>
          <w:marTop w:val="0"/>
          <w:marBottom w:val="0"/>
          <w:divBdr>
            <w:top w:val="none" w:sz="0" w:space="0" w:color="auto"/>
            <w:left w:val="none" w:sz="0" w:space="0" w:color="auto"/>
            <w:bottom w:val="none" w:sz="0" w:space="0" w:color="auto"/>
            <w:right w:val="none" w:sz="0" w:space="0" w:color="auto"/>
          </w:divBdr>
        </w:div>
        <w:div w:id="607154325">
          <w:marLeft w:val="0"/>
          <w:marRight w:val="0"/>
          <w:marTop w:val="0"/>
          <w:marBottom w:val="0"/>
          <w:divBdr>
            <w:top w:val="none" w:sz="0" w:space="0" w:color="auto"/>
            <w:left w:val="none" w:sz="0" w:space="0" w:color="auto"/>
            <w:bottom w:val="none" w:sz="0" w:space="0" w:color="auto"/>
            <w:right w:val="none" w:sz="0" w:space="0" w:color="auto"/>
          </w:divBdr>
        </w:div>
        <w:div w:id="629828533">
          <w:marLeft w:val="0"/>
          <w:marRight w:val="0"/>
          <w:marTop w:val="0"/>
          <w:marBottom w:val="0"/>
          <w:divBdr>
            <w:top w:val="none" w:sz="0" w:space="0" w:color="auto"/>
            <w:left w:val="none" w:sz="0" w:space="0" w:color="auto"/>
            <w:bottom w:val="none" w:sz="0" w:space="0" w:color="auto"/>
            <w:right w:val="none" w:sz="0" w:space="0" w:color="auto"/>
          </w:divBdr>
        </w:div>
        <w:div w:id="644821709">
          <w:marLeft w:val="0"/>
          <w:marRight w:val="0"/>
          <w:marTop w:val="0"/>
          <w:marBottom w:val="0"/>
          <w:divBdr>
            <w:top w:val="none" w:sz="0" w:space="0" w:color="auto"/>
            <w:left w:val="none" w:sz="0" w:space="0" w:color="auto"/>
            <w:bottom w:val="none" w:sz="0" w:space="0" w:color="auto"/>
            <w:right w:val="none" w:sz="0" w:space="0" w:color="auto"/>
          </w:divBdr>
        </w:div>
        <w:div w:id="648553507">
          <w:marLeft w:val="0"/>
          <w:marRight w:val="0"/>
          <w:marTop w:val="0"/>
          <w:marBottom w:val="0"/>
          <w:divBdr>
            <w:top w:val="none" w:sz="0" w:space="0" w:color="auto"/>
            <w:left w:val="none" w:sz="0" w:space="0" w:color="auto"/>
            <w:bottom w:val="none" w:sz="0" w:space="0" w:color="auto"/>
            <w:right w:val="none" w:sz="0" w:space="0" w:color="auto"/>
          </w:divBdr>
        </w:div>
        <w:div w:id="663633117">
          <w:marLeft w:val="0"/>
          <w:marRight w:val="0"/>
          <w:marTop w:val="0"/>
          <w:marBottom w:val="0"/>
          <w:divBdr>
            <w:top w:val="none" w:sz="0" w:space="0" w:color="auto"/>
            <w:left w:val="none" w:sz="0" w:space="0" w:color="auto"/>
            <w:bottom w:val="none" w:sz="0" w:space="0" w:color="auto"/>
            <w:right w:val="none" w:sz="0" w:space="0" w:color="auto"/>
          </w:divBdr>
        </w:div>
        <w:div w:id="666245159">
          <w:marLeft w:val="0"/>
          <w:marRight w:val="0"/>
          <w:marTop w:val="0"/>
          <w:marBottom w:val="0"/>
          <w:divBdr>
            <w:top w:val="none" w:sz="0" w:space="0" w:color="auto"/>
            <w:left w:val="none" w:sz="0" w:space="0" w:color="auto"/>
            <w:bottom w:val="none" w:sz="0" w:space="0" w:color="auto"/>
            <w:right w:val="none" w:sz="0" w:space="0" w:color="auto"/>
          </w:divBdr>
        </w:div>
        <w:div w:id="672268389">
          <w:marLeft w:val="0"/>
          <w:marRight w:val="0"/>
          <w:marTop w:val="0"/>
          <w:marBottom w:val="0"/>
          <w:divBdr>
            <w:top w:val="none" w:sz="0" w:space="0" w:color="auto"/>
            <w:left w:val="none" w:sz="0" w:space="0" w:color="auto"/>
            <w:bottom w:val="none" w:sz="0" w:space="0" w:color="auto"/>
            <w:right w:val="none" w:sz="0" w:space="0" w:color="auto"/>
          </w:divBdr>
        </w:div>
        <w:div w:id="720323047">
          <w:marLeft w:val="0"/>
          <w:marRight w:val="0"/>
          <w:marTop w:val="0"/>
          <w:marBottom w:val="0"/>
          <w:divBdr>
            <w:top w:val="none" w:sz="0" w:space="0" w:color="auto"/>
            <w:left w:val="none" w:sz="0" w:space="0" w:color="auto"/>
            <w:bottom w:val="none" w:sz="0" w:space="0" w:color="auto"/>
            <w:right w:val="none" w:sz="0" w:space="0" w:color="auto"/>
          </w:divBdr>
        </w:div>
        <w:div w:id="722294049">
          <w:marLeft w:val="0"/>
          <w:marRight w:val="0"/>
          <w:marTop w:val="0"/>
          <w:marBottom w:val="0"/>
          <w:divBdr>
            <w:top w:val="none" w:sz="0" w:space="0" w:color="auto"/>
            <w:left w:val="none" w:sz="0" w:space="0" w:color="auto"/>
            <w:bottom w:val="none" w:sz="0" w:space="0" w:color="auto"/>
            <w:right w:val="none" w:sz="0" w:space="0" w:color="auto"/>
          </w:divBdr>
        </w:div>
        <w:div w:id="748162586">
          <w:marLeft w:val="0"/>
          <w:marRight w:val="0"/>
          <w:marTop w:val="0"/>
          <w:marBottom w:val="0"/>
          <w:divBdr>
            <w:top w:val="none" w:sz="0" w:space="0" w:color="auto"/>
            <w:left w:val="none" w:sz="0" w:space="0" w:color="auto"/>
            <w:bottom w:val="none" w:sz="0" w:space="0" w:color="auto"/>
            <w:right w:val="none" w:sz="0" w:space="0" w:color="auto"/>
          </w:divBdr>
        </w:div>
        <w:div w:id="762262849">
          <w:marLeft w:val="0"/>
          <w:marRight w:val="0"/>
          <w:marTop w:val="0"/>
          <w:marBottom w:val="0"/>
          <w:divBdr>
            <w:top w:val="none" w:sz="0" w:space="0" w:color="auto"/>
            <w:left w:val="none" w:sz="0" w:space="0" w:color="auto"/>
            <w:bottom w:val="none" w:sz="0" w:space="0" w:color="auto"/>
            <w:right w:val="none" w:sz="0" w:space="0" w:color="auto"/>
          </w:divBdr>
        </w:div>
        <w:div w:id="763846013">
          <w:marLeft w:val="0"/>
          <w:marRight w:val="0"/>
          <w:marTop w:val="0"/>
          <w:marBottom w:val="0"/>
          <w:divBdr>
            <w:top w:val="none" w:sz="0" w:space="0" w:color="auto"/>
            <w:left w:val="none" w:sz="0" w:space="0" w:color="auto"/>
            <w:bottom w:val="none" w:sz="0" w:space="0" w:color="auto"/>
            <w:right w:val="none" w:sz="0" w:space="0" w:color="auto"/>
          </w:divBdr>
        </w:div>
        <w:div w:id="782849068">
          <w:marLeft w:val="0"/>
          <w:marRight w:val="0"/>
          <w:marTop w:val="0"/>
          <w:marBottom w:val="0"/>
          <w:divBdr>
            <w:top w:val="none" w:sz="0" w:space="0" w:color="auto"/>
            <w:left w:val="none" w:sz="0" w:space="0" w:color="auto"/>
            <w:bottom w:val="none" w:sz="0" w:space="0" w:color="auto"/>
            <w:right w:val="none" w:sz="0" w:space="0" w:color="auto"/>
          </w:divBdr>
        </w:div>
        <w:div w:id="801582462">
          <w:marLeft w:val="0"/>
          <w:marRight w:val="0"/>
          <w:marTop w:val="0"/>
          <w:marBottom w:val="0"/>
          <w:divBdr>
            <w:top w:val="none" w:sz="0" w:space="0" w:color="auto"/>
            <w:left w:val="none" w:sz="0" w:space="0" w:color="auto"/>
            <w:bottom w:val="none" w:sz="0" w:space="0" w:color="auto"/>
            <w:right w:val="none" w:sz="0" w:space="0" w:color="auto"/>
          </w:divBdr>
        </w:div>
        <w:div w:id="810094483">
          <w:marLeft w:val="0"/>
          <w:marRight w:val="0"/>
          <w:marTop w:val="0"/>
          <w:marBottom w:val="0"/>
          <w:divBdr>
            <w:top w:val="none" w:sz="0" w:space="0" w:color="auto"/>
            <w:left w:val="none" w:sz="0" w:space="0" w:color="auto"/>
            <w:bottom w:val="none" w:sz="0" w:space="0" w:color="auto"/>
            <w:right w:val="none" w:sz="0" w:space="0" w:color="auto"/>
          </w:divBdr>
        </w:div>
        <w:div w:id="828254040">
          <w:marLeft w:val="0"/>
          <w:marRight w:val="0"/>
          <w:marTop w:val="0"/>
          <w:marBottom w:val="0"/>
          <w:divBdr>
            <w:top w:val="none" w:sz="0" w:space="0" w:color="auto"/>
            <w:left w:val="none" w:sz="0" w:space="0" w:color="auto"/>
            <w:bottom w:val="none" w:sz="0" w:space="0" w:color="auto"/>
            <w:right w:val="none" w:sz="0" w:space="0" w:color="auto"/>
          </w:divBdr>
        </w:div>
        <w:div w:id="830098137">
          <w:marLeft w:val="0"/>
          <w:marRight w:val="0"/>
          <w:marTop w:val="0"/>
          <w:marBottom w:val="0"/>
          <w:divBdr>
            <w:top w:val="none" w:sz="0" w:space="0" w:color="auto"/>
            <w:left w:val="none" w:sz="0" w:space="0" w:color="auto"/>
            <w:bottom w:val="none" w:sz="0" w:space="0" w:color="auto"/>
            <w:right w:val="none" w:sz="0" w:space="0" w:color="auto"/>
          </w:divBdr>
        </w:div>
        <w:div w:id="839586238">
          <w:marLeft w:val="0"/>
          <w:marRight w:val="0"/>
          <w:marTop w:val="0"/>
          <w:marBottom w:val="0"/>
          <w:divBdr>
            <w:top w:val="none" w:sz="0" w:space="0" w:color="auto"/>
            <w:left w:val="none" w:sz="0" w:space="0" w:color="auto"/>
            <w:bottom w:val="none" w:sz="0" w:space="0" w:color="auto"/>
            <w:right w:val="none" w:sz="0" w:space="0" w:color="auto"/>
          </w:divBdr>
        </w:div>
        <w:div w:id="857280164">
          <w:marLeft w:val="0"/>
          <w:marRight w:val="0"/>
          <w:marTop w:val="0"/>
          <w:marBottom w:val="0"/>
          <w:divBdr>
            <w:top w:val="none" w:sz="0" w:space="0" w:color="auto"/>
            <w:left w:val="none" w:sz="0" w:space="0" w:color="auto"/>
            <w:bottom w:val="none" w:sz="0" w:space="0" w:color="auto"/>
            <w:right w:val="none" w:sz="0" w:space="0" w:color="auto"/>
          </w:divBdr>
        </w:div>
        <w:div w:id="877594278">
          <w:marLeft w:val="0"/>
          <w:marRight w:val="0"/>
          <w:marTop w:val="0"/>
          <w:marBottom w:val="0"/>
          <w:divBdr>
            <w:top w:val="none" w:sz="0" w:space="0" w:color="auto"/>
            <w:left w:val="none" w:sz="0" w:space="0" w:color="auto"/>
            <w:bottom w:val="none" w:sz="0" w:space="0" w:color="auto"/>
            <w:right w:val="none" w:sz="0" w:space="0" w:color="auto"/>
          </w:divBdr>
        </w:div>
        <w:div w:id="947735340">
          <w:marLeft w:val="0"/>
          <w:marRight w:val="0"/>
          <w:marTop w:val="0"/>
          <w:marBottom w:val="0"/>
          <w:divBdr>
            <w:top w:val="none" w:sz="0" w:space="0" w:color="auto"/>
            <w:left w:val="none" w:sz="0" w:space="0" w:color="auto"/>
            <w:bottom w:val="none" w:sz="0" w:space="0" w:color="auto"/>
            <w:right w:val="none" w:sz="0" w:space="0" w:color="auto"/>
          </w:divBdr>
        </w:div>
        <w:div w:id="952175683">
          <w:marLeft w:val="0"/>
          <w:marRight w:val="0"/>
          <w:marTop w:val="0"/>
          <w:marBottom w:val="0"/>
          <w:divBdr>
            <w:top w:val="none" w:sz="0" w:space="0" w:color="auto"/>
            <w:left w:val="none" w:sz="0" w:space="0" w:color="auto"/>
            <w:bottom w:val="none" w:sz="0" w:space="0" w:color="auto"/>
            <w:right w:val="none" w:sz="0" w:space="0" w:color="auto"/>
          </w:divBdr>
        </w:div>
        <w:div w:id="967974564">
          <w:marLeft w:val="0"/>
          <w:marRight w:val="0"/>
          <w:marTop w:val="0"/>
          <w:marBottom w:val="0"/>
          <w:divBdr>
            <w:top w:val="none" w:sz="0" w:space="0" w:color="auto"/>
            <w:left w:val="none" w:sz="0" w:space="0" w:color="auto"/>
            <w:bottom w:val="none" w:sz="0" w:space="0" w:color="auto"/>
            <w:right w:val="none" w:sz="0" w:space="0" w:color="auto"/>
          </w:divBdr>
        </w:div>
        <w:div w:id="979726337">
          <w:marLeft w:val="0"/>
          <w:marRight w:val="0"/>
          <w:marTop w:val="0"/>
          <w:marBottom w:val="0"/>
          <w:divBdr>
            <w:top w:val="none" w:sz="0" w:space="0" w:color="auto"/>
            <w:left w:val="none" w:sz="0" w:space="0" w:color="auto"/>
            <w:bottom w:val="none" w:sz="0" w:space="0" w:color="auto"/>
            <w:right w:val="none" w:sz="0" w:space="0" w:color="auto"/>
          </w:divBdr>
        </w:div>
        <w:div w:id="981422862">
          <w:marLeft w:val="0"/>
          <w:marRight w:val="0"/>
          <w:marTop w:val="0"/>
          <w:marBottom w:val="0"/>
          <w:divBdr>
            <w:top w:val="none" w:sz="0" w:space="0" w:color="auto"/>
            <w:left w:val="none" w:sz="0" w:space="0" w:color="auto"/>
            <w:bottom w:val="none" w:sz="0" w:space="0" w:color="auto"/>
            <w:right w:val="none" w:sz="0" w:space="0" w:color="auto"/>
          </w:divBdr>
        </w:div>
        <w:div w:id="1010253847">
          <w:marLeft w:val="0"/>
          <w:marRight w:val="0"/>
          <w:marTop w:val="0"/>
          <w:marBottom w:val="0"/>
          <w:divBdr>
            <w:top w:val="none" w:sz="0" w:space="0" w:color="auto"/>
            <w:left w:val="none" w:sz="0" w:space="0" w:color="auto"/>
            <w:bottom w:val="none" w:sz="0" w:space="0" w:color="auto"/>
            <w:right w:val="none" w:sz="0" w:space="0" w:color="auto"/>
          </w:divBdr>
        </w:div>
        <w:div w:id="1010984939">
          <w:marLeft w:val="0"/>
          <w:marRight w:val="0"/>
          <w:marTop w:val="0"/>
          <w:marBottom w:val="0"/>
          <w:divBdr>
            <w:top w:val="none" w:sz="0" w:space="0" w:color="auto"/>
            <w:left w:val="none" w:sz="0" w:space="0" w:color="auto"/>
            <w:bottom w:val="none" w:sz="0" w:space="0" w:color="auto"/>
            <w:right w:val="none" w:sz="0" w:space="0" w:color="auto"/>
          </w:divBdr>
        </w:div>
        <w:div w:id="1017197316">
          <w:marLeft w:val="0"/>
          <w:marRight w:val="0"/>
          <w:marTop w:val="0"/>
          <w:marBottom w:val="0"/>
          <w:divBdr>
            <w:top w:val="none" w:sz="0" w:space="0" w:color="auto"/>
            <w:left w:val="none" w:sz="0" w:space="0" w:color="auto"/>
            <w:bottom w:val="none" w:sz="0" w:space="0" w:color="auto"/>
            <w:right w:val="none" w:sz="0" w:space="0" w:color="auto"/>
          </w:divBdr>
        </w:div>
        <w:div w:id="1018774535">
          <w:marLeft w:val="0"/>
          <w:marRight w:val="0"/>
          <w:marTop w:val="0"/>
          <w:marBottom w:val="0"/>
          <w:divBdr>
            <w:top w:val="none" w:sz="0" w:space="0" w:color="auto"/>
            <w:left w:val="none" w:sz="0" w:space="0" w:color="auto"/>
            <w:bottom w:val="none" w:sz="0" w:space="0" w:color="auto"/>
            <w:right w:val="none" w:sz="0" w:space="0" w:color="auto"/>
          </w:divBdr>
        </w:div>
        <w:div w:id="1021399377">
          <w:marLeft w:val="0"/>
          <w:marRight w:val="0"/>
          <w:marTop w:val="0"/>
          <w:marBottom w:val="0"/>
          <w:divBdr>
            <w:top w:val="none" w:sz="0" w:space="0" w:color="auto"/>
            <w:left w:val="none" w:sz="0" w:space="0" w:color="auto"/>
            <w:bottom w:val="none" w:sz="0" w:space="0" w:color="auto"/>
            <w:right w:val="none" w:sz="0" w:space="0" w:color="auto"/>
          </w:divBdr>
        </w:div>
        <w:div w:id="1032071790">
          <w:marLeft w:val="0"/>
          <w:marRight w:val="0"/>
          <w:marTop w:val="0"/>
          <w:marBottom w:val="0"/>
          <w:divBdr>
            <w:top w:val="none" w:sz="0" w:space="0" w:color="auto"/>
            <w:left w:val="none" w:sz="0" w:space="0" w:color="auto"/>
            <w:bottom w:val="none" w:sz="0" w:space="0" w:color="auto"/>
            <w:right w:val="none" w:sz="0" w:space="0" w:color="auto"/>
          </w:divBdr>
        </w:div>
        <w:div w:id="1032726139">
          <w:marLeft w:val="0"/>
          <w:marRight w:val="0"/>
          <w:marTop w:val="0"/>
          <w:marBottom w:val="0"/>
          <w:divBdr>
            <w:top w:val="none" w:sz="0" w:space="0" w:color="auto"/>
            <w:left w:val="none" w:sz="0" w:space="0" w:color="auto"/>
            <w:bottom w:val="none" w:sz="0" w:space="0" w:color="auto"/>
            <w:right w:val="none" w:sz="0" w:space="0" w:color="auto"/>
          </w:divBdr>
        </w:div>
        <w:div w:id="1034842438">
          <w:marLeft w:val="0"/>
          <w:marRight w:val="0"/>
          <w:marTop w:val="0"/>
          <w:marBottom w:val="0"/>
          <w:divBdr>
            <w:top w:val="none" w:sz="0" w:space="0" w:color="auto"/>
            <w:left w:val="none" w:sz="0" w:space="0" w:color="auto"/>
            <w:bottom w:val="none" w:sz="0" w:space="0" w:color="auto"/>
            <w:right w:val="none" w:sz="0" w:space="0" w:color="auto"/>
          </w:divBdr>
        </w:div>
        <w:div w:id="1050692956">
          <w:marLeft w:val="0"/>
          <w:marRight w:val="0"/>
          <w:marTop w:val="0"/>
          <w:marBottom w:val="0"/>
          <w:divBdr>
            <w:top w:val="none" w:sz="0" w:space="0" w:color="auto"/>
            <w:left w:val="none" w:sz="0" w:space="0" w:color="auto"/>
            <w:bottom w:val="none" w:sz="0" w:space="0" w:color="auto"/>
            <w:right w:val="none" w:sz="0" w:space="0" w:color="auto"/>
          </w:divBdr>
        </w:div>
        <w:div w:id="1076510364">
          <w:marLeft w:val="0"/>
          <w:marRight w:val="0"/>
          <w:marTop w:val="0"/>
          <w:marBottom w:val="0"/>
          <w:divBdr>
            <w:top w:val="none" w:sz="0" w:space="0" w:color="auto"/>
            <w:left w:val="none" w:sz="0" w:space="0" w:color="auto"/>
            <w:bottom w:val="none" w:sz="0" w:space="0" w:color="auto"/>
            <w:right w:val="none" w:sz="0" w:space="0" w:color="auto"/>
          </w:divBdr>
        </w:div>
        <w:div w:id="1077019283">
          <w:marLeft w:val="0"/>
          <w:marRight w:val="0"/>
          <w:marTop w:val="0"/>
          <w:marBottom w:val="0"/>
          <w:divBdr>
            <w:top w:val="none" w:sz="0" w:space="0" w:color="auto"/>
            <w:left w:val="none" w:sz="0" w:space="0" w:color="auto"/>
            <w:bottom w:val="none" w:sz="0" w:space="0" w:color="auto"/>
            <w:right w:val="none" w:sz="0" w:space="0" w:color="auto"/>
          </w:divBdr>
        </w:div>
        <w:div w:id="1079130411">
          <w:marLeft w:val="0"/>
          <w:marRight w:val="0"/>
          <w:marTop w:val="0"/>
          <w:marBottom w:val="0"/>
          <w:divBdr>
            <w:top w:val="none" w:sz="0" w:space="0" w:color="auto"/>
            <w:left w:val="none" w:sz="0" w:space="0" w:color="auto"/>
            <w:bottom w:val="none" w:sz="0" w:space="0" w:color="auto"/>
            <w:right w:val="none" w:sz="0" w:space="0" w:color="auto"/>
          </w:divBdr>
        </w:div>
        <w:div w:id="1100027808">
          <w:marLeft w:val="0"/>
          <w:marRight w:val="0"/>
          <w:marTop w:val="0"/>
          <w:marBottom w:val="0"/>
          <w:divBdr>
            <w:top w:val="none" w:sz="0" w:space="0" w:color="auto"/>
            <w:left w:val="none" w:sz="0" w:space="0" w:color="auto"/>
            <w:bottom w:val="none" w:sz="0" w:space="0" w:color="auto"/>
            <w:right w:val="none" w:sz="0" w:space="0" w:color="auto"/>
          </w:divBdr>
        </w:div>
        <w:div w:id="1122042709">
          <w:marLeft w:val="0"/>
          <w:marRight w:val="0"/>
          <w:marTop w:val="0"/>
          <w:marBottom w:val="0"/>
          <w:divBdr>
            <w:top w:val="none" w:sz="0" w:space="0" w:color="auto"/>
            <w:left w:val="none" w:sz="0" w:space="0" w:color="auto"/>
            <w:bottom w:val="none" w:sz="0" w:space="0" w:color="auto"/>
            <w:right w:val="none" w:sz="0" w:space="0" w:color="auto"/>
          </w:divBdr>
        </w:div>
        <w:div w:id="1122501009">
          <w:marLeft w:val="0"/>
          <w:marRight w:val="0"/>
          <w:marTop w:val="0"/>
          <w:marBottom w:val="0"/>
          <w:divBdr>
            <w:top w:val="none" w:sz="0" w:space="0" w:color="auto"/>
            <w:left w:val="none" w:sz="0" w:space="0" w:color="auto"/>
            <w:bottom w:val="none" w:sz="0" w:space="0" w:color="auto"/>
            <w:right w:val="none" w:sz="0" w:space="0" w:color="auto"/>
          </w:divBdr>
        </w:div>
        <w:div w:id="1139570806">
          <w:marLeft w:val="0"/>
          <w:marRight w:val="0"/>
          <w:marTop w:val="0"/>
          <w:marBottom w:val="0"/>
          <w:divBdr>
            <w:top w:val="none" w:sz="0" w:space="0" w:color="auto"/>
            <w:left w:val="none" w:sz="0" w:space="0" w:color="auto"/>
            <w:bottom w:val="none" w:sz="0" w:space="0" w:color="auto"/>
            <w:right w:val="none" w:sz="0" w:space="0" w:color="auto"/>
          </w:divBdr>
        </w:div>
        <w:div w:id="1140489764">
          <w:marLeft w:val="0"/>
          <w:marRight w:val="0"/>
          <w:marTop w:val="0"/>
          <w:marBottom w:val="0"/>
          <w:divBdr>
            <w:top w:val="none" w:sz="0" w:space="0" w:color="auto"/>
            <w:left w:val="none" w:sz="0" w:space="0" w:color="auto"/>
            <w:bottom w:val="none" w:sz="0" w:space="0" w:color="auto"/>
            <w:right w:val="none" w:sz="0" w:space="0" w:color="auto"/>
          </w:divBdr>
        </w:div>
        <w:div w:id="1144813326">
          <w:marLeft w:val="0"/>
          <w:marRight w:val="0"/>
          <w:marTop w:val="0"/>
          <w:marBottom w:val="0"/>
          <w:divBdr>
            <w:top w:val="none" w:sz="0" w:space="0" w:color="auto"/>
            <w:left w:val="none" w:sz="0" w:space="0" w:color="auto"/>
            <w:bottom w:val="none" w:sz="0" w:space="0" w:color="auto"/>
            <w:right w:val="none" w:sz="0" w:space="0" w:color="auto"/>
          </w:divBdr>
        </w:div>
        <w:div w:id="1151097108">
          <w:marLeft w:val="0"/>
          <w:marRight w:val="0"/>
          <w:marTop w:val="0"/>
          <w:marBottom w:val="0"/>
          <w:divBdr>
            <w:top w:val="none" w:sz="0" w:space="0" w:color="auto"/>
            <w:left w:val="none" w:sz="0" w:space="0" w:color="auto"/>
            <w:bottom w:val="none" w:sz="0" w:space="0" w:color="auto"/>
            <w:right w:val="none" w:sz="0" w:space="0" w:color="auto"/>
          </w:divBdr>
        </w:div>
        <w:div w:id="1167328580">
          <w:marLeft w:val="0"/>
          <w:marRight w:val="0"/>
          <w:marTop w:val="0"/>
          <w:marBottom w:val="0"/>
          <w:divBdr>
            <w:top w:val="none" w:sz="0" w:space="0" w:color="auto"/>
            <w:left w:val="none" w:sz="0" w:space="0" w:color="auto"/>
            <w:bottom w:val="none" w:sz="0" w:space="0" w:color="auto"/>
            <w:right w:val="none" w:sz="0" w:space="0" w:color="auto"/>
          </w:divBdr>
        </w:div>
        <w:div w:id="1174880713">
          <w:marLeft w:val="0"/>
          <w:marRight w:val="0"/>
          <w:marTop w:val="0"/>
          <w:marBottom w:val="0"/>
          <w:divBdr>
            <w:top w:val="none" w:sz="0" w:space="0" w:color="auto"/>
            <w:left w:val="none" w:sz="0" w:space="0" w:color="auto"/>
            <w:bottom w:val="none" w:sz="0" w:space="0" w:color="auto"/>
            <w:right w:val="none" w:sz="0" w:space="0" w:color="auto"/>
          </w:divBdr>
        </w:div>
        <w:div w:id="1178927164">
          <w:marLeft w:val="0"/>
          <w:marRight w:val="0"/>
          <w:marTop w:val="0"/>
          <w:marBottom w:val="0"/>
          <w:divBdr>
            <w:top w:val="none" w:sz="0" w:space="0" w:color="auto"/>
            <w:left w:val="none" w:sz="0" w:space="0" w:color="auto"/>
            <w:bottom w:val="none" w:sz="0" w:space="0" w:color="auto"/>
            <w:right w:val="none" w:sz="0" w:space="0" w:color="auto"/>
          </w:divBdr>
        </w:div>
        <w:div w:id="1184126986">
          <w:marLeft w:val="0"/>
          <w:marRight w:val="0"/>
          <w:marTop w:val="0"/>
          <w:marBottom w:val="0"/>
          <w:divBdr>
            <w:top w:val="none" w:sz="0" w:space="0" w:color="auto"/>
            <w:left w:val="none" w:sz="0" w:space="0" w:color="auto"/>
            <w:bottom w:val="none" w:sz="0" w:space="0" w:color="auto"/>
            <w:right w:val="none" w:sz="0" w:space="0" w:color="auto"/>
          </w:divBdr>
        </w:div>
        <w:div w:id="1194806121">
          <w:marLeft w:val="0"/>
          <w:marRight w:val="0"/>
          <w:marTop w:val="0"/>
          <w:marBottom w:val="0"/>
          <w:divBdr>
            <w:top w:val="none" w:sz="0" w:space="0" w:color="auto"/>
            <w:left w:val="none" w:sz="0" w:space="0" w:color="auto"/>
            <w:bottom w:val="none" w:sz="0" w:space="0" w:color="auto"/>
            <w:right w:val="none" w:sz="0" w:space="0" w:color="auto"/>
          </w:divBdr>
        </w:div>
        <w:div w:id="1195196798">
          <w:marLeft w:val="0"/>
          <w:marRight w:val="0"/>
          <w:marTop w:val="0"/>
          <w:marBottom w:val="0"/>
          <w:divBdr>
            <w:top w:val="none" w:sz="0" w:space="0" w:color="auto"/>
            <w:left w:val="none" w:sz="0" w:space="0" w:color="auto"/>
            <w:bottom w:val="none" w:sz="0" w:space="0" w:color="auto"/>
            <w:right w:val="none" w:sz="0" w:space="0" w:color="auto"/>
          </w:divBdr>
        </w:div>
        <w:div w:id="1198857479">
          <w:marLeft w:val="0"/>
          <w:marRight w:val="0"/>
          <w:marTop w:val="0"/>
          <w:marBottom w:val="0"/>
          <w:divBdr>
            <w:top w:val="none" w:sz="0" w:space="0" w:color="auto"/>
            <w:left w:val="none" w:sz="0" w:space="0" w:color="auto"/>
            <w:bottom w:val="none" w:sz="0" w:space="0" w:color="auto"/>
            <w:right w:val="none" w:sz="0" w:space="0" w:color="auto"/>
          </w:divBdr>
        </w:div>
        <w:div w:id="1224222450">
          <w:marLeft w:val="0"/>
          <w:marRight w:val="0"/>
          <w:marTop w:val="0"/>
          <w:marBottom w:val="0"/>
          <w:divBdr>
            <w:top w:val="none" w:sz="0" w:space="0" w:color="auto"/>
            <w:left w:val="none" w:sz="0" w:space="0" w:color="auto"/>
            <w:bottom w:val="none" w:sz="0" w:space="0" w:color="auto"/>
            <w:right w:val="none" w:sz="0" w:space="0" w:color="auto"/>
          </w:divBdr>
        </w:div>
        <w:div w:id="1228610221">
          <w:marLeft w:val="0"/>
          <w:marRight w:val="0"/>
          <w:marTop w:val="0"/>
          <w:marBottom w:val="0"/>
          <w:divBdr>
            <w:top w:val="none" w:sz="0" w:space="0" w:color="auto"/>
            <w:left w:val="none" w:sz="0" w:space="0" w:color="auto"/>
            <w:bottom w:val="none" w:sz="0" w:space="0" w:color="auto"/>
            <w:right w:val="none" w:sz="0" w:space="0" w:color="auto"/>
          </w:divBdr>
        </w:div>
        <w:div w:id="1268000684">
          <w:marLeft w:val="0"/>
          <w:marRight w:val="0"/>
          <w:marTop w:val="0"/>
          <w:marBottom w:val="0"/>
          <w:divBdr>
            <w:top w:val="none" w:sz="0" w:space="0" w:color="auto"/>
            <w:left w:val="none" w:sz="0" w:space="0" w:color="auto"/>
            <w:bottom w:val="none" w:sz="0" w:space="0" w:color="auto"/>
            <w:right w:val="none" w:sz="0" w:space="0" w:color="auto"/>
          </w:divBdr>
        </w:div>
        <w:div w:id="1273706479">
          <w:marLeft w:val="0"/>
          <w:marRight w:val="0"/>
          <w:marTop w:val="0"/>
          <w:marBottom w:val="0"/>
          <w:divBdr>
            <w:top w:val="none" w:sz="0" w:space="0" w:color="auto"/>
            <w:left w:val="none" w:sz="0" w:space="0" w:color="auto"/>
            <w:bottom w:val="none" w:sz="0" w:space="0" w:color="auto"/>
            <w:right w:val="none" w:sz="0" w:space="0" w:color="auto"/>
          </w:divBdr>
        </w:div>
        <w:div w:id="1278029761">
          <w:marLeft w:val="0"/>
          <w:marRight w:val="0"/>
          <w:marTop w:val="0"/>
          <w:marBottom w:val="0"/>
          <w:divBdr>
            <w:top w:val="none" w:sz="0" w:space="0" w:color="auto"/>
            <w:left w:val="none" w:sz="0" w:space="0" w:color="auto"/>
            <w:bottom w:val="none" w:sz="0" w:space="0" w:color="auto"/>
            <w:right w:val="none" w:sz="0" w:space="0" w:color="auto"/>
          </w:divBdr>
        </w:div>
        <w:div w:id="1288242012">
          <w:marLeft w:val="0"/>
          <w:marRight w:val="0"/>
          <w:marTop w:val="0"/>
          <w:marBottom w:val="0"/>
          <w:divBdr>
            <w:top w:val="none" w:sz="0" w:space="0" w:color="auto"/>
            <w:left w:val="none" w:sz="0" w:space="0" w:color="auto"/>
            <w:bottom w:val="none" w:sz="0" w:space="0" w:color="auto"/>
            <w:right w:val="none" w:sz="0" w:space="0" w:color="auto"/>
          </w:divBdr>
        </w:div>
        <w:div w:id="1305506717">
          <w:marLeft w:val="0"/>
          <w:marRight w:val="0"/>
          <w:marTop w:val="0"/>
          <w:marBottom w:val="0"/>
          <w:divBdr>
            <w:top w:val="none" w:sz="0" w:space="0" w:color="auto"/>
            <w:left w:val="none" w:sz="0" w:space="0" w:color="auto"/>
            <w:bottom w:val="none" w:sz="0" w:space="0" w:color="auto"/>
            <w:right w:val="none" w:sz="0" w:space="0" w:color="auto"/>
          </w:divBdr>
        </w:div>
        <w:div w:id="1326128052">
          <w:marLeft w:val="0"/>
          <w:marRight w:val="0"/>
          <w:marTop w:val="0"/>
          <w:marBottom w:val="0"/>
          <w:divBdr>
            <w:top w:val="none" w:sz="0" w:space="0" w:color="auto"/>
            <w:left w:val="none" w:sz="0" w:space="0" w:color="auto"/>
            <w:bottom w:val="none" w:sz="0" w:space="0" w:color="auto"/>
            <w:right w:val="none" w:sz="0" w:space="0" w:color="auto"/>
          </w:divBdr>
        </w:div>
        <w:div w:id="1371689827">
          <w:marLeft w:val="0"/>
          <w:marRight w:val="0"/>
          <w:marTop w:val="0"/>
          <w:marBottom w:val="0"/>
          <w:divBdr>
            <w:top w:val="none" w:sz="0" w:space="0" w:color="auto"/>
            <w:left w:val="none" w:sz="0" w:space="0" w:color="auto"/>
            <w:bottom w:val="none" w:sz="0" w:space="0" w:color="auto"/>
            <w:right w:val="none" w:sz="0" w:space="0" w:color="auto"/>
          </w:divBdr>
        </w:div>
        <w:div w:id="1380545143">
          <w:marLeft w:val="0"/>
          <w:marRight w:val="0"/>
          <w:marTop w:val="0"/>
          <w:marBottom w:val="0"/>
          <w:divBdr>
            <w:top w:val="none" w:sz="0" w:space="0" w:color="auto"/>
            <w:left w:val="none" w:sz="0" w:space="0" w:color="auto"/>
            <w:bottom w:val="none" w:sz="0" w:space="0" w:color="auto"/>
            <w:right w:val="none" w:sz="0" w:space="0" w:color="auto"/>
          </w:divBdr>
        </w:div>
        <w:div w:id="1382634153">
          <w:marLeft w:val="0"/>
          <w:marRight w:val="0"/>
          <w:marTop w:val="0"/>
          <w:marBottom w:val="0"/>
          <w:divBdr>
            <w:top w:val="none" w:sz="0" w:space="0" w:color="auto"/>
            <w:left w:val="none" w:sz="0" w:space="0" w:color="auto"/>
            <w:bottom w:val="none" w:sz="0" w:space="0" w:color="auto"/>
            <w:right w:val="none" w:sz="0" w:space="0" w:color="auto"/>
          </w:divBdr>
        </w:div>
        <w:div w:id="1415861017">
          <w:marLeft w:val="0"/>
          <w:marRight w:val="0"/>
          <w:marTop w:val="0"/>
          <w:marBottom w:val="0"/>
          <w:divBdr>
            <w:top w:val="none" w:sz="0" w:space="0" w:color="auto"/>
            <w:left w:val="none" w:sz="0" w:space="0" w:color="auto"/>
            <w:bottom w:val="none" w:sz="0" w:space="0" w:color="auto"/>
            <w:right w:val="none" w:sz="0" w:space="0" w:color="auto"/>
          </w:divBdr>
        </w:div>
        <w:div w:id="1417097632">
          <w:marLeft w:val="0"/>
          <w:marRight w:val="0"/>
          <w:marTop w:val="0"/>
          <w:marBottom w:val="0"/>
          <w:divBdr>
            <w:top w:val="none" w:sz="0" w:space="0" w:color="auto"/>
            <w:left w:val="none" w:sz="0" w:space="0" w:color="auto"/>
            <w:bottom w:val="none" w:sz="0" w:space="0" w:color="auto"/>
            <w:right w:val="none" w:sz="0" w:space="0" w:color="auto"/>
          </w:divBdr>
        </w:div>
        <w:div w:id="1418089278">
          <w:marLeft w:val="0"/>
          <w:marRight w:val="0"/>
          <w:marTop w:val="0"/>
          <w:marBottom w:val="0"/>
          <w:divBdr>
            <w:top w:val="none" w:sz="0" w:space="0" w:color="auto"/>
            <w:left w:val="none" w:sz="0" w:space="0" w:color="auto"/>
            <w:bottom w:val="none" w:sz="0" w:space="0" w:color="auto"/>
            <w:right w:val="none" w:sz="0" w:space="0" w:color="auto"/>
          </w:divBdr>
        </w:div>
        <w:div w:id="1426459711">
          <w:marLeft w:val="0"/>
          <w:marRight w:val="0"/>
          <w:marTop w:val="0"/>
          <w:marBottom w:val="0"/>
          <w:divBdr>
            <w:top w:val="none" w:sz="0" w:space="0" w:color="auto"/>
            <w:left w:val="none" w:sz="0" w:space="0" w:color="auto"/>
            <w:bottom w:val="none" w:sz="0" w:space="0" w:color="auto"/>
            <w:right w:val="none" w:sz="0" w:space="0" w:color="auto"/>
          </w:divBdr>
        </w:div>
        <w:div w:id="1439253303">
          <w:marLeft w:val="0"/>
          <w:marRight w:val="0"/>
          <w:marTop w:val="0"/>
          <w:marBottom w:val="0"/>
          <w:divBdr>
            <w:top w:val="none" w:sz="0" w:space="0" w:color="auto"/>
            <w:left w:val="none" w:sz="0" w:space="0" w:color="auto"/>
            <w:bottom w:val="none" w:sz="0" w:space="0" w:color="auto"/>
            <w:right w:val="none" w:sz="0" w:space="0" w:color="auto"/>
          </w:divBdr>
        </w:div>
        <w:div w:id="1454011793">
          <w:marLeft w:val="0"/>
          <w:marRight w:val="0"/>
          <w:marTop w:val="0"/>
          <w:marBottom w:val="0"/>
          <w:divBdr>
            <w:top w:val="none" w:sz="0" w:space="0" w:color="auto"/>
            <w:left w:val="none" w:sz="0" w:space="0" w:color="auto"/>
            <w:bottom w:val="none" w:sz="0" w:space="0" w:color="auto"/>
            <w:right w:val="none" w:sz="0" w:space="0" w:color="auto"/>
          </w:divBdr>
        </w:div>
        <w:div w:id="1460757591">
          <w:marLeft w:val="0"/>
          <w:marRight w:val="0"/>
          <w:marTop w:val="0"/>
          <w:marBottom w:val="0"/>
          <w:divBdr>
            <w:top w:val="none" w:sz="0" w:space="0" w:color="auto"/>
            <w:left w:val="none" w:sz="0" w:space="0" w:color="auto"/>
            <w:bottom w:val="none" w:sz="0" w:space="0" w:color="auto"/>
            <w:right w:val="none" w:sz="0" w:space="0" w:color="auto"/>
          </w:divBdr>
        </w:div>
        <w:div w:id="1462188183">
          <w:marLeft w:val="0"/>
          <w:marRight w:val="0"/>
          <w:marTop w:val="0"/>
          <w:marBottom w:val="0"/>
          <w:divBdr>
            <w:top w:val="none" w:sz="0" w:space="0" w:color="auto"/>
            <w:left w:val="none" w:sz="0" w:space="0" w:color="auto"/>
            <w:bottom w:val="none" w:sz="0" w:space="0" w:color="auto"/>
            <w:right w:val="none" w:sz="0" w:space="0" w:color="auto"/>
          </w:divBdr>
        </w:div>
        <w:div w:id="1473526259">
          <w:marLeft w:val="0"/>
          <w:marRight w:val="0"/>
          <w:marTop w:val="0"/>
          <w:marBottom w:val="0"/>
          <w:divBdr>
            <w:top w:val="none" w:sz="0" w:space="0" w:color="auto"/>
            <w:left w:val="none" w:sz="0" w:space="0" w:color="auto"/>
            <w:bottom w:val="none" w:sz="0" w:space="0" w:color="auto"/>
            <w:right w:val="none" w:sz="0" w:space="0" w:color="auto"/>
          </w:divBdr>
        </w:div>
        <w:div w:id="1484274025">
          <w:marLeft w:val="0"/>
          <w:marRight w:val="0"/>
          <w:marTop w:val="0"/>
          <w:marBottom w:val="0"/>
          <w:divBdr>
            <w:top w:val="none" w:sz="0" w:space="0" w:color="auto"/>
            <w:left w:val="none" w:sz="0" w:space="0" w:color="auto"/>
            <w:bottom w:val="none" w:sz="0" w:space="0" w:color="auto"/>
            <w:right w:val="none" w:sz="0" w:space="0" w:color="auto"/>
          </w:divBdr>
        </w:div>
        <w:div w:id="1489906697">
          <w:marLeft w:val="0"/>
          <w:marRight w:val="0"/>
          <w:marTop w:val="0"/>
          <w:marBottom w:val="0"/>
          <w:divBdr>
            <w:top w:val="none" w:sz="0" w:space="0" w:color="auto"/>
            <w:left w:val="none" w:sz="0" w:space="0" w:color="auto"/>
            <w:bottom w:val="none" w:sz="0" w:space="0" w:color="auto"/>
            <w:right w:val="none" w:sz="0" w:space="0" w:color="auto"/>
          </w:divBdr>
        </w:div>
        <w:div w:id="1493788212">
          <w:marLeft w:val="0"/>
          <w:marRight w:val="0"/>
          <w:marTop w:val="0"/>
          <w:marBottom w:val="0"/>
          <w:divBdr>
            <w:top w:val="none" w:sz="0" w:space="0" w:color="auto"/>
            <w:left w:val="none" w:sz="0" w:space="0" w:color="auto"/>
            <w:bottom w:val="none" w:sz="0" w:space="0" w:color="auto"/>
            <w:right w:val="none" w:sz="0" w:space="0" w:color="auto"/>
          </w:divBdr>
        </w:div>
        <w:div w:id="1506702729">
          <w:marLeft w:val="0"/>
          <w:marRight w:val="0"/>
          <w:marTop w:val="0"/>
          <w:marBottom w:val="0"/>
          <w:divBdr>
            <w:top w:val="none" w:sz="0" w:space="0" w:color="auto"/>
            <w:left w:val="none" w:sz="0" w:space="0" w:color="auto"/>
            <w:bottom w:val="none" w:sz="0" w:space="0" w:color="auto"/>
            <w:right w:val="none" w:sz="0" w:space="0" w:color="auto"/>
          </w:divBdr>
        </w:div>
        <w:div w:id="1522552066">
          <w:marLeft w:val="0"/>
          <w:marRight w:val="0"/>
          <w:marTop w:val="0"/>
          <w:marBottom w:val="0"/>
          <w:divBdr>
            <w:top w:val="none" w:sz="0" w:space="0" w:color="auto"/>
            <w:left w:val="none" w:sz="0" w:space="0" w:color="auto"/>
            <w:bottom w:val="none" w:sz="0" w:space="0" w:color="auto"/>
            <w:right w:val="none" w:sz="0" w:space="0" w:color="auto"/>
          </w:divBdr>
        </w:div>
        <w:div w:id="1526016777">
          <w:marLeft w:val="0"/>
          <w:marRight w:val="0"/>
          <w:marTop w:val="0"/>
          <w:marBottom w:val="0"/>
          <w:divBdr>
            <w:top w:val="none" w:sz="0" w:space="0" w:color="auto"/>
            <w:left w:val="none" w:sz="0" w:space="0" w:color="auto"/>
            <w:bottom w:val="none" w:sz="0" w:space="0" w:color="auto"/>
            <w:right w:val="none" w:sz="0" w:space="0" w:color="auto"/>
          </w:divBdr>
        </w:div>
        <w:div w:id="1542478163">
          <w:marLeft w:val="0"/>
          <w:marRight w:val="0"/>
          <w:marTop w:val="0"/>
          <w:marBottom w:val="0"/>
          <w:divBdr>
            <w:top w:val="none" w:sz="0" w:space="0" w:color="auto"/>
            <w:left w:val="none" w:sz="0" w:space="0" w:color="auto"/>
            <w:bottom w:val="none" w:sz="0" w:space="0" w:color="auto"/>
            <w:right w:val="none" w:sz="0" w:space="0" w:color="auto"/>
          </w:divBdr>
        </w:div>
        <w:div w:id="1564608161">
          <w:marLeft w:val="0"/>
          <w:marRight w:val="0"/>
          <w:marTop w:val="0"/>
          <w:marBottom w:val="0"/>
          <w:divBdr>
            <w:top w:val="none" w:sz="0" w:space="0" w:color="auto"/>
            <w:left w:val="none" w:sz="0" w:space="0" w:color="auto"/>
            <w:bottom w:val="none" w:sz="0" w:space="0" w:color="auto"/>
            <w:right w:val="none" w:sz="0" w:space="0" w:color="auto"/>
          </w:divBdr>
        </w:div>
        <w:div w:id="1568104013">
          <w:marLeft w:val="0"/>
          <w:marRight w:val="0"/>
          <w:marTop w:val="0"/>
          <w:marBottom w:val="0"/>
          <w:divBdr>
            <w:top w:val="none" w:sz="0" w:space="0" w:color="auto"/>
            <w:left w:val="none" w:sz="0" w:space="0" w:color="auto"/>
            <w:bottom w:val="none" w:sz="0" w:space="0" w:color="auto"/>
            <w:right w:val="none" w:sz="0" w:space="0" w:color="auto"/>
          </w:divBdr>
        </w:div>
        <w:div w:id="1588735209">
          <w:marLeft w:val="0"/>
          <w:marRight w:val="0"/>
          <w:marTop w:val="0"/>
          <w:marBottom w:val="0"/>
          <w:divBdr>
            <w:top w:val="none" w:sz="0" w:space="0" w:color="auto"/>
            <w:left w:val="none" w:sz="0" w:space="0" w:color="auto"/>
            <w:bottom w:val="none" w:sz="0" w:space="0" w:color="auto"/>
            <w:right w:val="none" w:sz="0" w:space="0" w:color="auto"/>
          </w:divBdr>
        </w:div>
        <w:div w:id="1601601443">
          <w:marLeft w:val="0"/>
          <w:marRight w:val="0"/>
          <w:marTop w:val="0"/>
          <w:marBottom w:val="0"/>
          <w:divBdr>
            <w:top w:val="none" w:sz="0" w:space="0" w:color="auto"/>
            <w:left w:val="none" w:sz="0" w:space="0" w:color="auto"/>
            <w:bottom w:val="none" w:sz="0" w:space="0" w:color="auto"/>
            <w:right w:val="none" w:sz="0" w:space="0" w:color="auto"/>
          </w:divBdr>
        </w:div>
        <w:div w:id="1607468411">
          <w:marLeft w:val="0"/>
          <w:marRight w:val="0"/>
          <w:marTop w:val="0"/>
          <w:marBottom w:val="0"/>
          <w:divBdr>
            <w:top w:val="none" w:sz="0" w:space="0" w:color="auto"/>
            <w:left w:val="none" w:sz="0" w:space="0" w:color="auto"/>
            <w:bottom w:val="none" w:sz="0" w:space="0" w:color="auto"/>
            <w:right w:val="none" w:sz="0" w:space="0" w:color="auto"/>
          </w:divBdr>
        </w:div>
        <w:div w:id="1632126194">
          <w:marLeft w:val="0"/>
          <w:marRight w:val="0"/>
          <w:marTop w:val="0"/>
          <w:marBottom w:val="0"/>
          <w:divBdr>
            <w:top w:val="none" w:sz="0" w:space="0" w:color="auto"/>
            <w:left w:val="none" w:sz="0" w:space="0" w:color="auto"/>
            <w:bottom w:val="none" w:sz="0" w:space="0" w:color="auto"/>
            <w:right w:val="none" w:sz="0" w:space="0" w:color="auto"/>
          </w:divBdr>
        </w:div>
        <w:div w:id="1662347155">
          <w:marLeft w:val="0"/>
          <w:marRight w:val="0"/>
          <w:marTop w:val="0"/>
          <w:marBottom w:val="0"/>
          <w:divBdr>
            <w:top w:val="none" w:sz="0" w:space="0" w:color="auto"/>
            <w:left w:val="none" w:sz="0" w:space="0" w:color="auto"/>
            <w:bottom w:val="none" w:sz="0" w:space="0" w:color="auto"/>
            <w:right w:val="none" w:sz="0" w:space="0" w:color="auto"/>
          </w:divBdr>
        </w:div>
        <w:div w:id="1671830670">
          <w:marLeft w:val="0"/>
          <w:marRight w:val="0"/>
          <w:marTop w:val="0"/>
          <w:marBottom w:val="0"/>
          <w:divBdr>
            <w:top w:val="none" w:sz="0" w:space="0" w:color="auto"/>
            <w:left w:val="none" w:sz="0" w:space="0" w:color="auto"/>
            <w:bottom w:val="none" w:sz="0" w:space="0" w:color="auto"/>
            <w:right w:val="none" w:sz="0" w:space="0" w:color="auto"/>
          </w:divBdr>
        </w:div>
        <w:div w:id="1736195023">
          <w:marLeft w:val="0"/>
          <w:marRight w:val="0"/>
          <w:marTop w:val="0"/>
          <w:marBottom w:val="0"/>
          <w:divBdr>
            <w:top w:val="none" w:sz="0" w:space="0" w:color="auto"/>
            <w:left w:val="none" w:sz="0" w:space="0" w:color="auto"/>
            <w:bottom w:val="none" w:sz="0" w:space="0" w:color="auto"/>
            <w:right w:val="none" w:sz="0" w:space="0" w:color="auto"/>
          </w:divBdr>
        </w:div>
        <w:div w:id="1739593593">
          <w:marLeft w:val="0"/>
          <w:marRight w:val="0"/>
          <w:marTop w:val="0"/>
          <w:marBottom w:val="0"/>
          <w:divBdr>
            <w:top w:val="none" w:sz="0" w:space="0" w:color="auto"/>
            <w:left w:val="none" w:sz="0" w:space="0" w:color="auto"/>
            <w:bottom w:val="none" w:sz="0" w:space="0" w:color="auto"/>
            <w:right w:val="none" w:sz="0" w:space="0" w:color="auto"/>
          </w:divBdr>
        </w:div>
        <w:div w:id="1743868696">
          <w:marLeft w:val="0"/>
          <w:marRight w:val="0"/>
          <w:marTop w:val="0"/>
          <w:marBottom w:val="0"/>
          <w:divBdr>
            <w:top w:val="none" w:sz="0" w:space="0" w:color="auto"/>
            <w:left w:val="none" w:sz="0" w:space="0" w:color="auto"/>
            <w:bottom w:val="none" w:sz="0" w:space="0" w:color="auto"/>
            <w:right w:val="none" w:sz="0" w:space="0" w:color="auto"/>
          </w:divBdr>
        </w:div>
        <w:div w:id="1746755725">
          <w:marLeft w:val="0"/>
          <w:marRight w:val="0"/>
          <w:marTop w:val="0"/>
          <w:marBottom w:val="0"/>
          <w:divBdr>
            <w:top w:val="none" w:sz="0" w:space="0" w:color="auto"/>
            <w:left w:val="none" w:sz="0" w:space="0" w:color="auto"/>
            <w:bottom w:val="none" w:sz="0" w:space="0" w:color="auto"/>
            <w:right w:val="none" w:sz="0" w:space="0" w:color="auto"/>
          </w:divBdr>
        </w:div>
        <w:div w:id="1754430670">
          <w:marLeft w:val="0"/>
          <w:marRight w:val="0"/>
          <w:marTop w:val="0"/>
          <w:marBottom w:val="0"/>
          <w:divBdr>
            <w:top w:val="none" w:sz="0" w:space="0" w:color="auto"/>
            <w:left w:val="none" w:sz="0" w:space="0" w:color="auto"/>
            <w:bottom w:val="none" w:sz="0" w:space="0" w:color="auto"/>
            <w:right w:val="none" w:sz="0" w:space="0" w:color="auto"/>
          </w:divBdr>
        </w:div>
        <w:div w:id="1757705393">
          <w:marLeft w:val="0"/>
          <w:marRight w:val="0"/>
          <w:marTop w:val="0"/>
          <w:marBottom w:val="0"/>
          <w:divBdr>
            <w:top w:val="none" w:sz="0" w:space="0" w:color="auto"/>
            <w:left w:val="none" w:sz="0" w:space="0" w:color="auto"/>
            <w:bottom w:val="none" w:sz="0" w:space="0" w:color="auto"/>
            <w:right w:val="none" w:sz="0" w:space="0" w:color="auto"/>
          </w:divBdr>
        </w:div>
        <w:div w:id="1783525377">
          <w:marLeft w:val="0"/>
          <w:marRight w:val="0"/>
          <w:marTop w:val="0"/>
          <w:marBottom w:val="0"/>
          <w:divBdr>
            <w:top w:val="none" w:sz="0" w:space="0" w:color="auto"/>
            <w:left w:val="none" w:sz="0" w:space="0" w:color="auto"/>
            <w:bottom w:val="none" w:sz="0" w:space="0" w:color="auto"/>
            <w:right w:val="none" w:sz="0" w:space="0" w:color="auto"/>
          </w:divBdr>
        </w:div>
        <w:div w:id="1784958729">
          <w:marLeft w:val="0"/>
          <w:marRight w:val="0"/>
          <w:marTop w:val="0"/>
          <w:marBottom w:val="0"/>
          <w:divBdr>
            <w:top w:val="none" w:sz="0" w:space="0" w:color="auto"/>
            <w:left w:val="none" w:sz="0" w:space="0" w:color="auto"/>
            <w:bottom w:val="none" w:sz="0" w:space="0" w:color="auto"/>
            <w:right w:val="none" w:sz="0" w:space="0" w:color="auto"/>
          </w:divBdr>
        </w:div>
        <w:div w:id="1785035974">
          <w:marLeft w:val="0"/>
          <w:marRight w:val="0"/>
          <w:marTop w:val="0"/>
          <w:marBottom w:val="0"/>
          <w:divBdr>
            <w:top w:val="none" w:sz="0" w:space="0" w:color="auto"/>
            <w:left w:val="none" w:sz="0" w:space="0" w:color="auto"/>
            <w:bottom w:val="none" w:sz="0" w:space="0" w:color="auto"/>
            <w:right w:val="none" w:sz="0" w:space="0" w:color="auto"/>
          </w:divBdr>
        </w:div>
        <w:div w:id="1804886968">
          <w:marLeft w:val="0"/>
          <w:marRight w:val="0"/>
          <w:marTop w:val="0"/>
          <w:marBottom w:val="0"/>
          <w:divBdr>
            <w:top w:val="none" w:sz="0" w:space="0" w:color="auto"/>
            <w:left w:val="none" w:sz="0" w:space="0" w:color="auto"/>
            <w:bottom w:val="none" w:sz="0" w:space="0" w:color="auto"/>
            <w:right w:val="none" w:sz="0" w:space="0" w:color="auto"/>
          </w:divBdr>
        </w:div>
        <w:div w:id="1806004093">
          <w:marLeft w:val="0"/>
          <w:marRight w:val="0"/>
          <w:marTop w:val="0"/>
          <w:marBottom w:val="0"/>
          <w:divBdr>
            <w:top w:val="none" w:sz="0" w:space="0" w:color="auto"/>
            <w:left w:val="none" w:sz="0" w:space="0" w:color="auto"/>
            <w:bottom w:val="none" w:sz="0" w:space="0" w:color="auto"/>
            <w:right w:val="none" w:sz="0" w:space="0" w:color="auto"/>
          </w:divBdr>
        </w:div>
        <w:div w:id="1807357528">
          <w:marLeft w:val="0"/>
          <w:marRight w:val="0"/>
          <w:marTop w:val="0"/>
          <w:marBottom w:val="0"/>
          <w:divBdr>
            <w:top w:val="none" w:sz="0" w:space="0" w:color="auto"/>
            <w:left w:val="none" w:sz="0" w:space="0" w:color="auto"/>
            <w:bottom w:val="none" w:sz="0" w:space="0" w:color="auto"/>
            <w:right w:val="none" w:sz="0" w:space="0" w:color="auto"/>
          </w:divBdr>
        </w:div>
        <w:div w:id="1810518326">
          <w:marLeft w:val="0"/>
          <w:marRight w:val="0"/>
          <w:marTop w:val="0"/>
          <w:marBottom w:val="0"/>
          <w:divBdr>
            <w:top w:val="none" w:sz="0" w:space="0" w:color="auto"/>
            <w:left w:val="none" w:sz="0" w:space="0" w:color="auto"/>
            <w:bottom w:val="none" w:sz="0" w:space="0" w:color="auto"/>
            <w:right w:val="none" w:sz="0" w:space="0" w:color="auto"/>
          </w:divBdr>
        </w:div>
        <w:div w:id="1888685452">
          <w:marLeft w:val="0"/>
          <w:marRight w:val="0"/>
          <w:marTop w:val="0"/>
          <w:marBottom w:val="0"/>
          <w:divBdr>
            <w:top w:val="none" w:sz="0" w:space="0" w:color="auto"/>
            <w:left w:val="none" w:sz="0" w:space="0" w:color="auto"/>
            <w:bottom w:val="none" w:sz="0" w:space="0" w:color="auto"/>
            <w:right w:val="none" w:sz="0" w:space="0" w:color="auto"/>
          </w:divBdr>
        </w:div>
        <w:div w:id="1900438283">
          <w:marLeft w:val="0"/>
          <w:marRight w:val="0"/>
          <w:marTop w:val="0"/>
          <w:marBottom w:val="0"/>
          <w:divBdr>
            <w:top w:val="none" w:sz="0" w:space="0" w:color="auto"/>
            <w:left w:val="none" w:sz="0" w:space="0" w:color="auto"/>
            <w:bottom w:val="none" w:sz="0" w:space="0" w:color="auto"/>
            <w:right w:val="none" w:sz="0" w:space="0" w:color="auto"/>
          </w:divBdr>
        </w:div>
        <w:div w:id="1909344278">
          <w:marLeft w:val="0"/>
          <w:marRight w:val="0"/>
          <w:marTop w:val="0"/>
          <w:marBottom w:val="0"/>
          <w:divBdr>
            <w:top w:val="none" w:sz="0" w:space="0" w:color="auto"/>
            <w:left w:val="none" w:sz="0" w:space="0" w:color="auto"/>
            <w:bottom w:val="none" w:sz="0" w:space="0" w:color="auto"/>
            <w:right w:val="none" w:sz="0" w:space="0" w:color="auto"/>
          </w:divBdr>
        </w:div>
        <w:div w:id="1922250234">
          <w:marLeft w:val="0"/>
          <w:marRight w:val="0"/>
          <w:marTop w:val="0"/>
          <w:marBottom w:val="0"/>
          <w:divBdr>
            <w:top w:val="none" w:sz="0" w:space="0" w:color="auto"/>
            <w:left w:val="none" w:sz="0" w:space="0" w:color="auto"/>
            <w:bottom w:val="none" w:sz="0" w:space="0" w:color="auto"/>
            <w:right w:val="none" w:sz="0" w:space="0" w:color="auto"/>
          </w:divBdr>
        </w:div>
        <w:div w:id="1934236598">
          <w:marLeft w:val="0"/>
          <w:marRight w:val="0"/>
          <w:marTop w:val="0"/>
          <w:marBottom w:val="0"/>
          <w:divBdr>
            <w:top w:val="none" w:sz="0" w:space="0" w:color="auto"/>
            <w:left w:val="none" w:sz="0" w:space="0" w:color="auto"/>
            <w:bottom w:val="none" w:sz="0" w:space="0" w:color="auto"/>
            <w:right w:val="none" w:sz="0" w:space="0" w:color="auto"/>
          </w:divBdr>
        </w:div>
        <w:div w:id="1957982909">
          <w:marLeft w:val="0"/>
          <w:marRight w:val="0"/>
          <w:marTop w:val="0"/>
          <w:marBottom w:val="0"/>
          <w:divBdr>
            <w:top w:val="none" w:sz="0" w:space="0" w:color="auto"/>
            <w:left w:val="none" w:sz="0" w:space="0" w:color="auto"/>
            <w:bottom w:val="none" w:sz="0" w:space="0" w:color="auto"/>
            <w:right w:val="none" w:sz="0" w:space="0" w:color="auto"/>
          </w:divBdr>
        </w:div>
        <w:div w:id="1976060312">
          <w:marLeft w:val="0"/>
          <w:marRight w:val="0"/>
          <w:marTop w:val="0"/>
          <w:marBottom w:val="0"/>
          <w:divBdr>
            <w:top w:val="none" w:sz="0" w:space="0" w:color="auto"/>
            <w:left w:val="none" w:sz="0" w:space="0" w:color="auto"/>
            <w:bottom w:val="none" w:sz="0" w:space="0" w:color="auto"/>
            <w:right w:val="none" w:sz="0" w:space="0" w:color="auto"/>
          </w:divBdr>
        </w:div>
        <w:div w:id="1985351701">
          <w:marLeft w:val="0"/>
          <w:marRight w:val="0"/>
          <w:marTop w:val="0"/>
          <w:marBottom w:val="0"/>
          <w:divBdr>
            <w:top w:val="none" w:sz="0" w:space="0" w:color="auto"/>
            <w:left w:val="none" w:sz="0" w:space="0" w:color="auto"/>
            <w:bottom w:val="none" w:sz="0" w:space="0" w:color="auto"/>
            <w:right w:val="none" w:sz="0" w:space="0" w:color="auto"/>
          </w:divBdr>
        </w:div>
        <w:div w:id="1998268847">
          <w:marLeft w:val="0"/>
          <w:marRight w:val="0"/>
          <w:marTop w:val="0"/>
          <w:marBottom w:val="0"/>
          <w:divBdr>
            <w:top w:val="none" w:sz="0" w:space="0" w:color="auto"/>
            <w:left w:val="none" w:sz="0" w:space="0" w:color="auto"/>
            <w:bottom w:val="none" w:sz="0" w:space="0" w:color="auto"/>
            <w:right w:val="none" w:sz="0" w:space="0" w:color="auto"/>
          </w:divBdr>
        </w:div>
        <w:div w:id="2003269685">
          <w:marLeft w:val="0"/>
          <w:marRight w:val="0"/>
          <w:marTop w:val="0"/>
          <w:marBottom w:val="0"/>
          <w:divBdr>
            <w:top w:val="none" w:sz="0" w:space="0" w:color="auto"/>
            <w:left w:val="none" w:sz="0" w:space="0" w:color="auto"/>
            <w:bottom w:val="none" w:sz="0" w:space="0" w:color="auto"/>
            <w:right w:val="none" w:sz="0" w:space="0" w:color="auto"/>
          </w:divBdr>
        </w:div>
        <w:div w:id="2007900790">
          <w:marLeft w:val="0"/>
          <w:marRight w:val="0"/>
          <w:marTop w:val="0"/>
          <w:marBottom w:val="0"/>
          <w:divBdr>
            <w:top w:val="none" w:sz="0" w:space="0" w:color="auto"/>
            <w:left w:val="none" w:sz="0" w:space="0" w:color="auto"/>
            <w:bottom w:val="none" w:sz="0" w:space="0" w:color="auto"/>
            <w:right w:val="none" w:sz="0" w:space="0" w:color="auto"/>
          </w:divBdr>
        </w:div>
        <w:div w:id="2009169714">
          <w:marLeft w:val="0"/>
          <w:marRight w:val="0"/>
          <w:marTop w:val="0"/>
          <w:marBottom w:val="0"/>
          <w:divBdr>
            <w:top w:val="none" w:sz="0" w:space="0" w:color="auto"/>
            <w:left w:val="none" w:sz="0" w:space="0" w:color="auto"/>
            <w:bottom w:val="none" w:sz="0" w:space="0" w:color="auto"/>
            <w:right w:val="none" w:sz="0" w:space="0" w:color="auto"/>
          </w:divBdr>
        </w:div>
        <w:div w:id="2013213193">
          <w:marLeft w:val="0"/>
          <w:marRight w:val="0"/>
          <w:marTop w:val="0"/>
          <w:marBottom w:val="0"/>
          <w:divBdr>
            <w:top w:val="none" w:sz="0" w:space="0" w:color="auto"/>
            <w:left w:val="none" w:sz="0" w:space="0" w:color="auto"/>
            <w:bottom w:val="none" w:sz="0" w:space="0" w:color="auto"/>
            <w:right w:val="none" w:sz="0" w:space="0" w:color="auto"/>
          </w:divBdr>
        </w:div>
        <w:div w:id="2019386474">
          <w:marLeft w:val="0"/>
          <w:marRight w:val="0"/>
          <w:marTop w:val="0"/>
          <w:marBottom w:val="0"/>
          <w:divBdr>
            <w:top w:val="none" w:sz="0" w:space="0" w:color="auto"/>
            <w:left w:val="none" w:sz="0" w:space="0" w:color="auto"/>
            <w:bottom w:val="none" w:sz="0" w:space="0" w:color="auto"/>
            <w:right w:val="none" w:sz="0" w:space="0" w:color="auto"/>
          </w:divBdr>
        </w:div>
        <w:div w:id="2022734230">
          <w:marLeft w:val="0"/>
          <w:marRight w:val="0"/>
          <w:marTop w:val="0"/>
          <w:marBottom w:val="0"/>
          <w:divBdr>
            <w:top w:val="none" w:sz="0" w:space="0" w:color="auto"/>
            <w:left w:val="none" w:sz="0" w:space="0" w:color="auto"/>
            <w:bottom w:val="none" w:sz="0" w:space="0" w:color="auto"/>
            <w:right w:val="none" w:sz="0" w:space="0" w:color="auto"/>
          </w:divBdr>
        </w:div>
        <w:div w:id="2028167774">
          <w:marLeft w:val="0"/>
          <w:marRight w:val="0"/>
          <w:marTop w:val="0"/>
          <w:marBottom w:val="0"/>
          <w:divBdr>
            <w:top w:val="none" w:sz="0" w:space="0" w:color="auto"/>
            <w:left w:val="none" w:sz="0" w:space="0" w:color="auto"/>
            <w:bottom w:val="none" w:sz="0" w:space="0" w:color="auto"/>
            <w:right w:val="none" w:sz="0" w:space="0" w:color="auto"/>
          </w:divBdr>
        </w:div>
      </w:divsChild>
    </w:div>
    <w:div w:id="1529686491">
      <w:bodyDiv w:val="1"/>
      <w:marLeft w:val="0"/>
      <w:marRight w:val="0"/>
      <w:marTop w:val="0"/>
      <w:marBottom w:val="0"/>
      <w:divBdr>
        <w:top w:val="none" w:sz="0" w:space="0" w:color="auto"/>
        <w:left w:val="none" w:sz="0" w:space="0" w:color="auto"/>
        <w:bottom w:val="none" w:sz="0" w:space="0" w:color="auto"/>
        <w:right w:val="none" w:sz="0" w:space="0" w:color="auto"/>
      </w:divBdr>
    </w:div>
    <w:div w:id="1529686526">
      <w:bodyDiv w:val="1"/>
      <w:marLeft w:val="0"/>
      <w:marRight w:val="0"/>
      <w:marTop w:val="0"/>
      <w:marBottom w:val="0"/>
      <w:divBdr>
        <w:top w:val="none" w:sz="0" w:space="0" w:color="auto"/>
        <w:left w:val="none" w:sz="0" w:space="0" w:color="auto"/>
        <w:bottom w:val="none" w:sz="0" w:space="0" w:color="auto"/>
        <w:right w:val="none" w:sz="0" w:space="0" w:color="auto"/>
      </w:divBdr>
    </w:div>
    <w:div w:id="1529836510">
      <w:bodyDiv w:val="1"/>
      <w:marLeft w:val="0"/>
      <w:marRight w:val="0"/>
      <w:marTop w:val="0"/>
      <w:marBottom w:val="0"/>
      <w:divBdr>
        <w:top w:val="none" w:sz="0" w:space="0" w:color="auto"/>
        <w:left w:val="none" w:sz="0" w:space="0" w:color="auto"/>
        <w:bottom w:val="none" w:sz="0" w:space="0" w:color="auto"/>
        <w:right w:val="none" w:sz="0" w:space="0" w:color="auto"/>
      </w:divBdr>
    </w:div>
    <w:div w:id="1529947387">
      <w:bodyDiv w:val="1"/>
      <w:marLeft w:val="0"/>
      <w:marRight w:val="0"/>
      <w:marTop w:val="0"/>
      <w:marBottom w:val="0"/>
      <w:divBdr>
        <w:top w:val="none" w:sz="0" w:space="0" w:color="auto"/>
        <w:left w:val="none" w:sz="0" w:space="0" w:color="auto"/>
        <w:bottom w:val="none" w:sz="0" w:space="0" w:color="auto"/>
        <w:right w:val="none" w:sz="0" w:space="0" w:color="auto"/>
      </w:divBdr>
    </w:div>
    <w:div w:id="1529949430">
      <w:bodyDiv w:val="1"/>
      <w:marLeft w:val="0"/>
      <w:marRight w:val="0"/>
      <w:marTop w:val="0"/>
      <w:marBottom w:val="0"/>
      <w:divBdr>
        <w:top w:val="none" w:sz="0" w:space="0" w:color="auto"/>
        <w:left w:val="none" w:sz="0" w:space="0" w:color="auto"/>
        <w:bottom w:val="none" w:sz="0" w:space="0" w:color="auto"/>
        <w:right w:val="none" w:sz="0" w:space="0" w:color="auto"/>
      </w:divBdr>
    </w:div>
    <w:div w:id="1530025092">
      <w:bodyDiv w:val="1"/>
      <w:marLeft w:val="0"/>
      <w:marRight w:val="0"/>
      <w:marTop w:val="0"/>
      <w:marBottom w:val="0"/>
      <w:divBdr>
        <w:top w:val="none" w:sz="0" w:space="0" w:color="auto"/>
        <w:left w:val="none" w:sz="0" w:space="0" w:color="auto"/>
        <w:bottom w:val="none" w:sz="0" w:space="0" w:color="auto"/>
        <w:right w:val="none" w:sz="0" w:space="0" w:color="auto"/>
      </w:divBdr>
    </w:div>
    <w:div w:id="1530098496">
      <w:bodyDiv w:val="1"/>
      <w:marLeft w:val="0"/>
      <w:marRight w:val="0"/>
      <w:marTop w:val="0"/>
      <w:marBottom w:val="0"/>
      <w:divBdr>
        <w:top w:val="none" w:sz="0" w:space="0" w:color="auto"/>
        <w:left w:val="none" w:sz="0" w:space="0" w:color="auto"/>
        <w:bottom w:val="none" w:sz="0" w:space="0" w:color="auto"/>
        <w:right w:val="none" w:sz="0" w:space="0" w:color="auto"/>
      </w:divBdr>
    </w:div>
    <w:div w:id="1530139403">
      <w:bodyDiv w:val="1"/>
      <w:marLeft w:val="0"/>
      <w:marRight w:val="0"/>
      <w:marTop w:val="0"/>
      <w:marBottom w:val="0"/>
      <w:divBdr>
        <w:top w:val="none" w:sz="0" w:space="0" w:color="auto"/>
        <w:left w:val="none" w:sz="0" w:space="0" w:color="auto"/>
        <w:bottom w:val="none" w:sz="0" w:space="0" w:color="auto"/>
        <w:right w:val="none" w:sz="0" w:space="0" w:color="auto"/>
      </w:divBdr>
    </w:div>
    <w:div w:id="1530146305">
      <w:bodyDiv w:val="1"/>
      <w:marLeft w:val="0"/>
      <w:marRight w:val="0"/>
      <w:marTop w:val="0"/>
      <w:marBottom w:val="0"/>
      <w:divBdr>
        <w:top w:val="none" w:sz="0" w:space="0" w:color="auto"/>
        <w:left w:val="none" w:sz="0" w:space="0" w:color="auto"/>
        <w:bottom w:val="none" w:sz="0" w:space="0" w:color="auto"/>
        <w:right w:val="none" w:sz="0" w:space="0" w:color="auto"/>
      </w:divBdr>
    </w:div>
    <w:div w:id="1530294367">
      <w:bodyDiv w:val="1"/>
      <w:marLeft w:val="0"/>
      <w:marRight w:val="0"/>
      <w:marTop w:val="0"/>
      <w:marBottom w:val="0"/>
      <w:divBdr>
        <w:top w:val="none" w:sz="0" w:space="0" w:color="auto"/>
        <w:left w:val="none" w:sz="0" w:space="0" w:color="auto"/>
        <w:bottom w:val="none" w:sz="0" w:space="0" w:color="auto"/>
        <w:right w:val="none" w:sz="0" w:space="0" w:color="auto"/>
      </w:divBdr>
    </w:div>
    <w:div w:id="1530335509">
      <w:bodyDiv w:val="1"/>
      <w:marLeft w:val="0"/>
      <w:marRight w:val="0"/>
      <w:marTop w:val="0"/>
      <w:marBottom w:val="0"/>
      <w:divBdr>
        <w:top w:val="none" w:sz="0" w:space="0" w:color="auto"/>
        <w:left w:val="none" w:sz="0" w:space="0" w:color="auto"/>
        <w:bottom w:val="none" w:sz="0" w:space="0" w:color="auto"/>
        <w:right w:val="none" w:sz="0" w:space="0" w:color="auto"/>
      </w:divBdr>
    </w:div>
    <w:div w:id="1530339572">
      <w:bodyDiv w:val="1"/>
      <w:marLeft w:val="0"/>
      <w:marRight w:val="0"/>
      <w:marTop w:val="0"/>
      <w:marBottom w:val="0"/>
      <w:divBdr>
        <w:top w:val="none" w:sz="0" w:space="0" w:color="auto"/>
        <w:left w:val="none" w:sz="0" w:space="0" w:color="auto"/>
        <w:bottom w:val="none" w:sz="0" w:space="0" w:color="auto"/>
        <w:right w:val="none" w:sz="0" w:space="0" w:color="auto"/>
      </w:divBdr>
    </w:div>
    <w:div w:id="1530488767">
      <w:bodyDiv w:val="1"/>
      <w:marLeft w:val="0"/>
      <w:marRight w:val="0"/>
      <w:marTop w:val="0"/>
      <w:marBottom w:val="0"/>
      <w:divBdr>
        <w:top w:val="none" w:sz="0" w:space="0" w:color="auto"/>
        <w:left w:val="none" w:sz="0" w:space="0" w:color="auto"/>
        <w:bottom w:val="none" w:sz="0" w:space="0" w:color="auto"/>
        <w:right w:val="none" w:sz="0" w:space="0" w:color="auto"/>
      </w:divBdr>
    </w:div>
    <w:div w:id="1530685304">
      <w:bodyDiv w:val="1"/>
      <w:marLeft w:val="0"/>
      <w:marRight w:val="0"/>
      <w:marTop w:val="0"/>
      <w:marBottom w:val="0"/>
      <w:divBdr>
        <w:top w:val="none" w:sz="0" w:space="0" w:color="auto"/>
        <w:left w:val="none" w:sz="0" w:space="0" w:color="auto"/>
        <w:bottom w:val="none" w:sz="0" w:space="0" w:color="auto"/>
        <w:right w:val="none" w:sz="0" w:space="0" w:color="auto"/>
      </w:divBdr>
    </w:div>
    <w:div w:id="1530797296">
      <w:bodyDiv w:val="1"/>
      <w:marLeft w:val="0"/>
      <w:marRight w:val="0"/>
      <w:marTop w:val="0"/>
      <w:marBottom w:val="0"/>
      <w:divBdr>
        <w:top w:val="none" w:sz="0" w:space="0" w:color="auto"/>
        <w:left w:val="none" w:sz="0" w:space="0" w:color="auto"/>
        <w:bottom w:val="none" w:sz="0" w:space="0" w:color="auto"/>
        <w:right w:val="none" w:sz="0" w:space="0" w:color="auto"/>
      </w:divBdr>
    </w:div>
    <w:div w:id="1530875692">
      <w:bodyDiv w:val="1"/>
      <w:marLeft w:val="0"/>
      <w:marRight w:val="0"/>
      <w:marTop w:val="0"/>
      <w:marBottom w:val="0"/>
      <w:divBdr>
        <w:top w:val="none" w:sz="0" w:space="0" w:color="auto"/>
        <w:left w:val="none" w:sz="0" w:space="0" w:color="auto"/>
        <w:bottom w:val="none" w:sz="0" w:space="0" w:color="auto"/>
        <w:right w:val="none" w:sz="0" w:space="0" w:color="auto"/>
      </w:divBdr>
    </w:div>
    <w:div w:id="1530876288">
      <w:bodyDiv w:val="1"/>
      <w:marLeft w:val="0"/>
      <w:marRight w:val="0"/>
      <w:marTop w:val="0"/>
      <w:marBottom w:val="0"/>
      <w:divBdr>
        <w:top w:val="none" w:sz="0" w:space="0" w:color="auto"/>
        <w:left w:val="none" w:sz="0" w:space="0" w:color="auto"/>
        <w:bottom w:val="none" w:sz="0" w:space="0" w:color="auto"/>
        <w:right w:val="none" w:sz="0" w:space="0" w:color="auto"/>
      </w:divBdr>
    </w:div>
    <w:div w:id="1530876352">
      <w:bodyDiv w:val="1"/>
      <w:marLeft w:val="0"/>
      <w:marRight w:val="0"/>
      <w:marTop w:val="0"/>
      <w:marBottom w:val="0"/>
      <w:divBdr>
        <w:top w:val="none" w:sz="0" w:space="0" w:color="auto"/>
        <w:left w:val="none" w:sz="0" w:space="0" w:color="auto"/>
        <w:bottom w:val="none" w:sz="0" w:space="0" w:color="auto"/>
        <w:right w:val="none" w:sz="0" w:space="0" w:color="auto"/>
      </w:divBdr>
    </w:div>
    <w:div w:id="1530921648">
      <w:bodyDiv w:val="1"/>
      <w:marLeft w:val="0"/>
      <w:marRight w:val="0"/>
      <w:marTop w:val="0"/>
      <w:marBottom w:val="0"/>
      <w:divBdr>
        <w:top w:val="none" w:sz="0" w:space="0" w:color="auto"/>
        <w:left w:val="none" w:sz="0" w:space="0" w:color="auto"/>
        <w:bottom w:val="none" w:sz="0" w:space="0" w:color="auto"/>
        <w:right w:val="none" w:sz="0" w:space="0" w:color="auto"/>
      </w:divBdr>
    </w:div>
    <w:div w:id="1530949626">
      <w:bodyDiv w:val="1"/>
      <w:marLeft w:val="0"/>
      <w:marRight w:val="0"/>
      <w:marTop w:val="0"/>
      <w:marBottom w:val="0"/>
      <w:divBdr>
        <w:top w:val="none" w:sz="0" w:space="0" w:color="auto"/>
        <w:left w:val="none" w:sz="0" w:space="0" w:color="auto"/>
        <w:bottom w:val="none" w:sz="0" w:space="0" w:color="auto"/>
        <w:right w:val="none" w:sz="0" w:space="0" w:color="auto"/>
      </w:divBdr>
    </w:div>
    <w:div w:id="1530950050">
      <w:bodyDiv w:val="1"/>
      <w:marLeft w:val="0"/>
      <w:marRight w:val="0"/>
      <w:marTop w:val="0"/>
      <w:marBottom w:val="0"/>
      <w:divBdr>
        <w:top w:val="none" w:sz="0" w:space="0" w:color="auto"/>
        <w:left w:val="none" w:sz="0" w:space="0" w:color="auto"/>
        <w:bottom w:val="none" w:sz="0" w:space="0" w:color="auto"/>
        <w:right w:val="none" w:sz="0" w:space="0" w:color="auto"/>
      </w:divBdr>
    </w:div>
    <w:div w:id="1530952450">
      <w:bodyDiv w:val="1"/>
      <w:marLeft w:val="0"/>
      <w:marRight w:val="0"/>
      <w:marTop w:val="0"/>
      <w:marBottom w:val="0"/>
      <w:divBdr>
        <w:top w:val="none" w:sz="0" w:space="0" w:color="auto"/>
        <w:left w:val="none" w:sz="0" w:space="0" w:color="auto"/>
        <w:bottom w:val="none" w:sz="0" w:space="0" w:color="auto"/>
        <w:right w:val="none" w:sz="0" w:space="0" w:color="auto"/>
      </w:divBdr>
    </w:div>
    <w:div w:id="1530953727">
      <w:bodyDiv w:val="1"/>
      <w:marLeft w:val="0"/>
      <w:marRight w:val="0"/>
      <w:marTop w:val="0"/>
      <w:marBottom w:val="0"/>
      <w:divBdr>
        <w:top w:val="none" w:sz="0" w:space="0" w:color="auto"/>
        <w:left w:val="none" w:sz="0" w:space="0" w:color="auto"/>
        <w:bottom w:val="none" w:sz="0" w:space="0" w:color="auto"/>
        <w:right w:val="none" w:sz="0" w:space="0" w:color="auto"/>
      </w:divBdr>
    </w:div>
    <w:div w:id="1530991862">
      <w:bodyDiv w:val="1"/>
      <w:marLeft w:val="0"/>
      <w:marRight w:val="0"/>
      <w:marTop w:val="0"/>
      <w:marBottom w:val="0"/>
      <w:divBdr>
        <w:top w:val="none" w:sz="0" w:space="0" w:color="auto"/>
        <w:left w:val="none" w:sz="0" w:space="0" w:color="auto"/>
        <w:bottom w:val="none" w:sz="0" w:space="0" w:color="auto"/>
        <w:right w:val="none" w:sz="0" w:space="0" w:color="auto"/>
      </w:divBdr>
    </w:div>
    <w:div w:id="1530996428">
      <w:bodyDiv w:val="1"/>
      <w:marLeft w:val="0"/>
      <w:marRight w:val="0"/>
      <w:marTop w:val="0"/>
      <w:marBottom w:val="0"/>
      <w:divBdr>
        <w:top w:val="none" w:sz="0" w:space="0" w:color="auto"/>
        <w:left w:val="none" w:sz="0" w:space="0" w:color="auto"/>
        <w:bottom w:val="none" w:sz="0" w:space="0" w:color="auto"/>
        <w:right w:val="none" w:sz="0" w:space="0" w:color="auto"/>
      </w:divBdr>
    </w:div>
    <w:div w:id="1531142988">
      <w:bodyDiv w:val="1"/>
      <w:marLeft w:val="0"/>
      <w:marRight w:val="0"/>
      <w:marTop w:val="0"/>
      <w:marBottom w:val="0"/>
      <w:divBdr>
        <w:top w:val="none" w:sz="0" w:space="0" w:color="auto"/>
        <w:left w:val="none" w:sz="0" w:space="0" w:color="auto"/>
        <w:bottom w:val="none" w:sz="0" w:space="0" w:color="auto"/>
        <w:right w:val="none" w:sz="0" w:space="0" w:color="auto"/>
      </w:divBdr>
    </w:div>
    <w:div w:id="1531183106">
      <w:bodyDiv w:val="1"/>
      <w:marLeft w:val="0"/>
      <w:marRight w:val="0"/>
      <w:marTop w:val="0"/>
      <w:marBottom w:val="0"/>
      <w:divBdr>
        <w:top w:val="none" w:sz="0" w:space="0" w:color="auto"/>
        <w:left w:val="none" w:sz="0" w:space="0" w:color="auto"/>
        <w:bottom w:val="none" w:sz="0" w:space="0" w:color="auto"/>
        <w:right w:val="none" w:sz="0" w:space="0" w:color="auto"/>
      </w:divBdr>
    </w:div>
    <w:div w:id="1531186933">
      <w:bodyDiv w:val="1"/>
      <w:marLeft w:val="0"/>
      <w:marRight w:val="0"/>
      <w:marTop w:val="0"/>
      <w:marBottom w:val="0"/>
      <w:divBdr>
        <w:top w:val="none" w:sz="0" w:space="0" w:color="auto"/>
        <w:left w:val="none" w:sz="0" w:space="0" w:color="auto"/>
        <w:bottom w:val="none" w:sz="0" w:space="0" w:color="auto"/>
        <w:right w:val="none" w:sz="0" w:space="0" w:color="auto"/>
      </w:divBdr>
    </w:div>
    <w:div w:id="1531187465">
      <w:bodyDiv w:val="1"/>
      <w:marLeft w:val="0"/>
      <w:marRight w:val="0"/>
      <w:marTop w:val="0"/>
      <w:marBottom w:val="0"/>
      <w:divBdr>
        <w:top w:val="none" w:sz="0" w:space="0" w:color="auto"/>
        <w:left w:val="none" w:sz="0" w:space="0" w:color="auto"/>
        <w:bottom w:val="none" w:sz="0" w:space="0" w:color="auto"/>
        <w:right w:val="none" w:sz="0" w:space="0" w:color="auto"/>
      </w:divBdr>
    </w:div>
    <w:div w:id="1531453718">
      <w:bodyDiv w:val="1"/>
      <w:marLeft w:val="0"/>
      <w:marRight w:val="0"/>
      <w:marTop w:val="0"/>
      <w:marBottom w:val="0"/>
      <w:divBdr>
        <w:top w:val="none" w:sz="0" w:space="0" w:color="auto"/>
        <w:left w:val="none" w:sz="0" w:space="0" w:color="auto"/>
        <w:bottom w:val="none" w:sz="0" w:space="0" w:color="auto"/>
        <w:right w:val="none" w:sz="0" w:space="0" w:color="auto"/>
      </w:divBdr>
    </w:div>
    <w:div w:id="1531458274">
      <w:bodyDiv w:val="1"/>
      <w:marLeft w:val="0"/>
      <w:marRight w:val="0"/>
      <w:marTop w:val="0"/>
      <w:marBottom w:val="0"/>
      <w:divBdr>
        <w:top w:val="none" w:sz="0" w:space="0" w:color="auto"/>
        <w:left w:val="none" w:sz="0" w:space="0" w:color="auto"/>
        <w:bottom w:val="none" w:sz="0" w:space="0" w:color="auto"/>
        <w:right w:val="none" w:sz="0" w:space="0" w:color="auto"/>
      </w:divBdr>
    </w:div>
    <w:div w:id="1531989713">
      <w:bodyDiv w:val="1"/>
      <w:marLeft w:val="0"/>
      <w:marRight w:val="0"/>
      <w:marTop w:val="0"/>
      <w:marBottom w:val="0"/>
      <w:divBdr>
        <w:top w:val="none" w:sz="0" w:space="0" w:color="auto"/>
        <w:left w:val="none" w:sz="0" w:space="0" w:color="auto"/>
        <w:bottom w:val="none" w:sz="0" w:space="0" w:color="auto"/>
        <w:right w:val="none" w:sz="0" w:space="0" w:color="auto"/>
      </w:divBdr>
    </w:div>
    <w:div w:id="1531992736">
      <w:bodyDiv w:val="1"/>
      <w:marLeft w:val="0"/>
      <w:marRight w:val="0"/>
      <w:marTop w:val="0"/>
      <w:marBottom w:val="0"/>
      <w:divBdr>
        <w:top w:val="none" w:sz="0" w:space="0" w:color="auto"/>
        <w:left w:val="none" w:sz="0" w:space="0" w:color="auto"/>
        <w:bottom w:val="none" w:sz="0" w:space="0" w:color="auto"/>
        <w:right w:val="none" w:sz="0" w:space="0" w:color="auto"/>
      </w:divBdr>
    </w:div>
    <w:div w:id="1531996054">
      <w:bodyDiv w:val="1"/>
      <w:marLeft w:val="0"/>
      <w:marRight w:val="0"/>
      <w:marTop w:val="0"/>
      <w:marBottom w:val="0"/>
      <w:divBdr>
        <w:top w:val="none" w:sz="0" w:space="0" w:color="auto"/>
        <w:left w:val="none" w:sz="0" w:space="0" w:color="auto"/>
        <w:bottom w:val="none" w:sz="0" w:space="0" w:color="auto"/>
        <w:right w:val="none" w:sz="0" w:space="0" w:color="auto"/>
      </w:divBdr>
    </w:div>
    <w:div w:id="1532105386">
      <w:bodyDiv w:val="1"/>
      <w:marLeft w:val="0"/>
      <w:marRight w:val="0"/>
      <w:marTop w:val="0"/>
      <w:marBottom w:val="0"/>
      <w:divBdr>
        <w:top w:val="none" w:sz="0" w:space="0" w:color="auto"/>
        <w:left w:val="none" w:sz="0" w:space="0" w:color="auto"/>
        <w:bottom w:val="none" w:sz="0" w:space="0" w:color="auto"/>
        <w:right w:val="none" w:sz="0" w:space="0" w:color="auto"/>
      </w:divBdr>
    </w:div>
    <w:div w:id="1532188295">
      <w:bodyDiv w:val="1"/>
      <w:marLeft w:val="0"/>
      <w:marRight w:val="0"/>
      <w:marTop w:val="0"/>
      <w:marBottom w:val="0"/>
      <w:divBdr>
        <w:top w:val="none" w:sz="0" w:space="0" w:color="auto"/>
        <w:left w:val="none" w:sz="0" w:space="0" w:color="auto"/>
        <w:bottom w:val="none" w:sz="0" w:space="0" w:color="auto"/>
        <w:right w:val="none" w:sz="0" w:space="0" w:color="auto"/>
      </w:divBdr>
    </w:div>
    <w:div w:id="1532262623">
      <w:bodyDiv w:val="1"/>
      <w:marLeft w:val="0"/>
      <w:marRight w:val="0"/>
      <w:marTop w:val="0"/>
      <w:marBottom w:val="0"/>
      <w:divBdr>
        <w:top w:val="none" w:sz="0" w:space="0" w:color="auto"/>
        <w:left w:val="none" w:sz="0" w:space="0" w:color="auto"/>
        <w:bottom w:val="none" w:sz="0" w:space="0" w:color="auto"/>
        <w:right w:val="none" w:sz="0" w:space="0" w:color="auto"/>
      </w:divBdr>
    </w:div>
    <w:div w:id="1532304176">
      <w:bodyDiv w:val="1"/>
      <w:marLeft w:val="0"/>
      <w:marRight w:val="0"/>
      <w:marTop w:val="0"/>
      <w:marBottom w:val="0"/>
      <w:divBdr>
        <w:top w:val="none" w:sz="0" w:space="0" w:color="auto"/>
        <w:left w:val="none" w:sz="0" w:space="0" w:color="auto"/>
        <w:bottom w:val="none" w:sz="0" w:space="0" w:color="auto"/>
        <w:right w:val="none" w:sz="0" w:space="0" w:color="auto"/>
      </w:divBdr>
    </w:div>
    <w:div w:id="1532306091">
      <w:bodyDiv w:val="1"/>
      <w:marLeft w:val="0"/>
      <w:marRight w:val="0"/>
      <w:marTop w:val="0"/>
      <w:marBottom w:val="0"/>
      <w:divBdr>
        <w:top w:val="none" w:sz="0" w:space="0" w:color="auto"/>
        <w:left w:val="none" w:sz="0" w:space="0" w:color="auto"/>
        <w:bottom w:val="none" w:sz="0" w:space="0" w:color="auto"/>
        <w:right w:val="none" w:sz="0" w:space="0" w:color="auto"/>
      </w:divBdr>
    </w:div>
    <w:div w:id="1532382313">
      <w:bodyDiv w:val="1"/>
      <w:marLeft w:val="0"/>
      <w:marRight w:val="0"/>
      <w:marTop w:val="0"/>
      <w:marBottom w:val="0"/>
      <w:divBdr>
        <w:top w:val="none" w:sz="0" w:space="0" w:color="auto"/>
        <w:left w:val="none" w:sz="0" w:space="0" w:color="auto"/>
        <w:bottom w:val="none" w:sz="0" w:space="0" w:color="auto"/>
        <w:right w:val="none" w:sz="0" w:space="0" w:color="auto"/>
      </w:divBdr>
    </w:div>
    <w:div w:id="1532448586">
      <w:bodyDiv w:val="1"/>
      <w:marLeft w:val="0"/>
      <w:marRight w:val="0"/>
      <w:marTop w:val="0"/>
      <w:marBottom w:val="0"/>
      <w:divBdr>
        <w:top w:val="none" w:sz="0" w:space="0" w:color="auto"/>
        <w:left w:val="none" w:sz="0" w:space="0" w:color="auto"/>
        <w:bottom w:val="none" w:sz="0" w:space="0" w:color="auto"/>
        <w:right w:val="none" w:sz="0" w:space="0" w:color="auto"/>
      </w:divBdr>
    </w:div>
    <w:div w:id="1532499337">
      <w:bodyDiv w:val="1"/>
      <w:marLeft w:val="0"/>
      <w:marRight w:val="0"/>
      <w:marTop w:val="0"/>
      <w:marBottom w:val="0"/>
      <w:divBdr>
        <w:top w:val="none" w:sz="0" w:space="0" w:color="auto"/>
        <w:left w:val="none" w:sz="0" w:space="0" w:color="auto"/>
        <w:bottom w:val="none" w:sz="0" w:space="0" w:color="auto"/>
        <w:right w:val="none" w:sz="0" w:space="0" w:color="auto"/>
      </w:divBdr>
    </w:div>
    <w:div w:id="1532523910">
      <w:bodyDiv w:val="1"/>
      <w:marLeft w:val="0"/>
      <w:marRight w:val="0"/>
      <w:marTop w:val="0"/>
      <w:marBottom w:val="0"/>
      <w:divBdr>
        <w:top w:val="none" w:sz="0" w:space="0" w:color="auto"/>
        <w:left w:val="none" w:sz="0" w:space="0" w:color="auto"/>
        <w:bottom w:val="none" w:sz="0" w:space="0" w:color="auto"/>
        <w:right w:val="none" w:sz="0" w:space="0" w:color="auto"/>
      </w:divBdr>
    </w:div>
    <w:div w:id="1532525460">
      <w:bodyDiv w:val="1"/>
      <w:marLeft w:val="0"/>
      <w:marRight w:val="0"/>
      <w:marTop w:val="0"/>
      <w:marBottom w:val="0"/>
      <w:divBdr>
        <w:top w:val="none" w:sz="0" w:space="0" w:color="auto"/>
        <w:left w:val="none" w:sz="0" w:space="0" w:color="auto"/>
        <w:bottom w:val="none" w:sz="0" w:space="0" w:color="auto"/>
        <w:right w:val="none" w:sz="0" w:space="0" w:color="auto"/>
      </w:divBdr>
    </w:div>
    <w:div w:id="1532567994">
      <w:bodyDiv w:val="1"/>
      <w:marLeft w:val="0"/>
      <w:marRight w:val="0"/>
      <w:marTop w:val="0"/>
      <w:marBottom w:val="0"/>
      <w:divBdr>
        <w:top w:val="none" w:sz="0" w:space="0" w:color="auto"/>
        <w:left w:val="none" w:sz="0" w:space="0" w:color="auto"/>
        <w:bottom w:val="none" w:sz="0" w:space="0" w:color="auto"/>
        <w:right w:val="none" w:sz="0" w:space="0" w:color="auto"/>
      </w:divBdr>
    </w:div>
    <w:div w:id="1532649325">
      <w:bodyDiv w:val="1"/>
      <w:marLeft w:val="0"/>
      <w:marRight w:val="0"/>
      <w:marTop w:val="0"/>
      <w:marBottom w:val="0"/>
      <w:divBdr>
        <w:top w:val="none" w:sz="0" w:space="0" w:color="auto"/>
        <w:left w:val="none" w:sz="0" w:space="0" w:color="auto"/>
        <w:bottom w:val="none" w:sz="0" w:space="0" w:color="auto"/>
        <w:right w:val="none" w:sz="0" w:space="0" w:color="auto"/>
      </w:divBdr>
    </w:div>
    <w:div w:id="1532722437">
      <w:bodyDiv w:val="1"/>
      <w:marLeft w:val="0"/>
      <w:marRight w:val="0"/>
      <w:marTop w:val="0"/>
      <w:marBottom w:val="0"/>
      <w:divBdr>
        <w:top w:val="none" w:sz="0" w:space="0" w:color="auto"/>
        <w:left w:val="none" w:sz="0" w:space="0" w:color="auto"/>
        <w:bottom w:val="none" w:sz="0" w:space="0" w:color="auto"/>
        <w:right w:val="none" w:sz="0" w:space="0" w:color="auto"/>
      </w:divBdr>
    </w:div>
    <w:div w:id="1532911381">
      <w:bodyDiv w:val="1"/>
      <w:marLeft w:val="0"/>
      <w:marRight w:val="0"/>
      <w:marTop w:val="0"/>
      <w:marBottom w:val="0"/>
      <w:divBdr>
        <w:top w:val="none" w:sz="0" w:space="0" w:color="auto"/>
        <w:left w:val="none" w:sz="0" w:space="0" w:color="auto"/>
        <w:bottom w:val="none" w:sz="0" w:space="0" w:color="auto"/>
        <w:right w:val="none" w:sz="0" w:space="0" w:color="auto"/>
      </w:divBdr>
    </w:div>
    <w:div w:id="1532957671">
      <w:bodyDiv w:val="1"/>
      <w:marLeft w:val="0"/>
      <w:marRight w:val="0"/>
      <w:marTop w:val="0"/>
      <w:marBottom w:val="0"/>
      <w:divBdr>
        <w:top w:val="none" w:sz="0" w:space="0" w:color="auto"/>
        <w:left w:val="none" w:sz="0" w:space="0" w:color="auto"/>
        <w:bottom w:val="none" w:sz="0" w:space="0" w:color="auto"/>
        <w:right w:val="none" w:sz="0" w:space="0" w:color="auto"/>
      </w:divBdr>
    </w:div>
    <w:div w:id="1533033484">
      <w:bodyDiv w:val="1"/>
      <w:marLeft w:val="0"/>
      <w:marRight w:val="0"/>
      <w:marTop w:val="0"/>
      <w:marBottom w:val="0"/>
      <w:divBdr>
        <w:top w:val="none" w:sz="0" w:space="0" w:color="auto"/>
        <w:left w:val="none" w:sz="0" w:space="0" w:color="auto"/>
        <w:bottom w:val="none" w:sz="0" w:space="0" w:color="auto"/>
        <w:right w:val="none" w:sz="0" w:space="0" w:color="auto"/>
      </w:divBdr>
    </w:div>
    <w:div w:id="1533110610">
      <w:bodyDiv w:val="1"/>
      <w:marLeft w:val="0"/>
      <w:marRight w:val="0"/>
      <w:marTop w:val="0"/>
      <w:marBottom w:val="0"/>
      <w:divBdr>
        <w:top w:val="none" w:sz="0" w:space="0" w:color="auto"/>
        <w:left w:val="none" w:sz="0" w:space="0" w:color="auto"/>
        <w:bottom w:val="none" w:sz="0" w:space="0" w:color="auto"/>
        <w:right w:val="none" w:sz="0" w:space="0" w:color="auto"/>
      </w:divBdr>
    </w:div>
    <w:div w:id="1533181353">
      <w:bodyDiv w:val="1"/>
      <w:marLeft w:val="0"/>
      <w:marRight w:val="0"/>
      <w:marTop w:val="0"/>
      <w:marBottom w:val="0"/>
      <w:divBdr>
        <w:top w:val="none" w:sz="0" w:space="0" w:color="auto"/>
        <w:left w:val="none" w:sz="0" w:space="0" w:color="auto"/>
        <w:bottom w:val="none" w:sz="0" w:space="0" w:color="auto"/>
        <w:right w:val="none" w:sz="0" w:space="0" w:color="auto"/>
      </w:divBdr>
    </w:div>
    <w:div w:id="1533300225">
      <w:bodyDiv w:val="1"/>
      <w:marLeft w:val="0"/>
      <w:marRight w:val="0"/>
      <w:marTop w:val="0"/>
      <w:marBottom w:val="0"/>
      <w:divBdr>
        <w:top w:val="none" w:sz="0" w:space="0" w:color="auto"/>
        <w:left w:val="none" w:sz="0" w:space="0" w:color="auto"/>
        <w:bottom w:val="none" w:sz="0" w:space="0" w:color="auto"/>
        <w:right w:val="none" w:sz="0" w:space="0" w:color="auto"/>
      </w:divBdr>
    </w:div>
    <w:div w:id="1533300368">
      <w:bodyDiv w:val="1"/>
      <w:marLeft w:val="0"/>
      <w:marRight w:val="0"/>
      <w:marTop w:val="0"/>
      <w:marBottom w:val="0"/>
      <w:divBdr>
        <w:top w:val="none" w:sz="0" w:space="0" w:color="auto"/>
        <w:left w:val="none" w:sz="0" w:space="0" w:color="auto"/>
        <w:bottom w:val="none" w:sz="0" w:space="0" w:color="auto"/>
        <w:right w:val="none" w:sz="0" w:space="0" w:color="auto"/>
      </w:divBdr>
    </w:div>
    <w:div w:id="1533302158">
      <w:bodyDiv w:val="1"/>
      <w:marLeft w:val="0"/>
      <w:marRight w:val="0"/>
      <w:marTop w:val="0"/>
      <w:marBottom w:val="0"/>
      <w:divBdr>
        <w:top w:val="none" w:sz="0" w:space="0" w:color="auto"/>
        <w:left w:val="none" w:sz="0" w:space="0" w:color="auto"/>
        <w:bottom w:val="none" w:sz="0" w:space="0" w:color="auto"/>
        <w:right w:val="none" w:sz="0" w:space="0" w:color="auto"/>
      </w:divBdr>
    </w:div>
    <w:div w:id="1533306088">
      <w:bodyDiv w:val="1"/>
      <w:marLeft w:val="0"/>
      <w:marRight w:val="0"/>
      <w:marTop w:val="0"/>
      <w:marBottom w:val="0"/>
      <w:divBdr>
        <w:top w:val="none" w:sz="0" w:space="0" w:color="auto"/>
        <w:left w:val="none" w:sz="0" w:space="0" w:color="auto"/>
        <w:bottom w:val="none" w:sz="0" w:space="0" w:color="auto"/>
        <w:right w:val="none" w:sz="0" w:space="0" w:color="auto"/>
      </w:divBdr>
    </w:div>
    <w:div w:id="1533349409">
      <w:bodyDiv w:val="1"/>
      <w:marLeft w:val="0"/>
      <w:marRight w:val="0"/>
      <w:marTop w:val="0"/>
      <w:marBottom w:val="0"/>
      <w:divBdr>
        <w:top w:val="none" w:sz="0" w:space="0" w:color="auto"/>
        <w:left w:val="none" w:sz="0" w:space="0" w:color="auto"/>
        <w:bottom w:val="none" w:sz="0" w:space="0" w:color="auto"/>
        <w:right w:val="none" w:sz="0" w:space="0" w:color="auto"/>
      </w:divBdr>
    </w:div>
    <w:div w:id="1533372636">
      <w:bodyDiv w:val="1"/>
      <w:marLeft w:val="0"/>
      <w:marRight w:val="0"/>
      <w:marTop w:val="0"/>
      <w:marBottom w:val="0"/>
      <w:divBdr>
        <w:top w:val="none" w:sz="0" w:space="0" w:color="auto"/>
        <w:left w:val="none" w:sz="0" w:space="0" w:color="auto"/>
        <w:bottom w:val="none" w:sz="0" w:space="0" w:color="auto"/>
        <w:right w:val="none" w:sz="0" w:space="0" w:color="auto"/>
      </w:divBdr>
    </w:div>
    <w:div w:id="1533372968">
      <w:bodyDiv w:val="1"/>
      <w:marLeft w:val="0"/>
      <w:marRight w:val="0"/>
      <w:marTop w:val="0"/>
      <w:marBottom w:val="0"/>
      <w:divBdr>
        <w:top w:val="none" w:sz="0" w:space="0" w:color="auto"/>
        <w:left w:val="none" w:sz="0" w:space="0" w:color="auto"/>
        <w:bottom w:val="none" w:sz="0" w:space="0" w:color="auto"/>
        <w:right w:val="none" w:sz="0" w:space="0" w:color="auto"/>
      </w:divBdr>
    </w:div>
    <w:div w:id="1533375653">
      <w:bodyDiv w:val="1"/>
      <w:marLeft w:val="0"/>
      <w:marRight w:val="0"/>
      <w:marTop w:val="0"/>
      <w:marBottom w:val="0"/>
      <w:divBdr>
        <w:top w:val="none" w:sz="0" w:space="0" w:color="auto"/>
        <w:left w:val="none" w:sz="0" w:space="0" w:color="auto"/>
        <w:bottom w:val="none" w:sz="0" w:space="0" w:color="auto"/>
        <w:right w:val="none" w:sz="0" w:space="0" w:color="auto"/>
      </w:divBdr>
    </w:div>
    <w:div w:id="1533377665">
      <w:bodyDiv w:val="1"/>
      <w:marLeft w:val="0"/>
      <w:marRight w:val="0"/>
      <w:marTop w:val="0"/>
      <w:marBottom w:val="0"/>
      <w:divBdr>
        <w:top w:val="none" w:sz="0" w:space="0" w:color="auto"/>
        <w:left w:val="none" w:sz="0" w:space="0" w:color="auto"/>
        <w:bottom w:val="none" w:sz="0" w:space="0" w:color="auto"/>
        <w:right w:val="none" w:sz="0" w:space="0" w:color="auto"/>
      </w:divBdr>
    </w:div>
    <w:div w:id="1533415854">
      <w:bodyDiv w:val="1"/>
      <w:marLeft w:val="0"/>
      <w:marRight w:val="0"/>
      <w:marTop w:val="0"/>
      <w:marBottom w:val="0"/>
      <w:divBdr>
        <w:top w:val="none" w:sz="0" w:space="0" w:color="auto"/>
        <w:left w:val="none" w:sz="0" w:space="0" w:color="auto"/>
        <w:bottom w:val="none" w:sz="0" w:space="0" w:color="auto"/>
        <w:right w:val="none" w:sz="0" w:space="0" w:color="auto"/>
      </w:divBdr>
    </w:div>
    <w:div w:id="1533497934">
      <w:bodyDiv w:val="1"/>
      <w:marLeft w:val="0"/>
      <w:marRight w:val="0"/>
      <w:marTop w:val="0"/>
      <w:marBottom w:val="0"/>
      <w:divBdr>
        <w:top w:val="none" w:sz="0" w:space="0" w:color="auto"/>
        <w:left w:val="none" w:sz="0" w:space="0" w:color="auto"/>
        <w:bottom w:val="none" w:sz="0" w:space="0" w:color="auto"/>
        <w:right w:val="none" w:sz="0" w:space="0" w:color="auto"/>
      </w:divBdr>
    </w:div>
    <w:div w:id="1533500196">
      <w:bodyDiv w:val="1"/>
      <w:marLeft w:val="0"/>
      <w:marRight w:val="0"/>
      <w:marTop w:val="0"/>
      <w:marBottom w:val="0"/>
      <w:divBdr>
        <w:top w:val="none" w:sz="0" w:space="0" w:color="auto"/>
        <w:left w:val="none" w:sz="0" w:space="0" w:color="auto"/>
        <w:bottom w:val="none" w:sz="0" w:space="0" w:color="auto"/>
        <w:right w:val="none" w:sz="0" w:space="0" w:color="auto"/>
      </w:divBdr>
    </w:div>
    <w:div w:id="1533569855">
      <w:bodyDiv w:val="1"/>
      <w:marLeft w:val="0"/>
      <w:marRight w:val="0"/>
      <w:marTop w:val="0"/>
      <w:marBottom w:val="0"/>
      <w:divBdr>
        <w:top w:val="none" w:sz="0" w:space="0" w:color="auto"/>
        <w:left w:val="none" w:sz="0" w:space="0" w:color="auto"/>
        <w:bottom w:val="none" w:sz="0" w:space="0" w:color="auto"/>
        <w:right w:val="none" w:sz="0" w:space="0" w:color="auto"/>
      </w:divBdr>
    </w:div>
    <w:div w:id="1533616764">
      <w:bodyDiv w:val="1"/>
      <w:marLeft w:val="0"/>
      <w:marRight w:val="0"/>
      <w:marTop w:val="0"/>
      <w:marBottom w:val="0"/>
      <w:divBdr>
        <w:top w:val="none" w:sz="0" w:space="0" w:color="auto"/>
        <w:left w:val="none" w:sz="0" w:space="0" w:color="auto"/>
        <w:bottom w:val="none" w:sz="0" w:space="0" w:color="auto"/>
        <w:right w:val="none" w:sz="0" w:space="0" w:color="auto"/>
      </w:divBdr>
    </w:div>
    <w:div w:id="1533808375">
      <w:bodyDiv w:val="1"/>
      <w:marLeft w:val="0"/>
      <w:marRight w:val="0"/>
      <w:marTop w:val="0"/>
      <w:marBottom w:val="0"/>
      <w:divBdr>
        <w:top w:val="none" w:sz="0" w:space="0" w:color="auto"/>
        <w:left w:val="none" w:sz="0" w:space="0" w:color="auto"/>
        <w:bottom w:val="none" w:sz="0" w:space="0" w:color="auto"/>
        <w:right w:val="none" w:sz="0" w:space="0" w:color="auto"/>
      </w:divBdr>
    </w:div>
    <w:div w:id="1534004126">
      <w:bodyDiv w:val="1"/>
      <w:marLeft w:val="0"/>
      <w:marRight w:val="0"/>
      <w:marTop w:val="0"/>
      <w:marBottom w:val="0"/>
      <w:divBdr>
        <w:top w:val="none" w:sz="0" w:space="0" w:color="auto"/>
        <w:left w:val="none" w:sz="0" w:space="0" w:color="auto"/>
        <w:bottom w:val="none" w:sz="0" w:space="0" w:color="auto"/>
        <w:right w:val="none" w:sz="0" w:space="0" w:color="auto"/>
      </w:divBdr>
    </w:div>
    <w:div w:id="1534004771">
      <w:bodyDiv w:val="1"/>
      <w:marLeft w:val="0"/>
      <w:marRight w:val="0"/>
      <w:marTop w:val="0"/>
      <w:marBottom w:val="0"/>
      <w:divBdr>
        <w:top w:val="none" w:sz="0" w:space="0" w:color="auto"/>
        <w:left w:val="none" w:sz="0" w:space="0" w:color="auto"/>
        <w:bottom w:val="none" w:sz="0" w:space="0" w:color="auto"/>
        <w:right w:val="none" w:sz="0" w:space="0" w:color="auto"/>
      </w:divBdr>
    </w:div>
    <w:div w:id="1534072342">
      <w:bodyDiv w:val="1"/>
      <w:marLeft w:val="0"/>
      <w:marRight w:val="0"/>
      <w:marTop w:val="0"/>
      <w:marBottom w:val="0"/>
      <w:divBdr>
        <w:top w:val="none" w:sz="0" w:space="0" w:color="auto"/>
        <w:left w:val="none" w:sz="0" w:space="0" w:color="auto"/>
        <w:bottom w:val="none" w:sz="0" w:space="0" w:color="auto"/>
        <w:right w:val="none" w:sz="0" w:space="0" w:color="auto"/>
      </w:divBdr>
    </w:div>
    <w:div w:id="1534073313">
      <w:bodyDiv w:val="1"/>
      <w:marLeft w:val="0"/>
      <w:marRight w:val="0"/>
      <w:marTop w:val="0"/>
      <w:marBottom w:val="0"/>
      <w:divBdr>
        <w:top w:val="none" w:sz="0" w:space="0" w:color="auto"/>
        <w:left w:val="none" w:sz="0" w:space="0" w:color="auto"/>
        <w:bottom w:val="none" w:sz="0" w:space="0" w:color="auto"/>
        <w:right w:val="none" w:sz="0" w:space="0" w:color="auto"/>
      </w:divBdr>
    </w:div>
    <w:div w:id="1534077527">
      <w:bodyDiv w:val="1"/>
      <w:marLeft w:val="0"/>
      <w:marRight w:val="0"/>
      <w:marTop w:val="0"/>
      <w:marBottom w:val="0"/>
      <w:divBdr>
        <w:top w:val="none" w:sz="0" w:space="0" w:color="auto"/>
        <w:left w:val="none" w:sz="0" w:space="0" w:color="auto"/>
        <w:bottom w:val="none" w:sz="0" w:space="0" w:color="auto"/>
        <w:right w:val="none" w:sz="0" w:space="0" w:color="auto"/>
      </w:divBdr>
    </w:div>
    <w:div w:id="1534460657">
      <w:bodyDiv w:val="1"/>
      <w:marLeft w:val="0"/>
      <w:marRight w:val="0"/>
      <w:marTop w:val="0"/>
      <w:marBottom w:val="0"/>
      <w:divBdr>
        <w:top w:val="none" w:sz="0" w:space="0" w:color="auto"/>
        <w:left w:val="none" w:sz="0" w:space="0" w:color="auto"/>
        <w:bottom w:val="none" w:sz="0" w:space="0" w:color="auto"/>
        <w:right w:val="none" w:sz="0" w:space="0" w:color="auto"/>
      </w:divBdr>
    </w:div>
    <w:div w:id="1534461618">
      <w:bodyDiv w:val="1"/>
      <w:marLeft w:val="0"/>
      <w:marRight w:val="0"/>
      <w:marTop w:val="0"/>
      <w:marBottom w:val="0"/>
      <w:divBdr>
        <w:top w:val="none" w:sz="0" w:space="0" w:color="auto"/>
        <w:left w:val="none" w:sz="0" w:space="0" w:color="auto"/>
        <w:bottom w:val="none" w:sz="0" w:space="0" w:color="auto"/>
        <w:right w:val="none" w:sz="0" w:space="0" w:color="auto"/>
      </w:divBdr>
    </w:div>
    <w:div w:id="1534616427">
      <w:bodyDiv w:val="1"/>
      <w:marLeft w:val="0"/>
      <w:marRight w:val="0"/>
      <w:marTop w:val="0"/>
      <w:marBottom w:val="0"/>
      <w:divBdr>
        <w:top w:val="none" w:sz="0" w:space="0" w:color="auto"/>
        <w:left w:val="none" w:sz="0" w:space="0" w:color="auto"/>
        <w:bottom w:val="none" w:sz="0" w:space="0" w:color="auto"/>
        <w:right w:val="none" w:sz="0" w:space="0" w:color="auto"/>
      </w:divBdr>
    </w:div>
    <w:div w:id="1534683225">
      <w:bodyDiv w:val="1"/>
      <w:marLeft w:val="0"/>
      <w:marRight w:val="0"/>
      <w:marTop w:val="0"/>
      <w:marBottom w:val="0"/>
      <w:divBdr>
        <w:top w:val="none" w:sz="0" w:space="0" w:color="auto"/>
        <w:left w:val="none" w:sz="0" w:space="0" w:color="auto"/>
        <w:bottom w:val="none" w:sz="0" w:space="0" w:color="auto"/>
        <w:right w:val="none" w:sz="0" w:space="0" w:color="auto"/>
      </w:divBdr>
    </w:div>
    <w:div w:id="1534686176">
      <w:bodyDiv w:val="1"/>
      <w:marLeft w:val="0"/>
      <w:marRight w:val="0"/>
      <w:marTop w:val="0"/>
      <w:marBottom w:val="0"/>
      <w:divBdr>
        <w:top w:val="none" w:sz="0" w:space="0" w:color="auto"/>
        <w:left w:val="none" w:sz="0" w:space="0" w:color="auto"/>
        <w:bottom w:val="none" w:sz="0" w:space="0" w:color="auto"/>
        <w:right w:val="none" w:sz="0" w:space="0" w:color="auto"/>
      </w:divBdr>
    </w:div>
    <w:div w:id="1534728093">
      <w:bodyDiv w:val="1"/>
      <w:marLeft w:val="0"/>
      <w:marRight w:val="0"/>
      <w:marTop w:val="0"/>
      <w:marBottom w:val="0"/>
      <w:divBdr>
        <w:top w:val="none" w:sz="0" w:space="0" w:color="auto"/>
        <w:left w:val="none" w:sz="0" w:space="0" w:color="auto"/>
        <w:bottom w:val="none" w:sz="0" w:space="0" w:color="auto"/>
        <w:right w:val="none" w:sz="0" w:space="0" w:color="auto"/>
      </w:divBdr>
    </w:div>
    <w:div w:id="1534801082">
      <w:bodyDiv w:val="1"/>
      <w:marLeft w:val="0"/>
      <w:marRight w:val="0"/>
      <w:marTop w:val="0"/>
      <w:marBottom w:val="0"/>
      <w:divBdr>
        <w:top w:val="none" w:sz="0" w:space="0" w:color="auto"/>
        <w:left w:val="none" w:sz="0" w:space="0" w:color="auto"/>
        <w:bottom w:val="none" w:sz="0" w:space="0" w:color="auto"/>
        <w:right w:val="none" w:sz="0" w:space="0" w:color="auto"/>
      </w:divBdr>
    </w:div>
    <w:div w:id="1535075019">
      <w:bodyDiv w:val="1"/>
      <w:marLeft w:val="0"/>
      <w:marRight w:val="0"/>
      <w:marTop w:val="0"/>
      <w:marBottom w:val="0"/>
      <w:divBdr>
        <w:top w:val="none" w:sz="0" w:space="0" w:color="auto"/>
        <w:left w:val="none" w:sz="0" w:space="0" w:color="auto"/>
        <w:bottom w:val="none" w:sz="0" w:space="0" w:color="auto"/>
        <w:right w:val="none" w:sz="0" w:space="0" w:color="auto"/>
      </w:divBdr>
    </w:div>
    <w:div w:id="1535191245">
      <w:bodyDiv w:val="1"/>
      <w:marLeft w:val="0"/>
      <w:marRight w:val="0"/>
      <w:marTop w:val="0"/>
      <w:marBottom w:val="0"/>
      <w:divBdr>
        <w:top w:val="none" w:sz="0" w:space="0" w:color="auto"/>
        <w:left w:val="none" w:sz="0" w:space="0" w:color="auto"/>
        <w:bottom w:val="none" w:sz="0" w:space="0" w:color="auto"/>
        <w:right w:val="none" w:sz="0" w:space="0" w:color="auto"/>
      </w:divBdr>
    </w:div>
    <w:div w:id="1535192382">
      <w:bodyDiv w:val="1"/>
      <w:marLeft w:val="0"/>
      <w:marRight w:val="0"/>
      <w:marTop w:val="0"/>
      <w:marBottom w:val="0"/>
      <w:divBdr>
        <w:top w:val="none" w:sz="0" w:space="0" w:color="auto"/>
        <w:left w:val="none" w:sz="0" w:space="0" w:color="auto"/>
        <w:bottom w:val="none" w:sz="0" w:space="0" w:color="auto"/>
        <w:right w:val="none" w:sz="0" w:space="0" w:color="auto"/>
      </w:divBdr>
    </w:div>
    <w:div w:id="1535192613">
      <w:bodyDiv w:val="1"/>
      <w:marLeft w:val="0"/>
      <w:marRight w:val="0"/>
      <w:marTop w:val="0"/>
      <w:marBottom w:val="0"/>
      <w:divBdr>
        <w:top w:val="none" w:sz="0" w:space="0" w:color="auto"/>
        <w:left w:val="none" w:sz="0" w:space="0" w:color="auto"/>
        <w:bottom w:val="none" w:sz="0" w:space="0" w:color="auto"/>
        <w:right w:val="none" w:sz="0" w:space="0" w:color="auto"/>
      </w:divBdr>
    </w:div>
    <w:div w:id="1535264301">
      <w:bodyDiv w:val="1"/>
      <w:marLeft w:val="0"/>
      <w:marRight w:val="0"/>
      <w:marTop w:val="0"/>
      <w:marBottom w:val="0"/>
      <w:divBdr>
        <w:top w:val="none" w:sz="0" w:space="0" w:color="auto"/>
        <w:left w:val="none" w:sz="0" w:space="0" w:color="auto"/>
        <w:bottom w:val="none" w:sz="0" w:space="0" w:color="auto"/>
        <w:right w:val="none" w:sz="0" w:space="0" w:color="auto"/>
      </w:divBdr>
      <w:divsChild>
        <w:div w:id="20864339">
          <w:marLeft w:val="0"/>
          <w:marRight w:val="0"/>
          <w:marTop w:val="0"/>
          <w:marBottom w:val="0"/>
          <w:divBdr>
            <w:top w:val="none" w:sz="0" w:space="0" w:color="auto"/>
            <w:left w:val="none" w:sz="0" w:space="0" w:color="auto"/>
            <w:bottom w:val="none" w:sz="0" w:space="0" w:color="auto"/>
            <w:right w:val="none" w:sz="0" w:space="0" w:color="auto"/>
          </w:divBdr>
        </w:div>
        <w:div w:id="28730495">
          <w:marLeft w:val="0"/>
          <w:marRight w:val="0"/>
          <w:marTop w:val="0"/>
          <w:marBottom w:val="0"/>
          <w:divBdr>
            <w:top w:val="none" w:sz="0" w:space="0" w:color="auto"/>
            <w:left w:val="none" w:sz="0" w:space="0" w:color="auto"/>
            <w:bottom w:val="none" w:sz="0" w:space="0" w:color="auto"/>
            <w:right w:val="none" w:sz="0" w:space="0" w:color="auto"/>
          </w:divBdr>
        </w:div>
        <w:div w:id="31156387">
          <w:marLeft w:val="0"/>
          <w:marRight w:val="0"/>
          <w:marTop w:val="0"/>
          <w:marBottom w:val="0"/>
          <w:divBdr>
            <w:top w:val="none" w:sz="0" w:space="0" w:color="auto"/>
            <w:left w:val="none" w:sz="0" w:space="0" w:color="auto"/>
            <w:bottom w:val="none" w:sz="0" w:space="0" w:color="auto"/>
            <w:right w:val="none" w:sz="0" w:space="0" w:color="auto"/>
          </w:divBdr>
        </w:div>
        <w:div w:id="33430180">
          <w:marLeft w:val="0"/>
          <w:marRight w:val="0"/>
          <w:marTop w:val="0"/>
          <w:marBottom w:val="0"/>
          <w:divBdr>
            <w:top w:val="none" w:sz="0" w:space="0" w:color="auto"/>
            <w:left w:val="none" w:sz="0" w:space="0" w:color="auto"/>
            <w:bottom w:val="none" w:sz="0" w:space="0" w:color="auto"/>
            <w:right w:val="none" w:sz="0" w:space="0" w:color="auto"/>
          </w:divBdr>
        </w:div>
        <w:div w:id="36517305">
          <w:marLeft w:val="0"/>
          <w:marRight w:val="0"/>
          <w:marTop w:val="0"/>
          <w:marBottom w:val="0"/>
          <w:divBdr>
            <w:top w:val="none" w:sz="0" w:space="0" w:color="auto"/>
            <w:left w:val="none" w:sz="0" w:space="0" w:color="auto"/>
            <w:bottom w:val="none" w:sz="0" w:space="0" w:color="auto"/>
            <w:right w:val="none" w:sz="0" w:space="0" w:color="auto"/>
          </w:divBdr>
        </w:div>
        <w:div w:id="53282214">
          <w:marLeft w:val="0"/>
          <w:marRight w:val="0"/>
          <w:marTop w:val="0"/>
          <w:marBottom w:val="0"/>
          <w:divBdr>
            <w:top w:val="none" w:sz="0" w:space="0" w:color="auto"/>
            <w:left w:val="none" w:sz="0" w:space="0" w:color="auto"/>
            <w:bottom w:val="none" w:sz="0" w:space="0" w:color="auto"/>
            <w:right w:val="none" w:sz="0" w:space="0" w:color="auto"/>
          </w:divBdr>
        </w:div>
        <w:div w:id="91516057">
          <w:marLeft w:val="0"/>
          <w:marRight w:val="0"/>
          <w:marTop w:val="0"/>
          <w:marBottom w:val="0"/>
          <w:divBdr>
            <w:top w:val="none" w:sz="0" w:space="0" w:color="auto"/>
            <w:left w:val="none" w:sz="0" w:space="0" w:color="auto"/>
            <w:bottom w:val="none" w:sz="0" w:space="0" w:color="auto"/>
            <w:right w:val="none" w:sz="0" w:space="0" w:color="auto"/>
          </w:divBdr>
        </w:div>
        <w:div w:id="98181708">
          <w:marLeft w:val="0"/>
          <w:marRight w:val="0"/>
          <w:marTop w:val="0"/>
          <w:marBottom w:val="0"/>
          <w:divBdr>
            <w:top w:val="none" w:sz="0" w:space="0" w:color="auto"/>
            <w:left w:val="none" w:sz="0" w:space="0" w:color="auto"/>
            <w:bottom w:val="none" w:sz="0" w:space="0" w:color="auto"/>
            <w:right w:val="none" w:sz="0" w:space="0" w:color="auto"/>
          </w:divBdr>
        </w:div>
        <w:div w:id="121072704">
          <w:marLeft w:val="0"/>
          <w:marRight w:val="0"/>
          <w:marTop w:val="0"/>
          <w:marBottom w:val="0"/>
          <w:divBdr>
            <w:top w:val="none" w:sz="0" w:space="0" w:color="auto"/>
            <w:left w:val="none" w:sz="0" w:space="0" w:color="auto"/>
            <w:bottom w:val="none" w:sz="0" w:space="0" w:color="auto"/>
            <w:right w:val="none" w:sz="0" w:space="0" w:color="auto"/>
          </w:divBdr>
        </w:div>
        <w:div w:id="156531507">
          <w:marLeft w:val="0"/>
          <w:marRight w:val="0"/>
          <w:marTop w:val="0"/>
          <w:marBottom w:val="0"/>
          <w:divBdr>
            <w:top w:val="none" w:sz="0" w:space="0" w:color="auto"/>
            <w:left w:val="none" w:sz="0" w:space="0" w:color="auto"/>
            <w:bottom w:val="none" w:sz="0" w:space="0" w:color="auto"/>
            <w:right w:val="none" w:sz="0" w:space="0" w:color="auto"/>
          </w:divBdr>
        </w:div>
        <w:div w:id="156655201">
          <w:marLeft w:val="0"/>
          <w:marRight w:val="0"/>
          <w:marTop w:val="0"/>
          <w:marBottom w:val="0"/>
          <w:divBdr>
            <w:top w:val="none" w:sz="0" w:space="0" w:color="auto"/>
            <w:left w:val="none" w:sz="0" w:space="0" w:color="auto"/>
            <w:bottom w:val="none" w:sz="0" w:space="0" w:color="auto"/>
            <w:right w:val="none" w:sz="0" w:space="0" w:color="auto"/>
          </w:divBdr>
        </w:div>
        <w:div w:id="167454096">
          <w:marLeft w:val="0"/>
          <w:marRight w:val="0"/>
          <w:marTop w:val="0"/>
          <w:marBottom w:val="0"/>
          <w:divBdr>
            <w:top w:val="none" w:sz="0" w:space="0" w:color="auto"/>
            <w:left w:val="none" w:sz="0" w:space="0" w:color="auto"/>
            <w:bottom w:val="none" w:sz="0" w:space="0" w:color="auto"/>
            <w:right w:val="none" w:sz="0" w:space="0" w:color="auto"/>
          </w:divBdr>
        </w:div>
        <w:div w:id="182791505">
          <w:marLeft w:val="0"/>
          <w:marRight w:val="0"/>
          <w:marTop w:val="0"/>
          <w:marBottom w:val="0"/>
          <w:divBdr>
            <w:top w:val="none" w:sz="0" w:space="0" w:color="auto"/>
            <w:left w:val="none" w:sz="0" w:space="0" w:color="auto"/>
            <w:bottom w:val="none" w:sz="0" w:space="0" w:color="auto"/>
            <w:right w:val="none" w:sz="0" w:space="0" w:color="auto"/>
          </w:divBdr>
        </w:div>
        <w:div w:id="187647136">
          <w:marLeft w:val="0"/>
          <w:marRight w:val="0"/>
          <w:marTop w:val="0"/>
          <w:marBottom w:val="0"/>
          <w:divBdr>
            <w:top w:val="none" w:sz="0" w:space="0" w:color="auto"/>
            <w:left w:val="none" w:sz="0" w:space="0" w:color="auto"/>
            <w:bottom w:val="none" w:sz="0" w:space="0" w:color="auto"/>
            <w:right w:val="none" w:sz="0" w:space="0" w:color="auto"/>
          </w:divBdr>
        </w:div>
        <w:div w:id="198325298">
          <w:marLeft w:val="0"/>
          <w:marRight w:val="0"/>
          <w:marTop w:val="0"/>
          <w:marBottom w:val="0"/>
          <w:divBdr>
            <w:top w:val="none" w:sz="0" w:space="0" w:color="auto"/>
            <w:left w:val="none" w:sz="0" w:space="0" w:color="auto"/>
            <w:bottom w:val="none" w:sz="0" w:space="0" w:color="auto"/>
            <w:right w:val="none" w:sz="0" w:space="0" w:color="auto"/>
          </w:divBdr>
        </w:div>
        <w:div w:id="200363291">
          <w:marLeft w:val="0"/>
          <w:marRight w:val="0"/>
          <w:marTop w:val="0"/>
          <w:marBottom w:val="0"/>
          <w:divBdr>
            <w:top w:val="none" w:sz="0" w:space="0" w:color="auto"/>
            <w:left w:val="none" w:sz="0" w:space="0" w:color="auto"/>
            <w:bottom w:val="none" w:sz="0" w:space="0" w:color="auto"/>
            <w:right w:val="none" w:sz="0" w:space="0" w:color="auto"/>
          </w:divBdr>
        </w:div>
        <w:div w:id="221137171">
          <w:marLeft w:val="0"/>
          <w:marRight w:val="0"/>
          <w:marTop w:val="0"/>
          <w:marBottom w:val="0"/>
          <w:divBdr>
            <w:top w:val="none" w:sz="0" w:space="0" w:color="auto"/>
            <w:left w:val="none" w:sz="0" w:space="0" w:color="auto"/>
            <w:bottom w:val="none" w:sz="0" w:space="0" w:color="auto"/>
            <w:right w:val="none" w:sz="0" w:space="0" w:color="auto"/>
          </w:divBdr>
        </w:div>
        <w:div w:id="223876066">
          <w:marLeft w:val="0"/>
          <w:marRight w:val="0"/>
          <w:marTop w:val="0"/>
          <w:marBottom w:val="0"/>
          <w:divBdr>
            <w:top w:val="none" w:sz="0" w:space="0" w:color="auto"/>
            <w:left w:val="none" w:sz="0" w:space="0" w:color="auto"/>
            <w:bottom w:val="none" w:sz="0" w:space="0" w:color="auto"/>
            <w:right w:val="none" w:sz="0" w:space="0" w:color="auto"/>
          </w:divBdr>
        </w:div>
        <w:div w:id="234245634">
          <w:marLeft w:val="0"/>
          <w:marRight w:val="0"/>
          <w:marTop w:val="0"/>
          <w:marBottom w:val="0"/>
          <w:divBdr>
            <w:top w:val="none" w:sz="0" w:space="0" w:color="auto"/>
            <w:left w:val="none" w:sz="0" w:space="0" w:color="auto"/>
            <w:bottom w:val="none" w:sz="0" w:space="0" w:color="auto"/>
            <w:right w:val="none" w:sz="0" w:space="0" w:color="auto"/>
          </w:divBdr>
        </w:div>
        <w:div w:id="245185708">
          <w:marLeft w:val="0"/>
          <w:marRight w:val="0"/>
          <w:marTop w:val="0"/>
          <w:marBottom w:val="0"/>
          <w:divBdr>
            <w:top w:val="none" w:sz="0" w:space="0" w:color="auto"/>
            <w:left w:val="none" w:sz="0" w:space="0" w:color="auto"/>
            <w:bottom w:val="none" w:sz="0" w:space="0" w:color="auto"/>
            <w:right w:val="none" w:sz="0" w:space="0" w:color="auto"/>
          </w:divBdr>
        </w:div>
        <w:div w:id="254171466">
          <w:marLeft w:val="0"/>
          <w:marRight w:val="0"/>
          <w:marTop w:val="0"/>
          <w:marBottom w:val="0"/>
          <w:divBdr>
            <w:top w:val="none" w:sz="0" w:space="0" w:color="auto"/>
            <w:left w:val="none" w:sz="0" w:space="0" w:color="auto"/>
            <w:bottom w:val="none" w:sz="0" w:space="0" w:color="auto"/>
            <w:right w:val="none" w:sz="0" w:space="0" w:color="auto"/>
          </w:divBdr>
        </w:div>
        <w:div w:id="260457538">
          <w:marLeft w:val="0"/>
          <w:marRight w:val="0"/>
          <w:marTop w:val="0"/>
          <w:marBottom w:val="0"/>
          <w:divBdr>
            <w:top w:val="none" w:sz="0" w:space="0" w:color="auto"/>
            <w:left w:val="none" w:sz="0" w:space="0" w:color="auto"/>
            <w:bottom w:val="none" w:sz="0" w:space="0" w:color="auto"/>
            <w:right w:val="none" w:sz="0" w:space="0" w:color="auto"/>
          </w:divBdr>
        </w:div>
        <w:div w:id="268317348">
          <w:marLeft w:val="0"/>
          <w:marRight w:val="0"/>
          <w:marTop w:val="0"/>
          <w:marBottom w:val="0"/>
          <w:divBdr>
            <w:top w:val="none" w:sz="0" w:space="0" w:color="auto"/>
            <w:left w:val="none" w:sz="0" w:space="0" w:color="auto"/>
            <w:bottom w:val="none" w:sz="0" w:space="0" w:color="auto"/>
            <w:right w:val="none" w:sz="0" w:space="0" w:color="auto"/>
          </w:divBdr>
        </w:div>
        <w:div w:id="304164848">
          <w:marLeft w:val="0"/>
          <w:marRight w:val="0"/>
          <w:marTop w:val="0"/>
          <w:marBottom w:val="0"/>
          <w:divBdr>
            <w:top w:val="none" w:sz="0" w:space="0" w:color="auto"/>
            <w:left w:val="none" w:sz="0" w:space="0" w:color="auto"/>
            <w:bottom w:val="none" w:sz="0" w:space="0" w:color="auto"/>
            <w:right w:val="none" w:sz="0" w:space="0" w:color="auto"/>
          </w:divBdr>
        </w:div>
        <w:div w:id="304746546">
          <w:marLeft w:val="0"/>
          <w:marRight w:val="0"/>
          <w:marTop w:val="0"/>
          <w:marBottom w:val="0"/>
          <w:divBdr>
            <w:top w:val="none" w:sz="0" w:space="0" w:color="auto"/>
            <w:left w:val="none" w:sz="0" w:space="0" w:color="auto"/>
            <w:bottom w:val="none" w:sz="0" w:space="0" w:color="auto"/>
            <w:right w:val="none" w:sz="0" w:space="0" w:color="auto"/>
          </w:divBdr>
        </w:div>
        <w:div w:id="304749247">
          <w:marLeft w:val="0"/>
          <w:marRight w:val="0"/>
          <w:marTop w:val="0"/>
          <w:marBottom w:val="0"/>
          <w:divBdr>
            <w:top w:val="none" w:sz="0" w:space="0" w:color="auto"/>
            <w:left w:val="none" w:sz="0" w:space="0" w:color="auto"/>
            <w:bottom w:val="none" w:sz="0" w:space="0" w:color="auto"/>
            <w:right w:val="none" w:sz="0" w:space="0" w:color="auto"/>
          </w:divBdr>
        </w:div>
        <w:div w:id="310602746">
          <w:marLeft w:val="0"/>
          <w:marRight w:val="0"/>
          <w:marTop w:val="0"/>
          <w:marBottom w:val="0"/>
          <w:divBdr>
            <w:top w:val="none" w:sz="0" w:space="0" w:color="auto"/>
            <w:left w:val="none" w:sz="0" w:space="0" w:color="auto"/>
            <w:bottom w:val="none" w:sz="0" w:space="0" w:color="auto"/>
            <w:right w:val="none" w:sz="0" w:space="0" w:color="auto"/>
          </w:divBdr>
        </w:div>
        <w:div w:id="319892090">
          <w:marLeft w:val="0"/>
          <w:marRight w:val="0"/>
          <w:marTop w:val="0"/>
          <w:marBottom w:val="0"/>
          <w:divBdr>
            <w:top w:val="none" w:sz="0" w:space="0" w:color="auto"/>
            <w:left w:val="none" w:sz="0" w:space="0" w:color="auto"/>
            <w:bottom w:val="none" w:sz="0" w:space="0" w:color="auto"/>
            <w:right w:val="none" w:sz="0" w:space="0" w:color="auto"/>
          </w:divBdr>
        </w:div>
        <w:div w:id="335109461">
          <w:marLeft w:val="0"/>
          <w:marRight w:val="0"/>
          <w:marTop w:val="0"/>
          <w:marBottom w:val="0"/>
          <w:divBdr>
            <w:top w:val="none" w:sz="0" w:space="0" w:color="auto"/>
            <w:left w:val="none" w:sz="0" w:space="0" w:color="auto"/>
            <w:bottom w:val="none" w:sz="0" w:space="0" w:color="auto"/>
            <w:right w:val="none" w:sz="0" w:space="0" w:color="auto"/>
          </w:divBdr>
        </w:div>
        <w:div w:id="367532873">
          <w:marLeft w:val="0"/>
          <w:marRight w:val="0"/>
          <w:marTop w:val="0"/>
          <w:marBottom w:val="0"/>
          <w:divBdr>
            <w:top w:val="none" w:sz="0" w:space="0" w:color="auto"/>
            <w:left w:val="none" w:sz="0" w:space="0" w:color="auto"/>
            <w:bottom w:val="none" w:sz="0" w:space="0" w:color="auto"/>
            <w:right w:val="none" w:sz="0" w:space="0" w:color="auto"/>
          </w:divBdr>
        </w:div>
        <w:div w:id="367688178">
          <w:marLeft w:val="0"/>
          <w:marRight w:val="0"/>
          <w:marTop w:val="0"/>
          <w:marBottom w:val="0"/>
          <w:divBdr>
            <w:top w:val="none" w:sz="0" w:space="0" w:color="auto"/>
            <w:left w:val="none" w:sz="0" w:space="0" w:color="auto"/>
            <w:bottom w:val="none" w:sz="0" w:space="0" w:color="auto"/>
            <w:right w:val="none" w:sz="0" w:space="0" w:color="auto"/>
          </w:divBdr>
        </w:div>
        <w:div w:id="394398666">
          <w:marLeft w:val="0"/>
          <w:marRight w:val="0"/>
          <w:marTop w:val="0"/>
          <w:marBottom w:val="0"/>
          <w:divBdr>
            <w:top w:val="none" w:sz="0" w:space="0" w:color="auto"/>
            <w:left w:val="none" w:sz="0" w:space="0" w:color="auto"/>
            <w:bottom w:val="none" w:sz="0" w:space="0" w:color="auto"/>
            <w:right w:val="none" w:sz="0" w:space="0" w:color="auto"/>
          </w:divBdr>
        </w:div>
        <w:div w:id="396441531">
          <w:marLeft w:val="0"/>
          <w:marRight w:val="0"/>
          <w:marTop w:val="0"/>
          <w:marBottom w:val="0"/>
          <w:divBdr>
            <w:top w:val="none" w:sz="0" w:space="0" w:color="auto"/>
            <w:left w:val="none" w:sz="0" w:space="0" w:color="auto"/>
            <w:bottom w:val="none" w:sz="0" w:space="0" w:color="auto"/>
            <w:right w:val="none" w:sz="0" w:space="0" w:color="auto"/>
          </w:divBdr>
        </w:div>
        <w:div w:id="405297705">
          <w:marLeft w:val="0"/>
          <w:marRight w:val="0"/>
          <w:marTop w:val="0"/>
          <w:marBottom w:val="0"/>
          <w:divBdr>
            <w:top w:val="none" w:sz="0" w:space="0" w:color="auto"/>
            <w:left w:val="none" w:sz="0" w:space="0" w:color="auto"/>
            <w:bottom w:val="none" w:sz="0" w:space="0" w:color="auto"/>
            <w:right w:val="none" w:sz="0" w:space="0" w:color="auto"/>
          </w:divBdr>
        </w:div>
        <w:div w:id="418064648">
          <w:marLeft w:val="0"/>
          <w:marRight w:val="0"/>
          <w:marTop w:val="0"/>
          <w:marBottom w:val="0"/>
          <w:divBdr>
            <w:top w:val="none" w:sz="0" w:space="0" w:color="auto"/>
            <w:left w:val="none" w:sz="0" w:space="0" w:color="auto"/>
            <w:bottom w:val="none" w:sz="0" w:space="0" w:color="auto"/>
            <w:right w:val="none" w:sz="0" w:space="0" w:color="auto"/>
          </w:divBdr>
        </w:div>
        <w:div w:id="421343134">
          <w:marLeft w:val="0"/>
          <w:marRight w:val="0"/>
          <w:marTop w:val="0"/>
          <w:marBottom w:val="0"/>
          <w:divBdr>
            <w:top w:val="none" w:sz="0" w:space="0" w:color="auto"/>
            <w:left w:val="none" w:sz="0" w:space="0" w:color="auto"/>
            <w:bottom w:val="none" w:sz="0" w:space="0" w:color="auto"/>
            <w:right w:val="none" w:sz="0" w:space="0" w:color="auto"/>
          </w:divBdr>
        </w:div>
        <w:div w:id="427426760">
          <w:marLeft w:val="0"/>
          <w:marRight w:val="0"/>
          <w:marTop w:val="0"/>
          <w:marBottom w:val="0"/>
          <w:divBdr>
            <w:top w:val="none" w:sz="0" w:space="0" w:color="auto"/>
            <w:left w:val="none" w:sz="0" w:space="0" w:color="auto"/>
            <w:bottom w:val="none" w:sz="0" w:space="0" w:color="auto"/>
            <w:right w:val="none" w:sz="0" w:space="0" w:color="auto"/>
          </w:divBdr>
        </w:div>
        <w:div w:id="433596019">
          <w:marLeft w:val="0"/>
          <w:marRight w:val="0"/>
          <w:marTop w:val="0"/>
          <w:marBottom w:val="0"/>
          <w:divBdr>
            <w:top w:val="none" w:sz="0" w:space="0" w:color="auto"/>
            <w:left w:val="none" w:sz="0" w:space="0" w:color="auto"/>
            <w:bottom w:val="none" w:sz="0" w:space="0" w:color="auto"/>
            <w:right w:val="none" w:sz="0" w:space="0" w:color="auto"/>
          </w:divBdr>
        </w:div>
        <w:div w:id="439299875">
          <w:marLeft w:val="0"/>
          <w:marRight w:val="0"/>
          <w:marTop w:val="0"/>
          <w:marBottom w:val="0"/>
          <w:divBdr>
            <w:top w:val="none" w:sz="0" w:space="0" w:color="auto"/>
            <w:left w:val="none" w:sz="0" w:space="0" w:color="auto"/>
            <w:bottom w:val="none" w:sz="0" w:space="0" w:color="auto"/>
            <w:right w:val="none" w:sz="0" w:space="0" w:color="auto"/>
          </w:divBdr>
        </w:div>
        <w:div w:id="439764576">
          <w:marLeft w:val="0"/>
          <w:marRight w:val="0"/>
          <w:marTop w:val="0"/>
          <w:marBottom w:val="0"/>
          <w:divBdr>
            <w:top w:val="none" w:sz="0" w:space="0" w:color="auto"/>
            <w:left w:val="none" w:sz="0" w:space="0" w:color="auto"/>
            <w:bottom w:val="none" w:sz="0" w:space="0" w:color="auto"/>
            <w:right w:val="none" w:sz="0" w:space="0" w:color="auto"/>
          </w:divBdr>
        </w:div>
        <w:div w:id="448209448">
          <w:marLeft w:val="0"/>
          <w:marRight w:val="0"/>
          <w:marTop w:val="0"/>
          <w:marBottom w:val="0"/>
          <w:divBdr>
            <w:top w:val="none" w:sz="0" w:space="0" w:color="auto"/>
            <w:left w:val="none" w:sz="0" w:space="0" w:color="auto"/>
            <w:bottom w:val="none" w:sz="0" w:space="0" w:color="auto"/>
            <w:right w:val="none" w:sz="0" w:space="0" w:color="auto"/>
          </w:divBdr>
        </w:div>
        <w:div w:id="465205306">
          <w:marLeft w:val="0"/>
          <w:marRight w:val="0"/>
          <w:marTop w:val="0"/>
          <w:marBottom w:val="0"/>
          <w:divBdr>
            <w:top w:val="none" w:sz="0" w:space="0" w:color="auto"/>
            <w:left w:val="none" w:sz="0" w:space="0" w:color="auto"/>
            <w:bottom w:val="none" w:sz="0" w:space="0" w:color="auto"/>
            <w:right w:val="none" w:sz="0" w:space="0" w:color="auto"/>
          </w:divBdr>
        </w:div>
        <w:div w:id="474301639">
          <w:marLeft w:val="0"/>
          <w:marRight w:val="0"/>
          <w:marTop w:val="0"/>
          <w:marBottom w:val="0"/>
          <w:divBdr>
            <w:top w:val="none" w:sz="0" w:space="0" w:color="auto"/>
            <w:left w:val="none" w:sz="0" w:space="0" w:color="auto"/>
            <w:bottom w:val="none" w:sz="0" w:space="0" w:color="auto"/>
            <w:right w:val="none" w:sz="0" w:space="0" w:color="auto"/>
          </w:divBdr>
        </w:div>
        <w:div w:id="481241253">
          <w:marLeft w:val="0"/>
          <w:marRight w:val="0"/>
          <w:marTop w:val="0"/>
          <w:marBottom w:val="0"/>
          <w:divBdr>
            <w:top w:val="none" w:sz="0" w:space="0" w:color="auto"/>
            <w:left w:val="none" w:sz="0" w:space="0" w:color="auto"/>
            <w:bottom w:val="none" w:sz="0" w:space="0" w:color="auto"/>
            <w:right w:val="none" w:sz="0" w:space="0" w:color="auto"/>
          </w:divBdr>
        </w:div>
        <w:div w:id="500850408">
          <w:marLeft w:val="0"/>
          <w:marRight w:val="0"/>
          <w:marTop w:val="0"/>
          <w:marBottom w:val="0"/>
          <w:divBdr>
            <w:top w:val="none" w:sz="0" w:space="0" w:color="auto"/>
            <w:left w:val="none" w:sz="0" w:space="0" w:color="auto"/>
            <w:bottom w:val="none" w:sz="0" w:space="0" w:color="auto"/>
            <w:right w:val="none" w:sz="0" w:space="0" w:color="auto"/>
          </w:divBdr>
        </w:div>
        <w:div w:id="521863896">
          <w:marLeft w:val="0"/>
          <w:marRight w:val="0"/>
          <w:marTop w:val="0"/>
          <w:marBottom w:val="0"/>
          <w:divBdr>
            <w:top w:val="none" w:sz="0" w:space="0" w:color="auto"/>
            <w:left w:val="none" w:sz="0" w:space="0" w:color="auto"/>
            <w:bottom w:val="none" w:sz="0" w:space="0" w:color="auto"/>
            <w:right w:val="none" w:sz="0" w:space="0" w:color="auto"/>
          </w:divBdr>
        </w:div>
        <w:div w:id="598757542">
          <w:marLeft w:val="0"/>
          <w:marRight w:val="0"/>
          <w:marTop w:val="0"/>
          <w:marBottom w:val="0"/>
          <w:divBdr>
            <w:top w:val="none" w:sz="0" w:space="0" w:color="auto"/>
            <w:left w:val="none" w:sz="0" w:space="0" w:color="auto"/>
            <w:bottom w:val="none" w:sz="0" w:space="0" w:color="auto"/>
            <w:right w:val="none" w:sz="0" w:space="0" w:color="auto"/>
          </w:divBdr>
        </w:div>
        <w:div w:id="607083277">
          <w:marLeft w:val="0"/>
          <w:marRight w:val="0"/>
          <w:marTop w:val="0"/>
          <w:marBottom w:val="0"/>
          <w:divBdr>
            <w:top w:val="none" w:sz="0" w:space="0" w:color="auto"/>
            <w:left w:val="none" w:sz="0" w:space="0" w:color="auto"/>
            <w:bottom w:val="none" w:sz="0" w:space="0" w:color="auto"/>
            <w:right w:val="none" w:sz="0" w:space="0" w:color="auto"/>
          </w:divBdr>
        </w:div>
        <w:div w:id="609823499">
          <w:marLeft w:val="0"/>
          <w:marRight w:val="0"/>
          <w:marTop w:val="0"/>
          <w:marBottom w:val="0"/>
          <w:divBdr>
            <w:top w:val="none" w:sz="0" w:space="0" w:color="auto"/>
            <w:left w:val="none" w:sz="0" w:space="0" w:color="auto"/>
            <w:bottom w:val="none" w:sz="0" w:space="0" w:color="auto"/>
            <w:right w:val="none" w:sz="0" w:space="0" w:color="auto"/>
          </w:divBdr>
        </w:div>
        <w:div w:id="612631419">
          <w:marLeft w:val="0"/>
          <w:marRight w:val="0"/>
          <w:marTop w:val="0"/>
          <w:marBottom w:val="0"/>
          <w:divBdr>
            <w:top w:val="none" w:sz="0" w:space="0" w:color="auto"/>
            <w:left w:val="none" w:sz="0" w:space="0" w:color="auto"/>
            <w:bottom w:val="none" w:sz="0" w:space="0" w:color="auto"/>
            <w:right w:val="none" w:sz="0" w:space="0" w:color="auto"/>
          </w:divBdr>
        </w:div>
        <w:div w:id="644553096">
          <w:marLeft w:val="0"/>
          <w:marRight w:val="0"/>
          <w:marTop w:val="0"/>
          <w:marBottom w:val="0"/>
          <w:divBdr>
            <w:top w:val="none" w:sz="0" w:space="0" w:color="auto"/>
            <w:left w:val="none" w:sz="0" w:space="0" w:color="auto"/>
            <w:bottom w:val="none" w:sz="0" w:space="0" w:color="auto"/>
            <w:right w:val="none" w:sz="0" w:space="0" w:color="auto"/>
          </w:divBdr>
        </w:div>
        <w:div w:id="664016806">
          <w:marLeft w:val="0"/>
          <w:marRight w:val="0"/>
          <w:marTop w:val="0"/>
          <w:marBottom w:val="0"/>
          <w:divBdr>
            <w:top w:val="none" w:sz="0" w:space="0" w:color="auto"/>
            <w:left w:val="none" w:sz="0" w:space="0" w:color="auto"/>
            <w:bottom w:val="none" w:sz="0" w:space="0" w:color="auto"/>
            <w:right w:val="none" w:sz="0" w:space="0" w:color="auto"/>
          </w:divBdr>
        </w:div>
        <w:div w:id="677119977">
          <w:marLeft w:val="0"/>
          <w:marRight w:val="0"/>
          <w:marTop w:val="0"/>
          <w:marBottom w:val="0"/>
          <w:divBdr>
            <w:top w:val="none" w:sz="0" w:space="0" w:color="auto"/>
            <w:left w:val="none" w:sz="0" w:space="0" w:color="auto"/>
            <w:bottom w:val="none" w:sz="0" w:space="0" w:color="auto"/>
            <w:right w:val="none" w:sz="0" w:space="0" w:color="auto"/>
          </w:divBdr>
        </w:div>
        <w:div w:id="704872308">
          <w:marLeft w:val="0"/>
          <w:marRight w:val="0"/>
          <w:marTop w:val="0"/>
          <w:marBottom w:val="0"/>
          <w:divBdr>
            <w:top w:val="none" w:sz="0" w:space="0" w:color="auto"/>
            <w:left w:val="none" w:sz="0" w:space="0" w:color="auto"/>
            <w:bottom w:val="none" w:sz="0" w:space="0" w:color="auto"/>
            <w:right w:val="none" w:sz="0" w:space="0" w:color="auto"/>
          </w:divBdr>
        </w:div>
        <w:div w:id="714701753">
          <w:marLeft w:val="0"/>
          <w:marRight w:val="0"/>
          <w:marTop w:val="0"/>
          <w:marBottom w:val="0"/>
          <w:divBdr>
            <w:top w:val="none" w:sz="0" w:space="0" w:color="auto"/>
            <w:left w:val="none" w:sz="0" w:space="0" w:color="auto"/>
            <w:bottom w:val="none" w:sz="0" w:space="0" w:color="auto"/>
            <w:right w:val="none" w:sz="0" w:space="0" w:color="auto"/>
          </w:divBdr>
        </w:div>
        <w:div w:id="716123969">
          <w:marLeft w:val="0"/>
          <w:marRight w:val="0"/>
          <w:marTop w:val="0"/>
          <w:marBottom w:val="0"/>
          <w:divBdr>
            <w:top w:val="none" w:sz="0" w:space="0" w:color="auto"/>
            <w:left w:val="none" w:sz="0" w:space="0" w:color="auto"/>
            <w:bottom w:val="none" w:sz="0" w:space="0" w:color="auto"/>
            <w:right w:val="none" w:sz="0" w:space="0" w:color="auto"/>
          </w:divBdr>
        </w:div>
        <w:div w:id="723725259">
          <w:marLeft w:val="0"/>
          <w:marRight w:val="0"/>
          <w:marTop w:val="0"/>
          <w:marBottom w:val="0"/>
          <w:divBdr>
            <w:top w:val="none" w:sz="0" w:space="0" w:color="auto"/>
            <w:left w:val="none" w:sz="0" w:space="0" w:color="auto"/>
            <w:bottom w:val="none" w:sz="0" w:space="0" w:color="auto"/>
            <w:right w:val="none" w:sz="0" w:space="0" w:color="auto"/>
          </w:divBdr>
        </w:div>
        <w:div w:id="743727313">
          <w:marLeft w:val="0"/>
          <w:marRight w:val="0"/>
          <w:marTop w:val="0"/>
          <w:marBottom w:val="0"/>
          <w:divBdr>
            <w:top w:val="none" w:sz="0" w:space="0" w:color="auto"/>
            <w:left w:val="none" w:sz="0" w:space="0" w:color="auto"/>
            <w:bottom w:val="none" w:sz="0" w:space="0" w:color="auto"/>
            <w:right w:val="none" w:sz="0" w:space="0" w:color="auto"/>
          </w:divBdr>
        </w:div>
        <w:div w:id="771780386">
          <w:marLeft w:val="0"/>
          <w:marRight w:val="0"/>
          <w:marTop w:val="0"/>
          <w:marBottom w:val="0"/>
          <w:divBdr>
            <w:top w:val="none" w:sz="0" w:space="0" w:color="auto"/>
            <w:left w:val="none" w:sz="0" w:space="0" w:color="auto"/>
            <w:bottom w:val="none" w:sz="0" w:space="0" w:color="auto"/>
            <w:right w:val="none" w:sz="0" w:space="0" w:color="auto"/>
          </w:divBdr>
        </w:div>
        <w:div w:id="773599940">
          <w:marLeft w:val="0"/>
          <w:marRight w:val="0"/>
          <w:marTop w:val="0"/>
          <w:marBottom w:val="0"/>
          <w:divBdr>
            <w:top w:val="none" w:sz="0" w:space="0" w:color="auto"/>
            <w:left w:val="none" w:sz="0" w:space="0" w:color="auto"/>
            <w:bottom w:val="none" w:sz="0" w:space="0" w:color="auto"/>
            <w:right w:val="none" w:sz="0" w:space="0" w:color="auto"/>
          </w:divBdr>
        </w:div>
        <w:div w:id="793713929">
          <w:marLeft w:val="0"/>
          <w:marRight w:val="0"/>
          <w:marTop w:val="0"/>
          <w:marBottom w:val="0"/>
          <w:divBdr>
            <w:top w:val="none" w:sz="0" w:space="0" w:color="auto"/>
            <w:left w:val="none" w:sz="0" w:space="0" w:color="auto"/>
            <w:bottom w:val="none" w:sz="0" w:space="0" w:color="auto"/>
            <w:right w:val="none" w:sz="0" w:space="0" w:color="auto"/>
          </w:divBdr>
        </w:div>
        <w:div w:id="803472837">
          <w:marLeft w:val="0"/>
          <w:marRight w:val="0"/>
          <w:marTop w:val="0"/>
          <w:marBottom w:val="0"/>
          <w:divBdr>
            <w:top w:val="none" w:sz="0" w:space="0" w:color="auto"/>
            <w:left w:val="none" w:sz="0" w:space="0" w:color="auto"/>
            <w:bottom w:val="none" w:sz="0" w:space="0" w:color="auto"/>
            <w:right w:val="none" w:sz="0" w:space="0" w:color="auto"/>
          </w:divBdr>
        </w:div>
        <w:div w:id="808518948">
          <w:marLeft w:val="0"/>
          <w:marRight w:val="0"/>
          <w:marTop w:val="0"/>
          <w:marBottom w:val="0"/>
          <w:divBdr>
            <w:top w:val="none" w:sz="0" w:space="0" w:color="auto"/>
            <w:left w:val="none" w:sz="0" w:space="0" w:color="auto"/>
            <w:bottom w:val="none" w:sz="0" w:space="0" w:color="auto"/>
            <w:right w:val="none" w:sz="0" w:space="0" w:color="auto"/>
          </w:divBdr>
        </w:div>
        <w:div w:id="812259646">
          <w:marLeft w:val="0"/>
          <w:marRight w:val="0"/>
          <w:marTop w:val="0"/>
          <w:marBottom w:val="0"/>
          <w:divBdr>
            <w:top w:val="none" w:sz="0" w:space="0" w:color="auto"/>
            <w:left w:val="none" w:sz="0" w:space="0" w:color="auto"/>
            <w:bottom w:val="none" w:sz="0" w:space="0" w:color="auto"/>
            <w:right w:val="none" w:sz="0" w:space="0" w:color="auto"/>
          </w:divBdr>
        </w:div>
        <w:div w:id="830945168">
          <w:marLeft w:val="0"/>
          <w:marRight w:val="0"/>
          <w:marTop w:val="0"/>
          <w:marBottom w:val="0"/>
          <w:divBdr>
            <w:top w:val="none" w:sz="0" w:space="0" w:color="auto"/>
            <w:left w:val="none" w:sz="0" w:space="0" w:color="auto"/>
            <w:bottom w:val="none" w:sz="0" w:space="0" w:color="auto"/>
            <w:right w:val="none" w:sz="0" w:space="0" w:color="auto"/>
          </w:divBdr>
        </w:div>
        <w:div w:id="833376666">
          <w:marLeft w:val="0"/>
          <w:marRight w:val="0"/>
          <w:marTop w:val="0"/>
          <w:marBottom w:val="0"/>
          <w:divBdr>
            <w:top w:val="none" w:sz="0" w:space="0" w:color="auto"/>
            <w:left w:val="none" w:sz="0" w:space="0" w:color="auto"/>
            <w:bottom w:val="none" w:sz="0" w:space="0" w:color="auto"/>
            <w:right w:val="none" w:sz="0" w:space="0" w:color="auto"/>
          </w:divBdr>
        </w:div>
        <w:div w:id="840659399">
          <w:marLeft w:val="0"/>
          <w:marRight w:val="0"/>
          <w:marTop w:val="0"/>
          <w:marBottom w:val="0"/>
          <w:divBdr>
            <w:top w:val="none" w:sz="0" w:space="0" w:color="auto"/>
            <w:left w:val="none" w:sz="0" w:space="0" w:color="auto"/>
            <w:bottom w:val="none" w:sz="0" w:space="0" w:color="auto"/>
            <w:right w:val="none" w:sz="0" w:space="0" w:color="auto"/>
          </w:divBdr>
        </w:div>
        <w:div w:id="886453964">
          <w:marLeft w:val="0"/>
          <w:marRight w:val="0"/>
          <w:marTop w:val="0"/>
          <w:marBottom w:val="0"/>
          <w:divBdr>
            <w:top w:val="none" w:sz="0" w:space="0" w:color="auto"/>
            <w:left w:val="none" w:sz="0" w:space="0" w:color="auto"/>
            <w:bottom w:val="none" w:sz="0" w:space="0" w:color="auto"/>
            <w:right w:val="none" w:sz="0" w:space="0" w:color="auto"/>
          </w:divBdr>
        </w:div>
        <w:div w:id="893348721">
          <w:marLeft w:val="0"/>
          <w:marRight w:val="0"/>
          <w:marTop w:val="0"/>
          <w:marBottom w:val="0"/>
          <w:divBdr>
            <w:top w:val="none" w:sz="0" w:space="0" w:color="auto"/>
            <w:left w:val="none" w:sz="0" w:space="0" w:color="auto"/>
            <w:bottom w:val="none" w:sz="0" w:space="0" w:color="auto"/>
            <w:right w:val="none" w:sz="0" w:space="0" w:color="auto"/>
          </w:divBdr>
        </w:div>
        <w:div w:id="922226363">
          <w:marLeft w:val="0"/>
          <w:marRight w:val="0"/>
          <w:marTop w:val="0"/>
          <w:marBottom w:val="0"/>
          <w:divBdr>
            <w:top w:val="none" w:sz="0" w:space="0" w:color="auto"/>
            <w:left w:val="none" w:sz="0" w:space="0" w:color="auto"/>
            <w:bottom w:val="none" w:sz="0" w:space="0" w:color="auto"/>
            <w:right w:val="none" w:sz="0" w:space="0" w:color="auto"/>
          </w:divBdr>
        </w:div>
        <w:div w:id="924264746">
          <w:marLeft w:val="0"/>
          <w:marRight w:val="0"/>
          <w:marTop w:val="0"/>
          <w:marBottom w:val="0"/>
          <w:divBdr>
            <w:top w:val="none" w:sz="0" w:space="0" w:color="auto"/>
            <w:left w:val="none" w:sz="0" w:space="0" w:color="auto"/>
            <w:bottom w:val="none" w:sz="0" w:space="0" w:color="auto"/>
            <w:right w:val="none" w:sz="0" w:space="0" w:color="auto"/>
          </w:divBdr>
        </w:div>
        <w:div w:id="942146555">
          <w:marLeft w:val="0"/>
          <w:marRight w:val="0"/>
          <w:marTop w:val="0"/>
          <w:marBottom w:val="0"/>
          <w:divBdr>
            <w:top w:val="none" w:sz="0" w:space="0" w:color="auto"/>
            <w:left w:val="none" w:sz="0" w:space="0" w:color="auto"/>
            <w:bottom w:val="none" w:sz="0" w:space="0" w:color="auto"/>
            <w:right w:val="none" w:sz="0" w:space="0" w:color="auto"/>
          </w:divBdr>
        </w:div>
        <w:div w:id="942151226">
          <w:marLeft w:val="0"/>
          <w:marRight w:val="0"/>
          <w:marTop w:val="0"/>
          <w:marBottom w:val="0"/>
          <w:divBdr>
            <w:top w:val="none" w:sz="0" w:space="0" w:color="auto"/>
            <w:left w:val="none" w:sz="0" w:space="0" w:color="auto"/>
            <w:bottom w:val="none" w:sz="0" w:space="0" w:color="auto"/>
            <w:right w:val="none" w:sz="0" w:space="0" w:color="auto"/>
          </w:divBdr>
        </w:div>
        <w:div w:id="961153230">
          <w:marLeft w:val="0"/>
          <w:marRight w:val="0"/>
          <w:marTop w:val="0"/>
          <w:marBottom w:val="0"/>
          <w:divBdr>
            <w:top w:val="none" w:sz="0" w:space="0" w:color="auto"/>
            <w:left w:val="none" w:sz="0" w:space="0" w:color="auto"/>
            <w:bottom w:val="none" w:sz="0" w:space="0" w:color="auto"/>
            <w:right w:val="none" w:sz="0" w:space="0" w:color="auto"/>
          </w:divBdr>
        </w:div>
        <w:div w:id="961954990">
          <w:marLeft w:val="0"/>
          <w:marRight w:val="0"/>
          <w:marTop w:val="0"/>
          <w:marBottom w:val="0"/>
          <w:divBdr>
            <w:top w:val="none" w:sz="0" w:space="0" w:color="auto"/>
            <w:left w:val="none" w:sz="0" w:space="0" w:color="auto"/>
            <w:bottom w:val="none" w:sz="0" w:space="0" w:color="auto"/>
            <w:right w:val="none" w:sz="0" w:space="0" w:color="auto"/>
          </w:divBdr>
        </w:div>
        <w:div w:id="962734545">
          <w:marLeft w:val="0"/>
          <w:marRight w:val="0"/>
          <w:marTop w:val="0"/>
          <w:marBottom w:val="0"/>
          <w:divBdr>
            <w:top w:val="none" w:sz="0" w:space="0" w:color="auto"/>
            <w:left w:val="none" w:sz="0" w:space="0" w:color="auto"/>
            <w:bottom w:val="none" w:sz="0" w:space="0" w:color="auto"/>
            <w:right w:val="none" w:sz="0" w:space="0" w:color="auto"/>
          </w:divBdr>
        </w:div>
        <w:div w:id="1008024444">
          <w:marLeft w:val="0"/>
          <w:marRight w:val="0"/>
          <w:marTop w:val="0"/>
          <w:marBottom w:val="0"/>
          <w:divBdr>
            <w:top w:val="none" w:sz="0" w:space="0" w:color="auto"/>
            <w:left w:val="none" w:sz="0" w:space="0" w:color="auto"/>
            <w:bottom w:val="none" w:sz="0" w:space="0" w:color="auto"/>
            <w:right w:val="none" w:sz="0" w:space="0" w:color="auto"/>
          </w:divBdr>
        </w:div>
        <w:div w:id="1031806282">
          <w:marLeft w:val="0"/>
          <w:marRight w:val="0"/>
          <w:marTop w:val="0"/>
          <w:marBottom w:val="0"/>
          <w:divBdr>
            <w:top w:val="none" w:sz="0" w:space="0" w:color="auto"/>
            <w:left w:val="none" w:sz="0" w:space="0" w:color="auto"/>
            <w:bottom w:val="none" w:sz="0" w:space="0" w:color="auto"/>
            <w:right w:val="none" w:sz="0" w:space="0" w:color="auto"/>
          </w:divBdr>
        </w:div>
        <w:div w:id="1032224257">
          <w:marLeft w:val="0"/>
          <w:marRight w:val="0"/>
          <w:marTop w:val="0"/>
          <w:marBottom w:val="0"/>
          <w:divBdr>
            <w:top w:val="none" w:sz="0" w:space="0" w:color="auto"/>
            <w:left w:val="none" w:sz="0" w:space="0" w:color="auto"/>
            <w:bottom w:val="none" w:sz="0" w:space="0" w:color="auto"/>
            <w:right w:val="none" w:sz="0" w:space="0" w:color="auto"/>
          </w:divBdr>
        </w:div>
        <w:div w:id="1033774384">
          <w:marLeft w:val="0"/>
          <w:marRight w:val="0"/>
          <w:marTop w:val="0"/>
          <w:marBottom w:val="0"/>
          <w:divBdr>
            <w:top w:val="none" w:sz="0" w:space="0" w:color="auto"/>
            <w:left w:val="none" w:sz="0" w:space="0" w:color="auto"/>
            <w:bottom w:val="none" w:sz="0" w:space="0" w:color="auto"/>
            <w:right w:val="none" w:sz="0" w:space="0" w:color="auto"/>
          </w:divBdr>
        </w:div>
        <w:div w:id="1033965701">
          <w:marLeft w:val="0"/>
          <w:marRight w:val="0"/>
          <w:marTop w:val="0"/>
          <w:marBottom w:val="0"/>
          <w:divBdr>
            <w:top w:val="none" w:sz="0" w:space="0" w:color="auto"/>
            <w:left w:val="none" w:sz="0" w:space="0" w:color="auto"/>
            <w:bottom w:val="none" w:sz="0" w:space="0" w:color="auto"/>
            <w:right w:val="none" w:sz="0" w:space="0" w:color="auto"/>
          </w:divBdr>
        </w:div>
        <w:div w:id="1058355211">
          <w:marLeft w:val="0"/>
          <w:marRight w:val="0"/>
          <w:marTop w:val="0"/>
          <w:marBottom w:val="0"/>
          <w:divBdr>
            <w:top w:val="none" w:sz="0" w:space="0" w:color="auto"/>
            <w:left w:val="none" w:sz="0" w:space="0" w:color="auto"/>
            <w:bottom w:val="none" w:sz="0" w:space="0" w:color="auto"/>
            <w:right w:val="none" w:sz="0" w:space="0" w:color="auto"/>
          </w:divBdr>
        </w:div>
        <w:div w:id="1058944103">
          <w:marLeft w:val="0"/>
          <w:marRight w:val="0"/>
          <w:marTop w:val="0"/>
          <w:marBottom w:val="0"/>
          <w:divBdr>
            <w:top w:val="none" w:sz="0" w:space="0" w:color="auto"/>
            <w:left w:val="none" w:sz="0" w:space="0" w:color="auto"/>
            <w:bottom w:val="none" w:sz="0" w:space="0" w:color="auto"/>
            <w:right w:val="none" w:sz="0" w:space="0" w:color="auto"/>
          </w:divBdr>
        </w:div>
        <w:div w:id="1090345979">
          <w:marLeft w:val="0"/>
          <w:marRight w:val="0"/>
          <w:marTop w:val="0"/>
          <w:marBottom w:val="0"/>
          <w:divBdr>
            <w:top w:val="none" w:sz="0" w:space="0" w:color="auto"/>
            <w:left w:val="none" w:sz="0" w:space="0" w:color="auto"/>
            <w:bottom w:val="none" w:sz="0" w:space="0" w:color="auto"/>
            <w:right w:val="none" w:sz="0" w:space="0" w:color="auto"/>
          </w:divBdr>
        </w:div>
        <w:div w:id="1095787807">
          <w:marLeft w:val="0"/>
          <w:marRight w:val="0"/>
          <w:marTop w:val="0"/>
          <w:marBottom w:val="0"/>
          <w:divBdr>
            <w:top w:val="none" w:sz="0" w:space="0" w:color="auto"/>
            <w:left w:val="none" w:sz="0" w:space="0" w:color="auto"/>
            <w:bottom w:val="none" w:sz="0" w:space="0" w:color="auto"/>
            <w:right w:val="none" w:sz="0" w:space="0" w:color="auto"/>
          </w:divBdr>
        </w:div>
        <w:div w:id="1098211832">
          <w:marLeft w:val="0"/>
          <w:marRight w:val="0"/>
          <w:marTop w:val="0"/>
          <w:marBottom w:val="0"/>
          <w:divBdr>
            <w:top w:val="none" w:sz="0" w:space="0" w:color="auto"/>
            <w:left w:val="none" w:sz="0" w:space="0" w:color="auto"/>
            <w:bottom w:val="none" w:sz="0" w:space="0" w:color="auto"/>
            <w:right w:val="none" w:sz="0" w:space="0" w:color="auto"/>
          </w:divBdr>
        </w:div>
        <w:div w:id="1114136941">
          <w:marLeft w:val="0"/>
          <w:marRight w:val="0"/>
          <w:marTop w:val="0"/>
          <w:marBottom w:val="0"/>
          <w:divBdr>
            <w:top w:val="none" w:sz="0" w:space="0" w:color="auto"/>
            <w:left w:val="none" w:sz="0" w:space="0" w:color="auto"/>
            <w:bottom w:val="none" w:sz="0" w:space="0" w:color="auto"/>
            <w:right w:val="none" w:sz="0" w:space="0" w:color="auto"/>
          </w:divBdr>
        </w:div>
        <w:div w:id="1124498403">
          <w:marLeft w:val="0"/>
          <w:marRight w:val="0"/>
          <w:marTop w:val="0"/>
          <w:marBottom w:val="0"/>
          <w:divBdr>
            <w:top w:val="none" w:sz="0" w:space="0" w:color="auto"/>
            <w:left w:val="none" w:sz="0" w:space="0" w:color="auto"/>
            <w:bottom w:val="none" w:sz="0" w:space="0" w:color="auto"/>
            <w:right w:val="none" w:sz="0" w:space="0" w:color="auto"/>
          </w:divBdr>
        </w:div>
        <w:div w:id="1135871844">
          <w:marLeft w:val="0"/>
          <w:marRight w:val="0"/>
          <w:marTop w:val="0"/>
          <w:marBottom w:val="0"/>
          <w:divBdr>
            <w:top w:val="none" w:sz="0" w:space="0" w:color="auto"/>
            <w:left w:val="none" w:sz="0" w:space="0" w:color="auto"/>
            <w:bottom w:val="none" w:sz="0" w:space="0" w:color="auto"/>
            <w:right w:val="none" w:sz="0" w:space="0" w:color="auto"/>
          </w:divBdr>
        </w:div>
        <w:div w:id="1143230372">
          <w:marLeft w:val="0"/>
          <w:marRight w:val="0"/>
          <w:marTop w:val="0"/>
          <w:marBottom w:val="0"/>
          <w:divBdr>
            <w:top w:val="none" w:sz="0" w:space="0" w:color="auto"/>
            <w:left w:val="none" w:sz="0" w:space="0" w:color="auto"/>
            <w:bottom w:val="none" w:sz="0" w:space="0" w:color="auto"/>
            <w:right w:val="none" w:sz="0" w:space="0" w:color="auto"/>
          </w:divBdr>
        </w:div>
        <w:div w:id="1146506841">
          <w:marLeft w:val="0"/>
          <w:marRight w:val="0"/>
          <w:marTop w:val="0"/>
          <w:marBottom w:val="0"/>
          <w:divBdr>
            <w:top w:val="none" w:sz="0" w:space="0" w:color="auto"/>
            <w:left w:val="none" w:sz="0" w:space="0" w:color="auto"/>
            <w:bottom w:val="none" w:sz="0" w:space="0" w:color="auto"/>
            <w:right w:val="none" w:sz="0" w:space="0" w:color="auto"/>
          </w:divBdr>
        </w:div>
        <w:div w:id="1156141994">
          <w:marLeft w:val="0"/>
          <w:marRight w:val="0"/>
          <w:marTop w:val="0"/>
          <w:marBottom w:val="0"/>
          <w:divBdr>
            <w:top w:val="none" w:sz="0" w:space="0" w:color="auto"/>
            <w:left w:val="none" w:sz="0" w:space="0" w:color="auto"/>
            <w:bottom w:val="none" w:sz="0" w:space="0" w:color="auto"/>
            <w:right w:val="none" w:sz="0" w:space="0" w:color="auto"/>
          </w:divBdr>
        </w:div>
        <w:div w:id="1200126631">
          <w:marLeft w:val="0"/>
          <w:marRight w:val="0"/>
          <w:marTop w:val="0"/>
          <w:marBottom w:val="0"/>
          <w:divBdr>
            <w:top w:val="none" w:sz="0" w:space="0" w:color="auto"/>
            <w:left w:val="none" w:sz="0" w:space="0" w:color="auto"/>
            <w:bottom w:val="none" w:sz="0" w:space="0" w:color="auto"/>
            <w:right w:val="none" w:sz="0" w:space="0" w:color="auto"/>
          </w:divBdr>
        </w:div>
        <w:div w:id="1201095163">
          <w:marLeft w:val="0"/>
          <w:marRight w:val="0"/>
          <w:marTop w:val="0"/>
          <w:marBottom w:val="0"/>
          <w:divBdr>
            <w:top w:val="none" w:sz="0" w:space="0" w:color="auto"/>
            <w:left w:val="none" w:sz="0" w:space="0" w:color="auto"/>
            <w:bottom w:val="none" w:sz="0" w:space="0" w:color="auto"/>
            <w:right w:val="none" w:sz="0" w:space="0" w:color="auto"/>
          </w:divBdr>
        </w:div>
        <w:div w:id="1217013454">
          <w:marLeft w:val="0"/>
          <w:marRight w:val="0"/>
          <w:marTop w:val="0"/>
          <w:marBottom w:val="0"/>
          <w:divBdr>
            <w:top w:val="none" w:sz="0" w:space="0" w:color="auto"/>
            <w:left w:val="none" w:sz="0" w:space="0" w:color="auto"/>
            <w:bottom w:val="none" w:sz="0" w:space="0" w:color="auto"/>
            <w:right w:val="none" w:sz="0" w:space="0" w:color="auto"/>
          </w:divBdr>
        </w:div>
        <w:div w:id="1228539202">
          <w:marLeft w:val="0"/>
          <w:marRight w:val="0"/>
          <w:marTop w:val="0"/>
          <w:marBottom w:val="0"/>
          <w:divBdr>
            <w:top w:val="none" w:sz="0" w:space="0" w:color="auto"/>
            <w:left w:val="none" w:sz="0" w:space="0" w:color="auto"/>
            <w:bottom w:val="none" w:sz="0" w:space="0" w:color="auto"/>
            <w:right w:val="none" w:sz="0" w:space="0" w:color="auto"/>
          </w:divBdr>
        </w:div>
        <w:div w:id="1230190855">
          <w:marLeft w:val="0"/>
          <w:marRight w:val="0"/>
          <w:marTop w:val="0"/>
          <w:marBottom w:val="0"/>
          <w:divBdr>
            <w:top w:val="none" w:sz="0" w:space="0" w:color="auto"/>
            <w:left w:val="none" w:sz="0" w:space="0" w:color="auto"/>
            <w:bottom w:val="none" w:sz="0" w:space="0" w:color="auto"/>
            <w:right w:val="none" w:sz="0" w:space="0" w:color="auto"/>
          </w:divBdr>
        </w:div>
        <w:div w:id="1238589702">
          <w:marLeft w:val="0"/>
          <w:marRight w:val="0"/>
          <w:marTop w:val="0"/>
          <w:marBottom w:val="0"/>
          <w:divBdr>
            <w:top w:val="none" w:sz="0" w:space="0" w:color="auto"/>
            <w:left w:val="none" w:sz="0" w:space="0" w:color="auto"/>
            <w:bottom w:val="none" w:sz="0" w:space="0" w:color="auto"/>
            <w:right w:val="none" w:sz="0" w:space="0" w:color="auto"/>
          </w:divBdr>
        </w:div>
        <w:div w:id="1241720562">
          <w:marLeft w:val="0"/>
          <w:marRight w:val="0"/>
          <w:marTop w:val="0"/>
          <w:marBottom w:val="0"/>
          <w:divBdr>
            <w:top w:val="none" w:sz="0" w:space="0" w:color="auto"/>
            <w:left w:val="none" w:sz="0" w:space="0" w:color="auto"/>
            <w:bottom w:val="none" w:sz="0" w:space="0" w:color="auto"/>
            <w:right w:val="none" w:sz="0" w:space="0" w:color="auto"/>
          </w:divBdr>
        </w:div>
        <w:div w:id="1245870843">
          <w:marLeft w:val="0"/>
          <w:marRight w:val="0"/>
          <w:marTop w:val="0"/>
          <w:marBottom w:val="0"/>
          <w:divBdr>
            <w:top w:val="none" w:sz="0" w:space="0" w:color="auto"/>
            <w:left w:val="none" w:sz="0" w:space="0" w:color="auto"/>
            <w:bottom w:val="none" w:sz="0" w:space="0" w:color="auto"/>
            <w:right w:val="none" w:sz="0" w:space="0" w:color="auto"/>
          </w:divBdr>
        </w:div>
        <w:div w:id="1264876956">
          <w:marLeft w:val="0"/>
          <w:marRight w:val="0"/>
          <w:marTop w:val="0"/>
          <w:marBottom w:val="0"/>
          <w:divBdr>
            <w:top w:val="none" w:sz="0" w:space="0" w:color="auto"/>
            <w:left w:val="none" w:sz="0" w:space="0" w:color="auto"/>
            <w:bottom w:val="none" w:sz="0" w:space="0" w:color="auto"/>
            <w:right w:val="none" w:sz="0" w:space="0" w:color="auto"/>
          </w:divBdr>
        </w:div>
        <w:div w:id="1265073299">
          <w:marLeft w:val="0"/>
          <w:marRight w:val="0"/>
          <w:marTop w:val="0"/>
          <w:marBottom w:val="0"/>
          <w:divBdr>
            <w:top w:val="none" w:sz="0" w:space="0" w:color="auto"/>
            <w:left w:val="none" w:sz="0" w:space="0" w:color="auto"/>
            <w:bottom w:val="none" w:sz="0" w:space="0" w:color="auto"/>
            <w:right w:val="none" w:sz="0" w:space="0" w:color="auto"/>
          </w:divBdr>
        </w:div>
        <w:div w:id="1265697576">
          <w:marLeft w:val="0"/>
          <w:marRight w:val="0"/>
          <w:marTop w:val="0"/>
          <w:marBottom w:val="0"/>
          <w:divBdr>
            <w:top w:val="none" w:sz="0" w:space="0" w:color="auto"/>
            <w:left w:val="none" w:sz="0" w:space="0" w:color="auto"/>
            <w:bottom w:val="none" w:sz="0" w:space="0" w:color="auto"/>
            <w:right w:val="none" w:sz="0" w:space="0" w:color="auto"/>
          </w:divBdr>
        </w:div>
        <w:div w:id="1271350285">
          <w:marLeft w:val="0"/>
          <w:marRight w:val="0"/>
          <w:marTop w:val="0"/>
          <w:marBottom w:val="0"/>
          <w:divBdr>
            <w:top w:val="none" w:sz="0" w:space="0" w:color="auto"/>
            <w:left w:val="none" w:sz="0" w:space="0" w:color="auto"/>
            <w:bottom w:val="none" w:sz="0" w:space="0" w:color="auto"/>
            <w:right w:val="none" w:sz="0" w:space="0" w:color="auto"/>
          </w:divBdr>
        </w:div>
        <w:div w:id="1277173588">
          <w:marLeft w:val="0"/>
          <w:marRight w:val="0"/>
          <w:marTop w:val="0"/>
          <w:marBottom w:val="0"/>
          <w:divBdr>
            <w:top w:val="none" w:sz="0" w:space="0" w:color="auto"/>
            <w:left w:val="none" w:sz="0" w:space="0" w:color="auto"/>
            <w:bottom w:val="none" w:sz="0" w:space="0" w:color="auto"/>
            <w:right w:val="none" w:sz="0" w:space="0" w:color="auto"/>
          </w:divBdr>
        </w:div>
        <w:div w:id="1311861282">
          <w:marLeft w:val="0"/>
          <w:marRight w:val="0"/>
          <w:marTop w:val="0"/>
          <w:marBottom w:val="0"/>
          <w:divBdr>
            <w:top w:val="none" w:sz="0" w:space="0" w:color="auto"/>
            <w:left w:val="none" w:sz="0" w:space="0" w:color="auto"/>
            <w:bottom w:val="none" w:sz="0" w:space="0" w:color="auto"/>
            <w:right w:val="none" w:sz="0" w:space="0" w:color="auto"/>
          </w:divBdr>
        </w:div>
        <w:div w:id="1321425002">
          <w:marLeft w:val="0"/>
          <w:marRight w:val="0"/>
          <w:marTop w:val="0"/>
          <w:marBottom w:val="0"/>
          <w:divBdr>
            <w:top w:val="none" w:sz="0" w:space="0" w:color="auto"/>
            <w:left w:val="none" w:sz="0" w:space="0" w:color="auto"/>
            <w:bottom w:val="none" w:sz="0" w:space="0" w:color="auto"/>
            <w:right w:val="none" w:sz="0" w:space="0" w:color="auto"/>
          </w:divBdr>
        </w:div>
        <w:div w:id="1336345616">
          <w:marLeft w:val="0"/>
          <w:marRight w:val="0"/>
          <w:marTop w:val="0"/>
          <w:marBottom w:val="0"/>
          <w:divBdr>
            <w:top w:val="none" w:sz="0" w:space="0" w:color="auto"/>
            <w:left w:val="none" w:sz="0" w:space="0" w:color="auto"/>
            <w:bottom w:val="none" w:sz="0" w:space="0" w:color="auto"/>
            <w:right w:val="none" w:sz="0" w:space="0" w:color="auto"/>
          </w:divBdr>
        </w:div>
        <w:div w:id="1343167750">
          <w:marLeft w:val="0"/>
          <w:marRight w:val="0"/>
          <w:marTop w:val="0"/>
          <w:marBottom w:val="0"/>
          <w:divBdr>
            <w:top w:val="none" w:sz="0" w:space="0" w:color="auto"/>
            <w:left w:val="none" w:sz="0" w:space="0" w:color="auto"/>
            <w:bottom w:val="none" w:sz="0" w:space="0" w:color="auto"/>
            <w:right w:val="none" w:sz="0" w:space="0" w:color="auto"/>
          </w:divBdr>
        </w:div>
        <w:div w:id="1350528942">
          <w:marLeft w:val="0"/>
          <w:marRight w:val="0"/>
          <w:marTop w:val="0"/>
          <w:marBottom w:val="0"/>
          <w:divBdr>
            <w:top w:val="none" w:sz="0" w:space="0" w:color="auto"/>
            <w:left w:val="none" w:sz="0" w:space="0" w:color="auto"/>
            <w:bottom w:val="none" w:sz="0" w:space="0" w:color="auto"/>
            <w:right w:val="none" w:sz="0" w:space="0" w:color="auto"/>
          </w:divBdr>
        </w:div>
        <w:div w:id="1354841496">
          <w:marLeft w:val="0"/>
          <w:marRight w:val="0"/>
          <w:marTop w:val="0"/>
          <w:marBottom w:val="0"/>
          <w:divBdr>
            <w:top w:val="none" w:sz="0" w:space="0" w:color="auto"/>
            <w:left w:val="none" w:sz="0" w:space="0" w:color="auto"/>
            <w:bottom w:val="none" w:sz="0" w:space="0" w:color="auto"/>
            <w:right w:val="none" w:sz="0" w:space="0" w:color="auto"/>
          </w:divBdr>
        </w:div>
        <w:div w:id="1359552398">
          <w:marLeft w:val="0"/>
          <w:marRight w:val="0"/>
          <w:marTop w:val="0"/>
          <w:marBottom w:val="0"/>
          <w:divBdr>
            <w:top w:val="none" w:sz="0" w:space="0" w:color="auto"/>
            <w:left w:val="none" w:sz="0" w:space="0" w:color="auto"/>
            <w:bottom w:val="none" w:sz="0" w:space="0" w:color="auto"/>
            <w:right w:val="none" w:sz="0" w:space="0" w:color="auto"/>
          </w:divBdr>
        </w:div>
        <w:div w:id="1371538072">
          <w:marLeft w:val="0"/>
          <w:marRight w:val="0"/>
          <w:marTop w:val="0"/>
          <w:marBottom w:val="0"/>
          <w:divBdr>
            <w:top w:val="none" w:sz="0" w:space="0" w:color="auto"/>
            <w:left w:val="none" w:sz="0" w:space="0" w:color="auto"/>
            <w:bottom w:val="none" w:sz="0" w:space="0" w:color="auto"/>
            <w:right w:val="none" w:sz="0" w:space="0" w:color="auto"/>
          </w:divBdr>
        </w:div>
        <w:div w:id="1375890614">
          <w:marLeft w:val="0"/>
          <w:marRight w:val="0"/>
          <w:marTop w:val="0"/>
          <w:marBottom w:val="0"/>
          <w:divBdr>
            <w:top w:val="none" w:sz="0" w:space="0" w:color="auto"/>
            <w:left w:val="none" w:sz="0" w:space="0" w:color="auto"/>
            <w:bottom w:val="none" w:sz="0" w:space="0" w:color="auto"/>
            <w:right w:val="none" w:sz="0" w:space="0" w:color="auto"/>
          </w:divBdr>
        </w:div>
        <w:div w:id="1409881524">
          <w:marLeft w:val="0"/>
          <w:marRight w:val="0"/>
          <w:marTop w:val="0"/>
          <w:marBottom w:val="0"/>
          <w:divBdr>
            <w:top w:val="none" w:sz="0" w:space="0" w:color="auto"/>
            <w:left w:val="none" w:sz="0" w:space="0" w:color="auto"/>
            <w:bottom w:val="none" w:sz="0" w:space="0" w:color="auto"/>
            <w:right w:val="none" w:sz="0" w:space="0" w:color="auto"/>
          </w:divBdr>
        </w:div>
        <w:div w:id="1412190377">
          <w:marLeft w:val="0"/>
          <w:marRight w:val="0"/>
          <w:marTop w:val="0"/>
          <w:marBottom w:val="0"/>
          <w:divBdr>
            <w:top w:val="none" w:sz="0" w:space="0" w:color="auto"/>
            <w:left w:val="none" w:sz="0" w:space="0" w:color="auto"/>
            <w:bottom w:val="none" w:sz="0" w:space="0" w:color="auto"/>
            <w:right w:val="none" w:sz="0" w:space="0" w:color="auto"/>
          </w:divBdr>
        </w:div>
        <w:div w:id="1417364583">
          <w:marLeft w:val="0"/>
          <w:marRight w:val="0"/>
          <w:marTop w:val="0"/>
          <w:marBottom w:val="0"/>
          <w:divBdr>
            <w:top w:val="none" w:sz="0" w:space="0" w:color="auto"/>
            <w:left w:val="none" w:sz="0" w:space="0" w:color="auto"/>
            <w:bottom w:val="none" w:sz="0" w:space="0" w:color="auto"/>
            <w:right w:val="none" w:sz="0" w:space="0" w:color="auto"/>
          </w:divBdr>
        </w:div>
        <w:div w:id="1420105536">
          <w:marLeft w:val="0"/>
          <w:marRight w:val="0"/>
          <w:marTop w:val="0"/>
          <w:marBottom w:val="0"/>
          <w:divBdr>
            <w:top w:val="none" w:sz="0" w:space="0" w:color="auto"/>
            <w:left w:val="none" w:sz="0" w:space="0" w:color="auto"/>
            <w:bottom w:val="none" w:sz="0" w:space="0" w:color="auto"/>
            <w:right w:val="none" w:sz="0" w:space="0" w:color="auto"/>
          </w:divBdr>
        </w:div>
        <w:div w:id="1425682953">
          <w:marLeft w:val="0"/>
          <w:marRight w:val="0"/>
          <w:marTop w:val="0"/>
          <w:marBottom w:val="0"/>
          <w:divBdr>
            <w:top w:val="none" w:sz="0" w:space="0" w:color="auto"/>
            <w:left w:val="none" w:sz="0" w:space="0" w:color="auto"/>
            <w:bottom w:val="none" w:sz="0" w:space="0" w:color="auto"/>
            <w:right w:val="none" w:sz="0" w:space="0" w:color="auto"/>
          </w:divBdr>
        </w:div>
        <w:div w:id="1426457828">
          <w:marLeft w:val="0"/>
          <w:marRight w:val="0"/>
          <w:marTop w:val="0"/>
          <w:marBottom w:val="0"/>
          <w:divBdr>
            <w:top w:val="none" w:sz="0" w:space="0" w:color="auto"/>
            <w:left w:val="none" w:sz="0" w:space="0" w:color="auto"/>
            <w:bottom w:val="none" w:sz="0" w:space="0" w:color="auto"/>
            <w:right w:val="none" w:sz="0" w:space="0" w:color="auto"/>
          </w:divBdr>
        </w:div>
        <w:div w:id="1433821627">
          <w:marLeft w:val="0"/>
          <w:marRight w:val="0"/>
          <w:marTop w:val="0"/>
          <w:marBottom w:val="0"/>
          <w:divBdr>
            <w:top w:val="none" w:sz="0" w:space="0" w:color="auto"/>
            <w:left w:val="none" w:sz="0" w:space="0" w:color="auto"/>
            <w:bottom w:val="none" w:sz="0" w:space="0" w:color="auto"/>
            <w:right w:val="none" w:sz="0" w:space="0" w:color="auto"/>
          </w:divBdr>
        </w:div>
        <w:div w:id="1483159620">
          <w:marLeft w:val="0"/>
          <w:marRight w:val="0"/>
          <w:marTop w:val="0"/>
          <w:marBottom w:val="0"/>
          <w:divBdr>
            <w:top w:val="none" w:sz="0" w:space="0" w:color="auto"/>
            <w:left w:val="none" w:sz="0" w:space="0" w:color="auto"/>
            <w:bottom w:val="none" w:sz="0" w:space="0" w:color="auto"/>
            <w:right w:val="none" w:sz="0" w:space="0" w:color="auto"/>
          </w:divBdr>
        </w:div>
        <w:div w:id="1493059764">
          <w:marLeft w:val="0"/>
          <w:marRight w:val="0"/>
          <w:marTop w:val="0"/>
          <w:marBottom w:val="0"/>
          <w:divBdr>
            <w:top w:val="none" w:sz="0" w:space="0" w:color="auto"/>
            <w:left w:val="none" w:sz="0" w:space="0" w:color="auto"/>
            <w:bottom w:val="none" w:sz="0" w:space="0" w:color="auto"/>
            <w:right w:val="none" w:sz="0" w:space="0" w:color="auto"/>
          </w:divBdr>
        </w:div>
        <w:div w:id="1545554942">
          <w:marLeft w:val="0"/>
          <w:marRight w:val="0"/>
          <w:marTop w:val="0"/>
          <w:marBottom w:val="0"/>
          <w:divBdr>
            <w:top w:val="none" w:sz="0" w:space="0" w:color="auto"/>
            <w:left w:val="none" w:sz="0" w:space="0" w:color="auto"/>
            <w:bottom w:val="none" w:sz="0" w:space="0" w:color="auto"/>
            <w:right w:val="none" w:sz="0" w:space="0" w:color="auto"/>
          </w:divBdr>
        </w:div>
        <w:div w:id="1547521709">
          <w:marLeft w:val="0"/>
          <w:marRight w:val="0"/>
          <w:marTop w:val="0"/>
          <w:marBottom w:val="0"/>
          <w:divBdr>
            <w:top w:val="none" w:sz="0" w:space="0" w:color="auto"/>
            <w:left w:val="none" w:sz="0" w:space="0" w:color="auto"/>
            <w:bottom w:val="none" w:sz="0" w:space="0" w:color="auto"/>
            <w:right w:val="none" w:sz="0" w:space="0" w:color="auto"/>
          </w:divBdr>
        </w:div>
        <w:div w:id="1557664751">
          <w:marLeft w:val="0"/>
          <w:marRight w:val="0"/>
          <w:marTop w:val="0"/>
          <w:marBottom w:val="0"/>
          <w:divBdr>
            <w:top w:val="none" w:sz="0" w:space="0" w:color="auto"/>
            <w:left w:val="none" w:sz="0" w:space="0" w:color="auto"/>
            <w:bottom w:val="none" w:sz="0" w:space="0" w:color="auto"/>
            <w:right w:val="none" w:sz="0" w:space="0" w:color="auto"/>
          </w:divBdr>
        </w:div>
        <w:div w:id="1581865769">
          <w:marLeft w:val="0"/>
          <w:marRight w:val="0"/>
          <w:marTop w:val="0"/>
          <w:marBottom w:val="0"/>
          <w:divBdr>
            <w:top w:val="none" w:sz="0" w:space="0" w:color="auto"/>
            <w:left w:val="none" w:sz="0" w:space="0" w:color="auto"/>
            <w:bottom w:val="none" w:sz="0" w:space="0" w:color="auto"/>
            <w:right w:val="none" w:sz="0" w:space="0" w:color="auto"/>
          </w:divBdr>
        </w:div>
        <w:div w:id="1582568946">
          <w:marLeft w:val="0"/>
          <w:marRight w:val="0"/>
          <w:marTop w:val="0"/>
          <w:marBottom w:val="0"/>
          <w:divBdr>
            <w:top w:val="none" w:sz="0" w:space="0" w:color="auto"/>
            <w:left w:val="none" w:sz="0" w:space="0" w:color="auto"/>
            <w:bottom w:val="none" w:sz="0" w:space="0" w:color="auto"/>
            <w:right w:val="none" w:sz="0" w:space="0" w:color="auto"/>
          </w:divBdr>
        </w:div>
        <w:div w:id="1607346445">
          <w:marLeft w:val="0"/>
          <w:marRight w:val="0"/>
          <w:marTop w:val="0"/>
          <w:marBottom w:val="0"/>
          <w:divBdr>
            <w:top w:val="none" w:sz="0" w:space="0" w:color="auto"/>
            <w:left w:val="none" w:sz="0" w:space="0" w:color="auto"/>
            <w:bottom w:val="none" w:sz="0" w:space="0" w:color="auto"/>
            <w:right w:val="none" w:sz="0" w:space="0" w:color="auto"/>
          </w:divBdr>
        </w:div>
        <w:div w:id="1627662242">
          <w:marLeft w:val="0"/>
          <w:marRight w:val="0"/>
          <w:marTop w:val="0"/>
          <w:marBottom w:val="0"/>
          <w:divBdr>
            <w:top w:val="none" w:sz="0" w:space="0" w:color="auto"/>
            <w:left w:val="none" w:sz="0" w:space="0" w:color="auto"/>
            <w:bottom w:val="none" w:sz="0" w:space="0" w:color="auto"/>
            <w:right w:val="none" w:sz="0" w:space="0" w:color="auto"/>
          </w:divBdr>
        </w:div>
        <w:div w:id="1627736637">
          <w:marLeft w:val="0"/>
          <w:marRight w:val="0"/>
          <w:marTop w:val="0"/>
          <w:marBottom w:val="0"/>
          <w:divBdr>
            <w:top w:val="none" w:sz="0" w:space="0" w:color="auto"/>
            <w:left w:val="none" w:sz="0" w:space="0" w:color="auto"/>
            <w:bottom w:val="none" w:sz="0" w:space="0" w:color="auto"/>
            <w:right w:val="none" w:sz="0" w:space="0" w:color="auto"/>
          </w:divBdr>
        </w:div>
        <w:div w:id="1653632255">
          <w:marLeft w:val="0"/>
          <w:marRight w:val="0"/>
          <w:marTop w:val="0"/>
          <w:marBottom w:val="0"/>
          <w:divBdr>
            <w:top w:val="none" w:sz="0" w:space="0" w:color="auto"/>
            <w:left w:val="none" w:sz="0" w:space="0" w:color="auto"/>
            <w:bottom w:val="none" w:sz="0" w:space="0" w:color="auto"/>
            <w:right w:val="none" w:sz="0" w:space="0" w:color="auto"/>
          </w:divBdr>
        </w:div>
        <w:div w:id="1675842414">
          <w:marLeft w:val="0"/>
          <w:marRight w:val="0"/>
          <w:marTop w:val="0"/>
          <w:marBottom w:val="0"/>
          <w:divBdr>
            <w:top w:val="none" w:sz="0" w:space="0" w:color="auto"/>
            <w:left w:val="none" w:sz="0" w:space="0" w:color="auto"/>
            <w:bottom w:val="none" w:sz="0" w:space="0" w:color="auto"/>
            <w:right w:val="none" w:sz="0" w:space="0" w:color="auto"/>
          </w:divBdr>
        </w:div>
        <w:div w:id="1684359769">
          <w:marLeft w:val="0"/>
          <w:marRight w:val="0"/>
          <w:marTop w:val="0"/>
          <w:marBottom w:val="0"/>
          <w:divBdr>
            <w:top w:val="none" w:sz="0" w:space="0" w:color="auto"/>
            <w:left w:val="none" w:sz="0" w:space="0" w:color="auto"/>
            <w:bottom w:val="none" w:sz="0" w:space="0" w:color="auto"/>
            <w:right w:val="none" w:sz="0" w:space="0" w:color="auto"/>
          </w:divBdr>
        </w:div>
        <w:div w:id="1709143427">
          <w:marLeft w:val="0"/>
          <w:marRight w:val="0"/>
          <w:marTop w:val="0"/>
          <w:marBottom w:val="0"/>
          <w:divBdr>
            <w:top w:val="none" w:sz="0" w:space="0" w:color="auto"/>
            <w:left w:val="none" w:sz="0" w:space="0" w:color="auto"/>
            <w:bottom w:val="none" w:sz="0" w:space="0" w:color="auto"/>
            <w:right w:val="none" w:sz="0" w:space="0" w:color="auto"/>
          </w:divBdr>
        </w:div>
        <w:div w:id="1715424515">
          <w:marLeft w:val="0"/>
          <w:marRight w:val="0"/>
          <w:marTop w:val="0"/>
          <w:marBottom w:val="0"/>
          <w:divBdr>
            <w:top w:val="none" w:sz="0" w:space="0" w:color="auto"/>
            <w:left w:val="none" w:sz="0" w:space="0" w:color="auto"/>
            <w:bottom w:val="none" w:sz="0" w:space="0" w:color="auto"/>
            <w:right w:val="none" w:sz="0" w:space="0" w:color="auto"/>
          </w:divBdr>
        </w:div>
        <w:div w:id="1723285460">
          <w:marLeft w:val="0"/>
          <w:marRight w:val="0"/>
          <w:marTop w:val="0"/>
          <w:marBottom w:val="0"/>
          <w:divBdr>
            <w:top w:val="none" w:sz="0" w:space="0" w:color="auto"/>
            <w:left w:val="none" w:sz="0" w:space="0" w:color="auto"/>
            <w:bottom w:val="none" w:sz="0" w:space="0" w:color="auto"/>
            <w:right w:val="none" w:sz="0" w:space="0" w:color="auto"/>
          </w:divBdr>
        </w:div>
        <w:div w:id="1724522348">
          <w:marLeft w:val="0"/>
          <w:marRight w:val="0"/>
          <w:marTop w:val="0"/>
          <w:marBottom w:val="0"/>
          <w:divBdr>
            <w:top w:val="none" w:sz="0" w:space="0" w:color="auto"/>
            <w:left w:val="none" w:sz="0" w:space="0" w:color="auto"/>
            <w:bottom w:val="none" w:sz="0" w:space="0" w:color="auto"/>
            <w:right w:val="none" w:sz="0" w:space="0" w:color="auto"/>
          </w:divBdr>
        </w:div>
        <w:div w:id="1752385661">
          <w:marLeft w:val="0"/>
          <w:marRight w:val="0"/>
          <w:marTop w:val="0"/>
          <w:marBottom w:val="0"/>
          <w:divBdr>
            <w:top w:val="none" w:sz="0" w:space="0" w:color="auto"/>
            <w:left w:val="none" w:sz="0" w:space="0" w:color="auto"/>
            <w:bottom w:val="none" w:sz="0" w:space="0" w:color="auto"/>
            <w:right w:val="none" w:sz="0" w:space="0" w:color="auto"/>
          </w:divBdr>
        </w:div>
        <w:div w:id="1763336587">
          <w:marLeft w:val="0"/>
          <w:marRight w:val="0"/>
          <w:marTop w:val="0"/>
          <w:marBottom w:val="0"/>
          <w:divBdr>
            <w:top w:val="none" w:sz="0" w:space="0" w:color="auto"/>
            <w:left w:val="none" w:sz="0" w:space="0" w:color="auto"/>
            <w:bottom w:val="none" w:sz="0" w:space="0" w:color="auto"/>
            <w:right w:val="none" w:sz="0" w:space="0" w:color="auto"/>
          </w:divBdr>
        </w:div>
        <w:div w:id="1788545360">
          <w:marLeft w:val="0"/>
          <w:marRight w:val="0"/>
          <w:marTop w:val="0"/>
          <w:marBottom w:val="0"/>
          <w:divBdr>
            <w:top w:val="none" w:sz="0" w:space="0" w:color="auto"/>
            <w:left w:val="none" w:sz="0" w:space="0" w:color="auto"/>
            <w:bottom w:val="none" w:sz="0" w:space="0" w:color="auto"/>
            <w:right w:val="none" w:sz="0" w:space="0" w:color="auto"/>
          </w:divBdr>
        </w:div>
        <w:div w:id="1799755736">
          <w:marLeft w:val="0"/>
          <w:marRight w:val="0"/>
          <w:marTop w:val="0"/>
          <w:marBottom w:val="0"/>
          <w:divBdr>
            <w:top w:val="none" w:sz="0" w:space="0" w:color="auto"/>
            <w:left w:val="none" w:sz="0" w:space="0" w:color="auto"/>
            <w:bottom w:val="none" w:sz="0" w:space="0" w:color="auto"/>
            <w:right w:val="none" w:sz="0" w:space="0" w:color="auto"/>
          </w:divBdr>
        </w:div>
        <w:div w:id="1816407409">
          <w:marLeft w:val="0"/>
          <w:marRight w:val="0"/>
          <w:marTop w:val="0"/>
          <w:marBottom w:val="0"/>
          <w:divBdr>
            <w:top w:val="none" w:sz="0" w:space="0" w:color="auto"/>
            <w:left w:val="none" w:sz="0" w:space="0" w:color="auto"/>
            <w:bottom w:val="none" w:sz="0" w:space="0" w:color="auto"/>
            <w:right w:val="none" w:sz="0" w:space="0" w:color="auto"/>
          </w:divBdr>
        </w:div>
        <w:div w:id="1822503274">
          <w:marLeft w:val="0"/>
          <w:marRight w:val="0"/>
          <w:marTop w:val="0"/>
          <w:marBottom w:val="0"/>
          <w:divBdr>
            <w:top w:val="none" w:sz="0" w:space="0" w:color="auto"/>
            <w:left w:val="none" w:sz="0" w:space="0" w:color="auto"/>
            <w:bottom w:val="none" w:sz="0" w:space="0" w:color="auto"/>
            <w:right w:val="none" w:sz="0" w:space="0" w:color="auto"/>
          </w:divBdr>
        </w:div>
        <w:div w:id="1847862628">
          <w:marLeft w:val="0"/>
          <w:marRight w:val="0"/>
          <w:marTop w:val="0"/>
          <w:marBottom w:val="0"/>
          <w:divBdr>
            <w:top w:val="none" w:sz="0" w:space="0" w:color="auto"/>
            <w:left w:val="none" w:sz="0" w:space="0" w:color="auto"/>
            <w:bottom w:val="none" w:sz="0" w:space="0" w:color="auto"/>
            <w:right w:val="none" w:sz="0" w:space="0" w:color="auto"/>
          </w:divBdr>
        </w:div>
        <w:div w:id="1879507828">
          <w:marLeft w:val="0"/>
          <w:marRight w:val="0"/>
          <w:marTop w:val="0"/>
          <w:marBottom w:val="0"/>
          <w:divBdr>
            <w:top w:val="none" w:sz="0" w:space="0" w:color="auto"/>
            <w:left w:val="none" w:sz="0" w:space="0" w:color="auto"/>
            <w:bottom w:val="none" w:sz="0" w:space="0" w:color="auto"/>
            <w:right w:val="none" w:sz="0" w:space="0" w:color="auto"/>
          </w:divBdr>
        </w:div>
        <w:div w:id="1903131906">
          <w:marLeft w:val="0"/>
          <w:marRight w:val="0"/>
          <w:marTop w:val="0"/>
          <w:marBottom w:val="0"/>
          <w:divBdr>
            <w:top w:val="none" w:sz="0" w:space="0" w:color="auto"/>
            <w:left w:val="none" w:sz="0" w:space="0" w:color="auto"/>
            <w:bottom w:val="none" w:sz="0" w:space="0" w:color="auto"/>
            <w:right w:val="none" w:sz="0" w:space="0" w:color="auto"/>
          </w:divBdr>
        </w:div>
        <w:div w:id="1906524071">
          <w:marLeft w:val="0"/>
          <w:marRight w:val="0"/>
          <w:marTop w:val="0"/>
          <w:marBottom w:val="0"/>
          <w:divBdr>
            <w:top w:val="none" w:sz="0" w:space="0" w:color="auto"/>
            <w:left w:val="none" w:sz="0" w:space="0" w:color="auto"/>
            <w:bottom w:val="none" w:sz="0" w:space="0" w:color="auto"/>
            <w:right w:val="none" w:sz="0" w:space="0" w:color="auto"/>
          </w:divBdr>
        </w:div>
        <w:div w:id="1916281938">
          <w:marLeft w:val="0"/>
          <w:marRight w:val="0"/>
          <w:marTop w:val="0"/>
          <w:marBottom w:val="0"/>
          <w:divBdr>
            <w:top w:val="none" w:sz="0" w:space="0" w:color="auto"/>
            <w:left w:val="none" w:sz="0" w:space="0" w:color="auto"/>
            <w:bottom w:val="none" w:sz="0" w:space="0" w:color="auto"/>
            <w:right w:val="none" w:sz="0" w:space="0" w:color="auto"/>
          </w:divBdr>
        </w:div>
        <w:div w:id="1917401644">
          <w:marLeft w:val="0"/>
          <w:marRight w:val="0"/>
          <w:marTop w:val="0"/>
          <w:marBottom w:val="0"/>
          <w:divBdr>
            <w:top w:val="none" w:sz="0" w:space="0" w:color="auto"/>
            <w:left w:val="none" w:sz="0" w:space="0" w:color="auto"/>
            <w:bottom w:val="none" w:sz="0" w:space="0" w:color="auto"/>
            <w:right w:val="none" w:sz="0" w:space="0" w:color="auto"/>
          </w:divBdr>
        </w:div>
        <w:div w:id="1920551926">
          <w:marLeft w:val="0"/>
          <w:marRight w:val="0"/>
          <w:marTop w:val="0"/>
          <w:marBottom w:val="0"/>
          <w:divBdr>
            <w:top w:val="none" w:sz="0" w:space="0" w:color="auto"/>
            <w:left w:val="none" w:sz="0" w:space="0" w:color="auto"/>
            <w:bottom w:val="none" w:sz="0" w:space="0" w:color="auto"/>
            <w:right w:val="none" w:sz="0" w:space="0" w:color="auto"/>
          </w:divBdr>
        </w:div>
        <w:div w:id="1930844500">
          <w:marLeft w:val="0"/>
          <w:marRight w:val="0"/>
          <w:marTop w:val="0"/>
          <w:marBottom w:val="0"/>
          <w:divBdr>
            <w:top w:val="none" w:sz="0" w:space="0" w:color="auto"/>
            <w:left w:val="none" w:sz="0" w:space="0" w:color="auto"/>
            <w:bottom w:val="none" w:sz="0" w:space="0" w:color="auto"/>
            <w:right w:val="none" w:sz="0" w:space="0" w:color="auto"/>
          </w:divBdr>
        </w:div>
        <w:div w:id="1970161362">
          <w:marLeft w:val="0"/>
          <w:marRight w:val="0"/>
          <w:marTop w:val="0"/>
          <w:marBottom w:val="0"/>
          <w:divBdr>
            <w:top w:val="none" w:sz="0" w:space="0" w:color="auto"/>
            <w:left w:val="none" w:sz="0" w:space="0" w:color="auto"/>
            <w:bottom w:val="none" w:sz="0" w:space="0" w:color="auto"/>
            <w:right w:val="none" w:sz="0" w:space="0" w:color="auto"/>
          </w:divBdr>
        </w:div>
        <w:div w:id="1978759304">
          <w:marLeft w:val="0"/>
          <w:marRight w:val="0"/>
          <w:marTop w:val="0"/>
          <w:marBottom w:val="0"/>
          <w:divBdr>
            <w:top w:val="none" w:sz="0" w:space="0" w:color="auto"/>
            <w:left w:val="none" w:sz="0" w:space="0" w:color="auto"/>
            <w:bottom w:val="none" w:sz="0" w:space="0" w:color="auto"/>
            <w:right w:val="none" w:sz="0" w:space="0" w:color="auto"/>
          </w:divBdr>
        </w:div>
        <w:div w:id="1982886191">
          <w:marLeft w:val="0"/>
          <w:marRight w:val="0"/>
          <w:marTop w:val="0"/>
          <w:marBottom w:val="0"/>
          <w:divBdr>
            <w:top w:val="none" w:sz="0" w:space="0" w:color="auto"/>
            <w:left w:val="none" w:sz="0" w:space="0" w:color="auto"/>
            <w:bottom w:val="none" w:sz="0" w:space="0" w:color="auto"/>
            <w:right w:val="none" w:sz="0" w:space="0" w:color="auto"/>
          </w:divBdr>
        </w:div>
        <w:div w:id="1988001756">
          <w:marLeft w:val="0"/>
          <w:marRight w:val="0"/>
          <w:marTop w:val="0"/>
          <w:marBottom w:val="0"/>
          <w:divBdr>
            <w:top w:val="none" w:sz="0" w:space="0" w:color="auto"/>
            <w:left w:val="none" w:sz="0" w:space="0" w:color="auto"/>
            <w:bottom w:val="none" w:sz="0" w:space="0" w:color="auto"/>
            <w:right w:val="none" w:sz="0" w:space="0" w:color="auto"/>
          </w:divBdr>
        </w:div>
        <w:div w:id="2000383723">
          <w:marLeft w:val="0"/>
          <w:marRight w:val="0"/>
          <w:marTop w:val="0"/>
          <w:marBottom w:val="0"/>
          <w:divBdr>
            <w:top w:val="none" w:sz="0" w:space="0" w:color="auto"/>
            <w:left w:val="none" w:sz="0" w:space="0" w:color="auto"/>
            <w:bottom w:val="none" w:sz="0" w:space="0" w:color="auto"/>
            <w:right w:val="none" w:sz="0" w:space="0" w:color="auto"/>
          </w:divBdr>
        </w:div>
        <w:div w:id="2011135211">
          <w:marLeft w:val="0"/>
          <w:marRight w:val="0"/>
          <w:marTop w:val="0"/>
          <w:marBottom w:val="0"/>
          <w:divBdr>
            <w:top w:val="none" w:sz="0" w:space="0" w:color="auto"/>
            <w:left w:val="none" w:sz="0" w:space="0" w:color="auto"/>
            <w:bottom w:val="none" w:sz="0" w:space="0" w:color="auto"/>
            <w:right w:val="none" w:sz="0" w:space="0" w:color="auto"/>
          </w:divBdr>
        </w:div>
        <w:div w:id="2017147852">
          <w:marLeft w:val="0"/>
          <w:marRight w:val="0"/>
          <w:marTop w:val="0"/>
          <w:marBottom w:val="0"/>
          <w:divBdr>
            <w:top w:val="none" w:sz="0" w:space="0" w:color="auto"/>
            <w:left w:val="none" w:sz="0" w:space="0" w:color="auto"/>
            <w:bottom w:val="none" w:sz="0" w:space="0" w:color="auto"/>
            <w:right w:val="none" w:sz="0" w:space="0" w:color="auto"/>
          </w:divBdr>
        </w:div>
        <w:div w:id="2019844002">
          <w:marLeft w:val="0"/>
          <w:marRight w:val="0"/>
          <w:marTop w:val="0"/>
          <w:marBottom w:val="0"/>
          <w:divBdr>
            <w:top w:val="none" w:sz="0" w:space="0" w:color="auto"/>
            <w:left w:val="none" w:sz="0" w:space="0" w:color="auto"/>
            <w:bottom w:val="none" w:sz="0" w:space="0" w:color="auto"/>
            <w:right w:val="none" w:sz="0" w:space="0" w:color="auto"/>
          </w:divBdr>
        </w:div>
        <w:div w:id="2031636105">
          <w:marLeft w:val="0"/>
          <w:marRight w:val="0"/>
          <w:marTop w:val="0"/>
          <w:marBottom w:val="0"/>
          <w:divBdr>
            <w:top w:val="none" w:sz="0" w:space="0" w:color="auto"/>
            <w:left w:val="none" w:sz="0" w:space="0" w:color="auto"/>
            <w:bottom w:val="none" w:sz="0" w:space="0" w:color="auto"/>
            <w:right w:val="none" w:sz="0" w:space="0" w:color="auto"/>
          </w:divBdr>
        </w:div>
      </w:divsChild>
    </w:div>
    <w:div w:id="1535271627">
      <w:bodyDiv w:val="1"/>
      <w:marLeft w:val="0"/>
      <w:marRight w:val="0"/>
      <w:marTop w:val="0"/>
      <w:marBottom w:val="0"/>
      <w:divBdr>
        <w:top w:val="none" w:sz="0" w:space="0" w:color="auto"/>
        <w:left w:val="none" w:sz="0" w:space="0" w:color="auto"/>
        <w:bottom w:val="none" w:sz="0" w:space="0" w:color="auto"/>
        <w:right w:val="none" w:sz="0" w:space="0" w:color="auto"/>
      </w:divBdr>
    </w:div>
    <w:div w:id="1535339287">
      <w:bodyDiv w:val="1"/>
      <w:marLeft w:val="0"/>
      <w:marRight w:val="0"/>
      <w:marTop w:val="0"/>
      <w:marBottom w:val="0"/>
      <w:divBdr>
        <w:top w:val="none" w:sz="0" w:space="0" w:color="auto"/>
        <w:left w:val="none" w:sz="0" w:space="0" w:color="auto"/>
        <w:bottom w:val="none" w:sz="0" w:space="0" w:color="auto"/>
        <w:right w:val="none" w:sz="0" w:space="0" w:color="auto"/>
      </w:divBdr>
    </w:div>
    <w:div w:id="1535343514">
      <w:bodyDiv w:val="1"/>
      <w:marLeft w:val="0"/>
      <w:marRight w:val="0"/>
      <w:marTop w:val="0"/>
      <w:marBottom w:val="0"/>
      <w:divBdr>
        <w:top w:val="none" w:sz="0" w:space="0" w:color="auto"/>
        <w:left w:val="none" w:sz="0" w:space="0" w:color="auto"/>
        <w:bottom w:val="none" w:sz="0" w:space="0" w:color="auto"/>
        <w:right w:val="none" w:sz="0" w:space="0" w:color="auto"/>
      </w:divBdr>
    </w:div>
    <w:div w:id="1535383209">
      <w:bodyDiv w:val="1"/>
      <w:marLeft w:val="0"/>
      <w:marRight w:val="0"/>
      <w:marTop w:val="0"/>
      <w:marBottom w:val="0"/>
      <w:divBdr>
        <w:top w:val="none" w:sz="0" w:space="0" w:color="auto"/>
        <w:left w:val="none" w:sz="0" w:space="0" w:color="auto"/>
        <w:bottom w:val="none" w:sz="0" w:space="0" w:color="auto"/>
        <w:right w:val="none" w:sz="0" w:space="0" w:color="auto"/>
      </w:divBdr>
    </w:div>
    <w:div w:id="1535385644">
      <w:bodyDiv w:val="1"/>
      <w:marLeft w:val="0"/>
      <w:marRight w:val="0"/>
      <w:marTop w:val="0"/>
      <w:marBottom w:val="0"/>
      <w:divBdr>
        <w:top w:val="none" w:sz="0" w:space="0" w:color="auto"/>
        <w:left w:val="none" w:sz="0" w:space="0" w:color="auto"/>
        <w:bottom w:val="none" w:sz="0" w:space="0" w:color="auto"/>
        <w:right w:val="none" w:sz="0" w:space="0" w:color="auto"/>
      </w:divBdr>
    </w:div>
    <w:div w:id="1535535342">
      <w:bodyDiv w:val="1"/>
      <w:marLeft w:val="0"/>
      <w:marRight w:val="0"/>
      <w:marTop w:val="0"/>
      <w:marBottom w:val="0"/>
      <w:divBdr>
        <w:top w:val="none" w:sz="0" w:space="0" w:color="auto"/>
        <w:left w:val="none" w:sz="0" w:space="0" w:color="auto"/>
        <w:bottom w:val="none" w:sz="0" w:space="0" w:color="auto"/>
        <w:right w:val="none" w:sz="0" w:space="0" w:color="auto"/>
      </w:divBdr>
    </w:div>
    <w:div w:id="1535577466">
      <w:bodyDiv w:val="1"/>
      <w:marLeft w:val="0"/>
      <w:marRight w:val="0"/>
      <w:marTop w:val="0"/>
      <w:marBottom w:val="0"/>
      <w:divBdr>
        <w:top w:val="none" w:sz="0" w:space="0" w:color="auto"/>
        <w:left w:val="none" w:sz="0" w:space="0" w:color="auto"/>
        <w:bottom w:val="none" w:sz="0" w:space="0" w:color="auto"/>
        <w:right w:val="none" w:sz="0" w:space="0" w:color="auto"/>
      </w:divBdr>
    </w:div>
    <w:div w:id="1535776729">
      <w:bodyDiv w:val="1"/>
      <w:marLeft w:val="0"/>
      <w:marRight w:val="0"/>
      <w:marTop w:val="0"/>
      <w:marBottom w:val="0"/>
      <w:divBdr>
        <w:top w:val="none" w:sz="0" w:space="0" w:color="auto"/>
        <w:left w:val="none" w:sz="0" w:space="0" w:color="auto"/>
        <w:bottom w:val="none" w:sz="0" w:space="0" w:color="auto"/>
        <w:right w:val="none" w:sz="0" w:space="0" w:color="auto"/>
      </w:divBdr>
    </w:div>
    <w:div w:id="1535921559">
      <w:bodyDiv w:val="1"/>
      <w:marLeft w:val="0"/>
      <w:marRight w:val="0"/>
      <w:marTop w:val="0"/>
      <w:marBottom w:val="0"/>
      <w:divBdr>
        <w:top w:val="none" w:sz="0" w:space="0" w:color="auto"/>
        <w:left w:val="none" w:sz="0" w:space="0" w:color="auto"/>
        <w:bottom w:val="none" w:sz="0" w:space="0" w:color="auto"/>
        <w:right w:val="none" w:sz="0" w:space="0" w:color="auto"/>
      </w:divBdr>
    </w:div>
    <w:div w:id="1536042599">
      <w:bodyDiv w:val="1"/>
      <w:marLeft w:val="0"/>
      <w:marRight w:val="0"/>
      <w:marTop w:val="0"/>
      <w:marBottom w:val="0"/>
      <w:divBdr>
        <w:top w:val="none" w:sz="0" w:space="0" w:color="auto"/>
        <w:left w:val="none" w:sz="0" w:space="0" w:color="auto"/>
        <w:bottom w:val="none" w:sz="0" w:space="0" w:color="auto"/>
        <w:right w:val="none" w:sz="0" w:space="0" w:color="auto"/>
      </w:divBdr>
    </w:div>
    <w:div w:id="1536119731">
      <w:bodyDiv w:val="1"/>
      <w:marLeft w:val="0"/>
      <w:marRight w:val="0"/>
      <w:marTop w:val="0"/>
      <w:marBottom w:val="0"/>
      <w:divBdr>
        <w:top w:val="none" w:sz="0" w:space="0" w:color="auto"/>
        <w:left w:val="none" w:sz="0" w:space="0" w:color="auto"/>
        <w:bottom w:val="none" w:sz="0" w:space="0" w:color="auto"/>
        <w:right w:val="none" w:sz="0" w:space="0" w:color="auto"/>
      </w:divBdr>
    </w:div>
    <w:div w:id="1536306046">
      <w:bodyDiv w:val="1"/>
      <w:marLeft w:val="0"/>
      <w:marRight w:val="0"/>
      <w:marTop w:val="0"/>
      <w:marBottom w:val="0"/>
      <w:divBdr>
        <w:top w:val="none" w:sz="0" w:space="0" w:color="auto"/>
        <w:left w:val="none" w:sz="0" w:space="0" w:color="auto"/>
        <w:bottom w:val="none" w:sz="0" w:space="0" w:color="auto"/>
        <w:right w:val="none" w:sz="0" w:space="0" w:color="auto"/>
      </w:divBdr>
    </w:div>
    <w:div w:id="1536388407">
      <w:bodyDiv w:val="1"/>
      <w:marLeft w:val="0"/>
      <w:marRight w:val="0"/>
      <w:marTop w:val="0"/>
      <w:marBottom w:val="0"/>
      <w:divBdr>
        <w:top w:val="none" w:sz="0" w:space="0" w:color="auto"/>
        <w:left w:val="none" w:sz="0" w:space="0" w:color="auto"/>
        <w:bottom w:val="none" w:sz="0" w:space="0" w:color="auto"/>
        <w:right w:val="none" w:sz="0" w:space="0" w:color="auto"/>
      </w:divBdr>
    </w:div>
    <w:div w:id="1536427709">
      <w:bodyDiv w:val="1"/>
      <w:marLeft w:val="0"/>
      <w:marRight w:val="0"/>
      <w:marTop w:val="0"/>
      <w:marBottom w:val="0"/>
      <w:divBdr>
        <w:top w:val="none" w:sz="0" w:space="0" w:color="auto"/>
        <w:left w:val="none" w:sz="0" w:space="0" w:color="auto"/>
        <w:bottom w:val="none" w:sz="0" w:space="0" w:color="auto"/>
        <w:right w:val="none" w:sz="0" w:space="0" w:color="auto"/>
      </w:divBdr>
    </w:div>
    <w:div w:id="1536499017">
      <w:bodyDiv w:val="1"/>
      <w:marLeft w:val="0"/>
      <w:marRight w:val="0"/>
      <w:marTop w:val="0"/>
      <w:marBottom w:val="0"/>
      <w:divBdr>
        <w:top w:val="none" w:sz="0" w:space="0" w:color="auto"/>
        <w:left w:val="none" w:sz="0" w:space="0" w:color="auto"/>
        <w:bottom w:val="none" w:sz="0" w:space="0" w:color="auto"/>
        <w:right w:val="none" w:sz="0" w:space="0" w:color="auto"/>
      </w:divBdr>
    </w:div>
    <w:div w:id="1536507847">
      <w:bodyDiv w:val="1"/>
      <w:marLeft w:val="0"/>
      <w:marRight w:val="0"/>
      <w:marTop w:val="0"/>
      <w:marBottom w:val="0"/>
      <w:divBdr>
        <w:top w:val="none" w:sz="0" w:space="0" w:color="auto"/>
        <w:left w:val="none" w:sz="0" w:space="0" w:color="auto"/>
        <w:bottom w:val="none" w:sz="0" w:space="0" w:color="auto"/>
        <w:right w:val="none" w:sz="0" w:space="0" w:color="auto"/>
      </w:divBdr>
    </w:div>
    <w:div w:id="1536575921">
      <w:bodyDiv w:val="1"/>
      <w:marLeft w:val="0"/>
      <w:marRight w:val="0"/>
      <w:marTop w:val="0"/>
      <w:marBottom w:val="0"/>
      <w:divBdr>
        <w:top w:val="none" w:sz="0" w:space="0" w:color="auto"/>
        <w:left w:val="none" w:sz="0" w:space="0" w:color="auto"/>
        <w:bottom w:val="none" w:sz="0" w:space="0" w:color="auto"/>
        <w:right w:val="none" w:sz="0" w:space="0" w:color="auto"/>
      </w:divBdr>
    </w:div>
    <w:div w:id="1536576571">
      <w:bodyDiv w:val="1"/>
      <w:marLeft w:val="0"/>
      <w:marRight w:val="0"/>
      <w:marTop w:val="0"/>
      <w:marBottom w:val="0"/>
      <w:divBdr>
        <w:top w:val="none" w:sz="0" w:space="0" w:color="auto"/>
        <w:left w:val="none" w:sz="0" w:space="0" w:color="auto"/>
        <w:bottom w:val="none" w:sz="0" w:space="0" w:color="auto"/>
        <w:right w:val="none" w:sz="0" w:space="0" w:color="auto"/>
      </w:divBdr>
    </w:div>
    <w:div w:id="1536623375">
      <w:bodyDiv w:val="1"/>
      <w:marLeft w:val="0"/>
      <w:marRight w:val="0"/>
      <w:marTop w:val="0"/>
      <w:marBottom w:val="0"/>
      <w:divBdr>
        <w:top w:val="none" w:sz="0" w:space="0" w:color="auto"/>
        <w:left w:val="none" w:sz="0" w:space="0" w:color="auto"/>
        <w:bottom w:val="none" w:sz="0" w:space="0" w:color="auto"/>
        <w:right w:val="none" w:sz="0" w:space="0" w:color="auto"/>
      </w:divBdr>
    </w:div>
    <w:div w:id="1536693798">
      <w:bodyDiv w:val="1"/>
      <w:marLeft w:val="0"/>
      <w:marRight w:val="0"/>
      <w:marTop w:val="0"/>
      <w:marBottom w:val="0"/>
      <w:divBdr>
        <w:top w:val="none" w:sz="0" w:space="0" w:color="auto"/>
        <w:left w:val="none" w:sz="0" w:space="0" w:color="auto"/>
        <w:bottom w:val="none" w:sz="0" w:space="0" w:color="auto"/>
        <w:right w:val="none" w:sz="0" w:space="0" w:color="auto"/>
      </w:divBdr>
    </w:div>
    <w:div w:id="1536695007">
      <w:bodyDiv w:val="1"/>
      <w:marLeft w:val="0"/>
      <w:marRight w:val="0"/>
      <w:marTop w:val="0"/>
      <w:marBottom w:val="0"/>
      <w:divBdr>
        <w:top w:val="none" w:sz="0" w:space="0" w:color="auto"/>
        <w:left w:val="none" w:sz="0" w:space="0" w:color="auto"/>
        <w:bottom w:val="none" w:sz="0" w:space="0" w:color="auto"/>
        <w:right w:val="none" w:sz="0" w:space="0" w:color="auto"/>
      </w:divBdr>
    </w:div>
    <w:div w:id="1536768646">
      <w:bodyDiv w:val="1"/>
      <w:marLeft w:val="0"/>
      <w:marRight w:val="0"/>
      <w:marTop w:val="0"/>
      <w:marBottom w:val="0"/>
      <w:divBdr>
        <w:top w:val="none" w:sz="0" w:space="0" w:color="auto"/>
        <w:left w:val="none" w:sz="0" w:space="0" w:color="auto"/>
        <w:bottom w:val="none" w:sz="0" w:space="0" w:color="auto"/>
        <w:right w:val="none" w:sz="0" w:space="0" w:color="auto"/>
      </w:divBdr>
    </w:div>
    <w:div w:id="1536848028">
      <w:bodyDiv w:val="1"/>
      <w:marLeft w:val="0"/>
      <w:marRight w:val="0"/>
      <w:marTop w:val="0"/>
      <w:marBottom w:val="0"/>
      <w:divBdr>
        <w:top w:val="none" w:sz="0" w:space="0" w:color="auto"/>
        <w:left w:val="none" w:sz="0" w:space="0" w:color="auto"/>
        <w:bottom w:val="none" w:sz="0" w:space="0" w:color="auto"/>
        <w:right w:val="none" w:sz="0" w:space="0" w:color="auto"/>
      </w:divBdr>
    </w:div>
    <w:div w:id="1536889345">
      <w:bodyDiv w:val="1"/>
      <w:marLeft w:val="0"/>
      <w:marRight w:val="0"/>
      <w:marTop w:val="0"/>
      <w:marBottom w:val="0"/>
      <w:divBdr>
        <w:top w:val="none" w:sz="0" w:space="0" w:color="auto"/>
        <w:left w:val="none" w:sz="0" w:space="0" w:color="auto"/>
        <w:bottom w:val="none" w:sz="0" w:space="0" w:color="auto"/>
        <w:right w:val="none" w:sz="0" w:space="0" w:color="auto"/>
      </w:divBdr>
    </w:div>
    <w:div w:id="1537156530">
      <w:bodyDiv w:val="1"/>
      <w:marLeft w:val="0"/>
      <w:marRight w:val="0"/>
      <w:marTop w:val="0"/>
      <w:marBottom w:val="0"/>
      <w:divBdr>
        <w:top w:val="none" w:sz="0" w:space="0" w:color="auto"/>
        <w:left w:val="none" w:sz="0" w:space="0" w:color="auto"/>
        <w:bottom w:val="none" w:sz="0" w:space="0" w:color="auto"/>
        <w:right w:val="none" w:sz="0" w:space="0" w:color="auto"/>
      </w:divBdr>
    </w:div>
    <w:div w:id="1537157789">
      <w:bodyDiv w:val="1"/>
      <w:marLeft w:val="0"/>
      <w:marRight w:val="0"/>
      <w:marTop w:val="0"/>
      <w:marBottom w:val="0"/>
      <w:divBdr>
        <w:top w:val="none" w:sz="0" w:space="0" w:color="auto"/>
        <w:left w:val="none" w:sz="0" w:space="0" w:color="auto"/>
        <w:bottom w:val="none" w:sz="0" w:space="0" w:color="auto"/>
        <w:right w:val="none" w:sz="0" w:space="0" w:color="auto"/>
      </w:divBdr>
    </w:div>
    <w:div w:id="1537161972">
      <w:bodyDiv w:val="1"/>
      <w:marLeft w:val="0"/>
      <w:marRight w:val="0"/>
      <w:marTop w:val="0"/>
      <w:marBottom w:val="0"/>
      <w:divBdr>
        <w:top w:val="none" w:sz="0" w:space="0" w:color="auto"/>
        <w:left w:val="none" w:sz="0" w:space="0" w:color="auto"/>
        <w:bottom w:val="none" w:sz="0" w:space="0" w:color="auto"/>
        <w:right w:val="none" w:sz="0" w:space="0" w:color="auto"/>
      </w:divBdr>
    </w:div>
    <w:div w:id="1537307903">
      <w:bodyDiv w:val="1"/>
      <w:marLeft w:val="0"/>
      <w:marRight w:val="0"/>
      <w:marTop w:val="0"/>
      <w:marBottom w:val="0"/>
      <w:divBdr>
        <w:top w:val="none" w:sz="0" w:space="0" w:color="auto"/>
        <w:left w:val="none" w:sz="0" w:space="0" w:color="auto"/>
        <w:bottom w:val="none" w:sz="0" w:space="0" w:color="auto"/>
        <w:right w:val="none" w:sz="0" w:space="0" w:color="auto"/>
      </w:divBdr>
    </w:div>
    <w:div w:id="1537351843">
      <w:bodyDiv w:val="1"/>
      <w:marLeft w:val="0"/>
      <w:marRight w:val="0"/>
      <w:marTop w:val="0"/>
      <w:marBottom w:val="0"/>
      <w:divBdr>
        <w:top w:val="none" w:sz="0" w:space="0" w:color="auto"/>
        <w:left w:val="none" w:sz="0" w:space="0" w:color="auto"/>
        <w:bottom w:val="none" w:sz="0" w:space="0" w:color="auto"/>
        <w:right w:val="none" w:sz="0" w:space="0" w:color="auto"/>
      </w:divBdr>
    </w:div>
    <w:div w:id="1537620540">
      <w:bodyDiv w:val="1"/>
      <w:marLeft w:val="0"/>
      <w:marRight w:val="0"/>
      <w:marTop w:val="0"/>
      <w:marBottom w:val="0"/>
      <w:divBdr>
        <w:top w:val="none" w:sz="0" w:space="0" w:color="auto"/>
        <w:left w:val="none" w:sz="0" w:space="0" w:color="auto"/>
        <w:bottom w:val="none" w:sz="0" w:space="0" w:color="auto"/>
        <w:right w:val="none" w:sz="0" w:space="0" w:color="auto"/>
      </w:divBdr>
    </w:div>
    <w:div w:id="1537691409">
      <w:bodyDiv w:val="1"/>
      <w:marLeft w:val="0"/>
      <w:marRight w:val="0"/>
      <w:marTop w:val="0"/>
      <w:marBottom w:val="0"/>
      <w:divBdr>
        <w:top w:val="none" w:sz="0" w:space="0" w:color="auto"/>
        <w:left w:val="none" w:sz="0" w:space="0" w:color="auto"/>
        <w:bottom w:val="none" w:sz="0" w:space="0" w:color="auto"/>
        <w:right w:val="none" w:sz="0" w:space="0" w:color="auto"/>
      </w:divBdr>
    </w:div>
    <w:div w:id="1537740563">
      <w:bodyDiv w:val="1"/>
      <w:marLeft w:val="0"/>
      <w:marRight w:val="0"/>
      <w:marTop w:val="0"/>
      <w:marBottom w:val="0"/>
      <w:divBdr>
        <w:top w:val="none" w:sz="0" w:space="0" w:color="auto"/>
        <w:left w:val="none" w:sz="0" w:space="0" w:color="auto"/>
        <w:bottom w:val="none" w:sz="0" w:space="0" w:color="auto"/>
        <w:right w:val="none" w:sz="0" w:space="0" w:color="auto"/>
      </w:divBdr>
    </w:div>
    <w:div w:id="1537768861">
      <w:bodyDiv w:val="1"/>
      <w:marLeft w:val="0"/>
      <w:marRight w:val="0"/>
      <w:marTop w:val="0"/>
      <w:marBottom w:val="0"/>
      <w:divBdr>
        <w:top w:val="none" w:sz="0" w:space="0" w:color="auto"/>
        <w:left w:val="none" w:sz="0" w:space="0" w:color="auto"/>
        <w:bottom w:val="none" w:sz="0" w:space="0" w:color="auto"/>
        <w:right w:val="none" w:sz="0" w:space="0" w:color="auto"/>
      </w:divBdr>
    </w:div>
    <w:div w:id="1537817205">
      <w:bodyDiv w:val="1"/>
      <w:marLeft w:val="0"/>
      <w:marRight w:val="0"/>
      <w:marTop w:val="0"/>
      <w:marBottom w:val="0"/>
      <w:divBdr>
        <w:top w:val="none" w:sz="0" w:space="0" w:color="auto"/>
        <w:left w:val="none" w:sz="0" w:space="0" w:color="auto"/>
        <w:bottom w:val="none" w:sz="0" w:space="0" w:color="auto"/>
        <w:right w:val="none" w:sz="0" w:space="0" w:color="auto"/>
      </w:divBdr>
    </w:div>
    <w:div w:id="1537818259">
      <w:bodyDiv w:val="1"/>
      <w:marLeft w:val="0"/>
      <w:marRight w:val="0"/>
      <w:marTop w:val="0"/>
      <w:marBottom w:val="0"/>
      <w:divBdr>
        <w:top w:val="none" w:sz="0" w:space="0" w:color="auto"/>
        <w:left w:val="none" w:sz="0" w:space="0" w:color="auto"/>
        <w:bottom w:val="none" w:sz="0" w:space="0" w:color="auto"/>
        <w:right w:val="none" w:sz="0" w:space="0" w:color="auto"/>
      </w:divBdr>
    </w:div>
    <w:div w:id="1537893382">
      <w:bodyDiv w:val="1"/>
      <w:marLeft w:val="0"/>
      <w:marRight w:val="0"/>
      <w:marTop w:val="0"/>
      <w:marBottom w:val="0"/>
      <w:divBdr>
        <w:top w:val="none" w:sz="0" w:space="0" w:color="auto"/>
        <w:left w:val="none" w:sz="0" w:space="0" w:color="auto"/>
        <w:bottom w:val="none" w:sz="0" w:space="0" w:color="auto"/>
        <w:right w:val="none" w:sz="0" w:space="0" w:color="auto"/>
      </w:divBdr>
    </w:div>
    <w:div w:id="1538397757">
      <w:bodyDiv w:val="1"/>
      <w:marLeft w:val="0"/>
      <w:marRight w:val="0"/>
      <w:marTop w:val="0"/>
      <w:marBottom w:val="0"/>
      <w:divBdr>
        <w:top w:val="none" w:sz="0" w:space="0" w:color="auto"/>
        <w:left w:val="none" w:sz="0" w:space="0" w:color="auto"/>
        <w:bottom w:val="none" w:sz="0" w:space="0" w:color="auto"/>
        <w:right w:val="none" w:sz="0" w:space="0" w:color="auto"/>
      </w:divBdr>
    </w:div>
    <w:div w:id="1538544976">
      <w:bodyDiv w:val="1"/>
      <w:marLeft w:val="0"/>
      <w:marRight w:val="0"/>
      <w:marTop w:val="0"/>
      <w:marBottom w:val="0"/>
      <w:divBdr>
        <w:top w:val="none" w:sz="0" w:space="0" w:color="auto"/>
        <w:left w:val="none" w:sz="0" w:space="0" w:color="auto"/>
        <w:bottom w:val="none" w:sz="0" w:space="0" w:color="auto"/>
        <w:right w:val="none" w:sz="0" w:space="0" w:color="auto"/>
      </w:divBdr>
    </w:div>
    <w:div w:id="1538742067">
      <w:bodyDiv w:val="1"/>
      <w:marLeft w:val="0"/>
      <w:marRight w:val="0"/>
      <w:marTop w:val="0"/>
      <w:marBottom w:val="0"/>
      <w:divBdr>
        <w:top w:val="none" w:sz="0" w:space="0" w:color="auto"/>
        <w:left w:val="none" w:sz="0" w:space="0" w:color="auto"/>
        <w:bottom w:val="none" w:sz="0" w:space="0" w:color="auto"/>
        <w:right w:val="none" w:sz="0" w:space="0" w:color="auto"/>
      </w:divBdr>
    </w:div>
    <w:div w:id="1538856045">
      <w:bodyDiv w:val="1"/>
      <w:marLeft w:val="0"/>
      <w:marRight w:val="0"/>
      <w:marTop w:val="0"/>
      <w:marBottom w:val="0"/>
      <w:divBdr>
        <w:top w:val="none" w:sz="0" w:space="0" w:color="auto"/>
        <w:left w:val="none" w:sz="0" w:space="0" w:color="auto"/>
        <w:bottom w:val="none" w:sz="0" w:space="0" w:color="auto"/>
        <w:right w:val="none" w:sz="0" w:space="0" w:color="auto"/>
      </w:divBdr>
    </w:div>
    <w:div w:id="1538928117">
      <w:bodyDiv w:val="1"/>
      <w:marLeft w:val="0"/>
      <w:marRight w:val="0"/>
      <w:marTop w:val="0"/>
      <w:marBottom w:val="0"/>
      <w:divBdr>
        <w:top w:val="none" w:sz="0" w:space="0" w:color="auto"/>
        <w:left w:val="none" w:sz="0" w:space="0" w:color="auto"/>
        <w:bottom w:val="none" w:sz="0" w:space="0" w:color="auto"/>
        <w:right w:val="none" w:sz="0" w:space="0" w:color="auto"/>
      </w:divBdr>
    </w:div>
    <w:div w:id="1539006631">
      <w:bodyDiv w:val="1"/>
      <w:marLeft w:val="0"/>
      <w:marRight w:val="0"/>
      <w:marTop w:val="0"/>
      <w:marBottom w:val="0"/>
      <w:divBdr>
        <w:top w:val="none" w:sz="0" w:space="0" w:color="auto"/>
        <w:left w:val="none" w:sz="0" w:space="0" w:color="auto"/>
        <w:bottom w:val="none" w:sz="0" w:space="0" w:color="auto"/>
        <w:right w:val="none" w:sz="0" w:space="0" w:color="auto"/>
      </w:divBdr>
    </w:div>
    <w:div w:id="1539076956">
      <w:bodyDiv w:val="1"/>
      <w:marLeft w:val="0"/>
      <w:marRight w:val="0"/>
      <w:marTop w:val="0"/>
      <w:marBottom w:val="0"/>
      <w:divBdr>
        <w:top w:val="none" w:sz="0" w:space="0" w:color="auto"/>
        <w:left w:val="none" w:sz="0" w:space="0" w:color="auto"/>
        <w:bottom w:val="none" w:sz="0" w:space="0" w:color="auto"/>
        <w:right w:val="none" w:sz="0" w:space="0" w:color="auto"/>
      </w:divBdr>
    </w:div>
    <w:div w:id="1539077786">
      <w:bodyDiv w:val="1"/>
      <w:marLeft w:val="0"/>
      <w:marRight w:val="0"/>
      <w:marTop w:val="0"/>
      <w:marBottom w:val="0"/>
      <w:divBdr>
        <w:top w:val="none" w:sz="0" w:space="0" w:color="auto"/>
        <w:left w:val="none" w:sz="0" w:space="0" w:color="auto"/>
        <w:bottom w:val="none" w:sz="0" w:space="0" w:color="auto"/>
        <w:right w:val="none" w:sz="0" w:space="0" w:color="auto"/>
      </w:divBdr>
    </w:div>
    <w:div w:id="1539200653">
      <w:bodyDiv w:val="1"/>
      <w:marLeft w:val="0"/>
      <w:marRight w:val="0"/>
      <w:marTop w:val="0"/>
      <w:marBottom w:val="0"/>
      <w:divBdr>
        <w:top w:val="none" w:sz="0" w:space="0" w:color="auto"/>
        <w:left w:val="none" w:sz="0" w:space="0" w:color="auto"/>
        <w:bottom w:val="none" w:sz="0" w:space="0" w:color="auto"/>
        <w:right w:val="none" w:sz="0" w:space="0" w:color="auto"/>
      </w:divBdr>
    </w:div>
    <w:div w:id="1539202888">
      <w:bodyDiv w:val="1"/>
      <w:marLeft w:val="0"/>
      <w:marRight w:val="0"/>
      <w:marTop w:val="0"/>
      <w:marBottom w:val="0"/>
      <w:divBdr>
        <w:top w:val="none" w:sz="0" w:space="0" w:color="auto"/>
        <w:left w:val="none" w:sz="0" w:space="0" w:color="auto"/>
        <w:bottom w:val="none" w:sz="0" w:space="0" w:color="auto"/>
        <w:right w:val="none" w:sz="0" w:space="0" w:color="auto"/>
      </w:divBdr>
    </w:div>
    <w:div w:id="1539244226">
      <w:bodyDiv w:val="1"/>
      <w:marLeft w:val="0"/>
      <w:marRight w:val="0"/>
      <w:marTop w:val="0"/>
      <w:marBottom w:val="0"/>
      <w:divBdr>
        <w:top w:val="none" w:sz="0" w:space="0" w:color="auto"/>
        <w:left w:val="none" w:sz="0" w:space="0" w:color="auto"/>
        <w:bottom w:val="none" w:sz="0" w:space="0" w:color="auto"/>
        <w:right w:val="none" w:sz="0" w:space="0" w:color="auto"/>
      </w:divBdr>
    </w:div>
    <w:div w:id="1539274910">
      <w:bodyDiv w:val="1"/>
      <w:marLeft w:val="0"/>
      <w:marRight w:val="0"/>
      <w:marTop w:val="0"/>
      <w:marBottom w:val="0"/>
      <w:divBdr>
        <w:top w:val="none" w:sz="0" w:space="0" w:color="auto"/>
        <w:left w:val="none" w:sz="0" w:space="0" w:color="auto"/>
        <w:bottom w:val="none" w:sz="0" w:space="0" w:color="auto"/>
        <w:right w:val="none" w:sz="0" w:space="0" w:color="auto"/>
      </w:divBdr>
    </w:div>
    <w:div w:id="1539275331">
      <w:bodyDiv w:val="1"/>
      <w:marLeft w:val="0"/>
      <w:marRight w:val="0"/>
      <w:marTop w:val="0"/>
      <w:marBottom w:val="0"/>
      <w:divBdr>
        <w:top w:val="none" w:sz="0" w:space="0" w:color="auto"/>
        <w:left w:val="none" w:sz="0" w:space="0" w:color="auto"/>
        <w:bottom w:val="none" w:sz="0" w:space="0" w:color="auto"/>
        <w:right w:val="none" w:sz="0" w:space="0" w:color="auto"/>
      </w:divBdr>
    </w:div>
    <w:div w:id="1539276056">
      <w:bodyDiv w:val="1"/>
      <w:marLeft w:val="0"/>
      <w:marRight w:val="0"/>
      <w:marTop w:val="0"/>
      <w:marBottom w:val="0"/>
      <w:divBdr>
        <w:top w:val="none" w:sz="0" w:space="0" w:color="auto"/>
        <w:left w:val="none" w:sz="0" w:space="0" w:color="auto"/>
        <w:bottom w:val="none" w:sz="0" w:space="0" w:color="auto"/>
        <w:right w:val="none" w:sz="0" w:space="0" w:color="auto"/>
      </w:divBdr>
    </w:div>
    <w:div w:id="1539463877">
      <w:bodyDiv w:val="1"/>
      <w:marLeft w:val="0"/>
      <w:marRight w:val="0"/>
      <w:marTop w:val="0"/>
      <w:marBottom w:val="0"/>
      <w:divBdr>
        <w:top w:val="none" w:sz="0" w:space="0" w:color="auto"/>
        <w:left w:val="none" w:sz="0" w:space="0" w:color="auto"/>
        <w:bottom w:val="none" w:sz="0" w:space="0" w:color="auto"/>
        <w:right w:val="none" w:sz="0" w:space="0" w:color="auto"/>
      </w:divBdr>
    </w:div>
    <w:div w:id="1539512471">
      <w:bodyDiv w:val="1"/>
      <w:marLeft w:val="0"/>
      <w:marRight w:val="0"/>
      <w:marTop w:val="0"/>
      <w:marBottom w:val="0"/>
      <w:divBdr>
        <w:top w:val="none" w:sz="0" w:space="0" w:color="auto"/>
        <w:left w:val="none" w:sz="0" w:space="0" w:color="auto"/>
        <w:bottom w:val="none" w:sz="0" w:space="0" w:color="auto"/>
        <w:right w:val="none" w:sz="0" w:space="0" w:color="auto"/>
      </w:divBdr>
    </w:div>
    <w:div w:id="1539514159">
      <w:bodyDiv w:val="1"/>
      <w:marLeft w:val="0"/>
      <w:marRight w:val="0"/>
      <w:marTop w:val="0"/>
      <w:marBottom w:val="0"/>
      <w:divBdr>
        <w:top w:val="none" w:sz="0" w:space="0" w:color="auto"/>
        <w:left w:val="none" w:sz="0" w:space="0" w:color="auto"/>
        <w:bottom w:val="none" w:sz="0" w:space="0" w:color="auto"/>
        <w:right w:val="none" w:sz="0" w:space="0" w:color="auto"/>
      </w:divBdr>
    </w:div>
    <w:div w:id="1539781902">
      <w:bodyDiv w:val="1"/>
      <w:marLeft w:val="0"/>
      <w:marRight w:val="0"/>
      <w:marTop w:val="0"/>
      <w:marBottom w:val="0"/>
      <w:divBdr>
        <w:top w:val="none" w:sz="0" w:space="0" w:color="auto"/>
        <w:left w:val="none" w:sz="0" w:space="0" w:color="auto"/>
        <w:bottom w:val="none" w:sz="0" w:space="0" w:color="auto"/>
        <w:right w:val="none" w:sz="0" w:space="0" w:color="auto"/>
      </w:divBdr>
    </w:div>
    <w:div w:id="1539927606">
      <w:bodyDiv w:val="1"/>
      <w:marLeft w:val="0"/>
      <w:marRight w:val="0"/>
      <w:marTop w:val="0"/>
      <w:marBottom w:val="0"/>
      <w:divBdr>
        <w:top w:val="none" w:sz="0" w:space="0" w:color="auto"/>
        <w:left w:val="none" w:sz="0" w:space="0" w:color="auto"/>
        <w:bottom w:val="none" w:sz="0" w:space="0" w:color="auto"/>
        <w:right w:val="none" w:sz="0" w:space="0" w:color="auto"/>
      </w:divBdr>
    </w:div>
    <w:div w:id="1539929817">
      <w:bodyDiv w:val="1"/>
      <w:marLeft w:val="0"/>
      <w:marRight w:val="0"/>
      <w:marTop w:val="0"/>
      <w:marBottom w:val="0"/>
      <w:divBdr>
        <w:top w:val="none" w:sz="0" w:space="0" w:color="auto"/>
        <w:left w:val="none" w:sz="0" w:space="0" w:color="auto"/>
        <w:bottom w:val="none" w:sz="0" w:space="0" w:color="auto"/>
        <w:right w:val="none" w:sz="0" w:space="0" w:color="auto"/>
      </w:divBdr>
    </w:div>
    <w:div w:id="1539972435">
      <w:bodyDiv w:val="1"/>
      <w:marLeft w:val="0"/>
      <w:marRight w:val="0"/>
      <w:marTop w:val="0"/>
      <w:marBottom w:val="0"/>
      <w:divBdr>
        <w:top w:val="none" w:sz="0" w:space="0" w:color="auto"/>
        <w:left w:val="none" w:sz="0" w:space="0" w:color="auto"/>
        <w:bottom w:val="none" w:sz="0" w:space="0" w:color="auto"/>
        <w:right w:val="none" w:sz="0" w:space="0" w:color="auto"/>
      </w:divBdr>
    </w:div>
    <w:div w:id="1540121827">
      <w:bodyDiv w:val="1"/>
      <w:marLeft w:val="0"/>
      <w:marRight w:val="0"/>
      <w:marTop w:val="0"/>
      <w:marBottom w:val="0"/>
      <w:divBdr>
        <w:top w:val="none" w:sz="0" w:space="0" w:color="auto"/>
        <w:left w:val="none" w:sz="0" w:space="0" w:color="auto"/>
        <w:bottom w:val="none" w:sz="0" w:space="0" w:color="auto"/>
        <w:right w:val="none" w:sz="0" w:space="0" w:color="auto"/>
      </w:divBdr>
    </w:div>
    <w:div w:id="1540245197">
      <w:bodyDiv w:val="1"/>
      <w:marLeft w:val="0"/>
      <w:marRight w:val="0"/>
      <w:marTop w:val="0"/>
      <w:marBottom w:val="0"/>
      <w:divBdr>
        <w:top w:val="none" w:sz="0" w:space="0" w:color="auto"/>
        <w:left w:val="none" w:sz="0" w:space="0" w:color="auto"/>
        <w:bottom w:val="none" w:sz="0" w:space="0" w:color="auto"/>
        <w:right w:val="none" w:sz="0" w:space="0" w:color="auto"/>
      </w:divBdr>
    </w:div>
    <w:div w:id="1540245941">
      <w:bodyDiv w:val="1"/>
      <w:marLeft w:val="0"/>
      <w:marRight w:val="0"/>
      <w:marTop w:val="0"/>
      <w:marBottom w:val="0"/>
      <w:divBdr>
        <w:top w:val="none" w:sz="0" w:space="0" w:color="auto"/>
        <w:left w:val="none" w:sz="0" w:space="0" w:color="auto"/>
        <w:bottom w:val="none" w:sz="0" w:space="0" w:color="auto"/>
        <w:right w:val="none" w:sz="0" w:space="0" w:color="auto"/>
      </w:divBdr>
    </w:div>
    <w:div w:id="1540312511">
      <w:bodyDiv w:val="1"/>
      <w:marLeft w:val="0"/>
      <w:marRight w:val="0"/>
      <w:marTop w:val="0"/>
      <w:marBottom w:val="0"/>
      <w:divBdr>
        <w:top w:val="none" w:sz="0" w:space="0" w:color="auto"/>
        <w:left w:val="none" w:sz="0" w:space="0" w:color="auto"/>
        <w:bottom w:val="none" w:sz="0" w:space="0" w:color="auto"/>
        <w:right w:val="none" w:sz="0" w:space="0" w:color="auto"/>
      </w:divBdr>
    </w:div>
    <w:div w:id="1540313692">
      <w:bodyDiv w:val="1"/>
      <w:marLeft w:val="0"/>
      <w:marRight w:val="0"/>
      <w:marTop w:val="0"/>
      <w:marBottom w:val="0"/>
      <w:divBdr>
        <w:top w:val="none" w:sz="0" w:space="0" w:color="auto"/>
        <w:left w:val="none" w:sz="0" w:space="0" w:color="auto"/>
        <w:bottom w:val="none" w:sz="0" w:space="0" w:color="auto"/>
        <w:right w:val="none" w:sz="0" w:space="0" w:color="auto"/>
      </w:divBdr>
    </w:div>
    <w:div w:id="1540313972">
      <w:bodyDiv w:val="1"/>
      <w:marLeft w:val="0"/>
      <w:marRight w:val="0"/>
      <w:marTop w:val="0"/>
      <w:marBottom w:val="0"/>
      <w:divBdr>
        <w:top w:val="none" w:sz="0" w:space="0" w:color="auto"/>
        <w:left w:val="none" w:sz="0" w:space="0" w:color="auto"/>
        <w:bottom w:val="none" w:sz="0" w:space="0" w:color="auto"/>
        <w:right w:val="none" w:sz="0" w:space="0" w:color="auto"/>
      </w:divBdr>
    </w:div>
    <w:div w:id="1540318775">
      <w:bodyDiv w:val="1"/>
      <w:marLeft w:val="0"/>
      <w:marRight w:val="0"/>
      <w:marTop w:val="0"/>
      <w:marBottom w:val="0"/>
      <w:divBdr>
        <w:top w:val="none" w:sz="0" w:space="0" w:color="auto"/>
        <w:left w:val="none" w:sz="0" w:space="0" w:color="auto"/>
        <w:bottom w:val="none" w:sz="0" w:space="0" w:color="auto"/>
        <w:right w:val="none" w:sz="0" w:space="0" w:color="auto"/>
      </w:divBdr>
    </w:div>
    <w:div w:id="1540319241">
      <w:bodyDiv w:val="1"/>
      <w:marLeft w:val="0"/>
      <w:marRight w:val="0"/>
      <w:marTop w:val="0"/>
      <w:marBottom w:val="0"/>
      <w:divBdr>
        <w:top w:val="none" w:sz="0" w:space="0" w:color="auto"/>
        <w:left w:val="none" w:sz="0" w:space="0" w:color="auto"/>
        <w:bottom w:val="none" w:sz="0" w:space="0" w:color="auto"/>
        <w:right w:val="none" w:sz="0" w:space="0" w:color="auto"/>
      </w:divBdr>
    </w:div>
    <w:div w:id="1540388828">
      <w:bodyDiv w:val="1"/>
      <w:marLeft w:val="0"/>
      <w:marRight w:val="0"/>
      <w:marTop w:val="0"/>
      <w:marBottom w:val="0"/>
      <w:divBdr>
        <w:top w:val="none" w:sz="0" w:space="0" w:color="auto"/>
        <w:left w:val="none" w:sz="0" w:space="0" w:color="auto"/>
        <w:bottom w:val="none" w:sz="0" w:space="0" w:color="auto"/>
        <w:right w:val="none" w:sz="0" w:space="0" w:color="auto"/>
      </w:divBdr>
    </w:div>
    <w:div w:id="1540429893">
      <w:bodyDiv w:val="1"/>
      <w:marLeft w:val="0"/>
      <w:marRight w:val="0"/>
      <w:marTop w:val="0"/>
      <w:marBottom w:val="0"/>
      <w:divBdr>
        <w:top w:val="none" w:sz="0" w:space="0" w:color="auto"/>
        <w:left w:val="none" w:sz="0" w:space="0" w:color="auto"/>
        <w:bottom w:val="none" w:sz="0" w:space="0" w:color="auto"/>
        <w:right w:val="none" w:sz="0" w:space="0" w:color="auto"/>
      </w:divBdr>
    </w:div>
    <w:div w:id="1540433559">
      <w:bodyDiv w:val="1"/>
      <w:marLeft w:val="0"/>
      <w:marRight w:val="0"/>
      <w:marTop w:val="0"/>
      <w:marBottom w:val="0"/>
      <w:divBdr>
        <w:top w:val="none" w:sz="0" w:space="0" w:color="auto"/>
        <w:left w:val="none" w:sz="0" w:space="0" w:color="auto"/>
        <w:bottom w:val="none" w:sz="0" w:space="0" w:color="auto"/>
        <w:right w:val="none" w:sz="0" w:space="0" w:color="auto"/>
      </w:divBdr>
    </w:div>
    <w:div w:id="1540582930">
      <w:bodyDiv w:val="1"/>
      <w:marLeft w:val="0"/>
      <w:marRight w:val="0"/>
      <w:marTop w:val="0"/>
      <w:marBottom w:val="0"/>
      <w:divBdr>
        <w:top w:val="none" w:sz="0" w:space="0" w:color="auto"/>
        <w:left w:val="none" w:sz="0" w:space="0" w:color="auto"/>
        <w:bottom w:val="none" w:sz="0" w:space="0" w:color="auto"/>
        <w:right w:val="none" w:sz="0" w:space="0" w:color="auto"/>
      </w:divBdr>
    </w:div>
    <w:div w:id="1540583692">
      <w:bodyDiv w:val="1"/>
      <w:marLeft w:val="0"/>
      <w:marRight w:val="0"/>
      <w:marTop w:val="0"/>
      <w:marBottom w:val="0"/>
      <w:divBdr>
        <w:top w:val="none" w:sz="0" w:space="0" w:color="auto"/>
        <w:left w:val="none" w:sz="0" w:space="0" w:color="auto"/>
        <w:bottom w:val="none" w:sz="0" w:space="0" w:color="auto"/>
        <w:right w:val="none" w:sz="0" w:space="0" w:color="auto"/>
      </w:divBdr>
    </w:div>
    <w:div w:id="1540584027">
      <w:bodyDiv w:val="1"/>
      <w:marLeft w:val="0"/>
      <w:marRight w:val="0"/>
      <w:marTop w:val="0"/>
      <w:marBottom w:val="0"/>
      <w:divBdr>
        <w:top w:val="none" w:sz="0" w:space="0" w:color="auto"/>
        <w:left w:val="none" w:sz="0" w:space="0" w:color="auto"/>
        <w:bottom w:val="none" w:sz="0" w:space="0" w:color="auto"/>
        <w:right w:val="none" w:sz="0" w:space="0" w:color="auto"/>
      </w:divBdr>
    </w:div>
    <w:div w:id="1540584851">
      <w:bodyDiv w:val="1"/>
      <w:marLeft w:val="0"/>
      <w:marRight w:val="0"/>
      <w:marTop w:val="0"/>
      <w:marBottom w:val="0"/>
      <w:divBdr>
        <w:top w:val="none" w:sz="0" w:space="0" w:color="auto"/>
        <w:left w:val="none" w:sz="0" w:space="0" w:color="auto"/>
        <w:bottom w:val="none" w:sz="0" w:space="0" w:color="auto"/>
        <w:right w:val="none" w:sz="0" w:space="0" w:color="auto"/>
      </w:divBdr>
    </w:div>
    <w:div w:id="1540626373">
      <w:bodyDiv w:val="1"/>
      <w:marLeft w:val="0"/>
      <w:marRight w:val="0"/>
      <w:marTop w:val="0"/>
      <w:marBottom w:val="0"/>
      <w:divBdr>
        <w:top w:val="none" w:sz="0" w:space="0" w:color="auto"/>
        <w:left w:val="none" w:sz="0" w:space="0" w:color="auto"/>
        <w:bottom w:val="none" w:sz="0" w:space="0" w:color="auto"/>
        <w:right w:val="none" w:sz="0" w:space="0" w:color="auto"/>
      </w:divBdr>
    </w:div>
    <w:div w:id="1540630422">
      <w:bodyDiv w:val="1"/>
      <w:marLeft w:val="0"/>
      <w:marRight w:val="0"/>
      <w:marTop w:val="0"/>
      <w:marBottom w:val="0"/>
      <w:divBdr>
        <w:top w:val="none" w:sz="0" w:space="0" w:color="auto"/>
        <w:left w:val="none" w:sz="0" w:space="0" w:color="auto"/>
        <w:bottom w:val="none" w:sz="0" w:space="0" w:color="auto"/>
        <w:right w:val="none" w:sz="0" w:space="0" w:color="auto"/>
      </w:divBdr>
    </w:div>
    <w:div w:id="1540698563">
      <w:bodyDiv w:val="1"/>
      <w:marLeft w:val="0"/>
      <w:marRight w:val="0"/>
      <w:marTop w:val="0"/>
      <w:marBottom w:val="0"/>
      <w:divBdr>
        <w:top w:val="none" w:sz="0" w:space="0" w:color="auto"/>
        <w:left w:val="none" w:sz="0" w:space="0" w:color="auto"/>
        <w:bottom w:val="none" w:sz="0" w:space="0" w:color="auto"/>
        <w:right w:val="none" w:sz="0" w:space="0" w:color="auto"/>
      </w:divBdr>
    </w:div>
    <w:div w:id="1540703045">
      <w:bodyDiv w:val="1"/>
      <w:marLeft w:val="0"/>
      <w:marRight w:val="0"/>
      <w:marTop w:val="0"/>
      <w:marBottom w:val="0"/>
      <w:divBdr>
        <w:top w:val="none" w:sz="0" w:space="0" w:color="auto"/>
        <w:left w:val="none" w:sz="0" w:space="0" w:color="auto"/>
        <w:bottom w:val="none" w:sz="0" w:space="0" w:color="auto"/>
        <w:right w:val="none" w:sz="0" w:space="0" w:color="auto"/>
      </w:divBdr>
    </w:div>
    <w:div w:id="1540821415">
      <w:bodyDiv w:val="1"/>
      <w:marLeft w:val="0"/>
      <w:marRight w:val="0"/>
      <w:marTop w:val="0"/>
      <w:marBottom w:val="0"/>
      <w:divBdr>
        <w:top w:val="none" w:sz="0" w:space="0" w:color="auto"/>
        <w:left w:val="none" w:sz="0" w:space="0" w:color="auto"/>
        <w:bottom w:val="none" w:sz="0" w:space="0" w:color="auto"/>
        <w:right w:val="none" w:sz="0" w:space="0" w:color="auto"/>
      </w:divBdr>
    </w:div>
    <w:div w:id="1540894994">
      <w:bodyDiv w:val="1"/>
      <w:marLeft w:val="0"/>
      <w:marRight w:val="0"/>
      <w:marTop w:val="0"/>
      <w:marBottom w:val="0"/>
      <w:divBdr>
        <w:top w:val="none" w:sz="0" w:space="0" w:color="auto"/>
        <w:left w:val="none" w:sz="0" w:space="0" w:color="auto"/>
        <w:bottom w:val="none" w:sz="0" w:space="0" w:color="auto"/>
        <w:right w:val="none" w:sz="0" w:space="0" w:color="auto"/>
      </w:divBdr>
    </w:div>
    <w:div w:id="1540899879">
      <w:bodyDiv w:val="1"/>
      <w:marLeft w:val="0"/>
      <w:marRight w:val="0"/>
      <w:marTop w:val="0"/>
      <w:marBottom w:val="0"/>
      <w:divBdr>
        <w:top w:val="none" w:sz="0" w:space="0" w:color="auto"/>
        <w:left w:val="none" w:sz="0" w:space="0" w:color="auto"/>
        <w:bottom w:val="none" w:sz="0" w:space="0" w:color="auto"/>
        <w:right w:val="none" w:sz="0" w:space="0" w:color="auto"/>
      </w:divBdr>
    </w:div>
    <w:div w:id="1540967872">
      <w:bodyDiv w:val="1"/>
      <w:marLeft w:val="0"/>
      <w:marRight w:val="0"/>
      <w:marTop w:val="0"/>
      <w:marBottom w:val="0"/>
      <w:divBdr>
        <w:top w:val="none" w:sz="0" w:space="0" w:color="auto"/>
        <w:left w:val="none" w:sz="0" w:space="0" w:color="auto"/>
        <w:bottom w:val="none" w:sz="0" w:space="0" w:color="auto"/>
        <w:right w:val="none" w:sz="0" w:space="0" w:color="auto"/>
      </w:divBdr>
    </w:div>
    <w:div w:id="1541237717">
      <w:bodyDiv w:val="1"/>
      <w:marLeft w:val="0"/>
      <w:marRight w:val="0"/>
      <w:marTop w:val="0"/>
      <w:marBottom w:val="0"/>
      <w:divBdr>
        <w:top w:val="none" w:sz="0" w:space="0" w:color="auto"/>
        <w:left w:val="none" w:sz="0" w:space="0" w:color="auto"/>
        <w:bottom w:val="none" w:sz="0" w:space="0" w:color="auto"/>
        <w:right w:val="none" w:sz="0" w:space="0" w:color="auto"/>
      </w:divBdr>
    </w:div>
    <w:div w:id="1541278737">
      <w:bodyDiv w:val="1"/>
      <w:marLeft w:val="0"/>
      <w:marRight w:val="0"/>
      <w:marTop w:val="0"/>
      <w:marBottom w:val="0"/>
      <w:divBdr>
        <w:top w:val="none" w:sz="0" w:space="0" w:color="auto"/>
        <w:left w:val="none" w:sz="0" w:space="0" w:color="auto"/>
        <w:bottom w:val="none" w:sz="0" w:space="0" w:color="auto"/>
        <w:right w:val="none" w:sz="0" w:space="0" w:color="auto"/>
      </w:divBdr>
    </w:div>
    <w:div w:id="1541282805">
      <w:bodyDiv w:val="1"/>
      <w:marLeft w:val="0"/>
      <w:marRight w:val="0"/>
      <w:marTop w:val="0"/>
      <w:marBottom w:val="0"/>
      <w:divBdr>
        <w:top w:val="none" w:sz="0" w:space="0" w:color="auto"/>
        <w:left w:val="none" w:sz="0" w:space="0" w:color="auto"/>
        <w:bottom w:val="none" w:sz="0" w:space="0" w:color="auto"/>
        <w:right w:val="none" w:sz="0" w:space="0" w:color="auto"/>
      </w:divBdr>
    </w:div>
    <w:div w:id="1541359937">
      <w:bodyDiv w:val="1"/>
      <w:marLeft w:val="0"/>
      <w:marRight w:val="0"/>
      <w:marTop w:val="0"/>
      <w:marBottom w:val="0"/>
      <w:divBdr>
        <w:top w:val="none" w:sz="0" w:space="0" w:color="auto"/>
        <w:left w:val="none" w:sz="0" w:space="0" w:color="auto"/>
        <w:bottom w:val="none" w:sz="0" w:space="0" w:color="auto"/>
        <w:right w:val="none" w:sz="0" w:space="0" w:color="auto"/>
      </w:divBdr>
    </w:div>
    <w:div w:id="1541434403">
      <w:bodyDiv w:val="1"/>
      <w:marLeft w:val="0"/>
      <w:marRight w:val="0"/>
      <w:marTop w:val="0"/>
      <w:marBottom w:val="0"/>
      <w:divBdr>
        <w:top w:val="none" w:sz="0" w:space="0" w:color="auto"/>
        <w:left w:val="none" w:sz="0" w:space="0" w:color="auto"/>
        <w:bottom w:val="none" w:sz="0" w:space="0" w:color="auto"/>
        <w:right w:val="none" w:sz="0" w:space="0" w:color="auto"/>
      </w:divBdr>
    </w:div>
    <w:div w:id="1541554902">
      <w:bodyDiv w:val="1"/>
      <w:marLeft w:val="0"/>
      <w:marRight w:val="0"/>
      <w:marTop w:val="0"/>
      <w:marBottom w:val="0"/>
      <w:divBdr>
        <w:top w:val="none" w:sz="0" w:space="0" w:color="auto"/>
        <w:left w:val="none" w:sz="0" w:space="0" w:color="auto"/>
        <w:bottom w:val="none" w:sz="0" w:space="0" w:color="auto"/>
        <w:right w:val="none" w:sz="0" w:space="0" w:color="auto"/>
      </w:divBdr>
    </w:div>
    <w:div w:id="1541555035">
      <w:bodyDiv w:val="1"/>
      <w:marLeft w:val="0"/>
      <w:marRight w:val="0"/>
      <w:marTop w:val="0"/>
      <w:marBottom w:val="0"/>
      <w:divBdr>
        <w:top w:val="none" w:sz="0" w:space="0" w:color="auto"/>
        <w:left w:val="none" w:sz="0" w:space="0" w:color="auto"/>
        <w:bottom w:val="none" w:sz="0" w:space="0" w:color="auto"/>
        <w:right w:val="none" w:sz="0" w:space="0" w:color="auto"/>
      </w:divBdr>
    </w:div>
    <w:div w:id="1541556428">
      <w:bodyDiv w:val="1"/>
      <w:marLeft w:val="0"/>
      <w:marRight w:val="0"/>
      <w:marTop w:val="0"/>
      <w:marBottom w:val="0"/>
      <w:divBdr>
        <w:top w:val="none" w:sz="0" w:space="0" w:color="auto"/>
        <w:left w:val="none" w:sz="0" w:space="0" w:color="auto"/>
        <w:bottom w:val="none" w:sz="0" w:space="0" w:color="auto"/>
        <w:right w:val="none" w:sz="0" w:space="0" w:color="auto"/>
      </w:divBdr>
    </w:div>
    <w:div w:id="1541627201">
      <w:bodyDiv w:val="1"/>
      <w:marLeft w:val="0"/>
      <w:marRight w:val="0"/>
      <w:marTop w:val="0"/>
      <w:marBottom w:val="0"/>
      <w:divBdr>
        <w:top w:val="none" w:sz="0" w:space="0" w:color="auto"/>
        <w:left w:val="none" w:sz="0" w:space="0" w:color="auto"/>
        <w:bottom w:val="none" w:sz="0" w:space="0" w:color="auto"/>
        <w:right w:val="none" w:sz="0" w:space="0" w:color="auto"/>
      </w:divBdr>
    </w:div>
    <w:div w:id="1541629202">
      <w:bodyDiv w:val="1"/>
      <w:marLeft w:val="0"/>
      <w:marRight w:val="0"/>
      <w:marTop w:val="0"/>
      <w:marBottom w:val="0"/>
      <w:divBdr>
        <w:top w:val="none" w:sz="0" w:space="0" w:color="auto"/>
        <w:left w:val="none" w:sz="0" w:space="0" w:color="auto"/>
        <w:bottom w:val="none" w:sz="0" w:space="0" w:color="auto"/>
        <w:right w:val="none" w:sz="0" w:space="0" w:color="auto"/>
      </w:divBdr>
    </w:div>
    <w:div w:id="1541630237">
      <w:bodyDiv w:val="1"/>
      <w:marLeft w:val="0"/>
      <w:marRight w:val="0"/>
      <w:marTop w:val="0"/>
      <w:marBottom w:val="0"/>
      <w:divBdr>
        <w:top w:val="none" w:sz="0" w:space="0" w:color="auto"/>
        <w:left w:val="none" w:sz="0" w:space="0" w:color="auto"/>
        <w:bottom w:val="none" w:sz="0" w:space="0" w:color="auto"/>
        <w:right w:val="none" w:sz="0" w:space="0" w:color="auto"/>
      </w:divBdr>
    </w:div>
    <w:div w:id="1541674505">
      <w:bodyDiv w:val="1"/>
      <w:marLeft w:val="0"/>
      <w:marRight w:val="0"/>
      <w:marTop w:val="0"/>
      <w:marBottom w:val="0"/>
      <w:divBdr>
        <w:top w:val="none" w:sz="0" w:space="0" w:color="auto"/>
        <w:left w:val="none" w:sz="0" w:space="0" w:color="auto"/>
        <w:bottom w:val="none" w:sz="0" w:space="0" w:color="auto"/>
        <w:right w:val="none" w:sz="0" w:space="0" w:color="auto"/>
      </w:divBdr>
    </w:div>
    <w:div w:id="1541698620">
      <w:bodyDiv w:val="1"/>
      <w:marLeft w:val="0"/>
      <w:marRight w:val="0"/>
      <w:marTop w:val="0"/>
      <w:marBottom w:val="0"/>
      <w:divBdr>
        <w:top w:val="none" w:sz="0" w:space="0" w:color="auto"/>
        <w:left w:val="none" w:sz="0" w:space="0" w:color="auto"/>
        <w:bottom w:val="none" w:sz="0" w:space="0" w:color="auto"/>
        <w:right w:val="none" w:sz="0" w:space="0" w:color="auto"/>
      </w:divBdr>
    </w:div>
    <w:div w:id="1541822038">
      <w:bodyDiv w:val="1"/>
      <w:marLeft w:val="0"/>
      <w:marRight w:val="0"/>
      <w:marTop w:val="0"/>
      <w:marBottom w:val="0"/>
      <w:divBdr>
        <w:top w:val="none" w:sz="0" w:space="0" w:color="auto"/>
        <w:left w:val="none" w:sz="0" w:space="0" w:color="auto"/>
        <w:bottom w:val="none" w:sz="0" w:space="0" w:color="auto"/>
        <w:right w:val="none" w:sz="0" w:space="0" w:color="auto"/>
      </w:divBdr>
    </w:div>
    <w:div w:id="1541942345">
      <w:bodyDiv w:val="1"/>
      <w:marLeft w:val="0"/>
      <w:marRight w:val="0"/>
      <w:marTop w:val="0"/>
      <w:marBottom w:val="0"/>
      <w:divBdr>
        <w:top w:val="none" w:sz="0" w:space="0" w:color="auto"/>
        <w:left w:val="none" w:sz="0" w:space="0" w:color="auto"/>
        <w:bottom w:val="none" w:sz="0" w:space="0" w:color="auto"/>
        <w:right w:val="none" w:sz="0" w:space="0" w:color="auto"/>
      </w:divBdr>
    </w:div>
    <w:div w:id="1542010250">
      <w:bodyDiv w:val="1"/>
      <w:marLeft w:val="0"/>
      <w:marRight w:val="0"/>
      <w:marTop w:val="0"/>
      <w:marBottom w:val="0"/>
      <w:divBdr>
        <w:top w:val="none" w:sz="0" w:space="0" w:color="auto"/>
        <w:left w:val="none" w:sz="0" w:space="0" w:color="auto"/>
        <w:bottom w:val="none" w:sz="0" w:space="0" w:color="auto"/>
        <w:right w:val="none" w:sz="0" w:space="0" w:color="auto"/>
      </w:divBdr>
    </w:div>
    <w:div w:id="1542084799">
      <w:bodyDiv w:val="1"/>
      <w:marLeft w:val="0"/>
      <w:marRight w:val="0"/>
      <w:marTop w:val="0"/>
      <w:marBottom w:val="0"/>
      <w:divBdr>
        <w:top w:val="none" w:sz="0" w:space="0" w:color="auto"/>
        <w:left w:val="none" w:sz="0" w:space="0" w:color="auto"/>
        <w:bottom w:val="none" w:sz="0" w:space="0" w:color="auto"/>
        <w:right w:val="none" w:sz="0" w:space="0" w:color="auto"/>
      </w:divBdr>
    </w:div>
    <w:div w:id="1542087986">
      <w:bodyDiv w:val="1"/>
      <w:marLeft w:val="0"/>
      <w:marRight w:val="0"/>
      <w:marTop w:val="0"/>
      <w:marBottom w:val="0"/>
      <w:divBdr>
        <w:top w:val="none" w:sz="0" w:space="0" w:color="auto"/>
        <w:left w:val="none" w:sz="0" w:space="0" w:color="auto"/>
        <w:bottom w:val="none" w:sz="0" w:space="0" w:color="auto"/>
        <w:right w:val="none" w:sz="0" w:space="0" w:color="auto"/>
      </w:divBdr>
    </w:div>
    <w:div w:id="1542089007">
      <w:bodyDiv w:val="1"/>
      <w:marLeft w:val="0"/>
      <w:marRight w:val="0"/>
      <w:marTop w:val="0"/>
      <w:marBottom w:val="0"/>
      <w:divBdr>
        <w:top w:val="none" w:sz="0" w:space="0" w:color="auto"/>
        <w:left w:val="none" w:sz="0" w:space="0" w:color="auto"/>
        <w:bottom w:val="none" w:sz="0" w:space="0" w:color="auto"/>
        <w:right w:val="none" w:sz="0" w:space="0" w:color="auto"/>
      </w:divBdr>
    </w:div>
    <w:div w:id="1542131991">
      <w:bodyDiv w:val="1"/>
      <w:marLeft w:val="0"/>
      <w:marRight w:val="0"/>
      <w:marTop w:val="0"/>
      <w:marBottom w:val="0"/>
      <w:divBdr>
        <w:top w:val="none" w:sz="0" w:space="0" w:color="auto"/>
        <w:left w:val="none" w:sz="0" w:space="0" w:color="auto"/>
        <w:bottom w:val="none" w:sz="0" w:space="0" w:color="auto"/>
        <w:right w:val="none" w:sz="0" w:space="0" w:color="auto"/>
      </w:divBdr>
    </w:div>
    <w:div w:id="1542132945">
      <w:bodyDiv w:val="1"/>
      <w:marLeft w:val="0"/>
      <w:marRight w:val="0"/>
      <w:marTop w:val="0"/>
      <w:marBottom w:val="0"/>
      <w:divBdr>
        <w:top w:val="none" w:sz="0" w:space="0" w:color="auto"/>
        <w:left w:val="none" w:sz="0" w:space="0" w:color="auto"/>
        <w:bottom w:val="none" w:sz="0" w:space="0" w:color="auto"/>
        <w:right w:val="none" w:sz="0" w:space="0" w:color="auto"/>
      </w:divBdr>
    </w:div>
    <w:div w:id="1542204529">
      <w:bodyDiv w:val="1"/>
      <w:marLeft w:val="0"/>
      <w:marRight w:val="0"/>
      <w:marTop w:val="0"/>
      <w:marBottom w:val="0"/>
      <w:divBdr>
        <w:top w:val="none" w:sz="0" w:space="0" w:color="auto"/>
        <w:left w:val="none" w:sz="0" w:space="0" w:color="auto"/>
        <w:bottom w:val="none" w:sz="0" w:space="0" w:color="auto"/>
        <w:right w:val="none" w:sz="0" w:space="0" w:color="auto"/>
      </w:divBdr>
    </w:div>
    <w:div w:id="1542207079">
      <w:bodyDiv w:val="1"/>
      <w:marLeft w:val="0"/>
      <w:marRight w:val="0"/>
      <w:marTop w:val="0"/>
      <w:marBottom w:val="0"/>
      <w:divBdr>
        <w:top w:val="none" w:sz="0" w:space="0" w:color="auto"/>
        <w:left w:val="none" w:sz="0" w:space="0" w:color="auto"/>
        <w:bottom w:val="none" w:sz="0" w:space="0" w:color="auto"/>
        <w:right w:val="none" w:sz="0" w:space="0" w:color="auto"/>
      </w:divBdr>
    </w:div>
    <w:div w:id="1542211033">
      <w:bodyDiv w:val="1"/>
      <w:marLeft w:val="0"/>
      <w:marRight w:val="0"/>
      <w:marTop w:val="0"/>
      <w:marBottom w:val="0"/>
      <w:divBdr>
        <w:top w:val="none" w:sz="0" w:space="0" w:color="auto"/>
        <w:left w:val="none" w:sz="0" w:space="0" w:color="auto"/>
        <w:bottom w:val="none" w:sz="0" w:space="0" w:color="auto"/>
        <w:right w:val="none" w:sz="0" w:space="0" w:color="auto"/>
      </w:divBdr>
    </w:div>
    <w:div w:id="1542277851">
      <w:bodyDiv w:val="1"/>
      <w:marLeft w:val="0"/>
      <w:marRight w:val="0"/>
      <w:marTop w:val="0"/>
      <w:marBottom w:val="0"/>
      <w:divBdr>
        <w:top w:val="none" w:sz="0" w:space="0" w:color="auto"/>
        <w:left w:val="none" w:sz="0" w:space="0" w:color="auto"/>
        <w:bottom w:val="none" w:sz="0" w:space="0" w:color="auto"/>
        <w:right w:val="none" w:sz="0" w:space="0" w:color="auto"/>
      </w:divBdr>
    </w:div>
    <w:div w:id="1542471513">
      <w:bodyDiv w:val="1"/>
      <w:marLeft w:val="0"/>
      <w:marRight w:val="0"/>
      <w:marTop w:val="0"/>
      <w:marBottom w:val="0"/>
      <w:divBdr>
        <w:top w:val="none" w:sz="0" w:space="0" w:color="auto"/>
        <w:left w:val="none" w:sz="0" w:space="0" w:color="auto"/>
        <w:bottom w:val="none" w:sz="0" w:space="0" w:color="auto"/>
        <w:right w:val="none" w:sz="0" w:space="0" w:color="auto"/>
      </w:divBdr>
    </w:div>
    <w:div w:id="1542473460">
      <w:bodyDiv w:val="1"/>
      <w:marLeft w:val="0"/>
      <w:marRight w:val="0"/>
      <w:marTop w:val="0"/>
      <w:marBottom w:val="0"/>
      <w:divBdr>
        <w:top w:val="none" w:sz="0" w:space="0" w:color="auto"/>
        <w:left w:val="none" w:sz="0" w:space="0" w:color="auto"/>
        <w:bottom w:val="none" w:sz="0" w:space="0" w:color="auto"/>
        <w:right w:val="none" w:sz="0" w:space="0" w:color="auto"/>
      </w:divBdr>
    </w:div>
    <w:div w:id="1542477633">
      <w:bodyDiv w:val="1"/>
      <w:marLeft w:val="0"/>
      <w:marRight w:val="0"/>
      <w:marTop w:val="0"/>
      <w:marBottom w:val="0"/>
      <w:divBdr>
        <w:top w:val="none" w:sz="0" w:space="0" w:color="auto"/>
        <w:left w:val="none" w:sz="0" w:space="0" w:color="auto"/>
        <w:bottom w:val="none" w:sz="0" w:space="0" w:color="auto"/>
        <w:right w:val="none" w:sz="0" w:space="0" w:color="auto"/>
      </w:divBdr>
    </w:div>
    <w:div w:id="1542521634">
      <w:bodyDiv w:val="1"/>
      <w:marLeft w:val="0"/>
      <w:marRight w:val="0"/>
      <w:marTop w:val="0"/>
      <w:marBottom w:val="0"/>
      <w:divBdr>
        <w:top w:val="none" w:sz="0" w:space="0" w:color="auto"/>
        <w:left w:val="none" w:sz="0" w:space="0" w:color="auto"/>
        <w:bottom w:val="none" w:sz="0" w:space="0" w:color="auto"/>
        <w:right w:val="none" w:sz="0" w:space="0" w:color="auto"/>
      </w:divBdr>
    </w:div>
    <w:div w:id="1542589211">
      <w:bodyDiv w:val="1"/>
      <w:marLeft w:val="0"/>
      <w:marRight w:val="0"/>
      <w:marTop w:val="0"/>
      <w:marBottom w:val="0"/>
      <w:divBdr>
        <w:top w:val="none" w:sz="0" w:space="0" w:color="auto"/>
        <w:left w:val="none" w:sz="0" w:space="0" w:color="auto"/>
        <w:bottom w:val="none" w:sz="0" w:space="0" w:color="auto"/>
        <w:right w:val="none" w:sz="0" w:space="0" w:color="auto"/>
      </w:divBdr>
    </w:div>
    <w:div w:id="1542666920">
      <w:bodyDiv w:val="1"/>
      <w:marLeft w:val="0"/>
      <w:marRight w:val="0"/>
      <w:marTop w:val="0"/>
      <w:marBottom w:val="0"/>
      <w:divBdr>
        <w:top w:val="none" w:sz="0" w:space="0" w:color="auto"/>
        <w:left w:val="none" w:sz="0" w:space="0" w:color="auto"/>
        <w:bottom w:val="none" w:sz="0" w:space="0" w:color="auto"/>
        <w:right w:val="none" w:sz="0" w:space="0" w:color="auto"/>
      </w:divBdr>
    </w:div>
    <w:div w:id="1542670202">
      <w:bodyDiv w:val="1"/>
      <w:marLeft w:val="0"/>
      <w:marRight w:val="0"/>
      <w:marTop w:val="0"/>
      <w:marBottom w:val="0"/>
      <w:divBdr>
        <w:top w:val="none" w:sz="0" w:space="0" w:color="auto"/>
        <w:left w:val="none" w:sz="0" w:space="0" w:color="auto"/>
        <w:bottom w:val="none" w:sz="0" w:space="0" w:color="auto"/>
        <w:right w:val="none" w:sz="0" w:space="0" w:color="auto"/>
      </w:divBdr>
    </w:div>
    <w:div w:id="1542670701">
      <w:bodyDiv w:val="1"/>
      <w:marLeft w:val="0"/>
      <w:marRight w:val="0"/>
      <w:marTop w:val="0"/>
      <w:marBottom w:val="0"/>
      <w:divBdr>
        <w:top w:val="none" w:sz="0" w:space="0" w:color="auto"/>
        <w:left w:val="none" w:sz="0" w:space="0" w:color="auto"/>
        <w:bottom w:val="none" w:sz="0" w:space="0" w:color="auto"/>
        <w:right w:val="none" w:sz="0" w:space="0" w:color="auto"/>
      </w:divBdr>
    </w:div>
    <w:div w:id="1542673400">
      <w:bodyDiv w:val="1"/>
      <w:marLeft w:val="0"/>
      <w:marRight w:val="0"/>
      <w:marTop w:val="0"/>
      <w:marBottom w:val="0"/>
      <w:divBdr>
        <w:top w:val="none" w:sz="0" w:space="0" w:color="auto"/>
        <w:left w:val="none" w:sz="0" w:space="0" w:color="auto"/>
        <w:bottom w:val="none" w:sz="0" w:space="0" w:color="auto"/>
        <w:right w:val="none" w:sz="0" w:space="0" w:color="auto"/>
      </w:divBdr>
    </w:div>
    <w:div w:id="1542858901">
      <w:bodyDiv w:val="1"/>
      <w:marLeft w:val="0"/>
      <w:marRight w:val="0"/>
      <w:marTop w:val="0"/>
      <w:marBottom w:val="0"/>
      <w:divBdr>
        <w:top w:val="none" w:sz="0" w:space="0" w:color="auto"/>
        <w:left w:val="none" w:sz="0" w:space="0" w:color="auto"/>
        <w:bottom w:val="none" w:sz="0" w:space="0" w:color="auto"/>
        <w:right w:val="none" w:sz="0" w:space="0" w:color="auto"/>
      </w:divBdr>
    </w:div>
    <w:div w:id="1542864469">
      <w:bodyDiv w:val="1"/>
      <w:marLeft w:val="0"/>
      <w:marRight w:val="0"/>
      <w:marTop w:val="0"/>
      <w:marBottom w:val="0"/>
      <w:divBdr>
        <w:top w:val="none" w:sz="0" w:space="0" w:color="auto"/>
        <w:left w:val="none" w:sz="0" w:space="0" w:color="auto"/>
        <w:bottom w:val="none" w:sz="0" w:space="0" w:color="auto"/>
        <w:right w:val="none" w:sz="0" w:space="0" w:color="auto"/>
      </w:divBdr>
    </w:div>
    <w:div w:id="1543320749">
      <w:bodyDiv w:val="1"/>
      <w:marLeft w:val="0"/>
      <w:marRight w:val="0"/>
      <w:marTop w:val="0"/>
      <w:marBottom w:val="0"/>
      <w:divBdr>
        <w:top w:val="none" w:sz="0" w:space="0" w:color="auto"/>
        <w:left w:val="none" w:sz="0" w:space="0" w:color="auto"/>
        <w:bottom w:val="none" w:sz="0" w:space="0" w:color="auto"/>
        <w:right w:val="none" w:sz="0" w:space="0" w:color="auto"/>
      </w:divBdr>
    </w:div>
    <w:div w:id="1543321111">
      <w:bodyDiv w:val="1"/>
      <w:marLeft w:val="0"/>
      <w:marRight w:val="0"/>
      <w:marTop w:val="0"/>
      <w:marBottom w:val="0"/>
      <w:divBdr>
        <w:top w:val="none" w:sz="0" w:space="0" w:color="auto"/>
        <w:left w:val="none" w:sz="0" w:space="0" w:color="auto"/>
        <w:bottom w:val="none" w:sz="0" w:space="0" w:color="auto"/>
        <w:right w:val="none" w:sz="0" w:space="0" w:color="auto"/>
      </w:divBdr>
    </w:div>
    <w:div w:id="1543323067">
      <w:bodyDiv w:val="1"/>
      <w:marLeft w:val="0"/>
      <w:marRight w:val="0"/>
      <w:marTop w:val="0"/>
      <w:marBottom w:val="0"/>
      <w:divBdr>
        <w:top w:val="none" w:sz="0" w:space="0" w:color="auto"/>
        <w:left w:val="none" w:sz="0" w:space="0" w:color="auto"/>
        <w:bottom w:val="none" w:sz="0" w:space="0" w:color="auto"/>
        <w:right w:val="none" w:sz="0" w:space="0" w:color="auto"/>
      </w:divBdr>
    </w:div>
    <w:div w:id="1543513166">
      <w:bodyDiv w:val="1"/>
      <w:marLeft w:val="0"/>
      <w:marRight w:val="0"/>
      <w:marTop w:val="0"/>
      <w:marBottom w:val="0"/>
      <w:divBdr>
        <w:top w:val="none" w:sz="0" w:space="0" w:color="auto"/>
        <w:left w:val="none" w:sz="0" w:space="0" w:color="auto"/>
        <w:bottom w:val="none" w:sz="0" w:space="0" w:color="auto"/>
        <w:right w:val="none" w:sz="0" w:space="0" w:color="auto"/>
      </w:divBdr>
    </w:div>
    <w:div w:id="1543518407">
      <w:bodyDiv w:val="1"/>
      <w:marLeft w:val="0"/>
      <w:marRight w:val="0"/>
      <w:marTop w:val="0"/>
      <w:marBottom w:val="0"/>
      <w:divBdr>
        <w:top w:val="none" w:sz="0" w:space="0" w:color="auto"/>
        <w:left w:val="none" w:sz="0" w:space="0" w:color="auto"/>
        <w:bottom w:val="none" w:sz="0" w:space="0" w:color="auto"/>
        <w:right w:val="none" w:sz="0" w:space="0" w:color="auto"/>
      </w:divBdr>
    </w:div>
    <w:div w:id="1543520251">
      <w:bodyDiv w:val="1"/>
      <w:marLeft w:val="0"/>
      <w:marRight w:val="0"/>
      <w:marTop w:val="0"/>
      <w:marBottom w:val="0"/>
      <w:divBdr>
        <w:top w:val="none" w:sz="0" w:space="0" w:color="auto"/>
        <w:left w:val="none" w:sz="0" w:space="0" w:color="auto"/>
        <w:bottom w:val="none" w:sz="0" w:space="0" w:color="auto"/>
        <w:right w:val="none" w:sz="0" w:space="0" w:color="auto"/>
      </w:divBdr>
    </w:div>
    <w:div w:id="1543635799">
      <w:bodyDiv w:val="1"/>
      <w:marLeft w:val="0"/>
      <w:marRight w:val="0"/>
      <w:marTop w:val="0"/>
      <w:marBottom w:val="0"/>
      <w:divBdr>
        <w:top w:val="none" w:sz="0" w:space="0" w:color="auto"/>
        <w:left w:val="none" w:sz="0" w:space="0" w:color="auto"/>
        <w:bottom w:val="none" w:sz="0" w:space="0" w:color="auto"/>
        <w:right w:val="none" w:sz="0" w:space="0" w:color="auto"/>
      </w:divBdr>
    </w:div>
    <w:div w:id="1543667593">
      <w:bodyDiv w:val="1"/>
      <w:marLeft w:val="0"/>
      <w:marRight w:val="0"/>
      <w:marTop w:val="0"/>
      <w:marBottom w:val="0"/>
      <w:divBdr>
        <w:top w:val="none" w:sz="0" w:space="0" w:color="auto"/>
        <w:left w:val="none" w:sz="0" w:space="0" w:color="auto"/>
        <w:bottom w:val="none" w:sz="0" w:space="0" w:color="auto"/>
        <w:right w:val="none" w:sz="0" w:space="0" w:color="auto"/>
      </w:divBdr>
    </w:div>
    <w:div w:id="1543783847">
      <w:bodyDiv w:val="1"/>
      <w:marLeft w:val="0"/>
      <w:marRight w:val="0"/>
      <w:marTop w:val="0"/>
      <w:marBottom w:val="0"/>
      <w:divBdr>
        <w:top w:val="none" w:sz="0" w:space="0" w:color="auto"/>
        <w:left w:val="none" w:sz="0" w:space="0" w:color="auto"/>
        <w:bottom w:val="none" w:sz="0" w:space="0" w:color="auto"/>
        <w:right w:val="none" w:sz="0" w:space="0" w:color="auto"/>
      </w:divBdr>
    </w:div>
    <w:div w:id="1543787673">
      <w:bodyDiv w:val="1"/>
      <w:marLeft w:val="0"/>
      <w:marRight w:val="0"/>
      <w:marTop w:val="0"/>
      <w:marBottom w:val="0"/>
      <w:divBdr>
        <w:top w:val="none" w:sz="0" w:space="0" w:color="auto"/>
        <w:left w:val="none" w:sz="0" w:space="0" w:color="auto"/>
        <w:bottom w:val="none" w:sz="0" w:space="0" w:color="auto"/>
        <w:right w:val="none" w:sz="0" w:space="0" w:color="auto"/>
      </w:divBdr>
    </w:div>
    <w:div w:id="1543863672">
      <w:bodyDiv w:val="1"/>
      <w:marLeft w:val="0"/>
      <w:marRight w:val="0"/>
      <w:marTop w:val="0"/>
      <w:marBottom w:val="0"/>
      <w:divBdr>
        <w:top w:val="none" w:sz="0" w:space="0" w:color="auto"/>
        <w:left w:val="none" w:sz="0" w:space="0" w:color="auto"/>
        <w:bottom w:val="none" w:sz="0" w:space="0" w:color="auto"/>
        <w:right w:val="none" w:sz="0" w:space="0" w:color="auto"/>
      </w:divBdr>
    </w:div>
    <w:div w:id="1543903944">
      <w:bodyDiv w:val="1"/>
      <w:marLeft w:val="0"/>
      <w:marRight w:val="0"/>
      <w:marTop w:val="0"/>
      <w:marBottom w:val="0"/>
      <w:divBdr>
        <w:top w:val="none" w:sz="0" w:space="0" w:color="auto"/>
        <w:left w:val="none" w:sz="0" w:space="0" w:color="auto"/>
        <w:bottom w:val="none" w:sz="0" w:space="0" w:color="auto"/>
        <w:right w:val="none" w:sz="0" w:space="0" w:color="auto"/>
      </w:divBdr>
    </w:div>
    <w:div w:id="1543905410">
      <w:bodyDiv w:val="1"/>
      <w:marLeft w:val="0"/>
      <w:marRight w:val="0"/>
      <w:marTop w:val="0"/>
      <w:marBottom w:val="0"/>
      <w:divBdr>
        <w:top w:val="none" w:sz="0" w:space="0" w:color="auto"/>
        <w:left w:val="none" w:sz="0" w:space="0" w:color="auto"/>
        <w:bottom w:val="none" w:sz="0" w:space="0" w:color="auto"/>
        <w:right w:val="none" w:sz="0" w:space="0" w:color="auto"/>
      </w:divBdr>
    </w:div>
    <w:div w:id="1543906968">
      <w:bodyDiv w:val="1"/>
      <w:marLeft w:val="0"/>
      <w:marRight w:val="0"/>
      <w:marTop w:val="0"/>
      <w:marBottom w:val="0"/>
      <w:divBdr>
        <w:top w:val="none" w:sz="0" w:space="0" w:color="auto"/>
        <w:left w:val="none" w:sz="0" w:space="0" w:color="auto"/>
        <w:bottom w:val="none" w:sz="0" w:space="0" w:color="auto"/>
        <w:right w:val="none" w:sz="0" w:space="0" w:color="auto"/>
      </w:divBdr>
    </w:div>
    <w:div w:id="1543982612">
      <w:bodyDiv w:val="1"/>
      <w:marLeft w:val="0"/>
      <w:marRight w:val="0"/>
      <w:marTop w:val="0"/>
      <w:marBottom w:val="0"/>
      <w:divBdr>
        <w:top w:val="none" w:sz="0" w:space="0" w:color="auto"/>
        <w:left w:val="none" w:sz="0" w:space="0" w:color="auto"/>
        <w:bottom w:val="none" w:sz="0" w:space="0" w:color="auto"/>
        <w:right w:val="none" w:sz="0" w:space="0" w:color="auto"/>
      </w:divBdr>
    </w:div>
    <w:div w:id="1544292509">
      <w:bodyDiv w:val="1"/>
      <w:marLeft w:val="0"/>
      <w:marRight w:val="0"/>
      <w:marTop w:val="0"/>
      <w:marBottom w:val="0"/>
      <w:divBdr>
        <w:top w:val="none" w:sz="0" w:space="0" w:color="auto"/>
        <w:left w:val="none" w:sz="0" w:space="0" w:color="auto"/>
        <w:bottom w:val="none" w:sz="0" w:space="0" w:color="auto"/>
        <w:right w:val="none" w:sz="0" w:space="0" w:color="auto"/>
      </w:divBdr>
    </w:div>
    <w:div w:id="1544363080">
      <w:bodyDiv w:val="1"/>
      <w:marLeft w:val="0"/>
      <w:marRight w:val="0"/>
      <w:marTop w:val="0"/>
      <w:marBottom w:val="0"/>
      <w:divBdr>
        <w:top w:val="none" w:sz="0" w:space="0" w:color="auto"/>
        <w:left w:val="none" w:sz="0" w:space="0" w:color="auto"/>
        <w:bottom w:val="none" w:sz="0" w:space="0" w:color="auto"/>
        <w:right w:val="none" w:sz="0" w:space="0" w:color="auto"/>
      </w:divBdr>
    </w:div>
    <w:div w:id="1544559231">
      <w:bodyDiv w:val="1"/>
      <w:marLeft w:val="0"/>
      <w:marRight w:val="0"/>
      <w:marTop w:val="0"/>
      <w:marBottom w:val="0"/>
      <w:divBdr>
        <w:top w:val="none" w:sz="0" w:space="0" w:color="auto"/>
        <w:left w:val="none" w:sz="0" w:space="0" w:color="auto"/>
        <w:bottom w:val="none" w:sz="0" w:space="0" w:color="auto"/>
        <w:right w:val="none" w:sz="0" w:space="0" w:color="auto"/>
      </w:divBdr>
    </w:div>
    <w:div w:id="1544630463">
      <w:bodyDiv w:val="1"/>
      <w:marLeft w:val="0"/>
      <w:marRight w:val="0"/>
      <w:marTop w:val="0"/>
      <w:marBottom w:val="0"/>
      <w:divBdr>
        <w:top w:val="none" w:sz="0" w:space="0" w:color="auto"/>
        <w:left w:val="none" w:sz="0" w:space="0" w:color="auto"/>
        <w:bottom w:val="none" w:sz="0" w:space="0" w:color="auto"/>
        <w:right w:val="none" w:sz="0" w:space="0" w:color="auto"/>
      </w:divBdr>
    </w:div>
    <w:div w:id="1544638471">
      <w:bodyDiv w:val="1"/>
      <w:marLeft w:val="0"/>
      <w:marRight w:val="0"/>
      <w:marTop w:val="0"/>
      <w:marBottom w:val="0"/>
      <w:divBdr>
        <w:top w:val="none" w:sz="0" w:space="0" w:color="auto"/>
        <w:left w:val="none" w:sz="0" w:space="0" w:color="auto"/>
        <w:bottom w:val="none" w:sz="0" w:space="0" w:color="auto"/>
        <w:right w:val="none" w:sz="0" w:space="0" w:color="auto"/>
      </w:divBdr>
    </w:div>
    <w:div w:id="1544707559">
      <w:bodyDiv w:val="1"/>
      <w:marLeft w:val="0"/>
      <w:marRight w:val="0"/>
      <w:marTop w:val="0"/>
      <w:marBottom w:val="0"/>
      <w:divBdr>
        <w:top w:val="none" w:sz="0" w:space="0" w:color="auto"/>
        <w:left w:val="none" w:sz="0" w:space="0" w:color="auto"/>
        <w:bottom w:val="none" w:sz="0" w:space="0" w:color="auto"/>
        <w:right w:val="none" w:sz="0" w:space="0" w:color="auto"/>
      </w:divBdr>
    </w:div>
    <w:div w:id="1544711924">
      <w:bodyDiv w:val="1"/>
      <w:marLeft w:val="0"/>
      <w:marRight w:val="0"/>
      <w:marTop w:val="0"/>
      <w:marBottom w:val="0"/>
      <w:divBdr>
        <w:top w:val="none" w:sz="0" w:space="0" w:color="auto"/>
        <w:left w:val="none" w:sz="0" w:space="0" w:color="auto"/>
        <w:bottom w:val="none" w:sz="0" w:space="0" w:color="auto"/>
        <w:right w:val="none" w:sz="0" w:space="0" w:color="auto"/>
      </w:divBdr>
    </w:div>
    <w:div w:id="1544831761">
      <w:bodyDiv w:val="1"/>
      <w:marLeft w:val="0"/>
      <w:marRight w:val="0"/>
      <w:marTop w:val="0"/>
      <w:marBottom w:val="0"/>
      <w:divBdr>
        <w:top w:val="none" w:sz="0" w:space="0" w:color="auto"/>
        <w:left w:val="none" w:sz="0" w:space="0" w:color="auto"/>
        <w:bottom w:val="none" w:sz="0" w:space="0" w:color="auto"/>
        <w:right w:val="none" w:sz="0" w:space="0" w:color="auto"/>
      </w:divBdr>
    </w:div>
    <w:div w:id="1544904771">
      <w:bodyDiv w:val="1"/>
      <w:marLeft w:val="0"/>
      <w:marRight w:val="0"/>
      <w:marTop w:val="0"/>
      <w:marBottom w:val="0"/>
      <w:divBdr>
        <w:top w:val="none" w:sz="0" w:space="0" w:color="auto"/>
        <w:left w:val="none" w:sz="0" w:space="0" w:color="auto"/>
        <w:bottom w:val="none" w:sz="0" w:space="0" w:color="auto"/>
        <w:right w:val="none" w:sz="0" w:space="0" w:color="auto"/>
      </w:divBdr>
    </w:div>
    <w:div w:id="1544908021">
      <w:bodyDiv w:val="1"/>
      <w:marLeft w:val="0"/>
      <w:marRight w:val="0"/>
      <w:marTop w:val="0"/>
      <w:marBottom w:val="0"/>
      <w:divBdr>
        <w:top w:val="none" w:sz="0" w:space="0" w:color="auto"/>
        <w:left w:val="none" w:sz="0" w:space="0" w:color="auto"/>
        <w:bottom w:val="none" w:sz="0" w:space="0" w:color="auto"/>
        <w:right w:val="none" w:sz="0" w:space="0" w:color="auto"/>
      </w:divBdr>
    </w:div>
    <w:div w:id="1544977134">
      <w:bodyDiv w:val="1"/>
      <w:marLeft w:val="0"/>
      <w:marRight w:val="0"/>
      <w:marTop w:val="0"/>
      <w:marBottom w:val="0"/>
      <w:divBdr>
        <w:top w:val="none" w:sz="0" w:space="0" w:color="auto"/>
        <w:left w:val="none" w:sz="0" w:space="0" w:color="auto"/>
        <w:bottom w:val="none" w:sz="0" w:space="0" w:color="auto"/>
        <w:right w:val="none" w:sz="0" w:space="0" w:color="auto"/>
      </w:divBdr>
    </w:div>
    <w:div w:id="1545218988">
      <w:bodyDiv w:val="1"/>
      <w:marLeft w:val="0"/>
      <w:marRight w:val="0"/>
      <w:marTop w:val="0"/>
      <w:marBottom w:val="0"/>
      <w:divBdr>
        <w:top w:val="none" w:sz="0" w:space="0" w:color="auto"/>
        <w:left w:val="none" w:sz="0" w:space="0" w:color="auto"/>
        <w:bottom w:val="none" w:sz="0" w:space="0" w:color="auto"/>
        <w:right w:val="none" w:sz="0" w:space="0" w:color="auto"/>
      </w:divBdr>
    </w:div>
    <w:div w:id="1545285285">
      <w:bodyDiv w:val="1"/>
      <w:marLeft w:val="0"/>
      <w:marRight w:val="0"/>
      <w:marTop w:val="0"/>
      <w:marBottom w:val="0"/>
      <w:divBdr>
        <w:top w:val="none" w:sz="0" w:space="0" w:color="auto"/>
        <w:left w:val="none" w:sz="0" w:space="0" w:color="auto"/>
        <w:bottom w:val="none" w:sz="0" w:space="0" w:color="auto"/>
        <w:right w:val="none" w:sz="0" w:space="0" w:color="auto"/>
      </w:divBdr>
    </w:div>
    <w:div w:id="1545285951">
      <w:bodyDiv w:val="1"/>
      <w:marLeft w:val="0"/>
      <w:marRight w:val="0"/>
      <w:marTop w:val="0"/>
      <w:marBottom w:val="0"/>
      <w:divBdr>
        <w:top w:val="none" w:sz="0" w:space="0" w:color="auto"/>
        <w:left w:val="none" w:sz="0" w:space="0" w:color="auto"/>
        <w:bottom w:val="none" w:sz="0" w:space="0" w:color="auto"/>
        <w:right w:val="none" w:sz="0" w:space="0" w:color="auto"/>
      </w:divBdr>
    </w:div>
    <w:div w:id="1545367276">
      <w:bodyDiv w:val="1"/>
      <w:marLeft w:val="0"/>
      <w:marRight w:val="0"/>
      <w:marTop w:val="0"/>
      <w:marBottom w:val="0"/>
      <w:divBdr>
        <w:top w:val="none" w:sz="0" w:space="0" w:color="auto"/>
        <w:left w:val="none" w:sz="0" w:space="0" w:color="auto"/>
        <w:bottom w:val="none" w:sz="0" w:space="0" w:color="auto"/>
        <w:right w:val="none" w:sz="0" w:space="0" w:color="auto"/>
      </w:divBdr>
    </w:div>
    <w:div w:id="1545367997">
      <w:bodyDiv w:val="1"/>
      <w:marLeft w:val="0"/>
      <w:marRight w:val="0"/>
      <w:marTop w:val="0"/>
      <w:marBottom w:val="0"/>
      <w:divBdr>
        <w:top w:val="none" w:sz="0" w:space="0" w:color="auto"/>
        <w:left w:val="none" w:sz="0" w:space="0" w:color="auto"/>
        <w:bottom w:val="none" w:sz="0" w:space="0" w:color="auto"/>
        <w:right w:val="none" w:sz="0" w:space="0" w:color="auto"/>
      </w:divBdr>
    </w:div>
    <w:div w:id="1545370076">
      <w:bodyDiv w:val="1"/>
      <w:marLeft w:val="0"/>
      <w:marRight w:val="0"/>
      <w:marTop w:val="0"/>
      <w:marBottom w:val="0"/>
      <w:divBdr>
        <w:top w:val="none" w:sz="0" w:space="0" w:color="auto"/>
        <w:left w:val="none" w:sz="0" w:space="0" w:color="auto"/>
        <w:bottom w:val="none" w:sz="0" w:space="0" w:color="auto"/>
        <w:right w:val="none" w:sz="0" w:space="0" w:color="auto"/>
      </w:divBdr>
    </w:div>
    <w:div w:id="1545487535">
      <w:bodyDiv w:val="1"/>
      <w:marLeft w:val="0"/>
      <w:marRight w:val="0"/>
      <w:marTop w:val="0"/>
      <w:marBottom w:val="0"/>
      <w:divBdr>
        <w:top w:val="none" w:sz="0" w:space="0" w:color="auto"/>
        <w:left w:val="none" w:sz="0" w:space="0" w:color="auto"/>
        <w:bottom w:val="none" w:sz="0" w:space="0" w:color="auto"/>
        <w:right w:val="none" w:sz="0" w:space="0" w:color="auto"/>
      </w:divBdr>
    </w:div>
    <w:div w:id="1545555224">
      <w:bodyDiv w:val="1"/>
      <w:marLeft w:val="0"/>
      <w:marRight w:val="0"/>
      <w:marTop w:val="0"/>
      <w:marBottom w:val="0"/>
      <w:divBdr>
        <w:top w:val="none" w:sz="0" w:space="0" w:color="auto"/>
        <w:left w:val="none" w:sz="0" w:space="0" w:color="auto"/>
        <w:bottom w:val="none" w:sz="0" w:space="0" w:color="auto"/>
        <w:right w:val="none" w:sz="0" w:space="0" w:color="auto"/>
      </w:divBdr>
    </w:div>
    <w:div w:id="1545557177">
      <w:bodyDiv w:val="1"/>
      <w:marLeft w:val="0"/>
      <w:marRight w:val="0"/>
      <w:marTop w:val="0"/>
      <w:marBottom w:val="0"/>
      <w:divBdr>
        <w:top w:val="none" w:sz="0" w:space="0" w:color="auto"/>
        <w:left w:val="none" w:sz="0" w:space="0" w:color="auto"/>
        <w:bottom w:val="none" w:sz="0" w:space="0" w:color="auto"/>
        <w:right w:val="none" w:sz="0" w:space="0" w:color="auto"/>
      </w:divBdr>
    </w:div>
    <w:div w:id="1545606240">
      <w:bodyDiv w:val="1"/>
      <w:marLeft w:val="0"/>
      <w:marRight w:val="0"/>
      <w:marTop w:val="0"/>
      <w:marBottom w:val="0"/>
      <w:divBdr>
        <w:top w:val="none" w:sz="0" w:space="0" w:color="auto"/>
        <w:left w:val="none" w:sz="0" w:space="0" w:color="auto"/>
        <w:bottom w:val="none" w:sz="0" w:space="0" w:color="auto"/>
        <w:right w:val="none" w:sz="0" w:space="0" w:color="auto"/>
      </w:divBdr>
    </w:div>
    <w:div w:id="1545672564">
      <w:bodyDiv w:val="1"/>
      <w:marLeft w:val="0"/>
      <w:marRight w:val="0"/>
      <w:marTop w:val="0"/>
      <w:marBottom w:val="0"/>
      <w:divBdr>
        <w:top w:val="none" w:sz="0" w:space="0" w:color="auto"/>
        <w:left w:val="none" w:sz="0" w:space="0" w:color="auto"/>
        <w:bottom w:val="none" w:sz="0" w:space="0" w:color="auto"/>
        <w:right w:val="none" w:sz="0" w:space="0" w:color="auto"/>
      </w:divBdr>
    </w:div>
    <w:div w:id="1545752627">
      <w:bodyDiv w:val="1"/>
      <w:marLeft w:val="0"/>
      <w:marRight w:val="0"/>
      <w:marTop w:val="0"/>
      <w:marBottom w:val="0"/>
      <w:divBdr>
        <w:top w:val="none" w:sz="0" w:space="0" w:color="auto"/>
        <w:left w:val="none" w:sz="0" w:space="0" w:color="auto"/>
        <w:bottom w:val="none" w:sz="0" w:space="0" w:color="auto"/>
        <w:right w:val="none" w:sz="0" w:space="0" w:color="auto"/>
      </w:divBdr>
    </w:div>
    <w:div w:id="1545942114">
      <w:bodyDiv w:val="1"/>
      <w:marLeft w:val="0"/>
      <w:marRight w:val="0"/>
      <w:marTop w:val="0"/>
      <w:marBottom w:val="0"/>
      <w:divBdr>
        <w:top w:val="none" w:sz="0" w:space="0" w:color="auto"/>
        <w:left w:val="none" w:sz="0" w:space="0" w:color="auto"/>
        <w:bottom w:val="none" w:sz="0" w:space="0" w:color="auto"/>
        <w:right w:val="none" w:sz="0" w:space="0" w:color="auto"/>
      </w:divBdr>
    </w:div>
    <w:div w:id="1545946134">
      <w:bodyDiv w:val="1"/>
      <w:marLeft w:val="0"/>
      <w:marRight w:val="0"/>
      <w:marTop w:val="0"/>
      <w:marBottom w:val="0"/>
      <w:divBdr>
        <w:top w:val="none" w:sz="0" w:space="0" w:color="auto"/>
        <w:left w:val="none" w:sz="0" w:space="0" w:color="auto"/>
        <w:bottom w:val="none" w:sz="0" w:space="0" w:color="auto"/>
        <w:right w:val="none" w:sz="0" w:space="0" w:color="auto"/>
      </w:divBdr>
    </w:div>
    <w:div w:id="1546016180">
      <w:bodyDiv w:val="1"/>
      <w:marLeft w:val="0"/>
      <w:marRight w:val="0"/>
      <w:marTop w:val="0"/>
      <w:marBottom w:val="0"/>
      <w:divBdr>
        <w:top w:val="none" w:sz="0" w:space="0" w:color="auto"/>
        <w:left w:val="none" w:sz="0" w:space="0" w:color="auto"/>
        <w:bottom w:val="none" w:sz="0" w:space="0" w:color="auto"/>
        <w:right w:val="none" w:sz="0" w:space="0" w:color="auto"/>
      </w:divBdr>
    </w:div>
    <w:div w:id="1546024063">
      <w:bodyDiv w:val="1"/>
      <w:marLeft w:val="0"/>
      <w:marRight w:val="0"/>
      <w:marTop w:val="0"/>
      <w:marBottom w:val="0"/>
      <w:divBdr>
        <w:top w:val="none" w:sz="0" w:space="0" w:color="auto"/>
        <w:left w:val="none" w:sz="0" w:space="0" w:color="auto"/>
        <w:bottom w:val="none" w:sz="0" w:space="0" w:color="auto"/>
        <w:right w:val="none" w:sz="0" w:space="0" w:color="auto"/>
      </w:divBdr>
    </w:div>
    <w:div w:id="1546214720">
      <w:bodyDiv w:val="1"/>
      <w:marLeft w:val="0"/>
      <w:marRight w:val="0"/>
      <w:marTop w:val="0"/>
      <w:marBottom w:val="0"/>
      <w:divBdr>
        <w:top w:val="none" w:sz="0" w:space="0" w:color="auto"/>
        <w:left w:val="none" w:sz="0" w:space="0" w:color="auto"/>
        <w:bottom w:val="none" w:sz="0" w:space="0" w:color="auto"/>
        <w:right w:val="none" w:sz="0" w:space="0" w:color="auto"/>
      </w:divBdr>
    </w:div>
    <w:div w:id="1546405759">
      <w:bodyDiv w:val="1"/>
      <w:marLeft w:val="0"/>
      <w:marRight w:val="0"/>
      <w:marTop w:val="0"/>
      <w:marBottom w:val="0"/>
      <w:divBdr>
        <w:top w:val="none" w:sz="0" w:space="0" w:color="auto"/>
        <w:left w:val="none" w:sz="0" w:space="0" w:color="auto"/>
        <w:bottom w:val="none" w:sz="0" w:space="0" w:color="auto"/>
        <w:right w:val="none" w:sz="0" w:space="0" w:color="auto"/>
      </w:divBdr>
    </w:div>
    <w:div w:id="1546407366">
      <w:bodyDiv w:val="1"/>
      <w:marLeft w:val="0"/>
      <w:marRight w:val="0"/>
      <w:marTop w:val="0"/>
      <w:marBottom w:val="0"/>
      <w:divBdr>
        <w:top w:val="none" w:sz="0" w:space="0" w:color="auto"/>
        <w:left w:val="none" w:sz="0" w:space="0" w:color="auto"/>
        <w:bottom w:val="none" w:sz="0" w:space="0" w:color="auto"/>
        <w:right w:val="none" w:sz="0" w:space="0" w:color="auto"/>
      </w:divBdr>
    </w:div>
    <w:div w:id="1546411331">
      <w:bodyDiv w:val="1"/>
      <w:marLeft w:val="0"/>
      <w:marRight w:val="0"/>
      <w:marTop w:val="0"/>
      <w:marBottom w:val="0"/>
      <w:divBdr>
        <w:top w:val="none" w:sz="0" w:space="0" w:color="auto"/>
        <w:left w:val="none" w:sz="0" w:space="0" w:color="auto"/>
        <w:bottom w:val="none" w:sz="0" w:space="0" w:color="auto"/>
        <w:right w:val="none" w:sz="0" w:space="0" w:color="auto"/>
      </w:divBdr>
    </w:div>
    <w:div w:id="1546485487">
      <w:bodyDiv w:val="1"/>
      <w:marLeft w:val="0"/>
      <w:marRight w:val="0"/>
      <w:marTop w:val="0"/>
      <w:marBottom w:val="0"/>
      <w:divBdr>
        <w:top w:val="none" w:sz="0" w:space="0" w:color="auto"/>
        <w:left w:val="none" w:sz="0" w:space="0" w:color="auto"/>
        <w:bottom w:val="none" w:sz="0" w:space="0" w:color="auto"/>
        <w:right w:val="none" w:sz="0" w:space="0" w:color="auto"/>
      </w:divBdr>
    </w:div>
    <w:div w:id="1546522422">
      <w:bodyDiv w:val="1"/>
      <w:marLeft w:val="0"/>
      <w:marRight w:val="0"/>
      <w:marTop w:val="0"/>
      <w:marBottom w:val="0"/>
      <w:divBdr>
        <w:top w:val="none" w:sz="0" w:space="0" w:color="auto"/>
        <w:left w:val="none" w:sz="0" w:space="0" w:color="auto"/>
        <w:bottom w:val="none" w:sz="0" w:space="0" w:color="auto"/>
        <w:right w:val="none" w:sz="0" w:space="0" w:color="auto"/>
      </w:divBdr>
    </w:div>
    <w:div w:id="1546522872">
      <w:bodyDiv w:val="1"/>
      <w:marLeft w:val="0"/>
      <w:marRight w:val="0"/>
      <w:marTop w:val="0"/>
      <w:marBottom w:val="0"/>
      <w:divBdr>
        <w:top w:val="none" w:sz="0" w:space="0" w:color="auto"/>
        <w:left w:val="none" w:sz="0" w:space="0" w:color="auto"/>
        <w:bottom w:val="none" w:sz="0" w:space="0" w:color="auto"/>
        <w:right w:val="none" w:sz="0" w:space="0" w:color="auto"/>
      </w:divBdr>
    </w:div>
    <w:div w:id="1546789294">
      <w:bodyDiv w:val="1"/>
      <w:marLeft w:val="0"/>
      <w:marRight w:val="0"/>
      <w:marTop w:val="0"/>
      <w:marBottom w:val="0"/>
      <w:divBdr>
        <w:top w:val="none" w:sz="0" w:space="0" w:color="auto"/>
        <w:left w:val="none" w:sz="0" w:space="0" w:color="auto"/>
        <w:bottom w:val="none" w:sz="0" w:space="0" w:color="auto"/>
        <w:right w:val="none" w:sz="0" w:space="0" w:color="auto"/>
      </w:divBdr>
    </w:div>
    <w:div w:id="1546795611">
      <w:bodyDiv w:val="1"/>
      <w:marLeft w:val="0"/>
      <w:marRight w:val="0"/>
      <w:marTop w:val="0"/>
      <w:marBottom w:val="0"/>
      <w:divBdr>
        <w:top w:val="none" w:sz="0" w:space="0" w:color="auto"/>
        <w:left w:val="none" w:sz="0" w:space="0" w:color="auto"/>
        <w:bottom w:val="none" w:sz="0" w:space="0" w:color="auto"/>
        <w:right w:val="none" w:sz="0" w:space="0" w:color="auto"/>
      </w:divBdr>
    </w:div>
    <w:div w:id="1546983848">
      <w:bodyDiv w:val="1"/>
      <w:marLeft w:val="0"/>
      <w:marRight w:val="0"/>
      <w:marTop w:val="0"/>
      <w:marBottom w:val="0"/>
      <w:divBdr>
        <w:top w:val="none" w:sz="0" w:space="0" w:color="auto"/>
        <w:left w:val="none" w:sz="0" w:space="0" w:color="auto"/>
        <w:bottom w:val="none" w:sz="0" w:space="0" w:color="auto"/>
        <w:right w:val="none" w:sz="0" w:space="0" w:color="auto"/>
      </w:divBdr>
    </w:div>
    <w:div w:id="1547062015">
      <w:bodyDiv w:val="1"/>
      <w:marLeft w:val="0"/>
      <w:marRight w:val="0"/>
      <w:marTop w:val="0"/>
      <w:marBottom w:val="0"/>
      <w:divBdr>
        <w:top w:val="none" w:sz="0" w:space="0" w:color="auto"/>
        <w:left w:val="none" w:sz="0" w:space="0" w:color="auto"/>
        <w:bottom w:val="none" w:sz="0" w:space="0" w:color="auto"/>
        <w:right w:val="none" w:sz="0" w:space="0" w:color="auto"/>
      </w:divBdr>
    </w:div>
    <w:div w:id="1547066563">
      <w:bodyDiv w:val="1"/>
      <w:marLeft w:val="0"/>
      <w:marRight w:val="0"/>
      <w:marTop w:val="0"/>
      <w:marBottom w:val="0"/>
      <w:divBdr>
        <w:top w:val="none" w:sz="0" w:space="0" w:color="auto"/>
        <w:left w:val="none" w:sz="0" w:space="0" w:color="auto"/>
        <w:bottom w:val="none" w:sz="0" w:space="0" w:color="auto"/>
        <w:right w:val="none" w:sz="0" w:space="0" w:color="auto"/>
      </w:divBdr>
    </w:div>
    <w:div w:id="1547067402">
      <w:bodyDiv w:val="1"/>
      <w:marLeft w:val="0"/>
      <w:marRight w:val="0"/>
      <w:marTop w:val="0"/>
      <w:marBottom w:val="0"/>
      <w:divBdr>
        <w:top w:val="none" w:sz="0" w:space="0" w:color="auto"/>
        <w:left w:val="none" w:sz="0" w:space="0" w:color="auto"/>
        <w:bottom w:val="none" w:sz="0" w:space="0" w:color="auto"/>
        <w:right w:val="none" w:sz="0" w:space="0" w:color="auto"/>
      </w:divBdr>
    </w:div>
    <w:div w:id="1547138164">
      <w:bodyDiv w:val="1"/>
      <w:marLeft w:val="0"/>
      <w:marRight w:val="0"/>
      <w:marTop w:val="0"/>
      <w:marBottom w:val="0"/>
      <w:divBdr>
        <w:top w:val="none" w:sz="0" w:space="0" w:color="auto"/>
        <w:left w:val="none" w:sz="0" w:space="0" w:color="auto"/>
        <w:bottom w:val="none" w:sz="0" w:space="0" w:color="auto"/>
        <w:right w:val="none" w:sz="0" w:space="0" w:color="auto"/>
      </w:divBdr>
    </w:div>
    <w:div w:id="1547139702">
      <w:bodyDiv w:val="1"/>
      <w:marLeft w:val="0"/>
      <w:marRight w:val="0"/>
      <w:marTop w:val="0"/>
      <w:marBottom w:val="0"/>
      <w:divBdr>
        <w:top w:val="none" w:sz="0" w:space="0" w:color="auto"/>
        <w:left w:val="none" w:sz="0" w:space="0" w:color="auto"/>
        <w:bottom w:val="none" w:sz="0" w:space="0" w:color="auto"/>
        <w:right w:val="none" w:sz="0" w:space="0" w:color="auto"/>
      </w:divBdr>
    </w:div>
    <w:div w:id="1547333729">
      <w:bodyDiv w:val="1"/>
      <w:marLeft w:val="0"/>
      <w:marRight w:val="0"/>
      <w:marTop w:val="0"/>
      <w:marBottom w:val="0"/>
      <w:divBdr>
        <w:top w:val="none" w:sz="0" w:space="0" w:color="auto"/>
        <w:left w:val="none" w:sz="0" w:space="0" w:color="auto"/>
        <w:bottom w:val="none" w:sz="0" w:space="0" w:color="auto"/>
        <w:right w:val="none" w:sz="0" w:space="0" w:color="auto"/>
      </w:divBdr>
    </w:div>
    <w:div w:id="1547402894">
      <w:bodyDiv w:val="1"/>
      <w:marLeft w:val="0"/>
      <w:marRight w:val="0"/>
      <w:marTop w:val="0"/>
      <w:marBottom w:val="0"/>
      <w:divBdr>
        <w:top w:val="none" w:sz="0" w:space="0" w:color="auto"/>
        <w:left w:val="none" w:sz="0" w:space="0" w:color="auto"/>
        <w:bottom w:val="none" w:sz="0" w:space="0" w:color="auto"/>
        <w:right w:val="none" w:sz="0" w:space="0" w:color="auto"/>
      </w:divBdr>
    </w:div>
    <w:div w:id="1547448724">
      <w:bodyDiv w:val="1"/>
      <w:marLeft w:val="0"/>
      <w:marRight w:val="0"/>
      <w:marTop w:val="0"/>
      <w:marBottom w:val="0"/>
      <w:divBdr>
        <w:top w:val="none" w:sz="0" w:space="0" w:color="auto"/>
        <w:left w:val="none" w:sz="0" w:space="0" w:color="auto"/>
        <w:bottom w:val="none" w:sz="0" w:space="0" w:color="auto"/>
        <w:right w:val="none" w:sz="0" w:space="0" w:color="auto"/>
      </w:divBdr>
    </w:div>
    <w:div w:id="1547452604">
      <w:bodyDiv w:val="1"/>
      <w:marLeft w:val="0"/>
      <w:marRight w:val="0"/>
      <w:marTop w:val="0"/>
      <w:marBottom w:val="0"/>
      <w:divBdr>
        <w:top w:val="none" w:sz="0" w:space="0" w:color="auto"/>
        <w:left w:val="none" w:sz="0" w:space="0" w:color="auto"/>
        <w:bottom w:val="none" w:sz="0" w:space="0" w:color="auto"/>
        <w:right w:val="none" w:sz="0" w:space="0" w:color="auto"/>
      </w:divBdr>
    </w:div>
    <w:div w:id="1547526651">
      <w:bodyDiv w:val="1"/>
      <w:marLeft w:val="0"/>
      <w:marRight w:val="0"/>
      <w:marTop w:val="0"/>
      <w:marBottom w:val="0"/>
      <w:divBdr>
        <w:top w:val="none" w:sz="0" w:space="0" w:color="auto"/>
        <w:left w:val="none" w:sz="0" w:space="0" w:color="auto"/>
        <w:bottom w:val="none" w:sz="0" w:space="0" w:color="auto"/>
        <w:right w:val="none" w:sz="0" w:space="0" w:color="auto"/>
      </w:divBdr>
    </w:div>
    <w:div w:id="1547716670">
      <w:bodyDiv w:val="1"/>
      <w:marLeft w:val="0"/>
      <w:marRight w:val="0"/>
      <w:marTop w:val="0"/>
      <w:marBottom w:val="0"/>
      <w:divBdr>
        <w:top w:val="none" w:sz="0" w:space="0" w:color="auto"/>
        <w:left w:val="none" w:sz="0" w:space="0" w:color="auto"/>
        <w:bottom w:val="none" w:sz="0" w:space="0" w:color="auto"/>
        <w:right w:val="none" w:sz="0" w:space="0" w:color="auto"/>
      </w:divBdr>
    </w:div>
    <w:div w:id="1547794081">
      <w:bodyDiv w:val="1"/>
      <w:marLeft w:val="0"/>
      <w:marRight w:val="0"/>
      <w:marTop w:val="0"/>
      <w:marBottom w:val="0"/>
      <w:divBdr>
        <w:top w:val="none" w:sz="0" w:space="0" w:color="auto"/>
        <w:left w:val="none" w:sz="0" w:space="0" w:color="auto"/>
        <w:bottom w:val="none" w:sz="0" w:space="0" w:color="auto"/>
        <w:right w:val="none" w:sz="0" w:space="0" w:color="auto"/>
      </w:divBdr>
    </w:div>
    <w:div w:id="1547831259">
      <w:bodyDiv w:val="1"/>
      <w:marLeft w:val="0"/>
      <w:marRight w:val="0"/>
      <w:marTop w:val="0"/>
      <w:marBottom w:val="0"/>
      <w:divBdr>
        <w:top w:val="none" w:sz="0" w:space="0" w:color="auto"/>
        <w:left w:val="none" w:sz="0" w:space="0" w:color="auto"/>
        <w:bottom w:val="none" w:sz="0" w:space="0" w:color="auto"/>
        <w:right w:val="none" w:sz="0" w:space="0" w:color="auto"/>
      </w:divBdr>
    </w:div>
    <w:div w:id="1547836068">
      <w:bodyDiv w:val="1"/>
      <w:marLeft w:val="0"/>
      <w:marRight w:val="0"/>
      <w:marTop w:val="0"/>
      <w:marBottom w:val="0"/>
      <w:divBdr>
        <w:top w:val="none" w:sz="0" w:space="0" w:color="auto"/>
        <w:left w:val="none" w:sz="0" w:space="0" w:color="auto"/>
        <w:bottom w:val="none" w:sz="0" w:space="0" w:color="auto"/>
        <w:right w:val="none" w:sz="0" w:space="0" w:color="auto"/>
      </w:divBdr>
    </w:div>
    <w:div w:id="1547838881">
      <w:bodyDiv w:val="1"/>
      <w:marLeft w:val="0"/>
      <w:marRight w:val="0"/>
      <w:marTop w:val="0"/>
      <w:marBottom w:val="0"/>
      <w:divBdr>
        <w:top w:val="none" w:sz="0" w:space="0" w:color="auto"/>
        <w:left w:val="none" w:sz="0" w:space="0" w:color="auto"/>
        <w:bottom w:val="none" w:sz="0" w:space="0" w:color="auto"/>
        <w:right w:val="none" w:sz="0" w:space="0" w:color="auto"/>
      </w:divBdr>
    </w:div>
    <w:div w:id="1547982297">
      <w:bodyDiv w:val="1"/>
      <w:marLeft w:val="0"/>
      <w:marRight w:val="0"/>
      <w:marTop w:val="0"/>
      <w:marBottom w:val="0"/>
      <w:divBdr>
        <w:top w:val="none" w:sz="0" w:space="0" w:color="auto"/>
        <w:left w:val="none" w:sz="0" w:space="0" w:color="auto"/>
        <w:bottom w:val="none" w:sz="0" w:space="0" w:color="auto"/>
        <w:right w:val="none" w:sz="0" w:space="0" w:color="auto"/>
      </w:divBdr>
    </w:div>
    <w:div w:id="1547987642">
      <w:bodyDiv w:val="1"/>
      <w:marLeft w:val="0"/>
      <w:marRight w:val="0"/>
      <w:marTop w:val="0"/>
      <w:marBottom w:val="0"/>
      <w:divBdr>
        <w:top w:val="none" w:sz="0" w:space="0" w:color="auto"/>
        <w:left w:val="none" w:sz="0" w:space="0" w:color="auto"/>
        <w:bottom w:val="none" w:sz="0" w:space="0" w:color="auto"/>
        <w:right w:val="none" w:sz="0" w:space="0" w:color="auto"/>
      </w:divBdr>
    </w:div>
    <w:div w:id="1548057526">
      <w:bodyDiv w:val="1"/>
      <w:marLeft w:val="0"/>
      <w:marRight w:val="0"/>
      <w:marTop w:val="0"/>
      <w:marBottom w:val="0"/>
      <w:divBdr>
        <w:top w:val="none" w:sz="0" w:space="0" w:color="auto"/>
        <w:left w:val="none" w:sz="0" w:space="0" w:color="auto"/>
        <w:bottom w:val="none" w:sz="0" w:space="0" w:color="auto"/>
        <w:right w:val="none" w:sz="0" w:space="0" w:color="auto"/>
      </w:divBdr>
    </w:div>
    <w:div w:id="1548302587">
      <w:bodyDiv w:val="1"/>
      <w:marLeft w:val="0"/>
      <w:marRight w:val="0"/>
      <w:marTop w:val="0"/>
      <w:marBottom w:val="0"/>
      <w:divBdr>
        <w:top w:val="none" w:sz="0" w:space="0" w:color="auto"/>
        <w:left w:val="none" w:sz="0" w:space="0" w:color="auto"/>
        <w:bottom w:val="none" w:sz="0" w:space="0" w:color="auto"/>
        <w:right w:val="none" w:sz="0" w:space="0" w:color="auto"/>
      </w:divBdr>
    </w:div>
    <w:div w:id="1548377305">
      <w:bodyDiv w:val="1"/>
      <w:marLeft w:val="0"/>
      <w:marRight w:val="0"/>
      <w:marTop w:val="0"/>
      <w:marBottom w:val="0"/>
      <w:divBdr>
        <w:top w:val="none" w:sz="0" w:space="0" w:color="auto"/>
        <w:left w:val="none" w:sz="0" w:space="0" w:color="auto"/>
        <w:bottom w:val="none" w:sz="0" w:space="0" w:color="auto"/>
        <w:right w:val="none" w:sz="0" w:space="0" w:color="auto"/>
      </w:divBdr>
    </w:div>
    <w:div w:id="1548446408">
      <w:bodyDiv w:val="1"/>
      <w:marLeft w:val="0"/>
      <w:marRight w:val="0"/>
      <w:marTop w:val="0"/>
      <w:marBottom w:val="0"/>
      <w:divBdr>
        <w:top w:val="none" w:sz="0" w:space="0" w:color="auto"/>
        <w:left w:val="none" w:sz="0" w:space="0" w:color="auto"/>
        <w:bottom w:val="none" w:sz="0" w:space="0" w:color="auto"/>
        <w:right w:val="none" w:sz="0" w:space="0" w:color="auto"/>
      </w:divBdr>
    </w:div>
    <w:div w:id="1548491156">
      <w:bodyDiv w:val="1"/>
      <w:marLeft w:val="0"/>
      <w:marRight w:val="0"/>
      <w:marTop w:val="0"/>
      <w:marBottom w:val="0"/>
      <w:divBdr>
        <w:top w:val="none" w:sz="0" w:space="0" w:color="auto"/>
        <w:left w:val="none" w:sz="0" w:space="0" w:color="auto"/>
        <w:bottom w:val="none" w:sz="0" w:space="0" w:color="auto"/>
        <w:right w:val="none" w:sz="0" w:space="0" w:color="auto"/>
      </w:divBdr>
    </w:div>
    <w:div w:id="1548567398">
      <w:bodyDiv w:val="1"/>
      <w:marLeft w:val="0"/>
      <w:marRight w:val="0"/>
      <w:marTop w:val="0"/>
      <w:marBottom w:val="0"/>
      <w:divBdr>
        <w:top w:val="none" w:sz="0" w:space="0" w:color="auto"/>
        <w:left w:val="none" w:sz="0" w:space="0" w:color="auto"/>
        <w:bottom w:val="none" w:sz="0" w:space="0" w:color="auto"/>
        <w:right w:val="none" w:sz="0" w:space="0" w:color="auto"/>
      </w:divBdr>
    </w:div>
    <w:div w:id="1548645605">
      <w:bodyDiv w:val="1"/>
      <w:marLeft w:val="0"/>
      <w:marRight w:val="0"/>
      <w:marTop w:val="0"/>
      <w:marBottom w:val="0"/>
      <w:divBdr>
        <w:top w:val="none" w:sz="0" w:space="0" w:color="auto"/>
        <w:left w:val="none" w:sz="0" w:space="0" w:color="auto"/>
        <w:bottom w:val="none" w:sz="0" w:space="0" w:color="auto"/>
        <w:right w:val="none" w:sz="0" w:space="0" w:color="auto"/>
      </w:divBdr>
    </w:div>
    <w:div w:id="1548681310">
      <w:bodyDiv w:val="1"/>
      <w:marLeft w:val="0"/>
      <w:marRight w:val="0"/>
      <w:marTop w:val="0"/>
      <w:marBottom w:val="0"/>
      <w:divBdr>
        <w:top w:val="none" w:sz="0" w:space="0" w:color="auto"/>
        <w:left w:val="none" w:sz="0" w:space="0" w:color="auto"/>
        <w:bottom w:val="none" w:sz="0" w:space="0" w:color="auto"/>
        <w:right w:val="none" w:sz="0" w:space="0" w:color="auto"/>
      </w:divBdr>
    </w:div>
    <w:div w:id="1548685425">
      <w:bodyDiv w:val="1"/>
      <w:marLeft w:val="0"/>
      <w:marRight w:val="0"/>
      <w:marTop w:val="0"/>
      <w:marBottom w:val="0"/>
      <w:divBdr>
        <w:top w:val="none" w:sz="0" w:space="0" w:color="auto"/>
        <w:left w:val="none" w:sz="0" w:space="0" w:color="auto"/>
        <w:bottom w:val="none" w:sz="0" w:space="0" w:color="auto"/>
        <w:right w:val="none" w:sz="0" w:space="0" w:color="auto"/>
      </w:divBdr>
    </w:div>
    <w:div w:id="1548689292">
      <w:bodyDiv w:val="1"/>
      <w:marLeft w:val="0"/>
      <w:marRight w:val="0"/>
      <w:marTop w:val="0"/>
      <w:marBottom w:val="0"/>
      <w:divBdr>
        <w:top w:val="none" w:sz="0" w:space="0" w:color="auto"/>
        <w:left w:val="none" w:sz="0" w:space="0" w:color="auto"/>
        <w:bottom w:val="none" w:sz="0" w:space="0" w:color="auto"/>
        <w:right w:val="none" w:sz="0" w:space="0" w:color="auto"/>
      </w:divBdr>
    </w:div>
    <w:div w:id="1548755515">
      <w:bodyDiv w:val="1"/>
      <w:marLeft w:val="0"/>
      <w:marRight w:val="0"/>
      <w:marTop w:val="0"/>
      <w:marBottom w:val="0"/>
      <w:divBdr>
        <w:top w:val="none" w:sz="0" w:space="0" w:color="auto"/>
        <w:left w:val="none" w:sz="0" w:space="0" w:color="auto"/>
        <w:bottom w:val="none" w:sz="0" w:space="0" w:color="auto"/>
        <w:right w:val="none" w:sz="0" w:space="0" w:color="auto"/>
      </w:divBdr>
    </w:div>
    <w:div w:id="1548759777">
      <w:bodyDiv w:val="1"/>
      <w:marLeft w:val="0"/>
      <w:marRight w:val="0"/>
      <w:marTop w:val="0"/>
      <w:marBottom w:val="0"/>
      <w:divBdr>
        <w:top w:val="none" w:sz="0" w:space="0" w:color="auto"/>
        <w:left w:val="none" w:sz="0" w:space="0" w:color="auto"/>
        <w:bottom w:val="none" w:sz="0" w:space="0" w:color="auto"/>
        <w:right w:val="none" w:sz="0" w:space="0" w:color="auto"/>
      </w:divBdr>
    </w:div>
    <w:div w:id="1549105468">
      <w:bodyDiv w:val="1"/>
      <w:marLeft w:val="0"/>
      <w:marRight w:val="0"/>
      <w:marTop w:val="0"/>
      <w:marBottom w:val="0"/>
      <w:divBdr>
        <w:top w:val="none" w:sz="0" w:space="0" w:color="auto"/>
        <w:left w:val="none" w:sz="0" w:space="0" w:color="auto"/>
        <w:bottom w:val="none" w:sz="0" w:space="0" w:color="auto"/>
        <w:right w:val="none" w:sz="0" w:space="0" w:color="auto"/>
      </w:divBdr>
    </w:div>
    <w:div w:id="1549141618">
      <w:bodyDiv w:val="1"/>
      <w:marLeft w:val="0"/>
      <w:marRight w:val="0"/>
      <w:marTop w:val="0"/>
      <w:marBottom w:val="0"/>
      <w:divBdr>
        <w:top w:val="none" w:sz="0" w:space="0" w:color="auto"/>
        <w:left w:val="none" w:sz="0" w:space="0" w:color="auto"/>
        <w:bottom w:val="none" w:sz="0" w:space="0" w:color="auto"/>
        <w:right w:val="none" w:sz="0" w:space="0" w:color="auto"/>
      </w:divBdr>
    </w:div>
    <w:div w:id="1549147980">
      <w:bodyDiv w:val="1"/>
      <w:marLeft w:val="0"/>
      <w:marRight w:val="0"/>
      <w:marTop w:val="0"/>
      <w:marBottom w:val="0"/>
      <w:divBdr>
        <w:top w:val="none" w:sz="0" w:space="0" w:color="auto"/>
        <w:left w:val="none" w:sz="0" w:space="0" w:color="auto"/>
        <w:bottom w:val="none" w:sz="0" w:space="0" w:color="auto"/>
        <w:right w:val="none" w:sz="0" w:space="0" w:color="auto"/>
      </w:divBdr>
    </w:div>
    <w:div w:id="1549223623">
      <w:bodyDiv w:val="1"/>
      <w:marLeft w:val="0"/>
      <w:marRight w:val="0"/>
      <w:marTop w:val="0"/>
      <w:marBottom w:val="0"/>
      <w:divBdr>
        <w:top w:val="none" w:sz="0" w:space="0" w:color="auto"/>
        <w:left w:val="none" w:sz="0" w:space="0" w:color="auto"/>
        <w:bottom w:val="none" w:sz="0" w:space="0" w:color="auto"/>
        <w:right w:val="none" w:sz="0" w:space="0" w:color="auto"/>
      </w:divBdr>
    </w:div>
    <w:div w:id="1549341879">
      <w:bodyDiv w:val="1"/>
      <w:marLeft w:val="0"/>
      <w:marRight w:val="0"/>
      <w:marTop w:val="0"/>
      <w:marBottom w:val="0"/>
      <w:divBdr>
        <w:top w:val="none" w:sz="0" w:space="0" w:color="auto"/>
        <w:left w:val="none" w:sz="0" w:space="0" w:color="auto"/>
        <w:bottom w:val="none" w:sz="0" w:space="0" w:color="auto"/>
        <w:right w:val="none" w:sz="0" w:space="0" w:color="auto"/>
      </w:divBdr>
    </w:div>
    <w:div w:id="1549413615">
      <w:bodyDiv w:val="1"/>
      <w:marLeft w:val="0"/>
      <w:marRight w:val="0"/>
      <w:marTop w:val="0"/>
      <w:marBottom w:val="0"/>
      <w:divBdr>
        <w:top w:val="none" w:sz="0" w:space="0" w:color="auto"/>
        <w:left w:val="none" w:sz="0" w:space="0" w:color="auto"/>
        <w:bottom w:val="none" w:sz="0" w:space="0" w:color="auto"/>
        <w:right w:val="none" w:sz="0" w:space="0" w:color="auto"/>
      </w:divBdr>
    </w:div>
    <w:div w:id="1549418485">
      <w:bodyDiv w:val="1"/>
      <w:marLeft w:val="0"/>
      <w:marRight w:val="0"/>
      <w:marTop w:val="0"/>
      <w:marBottom w:val="0"/>
      <w:divBdr>
        <w:top w:val="none" w:sz="0" w:space="0" w:color="auto"/>
        <w:left w:val="none" w:sz="0" w:space="0" w:color="auto"/>
        <w:bottom w:val="none" w:sz="0" w:space="0" w:color="auto"/>
        <w:right w:val="none" w:sz="0" w:space="0" w:color="auto"/>
      </w:divBdr>
    </w:div>
    <w:div w:id="1549487827">
      <w:bodyDiv w:val="1"/>
      <w:marLeft w:val="0"/>
      <w:marRight w:val="0"/>
      <w:marTop w:val="0"/>
      <w:marBottom w:val="0"/>
      <w:divBdr>
        <w:top w:val="none" w:sz="0" w:space="0" w:color="auto"/>
        <w:left w:val="none" w:sz="0" w:space="0" w:color="auto"/>
        <w:bottom w:val="none" w:sz="0" w:space="0" w:color="auto"/>
        <w:right w:val="none" w:sz="0" w:space="0" w:color="auto"/>
      </w:divBdr>
    </w:div>
    <w:div w:id="1549488271">
      <w:bodyDiv w:val="1"/>
      <w:marLeft w:val="0"/>
      <w:marRight w:val="0"/>
      <w:marTop w:val="0"/>
      <w:marBottom w:val="0"/>
      <w:divBdr>
        <w:top w:val="none" w:sz="0" w:space="0" w:color="auto"/>
        <w:left w:val="none" w:sz="0" w:space="0" w:color="auto"/>
        <w:bottom w:val="none" w:sz="0" w:space="0" w:color="auto"/>
        <w:right w:val="none" w:sz="0" w:space="0" w:color="auto"/>
      </w:divBdr>
    </w:div>
    <w:div w:id="1549490350">
      <w:bodyDiv w:val="1"/>
      <w:marLeft w:val="0"/>
      <w:marRight w:val="0"/>
      <w:marTop w:val="0"/>
      <w:marBottom w:val="0"/>
      <w:divBdr>
        <w:top w:val="none" w:sz="0" w:space="0" w:color="auto"/>
        <w:left w:val="none" w:sz="0" w:space="0" w:color="auto"/>
        <w:bottom w:val="none" w:sz="0" w:space="0" w:color="auto"/>
        <w:right w:val="none" w:sz="0" w:space="0" w:color="auto"/>
      </w:divBdr>
    </w:div>
    <w:div w:id="1549562427">
      <w:bodyDiv w:val="1"/>
      <w:marLeft w:val="0"/>
      <w:marRight w:val="0"/>
      <w:marTop w:val="0"/>
      <w:marBottom w:val="0"/>
      <w:divBdr>
        <w:top w:val="none" w:sz="0" w:space="0" w:color="auto"/>
        <w:left w:val="none" w:sz="0" w:space="0" w:color="auto"/>
        <w:bottom w:val="none" w:sz="0" w:space="0" w:color="auto"/>
        <w:right w:val="none" w:sz="0" w:space="0" w:color="auto"/>
      </w:divBdr>
    </w:div>
    <w:div w:id="1549563388">
      <w:bodyDiv w:val="1"/>
      <w:marLeft w:val="0"/>
      <w:marRight w:val="0"/>
      <w:marTop w:val="0"/>
      <w:marBottom w:val="0"/>
      <w:divBdr>
        <w:top w:val="none" w:sz="0" w:space="0" w:color="auto"/>
        <w:left w:val="none" w:sz="0" w:space="0" w:color="auto"/>
        <w:bottom w:val="none" w:sz="0" w:space="0" w:color="auto"/>
        <w:right w:val="none" w:sz="0" w:space="0" w:color="auto"/>
      </w:divBdr>
    </w:div>
    <w:div w:id="1549605857">
      <w:bodyDiv w:val="1"/>
      <w:marLeft w:val="0"/>
      <w:marRight w:val="0"/>
      <w:marTop w:val="0"/>
      <w:marBottom w:val="0"/>
      <w:divBdr>
        <w:top w:val="none" w:sz="0" w:space="0" w:color="auto"/>
        <w:left w:val="none" w:sz="0" w:space="0" w:color="auto"/>
        <w:bottom w:val="none" w:sz="0" w:space="0" w:color="auto"/>
        <w:right w:val="none" w:sz="0" w:space="0" w:color="auto"/>
      </w:divBdr>
    </w:div>
    <w:div w:id="1549608815">
      <w:bodyDiv w:val="1"/>
      <w:marLeft w:val="0"/>
      <w:marRight w:val="0"/>
      <w:marTop w:val="0"/>
      <w:marBottom w:val="0"/>
      <w:divBdr>
        <w:top w:val="none" w:sz="0" w:space="0" w:color="auto"/>
        <w:left w:val="none" w:sz="0" w:space="0" w:color="auto"/>
        <w:bottom w:val="none" w:sz="0" w:space="0" w:color="auto"/>
        <w:right w:val="none" w:sz="0" w:space="0" w:color="auto"/>
      </w:divBdr>
    </w:div>
    <w:div w:id="1549684964">
      <w:bodyDiv w:val="1"/>
      <w:marLeft w:val="0"/>
      <w:marRight w:val="0"/>
      <w:marTop w:val="0"/>
      <w:marBottom w:val="0"/>
      <w:divBdr>
        <w:top w:val="none" w:sz="0" w:space="0" w:color="auto"/>
        <w:left w:val="none" w:sz="0" w:space="0" w:color="auto"/>
        <w:bottom w:val="none" w:sz="0" w:space="0" w:color="auto"/>
        <w:right w:val="none" w:sz="0" w:space="0" w:color="auto"/>
      </w:divBdr>
    </w:div>
    <w:div w:id="1549754952">
      <w:bodyDiv w:val="1"/>
      <w:marLeft w:val="0"/>
      <w:marRight w:val="0"/>
      <w:marTop w:val="0"/>
      <w:marBottom w:val="0"/>
      <w:divBdr>
        <w:top w:val="none" w:sz="0" w:space="0" w:color="auto"/>
        <w:left w:val="none" w:sz="0" w:space="0" w:color="auto"/>
        <w:bottom w:val="none" w:sz="0" w:space="0" w:color="auto"/>
        <w:right w:val="none" w:sz="0" w:space="0" w:color="auto"/>
      </w:divBdr>
    </w:div>
    <w:div w:id="1549757421">
      <w:bodyDiv w:val="1"/>
      <w:marLeft w:val="0"/>
      <w:marRight w:val="0"/>
      <w:marTop w:val="0"/>
      <w:marBottom w:val="0"/>
      <w:divBdr>
        <w:top w:val="none" w:sz="0" w:space="0" w:color="auto"/>
        <w:left w:val="none" w:sz="0" w:space="0" w:color="auto"/>
        <w:bottom w:val="none" w:sz="0" w:space="0" w:color="auto"/>
        <w:right w:val="none" w:sz="0" w:space="0" w:color="auto"/>
      </w:divBdr>
    </w:div>
    <w:div w:id="1549801911">
      <w:bodyDiv w:val="1"/>
      <w:marLeft w:val="0"/>
      <w:marRight w:val="0"/>
      <w:marTop w:val="0"/>
      <w:marBottom w:val="0"/>
      <w:divBdr>
        <w:top w:val="none" w:sz="0" w:space="0" w:color="auto"/>
        <w:left w:val="none" w:sz="0" w:space="0" w:color="auto"/>
        <w:bottom w:val="none" w:sz="0" w:space="0" w:color="auto"/>
        <w:right w:val="none" w:sz="0" w:space="0" w:color="auto"/>
      </w:divBdr>
    </w:div>
    <w:div w:id="1549802602">
      <w:bodyDiv w:val="1"/>
      <w:marLeft w:val="0"/>
      <w:marRight w:val="0"/>
      <w:marTop w:val="0"/>
      <w:marBottom w:val="0"/>
      <w:divBdr>
        <w:top w:val="none" w:sz="0" w:space="0" w:color="auto"/>
        <w:left w:val="none" w:sz="0" w:space="0" w:color="auto"/>
        <w:bottom w:val="none" w:sz="0" w:space="0" w:color="auto"/>
        <w:right w:val="none" w:sz="0" w:space="0" w:color="auto"/>
      </w:divBdr>
    </w:div>
    <w:div w:id="1549880935">
      <w:bodyDiv w:val="1"/>
      <w:marLeft w:val="0"/>
      <w:marRight w:val="0"/>
      <w:marTop w:val="0"/>
      <w:marBottom w:val="0"/>
      <w:divBdr>
        <w:top w:val="none" w:sz="0" w:space="0" w:color="auto"/>
        <w:left w:val="none" w:sz="0" w:space="0" w:color="auto"/>
        <w:bottom w:val="none" w:sz="0" w:space="0" w:color="auto"/>
        <w:right w:val="none" w:sz="0" w:space="0" w:color="auto"/>
      </w:divBdr>
    </w:div>
    <w:div w:id="1549953524">
      <w:bodyDiv w:val="1"/>
      <w:marLeft w:val="0"/>
      <w:marRight w:val="0"/>
      <w:marTop w:val="0"/>
      <w:marBottom w:val="0"/>
      <w:divBdr>
        <w:top w:val="none" w:sz="0" w:space="0" w:color="auto"/>
        <w:left w:val="none" w:sz="0" w:space="0" w:color="auto"/>
        <w:bottom w:val="none" w:sz="0" w:space="0" w:color="auto"/>
        <w:right w:val="none" w:sz="0" w:space="0" w:color="auto"/>
      </w:divBdr>
    </w:div>
    <w:div w:id="1550067671">
      <w:bodyDiv w:val="1"/>
      <w:marLeft w:val="0"/>
      <w:marRight w:val="0"/>
      <w:marTop w:val="0"/>
      <w:marBottom w:val="0"/>
      <w:divBdr>
        <w:top w:val="none" w:sz="0" w:space="0" w:color="auto"/>
        <w:left w:val="none" w:sz="0" w:space="0" w:color="auto"/>
        <w:bottom w:val="none" w:sz="0" w:space="0" w:color="auto"/>
        <w:right w:val="none" w:sz="0" w:space="0" w:color="auto"/>
      </w:divBdr>
    </w:div>
    <w:div w:id="1550143064">
      <w:bodyDiv w:val="1"/>
      <w:marLeft w:val="0"/>
      <w:marRight w:val="0"/>
      <w:marTop w:val="0"/>
      <w:marBottom w:val="0"/>
      <w:divBdr>
        <w:top w:val="none" w:sz="0" w:space="0" w:color="auto"/>
        <w:left w:val="none" w:sz="0" w:space="0" w:color="auto"/>
        <w:bottom w:val="none" w:sz="0" w:space="0" w:color="auto"/>
        <w:right w:val="none" w:sz="0" w:space="0" w:color="auto"/>
      </w:divBdr>
    </w:div>
    <w:div w:id="1550262895">
      <w:bodyDiv w:val="1"/>
      <w:marLeft w:val="0"/>
      <w:marRight w:val="0"/>
      <w:marTop w:val="0"/>
      <w:marBottom w:val="0"/>
      <w:divBdr>
        <w:top w:val="none" w:sz="0" w:space="0" w:color="auto"/>
        <w:left w:val="none" w:sz="0" w:space="0" w:color="auto"/>
        <w:bottom w:val="none" w:sz="0" w:space="0" w:color="auto"/>
        <w:right w:val="none" w:sz="0" w:space="0" w:color="auto"/>
      </w:divBdr>
    </w:div>
    <w:div w:id="1550338796">
      <w:bodyDiv w:val="1"/>
      <w:marLeft w:val="0"/>
      <w:marRight w:val="0"/>
      <w:marTop w:val="0"/>
      <w:marBottom w:val="0"/>
      <w:divBdr>
        <w:top w:val="none" w:sz="0" w:space="0" w:color="auto"/>
        <w:left w:val="none" w:sz="0" w:space="0" w:color="auto"/>
        <w:bottom w:val="none" w:sz="0" w:space="0" w:color="auto"/>
        <w:right w:val="none" w:sz="0" w:space="0" w:color="auto"/>
      </w:divBdr>
    </w:div>
    <w:div w:id="1550385872">
      <w:bodyDiv w:val="1"/>
      <w:marLeft w:val="0"/>
      <w:marRight w:val="0"/>
      <w:marTop w:val="0"/>
      <w:marBottom w:val="0"/>
      <w:divBdr>
        <w:top w:val="none" w:sz="0" w:space="0" w:color="auto"/>
        <w:left w:val="none" w:sz="0" w:space="0" w:color="auto"/>
        <w:bottom w:val="none" w:sz="0" w:space="0" w:color="auto"/>
        <w:right w:val="none" w:sz="0" w:space="0" w:color="auto"/>
      </w:divBdr>
    </w:div>
    <w:div w:id="1550413044">
      <w:bodyDiv w:val="1"/>
      <w:marLeft w:val="0"/>
      <w:marRight w:val="0"/>
      <w:marTop w:val="0"/>
      <w:marBottom w:val="0"/>
      <w:divBdr>
        <w:top w:val="none" w:sz="0" w:space="0" w:color="auto"/>
        <w:left w:val="none" w:sz="0" w:space="0" w:color="auto"/>
        <w:bottom w:val="none" w:sz="0" w:space="0" w:color="auto"/>
        <w:right w:val="none" w:sz="0" w:space="0" w:color="auto"/>
      </w:divBdr>
    </w:div>
    <w:div w:id="1550459401">
      <w:bodyDiv w:val="1"/>
      <w:marLeft w:val="0"/>
      <w:marRight w:val="0"/>
      <w:marTop w:val="0"/>
      <w:marBottom w:val="0"/>
      <w:divBdr>
        <w:top w:val="none" w:sz="0" w:space="0" w:color="auto"/>
        <w:left w:val="none" w:sz="0" w:space="0" w:color="auto"/>
        <w:bottom w:val="none" w:sz="0" w:space="0" w:color="auto"/>
        <w:right w:val="none" w:sz="0" w:space="0" w:color="auto"/>
      </w:divBdr>
    </w:div>
    <w:div w:id="1550461613">
      <w:bodyDiv w:val="1"/>
      <w:marLeft w:val="0"/>
      <w:marRight w:val="0"/>
      <w:marTop w:val="0"/>
      <w:marBottom w:val="0"/>
      <w:divBdr>
        <w:top w:val="none" w:sz="0" w:space="0" w:color="auto"/>
        <w:left w:val="none" w:sz="0" w:space="0" w:color="auto"/>
        <w:bottom w:val="none" w:sz="0" w:space="0" w:color="auto"/>
        <w:right w:val="none" w:sz="0" w:space="0" w:color="auto"/>
      </w:divBdr>
    </w:div>
    <w:div w:id="1550461763">
      <w:bodyDiv w:val="1"/>
      <w:marLeft w:val="0"/>
      <w:marRight w:val="0"/>
      <w:marTop w:val="0"/>
      <w:marBottom w:val="0"/>
      <w:divBdr>
        <w:top w:val="none" w:sz="0" w:space="0" w:color="auto"/>
        <w:left w:val="none" w:sz="0" w:space="0" w:color="auto"/>
        <w:bottom w:val="none" w:sz="0" w:space="0" w:color="auto"/>
        <w:right w:val="none" w:sz="0" w:space="0" w:color="auto"/>
      </w:divBdr>
    </w:div>
    <w:div w:id="1550527839">
      <w:bodyDiv w:val="1"/>
      <w:marLeft w:val="0"/>
      <w:marRight w:val="0"/>
      <w:marTop w:val="0"/>
      <w:marBottom w:val="0"/>
      <w:divBdr>
        <w:top w:val="none" w:sz="0" w:space="0" w:color="auto"/>
        <w:left w:val="none" w:sz="0" w:space="0" w:color="auto"/>
        <w:bottom w:val="none" w:sz="0" w:space="0" w:color="auto"/>
        <w:right w:val="none" w:sz="0" w:space="0" w:color="auto"/>
      </w:divBdr>
    </w:div>
    <w:div w:id="1550532899">
      <w:bodyDiv w:val="1"/>
      <w:marLeft w:val="0"/>
      <w:marRight w:val="0"/>
      <w:marTop w:val="0"/>
      <w:marBottom w:val="0"/>
      <w:divBdr>
        <w:top w:val="none" w:sz="0" w:space="0" w:color="auto"/>
        <w:left w:val="none" w:sz="0" w:space="0" w:color="auto"/>
        <w:bottom w:val="none" w:sz="0" w:space="0" w:color="auto"/>
        <w:right w:val="none" w:sz="0" w:space="0" w:color="auto"/>
      </w:divBdr>
    </w:div>
    <w:div w:id="1550533230">
      <w:bodyDiv w:val="1"/>
      <w:marLeft w:val="0"/>
      <w:marRight w:val="0"/>
      <w:marTop w:val="0"/>
      <w:marBottom w:val="0"/>
      <w:divBdr>
        <w:top w:val="none" w:sz="0" w:space="0" w:color="auto"/>
        <w:left w:val="none" w:sz="0" w:space="0" w:color="auto"/>
        <w:bottom w:val="none" w:sz="0" w:space="0" w:color="auto"/>
        <w:right w:val="none" w:sz="0" w:space="0" w:color="auto"/>
      </w:divBdr>
    </w:div>
    <w:div w:id="1550609597">
      <w:bodyDiv w:val="1"/>
      <w:marLeft w:val="0"/>
      <w:marRight w:val="0"/>
      <w:marTop w:val="0"/>
      <w:marBottom w:val="0"/>
      <w:divBdr>
        <w:top w:val="none" w:sz="0" w:space="0" w:color="auto"/>
        <w:left w:val="none" w:sz="0" w:space="0" w:color="auto"/>
        <w:bottom w:val="none" w:sz="0" w:space="0" w:color="auto"/>
        <w:right w:val="none" w:sz="0" w:space="0" w:color="auto"/>
      </w:divBdr>
    </w:div>
    <w:div w:id="1550651079">
      <w:bodyDiv w:val="1"/>
      <w:marLeft w:val="0"/>
      <w:marRight w:val="0"/>
      <w:marTop w:val="0"/>
      <w:marBottom w:val="0"/>
      <w:divBdr>
        <w:top w:val="none" w:sz="0" w:space="0" w:color="auto"/>
        <w:left w:val="none" w:sz="0" w:space="0" w:color="auto"/>
        <w:bottom w:val="none" w:sz="0" w:space="0" w:color="auto"/>
        <w:right w:val="none" w:sz="0" w:space="0" w:color="auto"/>
      </w:divBdr>
    </w:div>
    <w:div w:id="1550653055">
      <w:bodyDiv w:val="1"/>
      <w:marLeft w:val="0"/>
      <w:marRight w:val="0"/>
      <w:marTop w:val="0"/>
      <w:marBottom w:val="0"/>
      <w:divBdr>
        <w:top w:val="none" w:sz="0" w:space="0" w:color="auto"/>
        <w:left w:val="none" w:sz="0" w:space="0" w:color="auto"/>
        <w:bottom w:val="none" w:sz="0" w:space="0" w:color="auto"/>
        <w:right w:val="none" w:sz="0" w:space="0" w:color="auto"/>
      </w:divBdr>
    </w:div>
    <w:div w:id="1550725837">
      <w:bodyDiv w:val="1"/>
      <w:marLeft w:val="0"/>
      <w:marRight w:val="0"/>
      <w:marTop w:val="0"/>
      <w:marBottom w:val="0"/>
      <w:divBdr>
        <w:top w:val="none" w:sz="0" w:space="0" w:color="auto"/>
        <w:left w:val="none" w:sz="0" w:space="0" w:color="auto"/>
        <w:bottom w:val="none" w:sz="0" w:space="0" w:color="auto"/>
        <w:right w:val="none" w:sz="0" w:space="0" w:color="auto"/>
      </w:divBdr>
    </w:div>
    <w:div w:id="1550729477">
      <w:bodyDiv w:val="1"/>
      <w:marLeft w:val="0"/>
      <w:marRight w:val="0"/>
      <w:marTop w:val="0"/>
      <w:marBottom w:val="0"/>
      <w:divBdr>
        <w:top w:val="none" w:sz="0" w:space="0" w:color="auto"/>
        <w:left w:val="none" w:sz="0" w:space="0" w:color="auto"/>
        <w:bottom w:val="none" w:sz="0" w:space="0" w:color="auto"/>
        <w:right w:val="none" w:sz="0" w:space="0" w:color="auto"/>
      </w:divBdr>
    </w:div>
    <w:div w:id="1550876158">
      <w:bodyDiv w:val="1"/>
      <w:marLeft w:val="0"/>
      <w:marRight w:val="0"/>
      <w:marTop w:val="0"/>
      <w:marBottom w:val="0"/>
      <w:divBdr>
        <w:top w:val="none" w:sz="0" w:space="0" w:color="auto"/>
        <w:left w:val="none" w:sz="0" w:space="0" w:color="auto"/>
        <w:bottom w:val="none" w:sz="0" w:space="0" w:color="auto"/>
        <w:right w:val="none" w:sz="0" w:space="0" w:color="auto"/>
      </w:divBdr>
    </w:div>
    <w:div w:id="1550995558">
      <w:bodyDiv w:val="1"/>
      <w:marLeft w:val="0"/>
      <w:marRight w:val="0"/>
      <w:marTop w:val="0"/>
      <w:marBottom w:val="0"/>
      <w:divBdr>
        <w:top w:val="none" w:sz="0" w:space="0" w:color="auto"/>
        <w:left w:val="none" w:sz="0" w:space="0" w:color="auto"/>
        <w:bottom w:val="none" w:sz="0" w:space="0" w:color="auto"/>
        <w:right w:val="none" w:sz="0" w:space="0" w:color="auto"/>
      </w:divBdr>
    </w:div>
    <w:div w:id="1551066118">
      <w:bodyDiv w:val="1"/>
      <w:marLeft w:val="0"/>
      <w:marRight w:val="0"/>
      <w:marTop w:val="0"/>
      <w:marBottom w:val="0"/>
      <w:divBdr>
        <w:top w:val="none" w:sz="0" w:space="0" w:color="auto"/>
        <w:left w:val="none" w:sz="0" w:space="0" w:color="auto"/>
        <w:bottom w:val="none" w:sz="0" w:space="0" w:color="auto"/>
        <w:right w:val="none" w:sz="0" w:space="0" w:color="auto"/>
      </w:divBdr>
    </w:div>
    <w:div w:id="1551070123">
      <w:bodyDiv w:val="1"/>
      <w:marLeft w:val="0"/>
      <w:marRight w:val="0"/>
      <w:marTop w:val="0"/>
      <w:marBottom w:val="0"/>
      <w:divBdr>
        <w:top w:val="none" w:sz="0" w:space="0" w:color="auto"/>
        <w:left w:val="none" w:sz="0" w:space="0" w:color="auto"/>
        <w:bottom w:val="none" w:sz="0" w:space="0" w:color="auto"/>
        <w:right w:val="none" w:sz="0" w:space="0" w:color="auto"/>
      </w:divBdr>
    </w:div>
    <w:div w:id="1551071300">
      <w:bodyDiv w:val="1"/>
      <w:marLeft w:val="0"/>
      <w:marRight w:val="0"/>
      <w:marTop w:val="0"/>
      <w:marBottom w:val="0"/>
      <w:divBdr>
        <w:top w:val="none" w:sz="0" w:space="0" w:color="auto"/>
        <w:left w:val="none" w:sz="0" w:space="0" w:color="auto"/>
        <w:bottom w:val="none" w:sz="0" w:space="0" w:color="auto"/>
        <w:right w:val="none" w:sz="0" w:space="0" w:color="auto"/>
      </w:divBdr>
    </w:div>
    <w:div w:id="1551116990">
      <w:bodyDiv w:val="1"/>
      <w:marLeft w:val="0"/>
      <w:marRight w:val="0"/>
      <w:marTop w:val="0"/>
      <w:marBottom w:val="0"/>
      <w:divBdr>
        <w:top w:val="none" w:sz="0" w:space="0" w:color="auto"/>
        <w:left w:val="none" w:sz="0" w:space="0" w:color="auto"/>
        <w:bottom w:val="none" w:sz="0" w:space="0" w:color="auto"/>
        <w:right w:val="none" w:sz="0" w:space="0" w:color="auto"/>
      </w:divBdr>
    </w:div>
    <w:div w:id="1551188742">
      <w:bodyDiv w:val="1"/>
      <w:marLeft w:val="0"/>
      <w:marRight w:val="0"/>
      <w:marTop w:val="0"/>
      <w:marBottom w:val="0"/>
      <w:divBdr>
        <w:top w:val="none" w:sz="0" w:space="0" w:color="auto"/>
        <w:left w:val="none" w:sz="0" w:space="0" w:color="auto"/>
        <w:bottom w:val="none" w:sz="0" w:space="0" w:color="auto"/>
        <w:right w:val="none" w:sz="0" w:space="0" w:color="auto"/>
      </w:divBdr>
    </w:div>
    <w:div w:id="1551259732">
      <w:bodyDiv w:val="1"/>
      <w:marLeft w:val="0"/>
      <w:marRight w:val="0"/>
      <w:marTop w:val="0"/>
      <w:marBottom w:val="0"/>
      <w:divBdr>
        <w:top w:val="none" w:sz="0" w:space="0" w:color="auto"/>
        <w:left w:val="none" w:sz="0" w:space="0" w:color="auto"/>
        <w:bottom w:val="none" w:sz="0" w:space="0" w:color="auto"/>
        <w:right w:val="none" w:sz="0" w:space="0" w:color="auto"/>
      </w:divBdr>
    </w:div>
    <w:div w:id="1551261339">
      <w:bodyDiv w:val="1"/>
      <w:marLeft w:val="0"/>
      <w:marRight w:val="0"/>
      <w:marTop w:val="0"/>
      <w:marBottom w:val="0"/>
      <w:divBdr>
        <w:top w:val="none" w:sz="0" w:space="0" w:color="auto"/>
        <w:left w:val="none" w:sz="0" w:space="0" w:color="auto"/>
        <w:bottom w:val="none" w:sz="0" w:space="0" w:color="auto"/>
        <w:right w:val="none" w:sz="0" w:space="0" w:color="auto"/>
      </w:divBdr>
    </w:div>
    <w:div w:id="1551261497">
      <w:bodyDiv w:val="1"/>
      <w:marLeft w:val="0"/>
      <w:marRight w:val="0"/>
      <w:marTop w:val="0"/>
      <w:marBottom w:val="0"/>
      <w:divBdr>
        <w:top w:val="none" w:sz="0" w:space="0" w:color="auto"/>
        <w:left w:val="none" w:sz="0" w:space="0" w:color="auto"/>
        <w:bottom w:val="none" w:sz="0" w:space="0" w:color="auto"/>
        <w:right w:val="none" w:sz="0" w:space="0" w:color="auto"/>
      </w:divBdr>
    </w:div>
    <w:div w:id="1551304426">
      <w:bodyDiv w:val="1"/>
      <w:marLeft w:val="0"/>
      <w:marRight w:val="0"/>
      <w:marTop w:val="0"/>
      <w:marBottom w:val="0"/>
      <w:divBdr>
        <w:top w:val="none" w:sz="0" w:space="0" w:color="auto"/>
        <w:left w:val="none" w:sz="0" w:space="0" w:color="auto"/>
        <w:bottom w:val="none" w:sz="0" w:space="0" w:color="auto"/>
        <w:right w:val="none" w:sz="0" w:space="0" w:color="auto"/>
      </w:divBdr>
    </w:div>
    <w:div w:id="1551529751">
      <w:bodyDiv w:val="1"/>
      <w:marLeft w:val="0"/>
      <w:marRight w:val="0"/>
      <w:marTop w:val="0"/>
      <w:marBottom w:val="0"/>
      <w:divBdr>
        <w:top w:val="none" w:sz="0" w:space="0" w:color="auto"/>
        <w:left w:val="none" w:sz="0" w:space="0" w:color="auto"/>
        <w:bottom w:val="none" w:sz="0" w:space="0" w:color="auto"/>
        <w:right w:val="none" w:sz="0" w:space="0" w:color="auto"/>
      </w:divBdr>
    </w:div>
    <w:div w:id="1551569984">
      <w:bodyDiv w:val="1"/>
      <w:marLeft w:val="0"/>
      <w:marRight w:val="0"/>
      <w:marTop w:val="0"/>
      <w:marBottom w:val="0"/>
      <w:divBdr>
        <w:top w:val="none" w:sz="0" w:space="0" w:color="auto"/>
        <w:left w:val="none" w:sz="0" w:space="0" w:color="auto"/>
        <w:bottom w:val="none" w:sz="0" w:space="0" w:color="auto"/>
        <w:right w:val="none" w:sz="0" w:space="0" w:color="auto"/>
      </w:divBdr>
    </w:div>
    <w:div w:id="1551645638">
      <w:bodyDiv w:val="1"/>
      <w:marLeft w:val="0"/>
      <w:marRight w:val="0"/>
      <w:marTop w:val="0"/>
      <w:marBottom w:val="0"/>
      <w:divBdr>
        <w:top w:val="none" w:sz="0" w:space="0" w:color="auto"/>
        <w:left w:val="none" w:sz="0" w:space="0" w:color="auto"/>
        <w:bottom w:val="none" w:sz="0" w:space="0" w:color="auto"/>
        <w:right w:val="none" w:sz="0" w:space="0" w:color="auto"/>
      </w:divBdr>
    </w:div>
    <w:div w:id="1551842777">
      <w:bodyDiv w:val="1"/>
      <w:marLeft w:val="0"/>
      <w:marRight w:val="0"/>
      <w:marTop w:val="0"/>
      <w:marBottom w:val="0"/>
      <w:divBdr>
        <w:top w:val="none" w:sz="0" w:space="0" w:color="auto"/>
        <w:left w:val="none" w:sz="0" w:space="0" w:color="auto"/>
        <w:bottom w:val="none" w:sz="0" w:space="0" w:color="auto"/>
        <w:right w:val="none" w:sz="0" w:space="0" w:color="auto"/>
      </w:divBdr>
    </w:div>
    <w:div w:id="1551914999">
      <w:bodyDiv w:val="1"/>
      <w:marLeft w:val="0"/>
      <w:marRight w:val="0"/>
      <w:marTop w:val="0"/>
      <w:marBottom w:val="0"/>
      <w:divBdr>
        <w:top w:val="none" w:sz="0" w:space="0" w:color="auto"/>
        <w:left w:val="none" w:sz="0" w:space="0" w:color="auto"/>
        <w:bottom w:val="none" w:sz="0" w:space="0" w:color="auto"/>
        <w:right w:val="none" w:sz="0" w:space="0" w:color="auto"/>
      </w:divBdr>
    </w:div>
    <w:div w:id="1551961952">
      <w:bodyDiv w:val="1"/>
      <w:marLeft w:val="0"/>
      <w:marRight w:val="0"/>
      <w:marTop w:val="0"/>
      <w:marBottom w:val="0"/>
      <w:divBdr>
        <w:top w:val="none" w:sz="0" w:space="0" w:color="auto"/>
        <w:left w:val="none" w:sz="0" w:space="0" w:color="auto"/>
        <w:bottom w:val="none" w:sz="0" w:space="0" w:color="auto"/>
        <w:right w:val="none" w:sz="0" w:space="0" w:color="auto"/>
      </w:divBdr>
    </w:div>
    <w:div w:id="1551988713">
      <w:bodyDiv w:val="1"/>
      <w:marLeft w:val="0"/>
      <w:marRight w:val="0"/>
      <w:marTop w:val="0"/>
      <w:marBottom w:val="0"/>
      <w:divBdr>
        <w:top w:val="none" w:sz="0" w:space="0" w:color="auto"/>
        <w:left w:val="none" w:sz="0" w:space="0" w:color="auto"/>
        <w:bottom w:val="none" w:sz="0" w:space="0" w:color="auto"/>
        <w:right w:val="none" w:sz="0" w:space="0" w:color="auto"/>
      </w:divBdr>
    </w:div>
    <w:div w:id="1552185249">
      <w:bodyDiv w:val="1"/>
      <w:marLeft w:val="0"/>
      <w:marRight w:val="0"/>
      <w:marTop w:val="0"/>
      <w:marBottom w:val="0"/>
      <w:divBdr>
        <w:top w:val="none" w:sz="0" w:space="0" w:color="auto"/>
        <w:left w:val="none" w:sz="0" w:space="0" w:color="auto"/>
        <w:bottom w:val="none" w:sz="0" w:space="0" w:color="auto"/>
        <w:right w:val="none" w:sz="0" w:space="0" w:color="auto"/>
      </w:divBdr>
    </w:div>
    <w:div w:id="1552230007">
      <w:bodyDiv w:val="1"/>
      <w:marLeft w:val="0"/>
      <w:marRight w:val="0"/>
      <w:marTop w:val="0"/>
      <w:marBottom w:val="0"/>
      <w:divBdr>
        <w:top w:val="none" w:sz="0" w:space="0" w:color="auto"/>
        <w:left w:val="none" w:sz="0" w:space="0" w:color="auto"/>
        <w:bottom w:val="none" w:sz="0" w:space="0" w:color="auto"/>
        <w:right w:val="none" w:sz="0" w:space="0" w:color="auto"/>
      </w:divBdr>
    </w:div>
    <w:div w:id="1552305490">
      <w:bodyDiv w:val="1"/>
      <w:marLeft w:val="0"/>
      <w:marRight w:val="0"/>
      <w:marTop w:val="0"/>
      <w:marBottom w:val="0"/>
      <w:divBdr>
        <w:top w:val="none" w:sz="0" w:space="0" w:color="auto"/>
        <w:left w:val="none" w:sz="0" w:space="0" w:color="auto"/>
        <w:bottom w:val="none" w:sz="0" w:space="0" w:color="auto"/>
        <w:right w:val="none" w:sz="0" w:space="0" w:color="auto"/>
      </w:divBdr>
    </w:div>
    <w:div w:id="1552379487">
      <w:bodyDiv w:val="1"/>
      <w:marLeft w:val="0"/>
      <w:marRight w:val="0"/>
      <w:marTop w:val="0"/>
      <w:marBottom w:val="0"/>
      <w:divBdr>
        <w:top w:val="none" w:sz="0" w:space="0" w:color="auto"/>
        <w:left w:val="none" w:sz="0" w:space="0" w:color="auto"/>
        <w:bottom w:val="none" w:sz="0" w:space="0" w:color="auto"/>
        <w:right w:val="none" w:sz="0" w:space="0" w:color="auto"/>
      </w:divBdr>
    </w:div>
    <w:div w:id="1552418141">
      <w:bodyDiv w:val="1"/>
      <w:marLeft w:val="0"/>
      <w:marRight w:val="0"/>
      <w:marTop w:val="0"/>
      <w:marBottom w:val="0"/>
      <w:divBdr>
        <w:top w:val="none" w:sz="0" w:space="0" w:color="auto"/>
        <w:left w:val="none" w:sz="0" w:space="0" w:color="auto"/>
        <w:bottom w:val="none" w:sz="0" w:space="0" w:color="auto"/>
        <w:right w:val="none" w:sz="0" w:space="0" w:color="auto"/>
      </w:divBdr>
    </w:div>
    <w:div w:id="1552419632">
      <w:bodyDiv w:val="1"/>
      <w:marLeft w:val="0"/>
      <w:marRight w:val="0"/>
      <w:marTop w:val="0"/>
      <w:marBottom w:val="0"/>
      <w:divBdr>
        <w:top w:val="none" w:sz="0" w:space="0" w:color="auto"/>
        <w:left w:val="none" w:sz="0" w:space="0" w:color="auto"/>
        <w:bottom w:val="none" w:sz="0" w:space="0" w:color="auto"/>
        <w:right w:val="none" w:sz="0" w:space="0" w:color="auto"/>
      </w:divBdr>
    </w:div>
    <w:div w:id="1552619178">
      <w:bodyDiv w:val="1"/>
      <w:marLeft w:val="0"/>
      <w:marRight w:val="0"/>
      <w:marTop w:val="0"/>
      <w:marBottom w:val="0"/>
      <w:divBdr>
        <w:top w:val="none" w:sz="0" w:space="0" w:color="auto"/>
        <w:left w:val="none" w:sz="0" w:space="0" w:color="auto"/>
        <w:bottom w:val="none" w:sz="0" w:space="0" w:color="auto"/>
        <w:right w:val="none" w:sz="0" w:space="0" w:color="auto"/>
      </w:divBdr>
    </w:div>
    <w:div w:id="1552620089">
      <w:bodyDiv w:val="1"/>
      <w:marLeft w:val="0"/>
      <w:marRight w:val="0"/>
      <w:marTop w:val="0"/>
      <w:marBottom w:val="0"/>
      <w:divBdr>
        <w:top w:val="none" w:sz="0" w:space="0" w:color="auto"/>
        <w:left w:val="none" w:sz="0" w:space="0" w:color="auto"/>
        <w:bottom w:val="none" w:sz="0" w:space="0" w:color="auto"/>
        <w:right w:val="none" w:sz="0" w:space="0" w:color="auto"/>
      </w:divBdr>
    </w:div>
    <w:div w:id="1552690847">
      <w:bodyDiv w:val="1"/>
      <w:marLeft w:val="0"/>
      <w:marRight w:val="0"/>
      <w:marTop w:val="0"/>
      <w:marBottom w:val="0"/>
      <w:divBdr>
        <w:top w:val="none" w:sz="0" w:space="0" w:color="auto"/>
        <w:left w:val="none" w:sz="0" w:space="0" w:color="auto"/>
        <w:bottom w:val="none" w:sz="0" w:space="0" w:color="auto"/>
        <w:right w:val="none" w:sz="0" w:space="0" w:color="auto"/>
      </w:divBdr>
    </w:div>
    <w:div w:id="1552692659">
      <w:bodyDiv w:val="1"/>
      <w:marLeft w:val="0"/>
      <w:marRight w:val="0"/>
      <w:marTop w:val="0"/>
      <w:marBottom w:val="0"/>
      <w:divBdr>
        <w:top w:val="none" w:sz="0" w:space="0" w:color="auto"/>
        <w:left w:val="none" w:sz="0" w:space="0" w:color="auto"/>
        <w:bottom w:val="none" w:sz="0" w:space="0" w:color="auto"/>
        <w:right w:val="none" w:sz="0" w:space="0" w:color="auto"/>
      </w:divBdr>
    </w:div>
    <w:div w:id="1552767177">
      <w:bodyDiv w:val="1"/>
      <w:marLeft w:val="0"/>
      <w:marRight w:val="0"/>
      <w:marTop w:val="0"/>
      <w:marBottom w:val="0"/>
      <w:divBdr>
        <w:top w:val="none" w:sz="0" w:space="0" w:color="auto"/>
        <w:left w:val="none" w:sz="0" w:space="0" w:color="auto"/>
        <w:bottom w:val="none" w:sz="0" w:space="0" w:color="auto"/>
        <w:right w:val="none" w:sz="0" w:space="0" w:color="auto"/>
      </w:divBdr>
    </w:div>
    <w:div w:id="1552956747">
      <w:bodyDiv w:val="1"/>
      <w:marLeft w:val="0"/>
      <w:marRight w:val="0"/>
      <w:marTop w:val="0"/>
      <w:marBottom w:val="0"/>
      <w:divBdr>
        <w:top w:val="none" w:sz="0" w:space="0" w:color="auto"/>
        <w:left w:val="none" w:sz="0" w:space="0" w:color="auto"/>
        <w:bottom w:val="none" w:sz="0" w:space="0" w:color="auto"/>
        <w:right w:val="none" w:sz="0" w:space="0" w:color="auto"/>
      </w:divBdr>
    </w:div>
    <w:div w:id="1552958692">
      <w:bodyDiv w:val="1"/>
      <w:marLeft w:val="0"/>
      <w:marRight w:val="0"/>
      <w:marTop w:val="0"/>
      <w:marBottom w:val="0"/>
      <w:divBdr>
        <w:top w:val="none" w:sz="0" w:space="0" w:color="auto"/>
        <w:left w:val="none" w:sz="0" w:space="0" w:color="auto"/>
        <w:bottom w:val="none" w:sz="0" w:space="0" w:color="auto"/>
        <w:right w:val="none" w:sz="0" w:space="0" w:color="auto"/>
      </w:divBdr>
    </w:div>
    <w:div w:id="1553031996">
      <w:bodyDiv w:val="1"/>
      <w:marLeft w:val="0"/>
      <w:marRight w:val="0"/>
      <w:marTop w:val="0"/>
      <w:marBottom w:val="0"/>
      <w:divBdr>
        <w:top w:val="none" w:sz="0" w:space="0" w:color="auto"/>
        <w:left w:val="none" w:sz="0" w:space="0" w:color="auto"/>
        <w:bottom w:val="none" w:sz="0" w:space="0" w:color="auto"/>
        <w:right w:val="none" w:sz="0" w:space="0" w:color="auto"/>
      </w:divBdr>
    </w:div>
    <w:div w:id="1553078377">
      <w:bodyDiv w:val="1"/>
      <w:marLeft w:val="0"/>
      <w:marRight w:val="0"/>
      <w:marTop w:val="0"/>
      <w:marBottom w:val="0"/>
      <w:divBdr>
        <w:top w:val="none" w:sz="0" w:space="0" w:color="auto"/>
        <w:left w:val="none" w:sz="0" w:space="0" w:color="auto"/>
        <w:bottom w:val="none" w:sz="0" w:space="0" w:color="auto"/>
        <w:right w:val="none" w:sz="0" w:space="0" w:color="auto"/>
      </w:divBdr>
    </w:div>
    <w:div w:id="1553081459">
      <w:bodyDiv w:val="1"/>
      <w:marLeft w:val="0"/>
      <w:marRight w:val="0"/>
      <w:marTop w:val="0"/>
      <w:marBottom w:val="0"/>
      <w:divBdr>
        <w:top w:val="none" w:sz="0" w:space="0" w:color="auto"/>
        <w:left w:val="none" w:sz="0" w:space="0" w:color="auto"/>
        <w:bottom w:val="none" w:sz="0" w:space="0" w:color="auto"/>
        <w:right w:val="none" w:sz="0" w:space="0" w:color="auto"/>
      </w:divBdr>
    </w:div>
    <w:div w:id="1553149763">
      <w:bodyDiv w:val="1"/>
      <w:marLeft w:val="0"/>
      <w:marRight w:val="0"/>
      <w:marTop w:val="0"/>
      <w:marBottom w:val="0"/>
      <w:divBdr>
        <w:top w:val="none" w:sz="0" w:space="0" w:color="auto"/>
        <w:left w:val="none" w:sz="0" w:space="0" w:color="auto"/>
        <w:bottom w:val="none" w:sz="0" w:space="0" w:color="auto"/>
        <w:right w:val="none" w:sz="0" w:space="0" w:color="auto"/>
      </w:divBdr>
    </w:div>
    <w:div w:id="1553151432">
      <w:bodyDiv w:val="1"/>
      <w:marLeft w:val="0"/>
      <w:marRight w:val="0"/>
      <w:marTop w:val="0"/>
      <w:marBottom w:val="0"/>
      <w:divBdr>
        <w:top w:val="none" w:sz="0" w:space="0" w:color="auto"/>
        <w:left w:val="none" w:sz="0" w:space="0" w:color="auto"/>
        <w:bottom w:val="none" w:sz="0" w:space="0" w:color="auto"/>
        <w:right w:val="none" w:sz="0" w:space="0" w:color="auto"/>
      </w:divBdr>
    </w:div>
    <w:div w:id="1553225899">
      <w:bodyDiv w:val="1"/>
      <w:marLeft w:val="0"/>
      <w:marRight w:val="0"/>
      <w:marTop w:val="0"/>
      <w:marBottom w:val="0"/>
      <w:divBdr>
        <w:top w:val="none" w:sz="0" w:space="0" w:color="auto"/>
        <w:left w:val="none" w:sz="0" w:space="0" w:color="auto"/>
        <w:bottom w:val="none" w:sz="0" w:space="0" w:color="auto"/>
        <w:right w:val="none" w:sz="0" w:space="0" w:color="auto"/>
      </w:divBdr>
    </w:div>
    <w:div w:id="1553269434">
      <w:bodyDiv w:val="1"/>
      <w:marLeft w:val="0"/>
      <w:marRight w:val="0"/>
      <w:marTop w:val="0"/>
      <w:marBottom w:val="0"/>
      <w:divBdr>
        <w:top w:val="none" w:sz="0" w:space="0" w:color="auto"/>
        <w:left w:val="none" w:sz="0" w:space="0" w:color="auto"/>
        <w:bottom w:val="none" w:sz="0" w:space="0" w:color="auto"/>
        <w:right w:val="none" w:sz="0" w:space="0" w:color="auto"/>
      </w:divBdr>
    </w:div>
    <w:div w:id="1553346760">
      <w:bodyDiv w:val="1"/>
      <w:marLeft w:val="0"/>
      <w:marRight w:val="0"/>
      <w:marTop w:val="0"/>
      <w:marBottom w:val="0"/>
      <w:divBdr>
        <w:top w:val="none" w:sz="0" w:space="0" w:color="auto"/>
        <w:left w:val="none" w:sz="0" w:space="0" w:color="auto"/>
        <w:bottom w:val="none" w:sz="0" w:space="0" w:color="auto"/>
        <w:right w:val="none" w:sz="0" w:space="0" w:color="auto"/>
      </w:divBdr>
    </w:div>
    <w:div w:id="1553421316">
      <w:bodyDiv w:val="1"/>
      <w:marLeft w:val="0"/>
      <w:marRight w:val="0"/>
      <w:marTop w:val="0"/>
      <w:marBottom w:val="0"/>
      <w:divBdr>
        <w:top w:val="none" w:sz="0" w:space="0" w:color="auto"/>
        <w:left w:val="none" w:sz="0" w:space="0" w:color="auto"/>
        <w:bottom w:val="none" w:sz="0" w:space="0" w:color="auto"/>
        <w:right w:val="none" w:sz="0" w:space="0" w:color="auto"/>
      </w:divBdr>
    </w:div>
    <w:div w:id="1553468217">
      <w:bodyDiv w:val="1"/>
      <w:marLeft w:val="0"/>
      <w:marRight w:val="0"/>
      <w:marTop w:val="0"/>
      <w:marBottom w:val="0"/>
      <w:divBdr>
        <w:top w:val="none" w:sz="0" w:space="0" w:color="auto"/>
        <w:left w:val="none" w:sz="0" w:space="0" w:color="auto"/>
        <w:bottom w:val="none" w:sz="0" w:space="0" w:color="auto"/>
        <w:right w:val="none" w:sz="0" w:space="0" w:color="auto"/>
      </w:divBdr>
    </w:div>
    <w:div w:id="1553496627">
      <w:bodyDiv w:val="1"/>
      <w:marLeft w:val="0"/>
      <w:marRight w:val="0"/>
      <w:marTop w:val="0"/>
      <w:marBottom w:val="0"/>
      <w:divBdr>
        <w:top w:val="none" w:sz="0" w:space="0" w:color="auto"/>
        <w:left w:val="none" w:sz="0" w:space="0" w:color="auto"/>
        <w:bottom w:val="none" w:sz="0" w:space="0" w:color="auto"/>
        <w:right w:val="none" w:sz="0" w:space="0" w:color="auto"/>
      </w:divBdr>
    </w:div>
    <w:div w:id="1553618953">
      <w:bodyDiv w:val="1"/>
      <w:marLeft w:val="0"/>
      <w:marRight w:val="0"/>
      <w:marTop w:val="0"/>
      <w:marBottom w:val="0"/>
      <w:divBdr>
        <w:top w:val="none" w:sz="0" w:space="0" w:color="auto"/>
        <w:left w:val="none" w:sz="0" w:space="0" w:color="auto"/>
        <w:bottom w:val="none" w:sz="0" w:space="0" w:color="auto"/>
        <w:right w:val="none" w:sz="0" w:space="0" w:color="auto"/>
      </w:divBdr>
    </w:div>
    <w:div w:id="1553693285">
      <w:bodyDiv w:val="1"/>
      <w:marLeft w:val="0"/>
      <w:marRight w:val="0"/>
      <w:marTop w:val="0"/>
      <w:marBottom w:val="0"/>
      <w:divBdr>
        <w:top w:val="none" w:sz="0" w:space="0" w:color="auto"/>
        <w:left w:val="none" w:sz="0" w:space="0" w:color="auto"/>
        <w:bottom w:val="none" w:sz="0" w:space="0" w:color="auto"/>
        <w:right w:val="none" w:sz="0" w:space="0" w:color="auto"/>
      </w:divBdr>
    </w:div>
    <w:div w:id="1553805999">
      <w:bodyDiv w:val="1"/>
      <w:marLeft w:val="0"/>
      <w:marRight w:val="0"/>
      <w:marTop w:val="0"/>
      <w:marBottom w:val="0"/>
      <w:divBdr>
        <w:top w:val="none" w:sz="0" w:space="0" w:color="auto"/>
        <w:left w:val="none" w:sz="0" w:space="0" w:color="auto"/>
        <w:bottom w:val="none" w:sz="0" w:space="0" w:color="auto"/>
        <w:right w:val="none" w:sz="0" w:space="0" w:color="auto"/>
      </w:divBdr>
    </w:div>
    <w:div w:id="1553926080">
      <w:bodyDiv w:val="1"/>
      <w:marLeft w:val="0"/>
      <w:marRight w:val="0"/>
      <w:marTop w:val="0"/>
      <w:marBottom w:val="0"/>
      <w:divBdr>
        <w:top w:val="none" w:sz="0" w:space="0" w:color="auto"/>
        <w:left w:val="none" w:sz="0" w:space="0" w:color="auto"/>
        <w:bottom w:val="none" w:sz="0" w:space="0" w:color="auto"/>
        <w:right w:val="none" w:sz="0" w:space="0" w:color="auto"/>
      </w:divBdr>
    </w:div>
    <w:div w:id="1553931023">
      <w:bodyDiv w:val="1"/>
      <w:marLeft w:val="0"/>
      <w:marRight w:val="0"/>
      <w:marTop w:val="0"/>
      <w:marBottom w:val="0"/>
      <w:divBdr>
        <w:top w:val="none" w:sz="0" w:space="0" w:color="auto"/>
        <w:left w:val="none" w:sz="0" w:space="0" w:color="auto"/>
        <w:bottom w:val="none" w:sz="0" w:space="0" w:color="auto"/>
        <w:right w:val="none" w:sz="0" w:space="0" w:color="auto"/>
      </w:divBdr>
    </w:div>
    <w:div w:id="1553956853">
      <w:bodyDiv w:val="1"/>
      <w:marLeft w:val="0"/>
      <w:marRight w:val="0"/>
      <w:marTop w:val="0"/>
      <w:marBottom w:val="0"/>
      <w:divBdr>
        <w:top w:val="none" w:sz="0" w:space="0" w:color="auto"/>
        <w:left w:val="none" w:sz="0" w:space="0" w:color="auto"/>
        <w:bottom w:val="none" w:sz="0" w:space="0" w:color="auto"/>
        <w:right w:val="none" w:sz="0" w:space="0" w:color="auto"/>
      </w:divBdr>
    </w:div>
    <w:div w:id="1554076950">
      <w:bodyDiv w:val="1"/>
      <w:marLeft w:val="0"/>
      <w:marRight w:val="0"/>
      <w:marTop w:val="0"/>
      <w:marBottom w:val="0"/>
      <w:divBdr>
        <w:top w:val="none" w:sz="0" w:space="0" w:color="auto"/>
        <w:left w:val="none" w:sz="0" w:space="0" w:color="auto"/>
        <w:bottom w:val="none" w:sz="0" w:space="0" w:color="auto"/>
        <w:right w:val="none" w:sz="0" w:space="0" w:color="auto"/>
      </w:divBdr>
    </w:div>
    <w:div w:id="1554152477">
      <w:bodyDiv w:val="1"/>
      <w:marLeft w:val="0"/>
      <w:marRight w:val="0"/>
      <w:marTop w:val="0"/>
      <w:marBottom w:val="0"/>
      <w:divBdr>
        <w:top w:val="none" w:sz="0" w:space="0" w:color="auto"/>
        <w:left w:val="none" w:sz="0" w:space="0" w:color="auto"/>
        <w:bottom w:val="none" w:sz="0" w:space="0" w:color="auto"/>
        <w:right w:val="none" w:sz="0" w:space="0" w:color="auto"/>
      </w:divBdr>
    </w:div>
    <w:div w:id="1554195482">
      <w:bodyDiv w:val="1"/>
      <w:marLeft w:val="0"/>
      <w:marRight w:val="0"/>
      <w:marTop w:val="0"/>
      <w:marBottom w:val="0"/>
      <w:divBdr>
        <w:top w:val="none" w:sz="0" w:space="0" w:color="auto"/>
        <w:left w:val="none" w:sz="0" w:space="0" w:color="auto"/>
        <w:bottom w:val="none" w:sz="0" w:space="0" w:color="auto"/>
        <w:right w:val="none" w:sz="0" w:space="0" w:color="auto"/>
      </w:divBdr>
    </w:div>
    <w:div w:id="1554197014">
      <w:bodyDiv w:val="1"/>
      <w:marLeft w:val="0"/>
      <w:marRight w:val="0"/>
      <w:marTop w:val="0"/>
      <w:marBottom w:val="0"/>
      <w:divBdr>
        <w:top w:val="none" w:sz="0" w:space="0" w:color="auto"/>
        <w:left w:val="none" w:sz="0" w:space="0" w:color="auto"/>
        <w:bottom w:val="none" w:sz="0" w:space="0" w:color="auto"/>
        <w:right w:val="none" w:sz="0" w:space="0" w:color="auto"/>
      </w:divBdr>
    </w:div>
    <w:div w:id="1554385813">
      <w:bodyDiv w:val="1"/>
      <w:marLeft w:val="0"/>
      <w:marRight w:val="0"/>
      <w:marTop w:val="0"/>
      <w:marBottom w:val="0"/>
      <w:divBdr>
        <w:top w:val="none" w:sz="0" w:space="0" w:color="auto"/>
        <w:left w:val="none" w:sz="0" w:space="0" w:color="auto"/>
        <w:bottom w:val="none" w:sz="0" w:space="0" w:color="auto"/>
        <w:right w:val="none" w:sz="0" w:space="0" w:color="auto"/>
      </w:divBdr>
    </w:div>
    <w:div w:id="1554461654">
      <w:bodyDiv w:val="1"/>
      <w:marLeft w:val="0"/>
      <w:marRight w:val="0"/>
      <w:marTop w:val="0"/>
      <w:marBottom w:val="0"/>
      <w:divBdr>
        <w:top w:val="none" w:sz="0" w:space="0" w:color="auto"/>
        <w:left w:val="none" w:sz="0" w:space="0" w:color="auto"/>
        <w:bottom w:val="none" w:sz="0" w:space="0" w:color="auto"/>
        <w:right w:val="none" w:sz="0" w:space="0" w:color="auto"/>
      </w:divBdr>
    </w:div>
    <w:div w:id="1554465679">
      <w:bodyDiv w:val="1"/>
      <w:marLeft w:val="0"/>
      <w:marRight w:val="0"/>
      <w:marTop w:val="0"/>
      <w:marBottom w:val="0"/>
      <w:divBdr>
        <w:top w:val="none" w:sz="0" w:space="0" w:color="auto"/>
        <w:left w:val="none" w:sz="0" w:space="0" w:color="auto"/>
        <w:bottom w:val="none" w:sz="0" w:space="0" w:color="auto"/>
        <w:right w:val="none" w:sz="0" w:space="0" w:color="auto"/>
      </w:divBdr>
    </w:div>
    <w:div w:id="1554536338">
      <w:bodyDiv w:val="1"/>
      <w:marLeft w:val="0"/>
      <w:marRight w:val="0"/>
      <w:marTop w:val="0"/>
      <w:marBottom w:val="0"/>
      <w:divBdr>
        <w:top w:val="none" w:sz="0" w:space="0" w:color="auto"/>
        <w:left w:val="none" w:sz="0" w:space="0" w:color="auto"/>
        <w:bottom w:val="none" w:sz="0" w:space="0" w:color="auto"/>
        <w:right w:val="none" w:sz="0" w:space="0" w:color="auto"/>
      </w:divBdr>
    </w:div>
    <w:div w:id="1554580563">
      <w:bodyDiv w:val="1"/>
      <w:marLeft w:val="0"/>
      <w:marRight w:val="0"/>
      <w:marTop w:val="0"/>
      <w:marBottom w:val="0"/>
      <w:divBdr>
        <w:top w:val="none" w:sz="0" w:space="0" w:color="auto"/>
        <w:left w:val="none" w:sz="0" w:space="0" w:color="auto"/>
        <w:bottom w:val="none" w:sz="0" w:space="0" w:color="auto"/>
        <w:right w:val="none" w:sz="0" w:space="0" w:color="auto"/>
      </w:divBdr>
    </w:div>
    <w:div w:id="1554585817">
      <w:bodyDiv w:val="1"/>
      <w:marLeft w:val="0"/>
      <w:marRight w:val="0"/>
      <w:marTop w:val="0"/>
      <w:marBottom w:val="0"/>
      <w:divBdr>
        <w:top w:val="none" w:sz="0" w:space="0" w:color="auto"/>
        <w:left w:val="none" w:sz="0" w:space="0" w:color="auto"/>
        <w:bottom w:val="none" w:sz="0" w:space="0" w:color="auto"/>
        <w:right w:val="none" w:sz="0" w:space="0" w:color="auto"/>
      </w:divBdr>
    </w:div>
    <w:div w:id="1554611663">
      <w:bodyDiv w:val="1"/>
      <w:marLeft w:val="0"/>
      <w:marRight w:val="0"/>
      <w:marTop w:val="0"/>
      <w:marBottom w:val="0"/>
      <w:divBdr>
        <w:top w:val="none" w:sz="0" w:space="0" w:color="auto"/>
        <w:left w:val="none" w:sz="0" w:space="0" w:color="auto"/>
        <w:bottom w:val="none" w:sz="0" w:space="0" w:color="auto"/>
        <w:right w:val="none" w:sz="0" w:space="0" w:color="auto"/>
      </w:divBdr>
    </w:div>
    <w:div w:id="1554657220">
      <w:bodyDiv w:val="1"/>
      <w:marLeft w:val="0"/>
      <w:marRight w:val="0"/>
      <w:marTop w:val="0"/>
      <w:marBottom w:val="0"/>
      <w:divBdr>
        <w:top w:val="none" w:sz="0" w:space="0" w:color="auto"/>
        <w:left w:val="none" w:sz="0" w:space="0" w:color="auto"/>
        <w:bottom w:val="none" w:sz="0" w:space="0" w:color="auto"/>
        <w:right w:val="none" w:sz="0" w:space="0" w:color="auto"/>
      </w:divBdr>
    </w:div>
    <w:div w:id="1554736500">
      <w:bodyDiv w:val="1"/>
      <w:marLeft w:val="0"/>
      <w:marRight w:val="0"/>
      <w:marTop w:val="0"/>
      <w:marBottom w:val="0"/>
      <w:divBdr>
        <w:top w:val="none" w:sz="0" w:space="0" w:color="auto"/>
        <w:left w:val="none" w:sz="0" w:space="0" w:color="auto"/>
        <w:bottom w:val="none" w:sz="0" w:space="0" w:color="auto"/>
        <w:right w:val="none" w:sz="0" w:space="0" w:color="auto"/>
      </w:divBdr>
    </w:div>
    <w:div w:id="1554778300">
      <w:bodyDiv w:val="1"/>
      <w:marLeft w:val="0"/>
      <w:marRight w:val="0"/>
      <w:marTop w:val="0"/>
      <w:marBottom w:val="0"/>
      <w:divBdr>
        <w:top w:val="none" w:sz="0" w:space="0" w:color="auto"/>
        <w:left w:val="none" w:sz="0" w:space="0" w:color="auto"/>
        <w:bottom w:val="none" w:sz="0" w:space="0" w:color="auto"/>
        <w:right w:val="none" w:sz="0" w:space="0" w:color="auto"/>
      </w:divBdr>
    </w:div>
    <w:div w:id="1554847769">
      <w:bodyDiv w:val="1"/>
      <w:marLeft w:val="0"/>
      <w:marRight w:val="0"/>
      <w:marTop w:val="0"/>
      <w:marBottom w:val="0"/>
      <w:divBdr>
        <w:top w:val="none" w:sz="0" w:space="0" w:color="auto"/>
        <w:left w:val="none" w:sz="0" w:space="0" w:color="auto"/>
        <w:bottom w:val="none" w:sz="0" w:space="0" w:color="auto"/>
        <w:right w:val="none" w:sz="0" w:space="0" w:color="auto"/>
      </w:divBdr>
    </w:div>
    <w:div w:id="1554848998">
      <w:bodyDiv w:val="1"/>
      <w:marLeft w:val="0"/>
      <w:marRight w:val="0"/>
      <w:marTop w:val="0"/>
      <w:marBottom w:val="0"/>
      <w:divBdr>
        <w:top w:val="none" w:sz="0" w:space="0" w:color="auto"/>
        <w:left w:val="none" w:sz="0" w:space="0" w:color="auto"/>
        <w:bottom w:val="none" w:sz="0" w:space="0" w:color="auto"/>
        <w:right w:val="none" w:sz="0" w:space="0" w:color="auto"/>
      </w:divBdr>
    </w:div>
    <w:div w:id="1554849390">
      <w:bodyDiv w:val="1"/>
      <w:marLeft w:val="0"/>
      <w:marRight w:val="0"/>
      <w:marTop w:val="0"/>
      <w:marBottom w:val="0"/>
      <w:divBdr>
        <w:top w:val="none" w:sz="0" w:space="0" w:color="auto"/>
        <w:left w:val="none" w:sz="0" w:space="0" w:color="auto"/>
        <w:bottom w:val="none" w:sz="0" w:space="0" w:color="auto"/>
        <w:right w:val="none" w:sz="0" w:space="0" w:color="auto"/>
      </w:divBdr>
    </w:div>
    <w:div w:id="1554925540">
      <w:bodyDiv w:val="1"/>
      <w:marLeft w:val="0"/>
      <w:marRight w:val="0"/>
      <w:marTop w:val="0"/>
      <w:marBottom w:val="0"/>
      <w:divBdr>
        <w:top w:val="none" w:sz="0" w:space="0" w:color="auto"/>
        <w:left w:val="none" w:sz="0" w:space="0" w:color="auto"/>
        <w:bottom w:val="none" w:sz="0" w:space="0" w:color="auto"/>
        <w:right w:val="none" w:sz="0" w:space="0" w:color="auto"/>
      </w:divBdr>
    </w:div>
    <w:div w:id="1555045230">
      <w:bodyDiv w:val="1"/>
      <w:marLeft w:val="0"/>
      <w:marRight w:val="0"/>
      <w:marTop w:val="0"/>
      <w:marBottom w:val="0"/>
      <w:divBdr>
        <w:top w:val="none" w:sz="0" w:space="0" w:color="auto"/>
        <w:left w:val="none" w:sz="0" w:space="0" w:color="auto"/>
        <w:bottom w:val="none" w:sz="0" w:space="0" w:color="auto"/>
        <w:right w:val="none" w:sz="0" w:space="0" w:color="auto"/>
      </w:divBdr>
    </w:div>
    <w:div w:id="1555191444">
      <w:bodyDiv w:val="1"/>
      <w:marLeft w:val="0"/>
      <w:marRight w:val="0"/>
      <w:marTop w:val="0"/>
      <w:marBottom w:val="0"/>
      <w:divBdr>
        <w:top w:val="none" w:sz="0" w:space="0" w:color="auto"/>
        <w:left w:val="none" w:sz="0" w:space="0" w:color="auto"/>
        <w:bottom w:val="none" w:sz="0" w:space="0" w:color="auto"/>
        <w:right w:val="none" w:sz="0" w:space="0" w:color="auto"/>
      </w:divBdr>
    </w:div>
    <w:div w:id="1555237622">
      <w:bodyDiv w:val="1"/>
      <w:marLeft w:val="0"/>
      <w:marRight w:val="0"/>
      <w:marTop w:val="0"/>
      <w:marBottom w:val="0"/>
      <w:divBdr>
        <w:top w:val="none" w:sz="0" w:space="0" w:color="auto"/>
        <w:left w:val="none" w:sz="0" w:space="0" w:color="auto"/>
        <w:bottom w:val="none" w:sz="0" w:space="0" w:color="auto"/>
        <w:right w:val="none" w:sz="0" w:space="0" w:color="auto"/>
      </w:divBdr>
    </w:div>
    <w:div w:id="1555266085">
      <w:bodyDiv w:val="1"/>
      <w:marLeft w:val="0"/>
      <w:marRight w:val="0"/>
      <w:marTop w:val="0"/>
      <w:marBottom w:val="0"/>
      <w:divBdr>
        <w:top w:val="none" w:sz="0" w:space="0" w:color="auto"/>
        <w:left w:val="none" w:sz="0" w:space="0" w:color="auto"/>
        <w:bottom w:val="none" w:sz="0" w:space="0" w:color="auto"/>
        <w:right w:val="none" w:sz="0" w:space="0" w:color="auto"/>
      </w:divBdr>
    </w:div>
    <w:div w:id="1555313928">
      <w:bodyDiv w:val="1"/>
      <w:marLeft w:val="0"/>
      <w:marRight w:val="0"/>
      <w:marTop w:val="0"/>
      <w:marBottom w:val="0"/>
      <w:divBdr>
        <w:top w:val="none" w:sz="0" w:space="0" w:color="auto"/>
        <w:left w:val="none" w:sz="0" w:space="0" w:color="auto"/>
        <w:bottom w:val="none" w:sz="0" w:space="0" w:color="auto"/>
        <w:right w:val="none" w:sz="0" w:space="0" w:color="auto"/>
      </w:divBdr>
    </w:div>
    <w:div w:id="1555459534">
      <w:bodyDiv w:val="1"/>
      <w:marLeft w:val="0"/>
      <w:marRight w:val="0"/>
      <w:marTop w:val="0"/>
      <w:marBottom w:val="0"/>
      <w:divBdr>
        <w:top w:val="none" w:sz="0" w:space="0" w:color="auto"/>
        <w:left w:val="none" w:sz="0" w:space="0" w:color="auto"/>
        <w:bottom w:val="none" w:sz="0" w:space="0" w:color="auto"/>
        <w:right w:val="none" w:sz="0" w:space="0" w:color="auto"/>
      </w:divBdr>
    </w:div>
    <w:div w:id="1555508856">
      <w:bodyDiv w:val="1"/>
      <w:marLeft w:val="0"/>
      <w:marRight w:val="0"/>
      <w:marTop w:val="0"/>
      <w:marBottom w:val="0"/>
      <w:divBdr>
        <w:top w:val="none" w:sz="0" w:space="0" w:color="auto"/>
        <w:left w:val="none" w:sz="0" w:space="0" w:color="auto"/>
        <w:bottom w:val="none" w:sz="0" w:space="0" w:color="auto"/>
        <w:right w:val="none" w:sz="0" w:space="0" w:color="auto"/>
      </w:divBdr>
    </w:div>
    <w:div w:id="1555579215">
      <w:bodyDiv w:val="1"/>
      <w:marLeft w:val="0"/>
      <w:marRight w:val="0"/>
      <w:marTop w:val="0"/>
      <w:marBottom w:val="0"/>
      <w:divBdr>
        <w:top w:val="none" w:sz="0" w:space="0" w:color="auto"/>
        <w:left w:val="none" w:sz="0" w:space="0" w:color="auto"/>
        <w:bottom w:val="none" w:sz="0" w:space="0" w:color="auto"/>
        <w:right w:val="none" w:sz="0" w:space="0" w:color="auto"/>
      </w:divBdr>
    </w:div>
    <w:div w:id="1555703084">
      <w:bodyDiv w:val="1"/>
      <w:marLeft w:val="0"/>
      <w:marRight w:val="0"/>
      <w:marTop w:val="0"/>
      <w:marBottom w:val="0"/>
      <w:divBdr>
        <w:top w:val="none" w:sz="0" w:space="0" w:color="auto"/>
        <w:left w:val="none" w:sz="0" w:space="0" w:color="auto"/>
        <w:bottom w:val="none" w:sz="0" w:space="0" w:color="auto"/>
        <w:right w:val="none" w:sz="0" w:space="0" w:color="auto"/>
      </w:divBdr>
    </w:div>
    <w:div w:id="1555894309">
      <w:bodyDiv w:val="1"/>
      <w:marLeft w:val="0"/>
      <w:marRight w:val="0"/>
      <w:marTop w:val="0"/>
      <w:marBottom w:val="0"/>
      <w:divBdr>
        <w:top w:val="none" w:sz="0" w:space="0" w:color="auto"/>
        <w:left w:val="none" w:sz="0" w:space="0" w:color="auto"/>
        <w:bottom w:val="none" w:sz="0" w:space="0" w:color="auto"/>
        <w:right w:val="none" w:sz="0" w:space="0" w:color="auto"/>
      </w:divBdr>
    </w:div>
    <w:div w:id="1555894628">
      <w:bodyDiv w:val="1"/>
      <w:marLeft w:val="0"/>
      <w:marRight w:val="0"/>
      <w:marTop w:val="0"/>
      <w:marBottom w:val="0"/>
      <w:divBdr>
        <w:top w:val="none" w:sz="0" w:space="0" w:color="auto"/>
        <w:left w:val="none" w:sz="0" w:space="0" w:color="auto"/>
        <w:bottom w:val="none" w:sz="0" w:space="0" w:color="auto"/>
        <w:right w:val="none" w:sz="0" w:space="0" w:color="auto"/>
      </w:divBdr>
    </w:div>
    <w:div w:id="1555896210">
      <w:bodyDiv w:val="1"/>
      <w:marLeft w:val="0"/>
      <w:marRight w:val="0"/>
      <w:marTop w:val="0"/>
      <w:marBottom w:val="0"/>
      <w:divBdr>
        <w:top w:val="none" w:sz="0" w:space="0" w:color="auto"/>
        <w:left w:val="none" w:sz="0" w:space="0" w:color="auto"/>
        <w:bottom w:val="none" w:sz="0" w:space="0" w:color="auto"/>
        <w:right w:val="none" w:sz="0" w:space="0" w:color="auto"/>
      </w:divBdr>
    </w:div>
    <w:div w:id="1555920345">
      <w:bodyDiv w:val="1"/>
      <w:marLeft w:val="0"/>
      <w:marRight w:val="0"/>
      <w:marTop w:val="0"/>
      <w:marBottom w:val="0"/>
      <w:divBdr>
        <w:top w:val="none" w:sz="0" w:space="0" w:color="auto"/>
        <w:left w:val="none" w:sz="0" w:space="0" w:color="auto"/>
        <w:bottom w:val="none" w:sz="0" w:space="0" w:color="auto"/>
        <w:right w:val="none" w:sz="0" w:space="0" w:color="auto"/>
      </w:divBdr>
    </w:div>
    <w:div w:id="1556040878">
      <w:bodyDiv w:val="1"/>
      <w:marLeft w:val="0"/>
      <w:marRight w:val="0"/>
      <w:marTop w:val="0"/>
      <w:marBottom w:val="0"/>
      <w:divBdr>
        <w:top w:val="none" w:sz="0" w:space="0" w:color="auto"/>
        <w:left w:val="none" w:sz="0" w:space="0" w:color="auto"/>
        <w:bottom w:val="none" w:sz="0" w:space="0" w:color="auto"/>
        <w:right w:val="none" w:sz="0" w:space="0" w:color="auto"/>
      </w:divBdr>
    </w:div>
    <w:div w:id="1556046910">
      <w:bodyDiv w:val="1"/>
      <w:marLeft w:val="0"/>
      <w:marRight w:val="0"/>
      <w:marTop w:val="0"/>
      <w:marBottom w:val="0"/>
      <w:divBdr>
        <w:top w:val="none" w:sz="0" w:space="0" w:color="auto"/>
        <w:left w:val="none" w:sz="0" w:space="0" w:color="auto"/>
        <w:bottom w:val="none" w:sz="0" w:space="0" w:color="auto"/>
        <w:right w:val="none" w:sz="0" w:space="0" w:color="auto"/>
      </w:divBdr>
    </w:div>
    <w:div w:id="1556283578">
      <w:bodyDiv w:val="1"/>
      <w:marLeft w:val="0"/>
      <w:marRight w:val="0"/>
      <w:marTop w:val="0"/>
      <w:marBottom w:val="0"/>
      <w:divBdr>
        <w:top w:val="none" w:sz="0" w:space="0" w:color="auto"/>
        <w:left w:val="none" w:sz="0" w:space="0" w:color="auto"/>
        <w:bottom w:val="none" w:sz="0" w:space="0" w:color="auto"/>
        <w:right w:val="none" w:sz="0" w:space="0" w:color="auto"/>
      </w:divBdr>
    </w:div>
    <w:div w:id="1556310163">
      <w:bodyDiv w:val="1"/>
      <w:marLeft w:val="0"/>
      <w:marRight w:val="0"/>
      <w:marTop w:val="0"/>
      <w:marBottom w:val="0"/>
      <w:divBdr>
        <w:top w:val="none" w:sz="0" w:space="0" w:color="auto"/>
        <w:left w:val="none" w:sz="0" w:space="0" w:color="auto"/>
        <w:bottom w:val="none" w:sz="0" w:space="0" w:color="auto"/>
        <w:right w:val="none" w:sz="0" w:space="0" w:color="auto"/>
      </w:divBdr>
    </w:div>
    <w:div w:id="1556551512">
      <w:bodyDiv w:val="1"/>
      <w:marLeft w:val="0"/>
      <w:marRight w:val="0"/>
      <w:marTop w:val="0"/>
      <w:marBottom w:val="0"/>
      <w:divBdr>
        <w:top w:val="none" w:sz="0" w:space="0" w:color="auto"/>
        <w:left w:val="none" w:sz="0" w:space="0" w:color="auto"/>
        <w:bottom w:val="none" w:sz="0" w:space="0" w:color="auto"/>
        <w:right w:val="none" w:sz="0" w:space="0" w:color="auto"/>
      </w:divBdr>
    </w:div>
    <w:div w:id="1556621430">
      <w:bodyDiv w:val="1"/>
      <w:marLeft w:val="0"/>
      <w:marRight w:val="0"/>
      <w:marTop w:val="0"/>
      <w:marBottom w:val="0"/>
      <w:divBdr>
        <w:top w:val="none" w:sz="0" w:space="0" w:color="auto"/>
        <w:left w:val="none" w:sz="0" w:space="0" w:color="auto"/>
        <w:bottom w:val="none" w:sz="0" w:space="0" w:color="auto"/>
        <w:right w:val="none" w:sz="0" w:space="0" w:color="auto"/>
      </w:divBdr>
    </w:div>
    <w:div w:id="1556621812">
      <w:bodyDiv w:val="1"/>
      <w:marLeft w:val="0"/>
      <w:marRight w:val="0"/>
      <w:marTop w:val="0"/>
      <w:marBottom w:val="0"/>
      <w:divBdr>
        <w:top w:val="none" w:sz="0" w:space="0" w:color="auto"/>
        <w:left w:val="none" w:sz="0" w:space="0" w:color="auto"/>
        <w:bottom w:val="none" w:sz="0" w:space="0" w:color="auto"/>
        <w:right w:val="none" w:sz="0" w:space="0" w:color="auto"/>
      </w:divBdr>
    </w:div>
    <w:div w:id="1556701954">
      <w:bodyDiv w:val="1"/>
      <w:marLeft w:val="0"/>
      <w:marRight w:val="0"/>
      <w:marTop w:val="0"/>
      <w:marBottom w:val="0"/>
      <w:divBdr>
        <w:top w:val="none" w:sz="0" w:space="0" w:color="auto"/>
        <w:left w:val="none" w:sz="0" w:space="0" w:color="auto"/>
        <w:bottom w:val="none" w:sz="0" w:space="0" w:color="auto"/>
        <w:right w:val="none" w:sz="0" w:space="0" w:color="auto"/>
      </w:divBdr>
    </w:div>
    <w:div w:id="1556702207">
      <w:bodyDiv w:val="1"/>
      <w:marLeft w:val="0"/>
      <w:marRight w:val="0"/>
      <w:marTop w:val="0"/>
      <w:marBottom w:val="0"/>
      <w:divBdr>
        <w:top w:val="none" w:sz="0" w:space="0" w:color="auto"/>
        <w:left w:val="none" w:sz="0" w:space="0" w:color="auto"/>
        <w:bottom w:val="none" w:sz="0" w:space="0" w:color="auto"/>
        <w:right w:val="none" w:sz="0" w:space="0" w:color="auto"/>
      </w:divBdr>
    </w:div>
    <w:div w:id="1556771786">
      <w:bodyDiv w:val="1"/>
      <w:marLeft w:val="0"/>
      <w:marRight w:val="0"/>
      <w:marTop w:val="0"/>
      <w:marBottom w:val="0"/>
      <w:divBdr>
        <w:top w:val="none" w:sz="0" w:space="0" w:color="auto"/>
        <w:left w:val="none" w:sz="0" w:space="0" w:color="auto"/>
        <w:bottom w:val="none" w:sz="0" w:space="0" w:color="auto"/>
        <w:right w:val="none" w:sz="0" w:space="0" w:color="auto"/>
      </w:divBdr>
    </w:div>
    <w:div w:id="1556817140">
      <w:bodyDiv w:val="1"/>
      <w:marLeft w:val="0"/>
      <w:marRight w:val="0"/>
      <w:marTop w:val="0"/>
      <w:marBottom w:val="0"/>
      <w:divBdr>
        <w:top w:val="none" w:sz="0" w:space="0" w:color="auto"/>
        <w:left w:val="none" w:sz="0" w:space="0" w:color="auto"/>
        <w:bottom w:val="none" w:sz="0" w:space="0" w:color="auto"/>
        <w:right w:val="none" w:sz="0" w:space="0" w:color="auto"/>
      </w:divBdr>
    </w:div>
    <w:div w:id="1556818746">
      <w:bodyDiv w:val="1"/>
      <w:marLeft w:val="0"/>
      <w:marRight w:val="0"/>
      <w:marTop w:val="0"/>
      <w:marBottom w:val="0"/>
      <w:divBdr>
        <w:top w:val="none" w:sz="0" w:space="0" w:color="auto"/>
        <w:left w:val="none" w:sz="0" w:space="0" w:color="auto"/>
        <w:bottom w:val="none" w:sz="0" w:space="0" w:color="auto"/>
        <w:right w:val="none" w:sz="0" w:space="0" w:color="auto"/>
      </w:divBdr>
    </w:div>
    <w:div w:id="1556889523">
      <w:bodyDiv w:val="1"/>
      <w:marLeft w:val="0"/>
      <w:marRight w:val="0"/>
      <w:marTop w:val="0"/>
      <w:marBottom w:val="0"/>
      <w:divBdr>
        <w:top w:val="none" w:sz="0" w:space="0" w:color="auto"/>
        <w:left w:val="none" w:sz="0" w:space="0" w:color="auto"/>
        <w:bottom w:val="none" w:sz="0" w:space="0" w:color="auto"/>
        <w:right w:val="none" w:sz="0" w:space="0" w:color="auto"/>
      </w:divBdr>
    </w:div>
    <w:div w:id="1556893509">
      <w:bodyDiv w:val="1"/>
      <w:marLeft w:val="0"/>
      <w:marRight w:val="0"/>
      <w:marTop w:val="0"/>
      <w:marBottom w:val="0"/>
      <w:divBdr>
        <w:top w:val="none" w:sz="0" w:space="0" w:color="auto"/>
        <w:left w:val="none" w:sz="0" w:space="0" w:color="auto"/>
        <w:bottom w:val="none" w:sz="0" w:space="0" w:color="auto"/>
        <w:right w:val="none" w:sz="0" w:space="0" w:color="auto"/>
      </w:divBdr>
    </w:div>
    <w:div w:id="1556968823">
      <w:bodyDiv w:val="1"/>
      <w:marLeft w:val="0"/>
      <w:marRight w:val="0"/>
      <w:marTop w:val="0"/>
      <w:marBottom w:val="0"/>
      <w:divBdr>
        <w:top w:val="none" w:sz="0" w:space="0" w:color="auto"/>
        <w:left w:val="none" w:sz="0" w:space="0" w:color="auto"/>
        <w:bottom w:val="none" w:sz="0" w:space="0" w:color="auto"/>
        <w:right w:val="none" w:sz="0" w:space="0" w:color="auto"/>
      </w:divBdr>
    </w:div>
    <w:div w:id="1556970966">
      <w:bodyDiv w:val="1"/>
      <w:marLeft w:val="0"/>
      <w:marRight w:val="0"/>
      <w:marTop w:val="0"/>
      <w:marBottom w:val="0"/>
      <w:divBdr>
        <w:top w:val="none" w:sz="0" w:space="0" w:color="auto"/>
        <w:left w:val="none" w:sz="0" w:space="0" w:color="auto"/>
        <w:bottom w:val="none" w:sz="0" w:space="0" w:color="auto"/>
        <w:right w:val="none" w:sz="0" w:space="0" w:color="auto"/>
      </w:divBdr>
    </w:div>
    <w:div w:id="1556971434">
      <w:bodyDiv w:val="1"/>
      <w:marLeft w:val="0"/>
      <w:marRight w:val="0"/>
      <w:marTop w:val="0"/>
      <w:marBottom w:val="0"/>
      <w:divBdr>
        <w:top w:val="none" w:sz="0" w:space="0" w:color="auto"/>
        <w:left w:val="none" w:sz="0" w:space="0" w:color="auto"/>
        <w:bottom w:val="none" w:sz="0" w:space="0" w:color="auto"/>
        <w:right w:val="none" w:sz="0" w:space="0" w:color="auto"/>
      </w:divBdr>
    </w:div>
    <w:div w:id="1557081208">
      <w:bodyDiv w:val="1"/>
      <w:marLeft w:val="0"/>
      <w:marRight w:val="0"/>
      <w:marTop w:val="0"/>
      <w:marBottom w:val="0"/>
      <w:divBdr>
        <w:top w:val="none" w:sz="0" w:space="0" w:color="auto"/>
        <w:left w:val="none" w:sz="0" w:space="0" w:color="auto"/>
        <w:bottom w:val="none" w:sz="0" w:space="0" w:color="auto"/>
        <w:right w:val="none" w:sz="0" w:space="0" w:color="auto"/>
      </w:divBdr>
    </w:div>
    <w:div w:id="1557083831">
      <w:bodyDiv w:val="1"/>
      <w:marLeft w:val="0"/>
      <w:marRight w:val="0"/>
      <w:marTop w:val="0"/>
      <w:marBottom w:val="0"/>
      <w:divBdr>
        <w:top w:val="none" w:sz="0" w:space="0" w:color="auto"/>
        <w:left w:val="none" w:sz="0" w:space="0" w:color="auto"/>
        <w:bottom w:val="none" w:sz="0" w:space="0" w:color="auto"/>
        <w:right w:val="none" w:sz="0" w:space="0" w:color="auto"/>
      </w:divBdr>
    </w:div>
    <w:div w:id="1557086595">
      <w:bodyDiv w:val="1"/>
      <w:marLeft w:val="0"/>
      <w:marRight w:val="0"/>
      <w:marTop w:val="0"/>
      <w:marBottom w:val="0"/>
      <w:divBdr>
        <w:top w:val="none" w:sz="0" w:space="0" w:color="auto"/>
        <w:left w:val="none" w:sz="0" w:space="0" w:color="auto"/>
        <w:bottom w:val="none" w:sz="0" w:space="0" w:color="auto"/>
        <w:right w:val="none" w:sz="0" w:space="0" w:color="auto"/>
      </w:divBdr>
    </w:div>
    <w:div w:id="1557089378">
      <w:bodyDiv w:val="1"/>
      <w:marLeft w:val="0"/>
      <w:marRight w:val="0"/>
      <w:marTop w:val="0"/>
      <w:marBottom w:val="0"/>
      <w:divBdr>
        <w:top w:val="none" w:sz="0" w:space="0" w:color="auto"/>
        <w:left w:val="none" w:sz="0" w:space="0" w:color="auto"/>
        <w:bottom w:val="none" w:sz="0" w:space="0" w:color="auto"/>
        <w:right w:val="none" w:sz="0" w:space="0" w:color="auto"/>
      </w:divBdr>
    </w:div>
    <w:div w:id="1557156974">
      <w:bodyDiv w:val="1"/>
      <w:marLeft w:val="0"/>
      <w:marRight w:val="0"/>
      <w:marTop w:val="0"/>
      <w:marBottom w:val="0"/>
      <w:divBdr>
        <w:top w:val="none" w:sz="0" w:space="0" w:color="auto"/>
        <w:left w:val="none" w:sz="0" w:space="0" w:color="auto"/>
        <w:bottom w:val="none" w:sz="0" w:space="0" w:color="auto"/>
        <w:right w:val="none" w:sz="0" w:space="0" w:color="auto"/>
      </w:divBdr>
    </w:div>
    <w:div w:id="1557160228">
      <w:bodyDiv w:val="1"/>
      <w:marLeft w:val="0"/>
      <w:marRight w:val="0"/>
      <w:marTop w:val="0"/>
      <w:marBottom w:val="0"/>
      <w:divBdr>
        <w:top w:val="none" w:sz="0" w:space="0" w:color="auto"/>
        <w:left w:val="none" w:sz="0" w:space="0" w:color="auto"/>
        <w:bottom w:val="none" w:sz="0" w:space="0" w:color="auto"/>
        <w:right w:val="none" w:sz="0" w:space="0" w:color="auto"/>
      </w:divBdr>
    </w:div>
    <w:div w:id="1557202211">
      <w:bodyDiv w:val="1"/>
      <w:marLeft w:val="0"/>
      <w:marRight w:val="0"/>
      <w:marTop w:val="0"/>
      <w:marBottom w:val="0"/>
      <w:divBdr>
        <w:top w:val="none" w:sz="0" w:space="0" w:color="auto"/>
        <w:left w:val="none" w:sz="0" w:space="0" w:color="auto"/>
        <w:bottom w:val="none" w:sz="0" w:space="0" w:color="auto"/>
        <w:right w:val="none" w:sz="0" w:space="0" w:color="auto"/>
      </w:divBdr>
    </w:div>
    <w:div w:id="1557352539">
      <w:bodyDiv w:val="1"/>
      <w:marLeft w:val="0"/>
      <w:marRight w:val="0"/>
      <w:marTop w:val="0"/>
      <w:marBottom w:val="0"/>
      <w:divBdr>
        <w:top w:val="none" w:sz="0" w:space="0" w:color="auto"/>
        <w:left w:val="none" w:sz="0" w:space="0" w:color="auto"/>
        <w:bottom w:val="none" w:sz="0" w:space="0" w:color="auto"/>
        <w:right w:val="none" w:sz="0" w:space="0" w:color="auto"/>
      </w:divBdr>
    </w:div>
    <w:div w:id="1557427717">
      <w:bodyDiv w:val="1"/>
      <w:marLeft w:val="0"/>
      <w:marRight w:val="0"/>
      <w:marTop w:val="0"/>
      <w:marBottom w:val="0"/>
      <w:divBdr>
        <w:top w:val="none" w:sz="0" w:space="0" w:color="auto"/>
        <w:left w:val="none" w:sz="0" w:space="0" w:color="auto"/>
        <w:bottom w:val="none" w:sz="0" w:space="0" w:color="auto"/>
        <w:right w:val="none" w:sz="0" w:space="0" w:color="auto"/>
      </w:divBdr>
    </w:div>
    <w:div w:id="1557467153">
      <w:bodyDiv w:val="1"/>
      <w:marLeft w:val="0"/>
      <w:marRight w:val="0"/>
      <w:marTop w:val="0"/>
      <w:marBottom w:val="0"/>
      <w:divBdr>
        <w:top w:val="none" w:sz="0" w:space="0" w:color="auto"/>
        <w:left w:val="none" w:sz="0" w:space="0" w:color="auto"/>
        <w:bottom w:val="none" w:sz="0" w:space="0" w:color="auto"/>
        <w:right w:val="none" w:sz="0" w:space="0" w:color="auto"/>
      </w:divBdr>
    </w:div>
    <w:div w:id="1557744101">
      <w:bodyDiv w:val="1"/>
      <w:marLeft w:val="0"/>
      <w:marRight w:val="0"/>
      <w:marTop w:val="0"/>
      <w:marBottom w:val="0"/>
      <w:divBdr>
        <w:top w:val="none" w:sz="0" w:space="0" w:color="auto"/>
        <w:left w:val="none" w:sz="0" w:space="0" w:color="auto"/>
        <w:bottom w:val="none" w:sz="0" w:space="0" w:color="auto"/>
        <w:right w:val="none" w:sz="0" w:space="0" w:color="auto"/>
      </w:divBdr>
    </w:div>
    <w:div w:id="1557819952">
      <w:bodyDiv w:val="1"/>
      <w:marLeft w:val="0"/>
      <w:marRight w:val="0"/>
      <w:marTop w:val="0"/>
      <w:marBottom w:val="0"/>
      <w:divBdr>
        <w:top w:val="none" w:sz="0" w:space="0" w:color="auto"/>
        <w:left w:val="none" w:sz="0" w:space="0" w:color="auto"/>
        <w:bottom w:val="none" w:sz="0" w:space="0" w:color="auto"/>
        <w:right w:val="none" w:sz="0" w:space="0" w:color="auto"/>
      </w:divBdr>
    </w:div>
    <w:div w:id="1557857622">
      <w:bodyDiv w:val="1"/>
      <w:marLeft w:val="0"/>
      <w:marRight w:val="0"/>
      <w:marTop w:val="0"/>
      <w:marBottom w:val="0"/>
      <w:divBdr>
        <w:top w:val="none" w:sz="0" w:space="0" w:color="auto"/>
        <w:left w:val="none" w:sz="0" w:space="0" w:color="auto"/>
        <w:bottom w:val="none" w:sz="0" w:space="0" w:color="auto"/>
        <w:right w:val="none" w:sz="0" w:space="0" w:color="auto"/>
      </w:divBdr>
    </w:div>
    <w:div w:id="1558005570">
      <w:bodyDiv w:val="1"/>
      <w:marLeft w:val="0"/>
      <w:marRight w:val="0"/>
      <w:marTop w:val="0"/>
      <w:marBottom w:val="0"/>
      <w:divBdr>
        <w:top w:val="none" w:sz="0" w:space="0" w:color="auto"/>
        <w:left w:val="none" w:sz="0" w:space="0" w:color="auto"/>
        <w:bottom w:val="none" w:sz="0" w:space="0" w:color="auto"/>
        <w:right w:val="none" w:sz="0" w:space="0" w:color="auto"/>
      </w:divBdr>
    </w:div>
    <w:div w:id="1558005757">
      <w:bodyDiv w:val="1"/>
      <w:marLeft w:val="0"/>
      <w:marRight w:val="0"/>
      <w:marTop w:val="0"/>
      <w:marBottom w:val="0"/>
      <w:divBdr>
        <w:top w:val="none" w:sz="0" w:space="0" w:color="auto"/>
        <w:left w:val="none" w:sz="0" w:space="0" w:color="auto"/>
        <w:bottom w:val="none" w:sz="0" w:space="0" w:color="auto"/>
        <w:right w:val="none" w:sz="0" w:space="0" w:color="auto"/>
      </w:divBdr>
    </w:div>
    <w:div w:id="1558006677">
      <w:bodyDiv w:val="1"/>
      <w:marLeft w:val="0"/>
      <w:marRight w:val="0"/>
      <w:marTop w:val="0"/>
      <w:marBottom w:val="0"/>
      <w:divBdr>
        <w:top w:val="none" w:sz="0" w:space="0" w:color="auto"/>
        <w:left w:val="none" w:sz="0" w:space="0" w:color="auto"/>
        <w:bottom w:val="none" w:sz="0" w:space="0" w:color="auto"/>
        <w:right w:val="none" w:sz="0" w:space="0" w:color="auto"/>
      </w:divBdr>
    </w:div>
    <w:div w:id="1558085507">
      <w:bodyDiv w:val="1"/>
      <w:marLeft w:val="0"/>
      <w:marRight w:val="0"/>
      <w:marTop w:val="0"/>
      <w:marBottom w:val="0"/>
      <w:divBdr>
        <w:top w:val="none" w:sz="0" w:space="0" w:color="auto"/>
        <w:left w:val="none" w:sz="0" w:space="0" w:color="auto"/>
        <w:bottom w:val="none" w:sz="0" w:space="0" w:color="auto"/>
        <w:right w:val="none" w:sz="0" w:space="0" w:color="auto"/>
      </w:divBdr>
    </w:div>
    <w:div w:id="1558127116">
      <w:bodyDiv w:val="1"/>
      <w:marLeft w:val="0"/>
      <w:marRight w:val="0"/>
      <w:marTop w:val="0"/>
      <w:marBottom w:val="0"/>
      <w:divBdr>
        <w:top w:val="none" w:sz="0" w:space="0" w:color="auto"/>
        <w:left w:val="none" w:sz="0" w:space="0" w:color="auto"/>
        <w:bottom w:val="none" w:sz="0" w:space="0" w:color="auto"/>
        <w:right w:val="none" w:sz="0" w:space="0" w:color="auto"/>
      </w:divBdr>
    </w:div>
    <w:div w:id="1558199895">
      <w:bodyDiv w:val="1"/>
      <w:marLeft w:val="0"/>
      <w:marRight w:val="0"/>
      <w:marTop w:val="0"/>
      <w:marBottom w:val="0"/>
      <w:divBdr>
        <w:top w:val="none" w:sz="0" w:space="0" w:color="auto"/>
        <w:left w:val="none" w:sz="0" w:space="0" w:color="auto"/>
        <w:bottom w:val="none" w:sz="0" w:space="0" w:color="auto"/>
        <w:right w:val="none" w:sz="0" w:space="0" w:color="auto"/>
      </w:divBdr>
    </w:div>
    <w:div w:id="1558320350">
      <w:bodyDiv w:val="1"/>
      <w:marLeft w:val="0"/>
      <w:marRight w:val="0"/>
      <w:marTop w:val="0"/>
      <w:marBottom w:val="0"/>
      <w:divBdr>
        <w:top w:val="none" w:sz="0" w:space="0" w:color="auto"/>
        <w:left w:val="none" w:sz="0" w:space="0" w:color="auto"/>
        <w:bottom w:val="none" w:sz="0" w:space="0" w:color="auto"/>
        <w:right w:val="none" w:sz="0" w:space="0" w:color="auto"/>
      </w:divBdr>
    </w:div>
    <w:div w:id="1558472741">
      <w:bodyDiv w:val="1"/>
      <w:marLeft w:val="0"/>
      <w:marRight w:val="0"/>
      <w:marTop w:val="0"/>
      <w:marBottom w:val="0"/>
      <w:divBdr>
        <w:top w:val="none" w:sz="0" w:space="0" w:color="auto"/>
        <w:left w:val="none" w:sz="0" w:space="0" w:color="auto"/>
        <w:bottom w:val="none" w:sz="0" w:space="0" w:color="auto"/>
        <w:right w:val="none" w:sz="0" w:space="0" w:color="auto"/>
      </w:divBdr>
    </w:div>
    <w:div w:id="1558475098">
      <w:bodyDiv w:val="1"/>
      <w:marLeft w:val="0"/>
      <w:marRight w:val="0"/>
      <w:marTop w:val="0"/>
      <w:marBottom w:val="0"/>
      <w:divBdr>
        <w:top w:val="none" w:sz="0" w:space="0" w:color="auto"/>
        <w:left w:val="none" w:sz="0" w:space="0" w:color="auto"/>
        <w:bottom w:val="none" w:sz="0" w:space="0" w:color="auto"/>
        <w:right w:val="none" w:sz="0" w:space="0" w:color="auto"/>
      </w:divBdr>
    </w:div>
    <w:div w:id="1558541851">
      <w:bodyDiv w:val="1"/>
      <w:marLeft w:val="0"/>
      <w:marRight w:val="0"/>
      <w:marTop w:val="0"/>
      <w:marBottom w:val="0"/>
      <w:divBdr>
        <w:top w:val="none" w:sz="0" w:space="0" w:color="auto"/>
        <w:left w:val="none" w:sz="0" w:space="0" w:color="auto"/>
        <w:bottom w:val="none" w:sz="0" w:space="0" w:color="auto"/>
        <w:right w:val="none" w:sz="0" w:space="0" w:color="auto"/>
      </w:divBdr>
    </w:div>
    <w:div w:id="1558586014">
      <w:bodyDiv w:val="1"/>
      <w:marLeft w:val="0"/>
      <w:marRight w:val="0"/>
      <w:marTop w:val="0"/>
      <w:marBottom w:val="0"/>
      <w:divBdr>
        <w:top w:val="none" w:sz="0" w:space="0" w:color="auto"/>
        <w:left w:val="none" w:sz="0" w:space="0" w:color="auto"/>
        <w:bottom w:val="none" w:sz="0" w:space="0" w:color="auto"/>
        <w:right w:val="none" w:sz="0" w:space="0" w:color="auto"/>
      </w:divBdr>
    </w:div>
    <w:div w:id="1558708415">
      <w:bodyDiv w:val="1"/>
      <w:marLeft w:val="0"/>
      <w:marRight w:val="0"/>
      <w:marTop w:val="0"/>
      <w:marBottom w:val="0"/>
      <w:divBdr>
        <w:top w:val="none" w:sz="0" w:space="0" w:color="auto"/>
        <w:left w:val="none" w:sz="0" w:space="0" w:color="auto"/>
        <w:bottom w:val="none" w:sz="0" w:space="0" w:color="auto"/>
        <w:right w:val="none" w:sz="0" w:space="0" w:color="auto"/>
      </w:divBdr>
    </w:div>
    <w:div w:id="1558854976">
      <w:bodyDiv w:val="1"/>
      <w:marLeft w:val="0"/>
      <w:marRight w:val="0"/>
      <w:marTop w:val="0"/>
      <w:marBottom w:val="0"/>
      <w:divBdr>
        <w:top w:val="none" w:sz="0" w:space="0" w:color="auto"/>
        <w:left w:val="none" w:sz="0" w:space="0" w:color="auto"/>
        <w:bottom w:val="none" w:sz="0" w:space="0" w:color="auto"/>
        <w:right w:val="none" w:sz="0" w:space="0" w:color="auto"/>
      </w:divBdr>
    </w:div>
    <w:div w:id="1558976807">
      <w:bodyDiv w:val="1"/>
      <w:marLeft w:val="0"/>
      <w:marRight w:val="0"/>
      <w:marTop w:val="0"/>
      <w:marBottom w:val="0"/>
      <w:divBdr>
        <w:top w:val="none" w:sz="0" w:space="0" w:color="auto"/>
        <w:left w:val="none" w:sz="0" w:space="0" w:color="auto"/>
        <w:bottom w:val="none" w:sz="0" w:space="0" w:color="auto"/>
        <w:right w:val="none" w:sz="0" w:space="0" w:color="auto"/>
      </w:divBdr>
    </w:div>
    <w:div w:id="1559247211">
      <w:bodyDiv w:val="1"/>
      <w:marLeft w:val="0"/>
      <w:marRight w:val="0"/>
      <w:marTop w:val="0"/>
      <w:marBottom w:val="0"/>
      <w:divBdr>
        <w:top w:val="none" w:sz="0" w:space="0" w:color="auto"/>
        <w:left w:val="none" w:sz="0" w:space="0" w:color="auto"/>
        <w:bottom w:val="none" w:sz="0" w:space="0" w:color="auto"/>
        <w:right w:val="none" w:sz="0" w:space="0" w:color="auto"/>
      </w:divBdr>
    </w:div>
    <w:div w:id="1559317394">
      <w:bodyDiv w:val="1"/>
      <w:marLeft w:val="0"/>
      <w:marRight w:val="0"/>
      <w:marTop w:val="0"/>
      <w:marBottom w:val="0"/>
      <w:divBdr>
        <w:top w:val="none" w:sz="0" w:space="0" w:color="auto"/>
        <w:left w:val="none" w:sz="0" w:space="0" w:color="auto"/>
        <w:bottom w:val="none" w:sz="0" w:space="0" w:color="auto"/>
        <w:right w:val="none" w:sz="0" w:space="0" w:color="auto"/>
      </w:divBdr>
    </w:div>
    <w:div w:id="1559396161">
      <w:bodyDiv w:val="1"/>
      <w:marLeft w:val="0"/>
      <w:marRight w:val="0"/>
      <w:marTop w:val="0"/>
      <w:marBottom w:val="0"/>
      <w:divBdr>
        <w:top w:val="none" w:sz="0" w:space="0" w:color="auto"/>
        <w:left w:val="none" w:sz="0" w:space="0" w:color="auto"/>
        <w:bottom w:val="none" w:sz="0" w:space="0" w:color="auto"/>
        <w:right w:val="none" w:sz="0" w:space="0" w:color="auto"/>
      </w:divBdr>
    </w:div>
    <w:div w:id="1559440437">
      <w:bodyDiv w:val="1"/>
      <w:marLeft w:val="0"/>
      <w:marRight w:val="0"/>
      <w:marTop w:val="0"/>
      <w:marBottom w:val="0"/>
      <w:divBdr>
        <w:top w:val="none" w:sz="0" w:space="0" w:color="auto"/>
        <w:left w:val="none" w:sz="0" w:space="0" w:color="auto"/>
        <w:bottom w:val="none" w:sz="0" w:space="0" w:color="auto"/>
        <w:right w:val="none" w:sz="0" w:space="0" w:color="auto"/>
      </w:divBdr>
    </w:div>
    <w:div w:id="1559511181">
      <w:bodyDiv w:val="1"/>
      <w:marLeft w:val="0"/>
      <w:marRight w:val="0"/>
      <w:marTop w:val="0"/>
      <w:marBottom w:val="0"/>
      <w:divBdr>
        <w:top w:val="none" w:sz="0" w:space="0" w:color="auto"/>
        <w:left w:val="none" w:sz="0" w:space="0" w:color="auto"/>
        <w:bottom w:val="none" w:sz="0" w:space="0" w:color="auto"/>
        <w:right w:val="none" w:sz="0" w:space="0" w:color="auto"/>
      </w:divBdr>
    </w:div>
    <w:div w:id="1559512022">
      <w:bodyDiv w:val="1"/>
      <w:marLeft w:val="0"/>
      <w:marRight w:val="0"/>
      <w:marTop w:val="0"/>
      <w:marBottom w:val="0"/>
      <w:divBdr>
        <w:top w:val="none" w:sz="0" w:space="0" w:color="auto"/>
        <w:left w:val="none" w:sz="0" w:space="0" w:color="auto"/>
        <w:bottom w:val="none" w:sz="0" w:space="0" w:color="auto"/>
        <w:right w:val="none" w:sz="0" w:space="0" w:color="auto"/>
      </w:divBdr>
    </w:div>
    <w:div w:id="1559589150">
      <w:bodyDiv w:val="1"/>
      <w:marLeft w:val="0"/>
      <w:marRight w:val="0"/>
      <w:marTop w:val="0"/>
      <w:marBottom w:val="0"/>
      <w:divBdr>
        <w:top w:val="none" w:sz="0" w:space="0" w:color="auto"/>
        <w:left w:val="none" w:sz="0" w:space="0" w:color="auto"/>
        <w:bottom w:val="none" w:sz="0" w:space="0" w:color="auto"/>
        <w:right w:val="none" w:sz="0" w:space="0" w:color="auto"/>
      </w:divBdr>
    </w:div>
    <w:div w:id="1559630895">
      <w:bodyDiv w:val="1"/>
      <w:marLeft w:val="0"/>
      <w:marRight w:val="0"/>
      <w:marTop w:val="0"/>
      <w:marBottom w:val="0"/>
      <w:divBdr>
        <w:top w:val="none" w:sz="0" w:space="0" w:color="auto"/>
        <w:left w:val="none" w:sz="0" w:space="0" w:color="auto"/>
        <w:bottom w:val="none" w:sz="0" w:space="0" w:color="auto"/>
        <w:right w:val="none" w:sz="0" w:space="0" w:color="auto"/>
      </w:divBdr>
    </w:div>
    <w:div w:id="1559708825">
      <w:bodyDiv w:val="1"/>
      <w:marLeft w:val="0"/>
      <w:marRight w:val="0"/>
      <w:marTop w:val="0"/>
      <w:marBottom w:val="0"/>
      <w:divBdr>
        <w:top w:val="none" w:sz="0" w:space="0" w:color="auto"/>
        <w:left w:val="none" w:sz="0" w:space="0" w:color="auto"/>
        <w:bottom w:val="none" w:sz="0" w:space="0" w:color="auto"/>
        <w:right w:val="none" w:sz="0" w:space="0" w:color="auto"/>
      </w:divBdr>
    </w:div>
    <w:div w:id="1559709865">
      <w:bodyDiv w:val="1"/>
      <w:marLeft w:val="0"/>
      <w:marRight w:val="0"/>
      <w:marTop w:val="0"/>
      <w:marBottom w:val="0"/>
      <w:divBdr>
        <w:top w:val="none" w:sz="0" w:space="0" w:color="auto"/>
        <w:left w:val="none" w:sz="0" w:space="0" w:color="auto"/>
        <w:bottom w:val="none" w:sz="0" w:space="0" w:color="auto"/>
        <w:right w:val="none" w:sz="0" w:space="0" w:color="auto"/>
      </w:divBdr>
    </w:div>
    <w:div w:id="1559776961">
      <w:bodyDiv w:val="1"/>
      <w:marLeft w:val="0"/>
      <w:marRight w:val="0"/>
      <w:marTop w:val="0"/>
      <w:marBottom w:val="0"/>
      <w:divBdr>
        <w:top w:val="none" w:sz="0" w:space="0" w:color="auto"/>
        <w:left w:val="none" w:sz="0" w:space="0" w:color="auto"/>
        <w:bottom w:val="none" w:sz="0" w:space="0" w:color="auto"/>
        <w:right w:val="none" w:sz="0" w:space="0" w:color="auto"/>
      </w:divBdr>
    </w:div>
    <w:div w:id="1559781287">
      <w:bodyDiv w:val="1"/>
      <w:marLeft w:val="0"/>
      <w:marRight w:val="0"/>
      <w:marTop w:val="0"/>
      <w:marBottom w:val="0"/>
      <w:divBdr>
        <w:top w:val="none" w:sz="0" w:space="0" w:color="auto"/>
        <w:left w:val="none" w:sz="0" w:space="0" w:color="auto"/>
        <w:bottom w:val="none" w:sz="0" w:space="0" w:color="auto"/>
        <w:right w:val="none" w:sz="0" w:space="0" w:color="auto"/>
      </w:divBdr>
    </w:div>
    <w:div w:id="1559781431">
      <w:bodyDiv w:val="1"/>
      <w:marLeft w:val="0"/>
      <w:marRight w:val="0"/>
      <w:marTop w:val="0"/>
      <w:marBottom w:val="0"/>
      <w:divBdr>
        <w:top w:val="none" w:sz="0" w:space="0" w:color="auto"/>
        <w:left w:val="none" w:sz="0" w:space="0" w:color="auto"/>
        <w:bottom w:val="none" w:sz="0" w:space="0" w:color="auto"/>
        <w:right w:val="none" w:sz="0" w:space="0" w:color="auto"/>
      </w:divBdr>
    </w:div>
    <w:div w:id="1559785763">
      <w:bodyDiv w:val="1"/>
      <w:marLeft w:val="0"/>
      <w:marRight w:val="0"/>
      <w:marTop w:val="0"/>
      <w:marBottom w:val="0"/>
      <w:divBdr>
        <w:top w:val="none" w:sz="0" w:space="0" w:color="auto"/>
        <w:left w:val="none" w:sz="0" w:space="0" w:color="auto"/>
        <w:bottom w:val="none" w:sz="0" w:space="0" w:color="auto"/>
        <w:right w:val="none" w:sz="0" w:space="0" w:color="auto"/>
      </w:divBdr>
    </w:div>
    <w:div w:id="1559972298">
      <w:bodyDiv w:val="1"/>
      <w:marLeft w:val="0"/>
      <w:marRight w:val="0"/>
      <w:marTop w:val="0"/>
      <w:marBottom w:val="0"/>
      <w:divBdr>
        <w:top w:val="none" w:sz="0" w:space="0" w:color="auto"/>
        <w:left w:val="none" w:sz="0" w:space="0" w:color="auto"/>
        <w:bottom w:val="none" w:sz="0" w:space="0" w:color="auto"/>
        <w:right w:val="none" w:sz="0" w:space="0" w:color="auto"/>
      </w:divBdr>
    </w:div>
    <w:div w:id="1559974449">
      <w:bodyDiv w:val="1"/>
      <w:marLeft w:val="0"/>
      <w:marRight w:val="0"/>
      <w:marTop w:val="0"/>
      <w:marBottom w:val="0"/>
      <w:divBdr>
        <w:top w:val="none" w:sz="0" w:space="0" w:color="auto"/>
        <w:left w:val="none" w:sz="0" w:space="0" w:color="auto"/>
        <w:bottom w:val="none" w:sz="0" w:space="0" w:color="auto"/>
        <w:right w:val="none" w:sz="0" w:space="0" w:color="auto"/>
      </w:divBdr>
    </w:div>
    <w:div w:id="1559975253">
      <w:bodyDiv w:val="1"/>
      <w:marLeft w:val="0"/>
      <w:marRight w:val="0"/>
      <w:marTop w:val="0"/>
      <w:marBottom w:val="0"/>
      <w:divBdr>
        <w:top w:val="none" w:sz="0" w:space="0" w:color="auto"/>
        <w:left w:val="none" w:sz="0" w:space="0" w:color="auto"/>
        <w:bottom w:val="none" w:sz="0" w:space="0" w:color="auto"/>
        <w:right w:val="none" w:sz="0" w:space="0" w:color="auto"/>
      </w:divBdr>
    </w:div>
    <w:div w:id="1560091453">
      <w:bodyDiv w:val="1"/>
      <w:marLeft w:val="0"/>
      <w:marRight w:val="0"/>
      <w:marTop w:val="0"/>
      <w:marBottom w:val="0"/>
      <w:divBdr>
        <w:top w:val="none" w:sz="0" w:space="0" w:color="auto"/>
        <w:left w:val="none" w:sz="0" w:space="0" w:color="auto"/>
        <w:bottom w:val="none" w:sz="0" w:space="0" w:color="auto"/>
        <w:right w:val="none" w:sz="0" w:space="0" w:color="auto"/>
      </w:divBdr>
    </w:div>
    <w:div w:id="1560289297">
      <w:bodyDiv w:val="1"/>
      <w:marLeft w:val="0"/>
      <w:marRight w:val="0"/>
      <w:marTop w:val="0"/>
      <w:marBottom w:val="0"/>
      <w:divBdr>
        <w:top w:val="none" w:sz="0" w:space="0" w:color="auto"/>
        <w:left w:val="none" w:sz="0" w:space="0" w:color="auto"/>
        <w:bottom w:val="none" w:sz="0" w:space="0" w:color="auto"/>
        <w:right w:val="none" w:sz="0" w:space="0" w:color="auto"/>
      </w:divBdr>
    </w:div>
    <w:div w:id="1560433708">
      <w:bodyDiv w:val="1"/>
      <w:marLeft w:val="0"/>
      <w:marRight w:val="0"/>
      <w:marTop w:val="0"/>
      <w:marBottom w:val="0"/>
      <w:divBdr>
        <w:top w:val="none" w:sz="0" w:space="0" w:color="auto"/>
        <w:left w:val="none" w:sz="0" w:space="0" w:color="auto"/>
        <w:bottom w:val="none" w:sz="0" w:space="0" w:color="auto"/>
        <w:right w:val="none" w:sz="0" w:space="0" w:color="auto"/>
      </w:divBdr>
    </w:div>
    <w:div w:id="1560441572">
      <w:bodyDiv w:val="1"/>
      <w:marLeft w:val="0"/>
      <w:marRight w:val="0"/>
      <w:marTop w:val="0"/>
      <w:marBottom w:val="0"/>
      <w:divBdr>
        <w:top w:val="none" w:sz="0" w:space="0" w:color="auto"/>
        <w:left w:val="none" w:sz="0" w:space="0" w:color="auto"/>
        <w:bottom w:val="none" w:sz="0" w:space="0" w:color="auto"/>
        <w:right w:val="none" w:sz="0" w:space="0" w:color="auto"/>
      </w:divBdr>
    </w:div>
    <w:div w:id="1560549816">
      <w:bodyDiv w:val="1"/>
      <w:marLeft w:val="0"/>
      <w:marRight w:val="0"/>
      <w:marTop w:val="0"/>
      <w:marBottom w:val="0"/>
      <w:divBdr>
        <w:top w:val="none" w:sz="0" w:space="0" w:color="auto"/>
        <w:left w:val="none" w:sz="0" w:space="0" w:color="auto"/>
        <w:bottom w:val="none" w:sz="0" w:space="0" w:color="auto"/>
        <w:right w:val="none" w:sz="0" w:space="0" w:color="auto"/>
      </w:divBdr>
    </w:div>
    <w:div w:id="1560554058">
      <w:bodyDiv w:val="1"/>
      <w:marLeft w:val="0"/>
      <w:marRight w:val="0"/>
      <w:marTop w:val="0"/>
      <w:marBottom w:val="0"/>
      <w:divBdr>
        <w:top w:val="none" w:sz="0" w:space="0" w:color="auto"/>
        <w:left w:val="none" w:sz="0" w:space="0" w:color="auto"/>
        <w:bottom w:val="none" w:sz="0" w:space="0" w:color="auto"/>
        <w:right w:val="none" w:sz="0" w:space="0" w:color="auto"/>
      </w:divBdr>
    </w:div>
    <w:div w:id="1560554652">
      <w:bodyDiv w:val="1"/>
      <w:marLeft w:val="0"/>
      <w:marRight w:val="0"/>
      <w:marTop w:val="0"/>
      <w:marBottom w:val="0"/>
      <w:divBdr>
        <w:top w:val="none" w:sz="0" w:space="0" w:color="auto"/>
        <w:left w:val="none" w:sz="0" w:space="0" w:color="auto"/>
        <w:bottom w:val="none" w:sz="0" w:space="0" w:color="auto"/>
        <w:right w:val="none" w:sz="0" w:space="0" w:color="auto"/>
      </w:divBdr>
    </w:div>
    <w:div w:id="1560556136">
      <w:bodyDiv w:val="1"/>
      <w:marLeft w:val="0"/>
      <w:marRight w:val="0"/>
      <w:marTop w:val="0"/>
      <w:marBottom w:val="0"/>
      <w:divBdr>
        <w:top w:val="none" w:sz="0" w:space="0" w:color="auto"/>
        <w:left w:val="none" w:sz="0" w:space="0" w:color="auto"/>
        <w:bottom w:val="none" w:sz="0" w:space="0" w:color="auto"/>
        <w:right w:val="none" w:sz="0" w:space="0" w:color="auto"/>
      </w:divBdr>
    </w:div>
    <w:div w:id="1560557678">
      <w:bodyDiv w:val="1"/>
      <w:marLeft w:val="0"/>
      <w:marRight w:val="0"/>
      <w:marTop w:val="0"/>
      <w:marBottom w:val="0"/>
      <w:divBdr>
        <w:top w:val="none" w:sz="0" w:space="0" w:color="auto"/>
        <w:left w:val="none" w:sz="0" w:space="0" w:color="auto"/>
        <w:bottom w:val="none" w:sz="0" w:space="0" w:color="auto"/>
        <w:right w:val="none" w:sz="0" w:space="0" w:color="auto"/>
      </w:divBdr>
    </w:div>
    <w:div w:id="1560558807">
      <w:bodyDiv w:val="1"/>
      <w:marLeft w:val="0"/>
      <w:marRight w:val="0"/>
      <w:marTop w:val="0"/>
      <w:marBottom w:val="0"/>
      <w:divBdr>
        <w:top w:val="none" w:sz="0" w:space="0" w:color="auto"/>
        <w:left w:val="none" w:sz="0" w:space="0" w:color="auto"/>
        <w:bottom w:val="none" w:sz="0" w:space="0" w:color="auto"/>
        <w:right w:val="none" w:sz="0" w:space="0" w:color="auto"/>
      </w:divBdr>
    </w:div>
    <w:div w:id="1560627648">
      <w:bodyDiv w:val="1"/>
      <w:marLeft w:val="0"/>
      <w:marRight w:val="0"/>
      <w:marTop w:val="0"/>
      <w:marBottom w:val="0"/>
      <w:divBdr>
        <w:top w:val="none" w:sz="0" w:space="0" w:color="auto"/>
        <w:left w:val="none" w:sz="0" w:space="0" w:color="auto"/>
        <w:bottom w:val="none" w:sz="0" w:space="0" w:color="auto"/>
        <w:right w:val="none" w:sz="0" w:space="0" w:color="auto"/>
      </w:divBdr>
    </w:div>
    <w:div w:id="1560752114">
      <w:bodyDiv w:val="1"/>
      <w:marLeft w:val="0"/>
      <w:marRight w:val="0"/>
      <w:marTop w:val="0"/>
      <w:marBottom w:val="0"/>
      <w:divBdr>
        <w:top w:val="none" w:sz="0" w:space="0" w:color="auto"/>
        <w:left w:val="none" w:sz="0" w:space="0" w:color="auto"/>
        <w:bottom w:val="none" w:sz="0" w:space="0" w:color="auto"/>
        <w:right w:val="none" w:sz="0" w:space="0" w:color="auto"/>
      </w:divBdr>
    </w:div>
    <w:div w:id="1560827986">
      <w:bodyDiv w:val="1"/>
      <w:marLeft w:val="0"/>
      <w:marRight w:val="0"/>
      <w:marTop w:val="0"/>
      <w:marBottom w:val="0"/>
      <w:divBdr>
        <w:top w:val="none" w:sz="0" w:space="0" w:color="auto"/>
        <w:left w:val="none" w:sz="0" w:space="0" w:color="auto"/>
        <w:bottom w:val="none" w:sz="0" w:space="0" w:color="auto"/>
        <w:right w:val="none" w:sz="0" w:space="0" w:color="auto"/>
      </w:divBdr>
    </w:div>
    <w:div w:id="1560899075">
      <w:bodyDiv w:val="1"/>
      <w:marLeft w:val="0"/>
      <w:marRight w:val="0"/>
      <w:marTop w:val="0"/>
      <w:marBottom w:val="0"/>
      <w:divBdr>
        <w:top w:val="none" w:sz="0" w:space="0" w:color="auto"/>
        <w:left w:val="none" w:sz="0" w:space="0" w:color="auto"/>
        <w:bottom w:val="none" w:sz="0" w:space="0" w:color="auto"/>
        <w:right w:val="none" w:sz="0" w:space="0" w:color="auto"/>
      </w:divBdr>
    </w:div>
    <w:div w:id="1561095200">
      <w:bodyDiv w:val="1"/>
      <w:marLeft w:val="0"/>
      <w:marRight w:val="0"/>
      <w:marTop w:val="0"/>
      <w:marBottom w:val="0"/>
      <w:divBdr>
        <w:top w:val="none" w:sz="0" w:space="0" w:color="auto"/>
        <w:left w:val="none" w:sz="0" w:space="0" w:color="auto"/>
        <w:bottom w:val="none" w:sz="0" w:space="0" w:color="auto"/>
        <w:right w:val="none" w:sz="0" w:space="0" w:color="auto"/>
      </w:divBdr>
    </w:div>
    <w:div w:id="1561211287">
      <w:bodyDiv w:val="1"/>
      <w:marLeft w:val="0"/>
      <w:marRight w:val="0"/>
      <w:marTop w:val="0"/>
      <w:marBottom w:val="0"/>
      <w:divBdr>
        <w:top w:val="none" w:sz="0" w:space="0" w:color="auto"/>
        <w:left w:val="none" w:sz="0" w:space="0" w:color="auto"/>
        <w:bottom w:val="none" w:sz="0" w:space="0" w:color="auto"/>
        <w:right w:val="none" w:sz="0" w:space="0" w:color="auto"/>
      </w:divBdr>
    </w:div>
    <w:div w:id="1561212263">
      <w:bodyDiv w:val="1"/>
      <w:marLeft w:val="0"/>
      <w:marRight w:val="0"/>
      <w:marTop w:val="0"/>
      <w:marBottom w:val="0"/>
      <w:divBdr>
        <w:top w:val="none" w:sz="0" w:space="0" w:color="auto"/>
        <w:left w:val="none" w:sz="0" w:space="0" w:color="auto"/>
        <w:bottom w:val="none" w:sz="0" w:space="0" w:color="auto"/>
        <w:right w:val="none" w:sz="0" w:space="0" w:color="auto"/>
      </w:divBdr>
    </w:div>
    <w:div w:id="1561285076">
      <w:bodyDiv w:val="1"/>
      <w:marLeft w:val="0"/>
      <w:marRight w:val="0"/>
      <w:marTop w:val="0"/>
      <w:marBottom w:val="0"/>
      <w:divBdr>
        <w:top w:val="none" w:sz="0" w:space="0" w:color="auto"/>
        <w:left w:val="none" w:sz="0" w:space="0" w:color="auto"/>
        <w:bottom w:val="none" w:sz="0" w:space="0" w:color="auto"/>
        <w:right w:val="none" w:sz="0" w:space="0" w:color="auto"/>
      </w:divBdr>
    </w:div>
    <w:div w:id="1561285816">
      <w:bodyDiv w:val="1"/>
      <w:marLeft w:val="0"/>
      <w:marRight w:val="0"/>
      <w:marTop w:val="0"/>
      <w:marBottom w:val="0"/>
      <w:divBdr>
        <w:top w:val="none" w:sz="0" w:space="0" w:color="auto"/>
        <w:left w:val="none" w:sz="0" w:space="0" w:color="auto"/>
        <w:bottom w:val="none" w:sz="0" w:space="0" w:color="auto"/>
        <w:right w:val="none" w:sz="0" w:space="0" w:color="auto"/>
      </w:divBdr>
    </w:div>
    <w:div w:id="1561476604">
      <w:bodyDiv w:val="1"/>
      <w:marLeft w:val="0"/>
      <w:marRight w:val="0"/>
      <w:marTop w:val="0"/>
      <w:marBottom w:val="0"/>
      <w:divBdr>
        <w:top w:val="none" w:sz="0" w:space="0" w:color="auto"/>
        <w:left w:val="none" w:sz="0" w:space="0" w:color="auto"/>
        <w:bottom w:val="none" w:sz="0" w:space="0" w:color="auto"/>
        <w:right w:val="none" w:sz="0" w:space="0" w:color="auto"/>
      </w:divBdr>
    </w:div>
    <w:div w:id="1561478777">
      <w:bodyDiv w:val="1"/>
      <w:marLeft w:val="0"/>
      <w:marRight w:val="0"/>
      <w:marTop w:val="0"/>
      <w:marBottom w:val="0"/>
      <w:divBdr>
        <w:top w:val="none" w:sz="0" w:space="0" w:color="auto"/>
        <w:left w:val="none" w:sz="0" w:space="0" w:color="auto"/>
        <w:bottom w:val="none" w:sz="0" w:space="0" w:color="auto"/>
        <w:right w:val="none" w:sz="0" w:space="0" w:color="auto"/>
      </w:divBdr>
    </w:div>
    <w:div w:id="1561598094">
      <w:bodyDiv w:val="1"/>
      <w:marLeft w:val="0"/>
      <w:marRight w:val="0"/>
      <w:marTop w:val="0"/>
      <w:marBottom w:val="0"/>
      <w:divBdr>
        <w:top w:val="none" w:sz="0" w:space="0" w:color="auto"/>
        <w:left w:val="none" w:sz="0" w:space="0" w:color="auto"/>
        <w:bottom w:val="none" w:sz="0" w:space="0" w:color="auto"/>
        <w:right w:val="none" w:sz="0" w:space="0" w:color="auto"/>
      </w:divBdr>
    </w:div>
    <w:div w:id="1561667953">
      <w:bodyDiv w:val="1"/>
      <w:marLeft w:val="0"/>
      <w:marRight w:val="0"/>
      <w:marTop w:val="0"/>
      <w:marBottom w:val="0"/>
      <w:divBdr>
        <w:top w:val="none" w:sz="0" w:space="0" w:color="auto"/>
        <w:left w:val="none" w:sz="0" w:space="0" w:color="auto"/>
        <w:bottom w:val="none" w:sz="0" w:space="0" w:color="auto"/>
        <w:right w:val="none" w:sz="0" w:space="0" w:color="auto"/>
      </w:divBdr>
    </w:div>
    <w:div w:id="1561672305">
      <w:bodyDiv w:val="1"/>
      <w:marLeft w:val="0"/>
      <w:marRight w:val="0"/>
      <w:marTop w:val="0"/>
      <w:marBottom w:val="0"/>
      <w:divBdr>
        <w:top w:val="none" w:sz="0" w:space="0" w:color="auto"/>
        <w:left w:val="none" w:sz="0" w:space="0" w:color="auto"/>
        <w:bottom w:val="none" w:sz="0" w:space="0" w:color="auto"/>
        <w:right w:val="none" w:sz="0" w:space="0" w:color="auto"/>
      </w:divBdr>
    </w:div>
    <w:div w:id="1561743521">
      <w:bodyDiv w:val="1"/>
      <w:marLeft w:val="0"/>
      <w:marRight w:val="0"/>
      <w:marTop w:val="0"/>
      <w:marBottom w:val="0"/>
      <w:divBdr>
        <w:top w:val="none" w:sz="0" w:space="0" w:color="auto"/>
        <w:left w:val="none" w:sz="0" w:space="0" w:color="auto"/>
        <w:bottom w:val="none" w:sz="0" w:space="0" w:color="auto"/>
        <w:right w:val="none" w:sz="0" w:space="0" w:color="auto"/>
      </w:divBdr>
    </w:div>
    <w:div w:id="1561748898">
      <w:bodyDiv w:val="1"/>
      <w:marLeft w:val="0"/>
      <w:marRight w:val="0"/>
      <w:marTop w:val="0"/>
      <w:marBottom w:val="0"/>
      <w:divBdr>
        <w:top w:val="none" w:sz="0" w:space="0" w:color="auto"/>
        <w:left w:val="none" w:sz="0" w:space="0" w:color="auto"/>
        <w:bottom w:val="none" w:sz="0" w:space="0" w:color="auto"/>
        <w:right w:val="none" w:sz="0" w:space="0" w:color="auto"/>
      </w:divBdr>
    </w:div>
    <w:div w:id="1561863883">
      <w:bodyDiv w:val="1"/>
      <w:marLeft w:val="0"/>
      <w:marRight w:val="0"/>
      <w:marTop w:val="0"/>
      <w:marBottom w:val="0"/>
      <w:divBdr>
        <w:top w:val="none" w:sz="0" w:space="0" w:color="auto"/>
        <w:left w:val="none" w:sz="0" w:space="0" w:color="auto"/>
        <w:bottom w:val="none" w:sz="0" w:space="0" w:color="auto"/>
        <w:right w:val="none" w:sz="0" w:space="0" w:color="auto"/>
      </w:divBdr>
    </w:div>
    <w:div w:id="1561865796">
      <w:bodyDiv w:val="1"/>
      <w:marLeft w:val="0"/>
      <w:marRight w:val="0"/>
      <w:marTop w:val="0"/>
      <w:marBottom w:val="0"/>
      <w:divBdr>
        <w:top w:val="none" w:sz="0" w:space="0" w:color="auto"/>
        <w:left w:val="none" w:sz="0" w:space="0" w:color="auto"/>
        <w:bottom w:val="none" w:sz="0" w:space="0" w:color="auto"/>
        <w:right w:val="none" w:sz="0" w:space="0" w:color="auto"/>
      </w:divBdr>
    </w:div>
    <w:div w:id="1562204710">
      <w:bodyDiv w:val="1"/>
      <w:marLeft w:val="0"/>
      <w:marRight w:val="0"/>
      <w:marTop w:val="0"/>
      <w:marBottom w:val="0"/>
      <w:divBdr>
        <w:top w:val="none" w:sz="0" w:space="0" w:color="auto"/>
        <w:left w:val="none" w:sz="0" w:space="0" w:color="auto"/>
        <w:bottom w:val="none" w:sz="0" w:space="0" w:color="auto"/>
        <w:right w:val="none" w:sz="0" w:space="0" w:color="auto"/>
      </w:divBdr>
    </w:div>
    <w:div w:id="1562205023">
      <w:bodyDiv w:val="1"/>
      <w:marLeft w:val="0"/>
      <w:marRight w:val="0"/>
      <w:marTop w:val="0"/>
      <w:marBottom w:val="0"/>
      <w:divBdr>
        <w:top w:val="none" w:sz="0" w:space="0" w:color="auto"/>
        <w:left w:val="none" w:sz="0" w:space="0" w:color="auto"/>
        <w:bottom w:val="none" w:sz="0" w:space="0" w:color="auto"/>
        <w:right w:val="none" w:sz="0" w:space="0" w:color="auto"/>
      </w:divBdr>
    </w:div>
    <w:div w:id="1562249852">
      <w:bodyDiv w:val="1"/>
      <w:marLeft w:val="0"/>
      <w:marRight w:val="0"/>
      <w:marTop w:val="0"/>
      <w:marBottom w:val="0"/>
      <w:divBdr>
        <w:top w:val="none" w:sz="0" w:space="0" w:color="auto"/>
        <w:left w:val="none" w:sz="0" w:space="0" w:color="auto"/>
        <w:bottom w:val="none" w:sz="0" w:space="0" w:color="auto"/>
        <w:right w:val="none" w:sz="0" w:space="0" w:color="auto"/>
      </w:divBdr>
    </w:div>
    <w:div w:id="1562255240">
      <w:bodyDiv w:val="1"/>
      <w:marLeft w:val="0"/>
      <w:marRight w:val="0"/>
      <w:marTop w:val="0"/>
      <w:marBottom w:val="0"/>
      <w:divBdr>
        <w:top w:val="none" w:sz="0" w:space="0" w:color="auto"/>
        <w:left w:val="none" w:sz="0" w:space="0" w:color="auto"/>
        <w:bottom w:val="none" w:sz="0" w:space="0" w:color="auto"/>
        <w:right w:val="none" w:sz="0" w:space="0" w:color="auto"/>
      </w:divBdr>
    </w:div>
    <w:div w:id="1562400097">
      <w:bodyDiv w:val="1"/>
      <w:marLeft w:val="0"/>
      <w:marRight w:val="0"/>
      <w:marTop w:val="0"/>
      <w:marBottom w:val="0"/>
      <w:divBdr>
        <w:top w:val="none" w:sz="0" w:space="0" w:color="auto"/>
        <w:left w:val="none" w:sz="0" w:space="0" w:color="auto"/>
        <w:bottom w:val="none" w:sz="0" w:space="0" w:color="auto"/>
        <w:right w:val="none" w:sz="0" w:space="0" w:color="auto"/>
      </w:divBdr>
    </w:div>
    <w:div w:id="1562446398">
      <w:bodyDiv w:val="1"/>
      <w:marLeft w:val="0"/>
      <w:marRight w:val="0"/>
      <w:marTop w:val="0"/>
      <w:marBottom w:val="0"/>
      <w:divBdr>
        <w:top w:val="none" w:sz="0" w:space="0" w:color="auto"/>
        <w:left w:val="none" w:sz="0" w:space="0" w:color="auto"/>
        <w:bottom w:val="none" w:sz="0" w:space="0" w:color="auto"/>
        <w:right w:val="none" w:sz="0" w:space="0" w:color="auto"/>
      </w:divBdr>
    </w:div>
    <w:div w:id="1562446893">
      <w:bodyDiv w:val="1"/>
      <w:marLeft w:val="0"/>
      <w:marRight w:val="0"/>
      <w:marTop w:val="0"/>
      <w:marBottom w:val="0"/>
      <w:divBdr>
        <w:top w:val="none" w:sz="0" w:space="0" w:color="auto"/>
        <w:left w:val="none" w:sz="0" w:space="0" w:color="auto"/>
        <w:bottom w:val="none" w:sz="0" w:space="0" w:color="auto"/>
        <w:right w:val="none" w:sz="0" w:space="0" w:color="auto"/>
      </w:divBdr>
    </w:div>
    <w:div w:id="1562476475">
      <w:bodyDiv w:val="1"/>
      <w:marLeft w:val="0"/>
      <w:marRight w:val="0"/>
      <w:marTop w:val="0"/>
      <w:marBottom w:val="0"/>
      <w:divBdr>
        <w:top w:val="none" w:sz="0" w:space="0" w:color="auto"/>
        <w:left w:val="none" w:sz="0" w:space="0" w:color="auto"/>
        <w:bottom w:val="none" w:sz="0" w:space="0" w:color="auto"/>
        <w:right w:val="none" w:sz="0" w:space="0" w:color="auto"/>
      </w:divBdr>
    </w:div>
    <w:div w:id="1562598684">
      <w:bodyDiv w:val="1"/>
      <w:marLeft w:val="0"/>
      <w:marRight w:val="0"/>
      <w:marTop w:val="0"/>
      <w:marBottom w:val="0"/>
      <w:divBdr>
        <w:top w:val="none" w:sz="0" w:space="0" w:color="auto"/>
        <w:left w:val="none" w:sz="0" w:space="0" w:color="auto"/>
        <w:bottom w:val="none" w:sz="0" w:space="0" w:color="auto"/>
        <w:right w:val="none" w:sz="0" w:space="0" w:color="auto"/>
      </w:divBdr>
    </w:div>
    <w:div w:id="1562667110">
      <w:bodyDiv w:val="1"/>
      <w:marLeft w:val="0"/>
      <w:marRight w:val="0"/>
      <w:marTop w:val="0"/>
      <w:marBottom w:val="0"/>
      <w:divBdr>
        <w:top w:val="none" w:sz="0" w:space="0" w:color="auto"/>
        <w:left w:val="none" w:sz="0" w:space="0" w:color="auto"/>
        <w:bottom w:val="none" w:sz="0" w:space="0" w:color="auto"/>
        <w:right w:val="none" w:sz="0" w:space="0" w:color="auto"/>
      </w:divBdr>
    </w:div>
    <w:div w:id="1562670489">
      <w:bodyDiv w:val="1"/>
      <w:marLeft w:val="0"/>
      <w:marRight w:val="0"/>
      <w:marTop w:val="0"/>
      <w:marBottom w:val="0"/>
      <w:divBdr>
        <w:top w:val="none" w:sz="0" w:space="0" w:color="auto"/>
        <w:left w:val="none" w:sz="0" w:space="0" w:color="auto"/>
        <w:bottom w:val="none" w:sz="0" w:space="0" w:color="auto"/>
        <w:right w:val="none" w:sz="0" w:space="0" w:color="auto"/>
      </w:divBdr>
    </w:div>
    <w:div w:id="1562861897">
      <w:bodyDiv w:val="1"/>
      <w:marLeft w:val="0"/>
      <w:marRight w:val="0"/>
      <w:marTop w:val="0"/>
      <w:marBottom w:val="0"/>
      <w:divBdr>
        <w:top w:val="none" w:sz="0" w:space="0" w:color="auto"/>
        <w:left w:val="none" w:sz="0" w:space="0" w:color="auto"/>
        <w:bottom w:val="none" w:sz="0" w:space="0" w:color="auto"/>
        <w:right w:val="none" w:sz="0" w:space="0" w:color="auto"/>
      </w:divBdr>
    </w:div>
    <w:div w:id="1562904480">
      <w:bodyDiv w:val="1"/>
      <w:marLeft w:val="0"/>
      <w:marRight w:val="0"/>
      <w:marTop w:val="0"/>
      <w:marBottom w:val="0"/>
      <w:divBdr>
        <w:top w:val="none" w:sz="0" w:space="0" w:color="auto"/>
        <w:left w:val="none" w:sz="0" w:space="0" w:color="auto"/>
        <w:bottom w:val="none" w:sz="0" w:space="0" w:color="auto"/>
        <w:right w:val="none" w:sz="0" w:space="0" w:color="auto"/>
      </w:divBdr>
    </w:div>
    <w:div w:id="1562907483">
      <w:bodyDiv w:val="1"/>
      <w:marLeft w:val="0"/>
      <w:marRight w:val="0"/>
      <w:marTop w:val="0"/>
      <w:marBottom w:val="0"/>
      <w:divBdr>
        <w:top w:val="none" w:sz="0" w:space="0" w:color="auto"/>
        <w:left w:val="none" w:sz="0" w:space="0" w:color="auto"/>
        <w:bottom w:val="none" w:sz="0" w:space="0" w:color="auto"/>
        <w:right w:val="none" w:sz="0" w:space="0" w:color="auto"/>
      </w:divBdr>
    </w:div>
    <w:div w:id="1562910844">
      <w:bodyDiv w:val="1"/>
      <w:marLeft w:val="0"/>
      <w:marRight w:val="0"/>
      <w:marTop w:val="0"/>
      <w:marBottom w:val="0"/>
      <w:divBdr>
        <w:top w:val="none" w:sz="0" w:space="0" w:color="auto"/>
        <w:left w:val="none" w:sz="0" w:space="0" w:color="auto"/>
        <w:bottom w:val="none" w:sz="0" w:space="0" w:color="auto"/>
        <w:right w:val="none" w:sz="0" w:space="0" w:color="auto"/>
      </w:divBdr>
    </w:div>
    <w:div w:id="1563057244">
      <w:bodyDiv w:val="1"/>
      <w:marLeft w:val="0"/>
      <w:marRight w:val="0"/>
      <w:marTop w:val="0"/>
      <w:marBottom w:val="0"/>
      <w:divBdr>
        <w:top w:val="none" w:sz="0" w:space="0" w:color="auto"/>
        <w:left w:val="none" w:sz="0" w:space="0" w:color="auto"/>
        <w:bottom w:val="none" w:sz="0" w:space="0" w:color="auto"/>
        <w:right w:val="none" w:sz="0" w:space="0" w:color="auto"/>
      </w:divBdr>
    </w:div>
    <w:div w:id="1563102353">
      <w:bodyDiv w:val="1"/>
      <w:marLeft w:val="0"/>
      <w:marRight w:val="0"/>
      <w:marTop w:val="0"/>
      <w:marBottom w:val="0"/>
      <w:divBdr>
        <w:top w:val="none" w:sz="0" w:space="0" w:color="auto"/>
        <w:left w:val="none" w:sz="0" w:space="0" w:color="auto"/>
        <w:bottom w:val="none" w:sz="0" w:space="0" w:color="auto"/>
        <w:right w:val="none" w:sz="0" w:space="0" w:color="auto"/>
      </w:divBdr>
    </w:div>
    <w:div w:id="1563129324">
      <w:bodyDiv w:val="1"/>
      <w:marLeft w:val="0"/>
      <w:marRight w:val="0"/>
      <w:marTop w:val="0"/>
      <w:marBottom w:val="0"/>
      <w:divBdr>
        <w:top w:val="none" w:sz="0" w:space="0" w:color="auto"/>
        <w:left w:val="none" w:sz="0" w:space="0" w:color="auto"/>
        <w:bottom w:val="none" w:sz="0" w:space="0" w:color="auto"/>
        <w:right w:val="none" w:sz="0" w:space="0" w:color="auto"/>
      </w:divBdr>
    </w:div>
    <w:div w:id="1563443680">
      <w:bodyDiv w:val="1"/>
      <w:marLeft w:val="0"/>
      <w:marRight w:val="0"/>
      <w:marTop w:val="0"/>
      <w:marBottom w:val="0"/>
      <w:divBdr>
        <w:top w:val="none" w:sz="0" w:space="0" w:color="auto"/>
        <w:left w:val="none" w:sz="0" w:space="0" w:color="auto"/>
        <w:bottom w:val="none" w:sz="0" w:space="0" w:color="auto"/>
        <w:right w:val="none" w:sz="0" w:space="0" w:color="auto"/>
      </w:divBdr>
    </w:div>
    <w:div w:id="1563521894">
      <w:bodyDiv w:val="1"/>
      <w:marLeft w:val="0"/>
      <w:marRight w:val="0"/>
      <w:marTop w:val="0"/>
      <w:marBottom w:val="0"/>
      <w:divBdr>
        <w:top w:val="none" w:sz="0" w:space="0" w:color="auto"/>
        <w:left w:val="none" w:sz="0" w:space="0" w:color="auto"/>
        <w:bottom w:val="none" w:sz="0" w:space="0" w:color="auto"/>
        <w:right w:val="none" w:sz="0" w:space="0" w:color="auto"/>
      </w:divBdr>
    </w:div>
    <w:div w:id="1563590386">
      <w:bodyDiv w:val="1"/>
      <w:marLeft w:val="0"/>
      <w:marRight w:val="0"/>
      <w:marTop w:val="0"/>
      <w:marBottom w:val="0"/>
      <w:divBdr>
        <w:top w:val="none" w:sz="0" w:space="0" w:color="auto"/>
        <w:left w:val="none" w:sz="0" w:space="0" w:color="auto"/>
        <w:bottom w:val="none" w:sz="0" w:space="0" w:color="auto"/>
        <w:right w:val="none" w:sz="0" w:space="0" w:color="auto"/>
      </w:divBdr>
    </w:div>
    <w:div w:id="1563633364">
      <w:bodyDiv w:val="1"/>
      <w:marLeft w:val="0"/>
      <w:marRight w:val="0"/>
      <w:marTop w:val="0"/>
      <w:marBottom w:val="0"/>
      <w:divBdr>
        <w:top w:val="none" w:sz="0" w:space="0" w:color="auto"/>
        <w:left w:val="none" w:sz="0" w:space="0" w:color="auto"/>
        <w:bottom w:val="none" w:sz="0" w:space="0" w:color="auto"/>
        <w:right w:val="none" w:sz="0" w:space="0" w:color="auto"/>
      </w:divBdr>
    </w:div>
    <w:div w:id="1563831518">
      <w:bodyDiv w:val="1"/>
      <w:marLeft w:val="0"/>
      <w:marRight w:val="0"/>
      <w:marTop w:val="0"/>
      <w:marBottom w:val="0"/>
      <w:divBdr>
        <w:top w:val="none" w:sz="0" w:space="0" w:color="auto"/>
        <w:left w:val="none" w:sz="0" w:space="0" w:color="auto"/>
        <w:bottom w:val="none" w:sz="0" w:space="0" w:color="auto"/>
        <w:right w:val="none" w:sz="0" w:space="0" w:color="auto"/>
      </w:divBdr>
    </w:div>
    <w:div w:id="1563831790">
      <w:bodyDiv w:val="1"/>
      <w:marLeft w:val="0"/>
      <w:marRight w:val="0"/>
      <w:marTop w:val="0"/>
      <w:marBottom w:val="0"/>
      <w:divBdr>
        <w:top w:val="none" w:sz="0" w:space="0" w:color="auto"/>
        <w:left w:val="none" w:sz="0" w:space="0" w:color="auto"/>
        <w:bottom w:val="none" w:sz="0" w:space="0" w:color="auto"/>
        <w:right w:val="none" w:sz="0" w:space="0" w:color="auto"/>
      </w:divBdr>
    </w:div>
    <w:div w:id="1563834410">
      <w:bodyDiv w:val="1"/>
      <w:marLeft w:val="0"/>
      <w:marRight w:val="0"/>
      <w:marTop w:val="0"/>
      <w:marBottom w:val="0"/>
      <w:divBdr>
        <w:top w:val="none" w:sz="0" w:space="0" w:color="auto"/>
        <w:left w:val="none" w:sz="0" w:space="0" w:color="auto"/>
        <w:bottom w:val="none" w:sz="0" w:space="0" w:color="auto"/>
        <w:right w:val="none" w:sz="0" w:space="0" w:color="auto"/>
      </w:divBdr>
    </w:div>
    <w:div w:id="1563902268">
      <w:bodyDiv w:val="1"/>
      <w:marLeft w:val="0"/>
      <w:marRight w:val="0"/>
      <w:marTop w:val="0"/>
      <w:marBottom w:val="0"/>
      <w:divBdr>
        <w:top w:val="none" w:sz="0" w:space="0" w:color="auto"/>
        <w:left w:val="none" w:sz="0" w:space="0" w:color="auto"/>
        <w:bottom w:val="none" w:sz="0" w:space="0" w:color="auto"/>
        <w:right w:val="none" w:sz="0" w:space="0" w:color="auto"/>
      </w:divBdr>
    </w:div>
    <w:div w:id="1563904314">
      <w:bodyDiv w:val="1"/>
      <w:marLeft w:val="0"/>
      <w:marRight w:val="0"/>
      <w:marTop w:val="0"/>
      <w:marBottom w:val="0"/>
      <w:divBdr>
        <w:top w:val="none" w:sz="0" w:space="0" w:color="auto"/>
        <w:left w:val="none" w:sz="0" w:space="0" w:color="auto"/>
        <w:bottom w:val="none" w:sz="0" w:space="0" w:color="auto"/>
        <w:right w:val="none" w:sz="0" w:space="0" w:color="auto"/>
      </w:divBdr>
    </w:div>
    <w:div w:id="1564021853">
      <w:bodyDiv w:val="1"/>
      <w:marLeft w:val="0"/>
      <w:marRight w:val="0"/>
      <w:marTop w:val="0"/>
      <w:marBottom w:val="0"/>
      <w:divBdr>
        <w:top w:val="none" w:sz="0" w:space="0" w:color="auto"/>
        <w:left w:val="none" w:sz="0" w:space="0" w:color="auto"/>
        <w:bottom w:val="none" w:sz="0" w:space="0" w:color="auto"/>
        <w:right w:val="none" w:sz="0" w:space="0" w:color="auto"/>
      </w:divBdr>
    </w:div>
    <w:div w:id="1564024354">
      <w:bodyDiv w:val="1"/>
      <w:marLeft w:val="0"/>
      <w:marRight w:val="0"/>
      <w:marTop w:val="0"/>
      <w:marBottom w:val="0"/>
      <w:divBdr>
        <w:top w:val="none" w:sz="0" w:space="0" w:color="auto"/>
        <w:left w:val="none" w:sz="0" w:space="0" w:color="auto"/>
        <w:bottom w:val="none" w:sz="0" w:space="0" w:color="auto"/>
        <w:right w:val="none" w:sz="0" w:space="0" w:color="auto"/>
      </w:divBdr>
    </w:div>
    <w:div w:id="1564095149">
      <w:bodyDiv w:val="1"/>
      <w:marLeft w:val="0"/>
      <w:marRight w:val="0"/>
      <w:marTop w:val="0"/>
      <w:marBottom w:val="0"/>
      <w:divBdr>
        <w:top w:val="none" w:sz="0" w:space="0" w:color="auto"/>
        <w:left w:val="none" w:sz="0" w:space="0" w:color="auto"/>
        <w:bottom w:val="none" w:sz="0" w:space="0" w:color="auto"/>
        <w:right w:val="none" w:sz="0" w:space="0" w:color="auto"/>
      </w:divBdr>
    </w:div>
    <w:div w:id="1564096392">
      <w:bodyDiv w:val="1"/>
      <w:marLeft w:val="0"/>
      <w:marRight w:val="0"/>
      <w:marTop w:val="0"/>
      <w:marBottom w:val="0"/>
      <w:divBdr>
        <w:top w:val="none" w:sz="0" w:space="0" w:color="auto"/>
        <w:left w:val="none" w:sz="0" w:space="0" w:color="auto"/>
        <w:bottom w:val="none" w:sz="0" w:space="0" w:color="auto"/>
        <w:right w:val="none" w:sz="0" w:space="0" w:color="auto"/>
      </w:divBdr>
    </w:div>
    <w:div w:id="1564171890">
      <w:bodyDiv w:val="1"/>
      <w:marLeft w:val="0"/>
      <w:marRight w:val="0"/>
      <w:marTop w:val="0"/>
      <w:marBottom w:val="0"/>
      <w:divBdr>
        <w:top w:val="none" w:sz="0" w:space="0" w:color="auto"/>
        <w:left w:val="none" w:sz="0" w:space="0" w:color="auto"/>
        <w:bottom w:val="none" w:sz="0" w:space="0" w:color="auto"/>
        <w:right w:val="none" w:sz="0" w:space="0" w:color="auto"/>
      </w:divBdr>
    </w:div>
    <w:div w:id="1564293086">
      <w:bodyDiv w:val="1"/>
      <w:marLeft w:val="0"/>
      <w:marRight w:val="0"/>
      <w:marTop w:val="0"/>
      <w:marBottom w:val="0"/>
      <w:divBdr>
        <w:top w:val="none" w:sz="0" w:space="0" w:color="auto"/>
        <w:left w:val="none" w:sz="0" w:space="0" w:color="auto"/>
        <w:bottom w:val="none" w:sz="0" w:space="0" w:color="auto"/>
        <w:right w:val="none" w:sz="0" w:space="0" w:color="auto"/>
      </w:divBdr>
    </w:div>
    <w:div w:id="1564369769">
      <w:bodyDiv w:val="1"/>
      <w:marLeft w:val="0"/>
      <w:marRight w:val="0"/>
      <w:marTop w:val="0"/>
      <w:marBottom w:val="0"/>
      <w:divBdr>
        <w:top w:val="none" w:sz="0" w:space="0" w:color="auto"/>
        <w:left w:val="none" w:sz="0" w:space="0" w:color="auto"/>
        <w:bottom w:val="none" w:sz="0" w:space="0" w:color="auto"/>
        <w:right w:val="none" w:sz="0" w:space="0" w:color="auto"/>
      </w:divBdr>
    </w:div>
    <w:div w:id="1564415263">
      <w:bodyDiv w:val="1"/>
      <w:marLeft w:val="0"/>
      <w:marRight w:val="0"/>
      <w:marTop w:val="0"/>
      <w:marBottom w:val="0"/>
      <w:divBdr>
        <w:top w:val="none" w:sz="0" w:space="0" w:color="auto"/>
        <w:left w:val="none" w:sz="0" w:space="0" w:color="auto"/>
        <w:bottom w:val="none" w:sz="0" w:space="0" w:color="auto"/>
        <w:right w:val="none" w:sz="0" w:space="0" w:color="auto"/>
      </w:divBdr>
    </w:div>
    <w:div w:id="1564607503">
      <w:bodyDiv w:val="1"/>
      <w:marLeft w:val="0"/>
      <w:marRight w:val="0"/>
      <w:marTop w:val="0"/>
      <w:marBottom w:val="0"/>
      <w:divBdr>
        <w:top w:val="none" w:sz="0" w:space="0" w:color="auto"/>
        <w:left w:val="none" w:sz="0" w:space="0" w:color="auto"/>
        <w:bottom w:val="none" w:sz="0" w:space="0" w:color="auto"/>
        <w:right w:val="none" w:sz="0" w:space="0" w:color="auto"/>
      </w:divBdr>
    </w:div>
    <w:div w:id="1564832493">
      <w:bodyDiv w:val="1"/>
      <w:marLeft w:val="0"/>
      <w:marRight w:val="0"/>
      <w:marTop w:val="0"/>
      <w:marBottom w:val="0"/>
      <w:divBdr>
        <w:top w:val="none" w:sz="0" w:space="0" w:color="auto"/>
        <w:left w:val="none" w:sz="0" w:space="0" w:color="auto"/>
        <w:bottom w:val="none" w:sz="0" w:space="0" w:color="auto"/>
        <w:right w:val="none" w:sz="0" w:space="0" w:color="auto"/>
      </w:divBdr>
    </w:div>
    <w:div w:id="1564949665">
      <w:bodyDiv w:val="1"/>
      <w:marLeft w:val="0"/>
      <w:marRight w:val="0"/>
      <w:marTop w:val="0"/>
      <w:marBottom w:val="0"/>
      <w:divBdr>
        <w:top w:val="none" w:sz="0" w:space="0" w:color="auto"/>
        <w:left w:val="none" w:sz="0" w:space="0" w:color="auto"/>
        <w:bottom w:val="none" w:sz="0" w:space="0" w:color="auto"/>
        <w:right w:val="none" w:sz="0" w:space="0" w:color="auto"/>
      </w:divBdr>
    </w:div>
    <w:div w:id="1565221527">
      <w:bodyDiv w:val="1"/>
      <w:marLeft w:val="0"/>
      <w:marRight w:val="0"/>
      <w:marTop w:val="0"/>
      <w:marBottom w:val="0"/>
      <w:divBdr>
        <w:top w:val="none" w:sz="0" w:space="0" w:color="auto"/>
        <w:left w:val="none" w:sz="0" w:space="0" w:color="auto"/>
        <w:bottom w:val="none" w:sz="0" w:space="0" w:color="auto"/>
        <w:right w:val="none" w:sz="0" w:space="0" w:color="auto"/>
      </w:divBdr>
    </w:div>
    <w:div w:id="1565262707">
      <w:bodyDiv w:val="1"/>
      <w:marLeft w:val="0"/>
      <w:marRight w:val="0"/>
      <w:marTop w:val="0"/>
      <w:marBottom w:val="0"/>
      <w:divBdr>
        <w:top w:val="none" w:sz="0" w:space="0" w:color="auto"/>
        <w:left w:val="none" w:sz="0" w:space="0" w:color="auto"/>
        <w:bottom w:val="none" w:sz="0" w:space="0" w:color="auto"/>
        <w:right w:val="none" w:sz="0" w:space="0" w:color="auto"/>
      </w:divBdr>
    </w:div>
    <w:div w:id="1565294230">
      <w:bodyDiv w:val="1"/>
      <w:marLeft w:val="0"/>
      <w:marRight w:val="0"/>
      <w:marTop w:val="0"/>
      <w:marBottom w:val="0"/>
      <w:divBdr>
        <w:top w:val="none" w:sz="0" w:space="0" w:color="auto"/>
        <w:left w:val="none" w:sz="0" w:space="0" w:color="auto"/>
        <w:bottom w:val="none" w:sz="0" w:space="0" w:color="auto"/>
        <w:right w:val="none" w:sz="0" w:space="0" w:color="auto"/>
      </w:divBdr>
    </w:div>
    <w:div w:id="1565335692">
      <w:bodyDiv w:val="1"/>
      <w:marLeft w:val="0"/>
      <w:marRight w:val="0"/>
      <w:marTop w:val="0"/>
      <w:marBottom w:val="0"/>
      <w:divBdr>
        <w:top w:val="none" w:sz="0" w:space="0" w:color="auto"/>
        <w:left w:val="none" w:sz="0" w:space="0" w:color="auto"/>
        <w:bottom w:val="none" w:sz="0" w:space="0" w:color="auto"/>
        <w:right w:val="none" w:sz="0" w:space="0" w:color="auto"/>
      </w:divBdr>
    </w:div>
    <w:div w:id="1565489159">
      <w:bodyDiv w:val="1"/>
      <w:marLeft w:val="0"/>
      <w:marRight w:val="0"/>
      <w:marTop w:val="0"/>
      <w:marBottom w:val="0"/>
      <w:divBdr>
        <w:top w:val="none" w:sz="0" w:space="0" w:color="auto"/>
        <w:left w:val="none" w:sz="0" w:space="0" w:color="auto"/>
        <w:bottom w:val="none" w:sz="0" w:space="0" w:color="auto"/>
        <w:right w:val="none" w:sz="0" w:space="0" w:color="auto"/>
      </w:divBdr>
    </w:div>
    <w:div w:id="1565524562">
      <w:bodyDiv w:val="1"/>
      <w:marLeft w:val="0"/>
      <w:marRight w:val="0"/>
      <w:marTop w:val="0"/>
      <w:marBottom w:val="0"/>
      <w:divBdr>
        <w:top w:val="none" w:sz="0" w:space="0" w:color="auto"/>
        <w:left w:val="none" w:sz="0" w:space="0" w:color="auto"/>
        <w:bottom w:val="none" w:sz="0" w:space="0" w:color="auto"/>
        <w:right w:val="none" w:sz="0" w:space="0" w:color="auto"/>
      </w:divBdr>
    </w:div>
    <w:div w:id="1565605984">
      <w:bodyDiv w:val="1"/>
      <w:marLeft w:val="0"/>
      <w:marRight w:val="0"/>
      <w:marTop w:val="0"/>
      <w:marBottom w:val="0"/>
      <w:divBdr>
        <w:top w:val="none" w:sz="0" w:space="0" w:color="auto"/>
        <w:left w:val="none" w:sz="0" w:space="0" w:color="auto"/>
        <w:bottom w:val="none" w:sz="0" w:space="0" w:color="auto"/>
        <w:right w:val="none" w:sz="0" w:space="0" w:color="auto"/>
      </w:divBdr>
    </w:div>
    <w:div w:id="1565676715">
      <w:bodyDiv w:val="1"/>
      <w:marLeft w:val="0"/>
      <w:marRight w:val="0"/>
      <w:marTop w:val="0"/>
      <w:marBottom w:val="0"/>
      <w:divBdr>
        <w:top w:val="none" w:sz="0" w:space="0" w:color="auto"/>
        <w:left w:val="none" w:sz="0" w:space="0" w:color="auto"/>
        <w:bottom w:val="none" w:sz="0" w:space="0" w:color="auto"/>
        <w:right w:val="none" w:sz="0" w:space="0" w:color="auto"/>
      </w:divBdr>
    </w:div>
    <w:div w:id="1565683244">
      <w:bodyDiv w:val="1"/>
      <w:marLeft w:val="0"/>
      <w:marRight w:val="0"/>
      <w:marTop w:val="0"/>
      <w:marBottom w:val="0"/>
      <w:divBdr>
        <w:top w:val="none" w:sz="0" w:space="0" w:color="auto"/>
        <w:left w:val="none" w:sz="0" w:space="0" w:color="auto"/>
        <w:bottom w:val="none" w:sz="0" w:space="0" w:color="auto"/>
        <w:right w:val="none" w:sz="0" w:space="0" w:color="auto"/>
      </w:divBdr>
    </w:div>
    <w:div w:id="1565876982">
      <w:bodyDiv w:val="1"/>
      <w:marLeft w:val="0"/>
      <w:marRight w:val="0"/>
      <w:marTop w:val="0"/>
      <w:marBottom w:val="0"/>
      <w:divBdr>
        <w:top w:val="none" w:sz="0" w:space="0" w:color="auto"/>
        <w:left w:val="none" w:sz="0" w:space="0" w:color="auto"/>
        <w:bottom w:val="none" w:sz="0" w:space="0" w:color="auto"/>
        <w:right w:val="none" w:sz="0" w:space="0" w:color="auto"/>
      </w:divBdr>
    </w:div>
    <w:div w:id="1565990336">
      <w:bodyDiv w:val="1"/>
      <w:marLeft w:val="0"/>
      <w:marRight w:val="0"/>
      <w:marTop w:val="0"/>
      <w:marBottom w:val="0"/>
      <w:divBdr>
        <w:top w:val="none" w:sz="0" w:space="0" w:color="auto"/>
        <w:left w:val="none" w:sz="0" w:space="0" w:color="auto"/>
        <w:bottom w:val="none" w:sz="0" w:space="0" w:color="auto"/>
        <w:right w:val="none" w:sz="0" w:space="0" w:color="auto"/>
      </w:divBdr>
    </w:div>
    <w:div w:id="1566061523">
      <w:bodyDiv w:val="1"/>
      <w:marLeft w:val="0"/>
      <w:marRight w:val="0"/>
      <w:marTop w:val="0"/>
      <w:marBottom w:val="0"/>
      <w:divBdr>
        <w:top w:val="none" w:sz="0" w:space="0" w:color="auto"/>
        <w:left w:val="none" w:sz="0" w:space="0" w:color="auto"/>
        <w:bottom w:val="none" w:sz="0" w:space="0" w:color="auto"/>
        <w:right w:val="none" w:sz="0" w:space="0" w:color="auto"/>
      </w:divBdr>
    </w:div>
    <w:div w:id="1566062196">
      <w:bodyDiv w:val="1"/>
      <w:marLeft w:val="0"/>
      <w:marRight w:val="0"/>
      <w:marTop w:val="0"/>
      <w:marBottom w:val="0"/>
      <w:divBdr>
        <w:top w:val="none" w:sz="0" w:space="0" w:color="auto"/>
        <w:left w:val="none" w:sz="0" w:space="0" w:color="auto"/>
        <w:bottom w:val="none" w:sz="0" w:space="0" w:color="auto"/>
        <w:right w:val="none" w:sz="0" w:space="0" w:color="auto"/>
      </w:divBdr>
    </w:div>
    <w:div w:id="1566064728">
      <w:bodyDiv w:val="1"/>
      <w:marLeft w:val="0"/>
      <w:marRight w:val="0"/>
      <w:marTop w:val="0"/>
      <w:marBottom w:val="0"/>
      <w:divBdr>
        <w:top w:val="none" w:sz="0" w:space="0" w:color="auto"/>
        <w:left w:val="none" w:sz="0" w:space="0" w:color="auto"/>
        <w:bottom w:val="none" w:sz="0" w:space="0" w:color="auto"/>
        <w:right w:val="none" w:sz="0" w:space="0" w:color="auto"/>
      </w:divBdr>
    </w:div>
    <w:div w:id="1566138399">
      <w:bodyDiv w:val="1"/>
      <w:marLeft w:val="0"/>
      <w:marRight w:val="0"/>
      <w:marTop w:val="0"/>
      <w:marBottom w:val="0"/>
      <w:divBdr>
        <w:top w:val="none" w:sz="0" w:space="0" w:color="auto"/>
        <w:left w:val="none" w:sz="0" w:space="0" w:color="auto"/>
        <w:bottom w:val="none" w:sz="0" w:space="0" w:color="auto"/>
        <w:right w:val="none" w:sz="0" w:space="0" w:color="auto"/>
      </w:divBdr>
    </w:div>
    <w:div w:id="1566141669">
      <w:bodyDiv w:val="1"/>
      <w:marLeft w:val="0"/>
      <w:marRight w:val="0"/>
      <w:marTop w:val="0"/>
      <w:marBottom w:val="0"/>
      <w:divBdr>
        <w:top w:val="none" w:sz="0" w:space="0" w:color="auto"/>
        <w:left w:val="none" w:sz="0" w:space="0" w:color="auto"/>
        <w:bottom w:val="none" w:sz="0" w:space="0" w:color="auto"/>
        <w:right w:val="none" w:sz="0" w:space="0" w:color="auto"/>
      </w:divBdr>
    </w:div>
    <w:div w:id="1566187389">
      <w:bodyDiv w:val="1"/>
      <w:marLeft w:val="0"/>
      <w:marRight w:val="0"/>
      <w:marTop w:val="0"/>
      <w:marBottom w:val="0"/>
      <w:divBdr>
        <w:top w:val="none" w:sz="0" w:space="0" w:color="auto"/>
        <w:left w:val="none" w:sz="0" w:space="0" w:color="auto"/>
        <w:bottom w:val="none" w:sz="0" w:space="0" w:color="auto"/>
        <w:right w:val="none" w:sz="0" w:space="0" w:color="auto"/>
      </w:divBdr>
    </w:div>
    <w:div w:id="1566258972">
      <w:bodyDiv w:val="1"/>
      <w:marLeft w:val="0"/>
      <w:marRight w:val="0"/>
      <w:marTop w:val="0"/>
      <w:marBottom w:val="0"/>
      <w:divBdr>
        <w:top w:val="none" w:sz="0" w:space="0" w:color="auto"/>
        <w:left w:val="none" w:sz="0" w:space="0" w:color="auto"/>
        <w:bottom w:val="none" w:sz="0" w:space="0" w:color="auto"/>
        <w:right w:val="none" w:sz="0" w:space="0" w:color="auto"/>
      </w:divBdr>
    </w:div>
    <w:div w:id="1566261725">
      <w:bodyDiv w:val="1"/>
      <w:marLeft w:val="0"/>
      <w:marRight w:val="0"/>
      <w:marTop w:val="0"/>
      <w:marBottom w:val="0"/>
      <w:divBdr>
        <w:top w:val="none" w:sz="0" w:space="0" w:color="auto"/>
        <w:left w:val="none" w:sz="0" w:space="0" w:color="auto"/>
        <w:bottom w:val="none" w:sz="0" w:space="0" w:color="auto"/>
        <w:right w:val="none" w:sz="0" w:space="0" w:color="auto"/>
      </w:divBdr>
    </w:div>
    <w:div w:id="1566331582">
      <w:bodyDiv w:val="1"/>
      <w:marLeft w:val="0"/>
      <w:marRight w:val="0"/>
      <w:marTop w:val="0"/>
      <w:marBottom w:val="0"/>
      <w:divBdr>
        <w:top w:val="none" w:sz="0" w:space="0" w:color="auto"/>
        <w:left w:val="none" w:sz="0" w:space="0" w:color="auto"/>
        <w:bottom w:val="none" w:sz="0" w:space="0" w:color="auto"/>
        <w:right w:val="none" w:sz="0" w:space="0" w:color="auto"/>
      </w:divBdr>
    </w:div>
    <w:div w:id="1566405724">
      <w:bodyDiv w:val="1"/>
      <w:marLeft w:val="0"/>
      <w:marRight w:val="0"/>
      <w:marTop w:val="0"/>
      <w:marBottom w:val="0"/>
      <w:divBdr>
        <w:top w:val="none" w:sz="0" w:space="0" w:color="auto"/>
        <w:left w:val="none" w:sz="0" w:space="0" w:color="auto"/>
        <w:bottom w:val="none" w:sz="0" w:space="0" w:color="auto"/>
        <w:right w:val="none" w:sz="0" w:space="0" w:color="auto"/>
      </w:divBdr>
    </w:div>
    <w:div w:id="1566456456">
      <w:bodyDiv w:val="1"/>
      <w:marLeft w:val="0"/>
      <w:marRight w:val="0"/>
      <w:marTop w:val="0"/>
      <w:marBottom w:val="0"/>
      <w:divBdr>
        <w:top w:val="none" w:sz="0" w:space="0" w:color="auto"/>
        <w:left w:val="none" w:sz="0" w:space="0" w:color="auto"/>
        <w:bottom w:val="none" w:sz="0" w:space="0" w:color="auto"/>
        <w:right w:val="none" w:sz="0" w:space="0" w:color="auto"/>
      </w:divBdr>
    </w:div>
    <w:div w:id="1566527918">
      <w:bodyDiv w:val="1"/>
      <w:marLeft w:val="0"/>
      <w:marRight w:val="0"/>
      <w:marTop w:val="0"/>
      <w:marBottom w:val="0"/>
      <w:divBdr>
        <w:top w:val="none" w:sz="0" w:space="0" w:color="auto"/>
        <w:left w:val="none" w:sz="0" w:space="0" w:color="auto"/>
        <w:bottom w:val="none" w:sz="0" w:space="0" w:color="auto"/>
        <w:right w:val="none" w:sz="0" w:space="0" w:color="auto"/>
      </w:divBdr>
    </w:div>
    <w:div w:id="1566641093">
      <w:bodyDiv w:val="1"/>
      <w:marLeft w:val="0"/>
      <w:marRight w:val="0"/>
      <w:marTop w:val="0"/>
      <w:marBottom w:val="0"/>
      <w:divBdr>
        <w:top w:val="none" w:sz="0" w:space="0" w:color="auto"/>
        <w:left w:val="none" w:sz="0" w:space="0" w:color="auto"/>
        <w:bottom w:val="none" w:sz="0" w:space="0" w:color="auto"/>
        <w:right w:val="none" w:sz="0" w:space="0" w:color="auto"/>
      </w:divBdr>
    </w:div>
    <w:div w:id="1566915141">
      <w:bodyDiv w:val="1"/>
      <w:marLeft w:val="0"/>
      <w:marRight w:val="0"/>
      <w:marTop w:val="0"/>
      <w:marBottom w:val="0"/>
      <w:divBdr>
        <w:top w:val="none" w:sz="0" w:space="0" w:color="auto"/>
        <w:left w:val="none" w:sz="0" w:space="0" w:color="auto"/>
        <w:bottom w:val="none" w:sz="0" w:space="0" w:color="auto"/>
        <w:right w:val="none" w:sz="0" w:space="0" w:color="auto"/>
      </w:divBdr>
    </w:div>
    <w:div w:id="1566915692">
      <w:bodyDiv w:val="1"/>
      <w:marLeft w:val="0"/>
      <w:marRight w:val="0"/>
      <w:marTop w:val="0"/>
      <w:marBottom w:val="0"/>
      <w:divBdr>
        <w:top w:val="none" w:sz="0" w:space="0" w:color="auto"/>
        <w:left w:val="none" w:sz="0" w:space="0" w:color="auto"/>
        <w:bottom w:val="none" w:sz="0" w:space="0" w:color="auto"/>
        <w:right w:val="none" w:sz="0" w:space="0" w:color="auto"/>
      </w:divBdr>
    </w:div>
    <w:div w:id="1567106526">
      <w:bodyDiv w:val="1"/>
      <w:marLeft w:val="0"/>
      <w:marRight w:val="0"/>
      <w:marTop w:val="0"/>
      <w:marBottom w:val="0"/>
      <w:divBdr>
        <w:top w:val="none" w:sz="0" w:space="0" w:color="auto"/>
        <w:left w:val="none" w:sz="0" w:space="0" w:color="auto"/>
        <w:bottom w:val="none" w:sz="0" w:space="0" w:color="auto"/>
        <w:right w:val="none" w:sz="0" w:space="0" w:color="auto"/>
      </w:divBdr>
    </w:div>
    <w:div w:id="1567183964">
      <w:bodyDiv w:val="1"/>
      <w:marLeft w:val="0"/>
      <w:marRight w:val="0"/>
      <w:marTop w:val="0"/>
      <w:marBottom w:val="0"/>
      <w:divBdr>
        <w:top w:val="none" w:sz="0" w:space="0" w:color="auto"/>
        <w:left w:val="none" w:sz="0" w:space="0" w:color="auto"/>
        <w:bottom w:val="none" w:sz="0" w:space="0" w:color="auto"/>
        <w:right w:val="none" w:sz="0" w:space="0" w:color="auto"/>
      </w:divBdr>
    </w:div>
    <w:div w:id="1567302842">
      <w:bodyDiv w:val="1"/>
      <w:marLeft w:val="0"/>
      <w:marRight w:val="0"/>
      <w:marTop w:val="0"/>
      <w:marBottom w:val="0"/>
      <w:divBdr>
        <w:top w:val="none" w:sz="0" w:space="0" w:color="auto"/>
        <w:left w:val="none" w:sz="0" w:space="0" w:color="auto"/>
        <w:bottom w:val="none" w:sz="0" w:space="0" w:color="auto"/>
        <w:right w:val="none" w:sz="0" w:space="0" w:color="auto"/>
      </w:divBdr>
    </w:div>
    <w:div w:id="1567377650">
      <w:bodyDiv w:val="1"/>
      <w:marLeft w:val="0"/>
      <w:marRight w:val="0"/>
      <w:marTop w:val="0"/>
      <w:marBottom w:val="0"/>
      <w:divBdr>
        <w:top w:val="none" w:sz="0" w:space="0" w:color="auto"/>
        <w:left w:val="none" w:sz="0" w:space="0" w:color="auto"/>
        <w:bottom w:val="none" w:sz="0" w:space="0" w:color="auto"/>
        <w:right w:val="none" w:sz="0" w:space="0" w:color="auto"/>
      </w:divBdr>
    </w:div>
    <w:div w:id="1567380699">
      <w:bodyDiv w:val="1"/>
      <w:marLeft w:val="0"/>
      <w:marRight w:val="0"/>
      <w:marTop w:val="0"/>
      <w:marBottom w:val="0"/>
      <w:divBdr>
        <w:top w:val="none" w:sz="0" w:space="0" w:color="auto"/>
        <w:left w:val="none" w:sz="0" w:space="0" w:color="auto"/>
        <w:bottom w:val="none" w:sz="0" w:space="0" w:color="auto"/>
        <w:right w:val="none" w:sz="0" w:space="0" w:color="auto"/>
      </w:divBdr>
    </w:div>
    <w:div w:id="1567495454">
      <w:bodyDiv w:val="1"/>
      <w:marLeft w:val="0"/>
      <w:marRight w:val="0"/>
      <w:marTop w:val="0"/>
      <w:marBottom w:val="0"/>
      <w:divBdr>
        <w:top w:val="none" w:sz="0" w:space="0" w:color="auto"/>
        <w:left w:val="none" w:sz="0" w:space="0" w:color="auto"/>
        <w:bottom w:val="none" w:sz="0" w:space="0" w:color="auto"/>
        <w:right w:val="none" w:sz="0" w:space="0" w:color="auto"/>
      </w:divBdr>
    </w:div>
    <w:div w:id="1567567309">
      <w:bodyDiv w:val="1"/>
      <w:marLeft w:val="0"/>
      <w:marRight w:val="0"/>
      <w:marTop w:val="0"/>
      <w:marBottom w:val="0"/>
      <w:divBdr>
        <w:top w:val="none" w:sz="0" w:space="0" w:color="auto"/>
        <w:left w:val="none" w:sz="0" w:space="0" w:color="auto"/>
        <w:bottom w:val="none" w:sz="0" w:space="0" w:color="auto"/>
        <w:right w:val="none" w:sz="0" w:space="0" w:color="auto"/>
      </w:divBdr>
    </w:div>
    <w:div w:id="1567567461">
      <w:bodyDiv w:val="1"/>
      <w:marLeft w:val="0"/>
      <w:marRight w:val="0"/>
      <w:marTop w:val="0"/>
      <w:marBottom w:val="0"/>
      <w:divBdr>
        <w:top w:val="none" w:sz="0" w:space="0" w:color="auto"/>
        <w:left w:val="none" w:sz="0" w:space="0" w:color="auto"/>
        <w:bottom w:val="none" w:sz="0" w:space="0" w:color="auto"/>
        <w:right w:val="none" w:sz="0" w:space="0" w:color="auto"/>
      </w:divBdr>
    </w:div>
    <w:div w:id="1567763538">
      <w:bodyDiv w:val="1"/>
      <w:marLeft w:val="0"/>
      <w:marRight w:val="0"/>
      <w:marTop w:val="0"/>
      <w:marBottom w:val="0"/>
      <w:divBdr>
        <w:top w:val="none" w:sz="0" w:space="0" w:color="auto"/>
        <w:left w:val="none" w:sz="0" w:space="0" w:color="auto"/>
        <w:bottom w:val="none" w:sz="0" w:space="0" w:color="auto"/>
        <w:right w:val="none" w:sz="0" w:space="0" w:color="auto"/>
      </w:divBdr>
    </w:div>
    <w:div w:id="1567834093">
      <w:bodyDiv w:val="1"/>
      <w:marLeft w:val="0"/>
      <w:marRight w:val="0"/>
      <w:marTop w:val="0"/>
      <w:marBottom w:val="0"/>
      <w:divBdr>
        <w:top w:val="none" w:sz="0" w:space="0" w:color="auto"/>
        <w:left w:val="none" w:sz="0" w:space="0" w:color="auto"/>
        <w:bottom w:val="none" w:sz="0" w:space="0" w:color="auto"/>
        <w:right w:val="none" w:sz="0" w:space="0" w:color="auto"/>
      </w:divBdr>
    </w:div>
    <w:div w:id="1567839993">
      <w:bodyDiv w:val="1"/>
      <w:marLeft w:val="0"/>
      <w:marRight w:val="0"/>
      <w:marTop w:val="0"/>
      <w:marBottom w:val="0"/>
      <w:divBdr>
        <w:top w:val="none" w:sz="0" w:space="0" w:color="auto"/>
        <w:left w:val="none" w:sz="0" w:space="0" w:color="auto"/>
        <w:bottom w:val="none" w:sz="0" w:space="0" w:color="auto"/>
        <w:right w:val="none" w:sz="0" w:space="0" w:color="auto"/>
      </w:divBdr>
    </w:div>
    <w:div w:id="1567908564">
      <w:bodyDiv w:val="1"/>
      <w:marLeft w:val="0"/>
      <w:marRight w:val="0"/>
      <w:marTop w:val="0"/>
      <w:marBottom w:val="0"/>
      <w:divBdr>
        <w:top w:val="none" w:sz="0" w:space="0" w:color="auto"/>
        <w:left w:val="none" w:sz="0" w:space="0" w:color="auto"/>
        <w:bottom w:val="none" w:sz="0" w:space="0" w:color="auto"/>
        <w:right w:val="none" w:sz="0" w:space="0" w:color="auto"/>
      </w:divBdr>
    </w:div>
    <w:div w:id="1567958791">
      <w:bodyDiv w:val="1"/>
      <w:marLeft w:val="0"/>
      <w:marRight w:val="0"/>
      <w:marTop w:val="0"/>
      <w:marBottom w:val="0"/>
      <w:divBdr>
        <w:top w:val="none" w:sz="0" w:space="0" w:color="auto"/>
        <w:left w:val="none" w:sz="0" w:space="0" w:color="auto"/>
        <w:bottom w:val="none" w:sz="0" w:space="0" w:color="auto"/>
        <w:right w:val="none" w:sz="0" w:space="0" w:color="auto"/>
      </w:divBdr>
    </w:div>
    <w:div w:id="1568147865">
      <w:bodyDiv w:val="1"/>
      <w:marLeft w:val="0"/>
      <w:marRight w:val="0"/>
      <w:marTop w:val="0"/>
      <w:marBottom w:val="0"/>
      <w:divBdr>
        <w:top w:val="none" w:sz="0" w:space="0" w:color="auto"/>
        <w:left w:val="none" w:sz="0" w:space="0" w:color="auto"/>
        <w:bottom w:val="none" w:sz="0" w:space="0" w:color="auto"/>
        <w:right w:val="none" w:sz="0" w:space="0" w:color="auto"/>
      </w:divBdr>
    </w:div>
    <w:div w:id="1568152656">
      <w:bodyDiv w:val="1"/>
      <w:marLeft w:val="0"/>
      <w:marRight w:val="0"/>
      <w:marTop w:val="0"/>
      <w:marBottom w:val="0"/>
      <w:divBdr>
        <w:top w:val="none" w:sz="0" w:space="0" w:color="auto"/>
        <w:left w:val="none" w:sz="0" w:space="0" w:color="auto"/>
        <w:bottom w:val="none" w:sz="0" w:space="0" w:color="auto"/>
        <w:right w:val="none" w:sz="0" w:space="0" w:color="auto"/>
      </w:divBdr>
    </w:div>
    <w:div w:id="1568295169">
      <w:bodyDiv w:val="1"/>
      <w:marLeft w:val="0"/>
      <w:marRight w:val="0"/>
      <w:marTop w:val="0"/>
      <w:marBottom w:val="0"/>
      <w:divBdr>
        <w:top w:val="none" w:sz="0" w:space="0" w:color="auto"/>
        <w:left w:val="none" w:sz="0" w:space="0" w:color="auto"/>
        <w:bottom w:val="none" w:sz="0" w:space="0" w:color="auto"/>
        <w:right w:val="none" w:sz="0" w:space="0" w:color="auto"/>
      </w:divBdr>
    </w:div>
    <w:div w:id="1568304468">
      <w:bodyDiv w:val="1"/>
      <w:marLeft w:val="0"/>
      <w:marRight w:val="0"/>
      <w:marTop w:val="0"/>
      <w:marBottom w:val="0"/>
      <w:divBdr>
        <w:top w:val="none" w:sz="0" w:space="0" w:color="auto"/>
        <w:left w:val="none" w:sz="0" w:space="0" w:color="auto"/>
        <w:bottom w:val="none" w:sz="0" w:space="0" w:color="auto"/>
        <w:right w:val="none" w:sz="0" w:space="0" w:color="auto"/>
      </w:divBdr>
    </w:div>
    <w:div w:id="1568416963">
      <w:bodyDiv w:val="1"/>
      <w:marLeft w:val="0"/>
      <w:marRight w:val="0"/>
      <w:marTop w:val="0"/>
      <w:marBottom w:val="0"/>
      <w:divBdr>
        <w:top w:val="none" w:sz="0" w:space="0" w:color="auto"/>
        <w:left w:val="none" w:sz="0" w:space="0" w:color="auto"/>
        <w:bottom w:val="none" w:sz="0" w:space="0" w:color="auto"/>
        <w:right w:val="none" w:sz="0" w:space="0" w:color="auto"/>
      </w:divBdr>
    </w:div>
    <w:div w:id="1568417054">
      <w:bodyDiv w:val="1"/>
      <w:marLeft w:val="0"/>
      <w:marRight w:val="0"/>
      <w:marTop w:val="0"/>
      <w:marBottom w:val="0"/>
      <w:divBdr>
        <w:top w:val="none" w:sz="0" w:space="0" w:color="auto"/>
        <w:left w:val="none" w:sz="0" w:space="0" w:color="auto"/>
        <w:bottom w:val="none" w:sz="0" w:space="0" w:color="auto"/>
        <w:right w:val="none" w:sz="0" w:space="0" w:color="auto"/>
      </w:divBdr>
    </w:div>
    <w:div w:id="1568419215">
      <w:bodyDiv w:val="1"/>
      <w:marLeft w:val="0"/>
      <w:marRight w:val="0"/>
      <w:marTop w:val="0"/>
      <w:marBottom w:val="0"/>
      <w:divBdr>
        <w:top w:val="none" w:sz="0" w:space="0" w:color="auto"/>
        <w:left w:val="none" w:sz="0" w:space="0" w:color="auto"/>
        <w:bottom w:val="none" w:sz="0" w:space="0" w:color="auto"/>
        <w:right w:val="none" w:sz="0" w:space="0" w:color="auto"/>
      </w:divBdr>
    </w:div>
    <w:div w:id="1568495489">
      <w:bodyDiv w:val="1"/>
      <w:marLeft w:val="0"/>
      <w:marRight w:val="0"/>
      <w:marTop w:val="0"/>
      <w:marBottom w:val="0"/>
      <w:divBdr>
        <w:top w:val="none" w:sz="0" w:space="0" w:color="auto"/>
        <w:left w:val="none" w:sz="0" w:space="0" w:color="auto"/>
        <w:bottom w:val="none" w:sz="0" w:space="0" w:color="auto"/>
        <w:right w:val="none" w:sz="0" w:space="0" w:color="auto"/>
      </w:divBdr>
    </w:div>
    <w:div w:id="1568610749">
      <w:bodyDiv w:val="1"/>
      <w:marLeft w:val="0"/>
      <w:marRight w:val="0"/>
      <w:marTop w:val="0"/>
      <w:marBottom w:val="0"/>
      <w:divBdr>
        <w:top w:val="none" w:sz="0" w:space="0" w:color="auto"/>
        <w:left w:val="none" w:sz="0" w:space="0" w:color="auto"/>
        <w:bottom w:val="none" w:sz="0" w:space="0" w:color="auto"/>
        <w:right w:val="none" w:sz="0" w:space="0" w:color="auto"/>
      </w:divBdr>
    </w:div>
    <w:div w:id="1568690634">
      <w:bodyDiv w:val="1"/>
      <w:marLeft w:val="0"/>
      <w:marRight w:val="0"/>
      <w:marTop w:val="0"/>
      <w:marBottom w:val="0"/>
      <w:divBdr>
        <w:top w:val="none" w:sz="0" w:space="0" w:color="auto"/>
        <w:left w:val="none" w:sz="0" w:space="0" w:color="auto"/>
        <w:bottom w:val="none" w:sz="0" w:space="0" w:color="auto"/>
        <w:right w:val="none" w:sz="0" w:space="0" w:color="auto"/>
      </w:divBdr>
    </w:div>
    <w:div w:id="1568881353">
      <w:bodyDiv w:val="1"/>
      <w:marLeft w:val="0"/>
      <w:marRight w:val="0"/>
      <w:marTop w:val="0"/>
      <w:marBottom w:val="0"/>
      <w:divBdr>
        <w:top w:val="none" w:sz="0" w:space="0" w:color="auto"/>
        <w:left w:val="none" w:sz="0" w:space="0" w:color="auto"/>
        <w:bottom w:val="none" w:sz="0" w:space="0" w:color="auto"/>
        <w:right w:val="none" w:sz="0" w:space="0" w:color="auto"/>
      </w:divBdr>
    </w:div>
    <w:div w:id="1568955841">
      <w:bodyDiv w:val="1"/>
      <w:marLeft w:val="0"/>
      <w:marRight w:val="0"/>
      <w:marTop w:val="0"/>
      <w:marBottom w:val="0"/>
      <w:divBdr>
        <w:top w:val="none" w:sz="0" w:space="0" w:color="auto"/>
        <w:left w:val="none" w:sz="0" w:space="0" w:color="auto"/>
        <w:bottom w:val="none" w:sz="0" w:space="0" w:color="auto"/>
        <w:right w:val="none" w:sz="0" w:space="0" w:color="auto"/>
      </w:divBdr>
    </w:div>
    <w:div w:id="1568958356">
      <w:bodyDiv w:val="1"/>
      <w:marLeft w:val="0"/>
      <w:marRight w:val="0"/>
      <w:marTop w:val="0"/>
      <w:marBottom w:val="0"/>
      <w:divBdr>
        <w:top w:val="none" w:sz="0" w:space="0" w:color="auto"/>
        <w:left w:val="none" w:sz="0" w:space="0" w:color="auto"/>
        <w:bottom w:val="none" w:sz="0" w:space="0" w:color="auto"/>
        <w:right w:val="none" w:sz="0" w:space="0" w:color="auto"/>
      </w:divBdr>
    </w:div>
    <w:div w:id="1569068753">
      <w:bodyDiv w:val="1"/>
      <w:marLeft w:val="0"/>
      <w:marRight w:val="0"/>
      <w:marTop w:val="0"/>
      <w:marBottom w:val="0"/>
      <w:divBdr>
        <w:top w:val="none" w:sz="0" w:space="0" w:color="auto"/>
        <w:left w:val="none" w:sz="0" w:space="0" w:color="auto"/>
        <w:bottom w:val="none" w:sz="0" w:space="0" w:color="auto"/>
        <w:right w:val="none" w:sz="0" w:space="0" w:color="auto"/>
      </w:divBdr>
    </w:div>
    <w:div w:id="1569146653">
      <w:bodyDiv w:val="1"/>
      <w:marLeft w:val="0"/>
      <w:marRight w:val="0"/>
      <w:marTop w:val="0"/>
      <w:marBottom w:val="0"/>
      <w:divBdr>
        <w:top w:val="none" w:sz="0" w:space="0" w:color="auto"/>
        <w:left w:val="none" w:sz="0" w:space="0" w:color="auto"/>
        <w:bottom w:val="none" w:sz="0" w:space="0" w:color="auto"/>
        <w:right w:val="none" w:sz="0" w:space="0" w:color="auto"/>
      </w:divBdr>
    </w:div>
    <w:div w:id="1569338683">
      <w:bodyDiv w:val="1"/>
      <w:marLeft w:val="0"/>
      <w:marRight w:val="0"/>
      <w:marTop w:val="0"/>
      <w:marBottom w:val="0"/>
      <w:divBdr>
        <w:top w:val="none" w:sz="0" w:space="0" w:color="auto"/>
        <w:left w:val="none" w:sz="0" w:space="0" w:color="auto"/>
        <w:bottom w:val="none" w:sz="0" w:space="0" w:color="auto"/>
        <w:right w:val="none" w:sz="0" w:space="0" w:color="auto"/>
      </w:divBdr>
    </w:div>
    <w:div w:id="1569342918">
      <w:bodyDiv w:val="1"/>
      <w:marLeft w:val="0"/>
      <w:marRight w:val="0"/>
      <w:marTop w:val="0"/>
      <w:marBottom w:val="0"/>
      <w:divBdr>
        <w:top w:val="none" w:sz="0" w:space="0" w:color="auto"/>
        <w:left w:val="none" w:sz="0" w:space="0" w:color="auto"/>
        <w:bottom w:val="none" w:sz="0" w:space="0" w:color="auto"/>
        <w:right w:val="none" w:sz="0" w:space="0" w:color="auto"/>
      </w:divBdr>
    </w:div>
    <w:div w:id="1569723984">
      <w:bodyDiv w:val="1"/>
      <w:marLeft w:val="0"/>
      <w:marRight w:val="0"/>
      <w:marTop w:val="0"/>
      <w:marBottom w:val="0"/>
      <w:divBdr>
        <w:top w:val="none" w:sz="0" w:space="0" w:color="auto"/>
        <w:left w:val="none" w:sz="0" w:space="0" w:color="auto"/>
        <w:bottom w:val="none" w:sz="0" w:space="0" w:color="auto"/>
        <w:right w:val="none" w:sz="0" w:space="0" w:color="auto"/>
      </w:divBdr>
    </w:div>
    <w:div w:id="1569877048">
      <w:bodyDiv w:val="1"/>
      <w:marLeft w:val="0"/>
      <w:marRight w:val="0"/>
      <w:marTop w:val="0"/>
      <w:marBottom w:val="0"/>
      <w:divBdr>
        <w:top w:val="none" w:sz="0" w:space="0" w:color="auto"/>
        <w:left w:val="none" w:sz="0" w:space="0" w:color="auto"/>
        <w:bottom w:val="none" w:sz="0" w:space="0" w:color="auto"/>
        <w:right w:val="none" w:sz="0" w:space="0" w:color="auto"/>
      </w:divBdr>
    </w:div>
    <w:div w:id="1569925894">
      <w:bodyDiv w:val="1"/>
      <w:marLeft w:val="0"/>
      <w:marRight w:val="0"/>
      <w:marTop w:val="0"/>
      <w:marBottom w:val="0"/>
      <w:divBdr>
        <w:top w:val="none" w:sz="0" w:space="0" w:color="auto"/>
        <w:left w:val="none" w:sz="0" w:space="0" w:color="auto"/>
        <w:bottom w:val="none" w:sz="0" w:space="0" w:color="auto"/>
        <w:right w:val="none" w:sz="0" w:space="0" w:color="auto"/>
      </w:divBdr>
    </w:div>
    <w:div w:id="1570069086">
      <w:bodyDiv w:val="1"/>
      <w:marLeft w:val="0"/>
      <w:marRight w:val="0"/>
      <w:marTop w:val="0"/>
      <w:marBottom w:val="0"/>
      <w:divBdr>
        <w:top w:val="none" w:sz="0" w:space="0" w:color="auto"/>
        <w:left w:val="none" w:sz="0" w:space="0" w:color="auto"/>
        <w:bottom w:val="none" w:sz="0" w:space="0" w:color="auto"/>
        <w:right w:val="none" w:sz="0" w:space="0" w:color="auto"/>
      </w:divBdr>
    </w:div>
    <w:div w:id="1570074908">
      <w:bodyDiv w:val="1"/>
      <w:marLeft w:val="0"/>
      <w:marRight w:val="0"/>
      <w:marTop w:val="0"/>
      <w:marBottom w:val="0"/>
      <w:divBdr>
        <w:top w:val="none" w:sz="0" w:space="0" w:color="auto"/>
        <w:left w:val="none" w:sz="0" w:space="0" w:color="auto"/>
        <w:bottom w:val="none" w:sz="0" w:space="0" w:color="auto"/>
        <w:right w:val="none" w:sz="0" w:space="0" w:color="auto"/>
      </w:divBdr>
    </w:div>
    <w:div w:id="1570117814">
      <w:bodyDiv w:val="1"/>
      <w:marLeft w:val="0"/>
      <w:marRight w:val="0"/>
      <w:marTop w:val="0"/>
      <w:marBottom w:val="0"/>
      <w:divBdr>
        <w:top w:val="none" w:sz="0" w:space="0" w:color="auto"/>
        <w:left w:val="none" w:sz="0" w:space="0" w:color="auto"/>
        <w:bottom w:val="none" w:sz="0" w:space="0" w:color="auto"/>
        <w:right w:val="none" w:sz="0" w:space="0" w:color="auto"/>
      </w:divBdr>
    </w:div>
    <w:div w:id="1570191696">
      <w:bodyDiv w:val="1"/>
      <w:marLeft w:val="0"/>
      <w:marRight w:val="0"/>
      <w:marTop w:val="0"/>
      <w:marBottom w:val="0"/>
      <w:divBdr>
        <w:top w:val="none" w:sz="0" w:space="0" w:color="auto"/>
        <w:left w:val="none" w:sz="0" w:space="0" w:color="auto"/>
        <w:bottom w:val="none" w:sz="0" w:space="0" w:color="auto"/>
        <w:right w:val="none" w:sz="0" w:space="0" w:color="auto"/>
      </w:divBdr>
    </w:div>
    <w:div w:id="1570386570">
      <w:bodyDiv w:val="1"/>
      <w:marLeft w:val="0"/>
      <w:marRight w:val="0"/>
      <w:marTop w:val="0"/>
      <w:marBottom w:val="0"/>
      <w:divBdr>
        <w:top w:val="none" w:sz="0" w:space="0" w:color="auto"/>
        <w:left w:val="none" w:sz="0" w:space="0" w:color="auto"/>
        <w:bottom w:val="none" w:sz="0" w:space="0" w:color="auto"/>
        <w:right w:val="none" w:sz="0" w:space="0" w:color="auto"/>
      </w:divBdr>
    </w:div>
    <w:div w:id="1570578784">
      <w:bodyDiv w:val="1"/>
      <w:marLeft w:val="0"/>
      <w:marRight w:val="0"/>
      <w:marTop w:val="0"/>
      <w:marBottom w:val="0"/>
      <w:divBdr>
        <w:top w:val="none" w:sz="0" w:space="0" w:color="auto"/>
        <w:left w:val="none" w:sz="0" w:space="0" w:color="auto"/>
        <w:bottom w:val="none" w:sz="0" w:space="0" w:color="auto"/>
        <w:right w:val="none" w:sz="0" w:space="0" w:color="auto"/>
      </w:divBdr>
    </w:div>
    <w:div w:id="1570725752">
      <w:bodyDiv w:val="1"/>
      <w:marLeft w:val="0"/>
      <w:marRight w:val="0"/>
      <w:marTop w:val="0"/>
      <w:marBottom w:val="0"/>
      <w:divBdr>
        <w:top w:val="none" w:sz="0" w:space="0" w:color="auto"/>
        <w:left w:val="none" w:sz="0" w:space="0" w:color="auto"/>
        <w:bottom w:val="none" w:sz="0" w:space="0" w:color="auto"/>
        <w:right w:val="none" w:sz="0" w:space="0" w:color="auto"/>
      </w:divBdr>
    </w:div>
    <w:div w:id="1570728231">
      <w:bodyDiv w:val="1"/>
      <w:marLeft w:val="0"/>
      <w:marRight w:val="0"/>
      <w:marTop w:val="0"/>
      <w:marBottom w:val="0"/>
      <w:divBdr>
        <w:top w:val="none" w:sz="0" w:space="0" w:color="auto"/>
        <w:left w:val="none" w:sz="0" w:space="0" w:color="auto"/>
        <w:bottom w:val="none" w:sz="0" w:space="0" w:color="auto"/>
        <w:right w:val="none" w:sz="0" w:space="0" w:color="auto"/>
      </w:divBdr>
    </w:div>
    <w:div w:id="1570921223">
      <w:bodyDiv w:val="1"/>
      <w:marLeft w:val="0"/>
      <w:marRight w:val="0"/>
      <w:marTop w:val="0"/>
      <w:marBottom w:val="0"/>
      <w:divBdr>
        <w:top w:val="none" w:sz="0" w:space="0" w:color="auto"/>
        <w:left w:val="none" w:sz="0" w:space="0" w:color="auto"/>
        <w:bottom w:val="none" w:sz="0" w:space="0" w:color="auto"/>
        <w:right w:val="none" w:sz="0" w:space="0" w:color="auto"/>
      </w:divBdr>
    </w:div>
    <w:div w:id="1570922682">
      <w:bodyDiv w:val="1"/>
      <w:marLeft w:val="0"/>
      <w:marRight w:val="0"/>
      <w:marTop w:val="0"/>
      <w:marBottom w:val="0"/>
      <w:divBdr>
        <w:top w:val="none" w:sz="0" w:space="0" w:color="auto"/>
        <w:left w:val="none" w:sz="0" w:space="0" w:color="auto"/>
        <w:bottom w:val="none" w:sz="0" w:space="0" w:color="auto"/>
        <w:right w:val="none" w:sz="0" w:space="0" w:color="auto"/>
      </w:divBdr>
    </w:div>
    <w:div w:id="1571189055">
      <w:bodyDiv w:val="1"/>
      <w:marLeft w:val="0"/>
      <w:marRight w:val="0"/>
      <w:marTop w:val="0"/>
      <w:marBottom w:val="0"/>
      <w:divBdr>
        <w:top w:val="none" w:sz="0" w:space="0" w:color="auto"/>
        <w:left w:val="none" w:sz="0" w:space="0" w:color="auto"/>
        <w:bottom w:val="none" w:sz="0" w:space="0" w:color="auto"/>
        <w:right w:val="none" w:sz="0" w:space="0" w:color="auto"/>
      </w:divBdr>
    </w:div>
    <w:div w:id="1571303066">
      <w:bodyDiv w:val="1"/>
      <w:marLeft w:val="0"/>
      <w:marRight w:val="0"/>
      <w:marTop w:val="0"/>
      <w:marBottom w:val="0"/>
      <w:divBdr>
        <w:top w:val="none" w:sz="0" w:space="0" w:color="auto"/>
        <w:left w:val="none" w:sz="0" w:space="0" w:color="auto"/>
        <w:bottom w:val="none" w:sz="0" w:space="0" w:color="auto"/>
        <w:right w:val="none" w:sz="0" w:space="0" w:color="auto"/>
      </w:divBdr>
    </w:div>
    <w:div w:id="1571306026">
      <w:bodyDiv w:val="1"/>
      <w:marLeft w:val="0"/>
      <w:marRight w:val="0"/>
      <w:marTop w:val="0"/>
      <w:marBottom w:val="0"/>
      <w:divBdr>
        <w:top w:val="none" w:sz="0" w:space="0" w:color="auto"/>
        <w:left w:val="none" w:sz="0" w:space="0" w:color="auto"/>
        <w:bottom w:val="none" w:sz="0" w:space="0" w:color="auto"/>
        <w:right w:val="none" w:sz="0" w:space="0" w:color="auto"/>
      </w:divBdr>
    </w:div>
    <w:div w:id="1571309896">
      <w:bodyDiv w:val="1"/>
      <w:marLeft w:val="0"/>
      <w:marRight w:val="0"/>
      <w:marTop w:val="0"/>
      <w:marBottom w:val="0"/>
      <w:divBdr>
        <w:top w:val="none" w:sz="0" w:space="0" w:color="auto"/>
        <w:left w:val="none" w:sz="0" w:space="0" w:color="auto"/>
        <w:bottom w:val="none" w:sz="0" w:space="0" w:color="auto"/>
        <w:right w:val="none" w:sz="0" w:space="0" w:color="auto"/>
      </w:divBdr>
    </w:div>
    <w:div w:id="1571496653">
      <w:bodyDiv w:val="1"/>
      <w:marLeft w:val="0"/>
      <w:marRight w:val="0"/>
      <w:marTop w:val="0"/>
      <w:marBottom w:val="0"/>
      <w:divBdr>
        <w:top w:val="none" w:sz="0" w:space="0" w:color="auto"/>
        <w:left w:val="none" w:sz="0" w:space="0" w:color="auto"/>
        <w:bottom w:val="none" w:sz="0" w:space="0" w:color="auto"/>
        <w:right w:val="none" w:sz="0" w:space="0" w:color="auto"/>
      </w:divBdr>
    </w:div>
    <w:div w:id="1571497720">
      <w:bodyDiv w:val="1"/>
      <w:marLeft w:val="0"/>
      <w:marRight w:val="0"/>
      <w:marTop w:val="0"/>
      <w:marBottom w:val="0"/>
      <w:divBdr>
        <w:top w:val="none" w:sz="0" w:space="0" w:color="auto"/>
        <w:left w:val="none" w:sz="0" w:space="0" w:color="auto"/>
        <w:bottom w:val="none" w:sz="0" w:space="0" w:color="auto"/>
        <w:right w:val="none" w:sz="0" w:space="0" w:color="auto"/>
      </w:divBdr>
    </w:div>
    <w:div w:id="1571502858">
      <w:bodyDiv w:val="1"/>
      <w:marLeft w:val="0"/>
      <w:marRight w:val="0"/>
      <w:marTop w:val="0"/>
      <w:marBottom w:val="0"/>
      <w:divBdr>
        <w:top w:val="none" w:sz="0" w:space="0" w:color="auto"/>
        <w:left w:val="none" w:sz="0" w:space="0" w:color="auto"/>
        <w:bottom w:val="none" w:sz="0" w:space="0" w:color="auto"/>
        <w:right w:val="none" w:sz="0" w:space="0" w:color="auto"/>
      </w:divBdr>
    </w:div>
    <w:div w:id="1571574959">
      <w:bodyDiv w:val="1"/>
      <w:marLeft w:val="0"/>
      <w:marRight w:val="0"/>
      <w:marTop w:val="0"/>
      <w:marBottom w:val="0"/>
      <w:divBdr>
        <w:top w:val="none" w:sz="0" w:space="0" w:color="auto"/>
        <w:left w:val="none" w:sz="0" w:space="0" w:color="auto"/>
        <w:bottom w:val="none" w:sz="0" w:space="0" w:color="auto"/>
        <w:right w:val="none" w:sz="0" w:space="0" w:color="auto"/>
      </w:divBdr>
    </w:div>
    <w:div w:id="1571648460">
      <w:bodyDiv w:val="1"/>
      <w:marLeft w:val="0"/>
      <w:marRight w:val="0"/>
      <w:marTop w:val="0"/>
      <w:marBottom w:val="0"/>
      <w:divBdr>
        <w:top w:val="none" w:sz="0" w:space="0" w:color="auto"/>
        <w:left w:val="none" w:sz="0" w:space="0" w:color="auto"/>
        <w:bottom w:val="none" w:sz="0" w:space="0" w:color="auto"/>
        <w:right w:val="none" w:sz="0" w:space="0" w:color="auto"/>
      </w:divBdr>
    </w:div>
    <w:div w:id="1571774023">
      <w:bodyDiv w:val="1"/>
      <w:marLeft w:val="0"/>
      <w:marRight w:val="0"/>
      <w:marTop w:val="0"/>
      <w:marBottom w:val="0"/>
      <w:divBdr>
        <w:top w:val="none" w:sz="0" w:space="0" w:color="auto"/>
        <w:left w:val="none" w:sz="0" w:space="0" w:color="auto"/>
        <w:bottom w:val="none" w:sz="0" w:space="0" w:color="auto"/>
        <w:right w:val="none" w:sz="0" w:space="0" w:color="auto"/>
      </w:divBdr>
    </w:div>
    <w:div w:id="1571842042">
      <w:bodyDiv w:val="1"/>
      <w:marLeft w:val="0"/>
      <w:marRight w:val="0"/>
      <w:marTop w:val="0"/>
      <w:marBottom w:val="0"/>
      <w:divBdr>
        <w:top w:val="none" w:sz="0" w:space="0" w:color="auto"/>
        <w:left w:val="none" w:sz="0" w:space="0" w:color="auto"/>
        <w:bottom w:val="none" w:sz="0" w:space="0" w:color="auto"/>
        <w:right w:val="none" w:sz="0" w:space="0" w:color="auto"/>
      </w:divBdr>
    </w:div>
    <w:div w:id="1571846451">
      <w:bodyDiv w:val="1"/>
      <w:marLeft w:val="0"/>
      <w:marRight w:val="0"/>
      <w:marTop w:val="0"/>
      <w:marBottom w:val="0"/>
      <w:divBdr>
        <w:top w:val="none" w:sz="0" w:space="0" w:color="auto"/>
        <w:left w:val="none" w:sz="0" w:space="0" w:color="auto"/>
        <w:bottom w:val="none" w:sz="0" w:space="0" w:color="auto"/>
        <w:right w:val="none" w:sz="0" w:space="0" w:color="auto"/>
      </w:divBdr>
    </w:div>
    <w:div w:id="1572085240">
      <w:bodyDiv w:val="1"/>
      <w:marLeft w:val="0"/>
      <w:marRight w:val="0"/>
      <w:marTop w:val="0"/>
      <w:marBottom w:val="0"/>
      <w:divBdr>
        <w:top w:val="none" w:sz="0" w:space="0" w:color="auto"/>
        <w:left w:val="none" w:sz="0" w:space="0" w:color="auto"/>
        <w:bottom w:val="none" w:sz="0" w:space="0" w:color="auto"/>
        <w:right w:val="none" w:sz="0" w:space="0" w:color="auto"/>
      </w:divBdr>
    </w:div>
    <w:div w:id="1572151490">
      <w:bodyDiv w:val="1"/>
      <w:marLeft w:val="0"/>
      <w:marRight w:val="0"/>
      <w:marTop w:val="0"/>
      <w:marBottom w:val="0"/>
      <w:divBdr>
        <w:top w:val="none" w:sz="0" w:space="0" w:color="auto"/>
        <w:left w:val="none" w:sz="0" w:space="0" w:color="auto"/>
        <w:bottom w:val="none" w:sz="0" w:space="0" w:color="auto"/>
        <w:right w:val="none" w:sz="0" w:space="0" w:color="auto"/>
      </w:divBdr>
    </w:div>
    <w:div w:id="1572154479">
      <w:bodyDiv w:val="1"/>
      <w:marLeft w:val="0"/>
      <w:marRight w:val="0"/>
      <w:marTop w:val="0"/>
      <w:marBottom w:val="0"/>
      <w:divBdr>
        <w:top w:val="none" w:sz="0" w:space="0" w:color="auto"/>
        <w:left w:val="none" w:sz="0" w:space="0" w:color="auto"/>
        <w:bottom w:val="none" w:sz="0" w:space="0" w:color="auto"/>
        <w:right w:val="none" w:sz="0" w:space="0" w:color="auto"/>
      </w:divBdr>
    </w:div>
    <w:div w:id="1572277046">
      <w:bodyDiv w:val="1"/>
      <w:marLeft w:val="0"/>
      <w:marRight w:val="0"/>
      <w:marTop w:val="0"/>
      <w:marBottom w:val="0"/>
      <w:divBdr>
        <w:top w:val="none" w:sz="0" w:space="0" w:color="auto"/>
        <w:left w:val="none" w:sz="0" w:space="0" w:color="auto"/>
        <w:bottom w:val="none" w:sz="0" w:space="0" w:color="auto"/>
        <w:right w:val="none" w:sz="0" w:space="0" w:color="auto"/>
      </w:divBdr>
    </w:div>
    <w:div w:id="1572278961">
      <w:bodyDiv w:val="1"/>
      <w:marLeft w:val="0"/>
      <w:marRight w:val="0"/>
      <w:marTop w:val="0"/>
      <w:marBottom w:val="0"/>
      <w:divBdr>
        <w:top w:val="none" w:sz="0" w:space="0" w:color="auto"/>
        <w:left w:val="none" w:sz="0" w:space="0" w:color="auto"/>
        <w:bottom w:val="none" w:sz="0" w:space="0" w:color="auto"/>
        <w:right w:val="none" w:sz="0" w:space="0" w:color="auto"/>
      </w:divBdr>
    </w:div>
    <w:div w:id="1572303427">
      <w:bodyDiv w:val="1"/>
      <w:marLeft w:val="0"/>
      <w:marRight w:val="0"/>
      <w:marTop w:val="0"/>
      <w:marBottom w:val="0"/>
      <w:divBdr>
        <w:top w:val="none" w:sz="0" w:space="0" w:color="auto"/>
        <w:left w:val="none" w:sz="0" w:space="0" w:color="auto"/>
        <w:bottom w:val="none" w:sz="0" w:space="0" w:color="auto"/>
        <w:right w:val="none" w:sz="0" w:space="0" w:color="auto"/>
      </w:divBdr>
    </w:div>
    <w:div w:id="1572345398">
      <w:bodyDiv w:val="1"/>
      <w:marLeft w:val="0"/>
      <w:marRight w:val="0"/>
      <w:marTop w:val="0"/>
      <w:marBottom w:val="0"/>
      <w:divBdr>
        <w:top w:val="none" w:sz="0" w:space="0" w:color="auto"/>
        <w:left w:val="none" w:sz="0" w:space="0" w:color="auto"/>
        <w:bottom w:val="none" w:sz="0" w:space="0" w:color="auto"/>
        <w:right w:val="none" w:sz="0" w:space="0" w:color="auto"/>
      </w:divBdr>
    </w:div>
    <w:div w:id="1572349494">
      <w:bodyDiv w:val="1"/>
      <w:marLeft w:val="0"/>
      <w:marRight w:val="0"/>
      <w:marTop w:val="0"/>
      <w:marBottom w:val="0"/>
      <w:divBdr>
        <w:top w:val="none" w:sz="0" w:space="0" w:color="auto"/>
        <w:left w:val="none" w:sz="0" w:space="0" w:color="auto"/>
        <w:bottom w:val="none" w:sz="0" w:space="0" w:color="auto"/>
        <w:right w:val="none" w:sz="0" w:space="0" w:color="auto"/>
      </w:divBdr>
    </w:div>
    <w:div w:id="1572420873">
      <w:bodyDiv w:val="1"/>
      <w:marLeft w:val="0"/>
      <w:marRight w:val="0"/>
      <w:marTop w:val="0"/>
      <w:marBottom w:val="0"/>
      <w:divBdr>
        <w:top w:val="none" w:sz="0" w:space="0" w:color="auto"/>
        <w:left w:val="none" w:sz="0" w:space="0" w:color="auto"/>
        <w:bottom w:val="none" w:sz="0" w:space="0" w:color="auto"/>
        <w:right w:val="none" w:sz="0" w:space="0" w:color="auto"/>
      </w:divBdr>
    </w:div>
    <w:div w:id="1572423193">
      <w:bodyDiv w:val="1"/>
      <w:marLeft w:val="0"/>
      <w:marRight w:val="0"/>
      <w:marTop w:val="0"/>
      <w:marBottom w:val="0"/>
      <w:divBdr>
        <w:top w:val="none" w:sz="0" w:space="0" w:color="auto"/>
        <w:left w:val="none" w:sz="0" w:space="0" w:color="auto"/>
        <w:bottom w:val="none" w:sz="0" w:space="0" w:color="auto"/>
        <w:right w:val="none" w:sz="0" w:space="0" w:color="auto"/>
      </w:divBdr>
    </w:div>
    <w:div w:id="1572613239">
      <w:bodyDiv w:val="1"/>
      <w:marLeft w:val="0"/>
      <w:marRight w:val="0"/>
      <w:marTop w:val="0"/>
      <w:marBottom w:val="0"/>
      <w:divBdr>
        <w:top w:val="none" w:sz="0" w:space="0" w:color="auto"/>
        <w:left w:val="none" w:sz="0" w:space="0" w:color="auto"/>
        <w:bottom w:val="none" w:sz="0" w:space="0" w:color="auto"/>
        <w:right w:val="none" w:sz="0" w:space="0" w:color="auto"/>
      </w:divBdr>
    </w:div>
    <w:div w:id="1572734952">
      <w:bodyDiv w:val="1"/>
      <w:marLeft w:val="0"/>
      <w:marRight w:val="0"/>
      <w:marTop w:val="0"/>
      <w:marBottom w:val="0"/>
      <w:divBdr>
        <w:top w:val="none" w:sz="0" w:space="0" w:color="auto"/>
        <w:left w:val="none" w:sz="0" w:space="0" w:color="auto"/>
        <w:bottom w:val="none" w:sz="0" w:space="0" w:color="auto"/>
        <w:right w:val="none" w:sz="0" w:space="0" w:color="auto"/>
      </w:divBdr>
    </w:div>
    <w:div w:id="1572740398">
      <w:bodyDiv w:val="1"/>
      <w:marLeft w:val="0"/>
      <w:marRight w:val="0"/>
      <w:marTop w:val="0"/>
      <w:marBottom w:val="0"/>
      <w:divBdr>
        <w:top w:val="none" w:sz="0" w:space="0" w:color="auto"/>
        <w:left w:val="none" w:sz="0" w:space="0" w:color="auto"/>
        <w:bottom w:val="none" w:sz="0" w:space="0" w:color="auto"/>
        <w:right w:val="none" w:sz="0" w:space="0" w:color="auto"/>
      </w:divBdr>
    </w:div>
    <w:div w:id="1572811673">
      <w:bodyDiv w:val="1"/>
      <w:marLeft w:val="0"/>
      <w:marRight w:val="0"/>
      <w:marTop w:val="0"/>
      <w:marBottom w:val="0"/>
      <w:divBdr>
        <w:top w:val="none" w:sz="0" w:space="0" w:color="auto"/>
        <w:left w:val="none" w:sz="0" w:space="0" w:color="auto"/>
        <w:bottom w:val="none" w:sz="0" w:space="0" w:color="auto"/>
        <w:right w:val="none" w:sz="0" w:space="0" w:color="auto"/>
      </w:divBdr>
    </w:div>
    <w:div w:id="1572933908">
      <w:bodyDiv w:val="1"/>
      <w:marLeft w:val="0"/>
      <w:marRight w:val="0"/>
      <w:marTop w:val="0"/>
      <w:marBottom w:val="0"/>
      <w:divBdr>
        <w:top w:val="none" w:sz="0" w:space="0" w:color="auto"/>
        <w:left w:val="none" w:sz="0" w:space="0" w:color="auto"/>
        <w:bottom w:val="none" w:sz="0" w:space="0" w:color="auto"/>
        <w:right w:val="none" w:sz="0" w:space="0" w:color="auto"/>
      </w:divBdr>
    </w:div>
    <w:div w:id="1573000254">
      <w:bodyDiv w:val="1"/>
      <w:marLeft w:val="0"/>
      <w:marRight w:val="0"/>
      <w:marTop w:val="0"/>
      <w:marBottom w:val="0"/>
      <w:divBdr>
        <w:top w:val="none" w:sz="0" w:space="0" w:color="auto"/>
        <w:left w:val="none" w:sz="0" w:space="0" w:color="auto"/>
        <w:bottom w:val="none" w:sz="0" w:space="0" w:color="auto"/>
        <w:right w:val="none" w:sz="0" w:space="0" w:color="auto"/>
      </w:divBdr>
    </w:div>
    <w:div w:id="1573001460">
      <w:bodyDiv w:val="1"/>
      <w:marLeft w:val="0"/>
      <w:marRight w:val="0"/>
      <w:marTop w:val="0"/>
      <w:marBottom w:val="0"/>
      <w:divBdr>
        <w:top w:val="none" w:sz="0" w:space="0" w:color="auto"/>
        <w:left w:val="none" w:sz="0" w:space="0" w:color="auto"/>
        <w:bottom w:val="none" w:sz="0" w:space="0" w:color="auto"/>
        <w:right w:val="none" w:sz="0" w:space="0" w:color="auto"/>
      </w:divBdr>
    </w:div>
    <w:div w:id="1573079529">
      <w:bodyDiv w:val="1"/>
      <w:marLeft w:val="0"/>
      <w:marRight w:val="0"/>
      <w:marTop w:val="0"/>
      <w:marBottom w:val="0"/>
      <w:divBdr>
        <w:top w:val="none" w:sz="0" w:space="0" w:color="auto"/>
        <w:left w:val="none" w:sz="0" w:space="0" w:color="auto"/>
        <w:bottom w:val="none" w:sz="0" w:space="0" w:color="auto"/>
        <w:right w:val="none" w:sz="0" w:space="0" w:color="auto"/>
      </w:divBdr>
    </w:div>
    <w:div w:id="1573127424">
      <w:bodyDiv w:val="1"/>
      <w:marLeft w:val="0"/>
      <w:marRight w:val="0"/>
      <w:marTop w:val="0"/>
      <w:marBottom w:val="0"/>
      <w:divBdr>
        <w:top w:val="none" w:sz="0" w:space="0" w:color="auto"/>
        <w:left w:val="none" w:sz="0" w:space="0" w:color="auto"/>
        <w:bottom w:val="none" w:sz="0" w:space="0" w:color="auto"/>
        <w:right w:val="none" w:sz="0" w:space="0" w:color="auto"/>
      </w:divBdr>
    </w:div>
    <w:div w:id="1573273971">
      <w:bodyDiv w:val="1"/>
      <w:marLeft w:val="0"/>
      <w:marRight w:val="0"/>
      <w:marTop w:val="0"/>
      <w:marBottom w:val="0"/>
      <w:divBdr>
        <w:top w:val="none" w:sz="0" w:space="0" w:color="auto"/>
        <w:left w:val="none" w:sz="0" w:space="0" w:color="auto"/>
        <w:bottom w:val="none" w:sz="0" w:space="0" w:color="auto"/>
        <w:right w:val="none" w:sz="0" w:space="0" w:color="auto"/>
      </w:divBdr>
    </w:div>
    <w:div w:id="1573347944">
      <w:bodyDiv w:val="1"/>
      <w:marLeft w:val="0"/>
      <w:marRight w:val="0"/>
      <w:marTop w:val="0"/>
      <w:marBottom w:val="0"/>
      <w:divBdr>
        <w:top w:val="none" w:sz="0" w:space="0" w:color="auto"/>
        <w:left w:val="none" w:sz="0" w:space="0" w:color="auto"/>
        <w:bottom w:val="none" w:sz="0" w:space="0" w:color="auto"/>
        <w:right w:val="none" w:sz="0" w:space="0" w:color="auto"/>
      </w:divBdr>
    </w:div>
    <w:div w:id="1573389785">
      <w:bodyDiv w:val="1"/>
      <w:marLeft w:val="0"/>
      <w:marRight w:val="0"/>
      <w:marTop w:val="0"/>
      <w:marBottom w:val="0"/>
      <w:divBdr>
        <w:top w:val="none" w:sz="0" w:space="0" w:color="auto"/>
        <w:left w:val="none" w:sz="0" w:space="0" w:color="auto"/>
        <w:bottom w:val="none" w:sz="0" w:space="0" w:color="auto"/>
        <w:right w:val="none" w:sz="0" w:space="0" w:color="auto"/>
      </w:divBdr>
    </w:div>
    <w:div w:id="1573537505">
      <w:bodyDiv w:val="1"/>
      <w:marLeft w:val="0"/>
      <w:marRight w:val="0"/>
      <w:marTop w:val="0"/>
      <w:marBottom w:val="0"/>
      <w:divBdr>
        <w:top w:val="none" w:sz="0" w:space="0" w:color="auto"/>
        <w:left w:val="none" w:sz="0" w:space="0" w:color="auto"/>
        <w:bottom w:val="none" w:sz="0" w:space="0" w:color="auto"/>
        <w:right w:val="none" w:sz="0" w:space="0" w:color="auto"/>
      </w:divBdr>
    </w:div>
    <w:div w:id="1573546515">
      <w:bodyDiv w:val="1"/>
      <w:marLeft w:val="0"/>
      <w:marRight w:val="0"/>
      <w:marTop w:val="0"/>
      <w:marBottom w:val="0"/>
      <w:divBdr>
        <w:top w:val="none" w:sz="0" w:space="0" w:color="auto"/>
        <w:left w:val="none" w:sz="0" w:space="0" w:color="auto"/>
        <w:bottom w:val="none" w:sz="0" w:space="0" w:color="auto"/>
        <w:right w:val="none" w:sz="0" w:space="0" w:color="auto"/>
      </w:divBdr>
    </w:div>
    <w:div w:id="1573657061">
      <w:bodyDiv w:val="1"/>
      <w:marLeft w:val="0"/>
      <w:marRight w:val="0"/>
      <w:marTop w:val="0"/>
      <w:marBottom w:val="0"/>
      <w:divBdr>
        <w:top w:val="none" w:sz="0" w:space="0" w:color="auto"/>
        <w:left w:val="none" w:sz="0" w:space="0" w:color="auto"/>
        <w:bottom w:val="none" w:sz="0" w:space="0" w:color="auto"/>
        <w:right w:val="none" w:sz="0" w:space="0" w:color="auto"/>
      </w:divBdr>
    </w:div>
    <w:div w:id="1573664484">
      <w:bodyDiv w:val="1"/>
      <w:marLeft w:val="0"/>
      <w:marRight w:val="0"/>
      <w:marTop w:val="0"/>
      <w:marBottom w:val="0"/>
      <w:divBdr>
        <w:top w:val="none" w:sz="0" w:space="0" w:color="auto"/>
        <w:left w:val="none" w:sz="0" w:space="0" w:color="auto"/>
        <w:bottom w:val="none" w:sz="0" w:space="0" w:color="auto"/>
        <w:right w:val="none" w:sz="0" w:space="0" w:color="auto"/>
      </w:divBdr>
    </w:div>
    <w:div w:id="1573736771">
      <w:bodyDiv w:val="1"/>
      <w:marLeft w:val="0"/>
      <w:marRight w:val="0"/>
      <w:marTop w:val="0"/>
      <w:marBottom w:val="0"/>
      <w:divBdr>
        <w:top w:val="none" w:sz="0" w:space="0" w:color="auto"/>
        <w:left w:val="none" w:sz="0" w:space="0" w:color="auto"/>
        <w:bottom w:val="none" w:sz="0" w:space="0" w:color="auto"/>
        <w:right w:val="none" w:sz="0" w:space="0" w:color="auto"/>
      </w:divBdr>
    </w:div>
    <w:div w:id="1573739034">
      <w:bodyDiv w:val="1"/>
      <w:marLeft w:val="0"/>
      <w:marRight w:val="0"/>
      <w:marTop w:val="0"/>
      <w:marBottom w:val="0"/>
      <w:divBdr>
        <w:top w:val="none" w:sz="0" w:space="0" w:color="auto"/>
        <w:left w:val="none" w:sz="0" w:space="0" w:color="auto"/>
        <w:bottom w:val="none" w:sz="0" w:space="0" w:color="auto"/>
        <w:right w:val="none" w:sz="0" w:space="0" w:color="auto"/>
      </w:divBdr>
    </w:div>
    <w:div w:id="1573806952">
      <w:bodyDiv w:val="1"/>
      <w:marLeft w:val="0"/>
      <w:marRight w:val="0"/>
      <w:marTop w:val="0"/>
      <w:marBottom w:val="0"/>
      <w:divBdr>
        <w:top w:val="none" w:sz="0" w:space="0" w:color="auto"/>
        <w:left w:val="none" w:sz="0" w:space="0" w:color="auto"/>
        <w:bottom w:val="none" w:sz="0" w:space="0" w:color="auto"/>
        <w:right w:val="none" w:sz="0" w:space="0" w:color="auto"/>
      </w:divBdr>
    </w:div>
    <w:div w:id="1573852110">
      <w:bodyDiv w:val="1"/>
      <w:marLeft w:val="0"/>
      <w:marRight w:val="0"/>
      <w:marTop w:val="0"/>
      <w:marBottom w:val="0"/>
      <w:divBdr>
        <w:top w:val="none" w:sz="0" w:space="0" w:color="auto"/>
        <w:left w:val="none" w:sz="0" w:space="0" w:color="auto"/>
        <w:bottom w:val="none" w:sz="0" w:space="0" w:color="auto"/>
        <w:right w:val="none" w:sz="0" w:space="0" w:color="auto"/>
      </w:divBdr>
    </w:div>
    <w:div w:id="1573926219">
      <w:bodyDiv w:val="1"/>
      <w:marLeft w:val="0"/>
      <w:marRight w:val="0"/>
      <w:marTop w:val="0"/>
      <w:marBottom w:val="0"/>
      <w:divBdr>
        <w:top w:val="none" w:sz="0" w:space="0" w:color="auto"/>
        <w:left w:val="none" w:sz="0" w:space="0" w:color="auto"/>
        <w:bottom w:val="none" w:sz="0" w:space="0" w:color="auto"/>
        <w:right w:val="none" w:sz="0" w:space="0" w:color="auto"/>
      </w:divBdr>
    </w:div>
    <w:div w:id="1573928142">
      <w:bodyDiv w:val="1"/>
      <w:marLeft w:val="0"/>
      <w:marRight w:val="0"/>
      <w:marTop w:val="0"/>
      <w:marBottom w:val="0"/>
      <w:divBdr>
        <w:top w:val="none" w:sz="0" w:space="0" w:color="auto"/>
        <w:left w:val="none" w:sz="0" w:space="0" w:color="auto"/>
        <w:bottom w:val="none" w:sz="0" w:space="0" w:color="auto"/>
        <w:right w:val="none" w:sz="0" w:space="0" w:color="auto"/>
      </w:divBdr>
    </w:div>
    <w:div w:id="1573929142">
      <w:bodyDiv w:val="1"/>
      <w:marLeft w:val="0"/>
      <w:marRight w:val="0"/>
      <w:marTop w:val="0"/>
      <w:marBottom w:val="0"/>
      <w:divBdr>
        <w:top w:val="none" w:sz="0" w:space="0" w:color="auto"/>
        <w:left w:val="none" w:sz="0" w:space="0" w:color="auto"/>
        <w:bottom w:val="none" w:sz="0" w:space="0" w:color="auto"/>
        <w:right w:val="none" w:sz="0" w:space="0" w:color="auto"/>
      </w:divBdr>
    </w:div>
    <w:div w:id="1574117242">
      <w:bodyDiv w:val="1"/>
      <w:marLeft w:val="0"/>
      <w:marRight w:val="0"/>
      <w:marTop w:val="0"/>
      <w:marBottom w:val="0"/>
      <w:divBdr>
        <w:top w:val="none" w:sz="0" w:space="0" w:color="auto"/>
        <w:left w:val="none" w:sz="0" w:space="0" w:color="auto"/>
        <w:bottom w:val="none" w:sz="0" w:space="0" w:color="auto"/>
        <w:right w:val="none" w:sz="0" w:space="0" w:color="auto"/>
      </w:divBdr>
    </w:div>
    <w:div w:id="1574192680">
      <w:bodyDiv w:val="1"/>
      <w:marLeft w:val="0"/>
      <w:marRight w:val="0"/>
      <w:marTop w:val="0"/>
      <w:marBottom w:val="0"/>
      <w:divBdr>
        <w:top w:val="none" w:sz="0" w:space="0" w:color="auto"/>
        <w:left w:val="none" w:sz="0" w:space="0" w:color="auto"/>
        <w:bottom w:val="none" w:sz="0" w:space="0" w:color="auto"/>
        <w:right w:val="none" w:sz="0" w:space="0" w:color="auto"/>
      </w:divBdr>
    </w:div>
    <w:div w:id="1574389372">
      <w:bodyDiv w:val="1"/>
      <w:marLeft w:val="0"/>
      <w:marRight w:val="0"/>
      <w:marTop w:val="0"/>
      <w:marBottom w:val="0"/>
      <w:divBdr>
        <w:top w:val="none" w:sz="0" w:space="0" w:color="auto"/>
        <w:left w:val="none" w:sz="0" w:space="0" w:color="auto"/>
        <w:bottom w:val="none" w:sz="0" w:space="0" w:color="auto"/>
        <w:right w:val="none" w:sz="0" w:space="0" w:color="auto"/>
      </w:divBdr>
    </w:div>
    <w:div w:id="1574389659">
      <w:bodyDiv w:val="1"/>
      <w:marLeft w:val="0"/>
      <w:marRight w:val="0"/>
      <w:marTop w:val="0"/>
      <w:marBottom w:val="0"/>
      <w:divBdr>
        <w:top w:val="none" w:sz="0" w:space="0" w:color="auto"/>
        <w:left w:val="none" w:sz="0" w:space="0" w:color="auto"/>
        <w:bottom w:val="none" w:sz="0" w:space="0" w:color="auto"/>
        <w:right w:val="none" w:sz="0" w:space="0" w:color="auto"/>
      </w:divBdr>
    </w:div>
    <w:div w:id="1574462042">
      <w:bodyDiv w:val="1"/>
      <w:marLeft w:val="0"/>
      <w:marRight w:val="0"/>
      <w:marTop w:val="0"/>
      <w:marBottom w:val="0"/>
      <w:divBdr>
        <w:top w:val="none" w:sz="0" w:space="0" w:color="auto"/>
        <w:left w:val="none" w:sz="0" w:space="0" w:color="auto"/>
        <w:bottom w:val="none" w:sz="0" w:space="0" w:color="auto"/>
        <w:right w:val="none" w:sz="0" w:space="0" w:color="auto"/>
      </w:divBdr>
    </w:div>
    <w:div w:id="1574462367">
      <w:bodyDiv w:val="1"/>
      <w:marLeft w:val="0"/>
      <w:marRight w:val="0"/>
      <w:marTop w:val="0"/>
      <w:marBottom w:val="0"/>
      <w:divBdr>
        <w:top w:val="none" w:sz="0" w:space="0" w:color="auto"/>
        <w:left w:val="none" w:sz="0" w:space="0" w:color="auto"/>
        <w:bottom w:val="none" w:sz="0" w:space="0" w:color="auto"/>
        <w:right w:val="none" w:sz="0" w:space="0" w:color="auto"/>
      </w:divBdr>
    </w:div>
    <w:div w:id="1574508127">
      <w:bodyDiv w:val="1"/>
      <w:marLeft w:val="0"/>
      <w:marRight w:val="0"/>
      <w:marTop w:val="0"/>
      <w:marBottom w:val="0"/>
      <w:divBdr>
        <w:top w:val="none" w:sz="0" w:space="0" w:color="auto"/>
        <w:left w:val="none" w:sz="0" w:space="0" w:color="auto"/>
        <w:bottom w:val="none" w:sz="0" w:space="0" w:color="auto"/>
        <w:right w:val="none" w:sz="0" w:space="0" w:color="auto"/>
      </w:divBdr>
    </w:div>
    <w:div w:id="1574509271">
      <w:bodyDiv w:val="1"/>
      <w:marLeft w:val="0"/>
      <w:marRight w:val="0"/>
      <w:marTop w:val="0"/>
      <w:marBottom w:val="0"/>
      <w:divBdr>
        <w:top w:val="none" w:sz="0" w:space="0" w:color="auto"/>
        <w:left w:val="none" w:sz="0" w:space="0" w:color="auto"/>
        <w:bottom w:val="none" w:sz="0" w:space="0" w:color="auto"/>
        <w:right w:val="none" w:sz="0" w:space="0" w:color="auto"/>
      </w:divBdr>
    </w:div>
    <w:div w:id="1574581812">
      <w:bodyDiv w:val="1"/>
      <w:marLeft w:val="0"/>
      <w:marRight w:val="0"/>
      <w:marTop w:val="0"/>
      <w:marBottom w:val="0"/>
      <w:divBdr>
        <w:top w:val="none" w:sz="0" w:space="0" w:color="auto"/>
        <w:left w:val="none" w:sz="0" w:space="0" w:color="auto"/>
        <w:bottom w:val="none" w:sz="0" w:space="0" w:color="auto"/>
        <w:right w:val="none" w:sz="0" w:space="0" w:color="auto"/>
      </w:divBdr>
    </w:div>
    <w:div w:id="1574582482">
      <w:bodyDiv w:val="1"/>
      <w:marLeft w:val="0"/>
      <w:marRight w:val="0"/>
      <w:marTop w:val="0"/>
      <w:marBottom w:val="0"/>
      <w:divBdr>
        <w:top w:val="none" w:sz="0" w:space="0" w:color="auto"/>
        <w:left w:val="none" w:sz="0" w:space="0" w:color="auto"/>
        <w:bottom w:val="none" w:sz="0" w:space="0" w:color="auto"/>
        <w:right w:val="none" w:sz="0" w:space="0" w:color="auto"/>
      </w:divBdr>
    </w:div>
    <w:div w:id="1574588456">
      <w:bodyDiv w:val="1"/>
      <w:marLeft w:val="0"/>
      <w:marRight w:val="0"/>
      <w:marTop w:val="0"/>
      <w:marBottom w:val="0"/>
      <w:divBdr>
        <w:top w:val="none" w:sz="0" w:space="0" w:color="auto"/>
        <w:left w:val="none" w:sz="0" w:space="0" w:color="auto"/>
        <w:bottom w:val="none" w:sz="0" w:space="0" w:color="auto"/>
        <w:right w:val="none" w:sz="0" w:space="0" w:color="auto"/>
      </w:divBdr>
    </w:div>
    <w:div w:id="1574660615">
      <w:bodyDiv w:val="1"/>
      <w:marLeft w:val="0"/>
      <w:marRight w:val="0"/>
      <w:marTop w:val="0"/>
      <w:marBottom w:val="0"/>
      <w:divBdr>
        <w:top w:val="none" w:sz="0" w:space="0" w:color="auto"/>
        <w:left w:val="none" w:sz="0" w:space="0" w:color="auto"/>
        <w:bottom w:val="none" w:sz="0" w:space="0" w:color="auto"/>
        <w:right w:val="none" w:sz="0" w:space="0" w:color="auto"/>
      </w:divBdr>
    </w:div>
    <w:div w:id="1574662345">
      <w:bodyDiv w:val="1"/>
      <w:marLeft w:val="0"/>
      <w:marRight w:val="0"/>
      <w:marTop w:val="0"/>
      <w:marBottom w:val="0"/>
      <w:divBdr>
        <w:top w:val="none" w:sz="0" w:space="0" w:color="auto"/>
        <w:left w:val="none" w:sz="0" w:space="0" w:color="auto"/>
        <w:bottom w:val="none" w:sz="0" w:space="0" w:color="auto"/>
        <w:right w:val="none" w:sz="0" w:space="0" w:color="auto"/>
      </w:divBdr>
    </w:div>
    <w:div w:id="1574705006">
      <w:bodyDiv w:val="1"/>
      <w:marLeft w:val="0"/>
      <w:marRight w:val="0"/>
      <w:marTop w:val="0"/>
      <w:marBottom w:val="0"/>
      <w:divBdr>
        <w:top w:val="none" w:sz="0" w:space="0" w:color="auto"/>
        <w:left w:val="none" w:sz="0" w:space="0" w:color="auto"/>
        <w:bottom w:val="none" w:sz="0" w:space="0" w:color="auto"/>
        <w:right w:val="none" w:sz="0" w:space="0" w:color="auto"/>
      </w:divBdr>
    </w:div>
    <w:div w:id="1574925870">
      <w:bodyDiv w:val="1"/>
      <w:marLeft w:val="0"/>
      <w:marRight w:val="0"/>
      <w:marTop w:val="0"/>
      <w:marBottom w:val="0"/>
      <w:divBdr>
        <w:top w:val="none" w:sz="0" w:space="0" w:color="auto"/>
        <w:left w:val="none" w:sz="0" w:space="0" w:color="auto"/>
        <w:bottom w:val="none" w:sz="0" w:space="0" w:color="auto"/>
        <w:right w:val="none" w:sz="0" w:space="0" w:color="auto"/>
      </w:divBdr>
    </w:div>
    <w:div w:id="1574965964">
      <w:bodyDiv w:val="1"/>
      <w:marLeft w:val="0"/>
      <w:marRight w:val="0"/>
      <w:marTop w:val="0"/>
      <w:marBottom w:val="0"/>
      <w:divBdr>
        <w:top w:val="none" w:sz="0" w:space="0" w:color="auto"/>
        <w:left w:val="none" w:sz="0" w:space="0" w:color="auto"/>
        <w:bottom w:val="none" w:sz="0" w:space="0" w:color="auto"/>
        <w:right w:val="none" w:sz="0" w:space="0" w:color="auto"/>
      </w:divBdr>
    </w:div>
    <w:div w:id="1574974302">
      <w:bodyDiv w:val="1"/>
      <w:marLeft w:val="0"/>
      <w:marRight w:val="0"/>
      <w:marTop w:val="0"/>
      <w:marBottom w:val="0"/>
      <w:divBdr>
        <w:top w:val="none" w:sz="0" w:space="0" w:color="auto"/>
        <w:left w:val="none" w:sz="0" w:space="0" w:color="auto"/>
        <w:bottom w:val="none" w:sz="0" w:space="0" w:color="auto"/>
        <w:right w:val="none" w:sz="0" w:space="0" w:color="auto"/>
      </w:divBdr>
    </w:div>
    <w:div w:id="1575124673">
      <w:bodyDiv w:val="1"/>
      <w:marLeft w:val="0"/>
      <w:marRight w:val="0"/>
      <w:marTop w:val="0"/>
      <w:marBottom w:val="0"/>
      <w:divBdr>
        <w:top w:val="none" w:sz="0" w:space="0" w:color="auto"/>
        <w:left w:val="none" w:sz="0" w:space="0" w:color="auto"/>
        <w:bottom w:val="none" w:sz="0" w:space="0" w:color="auto"/>
        <w:right w:val="none" w:sz="0" w:space="0" w:color="auto"/>
      </w:divBdr>
    </w:div>
    <w:div w:id="1575163646">
      <w:bodyDiv w:val="1"/>
      <w:marLeft w:val="0"/>
      <w:marRight w:val="0"/>
      <w:marTop w:val="0"/>
      <w:marBottom w:val="0"/>
      <w:divBdr>
        <w:top w:val="none" w:sz="0" w:space="0" w:color="auto"/>
        <w:left w:val="none" w:sz="0" w:space="0" w:color="auto"/>
        <w:bottom w:val="none" w:sz="0" w:space="0" w:color="auto"/>
        <w:right w:val="none" w:sz="0" w:space="0" w:color="auto"/>
      </w:divBdr>
    </w:div>
    <w:div w:id="1575163868">
      <w:bodyDiv w:val="1"/>
      <w:marLeft w:val="0"/>
      <w:marRight w:val="0"/>
      <w:marTop w:val="0"/>
      <w:marBottom w:val="0"/>
      <w:divBdr>
        <w:top w:val="none" w:sz="0" w:space="0" w:color="auto"/>
        <w:left w:val="none" w:sz="0" w:space="0" w:color="auto"/>
        <w:bottom w:val="none" w:sz="0" w:space="0" w:color="auto"/>
        <w:right w:val="none" w:sz="0" w:space="0" w:color="auto"/>
      </w:divBdr>
    </w:div>
    <w:div w:id="1575164233">
      <w:bodyDiv w:val="1"/>
      <w:marLeft w:val="0"/>
      <w:marRight w:val="0"/>
      <w:marTop w:val="0"/>
      <w:marBottom w:val="0"/>
      <w:divBdr>
        <w:top w:val="none" w:sz="0" w:space="0" w:color="auto"/>
        <w:left w:val="none" w:sz="0" w:space="0" w:color="auto"/>
        <w:bottom w:val="none" w:sz="0" w:space="0" w:color="auto"/>
        <w:right w:val="none" w:sz="0" w:space="0" w:color="auto"/>
      </w:divBdr>
    </w:div>
    <w:div w:id="1575166727">
      <w:bodyDiv w:val="1"/>
      <w:marLeft w:val="0"/>
      <w:marRight w:val="0"/>
      <w:marTop w:val="0"/>
      <w:marBottom w:val="0"/>
      <w:divBdr>
        <w:top w:val="none" w:sz="0" w:space="0" w:color="auto"/>
        <w:left w:val="none" w:sz="0" w:space="0" w:color="auto"/>
        <w:bottom w:val="none" w:sz="0" w:space="0" w:color="auto"/>
        <w:right w:val="none" w:sz="0" w:space="0" w:color="auto"/>
      </w:divBdr>
    </w:div>
    <w:div w:id="1575242546">
      <w:bodyDiv w:val="1"/>
      <w:marLeft w:val="0"/>
      <w:marRight w:val="0"/>
      <w:marTop w:val="0"/>
      <w:marBottom w:val="0"/>
      <w:divBdr>
        <w:top w:val="none" w:sz="0" w:space="0" w:color="auto"/>
        <w:left w:val="none" w:sz="0" w:space="0" w:color="auto"/>
        <w:bottom w:val="none" w:sz="0" w:space="0" w:color="auto"/>
        <w:right w:val="none" w:sz="0" w:space="0" w:color="auto"/>
      </w:divBdr>
    </w:div>
    <w:div w:id="1575311948">
      <w:bodyDiv w:val="1"/>
      <w:marLeft w:val="0"/>
      <w:marRight w:val="0"/>
      <w:marTop w:val="0"/>
      <w:marBottom w:val="0"/>
      <w:divBdr>
        <w:top w:val="none" w:sz="0" w:space="0" w:color="auto"/>
        <w:left w:val="none" w:sz="0" w:space="0" w:color="auto"/>
        <w:bottom w:val="none" w:sz="0" w:space="0" w:color="auto"/>
        <w:right w:val="none" w:sz="0" w:space="0" w:color="auto"/>
      </w:divBdr>
    </w:div>
    <w:div w:id="1575431852">
      <w:bodyDiv w:val="1"/>
      <w:marLeft w:val="0"/>
      <w:marRight w:val="0"/>
      <w:marTop w:val="0"/>
      <w:marBottom w:val="0"/>
      <w:divBdr>
        <w:top w:val="none" w:sz="0" w:space="0" w:color="auto"/>
        <w:left w:val="none" w:sz="0" w:space="0" w:color="auto"/>
        <w:bottom w:val="none" w:sz="0" w:space="0" w:color="auto"/>
        <w:right w:val="none" w:sz="0" w:space="0" w:color="auto"/>
      </w:divBdr>
    </w:div>
    <w:div w:id="1575506586">
      <w:bodyDiv w:val="1"/>
      <w:marLeft w:val="0"/>
      <w:marRight w:val="0"/>
      <w:marTop w:val="0"/>
      <w:marBottom w:val="0"/>
      <w:divBdr>
        <w:top w:val="none" w:sz="0" w:space="0" w:color="auto"/>
        <w:left w:val="none" w:sz="0" w:space="0" w:color="auto"/>
        <w:bottom w:val="none" w:sz="0" w:space="0" w:color="auto"/>
        <w:right w:val="none" w:sz="0" w:space="0" w:color="auto"/>
      </w:divBdr>
    </w:div>
    <w:div w:id="1575508089">
      <w:bodyDiv w:val="1"/>
      <w:marLeft w:val="0"/>
      <w:marRight w:val="0"/>
      <w:marTop w:val="0"/>
      <w:marBottom w:val="0"/>
      <w:divBdr>
        <w:top w:val="none" w:sz="0" w:space="0" w:color="auto"/>
        <w:left w:val="none" w:sz="0" w:space="0" w:color="auto"/>
        <w:bottom w:val="none" w:sz="0" w:space="0" w:color="auto"/>
        <w:right w:val="none" w:sz="0" w:space="0" w:color="auto"/>
      </w:divBdr>
    </w:div>
    <w:div w:id="1575581464">
      <w:bodyDiv w:val="1"/>
      <w:marLeft w:val="0"/>
      <w:marRight w:val="0"/>
      <w:marTop w:val="0"/>
      <w:marBottom w:val="0"/>
      <w:divBdr>
        <w:top w:val="none" w:sz="0" w:space="0" w:color="auto"/>
        <w:left w:val="none" w:sz="0" w:space="0" w:color="auto"/>
        <w:bottom w:val="none" w:sz="0" w:space="0" w:color="auto"/>
        <w:right w:val="none" w:sz="0" w:space="0" w:color="auto"/>
      </w:divBdr>
    </w:div>
    <w:div w:id="1575582160">
      <w:bodyDiv w:val="1"/>
      <w:marLeft w:val="0"/>
      <w:marRight w:val="0"/>
      <w:marTop w:val="0"/>
      <w:marBottom w:val="0"/>
      <w:divBdr>
        <w:top w:val="none" w:sz="0" w:space="0" w:color="auto"/>
        <w:left w:val="none" w:sz="0" w:space="0" w:color="auto"/>
        <w:bottom w:val="none" w:sz="0" w:space="0" w:color="auto"/>
        <w:right w:val="none" w:sz="0" w:space="0" w:color="auto"/>
      </w:divBdr>
    </w:div>
    <w:div w:id="1575582500">
      <w:bodyDiv w:val="1"/>
      <w:marLeft w:val="0"/>
      <w:marRight w:val="0"/>
      <w:marTop w:val="0"/>
      <w:marBottom w:val="0"/>
      <w:divBdr>
        <w:top w:val="none" w:sz="0" w:space="0" w:color="auto"/>
        <w:left w:val="none" w:sz="0" w:space="0" w:color="auto"/>
        <w:bottom w:val="none" w:sz="0" w:space="0" w:color="auto"/>
        <w:right w:val="none" w:sz="0" w:space="0" w:color="auto"/>
      </w:divBdr>
    </w:div>
    <w:div w:id="1575620985">
      <w:bodyDiv w:val="1"/>
      <w:marLeft w:val="0"/>
      <w:marRight w:val="0"/>
      <w:marTop w:val="0"/>
      <w:marBottom w:val="0"/>
      <w:divBdr>
        <w:top w:val="none" w:sz="0" w:space="0" w:color="auto"/>
        <w:left w:val="none" w:sz="0" w:space="0" w:color="auto"/>
        <w:bottom w:val="none" w:sz="0" w:space="0" w:color="auto"/>
        <w:right w:val="none" w:sz="0" w:space="0" w:color="auto"/>
      </w:divBdr>
    </w:div>
    <w:div w:id="1575697102">
      <w:bodyDiv w:val="1"/>
      <w:marLeft w:val="0"/>
      <w:marRight w:val="0"/>
      <w:marTop w:val="0"/>
      <w:marBottom w:val="0"/>
      <w:divBdr>
        <w:top w:val="none" w:sz="0" w:space="0" w:color="auto"/>
        <w:left w:val="none" w:sz="0" w:space="0" w:color="auto"/>
        <w:bottom w:val="none" w:sz="0" w:space="0" w:color="auto"/>
        <w:right w:val="none" w:sz="0" w:space="0" w:color="auto"/>
      </w:divBdr>
    </w:div>
    <w:div w:id="1575698296">
      <w:bodyDiv w:val="1"/>
      <w:marLeft w:val="0"/>
      <w:marRight w:val="0"/>
      <w:marTop w:val="0"/>
      <w:marBottom w:val="0"/>
      <w:divBdr>
        <w:top w:val="none" w:sz="0" w:space="0" w:color="auto"/>
        <w:left w:val="none" w:sz="0" w:space="0" w:color="auto"/>
        <w:bottom w:val="none" w:sz="0" w:space="0" w:color="auto"/>
        <w:right w:val="none" w:sz="0" w:space="0" w:color="auto"/>
      </w:divBdr>
    </w:div>
    <w:div w:id="1575699072">
      <w:bodyDiv w:val="1"/>
      <w:marLeft w:val="0"/>
      <w:marRight w:val="0"/>
      <w:marTop w:val="0"/>
      <w:marBottom w:val="0"/>
      <w:divBdr>
        <w:top w:val="none" w:sz="0" w:space="0" w:color="auto"/>
        <w:left w:val="none" w:sz="0" w:space="0" w:color="auto"/>
        <w:bottom w:val="none" w:sz="0" w:space="0" w:color="auto"/>
        <w:right w:val="none" w:sz="0" w:space="0" w:color="auto"/>
      </w:divBdr>
    </w:div>
    <w:div w:id="1575704241">
      <w:bodyDiv w:val="1"/>
      <w:marLeft w:val="0"/>
      <w:marRight w:val="0"/>
      <w:marTop w:val="0"/>
      <w:marBottom w:val="0"/>
      <w:divBdr>
        <w:top w:val="none" w:sz="0" w:space="0" w:color="auto"/>
        <w:left w:val="none" w:sz="0" w:space="0" w:color="auto"/>
        <w:bottom w:val="none" w:sz="0" w:space="0" w:color="auto"/>
        <w:right w:val="none" w:sz="0" w:space="0" w:color="auto"/>
      </w:divBdr>
    </w:div>
    <w:div w:id="1575775417">
      <w:bodyDiv w:val="1"/>
      <w:marLeft w:val="0"/>
      <w:marRight w:val="0"/>
      <w:marTop w:val="0"/>
      <w:marBottom w:val="0"/>
      <w:divBdr>
        <w:top w:val="none" w:sz="0" w:space="0" w:color="auto"/>
        <w:left w:val="none" w:sz="0" w:space="0" w:color="auto"/>
        <w:bottom w:val="none" w:sz="0" w:space="0" w:color="auto"/>
        <w:right w:val="none" w:sz="0" w:space="0" w:color="auto"/>
      </w:divBdr>
    </w:div>
    <w:div w:id="1575894375">
      <w:bodyDiv w:val="1"/>
      <w:marLeft w:val="0"/>
      <w:marRight w:val="0"/>
      <w:marTop w:val="0"/>
      <w:marBottom w:val="0"/>
      <w:divBdr>
        <w:top w:val="none" w:sz="0" w:space="0" w:color="auto"/>
        <w:left w:val="none" w:sz="0" w:space="0" w:color="auto"/>
        <w:bottom w:val="none" w:sz="0" w:space="0" w:color="auto"/>
        <w:right w:val="none" w:sz="0" w:space="0" w:color="auto"/>
      </w:divBdr>
    </w:div>
    <w:div w:id="1576088820">
      <w:bodyDiv w:val="1"/>
      <w:marLeft w:val="0"/>
      <w:marRight w:val="0"/>
      <w:marTop w:val="0"/>
      <w:marBottom w:val="0"/>
      <w:divBdr>
        <w:top w:val="none" w:sz="0" w:space="0" w:color="auto"/>
        <w:left w:val="none" w:sz="0" w:space="0" w:color="auto"/>
        <w:bottom w:val="none" w:sz="0" w:space="0" w:color="auto"/>
        <w:right w:val="none" w:sz="0" w:space="0" w:color="auto"/>
      </w:divBdr>
    </w:div>
    <w:div w:id="1576233994">
      <w:bodyDiv w:val="1"/>
      <w:marLeft w:val="0"/>
      <w:marRight w:val="0"/>
      <w:marTop w:val="0"/>
      <w:marBottom w:val="0"/>
      <w:divBdr>
        <w:top w:val="none" w:sz="0" w:space="0" w:color="auto"/>
        <w:left w:val="none" w:sz="0" w:space="0" w:color="auto"/>
        <w:bottom w:val="none" w:sz="0" w:space="0" w:color="auto"/>
        <w:right w:val="none" w:sz="0" w:space="0" w:color="auto"/>
      </w:divBdr>
    </w:div>
    <w:div w:id="1576234436">
      <w:bodyDiv w:val="1"/>
      <w:marLeft w:val="0"/>
      <w:marRight w:val="0"/>
      <w:marTop w:val="0"/>
      <w:marBottom w:val="0"/>
      <w:divBdr>
        <w:top w:val="none" w:sz="0" w:space="0" w:color="auto"/>
        <w:left w:val="none" w:sz="0" w:space="0" w:color="auto"/>
        <w:bottom w:val="none" w:sz="0" w:space="0" w:color="auto"/>
        <w:right w:val="none" w:sz="0" w:space="0" w:color="auto"/>
      </w:divBdr>
    </w:div>
    <w:div w:id="1576235345">
      <w:bodyDiv w:val="1"/>
      <w:marLeft w:val="0"/>
      <w:marRight w:val="0"/>
      <w:marTop w:val="0"/>
      <w:marBottom w:val="0"/>
      <w:divBdr>
        <w:top w:val="none" w:sz="0" w:space="0" w:color="auto"/>
        <w:left w:val="none" w:sz="0" w:space="0" w:color="auto"/>
        <w:bottom w:val="none" w:sz="0" w:space="0" w:color="auto"/>
        <w:right w:val="none" w:sz="0" w:space="0" w:color="auto"/>
      </w:divBdr>
    </w:div>
    <w:div w:id="1576238711">
      <w:bodyDiv w:val="1"/>
      <w:marLeft w:val="0"/>
      <w:marRight w:val="0"/>
      <w:marTop w:val="0"/>
      <w:marBottom w:val="0"/>
      <w:divBdr>
        <w:top w:val="none" w:sz="0" w:space="0" w:color="auto"/>
        <w:left w:val="none" w:sz="0" w:space="0" w:color="auto"/>
        <w:bottom w:val="none" w:sz="0" w:space="0" w:color="auto"/>
        <w:right w:val="none" w:sz="0" w:space="0" w:color="auto"/>
      </w:divBdr>
    </w:div>
    <w:div w:id="1576281802">
      <w:bodyDiv w:val="1"/>
      <w:marLeft w:val="0"/>
      <w:marRight w:val="0"/>
      <w:marTop w:val="0"/>
      <w:marBottom w:val="0"/>
      <w:divBdr>
        <w:top w:val="none" w:sz="0" w:space="0" w:color="auto"/>
        <w:left w:val="none" w:sz="0" w:space="0" w:color="auto"/>
        <w:bottom w:val="none" w:sz="0" w:space="0" w:color="auto"/>
        <w:right w:val="none" w:sz="0" w:space="0" w:color="auto"/>
      </w:divBdr>
    </w:div>
    <w:div w:id="1576353642">
      <w:bodyDiv w:val="1"/>
      <w:marLeft w:val="0"/>
      <w:marRight w:val="0"/>
      <w:marTop w:val="0"/>
      <w:marBottom w:val="0"/>
      <w:divBdr>
        <w:top w:val="none" w:sz="0" w:space="0" w:color="auto"/>
        <w:left w:val="none" w:sz="0" w:space="0" w:color="auto"/>
        <w:bottom w:val="none" w:sz="0" w:space="0" w:color="auto"/>
        <w:right w:val="none" w:sz="0" w:space="0" w:color="auto"/>
      </w:divBdr>
    </w:div>
    <w:div w:id="1576353996">
      <w:bodyDiv w:val="1"/>
      <w:marLeft w:val="0"/>
      <w:marRight w:val="0"/>
      <w:marTop w:val="0"/>
      <w:marBottom w:val="0"/>
      <w:divBdr>
        <w:top w:val="none" w:sz="0" w:space="0" w:color="auto"/>
        <w:left w:val="none" w:sz="0" w:space="0" w:color="auto"/>
        <w:bottom w:val="none" w:sz="0" w:space="0" w:color="auto"/>
        <w:right w:val="none" w:sz="0" w:space="0" w:color="auto"/>
      </w:divBdr>
    </w:div>
    <w:div w:id="1576357208">
      <w:bodyDiv w:val="1"/>
      <w:marLeft w:val="0"/>
      <w:marRight w:val="0"/>
      <w:marTop w:val="0"/>
      <w:marBottom w:val="0"/>
      <w:divBdr>
        <w:top w:val="none" w:sz="0" w:space="0" w:color="auto"/>
        <w:left w:val="none" w:sz="0" w:space="0" w:color="auto"/>
        <w:bottom w:val="none" w:sz="0" w:space="0" w:color="auto"/>
        <w:right w:val="none" w:sz="0" w:space="0" w:color="auto"/>
      </w:divBdr>
    </w:div>
    <w:div w:id="1576427963">
      <w:bodyDiv w:val="1"/>
      <w:marLeft w:val="0"/>
      <w:marRight w:val="0"/>
      <w:marTop w:val="0"/>
      <w:marBottom w:val="0"/>
      <w:divBdr>
        <w:top w:val="none" w:sz="0" w:space="0" w:color="auto"/>
        <w:left w:val="none" w:sz="0" w:space="0" w:color="auto"/>
        <w:bottom w:val="none" w:sz="0" w:space="0" w:color="auto"/>
        <w:right w:val="none" w:sz="0" w:space="0" w:color="auto"/>
      </w:divBdr>
    </w:div>
    <w:div w:id="1576428869">
      <w:bodyDiv w:val="1"/>
      <w:marLeft w:val="0"/>
      <w:marRight w:val="0"/>
      <w:marTop w:val="0"/>
      <w:marBottom w:val="0"/>
      <w:divBdr>
        <w:top w:val="none" w:sz="0" w:space="0" w:color="auto"/>
        <w:left w:val="none" w:sz="0" w:space="0" w:color="auto"/>
        <w:bottom w:val="none" w:sz="0" w:space="0" w:color="auto"/>
        <w:right w:val="none" w:sz="0" w:space="0" w:color="auto"/>
      </w:divBdr>
    </w:div>
    <w:div w:id="1576432105">
      <w:bodyDiv w:val="1"/>
      <w:marLeft w:val="0"/>
      <w:marRight w:val="0"/>
      <w:marTop w:val="0"/>
      <w:marBottom w:val="0"/>
      <w:divBdr>
        <w:top w:val="none" w:sz="0" w:space="0" w:color="auto"/>
        <w:left w:val="none" w:sz="0" w:space="0" w:color="auto"/>
        <w:bottom w:val="none" w:sz="0" w:space="0" w:color="auto"/>
        <w:right w:val="none" w:sz="0" w:space="0" w:color="auto"/>
      </w:divBdr>
    </w:div>
    <w:div w:id="1576547145">
      <w:bodyDiv w:val="1"/>
      <w:marLeft w:val="0"/>
      <w:marRight w:val="0"/>
      <w:marTop w:val="0"/>
      <w:marBottom w:val="0"/>
      <w:divBdr>
        <w:top w:val="none" w:sz="0" w:space="0" w:color="auto"/>
        <w:left w:val="none" w:sz="0" w:space="0" w:color="auto"/>
        <w:bottom w:val="none" w:sz="0" w:space="0" w:color="auto"/>
        <w:right w:val="none" w:sz="0" w:space="0" w:color="auto"/>
      </w:divBdr>
    </w:div>
    <w:div w:id="1576625272">
      <w:bodyDiv w:val="1"/>
      <w:marLeft w:val="0"/>
      <w:marRight w:val="0"/>
      <w:marTop w:val="0"/>
      <w:marBottom w:val="0"/>
      <w:divBdr>
        <w:top w:val="none" w:sz="0" w:space="0" w:color="auto"/>
        <w:left w:val="none" w:sz="0" w:space="0" w:color="auto"/>
        <w:bottom w:val="none" w:sz="0" w:space="0" w:color="auto"/>
        <w:right w:val="none" w:sz="0" w:space="0" w:color="auto"/>
      </w:divBdr>
    </w:div>
    <w:div w:id="1576738501">
      <w:bodyDiv w:val="1"/>
      <w:marLeft w:val="0"/>
      <w:marRight w:val="0"/>
      <w:marTop w:val="0"/>
      <w:marBottom w:val="0"/>
      <w:divBdr>
        <w:top w:val="none" w:sz="0" w:space="0" w:color="auto"/>
        <w:left w:val="none" w:sz="0" w:space="0" w:color="auto"/>
        <w:bottom w:val="none" w:sz="0" w:space="0" w:color="auto"/>
        <w:right w:val="none" w:sz="0" w:space="0" w:color="auto"/>
      </w:divBdr>
    </w:div>
    <w:div w:id="1576814589">
      <w:bodyDiv w:val="1"/>
      <w:marLeft w:val="0"/>
      <w:marRight w:val="0"/>
      <w:marTop w:val="0"/>
      <w:marBottom w:val="0"/>
      <w:divBdr>
        <w:top w:val="none" w:sz="0" w:space="0" w:color="auto"/>
        <w:left w:val="none" w:sz="0" w:space="0" w:color="auto"/>
        <w:bottom w:val="none" w:sz="0" w:space="0" w:color="auto"/>
        <w:right w:val="none" w:sz="0" w:space="0" w:color="auto"/>
      </w:divBdr>
    </w:div>
    <w:div w:id="1576864009">
      <w:bodyDiv w:val="1"/>
      <w:marLeft w:val="0"/>
      <w:marRight w:val="0"/>
      <w:marTop w:val="0"/>
      <w:marBottom w:val="0"/>
      <w:divBdr>
        <w:top w:val="none" w:sz="0" w:space="0" w:color="auto"/>
        <w:left w:val="none" w:sz="0" w:space="0" w:color="auto"/>
        <w:bottom w:val="none" w:sz="0" w:space="0" w:color="auto"/>
        <w:right w:val="none" w:sz="0" w:space="0" w:color="auto"/>
      </w:divBdr>
    </w:div>
    <w:div w:id="1576931785">
      <w:bodyDiv w:val="1"/>
      <w:marLeft w:val="0"/>
      <w:marRight w:val="0"/>
      <w:marTop w:val="0"/>
      <w:marBottom w:val="0"/>
      <w:divBdr>
        <w:top w:val="none" w:sz="0" w:space="0" w:color="auto"/>
        <w:left w:val="none" w:sz="0" w:space="0" w:color="auto"/>
        <w:bottom w:val="none" w:sz="0" w:space="0" w:color="auto"/>
        <w:right w:val="none" w:sz="0" w:space="0" w:color="auto"/>
      </w:divBdr>
    </w:div>
    <w:div w:id="1576932310">
      <w:bodyDiv w:val="1"/>
      <w:marLeft w:val="0"/>
      <w:marRight w:val="0"/>
      <w:marTop w:val="0"/>
      <w:marBottom w:val="0"/>
      <w:divBdr>
        <w:top w:val="none" w:sz="0" w:space="0" w:color="auto"/>
        <w:left w:val="none" w:sz="0" w:space="0" w:color="auto"/>
        <w:bottom w:val="none" w:sz="0" w:space="0" w:color="auto"/>
        <w:right w:val="none" w:sz="0" w:space="0" w:color="auto"/>
      </w:divBdr>
    </w:div>
    <w:div w:id="1576932593">
      <w:bodyDiv w:val="1"/>
      <w:marLeft w:val="0"/>
      <w:marRight w:val="0"/>
      <w:marTop w:val="0"/>
      <w:marBottom w:val="0"/>
      <w:divBdr>
        <w:top w:val="none" w:sz="0" w:space="0" w:color="auto"/>
        <w:left w:val="none" w:sz="0" w:space="0" w:color="auto"/>
        <w:bottom w:val="none" w:sz="0" w:space="0" w:color="auto"/>
        <w:right w:val="none" w:sz="0" w:space="0" w:color="auto"/>
      </w:divBdr>
    </w:div>
    <w:div w:id="1577012281">
      <w:bodyDiv w:val="1"/>
      <w:marLeft w:val="0"/>
      <w:marRight w:val="0"/>
      <w:marTop w:val="0"/>
      <w:marBottom w:val="0"/>
      <w:divBdr>
        <w:top w:val="none" w:sz="0" w:space="0" w:color="auto"/>
        <w:left w:val="none" w:sz="0" w:space="0" w:color="auto"/>
        <w:bottom w:val="none" w:sz="0" w:space="0" w:color="auto"/>
        <w:right w:val="none" w:sz="0" w:space="0" w:color="auto"/>
      </w:divBdr>
    </w:div>
    <w:div w:id="1577012361">
      <w:bodyDiv w:val="1"/>
      <w:marLeft w:val="0"/>
      <w:marRight w:val="0"/>
      <w:marTop w:val="0"/>
      <w:marBottom w:val="0"/>
      <w:divBdr>
        <w:top w:val="none" w:sz="0" w:space="0" w:color="auto"/>
        <w:left w:val="none" w:sz="0" w:space="0" w:color="auto"/>
        <w:bottom w:val="none" w:sz="0" w:space="0" w:color="auto"/>
        <w:right w:val="none" w:sz="0" w:space="0" w:color="auto"/>
      </w:divBdr>
    </w:div>
    <w:div w:id="1577012495">
      <w:bodyDiv w:val="1"/>
      <w:marLeft w:val="0"/>
      <w:marRight w:val="0"/>
      <w:marTop w:val="0"/>
      <w:marBottom w:val="0"/>
      <w:divBdr>
        <w:top w:val="none" w:sz="0" w:space="0" w:color="auto"/>
        <w:left w:val="none" w:sz="0" w:space="0" w:color="auto"/>
        <w:bottom w:val="none" w:sz="0" w:space="0" w:color="auto"/>
        <w:right w:val="none" w:sz="0" w:space="0" w:color="auto"/>
      </w:divBdr>
    </w:div>
    <w:div w:id="1577126728">
      <w:bodyDiv w:val="1"/>
      <w:marLeft w:val="0"/>
      <w:marRight w:val="0"/>
      <w:marTop w:val="0"/>
      <w:marBottom w:val="0"/>
      <w:divBdr>
        <w:top w:val="none" w:sz="0" w:space="0" w:color="auto"/>
        <w:left w:val="none" w:sz="0" w:space="0" w:color="auto"/>
        <w:bottom w:val="none" w:sz="0" w:space="0" w:color="auto"/>
        <w:right w:val="none" w:sz="0" w:space="0" w:color="auto"/>
      </w:divBdr>
    </w:div>
    <w:div w:id="1577132754">
      <w:bodyDiv w:val="1"/>
      <w:marLeft w:val="0"/>
      <w:marRight w:val="0"/>
      <w:marTop w:val="0"/>
      <w:marBottom w:val="0"/>
      <w:divBdr>
        <w:top w:val="none" w:sz="0" w:space="0" w:color="auto"/>
        <w:left w:val="none" w:sz="0" w:space="0" w:color="auto"/>
        <w:bottom w:val="none" w:sz="0" w:space="0" w:color="auto"/>
        <w:right w:val="none" w:sz="0" w:space="0" w:color="auto"/>
      </w:divBdr>
    </w:div>
    <w:div w:id="1577278274">
      <w:bodyDiv w:val="1"/>
      <w:marLeft w:val="0"/>
      <w:marRight w:val="0"/>
      <w:marTop w:val="0"/>
      <w:marBottom w:val="0"/>
      <w:divBdr>
        <w:top w:val="none" w:sz="0" w:space="0" w:color="auto"/>
        <w:left w:val="none" w:sz="0" w:space="0" w:color="auto"/>
        <w:bottom w:val="none" w:sz="0" w:space="0" w:color="auto"/>
        <w:right w:val="none" w:sz="0" w:space="0" w:color="auto"/>
      </w:divBdr>
    </w:div>
    <w:div w:id="1577278999">
      <w:bodyDiv w:val="1"/>
      <w:marLeft w:val="0"/>
      <w:marRight w:val="0"/>
      <w:marTop w:val="0"/>
      <w:marBottom w:val="0"/>
      <w:divBdr>
        <w:top w:val="none" w:sz="0" w:space="0" w:color="auto"/>
        <w:left w:val="none" w:sz="0" w:space="0" w:color="auto"/>
        <w:bottom w:val="none" w:sz="0" w:space="0" w:color="auto"/>
        <w:right w:val="none" w:sz="0" w:space="0" w:color="auto"/>
      </w:divBdr>
    </w:div>
    <w:div w:id="1577320471">
      <w:bodyDiv w:val="1"/>
      <w:marLeft w:val="0"/>
      <w:marRight w:val="0"/>
      <w:marTop w:val="0"/>
      <w:marBottom w:val="0"/>
      <w:divBdr>
        <w:top w:val="none" w:sz="0" w:space="0" w:color="auto"/>
        <w:left w:val="none" w:sz="0" w:space="0" w:color="auto"/>
        <w:bottom w:val="none" w:sz="0" w:space="0" w:color="auto"/>
        <w:right w:val="none" w:sz="0" w:space="0" w:color="auto"/>
      </w:divBdr>
    </w:div>
    <w:div w:id="1577352006">
      <w:bodyDiv w:val="1"/>
      <w:marLeft w:val="0"/>
      <w:marRight w:val="0"/>
      <w:marTop w:val="0"/>
      <w:marBottom w:val="0"/>
      <w:divBdr>
        <w:top w:val="none" w:sz="0" w:space="0" w:color="auto"/>
        <w:left w:val="none" w:sz="0" w:space="0" w:color="auto"/>
        <w:bottom w:val="none" w:sz="0" w:space="0" w:color="auto"/>
        <w:right w:val="none" w:sz="0" w:space="0" w:color="auto"/>
      </w:divBdr>
    </w:div>
    <w:div w:id="1577393932">
      <w:bodyDiv w:val="1"/>
      <w:marLeft w:val="0"/>
      <w:marRight w:val="0"/>
      <w:marTop w:val="0"/>
      <w:marBottom w:val="0"/>
      <w:divBdr>
        <w:top w:val="none" w:sz="0" w:space="0" w:color="auto"/>
        <w:left w:val="none" w:sz="0" w:space="0" w:color="auto"/>
        <w:bottom w:val="none" w:sz="0" w:space="0" w:color="auto"/>
        <w:right w:val="none" w:sz="0" w:space="0" w:color="auto"/>
      </w:divBdr>
    </w:div>
    <w:div w:id="1577396068">
      <w:bodyDiv w:val="1"/>
      <w:marLeft w:val="0"/>
      <w:marRight w:val="0"/>
      <w:marTop w:val="0"/>
      <w:marBottom w:val="0"/>
      <w:divBdr>
        <w:top w:val="none" w:sz="0" w:space="0" w:color="auto"/>
        <w:left w:val="none" w:sz="0" w:space="0" w:color="auto"/>
        <w:bottom w:val="none" w:sz="0" w:space="0" w:color="auto"/>
        <w:right w:val="none" w:sz="0" w:space="0" w:color="auto"/>
      </w:divBdr>
    </w:div>
    <w:div w:id="1577545476">
      <w:bodyDiv w:val="1"/>
      <w:marLeft w:val="0"/>
      <w:marRight w:val="0"/>
      <w:marTop w:val="0"/>
      <w:marBottom w:val="0"/>
      <w:divBdr>
        <w:top w:val="none" w:sz="0" w:space="0" w:color="auto"/>
        <w:left w:val="none" w:sz="0" w:space="0" w:color="auto"/>
        <w:bottom w:val="none" w:sz="0" w:space="0" w:color="auto"/>
        <w:right w:val="none" w:sz="0" w:space="0" w:color="auto"/>
      </w:divBdr>
    </w:div>
    <w:div w:id="1577740529">
      <w:bodyDiv w:val="1"/>
      <w:marLeft w:val="0"/>
      <w:marRight w:val="0"/>
      <w:marTop w:val="0"/>
      <w:marBottom w:val="0"/>
      <w:divBdr>
        <w:top w:val="none" w:sz="0" w:space="0" w:color="auto"/>
        <w:left w:val="none" w:sz="0" w:space="0" w:color="auto"/>
        <w:bottom w:val="none" w:sz="0" w:space="0" w:color="auto"/>
        <w:right w:val="none" w:sz="0" w:space="0" w:color="auto"/>
      </w:divBdr>
    </w:div>
    <w:div w:id="1577741843">
      <w:bodyDiv w:val="1"/>
      <w:marLeft w:val="0"/>
      <w:marRight w:val="0"/>
      <w:marTop w:val="0"/>
      <w:marBottom w:val="0"/>
      <w:divBdr>
        <w:top w:val="none" w:sz="0" w:space="0" w:color="auto"/>
        <w:left w:val="none" w:sz="0" w:space="0" w:color="auto"/>
        <w:bottom w:val="none" w:sz="0" w:space="0" w:color="auto"/>
        <w:right w:val="none" w:sz="0" w:space="0" w:color="auto"/>
      </w:divBdr>
    </w:div>
    <w:div w:id="1577781056">
      <w:bodyDiv w:val="1"/>
      <w:marLeft w:val="0"/>
      <w:marRight w:val="0"/>
      <w:marTop w:val="0"/>
      <w:marBottom w:val="0"/>
      <w:divBdr>
        <w:top w:val="none" w:sz="0" w:space="0" w:color="auto"/>
        <w:left w:val="none" w:sz="0" w:space="0" w:color="auto"/>
        <w:bottom w:val="none" w:sz="0" w:space="0" w:color="auto"/>
        <w:right w:val="none" w:sz="0" w:space="0" w:color="auto"/>
      </w:divBdr>
    </w:div>
    <w:div w:id="1577864854">
      <w:bodyDiv w:val="1"/>
      <w:marLeft w:val="0"/>
      <w:marRight w:val="0"/>
      <w:marTop w:val="0"/>
      <w:marBottom w:val="0"/>
      <w:divBdr>
        <w:top w:val="none" w:sz="0" w:space="0" w:color="auto"/>
        <w:left w:val="none" w:sz="0" w:space="0" w:color="auto"/>
        <w:bottom w:val="none" w:sz="0" w:space="0" w:color="auto"/>
        <w:right w:val="none" w:sz="0" w:space="0" w:color="auto"/>
      </w:divBdr>
    </w:div>
    <w:div w:id="1577936322">
      <w:bodyDiv w:val="1"/>
      <w:marLeft w:val="0"/>
      <w:marRight w:val="0"/>
      <w:marTop w:val="0"/>
      <w:marBottom w:val="0"/>
      <w:divBdr>
        <w:top w:val="none" w:sz="0" w:space="0" w:color="auto"/>
        <w:left w:val="none" w:sz="0" w:space="0" w:color="auto"/>
        <w:bottom w:val="none" w:sz="0" w:space="0" w:color="auto"/>
        <w:right w:val="none" w:sz="0" w:space="0" w:color="auto"/>
      </w:divBdr>
    </w:div>
    <w:div w:id="1577940055">
      <w:bodyDiv w:val="1"/>
      <w:marLeft w:val="0"/>
      <w:marRight w:val="0"/>
      <w:marTop w:val="0"/>
      <w:marBottom w:val="0"/>
      <w:divBdr>
        <w:top w:val="none" w:sz="0" w:space="0" w:color="auto"/>
        <w:left w:val="none" w:sz="0" w:space="0" w:color="auto"/>
        <w:bottom w:val="none" w:sz="0" w:space="0" w:color="auto"/>
        <w:right w:val="none" w:sz="0" w:space="0" w:color="auto"/>
      </w:divBdr>
    </w:div>
    <w:div w:id="1577940506">
      <w:bodyDiv w:val="1"/>
      <w:marLeft w:val="0"/>
      <w:marRight w:val="0"/>
      <w:marTop w:val="0"/>
      <w:marBottom w:val="0"/>
      <w:divBdr>
        <w:top w:val="none" w:sz="0" w:space="0" w:color="auto"/>
        <w:left w:val="none" w:sz="0" w:space="0" w:color="auto"/>
        <w:bottom w:val="none" w:sz="0" w:space="0" w:color="auto"/>
        <w:right w:val="none" w:sz="0" w:space="0" w:color="auto"/>
      </w:divBdr>
    </w:div>
    <w:div w:id="1577980293">
      <w:bodyDiv w:val="1"/>
      <w:marLeft w:val="0"/>
      <w:marRight w:val="0"/>
      <w:marTop w:val="0"/>
      <w:marBottom w:val="0"/>
      <w:divBdr>
        <w:top w:val="none" w:sz="0" w:space="0" w:color="auto"/>
        <w:left w:val="none" w:sz="0" w:space="0" w:color="auto"/>
        <w:bottom w:val="none" w:sz="0" w:space="0" w:color="auto"/>
        <w:right w:val="none" w:sz="0" w:space="0" w:color="auto"/>
      </w:divBdr>
    </w:div>
    <w:div w:id="1578244276">
      <w:bodyDiv w:val="1"/>
      <w:marLeft w:val="0"/>
      <w:marRight w:val="0"/>
      <w:marTop w:val="0"/>
      <w:marBottom w:val="0"/>
      <w:divBdr>
        <w:top w:val="none" w:sz="0" w:space="0" w:color="auto"/>
        <w:left w:val="none" w:sz="0" w:space="0" w:color="auto"/>
        <w:bottom w:val="none" w:sz="0" w:space="0" w:color="auto"/>
        <w:right w:val="none" w:sz="0" w:space="0" w:color="auto"/>
      </w:divBdr>
    </w:div>
    <w:div w:id="1578245856">
      <w:bodyDiv w:val="1"/>
      <w:marLeft w:val="0"/>
      <w:marRight w:val="0"/>
      <w:marTop w:val="0"/>
      <w:marBottom w:val="0"/>
      <w:divBdr>
        <w:top w:val="none" w:sz="0" w:space="0" w:color="auto"/>
        <w:left w:val="none" w:sz="0" w:space="0" w:color="auto"/>
        <w:bottom w:val="none" w:sz="0" w:space="0" w:color="auto"/>
        <w:right w:val="none" w:sz="0" w:space="0" w:color="auto"/>
      </w:divBdr>
    </w:div>
    <w:div w:id="1578249253">
      <w:bodyDiv w:val="1"/>
      <w:marLeft w:val="0"/>
      <w:marRight w:val="0"/>
      <w:marTop w:val="0"/>
      <w:marBottom w:val="0"/>
      <w:divBdr>
        <w:top w:val="none" w:sz="0" w:space="0" w:color="auto"/>
        <w:left w:val="none" w:sz="0" w:space="0" w:color="auto"/>
        <w:bottom w:val="none" w:sz="0" w:space="0" w:color="auto"/>
        <w:right w:val="none" w:sz="0" w:space="0" w:color="auto"/>
      </w:divBdr>
    </w:div>
    <w:div w:id="1578320553">
      <w:bodyDiv w:val="1"/>
      <w:marLeft w:val="0"/>
      <w:marRight w:val="0"/>
      <w:marTop w:val="0"/>
      <w:marBottom w:val="0"/>
      <w:divBdr>
        <w:top w:val="none" w:sz="0" w:space="0" w:color="auto"/>
        <w:left w:val="none" w:sz="0" w:space="0" w:color="auto"/>
        <w:bottom w:val="none" w:sz="0" w:space="0" w:color="auto"/>
        <w:right w:val="none" w:sz="0" w:space="0" w:color="auto"/>
      </w:divBdr>
    </w:div>
    <w:div w:id="1578513436">
      <w:bodyDiv w:val="1"/>
      <w:marLeft w:val="0"/>
      <w:marRight w:val="0"/>
      <w:marTop w:val="0"/>
      <w:marBottom w:val="0"/>
      <w:divBdr>
        <w:top w:val="none" w:sz="0" w:space="0" w:color="auto"/>
        <w:left w:val="none" w:sz="0" w:space="0" w:color="auto"/>
        <w:bottom w:val="none" w:sz="0" w:space="0" w:color="auto"/>
        <w:right w:val="none" w:sz="0" w:space="0" w:color="auto"/>
      </w:divBdr>
    </w:div>
    <w:div w:id="1578518652">
      <w:bodyDiv w:val="1"/>
      <w:marLeft w:val="0"/>
      <w:marRight w:val="0"/>
      <w:marTop w:val="0"/>
      <w:marBottom w:val="0"/>
      <w:divBdr>
        <w:top w:val="none" w:sz="0" w:space="0" w:color="auto"/>
        <w:left w:val="none" w:sz="0" w:space="0" w:color="auto"/>
        <w:bottom w:val="none" w:sz="0" w:space="0" w:color="auto"/>
        <w:right w:val="none" w:sz="0" w:space="0" w:color="auto"/>
      </w:divBdr>
    </w:div>
    <w:div w:id="1578588457">
      <w:bodyDiv w:val="1"/>
      <w:marLeft w:val="0"/>
      <w:marRight w:val="0"/>
      <w:marTop w:val="0"/>
      <w:marBottom w:val="0"/>
      <w:divBdr>
        <w:top w:val="none" w:sz="0" w:space="0" w:color="auto"/>
        <w:left w:val="none" w:sz="0" w:space="0" w:color="auto"/>
        <w:bottom w:val="none" w:sz="0" w:space="0" w:color="auto"/>
        <w:right w:val="none" w:sz="0" w:space="0" w:color="auto"/>
      </w:divBdr>
    </w:div>
    <w:div w:id="1578589958">
      <w:bodyDiv w:val="1"/>
      <w:marLeft w:val="0"/>
      <w:marRight w:val="0"/>
      <w:marTop w:val="0"/>
      <w:marBottom w:val="0"/>
      <w:divBdr>
        <w:top w:val="none" w:sz="0" w:space="0" w:color="auto"/>
        <w:left w:val="none" w:sz="0" w:space="0" w:color="auto"/>
        <w:bottom w:val="none" w:sz="0" w:space="0" w:color="auto"/>
        <w:right w:val="none" w:sz="0" w:space="0" w:color="auto"/>
      </w:divBdr>
    </w:div>
    <w:div w:id="1578634065">
      <w:bodyDiv w:val="1"/>
      <w:marLeft w:val="0"/>
      <w:marRight w:val="0"/>
      <w:marTop w:val="0"/>
      <w:marBottom w:val="0"/>
      <w:divBdr>
        <w:top w:val="none" w:sz="0" w:space="0" w:color="auto"/>
        <w:left w:val="none" w:sz="0" w:space="0" w:color="auto"/>
        <w:bottom w:val="none" w:sz="0" w:space="0" w:color="auto"/>
        <w:right w:val="none" w:sz="0" w:space="0" w:color="auto"/>
      </w:divBdr>
    </w:div>
    <w:div w:id="1578637248">
      <w:bodyDiv w:val="1"/>
      <w:marLeft w:val="0"/>
      <w:marRight w:val="0"/>
      <w:marTop w:val="0"/>
      <w:marBottom w:val="0"/>
      <w:divBdr>
        <w:top w:val="none" w:sz="0" w:space="0" w:color="auto"/>
        <w:left w:val="none" w:sz="0" w:space="0" w:color="auto"/>
        <w:bottom w:val="none" w:sz="0" w:space="0" w:color="auto"/>
        <w:right w:val="none" w:sz="0" w:space="0" w:color="auto"/>
      </w:divBdr>
    </w:div>
    <w:div w:id="1578787451">
      <w:bodyDiv w:val="1"/>
      <w:marLeft w:val="0"/>
      <w:marRight w:val="0"/>
      <w:marTop w:val="0"/>
      <w:marBottom w:val="0"/>
      <w:divBdr>
        <w:top w:val="none" w:sz="0" w:space="0" w:color="auto"/>
        <w:left w:val="none" w:sz="0" w:space="0" w:color="auto"/>
        <w:bottom w:val="none" w:sz="0" w:space="0" w:color="auto"/>
        <w:right w:val="none" w:sz="0" w:space="0" w:color="auto"/>
      </w:divBdr>
    </w:div>
    <w:div w:id="1578859351">
      <w:bodyDiv w:val="1"/>
      <w:marLeft w:val="0"/>
      <w:marRight w:val="0"/>
      <w:marTop w:val="0"/>
      <w:marBottom w:val="0"/>
      <w:divBdr>
        <w:top w:val="none" w:sz="0" w:space="0" w:color="auto"/>
        <w:left w:val="none" w:sz="0" w:space="0" w:color="auto"/>
        <w:bottom w:val="none" w:sz="0" w:space="0" w:color="auto"/>
        <w:right w:val="none" w:sz="0" w:space="0" w:color="auto"/>
      </w:divBdr>
    </w:div>
    <w:div w:id="1578859800">
      <w:bodyDiv w:val="1"/>
      <w:marLeft w:val="0"/>
      <w:marRight w:val="0"/>
      <w:marTop w:val="0"/>
      <w:marBottom w:val="0"/>
      <w:divBdr>
        <w:top w:val="none" w:sz="0" w:space="0" w:color="auto"/>
        <w:left w:val="none" w:sz="0" w:space="0" w:color="auto"/>
        <w:bottom w:val="none" w:sz="0" w:space="0" w:color="auto"/>
        <w:right w:val="none" w:sz="0" w:space="0" w:color="auto"/>
      </w:divBdr>
    </w:div>
    <w:div w:id="1578859909">
      <w:bodyDiv w:val="1"/>
      <w:marLeft w:val="0"/>
      <w:marRight w:val="0"/>
      <w:marTop w:val="0"/>
      <w:marBottom w:val="0"/>
      <w:divBdr>
        <w:top w:val="none" w:sz="0" w:space="0" w:color="auto"/>
        <w:left w:val="none" w:sz="0" w:space="0" w:color="auto"/>
        <w:bottom w:val="none" w:sz="0" w:space="0" w:color="auto"/>
        <w:right w:val="none" w:sz="0" w:space="0" w:color="auto"/>
      </w:divBdr>
    </w:div>
    <w:div w:id="1578901151">
      <w:bodyDiv w:val="1"/>
      <w:marLeft w:val="0"/>
      <w:marRight w:val="0"/>
      <w:marTop w:val="0"/>
      <w:marBottom w:val="0"/>
      <w:divBdr>
        <w:top w:val="none" w:sz="0" w:space="0" w:color="auto"/>
        <w:left w:val="none" w:sz="0" w:space="0" w:color="auto"/>
        <w:bottom w:val="none" w:sz="0" w:space="0" w:color="auto"/>
        <w:right w:val="none" w:sz="0" w:space="0" w:color="auto"/>
      </w:divBdr>
    </w:div>
    <w:div w:id="1578903995">
      <w:bodyDiv w:val="1"/>
      <w:marLeft w:val="0"/>
      <w:marRight w:val="0"/>
      <w:marTop w:val="0"/>
      <w:marBottom w:val="0"/>
      <w:divBdr>
        <w:top w:val="none" w:sz="0" w:space="0" w:color="auto"/>
        <w:left w:val="none" w:sz="0" w:space="0" w:color="auto"/>
        <w:bottom w:val="none" w:sz="0" w:space="0" w:color="auto"/>
        <w:right w:val="none" w:sz="0" w:space="0" w:color="auto"/>
      </w:divBdr>
    </w:div>
    <w:div w:id="1578973286">
      <w:bodyDiv w:val="1"/>
      <w:marLeft w:val="0"/>
      <w:marRight w:val="0"/>
      <w:marTop w:val="0"/>
      <w:marBottom w:val="0"/>
      <w:divBdr>
        <w:top w:val="none" w:sz="0" w:space="0" w:color="auto"/>
        <w:left w:val="none" w:sz="0" w:space="0" w:color="auto"/>
        <w:bottom w:val="none" w:sz="0" w:space="0" w:color="auto"/>
        <w:right w:val="none" w:sz="0" w:space="0" w:color="auto"/>
      </w:divBdr>
    </w:div>
    <w:div w:id="1578982082">
      <w:bodyDiv w:val="1"/>
      <w:marLeft w:val="0"/>
      <w:marRight w:val="0"/>
      <w:marTop w:val="0"/>
      <w:marBottom w:val="0"/>
      <w:divBdr>
        <w:top w:val="none" w:sz="0" w:space="0" w:color="auto"/>
        <w:left w:val="none" w:sz="0" w:space="0" w:color="auto"/>
        <w:bottom w:val="none" w:sz="0" w:space="0" w:color="auto"/>
        <w:right w:val="none" w:sz="0" w:space="0" w:color="auto"/>
      </w:divBdr>
    </w:div>
    <w:div w:id="1579052757">
      <w:bodyDiv w:val="1"/>
      <w:marLeft w:val="0"/>
      <w:marRight w:val="0"/>
      <w:marTop w:val="0"/>
      <w:marBottom w:val="0"/>
      <w:divBdr>
        <w:top w:val="none" w:sz="0" w:space="0" w:color="auto"/>
        <w:left w:val="none" w:sz="0" w:space="0" w:color="auto"/>
        <w:bottom w:val="none" w:sz="0" w:space="0" w:color="auto"/>
        <w:right w:val="none" w:sz="0" w:space="0" w:color="auto"/>
      </w:divBdr>
    </w:div>
    <w:div w:id="1579093441">
      <w:bodyDiv w:val="1"/>
      <w:marLeft w:val="0"/>
      <w:marRight w:val="0"/>
      <w:marTop w:val="0"/>
      <w:marBottom w:val="0"/>
      <w:divBdr>
        <w:top w:val="none" w:sz="0" w:space="0" w:color="auto"/>
        <w:left w:val="none" w:sz="0" w:space="0" w:color="auto"/>
        <w:bottom w:val="none" w:sz="0" w:space="0" w:color="auto"/>
        <w:right w:val="none" w:sz="0" w:space="0" w:color="auto"/>
      </w:divBdr>
    </w:div>
    <w:div w:id="1579098574">
      <w:bodyDiv w:val="1"/>
      <w:marLeft w:val="0"/>
      <w:marRight w:val="0"/>
      <w:marTop w:val="0"/>
      <w:marBottom w:val="0"/>
      <w:divBdr>
        <w:top w:val="none" w:sz="0" w:space="0" w:color="auto"/>
        <w:left w:val="none" w:sz="0" w:space="0" w:color="auto"/>
        <w:bottom w:val="none" w:sz="0" w:space="0" w:color="auto"/>
        <w:right w:val="none" w:sz="0" w:space="0" w:color="auto"/>
      </w:divBdr>
    </w:div>
    <w:div w:id="1579171035">
      <w:bodyDiv w:val="1"/>
      <w:marLeft w:val="0"/>
      <w:marRight w:val="0"/>
      <w:marTop w:val="0"/>
      <w:marBottom w:val="0"/>
      <w:divBdr>
        <w:top w:val="none" w:sz="0" w:space="0" w:color="auto"/>
        <w:left w:val="none" w:sz="0" w:space="0" w:color="auto"/>
        <w:bottom w:val="none" w:sz="0" w:space="0" w:color="auto"/>
        <w:right w:val="none" w:sz="0" w:space="0" w:color="auto"/>
      </w:divBdr>
    </w:div>
    <w:div w:id="1579243243">
      <w:bodyDiv w:val="1"/>
      <w:marLeft w:val="0"/>
      <w:marRight w:val="0"/>
      <w:marTop w:val="0"/>
      <w:marBottom w:val="0"/>
      <w:divBdr>
        <w:top w:val="none" w:sz="0" w:space="0" w:color="auto"/>
        <w:left w:val="none" w:sz="0" w:space="0" w:color="auto"/>
        <w:bottom w:val="none" w:sz="0" w:space="0" w:color="auto"/>
        <w:right w:val="none" w:sz="0" w:space="0" w:color="auto"/>
      </w:divBdr>
    </w:div>
    <w:div w:id="1579365976">
      <w:bodyDiv w:val="1"/>
      <w:marLeft w:val="0"/>
      <w:marRight w:val="0"/>
      <w:marTop w:val="0"/>
      <w:marBottom w:val="0"/>
      <w:divBdr>
        <w:top w:val="none" w:sz="0" w:space="0" w:color="auto"/>
        <w:left w:val="none" w:sz="0" w:space="0" w:color="auto"/>
        <w:bottom w:val="none" w:sz="0" w:space="0" w:color="auto"/>
        <w:right w:val="none" w:sz="0" w:space="0" w:color="auto"/>
      </w:divBdr>
    </w:div>
    <w:div w:id="1579440295">
      <w:bodyDiv w:val="1"/>
      <w:marLeft w:val="0"/>
      <w:marRight w:val="0"/>
      <w:marTop w:val="0"/>
      <w:marBottom w:val="0"/>
      <w:divBdr>
        <w:top w:val="none" w:sz="0" w:space="0" w:color="auto"/>
        <w:left w:val="none" w:sz="0" w:space="0" w:color="auto"/>
        <w:bottom w:val="none" w:sz="0" w:space="0" w:color="auto"/>
        <w:right w:val="none" w:sz="0" w:space="0" w:color="auto"/>
      </w:divBdr>
    </w:div>
    <w:div w:id="1579634473">
      <w:bodyDiv w:val="1"/>
      <w:marLeft w:val="0"/>
      <w:marRight w:val="0"/>
      <w:marTop w:val="0"/>
      <w:marBottom w:val="0"/>
      <w:divBdr>
        <w:top w:val="none" w:sz="0" w:space="0" w:color="auto"/>
        <w:left w:val="none" w:sz="0" w:space="0" w:color="auto"/>
        <w:bottom w:val="none" w:sz="0" w:space="0" w:color="auto"/>
        <w:right w:val="none" w:sz="0" w:space="0" w:color="auto"/>
      </w:divBdr>
    </w:div>
    <w:div w:id="1579749916">
      <w:bodyDiv w:val="1"/>
      <w:marLeft w:val="0"/>
      <w:marRight w:val="0"/>
      <w:marTop w:val="0"/>
      <w:marBottom w:val="0"/>
      <w:divBdr>
        <w:top w:val="none" w:sz="0" w:space="0" w:color="auto"/>
        <w:left w:val="none" w:sz="0" w:space="0" w:color="auto"/>
        <w:bottom w:val="none" w:sz="0" w:space="0" w:color="auto"/>
        <w:right w:val="none" w:sz="0" w:space="0" w:color="auto"/>
      </w:divBdr>
    </w:div>
    <w:div w:id="1579897708">
      <w:bodyDiv w:val="1"/>
      <w:marLeft w:val="0"/>
      <w:marRight w:val="0"/>
      <w:marTop w:val="0"/>
      <w:marBottom w:val="0"/>
      <w:divBdr>
        <w:top w:val="none" w:sz="0" w:space="0" w:color="auto"/>
        <w:left w:val="none" w:sz="0" w:space="0" w:color="auto"/>
        <w:bottom w:val="none" w:sz="0" w:space="0" w:color="auto"/>
        <w:right w:val="none" w:sz="0" w:space="0" w:color="auto"/>
      </w:divBdr>
    </w:div>
    <w:div w:id="1579905216">
      <w:bodyDiv w:val="1"/>
      <w:marLeft w:val="0"/>
      <w:marRight w:val="0"/>
      <w:marTop w:val="0"/>
      <w:marBottom w:val="0"/>
      <w:divBdr>
        <w:top w:val="none" w:sz="0" w:space="0" w:color="auto"/>
        <w:left w:val="none" w:sz="0" w:space="0" w:color="auto"/>
        <w:bottom w:val="none" w:sz="0" w:space="0" w:color="auto"/>
        <w:right w:val="none" w:sz="0" w:space="0" w:color="auto"/>
      </w:divBdr>
    </w:div>
    <w:div w:id="1580017744">
      <w:bodyDiv w:val="1"/>
      <w:marLeft w:val="0"/>
      <w:marRight w:val="0"/>
      <w:marTop w:val="0"/>
      <w:marBottom w:val="0"/>
      <w:divBdr>
        <w:top w:val="none" w:sz="0" w:space="0" w:color="auto"/>
        <w:left w:val="none" w:sz="0" w:space="0" w:color="auto"/>
        <w:bottom w:val="none" w:sz="0" w:space="0" w:color="auto"/>
        <w:right w:val="none" w:sz="0" w:space="0" w:color="auto"/>
      </w:divBdr>
    </w:div>
    <w:div w:id="1580097044">
      <w:bodyDiv w:val="1"/>
      <w:marLeft w:val="0"/>
      <w:marRight w:val="0"/>
      <w:marTop w:val="0"/>
      <w:marBottom w:val="0"/>
      <w:divBdr>
        <w:top w:val="none" w:sz="0" w:space="0" w:color="auto"/>
        <w:left w:val="none" w:sz="0" w:space="0" w:color="auto"/>
        <w:bottom w:val="none" w:sz="0" w:space="0" w:color="auto"/>
        <w:right w:val="none" w:sz="0" w:space="0" w:color="auto"/>
      </w:divBdr>
    </w:div>
    <w:div w:id="1580209645">
      <w:bodyDiv w:val="1"/>
      <w:marLeft w:val="0"/>
      <w:marRight w:val="0"/>
      <w:marTop w:val="0"/>
      <w:marBottom w:val="0"/>
      <w:divBdr>
        <w:top w:val="none" w:sz="0" w:space="0" w:color="auto"/>
        <w:left w:val="none" w:sz="0" w:space="0" w:color="auto"/>
        <w:bottom w:val="none" w:sz="0" w:space="0" w:color="auto"/>
        <w:right w:val="none" w:sz="0" w:space="0" w:color="auto"/>
      </w:divBdr>
    </w:div>
    <w:div w:id="1580402608">
      <w:bodyDiv w:val="1"/>
      <w:marLeft w:val="0"/>
      <w:marRight w:val="0"/>
      <w:marTop w:val="0"/>
      <w:marBottom w:val="0"/>
      <w:divBdr>
        <w:top w:val="none" w:sz="0" w:space="0" w:color="auto"/>
        <w:left w:val="none" w:sz="0" w:space="0" w:color="auto"/>
        <w:bottom w:val="none" w:sz="0" w:space="0" w:color="auto"/>
        <w:right w:val="none" w:sz="0" w:space="0" w:color="auto"/>
      </w:divBdr>
    </w:div>
    <w:div w:id="1580559711">
      <w:bodyDiv w:val="1"/>
      <w:marLeft w:val="0"/>
      <w:marRight w:val="0"/>
      <w:marTop w:val="0"/>
      <w:marBottom w:val="0"/>
      <w:divBdr>
        <w:top w:val="none" w:sz="0" w:space="0" w:color="auto"/>
        <w:left w:val="none" w:sz="0" w:space="0" w:color="auto"/>
        <w:bottom w:val="none" w:sz="0" w:space="0" w:color="auto"/>
        <w:right w:val="none" w:sz="0" w:space="0" w:color="auto"/>
      </w:divBdr>
    </w:div>
    <w:div w:id="1580678530">
      <w:bodyDiv w:val="1"/>
      <w:marLeft w:val="0"/>
      <w:marRight w:val="0"/>
      <w:marTop w:val="0"/>
      <w:marBottom w:val="0"/>
      <w:divBdr>
        <w:top w:val="none" w:sz="0" w:space="0" w:color="auto"/>
        <w:left w:val="none" w:sz="0" w:space="0" w:color="auto"/>
        <w:bottom w:val="none" w:sz="0" w:space="0" w:color="auto"/>
        <w:right w:val="none" w:sz="0" w:space="0" w:color="auto"/>
      </w:divBdr>
    </w:div>
    <w:div w:id="1580825345">
      <w:bodyDiv w:val="1"/>
      <w:marLeft w:val="0"/>
      <w:marRight w:val="0"/>
      <w:marTop w:val="0"/>
      <w:marBottom w:val="0"/>
      <w:divBdr>
        <w:top w:val="none" w:sz="0" w:space="0" w:color="auto"/>
        <w:left w:val="none" w:sz="0" w:space="0" w:color="auto"/>
        <w:bottom w:val="none" w:sz="0" w:space="0" w:color="auto"/>
        <w:right w:val="none" w:sz="0" w:space="0" w:color="auto"/>
      </w:divBdr>
    </w:div>
    <w:div w:id="1580866699">
      <w:bodyDiv w:val="1"/>
      <w:marLeft w:val="0"/>
      <w:marRight w:val="0"/>
      <w:marTop w:val="0"/>
      <w:marBottom w:val="0"/>
      <w:divBdr>
        <w:top w:val="none" w:sz="0" w:space="0" w:color="auto"/>
        <w:left w:val="none" w:sz="0" w:space="0" w:color="auto"/>
        <w:bottom w:val="none" w:sz="0" w:space="0" w:color="auto"/>
        <w:right w:val="none" w:sz="0" w:space="0" w:color="auto"/>
      </w:divBdr>
    </w:div>
    <w:div w:id="1581015319">
      <w:bodyDiv w:val="1"/>
      <w:marLeft w:val="0"/>
      <w:marRight w:val="0"/>
      <w:marTop w:val="0"/>
      <w:marBottom w:val="0"/>
      <w:divBdr>
        <w:top w:val="none" w:sz="0" w:space="0" w:color="auto"/>
        <w:left w:val="none" w:sz="0" w:space="0" w:color="auto"/>
        <w:bottom w:val="none" w:sz="0" w:space="0" w:color="auto"/>
        <w:right w:val="none" w:sz="0" w:space="0" w:color="auto"/>
      </w:divBdr>
    </w:div>
    <w:div w:id="1581060897">
      <w:bodyDiv w:val="1"/>
      <w:marLeft w:val="0"/>
      <w:marRight w:val="0"/>
      <w:marTop w:val="0"/>
      <w:marBottom w:val="0"/>
      <w:divBdr>
        <w:top w:val="none" w:sz="0" w:space="0" w:color="auto"/>
        <w:left w:val="none" w:sz="0" w:space="0" w:color="auto"/>
        <w:bottom w:val="none" w:sz="0" w:space="0" w:color="auto"/>
        <w:right w:val="none" w:sz="0" w:space="0" w:color="auto"/>
      </w:divBdr>
    </w:div>
    <w:div w:id="1581063608">
      <w:bodyDiv w:val="1"/>
      <w:marLeft w:val="0"/>
      <w:marRight w:val="0"/>
      <w:marTop w:val="0"/>
      <w:marBottom w:val="0"/>
      <w:divBdr>
        <w:top w:val="none" w:sz="0" w:space="0" w:color="auto"/>
        <w:left w:val="none" w:sz="0" w:space="0" w:color="auto"/>
        <w:bottom w:val="none" w:sz="0" w:space="0" w:color="auto"/>
        <w:right w:val="none" w:sz="0" w:space="0" w:color="auto"/>
      </w:divBdr>
    </w:div>
    <w:div w:id="1581208279">
      <w:bodyDiv w:val="1"/>
      <w:marLeft w:val="0"/>
      <w:marRight w:val="0"/>
      <w:marTop w:val="0"/>
      <w:marBottom w:val="0"/>
      <w:divBdr>
        <w:top w:val="none" w:sz="0" w:space="0" w:color="auto"/>
        <w:left w:val="none" w:sz="0" w:space="0" w:color="auto"/>
        <w:bottom w:val="none" w:sz="0" w:space="0" w:color="auto"/>
        <w:right w:val="none" w:sz="0" w:space="0" w:color="auto"/>
      </w:divBdr>
    </w:div>
    <w:div w:id="1581258438">
      <w:bodyDiv w:val="1"/>
      <w:marLeft w:val="0"/>
      <w:marRight w:val="0"/>
      <w:marTop w:val="0"/>
      <w:marBottom w:val="0"/>
      <w:divBdr>
        <w:top w:val="none" w:sz="0" w:space="0" w:color="auto"/>
        <w:left w:val="none" w:sz="0" w:space="0" w:color="auto"/>
        <w:bottom w:val="none" w:sz="0" w:space="0" w:color="auto"/>
        <w:right w:val="none" w:sz="0" w:space="0" w:color="auto"/>
      </w:divBdr>
    </w:div>
    <w:div w:id="1581283115">
      <w:bodyDiv w:val="1"/>
      <w:marLeft w:val="0"/>
      <w:marRight w:val="0"/>
      <w:marTop w:val="0"/>
      <w:marBottom w:val="0"/>
      <w:divBdr>
        <w:top w:val="none" w:sz="0" w:space="0" w:color="auto"/>
        <w:left w:val="none" w:sz="0" w:space="0" w:color="auto"/>
        <w:bottom w:val="none" w:sz="0" w:space="0" w:color="auto"/>
        <w:right w:val="none" w:sz="0" w:space="0" w:color="auto"/>
      </w:divBdr>
    </w:div>
    <w:div w:id="1581284266">
      <w:bodyDiv w:val="1"/>
      <w:marLeft w:val="0"/>
      <w:marRight w:val="0"/>
      <w:marTop w:val="0"/>
      <w:marBottom w:val="0"/>
      <w:divBdr>
        <w:top w:val="none" w:sz="0" w:space="0" w:color="auto"/>
        <w:left w:val="none" w:sz="0" w:space="0" w:color="auto"/>
        <w:bottom w:val="none" w:sz="0" w:space="0" w:color="auto"/>
        <w:right w:val="none" w:sz="0" w:space="0" w:color="auto"/>
      </w:divBdr>
    </w:div>
    <w:div w:id="1581331568">
      <w:bodyDiv w:val="1"/>
      <w:marLeft w:val="0"/>
      <w:marRight w:val="0"/>
      <w:marTop w:val="0"/>
      <w:marBottom w:val="0"/>
      <w:divBdr>
        <w:top w:val="none" w:sz="0" w:space="0" w:color="auto"/>
        <w:left w:val="none" w:sz="0" w:space="0" w:color="auto"/>
        <w:bottom w:val="none" w:sz="0" w:space="0" w:color="auto"/>
        <w:right w:val="none" w:sz="0" w:space="0" w:color="auto"/>
      </w:divBdr>
    </w:div>
    <w:div w:id="1581332218">
      <w:bodyDiv w:val="1"/>
      <w:marLeft w:val="0"/>
      <w:marRight w:val="0"/>
      <w:marTop w:val="0"/>
      <w:marBottom w:val="0"/>
      <w:divBdr>
        <w:top w:val="none" w:sz="0" w:space="0" w:color="auto"/>
        <w:left w:val="none" w:sz="0" w:space="0" w:color="auto"/>
        <w:bottom w:val="none" w:sz="0" w:space="0" w:color="auto"/>
        <w:right w:val="none" w:sz="0" w:space="0" w:color="auto"/>
      </w:divBdr>
    </w:div>
    <w:div w:id="1581407579">
      <w:bodyDiv w:val="1"/>
      <w:marLeft w:val="0"/>
      <w:marRight w:val="0"/>
      <w:marTop w:val="0"/>
      <w:marBottom w:val="0"/>
      <w:divBdr>
        <w:top w:val="none" w:sz="0" w:space="0" w:color="auto"/>
        <w:left w:val="none" w:sz="0" w:space="0" w:color="auto"/>
        <w:bottom w:val="none" w:sz="0" w:space="0" w:color="auto"/>
        <w:right w:val="none" w:sz="0" w:space="0" w:color="auto"/>
      </w:divBdr>
    </w:div>
    <w:div w:id="1581449607">
      <w:bodyDiv w:val="1"/>
      <w:marLeft w:val="0"/>
      <w:marRight w:val="0"/>
      <w:marTop w:val="0"/>
      <w:marBottom w:val="0"/>
      <w:divBdr>
        <w:top w:val="none" w:sz="0" w:space="0" w:color="auto"/>
        <w:left w:val="none" w:sz="0" w:space="0" w:color="auto"/>
        <w:bottom w:val="none" w:sz="0" w:space="0" w:color="auto"/>
        <w:right w:val="none" w:sz="0" w:space="0" w:color="auto"/>
      </w:divBdr>
    </w:div>
    <w:div w:id="1581478924">
      <w:bodyDiv w:val="1"/>
      <w:marLeft w:val="0"/>
      <w:marRight w:val="0"/>
      <w:marTop w:val="0"/>
      <w:marBottom w:val="0"/>
      <w:divBdr>
        <w:top w:val="none" w:sz="0" w:space="0" w:color="auto"/>
        <w:left w:val="none" w:sz="0" w:space="0" w:color="auto"/>
        <w:bottom w:val="none" w:sz="0" w:space="0" w:color="auto"/>
        <w:right w:val="none" w:sz="0" w:space="0" w:color="auto"/>
      </w:divBdr>
    </w:div>
    <w:div w:id="1581480073">
      <w:bodyDiv w:val="1"/>
      <w:marLeft w:val="0"/>
      <w:marRight w:val="0"/>
      <w:marTop w:val="0"/>
      <w:marBottom w:val="0"/>
      <w:divBdr>
        <w:top w:val="none" w:sz="0" w:space="0" w:color="auto"/>
        <w:left w:val="none" w:sz="0" w:space="0" w:color="auto"/>
        <w:bottom w:val="none" w:sz="0" w:space="0" w:color="auto"/>
        <w:right w:val="none" w:sz="0" w:space="0" w:color="auto"/>
      </w:divBdr>
    </w:div>
    <w:div w:id="1581521899">
      <w:bodyDiv w:val="1"/>
      <w:marLeft w:val="0"/>
      <w:marRight w:val="0"/>
      <w:marTop w:val="0"/>
      <w:marBottom w:val="0"/>
      <w:divBdr>
        <w:top w:val="none" w:sz="0" w:space="0" w:color="auto"/>
        <w:left w:val="none" w:sz="0" w:space="0" w:color="auto"/>
        <w:bottom w:val="none" w:sz="0" w:space="0" w:color="auto"/>
        <w:right w:val="none" w:sz="0" w:space="0" w:color="auto"/>
      </w:divBdr>
    </w:div>
    <w:div w:id="1581596189">
      <w:bodyDiv w:val="1"/>
      <w:marLeft w:val="0"/>
      <w:marRight w:val="0"/>
      <w:marTop w:val="0"/>
      <w:marBottom w:val="0"/>
      <w:divBdr>
        <w:top w:val="none" w:sz="0" w:space="0" w:color="auto"/>
        <w:left w:val="none" w:sz="0" w:space="0" w:color="auto"/>
        <w:bottom w:val="none" w:sz="0" w:space="0" w:color="auto"/>
        <w:right w:val="none" w:sz="0" w:space="0" w:color="auto"/>
      </w:divBdr>
    </w:div>
    <w:div w:id="1581598896">
      <w:bodyDiv w:val="1"/>
      <w:marLeft w:val="0"/>
      <w:marRight w:val="0"/>
      <w:marTop w:val="0"/>
      <w:marBottom w:val="0"/>
      <w:divBdr>
        <w:top w:val="none" w:sz="0" w:space="0" w:color="auto"/>
        <w:left w:val="none" w:sz="0" w:space="0" w:color="auto"/>
        <w:bottom w:val="none" w:sz="0" w:space="0" w:color="auto"/>
        <w:right w:val="none" w:sz="0" w:space="0" w:color="auto"/>
      </w:divBdr>
    </w:div>
    <w:div w:id="1581600669">
      <w:bodyDiv w:val="1"/>
      <w:marLeft w:val="0"/>
      <w:marRight w:val="0"/>
      <w:marTop w:val="0"/>
      <w:marBottom w:val="0"/>
      <w:divBdr>
        <w:top w:val="none" w:sz="0" w:space="0" w:color="auto"/>
        <w:left w:val="none" w:sz="0" w:space="0" w:color="auto"/>
        <w:bottom w:val="none" w:sz="0" w:space="0" w:color="auto"/>
        <w:right w:val="none" w:sz="0" w:space="0" w:color="auto"/>
      </w:divBdr>
    </w:div>
    <w:div w:id="1581670491">
      <w:bodyDiv w:val="1"/>
      <w:marLeft w:val="0"/>
      <w:marRight w:val="0"/>
      <w:marTop w:val="0"/>
      <w:marBottom w:val="0"/>
      <w:divBdr>
        <w:top w:val="none" w:sz="0" w:space="0" w:color="auto"/>
        <w:left w:val="none" w:sz="0" w:space="0" w:color="auto"/>
        <w:bottom w:val="none" w:sz="0" w:space="0" w:color="auto"/>
        <w:right w:val="none" w:sz="0" w:space="0" w:color="auto"/>
      </w:divBdr>
    </w:div>
    <w:div w:id="1581720851">
      <w:bodyDiv w:val="1"/>
      <w:marLeft w:val="0"/>
      <w:marRight w:val="0"/>
      <w:marTop w:val="0"/>
      <w:marBottom w:val="0"/>
      <w:divBdr>
        <w:top w:val="none" w:sz="0" w:space="0" w:color="auto"/>
        <w:left w:val="none" w:sz="0" w:space="0" w:color="auto"/>
        <w:bottom w:val="none" w:sz="0" w:space="0" w:color="auto"/>
        <w:right w:val="none" w:sz="0" w:space="0" w:color="auto"/>
      </w:divBdr>
    </w:div>
    <w:div w:id="1581796236">
      <w:bodyDiv w:val="1"/>
      <w:marLeft w:val="0"/>
      <w:marRight w:val="0"/>
      <w:marTop w:val="0"/>
      <w:marBottom w:val="0"/>
      <w:divBdr>
        <w:top w:val="none" w:sz="0" w:space="0" w:color="auto"/>
        <w:left w:val="none" w:sz="0" w:space="0" w:color="auto"/>
        <w:bottom w:val="none" w:sz="0" w:space="0" w:color="auto"/>
        <w:right w:val="none" w:sz="0" w:space="0" w:color="auto"/>
      </w:divBdr>
    </w:div>
    <w:div w:id="1581868278">
      <w:bodyDiv w:val="1"/>
      <w:marLeft w:val="0"/>
      <w:marRight w:val="0"/>
      <w:marTop w:val="0"/>
      <w:marBottom w:val="0"/>
      <w:divBdr>
        <w:top w:val="none" w:sz="0" w:space="0" w:color="auto"/>
        <w:left w:val="none" w:sz="0" w:space="0" w:color="auto"/>
        <w:bottom w:val="none" w:sz="0" w:space="0" w:color="auto"/>
        <w:right w:val="none" w:sz="0" w:space="0" w:color="auto"/>
      </w:divBdr>
    </w:div>
    <w:div w:id="1581913228">
      <w:bodyDiv w:val="1"/>
      <w:marLeft w:val="0"/>
      <w:marRight w:val="0"/>
      <w:marTop w:val="0"/>
      <w:marBottom w:val="0"/>
      <w:divBdr>
        <w:top w:val="none" w:sz="0" w:space="0" w:color="auto"/>
        <w:left w:val="none" w:sz="0" w:space="0" w:color="auto"/>
        <w:bottom w:val="none" w:sz="0" w:space="0" w:color="auto"/>
        <w:right w:val="none" w:sz="0" w:space="0" w:color="auto"/>
      </w:divBdr>
    </w:div>
    <w:div w:id="1581983059">
      <w:bodyDiv w:val="1"/>
      <w:marLeft w:val="0"/>
      <w:marRight w:val="0"/>
      <w:marTop w:val="0"/>
      <w:marBottom w:val="0"/>
      <w:divBdr>
        <w:top w:val="none" w:sz="0" w:space="0" w:color="auto"/>
        <w:left w:val="none" w:sz="0" w:space="0" w:color="auto"/>
        <w:bottom w:val="none" w:sz="0" w:space="0" w:color="auto"/>
        <w:right w:val="none" w:sz="0" w:space="0" w:color="auto"/>
      </w:divBdr>
    </w:div>
    <w:div w:id="1581983221">
      <w:bodyDiv w:val="1"/>
      <w:marLeft w:val="0"/>
      <w:marRight w:val="0"/>
      <w:marTop w:val="0"/>
      <w:marBottom w:val="0"/>
      <w:divBdr>
        <w:top w:val="none" w:sz="0" w:space="0" w:color="auto"/>
        <w:left w:val="none" w:sz="0" w:space="0" w:color="auto"/>
        <w:bottom w:val="none" w:sz="0" w:space="0" w:color="auto"/>
        <w:right w:val="none" w:sz="0" w:space="0" w:color="auto"/>
      </w:divBdr>
    </w:div>
    <w:div w:id="1582327113">
      <w:bodyDiv w:val="1"/>
      <w:marLeft w:val="0"/>
      <w:marRight w:val="0"/>
      <w:marTop w:val="0"/>
      <w:marBottom w:val="0"/>
      <w:divBdr>
        <w:top w:val="none" w:sz="0" w:space="0" w:color="auto"/>
        <w:left w:val="none" w:sz="0" w:space="0" w:color="auto"/>
        <w:bottom w:val="none" w:sz="0" w:space="0" w:color="auto"/>
        <w:right w:val="none" w:sz="0" w:space="0" w:color="auto"/>
      </w:divBdr>
    </w:div>
    <w:div w:id="1582333780">
      <w:bodyDiv w:val="1"/>
      <w:marLeft w:val="0"/>
      <w:marRight w:val="0"/>
      <w:marTop w:val="0"/>
      <w:marBottom w:val="0"/>
      <w:divBdr>
        <w:top w:val="none" w:sz="0" w:space="0" w:color="auto"/>
        <w:left w:val="none" w:sz="0" w:space="0" w:color="auto"/>
        <w:bottom w:val="none" w:sz="0" w:space="0" w:color="auto"/>
        <w:right w:val="none" w:sz="0" w:space="0" w:color="auto"/>
      </w:divBdr>
    </w:div>
    <w:div w:id="1582525942">
      <w:bodyDiv w:val="1"/>
      <w:marLeft w:val="0"/>
      <w:marRight w:val="0"/>
      <w:marTop w:val="0"/>
      <w:marBottom w:val="0"/>
      <w:divBdr>
        <w:top w:val="none" w:sz="0" w:space="0" w:color="auto"/>
        <w:left w:val="none" w:sz="0" w:space="0" w:color="auto"/>
        <w:bottom w:val="none" w:sz="0" w:space="0" w:color="auto"/>
        <w:right w:val="none" w:sz="0" w:space="0" w:color="auto"/>
      </w:divBdr>
    </w:div>
    <w:div w:id="1582593977">
      <w:bodyDiv w:val="1"/>
      <w:marLeft w:val="0"/>
      <w:marRight w:val="0"/>
      <w:marTop w:val="0"/>
      <w:marBottom w:val="0"/>
      <w:divBdr>
        <w:top w:val="none" w:sz="0" w:space="0" w:color="auto"/>
        <w:left w:val="none" w:sz="0" w:space="0" w:color="auto"/>
        <w:bottom w:val="none" w:sz="0" w:space="0" w:color="auto"/>
        <w:right w:val="none" w:sz="0" w:space="0" w:color="auto"/>
      </w:divBdr>
    </w:div>
    <w:div w:id="1582642814">
      <w:bodyDiv w:val="1"/>
      <w:marLeft w:val="0"/>
      <w:marRight w:val="0"/>
      <w:marTop w:val="0"/>
      <w:marBottom w:val="0"/>
      <w:divBdr>
        <w:top w:val="none" w:sz="0" w:space="0" w:color="auto"/>
        <w:left w:val="none" w:sz="0" w:space="0" w:color="auto"/>
        <w:bottom w:val="none" w:sz="0" w:space="0" w:color="auto"/>
        <w:right w:val="none" w:sz="0" w:space="0" w:color="auto"/>
      </w:divBdr>
    </w:div>
    <w:div w:id="1582831501">
      <w:bodyDiv w:val="1"/>
      <w:marLeft w:val="0"/>
      <w:marRight w:val="0"/>
      <w:marTop w:val="0"/>
      <w:marBottom w:val="0"/>
      <w:divBdr>
        <w:top w:val="none" w:sz="0" w:space="0" w:color="auto"/>
        <w:left w:val="none" w:sz="0" w:space="0" w:color="auto"/>
        <w:bottom w:val="none" w:sz="0" w:space="0" w:color="auto"/>
        <w:right w:val="none" w:sz="0" w:space="0" w:color="auto"/>
      </w:divBdr>
    </w:div>
    <w:div w:id="1582982033">
      <w:bodyDiv w:val="1"/>
      <w:marLeft w:val="0"/>
      <w:marRight w:val="0"/>
      <w:marTop w:val="0"/>
      <w:marBottom w:val="0"/>
      <w:divBdr>
        <w:top w:val="none" w:sz="0" w:space="0" w:color="auto"/>
        <w:left w:val="none" w:sz="0" w:space="0" w:color="auto"/>
        <w:bottom w:val="none" w:sz="0" w:space="0" w:color="auto"/>
        <w:right w:val="none" w:sz="0" w:space="0" w:color="auto"/>
      </w:divBdr>
    </w:div>
    <w:div w:id="1582983484">
      <w:bodyDiv w:val="1"/>
      <w:marLeft w:val="0"/>
      <w:marRight w:val="0"/>
      <w:marTop w:val="0"/>
      <w:marBottom w:val="0"/>
      <w:divBdr>
        <w:top w:val="none" w:sz="0" w:space="0" w:color="auto"/>
        <w:left w:val="none" w:sz="0" w:space="0" w:color="auto"/>
        <w:bottom w:val="none" w:sz="0" w:space="0" w:color="auto"/>
        <w:right w:val="none" w:sz="0" w:space="0" w:color="auto"/>
      </w:divBdr>
    </w:div>
    <w:div w:id="1582988844">
      <w:bodyDiv w:val="1"/>
      <w:marLeft w:val="0"/>
      <w:marRight w:val="0"/>
      <w:marTop w:val="0"/>
      <w:marBottom w:val="0"/>
      <w:divBdr>
        <w:top w:val="none" w:sz="0" w:space="0" w:color="auto"/>
        <w:left w:val="none" w:sz="0" w:space="0" w:color="auto"/>
        <w:bottom w:val="none" w:sz="0" w:space="0" w:color="auto"/>
        <w:right w:val="none" w:sz="0" w:space="0" w:color="auto"/>
      </w:divBdr>
    </w:div>
    <w:div w:id="1583027159">
      <w:bodyDiv w:val="1"/>
      <w:marLeft w:val="0"/>
      <w:marRight w:val="0"/>
      <w:marTop w:val="0"/>
      <w:marBottom w:val="0"/>
      <w:divBdr>
        <w:top w:val="none" w:sz="0" w:space="0" w:color="auto"/>
        <w:left w:val="none" w:sz="0" w:space="0" w:color="auto"/>
        <w:bottom w:val="none" w:sz="0" w:space="0" w:color="auto"/>
        <w:right w:val="none" w:sz="0" w:space="0" w:color="auto"/>
      </w:divBdr>
    </w:div>
    <w:div w:id="1583105526">
      <w:bodyDiv w:val="1"/>
      <w:marLeft w:val="0"/>
      <w:marRight w:val="0"/>
      <w:marTop w:val="0"/>
      <w:marBottom w:val="0"/>
      <w:divBdr>
        <w:top w:val="none" w:sz="0" w:space="0" w:color="auto"/>
        <w:left w:val="none" w:sz="0" w:space="0" w:color="auto"/>
        <w:bottom w:val="none" w:sz="0" w:space="0" w:color="auto"/>
        <w:right w:val="none" w:sz="0" w:space="0" w:color="auto"/>
      </w:divBdr>
    </w:div>
    <w:div w:id="1583173935">
      <w:bodyDiv w:val="1"/>
      <w:marLeft w:val="0"/>
      <w:marRight w:val="0"/>
      <w:marTop w:val="0"/>
      <w:marBottom w:val="0"/>
      <w:divBdr>
        <w:top w:val="none" w:sz="0" w:space="0" w:color="auto"/>
        <w:left w:val="none" w:sz="0" w:space="0" w:color="auto"/>
        <w:bottom w:val="none" w:sz="0" w:space="0" w:color="auto"/>
        <w:right w:val="none" w:sz="0" w:space="0" w:color="auto"/>
      </w:divBdr>
    </w:div>
    <w:div w:id="1583295605">
      <w:bodyDiv w:val="1"/>
      <w:marLeft w:val="0"/>
      <w:marRight w:val="0"/>
      <w:marTop w:val="0"/>
      <w:marBottom w:val="0"/>
      <w:divBdr>
        <w:top w:val="none" w:sz="0" w:space="0" w:color="auto"/>
        <w:left w:val="none" w:sz="0" w:space="0" w:color="auto"/>
        <w:bottom w:val="none" w:sz="0" w:space="0" w:color="auto"/>
        <w:right w:val="none" w:sz="0" w:space="0" w:color="auto"/>
      </w:divBdr>
    </w:div>
    <w:div w:id="1583367013">
      <w:bodyDiv w:val="1"/>
      <w:marLeft w:val="0"/>
      <w:marRight w:val="0"/>
      <w:marTop w:val="0"/>
      <w:marBottom w:val="0"/>
      <w:divBdr>
        <w:top w:val="none" w:sz="0" w:space="0" w:color="auto"/>
        <w:left w:val="none" w:sz="0" w:space="0" w:color="auto"/>
        <w:bottom w:val="none" w:sz="0" w:space="0" w:color="auto"/>
        <w:right w:val="none" w:sz="0" w:space="0" w:color="auto"/>
      </w:divBdr>
    </w:div>
    <w:div w:id="1583367682">
      <w:bodyDiv w:val="1"/>
      <w:marLeft w:val="0"/>
      <w:marRight w:val="0"/>
      <w:marTop w:val="0"/>
      <w:marBottom w:val="0"/>
      <w:divBdr>
        <w:top w:val="none" w:sz="0" w:space="0" w:color="auto"/>
        <w:left w:val="none" w:sz="0" w:space="0" w:color="auto"/>
        <w:bottom w:val="none" w:sz="0" w:space="0" w:color="auto"/>
        <w:right w:val="none" w:sz="0" w:space="0" w:color="auto"/>
      </w:divBdr>
    </w:div>
    <w:div w:id="1583370201">
      <w:bodyDiv w:val="1"/>
      <w:marLeft w:val="0"/>
      <w:marRight w:val="0"/>
      <w:marTop w:val="0"/>
      <w:marBottom w:val="0"/>
      <w:divBdr>
        <w:top w:val="none" w:sz="0" w:space="0" w:color="auto"/>
        <w:left w:val="none" w:sz="0" w:space="0" w:color="auto"/>
        <w:bottom w:val="none" w:sz="0" w:space="0" w:color="auto"/>
        <w:right w:val="none" w:sz="0" w:space="0" w:color="auto"/>
      </w:divBdr>
    </w:div>
    <w:div w:id="1583447255">
      <w:bodyDiv w:val="1"/>
      <w:marLeft w:val="0"/>
      <w:marRight w:val="0"/>
      <w:marTop w:val="0"/>
      <w:marBottom w:val="0"/>
      <w:divBdr>
        <w:top w:val="none" w:sz="0" w:space="0" w:color="auto"/>
        <w:left w:val="none" w:sz="0" w:space="0" w:color="auto"/>
        <w:bottom w:val="none" w:sz="0" w:space="0" w:color="auto"/>
        <w:right w:val="none" w:sz="0" w:space="0" w:color="auto"/>
      </w:divBdr>
    </w:div>
    <w:div w:id="1583831226">
      <w:bodyDiv w:val="1"/>
      <w:marLeft w:val="0"/>
      <w:marRight w:val="0"/>
      <w:marTop w:val="0"/>
      <w:marBottom w:val="0"/>
      <w:divBdr>
        <w:top w:val="none" w:sz="0" w:space="0" w:color="auto"/>
        <w:left w:val="none" w:sz="0" w:space="0" w:color="auto"/>
        <w:bottom w:val="none" w:sz="0" w:space="0" w:color="auto"/>
        <w:right w:val="none" w:sz="0" w:space="0" w:color="auto"/>
      </w:divBdr>
    </w:div>
    <w:div w:id="1583877982">
      <w:bodyDiv w:val="1"/>
      <w:marLeft w:val="0"/>
      <w:marRight w:val="0"/>
      <w:marTop w:val="0"/>
      <w:marBottom w:val="0"/>
      <w:divBdr>
        <w:top w:val="none" w:sz="0" w:space="0" w:color="auto"/>
        <w:left w:val="none" w:sz="0" w:space="0" w:color="auto"/>
        <w:bottom w:val="none" w:sz="0" w:space="0" w:color="auto"/>
        <w:right w:val="none" w:sz="0" w:space="0" w:color="auto"/>
      </w:divBdr>
    </w:div>
    <w:div w:id="1583904402">
      <w:bodyDiv w:val="1"/>
      <w:marLeft w:val="0"/>
      <w:marRight w:val="0"/>
      <w:marTop w:val="0"/>
      <w:marBottom w:val="0"/>
      <w:divBdr>
        <w:top w:val="none" w:sz="0" w:space="0" w:color="auto"/>
        <w:left w:val="none" w:sz="0" w:space="0" w:color="auto"/>
        <w:bottom w:val="none" w:sz="0" w:space="0" w:color="auto"/>
        <w:right w:val="none" w:sz="0" w:space="0" w:color="auto"/>
      </w:divBdr>
    </w:div>
    <w:div w:id="1583952662">
      <w:bodyDiv w:val="1"/>
      <w:marLeft w:val="0"/>
      <w:marRight w:val="0"/>
      <w:marTop w:val="0"/>
      <w:marBottom w:val="0"/>
      <w:divBdr>
        <w:top w:val="none" w:sz="0" w:space="0" w:color="auto"/>
        <w:left w:val="none" w:sz="0" w:space="0" w:color="auto"/>
        <w:bottom w:val="none" w:sz="0" w:space="0" w:color="auto"/>
        <w:right w:val="none" w:sz="0" w:space="0" w:color="auto"/>
      </w:divBdr>
    </w:div>
    <w:div w:id="1584097178">
      <w:bodyDiv w:val="1"/>
      <w:marLeft w:val="0"/>
      <w:marRight w:val="0"/>
      <w:marTop w:val="0"/>
      <w:marBottom w:val="0"/>
      <w:divBdr>
        <w:top w:val="none" w:sz="0" w:space="0" w:color="auto"/>
        <w:left w:val="none" w:sz="0" w:space="0" w:color="auto"/>
        <w:bottom w:val="none" w:sz="0" w:space="0" w:color="auto"/>
        <w:right w:val="none" w:sz="0" w:space="0" w:color="auto"/>
      </w:divBdr>
    </w:div>
    <w:div w:id="1584102825">
      <w:bodyDiv w:val="1"/>
      <w:marLeft w:val="0"/>
      <w:marRight w:val="0"/>
      <w:marTop w:val="0"/>
      <w:marBottom w:val="0"/>
      <w:divBdr>
        <w:top w:val="none" w:sz="0" w:space="0" w:color="auto"/>
        <w:left w:val="none" w:sz="0" w:space="0" w:color="auto"/>
        <w:bottom w:val="none" w:sz="0" w:space="0" w:color="auto"/>
        <w:right w:val="none" w:sz="0" w:space="0" w:color="auto"/>
      </w:divBdr>
    </w:div>
    <w:div w:id="1584140561">
      <w:bodyDiv w:val="1"/>
      <w:marLeft w:val="0"/>
      <w:marRight w:val="0"/>
      <w:marTop w:val="0"/>
      <w:marBottom w:val="0"/>
      <w:divBdr>
        <w:top w:val="none" w:sz="0" w:space="0" w:color="auto"/>
        <w:left w:val="none" w:sz="0" w:space="0" w:color="auto"/>
        <w:bottom w:val="none" w:sz="0" w:space="0" w:color="auto"/>
        <w:right w:val="none" w:sz="0" w:space="0" w:color="auto"/>
      </w:divBdr>
    </w:div>
    <w:div w:id="1584292501">
      <w:bodyDiv w:val="1"/>
      <w:marLeft w:val="0"/>
      <w:marRight w:val="0"/>
      <w:marTop w:val="0"/>
      <w:marBottom w:val="0"/>
      <w:divBdr>
        <w:top w:val="none" w:sz="0" w:space="0" w:color="auto"/>
        <w:left w:val="none" w:sz="0" w:space="0" w:color="auto"/>
        <w:bottom w:val="none" w:sz="0" w:space="0" w:color="auto"/>
        <w:right w:val="none" w:sz="0" w:space="0" w:color="auto"/>
      </w:divBdr>
    </w:div>
    <w:div w:id="1584332895">
      <w:bodyDiv w:val="1"/>
      <w:marLeft w:val="0"/>
      <w:marRight w:val="0"/>
      <w:marTop w:val="0"/>
      <w:marBottom w:val="0"/>
      <w:divBdr>
        <w:top w:val="none" w:sz="0" w:space="0" w:color="auto"/>
        <w:left w:val="none" w:sz="0" w:space="0" w:color="auto"/>
        <w:bottom w:val="none" w:sz="0" w:space="0" w:color="auto"/>
        <w:right w:val="none" w:sz="0" w:space="0" w:color="auto"/>
      </w:divBdr>
    </w:div>
    <w:div w:id="1584334123">
      <w:bodyDiv w:val="1"/>
      <w:marLeft w:val="0"/>
      <w:marRight w:val="0"/>
      <w:marTop w:val="0"/>
      <w:marBottom w:val="0"/>
      <w:divBdr>
        <w:top w:val="none" w:sz="0" w:space="0" w:color="auto"/>
        <w:left w:val="none" w:sz="0" w:space="0" w:color="auto"/>
        <w:bottom w:val="none" w:sz="0" w:space="0" w:color="auto"/>
        <w:right w:val="none" w:sz="0" w:space="0" w:color="auto"/>
      </w:divBdr>
    </w:div>
    <w:div w:id="1584409228">
      <w:bodyDiv w:val="1"/>
      <w:marLeft w:val="0"/>
      <w:marRight w:val="0"/>
      <w:marTop w:val="0"/>
      <w:marBottom w:val="0"/>
      <w:divBdr>
        <w:top w:val="none" w:sz="0" w:space="0" w:color="auto"/>
        <w:left w:val="none" w:sz="0" w:space="0" w:color="auto"/>
        <w:bottom w:val="none" w:sz="0" w:space="0" w:color="auto"/>
        <w:right w:val="none" w:sz="0" w:space="0" w:color="auto"/>
      </w:divBdr>
    </w:div>
    <w:div w:id="1584417071">
      <w:bodyDiv w:val="1"/>
      <w:marLeft w:val="0"/>
      <w:marRight w:val="0"/>
      <w:marTop w:val="0"/>
      <w:marBottom w:val="0"/>
      <w:divBdr>
        <w:top w:val="none" w:sz="0" w:space="0" w:color="auto"/>
        <w:left w:val="none" w:sz="0" w:space="0" w:color="auto"/>
        <w:bottom w:val="none" w:sz="0" w:space="0" w:color="auto"/>
        <w:right w:val="none" w:sz="0" w:space="0" w:color="auto"/>
      </w:divBdr>
    </w:div>
    <w:div w:id="1584483475">
      <w:bodyDiv w:val="1"/>
      <w:marLeft w:val="0"/>
      <w:marRight w:val="0"/>
      <w:marTop w:val="0"/>
      <w:marBottom w:val="0"/>
      <w:divBdr>
        <w:top w:val="none" w:sz="0" w:space="0" w:color="auto"/>
        <w:left w:val="none" w:sz="0" w:space="0" w:color="auto"/>
        <w:bottom w:val="none" w:sz="0" w:space="0" w:color="auto"/>
        <w:right w:val="none" w:sz="0" w:space="0" w:color="auto"/>
      </w:divBdr>
    </w:div>
    <w:div w:id="1584529899">
      <w:bodyDiv w:val="1"/>
      <w:marLeft w:val="0"/>
      <w:marRight w:val="0"/>
      <w:marTop w:val="0"/>
      <w:marBottom w:val="0"/>
      <w:divBdr>
        <w:top w:val="none" w:sz="0" w:space="0" w:color="auto"/>
        <w:left w:val="none" w:sz="0" w:space="0" w:color="auto"/>
        <w:bottom w:val="none" w:sz="0" w:space="0" w:color="auto"/>
        <w:right w:val="none" w:sz="0" w:space="0" w:color="auto"/>
      </w:divBdr>
    </w:div>
    <w:div w:id="1584530056">
      <w:bodyDiv w:val="1"/>
      <w:marLeft w:val="0"/>
      <w:marRight w:val="0"/>
      <w:marTop w:val="0"/>
      <w:marBottom w:val="0"/>
      <w:divBdr>
        <w:top w:val="none" w:sz="0" w:space="0" w:color="auto"/>
        <w:left w:val="none" w:sz="0" w:space="0" w:color="auto"/>
        <w:bottom w:val="none" w:sz="0" w:space="0" w:color="auto"/>
        <w:right w:val="none" w:sz="0" w:space="0" w:color="auto"/>
      </w:divBdr>
    </w:div>
    <w:div w:id="1584560754">
      <w:bodyDiv w:val="1"/>
      <w:marLeft w:val="0"/>
      <w:marRight w:val="0"/>
      <w:marTop w:val="0"/>
      <w:marBottom w:val="0"/>
      <w:divBdr>
        <w:top w:val="none" w:sz="0" w:space="0" w:color="auto"/>
        <w:left w:val="none" w:sz="0" w:space="0" w:color="auto"/>
        <w:bottom w:val="none" w:sz="0" w:space="0" w:color="auto"/>
        <w:right w:val="none" w:sz="0" w:space="0" w:color="auto"/>
      </w:divBdr>
    </w:div>
    <w:div w:id="1584603692">
      <w:bodyDiv w:val="1"/>
      <w:marLeft w:val="0"/>
      <w:marRight w:val="0"/>
      <w:marTop w:val="0"/>
      <w:marBottom w:val="0"/>
      <w:divBdr>
        <w:top w:val="none" w:sz="0" w:space="0" w:color="auto"/>
        <w:left w:val="none" w:sz="0" w:space="0" w:color="auto"/>
        <w:bottom w:val="none" w:sz="0" w:space="0" w:color="auto"/>
        <w:right w:val="none" w:sz="0" w:space="0" w:color="auto"/>
      </w:divBdr>
    </w:div>
    <w:div w:id="1584677107">
      <w:bodyDiv w:val="1"/>
      <w:marLeft w:val="0"/>
      <w:marRight w:val="0"/>
      <w:marTop w:val="0"/>
      <w:marBottom w:val="0"/>
      <w:divBdr>
        <w:top w:val="none" w:sz="0" w:space="0" w:color="auto"/>
        <w:left w:val="none" w:sz="0" w:space="0" w:color="auto"/>
        <w:bottom w:val="none" w:sz="0" w:space="0" w:color="auto"/>
        <w:right w:val="none" w:sz="0" w:space="0" w:color="auto"/>
      </w:divBdr>
    </w:div>
    <w:div w:id="1584686462">
      <w:bodyDiv w:val="1"/>
      <w:marLeft w:val="0"/>
      <w:marRight w:val="0"/>
      <w:marTop w:val="0"/>
      <w:marBottom w:val="0"/>
      <w:divBdr>
        <w:top w:val="none" w:sz="0" w:space="0" w:color="auto"/>
        <w:left w:val="none" w:sz="0" w:space="0" w:color="auto"/>
        <w:bottom w:val="none" w:sz="0" w:space="0" w:color="auto"/>
        <w:right w:val="none" w:sz="0" w:space="0" w:color="auto"/>
      </w:divBdr>
    </w:div>
    <w:div w:id="1584798758">
      <w:bodyDiv w:val="1"/>
      <w:marLeft w:val="0"/>
      <w:marRight w:val="0"/>
      <w:marTop w:val="0"/>
      <w:marBottom w:val="0"/>
      <w:divBdr>
        <w:top w:val="none" w:sz="0" w:space="0" w:color="auto"/>
        <w:left w:val="none" w:sz="0" w:space="0" w:color="auto"/>
        <w:bottom w:val="none" w:sz="0" w:space="0" w:color="auto"/>
        <w:right w:val="none" w:sz="0" w:space="0" w:color="auto"/>
      </w:divBdr>
    </w:div>
    <w:div w:id="1584879273">
      <w:bodyDiv w:val="1"/>
      <w:marLeft w:val="0"/>
      <w:marRight w:val="0"/>
      <w:marTop w:val="0"/>
      <w:marBottom w:val="0"/>
      <w:divBdr>
        <w:top w:val="none" w:sz="0" w:space="0" w:color="auto"/>
        <w:left w:val="none" w:sz="0" w:space="0" w:color="auto"/>
        <w:bottom w:val="none" w:sz="0" w:space="0" w:color="auto"/>
        <w:right w:val="none" w:sz="0" w:space="0" w:color="auto"/>
      </w:divBdr>
    </w:div>
    <w:div w:id="1584953363">
      <w:bodyDiv w:val="1"/>
      <w:marLeft w:val="0"/>
      <w:marRight w:val="0"/>
      <w:marTop w:val="0"/>
      <w:marBottom w:val="0"/>
      <w:divBdr>
        <w:top w:val="none" w:sz="0" w:space="0" w:color="auto"/>
        <w:left w:val="none" w:sz="0" w:space="0" w:color="auto"/>
        <w:bottom w:val="none" w:sz="0" w:space="0" w:color="auto"/>
        <w:right w:val="none" w:sz="0" w:space="0" w:color="auto"/>
      </w:divBdr>
    </w:div>
    <w:div w:id="1585064144">
      <w:bodyDiv w:val="1"/>
      <w:marLeft w:val="0"/>
      <w:marRight w:val="0"/>
      <w:marTop w:val="0"/>
      <w:marBottom w:val="0"/>
      <w:divBdr>
        <w:top w:val="none" w:sz="0" w:space="0" w:color="auto"/>
        <w:left w:val="none" w:sz="0" w:space="0" w:color="auto"/>
        <w:bottom w:val="none" w:sz="0" w:space="0" w:color="auto"/>
        <w:right w:val="none" w:sz="0" w:space="0" w:color="auto"/>
      </w:divBdr>
    </w:div>
    <w:div w:id="1585065167">
      <w:bodyDiv w:val="1"/>
      <w:marLeft w:val="0"/>
      <w:marRight w:val="0"/>
      <w:marTop w:val="0"/>
      <w:marBottom w:val="0"/>
      <w:divBdr>
        <w:top w:val="none" w:sz="0" w:space="0" w:color="auto"/>
        <w:left w:val="none" w:sz="0" w:space="0" w:color="auto"/>
        <w:bottom w:val="none" w:sz="0" w:space="0" w:color="auto"/>
        <w:right w:val="none" w:sz="0" w:space="0" w:color="auto"/>
      </w:divBdr>
    </w:div>
    <w:div w:id="1585382964">
      <w:bodyDiv w:val="1"/>
      <w:marLeft w:val="0"/>
      <w:marRight w:val="0"/>
      <w:marTop w:val="0"/>
      <w:marBottom w:val="0"/>
      <w:divBdr>
        <w:top w:val="none" w:sz="0" w:space="0" w:color="auto"/>
        <w:left w:val="none" w:sz="0" w:space="0" w:color="auto"/>
        <w:bottom w:val="none" w:sz="0" w:space="0" w:color="auto"/>
        <w:right w:val="none" w:sz="0" w:space="0" w:color="auto"/>
      </w:divBdr>
    </w:div>
    <w:div w:id="1585450680">
      <w:bodyDiv w:val="1"/>
      <w:marLeft w:val="0"/>
      <w:marRight w:val="0"/>
      <w:marTop w:val="0"/>
      <w:marBottom w:val="0"/>
      <w:divBdr>
        <w:top w:val="none" w:sz="0" w:space="0" w:color="auto"/>
        <w:left w:val="none" w:sz="0" w:space="0" w:color="auto"/>
        <w:bottom w:val="none" w:sz="0" w:space="0" w:color="auto"/>
        <w:right w:val="none" w:sz="0" w:space="0" w:color="auto"/>
      </w:divBdr>
    </w:div>
    <w:div w:id="1585457739">
      <w:bodyDiv w:val="1"/>
      <w:marLeft w:val="0"/>
      <w:marRight w:val="0"/>
      <w:marTop w:val="0"/>
      <w:marBottom w:val="0"/>
      <w:divBdr>
        <w:top w:val="none" w:sz="0" w:space="0" w:color="auto"/>
        <w:left w:val="none" w:sz="0" w:space="0" w:color="auto"/>
        <w:bottom w:val="none" w:sz="0" w:space="0" w:color="auto"/>
        <w:right w:val="none" w:sz="0" w:space="0" w:color="auto"/>
      </w:divBdr>
    </w:div>
    <w:div w:id="1585459714">
      <w:bodyDiv w:val="1"/>
      <w:marLeft w:val="0"/>
      <w:marRight w:val="0"/>
      <w:marTop w:val="0"/>
      <w:marBottom w:val="0"/>
      <w:divBdr>
        <w:top w:val="none" w:sz="0" w:space="0" w:color="auto"/>
        <w:left w:val="none" w:sz="0" w:space="0" w:color="auto"/>
        <w:bottom w:val="none" w:sz="0" w:space="0" w:color="auto"/>
        <w:right w:val="none" w:sz="0" w:space="0" w:color="auto"/>
      </w:divBdr>
    </w:div>
    <w:div w:id="1585531342">
      <w:bodyDiv w:val="1"/>
      <w:marLeft w:val="0"/>
      <w:marRight w:val="0"/>
      <w:marTop w:val="0"/>
      <w:marBottom w:val="0"/>
      <w:divBdr>
        <w:top w:val="none" w:sz="0" w:space="0" w:color="auto"/>
        <w:left w:val="none" w:sz="0" w:space="0" w:color="auto"/>
        <w:bottom w:val="none" w:sz="0" w:space="0" w:color="auto"/>
        <w:right w:val="none" w:sz="0" w:space="0" w:color="auto"/>
      </w:divBdr>
    </w:div>
    <w:div w:id="1585533503">
      <w:bodyDiv w:val="1"/>
      <w:marLeft w:val="0"/>
      <w:marRight w:val="0"/>
      <w:marTop w:val="0"/>
      <w:marBottom w:val="0"/>
      <w:divBdr>
        <w:top w:val="none" w:sz="0" w:space="0" w:color="auto"/>
        <w:left w:val="none" w:sz="0" w:space="0" w:color="auto"/>
        <w:bottom w:val="none" w:sz="0" w:space="0" w:color="auto"/>
        <w:right w:val="none" w:sz="0" w:space="0" w:color="auto"/>
      </w:divBdr>
    </w:div>
    <w:div w:id="1585534017">
      <w:bodyDiv w:val="1"/>
      <w:marLeft w:val="0"/>
      <w:marRight w:val="0"/>
      <w:marTop w:val="0"/>
      <w:marBottom w:val="0"/>
      <w:divBdr>
        <w:top w:val="none" w:sz="0" w:space="0" w:color="auto"/>
        <w:left w:val="none" w:sz="0" w:space="0" w:color="auto"/>
        <w:bottom w:val="none" w:sz="0" w:space="0" w:color="auto"/>
        <w:right w:val="none" w:sz="0" w:space="0" w:color="auto"/>
      </w:divBdr>
    </w:div>
    <w:div w:id="1585609483">
      <w:bodyDiv w:val="1"/>
      <w:marLeft w:val="0"/>
      <w:marRight w:val="0"/>
      <w:marTop w:val="0"/>
      <w:marBottom w:val="0"/>
      <w:divBdr>
        <w:top w:val="none" w:sz="0" w:space="0" w:color="auto"/>
        <w:left w:val="none" w:sz="0" w:space="0" w:color="auto"/>
        <w:bottom w:val="none" w:sz="0" w:space="0" w:color="auto"/>
        <w:right w:val="none" w:sz="0" w:space="0" w:color="auto"/>
      </w:divBdr>
    </w:div>
    <w:div w:id="1585647951">
      <w:bodyDiv w:val="1"/>
      <w:marLeft w:val="0"/>
      <w:marRight w:val="0"/>
      <w:marTop w:val="0"/>
      <w:marBottom w:val="0"/>
      <w:divBdr>
        <w:top w:val="none" w:sz="0" w:space="0" w:color="auto"/>
        <w:left w:val="none" w:sz="0" w:space="0" w:color="auto"/>
        <w:bottom w:val="none" w:sz="0" w:space="0" w:color="auto"/>
        <w:right w:val="none" w:sz="0" w:space="0" w:color="auto"/>
      </w:divBdr>
    </w:div>
    <w:div w:id="1585718676">
      <w:bodyDiv w:val="1"/>
      <w:marLeft w:val="0"/>
      <w:marRight w:val="0"/>
      <w:marTop w:val="0"/>
      <w:marBottom w:val="0"/>
      <w:divBdr>
        <w:top w:val="none" w:sz="0" w:space="0" w:color="auto"/>
        <w:left w:val="none" w:sz="0" w:space="0" w:color="auto"/>
        <w:bottom w:val="none" w:sz="0" w:space="0" w:color="auto"/>
        <w:right w:val="none" w:sz="0" w:space="0" w:color="auto"/>
      </w:divBdr>
    </w:div>
    <w:div w:id="1585718849">
      <w:bodyDiv w:val="1"/>
      <w:marLeft w:val="0"/>
      <w:marRight w:val="0"/>
      <w:marTop w:val="0"/>
      <w:marBottom w:val="0"/>
      <w:divBdr>
        <w:top w:val="none" w:sz="0" w:space="0" w:color="auto"/>
        <w:left w:val="none" w:sz="0" w:space="0" w:color="auto"/>
        <w:bottom w:val="none" w:sz="0" w:space="0" w:color="auto"/>
        <w:right w:val="none" w:sz="0" w:space="0" w:color="auto"/>
      </w:divBdr>
    </w:div>
    <w:div w:id="1585723455">
      <w:bodyDiv w:val="1"/>
      <w:marLeft w:val="0"/>
      <w:marRight w:val="0"/>
      <w:marTop w:val="0"/>
      <w:marBottom w:val="0"/>
      <w:divBdr>
        <w:top w:val="none" w:sz="0" w:space="0" w:color="auto"/>
        <w:left w:val="none" w:sz="0" w:space="0" w:color="auto"/>
        <w:bottom w:val="none" w:sz="0" w:space="0" w:color="auto"/>
        <w:right w:val="none" w:sz="0" w:space="0" w:color="auto"/>
      </w:divBdr>
    </w:div>
    <w:div w:id="1585802479">
      <w:bodyDiv w:val="1"/>
      <w:marLeft w:val="0"/>
      <w:marRight w:val="0"/>
      <w:marTop w:val="0"/>
      <w:marBottom w:val="0"/>
      <w:divBdr>
        <w:top w:val="none" w:sz="0" w:space="0" w:color="auto"/>
        <w:left w:val="none" w:sz="0" w:space="0" w:color="auto"/>
        <w:bottom w:val="none" w:sz="0" w:space="0" w:color="auto"/>
        <w:right w:val="none" w:sz="0" w:space="0" w:color="auto"/>
      </w:divBdr>
    </w:div>
    <w:div w:id="1585920348">
      <w:bodyDiv w:val="1"/>
      <w:marLeft w:val="0"/>
      <w:marRight w:val="0"/>
      <w:marTop w:val="0"/>
      <w:marBottom w:val="0"/>
      <w:divBdr>
        <w:top w:val="none" w:sz="0" w:space="0" w:color="auto"/>
        <w:left w:val="none" w:sz="0" w:space="0" w:color="auto"/>
        <w:bottom w:val="none" w:sz="0" w:space="0" w:color="auto"/>
        <w:right w:val="none" w:sz="0" w:space="0" w:color="auto"/>
      </w:divBdr>
    </w:div>
    <w:div w:id="1586108387">
      <w:bodyDiv w:val="1"/>
      <w:marLeft w:val="0"/>
      <w:marRight w:val="0"/>
      <w:marTop w:val="0"/>
      <w:marBottom w:val="0"/>
      <w:divBdr>
        <w:top w:val="none" w:sz="0" w:space="0" w:color="auto"/>
        <w:left w:val="none" w:sz="0" w:space="0" w:color="auto"/>
        <w:bottom w:val="none" w:sz="0" w:space="0" w:color="auto"/>
        <w:right w:val="none" w:sz="0" w:space="0" w:color="auto"/>
      </w:divBdr>
    </w:div>
    <w:div w:id="1586300949">
      <w:bodyDiv w:val="1"/>
      <w:marLeft w:val="0"/>
      <w:marRight w:val="0"/>
      <w:marTop w:val="0"/>
      <w:marBottom w:val="0"/>
      <w:divBdr>
        <w:top w:val="none" w:sz="0" w:space="0" w:color="auto"/>
        <w:left w:val="none" w:sz="0" w:space="0" w:color="auto"/>
        <w:bottom w:val="none" w:sz="0" w:space="0" w:color="auto"/>
        <w:right w:val="none" w:sz="0" w:space="0" w:color="auto"/>
      </w:divBdr>
    </w:div>
    <w:div w:id="1586304879">
      <w:bodyDiv w:val="1"/>
      <w:marLeft w:val="0"/>
      <w:marRight w:val="0"/>
      <w:marTop w:val="0"/>
      <w:marBottom w:val="0"/>
      <w:divBdr>
        <w:top w:val="none" w:sz="0" w:space="0" w:color="auto"/>
        <w:left w:val="none" w:sz="0" w:space="0" w:color="auto"/>
        <w:bottom w:val="none" w:sz="0" w:space="0" w:color="auto"/>
        <w:right w:val="none" w:sz="0" w:space="0" w:color="auto"/>
      </w:divBdr>
    </w:div>
    <w:div w:id="1586305807">
      <w:bodyDiv w:val="1"/>
      <w:marLeft w:val="0"/>
      <w:marRight w:val="0"/>
      <w:marTop w:val="0"/>
      <w:marBottom w:val="0"/>
      <w:divBdr>
        <w:top w:val="none" w:sz="0" w:space="0" w:color="auto"/>
        <w:left w:val="none" w:sz="0" w:space="0" w:color="auto"/>
        <w:bottom w:val="none" w:sz="0" w:space="0" w:color="auto"/>
        <w:right w:val="none" w:sz="0" w:space="0" w:color="auto"/>
      </w:divBdr>
    </w:div>
    <w:div w:id="1586378472">
      <w:bodyDiv w:val="1"/>
      <w:marLeft w:val="0"/>
      <w:marRight w:val="0"/>
      <w:marTop w:val="0"/>
      <w:marBottom w:val="0"/>
      <w:divBdr>
        <w:top w:val="none" w:sz="0" w:space="0" w:color="auto"/>
        <w:left w:val="none" w:sz="0" w:space="0" w:color="auto"/>
        <w:bottom w:val="none" w:sz="0" w:space="0" w:color="auto"/>
        <w:right w:val="none" w:sz="0" w:space="0" w:color="auto"/>
      </w:divBdr>
    </w:div>
    <w:div w:id="1586525172">
      <w:bodyDiv w:val="1"/>
      <w:marLeft w:val="0"/>
      <w:marRight w:val="0"/>
      <w:marTop w:val="0"/>
      <w:marBottom w:val="0"/>
      <w:divBdr>
        <w:top w:val="none" w:sz="0" w:space="0" w:color="auto"/>
        <w:left w:val="none" w:sz="0" w:space="0" w:color="auto"/>
        <w:bottom w:val="none" w:sz="0" w:space="0" w:color="auto"/>
        <w:right w:val="none" w:sz="0" w:space="0" w:color="auto"/>
      </w:divBdr>
    </w:div>
    <w:div w:id="1586575760">
      <w:bodyDiv w:val="1"/>
      <w:marLeft w:val="0"/>
      <w:marRight w:val="0"/>
      <w:marTop w:val="0"/>
      <w:marBottom w:val="0"/>
      <w:divBdr>
        <w:top w:val="none" w:sz="0" w:space="0" w:color="auto"/>
        <w:left w:val="none" w:sz="0" w:space="0" w:color="auto"/>
        <w:bottom w:val="none" w:sz="0" w:space="0" w:color="auto"/>
        <w:right w:val="none" w:sz="0" w:space="0" w:color="auto"/>
      </w:divBdr>
    </w:div>
    <w:div w:id="1586718147">
      <w:bodyDiv w:val="1"/>
      <w:marLeft w:val="0"/>
      <w:marRight w:val="0"/>
      <w:marTop w:val="0"/>
      <w:marBottom w:val="0"/>
      <w:divBdr>
        <w:top w:val="none" w:sz="0" w:space="0" w:color="auto"/>
        <w:left w:val="none" w:sz="0" w:space="0" w:color="auto"/>
        <w:bottom w:val="none" w:sz="0" w:space="0" w:color="auto"/>
        <w:right w:val="none" w:sz="0" w:space="0" w:color="auto"/>
      </w:divBdr>
    </w:div>
    <w:div w:id="1586720942">
      <w:bodyDiv w:val="1"/>
      <w:marLeft w:val="0"/>
      <w:marRight w:val="0"/>
      <w:marTop w:val="0"/>
      <w:marBottom w:val="0"/>
      <w:divBdr>
        <w:top w:val="none" w:sz="0" w:space="0" w:color="auto"/>
        <w:left w:val="none" w:sz="0" w:space="0" w:color="auto"/>
        <w:bottom w:val="none" w:sz="0" w:space="0" w:color="auto"/>
        <w:right w:val="none" w:sz="0" w:space="0" w:color="auto"/>
      </w:divBdr>
    </w:div>
    <w:div w:id="1586761537">
      <w:bodyDiv w:val="1"/>
      <w:marLeft w:val="0"/>
      <w:marRight w:val="0"/>
      <w:marTop w:val="0"/>
      <w:marBottom w:val="0"/>
      <w:divBdr>
        <w:top w:val="none" w:sz="0" w:space="0" w:color="auto"/>
        <w:left w:val="none" w:sz="0" w:space="0" w:color="auto"/>
        <w:bottom w:val="none" w:sz="0" w:space="0" w:color="auto"/>
        <w:right w:val="none" w:sz="0" w:space="0" w:color="auto"/>
      </w:divBdr>
    </w:div>
    <w:div w:id="1586914878">
      <w:bodyDiv w:val="1"/>
      <w:marLeft w:val="0"/>
      <w:marRight w:val="0"/>
      <w:marTop w:val="0"/>
      <w:marBottom w:val="0"/>
      <w:divBdr>
        <w:top w:val="none" w:sz="0" w:space="0" w:color="auto"/>
        <w:left w:val="none" w:sz="0" w:space="0" w:color="auto"/>
        <w:bottom w:val="none" w:sz="0" w:space="0" w:color="auto"/>
        <w:right w:val="none" w:sz="0" w:space="0" w:color="auto"/>
      </w:divBdr>
    </w:div>
    <w:div w:id="1586915396">
      <w:bodyDiv w:val="1"/>
      <w:marLeft w:val="0"/>
      <w:marRight w:val="0"/>
      <w:marTop w:val="0"/>
      <w:marBottom w:val="0"/>
      <w:divBdr>
        <w:top w:val="none" w:sz="0" w:space="0" w:color="auto"/>
        <w:left w:val="none" w:sz="0" w:space="0" w:color="auto"/>
        <w:bottom w:val="none" w:sz="0" w:space="0" w:color="auto"/>
        <w:right w:val="none" w:sz="0" w:space="0" w:color="auto"/>
      </w:divBdr>
    </w:div>
    <w:div w:id="1586956104">
      <w:bodyDiv w:val="1"/>
      <w:marLeft w:val="0"/>
      <w:marRight w:val="0"/>
      <w:marTop w:val="0"/>
      <w:marBottom w:val="0"/>
      <w:divBdr>
        <w:top w:val="none" w:sz="0" w:space="0" w:color="auto"/>
        <w:left w:val="none" w:sz="0" w:space="0" w:color="auto"/>
        <w:bottom w:val="none" w:sz="0" w:space="0" w:color="auto"/>
        <w:right w:val="none" w:sz="0" w:space="0" w:color="auto"/>
      </w:divBdr>
    </w:div>
    <w:div w:id="1587108176">
      <w:bodyDiv w:val="1"/>
      <w:marLeft w:val="0"/>
      <w:marRight w:val="0"/>
      <w:marTop w:val="0"/>
      <w:marBottom w:val="0"/>
      <w:divBdr>
        <w:top w:val="none" w:sz="0" w:space="0" w:color="auto"/>
        <w:left w:val="none" w:sz="0" w:space="0" w:color="auto"/>
        <w:bottom w:val="none" w:sz="0" w:space="0" w:color="auto"/>
        <w:right w:val="none" w:sz="0" w:space="0" w:color="auto"/>
      </w:divBdr>
    </w:div>
    <w:div w:id="1587230191">
      <w:bodyDiv w:val="1"/>
      <w:marLeft w:val="0"/>
      <w:marRight w:val="0"/>
      <w:marTop w:val="0"/>
      <w:marBottom w:val="0"/>
      <w:divBdr>
        <w:top w:val="none" w:sz="0" w:space="0" w:color="auto"/>
        <w:left w:val="none" w:sz="0" w:space="0" w:color="auto"/>
        <w:bottom w:val="none" w:sz="0" w:space="0" w:color="auto"/>
        <w:right w:val="none" w:sz="0" w:space="0" w:color="auto"/>
      </w:divBdr>
    </w:div>
    <w:div w:id="1587305447">
      <w:bodyDiv w:val="1"/>
      <w:marLeft w:val="0"/>
      <w:marRight w:val="0"/>
      <w:marTop w:val="0"/>
      <w:marBottom w:val="0"/>
      <w:divBdr>
        <w:top w:val="none" w:sz="0" w:space="0" w:color="auto"/>
        <w:left w:val="none" w:sz="0" w:space="0" w:color="auto"/>
        <w:bottom w:val="none" w:sz="0" w:space="0" w:color="auto"/>
        <w:right w:val="none" w:sz="0" w:space="0" w:color="auto"/>
      </w:divBdr>
    </w:div>
    <w:div w:id="1587349439">
      <w:bodyDiv w:val="1"/>
      <w:marLeft w:val="0"/>
      <w:marRight w:val="0"/>
      <w:marTop w:val="0"/>
      <w:marBottom w:val="0"/>
      <w:divBdr>
        <w:top w:val="none" w:sz="0" w:space="0" w:color="auto"/>
        <w:left w:val="none" w:sz="0" w:space="0" w:color="auto"/>
        <w:bottom w:val="none" w:sz="0" w:space="0" w:color="auto"/>
        <w:right w:val="none" w:sz="0" w:space="0" w:color="auto"/>
      </w:divBdr>
    </w:div>
    <w:div w:id="1587416160">
      <w:bodyDiv w:val="1"/>
      <w:marLeft w:val="0"/>
      <w:marRight w:val="0"/>
      <w:marTop w:val="0"/>
      <w:marBottom w:val="0"/>
      <w:divBdr>
        <w:top w:val="none" w:sz="0" w:space="0" w:color="auto"/>
        <w:left w:val="none" w:sz="0" w:space="0" w:color="auto"/>
        <w:bottom w:val="none" w:sz="0" w:space="0" w:color="auto"/>
        <w:right w:val="none" w:sz="0" w:space="0" w:color="auto"/>
      </w:divBdr>
    </w:div>
    <w:div w:id="1587422510">
      <w:bodyDiv w:val="1"/>
      <w:marLeft w:val="0"/>
      <w:marRight w:val="0"/>
      <w:marTop w:val="0"/>
      <w:marBottom w:val="0"/>
      <w:divBdr>
        <w:top w:val="none" w:sz="0" w:space="0" w:color="auto"/>
        <w:left w:val="none" w:sz="0" w:space="0" w:color="auto"/>
        <w:bottom w:val="none" w:sz="0" w:space="0" w:color="auto"/>
        <w:right w:val="none" w:sz="0" w:space="0" w:color="auto"/>
      </w:divBdr>
    </w:div>
    <w:div w:id="1587424655">
      <w:bodyDiv w:val="1"/>
      <w:marLeft w:val="0"/>
      <w:marRight w:val="0"/>
      <w:marTop w:val="0"/>
      <w:marBottom w:val="0"/>
      <w:divBdr>
        <w:top w:val="none" w:sz="0" w:space="0" w:color="auto"/>
        <w:left w:val="none" w:sz="0" w:space="0" w:color="auto"/>
        <w:bottom w:val="none" w:sz="0" w:space="0" w:color="auto"/>
        <w:right w:val="none" w:sz="0" w:space="0" w:color="auto"/>
      </w:divBdr>
    </w:div>
    <w:div w:id="1587493591">
      <w:bodyDiv w:val="1"/>
      <w:marLeft w:val="0"/>
      <w:marRight w:val="0"/>
      <w:marTop w:val="0"/>
      <w:marBottom w:val="0"/>
      <w:divBdr>
        <w:top w:val="none" w:sz="0" w:space="0" w:color="auto"/>
        <w:left w:val="none" w:sz="0" w:space="0" w:color="auto"/>
        <w:bottom w:val="none" w:sz="0" w:space="0" w:color="auto"/>
        <w:right w:val="none" w:sz="0" w:space="0" w:color="auto"/>
      </w:divBdr>
    </w:div>
    <w:div w:id="1587568686">
      <w:bodyDiv w:val="1"/>
      <w:marLeft w:val="0"/>
      <w:marRight w:val="0"/>
      <w:marTop w:val="0"/>
      <w:marBottom w:val="0"/>
      <w:divBdr>
        <w:top w:val="none" w:sz="0" w:space="0" w:color="auto"/>
        <w:left w:val="none" w:sz="0" w:space="0" w:color="auto"/>
        <w:bottom w:val="none" w:sz="0" w:space="0" w:color="auto"/>
        <w:right w:val="none" w:sz="0" w:space="0" w:color="auto"/>
      </w:divBdr>
    </w:div>
    <w:div w:id="1587574658">
      <w:bodyDiv w:val="1"/>
      <w:marLeft w:val="0"/>
      <w:marRight w:val="0"/>
      <w:marTop w:val="0"/>
      <w:marBottom w:val="0"/>
      <w:divBdr>
        <w:top w:val="none" w:sz="0" w:space="0" w:color="auto"/>
        <w:left w:val="none" w:sz="0" w:space="0" w:color="auto"/>
        <w:bottom w:val="none" w:sz="0" w:space="0" w:color="auto"/>
        <w:right w:val="none" w:sz="0" w:space="0" w:color="auto"/>
      </w:divBdr>
    </w:div>
    <w:div w:id="1587575064">
      <w:bodyDiv w:val="1"/>
      <w:marLeft w:val="0"/>
      <w:marRight w:val="0"/>
      <w:marTop w:val="0"/>
      <w:marBottom w:val="0"/>
      <w:divBdr>
        <w:top w:val="none" w:sz="0" w:space="0" w:color="auto"/>
        <w:left w:val="none" w:sz="0" w:space="0" w:color="auto"/>
        <w:bottom w:val="none" w:sz="0" w:space="0" w:color="auto"/>
        <w:right w:val="none" w:sz="0" w:space="0" w:color="auto"/>
      </w:divBdr>
    </w:div>
    <w:div w:id="1587614285">
      <w:bodyDiv w:val="1"/>
      <w:marLeft w:val="0"/>
      <w:marRight w:val="0"/>
      <w:marTop w:val="0"/>
      <w:marBottom w:val="0"/>
      <w:divBdr>
        <w:top w:val="none" w:sz="0" w:space="0" w:color="auto"/>
        <w:left w:val="none" w:sz="0" w:space="0" w:color="auto"/>
        <w:bottom w:val="none" w:sz="0" w:space="0" w:color="auto"/>
        <w:right w:val="none" w:sz="0" w:space="0" w:color="auto"/>
      </w:divBdr>
    </w:div>
    <w:div w:id="1587616027">
      <w:bodyDiv w:val="1"/>
      <w:marLeft w:val="0"/>
      <w:marRight w:val="0"/>
      <w:marTop w:val="0"/>
      <w:marBottom w:val="0"/>
      <w:divBdr>
        <w:top w:val="none" w:sz="0" w:space="0" w:color="auto"/>
        <w:left w:val="none" w:sz="0" w:space="0" w:color="auto"/>
        <w:bottom w:val="none" w:sz="0" w:space="0" w:color="auto"/>
        <w:right w:val="none" w:sz="0" w:space="0" w:color="auto"/>
      </w:divBdr>
    </w:div>
    <w:div w:id="1587617755">
      <w:bodyDiv w:val="1"/>
      <w:marLeft w:val="0"/>
      <w:marRight w:val="0"/>
      <w:marTop w:val="0"/>
      <w:marBottom w:val="0"/>
      <w:divBdr>
        <w:top w:val="none" w:sz="0" w:space="0" w:color="auto"/>
        <w:left w:val="none" w:sz="0" w:space="0" w:color="auto"/>
        <w:bottom w:val="none" w:sz="0" w:space="0" w:color="auto"/>
        <w:right w:val="none" w:sz="0" w:space="0" w:color="auto"/>
      </w:divBdr>
    </w:div>
    <w:div w:id="1587617979">
      <w:bodyDiv w:val="1"/>
      <w:marLeft w:val="0"/>
      <w:marRight w:val="0"/>
      <w:marTop w:val="0"/>
      <w:marBottom w:val="0"/>
      <w:divBdr>
        <w:top w:val="none" w:sz="0" w:space="0" w:color="auto"/>
        <w:left w:val="none" w:sz="0" w:space="0" w:color="auto"/>
        <w:bottom w:val="none" w:sz="0" w:space="0" w:color="auto"/>
        <w:right w:val="none" w:sz="0" w:space="0" w:color="auto"/>
      </w:divBdr>
    </w:div>
    <w:div w:id="1587684539">
      <w:bodyDiv w:val="1"/>
      <w:marLeft w:val="0"/>
      <w:marRight w:val="0"/>
      <w:marTop w:val="0"/>
      <w:marBottom w:val="0"/>
      <w:divBdr>
        <w:top w:val="none" w:sz="0" w:space="0" w:color="auto"/>
        <w:left w:val="none" w:sz="0" w:space="0" w:color="auto"/>
        <w:bottom w:val="none" w:sz="0" w:space="0" w:color="auto"/>
        <w:right w:val="none" w:sz="0" w:space="0" w:color="auto"/>
      </w:divBdr>
    </w:div>
    <w:div w:id="1587810977">
      <w:bodyDiv w:val="1"/>
      <w:marLeft w:val="0"/>
      <w:marRight w:val="0"/>
      <w:marTop w:val="0"/>
      <w:marBottom w:val="0"/>
      <w:divBdr>
        <w:top w:val="none" w:sz="0" w:space="0" w:color="auto"/>
        <w:left w:val="none" w:sz="0" w:space="0" w:color="auto"/>
        <w:bottom w:val="none" w:sz="0" w:space="0" w:color="auto"/>
        <w:right w:val="none" w:sz="0" w:space="0" w:color="auto"/>
      </w:divBdr>
    </w:div>
    <w:div w:id="1587811591">
      <w:bodyDiv w:val="1"/>
      <w:marLeft w:val="0"/>
      <w:marRight w:val="0"/>
      <w:marTop w:val="0"/>
      <w:marBottom w:val="0"/>
      <w:divBdr>
        <w:top w:val="none" w:sz="0" w:space="0" w:color="auto"/>
        <w:left w:val="none" w:sz="0" w:space="0" w:color="auto"/>
        <w:bottom w:val="none" w:sz="0" w:space="0" w:color="auto"/>
        <w:right w:val="none" w:sz="0" w:space="0" w:color="auto"/>
      </w:divBdr>
    </w:div>
    <w:div w:id="1587838349">
      <w:bodyDiv w:val="1"/>
      <w:marLeft w:val="0"/>
      <w:marRight w:val="0"/>
      <w:marTop w:val="0"/>
      <w:marBottom w:val="0"/>
      <w:divBdr>
        <w:top w:val="none" w:sz="0" w:space="0" w:color="auto"/>
        <w:left w:val="none" w:sz="0" w:space="0" w:color="auto"/>
        <w:bottom w:val="none" w:sz="0" w:space="0" w:color="auto"/>
        <w:right w:val="none" w:sz="0" w:space="0" w:color="auto"/>
      </w:divBdr>
    </w:div>
    <w:div w:id="1587953934">
      <w:bodyDiv w:val="1"/>
      <w:marLeft w:val="0"/>
      <w:marRight w:val="0"/>
      <w:marTop w:val="0"/>
      <w:marBottom w:val="0"/>
      <w:divBdr>
        <w:top w:val="none" w:sz="0" w:space="0" w:color="auto"/>
        <w:left w:val="none" w:sz="0" w:space="0" w:color="auto"/>
        <w:bottom w:val="none" w:sz="0" w:space="0" w:color="auto"/>
        <w:right w:val="none" w:sz="0" w:space="0" w:color="auto"/>
      </w:divBdr>
    </w:div>
    <w:div w:id="1587954149">
      <w:bodyDiv w:val="1"/>
      <w:marLeft w:val="0"/>
      <w:marRight w:val="0"/>
      <w:marTop w:val="0"/>
      <w:marBottom w:val="0"/>
      <w:divBdr>
        <w:top w:val="none" w:sz="0" w:space="0" w:color="auto"/>
        <w:left w:val="none" w:sz="0" w:space="0" w:color="auto"/>
        <w:bottom w:val="none" w:sz="0" w:space="0" w:color="auto"/>
        <w:right w:val="none" w:sz="0" w:space="0" w:color="auto"/>
      </w:divBdr>
    </w:div>
    <w:div w:id="1588078461">
      <w:bodyDiv w:val="1"/>
      <w:marLeft w:val="0"/>
      <w:marRight w:val="0"/>
      <w:marTop w:val="0"/>
      <w:marBottom w:val="0"/>
      <w:divBdr>
        <w:top w:val="none" w:sz="0" w:space="0" w:color="auto"/>
        <w:left w:val="none" w:sz="0" w:space="0" w:color="auto"/>
        <w:bottom w:val="none" w:sz="0" w:space="0" w:color="auto"/>
        <w:right w:val="none" w:sz="0" w:space="0" w:color="auto"/>
      </w:divBdr>
    </w:div>
    <w:div w:id="1588151106">
      <w:bodyDiv w:val="1"/>
      <w:marLeft w:val="0"/>
      <w:marRight w:val="0"/>
      <w:marTop w:val="0"/>
      <w:marBottom w:val="0"/>
      <w:divBdr>
        <w:top w:val="none" w:sz="0" w:space="0" w:color="auto"/>
        <w:left w:val="none" w:sz="0" w:space="0" w:color="auto"/>
        <w:bottom w:val="none" w:sz="0" w:space="0" w:color="auto"/>
        <w:right w:val="none" w:sz="0" w:space="0" w:color="auto"/>
      </w:divBdr>
    </w:div>
    <w:div w:id="1588151635">
      <w:bodyDiv w:val="1"/>
      <w:marLeft w:val="0"/>
      <w:marRight w:val="0"/>
      <w:marTop w:val="0"/>
      <w:marBottom w:val="0"/>
      <w:divBdr>
        <w:top w:val="none" w:sz="0" w:space="0" w:color="auto"/>
        <w:left w:val="none" w:sz="0" w:space="0" w:color="auto"/>
        <w:bottom w:val="none" w:sz="0" w:space="0" w:color="auto"/>
        <w:right w:val="none" w:sz="0" w:space="0" w:color="auto"/>
      </w:divBdr>
    </w:div>
    <w:div w:id="1588156187">
      <w:bodyDiv w:val="1"/>
      <w:marLeft w:val="0"/>
      <w:marRight w:val="0"/>
      <w:marTop w:val="0"/>
      <w:marBottom w:val="0"/>
      <w:divBdr>
        <w:top w:val="none" w:sz="0" w:space="0" w:color="auto"/>
        <w:left w:val="none" w:sz="0" w:space="0" w:color="auto"/>
        <w:bottom w:val="none" w:sz="0" w:space="0" w:color="auto"/>
        <w:right w:val="none" w:sz="0" w:space="0" w:color="auto"/>
      </w:divBdr>
    </w:div>
    <w:div w:id="1588224821">
      <w:bodyDiv w:val="1"/>
      <w:marLeft w:val="0"/>
      <w:marRight w:val="0"/>
      <w:marTop w:val="0"/>
      <w:marBottom w:val="0"/>
      <w:divBdr>
        <w:top w:val="none" w:sz="0" w:space="0" w:color="auto"/>
        <w:left w:val="none" w:sz="0" w:space="0" w:color="auto"/>
        <w:bottom w:val="none" w:sz="0" w:space="0" w:color="auto"/>
        <w:right w:val="none" w:sz="0" w:space="0" w:color="auto"/>
      </w:divBdr>
    </w:div>
    <w:div w:id="1588265348">
      <w:bodyDiv w:val="1"/>
      <w:marLeft w:val="0"/>
      <w:marRight w:val="0"/>
      <w:marTop w:val="0"/>
      <w:marBottom w:val="0"/>
      <w:divBdr>
        <w:top w:val="none" w:sz="0" w:space="0" w:color="auto"/>
        <w:left w:val="none" w:sz="0" w:space="0" w:color="auto"/>
        <w:bottom w:val="none" w:sz="0" w:space="0" w:color="auto"/>
        <w:right w:val="none" w:sz="0" w:space="0" w:color="auto"/>
      </w:divBdr>
    </w:div>
    <w:div w:id="1588340733">
      <w:bodyDiv w:val="1"/>
      <w:marLeft w:val="0"/>
      <w:marRight w:val="0"/>
      <w:marTop w:val="0"/>
      <w:marBottom w:val="0"/>
      <w:divBdr>
        <w:top w:val="none" w:sz="0" w:space="0" w:color="auto"/>
        <w:left w:val="none" w:sz="0" w:space="0" w:color="auto"/>
        <w:bottom w:val="none" w:sz="0" w:space="0" w:color="auto"/>
        <w:right w:val="none" w:sz="0" w:space="0" w:color="auto"/>
      </w:divBdr>
    </w:div>
    <w:div w:id="1588340939">
      <w:bodyDiv w:val="1"/>
      <w:marLeft w:val="0"/>
      <w:marRight w:val="0"/>
      <w:marTop w:val="0"/>
      <w:marBottom w:val="0"/>
      <w:divBdr>
        <w:top w:val="none" w:sz="0" w:space="0" w:color="auto"/>
        <w:left w:val="none" w:sz="0" w:space="0" w:color="auto"/>
        <w:bottom w:val="none" w:sz="0" w:space="0" w:color="auto"/>
        <w:right w:val="none" w:sz="0" w:space="0" w:color="auto"/>
      </w:divBdr>
    </w:div>
    <w:div w:id="1588342296">
      <w:bodyDiv w:val="1"/>
      <w:marLeft w:val="0"/>
      <w:marRight w:val="0"/>
      <w:marTop w:val="0"/>
      <w:marBottom w:val="0"/>
      <w:divBdr>
        <w:top w:val="none" w:sz="0" w:space="0" w:color="auto"/>
        <w:left w:val="none" w:sz="0" w:space="0" w:color="auto"/>
        <w:bottom w:val="none" w:sz="0" w:space="0" w:color="auto"/>
        <w:right w:val="none" w:sz="0" w:space="0" w:color="auto"/>
      </w:divBdr>
    </w:div>
    <w:div w:id="1588345222">
      <w:bodyDiv w:val="1"/>
      <w:marLeft w:val="0"/>
      <w:marRight w:val="0"/>
      <w:marTop w:val="0"/>
      <w:marBottom w:val="0"/>
      <w:divBdr>
        <w:top w:val="none" w:sz="0" w:space="0" w:color="auto"/>
        <w:left w:val="none" w:sz="0" w:space="0" w:color="auto"/>
        <w:bottom w:val="none" w:sz="0" w:space="0" w:color="auto"/>
        <w:right w:val="none" w:sz="0" w:space="0" w:color="auto"/>
      </w:divBdr>
    </w:div>
    <w:div w:id="1588348813">
      <w:bodyDiv w:val="1"/>
      <w:marLeft w:val="0"/>
      <w:marRight w:val="0"/>
      <w:marTop w:val="0"/>
      <w:marBottom w:val="0"/>
      <w:divBdr>
        <w:top w:val="none" w:sz="0" w:space="0" w:color="auto"/>
        <w:left w:val="none" w:sz="0" w:space="0" w:color="auto"/>
        <w:bottom w:val="none" w:sz="0" w:space="0" w:color="auto"/>
        <w:right w:val="none" w:sz="0" w:space="0" w:color="auto"/>
      </w:divBdr>
    </w:div>
    <w:div w:id="1588415217">
      <w:bodyDiv w:val="1"/>
      <w:marLeft w:val="0"/>
      <w:marRight w:val="0"/>
      <w:marTop w:val="0"/>
      <w:marBottom w:val="0"/>
      <w:divBdr>
        <w:top w:val="none" w:sz="0" w:space="0" w:color="auto"/>
        <w:left w:val="none" w:sz="0" w:space="0" w:color="auto"/>
        <w:bottom w:val="none" w:sz="0" w:space="0" w:color="auto"/>
        <w:right w:val="none" w:sz="0" w:space="0" w:color="auto"/>
      </w:divBdr>
    </w:div>
    <w:div w:id="1588420944">
      <w:bodyDiv w:val="1"/>
      <w:marLeft w:val="0"/>
      <w:marRight w:val="0"/>
      <w:marTop w:val="0"/>
      <w:marBottom w:val="0"/>
      <w:divBdr>
        <w:top w:val="none" w:sz="0" w:space="0" w:color="auto"/>
        <w:left w:val="none" w:sz="0" w:space="0" w:color="auto"/>
        <w:bottom w:val="none" w:sz="0" w:space="0" w:color="auto"/>
        <w:right w:val="none" w:sz="0" w:space="0" w:color="auto"/>
      </w:divBdr>
    </w:div>
    <w:div w:id="1588462686">
      <w:bodyDiv w:val="1"/>
      <w:marLeft w:val="0"/>
      <w:marRight w:val="0"/>
      <w:marTop w:val="0"/>
      <w:marBottom w:val="0"/>
      <w:divBdr>
        <w:top w:val="none" w:sz="0" w:space="0" w:color="auto"/>
        <w:left w:val="none" w:sz="0" w:space="0" w:color="auto"/>
        <w:bottom w:val="none" w:sz="0" w:space="0" w:color="auto"/>
        <w:right w:val="none" w:sz="0" w:space="0" w:color="auto"/>
      </w:divBdr>
    </w:div>
    <w:div w:id="1588540851">
      <w:bodyDiv w:val="1"/>
      <w:marLeft w:val="0"/>
      <w:marRight w:val="0"/>
      <w:marTop w:val="0"/>
      <w:marBottom w:val="0"/>
      <w:divBdr>
        <w:top w:val="none" w:sz="0" w:space="0" w:color="auto"/>
        <w:left w:val="none" w:sz="0" w:space="0" w:color="auto"/>
        <w:bottom w:val="none" w:sz="0" w:space="0" w:color="auto"/>
        <w:right w:val="none" w:sz="0" w:space="0" w:color="auto"/>
      </w:divBdr>
    </w:div>
    <w:div w:id="1588613580">
      <w:bodyDiv w:val="1"/>
      <w:marLeft w:val="0"/>
      <w:marRight w:val="0"/>
      <w:marTop w:val="0"/>
      <w:marBottom w:val="0"/>
      <w:divBdr>
        <w:top w:val="none" w:sz="0" w:space="0" w:color="auto"/>
        <w:left w:val="none" w:sz="0" w:space="0" w:color="auto"/>
        <w:bottom w:val="none" w:sz="0" w:space="0" w:color="auto"/>
        <w:right w:val="none" w:sz="0" w:space="0" w:color="auto"/>
      </w:divBdr>
    </w:div>
    <w:div w:id="1588684077">
      <w:bodyDiv w:val="1"/>
      <w:marLeft w:val="0"/>
      <w:marRight w:val="0"/>
      <w:marTop w:val="0"/>
      <w:marBottom w:val="0"/>
      <w:divBdr>
        <w:top w:val="none" w:sz="0" w:space="0" w:color="auto"/>
        <w:left w:val="none" w:sz="0" w:space="0" w:color="auto"/>
        <w:bottom w:val="none" w:sz="0" w:space="0" w:color="auto"/>
        <w:right w:val="none" w:sz="0" w:space="0" w:color="auto"/>
      </w:divBdr>
    </w:div>
    <w:div w:id="1588684234">
      <w:bodyDiv w:val="1"/>
      <w:marLeft w:val="0"/>
      <w:marRight w:val="0"/>
      <w:marTop w:val="0"/>
      <w:marBottom w:val="0"/>
      <w:divBdr>
        <w:top w:val="none" w:sz="0" w:space="0" w:color="auto"/>
        <w:left w:val="none" w:sz="0" w:space="0" w:color="auto"/>
        <w:bottom w:val="none" w:sz="0" w:space="0" w:color="auto"/>
        <w:right w:val="none" w:sz="0" w:space="0" w:color="auto"/>
      </w:divBdr>
    </w:div>
    <w:div w:id="1588729226">
      <w:bodyDiv w:val="1"/>
      <w:marLeft w:val="0"/>
      <w:marRight w:val="0"/>
      <w:marTop w:val="0"/>
      <w:marBottom w:val="0"/>
      <w:divBdr>
        <w:top w:val="none" w:sz="0" w:space="0" w:color="auto"/>
        <w:left w:val="none" w:sz="0" w:space="0" w:color="auto"/>
        <w:bottom w:val="none" w:sz="0" w:space="0" w:color="auto"/>
        <w:right w:val="none" w:sz="0" w:space="0" w:color="auto"/>
      </w:divBdr>
    </w:div>
    <w:div w:id="1588730339">
      <w:bodyDiv w:val="1"/>
      <w:marLeft w:val="0"/>
      <w:marRight w:val="0"/>
      <w:marTop w:val="0"/>
      <w:marBottom w:val="0"/>
      <w:divBdr>
        <w:top w:val="none" w:sz="0" w:space="0" w:color="auto"/>
        <w:left w:val="none" w:sz="0" w:space="0" w:color="auto"/>
        <w:bottom w:val="none" w:sz="0" w:space="0" w:color="auto"/>
        <w:right w:val="none" w:sz="0" w:space="0" w:color="auto"/>
      </w:divBdr>
    </w:div>
    <w:div w:id="1588882250">
      <w:bodyDiv w:val="1"/>
      <w:marLeft w:val="0"/>
      <w:marRight w:val="0"/>
      <w:marTop w:val="0"/>
      <w:marBottom w:val="0"/>
      <w:divBdr>
        <w:top w:val="none" w:sz="0" w:space="0" w:color="auto"/>
        <w:left w:val="none" w:sz="0" w:space="0" w:color="auto"/>
        <w:bottom w:val="none" w:sz="0" w:space="0" w:color="auto"/>
        <w:right w:val="none" w:sz="0" w:space="0" w:color="auto"/>
      </w:divBdr>
    </w:div>
    <w:div w:id="1588927318">
      <w:bodyDiv w:val="1"/>
      <w:marLeft w:val="0"/>
      <w:marRight w:val="0"/>
      <w:marTop w:val="0"/>
      <w:marBottom w:val="0"/>
      <w:divBdr>
        <w:top w:val="none" w:sz="0" w:space="0" w:color="auto"/>
        <w:left w:val="none" w:sz="0" w:space="0" w:color="auto"/>
        <w:bottom w:val="none" w:sz="0" w:space="0" w:color="auto"/>
        <w:right w:val="none" w:sz="0" w:space="0" w:color="auto"/>
      </w:divBdr>
    </w:div>
    <w:div w:id="1588997033">
      <w:bodyDiv w:val="1"/>
      <w:marLeft w:val="0"/>
      <w:marRight w:val="0"/>
      <w:marTop w:val="0"/>
      <w:marBottom w:val="0"/>
      <w:divBdr>
        <w:top w:val="none" w:sz="0" w:space="0" w:color="auto"/>
        <w:left w:val="none" w:sz="0" w:space="0" w:color="auto"/>
        <w:bottom w:val="none" w:sz="0" w:space="0" w:color="auto"/>
        <w:right w:val="none" w:sz="0" w:space="0" w:color="auto"/>
      </w:divBdr>
    </w:div>
    <w:div w:id="1589072251">
      <w:bodyDiv w:val="1"/>
      <w:marLeft w:val="0"/>
      <w:marRight w:val="0"/>
      <w:marTop w:val="0"/>
      <w:marBottom w:val="0"/>
      <w:divBdr>
        <w:top w:val="none" w:sz="0" w:space="0" w:color="auto"/>
        <w:left w:val="none" w:sz="0" w:space="0" w:color="auto"/>
        <w:bottom w:val="none" w:sz="0" w:space="0" w:color="auto"/>
        <w:right w:val="none" w:sz="0" w:space="0" w:color="auto"/>
      </w:divBdr>
    </w:div>
    <w:div w:id="1589121679">
      <w:bodyDiv w:val="1"/>
      <w:marLeft w:val="0"/>
      <w:marRight w:val="0"/>
      <w:marTop w:val="0"/>
      <w:marBottom w:val="0"/>
      <w:divBdr>
        <w:top w:val="none" w:sz="0" w:space="0" w:color="auto"/>
        <w:left w:val="none" w:sz="0" w:space="0" w:color="auto"/>
        <w:bottom w:val="none" w:sz="0" w:space="0" w:color="auto"/>
        <w:right w:val="none" w:sz="0" w:space="0" w:color="auto"/>
      </w:divBdr>
    </w:div>
    <w:div w:id="1589145989">
      <w:bodyDiv w:val="1"/>
      <w:marLeft w:val="0"/>
      <w:marRight w:val="0"/>
      <w:marTop w:val="0"/>
      <w:marBottom w:val="0"/>
      <w:divBdr>
        <w:top w:val="none" w:sz="0" w:space="0" w:color="auto"/>
        <w:left w:val="none" w:sz="0" w:space="0" w:color="auto"/>
        <w:bottom w:val="none" w:sz="0" w:space="0" w:color="auto"/>
        <w:right w:val="none" w:sz="0" w:space="0" w:color="auto"/>
      </w:divBdr>
    </w:div>
    <w:div w:id="1589148922">
      <w:bodyDiv w:val="1"/>
      <w:marLeft w:val="0"/>
      <w:marRight w:val="0"/>
      <w:marTop w:val="0"/>
      <w:marBottom w:val="0"/>
      <w:divBdr>
        <w:top w:val="none" w:sz="0" w:space="0" w:color="auto"/>
        <w:left w:val="none" w:sz="0" w:space="0" w:color="auto"/>
        <w:bottom w:val="none" w:sz="0" w:space="0" w:color="auto"/>
        <w:right w:val="none" w:sz="0" w:space="0" w:color="auto"/>
      </w:divBdr>
    </w:div>
    <w:div w:id="1589197524">
      <w:bodyDiv w:val="1"/>
      <w:marLeft w:val="0"/>
      <w:marRight w:val="0"/>
      <w:marTop w:val="0"/>
      <w:marBottom w:val="0"/>
      <w:divBdr>
        <w:top w:val="none" w:sz="0" w:space="0" w:color="auto"/>
        <w:left w:val="none" w:sz="0" w:space="0" w:color="auto"/>
        <w:bottom w:val="none" w:sz="0" w:space="0" w:color="auto"/>
        <w:right w:val="none" w:sz="0" w:space="0" w:color="auto"/>
      </w:divBdr>
    </w:div>
    <w:div w:id="1589267732">
      <w:bodyDiv w:val="1"/>
      <w:marLeft w:val="0"/>
      <w:marRight w:val="0"/>
      <w:marTop w:val="0"/>
      <w:marBottom w:val="0"/>
      <w:divBdr>
        <w:top w:val="none" w:sz="0" w:space="0" w:color="auto"/>
        <w:left w:val="none" w:sz="0" w:space="0" w:color="auto"/>
        <w:bottom w:val="none" w:sz="0" w:space="0" w:color="auto"/>
        <w:right w:val="none" w:sz="0" w:space="0" w:color="auto"/>
      </w:divBdr>
    </w:div>
    <w:div w:id="1589273046">
      <w:bodyDiv w:val="1"/>
      <w:marLeft w:val="0"/>
      <w:marRight w:val="0"/>
      <w:marTop w:val="0"/>
      <w:marBottom w:val="0"/>
      <w:divBdr>
        <w:top w:val="none" w:sz="0" w:space="0" w:color="auto"/>
        <w:left w:val="none" w:sz="0" w:space="0" w:color="auto"/>
        <w:bottom w:val="none" w:sz="0" w:space="0" w:color="auto"/>
        <w:right w:val="none" w:sz="0" w:space="0" w:color="auto"/>
      </w:divBdr>
    </w:div>
    <w:div w:id="1589341374">
      <w:bodyDiv w:val="1"/>
      <w:marLeft w:val="0"/>
      <w:marRight w:val="0"/>
      <w:marTop w:val="0"/>
      <w:marBottom w:val="0"/>
      <w:divBdr>
        <w:top w:val="none" w:sz="0" w:space="0" w:color="auto"/>
        <w:left w:val="none" w:sz="0" w:space="0" w:color="auto"/>
        <w:bottom w:val="none" w:sz="0" w:space="0" w:color="auto"/>
        <w:right w:val="none" w:sz="0" w:space="0" w:color="auto"/>
      </w:divBdr>
    </w:div>
    <w:div w:id="1589383567">
      <w:bodyDiv w:val="1"/>
      <w:marLeft w:val="0"/>
      <w:marRight w:val="0"/>
      <w:marTop w:val="0"/>
      <w:marBottom w:val="0"/>
      <w:divBdr>
        <w:top w:val="none" w:sz="0" w:space="0" w:color="auto"/>
        <w:left w:val="none" w:sz="0" w:space="0" w:color="auto"/>
        <w:bottom w:val="none" w:sz="0" w:space="0" w:color="auto"/>
        <w:right w:val="none" w:sz="0" w:space="0" w:color="auto"/>
      </w:divBdr>
    </w:div>
    <w:div w:id="1589459716">
      <w:bodyDiv w:val="1"/>
      <w:marLeft w:val="0"/>
      <w:marRight w:val="0"/>
      <w:marTop w:val="0"/>
      <w:marBottom w:val="0"/>
      <w:divBdr>
        <w:top w:val="none" w:sz="0" w:space="0" w:color="auto"/>
        <w:left w:val="none" w:sz="0" w:space="0" w:color="auto"/>
        <w:bottom w:val="none" w:sz="0" w:space="0" w:color="auto"/>
        <w:right w:val="none" w:sz="0" w:space="0" w:color="auto"/>
      </w:divBdr>
    </w:div>
    <w:div w:id="1589538049">
      <w:bodyDiv w:val="1"/>
      <w:marLeft w:val="0"/>
      <w:marRight w:val="0"/>
      <w:marTop w:val="0"/>
      <w:marBottom w:val="0"/>
      <w:divBdr>
        <w:top w:val="none" w:sz="0" w:space="0" w:color="auto"/>
        <w:left w:val="none" w:sz="0" w:space="0" w:color="auto"/>
        <w:bottom w:val="none" w:sz="0" w:space="0" w:color="auto"/>
        <w:right w:val="none" w:sz="0" w:space="0" w:color="auto"/>
      </w:divBdr>
    </w:div>
    <w:div w:id="1589608423">
      <w:bodyDiv w:val="1"/>
      <w:marLeft w:val="0"/>
      <w:marRight w:val="0"/>
      <w:marTop w:val="0"/>
      <w:marBottom w:val="0"/>
      <w:divBdr>
        <w:top w:val="none" w:sz="0" w:space="0" w:color="auto"/>
        <w:left w:val="none" w:sz="0" w:space="0" w:color="auto"/>
        <w:bottom w:val="none" w:sz="0" w:space="0" w:color="auto"/>
        <w:right w:val="none" w:sz="0" w:space="0" w:color="auto"/>
      </w:divBdr>
    </w:div>
    <w:div w:id="1589653624">
      <w:bodyDiv w:val="1"/>
      <w:marLeft w:val="0"/>
      <w:marRight w:val="0"/>
      <w:marTop w:val="0"/>
      <w:marBottom w:val="0"/>
      <w:divBdr>
        <w:top w:val="none" w:sz="0" w:space="0" w:color="auto"/>
        <w:left w:val="none" w:sz="0" w:space="0" w:color="auto"/>
        <w:bottom w:val="none" w:sz="0" w:space="0" w:color="auto"/>
        <w:right w:val="none" w:sz="0" w:space="0" w:color="auto"/>
      </w:divBdr>
    </w:div>
    <w:div w:id="1589659233">
      <w:bodyDiv w:val="1"/>
      <w:marLeft w:val="0"/>
      <w:marRight w:val="0"/>
      <w:marTop w:val="0"/>
      <w:marBottom w:val="0"/>
      <w:divBdr>
        <w:top w:val="none" w:sz="0" w:space="0" w:color="auto"/>
        <w:left w:val="none" w:sz="0" w:space="0" w:color="auto"/>
        <w:bottom w:val="none" w:sz="0" w:space="0" w:color="auto"/>
        <w:right w:val="none" w:sz="0" w:space="0" w:color="auto"/>
      </w:divBdr>
    </w:div>
    <w:div w:id="1589773260">
      <w:bodyDiv w:val="1"/>
      <w:marLeft w:val="0"/>
      <w:marRight w:val="0"/>
      <w:marTop w:val="0"/>
      <w:marBottom w:val="0"/>
      <w:divBdr>
        <w:top w:val="none" w:sz="0" w:space="0" w:color="auto"/>
        <w:left w:val="none" w:sz="0" w:space="0" w:color="auto"/>
        <w:bottom w:val="none" w:sz="0" w:space="0" w:color="auto"/>
        <w:right w:val="none" w:sz="0" w:space="0" w:color="auto"/>
      </w:divBdr>
    </w:div>
    <w:div w:id="1589803704">
      <w:bodyDiv w:val="1"/>
      <w:marLeft w:val="0"/>
      <w:marRight w:val="0"/>
      <w:marTop w:val="0"/>
      <w:marBottom w:val="0"/>
      <w:divBdr>
        <w:top w:val="none" w:sz="0" w:space="0" w:color="auto"/>
        <w:left w:val="none" w:sz="0" w:space="0" w:color="auto"/>
        <w:bottom w:val="none" w:sz="0" w:space="0" w:color="auto"/>
        <w:right w:val="none" w:sz="0" w:space="0" w:color="auto"/>
      </w:divBdr>
    </w:div>
    <w:div w:id="1589844585">
      <w:bodyDiv w:val="1"/>
      <w:marLeft w:val="0"/>
      <w:marRight w:val="0"/>
      <w:marTop w:val="0"/>
      <w:marBottom w:val="0"/>
      <w:divBdr>
        <w:top w:val="none" w:sz="0" w:space="0" w:color="auto"/>
        <w:left w:val="none" w:sz="0" w:space="0" w:color="auto"/>
        <w:bottom w:val="none" w:sz="0" w:space="0" w:color="auto"/>
        <w:right w:val="none" w:sz="0" w:space="0" w:color="auto"/>
      </w:divBdr>
    </w:div>
    <w:div w:id="1589852808">
      <w:bodyDiv w:val="1"/>
      <w:marLeft w:val="0"/>
      <w:marRight w:val="0"/>
      <w:marTop w:val="0"/>
      <w:marBottom w:val="0"/>
      <w:divBdr>
        <w:top w:val="none" w:sz="0" w:space="0" w:color="auto"/>
        <w:left w:val="none" w:sz="0" w:space="0" w:color="auto"/>
        <w:bottom w:val="none" w:sz="0" w:space="0" w:color="auto"/>
        <w:right w:val="none" w:sz="0" w:space="0" w:color="auto"/>
      </w:divBdr>
    </w:div>
    <w:div w:id="1590193657">
      <w:bodyDiv w:val="1"/>
      <w:marLeft w:val="0"/>
      <w:marRight w:val="0"/>
      <w:marTop w:val="0"/>
      <w:marBottom w:val="0"/>
      <w:divBdr>
        <w:top w:val="none" w:sz="0" w:space="0" w:color="auto"/>
        <w:left w:val="none" w:sz="0" w:space="0" w:color="auto"/>
        <w:bottom w:val="none" w:sz="0" w:space="0" w:color="auto"/>
        <w:right w:val="none" w:sz="0" w:space="0" w:color="auto"/>
      </w:divBdr>
    </w:div>
    <w:div w:id="1590233527">
      <w:bodyDiv w:val="1"/>
      <w:marLeft w:val="0"/>
      <w:marRight w:val="0"/>
      <w:marTop w:val="0"/>
      <w:marBottom w:val="0"/>
      <w:divBdr>
        <w:top w:val="none" w:sz="0" w:space="0" w:color="auto"/>
        <w:left w:val="none" w:sz="0" w:space="0" w:color="auto"/>
        <w:bottom w:val="none" w:sz="0" w:space="0" w:color="auto"/>
        <w:right w:val="none" w:sz="0" w:space="0" w:color="auto"/>
      </w:divBdr>
    </w:div>
    <w:div w:id="1590239101">
      <w:bodyDiv w:val="1"/>
      <w:marLeft w:val="0"/>
      <w:marRight w:val="0"/>
      <w:marTop w:val="0"/>
      <w:marBottom w:val="0"/>
      <w:divBdr>
        <w:top w:val="none" w:sz="0" w:space="0" w:color="auto"/>
        <w:left w:val="none" w:sz="0" w:space="0" w:color="auto"/>
        <w:bottom w:val="none" w:sz="0" w:space="0" w:color="auto"/>
        <w:right w:val="none" w:sz="0" w:space="0" w:color="auto"/>
      </w:divBdr>
    </w:div>
    <w:div w:id="1590381365">
      <w:bodyDiv w:val="1"/>
      <w:marLeft w:val="0"/>
      <w:marRight w:val="0"/>
      <w:marTop w:val="0"/>
      <w:marBottom w:val="0"/>
      <w:divBdr>
        <w:top w:val="none" w:sz="0" w:space="0" w:color="auto"/>
        <w:left w:val="none" w:sz="0" w:space="0" w:color="auto"/>
        <w:bottom w:val="none" w:sz="0" w:space="0" w:color="auto"/>
        <w:right w:val="none" w:sz="0" w:space="0" w:color="auto"/>
      </w:divBdr>
    </w:div>
    <w:div w:id="1590381755">
      <w:bodyDiv w:val="1"/>
      <w:marLeft w:val="0"/>
      <w:marRight w:val="0"/>
      <w:marTop w:val="0"/>
      <w:marBottom w:val="0"/>
      <w:divBdr>
        <w:top w:val="none" w:sz="0" w:space="0" w:color="auto"/>
        <w:left w:val="none" w:sz="0" w:space="0" w:color="auto"/>
        <w:bottom w:val="none" w:sz="0" w:space="0" w:color="auto"/>
        <w:right w:val="none" w:sz="0" w:space="0" w:color="auto"/>
      </w:divBdr>
    </w:div>
    <w:div w:id="1590430788">
      <w:bodyDiv w:val="1"/>
      <w:marLeft w:val="0"/>
      <w:marRight w:val="0"/>
      <w:marTop w:val="0"/>
      <w:marBottom w:val="0"/>
      <w:divBdr>
        <w:top w:val="none" w:sz="0" w:space="0" w:color="auto"/>
        <w:left w:val="none" w:sz="0" w:space="0" w:color="auto"/>
        <w:bottom w:val="none" w:sz="0" w:space="0" w:color="auto"/>
        <w:right w:val="none" w:sz="0" w:space="0" w:color="auto"/>
      </w:divBdr>
    </w:div>
    <w:div w:id="1590652819">
      <w:bodyDiv w:val="1"/>
      <w:marLeft w:val="0"/>
      <w:marRight w:val="0"/>
      <w:marTop w:val="0"/>
      <w:marBottom w:val="0"/>
      <w:divBdr>
        <w:top w:val="none" w:sz="0" w:space="0" w:color="auto"/>
        <w:left w:val="none" w:sz="0" w:space="0" w:color="auto"/>
        <w:bottom w:val="none" w:sz="0" w:space="0" w:color="auto"/>
        <w:right w:val="none" w:sz="0" w:space="0" w:color="auto"/>
      </w:divBdr>
    </w:div>
    <w:div w:id="1590654222">
      <w:bodyDiv w:val="1"/>
      <w:marLeft w:val="0"/>
      <w:marRight w:val="0"/>
      <w:marTop w:val="0"/>
      <w:marBottom w:val="0"/>
      <w:divBdr>
        <w:top w:val="none" w:sz="0" w:space="0" w:color="auto"/>
        <w:left w:val="none" w:sz="0" w:space="0" w:color="auto"/>
        <w:bottom w:val="none" w:sz="0" w:space="0" w:color="auto"/>
        <w:right w:val="none" w:sz="0" w:space="0" w:color="auto"/>
      </w:divBdr>
    </w:div>
    <w:div w:id="1590698855">
      <w:bodyDiv w:val="1"/>
      <w:marLeft w:val="0"/>
      <w:marRight w:val="0"/>
      <w:marTop w:val="0"/>
      <w:marBottom w:val="0"/>
      <w:divBdr>
        <w:top w:val="none" w:sz="0" w:space="0" w:color="auto"/>
        <w:left w:val="none" w:sz="0" w:space="0" w:color="auto"/>
        <w:bottom w:val="none" w:sz="0" w:space="0" w:color="auto"/>
        <w:right w:val="none" w:sz="0" w:space="0" w:color="auto"/>
      </w:divBdr>
    </w:div>
    <w:div w:id="1590699340">
      <w:bodyDiv w:val="1"/>
      <w:marLeft w:val="0"/>
      <w:marRight w:val="0"/>
      <w:marTop w:val="0"/>
      <w:marBottom w:val="0"/>
      <w:divBdr>
        <w:top w:val="none" w:sz="0" w:space="0" w:color="auto"/>
        <w:left w:val="none" w:sz="0" w:space="0" w:color="auto"/>
        <w:bottom w:val="none" w:sz="0" w:space="0" w:color="auto"/>
        <w:right w:val="none" w:sz="0" w:space="0" w:color="auto"/>
      </w:divBdr>
    </w:div>
    <w:div w:id="1590773608">
      <w:bodyDiv w:val="1"/>
      <w:marLeft w:val="0"/>
      <w:marRight w:val="0"/>
      <w:marTop w:val="0"/>
      <w:marBottom w:val="0"/>
      <w:divBdr>
        <w:top w:val="none" w:sz="0" w:space="0" w:color="auto"/>
        <w:left w:val="none" w:sz="0" w:space="0" w:color="auto"/>
        <w:bottom w:val="none" w:sz="0" w:space="0" w:color="auto"/>
        <w:right w:val="none" w:sz="0" w:space="0" w:color="auto"/>
      </w:divBdr>
    </w:div>
    <w:div w:id="1590851637">
      <w:bodyDiv w:val="1"/>
      <w:marLeft w:val="0"/>
      <w:marRight w:val="0"/>
      <w:marTop w:val="0"/>
      <w:marBottom w:val="0"/>
      <w:divBdr>
        <w:top w:val="none" w:sz="0" w:space="0" w:color="auto"/>
        <w:left w:val="none" w:sz="0" w:space="0" w:color="auto"/>
        <w:bottom w:val="none" w:sz="0" w:space="0" w:color="auto"/>
        <w:right w:val="none" w:sz="0" w:space="0" w:color="auto"/>
      </w:divBdr>
    </w:div>
    <w:div w:id="1590888693">
      <w:bodyDiv w:val="1"/>
      <w:marLeft w:val="0"/>
      <w:marRight w:val="0"/>
      <w:marTop w:val="0"/>
      <w:marBottom w:val="0"/>
      <w:divBdr>
        <w:top w:val="none" w:sz="0" w:space="0" w:color="auto"/>
        <w:left w:val="none" w:sz="0" w:space="0" w:color="auto"/>
        <w:bottom w:val="none" w:sz="0" w:space="0" w:color="auto"/>
        <w:right w:val="none" w:sz="0" w:space="0" w:color="auto"/>
      </w:divBdr>
    </w:div>
    <w:div w:id="1590890499">
      <w:bodyDiv w:val="1"/>
      <w:marLeft w:val="0"/>
      <w:marRight w:val="0"/>
      <w:marTop w:val="0"/>
      <w:marBottom w:val="0"/>
      <w:divBdr>
        <w:top w:val="none" w:sz="0" w:space="0" w:color="auto"/>
        <w:left w:val="none" w:sz="0" w:space="0" w:color="auto"/>
        <w:bottom w:val="none" w:sz="0" w:space="0" w:color="auto"/>
        <w:right w:val="none" w:sz="0" w:space="0" w:color="auto"/>
      </w:divBdr>
    </w:div>
    <w:div w:id="1590967257">
      <w:bodyDiv w:val="1"/>
      <w:marLeft w:val="0"/>
      <w:marRight w:val="0"/>
      <w:marTop w:val="0"/>
      <w:marBottom w:val="0"/>
      <w:divBdr>
        <w:top w:val="none" w:sz="0" w:space="0" w:color="auto"/>
        <w:left w:val="none" w:sz="0" w:space="0" w:color="auto"/>
        <w:bottom w:val="none" w:sz="0" w:space="0" w:color="auto"/>
        <w:right w:val="none" w:sz="0" w:space="0" w:color="auto"/>
      </w:divBdr>
    </w:div>
    <w:div w:id="1591038003">
      <w:bodyDiv w:val="1"/>
      <w:marLeft w:val="0"/>
      <w:marRight w:val="0"/>
      <w:marTop w:val="0"/>
      <w:marBottom w:val="0"/>
      <w:divBdr>
        <w:top w:val="none" w:sz="0" w:space="0" w:color="auto"/>
        <w:left w:val="none" w:sz="0" w:space="0" w:color="auto"/>
        <w:bottom w:val="none" w:sz="0" w:space="0" w:color="auto"/>
        <w:right w:val="none" w:sz="0" w:space="0" w:color="auto"/>
      </w:divBdr>
    </w:div>
    <w:div w:id="1591042571">
      <w:bodyDiv w:val="1"/>
      <w:marLeft w:val="0"/>
      <w:marRight w:val="0"/>
      <w:marTop w:val="0"/>
      <w:marBottom w:val="0"/>
      <w:divBdr>
        <w:top w:val="none" w:sz="0" w:space="0" w:color="auto"/>
        <w:left w:val="none" w:sz="0" w:space="0" w:color="auto"/>
        <w:bottom w:val="none" w:sz="0" w:space="0" w:color="auto"/>
        <w:right w:val="none" w:sz="0" w:space="0" w:color="auto"/>
      </w:divBdr>
    </w:div>
    <w:div w:id="1591044984">
      <w:bodyDiv w:val="1"/>
      <w:marLeft w:val="0"/>
      <w:marRight w:val="0"/>
      <w:marTop w:val="0"/>
      <w:marBottom w:val="0"/>
      <w:divBdr>
        <w:top w:val="none" w:sz="0" w:space="0" w:color="auto"/>
        <w:left w:val="none" w:sz="0" w:space="0" w:color="auto"/>
        <w:bottom w:val="none" w:sz="0" w:space="0" w:color="auto"/>
        <w:right w:val="none" w:sz="0" w:space="0" w:color="auto"/>
      </w:divBdr>
    </w:div>
    <w:div w:id="1591233092">
      <w:bodyDiv w:val="1"/>
      <w:marLeft w:val="0"/>
      <w:marRight w:val="0"/>
      <w:marTop w:val="0"/>
      <w:marBottom w:val="0"/>
      <w:divBdr>
        <w:top w:val="none" w:sz="0" w:space="0" w:color="auto"/>
        <w:left w:val="none" w:sz="0" w:space="0" w:color="auto"/>
        <w:bottom w:val="none" w:sz="0" w:space="0" w:color="auto"/>
        <w:right w:val="none" w:sz="0" w:space="0" w:color="auto"/>
      </w:divBdr>
    </w:div>
    <w:div w:id="1591234295">
      <w:bodyDiv w:val="1"/>
      <w:marLeft w:val="0"/>
      <w:marRight w:val="0"/>
      <w:marTop w:val="0"/>
      <w:marBottom w:val="0"/>
      <w:divBdr>
        <w:top w:val="none" w:sz="0" w:space="0" w:color="auto"/>
        <w:left w:val="none" w:sz="0" w:space="0" w:color="auto"/>
        <w:bottom w:val="none" w:sz="0" w:space="0" w:color="auto"/>
        <w:right w:val="none" w:sz="0" w:space="0" w:color="auto"/>
      </w:divBdr>
    </w:div>
    <w:div w:id="1591235179">
      <w:bodyDiv w:val="1"/>
      <w:marLeft w:val="0"/>
      <w:marRight w:val="0"/>
      <w:marTop w:val="0"/>
      <w:marBottom w:val="0"/>
      <w:divBdr>
        <w:top w:val="none" w:sz="0" w:space="0" w:color="auto"/>
        <w:left w:val="none" w:sz="0" w:space="0" w:color="auto"/>
        <w:bottom w:val="none" w:sz="0" w:space="0" w:color="auto"/>
        <w:right w:val="none" w:sz="0" w:space="0" w:color="auto"/>
      </w:divBdr>
    </w:div>
    <w:div w:id="1591304820">
      <w:bodyDiv w:val="1"/>
      <w:marLeft w:val="0"/>
      <w:marRight w:val="0"/>
      <w:marTop w:val="0"/>
      <w:marBottom w:val="0"/>
      <w:divBdr>
        <w:top w:val="none" w:sz="0" w:space="0" w:color="auto"/>
        <w:left w:val="none" w:sz="0" w:space="0" w:color="auto"/>
        <w:bottom w:val="none" w:sz="0" w:space="0" w:color="auto"/>
        <w:right w:val="none" w:sz="0" w:space="0" w:color="auto"/>
      </w:divBdr>
    </w:div>
    <w:div w:id="1591305106">
      <w:bodyDiv w:val="1"/>
      <w:marLeft w:val="0"/>
      <w:marRight w:val="0"/>
      <w:marTop w:val="0"/>
      <w:marBottom w:val="0"/>
      <w:divBdr>
        <w:top w:val="none" w:sz="0" w:space="0" w:color="auto"/>
        <w:left w:val="none" w:sz="0" w:space="0" w:color="auto"/>
        <w:bottom w:val="none" w:sz="0" w:space="0" w:color="auto"/>
        <w:right w:val="none" w:sz="0" w:space="0" w:color="auto"/>
      </w:divBdr>
    </w:div>
    <w:div w:id="1591308663">
      <w:bodyDiv w:val="1"/>
      <w:marLeft w:val="0"/>
      <w:marRight w:val="0"/>
      <w:marTop w:val="0"/>
      <w:marBottom w:val="0"/>
      <w:divBdr>
        <w:top w:val="none" w:sz="0" w:space="0" w:color="auto"/>
        <w:left w:val="none" w:sz="0" w:space="0" w:color="auto"/>
        <w:bottom w:val="none" w:sz="0" w:space="0" w:color="auto"/>
        <w:right w:val="none" w:sz="0" w:space="0" w:color="auto"/>
      </w:divBdr>
    </w:div>
    <w:div w:id="1591348548">
      <w:bodyDiv w:val="1"/>
      <w:marLeft w:val="0"/>
      <w:marRight w:val="0"/>
      <w:marTop w:val="0"/>
      <w:marBottom w:val="0"/>
      <w:divBdr>
        <w:top w:val="none" w:sz="0" w:space="0" w:color="auto"/>
        <w:left w:val="none" w:sz="0" w:space="0" w:color="auto"/>
        <w:bottom w:val="none" w:sz="0" w:space="0" w:color="auto"/>
        <w:right w:val="none" w:sz="0" w:space="0" w:color="auto"/>
      </w:divBdr>
    </w:div>
    <w:div w:id="1591349377">
      <w:bodyDiv w:val="1"/>
      <w:marLeft w:val="0"/>
      <w:marRight w:val="0"/>
      <w:marTop w:val="0"/>
      <w:marBottom w:val="0"/>
      <w:divBdr>
        <w:top w:val="none" w:sz="0" w:space="0" w:color="auto"/>
        <w:left w:val="none" w:sz="0" w:space="0" w:color="auto"/>
        <w:bottom w:val="none" w:sz="0" w:space="0" w:color="auto"/>
        <w:right w:val="none" w:sz="0" w:space="0" w:color="auto"/>
      </w:divBdr>
    </w:div>
    <w:div w:id="1591349901">
      <w:bodyDiv w:val="1"/>
      <w:marLeft w:val="0"/>
      <w:marRight w:val="0"/>
      <w:marTop w:val="0"/>
      <w:marBottom w:val="0"/>
      <w:divBdr>
        <w:top w:val="none" w:sz="0" w:space="0" w:color="auto"/>
        <w:left w:val="none" w:sz="0" w:space="0" w:color="auto"/>
        <w:bottom w:val="none" w:sz="0" w:space="0" w:color="auto"/>
        <w:right w:val="none" w:sz="0" w:space="0" w:color="auto"/>
      </w:divBdr>
    </w:div>
    <w:div w:id="1591355105">
      <w:bodyDiv w:val="1"/>
      <w:marLeft w:val="0"/>
      <w:marRight w:val="0"/>
      <w:marTop w:val="0"/>
      <w:marBottom w:val="0"/>
      <w:divBdr>
        <w:top w:val="none" w:sz="0" w:space="0" w:color="auto"/>
        <w:left w:val="none" w:sz="0" w:space="0" w:color="auto"/>
        <w:bottom w:val="none" w:sz="0" w:space="0" w:color="auto"/>
        <w:right w:val="none" w:sz="0" w:space="0" w:color="auto"/>
      </w:divBdr>
    </w:div>
    <w:div w:id="1591428062">
      <w:bodyDiv w:val="1"/>
      <w:marLeft w:val="0"/>
      <w:marRight w:val="0"/>
      <w:marTop w:val="0"/>
      <w:marBottom w:val="0"/>
      <w:divBdr>
        <w:top w:val="none" w:sz="0" w:space="0" w:color="auto"/>
        <w:left w:val="none" w:sz="0" w:space="0" w:color="auto"/>
        <w:bottom w:val="none" w:sz="0" w:space="0" w:color="auto"/>
        <w:right w:val="none" w:sz="0" w:space="0" w:color="auto"/>
      </w:divBdr>
    </w:div>
    <w:div w:id="1591428238">
      <w:bodyDiv w:val="1"/>
      <w:marLeft w:val="0"/>
      <w:marRight w:val="0"/>
      <w:marTop w:val="0"/>
      <w:marBottom w:val="0"/>
      <w:divBdr>
        <w:top w:val="none" w:sz="0" w:space="0" w:color="auto"/>
        <w:left w:val="none" w:sz="0" w:space="0" w:color="auto"/>
        <w:bottom w:val="none" w:sz="0" w:space="0" w:color="auto"/>
        <w:right w:val="none" w:sz="0" w:space="0" w:color="auto"/>
      </w:divBdr>
    </w:div>
    <w:div w:id="1591506104">
      <w:bodyDiv w:val="1"/>
      <w:marLeft w:val="0"/>
      <w:marRight w:val="0"/>
      <w:marTop w:val="0"/>
      <w:marBottom w:val="0"/>
      <w:divBdr>
        <w:top w:val="none" w:sz="0" w:space="0" w:color="auto"/>
        <w:left w:val="none" w:sz="0" w:space="0" w:color="auto"/>
        <w:bottom w:val="none" w:sz="0" w:space="0" w:color="auto"/>
        <w:right w:val="none" w:sz="0" w:space="0" w:color="auto"/>
      </w:divBdr>
    </w:div>
    <w:div w:id="1591546457">
      <w:bodyDiv w:val="1"/>
      <w:marLeft w:val="0"/>
      <w:marRight w:val="0"/>
      <w:marTop w:val="0"/>
      <w:marBottom w:val="0"/>
      <w:divBdr>
        <w:top w:val="none" w:sz="0" w:space="0" w:color="auto"/>
        <w:left w:val="none" w:sz="0" w:space="0" w:color="auto"/>
        <w:bottom w:val="none" w:sz="0" w:space="0" w:color="auto"/>
        <w:right w:val="none" w:sz="0" w:space="0" w:color="auto"/>
      </w:divBdr>
    </w:div>
    <w:div w:id="1591619799">
      <w:bodyDiv w:val="1"/>
      <w:marLeft w:val="0"/>
      <w:marRight w:val="0"/>
      <w:marTop w:val="0"/>
      <w:marBottom w:val="0"/>
      <w:divBdr>
        <w:top w:val="none" w:sz="0" w:space="0" w:color="auto"/>
        <w:left w:val="none" w:sz="0" w:space="0" w:color="auto"/>
        <w:bottom w:val="none" w:sz="0" w:space="0" w:color="auto"/>
        <w:right w:val="none" w:sz="0" w:space="0" w:color="auto"/>
      </w:divBdr>
    </w:div>
    <w:div w:id="1591622942">
      <w:bodyDiv w:val="1"/>
      <w:marLeft w:val="0"/>
      <w:marRight w:val="0"/>
      <w:marTop w:val="0"/>
      <w:marBottom w:val="0"/>
      <w:divBdr>
        <w:top w:val="none" w:sz="0" w:space="0" w:color="auto"/>
        <w:left w:val="none" w:sz="0" w:space="0" w:color="auto"/>
        <w:bottom w:val="none" w:sz="0" w:space="0" w:color="auto"/>
        <w:right w:val="none" w:sz="0" w:space="0" w:color="auto"/>
      </w:divBdr>
    </w:div>
    <w:div w:id="1591692572">
      <w:bodyDiv w:val="1"/>
      <w:marLeft w:val="0"/>
      <w:marRight w:val="0"/>
      <w:marTop w:val="0"/>
      <w:marBottom w:val="0"/>
      <w:divBdr>
        <w:top w:val="none" w:sz="0" w:space="0" w:color="auto"/>
        <w:left w:val="none" w:sz="0" w:space="0" w:color="auto"/>
        <w:bottom w:val="none" w:sz="0" w:space="0" w:color="auto"/>
        <w:right w:val="none" w:sz="0" w:space="0" w:color="auto"/>
      </w:divBdr>
    </w:div>
    <w:div w:id="1591740884">
      <w:bodyDiv w:val="1"/>
      <w:marLeft w:val="0"/>
      <w:marRight w:val="0"/>
      <w:marTop w:val="0"/>
      <w:marBottom w:val="0"/>
      <w:divBdr>
        <w:top w:val="none" w:sz="0" w:space="0" w:color="auto"/>
        <w:left w:val="none" w:sz="0" w:space="0" w:color="auto"/>
        <w:bottom w:val="none" w:sz="0" w:space="0" w:color="auto"/>
        <w:right w:val="none" w:sz="0" w:space="0" w:color="auto"/>
      </w:divBdr>
    </w:div>
    <w:div w:id="1591742245">
      <w:bodyDiv w:val="1"/>
      <w:marLeft w:val="0"/>
      <w:marRight w:val="0"/>
      <w:marTop w:val="0"/>
      <w:marBottom w:val="0"/>
      <w:divBdr>
        <w:top w:val="none" w:sz="0" w:space="0" w:color="auto"/>
        <w:left w:val="none" w:sz="0" w:space="0" w:color="auto"/>
        <w:bottom w:val="none" w:sz="0" w:space="0" w:color="auto"/>
        <w:right w:val="none" w:sz="0" w:space="0" w:color="auto"/>
      </w:divBdr>
    </w:div>
    <w:div w:id="1591809900">
      <w:bodyDiv w:val="1"/>
      <w:marLeft w:val="0"/>
      <w:marRight w:val="0"/>
      <w:marTop w:val="0"/>
      <w:marBottom w:val="0"/>
      <w:divBdr>
        <w:top w:val="none" w:sz="0" w:space="0" w:color="auto"/>
        <w:left w:val="none" w:sz="0" w:space="0" w:color="auto"/>
        <w:bottom w:val="none" w:sz="0" w:space="0" w:color="auto"/>
        <w:right w:val="none" w:sz="0" w:space="0" w:color="auto"/>
      </w:divBdr>
    </w:div>
    <w:div w:id="1591809959">
      <w:bodyDiv w:val="1"/>
      <w:marLeft w:val="0"/>
      <w:marRight w:val="0"/>
      <w:marTop w:val="0"/>
      <w:marBottom w:val="0"/>
      <w:divBdr>
        <w:top w:val="none" w:sz="0" w:space="0" w:color="auto"/>
        <w:left w:val="none" w:sz="0" w:space="0" w:color="auto"/>
        <w:bottom w:val="none" w:sz="0" w:space="0" w:color="auto"/>
        <w:right w:val="none" w:sz="0" w:space="0" w:color="auto"/>
      </w:divBdr>
    </w:div>
    <w:div w:id="1591813728">
      <w:bodyDiv w:val="1"/>
      <w:marLeft w:val="0"/>
      <w:marRight w:val="0"/>
      <w:marTop w:val="0"/>
      <w:marBottom w:val="0"/>
      <w:divBdr>
        <w:top w:val="none" w:sz="0" w:space="0" w:color="auto"/>
        <w:left w:val="none" w:sz="0" w:space="0" w:color="auto"/>
        <w:bottom w:val="none" w:sz="0" w:space="0" w:color="auto"/>
        <w:right w:val="none" w:sz="0" w:space="0" w:color="auto"/>
      </w:divBdr>
    </w:div>
    <w:div w:id="1591888285">
      <w:bodyDiv w:val="1"/>
      <w:marLeft w:val="0"/>
      <w:marRight w:val="0"/>
      <w:marTop w:val="0"/>
      <w:marBottom w:val="0"/>
      <w:divBdr>
        <w:top w:val="none" w:sz="0" w:space="0" w:color="auto"/>
        <w:left w:val="none" w:sz="0" w:space="0" w:color="auto"/>
        <w:bottom w:val="none" w:sz="0" w:space="0" w:color="auto"/>
        <w:right w:val="none" w:sz="0" w:space="0" w:color="auto"/>
      </w:divBdr>
    </w:div>
    <w:div w:id="1591889255">
      <w:bodyDiv w:val="1"/>
      <w:marLeft w:val="0"/>
      <w:marRight w:val="0"/>
      <w:marTop w:val="0"/>
      <w:marBottom w:val="0"/>
      <w:divBdr>
        <w:top w:val="none" w:sz="0" w:space="0" w:color="auto"/>
        <w:left w:val="none" w:sz="0" w:space="0" w:color="auto"/>
        <w:bottom w:val="none" w:sz="0" w:space="0" w:color="auto"/>
        <w:right w:val="none" w:sz="0" w:space="0" w:color="auto"/>
      </w:divBdr>
    </w:div>
    <w:div w:id="1591889673">
      <w:bodyDiv w:val="1"/>
      <w:marLeft w:val="0"/>
      <w:marRight w:val="0"/>
      <w:marTop w:val="0"/>
      <w:marBottom w:val="0"/>
      <w:divBdr>
        <w:top w:val="none" w:sz="0" w:space="0" w:color="auto"/>
        <w:left w:val="none" w:sz="0" w:space="0" w:color="auto"/>
        <w:bottom w:val="none" w:sz="0" w:space="0" w:color="auto"/>
        <w:right w:val="none" w:sz="0" w:space="0" w:color="auto"/>
      </w:divBdr>
    </w:div>
    <w:div w:id="1592080163">
      <w:bodyDiv w:val="1"/>
      <w:marLeft w:val="0"/>
      <w:marRight w:val="0"/>
      <w:marTop w:val="0"/>
      <w:marBottom w:val="0"/>
      <w:divBdr>
        <w:top w:val="none" w:sz="0" w:space="0" w:color="auto"/>
        <w:left w:val="none" w:sz="0" w:space="0" w:color="auto"/>
        <w:bottom w:val="none" w:sz="0" w:space="0" w:color="auto"/>
        <w:right w:val="none" w:sz="0" w:space="0" w:color="auto"/>
      </w:divBdr>
    </w:div>
    <w:div w:id="1592083860">
      <w:bodyDiv w:val="1"/>
      <w:marLeft w:val="0"/>
      <w:marRight w:val="0"/>
      <w:marTop w:val="0"/>
      <w:marBottom w:val="0"/>
      <w:divBdr>
        <w:top w:val="none" w:sz="0" w:space="0" w:color="auto"/>
        <w:left w:val="none" w:sz="0" w:space="0" w:color="auto"/>
        <w:bottom w:val="none" w:sz="0" w:space="0" w:color="auto"/>
        <w:right w:val="none" w:sz="0" w:space="0" w:color="auto"/>
      </w:divBdr>
    </w:div>
    <w:div w:id="1592086811">
      <w:bodyDiv w:val="1"/>
      <w:marLeft w:val="0"/>
      <w:marRight w:val="0"/>
      <w:marTop w:val="0"/>
      <w:marBottom w:val="0"/>
      <w:divBdr>
        <w:top w:val="none" w:sz="0" w:space="0" w:color="auto"/>
        <w:left w:val="none" w:sz="0" w:space="0" w:color="auto"/>
        <w:bottom w:val="none" w:sz="0" w:space="0" w:color="auto"/>
        <w:right w:val="none" w:sz="0" w:space="0" w:color="auto"/>
      </w:divBdr>
    </w:div>
    <w:div w:id="1592087517">
      <w:bodyDiv w:val="1"/>
      <w:marLeft w:val="0"/>
      <w:marRight w:val="0"/>
      <w:marTop w:val="0"/>
      <w:marBottom w:val="0"/>
      <w:divBdr>
        <w:top w:val="none" w:sz="0" w:space="0" w:color="auto"/>
        <w:left w:val="none" w:sz="0" w:space="0" w:color="auto"/>
        <w:bottom w:val="none" w:sz="0" w:space="0" w:color="auto"/>
        <w:right w:val="none" w:sz="0" w:space="0" w:color="auto"/>
      </w:divBdr>
    </w:div>
    <w:div w:id="1592197356">
      <w:bodyDiv w:val="1"/>
      <w:marLeft w:val="0"/>
      <w:marRight w:val="0"/>
      <w:marTop w:val="0"/>
      <w:marBottom w:val="0"/>
      <w:divBdr>
        <w:top w:val="none" w:sz="0" w:space="0" w:color="auto"/>
        <w:left w:val="none" w:sz="0" w:space="0" w:color="auto"/>
        <w:bottom w:val="none" w:sz="0" w:space="0" w:color="auto"/>
        <w:right w:val="none" w:sz="0" w:space="0" w:color="auto"/>
      </w:divBdr>
    </w:div>
    <w:div w:id="1592228974">
      <w:bodyDiv w:val="1"/>
      <w:marLeft w:val="0"/>
      <w:marRight w:val="0"/>
      <w:marTop w:val="0"/>
      <w:marBottom w:val="0"/>
      <w:divBdr>
        <w:top w:val="none" w:sz="0" w:space="0" w:color="auto"/>
        <w:left w:val="none" w:sz="0" w:space="0" w:color="auto"/>
        <w:bottom w:val="none" w:sz="0" w:space="0" w:color="auto"/>
        <w:right w:val="none" w:sz="0" w:space="0" w:color="auto"/>
      </w:divBdr>
    </w:div>
    <w:div w:id="1592275863">
      <w:bodyDiv w:val="1"/>
      <w:marLeft w:val="0"/>
      <w:marRight w:val="0"/>
      <w:marTop w:val="0"/>
      <w:marBottom w:val="0"/>
      <w:divBdr>
        <w:top w:val="none" w:sz="0" w:space="0" w:color="auto"/>
        <w:left w:val="none" w:sz="0" w:space="0" w:color="auto"/>
        <w:bottom w:val="none" w:sz="0" w:space="0" w:color="auto"/>
        <w:right w:val="none" w:sz="0" w:space="0" w:color="auto"/>
      </w:divBdr>
    </w:div>
    <w:div w:id="1592351268">
      <w:bodyDiv w:val="1"/>
      <w:marLeft w:val="0"/>
      <w:marRight w:val="0"/>
      <w:marTop w:val="0"/>
      <w:marBottom w:val="0"/>
      <w:divBdr>
        <w:top w:val="none" w:sz="0" w:space="0" w:color="auto"/>
        <w:left w:val="none" w:sz="0" w:space="0" w:color="auto"/>
        <w:bottom w:val="none" w:sz="0" w:space="0" w:color="auto"/>
        <w:right w:val="none" w:sz="0" w:space="0" w:color="auto"/>
      </w:divBdr>
    </w:div>
    <w:div w:id="1592354104">
      <w:bodyDiv w:val="1"/>
      <w:marLeft w:val="0"/>
      <w:marRight w:val="0"/>
      <w:marTop w:val="0"/>
      <w:marBottom w:val="0"/>
      <w:divBdr>
        <w:top w:val="none" w:sz="0" w:space="0" w:color="auto"/>
        <w:left w:val="none" w:sz="0" w:space="0" w:color="auto"/>
        <w:bottom w:val="none" w:sz="0" w:space="0" w:color="auto"/>
        <w:right w:val="none" w:sz="0" w:space="0" w:color="auto"/>
      </w:divBdr>
    </w:div>
    <w:div w:id="1592422585">
      <w:bodyDiv w:val="1"/>
      <w:marLeft w:val="0"/>
      <w:marRight w:val="0"/>
      <w:marTop w:val="0"/>
      <w:marBottom w:val="0"/>
      <w:divBdr>
        <w:top w:val="none" w:sz="0" w:space="0" w:color="auto"/>
        <w:left w:val="none" w:sz="0" w:space="0" w:color="auto"/>
        <w:bottom w:val="none" w:sz="0" w:space="0" w:color="auto"/>
        <w:right w:val="none" w:sz="0" w:space="0" w:color="auto"/>
      </w:divBdr>
    </w:div>
    <w:div w:id="1592541564">
      <w:bodyDiv w:val="1"/>
      <w:marLeft w:val="0"/>
      <w:marRight w:val="0"/>
      <w:marTop w:val="0"/>
      <w:marBottom w:val="0"/>
      <w:divBdr>
        <w:top w:val="none" w:sz="0" w:space="0" w:color="auto"/>
        <w:left w:val="none" w:sz="0" w:space="0" w:color="auto"/>
        <w:bottom w:val="none" w:sz="0" w:space="0" w:color="auto"/>
        <w:right w:val="none" w:sz="0" w:space="0" w:color="auto"/>
      </w:divBdr>
    </w:div>
    <w:div w:id="1592808818">
      <w:bodyDiv w:val="1"/>
      <w:marLeft w:val="0"/>
      <w:marRight w:val="0"/>
      <w:marTop w:val="0"/>
      <w:marBottom w:val="0"/>
      <w:divBdr>
        <w:top w:val="none" w:sz="0" w:space="0" w:color="auto"/>
        <w:left w:val="none" w:sz="0" w:space="0" w:color="auto"/>
        <w:bottom w:val="none" w:sz="0" w:space="0" w:color="auto"/>
        <w:right w:val="none" w:sz="0" w:space="0" w:color="auto"/>
      </w:divBdr>
    </w:div>
    <w:div w:id="1592812493">
      <w:bodyDiv w:val="1"/>
      <w:marLeft w:val="0"/>
      <w:marRight w:val="0"/>
      <w:marTop w:val="0"/>
      <w:marBottom w:val="0"/>
      <w:divBdr>
        <w:top w:val="none" w:sz="0" w:space="0" w:color="auto"/>
        <w:left w:val="none" w:sz="0" w:space="0" w:color="auto"/>
        <w:bottom w:val="none" w:sz="0" w:space="0" w:color="auto"/>
        <w:right w:val="none" w:sz="0" w:space="0" w:color="auto"/>
      </w:divBdr>
    </w:div>
    <w:div w:id="1592927526">
      <w:bodyDiv w:val="1"/>
      <w:marLeft w:val="0"/>
      <w:marRight w:val="0"/>
      <w:marTop w:val="0"/>
      <w:marBottom w:val="0"/>
      <w:divBdr>
        <w:top w:val="none" w:sz="0" w:space="0" w:color="auto"/>
        <w:left w:val="none" w:sz="0" w:space="0" w:color="auto"/>
        <w:bottom w:val="none" w:sz="0" w:space="0" w:color="auto"/>
        <w:right w:val="none" w:sz="0" w:space="0" w:color="auto"/>
      </w:divBdr>
    </w:div>
    <w:div w:id="1593050537">
      <w:bodyDiv w:val="1"/>
      <w:marLeft w:val="0"/>
      <w:marRight w:val="0"/>
      <w:marTop w:val="0"/>
      <w:marBottom w:val="0"/>
      <w:divBdr>
        <w:top w:val="none" w:sz="0" w:space="0" w:color="auto"/>
        <w:left w:val="none" w:sz="0" w:space="0" w:color="auto"/>
        <w:bottom w:val="none" w:sz="0" w:space="0" w:color="auto"/>
        <w:right w:val="none" w:sz="0" w:space="0" w:color="auto"/>
      </w:divBdr>
    </w:div>
    <w:div w:id="1593197021">
      <w:bodyDiv w:val="1"/>
      <w:marLeft w:val="0"/>
      <w:marRight w:val="0"/>
      <w:marTop w:val="0"/>
      <w:marBottom w:val="0"/>
      <w:divBdr>
        <w:top w:val="none" w:sz="0" w:space="0" w:color="auto"/>
        <w:left w:val="none" w:sz="0" w:space="0" w:color="auto"/>
        <w:bottom w:val="none" w:sz="0" w:space="0" w:color="auto"/>
        <w:right w:val="none" w:sz="0" w:space="0" w:color="auto"/>
      </w:divBdr>
    </w:div>
    <w:div w:id="1593197719">
      <w:bodyDiv w:val="1"/>
      <w:marLeft w:val="0"/>
      <w:marRight w:val="0"/>
      <w:marTop w:val="0"/>
      <w:marBottom w:val="0"/>
      <w:divBdr>
        <w:top w:val="none" w:sz="0" w:space="0" w:color="auto"/>
        <w:left w:val="none" w:sz="0" w:space="0" w:color="auto"/>
        <w:bottom w:val="none" w:sz="0" w:space="0" w:color="auto"/>
        <w:right w:val="none" w:sz="0" w:space="0" w:color="auto"/>
      </w:divBdr>
    </w:div>
    <w:div w:id="1593201521">
      <w:bodyDiv w:val="1"/>
      <w:marLeft w:val="0"/>
      <w:marRight w:val="0"/>
      <w:marTop w:val="0"/>
      <w:marBottom w:val="0"/>
      <w:divBdr>
        <w:top w:val="none" w:sz="0" w:space="0" w:color="auto"/>
        <w:left w:val="none" w:sz="0" w:space="0" w:color="auto"/>
        <w:bottom w:val="none" w:sz="0" w:space="0" w:color="auto"/>
        <w:right w:val="none" w:sz="0" w:space="0" w:color="auto"/>
      </w:divBdr>
    </w:div>
    <w:div w:id="1593202887">
      <w:bodyDiv w:val="1"/>
      <w:marLeft w:val="0"/>
      <w:marRight w:val="0"/>
      <w:marTop w:val="0"/>
      <w:marBottom w:val="0"/>
      <w:divBdr>
        <w:top w:val="none" w:sz="0" w:space="0" w:color="auto"/>
        <w:left w:val="none" w:sz="0" w:space="0" w:color="auto"/>
        <w:bottom w:val="none" w:sz="0" w:space="0" w:color="auto"/>
        <w:right w:val="none" w:sz="0" w:space="0" w:color="auto"/>
      </w:divBdr>
    </w:div>
    <w:div w:id="1593467956">
      <w:bodyDiv w:val="1"/>
      <w:marLeft w:val="0"/>
      <w:marRight w:val="0"/>
      <w:marTop w:val="0"/>
      <w:marBottom w:val="0"/>
      <w:divBdr>
        <w:top w:val="none" w:sz="0" w:space="0" w:color="auto"/>
        <w:left w:val="none" w:sz="0" w:space="0" w:color="auto"/>
        <w:bottom w:val="none" w:sz="0" w:space="0" w:color="auto"/>
        <w:right w:val="none" w:sz="0" w:space="0" w:color="auto"/>
      </w:divBdr>
    </w:div>
    <w:div w:id="1593507968">
      <w:bodyDiv w:val="1"/>
      <w:marLeft w:val="0"/>
      <w:marRight w:val="0"/>
      <w:marTop w:val="0"/>
      <w:marBottom w:val="0"/>
      <w:divBdr>
        <w:top w:val="none" w:sz="0" w:space="0" w:color="auto"/>
        <w:left w:val="none" w:sz="0" w:space="0" w:color="auto"/>
        <w:bottom w:val="none" w:sz="0" w:space="0" w:color="auto"/>
        <w:right w:val="none" w:sz="0" w:space="0" w:color="auto"/>
      </w:divBdr>
    </w:div>
    <w:div w:id="1593509596">
      <w:bodyDiv w:val="1"/>
      <w:marLeft w:val="0"/>
      <w:marRight w:val="0"/>
      <w:marTop w:val="0"/>
      <w:marBottom w:val="0"/>
      <w:divBdr>
        <w:top w:val="none" w:sz="0" w:space="0" w:color="auto"/>
        <w:left w:val="none" w:sz="0" w:space="0" w:color="auto"/>
        <w:bottom w:val="none" w:sz="0" w:space="0" w:color="auto"/>
        <w:right w:val="none" w:sz="0" w:space="0" w:color="auto"/>
      </w:divBdr>
    </w:div>
    <w:div w:id="1593514157">
      <w:bodyDiv w:val="1"/>
      <w:marLeft w:val="0"/>
      <w:marRight w:val="0"/>
      <w:marTop w:val="0"/>
      <w:marBottom w:val="0"/>
      <w:divBdr>
        <w:top w:val="none" w:sz="0" w:space="0" w:color="auto"/>
        <w:left w:val="none" w:sz="0" w:space="0" w:color="auto"/>
        <w:bottom w:val="none" w:sz="0" w:space="0" w:color="auto"/>
        <w:right w:val="none" w:sz="0" w:space="0" w:color="auto"/>
      </w:divBdr>
    </w:div>
    <w:div w:id="1593657679">
      <w:bodyDiv w:val="1"/>
      <w:marLeft w:val="0"/>
      <w:marRight w:val="0"/>
      <w:marTop w:val="0"/>
      <w:marBottom w:val="0"/>
      <w:divBdr>
        <w:top w:val="none" w:sz="0" w:space="0" w:color="auto"/>
        <w:left w:val="none" w:sz="0" w:space="0" w:color="auto"/>
        <w:bottom w:val="none" w:sz="0" w:space="0" w:color="auto"/>
        <w:right w:val="none" w:sz="0" w:space="0" w:color="auto"/>
      </w:divBdr>
    </w:div>
    <w:div w:id="1593660559">
      <w:bodyDiv w:val="1"/>
      <w:marLeft w:val="0"/>
      <w:marRight w:val="0"/>
      <w:marTop w:val="0"/>
      <w:marBottom w:val="0"/>
      <w:divBdr>
        <w:top w:val="none" w:sz="0" w:space="0" w:color="auto"/>
        <w:left w:val="none" w:sz="0" w:space="0" w:color="auto"/>
        <w:bottom w:val="none" w:sz="0" w:space="0" w:color="auto"/>
        <w:right w:val="none" w:sz="0" w:space="0" w:color="auto"/>
      </w:divBdr>
    </w:div>
    <w:div w:id="1593707266">
      <w:bodyDiv w:val="1"/>
      <w:marLeft w:val="0"/>
      <w:marRight w:val="0"/>
      <w:marTop w:val="0"/>
      <w:marBottom w:val="0"/>
      <w:divBdr>
        <w:top w:val="none" w:sz="0" w:space="0" w:color="auto"/>
        <w:left w:val="none" w:sz="0" w:space="0" w:color="auto"/>
        <w:bottom w:val="none" w:sz="0" w:space="0" w:color="auto"/>
        <w:right w:val="none" w:sz="0" w:space="0" w:color="auto"/>
      </w:divBdr>
    </w:div>
    <w:div w:id="1593708570">
      <w:bodyDiv w:val="1"/>
      <w:marLeft w:val="0"/>
      <w:marRight w:val="0"/>
      <w:marTop w:val="0"/>
      <w:marBottom w:val="0"/>
      <w:divBdr>
        <w:top w:val="none" w:sz="0" w:space="0" w:color="auto"/>
        <w:left w:val="none" w:sz="0" w:space="0" w:color="auto"/>
        <w:bottom w:val="none" w:sz="0" w:space="0" w:color="auto"/>
        <w:right w:val="none" w:sz="0" w:space="0" w:color="auto"/>
      </w:divBdr>
    </w:div>
    <w:div w:id="1593851328">
      <w:bodyDiv w:val="1"/>
      <w:marLeft w:val="0"/>
      <w:marRight w:val="0"/>
      <w:marTop w:val="0"/>
      <w:marBottom w:val="0"/>
      <w:divBdr>
        <w:top w:val="none" w:sz="0" w:space="0" w:color="auto"/>
        <w:left w:val="none" w:sz="0" w:space="0" w:color="auto"/>
        <w:bottom w:val="none" w:sz="0" w:space="0" w:color="auto"/>
        <w:right w:val="none" w:sz="0" w:space="0" w:color="auto"/>
      </w:divBdr>
    </w:div>
    <w:div w:id="1593857858">
      <w:bodyDiv w:val="1"/>
      <w:marLeft w:val="0"/>
      <w:marRight w:val="0"/>
      <w:marTop w:val="0"/>
      <w:marBottom w:val="0"/>
      <w:divBdr>
        <w:top w:val="none" w:sz="0" w:space="0" w:color="auto"/>
        <w:left w:val="none" w:sz="0" w:space="0" w:color="auto"/>
        <w:bottom w:val="none" w:sz="0" w:space="0" w:color="auto"/>
        <w:right w:val="none" w:sz="0" w:space="0" w:color="auto"/>
      </w:divBdr>
    </w:div>
    <w:div w:id="1593859945">
      <w:bodyDiv w:val="1"/>
      <w:marLeft w:val="0"/>
      <w:marRight w:val="0"/>
      <w:marTop w:val="0"/>
      <w:marBottom w:val="0"/>
      <w:divBdr>
        <w:top w:val="none" w:sz="0" w:space="0" w:color="auto"/>
        <w:left w:val="none" w:sz="0" w:space="0" w:color="auto"/>
        <w:bottom w:val="none" w:sz="0" w:space="0" w:color="auto"/>
        <w:right w:val="none" w:sz="0" w:space="0" w:color="auto"/>
      </w:divBdr>
    </w:div>
    <w:div w:id="1593926645">
      <w:bodyDiv w:val="1"/>
      <w:marLeft w:val="0"/>
      <w:marRight w:val="0"/>
      <w:marTop w:val="0"/>
      <w:marBottom w:val="0"/>
      <w:divBdr>
        <w:top w:val="none" w:sz="0" w:space="0" w:color="auto"/>
        <w:left w:val="none" w:sz="0" w:space="0" w:color="auto"/>
        <w:bottom w:val="none" w:sz="0" w:space="0" w:color="auto"/>
        <w:right w:val="none" w:sz="0" w:space="0" w:color="auto"/>
      </w:divBdr>
    </w:div>
    <w:div w:id="1593971118">
      <w:bodyDiv w:val="1"/>
      <w:marLeft w:val="0"/>
      <w:marRight w:val="0"/>
      <w:marTop w:val="0"/>
      <w:marBottom w:val="0"/>
      <w:divBdr>
        <w:top w:val="none" w:sz="0" w:space="0" w:color="auto"/>
        <w:left w:val="none" w:sz="0" w:space="0" w:color="auto"/>
        <w:bottom w:val="none" w:sz="0" w:space="0" w:color="auto"/>
        <w:right w:val="none" w:sz="0" w:space="0" w:color="auto"/>
      </w:divBdr>
    </w:div>
    <w:div w:id="1593977013">
      <w:bodyDiv w:val="1"/>
      <w:marLeft w:val="0"/>
      <w:marRight w:val="0"/>
      <w:marTop w:val="0"/>
      <w:marBottom w:val="0"/>
      <w:divBdr>
        <w:top w:val="none" w:sz="0" w:space="0" w:color="auto"/>
        <w:left w:val="none" w:sz="0" w:space="0" w:color="auto"/>
        <w:bottom w:val="none" w:sz="0" w:space="0" w:color="auto"/>
        <w:right w:val="none" w:sz="0" w:space="0" w:color="auto"/>
      </w:divBdr>
    </w:div>
    <w:div w:id="1594046043">
      <w:bodyDiv w:val="1"/>
      <w:marLeft w:val="0"/>
      <w:marRight w:val="0"/>
      <w:marTop w:val="0"/>
      <w:marBottom w:val="0"/>
      <w:divBdr>
        <w:top w:val="none" w:sz="0" w:space="0" w:color="auto"/>
        <w:left w:val="none" w:sz="0" w:space="0" w:color="auto"/>
        <w:bottom w:val="none" w:sz="0" w:space="0" w:color="auto"/>
        <w:right w:val="none" w:sz="0" w:space="0" w:color="auto"/>
      </w:divBdr>
    </w:div>
    <w:div w:id="1594120200">
      <w:bodyDiv w:val="1"/>
      <w:marLeft w:val="0"/>
      <w:marRight w:val="0"/>
      <w:marTop w:val="0"/>
      <w:marBottom w:val="0"/>
      <w:divBdr>
        <w:top w:val="none" w:sz="0" w:space="0" w:color="auto"/>
        <w:left w:val="none" w:sz="0" w:space="0" w:color="auto"/>
        <w:bottom w:val="none" w:sz="0" w:space="0" w:color="auto"/>
        <w:right w:val="none" w:sz="0" w:space="0" w:color="auto"/>
      </w:divBdr>
    </w:div>
    <w:div w:id="1594164195">
      <w:bodyDiv w:val="1"/>
      <w:marLeft w:val="0"/>
      <w:marRight w:val="0"/>
      <w:marTop w:val="0"/>
      <w:marBottom w:val="0"/>
      <w:divBdr>
        <w:top w:val="none" w:sz="0" w:space="0" w:color="auto"/>
        <w:left w:val="none" w:sz="0" w:space="0" w:color="auto"/>
        <w:bottom w:val="none" w:sz="0" w:space="0" w:color="auto"/>
        <w:right w:val="none" w:sz="0" w:space="0" w:color="auto"/>
      </w:divBdr>
    </w:div>
    <w:div w:id="1594239581">
      <w:bodyDiv w:val="1"/>
      <w:marLeft w:val="0"/>
      <w:marRight w:val="0"/>
      <w:marTop w:val="0"/>
      <w:marBottom w:val="0"/>
      <w:divBdr>
        <w:top w:val="none" w:sz="0" w:space="0" w:color="auto"/>
        <w:left w:val="none" w:sz="0" w:space="0" w:color="auto"/>
        <w:bottom w:val="none" w:sz="0" w:space="0" w:color="auto"/>
        <w:right w:val="none" w:sz="0" w:space="0" w:color="auto"/>
      </w:divBdr>
    </w:div>
    <w:div w:id="1594388151">
      <w:bodyDiv w:val="1"/>
      <w:marLeft w:val="0"/>
      <w:marRight w:val="0"/>
      <w:marTop w:val="0"/>
      <w:marBottom w:val="0"/>
      <w:divBdr>
        <w:top w:val="none" w:sz="0" w:space="0" w:color="auto"/>
        <w:left w:val="none" w:sz="0" w:space="0" w:color="auto"/>
        <w:bottom w:val="none" w:sz="0" w:space="0" w:color="auto"/>
        <w:right w:val="none" w:sz="0" w:space="0" w:color="auto"/>
      </w:divBdr>
    </w:div>
    <w:div w:id="1594391031">
      <w:bodyDiv w:val="1"/>
      <w:marLeft w:val="0"/>
      <w:marRight w:val="0"/>
      <w:marTop w:val="0"/>
      <w:marBottom w:val="0"/>
      <w:divBdr>
        <w:top w:val="none" w:sz="0" w:space="0" w:color="auto"/>
        <w:left w:val="none" w:sz="0" w:space="0" w:color="auto"/>
        <w:bottom w:val="none" w:sz="0" w:space="0" w:color="auto"/>
        <w:right w:val="none" w:sz="0" w:space="0" w:color="auto"/>
      </w:divBdr>
    </w:div>
    <w:div w:id="1594506539">
      <w:bodyDiv w:val="1"/>
      <w:marLeft w:val="0"/>
      <w:marRight w:val="0"/>
      <w:marTop w:val="0"/>
      <w:marBottom w:val="0"/>
      <w:divBdr>
        <w:top w:val="none" w:sz="0" w:space="0" w:color="auto"/>
        <w:left w:val="none" w:sz="0" w:space="0" w:color="auto"/>
        <w:bottom w:val="none" w:sz="0" w:space="0" w:color="auto"/>
        <w:right w:val="none" w:sz="0" w:space="0" w:color="auto"/>
      </w:divBdr>
    </w:div>
    <w:div w:id="1594558009">
      <w:bodyDiv w:val="1"/>
      <w:marLeft w:val="0"/>
      <w:marRight w:val="0"/>
      <w:marTop w:val="0"/>
      <w:marBottom w:val="0"/>
      <w:divBdr>
        <w:top w:val="none" w:sz="0" w:space="0" w:color="auto"/>
        <w:left w:val="none" w:sz="0" w:space="0" w:color="auto"/>
        <w:bottom w:val="none" w:sz="0" w:space="0" w:color="auto"/>
        <w:right w:val="none" w:sz="0" w:space="0" w:color="auto"/>
      </w:divBdr>
    </w:div>
    <w:div w:id="1594582896">
      <w:bodyDiv w:val="1"/>
      <w:marLeft w:val="0"/>
      <w:marRight w:val="0"/>
      <w:marTop w:val="0"/>
      <w:marBottom w:val="0"/>
      <w:divBdr>
        <w:top w:val="none" w:sz="0" w:space="0" w:color="auto"/>
        <w:left w:val="none" w:sz="0" w:space="0" w:color="auto"/>
        <w:bottom w:val="none" w:sz="0" w:space="0" w:color="auto"/>
        <w:right w:val="none" w:sz="0" w:space="0" w:color="auto"/>
      </w:divBdr>
    </w:div>
    <w:div w:id="1594625256">
      <w:bodyDiv w:val="1"/>
      <w:marLeft w:val="0"/>
      <w:marRight w:val="0"/>
      <w:marTop w:val="0"/>
      <w:marBottom w:val="0"/>
      <w:divBdr>
        <w:top w:val="none" w:sz="0" w:space="0" w:color="auto"/>
        <w:left w:val="none" w:sz="0" w:space="0" w:color="auto"/>
        <w:bottom w:val="none" w:sz="0" w:space="0" w:color="auto"/>
        <w:right w:val="none" w:sz="0" w:space="0" w:color="auto"/>
      </w:divBdr>
    </w:div>
    <w:div w:id="1594699351">
      <w:bodyDiv w:val="1"/>
      <w:marLeft w:val="0"/>
      <w:marRight w:val="0"/>
      <w:marTop w:val="0"/>
      <w:marBottom w:val="0"/>
      <w:divBdr>
        <w:top w:val="none" w:sz="0" w:space="0" w:color="auto"/>
        <w:left w:val="none" w:sz="0" w:space="0" w:color="auto"/>
        <w:bottom w:val="none" w:sz="0" w:space="0" w:color="auto"/>
        <w:right w:val="none" w:sz="0" w:space="0" w:color="auto"/>
      </w:divBdr>
    </w:div>
    <w:div w:id="1594701215">
      <w:bodyDiv w:val="1"/>
      <w:marLeft w:val="0"/>
      <w:marRight w:val="0"/>
      <w:marTop w:val="0"/>
      <w:marBottom w:val="0"/>
      <w:divBdr>
        <w:top w:val="none" w:sz="0" w:space="0" w:color="auto"/>
        <w:left w:val="none" w:sz="0" w:space="0" w:color="auto"/>
        <w:bottom w:val="none" w:sz="0" w:space="0" w:color="auto"/>
        <w:right w:val="none" w:sz="0" w:space="0" w:color="auto"/>
      </w:divBdr>
    </w:div>
    <w:div w:id="1594777553">
      <w:bodyDiv w:val="1"/>
      <w:marLeft w:val="0"/>
      <w:marRight w:val="0"/>
      <w:marTop w:val="0"/>
      <w:marBottom w:val="0"/>
      <w:divBdr>
        <w:top w:val="none" w:sz="0" w:space="0" w:color="auto"/>
        <w:left w:val="none" w:sz="0" w:space="0" w:color="auto"/>
        <w:bottom w:val="none" w:sz="0" w:space="0" w:color="auto"/>
        <w:right w:val="none" w:sz="0" w:space="0" w:color="auto"/>
      </w:divBdr>
    </w:div>
    <w:div w:id="1594850392">
      <w:bodyDiv w:val="1"/>
      <w:marLeft w:val="0"/>
      <w:marRight w:val="0"/>
      <w:marTop w:val="0"/>
      <w:marBottom w:val="0"/>
      <w:divBdr>
        <w:top w:val="none" w:sz="0" w:space="0" w:color="auto"/>
        <w:left w:val="none" w:sz="0" w:space="0" w:color="auto"/>
        <w:bottom w:val="none" w:sz="0" w:space="0" w:color="auto"/>
        <w:right w:val="none" w:sz="0" w:space="0" w:color="auto"/>
      </w:divBdr>
    </w:div>
    <w:div w:id="1595019577">
      <w:bodyDiv w:val="1"/>
      <w:marLeft w:val="0"/>
      <w:marRight w:val="0"/>
      <w:marTop w:val="0"/>
      <w:marBottom w:val="0"/>
      <w:divBdr>
        <w:top w:val="none" w:sz="0" w:space="0" w:color="auto"/>
        <w:left w:val="none" w:sz="0" w:space="0" w:color="auto"/>
        <w:bottom w:val="none" w:sz="0" w:space="0" w:color="auto"/>
        <w:right w:val="none" w:sz="0" w:space="0" w:color="auto"/>
      </w:divBdr>
    </w:div>
    <w:div w:id="1595047579">
      <w:bodyDiv w:val="1"/>
      <w:marLeft w:val="0"/>
      <w:marRight w:val="0"/>
      <w:marTop w:val="0"/>
      <w:marBottom w:val="0"/>
      <w:divBdr>
        <w:top w:val="none" w:sz="0" w:space="0" w:color="auto"/>
        <w:left w:val="none" w:sz="0" w:space="0" w:color="auto"/>
        <w:bottom w:val="none" w:sz="0" w:space="0" w:color="auto"/>
        <w:right w:val="none" w:sz="0" w:space="0" w:color="auto"/>
      </w:divBdr>
    </w:div>
    <w:div w:id="1595086990">
      <w:bodyDiv w:val="1"/>
      <w:marLeft w:val="0"/>
      <w:marRight w:val="0"/>
      <w:marTop w:val="0"/>
      <w:marBottom w:val="0"/>
      <w:divBdr>
        <w:top w:val="none" w:sz="0" w:space="0" w:color="auto"/>
        <w:left w:val="none" w:sz="0" w:space="0" w:color="auto"/>
        <w:bottom w:val="none" w:sz="0" w:space="0" w:color="auto"/>
        <w:right w:val="none" w:sz="0" w:space="0" w:color="auto"/>
      </w:divBdr>
    </w:div>
    <w:div w:id="1595165804">
      <w:bodyDiv w:val="1"/>
      <w:marLeft w:val="0"/>
      <w:marRight w:val="0"/>
      <w:marTop w:val="0"/>
      <w:marBottom w:val="0"/>
      <w:divBdr>
        <w:top w:val="none" w:sz="0" w:space="0" w:color="auto"/>
        <w:left w:val="none" w:sz="0" w:space="0" w:color="auto"/>
        <w:bottom w:val="none" w:sz="0" w:space="0" w:color="auto"/>
        <w:right w:val="none" w:sz="0" w:space="0" w:color="auto"/>
      </w:divBdr>
    </w:div>
    <w:div w:id="1595237693">
      <w:bodyDiv w:val="1"/>
      <w:marLeft w:val="0"/>
      <w:marRight w:val="0"/>
      <w:marTop w:val="0"/>
      <w:marBottom w:val="0"/>
      <w:divBdr>
        <w:top w:val="none" w:sz="0" w:space="0" w:color="auto"/>
        <w:left w:val="none" w:sz="0" w:space="0" w:color="auto"/>
        <w:bottom w:val="none" w:sz="0" w:space="0" w:color="auto"/>
        <w:right w:val="none" w:sz="0" w:space="0" w:color="auto"/>
      </w:divBdr>
    </w:div>
    <w:div w:id="1595477658">
      <w:bodyDiv w:val="1"/>
      <w:marLeft w:val="0"/>
      <w:marRight w:val="0"/>
      <w:marTop w:val="0"/>
      <w:marBottom w:val="0"/>
      <w:divBdr>
        <w:top w:val="none" w:sz="0" w:space="0" w:color="auto"/>
        <w:left w:val="none" w:sz="0" w:space="0" w:color="auto"/>
        <w:bottom w:val="none" w:sz="0" w:space="0" w:color="auto"/>
        <w:right w:val="none" w:sz="0" w:space="0" w:color="auto"/>
      </w:divBdr>
    </w:div>
    <w:div w:id="1595480219">
      <w:bodyDiv w:val="1"/>
      <w:marLeft w:val="0"/>
      <w:marRight w:val="0"/>
      <w:marTop w:val="0"/>
      <w:marBottom w:val="0"/>
      <w:divBdr>
        <w:top w:val="none" w:sz="0" w:space="0" w:color="auto"/>
        <w:left w:val="none" w:sz="0" w:space="0" w:color="auto"/>
        <w:bottom w:val="none" w:sz="0" w:space="0" w:color="auto"/>
        <w:right w:val="none" w:sz="0" w:space="0" w:color="auto"/>
      </w:divBdr>
    </w:div>
    <w:div w:id="1595551440">
      <w:bodyDiv w:val="1"/>
      <w:marLeft w:val="0"/>
      <w:marRight w:val="0"/>
      <w:marTop w:val="0"/>
      <w:marBottom w:val="0"/>
      <w:divBdr>
        <w:top w:val="none" w:sz="0" w:space="0" w:color="auto"/>
        <w:left w:val="none" w:sz="0" w:space="0" w:color="auto"/>
        <w:bottom w:val="none" w:sz="0" w:space="0" w:color="auto"/>
        <w:right w:val="none" w:sz="0" w:space="0" w:color="auto"/>
      </w:divBdr>
    </w:div>
    <w:div w:id="1595624249">
      <w:bodyDiv w:val="1"/>
      <w:marLeft w:val="0"/>
      <w:marRight w:val="0"/>
      <w:marTop w:val="0"/>
      <w:marBottom w:val="0"/>
      <w:divBdr>
        <w:top w:val="none" w:sz="0" w:space="0" w:color="auto"/>
        <w:left w:val="none" w:sz="0" w:space="0" w:color="auto"/>
        <w:bottom w:val="none" w:sz="0" w:space="0" w:color="auto"/>
        <w:right w:val="none" w:sz="0" w:space="0" w:color="auto"/>
      </w:divBdr>
    </w:div>
    <w:div w:id="1595629409">
      <w:bodyDiv w:val="1"/>
      <w:marLeft w:val="0"/>
      <w:marRight w:val="0"/>
      <w:marTop w:val="0"/>
      <w:marBottom w:val="0"/>
      <w:divBdr>
        <w:top w:val="none" w:sz="0" w:space="0" w:color="auto"/>
        <w:left w:val="none" w:sz="0" w:space="0" w:color="auto"/>
        <w:bottom w:val="none" w:sz="0" w:space="0" w:color="auto"/>
        <w:right w:val="none" w:sz="0" w:space="0" w:color="auto"/>
      </w:divBdr>
    </w:div>
    <w:div w:id="1595824536">
      <w:bodyDiv w:val="1"/>
      <w:marLeft w:val="0"/>
      <w:marRight w:val="0"/>
      <w:marTop w:val="0"/>
      <w:marBottom w:val="0"/>
      <w:divBdr>
        <w:top w:val="none" w:sz="0" w:space="0" w:color="auto"/>
        <w:left w:val="none" w:sz="0" w:space="0" w:color="auto"/>
        <w:bottom w:val="none" w:sz="0" w:space="0" w:color="auto"/>
        <w:right w:val="none" w:sz="0" w:space="0" w:color="auto"/>
      </w:divBdr>
    </w:div>
    <w:div w:id="1595895587">
      <w:bodyDiv w:val="1"/>
      <w:marLeft w:val="0"/>
      <w:marRight w:val="0"/>
      <w:marTop w:val="0"/>
      <w:marBottom w:val="0"/>
      <w:divBdr>
        <w:top w:val="none" w:sz="0" w:space="0" w:color="auto"/>
        <w:left w:val="none" w:sz="0" w:space="0" w:color="auto"/>
        <w:bottom w:val="none" w:sz="0" w:space="0" w:color="auto"/>
        <w:right w:val="none" w:sz="0" w:space="0" w:color="auto"/>
      </w:divBdr>
    </w:div>
    <w:div w:id="1595942677">
      <w:bodyDiv w:val="1"/>
      <w:marLeft w:val="0"/>
      <w:marRight w:val="0"/>
      <w:marTop w:val="0"/>
      <w:marBottom w:val="0"/>
      <w:divBdr>
        <w:top w:val="none" w:sz="0" w:space="0" w:color="auto"/>
        <w:left w:val="none" w:sz="0" w:space="0" w:color="auto"/>
        <w:bottom w:val="none" w:sz="0" w:space="0" w:color="auto"/>
        <w:right w:val="none" w:sz="0" w:space="0" w:color="auto"/>
      </w:divBdr>
    </w:div>
    <w:div w:id="1596016583">
      <w:bodyDiv w:val="1"/>
      <w:marLeft w:val="0"/>
      <w:marRight w:val="0"/>
      <w:marTop w:val="0"/>
      <w:marBottom w:val="0"/>
      <w:divBdr>
        <w:top w:val="none" w:sz="0" w:space="0" w:color="auto"/>
        <w:left w:val="none" w:sz="0" w:space="0" w:color="auto"/>
        <w:bottom w:val="none" w:sz="0" w:space="0" w:color="auto"/>
        <w:right w:val="none" w:sz="0" w:space="0" w:color="auto"/>
      </w:divBdr>
    </w:div>
    <w:div w:id="1596280677">
      <w:bodyDiv w:val="1"/>
      <w:marLeft w:val="0"/>
      <w:marRight w:val="0"/>
      <w:marTop w:val="0"/>
      <w:marBottom w:val="0"/>
      <w:divBdr>
        <w:top w:val="none" w:sz="0" w:space="0" w:color="auto"/>
        <w:left w:val="none" w:sz="0" w:space="0" w:color="auto"/>
        <w:bottom w:val="none" w:sz="0" w:space="0" w:color="auto"/>
        <w:right w:val="none" w:sz="0" w:space="0" w:color="auto"/>
      </w:divBdr>
    </w:div>
    <w:div w:id="1596330626">
      <w:bodyDiv w:val="1"/>
      <w:marLeft w:val="0"/>
      <w:marRight w:val="0"/>
      <w:marTop w:val="0"/>
      <w:marBottom w:val="0"/>
      <w:divBdr>
        <w:top w:val="none" w:sz="0" w:space="0" w:color="auto"/>
        <w:left w:val="none" w:sz="0" w:space="0" w:color="auto"/>
        <w:bottom w:val="none" w:sz="0" w:space="0" w:color="auto"/>
        <w:right w:val="none" w:sz="0" w:space="0" w:color="auto"/>
      </w:divBdr>
    </w:div>
    <w:div w:id="1596354950">
      <w:bodyDiv w:val="1"/>
      <w:marLeft w:val="0"/>
      <w:marRight w:val="0"/>
      <w:marTop w:val="0"/>
      <w:marBottom w:val="0"/>
      <w:divBdr>
        <w:top w:val="none" w:sz="0" w:space="0" w:color="auto"/>
        <w:left w:val="none" w:sz="0" w:space="0" w:color="auto"/>
        <w:bottom w:val="none" w:sz="0" w:space="0" w:color="auto"/>
        <w:right w:val="none" w:sz="0" w:space="0" w:color="auto"/>
      </w:divBdr>
    </w:div>
    <w:div w:id="1596357949">
      <w:bodyDiv w:val="1"/>
      <w:marLeft w:val="0"/>
      <w:marRight w:val="0"/>
      <w:marTop w:val="0"/>
      <w:marBottom w:val="0"/>
      <w:divBdr>
        <w:top w:val="none" w:sz="0" w:space="0" w:color="auto"/>
        <w:left w:val="none" w:sz="0" w:space="0" w:color="auto"/>
        <w:bottom w:val="none" w:sz="0" w:space="0" w:color="auto"/>
        <w:right w:val="none" w:sz="0" w:space="0" w:color="auto"/>
      </w:divBdr>
    </w:div>
    <w:div w:id="1596398971">
      <w:bodyDiv w:val="1"/>
      <w:marLeft w:val="0"/>
      <w:marRight w:val="0"/>
      <w:marTop w:val="0"/>
      <w:marBottom w:val="0"/>
      <w:divBdr>
        <w:top w:val="none" w:sz="0" w:space="0" w:color="auto"/>
        <w:left w:val="none" w:sz="0" w:space="0" w:color="auto"/>
        <w:bottom w:val="none" w:sz="0" w:space="0" w:color="auto"/>
        <w:right w:val="none" w:sz="0" w:space="0" w:color="auto"/>
      </w:divBdr>
    </w:div>
    <w:div w:id="1596523888">
      <w:bodyDiv w:val="1"/>
      <w:marLeft w:val="0"/>
      <w:marRight w:val="0"/>
      <w:marTop w:val="0"/>
      <w:marBottom w:val="0"/>
      <w:divBdr>
        <w:top w:val="none" w:sz="0" w:space="0" w:color="auto"/>
        <w:left w:val="none" w:sz="0" w:space="0" w:color="auto"/>
        <w:bottom w:val="none" w:sz="0" w:space="0" w:color="auto"/>
        <w:right w:val="none" w:sz="0" w:space="0" w:color="auto"/>
      </w:divBdr>
    </w:div>
    <w:div w:id="1596550434">
      <w:bodyDiv w:val="1"/>
      <w:marLeft w:val="0"/>
      <w:marRight w:val="0"/>
      <w:marTop w:val="0"/>
      <w:marBottom w:val="0"/>
      <w:divBdr>
        <w:top w:val="none" w:sz="0" w:space="0" w:color="auto"/>
        <w:left w:val="none" w:sz="0" w:space="0" w:color="auto"/>
        <w:bottom w:val="none" w:sz="0" w:space="0" w:color="auto"/>
        <w:right w:val="none" w:sz="0" w:space="0" w:color="auto"/>
      </w:divBdr>
    </w:div>
    <w:div w:id="1596554443">
      <w:bodyDiv w:val="1"/>
      <w:marLeft w:val="0"/>
      <w:marRight w:val="0"/>
      <w:marTop w:val="0"/>
      <w:marBottom w:val="0"/>
      <w:divBdr>
        <w:top w:val="none" w:sz="0" w:space="0" w:color="auto"/>
        <w:left w:val="none" w:sz="0" w:space="0" w:color="auto"/>
        <w:bottom w:val="none" w:sz="0" w:space="0" w:color="auto"/>
        <w:right w:val="none" w:sz="0" w:space="0" w:color="auto"/>
      </w:divBdr>
    </w:div>
    <w:div w:id="1596592298">
      <w:bodyDiv w:val="1"/>
      <w:marLeft w:val="0"/>
      <w:marRight w:val="0"/>
      <w:marTop w:val="0"/>
      <w:marBottom w:val="0"/>
      <w:divBdr>
        <w:top w:val="none" w:sz="0" w:space="0" w:color="auto"/>
        <w:left w:val="none" w:sz="0" w:space="0" w:color="auto"/>
        <w:bottom w:val="none" w:sz="0" w:space="0" w:color="auto"/>
        <w:right w:val="none" w:sz="0" w:space="0" w:color="auto"/>
      </w:divBdr>
    </w:div>
    <w:div w:id="1596666589">
      <w:bodyDiv w:val="1"/>
      <w:marLeft w:val="0"/>
      <w:marRight w:val="0"/>
      <w:marTop w:val="0"/>
      <w:marBottom w:val="0"/>
      <w:divBdr>
        <w:top w:val="none" w:sz="0" w:space="0" w:color="auto"/>
        <w:left w:val="none" w:sz="0" w:space="0" w:color="auto"/>
        <w:bottom w:val="none" w:sz="0" w:space="0" w:color="auto"/>
        <w:right w:val="none" w:sz="0" w:space="0" w:color="auto"/>
      </w:divBdr>
    </w:div>
    <w:div w:id="1596672297">
      <w:bodyDiv w:val="1"/>
      <w:marLeft w:val="0"/>
      <w:marRight w:val="0"/>
      <w:marTop w:val="0"/>
      <w:marBottom w:val="0"/>
      <w:divBdr>
        <w:top w:val="none" w:sz="0" w:space="0" w:color="auto"/>
        <w:left w:val="none" w:sz="0" w:space="0" w:color="auto"/>
        <w:bottom w:val="none" w:sz="0" w:space="0" w:color="auto"/>
        <w:right w:val="none" w:sz="0" w:space="0" w:color="auto"/>
      </w:divBdr>
    </w:div>
    <w:div w:id="1596673020">
      <w:bodyDiv w:val="1"/>
      <w:marLeft w:val="0"/>
      <w:marRight w:val="0"/>
      <w:marTop w:val="0"/>
      <w:marBottom w:val="0"/>
      <w:divBdr>
        <w:top w:val="none" w:sz="0" w:space="0" w:color="auto"/>
        <w:left w:val="none" w:sz="0" w:space="0" w:color="auto"/>
        <w:bottom w:val="none" w:sz="0" w:space="0" w:color="auto"/>
        <w:right w:val="none" w:sz="0" w:space="0" w:color="auto"/>
      </w:divBdr>
    </w:div>
    <w:div w:id="1596740291">
      <w:bodyDiv w:val="1"/>
      <w:marLeft w:val="0"/>
      <w:marRight w:val="0"/>
      <w:marTop w:val="0"/>
      <w:marBottom w:val="0"/>
      <w:divBdr>
        <w:top w:val="none" w:sz="0" w:space="0" w:color="auto"/>
        <w:left w:val="none" w:sz="0" w:space="0" w:color="auto"/>
        <w:bottom w:val="none" w:sz="0" w:space="0" w:color="auto"/>
        <w:right w:val="none" w:sz="0" w:space="0" w:color="auto"/>
      </w:divBdr>
    </w:div>
    <w:div w:id="1596745424">
      <w:bodyDiv w:val="1"/>
      <w:marLeft w:val="0"/>
      <w:marRight w:val="0"/>
      <w:marTop w:val="0"/>
      <w:marBottom w:val="0"/>
      <w:divBdr>
        <w:top w:val="none" w:sz="0" w:space="0" w:color="auto"/>
        <w:left w:val="none" w:sz="0" w:space="0" w:color="auto"/>
        <w:bottom w:val="none" w:sz="0" w:space="0" w:color="auto"/>
        <w:right w:val="none" w:sz="0" w:space="0" w:color="auto"/>
      </w:divBdr>
    </w:div>
    <w:div w:id="1596860009">
      <w:bodyDiv w:val="1"/>
      <w:marLeft w:val="0"/>
      <w:marRight w:val="0"/>
      <w:marTop w:val="0"/>
      <w:marBottom w:val="0"/>
      <w:divBdr>
        <w:top w:val="none" w:sz="0" w:space="0" w:color="auto"/>
        <w:left w:val="none" w:sz="0" w:space="0" w:color="auto"/>
        <w:bottom w:val="none" w:sz="0" w:space="0" w:color="auto"/>
        <w:right w:val="none" w:sz="0" w:space="0" w:color="auto"/>
      </w:divBdr>
    </w:div>
    <w:div w:id="1596867128">
      <w:bodyDiv w:val="1"/>
      <w:marLeft w:val="0"/>
      <w:marRight w:val="0"/>
      <w:marTop w:val="0"/>
      <w:marBottom w:val="0"/>
      <w:divBdr>
        <w:top w:val="none" w:sz="0" w:space="0" w:color="auto"/>
        <w:left w:val="none" w:sz="0" w:space="0" w:color="auto"/>
        <w:bottom w:val="none" w:sz="0" w:space="0" w:color="auto"/>
        <w:right w:val="none" w:sz="0" w:space="0" w:color="auto"/>
      </w:divBdr>
    </w:div>
    <w:div w:id="1596983053">
      <w:bodyDiv w:val="1"/>
      <w:marLeft w:val="0"/>
      <w:marRight w:val="0"/>
      <w:marTop w:val="0"/>
      <w:marBottom w:val="0"/>
      <w:divBdr>
        <w:top w:val="none" w:sz="0" w:space="0" w:color="auto"/>
        <w:left w:val="none" w:sz="0" w:space="0" w:color="auto"/>
        <w:bottom w:val="none" w:sz="0" w:space="0" w:color="auto"/>
        <w:right w:val="none" w:sz="0" w:space="0" w:color="auto"/>
      </w:divBdr>
    </w:div>
    <w:div w:id="1597058180">
      <w:bodyDiv w:val="1"/>
      <w:marLeft w:val="0"/>
      <w:marRight w:val="0"/>
      <w:marTop w:val="0"/>
      <w:marBottom w:val="0"/>
      <w:divBdr>
        <w:top w:val="none" w:sz="0" w:space="0" w:color="auto"/>
        <w:left w:val="none" w:sz="0" w:space="0" w:color="auto"/>
        <w:bottom w:val="none" w:sz="0" w:space="0" w:color="auto"/>
        <w:right w:val="none" w:sz="0" w:space="0" w:color="auto"/>
      </w:divBdr>
    </w:div>
    <w:div w:id="1597059776">
      <w:bodyDiv w:val="1"/>
      <w:marLeft w:val="0"/>
      <w:marRight w:val="0"/>
      <w:marTop w:val="0"/>
      <w:marBottom w:val="0"/>
      <w:divBdr>
        <w:top w:val="none" w:sz="0" w:space="0" w:color="auto"/>
        <w:left w:val="none" w:sz="0" w:space="0" w:color="auto"/>
        <w:bottom w:val="none" w:sz="0" w:space="0" w:color="auto"/>
        <w:right w:val="none" w:sz="0" w:space="0" w:color="auto"/>
      </w:divBdr>
    </w:div>
    <w:div w:id="1597245301">
      <w:bodyDiv w:val="1"/>
      <w:marLeft w:val="0"/>
      <w:marRight w:val="0"/>
      <w:marTop w:val="0"/>
      <w:marBottom w:val="0"/>
      <w:divBdr>
        <w:top w:val="none" w:sz="0" w:space="0" w:color="auto"/>
        <w:left w:val="none" w:sz="0" w:space="0" w:color="auto"/>
        <w:bottom w:val="none" w:sz="0" w:space="0" w:color="auto"/>
        <w:right w:val="none" w:sz="0" w:space="0" w:color="auto"/>
      </w:divBdr>
    </w:div>
    <w:div w:id="1597444230">
      <w:bodyDiv w:val="1"/>
      <w:marLeft w:val="0"/>
      <w:marRight w:val="0"/>
      <w:marTop w:val="0"/>
      <w:marBottom w:val="0"/>
      <w:divBdr>
        <w:top w:val="none" w:sz="0" w:space="0" w:color="auto"/>
        <w:left w:val="none" w:sz="0" w:space="0" w:color="auto"/>
        <w:bottom w:val="none" w:sz="0" w:space="0" w:color="auto"/>
        <w:right w:val="none" w:sz="0" w:space="0" w:color="auto"/>
      </w:divBdr>
    </w:div>
    <w:div w:id="1597596537">
      <w:bodyDiv w:val="1"/>
      <w:marLeft w:val="0"/>
      <w:marRight w:val="0"/>
      <w:marTop w:val="0"/>
      <w:marBottom w:val="0"/>
      <w:divBdr>
        <w:top w:val="none" w:sz="0" w:space="0" w:color="auto"/>
        <w:left w:val="none" w:sz="0" w:space="0" w:color="auto"/>
        <w:bottom w:val="none" w:sz="0" w:space="0" w:color="auto"/>
        <w:right w:val="none" w:sz="0" w:space="0" w:color="auto"/>
      </w:divBdr>
    </w:div>
    <w:div w:id="1597637532">
      <w:bodyDiv w:val="1"/>
      <w:marLeft w:val="0"/>
      <w:marRight w:val="0"/>
      <w:marTop w:val="0"/>
      <w:marBottom w:val="0"/>
      <w:divBdr>
        <w:top w:val="none" w:sz="0" w:space="0" w:color="auto"/>
        <w:left w:val="none" w:sz="0" w:space="0" w:color="auto"/>
        <w:bottom w:val="none" w:sz="0" w:space="0" w:color="auto"/>
        <w:right w:val="none" w:sz="0" w:space="0" w:color="auto"/>
      </w:divBdr>
    </w:div>
    <w:div w:id="1597640743">
      <w:bodyDiv w:val="1"/>
      <w:marLeft w:val="0"/>
      <w:marRight w:val="0"/>
      <w:marTop w:val="0"/>
      <w:marBottom w:val="0"/>
      <w:divBdr>
        <w:top w:val="none" w:sz="0" w:space="0" w:color="auto"/>
        <w:left w:val="none" w:sz="0" w:space="0" w:color="auto"/>
        <w:bottom w:val="none" w:sz="0" w:space="0" w:color="auto"/>
        <w:right w:val="none" w:sz="0" w:space="0" w:color="auto"/>
      </w:divBdr>
    </w:div>
    <w:div w:id="1597641115">
      <w:bodyDiv w:val="1"/>
      <w:marLeft w:val="0"/>
      <w:marRight w:val="0"/>
      <w:marTop w:val="0"/>
      <w:marBottom w:val="0"/>
      <w:divBdr>
        <w:top w:val="none" w:sz="0" w:space="0" w:color="auto"/>
        <w:left w:val="none" w:sz="0" w:space="0" w:color="auto"/>
        <w:bottom w:val="none" w:sz="0" w:space="0" w:color="auto"/>
        <w:right w:val="none" w:sz="0" w:space="0" w:color="auto"/>
      </w:divBdr>
    </w:div>
    <w:div w:id="1597667815">
      <w:bodyDiv w:val="1"/>
      <w:marLeft w:val="0"/>
      <w:marRight w:val="0"/>
      <w:marTop w:val="0"/>
      <w:marBottom w:val="0"/>
      <w:divBdr>
        <w:top w:val="none" w:sz="0" w:space="0" w:color="auto"/>
        <w:left w:val="none" w:sz="0" w:space="0" w:color="auto"/>
        <w:bottom w:val="none" w:sz="0" w:space="0" w:color="auto"/>
        <w:right w:val="none" w:sz="0" w:space="0" w:color="auto"/>
      </w:divBdr>
    </w:div>
    <w:div w:id="1597785771">
      <w:bodyDiv w:val="1"/>
      <w:marLeft w:val="0"/>
      <w:marRight w:val="0"/>
      <w:marTop w:val="0"/>
      <w:marBottom w:val="0"/>
      <w:divBdr>
        <w:top w:val="none" w:sz="0" w:space="0" w:color="auto"/>
        <w:left w:val="none" w:sz="0" w:space="0" w:color="auto"/>
        <w:bottom w:val="none" w:sz="0" w:space="0" w:color="auto"/>
        <w:right w:val="none" w:sz="0" w:space="0" w:color="auto"/>
      </w:divBdr>
    </w:div>
    <w:div w:id="1597789367">
      <w:bodyDiv w:val="1"/>
      <w:marLeft w:val="0"/>
      <w:marRight w:val="0"/>
      <w:marTop w:val="0"/>
      <w:marBottom w:val="0"/>
      <w:divBdr>
        <w:top w:val="none" w:sz="0" w:space="0" w:color="auto"/>
        <w:left w:val="none" w:sz="0" w:space="0" w:color="auto"/>
        <w:bottom w:val="none" w:sz="0" w:space="0" w:color="auto"/>
        <w:right w:val="none" w:sz="0" w:space="0" w:color="auto"/>
      </w:divBdr>
    </w:div>
    <w:div w:id="1597901879">
      <w:bodyDiv w:val="1"/>
      <w:marLeft w:val="0"/>
      <w:marRight w:val="0"/>
      <w:marTop w:val="0"/>
      <w:marBottom w:val="0"/>
      <w:divBdr>
        <w:top w:val="none" w:sz="0" w:space="0" w:color="auto"/>
        <w:left w:val="none" w:sz="0" w:space="0" w:color="auto"/>
        <w:bottom w:val="none" w:sz="0" w:space="0" w:color="auto"/>
        <w:right w:val="none" w:sz="0" w:space="0" w:color="auto"/>
      </w:divBdr>
    </w:div>
    <w:div w:id="1597982214">
      <w:bodyDiv w:val="1"/>
      <w:marLeft w:val="0"/>
      <w:marRight w:val="0"/>
      <w:marTop w:val="0"/>
      <w:marBottom w:val="0"/>
      <w:divBdr>
        <w:top w:val="none" w:sz="0" w:space="0" w:color="auto"/>
        <w:left w:val="none" w:sz="0" w:space="0" w:color="auto"/>
        <w:bottom w:val="none" w:sz="0" w:space="0" w:color="auto"/>
        <w:right w:val="none" w:sz="0" w:space="0" w:color="auto"/>
      </w:divBdr>
    </w:div>
    <w:div w:id="1597983621">
      <w:bodyDiv w:val="1"/>
      <w:marLeft w:val="0"/>
      <w:marRight w:val="0"/>
      <w:marTop w:val="0"/>
      <w:marBottom w:val="0"/>
      <w:divBdr>
        <w:top w:val="none" w:sz="0" w:space="0" w:color="auto"/>
        <w:left w:val="none" w:sz="0" w:space="0" w:color="auto"/>
        <w:bottom w:val="none" w:sz="0" w:space="0" w:color="auto"/>
        <w:right w:val="none" w:sz="0" w:space="0" w:color="auto"/>
      </w:divBdr>
    </w:div>
    <w:div w:id="1598056901">
      <w:bodyDiv w:val="1"/>
      <w:marLeft w:val="0"/>
      <w:marRight w:val="0"/>
      <w:marTop w:val="0"/>
      <w:marBottom w:val="0"/>
      <w:divBdr>
        <w:top w:val="none" w:sz="0" w:space="0" w:color="auto"/>
        <w:left w:val="none" w:sz="0" w:space="0" w:color="auto"/>
        <w:bottom w:val="none" w:sz="0" w:space="0" w:color="auto"/>
        <w:right w:val="none" w:sz="0" w:space="0" w:color="auto"/>
      </w:divBdr>
    </w:div>
    <w:div w:id="1598097030">
      <w:bodyDiv w:val="1"/>
      <w:marLeft w:val="0"/>
      <w:marRight w:val="0"/>
      <w:marTop w:val="0"/>
      <w:marBottom w:val="0"/>
      <w:divBdr>
        <w:top w:val="none" w:sz="0" w:space="0" w:color="auto"/>
        <w:left w:val="none" w:sz="0" w:space="0" w:color="auto"/>
        <w:bottom w:val="none" w:sz="0" w:space="0" w:color="auto"/>
        <w:right w:val="none" w:sz="0" w:space="0" w:color="auto"/>
      </w:divBdr>
    </w:div>
    <w:div w:id="1598101753">
      <w:bodyDiv w:val="1"/>
      <w:marLeft w:val="0"/>
      <w:marRight w:val="0"/>
      <w:marTop w:val="0"/>
      <w:marBottom w:val="0"/>
      <w:divBdr>
        <w:top w:val="none" w:sz="0" w:space="0" w:color="auto"/>
        <w:left w:val="none" w:sz="0" w:space="0" w:color="auto"/>
        <w:bottom w:val="none" w:sz="0" w:space="0" w:color="auto"/>
        <w:right w:val="none" w:sz="0" w:space="0" w:color="auto"/>
      </w:divBdr>
    </w:div>
    <w:div w:id="1598320861">
      <w:bodyDiv w:val="1"/>
      <w:marLeft w:val="0"/>
      <w:marRight w:val="0"/>
      <w:marTop w:val="0"/>
      <w:marBottom w:val="0"/>
      <w:divBdr>
        <w:top w:val="none" w:sz="0" w:space="0" w:color="auto"/>
        <w:left w:val="none" w:sz="0" w:space="0" w:color="auto"/>
        <w:bottom w:val="none" w:sz="0" w:space="0" w:color="auto"/>
        <w:right w:val="none" w:sz="0" w:space="0" w:color="auto"/>
      </w:divBdr>
    </w:div>
    <w:div w:id="1598437567">
      <w:bodyDiv w:val="1"/>
      <w:marLeft w:val="0"/>
      <w:marRight w:val="0"/>
      <w:marTop w:val="0"/>
      <w:marBottom w:val="0"/>
      <w:divBdr>
        <w:top w:val="none" w:sz="0" w:space="0" w:color="auto"/>
        <w:left w:val="none" w:sz="0" w:space="0" w:color="auto"/>
        <w:bottom w:val="none" w:sz="0" w:space="0" w:color="auto"/>
        <w:right w:val="none" w:sz="0" w:space="0" w:color="auto"/>
      </w:divBdr>
    </w:div>
    <w:div w:id="1598438045">
      <w:bodyDiv w:val="1"/>
      <w:marLeft w:val="0"/>
      <w:marRight w:val="0"/>
      <w:marTop w:val="0"/>
      <w:marBottom w:val="0"/>
      <w:divBdr>
        <w:top w:val="none" w:sz="0" w:space="0" w:color="auto"/>
        <w:left w:val="none" w:sz="0" w:space="0" w:color="auto"/>
        <w:bottom w:val="none" w:sz="0" w:space="0" w:color="auto"/>
        <w:right w:val="none" w:sz="0" w:space="0" w:color="auto"/>
      </w:divBdr>
    </w:div>
    <w:div w:id="1598514844">
      <w:bodyDiv w:val="1"/>
      <w:marLeft w:val="0"/>
      <w:marRight w:val="0"/>
      <w:marTop w:val="0"/>
      <w:marBottom w:val="0"/>
      <w:divBdr>
        <w:top w:val="none" w:sz="0" w:space="0" w:color="auto"/>
        <w:left w:val="none" w:sz="0" w:space="0" w:color="auto"/>
        <w:bottom w:val="none" w:sz="0" w:space="0" w:color="auto"/>
        <w:right w:val="none" w:sz="0" w:space="0" w:color="auto"/>
      </w:divBdr>
    </w:div>
    <w:div w:id="1598516515">
      <w:bodyDiv w:val="1"/>
      <w:marLeft w:val="0"/>
      <w:marRight w:val="0"/>
      <w:marTop w:val="0"/>
      <w:marBottom w:val="0"/>
      <w:divBdr>
        <w:top w:val="none" w:sz="0" w:space="0" w:color="auto"/>
        <w:left w:val="none" w:sz="0" w:space="0" w:color="auto"/>
        <w:bottom w:val="none" w:sz="0" w:space="0" w:color="auto"/>
        <w:right w:val="none" w:sz="0" w:space="0" w:color="auto"/>
      </w:divBdr>
    </w:div>
    <w:div w:id="1598562266">
      <w:bodyDiv w:val="1"/>
      <w:marLeft w:val="0"/>
      <w:marRight w:val="0"/>
      <w:marTop w:val="0"/>
      <w:marBottom w:val="0"/>
      <w:divBdr>
        <w:top w:val="none" w:sz="0" w:space="0" w:color="auto"/>
        <w:left w:val="none" w:sz="0" w:space="0" w:color="auto"/>
        <w:bottom w:val="none" w:sz="0" w:space="0" w:color="auto"/>
        <w:right w:val="none" w:sz="0" w:space="0" w:color="auto"/>
      </w:divBdr>
    </w:div>
    <w:div w:id="1598637992">
      <w:bodyDiv w:val="1"/>
      <w:marLeft w:val="0"/>
      <w:marRight w:val="0"/>
      <w:marTop w:val="0"/>
      <w:marBottom w:val="0"/>
      <w:divBdr>
        <w:top w:val="none" w:sz="0" w:space="0" w:color="auto"/>
        <w:left w:val="none" w:sz="0" w:space="0" w:color="auto"/>
        <w:bottom w:val="none" w:sz="0" w:space="0" w:color="auto"/>
        <w:right w:val="none" w:sz="0" w:space="0" w:color="auto"/>
      </w:divBdr>
    </w:div>
    <w:div w:id="1598711247">
      <w:bodyDiv w:val="1"/>
      <w:marLeft w:val="0"/>
      <w:marRight w:val="0"/>
      <w:marTop w:val="0"/>
      <w:marBottom w:val="0"/>
      <w:divBdr>
        <w:top w:val="none" w:sz="0" w:space="0" w:color="auto"/>
        <w:left w:val="none" w:sz="0" w:space="0" w:color="auto"/>
        <w:bottom w:val="none" w:sz="0" w:space="0" w:color="auto"/>
        <w:right w:val="none" w:sz="0" w:space="0" w:color="auto"/>
      </w:divBdr>
    </w:div>
    <w:div w:id="1598713514">
      <w:bodyDiv w:val="1"/>
      <w:marLeft w:val="0"/>
      <w:marRight w:val="0"/>
      <w:marTop w:val="0"/>
      <w:marBottom w:val="0"/>
      <w:divBdr>
        <w:top w:val="none" w:sz="0" w:space="0" w:color="auto"/>
        <w:left w:val="none" w:sz="0" w:space="0" w:color="auto"/>
        <w:bottom w:val="none" w:sz="0" w:space="0" w:color="auto"/>
        <w:right w:val="none" w:sz="0" w:space="0" w:color="auto"/>
      </w:divBdr>
    </w:div>
    <w:div w:id="1598751203">
      <w:bodyDiv w:val="1"/>
      <w:marLeft w:val="0"/>
      <w:marRight w:val="0"/>
      <w:marTop w:val="0"/>
      <w:marBottom w:val="0"/>
      <w:divBdr>
        <w:top w:val="none" w:sz="0" w:space="0" w:color="auto"/>
        <w:left w:val="none" w:sz="0" w:space="0" w:color="auto"/>
        <w:bottom w:val="none" w:sz="0" w:space="0" w:color="auto"/>
        <w:right w:val="none" w:sz="0" w:space="0" w:color="auto"/>
      </w:divBdr>
    </w:div>
    <w:div w:id="1598752447">
      <w:bodyDiv w:val="1"/>
      <w:marLeft w:val="0"/>
      <w:marRight w:val="0"/>
      <w:marTop w:val="0"/>
      <w:marBottom w:val="0"/>
      <w:divBdr>
        <w:top w:val="none" w:sz="0" w:space="0" w:color="auto"/>
        <w:left w:val="none" w:sz="0" w:space="0" w:color="auto"/>
        <w:bottom w:val="none" w:sz="0" w:space="0" w:color="auto"/>
        <w:right w:val="none" w:sz="0" w:space="0" w:color="auto"/>
      </w:divBdr>
    </w:div>
    <w:div w:id="1598900315">
      <w:bodyDiv w:val="1"/>
      <w:marLeft w:val="0"/>
      <w:marRight w:val="0"/>
      <w:marTop w:val="0"/>
      <w:marBottom w:val="0"/>
      <w:divBdr>
        <w:top w:val="none" w:sz="0" w:space="0" w:color="auto"/>
        <w:left w:val="none" w:sz="0" w:space="0" w:color="auto"/>
        <w:bottom w:val="none" w:sz="0" w:space="0" w:color="auto"/>
        <w:right w:val="none" w:sz="0" w:space="0" w:color="auto"/>
      </w:divBdr>
    </w:div>
    <w:div w:id="1598901040">
      <w:bodyDiv w:val="1"/>
      <w:marLeft w:val="0"/>
      <w:marRight w:val="0"/>
      <w:marTop w:val="0"/>
      <w:marBottom w:val="0"/>
      <w:divBdr>
        <w:top w:val="none" w:sz="0" w:space="0" w:color="auto"/>
        <w:left w:val="none" w:sz="0" w:space="0" w:color="auto"/>
        <w:bottom w:val="none" w:sz="0" w:space="0" w:color="auto"/>
        <w:right w:val="none" w:sz="0" w:space="0" w:color="auto"/>
      </w:divBdr>
    </w:div>
    <w:div w:id="1598907569">
      <w:bodyDiv w:val="1"/>
      <w:marLeft w:val="0"/>
      <w:marRight w:val="0"/>
      <w:marTop w:val="0"/>
      <w:marBottom w:val="0"/>
      <w:divBdr>
        <w:top w:val="none" w:sz="0" w:space="0" w:color="auto"/>
        <w:left w:val="none" w:sz="0" w:space="0" w:color="auto"/>
        <w:bottom w:val="none" w:sz="0" w:space="0" w:color="auto"/>
        <w:right w:val="none" w:sz="0" w:space="0" w:color="auto"/>
      </w:divBdr>
    </w:div>
    <w:div w:id="1598907924">
      <w:bodyDiv w:val="1"/>
      <w:marLeft w:val="0"/>
      <w:marRight w:val="0"/>
      <w:marTop w:val="0"/>
      <w:marBottom w:val="0"/>
      <w:divBdr>
        <w:top w:val="none" w:sz="0" w:space="0" w:color="auto"/>
        <w:left w:val="none" w:sz="0" w:space="0" w:color="auto"/>
        <w:bottom w:val="none" w:sz="0" w:space="0" w:color="auto"/>
        <w:right w:val="none" w:sz="0" w:space="0" w:color="auto"/>
      </w:divBdr>
    </w:div>
    <w:div w:id="1598947864">
      <w:bodyDiv w:val="1"/>
      <w:marLeft w:val="0"/>
      <w:marRight w:val="0"/>
      <w:marTop w:val="0"/>
      <w:marBottom w:val="0"/>
      <w:divBdr>
        <w:top w:val="none" w:sz="0" w:space="0" w:color="auto"/>
        <w:left w:val="none" w:sz="0" w:space="0" w:color="auto"/>
        <w:bottom w:val="none" w:sz="0" w:space="0" w:color="auto"/>
        <w:right w:val="none" w:sz="0" w:space="0" w:color="auto"/>
      </w:divBdr>
    </w:div>
    <w:div w:id="1598950131">
      <w:bodyDiv w:val="1"/>
      <w:marLeft w:val="0"/>
      <w:marRight w:val="0"/>
      <w:marTop w:val="0"/>
      <w:marBottom w:val="0"/>
      <w:divBdr>
        <w:top w:val="none" w:sz="0" w:space="0" w:color="auto"/>
        <w:left w:val="none" w:sz="0" w:space="0" w:color="auto"/>
        <w:bottom w:val="none" w:sz="0" w:space="0" w:color="auto"/>
        <w:right w:val="none" w:sz="0" w:space="0" w:color="auto"/>
      </w:divBdr>
    </w:div>
    <w:div w:id="1598977094">
      <w:bodyDiv w:val="1"/>
      <w:marLeft w:val="0"/>
      <w:marRight w:val="0"/>
      <w:marTop w:val="0"/>
      <w:marBottom w:val="0"/>
      <w:divBdr>
        <w:top w:val="none" w:sz="0" w:space="0" w:color="auto"/>
        <w:left w:val="none" w:sz="0" w:space="0" w:color="auto"/>
        <w:bottom w:val="none" w:sz="0" w:space="0" w:color="auto"/>
        <w:right w:val="none" w:sz="0" w:space="0" w:color="auto"/>
      </w:divBdr>
    </w:div>
    <w:div w:id="1599022992">
      <w:bodyDiv w:val="1"/>
      <w:marLeft w:val="0"/>
      <w:marRight w:val="0"/>
      <w:marTop w:val="0"/>
      <w:marBottom w:val="0"/>
      <w:divBdr>
        <w:top w:val="none" w:sz="0" w:space="0" w:color="auto"/>
        <w:left w:val="none" w:sz="0" w:space="0" w:color="auto"/>
        <w:bottom w:val="none" w:sz="0" w:space="0" w:color="auto"/>
        <w:right w:val="none" w:sz="0" w:space="0" w:color="auto"/>
      </w:divBdr>
    </w:div>
    <w:div w:id="1599023993">
      <w:bodyDiv w:val="1"/>
      <w:marLeft w:val="0"/>
      <w:marRight w:val="0"/>
      <w:marTop w:val="0"/>
      <w:marBottom w:val="0"/>
      <w:divBdr>
        <w:top w:val="none" w:sz="0" w:space="0" w:color="auto"/>
        <w:left w:val="none" w:sz="0" w:space="0" w:color="auto"/>
        <w:bottom w:val="none" w:sz="0" w:space="0" w:color="auto"/>
        <w:right w:val="none" w:sz="0" w:space="0" w:color="auto"/>
      </w:divBdr>
    </w:div>
    <w:div w:id="1599169171">
      <w:bodyDiv w:val="1"/>
      <w:marLeft w:val="0"/>
      <w:marRight w:val="0"/>
      <w:marTop w:val="0"/>
      <w:marBottom w:val="0"/>
      <w:divBdr>
        <w:top w:val="none" w:sz="0" w:space="0" w:color="auto"/>
        <w:left w:val="none" w:sz="0" w:space="0" w:color="auto"/>
        <w:bottom w:val="none" w:sz="0" w:space="0" w:color="auto"/>
        <w:right w:val="none" w:sz="0" w:space="0" w:color="auto"/>
      </w:divBdr>
    </w:div>
    <w:div w:id="1599171280">
      <w:bodyDiv w:val="1"/>
      <w:marLeft w:val="0"/>
      <w:marRight w:val="0"/>
      <w:marTop w:val="0"/>
      <w:marBottom w:val="0"/>
      <w:divBdr>
        <w:top w:val="none" w:sz="0" w:space="0" w:color="auto"/>
        <w:left w:val="none" w:sz="0" w:space="0" w:color="auto"/>
        <w:bottom w:val="none" w:sz="0" w:space="0" w:color="auto"/>
        <w:right w:val="none" w:sz="0" w:space="0" w:color="auto"/>
      </w:divBdr>
    </w:div>
    <w:div w:id="1599174987">
      <w:bodyDiv w:val="1"/>
      <w:marLeft w:val="0"/>
      <w:marRight w:val="0"/>
      <w:marTop w:val="0"/>
      <w:marBottom w:val="0"/>
      <w:divBdr>
        <w:top w:val="none" w:sz="0" w:space="0" w:color="auto"/>
        <w:left w:val="none" w:sz="0" w:space="0" w:color="auto"/>
        <w:bottom w:val="none" w:sz="0" w:space="0" w:color="auto"/>
        <w:right w:val="none" w:sz="0" w:space="0" w:color="auto"/>
      </w:divBdr>
    </w:div>
    <w:div w:id="1599216483">
      <w:bodyDiv w:val="1"/>
      <w:marLeft w:val="0"/>
      <w:marRight w:val="0"/>
      <w:marTop w:val="0"/>
      <w:marBottom w:val="0"/>
      <w:divBdr>
        <w:top w:val="none" w:sz="0" w:space="0" w:color="auto"/>
        <w:left w:val="none" w:sz="0" w:space="0" w:color="auto"/>
        <w:bottom w:val="none" w:sz="0" w:space="0" w:color="auto"/>
        <w:right w:val="none" w:sz="0" w:space="0" w:color="auto"/>
      </w:divBdr>
    </w:div>
    <w:div w:id="1599366777">
      <w:bodyDiv w:val="1"/>
      <w:marLeft w:val="0"/>
      <w:marRight w:val="0"/>
      <w:marTop w:val="0"/>
      <w:marBottom w:val="0"/>
      <w:divBdr>
        <w:top w:val="none" w:sz="0" w:space="0" w:color="auto"/>
        <w:left w:val="none" w:sz="0" w:space="0" w:color="auto"/>
        <w:bottom w:val="none" w:sz="0" w:space="0" w:color="auto"/>
        <w:right w:val="none" w:sz="0" w:space="0" w:color="auto"/>
      </w:divBdr>
    </w:div>
    <w:div w:id="1599409384">
      <w:bodyDiv w:val="1"/>
      <w:marLeft w:val="0"/>
      <w:marRight w:val="0"/>
      <w:marTop w:val="0"/>
      <w:marBottom w:val="0"/>
      <w:divBdr>
        <w:top w:val="none" w:sz="0" w:space="0" w:color="auto"/>
        <w:left w:val="none" w:sz="0" w:space="0" w:color="auto"/>
        <w:bottom w:val="none" w:sz="0" w:space="0" w:color="auto"/>
        <w:right w:val="none" w:sz="0" w:space="0" w:color="auto"/>
      </w:divBdr>
    </w:div>
    <w:div w:id="1599411161">
      <w:bodyDiv w:val="1"/>
      <w:marLeft w:val="0"/>
      <w:marRight w:val="0"/>
      <w:marTop w:val="0"/>
      <w:marBottom w:val="0"/>
      <w:divBdr>
        <w:top w:val="none" w:sz="0" w:space="0" w:color="auto"/>
        <w:left w:val="none" w:sz="0" w:space="0" w:color="auto"/>
        <w:bottom w:val="none" w:sz="0" w:space="0" w:color="auto"/>
        <w:right w:val="none" w:sz="0" w:space="0" w:color="auto"/>
      </w:divBdr>
    </w:div>
    <w:div w:id="1599479687">
      <w:bodyDiv w:val="1"/>
      <w:marLeft w:val="0"/>
      <w:marRight w:val="0"/>
      <w:marTop w:val="0"/>
      <w:marBottom w:val="0"/>
      <w:divBdr>
        <w:top w:val="none" w:sz="0" w:space="0" w:color="auto"/>
        <w:left w:val="none" w:sz="0" w:space="0" w:color="auto"/>
        <w:bottom w:val="none" w:sz="0" w:space="0" w:color="auto"/>
        <w:right w:val="none" w:sz="0" w:space="0" w:color="auto"/>
      </w:divBdr>
    </w:div>
    <w:div w:id="1599557263">
      <w:bodyDiv w:val="1"/>
      <w:marLeft w:val="0"/>
      <w:marRight w:val="0"/>
      <w:marTop w:val="0"/>
      <w:marBottom w:val="0"/>
      <w:divBdr>
        <w:top w:val="none" w:sz="0" w:space="0" w:color="auto"/>
        <w:left w:val="none" w:sz="0" w:space="0" w:color="auto"/>
        <w:bottom w:val="none" w:sz="0" w:space="0" w:color="auto"/>
        <w:right w:val="none" w:sz="0" w:space="0" w:color="auto"/>
      </w:divBdr>
    </w:div>
    <w:div w:id="1599605894">
      <w:bodyDiv w:val="1"/>
      <w:marLeft w:val="0"/>
      <w:marRight w:val="0"/>
      <w:marTop w:val="0"/>
      <w:marBottom w:val="0"/>
      <w:divBdr>
        <w:top w:val="none" w:sz="0" w:space="0" w:color="auto"/>
        <w:left w:val="none" w:sz="0" w:space="0" w:color="auto"/>
        <w:bottom w:val="none" w:sz="0" w:space="0" w:color="auto"/>
        <w:right w:val="none" w:sz="0" w:space="0" w:color="auto"/>
      </w:divBdr>
    </w:div>
    <w:div w:id="1599680239">
      <w:bodyDiv w:val="1"/>
      <w:marLeft w:val="0"/>
      <w:marRight w:val="0"/>
      <w:marTop w:val="0"/>
      <w:marBottom w:val="0"/>
      <w:divBdr>
        <w:top w:val="none" w:sz="0" w:space="0" w:color="auto"/>
        <w:left w:val="none" w:sz="0" w:space="0" w:color="auto"/>
        <w:bottom w:val="none" w:sz="0" w:space="0" w:color="auto"/>
        <w:right w:val="none" w:sz="0" w:space="0" w:color="auto"/>
      </w:divBdr>
    </w:div>
    <w:div w:id="1599751829">
      <w:bodyDiv w:val="1"/>
      <w:marLeft w:val="0"/>
      <w:marRight w:val="0"/>
      <w:marTop w:val="0"/>
      <w:marBottom w:val="0"/>
      <w:divBdr>
        <w:top w:val="none" w:sz="0" w:space="0" w:color="auto"/>
        <w:left w:val="none" w:sz="0" w:space="0" w:color="auto"/>
        <w:bottom w:val="none" w:sz="0" w:space="0" w:color="auto"/>
        <w:right w:val="none" w:sz="0" w:space="0" w:color="auto"/>
      </w:divBdr>
    </w:div>
    <w:div w:id="1599823586">
      <w:bodyDiv w:val="1"/>
      <w:marLeft w:val="0"/>
      <w:marRight w:val="0"/>
      <w:marTop w:val="0"/>
      <w:marBottom w:val="0"/>
      <w:divBdr>
        <w:top w:val="none" w:sz="0" w:space="0" w:color="auto"/>
        <w:left w:val="none" w:sz="0" w:space="0" w:color="auto"/>
        <w:bottom w:val="none" w:sz="0" w:space="0" w:color="auto"/>
        <w:right w:val="none" w:sz="0" w:space="0" w:color="auto"/>
      </w:divBdr>
    </w:div>
    <w:div w:id="1599824331">
      <w:bodyDiv w:val="1"/>
      <w:marLeft w:val="0"/>
      <w:marRight w:val="0"/>
      <w:marTop w:val="0"/>
      <w:marBottom w:val="0"/>
      <w:divBdr>
        <w:top w:val="none" w:sz="0" w:space="0" w:color="auto"/>
        <w:left w:val="none" w:sz="0" w:space="0" w:color="auto"/>
        <w:bottom w:val="none" w:sz="0" w:space="0" w:color="auto"/>
        <w:right w:val="none" w:sz="0" w:space="0" w:color="auto"/>
      </w:divBdr>
    </w:div>
    <w:div w:id="1599943924">
      <w:bodyDiv w:val="1"/>
      <w:marLeft w:val="0"/>
      <w:marRight w:val="0"/>
      <w:marTop w:val="0"/>
      <w:marBottom w:val="0"/>
      <w:divBdr>
        <w:top w:val="none" w:sz="0" w:space="0" w:color="auto"/>
        <w:left w:val="none" w:sz="0" w:space="0" w:color="auto"/>
        <w:bottom w:val="none" w:sz="0" w:space="0" w:color="auto"/>
        <w:right w:val="none" w:sz="0" w:space="0" w:color="auto"/>
      </w:divBdr>
    </w:div>
    <w:div w:id="1599944014">
      <w:bodyDiv w:val="1"/>
      <w:marLeft w:val="0"/>
      <w:marRight w:val="0"/>
      <w:marTop w:val="0"/>
      <w:marBottom w:val="0"/>
      <w:divBdr>
        <w:top w:val="none" w:sz="0" w:space="0" w:color="auto"/>
        <w:left w:val="none" w:sz="0" w:space="0" w:color="auto"/>
        <w:bottom w:val="none" w:sz="0" w:space="0" w:color="auto"/>
        <w:right w:val="none" w:sz="0" w:space="0" w:color="auto"/>
      </w:divBdr>
    </w:div>
    <w:div w:id="1599949691">
      <w:bodyDiv w:val="1"/>
      <w:marLeft w:val="0"/>
      <w:marRight w:val="0"/>
      <w:marTop w:val="0"/>
      <w:marBottom w:val="0"/>
      <w:divBdr>
        <w:top w:val="none" w:sz="0" w:space="0" w:color="auto"/>
        <w:left w:val="none" w:sz="0" w:space="0" w:color="auto"/>
        <w:bottom w:val="none" w:sz="0" w:space="0" w:color="auto"/>
        <w:right w:val="none" w:sz="0" w:space="0" w:color="auto"/>
      </w:divBdr>
    </w:div>
    <w:div w:id="1600016711">
      <w:bodyDiv w:val="1"/>
      <w:marLeft w:val="0"/>
      <w:marRight w:val="0"/>
      <w:marTop w:val="0"/>
      <w:marBottom w:val="0"/>
      <w:divBdr>
        <w:top w:val="none" w:sz="0" w:space="0" w:color="auto"/>
        <w:left w:val="none" w:sz="0" w:space="0" w:color="auto"/>
        <w:bottom w:val="none" w:sz="0" w:space="0" w:color="auto"/>
        <w:right w:val="none" w:sz="0" w:space="0" w:color="auto"/>
      </w:divBdr>
    </w:div>
    <w:div w:id="1600024920">
      <w:bodyDiv w:val="1"/>
      <w:marLeft w:val="0"/>
      <w:marRight w:val="0"/>
      <w:marTop w:val="0"/>
      <w:marBottom w:val="0"/>
      <w:divBdr>
        <w:top w:val="none" w:sz="0" w:space="0" w:color="auto"/>
        <w:left w:val="none" w:sz="0" w:space="0" w:color="auto"/>
        <w:bottom w:val="none" w:sz="0" w:space="0" w:color="auto"/>
        <w:right w:val="none" w:sz="0" w:space="0" w:color="auto"/>
      </w:divBdr>
    </w:div>
    <w:div w:id="1600065086">
      <w:bodyDiv w:val="1"/>
      <w:marLeft w:val="0"/>
      <w:marRight w:val="0"/>
      <w:marTop w:val="0"/>
      <w:marBottom w:val="0"/>
      <w:divBdr>
        <w:top w:val="none" w:sz="0" w:space="0" w:color="auto"/>
        <w:left w:val="none" w:sz="0" w:space="0" w:color="auto"/>
        <w:bottom w:val="none" w:sz="0" w:space="0" w:color="auto"/>
        <w:right w:val="none" w:sz="0" w:space="0" w:color="auto"/>
      </w:divBdr>
    </w:div>
    <w:div w:id="1600218038">
      <w:bodyDiv w:val="1"/>
      <w:marLeft w:val="0"/>
      <w:marRight w:val="0"/>
      <w:marTop w:val="0"/>
      <w:marBottom w:val="0"/>
      <w:divBdr>
        <w:top w:val="none" w:sz="0" w:space="0" w:color="auto"/>
        <w:left w:val="none" w:sz="0" w:space="0" w:color="auto"/>
        <w:bottom w:val="none" w:sz="0" w:space="0" w:color="auto"/>
        <w:right w:val="none" w:sz="0" w:space="0" w:color="auto"/>
      </w:divBdr>
    </w:div>
    <w:div w:id="1600286265">
      <w:bodyDiv w:val="1"/>
      <w:marLeft w:val="0"/>
      <w:marRight w:val="0"/>
      <w:marTop w:val="0"/>
      <w:marBottom w:val="0"/>
      <w:divBdr>
        <w:top w:val="none" w:sz="0" w:space="0" w:color="auto"/>
        <w:left w:val="none" w:sz="0" w:space="0" w:color="auto"/>
        <w:bottom w:val="none" w:sz="0" w:space="0" w:color="auto"/>
        <w:right w:val="none" w:sz="0" w:space="0" w:color="auto"/>
      </w:divBdr>
    </w:div>
    <w:div w:id="1600328131">
      <w:bodyDiv w:val="1"/>
      <w:marLeft w:val="0"/>
      <w:marRight w:val="0"/>
      <w:marTop w:val="0"/>
      <w:marBottom w:val="0"/>
      <w:divBdr>
        <w:top w:val="none" w:sz="0" w:space="0" w:color="auto"/>
        <w:left w:val="none" w:sz="0" w:space="0" w:color="auto"/>
        <w:bottom w:val="none" w:sz="0" w:space="0" w:color="auto"/>
        <w:right w:val="none" w:sz="0" w:space="0" w:color="auto"/>
      </w:divBdr>
    </w:div>
    <w:div w:id="1600332521">
      <w:bodyDiv w:val="1"/>
      <w:marLeft w:val="0"/>
      <w:marRight w:val="0"/>
      <w:marTop w:val="0"/>
      <w:marBottom w:val="0"/>
      <w:divBdr>
        <w:top w:val="none" w:sz="0" w:space="0" w:color="auto"/>
        <w:left w:val="none" w:sz="0" w:space="0" w:color="auto"/>
        <w:bottom w:val="none" w:sz="0" w:space="0" w:color="auto"/>
        <w:right w:val="none" w:sz="0" w:space="0" w:color="auto"/>
      </w:divBdr>
    </w:div>
    <w:div w:id="1600523244">
      <w:bodyDiv w:val="1"/>
      <w:marLeft w:val="0"/>
      <w:marRight w:val="0"/>
      <w:marTop w:val="0"/>
      <w:marBottom w:val="0"/>
      <w:divBdr>
        <w:top w:val="none" w:sz="0" w:space="0" w:color="auto"/>
        <w:left w:val="none" w:sz="0" w:space="0" w:color="auto"/>
        <w:bottom w:val="none" w:sz="0" w:space="0" w:color="auto"/>
        <w:right w:val="none" w:sz="0" w:space="0" w:color="auto"/>
      </w:divBdr>
    </w:div>
    <w:div w:id="1600527524">
      <w:bodyDiv w:val="1"/>
      <w:marLeft w:val="0"/>
      <w:marRight w:val="0"/>
      <w:marTop w:val="0"/>
      <w:marBottom w:val="0"/>
      <w:divBdr>
        <w:top w:val="none" w:sz="0" w:space="0" w:color="auto"/>
        <w:left w:val="none" w:sz="0" w:space="0" w:color="auto"/>
        <w:bottom w:val="none" w:sz="0" w:space="0" w:color="auto"/>
        <w:right w:val="none" w:sz="0" w:space="0" w:color="auto"/>
      </w:divBdr>
    </w:div>
    <w:div w:id="1600681441">
      <w:bodyDiv w:val="1"/>
      <w:marLeft w:val="0"/>
      <w:marRight w:val="0"/>
      <w:marTop w:val="0"/>
      <w:marBottom w:val="0"/>
      <w:divBdr>
        <w:top w:val="none" w:sz="0" w:space="0" w:color="auto"/>
        <w:left w:val="none" w:sz="0" w:space="0" w:color="auto"/>
        <w:bottom w:val="none" w:sz="0" w:space="0" w:color="auto"/>
        <w:right w:val="none" w:sz="0" w:space="0" w:color="auto"/>
      </w:divBdr>
    </w:div>
    <w:div w:id="1600722387">
      <w:bodyDiv w:val="1"/>
      <w:marLeft w:val="0"/>
      <w:marRight w:val="0"/>
      <w:marTop w:val="0"/>
      <w:marBottom w:val="0"/>
      <w:divBdr>
        <w:top w:val="none" w:sz="0" w:space="0" w:color="auto"/>
        <w:left w:val="none" w:sz="0" w:space="0" w:color="auto"/>
        <w:bottom w:val="none" w:sz="0" w:space="0" w:color="auto"/>
        <w:right w:val="none" w:sz="0" w:space="0" w:color="auto"/>
      </w:divBdr>
    </w:div>
    <w:div w:id="1600794222">
      <w:bodyDiv w:val="1"/>
      <w:marLeft w:val="0"/>
      <w:marRight w:val="0"/>
      <w:marTop w:val="0"/>
      <w:marBottom w:val="0"/>
      <w:divBdr>
        <w:top w:val="none" w:sz="0" w:space="0" w:color="auto"/>
        <w:left w:val="none" w:sz="0" w:space="0" w:color="auto"/>
        <w:bottom w:val="none" w:sz="0" w:space="0" w:color="auto"/>
        <w:right w:val="none" w:sz="0" w:space="0" w:color="auto"/>
      </w:divBdr>
    </w:div>
    <w:div w:id="1600795884">
      <w:bodyDiv w:val="1"/>
      <w:marLeft w:val="0"/>
      <w:marRight w:val="0"/>
      <w:marTop w:val="0"/>
      <w:marBottom w:val="0"/>
      <w:divBdr>
        <w:top w:val="none" w:sz="0" w:space="0" w:color="auto"/>
        <w:left w:val="none" w:sz="0" w:space="0" w:color="auto"/>
        <w:bottom w:val="none" w:sz="0" w:space="0" w:color="auto"/>
        <w:right w:val="none" w:sz="0" w:space="0" w:color="auto"/>
      </w:divBdr>
    </w:div>
    <w:div w:id="1600914499">
      <w:bodyDiv w:val="1"/>
      <w:marLeft w:val="0"/>
      <w:marRight w:val="0"/>
      <w:marTop w:val="0"/>
      <w:marBottom w:val="0"/>
      <w:divBdr>
        <w:top w:val="none" w:sz="0" w:space="0" w:color="auto"/>
        <w:left w:val="none" w:sz="0" w:space="0" w:color="auto"/>
        <w:bottom w:val="none" w:sz="0" w:space="0" w:color="auto"/>
        <w:right w:val="none" w:sz="0" w:space="0" w:color="auto"/>
      </w:divBdr>
    </w:div>
    <w:div w:id="1600917055">
      <w:bodyDiv w:val="1"/>
      <w:marLeft w:val="0"/>
      <w:marRight w:val="0"/>
      <w:marTop w:val="0"/>
      <w:marBottom w:val="0"/>
      <w:divBdr>
        <w:top w:val="none" w:sz="0" w:space="0" w:color="auto"/>
        <w:left w:val="none" w:sz="0" w:space="0" w:color="auto"/>
        <w:bottom w:val="none" w:sz="0" w:space="0" w:color="auto"/>
        <w:right w:val="none" w:sz="0" w:space="0" w:color="auto"/>
      </w:divBdr>
    </w:div>
    <w:div w:id="1600989373">
      <w:bodyDiv w:val="1"/>
      <w:marLeft w:val="0"/>
      <w:marRight w:val="0"/>
      <w:marTop w:val="0"/>
      <w:marBottom w:val="0"/>
      <w:divBdr>
        <w:top w:val="none" w:sz="0" w:space="0" w:color="auto"/>
        <w:left w:val="none" w:sz="0" w:space="0" w:color="auto"/>
        <w:bottom w:val="none" w:sz="0" w:space="0" w:color="auto"/>
        <w:right w:val="none" w:sz="0" w:space="0" w:color="auto"/>
      </w:divBdr>
    </w:div>
    <w:div w:id="1601377355">
      <w:bodyDiv w:val="1"/>
      <w:marLeft w:val="0"/>
      <w:marRight w:val="0"/>
      <w:marTop w:val="0"/>
      <w:marBottom w:val="0"/>
      <w:divBdr>
        <w:top w:val="none" w:sz="0" w:space="0" w:color="auto"/>
        <w:left w:val="none" w:sz="0" w:space="0" w:color="auto"/>
        <w:bottom w:val="none" w:sz="0" w:space="0" w:color="auto"/>
        <w:right w:val="none" w:sz="0" w:space="0" w:color="auto"/>
      </w:divBdr>
    </w:div>
    <w:div w:id="1601453641">
      <w:bodyDiv w:val="1"/>
      <w:marLeft w:val="0"/>
      <w:marRight w:val="0"/>
      <w:marTop w:val="0"/>
      <w:marBottom w:val="0"/>
      <w:divBdr>
        <w:top w:val="none" w:sz="0" w:space="0" w:color="auto"/>
        <w:left w:val="none" w:sz="0" w:space="0" w:color="auto"/>
        <w:bottom w:val="none" w:sz="0" w:space="0" w:color="auto"/>
        <w:right w:val="none" w:sz="0" w:space="0" w:color="auto"/>
      </w:divBdr>
    </w:div>
    <w:div w:id="1601523269">
      <w:bodyDiv w:val="1"/>
      <w:marLeft w:val="0"/>
      <w:marRight w:val="0"/>
      <w:marTop w:val="0"/>
      <w:marBottom w:val="0"/>
      <w:divBdr>
        <w:top w:val="none" w:sz="0" w:space="0" w:color="auto"/>
        <w:left w:val="none" w:sz="0" w:space="0" w:color="auto"/>
        <w:bottom w:val="none" w:sz="0" w:space="0" w:color="auto"/>
        <w:right w:val="none" w:sz="0" w:space="0" w:color="auto"/>
      </w:divBdr>
    </w:div>
    <w:div w:id="1601572094">
      <w:bodyDiv w:val="1"/>
      <w:marLeft w:val="0"/>
      <w:marRight w:val="0"/>
      <w:marTop w:val="0"/>
      <w:marBottom w:val="0"/>
      <w:divBdr>
        <w:top w:val="none" w:sz="0" w:space="0" w:color="auto"/>
        <w:left w:val="none" w:sz="0" w:space="0" w:color="auto"/>
        <w:bottom w:val="none" w:sz="0" w:space="0" w:color="auto"/>
        <w:right w:val="none" w:sz="0" w:space="0" w:color="auto"/>
      </w:divBdr>
    </w:div>
    <w:div w:id="1601598485">
      <w:bodyDiv w:val="1"/>
      <w:marLeft w:val="0"/>
      <w:marRight w:val="0"/>
      <w:marTop w:val="0"/>
      <w:marBottom w:val="0"/>
      <w:divBdr>
        <w:top w:val="none" w:sz="0" w:space="0" w:color="auto"/>
        <w:left w:val="none" w:sz="0" w:space="0" w:color="auto"/>
        <w:bottom w:val="none" w:sz="0" w:space="0" w:color="auto"/>
        <w:right w:val="none" w:sz="0" w:space="0" w:color="auto"/>
      </w:divBdr>
    </w:div>
    <w:div w:id="1601718155">
      <w:bodyDiv w:val="1"/>
      <w:marLeft w:val="0"/>
      <w:marRight w:val="0"/>
      <w:marTop w:val="0"/>
      <w:marBottom w:val="0"/>
      <w:divBdr>
        <w:top w:val="none" w:sz="0" w:space="0" w:color="auto"/>
        <w:left w:val="none" w:sz="0" w:space="0" w:color="auto"/>
        <w:bottom w:val="none" w:sz="0" w:space="0" w:color="auto"/>
        <w:right w:val="none" w:sz="0" w:space="0" w:color="auto"/>
      </w:divBdr>
    </w:div>
    <w:div w:id="1601718675">
      <w:bodyDiv w:val="1"/>
      <w:marLeft w:val="0"/>
      <w:marRight w:val="0"/>
      <w:marTop w:val="0"/>
      <w:marBottom w:val="0"/>
      <w:divBdr>
        <w:top w:val="none" w:sz="0" w:space="0" w:color="auto"/>
        <w:left w:val="none" w:sz="0" w:space="0" w:color="auto"/>
        <w:bottom w:val="none" w:sz="0" w:space="0" w:color="auto"/>
        <w:right w:val="none" w:sz="0" w:space="0" w:color="auto"/>
      </w:divBdr>
    </w:div>
    <w:div w:id="1601793166">
      <w:bodyDiv w:val="1"/>
      <w:marLeft w:val="0"/>
      <w:marRight w:val="0"/>
      <w:marTop w:val="0"/>
      <w:marBottom w:val="0"/>
      <w:divBdr>
        <w:top w:val="none" w:sz="0" w:space="0" w:color="auto"/>
        <w:left w:val="none" w:sz="0" w:space="0" w:color="auto"/>
        <w:bottom w:val="none" w:sz="0" w:space="0" w:color="auto"/>
        <w:right w:val="none" w:sz="0" w:space="0" w:color="auto"/>
      </w:divBdr>
    </w:div>
    <w:div w:id="1601793504">
      <w:bodyDiv w:val="1"/>
      <w:marLeft w:val="0"/>
      <w:marRight w:val="0"/>
      <w:marTop w:val="0"/>
      <w:marBottom w:val="0"/>
      <w:divBdr>
        <w:top w:val="none" w:sz="0" w:space="0" w:color="auto"/>
        <w:left w:val="none" w:sz="0" w:space="0" w:color="auto"/>
        <w:bottom w:val="none" w:sz="0" w:space="0" w:color="auto"/>
        <w:right w:val="none" w:sz="0" w:space="0" w:color="auto"/>
      </w:divBdr>
    </w:div>
    <w:div w:id="1602057861">
      <w:bodyDiv w:val="1"/>
      <w:marLeft w:val="0"/>
      <w:marRight w:val="0"/>
      <w:marTop w:val="0"/>
      <w:marBottom w:val="0"/>
      <w:divBdr>
        <w:top w:val="none" w:sz="0" w:space="0" w:color="auto"/>
        <w:left w:val="none" w:sz="0" w:space="0" w:color="auto"/>
        <w:bottom w:val="none" w:sz="0" w:space="0" w:color="auto"/>
        <w:right w:val="none" w:sz="0" w:space="0" w:color="auto"/>
      </w:divBdr>
    </w:div>
    <w:div w:id="1602059592">
      <w:bodyDiv w:val="1"/>
      <w:marLeft w:val="0"/>
      <w:marRight w:val="0"/>
      <w:marTop w:val="0"/>
      <w:marBottom w:val="0"/>
      <w:divBdr>
        <w:top w:val="none" w:sz="0" w:space="0" w:color="auto"/>
        <w:left w:val="none" w:sz="0" w:space="0" w:color="auto"/>
        <w:bottom w:val="none" w:sz="0" w:space="0" w:color="auto"/>
        <w:right w:val="none" w:sz="0" w:space="0" w:color="auto"/>
      </w:divBdr>
    </w:div>
    <w:div w:id="1602109461">
      <w:bodyDiv w:val="1"/>
      <w:marLeft w:val="0"/>
      <w:marRight w:val="0"/>
      <w:marTop w:val="0"/>
      <w:marBottom w:val="0"/>
      <w:divBdr>
        <w:top w:val="none" w:sz="0" w:space="0" w:color="auto"/>
        <w:left w:val="none" w:sz="0" w:space="0" w:color="auto"/>
        <w:bottom w:val="none" w:sz="0" w:space="0" w:color="auto"/>
        <w:right w:val="none" w:sz="0" w:space="0" w:color="auto"/>
      </w:divBdr>
    </w:div>
    <w:div w:id="1602178281">
      <w:bodyDiv w:val="1"/>
      <w:marLeft w:val="0"/>
      <w:marRight w:val="0"/>
      <w:marTop w:val="0"/>
      <w:marBottom w:val="0"/>
      <w:divBdr>
        <w:top w:val="none" w:sz="0" w:space="0" w:color="auto"/>
        <w:left w:val="none" w:sz="0" w:space="0" w:color="auto"/>
        <w:bottom w:val="none" w:sz="0" w:space="0" w:color="auto"/>
        <w:right w:val="none" w:sz="0" w:space="0" w:color="auto"/>
      </w:divBdr>
    </w:div>
    <w:div w:id="1602225784">
      <w:bodyDiv w:val="1"/>
      <w:marLeft w:val="0"/>
      <w:marRight w:val="0"/>
      <w:marTop w:val="0"/>
      <w:marBottom w:val="0"/>
      <w:divBdr>
        <w:top w:val="none" w:sz="0" w:space="0" w:color="auto"/>
        <w:left w:val="none" w:sz="0" w:space="0" w:color="auto"/>
        <w:bottom w:val="none" w:sz="0" w:space="0" w:color="auto"/>
        <w:right w:val="none" w:sz="0" w:space="0" w:color="auto"/>
      </w:divBdr>
    </w:div>
    <w:div w:id="1602444945">
      <w:bodyDiv w:val="1"/>
      <w:marLeft w:val="0"/>
      <w:marRight w:val="0"/>
      <w:marTop w:val="0"/>
      <w:marBottom w:val="0"/>
      <w:divBdr>
        <w:top w:val="none" w:sz="0" w:space="0" w:color="auto"/>
        <w:left w:val="none" w:sz="0" w:space="0" w:color="auto"/>
        <w:bottom w:val="none" w:sz="0" w:space="0" w:color="auto"/>
        <w:right w:val="none" w:sz="0" w:space="0" w:color="auto"/>
      </w:divBdr>
    </w:div>
    <w:div w:id="1602450266">
      <w:bodyDiv w:val="1"/>
      <w:marLeft w:val="0"/>
      <w:marRight w:val="0"/>
      <w:marTop w:val="0"/>
      <w:marBottom w:val="0"/>
      <w:divBdr>
        <w:top w:val="none" w:sz="0" w:space="0" w:color="auto"/>
        <w:left w:val="none" w:sz="0" w:space="0" w:color="auto"/>
        <w:bottom w:val="none" w:sz="0" w:space="0" w:color="auto"/>
        <w:right w:val="none" w:sz="0" w:space="0" w:color="auto"/>
      </w:divBdr>
    </w:div>
    <w:div w:id="1602453240">
      <w:bodyDiv w:val="1"/>
      <w:marLeft w:val="0"/>
      <w:marRight w:val="0"/>
      <w:marTop w:val="0"/>
      <w:marBottom w:val="0"/>
      <w:divBdr>
        <w:top w:val="none" w:sz="0" w:space="0" w:color="auto"/>
        <w:left w:val="none" w:sz="0" w:space="0" w:color="auto"/>
        <w:bottom w:val="none" w:sz="0" w:space="0" w:color="auto"/>
        <w:right w:val="none" w:sz="0" w:space="0" w:color="auto"/>
      </w:divBdr>
    </w:div>
    <w:div w:id="1602565027">
      <w:bodyDiv w:val="1"/>
      <w:marLeft w:val="0"/>
      <w:marRight w:val="0"/>
      <w:marTop w:val="0"/>
      <w:marBottom w:val="0"/>
      <w:divBdr>
        <w:top w:val="none" w:sz="0" w:space="0" w:color="auto"/>
        <w:left w:val="none" w:sz="0" w:space="0" w:color="auto"/>
        <w:bottom w:val="none" w:sz="0" w:space="0" w:color="auto"/>
        <w:right w:val="none" w:sz="0" w:space="0" w:color="auto"/>
      </w:divBdr>
    </w:div>
    <w:div w:id="1602715001">
      <w:bodyDiv w:val="1"/>
      <w:marLeft w:val="0"/>
      <w:marRight w:val="0"/>
      <w:marTop w:val="0"/>
      <w:marBottom w:val="0"/>
      <w:divBdr>
        <w:top w:val="none" w:sz="0" w:space="0" w:color="auto"/>
        <w:left w:val="none" w:sz="0" w:space="0" w:color="auto"/>
        <w:bottom w:val="none" w:sz="0" w:space="0" w:color="auto"/>
        <w:right w:val="none" w:sz="0" w:space="0" w:color="auto"/>
      </w:divBdr>
    </w:div>
    <w:div w:id="1602756900">
      <w:bodyDiv w:val="1"/>
      <w:marLeft w:val="0"/>
      <w:marRight w:val="0"/>
      <w:marTop w:val="0"/>
      <w:marBottom w:val="0"/>
      <w:divBdr>
        <w:top w:val="none" w:sz="0" w:space="0" w:color="auto"/>
        <w:left w:val="none" w:sz="0" w:space="0" w:color="auto"/>
        <w:bottom w:val="none" w:sz="0" w:space="0" w:color="auto"/>
        <w:right w:val="none" w:sz="0" w:space="0" w:color="auto"/>
      </w:divBdr>
    </w:div>
    <w:div w:id="1602836124">
      <w:bodyDiv w:val="1"/>
      <w:marLeft w:val="0"/>
      <w:marRight w:val="0"/>
      <w:marTop w:val="0"/>
      <w:marBottom w:val="0"/>
      <w:divBdr>
        <w:top w:val="none" w:sz="0" w:space="0" w:color="auto"/>
        <w:left w:val="none" w:sz="0" w:space="0" w:color="auto"/>
        <w:bottom w:val="none" w:sz="0" w:space="0" w:color="auto"/>
        <w:right w:val="none" w:sz="0" w:space="0" w:color="auto"/>
      </w:divBdr>
    </w:div>
    <w:div w:id="1602882724">
      <w:bodyDiv w:val="1"/>
      <w:marLeft w:val="0"/>
      <w:marRight w:val="0"/>
      <w:marTop w:val="0"/>
      <w:marBottom w:val="0"/>
      <w:divBdr>
        <w:top w:val="none" w:sz="0" w:space="0" w:color="auto"/>
        <w:left w:val="none" w:sz="0" w:space="0" w:color="auto"/>
        <w:bottom w:val="none" w:sz="0" w:space="0" w:color="auto"/>
        <w:right w:val="none" w:sz="0" w:space="0" w:color="auto"/>
      </w:divBdr>
    </w:div>
    <w:div w:id="1602951545">
      <w:bodyDiv w:val="1"/>
      <w:marLeft w:val="0"/>
      <w:marRight w:val="0"/>
      <w:marTop w:val="0"/>
      <w:marBottom w:val="0"/>
      <w:divBdr>
        <w:top w:val="none" w:sz="0" w:space="0" w:color="auto"/>
        <w:left w:val="none" w:sz="0" w:space="0" w:color="auto"/>
        <w:bottom w:val="none" w:sz="0" w:space="0" w:color="auto"/>
        <w:right w:val="none" w:sz="0" w:space="0" w:color="auto"/>
      </w:divBdr>
    </w:div>
    <w:div w:id="1602956139">
      <w:bodyDiv w:val="1"/>
      <w:marLeft w:val="0"/>
      <w:marRight w:val="0"/>
      <w:marTop w:val="0"/>
      <w:marBottom w:val="0"/>
      <w:divBdr>
        <w:top w:val="none" w:sz="0" w:space="0" w:color="auto"/>
        <w:left w:val="none" w:sz="0" w:space="0" w:color="auto"/>
        <w:bottom w:val="none" w:sz="0" w:space="0" w:color="auto"/>
        <w:right w:val="none" w:sz="0" w:space="0" w:color="auto"/>
      </w:divBdr>
    </w:div>
    <w:div w:id="1603025300">
      <w:bodyDiv w:val="1"/>
      <w:marLeft w:val="0"/>
      <w:marRight w:val="0"/>
      <w:marTop w:val="0"/>
      <w:marBottom w:val="0"/>
      <w:divBdr>
        <w:top w:val="none" w:sz="0" w:space="0" w:color="auto"/>
        <w:left w:val="none" w:sz="0" w:space="0" w:color="auto"/>
        <w:bottom w:val="none" w:sz="0" w:space="0" w:color="auto"/>
        <w:right w:val="none" w:sz="0" w:space="0" w:color="auto"/>
      </w:divBdr>
    </w:div>
    <w:div w:id="1603031380">
      <w:bodyDiv w:val="1"/>
      <w:marLeft w:val="0"/>
      <w:marRight w:val="0"/>
      <w:marTop w:val="0"/>
      <w:marBottom w:val="0"/>
      <w:divBdr>
        <w:top w:val="none" w:sz="0" w:space="0" w:color="auto"/>
        <w:left w:val="none" w:sz="0" w:space="0" w:color="auto"/>
        <w:bottom w:val="none" w:sz="0" w:space="0" w:color="auto"/>
        <w:right w:val="none" w:sz="0" w:space="0" w:color="auto"/>
      </w:divBdr>
    </w:div>
    <w:div w:id="1603148979">
      <w:bodyDiv w:val="1"/>
      <w:marLeft w:val="0"/>
      <w:marRight w:val="0"/>
      <w:marTop w:val="0"/>
      <w:marBottom w:val="0"/>
      <w:divBdr>
        <w:top w:val="none" w:sz="0" w:space="0" w:color="auto"/>
        <w:left w:val="none" w:sz="0" w:space="0" w:color="auto"/>
        <w:bottom w:val="none" w:sz="0" w:space="0" w:color="auto"/>
        <w:right w:val="none" w:sz="0" w:space="0" w:color="auto"/>
      </w:divBdr>
    </w:div>
    <w:div w:id="1603296839">
      <w:bodyDiv w:val="1"/>
      <w:marLeft w:val="0"/>
      <w:marRight w:val="0"/>
      <w:marTop w:val="0"/>
      <w:marBottom w:val="0"/>
      <w:divBdr>
        <w:top w:val="none" w:sz="0" w:space="0" w:color="auto"/>
        <w:left w:val="none" w:sz="0" w:space="0" w:color="auto"/>
        <w:bottom w:val="none" w:sz="0" w:space="0" w:color="auto"/>
        <w:right w:val="none" w:sz="0" w:space="0" w:color="auto"/>
      </w:divBdr>
    </w:div>
    <w:div w:id="1603298485">
      <w:bodyDiv w:val="1"/>
      <w:marLeft w:val="0"/>
      <w:marRight w:val="0"/>
      <w:marTop w:val="0"/>
      <w:marBottom w:val="0"/>
      <w:divBdr>
        <w:top w:val="none" w:sz="0" w:space="0" w:color="auto"/>
        <w:left w:val="none" w:sz="0" w:space="0" w:color="auto"/>
        <w:bottom w:val="none" w:sz="0" w:space="0" w:color="auto"/>
        <w:right w:val="none" w:sz="0" w:space="0" w:color="auto"/>
      </w:divBdr>
    </w:div>
    <w:div w:id="1603491212">
      <w:bodyDiv w:val="1"/>
      <w:marLeft w:val="0"/>
      <w:marRight w:val="0"/>
      <w:marTop w:val="0"/>
      <w:marBottom w:val="0"/>
      <w:divBdr>
        <w:top w:val="none" w:sz="0" w:space="0" w:color="auto"/>
        <w:left w:val="none" w:sz="0" w:space="0" w:color="auto"/>
        <w:bottom w:val="none" w:sz="0" w:space="0" w:color="auto"/>
        <w:right w:val="none" w:sz="0" w:space="0" w:color="auto"/>
      </w:divBdr>
    </w:div>
    <w:div w:id="1603562086">
      <w:bodyDiv w:val="1"/>
      <w:marLeft w:val="0"/>
      <w:marRight w:val="0"/>
      <w:marTop w:val="0"/>
      <w:marBottom w:val="0"/>
      <w:divBdr>
        <w:top w:val="none" w:sz="0" w:space="0" w:color="auto"/>
        <w:left w:val="none" w:sz="0" w:space="0" w:color="auto"/>
        <w:bottom w:val="none" w:sz="0" w:space="0" w:color="auto"/>
        <w:right w:val="none" w:sz="0" w:space="0" w:color="auto"/>
      </w:divBdr>
    </w:div>
    <w:div w:id="1603565522">
      <w:bodyDiv w:val="1"/>
      <w:marLeft w:val="0"/>
      <w:marRight w:val="0"/>
      <w:marTop w:val="0"/>
      <w:marBottom w:val="0"/>
      <w:divBdr>
        <w:top w:val="none" w:sz="0" w:space="0" w:color="auto"/>
        <w:left w:val="none" w:sz="0" w:space="0" w:color="auto"/>
        <w:bottom w:val="none" w:sz="0" w:space="0" w:color="auto"/>
        <w:right w:val="none" w:sz="0" w:space="0" w:color="auto"/>
      </w:divBdr>
    </w:div>
    <w:div w:id="1603608733">
      <w:bodyDiv w:val="1"/>
      <w:marLeft w:val="0"/>
      <w:marRight w:val="0"/>
      <w:marTop w:val="0"/>
      <w:marBottom w:val="0"/>
      <w:divBdr>
        <w:top w:val="none" w:sz="0" w:space="0" w:color="auto"/>
        <w:left w:val="none" w:sz="0" w:space="0" w:color="auto"/>
        <w:bottom w:val="none" w:sz="0" w:space="0" w:color="auto"/>
        <w:right w:val="none" w:sz="0" w:space="0" w:color="auto"/>
      </w:divBdr>
    </w:div>
    <w:div w:id="1603609164">
      <w:bodyDiv w:val="1"/>
      <w:marLeft w:val="0"/>
      <w:marRight w:val="0"/>
      <w:marTop w:val="0"/>
      <w:marBottom w:val="0"/>
      <w:divBdr>
        <w:top w:val="none" w:sz="0" w:space="0" w:color="auto"/>
        <w:left w:val="none" w:sz="0" w:space="0" w:color="auto"/>
        <w:bottom w:val="none" w:sz="0" w:space="0" w:color="auto"/>
        <w:right w:val="none" w:sz="0" w:space="0" w:color="auto"/>
      </w:divBdr>
    </w:div>
    <w:div w:id="1603611323">
      <w:bodyDiv w:val="1"/>
      <w:marLeft w:val="0"/>
      <w:marRight w:val="0"/>
      <w:marTop w:val="0"/>
      <w:marBottom w:val="0"/>
      <w:divBdr>
        <w:top w:val="none" w:sz="0" w:space="0" w:color="auto"/>
        <w:left w:val="none" w:sz="0" w:space="0" w:color="auto"/>
        <w:bottom w:val="none" w:sz="0" w:space="0" w:color="auto"/>
        <w:right w:val="none" w:sz="0" w:space="0" w:color="auto"/>
      </w:divBdr>
    </w:div>
    <w:div w:id="1603687210">
      <w:bodyDiv w:val="1"/>
      <w:marLeft w:val="0"/>
      <w:marRight w:val="0"/>
      <w:marTop w:val="0"/>
      <w:marBottom w:val="0"/>
      <w:divBdr>
        <w:top w:val="none" w:sz="0" w:space="0" w:color="auto"/>
        <w:left w:val="none" w:sz="0" w:space="0" w:color="auto"/>
        <w:bottom w:val="none" w:sz="0" w:space="0" w:color="auto"/>
        <w:right w:val="none" w:sz="0" w:space="0" w:color="auto"/>
      </w:divBdr>
    </w:div>
    <w:div w:id="1603763980">
      <w:bodyDiv w:val="1"/>
      <w:marLeft w:val="0"/>
      <w:marRight w:val="0"/>
      <w:marTop w:val="0"/>
      <w:marBottom w:val="0"/>
      <w:divBdr>
        <w:top w:val="none" w:sz="0" w:space="0" w:color="auto"/>
        <w:left w:val="none" w:sz="0" w:space="0" w:color="auto"/>
        <w:bottom w:val="none" w:sz="0" w:space="0" w:color="auto"/>
        <w:right w:val="none" w:sz="0" w:space="0" w:color="auto"/>
      </w:divBdr>
    </w:div>
    <w:div w:id="1603873201">
      <w:bodyDiv w:val="1"/>
      <w:marLeft w:val="0"/>
      <w:marRight w:val="0"/>
      <w:marTop w:val="0"/>
      <w:marBottom w:val="0"/>
      <w:divBdr>
        <w:top w:val="none" w:sz="0" w:space="0" w:color="auto"/>
        <w:left w:val="none" w:sz="0" w:space="0" w:color="auto"/>
        <w:bottom w:val="none" w:sz="0" w:space="0" w:color="auto"/>
        <w:right w:val="none" w:sz="0" w:space="0" w:color="auto"/>
      </w:divBdr>
    </w:div>
    <w:div w:id="1603878357">
      <w:bodyDiv w:val="1"/>
      <w:marLeft w:val="0"/>
      <w:marRight w:val="0"/>
      <w:marTop w:val="0"/>
      <w:marBottom w:val="0"/>
      <w:divBdr>
        <w:top w:val="none" w:sz="0" w:space="0" w:color="auto"/>
        <w:left w:val="none" w:sz="0" w:space="0" w:color="auto"/>
        <w:bottom w:val="none" w:sz="0" w:space="0" w:color="auto"/>
        <w:right w:val="none" w:sz="0" w:space="0" w:color="auto"/>
      </w:divBdr>
    </w:div>
    <w:div w:id="1603998973">
      <w:bodyDiv w:val="1"/>
      <w:marLeft w:val="0"/>
      <w:marRight w:val="0"/>
      <w:marTop w:val="0"/>
      <w:marBottom w:val="0"/>
      <w:divBdr>
        <w:top w:val="none" w:sz="0" w:space="0" w:color="auto"/>
        <w:left w:val="none" w:sz="0" w:space="0" w:color="auto"/>
        <w:bottom w:val="none" w:sz="0" w:space="0" w:color="auto"/>
        <w:right w:val="none" w:sz="0" w:space="0" w:color="auto"/>
      </w:divBdr>
    </w:div>
    <w:div w:id="1604147319">
      <w:bodyDiv w:val="1"/>
      <w:marLeft w:val="0"/>
      <w:marRight w:val="0"/>
      <w:marTop w:val="0"/>
      <w:marBottom w:val="0"/>
      <w:divBdr>
        <w:top w:val="none" w:sz="0" w:space="0" w:color="auto"/>
        <w:left w:val="none" w:sz="0" w:space="0" w:color="auto"/>
        <w:bottom w:val="none" w:sz="0" w:space="0" w:color="auto"/>
        <w:right w:val="none" w:sz="0" w:space="0" w:color="auto"/>
      </w:divBdr>
    </w:div>
    <w:div w:id="1604418246">
      <w:bodyDiv w:val="1"/>
      <w:marLeft w:val="0"/>
      <w:marRight w:val="0"/>
      <w:marTop w:val="0"/>
      <w:marBottom w:val="0"/>
      <w:divBdr>
        <w:top w:val="none" w:sz="0" w:space="0" w:color="auto"/>
        <w:left w:val="none" w:sz="0" w:space="0" w:color="auto"/>
        <w:bottom w:val="none" w:sz="0" w:space="0" w:color="auto"/>
        <w:right w:val="none" w:sz="0" w:space="0" w:color="auto"/>
      </w:divBdr>
    </w:div>
    <w:div w:id="1604454753">
      <w:bodyDiv w:val="1"/>
      <w:marLeft w:val="0"/>
      <w:marRight w:val="0"/>
      <w:marTop w:val="0"/>
      <w:marBottom w:val="0"/>
      <w:divBdr>
        <w:top w:val="none" w:sz="0" w:space="0" w:color="auto"/>
        <w:left w:val="none" w:sz="0" w:space="0" w:color="auto"/>
        <w:bottom w:val="none" w:sz="0" w:space="0" w:color="auto"/>
        <w:right w:val="none" w:sz="0" w:space="0" w:color="auto"/>
      </w:divBdr>
    </w:div>
    <w:div w:id="1604456087">
      <w:bodyDiv w:val="1"/>
      <w:marLeft w:val="0"/>
      <w:marRight w:val="0"/>
      <w:marTop w:val="0"/>
      <w:marBottom w:val="0"/>
      <w:divBdr>
        <w:top w:val="none" w:sz="0" w:space="0" w:color="auto"/>
        <w:left w:val="none" w:sz="0" w:space="0" w:color="auto"/>
        <w:bottom w:val="none" w:sz="0" w:space="0" w:color="auto"/>
        <w:right w:val="none" w:sz="0" w:space="0" w:color="auto"/>
      </w:divBdr>
    </w:div>
    <w:div w:id="1604460260">
      <w:bodyDiv w:val="1"/>
      <w:marLeft w:val="0"/>
      <w:marRight w:val="0"/>
      <w:marTop w:val="0"/>
      <w:marBottom w:val="0"/>
      <w:divBdr>
        <w:top w:val="none" w:sz="0" w:space="0" w:color="auto"/>
        <w:left w:val="none" w:sz="0" w:space="0" w:color="auto"/>
        <w:bottom w:val="none" w:sz="0" w:space="0" w:color="auto"/>
        <w:right w:val="none" w:sz="0" w:space="0" w:color="auto"/>
      </w:divBdr>
    </w:div>
    <w:div w:id="1604727923">
      <w:bodyDiv w:val="1"/>
      <w:marLeft w:val="0"/>
      <w:marRight w:val="0"/>
      <w:marTop w:val="0"/>
      <w:marBottom w:val="0"/>
      <w:divBdr>
        <w:top w:val="none" w:sz="0" w:space="0" w:color="auto"/>
        <w:left w:val="none" w:sz="0" w:space="0" w:color="auto"/>
        <w:bottom w:val="none" w:sz="0" w:space="0" w:color="auto"/>
        <w:right w:val="none" w:sz="0" w:space="0" w:color="auto"/>
      </w:divBdr>
    </w:div>
    <w:div w:id="1604799922">
      <w:bodyDiv w:val="1"/>
      <w:marLeft w:val="0"/>
      <w:marRight w:val="0"/>
      <w:marTop w:val="0"/>
      <w:marBottom w:val="0"/>
      <w:divBdr>
        <w:top w:val="none" w:sz="0" w:space="0" w:color="auto"/>
        <w:left w:val="none" w:sz="0" w:space="0" w:color="auto"/>
        <w:bottom w:val="none" w:sz="0" w:space="0" w:color="auto"/>
        <w:right w:val="none" w:sz="0" w:space="0" w:color="auto"/>
      </w:divBdr>
    </w:div>
    <w:div w:id="1604801178">
      <w:bodyDiv w:val="1"/>
      <w:marLeft w:val="0"/>
      <w:marRight w:val="0"/>
      <w:marTop w:val="0"/>
      <w:marBottom w:val="0"/>
      <w:divBdr>
        <w:top w:val="none" w:sz="0" w:space="0" w:color="auto"/>
        <w:left w:val="none" w:sz="0" w:space="0" w:color="auto"/>
        <w:bottom w:val="none" w:sz="0" w:space="0" w:color="auto"/>
        <w:right w:val="none" w:sz="0" w:space="0" w:color="auto"/>
      </w:divBdr>
    </w:div>
    <w:div w:id="1604801451">
      <w:bodyDiv w:val="1"/>
      <w:marLeft w:val="0"/>
      <w:marRight w:val="0"/>
      <w:marTop w:val="0"/>
      <w:marBottom w:val="0"/>
      <w:divBdr>
        <w:top w:val="none" w:sz="0" w:space="0" w:color="auto"/>
        <w:left w:val="none" w:sz="0" w:space="0" w:color="auto"/>
        <w:bottom w:val="none" w:sz="0" w:space="0" w:color="auto"/>
        <w:right w:val="none" w:sz="0" w:space="0" w:color="auto"/>
      </w:divBdr>
    </w:div>
    <w:div w:id="1604803182">
      <w:bodyDiv w:val="1"/>
      <w:marLeft w:val="0"/>
      <w:marRight w:val="0"/>
      <w:marTop w:val="0"/>
      <w:marBottom w:val="0"/>
      <w:divBdr>
        <w:top w:val="none" w:sz="0" w:space="0" w:color="auto"/>
        <w:left w:val="none" w:sz="0" w:space="0" w:color="auto"/>
        <w:bottom w:val="none" w:sz="0" w:space="0" w:color="auto"/>
        <w:right w:val="none" w:sz="0" w:space="0" w:color="auto"/>
      </w:divBdr>
    </w:div>
    <w:div w:id="1604993269">
      <w:bodyDiv w:val="1"/>
      <w:marLeft w:val="0"/>
      <w:marRight w:val="0"/>
      <w:marTop w:val="0"/>
      <w:marBottom w:val="0"/>
      <w:divBdr>
        <w:top w:val="none" w:sz="0" w:space="0" w:color="auto"/>
        <w:left w:val="none" w:sz="0" w:space="0" w:color="auto"/>
        <w:bottom w:val="none" w:sz="0" w:space="0" w:color="auto"/>
        <w:right w:val="none" w:sz="0" w:space="0" w:color="auto"/>
      </w:divBdr>
    </w:div>
    <w:div w:id="1604995402">
      <w:bodyDiv w:val="1"/>
      <w:marLeft w:val="0"/>
      <w:marRight w:val="0"/>
      <w:marTop w:val="0"/>
      <w:marBottom w:val="0"/>
      <w:divBdr>
        <w:top w:val="none" w:sz="0" w:space="0" w:color="auto"/>
        <w:left w:val="none" w:sz="0" w:space="0" w:color="auto"/>
        <w:bottom w:val="none" w:sz="0" w:space="0" w:color="auto"/>
        <w:right w:val="none" w:sz="0" w:space="0" w:color="auto"/>
      </w:divBdr>
    </w:div>
    <w:div w:id="1604999489">
      <w:bodyDiv w:val="1"/>
      <w:marLeft w:val="0"/>
      <w:marRight w:val="0"/>
      <w:marTop w:val="0"/>
      <w:marBottom w:val="0"/>
      <w:divBdr>
        <w:top w:val="none" w:sz="0" w:space="0" w:color="auto"/>
        <w:left w:val="none" w:sz="0" w:space="0" w:color="auto"/>
        <w:bottom w:val="none" w:sz="0" w:space="0" w:color="auto"/>
        <w:right w:val="none" w:sz="0" w:space="0" w:color="auto"/>
      </w:divBdr>
    </w:div>
    <w:div w:id="1605070559">
      <w:bodyDiv w:val="1"/>
      <w:marLeft w:val="0"/>
      <w:marRight w:val="0"/>
      <w:marTop w:val="0"/>
      <w:marBottom w:val="0"/>
      <w:divBdr>
        <w:top w:val="none" w:sz="0" w:space="0" w:color="auto"/>
        <w:left w:val="none" w:sz="0" w:space="0" w:color="auto"/>
        <w:bottom w:val="none" w:sz="0" w:space="0" w:color="auto"/>
        <w:right w:val="none" w:sz="0" w:space="0" w:color="auto"/>
      </w:divBdr>
    </w:div>
    <w:div w:id="1605072084">
      <w:bodyDiv w:val="1"/>
      <w:marLeft w:val="0"/>
      <w:marRight w:val="0"/>
      <w:marTop w:val="0"/>
      <w:marBottom w:val="0"/>
      <w:divBdr>
        <w:top w:val="none" w:sz="0" w:space="0" w:color="auto"/>
        <w:left w:val="none" w:sz="0" w:space="0" w:color="auto"/>
        <w:bottom w:val="none" w:sz="0" w:space="0" w:color="auto"/>
        <w:right w:val="none" w:sz="0" w:space="0" w:color="auto"/>
      </w:divBdr>
    </w:div>
    <w:div w:id="1605073220">
      <w:bodyDiv w:val="1"/>
      <w:marLeft w:val="0"/>
      <w:marRight w:val="0"/>
      <w:marTop w:val="0"/>
      <w:marBottom w:val="0"/>
      <w:divBdr>
        <w:top w:val="none" w:sz="0" w:space="0" w:color="auto"/>
        <w:left w:val="none" w:sz="0" w:space="0" w:color="auto"/>
        <w:bottom w:val="none" w:sz="0" w:space="0" w:color="auto"/>
        <w:right w:val="none" w:sz="0" w:space="0" w:color="auto"/>
      </w:divBdr>
    </w:div>
    <w:div w:id="1605117579">
      <w:bodyDiv w:val="1"/>
      <w:marLeft w:val="0"/>
      <w:marRight w:val="0"/>
      <w:marTop w:val="0"/>
      <w:marBottom w:val="0"/>
      <w:divBdr>
        <w:top w:val="none" w:sz="0" w:space="0" w:color="auto"/>
        <w:left w:val="none" w:sz="0" w:space="0" w:color="auto"/>
        <w:bottom w:val="none" w:sz="0" w:space="0" w:color="auto"/>
        <w:right w:val="none" w:sz="0" w:space="0" w:color="auto"/>
      </w:divBdr>
    </w:div>
    <w:div w:id="1605260711">
      <w:bodyDiv w:val="1"/>
      <w:marLeft w:val="0"/>
      <w:marRight w:val="0"/>
      <w:marTop w:val="0"/>
      <w:marBottom w:val="0"/>
      <w:divBdr>
        <w:top w:val="none" w:sz="0" w:space="0" w:color="auto"/>
        <w:left w:val="none" w:sz="0" w:space="0" w:color="auto"/>
        <w:bottom w:val="none" w:sz="0" w:space="0" w:color="auto"/>
        <w:right w:val="none" w:sz="0" w:space="0" w:color="auto"/>
      </w:divBdr>
    </w:div>
    <w:div w:id="1605308097">
      <w:bodyDiv w:val="1"/>
      <w:marLeft w:val="0"/>
      <w:marRight w:val="0"/>
      <w:marTop w:val="0"/>
      <w:marBottom w:val="0"/>
      <w:divBdr>
        <w:top w:val="none" w:sz="0" w:space="0" w:color="auto"/>
        <w:left w:val="none" w:sz="0" w:space="0" w:color="auto"/>
        <w:bottom w:val="none" w:sz="0" w:space="0" w:color="auto"/>
        <w:right w:val="none" w:sz="0" w:space="0" w:color="auto"/>
      </w:divBdr>
    </w:div>
    <w:div w:id="1605377004">
      <w:bodyDiv w:val="1"/>
      <w:marLeft w:val="0"/>
      <w:marRight w:val="0"/>
      <w:marTop w:val="0"/>
      <w:marBottom w:val="0"/>
      <w:divBdr>
        <w:top w:val="none" w:sz="0" w:space="0" w:color="auto"/>
        <w:left w:val="none" w:sz="0" w:space="0" w:color="auto"/>
        <w:bottom w:val="none" w:sz="0" w:space="0" w:color="auto"/>
        <w:right w:val="none" w:sz="0" w:space="0" w:color="auto"/>
      </w:divBdr>
    </w:div>
    <w:div w:id="1605379558">
      <w:bodyDiv w:val="1"/>
      <w:marLeft w:val="0"/>
      <w:marRight w:val="0"/>
      <w:marTop w:val="0"/>
      <w:marBottom w:val="0"/>
      <w:divBdr>
        <w:top w:val="none" w:sz="0" w:space="0" w:color="auto"/>
        <w:left w:val="none" w:sz="0" w:space="0" w:color="auto"/>
        <w:bottom w:val="none" w:sz="0" w:space="0" w:color="auto"/>
        <w:right w:val="none" w:sz="0" w:space="0" w:color="auto"/>
      </w:divBdr>
      <w:divsChild>
        <w:div w:id="1961259109">
          <w:marLeft w:val="0"/>
          <w:marRight w:val="0"/>
          <w:marTop w:val="0"/>
          <w:marBottom w:val="0"/>
          <w:divBdr>
            <w:top w:val="none" w:sz="0" w:space="0" w:color="auto"/>
            <w:left w:val="none" w:sz="0" w:space="0" w:color="auto"/>
            <w:bottom w:val="none" w:sz="0" w:space="0" w:color="auto"/>
            <w:right w:val="none" w:sz="0" w:space="0" w:color="auto"/>
          </w:divBdr>
        </w:div>
        <w:div w:id="1908343606">
          <w:marLeft w:val="0"/>
          <w:marRight w:val="0"/>
          <w:marTop w:val="0"/>
          <w:marBottom w:val="0"/>
          <w:divBdr>
            <w:top w:val="none" w:sz="0" w:space="0" w:color="auto"/>
            <w:left w:val="none" w:sz="0" w:space="0" w:color="auto"/>
            <w:bottom w:val="none" w:sz="0" w:space="0" w:color="auto"/>
            <w:right w:val="none" w:sz="0" w:space="0" w:color="auto"/>
          </w:divBdr>
        </w:div>
        <w:div w:id="1093478614">
          <w:marLeft w:val="0"/>
          <w:marRight w:val="0"/>
          <w:marTop w:val="0"/>
          <w:marBottom w:val="0"/>
          <w:divBdr>
            <w:top w:val="none" w:sz="0" w:space="0" w:color="auto"/>
            <w:left w:val="none" w:sz="0" w:space="0" w:color="auto"/>
            <w:bottom w:val="none" w:sz="0" w:space="0" w:color="auto"/>
            <w:right w:val="none" w:sz="0" w:space="0" w:color="auto"/>
          </w:divBdr>
        </w:div>
        <w:div w:id="665284093">
          <w:marLeft w:val="0"/>
          <w:marRight w:val="0"/>
          <w:marTop w:val="0"/>
          <w:marBottom w:val="0"/>
          <w:divBdr>
            <w:top w:val="none" w:sz="0" w:space="0" w:color="auto"/>
            <w:left w:val="none" w:sz="0" w:space="0" w:color="auto"/>
            <w:bottom w:val="none" w:sz="0" w:space="0" w:color="auto"/>
            <w:right w:val="none" w:sz="0" w:space="0" w:color="auto"/>
          </w:divBdr>
        </w:div>
        <w:div w:id="978412800">
          <w:marLeft w:val="0"/>
          <w:marRight w:val="0"/>
          <w:marTop w:val="0"/>
          <w:marBottom w:val="0"/>
          <w:divBdr>
            <w:top w:val="none" w:sz="0" w:space="0" w:color="auto"/>
            <w:left w:val="none" w:sz="0" w:space="0" w:color="auto"/>
            <w:bottom w:val="none" w:sz="0" w:space="0" w:color="auto"/>
            <w:right w:val="none" w:sz="0" w:space="0" w:color="auto"/>
          </w:divBdr>
        </w:div>
        <w:div w:id="1156913985">
          <w:marLeft w:val="0"/>
          <w:marRight w:val="0"/>
          <w:marTop w:val="0"/>
          <w:marBottom w:val="0"/>
          <w:divBdr>
            <w:top w:val="none" w:sz="0" w:space="0" w:color="auto"/>
            <w:left w:val="none" w:sz="0" w:space="0" w:color="auto"/>
            <w:bottom w:val="none" w:sz="0" w:space="0" w:color="auto"/>
            <w:right w:val="none" w:sz="0" w:space="0" w:color="auto"/>
          </w:divBdr>
        </w:div>
        <w:div w:id="466974890">
          <w:marLeft w:val="0"/>
          <w:marRight w:val="0"/>
          <w:marTop w:val="0"/>
          <w:marBottom w:val="0"/>
          <w:divBdr>
            <w:top w:val="none" w:sz="0" w:space="0" w:color="auto"/>
            <w:left w:val="none" w:sz="0" w:space="0" w:color="auto"/>
            <w:bottom w:val="none" w:sz="0" w:space="0" w:color="auto"/>
            <w:right w:val="none" w:sz="0" w:space="0" w:color="auto"/>
          </w:divBdr>
        </w:div>
        <w:div w:id="1036466120">
          <w:marLeft w:val="0"/>
          <w:marRight w:val="0"/>
          <w:marTop w:val="0"/>
          <w:marBottom w:val="0"/>
          <w:divBdr>
            <w:top w:val="none" w:sz="0" w:space="0" w:color="auto"/>
            <w:left w:val="none" w:sz="0" w:space="0" w:color="auto"/>
            <w:bottom w:val="none" w:sz="0" w:space="0" w:color="auto"/>
            <w:right w:val="none" w:sz="0" w:space="0" w:color="auto"/>
          </w:divBdr>
        </w:div>
        <w:div w:id="2079093280">
          <w:marLeft w:val="0"/>
          <w:marRight w:val="0"/>
          <w:marTop w:val="0"/>
          <w:marBottom w:val="0"/>
          <w:divBdr>
            <w:top w:val="none" w:sz="0" w:space="0" w:color="auto"/>
            <w:left w:val="none" w:sz="0" w:space="0" w:color="auto"/>
            <w:bottom w:val="none" w:sz="0" w:space="0" w:color="auto"/>
            <w:right w:val="none" w:sz="0" w:space="0" w:color="auto"/>
          </w:divBdr>
        </w:div>
        <w:div w:id="1485202647">
          <w:marLeft w:val="0"/>
          <w:marRight w:val="0"/>
          <w:marTop w:val="0"/>
          <w:marBottom w:val="0"/>
          <w:divBdr>
            <w:top w:val="none" w:sz="0" w:space="0" w:color="auto"/>
            <w:left w:val="none" w:sz="0" w:space="0" w:color="auto"/>
            <w:bottom w:val="none" w:sz="0" w:space="0" w:color="auto"/>
            <w:right w:val="none" w:sz="0" w:space="0" w:color="auto"/>
          </w:divBdr>
        </w:div>
        <w:div w:id="1036079550">
          <w:marLeft w:val="0"/>
          <w:marRight w:val="0"/>
          <w:marTop w:val="0"/>
          <w:marBottom w:val="0"/>
          <w:divBdr>
            <w:top w:val="none" w:sz="0" w:space="0" w:color="auto"/>
            <w:left w:val="none" w:sz="0" w:space="0" w:color="auto"/>
            <w:bottom w:val="none" w:sz="0" w:space="0" w:color="auto"/>
            <w:right w:val="none" w:sz="0" w:space="0" w:color="auto"/>
          </w:divBdr>
        </w:div>
        <w:div w:id="400444226">
          <w:marLeft w:val="0"/>
          <w:marRight w:val="0"/>
          <w:marTop w:val="0"/>
          <w:marBottom w:val="0"/>
          <w:divBdr>
            <w:top w:val="none" w:sz="0" w:space="0" w:color="auto"/>
            <w:left w:val="none" w:sz="0" w:space="0" w:color="auto"/>
            <w:bottom w:val="none" w:sz="0" w:space="0" w:color="auto"/>
            <w:right w:val="none" w:sz="0" w:space="0" w:color="auto"/>
          </w:divBdr>
        </w:div>
        <w:div w:id="918516517">
          <w:marLeft w:val="0"/>
          <w:marRight w:val="0"/>
          <w:marTop w:val="0"/>
          <w:marBottom w:val="0"/>
          <w:divBdr>
            <w:top w:val="none" w:sz="0" w:space="0" w:color="auto"/>
            <w:left w:val="none" w:sz="0" w:space="0" w:color="auto"/>
            <w:bottom w:val="none" w:sz="0" w:space="0" w:color="auto"/>
            <w:right w:val="none" w:sz="0" w:space="0" w:color="auto"/>
          </w:divBdr>
        </w:div>
        <w:div w:id="38012828">
          <w:marLeft w:val="0"/>
          <w:marRight w:val="0"/>
          <w:marTop w:val="0"/>
          <w:marBottom w:val="0"/>
          <w:divBdr>
            <w:top w:val="none" w:sz="0" w:space="0" w:color="auto"/>
            <w:left w:val="none" w:sz="0" w:space="0" w:color="auto"/>
            <w:bottom w:val="none" w:sz="0" w:space="0" w:color="auto"/>
            <w:right w:val="none" w:sz="0" w:space="0" w:color="auto"/>
          </w:divBdr>
        </w:div>
        <w:div w:id="1817411309">
          <w:marLeft w:val="0"/>
          <w:marRight w:val="0"/>
          <w:marTop w:val="0"/>
          <w:marBottom w:val="0"/>
          <w:divBdr>
            <w:top w:val="none" w:sz="0" w:space="0" w:color="auto"/>
            <w:left w:val="none" w:sz="0" w:space="0" w:color="auto"/>
            <w:bottom w:val="none" w:sz="0" w:space="0" w:color="auto"/>
            <w:right w:val="none" w:sz="0" w:space="0" w:color="auto"/>
          </w:divBdr>
        </w:div>
        <w:div w:id="2081100073">
          <w:marLeft w:val="0"/>
          <w:marRight w:val="0"/>
          <w:marTop w:val="0"/>
          <w:marBottom w:val="0"/>
          <w:divBdr>
            <w:top w:val="none" w:sz="0" w:space="0" w:color="auto"/>
            <w:left w:val="none" w:sz="0" w:space="0" w:color="auto"/>
            <w:bottom w:val="none" w:sz="0" w:space="0" w:color="auto"/>
            <w:right w:val="none" w:sz="0" w:space="0" w:color="auto"/>
          </w:divBdr>
        </w:div>
        <w:div w:id="1660503062">
          <w:marLeft w:val="0"/>
          <w:marRight w:val="0"/>
          <w:marTop w:val="0"/>
          <w:marBottom w:val="0"/>
          <w:divBdr>
            <w:top w:val="none" w:sz="0" w:space="0" w:color="auto"/>
            <w:left w:val="none" w:sz="0" w:space="0" w:color="auto"/>
            <w:bottom w:val="none" w:sz="0" w:space="0" w:color="auto"/>
            <w:right w:val="none" w:sz="0" w:space="0" w:color="auto"/>
          </w:divBdr>
        </w:div>
        <w:div w:id="784083386">
          <w:marLeft w:val="0"/>
          <w:marRight w:val="0"/>
          <w:marTop w:val="0"/>
          <w:marBottom w:val="0"/>
          <w:divBdr>
            <w:top w:val="none" w:sz="0" w:space="0" w:color="auto"/>
            <w:left w:val="none" w:sz="0" w:space="0" w:color="auto"/>
            <w:bottom w:val="none" w:sz="0" w:space="0" w:color="auto"/>
            <w:right w:val="none" w:sz="0" w:space="0" w:color="auto"/>
          </w:divBdr>
        </w:div>
        <w:div w:id="1523013101">
          <w:marLeft w:val="0"/>
          <w:marRight w:val="0"/>
          <w:marTop w:val="0"/>
          <w:marBottom w:val="0"/>
          <w:divBdr>
            <w:top w:val="none" w:sz="0" w:space="0" w:color="auto"/>
            <w:left w:val="none" w:sz="0" w:space="0" w:color="auto"/>
            <w:bottom w:val="none" w:sz="0" w:space="0" w:color="auto"/>
            <w:right w:val="none" w:sz="0" w:space="0" w:color="auto"/>
          </w:divBdr>
        </w:div>
        <w:div w:id="93478110">
          <w:marLeft w:val="0"/>
          <w:marRight w:val="0"/>
          <w:marTop w:val="0"/>
          <w:marBottom w:val="0"/>
          <w:divBdr>
            <w:top w:val="none" w:sz="0" w:space="0" w:color="auto"/>
            <w:left w:val="none" w:sz="0" w:space="0" w:color="auto"/>
            <w:bottom w:val="none" w:sz="0" w:space="0" w:color="auto"/>
            <w:right w:val="none" w:sz="0" w:space="0" w:color="auto"/>
          </w:divBdr>
        </w:div>
        <w:div w:id="1734307969">
          <w:marLeft w:val="0"/>
          <w:marRight w:val="0"/>
          <w:marTop w:val="0"/>
          <w:marBottom w:val="0"/>
          <w:divBdr>
            <w:top w:val="none" w:sz="0" w:space="0" w:color="auto"/>
            <w:left w:val="none" w:sz="0" w:space="0" w:color="auto"/>
            <w:bottom w:val="none" w:sz="0" w:space="0" w:color="auto"/>
            <w:right w:val="none" w:sz="0" w:space="0" w:color="auto"/>
          </w:divBdr>
        </w:div>
        <w:div w:id="1079249032">
          <w:marLeft w:val="0"/>
          <w:marRight w:val="0"/>
          <w:marTop w:val="0"/>
          <w:marBottom w:val="0"/>
          <w:divBdr>
            <w:top w:val="none" w:sz="0" w:space="0" w:color="auto"/>
            <w:left w:val="none" w:sz="0" w:space="0" w:color="auto"/>
            <w:bottom w:val="none" w:sz="0" w:space="0" w:color="auto"/>
            <w:right w:val="none" w:sz="0" w:space="0" w:color="auto"/>
          </w:divBdr>
        </w:div>
        <w:div w:id="1216088026">
          <w:marLeft w:val="0"/>
          <w:marRight w:val="0"/>
          <w:marTop w:val="0"/>
          <w:marBottom w:val="0"/>
          <w:divBdr>
            <w:top w:val="none" w:sz="0" w:space="0" w:color="auto"/>
            <w:left w:val="none" w:sz="0" w:space="0" w:color="auto"/>
            <w:bottom w:val="none" w:sz="0" w:space="0" w:color="auto"/>
            <w:right w:val="none" w:sz="0" w:space="0" w:color="auto"/>
          </w:divBdr>
        </w:div>
        <w:div w:id="1003892801">
          <w:marLeft w:val="0"/>
          <w:marRight w:val="0"/>
          <w:marTop w:val="0"/>
          <w:marBottom w:val="0"/>
          <w:divBdr>
            <w:top w:val="none" w:sz="0" w:space="0" w:color="auto"/>
            <w:left w:val="none" w:sz="0" w:space="0" w:color="auto"/>
            <w:bottom w:val="none" w:sz="0" w:space="0" w:color="auto"/>
            <w:right w:val="none" w:sz="0" w:space="0" w:color="auto"/>
          </w:divBdr>
        </w:div>
        <w:div w:id="1056665478">
          <w:marLeft w:val="0"/>
          <w:marRight w:val="0"/>
          <w:marTop w:val="0"/>
          <w:marBottom w:val="0"/>
          <w:divBdr>
            <w:top w:val="none" w:sz="0" w:space="0" w:color="auto"/>
            <w:left w:val="none" w:sz="0" w:space="0" w:color="auto"/>
            <w:bottom w:val="none" w:sz="0" w:space="0" w:color="auto"/>
            <w:right w:val="none" w:sz="0" w:space="0" w:color="auto"/>
          </w:divBdr>
        </w:div>
        <w:div w:id="536621668">
          <w:marLeft w:val="0"/>
          <w:marRight w:val="0"/>
          <w:marTop w:val="0"/>
          <w:marBottom w:val="0"/>
          <w:divBdr>
            <w:top w:val="none" w:sz="0" w:space="0" w:color="auto"/>
            <w:left w:val="none" w:sz="0" w:space="0" w:color="auto"/>
            <w:bottom w:val="none" w:sz="0" w:space="0" w:color="auto"/>
            <w:right w:val="none" w:sz="0" w:space="0" w:color="auto"/>
          </w:divBdr>
        </w:div>
        <w:div w:id="1259942140">
          <w:marLeft w:val="0"/>
          <w:marRight w:val="0"/>
          <w:marTop w:val="0"/>
          <w:marBottom w:val="0"/>
          <w:divBdr>
            <w:top w:val="none" w:sz="0" w:space="0" w:color="auto"/>
            <w:left w:val="none" w:sz="0" w:space="0" w:color="auto"/>
            <w:bottom w:val="none" w:sz="0" w:space="0" w:color="auto"/>
            <w:right w:val="none" w:sz="0" w:space="0" w:color="auto"/>
          </w:divBdr>
        </w:div>
        <w:div w:id="925072071">
          <w:marLeft w:val="0"/>
          <w:marRight w:val="0"/>
          <w:marTop w:val="0"/>
          <w:marBottom w:val="0"/>
          <w:divBdr>
            <w:top w:val="none" w:sz="0" w:space="0" w:color="auto"/>
            <w:left w:val="none" w:sz="0" w:space="0" w:color="auto"/>
            <w:bottom w:val="none" w:sz="0" w:space="0" w:color="auto"/>
            <w:right w:val="none" w:sz="0" w:space="0" w:color="auto"/>
          </w:divBdr>
        </w:div>
        <w:div w:id="1130630126">
          <w:marLeft w:val="0"/>
          <w:marRight w:val="0"/>
          <w:marTop w:val="0"/>
          <w:marBottom w:val="0"/>
          <w:divBdr>
            <w:top w:val="none" w:sz="0" w:space="0" w:color="auto"/>
            <w:left w:val="none" w:sz="0" w:space="0" w:color="auto"/>
            <w:bottom w:val="none" w:sz="0" w:space="0" w:color="auto"/>
            <w:right w:val="none" w:sz="0" w:space="0" w:color="auto"/>
          </w:divBdr>
        </w:div>
        <w:div w:id="1006371091">
          <w:marLeft w:val="0"/>
          <w:marRight w:val="0"/>
          <w:marTop w:val="0"/>
          <w:marBottom w:val="0"/>
          <w:divBdr>
            <w:top w:val="none" w:sz="0" w:space="0" w:color="auto"/>
            <w:left w:val="none" w:sz="0" w:space="0" w:color="auto"/>
            <w:bottom w:val="none" w:sz="0" w:space="0" w:color="auto"/>
            <w:right w:val="none" w:sz="0" w:space="0" w:color="auto"/>
          </w:divBdr>
        </w:div>
        <w:div w:id="888150771">
          <w:marLeft w:val="0"/>
          <w:marRight w:val="0"/>
          <w:marTop w:val="0"/>
          <w:marBottom w:val="0"/>
          <w:divBdr>
            <w:top w:val="none" w:sz="0" w:space="0" w:color="auto"/>
            <w:left w:val="none" w:sz="0" w:space="0" w:color="auto"/>
            <w:bottom w:val="none" w:sz="0" w:space="0" w:color="auto"/>
            <w:right w:val="none" w:sz="0" w:space="0" w:color="auto"/>
          </w:divBdr>
        </w:div>
        <w:div w:id="1792552443">
          <w:marLeft w:val="0"/>
          <w:marRight w:val="0"/>
          <w:marTop w:val="0"/>
          <w:marBottom w:val="0"/>
          <w:divBdr>
            <w:top w:val="none" w:sz="0" w:space="0" w:color="auto"/>
            <w:left w:val="none" w:sz="0" w:space="0" w:color="auto"/>
            <w:bottom w:val="none" w:sz="0" w:space="0" w:color="auto"/>
            <w:right w:val="none" w:sz="0" w:space="0" w:color="auto"/>
          </w:divBdr>
        </w:div>
        <w:div w:id="6685149">
          <w:marLeft w:val="0"/>
          <w:marRight w:val="0"/>
          <w:marTop w:val="0"/>
          <w:marBottom w:val="0"/>
          <w:divBdr>
            <w:top w:val="none" w:sz="0" w:space="0" w:color="auto"/>
            <w:left w:val="none" w:sz="0" w:space="0" w:color="auto"/>
            <w:bottom w:val="none" w:sz="0" w:space="0" w:color="auto"/>
            <w:right w:val="none" w:sz="0" w:space="0" w:color="auto"/>
          </w:divBdr>
        </w:div>
        <w:div w:id="254942359">
          <w:marLeft w:val="0"/>
          <w:marRight w:val="0"/>
          <w:marTop w:val="0"/>
          <w:marBottom w:val="0"/>
          <w:divBdr>
            <w:top w:val="none" w:sz="0" w:space="0" w:color="auto"/>
            <w:left w:val="none" w:sz="0" w:space="0" w:color="auto"/>
            <w:bottom w:val="none" w:sz="0" w:space="0" w:color="auto"/>
            <w:right w:val="none" w:sz="0" w:space="0" w:color="auto"/>
          </w:divBdr>
        </w:div>
        <w:div w:id="1293900476">
          <w:marLeft w:val="0"/>
          <w:marRight w:val="0"/>
          <w:marTop w:val="0"/>
          <w:marBottom w:val="0"/>
          <w:divBdr>
            <w:top w:val="none" w:sz="0" w:space="0" w:color="auto"/>
            <w:left w:val="none" w:sz="0" w:space="0" w:color="auto"/>
            <w:bottom w:val="none" w:sz="0" w:space="0" w:color="auto"/>
            <w:right w:val="none" w:sz="0" w:space="0" w:color="auto"/>
          </w:divBdr>
        </w:div>
        <w:div w:id="256212964">
          <w:marLeft w:val="0"/>
          <w:marRight w:val="0"/>
          <w:marTop w:val="0"/>
          <w:marBottom w:val="0"/>
          <w:divBdr>
            <w:top w:val="none" w:sz="0" w:space="0" w:color="auto"/>
            <w:left w:val="none" w:sz="0" w:space="0" w:color="auto"/>
            <w:bottom w:val="none" w:sz="0" w:space="0" w:color="auto"/>
            <w:right w:val="none" w:sz="0" w:space="0" w:color="auto"/>
          </w:divBdr>
        </w:div>
        <w:div w:id="1918859702">
          <w:marLeft w:val="0"/>
          <w:marRight w:val="0"/>
          <w:marTop w:val="0"/>
          <w:marBottom w:val="0"/>
          <w:divBdr>
            <w:top w:val="none" w:sz="0" w:space="0" w:color="auto"/>
            <w:left w:val="none" w:sz="0" w:space="0" w:color="auto"/>
            <w:bottom w:val="none" w:sz="0" w:space="0" w:color="auto"/>
            <w:right w:val="none" w:sz="0" w:space="0" w:color="auto"/>
          </w:divBdr>
        </w:div>
        <w:div w:id="1955944388">
          <w:marLeft w:val="0"/>
          <w:marRight w:val="0"/>
          <w:marTop w:val="0"/>
          <w:marBottom w:val="0"/>
          <w:divBdr>
            <w:top w:val="none" w:sz="0" w:space="0" w:color="auto"/>
            <w:left w:val="none" w:sz="0" w:space="0" w:color="auto"/>
            <w:bottom w:val="none" w:sz="0" w:space="0" w:color="auto"/>
            <w:right w:val="none" w:sz="0" w:space="0" w:color="auto"/>
          </w:divBdr>
        </w:div>
        <w:div w:id="631907937">
          <w:marLeft w:val="0"/>
          <w:marRight w:val="0"/>
          <w:marTop w:val="0"/>
          <w:marBottom w:val="0"/>
          <w:divBdr>
            <w:top w:val="none" w:sz="0" w:space="0" w:color="auto"/>
            <w:left w:val="none" w:sz="0" w:space="0" w:color="auto"/>
            <w:bottom w:val="none" w:sz="0" w:space="0" w:color="auto"/>
            <w:right w:val="none" w:sz="0" w:space="0" w:color="auto"/>
          </w:divBdr>
        </w:div>
        <w:div w:id="1750879367">
          <w:marLeft w:val="0"/>
          <w:marRight w:val="0"/>
          <w:marTop w:val="0"/>
          <w:marBottom w:val="0"/>
          <w:divBdr>
            <w:top w:val="none" w:sz="0" w:space="0" w:color="auto"/>
            <w:left w:val="none" w:sz="0" w:space="0" w:color="auto"/>
            <w:bottom w:val="none" w:sz="0" w:space="0" w:color="auto"/>
            <w:right w:val="none" w:sz="0" w:space="0" w:color="auto"/>
          </w:divBdr>
        </w:div>
        <w:div w:id="1850289501">
          <w:marLeft w:val="0"/>
          <w:marRight w:val="0"/>
          <w:marTop w:val="0"/>
          <w:marBottom w:val="0"/>
          <w:divBdr>
            <w:top w:val="none" w:sz="0" w:space="0" w:color="auto"/>
            <w:left w:val="none" w:sz="0" w:space="0" w:color="auto"/>
            <w:bottom w:val="none" w:sz="0" w:space="0" w:color="auto"/>
            <w:right w:val="none" w:sz="0" w:space="0" w:color="auto"/>
          </w:divBdr>
        </w:div>
        <w:div w:id="1345474339">
          <w:marLeft w:val="0"/>
          <w:marRight w:val="0"/>
          <w:marTop w:val="0"/>
          <w:marBottom w:val="0"/>
          <w:divBdr>
            <w:top w:val="none" w:sz="0" w:space="0" w:color="auto"/>
            <w:left w:val="none" w:sz="0" w:space="0" w:color="auto"/>
            <w:bottom w:val="none" w:sz="0" w:space="0" w:color="auto"/>
            <w:right w:val="none" w:sz="0" w:space="0" w:color="auto"/>
          </w:divBdr>
        </w:div>
        <w:div w:id="28336765">
          <w:marLeft w:val="0"/>
          <w:marRight w:val="0"/>
          <w:marTop w:val="0"/>
          <w:marBottom w:val="0"/>
          <w:divBdr>
            <w:top w:val="none" w:sz="0" w:space="0" w:color="auto"/>
            <w:left w:val="none" w:sz="0" w:space="0" w:color="auto"/>
            <w:bottom w:val="none" w:sz="0" w:space="0" w:color="auto"/>
            <w:right w:val="none" w:sz="0" w:space="0" w:color="auto"/>
          </w:divBdr>
        </w:div>
        <w:div w:id="2088262429">
          <w:marLeft w:val="0"/>
          <w:marRight w:val="0"/>
          <w:marTop w:val="0"/>
          <w:marBottom w:val="0"/>
          <w:divBdr>
            <w:top w:val="none" w:sz="0" w:space="0" w:color="auto"/>
            <w:left w:val="none" w:sz="0" w:space="0" w:color="auto"/>
            <w:bottom w:val="none" w:sz="0" w:space="0" w:color="auto"/>
            <w:right w:val="none" w:sz="0" w:space="0" w:color="auto"/>
          </w:divBdr>
        </w:div>
        <w:div w:id="334580113">
          <w:marLeft w:val="0"/>
          <w:marRight w:val="0"/>
          <w:marTop w:val="0"/>
          <w:marBottom w:val="0"/>
          <w:divBdr>
            <w:top w:val="none" w:sz="0" w:space="0" w:color="auto"/>
            <w:left w:val="none" w:sz="0" w:space="0" w:color="auto"/>
            <w:bottom w:val="none" w:sz="0" w:space="0" w:color="auto"/>
            <w:right w:val="none" w:sz="0" w:space="0" w:color="auto"/>
          </w:divBdr>
        </w:div>
        <w:div w:id="1443376089">
          <w:marLeft w:val="0"/>
          <w:marRight w:val="0"/>
          <w:marTop w:val="0"/>
          <w:marBottom w:val="0"/>
          <w:divBdr>
            <w:top w:val="none" w:sz="0" w:space="0" w:color="auto"/>
            <w:left w:val="none" w:sz="0" w:space="0" w:color="auto"/>
            <w:bottom w:val="none" w:sz="0" w:space="0" w:color="auto"/>
            <w:right w:val="none" w:sz="0" w:space="0" w:color="auto"/>
          </w:divBdr>
        </w:div>
        <w:div w:id="1263760999">
          <w:marLeft w:val="0"/>
          <w:marRight w:val="0"/>
          <w:marTop w:val="0"/>
          <w:marBottom w:val="0"/>
          <w:divBdr>
            <w:top w:val="none" w:sz="0" w:space="0" w:color="auto"/>
            <w:left w:val="none" w:sz="0" w:space="0" w:color="auto"/>
            <w:bottom w:val="none" w:sz="0" w:space="0" w:color="auto"/>
            <w:right w:val="none" w:sz="0" w:space="0" w:color="auto"/>
          </w:divBdr>
        </w:div>
        <w:div w:id="2125347656">
          <w:marLeft w:val="0"/>
          <w:marRight w:val="0"/>
          <w:marTop w:val="0"/>
          <w:marBottom w:val="0"/>
          <w:divBdr>
            <w:top w:val="none" w:sz="0" w:space="0" w:color="auto"/>
            <w:left w:val="none" w:sz="0" w:space="0" w:color="auto"/>
            <w:bottom w:val="none" w:sz="0" w:space="0" w:color="auto"/>
            <w:right w:val="none" w:sz="0" w:space="0" w:color="auto"/>
          </w:divBdr>
        </w:div>
        <w:div w:id="1675644195">
          <w:marLeft w:val="0"/>
          <w:marRight w:val="0"/>
          <w:marTop w:val="0"/>
          <w:marBottom w:val="0"/>
          <w:divBdr>
            <w:top w:val="none" w:sz="0" w:space="0" w:color="auto"/>
            <w:left w:val="none" w:sz="0" w:space="0" w:color="auto"/>
            <w:bottom w:val="none" w:sz="0" w:space="0" w:color="auto"/>
            <w:right w:val="none" w:sz="0" w:space="0" w:color="auto"/>
          </w:divBdr>
        </w:div>
        <w:div w:id="1239905771">
          <w:marLeft w:val="0"/>
          <w:marRight w:val="0"/>
          <w:marTop w:val="0"/>
          <w:marBottom w:val="0"/>
          <w:divBdr>
            <w:top w:val="none" w:sz="0" w:space="0" w:color="auto"/>
            <w:left w:val="none" w:sz="0" w:space="0" w:color="auto"/>
            <w:bottom w:val="none" w:sz="0" w:space="0" w:color="auto"/>
            <w:right w:val="none" w:sz="0" w:space="0" w:color="auto"/>
          </w:divBdr>
        </w:div>
        <w:div w:id="1482579042">
          <w:marLeft w:val="0"/>
          <w:marRight w:val="0"/>
          <w:marTop w:val="0"/>
          <w:marBottom w:val="0"/>
          <w:divBdr>
            <w:top w:val="none" w:sz="0" w:space="0" w:color="auto"/>
            <w:left w:val="none" w:sz="0" w:space="0" w:color="auto"/>
            <w:bottom w:val="none" w:sz="0" w:space="0" w:color="auto"/>
            <w:right w:val="none" w:sz="0" w:space="0" w:color="auto"/>
          </w:divBdr>
        </w:div>
        <w:div w:id="1367557126">
          <w:marLeft w:val="0"/>
          <w:marRight w:val="0"/>
          <w:marTop w:val="0"/>
          <w:marBottom w:val="0"/>
          <w:divBdr>
            <w:top w:val="none" w:sz="0" w:space="0" w:color="auto"/>
            <w:left w:val="none" w:sz="0" w:space="0" w:color="auto"/>
            <w:bottom w:val="none" w:sz="0" w:space="0" w:color="auto"/>
            <w:right w:val="none" w:sz="0" w:space="0" w:color="auto"/>
          </w:divBdr>
        </w:div>
        <w:div w:id="961958451">
          <w:marLeft w:val="0"/>
          <w:marRight w:val="0"/>
          <w:marTop w:val="0"/>
          <w:marBottom w:val="0"/>
          <w:divBdr>
            <w:top w:val="none" w:sz="0" w:space="0" w:color="auto"/>
            <w:left w:val="none" w:sz="0" w:space="0" w:color="auto"/>
            <w:bottom w:val="none" w:sz="0" w:space="0" w:color="auto"/>
            <w:right w:val="none" w:sz="0" w:space="0" w:color="auto"/>
          </w:divBdr>
        </w:div>
        <w:div w:id="531503435">
          <w:marLeft w:val="0"/>
          <w:marRight w:val="0"/>
          <w:marTop w:val="0"/>
          <w:marBottom w:val="0"/>
          <w:divBdr>
            <w:top w:val="none" w:sz="0" w:space="0" w:color="auto"/>
            <w:left w:val="none" w:sz="0" w:space="0" w:color="auto"/>
            <w:bottom w:val="none" w:sz="0" w:space="0" w:color="auto"/>
            <w:right w:val="none" w:sz="0" w:space="0" w:color="auto"/>
          </w:divBdr>
        </w:div>
        <w:div w:id="1354456325">
          <w:marLeft w:val="0"/>
          <w:marRight w:val="0"/>
          <w:marTop w:val="0"/>
          <w:marBottom w:val="0"/>
          <w:divBdr>
            <w:top w:val="none" w:sz="0" w:space="0" w:color="auto"/>
            <w:left w:val="none" w:sz="0" w:space="0" w:color="auto"/>
            <w:bottom w:val="none" w:sz="0" w:space="0" w:color="auto"/>
            <w:right w:val="none" w:sz="0" w:space="0" w:color="auto"/>
          </w:divBdr>
        </w:div>
        <w:div w:id="1058866745">
          <w:marLeft w:val="0"/>
          <w:marRight w:val="0"/>
          <w:marTop w:val="0"/>
          <w:marBottom w:val="0"/>
          <w:divBdr>
            <w:top w:val="none" w:sz="0" w:space="0" w:color="auto"/>
            <w:left w:val="none" w:sz="0" w:space="0" w:color="auto"/>
            <w:bottom w:val="none" w:sz="0" w:space="0" w:color="auto"/>
            <w:right w:val="none" w:sz="0" w:space="0" w:color="auto"/>
          </w:divBdr>
        </w:div>
        <w:div w:id="940144232">
          <w:marLeft w:val="0"/>
          <w:marRight w:val="0"/>
          <w:marTop w:val="0"/>
          <w:marBottom w:val="0"/>
          <w:divBdr>
            <w:top w:val="none" w:sz="0" w:space="0" w:color="auto"/>
            <w:left w:val="none" w:sz="0" w:space="0" w:color="auto"/>
            <w:bottom w:val="none" w:sz="0" w:space="0" w:color="auto"/>
            <w:right w:val="none" w:sz="0" w:space="0" w:color="auto"/>
          </w:divBdr>
        </w:div>
        <w:div w:id="559748965">
          <w:marLeft w:val="0"/>
          <w:marRight w:val="0"/>
          <w:marTop w:val="0"/>
          <w:marBottom w:val="0"/>
          <w:divBdr>
            <w:top w:val="none" w:sz="0" w:space="0" w:color="auto"/>
            <w:left w:val="none" w:sz="0" w:space="0" w:color="auto"/>
            <w:bottom w:val="none" w:sz="0" w:space="0" w:color="auto"/>
            <w:right w:val="none" w:sz="0" w:space="0" w:color="auto"/>
          </w:divBdr>
        </w:div>
        <w:div w:id="361446249">
          <w:marLeft w:val="0"/>
          <w:marRight w:val="0"/>
          <w:marTop w:val="0"/>
          <w:marBottom w:val="0"/>
          <w:divBdr>
            <w:top w:val="none" w:sz="0" w:space="0" w:color="auto"/>
            <w:left w:val="none" w:sz="0" w:space="0" w:color="auto"/>
            <w:bottom w:val="none" w:sz="0" w:space="0" w:color="auto"/>
            <w:right w:val="none" w:sz="0" w:space="0" w:color="auto"/>
          </w:divBdr>
        </w:div>
        <w:div w:id="1113017418">
          <w:marLeft w:val="0"/>
          <w:marRight w:val="0"/>
          <w:marTop w:val="0"/>
          <w:marBottom w:val="0"/>
          <w:divBdr>
            <w:top w:val="none" w:sz="0" w:space="0" w:color="auto"/>
            <w:left w:val="none" w:sz="0" w:space="0" w:color="auto"/>
            <w:bottom w:val="none" w:sz="0" w:space="0" w:color="auto"/>
            <w:right w:val="none" w:sz="0" w:space="0" w:color="auto"/>
          </w:divBdr>
        </w:div>
        <w:div w:id="1624190402">
          <w:marLeft w:val="0"/>
          <w:marRight w:val="0"/>
          <w:marTop w:val="0"/>
          <w:marBottom w:val="0"/>
          <w:divBdr>
            <w:top w:val="none" w:sz="0" w:space="0" w:color="auto"/>
            <w:left w:val="none" w:sz="0" w:space="0" w:color="auto"/>
            <w:bottom w:val="none" w:sz="0" w:space="0" w:color="auto"/>
            <w:right w:val="none" w:sz="0" w:space="0" w:color="auto"/>
          </w:divBdr>
        </w:div>
        <w:div w:id="2051686420">
          <w:marLeft w:val="0"/>
          <w:marRight w:val="0"/>
          <w:marTop w:val="0"/>
          <w:marBottom w:val="0"/>
          <w:divBdr>
            <w:top w:val="none" w:sz="0" w:space="0" w:color="auto"/>
            <w:left w:val="none" w:sz="0" w:space="0" w:color="auto"/>
            <w:bottom w:val="none" w:sz="0" w:space="0" w:color="auto"/>
            <w:right w:val="none" w:sz="0" w:space="0" w:color="auto"/>
          </w:divBdr>
        </w:div>
        <w:div w:id="1724518666">
          <w:marLeft w:val="0"/>
          <w:marRight w:val="0"/>
          <w:marTop w:val="0"/>
          <w:marBottom w:val="0"/>
          <w:divBdr>
            <w:top w:val="none" w:sz="0" w:space="0" w:color="auto"/>
            <w:left w:val="none" w:sz="0" w:space="0" w:color="auto"/>
            <w:bottom w:val="none" w:sz="0" w:space="0" w:color="auto"/>
            <w:right w:val="none" w:sz="0" w:space="0" w:color="auto"/>
          </w:divBdr>
        </w:div>
        <w:div w:id="850533251">
          <w:marLeft w:val="0"/>
          <w:marRight w:val="0"/>
          <w:marTop w:val="0"/>
          <w:marBottom w:val="0"/>
          <w:divBdr>
            <w:top w:val="none" w:sz="0" w:space="0" w:color="auto"/>
            <w:left w:val="none" w:sz="0" w:space="0" w:color="auto"/>
            <w:bottom w:val="none" w:sz="0" w:space="0" w:color="auto"/>
            <w:right w:val="none" w:sz="0" w:space="0" w:color="auto"/>
          </w:divBdr>
        </w:div>
        <w:div w:id="37751161">
          <w:marLeft w:val="0"/>
          <w:marRight w:val="0"/>
          <w:marTop w:val="0"/>
          <w:marBottom w:val="0"/>
          <w:divBdr>
            <w:top w:val="none" w:sz="0" w:space="0" w:color="auto"/>
            <w:left w:val="none" w:sz="0" w:space="0" w:color="auto"/>
            <w:bottom w:val="none" w:sz="0" w:space="0" w:color="auto"/>
            <w:right w:val="none" w:sz="0" w:space="0" w:color="auto"/>
          </w:divBdr>
        </w:div>
        <w:div w:id="1919319144">
          <w:marLeft w:val="0"/>
          <w:marRight w:val="0"/>
          <w:marTop w:val="0"/>
          <w:marBottom w:val="0"/>
          <w:divBdr>
            <w:top w:val="none" w:sz="0" w:space="0" w:color="auto"/>
            <w:left w:val="none" w:sz="0" w:space="0" w:color="auto"/>
            <w:bottom w:val="none" w:sz="0" w:space="0" w:color="auto"/>
            <w:right w:val="none" w:sz="0" w:space="0" w:color="auto"/>
          </w:divBdr>
        </w:div>
        <w:div w:id="1308126843">
          <w:marLeft w:val="0"/>
          <w:marRight w:val="0"/>
          <w:marTop w:val="0"/>
          <w:marBottom w:val="0"/>
          <w:divBdr>
            <w:top w:val="none" w:sz="0" w:space="0" w:color="auto"/>
            <w:left w:val="none" w:sz="0" w:space="0" w:color="auto"/>
            <w:bottom w:val="none" w:sz="0" w:space="0" w:color="auto"/>
            <w:right w:val="none" w:sz="0" w:space="0" w:color="auto"/>
          </w:divBdr>
        </w:div>
        <w:div w:id="315381102">
          <w:marLeft w:val="0"/>
          <w:marRight w:val="0"/>
          <w:marTop w:val="0"/>
          <w:marBottom w:val="0"/>
          <w:divBdr>
            <w:top w:val="none" w:sz="0" w:space="0" w:color="auto"/>
            <w:left w:val="none" w:sz="0" w:space="0" w:color="auto"/>
            <w:bottom w:val="none" w:sz="0" w:space="0" w:color="auto"/>
            <w:right w:val="none" w:sz="0" w:space="0" w:color="auto"/>
          </w:divBdr>
        </w:div>
        <w:div w:id="200216684">
          <w:marLeft w:val="0"/>
          <w:marRight w:val="0"/>
          <w:marTop w:val="0"/>
          <w:marBottom w:val="0"/>
          <w:divBdr>
            <w:top w:val="none" w:sz="0" w:space="0" w:color="auto"/>
            <w:left w:val="none" w:sz="0" w:space="0" w:color="auto"/>
            <w:bottom w:val="none" w:sz="0" w:space="0" w:color="auto"/>
            <w:right w:val="none" w:sz="0" w:space="0" w:color="auto"/>
          </w:divBdr>
        </w:div>
        <w:div w:id="423234812">
          <w:marLeft w:val="0"/>
          <w:marRight w:val="0"/>
          <w:marTop w:val="0"/>
          <w:marBottom w:val="0"/>
          <w:divBdr>
            <w:top w:val="none" w:sz="0" w:space="0" w:color="auto"/>
            <w:left w:val="none" w:sz="0" w:space="0" w:color="auto"/>
            <w:bottom w:val="none" w:sz="0" w:space="0" w:color="auto"/>
            <w:right w:val="none" w:sz="0" w:space="0" w:color="auto"/>
          </w:divBdr>
        </w:div>
        <w:div w:id="828063237">
          <w:marLeft w:val="0"/>
          <w:marRight w:val="0"/>
          <w:marTop w:val="0"/>
          <w:marBottom w:val="0"/>
          <w:divBdr>
            <w:top w:val="none" w:sz="0" w:space="0" w:color="auto"/>
            <w:left w:val="none" w:sz="0" w:space="0" w:color="auto"/>
            <w:bottom w:val="none" w:sz="0" w:space="0" w:color="auto"/>
            <w:right w:val="none" w:sz="0" w:space="0" w:color="auto"/>
          </w:divBdr>
        </w:div>
        <w:div w:id="1723098055">
          <w:marLeft w:val="0"/>
          <w:marRight w:val="0"/>
          <w:marTop w:val="0"/>
          <w:marBottom w:val="0"/>
          <w:divBdr>
            <w:top w:val="none" w:sz="0" w:space="0" w:color="auto"/>
            <w:left w:val="none" w:sz="0" w:space="0" w:color="auto"/>
            <w:bottom w:val="none" w:sz="0" w:space="0" w:color="auto"/>
            <w:right w:val="none" w:sz="0" w:space="0" w:color="auto"/>
          </w:divBdr>
        </w:div>
        <w:div w:id="1626420754">
          <w:marLeft w:val="0"/>
          <w:marRight w:val="0"/>
          <w:marTop w:val="0"/>
          <w:marBottom w:val="0"/>
          <w:divBdr>
            <w:top w:val="none" w:sz="0" w:space="0" w:color="auto"/>
            <w:left w:val="none" w:sz="0" w:space="0" w:color="auto"/>
            <w:bottom w:val="none" w:sz="0" w:space="0" w:color="auto"/>
            <w:right w:val="none" w:sz="0" w:space="0" w:color="auto"/>
          </w:divBdr>
        </w:div>
        <w:div w:id="1968462218">
          <w:marLeft w:val="0"/>
          <w:marRight w:val="0"/>
          <w:marTop w:val="0"/>
          <w:marBottom w:val="0"/>
          <w:divBdr>
            <w:top w:val="none" w:sz="0" w:space="0" w:color="auto"/>
            <w:left w:val="none" w:sz="0" w:space="0" w:color="auto"/>
            <w:bottom w:val="none" w:sz="0" w:space="0" w:color="auto"/>
            <w:right w:val="none" w:sz="0" w:space="0" w:color="auto"/>
          </w:divBdr>
        </w:div>
        <w:div w:id="717516238">
          <w:marLeft w:val="0"/>
          <w:marRight w:val="0"/>
          <w:marTop w:val="0"/>
          <w:marBottom w:val="0"/>
          <w:divBdr>
            <w:top w:val="none" w:sz="0" w:space="0" w:color="auto"/>
            <w:left w:val="none" w:sz="0" w:space="0" w:color="auto"/>
            <w:bottom w:val="none" w:sz="0" w:space="0" w:color="auto"/>
            <w:right w:val="none" w:sz="0" w:space="0" w:color="auto"/>
          </w:divBdr>
        </w:div>
        <w:div w:id="286358844">
          <w:marLeft w:val="0"/>
          <w:marRight w:val="0"/>
          <w:marTop w:val="0"/>
          <w:marBottom w:val="0"/>
          <w:divBdr>
            <w:top w:val="none" w:sz="0" w:space="0" w:color="auto"/>
            <w:left w:val="none" w:sz="0" w:space="0" w:color="auto"/>
            <w:bottom w:val="none" w:sz="0" w:space="0" w:color="auto"/>
            <w:right w:val="none" w:sz="0" w:space="0" w:color="auto"/>
          </w:divBdr>
        </w:div>
        <w:div w:id="566382115">
          <w:marLeft w:val="0"/>
          <w:marRight w:val="0"/>
          <w:marTop w:val="0"/>
          <w:marBottom w:val="0"/>
          <w:divBdr>
            <w:top w:val="none" w:sz="0" w:space="0" w:color="auto"/>
            <w:left w:val="none" w:sz="0" w:space="0" w:color="auto"/>
            <w:bottom w:val="none" w:sz="0" w:space="0" w:color="auto"/>
            <w:right w:val="none" w:sz="0" w:space="0" w:color="auto"/>
          </w:divBdr>
        </w:div>
        <w:div w:id="949360010">
          <w:marLeft w:val="0"/>
          <w:marRight w:val="0"/>
          <w:marTop w:val="0"/>
          <w:marBottom w:val="0"/>
          <w:divBdr>
            <w:top w:val="none" w:sz="0" w:space="0" w:color="auto"/>
            <w:left w:val="none" w:sz="0" w:space="0" w:color="auto"/>
            <w:bottom w:val="none" w:sz="0" w:space="0" w:color="auto"/>
            <w:right w:val="none" w:sz="0" w:space="0" w:color="auto"/>
          </w:divBdr>
        </w:div>
        <w:div w:id="1872111610">
          <w:marLeft w:val="0"/>
          <w:marRight w:val="0"/>
          <w:marTop w:val="0"/>
          <w:marBottom w:val="0"/>
          <w:divBdr>
            <w:top w:val="none" w:sz="0" w:space="0" w:color="auto"/>
            <w:left w:val="none" w:sz="0" w:space="0" w:color="auto"/>
            <w:bottom w:val="none" w:sz="0" w:space="0" w:color="auto"/>
            <w:right w:val="none" w:sz="0" w:space="0" w:color="auto"/>
          </w:divBdr>
        </w:div>
        <w:div w:id="1074274920">
          <w:marLeft w:val="0"/>
          <w:marRight w:val="0"/>
          <w:marTop w:val="0"/>
          <w:marBottom w:val="0"/>
          <w:divBdr>
            <w:top w:val="none" w:sz="0" w:space="0" w:color="auto"/>
            <w:left w:val="none" w:sz="0" w:space="0" w:color="auto"/>
            <w:bottom w:val="none" w:sz="0" w:space="0" w:color="auto"/>
            <w:right w:val="none" w:sz="0" w:space="0" w:color="auto"/>
          </w:divBdr>
        </w:div>
        <w:div w:id="1918980483">
          <w:marLeft w:val="0"/>
          <w:marRight w:val="0"/>
          <w:marTop w:val="0"/>
          <w:marBottom w:val="0"/>
          <w:divBdr>
            <w:top w:val="none" w:sz="0" w:space="0" w:color="auto"/>
            <w:left w:val="none" w:sz="0" w:space="0" w:color="auto"/>
            <w:bottom w:val="none" w:sz="0" w:space="0" w:color="auto"/>
            <w:right w:val="none" w:sz="0" w:space="0" w:color="auto"/>
          </w:divBdr>
        </w:div>
        <w:div w:id="743070861">
          <w:marLeft w:val="0"/>
          <w:marRight w:val="0"/>
          <w:marTop w:val="0"/>
          <w:marBottom w:val="0"/>
          <w:divBdr>
            <w:top w:val="none" w:sz="0" w:space="0" w:color="auto"/>
            <w:left w:val="none" w:sz="0" w:space="0" w:color="auto"/>
            <w:bottom w:val="none" w:sz="0" w:space="0" w:color="auto"/>
            <w:right w:val="none" w:sz="0" w:space="0" w:color="auto"/>
          </w:divBdr>
        </w:div>
        <w:div w:id="540946089">
          <w:marLeft w:val="0"/>
          <w:marRight w:val="0"/>
          <w:marTop w:val="0"/>
          <w:marBottom w:val="0"/>
          <w:divBdr>
            <w:top w:val="none" w:sz="0" w:space="0" w:color="auto"/>
            <w:left w:val="none" w:sz="0" w:space="0" w:color="auto"/>
            <w:bottom w:val="none" w:sz="0" w:space="0" w:color="auto"/>
            <w:right w:val="none" w:sz="0" w:space="0" w:color="auto"/>
          </w:divBdr>
        </w:div>
        <w:div w:id="393091704">
          <w:marLeft w:val="0"/>
          <w:marRight w:val="0"/>
          <w:marTop w:val="0"/>
          <w:marBottom w:val="0"/>
          <w:divBdr>
            <w:top w:val="none" w:sz="0" w:space="0" w:color="auto"/>
            <w:left w:val="none" w:sz="0" w:space="0" w:color="auto"/>
            <w:bottom w:val="none" w:sz="0" w:space="0" w:color="auto"/>
            <w:right w:val="none" w:sz="0" w:space="0" w:color="auto"/>
          </w:divBdr>
        </w:div>
        <w:div w:id="22172284">
          <w:marLeft w:val="0"/>
          <w:marRight w:val="0"/>
          <w:marTop w:val="0"/>
          <w:marBottom w:val="0"/>
          <w:divBdr>
            <w:top w:val="none" w:sz="0" w:space="0" w:color="auto"/>
            <w:left w:val="none" w:sz="0" w:space="0" w:color="auto"/>
            <w:bottom w:val="none" w:sz="0" w:space="0" w:color="auto"/>
            <w:right w:val="none" w:sz="0" w:space="0" w:color="auto"/>
          </w:divBdr>
        </w:div>
        <w:div w:id="1955213606">
          <w:marLeft w:val="0"/>
          <w:marRight w:val="0"/>
          <w:marTop w:val="0"/>
          <w:marBottom w:val="0"/>
          <w:divBdr>
            <w:top w:val="none" w:sz="0" w:space="0" w:color="auto"/>
            <w:left w:val="none" w:sz="0" w:space="0" w:color="auto"/>
            <w:bottom w:val="none" w:sz="0" w:space="0" w:color="auto"/>
            <w:right w:val="none" w:sz="0" w:space="0" w:color="auto"/>
          </w:divBdr>
        </w:div>
        <w:div w:id="556819452">
          <w:marLeft w:val="0"/>
          <w:marRight w:val="0"/>
          <w:marTop w:val="0"/>
          <w:marBottom w:val="0"/>
          <w:divBdr>
            <w:top w:val="none" w:sz="0" w:space="0" w:color="auto"/>
            <w:left w:val="none" w:sz="0" w:space="0" w:color="auto"/>
            <w:bottom w:val="none" w:sz="0" w:space="0" w:color="auto"/>
            <w:right w:val="none" w:sz="0" w:space="0" w:color="auto"/>
          </w:divBdr>
        </w:div>
        <w:div w:id="1582519412">
          <w:marLeft w:val="0"/>
          <w:marRight w:val="0"/>
          <w:marTop w:val="0"/>
          <w:marBottom w:val="0"/>
          <w:divBdr>
            <w:top w:val="none" w:sz="0" w:space="0" w:color="auto"/>
            <w:left w:val="none" w:sz="0" w:space="0" w:color="auto"/>
            <w:bottom w:val="none" w:sz="0" w:space="0" w:color="auto"/>
            <w:right w:val="none" w:sz="0" w:space="0" w:color="auto"/>
          </w:divBdr>
        </w:div>
        <w:div w:id="279606409">
          <w:marLeft w:val="0"/>
          <w:marRight w:val="0"/>
          <w:marTop w:val="0"/>
          <w:marBottom w:val="0"/>
          <w:divBdr>
            <w:top w:val="none" w:sz="0" w:space="0" w:color="auto"/>
            <w:left w:val="none" w:sz="0" w:space="0" w:color="auto"/>
            <w:bottom w:val="none" w:sz="0" w:space="0" w:color="auto"/>
            <w:right w:val="none" w:sz="0" w:space="0" w:color="auto"/>
          </w:divBdr>
        </w:div>
        <w:div w:id="1341198547">
          <w:marLeft w:val="0"/>
          <w:marRight w:val="0"/>
          <w:marTop w:val="0"/>
          <w:marBottom w:val="0"/>
          <w:divBdr>
            <w:top w:val="none" w:sz="0" w:space="0" w:color="auto"/>
            <w:left w:val="none" w:sz="0" w:space="0" w:color="auto"/>
            <w:bottom w:val="none" w:sz="0" w:space="0" w:color="auto"/>
            <w:right w:val="none" w:sz="0" w:space="0" w:color="auto"/>
          </w:divBdr>
        </w:div>
        <w:div w:id="1981617186">
          <w:marLeft w:val="0"/>
          <w:marRight w:val="0"/>
          <w:marTop w:val="0"/>
          <w:marBottom w:val="0"/>
          <w:divBdr>
            <w:top w:val="none" w:sz="0" w:space="0" w:color="auto"/>
            <w:left w:val="none" w:sz="0" w:space="0" w:color="auto"/>
            <w:bottom w:val="none" w:sz="0" w:space="0" w:color="auto"/>
            <w:right w:val="none" w:sz="0" w:space="0" w:color="auto"/>
          </w:divBdr>
        </w:div>
        <w:div w:id="1591549708">
          <w:marLeft w:val="0"/>
          <w:marRight w:val="0"/>
          <w:marTop w:val="0"/>
          <w:marBottom w:val="0"/>
          <w:divBdr>
            <w:top w:val="none" w:sz="0" w:space="0" w:color="auto"/>
            <w:left w:val="none" w:sz="0" w:space="0" w:color="auto"/>
            <w:bottom w:val="none" w:sz="0" w:space="0" w:color="auto"/>
            <w:right w:val="none" w:sz="0" w:space="0" w:color="auto"/>
          </w:divBdr>
        </w:div>
        <w:div w:id="678700416">
          <w:marLeft w:val="0"/>
          <w:marRight w:val="0"/>
          <w:marTop w:val="0"/>
          <w:marBottom w:val="0"/>
          <w:divBdr>
            <w:top w:val="none" w:sz="0" w:space="0" w:color="auto"/>
            <w:left w:val="none" w:sz="0" w:space="0" w:color="auto"/>
            <w:bottom w:val="none" w:sz="0" w:space="0" w:color="auto"/>
            <w:right w:val="none" w:sz="0" w:space="0" w:color="auto"/>
          </w:divBdr>
        </w:div>
        <w:div w:id="1067873152">
          <w:marLeft w:val="0"/>
          <w:marRight w:val="0"/>
          <w:marTop w:val="0"/>
          <w:marBottom w:val="0"/>
          <w:divBdr>
            <w:top w:val="none" w:sz="0" w:space="0" w:color="auto"/>
            <w:left w:val="none" w:sz="0" w:space="0" w:color="auto"/>
            <w:bottom w:val="none" w:sz="0" w:space="0" w:color="auto"/>
            <w:right w:val="none" w:sz="0" w:space="0" w:color="auto"/>
          </w:divBdr>
        </w:div>
        <w:div w:id="430592192">
          <w:marLeft w:val="0"/>
          <w:marRight w:val="0"/>
          <w:marTop w:val="0"/>
          <w:marBottom w:val="0"/>
          <w:divBdr>
            <w:top w:val="none" w:sz="0" w:space="0" w:color="auto"/>
            <w:left w:val="none" w:sz="0" w:space="0" w:color="auto"/>
            <w:bottom w:val="none" w:sz="0" w:space="0" w:color="auto"/>
            <w:right w:val="none" w:sz="0" w:space="0" w:color="auto"/>
          </w:divBdr>
        </w:div>
        <w:div w:id="1804930428">
          <w:marLeft w:val="0"/>
          <w:marRight w:val="0"/>
          <w:marTop w:val="0"/>
          <w:marBottom w:val="0"/>
          <w:divBdr>
            <w:top w:val="none" w:sz="0" w:space="0" w:color="auto"/>
            <w:left w:val="none" w:sz="0" w:space="0" w:color="auto"/>
            <w:bottom w:val="none" w:sz="0" w:space="0" w:color="auto"/>
            <w:right w:val="none" w:sz="0" w:space="0" w:color="auto"/>
          </w:divBdr>
        </w:div>
        <w:div w:id="1486162122">
          <w:marLeft w:val="0"/>
          <w:marRight w:val="0"/>
          <w:marTop w:val="0"/>
          <w:marBottom w:val="0"/>
          <w:divBdr>
            <w:top w:val="none" w:sz="0" w:space="0" w:color="auto"/>
            <w:left w:val="none" w:sz="0" w:space="0" w:color="auto"/>
            <w:bottom w:val="none" w:sz="0" w:space="0" w:color="auto"/>
            <w:right w:val="none" w:sz="0" w:space="0" w:color="auto"/>
          </w:divBdr>
        </w:div>
        <w:div w:id="641811919">
          <w:marLeft w:val="0"/>
          <w:marRight w:val="0"/>
          <w:marTop w:val="0"/>
          <w:marBottom w:val="0"/>
          <w:divBdr>
            <w:top w:val="none" w:sz="0" w:space="0" w:color="auto"/>
            <w:left w:val="none" w:sz="0" w:space="0" w:color="auto"/>
            <w:bottom w:val="none" w:sz="0" w:space="0" w:color="auto"/>
            <w:right w:val="none" w:sz="0" w:space="0" w:color="auto"/>
          </w:divBdr>
        </w:div>
        <w:div w:id="775179376">
          <w:marLeft w:val="0"/>
          <w:marRight w:val="0"/>
          <w:marTop w:val="0"/>
          <w:marBottom w:val="0"/>
          <w:divBdr>
            <w:top w:val="none" w:sz="0" w:space="0" w:color="auto"/>
            <w:left w:val="none" w:sz="0" w:space="0" w:color="auto"/>
            <w:bottom w:val="none" w:sz="0" w:space="0" w:color="auto"/>
            <w:right w:val="none" w:sz="0" w:space="0" w:color="auto"/>
          </w:divBdr>
        </w:div>
        <w:div w:id="1954706495">
          <w:marLeft w:val="0"/>
          <w:marRight w:val="0"/>
          <w:marTop w:val="0"/>
          <w:marBottom w:val="0"/>
          <w:divBdr>
            <w:top w:val="none" w:sz="0" w:space="0" w:color="auto"/>
            <w:left w:val="none" w:sz="0" w:space="0" w:color="auto"/>
            <w:bottom w:val="none" w:sz="0" w:space="0" w:color="auto"/>
            <w:right w:val="none" w:sz="0" w:space="0" w:color="auto"/>
          </w:divBdr>
        </w:div>
        <w:div w:id="798650693">
          <w:marLeft w:val="0"/>
          <w:marRight w:val="0"/>
          <w:marTop w:val="0"/>
          <w:marBottom w:val="0"/>
          <w:divBdr>
            <w:top w:val="none" w:sz="0" w:space="0" w:color="auto"/>
            <w:left w:val="none" w:sz="0" w:space="0" w:color="auto"/>
            <w:bottom w:val="none" w:sz="0" w:space="0" w:color="auto"/>
            <w:right w:val="none" w:sz="0" w:space="0" w:color="auto"/>
          </w:divBdr>
        </w:div>
        <w:div w:id="256644041">
          <w:marLeft w:val="0"/>
          <w:marRight w:val="0"/>
          <w:marTop w:val="0"/>
          <w:marBottom w:val="0"/>
          <w:divBdr>
            <w:top w:val="none" w:sz="0" w:space="0" w:color="auto"/>
            <w:left w:val="none" w:sz="0" w:space="0" w:color="auto"/>
            <w:bottom w:val="none" w:sz="0" w:space="0" w:color="auto"/>
            <w:right w:val="none" w:sz="0" w:space="0" w:color="auto"/>
          </w:divBdr>
        </w:div>
        <w:div w:id="317074963">
          <w:marLeft w:val="0"/>
          <w:marRight w:val="0"/>
          <w:marTop w:val="0"/>
          <w:marBottom w:val="0"/>
          <w:divBdr>
            <w:top w:val="none" w:sz="0" w:space="0" w:color="auto"/>
            <w:left w:val="none" w:sz="0" w:space="0" w:color="auto"/>
            <w:bottom w:val="none" w:sz="0" w:space="0" w:color="auto"/>
            <w:right w:val="none" w:sz="0" w:space="0" w:color="auto"/>
          </w:divBdr>
        </w:div>
        <w:div w:id="615673066">
          <w:marLeft w:val="0"/>
          <w:marRight w:val="0"/>
          <w:marTop w:val="0"/>
          <w:marBottom w:val="0"/>
          <w:divBdr>
            <w:top w:val="none" w:sz="0" w:space="0" w:color="auto"/>
            <w:left w:val="none" w:sz="0" w:space="0" w:color="auto"/>
            <w:bottom w:val="none" w:sz="0" w:space="0" w:color="auto"/>
            <w:right w:val="none" w:sz="0" w:space="0" w:color="auto"/>
          </w:divBdr>
        </w:div>
        <w:div w:id="1683819955">
          <w:marLeft w:val="0"/>
          <w:marRight w:val="0"/>
          <w:marTop w:val="0"/>
          <w:marBottom w:val="0"/>
          <w:divBdr>
            <w:top w:val="none" w:sz="0" w:space="0" w:color="auto"/>
            <w:left w:val="none" w:sz="0" w:space="0" w:color="auto"/>
            <w:bottom w:val="none" w:sz="0" w:space="0" w:color="auto"/>
            <w:right w:val="none" w:sz="0" w:space="0" w:color="auto"/>
          </w:divBdr>
        </w:div>
        <w:div w:id="605189144">
          <w:marLeft w:val="0"/>
          <w:marRight w:val="0"/>
          <w:marTop w:val="0"/>
          <w:marBottom w:val="0"/>
          <w:divBdr>
            <w:top w:val="none" w:sz="0" w:space="0" w:color="auto"/>
            <w:left w:val="none" w:sz="0" w:space="0" w:color="auto"/>
            <w:bottom w:val="none" w:sz="0" w:space="0" w:color="auto"/>
            <w:right w:val="none" w:sz="0" w:space="0" w:color="auto"/>
          </w:divBdr>
        </w:div>
        <w:div w:id="1422140162">
          <w:marLeft w:val="0"/>
          <w:marRight w:val="0"/>
          <w:marTop w:val="0"/>
          <w:marBottom w:val="0"/>
          <w:divBdr>
            <w:top w:val="none" w:sz="0" w:space="0" w:color="auto"/>
            <w:left w:val="none" w:sz="0" w:space="0" w:color="auto"/>
            <w:bottom w:val="none" w:sz="0" w:space="0" w:color="auto"/>
            <w:right w:val="none" w:sz="0" w:space="0" w:color="auto"/>
          </w:divBdr>
        </w:div>
        <w:div w:id="596595579">
          <w:marLeft w:val="0"/>
          <w:marRight w:val="0"/>
          <w:marTop w:val="0"/>
          <w:marBottom w:val="0"/>
          <w:divBdr>
            <w:top w:val="none" w:sz="0" w:space="0" w:color="auto"/>
            <w:left w:val="none" w:sz="0" w:space="0" w:color="auto"/>
            <w:bottom w:val="none" w:sz="0" w:space="0" w:color="auto"/>
            <w:right w:val="none" w:sz="0" w:space="0" w:color="auto"/>
          </w:divBdr>
        </w:div>
        <w:div w:id="652300649">
          <w:marLeft w:val="0"/>
          <w:marRight w:val="0"/>
          <w:marTop w:val="0"/>
          <w:marBottom w:val="0"/>
          <w:divBdr>
            <w:top w:val="none" w:sz="0" w:space="0" w:color="auto"/>
            <w:left w:val="none" w:sz="0" w:space="0" w:color="auto"/>
            <w:bottom w:val="none" w:sz="0" w:space="0" w:color="auto"/>
            <w:right w:val="none" w:sz="0" w:space="0" w:color="auto"/>
          </w:divBdr>
        </w:div>
        <w:div w:id="1457211818">
          <w:marLeft w:val="0"/>
          <w:marRight w:val="0"/>
          <w:marTop w:val="0"/>
          <w:marBottom w:val="0"/>
          <w:divBdr>
            <w:top w:val="none" w:sz="0" w:space="0" w:color="auto"/>
            <w:left w:val="none" w:sz="0" w:space="0" w:color="auto"/>
            <w:bottom w:val="none" w:sz="0" w:space="0" w:color="auto"/>
            <w:right w:val="none" w:sz="0" w:space="0" w:color="auto"/>
          </w:divBdr>
        </w:div>
        <w:div w:id="600991512">
          <w:marLeft w:val="0"/>
          <w:marRight w:val="0"/>
          <w:marTop w:val="0"/>
          <w:marBottom w:val="0"/>
          <w:divBdr>
            <w:top w:val="none" w:sz="0" w:space="0" w:color="auto"/>
            <w:left w:val="none" w:sz="0" w:space="0" w:color="auto"/>
            <w:bottom w:val="none" w:sz="0" w:space="0" w:color="auto"/>
            <w:right w:val="none" w:sz="0" w:space="0" w:color="auto"/>
          </w:divBdr>
        </w:div>
        <w:div w:id="817497990">
          <w:marLeft w:val="0"/>
          <w:marRight w:val="0"/>
          <w:marTop w:val="0"/>
          <w:marBottom w:val="0"/>
          <w:divBdr>
            <w:top w:val="none" w:sz="0" w:space="0" w:color="auto"/>
            <w:left w:val="none" w:sz="0" w:space="0" w:color="auto"/>
            <w:bottom w:val="none" w:sz="0" w:space="0" w:color="auto"/>
            <w:right w:val="none" w:sz="0" w:space="0" w:color="auto"/>
          </w:divBdr>
        </w:div>
        <w:div w:id="687409037">
          <w:marLeft w:val="0"/>
          <w:marRight w:val="0"/>
          <w:marTop w:val="0"/>
          <w:marBottom w:val="0"/>
          <w:divBdr>
            <w:top w:val="none" w:sz="0" w:space="0" w:color="auto"/>
            <w:left w:val="none" w:sz="0" w:space="0" w:color="auto"/>
            <w:bottom w:val="none" w:sz="0" w:space="0" w:color="auto"/>
            <w:right w:val="none" w:sz="0" w:space="0" w:color="auto"/>
          </w:divBdr>
        </w:div>
        <w:div w:id="848759498">
          <w:marLeft w:val="0"/>
          <w:marRight w:val="0"/>
          <w:marTop w:val="0"/>
          <w:marBottom w:val="0"/>
          <w:divBdr>
            <w:top w:val="none" w:sz="0" w:space="0" w:color="auto"/>
            <w:left w:val="none" w:sz="0" w:space="0" w:color="auto"/>
            <w:bottom w:val="none" w:sz="0" w:space="0" w:color="auto"/>
            <w:right w:val="none" w:sz="0" w:space="0" w:color="auto"/>
          </w:divBdr>
        </w:div>
        <w:div w:id="1688676785">
          <w:marLeft w:val="0"/>
          <w:marRight w:val="0"/>
          <w:marTop w:val="0"/>
          <w:marBottom w:val="0"/>
          <w:divBdr>
            <w:top w:val="none" w:sz="0" w:space="0" w:color="auto"/>
            <w:left w:val="none" w:sz="0" w:space="0" w:color="auto"/>
            <w:bottom w:val="none" w:sz="0" w:space="0" w:color="auto"/>
            <w:right w:val="none" w:sz="0" w:space="0" w:color="auto"/>
          </w:divBdr>
        </w:div>
        <w:div w:id="195243496">
          <w:marLeft w:val="0"/>
          <w:marRight w:val="0"/>
          <w:marTop w:val="0"/>
          <w:marBottom w:val="0"/>
          <w:divBdr>
            <w:top w:val="none" w:sz="0" w:space="0" w:color="auto"/>
            <w:left w:val="none" w:sz="0" w:space="0" w:color="auto"/>
            <w:bottom w:val="none" w:sz="0" w:space="0" w:color="auto"/>
            <w:right w:val="none" w:sz="0" w:space="0" w:color="auto"/>
          </w:divBdr>
        </w:div>
        <w:div w:id="1091589248">
          <w:marLeft w:val="0"/>
          <w:marRight w:val="0"/>
          <w:marTop w:val="0"/>
          <w:marBottom w:val="0"/>
          <w:divBdr>
            <w:top w:val="none" w:sz="0" w:space="0" w:color="auto"/>
            <w:left w:val="none" w:sz="0" w:space="0" w:color="auto"/>
            <w:bottom w:val="none" w:sz="0" w:space="0" w:color="auto"/>
            <w:right w:val="none" w:sz="0" w:space="0" w:color="auto"/>
          </w:divBdr>
        </w:div>
        <w:div w:id="1256129621">
          <w:marLeft w:val="0"/>
          <w:marRight w:val="0"/>
          <w:marTop w:val="0"/>
          <w:marBottom w:val="0"/>
          <w:divBdr>
            <w:top w:val="none" w:sz="0" w:space="0" w:color="auto"/>
            <w:left w:val="none" w:sz="0" w:space="0" w:color="auto"/>
            <w:bottom w:val="none" w:sz="0" w:space="0" w:color="auto"/>
            <w:right w:val="none" w:sz="0" w:space="0" w:color="auto"/>
          </w:divBdr>
        </w:div>
        <w:div w:id="951322441">
          <w:marLeft w:val="0"/>
          <w:marRight w:val="0"/>
          <w:marTop w:val="0"/>
          <w:marBottom w:val="0"/>
          <w:divBdr>
            <w:top w:val="none" w:sz="0" w:space="0" w:color="auto"/>
            <w:left w:val="none" w:sz="0" w:space="0" w:color="auto"/>
            <w:bottom w:val="none" w:sz="0" w:space="0" w:color="auto"/>
            <w:right w:val="none" w:sz="0" w:space="0" w:color="auto"/>
          </w:divBdr>
        </w:div>
        <w:div w:id="140000050">
          <w:marLeft w:val="0"/>
          <w:marRight w:val="0"/>
          <w:marTop w:val="0"/>
          <w:marBottom w:val="0"/>
          <w:divBdr>
            <w:top w:val="none" w:sz="0" w:space="0" w:color="auto"/>
            <w:left w:val="none" w:sz="0" w:space="0" w:color="auto"/>
            <w:bottom w:val="none" w:sz="0" w:space="0" w:color="auto"/>
            <w:right w:val="none" w:sz="0" w:space="0" w:color="auto"/>
          </w:divBdr>
        </w:div>
        <w:div w:id="102388461">
          <w:marLeft w:val="0"/>
          <w:marRight w:val="0"/>
          <w:marTop w:val="0"/>
          <w:marBottom w:val="0"/>
          <w:divBdr>
            <w:top w:val="none" w:sz="0" w:space="0" w:color="auto"/>
            <w:left w:val="none" w:sz="0" w:space="0" w:color="auto"/>
            <w:bottom w:val="none" w:sz="0" w:space="0" w:color="auto"/>
            <w:right w:val="none" w:sz="0" w:space="0" w:color="auto"/>
          </w:divBdr>
        </w:div>
        <w:div w:id="1836337037">
          <w:marLeft w:val="0"/>
          <w:marRight w:val="0"/>
          <w:marTop w:val="0"/>
          <w:marBottom w:val="0"/>
          <w:divBdr>
            <w:top w:val="none" w:sz="0" w:space="0" w:color="auto"/>
            <w:left w:val="none" w:sz="0" w:space="0" w:color="auto"/>
            <w:bottom w:val="none" w:sz="0" w:space="0" w:color="auto"/>
            <w:right w:val="none" w:sz="0" w:space="0" w:color="auto"/>
          </w:divBdr>
        </w:div>
        <w:div w:id="424688509">
          <w:marLeft w:val="0"/>
          <w:marRight w:val="0"/>
          <w:marTop w:val="0"/>
          <w:marBottom w:val="0"/>
          <w:divBdr>
            <w:top w:val="none" w:sz="0" w:space="0" w:color="auto"/>
            <w:left w:val="none" w:sz="0" w:space="0" w:color="auto"/>
            <w:bottom w:val="none" w:sz="0" w:space="0" w:color="auto"/>
            <w:right w:val="none" w:sz="0" w:space="0" w:color="auto"/>
          </w:divBdr>
        </w:div>
        <w:div w:id="1210190239">
          <w:marLeft w:val="0"/>
          <w:marRight w:val="0"/>
          <w:marTop w:val="0"/>
          <w:marBottom w:val="0"/>
          <w:divBdr>
            <w:top w:val="none" w:sz="0" w:space="0" w:color="auto"/>
            <w:left w:val="none" w:sz="0" w:space="0" w:color="auto"/>
            <w:bottom w:val="none" w:sz="0" w:space="0" w:color="auto"/>
            <w:right w:val="none" w:sz="0" w:space="0" w:color="auto"/>
          </w:divBdr>
        </w:div>
        <w:div w:id="517041678">
          <w:marLeft w:val="0"/>
          <w:marRight w:val="0"/>
          <w:marTop w:val="0"/>
          <w:marBottom w:val="0"/>
          <w:divBdr>
            <w:top w:val="none" w:sz="0" w:space="0" w:color="auto"/>
            <w:left w:val="none" w:sz="0" w:space="0" w:color="auto"/>
            <w:bottom w:val="none" w:sz="0" w:space="0" w:color="auto"/>
            <w:right w:val="none" w:sz="0" w:space="0" w:color="auto"/>
          </w:divBdr>
        </w:div>
        <w:div w:id="622854759">
          <w:marLeft w:val="0"/>
          <w:marRight w:val="0"/>
          <w:marTop w:val="0"/>
          <w:marBottom w:val="0"/>
          <w:divBdr>
            <w:top w:val="none" w:sz="0" w:space="0" w:color="auto"/>
            <w:left w:val="none" w:sz="0" w:space="0" w:color="auto"/>
            <w:bottom w:val="none" w:sz="0" w:space="0" w:color="auto"/>
            <w:right w:val="none" w:sz="0" w:space="0" w:color="auto"/>
          </w:divBdr>
        </w:div>
        <w:div w:id="597101580">
          <w:marLeft w:val="0"/>
          <w:marRight w:val="0"/>
          <w:marTop w:val="0"/>
          <w:marBottom w:val="0"/>
          <w:divBdr>
            <w:top w:val="none" w:sz="0" w:space="0" w:color="auto"/>
            <w:left w:val="none" w:sz="0" w:space="0" w:color="auto"/>
            <w:bottom w:val="none" w:sz="0" w:space="0" w:color="auto"/>
            <w:right w:val="none" w:sz="0" w:space="0" w:color="auto"/>
          </w:divBdr>
        </w:div>
        <w:div w:id="686519020">
          <w:marLeft w:val="0"/>
          <w:marRight w:val="0"/>
          <w:marTop w:val="0"/>
          <w:marBottom w:val="0"/>
          <w:divBdr>
            <w:top w:val="none" w:sz="0" w:space="0" w:color="auto"/>
            <w:left w:val="none" w:sz="0" w:space="0" w:color="auto"/>
            <w:bottom w:val="none" w:sz="0" w:space="0" w:color="auto"/>
            <w:right w:val="none" w:sz="0" w:space="0" w:color="auto"/>
          </w:divBdr>
        </w:div>
        <w:div w:id="2114737767">
          <w:marLeft w:val="0"/>
          <w:marRight w:val="0"/>
          <w:marTop w:val="0"/>
          <w:marBottom w:val="0"/>
          <w:divBdr>
            <w:top w:val="none" w:sz="0" w:space="0" w:color="auto"/>
            <w:left w:val="none" w:sz="0" w:space="0" w:color="auto"/>
            <w:bottom w:val="none" w:sz="0" w:space="0" w:color="auto"/>
            <w:right w:val="none" w:sz="0" w:space="0" w:color="auto"/>
          </w:divBdr>
        </w:div>
        <w:div w:id="1407265261">
          <w:marLeft w:val="0"/>
          <w:marRight w:val="0"/>
          <w:marTop w:val="0"/>
          <w:marBottom w:val="0"/>
          <w:divBdr>
            <w:top w:val="none" w:sz="0" w:space="0" w:color="auto"/>
            <w:left w:val="none" w:sz="0" w:space="0" w:color="auto"/>
            <w:bottom w:val="none" w:sz="0" w:space="0" w:color="auto"/>
            <w:right w:val="none" w:sz="0" w:space="0" w:color="auto"/>
          </w:divBdr>
        </w:div>
        <w:div w:id="111293388">
          <w:marLeft w:val="0"/>
          <w:marRight w:val="0"/>
          <w:marTop w:val="0"/>
          <w:marBottom w:val="0"/>
          <w:divBdr>
            <w:top w:val="none" w:sz="0" w:space="0" w:color="auto"/>
            <w:left w:val="none" w:sz="0" w:space="0" w:color="auto"/>
            <w:bottom w:val="none" w:sz="0" w:space="0" w:color="auto"/>
            <w:right w:val="none" w:sz="0" w:space="0" w:color="auto"/>
          </w:divBdr>
        </w:div>
        <w:div w:id="1045561915">
          <w:marLeft w:val="0"/>
          <w:marRight w:val="0"/>
          <w:marTop w:val="0"/>
          <w:marBottom w:val="0"/>
          <w:divBdr>
            <w:top w:val="none" w:sz="0" w:space="0" w:color="auto"/>
            <w:left w:val="none" w:sz="0" w:space="0" w:color="auto"/>
            <w:bottom w:val="none" w:sz="0" w:space="0" w:color="auto"/>
            <w:right w:val="none" w:sz="0" w:space="0" w:color="auto"/>
          </w:divBdr>
        </w:div>
        <w:div w:id="744183361">
          <w:marLeft w:val="0"/>
          <w:marRight w:val="0"/>
          <w:marTop w:val="0"/>
          <w:marBottom w:val="0"/>
          <w:divBdr>
            <w:top w:val="none" w:sz="0" w:space="0" w:color="auto"/>
            <w:left w:val="none" w:sz="0" w:space="0" w:color="auto"/>
            <w:bottom w:val="none" w:sz="0" w:space="0" w:color="auto"/>
            <w:right w:val="none" w:sz="0" w:space="0" w:color="auto"/>
          </w:divBdr>
        </w:div>
        <w:div w:id="254437237">
          <w:marLeft w:val="0"/>
          <w:marRight w:val="0"/>
          <w:marTop w:val="0"/>
          <w:marBottom w:val="0"/>
          <w:divBdr>
            <w:top w:val="none" w:sz="0" w:space="0" w:color="auto"/>
            <w:left w:val="none" w:sz="0" w:space="0" w:color="auto"/>
            <w:bottom w:val="none" w:sz="0" w:space="0" w:color="auto"/>
            <w:right w:val="none" w:sz="0" w:space="0" w:color="auto"/>
          </w:divBdr>
        </w:div>
        <w:div w:id="734741062">
          <w:marLeft w:val="0"/>
          <w:marRight w:val="0"/>
          <w:marTop w:val="0"/>
          <w:marBottom w:val="0"/>
          <w:divBdr>
            <w:top w:val="none" w:sz="0" w:space="0" w:color="auto"/>
            <w:left w:val="none" w:sz="0" w:space="0" w:color="auto"/>
            <w:bottom w:val="none" w:sz="0" w:space="0" w:color="auto"/>
            <w:right w:val="none" w:sz="0" w:space="0" w:color="auto"/>
          </w:divBdr>
        </w:div>
        <w:div w:id="233904719">
          <w:marLeft w:val="0"/>
          <w:marRight w:val="0"/>
          <w:marTop w:val="0"/>
          <w:marBottom w:val="0"/>
          <w:divBdr>
            <w:top w:val="none" w:sz="0" w:space="0" w:color="auto"/>
            <w:left w:val="none" w:sz="0" w:space="0" w:color="auto"/>
            <w:bottom w:val="none" w:sz="0" w:space="0" w:color="auto"/>
            <w:right w:val="none" w:sz="0" w:space="0" w:color="auto"/>
          </w:divBdr>
        </w:div>
        <w:div w:id="1520967055">
          <w:marLeft w:val="0"/>
          <w:marRight w:val="0"/>
          <w:marTop w:val="0"/>
          <w:marBottom w:val="0"/>
          <w:divBdr>
            <w:top w:val="none" w:sz="0" w:space="0" w:color="auto"/>
            <w:left w:val="none" w:sz="0" w:space="0" w:color="auto"/>
            <w:bottom w:val="none" w:sz="0" w:space="0" w:color="auto"/>
            <w:right w:val="none" w:sz="0" w:space="0" w:color="auto"/>
          </w:divBdr>
        </w:div>
        <w:div w:id="1972442654">
          <w:marLeft w:val="0"/>
          <w:marRight w:val="0"/>
          <w:marTop w:val="0"/>
          <w:marBottom w:val="0"/>
          <w:divBdr>
            <w:top w:val="none" w:sz="0" w:space="0" w:color="auto"/>
            <w:left w:val="none" w:sz="0" w:space="0" w:color="auto"/>
            <w:bottom w:val="none" w:sz="0" w:space="0" w:color="auto"/>
            <w:right w:val="none" w:sz="0" w:space="0" w:color="auto"/>
          </w:divBdr>
        </w:div>
        <w:div w:id="502014981">
          <w:marLeft w:val="0"/>
          <w:marRight w:val="0"/>
          <w:marTop w:val="0"/>
          <w:marBottom w:val="0"/>
          <w:divBdr>
            <w:top w:val="none" w:sz="0" w:space="0" w:color="auto"/>
            <w:left w:val="none" w:sz="0" w:space="0" w:color="auto"/>
            <w:bottom w:val="none" w:sz="0" w:space="0" w:color="auto"/>
            <w:right w:val="none" w:sz="0" w:space="0" w:color="auto"/>
          </w:divBdr>
        </w:div>
        <w:div w:id="1554847668">
          <w:marLeft w:val="0"/>
          <w:marRight w:val="0"/>
          <w:marTop w:val="0"/>
          <w:marBottom w:val="0"/>
          <w:divBdr>
            <w:top w:val="none" w:sz="0" w:space="0" w:color="auto"/>
            <w:left w:val="none" w:sz="0" w:space="0" w:color="auto"/>
            <w:bottom w:val="none" w:sz="0" w:space="0" w:color="auto"/>
            <w:right w:val="none" w:sz="0" w:space="0" w:color="auto"/>
          </w:divBdr>
        </w:div>
        <w:div w:id="1362632991">
          <w:marLeft w:val="0"/>
          <w:marRight w:val="0"/>
          <w:marTop w:val="0"/>
          <w:marBottom w:val="0"/>
          <w:divBdr>
            <w:top w:val="none" w:sz="0" w:space="0" w:color="auto"/>
            <w:left w:val="none" w:sz="0" w:space="0" w:color="auto"/>
            <w:bottom w:val="none" w:sz="0" w:space="0" w:color="auto"/>
            <w:right w:val="none" w:sz="0" w:space="0" w:color="auto"/>
          </w:divBdr>
        </w:div>
        <w:div w:id="556554016">
          <w:marLeft w:val="0"/>
          <w:marRight w:val="0"/>
          <w:marTop w:val="0"/>
          <w:marBottom w:val="0"/>
          <w:divBdr>
            <w:top w:val="none" w:sz="0" w:space="0" w:color="auto"/>
            <w:left w:val="none" w:sz="0" w:space="0" w:color="auto"/>
            <w:bottom w:val="none" w:sz="0" w:space="0" w:color="auto"/>
            <w:right w:val="none" w:sz="0" w:space="0" w:color="auto"/>
          </w:divBdr>
        </w:div>
        <w:div w:id="462118095">
          <w:marLeft w:val="0"/>
          <w:marRight w:val="0"/>
          <w:marTop w:val="0"/>
          <w:marBottom w:val="0"/>
          <w:divBdr>
            <w:top w:val="none" w:sz="0" w:space="0" w:color="auto"/>
            <w:left w:val="none" w:sz="0" w:space="0" w:color="auto"/>
            <w:bottom w:val="none" w:sz="0" w:space="0" w:color="auto"/>
            <w:right w:val="none" w:sz="0" w:space="0" w:color="auto"/>
          </w:divBdr>
        </w:div>
        <w:div w:id="340864066">
          <w:marLeft w:val="0"/>
          <w:marRight w:val="0"/>
          <w:marTop w:val="0"/>
          <w:marBottom w:val="0"/>
          <w:divBdr>
            <w:top w:val="none" w:sz="0" w:space="0" w:color="auto"/>
            <w:left w:val="none" w:sz="0" w:space="0" w:color="auto"/>
            <w:bottom w:val="none" w:sz="0" w:space="0" w:color="auto"/>
            <w:right w:val="none" w:sz="0" w:space="0" w:color="auto"/>
          </w:divBdr>
        </w:div>
        <w:div w:id="1937057602">
          <w:marLeft w:val="0"/>
          <w:marRight w:val="0"/>
          <w:marTop w:val="0"/>
          <w:marBottom w:val="0"/>
          <w:divBdr>
            <w:top w:val="none" w:sz="0" w:space="0" w:color="auto"/>
            <w:left w:val="none" w:sz="0" w:space="0" w:color="auto"/>
            <w:bottom w:val="none" w:sz="0" w:space="0" w:color="auto"/>
            <w:right w:val="none" w:sz="0" w:space="0" w:color="auto"/>
          </w:divBdr>
        </w:div>
        <w:div w:id="615480384">
          <w:marLeft w:val="0"/>
          <w:marRight w:val="0"/>
          <w:marTop w:val="0"/>
          <w:marBottom w:val="0"/>
          <w:divBdr>
            <w:top w:val="none" w:sz="0" w:space="0" w:color="auto"/>
            <w:left w:val="none" w:sz="0" w:space="0" w:color="auto"/>
            <w:bottom w:val="none" w:sz="0" w:space="0" w:color="auto"/>
            <w:right w:val="none" w:sz="0" w:space="0" w:color="auto"/>
          </w:divBdr>
        </w:div>
        <w:div w:id="1297174749">
          <w:marLeft w:val="0"/>
          <w:marRight w:val="0"/>
          <w:marTop w:val="0"/>
          <w:marBottom w:val="0"/>
          <w:divBdr>
            <w:top w:val="none" w:sz="0" w:space="0" w:color="auto"/>
            <w:left w:val="none" w:sz="0" w:space="0" w:color="auto"/>
            <w:bottom w:val="none" w:sz="0" w:space="0" w:color="auto"/>
            <w:right w:val="none" w:sz="0" w:space="0" w:color="auto"/>
          </w:divBdr>
        </w:div>
        <w:div w:id="1227108454">
          <w:marLeft w:val="0"/>
          <w:marRight w:val="0"/>
          <w:marTop w:val="0"/>
          <w:marBottom w:val="0"/>
          <w:divBdr>
            <w:top w:val="none" w:sz="0" w:space="0" w:color="auto"/>
            <w:left w:val="none" w:sz="0" w:space="0" w:color="auto"/>
            <w:bottom w:val="none" w:sz="0" w:space="0" w:color="auto"/>
            <w:right w:val="none" w:sz="0" w:space="0" w:color="auto"/>
          </w:divBdr>
        </w:div>
        <w:div w:id="1630361250">
          <w:marLeft w:val="0"/>
          <w:marRight w:val="0"/>
          <w:marTop w:val="0"/>
          <w:marBottom w:val="0"/>
          <w:divBdr>
            <w:top w:val="none" w:sz="0" w:space="0" w:color="auto"/>
            <w:left w:val="none" w:sz="0" w:space="0" w:color="auto"/>
            <w:bottom w:val="none" w:sz="0" w:space="0" w:color="auto"/>
            <w:right w:val="none" w:sz="0" w:space="0" w:color="auto"/>
          </w:divBdr>
        </w:div>
        <w:div w:id="964779086">
          <w:marLeft w:val="0"/>
          <w:marRight w:val="0"/>
          <w:marTop w:val="0"/>
          <w:marBottom w:val="0"/>
          <w:divBdr>
            <w:top w:val="none" w:sz="0" w:space="0" w:color="auto"/>
            <w:left w:val="none" w:sz="0" w:space="0" w:color="auto"/>
            <w:bottom w:val="none" w:sz="0" w:space="0" w:color="auto"/>
            <w:right w:val="none" w:sz="0" w:space="0" w:color="auto"/>
          </w:divBdr>
        </w:div>
        <w:div w:id="814957706">
          <w:marLeft w:val="0"/>
          <w:marRight w:val="0"/>
          <w:marTop w:val="0"/>
          <w:marBottom w:val="0"/>
          <w:divBdr>
            <w:top w:val="none" w:sz="0" w:space="0" w:color="auto"/>
            <w:left w:val="none" w:sz="0" w:space="0" w:color="auto"/>
            <w:bottom w:val="none" w:sz="0" w:space="0" w:color="auto"/>
            <w:right w:val="none" w:sz="0" w:space="0" w:color="auto"/>
          </w:divBdr>
        </w:div>
        <w:div w:id="30153515">
          <w:marLeft w:val="0"/>
          <w:marRight w:val="0"/>
          <w:marTop w:val="0"/>
          <w:marBottom w:val="0"/>
          <w:divBdr>
            <w:top w:val="none" w:sz="0" w:space="0" w:color="auto"/>
            <w:left w:val="none" w:sz="0" w:space="0" w:color="auto"/>
            <w:bottom w:val="none" w:sz="0" w:space="0" w:color="auto"/>
            <w:right w:val="none" w:sz="0" w:space="0" w:color="auto"/>
          </w:divBdr>
        </w:div>
        <w:div w:id="1423530745">
          <w:marLeft w:val="0"/>
          <w:marRight w:val="0"/>
          <w:marTop w:val="0"/>
          <w:marBottom w:val="0"/>
          <w:divBdr>
            <w:top w:val="none" w:sz="0" w:space="0" w:color="auto"/>
            <w:left w:val="none" w:sz="0" w:space="0" w:color="auto"/>
            <w:bottom w:val="none" w:sz="0" w:space="0" w:color="auto"/>
            <w:right w:val="none" w:sz="0" w:space="0" w:color="auto"/>
          </w:divBdr>
        </w:div>
        <w:div w:id="921716857">
          <w:marLeft w:val="0"/>
          <w:marRight w:val="0"/>
          <w:marTop w:val="0"/>
          <w:marBottom w:val="0"/>
          <w:divBdr>
            <w:top w:val="none" w:sz="0" w:space="0" w:color="auto"/>
            <w:left w:val="none" w:sz="0" w:space="0" w:color="auto"/>
            <w:bottom w:val="none" w:sz="0" w:space="0" w:color="auto"/>
            <w:right w:val="none" w:sz="0" w:space="0" w:color="auto"/>
          </w:divBdr>
        </w:div>
        <w:div w:id="1883133222">
          <w:marLeft w:val="0"/>
          <w:marRight w:val="0"/>
          <w:marTop w:val="0"/>
          <w:marBottom w:val="0"/>
          <w:divBdr>
            <w:top w:val="none" w:sz="0" w:space="0" w:color="auto"/>
            <w:left w:val="none" w:sz="0" w:space="0" w:color="auto"/>
            <w:bottom w:val="none" w:sz="0" w:space="0" w:color="auto"/>
            <w:right w:val="none" w:sz="0" w:space="0" w:color="auto"/>
          </w:divBdr>
        </w:div>
        <w:div w:id="1116801174">
          <w:marLeft w:val="0"/>
          <w:marRight w:val="0"/>
          <w:marTop w:val="0"/>
          <w:marBottom w:val="0"/>
          <w:divBdr>
            <w:top w:val="none" w:sz="0" w:space="0" w:color="auto"/>
            <w:left w:val="none" w:sz="0" w:space="0" w:color="auto"/>
            <w:bottom w:val="none" w:sz="0" w:space="0" w:color="auto"/>
            <w:right w:val="none" w:sz="0" w:space="0" w:color="auto"/>
          </w:divBdr>
        </w:div>
        <w:div w:id="1673487286">
          <w:marLeft w:val="0"/>
          <w:marRight w:val="0"/>
          <w:marTop w:val="0"/>
          <w:marBottom w:val="0"/>
          <w:divBdr>
            <w:top w:val="none" w:sz="0" w:space="0" w:color="auto"/>
            <w:left w:val="none" w:sz="0" w:space="0" w:color="auto"/>
            <w:bottom w:val="none" w:sz="0" w:space="0" w:color="auto"/>
            <w:right w:val="none" w:sz="0" w:space="0" w:color="auto"/>
          </w:divBdr>
        </w:div>
        <w:div w:id="1526863227">
          <w:marLeft w:val="0"/>
          <w:marRight w:val="0"/>
          <w:marTop w:val="0"/>
          <w:marBottom w:val="0"/>
          <w:divBdr>
            <w:top w:val="none" w:sz="0" w:space="0" w:color="auto"/>
            <w:left w:val="none" w:sz="0" w:space="0" w:color="auto"/>
            <w:bottom w:val="none" w:sz="0" w:space="0" w:color="auto"/>
            <w:right w:val="none" w:sz="0" w:space="0" w:color="auto"/>
          </w:divBdr>
        </w:div>
        <w:div w:id="352001665">
          <w:marLeft w:val="0"/>
          <w:marRight w:val="0"/>
          <w:marTop w:val="0"/>
          <w:marBottom w:val="0"/>
          <w:divBdr>
            <w:top w:val="none" w:sz="0" w:space="0" w:color="auto"/>
            <w:left w:val="none" w:sz="0" w:space="0" w:color="auto"/>
            <w:bottom w:val="none" w:sz="0" w:space="0" w:color="auto"/>
            <w:right w:val="none" w:sz="0" w:space="0" w:color="auto"/>
          </w:divBdr>
        </w:div>
        <w:div w:id="1369912818">
          <w:marLeft w:val="0"/>
          <w:marRight w:val="0"/>
          <w:marTop w:val="0"/>
          <w:marBottom w:val="0"/>
          <w:divBdr>
            <w:top w:val="none" w:sz="0" w:space="0" w:color="auto"/>
            <w:left w:val="none" w:sz="0" w:space="0" w:color="auto"/>
            <w:bottom w:val="none" w:sz="0" w:space="0" w:color="auto"/>
            <w:right w:val="none" w:sz="0" w:space="0" w:color="auto"/>
          </w:divBdr>
        </w:div>
        <w:div w:id="799417570">
          <w:marLeft w:val="0"/>
          <w:marRight w:val="0"/>
          <w:marTop w:val="0"/>
          <w:marBottom w:val="0"/>
          <w:divBdr>
            <w:top w:val="none" w:sz="0" w:space="0" w:color="auto"/>
            <w:left w:val="none" w:sz="0" w:space="0" w:color="auto"/>
            <w:bottom w:val="none" w:sz="0" w:space="0" w:color="auto"/>
            <w:right w:val="none" w:sz="0" w:space="0" w:color="auto"/>
          </w:divBdr>
        </w:div>
        <w:div w:id="206573408">
          <w:marLeft w:val="0"/>
          <w:marRight w:val="0"/>
          <w:marTop w:val="0"/>
          <w:marBottom w:val="0"/>
          <w:divBdr>
            <w:top w:val="none" w:sz="0" w:space="0" w:color="auto"/>
            <w:left w:val="none" w:sz="0" w:space="0" w:color="auto"/>
            <w:bottom w:val="none" w:sz="0" w:space="0" w:color="auto"/>
            <w:right w:val="none" w:sz="0" w:space="0" w:color="auto"/>
          </w:divBdr>
        </w:div>
        <w:div w:id="1556893622">
          <w:marLeft w:val="0"/>
          <w:marRight w:val="0"/>
          <w:marTop w:val="0"/>
          <w:marBottom w:val="0"/>
          <w:divBdr>
            <w:top w:val="none" w:sz="0" w:space="0" w:color="auto"/>
            <w:left w:val="none" w:sz="0" w:space="0" w:color="auto"/>
            <w:bottom w:val="none" w:sz="0" w:space="0" w:color="auto"/>
            <w:right w:val="none" w:sz="0" w:space="0" w:color="auto"/>
          </w:divBdr>
        </w:div>
        <w:div w:id="314185953">
          <w:marLeft w:val="0"/>
          <w:marRight w:val="0"/>
          <w:marTop w:val="0"/>
          <w:marBottom w:val="0"/>
          <w:divBdr>
            <w:top w:val="none" w:sz="0" w:space="0" w:color="auto"/>
            <w:left w:val="none" w:sz="0" w:space="0" w:color="auto"/>
            <w:bottom w:val="none" w:sz="0" w:space="0" w:color="auto"/>
            <w:right w:val="none" w:sz="0" w:space="0" w:color="auto"/>
          </w:divBdr>
        </w:div>
        <w:div w:id="241333838">
          <w:marLeft w:val="0"/>
          <w:marRight w:val="0"/>
          <w:marTop w:val="0"/>
          <w:marBottom w:val="0"/>
          <w:divBdr>
            <w:top w:val="none" w:sz="0" w:space="0" w:color="auto"/>
            <w:left w:val="none" w:sz="0" w:space="0" w:color="auto"/>
            <w:bottom w:val="none" w:sz="0" w:space="0" w:color="auto"/>
            <w:right w:val="none" w:sz="0" w:space="0" w:color="auto"/>
          </w:divBdr>
        </w:div>
        <w:div w:id="676998370">
          <w:marLeft w:val="0"/>
          <w:marRight w:val="0"/>
          <w:marTop w:val="0"/>
          <w:marBottom w:val="0"/>
          <w:divBdr>
            <w:top w:val="none" w:sz="0" w:space="0" w:color="auto"/>
            <w:left w:val="none" w:sz="0" w:space="0" w:color="auto"/>
            <w:bottom w:val="none" w:sz="0" w:space="0" w:color="auto"/>
            <w:right w:val="none" w:sz="0" w:space="0" w:color="auto"/>
          </w:divBdr>
        </w:div>
        <w:div w:id="1586307055">
          <w:marLeft w:val="0"/>
          <w:marRight w:val="0"/>
          <w:marTop w:val="0"/>
          <w:marBottom w:val="0"/>
          <w:divBdr>
            <w:top w:val="none" w:sz="0" w:space="0" w:color="auto"/>
            <w:left w:val="none" w:sz="0" w:space="0" w:color="auto"/>
            <w:bottom w:val="none" w:sz="0" w:space="0" w:color="auto"/>
            <w:right w:val="none" w:sz="0" w:space="0" w:color="auto"/>
          </w:divBdr>
        </w:div>
        <w:div w:id="511380751">
          <w:marLeft w:val="0"/>
          <w:marRight w:val="0"/>
          <w:marTop w:val="0"/>
          <w:marBottom w:val="0"/>
          <w:divBdr>
            <w:top w:val="none" w:sz="0" w:space="0" w:color="auto"/>
            <w:left w:val="none" w:sz="0" w:space="0" w:color="auto"/>
            <w:bottom w:val="none" w:sz="0" w:space="0" w:color="auto"/>
            <w:right w:val="none" w:sz="0" w:space="0" w:color="auto"/>
          </w:divBdr>
        </w:div>
        <w:div w:id="1941058805">
          <w:marLeft w:val="0"/>
          <w:marRight w:val="0"/>
          <w:marTop w:val="0"/>
          <w:marBottom w:val="0"/>
          <w:divBdr>
            <w:top w:val="none" w:sz="0" w:space="0" w:color="auto"/>
            <w:left w:val="none" w:sz="0" w:space="0" w:color="auto"/>
            <w:bottom w:val="none" w:sz="0" w:space="0" w:color="auto"/>
            <w:right w:val="none" w:sz="0" w:space="0" w:color="auto"/>
          </w:divBdr>
        </w:div>
        <w:div w:id="630939065">
          <w:marLeft w:val="0"/>
          <w:marRight w:val="0"/>
          <w:marTop w:val="0"/>
          <w:marBottom w:val="0"/>
          <w:divBdr>
            <w:top w:val="none" w:sz="0" w:space="0" w:color="auto"/>
            <w:left w:val="none" w:sz="0" w:space="0" w:color="auto"/>
            <w:bottom w:val="none" w:sz="0" w:space="0" w:color="auto"/>
            <w:right w:val="none" w:sz="0" w:space="0" w:color="auto"/>
          </w:divBdr>
        </w:div>
        <w:div w:id="476722919">
          <w:marLeft w:val="0"/>
          <w:marRight w:val="0"/>
          <w:marTop w:val="0"/>
          <w:marBottom w:val="0"/>
          <w:divBdr>
            <w:top w:val="none" w:sz="0" w:space="0" w:color="auto"/>
            <w:left w:val="none" w:sz="0" w:space="0" w:color="auto"/>
            <w:bottom w:val="none" w:sz="0" w:space="0" w:color="auto"/>
            <w:right w:val="none" w:sz="0" w:space="0" w:color="auto"/>
          </w:divBdr>
        </w:div>
        <w:div w:id="1348025418">
          <w:marLeft w:val="0"/>
          <w:marRight w:val="0"/>
          <w:marTop w:val="0"/>
          <w:marBottom w:val="0"/>
          <w:divBdr>
            <w:top w:val="none" w:sz="0" w:space="0" w:color="auto"/>
            <w:left w:val="none" w:sz="0" w:space="0" w:color="auto"/>
            <w:bottom w:val="none" w:sz="0" w:space="0" w:color="auto"/>
            <w:right w:val="none" w:sz="0" w:space="0" w:color="auto"/>
          </w:divBdr>
        </w:div>
        <w:div w:id="142086656">
          <w:marLeft w:val="0"/>
          <w:marRight w:val="0"/>
          <w:marTop w:val="0"/>
          <w:marBottom w:val="0"/>
          <w:divBdr>
            <w:top w:val="none" w:sz="0" w:space="0" w:color="auto"/>
            <w:left w:val="none" w:sz="0" w:space="0" w:color="auto"/>
            <w:bottom w:val="none" w:sz="0" w:space="0" w:color="auto"/>
            <w:right w:val="none" w:sz="0" w:space="0" w:color="auto"/>
          </w:divBdr>
        </w:div>
        <w:div w:id="127823980">
          <w:marLeft w:val="0"/>
          <w:marRight w:val="0"/>
          <w:marTop w:val="0"/>
          <w:marBottom w:val="0"/>
          <w:divBdr>
            <w:top w:val="none" w:sz="0" w:space="0" w:color="auto"/>
            <w:left w:val="none" w:sz="0" w:space="0" w:color="auto"/>
            <w:bottom w:val="none" w:sz="0" w:space="0" w:color="auto"/>
            <w:right w:val="none" w:sz="0" w:space="0" w:color="auto"/>
          </w:divBdr>
        </w:div>
        <w:div w:id="2009097337">
          <w:marLeft w:val="0"/>
          <w:marRight w:val="0"/>
          <w:marTop w:val="0"/>
          <w:marBottom w:val="0"/>
          <w:divBdr>
            <w:top w:val="none" w:sz="0" w:space="0" w:color="auto"/>
            <w:left w:val="none" w:sz="0" w:space="0" w:color="auto"/>
            <w:bottom w:val="none" w:sz="0" w:space="0" w:color="auto"/>
            <w:right w:val="none" w:sz="0" w:space="0" w:color="auto"/>
          </w:divBdr>
        </w:div>
        <w:div w:id="616449813">
          <w:marLeft w:val="0"/>
          <w:marRight w:val="0"/>
          <w:marTop w:val="0"/>
          <w:marBottom w:val="0"/>
          <w:divBdr>
            <w:top w:val="none" w:sz="0" w:space="0" w:color="auto"/>
            <w:left w:val="none" w:sz="0" w:space="0" w:color="auto"/>
            <w:bottom w:val="none" w:sz="0" w:space="0" w:color="auto"/>
            <w:right w:val="none" w:sz="0" w:space="0" w:color="auto"/>
          </w:divBdr>
        </w:div>
        <w:div w:id="510948393">
          <w:marLeft w:val="0"/>
          <w:marRight w:val="0"/>
          <w:marTop w:val="0"/>
          <w:marBottom w:val="0"/>
          <w:divBdr>
            <w:top w:val="none" w:sz="0" w:space="0" w:color="auto"/>
            <w:left w:val="none" w:sz="0" w:space="0" w:color="auto"/>
            <w:bottom w:val="none" w:sz="0" w:space="0" w:color="auto"/>
            <w:right w:val="none" w:sz="0" w:space="0" w:color="auto"/>
          </w:divBdr>
        </w:div>
        <w:div w:id="1976598432">
          <w:marLeft w:val="0"/>
          <w:marRight w:val="0"/>
          <w:marTop w:val="0"/>
          <w:marBottom w:val="0"/>
          <w:divBdr>
            <w:top w:val="none" w:sz="0" w:space="0" w:color="auto"/>
            <w:left w:val="none" w:sz="0" w:space="0" w:color="auto"/>
            <w:bottom w:val="none" w:sz="0" w:space="0" w:color="auto"/>
            <w:right w:val="none" w:sz="0" w:space="0" w:color="auto"/>
          </w:divBdr>
        </w:div>
        <w:div w:id="1515532652">
          <w:marLeft w:val="0"/>
          <w:marRight w:val="0"/>
          <w:marTop w:val="0"/>
          <w:marBottom w:val="0"/>
          <w:divBdr>
            <w:top w:val="none" w:sz="0" w:space="0" w:color="auto"/>
            <w:left w:val="none" w:sz="0" w:space="0" w:color="auto"/>
            <w:bottom w:val="none" w:sz="0" w:space="0" w:color="auto"/>
            <w:right w:val="none" w:sz="0" w:space="0" w:color="auto"/>
          </w:divBdr>
        </w:div>
        <w:div w:id="540821529">
          <w:marLeft w:val="0"/>
          <w:marRight w:val="0"/>
          <w:marTop w:val="0"/>
          <w:marBottom w:val="0"/>
          <w:divBdr>
            <w:top w:val="none" w:sz="0" w:space="0" w:color="auto"/>
            <w:left w:val="none" w:sz="0" w:space="0" w:color="auto"/>
            <w:bottom w:val="none" w:sz="0" w:space="0" w:color="auto"/>
            <w:right w:val="none" w:sz="0" w:space="0" w:color="auto"/>
          </w:divBdr>
        </w:div>
        <w:div w:id="226573980">
          <w:marLeft w:val="0"/>
          <w:marRight w:val="0"/>
          <w:marTop w:val="0"/>
          <w:marBottom w:val="0"/>
          <w:divBdr>
            <w:top w:val="none" w:sz="0" w:space="0" w:color="auto"/>
            <w:left w:val="none" w:sz="0" w:space="0" w:color="auto"/>
            <w:bottom w:val="none" w:sz="0" w:space="0" w:color="auto"/>
            <w:right w:val="none" w:sz="0" w:space="0" w:color="auto"/>
          </w:divBdr>
        </w:div>
        <w:div w:id="1944265281">
          <w:marLeft w:val="0"/>
          <w:marRight w:val="0"/>
          <w:marTop w:val="0"/>
          <w:marBottom w:val="0"/>
          <w:divBdr>
            <w:top w:val="none" w:sz="0" w:space="0" w:color="auto"/>
            <w:left w:val="none" w:sz="0" w:space="0" w:color="auto"/>
            <w:bottom w:val="none" w:sz="0" w:space="0" w:color="auto"/>
            <w:right w:val="none" w:sz="0" w:space="0" w:color="auto"/>
          </w:divBdr>
        </w:div>
        <w:div w:id="544684033">
          <w:marLeft w:val="0"/>
          <w:marRight w:val="0"/>
          <w:marTop w:val="0"/>
          <w:marBottom w:val="0"/>
          <w:divBdr>
            <w:top w:val="none" w:sz="0" w:space="0" w:color="auto"/>
            <w:left w:val="none" w:sz="0" w:space="0" w:color="auto"/>
            <w:bottom w:val="none" w:sz="0" w:space="0" w:color="auto"/>
            <w:right w:val="none" w:sz="0" w:space="0" w:color="auto"/>
          </w:divBdr>
        </w:div>
        <w:div w:id="418597691">
          <w:marLeft w:val="0"/>
          <w:marRight w:val="0"/>
          <w:marTop w:val="0"/>
          <w:marBottom w:val="0"/>
          <w:divBdr>
            <w:top w:val="none" w:sz="0" w:space="0" w:color="auto"/>
            <w:left w:val="none" w:sz="0" w:space="0" w:color="auto"/>
            <w:bottom w:val="none" w:sz="0" w:space="0" w:color="auto"/>
            <w:right w:val="none" w:sz="0" w:space="0" w:color="auto"/>
          </w:divBdr>
        </w:div>
        <w:div w:id="753478886">
          <w:marLeft w:val="0"/>
          <w:marRight w:val="0"/>
          <w:marTop w:val="0"/>
          <w:marBottom w:val="0"/>
          <w:divBdr>
            <w:top w:val="none" w:sz="0" w:space="0" w:color="auto"/>
            <w:left w:val="none" w:sz="0" w:space="0" w:color="auto"/>
            <w:bottom w:val="none" w:sz="0" w:space="0" w:color="auto"/>
            <w:right w:val="none" w:sz="0" w:space="0" w:color="auto"/>
          </w:divBdr>
        </w:div>
        <w:div w:id="283391875">
          <w:marLeft w:val="0"/>
          <w:marRight w:val="0"/>
          <w:marTop w:val="0"/>
          <w:marBottom w:val="0"/>
          <w:divBdr>
            <w:top w:val="none" w:sz="0" w:space="0" w:color="auto"/>
            <w:left w:val="none" w:sz="0" w:space="0" w:color="auto"/>
            <w:bottom w:val="none" w:sz="0" w:space="0" w:color="auto"/>
            <w:right w:val="none" w:sz="0" w:space="0" w:color="auto"/>
          </w:divBdr>
        </w:div>
        <w:div w:id="1186016199">
          <w:marLeft w:val="0"/>
          <w:marRight w:val="0"/>
          <w:marTop w:val="0"/>
          <w:marBottom w:val="0"/>
          <w:divBdr>
            <w:top w:val="none" w:sz="0" w:space="0" w:color="auto"/>
            <w:left w:val="none" w:sz="0" w:space="0" w:color="auto"/>
            <w:bottom w:val="none" w:sz="0" w:space="0" w:color="auto"/>
            <w:right w:val="none" w:sz="0" w:space="0" w:color="auto"/>
          </w:divBdr>
        </w:div>
        <w:div w:id="93862873">
          <w:marLeft w:val="0"/>
          <w:marRight w:val="0"/>
          <w:marTop w:val="0"/>
          <w:marBottom w:val="0"/>
          <w:divBdr>
            <w:top w:val="none" w:sz="0" w:space="0" w:color="auto"/>
            <w:left w:val="none" w:sz="0" w:space="0" w:color="auto"/>
            <w:bottom w:val="none" w:sz="0" w:space="0" w:color="auto"/>
            <w:right w:val="none" w:sz="0" w:space="0" w:color="auto"/>
          </w:divBdr>
        </w:div>
        <w:div w:id="408506560">
          <w:marLeft w:val="0"/>
          <w:marRight w:val="0"/>
          <w:marTop w:val="0"/>
          <w:marBottom w:val="0"/>
          <w:divBdr>
            <w:top w:val="none" w:sz="0" w:space="0" w:color="auto"/>
            <w:left w:val="none" w:sz="0" w:space="0" w:color="auto"/>
            <w:bottom w:val="none" w:sz="0" w:space="0" w:color="auto"/>
            <w:right w:val="none" w:sz="0" w:space="0" w:color="auto"/>
          </w:divBdr>
        </w:div>
        <w:div w:id="1895726537">
          <w:marLeft w:val="0"/>
          <w:marRight w:val="0"/>
          <w:marTop w:val="0"/>
          <w:marBottom w:val="0"/>
          <w:divBdr>
            <w:top w:val="none" w:sz="0" w:space="0" w:color="auto"/>
            <w:left w:val="none" w:sz="0" w:space="0" w:color="auto"/>
            <w:bottom w:val="none" w:sz="0" w:space="0" w:color="auto"/>
            <w:right w:val="none" w:sz="0" w:space="0" w:color="auto"/>
          </w:divBdr>
        </w:div>
        <w:div w:id="902832411">
          <w:marLeft w:val="0"/>
          <w:marRight w:val="0"/>
          <w:marTop w:val="0"/>
          <w:marBottom w:val="0"/>
          <w:divBdr>
            <w:top w:val="none" w:sz="0" w:space="0" w:color="auto"/>
            <w:left w:val="none" w:sz="0" w:space="0" w:color="auto"/>
            <w:bottom w:val="none" w:sz="0" w:space="0" w:color="auto"/>
            <w:right w:val="none" w:sz="0" w:space="0" w:color="auto"/>
          </w:divBdr>
        </w:div>
        <w:div w:id="370419502">
          <w:marLeft w:val="0"/>
          <w:marRight w:val="0"/>
          <w:marTop w:val="0"/>
          <w:marBottom w:val="0"/>
          <w:divBdr>
            <w:top w:val="none" w:sz="0" w:space="0" w:color="auto"/>
            <w:left w:val="none" w:sz="0" w:space="0" w:color="auto"/>
            <w:bottom w:val="none" w:sz="0" w:space="0" w:color="auto"/>
            <w:right w:val="none" w:sz="0" w:space="0" w:color="auto"/>
          </w:divBdr>
        </w:div>
        <w:div w:id="640580130">
          <w:marLeft w:val="0"/>
          <w:marRight w:val="0"/>
          <w:marTop w:val="0"/>
          <w:marBottom w:val="0"/>
          <w:divBdr>
            <w:top w:val="none" w:sz="0" w:space="0" w:color="auto"/>
            <w:left w:val="none" w:sz="0" w:space="0" w:color="auto"/>
            <w:bottom w:val="none" w:sz="0" w:space="0" w:color="auto"/>
            <w:right w:val="none" w:sz="0" w:space="0" w:color="auto"/>
          </w:divBdr>
        </w:div>
        <w:div w:id="466509054">
          <w:marLeft w:val="0"/>
          <w:marRight w:val="0"/>
          <w:marTop w:val="0"/>
          <w:marBottom w:val="0"/>
          <w:divBdr>
            <w:top w:val="none" w:sz="0" w:space="0" w:color="auto"/>
            <w:left w:val="none" w:sz="0" w:space="0" w:color="auto"/>
            <w:bottom w:val="none" w:sz="0" w:space="0" w:color="auto"/>
            <w:right w:val="none" w:sz="0" w:space="0" w:color="auto"/>
          </w:divBdr>
        </w:div>
        <w:div w:id="552692506">
          <w:marLeft w:val="0"/>
          <w:marRight w:val="0"/>
          <w:marTop w:val="0"/>
          <w:marBottom w:val="0"/>
          <w:divBdr>
            <w:top w:val="none" w:sz="0" w:space="0" w:color="auto"/>
            <w:left w:val="none" w:sz="0" w:space="0" w:color="auto"/>
            <w:bottom w:val="none" w:sz="0" w:space="0" w:color="auto"/>
            <w:right w:val="none" w:sz="0" w:space="0" w:color="auto"/>
          </w:divBdr>
        </w:div>
      </w:divsChild>
    </w:div>
    <w:div w:id="1605452257">
      <w:bodyDiv w:val="1"/>
      <w:marLeft w:val="0"/>
      <w:marRight w:val="0"/>
      <w:marTop w:val="0"/>
      <w:marBottom w:val="0"/>
      <w:divBdr>
        <w:top w:val="none" w:sz="0" w:space="0" w:color="auto"/>
        <w:left w:val="none" w:sz="0" w:space="0" w:color="auto"/>
        <w:bottom w:val="none" w:sz="0" w:space="0" w:color="auto"/>
        <w:right w:val="none" w:sz="0" w:space="0" w:color="auto"/>
      </w:divBdr>
    </w:div>
    <w:div w:id="1605454331">
      <w:bodyDiv w:val="1"/>
      <w:marLeft w:val="0"/>
      <w:marRight w:val="0"/>
      <w:marTop w:val="0"/>
      <w:marBottom w:val="0"/>
      <w:divBdr>
        <w:top w:val="none" w:sz="0" w:space="0" w:color="auto"/>
        <w:left w:val="none" w:sz="0" w:space="0" w:color="auto"/>
        <w:bottom w:val="none" w:sz="0" w:space="0" w:color="auto"/>
        <w:right w:val="none" w:sz="0" w:space="0" w:color="auto"/>
      </w:divBdr>
    </w:div>
    <w:div w:id="1605533556">
      <w:bodyDiv w:val="1"/>
      <w:marLeft w:val="0"/>
      <w:marRight w:val="0"/>
      <w:marTop w:val="0"/>
      <w:marBottom w:val="0"/>
      <w:divBdr>
        <w:top w:val="none" w:sz="0" w:space="0" w:color="auto"/>
        <w:left w:val="none" w:sz="0" w:space="0" w:color="auto"/>
        <w:bottom w:val="none" w:sz="0" w:space="0" w:color="auto"/>
        <w:right w:val="none" w:sz="0" w:space="0" w:color="auto"/>
      </w:divBdr>
    </w:div>
    <w:div w:id="1605721049">
      <w:bodyDiv w:val="1"/>
      <w:marLeft w:val="0"/>
      <w:marRight w:val="0"/>
      <w:marTop w:val="0"/>
      <w:marBottom w:val="0"/>
      <w:divBdr>
        <w:top w:val="none" w:sz="0" w:space="0" w:color="auto"/>
        <w:left w:val="none" w:sz="0" w:space="0" w:color="auto"/>
        <w:bottom w:val="none" w:sz="0" w:space="0" w:color="auto"/>
        <w:right w:val="none" w:sz="0" w:space="0" w:color="auto"/>
      </w:divBdr>
    </w:div>
    <w:div w:id="1605729303">
      <w:bodyDiv w:val="1"/>
      <w:marLeft w:val="0"/>
      <w:marRight w:val="0"/>
      <w:marTop w:val="0"/>
      <w:marBottom w:val="0"/>
      <w:divBdr>
        <w:top w:val="none" w:sz="0" w:space="0" w:color="auto"/>
        <w:left w:val="none" w:sz="0" w:space="0" w:color="auto"/>
        <w:bottom w:val="none" w:sz="0" w:space="0" w:color="auto"/>
        <w:right w:val="none" w:sz="0" w:space="0" w:color="auto"/>
      </w:divBdr>
    </w:div>
    <w:div w:id="1605769723">
      <w:bodyDiv w:val="1"/>
      <w:marLeft w:val="0"/>
      <w:marRight w:val="0"/>
      <w:marTop w:val="0"/>
      <w:marBottom w:val="0"/>
      <w:divBdr>
        <w:top w:val="none" w:sz="0" w:space="0" w:color="auto"/>
        <w:left w:val="none" w:sz="0" w:space="0" w:color="auto"/>
        <w:bottom w:val="none" w:sz="0" w:space="0" w:color="auto"/>
        <w:right w:val="none" w:sz="0" w:space="0" w:color="auto"/>
      </w:divBdr>
    </w:div>
    <w:div w:id="1605848327">
      <w:bodyDiv w:val="1"/>
      <w:marLeft w:val="0"/>
      <w:marRight w:val="0"/>
      <w:marTop w:val="0"/>
      <w:marBottom w:val="0"/>
      <w:divBdr>
        <w:top w:val="none" w:sz="0" w:space="0" w:color="auto"/>
        <w:left w:val="none" w:sz="0" w:space="0" w:color="auto"/>
        <w:bottom w:val="none" w:sz="0" w:space="0" w:color="auto"/>
        <w:right w:val="none" w:sz="0" w:space="0" w:color="auto"/>
      </w:divBdr>
    </w:div>
    <w:div w:id="1605917349">
      <w:bodyDiv w:val="1"/>
      <w:marLeft w:val="0"/>
      <w:marRight w:val="0"/>
      <w:marTop w:val="0"/>
      <w:marBottom w:val="0"/>
      <w:divBdr>
        <w:top w:val="none" w:sz="0" w:space="0" w:color="auto"/>
        <w:left w:val="none" w:sz="0" w:space="0" w:color="auto"/>
        <w:bottom w:val="none" w:sz="0" w:space="0" w:color="auto"/>
        <w:right w:val="none" w:sz="0" w:space="0" w:color="auto"/>
      </w:divBdr>
    </w:div>
    <w:div w:id="1605989742">
      <w:bodyDiv w:val="1"/>
      <w:marLeft w:val="0"/>
      <w:marRight w:val="0"/>
      <w:marTop w:val="0"/>
      <w:marBottom w:val="0"/>
      <w:divBdr>
        <w:top w:val="none" w:sz="0" w:space="0" w:color="auto"/>
        <w:left w:val="none" w:sz="0" w:space="0" w:color="auto"/>
        <w:bottom w:val="none" w:sz="0" w:space="0" w:color="auto"/>
        <w:right w:val="none" w:sz="0" w:space="0" w:color="auto"/>
      </w:divBdr>
    </w:div>
    <w:div w:id="1606035435">
      <w:bodyDiv w:val="1"/>
      <w:marLeft w:val="0"/>
      <w:marRight w:val="0"/>
      <w:marTop w:val="0"/>
      <w:marBottom w:val="0"/>
      <w:divBdr>
        <w:top w:val="none" w:sz="0" w:space="0" w:color="auto"/>
        <w:left w:val="none" w:sz="0" w:space="0" w:color="auto"/>
        <w:bottom w:val="none" w:sz="0" w:space="0" w:color="auto"/>
        <w:right w:val="none" w:sz="0" w:space="0" w:color="auto"/>
      </w:divBdr>
    </w:div>
    <w:div w:id="1606041497">
      <w:bodyDiv w:val="1"/>
      <w:marLeft w:val="0"/>
      <w:marRight w:val="0"/>
      <w:marTop w:val="0"/>
      <w:marBottom w:val="0"/>
      <w:divBdr>
        <w:top w:val="none" w:sz="0" w:space="0" w:color="auto"/>
        <w:left w:val="none" w:sz="0" w:space="0" w:color="auto"/>
        <w:bottom w:val="none" w:sz="0" w:space="0" w:color="auto"/>
        <w:right w:val="none" w:sz="0" w:space="0" w:color="auto"/>
      </w:divBdr>
    </w:div>
    <w:div w:id="1606110312">
      <w:bodyDiv w:val="1"/>
      <w:marLeft w:val="0"/>
      <w:marRight w:val="0"/>
      <w:marTop w:val="0"/>
      <w:marBottom w:val="0"/>
      <w:divBdr>
        <w:top w:val="none" w:sz="0" w:space="0" w:color="auto"/>
        <w:left w:val="none" w:sz="0" w:space="0" w:color="auto"/>
        <w:bottom w:val="none" w:sz="0" w:space="0" w:color="auto"/>
        <w:right w:val="none" w:sz="0" w:space="0" w:color="auto"/>
      </w:divBdr>
    </w:div>
    <w:div w:id="1606115821">
      <w:bodyDiv w:val="1"/>
      <w:marLeft w:val="0"/>
      <w:marRight w:val="0"/>
      <w:marTop w:val="0"/>
      <w:marBottom w:val="0"/>
      <w:divBdr>
        <w:top w:val="none" w:sz="0" w:space="0" w:color="auto"/>
        <w:left w:val="none" w:sz="0" w:space="0" w:color="auto"/>
        <w:bottom w:val="none" w:sz="0" w:space="0" w:color="auto"/>
        <w:right w:val="none" w:sz="0" w:space="0" w:color="auto"/>
      </w:divBdr>
    </w:div>
    <w:div w:id="1606234159">
      <w:bodyDiv w:val="1"/>
      <w:marLeft w:val="0"/>
      <w:marRight w:val="0"/>
      <w:marTop w:val="0"/>
      <w:marBottom w:val="0"/>
      <w:divBdr>
        <w:top w:val="none" w:sz="0" w:space="0" w:color="auto"/>
        <w:left w:val="none" w:sz="0" w:space="0" w:color="auto"/>
        <w:bottom w:val="none" w:sz="0" w:space="0" w:color="auto"/>
        <w:right w:val="none" w:sz="0" w:space="0" w:color="auto"/>
      </w:divBdr>
    </w:div>
    <w:div w:id="1606380520">
      <w:bodyDiv w:val="1"/>
      <w:marLeft w:val="0"/>
      <w:marRight w:val="0"/>
      <w:marTop w:val="0"/>
      <w:marBottom w:val="0"/>
      <w:divBdr>
        <w:top w:val="none" w:sz="0" w:space="0" w:color="auto"/>
        <w:left w:val="none" w:sz="0" w:space="0" w:color="auto"/>
        <w:bottom w:val="none" w:sz="0" w:space="0" w:color="auto"/>
        <w:right w:val="none" w:sz="0" w:space="0" w:color="auto"/>
      </w:divBdr>
    </w:div>
    <w:div w:id="1606381587">
      <w:bodyDiv w:val="1"/>
      <w:marLeft w:val="0"/>
      <w:marRight w:val="0"/>
      <w:marTop w:val="0"/>
      <w:marBottom w:val="0"/>
      <w:divBdr>
        <w:top w:val="none" w:sz="0" w:space="0" w:color="auto"/>
        <w:left w:val="none" w:sz="0" w:space="0" w:color="auto"/>
        <w:bottom w:val="none" w:sz="0" w:space="0" w:color="auto"/>
        <w:right w:val="none" w:sz="0" w:space="0" w:color="auto"/>
      </w:divBdr>
    </w:div>
    <w:div w:id="1606383717">
      <w:bodyDiv w:val="1"/>
      <w:marLeft w:val="0"/>
      <w:marRight w:val="0"/>
      <w:marTop w:val="0"/>
      <w:marBottom w:val="0"/>
      <w:divBdr>
        <w:top w:val="none" w:sz="0" w:space="0" w:color="auto"/>
        <w:left w:val="none" w:sz="0" w:space="0" w:color="auto"/>
        <w:bottom w:val="none" w:sz="0" w:space="0" w:color="auto"/>
        <w:right w:val="none" w:sz="0" w:space="0" w:color="auto"/>
      </w:divBdr>
    </w:div>
    <w:div w:id="1606694694">
      <w:bodyDiv w:val="1"/>
      <w:marLeft w:val="0"/>
      <w:marRight w:val="0"/>
      <w:marTop w:val="0"/>
      <w:marBottom w:val="0"/>
      <w:divBdr>
        <w:top w:val="none" w:sz="0" w:space="0" w:color="auto"/>
        <w:left w:val="none" w:sz="0" w:space="0" w:color="auto"/>
        <w:bottom w:val="none" w:sz="0" w:space="0" w:color="auto"/>
        <w:right w:val="none" w:sz="0" w:space="0" w:color="auto"/>
      </w:divBdr>
    </w:div>
    <w:div w:id="1606766398">
      <w:bodyDiv w:val="1"/>
      <w:marLeft w:val="0"/>
      <w:marRight w:val="0"/>
      <w:marTop w:val="0"/>
      <w:marBottom w:val="0"/>
      <w:divBdr>
        <w:top w:val="none" w:sz="0" w:space="0" w:color="auto"/>
        <w:left w:val="none" w:sz="0" w:space="0" w:color="auto"/>
        <w:bottom w:val="none" w:sz="0" w:space="0" w:color="auto"/>
        <w:right w:val="none" w:sz="0" w:space="0" w:color="auto"/>
      </w:divBdr>
    </w:div>
    <w:div w:id="1606887602">
      <w:bodyDiv w:val="1"/>
      <w:marLeft w:val="0"/>
      <w:marRight w:val="0"/>
      <w:marTop w:val="0"/>
      <w:marBottom w:val="0"/>
      <w:divBdr>
        <w:top w:val="none" w:sz="0" w:space="0" w:color="auto"/>
        <w:left w:val="none" w:sz="0" w:space="0" w:color="auto"/>
        <w:bottom w:val="none" w:sz="0" w:space="0" w:color="auto"/>
        <w:right w:val="none" w:sz="0" w:space="0" w:color="auto"/>
      </w:divBdr>
    </w:div>
    <w:div w:id="1607081668">
      <w:bodyDiv w:val="1"/>
      <w:marLeft w:val="0"/>
      <w:marRight w:val="0"/>
      <w:marTop w:val="0"/>
      <w:marBottom w:val="0"/>
      <w:divBdr>
        <w:top w:val="none" w:sz="0" w:space="0" w:color="auto"/>
        <w:left w:val="none" w:sz="0" w:space="0" w:color="auto"/>
        <w:bottom w:val="none" w:sz="0" w:space="0" w:color="auto"/>
        <w:right w:val="none" w:sz="0" w:space="0" w:color="auto"/>
      </w:divBdr>
    </w:div>
    <w:div w:id="1607151403">
      <w:bodyDiv w:val="1"/>
      <w:marLeft w:val="0"/>
      <w:marRight w:val="0"/>
      <w:marTop w:val="0"/>
      <w:marBottom w:val="0"/>
      <w:divBdr>
        <w:top w:val="none" w:sz="0" w:space="0" w:color="auto"/>
        <w:left w:val="none" w:sz="0" w:space="0" w:color="auto"/>
        <w:bottom w:val="none" w:sz="0" w:space="0" w:color="auto"/>
        <w:right w:val="none" w:sz="0" w:space="0" w:color="auto"/>
      </w:divBdr>
    </w:div>
    <w:div w:id="1607351807">
      <w:bodyDiv w:val="1"/>
      <w:marLeft w:val="0"/>
      <w:marRight w:val="0"/>
      <w:marTop w:val="0"/>
      <w:marBottom w:val="0"/>
      <w:divBdr>
        <w:top w:val="none" w:sz="0" w:space="0" w:color="auto"/>
        <w:left w:val="none" w:sz="0" w:space="0" w:color="auto"/>
        <w:bottom w:val="none" w:sz="0" w:space="0" w:color="auto"/>
        <w:right w:val="none" w:sz="0" w:space="0" w:color="auto"/>
      </w:divBdr>
    </w:div>
    <w:div w:id="1607494365">
      <w:bodyDiv w:val="1"/>
      <w:marLeft w:val="0"/>
      <w:marRight w:val="0"/>
      <w:marTop w:val="0"/>
      <w:marBottom w:val="0"/>
      <w:divBdr>
        <w:top w:val="none" w:sz="0" w:space="0" w:color="auto"/>
        <w:left w:val="none" w:sz="0" w:space="0" w:color="auto"/>
        <w:bottom w:val="none" w:sz="0" w:space="0" w:color="auto"/>
        <w:right w:val="none" w:sz="0" w:space="0" w:color="auto"/>
      </w:divBdr>
    </w:div>
    <w:div w:id="1607618195">
      <w:bodyDiv w:val="1"/>
      <w:marLeft w:val="0"/>
      <w:marRight w:val="0"/>
      <w:marTop w:val="0"/>
      <w:marBottom w:val="0"/>
      <w:divBdr>
        <w:top w:val="none" w:sz="0" w:space="0" w:color="auto"/>
        <w:left w:val="none" w:sz="0" w:space="0" w:color="auto"/>
        <w:bottom w:val="none" w:sz="0" w:space="0" w:color="auto"/>
        <w:right w:val="none" w:sz="0" w:space="0" w:color="auto"/>
      </w:divBdr>
    </w:div>
    <w:div w:id="1607619253">
      <w:bodyDiv w:val="1"/>
      <w:marLeft w:val="0"/>
      <w:marRight w:val="0"/>
      <w:marTop w:val="0"/>
      <w:marBottom w:val="0"/>
      <w:divBdr>
        <w:top w:val="none" w:sz="0" w:space="0" w:color="auto"/>
        <w:left w:val="none" w:sz="0" w:space="0" w:color="auto"/>
        <w:bottom w:val="none" w:sz="0" w:space="0" w:color="auto"/>
        <w:right w:val="none" w:sz="0" w:space="0" w:color="auto"/>
      </w:divBdr>
    </w:div>
    <w:div w:id="1607813893">
      <w:bodyDiv w:val="1"/>
      <w:marLeft w:val="0"/>
      <w:marRight w:val="0"/>
      <w:marTop w:val="0"/>
      <w:marBottom w:val="0"/>
      <w:divBdr>
        <w:top w:val="none" w:sz="0" w:space="0" w:color="auto"/>
        <w:left w:val="none" w:sz="0" w:space="0" w:color="auto"/>
        <w:bottom w:val="none" w:sz="0" w:space="0" w:color="auto"/>
        <w:right w:val="none" w:sz="0" w:space="0" w:color="auto"/>
      </w:divBdr>
    </w:div>
    <w:div w:id="1607927612">
      <w:bodyDiv w:val="1"/>
      <w:marLeft w:val="0"/>
      <w:marRight w:val="0"/>
      <w:marTop w:val="0"/>
      <w:marBottom w:val="0"/>
      <w:divBdr>
        <w:top w:val="none" w:sz="0" w:space="0" w:color="auto"/>
        <w:left w:val="none" w:sz="0" w:space="0" w:color="auto"/>
        <w:bottom w:val="none" w:sz="0" w:space="0" w:color="auto"/>
        <w:right w:val="none" w:sz="0" w:space="0" w:color="auto"/>
      </w:divBdr>
    </w:div>
    <w:div w:id="1608076167">
      <w:bodyDiv w:val="1"/>
      <w:marLeft w:val="0"/>
      <w:marRight w:val="0"/>
      <w:marTop w:val="0"/>
      <w:marBottom w:val="0"/>
      <w:divBdr>
        <w:top w:val="none" w:sz="0" w:space="0" w:color="auto"/>
        <w:left w:val="none" w:sz="0" w:space="0" w:color="auto"/>
        <w:bottom w:val="none" w:sz="0" w:space="0" w:color="auto"/>
        <w:right w:val="none" w:sz="0" w:space="0" w:color="auto"/>
      </w:divBdr>
    </w:div>
    <w:div w:id="1608080812">
      <w:bodyDiv w:val="1"/>
      <w:marLeft w:val="0"/>
      <w:marRight w:val="0"/>
      <w:marTop w:val="0"/>
      <w:marBottom w:val="0"/>
      <w:divBdr>
        <w:top w:val="none" w:sz="0" w:space="0" w:color="auto"/>
        <w:left w:val="none" w:sz="0" w:space="0" w:color="auto"/>
        <w:bottom w:val="none" w:sz="0" w:space="0" w:color="auto"/>
        <w:right w:val="none" w:sz="0" w:space="0" w:color="auto"/>
      </w:divBdr>
    </w:div>
    <w:div w:id="1608082271">
      <w:bodyDiv w:val="1"/>
      <w:marLeft w:val="0"/>
      <w:marRight w:val="0"/>
      <w:marTop w:val="0"/>
      <w:marBottom w:val="0"/>
      <w:divBdr>
        <w:top w:val="none" w:sz="0" w:space="0" w:color="auto"/>
        <w:left w:val="none" w:sz="0" w:space="0" w:color="auto"/>
        <w:bottom w:val="none" w:sz="0" w:space="0" w:color="auto"/>
        <w:right w:val="none" w:sz="0" w:space="0" w:color="auto"/>
      </w:divBdr>
    </w:div>
    <w:div w:id="1608154559">
      <w:bodyDiv w:val="1"/>
      <w:marLeft w:val="0"/>
      <w:marRight w:val="0"/>
      <w:marTop w:val="0"/>
      <w:marBottom w:val="0"/>
      <w:divBdr>
        <w:top w:val="none" w:sz="0" w:space="0" w:color="auto"/>
        <w:left w:val="none" w:sz="0" w:space="0" w:color="auto"/>
        <w:bottom w:val="none" w:sz="0" w:space="0" w:color="auto"/>
        <w:right w:val="none" w:sz="0" w:space="0" w:color="auto"/>
      </w:divBdr>
    </w:div>
    <w:div w:id="1608342637">
      <w:bodyDiv w:val="1"/>
      <w:marLeft w:val="0"/>
      <w:marRight w:val="0"/>
      <w:marTop w:val="0"/>
      <w:marBottom w:val="0"/>
      <w:divBdr>
        <w:top w:val="none" w:sz="0" w:space="0" w:color="auto"/>
        <w:left w:val="none" w:sz="0" w:space="0" w:color="auto"/>
        <w:bottom w:val="none" w:sz="0" w:space="0" w:color="auto"/>
        <w:right w:val="none" w:sz="0" w:space="0" w:color="auto"/>
      </w:divBdr>
    </w:div>
    <w:div w:id="1608535443">
      <w:bodyDiv w:val="1"/>
      <w:marLeft w:val="0"/>
      <w:marRight w:val="0"/>
      <w:marTop w:val="0"/>
      <w:marBottom w:val="0"/>
      <w:divBdr>
        <w:top w:val="none" w:sz="0" w:space="0" w:color="auto"/>
        <w:left w:val="none" w:sz="0" w:space="0" w:color="auto"/>
        <w:bottom w:val="none" w:sz="0" w:space="0" w:color="auto"/>
        <w:right w:val="none" w:sz="0" w:space="0" w:color="auto"/>
      </w:divBdr>
    </w:div>
    <w:div w:id="1608583748">
      <w:bodyDiv w:val="1"/>
      <w:marLeft w:val="0"/>
      <w:marRight w:val="0"/>
      <w:marTop w:val="0"/>
      <w:marBottom w:val="0"/>
      <w:divBdr>
        <w:top w:val="none" w:sz="0" w:space="0" w:color="auto"/>
        <w:left w:val="none" w:sz="0" w:space="0" w:color="auto"/>
        <w:bottom w:val="none" w:sz="0" w:space="0" w:color="auto"/>
        <w:right w:val="none" w:sz="0" w:space="0" w:color="auto"/>
      </w:divBdr>
    </w:div>
    <w:div w:id="1608654369">
      <w:bodyDiv w:val="1"/>
      <w:marLeft w:val="0"/>
      <w:marRight w:val="0"/>
      <w:marTop w:val="0"/>
      <w:marBottom w:val="0"/>
      <w:divBdr>
        <w:top w:val="none" w:sz="0" w:space="0" w:color="auto"/>
        <w:left w:val="none" w:sz="0" w:space="0" w:color="auto"/>
        <w:bottom w:val="none" w:sz="0" w:space="0" w:color="auto"/>
        <w:right w:val="none" w:sz="0" w:space="0" w:color="auto"/>
      </w:divBdr>
    </w:div>
    <w:div w:id="1608804586">
      <w:bodyDiv w:val="1"/>
      <w:marLeft w:val="0"/>
      <w:marRight w:val="0"/>
      <w:marTop w:val="0"/>
      <w:marBottom w:val="0"/>
      <w:divBdr>
        <w:top w:val="none" w:sz="0" w:space="0" w:color="auto"/>
        <w:left w:val="none" w:sz="0" w:space="0" w:color="auto"/>
        <w:bottom w:val="none" w:sz="0" w:space="0" w:color="auto"/>
        <w:right w:val="none" w:sz="0" w:space="0" w:color="auto"/>
      </w:divBdr>
    </w:div>
    <w:div w:id="1608855457">
      <w:bodyDiv w:val="1"/>
      <w:marLeft w:val="0"/>
      <w:marRight w:val="0"/>
      <w:marTop w:val="0"/>
      <w:marBottom w:val="0"/>
      <w:divBdr>
        <w:top w:val="none" w:sz="0" w:space="0" w:color="auto"/>
        <w:left w:val="none" w:sz="0" w:space="0" w:color="auto"/>
        <w:bottom w:val="none" w:sz="0" w:space="0" w:color="auto"/>
        <w:right w:val="none" w:sz="0" w:space="0" w:color="auto"/>
      </w:divBdr>
    </w:div>
    <w:div w:id="1608928910">
      <w:bodyDiv w:val="1"/>
      <w:marLeft w:val="0"/>
      <w:marRight w:val="0"/>
      <w:marTop w:val="0"/>
      <w:marBottom w:val="0"/>
      <w:divBdr>
        <w:top w:val="none" w:sz="0" w:space="0" w:color="auto"/>
        <w:left w:val="none" w:sz="0" w:space="0" w:color="auto"/>
        <w:bottom w:val="none" w:sz="0" w:space="0" w:color="auto"/>
        <w:right w:val="none" w:sz="0" w:space="0" w:color="auto"/>
      </w:divBdr>
    </w:div>
    <w:div w:id="1608997730">
      <w:bodyDiv w:val="1"/>
      <w:marLeft w:val="0"/>
      <w:marRight w:val="0"/>
      <w:marTop w:val="0"/>
      <w:marBottom w:val="0"/>
      <w:divBdr>
        <w:top w:val="none" w:sz="0" w:space="0" w:color="auto"/>
        <w:left w:val="none" w:sz="0" w:space="0" w:color="auto"/>
        <w:bottom w:val="none" w:sz="0" w:space="0" w:color="auto"/>
        <w:right w:val="none" w:sz="0" w:space="0" w:color="auto"/>
      </w:divBdr>
    </w:div>
    <w:div w:id="1609006398">
      <w:bodyDiv w:val="1"/>
      <w:marLeft w:val="0"/>
      <w:marRight w:val="0"/>
      <w:marTop w:val="0"/>
      <w:marBottom w:val="0"/>
      <w:divBdr>
        <w:top w:val="none" w:sz="0" w:space="0" w:color="auto"/>
        <w:left w:val="none" w:sz="0" w:space="0" w:color="auto"/>
        <w:bottom w:val="none" w:sz="0" w:space="0" w:color="auto"/>
        <w:right w:val="none" w:sz="0" w:space="0" w:color="auto"/>
      </w:divBdr>
    </w:div>
    <w:div w:id="1609117568">
      <w:bodyDiv w:val="1"/>
      <w:marLeft w:val="0"/>
      <w:marRight w:val="0"/>
      <w:marTop w:val="0"/>
      <w:marBottom w:val="0"/>
      <w:divBdr>
        <w:top w:val="none" w:sz="0" w:space="0" w:color="auto"/>
        <w:left w:val="none" w:sz="0" w:space="0" w:color="auto"/>
        <w:bottom w:val="none" w:sz="0" w:space="0" w:color="auto"/>
        <w:right w:val="none" w:sz="0" w:space="0" w:color="auto"/>
      </w:divBdr>
    </w:div>
    <w:div w:id="1609120032">
      <w:bodyDiv w:val="1"/>
      <w:marLeft w:val="0"/>
      <w:marRight w:val="0"/>
      <w:marTop w:val="0"/>
      <w:marBottom w:val="0"/>
      <w:divBdr>
        <w:top w:val="none" w:sz="0" w:space="0" w:color="auto"/>
        <w:left w:val="none" w:sz="0" w:space="0" w:color="auto"/>
        <w:bottom w:val="none" w:sz="0" w:space="0" w:color="auto"/>
        <w:right w:val="none" w:sz="0" w:space="0" w:color="auto"/>
      </w:divBdr>
    </w:div>
    <w:div w:id="1609196962">
      <w:bodyDiv w:val="1"/>
      <w:marLeft w:val="0"/>
      <w:marRight w:val="0"/>
      <w:marTop w:val="0"/>
      <w:marBottom w:val="0"/>
      <w:divBdr>
        <w:top w:val="none" w:sz="0" w:space="0" w:color="auto"/>
        <w:left w:val="none" w:sz="0" w:space="0" w:color="auto"/>
        <w:bottom w:val="none" w:sz="0" w:space="0" w:color="auto"/>
        <w:right w:val="none" w:sz="0" w:space="0" w:color="auto"/>
      </w:divBdr>
    </w:div>
    <w:div w:id="1609198431">
      <w:bodyDiv w:val="1"/>
      <w:marLeft w:val="0"/>
      <w:marRight w:val="0"/>
      <w:marTop w:val="0"/>
      <w:marBottom w:val="0"/>
      <w:divBdr>
        <w:top w:val="none" w:sz="0" w:space="0" w:color="auto"/>
        <w:left w:val="none" w:sz="0" w:space="0" w:color="auto"/>
        <w:bottom w:val="none" w:sz="0" w:space="0" w:color="auto"/>
        <w:right w:val="none" w:sz="0" w:space="0" w:color="auto"/>
      </w:divBdr>
    </w:div>
    <w:div w:id="1609237532">
      <w:bodyDiv w:val="1"/>
      <w:marLeft w:val="0"/>
      <w:marRight w:val="0"/>
      <w:marTop w:val="0"/>
      <w:marBottom w:val="0"/>
      <w:divBdr>
        <w:top w:val="none" w:sz="0" w:space="0" w:color="auto"/>
        <w:left w:val="none" w:sz="0" w:space="0" w:color="auto"/>
        <w:bottom w:val="none" w:sz="0" w:space="0" w:color="auto"/>
        <w:right w:val="none" w:sz="0" w:space="0" w:color="auto"/>
      </w:divBdr>
    </w:div>
    <w:div w:id="1609388723">
      <w:bodyDiv w:val="1"/>
      <w:marLeft w:val="0"/>
      <w:marRight w:val="0"/>
      <w:marTop w:val="0"/>
      <w:marBottom w:val="0"/>
      <w:divBdr>
        <w:top w:val="none" w:sz="0" w:space="0" w:color="auto"/>
        <w:left w:val="none" w:sz="0" w:space="0" w:color="auto"/>
        <w:bottom w:val="none" w:sz="0" w:space="0" w:color="auto"/>
        <w:right w:val="none" w:sz="0" w:space="0" w:color="auto"/>
      </w:divBdr>
    </w:div>
    <w:div w:id="1609435604">
      <w:bodyDiv w:val="1"/>
      <w:marLeft w:val="0"/>
      <w:marRight w:val="0"/>
      <w:marTop w:val="0"/>
      <w:marBottom w:val="0"/>
      <w:divBdr>
        <w:top w:val="none" w:sz="0" w:space="0" w:color="auto"/>
        <w:left w:val="none" w:sz="0" w:space="0" w:color="auto"/>
        <w:bottom w:val="none" w:sz="0" w:space="0" w:color="auto"/>
        <w:right w:val="none" w:sz="0" w:space="0" w:color="auto"/>
      </w:divBdr>
    </w:div>
    <w:div w:id="1609501779">
      <w:bodyDiv w:val="1"/>
      <w:marLeft w:val="0"/>
      <w:marRight w:val="0"/>
      <w:marTop w:val="0"/>
      <w:marBottom w:val="0"/>
      <w:divBdr>
        <w:top w:val="none" w:sz="0" w:space="0" w:color="auto"/>
        <w:left w:val="none" w:sz="0" w:space="0" w:color="auto"/>
        <w:bottom w:val="none" w:sz="0" w:space="0" w:color="auto"/>
        <w:right w:val="none" w:sz="0" w:space="0" w:color="auto"/>
      </w:divBdr>
    </w:div>
    <w:div w:id="1609582086">
      <w:bodyDiv w:val="1"/>
      <w:marLeft w:val="0"/>
      <w:marRight w:val="0"/>
      <w:marTop w:val="0"/>
      <w:marBottom w:val="0"/>
      <w:divBdr>
        <w:top w:val="none" w:sz="0" w:space="0" w:color="auto"/>
        <w:left w:val="none" w:sz="0" w:space="0" w:color="auto"/>
        <w:bottom w:val="none" w:sz="0" w:space="0" w:color="auto"/>
        <w:right w:val="none" w:sz="0" w:space="0" w:color="auto"/>
      </w:divBdr>
    </w:div>
    <w:div w:id="1609584201">
      <w:bodyDiv w:val="1"/>
      <w:marLeft w:val="0"/>
      <w:marRight w:val="0"/>
      <w:marTop w:val="0"/>
      <w:marBottom w:val="0"/>
      <w:divBdr>
        <w:top w:val="none" w:sz="0" w:space="0" w:color="auto"/>
        <w:left w:val="none" w:sz="0" w:space="0" w:color="auto"/>
        <w:bottom w:val="none" w:sz="0" w:space="0" w:color="auto"/>
        <w:right w:val="none" w:sz="0" w:space="0" w:color="auto"/>
      </w:divBdr>
    </w:div>
    <w:div w:id="1609701312">
      <w:bodyDiv w:val="1"/>
      <w:marLeft w:val="0"/>
      <w:marRight w:val="0"/>
      <w:marTop w:val="0"/>
      <w:marBottom w:val="0"/>
      <w:divBdr>
        <w:top w:val="none" w:sz="0" w:space="0" w:color="auto"/>
        <w:left w:val="none" w:sz="0" w:space="0" w:color="auto"/>
        <w:bottom w:val="none" w:sz="0" w:space="0" w:color="auto"/>
        <w:right w:val="none" w:sz="0" w:space="0" w:color="auto"/>
      </w:divBdr>
    </w:div>
    <w:div w:id="1609776821">
      <w:bodyDiv w:val="1"/>
      <w:marLeft w:val="0"/>
      <w:marRight w:val="0"/>
      <w:marTop w:val="0"/>
      <w:marBottom w:val="0"/>
      <w:divBdr>
        <w:top w:val="none" w:sz="0" w:space="0" w:color="auto"/>
        <w:left w:val="none" w:sz="0" w:space="0" w:color="auto"/>
        <w:bottom w:val="none" w:sz="0" w:space="0" w:color="auto"/>
        <w:right w:val="none" w:sz="0" w:space="0" w:color="auto"/>
      </w:divBdr>
    </w:div>
    <w:div w:id="1609892821">
      <w:bodyDiv w:val="1"/>
      <w:marLeft w:val="0"/>
      <w:marRight w:val="0"/>
      <w:marTop w:val="0"/>
      <w:marBottom w:val="0"/>
      <w:divBdr>
        <w:top w:val="none" w:sz="0" w:space="0" w:color="auto"/>
        <w:left w:val="none" w:sz="0" w:space="0" w:color="auto"/>
        <w:bottom w:val="none" w:sz="0" w:space="0" w:color="auto"/>
        <w:right w:val="none" w:sz="0" w:space="0" w:color="auto"/>
      </w:divBdr>
    </w:div>
    <w:div w:id="1610162923">
      <w:bodyDiv w:val="1"/>
      <w:marLeft w:val="0"/>
      <w:marRight w:val="0"/>
      <w:marTop w:val="0"/>
      <w:marBottom w:val="0"/>
      <w:divBdr>
        <w:top w:val="none" w:sz="0" w:space="0" w:color="auto"/>
        <w:left w:val="none" w:sz="0" w:space="0" w:color="auto"/>
        <w:bottom w:val="none" w:sz="0" w:space="0" w:color="auto"/>
        <w:right w:val="none" w:sz="0" w:space="0" w:color="auto"/>
      </w:divBdr>
    </w:div>
    <w:div w:id="1610163833">
      <w:bodyDiv w:val="1"/>
      <w:marLeft w:val="0"/>
      <w:marRight w:val="0"/>
      <w:marTop w:val="0"/>
      <w:marBottom w:val="0"/>
      <w:divBdr>
        <w:top w:val="none" w:sz="0" w:space="0" w:color="auto"/>
        <w:left w:val="none" w:sz="0" w:space="0" w:color="auto"/>
        <w:bottom w:val="none" w:sz="0" w:space="0" w:color="auto"/>
        <w:right w:val="none" w:sz="0" w:space="0" w:color="auto"/>
      </w:divBdr>
    </w:div>
    <w:div w:id="1610236252">
      <w:bodyDiv w:val="1"/>
      <w:marLeft w:val="0"/>
      <w:marRight w:val="0"/>
      <w:marTop w:val="0"/>
      <w:marBottom w:val="0"/>
      <w:divBdr>
        <w:top w:val="none" w:sz="0" w:space="0" w:color="auto"/>
        <w:left w:val="none" w:sz="0" w:space="0" w:color="auto"/>
        <w:bottom w:val="none" w:sz="0" w:space="0" w:color="auto"/>
        <w:right w:val="none" w:sz="0" w:space="0" w:color="auto"/>
      </w:divBdr>
    </w:div>
    <w:div w:id="1610236873">
      <w:bodyDiv w:val="1"/>
      <w:marLeft w:val="0"/>
      <w:marRight w:val="0"/>
      <w:marTop w:val="0"/>
      <w:marBottom w:val="0"/>
      <w:divBdr>
        <w:top w:val="none" w:sz="0" w:space="0" w:color="auto"/>
        <w:left w:val="none" w:sz="0" w:space="0" w:color="auto"/>
        <w:bottom w:val="none" w:sz="0" w:space="0" w:color="auto"/>
        <w:right w:val="none" w:sz="0" w:space="0" w:color="auto"/>
      </w:divBdr>
    </w:div>
    <w:div w:id="1610241537">
      <w:bodyDiv w:val="1"/>
      <w:marLeft w:val="0"/>
      <w:marRight w:val="0"/>
      <w:marTop w:val="0"/>
      <w:marBottom w:val="0"/>
      <w:divBdr>
        <w:top w:val="none" w:sz="0" w:space="0" w:color="auto"/>
        <w:left w:val="none" w:sz="0" w:space="0" w:color="auto"/>
        <w:bottom w:val="none" w:sz="0" w:space="0" w:color="auto"/>
        <w:right w:val="none" w:sz="0" w:space="0" w:color="auto"/>
      </w:divBdr>
    </w:div>
    <w:div w:id="1610355879">
      <w:bodyDiv w:val="1"/>
      <w:marLeft w:val="0"/>
      <w:marRight w:val="0"/>
      <w:marTop w:val="0"/>
      <w:marBottom w:val="0"/>
      <w:divBdr>
        <w:top w:val="none" w:sz="0" w:space="0" w:color="auto"/>
        <w:left w:val="none" w:sz="0" w:space="0" w:color="auto"/>
        <w:bottom w:val="none" w:sz="0" w:space="0" w:color="auto"/>
        <w:right w:val="none" w:sz="0" w:space="0" w:color="auto"/>
      </w:divBdr>
    </w:div>
    <w:div w:id="1610383196">
      <w:bodyDiv w:val="1"/>
      <w:marLeft w:val="0"/>
      <w:marRight w:val="0"/>
      <w:marTop w:val="0"/>
      <w:marBottom w:val="0"/>
      <w:divBdr>
        <w:top w:val="none" w:sz="0" w:space="0" w:color="auto"/>
        <w:left w:val="none" w:sz="0" w:space="0" w:color="auto"/>
        <w:bottom w:val="none" w:sz="0" w:space="0" w:color="auto"/>
        <w:right w:val="none" w:sz="0" w:space="0" w:color="auto"/>
      </w:divBdr>
    </w:div>
    <w:div w:id="1610426488">
      <w:bodyDiv w:val="1"/>
      <w:marLeft w:val="0"/>
      <w:marRight w:val="0"/>
      <w:marTop w:val="0"/>
      <w:marBottom w:val="0"/>
      <w:divBdr>
        <w:top w:val="none" w:sz="0" w:space="0" w:color="auto"/>
        <w:left w:val="none" w:sz="0" w:space="0" w:color="auto"/>
        <w:bottom w:val="none" w:sz="0" w:space="0" w:color="auto"/>
        <w:right w:val="none" w:sz="0" w:space="0" w:color="auto"/>
      </w:divBdr>
    </w:div>
    <w:div w:id="1610501657">
      <w:bodyDiv w:val="1"/>
      <w:marLeft w:val="0"/>
      <w:marRight w:val="0"/>
      <w:marTop w:val="0"/>
      <w:marBottom w:val="0"/>
      <w:divBdr>
        <w:top w:val="none" w:sz="0" w:space="0" w:color="auto"/>
        <w:left w:val="none" w:sz="0" w:space="0" w:color="auto"/>
        <w:bottom w:val="none" w:sz="0" w:space="0" w:color="auto"/>
        <w:right w:val="none" w:sz="0" w:space="0" w:color="auto"/>
      </w:divBdr>
    </w:div>
    <w:div w:id="1610507915">
      <w:bodyDiv w:val="1"/>
      <w:marLeft w:val="0"/>
      <w:marRight w:val="0"/>
      <w:marTop w:val="0"/>
      <w:marBottom w:val="0"/>
      <w:divBdr>
        <w:top w:val="none" w:sz="0" w:space="0" w:color="auto"/>
        <w:left w:val="none" w:sz="0" w:space="0" w:color="auto"/>
        <w:bottom w:val="none" w:sz="0" w:space="0" w:color="auto"/>
        <w:right w:val="none" w:sz="0" w:space="0" w:color="auto"/>
      </w:divBdr>
    </w:div>
    <w:div w:id="1610549378">
      <w:bodyDiv w:val="1"/>
      <w:marLeft w:val="0"/>
      <w:marRight w:val="0"/>
      <w:marTop w:val="0"/>
      <w:marBottom w:val="0"/>
      <w:divBdr>
        <w:top w:val="none" w:sz="0" w:space="0" w:color="auto"/>
        <w:left w:val="none" w:sz="0" w:space="0" w:color="auto"/>
        <w:bottom w:val="none" w:sz="0" w:space="0" w:color="auto"/>
        <w:right w:val="none" w:sz="0" w:space="0" w:color="auto"/>
      </w:divBdr>
    </w:div>
    <w:div w:id="1610550164">
      <w:bodyDiv w:val="1"/>
      <w:marLeft w:val="0"/>
      <w:marRight w:val="0"/>
      <w:marTop w:val="0"/>
      <w:marBottom w:val="0"/>
      <w:divBdr>
        <w:top w:val="none" w:sz="0" w:space="0" w:color="auto"/>
        <w:left w:val="none" w:sz="0" w:space="0" w:color="auto"/>
        <w:bottom w:val="none" w:sz="0" w:space="0" w:color="auto"/>
        <w:right w:val="none" w:sz="0" w:space="0" w:color="auto"/>
      </w:divBdr>
    </w:div>
    <w:div w:id="1610579264">
      <w:bodyDiv w:val="1"/>
      <w:marLeft w:val="0"/>
      <w:marRight w:val="0"/>
      <w:marTop w:val="0"/>
      <w:marBottom w:val="0"/>
      <w:divBdr>
        <w:top w:val="none" w:sz="0" w:space="0" w:color="auto"/>
        <w:left w:val="none" w:sz="0" w:space="0" w:color="auto"/>
        <w:bottom w:val="none" w:sz="0" w:space="0" w:color="auto"/>
        <w:right w:val="none" w:sz="0" w:space="0" w:color="auto"/>
      </w:divBdr>
    </w:div>
    <w:div w:id="1610700847">
      <w:bodyDiv w:val="1"/>
      <w:marLeft w:val="0"/>
      <w:marRight w:val="0"/>
      <w:marTop w:val="0"/>
      <w:marBottom w:val="0"/>
      <w:divBdr>
        <w:top w:val="none" w:sz="0" w:space="0" w:color="auto"/>
        <w:left w:val="none" w:sz="0" w:space="0" w:color="auto"/>
        <w:bottom w:val="none" w:sz="0" w:space="0" w:color="auto"/>
        <w:right w:val="none" w:sz="0" w:space="0" w:color="auto"/>
      </w:divBdr>
    </w:div>
    <w:div w:id="1610745797">
      <w:bodyDiv w:val="1"/>
      <w:marLeft w:val="0"/>
      <w:marRight w:val="0"/>
      <w:marTop w:val="0"/>
      <w:marBottom w:val="0"/>
      <w:divBdr>
        <w:top w:val="none" w:sz="0" w:space="0" w:color="auto"/>
        <w:left w:val="none" w:sz="0" w:space="0" w:color="auto"/>
        <w:bottom w:val="none" w:sz="0" w:space="0" w:color="auto"/>
        <w:right w:val="none" w:sz="0" w:space="0" w:color="auto"/>
      </w:divBdr>
    </w:div>
    <w:div w:id="1610775516">
      <w:bodyDiv w:val="1"/>
      <w:marLeft w:val="0"/>
      <w:marRight w:val="0"/>
      <w:marTop w:val="0"/>
      <w:marBottom w:val="0"/>
      <w:divBdr>
        <w:top w:val="none" w:sz="0" w:space="0" w:color="auto"/>
        <w:left w:val="none" w:sz="0" w:space="0" w:color="auto"/>
        <w:bottom w:val="none" w:sz="0" w:space="0" w:color="auto"/>
        <w:right w:val="none" w:sz="0" w:space="0" w:color="auto"/>
      </w:divBdr>
    </w:div>
    <w:div w:id="1610889442">
      <w:bodyDiv w:val="1"/>
      <w:marLeft w:val="0"/>
      <w:marRight w:val="0"/>
      <w:marTop w:val="0"/>
      <w:marBottom w:val="0"/>
      <w:divBdr>
        <w:top w:val="none" w:sz="0" w:space="0" w:color="auto"/>
        <w:left w:val="none" w:sz="0" w:space="0" w:color="auto"/>
        <w:bottom w:val="none" w:sz="0" w:space="0" w:color="auto"/>
        <w:right w:val="none" w:sz="0" w:space="0" w:color="auto"/>
      </w:divBdr>
    </w:div>
    <w:div w:id="1610890978">
      <w:bodyDiv w:val="1"/>
      <w:marLeft w:val="0"/>
      <w:marRight w:val="0"/>
      <w:marTop w:val="0"/>
      <w:marBottom w:val="0"/>
      <w:divBdr>
        <w:top w:val="none" w:sz="0" w:space="0" w:color="auto"/>
        <w:left w:val="none" w:sz="0" w:space="0" w:color="auto"/>
        <w:bottom w:val="none" w:sz="0" w:space="0" w:color="auto"/>
        <w:right w:val="none" w:sz="0" w:space="0" w:color="auto"/>
      </w:divBdr>
    </w:div>
    <w:div w:id="1610964183">
      <w:bodyDiv w:val="1"/>
      <w:marLeft w:val="0"/>
      <w:marRight w:val="0"/>
      <w:marTop w:val="0"/>
      <w:marBottom w:val="0"/>
      <w:divBdr>
        <w:top w:val="none" w:sz="0" w:space="0" w:color="auto"/>
        <w:left w:val="none" w:sz="0" w:space="0" w:color="auto"/>
        <w:bottom w:val="none" w:sz="0" w:space="0" w:color="auto"/>
        <w:right w:val="none" w:sz="0" w:space="0" w:color="auto"/>
      </w:divBdr>
    </w:div>
    <w:div w:id="1611013223">
      <w:bodyDiv w:val="1"/>
      <w:marLeft w:val="0"/>
      <w:marRight w:val="0"/>
      <w:marTop w:val="0"/>
      <w:marBottom w:val="0"/>
      <w:divBdr>
        <w:top w:val="none" w:sz="0" w:space="0" w:color="auto"/>
        <w:left w:val="none" w:sz="0" w:space="0" w:color="auto"/>
        <w:bottom w:val="none" w:sz="0" w:space="0" w:color="auto"/>
        <w:right w:val="none" w:sz="0" w:space="0" w:color="auto"/>
      </w:divBdr>
    </w:div>
    <w:div w:id="1611157720">
      <w:bodyDiv w:val="1"/>
      <w:marLeft w:val="0"/>
      <w:marRight w:val="0"/>
      <w:marTop w:val="0"/>
      <w:marBottom w:val="0"/>
      <w:divBdr>
        <w:top w:val="none" w:sz="0" w:space="0" w:color="auto"/>
        <w:left w:val="none" w:sz="0" w:space="0" w:color="auto"/>
        <w:bottom w:val="none" w:sz="0" w:space="0" w:color="auto"/>
        <w:right w:val="none" w:sz="0" w:space="0" w:color="auto"/>
      </w:divBdr>
    </w:div>
    <w:div w:id="1611204880">
      <w:bodyDiv w:val="1"/>
      <w:marLeft w:val="0"/>
      <w:marRight w:val="0"/>
      <w:marTop w:val="0"/>
      <w:marBottom w:val="0"/>
      <w:divBdr>
        <w:top w:val="none" w:sz="0" w:space="0" w:color="auto"/>
        <w:left w:val="none" w:sz="0" w:space="0" w:color="auto"/>
        <w:bottom w:val="none" w:sz="0" w:space="0" w:color="auto"/>
        <w:right w:val="none" w:sz="0" w:space="0" w:color="auto"/>
      </w:divBdr>
    </w:div>
    <w:div w:id="1611206603">
      <w:bodyDiv w:val="1"/>
      <w:marLeft w:val="0"/>
      <w:marRight w:val="0"/>
      <w:marTop w:val="0"/>
      <w:marBottom w:val="0"/>
      <w:divBdr>
        <w:top w:val="none" w:sz="0" w:space="0" w:color="auto"/>
        <w:left w:val="none" w:sz="0" w:space="0" w:color="auto"/>
        <w:bottom w:val="none" w:sz="0" w:space="0" w:color="auto"/>
        <w:right w:val="none" w:sz="0" w:space="0" w:color="auto"/>
      </w:divBdr>
    </w:div>
    <w:div w:id="1611234874">
      <w:bodyDiv w:val="1"/>
      <w:marLeft w:val="0"/>
      <w:marRight w:val="0"/>
      <w:marTop w:val="0"/>
      <w:marBottom w:val="0"/>
      <w:divBdr>
        <w:top w:val="none" w:sz="0" w:space="0" w:color="auto"/>
        <w:left w:val="none" w:sz="0" w:space="0" w:color="auto"/>
        <w:bottom w:val="none" w:sz="0" w:space="0" w:color="auto"/>
        <w:right w:val="none" w:sz="0" w:space="0" w:color="auto"/>
      </w:divBdr>
    </w:div>
    <w:div w:id="1611276710">
      <w:bodyDiv w:val="1"/>
      <w:marLeft w:val="0"/>
      <w:marRight w:val="0"/>
      <w:marTop w:val="0"/>
      <w:marBottom w:val="0"/>
      <w:divBdr>
        <w:top w:val="none" w:sz="0" w:space="0" w:color="auto"/>
        <w:left w:val="none" w:sz="0" w:space="0" w:color="auto"/>
        <w:bottom w:val="none" w:sz="0" w:space="0" w:color="auto"/>
        <w:right w:val="none" w:sz="0" w:space="0" w:color="auto"/>
      </w:divBdr>
    </w:div>
    <w:div w:id="1611278158">
      <w:bodyDiv w:val="1"/>
      <w:marLeft w:val="0"/>
      <w:marRight w:val="0"/>
      <w:marTop w:val="0"/>
      <w:marBottom w:val="0"/>
      <w:divBdr>
        <w:top w:val="none" w:sz="0" w:space="0" w:color="auto"/>
        <w:left w:val="none" w:sz="0" w:space="0" w:color="auto"/>
        <w:bottom w:val="none" w:sz="0" w:space="0" w:color="auto"/>
        <w:right w:val="none" w:sz="0" w:space="0" w:color="auto"/>
      </w:divBdr>
    </w:div>
    <w:div w:id="1611282381">
      <w:bodyDiv w:val="1"/>
      <w:marLeft w:val="0"/>
      <w:marRight w:val="0"/>
      <w:marTop w:val="0"/>
      <w:marBottom w:val="0"/>
      <w:divBdr>
        <w:top w:val="none" w:sz="0" w:space="0" w:color="auto"/>
        <w:left w:val="none" w:sz="0" w:space="0" w:color="auto"/>
        <w:bottom w:val="none" w:sz="0" w:space="0" w:color="auto"/>
        <w:right w:val="none" w:sz="0" w:space="0" w:color="auto"/>
      </w:divBdr>
    </w:div>
    <w:div w:id="1611548185">
      <w:bodyDiv w:val="1"/>
      <w:marLeft w:val="0"/>
      <w:marRight w:val="0"/>
      <w:marTop w:val="0"/>
      <w:marBottom w:val="0"/>
      <w:divBdr>
        <w:top w:val="none" w:sz="0" w:space="0" w:color="auto"/>
        <w:left w:val="none" w:sz="0" w:space="0" w:color="auto"/>
        <w:bottom w:val="none" w:sz="0" w:space="0" w:color="auto"/>
        <w:right w:val="none" w:sz="0" w:space="0" w:color="auto"/>
      </w:divBdr>
    </w:div>
    <w:div w:id="1611549388">
      <w:bodyDiv w:val="1"/>
      <w:marLeft w:val="0"/>
      <w:marRight w:val="0"/>
      <w:marTop w:val="0"/>
      <w:marBottom w:val="0"/>
      <w:divBdr>
        <w:top w:val="none" w:sz="0" w:space="0" w:color="auto"/>
        <w:left w:val="none" w:sz="0" w:space="0" w:color="auto"/>
        <w:bottom w:val="none" w:sz="0" w:space="0" w:color="auto"/>
        <w:right w:val="none" w:sz="0" w:space="0" w:color="auto"/>
      </w:divBdr>
    </w:div>
    <w:div w:id="1611620782">
      <w:bodyDiv w:val="1"/>
      <w:marLeft w:val="0"/>
      <w:marRight w:val="0"/>
      <w:marTop w:val="0"/>
      <w:marBottom w:val="0"/>
      <w:divBdr>
        <w:top w:val="none" w:sz="0" w:space="0" w:color="auto"/>
        <w:left w:val="none" w:sz="0" w:space="0" w:color="auto"/>
        <w:bottom w:val="none" w:sz="0" w:space="0" w:color="auto"/>
        <w:right w:val="none" w:sz="0" w:space="0" w:color="auto"/>
      </w:divBdr>
    </w:div>
    <w:div w:id="1611666171">
      <w:bodyDiv w:val="1"/>
      <w:marLeft w:val="0"/>
      <w:marRight w:val="0"/>
      <w:marTop w:val="0"/>
      <w:marBottom w:val="0"/>
      <w:divBdr>
        <w:top w:val="none" w:sz="0" w:space="0" w:color="auto"/>
        <w:left w:val="none" w:sz="0" w:space="0" w:color="auto"/>
        <w:bottom w:val="none" w:sz="0" w:space="0" w:color="auto"/>
        <w:right w:val="none" w:sz="0" w:space="0" w:color="auto"/>
      </w:divBdr>
    </w:div>
    <w:div w:id="1611667312">
      <w:bodyDiv w:val="1"/>
      <w:marLeft w:val="0"/>
      <w:marRight w:val="0"/>
      <w:marTop w:val="0"/>
      <w:marBottom w:val="0"/>
      <w:divBdr>
        <w:top w:val="none" w:sz="0" w:space="0" w:color="auto"/>
        <w:left w:val="none" w:sz="0" w:space="0" w:color="auto"/>
        <w:bottom w:val="none" w:sz="0" w:space="0" w:color="auto"/>
        <w:right w:val="none" w:sz="0" w:space="0" w:color="auto"/>
      </w:divBdr>
    </w:div>
    <w:div w:id="1611888140">
      <w:bodyDiv w:val="1"/>
      <w:marLeft w:val="0"/>
      <w:marRight w:val="0"/>
      <w:marTop w:val="0"/>
      <w:marBottom w:val="0"/>
      <w:divBdr>
        <w:top w:val="none" w:sz="0" w:space="0" w:color="auto"/>
        <w:left w:val="none" w:sz="0" w:space="0" w:color="auto"/>
        <w:bottom w:val="none" w:sz="0" w:space="0" w:color="auto"/>
        <w:right w:val="none" w:sz="0" w:space="0" w:color="auto"/>
      </w:divBdr>
    </w:div>
    <w:div w:id="1611933997">
      <w:bodyDiv w:val="1"/>
      <w:marLeft w:val="0"/>
      <w:marRight w:val="0"/>
      <w:marTop w:val="0"/>
      <w:marBottom w:val="0"/>
      <w:divBdr>
        <w:top w:val="none" w:sz="0" w:space="0" w:color="auto"/>
        <w:left w:val="none" w:sz="0" w:space="0" w:color="auto"/>
        <w:bottom w:val="none" w:sz="0" w:space="0" w:color="auto"/>
        <w:right w:val="none" w:sz="0" w:space="0" w:color="auto"/>
      </w:divBdr>
    </w:div>
    <w:div w:id="1612081668">
      <w:bodyDiv w:val="1"/>
      <w:marLeft w:val="0"/>
      <w:marRight w:val="0"/>
      <w:marTop w:val="0"/>
      <w:marBottom w:val="0"/>
      <w:divBdr>
        <w:top w:val="none" w:sz="0" w:space="0" w:color="auto"/>
        <w:left w:val="none" w:sz="0" w:space="0" w:color="auto"/>
        <w:bottom w:val="none" w:sz="0" w:space="0" w:color="auto"/>
        <w:right w:val="none" w:sz="0" w:space="0" w:color="auto"/>
      </w:divBdr>
    </w:div>
    <w:div w:id="1612124848">
      <w:bodyDiv w:val="1"/>
      <w:marLeft w:val="0"/>
      <w:marRight w:val="0"/>
      <w:marTop w:val="0"/>
      <w:marBottom w:val="0"/>
      <w:divBdr>
        <w:top w:val="none" w:sz="0" w:space="0" w:color="auto"/>
        <w:left w:val="none" w:sz="0" w:space="0" w:color="auto"/>
        <w:bottom w:val="none" w:sz="0" w:space="0" w:color="auto"/>
        <w:right w:val="none" w:sz="0" w:space="0" w:color="auto"/>
      </w:divBdr>
    </w:div>
    <w:div w:id="1612317354">
      <w:bodyDiv w:val="1"/>
      <w:marLeft w:val="0"/>
      <w:marRight w:val="0"/>
      <w:marTop w:val="0"/>
      <w:marBottom w:val="0"/>
      <w:divBdr>
        <w:top w:val="none" w:sz="0" w:space="0" w:color="auto"/>
        <w:left w:val="none" w:sz="0" w:space="0" w:color="auto"/>
        <w:bottom w:val="none" w:sz="0" w:space="0" w:color="auto"/>
        <w:right w:val="none" w:sz="0" w:space="0" w:color="auto"/>
      </w:divBdr>
    </w:div>
    <w:div w:id="1612321217">
      <w:bodyDiv w:val="1"/>
      <w:marLeft w:val="0"/>
      <w:marRight w:val="0"/>
      <w:marTop w:val="0"/>
      <w:marBottom w:val="0"/>
      <w:divBdr>
        <w:top w:val="none" w:sz="0" w:space="0" w:color="auto"/>
        <w:left w:val="none" w:sz="0" w:space="0" w:color="auto"/>
        <w:bottom w:val="none" w:sz="0" w:space="0" w:color="auto"/>
        <w:right w:val="none" w:sz="0" w:space="0" w:color="auto"/>
      </w:divBdr>
    </w:div>
    <w:div w:id="1612321667">
      <w:bodyDiv w:val="1"/>
      <w:marLeft w:val="0"/>
      <w:marRight w:val="0"/>
      <w:marTop w:val="0"/>
      <w:marBottom w:val="0"/>
      <w:divBdr>
        <w:top w:val="none" w:sz="0" w:space="0" w:color="auto"/>
        <w:left w:val="none" w:sz="0" w:space="0" w:color="auto"/>
        <w:bottom w:val="none" w:sz="0" w:space="0" w:color="auto"/>
        <w:right w:val="none" w:sz="0" w:space="0" w:color="auto"/>
      </w:divBdr>
    </w:div>
    <w:div w:id="1612473899">
      <w:bodyDiv w:val="1"/>
      <w:marLeft w:val="0"/>
      <w:marRight w:val="0"/>
      <w:marTop w:val="0"/>
      <w:marBottom w:val="0"/>
      <w:divBdr>
        <w:top w:val="none" w:sz="0" w:space="0" w:color="auto"/>
        <w:left w:val="none" w:sz="0" w:space="0" w:color="auto"/>
        <w:bottom w:val="none" w:sz="0" w:space="0" w:color="auto"/>
        <w:right w:val="none" w:sz="0" w:space="0" w:color="auto"/>
      </w:divBdr>
    </w:div>
    <w:div w:id="1612517470">
      <w:bodyDiv w:val="1"/>
      <w:marLeft w:val="0"/>
      <w:marRight w:val="0"/>
      <w:marTop w:val="0"/>
      <w:marBottom w:val="0"/>
      <w:divBdr>
        <w:top w:val="none" w:sz="0" w:space="0" w:color="auto"/>
        <w:left w:val="none" w:sz="0" w:space="0" w:color="auto"/>
        <w:bottom w:val="none" w:sz="0" w:space="0" w:color="auto"/>
        <w:right w:val="none" w:sz="0" w:space="0" w:color="auto"/>
      </w:divBdr>
    </w:div>
    <w:div w:id="1612666531">
      <w:bodyDiv w:val="1"/>
      <w:marLeft w:val="0"/>
      <w:marRight w:val="0"/>
      <w:marTop w:val="0"/>
      <w:marBottom w:val="0"/>
      <w:divBdr>
        <w:top w:val="none" w:sz="0" w:space="0" w:color="auto"/>
        <w:left w:val="none" w:sz="0" w:space="0" w:color="auto"/>
        <w:bottom w:val="none" w:sz="0" w:space="0" w:color="auto"/>
        <w:right w:val="none" w:sz="0" w:space="0" w:color="auto"/>
      </w:divBdr>
    </w:div>
    <w:div w:id="1612778469">
      <w:bodyDiv w:val="1"/>
      <w:marLeft w:val="0"/>
      <w:marRight w:val="0"/>
      <w:marTop w:val="0"/>
      <w:marBottom w:val="0"/>
      <w:divBdr>
        <w:top w:val="none" w:sz="0" w:space="0" w:color="auto"/>
        <w:left w:val="none" w:sz="0" w:space="0" w:color="auto"/>
        <w:bottom w:val="none" w:sz="0" w:space="0" w:color="auto"/>
        <w:right w:val="none" w:sz="0" w:space="0" w:color="auto"/>
      </w:divBdr>
    </w:div>
    <w:div w:id="1612779041">
      <w:bodyDiv w:val="1"/>
      <w:marLeft w:val="0"/>
      <w:marRight w:val="0"/>
      <w:marTop w:val="0"/>
      <w:marBottom w:val="0"/>
      <w:divBdr>
        <w:top w:val="none" w:sz="0" w:space="0" w:color="auto"/>
        <w:left w:val="none" w:sz="0" w:space="0" w:color="auto"/>
        <w:bottom w:val="none" w:sz="0" w:space="0" w:color="auto"/>
        <w:right w:val="none" w:sz="0" w:space="0" w:color="auto"/>
      </w:divBdr>
    </w:div>
    <w:div w:id="1612974398">
      <w:bodyDiv w:val="1"/>
      <w:marLeft w:val="0"/>
      <w:marRight w:val="0"/>
      <w:marTop w:val="0"/>
      <w:marBottom w:val="0"/>
      <w:divBdr>
        <w:top w:val="none" w:sz="0" w:space="0" w:color="auto"/>
        <w:left w:val="none" w:sz="0" w:space="0" w:color="auto"/>
        <w:bottom w:val="none" w:sz="0" w:space="0" w:color="auto"/>
        <w:right w:val="none" w:sz="0" w:space="0" w:color="auto"/>
      </w:divBdr>
    </w:div>
    <w:div w:id="1613053937">
      <w:bodyDiv w:val="1"/>
      <w:marLeft w:val="0"/>
      <w:marRight w:val="0"/>
      <w:marTop w:val="0"/>
      <w:marBottom w:val="0"/>
      <w:divBdr>
        <w:top w:val="none" w:sz="0" w:space="0" w:color="auto"/>
        <w:left w:val="none" w:sz="0" w:space="0" w:color="auto"/>
        <w:bottom w:val="none" w:sz="0" w:space="0" w:color="auto"/>
        <w:right w:val="none" w:sz="0" w:space="0" w:color="auto"/>
      </w:divBdr>
    </w:div>
    <w:div w:id="1613054838">
      <w:bodyDiv w:val="1"/>
      <w:marLeft w:val="0"/>
      <w:marRight w:val="0"/>
      <w:marTop w:val="0"/>
      <w:marBottom w:val="0"/>
      <w:divBdr>
        <w:top w:val="none" w:sz="0" w:space="0" w:color="auto"/>
        <w:left w:val="none" w:sz="0" w:space="0" w:color="auto"/>
        <w:bottom w:val="none" w:sz="0" w:space="0" w:color="auto"/>
        <w:right w:val="none" w:sz="0" w:space="0" w:color="auto"/>
      </w:divBdr>
    </w:div>
    <w:div w:id="1613124237">
      <w:bodyDiv w:val="1"/>
      <w:marLeft w:val="0"/>
      <w:marRight w:val="0"/>
      <w:marTop w:val="0"/>
      <w:marBottom w:val="0"/>
      <w:divBdr>
        <w:top w:val="none" w:sz="0" w:space="0" w:color="auto"/>
        <w:left w:val="none" w:sz="0" w:space="0" w:color="auto"/>
        <w:bottom w:val="none" w:sz="0" w:space="0" w:color="auto"/>
        <w:right w:val="none" w:sz="0" w:space="0" w:color="auto"/>
      </w:divBdr>
    </w:div>
    <w:div w:id="1613172015">
      <w:bodyDiv w:val="1"/>
      <w:marLeft w:val="0"/>
      <w:marRight w:val="0"/>
      <w:marTop w:val="0"/>
      <w:marBottom w:val="0"/>
      <w:divBdr>
        <w:top w:val="none" w:sz="0" w:space="0" w:color="auto"/>
        <w:left w:val="none" w:sz="0" w:space="0" w:color="auto"/>
        <w:bottom w:val="none" w:sz="0" w:space="0" w:color="auto"/>
        <w:right w:val="none" w:sz="0" w:space="0" w:color="auto"/>
      </w:divBdr>
    </w:div>
    <w:div w:id="1613173951">
      <w:bodyDiv w:val="1"/>
      <w:marLeft w:val="0"/>
      <w:marRight w:val="0"/>
      <w:marTop w:val="0"/>
      <w:marBottom w:val="0"/>
      <w:divBdr>
        <w:top w:val="none" w:sz="0" w:space="0" w:color="auto"/>
        <w:left w:val="none" w:sz="0" w:space="0" w:color="auto"/>
        <w:bottom w:val="none" w:sz="0" w:space="0" w:color="auto"/>
        <w:right w:val="none" w:sz="0" w:space="0" w:color="auto"/>
      </w:divBdr>
    </w:div>
    <w:div w:id="1613249585">
      <w:bodyDiv w:val="1"/>
      <w:marLeft w:val="0"/>
      <w:marRight w:val="0"/>
      <w:marTop w:val="0"/>
      <w:marBottom w:val="0"/>
      <w:divBdr>
        <w:top w:val="none" w:sz="0" w:space="0" w:color="auto"/>
        <w:left w:val="none" w:sz="0" w:space="0" w:color="auto"/>
        <w:bottom w:val="none" w:sz="0" w:space="0" w:color="auto"/>
        <w:right w:val="none" w:sz="0" w:space="0" w:color="auto"/>
      </w:divBdr>
    </w:div>
    <w:div w:id="1613318757">
      <w:bodyDiv w:val="1"/>
      <w:marLeft w:val="0"/>
      <w:marRight w:val="0"/>
      <w:marTop w:val="0"/>
      <w:marBottom w:val="0"/>
      <w:divBdr>
        <w:top w:val="none" w:sz="0" w:space="0" w:color="auto"/>
        <w:left w:val="none" w:sz="0" w:space="0" w:color="auto"/>
        <w:bottom w:val="none" w:sz="0" w:space="0" w:color="auto"/>
        <w:right w:val="none" w:sz="0" w:space="0" w:color="auto"/>
      </w:divBdr>
    </w:div>
    <w:div w:id="1613393633">
      <w:bodyDiv w:val="1"/>
      <w:marLeft w:val="0"/>
      <w:marRight w:val="0"/>
      <w:marTop w:val="0"/>
      <w:marBottom w:val="0"/>
      <w:divBdr>
        <w:top w:val="none" w:sz="0" w:space="0" w:color="auto"/>
        <w:left w:val="none" w:sz="0" w:space="0" w:color="auto"/>
        <w:bottom w:val="none" w:sz="0" w:space="0" w:color="auto"/>
        <w:right w:val="none" w:sz="0" w:space="0" w:color="auto"/>
      </w:divBdr>
    </w:div>
    <w:div w:id="1613394874">
      <w:bodyDiv w:val="1"/>
      <w:marLeft w:val="0"/>
      <w:marRight w:val="0"/>
      <w:marTop w:val="0"/>
      <w:marBottom w:val="0"/>
      <w:divBdr>
        <w:top w:val="none" w:sz="0" w:space="0" w:color="auto"/>
        <w:left w:val="none" w:sz="0" w:space="0" w:color="auto"/>
        <w:bottom w:val="none" w:sz="0" w:space="0" w:color="auto"/>
        <w:right w:val="none" w:sz="0" w:space="0" w:color="auto"/>
      </w:divBdr>
    </w:div>
    <w:div w:id="1613590283">
      <w:bodyDiv w:val="1"/>
      <w:marLeft w:val="0"/>
      <w:marRight w:val="0"/>
      <w:marTop w:val="0"/>
      <w:marBottom w:val="0"/>
      <w:divBdr>
        <w:top w:val="none" w:sz="0" w:space="0" w:color="auto"/>
        <w:left w:val="none" w:sz="0" w:space="0" w:color="auto"/>
        <w:bottom w:val="none" w:sz="0" w:space="0" w:color="auto"/>
        <w:right w:val="none" w:sz="0" w:space="0" w:color="auto"/>
      </w:divBdr>
    </w:div>
    <w:div w:id="1613703508">
      <w:bodyDiv w:val="1"/>
      <w:marLeft w:val="0"/>
      <w:marRight w:val="0"/>
      <w:marTop w:val="0"/>
      <w:marBottom w:val="0"/>
      <w:divBdr>
        <w:top w:val="none" w:sz="0" w:space="0" w:color="auto"/>
        <w:left w:val="none" w:sz="0" w:space="0" w:color="auto"/>
        <w:bottom w:val="none" w:sz="0" w:space="0" w:color="auto"/>
        <w:right w:val="none" w:sz="0" w:space="0" w:color="auto"/>
      </w:divBdr>
    </w:div>
    <w:div w:id="1613704144">
      <w:bodyDiv w:val="1"/>
      <w:marLeft w:val="0"/>
      <w:marRight w:val="0"/>
      <w:marTop w:val="0"/>
      <w:marBottom w:val="0"/>
      <w:divBdr>
        <w:top w:val="none" w:sz="0" w:space="0" w:color="auto"/>
        <w:left w:val="none" w:sz="0" w:space="0" w:color="auto"/>
        <w:bottom w:val="none" w:sz="0" w:space="0" w:color="auto"/>
        <w:right w:val="none" w:sz="0" w:space="0" w:color="auto"/>
      </w:divBdr>
    </w:div>
    <w:div w:id="1613710153">
      <w:bodyDiv w:val="1"/>
      <w:marLeft w:val="0"/>
      <w:marRight w:val="0"/>
      <w:marTop w:val="0"/>
      <w:marBottom w:val="0"/>
      <w:divBdr>
        <w:top w:val="none" w:sz="0" w:space="0" w:color="auto"/>
        <w:left w:val="none" w:sz="0" w:space="0" w:color="auto"/>
        <w:bottom w:val="none" w:sz="0" w:space="0" w:color="auto"/>
        <w:right w:val="none" w:sz="0" w:space="0" w:color="auto"/>
      </w:divBdr>
    </w:div>
    <w:div w:id="1613856550">
      <w:bodyDiv w:val="1"/>
      <w:marLeft w:val="0"/>
      <w:marRight w:val="0"/>
      <w:marTop w:val="0"/>
      <w:marBottom w:val="0"/>
      <w:divBdr>
        <w:top w:val="none" w:sz="0" w:space="0" w:color="auto"/>
        <w:left w:val="none" w:sz="0" w:space="0" w:color="auto"/>
        <w:bottom w:val="none" w:sz="0" w:space="0" w:color="auto"/>
        <w:right w:val="none" w:sz="0" w:space="0" w:color="auto"/>
      </w:divBdr>
    </w:div>
    <w:div w:id="1613897104">
      <w:bodyDiv w:val="1"/>
      <w:marLeft w:val="0"/>
      <w:marRight w:val="0"/>
      <w:marTop w:val="0"/>
      <w:marBottom w:val="0"/>
      <w:divBdr>
        <w:top w:val="none" w:sz="0" w:space="0" w:color="auto"/>
        <w:left w:val="none" w:sz="0" w:space="0" w:color="auto"/>
        <w:bottom w:val="none" w:sz="0" w:space="0" w:color="auto"/>
        <w:right w:val="none" w:sz="0" w:space="0" w:color="auto"/>
      </w:divBdr>
    </w:div>
    <w:div w:id="1614048165">
      <w:bodyDiv w:val="1"/>
      <w:marLeft w:val="0"/>
      <w:marRight w:val="0"/>
      <w:marTop w:val="0"/>
      <w:marBottom w:val="0"/>
      <w:divBdr>
        <w:top w:val="none" w:sz="0" w:space="0" w:color="auto"/>
        <w:left w:val="none" w:sz="0" w:space="0" w:color="auto"/>
        <w:bottom w:val="none" w:sz="0" w:space="0" w:color="auto"/>
        <w:right w:val="none" w:sz="0" w:space="0" w:color="auto"/>
      </w:divBdr>
    </w:div>
    <w:div w:id="1614049633">
      <w:bodyDiv w:val="1"/>
      <w:marLeft w:val="0"/>
      <w:marRight w:val="0"/>
      <w:marTop w:val="0"/>
      <w:marBottom w:val="0"/>
      <w:divBdr>
        <w:top w:val="none" w:sz="0" w:space="0" w:color="auto"/>
        <w:left w:val="none" w:sz="0" w:space="0" w:color="auto"/>
        <w:bottom w:val="none" w:sz="0" w:space="0" w:color="auto"/>
        <w:right w:val="none" w:sz="0" w:space="0" w:color="auto"/>
      </w:divBdr>
    </w:div>
    <w:div w:id="1614289106">
      <w:bodyDiv w:val="1"/>
      <w:marLeft w:val="0"/>
      <w:marRight w:val="0"/>
      <w:marTop w:val="0"/>
      <w:marBottom w:val="0"/>
      <w:divBdr>
        <w:top w:val="none" w:sz="0" w:space="0" w:color="auto"/>
        <w:left w:val="none" w:sz="0" w:space="0" w:color="auto"/>
        <w:bottom w:val="none" w:sz="0" w:space="0" w:color="auto"/>
        <w:right w:val="none" w:sz="0" w:space="0" w:color="auto"/>
      </w:divBdr>
    </w:div>
    <w:div w:id="1614366328">
      <w:bodyDiv w:val="1"/>
      <w:marLeft w:val="0"/>
      <w:marRight w:val="0"/>
      <w:marTop w:val="0"/>
      <w:marBottom w:val="0"/>
      <w:divBdr>
        <w:top w:val="none" w:sz="0" w:space="0" w:color="auto"/>
        <w:left w:val="none" w:sz="0" w:space="0" w:color="auto"/>
        <w:bottom w:val="none" w:sz="0" w:space="0" w:color="auto"/>
        <w:right w:val="none" w:sz="0" w:space="0" w:color="auto"/>
      </w:divBdr>
    </w:div>
    <w:div w:id="1614554779">
      <w:bodyDiv w:val="1"/>
      <w:marLeft w:val="0"/>
      <w:marRight w:val="0"/>
      <w:marTop w:val="0"/>
      <w:marBottom w:val="0"/>
      <w:divBdr>
        <w:top w:val="none" w:sz="0" w:space="0" w:color="auto"/>
        <w:left w:val="none" w:sz="0" w:space="0" w:color="auto"/>
        <w:bottom w:val="none" w:sz="0" w:space="0" w:color="auto"/>
        <w:right w:val="none" w:sz="0" w:space="0" w:color="auto"/>
      </w:divBdr>
    </w:div>
    <w:div w:id="1614559348">
      <w:bodyDiv w:val="1"/>
      <w:marLeft w:val="0"/>
      <w:marRight w:val="0"/>
      <w:marTop w:val="0"/>
      <w:marBottom w:val="0"/>
      <w:divBdr>
        <w:top w:val="none" w:sz="0" w:space="0" w:color="auto"/>
        <w:left w:val="none" w:sz="0" w:space="0" w:color="auto"/>
        <w:bottom w:val="none" w:sz="0" w:space="0" w:color="auto"/>
        <w:right w:val="none" w:sz="0" w:space="0" w:color="auto"/>
      </w:divBdr>
    </w:div>
    <w:div w:id="1614703670">
      <w:bodyDiv w:val="1"/>
      <w:marLeft w:val="0"/>
      <w:marRight w:val="0"/>
      <w:marTop w:val="0"/>
      <w:marBottom w:val="0"/>
      <w:divBdr>
        <w:top w:val="none" w:sz="0" w:space="0" w:color="auto"/>
        <w:left w:val="none" w:sz="0" w:space="0" w:color="auto"/>
        <w:bottom w:val="none" w:sz="0" w:space="0" w:color="auto"/>
        <w:right w:val="none" w:sz="0" w:space="0" w:color="auto"/>
      </w:divBdr>
    </w:div>
    <w:div w:id="1614704892">
      <w:bodyDiv w:val="1"/>
      <w:marLeft w:val="0"/>
      <w:marRight w:val="0"/>
      <w:marTop w:val="0"/>
      <w:marBottom w:val="0"/>
      <w:divBdr>
        <w:top w:val="none" w:sz="0" w:space="0" w:color="auto"/>
        <w:left w:val="none" w:sz="0" w:space="0" w:color="auto"/>
        <w:bottom w:val="none" w:sz="0" w:space="0" w:color="auto"/>
        <w:right w:val="none" w:sz="0" w:space="0" w:color="auto"/>
      </w:divBdr>
    </w:div>
    <w:div w:id="1614745110">
      <w:bodyDiv w:val="1"/>
      <w:marLeft w:val="0"/>
      <w:marRight w:val="0"/>
      <w:marTop w:val="0"/>
      <w:marBottom w:val="0"/>
      <w:divBdr>
        <w:top w:val="none" w:sz="0" w:space="0" w:color="auto"/>
        <w:left w:val="none" w:sz="0" w:space="0" w:color="auto"/>
        <w:bottom w:val="none" w:sz="0" w:space="0" w:color="auto"/>
        <w:right w:val="none" w:sz="0" w:space="0" w:color="auto"/>
      </w:divBdr>
    </w:div>
    <w:div w:id="1614753396">
      <w:bodyDiv w:val="1"/>
      <w:marLeft w:val="0"/>
      <w:marRight w:val="0"/>
      <w:marTop w:val="0"/>
      <w:marBottom w:val="0"/>
      <w:divBdr>
        <w:top w:val="none" w:sz="0" w:space="0" w:color="auto"/>
        <w:left w:val="none" w:sz="0" w:space="0" w:color="auto"/>
        <w:bottom w:val="none" w:sz="0" w:space="0" w:color="auto"/>
        <w:right w:val="none" w:sz="0" w:space="0" w:color="auto"/>
      </w:divBdr>
    </w:div>
    <w:div w:id="1614819364">
      <w:bodyDiv w:val="1"/>
      <w:marLeft w:val="0"/>
      <w:marRight w:val="0"/>
      <w:marTop w:val="0"/>
      <w:marBottom w:val="0"/>
      <w:divBdr>
        <w:top w:val="none" w:sz="0" w:space="0" w:color="auto"/>
        <w:left w:val="none" w:sz="0" w:space="0" w:color="auto"/>
        <w:bottom w:val="none" w:sz="0" w:space="0" w:color="auto"/>
        <w:right w:val="none" w:sz="0" w:space="0" w:color="auto"/>
      </w:divBdr>
    </w:div>
    <w:div w:id="1614821022">
      <w:bodyDiv w:val="1"/>
      <w:marLeft w:val="0"/>
      <w:marRight w:val="0"/>
      <w:marTop w:val="0"/>
      <w:marBottom w:val="0"/>
      <w:divBdr>
        <w:top w:val="none" w:sz="0" w:space="0" w:color="auto"/>
        <w:left w:val="none" w:sz="0" w:space="0" w:color="auto"/>
        <w:bottom w:val="none" w:sz="0" w:space="0" w:color="auto"/>
        <w:right w:val="none" w:sz="0" w:space="0" w:color="auto"/>
      </w:divBdr>
    </w:div>
    <w:div w:id="1614946540">
      <w:bodyDiv w:val="1"/>
      <w:marLeft w:val="0"/>
      <w:marRight w:val="0"/>
      <w:marTop w:val="0"/>
      <w:marBottom w:val="0"/>
      <w:divBdr>
        <w:top w:val="none" w:sz="0" w:space="0" w:color="auto"/>
        <w:left w:val="none" w:sz="0" w:space="0" w:color="auto"/>
        <w:bottom w:val="none" w:sz="0" w:space="0" w:color="auto"/>
        <w:right w:val="none" w:sz="0" w:space="0" w:color="auto"/>
      </w:divBdr>
    </w:div>
    <w:div w:id="1615015487">
      <w:bodyDiv w:val="1"/>
      <w:marLeft w:val="0"/>
      <w:marRight w:val="0"/>
      <w:marTop w:val="0"/>
      <w:marBottom w:val="0"/>
      <w:divBdr>
        <w:top w:val="none" w:sz="0" w:space="0" w:color="auto"/>
        <w:left w:val="none" w:sz="0" w:space="0" w:color="auto"/>
        <w:bottom w:val="none" w:sz="0" w:space="0" w:color="auto"/>
        <w:right w:val="none" w:sz="0" w:space="0" w:color="auto"/>
      </w:divBdr>
    </w:div>
    <w:div w:id="1615134877">
      <w:bodyDiv w:val="1"/>
      <w:marLeft w:val="0"/>
      <w:marRight w:val="0"/>
      <w:marTop w:val="0"/>
      <w:marBottom w:val="0"/>
      <w:divBdr>
        <w:top w:val="none" w:sz="0" w:space="0" w:color="auto"/>
        <w:left w:val="none" w:sz="0" w:space="0" w:color="auto"/>
        <w:bottom w:val="none" w:sz="0" w:space="0" w:color="auto"/>
        <w:right w:val="none" w:sz="0" w:space="0" w:color="auto"/>
      </w:divBdr>
    </w:div>
    <w:div w:id="1615137538">
      <w:bodyDiv w:val="1"/>
      <w:marLeft w:val="0"/>
      <w:marRight w:val="0"/>
      <w:marTop w:val="0"/>
      <w:marBottom w:val="0"/>
      <w:divBdr>
        <w:top w:val="none" w:sz="0" w:space="0" w:color="auto"/>
        <w:left w:val="none" w:sz="0" w:space="0" w:color="auto"/>
        <w:bottom w:val="none" w:sz="0" w:space="0" w:color="auto"/>
        <w:right w:val="none" w:sz="0" w:space="0" w:color="auto"/>
      </w:divBdr>
    </w:div>
    <w:div w:id="1615214371">
      <w:bodyDiv w:val="1"/>
      <w:marLeft w:val="0"/>
      <w:marRight w:val="0"/>
      <w:marTop w:val="0"/>
      <w:marBottom w:val="0"/>
      <w:divBdr>
        <w:top w:val="none" w:sz="0" w:space="0" w:color="auto"/>
        <w:left w:val="none" w:sz="0" w:space="0" w:color="auto"/>
        <w:bottom w:val="none" w:sz="0" w:space="0" w:color="auto"/>
        <w:right w:val="none" w:sz="0" w:space="0" w:color="auto"/>
      </w:divBdr>
    </w:div>
    <w:div w:id="1615289838">
      <w:bodyDiv w:val="1"/>
      <w:marLeft w:val="0"/>
      <w:marRight w:val="0"/>
      <w:marTop w:val="0"/>
      <w:marBottom w:val="0"/>
      <w:divBdr>
        <w:top w:val="none" w:sz="0" w:space="0" w:color="auto"/>
        <w:left w:val="none" w:sz="0" w:space="0" w:color="auto"/>
        <w:bottom w:val="none" w:sz="0" w:space="0" w:color="auto"/>
        <w:right w:val="none" w:sz="0" w:space="0" w:color="auto"/>
      </w:divBdr>
    </w:div>
    <w:div w:id="1615479189">
      <w:bodyDiv w:val="1"/>
      <w:marLeft w:val="0"/>
      <w:marRight w:val="0"/>
      <w:marTop w:val="0"/>
      <w:marBottom w:val="0"/>
      <w:divBdr>
        <w:top w:val="none" w:sz="0" w:space="0" w:color="auto"/>
        <w:left w:val="none" w:sz="0" w:space="0" w:color="auto"/>
        <w:bottom w:val="none" w:sz="0" w:space="0" w:color="auto"/>
        <w:right w:val="none" w:sz="0" w:space="0" w:color="auto"/>
      </w:divBdr>
    </w:div>
    <w:div w:id="1615482059">
      <w:bodyDiv w:val="1"/>
      <w:marLeft w:val="0"/>
      <w:marRight w:val="0"/>
      <w:marTop w:val="0"/>
      <w:marBottom w:val="0"/>
      <w:divBdr>
        <w:top w:val="none" w:sz="0" w:space="0" w:color="auto"/>
        <w:left w:val="none" w:sz="0" w:space="0" w:color="auto"/>
        <w:bottom w:val="none" w:sz="0" w:space="0" w:color="auto"/>
        <w:right w:val="none" w:sz="0" w:space="0" w:color="auto"/>
      </w:divBdr>
    </w:div>
    <w:div w:id="1615594417">
      <w:bodyDiv w:val="1"/>
      <w:marLeft w:val="0"/>
      <w:marRight w:val="0"/>
      <w:marTop w:val="0"/>
      <w:marBottom w:val="0"/>
      <w:divBdr>
        <w:top w:val="none" w:sz="0" w:space="0" w:color="auto"/>
        <w:left w:val="none" w:sz="0" w:space="0" w:color="auto"/>
        <w:bottom w:val="none" w:sz="0" w:space="0" w:color="auto"/>
        <w:right w:val="none" w:sz="0" w:space="0" w:color="auto"/>
      </w:divBdr>
    </w:div>
    <w:div w:id="1615669043">
      <w:bodyDiv w:val="1"/>
      <w:marLeft w:val="0"/>
      <w:marRight w:val="0"/>
      <w:marTop w:val="0"/>
      <w:marBottom w:val="0"/>
      <w:divBdr>
        <w:top w:val="none" w:sz="0" w:space="0" w:color="auto"/>
        <w:left w:val="none" w:sz="0" w:space="0" w:color="auto"/>
        <w:bottom w:val="none" w:sz="0" w:space="0" w:color="auto"/>
        <w:right w:val="none" w:sz="0" w:space="0" w:color="auto"/>
      </w:divBdr>
    </w:div>
    <w:div w:id="1615671829">
      <w:bodyDiv w:val="1"/>
      <w:marLeft w:val="0"/>
      <w:marRight w:val="0"/>
      <w:marTop w:val="0"/>
      <w:marBottom w:val="0"/>
      <w:divBdr>
        <w:top w:val="none" w:sz="0" w:space="0" w:color="auto"/>
        <w:left w:val="none" w:sz="0" w:space="0" w:color="auto"/>
        <w:bottom w:val="none" w:sz="0" w:space="0" w:color="auto"/>
        <w:right w:val="none" w:sz="0" w:space="0" w:color="auto"/>
      </w:divBdr>
    </w:div>
    <w:div w:id="1615746444">
      <w:bodyDiv w:val="1"/>
      <w:marLeft w:val="0"/>
      <w:marRight w:val="0"/>
      <w:marTop w:val="0"/>
      <w:marBottom w:val="0"/>
      <w:divBdr>
        <w:top w:val="none" w:sz="0" w:space="0" w:color="auto"/>
        <w:left w:val="none" w:sz="0" w:space="0" w:color="auto"/>
        <w:bottom w:val="none" w:sz="0" w:space="0" w:color="auto"/>
        <w:right w:val="none" w:sz="0" w:space="0" w:color="auto"/>
      </w:divBdr>
    </w:div>
    <w:div w:id="1615862620">
      <w:bodyDiv w:val="1"/>
      <w:marLeft w:val="0"/>
      <w:marRight w:val="0"/>
      <w:marTop w:val="0"/>
      <w:marBottom w:val="0"/>
      <w:divBdr>
        <w:top w:val="none" w:sz="0" w:space="0" w:color="auto"/>
        <w:left w:val="none" w:sz="0" w:space="0" w:color="auto"/>
        <w:bottom w:val="none" w:sz="0" w:space="0" w:color="auto"/>
        <w:right w:val="none" w:sz="0" w:space="0" w:color="auto"/>
      </w:divBdr>
    </w:div>
    <w:div w:id="1615866647">
      <w:bodyDiv w:val="1"/>
      <w:marLeft w:val="0"/>
      <w:marRight w:val="0"/>
      <w:marTop w:val="0"/>
      <w:marBottom w:val="0"/>
      <w:divBdr>
        <w:top w:val="none" w:sz="0" w:space="0" w:color="auto"/>
        <w:left w:val="none" w:sz="0" w:space="0" w:color="auto"/>
        <w:bottom w:val="none" w:sz="0" w:space="0" w:color="auto"/>
        <w:right w:val="none" w:sz="0" w:space="0" w:color="auto"/>
      </w:divBdr>
    </w:div>
    <w:div w:id="1615988651">
      <w:bodyDiv w:val="1"/>
      <w:marLeft w:val="0"/>
      <w:marRight w:val="0"/>
      <w:marTop w:val="0"/>
      <w:marBottom w:val="0"/>
      <w:divBdr>
        <w:top w:val="none" w:sz="0" w:space="0" w:color="auto"/>
        <w:left w:val="none" w:sz="0" w:space="0" w:color="auto"/>
        <w:bottom w:val="none" w:sz="0" w:space="0" w:color="auto"/>
        <w:right w:val="none" w:sz="0" w:space="0" w:color="auto"/>
      </w:divBdr>
    </w:div>
    <w:div w:id="1616018739">
      <w:bodyDiv w:val="1"/>
      <w:marLeft w:val="0"/>
      <w:marRight w:val="0"/>
      <w:marTop w:val="0"/>
      <w:marBottom w:val="0"/>
      <w:divBdr>
        <w:top w:val="none" w:sz="0" w:space="0" w:color="auto"/>
        <w:left w:val="none" w:sz="0" w:space="0" w:color="auto"/>
        <w:bottom w:val="none" w:sz="0" w:space="0" w:color="auto"/>
        <w:right w:val="none" w:sz="0" w:space="0" w:color="auto"/>
      </w:divBdr>
    </w:div>
    <w:div w:id="1616248978">
      <w:bodyDiv w:val="1"/>
      <w:marLeft w:val="0"/>
      <w:marRight w:val="0"/>
      <w:marTop w:val="0"/>
      <w:marBottom w:val="0"/>
      <w:divBdr>
        <w:top w:val="none" w:sz="0" w:space="0" w:color="auto"/>
        <w:left w:val="none" w:sz="0" w:space="0" w:color="auto"/>
        <w:bottom w:val="none" w:sz="0" w:space="0" w:color="auto"/>
        <w:right w:val="none" w:sz="0" w:space="0" w:color="auto"/>
      </w:divBdr>
    </w:div>
    <w:div w:id="1616324971">
      <w:bodyDiv w:val="1"/>
      <w:marLeft w:val="0"/>
      <w:marRight w:val="0"/>
      <w:marTop w:val="0"/>
      <w:marBottom w:val="0"/>
      <w:divBdr>
        <w:top w:val="none" w:sz="0" w:space="0" w:color="auto"/>
        <w:left w:val="none" w:sz="0" w:space="0" w:color="auto"/>
        <w:bottom w:val="none" w:sz="0" w:space="0" w:color="auto"/>
        <w:right w:val="none" w:sz="0" w:space="0" w:color="auto"/>
      </w:divBdr>
    </w:div>
    <w:div w:id="1616477267">
      <w:bodyDiv w:val="1"/>
      <w:marLeft w:val="0"/>
      <w:marRight w:val="0"/>
      <w:marTop w:val="0"/>
      <w:marBottom w:val="0"/>
      <w:divBdr>
        <w:top w:val="none" w:sz="0" w:space="0" w:color="auto"/>
        <w:left w:val="none" w:sz="0" w:space="0" w:color="auto"/>
        <w:bottom w:val="none" w:sz="0" w:space="0" w:color="auto"/>
        <w:right w:val="none" w:sz="0" w:space="0" w:color="auto"/>
      </w:divBdr>
    </w:div>
    <w:div w:id="1616518938">
      <w:bodyDiv w:val="1"/>
      <w:marLeft w:val="0"/>
      <w:marRight w:val="0"/>
      <w:marTop w:val="0"/>
      <w:marBottom w:val="0"/>
      <w:divBdr>
        <w:top w:val="none" w:sz="0" w:space="0" w:color="auto"/>
        <w:left w:val="none" w:sz="0" w:space="0" w:color="auto"/>
        <w:bottom w:val="none" w:sz="0" w:space="0" w:color="auto"/>
        <w:right w:val="none" w:sz="0" w:space="0" w:color="auto"/>
      </w:divBdr>
    </w:div>
    <w:div w:id="1616593513">
      <w:bodyDiv w:val="1"/>
      <w:marLeft w:val="0"/>
      <w:marRight w:val="0"/>
      <w:marTop w:val="0"/>
      <w:marBottom w:val="0"/>
      <w:divBdr>
        <w:top w:val="none" w:sz="0" w:space="0" w:color="auto"/>
        <w:left w:val="none" w:sz="0" w:space="0" w:color="auto"/>
        <w:bottom w:val="none" w:sz="0" w:space="0" w:color="auto"/>
        <w:right w:val="none" w:sz="0" w:space="0" w:color="auto"/>
      </w:divBdr>
    </w:div>
    <w:div w:id="1616595191">
      <w:bodyDiv w:val="1"/>
      <w:marLeft w:val="0"/>
      <w:marRight w:val="0"/>
      <w:marTop w:val="0"/>
      <w:marBottom w:val="0"/>
      <w:divBdr>
        <w:top w:val="none" w:sz="0" w:space="0" w:color="auto"/>
        <w:left w:val="none" w:sz="0" w:space="0" w:color="auto"/>
        <w:bottom w:val="none" w:sz="0" w:space="0" w:color="auto"/>
        <w:right w:val="none" w:sz="0" w:space="0" w:color="auto"/>
      </w:divBdr>
    </w:div>
    <w:div w:id="1616599976">
      <w:bodyDiv w:val="1"/>
      <w:marLeft w:val="0"/>
      <w:marRight w:val="0"/>
      <w:marTop w:val="0"/>
      <w:marBottom w:val="0"/>
      <w:divBdr>
        <w:top w:val="none" w:sz="0" w:space="0" w:color="auto"/>
        <w:left w:val="none" w:sz="0" w:space="0" w:color="auto"/>
        <w:bottom w:val="none" w:sz="0" w:space="0" w:color="auto"/>
        <w:right w:val="none" w:sz="0" w:space="0" w:color="auto"/>
      </w:divBdr>
    </w:div>
    <w:div w:id="1616789630">
      <w:bodyDiv w:val="1"/>
      <w:marLeft w:val="0"/>
      <w:marRight w:val="0"/>
      <w:marTop w:val="0"/>
      <w:marBottom w:val="0"/>
      <w:divBdr>
        <w:top w:val="none" w:sz="0" w:space="0" w:color="auto"/>
        <w:left w:val="none" w:sz="0" w:space="0" w:color="auto"/>
        <w:bottom w:val="none" w:sz="0" w:space="0" w:color="auto"/>
        <w:right w:val="none" w:sz="0" w:space="0" w:color="auto"/>
      </w:divBdr>
    </w:div>
    <w:div w:id="1616985077">
      <w:bodyDiv w:val="1"/>
      <w:marLeft w:val="0"/>
      <w:marRight w:val="0"/>
      <w:marTop w:val="0"/>
      <w:marBottom w:val="0"/>
      <w:divBdr>
        <w:top w:val="none" w:sz="0" w:space="0" w:color="auto"/>
        <w:left w:val="none" w:sz="0" w:space="0" w:color="auto"/>
        <w:bottom w:val="none" w:sz="0" w:space="0" w:color="auto"/>
        <w:right w:val="none" w:sz="0" w:space="0" w:color="auto"/>
      </w:divBdr>
    </w:div>
    <w:div w:id="1617062377">
      <w:bodyDiv w:val="1"/>
      <w:marLeft w:val="0"/>
      <w:marRight w:val="0"/>
      <w:marTop w:val="0"/>
      <w:marBottom w:val="0"/>
      <w:divBdr>
        <w:top w:val="none" w:sz="0" w:space="0" w:color="auto"/>
        <w:left w:val="none" w:sz="0" w:space="0" w:color="auto"/>
        <w:bottom w:val="none" w:sz="0" w:space="0" w:color="auto"/>
        <w:right w:val="none" w:sz="0" w:space="0" w:color="auto"/>
      </w:divBdr>
    </w:div>
    <w:div w:id="1617129887">
      <w:bodyDiv w:val="1"/>
      <w:marLeft w:val="0"/>
      <w:marRight w:val="0"/>
      <w:marTop w:val="0"/>
      <w:marBottom w:val="0"/>
      <w:divBdr>
        <w:top w:val="none" w:sz="0" w:space="0" w:color="auto"/>
        <w:left w:val="none" w:sz="0" w:space="0" w:color="auto"/>
        <w:bottom w:val="none" w:sz="0" w:space="0" w:color="auto"/>
        <w:right w:val="none" w:sz="0" w:space="0" w:color="auto"/>
      </w:divBdr>
    </w:div>
    <w:div w:id="1617172072">
      <w:bodyDiv w:val="1"/>
      <w:marLeft w:val="0"/>
      <w:marRight w:val="0"/>
      <w:marTop w:val="0"/>
      <w:marBottom w:val="0"/>
      <w:divBdr>
        <w:top w:val="none" w:sz="0" w:space="0" w:color="auto"/>
        <w:left w:val="none" w:sz="0" w:space="0" w:color="auto"/>
        <w:bottom w:val="none" w:sz="0" w:space="0" w:color="auto"/>
        <w:right w:val="none" w:sz="0" w:space="0" w:color="auto"/>
      </w:divBdr>
    </w:div>
    <w:div w:id="1617176028">
      <w:bodyDiv w:val="1"/>
      <w:marLeft w:val="0"/>
      <w:marRight w:val="0"/>
      <w:marTop w:val="0"/>
      <w:marBottom w:val="0"/>
      <w:divBdr>
        <w:top w:val="none" w:sz="0" w:space="0" w:color="auto"/>
        <w:left w:val="none" w:sz="0" w:space="0" w:color="auto"/>
        <w:bottom w:val="none" w:sz="0" w:space="0" w:color="auto"/>
        <w:right w:val="none" w:sz="0" w:space="0" w:color="auto"/>
      </w:divBdr>
    </w:div>
    <w:div w:id="1617298787">
      <w:bodyDiv w:val="1"/>
      <w:marLeft w:val="0"/>
      <w:marRight w:val="0"/>
      <w:marTop w:val="0"/>
      <w:marBottom w:val="0"/>
      <w:divBdr>
        <w:top w:val="none" w:sz="0" w:space="0" w:color="auto"/>
        <w:left w:val="none" w:sz="0" w:space="0" w:color="auto"/>
        <w:bottom w:val="none" w:sz="0" w:space="0" w:color="auto"/>
        <w:right w:val="none" w:sz="0" w:space="0" w:color="auto"/>
      </w:divBdr>
    </w:div>
    <w:div w:id="1617326209">
      <w:bodyDiv w:val="1"/>
      <w:marLeft w:val="0"/>
      <w:marRight w:val="0"/>
      <w:marTop w:val="0"/>
      <w:marBottom w:val="0"/>
      <w:divBdr>
        <w:top w:val="none" w:sz="0" w:space="0" w:color="auto"/>
        <w:left w:val="none" w:sz="0" w:space="0" w:color="auto"/>
        <w:bottom w:val="none" w:sz="0" w:space="0" w:color="auto"/>
        <w:right w:val="none" w:sz="0" w:space="0" w:color="auto"/>
      </w:divBdr>
    </w:div>
    <w:div w:id="1617368077">
      <w:bodyDiv w:val="1"/>
      <w:marLeft w:val="0"/>
      <w:marRight w:val="0"/>
      <w:marTop w:val="0"/>
      <w:marBottom w:val="0"/>
      <w:divBdr>
        <w:top w:val="none" w:sz="0" w:space="0" w:color="auto"/>
        <w:left w:val="none" w:sz="0" w:space="0" w:color="auto"/>
        <w:bottom w:val="none" w:sz="0" w:space="0" w:color="auto"/>
        <w:right w:val="none" w:sz="0" w:space="0" w:color="auto"/>
      </w:divBdr>
    </w:div>
    <w:div w:id="1617368814">
      <w:bodyDiv w:val="1"/>
      <w:marLeft w:val="0"/>
      <w:marRight w:val="0"/>
      <w:marTop w:val="0"/>
      <w:marBottom w:val="0"/>
      <w:divBdr>
        <w:top w:val="none" w:sz="0" w:space="0" w:color="auto"/>
        <w:left w:val="none" w:sz="0" w:space="0" w:color="auto"/>
        <w:bottom w:val="none" w:sz="0" w:space="0" w:color="auto"/>
        <w:right w:val="none" w:sz="0" w:space="0" w:color="auto"/>
      </w:divBdr>
    </w:div>
    <w:div w:id="1617370139">
      <w:bodyDiv w:val="1"/>
      <w:marLeft w:val="0"/>
      <w:marRight w:val="0"/>
      <w:marTop w:val="0"/>
      <w:marBottom w:val="0"/>
      <w:divBdr>
        <w:top w:val="none" w:sz="0" w:space="0" w:color="auto"/>
        <w:left w:val="none" w:sz="0" w:space="0" w:color="auto"/>
        <w:bottom w:val="none" w:sz="0" w:space="0" w:color="auto"/>
        <w:right w:val="none" w:sz="0" w:space="0" w:color="auto"/>
      </w:divBdr>
    </w:div>
    <w:div w:id="1617370684">
      <w:bodyDiv w:val="1"/>
      <w:marLeft w:val="0"/>
      <w:marRight w:val="0"/>
      <w:marTop w:val="0"/>
      <w:marBottom w:val="0"/>
      <w:divBdr>
        <w:top w:val="none" w:sz="0" w:space="0" w:color="auto"/>
        <w:left w:val="none" w:sz="0" w:space="0" w:color="auto"/>
        <w:bottom w:val="none" w:sz="0" w:space="0" w:color="auto"/>
        <w:right w:val="none" w:sz="0" w:space="0" w:color="auto"/>
      </w:divBdr>
    </w:div>
    <w:div w:id="1617446416">
      <w:bodyDiv w:val="1"/>
      <w:marLeft w:val="0"/>
      <w:marRight w:val="0"/>
      <w:marTop w:val="0"/>
      <w:marBottom w:val="0"/>
      <w:divBdr>
        <w:top w:val="none" w:sz="0" w:space="0" w:color="auto"/>
        <w:left w:val="none" w:sz="0" w:space="0" w:color="auto"/>
        <w:bottom w:val="none" w:sz="0" w:space="0" w:color="auto"/>
        <w:right w:val="none" w:sz="0" w:space="0" w:color="auto"/>
      </w:divBdr>
    </w:div>
    <w:div w:id="1617525264">
      <w:bodyDiv w:val="1"/>
      <w:marLeft w:val="0"/>
      <w:marRight w:val="0"/>
      <w:marTop w:val="0"/>
      <w:marBottom w:val="0"/>
      <w:divBdr>
        <w:top w:val="none" w:sz="0" w:space="0" w:color="auto"/>
        <w:left w:val="none" w:sz="0" w:space="0" w:color="auto"/>
        <w:bottom w:val="none" w:sz="0" w:space="0" w:color="auto"/>
        <w:right w:val="none" w:sz="0" w:space="0" w:color="auto"/>
      </w:divBdr>
    </w:div>
    <w:div w:id="1617561837">
      <w:bodyDiv w:val="1"/>
      <w:marLeft w:val="0"/>
      <w:marRight w:val="0"/>
      <w:marTop w:val="0"/>
      <w:marBottom w:val="0"/>
      <w:divBdr>
        <w:top w:val="none" w:sz="0" w:space="0" w:color="auto"/>
        <w:left w:val="none" w:sz="0" w:space="0" w:color="auto"/>
        <w:bottom w:val="none" w:sz="0" w:space="0" w:color="auto"/>
        <w:right w:val="none" w:sz="0" w:space="0" w:color="auto"/>
      </w:divBdr>
    </w:div>
    <w:div w:id="1617637263">
      <w:bodyDiv w:val="1"/>
      <w:marLeft w:val="0"/>
      <w:marRight w:val="0"/>
      <w:marTop w:val="0"/>
      <w:marBottom w:val="0"/>
      <w:divBdr>
        <w:top w:val="none" w:sz="0" w:space="0" w:color="auto"/>
        <w:left w:val="none" w:sz="0" w:space="0" w:color="auto"/>
        <w:bottom w:val="none" w:sz="0" w:space="0" w:color="auto"/>
        <w:right w:val="none" w:sz="0" w:space="0" w:color="auto"/>
      </w:divBdr>
    </w:div>
    <w:div w:id="1617709778">
      <w:bodyDiv w:val="1"/>
      <w:marLeft w:val="0"/>
      <w:marRight w:val="0"/>
      <w:marTop w:val="0"/>
      <w:marBottom w:val="0"/>
      <w:divBdr>
        <w:top w:val="none" w:sz="0" w:space="0" w:color="auto"/>
        <w:left w:val="none" w:sz="0" w:space="0" w:color="auto"/>
        <w:bottom w:val="none" w:sz="0" w:space="0" w:color="auto"/>
        <w:right w:val="none" w:sz="0" w:space="0" w:color="auto"/>
      </w:divBdr>
    </w:div>
    <w:div w:id="1617786232">
      <w:bodyDiv w:val="1"/>
      <w:marLeft w:val="0"/>
      <w:marRight w:val="0"/>
      <w:marTop w:val="0"/>
      <w:marBottom w:val="0"/>
      <w:divBdr>
        <w:top w:val="none" w:sz="0" w:space="0" w:color="auto"/>
        <w:left w:val="none" w:sz="0" w:space="0" w:color="auto"/>
        <w:bottom w:val="none" w:sz="0" w:space="0" w:color="auto"/>
        <w:right w:val="none" w:sz="0" w:space="0" w:color="auto"/>
      </w:divBdr>
    </w:div>
    <w:div w:id="1617828879">
      <w:bodyDiv w:val="1"/>
      <w:marLeft w:val="0"/>
      <w:marRight w:val="0"/>
      <w:marTop w:val="0"/>
      <w:marBottom w:val="0"/>
      <w:divBdr>
        <w:top w:val="none" w:sz="0" w:space="0" w:color="auto"/>
        <w:left w:val="none" w:sz="0" w:space="0" w:color="auto"/>
        <w:bottom w:val="none" w:sz="0" w:space="0" w:color="auto"/>
        <w:right w:val="none" w:sz="0" w:space="0" w:color="auto"/>
      </w:divBdr>
    </w:div>
    <w:div w:id="1617906332">
      <w:bodyDiv w:val="1"/>
      <w:marLeft w:val="0"/>
      <w:marRight w:val="0"/>
      <w:marTop w:val="0"/>
      <w:marBottom w:val="0"/>
      <w:divBdr>
        <w:top w:val="none" w:sz="0" w:space="0" w:color="auto"/>
        <w:left w:val="none" w:sz="0" w:space="0" w:color="auto"/>
        <w:bottom w:val="none" w:sz="0" w:space="0" w:color="auto"/>
        <w:right w:val="none" w:sz="0" w:space="0" w:color="auto"/>
      </w:divBdr>
    </w:div>
    <w:div w:id="1617909794">
      <w:bodyDiv w:val="1"/>
      <w:marLeft w:val="0"/>
      <w:marRight w:val="0"/>
      <w:marTop w:val="0"/>
      <w:marBottom w:val="0"/>
      <w:divBdr>
        <w:top w:val="none" w:sz="0" w:space="0" w:color="auto"/>
        <w:left w:val="none" w:sz="0" w:space="0" w:color="auto"/>
        <w:bottom w:val="none" w:sz="0" w:space="0" w:color="auto"/>
        <w:right w:val="none" w:sz="0" w:space="0" w:color="auto"/>
      </w:divBdr>
    </w:div>
    <w:div w:id="1617978128">
      <w:bodyDiv w:val="1"/>
      <w:marLeft w:val="0"/>
      <w:marRight w:val="0"/>
      <w:marTop w:val="0"/>
      <w:marBottom w:val="0"/>
      <w:divBdr>
        <w:top w:val="none" w:sz="0" w:space="0" w:color="auto"/>
        <w:left w:val="none" w:sz="0" w:space="0" w:color="auto"/>
        <w:bottom w:val="none" w:sz="0" w:space="0" w:color="auto"/>
        <w:right w:val="none" w:sz="0" w:space="0" w:color="auto"/>
      </w:divBdr>
    </w:div>
    <w:div w:id="1618021151">
      <w:bodyDiv w:val="1"/>
      <w:marLeft w:val="0"/>
      <w:marRight w:val="0"/>
      <w:marTop w:val="0"/>
      <w:marBottom w:val="0"/>
      <w:divBdr>
        <w:top w:val="none" w:sz="0" w:space="0" w:color="auto"/>
        <w:left w:val="none" w:sz="0" w:space="0" w:color="auto"/>
        <w:bottom w:val="none" w:sz="0" w:space="0" w:color="auto"/>
        <w:right w:val="none" w:sz="0" w:space="0" w:color="auto"/>
      </w:divBdr>
    </w:div>
    <w:div w:id="1618024331">
      <w:bodyDiv w:val="1"/>
      <w:marLeft w:val="0"/>
      <w:marRight w:val="0"/>
      <w:marTop w:val="0"/>
      <w:marBottom w:val="0"/>
      <w:divBdr>
        <w:top w:val="none" w:sz="0" w:space="0" w:color="auto"/>
        <w:left w:val="none" w:sz="0" w:space="0" w:color="auto"/>
        <w:bottom w:val="none" w:sz="0" w:space="0" w:color="auto"/>
        <w:right w:val="none" w:sz="0" w:space="0" w:color="auto"/>
      </w:divBdr>
    </w:div>
    <w:div w:id="1618173916">
      <w:bodyDiv w:val="1"/>
      <w:marLeft w:val="0"/>
      <w:marRight w:val="0"/>
      <w:marTop w:val="0"/>
      <w:marBottom w:val="0"/>
      <w:divBdr>
        <w:top w:val="none" w:sz="0" w:space="0" w:color="auto"/>
        <w:left w:val="none" w:sz="0" w:space="0" w:color="auto"/>
        <w:bottom w:val="none" w:sz="0" w:space="0" w:color="auto"/>
        <w:right w:val="none" w:sz="0" w:space="0" w:color="auto"/>
      </w:divBdr>
    </w:div>
    <w:div w:id="1618178115">
      <w:bodyDiv w:val="1"/>
      <w:marLeft w:val="0"/>
      <w:marRight w:val="0"/>
      <w:marTop w:val="0"/>
      <w:marBottom w:val="0"/>
      <w:divBdr>
        <w:top w:val="none" w:sz="0" w:space="0" w:color="auto"/>
        <w:left w:val="none" w:sz="0" w:space="0" w:color="auto"/>
        <w:bottom w:val="none" w:sz="0" w:space="0" w:color="auto"/>
        <w:right w:val="none" w:sz="0" w:space="0" w:color="auto"/>
      </w:divBdr>
    </w:div>
    <w:div w:id="1618298022">
      <w:bodyDiv w:val="1"/>
      <w:marLeft w:val="0"/>
      <w:marRight w:val="0"/>
      <w:marTop w:val="0"/>
      <w:marBottom w:val="0"/>
      <w:divBdr>
        <w:top w:val="none" w:sz="0" w:space="0" w:color="auto"/>
        <w:left w:val="none" w:sz="0" w:space="0" w:color="auto"/>
        <w:bottom w:val="none" w:sz="0" w:space="0" w:color="auto"/>
        <w:right w:val="none" w:sz="0" w:space="0" w:color="auto"/>
      </w:divBdr>
    </w:div>
    <w:div w:id="1618364191">
      <w:bodyDiv w:val="1"/>
      <w:marLeft w:val="0"/>
      <w:marRight w:val="0"/>
      <w:marTop w:val="0"/>
      <w:marBottom w:val="0"/>
      <w:divBdr>
        <w:top w:val="none" w:sz="0" w:space="0" w:color="auto"/>
        <w:left w:val="none" w:sz="0" w:space="0" w:color="auto"/>
        <w:bottom w:val="none" w:sz="0" w:space="0" w:color="auto"/>
        <w:right w:val="none" w:sz="0" w:space="0" w:color="auto"/>
      </w:divBdr>
    </w:div>
    <w:div w:id="1618369779">
      <w:bodyDiv w:val="1"/>
      <w:marLeft w:val="0"/>
      <w:marRight w:val="0"/>
      <w:marTop w:val="0"/>
      <w:marBottom w:val="0"/>
      <w:divBdr>
        <w:top w:val="none" w:sz="0" w:space="0" w:color="auto"/>
        <w:left w:val="none" w:sz="0" w:space="0" w:color="auto"/>
        <w:bottom w:val="none" w:sz="0" w:space="0" w:color="auto"/>
        <w:right w:val="none" w:sz="0" w:space="0" w:color="auto"/>
      </w:divBdr>
    </w:div>
    <w:div w:id="1618414587">
      <w:bodyDiv w:val="1"/>
      <w:marLeft w:val="0"/>
      <w:marRight w:val="0"/>
      <w:marTop w:val="0"/>
      <w:marBottom w:val="0"/>
      <w:divBdr>
        <w:top w:val="none" w:sz="0" w:space="0" w:color="auto"/>
        <w:left w:val="none" w:sz="0" w:space="0" w:color="auto"/>
        <w:bottom w:val="none" w:sz="0" w:space="0" w:color="auto"/>
        <w:right w:val="none" w:sz="0" w:space="0" w:color="auto"/>
      </w:divBdr>
    </w:div>
    <w:div w:id="1618561044">
      <w:bodyDiv w:val="1"/>
      <w:marLeft w:val="0"/>
      <w:marRight w:val="0"/>
      <w:marTop w:val="0"/>
      <w:marBottom w:val="0"/>
      <w:divBdr>
        <w:top w:val="none" w:sz="0" w:space="0" w:color="auto"/>
        <w:left w:val="none" w:sz="0" w:space="0" w:color="auto"/>
        <w:bottom w:val="none" w:sz="0" w:space="0" w:color="auto"/>
        <w:right w:val="none" w:sz="0" w:space="0" w:color="auto"/>
      </w:divBdr>
    </w:div>
    <w:div w:id="1618566372">
      <w:bodyDiv w:val="1"/>
      <w:marLeft w:val="0"/>
      <w:marRight w:val="0"/>
      <w:marTop w:val="0"/>
      <w:marBottom w:val="0"/>
      <w:divBdr>
        <w:top w:val="none" w:sz="0" w:space="0" w:color="auto"/>
        <w:left w:val="none" w:sz="0" w:space="0" w:color="auto"/>
        <w:bottom w:val="none" w:sz="0" w:space="0" w:color="auto"/>
        <w:right w:val="none" w:sz="0" w:space="0" w:color="auto"/>
      </w:divBdr>
    </w:div>
    <w:div w:id="1618678940">
      <w:bodyDiv w:val="1"/>
      <w:marLeft w:val="0"/>
      <w:marRight w:val="0"/>
      <w:marTop w:val="0"/>
      <w:marBottom w:val="0"/>
      <w:divBdr>
        <w:top w:val="none" w:sz="0" w:space="0" w:color="auto"/>
        <w:left w:val="none" w:sz="0" w:space="0" w:color="auto"/>
        <w:bottom w:val="none" w:sz="0" w:space="0" w:color="auto"/>
        <w:right w:val="none" w:sz="0" w:space="0" w:color="auto"/>
      </w:divBdr>
    </w:div>
    <w:div w:id="1618680818">
      <w:bodyDiv w:val="1"/>
      <w:marLeft w:val="0"/>
      <w:marRight w:val="0"/>
      <w:marTop w:val="0"/>
      <w:marBottom w:val="0"/>
      <w:divBdr>
        <w:top w:val="none" w:sz="0" w:space="0" w:color="auto"/>
        <w:left w:val="none" w:sz="0" w:space="0" w:color="auto"/>
        <w:bottom w:val="none" w:sz="0" w:space="0" w:color="auto"/>
        <w:right w:val="none" w:sz="0" w:space="0" w:color="auto"/>
      </w:divBdr>
    </w:div>
    <w:div w:id="1618833516">
      <w:bodyDiv w:val="1"/>
      <w:marLeft w:val="0"/>
      <w:marRight w:val="0"/>
      <w:marTop w:val="0"/>
      <w:marBottom w:val="0"/>
      <w:divBdr>
        <w:top w:val="none" w:sz="0" w:space="0" w:color="auto"/>
        <w:left w:val="none" w:sz="0" w:space="0" w:color="auto"/>
        <w:bottom w:val="none" w:sz="0" w:space="0" w:color="auto"/>
        <w:right w:val="none" w:sz="0" w:space="0" w:color="auto"/>
      </w:divBdr>
    </w:div>
    <w:div w:id="1618872585">
      <w:bodyDiv w:val="1"/>
      <w:marLeft w:val="0"/>
      <w:marRight w:val="0"/>
      <w:marTop w:val="0"/>
      <w:marBottom w:val="0"/>
      <w:divBdr>
        <w:top w:val="none" w:sz="0" w:space="0" w:color="auto"/>
        <w:left w:val="none" w:sz="0" w:space="0" w:color="auto"/>
        <w:bottom w:val="none" w:sz="0" w:space="0" w:color="auto"/>
        <w:right w:val="none" w:sz="0" w:space="0" w:color="auto"/>
      </w:divBdr>
    </w:div>
    <w:div w:id="1618878048">
      <w:bodyDiv w:val="1"/>
      <w:marLeft w:val="0"/>
      <w:marRight w:val="0"/>
      <w:marTop w:val="0"/>
      <w:marBottom w:val="0"/>
      <w:divBdr>
        <w:top w:val="none" w:sz="0" w:space="0" w:color="auto"/>
        <w:left w:val="none" w:sz="0" w:space="0" w:color="auto"/>
        <w:bottom w:val="none" w:sz="0" w:space="0" w:color="auto"/>
        <w:right w:val="none" w:sz="0" w:space="0" w:color="auto"/>
      </w:divBdr>
    </w:div>
    <w:div w:id="1618945968">
      <w:bodyDiv w:val="1"/>
      <w:marLeft w:val="0"/>
      <w:marRight w:val="0"/>
      <w:marTop w:val="0"/>
      <w:marBottom w:val="0"/>
      <w:divBdr>
        <w:top w:val="none" w:sz="0" w:space="0" w:color="auto"/>
        <w:left w:val="none" w:sz="0" w:space="0" w:color="auto"/>
        <w:bottom w:val="none" w:sz="0" w:space="0" w:color="auto"/>
        <w:right w:val="none" w:sz="0" w:space="0" w:color="auto"/>
      </w:divBdr>
    </w:div>
    <w:div w:id="1618952039">
      <w:bodyDiv w:val="1"/>
      <w:marLeft w:val="0"/>
      <w:marRight w:val="0"/>
      <w:marTop w:val="0"/>
      <w:marBottom w:val="0"/>
      <w:divBdr>
        <w:top w:val="none" w:sz="0" w:space="0" w:color="auto"/>
        <w:left w:val="none" w:sz="0" w:space="0" w:color="auto"/>
        <w:bottom w:val="none" w:sz="0" w:space="0" w:color="auto"/>
        <w:right w:val="none" w:sz="0" w:space="0" w:color="auto"/>
      </w:divBdr>
    </w:div>
    <w:div w:id="1619069248">
      <w:bodyDiv w:val="1"/>
      <w:marLeft w:val="0"/>
      <w:marRight w:val="0"/>
      <w:marTop w:val="0"/>
      <w:marBottom w:val="0"/>
      <w:divBdr>
        <w:top w:val="none" w:sz="0" w:space="0" w:color="auto"/>
        <w:left w:val="none" w:sz="0" w:space="0" w:color="auto"/>
        <w:bottom w:val="none" w:sz="0" w:space="0" w:color="auto"/>
        <w:right w:val="none" w:sz="0" w:space="0" w:color="auto"/>
      </w:divBdr>
    </w:div>
    <w:div w:id="1619071631">
      <w:bodyDiv w:val="1"/>
      <w:marLeft w:val="0"/>
      <w:marRight w:val="0"/>
      <w:marTop w:val="0"/>
      <w:marBottom w:val="0"/>
      <w:divBdr>
        <w:top w:val="none" w:sz="0" w:space="0" w:color="auto"/>
        <w:left w:val="none" w:sz="0" w:space="0" w:color="auto"/>
        <w:bottom w:val="none" w:sz="0" w:space="0" w:color="auto"/>
        <w:right w:val="none" w:sz="0" w:space="0" w:color="auto"/>
      </w:divBdr>
    </w:div>
    <w:div w:id="1619096874">
      <w:bodyDiv w:val="1"/>
      <w:marLeft w:val="0"/>
      <w:marRight w:val="0"/>
      <w:marTop w:val="0"/>
      <w:marBottom w:val="0"/>
      <w:divBdr>
        <w:top w:val="none" w:sz="0" w:space="0" w:color="auto"/>
        <w:left w:val="none" w:sz="0" w:space="0" w:color="auto"/>
        <w:bottom w:val="none" w:sz="0" w:space="0" w:color="auto"/>
        <w:right w:val="none" w:sz="0" w:space="0" w:color="auto"/>
      </w:divBdr>
    </w:div>
    <w:div w:id="1619217921">
      <w:bodyDiv w:val="1"/>
      <w:marLeft w:val="0"/>
      <w:marRight w:val="0"/>
      <w:marTop w:val="0"/>
      <w:marBottom w:val="0"/>
      <w:divBdr>
        <w:top w:val="none" w:sz="0" w:space="0" w:color="auto"/>
        <w:left w:val="none" w:sz="0" w:space="0" w:color="auto"/>
        <w:bottom w:val="none" w:sz="0" w:space="0" w:color="auto"/>
        <w:right w:val="none" w:sz="0" w:space="0" w:color="auto"/>
      </w:divBdr>
    </w:div>
    <w:div w:id="1619292786">
      <w:bodyDiv w:val="1"/>
      <w:marLeft w:val="0"/>
      <w:marRight w:val="0"/>
      <w:marTop w:val="0"/>
      <w:marBottom w:val="0"/>
      <w:divBdr>
        <w:top w:val="none" w:sz="0" w:space="0" w:color="auto"/>
        <w:left w:val="none" w:sz="0" w:space="0" w:color="auto"/>
        <w:bottom w:val="none" w:sz="0" w:space="0" w:color="auto"/>
        <w:right w:val="none" w:sz="0" w:space="0" w:color="auto"/>
      </w:divBdr>
    </w:div>
    <w:div w:id="1619295985">
      <w:bodyDiv w:val="1"/>
      <w:marLeft w:val="0"/>
      <w:marRight w:val="0"/>
      <w:marTop w:val="0"/>
      <w:marBottom w:val="0"/>
      <w:divBdr>
        <w:top w:val="none" w:sz="0" w:space="0" w:color="auto"/>
        <w:left w:val="none" w:sz="0" w:space="0" w:color="auto"/>
        <w:bottom w:val="none" w:sz="0" w:space="0" w:color="auto"/>
        <w:right w:val="none" w:sz="0" w:space="0" w:color="auto"/>
      </w:divBdr>
    </w:div>
    <w:div w:id="1619407416">
      <w:bodyDiv w:val="1"/>
      <w:marLeft w:val="0"/>
      <w:marRight w:val="0"/>
      <w:marTop w:val="0"/>
      <w:marBottom w:val="0"/>
      <w:divBdr>
        <w:top w:val="none" w:sz="0" w:space="0" w:color="auto"/>
        <w:left w:val="none" w:sz="0" w:space="0" w:color="auto"/>
        <w:bottom w:val="none" w:sz="0" w:space="0" w:color="auto"/>
        <w:right w:val="none" w:sz="0" w:space="0" w:color="auto"/>
      </w:divBdr>
    </w:div>
    <w:div w:id="1619530384">
      <w:bodyDiv w:val="1"/>
      <w:marLeft w:val="0"/>
      <w:marRight w:val="0"/>
      <w:marTop w:val="0"/>
      <w:marBottom w:val="0"/>
      <w:divBdr>
        <w:top w:val="none" w:sz="0" w:space="0" w:color="auto"/>
        <w:left w:val="none" w:sz="0" w:space="0" w:color="auto"/>
        <w:bottom w:val="none" w:sz="0" w:space="0" w:color="auto"/>
        <w:right w:val="none" w:sz="0" w:space="0" w:color="auto"/>
      </w:divBdr>
    </w:div>
    <w:div w:id="1619530516">
      <w:bodyDiv w:val="1"/>
      <w:marLeft w:val="0"/>
      <w:marRight w:val="0"/>
      <w:marTop w:val="0"/>
      <w:marBottom w:val="0"/>
      <w:divBdr>
        <w:top w:val="none" w:sz="0" w:space="0" w:color="auto"/>
        <w:left w:val="none" w:sz="0" w:space="0" w:color="auto"/>
        <w:bottom w:val="none" w:sz="0" w:space="0" w:color="auto"/>
        <w:right w:val="none" w:sz="0" w:space="0" w:color="auto"/>
      </w:divBdr>
    </w:div>
    <w:div w:id="1619602328">
      <w:bodyDiv w:val="1"/>
      <w:marLeft w:val="0"/>
      <w:marRight w:val="0"/>
      <w:marTop w:val="0"/>
      <w:marBottom w:val="0"/>
      <w:divBdr>
        <w:top w:val="none" w:sz="0" w:space="0" w:color="auto"/>
        <w:left w:val="none" w:sz="0" w:space="0" w:color="auto"/>
        <w:bottom w:val="none" w:sz="0" w:space="0" w:color="auto"/>
        <w:right w:val="none" w:sz="0" w:space="0" w:color="auto"/>
      </w:divBdr>
    </w:div>
    <w:div w:id="1619603442">
      <w:bodyDiv w:val="1"/>
      <w:marLeft w:val="0"/>
      <w:marRight w:val="0"/>
      <w:marTop w:val="0"/>
      <w:marBottom w:val="0"/>
      <w:divBdr>
        <w:top w:val="none" w:sz="0" w:space="0" w:color="auto"/>
        <w:left w:val="none" w:sz="0" w:space="0" w:color="auto"/>
        <w:bottom w:val="none" w:sz="0" w:space="0" w:color="auto"/>
        <w:right w:val="none" w:sz="0" w:space="0" w:color="auto"/>
      </w:divBdr>
    </w:div>
    <w:div w:id="1619681204">
      <w:bodyDiv w:val="1"/>
      <w:marLeft w:val="0"/>
      <w:marRight w:val="0"/>
      <w:marTop w:val="0"/>
      <w:marBottom w:val="0"/>
      <w:divBdr>
        <w:top w:val="none" w:sz="0" w:space="0" w:color="auto"/>
        <w:left w:val="none" w:sz="0" w:space="0" w:color="auto"/>
        <w:bottom w:val="none" w:sz="0" w:space="0" w:color="auto"/>
        <w:right w:val="none" w:sz="0" w:space="0" w:color="auto"/>
      </w:divBdr>
    </w:div>
    <w:div w:id="1619799749">
      <w:bodyDiv w:val="1"/>
      <w:marLeft w:val="0"/>
      <w:marRight w:val="0"/>
      <w:marTop w:val="0"/>
      <w:marBottom w:val="0"/>
      <w:divBdr>
        <w:top w:val="none" w:sz="0" w:space="0" w:color="auto"/>
        <w:left w:val="none" w:sz="0" w:space="0" w:color="auto"/>
        <w:bottom w:val="none" w:sz="0" w:space="0" w:color="auto"/>
        <w:right w:val="none" w:sz="0" w:space="0" w:color="auto"/>
      </w:divBdr>
    </w:div>
    <w:div w:id="1619870743">
      <w:bodyDiv w:val="1"/>
      <w:marLeft w:val="0"/>
      <w:marRight w:val="0"/>
      <w:marTop w:val="0"/>
      <w:marBottom w:val="0"/>
      <w:divBdr>
        <w:top w:val="none" w:sz="0" w:space="0" w:color="auto"/>
        <w:left w:val="none" w:sz="0" w:space="0" w:color="auto"/>
        <w:bottom w:val="none" w:sz="0" w:space="0" w:color="auto"/>
        <w:right w:val="none" w:sz="0" w:space="0" w:color="auto"/>
      </w:divBdr>
    </w:div>
    <w:div w:id="1619991719">
      <w:bodyDiv w:val="1"/>
      <w:marLeft w:val="0"/>
      <w:marRight w:val="0"/>
      <w:marTop w:val="0"/>
      <w:marBottom w:val="0"/>
      <w:divBdr>
        <w:top w:val="none" w:sz="0" w:space="0" w:color="auto"/>
        <w:left w:val="none" w:sz="0" w:space="0" w:color="auto"/>
        <w:bottom w:val="none" w:sz="0" w:space="0" w:color="auto"/>
        <w:right w:val="none" w:sz="0" w:space="0" w:color="auto"/>
      </w:divBdr>
    </w:div>
    <w:div w:id="1620062195">
      <w:bodyDiv w:val="1"/>
      <w:marLeft w:val="0"/>
      <w:marRight w:val="0"/>
      <w:marTop w:val="0"/>
      <w:marBottom w:val="0"/>
      <w:divBdr>
        <w:top w:val="none" w:sz="0" w:space="0" w:color="auto"/>
        <w:left w:val="none" w:sz="0" w:space="0" w:color="auto"/>
        <w:bottom w:val="none" w:sz="0" w:space="0" w:color="auto"/>
        <w:right w:val="none" w:sz="0" w:space="0" w:color="auto"/>
      </w:divBdr>
    </w:div>
    <w:div w:id="1620258381">
      <w:bodyDiv w:val="1"/>
      <w:marLeft w:val="0"/>
      <w:marRight w:val="0"/>
      <w:marTop w:val="0"/>
      <w:marBottom w:val="0"/>
      <w:divBdr>
        <w:top w:val="none" w:sz="0" w:space="0" w:color="auto"/>
        <w:left w:val="none" w:sz="0" w:space="0" w:color="auto"/>
        <w:bottom w:val="none" w:sz="0" w:space="0" w:color="auto"/>
        <w:right w:val="none" w:sz="0" w:space="0" w:color="auto"/>
      </w:divBdr>
    </w:div>
    <w:div w:id="1620262810">
      <w:bodyDiv w:val="1"/>
      <w:marLeft w:val="0"/>
      <w:marRight w:val="0"/>
      <w:marTop w:val="0"/>
      <w:marBottom w:val="0"/>
      <w:divBdr>
        <w:top w:val="none" w:sz="0" w:space="0" w:color="auto"/>
        <w:left w:val="none" w:sz="0" w:space="0" w:color="auto"/>
        <w:bottom w:val="none" w:sz="0" w:space="0" w:color="auto"/>
        <w:right w:val="none" w:sz="0" w:space="0" w:color="auto"/>
      </w:divBdr>
    </w:div>
    <w:div w:id="1620339401">
      <w:bodyDiv w:val="1"/>
      <w:marLeft w:val="0"/>
      <w:marRight w:val="0"/>
      <w:marTop w:val="0"/>
      <w:marBottom w:val="0"/>
      <w:divBdr>
        <w:top w:val="none" w:sz="0" w:space="0" w:color="auto"/>
        <w:left w:val="none" w:sz="0" w:space="0" w:color="auto"/>
        <w:bottom w:val="none" w:sz="0" w:space="0" w:color="auto"/>
        <w:right w:val="none" w:sz="0" w:space="0" w:color="auto"/>
      </w:divBdr>
    </w:div>
    <w:div w:id="1620647836">
      <w:bodyDiv w:val="1"/>
      <w:marLeft w:val="0"/>
      <w:marRight w:val="0"/>
      <w:marTop w:val="0"/>
      <w:marBottom w:val="0"/>
      <w:divBdr>
        <w:top w:val="none" w:sz="0" w:space="0" w:color="auto"/>
        <w:left w:val="none" w:sz="0" w:space="0" w:color="auto"/>
        <w:bottom w:val="none" w:sz="0" w:space="0" w:color="auto"/>
        <w:right w:val="none" w:sz="0" w:space="0" w:color="auto"/>
      </w:divBdr>
    </w:div>
    <w:div w:id="1620649056">
      <w:bodyDiv w:val="1"/>
      <w:marLeft w:val="0"/>
      <w:marRight w:val="0"/>
      <w:marTop w:val="0"/>
      <w:marBottom w:val="0"/>
      <w:divBdr>
        <w:top w:val="none" w:sz="0" w:space="0" w:color="auto"/>
        <w:left w:val="none" w:sz="0" w:space="0" w:color="auto"/>
        <w:bottom w:val="none" w:sz="0" w:space="0" w:color="auto"/>
        <w:right w:val="none" w:sz="0" w:space="0" w:color="auto"/>
      </w:divBdr>
    </w:div>
    <w:div w:id="1620801423">
      <w:bodyDiv w:val="1"/>
      <w:marLeft w:val="0"/>
      <w:marRight w:val="0"/>
      <w:marTop w:val="0"/>
      <w:marBottom w:val="0"/>
      <w:divBdr>
        <w:top w:val="none" w:sz="0" w:space="0" w:color="auto"/>
        <w:left w:val="none" w:sz="0" w:space="0" w:color="auto"/>
        <w:bottom w:val="none" w:sz="0" w:space="0" w:color="auto"/>
        <w:right w:val="none" w:sz="0" w:space="0" w:color="auto"/>
      </w:divBdr>
    </w:div>
    <w:div w:id="1620994609">
      <w:bodyDiv w:val="1"/>
      <w:marLeft w:val="0"/>
      <w:marRight w:val="0"/>
      <w:marTop w:val="0"/>
      <w:marBottom w:val="0"/>
      <w:divBdr>
        <w:top w:val="none" w:sz="0" w:space="0" w:color="auto"/>
        <w:left w:val="none" w:sz="0" w:space="0" w:color="auto"/>
        <w:bottom w:val="none" w:sz="0" w:space="0" w:color="auto"/>
        <w:right w:val="none" w:sz="0" w:space="0" w:color="auto"/>
      </w:divBdr>
    </w:div>
    <w:div w:id="1620994807">
      <w:bodyDiv w:val="1"/>
      <w:marLeft w:val="0"/>
      <w:marRight w:val="0"/>
      <w:marTop w:val="0"/>
      <w:marBottom w:val="0"/>
      <w:divBdr>
        <w:top w:val="none" w:sz="0" w:space="0" w:color="auto"/>
        <w:left w:val="none" w:sz="0" w:space="0" w:color="auto"/>
        <w:bottom w:val="none" w:sz="0" w:space="0" w:color="auto"/>
        <w:right w:val="none" w:sz="0" w:space="0" w:color="auto"/>
      </w:divBdr>
    </w:div>
    <w:div w:id="1621064427">
      <w:bodyDiv w:val="1"/>
      <w:marLeft w:val="0"/>
      <w:marRight w:val="0"/>
      <w:marTop w:val="0"/>
      <w:marBottom w:val="0"/>
      <w:divBdr>
        <w:top w:val="none" w:sz="0" w:space="0" w:color="auto"/>
        <w:left w:val="none" w:sz="0" w:space="0" w:color="auto"/>
        <w:bottom w:val="none" w:sz="0" w:space="0" w:color="auto"/>
        <w:right w:val="none" w:sz="0" w:space="0" w:color="auto"/>
      </w:divBdr>
    </w:div>
    <w:div w:id="1621065330">
      <w:bodyDiv w:val="1"/>
      <w:marLeft w:val="0"/>
      <w:marRight w:val="0"/>
      <w:marTop w:val="0"/>
      <w:marBottom w:val="0"/>
      <w:divBdr>
        <w:top w:val="none" w:sz="0" w:space="0" w:color="auto"/>
        <w:left w:val="none" w:sz="0" w:space="0" w:color="auto"/>
        <w:bottom w:val="none" w:sz="0" w:space="0" w:color="auto"/>
        <w:right w:val="none" w:sz="0" w:space="0" w:color="auto"/>
      </w:divBdr>
    </w:div>
    <w:div w:id="1621179494">
      <w:bodyDiv w:val="1"/>
      <w:marLeft w:val="0"/>
      <w:marRight w:val="0"/>
      <w:marTop w:val="0"/>
      <w:marBottom w:val="0"/>
      <w:divBdr>
        <w:top w:val="none" w:sz="0" w:space="0" w:color="auto"/>
        <w:left w:val="none" w:sz="0" w:space="0" w:color="auto"/>
        <w:bottom w:val="none" w:sz="0" w:space="0" w:color="auto"/>
        <w:right w:val="none" w:sz="0" w:space="0" w:color="auto"/>
      </w:divBdr>
    </w:div>
    <w:div w:id="1621372498">
      <w:bodyDiv w:val="1"/>
      <w:marLeft w:val="0"/>
      <w:marRight w:val="0"/>
      <w:marTop w:val="0"/>
      <w:marBottom w:val="0"/>
      <w:divBdr>
        <w:top w:val="none" w:sz="0" w:space="0" w:color="auto"/>
        <w:left w:val="none" w:sz="0" w:space="0" w:color="auto"/>
        <w:bottom w:val="none" w:sz="0" w:space="0" w:color="auto"/>
        <w:right w:val="none" w:sz="0" w:space="0" w:color="auto"/>
      </w:divBdr>
    </w:div>
    <w:div w:id="1621451457">
      <w:bodyDiv w:val="1"/>
      <w:marLeft w:val="0"/>
      <w:marRight w:val="0"/>
      <w:marTop w:val="0"/>
      <w:marBottom w:val="0"/>
      <w:divBdr>
        <w:top w:val="none" w:sz="0" w:space="0" w:color="auto"/>
        <w:left w:val="none" w:sz="0" w:space="0" w:color="auto"/>
        <w:bottom w:val="none" w:sz="0" w:space="0" w:color="auto"/>
        <w:right w:val="none" w:sz="0" w:space="0" w:color="auto"/>
      </w:divBdr>
    </w:div>
    <w:div w:id="1621493970">
      <w:bodyDiv w:val="1"/>
      <w:marLeft w:val="0"/>
      <w:marRight w:val="0"/>
      <w:marTop w:val="0"/>
      <w:marBottom w:val="0"/>
      <w:divBdr>
        <w:top w:val="none" w:sz="0" w:space="0" w:color="auto"/>
        <w:left w:val="none" w:sz="0" w:space="0" w:color="auto"/>
        <w:bottom w:val="none" w:sz="0" w:space="0" w:color="auto"/>
        <w:right w:val="none" w:sz="0" w:space="0" w:color="auto"/>
      </w:divBdr>
    </w:div>
    <w:div w:id="1621494987">
      <w:bodyDiv w:val="1"/>
      <w:marLeft w:val="0"/>
      <w:marRight w:val="0"/>
      <w:marTop w:val="0"/>
      <w:marBottom w:val="0"/>
      <w:divBdr>
        <w:top w:val="none" w:sz="0" w:space="0" w:color="auto"/>
        <w:left w:val="none" w:sz="0" w:space="0" w:color="auto"/>
        <w:bottom w:val="none" w:sz="0" w:space="0" w:color="auto"/>
        <w:right w:val="none" w:sz="0" w:space="0" w:color="auto"/>
      </w:divBdr>
    </w:div>
    <w:div w:id="1621567659">
      <w:bodyDiv w:val="1"/>
      <w:marLeft w:val="0"/>
      <w:marRight w:val="0"/>
      <w:marTop w:val="0"/>
      <w:marBottom w:val="0"/>
      <w:divBdr>
        <w:top w:val="none" w:sz="0" w:space="0" w:color="auto"/>
        <w:left w:val="none" w:sz="0" w:space="0" w:color="auto"/>
        <w:bottom w:val="none" w:sz="0" w:space="0" w:color="auto"/>
        <w:right w:val="none" w:sz="0" w:space="0" w:color="auto"/>
      </w:divBdr>
    </w:div>
    <w:div w:id="1621568965">
      <w:bodyDiv w:val="1"/>
      <w:marLeft w:val="0"/>
      <w:marRight w:val="0"/>
      <w:marTop w:val="0"/>
      <w:marBottom w:val="0"/>
      <w:divBdr>
        <w:top w:val="none" w:sz="0" w:space="0" w:color="auto"/>
        <w:left w:val="none" w:sz="0" w:space="0" w:color="auto"/>
        <w:bottom w:val="none" w:sz="0" w:space="0" w:color="auto"/>
        <w:right w:val="none" w:sz="0" w:space="0" w:color="auto"/>
      </w:divBdr>
    </w:div>
    <w:div w:id="1621570838">
      <w:bodyDiv w:val="1"/>
      <w:marLeft w:val="0"/>
      <w:marRight w:val="0"/>
      <w:marTop w:val="0"/>
      <w:marBottom w:val="0"/>
      <w:divBdr>
        <w:top w:val="none" w:sz="0" w:space="0" w:color="auto"/>
        <w:left w:val="none" w:sz="0" w:space="0" w:color="auto"/>
        <w:bottom w:val="none" w:sz="0" w:space="0" w:color="auto"/>
        <w:right w:val="none" w:sz="0" w:space="0" w:color="auto"/>
      </w:divBdr>
    </w:div>
    <w:div w:id="1621642718">
      <w:bodyDiv w:val="1"/>
      <w:marLeft w:val="0"/>
      <w:marRight w:val="0"/>
      <w:marTop w:val="0"/>
      <w:marBottom w:val="0"/>
      <w:divBdr>
        <w:top w:val="none" w:sz="0" w:space="0" w:color="auto"/>
        <w:left w:val="none" w:sz="0" w:space="0" w:color="auto"/>
        <w:bottom w:val="none" w:sz="0" w:space="0" w:color="auto"/>
        <w:right w:val="none" w:sz="0" w:space="0" w:color="auto"/>
      </w:divBdr>
    </w:div>
    <w:div w:id="1621689909">
      <w:bodyDiv w:val="1"/>
      <w:marLeft w:val="0"/>
      <w:marRight w:val="0"/>
      <w:marTop w:val="0"/>
      <w:marBottom w:val="0"/>
      <w:divBdr>
        <w:top w:val="none" w:sz="0" w:space="0" w:color="auto"/>
        <w:left w:val="none" w:sz="0" w:space="0" w:color="auto"/>
        <w:bottom w:val="none" w:sz="0" w:space="0" w:color="auto"/>
        <w:right w:val="none" w:sz="0" w:space="0" w:color="auto"/>
      </w:divBdr>
    </w:div>
    <w:div w:id="1621761483">
      <w:bodyDiv w:val="1"/>
      <w:marLeft w:val="0"/>
      <w:marRight w:val="0"/>
      <w:marTop w:val="0"/>
      <w:marBottom w:val="0"/>
      <w:divBdr>
        <w:top w:val="none" w:sz="0" w:space="0" w:color="auto"/>
        <w:left w:val="none" w:sz="0" w:space="0" w:color="auto"/>
        <w:bottom w:val="none" w:sz="0" w:space="0" w:color="auto"/>
        <w:right w:val="none" w:sz="0" w:space="0" w:color="auto"/>
      </w:divBdr>
    </w:div>
    <w:div w:id="1621917097">
      <w:bodyDiv w:val="1"/>
      <w:marLeft w:val="0"/>
      <w:marRight w:val="0"/>
      <w:marTop w:val="0"/>
      <w:marBottom w:val="0"/>
      <w:divBdr>
        <w:top w:val="none" w:sz="0" w:space="0" w:color="auto"/>
        <w:left w:val="none" w:sz="0" w:space="0" w:color="auto"/>
        <w:bottom w:val="none" w:sz="0" w:space="0" w:color="auto"/>
        <w:right w:val="none" w:sz="0" w:space="0" w:color="auto"/>
      </w:divBdr>
    </w:div>
    <w:div w:id="1621953964">
      <w:bodyDiv w:val="1"/>
      <w:marLeft w:val="0"/>
      <w:marRight w:val="0"/>
      <w:marTop w:val="0"/>
      <w:marBottom w:val="0"/>
      <w:divBdr>
        <w:top w:val="none" w:sz="0" w:space="0" w:color="auto"/>
        <w:left w:val="none" w:sz="0" w:space="0" w:color="auto"/>
        <w:bottom w:val="none" w:sz="0" w:space="0" w:color="auto"/>
        <w:right w:val="none" w:sz="0" w:space="0" w:color="auto"/>
      </w:divBdr>
    </w:div>
    <w:div w:id="1621961311">
      <w:bodyDiv w:val="1"/>
      <w:marLeft w:val="0"/>
      <w:marRight w:val="0"/>
      <w:marTop w:val="0"/>
      <w:marBottom w:val="0"/>
      <w:divBdr>
        <w:top w:val="none" w:sz="0" w:space="0" w:color="auto"/>
        <w:left w:val="none" w:sz="0" w:space="0" w:color="auto"/>
        <w:bottom w:val="none" w:sz="0" w:space="0" w:color="auto"/>
        <w:right w:val="none" w:sz="0" w:space="0" w:color="auto"/>
      </w:divBdr>
    </w:div>
    <w:div w:id="1622031961">
      <w:bodyDiv w:val="1"/>
      <w:marLeft w:val="0"/>
      <w:marRight w:val="0"/>
      <w:marTop w:val="0"/>
      <w:marBottom w:val="0"/>
      <w:divBdr>
        <w:top w:val="none" w:sz="0" w:space="0" w:color="auto"/>
        <w:left w:val="none" w:sz="0" w:space="0" w:color="auto"/>
        <w:bottom w:val="none" w:sz="0" w:space="0" w:color="auto"/>
        <w:right w:val="none" w:sz="0" w:space="0" w:color="auto"/>
      </w:divBdr>
    </w:div>
    <w:div w:id="1622178619">
      <w:bodyDiv w:val="1"/>
      <w:marLeft w:val="0"/>
      <w:marRight w:val="0"/>
      <w:marTop w:val="0"/>
      <w:marBottom w:val="0"/>
      <w:divBdr>
        <w:top w:val="none" w:sz="0" w:space="0" w:color="auto"/>
        <w:left w:val="none" w:sz="0" w:space="0" w:color="auto"/>
        <w:bottom w:val="none" w:sz="0" w:space="0" w:color="auto"/>
        <w:right w:val="none" w:sz="0" w:space="0" w:color="auto"/>
      </w:divBdr>
    </w:div>
    <w:div w:id="1622225035">
      <w:bodyDiv w:val="1"/>
      <w:marLeft w:val="0"/>
      <w:marRight w:val="0"/>
      <w:marTop w:val="0"/>
      <w:marBottom w:val="0"/>
      <w:divBdr>
        <w:top w:val="none" w:sz="0" w:space="0" w:color="auto"/>
        <w:left w:val="none" w:sz="0" w:space="0" w:color="auto"/>
        <w:bottom w:val="none" w:sz="0" w:space="0" w:color="auto"/>
        <w:right w:val="none" w:sz="0" w:space="0" w:color="auto"/>
      </w:divBdr>
    </w:div>
    <w:div w:id="1622300584">
      <w:bodyDiv w:val="1"/>
      <w:marLeft w:val="0"/>
      <w:marRight w:val="0"/>
      <w:marTop w:val="0"/>
      <w:marBottom w:val="0"/>
      <w:divBdr>
        <w:top w:val="none" w:sz="0" w:space="0" w:color="auto"/>
        <w:left w:val="none" w:sz="0" w:space="0" w:color="auto"/>
        <w:bottom w:val="none" w:sz="0" w:space="0" w:color="auto"/>
        <w:right w:val="none" w:sz="0" w:space="0" w:color="auto"/>
      </w:divBdr>
    </w:div>
    <w:div w:id="1622373800">
      <w:bodyDiv w:val="1"/>
      <w:marLeft w:val="0"/>
      <w:marRight w:val="0"/>
      <w:marTop w:val="0"/>
      <w:marBottom w:val="0"/>
      <w:divBdr>
        <w:top w:val="none" w:sz="0" w:space="0" w:color="auto"/>
        <w:left w:val="none" w:sz="0" w:space="0" w:color="auto"/>
        <w:bottom w:val="none" w:sz="0" w:space="0" w:color="auto"/>
        <w:right w:val="none" w:sz="0" w:space="0" w:color="auto"/>
      </w:divBdr>
    </w:div>
    <w:div w:id="1622374915">
      <w:bodyDiv w:val="1"/>
      <w:marLeft w:val="0"/>
      <w:marRight w:val="0"/>
      <w:marTop w:val="0"/>
      <w:marBottom w:val="0"/>
      <w:divBdr>
        <w:top w:val="none" w:sz="0" w:space="0" w:color="auto"/>
        <w:left w:val="none" w:sz="0" w:space="0" w:color="auto"/>
        <w:bottom w:val="none" w:sz="0" w:space="0" w:color="auto"/>
        <w:right w:val="none" w:sz="0" w:space="0" w:color="auto"/>
      </w:divBdr>
    </w:div>
    <w:div w:id="1622494113">
      <w:bodyDiv w:val="1"/>
      <w:marLeft w:val="0"/>
      <w:marRight w:val="0"/>
      <w:marTop w:val="0"/>
      <w:marBottom w:val="0"/>
      <w:divBdr>
        <w:top w:val="none" w:sz="0" w:space="0" w:color="auto"/>
        <w:left w:val="none" w:sz="0" w:space="0" w:color="auto"/>
        <w:bottom w:val="none" w:sz="0" w:space="0" w:color="auto"/>
        <w:right w:val="none" w:sz="0" w:space="0" w:color="auto"/>
      </w:divBdr>
    </w:div>
    <w:div w:id="1622564954">
      <w:bodyDiv w:val="1"/>
      <w:marLeft w:val="0"/>
      <w:marRight w:val="0"/>
      <w:marTop w:val="0"/>
      <w:marBottom w:val="0"/>
      <w:divBdr>
        <w:top w:val="none" w:sz="0" w:space="0" w:color="auto"/>
        <w:left w:val="none" w:sz="0" w:space="0" w:color="auto"/>
        <w:bottom w:val="none" w:sz="0" w:space="0" w:color="auto"/>
        <w:right w:val="none" w:sz="0" w:space="0" w:color="auto"/>
      </w:divBdr>
    </w:div>
    <w:div w:id="1622607314">
      <w:bodyDiv w:val="1"/>
      <w:marLeft w:val="0"/>
      <w:marRight w:val="0"/>
      <w:marTop w:val="0"/>
      <w:marBottom w:val="0"/>
      <w:divBdr>
        <w:top w:val="none" w:sz="0" w:space="0" w:color="auto"/>
        <w:left w:val="none" w:sz="0" w:space="0" w:color="auto"/>
        <w:bottom w:val="none" w:sz="0" w:space="0" w:color="auto"/>
        <w:right w:val="none" w:sz="0" w:space="0" w:color="auto"/>
      </w:divBdr>
    </w:div>
    <w:div w:id="1622615861">
      <w:bodyDiv w:val="1"/>
      <w:marLeft w:val="0"/>
      <w:marRight w:val="0"/>
      <w:marTop w:val="0"/>
      <w:marBottom w:val="0"/>
      <w:divBdr>
        <w:top w:val="none" w:sz="0" w:space="0" w:color="auto"/>
        <w:left w:val="none" w:sz="0" w:space="0" w:color="auto"/>
        <w:bottom w:val="none" w:sz="0" w:space="0" w:color="auto"/>
        <w:right w:val="none" w:sz="0" w:space="0" w:color="auto"/>
      </w:divBdr>
    </w:div>
    <w:div w:id="1622758684">
      <w:bodyDiv w:val="1"/>
      <w:marLeft w:val="0"/>
      <w:marRight w:val="0"/>
      <w:marTop w:val="0"/>
      <w:marBottom w:val="0"/>
      <w:divBdr>
        <w:top w:val="none" w:sz="0" w:space="0" w:color="auto"/>
        <w:left w:val="none" w:sz="0" w:space="0" w:color="auto"/>
        <w:bottom w:val="none" w:sz="0" w:space="0" w:color="auto"/>
        <w:right w:val="none" w:sz="0" w:space="0" w:color="auto"/>
      </w:divBdr>
    </w:div>
    <w:div w:id="1622879038">
      <w:bodyDiv w:val="1"/>
      <w:marLeft w:val="0"/>
      <w:marRight w:val="0"/>
      <w:marTop w:val="0"/>
      <w:marBottom w:val="0"/>
      <w:divBdr>
        <w:top w:val="none" w:sz="0" w:space="0" w:color="auto"/>
        <w:left w:val="none" w:sz="0" w:space="0" w:color="auto"/>
        <w:bottom w:val="none" w:sz="0" w:space="0" w:color="auto"/>
        <w:right w:val="none" w:sz="0" w:space="0" w:color="auto"/>
      </w:divBdr>
    </w:div>
    <w:div w:id="1622884432">
      <w:bodyDiv w:val="1"/>
      <w:marLeft w:val="0"/>
      <w:marRight w:val="0"/>
      <w:marTop w:val="0"/>
      <w:marBottom w:val="0"/>
      <w:divBdr>
        <w:top w:val="none" w:sz="0" w:space="0" w:color="auto"/>
        <w:left w:val="none" w:sz="0" w:space="0" w:color="auto"/>
        <w:bottom w:val="none" w:sz="0" w:space="0" w:color="auto"/>
        <w:right w:val="none" w:sz="0" w:space="0" w:color="auto"/>
      </w:divBdr>
    </w:div>
    <w:div w:id="1622952398">
      <w:bodyDiv w:val="1"/>
      <w:marLeft w:val="0"/>
      <w:marRight w:val="0"/>
      <w:marTop w:val="0"/>
      <w:marBottom w:val="0"/>
      <w:divBdr>
        <w:top w:val="none" w:sz="0" w:space="0" w:color="auto"/>
        <w:left w:val="none" w:sz="0" w:space="0" w:color="auto"/>
        <w:bottom w:val="none" w:sz="0" w:space="0" w:color="auto"/>
        <w:right w:val="none" w:sz="0" w:space="0" w:color="auto"/>
      </w:divBdr>
    </w:div>
    <w:div w:id="1622999831">
      <w:bodyDiv w:val="1"/>
      <w:marLeft w:val="0"/>
      <w:marRight w:val="0"/>
      <w:marTop w:val="0"/>
      <w:marBottom w:val="0"/>
      <w:divBdr>
        <w:top w:val="none" w:sz="0" w:space="0" w:color="auto"/>
        <w:left w:val="none" w:sz="0" w:space="0" w:color="auto"/>
        <w:bottom w:val="none" w:sz="0" w:space="0" w:color="auto"/>
        <w:right w:val="none" w:sz="0" w:space="0" w:color="auto"/>
      </w:divBdr>
    </w:div>
    <w:div w:id="1623026992">
      <w:bodyDiv w:val="1"/>
      <w:marLeft w:val="0"/>
      <w:marRight w:val="0"/>
      <w:marTop w:val="0"/>
      <w:marBottom w:val="0"/>
      <w:divBdr>
        <w:top w:val="none" w:sz="0" w:space="0" w:color="auto"/>
        <w:left w:val="none" w:sz="0" w:space="0" w:color="auto"/>
        <w:bottom w:val="none" w:sz="0" w:space="0" w:color="auto"/>
        <w:right w:val="none" w:sz="0" w:space="0" w:color="auto"/>
      </w:divBdr>
    </w:div>
    <w:div w:id="1623073869">
      <w:bodyDiv w:val="1"/>
      <w:marLeft w:val="0"/>
      <w:marRight w:val="0"/>
      <w:marTop w:val="0"/>
      <w:marBottom w:val="0"/>
      <w:divBdr>
        <w:top w:val="none" w:sz="0" w:space="0" w:color="auto"/>
        <w:left w:val="none" w:sz="0" w:space="0" w:color="auto"/>
        <w:bottom w:val="none" w:sz="0" w:space="0" w:color="auto"/>
        <w:right w:val="none" w:sz="0" w:space="0" w:color="auto"/>
      </w:divBdr>
    </w:div>
    <w:div w:id="1623149545">
      <w:bodyDiv w:val="1"/>
      <w:marLeft w:val="0"/>
      <w:marRight w:val="0"/>
      <w:marTop w:val="0"/>
      <w:marBottom w:val="0"/>
      <w:divBdr>
        <w:top w:val="none" w:sz="0" w:space="0" w:color="auto"/>
        <w:left w:val="none" w:sz="0" w:space="0" w:color="auto"/>
        <w:bottom w:val="none" w:sz="0" w:space="0" w:color="auto"/>
        <w:right w:val="none" w:sz="0" w:space="0" w:color="auto"/>
      </w:divBdr>
    </w:div>
    <w:div w:id="1623196660">
      <w:bodyDiv w:val="1"/>
      <w:marLeft w:val="0"/>
      <w:marRight w:val="0"/>
      <w:marTop w:val="0"/>
      <w:marBottom w:val="0"/>
      <w:divBdr>
        <w:top w:val="none" w:sz="0" w:space="0" w:color="auto"/>
        <w:left w:val="none" w:sz="0" w:space="0" w:color="auto"/>
        <w:bottom w:val="none" w:sz="0" w:space="0" w:color="auto"/>
        <w:right w:val="none" w:sz="0" w:space="0" w:color="auto"/>
      </w:divBdr>
    </w:div>
    <w:div w:id="1623613848">
      <w:bodyDiv w:val="1"/>
      <w:marLeft w:val="0"/>
      <w:marRight w:val="0"/>
      <w:marTop w:val="0"/>
      <w:marBottom w:val="0"/>
      <w:divBdr>
        <w:top w:val="none" w:sz="0" w:space="0" w:color="auto"/>
        <w:left w:val="none" w:sz="0" w:space="0" w:color="auto"/>
        <w:bottom w:val="none" w:sz="0" w:space="0" w:color="auto"/>
        <w:right w:val="none" w:sz="0" w:space="0" w:color="auto"/>
      </w:divBdr>
    </w:div>
    <w:div w:id="1623655681">
      <w:bodyDiv w:val="1"/>
      <w:marLeft w:val="0"/>
      <w:marRight w:val="0"/>
      <w:marTop w:val="0"/>
      <w:marBottom w:val="0"/>
      <w:divBdr>
        <w:top w:val="none" w:sz="0" w:space="0" w:color="auto"/>
        <w:left w:val="none" w:sz="0" w:space="0" w:color="auto"/>
        <w:bottom w:val="none" w:sz="0" w:space="0" w:color="auto"/>
        <w:right w:val="none" w:sz="0" w:space="0" w:color="auto"/>
      </w:divBdr>
    </w:div>
    <w:div w:id="1623681991">
      <w:bodyDiv w:val="1"/>
      <w:marLeft w:val="0"/>
      <w:marRight w:val="0"/>
      <w:marTop w:val="0"/>
      <w:marBottom w:val="0"/>
      <w:divBdr>
        <w:top w:val="none" w:sz="0" w:space="0" w:color="auto"/>
        <w:left w:val="none" w:sz="0" w:space="0" w:color="auto"/>
        <w:bottom w:val="none" w:sz="0" w:space="0" w:color="auto"/>
        <w:right w:val="none" w:sz="0" w:space="0" w:color="auto"/>
      </w:divBdr>
    </w:div>
    <w:div w:id="1623876378">
      <w:bodyDiv w:val="1"/>
      <w:marLeft w:val="0"/>
      <w:marRight w:val="0"/>
      <w:marTop w:val="0"/>
      <w:marBottom w:val="0"/>
      <w:divBdr>
        <w:top w:val="none" w:sz="0" w:space="0" w:color="auto"/>
        <w:left w:val="none" w:sz="0" w:space="0" w:color="auto"/>
        <w:bottom w:val="none" w:sz="0" w:space="0" w:color="auto"/>
        <w:right w:val="none" w:sz="0" w:space="0" w:color="auto"/>
      </w:divBdr>
    </w:div>
    <w:div w:id="1623876735">
      <w:bodyDiv w:val="1"/>
      <w:marLeft w:val="0"/>
      <w:marRight w:val="0"/>
      <w:marTop w:val="0"/>
      <w:marBottom w:val="0"/>
      <w:divBdr>
        <w:top w:val="none" w:sz="0" w:space="0" w:color="auto"/>
        <w:left w:val="none" w:sz="0" w:space="0" w:color="auto"/>
        <w:bottom w:val="none" w:sz="0" w:space="0" w:color="auto"/>
        <w:right w:val="none" w:sz="0" w:space="0" w:color="auto"/>
      </w:divBdr>
    </w:div>
    <w:div w:id="1623881324">
      <w:bodyDiv w:val="1"/>
      <w:marLeft w:val="0"/>
      <w:marRight w:val="0"/>
      <w:marTop w:val="0"/>
      <w:marBottom w:val="0"/>
      <w:divBdr>
        <w:top w:val="none" w:sz="0" w:space="0" w:color="auto"/>
        <w:left w:val="none" w:sz="0" w:space="0" w:color="auto"/>
        <w:bottom w:val="none" w:sz="0" w:space="0" w:color="auto"/>
        <w:right w:val="none" w:sz="0" w:space="0" w:color="auto"/>
      </w:divBdr>
    </w:div>
    <w:div w:id="1623883352">
      <w:bodyDiv w:val="1"/>
      <w:marLeft w:val="0"/>
      <w:marRight w:val="0"/>
      <w:marTop w:val="0"/>
      <w:marBottom w:val="0"/>
      <w:divBdr>
        <w:top w:val="none" w:sz="0" w:space="0" w:color="auto"/>
        <w:left w:val="none" w:sz="0" w:space="0" w:color="auto"/>
        <w:bottom w:val="none" w:sz="0" w:space="0" w:color="auto"/>
        <w:right w:val="none" w:sz="0" w:space="0" w:color="auto"/>
      </w:divBdr>
    </w:div>
    <w:div w:id="1623923461">
      <w:bodyDiv w:val="1"/>
      <w:marLeft w:val="0"/>
      <w:marRight w:val="0"/>
      <w:marTop w:val="0"/>
      <w:marBottom w:val="0"/>
      <w:divBdr>
        <w:top w:val="none" w:sz="0" w:space="0" w:color="auto"/>
        <w:left w:val="none" w:sz="0" w:space="0" w:color="auto"/>
        <w:bottom w:val="none" w:sz="0" w:space="0" w:color="auto"/>
        <w:right w:val="none" w:sz="0" w:space="0" w:color="auto"/>
      </w:divBdr>
    </w:div>
    <w:div w:id="1623998066">
      <w:bodyDiv w:val="1"/>
      <w:marLeft w:val="0"/>
      <w:marRight w:val="0"/>
      <w:marTop w:val="0"/>
      <w:marBottom w:val="0"/>
      <w:divBdr>
        <w:top w:val="none" w:sz="0" w:space="0" w:color="auto"/>
        <w:left w:val="none" w:sz="0" w:space="0" w:color="auto"/>
        <w:bottom w:val="none" w:sz="0" w:space="0" w:color="auto"/>
        <w:right w:val="none" w:sz="0" w:space="0" w:color="auto"/>
      </w:divBdr>
    </w:div>
    <w:div w:id="1623999097">
      <w:bodyDiv w:val="1"/>
      <w:marLeft w:val="0"/>
      <w:marRight w:val="0"/>
      <w:marTop w:val="0"/>
      <w:marBottom w:val="0"/>
      <w:divBdr>
        <w:top w:val="none" w:sz="0" w:space="0" w:color="auto"/>
        <w:left w:val="none" w:sz="0" w:space="0" w:color="auto"/>
        <w:bottom w:val="none" w:sz="0" w:space="0" w:color="auto"/>
        <w:right w:val="none" w:sz="0" w:space="0" w:color="auto"/>
      </w:divBdr>
    </w:div>
    <w:div w:id="1624074028">
      <w:bodyDiv w:val="1"/>
      <w:marLeft w:val="0"/>
      <w:marRight w:val="0"/>
      <w:marTop w:val="0"/>
      <w:marBottom w:val="0"/>
      <w:divBdr>
        <w:top w:val="none" w:sz="0" w:space="0" w:color="auto"/>
        <w:left w:val="none" w:sz="0" w:space="0" w:color="auto"/>
        <w:bottom w:val="none" w:sz="0" w:space="0" w:color="auto"/>
        <w:right w:val="none" w:sz="0" w:space="0" w:color="auto"/>
      </w:divBdr>
    </w:div>
    <w:div w:id="1624074370">
      <w:bodyDiv w:val="1"/>
      <w:marLeft w:val="0"/>
      <w:marRight w:val="0"/>
      <w:marTop w:val="0"/>
      <w:marBottom w:val="0"/>
      <w:divBdr>
        <w:top w:val="none" w:sz="0" w:space="0" w:color="auto"/>
        <w:left w:val="none" w:sz="0" w:space="0" w:color="auto"/>
        <w:bottom w:val="none" w:sz="0" w:space="0" w:color="auto"/>
        <w:right w:val="none" w:sz="0" w:space="0" w:color="auto"/>
      </w:divBdr>
    </w:div>
    <w:div w:id="1624187583">
      <w:bodyDiv w:val="1"/>
      <w:marLeft w:val="0"/>
      <w:marRight w:val="0"/>
      <w:marTop w:val="0"/>
      <w:marBottom w:val="0"/>
      <w:divBdr>
        <w:top w:val="none" w:sz="0" w:space="0" w:color="auto"/>
        <w:left w:val="none" w:sz="0" w:space="0" w:color="auto"/>
        <w:bottom w:val="none" w:sz="0" w:space="0" w:color="auto"/>
        <w:right w:val="none" w:sz="0" w:space="0" w:color="auto"/>
      </w:divBdr>
    </w:div>
    <w:div w:id="1624191415">
      <w:bodyDiv w:val="1"/>
      <w:marLeft w:val="0"/>
      <w:marRight w:val="0"/>
      <w:marTop w:val="0"/>
      <w:marBottom w:val="0"/>
      <w:divBdr>
        <w:top w:val="none" w:sz="0" w:space="0" w:color="auto"/>
        <w:left w:val="none" w:sz="0" w:space="0" w:color="auto"/>
        <w:bottom w:val="none" w:sz="0" w:space="0" w:color="auto"/>
        <w:right w:val="none" w:sz="0" w:space="0" w:color="auto"/>
      </w:divBdr>
    </w:div>
    <w:div w:id="1624194610">
      <w:bodyDiv w:val="1"/>
      <w:marLeft w:val="0"/>
      <w:marRight w:val="0"/>
      <w:marTop w:val="0"/>
      <w:marBottom w:val="0"/>
      <w:divBdr>
        <w:top w:val="none" w:sz="0" w:space="0" w:color="auto"/>
        <w:left w:val="none" w:sz="0" w:space="0" w:color="auto"/>
        <w:bottom w:val="none" w:sz="0" w:space="0" w:color="auto"/>
        <w:right w:val="none" w:sz="0" w:space="0" w:color="auto"/>
      </w:divBdr>
    </w:div>
    <w:div w:id="1624269144">
      <w:bodyDiv w:val="1"/>
      <w:marLeft w:val="0"/>
      <w:marRight w:val="0"/>
      <w:marTop w:val="0"/>
      <w:marBottom w:val="0"/>
      <w:divBdr>
        <w:top w:val="none" w:sz="0" w:space="0" w:color="auto"/>
        <w:left w:val="none" w:sz="0" w:space="0" w:color="auto"/>
        <w:bottom w:val="none" w:sz="0" w:space="0" w:color="auto"/>
        <w:right w:val="none" w:sz="0" w:space="0" w:color="auto"/>
      </w:divBdr>
    </w:div>
    <w:div w:id="1624383213">
      <w:bodyDiv w:val="1"/>
      <w:marLeft w:val="0"/>
      <w:marRight w:val="0"/>
      <w:marTop w:val="0"/>
      <w:marBottom w:val="0"/>
      <w:divBdr>
        <w:top w:val="none" w:sz="0" w:space="0" w:color="auto"/>
        <w:left w:val="none" w:sz="0" w:space="0" w:color="auto"/>
        <w:bottom w:val="none" w:sz="0" w:space="0" w:color="auto"/>
        <w:right w:val="none" w:sz="0" w:space="0" w:color="auto"/>
      </w:divBdr>
    </w:div>
    <w:div w:id="1624533921">
      <w:bodyDiv w:val="1"/>
      <w:marLeft w:val="0"/>
      <w:marRight w:val="0"/>
      <w:marTop w:val="0"/>
      <w:marBottom w:val="0"/>
      <w:divBdr>
        <w:top w:val="none" w:sz="0" w:space="0" w:color="auto"/>
        <w:left w:val="none" w:sz="0" w:space="0" w:color="auto"/>
        <w:bottom w:val="none" w:sz="0" w:space="0" w:color="auto"/>
        <w:right w:val="none" w:sz="0" w:space="0" w:color="auto"/>
      </w:divBdr>
    </w:div>
    <w:div w:id="1624537156">
      <w:bodyDiv w:val="1"/>
      <w:marLeft w:val="0"/>
      <w:marRight w:val="0"/>
      <w:marTop w:val="0"/>
      <w:marBottom w:val="0"/>
      <w:divBdr>
        <w:top w:val="none" w:sz="0" w:space="0" w:color="auto"/>
        <w:left w:val="none" w:sz="0" w:space="0" w:color="auto"/>
        <w:bottom w:val="none" w:sz="0" w:space="0" w:color="auto"/>
        <w:right w:val="none" w:sz="0" w:space="0" w:color="auto"/>
      </w:divBdr>
    </w:div>
    <w:div w:id="1624538176">
      <w:bodyDiv w:val="1"/>
      <w:marLeft w:val="0"/>
      <w:marRight w:val="0"/>
      <w:marTop w:val="0"/>
      <w:marBottom w:val="0"/>
      <w:divBdr>
        <w:top w:val="none" w:sz="0" w:space="0" w:color="auto"/>
        <w:left w:val="none" w:sz="0" w:space="0" w:color="auto"/>
        <w:bottom w:val="none" w:sz="0" w:space="0" w:color="auto"/>
        <w:right w:val="none" w:sz="0" w:space="0" w:color="auto"/>
      </w:divBdr>
    </w:div>
    <w:div w:id="1624650642">
      <w:bodyDiv w:val="1"/>
      <w:marLeft w:val="0"/>
      <w:marRight w:val="0"/>
      <w:marTop w:val="0"/>
      <w:marBottom w:val="0"/>
      <w:divBdr>
        <w:top w:val="none" w:sz="0" w:space="0" w:color="auto"/>
        <w:left w:val="none" w:sz="0" w:space="0" w:color="auto"/>
        <w:bottom w:val="none" w:sz="0" w:space="0" w:color="auto"/>
        <w:right w:val="none" w:sz="0" w:space="0" w:color="auto"/>
      </w:divBdr>
    </w:div>
    <w:div w:id="1624652100">
      <w:bodyDiv w:val="1"/>
      <w:marLeft w:val="0"/>
      <w:marRight w:val="0"/>
      <w:marTop w:val="0"/>
      <w:marBottom w:val="0"/>
      <w:divBdr>
        <w:top w:val="none" w:sz="0" w:space="0" w:color="auto"/>
        <w:left w:val="none" w:sz="0" w:space="0" w:color="auto"/>
        <w:bottom w:val="none" w:sz="0" w:space="0" w:color="auto"/>
        <w:right w:val="none" w:sz="0" w:space="0" w:color="auto"/>
      </w:divBdr>
    </w:div>
    <w:div w:id="1624729631">
      <w:bodyDiv w:val="1"/>
      <w:marLeft w:val="0"/>
      <w:marRight w:val="0"/>
      <w:marTop w:val="0"/>
      <w:marBottom w:val="0"/>
      <w:divBdr>
        <w:top w:val="none" w:sz="0" w:space="0" w:color="auto"/>
        <w:left w:val="none" w:sz="0" w:space="0" w:color="auto"/>
        <w:bottom w:val="none" w:sz="0" w:space="0" w:color="auto"/>
        <w:right w:val="none" w:sz="0" w:space="0" w:color="auto"/>
      </w:divBdr>
    </w:div>
    <w:div w:id="1624773762">
      <w:bodyDiv w:val="1"/>
      <w:marLeft w:val="0"/>
      <w:marRight w:val="0"/>
      <w:marTop w:val="0"/>
      <w:marBottom w:val="0"/>
      <w:divBdr>
        <w:top w:val="none" w:sz="0" w:space="0" w:color="auto"/>
        <w:left w:val="none" w:sz="0" w:space="0" w:color="auto"/>
        <w:bottom w:val="none" w:sz="0" w:space="0" w:color="auto"/>
        <w:right w:val="none" w:sz="0" w:space="0" w:color="auto"/>
      </w:divBdr>
    </w:div>
    <w:div w:id="1624847504">
      <w:bodyDiv w:val="1"/>
      <w:marLeft w:val="0"/>
      <w:marRight w:val="0"/>
      <w:marTop w:val="0"/>
      <w:marBottom w:val="0"/>
      <w:divBdr>
        <w:top w:val="none" w:sz="0" w:space="0" w:color="auto"/>
        <w:left w:val="none" w:sz="0" w:space="0" w:color="auto"/>
        <w:bottom w:val="none" w:sz="0" w:space="0" w:color="auto"/>
        <w:right w:val="none" w:sz="0" w:space="0" w:color="auto"/>
      </w:divBdr>
    </w:div>
    <w:div w:id="1624966231">
      <w:bodyDiv w:val="1"/>
      <w:marLeft w:val="0"/>
      <w:marRight w:val="0"/>
      <w:marTop w:val="0"/>
      <w:marBottom w:val="0"/>
      <w:divBdr>
        <w:top w:val="none" w:sz="0" w:space="0" w:color="auto"/>
        <w:left w:val="none" w:sz="0" w:space="0" w:color="auto"/>
        <w:bottom w:val="none" w:sz="0" w:space="0" w:color="auto"/>
        <w:right w:val="none" w:sz="0" w:space="0" w:color="auto"/>
      </w:divBdr>
    </w:div>
    <w:div w:id="1625038836">
      <w:bodyDiv w:val="1"/>
      <w:marLeft w:val="0"/>
      <w:marRight w:val="0"/>
      <w:marTop w:val="0"/>
      <w:marBottom w:val="0"/>
      <w:divBdr>
        <w:top w:val="none" w:sz="0" w:space="0" w:color="auto"/>
        <w:left w:val="none" w:sz="0" w:space="0" w:color="auto"/>
        <w:bottom w:val="none" w:sz="0" w:space="0" w:color="auto"/>
        <w:right w:val="none" w:sz="0" w:space="0" w:color="auto"/>
      </w:divBdr>
    </w:div>
    <w:div w:id="1625192846">
      <w:bodyDiv w:val="1"/>
      <w:marLeft w:val="0"/>
      <w:marRight w:val="0"/>
      <w:marTop w:val="0"/>
      <w:marBottom w:val="0"/>
      <w:divBdr>
        <w:top w:val="none" w:sz="0" w:space="0" w:color="auto"/>
        <w:left w:val="none" w:sz="0" w:space="0" w:color="auto"/>
        <w:bottom w:val="none" w:sz="0" w:space="0" w:color="auto"/>
        <w:right w:val="none" w:sz="0" w:space="0" w:color="auto"/>
      </w:divBdr>
    </w:div>
    <w:div w:id="1625311355">
      <w:bodyDiv w:val="1"/>
      <w:marLeft w:val="0"/>
      <w:marRight w:val="0"/>
      <w:marTop w:val="0"/>
      <w:marBottom w:val="0"/>
      <w:divBdr>
        <w:top w:val="none" w:sz="0" w:space="0" w:color="auto"/>
        <w:left w:val="none" w:sz="0" w:space="0" w:color="auto"/>
        <w:bottom w:val="none" w:sz="0" w:space="0" w:color="auto"/>
        <w:right w:val="none" w:sz="0" w:space="0" w:color="auto"/>
      </w:divBdr>
    </w:div>
    <w:div w:id="1625311646">
      <w:bodyDiv w:val="1"/>
      <w:marLeft w:val="0"/>
      <w:marRight w:val="0"/>
      <w:marTop w:val="0"/>
      <w:marBottom w:val="0"/>
      <w:divBdr>
        <w:top w:val="none" w:sz="0" w:space="0" w:color="auto"/>
        <w:left w:val="none" w:sz="0" w:space="0" w:color="auto"/>
        <w:bottom w:val="none" w:sz="0" w:space="0" w:color="auto"/>
        <w:right w:val="none" w:sz="0" w:space="0" w:color="auto"/>
      </w:divBdr>
    </w:div>
    <w:div w:id="1625312911">
      <w:bodyDiv w:val="1"/>
      <w:marLeft w:val="0"/>
      <w:marRight w:val="0"/>
      <w:marTop w:val="0"/>
      <w:marBottom w:val="0"/>
      <w:divBdr>
        <w:top w:val="none" w:sz="0" w:space="0" w:color="auto"/>
        <w:left w:val="none" w:sz="0" w:space="0" w:color="auto"/>
        <w:bottom w:val="none" w:sz="0" w:space="0" w:color="auto"/>
        <w:right w:val="none" w:sz="0" w:space="0" w:color="auto"/>
      </w:divBdr>
    </w:div>
    <w:div w:id="1625379118">
      <w:bodyDiv w:val="1"/>
      <w:marLeft w:val="0"/>
      <w:marRight w:val="0"/>
      <w:marTop w:val="0"/>
      <w:marBottom w:val="0"/>
      <w:divBdr>
        <w:top w:val="none" w:sz="0" w:space="0" w:color="auto"/>
        <w:left w:val="none" w:sz="0" w:space="0" w:color="auto"/>
        <w:bottom w:val="none" w:sz="0" w:space="0" w:color="auto"/>
        <w:right w:val="none" w:sz="0" w:space="0" w:color="auto"/>
      </w:divBdr>
    </w:div>
    <w:div w:id="1625504643">
      <w:bodyDiv w:val="1"/>
      <w:marLeft w:val="0"/>
      <w:marRight w:val="0"/>
      <w:marTop w:val="0"/>
      <w:marBottom w:val="0"/>
      <w:divBdr>
        <w:top w:val="none" w:sz="0" w:space="0" w:color="auto"/>
        <w:left w:val="none" w:sz="0" w:space="0" w:color="auto"/>
        <w:bottom w:val="none" w:sz="0" w:space="0" w:color="auto"/>
        <w:right w:val="none" w:sz="0" w:space="0" w:color="auto"/>
      </w:divBdr>
    </w:div>
    <w:div w:id="1625506222">
      <w:bodyDiv w:val="1"/>
      <w:marLeft w:val="0"/>
      <w:marRight w:val="0"/>
      <w:marTop w:val="0"/>
      <w:marBottom w:val="0"/>
      <w:divBdr>
        <w:top w:val="none" w:sz="0" w:space="0" w:color="auto"/>
        <w:left w:val="none" w:sz="0" w:space="0" w:color="auto"/>
        <w:bottom w:val="none" w:sz="0" w:space="0" w:color="auto"/>
        <w:right w:val="none" w:sz="0" w:space="0" w:color="auto"/>
      </w:divBdr>
    </w:div>
    <w:div w:id="1625575447">
      <w:bodyDiv w:val="1"/>
      <w:marLeft w:val="0"/>
      <w:marRight w:val="0"/>
      <w:marTop w:val="0"/>
      <w:marBottom w:val="0"/>
      <w:divBdr>
        <w:top w:val="none" w:sz="0" w:space="0" w:color="auto"/>
        <w:left w:val="none" w:sz="0" w:space="0" w:color="auto"/>
        <w:bottom w:val="none" w:sz="0" w:space="0" w:color="auto"/>
        <w:right w:val="none" w:sz="0" w:space="0" w:color="auto"/>
      </w:divBdr>
    </w:div>
    <w:div w:id="1625576120">
      <w:bodyDiv w:val="1"/>
      <w:marLeft w:val="0"/>
      <w:marRight w:val="0"/>
      <w:marTop w:val="0"/>
      <w:marBottom w:val="0"/>
      <w:divBdr>
        <w:top w:val="none" w:sz="0" w:space="0" w:color="auto"/>
        <w:left w:val="none" w:sz="0" w:space="0" w:color="auto"/>
        <w:bottom w:val="none" w:sz="0" w:space="0" w:color="auto"/>
        <w:right w:val="none" w:sz="0" w:space="0" w:color="auto"/>
      </w:divBdr>
    </w:div>
    <w:div w:id="1625622481">
      <w:bodyDiv w:val="1"/>
      <w:marLeft w:val="0"/>
      <w:marRight w:val="0"/>
      <w:marTop w:val="0"/>
      <w:marBottom w:val="0"/>
      <w:divBdr>
        <w:top w:val="none" w:sz="0" w:space="0" w:color="auto"/>
        <w:left w:val="none" w:sz="0" w:space="0" w:color="auto"/>
        <w:bottom w:val="none" w:sz="0" w:space="0" w:color="auto"/>
        <w:right w:val="none" w:sz="0" w:space="0" w:color="auto"/>
      </w:divBdr>
    </w:div>
    <w:div w:id="1625774110">
      <w:bodyDiv w:val="1"/>
      <w:marLeft w:val="0"/>
      <w:marRight w:val="0"/>
      <w:marTop w:val="0"/>
      <w:marBottom w:val="0"/>
      <w:divBdr>
        <w:top w:val="none" w:sz="0" w:space="0" w:color="auto"/>
        <w:left w:val="none" w:sz="0" w:space="0" w:color="auto"/>
        <w:bottom w:val="none" w:sz="0" w:space="0" w:color="auto"/>
        <w:right w:val="none" w:sz="0" w:space="0" w:color="auto"/>
      </w:divBdr>
    </w:div>
    <w:div w:id="1625884912">
      <w:bodyDiv w:val="1"/>
      <w:marLeft w:val="0"/>
      <w:marRight w:val="0"/>
      <w:marTop w:val="0"/>
      <w:marBottom w:val="0"/>
      <w:divBdr>
        <w:top w:val="none" w:sz="0" w:space="0" w:color="auto"/>
        <w:left w:val="none" w:sz="0" w:space="0" w:color="auto"/>
        <w:bottom w:val="none" w:sz="0" w:space="0" w:color="auto"/>
        <w:right w:val="none" w:sz="0" w:space="0" w:color="auto"/>
      </w:divBdr>
    </w:div>
    <w:div w:id="1625886434">
      <w:bodyDiv w:val="1"/>
      <w:marLeft w:val="0"/>
      <w:marRight w:val="0"/>
      <w:marTop w:val="0"/>
      <w:marBottom w:val="0"/>
      <w:divBdr>
        <w:top w:val="none" w:sz="0" w:space="0" w:color="auto"/>
        <w:left w:val="none" w:sz="0" w:space="0" w:color="auto"/>
        <w:bottom w:val="none" w:sz="0" w:space="0" w:color="auto"/>
        <w:right w:val="none" w:sz="0" w:space="0" w:color="auto"/>
      </w:divBdr>
    </w:div>
    <w:div w:id="1625886573">
      <w:bodyDiv w:val="1"/>
      <w:marLeft w:val="0"/>
      <w:marRight w:val="0"/>
      <w:marTop w:val="0"/>
      <w:marBottom w:val="0"/>
      <w:divBdr>
        <w:top w:val="none" w:sz="0" w:space="0" w:color="auto"/>
        <w:left w:val="none" w:sz="0" w:space="0" w:color="auto"/>
        <w:bottom w:val="none" w:sz="0" w:space="0" w:color="auto"/>
        <w:right w:val="none" w:sz="0" w:space="0" w:color="auto"/>
      </w:divBdr>
    </w:div>
    <w:div w:id="1626080466">
      <w:bodyDiv w:val="1"/>
      <w:marLeft w:val="0"/>
      <w:marRight w:val="0"/>
      <w:marTop w:val="0"/>
      <w:marBottom w:val="0"/>
      <w:divBdr>
        <w:top w:val="none" w:sz="0" w:space="0" w:color="auto"/>
        <w:left w:val="none" w:sz="0" w:space="0" w:color="auto"/>
        <w:bottom w:val="none" w:sz="0" w:space="0" w:color="auto"/>
        <w:right w:val="none" w:sz="0" w:space="0" w:color="auto"/>
      </w:divBdr>
    </w:div>
    <w:div w:id="1626158561">
      <w:bodyDiv w:val="1"/>
      <w:marLeft w:val="0"/>
      <w:marRight w:val="0"/>
      <w:marTop w:val="0"/>
      <w:marBottom w:val="0"/>
      <w:divBdr>
        <w:top w:val="none" w:sz="0" w:space="0" w:color="auto"/>
        <w:left w:val="none" w:sz="0" w:space="0" w:color="auto"/>
        <w:bottom w:val="none" w:sz="0" w:space="0" w:color="auto"/>
        <w:right w:val="none" w:sz="0" w:space="0" w:color="auto"/>
      </w:divBdr>
    </w:div>
    <w:div w:id="1626159958">
      <w:bodyDiv w:val="1"/>
      <w:marLeft w:val="0"/>
      <w:marRight w:val="0"/>
      <w:marTop w:val="0"/>
      <w:marBottom w:val="0"/>
      <w:divBdr>
        <w:top w:val="none" w:sz="0" w:space="0" w:color="auto"/>
        <w:left w:val="none" w:sz="0" w:space="0" w:color="auto"/>
        <w:bottom w:val="none" w:sz="0" w:space="0" w:color="auto"/>
        <w:right w:val="none" w:sz="0" w:space="0" w:color="auto"/>
      </w:divBdr>
    </w:div>
    <w:div w:id="1626161194">
      <w:bodyDiv w:val="1"/>
      <w:marLeft w:val="0"/>
      <w:marRight w:val="0"/>
      <w:marTop w:val="0"/>
      <w:marBottom w:val="0"/>
      <w:divBdr>
        <w:top w:val="none" w:sz="0" w:space="0" w:color="auto"/>
        <w:left w:val="none" w:sz="0" w:space="0" w:color="auto"/>
        <w:bottom w:val="none" w:sz="0" w:space="0" w:color="auto"/>
        <w:right w:val="none" w:sz="0" w:space="0" w:color="auto"/>
      </w:divBdr>
    </w:div>
    <w:div w:id="1626230466">
      <w:bodyDiv w:val="1"/>
      <w:marLeft w:val="0"/>
      <w:marRight w:val="0"/>
      <w:marTop w:val="0"/>
      <w:marBottom w:val="0"/>
      <w:divBdr>
        <w:top w:val="none" w:sz="0" w:space="0" w:color="auto"/>
        <w:left w:val="none" w:sz="0" w:space="0" w:color="auto"/>
        <w:bottom w:val="none" w:sz="0" w:space="0" w:color="auto"/>
        <w:right w:val="none" w:sz="0" w:space="0" w:color="auto"/>
      </w:divBdr>
    </w:div>
    <w:div w:id="1626352562">
      <w:bodyDiv w:val="1"/>
      <w:marLeft w:val="0"/>
      <w:marRight w:val="0"/>
      <w:marTop w:val="0"/>
      <w:marBottom w:val="0"/>
      <w:divBdr>
        <w:top w:val="none" w:sz="0" w:space="0" w:color="auto"/>
        <w:left w:val="none" w:sz="0" w:space="0" w:color="auto"/>
        <w:bottom w:val="none" w:sz="0" w:space="0" w:color="auto"/>
        <w:right w:val="none" w:sz="0" w:space="0" w:color="auto"/>
      </w:divBdr>
    </w:div>
    <w:div w:id="1626496825">
      <w:bodyDiv w:val="1"/>
      <w:marLeft w:val="0"/>
      <w:marRight w:val="0"/>
      <w:marTop w:val="0"/>
      <w:marBottom w:val="0"/>
      <w:divBdr>
        <w:top w:val="none" w:sz="0" w:space="0" w:color="auto"/>
        <w:left w:val="none" w:sz="0" w:space="0" w:color="auto"/>
        <w:bottom w:val="none" w:sz="0" w:space="0" w:color="auto"/>
        <w:right w:val="none" w:sz="0" w:space="0" w:color="auto"/>
      </w:divBdr>
    </w:div>
    <w:div w:id="1626499070">
      <w:bodyDiv w:val="1"/>
      <w:marLeft w:val="0"/>
      <w:marRight w:val="0"/>
      <w:marTop w:val="0"/>
      <w:marBottom w:val="0"/>
      <w:divBdr>
        <w:top w:val="none" w:sz="0" w:space="0" w:color="auto"/>
        <w:left w:val="none" w:sz="0" w:space="0" w:color="auto"/>
        <w:bottom w:val="none" w:sz="0" w:space="0" w:color="auto"/>
        <w:right w:val="none" w:sz="0" w:space="0" w:color="auto"/>
      </w:divBdr>
    </w:div>
    <w:div w:id="1626501242">
      <w:bodyDiv w:val="1"/>
      <w:marLeft w:val="0"/>
      <w:marRight w:val="0"/>
      <w:marTop w:val="0"/>
      <w:marBottom w:val="0"/>
      <w:divBdr>
        <w:top w:val="none" w:sz="0" w:space="0" w:color="auto"/>
        <w:left w:val="none" w:sz="0" w:space="0" w:color="auto"/>
        <w:bottom w:val="none" w:sz="0" w:space="0" w:color="auto"/>
        <w:right w:val="none" w:sz="0" w:space="0" w:color="auto"/>
      </w:divBdr>
    </w:div>
    <w:div w:id="1626501491">
      <w:bodyDiv w:val="1"/>
      <w:marLeft w:val="0"/>
      <w:marRight w:val="0"/>
      <w:marTop w:val="0"/>
      <w:marBottom w:val="0"/>
      <w:divBdr>
        <w:top w:val="none" w:sz="0" w:space="0" w:color="auto"/>
        <w:left w:val="none" w:sz="0" w:space="0" w:color="auto"/>
        <w:bottom w:val="none" w:sz="0" w:space="0" w:color="auto"/>
        <w:right w:val="none" w:sz="0" w:space="0" w:color="auto"/>
      </w:divBdr>
    </w:div>
    <w:div w:id="1626503159">
      <w:bodyDiv w:val="1"/>
      <w:marLeft w:val="0"/>
      <w:marRight w:val="0"/>
      <w:marTop w:val="0"/>
      <w:marBottom w:val="0"/>
      <w:divBdr>
        <w:top w:val="none" w:sz="0" w:space="0" w:color="auto"/>
        <w:left w:val="none" w:sz="0" w:space="0" w:color="auto"/>
        <w:bottom w:val="none" w:sz="0" w:space="0" w:color="auto"/>
        <w:right w:val="none" w:sz="0" w:space="0" w:color="auto"/>
      </w:divBdr>
    </w:div>
    <w:div w:id="1626541650">
      <w:bodyDiv w:val="1"/>
      <w:marLeft w:val="0"/>
      <w:marRight w:val="0"/>
      <w:marTop w:val="0"/>
      <w:marBottom w:val="0"/>
      <w:divBdr>
        <w:top w:val="none" w:sz="0" w:space="0" w:color="auto"/>
        <w:left w:val="none" w:sz="0" w:space="0" w:color="auto"/>
        <w:bottom w:val="none" w:sz="0" w:space="0" w:color="auto"/>
        <w:right w:val="none" w:sz="0" w:space="0" w:color="auto"/>
      </w:divBdr>
    </w:div>
    <w:div w:id="1626544410">
      <w:bodyDiv w:val="1"/>
      <w:marLeft w:val="0"/>
      <w:marRight w:val="0"/>
      <w:marTop w:val="0"/>
      <w:marBottom w:val="0"/>
      <w:divBdr>
        <w:top w:val="none" w:sz="0" w:space="0" w:color="auto"/>
        <w:left w:val="none" w:sz="0" w:space="0" w:color="auto"/>
        <w:bottom w:val="none" w:sz="0" w:space="0" w:color="auto"/>
        <w:right w:val="none" w:sz="0" w:space="0" w:color="auto"/>
      </w:divBdr>
    </w:div>
    <w:div w:id="1626890799">
      <w:bodyDiv w:val="1"/>
      <w:marLeft w:val="0"/>
      <w:marRight w:val="0"/>
      <w:marTop w:val="0"/>
      <w:marBottom w:val="0"/>
      <w:divBdr>
        <w:top w:val="none" w:sz="0" w:space="0" w:color="auto"/>
        <w:left w:val="none" w:sz="0" w:space="0" w:color="auto"/>
        <w:bottom w:val="none" w:sz="0" w:space="0" w:color="auto"/>
        <w:right w:val="none" w:sz="0" w:space="0" w:color="auto"/>
      </w:divBdr>
    </w:div>
    <w:div w:id="1626963877">
      <w:bodyDiv w:val="1"/>
      <w:marLeft w:val="0"/>
      <w:marRight w:val="0"/>
      <w:marTop w:val="0"/>
      <w:marBottom w:val="0"/>
      <w:divBdr>
        <w:top w:val="none" w:sz="0" w:space="0" w:color="auto"/>
        <w:left w:val="none" w:sz="0" w:space="0" w:color="auto"/>
        <w:bottom w:val="none" w:sz="0" w:space="0" w:color="auto"/>
        <w:right w:val="none" w:sz="0" w:space="0" w:color="auto"/>
      </w:divBdr>
    </w:div>
    <w:div w:id="1627194196">
      <w:bodyDiv w:val="1"/>
      <w:marLeft w:val="0"/>
      <w:marRight w:val="0"/>
      <w:marTop w:val="0"/>
      <w:marBottom w:val="0"/>
      <w:divBdr>
        <w:top w:val="none" w:sz="0" w:space="0" w:color="auto"/>
        <w:left w:val="none" w:sz="0" w:space="0" w:color="auto"/>
        <w:bottom w:val="none" w:sz="0" w:space="0" w:color="auto"/>
        <w:right w:val="none" w:sz="0" w:space="0" w:color="auto"/>
      </w:divBdr>
    </w:div>
    <w:div w:id="1627198169">
      <w:bodyDiv w:val="1"/>
      <w:marLeft w:val="0"/>
      <w:marRight w:val="0"/>
      <w:marTop w:val="0"/>
      <w:marBottom w:val="0"/>
      <w:divBdr>
        <w:top w:val="none" w:sz="0" w:space="0" w:color="auto"/>
        <w:left w:val="none" w:sz="0" w:space="0" w:color="auto"/>
        <w:bottom w:val="none" w:sz="0" w:space="0" w:color="auto"/>
        <w:right w:val="none" w:sz="0" w:space="0" w:color="auto"/>
      </w:divBdr>
    </w:div>
    <w:div w:id="1627200619">
      <w:bodyDiv w:val="1"/>
      <w:marLeft w:val="0"/>
      <w:marRight w:val="0"/>
      <w:marTop w:val="0"/>
      <w:marBottom w:val="0"/>
      <w:divBdr>
        <w:top w:val="none" w:sz="0" w:space="0" w:color="auto"/>
        <w:left w:val="none" w:sz="0" w:space="0" w:color="auto"/>
        <w:bottom w:val="none" w:sz="0" w:space="0" w:color="auto"/>
        <w:right w:val="none" w:sz="0" w:space="0" w:color="auto"/>
      </w:divBdr>
    </w:div>
    <w:div w:id="1627278323">
      <w:bodyDiv w:val="1"/>
      <w:marLeft w:val="0"/>
      <w:marRight w:val="0"/>
      <w:marTop w:val="0"/>
      <w:marBottom w:val="0"/>
      <w:divBdr>
        <w:top w:val="none" w:sz="0" w:space="0" w:color="auto"/>
        <w:left w:val="none" w:sz="0" w:space="0" w:color="auto"/>
        <w:bottom w:val="none" w:sz="0" w:space="0" w:color="auto"/>
        <w:right w:val="none" w:sz="0" w:space="0" w:color="auto"/>
      </w:divBdr>
    </w:div>
    <w:div w:id="1627392283">
      <w:bodyDiv w:val="1"/>
      <w:marLeft w:val="0"/>
      <w:marRight w:val="0"/>
      <w:marTop w:val="0"/>
      <w:marBottom w:val="0"/>
      <w:divBdr>
        <w:top w:val="none" w:sz="0" w:space="0" w:color="auto"/>
        <w:left w:val="none" w:sz="0" w:space="0" w:color="auto"/>
        <w:bottom w:val="none" w:sz="0" w:space="0" w:color="auto"/>
        <w:right w:val="none" w:sz="0" w:space="0" w:color="auto"/>
      </w:divBdr>
    </w:div>
    <w:div w:id="1627466954">
      <w:bodyDiv w:val="1"/>
      <w:marLeft w:val="0"/>
      <w:marRight w:val="0"/>
      <w:marTop w:val="0"/>
      <w:marBottom w:val="0"/>
      <w:divBdr>
        <w:top w:val="none" w:sz="0" w:space="0" w:color="auto"/>
        <w:left w:val="none" w:sz="0" w:space="0" w:color="auto"/>
        <w:bottom w:val="none" w:sz="0" w:space="0" w:color="auto"/>
        <w:right w:val="none" w:sz="0" w:space="0" w:color="auto"/>
      </w:divBdr>
    </w:div>
    <w:div w:id="1627542678">
      <w:bodyDiv w:val="1"/>
      <w:marLeft w:val="0"/>
      <w:marRight w:val="0"/>
      <w:marTop w:val="0"/>
      <w:marBottom w:val="0"/>
      <w:divBdr>
        <w:top w:val="none" w:sz="0" w:space="0" w:color="auto"/>
        <w:left w:val="none" w:sz="0" w:space="0" w:color="auto"/>
        <w:bottom w:val="none" w:sz="0" w:space="0" w:color="auto"/>
        <w:right w:val="none" w:sz="0" w:space="0" w:color="auto"/>
      </w:divBdr>
    </w:div>
    <w:div w:id="1627617272">
      <w:bodyDiv w:val="1"/>
      <w:marLeft w:val="0"/>
      <w:marRight w:val="0"/>
      <w:marTop w:val="0"/>
      <w:marBottom w:val="0"/>
      <w:divBdr>
        <w:top w:val="none" w:sz="0" w:space="0" w:color="auto"/>
        <w:left w:val="none" w:sz="0" w:space="0" w:color="auto"/>
        <w:bottom w:val="none" w:sz="0" w:space="0" w:color="auto"/>
        <w:right w:val="none" w:sz="0" w:space="0" w:color="auto"/>
      </w:divBdr>
    </w:div>
    <w:div w:id="1627661464">
      <w:bodyDiv w:val="1"/>
      <w:marLeft w:val="0"/>
      <w:marRight w:val="0"/>
      <w:marTop w:val="0"/>
      <w:marBottom w:val="0"/>
      <w:divBdr>
        <w:top w:val="none" w:sz="0" w:space="0" w:color="auto"/>
        <w:left w:val="none" w:sz="0" w:space="0" w:color="auto"/>
        <w:bottom w:val="none" w:sz="0" w:space="0" w:color="auto"/>
        <w:right w:val="none" w:sz="0" w:space="0" w:color="auto"/>
      </w:divBdr>
    </w:div>
    <w:div w:id="1627732848">
      <w:bodyDiv w:val="1"/>
      <w:marLeft w:val="0"/>
      <w:marRight w:val="0"/>
      <w:marTop w:val="0"/>
      <w:marBottom w:val="0"/>
      <w:divBdr>
        <w:top w:val="none" w:sz="0" w:space="0" w:color="auto"/>
        <w:left w:val="none" w:sz="0" w:space="0" w:color="auto"/>
        <w:bottom w:val="none" w:sz="0" w:space="0" w:color="auto"/>
        <w:right w:val="none" w:sz="0" w:space="0" w:color="auto"/>
      </w:divBdr>
    </w:div>
    <w:div w:id="1627734145">
      <w:bodyDiv w:val="1"/>
      <w:marLeft w:val="0"/>
      <w:marRight w:val="0"/>
      <w:marTop w:val="0"/>
      <w:marBottom w:val="0"/>
      <w:divBdr>
        <w:top w:val="none" w:sz="0" w:space="0" w:color="auto"/>
        <w:left w:val="none" w:sz="0" w:space="0" w:color="auto"/>
        <w:bottom w:val="none" w:sz="0" w:space="0" w:color="auto"/>
        <w:right w:val="none" w:sz="0" w:space="0" w:color="auto"/>
      </w:divBdr>
    </w:div>
    <w:div w:id="1627811852">
      <w:bodyDiv w:val="1"/>
      <w:marLeft w:val="0"/>
      <w:marRight w:val="0"/>
      <w:marTop w:val="0"/>
      <w:marBottom w:val="0"/>
      <w:divBdr>
        <w:top w:val="none" w:sz="0" w:space="0" w:color="auto"/>
        <w:left w:val="none" w:sz="0" w:space="0" w:color="auto"/>
        <w:bottom w:val="none" w:sz="0" w:space="0" w:color="auto"/>
        <w:right w:val="none" w:sz="0" w:space="0" w:color="auto"/>
      </w:divBdr>
    </w:div>
    <w:div w:id="1627850296">
      <w:bodyDiv w:val="1"/>
      <w:marLeft w:val="0"/>
      <w:marRight w:val="0"/>
      <w:marTop w:val="0"/>
      <w:marBottom w:val="0"/>
      <w:divBdr>
        <w:top w:val="none" w:sz="0" w:space="0" w:color="auto"/>
        <w:left w:val="none" w:sz="0" w:space="0" w:color="auto"/>
        <w:bottom w:val="none" w:sz="0" w:space="0" w:color="auto"/>
        <w:right w:val="none" w:sz="0" w:space="0" w:color="auto"/>
      </w:divBdr>
    </w:div>
    <w:div w:id="1627855780">
      <w:bodyDiv w:val="1"/>
      <w:marLeft w:val="0"/>
      <w:marRight w:val="0"/>
      <w:marTop w:val="0"/>
      <w:marBottom w:val="0"/>
      <w:divBdr>
        <w:top w:val="none" w:sz="0" w:space="0" w:color="auto"/>
        <w:left w:val="none" w:sz="0" w:space="0" w:color="auto"/>
        <w:bottom w:val="none" w:sz="0" w:space="0" w:color="auto"/>
        <w:right w:val="none" w:sz="0" w:space="0" w:color="auto"/>
      </w:divBdr>
    </w:div>
    <w:div w:id="1627858940">
      <w:bodyDiv w:val="1"/>
      <w:marLeft w:val="0"/>
      <w:marRight w:val="0"/>
      <w:marTop w:val="0"/>
      <w:marBottom w:val="0"/>
      <w:divBdr>
        <w:top w:val="none" w:sz="0" w:space="0" w:color="auto"/>
        <w:left w:val="none" w:sz="0" w:space="0" w:color="auto"/>
        <w:bottom w:val="none" w:sz="0" w:space="0" w:color="auto"/>
        <w:right w:val="none" w:sz="0" w:space="0" w:color="auto"/>
      </w:divBdr>
    </w:div>
    <w:div w:id="1628052052">
      <w:bodyDiv w:val="1"/>
      <w:marLeft w:val="0"/>
      <w:marRight w:val="0"/>
      <w:marTop w:val="0"/>
      <w:marBottom w:val="0"/>
      <w:divBdr>
        <w:top w:val="none" w:sz="0" w:space="0" w:color="auto"/>
        <w:left w:val="none" w:sz="0" w:space="0" w:color="auto"/>
        <w:bottom w:val="none" w:sz="0" w:space="0" w:color="auto"/>
        <w:right w:val="none" w:sz="0" w:space="0" w:color="auto"/>
      </w:divBdr>
    </w:div>
    <w:div w:id="1628657528">
      <w:bodyDiv w:val="1"/>
      <w:marLeft w:val="0"/>
      <w:marRight w:val="0"/>
      <w:marTop w:val="0"/>
      <w:marBottom w:val="0"/>
      <w:divBdr>
        <w:top w:val="none" w:sz="0" w:space="0" w:color="auto"/>
        <w:left w:val="none" w:sz="0" w:space="0" w:color="auto"/>
        <w:bottom w:val="none" w:sz="0" w:space="0" w:color="auto"/>
        <w:right w:val="none" w:sz="0" w:space="0" w:color="auto"/>
      </w:divBdr>
    </w:div>
    <w:div w:id="1628703869">
      <w:bodyDiv w:val="1"/>
      <w:marLeft w:val="0"/>
      <w:marRight w:val="0"/>
      <w:marTop w:val="0"/>
      <w:marBottom w:val="0"/>
      <w:divBdr>
        <w:top w:val="none" w:sz="0" w:space="0" w:color="auto"/>
        <w:left w:val="none" w:sz="0" w:space="0" w:color="auto"/>
        <w:bottom w:val="none" w:sz="0" w:space="0" w:color="auto"/>
        <w:right w:val="none" w:sz="0" w:space="0" w:color="auto"/>
      </w:divBdr>
    </w:div>
    <w:div w:id="1628704170">
      <w:bodyDiv w:val="1"/>
      <w:marLeft w:val="0"/>
      <w:marRight w:val="0"/>
      <w:marTop w:val="0"/>
      <w:marBottom w:val="0"/>
      <w:divBdr>
        <w:top w:val="none" w:sz="0" w:space="0" w:color="auto"/>
        <w:left w:val="none" w:sz="0" w:space="0" w:color="auto"/>
        <w:bottom w:val="none" w:sz="0" w:space="0" w:color="auto"/>
        <w:right w:val="none" w:sz="0" w:space="0" w:color="auto"/>
      </w:divBdr>
    </w:div>
    <w:div w:id="1628704374">
      <w:bodyDiv w:val="1"/>
      <w:marLeft w:val="0"/>
      <w:marRight w:val="0"/>
      <w:marTop w:val="0"/>
      <w:marBottom w:val="0"/>
      <w:divBdr>
        <w:top w:val="none" w:sz="0" w:space="0" w:color="auto"/>
        <w:left w:val="none" w:sz="0" w:space="0" w:color="auto"/>
        <w:bottom w:val="none" w:sz="0" w:space="0" w:color="auto"/>
        <w:right w:val="none" w:sz="0" w:space="0" w:color="auto"/>
      </w:divBdr>
    </w:div>
    <w:div w:id="1628704926">
      <w:bodyDiv w:val="1"/>
      <w:marLeft w:val="0"/>
      <w:marRight w:val="0"/>
      <w:marTop w:val="0"/>
      <w:marBottom w:val="0"/>
      <w:divBdr>
        <w:top w:val="none" w:sz="0" w:space="0" w:color="auto"/>
        <w:left w:val="none" w:sz="0" w:space="0" w:color="auto"/>
        <w:bottom w:val="none" w:sz="0" w:space="0" w:color="auto"/>
        <w:right w:val="none" w:sz="0" w:space="0" w:color="auto"/>
      </w:divBdr>
    </w:div>
    <w:div w:id="1628731498">
      <w:bodyDiv w:val="1"/>
      <w:marLeft w:val="0"/>
      <w:marRight w:val="0"/>
      <w:marTop w:val="0"/>
      <w:marBottom w:val="0"/>
      <w:divBdr>
        <w:top w:val="none" w:sz="0" w:space="0" w:color="auto"/>
        <w:left w:val="none" w:sz="0" w:space="0" w:color="auto"/>
        <w:bottom w:val="none" w:sz="0" w:space="0" w:color="auto"/>
        <w:right w:val="none" w:sz="0" w:space="0" w:color="auto"/>
      </w:divBdr>
    </w:div>
    <w:div w:id="1628731775">
      <w:bodyDiv w:val="1"/>
      <w:marLeft w:val="0"/>
      <w:marRight w:val="0"/>
      <w:marTop w:val="0"/>
      <w:marBottom w:val="0"/>
      <w:divBdr>
        <w:top w:val="none" w:sz="0" w:space="0" w:color="auto"/>
        <w:left w:val="none" w:sz="0" w:space="0" w:color="auto"/>
        <w:bottom w:val="none" w:sz="0" w:space="0" w:color="auto"/>
        <w:right w:val="none" w:sz="0" w:space="0" w:color="auto"/>
      </w:divBdr>
    </w:div>
    <w:div w:id="1628733388">
      <w:bodyDiv w:val="1"/>
      <w:marLeft w:val="0"/>
      <w:marRight w:val="0"/>
      <w:marTop w:val="0"/>
      <w:marBottom w:val="0"/>
      <w:divBdr>
        <w:top w:val="none" w:sz="0" w:space="0" w:color="auto"/>
        <w:left w:val="none" w:sz="0" w:space="0" w:color="auto"/>
        <w:bottom w:val="none" w:sz="0" w:space="0" w:color="auto"/>
        <w:right w:val="none" w:sz="0" w:space="0" w:color="auto"/>
      </w:divBdr>
    </w:div>
    <w:div w:id="1628773292">
      <w:bodyDiv w:val="1"/>
      <w:marLeft w:val="0"/>
      <w:marRight w:val="0"/>
      <w:marTop w:val="0"/>
      <w:marBottom w:val="0"/>
      <w:divBdr>
        <w:top w:val="none" w:sz="0" w:space="0" w:color="auto"/>
        <w:left w:val="none" w:sz="0" w:space="0" w:color="auto"/>
        <w:bottom w:val="none" w:sz="0" w:space="0" w:color="auto"/>
        <w:right w:val="none" w:sz="0" w:space="0" w:color="auto"/>
      </w:divBdr>
    </w:div>
    <w:div w:id="1628775801">
      <w:bodyDiv w:val="1"/>
      <w:marLeft w:val="0"/>
      <w:marRight w:val="0"/>
      <w:marTop w:val="0"/>
      <w:marBottom w:val="0"/>
      <w:divBdr>
        <w:top w:val="none" w:sz="0" w:space="0" w:color="auto"/>
        <w:left w:val="none" w:sz="0" w:space="0" w:color="auto"/>
        <w:bottom w:val="none" w:sz="0" w:space="0" w:color="auto"/>
        <w:right w:val="none" w:sz="0" w:space="0" w:color="auto"/>
      </w:divBdr>
    </w:div>
    <w:div w:id="1628777865">
      <w:bodyDiv w:val="1"/>
      <w:marLeft w:val="0"/>
      <w:marRight w:val="0"/>
      <w:marTop w:val="0"/>
      <w:marBottom w:val="0"/>
      <w:divBdr>
        <w:top w:val="none" w:sz="0" w:space="0" w:color="auto"/>
        <w:left w:val="none" w:sz="0" w:space="0" w:color="auto"/>
        <w:bottom w:val="none" w:sz="0" w:space="0" w:color="auto"/>
        <w:right w:val="none" w:sz="0" w:space="0" w:color="auto"/>
      </w:divBdr>
    </w:div>
    <w:div w:id="1628929785">
      <w:bodyDiv w:val="1"/>
      <w:marLeft w:val="0"/>
      <w:marRight w:val="0"/>
      <w:marTop w:val="0"/>
      <w:marBottom w:val="0"/>
      <w:divBdr>
        <w:top w:val="none" w:sz="0" w:space="0" w:color="auto"/>
        <w:left w:val="none" w:sz="0" w:space="0" w:color="auto"/>
        <w:bottom w:val="none" w:sz="0" w:space="0" w:color="auto"/>
        <w:right w:val="none" w:sz="0" w:space="0" w:color="auto"/>
      </w:divBdr>
    </w:div>
    <w:div w:id="1629044723">
      <w:bodyDiv w:val="1"/>
      <w:marLeft w:val="0"/>
      <w:marRight w:val="0"/>
      <w:marTop w:val="0"/>
      <w:marBottom w:val="0"/>
      <w:divBdr>
        <w:top w:val="none" w:sz="0" w:space="0" w:color="auto"/>
        <w:left w:val="none" w:sz="0" w:space="0" w:color="auto"/>
        <w:bottom w:val="none" w:sz="0" w:space="0" w:color="auto"/>
        <w:right w:val="none" w:sz="0" w:space="0" w:color="auto"/>
      </w:divBdr>
    </w:div>
    <w:div w:id="1629048056">
      <w:bodyDiv w:val="1"/>
      <w:marLeft w:val="0"/>
      <w:marRight w:val="0"/>
      <w:marTop w:val="0"/>
      <w:marBottom w:val="0"/>
      <w:divBdr>
        <w:top w:val="none" w:sz="0" w:space="0" w:color="auto"/>
        <w:left w:val="none" w:sz="0" w:space="0" w:color="auto"/>
        <w:bottom w:val="none" w:sz="0" w:space="0" w:color="auto"/>
        <w:right w:val="none" w:sz="0" w:space="0" w:color="auto"/>
      </w:divBdr>
    </w:div>
    <w:div w:id="1629126388">
      <w:bodyDiv w:val="1"/>
      <w:marLeft w:val="0"/>
      <w:marRight w:val="0"/>
      <w:marTop w:val="0"/>
      <w:marBottom w:val="0"/>
      <w:divBdr>
        <w:top w:val="none" w:sz="0" w:space="0" w:color="auto"/>
        <w:left w:val="none" w:sz="0" w:space="0" w:color="auto"/>
        <w:bottom w:val="none" w:sz="0" w:space="0" w:color="auto"/>
        <w:right w:val="none" w:sz="0" w:space="0" w:color="auto"/>
      </w:divBdr>
    </w:div>
    <w:div w:id="1629126475">
      <w:bodyDiv w:val="1"/>
      <w:marLeft w:val="0"/>
      <w:marRight w:val="0"/>
      <w:marTop w:val="0"/>
      <w:marBottom w:val="0"/>
      <w:divBdr>
        <w:top w:val="none" w:sz="0" w:space="0" w:color="auto"/>
        <w:left w:val="none" w:sz="0" w:space="0" w:color="auto"/>
        <w:bottom w:val="none" w:sz="0" w:space="0" w:color="auto"/>
        <w:right w:val="none" w:sz="0" w:space="0" w:color="auto"/>
      </w:divBdr>
    </w:div>
    <w:div w:id="1629162633">
      <w:bodyDiv w:val="1"/>
      <w:marLeft w:val="0"/>
      <w:marRight w:val="0"/>
      <w:marTop w:val="0"/>
      <w:marBottom w:val="0"/>
      <w:divBdr>
        <w:top w:val="none" w:sz="0" w:space="0" w:color="auto"/>
        <w:left w:val="none" w:sz="0" w:space="0" w:color="auto"/>
        <w:bottom w:val="none" w:sz="0" w:space="0" w:color="auto"/>
        <w:right w:val="none" w:sz="0" w:space="0" w:color="auto"/>
      </w:divBdr>
    </w:div>
    <w:div w:id="1629235914">
      <w:bodyDiv w:val="1"/>
      <w:marLeft w:val="0"/>
      <w:marRight w:val="0"/>
      <w:marTop w:val="0"/>
      <w:marBottom w:val="0"/>
      <w:divBdr>
        <w:top w:val="none" w:sz="0" w:space="0" w:color="auto"/>
        <w:left w:val="none" w:sz="0" w:space="0" w:color="auto"/>
        <w:bottom w:val="none" w:sz="0" w:space="0" w:color="auto"/>
        <w:right w:val="none" w:sz="0" w:space="0" w:color="auto"/>
      </w:divBdr>
    </w:div>
    <w:div w:id="1629237707">
      <w:bodyDiv w:val="1"/>
      <w:marLeft w:val="0"/>
      <w:marRight w:val="0"/>
      <w:marTop w:val="0"/>
      <w:marBottom w:val="0"/>
      <w:divBdr>
        <w:top w:val="none" w:sz="0" w:space="0" w:color="auto"/>
        <w:left w:val="none" w:sz="0" w:space="0" w:color="auto"/>
        <w:bottom w:val="none" w:sz="0" w:space="0" w:color="auto"/>
        <w:right w:val="none" w:sz="0" w:space="0" w:color="auto"/>
      </w:divBdr>
    </w:div>
    <w:div w:id="1629312815">
      <w:bodyDiv w:val="1"/>
      <w:marLeft w:val="0"/>
      <w:marRight w:val="0"/>
      <w:marTop w:val="0"/>
      <w:marBottom w:val="0"/>
      <w:divBdr>
        <w:top w:val="none" w:sz="0" w:space="0" w:color="auto"/>
        <w:left w:val="none" w:sz="0" w:space="0" w:color="auto"/>
        <w:bottom w:val="none" w:sz="0" w:space="0" w:color="auto"/>
        <w:right w:val="none" w:sz="0" w:space="0" w:color="auto"/>
      </w:divBdr>
    </w:div>
    <w:div w:id="1629360902">
      <w:bodyDiv w:val="1"/>
      <w:marLeft w:val="0"/>
      <w:marRight w:val="0"/>
      <w:marTop w:val="0"/>
      <w:marBottom w:val="0"/>
      <w:divBdr>
        <w:top w:val="none" w:sz="0" w:space="0" w:color="auto"/>
        <w:left w:val="none" w:sz="0" w:space="0" w:color="auto"/>
        <w:bottom w:val="none" w:sz="0" w:space="0" w:color="auto"/>
        <w:right w:val="none" w:sz="0" w:space="0" w:color="auto"/>
      </w:divBdr>
    </w:div>
    <w:div w:id="1629388559">
      <w:bodyDiv w:val="1"/>
      <w:marLeft w:val="0"/>
      <w:marRight w:val="0"/>
      <w:marTop w:val="0"/>
      <w:marBottom w:val="0"/>
      <w:divBdr>
        <w:top w:val="none" w:sz="0" w:space="0" w:color="auto"/>
        <w:left w:val="none" w:sz="0" w:space="0" w:color="auto"/>
        <w:bottom w:val="none" w:sz="0" w:space="0" w:color="auto"/>
        <w:right w:val="none" w:sz="0" w:space="0" w:color="auto"/>
      </w:divBdr>
    </w:div>
    <w:div w:id="1629509077">
      <w:bodyDiv w:val="1"/>
      <w:marLeft w:val="0"/>
      <w:marRight w:val="0"/>
      <w:marTop w:val="0"/>
      <w:marBottom w:val="0"/>
      <w:divBdr>
        <w:top w:val="none" w:sz="0" w:space="0" w:color="auto"/>
        <w:left w:val="none" w:sz="0" w:space="0" w:color="auto"/>
        <w:bottom w:val="none" w:sz="0" w:space="0" w:color="auto"/>
        <w:right w:val="none" w:sz="0" w:space="0" w:color="auto"/>
      </w:divBdr>
    </w:div>
    <w:div w:id="1629580628">
      <w:bodyDiv w:val="1"/>
      <w:marLeft w:val="0"/>
      <w:marRight w:val="0"/>
      <w:marTop w:val="0"/>
      <w:marBottom w:val="0"/>
      <w:divBdr>
        <w:top w:val="none" w:sz="0" w:space="0" w:color="auto"/>
        <w:left w:val="none" w:sz="0" w:space="0" w:color="auto"/>
        <w:bottom w:val="none" w:sz="0" w:space="0" w:color="auto"/>
        <w:right w:val="none" w:sz="0" w:space="0" w:color="auto"/>
      </w:divBdr>
    </w:div>
    <w:div w:id="1629700880">
      <w:bodyDiv w:val="1"/>
      <w:marLeft w:val="0"/>
      <w:marRight w:val="0"/>
      <w:marTop w:val="0"/>
      <w:marBottom w:val="0"/>
      <w:divBdr>
        <w:top w:val="none" w:sz="0" w:space="0" w:color="auto"/>
        <w:left w:val="none" w:sz="0" w:space="0" w:color="auto"/>
        <w:bottom w:val="none" w:sz="0" w:space="0" w:color="auto"/>
        <w:right w:val="none" w:sz="0" w:space="0" w:color="auto"/>
      </w:divBdr>
    </w:div>
    <w:div w:id="1629702080">
      <w:bodyDiv w:val="1"/>
      <w:marLeft w:val="0"/>
      <w:marRight w:val="0"/>
      <w:marTop w:val="0"/>
      <w:marBottom w:val="0"/>
      <w:divBdr>
        <w:top w:val="none" w:sz="0" w:space="0" w:color="auto"/>
        <w:left w:val="none" w:sz="0" w:space="0" w:color="auto"/>
        <w:bottom w:val="none" w:sz="0" w:space="0" w:color="auto"/>
        <w:right w:val="none" w:sz="0" w:space="0" w:color="auto"/>
      </w:divBdr>
    </w:div>
    <w:div w:id="1629705684">
      <w:bodyDiv w:val="1"/>
      <w:marLeft w:val="0"/>
      <w:marRight w:val="0"/>
      <w:marTop w:val="0"/>
      <w:marBottom w:val="0"/>
      <w:divBdr>
        <w:top w:val="none" w:sz="0" w:space="0" w:color="auto"/>
        <w:left w:val="none" w:sz="0" w:space="0" w:color="auto"/>
        <w:bottom w:val="none" w:sz="0" w:space="0" w:color="auto"/>
        <w:right w:val="none" w:sz="0" w:space="0" w:color="auto"/>
      </w:divBdr>
    </w:div>
    <w:div w:id="1629818205">
      <w:bodyDiv w:val="1"/>
      <w:marLeft w:val="0"/>
      <w:marRight w:val="0"/>
      <w:marTop w:val="0"/>
      <w:marBottom w:val="0"/>
      <w:divBdr>
        <w:top w:val="none" w:sz="0" w:space="0" w:color="auto"/>
        <w:left w:val="none" w:sz="0" w:space="0" w:color="auto"/>
        <w:bottom w:val="none" w:sz="0" w:space="0" w:color="auto"/>
        <w:right w:val="none" w:sz="0" w:space="0" w:color="auto"/>
      </w:divBdr>
    </w:div>
    <w:div w:id="1629824438">
      <w:bodyDiv w:val="1"/>
      <w:marLeft w:val="0"/>
      <w:marRight w:val="0"/>
      <w:marTop w:val="0"/>
      <w:marBottom w:val="0"/>
      <w:divBdr>
        <w:top w:val="none" w:sz="0" w:space="0" w:color="auto"/>
        <w:left w:val="none" w:sz="0" w:space="0" w:color="auto"/>
        <w:bottom w:val="none" w:sz="0" w:space="0" w:color="auto"/>
        <w:right w:val="none" w:sz="0" w:space="0" w:color="auto"/>
      </w:divBdr>
    </w:div>
    <w:div w:id="1629894260">
      <w:bodyDiv w:val="1"/>
      <w:marLeft w:val="0"/>
      <w:marRight w:val="0"/>
      <w:marTop w:val="0"/>
      <w:marBottom w:val="0"/>
      <w:divBdr>
        <w:top w:val="none" w:sz="0" w:space="0" w:color="auto"/>
        <w:left w:val="none" w:sz="0" w:space="0" w:color="auto"/>
        <w:bottom w:val="none" w:sz="0" w:space="0" w:color="auto"/>
        <w:right w:val="none" w:sz="0" w:space="0" w:color="auto"/>
      </w:divBdr>
    </w:div>
    <w:div w:id="1629968997">
      <w:bodyDiv w:val="1"/>
      <w:marLeft w:val="0"/>
      <w:marRight w:val="0"/>
      <w:marTop w:val="0"/>
      <w:marBottom w:val="0"/>
      <w:divBdr>
        <w:top w:val="none" w:sz="0" w:space="0" w:color="auto"/>
        <w:left w:val="none" w:sz="0" w:space="0" w:color="auto"/>
        <w:bottom w:val="none" w:sz="0" w:space="0" w:color="auto"/>
        <w:right w:val="none" w:sz="0" w:space="0" w:color="auto"/>
      </w:divBdr>
    </w:div>
    <w:div w:id="1629971175">
      <w:bodyDiv w:val="1"/>
      <w:marLeft w:val="0"/>
      <w:marRight w:val="0"/>
      <w:marTop w:val="0"/>
      <w:marBottom w:val="0"/>
      <w:divBdr>
        <w:top w:val="none" w:sz="0" w:space="0" w:color="auto"/>
        <w:left w:val="none" w:sz="0" w:space="0" w:color="auto"/>
        <w:bottom w:val="none" w:sz="0" w:space="0" w:color="auto"/>
        <w:right w:val="none" w:sz="0" w:space="0" w:color="auto"/>
      </w:divBdr>
    </w:div>
    <w:div w:id="1630043141">
      <w:bodyDiv w:val="1"/>
      <w:marLeft w:val="0"/>
      <w:marRight w:val="0"/>
      <w:marTop w:val="0"/>
      <w:marBottom w:val="0"/>
      <w:divBdr>
        <w:top w:val="none" w:sz="0" w:space="0" w:color="auto"/>
        <w:left w:val="none" w:sz="0" w:space="0" w:color="auto"/>
        <w:bottom w:val="none" w:sz="0" w:space="0" w:color="auto"/>
        <w:right w:val="none" w:sz="0" w:space="0" w:color="auto"/>
      </w:divBdr>
    </w:div>
    <w:div w:id="1630282453">
      <w:bodyDiv w:val="1"/>
      <w:marLeft w:val="0"/>
      <w:marRight w:val="0"/>
      <w:marTop w:val="0"/>
      <w:marBottom w:val="0"/>
      <w:divBdr>
        <w:top w:val="none" w:sz="0" w:space="0" w:color="auto"/>
        <w:left w:val="none" w:sz="0" w:space="0" w:color="auto"/>
        <w:bottom w:val="none" w:sz="0" w:space="0" w:color="auto"/>
        <w:right w:val="none" w:sz="0" w:space="0" w:color="auto"/>
      </w:divBdr>
    </w:div>
    <w:div w:id="1630471791">
      <w:bodyDiv w:val="1"/>
      <w:marLeft w:val="0"/>
      <w:marRight w:val="0"/>
      <w:marTop w:val="0"/>
      <w:marBottom w:val="0"/>
      <w:divBdr>
        <w:top w:val="none" w:sz="0" w:space="0" w:color="auto"/>
        <w:left w:val="none" w:sz="0" w:space="0" w:color="auto"/>
        <w:bottom w:val="none" w:sz="0" w:space="0" w:color="auto"/>
        <w:right w:val="none" w:sz="0" w:space="0" w:color="auto"/>
      </w:divBdr>
    </w:div>
    <w:div w:id="1630472041">
      <w:bodyDiv w:val="1"/>
      <w:marLeft w:val="0"/>
      <w:marRight w:val="0"/>
      <w:marTop w:val="0"/>
      <w:marBottom w:val="0"/>
      <w:divBdr>
        <w:top w:val="none" w:sz="0" w:space="0" w:color="auto"/>
        <w:left w:val="none" w:sz="0" w:space="0" w:color="auto"/>
        <w:bottom w:val="none" w:sz="0" w:space="0" w:color="auto"/>
        <w:right w:val="none" w:sz="0" w:space="0" w:color="auto"/>
      </w:divBdr>
    </w:div>
    <w:div w:id="1630472157">
      <w:bodyDiv w:val="1"/>
      <w:marLeft w:val="0"/>
      <w:marRight w:val="0"/>
      <w:marTop w:val="0"/>
      <w:marBottom w:val="0"/>
      <w:divBdr>
        <w:top w:val="none" w:sz="0" w:space="0" w:color="auto"/>
        <w:left w:val="none" w:sz="0" w:space="0" w:color="auto"/>
        <w:bottom w:val="none" w:sz="0" w:space="0" w:color="auto"/>
        <w:right w:val="none" w:sz="0" w:space="0" w:color="auto"/>
      </w:divBdr>
    </w:div>
    <w:div w:id="1630478951">
      <w:bodyDiv w:val="1"/>
      <w:marLeft w:val="0"/>
      <w:marRight w:val="0"/>
      <w:marTop w:val="0"/>
      <w:marBottom w:val="0"/>
      <w:divBdr>
        <w:top w:val="none" w:sz="0" w:space="0" w:color="auto"/>
        <w:left w:val="none" w:sz="0" w:space="0" w:color="auto"/>
        <w:bottom w:val="none" w:sz="0" w:space="0" w:color="auto"/>
        <w:right w:val="none" w:sz="0" w:space="0" w:color="auto"/>
      </w:divBdr>
    </w:div>
    <w:div w:id="1630553839">
      <w:bodyDiv w:val="1"/>
      <w:marLeft w:val="0"/>
      <w:marRight w:val="0"/>
      <w:marTop w:val="0"/>
      <w:marBottom w:val="0"/>
      <w:divBdr>
        <w:top w:val="none" w:sz="0" w:space="0" w:color="auto"/>
        <w:left w:val="none" w:sz="0" w:space="0" w:color="auto"/>
        <w:bottom w:val="none" w:sz="0" w:space="0" w:color="auto"/>
        <w:right w:val="none" w:sz="0" w:space="0" w:color="auto"/>
      </w:divBdr>
    </w:div>
    <w:div w:id="1630669937">
      <w:bodyDiv w:val="1"/>
      <w:marLeft w:val="0"/>
      <w:marRight w:val="0"/>
      <w:marTop w:val="0"/>
      <w:marBottom w:val="0"/>
      <w:divBdr>
        <w:top w:val="none" w:sz="0" w:space="0" w:color="auto"/>
        <w:left w:val="none" w:sz="0" w:space="0" w:color="auto"/>
        <w:bottom w:val="none" w:sz="0" w:space="0" w:color="auto"/>
        <w:right w:val="none" w:sz="0" w:space="0" w:color="auto"/>
      </w:divBdr>
    </w:div>
    <w:div w:id="1630698225">
      <w:bodyDiv w:val="1"/>
      <w:marLeft w:val="0"/>
      <w:marRight w:val="0"/>
      <w:marTop w:val="0"/>
      <w:marBottom w:val="0"/>
      <w:divBdr>
        <w:top w:val="none" w:sz="0" w:space="0" w:color="auto"/>
        <w:left w:val="none" w:sz="0" w:space="0" w:color="auto"/>
        <w:bottom w:val="none" w:sz="0" w:space="0" w:color="auto"/>
        <w:right w:val="none" w:sz="0" w:space="0" w:color="auto"/>
      </w:divBdr>
    </w:div>
    <w:div w:id="1631088791">
      <w:bodyDiv w:val="1"/>
      <w:marLeft w:val="0"/>
      <w:marRight w:val="0"/>
      <w:marTop w:val="0"/>
      <w:marBottom w:val="0"/>
      <w:divBdr>
        <w:top w:val="none" w:sz="0" w:space="0" w:color="auto"/>
        <w:left w:val="none" w:sz="0" w:space="0" w:color="auto"/>
        <w:bottom w:val="none" w:sz="0" w:space="0" w:color="auto"/>
        <w:right w:val="none" w:sz="0" w:space="0" w:color="auto"/>
      </w:divBdr>
    </w:div>
    <w:div w:id="1631133587">
      <w:bodyDiv w:val="1"/>
      <w:marLeft w:val="0"/>
      <w:marRight w:val="0"/>
      <w:marTop w:val="0"/>
      <w:marBottom w:val="0"/>
      <w:divBdr>
        <w:top w:val="none" w:sz="0" w:space="0" w:color="auto"/>
        <w:left w:val="none" w:sz="0" w:space="0" w:color="auto"/>
        <w:bottom w:val="none" w:sz="0" w:space="0" w:color="auto"/>
        <w:right w:val="none" w:sz="0" w:space="0" w:color="auto"/>
      </w:divBdr>
    </w:div>
    <w:div w:id="1631201437">
      <w:bodyDiv w:val="1"/>
      <w:marLeft w:val="0"/>
      <w:marRight w:val="0"/>
      <w:marTop w:val="0"/>
      <w:marBottom w:val="0"/>
      <w:divBdr>
        <w:top w:val="none" w:sz="0" w:space="0" w:color="auto"/>
        <w:left w:val="none" w:sz="0" w:space="0" w:color="auto"/>
        <w:bottom w:val="none" w:sz="0" w:space="0" w:color="auto"/>
        <w:right w:val="none" w:sz="0" w:space="0" w:color="auto"/>
      </w:divBdr>
    </w:div>
    <w:div w:id="1631206099">
      <w:bodyDiv w:val="1"/>
      <w:marLeft w:val="0"/>
      <w:marRight w:val="0"/>
      <w:marTop w:val="0"/>
      <w:marBottom w:val="0"/>
      <w:divBdr>
        <w:top w:val="none" w:sz="0" w:space="0" w:color="auto"/>
        <w:left w:val="none" w:sz="0" w:space="0" w:color="auto"/>
        <w:bottom w:val="none" w:sz="0" w:space="0" w:color="auto"/>
        <w:right w:val="none" w:sz="0" w:space="0" w:color="auto"/>
      </w:divBdr>
    </w:div>
    <w:div w:id="1631207935">
      <w:bodyDiv w:val="1"/>
      <w:marLeft w:val="0"/>
      <w:marRight w:val="0"/>
      <w:marTop w:val="0"/>
      <w:marBottom w:val="0"/>
      <w:divBdr>
        <w:top w:val="none" w:sz="0" w:space="0" w:color="auto"/>
        <w:left w:val="none" w:sz="0" w:space="0" w:color="auto"/>
        <w:bottom w:val="none" w:sz="0" w:space="0" w:color="auto"/>
        <w:right w:val="none" w:sz="0" w:space="0" w:color="auto"/>
      </w:divBdr>
    </w:div>
    <w:div w:id="1631209050">
      <w:bodyDiv w:val="1"/>
      <w:marLeft w:val="0"/>
      <w:marRight w:val="0"/>
      <w:marTop w:val="0"/>
      <w:marBottom w:val="0"/>
      <w:divBdr>
        <w:top w:val="none" w:sz="0" w:space="0" w:color="auto"/>
        <w:left w:val="none" w:sz="0" w:space="0" w:color="auto"/>
        <w:bottom w:val="none" w:sz="0" w:space="0" w:color="auto"/>
        <w:right w:val="none" w:sz="0" w:space="0" w:color="auto"/>
      </w:divBdr>
    </w:div>
    <w:div w:id="1631396046">
      <w:bodyDiv w:val="1"/>
      <w:marLeft w:val="0"/>
      <w:marRight w:val="0"/>
      <w:marTop w:val="0"/>
      <w:marBottom w:val="0"/>
      <w:divBdr>
        <w:top w:val="none" w:sz="0" w:space="0" w:color="auto"/>
        <w:left w:val="none" w:sz="0" w:space="0" w:color="auto"/>
        <w:bottom w:val="none" w:sz="0" w:space="0" w:color="auto"/>
        <w:right w:val="none" w:sz="0" w:space="0" w:color="auto"/>
      </w:divBdr>
    </w:div>
    <w:div w:id="1631397758">
      <w:bodyDiv w:val="1"/>
      <w:marLeft w:val="0"/>
      <w:marRight w:val="0"/>
      <w:marTop w:val="0"/>
      <w:marBottom w:val="0"/>
      <w:divBdr>
        <w:top w:val="none" w:sz="0" w:space="0" w:color="auto"/>
        <w:left w:val="none" w:sz="0" w:space="0" w:color="auto"/>
        <w:bottom w:val="none" w:sz="0" w:space="0" w:color="auto"/>
        <w:right w:val="none" w:sz="0" w:space="0" w:color="auto"/>
      </w:divBdr>
    </w:div>
    <w:div w:id="1631401921">
      <w:bodyDiv w:val="1"/>
      <w:marLeft w:val="0"/>
      <w:marRight w:val="0"/>
      <w:marTop w:val="0"/>
      <w:marBottom w:val="0"/>
      <w:divBdr>
        <w:top w:val="none" w:sz="0" w:space="0" w:color="auto"/>
        <w:left w:val="none" w:sz="0" w:space="0" w:color="auto"/>
        <w:bottom w:val="none" w:sz="0" w:space="0" w:color="auto"/>
        <w:right w:val="none" w:sz="0" w:space="0" w:color="auto"/>
      </w:divBdr>
    </w:div>
    <w:div w:id="1631477384">
      <w:bodyDiv w:val="1"/>
      <w:marLeft w:val="0"/>
      <w:marRight w:val="0"/>
      <w:marTop w:val="0"/>
      <w:marBottom w:val="0"/>
      <w:divBdr>
        <w:top w:val="none" w:sz="0" w:space="0" w:color="auto"/>
        <w:left w:val="none" w:sz="0" w:space="0" w:color="auto"/>
        <w:bottom w:val="none" w:sz="0" w:space="0" w:color="auto"/>
        <w:right w:val="none" w:sz="0" w:space="0" w:color="auto"/>
      </w:divBdr>
    </w:div>
    <w:div w:id="1631547578">
      <w:bodyDiv w:val="1"/>
      <w:marLeft w:val="0"/>
      <w:marRight w:val="0"/>
      <w:marTop w:val="0"/>
      <w:marBottom w:val="0"/>
      <w:divBdr>
        <w:top w:val="none" w:sz="0" w:space="0" w:color="auto"/>
        <w:left w:val="none" w:sz="0" w:space="0" w:color="auto"/>
        <w:bottom w:val="none" w:sz="0" w:space="0" w:color="auto"/>
        <w:right w:val="none" w:sz="0" w:space="0" w:color="auto"/>
      </w:divBdr>
    </w:div>
    <w:div w:id="1631589453">
      <w:bodyDiv w:val="1"/>
      <w:marLeft w:val="0"/>
      <w:marRight w:val="0"/>
      <w:marTop w:val="0"/>
      <w:marBottom w:val="0"/>
      <w:divBdr>
        <w:top w:val="none" w:sz="0" w:space="0" w:color="auto"/>
        <w:left w:val="none" w:sz="0" w:space="0" w:color="auto"/>
        <w:bottom w:val="none" w:sz="0" w:space="0" w:color="auto"/>
        <w:right w:val="none" w:sz="0" w:space="0" w:color="auto"/>
      </w:divBdr>
    </w:div>
    <w:div w:id="1631745693">
      <w:bodyDiv w:val="1"/>
      <w:marLeft w:val="0"/>
      <w:marRight w:val="0"/>
      <w:marTop w:val="0"/>
      <w:marBottom w:val="0"/>
      <w:divBdr>
        <w:top w:val="none" w:sz="0" w:space="0" w:color="auto"/>
        <w:left w:val="none" w:sz="0" w:space="0" w:color="auto"/>
        <w:bottom w:val="none" w:sz="0" w:space="0" w:color="auto"/>
        <w:right w:val="none" w:sz="0" w:space="0" w:color="auto"/>
      </w:divBdr>
    </w:div>
    <w:div w:id="1631858993">
      <w:bodyDiv w:val="1"/>
      <w:marLeft w:val="0"/>
      <w:marRight w:val="0"/>
      <w:marTop w:val="0"/>
      <w:marBottom w:val="0"/>
      <w:divBdr>
        <w:top w:val="none" w:sz="0" w:space="0" w:color="auto"/>
        <w:left w:val="none" w:sz="0" w:space="0" w:color="auto"/>
        <w:bottom w:val="none" w:sz="0" w:space="0" w:color="auto"/>
        <w:right w:val="none" w:sz="0" w:space="0" w:color="auto"/>
      </w:divBdr>
    </w:div>
    <w:div w:id="1632057961">
      <w:bodyDiv w:val="1"/>
      <w:marLeft w:val="0"/>
      <w:marRight w:val="0"/>
      <w:marTop w:val="0"/>
      <w:marBottom w:val="0"/>
      <w:divBdr>
        <w:top w:val="none" w:sz="0" w:space="0" w:color="auto"/>
        <w:left w:val="none" w:sz="0" w:space="0" w:color="auto"/>
        <w:bottom w:val="none" w:sz="0" w:space="0" w:color="auto"/>
        <w:right w:val="none" w:sz="0" w:space="0" w:color="auto"/>
      </w:divBdr>
    </w:div>
    <w:div w:id="1632200291">
      <w:bodyDiv w:val="1"/>
      <w:marLeft w:val="0"/>
      <w:marRight w:val="0"/>
      <w:marTop w:val="0"/>
      <w:marBottom w:val="0"/>
      <w:divBdr>
        <w:top w:val="none" w:sz="0" w:space="0" w:color="auto"/>
        <w:left w:val="none" w:sz="0" w:space="0" w:color="auto"/>
        <w:bottom w:val="none" w:sz="0" w:space="0" w:color="auto"/>
        <w:right w:val="none" w:sz="0" w:space="0" w:color="auto"/>
      </w:divBdr>
    </w:div>
    <w:div w:id="1632320878">
      <w:bodyDiv w:val="1"/>
      <w:marLeft w:val="0"/>
      <w:marRight w:val="0"/>
      <w:marTop w:val="0"/>
      <w:marBottom w:val="0"/>
      <w:divBdr>
        <w:top w:val="none" w:sz="0" w:space="0" w:color="auto"/>
        <w:left w:val="none" w:sz="0" w:space="0" w:color="auto"/>
        <w:bottom w:val="none" w:sz="0" w:space="0" w:color="auto"/>
        <w:right w:val="none" w:sz="0" w:space="0" w:color="auto"/>
      </w:divBdr>
    </w:div>
    <w:div w:id="1632320997">
      <w:bodyDiv w:val="1"/>
      <w:marLeft w:val="0"/>
      <w:marRight w:val="0"/>
      <w:marTop w:val="0"/>
      <w:marBottom w:val="0"/>
      <w:divBdr>
        <w:top w:val="none" w:sz="0" w:space="0" w:color="auto"/>
        <w:left w:val="none" w:sz="0" w:space="0" w:color="auto"/>
        <w:bottom w:val="none" w:sz="0" w:space="0" w:color="auto"/>
        <w:right w:val="none" w:sz="0" w:space="0" w:color="auto"/>
      </w:divBdr>
    </w:div>
    <w:div w:id="1632325731">
      <w:bodyDiv w:val="1"/>
      <w:marLeft w:val="0"/>
      <w:marRight w:val="0"/>
      <w:marTop w:val="0"/>
      <w:marBottom w:val="0"/>
      <w:divBdr>
        <w:top w:val="none" w:sz="0" w:space="0" w:color="auto"/>
        <w:left w:val="none" w:sz="0" w:space="0" w:color="auto"/>
        <w:bottom w:val="none" w:sz="0" w:space="0" w:color="auto"/>
        <w:right w:val="none" w:sz="0" w:space="0" w:color="auto"/>
      </w:divBdr>
    </w:div>
    <w:div w:id="1632326341">
      <w:bodyDiv w:val="1"/>
      <w:marLeft w:val="0"/>
      <w:marRight w:val="0"/>
      <w:marTop w:val="0"/>
      <w:marBottom w:val="0"/>
      <w:divBdr>
        <w:top w:val="none" w:sz="0" w:space="0" w:color="auto"/>
        <w:left w:val="none" w:sz="0" w:space="0" w:color="auto"/>
        <w:bottom w:val="none" w:sz="0" w:space="0" w:color="auto"/>
        <w:right w:val="none" w:sz="0" w:space="0" w:color="auto"/>
      </w:divBdr>
    </w:div>
    <w:div w:id="1632436905">
      <w:bodyDiv w:val="1"/>
      <w:marLeft w:val="0"/>
      <w:marRight w:val="0"/>
      <w:marTop w:val="0"/>
      <w:marBottom w:val="0"/>
      <w:divBdr>
        <w:top w:val="none" w:sz="0" w:space="0" w:color="auto"/>
        <w:left w:val="none" w:sz="0" w:space="0" w:color="auto"/>
        <w:bottom w:val="none" w:sz="0" w:space="0" w:color="auto"/>
        <w:right w:val="none" w:sz="0" w:space="0" w:color="auto"/>
      </w:divBdr>
    </w:div>
    <w:div w:id="1632437138">
      <w:bodyDiv w:val="1"/>
      <w:marLeft w:val="0"/>
      <w:marRight w:val="0"/>
      <w:marTop w:val="0"/>
      <w:marBottom w:val="0"/>
      <w:divBdr>
        <w:top w:val="none" w:sz="0" w:space="0" w:color="auto"/>
        <w:left w:val="none" w:sz="0" w:space="0" w:color="auto"/>
        <w:bottom w:val="none" w:sz="0" w:space="0" w:color="auto"/>
        <w:right w:val="none" w:sz="0" w:space="0" w:color="auto"/>
      </w:divBdr>
    </w:div>
    <w:div w:id="1632438575">
      <w:bodyDiv w:val="1"/>
      <w:marLeft w:val="0"/>
      <w:marRight w:val="0"/>
      <w:marTop w:val="0"/>
      <w:marBottom w:val="0"/>
      <w:divBdr>
        <w:top w:val="none" w:sz="0" w:space="0" w:color="auto"/>
        <w:left w:val="none" w:sz="0" w:space="0" w:color="auto"/>
        <w:bottom w:val="none" w:sz="0" w:space="0" w:color="auto"/>
        <w:right w:val="none" w:sz="0" w:space="0" w:color="auto"/>
      </w:divBdr>
    </w:div>
    <w:div w:id="1632444601">
      <w:bodyDiv w:val="1"/>
      <w:marLeft w:val="0"/>
      <w:marRight w:val="0"/>
      <w:marTop w:val="0"/>
      <w:marBottom w:val="0"/>
      <w:divBdr>
        <w:top w:val="none" w:sz="0" w:space="0" w:color="auto"/>
        <w:left w:val="none" w:sz="0" w:space="0" w:color="auto"/>
        <w:bottom w:val="none" w:sz="0" w:space="0" w:color="auto"/>
        <w:right w:val="none" w:sz="0" w:space="0" w:color="auto"/>
      </w:divBdr>
    </w:div>
    <w:div w:id="1632637829">
      <w:bodyDiv w:val="1"/>
      <w:marLeft w:val="0"/>
      <w:marRight w:val="0"/>
      <w:marTop w:val="0"/>
      <w:marBottom w:val="0"/>
      <w:divBdr>
        <w:top w:val="none" w:sz="0" w:space="0" w:color="auto"/>
        <w:left w:val="none" w:sz="0" w:space="0" w:color="auto"/>
        <w:bottom w:val="none" w:sz="0" w:space="0" w:color="auto"/>
        <w:right w:val="none" w:sz="0" w:space="0" w:color="auto"/>
      </w:divBdr>
    </w:div>
    <w:div w:id="1632705794">
      <w:bodyDiv w:val="1"/>
      <w:marLeft w:val="0"/>
      <w:marRight w:val="0"/>
      <w:marTop w:val="0"/>
      <w:marBottom w:val="0"/>
      <w:divBdr>
        <w:top w:val="none" w:sz="0" w:space="0" w:color="auto"/>
        <w:left w:val="none" w:sz="0" w:space="0" w:color="auto"/>
        <w:bottom w:val="none" w:sz="0" w:space="0" w:color="auto"/>
        <w:right w:val="none" w:sz="0" w:space="0" w:color="auto"/>
      </w:divBdr>
    </w:div>
    <w:div w:id="1632714336">
      <w:bodyDiv w:val="1"/>
      <w:marLeft w:val="0"/>
      <w:marRight w:val="0"/>
      <w:marTop w:val="0"/>
      <w:marBottom w:val="0"/>
      <w:divBdr>
        <w:top w:val="none" w:sz="0" w:space="0" w:color="auto"/>
        <w:left w:val="none" w:sz="0" w:space="0" w:color="auto"/>
        <w:bottom w:val="none" w:sz="0" w:space="0" w:color="auto"/>
        <w:right w:val="none" w:sz="0" w:space="0" w:color="auto"/>
      </w:divBdr>
    </w:div>
    <w:div w:id="1632832179">
      <w:bodyDiv w:val="1"/>
      <w:marLeft w:val="0"/>
      <w:marRight w:val="0"/>
      <w:marTop w:val="0"/>
      <w:marBottom w:val="0"/>
      <w:divBdr>
        <w:top w:val="none" w:sz="0" w:space="0" w:color="auto"/>
        <w:left w:val="none" w:sz="0" w:space="0" w:color="auto"/>
        <w:bottom w:val="none" w:sz="0" w:space="0" w:color="auto"/>
        <w:right w:val="none" w:sz="0" w:space="0" w:color="auto"/>
      </w:divBdr>
    </w:div>
    <w:div w:id="1632861119">
      <w:bodyDiv w:val="1"/>
      <w:marLeft w:val="0"/>
      <w:marRight w:val="0"/>
      <w:marTop w:val="0"/>
      <w:marBottom w:val="0"/>
      <w:divBdr>
        <w:top w:val="none" w:sz="0" w:space="0" w:color="auto"/>
        <w:left w:val="none" w:sz="0" w:space="0" w:color="auto"/>
        <w:bottom w:val="none" w:sz="0" w:space="0" w:color="auto"/>
        <w:right w:val="none" w:sz="0" w:space="0" w:color="auto"/>
      </w:divBdr>
    </w:div>
    <w:div w:id="1632978528">
      <w:bodyDiv w:val="1"/>
      <w:marLeft w:val="0"/>
      <w:marRight w:val="0"/>
      <w:marTop w:val="0"/>
      <w:marBottom w:val="0"/>
      <w:divBdr>
        <w:top w:val="none" w:sz="0" w:space="0" w:color="auto"/>
        <w:left w:val="none" w:sz="0" w:space="0" w:color="auto"/>
        <w:bottom w:val="none" w:sz="0" w:space="0" w:color="auto"/>
        <w:right w:val="none" w:sz="0" w:space="0" w:color="auto"/>
      </w:divBdr>
    </w:div>
    <w:div w:id="1633049118">
      <w:bodyDiv w:val="1"/>
      <w:marLeft w:val="0"/>
      <w:marRight w:val="0"/>
      <w:marTop w:val="0"/>
      <w:marBottom w:val="0"/>
      <w:divBdr>
        <w:top w:val="none" w:sz="0" w:space="0" w:color="auto"/>
        <w:left w:val="none" w:sz="0" w:space="0" w:color="auto"/>
        <w:bottom w:val="none" w:sz="0" w:space="0" w:color="auto"/>
        <w:right w:val="none" w:sz="0" w:space="0" w:color="auto"/>
      </w:divBdr>
    </w:div>
    <w:div w:id="1633058089">
      <w:bodyDiv w:val="1"/>
      <w:marLeft w:val="0"/>
      <w:marRight w:val="0"/>
      <w:marTop w:val="0"/>
      <w:marBottom w:val="0"/>
      <w:divBdr>
        <w:top w:val="none" w:sz="0" w:space="0" w:color="auto"/>
        <w:left w:val="none" w:sz="0" w:space="0" w:color="auto"/>
        <w:bottom w:val="none" w:sz="0" w:space="0" w:color="auto"/>
        <w:right w:val="none" w:sz="0" w:space="0" w:color="auto"/>
      </w:divBdr>
    </w:div>
    <w:div w:id="1633168636">
      <w:bodyDiv w:val="1"/>
      <w:marLeft w:val="0"/>
      <w:marRight w:val="0"/>
      <w:marTop w:val="0"/>
      <w:marBottom w:val="0"/>
      <w:divBdr>
        <w:top w:val="none" w:sz="0" w:space="0" w:color="auto"/>
        <w:left w:val="none" w:sz="0" w:space="0" w:color="auto"/>
        <w:bottom w:val="none" w:sz="0" w:space="0" w:color="auto"/>
        <w:right w:val="none" w:sz="0" w:space="0" w:color="auto"/>
      </w:divBdr>
    </w:div>
    <w:div w:id="1633173121">
      <w:bodyDiv w:val="1"/>
      <w:marLeft w:val="0"/>
      <w:marRight w:val="0"/>
      <w:marTop w:val="0"/>
      <w:marBottom w:val="0"/>
      <w:divBdr>
        <w:top w:val="none" w:sz="0" w:space="0" w:color="auto"/>
        <w:left w:val="none" w:sz="0" w:space="0" w:color="auto"/>
        <w:bottom w:val="none" w:sz="0" w:space="0" w:color="auto"/>
        <w:right w:val="none" w:sz="0" w:space="0" w:color="auto"/>
      </w:divBdr>
    </w:div>
    <w:div w:id="1633365485">
      <w:bodyDiv w:val="1"/>
      <w:marLeft w:val="0"/>
      <w:marRight w:val="0"/>
      <w:marTop w:val="0"/>
      <w:marBottom w:val="0"/>
      <w:divBdr>
        <w:top w:val="none" w:sz="0" w:space="0" w:color="auto"/>
        <w:left w:val="none" w:sz="0" w:space="0" w:color="auto"/>
        <w:bottom w:val="none" w:sz="0" w:space="0" w:color="auto"/>
        <w:right w:val="none" w:sz="0" w:space="0" w:color="auto"/>
      </w:divBdr>
    </w:div>
    <w:div w:id="1633512367">
      <w:bodyDiv w:val="1"/>
      <w:marLeft w:val="0"/>
      <w:marRight w:val="0"/>
      <w:marTop w:val="0"/>
      <w:marBottom w:val="0"/>
      <w:divBdr>
        <w:top w:val="none" w:sz="0" w:space="0" w:color="auto"/>
        <w:left w:val="none" w:sz="0" w:space="0" w:color="auto"/>
        <w:bottom w:val="none" w:sz="0" w:space="0" w:color="auto"/>
        <w:right w:val="none" w:sz="0" w:space="0" w:color="auto"/>
      </w:divBdr>
    </w:div>
    <w:div w:id="1633513026">
      <w:bodyDiv w:val="1"/>
      <w:marLeft w:val="0"/>
      <w:marRight w:val="0"/>
      <w:marTop w:val="0"/>
      <w:marBottom w:val="0"/>
      <w:divBdr>
        <w:top w:val="none" w:sz="0" w:space="0" w:color="auto"/>
        <w:left w:val="none" w:sz="0" w:space="0" w:color="auto"/>
        <w:bottom w:val="none" w:sz="0" w:space="0" w:color="auto"/>
        <w:right w:val="none" w:sz="0" w:space="0" w:color="auto"/>
      </w:divBdr>
    </w:div>
    <w:div w:id="1633556772">
      <w:bodyDiv w:val="1"/>
      <w:marLeft w:val="0"/>
      <w:marRight w:val="0"/>
      <w:marTop w:val="0"/>
      <w:marBottom w:val="0"/>
      <w:divBdr>
        <w:top w:val="none" w:sz="0" w:space="0" w:color="auto"/>
        <w:left w:val="none" w:sz="0" w:space="0" w:color="auto"/>
        <w:bottom w:val="none" w:sz="0" w:space="0" w:color="auto"/>
        <w:right w:val="none" w:sz="0" w:space="0" w:color="auto"/>
      </w:divBdr>
    </w:div>
    <w:div w:id="1633749110">
      <w:bodyDiv w:val="1"/>
      <w:marLeft w:val="0"/>
      <w:marRight w:val="0"/>
      <w:marTop w:val="0"/>
      <w:marBottom w:val="0"/>
      <w:divBdr>
        <w:top w:val="none" w:sz="0" w:space="0" w:color="auto"/>
        <w:left w:val="none" w:sz="0" w:space="0" w:color="auto"/>
        <w:bottom w:val="none" w:sz="0" w:space="0" w:color="auto"/>
        <w:right w:val="none" w:sz="0" w:space="0" w:color="auto"/>
      </w:divBdr>
    </w:div>
    <w:div w:id="1633823640">
      <w:bodyDiv w:val="1"/>
      <w:marLeft w:val="0"/>
      <w:marRight w:val="0"/>
      <w:marTop w:val="0"/>
      <w:marBottom w:val="0"/>
      <w:divBdr>
        <w:top w:val="none" w:sz="0" w:space="0" w:color="auto"/>
        <w:left w:val="none" w:sz="0" w:space="0" w:color="auto"/>
        <w:bottom w:val="none" w:sz="0" w:space="0" w:color="auto"/>
        <w:right w:val="none" w:sz="0" w:space="0" w:color="auto"/>
      </w:divBdr>
    </w:div>
    <w:div w:id="1633897343">
      <w:bodyDiv w:val="1"/>
      <w:marLeft w:val="0"/>
      <w:marRight w:val="0"/>
      <w:marTop w:val="0"/>
      <w:marBottom w:val="0"/>
      <w:divBdr>
        <w:top w:val="none" w:sz="0" w:space="0" w:color="auto"/>
        <w:left w:val="none" w:sz="0" w:space="0" w:color="auto"/>
        <w:bottom w:val="none" w:sz="0" w:space="0" w:color="auto"/>
        <w:right w:val="none" w:sz="0" w:space="0" w:color="auto"/>
      </w:divBdr>
    </w:div>
    <w:div w:id="1634019555">
      <w:bodyDiv w:val="1"/>
      <w:marLeft w:val="0"/>
      <w:marRight w:val="0"/>
      <w:marTop w:val="0"/>
      <w:marBottom w:val="0"/>
      <w:divBdr>
        <w:top w:val="none" w:sz="0" w:space="0" w:color="auto"/>
        <w:left w:val="none" w:sz="0" w:space="0" w:color="auto"/>
        <w:bottom w:val="none" w:sz="0" w:space="0" w:color="auto"/>
        <w:right w:val="none" w:sz="0" w:space="0" w:color="auto"/>
      </w:divBdr>
    </w:div>
    <w:div w:id="1634020174">
      <w:bodyDiv w:val="1"/>
      <w:marLeft w:val="0"/>
      <w:marRight w:val="0"/>
      <w:marTop w:val="0"/>
      <w:marBottom w:val="0"/>
      <w:divBdr>
        <w:top w:val="none" w:sz="0" w:space="0" w:color="auto"/>
        <w:left w:val="none" w:sz="0" w:space="0" w:color="auto"/>
        <w:bottom w:val="none" w:sz="0" w:space="0" w:color="auto"/>
        <w:right w:val="none" w:sz="0" w:space="0" w:color="auto"/>
      </w:divBdr>
    </w:div>
    <w:div w:id="1634094208">
      <w:bodyDiv w:val="1"/>
      <w:marLeft w:val="0"/>
      <w:marRight w:val="0"/>
      <w:marTop w:val="0"/>
      <w:marBottom w:val="0"/>
      <w:divBdr>
        <w:top w:val="none" w:sz="0" w:space="0" w:color="auto"/>
        <w:left w:val="none" w:sz="0" w:space="0" w:color="auto"/>
        <w:bottom w:val="none" w:sz="0" w:space="0" w:color="auto"/>
        <w:right w:val="none" w:sz="0" w:space="0" w:color="auto"/>
      </w:divBdr>
    </w:div>
    <w:div w:id="1634140926">
      <w:bodyDiv w:val="1"/>
      <w:marLeft w:val="0"/>
      <w:marRight w:val="0"/>
      <w:marTop w:val="0"/>
      <w:marBottom w:val="0"/>
      <w:divBdr>
        <w:top w:val="none" w:sz="0" w:space="0" w:color="auto"/>
        <w:left w:val="none" w:sz="0" w:space="0" w:color="auto"/>
        <w:bottom w:val="none" w:sz="0" w:space="0" w:color="auto"/>
        <w:right w:val="none" w:sz="0" w:space="0" w:color="auto"/>
      </w:divBdr>
    </w:div>
    <w:div w:id="1634360476">
      <w:bodyDiv w:val="1"/>
      <w:marLeft w:val="0"/>
      <w:marRight w:val="0"/>
      <w:marTop w:val="0"/>
      <w:marBottom w:val="0"/>
      <w:divBdr>
        <w:top w:val="none" w:sz="0" w:space="0" w:color="auto"/>
        <w:left w:val="none" w:sz="0" w:space="0" w:color="auto"/>
        <w:bottom w:val="none" w:sz="0" w:space="0" w:color="auto"/>
        <w:right w:val="none" w:sz="0" w:space="0" w:color="auto"/>
      </w:divBdr>
    </w:div>
    <w:div w:id="1634477970">
      <w:bodyDiv w:val="1"/>
      <w:marLeft w:val="0"/>
      <w:marRight w:val="0"/>
      <w:marTop w:val="0"/>
      <w:marBottom w:val="0"/>
      <w:divBdr>
        <w:top w:val="none" w:sz="0" w:space="0" w:color="auto"/>
        <w:left w:val="none" w:sz="0" w:space="0" w:color="auto"/>
        <w:bottom w:val="none" w:sz="0" w:space="0" w:color="auto"/>
        <w:right w:val="none" w:sz="0" w:space="0" w:color="auto"/>
      </w:divBdr>
    </w:div>
    <w:div w:id="1634480225">
      <w:bodyDiv w:val="1"/>
      <w:marLeft w:val="0"/>
      <w:marRight w:val="0"/>
      <w:marTop w:val="0"/>
      <w:marBottom w:val="0"/>
      <w:divBdr>
        <w:top w:val="none" w:sz="0" w:space="0" w:color="auto"/>
        <w:left w:val="none" w:sz="0" w:space="0" w:color="auto"/>
        <w:bottom w:val="none" w:sz="0" w:space="0" w:color="auto"/>
        <w:right w:val="none" w:sz="0" w:space="0" w:color="auto"/>
      </w:divBdr>
    </w:div>
    <w:div w:id="1634482042">
      <w:bodyDiv w:val="1"/>
      <w:marLeft w:val="0"/>
      <w:marRight w:val="0"/>
      <w:marTop w:val="0"/>
      <w:marBottom w:val="0"/>
      <w:divBdr>
        <w:top w:val="none" w:sz="0" w:space="0" w:color="auto"/>
        <w:left w:val="none" w:sz="0" w:space="0" w:color="auto"/>
        <w:bottom w:val="none" w:sz="0" w:space="0" w:color="auto"/>
        <w:right w:val="none" w:sz="0" w:space="0" w:color="auto"/>
      </w:divBdr>
    </w:div>
    <w:div w:id="1634482665">
      <w:bodyDiv w:val="1"/>
      <w:marLeft w:val="0"/>
      <w:marRight w:val="0"/>
      <w:marTop w:val="0"/>
      <w:marBottom w:val="0"/>
      <w:divBdr>
        <w:top w:val="none" w:sz="0" w:space="0" w:color="auto"/>
        <w:left w:val="none" w:sz="0" w:space="0" w:color="auto"/>
        <w:bottom w:val="none" w:sz="0" w:space="0" w:color="auto"/>
        <w:right w:val="none" w:sz="0" w:space="0" w:color="auto"/>
      </w:divBdr>
    </w:div>
    <w:div w:id="1634603398">
      <w:bodyDiv w:val="1"/>
      <w:marLeft w:val="0"/>
      <w:marRight w:val="0"/>
      <w:marTop w:val="0"/>
      <w:marBottom w:val="0"/>
      <w:divBdr>
        <w:top w:val="none" w:sz="0" w:space="0" w:color="auto"/>
        <w:left w:val="none" w:sz="0" w:space="0" w:color="auto"/>
        <w:bottom w:val="none" w:sz="0" w:space="0" w:color="auto"/>
        <w:right w:val="none" w:sz="0" w:space="0" w:color="auto"/>
      </w:divBdr>
    </w:div>
    <w:div w:id="1634680001">
      <w:bodyDiv w:val="1"/>
      <w:marLeft w:val="0"/>
      <w:marRight w:val="0"/>
      <w:marTop w:val="0"/>
      <w:marBottom w:val="0"/>
      <w:divBdr>
        <w:top w:val="none" w:sz="0" w:space="0" w:color="auto"/>
        <w:left w:val="none" w:sz="0" w:space="0" w:color="auto"/>
        <w:bottom w:val="none" w:sz="0" w:space="0" w:color="auto"/>
        <w:right w:val="none" w:sz="0" w:space="0" w:color="auto"/>
      </w:divBdr>
    </w:div>
    <w:div w:id="1634746339">
      <w:bodyDiv w:val="1"/>
      <w:marLeft w:val="0"/>
      <w:marRight w:val="0"/>
      <w:marTop w:val="0"/>
      <w:marBottom w:val="0"/>
      <w:divBdr>
        <w:top w:val="none" w:sz="0" w:space="0" w:color="auto"/>
        <w:left w:val="none" w:sz="0" w:space="0" w:color="auto"/>
        <w:bottom w:val="none" w:sz="0" w:space="0" w:color="auto"/>
        <w:right w:val="none" w:sz="0" w:space="0" w:color="auto"/>
      </w:divBdr>
    </w:div>
    <w:div w:id="1634796533">
      <w:bodyDiv w:val="1"/>
      <w:marLeft w:val="0"/>
      <w:marRight w:val="0"/>
      <w:marTop w:val="0"/>
      <w:marBottom w:val="0"/>
      <w:divBdr>
        <w:top w:val="none" w:sz="0" w:space="0" w:color="auto"/>
        <w:left w:val="none" w:sz="0" w:space="0" w:color="auto"/>
        <w:bottom w:val="none" w:sz="0" w:space="0" w:color="auto"/>
        <w:right w:val="none" w:sz="0" w:space="0" w:color="auto"/>
      </w:divBdr>
    </w:div>
    <w:div w:id="1634826964">
      <w:bodyDiv w:val="1"/>
      <w:marLeft w:val="0"/>
      <w:marRight w:val="0"/>
      <w:marTop w:val="0"/>
      <w:marBottom w:val="0"/>
      <w:divBdr>
        <w:top w:val="none" w:sz="0" w:space="0" w:color="auto"/>
        <w:left w:val="none" w:sz="0" w:space="0" w:color="auto"/>
        <w:bottom w:val="none" w:sz="0" w:space="0" w:color="auto"/>
        <w:right w:val="none" w:sz="0" w:space="0" w:color="auto"/>
      </w:divBdr>
    </w:div>
    <w:div w:id="1634873525">
      <w:bodyDiv w:val="1"/>
      <w:marLeft w:val="0"/>
      <w:marRight w:val="0"/>
      <w:marTop w:val="0"/>
      <w:marBottom w:val="0"/>
      <w:divBdr>
        <w:top w:val="none" w:sz="0" w:space="0" w:color="auto"/>
        <w:left w:val="none" w:sz="0" w:space="0" w:color="auto"/>
        <w:bottom w:val="none" w:sz="0" w:space="0" w:color="auto"/>
        <w:right w:val="none" w:sz="0" w:space="0" w:color="auto"/>
      </w:divBdr>
    </w:div>
    <w:div w:id="1634947321">
      <w:bodyDiv w:val="1"/>
      <w:marLeft w:val="0"/>
      <w:marRight w:val="0"/>
      <w:marTop w:val="0"/>
      <w:marBottom w:val="0"/>
      <w:divBdr>
        <w:top w:val="none" w:sz="0" w:space="0" w:color="auto"/>
        <w:left w:val="none" w:sz="0" w:space="0" w:color="auto"/>
        <w:bottom w:val="none" w:sz="0" w:space="0" w:color="auto"/>
        <w:right w:val="none" w:sz="0" w:space="0" w:color="auto"/>
      </w:divBdr>
    </w:div>
    <w:div w:id="1635017830">
      <w:bodyDiv w:val="1"/>
      <w:marLeft w:val="0"/>
      <w:marRight w:val="0"/>
      <w:marTop w:val="0"/>
      <w:marBottom w:val="0"/>
      <w:divBdr>
        <w:top w:val="none" w:sz="0" w:space="0" w:color="auto"/>
        <w:left w:val="none" w:sz="0" w:space="0" w:color="auto"/>
        <w:bottom w:val="none" w:sz="0" w:space="0" w:color="auto"/>
        <w:right w:val="none" w:sz="0" w:space="0" w:color="auto"/>
      </w:divBdr>
    </w:div>
    <w:div w:id="1635059362">
      <w:bodyDiv w:val="1"/>
      <w:marLeft w:val="0"/>
      <w:marRight w:val="0"/>
      <w:marTop w:val="0"/>
      <w:marBottom w:val="0"/>
      <w:divBdr>
        <w:top w:val="none" w:sz="0" w:space="0" w:color="auto"/>
        <w:left w:val="none" w:sz="0" w:space="0" w:color="auto"/>
        <w:bottom w:val="none" w:sz="0" w:space="0" w:color="auto"/>
        <w:right w:val="none" w:sz="0" w:space="0" w:color="auto"/>
      </w:divBdr>
    </w:div>
    <w:div w:id="1635062573">
      <w:bodyDiv w:val="1"/>
      <w:marLeft w:val="0"/>
      <w:marRight w:val="0"/>
      <w:marTop w:val="0"/>
      <w:marBottom w:val="0"/>
      <w:divBdr>
        <w:top w:val="none" w:sz="0" w:space="0" w:color="auto"/>
        <w:left w:val="none" w:sz="0" w:space="0" w:color="auto"/>
        <w:bottom w:val="none" w:sz="0" w:space="0" w:color="auto"/>
        <w:right w:val="none" w:sz="0" w:space="0" w:color="auto"/>
      </w:divBdr>
    </w:div>
    <w:div w:id="1635065371">
      <w:bodyDiv w:val="1"/>
      <w:marLeft w:val="0"/>
      <w:marRight w:val="0"/>
      <w:marTop w:val="0"/>
      <w:marBottom w:val="0"/>
      <w:divBdr>
        <w:top w:val="none" w:sz="0" w:space="0" w:color="auto"/>
        <w:left w:val="none" w:sz="0" w:space="0" w:color="auto"/>
        <w:bottom w:val="none" w:sz="0" w:space="0" w:color="auto"/>
        <w:right w:val="none" w:sz="0" w:space="0" w:color="auto"/>
      </w:divBdr>
    </w:div>
    <w:div w:id="1635286156">
      <w:bodyDiv w:val="1"/>
      <w:marLeft w:val="0"/>
      <w:marRight w:val="0"/>
      <w:marTop w:val="0"/>
      <w:marBottom w:val="0"/>
      <w:divBdr>
        <w:top w:val="none" w:sz="0" w:space="0" w:color="auto"/>
        <w:left w:val="none" w:sz="0" w:space="0" w:color="auto"/>
        <w:bottom w:val="none" w:sz="0" w:space="0" w:color="auto"/>
        <w:right w:val="none" w:sz="0" w:space="0" w:color="auto"/>
      </w:divBdr>
    </w:div>
    <w:div w:id="1635478939">
      <w:bodyDiv w:val="1"/>
      <w:marLeft w:val="0"/>
      <w:marRight w:val="0"/>
      <w:marTop w:val="0"/>
      <w:marBottom w:val="0"/>
      <w:divBdr>
        <w:top w:val="none" w:sz="0" w:space="0" w:color="auto"/>
        <w:left w:val="none" w:sz="0" w:space="0" w:color="auto"/>
        <w:bottom w:val="none" w:sz="0" w:space="0" w:color="auto"/>
        <w:right w:val="none" w:sz="0" w:space="0" w:color="auto"/>
      </w:divBdr>
    </w:div>
    <w:div w:id="1635480726">
      <w:bodyDiv w:val="1"/>
      <w:marLeft w:val="0"/>
      <w:marRight w:val="0"/>
      <w:marTop w:val="0"/>
      <w:marBottom w:val="0"/>
      <w:divBdr>
        <w:top w:val="none" w:sz="0" w:space="0" w:color="auto"/>
        <w:left w:val="none" w:sz="0" w:space="0" w:color="auto"/>
        <w:bottom w:val="none" w:sz="0" w:space="0" w:color="auto"/>
        <w:right w:val="none" w:sz="0" w:space="0" w:color="auto"/>
      </w:divBdr>
    </w:div>
    <w:div w:id="1635520837">
      <w:bodyDiv w:val="1"/>
      <w:marLeft w:val="0"/>
      <w:marRight w:val="0"/>
      <w:marTop w:val="0"/>
      <w:marBottom w:val="0"/>
      <w:divBdr>
        <w:top w:val="none" w:sz="0" w:space="0" w:color="auto"/>
        <w:left w:val="none" w:sz="0" w:space="0" w:color="auto"/>
        <w:bottom w:val="none" w:sz="0" w:space="0" w:color="auto"/>
        <w:right w:val="none" w:sz="0" w:space="0" w:color="auto"/>
      </w:divBdr>
    </w:div>
    <w:div w:id="1635599412">
      <w:bodyDiv w:val="1"/>
      <w:marLeft w:val="0"/>
      <w:marRight w:val="0"/>
      <w:marTop w:val="0"/>
      <w:marBottom w:val="0"/>
      <w:divBdr>
        <w:top w:val="none" w:sz="0" w:space="0" w:color="auto"/>
        <w:left w:val="none" w:sz="0" w:space="0" w:color="auto"/>
        <w:bottom w:val="none" w:sz="0" w:space="0" w:color="auto"/>
        <w:right w:val="none" w:sz="0" w:space="0" w:color="auto"/>
      </w:divBdr>
    </w:div>
    <w:div w:id="1635675625">
      <w:bodyDiv w:val="1"/>
      <w:marLeft w:val="0"/>
      <w:marRight w:val="0"/>
      <w:marTop w:val="0"/>
      <w:marBottom w:val="0"/>
      <w:divBdr>
        <w:top w:val="none" w:sz="0" w:space="0" w:color="auto"/>
        <w:left w:val="none" w:sz="0" w:space="0" w:color="auto"/>
        <w:bottom w:val="none" w:sz="0" w:space="0" w:color="auto"/>
        <w:right w:val="none" w:sz="0" w:space="0" w:color="auto"/>
      </w:divBdr>
    </w:div>
    <w:div w:id="1635714729">
      <w:bodyDiv w:val="1"/>
      <w:marLeft w:val="0"/>
      <w:marRight w:val="0"/>
      <w:marTop w:val="0"/>
      <w:marBottom w:val="0"/>
      <w:divBdr>
        <w:top w:val="none" w:sz="0" w:space="0" w:color="auto"/>
        <w:left w:val="none" w:sz="0" w:space="0" w:color="auto"/>
        <w:bottom w:val="none" w:sz="0" w:space="0" w:color="auto"/>
        <w:right w:val="none" w:sz="0" w:space="0" w:color="auto"/>
      </w:divBdr>
    </w:div>
    <w:div w:id="1635716852">
      <w:bodyDiv w:val="1"/>
      <w:marLeft w:val="0"/>
      <w:marRight w:val="0"/>
      <w:marTop w:val="0"/>
      <w:marBottom w:val="0"/>
      <w:divBdr>
        <w:top w:val="none" w:sz="0" w:space="0" w:color="auto"/>
        <w:left w:val="none" w:sz="0" w:space="0" w:color="auto"/>
        <w:bottom w:val="none" w:sz="0" w:space="0" w:color="auto"/>
        <w:right w:val="none" w:sz="0" w:space="0" w:color="auto"/>
      </w:divBdr>
    </w:div>
    <w:div w:id="1635790598">
      <w:bodyDiv w:val="1"/>
      <w:marLeft w:val="0"/>
      <w:marRight w:val="0"/>
      <w:marTop w:val="0"/>
      <w:marBottom w:val="0"/>
      <w:divBdr>
        <w:top w:val="none" w:sz="0" w:space="0" w:color="auto"/>
        <w:left w:val="none" w:sz="0" w:space="0" w:color="auto"/>
        <w:bottom w:val="none" w:sz="0" w:space="0" w:color="auto"/>
        <w:right w:val="none" w:sz="0" w:space="0" w:color="auto"/>
      </w:divBdr>
    </w:div>
    <w:div w:id="1635796542">
      <w:bodyDiv w:val="1"/>
      <w:marLeft w:val="0"/>
      <w:marRight w:val="0"/>
      <w:marTop w:val="0"/>
      <w:marBottom w:val="0"/>
      <w:divBdr>
        <w:top w:val="none" w:sz="0" w:space="0" w:color="auto"/>
        <w:left w:val="none" w:sz="0" w:space="0" w:color="auto"/>
        <w:bottom w:val="none" w:sz="0" w:space="0" w:color="auto"/>
        <w:right w:val="none" w:sz="0" w:space="0" w:color="auto"/>
      </w:divBdr>
    </w:div>
    <w:div w:id="1635864510">
      <w:bodyDiv w:val="1"/>
      <w:marLeft w:val="0"/>
      <w:marRight w:val="0"/>
      <w:marTop w:val="0"/>
      <w:marBottom w:val="0"/>
      <w:divBdr>
        <w:top w:val="none" w:sz="0" w:space="0" w:color="auto"/>
        <w:left w:val="none" w:sz="0" w:space="0" w:color="auto"/>
        <w:bottom w:val="none" w:sz="0" w:space="0" w:color="auto"/>
        <w:right w:val="none" w:sz="0" w:space="0" w:color="auto"/>
      </w:divBdr>
    </w:div>
    <w:div w:id="1635870904">
      <w:bodyDiv w:val="1"/>
      <w:marLeft w:val="0"/>
      <w:marRight w:val="0"/>
      <w:marTop w:val="0"/>
      <w:marBottom w:val="0"/>
      <w:divBdr>
        <w:top w:val="none" w:sz="0" w:space="0" w:color="auto"/>
        <w:left w:val="none" w:sz="0" w:space="0" w:color="auto"/>
        <w:bottom w:val="none" w:sz="0" w:space="0" w:color="auto"/>
        <w:right w:val="none" w:sz="0" w:space="0" w:color="auto"/>
      </w:divBdr>
    </w:div>
    <w:div w:id="1635940122">
      <w:bodyDiv w:val="1"/>
      <w:marLeft w:val="0"/>
      <w:marRight w:val="0"/>
      <w:marTop w:val="0"/>
      <w:marBottom w:val="0"/>
      <w:divBdr>
        <w:top w:val="none" w:sz="0" w:space="0" w:color="auto"/>
        <w:left w:val="none" w:sz="0" w:space="0" w:color="auto"/>
        <w:bottom w:val="none" w:sz="0" w:space="0" w:color="auto"/>
        <w:right w:val="none" w:sz="0" w:space="0" w:color="auto"/>
      </w:divBdr>
    </w:div>
    <w:div w:id="1635986779">
      <w:bodyDiv w:val="1"/>
      <w:marLeft w:val="0"/>
      <w:marRight w:val="0"/>
      <w:marTop w:val="0"/>
      <w:marBottom w:val="0"/>
      <w:divBdr>
        <w:top w:val="none" w:sz="0" w:space="0" w:color="auto"/>
        <w:left w:val="none" w:sz="0" w:space="0" w:color="auto"/>
        <w:bottom w:val="none" w:sz="0" w:space="0" w:color="auto"/>
        <w:right w:val="none" w:sz="0" w:space="0" w:color="auto"/>
      </w:divBdr>
    </w:div>
    <w:div w:id="1636060517">
      <w:bodyDiv w:val="1"/>
      <w:marLeft w:val="0"/>
      <w:marRight w:val="0"/>
      <w:marTop w:val="0"/>
      <w:marBottom w:val="0"/>
      <w:divBdr>
        <w:top w:val="none" w:sz="0" w:space="0" w:color="auto"/>
        <w:left w:val="none" w:sz="0" w:space="0" w:color="auto"/>
        <w:bottom w:val="none" w:sz="0" w:space="0" w:color="auto"/>
        <w:right w:val="none" w:sz="0" w:space="0" w:color="auto"/>
      </w:divBdr>
    </w:div>
    <w:div w:id="1636060672">
      <w:bodyDiv w:val="1"/>
      <w:marLeft w:val="0"/>
      <w:marRight w:val="0"/>
      <w:marTop w:val="0"/>
      <w:marBottom w:val="0"/>
      <w:divBdr>
        <w:top w:val="none" w:sz="0" w:space="0" w:color="auto"/>
        <w:left w:val="none" w:sz="0" w:space="0" w:color="auto"/>
        <w:bottom w:val="none" w:sz="0" w:space="0" w:color="auto"/>
        <w:right w:val="none" w:sz="0" w:space="0" w:color="auto"/>
      </w:divBdr>
    </w:div>
    <w:div w:id="1636370507">
      <w:bodyDiv w:val="1"/>
      <w:marLeft w:val="0"/>
      <w:marRight w:val="0"/>
      <w:marTop w:val="0"/>
      <w:marBottom w:val="0"/>
      <w:divBdr>
        <w:top w:val="none" w:sz="0" w:space="0" w:color="auto"/>
        <w:left w:val="none" w:sz="0" w:space="0" w:color="auto"/>
        <w:bottom w:val="none" w:sz="0" w:space="0" w:color="auto"/>
        <w:right w:val="none" w:sz="0" w:space="0" w:color="auto"/>
      </w:divBdr>
    </w:div>
    <w:div w:id="1636519665">
      <w:bodyDiv w:val="1"/>
      <w:marLeft w:val="0"/>
      <w:marRight w:val="0"/>
      <w:marTop w:val="0"/>
      <w:marBottom w:val="0"/>
      <w:divBdr>
        <w:top w:val="none" w:sz="0" w:space="0" w:color="auto"/>
        <w:left w:val="none" w:sz="0" w:space="0" w:color="auto"/>
        <w:bottom w:val="none" w:sz="0" w:space="0" w:color="auto"/>
        <w:right w:val="none" w:sz="0" w:space="0" w:color="auto"/>
      </w:divBdr>
    </w:div>
    <w:div w:id="1636520979">
      <w:bodyDiv w:val="1"/>
      <w:marLeft w:val="0"/>
      <w:marRight w:val="0"/>
      <w:marTop w:val="0"/>
      <w:marBottom w:val="0"/>
      <w:divBdr>
        <w:top w:val="none" w:sz="0" w:space="0" w:color="auto"/>
        <w:left w:val="none" w:sz="0" w:space="0" w:color="auto"/>
        <w:bottom w:val="none" w:sz="0" w:space="0" w:color="auto"/>
        <w:right w:val="none" w:sz="0" w:space="0" w:color="auto"/>
      </w:divBdr>
    </w:div>
    <w:div w:id="1636526167">
      <w:bodyDiv w:val="1"/>
      <w:marLeft w:val="0"/>
      <w:marRight w:val="0"/>
      <w:marTop w:val="0"/>
      <w:marBottom w:val="0"/>
      <w:divBdr>
        <w:top w:val="none" w:sz="0" w:space="0" w:color="auto"/>
        <w:left w:val="none" w:sz="0" w:space="0" w:color="auto"/>
        <w:bottom w:val="none" w:sz="0" w:space="0" w:color="auto"/>
        <w:right w:val="none" w:sz="0" w:space="0" w:color="auto"/>
      </w:divBdr>
    </w:div>
    <w:div w:id="1636642376">
      <w:bodyDiv w:val="1"/>
      <w:marLeft w:val="0"/>
      <w:marRight w:val="0"/>
      <w:marTop w:val="0"/>
      <w:marBottom w:val="0"/>
      <w:divBdr>
        <w:top w:val="none" w:sz="0" w:space="0" w:color="auto"/>
        <w:left w:val="none" w:sz="0" w:space="0" w:color="auto"/>
        <w:bottom w:val="none" w:sz="0" w:space="0" w:color="auto"/>
        <w:right w:val="none" w:sz="0" w:space="0" w:color="auto"/>
      </w:divBdr>
    </w:div>
    <w:div w:id="1636644834">
      <w:bodyDiv w:val="1"/>
      <w:marLeft w:val="0"/>
      <w:marRight w:val="0"/>
      <w:marTop w:val="0"/>
      <w:marBottom w:val="0"/>
      <w:divBdr>
        <w:top w:val="none" w:sz="0" w:space="0" w:color="auto"/>
        <w:left w:val="none" w:sz="0" w:space="0" w:color="auto"/>
        <w:bottom w:val="none" w:sz="0" w:space="0" w:color="auto"/>
        <w:right w:val="none" w:sz="0" w:space="0" w:color="auto"/>
      </w:divBdr>
    </w:div>
    <w:div w:id="1636788487">
      <w:bodyDiv w:val="1"/>
      <w:marLeft w:val="0"/>
      <w:marRight w:val="0"/>
      <w:marTop w:val="0"/>
      <w:marBottom w:val="0"/>
      <w:divBdr>
        <w:top w:val="none" w:sz="0" w:space="0" w:color="auto"/>
        <w:left w:val="none" w:sz="0" w:space="0" w:color="auto"/>
        <w:bottom w:val="none" w:sz="0" w:space="0" w:color="auto"/>
        <w:right w:val="none" w:sz="0" w:space="0" w:color="auto"/>
      </w:divBdr>
    </w:div>
    <w:div w:id="1636789851">
      <w:bodyDiv w:val="1"/>
      <w:marLeft w:val="0"/>
      <w:marRight w:val="0"/>
      <w:marTop w:val="0"/>
      <w:marBottom w:val="0"/>
      <w:divBdr>
        <w:top w:val="none" w:sz="0" w:space="0" w:color="auto"/>
        <w:left w:val="none" w:sz="0" w:space="0" w:color="auto"/>
        <w:bottom w:val="none" w:sz="0" w:space="0" w:color="auto"/>
        <w:right w:val="none" w:sz="0" w:space="0" w:color="auto"/>
      </w:divBdr>
    </w:div>
    <w:div w:id="1636831005">
      <w:bodyDiv w:val="1"/>
      <w:marLeft w:val="0"/>
      <w:marRight w:val="0"/>
      <w:marTop w:val="0"/>
      <w:marBottom w:val="0"/>
      <w:divBdr>
        <w:top w:val="none" w:sz="0" w:space="0" w:color="auto"/>
        <w:left w:val="none" w:sz="0" w:space="0" w:color="auto"/>
        <w:bottom w:val="none" w:sz="0" w:space="0" w:color="auto"/>
        <w:right w:val="none" w:sz="0" w:space="0" w:color="auto"/>
      </w:divBdr>
    </w:div>
    <w:div w:id="1636905554">
      <w:bodyDiv w:val="1"/>
      <w:marLeft w:val="0"/>
      <w:marRight w:val="0"/>
      <w:marTop w:val="0"/>
      <w:marBottom w:val="0"/>
      <w:divBdr>
        <w:top w:val="none" w:sz="0" w:space="0" w:color="auto"/>
        <w:left w:val="none" w:sz="0" w:space="0" w:color="auto"/>
        <w:bottom w:val="none" w:sz="0" w:space="0" w:color="auto"/>
        <w:right w:val="none" w:sz="0" w:space="0" w:color="auto"/>
      </w:divBdr>
    </w:div>
    <w:div w:id="1636908758">
      <w:bodyDiv w:val="1"/>
      <w:marLeft w:val="0"/>
      <w:marRight w:val="0"/>
      <w:marTop w:val="0"/>
      <w:marBottom w:val="0"/>
      <w:divBdr>
        <w:top w:val="none" w:sz="0" w:space="0" w:color="auto"/>
        <w:left w:val="none" w:sz="0" w:space="0" w:color="auto"/>
        <w:bottom w:val="none" w:sz="0" w:space="0" w:color="auto"/>
        <w:right w:val="none" w:sz="0" w:space="0" w:color="auto"/>
      </w:divBdr>
    </w:div>
    <w:div w:id="1636909172">
      <w:bodyDiv w:val="1"/>
      <w:marLeft w:val="0"/>
      <w:marRight w:val="0"/>
      <w:marTop w:val="0"/>
      <w:marBottom w:val="0"/>
      <w:divBdr>
        <w:top w:val="none" w:sz="0" w:space="0" w:color="auto"/>
        <w:left w:val="none" w:sz="0" w:space="0" w:color="auto"/>
        <w:bottom w:val="none" w:sz="0" w:space="0" w:color="auto"/>
        <w:right w:val="none" w:sz="0" w:space="0" w:color="auto"/>
      </w:divBdr>
    </w:div>
    <w:div w:id="1636982628">
      <w:bodyDiv w:val="1"/>
      <w:marLeft w:val="0"/>
      <w:marRight w:val="0"/>
      <w:marTop w:val="0"/>
      <w:marBottom w:val="0"/>
      <w:divBdr>
        <w:top w:val="none" w:sz="0" w:space="0" w:color="auto"/>
        <w:left w:val="none" w:sz="0" w:space="0" w:color="auto"/>
        <w:bottom w:val="none" w:sz="0" w:space="0" w:color="auto"/>
        <w:right w:val="none" w:sz="0" w:space="0" w:color="auto"/>
      </w:divBdr>
    </w:div>
    <w:div w:id="1636986973">
      <w:bodyDiv w:val="1"/>
      <w:marLeft w:val="0"/>
      <w:marRight w:val="0"/>
      <w:marTop w:val="0"/>
      <w:marBottom w:val="0"/>
      <w:divBdr>
        <w:top w:val="none" w:sz="0" w:space="0" w:color="auto"/>
        <w:left w:val="none" w:sz="0" w:space="0" w:color="auto"/>
        <w:bottom w:val="none" w:sz="0" w:space="0" w:color="auto"/>
        <w:right w:val="none" w:sz="0" w:space="0" w:color="auto"/>
      </w:divBdr>
    </w:div>
    <w:div w:id="1637027681">
      <w:bodyDiv w:val="1"/>
      <w:marLeft w:val="0"/>
      <w:marRight w:val="0"/>
      <w:marTop w:val="0"/>
      <w:marBottom w:val="0"/>
      <w:divBdr>
        <w:top w:val="none" w:sz="0" w:space="0" w:color="auto"/>
        <w:left w:val="none" w:sz="0" w:space="0" w:color="auto"/>
        <w:bottom w:val="none" w:sz="0" w:space="0" w:color="auto"/>
        <w:right w:val="none" w:sz="0" w:space="0" w:color="auto"/>
      </w:divBdr>
    </w:div>
    <w:div w:id="1637027890">
      <w:bodyDiv w:val="1"/>
      <w:marLeft w:val="0"/>
      <w:marRight w:val="0"/>
      <w:marTop w:val="0"/>
      <w:marBottom w:val="0"/>
      <w:divBdr>
        <w:top w:val="none" w:sz="0" w:space="0" w:color="auto"/>
        <w:left w:val="none" w:sz="0" w:space="0" w:color="auto"/>
        <w:bottom w:val="none" w:sz="0" w:space="0" w:color="auto"/>
        <w:right w:val="none" w:sz="0" w:space="0" w:color="auto"/>
      </w:divBdr>
    </w:div>
    <w:div w:id="1637371786">
      <w:bodyDiv w:val="1"/>
      <w:marLeft w:val="0"/>
      <w:marRight w:val="0"/>
      <w:marTop w:val="0"/>
      <w:marBottom w:val="0"/>
      <w:divBdr>
        <w:top w:val="none" w:sz="0" w:space="0" w:color="auto"/>
        <w:left w:val="none" w:sz="0" w:space="0" w:color="auto"/>
        <w:bottom w:val="none" w:sz="0" w:space="0" w:color="auto"/>
        <w:right w:val="none" w:sz="0" w:space="0" w:color="auto"/>
      </w:divBdr>
    </w:div>
    <w:div w:id="1637373868">
      <w:bodyDiv w:val="1"/>
      <w:marLeft w:val="0"/>
      <w:marRight w:val="0"/>
      <w:marTop w:val="0"/>
      <w:marBottom w:val="0"/>
      <w:divBdr>
        <w:top w:val="none" w:sz="0" w:space="0" w:color="auto"/>
        <w:left w:val="none" w:sz="0" w:space="0" w:color="auto"/>
        <w:bottom w:val="none" w:sz="0" w:space="0" w:color="auto"/>
        <w:right w:val="none" w:sz="0" w:space="0" w:color="auto"/>
      </w:divBdr>
    </w:div>
    <w:div w:id="1637491601">
      <w:bodyDiv w:val="1"/>
      <w:marLeft w:val="0"/>
      <w:marRight w:val="0"/>
      <w:marTop w:val="0"/>
      <w:marBottom w:val="0"/>
      <w:divBdr>
        <w:top w:val="none" w:sz="0" w:space="0" w:color="auto"/>
        <w:left w:val="none" w:sz="0" w:space="0" w:color="auto"/>
        <w:bottom w:val="none" w:sz="0" w:space="0" w:color="auto"/>
        <w:right w:val="none" w:sz="0" w:space="0" w:color="auto"/>
      </w:divBdr>
    </w:div>
    <w:div w:id="1637644807">
      <w:bodyDiv w:val="1"/>
      <w:marLeft w:val="0"/>
      <w:marRight w:val="0"/>
      <w:marTop w:val="0"/>
      <w:marBottom w:val="0"/>
      <w:divBdr>
        <w:top w:val="none" w:sz="0" w:space="0" w:color="auto"/>
        <w:left w:val="none" w:sz="0" w:space="0" w:color="auto"/>
        <w:bottom w:val="none" w:sz="0" w:space="0" w:color="auto"/>
        <w:right w:val="none" w:sz="0" w:space="0" w:color="auto"/>
      </w:divBdr>
    </w:div>
    <w:div w:id="1637684143">
      <w:bodyDiv w:val="1"/>
      <w:marLeft w:val="0"/>
      <w:marRight w:val="0"/>
      <w:marTop w:val="0"/>
      <w:marBottom w:val="0"/>
      <w:divBdr>
        <w:top w:val="none" w:sz="0" w:space="0" w:color="auto"/>
        <w:left w:val="none" w:sz="0" w:space="0" w:color="auto"/>
        <w:bottom w:val="none" w:sz="0" w:space="0" w:color="auto"/>
        <w:right w:val="none" w:sz="0" w:space="0" w:color="auto"/>
      </w:divBdr>
    </w:div>
    <w:div w:id="1637711148">
      <w:bodyDiv w:val="1"/>
      <w:marLeft w:val="0"/>
      <w:marRight w:val="0"/>
      <w:marTop w:val="0"/>
      <w:marBottom w:val="0"/>
      <w:divBdr>
        <w:top w:val="none" w:sz="0" w:space="0" w:color="auto"/>
        <w:left w:val="none" w:sz="0" w:space="0" w:color="auto"/>
        <w:bottom w:val="none" w:sz="0" w:space="0" w:color="auto"/>
        <w:right w:val="none" w:sz="0" w:space="0" w:color="auto"/>
      </w:divBdr>
    </w:div>
    <w:div w:id="1637757533">
      <w:bodyDiv w:val="1"/>
      <w:marLeft w:val="0"/>
      <w:marRight w:val="0"/>
      <w:marTop w:val="0"/>
      <w:marBottom w:val="0"/>
      <w:divBdr>
        <w:top w:val="none" w:sz="0" w:space="0" w:color="auto"/>
        <w:left w:val="none" w:sz="0" w:space="0" w:color="auto"/>
        <w:bottom w:val="none" w:sz="0" w:space="0" w:color="auto"/>
        <w:right w:val="none" w:sz="0" w:space="0" w:color="auto"/>
      </w:divBdr>
    </w:div>
    <w:div w:id="1637828905">
      <w:bodyDiv w:val="1"/>
      <w:marLeft w:val="0"/>
      <w:marRight w:val="0"/>
      <w:marTop w:val="0"/>
      <w:marBottom w:val="0"/>
      <w:divBdr>
        <w:top w:val="none" w:sz="0" w:space="0" w:color="auto"/>
        <w:left w:val="none" w:sz="0" w:space="0" w:color="auto"/>
        <w:bottom w:val="none" w:sz="0" w:space="0" w:color="auto"/>
        <w:right w:val="none" w:sz="0" w:space="0" w:color="auto"/>
      </w:divBdr>
    </w:div>
    <w:div w:id="1637831119">
      <w:bodyDiv w:val="1"/>
      <w:marLeft w:val="0"/>
      <w:marRight w:val="0"/>
      <w:marTop w:val="0"/>
      <w:marBottom w:val="0"/>
      <w:divBdr>
        <w:top w:val="none" w:sz="0" w:space="0" w:color="auto"/>
        <w:left w:val="none" w:sz="0" w:space="0" w:color="auto"/>
        <w:bottom w:val="none" w:sz="0" w:space="0" w:color="auto"/>
        <w:right w:val="none" w:sz="0" w:space="0" w:color="auto"/>
      </w:divBdr>
    </w:div>
    <w:div w:id="1637834986">
      <w:bodyDiv w:val="1"/>
      <w:marLeft w:val="0"/>
      <w:marRight w:val="0"/>
      <w:marTop w:val="0"/>
      <w:marBottom w:val="0"/>
      <w:divBdr>
        <w:top w:val="none" w:sz="0" w:space="0" w:color="auto"/>
        <w:left w:val="none" w:sz="0" w:space="0" w:color="auto"/>
        <w:bottom w:val="none" w:sz="0" w:space="0" w:color="auto"/>
        <w:right w:val="none" w:sz="0" w:space="0" w:color="auto"/>
      </w:divBdr>
    </w:div>
    <w:div w:id="1637904865">
      <w:bodyDiv w:val="1"/>
      <w:marLeft w:val="0"/>
      <w:marRight w:val="0"/>
      <w:marTop w:val="0"/>
      <w:marBottom w:val="0"/>
      <w:divBdr>
        <w:top w:val="none" w:sz="0" w:space="0" w:color="auto"/>
        <w:left w:val="none" w:sz="0" w:space="0" w:color="auto"/>
        <w:bottom w:val="none" w:sz="0" w:space="0" w:color="auto"/>
        <w:right w:val="none" w:sz="0" w:space="0" w:color="auto"/>
      </w:divBdr>
    </w:div>
    <w:div w:id="1638029762">
      <w:bodyDiv w:val="1"/>
      <w:marLeft w:val="0"/>
      <w:marRight w:val="0"/>
      <w:marTop w:val="0"/>
      <w:marBottom w:val="0"/>
      <w:divBdr>
        <w:top w:val="none" w:sz="0" w:space="0" w:color="auto"/>
        <w:left w:val="none" w:sz="0" w:space="0" w:color="auto"/>
        <w:bottom w:val="none" w:sz="0" w:space="0" w:color="auto"/>
        <w:right w:val="none" w:sz="0" w:space="0" w:color="auto"/>
      </w:divBdr>
    </w:div>
    <w:div w:id="1638101397">
      <w:bodyDiv w:val="1"/>
      <w:marLeft w:val="0"/>
      <w:marRight w:val="0"/>
      <w:marTop w:val="0"/>
      <w:marBottom w:val="0"/>
      <w:divBdr>
        <w:top w:val="none" w:sz="0" w:space="0" w:color="auto"/>
        <w:left w:val="none" w:sz="0" w:space="0" w:color="auto"/>
        <w:bottom w:val="none" w:sz="0" w:space="0" w:color="auto"/>
        <w:right w:val="none" w:sz="0" w:space="0" w:color="auto"/>
      </w:divBdr>
    </w:div>
    <w:div w:id="1638101479">
      <w:bodyDiv w:val="1"/>
      <w:marLeft w:val="0"/>
      <w:marRight w:val="0"/>
      <w:marTop w:val="0"/>
      <w:marBottom w:val="0"/>
      <w:divBdr>
        <w:top w:val="none" w:sz="0" w:space="0" w:color="auto"/>
        <w:left w:val="none" w:sz="0" w:space="0" w:color="auto"/>
        <w:bottom w:val="none" w:sz="0" w:space="0" w:color="auto"/>
        <w:right w:val="none" w:sz="0" w:space="0" w:color="auto"/>
      </w:divBdr>
    </w:div>
    <w:div w:id="1638142625">
      <w:bodyDiv w:val="1"/>
      <w:marLeft w:val="0"/>
      <w:marRight w:val="0"/>
      <w:marTop w:val="0"/>
      <w:marBottom w:val="0"/>
      <w:divBdr>
        <w:top w:val="none" w:sz="0" w:space="0" w:color="auto"/>
        <w:left w:val="none" w:sz="0" w:space="0" w:color="auto"/>
        <w:bottom w:val="none" w:sz="0" w:space="0" w:color="auto"/>
        <w:right w:val="none" w:sz="0" w:space="0" w:color="auto"/>
      </w:divBdr>
    </w:div>
    <w:div w:id="1638148092">
      <w:bodyDiv w:val="1"/>
      <w:marLeft w:val="0"/>
      <w:marRight w:val="0"/>
      <w:marTop w:val="0"/>
      <w:marBottom w:val="0"/>
      <w:divBdr>
        <w:top w:val="none" w:sz="0" w:space="0" w:color="auto"/>
        <w:left w:val="none" w:sz="0" w:space="0" w:color="auto"/>
        <w:bottom w:val="none" w:sz="0" w:space="0" w:color="auto"/>
        <w:right w:val="none" w:sz="0" w:space="0" w:color="auto"/>
      </w:divBdr>
    </w:div>
    <w:div w:id="1638216167">
      <w:bodyDiv w:val="1"/>
      <w:marLeft w:val="0"/>
      <w:marRight w:val="0"/>
      <w:marTop w:val="0"/>
      <w:marBottom w:val="0"/>
      <w:divBdr>
        <w:top w:val="none" w:sz="0" w:space="0" w:color="auto"/>
        <w:left w:val="none" w:sz="0" w:space="0" w:color="auto"/>
        <w:bottom w:val="none" w:sz="0" w:space="0" w:color="auto"/>
        <w:right w:val="none" w:sz="0" w:space="0" w:color="auto"/>
      </w:divBdr>
    </w:div>
    <w:div w:id="1638489004">
      <w:bodyDiv w:val="1"/>
      <w:marLeft w:val="0"/>
      <w:marRight w:val="0"/>
      <w:marTop w:val="0"/>
      <w:marBottom w:val="0"/>
      <w:divBdr>
        <w:top w:val="none" w:sz="0" w:space="0" w:color="auto"/>
        <w:left w:val="none" w:sz="0" w:space="0" w:color="auto"/>
        <w:bottom w:val="none" w:sz="0" w:space="0" w:color="auto"/>
        <w:right w:val="none" w:sz="0" w:space="0" w:color="auto"/>
      </w:divBdr>
    </w:div>
    <w:div w:id="1638608936">
      <w:bodyDiv w:val="1"/>
      <w:marLeft w:val="0"/>
      <w:marRight w:val="0"/>
      <w:marTop w:val="0"/>
      <w:marBottom w:val="0"/>
      <w:divBdr>
        <w:top w:val="none" w:sz="0" w:space="0" w:color="auto"/>
        <w:left w:val="none" w:sz="0" w:space="0" w:color="auto"/>
        <w:bottom w:val="none" w:sz="0" w:space="0" w:color="auto"/>
        <w:right w:val="none" w:sz="0" w:space="0" w:color="auto"/>
      </w:divBdr>
    </w:div>
    <w:div w:id="1638686967">
      <w:bodyDiv w:val="1"/>
      <w:marLeft w:val="0"/>
      <w:marRight w:val="0"/>
      <w:marTop w:val="0"/>
      <w:marBottom w:val="0"/>
      <w:divBdr>
        <w:top w:val="none" w:sz="0" w:space="0" w:color="auto"/>
        <w:left w:val="none" w:sz="0" w:space="0" w:color="auto"/>
        <w:bottom w:val="none" w:sz="0" w:space="0" w:color="auto"/>
        <w:right w:val="none" w:sz="0" w:space="0" w:color="auto"/>
      </w:divBdr>
    </w:div>
    <w:div w:id="1638759206">
      <w:bodyDiv w:val="1"/>
      <w:marLeft w:val="0"/>
      <w:marRight w:val="0"/>
      <w:marTop w:val="0"/>
      <w:marBottom w:val="0"/>
      <w:divBdr>
        <w:top w:val="none" w:sz="0" w:space="0" w:color="auto"/>
        <w:left w:val="none" w:sz="0" w:space="0" w:color="auto"/>
        <w:bottom w:val="none" w:sz="0" w:space="0" w:color="auto"/>
        <w:right w:val="none" w:sz="0" w:space="0" w:color="auto"/>
      </w:divBdr>
    </w:div>
    <w:div w:id="1638951695">
      <w:bodyDiv w:val="1"/>
      <w:marLeft w:val="0"/>
      <w:marRight w:val="0"/>
      <w:marTop w:val="0"/>
      <w:marBottom w:val="0"/>
      <w:divBdr>
        <w:top w:val="none" w:sz="0" w:space="0" w:color="auto"/>
        <w:left w:val="none" w:sz="0" w:space="0" w:color="auto"/>
        <w:bottom w:val="none" w:sz="0" w:space="0" w:color="auto"/>
        <w:right w:val="none" w:sz="0" w:space="0" w:color="auto"/>
      </w:divBdr>
    </w:div>
    <w:div w:id="1639073128">
      <w:bodyDiv w:val="1"/>
      <w:marLeft w:val="0"/>
      <w:marRight w:val="0"/>
      <w:marTop w:val="0"/>
      <w:marBottom w:val="0"/>
      <w:divBdr>
        <w:top w:val="none" w:sz="0" w:space="0" w:color="auto"/>
        <w:left w:val="none" w:sz="0" w:space="0" w:color="auto"/>
        <w:bottom w:val="none" w:sz="0" w:space="0" w:color="auto"/>
        <w:right w:val="none" w:sz="0" w:space="0" w:color="auto"/>
      </w:divBdr>
    </w:div>
    <w:div w:id="1639073757">
      <w:bodyDiv w:val="1"/>
      <w:marLeft w:val="0"/>
      <w:marRight w:val="0"/>
      <w:marTop w:val="0"/>
      <w:marBottom w:val="0"/>
      <w:divBdr>
        <w:top w:val="none" w:sz="0" w:space="0" w:color="auto"/>
        <w:left w:val="none" w:sz="0" w:space="0" w:color="auto"/>
        <w:bottom w:val="none" w:sz="0" w:space="0" w:color="auto"/>
        <w:right w:val="none" w:sz="0" w:space="0" w:color="auto"/>
      </w:divBdr>
    </w:div>
    <w:div w:id="1639143212">
      <w:bodyDiv w:val="1"/>
      <w:marLeft w:val="0"/>
      <w:marRight w:val="0"/>
      <w:marTop w:val="0"/>
      <w:marBottom w:val="0"/>
      <w:divBdr>
        <w:top w:val="none" w:sz="0" w:space="0" w:color="auto"/>
        <w:left w:val="none" w:sz="0" w:space="0" w:color="auto"/>
        <w:bottom w:val="none" w:sz="0" w:space="0" w:color="auto"/>
        <w:right w:val="none" w:sz="0" w:space="0" w:color="auto"/>
      </w:divBdr>
    </w:div>
    <w:div w:id="1639188344">
      <w:bodyDiv w:val="1"/>
      <w:marLeft w:val="0"/>
      <w:marRight w:val="0"/>
      <w:marTop w:val="0"/>
      <w:marBottom w:val="0"/>
      <w:divBdr>
        <w:top w:val="none" w:sz="0" w:space="0" w:color="auto"/>
        <w:left w:val="none" w:sz="0" w:space="0" w:color="auto"/>
        <w:bottom w:val="none" w:sz="0" w:space="0" w:color="auto"/>
        <w:right w:val="none" w:sz="0" w:space="0" w:color="auto"/>
      </w:divBdr>
    </w:div>
    <w:div w:id="1639259924">
      <w:bodyDiv w:val="1"/>
      <w:marLeft w:val="0"/>
      <w:marRight w:val="0"/>
      <w:marTop w:val="0"/>
      <w:marBottom w:val="0"/>
      <w:divBdr>
        <w:top w:val="none" w:sz="0" w:space="0" w:color="auto"/>
        <w:left w:val="none" w:sz="0" w:space="0" w:color="auto"/>
        <w:bottom w:val="none" w:sz="0" w:space="0" w:color="auto"/>
        <w:right w:val="none" w:sz="0" w:space="0" w:color="auto"/>
      </w:divBdr>
    </w:div>
    <w:div w:id="1639452559">
      <w:bodyDiv w:val="1"/>
      <w:marLeft w:val="0"/>
      <w:marRight w:val="0"/>
      <w:marTop w:val="0"/>
      <w:marBottom w:val="0"/>
      <w:divBdr>
        <w:top w:val="none" w:sz="0" w:space="0" w:color="auto"/>
        <w:left w:val="none" w:sz="0" w:space="0" w:color="auto"/>
        <w:bottom w:val="none" w:sz="0" w:space="0" w:color="auto"/>
        <w:right w:val="none" w:sz="0" w:space="0" w:color="auto"/>
      </w:divBdr>
    </w:div>
    <w:div w:id="1639453992">
      <w:bodyDiv w:val="1"/>
      <w:marLeft w:val="0"/>
      <w:marRight w:val="0"/>
      <w:marTop w:val="0"/>
      <w:marBottom w:val="0"/>
      <w:divBdr>
        <w:top w:val="none" w:sz="0" w:space="0" w:color="auto"/>
        <w:left w:val="none" w:sz="0" w:space="0" w:color="auto"/>
        <w:bottom w:val="none" w:sz="0" w:space="0" w:color="auto"/>
        <w:right w:val="none" w:sz="0" w:space="0" w:color="auto"/>
      </w:divBdr>
    </w:div>
    <w:div w:id="1639526871">
      <w:bodyDiv w:val="1"/>
      <w:marLeft w:val="0"/>
      <w:marRight w:val="0"/>
      <w:marTop w:val="0"/>
      <w:marBottom w:val="0"/>
      <w:divBdr>
        <w:top w:val="none" w:sz="0" w:space="0" w:color="auto"/>
        <w:left w:val="none" w:sz="0" w:space="0" w:color="auto"/>
        <w:bottom w:val="none" w:sz="0" w:space="0" w:color="auto"/>
        <w:right w:val="none" w:sz="0" w:space="0" w:color="auto"/>
      </w:divBdr>
    </w:div>
    <w:div w:id="1639608640">
      <w:bodyDiv w:val="1"/>
      <w:marLeft w:val="0"/>
      <w:marRight w:val="0"/>
      <w:marTop w:val="0"/>
      <w:marBottom w:val="0"/>
      <w:divBdr>
        <w:top w:val="none" w:sz="0" w:space="0" w:color="auto"/>
        <w:left w:val="none" w:sz="0" w:space="0" w:color="auto"/>
        <w:bottom w:val="none" w:sz="0" w:space="0" w:color="auto"/>
        <w:right w:val="none" w:sz="0" w:space="0" w:color="auto"/>
      </w:divBdr>
    </w:div>
    <w:div w:id="1639721021">
      <w:bodyDiv w:val="1"/>
      <w:marLeft w:val="0"/>
      <w:marRight w:val="0"/>
      <w:marTop w:val="0"/>
      <w:marBottom w:val="0"/>
      <w:divBdr>
        <w:top w:val="none" w:sz="0" w:space="0" w:color="auto"/>
        <w:left w:val="none" w:sz="0" w:space="0" w:color="auto"/>
        <w:bottom w:val="none" w:sz="0" w:space="0" w:color="auto"/>
        <w:right w:val="none" w:sz="0" w:space="0" w:color="auto"/>
      </w:divBdr>
    </w:div>
    <w:div w:id="1639722343">
      <w:bodyDiv w:val="1"/>
      <w:marLeft w:val="0"/>
      <w:marRight w:val="0"/>
      <w:marTop w:val="0"/>
      <w:marBottom w:val="0"/>
      <w:divBdr>
        <w:top w:val="none" w:sz="0" w:space="0" w:color="auto"/>
        <w:left w:val="none" w:sz="0" w:space="0" w:color="auto"/>
        <w:bottom w:val="none" w:sz="0" w:space="0" w:color="auto"/>
        <w:right w:val="none" w:sz="0" w:space="0" w:color="auto"/>
      </w:divBdr>
    </w:div>
    <w:div w:id="1639912644">
      <w:bodyDiv w:val="1"/>
      <w:marLeft w:val="0"/>
      <w:marRight w:val="0"/>
      <w:marTop w:val="0"/>
      <w:marBottom w:val="0"/>
      <w:divBdr>
        <w:top w:val="none" w:sz="0" w:space="0" w:color="auto"/>
        <w:left w:val="none" w:sz="0" w:space="0" w:color="auto"/>
        <w:bottom w:val="none" w:sz="0" w:space="0" w:color="auto"/>
        <w:right w:val="none" w:sz="0" w:space="0" w:color="auto"/>
      </w:divBdr>
    </w:div>
    <w:div w:id="1640038727">
      <w:bodyDiv w:val="1"/>
      <w:marLeft w:val="0"/>
      <w:marRight w:val="0"/>
      <w:marTop w:val="0"/>
      <w:marBottom w:val="0"/>
      <w:divBdr>
        <w:top w:val="none" w:sz="0" w:space="0" w:color="auto"/>
        <w:left w:val="none" w:sz="0" w:space="0" w:color="auto"/>
        <w:bottom w:val="none" w:sz="0" w:space="0" w:color="auto"/>
        <w:right w:val="none" w:sz="0" w:space="0" w:color="auto"/>
      </w:divBdr>
    </w:div>
    <w:div w:id="1640069694">
      <w:bodyDiv w:val="1"/>
      <w:marLeft w:val="0"/>
      <w:marRight w:val="0"/>
      <w:marTop w:val="0"/>
      <w:marBottom w:val="0"/>
      <w:divBdr>
        <w:top w:val="none" w:sz="0" w:space="0" w:color="auto"/>
        <w:left w:val="none" w:sz="0" w:space="0" w:color="auto"/>
        <w:bottom w:val="none" w:sz="0" w:space="0" w:color="auto"/>
        <w:right w:val="none" w:sz="0" w:space="0" w:color="auto"/>
      </w:divBdr>
    </w:div>
    <w:div w:id="1640108631">
      <w:bodyDiv w:val="1"/>
      <w:marLeft w:val="0"/>
      <w:marRight w:val="0"/>
      <w:marTop w:val="0"/>
      <w:marBottom w:val="0"/>
      <w:divBdr>
        <w:top w:val="none" w:sz="0" w:space="0" w:color="auto"/>
        <w:left w:val="none" w:sz="0" w:space="0" w:color="auto"/>
        <w:bottom w:val="none" w:sz="0" w:space="0" w:color="auto"/>
        <w:right w:val="none" w:sz="0" w:space="0" w:color="auto"/>
      </w:divBdr>
    </w:div>
    <w:div w:id="1640450768">
      <w:bodyDiv w:val="1"/>
      <w:marLeft w:val="0"/>
      <w:marRight w:val="0"/>
      <w:marTop w:val="0"/>
      <w:marBottom w:val="0"/>
      <w:divBdr>
        <w:top w:val="none" w:sz="0" w:space="0" w:color="auto"/>
        <w:left w:val="none" w:sz="0" w:space="0" w:color="auto"/>
        <w:bottom w:val="none" w:sz="0" w:space="0" w:color="auto"/>
        <w:right w:val="none" w:sz="0" w:space="0" w:color="auto"/>
      </w:divBdr>
    </w:div>
    <w:div w:id="1640694680">
      <w:bodyDiv w:val="1"/>
      <w:marLeft w:val="0"/>
      <w:marRight w:val="0"/>
      <w:marTop w:val="0"/>
      <w:marBottom w:val="0"/>
      <w:divBdr>
        <w:top w:val="none" w:sz="0" w:space="0" w:color="auto"/>
        <w:left w:val="none" w:sz="0" w:space="0" w:color="auto"/>
        <w:bottom w:val="none" w:sz="0" w:space="0" w:color="auto"/>
        <w:right w:val="none" w:sz="0" w:space="0" w:color="auto"/>
      </w:divBdr>
    </w:div>
    <w:div w:id="1640695152">
      <w:bodyDiv w:val="1"/>
      <w:marLeft w:val="0"/>
      <w:marRight w:val="0"/>
      <w:marTop w:val="0"/>
      <w:marBottom w:val="0"/>
      <w:divBdr>
        <w:top w:val="none" w:sz="0" w:space="0" w:color="auto"/>
        <w:left w:val="none" w:sz="0" w:space="0" w:color="auto"/>
        <w:bottom w:val="none" w:sz="0" w:space="0" w:color="auto"/>
        <w:right w:val="none" w:sz="0" w:space="0" w:color="auto"/>
      </w:divBdr>
    </w:div>
    <w:div w:id="1640761436">
      <w:bodyDiv w:val="1"/>
      <w:marLeft w:val="0"/>
      <w:marRight w:val="0"/>
      <w:marTop w:val="0"/>
      <w:marBottom w:val="0"/>
      <w:divBdr>
        <w:top w:val="none" w:sz="0" w:space="0" w:color="auto"/>
        <w:left w:val="none" w:sz="0" w:space="0" w:color="auto"/>
        <w:bottom w:val="none" w:sz="0" w:space="0" w:color="auto"/>
        <w:right w:val="none" w:sz="0" w:space="0" w:color="auto"/>
      </w:divBdr>
    </w:div>
    <w:div w:id="1640765904">
      <w:bodyDiv w:val="1"/>
      <w:marLeft w:val="0"/>
      <w:marRight w:val="0"/>
      <w:marTop w:val="0"/>
      <w:marBottom w:val="0"/>
      <w:divBdr>
        <w:top w:val="none" w:sz="0" w:space="0" w:color="auto"/>
        <w:left w:val="none" w:sz="0" w:space="0" w:color="auto"/>
        <w:bottom w:val="none" w:sz="0" w:space="0" w:color="auto"/>
        <w:right w:val="none" w:sz="0" w:space="0" w:color="auto"/>
      </w:divBdr>
    </w:div>
    <w:div w:id="1640768639">
      <w:bodyDiv w:val="1"/>
      <w:marLeft w:val="0"/>
      <w:marRight w:val="0"/>
      <w:marTop w:val="0"/>
      <w:marBottom w:val="0"/>
      <w:divBdr>
        <w:top w:val="none" w:sz="0" w:space="0" w:color="auto"/>
        <w:left w:val="none" w:sz="0" w:space="0" w:color="auto"/>
        <w:bottom w:val="none" w:sz="0" w:space="0" w:color="auto"/>
        <w:right w:val="none" w:sz="0" w:space="0" w:color="auto"/>
      </w:divBdr>
    </w:div>
    <w:div w:id="1640912750">
      <w:bodyDiv w:val="1"/>
      <w:marLeft w:val="0"/>
      <w:marRight w:val="0"/>
      <w:marTop w:val="0"/>
      <w:marBottom w:val="0"/>
      <w:divBdr>
        <w:top w:val="none" w:sz="0" w:space="0" w:color="auto"/>
        <w:left w:val="none" w:sz="0" w:space="0" w:color="auto"/>
        <w:bottom w:val="none" w:sz="0" w:space="0" w:color="auto"/>
        <w:right w:val="none" w:sz="0" w:space="0" w:color="auto"/>
      </w:divBdr>
    </w:div>
    <w:div w:id="1640961006">
      <w:bodyDiv w:val="1"/>
      <w:marLeft w:val="0"/>
      <w:marRight w:val="0"/>
      <w:marTop w:val="0"/>
      <w:marBottom w:val="0"/>
      <w:divBdr>
        <w:top w:val="none" w:sz="0" w:space="0" w:color="auto"/>
        <w:left w:val="none" w:sz="0" w:space="0" w:color="auto"/>
        <w:bottom w:val="none" w:sz="0" w:space="0" w:color="auto"/>
        <w:right w:val="none" w:sz="0" w:space="0" w:color="auto"/>
      </w:divBdr>
    </w:div>
    <w:div w:id="1641106861">
      <w:bodyDiv w:val="1"/>
      <w:marLeft w:val="0"/>
      <w:marRight w:val="0"/>
      <w:marTop w:val="0"/>
      <w:marBottom w:val="0"/>
      <w:divBdr>
        <w:top w:val="none" w:sz="0" w:space="0" w:color="auto"/>
        <w:left w:val="none" w:sz="0" w:space="0" w:color="auto"/>
        <w:bottom w:val="none" w:sz="0" w:space="0" w:color="auto"/>
        <w:right w:val="none" w:sz="0" w:space="0" w:color="auto"/>
      </w:divBdr>
    </w:div>
    <w:div w:id="1641114895">
      <w:bodyDiv w:val="1"/>
      <w:marLeft w:val="0"/>
      <w:marRight w:val="0"/>
      <w:marTop w:val="0"/>
      <w:marBottom w:val="0"/>
      <w:divBdr>
        <w:top w:val="none" w:sz="0" w:space="0" w:color="auto"/>
        <w:left w:val="none" w:sz="0" w:space="0" w:color="auto"/>
        <w:bottom w:val="none" w:sz="0" w:space="0" w:color="auto"/>
        <w:right w:val="none" w:sz="0" w:space="0" w:color="auto"/>
      </w:divBdr>
    </w:div>
    <w:div w:id="1641181349">
      <w:bodyDiv w:val="1"/>
      <w:marLeft w:val="0"/>
      <w:marRight w:val="0"/>
      <w:marTop w:val="0"/>
      <w:marBottom w:val="0"/>
      <w:divBdr>
        <w:top w:val="none" w:sz="0" w:space="0" w:color="auto"/>
        <w:left w:val="none" w:sz="0" w:space="0" w:color="auto"/>
        <w:bottom w:val="none" w:sz="0" w:space="0" w:color="auto"/>
        <w:right w:val="none" w:sz="0" w:space="0" w:color="auto"/>
      </w:divBdr>
    </w:div>
    <w:div w:id="1641183591">
      <w:bodyDiv w:val="1"/>
      <w:marLeft w:val="0"/>
      <w:marRight w:val="0"/>
      <w:marTop w:val="0"/>
      <w:marBottom w:val="0"/>
      <w:divBdr>
        <w:top w:val="none" w:sz="0" w:space="0" w:color="auto"/>
        <w:left w:val="none" w:sz="0" w:space="0" w:color="auto"/>
        <w:bottom w:val="none" w:sz="0" w:space="0" w:color="auto"/>
        <w:right w:val="none" w:sz="0" w:space="0" w:color="auto"/>
      </w:divBdr>
    </w:div>
    <w:div w:id="1641227031">
      <w:bodyDiv w:val="1"/>
      <w:marLeft w:val="0"/>
      <w:marRight w:val="0"/>
      <w:marTop w:val="0"/>
      <w:marBottom w:val="0"/>
      <w:divBdr>
        <w:top w:val="none" w:sz="0" w:space="0" w:color="auto"/>
        <w:left w:val="none" w:sz="0" w:space="0" w:color="auto"/>
        <w:bottom w:val="none" w:sz="0" w:space="0" w:color="auto"/>
        <w:right w:val="none" w:sz="0" w:space="0" w:color="auto"/>
      </w:divBdr>
    </w:div>
    <w:div w:id="1641303104">
      <w:bodyDiv w:val="1"/>
      <w:marLeft w:val="0"/>
      <w:marRight w:val="0"/>
      <w:marTop w:val="0"/>
      <w:marBottom w:val="0"/>
      <w:divBdr>
        <w:top w:val="none" w:sz="0" w:space="0" w:color="auto"/>
        <w:left w:val="none" w:sz="0" w:space="0" w:color="auto"/>
        <w:bottom w:val="none" w:sz="0" w:space="0" w:color="auto"/>
        <w:right w:val="none" w:sz="0" w:space="0" w:color="auto"/>
      </w:divBdr>
    </w:div>
    <w:div w:id="1641378698">
      <w:bodyDiv w:val="1"/>
      <w:marLeft w:val="0"/>
      <w:marRight w:val="0"/>
      <w:marTop w:val="0"/>
      <w:marBottom w:val="0"/>
      <w:divBdr>
        <w:top w:val="none" w:sz="0" w:space="0" w:color="auto"/>
        <w:left w:val="none" w:sz="0" w:space="0" w:color="auto"/>
        <w:bottom w:val="none" w:sz="0" w:space="0" w:color="auto"/>
        <w:right w:val="none" w:sz="0" w:space="0" w:color="auto"/>
      </w:divBdr>
    </w:div>
    <w:div w:id="1641499707">
      <w:bodyDiv w:val="1"/>
      <w:marLeft w:val="0"/>
      <w:marRight w:val="0"/>
      <w:marTop w:val="0"/>
      <w:marBottom w:val="0"/>
      <w:divBdr>
        <w:top w:val="none" w:sz="0" w:space="0" w:color="auto"/>
        <w:left w:val="none" w:sz="0" w:space="0" w:color="auto"/>
        <w:bottom w:val="none" w:sz="0" w:space="0" w:color="auto"/>
        <w:right w:val="none" w:sz="0" w:space="0" w:color="auto"/>
      </w:divBdr>
    </w:div>
    <w:div w:id="1641500389">
      <w:bodyDiv w:val="1"/>
      <w:marLeft w:val="0"/>
      <w:marRight w:val="0"/>
      <w:marTop w:val="0"/>
      <w:marBottom w:val="0"/>
      <w:divBdr>
        <w:top w:val="none" w:sz="0" w:space="0" w:color="auto"/>
        <w:left w:val="none" w:sz="0" w:space="0" w:color="auto"/>
        <w:bottom w:val="none" w:sz="0" w:space="0" w:color="auto"/>
        <w:right w:val="none" w:sz="0" w:space="0" w:color="auto"/>
      </w:divBdr>
    </w:div>
    <w:div w:id="1641574312">
      <w:bodyDiv w:val="1"/>
      <w:marLeft w:val="0"/>
      <w:marRight w:val="0"/>
      <w:marTop w:val="0"/>
      <w:marBottom w:val="0"/>
      <w:divBdr>
        <w:top w:val="none" w:sz="0" w:space="0" w:color="auto"/>
        <w:left w:val="none" w:sz="0" w:space="0" w:color="auto"/>
        <w:bottom w:val="none" w:sz="0" w:space="0" w:color="auto"/>
        <w:right w:val="none" w:sz="0" w:space="0" w:color="auto"/>
      </w:divBdr>
    </w:div>
    <w:div w:id="1641575021">
      <w:bodyDiv w:val="1"/>
      <w:marLeft w:val="0"/>
      <w:marRight w:val="0"/>
      <w:marTop w:val="0"/>
      <w:marBottom w:val="0"/>
      <w:divBdr>
        <w:top w:val="none" w:sz="0" w:space="0" w:color="auto"/>
        <w:left w:val="none" w:sz="0" w:space="0" w:color="auto"/>
        <w:bottom w:val="none" w:sz="0" w:space="0" w:color="auto"/>
        <w:right w:val="none" w:sz="0" w:space="0" w:color="auto"/>
      </w:divBdr>
    </w:div>
    <w:div w:id="1641691287">
      <w:bodyDiv w:val="1"/>
      <w:marLeft w:val="0"/>
      <w:marRight w:val="0"/>
      <w:marTop w:val="0"/>
      <w:marBottom w:val="0"/>
      <w:divBdr>
        <w:top w:val="none" w:sz="0" w:space="0" w:color="auto"/>
        <w:left w:val="none" w:sz="0" w:space="0" w:color="auto"/>
        <w:bottom w:val="none" w:sz="0" w:space="0" w:color="auto"/>
        <w:right w:val="none" w:sz="0" w:space="0" w:color="auto"/>
      </w:divBdr>
    </w:div>
    <w:div w:id="1641836426">
      <w:bodyDiv w:val="1"/>
      <w:marLeft w:val="0"/>
      <w:marRight w:val="0"/>
      <w:marTop w:val="0"/>
      <w:marBottom w:val="0"/>
      <w:divBdr>
        <w:top w:val="none" w:sz="0" w:space="0" w:color="auto"/>
        <w:left w:val="none" w:sz="0" w:space="0" w:color="auto"/>
        <w:bottom w:val="none" w:sz="0" w:space="0" w:color="auto"/>
        <w:right w:val="none" w:sz="0" w:space="0" w:color="auto"/>
      </w:divBdr>
    </w:div>
    <w:div w:id="1641882358">
      <w:bodyDiv w:val="1"/>
      <w:marLeft w:val="0"/>
      <w:marRight w:val="0"/>
      <w:marTop w:val="0"/>
      <w:marBottom w:val="0"/>
      <w:divBdr>
        <w:top w:val="none" w:sz="0" w:space="0" w:color="auto"/>
        <w:left w:val="none" w:sz="0" w:space="0" w:color="auto"/>
        <w:bottom w:val="none" w:sz="0" w:space="0" w:color="auto"/>
        <w:right w:val="none" w:sz="0" w:space="0" w:color="auto"/>
      </w:divBdr>
    </w:div>
    <w:div w:id="1641960720">
      <w:bodyDiv w:val="1"/>
      <w:marLeft w:val="0"/>
      <w:marRight w:val="0"/>
      <w:marTop w:val="0"/>
      <w:marBottom w:val="0"/>
      <w:divBdr>
        <w:top w:val="none" w:sz="0" w:space="0" w:color="auto"/>
        <w:left w:val="none" w:sz="0" w:space="0" w:color="auto"/>
        <w:bottom w:val="none" w:sz="0" w:space="0" w:color="auto"/>
        <w:right w:val="none" w:sz="0" w:space="0" w:color="auto"/>
      </w:divBdr>
    </w:div>
    <w:div w:id="1642030417">
      <w:bodyDiv w:val="1"/>
      <w:marLeft w:val="0"/>
      <w:marRight w:val="0"/>
      <w:marTop w:val="0"/>
      <w:marBottom w:val="0"/>
      <w:divBdr>
        <w:top w:val="none" w:sz="0" w:space="0" w:color="auto"/>
        <w:left w:val="none" w:sz="0" w:space="0" w:color="auto"/>
        <w:bottom w:val="none" w:sz="0" w:space="0" w:color="auto"/>
        <w:right w:val="none" w:sz="0" w:space="0" w:color="auto"/>
      </w:divBdr>
    </w:div>
    <w:div w:id="1642149639">
      <w:bodyDiv w:val="1"/>
      <w:marLeft w:val="0"/>
      <w:marRight w:val="0"/>
      <w:marTop w:val="0"/>
      <w:marBottom w:val="0"/>
      <w:divBdr>
        <w:top w:val="none" w:sz="0" w:space="0" w:color="auto"/>
        <w:left w:val="none" w:sz="0" w:space="0" w:color="auto"/>
        <w:bottom w:val="none" w:sz="0" w:space="0" w:color="auto"/>
        <w:right w:val="none" w:sz="0" w:space="0" w:color="auto"/>
      </w:divBdr>
    </w:div>
    <w:div w:id="1642231433">
      <w:bodyDiv w:val="1"/>
      <w:marLeft w:val="0"/>
      <w:marRight w:val="0"/>
      <w:marTop w:val="0"/>
      <w:marBottom w:val="0"/>
      <w:divBdr>
        <w:top w:val="none" w:sz="0" w:space="0" w:color="auto"/>
        <w:left w:val="none" w:sz="0" w:space="0" w:color="auto"/>
        <w:bottom w:val="none" w:sz="0" w:space="0" w:color="auto"/>
        <w:right w:val="none" w:sz="0" w:space="0" w:color="auto"/>
      </w:divBdr>
    </w:div>
    <w:div w:id="1642341972">
      <w:bodyDiv w:val="1"/>
      <w:marLeft w:val="0"/>
      <w:marRight w:val="0"/>
      <w:marTop w:val="0"/>
      <w:marBottom w:val="0"/>
      <w:divBdr>
        <w:top w:val="none" w:sz="0" w:space="0" w:color="auto"/>
        <w:left w:val="none" w:sz="0" w:space="0" w:color="auto"/>
        <w:bottom w:val="none" w:sz="0" w:space="0" w:color="auto"/>
        <w:right w:val="none" w:sz="0" w:space="0" w:color="auto"/>
      </w:divBdr>
    </w:div>
    <w:div w:id="1642349003">
      <w:bodyDiv w:val="1"/>
      <w:marLeft w:val="0"/>
      <w:marRight w:val="0"/>
      <w:marTop w:val="0"/>
      <w:marBottom w:val="0"/>
      <w:divBdr>
        <w:top w:val="none" w:sz="0" w:space="0" w:color="auto"/>
        <w:left w:val="none" w:sz="0" w:space="0" w:color="auto"/>
        <w:bottom w:val="none" w:sz="0" w:space="0" w:color="auto"/>
        <w:right w:val="none" w:sz="0" w:space="0" w:color="auto"/>
      </w:divBdr>
    </w:div>
    <w:div w:id="1642492694">
      <w:bodyDiv w:val="1"/>
      <w:marLeft w:val="0"/>
      <w:marRight w:val="0"/>
      <w:marTop w:val="0"/>
      <w:marBottom w:val="0"/>
      <w:divBdr>
        <w:top w:val="none" w:sz="0" w:space="0" w:color="auto"/>
        <w:left w:val="none" w:sz="0" w:space="0" w:color="auto"/>
        <w:bottom w:val="none" w:sz="0" w:space="0" w:color="auto"/>
        <w:right w:val="none" w:sz="0" w:space="0" w:color="auto"/>
      </w:divBdr>
    </w:div>
    <w:div w:id="1642609355">
      <w:bodyDiv w:val="1"/>
      <w:marLeft w:val="0"/>
      <w:marRight w:val="0"/>
      <w:marTop w:val="0"/>
      <w:marBottom w:val="0"/>
      <w:divBdr>
        <w:top w:val="none" w:sz="0" w:space="0" w:color="auto"/>
        <w:left w:val="none" w:sz="0" w:space="0" w:color="auto"/>
        <w:bottom w:val="none" w:sz="0" w:space="0" w:color="auto"/>
        <w:right w:val="none" w:sz="0" w:space="0" w:color="auto"/>
      </w:divBdr>
    </w:div>
    <w:div w:id="1642661313">
      <w:bodyDiv w:val="1"/>
      <w:marLeft w:val="0"/>
      <w:marRight w:val="0"/>
      <w:marTop w:val="0"/>
      <w:marBottom w:val="0"/>
      <w:divBdr>
        <w:top w:val="none" w:sz="0" w:space="0" w:color="auto"/>
        <w:left w:val="none" w:sz="0" w:space="0" w:color="auto"/>
        <w:bottom w:val="none" w:sz="0" w:space="0" w:color="auto"/>
        <w:right w:val="none" w:sz="0" w:space="0" w:color="auto"/>
      </w:divBdr>
    </w:div>
    <w:div w:id="1642691591">
      <w:bodyDiv w:val="1"/>
      <w:marLeft w:val="0"/>
      <w:marRight w:val="0"/>
      <w:marTop w:val="0"/>
      <w:marBottom w:val="0"/>
      <w:divBdr>
        <w:top w:val="none" w:sz="0" w:space="0" w:color="auto"/>
        <w:left w:val="none" w:sz="0" w:space="0" w:color="auto"/>
        <w:bottom w:val="none" w:sz="0" w:space="0" w:color="auto"/>
        <w:right w:val="none" w:sz="0" w:space="0" w:color="auto"/>
      </w:divBdr>
    </w:div>
    <w:div w:id="1642733318">
      <w:bodyDiv w:val="1"/>
      <w:marLeft w:val="0"/>
      <w:marRight w:val="0"/>
      <w:marTop w:val="0"/>
      <w:marBottom w:val="0"/>
      <w:divBdr>
        <w:top w:val="none" w:sz="0" w:space="0" w:color="auto"/>
        <w:left w:val="none" w:sz="0" w:space="0" w:color="auto"/>
        <w:bottom w:val="none" w:sz="0" w:space="0" w:color="auto"/>
        <w:right w:val="none" w:sz="0" w:space="0" w:color="auto"/>
      </w:divBdr>
    </w:div>
    <w:div w:id="1642736484">
      <w:bodyDiv w:val="1"/>
      <w:marLeft w:val="0"/>
      <w:marRight w:val="0"/>
      <w:marTop w:val="0"/>
      <w:marBottom w:val="0"/>
      <w:divBdr>
        <w:top w:val="none" w:sz="0" w:space="0" w:color="auto"/>
        <w:left w:val="none" w:sz="0" w:space="0" w:color="auto"/>
        <w:bottom w:val="none" w:sz="0" w:space="0" w:color="auto"/>
        <w:right w:val="none" w:sz="0" w:space="0" w:color="auto"/>
      </w:divBdr>
    </w:div>
    <w:div w:id="1642882417">
      <w:bodyDiv w:val="1"/>
      <w:marLeft w:val="0"/>
      <w:marRight w:val="0"/>
      <w:marTop w:val="0"/>
      <w:marBottom w:val="0"/>
      <w:divBdr>
        <w:top w:val="none" w:sz="0" w:space="0" w:color="auto"/>
        <w:left w:val="none" w:sz="0" w:space="0" w:color="auto"/>
        <w:bottom w:val="none" w:sz="0" w:space="0" w:color="auto"/>
        <w:right w:val="none" w:sz="0" w:space="0" w:color="auto"/>
      </w:divBdr>
    </w:div>
    <w:div w:id="1642884033">
      <w:bodyDiv w:val="1"/>
      <w:marLeft w:val="0"/>
      <w:marRight w:val="0"/>
      <w:marTop w:val="0"/>
      <w:marBottom w:val="0"/>
      <w:divBdr>
        <w:top w:val="none" w:sz="0" w:space="0" w:color="auto"/>
        <w:left w:val="none" w:sz="0" w:space="0" w:color="auto"/>
        <w:bottom w:val="none" w:sz="0" w:space="0" w:color="auto"/>
        <w:right w:val="none" w:sz="0" w:space="0" w:color="auto"/>
      </w:divBdr>
    </w:div>
    <w:div w:id="1642996122">
      <w:bodyDiv w:val="1"/>
      <w:marLeft w:val="0"/>
      <w:marRight w:val="0"/>
      <w:marTop w:val="0"/>
      <w:marBottom w:val="0"/>
      <w:divBdr>
        <w:top w:val="none" w:sz="0" w:space="0" w:color="auto"/>
        <w:left w:val="none" w:sz="0" w:space="0" w:color="auto"/>
        <w:bottom w:val="none" w:sz="0" w:space="0" w:color="auto"/>
        <w:right w:val="none" w:sz="0" w:space="0" w:color="auto"/>
      </w:divBdr>
    </w:div>
    <w:div w:id="1642997609">
      <w:bodyDiv w:val="1"/>
      <w:marLeft w:val="0"/>
      <w:marRight w:val="0"/>
      <w:marTop w:val="0"/>
      <w:marBottom w:val="0"/>
      <w:divBdr>
        <w:top w:val="none" w:sz="0" w:space="0" w:color="auto"/>
        <w:left w:val="none" w:sz="0" w:space="0" w:color="auto"/>
        <w:bottom w:val="none" w:sz="0" w:space="0" w:color="auto"/>
        <w:right w:val="none" w:sz="0" w:space="0" w:color="auto"/>
      </w:divBdr>
    </w:div>
    <w:div w:id="1643191378">
      <w:bodyDiv w:val="1"/>
      <w:marLeft w:val="0"/>
      <w:marRight w:val="0"/>
      <w:marTop w:val="0"/>
      <w:marBottom w:val="0"/>
      <w:divBdr>
        <w:top w:val="none" w:sz="0" w:space="0" w:color="auto"/>
        <w:left w:val="none" w:sz="0" w:space="0" w:color="auto"/>
        <w:bottom w:val="none" w:sz="0" w:space="0" w:color="auto"/>
        <w:right w:val="none" w:sz="0" w:space="0" w:color="auto"/>
      </w:divBdr>
    </w:div>
    <w:div w:id="1643274112">
      <w:bodyDiv w:val="1"/>
      <w:marLeft w:val="0"/>
      <w:marRight w:val="0"/>
      <w:marTop w:val="0"/>
      <w:marBottom w:val="0"/>
      <w:divBdr>
        <w:top w:val="none" w:sz="0" w:space="0" w:color="auto"/>
        <w:left w:val="none" w:sz="0" w:space="0" w:color="auto"/>
        <w:bottom w:val="none" w:sz="0" w:space="0" w:color="auto"/>
        <w:right w:val="none" w:sz="0" w:space="0" w:color="auto"/>
      </w:divBdr>
    </w:div>
    <w:div w:id="1643340030">
      <w:bodyDiv w:val="1"/>
      <w:marLeft w:val="0"/>
      <w:marRight w:val="0"/>
      <w:marTop w:val="0"/>
      <w:marBottom w:val="0"/>
      <w:divBdr>
        <w:top w:val="none" w:sz="0" w:space="0" w:color="auto"/>
        <w:left w:val="none" w:sz="0" w:space="0" w:color="auto"/>
        <w:bottom w:val="none" w:sz="0" w:space="0" w:color="auto"/>
        <w:right w:val="none" w:sz="0" w:space="0" w:color="auto"/>
      </w:divBdr>
    </w:div>
    <w:div w:id="1643389002">
      <w:bodyDiv w:val="1"/>
      <w:marLeft w:val="0"/>
      <w:marRight w:val="0"/>
      <w:marTop w:val="0"/>
      <w:marBottom w:val="0"/>
      <w:divBdr>
        <w:top w:val="none" w:sz="0" w:space="0" w:color="auto"/>
        <w:left w:val="none" w:sz="0" w:space="0" w:color="auto"/>
        <w:bottom w:val="none" w:sz="0" w:space="0" w:color="auto"/>
        <w:right w:val="none" w:sz="0" w:space="0" w:color="auto"/>
      </w:divBdr>
    </w:div>
    <w:div w:id="1643582720">
      <w:bodyDiv w:val="1"/>
      <w:marLeft w:val="0"/>
      <w:marRight w:val="0"/>
      <w:marTop w:val="0"/>
      <w:marBottom w:val="0"/>
      <w:divBdr>
        <w:top w:val="none" w:sz="0" w:space="0" w:color="auto"/>
        <w:left w:val="none" w:sz="0" w:space="0" w:color="auto"/>
        <w:bottom w:val="none" w:sz="0" w:space="0" w:color="auto"/>
        <w:right w:val="none" w:sz="0" w:space="0" w:color="auto"/>
      </w:divBdr>
    </w:div>
    <w:div w:id="1643658946">
      <w:bodyDiv w:val="1"/>
      <w:marLeft w:val="0"/>
      <w:marRight w:val="0"/>
      <w:marTop w:val="0"/>
      <w:marBottom w:val="0"/>
      <w:divBdr>
        <w:top w:val="none" w:sz="0" w:space="0" w:color="auto"/>
        <w:left w:val="none" w:sz="0" w:space="0" w:color="auto"/>
        <w:bottom w:val="none" w:sz="0" w:space="0" w:color="auto"/>
        <w:right w:val="none" w:sz="0" w:space="0" w:color="auto"/>
      </w:divBdr>
    </w:div>
    <w:div w:id="1643659069">
      <w:bodyDiv w:val="1"/>
      <w:marLeft w:val="0"/>
      <w:marRight w:val="0"/>
      <w:marTop w:val="0"/>
      <w:marBottom w:val="0"/>
      <w:divBdr>
        <w:top w:val="none" w:sz="0" w:space="0" w:color="auto"/>
        <w:left w:val="none" w:sz="0" w:space="0" w:color="auto"/>
        <w:bottom w:val="none" w:sz="0" w:space="0" w:color="auto"/>
        <w:right w:val="none" w:sz="0" w:space="0" w:color="auto"/>
      </w:divBdr>
    </w:div>
    <w:div w:id="1643730325">
      <w:bodyDiv w:val="1"/>
      <w:marLeft w:val="0"/>
      <w:marRight w:val="0"/>
      <w:marTop w:val="0"/>
      <w:marBottom w:val="0"/>
      <w:divBdr>
        <w:top w:val="none" w:sz="0" w:space="0" w:color="auto"/>
        <w:left w:val="none" w:sz="0" w:space="0" w:color="auto"/>
        <w:bottom w:val="none" w:sz="0" w:space="0" w:color="auto"/>
        <w:right w:val="none" w:sz="0" w:space="0" w:color="auto"/>
      </w:divBdr>
      <w:divsChild>
        <w:div w:id="1589166">
          <w:marLeft w:val="0"/>
          <w:marRight w:val="0"/>
          <w:marTop w:val="0"/>
          <w:marBottom w:val="0"/>
          <w:divBdr>
            <w:top w:val="none" w:sz="0" w:space="0" w:color="auto"/>
            <w:left w:val="none" w:sz="0" w:space="0" w:color="auto"/>
            <w:bottom w:val="none" w:sz="0" w:space="0" w:color="auto"/>
            <w:right w:val="none" w:sz="0" w:space="0" w:color="auto"/>
          </w:divBdr>
        </w:div>
        <w:div w:id="6639879">
          <w:marLeft w:val="0"/>
          <w:marRight w:val="0"/>
          <w:marTop w:val="0"/>
          <w:marBottom w:val="0"/>
          <w:divBdr>
            <w:top w:val="none" w:sz="0" w:space="0" w:color="auto"/>
            <w:left w:val="none" w:sz="0" w:space="0" w:color="auto"/>
            <w:bottom w:val="none" w:sz="0" w:space="0" w:color="auto"/>
            <w:right w:val="none" w:sz="0" w:space="0" w:color="auto"/>
          </w:divBdr>
        </w:div>
        <w:div w:id="9451492">
          <w:marLeft w:val="0"/>
          <w:marRight w:val="0"/>
          <w:marTop w:val="0"/>
          <w:marBottom w:val="0"/>
          <w:divBdr>
            <w:top w:val="none" w:sz="0" w:space="0" w:color="auto"/>
            <w:left w:val="none" w:sz="0" w:space="0" w:color="auto"/>
            <w:bottom w:val="none" w:sz="0" w:space="0" w:color="auto"/>
            <w:right w:val="none" w:sz="0" w:space="0" w:color="auto"/>
          </w:divBdr>
        </w:div>
        <w:div w:id="10184353">
          <w:marLeft w:val="0"/>
          <w:marRight w:val="0"/>
          <w:marTop w:val="0"/>
          <w:marBottom w:val="0"/>
          <w:divBdr>
            <w:top w:val="none" w:sz="0" w:space="0" w:color="auto"/>
            <w:left w:val="none" w:sz="0" w:space="0" w:color="auto"/>
            <w:bottom w:val="none" w:sz="0" w:space="0" w:color="auto"/>
            <w:right w:val="none" w:sz="0" w:space="0" w:color="auto"/>
          </w:divBdr>
        </w:div>
        <w:div w:id="17394150">
          <w:marLeft w:val="0"/>
          <w:marRight w:val="0"/>
          <w:marTop w:val="0"/>
          <w:marBottom w:val="0"/>
          <w:divBdr>
            <w:top w:val="none" w:sz="0" w:space="0" w:color="auto"/>
            <w:left w:val="none" w:sz="0" w:space="0" w:color="auto"/>
            <w:bottom w:val="none" w:sz="0" w:space="0" w:color="auto"/>
            <w:right w:val="none" w:sz="0" w:space="0" w:color="auto"/>
          </w:divBdr>
        </w:div>
        <w:div w:id="37825058">
          <w:marLeft w:val="0"/>
          <w:marRight w:val="0"/>
          <w:marTop w:val="0"/>
          <w:marBottom w:val="0"/>
          <w:divBdr>
            <w:top w:val="none" w:sz="0" w:space="0" w:color="auto"/>
            <w:left w:val="none" w:sz="0" w:space="0" w:color="auto"/>
            <w:bottom w:val="none" w:sz="0" w:space="0" w:color="auto"/>
            <w:right w:val="none" w:sz="0" w:space="0" w:color="auto"/>
          </w:divBdr>
        </w:div>
        <w:div w:id="75906237">
          <w:marLeft w:val="0"/>
          <w:marRight w:val="0"/>
          <w:marTop w:val="0"/>
          <w:marBottom w:val="0"/>
          <w:divBdr>
            <w:top w:val="none" w:sz="0" w:space="0" w:color="auto"/>
            <w:left w:val="none" w:sz="0" w:space="0" w:color="auto"/>
            <w:bottom w:val="none" w:sz="0" w:space="0" w:color="auto"/>
            <w:right w:val="none" w:sz="0" w:space="0" w:color="auto"/>
          </w:divBdr>
        </w:div>
        <w:div w:id="94835279">
          <w:marLeft w:val="0"/>
          <w:marRight w:val="0"/>
          <w:marTop w:val="0"/>
          <w:marBottom w:val="0"/>
          <w:divBdr>
            <w:top w:val="none" w:sz="0" w:space="0" w:color="auto"/>
            <w:left w:val="none" w:sz="0" w:space="0" w:color="auto"/>
            <w:bottom w:val="none" w:sz="0" w:space="0" w:color="auto"/>
            <w:right w:val="none" w:sz="0" w:space="0" w:color="auto"/>
          </w:divBdr>
        </w:div>
        <w:div w:id="95946186">
          <w:marLeft w:val="0"/>
          <w:marRight w:val="0"/>
          <w:marTop w:val="0"/>
          <w:marBottom w:val="0"/>
          <w:divBdr>
            <w:top w:val="none" w:sz="0" w:space="0" w:color="auto"/>
            <w:left w:val="none" w:sz="0" w:space="0" w:color="auto"/>
            <w:bottom w:val="none" w:sz="0" w:space="0" w:color="auto"/>
            <w:right w:val="none" w:sz="0" w:space="0" w:color="auto"/>
          </w:divBdr>
        </w:div>
        <w:div w:id="101343809">
          <w:marLeft w:val="0"/>
          <w:marRight w:val="0"/>
          <w:marTop w:val="0"/>
          <w:marBottom w:val="0"/>
          <w:divBdr>
            <w:top w:val="none" w:sz="0" w:space="0" w:color="auto"/>
            <w:left w:val="none" w:sz="0" w:space="0" w:color="auto"/>
            <w:bottom w:val="none" w:sz="0" w:space="0" w:color="auto"/>
            <w:right w:val="none" w:sz="0" w:space="0" w:color="auto"/>
          </w:divBdr>
        </w:div>
        <w:div w:id="107360792">
          <w:marLeft w:val="0"/>
          <w:marRight w:val="0"/>
          <w:marTop w:val="0"/>
          <w:marBottom w:val="0"/>
          <w:divBdr>
            <w:top w:val="none" w:sz="0" w:space="0" w:color="auto"/>
            <w:left w:val="none" w:sz="0" w:space="0" w:color="auto"/>
            <w:bottom w:val="none" w:sz="0" w:space="0" w:color="auto"/>
            <w:right w:val="none" w:sz="0" w:space="0" w:color="auto"/>
          </w:divBdr>
        </w:div>
        <w:div w:id="108162328">
          <w:marLeft w:val="0"/>
          <w:marRight w:val="0"/>
          <w:marTop w:val="0"/>
          <w:marBottom w:val="0"/>
          <w:divBdr>
            <w:top w:val="none" w:sz="0" w:space="0" w:color="auto"/>
            <w:left w:val="none" w:sz="0" w:space="0" w:color="auto"/>
            <w:bottom w:val="none" w:sz="0" w:space="0" w:color="auto"/>
            <w:right w:val="none" w:sz="0" w:space="0" w:color="auto"/>
          </w:divBdr>
        </w:div>
        <w:div w:id="193814590">
          <w:marLeft w:val="0"/>
          <w:marRight w:val="0"/>
          <w:marTop w:val="0"/>
          <w:marBottom w:val="0"/>
          <w:divBdr>
            <w:top w:val="none" w:sz="0" w:space="0" w:color="auto"/>
            <w:left w:val="none" w:sz="0" w:space="0" w:color="auto"/>
            <w:bottom w:val="none" w:sz="0" w:space="0" w:color="auto"/>
            <w:right w:val="none" w:sz="0" w:space="0" w:color="auto"/>
          </w:divBdr>
        </w:div>
        <w:div w:id="206456482">
          <w:marLeft w:val="0"/>
          <w:marRight w:val="0"/>
          <w:marTop w:val="0"/>
          <w:marBottom w:val="0"/>
          <w:divBdr>
            <w:top w:val="none" w:sz="0" w:space="0" w:color="auto"/>
            <w:left w:val="none" w:sz="0" w:space="0" w:color="auto"/>
            <w:bottom w:val="none" w:sz="0" w:space="0" w:color="auto"/>
            <w:right w:val="none" w:sz="0" w:space="0" w:color="auto"/>
          </w:divBdr>
        </w:div>
        <w:div w:id="210533386">
          <w:marLeft w:val="0"/>
          <w:marRight w:val="0"/>
          <w:marTop w:val="0"/>
          <w:marBottom w:val="0"/>
          <w:divBdr>
            <w:top w:val="none" w:sz="0" w:space="0" w:color="auto"/>
            <w:left w:val="none" w:sz="0" w:space="0" w:color="auto"/>
            <w:bottom w:val="none" w:sz="0" w:space="0" w:color="auto"/>
            <w:right w:val="none" w:sz="0" w:space="0" w:color="auto"/>
          </w:divBdr>
        </w:div>
        <w:div w:id="217741246">
          <w:marLeft w:val="0"/>
          <w:marRight w:val="0"/>
          <w:marTop w:val="0"/>
          <w:marBottom w:val="0"/>
          <w:divBdr>
            <w:top w:val="none" w:sz="0" w:space="0" w:color="auto"/>
            <w:left w:val="none" w:sz="0" w:space="0" w:color="auto"/>
            <w:bottom w:val="none" w:sz="0" w:space="0" w:color="auto"/>
            <w:right w:val="none" w:sz="0" w:space="0" w:color="auto"/>
          </w:divBdr>
        </w:div>
        <w:div w:id="224462352">
          <w:marLeft w:val="0"/>
          <w:marRight w:val="0"/>
          <w:marTop w:val="0"/>
          <w:marBottom w:val="0"/>
          <w:divBdr>
            <w:top w:val="none" w:sz="0" w:space="0" w:color="auto"/>
            <w:left w:val="none" w:sz="0" w:space="0" w:color="auto"/>
            <w:bottom w:val="none" w:sz="0" w:space="0" w:color="auto"/>
            <w:right w:val="none" w:sz="0" w:space="0" w:color="auto"/>
          </w:divBdr>
        </w:div>
        <w:div w:id="234047615">
          <w:marLeft w:val="0"/>
          <w:marRight w:val="0"/>
          <w:marTop w:val="0"/>
          <w:marBottom w:val="0"/>
          <w:divBdr>
            <w:top w:val="none" w:sz="0" w:space="0" w:color="auto"/>
            <w:left w:val="none" w:sz="0" w:space="0" w:color="auto"/>
            <w:bottom w:val="none" w:sz="0" w:space="0" w:color="auto"/>
            <w:right w:val="none" w:sz="0" w:space="0" w:color="auto"/>
          </w:divBdr>
        </w:div>
        <w:div w:id="242031199">
          <w:marLeft w:val="0"/>
          <w:marRight w:val="0"/>
          <w:marTop w:val="0"/>
          <w:marBottom w:val="0"/>
          <w:divBdr>
            <w:top w:val="none" w:sz="0" w:space="0" w:color="auto"/>
            <w:left w:val="none" w:sz="0" w:space="0" w:color="auto"/>
            <w:bottom w:val="none" w:sz="0" w:space="0" w:color="auto"/>
            <w:right w:val="none" w:sz="0" w:space="0" w:color="auto"/>
          </w:divBdr>
        </w:div>
        <w:div w:id="255409583">
          <w:marLeft w:val="0"/>
          <w:marRight w:val="0"/>
          <w:marTop w:val="0"/>
          <w:marBottom w:val="0"/>
          <w:divBdr>
            <w:top w:val="none" w:sz="0" w:space="0" w:color="auto"/>
            <w:left w:val="none" w:sz="0" w:space="0" w:color="auto"/>
            <w:bottom w:val="none" w:sz="0" w:space="0" w:color="auto"/>
            <w:right w:val="none" w:sz="0" w:space="0" w:color="auto"/>
          </w:divBdr>
        </w:div>
        <w:div w:id="287901475">
          <w:marLeft w:val="0"/>
          <w:marRight w:val="0"/>
          <w:marTop w:val="0"/>
          <w:marBottom w:val="0"/>
          <w:divBdr>
            <w:top w:val="none" w:sz="0" w:space="0" w:color="auto"/>
            <w:left w:val="none" w:sz="0" w:space="0" w:color="auto"/>
            <w:bottom w:val="none" w:sz="0" w:space="0" w:color="auto"/>
            <w:right w:val="none" w:sz="0" w:space="0" w:color="auto"/>
          </w:divBdr>
        </w:div>
        <w:div w:id="290017125">
          <w:marLeft w:val="0"/>
          <w:marRight w:val="0"/>
          <w:marTop w:val="0"/>
          <w:marBottom w:val="0"/>
          <w:divBdr>
            <w:top w:val="none" w:sz="0" w:space="0" w:color="auto"/>
            <w:left w:val="none" w:sz="0" w:space="0" w:color="auto"/>
            <w:bottom w:val="none" w:sz="0" w:space="0" w:color="auto"/>
            <w:right w:val="none" w:sz="0" w:space="0" w:color="auto"/>
          </w:divBdr>
        </w:div>
        <w:div w:id="324019894">
          <w:marLeft w:val="0"/>
          <w:marRight w:val="0"/>
          <w:marTop w:val="0"/>
          <w:marBottom w:val="0"/>
          <w:divBdr>
            <w:top w:val="none" w:sz="0" w:space="0" w:color="auto"/>
            <w:left w:val="none" w:sz="0" w:space="0" w:color="auto"/>
            <w:bottom w:val="none" w:sz="0" w:space="0" w:color="auto"/>
            <w:right w:val="none" w:sz="0" w:space="0" w:color="auto"/>
          </w:divBdr>
        </w:div>
        <w:div w:id="330985934">
          <w:marLeft w:val="0"/>
          <w:marRight w:val="0"/>
          <w:marTop w:val="0"/>
          <w:marBottom w:val="0"/>
          <w:divBdr>
            <w:top w:val="none" w:sz="0" w:space="0" w:color="auto"/>
            <w:left w:val="none" w:sz="0" w:space="0" w:color="auto"/>
            <w:bottom w:val="none" w:sz="0" w:space="0" w:color="auto"/>
            <w:right w:val="none" w:sz="0" w:space="0" w:color="auto"/>
          </w:divBdr>
        </w:div>
        <w:div w:id="337117462">
          <w:marLeft w:val="0"/>
          <w:marRight w:val="0"/>
          <w:marTop w:val="0"/>
          <w:marBottom w:val="0"/>
          <w:divBdr>
            <w:top w:val="none" w:sz="0" w:space="0" w:color="auto"/>
            <w:left w:val="none" w:sz="0" w:space="0" w:color="auto"/>
            <w:bottom w:val="none" w:sz="0" w:space="0" w:color="auto"/>
            <w:right w:val="none" w:sz="0" w:space="0" w:color="auto"/>
          </w:divBdr>
        </w:div>
        <w:div w:id="359822654">
          <w:marLeft w:val="0"/>
          <w:marRight w:val="0"/>
          <w:marTop w:val="0"/>
          <w:marBottom w:val="0"/>
          <w:divBdr>
            <w:top w:val="none" w:sz="0" w:space="0" w:color="auto"/>
            <w:left w:val="none" w:sz="0" w:space="0" w:color="auto"/>
            <w:bottom w:val="none" w:sz="0" w:space="0" w:color="auto"/>
            <w:right w:val="none" w:sz="0" w:space="0" w:color="auto"/>
          </w:divBdr>
        </w:div>
        <w:div w:id="373162948">
          <w:marLeft w:val="0"/>
          <w:marRight w:val="0"/>
          <w:marTop w:val="0"/>
          <w:marBottom w:val="0"/>
          <w:divBdr>
            <w:top w:val="none" w:sz="0" w:space="0" w:color="auto"/>
            <w:left w:val="none" w:sz="0" w:space="0" w:color="auto"/>
            <w:bottom w:val="none" w:sz="0" w:space="0" w:color="auto"/>
            <w:right w:val="none" w:sz="0" w:space="0" w:color="auto"/>
          </w:divBdr>
        </w:div>
        <w:div w:id="382800539">
          <w:marLeft w:val="0"/>
          <w:marRight w:val="0"/>
          <w:marTop w:val="0"/>
          <w:marBottom w:val="0"/>
          <w:divBdr>
            <w:top w:val="none" w:sz="0" w:space="0" w:color="auto"/>
            <w:left w:val="none" w:sz="0" w:space="0" w:color="auto"/>
            <w:bottom w:val="none" w:sz="0" w:space="0" w:color="auto"/>
            <w:right w:val="none" w:sz="0" w:space="0" w:color="auto"/>
          </w:divBdr>
        </w:div>
        <w:div w:id="383410197">
          <w:marLeft w:val="0"/>
          <w:marRight w:val="0"/>
          <w:marTop w:val="0"/>
          <w:marBottom w:val="0"/>
          <w:divBdr>
            <w:top w:val="none" w:sz="0" w:space="0" w:color="auto"/>
            <w:left w:val="none" w:sz="0" w:space="0" w:color="auto"/>
            <w:bottom w:val="none" w:sz="0" w:space="0" w:color="auto"/>
            <w:right w:val="none" w:sz="0" w:space="0" w:color="auto"/>
          </w:divBdr>
        </w:div>
        <w:div w:id="395515307">
          <w:marLeft w:val="0"/>
          <w:marRight w:val="0"/>
          <w:marTop w:val="0"/>
          <w:marBottom w:val="0"/>
          <w:divBdr>
            <w:top w:val="none" w:sz="0" w:space="0" w:color="auto"/>
            <w:left w:val="none" w:sz="0" w:space="0" w:color="auto"/>
            <w:bottom w:val="none" w:sz="0" w:space="0" w:color="auto"/>
            <w:right w:val="none" w:sz="0" w:space="0" w:color="auto"/>
          </w:divBdr>
        </w:div>
        <w:div w:id="406541899">
          <w:marLeft w:val="0"/>
          <w:marRight w:val="0"/>
          <w:marTop w:val="0"/>
          <w:marBottom w:val="0"/>
          <w:divBdr>
            <w:top w:val="none" w:sz="0" w:space="0" w:color="auto"/>
            <w:left w:val="none" w:sz="0" w:space="0" w:color="auto"/>
            <w:bottom w:val="none" w:sz="0" w:space="0" w:color="auto"/>
            <w:right w:val="none" w:sz="0" w:space="0" w:color="auto"/>
          </w:divBdr>
        </w:div>
        <w:div w:id="407531867">
          <w:marLeft w:val="0"/>
          <w:marRight w:val="0"/>
          <w:marTop w:val="0"/>
          <w:marBottom w:val="0"/>
          <w:divBdr>
            <w:top w:val="none" w:sz="0" w:space="0" w:color="auto"/>
            <w:left w:val="none" w:sz="0" w:space="0" w:color="auto"/>
            <w:bottom w:val="none" w:sz="0" w:space="0" w:color="auto"/>
            <w:right w:val="none" w:sz="0" w:space="0" w:color="auto"/>
          </w:divBdr>
        </w:div>
        <w:div w:id="411195976">
          <w:marLeft w:val="0"/>
          <w:marRight w:val="0"/>
          <w:marTop w:val="0"/>
          <w:marBottom w:val="0"/>
          <w:divBdr>
            <w:top w:val="none" w:sz="0" w:space="0" w:color="auto"/>
            <w:left w:val="none" w:sz="0" w:space="0" w:color="auto"/>
            <w:bottom w:val="none" w:sz="0" w:space="0" w:color="auto"/>
            <w:right w:val="none" w:sz="0" w:space="0" w:color="auto"/>
          </w:divBdr>
        </w:div>
        <w:div w:id="436681541">
          <w:marLeft w:val="0"/>
          <w:marRight w:val="0"/>
          <w:marTop w:val="0"/>
          <w:marBottom w:val="0"/>
          <w:divBdr>
            <w:top w:val="none" w:sz="0" w:space="0" w:color="auto"/>
            <w:left w:val="none" w:sz="0" w:space="0" w:color="auto"/>
            <w:bottom w:val="none" w:sz="0" w:space="0" w:color="auto"/>
            <w:right w:val="none" w:sz="0" w:space="0" w:color="auto"/>
          </w:divBdr>
        </w:div>
        <w:div w:id="446389667">
          <w:marLeft w:val="0"/>
          <w:marRight w:val="0"/>
          <w:marTop w:val="0"/>
          <w:marBottom w:val="0"/>
          <w:divBdr>
            <w:top w:val="none" w:sz="0" w:space="0" w:color="auto"/>
            <w:left w:val="none" w:sz="0" w:space="0" w:color="auto"/>
            <w:bottom w:val="none" w:sz="0" w:space="0" w:color="auto"/>
            <w:right w:val="none" w:sz="0" w:space="0" w:color="auto"/>
          </w:divBdr>
        </w:div>
        <w:div w:id="458230464">
          <w:marLeft w:val="0"/>
          <w:marRight w:val="0"/>
          <w:marTop w:val="0"/>
          <w:marBottom w:val="0"/>
          <w:divBdr>
            <w:top w:val="none" w:sz="0" w:space="0" w:color="auto"/>
            <w:left w:val="none" w:sz="0" w:space="0" w:color="auto"/>
            <w:bottom w:val="none" w:sz="0" w:space="0" w:color="auto"/>
            <w:right w:val="none" w:sz="0" w:space="0" w:color="auto"/>
          </w:divBdr>
        </w:div>
        <w:div w:id="458763081">
          <w:marLeft w:val="0"/>
          <w:marRight w:val="0"/>
          <w:marTop w:val="0"/>
          <w:marBottom w:val="0"/>
          <w:divBdr>
            <w:top w:val="none" w:sz="0" w:space="0" w:color="auto"/>
            <w:left w:val="none" w:sz="0" w:space="0" w:color="auto"/>
            <w:bottom w:val="none" w:sz="0" w:space="0" w:color="auto"/>
            <w:right w:val="none" w:sz="0" w:space="0" w:color="auto"/>
          </w:divBdr>
        </w:div>
        <w:div w:id="469323534">
          <w:marLeft w:val="0"/>
          <w:marRight w:val="0"/>
          <w:marTop w:val="0"/>
          <w:marBottom w:val="0"/>
          <w:divBdr>
            <w:top w:val="none" w:sz="0" w:space="0" w:color="auto"/>
            <w:left w:val="none" w:sz="0" w:space="0" w:color="auto"/>
            <w:bottom w:val="none" w:sz="0" w:space="0" w:color="auto"/>
            <w:right w:val="none" w:sz="0" w:space="0" w:color="auto"/>
          </w:divBdr>
        </w:div>
        <w:div w:id="471362288">
          <w:marLeft w:val="0"/>
          <w:marRight w:val="0"/>
          <w:marTop w:val="0"/>
          <w:marBottom w:val="0"/>
          <w:divBdr>
            <w:top w:val="none" w:sz="0" w:space="0" w:color="auto"/>
            <w:left w:val="none" w:sz="0" w:space="0" w:color="auto"/>
            <w:bottom w:val="none" w:sz="0" w:space="0" w:color="auto"/>
            <w:right w:val="none" w:sz="0" w:space="0" w:color="auto"/>
          </w:divBdr>
        </w:div>
        <w:div w:id="489952166">
          <w:marLeft w:val="0"/>
          <w:marRight w:val="0"/>
          <w:marTop w:val="0"/>
          <w:marBottom w:val="0"/>
          <w:divBdr>
            <w:top w:val="none" w:sz="0" w:space="0" w:color="auto"/>
            <w:left w:val="none" w:sz="0" w:space="0" w:color="auto"/>
            <w:bottom w:val="none" w:sz="0" w:space="0" w:color="auto"/>
            <w:right w:val="none" w:sz="0" w:space="0" w:color="auto"/>
          </w:divBdr>
        </w:div>
        <w:div w:id="493184753">
          <w:marLeft w:val="0"/>
          <w:marRight w:val="0"/>
          <w:marTop w:val="0"/>
          <w:marBottom w:val="0"/>
          <w:divBdr>
            <w:top w:val="none" w:sz="0" w:space="0" w:color="auto"/>
            <w:left w:val="none" w:sz="0" w:space="0" w:color="auto"/>
            <w:bottom w:val="none" w:sz="0" w:space="0" w:color="auto"/>
            <w:right w:val="none" w:sz="0" w:space="0" w:color="auto"/>
          </w:divBdr>
        </w:div>
        <w:div w:id="497304625">
          <w:marLeft w:val="0"/>
          <w:marRight w:val="0"/>
          <w:marTop w:val="0"/>
          <w:marBottom w:val="0"/>
          <w:divBdr>
            <w:top w:val="none" w:sz="0" w:space="0" w:color="auto"/>
            <w:left w:val="none" w:sz="0" w:space="0" w:color="auto"/>
            <w:bottom w:val="none" w:sz="0" w:space="0" w:color="auto"/>
            <w:right w:val="none" w:sz="0" w:space="0" w:color="auto"/>
          </w:divBdr>
        </w:div>
        <w:div w:id="517354347">
          <w:marLeft w:val="0"/>
          <w:marRight w:val="0"/>
          <w:marTop w:val="0"/>
          <w:marBottom w:val="0"/>
          <w:divBdr>
            <w:top w:val="none" w:sz="0" w:space="0" w:color="auto"/>
            <w:left w:val="none" w:sz="0" w:space="0" w:color="auto"/>
            <w:bottom w:val="none" w:sz="0" w:space="0" w:color="auto"/>
            <w:right w:val="none" w:sz="0" w:space="0" w:color="auto"/>
          </w:divBdr>
        </w:div>
        <w:div w:id="523632705">
          <w:marLeft w:val="0"/>
          <w:marRight w:val="0"/>
          <w:marTop w:val="0"/>
          <w:marBottom w:val="0"/>
          <w:divBdr>
            <w:top w:val="none" w:sz="0" w:space="0" w:color="auto"/>
            <w:left w:val="none" w:sz="0" w:space="0" w:color="auto"/>
            <w:bottom w:val="none" w:sz="0" w:space="0" w:color="auto"/>
            <w:right w:val="none" w:sz="0" w:space="0" w:color="auto"/>
          </w:divBdr>
        </w:div>
        <w:div w:id="557478750">
          <w:marLeft w:val="0"/>
          <w:marRight w:val="0"/>
          <w:marTop w:val="0"/>
          <w:marBottom w:val="0"/>
          <w:divBdr>
            <w:top w:val="none" w:sz="0" w:space="0" w:color="auto"/>
            <w:left w:val="none" w:sz="0" w:space="0" w:color="auto"/>
            <w:bottom w:val="none" w:sz="0" w:space="0" w:color="auto"/>
            <w:right w:val="none" w:sz="0" w:space="0" w:color="auto"/>
          </w:divBdr>
        </w:div>
        <w:div w:id="563949821">
          <w:marLeft w:val="0"/>
          <w:marRight w:val="0"/>
          <w:marTop w:val="0"/>
          <w:marBottom w:val="0"/>
          <w:divBdr>
            <w:top w:val="none" w:sz="0" w:space="0" w:color="auto"/>
            <w:left w:val="none" w:sz="0" w:space="0" w:color="auto"/>
            <w:bottom w:val="none" w:sz="0" w:space="0" w:color="auto"/>
            <w:right w:val="none" w:sz="0" w:space="0" w:color="auto"/>
          </w:divBdr>
        </w:div>
        <w:div w:id="567300713">
          <w:marLeft w:val="0"/>
          <w:marRight w:val="0"/>
          <w:marTop w:val="0"/>
          <w:marBottom w:val="0"/>
          <w:divBdr>
            <w:top w:val="none" w:sz="0" w:space="0" w:color="auto"/>
            <w:left w:val="none" w:sz="0" w:space="0" w:color="auto"/>
            <w:bottom w:val="none" w:sz="0" w:space="0" w:color="auto"/>
            <w:right w:val="none" w:sz="0" w:space="0" w:color="auto"/>
          </w:divBdr>
        </w:div>
        <w:div w:id="590623452">
          <w:marLeft w:val="0"/>
          <w:marRight w:val="0"/>
          <w:marTop w:val="0"/>
          <w:marBottom w:val="0"/>
          <w:divBdr>
            <w:top w:val="none" w:sz="0" w:space="0" w:color="auto"/>
            <w:left w:val="none" w:sz="0" w:space="0" w:color="auto"/>
            <w:bottom w:val="none" w:sz="0" w:space="0" w:color="auto"/>
            <w:right w:val="none" w:sz="0" w:space="0" w:color="auto"/>
          </w:divBdr>
        </w:div>
        <w:div w:id="590630310">
          <w:marLeft w:val="0"/>
          <w:marRight w:val="0"/>
          <w:marTop w:val="0"/>
          <w:marBottom w:val="0"/>
          <w:divBdr>
            <w:top w:val="none" w:sz="0" w:space="0" w:color="auto"/>
            <w:left w:val="none" w:sz="0" w:space="0" w:color="auto"/>
            <w:bottom w:val="none" w:sz="0" w:space="0" w:color="auto"/>
            <w:right w:val="none" w:sz="0" w:space="0" w:color="auto"/>
          </w:divBdr>
        </w:div>
        <w:div w:id="598879071">
          <w:marLeft w:val="0"/>
          <w:marRight w:val="0"/>
          <w:marTop w:val="0"/>
          <w:marBottom w:val="0"/>
          <w:divBdr>
            <w:top w:val="none" w:sz="0" w:space="0" w:color="auto"/>
            <w:left w:val="none" w:sz="0" w:space="0" w:color="auto"/>
            <w:bottom w:val="none" w:sz="0" w:space="0" w:color="auto"/>
            <w:right w:val="none" w:sz="0" w:space="0" w:color="auto"/>
          </w:divBdr>
        </w:div>
        <w:div w:id="619920062">
          <w:marLeft w:val="0"/>
          <w:marRight w:val="0"/>
          <w:marTop w:val="0"/>
          <w:marBottom w:val="0"/>
          <w:divBdr>
            <w:top w:val="none" w:sz="0" w:space="0" w:color="auto"/>
            <w:left w:val="none" w:sz="0" w:space="0" w:color="auto"/>
            <w:bottom w:val="none" w:sz="0" w:space="0" w:color="auto"/>
            <w:right w:val="none" w:sz="0" w:space="0" w:color="auto"/>
          </w:divBdr>
        </w:div>
        <w:div w:id="621156264">
          <w:marLeft w:val="0"/>
          <w:marRight w:val="0"/>
          <w:marTop w:val="0"/>
          <w:marBottom w:val="0"/>
          <w:divBdr>
            <w:top w:val="none" w:sz="0" w:space="0" w:color="auto"/>
            <w:left w:val="none" w:sz="0" w:space="0" w:color="auto"/>
            <w:bottom w:val="none" w:sz="0" w:space="0" w:color="auto"/>
            <w:right w:val="none" w:sz="0" w:space="0" w:color="auto"/>
          </w:divBdr>
        </w:div>
        <w:div w:id="627081191">
          <w:marLeft w:val="0"/>
          <w:marRight w:val="0"/>
          <w:marTop w:val="0"/>
          <w:marBottom w:val="0"/>
          <w:divBdr>
            <w:top w:val="none" w:sz="0" w:space="0" w:color="auto"/>
            <w:left w:val="none" w:sz="0" w:space="0" w:color="auto"/>
            <w:bottom w:val="none" w:sz="0" w:space="0" w:color="auto"/>
            <w:right w:val="none" w:sz="0" w:space="0" w:color="auto"/>
          </w:divBdr>
        </w:div>
        <w:div w:id="631668315">
          <w:marLeft w:val="0"/>
          <w:marRight w:val="0"/>
          <w:marTop w:val="0"/>
          <w:marBottom w:val="0"/>
          <w:divBdr>
            <w:top w:val="none" w:sz="0" w:space="0" w:color="auto"/>
            <w:left w:val="none" w:sz="0" w:space="0" w:color="auto"/>
            <w:bottom w:val="none" w:sz="0" w:space="0" w:color="auto"/>
            <w:right w:val="none" w:sz="0" w:space="0" w:color="auto"/>
          </w:divBdr>
        </w:div>
        <w:div w:id="653803173">
          <w:marLeft w:val="0"/>
          <w:marRight w:val="0"/>
          <w:marTop w:val="0"/>
          <w:marBottom w:val="0"/>
          <w:divBdr>
            <w:top w:val="none" w:sz="0" w:space="0" w:color="auto"/>
            <w:left w:val="none" w:sz="0" w:space="0" w:color="auto"/>
            <w:bottom w:val="none" w:sz="0" w:space="0" w:color="auto"/>
            <w:right w:val="none" w:sz="0" w:space="0" w:color="auto"/>
          </w:divBdr>
        </w:div>
        <w:div w:id="657659873">
          <w:marLeft w:val="0"/>
          <w:marRight w:val="0"/>
          <w:marTop w:val="0"/>
          <w:marBottom w:val="0"/>
          <w:divBdr>
            <w:top w:val="none" w:sz="0" w:space="0" w:color="auto"/>
            <w:left w:val="none" w:sz="0" w:space="0" w:color="auto"/>
            <w:bottom w:val="none" w:sz="0" w:space="0" w:color="auto"/>
            <w:right w:val="none" w:sz="0" w:space="0" w:color="auto"/>
          </w:divBdr>
        </w:div>
        <w:div w:id="660741260">
          <w:marLeft w:val="0"/>
          <w:marRight w:val="0"/>
          <w:marTop w:val="0"/>
          <w:marBottom w:val="0"/>
          <w:divBdr>
            <w:top w:val="none" w:sz="0" w:space="0" w:color="auto"/>
            <w:left w:val="none" w:sz="0" w:space="0" w:color="auto"/>
            <w:bottom w:val="none" w:sz="0" w:space="0" w:color="auto"/>
            <w:right w:val="none" w:sz="0" w:space="0" w:color="auto"/>
          </w:divBdr>
        </w:div>
        <w:div w:id="674306071">
          <w:marLeft w:val="0"/>
          <w:marRight w:val="0"/>
          <w:marTop w:val="0"/>
          <w:marBottom w:val="0"/>
          <w:divBdr>
            <w:top w:val="none" w:sz="0" w:space="0" w:color="auto"/>
            <w:left w:val="none" w:sz="0" w:space="0" w:color="auto"/>
            <w:bottom w:val="none" w:sz="0" w:space="0" w:color="auto"/>
            <w:right w:val="none" w:sz="0" w:space="0" w:color="auto"/>
          </w:divBdr>
        </w:div>
        <w:div w:id="678429919">
          <w:marLeft w:val="0"/>
          <w:marRight w:val="0"/>
          <w:marTop w:val="0"/>
          <w:marBottom w:val="0"/>
          <w:divBdr>
            <w:top w:val="none" w:sz="0" w:space="0" w:color="auto"/>
            <w:left w:val="none" w:sz="0" w:space="0" w:color="auto"/>
            <w:bottom w:val="none" w:sz="0" w:space="0" w:color="auto"/>
            <w:right w:val="none" w:sz="0" w:space="0" w:color="auto"/>
          </w:divBdr>
        </w:div>
        <w:div w:id="687104517">
          <w:marLeft w:val="0"/>
          <w:marRight w:val="0"/>
          <w:marTop w:val="0"/>
          <w:marBottom w:val="0"/>
          <w:divBdr>
            <w:top w:val="none" w:sz="0" w:space="0" w:color="auto"/>
            <w:left w:val="none" w:sz="0" w:space="0" w:color="auto"/>
            <w:bottom w:val="none" w:sz="0" w:space="0" w:color="auto"/>
            <w:right w:val="none" w:sz="0" w:space="0" w:color="auto"/>
          </w:divBdr>
        </w:div>
        <w:div w:id="697435625">
          <w:marLeft w:val="0"/>
          <w:marRight w:val="0"/>
          <w:marTop w:val="0"/>
          <w:marBottom w:val="0"/>
          <w:divBdr>
            <w:top w:val="none" w:sz="0" w:space="0" w:color="auto"/>
            <w:left w:val="none" w:sz="0" w:space="0" w:color="auto"/>
            <w:bottom w:val="none" w:sz="0" w:space="0" w:color="auto"/>
            <w:right w:val="none" w:sz="0" w:space="0" w:color="auto"/>
          </w:divBdr>
        </w:div>
        <w:div w:id="716274521">
          <w:marLeft w:val="0"/>
          <w:marRight w:val="0"/>
          <w:marTop w:val="0"/>
          <w:marBottom w:val="0"/>
          <w:divBdr>
            <w:top w:val="none" w:sz="0" w:space="0" w:color="auto"/>
            <w:left w:val="none" w:sz="0" w:space="0" w:color="auto"/>
            <w:bottom w:val="none" w:sz="0" w:space="0" w:color="auto"/>
            <w:right w:val="none" w:sz="0" w:space="0" w:color="auto"/>
          </w:divBdr>
        </w:div>
        <w:div w:id="723914397">
          <w:marLeft w:val="0"/>
          <w:marRight w:val="0"/>
          <w:marTop w:val="0"/>
          <w:marBottom w:val="0"/>
          <w:divBdr>
            <w:top w:val="none" w:sz="0" w:space="0" w:color="auto"/>
            <w:left w:val="none" w:sz="0" w:space="0" w:color="auto"/>
            <w:bottom w:val="none" w:sz="0" w:space="0" w:color="auto"/>
            <w:right w:val="none" w:sz="0" w:space="0" w:color="auto"/>
          </w:divBdr>
        </w:div>
        <w:div w:id="741567974">
          <w:marLeft w:val="0"/>
          <w:marRight w:val="0"/>
          <w:marTop w:val="0"/>
          <w:marBottom w:val="0"/>
          <w:divBdr>
            <w:top w:val="none" w:sz="0" w:space="0" w:color="auto"/>
            <w:left w:val="none" w:sz="0" w:space="0" w:color="auto"/>
            <w:bottom w:val="none" w:sz="0" w:space="0" w:color="auto"/>
            <w:right w:val="none" w:sz="0" w:space="0" w:color="auto"/>
          </w:divBdr>
        </w:div>
        <w:div w:id="763842226">
          <w:marLeft w:val="0"/>
          <w:marRight w:val="0"/>
          <w:marTop w:val="0"/>
          <w:marBottom w:val="0"/>
          <w:divBdr>
            <w:top w:val="none" w:sz="0" w:space="0" w:color="auto"/>
            <w:left w:val="none" w:sz="0" w:space="0" w:color="auto"/>
            <w:bottom w:val="none" w:sz="0" w:space="0" w:color="auto"/>
            <w:right w:val="none" w:sz="0" w:space="0" w:color="auto"/>
          </w:divBdr>
        </w:div>
        <w:div w:id="782581199">
          <w:marLeft w:val="0"/>
          <w:marRight w:val="0"/>
          <w:marTop w:val="0"/>
          <w:marBottom w:val="0"/>
          <w:divBdr>
            <w:top w:val="none" w:sz="0" w:space="0" w:color="auto"/>
            <w:left w:val="none" w:sz="0" w:space="0" w:color="auto"/>
            <w:bottom w:val="none" w:sz="0" w:space="0" w:color="auto"/>
            <w:right w:val="none" w:sz="0" w:space="0" w:color="auto"/>
          </w:divBdr>
        </w:div>
        <w:div w:id="793211142">
          <w:marLeft w:val="0"/>
          <w:marRight w:val="0"/>
          <w:marTop w:val="0"/>
          <w:marBottom w:val="0"/>
          <w:divBdr>
            <w:top w:val="none" w:sz="0" w:space="0" w:color="auto"/>
            <w:left w:val="none" w:sz="0" w:space="0" w:color="auto"/>
            <w:bottom w:val="none" w:sz="0" w:space="0" w:color="auto"/>
            <w:right w:val="none" w:sz="0" w:space="0" w:color="auto"/>
          </w:divBdr>
        </w:div>
        <w:div w:id="812987453">
          <w:marLeft w:val="0"/>
          <w:marRight w:val="0"/>
          <w:marTop w:val="0"/>
          <w:marBottom w:val="0"/>
          <w:divBdr>
            <w:top w:val="none" w:sz="0" w:space="0" w:color="auto"/>
            <w:left w:val="none" w:sz="0" w:space="0" w:color="auto"/>
            <w:bottom w:val="none" w:sz="0" w:space="0" w:color="auto"/>
            <w:right w:val="none" w:sz="0" w:space="0" w:color="auto"/>
          </w:divBdr>
        </w:div>
        <w:div w:id="820002233">
          <w:marLeft w:val="0"/>
          <w:marRight w:val="0"/>
          <w:marTop w:val="0"/>
          <w:marBottom w:val="0"/>
          <w:divBdr>
            <w:top w:val="none" w:sz="0" w:space="0" w:color="auto"/>
            <w:left w:val="none" w:sz="0" w:space="0" w:color="auto"/>
            <w:bottom w:val="none" w:sz="0" w:space="0" w:color="auto"/>
            <w:right w:val="none" w:sz="0" w:space="0" w:color="auto"/>
          </w:divBdr>
        </w:div>
        <w:div w:id="825559435">
          <w:marLeft w:val="0"/>
          <w:marRight w:val="0"/>
          <w:marTop w:val="0"/>
          <w:marBottom w:val="0"/>
          <w:divBdr>
            <w:top w:val="none" w:sz="0" w:space="0" w:color="auto"/>
            <w:left w:val="none" w:sz="0" w:space="0" w:color="auto"/>
            <w:bottom w:val="none" w:sz="0" w:space="0" w:color="auto"/>
            <w:right w:val="none" w:sz="0" w:space="0" w:color="auto"/>
          </w:divBdr>
        </w:div>
        <w:div w:id="828062920">
          <w:marLeft w:val="0"/>
          <w:marRight w:val="0"/>
          <w:marTop w:val="0"/>
          <w:marBottom w:val="0"/>
          <w:divBdr>
            <w:top w:val="none" w:sz="0" w:space="0" w:color="auto"/>
            <w:left w:val="none" w:sz="0" w:space="0" w:color="auto"/>
            <w:bottom w:val="none" w:sz="0" w:space="0" w:color="auto"/>
            <w:right w:val="none" w:sz="0" w:space="0" w:color="auto"/>
          </w:divBdr>
        </w:div>
        <w:div w:id="846210878">
          <w:marLeft w:val="0"/>
          <w:marRight w:val="0"/>
          <w:marTop w:val="0"/>
          <w:marBottom w:val="0"/>
          <w:divBdr>
            <w:top w:val="none" w:sz="0" w:space="0" w:color="auto"/>
            <w:left w:val="none" w:sz="0" w:space="0" w:color="auto"/>
            <w:bottom w:val="none" w:sz="0" w:space="0" w:color="auto"/>
            <w:right w:val="none" w:sz="0" w:space="0" w:color="auto"/>
          </w:divBdr>
        </w:div>
        <w:div w:id="852181467">
          <w:marLeft w:val="0"/>
          <w:marRight w:val="0"/>
          <w:marTop w:val="0"/>
          <w:marBottom w:val="0"/>
          <w:divBdr>
            <w:top w:val="none" w:sz="0" w:space="0" w:color="auto"/>
            <w:left w:val="none" w:sz="0" w:space="0" w:color="auto"/>
            <w:bottom w:val="none" w:sz="0" w:space="0" w:color="auto"/>
            <w:right w:val="none" w:sz="0" w:space="0" w:color="auto"/>
          </w:divBdr>
        </w:div>
        <w:div w:id="884802407">
          <w:marLeft w:val="0"/>
          <w:marRight w:val="0"/>
          <w:marTop w:val="0"/>
          <w:marBottom w:val="0"/>
          <w:divBdr>
            <w:top w:val="none" w:sz="0" w:space="0" w:color="auto"/>
            <w:left w:val="none" w:sz="0" w:space="0" w:color="auto"/>
            <w:bottom w:val="none" w:sz="0" w:space="0" w:color="auto"/>
            <w:right w:val="none" w:sz="0" w:space="0" w:color="auto"/>
          </w:divBdr>
        </w:div>
        <w:div w:id="886835588">
          <w:marLeft w:val="0"/>
          <w:marRight w:val="0"/>
          <w:marTop w:val="0"/>
          <w:marBottom w:val="0"/>
          <w:divBdr>
            <w:top w:val="none" w:sz="0" w:space="0" w:color="auto"/>
            <w:left w:val="none" w:sz="0" w:space="0" w:color="auto"/>
            <w:bottom w:val="none" w:sz="0" w:space="0" w:color="auto"/>
            <w:right w:val="none" w:sz="0" w:space="0" w:color="auto"/>
          </w:divBdr>
        </w:div>
        <w:div w:id="893740420">
          <w:marLeft w:val="0"/>
          <w:marRight w:val="0"/>
          <w:marTop w:val="0"/>
          <w:marBottom w:val="0"/>
          <w:divBdr>
            <w:top w:val="none" w:sz="0" w:space="0" w:color="auto"/>
            <w:left w:val="none" w:sz="0" w:space="0" w:color="auto"/>
            <w:bottom w:val="none" w:sz="0" w:space="0" w:color="auto"/>
            <w:right w:val="none" w:sz="0" w:space="0" w:color="auto"/>
          </w:divBdr>
        </w:div>
        <w:div w:id="901789381">
          <w:marLeft w:val="0"/>
          <w:marRight w:val="0"/>
          <w:marTop w:val="0"/>
          <w:marBottom w:val="0"/>
          <w:divBdr>
            <w:top w:val="none" w:sz="0" w:space="0" w:color="auto"/>
            <w:left w:val="none" w:sz="0" w:space="0" w:color="auto"/>
            <w:bottom w:val="none" w:sz="0" w:space="0" w:color="auto"/>
            <w:right w:val="none" w:sz="0" w:space="0" w:color="auto"/>
          </w:divBdr>
        </w:div>
        <w:div w:id="907694629">
          <w:marLeft w:val="0"/>
          <w:marRight w:val="0"/>
          <w:marTop w:val="0"/>
          <w:marBottom w:val="0"/>
          <w:divBdr>
            <w:top w:val="none" w:sz="0" w:space="0" w:color="auto"/>
            <w:left w:val="none" w:sz="0" w:space="0" w:color="auto"/>
            <w:bottom w:val="none" w:sz="0" w:space="0" w:color="auto"/>
            <w:right w:val="none" w:sz="0" w:space="0" w:color="auto"/>
          </w:divBdr>
        </w:div>
        <w:div w:id="917052822">
          <w:marLeft w:val="0"/>
          <w:marRight w:val="0"/>
          <w:marTop w:val="0"/>
          <w:marBottom w:val="0"/>
          <w:divBdr>
            <w:top w:val="none" w:sz="0" w:space="0" w:color="auto"/>
            <w:left w:val="none" w:sz="0" w:space="0" w:color="auto"/>
            <w:bottom w:val="none" w:sz="0" w:space="0" w:color="auto"/>
            <w:right w:val="none" w:sz="0" w:space="0" w:color="auto"/>
          </w:divBdr>
        </w:div>
        <w:div w:id="921718168">
          <w:marLeft w:val="0"/>
          <w:marRight w:val="0"/>
          <w:marTop w:val="0"/>
          <w:marBottom w:val="0"/>
          <w:divBdr>
            <w:top w:val="none" w:sz="0" w:space="0" w:color="auto"/>
            <w:left w:val="none" w:sz="0" w:space="0" w:color="auto"/>
            <w:bottom w:val="none" w:sz="0" w:space="0" w:color="auto"/>
            <w:right w:val="none" w:sz="0" w:space="0" w:color="auto"/>
          </w:divBdr>
        </w:div>
        <w:div w:id="923731224">
          <w:marLeft w:val="0"/>
          <w:marRight w:val="0"/>
          <w:marTop w:val="0"/>
          <w:marBottom w:val="0"/>
          <w:divBdr>
            <w:top w:val="none" w:sz="0" w:space="0" w:color="auto"/>
            <w:left w:val="none" w:sz="0" w:space="0" w:color="auto"/>
            <w:bottom w:val="none" w:sz="0" w:space="0" w:color="auto"/>
            <w:right w:val="none" w:sz="0" w:space="0" w:color="auto"/>
          </w:divBdr>
        </w:div>
        <w:div w:id="943541527">
          <w:marLeft w:val="0"/>
          <w:marRight w:val="0"/>
          <w:marTop w:val="0"/>
          <w:marBottom w:val="0"/>
          <w:divBdr>
            <w:top w:val="none" w:sz="0" w:space="0" w:color="auto"/>
            <w:left w:val="none" w:sz="0" w:space="0" w:color="auto"/>
            <w:bottom w:val="none" w:sz="0" w:space="0" w:color="auto"/>
            <w:right w:val="none" w:sz="0" w:space="0" w:color="auto"/>
          </w:divBdr>
        </w:div>
        <w:div w:id="990065108">
          <w:marLeft w:val="0"/>
          <w:marRight w:val="0"/>
          <w:marTop w:val="0"/>
          <w:marBottom w:val="0"/>
          <w:divBdr>
            <w:top w:val="none" w:sz="0" w:space="0" w:color="auto"/>
            <w:left w:val="none" w:sz="0" w:space="0" w:color="auto"/>
            <w:bottom w:val="none" w:sz="0" w:space="0" w:color="auto"/>
            <w:right w:val="none" w:sz="0" w:space="0" w:color="auto"/>
          </w:divBdr>
        </w:div>
        <w:div w:id="1003239359">
          <w:marLeft w:val="0"/>
          <w:marRight w:val="0"/>
          <w:marTop w:val="0"/>
          <w:marBottom w:val="0"/>
          <w:divBdr>
            <w:top w:val="none" w:sz="0" w:space="0" w:color="auto"/>
            <w:left w:val="none" w:sz="0" w:space="0" w:color="auto"/>
            <w:bottom w:val="none" w:sz="0" w:space="0" w:color="auto"/>
            <w:right w:val="none" w:sz="0" w:space="0" w:color="auto"/>
          </w:divBdr>
        </w:div>
        <w:div w:id="1016074751">
          <w:marLeft w:val="0"/>
          <w:marRight w:val="0"/>
          <w:marTop w:val="0"/>
          <w:marBottom w:val="0"/>
          <w:divBdr>
            <w:top w:val="none" w:sz="0" w:space="0" w:color="auto"/>
            <w:left w:val="none" w:sz="0" w:space="0" w:color="auto"/>
            <w:bottom w:val="none" w:sz="0" w:space="0" w:color="auto"/>
            <w:right w:val="none" w:sz="0" w:space="0" w:color="auto"/>
          </w:divBdr>
        </w:div>
        <w:div w:id="1035735609">
          <w:marLeft w:val="0"/>
          <w:marRight w:val="0"/>
          <w:marTop w:val="0"/>
          <w:marBottom w:val="0"/>
          <w:divBdr>
            <w:top w:val="none" w:sz="0" w:space="0" w:color="auto"/>
            <w:left w:val="none" w:sz="0" w:space="0" w:color="auto"/>
            <w:bottom w:val="none" w:sz="0" w:space="0" w:color="auto"/>
            <w:right w:val="none" w:sz="0" w:space="0" w:color="auto"/>
          </w:divBdr>
        </w:div>
        <w:div w:id="1049572472">
          <w:marLeft w:val="0"/>
          <w:marRight w:val="0"/>
          <w:marTop w:val="0"/>
          <w:marBottom w:val="0"/>
          <w:divBdr>
            <w:top w:val="none" w:sz="0" w:space="0" w:color="auto"/>
            <w:left w:val="none" w:sz="0" w:space="0" w:color="auto"/>
            <w:bottom w:val="none" w:sz="0" w:space="0" w:color="auto"/>
            <w:right w:val="none" w:sz="0" w:space="0" w:color="auto"/>
          </w:divBdr>
        </w:div>
        <w:div w:id="1052730632">
          <w:marLeft w:val="0"/>
          <w:marRight w:val="0"/>
          <w:marTop w:val="0"/>
          <w:marBottom w:val="0"/>
          <w:divBdr>
            <w:top w:val="none" w:sz="0" w:space="0" w:color="auto"/>
            <w:left w:val="none" w:sz="0" w:space="0" w:color="auto"/>
            <w:bottom w:val="none" w:sz="0" w:space="0" w:color="auto"/>
            <w:right w:val="none" w:sz="0" w:space="0" w:color="auto"/>
          </w:divBdr>
        </w:div>
        <w:div w:id="1054933819">
          <w:marLeft w:val="0"/>
          <w:marRight w:val="0"/>
          <w:marTop w:val="0"/>
          <w:marBottom w:val="0"/>
          <w:divBdr>
            <w:top w:val="none" w:sz="0" w:space="0" w:color="auto"/>
            <w:left w:val="none" w:sz="0" w:space="0" w:color="auto"/>
            <w:bottom w:val="none" w:sz="0" w:space="0" w:color="auto"/>
            <w:right w:val="none" w:sz="0" w:space="0" w:color="auto"/>
          </w:divBdr>
        </w:div>
        <w:div w:id="1109349429">
          <w:marLeft w:val="0"/>
          <w:marRight w:val="0"/>
          <w:marTop w:val="0"/>
          <w:marBottom w:val="0"/>
          <w:divBdr>
            <w:top w:val="none" w:sz="0" w:space="0" w:color="auto"/>
            <w:left w:val="none" w:sz="0" w:space="0" w:color="auto"/>
            <w:bottom w:val="none" w:sz="0" w:space="0" w:color="auto"/>
            <w:right w:val="none" w:sz="0" w:space="0" w:color="auto"/>
          </w:divBdr>
        </w:div>
        <w:div w:id="1120147820">
          <w:marLeft w:val="0"/>
          <w:marRight w:val="0"/>
          <w:marTop w:val="0"/>
          <w:marBottom w:val="0"/>
          <w:divBdr>
            <w:top w:val="none" w:sz="0" w:space="0" w:color="auto"/>
            <w:left w:val="none" w:sz="0" w:space="0" w:color="auto"/>
            <w:bottom w:val="none" w:sz="0" w:space="0" w:color="auto"/>
            <w:right w:val="none" w:sz="0" w:space="0" w:color="auto"/>
          </w:divBdr>
        </w:div>
        <w:div w:id="1136338096">
          <w:marLeft w:val="0"/>
          <w:marRight w:val="0"/>
          <w:marTop w:val="0"/>
          <w:marBottom w:val="0"/>
          <w:divBdr>
            <w:top w:val="none" w:sz="0" w:space="0" w:color="auto"/>
            <w:left w:val="none" w:sz="0" w:space="0" w:color="auto"/>
            <w:bottom w:val="none" w:sz="0" w:space="0" w:color="auto"/>
            <w:right w:val="none" w:sz="0" w:space="0" w:color="auto"/>
          </w:divBdr>
        </w:div>
        <w:div w:id="1144079491">
          <w:marLeft w:val="0"/>
          <w:marRight w:val="0"/>
          <w:marTop w:val="0"/>
          <w:marBottom w:val="0"/>
          <w:divBdr>
            <w:top w:val="none" w:sz="0" w:space="0" w:color="auto"/>
            <w:left w:val="none" w:sz="0" w:space="0" w:color="auto"/>
            <w:bottom w:val="none" w:sz="0" w:space="0" w:color="auto"/>
            <w:right w:val="none" w:sz="0" w:space="0" w:color="auto"/>
          </w:divBdr>
        </w:div>
        <w:div w:id="1152794152">
          <w:marLeft w:val="0"/>
          <w:marRight w:val="0"/>
          <w:marTop w:val="0"/>
          <w:marBottom w:val="0"/>
          <w:divBdr>
            <w:top w:val="none" w:sz="0" w:space="0" w:color="auto"/>
            <w:left w:val="none" w:sz="0" w:space="0" w:color="auto"/>
            <w:bottom w:val="none" w:sz="0" w:space="0" w:color="auto"/>
            <w:right w:val="none" w:sz="0" w:space="0" w:color="auto"/>
          </w:divBdr>
        </w:div>
        <w:div w:id="1154956870">
          <w:marLeft w:val="0"/>
          <w:marRight w:val="0"/>
          <w:marTop w:val="0"/>
          <w:marBottom w:val="0"/>
          <w:divBdr>
            <w:top w:val="none" w:sz="0" w:space="0" w:color="auto"/>
            <w:left w:val="none" w:sz="0" w:space="0" w:color="auto"/>
            <w:bottom w:val="none" w:sz="0" w:space="0" w:color="auto"/>
            <w:right w:val="none" w:sz="0" w:space="0" w:color="auto"/>
          </w:divBdr>
        </w:div>
        <w:div w:id="1185482684">
          <w:marLeft w:val="0"/>
          <w:marRight w:val="0"/>
          <w:marTop w:val="0"/>
          <w:marBottom w:val="0"/>
          <w:divBdr>
            <w:top w:val="none" w:sz="0" w:space="0" w:color="auto"/>
            <w:left w:val="none" w:sz="0" w:space="0" w:color="auto"/>
            <w:bottom w:val="none" w:sz="0" w:space="0" w:color="auto"/>
            <w:right w:val="none" w:sz="0" w:space="0" w:color="auto"/>
          </w:divBdr>
        </w:div>
        <w:div w:id="1205407175">
          <w:marLeft w:val="0"/>
          <w:marRight w:val="0"/>
          <w:marTop w:val="0"/>
          <w:marBottom w:val="0"/>
          <w:divBdr>
            <w:top w:val="none" w:sz="0" w:space="0" w:color="auto"/>
            <w:left w:val="none" w:sz="0" w:space="0" w:color="auto"/>
            <w:bottom w:val="none" w:sz="0" w:space="0" w:color="auto"/>
            <w:right w:val="none" w:sz="0" w:space="0" w:color="auto"/>
          </w:divBdr>
        </w:div>
        <w:div w:id="1229219745">
          <w:marLeft w:val="0"/>
          <w:marRight w:val="0"/>
          <w:marTop w:val="0"/>
          <w:marBottom w:val="0"/>
          <w:divBdr>
            <w:top w:val="none" w:sz="0" w:space="0" w:color="auto"/>
            <w:left w:val="none" w:sz="0" w:space="0" w:color="auto"/>
            <w:bottom w:val="none" w:sz="0" w:space="0" w:color="auto"/>
            <w:right w:val="none" w:sz="0" w:space="0" w:color="auto"/>
          </w:divBdr>
        </w:div>
        <w:div w:id="1231423460">
          <w:marLeft w:val="0"/>
          <w:marRight w:val="0"/>
          <w:marTop w:val="0"/>
          <w:marBottom w:val="0"/>
          <w:divBdr>
            <w:top w:val="none" w:sz="0" w:space="0" w:color="auto"/>
            <w:left w:val="none" w:sz="0" w:space="0" w:color="auto"/>
            <w:bottom w:val="none" w:sz="0" w:space="0" w:color="auto"/>
            <w:right w:val="none" w:sz="0" w:space="0" w:color="auto"/>
          </w:divBdr>
        </w:div>
        <w:div w:id="1257518485">
          <w:marLeft w:val="0"/>
          <w:marRight w:val="0"/>
          <w:marTop w:val="0"/>
          <w:marBottom w:val="0"/>
          <w:divBdr>
            <w:top w:val="none" w:sz="0" w:space="0" w:color="auto"/>
            <w:left w:val="none" w:sz="0" w:space="0" w:color="auto"/>
            <w:bottom w:val="none" w:sz="0" w:space="0" w:color="auto"/>
            <w:right w:val="none" w:sz="0" w:space="0" w:color="auto"/>
          </w:divBdr>
        </w:div>
        <w:div w:id="1272392382">
          <w:marLeft w:val="0"/>
          <w:marRight w:val="0"/>
          <w:marTop w:val="0"/>
          <w:marBottom w:val="0"/>
          <w:divBdr>
            <w:top w:val="none" w:sz="0" w:space="0" w:color="auto"/>
            <w:left w:val="none" w:sz="0" w:space="0" w:color="auto"/>
            <w:bottom w:val="none" w:sz="0" w:space="0" w:color="auto"/>
            <w:right w:val="none" w:sz="0" w:space="0" w:color="auto"/>
          </w:divBdr>
        </w:div>
        <w:div w:id="1285191574">
          <w:marLeft w:val="0"/>
          <w:marRight w:val="0"/>
          <w:marTop w:val="0"/>
          <w:marBottom w:val="0"/>
          <w:divBdr>
            <w:top w:val="none" w:sz="0" w:space="0" w:color="auto"/>
            <w:left w:val="none" w:sz="0" w:space="0" w:color="auto"/>
            <w:bottom w:val="none" w:sz="0" w:space="0" w:color="auto"/>
            <w:right w:val="none" w:sz="0" w:space="0" w:color="auto"/>
          </w:divBdr>
        </w:div>
        <w:div w:id="1304044780">
          <w:marLeft w:val="0"/>
          <w:marRight w:val="0"/>
          <w:marTop w:val="0"/>
          <w:marBottom w:val="0"/>
          <w:divBdr>
            <w:top w:val="none" w:sz="0" w:space="0" w:color="auto"/>
            <w:left w:val="none" w:sz="0" w:space="0" w:color="auto"/>
            <w:bottom w:val="none" w:sz="0" w:space="0" w:color="auto"/>
            <w:right w:val="none" w:sz="0" w:space="0" w:color="auto"/>
          </w:divBdr>
        </w:div>
        <w:div w:id="1316955388">
          <w:marLeft w:val="0"/>
          <w:marRight w:val="0"/>
          <w:marTop w:val="0"/>
          <w:marBottom w:val="0"/>
          <w:divBdr>
            <w:top w:val="none" w:sz="0" w:space="0" w:color="auto"/>
            <w:left w:val="none" w:sz="0" w:space="0" w:color="auto"/>
            <w:bottom w:val="none" w:sz="0" w:space="0" w:color="auto"/>
            <w:right w:val="none" w:sz="0" w:space="0" w:color="auto"/>
          </w:divBdr>
        </w:div>
        <w:div w:id="1324702554">
          <w:marLeft w:val="0"/>
          <w:marRight w:val="0"/>
          <w:marTop w:val="0"/>
          <w:marBottom w:val="0"/>
          <w:divBdr>
            <w:top w:val="none" w:sz="0" w:space="0" w:color="auto"/>
            <w:left w:val="none" w:sz="0" w:space="0" w:color="auto"/>
            <w:bottom w:val="none" w:sz="0" w:space="0" w:color="auto"/>
            <w:right w:val="none" w:sz="0" w:space="0" w:color="auto"/>
          </w:divBdr>
        </w:div>
        <w:div w:id="1331834645">
          <w:marLeft w:val="0"/>
          <w:marRight w:val="0"/>
          <w:marTop w:val="0"/>
          <w:marBottom w:val="0"/>
          <w:divBdr>
            <w:top w:val="none" w:sz="0" w:space="0" w:color="auto"/>
            <w:left w:val="none" w:sz="0" w:space="0" w:color="auto"/>
            <w:bottom w:val="none" w:sz="0" w:space="0" w:color="auto"/>
            <w:right w:val="none" w:sz="0" w:space="0" w:color="auto"/>
          </w:divBdr>
        </w:div>
        <w:div w:id="1351682814">
          <w:marLeft w:val="0"/>
          <w:marRight w:val="0"/>
          <w:marTop w:val="0"/>
          <w:marBottom w:val="0"/>
          <w:divBdr>
            <w:top w:val="none" w:sz="0" w:space="0" w:color="auto"/>
            <w:left w:val="none" w:sz="0" w:space="0" w:color="auto"/>
            <w:bottom w:val="none" w:sz="0" w:space="0" w:color="auto"/>
            <w:right w:val="none" w:sz="0" w:space="0" w:color="auto"/>
          </w:divBdr>
        </w:div>
        <w:div w:id="1352756337">
          <w:marLeft w:val="0"/>
          <w:marRight w:val="0"/>
          <w:marTop w:val="0"/>
          <w:marBottom w:val="0"/>
          <w:divBdr>
            <w:top w:val="none" w:sz="0" w:space="0" w:color="auto"/>
            <w:left w:val="none" w:sz="0" w:space="0" w:color="auto"/>
            <w:bottom w:val="none" w:sz="0" w:space="0" w:color="auto"/>
            <w:right w:val="none" w:sz="0" w:space="0" w:color="auto"/>
          </w:divBdr>
        </w:div>
        <w:div w:id="1355839076">
          <w:marLeft w:val="0"/>
          <w:marRight w:val="0"/>
          <w:marTop w:val="0"/>
          <w:marBottom w:val="0"/>
          <w:divBdr>
            <w:top w:val="none" w:sz="0" w:space="0" w:color="auto"/>
            <w:left w:val="none" w:sz="0" w:space="0" w:color="auto"/>
            <w:bottom w:val="none" w:sz="0" w:space="0" w:color="auto"/>
            <w:right w:val="none" w:sz="0" w:space="0" w:color="auto"/>
          </w:divBdr>
        </w:div>
        <w:div w:id="1358241837">
          <w:marLeft w:val="0"/>
          <w:marRight w:val="0"/>
          <w:marTop w:val="0"/>
          <w:marBottom w:val="0"/>
          <w:divBdr>
            <w:top w:val="none" w:sz="0" w:space="0" w:color="auto"/>
            <w:left w:val="none" w:sz="0" w:space="0" w:color="auto"/>
            <w:bottom w:val="none" w:sz="0" w:space="0" w:color="auto"/>
            <w:right w:val="none" w:sz="0" w:space="0" w:color="auto"/>
          </w:divBdr>
        </w:div>
        <w:div w:id="1376658195">
          <w:marLeft w:val="0"/>
          <w:marRight w:val="0"/>
          <w:marTop w:val="0"/>
          <w:marBottom w:val="0"/>
          <w:divBdr>
            <w:top w:val="none" w:sz="0" w:space="0" w:color="auto"/>
            <w:left w:val="none" w:sz="0" w:space="0" w:color="auto"/>
            <w:bottom w:val="none" w:sz="0" w:space="0" w:color="auto"/>
            <w:right w:val="none" w:sz="0" w:space="0" w:color="auto"/>
          </w:divBdr>
        </w:div>
        <w:div w:id="1380393953">
          <w:marLeft w:val="0"/>
          <w:marRight w:val="0"/>
          <w:marTop w:val="0"/>
          <w:marBottom w:val="0"/>
          <w:divBdr>
            <w:top w:val="none" w:sz="0" w:space="0" w:color="auto"/>
            <w:left w:val="none" w:sz="0" w:space="0" w:color="auto"/>
            <w:bottom w:val="none" w:sz="0" w:space="0" w:color="auto"/>
            <w:right w:val="none" w:sz="0" w:space="0" w:color="auto"/>
          </w:divBdr>
        </w:div>
        <w:div w:id="1380587062">
          <w:marLeft w:val="0"/>
          <w:marRight w:val="0"/>
          <w:marTop w:val="0"/>
          <w:marBottom w:val="0"/>
          <w:divBdr>
            <w:top w:val="none" w:sz="0" w:space="0" w:color="auto"/>
            <w:left w:val="none" w:sz="0" w:space="0" w:color="auto"/>
            <w:bottom w:val="none" w:sz="0" w:space="0" w:color="auto"/>
            <w:right w:val="none" w:sz="0" w:space="0" w:color="auto"/>
          </w:divBdr>
        </w:div>
        <w:div w:id="1410881507">
          <w:marLeft w:val="0"/>
          <w:marRight w:val="0"/>
          <w:marTop w:val="0"/>
          <w:marBottom w:val="0"/>
          <w:divBdr>
            <w:top w:val="none" w:sz="0" w:space="0" w:color="auto"/>
            <w:left w:val="none" w:sz="0" w:space="0" w:color="auto"/>
            <w:bottom w:val="none" w:sz="0" w:space="0" w:color="auto"/>
            <w:right w:val="none" w:sz="0" w:space="0" w:color="auto"/>
          </w:divBdr>
        </w:div>
        <w:div w:id="1415591595">
          <w:marLeft w:val="0"/>
          <w:marRight w:val="0"/>
          <w:marTop w:val="0"/>
          <w:marBottom w:val="0"/>
          <w:divBdr>
            <w:top w:val="none" w:sz="0" w:space="0" w:color="auto"/>
            <w:left w:val="none" w:sz="0" w:space="0" w:color="auto"/>
            <w:bottom w:val="none" w:sz="0" w:space="0" w:color="auto"/>
            <w:right w:val="none" w:sz="0" w:space="0" w:color="auto"/>
          </w:divBdr>
        </w:div>
        <w:div w:id="1423717339">
          <w:marLeft w:val="0"/>
          <w:marRight w:val="0"/>
          <w:marTop w:val="0"/>
          <w:marBottom w:val="0"/>
          <w:divBdr>
            <w:top w:val="none" w:sz="0" w:space="0" w:color="auto"/>
            <w:left w:val="none" w:sz="0" w:space="0" w:color="auto"/>
            <w:bottom w:val="none" w:sz="0" w:space="0" w:color="auto"/>
            <w:right w:val="none" w:sz="0" w:space="0" w:color="auto"/>
          </w:divBdr>
        </w:div>
        <w:div w:id="1440182342">
          <w:marLeft w:val="0"/>
          <w:marRight w:val="0"/>
          <w:marTop w:val="0"/>
          <w:marBottom w:val="0"/>
          <w:divBdr>
            <w:top w:val="none" w:sz="0" w:space="0" w:color="auto"/>
            <w:left w:val="none" w:sz="0" w:space="0" w:color="auto"/>
            <w:bottom w:val="none" w:sz="0" w:space="0" w:color="auto"/>
            <w:right w:val="none" w:sz="0" w:space="0" w:color="auto"/>
          </w:divBdr>
        </w:div>
        <w:div w:id="1461266562">
          <w:marLeft w:val="0"/>
          <w:marRight w:val="0"/>
          <w:marTop w:val="0"/>
          <w:marBottom w:val="0"/>
          <w:divBdr>
            <w:top w:val="none" w:sz="0" w:space="0" w:color="auto"/>
            <w:left w:val="none" w:sz="0" w:space="0" w:color="auto"/>
            <w:bottom w:val="none" w:sz="0" w:space="0" w:color="auto"/>
            <w:right w:val="none" w:sz="0" w:space="0" w:color="auto"/>
          </w:divBdr>
        </w:div>
        <w:div w:id="1500659523">
          <w:marLeft w:val="0"/>
          <w:marRight w:val="0"/>
          <w:marTop w:val="0"/>
          <w:marBottom w:val="0"/>
          <w:divBdr>
            <w:top w:val="none" w:sz="0" w:space="0" w:color="auto"/>
            <w:left w:val="none" w:sz="0" w:space="0" w:color="auto"/>
            <w:bottom w:val="none" w:sz="0" w:space="0" w:color="auto"/>
            <w:right w:val="none" w:sz="0" w:space="0" w:color="auto"/>
          </w:divBdr>
        </w:div>
        <w:div w:id="1505512975">
          <w:marLeft w:val="0"/>
          <w:marRight w:val="0"/>
          <w:marTop w:val="0"/>
          <w:marBottom w:val="0"/>
          <w:divBdr>
            <w:top w:val="none" w:sz="0" w:space="0" w:color="auto"/>
            <w:left w:val="none" w:sz="0" w:space="0" w:color="auto"/>
            <w:bottom w:val="none" w:sz="0" w:space="0" w:color="auto"/>
            <w:right w:val="none" w:sz="0" w:space="0" w:color="auto"/>
          </w:divBdr>
        </w:div>
        <w:div w:id="1513839365">
          <w:marLeft w:val="0"/>
          <w:marRight w:val="0"/>
          <w:marTop w:val="0"/>
          <w:marBottom w:val="0"/>
          <w:divBdr>
            <w:top w:val="none" w:sz="0" w:space="0" w:color="auto"/>
            <w:left w:val="none" w:sz="0" w:space="0" w:color="auto"/>
            <w:bottom w:val="none" w:sz="0" w:space="0" w:color="auto"/>
            <w:right w:val="none" w:sz="0" w:space="0" w:color="auto"/>
          </w:divBdr>
        </w:div>
        <w:div w:id="1516846332">
          <w:marLeft w:val="0"/>
          <w:marRight w:val="0"/>
          <w:marTop w:val="0"/>
          <w:marBottom w:val="0"/>
          <w:divBdr>
            <w:top w:val="none" w:sz="0" w:space="0" w:color="auto"/>
            <w:left w:val="none" w:sz="0" w:space="0" w:color="auto"/>
            <w:bottom w:val="none" w:sz="0" w:space="0" w:color="auto"/>
            <w:right w:val="none" w:sz="0" w:space="0" w:color="auto"/>
          </w:divBdr>
        </w:div>
        <w:div w:id="1523545280">
          <w:marLeft w:val="0"/>
          <w:marRight w:val="0"/>
          <w:marTop w:val="0"/>
          <w:marBottom w:val="0"/>
          <w:divBdr>
            <w:top w:val="none" w:sz="0" w:space="0" w:color="auto"/>
            <w:left w:val="none" w:sz="0" w:space="0" w:color="auto"/>
            <w:bottom w:val="none" w:sz="0" w:space="0" w:color="auto"/>
            <w:right w:val="none" w:sz="0" w:space="0" w:color="auto"/>
          </w:divBdr>
        </w:div>
        <w:div w:id="1550460139">
          <w:marLeft w:val="0"/>
          <w:marRight w:val="0"/>
          <w:marTop w:val="0"/>
          <w:marBottom w:val="0"/>
          <w:divBdr>
            <w:top w:val="none" w:sz="0" w:space="0" w:color="auto"/>
            <w:left w:val="none" w:sz="0" w:space="0" w:color="auto"/>
            <w:bottom w:val="none" w:sz="0" w:space="0" w:color="auto"/>
            <w:right w:val="none" w:sz="0" w:space="0" w:color="auto"/>
          </w:divBdr>
        </w:div>
        <w:div w:id="1585335790">
          <w:marLeft w:val="0"/>
          <w:marRight w:val="0"/>
          <w:marTop w:val="0"/>
          <w:marBottom w:val="0"/>
          <w:divBdr>
            <w:top w:val="none" w:sz="0" w:space="0" w:color="auto"/>
            <w:left w:val="none" w:sz="0" w:space="0" w:color="auto"/>
            <w:bottom w:val="none" w:sz="0" w:space="0" w:color="auto"/>
            <w:right w:val="none" w:sz="0" w:space="0" w:color="auto"/>
          </w:divBdr>
        </w:div>
        <w:div w:id="1587302876">
          <w:marLeft w:val="0"/>
          <w:marRight w:val="0"/>
          <w:marTop w:val="0"/>
          <w:marBottom w:val="0"/>
          <w:divBdr>
            <w:top w:val="none" w:sz="0" w:space="0" w:color="auto"/>
            <w:left w:val="none" w:sz="0" w:space="0" w:color="auto"/>
            <w:bottom w:val="none" w:sz="0" w:space="0" w:color="auto"/>
            <w:right w:val="none" w:sz="0" w:space="0" w:color="auto"/>
          </w:divBdr>
        </w:div>
        <w:div w:id="1587574417">
          <w:marLeft w:val="0"/>
          <w:marRight w:val="0"/>
          <w:marTop w:val="0"/>
          <w:marBottom w:val="0"/>
          <w:divBdr>
            <w:top w:val="none" w:sz="0" w:space="0" w:color="auto"/>
            <w:left w:val="none" w:sz="0" w:space="0" w:color="auto"/>
            <w:bottom w:val="none" w:sz="0" w:space="0" w:color="auto"/>
            <w:right w:val="none" w:sz="0" w:space="0" w:color="auto"/>
          </w:divBdr>
        </w:div>
        <w:div w:id="1594970219">
          <w:marLeft w:val="0"/>
          <w:marRight w:val="0"/>
          <w:marTop w:val="0"/>
          <w:marBottom w:val="0"/>
          <w:divBdr>
            <w:top w:val="none" w:sz="0" w:space="0" w:color="auto"/>
            <w:left w:val="none" w:sz="0" w:space="0" w:color="auto"/>
            <w:bottom w:val="none" w:sz="0" w:space="0" w:color="auto"/>
            <w:right w:val="none" w:sz="0" w:space="0" w:color="auto"/>
          </w:divBdr>
        </w:div>
        <w:div w:id="1595236929">
          <w:marLeft w:val="0"/>
          <w:marRight w:val="0"/>
          <w:marTop w:val="0"/>
          <w:marBottom w:val="0"/>
          <w:divBdr>
            <w:top w:val="none" w:sz="0" w:space="0" w:color="auto"/>
            <w:left w:val="none" w:sz="0" w:space="0" w:color="auto"/>
            <w:bottom w:val="none" w:sz="0" w:space="0" w:color="auto"/>
            <w:right w:val="none" w:sz="0" w:space="0" w:color="auto"/>
          </w:divBdr>
        </w:div>
        <w:div w:id="1618367716">
          <w:marLeft w:val="0"/>
          <w:marRight w:val="0"/>
          <w:marTop w:val="0"/>
          <w:marBottom w:val="0"/>
          <w:divBdr>
            <w:top w:val="none" w:sz="0" w:space="0" w:color="auto"/>
            <w:left w:val="none" w:sz="0" w:space="0" w:color="auto"/>
            <w:bottom w:val="none" w:sz="0" w:space="0" w:color="auto"/>
            <w:right w:val="none" w:sz="0" w:space="0" w:color="auto"/>
          </w:divBdr>
        </w:div>
        <w:div w:id="1634284857">
          <w:marLeft w:val="0"/>
          <w:marRight w:val="0"/>
          <w:marTop w:val="0"/>
          <w:marBottom w:val="0"/>
          <w:divBdr>
            <w:top w:val="none" w:sz="0" w:space="0" w:color="auto"/>
            <w:left w:val="none" w:sz="0" w:space="0" w:color="auto"/>
            <w:bottom w:val="none" w:sz="0" w:space="0" w:color="auto"/>
            <w:right w:val="none" w:sz="0" w:space="0" w:color="auto"/>
          </w:divBdr>
        </w:div>
        <w:div w:id="1661420647">
          <w:marLeft w:val="0"/>
          <w:marRight w:val="0"/>
          <w:marTop w:val="0"/>
          <w:marBottom w:val="0"/>
          <w:divBdr>
            <w:top w:val="none" w:sz="0" w:space="0" w:color="auto"/>
            <w:left w:val="none" w:sz="0" w:space="0" w:color="auto"/>
            <w:bottom w:val="none" w:sz="0" w:space="0" w:color="auto"/>
            <w:right w:val="none" w:sz="0" w:space="0" w:color="auto"/>
          </w:divBdr>
        </w:div>
        <w:div w:id="1665859674">
          <w:marLeft w:val="0"/>
          <w:marRight w:val="0"/>
          <w:marTop w:val="0"/>
          <w:marBottom w:val="0"/>
          <w:divBdr>
            <w:top w:val="none" w:sz="0" w:space="0" w:color="auto"/>
            <w:left w:val="none" w:sz="0" w:space="0" w:color="auto"/>
            <w:bottom w:val="none" w:sz="0" w:space="0" w:color="auto"/>
            <w:right w:val="none" w:sz="0" w:space="0" w:color="auto"/>
          </w:divBdr>
        </w:div>
        <w:div w:id="1672638631">
          <w:marLeft w:val="0"/>
          <w:marRight w:val="0"/>
          <w:marTop w:val="0"/>
          <w:marBottom w:val="0"/>
          <w:divBdr>
            <w:top w:val="none" w:sz="0" w:space="0" w:color="auto"/>
            <w:left w:val="none" w:sz="0" w:space="0" w:color="auto"/>
            <w:bottom w:val="none" w:sz="0" w:space="0" w:color="auto"/>
            <w:right w:val="none" w:sz="0" w:space="0" w:color="auto"/>
          </w:divBdr>
        </w:div>
        <w:div w:id="1702123157">
          <w:marLeft w:val="0"/>
          <w:marRight w:val="0"/>
          <w:marTop w:val="0"/>
          <w:marBottom w:val="0"/>
          <w:divBdr>
            <w:top w:val="none" w:sz="0" w:space="0" w:color="auto"/>
            <w:left w:val="none" w:sz="0" w:space="0" w:color="auto"/>
            <w:bottom w:val="none" w:sz="0" w:space="0" w:color="auto"/>
            <w:right w:val="none" w:sz="0" w:space="0" w:color="auto"/>
          </w:divBdr>
        </w:div>
        <w:div w:id="1714426436">
          <w:marLeft w:val="0"/>
          <w:marRight w:val="0"/>
          <w:marTop w:val="0"/>
          <w:marBottom w:val="0"/>
          <w:divBdr>
            <w:top w:val="none" w:sz="0" w:space="0" w:color="auto"/>
            <w:left w:val="none" w:sz="0" w:space="0" w:color="auto"/>
            <w:bottom w:val="none" w:sz="0" w:space="0" w:color="auto"/>
            <w:right w:val="none" w:sz="0" w:space="0" w:color="auto"/>
          </w:divBdr>
        </w:div>
        <w:div w:id="1736508497">
          <w:marLeft w:val="0"/>
          <w:marRight w:val="0"/>
          <w:marTop w:val="0"/>
          <w:marBottom w:val="0"/>
          <w:divBdr>
            <w:top w:val="none" w:sz="0" w:space="0" w:color="auto"/>
            <w:left w:val="none" w:sz="0" w:space="0" w:color="auto"/>
            <w:bottom w:val="none" w:sz="0" w:space="0" w:color="auto"/>
            <w:right w:val="none" w:sz="0" w:space="0" w:color="auto"/>
          </w:divBdr>
        </w:div>
        <w:div w:id="1754399275">
          <w:marLeft w:val="0"/>
          <w:marRight w:val="0"/>
          <w:marTop w:val="0"/>
          <w:marBottom w:val="0"/>
          <w:divBdr>
            <w:top w:val="none" w:sz="0" w:space="0" w:color="auto"/>
            <w:left w:val="none" w:sz="0" w:space="0" w:color="auto"/>
            <w:bottom w:val="none" w:sz="0" w:space="0" w:color="auto"/>
            <w:right w:val="none" w:sz="0" w:space="0" w:color="auto"/>
          </w:divBdr>
        </w:div>
        <w:div w:id="1760519492">
          <w:marLeft w:val="0"/>
          <w:marRight w:val="0"/>
          <w:marTop w:val="0"/>
          <w:marBottom w:val="0"/>
          <w:divBdr>
            <w:top w:val="none" w:sz="0" w:space="0" w:color="auto"/>
            <w:left w:val="none" w:sz="0" w:space="0" w:color="auto"/>
            <w:bottom w:val="none" w:sz="0" w:space="0" w:color="auto"/>
            <w:right w:val="none" w:sz="0" w:space="0" w:color="auto"/>
          </w:divBdr>
        </w:div>
        <w:div w:id="1766804233">
          <w:marLeft w:val="0"/>
          <w:marRight w:val="0"/>
          <w:marTop w:val="0"/>
          <w:marBottom w:val="0"/>
          <w:divBdr>
            <w:top w:val="none" w:sz="0" w:space="0" w:color="auto"/>
            <w:left w:val="none" w:sz="0" w:space="0" w:color="auto"/>
            <w:bottom w:val="none" w:sz="0" w:space="0" w:color="auto"/>
            <w:right w:val="none" w:sz="0" w:space="0" w:color="auto"/>
          </w:divBdr>
        </w:div>
        <w:div w:id="1768379292">
          <w:marLeft w:val="0"/>
          <w:marRight w:val="0"/>
          <w:marTop w:val="0"/>
          <w:marBottom w:val="0"/>
          <w:divBdr>
            <w:top w:val="none" w:sz="0" w:space="0" w:color="auto"/>
            <w:left w:val="none" w:sz="0" w:space="0" w:color="auto"/>
            <w:bottom w:val="none" w:sz="0" w:space="0" w:color="auto"/>
            <w:right w:val="none" w:sz="0" w:space="0" w:color="auto"/>
          </w:divBdr>
        </w:div>
        <w:div w:id="1772506503">
          <w:marLeft w:val="0"/>
          <w:marRight w:val="0"/>
          <w:marTop w:val="0"/>
          <w:marBottom w:val="0"/>
          <w:divBdr>
            <w:top w:val="none" w:sz="0" w:space="0" w:color="auto"/>
            <w:left w:val="none" w:sz="0" w:space="0" w:color="auto"/>
            <w:bottom w:val="none" w:sz="0" w:space="0" w:color="auto"/>
            <w:right w:val="none" w:sz="0" w:space="0" w:color="auto"/>
          </w:divBdr>
        </w:div>
        <w:div w:id="1788162839">
          <w:marLeft w:val="0"/>
          <w:marRight w:val="0"/>
          <w:marTop w:val="0"/>
          <w:marBottom w:val="0"/>
          <w:divBdr>
            <w:top w:val="none" w:sz="0" w:space="0" w:color="auto"/>
            <w:left w:val="none" w:sz="0" w:space="0" w:color="auto"/>
            <w:bottom w:val="none" w:sz="0" w:space="0" w:color="auto"/>
            <w:right w:val="none" w:sz="0" w:space="0" w:color="auto"/>
          </w:divBdr>
        </w:div>
        <w:div w:id="1810517146">
          <w:marLeft w:val="0"/>
          <w:marRight w:val="0"/>
          <w:marTop w:val="0"/>
          <w:marBottom w:val="0"/>
          <w:divBdr>
            <w:top w:val="none" w:sz="0" w:space="0" w:color="auto"/>
            <w:left w:val="none" w:sz="0" w:space="0" w:color="auto"/>
            <w:bottom w:val="none" w:sz="0" w:space="0" w:color="auto"/>
            <w:right w:val="none" w:sz="0" w:space="0" w:color="auto"/>
          </w:divBdr>
        </w:div>
        <w:div w:id="1818759454">
          <w:marLeft w:val="0"/>
          <w:marRight w:val="0"/>
          <w:marTop w:val="0"/>
          <w:marBottom w:val="0"/>
          <w:divBdr>
            <w:top w:val="none" w:sz="0" w:space="0" w:color="auto"/>
            <w:left w:val="none" w:sz="0" w:space="0" w:color="auto"/>
            <w:bottom w:val="none" w:sz="0" w:space="0" w:color="auto"/>
            <w:right w:val="none" w:sz="0" w:space="0" w:color="auto"/>
          </w:divBdr>
        </w:div>
        <w:div w:id="1822234750">
          <w:marLeft w:val="0"/>
          <w:marRight w:val="0"/>
          <w:marTop w:val="0"/>
          <w:marBottom w:val="0"/>
          <w:divBdr>
            <w:top w:val="none" w:sz="0" w:space="0" w:color="auto"/>
            <w:left w:val="none" w:sz="0" w:space="0" w:color="auto"/>
            <w:bottom w:val="none" w:sz="0" w:space="0" w:color="auto"/>
            <w:right w:val="none" w:sz="0" w:space="0" w:color="auto"/>
          </w:divBdr>
        </w:div>
        <w:div w:id="1824546833">
          <w:marLeft w:val="0"/>
          <w:marRight w:val="0"/>
          <w:marTop w:val="0"/>
          <w:marBottom w:val="0"/>
          <w:divBdr>
            <w:top w:val="none" w:sz="0" w:space="0" w:color="auto"/>
            <w:left w:val="none" w:sz="0" w:space="0" w:color="auto"/>
            <w:bottom w:val="none" w:sz="0" w:space="0" w:color="auto"/>
            <w:right w:val="none" w:sz="0" w:space="0" w:color="auto"/>
          </w:divBdr>
        </w:div>
        <w:div w:id="1841463057">
          <w:marLeft w:val="0"/>
          <w:marRight w:val="0"/>
          <w:marTop w:val="0"/>
          <w:marBottom w:val="0"/>
          <w:divBdr>
            <w:top w:val="none" w:sz="0" w:space="0" w:color="auto"/>
            <w:left w:val="none" w:sz="0" w:space="0" w:color="auto"/>
            <w:bottom w:val="none" w:sz="0" w:space="0" w:color="auto"/>
            <w:right w:val="none" w:sz="0" w:space="0" w:color="auto"/>
          </w:divBdr>
        </w:div>
        <w:div w:id="1852184469">
          <w:marLeft w:val="0"/>
          <w:marRight w:val="0"/>
          <w:marTop w:val="0"/>
          <w:marBottom w:val="0"/>
          <w:divBdr>
            <w:top w:val="none" w:sz="0" w:space="0" w:color="auto"/>
            <w:left w:val="none" w:sz="0" w:space="0" w:color="auto"/>
            <w:bottom w:val="none" w:sz="0" w:space="0" w:color="auto"/>
            <w:right w:val="none" w:sz="0" w:space="0" w:color="auto"/>
          </w:divBdr>
        </w:div>
        <w:div w:id="1874078599">
          <w:marLeft w:val="0"/>
          <w:marRight w:val="0"/>
          <w:marTop w:val="0"/>
          <w:marBottom w:val="0"/>
          <w:divBdr>
            <w:top w:val="none" w:sz="0" w:space="0" w:color="auto"/>
            <w:left w:val="none" w:sz="0" w:space="0" w:color="auto"/>
            <w:bottom w:val="none" w:sz="0" w:space="0" w:color="auto"/>
            <w:right w:val="none" w:sz="0" w:space="0" w:color="auto"/>
          </w:divBdr>
        </w:div>
        <w:div w:id="1881432813">
          <w:marLeft w:val="0"/>
          <w:marRight w:val="0"/>
          <w:marTop w:val="0"/>
          <w:marBottom w:val="0"/>
          <w:divBdr>
            <w:top w:val="none" w:sz="0" w:space="0" w:color="auto"/>
            <w:left w:val="none" w:sz="0" w:space="0" w:color="auto"/>
            <w:bottom w:val="none" w:sz="0" w:space="0" w:color="auto"/>
            <w:right w:val="none" w:sz="0" w:space="0" w:color="auto"/>
          </w:divBdr>
        </w:div>
        <w:div w:id="1885672990">
          <w:marLeft w:val="0"/>
          <w:marRight w:val="0"/>
          <w:marTop w:val="0"/>
          <w:marBottom w:val="0"/>
          <w:divBdr>
            <w:top w:val="none" w:sz="0" w:space="0" w:color="auto"/>
            <w:left w:val="none" w:sz="0" w:space="0" w:color="auto"/>
            <w:bottom w:val="none" w:sz="0" w:space="0" w:color="auto"/>
            <w:right w:val="none" w:sz="0" w:space="0" w:color="auto"/>
          </w:divBdr>
        </w:div>
        <w:div w:id="1887569568">
          <w:marLeft w:val="0"/>
          <w:marRight w:val="0"/>
          <w:marTop w:val="0"/>
          <w:marBottom w:val="0"/>
          <w:divBdr>
            <w:top w:val="none" w:sz="0" w:space="0" w:color="auto"/>
            <w:left w:val="none" w:sz="0" w:space="0" w:color="auto"/>
            <w:bottom w:val="none" w:sz="0" w:space="0" w:color="auto"/>
            <w:right w:val="none" w:sz="0" w:space="0" w:color="auto"/>
          </w:divBdr>
        </w:div>
        <w:div w:id="1909266911">
          <w:marLeft w:val="0"/>
          <w:marRight w:val="0"/>
          <w:marTop w:val="0"/>
          <w:marBottom w:val="0"/>
          <w:divBdr>
            <w:top w:val="none" w:sz="0" w:space="0" w:color="auto"/>
            <w:left w:val="none" w:sz="0" w:space="0" w:color="auto"/>
            <w:bottom w:val="none" w:sz="0" w:space="0" w:color="auto"/>
            <w:right w:val="none" w:sz="0" w:space="0" w:color="auto"/>
          </w:divBdr>
        </w:div>
        <w:div w:id="1933972332">
          <w:marLeft w:val="0"/>
          <w:marRight w:val="0"/>
          <w:marTop w:val="0"/>
          <w:marBottom w:val="0"/>
          <w:divBdr>
            <w:top w:val="none" w:sz="0" w:space="0" w:color="auto"/>
            <w:left w:val="none" w:sz="0" w:space="0" w:color="auto"/>
            <w:bottom w:val="none" w:sz="0" w:space="0" w:color="auto"/>
            <w:right w:val="none" w:sz="0" w:space="0" w:color="auto"/>
          </w:divBdr>
        </w:div>
        <w:div w:id="1946422215">
          <w:marLeft w:val="0"/>
          <w:marRight w:val="0"/>
          <w:marTop w:val="0"/>
          <w:marBottom w:val="0"/>
          <w:divBdr>
            <w:top w:val="none" w:sz="0" w:space="0" w:color="auto"/>
            <w:left w:val="none" w:sz="0" w:space="0" w:color="auto"/>
            <w:bottom w:val="none" w:sz="0" w:space="0" w:color="auto"/>
            <w:right w:val="none" w:sz="0" w:space="0" w:color="auto"/>
          </w:divBdr>
        </w:div>
        <w:div w:id="1965034536">
          <w:marLeft w:val="0"/>
          <w:marRight w:val="0"/>
          <w:marTop w:val="0"/>
          <w:marBottom w:val="0"/>
          <w:divBdr>
            <w:top w:val="none" w:sz="0" w:space="0" w:color="auto"/>
            <w:left w:val="none" w:sz="0" w:space="0" w:color="auto"/>
            <w:bottom w:val="none" w:sz="0" w:space="0" w:color="auto"/>
            <w:right w:val="none" w:sz="0" w:space="0" w:color="auto"/>
          </w:divBdr>
        </w:div>
        <w:div w:id="1966504534">
          <w:marLeft w:val="0"/>
          <w:marRight w:val="0"/>
          <w:marTop w:val="0"/>
          <w:marBottom w:val="0"/>
          <w:divBdr>
            <w:top w:val="none" w:sz="0" w:space="0" w:color="auto"/>
            <w:left w:val="none" w:sz="0" w:space="0" w:color="auto"/>
            <w:bottom w:val="none" w:sz="0" w:space="0" w:color="auto"/>
            <w:right w:val="none" w:sz="0" w:space="0" w:color="auto"/>
          </w:divBdr>
        </w:div>
        <w:div w:id="1973554338">
          <w:marLeft w:val="0"/>
          <w:marRight w:val="0"/>
          <w:marTop w:val="0"/>
          <w:marBottom w:val="0"/>
          <w:divBdr>
            <w:top w:val="none" w:sz="0" w:space="0" w:color="auto"/>
            <w:left w:val="none" w:sz="0" w:space="0" w:color="auto"/>
            <w:bottom w:val="none" w:sz="0" w:space="0" w:color="auto"/>
            <w:right w:val="none" w:sz="0" w:space="0" w:color="auto"/>
          </w:divBdr>
        </w:div>
        <w:div w:id="1975941316">
          <w:marLeft w:val="0"/>
          <w:marRight w:val="0"/>
          <w:marTop w:val="0"/>
          <w:marBottom w:val="0"/>
          <w:divBdr>
            <w:top w:val="none" w:sz="0" w:space="0" w:color="auto"/>
            <w:left w:val="none" w:sz="0" w:space="0" w:color="auto"/>
            <w:bottom w:val="none" w:sz="0" w:space="0" w:color="auto"/>
            <w:right w:val="none" w:sz="0" w:space="0" w:color="auto"/>
          </w:divBdr>
        </w:div>
        <w:div w:id="1994798814">
          <w:marLeft w:val="0"/>
          <w:marRight w:val="0"/>
          <w:marTop w:val="0"/>
          <w:marBottom w:val="0"/>
          <w:divBdr>
            <w:top w:val="none" w:sz="0" w:space="0" w:color="auto"/>
            <w:left w:val="none" w:sz="0" w:space="0" w:color="auto"/>
            <w:bottom w:val="none" w:sz="0" w:space="0" w:color="auto"/>
            <w:right w:val="none" w:sz="0" w:space="0" w:color="auto"/>
          </w:divBdr>
        </w:div>
      </w:divsChild>
    </w:div>
    <w:div w:id="1643806372">
      <w:bodyDiv w:val="1"/>
      <w:marLeft w:val="0"/>
      <w:marRight w:val="0"/>
      <w:marTop w:val="0"/>
      <w:marBottom w:val="0"/>
      <w:divBdr>
        <w:top w:val="none" w:sz="0" w:space="0" w:color="auto"/>
        <w:left w:val="none" w:sz="0" w:space="0" w:color="auto"/>
        <w:bottom w:val="none" w:sz="0" w:space="0" w:color="auto"/>
        <w:right w:val="none" w:sz="0" w:space="0" w:color="auto"/>
      </w:divBdr>
    </w:div>
    <w:div w:id="1643851234">
      <w:bodyDiv w:val="1"/>
      <w:marLeft w:val="0"/>
      <w:marRight w:val="0"/>
      <w:marTop w:val="0"/>
      <w:marBottom w:val="0"/>
      <w:divBdr>
        <w:top w:val="none" w:sz="0" w:space="0" w:color="auto"/>
        <w:left w:val="none" w:sz="0" w:space="0" w:color="auto"/>
        <w:bottom w:val="none" w:sz="0" w:space="0" w:color="auto"/>
        <w:right w:val="none" w:sz="0" w:space="0" w:color="auto"/>
      </w:divBdr>
    </w:div>
    <w:div w:id="1643852336">
      <w:bodyDiv w:val="1"/>
      <w:marLeft w:val="0"/>
      <w:marRight w:val="0"/>
      <w:marTop w:val="0"/>
      <w:marBottom w:val="0"/>
      <w:divBdr>
        <w:top w:val="none" w:sz="0" w:space="0" w:color="auto"/>
        <w:left w:val="none" w:sz="0" w:space="0" w:color="auto"/>
        <w:bottom w:val="none" w:sz="0" w:space="0" w:color="auto"/>
        <w:right w:val="none" w:sz="0" w:space="0" w:color="auto"/>
      </w:divBdr>
    </w:div>
    <w:div w:id="1643923064">
      <w:bodyDiv w:val="1"/>
      <w:marLeft w:val="0"/>
      <w:marRight w:val="0"/>
      <w:marTop w:val="0"/>
      <w:marBottom w:val="0"/>
      <w:divBdr>
        <w:top w:val="none" w:sz="0" w:space="0" w:color="auto"/>
        <w:left w:val="none" w:sz="0" w:space="0" w:color="auto"/>
        <w:bottom w:val="none" w:sz="0" w:space="0" w:color="auto"/>
        <w:right w:val="none" w:sz="0" w:space="0" w:color="auto"/>
      </w:divBdr>
    </w:div>
    <w:div w:id="1643926042">
      <w:bodyDiv w:val="1"/>
      <w:marLeft w:val="0"/>
      <w:marRight w:val="0"/>
      <w:marTop w:val="0"/>
      <w:marBottom w:val="0"/>
      <w:divBdr>
        <w:top w:val="none" w:sz="0" w:space="0" w:color="auto"/>
        <w:left w:val="none" w:sz="0" w:space="0" w:color="auto"/>
        <w:bottom w:val="none" w:sz="0" w:space="0" w:color="auto"/>
        <w:right w:val="none" w:sz="0" w:space="0" w:color="auto"/>
      </w:divBdr>
    </w:div>
    <w:div w:id="1644044250">
      <w:bodyDiv w:val="1"/>
      <w:marLeft w:val="0"/>
      <w:marRight w:val="0"/>
      <w:marTop w:val="0"/>
      <w:marBottom w:val="0"/>
      <w:divBdr>
        <w:top w:val="none" w:sz="0" w:space="0" w:color="auto"/>
        <w:left w:val="none" w:sz="0" w:space="0" w:color="auto"/>
        <w:bottom w:val="none" w:sz="0" w:space="0" w:color="auto"/>
        <w:right w:val="none" w:sz="0" w:space="0" w:color="auto"/>
      </w:divBdr>
    </w:div>
    <w:div w:id="1644197548">
      <w:bodyDiv w:val="1"/>
      <w:marLeft w:val="0"/>
      <w:marRight w:val="0"/>
      <w:marTop w:val="0"/>
      <w:marBottom w:val="0"/>
      <w:divBdr>
        <w:top w:val="none" w:sz="0" w:space="0" w:color="auto"/>
        <w:left w:val="none" w:sz="0" w:space="0" w:color="auto"/>
        <w:bottom w:val="none" w:sz="0" w:space="0" w:color="auto"/>
        <w:right w:val="none" w:sz="0" w:space="0" w:color="auto"/>
      </w:divBdr>
    </w:div>
    <w:div w:id="1644504519">
      <w:bodyDiv w:val="1"/>
      <w:marLeft w:val="0"/>
      <w:marRight w:val="0"/>
      <w:marTop w:val="0"/>
      <w:marBottom w:val="0"/>
      <w:divBdr>
        <w:top w:val="none" w:sz="0" w:space="0" w:color="auto"/>
        <w:left w:val="none" w:sz="0" w:space="0" w:color="auto"/>
        <w:bottom w:val="none" w:sz="0" w:space="0" w:color="auto"/>
        <w:right w:val="none" w:sz="0" w:space="0" w:color="auto"/>
      </w:divBdr>
    </w:div>
    <w:div w:id="1644650345">
      <w:bodyDiv w:val="1"/>
      <w:marLeft w:val="0"/>
      <w:marRight w:val="0"/>
      <w:marTop w:val="0"/>
      <w:marBottom w:val="0"/>
      <w:divBdr>
        <w:top w:val="none" w:sz="0" w:space="0" w:color="auto"/>
        <w:left w:val="none" w:sz="0" w:space="0" w:color="auto"/>
        <w:bottom w:val="none" w:sz="0" w:space="0" w:color="auto"/>
        <w:right w:val="none" w:sz="0" w:space="0" w:color="auto"/>
      </w:divBdr>
    </w:div>
    <w:div w:id="1644654035">
      <w:bodyDiv w:val="1"/>
      <w:marLeft w:val="0"/>
      <w:marRight w:val="0"/>
      <w:marTop w:val="0"/>
      <w:marBottom w:val="0"/>
      <w:divBdr>
        <w:top w:val="none" w:sz="0" w:space="0" w:color="auto"/>
        <w:left w:val="none" w:sz="0" w:space="0" w:color="auto"/>
        <w:bottom w:val="none" w:sz="0" w:space="0" w:color="auto"/>
        <w:right w:val="none" w:sz="0" w:space="0" w:color="auto"/>
      </w:divBdr>
    </w:div>
    <w:div w:id="1644654363">
      <w:bodyDiv w:val="1"/>
      <w:marLeft w:val="0"/>
      <w:marRight w:val="0"/>
      <w:marTop w:val="0"/>
      <w:marBottom w:val="0"/>
      <w:divBdr>
        <w:top w:val="none" w:sz="0" w:space="0" w:color="auto"/>
        <w:left w:val="none" w:sz="0" w:space="0" w:color="auto"/>
        <w:bottom w:val="none" w:sz="0" w:space="0" w:color="auto"/>
        <w:right w:val="none" w:sz="0" w:space="0" w:color="auto"/>
      </w:divBdr>
    </w:div>
    <w:div w:id="1644774469">
      <w:bodyDiv w:val="1"/>
      <w:marLeft w:val="0"/>
      <w:marRight w:val="0"/>
      <w:marTop w:val="0"/>
      <w:marBottom w:val="0"/>
      <w:divBdr>
        <w:top w:val="none" w:sz="0" w:space="0" w:color="auto"/>
        <w:left w:val="none" w:sz="0" w:space="0" w:color="auto"/>
        <w:bottom w:val="none" w:sz="0" w:space="0" w:color="auto"/>
        <w:right w:val="none" w:sz="0" w:space="0" w:color="auto"/>
      </w:divBdr>
    </w:div>
    <w:div w:id="1644774747">
      <w:bodyDiv w:val="1"/>
      <w:marLeft w:val="0"/>
      <w:marRight w:val="0"/>
      <w:marTop w:val="0"/>
      <w:marBottom w:val="0"/>
      <w:divBdr>
        <w:top w:val="none" w:sz="0" w:space="0" w:color="auto"/>
        <w:left w:val="none" w:sz="0" w:space="0" w:color="auto"/>
        <w:bottom w:val="none" w:sz="0" w:space="0" w:color="auto"/>
        <w:right w:val="none" w:sz="0" w:space="0" w:color="auto"/>
      </w:divBdr>
    </w:div>
    <w:div w:id="1644888151">
      <w:bodyDiv w:val="1"/>
      <w:marLeft w:val="0"/>
      <w:marRight w:val="0"/>
      <w:marTop w:val="0"/>
      <w:marBottom w:val="0"/>
      <w:divBdr>
        <w:top w:val="none" w:sz="0" w:space="0" w:color="auto"/>
        <w:left w:val="none" w:sz="0" w:space="0" w:color="auto"/>
        <w:bottom w:val="none" w:sz="0" w:space="0" w:color="auto"/>
        <w:right w:val="none" w:sz="0" w:space="0" w:color="auto"/>
      </w:divBdr>
    </w:div>
    <w:div w:id="1644963611">
      <w:bodyDiv w:val="1"/>
      <w:marLeft w:val="0"/>
      <w:marRight w:val="0"/>
      <w:marTop w:val="0"/>
      <w:marBottom w:val="0"/>
      <w:divBdr>
        <w:top w:val="none" w:sz="0" w:space="0" w:color="auto"/>
        <w:left w:val="none" w:sz="0" w:space="0" w:color="auto"/>
        <w:bottom w:val="none" w:sz="0" w:space="0" w:color="auto"/>
        <w:right w:val="none" w:sz="0" w:space="0" w:color="auto"/>
      </w:divBdr>
    </w:div>
    <w:div w:id="1645040323">
      <w:bodyDiv w:val="1"/>
      <w:marLeft w:val="0"/>
      <w:marRight w:val="0"/>
      <w:marTop w:val="0"/>
      <w:marBottom w:val="0"/>
      <w:divBdr>
        <w:top w:val="none" w:sz="0" w:space="0" w:color="auto"/>
        <w:left w:val="none" w:sz="0" w:space="0" w:color="auto"/>
        <w:bottom w:val="none" w:sz="0" w:space="0" w:color="auto"/>
        <w:right w:val="none" w:sz="0" w:space="0" w:color="auto"/>
      </w:divBdr>
    </w:div>
    <w:div w:id="1645113072">
      <w:bodyDiv w:val="1"/>
      <w:marLeft w:val="0"/>
      <w:marRight w:val="0"/>
      <w:marTop w:val="0"/>
      <w:marBottom w:val="0"/>
      <w:divBdr>
        <w:top w:val="none" w:sz="0" w:space="0" w:color="auto"/>
        <w:left w:val="none" w:sz="0" w:space="0" w:color="auto"/>
        <w:bottom w:val="none" w:sz="0" w:space="0" w:color="auto"/>
        <w:right w:val="none" w:sz="0" w:space="0" w:color="auto"/>
      </w:divBdr>
    </w:div>
    <w:div w:id="1645156383">
      <w:bodyDiv w:val="1"/>
      <w:marLeft w:val="0"/>
      <w:marRight w:val="0"/>
      <w:marTop w:val="0"/>
      <w:marBottom w:val="0"/>
      <w:divBdr>
        <w:top w:val="none" w:sz="0" w:space="0" w:color="auto"/>
        <w:left w:val="none" w:sz="0" w:space="0" w:color="auto"/>
        <w:bottom w:val="none" w:sz="0" w:space="0" w:color="auto"/>
        <w:right w:val="none" w:sz="0" w:space="0" w:color="auto"/>
      </w:divBdr>
    </w:div>
    <w:div w:id="1645158544">
      <w:bodyDiv w:val="1"/>
      <w:marLeft w:val="0"/>
      <w:marRight w:val="0"/>
      <w:marTop w:val="0"/>
      <w:marBottom w:val="0"/>
      <w:divBdr>
        <w:top w:val="none" w:sz="0" w:space="0" w:color="auto"/>
        <w:left w:val="none" w:sz="0" w:space="0" w:color="auto"/>
        <w:bottom w:val="none" w:sz="0" w:space="0" w:color="auto"/>
        <w:right w:val="none" w:sz="0" w:space="0" w:color="auto"/>
      </w:divBdr>
    </w:div>
    <w:div w:id="1645238785">
      <w:bodyDiv w:val="1"/>
      <w:marLeft w:val="0"/>
      <w:marRight w:val="0"/>
      <w:marTop w:val="0"/>
      <w:marBottom w:val="0"/>
      <w:divBdr>
        <w:top w:val="none" w:sz="0" w:space="0" w:color="auto"/>
        <w:left w:val="none" w:sz="0" w:space="0" w:color="auto"/>
        <w:bottom w:val="none" w:sz="0" w:space="0" w:color="auto"/>
        <w:right w:val="none" w:sz="0" w:space="0" w:color="auto"/>
      </w:divBdr>
    </w:div>
    <w:div w:id="1645349189">
      <w:bodyDiv w:val="1"/>
      <w:marLeft w:val="0"/>
      <w:marRight w:val="0"/>
      <w:marTop w:val="0"/>
      <w:marBottom w:val="0"/>
      <w:divBdr>
        <w:top w:val="none" w:sz="0" w:space="0" w:color="auto"/>
        <w:left w:val="none" w:sz="0" w:space="0" w:color="auto"/>
        <w:bottom w:val="none" w:sz="0" w:space="0" w:color="auto"/>
        <w:right w:val="none" w:sz="0" w:space="0" w:color="auto"/>
      </w:divBdr>
    </w:div>
    <w:div w:id="1645355346">
      <w:bodyDiv w:val="1"/>
      <w:marLeft w:val="0"/>
      <w:marRight w:val="0"/>
      <w:marTop w:val="0"/>
      <w:marBottom w:val="0"/>
      <w:divBdr>
        <w:top w:val="none" w:sz="0" w:space="0" w:color="auto"/>
        <w:left w:val="none" w:sz="0" w:space="0" w:color="auto"/>
        <w:bottom w:val="none" w:sz="0" w:space="0" w:color="auto"/>
        <w:right w:val="none" w:sz="0" w:space="0" w:color="auto"/>
      </w:divBdr>
    </w:div>
    <w:div w:id="1645427889">
      <w:bodyDiv w:val="1"/>
      <w:marLeft w:val="0"/>
      <w:marRight w:val="0"/>
      <w:marTop w:val="0"/>
      <w:marBottom w:val="0"/>
      <w:divBdr>
        <w:top w:val="none" w:sz="0" w:space="0" w:color="auto"/>
        <w:left w:val="none" w:sz="0" w:space="0" w:color="auto"/>
        <w:bottom w:val="none" w:sz="0" w:space="0" w:color="auto"/>
        <w:right w:val="none" w:sz="0" w:space="0" w:color="auto"/>
      </w:divBdr>
    </w:div>
    <w:div w:id="1645508236">
      <w:bodyDiv w:val="1"/>
      <w:marLeft w:val="0"/>
      <w:marRight w:val="0"/>
      <w:marTop w:val="0"/>
      <w:marBottom w:val="0"/>
      <w:divBdr>
        <w:top w:val="none" w:sz="0" w:space="0" w:color="auto"/>
        <w:left w:val="none" w:sz="0" w:space="0" w:color="auto"/>
        <w:bottom w:val="none" w:sz="0" w:space="0" w:color="auto"/>
        <w:right w:val="none" w:sz="0" w:space="0" w:color="auto"/>
      </w:divBdr>
    </w:div>
    <w:div w:id="1645545610">
      <w:bodyDiv w:val="1"/>
      <w:marLeft w:val="0"/>
      <w:marRight w:val="0"/>
      <w:marTop w:val="0"/>
      <w:marBottom w:val="0"/>
      <w:divBdr>
        <w:top w:val="none" w:sz="0" w:space="0" w:color="auto"/>
        <w:left w:val="none" w:sz="0" w:space="0" w:color="auto"/>
        <w:bottom w:val="none" w:sz="0" w:space="0" w:color="auto"/>
        <w:right w:val="none" w:sz="0" w:space="0" w:color="auto"/>
      </w:divBdr>
    </w:div>
    <w:div w:id="1645624737">
      <w:bodyDiv w:val="1"/>
      <w:marLeft w:val="0"/>
      <w:marRight w:val="0"/>
      <w:marTop w:val="0"/>
      <w:marBottom w:val="0"/>
      <w:divBdr>
        <w:top w:val="none" w:sz="0" w:space="0" w:color="auto"/>
        <w:left w:val="none" w:sz="0" w:space="0" w:color="auto"/>
        <w:bottom w:val="none" w:sz="0" w:space="0" w:color="auto"/>
        <w:right w:val="none" w:sz="0" w:space="0" w:color="auto"/>
      </w:divBdr>
    </w:div>
    <w:div w:id="1645697010">
      <w:bodyDiv w:val="1"/>
      <w:marLeft w:val="0"/>
      <w:marRight w:val="0"/>
      <w:marTop w:val="0"/>
      <w:marBottom w:val="0"/>
      <w:divBdr>
        <w:top w:val="none" w:sz="0" w:space="0" w:color="auto"/>
        <w:left w:val="none" w:sz="0" w:space="0" w:color="auto"/>
        <w:bottom w:val="none" w:sz="0" w:space="0" w:color="auto"/>
        <w:right w:val="none" w:sz="0" w:space="0" w:color="auto"/>
      </w:divBdr>
    </w:div>
    <w:div w:id="1645811014">
      <w:bodyDiv w:val="1"/>
      <w:marLeft w:val="0"/>
      <w:marRight w:val="0"/>
      <w:marTop w:val="0"/>
      <w:marBottom w:val="0"/>
      <w:divBdr>
        <w:top w:val="none" w:sz="0" w:space="0" w:color="auto"/>
        <w:left w:val="none" w:sz="0" w:space="0" w:color="auto"/>
        <w:bottom w:val="none" w:sz="0" w:space="0" w:color="auto"/>
        <w:right w:val="none" w:sz="0" w:space="0" w:color="auto"/>
      </w:divBdr>
    </w:div>
    <w:div w:id="1645816803">
      <w:bodyDiv w:val="1"/>
      <w:marLeft w:val="0"/>
      <w:marRight w:val="0"/>
      <w:marTop w:val="0"/>
      <w:marBottom w:val="0"/>
      <w:divBdr>
        <w:top w:val="none" w:sz="0" w:space="0" w:color="auto"/>
        <w:left w:val="none" w:sz="0" w:space="0" w:color="auto"/>
        <w:bottom w:val="none" w:sz="0" w:space="0" w:color="auto"/>
        <w:right w:val="none" w:sz="0" w:space="0" w:color="auto"/>
      </w:divBdr>
    </w:div>
    <w:div w:id="1645965736">
      <w:bodyDiv w:val="1"/>
      <w:marLeft w:val="0"/>
      <w:marRight w:val="0"/>
      <w:marTop w:val="0"/>
      <w:marBottom w:val="0"/>
      <w:divBdr>
        <w:top w:val="none" w:sz="0" w:space="0" w:color="auto"/>
        <w:left w:val="none" w:sz="0" w:space="0" w:color="auto"/>
        <w:bottom w:val="none" w:sz="0" w:space="0" w:color="auto"/>
        <w:right w:val="none" w:sz="0" w:space="0" w:color="auto"/>
      </w:divBdr>
    </w:div>
    <w:div w:id="1645965770">
      <w:bodyDiv w:val="1"/>
      <w:marLeft w:val="0"/>
      <w:marRight w:val="0"/>
      <w:marTop w:val="0"/>
      <w:marBottom w:val="0"/>
      <w:divBdr>
        <w:top w:val="none" w:sz="0" w:space="0" w:color="auto"/>
        <w:left w:val="none" w:sz="0" w:space="0" w:color="auto"/>
        <w:bottom w:val="none" w:sz="0" w:space="0" w:color="auto"/>
        <w:right w:val="none" w:sz="0" w:space="0" w:color="auto"/>
      </w:divBdr>
    </w:div>
    <w:div w:id="1646007225">
      <w:bodyDiv w:val="1"/>
      <w:marLeft w:val="0"/>
      <w:marRight w:val="0"/>
      <w:marTop w:val="0"/>
      <w:marBottom w:val="0"/>
      <w:divBdr>
        <w:top w:val="none" w:sz="0" w:space="0" w:color="auto"/>
        <w:left w:val="none" w:sz="0" w:space="0" w:color="auto"/>
        <w:bottom w:val="none" w:sz="0" w:space="0" w:color="auto"/>
        <w:right w:val="none" w:sz="0" w:space="0" w:color="auto"/>
      </w:divBdr>
    </w:div>
    <w:div w:id="1646200502">
      <w:bodyDiv w:val="1"/>
      <w:marLeft w:val="0"/>
      <w:marRight w:val="0"/>
      <w:marTop w:val="0"/>
      <w:marBottom w:val="0"/>
      <w:divBdr>
        <w:top w:val="none" w:sz="0" w:space="0" w:color="auto"/>
        <w:left w:val="none" w:sz="0" w:space="0" w:color="auto"/>
        <w:bottom w:val="none" w:sz="0" w:space="0" w:color="auto"/>
        <w:right w:val="none" w:sz="0" w:space="0" w:color="auto"/>
      </w:divBdr>
    </w:div>
    <w:div w:id="1646202890">
      <w:bodyDiv w:val="1"/>
      <w:marLeft w:val="0"/>
      <w:marRight w:val="0"/>
      <w:marTop w:val="0"/>
      <w:marBottom w:val="0"/>
      <w:divBdr>
        <w:top w:val="none" w:sz="0" w:space="0" w:color="auto"/>
        <w:left w:val="none" w:sz="0" w:space="0" w:color="auto"/>
        <w:bottom w:val="none" w:sz="0" w:space="0" w:color="auto"/>
        <w:right w:val="none" w:sz="0" w:space="0" w:color="auto"/>
      </w:divBdr>
    </w:div>
    <w:div w:id="1646205125">
      <w:bodyDiv w:val="1"/>
      <w:marLeft w:val="0"/>
      <w:marRight w:val="0"/>
      <w:marTop w:val="0"/>
      <w:marBottom w:val="0"/>
      <w:divBdr>
        <w:top w:val="none" w:sz="0" w:space="0" w:color="auto"/>
        <w:left w:val="none" w:sz="0" w:space="0" w:color="auto"/>
        <w:bottom w:val="none" w:sz="0" w:space="0" w:color="auto"/>
        <w:right w:val="none" w:sz="0" w:space="0" w:color="auto"/>
      </w:divBdr>
    </w:div>
    <w:div w:id="1646353939">
      <w:bodyDiv w:val="1"/>
      <w:marLeft w:val="0"/>
      <w:marRight w:val="0"/>
      <w:marTop w:val="0"/>
      <w:marBottom w:val="0"/>
      <w:divBdr>
        <w:top w:val="none" w:sz="0" w:space="0" w:color="auto"/>
        <w:left w:val="none" w:sz="0" w:space="0" w:color="auto"/>
        <w:bottom w:val="none" w:sz="0" w:space="0" w:color="auto"/>
        <w:right w:val="none" w:sz="0" w:space="0" w:color="auto"/>
      </w:divBdr>
    </w:div>
    <w:div w:id="1646354584">
      <w:bodyDiv w:val="1"/>
      <w:marLeft w:val="0"/>
      <w:marRight w:val="0"/>
      <w:marTop w:val="0"/>
      <w:marBottom w:val="0"/>
      <w:divBdr>
        <w:top w:val="none" w:sz="0" w:space="0" w:color="auto"/>
        <w:left w:val="none" w:sz="0" w:space="0" w:color="auto"/>
        <w:bottom w:val="none" w:sz="0" w:space="0" w:color="auto"/>
        <w:right w:val="none" w:sz="0" w:space="0" w:color="auto"/>
      </w:divBdr>
    </w:div>
    <w:div w:id="1646471351">
      <w:bodyDiv w:val="1"/>
      <w:marLeft w:val="0"/>
      <w:marRight w:val="0"/>
      <w:marTop w:val="0"/>
      <w:marBottom w:val="0"/>
      <w:divBdr>
        <w:top w:val="none" w:sz="0" w:space="0" w:color="auto"/>
        <w:left w:val="none" w:sz="0" w:space="0" w:color="auto"/>
        <w:bottom w:val="none" w:sz="0" w:space="0" w:color="auto"/>
        <w:right w:val="none" w:sz="0" w:space="0" w:color="auto"/>
      </w:divBdr>
    </w:div>
    <w:div w:id="1646472003">
      <w:bodyDiv w:val="1"/>
      <w:marLeft w:val="0"/>
      <w:marRight w:val="0"/>
      <w:marTop w:val="0"/>
      <w:marBottom w:val="0"/>
      <w:divBdr>
        <w:top w:val="none" w:sz="0" w:space="0" w:color="auto"/>
        <w:left w:val="none" w:sz="0" w:space="0" w:color="auto"/>
        <w:bottom w:val="none" w:sz="0" w:space="0" w:color="auto"/>
        <w:right w:val="none" w:sz="0" w:space="0" w:color="auto"/>
      </w:divBdr>
    </w:div>
    <w:div w:id="1646548337">
      <w:bodyDiv w:val="1"/>
      <w:marLeft w:val="0"/>
      <w:marRight w:val="0"/>
      <w:marTop w:val="0"/>
      <w:marBottom w:val="0"/>
      <w:divBdr>
        <w:top w:val="none" w:sz="0" w:space="0" w:color="auto"/>
        <w:left w:val="none" w:sz="0" w:space="0" w:color="auto"/>
        <w:bottom w:val="none" w:sz="0" w:space="0" w:color="auto"/>
        <w:right w:val="none" w:sz="0" w:space="0" w:color="auto"/>
      </w:divBdr>
    </w:div>
    <w:div w:id="1646616374">
      <w:bodyDiv w:val="1"/>
      <w:marLeft w:val="0"/>
      <w:marRight w:val="0"/>
      <w:marTop w:val="0"/>
      <w:marBottom w:val="0"/>
      <w:divBdr>
        <w:top w:val="none" w:sz="0" w:space="0" w:color="auto"/>
        <w:left w:val="none" w:sz="0" w:space="0" w:color="auto"/>
        <w:bottom w:val="none" w:sz="0" w:space="0" w:color="auto"/>
        <w:right w:val="none" w:sz="0" w:space="0" w:color="auto"/>
      </w:divBdr>
    </w:div>
    <w:div w:id="1646616957">
      <w:bodyDiv w:val="1"/>
      <w:marLeft w:val="0"/>
      <w:marRight w:val="0"/>
      <w:marTop w:val="0"/>
      <w:marBottom w:val="0"/>
      <w:divBdr>
        <w:top w:val="none" w:sz="0" w:space="0" w:color="auto"/>
        <w:left w:val="none" w:sz="0" w:space="0" w:color="auto"/>
        <w:bottom w:val="none" w:sz="0" w:space="0" w:color="auto"/>
        <w:right w:val="none" w:sz="0" w:space="0" w:color="auto"/>
      </w:divBdr>
    </w:div>
    <w:div w:id="1646620958">
      <w:bodyDiv w:val="1"/>
      <w:marLeft w:val="0"/>
      <w:marRight w:val="0"/>
      <w:marTop w:val="0"/>
      <w:marBottom w:val="0"/>
      <w:divBdr>
        <w:top w:val="none" w:sz="0" w:space="0" w:color="auto"/>
        <w:left w:val="none" w:sz="0" w:space="0" w:color="auto"/>
        <w:bottom w:val="none" w:sz="0" w:space="0" w:color="auto"/>
        <w:right w:val="none" w:sz="0" w:space="0" w:color="auto"/>
      </w:divBdr>
    </w:div>
    <w:div w:id="1646622415">
      <w:bodyDiv w:val="1"/>
      <w:marLeft w:val="0"/>
      <w:marRight w:val="0"/>
      <w:marTop w:val="0"/>
      <w:marBottom w:val="0"/>
      <w:divBdr>
        <w:top w:val="none" w:sz="0" w:space="0" w:color="auto"/>
        <w:left w:val="none" w:sz="0" w:space="0" w:color="auto"/>
        <w:bottom w:val="none" w:sz="0" w:space="0" w:color="auto"/>
        <w:right w:val="none" w:sz="0" w:space="0" w:color="auto"/>
      </w:divBdr>
    </w:div>
    <w:div w:id="1646666172">
      <w:bodyDiv w:val="1"/>
      <w:marLeft w:val="0"/>
      <w:marRight w:val="0"/>
      <w:marTop w:val="0"/>
      <w:marBottom w:val="0"/>
      <w:divBdr>
        <w:top w:val="none" w:sz="0" w:space="0" w:color="auto"/>
        <w:left w:val="none" w:sz="0" w:space="0" w:color="auto"/>
        <w:bottom w:val="none" w:sz="0" w:space="0" w:color="auto"/>
        <w:right w:val="none" w:sz="0" w:space="0" w:color="auto"/>
      </w:divBdr>
    </w:div>
    <w:div w:id="1646735018">
      <w:bodyDiv w:val="1"/>
      <w:marLeft w:val="0"/>
      <w:marRight w:val="0"/>
      <w:marTop w:val="0"/>
      <w:marBottom w:val="0"/>
      <w:divBdr>
        <w:top w:val="none" w:sz="0" w:space="0" w:color="auto"/>
        <w:left w:val="none" w:sz="0" w:space="0" w:color="auto"/>
        <w:bottom w:val="none" w:sz="0" w:space="0" w:color="auto"/>
        <w:right w:val="none" w:sz="0" w:space="0" w:color="auto"/>
      </w:divBdr>
    </w:div>
    <w:div w:id="1646810931">
      <w:bodyDiv w:val="1"/>
      <w:marLeft w:val="0"/>
      <w:marRight w:val="0"/>
      <w:marTop w:val="0"/>
      <w:marBottom w:val="0"/>
      <w:divBdr>
        <w:top w:val="none" w:sz="0" w:space="0" w:color="auto"/>
        <w:left w:val="none" w:sz="0" w:space="0" w:color="auto"/>
        <w:bottom w:val="none" w:sz="0" w:space="0" w:color="auto"/>
        <w:right w:val="none" w:sz="0" w:space="0" w:color="auto"/>
      </w:divBdr>
    </w:div>
    <w:div w:id="1646857415">
      <w:bodyDiv w:val="1"/>
      <w:marLeft w:val="0"/>
      <w:marRight w:val="0"/>
      <w:marTop w:val="0"/>
      <w:marBottom w:val="0"/>
      <w:divBdr>
        <w:top w:val="none" w:sz="0" w:space="0" w:color="auto"/>
        <w:left w:val="none" w:sz="0" w:space="0" w:color="auto"/>
        <w:bottom w:val="none" w:sz="0" w:space="0" w:color="auto"/>
        <w:right w:val="none" w:sz="0" w:space="0" w:color="auto"/>
      </w:divBdr>
    </w:div>
    <w:div w:id="1647010046">
      <w:bodyDiv w:val="1"/>
      <w:marLeft w:val="0"/>
      <w:marRight w:val="0"/>
      <w:marTop w:val="0"/>
      <w:marBottom w:val="0"/>
      <w:divBdr>
        <w:top w:val="none" w:sz="0" w:space="0" w:color="auto"/>
        <w:left w:val="none" w:sz="0" w:space="0" w:color="auto"/>
        <w:bottom w:val="none" w:sz="0" w:space="0" w:color="auto"/>
        <w:right w:val="none" w:sz="0" w:space="0" w:color="auto"/>
      </w:divBdr>
    </w:div>
    <w:div w:id="1647053463">
      <w:bodyDiv w:val="1"/>
      <w:marLeft w:val="0"/>
      <w:marRight w:val="0"/>
      <w:marTop w:val="0"/>
      <w:marBottom w:val="0"/>
      <w:divBdr>
        <w:top w:val="none" w:sz="0" w:space="0" w:color="auto"/>
        <w:left w:val="none" w:sz="0" w:space="0" w:color="auto"/>
        <w:bottom w:val="none" w:sz="0" w:space="0" w:color="auto"/>
        <w:right w:val="none" w:sz="0" w:space="0" w:color="auto"/>
      </w:divBdr>
    </w:div>
    <w:div w:id="1647126436">
      <w:bodyDiv w:val="1"/>
      <w:marLeft w:val="0"/>
      <w:marRight w:val="0"/>
      <w:marTop w:val="0"/>
      <w:marBottom w:val="0"/>
      <w:divBdr>
        <w:top w:val="none" w:sz="0" w:space="0" w:color="auto"/>
        <w:left w:val="none" w:sz="0" w:space="0" w:color="auto"/>
        <w:bottom w:val="none" w:sz="0" w:space="0" w:color="auto"/>
        <w:right w:val="none" w:sz="0" w:space="0" w:color="auto"/>
      </w:divBdr>
    </w:div>
    <w:div w:id="1647204195">
      <w:bodyDiv w:val="1"/>
      <w:marLeft w:val="0"/>
      <w:marRight w:val="0"/>
      <w:marTop w:val="0"/>
      <w:marBottom w:val="0"/>
      <w:divBdr>
        <w:top w:val="none" w:sz="0" w:space="0" w:color="auto"/>
        <w:left w:val="none" w:sz="0" w:space="0" w:color="auto"/>
        <w:bottom w:val="none" w:sz="0" w:space="0" w:color="auto"/>
        <w:right w:val="none" w:sz="0" w:space="0" w:color="auto"/>
      </w:divBdr>
    </w:div>
    <w:div w:id="1647248038">
      <w:bodyDiv w:val="1"/>
      <w:marLeft w:val="0"/>
      <w:marRight w:val="0"/>
      <w:marTop w:val="0"/>
      <w:marBottom w:val="0"/>
      <w:divBdr>
        <w:top w:val="none" w:sz="0" w:space="0" w:color="auto"/>
        <w:left w:val="none" w:sz="0" w:space="0" w:color="auto"/>
        <w:bottom w:val="none" w:sz="0" w:space="0" w:color="auto"/>
        <w:right w:val="none" w:sz="0" w:space="0" w:color="auto"/>
      </w:divBdr>
    </w:div>
    <w:div w:id="1647271833">
      <w:bodyDiv w:val="1"/>
      <w:marLeft w:val="0"/>
      <w:marRight w:val="0"/>
      <w:marTop w:val="0"/>
      <w:marBottom w:val="0"/>
      <w:divBdr>
        <w:top w:val="none" w:sz="0" w:space="0" w:color="auto"/>
        <w:left w:val="none" w:sz="0" w:space="0" w:color="auto"/>
        <w:bottom w:val="none" w:sz="0" w:space="0" w:color="auto"/>
        <w:right w:val="none" w:sz="0" w:space="0" w:color="auto"/>
      </w:divBdr>
    </w:div>
    <w:div w:id="1647317867">
      <w:bodyDiv w:val="1"/>
      <w:marLeft w:val="0"/>
      <w:marRight w:val="0"/>
      <w:marTop w:val="0"/>
      <w:marBottom w:val="0"/>
      <w:divBdr>
        <w:top w:val="none" w:sz="0" w:space="0" w:color="auto"/>
        <w:left w:val="none" w:sz="0" w:space="0" w:color="auto"/>
        <w:bottom w:val="none" w:sz="0" w:space="0" w:color="auto"/>
        <w:right w:val="none" w:sz="0" w:space="0" w:color="auto"/>
      </w:divBdr>
    </w:div>
    <w:div w:id="1647390517">
      <w:bodyDiv w:val="1"/>
      <w:marLeft w:val="0"/>
      <w:marRight w:val="0"/>
      <w:marTop w:val="0"/>
      <w:marBottom w:val="0"/>
      <w:divBdr>
        <w:top w:val="none" w:sz="0" w:space="0" w:color="auto"/>
        <w:left w:val="none" w:sz="0" w:space="0" w:color="auto"/>
        <w:bottom w:val="none" w:sz="0" w:space="0" w:color="auto"/>
        <w:right w:val="none" w:sz="0" w:space="0" w:color="auto"/>
      </w:divBdr>
    </w:div>
    <w:div w:id="1647469732">
      <w:bodyDiv w:val="1"/>
      <w:marLeft w:val="0"/>
      <w:marRight w:val="0"/>
      <w:marTop w:val="0"/>
      <w:marBottom w:val="0"/>
      <w:divBdr>
        <w:top w:val="none" w:sz="0" w:space="0" w:color="auto"/>
        <w:left w:val="none" w:sz="0" w:space="0" w:color="auto"/>
        <w:bottom w:val="none" w:sz="0" w:space="0" w:color="auto"/>
        <w:right w:val="none" w:sz="0" w:space="0" w:color="auto"/>
      </w:divBdr>
    </w:div>
    <w:div w:id="1647473455">
      <w:bodyDiv w:val="1"/>
      <w:marLeft w:val="0"/>
      <w:marRight w:val="0"/>
      <w:marTop w:val="0"/>
      <w:marBottom w:val="0"/>
      <w:divBdr>
        <w:top w:val="none" w:sz="0" w:space="0" w:color="auto"/>
        <w:left w:val="none" w:sz="0" w:space="0" w:color="auto"/>
        <w:bottom w:val="none" w:sz="0" w:space="0" w:color="auto"/>
        <w:right w:val="none" w:sz="0" w:space="0" w:color="auto"/>
      </w:divBdr>
    </w:div>
    <w:div w:id="1647510008">
      <w:bodyDiv w:val="1"/>
      <w:marLeft w:val="0"/>
      <w:marRight w:val="0"/>
      <w:marTop w:val="0"/>
      <w:marBottom w:val="0"/>
      <w:divBdr>
        <w:top w:val="none" w:sz="0" w:space="0" w:color="auto"/>
        <w:left w:val="none" w:sz="0" w:space="0" w:color="auto"/>
        <w:bottom w:val="none" w:sz="0" w:space="0" w:color="auto"/>
        <w:right w:val="none" w:sz="0" w:space="0" w:color="auto"/>
      </w:divBdr>
    </w:div>
    <w:div w:id="1647514690">
      <w:bodyDiv w:val="1"/>
      <w:marLeft w:val="0"/>
      <w:marRight w:val="0"/>
      <w:marTop w:val="0"/>
      <w:marBottom w:val="0"/>
      <w:divBdr>
        <w:top w:val="none" w:sz="0" w:space="0" w:color="auto"/>
        <w:left w:val="none" w:sz="0" w:space="0" w:color="auto"/>
        <w:bottom w:val="none" w:sz="0" w:space="0" w:color="auto"/>
        <w:right w:val="none" w:sz="0" w:space="0" w:color="auto"/>
      </w:divBdr>
    </w:div>
    <w:div w:id="1647541064">
      <w:bodyDiv w:val="1"/>
      <w:marLeft w:val="0"/>
      <w:marRight w:val="0"/>
      <w:marTop w:val="0"/>
      <w:marBottom w:val="0"/>
      <w:divBdr>
        <w:top w:val="none" w:sz="0" w:space="0" w:color="auto"/>
        <w:left w:val="none" w:sz="0" w:space="0" w:color="auto"/>
        <w:bottom w:val="none" w:sz="0" w:space="0" w:color="auto"/>
        <w:right w:val="none" w:sz="0" w:space="0" w:color="auto"/>
      </w:divBdr>
    </w:div>
    <w:div w:id="1647586278">
      <w:bodyDiv w:val="1"/>
      <w:marLeft w:val="0"/>
      <w:marRight w:val="0"/>
      <w:marTop w:val="0"/>
      <w:marBottom w:val="0"/>
      <w:divBdr>
        <w:top w:val="none" w:sz="0" w:space="0" w:color="auto"/>
        <w:left w:val="none" w:sz="0" w:space="0" w:color="auto"/>
        <w:bottom w:val="none" w:sz="0" w:space="0" w:color="auto"/>
        <w:right w:val="none" w:sz="0" w:space="0" w:color="auto"/>
      </w:divBdr>
    </w:div>
    <w:div w:id="1647666985">
      <w:bodyDiv w:val="1"/>
      <w:marLeft w:val="0"/>
      <w:marRight w:val="0"/>
      <w:marTop w:val="0"/>
      <w:marBottom w:val="0"/>
      <w:divBdr>
        <w:top w:val="none" w:sz="0" w:space="0" w:color="auto"/>
        <w:left w:val="none" w:sz="0" w:space="0" w:color="auto"/>
        <w:bottom w:val="none" w:sz="0" w:space="0" w:color="auto"/>
        <w:right w:val="none" w:sz="0" w:space="0" w:color="auto"/>
      </w:divBdr>
    </w:div>
    <w:div w:id="1647708209">
      <w:bodyDiv w:val="1"/>
      <w:marLeft w:val="0"/>
      <w:marRight w:val="0"/>
      <w:marTop w:val="0"/>
      <w:marBottom w:val="0"/>
      <w:divBdr>
        <w:top w:val="none" w:sz="0" w:space="0" w:color="auto"/>
        <w:left w:val="none" w:sz="0" w:space="0" w:color="auto"/>
        <w:bottom w:val="none" w:sz="0" w:space="0" w:color="auto"/>
        <w:right w:val="none" w:sz="0" w:space="0" w:color="auto"/>
      </w:divBdr>
    </w:div>
    <w:div w:id="1647779426">
      <w:bodyDiv w:val="1"/>
      <w:marLeft w:val="0"/>
      <w:marRight w:val="0"/>
      <w:marTop w:val="0"/>
      <w:marBottom w:val="0"/>
      <w:divBdr>
        <w:top w:val="none" w:sz="0" w:space="0" w:color="auto"/>
        <w:left w:val="none" w:sz="0" w:space="0" w:color="auto"/>
        <w:bottom w:val="none" w:sz="0" w:space="0" w:color="auto"/>
        <w:right w:val="none" w:sz="0" w:space="0" w:color="auto"/>
      </w:divBdr>
    </w:div>
    <w:div w:id="1647927188">
      <w:bodyDiv w:val="1"/>
      <w:marLeft w:val="0"/>
      <w:marRight w:val="0"/>
      <w:marTop w:val="0"/>
      <w:marBottom w:val="0"/>
      <w:divBdr>
        <w:top w:val="none" w:sz="0" w:space="0" w:color="auto"/>
        <w:left w:val="none" w:sz="0" w:space="0" w:color="auto"/>
        <w:bottom w:val="none" w:sz="0" w:space="0" w:color="auto"/>
        <w:right w:val="none" w:sz="0" w:space="0" w:color="auto"/>
      </w:divBdr>
    </w:div>
    <w:div w:id="1648052775">
      <w:bodyDiv w:val="1"/>
      <w:marLeft w:val="0"/>
      <w:marRight w:val="0"/>
      <w:marTop w:val="0"/>
      <w:marBottom w:val="0"/>
      <w:divBdr>
        <w:top w:val="none" w:sz="0" w:space="0" w:color="auto"/>
        <w:left w:val="none" w:sz="0" w:space="0" w:color="auto"/>
        <w:bottom w:val="none" w:sz="0" w:space="0" w:color="auto"/>
        <w:right w:val="none" w:sz="0" w:space="0" w:color="auto"/>
      </w:divBdr>
    </w:div>
    <w:div w:id="1648128177">
      <w:bodyDiv w:val="1"/>
      <w:marLeft w:val="0"/>
      <w:marRight w:val="0"/>
      <w:marTop w:val="0"/>
      <w:marBottom w:val="0"/>
      <w:divBdr>
        <w:top w:val="none" w:sz="0" w:space="0" w:color="auto"/>
        <w:left w:val="none" w:sz="0" w:space="0" w:color="auto"/>
        <w:bottom w:val="none" w:sz="0" w:space="0" w:color="auto"/>
        <w:right w:val="none" w:sz="0" w:space="0" w:color="auto"/>
      </w:divBdr>
    </w:div>
    <w:div w:id="1648318997">
      <w:bodyDiv w:val="1"/>
      <w:marLeft w:val="0"/>
      <w:marRight w:val="0"/>
      <w:marTop w:val="0"/>
      <w:marBottom w:val="0"/>
      <w:divBdr>
        <w:top w:val="none" w:sz="0" w:space="0" w:color="auto"/>
        <w:left w:val="none" w:sz="0" w:space="0" w:color="auto"/>
        <w:bottom w:val="none" w:sz="0" w:space="0" w:color="auto"/>
        <w:right w:val="none" w:sz="0" w:space="0" w:color="auto"/>
      </w:divBdr>
    </w:div>
    <w:div w:id="1648319106">
      <w:bodyDiv w:val="1"/>
      <w:marLeft w:val="0"/>
      <w:marRight w:val="0"/>
      <w:marTop w:val="0"/>
      <w:marBottom w:val="0"/>
      <w:divBdr>
        <w:top w:val="none" w:sz="0" w:space="0" w:color="auto"/>
        <w:left w:val="none" w:sz="0" w:space="0" w:color="auto"/>
        <w:bottom w:val="none" w:sz="0" w:space="0" w:color="auto"/>
        <w:right w:val="none" w:sz="0" w:space="0" w:color="auto"/>
      </w:divBdr>
    </w:div>
    <w:div w:id="1648319111">
      <w:bodyDiv w:val="1"/>
      <w:marLeft w:val="0"/>
      <w:marRight w:val="0"/>
      <w:marTop w:val="0"/>
      <w:marBottom w:val="0"/>
      <w:divBdr>
        <w:top w:val="none" w:sz="0" w:space="0" w:color="auto"/>
        <w:left w:val="none" w:sz="0" w:space="0" w:color="auto"/>
        <w:bottom w:val="none" w:sz="0" w:space="0" w:color="auto"/>
        <w:right w:val="none" w:sz="0" w:space="0" w:color="auto"/>
      </w:divBdr>
    </w:div>
    <w:div w:id="1648362414">
      <w:bodyDiv w:val="1"/>
      <w:marLeft w:val="0"/>
      <w:marRight w:val="0"/>
      <w:marTop w:val="0"/>
      <w:marBottom w:val="0"/>
      <w:divBdr>
        <w:top w:val="none" w:sz="0" w:space="0" w:color="auto"/>
        <w:left w:val="none" w:sz="0" w:space="0" w:color="auto"/>
        <w:bottom w:val="none" w:sz="0" w:space="0" w:color="auto"/>
        <w:right w:val="none" w:sz="0" w:space="0" w:color="auto"/>
      </w:divBdr>
    </w:div>
    <w:div w:id="1648393419">
      <w:bodyDiv w:val="1"/>
      <w:marLeft w:val="0"/>
      <w:marRight w:val="0"/>
      <w:marTop w:val="0"/>
      <w:marBottom w:val="0"/>
      <w:divBdr>
        <w:top w:val="none" w:sz="0" w:space="0" w:color="auto"/>
        <w:left w:val="none" w:sz="0" w:space="0" w:color="auto"/>
        <w:bottom w:val="none" w:sz="0" w:space="0" w:color="auto"/>
        <w:right w:val="none" w:sz="0" w:space="0" w:color="auto"/>
      </w:divBdr>
    </w:div>
    <w:div w:id="1648508849">
      <w:bodyDiv w:val="1"/>
      <w:marLeft w:val="0"/>
      <w:marRight w:val="0"/>
      <w:marTop w:val="0"/>
      <w:marBottom w:val="0"/>
      <w:divBdr>
        <w:top w:val="none" w:sz="0" w:space="0" w:color="auto"/>
        <w:left w:val="none" w:sz="0" w:space="0" w:color="auto"/>
        <w:bottom w:val="none" w:sz="0" w:space="0" w:color="auto"/>
        <w:right w:val="none" w:sz="0" w:space="0" w:color="auto"/>
      </w:divBdr>
    </w:div>
    <w:div w:id="1648509346">
      <w:bodyDiv w:val="1"/>
      <w:marLeft w:val="0"/>
      <w:marRight w:val="0"/>
      <w:marTop w:val="0"/>
      <w:marBottom w:val="0"/>
      <w:divBdr>
        <w:top w:val="none" w:sz="0" w:space="0" w:color="auto"/>
        <w:left w:val="none" w:sz="0" w:space="0" w:color="auto"/>
        <w:bottom w:val="none" w:sz="0" w:space="0" w:color="auto"/>
        <w:right w:val="none" w:sz="0" w:space="0" w:color="auto"/>
      </w:divBdr>
    </w:div>
    <w:div w:id="1648515008">
      <w:bodyDiv w:val="1"/>
      <w:marLeft w:val="0"/>
      <w:marRight w:val="0"/>
      <w:marTop w:val="0"/>
      <w:marBottom w:val="0"/>
      <w:divBdr>
        <w:top w:val="none" w:sz="0" w:space="0" w:color="auto"/>
        <w:left w:val="none" w:sz="0" w:space="0" w:color="auto"/>
        <w:bottom w:val="none" w:sz="0" w:space="0" w:color="auto"/>
        <w:right w:val="none" w:sz="0" w:space="0" w:color="auto"/>
      </w:divBdr>
    </w:div>
    <w:div w:id="1648704464">
      <w:bodyDiv w:val="1"/>
      <w:marLeft w:val="0"/>
      <w:marRight w:val="0"/>
      <w:marTop w:val="0"/>
      <w:marBottom w:val="0"/>
      <w:divBdr>
        <w:top w:val="none" w:sz="0" w:space="0" w:color="auto"/>
        <w:left w:val="none" w:sz="0" w:space="0" w:color="auto"/>
        <w:bottom w:val="none" w:sz="0" w:space="0" w:color="auto"/>
        <w:right w:val="none" w:sz="0" w:space="0" w:color="auto"/>
      </w:divBdr>
    </w:div>
    <w:div w:id="1648782640">
      <w:bodyDiv w:val="1"/>
      <w:marLeft w:val="0"/>
      <w:marRight w:val="0"/>
      <w:marTop w:val="0"/>
      <w:marBottom w:val="0"/>
      <w:divBdr>
        <w:top w:val="none" w:sz="0" w:space="0" w:color="auto"/>
        <w:left w:val="none" w:sz="0" w:space="0" w:color="auto"/>
        <w:bottom w:val="none" w:sz="0" w:space="0" w:color="auto"/>
        <w:right w:val="none" w:sz="0" w:space="0" w:color="auto"/>
      </w:divBdr>
    </w:div>
    <w:div w:id="1648851020">
      <w:bodyDiv w:val="1"/>
      <w:marLeft w:val="0"/>
      <w:marRight w:val="0"/>
      <w:marTop w:val="0"/>
      <w:marBottom w:val="0"/>
      <w:divBdr>
        <w:top w:val="none" w:sz="0" w:space="0" w:color="auto"/>
        <w:left w:val="none" w:sz="0" w:space="0" w:color="auto"/>
        <w:bottom w:val="none" w:sz="0" w:space="0" w:color="auto"/>
        <w:right w:val="none" w:sz="0" w:space="0" w:color="auto"/>
      </w:divBdr>
    </w:div>
    <w:div w:id="1648897927">
      <w:bodyDiv w:val="1"/>
      <w:marLeft w:val="0"/>
      <w:marRight w:val="0"/>
      <w:marTop w:val="0"/>
      <w:marBottom w:val="0"/>
      <w:divBdr>
        <w:top w:val="none" w:sz="0" w:space="0" w:color="auto"/>
        <w:left w:val="none" w:sz="0" w:space="0" w:color="auto"/>
        <w:bottom w:val="none" w:sz="0" w:space="0" w:color="auto"/>
        <w:right w:val="none" w:sz="0" w:space="0" w:color="auto"/>
      </w:divBdr>
    </w:div>
    <w:div w:id="1649088721">
      <w:bodyDiv w:val="1"/>
      <w:marLeft w:val="0"/>
      <w:marRight w:val="0"/>
      <w:marTop w:val="0"/>
      <w:marBottom w:val="0"/>
      <w:divBdr>
        <w:top w:val="none" w:sz="0" w:space="0" w:color="auto"/>
        <w:left w:val="none" w:sz="0" w:space="0" w:color="auto"/>
        <w:bottom w:val="none" w:sz="0" w:space="0" w:color="auto"/>
        <w:right w:val="none" w:sz="0" w:space="0" w:color="auto"/>
      </w:divBdr>
    </w:div>
    <w:div w:id="1649090121">
      <w:bodyDiv w:val="1"/>
      <w:marLeft w:val="0"/>
      <w:marRight w:val="0"/>
      <w:marTop w:val="0"/>
      <w:marBottom w:val="0"/>
      <w:divBdr>
        <w:top w:val="none" w:sz="0" w:space="0" w:color="auto"/>
        <w:left w:val="none" w:sz="0" w:space="0" w:color="auto"/>
        <w:bottom w:val="none" w:sz="0" w:space="0" w:color="auto"/>
        <w:right w:val="none" w:sz="0" w:space="0" w:color="auto"/>
      </w:divBdr>
    </w:div>
    <w:div w:id="1649093161">
      <w:bodyDiv w:val="1"/>
      <w:marLeft w:val="0"/>
      <w:marRight w:val="0"/>
      <w:marTop w:val="0"/>
      <w:marBottom w:val="0"/>
      <w:divBdr>
        <w:top w:val="none" w:sz="0" w:space="0" w:color="auto"/>
        <w:left w:val="none" w:sz="0" w:space="0" w:color="auto"/>
        <w:bottom w:val="none" w:sz="0" w:space="0" w:color="auto"/>
        <w:right w:val="none" w:sz="0" w:space="0" w:color="auto"/>
      </w:divBdr>
    </w:div>
    <w:div w:id="1649360361">
      <w:bodyDiv w:val="1"/>
      <w:marLeft w:val="0"/>
      <w:marRight w:val="0"/>
      <w:marTop w:val="0"/>
      <w:marBottom w:val="0"/>
      <w:divBdr>
        <w:top w:val="none" w:sz="0" w:space="0" w:color="auto"/>
        <w:left w:val="none" w:sz="0" w:space="0" w:color="auto"/>
        <w:bottom w:val="none" w:sz="0" w:space="0" w:color="auto"/>
        <w:right w:val="none" w:sz="0" w:space="0" w:color="auto"/>
      </w:divBdr>
    </w:div>
    <w:div w:id="1649435272">
      <w:bodyDiv w:val="1"/>
      <w:marLeft w:val="0"/>
      <w:marRight w:val="0"/>
      <w:marTop w:val="0"/>
      <w:marBottom w:val="0"/>
      <w:divBdr>
        <w:top w:val="none" w:sz="0" w:space="0" w:color="auto"/>
        <w:left w:val="none" w:sz="0" w:space="0" w:color="auto"/>
        <w:bottom w:val="none" w:sz="0" w:space="0" w:color="auto"/>
        <w:right w:val="none" w:sz="0" w:space="0" w:color="auto"/>
      </w:divBdr>
    </w:div>
    <w:div w:id="1649508072">
      <w:bodyDiv w:val="1"/>
      <w:marLeft w:val="0"/>
      <w:marRight w:val="0"/>
      <w:marTop w:val="0"/>
      <w:marBottom w:val="0"/>
      <w:divBdr>
        <w:top w:val="none" w:sz="0" w:space="0" w:color="auto"/>
        <w:left w:val="none" w:sz="0" w:space="0" w:color="auto"/>
        <w:bottom w:val="none" w:sz="0" w:space="0" w:color="auto"/>
        <w:right w:val="none" w:sz="0" w:space="0" w:color="auto"/>
      </w:divBdr>
    </w:div>
    <w:div w:id="1649632598">
      <w:bodyDiv w:val="1"/>
      <w:marLeft w:val="0"/>
      <w:marRight w:val="0"/>
      <w:marTop w:val="0"/>
      <w:marBottom w:val="0"/>
      <w:divBdr>
        <w:top w:val="none" w:sz="0" w:space="0" w:color="auto"/>
        <w:left w:val="none" w:sz="0" w:space="0" w:color="auto"/>
        <w:bottom w:val="none" w:sz="0" w:space="0" w:color="auto"/>
        <w:right w:val="none" w:sz="0" w:space="0" w:color="auto"/>
      </w:divBdr>
    </w:div>
    <w:div w:id="1649633242">
      <w:bodyDiv w:val="1"/>
      <w:marLeft w:val="0"/>
      <w:marRight w:val="0"/>
      <w:marTop w:val="0"/>
      <w:marBottom w:val="0"/>
      <w:divBdr>
        <w:top w:val="none" w:sz="0" w:space="0" w:color="auto"/>
        <w:left w:val="none" w:sz="0" w:space="0" w:color="auto"/>
        <w:bottom w:val="none" w:sz="0" w:space="0" w:color="auto"/>
        <w:right w:val="none" w:sz="0" w:space="0" w:color="auto"/>
      </w:divBdr>
    </w:div>
    <w:div w:id="1649747080">
      <w:bodyDiv w:val="1"/>
      <w:marLeft w:val="0"/>
      <w:marRight w:val="0"/>
      <w:marTop w:val="0"/>
      <w:marBottom w:val="0"/>
      <w:divBdr>
        <w:top w:val="none" w:sz="0" w:space="0" w:color="auto"/>
        <w:left w:val="none" w:sz="0" w:space="0" w:color="auto"/>
        <w:bottom w:val="none" w:sz="0" w:space="0" w:color="auto"/>
        <w:right w:val="none" w:sz="0" w:space="0" w:color="auto"/>
      </w:divBdr>
    </w:div>
    <w:div w:id="1649818583">
      <w:bodyDiv w:val="1"/>
      <w:marLeft w:val="0"/>
      <w:marRight w:val="0"/>
      <w:marTop w:val="0"/>
      <w:marBottom w:val="0"/>
      <w:divBdr>
        <w:top w:val="none" w:sz="0" w:space="0" w:color="auto"/>
        <w:left w:val="none" w:sz="0" w:space="0" w:color="auto"/>
        <w:bottom w:val="none" w:sz="0" w:space="0" w:color="auto"/>
        <w:right w:val="none" w:sz="0" w:space="0" w:color="auto"/>
      </w:divBdr>
    </w:div>
    <w:div w:id="1649819489">
      <w:bodyDiv w:val="1"/>
      <w:marLeft w:val="0"/>
      <w:marRight w:val="0"/>
      <w:marTop w:val="0"/>
      <w:marBottom w:val="0"/>
      <w:divBdr>
        <w:top w:val="none" w:sz="0" w:space="0" w:color="auto"/>
        <w:left w:val="none" w:sz="0" w:space="0" w:color="auto"/>
        <w:bottom w:val="none" w:sz="0" w:space="0" w:color="auto"/>
        <w:right w:val="none" w:sz="0" w:space="0" w:color="auto"/>
      </w:divBdr>
    </w:div>
    <w:div w:id="1650015124">
      <w:bodyDiv w:val="1"/>
      <w:marLeft w:val="0"/>
      <w:marRight w:val="0"/>
      <w:marTop w:val="0"/>
      <w:marBottom w:val="0"/>
      <w:divBdr>
        <w:top w:val="none" w:sz="0" w:space="0" w:color="auto"/>
        <w:left w:val="none" w:sz="0" w:space="0" w:color="auto"/>
        <w:bottom w:val="none" w:sz="0" w:space="0" w:color="auto"/>
        <w:right w:val="none" w:sz="0" w:space="0" w:color="auto"/>
      </w:divBdr>
    </w:div>
    <w:div w:id="1650086031">
      <w:bodyDiv w:val="1"/>
      <w:marLeft w:val="0"/>
      <w:marRight w:val="0"/>
      <w:marTop w:val="0"/>
      <w:marBottom w:val="0"/>
      <w:divBdr>
        <w:top w:val="none" w:sz="0" w:space="0" w:color="auto"/>
        <w:left w:val="none" w:sz="0" w:space="0" w:color="auto"/>
        <w:bottom w:val="none" w:sz="0" w:space="0" w:color="auto"/>
        <w:right w:val="none" w:sz="0" w:space="0" w:color="auto"/>
      </w:divBdr>
    </w:div>
    <w:div w:id="1650089454">
      <w:bodyDiv w:val="1"/>
      <w:marLeft w:val="0"/>
      <w:marRight w:val="0"/>
      <w:marTop w:val="0"/>
      <w:marBottom w:val="0"/>
      <w:divBdr>
        <w:top w:val="none" w:sz="0" w:space="0" w:color="auto"/>
        <w:left w:val="none" w:sz="0" w:space="0" w:color="auto"/>
        <w:bottom w:val="none" w:sz="0" w:space="0" w:color="auto"/>
        <w:right w:val="none" w:sz="0" w:space="0" w:color="auto"/>
      </w:divBdr>
    </w:div>
    <w:div w:id="1650131440">
      <w:bodyDiv w:val="1"/>
      <w:marLeft w:val="0"/>
      <w:marRight w:val="0"/>
      <w:marTop w:val="0"/>
      <w:marBottom w:val="0"/>
      <w:divBdr>
        <w:top w:val="none" w:sz="0" w:space="0" w:color="auto"/>
        <w:left w:val="none" w:sz="0" w:space="0" w:color="auto"/>
        <w:bottom w:val="none" w:sz="0" w:space="0" w:color="auto"/>
        <w:right w:val="none" w:sz="0" w:space="0" w:color="auto"/>
      </w:divBdr>
    </w:div>
    <w:div w:id="1650206954">
      <w:bodyDiv w:val="1"/>
      <w:marLeft w:val="0"/>
      <w:marRight w:val="0"/>
      <w:marTop w:val="0"/>
      <w:marBottom w:val="0"/>
      <w:divBdr>
        <w:top w:val="none" w:sz="0" w:space="0" w:color="auto"/>
        <w:left w:val="none" w:sz="0" w:space="0" w:color="auto"/>
        <w:bottom w:val="none" w:sz="0" w:space="0" w:color="auto"/>
        <w:right w:val="none" w:sz="0" w:space="0" w:color="auto"/>
      </w:divBdr>
    </w:div>
    <w:div w:id="1650288225">
      <w:bodyDiv w:val="1"/>
      <w:marLeft w:val="0"/>
      <w:marRight w:val="0"/>
      <w:marTop w:val="0"/>
      <w:marBottom w:val="0"/>
      <w:divBdr>
        <w:top w:val="none" w:sz="0" w:space="0" w:color="auto"/>
        <w:left w:val="none" w:sz="0" w:space="0" w:color="auto"/>
        <w:bottom w:val="none" w:sz="0" w:space="0" w:color="auto"/>
        <w:right w:val="none" w:sz="0" w:space="0" w:color="auto"/>
      </w:divBdr>
    </w:div>
    <w:div w:id="1650328004">
      <w:bodyDiv w:val="1"/>
      <w:marLeft w:val="0"/>
      <w:marRight w:val="0"/>
      <w:marTop w:val="0"/>
      <w:marBottom w:val="0"/>
      <w:divBdr>
        <w:top w:val="none" w:sz="0" w:space="0" w:color="auto"/>
        <w:left w:val="none" w:sz="0" w:space="0" w:color="auto"/>
        <w:bottom w:val="none" w:sz="0" w:space="0" w:color="auto"/>
        <w:right w:val="none" w:sz="0" w:space="0" w:color="auto"/>
      </w:divBdr>
    </w:div>
    <w:div w:id="1650355647">
      <w:bodyDiv w:val="1"/>
      <w:marLeft w:val="0"/>
      <w:marRight w:val="0"/>
      <w:marTop w:val="0"/>
      <w:marBottom w:val="0"/>
      <w:divBdr>
        <w:top w:val="none" w:sz="0" w:space="0" w:color="auto"/>
        <w:left w:val="none" w:sz="0" w:space="0" w:color="auto"/>
        <w:bottom w:val="none" w:sz="0" w:space="0" w:color="auto"/>
        <w:right w:val="none" w:sz="0" w:space="0" w:color="auto"/>
      </w:divBdr>
    </w:div>
    <w:div w:id="1650397511">
      <w:bodyDiv w:val="1"/>
      <w:marLeft w:val="0"/>
      <w:marRight w:val="0"/>
      <w:marTop w:val="0"/>
      <w:marBottom w:val="0"/>
      <w:divBdr>
        <w:top w:val="none" w:sz="0" w:space="0" w:color="auto"/>
        <w:left w:val="none" w:sz="0" w:space="0" w:color="auto"/>
        <w:bottom w:val="none" w:sz="0" w:space="0" w:color="auto"/>
        <w:right w:val="none" w:sz="0" w:space="0" w:color="auto"/>
      </w:divBdr>
    </w:div>
    <w:div w:id="1650401733">
      <w:bodyDiv w:val="1"/>
      <w:marLeft w:val="0"/>
      <w:marRight w:val="0"/>
      <w:marTop w:val="0"/>
      <w:marBottom w:val="0"/>
      <w:divBdr>
        <w:top w:val="none" w:sz="0" w:space="0" w:color="auto"/>
        <w:left w:val="none" w:sz="0" w:space="0" w:color="auto"/>
        <w:bottom w:val="none" w:sz="0" w:space="0" w:color="auto"/>
        <w:right w:val="none" w:sz="0" w:space="0" w:color="auto"/>
      </w:divBdr>
    </w:div>
    <w:div w:id="1650591811">
      <w:bodyDiv w:val="1"/>
      <w:marLeft w:val="0"/>
      <w:marRight w:val="0"/>
      <w:marTop w:val="0"/>
      <w:marBottom w:val="0"/>
      <w:divBdr>
        <w:top w:val="none" w:sz="0" w:space="0" w:color="auto"/>
        <w:left w:val="none" w:sz="0" w:space="0" w:color="auto"/>
        <w:bottom w:val="none" w:sz="0" w:space="0" w:color="auto"/>
        <w:right w:val="none" w:sz="0" w:space="0" w:color="auto"/>
      </w:divBdr>
    </w:div>
    <w:div w:id="1650595846">
      <w:bodyDiv w:val="1"/>
      <w:marLeft w:val="0"/>
      <w:marRight w:val="0"/>
      <w:marTop w:val="0"/>
      <w:marBottom w:val="0"/>
      <w:divBdr>
        <w:top w:val="none" w:sz="0" w:space="0" w:color="auto"/>
        <w:left w:val="none" w:sz="0" w:space="0" w:color="auto"/>
        <w:bottom w:val="none" w:sz="0" w:space="0" w:color="auto"/>
        <w:right w:val="none" w:sz="0" w:space="0" w:color="auto"/>
      </w:divBdr>
    </w:div>
    <w:div w:id="1650598399">
      <w:bodyDiv w:val="1"/>
      <w:marLeft w:val="0"/>
      <w:marRight w:val="0"/>
      <w:marTop w:val="0"/>
      <w:marBottom w:val="0"/>
      <w:divBdr>
        <w:top w:val="none" w:sz="0" w:space="0" w:color="auto"/>
        <w:left w:val="none" w:sz="0" w:space="0" w:color="auto"/>
        <w:bottom w:val="none" w:sz="0" w:space="0" w:color="auto"/>
        <w:right w:val="none" w:sz="0" w:space="0" w:color="auto"/>
      </w:divBdr>
    </w:div>
    <w:div w:id="1650669126">
      <w:bodyDiv w:val="1"/>
      <w:marLeft w:val="0"/>
      <w:marRight w:val="0"/>
      <w:marTop w:val="0"/>
      <w:marBottom w:val="0"/>
      <w:divBdr>
        <w:top w:val="none" w:sz="0" w:space="0" w:color="auto"/>
        <w:left w:val="none" w:sz="0" w:space="0" w:color="auto"/>
        <w:bottom w:val="none" w:sz="0" w:space="0" w:color="auto"/>
        <w:right w:val="none" w:sz="0" w:space="0" w:color="auto"/>
      </w:divBdr>
    </w:div>
    <w:div w:id="1650741871">
      <w:bodyDiv w:val="1"/>
      <w:marLeft w:val="0"/>
      <w:marRight w:val="0"/>
      <w:marTop w:val="0"/>
      <w:marBottom w:val="0"/>
      <w:divBdr>
        <w:top w:val="none" w:sz="0" w:space="0" w:color="auto"/>
        <w:left w:val="none" w:sz="0" w:space="0" w:color="auto"/>
        <w:bottom w:val="none" w:sz="0" w:space="0" w:color="auto"/>
        <w:right w:val="none" w:sz="0" w:space="0" w:color="auto"/>
      </w:divBdr>
    </w:div>
    <w:div w:id="1650864221">
      <w:bodyDiv w:val="1"/>
      <w:marLeft w:val="0"/>
      <w:marRight w:val="0"/>
      <w:marTop w:val="0"/>
      <w:marBottom w:val="0"/>
      <w:divBdr>
        <w:top w:val="none" w:sz="0" w:space="0" w:color="auto"/>
        <w:left w:val="none" w:sz="0" w:space="0" w:color="auto"/>
        <w:bottom w:val="none" w:sz="0" w:space="0" w:color="auto"/>
        <w:right w:val="none" w:sz="0" w:space="0" w:color="auto"/>
      </w:divBdr>
    </w:div>
    <w:div w:id="1650868450">
      <w:bodyDiv w:val="1"/>
      <w:marLeft w:val="0"/>
      <w:marRight w:val="0"/>
      <w:marTop w:val="0"/>
      <w:marBottom w:val="0"/>
      <w:divBdr>
        <w:top w:val="none" w:sz="0" w:space="0" w:color="auto"/>
        <w:left w:val="none" w:sz="0" w:space="0" w:color="auto"/>
        <w:bottom w:val="none" w:sz="0" w:space="0" w:color="auto"/>
        <w:right w:val="none" w:sz="0" w:space="0" w:color="auto"/>
      </w:divBdr>
    </w:div>
    <w:div w:id="1651520099">
      <w:bodyDiv w:val="1"/>
      <w:marLeft w:val="0"/>
      <w:marRight w:val="0"/>
      <w:marTop w:val="0"/>
      <w:marBottom w:val="0"/>
      <w:divBdr>
        <w:top w:val="none" w:sz="0" w:space="0" w:color="auto"/>
        <w:left w:val="none" w:sz="0" w:space="0" w:color="auto"/>
        <w:bottom w:val="none" w:sz="0" w:space="0" w:color="auto"/>
        <w:right w:val="none" w:sz="0" w:space="0" w:color="auto"/>
      </w:divBdr>
    </w:div>
    <w:div w:id="1651523661">
      <w:bodyDiv w:val="1"/>
      <w:marLeft w:val="0"/>
      <w:marRight w:val="0"/>
      <w:marTop w:val="0"/>
      <w:marBottom w:val="0"/>
      <w:divBdr>
        <w:top w:val="none" w:sz="0" w:space="0" w:color="auto"/>
        <w:left w:val="none" w:sz="0" w:space="0" w:color="auto"/>
        <w:bottom w:val="none" w:sz="0" w:space="0" w:color="auto"/>
        <w:right w:val="none" w:sz="0" w:space="0" w:color="auto"/>
      </w:divBdr>
    </w:div>
    <w:div w:id="1651593702">
      <w:bodyDiv w:val="1"/>
      <w:marLeft w:val="0"/>
      <w:marRight w:val="0"/>
      <w:marTop w:val="0"/>
      <w:marBottom w:val="0"/>
      <w:divBdr>
        <w:top w:val="none" w:sz="0" w:space="0" w:color="auto"/>
        <w:left w:val="none" w:sz="0" w:space="0" w:color="auto"/>
        <w:bottom w:val="none" w:sz="0" w:space="0" w:color="auto"/>
        <w:right w:val="none" w:sz="0" w:space="0" w:color="auto"/>
      </w:divBdr>
    </w:div>
    <w:div w:id="1651708957">
      <w:bodyDiv w:val="1"/>
      <w:marLeft w:val="0"/>
      <w:marRight w:val="0"/>
      <w:marTop w:val="0"/>
      <w:marBottom w:val="0"/>
      <w:divBdr>
        <w:top w:val="none" w:sz="0" w:space="0" w:color="auto"/>
        <w:left w:val="none" w:sz="0" w:space="0" w:color="auto"/>
        <w:bottom w:val="none" w:sz="0" w:space="0" w:color="auto"/>
        <w:right w:val="none" w:sz="0" w:space="0" w:color="auto"/>
      </w:divBdr>
    </w:div>
    <w:div w:id="1651783297">
      <w:bodyDiv w:val="1"/>
      <w:marLeft w:val="0"/>
      <w:marRight w:val="0"/>
      <w:marTop w:val="0"/>
      <w:marBottom w:val="0"/>
      <w:divBdr>
        <w:top w:val="none" w:sz="0" w:space="0" w:color="auto"/>
        <w:left w:val="none" w:sz="0" w:space="0" w:color="auto"/>
        <w:bottom w:val="none" w:sz="0" w:space="0" w:color="auto"/>
        <w:right w:val="none" w:sz="0" w:space="0" w:color="auto"/>
      </w:divBdr>
    </w:div>
    <w:div w:id="1651787021">
      <w:bodyDiv w:val="1"/>
      <w:marLeft w:val="0"/>
      <w:marRight w:val="0"/>
      <w:marTop w:val="0"/>
      <w:marBottom w:val="0"/>
      <w:divBdr>
        <w:top w:val="none" w:sz="0" w:space="0" w:color="auto"/>
        <w:left w:val="none" w:sz="0" w:space="0" w:color="auto"/>
        <w:bottom w:val="none" w:sz="0" w:space="0" w:color="auto"/>
        <w:right w:val="none" w:sz="0" w:space="0" w:color="auto"/>
      </w:divBdr>
    </w:div>
    <w:div w:id="1651860705">
      <w:bodyDiv w:val="1"/>
      <w:marLeft w:val="0"/>
      <w:marRight w:val="0"/>
      <w:marTop w:val="0"/>
      <w:marBottom w:val="0"/>
      <w:divBdr>
        <w:top w:val="none" w:sz="0" w:space="0" w:color="auto"/>
        <w:left w:val="none" w:sz="0" w:space="0" w:color="auto"/>
        <w:bottom w:val="none" w:sz="0" w:space="0" w:color="auto"/>
        <w:right w:val="none" w:sz="0" w:space="0" w:color="auto"/>
      </w:divBdr>
    </w:div>
    <w:div w:id="1651865104">
      <w:bodyDiv w:val="1"/>
      <w:marLeft w:val="0"/>
      <w:marRight w:val="0"/>
      <w:marTop w:val="0"/>
      <w:marBottom w:val="0"/>
      <w:divBdr>
        <w:top w:val="none" w:sz="0" w:space="0" w:color="auto"/>
        <w:left w:val="none" w:sz="0" w:space="0" w:color="auto"/>
        <w:bottom w:val="none" w:sz="0" w:space="0" w:color="auto"/>
        <w:right w:val="none" w:sz="0" w:space="0" w:color="auto"/>
      </w:divBdr>
    </w:div>
    <w:div w:id="1651903061">
      <w:bodyDiv w:val="1"/>
      <w:marLeft w:val="0"/>
      <w:marRight w:val="0"/>
      <w:marTop w:val="0"/>
      <w:marBottom w:val="0"/>
      <w:divBdr>
        <w:top w:val="none" w:sz="0" w:space="0" w:color="auto"/>
        <w:left w:val="none" w:sz="0" w:space="0" w:color="auto"/>
        <w:bottom w:val="none" w:sz="0" w:space="0" w:color="auto"/>
        <w:right w:val="none" w:sz="0" w:space="0" w:color="auto"/>
      </w:divBdr>
    </w:div>
    <w:div w:id="1651907872">
      <w:bodyDiv w:val="1"/>
      <w:marLeft w:val="0"/>
      <w:marRight w:val="0"/>
      <w:marTop w:val="0"/>
      <w:marBottom w:val="0"/>
      <w:divBdr>
        <w:top w:val="none" w:sz="0" w:space="0" w:color="auto"/>
        <w:left w:val="none" w:sz="0" w:space="0" w:color="auto"/>
        <w:bottom w:val="none" w:sz="0" w:space="0" w:color="auto"/>
        <w:right w:val="none" w:sz="0" w:space="0" w:color="auto"/>
      </w:divBdr>
    </w:div>
    <w:div w:id="1651976331">
      <w:bodyDiv w:val="1"/>
      <w:marLeft w:val="0"/>
      <w:marRight w:val="0"/>
      <w:marTop w:val="0"/>
      <w:marBottom w:val="0"/>
      <w:divBdr>
        <w:top w:val="none" w:sz="0" w:space="0" w:color="auto"/>
        <w:left w:val="none" w:sz="0" w:space="0" w:color="auto"/>
        <w:bottom w:val="none" w:sz="0" w:space="0" w:color="auto"/>
        <w:right w:val="none" w:sz="0" w:space="0" w:color="auto"/>
      </w:divBdr>
    </w:div>
    <w:div w:id="1652051603">
      <w:bodyDiv w:val="1"/>
      <w:marLeft w:val="0"/>
      <w:marRight w:val="0"/>
      <w:marTop w:val="0"/>
      <w:marBottom w:val="0"/>
      <w:divBdr>
        <w:top w:val="none" w:sz="0" w:space="0" w:color="auto"/>
        <w:left w:val="none" w:sz="0" w:space="0" w:color="auto"/>
        <w:bottom w:val="none" w:sz="0" w:space="0" w:color="auto"/>
        <w:right w:val="none" w:sz="0" w:space="0" w:color="auto"/>
      </w:divBdr>
    </w:div>
    <w:div w:id="1652060102">
      <w:bodyDiv w:val="1"/>
      <w:marLeft w:val="0"/>
      <w:marRight w:val="0"/>
      <w:marTop w:val="0"/>
      <w:marBottom w:val="0"/>
      <w:divBdr>
        <w:top w:val="none" w:sz="0" w:space="0" w:color="auto"/>
        <w:left w:val="none" w:sz="0" w:space="0" w:color="auto"/>
        <w:bottom w:val="none" w:sz="0" w:space="0" w:color="auto"/>
        <w:right w:val="none" w:sz="0" w:space="0" w:color="auto"/>
      </w:divBdr>
    </w:div>
    <w:div w:id="1652173020">
      <w:bodyDiv w:val="1"/>
      <w:marLeft w:val="0"/>
      <w:marRight w:val="0"/>
      <w:marTop w:val="0"/>
      <w:marBottom w:val="0"/>
      <w:divBdr>
        <w:top w:val="none" w:sz="0" w:space="0" w:color="auto"/>
        <w:left w:val="none" w:sz="0" w:space="0" w:color="auto"/>
        <w:bottom w:val="none" w:sz="0" w:space="0" w:color="auto"/>
        <w:right w:val="none" w:sz="0" w:space="0" w:color="auto"/>
      </w:divBdr>
    </w:div>
    <w:div w:id="1652177214">
      <w:bodyDiv w:val="1"/>
      <w:marLeft w:val="0"/>
      <w:marRight w:val="0"/>
      <w:marTop w:val="0"/>
      <w:marBottom w:val="0"/>
      <w:divBdr>
        <w:top w:val="none" w:sz="0" w:space="0" w:color="auto"/>
        <w:left w:val="none" w:sz="0" w:space="0" w:color="auto"/>
        <w:bottom w:val="none" w:sz="0" w:space="0" w:color="auto"/>
        <w:right w:val="none" w:sz="0" w:space="0" w:color="auto"/>
      </w:divBdr>
    </w:div>
    <w:div w:id="1652294674">
      <w:bodyDiv w:val="1"/>
      <w:marLeft w:val="0"/>
      <w:marRight w:val="0"/>
      <w:marTop w:val="0"/>
      <w:marBottom w:val="0"/>
      <w:divBdr>
        <w:top w:val="none" w:sz="0" w:space="0" w:color="auto"/>
        <w:left w:val="none" w:sz="0" w:space="0" w:color="auto"/>
        <w:bottom w:val="none" w:sz="0" w:space="0" w:color="auto"/>
        <w:right w:val="none" w:sz="0" w:space="0" w:color="auto"/>
      </w:divBdr>
    </w:div>
    <w:div w:id="1652323169">
      <w:bodyDiv w:val="1"/>
      <w:marLeft w:val="0"/>
      <w:marRight w:val="0"/>
      <w:marTop w:val="0"/>
      <w:marBottom w:val="0"/>
      <w:divBdr>
        <w:top w:val="none" w:sz="0" w:space="0" w:color="auto"/>
        <w:left w:val="none" w:sz="0" w:space="0" w:color="auto"/>
        <w:bottom w:val="none" w:sz="0" w:space="0" w:color="auto"/>
        <w:right w:val="none" w:sz="0" w:space="0" w:color="auto"/>
      </w:divBdr>
    </w:div>
    <w:div w:id="1652367444">
      <w:bodyDiv w:val="1"/>
      <w:marLeft w:val="0"/>
      <w:marRight w:val="0"/>
      <w:marTop w:val="0"/>
      <w:marBottom w:val="0"/>
      <w:divBdr>
        <w:top w:val="none" w:sz="0" w:space="0" w:color="auto"/>
        <w:left w:val="none" w:sz="0" w:space="0" w:color="auto"/>
        <w:bottom w:val="none" w:sz="0" w:space="0" w:color="auto"/>
        <w:right w:val="none" w:sz="0" w:space="0" w:color="auto"/>
      </w:divBdr>
    </w:div>
    <w:div w:id="1652370715">
      <w:bodyDiv w:val="1"/>
      <w:marLeft w:val="0"/>
      <w:marRight w:val="0"/>
      <w:marTop w:val="0"/>
      <w:marBottom w:val="0"/>
      <w:divBdr>
        <w:top w:val="none" w:sz="0" w:space="0" w:color="auto"/>
        <w:left w:val="none" w:sz="0" w:space="0" w:color="auto"/>
        <w:bottom w:val="none" w:sz="0" w:space="0" w:color="auto"/>
        <w:right w:val="none" w:sz="0" w:space="0" w:color="auto"/>
      </w:divBdr>
    </w:div>
    <w:div w:id="1652439055">
      <w:bodyDiv w:val="1"/>
      <w:marLeft w:val="0"/>
      <w:marRight w:val="0"/>
      <w:marTop w:val="0"/>
      <w:marBottom w:val="0"/>
      <w:divBdr>
        <w:top w:val="none" w:sz="0" w:space="0" w:color="auto"/>
        <w:left w:val="none" w:sz="0" w:space="0" w:color="auto"/>
        <w:bottom w:val="none" w:sz="0" w:space="0" w:color="auto"/>
        <w:right w:val="none" w:sz="0" w:space="0" w:color="auto"/>
      </w:divBdr>
    </w:div>
    <w:div w:id="1652445179">
      <w:bodyDiv w:val="1"/>
      <w:marLeft w:val="0"/>
      <w:marRight w:val="0"/>
      <w:marTop w:val="0"/>
      <w:marBottom w:val="0"/>
      <w:divBdr>
        <w:top w:val="none" w:sz="0" w:space="0" w:color="auto"/>
        <w:left w:val="none" w:sz="0" w:space="0" w:color="auto"/>
        <w:bottom w:val="none" w:sz="0" w:space="0" w:color="auto"/>
        <w:right w:val="none" w:sz="0" w:space="0" w:color="auto"/>
      </w:divBdr>
    </w:div>
    <w:div w:id="1652516636">
      <w:bodyDiv w:val="1"/>
      <w:marLeft w:val="0"/>
      <w:marRight w:val="0"/>
      <w:marTop w:val="0"/>
      <w:marBottom w:val="0"/>
      <w:divBdr>
        <w:top w:val="none" w:sz="0" w:space="0" w:color="auto"/>
        <w:left w:val="none" w:sz="0" w:space="0" w:color="auto"/>
        <w:bottom w:val="none" w:sz="0" w:space="0" w:color="auto"/>
        <w:right w:val="none" w:sz="0" w:space="0" w:color="auto"/>
      </w:divBdr>
    </w:div>
    <w:div w:id="1652518001">
      <w:bodyDiv w:val="1"/>
      <w:marLeft w:val="0"/>
      <w:marRight w:val="0"/>
      <w:marTop w:val="0"/>
      <w:marBottom w:val="0"/>
      <w:divBdr>
        <w:top w:val="none" w:sz="0" w:space="0" w:color="auto"/>
        <w:left w:val="none" w:sz="0" w:space="0" w:color="auto"/>
        <w:bottom w:val="none" w:sz="0" w:space="0" w:color="auto"/>
        <w:right w:val="none" w:sz="0" w:space="0" w:color="auto"/>
      </w:divBdr>
    </w:div>
    <w:div w:id="1652519143">
      <w:bodyDiv w:val="1"/>
      <w:marLeft w:val="0"/>
      <w:marRight w:val="0"/>
      <w:marTop w:val="0"/>
      <w:marBottom w:val="0"/>
      <w:divBdr>
        <w:top w:val="none" w:sz="0" w:space="0" w:color="auto"/>
        <w:left w:val="none" w:sz="0" w:space="0" w:color="auto"/>
        <w:bottom w:val="none" w:sz="0" w:space="0" w:color="auto"/>
        <w:right w:val="none" w:sz="0" w:space="0" w:color="auto"/>
      </w:divBdr>
    </w:div>
    <w:div w:id="1652522251">
      <w:bodyDiv w:val="1"/>
      <w:marLeft w:val="0"/>
      <w:marRight w:val="0"/>
      <w:marTop w:val="0"/>
      <w:marBottom w:val="0"/>
      <w:divBdr>
        <w:top w:val="none" w:sz="0" w:space="0" w:color="auto"/>
        <w:left w:val="none" w:sz="0" w:space="0" w:color="auto"/>
        <w:bottom w:val="none" w:sz="0" w:space="0" w:color="auto"/>
        <w:right w:val="none" w:sz="0" w:space="0" w:color="auto"/>
      </w:divBdr>
    </w:div>
    <w:div w:id="1652557747">
      <w:bodyDiv w:val="1"/>
      <w:marLeft w:val="0"/>
      <w:marRight w:val="0"/>
      <w:marTop w:val="0"/>
      <w:marBottom w:val="0"/>
      <w:divBdr>
        <w:top w:val="none" w:sz="0" w:space="0" w:color="auto"/>
        <w:left w:val="none" w:sz="0" w:space="0" w:color="auto"/>
        <w:bottom w:val="none" w:sz="0" w:space="0" w:color="auto"/>
        <w:right w:val="none" w:sz="0" w:space="0" w:color="auto"/>
      </w:divBdr>
    </w:div>
    <w:div w:id="1652635180">
      <w:bodyDiv w:val="1"/>
      <w:marLeft w:val="0"/>
      <w:marRight w:val="0"/>
      <w:marTop w:val="0"/>
      <w:marBottom w:val="0"/>
      <w:divBdr>
        <w:top w:val="none" w:sz="0" w:space="0" w:color="auto"/>
        <w:left w:val="none" w:sz="0" w:space="0" w:color="auto"/>
        <w:bottom w:val="none" w:sz="0" w:space="0" w:color="auto"/>
        <w:right w:val="none" w:sz="0" w:space="0" w:color="auto"/>
      </w:divBdr>
    </w:div>
    <w:div w:id="1652716176">
      <w:bodyDiv w:val="1"/>
      <w:marLeft w:val="0"/>
      <w:marRight w:val="0"/>
      <w:marTop w:val="0"/>
      <w:marBottom w:val="0"/>
      <w:divBdr>
        <w:top w:val="none" w:sz="0" w:space="0" w:color="auto"/>
        <w:left w:val="none" w:sz="0" w:space="0" w:color="auto"/>
        <w:bottom w:val="none" w:sz="0" w:space="0" w:color="auto"/>
        <w:right w:val="none" w:sz="0" w:space="0" w:color="auto"/>
      </w:divBdr>
    </w:div>
    <w:div w:id="1652756049">
      <w:bodyDiv w:val="1"/>
      <w:marLeft w:val="0"/>
      <w:marRight w:val="0"/>
      <w:marTop w:val="0"/>
      <w:marBottom w:val="0"/>
      <w:divBdr>
        <w:top w:val="none" w:sz="0" w:space="0" w:color="auto"/>
        <w:left w:val="none" w:sz="0" w:space="0" w:color="auto"/>
        <w:bottom w:val="none" w:sz="0" w:space="0" w:color="auto"/>
        <w:right w:val="none" w:sz="0" w:space="0" w:color="auto"/>
      </w:divBdr>
    </w:div>
    <w:div w:id="1652832348">
      <w:bodyDiv w:val="1"/>
      <w:marLeft w:val="0"/>
      <w:marRight w:val="0"/>
      <w:marTop w:val="0"/>
      <w:marBottom w:val="0"/>
      <w:divBdr>
        <w:top w:val="none" w:sz="0" w:space="0" w:color="auto"/>
        <w:left w:val="none" w:sz="0" w:space="0" w:color="auto"/>
        <w:bottom w:val="none" w:sz="0" w:space="0" w:color="auto"/>
        <w:right w:val="none" w:sz="0" w:space="0" w:color="auto"/>
      </w:divBdr>
    </w:div>
    <w:div w:id="1652900254">
      <w:bodyDiv w:val="1"/>
      <w:marLeft w:val="0"/>
      <w:marRight w:val="0"/>
      <w:marTop w:val="0"/>
      <w:marBottom w:val="0"/>
      <w:divBdr>
        <w:top w:val="none" w:sz="0" w:space="0" w:color="auto"/>
        <w:left w:val="none" w:sz="0" w:space="0" w:color="auto"/>
        <w:bottom w:val="none" w:sz="0" w:space="0" w:color="auto"/>
        <w:right w:val="none" w:sz="0" w:space="0" w:color="auto"/>
      </w:divBdr>
    </w:div>
    <w:div w:id="1652976906">
      <w:bodyDiv w:val="1"/>
      <w:marLeft w:val="0"/>
      <w:marRight w:val="0"/>
      <w:marTop w:val="0"/>
      <w:marBottom w:val="0"/>
      <w:divBdr>
        <w:top w:val="none" w:sz="0" w:space="0" w:color="auto"/>
        <w:left w:val="none" w:sz="0" w:space="0" w:color="auto"/>
        <w:bottom w:val="none" w:sz="0" w:space="0" w:color="auto"/>
        <w:right w:val="none" w:sz="0" w:space="0" w:color="auto"/>
      </w:divBdr>
    </w:div>
    <w:div w:id="1652978617">
      <w:bodyDiv w:val="1"/>
      <w:marLeft w:val="0"/>
      <w:marRight w:val="0"/>
      <w:marTop w:val="0"/>
      <w:marBottom w:val="0"/>
      <w:divBdr>
        <w:top w:val="none" w:sz="0" w:space="0" w:color="auto"/>
        <w:left w:val="none" w:sz="0" w:space="0" w:color="auto"/>
        <w:bottom w:val="none" w:sz="0" w:space="0" w:color="auto"/>
        <w:right w:val="none" w:sz="0" w:space="0" w:color="auto"/>
      </w:divBdr>
    </w:div>
    <w:div w:id="1653171260">
      <w:bodyDiv w:val="1"/>
      <w:marLeft w:val="0"/>
      <w:marRight w:val="0"/>
      <w:marTop w:val="0"/>
      <w:marBottom w:val="0"/>
      <w:divBdr>
        <w:top w:val="none" w:sz="0" w:space="0" w:color="auto"/>
        <w:left w:val="none" w:sz="0" w:space="0" w:color="auto"/>
        <w:bottom w:val="none" w:sz="0" w:space="0" w:color="auto"/>
        <w:right w:val="none" w:sz="0" w:space="0" w:color="auto"/>
      </w:divBdr>
    </w:div>
    <w:div w:id="1653215117">
      <w:bodyDiv w:val="1"/>
      <w:marLeft w:val="0"/>
      <w:marRight w:val="0"/>
      <w:marTop w:val="0"/>
      <w:marBottom w:val="0"/>
      <w:divBdr>
        <w:top w:val="none" w:sz="0" w:space="0" w:color="auto"/>
        <w:left w:val="none" w:sz="0" w:space="0" w:color="auto"/>
        <w:bottom w:val="none" w:sz="0" w:space="0" w:color="auto"/>
        <w:right w:val="none" w:sz="0" w:space="0" w:color="auto"/>
      </w:divBdr>
    </w:div>
    <w:div w:id="1653365160">
      <w:bodyDiv w:val="1"/>
      <w:marLeft w:val="0"/>
      <w:marRight w:val="0"/>
      <w:marTop w:val="0"/>
      <w:marBottom w:val="0"/>
      <w:divBdr>
        <w:top w:val="none" w:sz="0" w:space="0" w:color="auto"/>
        <w:left w:val="none" w:sz="0" w:space="0" w:color="auto"/>
        <w:bottom w:val="none" w:sz="0" w:space="0" w:color="auto"/>
        <w:right w:val="none" w:sz="0" w:space="0" w:color="auto"/>
      </w:divBdr>
    </w:div>
    <w:div w:id="1653487540">
      <w:bodyDiv w:val="1"/>
      <w:marLeft w:val="0"/>
      <w:marRight w:val="0"/>
      <w:marTop w:val="0"/>
      <w:marBottom w:val="0"/>
      <w:divBdr>
        <w:top w:val="none" w:sz="0" w:space="0" w:color="auto"/>
        <w:left w:val="none" w:sz="0" w:space="0" w:color="auto"/>
        <w:bottom w:val="none" w:sz="0" w:space="0" w:color="auto"/>
        <w:right w:val="none" w:sz="0" w:space="0" w:color="auto"/>
      </w:divBdr>
    </w:div>
    <w:div w:id="1653489194">
      <w:bodyDiv w:val="1"/>
      <w:marLeft w:val="0"/>
      <w:marRight w:val="0"/>
      <w:marTop w:val="0"/>
      <w:marBottom w:val="0"/>
      <w:divBdr>
        <w:top w:val="none" w:sz="0" w:space="0" w:color="auto"/>
        <w:left w:val="none" w:sz="0" w:space="0" w:color="auto"/>
        <w:bottom w:val="none" w:sz="0" w:space="0" w:color="auto"/>
        <w:right w:val="none" w:sz="0" w:space="0" w:color="auto"/>
      </w:divBdr>
    </w:div>
    <w:div w:id="1653636838">
      <w:bodyDiv w:val="1"/>
      <w:marLeft w:val="0"/>
      <w:marRight w:val="0"/>
      <w:marTop w:val="0"/>
      <w:marBottom w:val="0"/>
      <w:divBdr>
        <w:top w:val="none" w:sz="0" w:space="0" w:color="auto"/>
        <w:left w:val="none" w:sz="0" w:space="0" w:color="auto"/>
        <w:bottom w:val="none" w:sz="0" w:space="0" w:color="auto"/>
        <w:right w:val="none" w:sz="0" w:space="0" w:color="auto"/>
      </w:divBdr>
    </w:div>
    <w:div w:id="1653680436">
      <w:bodyDiv w:val="1"/>
      <w:marLeft w:val="0"/>
      <w:marRight w:val="0"/>
      <w:marTop w:val="0"/>
      <w:marBottom w:val="0"/>
      <w:divBdr>
        <w:top w:val="none" w:sz="0" w:space="0" w:color="auto"/>
        <w:left w:val="none" w:sz="0" w:space="0" w:color="auto"/>
        <w:bottom w:val="none" w:sz="0" w:space="0" w:color="auto"/>
        <w:right w:val="none" w:sz="0" w:space="0" w:color="auto"/>
      </w:divBdr>
    </w:div>
    <w:div w:id="1653752963">
      <w:bodyDiv w:val="1"/>
      <w:marLeft w:val="0"/>
      <w:marRight w:val="0"/>
      <w:marTop w:val="0"/>
      <w:marBottom w:val="0"/>
      <w:divBdr>
        <w:top w:val="none" w:sz="0" w:space="0" w:color="auto"/>
        <w:left w:val="none" w:sz="0" w:space="0" w:color="auto"/>
        <w:bottom w:val="none" w:sz="0" w:space="0" w:color="auto"/>
        <w:right w:val="none" w:sz="0" w:space="0" w:color="auto"/>
      </w:divBdr>
    </w:div>
    <w:div w:id="1653831892">
      <w:bodyDiv w:val="1"/>
      <w:marLeft w:val="0"/>
      <w:marRight w:val="0"/>
      <w:marTop w:val="0"/>
      <w:marBottom w:val="0"/>
      <w:divBdr>
        <w:top w:val="none" w:sz="0" w:space="0" w:color="auto"/>
        <w:left w:val="none" w:sz="0" w:space="0" w:color="auto"/>
        <w:bottom w:val="none" w:sz="0" w:space="0" w:color="auto"/>
        <w:right w:val="none" w:sz="0" w:space="0" w:color="auto"/>
      </w:divBdr>
    </w:div>
    <w:div w:id="1653876246">
      <w:bodyDiv w:val="1"/>
      <w:marLeft w:val="0"/>
      <w:marRight w:val="0"/>
      <w:marTop w:val="0"/>
      <w:marBottom w:val="0"/>
      <w:divBdr>
        <w:top w:val="none" w:sz="0" w:space="0" w:color="auto"/>
        <w:left w:val="none" w:sz="0" w:space="0" w:color="auto"/>
        <w:bottom w:val="none" w:sz="0" w:space="0" w:color="auto"/>
        <w:right w:val="none" w:sz="0" w:space="0" w:color="auto"/>
      </w:divBdr>
    </w:div>
    <w:div w:id="1653942622">
      <w:bodyDiv w:val="1"/>
      <w:marLeft w:val="0"/>
      <w:marRight w:val="0"/>
      <w:marTop w:val="0"/>
      <w:marBottom w:val="0"/>
      <w:divBdr>
        <w:top w:val="none" w:sz="0" w:space="0" w:color="auto"/>
        <w:left w:val="none" w:sz="0" w:space="0" w:color="auto"/>
        <w:bottom w:val="none" w:sz="0" w:space="0" w:color="auto"/>
        <w:right w:val="none" w:sz="0" w:space="0" w:color="auto"/>
      </w:divBdr>
    </w:div>
    <w:div w:id="1653944468">
      <w:bodyDiv w:val="1"/>
      <w:marLeft w:val="0"/>
      <w:marRight w:val="0"/>
      <w:marTop w:val="0"/>
      <w:marBottom w:val="0"/>
      <w:divBdr>
        <w:top w:val="none" w:sz="0" w:space="0" w:color="auto"/>
        <w:left w:val="none" w:sz="0" w:space="0" w:color="auto"/>
        <w:bottom w:val="none" w:sz="0" w:space="0" w:color="auto"/>
        <w:right w:val="none" w:sz="0" w:space="0" w:color="auto"/>
      </w:divBdr>
    </w:div>
    <w:div w:id="1654023912">
      <w:bodyDiv w:val="1"/>
      <w:marLeft w:val="0"/>
      <w:marRight w:val="0"/>
      <w:marTop w:val="0"/>
      <w:marBottom w:val="0"/>
      <w:divBdr>
        <w:top w:val="none" w:sz="0" w:space="0" w:color="auto"/>
        <w:left w:val="none" w:sz="0" w:space="0" w:color="auto"/>
        <w:bottom w:val="none" w:sz="0" w:space="0" w:color="auto"/>
        <w:right w:val="none" w:sz="0" w:space="0" w:color="auto"/>
      </w:divBdr>
    </w:div>
    <w:div w:id="1654026233">
      <w:bodyDiv w:val="1"/>
      <w:marLeft w:val="0"/>
      <w:marRight w:val="0"/>
      <w:marTop w:val="0"/>
      <w:marBottom w:val="0"/>
      <w:divBdr>
        <w:top w:val="none" w:sz="0" w:space="0" w:color="auto"/>
        <w:left w:val="none" w:sz="0" w:space="0" w:color="auto"/>
        <w:bottom w:val="none" w:sz="0" w:space="0" w:color="auto"/>
        <w:right w:val="none" w:sz="0" w:space="0" w:color="auto"/>
      </w:divBdr>
    </w:div>
    <w:div w:id="1654064381">
      <w:bodyDiv w:val="1"/>
      <w:marLeft w:val="0"/>
      <w:marRight w:val="0"/>
      <w:marTop w:val="0"/>
      <w:marBottom w:val="0"/>
      <w:divBdr>
        <w:top w:val="none" w:sz="0" w:space="0" w:color="auto"/>
        <w:left w:val="none" w:sz="0" w:space="0" w:color="auto"/>
        <w:bottom w:val="none" w:sz="0" w:space="0" w:color="auto"/>
        <w:right w:val="none" w:sz="0" w:space="0" w:color="auto"/>
      </w:divBdr>
    </w:div>
    <w:div w:id="1654068356">
      <w:bodyDiv w:val="1"/>
      <w:marLeft w:val="0"/>
      <w:marRight w:val="0"/>
      <w:marTop w:val="0"/>
      <w:marBottom w:val="0"/>
      <w:divBdr>
        <w:top w:val="none" w:sz="0" w:space="0" w:color="auto"/>
        <w:left w:val="none" w:sz="0" w:space="0" w:color="auto"/>
        <w:bottom w:val="none" w:sz="0" w:space="0" w:color="auto"/>
        <w:right w:val="none" w:sz="0" w:space="0" w:color="auto"/>
      </w:divBdr>
    </w:div>
    <w:div w:id="1654068935">
      <w:bodyDiv w:val="1"/>
      <w:marLeft w:val="0"/>
      <w:marRight w:val="0"/>
      <w:marTop w:val="0"/>
      <w:marBottom w:val="0"/>
      <w:divBdr>
        <w:top w:val="none" w:sz="0" w:space="0" w:color="auto"/>
        <w:left w:val="none" w:sz="0" w:space="0" w:color="auto"/>
        <w:bottom w:val="none" w:sz="0" w:space="0" w:color="auto"/>
        <w:right w:val="none" w:sz="0" w:space="0" w:color="auto"/>
      </w:divBdr>
    </w:div>
    <w:div w:id="1654140801">
      <w:bodyDiv w:val="1"/>
      <w:marLeft w:val="0"/>
      <w:marRight w:val="0"/>
      <w:marTop w:val="0"/>
      <w:marBottom w:val="0"/>
      <w:divBdr>
        <w:top w:val="none" w:sz="0" w:space="0" w:color="auto"/>
        <w:left w:val="none" w:sz="0" w:space="0" w:color="auto"/>
        <w:bottom w:val="none" w:sz="0" w:space="0" w:color="auto"/>
        <w:right w:val="none" w:sz="0" w:space="0" w:color="auto"/>
      </w:divBdr>
    </w:div>
    <w:div w:id="1654262626">
      <w:bodyDiv w:val="1"/>
      <w:marLeft w:val="0"/>
      <w:marRight w:val="0"/>
      <w:marTop w:val="0"/>
      <w:marBottom w:val="0"/>
      <w:divBdr>
        <w:top w:val="none" w:sz="0" w:space="0" w:color="auto"/>
        <w:left w:val="none" w:sz="0" w:space="0" w:color="auto"/>
        <w:bottom w:val="none" w:sz="0" w:space="0" w:color="auto"/>
        <w:right w:val="none" w:sz="0" w:space="0" w:color="auto"/>
      </w:divBdr>
    </w:div>
    <w:div w:id="1654404679">
      <w:bodyDiv w:val="1"/>
      <w:marLeft w:val="0"/>
      <w:marRight w:val="0"/>
      <w:marTop w:val="0"/>
      <w:marBottom w:val="0"/>
      <w:divBdr>
        <w:top w:val="none" w:sz="0" w:space="0" w:color="auto"/>
        <w:left w:val="none" w:sz="0" w:space="0" w:color="auto"/>
        <w:bottom w:val="none" w:sz="0" w:space="0" w:color="auto"/>
        <w:right w:val="none" w:sz="0" w:space="0" w:color="auto"/>
      </w:divBdr>
    </w:div>
    <w:div w:id="1654405989">
      <w:bodyDiv w:val="1"/>
      <w:marLeft w:val="0"/>
      <w:marRight w:val="0"/>
      <w:marTop w:val="0"/>
      <w:marBottom w:val="0"/>
      <w:divBdr>
        <w:top w:val="none" w:sz="0" w:space="0" w:color="auto"/>
        <w:left w:val="none" w:sz="0" w:space="0" w:color="auto"/>
        <w:bottom w:val="none" w:sz="0" w:space="0" w:color="auto"/>
        <w:right w:val="none" w:sz="0" w:space="0" w:color="auto"/>
      </w:divBdr>
    </w:div>
    <w:div w:id="1654486000">
      <w:bodyDiv w:val="1"/>
      <w:marLeft w:val="0"/>
      <w:marRight w:val="0"/>
      <w:marTop w:val="0"/>
      <w:marBottom w:val="0"/>
      <w:divBdr>
        <w:top w:val="none" w:sz="0" w:space="0" w:color="auto"/>
        <w:left w:val="none" w:sz="0" w:space="0" w:color="auto"/>
        <w:bottom w:val="none" w:sz="0" w:space="0" w:color="auto"/>
        <w:right w:val="none" w:sz="0" w:space="0" w:color="auto"/>
      </w:divBdr>
    </w:div>
    <w:div w:id="1654487506">
      <w:bodyDiv w:val="1"/>
      <w:marLeft w:val="0"/>
      <w:marRight w:val="0"/>
      <w:marTop w:val="0"/>
      <w:marBottom w:val="0"/>
      <w:divBdr>
        <w:top w:val="none" w:sz="0" w:space="0" w:color="auto"/>
        <w:left w:val="none" w:sz="0" w:space="0" w:color="auto"/>
        <w:bottom w:val="none" w:sz="0" w:space="0" w:color="auto"/>
        <w:right w:val="none" w:sz="0" w:space="0" w:color="auto"/>
      </w:divBdr>
    </w:div>
    <w:div w:id="1654522486">
      <w:bodyDiv w:val="1"/>
      <w:marLeft w:val="0"/>
      <w:marRight w:val="0"/>
      <w:marTop w:val="0"/>
      <w:marBottom w:val="0"/>
      <w:divBdr>
        <w:top w:val="none" w:sz="0" w:space="0" w:color="auto"/>
        <w:left w:val="none" w:sz="0" w:space="0" w:color="auto"/>
        <w:bottom w:val="none" w:sz="0" w:space="0" w:color="auto"/>
        <w:right w:val="none" w:sz="0" w:space="0" w:color="auto"/>
      </w:divBdr>
    </w:div>
    <w:div w:id="1654721583">
      <w:bodyDiv w:val="1"/>
      <w:marLeft w:val="0"/>
      <w:marRight w:val="0"/>
      <w:marTop w:val="0"/>
      <w:marBottom w:val="0"/>
      <w:divBdr>
        <w:top w:val="none" w:sz="0" w:space="0" w:color="auto"/>
        <w:left w:val="none" w:sz="0" w:space="0" w:color="auto"/>
        <w:bottom w:val="none" w:sz="0" w:space="0" w:color="auto"/>
        <w:right w:val="none" w:sz="0" w:space="0" w:color="auto"/>
      </w:divBdr>
    </w:div>
    <w:div w:id="1654795246">
      <w:bodyDiv w:val="1"/>
      <w:marLeft w:val="0"/>
      <w:marRight w:val="0"/>
      <w:marTop w:val="0"/>
      <w:marBottom w:val="0"/>
      <w:divBdr>
        <w:top w:val="none" w:sz="0" w:space="0" w:color="auto"/>
        <w:left w:val="none" w:sz="0" w:space="0" w:color="auto"/>
        <w:bottom w:val="none" w:sz="0" w:space="0" w:color="auto"/>
        <w:right w:val="none" w:sz="0" w:space="0" w:color="auto"/>
      </w:divBdr>
    </w:div>
    <w:div w:id="1654873295">
      <w:bodyDiv w:val="1"/>
      <w:marLeft w:val="0"/>
      <w:marRight w:val="0"/>
      <w:marTop w:val="0"/>
      <w:marBottom w:val="0"/>
      <w:divBdr>
        <w:top w:val="none" w:sz="0" w:space="0" w:color="auto"/>
        <w:left w:val="none" w:sz="0" w:space="0" w:color="auto"/>
        <w:bottom w:val="none" w:sz="0" w:space="0" w:color="auto"/>
        <w:right w:val="none" w:sz="0" w:space="0" w:color="auto"/>
      </w:divBdr>
    </w:div>
    <w:div w:id="1654874752">
      <w:bodyDiv w:val="1"/>
      <w:marLeft w:val="0"/>
      <w:marRight w:val="0"/>
      <w:marTop w:val="0"/>
      <w:marBottom w:val="0"/>
      <w:divBdr>
        <w:top w:val="none" w:sz="0" w:space="0" w:color="auto"/>
        <w:left w:val="none" w:sz="0" w:space="0" w:color="auto"/>
        <w:bottom w:val="none" w:sz="0" w:space="0" w:color="auto"/>
        <w:right w:val="none" w:sz="0" w:space="0" w:color="auto"/>
      </w:divBdr>
    </w:div>
    <w:div w:id="1655141677">
      <w:bodyDiv w:val="1"/>
      <w:marLeft w:val="0"/>
      <w:marRight w:val="0"/>
      <w:marTop w:val="0"/>
      <w:marBottom w:val="0"/>
      <w:divBdr>
        <w:top w:val="none" w:sz="0" w:space="0" w:color="auto"/>
        <w:left w:val="none" w:sz="0" w:space="0" w:color="auto"/>
        <w:bottom w:val="none" w:sz="0" w:space="0" w:color="auto"/>
        <w:right w:val="none" w:sz="0" w:space="0" w:color="auto"/>
      </w:divBdr>
    </w:div>
    <w:div w:id="1655178411">
      <w:bodyDiv w:val="1"/>
      <w:marLeft w:val="0"/>
      <w:marRight w:val="0"/>
      <w:marTop w:val="0"/>
      <w:marBottom w:val="0"/>
      <w:divBdr>
        <w:top w:val="none" w:sz="0" w:space="0" w:color="auto"/>
        <w:left w:val="none" w:sz="0" w:space="0" w:color="auto"/>
        <w:bottom w:val="none" w:sz="0" w:space="0" w:color="auto"/>
        <w:right w:val="none" w:sz="0" w:space="0" w:color="auto"/>
      </w:divBdr>
    </w:div>
    <w:div w:id="1655331032">
      <w:bodyDiv w:val="1"/>
      <w:marLeft w:val="0"/>
      <w:marRight w:val="0"/>
      <w:marTop w:val="0"/>
      <w:marBottom w:val="0"/>
      <w:divBdr>
        <w:top w:val="none" w:sz="0" w:space="0" w:color="auto"/>
        <w:left w:val="none" w:sz="0" w:space="0" w:color="auto"/>
        <w:bottom w:val="none" w:sz="0" w:space="0" w:color="auto"/>
        <w:right w:val="none" w:sz="0" w:space="0" w:color="auto"/>
      </w:divBdr>
    </w:div>
    <w:div w:id="1655447979">
      <w:bodyDiv w:val="1"/>
      <w:marLeft w:val="0"/>
      <w:marRight w:val="0"/>
      <w:marTop w:val="0"/>
      <w:marBottom w:val="0"/>
      <w:divBdr>
        <w:top w:val="none" w:sz="0" w:space="0" w:color="auto"/>
        <w:left w:val="none" w:sz="0" w:space="0" w:color="auto"/>
        <w:bottom w:val="none" w:sz="0" w:space="0" w:color="auto"/>
        <w:right w:val="none" w:sz="0" w:space="0" w:color="auto"/>
      </w:divBdr>
    </w:div>
    <w:div w:id="1655522067">
      <w:bodyDiv w:val="1"/>
      <w:marLeft w:val="0"/>
      <w:marRight w:val="0"/>
      <w:marTop w:val="0"/>
      <w:marBottom w:val="0"/>
      <w:divBdr>
        <w:top w:val="none" w:sz="0" w:space="0" w:color="auto"/>
        <w:left w:val="none" w:sz="0" w:space="0" w:color="auto"/>
        <w:bottom w:val="none" w:sz="0" w:space="0" w:color="auto"/>
        <w:right w:val="none" w:sz="0" w:space="0" w:color="auto"/>
      </w:divBdr>
    </w:div>
    <w:div w:id="1655573144">
      <w:bodyDiv w:val="1"/>
      <w:marLeft w:val="0"/>
      <w:marRight w:val="0"/>
      <w:marTop w:val="0"/>
      <w:marBottom w:val="0"/>
      <w:divBdr>
        <w:top w:val="none" w:sz="0" w:space="0" w:color="auto"/>
        <w:left w:val="none" w:sz="0" w:space="0" w:color="auto"/>
        <w:bottom w:val="none" w:sz="0" w:space="0" w:color="auto"/>
        <w:right w:val="none" w:sz="0" w:space="0" w:color="auto"/>
      </w:divBdr>
    </w:div>
    <w:div w:id="1655601209">
      <w:bodyDiv w:val="1"/>
      <w:marLeft w:val="0"/>
      <w:marRight w:val="0"/>
      <w:marTop w:val="0"/>
      <w:marBottom w:val="0"/>
      <w:divBdr>
        <w:top w:val="none" w:sz="0" w:space="0" w:color="auto"/>
        <w:left w:val="none" w:sz="0" w:space="0" w:color="auto"/>
        <w:bottom w:val="none" w:sz="0" w:space="0" w:color="auto"/>
        <w:right w:val="none" w:sz="0" w:space="0" w:color="auto"/>
      </w:divBdr>
    </w:div>
    <w:div w:id="1655642655">
      <w:bodyDiv w:val="1"/>
      <w:marLeft w:val="0"/>
      <w:marRight w:val="0"/>
      <w:marTop w:val="0"/>
      <w:marBottom w:val="0"/>
      <w:divBdr>
        <w:top w:val="none" w:sz="0" w:space="0" w:color="auto"/>
        <w:left w:val="none" w:sz="0" w:space="0" w:color="auto"/>
        <w:bottom w:val="none" w:sz="0" w:space="0" w:color="auto"/>
        <w:right w:val="none" w:sz="0" w:space="0" w:color="auto"/>
      </w:divBdr>
    </w:div>
    <w:div w:id="1655719308">
      <w:bodyDiv w:val="1"/>
      <w:marLeft w:val="0"/>
      <w:marRight w:val="0"/>
      <w:marTop w:val="0"/>
      <w:marBottom w:val="0"/>
      <w:divBdr>
        <w:top w:val="none" w:sz="0" w:space="0" w:color="auto"/>
        <w:left w:val="none" w:sz="0" w:space="0" w:color="auto"/>
        <w:bottom w:val="none" w:sz="0" w:space="0" w:color="auto"/>
        <w:right w:val="none" w:sz="0" w:space="0" w:color="auto"/>
      </w:divBdr>
    </w:div>
    <w:div w:id="1655797131">
      <w:bodyDiv w:val="1"/>
      <w:marLeft w:val="0"/>
      <w:marRight w:val="0"/>
      <w:marTop w:val="0"/>
      <w:marBottom w:val="0"/>
      <w:divBdr>
        <w:top w:val="none" w:sz="0" w:space="0" w:color="auto"/>
        <w:left w:val="none" w:sz="0" w:space="0" w:color="auto"/>
        <w:bottom w:val="none" w:sz="0" w:space="0" w:color="auto"/>
        <w:right w:val="none" w:sz="0" w:space="0" w:color="auto"/>
      </w:divBdr>
    </w:div>
    <w:div w:id="1655910893">
      <w:bodyDiv w:val="1"/>
      <w:marLeft w:val="0"/>
      <w:marRight w:val="0"/>
      <w:marTop w:val="0"/>
      <w:marBottom w:val="0"/>
      <w:divBdr>
        <w:top w:val="none" w:sz="0" w:space="0" w:color="auto"/>
        <w:left w:val="none" w:sz="0" w:space="0" w:color="auto"/>
        <w:bottom w:val="none" w:sz="0" w:space="0" w:color="auto"/>
        <w:right w:val="none" w:sz="0" w:space="0" w:color="auto"/>
      </w:divBdr>
    </w:div>
    <w:div w:id="1655984897">
      <w:bodyDiv w:val="1"/>
      <w:marLeft w:val="0"/>
      <w:marRight w:val="0"/>
      <w:marTop w:val="0"/>
      <w:marBottom w:val="0"/>
      <w:divBdr>
        <w:top w:val="none" w:sz="0" w:space="0" w:color="auto"/>
        <w:left w:val="none" w:sz="0" w:space="0" w:color="auto"/>
        <w:bottom w:val="none" w:sz="0" w:space="0" w:color="auto"/>
        <w:right w:val="none" w:sz="0" w:space="0" w:color="auto"/>
      </w:divBdr>
    </w:div>
    <w:div w:id="1655991182">
      <w:bodyDiv w:val="1"/>
      <w:marLeft w:val="0"/>
      <w:marRight w:val="0"/>
      <w:marTop w:val="0"/>
      <w:marBottom w:val="0"/>
      <w:divBdr>
        <w:top w:val="none" w:sz="0" w:space="0" w:color="auto"/>
        <w:left w:val="none" w:sz="0" w:space="0" w:color="auto"/>
        <w:bottom w:val="none" w:sz="0" w:space="0" w:color="auto"/>
        <w:right w:val="none" w:sz="0" w:space="0" w:color="auto"/>
      </w:divBdr>
    </w:div>
    <w:div w:id="1656033652">
      <w:bodyDiv w:val="1"/>
      <w:marLeft w:val="0"/>
      <w:marRight w:val="0"/>
      <w:marTop w:val="0"/>
      <w:marBottom w:val="0"/>
      <w:divBdr>
        <w:top w:val="none" w:sz="0" w:space="0" w:color="auto"/>
        <w:left w:val="none" w:sz="0" w:space="0" w:color="auto"/>
        <w:bottom w:val="none" w:sz="0" w:space="0" w:color="auto"/>
        <w:right w:val="none" w:sz="0" w:space="0" w:color="auto"/>
      </w:divBdr>
    </w:div>
    <w:div w:id="1656181359">
      <w:bodyDiv w:val="1"/>
      <w:marLeft w:val="0"/>
      <w:marRight w:val="0"/>
      <w:marTop w:val="0"/>
      <w:marBottom w:val="0"/>
      <w:divBdr>
        <w:top w:val="none" w:sz="0" w:space="0" w:color="auto"/>
        <w:left w:val="none" w:sz="0" w:space="0" w:color="auto"/>
        <w:bottom w:val="none" w:sz="0" w:space="0" w:color="auto"/>
        <w:right w:val="none" w:sz="0" w:space="0" w:color="auto"/>
      </w:divBdr>
    </w:div>
    <w:div w:id="1656181458">
      <w:bodyDiv w:val="1"/>
      <w:marLeft w:val="0"/>
      <w:marRight w:val="0"/>
      <w:marTop w:val="0"/>
      <w:marBottom w:val="0"/>
      <w:divBdr>
        <w:top w:val="none" w:sz="0" w:space="0" w:color="auto"/>
        <w:left w:val="none" w:sz="0" w:space="0" w:color="auto"/>
        <w:bottom w:val="none" w:sz="0" w:space="0" w:color="auto"/>
        <w:right w:val="none" w:sz="0" w:space="0" w:color="auto"/>
      </w:divBdr>
    </w:div>
    <w:div w:id="1656252066">
      <w:bodyDiv w:val="1"/>
      <w:marLeft w:val="0"/>
      <w:marRight w:val="0"/>
      <w:marTop w:val="0"/>
      <w:marBottom w:val="0"/>
      <w:divBdr>
        <w:top w:val="none" w:sz="0" w:space="0" w:color="auto"/>
        <w:left w:val="none" w:sz="0" w:space="0" w:color="auto"/>
        <w:bottom w:val="none" w:sz="0" w:space="0" w:color="auto"/>
        <w:right w:val="none" w:sz="0" w:space="0" w:color="auto"/>
      </w:divBdr>
    </w:div>
    <w:div w:id="1656377285">
      <w:bodyDiv w:val="1"/>
      <w:marLeft w:val="0"/>
      <w:marRight w:val="0"/>
      <w:marTop w:val="0"/>
      <w:marBottom w:val="0"/>
      <w:divBdr>
        <w:top w:val="none" w:sz="0" w:space="0" w:color="auto"/>
        <w:left w:val="none" w:sz="0" w:space="0" w:color="auto"/>
        <w:bottom w:val="none" w:sz="0" w:space="0" w:color="auto"/>
        <w:right w:val="none" w:sz="0" w:space="0" w:color="auto"/>
      </w:divBdr>
    </w:div>
    <w:div w:id="1656377637">
      <w:bodyDiv w:val="1"/>
      <w:marLeft w:val="0"/>
      <w:marRight w:val="0"/>
      <w:marTop w:val="0"/>
      <w:marBottom w:val="0"/>
      <w:divBdr>
        <w:top w:val="none" w:sz="0" w:space="0" w:color="auto"/>
        <w:left w:val="none" w:sz="0" w:space="0" w:color="auto"/>
        <w:bottom w:val="none" w:sz="0" w:space="0" w:color="auto"/>
        <w:right w:val="none" w:sz="0" w:space="0" w:color="auto"/>
      </w:divBdr>
    </w:div>
    <w:div w:id="1656445960">
      <w:bodyDiv w:val="1"/>
      <w:marLeft w:val="0"/>
      <w:marRight w:val="0"/>
      <w:marTop w:val="0"/>
      <w:marBottom w:val="0"/>
      <w:divBdr>
        <w:top w:val="none" w:sz="0" w:space="0" w:color="auto"/>
        <w:left w:val="none" w:sz="0" w:space="0" w:color="auto"/>
        <w:bottom w:val="none" w:sz="0" w:space="0" w:color="auto"/>
        <w:right w:val="none" w:sz="0" w:space="0" w:color="auto"/>
      </w:divBdr>
    </w:div>
    <w:div w:id="1656451032">
      <w:bodyDiv w:val="1"/>
      <w:marLeft w:val="0"/>
      <w:marRight w:val="0"/>
      <w:marTop w:val="0"/>
      <w:marBottom w:val="0"/>
      <w:divBdr>
        <w:top w:val="none" w:sz="0" w:space="0" w:color="auto"/>
        <w:left w:val="none" w:sz="0" w:space="0" w:color="auto"/>
        <w:bottom w:val="none" w:sz="0" w:space="0" w:color="auto"/>
        <w:right w:val="none" w:sz="0" w:space="0" w:color="auto"/>
      </w:divBdr>
    </w:div>
    <w:div w:id="1656451666">
      <w:bodyDiv w:val="1"/>
      <w:marLeft w:val="0"/>
      <w:marRight w:val="0"/>
      <w:marTop w:val="0"/>
      <w:marBottom w:val="0"/>
      <w:divBdr>
        <w:top w:val="none" w:sz="0" w:space="0" w:color="auto"/>
        <w:left w:val="none" w:sz="0" w:space="0" w:color="auto"/>
        <w:bottom w:val="none" w:sz="0" w:space="0" w:color="auto"/>
        <w:right w:val="none" w:sz="0" w:space="0" w:color="auto"/>
      </w:divBdr>
    </w:div>
    <w:div w:id="1656495294">
      <w:bodyDiv w:val="1"/>
      <w:marLeft w:val="0"/>
      <w:marRight w:val="0"/>
      <w:marTop w:val="0"/>
      <w:marBottom w:val="0"/>
      <w:divBdr>
        <w:top w:val="none" w:sz="0" w:space="0" w:color="auto"/>
        <w:left w:val="none" w:sz="0" w:space="0" w:color="auto"/>
        <w:bottom w:val="none" w:sz="0" w:space="0" w:color="auto"/>
        <w:right w:val="none" w:sz="0" w:space="0" w:color="auto"/>
      </w:divBdr>
    </w:div>
    <w:div w:id="1656564762">
      <w:bodyDiv w:val="1"/>
      <w:marLeft w:val="0"/>
      <w:marRight w:val="0"/>
      <w:marTop w:val="0"/>
      <w:marBottom w:val="0"/>
      <w:divBdr>
        <w:top w:val="none" w:sz="0" w:space="0" w:color="auto"/>
        <w:left w:val="none" w:sz="0" w:space="0" w:color="auto"/>
        <w:bottom w:val="none" w:sz="0" w:space="0" w:color="auto"/>
        <w:right w:val="none" w:sz="0" w:space="0" w:color="auto"/>
      </w:divBdr>
    </w:div>
    <w:div w:id="1656642642">
      <w:bodyDiv w:val="1"/>
      <w:marLeft w:val="0"/>
      <w:marRight w:val="0"/>
      <w:marTop w:val="0"/>
      <w:marBottom w:val="0"/>
      <w:divBdr>
        <w:top w:val="none" w:sz="0" w:space="0" w:color="auto"/>
        <w:left w:val="none" w:sz="0" w:space="0" w:color="auto"/>
        <w:bottom w:val="none" w:sz="0" w:space="0" w:color="auto"/>
        <w:right w:val="none" w:sz="0" w:space="0" w:color="auto"/>
      </w:divBdr>
    </w:div>
    <w:div w:id="1656643065">
      <w:bodyDiv w:val="1"/>
      <w:marLeft w:val="0"/>
      <w:marRight w:val="0"/>
      <w:marTop w:val="0"/>
      <w:marBottom w:val="0"/>
      <w:divBdr>
        <w:top w:val="none" w:sz="0" w:space="0" w:color="auto"/>
        <w:left w:val="none" w:sz="0" w:space="0" w:color="auto"/>
        <w:bottom w:val="none" w:sz="0" w:space="0" w:color="auto"/>
        <w:right w:val="none" w:sz="0" w:space="0" w:color="auto"/>
      </w:divBdr>
    </w:div>
    <w:div w:id="1656643350">
      <w:bodyDiv w:val="1"/>
      <w:marLeft w:val="0"/>
      <w:marRight w:val="0"/>
      <w:marTop w:val="0"/>
      <w:marBottom w:val="0"/>
      <w:divBdr>
        <w:top w:val="none" w:sz="0" w:space="0" w:color="auto"/>
        <w:left w:val="none" w:sz="0" w:space="0" w:color="auto"/>
        <w:bottom w:val="none" w:sz="0" w:space="0" w:color="auto"/>
        <w:right w:val="none" w:sz="0" w:space="0" w:color="auto"/>
      </w:divBdr>
    </w:div>
    <w:div w:id="1656715046">
      <w:bodyDiv w:val="1"/>
      <w:marLeft w:val="0"/>
      <w:marRight w:val="0"/>
      <w:marTop w:val="0"/>
      <w:marBottom w:val="0"/>
      <w:divBdr>
        <w:top w:val="none" w:sz="0" w:space="0" w:color="auto"/>
        <w:left w:val="none" w:sz="0" w:space="0" w:color="auto"/>
        <w:bottom w:val="none" w:sz="0" w:space="0" w:color="auto"/>
        <w:right w:val="none" w:sz="0" w:space="0" w:color="auto"/>
      </w:divBdr>
    </w:div>
    <w:div w:id="1656764555">
      <w:bodyDiv w:val="1"/>
      <w:marLeft w:val="0"/>
      <w:marRight w:val="0"/>
      <w:marTop w:val="0"/>
      <w:marBottom w:val="0"/>
      <w:divBdr>
        <w:top w:val="none" w:sz="0" w:space="0" w:color="auto"/>
        <w:left w:val="none" w:sz="0" w:space="0" w:color="auto"/>
        <w:bottom w:val="none" w:sz="0" w:space="0" w:color="auto"/>
        <w:right w:val="none" w:sz="0" w:space="0" w:color="auto"/>
      </w:divBdr>
    </w:div>
    <w:div w:id="1656833977">
      <w:bodyDiv w:val="1"/>
      <w:marLeft w:val="0"/>
      <w:marRight w:val="0"/>
      <w:marTop w:val="0"/>
      <w:marBottom w:val="0"/>
      <w:divBdr>
        <w:top w:val="none" w:sz="0" w:space="0" w:color="auto"/>
        <w:left w:val="none" w:sz="0" w:space="0" w:color="auto"/>
        <w:bottom w:val="none" w:sz="0" w:space="0" w:color="auto"/>
        <w:right w:val="none" w:sz="0" w:space="0" w:color="auto"/>
      </w:divBdr>
    </w:div>
    <w:div w:id="1656950641">
      <w:bodyDiv w:val="1"/>
      <w:marLeft w:val="0"/>
      <w:marRight w:val="0"/>
      <w:marTop w:val="0"/>
      <w:marBottom w:val="0"/>
      <w:divBdr>
        <w:top w:val="none" w:sz="0" w:space="0" w:color="auto"/>
        <w:left w:val="none" w:sz="0" w:space="0" w:color="auto"/>
        <w:bottom w:val="none" w:sz="0" w:space="0" w:color="auto"/>
        <w:right w:val="none" w:sz="0" w:space="0" w:color="auto"/>
      </w:divBdr>
    </w:div>
    <w:div w:id="1657149487">
      <w:bodyDiv w:val="1"/>
      <w:marLeft w:val="0"/>
      <w:marRight w:val="0"/>
      <w:marTop w:val="0"/>
      <w:marBottom w:val="0"/>
      <w:divBdr>
        <w:top w:val="none" w:sz="0" w:space="0" w:color="auto"/>
        <w:left w:val="none" w:sz="0" w:space="0" w:color="auto"/>
        <w:bottom w:val="none" w:sz="0" w:space="0" w:color="auto"/>
        <w:right w:val="none" w:sz="0" w:space="0" w:color="auto"/>
      </w:divBdr>
    </w:div>
    <w:div w:id="1657225373">
      <w:bodyDiv w:val="1"/>
      <w:marLeft w:val="0"/>
      <w:marRight w:val="0"/>
      <w:marTop w:val="0"/>
      <w:marBottom w:val="0"/>
      <w:divBdr>
        <w:top w:val="none" w:sz="0" w:space="0" w:color="auto"/>
        <w:left w:val="none" w:sz="0" w:space="0" w:color="auto"/>
        <w:bottom w:val="none" w:sz="0" w:space="0" w:color="auto"/>
        <w:right w:val="none" w:sz="0" w:space="0" w:color="auto"/>
      </w:divBdr>
    </w:div>
    <w:div w:id="1657296621">
      <w:bodyDiv w:val="1"/>
      <w:marLeft w:val="0"/>
      <w:marRight w:val="0"/>
      <w:marTop w:val="0"/>
      <w:marBottom w:val="0"/>
      <w:divBdr>
        <w:top w:val="none" w:sz="0" w:space="0" w:color="auto"/>
        <w:left w:val="none" w:sz="0" w:space="0" w:color="auto"/>
        <w:bottom w:val="none" w:sz="0" w:space="0" w:color="auto"/>
        <w:right w:val="none" w:sz="0" w:space="0" w:color="auto"/>
      </w:divBdr>
    </w:div>
    <w:div w:id="1657341864">
      <w:bodyDiv w:val="1"/>
      <w:marLeft w:val="0"/>
      <w:marRight w:val="0"/>
      <w:marTop w:val="0"/>
      <w:marBottom w:val="0"/>
      <w:divBdr>
        <w:top w:val="none" w:sz="0" w:space="0" w:color="auto"/>
        <w:left w:val="none" w:sz="0" w:space="0" w:color="auto"/>
        <w:bottom w:val="none" w:sz="0" w:space="0" w:color="auto"/>
        <w:right w:val="none" w:sz="0" w:space="0" w:color="auto"/>
      </w:divBdr>
    </w:div>
    <w:div w:id="1657344007">
      <w:bodyDiv w:val="1"/>
      <w:marLeft w:val="0"/>
      <w:marRight w:val="0"/>
      <w:marTop w:val="0"/>
      <w:marBottom w:val="0"/>
      <w:divBdr>
        <w:top w:val="none" w:sz="0" w:space="0" w:color="auto"/>
        <w:left w:val="none" w:sz="0" w:space="0" w:color="auto"/>
        <w:bottom w:val="none" w:sz="0" w:space="0" w:color="auto"/>
        <w:right w:val="none" w:sz="0" w:space="0" w:color="auto"/>
      </w:divBdr>
    </w:div>
    <w:div w:id="1657369121">
      <w:bodyDiv w:val="1"/>
      <w:marLeft w:val="0"/>
      <w:marRight w:val="0"/>
      <w:marTop w:val="0"/>
      <w:marBottom w:val="0"/>
      <w:divBdr>
        <w:top w:val="none" w:sz="0" w:space="0" w:color="auto"/>
        <w:left w:val="none" w:sz="0" w:space="0" w:color="auto"/>
        <w:bottom w:val="none" w:sz="0" w:space="0" w:color="auto"/>
        <w:right w:val="none" w:sz="0" w:space="0" w:color="auto"/>
      </w:divBdr>
    </w:div>
    <w:div w:id="1657418396">
      <w:bodyDiv w:val="1"/>
      <w:marLeft w:val="0"/>
      <w:marRight w:val="0"/>
      <w:marTop w:val="0"/>
      <w:marBottom w:val="0"/>
      <w:divBdr>
        <w:top w:val="none" w:sz="0" w:space="0" w:color="auto"/>
        <w:left w:val="none" w:sz="0" w:space="0" w:color="auto"/>
        <w:bottom w:val="none" w:sz="0" w:space="0" w:color="auto"/>
        <w:right w:val="none" w:sz="0" w:space="0" w:color="auto"/>
      </w:divBdr>
    </w:div>
    <w:div w:id="1657493146">
      <w:bodyDiv w:val="1"/>
      <w:marLeft w:val="0"/>
      <w:marRight w:val="0"/>
      <w:marTop w:val="0"/>
      <w:marBottom w:val="0"/>
      <w:divBdr>
        <w:top w:val="none" w:sz="0" w:space="0" w:color="auto"/>
        <w:left w:val="none" w:sz="0" w:space="0" w:color="auto"/>
        <w:bottom w:val="none" w:sz="0" w:space="0" w:color="auto"/>
        <w:right w:val="none" w:sz="0" w:space="0" w:color="auto"/>
      </w:divBdr>
    </w:div>
    <w:div w:id="1657494085">
      <w:bodyDiv w:val="1"/>
      <w:marLeft w:val="0"/>
      <w:marRight w:val="0"/>
      <w:marTop w:val="0"/>
      <w:marBottom w:val="0"/>
      <w:divBdr>
        <w:top w:val="none" w:sz="0" w:space="0" w:color="auto"/>
        <w:left w:val="none" w:sz="0" w:space="0" w:color="auto"/>
        <w:bottom w:val="none" w:sz="0" w:space="0" w:color="auto"/>
        <w:right w:val="none" w:sz="0" w:space="0" w:color="auto"/>
      </w:divBdr>
    </w:div>
    <w:div w:id="1657564251">
      <w:bodyDiv w:val="1"/>
      <w:marLeft w:val="0"/>
      <w:marRight w:val="0"/>
      <w:marTop w:val="0"/>
      <w:marBottom w:val="0"/>
      <w:divBdr>
        <w:top w:val="none" w:sz="0" w:space="0" w:color="auto"/>
        <w:left w:val="none" w:sz="0" w:space="0" w:color="auto"/>
        <w:bottom w:val="none" w:sz="0" w:space="0" w:color="auto"/>
        <w:right w:val="none" w:sz="0" w:space="0" w:color="auto"/>
      </w:divBdr>
    </w:div>
    <w:div w:id="1657605698">
      <w:bodyDiv w:val="1"/>
      <w:marLeft w:val="0"/>
      <w:marRight w:val="0"/>
      <w:marTop w:val="0"/>
      <w:marBottom w:val="0"/>
      <w:divBdr>
        <w:top w:val="none" w:sz="0" w:space="0" w:color="auto"/>
        <w:left w:val="none" w:sz="0" w:space="0" w:color="auto"/>
        <w:bottom w:val="none" w:sz="0" w:space="0" w:color="auto"/>
        <w:right w:val="none" w:sz="0" w:space="0" w:color="auto"/>
      </w:divBdr>
    </w:div>
    <w:div w:id="1657803020">
      <w:bodyDiv w:val="1"/>
      <w:marLeft w:val="0"/>
      <w:marRight w:val="0"/>
      <w:marTop w:val="0"/>
      <w:marBottom w:val="0"/>
      <w:divBdr>
        <w:top w:val="none" w:sz="0" w:space="0" w:color="auto"/>
        <w:left w:val="none" w:sz="0" w:space="0" w:color="auto"/>
        <w:bottom w:val="none" w:sz="0" w:space="0" w:color="auto"/>
        <w:right w:val="none" w:sz="0" w:space="0" w:color="auto"/>
      </w:divBdr>
    </w:div>
    <w:div w:id="1657875659">
      <w:bodyDiv w:val="1"/>
      <w:marLeft w:val="0"/>
      <w:marRight w:val="0"/>
      <w:marTop w:val="0"/>
      <w:marBottom w:val="0"/>
      <w:divBdr>
        <w:top w:val="none" w:sz="0" w:space="0" w:color="auto"/>
        <w:left w:val="none" w:sz="0" w:space="0" w:color="auto"/>
        <w:bottom w:val="none" w:sz="0" w:space="0" w:color="auto"/>
        <w:right w:val="none" w:sz="0" w:space="0" w:color="auto"/>
      </w:divBdr>
    </w:div>
    <w:div w:id="1658151891">
      <w:bodyDiv w:val="1"/>
      <w:marLeft w:val="0"/>
      <w:marRight w:val="0"/>
      <w:marTop w:val="0"/>
      <w:marBottom w:val="0"/>
      <w:divBdr>
        <w:top w:val="none" w:sz="0" w:space="0" w:color="auto"/>
        <w:left w:val="none" w:sz="0" w:space="0" w:color="auto"/>
        <w:bottom w:val="none" w:sz="0" w:space="0" w:color="auto"/>
        <w:right w:val="none" w:sz="0" w:space="0" w:color="auto"/>
      </w:divBdr>
    </w:div>
    <w:div w:id="1658261931">
      <w:bodyDiv w:val="1"/>
      <w:marLeft w:val="0"/>
      <w:marRight w:val="0"/>
      <w:marTop w:val="0"/>
      <w:marBottom w:val="0"/>
      <w:divBdr>
        <w:top w:val="none" w:sz="0" w:space="0" w:color="auto"/>
        <w:left w:val="none" w:sz="0" w:space="0" w:color="auto"/>
        <w:bottom w:val="none" w:sz="0" w:space="0" w:color="auto"/>
        <w:right w:val="none" w:sz="0" w:space="0" w:color="auto"/>
      </w:divBdr>
    </w:div>
    <w:div w:id="1658265126">
      <w:bodyDiv w:val="1"/>
      <w:marLeft w:val="0"/>
      <w:marRight w:val="0"/>
      <w:marTop w:val="0"/>
      <w:marBottom w:val="0"/>
      <w:divBdr>
        <w:top w:val="none" w:sz="0" w:space="0" w:color="auto"/>
        <w:left w:val="none" w:sz="0" w:space="0" w:color="auto"/>
        <w:bottom w:val="none" w:sz="0" w:space="0" w:color="auto"/>
        <w:right w:val="none" w:sz="0" w:space="0" w:color="auto"/>
      </w:divBdr>
    </w:div>
    <w:div w:id="1658336202">
      <w:bodyDiv w:val="1"/>
      <w:marLeft w:val="0"/>
      <w:marRight w:val="0"/>
      <w:marTop w:val="0"/>
      <w:marBottom w:val="0"/>
      <w:divBdr>
        <w:top w:val="none" w:sz="0" w:space="0" w:color="auto"/>
        <w:left w:val="none" w:sz="0" w:space="0" w:color="auto"/>
        <w:bottom w:val="none" w:sz="0" w:space="0" w:color="auto"/>
        <w:right w:val="none" w:sz="0" w:space="0" w:color="auto"/>
      </w:divBdr>
    </w:div>
    <w:div w:id="1658455754">
      <w:bodyDiv w:val="1"/>
      <w:marLeft w:val="0"/>
      <w:marRight w:val="0"/>
      <w:marTop w:val="0"/>
      <w:marBottom w:val="0"/>
      <w:divBdr>
        <w:top w:val="none" w:sz="0" w:space="0" w:color="auto"/>
        <w:left w:val="none" w:sz="0" w:space="0" w:color="auto"/>
        <w:bottom w:val="none" w:sz="0" w:space="0" w:color="auto"/>
        <w:right w:val="none" w:sz="0" w:space="0" w:color="auto"/>
      </w:divBdr>
    </w:div>
    <w:div w:id="1658486775">
      <w:bodyDiv w:val="1"/>
      <w:marLeft w:val="0"/>
      <w:marRight w:val="0"/>
      <w:marTop w:val="0"/>
      <w:marBottom w:val="0"/>
      <w:divBdr>
        <w:top w:val="none" w:sz="0" w:space="0" w:color="auto"/>
        <w:left w:val="none" w:sz="0" w:space="0" w:color="auto"/>
        <w:bottom w:val="none" w:sz="0" w:space="0" w:color="auto"/>
        <w:right w:val="none" w:sz="0" w:space="0" w:color="auto"/>
      </w:divBdr>
    </w:div>
    <w:div w:id="1658608634">
      <w:bodyDiv w:val="1"/>
      <w:marLeft w:val="0"/>
      <w:marRight w:val="0"/>
      <w:marTop w:val="0"/>
      <w:marBottom w:val="0"/>
      <w:divBdr>
        <w:top w:val="none" w:sz="0" w:space="0" w:color="auto"/>
        <w:left w:val="none" w:sz="0" w:space="0" w:color="auto"/>
        <w:bottom w:val="none" w:sz="0" w:space="0" w:color="auto"/>
        <w:right w:val="none" w:sz="0" w:space="0" w:color="auto"/>
      </w:divBdr>
    </w:div>
    <w:div w:id="1658656362">
      <w:bodyDiv w:val="1"/>
      <w:marLeft w:val="0"/>
      <w:marRight w:val="0"/>
      <w:marTop w:val="0"/>
      <w:marBottom w:val="0"/>
      <w:divBdr>
        <w:top w:val="none" w:sz="0" w:space="0" w:color="auto"/>
        <w:left w:val="none" w:sz="0" w:space="0" w:color="auto"/>
        <w:bottom w:val="none" w:sz="0" w:space="0" w:color="auto"/>
        <w:right w:val="none" w:sz="0" w:space="0" w:color="auto"/>
      </w:divBdr>
    </w:div>
    <w:div w:id="1658680227">
      <w:bodyDiv w:val="1"/>
      <w:marLeft w:val="0"/>
      <w:marRight w:val="0"/>
      <w:marTop w:val="0"/>
      <w:marBottom w:val="0"/>
      <w:divBdr>
        <w:top w:val="none" w:sz="0" w:space="0" w:color="auto"/>
        <w:left w:val="none" w:sz="0" w:space="0" w:color="auto"/>
        <w:bottom w:val="none" w:sz="0" w:space="0" w:color="auto"/>
        <w:right w:val="none" w:sz="0" w:space="0" w:color="auto"/>
      </w:divBdr>
    </w:div>
    <w:div w:id="1658727857">
      <w:bodyDiv w:val="1"/>
      <w:marLeft w:val="0"/>
      <w:marRight w:val="0"/>
      <w:marTop w:val="0"/>
      <w:marBottom w:val="0"/>
      <w:divBdr>
        <w:top w:val="none" w:sz="0" w:space="0" w:color="auto"/>
        <w:left w:val="none" w:sz="0" w:space="0" w:color="auto"/>
        <w:bottom w:val="none" w:sz="0" w:space="0" w:color="auto"/>
        <w:right w:val="none" w:sz="0" w:space="0" w:color="auto"/>
      </w:divBdr>
    </w:div>
    <w:div w:id="1658879433">
      <w:bodyDiv w:val="1"/>
      <w:marLeft w:val="0"/>
      <w:marRight w:val="0"/>
      <w:marTop w:val="0"/>
      <w:marBottom w:val="0"/>
      <w:divBdr>
        <w:top w:val="none" w:sz="0" w:space="0" w:color="auto"/>
        <w:left w:val="none" w:sz="0" w:space="0" w:color="auto"/>
        <w:bottom w:val="none" w:sz="0" w:space="0" w:color="auto"/>
        <w:right w:val="none" w:sz="0" w:space="0" w:color="auto"/>
      </w:divBdr>
    </w:div>
    <w:div w:id="1658993292">
      <w:bodyDiv w:val="1"/>
      <w:marLeft w:val="0"/>
      <w:marRight w:val="0"/>
      <w:marTop w:val="0"/>
      <w:marBottom w:val="0"/>
      <w:divBdr>
        <w:top w:val="none" w:sz="0" w:space="0" w:color="auto"/>
        <w:left w:val="none" w:sz="0" w:space="0" w:color="auto"/>
        <w:bottom w:val="none" w:sz="0" w:space="0" w:color="auto"/>
        <w:right w:val="none" w:sz="0" w:space="0" w:color="auto"/>
      </w:divBdr>
    </w:div>
    <w:div w:id="1659113658">
      <w:bodyDiv w:val="1"/>
      <w:marLeft w:val="0"/>
      <w:marRight w:val="0"/>
      <w:marTop w:val="0"/>
      <w:marBottom w:val="0"/>
      <w:divBdr>
        <w:top w:val="none" w:sz="0" w:space="0" w:color="auto"/>
        <w:left w:val="none" w:sz="0" w:space="0" w:color="auto"/>
        <w:bottom w:val="none" w:sz="0" w:space="0" w:color="auto"/>
        <w:right w:val="none" w:sz="0" w:space="0" w:color="auto"/>
      </w:divBdr>
    </w:div>
    <w:div w:id="1659186281">
      <w:bodyDiv w:val="1"/>
      <w:marLeft w:val="0"/>
      <w:marRight w:val="0"/>
      <w:marTop w:val="0"/>
      <w:marBottom w:val="0"/>
      <w:divBdr>
        <w:top w:val="none" w:sz="0" w:space="0" w:color="auto"/>
        <w:left w:val="none" w:sz="0" w:space="0" w:color="auto"/>
        <w:bottom w:val="none" w:sz="0" w:space="0" w:color="auto"/>
        <w:right w:val="none" w:sz="0" w:space="0" w:color="auto"/>
      </w:divBdr>
    </w:div>
    <w:div w:id="1659187941">
      <w:bodyDiv w:val="1"/>
      <w:marLeft w:val="0"/>
      <w:marRight w:val="0"/>
      <w:marTop w:val="0"/>
      <w:marBottom w:val="0"/>
      <w:divBdr>
        <w:top w:val="none" w:sz="0" w:space="0" w:color="auto"/>
        <w:left w:val="none" w:sz="0" w:space="0" w:color="auto"/>
        <w:bottom w:val="none" w:sz="0" w:space="0" w:color="auto"/>
        <w:right w:val="none" w:sz="0" w:space="0" w:color="auto"/>
      </w:divBdr>
    </w:div>
    <w:div w:id="1659188208">
      <w:bodyDiv w:val="1"/>
      <w:marLeft w:val="0"/>
      <w:marRight w:val="0"/>
      <w:marTop w:val="0"/>
      <w:marBottom w:val="0"/>
      <w:divBdr>
        <w:top w:val="none" w:sz="0" w:space="0" w:color="auto"/>
        <w:left w:val="none" w:sz="0" w:space="0" w:color="auto"/>
        <w:bottom w:val="none" w:sz="0" w:space="0" w:color="auto"/>
        <w:right w:val="none" w:sz="0" w:space="0" w:color="auto"/>
      </w:divBdr>
    </w:div>
    <w:div w:id="1659338486">
      <w:bodyDiv w:val="1"/>
      <w:marLeft w:val="0"/>
      <w:marRight w:val="0"/>
      <w:marTop w:val="0"/>
      <w:marBottom w:val="0"/>
      <w:divBdr>
        <w:top w:val="none" w:sz="0" w:space="0" w:color="auto"/>
        <w:left w:val="none" w:sz="0" w:space="0" w:color="auto"/>
        <w:bottom w:val="none" w:sz="0" w:space="0" w:color="auto"/>
        <w:right w:val="none" w:sz="0" w:space="0" w:color="auto"/>
      </w:divBdr>
    </w:div>
    <w:div w:id="1659381066">
      <w:bodyDiv w:val="1"/>
      <w:marLeft w:val="0"/>
      <w:marRight w:val="0"/>
      <w:marTop w:val="0"/>
      <w:marBottom w:val="0"/>
      <w:divBdr>
        <w:top w:val="none" w:sz="0" w:space="0" w:color="auto"/>
        <w:left w:val="none" w:sz="0" w:space="0" w:color="auto"/>
        <w:bottom w:val="none" w:sz="0" w:space="0" w:color="auto"/>
        <w:right w:val="none" w:sz="0" w:space="0" w:color="auto"/>
      </w:divBdr>
    </w:div>
    <w:div w:id="1659385190">
      <w:bodyDiv w:val="1"/>
      <w:marLeft w:val="0"/>
      <w:marRight w:val="0"/>
      <w:marTop w:val="0"/>
      <w:marBottom w:val="0"/>
      <w:divBdr>
        <w:top w:val="none" w:sz="0" w:space="0" w:color="auto"/>
        <w:left w:val="none" w:sz="0" w:space="0" w:color="auto"/>
        <w:bottom w:val="none" w:sz="0" w:space="0" w:color="auto"/>
        <w:right w:val="none" w:sz="0" w:space="0" w:color="auto"/>
      </w:divBdr>
    </w:div>
    <w:div w:id="1659454378">
      <w:bodyDiv w:val="1"/>
      <w:marLeft w:val="0"/>
      <w:marRight w:val="0"/>
      <w:marTop w:val="0"/>
      <w:marBottom w:val="0"/>
      <w:divBdr>
        <w:top w:val="none" w:sz="0" w:space="0" w:color="auto"/>
        <w:left w:val="none" w:sz="0" w:space="0" w:color="auto"/>
        <w:bottom w:val="none" w:sz="0" w:space="0" w:color="auto"/>
        <w:right w:val="none" w:sz="0" w:space="0" w:color="auto"/>
      </w:divBdr>
    </w:div>
    <w:div w:id="1659504081">
      <w:bodyDiv w:val="1"/>
      <w:marLeft w:val="0"/>
      <w:marRight w:val="0"/>
      <w:marTop w:val="0"/>
      <w:marBottom w:val="0"/>
      <w:divBdr>
        <w:top w:val="none" w:sz="0" w:space="0" w:color="auto"/>
        <w:left w:val="none" w:sz="0" w:space="0" w:color="auto"/>
        <w:bottom w:val="none" w:sz="0" w:space="0" w:color="auto"/>
        <w:right w:val="none" w:sz="0" w:space="0" w:color="auto"/>
      </w:divBdr>
    </w:div>
    <w:div w:id="1659578147">
      <w:bodyDiv w:val="1"/>
      <w:marLeft w:val="0"/>
      <w:marRight w:val="0"/>
      <w:marTop w:val="0"/>
      <w:marBottom w:val="0"/>
      <w:divBdr>
        <w:top w:val="none" w:sz="0" w:space="0" w:color="auto"/>
        <w:left w:val="none" w:sz="0" w:space="0" w:color="auto"/>
        <w:bottom w:val="none" w:sz="0" w:space="0" w:color="auto"/>
        <w:right w:val="none" w:sz="0" w:space="0" w:color="auto"/>
      </w:divBdr>
    </w:div>
    <w:div w:id="1659646917">
      <w:bodyDiv w:val="1"/>
      <w:marLeft w:val="0"/>
      <w:marRight w:val="0"/>
      <w:marTop w:val="0"/>
      <w:marBottom w:val="0"/>
      <w:divBdr>
        <w:top w:val="none" w:sz="0" w:space="0" w:color="auto"/>
        <w:left w:val="none" w:sz="0" w:space="0" w:color="auto"/>
        <w:bottom w:val="none" w:sz="0" w:space="0" w:color="auto"/>
        <w:right w:val="none" w:sz="0" w:space="0" w:color="auto"/>
      </w:divBdr>
    </w:div>
    <w:div w:id="1659655818">
      <w:bodyDiv w:val="1"/>
      <w:marLeft w:val="0"/>
      <w:marRight w:val="0"/>
      <w:marTop w:val="0"/>
      <w:marBottom w:val="0"/>
      <w:divBdr>
        <w:top w:val="none" w:sz="0" w:space="0" w:color="auto"/>
        <w:left w:val="none" w:sz="0" w:space="0" w:color="auto"/>
        <w:bottom w:val="none" w:sz="0" w:space="0" w:color="auto"/>
        <w:right w:val="none" w:sz="0" w:space="0" w:color="auto"/>
      </w:divBdr>
    </w:div>
    <w:div w:id="1659766545">
      <w:bodyDiv w:val="1"/>
      <w:marLeft w:val="0"/>
      <w:marRight w:val="0"/>
      <w:marTop w:val="0"/>
      <w:marBottom w:val="0"/>
      <w:divBdr>
        <w:top w:val="none" w:sz="0" w:space="0" w:color="auto"/>
        <w:left w:val="none" w:sz="0" w:space="0" w:color="auto"/>
        <w:bottom w:val="none" w:sz="0" w:space="0" w:color="auto"/>
        <w:right w:val="none" w:sz="0" w:space="0" w:color="auto"/>
      </w:divBdr>
    </w:div>
    <w:div w:id="1659771166">
      <w:bodyDiv w:val="1"/>
      <w:marLeft w:val="0"/>
      <w:marRight w:val="0"/>
      <w:marTop w:val="0"/>
      <w:marBottom w:val="0"/>
      <w:divBdr>
        <w:top w:val="none" w:sz="0" w:space="0" w:color="auto"/>
        <w:left w:val="none" w:sz="0" w:space="0" w:color="auto"/>
        <w:bottom w:val="none" w:sz="0" w:space="0" w:color="auto"/>
        <w:right w:val="none" w:sz="0" w:space="0" w:color="auto"/>
      </w:divBdr>
    </w:div>
    <w:div w:id="1659771733">
      <w:bodyDiv w:val="1"/>
      <w:marLeft w:val="0"/>
      <w:marRight w:val="0"/>
      <w:marTop w:val="0"/>
      <w:marBottom w:val="0"/>
      <w:divBdr>
        <w:top w:val="none" w:sz="0" w:space="0" w:color="auto"/>
        <w:left w:val="none" w:sz="0" w:space="0" w:color="auto"/>
        <w:bottom w:val="none" w:sz="0" w:space="0" w:color="auto"/>
        <w:right w:val="none" w:sz="0" w:space="0" w:color="auto"/>
      </w:divBdr>
    </w:div>
    <w:div w:id="1659839560">
      <w:bodyDiv w:val="1"/>
      <w:marLeft w:val="0"/>
      <w:marRight w:val="0"/>
      <w:marTop w:val="0"/>
      <w:marBottom w:val="0"/>
      <w:divBdr>
        <w:top w:val="none" w:sz="0" w:space="0" w:color="auto"/>
        <w:left w:val="none" w:sz="0" w:space="0" w:color="auto"/>
        <w:bottom w:val="none" w:sz="0" w:space="0" w:color="auto"/>
        <w:right w:val="none" w:sz="0" w:space="0" w:color="auto"/>
      </w:divBdr>
    </w:div>
    <w:div w:id="1659840876">
      <w:bodyDiv w:val="1"/>
      <w:marLeft w:val="0"/>
      <w:marRight w:val="0"/>
      <w:marTop w:val="0"/>
      <w:marBottom w:val="0"/>
      <w:divBdr>
        <w:top w:val="none" w:sz="0" w:space="0" w:color="auto"/>
        <w:left w:val="none" w:sz="0" w:space="0" w:color="auto"/>
        <w:bottom w:val="none" w:sz="0" w:space="0" w:color="auto"/>
        <w:right w:val="none" w:sz="0" w:space="0" w:color="auto"/>
      </w:divBdr>
    </w:div>
    <w:div w:id="1659844488">
      <w:bodyDiv w:val="1"/>
      <w:marLeft w:val="0"/>
      <w:marRight w:val="0"/>
      <w:marTop w:val="0"/>
      <w:marBottom w:val="0"/>
      <w:divBdr>
        <w:top w:val="none" w:sz="0" w:space="0" w:color="auto"/>
        <w:left w:val="none" w:sz="0" w:space="0" w:color="auto"/>
        <w:bottom w:val="none" w:sz="0" w:space="0" w:color="auto"/>
        <w:right w:val="none" w:sz="0" w:space="0" w:color="auto"/>
      </w:divBdr>
    </w:div>
    <w:div w:id="1659848931">
      <w:bodyDiv w:val="1"/>
      <w:marLeft w:val="0"/>
      <w:marRight w:val="0"/>
      <w:marTop w:val="0"/>
      <w:marBottom w:val="0"/>
      <w:divBdr>
        <w:top w:val="none" w:sz="0" w:space="0" w:color="auto"/>
        <w:left w:val="none" w:sz="0" w:space="0" w:color="auto"/>
        <w:bottom w:val="none" w:sz="0" w:space="0" w:color="auto"/>
        <w:right w:val="none" w:sz="0" w:space="0" w:color="auto"/>
      </w:divBdr>
    </w:div>
    <w:div w:id="1659966584">
      <w:bodyDiv w:val="1"/>
      <w:marLeft w:val="0"/>
      <w:marRight w:val="0"/>
      <w:marTop w:val="0"/>
      <w:marBottom w:val="0"/>
      <w:divBdr>
        <w:top w:val="none" w:sz="0" w:space="0" w:color="auto"/>
        <w:left w:val="none" w:sz="0" w:space="0" w:color="auto"/>
        <w:bottom w:val="none" w:sz="0" w:space="0" w:color="auto"/>
        <w:right w:val="none" w:sz="0" w:space="0" w:color="auto"/>
      </w:divBdr>
    </w:div>
    <w:div w:id="1659991851">
      <w:bodyDiv w:val="1"/>
      <w:marLeft w:val="0"/>
      <w:marRight w:val="0"/>
      <w:marTop w:val="0"/>
      <w:marBottom w:val="0"/>
      <w:divBdr>
        <w:top w:val="none" w:sz="0" w:space="0" w:color="auto"/>
        <w:left w:val="none" w:sz="0" w:space="0" w:color="auto"/>
        <w:bottom w:val="none" w:sz="0" w:space="0" w:color="auto"/>
        <w:right w:val="none" w:sz="0" w:space="0" w:color="auto"/>
      </w:divBdr>
    </w:div>
    <w:div w:id="1659992285">
      <w:bodyDiv w:val="1"/>
      <w:marLeft w:val="0"/>
      <w:marRight w:val="0"/>
      <w:marTop w:val="0"/>
      <w:marBottom w:val="0"/>
      <w:divBdr>
        <w:top w:val="none" w:sz="0" w:space="0" w:color="auto"/>
        <w:left w:val="none" w:sz="0" w:space="0" w:color="auto"/>
        <w:bottom w:val="none" w:sz="0" w:space="0" w:color="auto"/>
        <w:right w:val="none" w:sz="0" w:space="0" w:color="auto"/>
      </w:divBdr>
    </w:div>
    <w:div w:id="1660036748">
      <w:bodyDiv w:val="1"/>
      <w:marLeft w:val="0"/>
      <w:marRight w:val="0"/>
      <w:marTop w:val="0"/>
      <w:marBottom w:val="0"/>
      <w:divBdr>
        <w:top w:val="none" w:sz="0" w:space="0" w:color="auto"/>
        <w:left w:val="none" w:sz="0" w:space="0" w:color="auto"/>
        <w:bottom w:val="none" w:sz="0" w:space="0" w:color="auto"/>
        <w:right w:val="none" w:sz="0" w:space="0" w:color="auto"/>
      </w:divBdr>
    </w:div>
    <w:div w:id="1660039681">
      <w:bodyDiv w:val="1"/>
      <w:marLeft w:val="0"/>
      <w:marRight w:val="0"/>
      <w:marTop w:val="0"/>
      <w:marBottom w:val="0"/>
      <w:divBdr>
        <w:top w:val="none" w:sz="0" w:space="0" w:color="auto"/>
        <w:left w:val="none" w:sz="0" w:space="0" w:color="auto"/>
        <w:bottom w:val="none" w:sz="0" w:space="0" w:color="auto"/>
        <w:right w:val="none" w:sz="0" w:space="0" w:color="auto"/>
      </w:divBdr>
    </w:div>
    <w:div w:id="1660185965">
      <w:bodyDiv w:val="1"/>
      <w:marLeft w:val="0"/>
      <w:marRight w:val="0"/>
      <w:marTop w:val="0"/>
      <w:marBottom w:val="0"/>
      <w:divBdr>
        <w:top w:val="none" w:sz="0" w:space="0" w:color="auto"/>
        <w:left w:val="none" w:sz="0" w:space="0" w:color="auto"/>
        <w:bottom w:val="none" w:sz="0" w:space="0" w:color="auto"/>
        <w:right w:val="none" w:sz="0" w:space="0" w:color="auto"/>
      </w:divBdr>
    </w:div>
    <w:div w:id="1660301774">
      <w:bodyDiv w:val="1"/>
      <w:marLeft w:val="0"/>
      <w:marRight w:val="0"/>
      <w:marTop w:val="0"/>
      <w:marBottom w:val="0"/>
      <w:divBdr>
        <w:top w:val="none" w:sz="0" w:space="0" w:color="auto"/>
        <w:left w:val="none" w:sz="0" w:space="0" w:color="auto"/>
        <w:bottom w:val="none" w:sz="0" w:space="0" w:color="auto"/>
        <w:right w:val="none" w:sz="0" w:space="0" w:color="auto"/>
      </w:divBdr>
    </w:div>
    <w:div w:id="1660305103">
      <w:bodyDiv w:val="1"/>
      <w:marLeft w:val="0"/>
      <w:marRight w:val="0"/>
      <w:marTop w:val="0"/>
      <w:marBottom w:val="0"/>
      <w:divBdr>
        <w:top w:val="none" w:sz="0" w:space="0" w:color="auto"/>
        <w:left w:val="none" w:sz="0" w:space="0" w:color="auto"/>
        <w:bottom w:val="none" w:sz="0" w:space="0" w:color="auto"/>
        <w:right w:val="none" w:sz="0" w:space="0" w:color="auto"/>
      </w:divBdr>
    </w:div>
    <w:div w:id="1660310310">
      <w:bodyDiv w:val="1"/>
      <w:marLeft w:val="0"/>
      <w:marRight w:val="0"/>
      <w:marTop w:val="0"/>
      <w:marBottom w:val="0"/>
      <w:divBdr>
        <w:top w:val="none" w:sz="0" w:space="0" w:color="auto"/>
        <w:left w:val="none" w:sz="0" w:space="0" w:color="auto"/>
        <w:bottom w:val="none" w:sz="0" w:space="0" w:color="auto"/>
        <w:right w:val="none" w:sz="0" w:space="0" w:color="auto"/>
      </w:divBdr>
    </w:div>
    <w:div w:id="1660423255">
      <w:bodyDiv w:val="1"/>
      <w:marLeft w:val="0"/>
      <w:marRight w:val="0"/>
      <w:marTop w:val="0"/>
      <w:marBottom w:val="0"/>
      <w:divBdr>
        <w:top w:val="none" w:sz="0" w:space="0" w:color="auto"/>
        <w:left w:val="none" w:sz="0" w:space="0" w:color="auto"/>
        <w:bottom w:val="none" w:sz="0" w:space="0" w:color="auto"/>
        <w:right w:val="none" w:sz="0" w:space="0" w:color="auto"/>
      </w:divBdr>
    </w:div>
    <w:div w:id="1660424020">
      <w:bodyDiv w:val="1"/>
      <w:marLeft w:val="0"/>
      <w:marRight w:val="0"/>
      <w:marTop w:val="0"/>
      <w:marBottom w:val="0"/>
      <w:divBdr>
        <w:top w:val="none" w:sz="0" w:space="0" w:color="auto"/>
        <w:left w:val="none" w:sz="0" w:space="0" w:color="auto"/>
        <w:bottom w:val="none" w:sz="0" w:space="0" w:color="auto"/>
        <w:right w:val="none" w:sz="0" w:space="0" w:color="auto"/>
      </w:divBdr>
    </w:div>
    <w:div w:id="1660500457">
      <w:bodyDiv w:val="1"/>
      <w:marLeft w:val="0"/>
      <w:marRight w:val="0"/>
      <w:marTop w:val="0"/>
      <w:marBottom w:val="0"/>
      <w:divBdr>
        <w:top w:val="none" w:sz="0" w:space="0" w:color="auto"/>
        <w:left w:val="none" w:sz="0" w:space="0" w:color="auto"/>
        <w:bottom w:val="none" w:sz="0" w:space="0" w:color="auto"/>
        <w:right w:val="none" w:sz="0" w:space="0" w:color="auto"/>
      </w:divBdr>
    </w:div>
    <w:div w:id="1660578381">
      <w:bodyDiv w:val="1"/>
      <w:marLeft w:val="0"/>
      <w:marRight w:val="0"/>
      <w:marTop w:val="0"/>
      <w:marBottom w:val="0"/>
      <w:divBdr>
        <w:top w:val="none" w:sz="0" w:space="0" w:color="auto"/>
        <w:left w:val="none" w:sz="0" w:space="0" w:color="auto"/>
        <w:bottom w:val="none" w:sz="0" w:space="0" w:color="auto"/>
        <w:right w:val="none" w:sz="0" w:space="0" w:color="auto"/>
      </w:divBdr>
    </w:div>
    <w:div w:id="1660617682">
      <w:bodyDiv w:val="1"/>
      <w:marLeft w:val="0"/>
      <w:marRight w:val="0"/>
      <w:marTop w:val="0"/>
      <w:marBottom w:val="0"/>
      <w:divBdr>
        <w:top w:val="none" w:sz="0" w:space="0" w:color="auto"/>
        <w:left w:val="none" w:sz="0" w:space="0" w:color="auto"/>
        <w:bottom w:val="none" w:sz="0" w:space="0" w:color="auto"/>
        <w:right w:val="none" w:sz="0" w:space="0" w:color="auto"/>
      </w:divBdr>
    </w:div>
    <w:div w:id="1660689297">
      <w:bodyDiv w:val="1"/>
      <w:marLeft w:val="0"/>
      <w:marRight w:val="0"/>
      <w:marTop w:val="0"/>
      <w:marBottom w:val="0"/>
      <w:divBdr>
        <w:top w:val="none" w:sz="0" w:space="0" w:color="auto"/>
        <w:left w:val="none" w:sz="0" w:space="0" w:color="auto"/>
        <w:bottom w:val="none" w:sz="0" w:space="0" w:color="auto"/>
        <w:right w:val="none" w:sz="0" w:space="0" w:color="auto"/>
      </w:divBdr>
    </w:div>
    <w:div w:id="1660693781">
      <w:bodyDiv w:val="1"/>
      <w:marLeft w:val="0"/>
      <w:marRight w:val="0"/>
      <w:marTop w:val="0"/>
      <w:marBottom w:val="0"/>
      <w:divBdr>
        <w:top w:val="none" w:sz="0" w:space="0" w:color="auto"/>
        <w:left w:val="none" w:sz="0" w:space="0" w:color="auto"/>
        <w:bottom w:val="none" w:sz="0" w:space="0" w:color="auto"/>
        <w:right w:val="none" w:sz="0" w:space="0" w:color="auto"/>
      </w:divBdr>
    </w:div>
    <w:div w:id="1660815411">
      <w:bodyDiv w:val="1"/>
      <w:marLeft w:val="0"/>
      <w:marRight w:val="0"/>
      <w:marTop w:val="0"/>
      <w:marBottom w:val="0"/>
      <w:divBdr>
        <w:top w:val="none" w:sz="0" w:space="0" w:color="auto"/>
        <w:left w:val="none" w:sz="0" w:space="0" w:color="auto"/>
        <w:bottom w:val="none" w:sz="0" w:space="0" w:color="auto"/>
        <w:right w:val="none" w:sz="0" w:space="0" w:color="auto"/>
      </w:divBdr>
    </w:div>
    <w:div w:id="1660838936">
      <w:bodyDiv w:val="1"/>
      <w:marLeft w:val="0"/>
      <w:marRight w:val="0"/>
      <w:marTop w:val="0"/>
      <w:marBottom w:val="0"/>
      <w:divBdr>
        <w:top w:val="none" w:sz="0" w:space="0" w:color="auto"/>
        <w:left w:val="none" w:sz="0" w:space="0" w:color="auto"/>
        <w:bottom w:val="none" w:sz="0" w:space="0" w:color="auto"/>
        <w:right w:val="none" w:sz="0" w:space="0" w:color="auto"/>
      </w:divBdr>
    </w:div>
    <w:div w:id="1660843645">
      <w:bodyDiv w:val="1"/>
      <w:marLeft w:val="0"/>
      <w:marRight w:val="0"/>
      <w:marTop w:val="0"/>
      <w:marBottom w:val="0"/>
      <w:divBdr>
        <w:top w:val="none" w:sz="0" w:space="0" w:color="auto"/>
        <w:left w:val="none" w:sz="0" w:space="0" w:color="auto"/>
        <w:bottom w:val="none" w:sz="0" w:space="0" w:color="auto"/>
        <w:right w:val="none" w:sz="0" w:space="0" w:color="auto"/>
      </w:divBdr>
    </w:div>
    <w:div w:id="1660882750">
      <w:bodyDiv w:val="1"/>
      <w:marLeft w:val="0"/>
      <w:marRight w:val="0"/>
      <w:marTop w:val="0"/>
      <w:marBottom w:val="0"/>
      <w:divBdr>
        <w:top w:val="none" w:sz="0" w:space="0" w:color="auto"/>
        <w:left w:val="none" w:sz="0" w:space="0" w:color="auto"/>
        <w:bottom w:val="none" w:sz="0" w:space="0" w:color="auto"/>
        <w:right w:val="none" w:sz="0" w:space="0" w:color="auto"/>
      </w:divBdr>
    </w:div>
    <w:div w:id="1660890654">
      <w:bodyDiv w:val="1"/>
      <w:marLeft w:val="0"/>
      <w:marRight w:val="0"/>
      <w:marTop w:val="0"/>
      <w:marBottom w:val="0"/>
      <w:divBdr>
        <w:top w:val="none" w:sz="0" w:space="0" w:color="auto"/>
        <w:left w:val="none" w:sz="0" w:space="0" w:color="auto"/>
        <w:bottom w:val="none" w:sz="0" w:space="0" w:color="auto"/>
        <w:right w:val="none" w:sz="0" w:space="0" w:color="auto"/>
      </w:divBdr>
    </w:div>
    <w:div w:id="1660962486">
      <w:bodyDiv w:val="1"/>
      <w:marLeft w:val="0"/>
      <w:marRight w:val="0"/>
      <w:marTop w:val="0"/>
      <w:marBottom w:val="0"/>
      <w:divBdr>
        <w:top w:val="none" w:sz="0" w:space="0" w:color="auto"/>
        <w:left w:val="none" w:sz="0" w:space="0" w:color="auto"/>
        <w:bottom w:val="none" w:sz="0" w:space="0" w:color="auto"/>
        <w:right w:val="none" w:sz="0" w:space="0" w:color="auto"/>
      </w:divBdr>
    </w:div>
    <w:div w:id="1660963255">
      <w:bodyDiv w:val="1"/>
      <w:marLeft w:val="0"/>
      <w:marRight w:val="0"/>
      <w:marTop w:val="0"/>
      <w:marBottom w:val="0"/>
      <w:divBdr>
        <w:top w:val="none" w:sz="0" w:space="0" w:color="auto"/>
        <w:left w:val="none" w:sz="0" w:space="0" w:color="auto"/>
        <w:bottom w:val="none" w:sz="0" w:space="0" w:color="auto"/>
        <w:right w:val="none" w:sz="0" w:space="0" w:color="auto"/>
      </w:divBdr>
    </w:div>
    <w:div w:id="1660965008">
      <w:bodyDiv w:val="1"/>
      <w:marLeft w:val="0"/>
      <w:marRight w:val="0"/>
      <w:marTop w:val="0"/>
      <w:marBottom w:val="0"/>
      <w:divBdr>
        <w:top w:val="none" w:sz="0" w:space="0" w:color="auto"/>
        <w:left w:val="none" w:sz="0" w:space="0" w:color="auto"/>
        <w:bottom w:val="none" w:sz="0" w:space="0" w:color="auto"/>
        <w:right w:val="none" w:sz="0" w:space="0" w:color="auto"/>
      </w:divBdr>
    </w:div>
    <w:div w:id="1660965391">
      <w:bodyDiv w:val="1"/>
      <w:marLeft w:val="0"/>
      <w:marRight w:val="0"/>
      <w:marTop w:val="0"/>
      <w:marBottom w:val="0"/>
      <w:divBdr>
        <w:top w:val="none" w:sz="0" w:space="0" w:color="auto"/>
        <w:left w:val="none" w:sz="0" w:space="0" w:color="auto"/>
        <w:bottom w:val="none" w:sz="0" w:space="0" w:color="auto"/>
        <w:right w:val="none" w:sz="0" w:space="0" w:color="auto"/>
      </w:divBdr>
    </w:div>
    <w:div w:id="1661077769">
      <w:bodyDiv w:val="1"/>
      <w:marLeft w:val="0"/>
      <w:marRight w:val="0"/>
      <w:marTop w:val="0"/>
      <w:marBottom w:val="0"/>
      <w:divBdr>
        <w:top w:val="none" w:sz="0" w:space="0" w:color="auto"/>
        <w:left w:val="none" w:sz="0" w:space="0" w:color="auto"/>
        <w:bottom w:val="none" w:sz="0" w:space="0" w:color="auto"/>
        <w:right w:val="none" w:sz="0" w:space="0" w:color="auto"/>
      </w:divBdr>
    </w:div>
    <w:div w:id="1661274906">
      <w:bodyDiv w:val="1"/>
      <w:marLeft w:val="0"/>
      <w:marRight w:val="0"/>
      <w:marTop w:val="0"/>
      <w:marBottom w:val="0"/>
      <w:divBdr>
        <w:top w:val="none" w:sz="0" w:space="0" w:color="auto"/>
        <w:left w:val="none" w:sz="0" w:space="0" w:color="auto"/>
        <w:bottom w:val="none" w:sz="0" w:space="0" w:color="auto"/>
        <w:right w:val="none" w:sz="0" w:space="0" w:color="auto"/>
      </w:divBdr>
    </w:div>
    <w:div w:id="1661300634">
      <w:bodyDiv w:val="1"/>
      <w:marLeft w:val="0"/>
      <w:marRight w:val="0"/>
      <w:marTop w:val="0"/>
      <w:marBottom w:val="0"/>
      <w:divBdr>
        <w:top w:val="none" w:sz="0" w:space="0" w:color="auto"/>
        <w:left w:val="none" w:sz="0" w:space="0" w:color="auto"/>
        <w:bottom w:val="none" w:sz="0" w:space="0" w:color="auto"/>
        <w:right w:val="none" w:sz="0" w:space="0" w:color="auto"/>
      </w:divBdr>
    </w:div>
    <w:div w:id="1661343601">
      <w:bodyDiv w:val="1"/>
      <w:marLeft w:val="0"/>
      <w:marRight w:val="0"/>
      <w:marTop w:val="0"/>
      <w:marBottom w:val="0"/>
      <w:divBdr>
        <w:top w:val="none" w:sz="0" w:space="0" w:color="auto"/>
        <w:left w:val="none" w:sz="0" w:space="0" w:color="auto"/>
        <w:bottom w:val="none" w:sz="0" w:space="0" w:color="auto"/>
        <w:right w:val="none" w:sz="0" w:space="0" w:color="auto"/>
      </w:divBdr>
    </w:div>
    <w:div w:id="1661543140">
      <w:bodyDiv w:val="1"/>
      <w:marLeft w:val="0"/>
      <w:marRight w:val="0"/>
      <w:marTop w:val="0"/>
      <w:marBottom w:val="0"/>
      <w:divBdr>
        <w:top w:val="none" w:sz="0" w:space="0" w:color="auto"/>
        <w:left w:val="none" w:sz="0" w:space="0" w:color="auto"/>
        <w:bottom w:val="none" w:sz="0" w:space="0" w:color="auto"/>
        <w:right w:val="none" w:sz="0" w:space="0" w:color="auto"/>
      </w:divBdr>
    </w:div>
    <w:div w:id="1661612685">
      <w:bodyDiv w:val="1"/>
      <w:marLeft w:val="0"/>
      <w:marRight w:val="0"/>
      <w:marTop w:val="0"/>
      <w:marBottom w:val="0"/>
      <w:divBdr>
        <w:top w:val="none" w:sz="0" w:space="0" w:color="auto"/>
        <w:left w:val="none" w:sz="0" w:space="0" w:color="auto"/>
        <w:bottom w:val="none" w:sz="0" w:space="0" w:color="auto"/>
        <w:right w:val="none" w:sz="0" w:space="0" w:color="auto"/>
      </w:divBdr>
    </w:div>
    <w:div w:id="1661613483">
      <w:bodyDiv w:val="1"/>
      <w:marLeft w:val="0"/>
      <w:marRight w:val="0"/>
      <w:marTop w:val="0"/>
      <w:marBottom w:val="0"/>
      <w:divBdr>
        <w:top w:val="none" w:sz="0" w:space="0" w:color="auto"/>
        <w:left w:val="none" w:sz="0" w:space="0" w:color="auto"/>
        <w:bottom w:val="none" w:sz="0" w:space="0" w:color="auto"/>
        <w:right w:val="none" w:sz="0" w:space="0" w:color="auto"/>
      </w:divBdr>
    </w:div>
    <w:div w:id="1661813429">
      <w:bodyDiv w:val="1"/>
      <w:marLeft w:val="0"/>
      <w:marRight w:val="0"/>
      <w:marTop w:val="0"/>
      <w:marBottom w:val="0"/>
      <w:divBdr>
        <w:top w:val="none" w:sz="0" w:space="0" w:color="auto"/>
        <w:left w:val="none" w:sz="0" w:space="0" w:color="auto"/>
        <w:bottom w:val="none" w:sz="0" w:space="0" w:color="auto"/>
        <w:right w:val="none" w:sz="0" w:space="0" w:color="auto"/>
      </w:divBdr>
    </w:div>
    <w:div w:id="1661813912">
      <w:bodyDiv w:val="1"/>
      <w:marLeft w:val="0"/>
      <w:marRight w:val="0"/>
      <w:marTop w:val="0"/>
      <w:marBottom w:val="0"/>
      <w:divBdr>
        <w:top w:val="none" w:sz="0" w:space="0" w:color="auto"/>
        <w:left w:val="none" w:sz="0" w:space="0" w:color="auto"/>
        <w:bottom w:val="none" w:sz="0" w:space="0" w:color="auto"/>
        <w:right w:val="none" w:sz="0" w:space="0" w:color="auto"/>
      </w:divBdr>
    </w:div>
    <w:div w:id="1662080509">
      <w:bodyDiv w:val="1"/>
      <w:marLeft w:val="0"/>
      <w:marRight w:val="0"/>
      <w:marTop w:val="0"/>
      <w:marBottom w:val="0"/>
      <w:divBdr>
        <w:top w:val="none" w:sz="0" w:space="0" w:color="auto"/>
        <w:left w:val="none" w:sz="0" w:space="0" w:color="auto"/>
        <w:bottom w:val="none" w:sz="0" w:space="0" w:color="auto"/>
        <w:right w:val="none" w:sz="0" w:space="0" w:color="auto"/>
      </w:divBdr>
    </w:div>
    <w:div w:id="1662124724">
      <w:bodyDiv w:val="1"/>
      <w:marLeft w:val="0"/>
      <w:marRight w:val="0"/>
      <w:marTop w:val="0"/>
      <w:marBottom w:val="0"/>
      <w:divBdr>
        <w:top w:val="none" w:sz="0" w:space="0" w:color="auto"/>
        <w:left w:val="none" w:sz="0" w:space="0" w:color="auto"/>
        <w:bottom w:val="none" w:sz="0" w:space="0" w:color="auto"/>
        <w:right w:val="none" w:sz="0" w:space="0" w:color="auto"/>
      </w:divBdr>
    </w:div>
    <w:div w:id="1662155311">
      <w:bodyDiv w:val="1"/>
      <w:marLeft w:val="0"/>
      <w:marRight w:val="0"/>
      <w:marTop w:val="0"/>
      <w:marBottom w:val="0"/>
      <w:divBdr>
        <w:top w:val="none" w:sz="0" w:space="0" w:color="auto"/>
        <w:left w:val="none" w:sz="0" w:space="0" w:color="auto"/>
        <w:bottom w:val="none" w:sz="0" w:space="0" w:color="auto"/>
        <w:right w:val="none" w:sz="0" w:space="0" w:color="auto"/>
      </w:divBdr>
    </w:div>
    <w:div w:id="1662198432">
      <w:bodyDiv w:val="1"/>
      <w:marLeft w:val="0"/>
      <w:marRight w:val="0"/>
      <w:marTop w:val="0"/>
      <w:marBottom w:val="0"/>
      <w:divBdr>
        <w:top w:val="none" w:sz="0" w:space="0" w:color="auto"/>
        <w:left w:val="none" w:sz="0" w:space="0" w:color="auto"/>
        <w:bottom w:val="none" w:sz="0" w:space="0" w:color="auto"/>
        <w:right w:val="none" w:sz="0" w:space="0" w:color="auto"/>
      </w:divBdr>
    </w:div>
    <w:div w:id="1662269150">
      <w:bodyDiv w:val="1"/>
      <w:marLeft w:val="0"/>
      <w:marRight w:val="0"/>
      <w:marTop w:val="0"/>
      <w:marBottom w:val="0"/>
      <w:divBdr>
        <w:top w:val="none" w:sz="0" w:space="0" w:color="auto"/>
        <w:left w:val="none" w:sz="0" w:space="0" w:color="auto"/>
        <w:bottom w:val="none" w:sz="0" w:space="0" w:color="auto"/>
        <w:right w:val="none" w:sz="0" w:space="0" w:color="auto"/>
      </w:divBdr>
    </w:div>
    <w:div w:id="1662276922">
      <w:bodyDiv w:val="1"/>
      <w:marLeft w:val="0"/>
      <w:marRight w:val="0"/>
      <w:marTop w:val="0"/>
      <w:marBottom w:val="0"/>
      <w:divBdr>
        <w:top w:val="none" w:sz="0" w:space="0" w:color="auto"/>
        <w:left w:val="none" w:sz="0" w:space="0" w:color="auto"/>
        <w:bottom w:val="none" w:sz="0" w:space="0" w:color="auto"/>
        <w:right w:val="none" w:sz="0" w:space="0" w:color="auto"/>
      </w:divBdr>
    </w:div>
    <w:div w:id="1662344287">
      <w:bodyDiv w:val="1"/>
      <w:marLeft w:val="0"/>
      <w:marRight w:val="0"/>
      <w:marTop w:val="0"/>
      <w:marBottom w:val="0"/>
      <w:divBdr>
        <w:top w:val="none" w:sz="0" w:space="0" w:color="auto"/>
        <w:left w:val="none" w:sz="0" w:space="0" w:color="auto"/>
        <w:bottom w:val="none" w:sz="0" w:space="0" w:color="auto"/>
        <w:right w:val="none" w:sz="0" w:space="0" w:color="auto"/>
      </w:divBdr>
    </w:div>
    <w:div w:id="1662351310">
      <w:bodyDiv w:val="1"/>
      <w:marLeft w:val="0"/>
      <w:marRight w:val="0"/>
      <w:marTop w:val="0"/>
      <w:marBottom w:val="0"/>
      <w:divBdr>
        <w:top w:val="none" w:sz="0" w:space="0" w:color="auto"/>
        <w:left w:val="none" w:sz="0" w:space="0" w:color="auto"/>
        <w:bottom w:val="none" w:sz="0" w:space="0" w:color="auto"/>
        <w:right w:val="none" w:sz="0" w:space="0" w:color="auto"/>
      </w:divBdr>
    </w:div>
    <w:div w:id="1662386830">
      <w:bodyDiv w:val="1"/>
      <w:marLeft w:val="0"/>
      <w:marRight w:val="0"/>
      <w:marTop w:val="0"/>
      <w:marBottom w:val="0"/>
      <w:divBdr>
        <w:top w:val="none" w:sz="0" w:space="0" w:color="auto"/>
        <w:left w:val="none" w:sz="0" w:space="0" w:color="auto"/>
        <w:bottom w:val="none" w:sz="0" w:space="0" w:color="auto"/>
        <w:right w:val="none" w:sz="0" w:space="0" w:color="auto"/>
      </w:divBdr>
    </w:div>
    <w:div w:id="1662389829">
      <w:bodyDiv w:val="1"/>
      <w:marLeft w:val="0"/>
      <w:marRight w:val="0"/>
      <w:marTop w:val="0"/>
      <w:marBottom w:val="0"/>
      <w:divBdr>
        <w:top w:val="none" w:sz="0" w:space="0" w:color="auto"/>
        <w:left w:val="none" w:sz="0" w:space="0" w:color="auto"/>
        <w:bottom w:val="none" w:sz="0" w:space="0" w:color="auto"/>
        <w:right w:val="none" w:sz="0" w:space="0" w:color="auto"/>
      </w:divBdr>
    </w:div>
    <w:div w:id="1662469097">
      <w:bodyDiv w:val="1"/>
      <w:marLeft w:val="0"/>
      <w:marRight w:val="0"/>
      <w:marTop w:val="0"/>
      <w:marBottom w:val="0"/>
      <w:divBdr>
        <w:top w:val="none" w:sz="0" w:space="0" w:color="auto"/>
        <w:left w:val="none" w:sz="0" w:space="0" w:color="auto"/>
        <w:bottom w:val="none" w:sz="0" w:space="0" w:color="auto"/>
        <w:right w:val="none" w:sz="0" w:space="0" w:color="auto"/>
      </w:divBdr>
    </w:div>
    <w:div w:id="1662536044">
      <w:bodyDiv w:val="1"/>
      <w:marLeft w:val="0"/>
      <w:marRight w:val="0"/>
      <w:marTop w:val="0"/>
      <w:marBottom w:val="0"/>
      <w:divBdr>
        <w:top w:val="none" w:sz="0" w:space="0" w:color="auto"/>
        <w:left w:val="none" w:sz="0" w:space="0" w:color="auto"/>
        <w:bottom w:val="none" w:sz="0" w:space="0" w:color="auto"/>
        <w:right w:val="none" w:sz="0" w:space="0" w:color="auto"/>
      </w:divBdr>
    </w:div>
    <w:div w:id="1662539537">
      <w:bodyDiv w:val="1"/>
      <w:marLeft w:val="0"/>
      <w:marRight w:val="0"/>
      <w:marTop w:val="0"/>
      <w:marBottom w:val="0"/>
      <w:divBdr>
        <w:top w:val="none" w:sz="0" w:space="0" w:color="auto"/>
        <w:left w:val="none" w:sz="0" w:space="0" w:color="auto"/>
        <w:bottom w:val="none" w:sz="0" w:space="0" w:color="auto"/>
        <w:right w:val="none" w:sz="0" w:space="0" w:color="auto"/>
      </w:divBdr>
    </w:div>
    <w:div w:id="1662542075">
      <w:bodyDiv w:val="1"/>
      <w:marLeft w:val="0"/>
      <w:marRight w:val="0"/>
      <w:marTop w:val="0"/>
      <w:marBottom w:val="0"/>
      <w:divBdr>
        <w:top w:val="none" w:sz="0" w:space="0" w:color="auto"/>
        <w:left w:val="none" w:sz="0" w:space="0" w:color="auto"/>
        <w:bottom w:val="none" w:sz="0" w:space="0" w:color="auto"/>
        <w:right w:val="none" w:sz="0" w:space="0" w:color="auto"/>
      </w:divBdr>
    </w:div>
    <w:div w:id="1662654296">
      <w:bodyDiv w:val="1"/>
      <w:marLeft w:val="0"/>
      <w:marRight w:val="0"/>
      <w:marTop w:val="0"/>
      <w:marBottom w:val="0"/>
      <w:divBdr>
        <w:top w:val="none" w:sz="0" w:space="0" w:color="auto"/>
        <w:left w:val="none" w:sz="0" w:space="0" w:color="auto"/>
        <w:bottom w:val="none" w:sz="0" w:space="0" w:color="auto"/>
        <w:right w:val="none" w:sz="0" w:space="0" w:color="auto"/>
      </w:divBdr>
    </w:div>
    <w:div w:id="1662853440">
      <w:bodyDiv w:val="1"/>
      <w:marLeft w:val="0"/>
      <w:marRight w:val="0"/>
      <w:marTop w:val="0"/>
      <w:marBottom w:val="0"/>
      <w:divBdr>
        <w:top w:val="none" w:sz="0" w:space="0" w:color="auto"/>
        <w:left w:val="none" w:sz="0" w:space="0" w:color="auto"/>
        <w:bottom w:val="none" w:sz="0" w:space="0" w:color="auto"/>
        <w:right w:val="none" w:sz="0" w:space="0" w:color="auto"/>
      </w:divBdr>
    </w:div>
    <w:div w:id="1662853942">
      <w:bodyDiv w:val="1"/>
      <w:marLeft w:val="0"/>
      <w:marRight w:val="0"/>
      <w:marTop w:val="0"/>
      <w:marBottom w:val="0"/>
      <w:divBdr>
        <w:top w:val="none" w:sz="0" w:space="0" w:color="auto"/>
        <w:left w:val="none" w:sz="0" w:space="0" w:color="auto"/>
        <w:bottom w:val="none" w:sz="0" w:space="0" w:color="auto"/>
        <w:right w:val="none" w:sz="0" w:space="0" w:color="auto"/>
      </w:divBdr>
    </w:div>
    <w:div w:id="1662856061">
      <w:bodyDiv w:val="1"/>
      <w:marLeft w:val="0"/>
      <w:marRight w:val="0"/>
      <w:marTop w:val="0"/>
      <w:marBottom w:val="0"/>
      <w:divBdr>
        <w:top w:val="none" w:sz="0" w:space="0" w:color="auto"/>
        <w:left w:val="none" w:sz="0" w:space="0" w:color="auto"/>
        <w:bottom w:val="none" w:sz="0" w:space="0" w:color="auto"/>
        <w:right w:val="none" w:sz="0" w:space="0" w:color="auto"/>
      </w:divBdr>
    </w:div>
    <w:div w:id="1662926114">
      <w:bodyDiv w:val="1"/>
      <w:marLeft w:val="0"/>
      <w:marRight w:val="0"/>
      <w:marTop w:val="0"/>
      <w:marBottom w:val="0"/>
      <w:divBdr>
        <w:top w:val="none" w:sz="0" w:space="0" w:color="auto"/>
        <w:left w:val="none" w:sz="0" w:space="0" w:color="auto"/>
        <w:bottom w:val="none" w:sz="0" w:space="0" w:color="auto"/>
        <w:right w:val="none" w:sz="0" w:space="0" w:color="auto"/>
      </w:divBdr>
    </w:div>
    <w:div w:id="1662998550">
      <w:bodyDiv w:val="1"/>
      <w:marLeft w:val="0"/>
      <w:marRight w:val="0"/>
      <w:marTop w:val="0"/>
      <w:marBottom w:val="0"/>
      <w:divBdr>
        <w:top w:val="none" w:sz="0" w:space="0" w:color="auto"/>
        <w:left w:val="none" w:sz="0" w:space="0" w:color="auto"/>
        <w:bottom w:val="none" w:sz="0" w:space="0" w:color="auto"/>
        <w:right w:val="none" w:sz="0" w:space="0" w:color="auto"/>
      </w:divBdr>
    </w:div>
    <w:div w:id="1663005798">
      <w:bodyDiv w:val="1"/>
      <w:marLeft w:val="0"/>
      <w:marRight w:val="0"/>
      <w:marTop w:val="0"/>
      <w:marBottom w:val="0"/>
      <w:divBdr>
        <w:top w:val="none" w:sz="0" w:space="0" w:color="auto"/>
        <w:left w:val="none" w:sz="0" w:space="0" w:color="auto"/>
        <w:bottom w:val="none" w:sz="0" w:space="0" w:color="auto"/>
        <w:right w:val="none" w:sz="0" w:space="0" w:color="auto"/>
      </w:divBdr>
    </w:div>
    <w:div w:id="1663042476">
      <w:bodyDiv w:val="1"/>
      <w:marLeft w:val="0"/>
      <w:marRight w:val="0"/>
      <w:marTop w:val="0"/>
      <w:marBottom w:val="0"/>
      <w:divBdr>
        <w:top w:val="none" w:sz="0" w:space="0" w:color="auto"/>
        <w:left w:val="none" w:sz="0" w:space="0" w:color="auto"/>
        <w:bottom w:val="none" w:sz="0" w:space="0" w:color="auto"/>
        <w:right w:val="none" w:sz="0" w:space="0" w:color="auto"/>
      </w:divBdr>
    </w:div>
    <w:div w:id="1663116048">
      <w:bodyDiv w:val="1"/>
      <w:marLeft w:val="0"/>
      <w:marRight w:val="0"/>
      <w:marTop w:val="0"/>
      <w:marBottom w:val="0"/>
      <w:divBdr>
        <w:top w:val="none" w:sz="0" w:space="0" w:color="auto"/>
        <w:left w:val="none" w:sz="0" w:space="0" w:color="auto"/>
        <w:bottom w:val="none" w:sz="0" w:space="0" w:color="auto"/>
        <w:right w:val="none" w:sz="0" w:space="0" w:color="auto"/>
      </w:divBdr>
    </w:div>
    <w:div w:id="1663119136">
      <w:bodyDiv w:val="1"/>
      <w:marLeft w:val="0"/>
      <w:marRight w:val="0"/>
      <w:marTop w:val="0"/>
      <w:marBottom w:val="0"/>
      <w:divBdr>
        <w:top w:val="none" w:sz="0" w:space="0" w:color="auto"/>
        <w:left w:val="none" w:sz="0" w:space="0" w:color="auto"/>
        <w:bottom w:val="none" w:sz="0" w:space="0" w:color="auto"/>
        <w:right w:val="none" w:sz="0" w:space="0" w:color="auto"/>
      </w:divBdr>
    </w:div>
    <w:div w:id="1663198584">
      <w:bodyDiv w:val="1"/>
      <w:marLeft w:val="0"/>
      <w:marRight w:val="0"/>
      <w:marTop w:val="0"/>
      <w:marBottom w:val="0"/>
      <w:divBdr>
        <w:top w:val="none" w:sz="0" w:space="0" w:color="auto"/>
        <w:left w:val="none" w:sz="0" w:space="0" w:color="auto"/>
        <w:bottom w:val="none" w:sz="0" w:space="0" w:color="auto"/>
        <w:right w:val="none" w:sz="0" w:space="0" w:color="auto"/>
      </w:divBdr>
    </w:div>
    <w:div w:id="1663238684">
      <w:bodyDiv w:val="1"/>
      <w:marLeft w:val="0"/>
      <w:marRight w:val="0"/>
      <w:marTop w:val="0"/>
      <w:marBottom w:val="0"/>
      <w:divBdr>
        <w:top w:val="none" w:sz="0" w:space="0" w:color="auto"/>
        <w:left w:val="none" w:sz="0" w:space="0" w:color="auto"/>
        <w:bottom w:val="none" w:sz="0" w:space="0" w:color="auto"/>
        <w:right w:val="none" w:sz="0" w:space="0" w:color="auto"/>
      </w:divBdr>
    </w:div>
    <w:div w:id="1663241150">
      <w:bodyDiv w:val="1"/>
      <w:marLeft w:val="0"/>
      <w:marRight w:val="0"/>
      <w:marTop w:val="0"/>
      <w:marBottom w:val="0"/>
      <w:divBdr>
        <w:top w:val="none" w:sz="0" w:space="0" w:color="auto"/>
        <w:left w:val="none" w:sz="0" w:space="0" w:color="auto"/>
        <w:bottom w:val="none" w:sz="0" w:space="0" w:color="auto"/>
        <w:right w:val="none" w:sz="0" w:space="0" w:color="auto"/>
      </w:divBdr>
    </w:div>
    <w:div w:id="1663314799">
      <w:bodyDiv w:val="1"/>
      <w:marLeft w:val="0"/>
      <w:marRight w:val="0"/>
      <w:marTop w:val="0"/>
      <w:marBottom w:val="0"/>
      <w:divBdr>
        <w:top w:val="none" w:sz="0" w:space="0" w:color="auto"/>
        <w:left w:val="none" w:sz="0" w:space="0" w:color="auto"/>
        <w:bottom w:val="none" w:sz="0" w:space="0" w:color="auto"/>
        <w:right w:val="none" w:sz="0" w:space="0" w:color="auto"/>
      </w:divBdr>
    </w:div>
    <w:div w:id="1663462062">
      <w:bodyDiv w:val="1"/>
      <w:marLeft w:val="0"/>
      <w:marRight w:val="0"/>
      <w:marTop w:val="0"/>
      <w:marBottom w:val="0"/>
      <w:divBdr>
        <w:top w:val="none" w:sz="0" w:space="0" w:color="auto"/>
        <w:left w:val="none" w:sz="0" w:space="0" w:color="auto"/>
        <w:bottom w:val="none" w:sz="0" w:space="0" w:color="auto"/>
        <w:right w:val="none" w:sz="0" w:space="0" w:color="auto"/>
      </w:divBdr>
    </w:div>
    <w:div w:id="1663466701">
      <w:bodyDiv w:val="1"/>
      <w:marLeft w:val="0"/>
      <w:marRight w:val="0"/>
      <w:marTop w:val="0"/>
      <w:marBottom w:val="0"/>
      <w:divBdr>
        <w:top w:val="none" w:sz="0" w:space="0" w:color="auto"/>
        <w:left w:val="none" w:sz="0" w:space="0" w:color="auto"/>
        <w:bottom w:val="none" w:sz="0" w:space="0" w:color="auto"/>
        <w:right w:val="none" w:sz="0" w:space="0" w:color="auto"/>
      </w:divBdr>
    </w:div>
    <w:div w:id="1663700370">
      <w:bodyDiv w:val="1"/>
      <w:marLeft w:val="0"/>
      <w:marRight w:val="0"/>
      <w:marTop w:val="0"/>
      <w:marBottom w:val="0"/>
      <w:divBdr>
        <w:top w:val="none" w:sz="0" w:space="0" w:color="auto"/>
        <w:left w:val="none" w:sz="0" w:space="0" w:color="auto"/>
        <w:bottom w:val="none" w:sz="0" w:space="0" w:color="auto"/>
        <w:right w:val="none" w:sz="0" w:space="0" w:color="auto"/>
      </w:divBdr>
    </w:div>
    <w:div w:id="1663703830">
      <w:bodyDiv w:val="1"/>
      <w:marLeft w:val="0"/>
      <w:marRight w:val="0"/>
      <w:marTop w:val="0"/>
      <w:marBottom w:val="0"/>
      <w:divBdr>
        <w:top w:val="none" w:sz="0" w:space="0" w:color="auto"/>
        <w:left w:val="none" w:sz="0" w:space="0" w:color="auto"/>
        <w:bottom w:val="none" w:sz="0" w:space="0" w:color="auto"/>
        <w:right w:val="none" w:sz="0" w:space="0" w:color="auto"/>
      </w:divBdr>
    </w:div>
    <w:div w:id="1663854234">
      <w:bodyDiv w:val="1"/>
      <w:marLeft w:val="0"/>
      <w:marRight w:val="0"/>
      <w:marTop w:val="0"/>
      <w:marBottom w:val="0"/>
      <w:divBdr>
        <w:top w:val="none" w:sz="0" w:space="0" w:color="auto"/>
        <w:left w:val="none" w:sz="0" w:space="0" w:color="auto"/>
        <w:bottom w:val="none" w:sz="0" w:space="0" w:color="auto"/>
        <w:right w:val="none" w:sz="0" w:space="0" w:color="auto"/>
      </w:divBdr>
    </w:div>
    <w:div w:id="1663925870">
      <w:bodyDiv w:val="1"/>
      <w:marLeft w:val="0"/>
      <w:marRight w:val="0"/>
      <w:marTop w:val="0"/>
      <w:marBottom w:val="0"/>
      <w:divBdr>
        <w:top w:val="none" w:sz="0" w:space="0" w:color="auto"/>
        <w:left w:val="none" w:sz="0" w:space="0" w:color="auto"/>
        <w:bottom w:val="none" w:sz="0" w:space="0" w:color="auto"/>
        <w:right w:val="none" w:sz="0" w:space="0" w:color="auto"/>
      </w:divBdr>
    </w:div>
    <w:div w:id="1664161264">
      <w:bodyDiv w:val="1"/>
      <w:marLeft w:val="0"/>
      <w:marRight w:val="0"/>
      <w:marTop w:val="0"/>
      <w:marBottom w:val="0"/>
      <w:divBdr>
        <w:top w:val="none" w:sz="0" w:space="0" w:color="auto"/>
        <w:left w:val="none" w:sz="0" w:space="0" w:color="auto"/>
        <w:bottom w:val="none" w:sz="0" w:space="0" w:color="auto"/>
        <w:right w:val="none" w:sz="0" w:space="0" w:color="auto"/>
      </w:divBdr>
    </w:div>
    <w:div w:id="1664162905">
      <w:bodyDiv w:val="1"/>
      <w:marLeft w:val="0"/>
      <w:marRight w:val="0"/>
      <w:marTop w:val="0"/>
      <w:marBottom w:val="0"/>
      <w:divBdr>
        <w:top w:val="none" w:sz="0" w:space="0" w:color="auto"/>
        <w:left w:val="none" w:sz="0" w:space="0" w:color="auto"/>
        <w:bottom w:val="none" w:sz="0" w:space="0" w:color="auto"/>
        <w:right w:val="none" w:sz="0" w:space="0" w:color="auto"/>
      </w:divBdr>
    </w:div>
    <w:div w:id="1664242566">
      <w:bodyDiv w:val="1"/>
      <w:marLeft w:val="0"/>
      <w:marRight w:val="0"/>
      <w:marTop w:val="0"/>
      <w:marBottom w:val="0"/>
      <w:divBdr>
        <w:top w:val="none" w:sz="0" w:space="0" w:color="auto"/>
        <w:left w:val="none" w:sz="0" w:space="0" w:color="auto"/>
        <w:bottom w:val="none" w:sz="0" w:space="0" w:color="auto"/>
        <w:right w:val="none" w:sz="0" w:space="0" w:color="auto"/>
      </w:divBdr>
    </w:div>
    <w:div w:id="1664318043">
      <w:bodyDiv w:val="1"/>
      <w:marLeft w:val="0"/>
      <w:marRight w:val="0"/>
      <w:marTop w:val="0"/>
      <w:marBottom w:val="0"/>
      <w:divBdr>
        <w:top w:val="none" w:sz="0" w:space="0" w:color="auto"/>
        <w:left w:val="none" w:sz="0" w:space="0" w:color="auto"/>
        <w:bottom w:val="none" w:sz="0" w:space="0" w:color="auto"/>
        <w:right w:val="none" w:sz="0" w:space="0" w:color="auto"/>
      </w:divBdr>
    </w:div>
    <w:div w:id="1664357580">
      <w:bodyDiv w:val="1"/>
      <w:marLeft w:val="0"/>
      <w:marRight w:val="0"/>
      <w:marTop w:val="0"/>
      <w:marBottom w:val="0"/>
      <w:divBdr>
        <w:top w:val="none" w:sz="0" w:space="0" w:color="auto"/>
        <w:left w:val="none" w:sz="0" w:space="0" w:color="auto"/>
        <w:bottom w:val="none" w:sz="0" w:space="0" w:color="auto"/>
        <w:right w:val="none" w:sz="0" w:space="0" w:color="auto"/>
      </w:divBdr>
    </w:div>
    <w:div w:id="1664385007">
      <w:bodyDiv w:val="1"/>
      <w:marLeft w:val="0"/>
      <w:marRight w:val="0"/>
      <w:marTop w:val="0"/>
      <w:marBottom w:val="0"/>
      <w:divBdr>
        <w:top w:val="none" w:sz="0" w:space="0" w:color="auto"/>
        <w:left w:val="none" w:sz="0" w:space="0" w:color="auto"/>
        <w:bottom w:val="none" w:sz="0" w:space="0" w:color="auto"/>
        <w:right w:val="none" w:sz="0" w:space="0" w:color="auto"/>
      </w:divBdr>
    </w:div>
    <w:div w:id="1664426302">
      <w:bodyDiv w:val="1"/>
      <w:marLeft w:val="0"/>
      <w:marRight w:val="0"/>
      <w:marTop w:val="0"/>
      <w:marBottom w:val="0"/>
      <w:divBdr>
        <w:top w:val="none" w:sz="0" w:space="0" w:color="auto"/>
        <w:left w:val="none" w:sz="0" w:space="0" w:color="auto"/>
        <w:bottom w:val="none" w:sz="0" w:space="0" w:color="auto"/>
        <w:right w:val="none" w:sz="0" w:space="0" w:color="auto"/>
      </w:divBdr>
    </w:div>
    <w:div w:id="1664578035">
      <w:bodyDiv w:val="1"/>
      <w:marLeft w:val="0"/>
      <w:marRight w:val="0"/>
      <w:marTop w:val="0"/>
      <w:marBottom w:val="0"/>
      <w:divBdr>
        <w:top w:val="none" w:sz="0" w:space="0" w:color="auto"/>
        <w:left w:val="none" w:sz="0" w:space="0" w:color="auto"/>
        <w:bottom w:val="none" w:sz="0" w:space="0" w:color="auto"/>
        <w:right w:val="none" w:sz="0" w:space="0" w:color="auto"/>
      </w:divBdr>
    </w:div>
    <w:div w:id="1664696361">
      <w:bodyDiv w:val="1"/>
      <w:marLeft w:val="0"/>
      <w:marRight w:val="0"/>
      <w:marTop w:val="0"/>
      <w:marBottom w:val="0"/>
      <w:divBdr>
        <w:top w:val="none" w:sz="0" w:space="0" w:color="auto"/>
        <w:left w:val="none" w:sz="0" w:space="0" w:color="auto"/>
        <w:bottom w:val="none" w:sz="0" w:space="0" w:color="auto"/>
        <w:right w:val="none" w:sz="0" w:space="0" w:color="auto"/>
      </w:divBdr>
    </w:div>
    <w:div w:id="1664699239">
      <w:bodyDiv w:val="1"/>
      <w:marLeft w:val="0"/>
      <w:marRight w:val="0"/>
      <w:marTop w:val="0"/>
      <w:marBottom w:val="0"/>
      <w:divBdr>
        <w:top w:val="none" w:sz="0" w:space="0" w:color="auto"/>
        <w:left w:val="none" w:sz="0" w:space="0" w:color="auto"/>
        <w:bottom w:val="none" w:sz="0" w:space="0" w:color="auto"/>
        <w:right w:val="none" w:sz="0" w:space="0" w:color="auto"/>
      </w:divBdr>
    </w:div>
    <w:div w:id="1664777011">
      <w:bodyDiv w:val="1"/>
      <w:marLeft w:val="0"/>
      <w:marRight w:val="0"/>
      <w:marTop w:val="0"/>
      <w:marBottom w:val="0"/>
      <w:divBdr>
        <w:top w:val="none" w:sz="0" w:space="0" w:color="auto"/>
        <w:left w:val="none" w:sz="0" w:space="0" w:color="auto"/>
        <w:bottom w:val="none" w:sz="0" w:space="0" w:color="auto"/>
        <w:right w:val="none" w:sz="0" w:space="0" w:color="auto"/>
      </w:divBdr>
    </w:div>
    <w:div w:id="1664817886">
      <w:bodyDiv w:val="1"/>
      <w:marLeft w:val="0"/>
      <w:marRight w:val="0"/>
      <w:marTop w:val="0"/>
      <w:marBottom w:val="0"/>
      <w:divBdr>
        <w:top w:val="none" w:sz="0" w:space="0" w:color="auto"/>
        <w:left w:val="none" w:sz="0" w:space="0" w:color="auto"/>
        <w:bottom w:val="none" w:sz="0" w:space="0" w:color="auto"/>
        <w:right w:val="none" w:sz="0" w:space="0" w:color="auto"/>
      </w:divBdr>
    </w:div>
    <w:div w:id="1664891306">
      <w:bodyDiv w:val="1"/>
      <w:marLeft w:val="0"/>
      <w:marRight w:val="0"/>
      <w:marTop w:val="0"/>
      <w:marBottom w:val="0"/>
      <w:divBdr>
        <w:top w:val="none" w:sz="0" w:space="0" w:color="auto"/>
        <w:left w:val="none" w:sz="0" w:space="0" w:color="auto"/>
        <w:bottom w:val="none" w:sz="0" w:space="0" w:color="auto"/>
        <w:right w:val="none" w:sz="0" w:space="0" w:color="auto"/>
      </w:divBdr>
    </w:div>
    <w:div w:id="1664897638">
      <w:bodyDiv w:val="1"/>
      <w:marLeft w:val="0"/>
      <w:marRight w:val="0"/>
      <w:marTop w:val="0"/>
      <w:marBottom w:val="0"/>
      <w:divBdr>
        <w:top w:val="none" w:sz="0" w:space="0" w:color="auto"/>
        <w:left w:val="none" w:sz="0" w:space="0" w:color="auto"/>
        <w:bottom w:val="none" w:sz="0" w:space="0" w:color="auto"/>
        <w:right w:val="none" w:sz="0" w:space="0" w:color="auto"/>
      </w:divBdr>
    </w:div>
    <w:div w:id="1664966768">
      <w:bodyDiv w:val="1"/>
      <w:marLeft w:val="0"/>
      <w:marRight w:val="0"/>
      <w:marTop w:val="0"/>
      <w:marBottom w:val="0"/>
      <w:divBdr>
        <w:top w:val="none" w:sz="0" w:space="0" w:color="auto"/>
        <w:left w:val="none" w:sz="0" w:space="0" w:color="auto"/>
        <w:bottom w:val="none" w:sz="0" w:space="0" w:color="auto"/>
        <w:right w:val="none" w:sz="0" w:space="0" w:color="auto"/>
      </w:divBdr>
    </w:div>
    <w:div w:id="1665007898">
      <w:bodyDiv w:val="1"/>
      <w:marLeft w:val="0"/>
      <w:marRight w:val="0"/>
      <w:marTop w:val="0"/>
      <w:marBottom w:val="0"/>
      <w:divBdr>
        <w:top w:val="none" w:sz="0" w:space="0" w:color="auto"/>
        <w:left w:val="none" w:sz="0" w:space="0" w:color="auto"/>
        <w:bottom w:val="none" w:sz="0" w:space="0" w:color="auto"/>
        <w:right w:val="none" w:sz="0" w:space="0" w:color="auto"/>
      </w:divBdr>
    </w:div>
    <w:div w:id="1665011655">
      <w:bodyDiv w:val="1"/>
      <w:marLeft w:val="0"/>
      <w:marRight w:val="0"/>
      <w:marTop w:val="0"/>
      <w:marBottom w:val="0"/>
      <w:divBdr>
        <w:top w:val="none" w:sz="0" w:space="0" w:color="auto"/>
        <w:left w:val="none" w:sz="0" w:space="0" w:color="auto"/>
        <w:bottom w:val="none" w:sz="0" w:space="0" w:color="auto"/>
        <w:right w:val="none" w:sz="0" w:space="0" w:color="auto"/>
      </w:divBdr>
    </w:div>
    <w:div w:id="1665012261">
      <w:bodyDiv w:val="1"/>
      <w:marLeft w:val="0"/>
      <w:marRight w:val="0"/>
      <w:marTop w:val="0"/>
      <w:marBottom w:val="0"/>
      <w:divBdr>
        <w:top w:val="none" w:sz="0" w:space="0" w:color="auto"/>
        <w:left w:val="none" w:sz="0" w:space="0" w:color="auto"/>
        <w:bottom w:val="none" w:sz="0" w:space="0" w:color="auto"/>
        <w:right w:val="none" w:sz="0" w:space="0" w:color="auto"/>
      </w:divBdr>
    </w:div>
    <w:div w:id="1665161854">
      <w:bodyDiv w:val="1"/>
      <w:marLeft w:val="0"/>
      <w:marRight w:val="0"/>
      <w:marTop w:val="0"/>
      <w:marBottom w:val="0"/>
      <w:divBdr>
        <w:top w:val="none" w:sz="0" w:space="0" w:color="auto"/>
        <w:left w:val="none" w:sz="0" w:space="0" w:color="auto"/>
        <w:bottom w:val="none" w:sz="0" w:space="0" w:color="auto"/>
        <w:right w:val="none" w:sz="0" w:space="0" w:color="auto"/>
      </w:divBdr>
    </w:div>
    <w:div w:id="1665162479">
      <w:bodyDiv w:val="1"/>
      <w:marLeft w:val="0"/>
      <w:marRight w:val="0"/>
      <w:marTop w:val="0"/>
      <w:marBottom w:val="0"/>
      <w:divBdr>
        <w:top w:val="none" w:sz="0" w:space="0" w:color="auto"/>
        <w:left w:val="none" w:sz="0" w:space="0" w:color="auto"/>
        <w:bottom w:val="none" w:sz="0" w:space="0" w:color="auto"/>
        <w:right w:val="none" w:sz="0" w:space="0" w:color="auto"/>
      </w:divBdr>
    </w:div>
    <w:div w:id="1665162608">
      <w:bodyDiv w:val="1"/>
      <w:marLeft w:val="0"/>
      <w:marRight w:val="0"/>
      <w:marTop w:val="0"/>
      <w:marBottom w:val="0"/>
      <w:divBdr>
        <w:top w:val="none" w:sz="0" w:space="0" w:color="auto"/>
        <w:left w:val="none" w:sz="0" w:space="0" w:color="auto"/>
        <w:bottom w:val="none" w:sz="0" w:space="0" w:color="auto"/>
        <w:right w:val="none" w:sz="0" w:space="0" w:color="auto"/>
      </w:divBdr>
    </w:div>
    <w:div w:id="1665205096">
      <w:bodyDiv w:val="1"/>
      <w:marLeft w:val="0"/>
      <w:marRight w:val="0"/>
      <w:marTop w:val="0"/>
      <w:marBottom w:val="0"/>
      <w:divBdr>
        <w:top w:val="none" w:sz="0" w:space="0" w:color="auto"/>
        <w:left w:val="none" w:sz="0" w:space="0" w:color="auto"/>
        <w:bottom w:val="none" w:sz="0" w:space="0" w:color="auto"/>
        <w:right w:val="none" w:sz="0" w:space="0" w:color="auto"/>
      </w:divBdr>
    </w:div>
    <w:div w:id="1665351315">
      <w:bodyDiv w:val="1"/>
      <w:marLeft w:val="0"/>
      <w:marRight w:val="0"/>
      <w:marTop w:val="0"/>
      <w:marBottom w:val="0"/>
      <w:divBdr>
        <w:top w:val="none" w:sz="0" w:space="0" w:color="auto"/>
        <w:left w:val="none" w:sz="0" w:space="0" w:color="auto"/>
        <w:bottom w:val="none" w:sz="0" w:space="0" w:color="auto"/>
        <w:right w:val="none" w:sz="0" w:space="0" w:color="auto"/>
      </w:divBdr>
    </w:div>
    <w:div w:id="1665359024">
      <w:bodyDiv w:val="1"/>
      <w:marLeft w:val="0"/>
      <w:marRight w:val="0"/>
      <w:marTop w:val="0"/>
      <w:marBottom w:val="0"/>
      <w:divBdr>
        <w:top w:val="none" w:sz="0" w:space="0" w:color="auto"/>
        <w:left w:val="none" w:sz="0" w:space="0" w:color="auto"/>
        <w:bottom w:val="none" w:sz="0" w:space="0" w:color="auto"/>
        <w:right w:val="none" w:sz="0" w:space="0" w:color="auto"/>
      </w:divBdr>
    </w:div>
    <w:div w:id="1665468626">
      <w:bodyDiv w:val="1"/>
      <w:marLeft w:val="0"/>
      <w:marRight w:val="0"/>
      <w:marTop w:val="0"/>
      <w:marBottom w:val="0"/>
      <w:divBdr>
        <w:top w:val="none" w:sz="0" w:space="0" w:color="auto"/>
        <w:left w:val="none" w:sz="0" w:space="0" w:color="auto"/>
        <w:bottom w:val="none" w:sz="0" w:space="0" w:color="auto"/>
        <w:right w:val="none" w:sz="0" w:space="0" w:color="auto"/>
      </w:divBdr>
    </w:div>
    <w:div w:id="1665472354">
      <w:bodyDiv w:val="1"/>
      <w:marLeft w:val="0"/>
      <w:marRight w:val="0"/>
      <w:marTop w:val="0"/>
      <w:marBottom w:val="0"/>
      <w:divBdr>
        <w:top w:val="none" w:sz="0" w:space="0" w:color="auto"/>
        <w:left w:val="none" w:sz="0" w:space="0" w:color="auto"/>
        <w:bottom w:val="none" w:sz="0" w:space="0" w:color="auto"/>
        <w:right w:val="none" w:sz="0" w:space="0" w:color="auto"/>
      </w:divBdr>
    </w:div>
    <w:div w:id="1665474878">
      <w:bodyDiv w:val="1"/>
      <w:marLeft w:val="0"/>
      <w:marRight w:val="0"/>
      <w:marTop w:val="0"/>
      <w:marBottom w:val="0"/>
      <w:divBdr>
        <w:top w:val="none" w:sz="0" w:space="0" w:color="auto"/>
        <w:left w:val="none" w:sz="0" w:space="0" w:color="auto"/>
        <w:bottom w:val="none" w:sz="0" w:space="0" w:color="auto"/>
        <w:right w:val="none" w:sz="0" w:space="0" w:color="auto"/>
      </w:divBdr>
    </w:div>
    <w:div w:id="1665548908">
      <w:bodyDiv w:val="1"/>
      <w:marLeft w:val="0"/>
      <w:marRight w:val="0"/>
      <w:marTop w:val="0"/>
      <w:marBottom w:val="0"/>
      <w:divBdr>
        <w:top w:val="none" w:sz="0" w:space="0" w:color="auto"/>
        <w:left w:val="none" w:sz="0" w:space="0" w:color="auto"/>
        <w:bottom w:val="none" w:sz="0" w:space="0" w:color="auto"/>
        <w:right w:val="none" w:sz="0" w:space="0" w:color="auto"/>
      </w:divBdr>
    </w:div>
    <w:div w:id="1665551958">
      <w:bodyDiv w:val="1"/>
      <w:marLeft w:val="0"/>
      <w:marRight w:val="0"/>
      <w:marTop w:val="0"/>
      <w:marBottom w:val="0"/>
      <w:divBdr>
        <w:top w:val="none" w:sz="0" w:space="0" w:color="auto"/>
        <w:left w:val="none" w:sz="0" w:space="0" w:color="auto"/>
        <w:bottom w:val="none" w:sz="0" w:space="0" w:color="auto"/>
        <w:right w:val="none" w:sz="0" w:space="0" w:color="auto"/>
      </w:divBdr>
    </w:div>
    <w:div w:id="1665670687">
      <w:bodyDiv w:val="1"/>
      <w:marLeft w:val="0"/>
      <w:marRight w:val="0"/>
      <w:marTop w:val="0"/>
      <w:marBottom w:val="0"/>
      <w:divBdr>
        <w:top w:val="none" w:sz="0" w:space="0" w:color="auto"/>
        <w:left w:val="none" w:sz="0" w:space="0" w:color="auto"/>
        <w:bottom w:val="none" w:sz="0" w:space="0" w:color="auto"/>
        <w:right w:val="none" w:sz="0" w:space="0" w:color="auto"/>
      </w:divBdr>
    </w:div>
    <w:div w:id="1665737859">
      <w:bodyDiv w:val="1"/>
      <w:marLeft w:val="0"/>
      <w:marRight w:val="0"/>
      <w:marTop w:val="0"/>
      <w:marBottom w:val="0"/>
      <w:divBdr>
        <w:top w:val="none" w:sz="0" w:space="0" w:color="auto"/>
        <w:left w:val="none" w:sz="0" w:space="0" w:color="auto"/>
        <w:bottom w:val="none" w:sz="0" w:space="0" w:color="auto"/>
        <w:right w:val="none" w:sz="0" w:space="0" w:color="auto"/>
      </w:divBdr>
    </w:div>
    <w:div w:id="1665739175">
      <w:bodyDiv w:val="1"/>
      <w:marLeft w:val="0"/>
      <w:marRight w:val="0"/>
      <w:marTop w:val="0"/>
      <w:marBottom w:val="0"/>
      <w:divBdr>
        <w:top w:val="none" w:sz="0" w:space="0" w:color="auto"/>
        <w:left w:val="none" w:sz="0" w:space="0" w:color="auto"/>
        <w:bottom w:val="none" w:sz="0" w:space="0" w:color="auto"/>
        <w:right w:val="none" w:sz="0" w:space="0" w:color="auto"/>
      </w:divBdr>
    </w:div>
    <w:div w:id="1665741614">
      <w:bodyDiv w:val="1"/>
      <w:marLeft w:val="0"/>
      <w:marRight w:val="0"/>
      <w:marTop w:val="0"/>
      <w:marBottom w:val="0"/>
      <w:divBdr>
        <w:top w:val="none" w:sz="0" w:space="0" w:color="auto"/>
        <w:left w:val="none" w:sz="0" w:space="0" w:color="auto"/>
        <w:bottom w:val="none" w:sz="0" w:space="0" w:color="auto"/>
        <w:right w:val="none" w:sz="0" w:space="0" w:color="auto"/>
      </w:divBdr>
    </w:div>
    <w:div w:id="1665745110">
      <w:bodyDiv w:val="1"/>
      <w:marLeft w:val="0"/>
      <w:marRight w:val="0"/>
      <w:marTop w:val="0"/>
      <w:marBottom w:val="0"/>
      <w:divBdr>
        <w:top w:val="none" w:sz="0" w:space="0" w:color="auto"/>
        <w:left w:val="none" w:sz="0" w:space="0" w:color="auto"/>
        <w:bottom w:val="none" w:sz="0" w:space="0" w:color="auto"/>
        <w:right w:val="none" w:sz="0" w:space="0" w:color="auto"/>
      </w:divBdr>
    </w:div>
    <w:div w:id="1665821782">
      <w:bodyDiv w:val="1"/>
      <w:marLeft w:val="0"/>
      <w:marRight w:val="0"/>
      <w:marTop w:val="0"/>
      <w:marBottom w:val="0"/>
      <w:divBdr>
        <w:top w:val="none" w:sz="0" w:space="0" w:color="auto"/>
        <w:left w:val="none" w:sz="0" w:space="0" w:color="auto"/>
        <w:bottom w:val="none" w:sz="0" w:space="0" w:color="auto"/>
        <w:right w:val="none" w:sz="0" w:space="0" w:color="auto"/>
      </w:divBdr>
    </w:div>
    <w:div w:id="1665863854">
      <w:bodyDiv w:val="1"/>
      <w:marLeft w:val="0"/>
      <w:marRight w:val="0"/>
      <w:marTop w:val="0"/>
      <w:marBottom w:val="0"/>
      <w:divBdr>
        <w:top w:val="none" w:sz="0" w:space="0" w:color="auto"/>
        <w:left w:val="none" w:sz="0" w:space="0" w:color="auto"/>
        <w:bottom w:val="none" w:sz="0" w:space="0" w:color="auto"/>
        <w:right w:val="none" w:sz="0" w:space="0" w:color="auto"/>
      </w:divBdr>
    </w:div>
    <w:div w:id="1665933141">
      <w:bodyDiv w:val="1"/>
      <w:marLeft w:val="0"/>
      <w:marRight w:val="0"/>
      <w:marTop w:val="0"/>
      <w:marBottom w:val="0"/>
      <w:divBdr>
        <w:top w:val="none" w:sz="0" w:space="0" w:color="auto"/>
        <w:left w:val="none" w:sz="0" w:space="0" w:color="auto"/>
        <w:bottom w:val="none" w:sz="0" w:space="0" w:color="auto"/>
        <w:right w:val="none" w:sz="0" w:space="0" w:color="auto"/>
      </w:divBdr>
    </w:div>
    <w:div w:id="1665937287">
      <w:bodyDiv w:val="1"/>
      <w:marLeft w:val="0"/>
      <w:marRight w:val="0"/>
      <w:marTop w:val="0"/>
      <w:marBottom w:val="0"/>
      <w:divBdr>
        <w:top w:val="none" w:sz="0" w:space="0" w:color="auto"/>
        <w:left w:val="none" w:sz="0" w:space="0" w:color="auto"/>
        <w:bottom w:val="none" w:sz="0" w:space="0" w:color="auto"/>
        <w:right w:val="none" w:sz="0" w:space="0" w:color="auto"/>
      </w:divBdr>
    </w:div>
    <w:div w:id="1666007402">
      <w:bodyDiv w:val="1"/>
      <w:marLeft w:val="0"/>
      <w:marRight w:val="0"/>
      <w:marTop w:val="0"/>
      <w:marBottom w:val="0"/>
      <w:divBdr>
        <w:top w:val="none" w:sz="0" w:space="0" w:color="auto"/>
        <w:left w:val="none" w:sz="0" w:space="0" w:color="auto"/>
        <w:bottom w:val="none" w:sz="0" w:space="0" w:color="auto"/>
        <w:right w:val="none" w:sz="0" w:space="0" w:color="auto"/>
      </w:divBdr>
    </w:div>
    <w:div w:id="1666007860">
      <w:bodyDiv w:val="1"/>
      <w:marLeft w:val="0"/>
      <w:marRight w:val="0"/>
      <w:marTop w:val="0"/>
      <w:marBottom w:val="0"/>
      <w:divBdr>
        <w:top w:val="none" w:sz="0" w:space="0" w:color="auto"/>
        <w:left w:val="none" w:sz="0" w:space="0" w:color="auto"/>
        <w:bottom w:val="none" w:sz="0" w:space="0" w:color="auto"/>
        <w:right w:val="none" w:sz="0" w:space="0" w:color="auto"/>
      </w:divBdr>
    </w:div>
    <w:div w:id="1666013271">
      <w:bodyDiv w:val="1"/>
      <w:marLeft w:val="0"/>
      <w:marRight w:val="0"/>
      <w:marTop w:val="0"/>
      <w:marBottom w:val="0"/>
      <w:divBdr>
        <w:top w:val="none" w:sz="0" w:space="0" w:color="auto"/>
        <w:left w:val="none" w:sz="0" w:space="0" w:color="auto"/>
        <w:bottom w:val="none" w:sz="0" w:space="0" w:color="auto"/>
        <w:right w:val="none" w:sz="0" w:space="0" w:color="auto"/>
      </w:divBdr>
    </w:div>
    <w:div w:id="1666082811">
      <w:bodyDiv w:val="1"/>
      <w:marLeft w:val="0"/>
      <w:marRight w:val="0"/>
      <w:marTop w:val="0"/>
      <w:marBottom w:val="0"/>
      <w:divBdr>
        <w:top w:val="none" w:sz="0" w:space="0" w:color="auto"/>
        <w:left w:val="none" w:sz="0" w:space="0" w:color="auto"/>
        <w:bottom w:val="none" w:sz="0" w:space="0" w:color="auto"/>
        <w:right w:val="none" w:sz="0" w:space="0" w:color="auto"/>
      </w:divBdr>
    </w:div>
    <w:div w:id="1666087898">
      <w:bodyDiv w:val="1"/>
      <w:marLeft w:val="0"/>
      <w:marRight w:val="0"/>
      <w:marTop w:val="0"/>
      <w:marBottom w:val="0"/>
      <w:divBdr>
        <w:top w:val="none" w:sz="0" w:space="0" w:color="auto"/>
        <w:left w:val="none" w:sz="0" w:space="0" w:color="auto"/>
        <w:bottom w:val="none" w:sz="0" w:space="0" w:color="auto"/>
        <w:right w:val="none" w:sz="0" w:space="0" w:color="auto"/>
      </w:divBdr>
    </w:div>
    <w:div w:id="1666201185">
      <w:bodyDiv w:val="1"/>
      <w:marLeft w:val="0"/>
      <w:marRight w:val="0"/>
      <w:marTop w:val="0"/>
      <w:marBottom w:val="0"/>
      <w:divBdr>
        <w:top w:val="none" w:sz="0" w:space="0" w:color="auto"/>
        <w:left w:val="none" w:sz="0" w:space="0" w:color="auto"/>
        <w:bottom w:val="none" w:sz="0" w:space="0" w:color="auto"/>
        <w:right w:val="none" w:sz="0" w:space="0" w:color="auto"/>
      </w:divBdr>
    </w:div>
    <w:div w:id="1666275185">
      <w:bodyDiv w:val="1"/>
      <w:marLeft w:val="0"/>
      <w:marRight w:val="0"/>
      <w:marTop w:val="0"/>
      <w:marBottom w:val="0"/>
      <w:divBdr>
        <w:top w:val="none" w:sz="0" w:space="0" w:color="auto"/>
        <w:left w:val="none" w:sz="0" w:space="0" w:color="auto"/>
        <w:bottom w:val="none" w:sz="0" w:space="0" w:color="auto"/>
        <w:right w:val="none" w:sz="0" w:space="0" w:color="auto"/>
      </w:divBdr>
    </w:div>
    <w:div w:id="1666323004">
      <w:bodyDiv w:val="1"/>
      <w:marLeft w:val="0"/>
      <w:marRight w:val="0"/>
      <w:marTop w:val="0"/>
      <w:marBottom w:val="0"/>
      <w:divBdr>
        <w:top w:val="none" w:sz="0" w:space="0" w:color="auto"/>
        <w:left w:val="none" w:sz="0" w:space="0" w:color="auto"/>
        <w:bottom w:val="none" w:sz="0" w:space="0" w:color="auto"/>
        <w:right w:val="none" w:sz="0" w:space="0" w:color="auto"/>
      </w:divBdr>
    </w:div>
    <w:div w:id="1666326297">
      <w:bodyDiv w:val="1"/>
      <w:marLeft w:val="0"/>
      <w:marRight w:val="0"/>
      <w:marTop w:val="0"/>
      <w:marBottom w:val="0"/>
      <w:divBdr>
        <w:top w:val="none" w:sz="0" w:space="0" w:color="auto"/>
        <w:left w:val="none" w:sz="0" w:space="0" w:color="auto"/>
        <w:bottom w:val="none" w:sz="0" w:space="0" w:color="auto"/>
        <w:right w:val="none" w:sz="0" w:space="0" w:color="auto"/>
      </w:divBdr>
    </w:div>
    <w:div w:id="1666393658">
      <w:bodyDiv w:val="1"/>
      <w:marLeft w:val="0"/>
      <w:marRight w:val="0"/>
      <w:marTop w:val="0"/>
      <w:marBottom w:val="0"/>
      <w:divBdr>
        <w:top w:val="none" w:sz="0" w:space="0" w:color="auto"/>
        <w:left w:val="none" w:sz="0" w:space="0" w:color="auto"/>
        <w:bottom w:val="none" w:sz="0" w:space="0" w:color="auto"/>
        <w:right w:val="none" w:sz="0" w:space="0" w:color="auto"/>
      </w:divBdr>
    </w:div>
    <w:div w:id="1666542914">
      <w:bodyDiv w:val="1"/>
      <w:marLeft w:val="0"/>
      <w:marRight w:val="0"/>
      <w:marTop w:val="0"/>
      <w:marBottom w:val="0"/>
      <w:divBdr>
        <w:top w:val="none" w:sz="0" w:space="0" w:color="auto"/>
        <w:left w:val="none" w:sz="0" w:space="0" w:color="auto"/>
        <w:bottom w:val="none" w:sz="0" w:space="0" w:color="auto"/>
        <w:right w:val="none" w:sz="0" w:space="0" w:color="auto"/>
      </w:divBdr>
    </w:div>
    <w:div w:id="1666545478">
      <w:bodyDiv w:val="1"/>
      <w:marLeft w:val="0"/>
      <w:marRight w:val="0"/>
      <w:marTop w:val="0"/>
      <w:marBottom w:val="0"/>
      <w:divBdr>
        <w:top w:val="none" w:sz="0" w:space="0" w:color="auto"/>
        <w:left w:val="none" w:sz="0" w:space="0" w:color="auto"/>
        <w:bottom w:val="none" w:sz="0" w:space="0" w:color="auto"/>
        <w:right w:val="none" w:sz="0" w:space="0" w:color="auto"/>
      </w:divBdr>
    </w:div>
    <w:div w:id="1666585457">
      <w:bodyDiv w:val="1"/>
      <w:marLeft w:val="0"/>
      <w:marRight w:val="0"/>
      <w:marTop w:val="0"/>
      <w:marBottom w:val="0"/>
      <w:divBdr>
        <w:top w:val="none" w:sz="0" w:space="0" w:color="auto"/>
        <w:left w:val="none" w:sz="0" w:space="0" w:color="auto"/>
        <w:bottom w:val="none" w:sz="0" w:space="0" w:color="auto"/>
        <w:right w:val="none" w:sz="0" w:space="0" w:color="auto"/>
      </w:divBdr>
    </w:div>
    <w:div w:id="1666780887">
      <w:bodyDiv w:val="1"/>
      <w:marLeft w:val="0"/>
      <w:marRight w:val="0"/>
      <w:marTop w:val="0"/>
      <w:marBottom w:val="0"/>
      <w:divBdr>
        <w:top w:val="none" w:sz="0" w:space="0" w:color="auto"/>
        <w:left w:val="none" w:sz="0" w:space="0" w:color="auto"/>
        <w:bottom w:val="none" w:sz="0" w:space="0" w:color="auto"/>
        <w:right w:val="none" w:sz="0" w:space="0" w:color="auto"/>
      </w:divBdr>
    </w:div>
    <w:div w:id="1666854423">
      <w:bodyDiv w:val="1"/>
      <w:marLeft w:val="0"/>
      <w:marRight w:val="0"/>
      <w:marTop w:val="0"/>
      <w:marBottom w:val="0"/>
      <w:divBdr>
        <w:top w:val="none" w:sz="0" w:space="0" w:color="auto"/>
        <w:left w:val="none" w:sz="0" w:space="0" w:color="auto"/>
        <w:bottom w:val="none" w:sz="0" w:space="0" w:color="auto"/>
        <w:right w:val="none" w:sz="0" w:space="0" w:color="auto"/>
      </w:divBdr>
    </w:div>
    <w:div w:id="1666856643">
      <w:bodyDiv w:val="1"/>
      <w:marLeft w:val="0"/>
      <w:marRight w:val="0"/>
      <w:marTop w:val="0"/>
      <w:marBottom w:val="0"/>
      <w:divBdr>
        <w:top w:val="none" w:sz="0" w:space="0" w:color="auto"/>
        <w:left w:val="none" w:sz="0" w:space="0" w:color="auto"/>
        <w:bottom w:val="none" w:sz="0" w:space="0" w:color="auto"/>
        <w:right w:val="none" w:sz="0" w:space="0" w:color="auto"/>
      </w:divBdr>
    </w:div>
    <w:div w:id="1666858139">
      <w:bodyDiv w:val="1"/>
      <w:marLeft w:val="0"/>
      <w:marRight w:val="0"/>
      <w:marTop w:val="0"/>
      <w:marBottom w:val="0"/>
      <w:divBdr>
        <w:top w:val="none" w:sz="0" w:space="0" w:color="auto"/>
        <w:left w:val="none" w:sz="0" w:space="0" w:color="auto"/>
        <w:bottom w:val="none" w:sz="0" w:space="0" w:color="auto"/>
        <w:right w:val="none" w:sz="0" w:space="0" w:color="auto"/>
      </w:divBdr>
    </w:div>
    <w:div w:id="1667245422">
      <w:bodyDiv w:val="1"/>
      <w:marLeft w:val="0"/>
      <w:marRight w:val="0"/>
      <w:marTop w:val="0"/>
      <w:marBottom w:val="0"/>
      <w:divBdr>
        <w:top w:val="none" w:sz="0" w:space="0" w:color="auto"/>
        <w:left w:val="none" w:sz="0" w:space="0" w:color="auto"/>
        <w:bottom w:val="none" w:sz="0" w:space="0" w:color="auto"/>
        <w:right w:val="none" w:sz="0" w:space="0" w:color="auto"/>
      </w:divBdr>
    </w:div>
    <w:div w:id="1667317262">
      <w:bodyDiv w:val="1"/>
      <w:marLeft w:val="0"/>
      <w:marRight w:val="0"/>
      <w:marTop w:val="0"/>
      <w:marBottom w:val="0"/>
      <w:divBdr>
        <w:top w:val="none" w:sz="0" w:space="0" w:color="auto"/>
        <w:left w:val="none" w:sz="0" w:space="0" w:color="auto"/>
        <w:bottom w:val="none" w:sz="0" w:space="0" w:color="auto"/>
        <w:right w:val="none" w:sz="0" w:space="0" w:color="auto"/>
      </w:divBdr>
    </w:div>
    <w:div w:id="1667322397">
      <w:bodyDiv w:val="1"/>
      <w:marLeft w:val="0"/>
      <w:marRight w:val="0"/>
      <w:marTop w:val="0"/>
      <w:marBottom w:val="0"/>
      <w:divBdr>
        <w:top w:val="none" w:sz="0" w:space="0" w:color="auto"/>
        <w:left w:val="none" w:sz="0" w:space="0" w:color="auto"/>
        <w:bottom w:val="none" w:sz="0" w:space="0" w:color="auto"/>
        <w:right w:val="none" w:sz="0" w:space="0" w:color="auto"/>
      </w:divBdr>
    </w:div>
    <w:div w:id="1667325184">
      <w:bodyDiv w:val="1"/>
      <w:marLeft w:val="0"/>
      <w:marRight w:val="0"/>
      <w:marTop w:val="0"/>
      <w:marBottom w:val="0"/>
      <w:divBdr>
        <w:top w:val="none" w:sz="0" w:space="0" w:color="auto"/>
        <w:left w:val="none" w:sz="0" w:space="0" w:color="auto"/>
        <w:bottom w:val="none" w:sz="0" w:space="0" w:color="auto"/>
        <w:right w:val="none" w:sz="0" w:space="0" w:color="auto"/>
      </w:divBdr>
    </w:div>
    <w:div w:id="1667436680">
      <w:bodyDiv w:val="1"/>
      <w:marLeft w:val="0"/>
      <w:marRight w:val="0"/>
      <w:marTop w:val="0"/>
      <w:marBottom w:val="0"/>
      <w:divBdr>
        <w:top w:val="none" w:sz="0" w:space="0" w:color="auto"/>
        <w:left w:val="none" w:sz="0" w:space="0" w:color="auto"/>
        <w:bottom w:val="none" w:sz="0" w:space="0" w:color="auto"/>
        <w:right w:val="none" w:sz="0" w:space="0" w:color="auto"/>
      </w:divBdr>
    </w:div>
    <w:div w:id="1667439641">
      <w:bodyDiv w:val="1"/>
      <w:marLeft w:val="0"/>
      <w:marRight w:val="0"/>
      <w:marTop w:val="0"/>
      <w:marBottom w:val="0"/>
      <w:divBdr>
        <w:top w:val="none" w:sz="0" w:space="0" w:color="auto"/>
        <w:left w:val="none" w:sz="0" w:space="0" w:color="auto"/>
        <w:bottom w:val="none" w:sz="0" w:space="0" w:color="auto"/>
        <w:right w:val="none" w:sz="0" w:space="0" w:color="auto"/>
      </w:divBdr>
    </w:div>
    <w:div w:id="1667514158">
      <w:bodyDiv w:val="1"/>
      <w:marLeft w:val="0"/>
      <w:marRight w:val="0"/>
      <w:marTop w:val="0"/>
      <w:marBottom w:val="0"/>
      <w:divBdr>
        <w:top w:val="none" w:sz="0" w:space="0" w:color="auto"/>
        <w:left w:val="none" w:sz="0" w:space="0" w:color="auto"/>
        <w:bottom w:val="none" w:sz="0" w:space="0" w:color="auto"/>
        <w:right w:val="none" w:sz="0" w:space="0" w:color="auto"/>
      </w:divBdr>
    </w:div>
    <w:div w:id="1667585592">
      <w:bodyDiv w:val="1"/>
      <w:marLeft w:val="0"/>
      <w:marRight w:val="0"/>
      <w:marTop w:val="0"/>
      <w:marBottom w:val="0"/>
      <w:divBdr>
        <w:top w:val="none" w:sz="0" w:space="0" w:color="auto"/>
        <w:left w:val="none" w:sz="0" w:space="0" w:color="auto"/>
        <w:bottom w:val="none" w:sz="0" w:space="0" w:color="auto"/>
        <w:right w:val="none" w:sz="0" w:space="0" w:color="auto"/>
      </w:divBdr>
    </w:div>
    <w:div w:id="1667592838">
      <w:bodyDiv w:val="1"/>
      <w:marLeft w:val="0"/>
      <w:marRight w:val="0"/>
      <w:marTop w:val="0"/>
      <w:marBottom w:val="0"/>
      <w:divBdr>
        <w:top w:val="none" w:sz="0" w:space="0" w:color="auto"/>
        <w:left w:val="none" w:sz="0" w:space="0" w:color="auto"/>
        <w:bottom w:val="none" w:sz="0" w:space="0" w:color="auto"/>
        <w:right w:val="none" w:sz="0" w:space="0" w:color="auto"/>
      </w:divBdr>
    </w:div>
    <w:div w:id="1667634771">
      <w:bodyDiv w:val="1"/>
      <w:marLeft w:val="0"/>
      <w:marRight w:val="0"/>
      <w:marTop w:val="0"/>
      <w:marBottom w:val="0"/>
      <w:divBdr>
        <w:top w:val="none" w:sz="0" w:space="0" w:color="auto"/>
        <w:left w:val="none" w:sz="0" w:space="0" w:color="auto"/>
        <w:bottom w:val="none" w:sz="0" w:space="0" w:color="auto"/>
        <w:right w:val="none" w:sz="0" w:space="0" w:color="auto"/>
      </w:divBdr>
    </w:div>
    <w:div w:id="1667636441">
      <w:bodyDiv w:val="1"/>
      <w:marLeft w:val="0"/>
      <w:marRight w:val="0"/>
      <w:marTop w:val="0"/>
      <w:marBottom w:val="0"/>
      <w:divBdr>
        <w:top w:val="none" w:sz="0" w:space="0" w:color="auto"/>
        <w:left w:val="none" w:sz="0" w:space="0" w:color="auto"/>
        <w:bottom w:val="none" w:sz="0" w:space="0" w:color="auto"/>
        <w:right w:val="none" w:sz="0" w:space="0" w:color="auto"/>
      </w:divBdr>
    </w:div>
    <w:div w:id="1667706848">
      <w:bodyDiv w:val="1"/>
      <w:marLeft w:val="0"/>
      <w:marRight w:val="0"/>
      <w:marTop w:val="0"/>
      <w:marBottom w:val="0"/>
      <w:divBdr>
        <w:top w:val="none" w:sz="0" w:space="0" w:color="auto"/>
        <w:left w:val="none" w:sz="0" w:space="0" w:color="auto"/>
        <w:bottom w:val="none" w:sz="0" w:space="0" w:color="auto"/>
        <w:right w:val="none" w:sz="0" w:space="0" w:color="auto"/>
      </w:divBdr>
    </w:div>
    <w:div w:id="1667828788">
      <w:bodyDiv w:val="1"/>
      <w:marLeft w:val="0"/>
      <w:marRight w:val="0"/>
      <w:marTop w:val="0"/>
      <w:marBottom w:val="0"/>
      <w:divBdr>
        <w:top w:val="none" w:sz="0" w:space="0" w:color="auto"/>
        <w:left w:val="none" w:sz="0" w:space="0" w:color="auto"/>
        <w:bottom w:val="none" w:sz="0" w:space="0" w:color="auto"/>
        <w:right w:val="none" w:sz="0" w:space="0" w:color="auto"/>
      </w:divBdr>
    </w:div>
    <w:div w:id="1667854846">
      <w:bodyDiv w:val="1"/>
      <w:marLeft w:val="0"/>
      <w:marRight w:val="0"/>
      <w:marTop w:val="0"/>
      <w:marBottom w:val="0"/>
      <w:divBdr>
        <w:top w:val="none" w:sz="0" w:space="0" w:color="auto"/>
        <w:left w:val="none" w:sz="0" w:space="0" w:color="auto"/>
        <w:bottom w:val="none" w:sz="0" w:space="0" w:color="auto"/>
        <w:right w:val="none" w:sz="0" w:space="0" w:color="auto"/>
      </w:divBdr>
    </w:div>
    <w:div w:id="1667896222">
      <w:bodyDiv w:val="1"/>
      <w:marLeft w:val="0"/>
      <w:marRight w:val="0"/>
      <w:marTop w:val="0"/>
      <w:marBottom w:val="0"/>
      <w:divBdr>
        <w:top w:val="none" w:sz="0" w:space="0" w:color="auto"/>
        <w:left w:val="none" w:sz="0" w:space="0" w:color="auto"/>
        <w:bottom w:val="none" w:sz="0" w:space="0" w:color="auto"/>
        <w:right w:val="none" w:sz="0" w:space="0" w:color="auto"/>
      </w:divBdr>
    </w:div>
    <w:div w:id="1667901416">
      <w:bodyDiv w:val="1"/>
      <w:marLeft w:val="0"/>
      <w:marRight w:val="0"/>
      <w:marTop w:val="0"/>
      <w:marBottom w:val="0"/>
      <w:divBdr>
        <w:top w:val="none" w:sz="0" w:space="0" w:color="auto"/>
        <w:left w:val="none" w:sz="0" w:space="0" w:color="auto"/>
        <w:bottom w:val="none" w:sz="0" w:space="0" w:color="auto"/>
        <w:right w:val="none" w:sz="0" w:space="0" w:color="auto"/>
      </w:divBdr>
    </w:div>
    <w:div w:id="1667901897">
      <w:bodyDiv w:val="1"/>
      <w:marLeft w:val="0"/>
      <w:marRight w:val="0"/>
      <w:marTop w:val="0"/>
      <w:marBottom w:val="0"/>
      <w:divBdr>
        <w:top w:val="none" w:sz="0" w:space="0" w:color="auto"/>
        <w:left w:val="none" w:sz="0" w:space="0" w:color="auto"/>
        <w:bottom w:val="none" w:sz="0" w:space="0" w:color="auto"/>
        <w:right w:val="none" w:sz="0" w:space="0" w:color="auto"/>
      </w:divBdr>
    </w:div>
    <w:div w:id="1668046918">
      <w:bodyDiv w:val="1"/>
      <w:marLeft w:val="0"/>
      <w:marRight w:val="0"/>
      <w:marTop w:val="0"/>
      <w:marBottom w:val="0"/>
      <w:divBdr>
        <w:top w:val="none" w:sz="0" w:space="0" w:color="auto"/>
        <w:left w:val="none" w:sz="0" w:space="0" w:color="auto"/>
        <w:bottom w:val="none" w:sz="0" w:space="0" w:color="auto"/>
        <w:right w:val="none" w:sz="0" w:space="0" w:color="auto"/>
      </w:divBdr>
    </w:div>
    <w:div w:id="1668097015">
      <w:bodyDiv w:val="1"/>
      <w:marLeft w:val="0"/>
      <w:marRight w:val="0"/>
      <w:marTop w:val="0"/>
      <w:marBottom w:val="0"/>
      <w:divBdr>
        <w:top w:val="none" w:sz="0" w:space="0" w:color="auto"/>
        <w:left w:val="none" w:sz="0" w:space="0" w:color="auto"/>
        <w:bottom w:val="none" w:sz="0" w:space="0" w:color="auto"/>
        <w:right w:val="none" w:sz="0" w:space="0" w:color="auto"/>
      </w:divBdr>
    </w:div>
    <w:div w:id="1668165612">
      <w:bodyDiv w:val="1"/>
      <w:marLeft w:val="0"/>
      <w:marRight w:val="0"/>
      <w:marTop w:val="0"/>
      <w:marBottom w:val="0"/>
      <w:divBdr>
        <w:top w:val="none" w:sz="0" w:space="0" w:color="auto"/>
        <w:left w:val="none" w:sz="0" w:space="0" w:color="auto"/>
        <w:bottom w:val="none" w:sz="0" w:space="0" w:color="auto"/>
        <w:right w:val="none" w:sz="0" w:space="0" w:color="auto"/>
      </w:divBdr>
    </w:div>
    <w:div w:id="1668171531">
      <w:bodyDiv w:val="1"/>
      <w:marLeft w:val="0"/>
      <w:marRight w:val="0"/>
      <w:marTop w:val="0"/>
      <w:marBottom w:val="0"/>
      <w:divBdr>
        <w:top w:val="none" w:sz="0" w:space="0" w:color="auto"/>
        <w:left w:val="none" w:sz="0" w:space="0" w:color="auto"/>
        <w:bottom w:val="none" w:sz="0" w:space="0" w:color="auto"/>
        <w:right w:val="none" w:sz="0" w:space="0" w:color="auto"/>
      </w:divBdr>
    </w:div>
    <w:div w:id="1668292205">
      <w:bodyDiv w:val="1"/>
      <w:marLeft w:val="0"/>
      <w:marRight w:val="0"/>
      <w:marTop w:val="0"/>
      <w:marBottom w:val="0"/>
      <w:divBdr>
        <w:top w:val="none" w:sz="0" w:space="0" w:color="auto"/>
        <w:left w:val="none" w:sz="0" w:space="0" w:color="auto"/>
        <w:bottom w:val="none" w:sz="0" w:space="0" w:color="auto"/>
        <w:right w:val="none" w:sz="0" w:space="0" w:color="auto"/>
      </w:divBdr>
    </w:div>
    <w:div w:id="1668365833">
      <w:bodyDiv w:val="1"/>
      <w:marLeft w:val="0"/>
      <w:marRight w:val="0"/>
      <w:marTop w:val="0"/>
      <w:marBottom w:val="0"/>
      <w:divBdr>
        <w:top w:val="none" w:sz="0" w:space="0" w:color="auto"/>
        <w:left w:val="none" w:sz="0" w:space="0" w:color="auto"/>
        <w:bottom w:val="none" w:sz="0" w:space="0" w:color="auto"/>
        <w:right w:val="none" w:sz="0" w:space="0" w:color="auto"/>
      </w:divBdr>
    </w:div>
    <w:div w:id="1668702776">
      <w:bodyDiv w:val="1"/>
      <w:marLeft w:val="0"/>
      <w:marRight w:val="0"/>
      <w:marTop w:val="0"/>
      <w:marBottom w:val="0"/>
      <w:divBdr>
        <w:top w:val="none" w:sz="0" w:space="0" w:color="auto"/>
        <w:left w:val="none" w:sz="0" w:space="0" w:color="auto"/>
        <w:bottom w:val="none" w:sz="0" w:space="0" w:color="auto"/>
        <w:right w:val="none" w:sz="0" w:space="0" w:color="auto"/>
      </w:divBdr>
    </w:div>
    <w:div w:id="1668706119">
      <w:bodyDiv w:val="1"/>
      <w:marLeft w:val="0"/>
      <w:marRight w:val="0"/>
      <w:marTop w:val="0"/>
      <w:marBottom w:val="0"/>
      <w:divBdr>
        <w:top w:val="none" w:sz="0" w:space="0" w:color="auto"/>
        <w:left w:val="none" w:sz="0" w:space="0" w:color="auto"/>
        <w:bottom w:val="none" w:sz="0" w:space="0" w:color="auto"/>
        <w:right w:val="none" w:sz="0" w:space="0" w:color="auto"/>
      </w:divBdr>
    </w:div>
    <w:div w:id="1668749137">
      <w:bodyDiv w:val="1"/>
      <w:marLeft w:val="0"/>
      <w:marRight w:val="0"/>
      <w:marTop w:val="0"/>
      <w:marBottom w:val="0"/>
      <w:divBdr>
        <w:top w:val="none" w:sz="0" w:space="0" w:color="auto"/>
        <w:left w:val="none" w:sz="0" w:space="0" w:color="auto"/>
        <w:bottom w:val="none" w:sz="0" w:space="0" w:color="auto"/>
        <w:right w:val="none" w:sz="0" w:space="0" w:color="auto"/>
      </w:divBdr>
    </w:div>
    <w:div w:id="1668825311">
      <w:bodyDiv w:val="1"/>
      <w:marLeft w:val="0"/>
      <w:marRight w:val="0"/>
      <w:marTop w:val="0"/>
      <w:marBottom w:val="0"/>
      <w:divBdr>
        <w:top w:val="none" w:sz="0" w:space="0" w:color="auto"/>
        <w:left w:val="none" w:sz="0" w:space="0" w:color="auto"/>
        <w:bottom w:val="none" w:sz="0" w:space="0" w:color="auto"/>
        <w:right w:val="none" w:sz="0" w:space="0" w:color="auto"/>
      </w:divBdr>
    </w:div>
    <w:div w:id="1668947476">
      <w:bodyDiv w:val="1"/>
      <w:marLeft w:val="0"/>
      <w:marRight w:val="0"/>
      <w:marTop w:val="0"/>
      <w:marBottom w:val="0"/>
      <w:divBdr>
        <w:top w:val="none" w:sz="0" w:space="0" w:color="auto"/>
        <w:left w:val="none" w:sz="0" w:space="0" w:color="auto"/>
        <w:bottom w:val="none" w:sz="0" w:space="0" w:color="auto"/>
        <w:right w:val="none" w:sz="0" w:space="0" w:color="auto"/>
      </w:divBdr>
    </w:div>
    <w:div w:id="1669093071">
      <w:bodyDiv w:val="1"/>
      <w:marLeft w:val="0"/>
      <w:marRight w:val="0"/>
      <w:marTop w:val="0"/>
      <w:marBottom w:val="0"/>
      <w:divBdr>
        <w:top w:val="none" w:sz="0" w:space="0" w:color="auto"/>
        <w:left w:val="none" w:sz="0" w:space="0" w:color="auto"/>
        <w:bottom w:val="none" w:sz="0" w:space="0" w:color="auto"/>
        <w:right w:val="none" w:sz="0" w:space="0" w:color="auto"/>
      </w:divBdr>
    </w:div>
    <w:div w:id="1669137147">
      <w:bodyDiv w:val="1"/>
      <w:marLeft w:val="0"/>
      <w:marRight w:val="0"/>
      <w:marTop w:val="0"/>
      <w:marBottom w:val="0"/>
      <w:divBdr>
        <w:top w:val="none" w:sz="0" w:space="0" w:color="auto"/>
        <w:left w:val="none" w:sz="0" w:space="0" w:color="auto"/>
        <w:bottom w:val="none" w:sz="0" w:space="0" w:color="auto"/>
        <w:right w:val="none" w:sz="0" w:space="0" w:color="auto"/>
      </w:divBdr>
    </w:div>
    <w:div w:id="1669207766">
      <w:bodyDiv w:val="1"/>
      <w:marLeft w:val="0"/>
      <w:marRight w:val="0"/>
      <w:marTop w:val="0"/>
      <w:marBottom w:val="0"/>
      <w:divBdr>
        <w:top w:val="none" w:sz="0" w:space="0" w:color="auto"/>
        <w:left w:val="none" w:sz="0" w:space="0" w:color="auto"/>
        <w:bottom w:val="none" w:sz="0" w:space="0" w:color="auto"/>
        <w:right w:val="none" w:sz="0" w:space="0" w:color="auto"/>
      </w:divBdr>
    </w:div>
    <w:div w:id="1669208343">
      <w:bodyDiv w:val="1"/>
      <w:marLeft w:val="0"/>
      <w:marRight w:val="0"/>
      <w:marTop w:val="0"/>
      <w:marBottom w:val="0"/>
      <w:divBdr>
        <w:top w:val="none" w:sz="0" w:space="0" w:color="auto"/>
        <w:left w:val="none" w:sz="0" w:space="0" w:color="auto"/>
        <w:bottom w:val="none" w:sz="0" w:space="0" w:color="auto"/>
        <w:right w:val="none" w:sz="0" w:space="0" w:color="auto"/>
      </w:divBdr>
    </w:div>
    <w:div w:id="1669289489">
      <w:bodyDiv w:val="1"/>
      <w:marLeft w:val="0"/>
      <w:marRight w:val="0"/>
      <w:marTop w:val="0"/>
      <w:marBottom w:val="0"/>
      <w:divBdr>
        <w:top w:val="none" w:sz="0" w:space="0" w:color="auto"/>
        <w:left w:val="none" w:sz="0" w:space="0" w:color="auto"/>
        <w:bottom w:val="none" w:sz="0" w:space="0" w:color="auto"/>
        <w:right w:val="none" w:sz="0" w:space="0" w:color="auto"/>
      </w:divBdr>
    </w:div>
    <w:div w:id="1669333414">
      <w:bodyDiv w:val="1"/>
      <w:marLeft w:val="0"/>
      <w:marRight w:val="0"/>
      <w:marTop w:val="0"/>
      <w:marBottom w:val="0"/>
      <w:divBdr>
        <w:top w:val="none" w:sz="0" w:space="0" w:color="auto"/>
        <w:left w:val="none" w:sz="0" w:space="0" w:color="auto"/>
        <w:bottom w:val="none" w:sz="0" w:space="0" w:color="auto"/>
        <w:right w:val="none" w:sz="0" w:space="0" w:color="auto"/>
      </w:divBdr>
    </w:div>
    <w:div w:id="1669333733">
      <w:bodyDiv w:val="1"/>
      <w:marLeft w:val="0"/>
      <w:marRight w:val="0"/>
      <w:marTop w:val="0"/>
      <w:marBottom w:val="0"/>
      <w:divBdr>
        <w:top w:val="none" w:sz="0" w:space="0" w:color="auto"/>
        <w:left w:val="none" w:sz="0" w:space="0" w:color="auto"/>
        <w:bottom w:val="none" w:sz="0" w:space="0" w:color="auto"/>
        <w:right w:val="none" w:sz="0" w:space="0" w:color="auto"/>
      </w:divBdr>
    </w:div>
    <w:div w:id="1669405206">
      <w:bodyDiv w:val="1"/>
      <w:marLeft w:val="0"/>
      <w:marRight w:val="0"/>
      <w:marTop w:val="0"/>
      <w:marBottom w:val="0"/>
      <w:divBdr>
        <w:top w:val="none" w:sz="0" w:space="0" w:color="auto"/>
        <w:left w:val="none" w:sz="0" w:space="0" w:color="auto"/>
        <w:bottom w:val="none" w:sz="0" w:space="0" w:color="auto"/>
        <w:right w:val="none" w:sz="0" w:space="0" w:color="auto"/>
      </w:divBdr>
    </w:div>
    <w:div w:id="1669477110">
      <w:bodyDiv w:val="1"/>
      <w:marLeft w:val="0"/>
      <w:marRight w:val="0"/>
      <w:marTop w:val="0"/>
      <w:marBottom w:val="0"/>
      <w:divBdr>
        <w:top w:val="none" w:sz="0" w:space="0" w:color="auto"/>
        <w:left w:val="none" w:sz="0" w:space="0" w:color="auto"/>
        <w:bottom w:val="none" w:sz="0" w:space="0" w:color="auto"/>
        <w:right w:val="none" w:sz="0" w:space="0" w:color="auto"/>
      </w:divBdr>
    </w:div>
    <w:div w:id="1669479715">
      <w:bodyDiv w:val="1"/>
      <w:marLeft w:val="0"/>
      <w:marRight w:val="0"/>
      <w:marTop w:val="0"/>
      <w:marBottom w:val="0"/>
      <w:divBdr>
        <w:top w:val="none" w:sz="0" w:space="0" w:color="auto"/>
        <w:left w:val="none" w:sz="0" w:space="0" w:color="auto"/>
        <w:bottom w:val="none" w:sz="0" w:space="0" w:color="auto"/>
        <w:right w:val="none" w:sz="0" w:space="0" w:color="auto"/>
      </w:divBdr>
    </w:div>
    <w:div w:id="1669626674">
      <w:bodyDiv w:val="1"/>
      <w:marLeft w:val="0"/>
      <w:marRight w:val="0"/>
      <w:marTop w:val="0"/>
      <w:marBottom w:val="0"/>
      <w:divBdr>
        <w:top w:val="none" w:sz="0" w:space="0" w:color="auto"/>
        <w:left w:val="none" w:sz="0" w:space="0" w:color="auto"/>
        <w:bottom w:val="none" w:sz="0" w:space="0" w:color="auto"/>
        <w:right w:val="none" w:sz="0" w:space="0" w:color="auto"/>
      </w:divBdr>
    </w:div>
    <w:div w:id="1669627787">
      <w:bodyDiv w:val="1"/>
      <w:marLeft w:val="0"/>
      <w:marRight w:val="0"/>
      <w:marTop w:val="0"/>
      <w:marBottom w:val="0"/>
      <w:divBdr>
        <w:top w:val="none" w:sz="0" w:space="0" w:color="auto"/>
        <w:left w:val="none" w:sz="0" w:space="0" w:color="auto"/>
        <w:bottom w:val="none" w:sz="0" w:space="0" w:color="auto"/>
        <w:right w:val="none" w:sz="0" w:space="0" w:color="auto"/>
      </w:divBdr>
    </w:div>
    <w:div w:id="1669672484">
      <w:bodyDiv w:val="1"/>
      <w:marLeft w:val="0"/>
      <w:marRight w:val="0"/>
      <w:marTop w:val="0"/>
      <w:marBottom w:val="0"/>
      <w:divBdr>
        <w:top w:val="none" w:sz="0" w:space="0" w:color="auto"/>
        <w:left w:val="none" w:sz="0" w:space="0" w:color="auto"/>
        <w:bottom w:val="none" w:sz="0" w:space="0" w:color="auto"/>
        <w:right w:val="none" w:sz="0" w:space="0" w:color="auto"/>
      </w:divBdr>
    </w:div>
    <w:div w:id="1669673503">
      <w:bodyDiv w:val="1"/>
      <w:marLeft w:val="0"/>
      <w:marRight w:val="0"/>
      <w:marTop w:val="0"/>
      <w:marBottom w:val="0"/>
      <w:divBdr>
        <w:top w:val="none" w:sz="0" w:space="0" w:color="auto"/>
        <w:left w:val="none" w:sz="0" w:space="0" w:color="auto"/>
        <w:bottom w:val="none" w:sz="0" w:space="0" w:color="auto"/>
        <w:right w:val="none" w:sz="0" w:space="0" w:color="auto"/>
      </w:divBdr>
    </w:div>
    <w:div w:id="1669677803">
      <w:bodyDiv w:val="1"/>
      <w:marLeft w:val="0"/>
      <w:marRight w:val="0"/>
      <w:marTop w:val="0"/>
      <w:marBottom w:val="0"/>
      <w:divBdr>
        <w:top w:val="none" w:sz="0" w:space="0" w:color="auto"/>
        <w:left w:val="none" w:sz="0" w:space="0" w:color="auto"/>
        <w:bottom w:val="none" w:sz="0" w:space="0" w:color="auto"/>
        <w:right w:val="none" w:sz="0" w:space="0" w:color="auto"/>
      </w:divBdr>
    </w:div>
    <w:div w:id="1669940012">
      <w:bodyDiv w:val="1"/>
      <w:marLeft w:val="0"/>
      <w:marRight w:val="0"/>
      <w:marTop w:val="0"/>
      <w:marBottom w:val="0"/>
      <w:divBdr>
        <w:top w:val="none" w:sz="0" w:space="0" w:color="auto"/>
        <w:left w:val="none" w:sz="0" w:space="0" w:color="auto"/>
        <w:bottom w:val="none" w:sz="0" w:space="0" w:color="auto"/>
        <w:right w:val="none" w:sz="0" w:space="0" w:color="auto"/>
      </w:divBdr>
    </w:div>
    <w:div w:id="1670013302">
      <w:bodyDiv w:val="1"/>
      <w:marLeft w:val="0"/>
      <w:marRight w:val="0"/>
      <w:marTop w:val="0"/>
      <w:marBottom w:val="0"/>
      <w:divBdr>
        <w:top w:val="none" w:sz="0" w:space="0" w:color="auto"/>
        <w:left w:val="none" w:sz="0" w:space="0" w:color="auto"/>
        <w:bottom w:val="none" w:sz="0" w:space="0" w:color="auto"/>
        <w:right w:val="none" w:sz="0" w:space="0" w:color="auto"/>
      </w:divBdr>
    </w:div>
    <w:div w:id="1670212876">
      <w:bodyDiv w:val="1"/>
      <w:marLeft w:val="0"/>
      <w:marRight w:val="0"/>
      <w:marTop w:val="0"/>
      <w:marBottom w:val="0"/>
      <w:divBdr>
        <w:top w:val="none" w:sz="0" w:space="0" w:color="auto"/>
        <w:left w:val="none" w:sz="0" w:space="0" w:color="auto"/>
        <w:bottom w:val="none" w:sz="0" w:space="0" w:color="auto"/>
        <w:right w:val="none" w:sz="0" w:space="0" w:color="auto"/>
      </w:divBdr>
    </w:div>
    <w:div w:id="1670254527">
      <w:bodyDiv w:val="1"/>
      <w:marLeft w:val="0"/>
      <w:marRight w:val="0"/>
      <w:marTop w:val="0"/>
      <w:marBottom w:val="0"/>
      <w:divBdr>
        <w:top w:val="none" w:sz="0" w:space="0" w:color="auto"/>
        <w:left w:val="none" w:sz="0" w:space="0" w:color="auto"/>
        <w:bottom w:val="none" w:sz="0" w:space="0" w:color="auto"/>
        <w:right w:val="none" w:sz="0" w:space="0" w:color="auto"/>
      </w:divBdr>
    </w:div>
    <w:div w:id="1670331480">
      <w:bodyDiv w:val="1"/>
      <w:marLeft w:val="0"/>
      <w:marRight w:val="0"/>
      <w:marTop w:val="0"/>
      <w:marBottom w:val="0"/>
      <w:divBdr>
        <w:top w:val="none" w:sz="0" w:space="0" w:color="auto"/>
        <w:left w:val="none" w:sz="0" w:space="0" w:color="auto"/>
        <w:bottom w:val="none" w:sz="0" w:space="0" w:color="auto"/>
        <w:right w:val="none" w:sz="0" w:space="0" w:color="auto"/>
      </w:divBdr>
    </w:div>
    <w:div w:id="1670404618">
      <w:bodyDiv w:val="1"/>
      <w:marLeft w:val="0"/>
      <w:marRight w:val="0"/>
      <w:marTop w:val="0"/>
      <w:marBottom w:val="0"/>
      <w:divBdr>
        <w:top w:val="none" w:sz="0" w:space="0" w:color="auto"/>
        <w:left w:val="none" w:sz="0" w:space="0" w:color="auto"/>
        <w:bottom w:val="none" w:sz="0" w:space="0" w:color="auto"/>
        <w:right w:val="none" w:sz="0" w:space="0" w:color="auto"/>
      </w:divBdr>
    </w:div>
    <w:div w:id="1670522958">
      <w:bodyDiv w:val="1"/>
      <w:marLeft w:val="0"/>
      <w:marRight w:val="0"/>
      <w:marTop w:val="0"/>
      <w:marBottom w:val="0"/>
      <w:divBdr>
        <w:top w:val="none" w:sz="0" w:space="0" w:color="auto"/>
        <w:left w:val="none" w:sz="0" w:space="0" w:color="auto"/>
        <w:bottom w:val="none" w:sz="0" w:space="0" w:color="auto"/>
        <w:right w:val="none" w:sz="0" w:space="0" w:color="auto"/>
      </w:divBdr>
    </w:div>
    <w:div w:id="1670523803">
      <w:bodyDiv w:val="1"/>
      <w:marLeft w:val="0"/>
      <w:marRight w:val="0"/>
      <w:marTop w:val="0"/>
      <w:marBottom w:val="0"/>
      <w:divBdr>
        <w:top w:val="none" w:sz="0" w:space="0" w:color="auto"/>
        <w:left w:val="none" w:sz="0" w:space="0" w:color="auto"/>
        <w:bottom w:val="none" w:sz="0" w:space="0" w:color="auto"/>
        <w:right w:val="none" w:sz="0" w:space="0" w:color="auto"/>
      </w:divBdr>
    </w:div>
    <w:div w:id="1670526417">
      <w:bodyDiv w:val="1"/>
      <w:marLeft w:val="0"/>
      <w:marRight w:val="0"/>
      <w:marTop w:val="0"/>
      <w:marBottom w:val="0"/>
      <w:divBdr>
        <w:top w:val="none" w:sz="0" w:space="0" w:color="auto"/>
        <w:left w:val="none" w:sz="0" w:space="0" w:color="auto"/>
        <w:bottom w:val="none" w:sz="0" w:space="0" w:color="auto"/>
        <w:right w:val="none" w:sz="0" w:space="0" w:color="auto"/>
      </w:divBdr>
    </w:div>
    <w:div w:id="1670792249">
      <w:bodyDiv w:val="1"/>
      <w:marLeft w:val="0"/>
      <w:marRight w:val="0"/>
      <w:marTop w:val="0"/>
      <w:marBottom w:val="0"/>
      <w:divBdr>
        <w:top w:val="none" w:sz="0" w:space="0" w:color="auto"/>
        <w:left w:val="none" w:sz="0" w:space="0" w:color="auto"/>
        <w:bottom w:val="none" w:sz="0" w:space="0" w:color="auto"/>
        <w:right w:val="none" w:sz="0" w:space="0" w:color="auto"/>
      </w:divBdr>
    </w:div>
    <w:div w:id="1670861189">
      <w:bodyDiv w:val="1"/>
      <w:marLeft w:val="0"/>
      <w:marRight w:val="0"/>
      <w:marTop w:val="0"/>
      <w:marBottom w:val="0"/>
      <w:divBdr>
        <w:top w:val="none" w:sz="0" w:space="0" w:color="auto"/>
        <w:left w:val="none" w:sz="0" w:space="0" w:color="auto"/>
        <w:bottom w:val="none" w:sz="0" w:space="0" w:color="auto"/>
        <w:right w:val="none" w:sz="0" w:space="0" w:color="auto"/>
      </w:divBdr>
    </w:div>
    <w:div w:id="1670866808">
      <w:bodyDiv w:val="1"/>
      <w:marLeft w:val="0"/>
      <w:marRight w:val="0"/>
      <w:marTop w:val="0"/>
      <w:marBottom w:val="0"/>
      <w:divBdr>
        <w:top w:val="none" w:sz="0" w:space="0" w:color="auto"/>
        <w:left w:val="none" w:sz="0" w:space="0" w:color="auto"/>
        <w:bottom w:val="none" w:sz="0" w:space="0" w:color="auto"/>
        <w:right w:val="none" w:sz="0" w:space="0" w:color="auto"/>
      </w:divBdr>
    </w:div>
    <w:div w:id="1670906837">
      <w:bodyDiv w:val="1"/>
      <w:marLeft w:val="0"/>
      <w:marRight w:val="0"/>
      <w:marTop w:val="0"/>
      <w:marBottom w:val="0"/>
      <w:divBdr>
        <w:top w:val="none" w:sz="0" w:space="0" w:color="auto"/>
        <w:left w:val="none" w:sz="0" w:space="0" w:color="auto"/>
        <w:bottom w:val="none" w:sz="0" w:space="0" w:color="auto"/>
        <w:right w:val="none" w:sz="0" w:space="0" w:color="auto"/>
      </w:divBdr>
    </w:div>
    <w:div w:id="1670981521">
      <w:bodyDiv w:val="1"/>
      <w:marLeft w:val="0"/>
      <w:marRight w:val="0"/>
      <w:marTop w:val="0"/>
      <w:marBottom w:val="0"/>
      <w:divBdr>
        <w:top w:val="none" w:sz="0" w:space="0" w:color="auto"/>
        <w:left w:val="none" w:sz="0" w:space="0" w:color="auto"/>
        <w:bottom w:val="none" w:sz="0" w:space="0" w:color="auto"/>
        <w:right w:val="none" w:sz="0" w:space="0" w:color="auto"/>
      </w:divBdr>
    </w:div>
    <w:div w:id="1671055879">
      <w:bodyDiv w:val="1"/>
      <w:marLeft w:val="0"/>
      <w:marRight w:val="0"/>
      <w:marTop w:val="0"/>
      <w:marBottom w:val="0"/>
      <w:divBdr>
        <w:top w:val="none" w:sz="0" w:space="0" w:color="auto"/>
        <w:left w:val="none" w:sz="0" w:space="0" w:color="auto"/>
        <w:bottom w:val="none" w:sz="0" w:space="0" w:color="auto"/>
        <w:right w:val="none" w:sz="0" w:space="0" w:color="auto"/>
      </w:divBdr>
    </w:div>
    <w:div w:id="1671102619">
      <w:bodyDiv w:val="1"/>
      <w:marLeft w:val="0"/>
      <w:marRight w:val="0"/>
      <w:marTop w:val="0"/>
      <w:marBottom w:val="0"/>
      <w:divBdr>
        <w:top w:val="none" w:sz="0" w:space="0" w:color="auto"/>
        <w:left w:val="none" w:sz="0" w:space="0" w:color="auto"/>
        <w:bottom w:val="none" w:sz="0" w:space="0" w:color="auto"/>
        <w:right w:val="none" w:sz="0" w:space="0" w:color="auto"/>
      </w:divBdr>
    </w:div>
    <w:div w:id="1671178844">
      <w:bodyDiv w:val="1"/>
      <w:marLeft w:val="0"/>
      <w:marRight w:val="0"/>
      <w:marTop w:val="0"/>
      <w:marBottom w:val="0"/>
      <w:divBdr>
        <w:top w:val="none" w:sz="0" w:space="0" w:color="auto"/>
        <w:left w:val="none" w:sz="0" w:space="0" w:color="auto"/>
        <w:bottom w:val="none" w:sz="0" w:space="0" w:color="auto"/>
        <w:right w:val="none" w:sz="0" w:space="0" w:color="auto"/>
      </w:divBdr>
    </w:div>
    <w:div w:id="1671253178">
      <w:bodyDiv w:val="1"/>
      <w:marLeft w:val="0"/>
      <w:marRight w:val="0"/>
      <w:marTop w:val="0"/>
      <w:marBottom w:val="0"/>
      <w:divBdr>
        <w:top w:val="none" w:sz="0" w:space="0" w:color="auto"/>
        <w:left w:val="none" w:sz="0" w:space="0" w:color="auto"/>
        <w:bottom w:val="none" w:sz="0" w:space="0" w:color="auto"/>
        <w:right w:val="none" w:sz="0" w:space="0" w:color="auto"/>
      </w:divBdr>
    </w:div>
    <w:div w:id="1671366196">
      <w:bodyDiv w:val="1"/>
      <w:marLeft w:val="0"/>
      <w:marRight w:val="0"/>
      <w:marTop w:val="0"/>
      <w:marBottom w:val="0"/>
      <w:divBdr>
        <w:top w:val="none" w:sz="0" w:space="0" w:color="auto"/>
        <w:left w:val="none" w:sz="0" w:space="0" w:color="auto"/>
        <w:bottom w:val="none" w:sz="0" w:space="0" w:color="auto"/>
        <w:right w:val="none" w:sz="0" w:space="0" w:color="auto"/>
      </w:divBdr>
    </w:div>
    <w:div w:id="1671374884">
      <w:bodyDiv w:val="1"/>
      <w:marLeft w:val="0"/>
      <w:marRight w:val="0"/>
      <w:marTop w:val="0"/>
      <w:marBottom w:val="0"/>
      <w:divBdr>
        <w:top w:val="none" w:sz="0" w:space="0" w:color="auto"/>
        <w:left w:val="none" w:sz="0" w:space="0" w:color="auto"/>
        <w:bottom w:val="none" w:sz="0" w:space="0" w:color="auto"/>
        <w:right w:val="none" w:sz="0" w:space="0" w:color="auto"/>
      </w:divBdr>
    </w:div>
    <w:div w:id="1671442539">
      <w:bodyDiv w:val="1"/>
      <w:marLeft w:val="0"/>
      <w:marRight w:val="0"/>
      <w:marTop w:val="0"/>
      <w:marBottom w:val="0"/>
      <w:divBdr>
        <w:top w:val="none" w:sz="0" w:space="0" w:color="auto"/>
        <w:left w:val="none" w:sz="0" w:space="0" w:color="auto"/>
        <w:bottom w:val="none" w:sz="0" w:space="0" w:color="auto"/>
        <w:right w:val="none" w:sz="0" w:space="0" w:color="auto"/>
      </w:divBdr>
    </w:div>
    <w:div w:id="1671516768">
      <w:bodyDiv w:val="1"/>
      <w:marLeft w:val="0"/>
      <w:marRight w:val="0"/>
      <w:marTop w:val="0"/>
      <w:marBottom w:val="0"/>
      <w:divBdr>
        <w:top w:val="none" w:sz="0" w:space="0" w:color="auto"/>
        <w:left w:val="none" w:sz="0" w:space="0" w:color="auto"/>
        <w:bottom w:val="none" w:sz="0" w:space="0" w:color="auto"/>
        <w:right w:val="none" w:sz="0" w:space="0" w:color="auto"/>
      </w:divBdr>
    </w:div>
    <w:div w:id="1671561243">
      <w:bodyDiv w:val="1"/>
      <w:marLeft w:val="0"/>
      <w:marRight w:val="0"/>
      <w:marTop w:val="0"/>
      <w:marBottom w:val="0"/>
      <w:divBdr>
        <w:top w:val="none" w:sz="0" w:space="0" w:color="auto"/>
        <w:left w:val="none" w:sz="0" w:space="0" w:color="auto"/>
        <w:bottom w:val="none" w:sz="0" w:space="0" w:color="auto"/>
        <w:right w:val="none" w:sz="0" w:space="0" w:color="auto"/>
      </w:divBdr>
    </w:div>
    <w:div w:id="1671567460">
      <w:bodyDiv w:val="1"/>
      <w:marLeft w:val="0"/>
      <w:marRight w:val="0"/>
      <w:marTop w:val="0"/>
      <w:marBottom w:val="0"/>
      <w:divBdr>
        <w:top w:val="none" w:sz="0" w:space="0" w:color="auto"/>
        <w:left w:val="none" w:sz="0" w:space="0" w:color="auto"/>
        <w:bottom w:val="none" w:sz="0" w:space="0" w:color="auto"/>
        <w:right w:val="none" w:sz="0" w:space="0" w:color="auto"/>
      </w:divBdr>
    </w:div>
    <w:div w:id="1671593205">
      <w:bodyDiv w:val="1"/>
      <w:marLeft w:val="0"/>
      <w:marRight w:val="0"/>
      <w:marTop w:val="0"/>
      <w:marBottom w:val="0"/>
      <w:divBdr>
        <w:top w:val="none" w:sz="0" w:space="0" w:color="auto"/>
        <w:left w:val="none" w:sz="0" w:space="0" w:color="auto"/>
        <w:bottom w:val="none" w:sz="0" w:space="0" w:color="auto"/>
        <w:right w:val="none" w:sz="0" w:space="0" w:color="auto"/>
      </w:divBdr>
    </w:div>
    <w:div w:id="1671593371">
      <w:bodyDiv w:val="1"/>
      <w:marLeft w:val="0"/>
      <w:marRight w:val="0"/>
      <w:marTop w:val="0"/>
      <w:marBottom w:val="0"/>
      <w:divBdr>
        <w:top w:val="none" w:sz="0" w:space="0" w:color="auto"/>
        <w:left w:val="none" w:sz="0" w:space="0" w:color="auto"/>
        <w:bottom w:val="none" w:sz="0" w:space="0" w:color="auto"/>
        <w:right w:val="none" w:sz="0" w:space="0" w:color="auto"/>
      </w:divBdr>
    </w:div>
    <w:div w:id="1671643673">
      <w:bodyDiv w:val="1"/>
      <w:marLeft w:val="0"/>
      <w:marRight w:val="0"/>
      <w:marTop w:val="0"/>
      <w:marBottom w:val="0"/>
      <w:divBdr>
        <w:top w:val="none" w:sz="0" w:space="0" w:color="auto"/>
        <w:left w:val="none" w:sz="0" w:space="0" w:color="auto"/>
        <w:bottom w:val="none" w:sz="0" w:space="0" w:color="auto"/>
        <w:right w:val="none" w:sz="0" w:space="0" w:color="auto"/>
      </w:divBdr>
    </w:div>
    <w:div w:id="1671760656">
      <w:bodyDiv w:val="1"/>
      <w:marLeft w:val="0"/>
      <w:marRight w:val="0"/>
      <w:marTop w:val="0"/>
      <w:marBottom w:val="0"/>
      <w:divBdr>
        <w:top w:val="none" w:sz="0" w:space="0" w:color="auto"/>
        <w:left w:val="none" w:sz="0" w:space="0" w:color="auto"/>
        <w:bottom w:val="none" w:sz="0" w:space="0" w:color="auto"/>
        <w:right w:val="none" w:sz="0" w:space="0" w:color="auto"/>
      </w:divBdr>
    </w:div>
    <w:div w:id="1671786916">
      <w:bodyDiv w:val="1"/>
      <w:marLeft w:val="0"/>
      <w:marRight w:val="0"/>
      <w:marTop w:val="0"/>
      <w:marBottom w:val="0"/>
      <w:divBdr>
        <w:top w:val="none" w:sz="0" w:space="0" w:color="auto"/>
        <w:left w:val="none" w:sz="0" w:space="0" w:color="auto"/>
        <w:bottom w:val="none" w:sz="0" w:space="0" w:color="auto"/>
        <w:right w:val="none" w:sz="0" w:space="0" w:color="auto"/>
      </w:divBdr>
    </w:div>
    <w:div w:id="1671787987">
      <w:bodyDiv w:val="1"/>
      <w:marLeft w:val="0"/>
      <w:marRight w:val="0"/>
      <w:marTop w:val="0"/>
      <w:marBottom w:val="0"/>
      <w:divBdr>
        <w:top w:val="none" w:sz="0" w:space="0" w:color="auto"/>
        <w:left w:val="none" w:sz="0" w:space="0" w:color="auto"/>
        <w:bottom w:val="none" w:sz="0" w:space="0" w:color="auto"/>
        <w:right w:val="none" w:sz="0" w:space="0" w:color="auto"/>
      </w:divBdr>
    </w:div>
    <w:div w:id="1671830271">
      <w:bodyDiv w:val="1"/>
      <w:marLeft w:val="0"/>
      <w:marRight w:val="0"/>
      <w:marTop w:val="0"/>
      <w:marBottom w:val="0"/>
      <w:divBdr>
        <w:top w:val="none" w:sz="0" w:space="0" w:color="auto"/>
        <w:left w:val="none" w:sz="0" w:space="0" w:color="auto"/>
        <w:bottom w:val="none" w:sz="0" w:space="0" w:color="auto"/>
        <w:right w:val="none" w:sz="0" w:space="0" w:color="auto"/>
      </w:divBdr>
    </w:div>
    <w:div w:id="1671837038">
      <w:bodyDiv w:val="1"/>
      <w:marLeft w:val="0"/>
      <w:marRight w:val="0"/>
      <w:marTop w:val="0"/>
      <w:marBottom w:val="0"/>
      <w:divBdr>
        <w:top w:val="none" w:sz="0" w:space="0" w:color="auto"/>
        <w:left w:val="none" w:sz="0" w:space="0" w:color="auto"/>
        <w:bottom w:val="none" w:sz="0" w:space="0" w:color="auto"/>
        <w:right w:val="none" w:sz="0" w:space="0" w:color="auto"/>
      </w:divBdr>
    </w:div>
    <w:div w:id="1671978626">
      <w:bodyDiv w:val="1"/>
      <w:marLeft w:val="0"/>
      <w:marRight w:val="0"/>
      <w:marTop w:val="0"/>
      <w:marBottom w:val="0"/>
      <w:divBdr>
        <w:top w:val="none" w:sz="0" w:space="0" w:color="auto"/>
        <w:left w:val="none" w:sz="0" w:space="0" w:color="auto"/>
        <w:bottom w:val="none" w:sz="0" w:space="0" w:color="auto"/>
        <w:right w:val="none" w:sz="0" w:space="0" w:color="auto"/>
      </w:divBdr>
    </w:div>
    <w:div w:id="1671983795">
      <w:bodyDiv w:val="1"/>
      <w:marLeft w:val="0"/>
      <w:marRight w:val="0"/>
      <w:marTop w:val="0"/>
      <w:marBottom w:val="0"/>
      <w:divBdr>
        <w:top w:val="none" w:sz="0" w:space="0" w:color="auto"/>
        <w:left w:val="none" w:sz="0" w:space="0" w:color="auto"/>
        <w:bottom w:val="none" w:sz="0" w:space="0" w:color="auto"/>
        <w:right w:val="none" w:sz="0" w:space="0" w:color="auto"/>
      </w:divBdr>
    </w:div>
    <w:div w:id="1672030191">
      <w:bodyDiv w:val="1"/>
      <w:marLeft w:val="0"/>
      <w:marRight w:val="0"/>
      <w:marTop w:val="0"/>
      <w:marBottom w:val="0"/>
      <w:divBdr>
        <w:top w:val="none" w:sz="0" w:space="0" w:color="auto"/>
        <w:left w:val="none" w:sz="0" w:space="0" w:color="auto"/>
        <w:bottom w:val="none" w:sz="0" w:space="0" w:color="auto"/>
        <w:right w:val="none" w:sz="0" w:space="0" w:color="auto"/>
      </w:divBdr>
    </w:div>
    <w:div w:id="1672105186">
      <w:bodyDiv w:val="1"/>
      <w:marLeft w:val="0"/>
      <w:marRight w:val="0"/>
      <w:marTop w:val="0"/>
      <w:marBottom w:val="0"/>
      <w:divBdr>
        <w:top w:val="none" w:sz="0" w:space="0" w:color="auto"/>
        <w:left w:val="none" w:sz="0" w:space="0" w:color="auto"/>
        <w:bottom w:val="none" w:sz="0" w:space="0" w:color="auto"/>
        <w:right w:val="none" w:sz="0" w:space="0" w:color="auto"/>
      </w:divBdr>
    </w:div>
    <w:div w:id="1672178973">
      <w:bodyDiv w:val="1"/>
      <w:marLeft w:val="0"/>
      <w:marRight w:val="0"/>
      <w:marTop w:val="0"/>
      <w:marBottom w:val="0"/>
      <w:divBdr>
        <w:top w:val="none" w:sz="0" w:space="0" w:color="auto"/>
        <w:left w:val="none" w:sz="0" w:space="0" w:color="auto"/>
        <w:bottom w:val="none" w:sz="0" w:space="0" w:color="auto"/>
        <w:right w:val="none" w:sz="0" w:space="0" w:color="auto"/>
      </w:divBdr>
    </w:div>
    <w:div w:id="1672179255">
      <w:bodyDiv w:val="1"/>
      <w:marLeft w:val="0"/>
      <w:marRight w:val="0"/>
      <w:marTop w:val="0"/>
      <w:marBottom w:val="0"/>
      <w:divBdr>
        <w:top w:val="none" w:sz="0" w:space="0" w:color="auto"/>
        <w:left w:val="none" w:sz="0" w:space="0" w:color="auto"/>
        <w:bottom w:val="none" w:sz="0" w:space="0" w:color="auto"/>
        <w:right w:val="none" w:sz="0" w:space="0" w:color="auto"/>
      </w:divBdr>
    </w:div>
    <w:div w:id="1672223135">
      <w:bodyDiv w:val="1"/>
      <w:marLeft w:val="0"/>
      <w:marRight w:val="0"/>
      <w:marTop w:val="0"/>
      <w:marBottom w:val="0"/>
      <w:divBdr>
        <w:top w:val="none" w:sz="0" w:space="0" w:color="auto"/>
        <w:left w:val="none" w:sz="0" w:space="0" w:color="auto"/>
        <w:bottom w:val="none" w:sz="0" w:space="0" w:color="auto"/>
        <w:right w:val="none" w:sz="0" w:space="0" w:color="auto"/>
      </w:divBdr>
    </w:div>
    <w:div w:id="1672297057">
      <w:bodyDiv w:val="1"/>
      <w:marLeft w:val="0"/>
      <w:marRight w:val="0"/>
      <w:marTop w:val="0"/>
      <w:marBottom w:val="0"/>
      <w:divBdr>
        <w:top w:val="none" w:sz="0" w:space="0" w:color="auto"/>
        <w:left w:val="none" w:sz="0" w:space="0" w:color="auto"/>
        <w:bottom w:val="none" w:sz="0" w:space="0" w:color="auto"/>
        <w:right w:val="none" w:sz="0" w:space="0" w:color="auto"/>
      </w:divBdr>
    </w:div>
    <w:div w:id="1672370728">
      <w:bodyDiv w:val="1"/>
      <w:marLeft w:val="0"/>
      <w:marRight w:val="0"/>
      <w:marTop w:val="0"/>
      <w:marBottom w:val="0"/>
      <w:divBdr>
        <w:top w:val="none" w:sz="0" w:space="0" w:color="auto"/>
        <w:left w:val="none" w:sz="0" w:space="0" w:color="auto"/>
        <w:bottom w:val="none" w:sz="0" w:space="0" w:color="auto"/>
        <w:right w:val="none" w:sz="0" w:space="0" w:color="auto"/>
      </w:divBdr>
    </w:div>
    <w:div w:id="1672485347">
      <w:bodyDiv w:val="1"/>
      <w:marLeft w:val="0"/>
      <w:marRight w:val="0"/>
      <w:marTop w:val="0"/>
      <w:marBottom w:val="0"/>
      <w:divBdr>
        <w:top w:val="none" w:sz="0" w:space="0" w:color="auto"/>
        <w:left w:val="none" w:sz="0" w:space="0" w:color="auto"/>
        <w:bottom w:val="none" w:sz="0" w:space="0" w:color="auto"/>
        <w:right w:val="none" w:sz="0" w:space="0" w:color="auto"/>
      </w:divBdr>
    </w:div>
    <w:div w:id="1672491871">
      <w:bodyDiv w:val="1"/>
      <w:marLeft w:val="0"/>
      <w:marRight w:val="0"/>
      <w:marTop w:val="0"/>
      <w:marBottom w:val="0"/>
      <w:divBdr>
        <w:top w:val="none" w:sz="0" w:space="0" w:color="auto"/>
        <w:left w:val="none" w:sz="0" w:space="0" w:color="auto"/>
        <w:bottom w:val="none" w:sz="0" w:space="0" w:color="auto"/>
        <w:right w:val="none" w:sz="0" w:space="0" w:color="auto"/>
      </w:divBdr>
    </w:div>
    <w:div w:id="1672609920">
      <w:bodyDiv w:val="1"/>
      <w:marLeft w:val="0"/>
      <w:marRight w:val="0"/>
      <w:marTop w:val="0"/>
      <w:marBottom w:val="0"/>
      <w:divBdr>
        <w:top w:val="none" w:sz="0" w:space="0" w:color="auto"/>
        <w:left w:val="none" w:sz="0" w:space="0" w:color="auto"/>
        <w:bottom w:val="none" w:sz="0" w:space="0" w:color="auto"/>
        <w:right w:val="none" w:sz="0" w:space="0" w:color="auto"/>
      </w:divBdr>
    </w:div>
    <w:div w:id="1672610342">
      <w:bodyDiv w:val="1"/>
      <w:marLeft w:val="0"/>
      <w:marRight w:val="0"/>
      <w:marTop w:val="0"/>
      <w:marBottom w:val="0"/>
      <w:divBdr>
        <w:top w:val="none" w:sz="0" w:space="0" w:color="auto"/>
        <w:left w:val="none" w:sz="0" w:space="0" w:color="auto"/>
        <w:bottom w:val="none" w:sz="0" w:space="0" w:color="auto"/>
        <w:right w:val="none" w:sz="0" w:space="0" w:color="auto"/>
      </w:divBdr>
    </w:div>
    <w:div w:id="1672873534">
      <w:bodyDiv w:val="1"/>
      <w:marLeft w:val="0"/>
      <w:marRight w:val="0"/>
      <w:marTop w:val="0"/>
      <w:marBottom w:val="0"/>
      <w:divBdr>
        <w:top w:val="none" w:sz="0" w:space="0" w:color="auto"/>
        <w:left w:val="none" w:sz="0" w:space="0" w:color="auto"/>
        <w:bottom w:val="none" w:sz="0" w:space="0" w:color="auto"/>
        <w:right w:val="none" w:sz="0" w:space="0" w:color="auto"/>
      </w:divBdr>
    </w:div>
    <w:div w:id="1672903979">
      <w:bodyDiv w:val="1"/>
      <w:marLeft w:val="0"/>
      <w:marRight w:val="0"/>
      <w:marTop w:val="0"/>
      <w:marBottom w:val="0"/>
      <w:divBdr>
        <w:top w:val="none" w:sz="0" w:space="0" w:color="auto"/>
        <w:left w:val="none" w:sz="0" w:space="0" w:color="auto"/>
        <w:bottom w:val="none" w:sz="0" w:space="0" w:color="auto"/>
        <w:right w:val="none" w:sz="0" w:space="0" w:color="auto"/>
      </w:divBdr>
    </w:div>
    <w:div w:id="1672947191">
      <w:bodyDiv w:val="1"/>
      <w:marLeft w:val="0"/>
      <w:marRight w:val="0"/>
      <w:marTop w:val="0"/>
      <w:marBottom w:val="0"/>
      <w:divBdr>
        <w:top w:val="none" w:sz="0" w:space="0" w:color="auto"/>
        <w:left w:val="none" w:sz="0" w:space="0" w:color="auto"/>
        <w:bottom w:val="none" w:sz="0" w:space="0" w:color="auto"/>
        <w:right w:val="none" w:sz="0" w:space="0" w:color="auto"/>
      </w:divBdr>
    </w:div>
    <w:div w:id="1673068590">
      <w:bodyDiv w:val="1"/>
      <w:marLeft w:val="0"/>
      <w:marRight w:val="0"/>
      <w:marTop w:val="0"/>
      <w:marBottom w:val="0"/>
      <w:divBdr>
        <w:top w:val="none" w:sz="0" w:space="0" w:color="auto"/>
        <w:left w:val="none" w:sz="0" w:space="0" w:color="auto"/>
        <w:bottom w:val="none" w:sz="0" w:space="0" w:color="auto"/>
        <w:right w:val="none" w:sz="0" w:space="0" w:color="auto"/>
      </w:divBdr>
    </w:div>
    <w:div w:id="1673070382">
      <w:bodyDiv w:val="1"/>
      <w:marLeft w:val="0"/>
      <w:marRight w:val="0"/>
      <w:marTop w:val="0"/>
      <w:marBottom w:val="0"/>
      <w:divBdr>
        <w:top w:val="none" w:sz="0" w:space="0" w:color="auto"/>
        <w:left w:val="none" w:sz="0" w:space="0" w:color="auto"/>
        <w:bottom w:val="none" w:sz="0" w:space="0" w:color="auto"/>
        <w:right w:val="none" w:sz="0" w:space="0" w:color="auto"/>
      </w:divBdr>
    </w:div>
    <w:div w:id="1673097513">
      <w:bodyDiv w:val="1"/>
      <w:marLeft w:val="0"/>
      <w:marRight w:val="0"/>
      <w:marTop w:val="0"/>
      <w:marBottom w:val="0"/>
      <w:divBdr>
        <w:top w:val="none" w:sz="0" w:space="0" w:color="auto"/>
        <w:left w:val="none" w:sz="0" w:space="0" w:color="auto"/>
        <w:bottom w:val="none" w:sz="0" w:space="0" w:color="auto"/>
        <w:right w:val="none" w:sz="0" w:space="0" w:color="auto"/>
      </w:divBdr>
    </w:div>
    <w:div w:id="1673216510">
      <w:bodyDiv w:val="1"/>
      <w:marLeft w:val="0"/>
      <w:marRight w:val="0"/>
      <w:marTop w:val="0"/>
      <w:marBottom w:val="0"/>
      <w:divBdr>
        <w:top w:val="none" w:sz="0" w:space="0" w:color="auto"/>
        <w:left w:val="none" w:sz="0" w:space="0" w:color="auto"/>
        <w:bottom w:val="none" w:sz="0" w:space="0" w:color="auto"/>
        <w:right w:val="none" w:sz="0" w:space="0" w:color="auto"/>
      </w:divBdr>
    </w:div>
    <w:div w:id="1673289870">
      <w:bodyDiv w:val="1"/>
      <w:marLeft w:val="0"/>
      <w:marRight w:val="0"/>
      <w:marTop w:val="0"/>
      <w:marBottom w:val="0"/>
      <w:divBdr>
        <w:top w:val="none" w:sz="0" w:space="0" w:color="auto"/>
        <w:left w:val="none" w:sz="0" w:space="0" w:color="auto"/>
        <w:bottom w:val="none" w:sz="0" w:space="0" w:color="auto"/>
        <w:right w:val="none" w:sz="0" w:space="0" w:color="auto"/>
      </w:divBdr>
    </w:div>
    <w:div w:id="1673291259">
      <w:bodyDiv w:val="1"/>
      <w:marLeft w:val="0"/>
      <w:marRight w:val="0"/>
      <w:marTop w:val="0"/>
      <w:marBottom w:val="0"/>
      <w:divBdr>
        <w:top w:val="none" w:sz="0" w:space="0" w:color="auto"/>
        <w:left w:val="none" w:sz="0" w:space="0" w:color="auto"/>
        <w:bottom w:val="none" w:sz="0" w:space="0" w:color="auto"/>
        <w:right w:val="none" w:sz="0" w:space="0" w:color="auto"/>
      </w:divBdr>
    </w:div>
    <w:div w:id="1673293198">
      <w:bodyDiv w:val="1"/>
      <w:marLeft w:val="0"/>
      <w:marRight w:val="0"/>
      <w:marTop w:val="0"/>
      <w:marBottom w:val="0"/>
      <w:divBdr>
        <w:top w:val="none" w:sz="0" w:space="0" w:color="auto"/>
        <w:left w:val="none" w:sz="0" w:space="0" w:color="auto"/>
        <w:bottom w:val="none" w:sz="0" w:space="0" w:color="auto"/>
        <w:right w:val="none" w:sz="0" w:space="0" w:color="auto"/>
      </w:divBdr>
    </w:div>
    <w:div w:id="1673408884">
      <w:bodyDiv w:val="1"/>
      <w:marLeft w:val="0"/>
      <w:marRight w:val="0"/>
      <w:marTop w:val="0"/>
      <w:marBottom w:val="0"/>
      <w:divBdr>
        <w:top w:val="none" w:sz="0" w:space="0" w:color="auto"/>
        <w:left w:val="none" w:sz="0" w:space="0" w:color="auto"/>
        <w:bottom w:val="none" w:sz="0" w:space="0" w:color="auto"/>
        <w:right w:val="none" w:sz="0" w:space="0" w:color="auto"/>
      </w:divBdr>
    </w:div>
    <w:div w:id="1673413232">
      <w:bodyDiv w:val="1"/>
      <w:marLeft w:val="0"/>
      <w:marRight w:val="0"/>
      <w:marTop w:val="0"/>
      <w:marBottom w:val="0"/>
      <w:divBdr>
        <w:top w:val="none" w:sz="0" w:space="0" w:color="auto"/>
        <w:left w:val="none" w:sz="0" w:space="0" w:color="auto"/>
        <w:bottom w:val="none" w:sz="0" w:space="0" w:color="auto"/>
        <w:right w:val="none" w:sz="0" w:space="0" w:color="auto"/>
      </w:divBdr>
    </w:div>
    <w:div w:id="1673725353">
      <w:bodyDiv w:val="1"/>
      <w:marLeft w:val="0"/>
      <w:marRight w:val="0"/>
      <w:marTop w:val="0"/>
      <w:marBottom w:val="0"/>
      <w:divBdr>
        <w:top w:val="none" w:sz="0" w:space="0" w:color="auto"/>
        <w:left w:val="none" w:sz="0" w:space="0" w:color="auto"/>
        <w:bottom w:val="none" w:sz="0" w:space="0" w:color="auto"/>
        <w:right w:val="none" w:sz="0" w:space="0" w:color="auto"/>
      </w:divBdr>
    </w:div>
    <w:div w:id="1673795125">
      <w:bodyDiv w:val="1"/>
      <w:marLeft w:val="0"/>
      <w:marRight w:val="0"/>
      <w:marTop w:val="0"/>
      <w:marBottom w:val="0"/>
      <w:divBdr>
        <w:top w:val="none" w:sz="0" w:space="0" w:color="auto"/>
        <w:left w:val="none" w:sz="0" w:space="0" w:color="auto"/>
        <w:bottom w:val="none" w:sz="0" w:space="0" w:color="auto"/>
        <w:right w:val="none" w:sz="0" w:space="0" w:color="auto"/>
      </w:divBdr>
    </w:div>
    <w:div w:id="1673870259">
      <w:bodyDiv w:val="1"/>
      <w:marLeft w:val="0"/>
      <w:marRight w:val="0"/>
      <w:marTop w:val="0"/>
      <w:marBottom w:val="0"/>
      <w:divBdr>
        <w:top w:val="none" w:sz="0" w:space="0" w:color="auto"/>
        <w:left w:val="none" w:sz="0" w:space="0" w:color="auto"/>
        <w:bottom w:val="none" w:sz="0" w:space="0" w:color="auto"/>
        <w:right w:val="none" w:sz="0" w:space="0" w:color="auto"/>
      </w:divBdr>
    </w:div>
    <w:div w:id="1673871176">
      <w:bodyDiv w:val="1"/>
      <w:marLeft w:val="0"/>
      <w:marRight w:val="0"/>
      <w:marTop w:val="0"/>
      <w:marBottom w:val="0"/>
      <w:divBdr>
        <w:top w:val="none" w:sz="0" w:space="0" w:color="auto"/>
        <w:left w:val="none" w:sz="0" w:space="0" w:color="auto"/>
        <w:bottom w:val="none" w:sz="0" w:space="0" w:color="auto"/>
        <w:right w:val="none" w:sz="0" w:space="0" w:color="auto"/>
      </w:divBdr>
    </w:div>
    <w:div w:id="1673991016">
      <w:bodyDiv w:val="1"/>
      <w:marLeft w:val="0"/>
      <w:marRight w:val="0"/>
      <w:marTop w:val="0"/>
      <w:marBottom w:val="0"/>
      <w:divBdr>
        <w:top w:val="none" w:sz="0" w:space="0" w:color="auto"/>
        <w:left w:val="none" w:sz="0" w:space="0" w:color="auto"/>
        <w:bottom w:val="none" w:sz="0" w:space="0" w:color="auto"/>
        <w:right w:val="none" w:sz="0" w:space="0" w:color="auto"/>
      </w:divBdr>
    </w:div>
    <w:div w:id="1674063343">
      <w:bodyDiv w:val="1"/>
      <w:marLeft w:val="0"/>
      <w:marRight w:val="0"/>
      <w:marTop w:val="0"/>
      <w:marBottom w:val="0"/>
      <w:divBdr>
        <w:top w:val="none" w:sz="0" w:space="0" w:color="auto"/>
        <w:left w:val="none" w:sz="0" w:space="0" w:color="auto"/>
        <w:bottom w:val="none" w:sz="0" w:space="0" w:color="auto"/>
        <w:right w:val="none" w:sz="0" w:space="0" w:color="auto"/>
      </w:divBdr>
    </w:div>
    <w:div w:id="1674213277">
      <w:bodyDiv w:val="1"/>
      <w:marLeft w:val="0"/>
      <w:marRight w:val="0"/>
      <w:marTop w:val="0"/>
      <w:marBottom w:val="0"/>
      <w:divBdr>
        <w:top w:val="none" w:sz="0" w:space="0" w:color="auto"/>
        <w:left w:val="none" w:sz="0" w:space="0" w:color="auto"/>
        <w:bottom w:val="none" w:sz="0" w:space="0" w:color="auto"/>
        <w:right w:val="none" w:sz="0" w:space="0" w:color="auto"/>
      </w:divBdr>
    </w:div>
    <w:div w:id="1674263880">
      <w:bodyDiv w:val="1"/>
      <w:marLeft w:val="0"/>
      <w:marRight w:val="0"/>
      <w:marTop w:val="0"/>
      <w:marBottom w:val="0"/>
      <w:divBdr>
        <w:top w:val="none" w:sz="0" w:space="0" w:color="auto"/>
        <w:left w:val="none" w:sz="0" w:space="0" w:color="auto"/>
        <w:bottom w:val="none" w:sz="0" w:space="0" w:color="auto"/>
        <w:right w:val="none" w:sz="0" w:space="0" w:color="auto"/>
      </w:divBdr>
    </w:div>
    <w:div w:id="1674331371">
      <w:bodyDiv w:val="1"/>
      <w:marLeft w:val="0"/>
      <w:marRight w:val="0"/>
      <w:marTop w:val="0"/>
      <w:marBottom w:val="0"/>
      <w:divBdr>
        <w:top w:val="none" w:sz="0" w:space="0" w:color="auto"/>
        <w:left w:val="none" w:sz="0" w:space="0" w:color="auto"/>
        <w:bottom w:val="none" w:sz="0" w:space="0" w:color="auto"/>
        <w:right w:val="none" w:sz="0" w:space="0" w:color="auto"/>
      </w:divBdr>
    </w:div>
    <w:div w:id="1674380434">
      <w:bodyDiv w:val="1"/>
      <w:marLeft w:val="0"/>
      <w:marRight w:val="0"/>
      <w:marTop w:val="0"/>
      <w:marBottom w:val="0"/>
      <w:divBdr>
        <w:top w:val="none" w:sz="0" w:space="0" w:color="auto"/>
        <w:left w:val="none" w:sz="0" w:space="0" w:color="auto"/>
        <w:bottom w:val="none" w:sz="0" w:space="0" w:color="auto"/>
        <w:right w:val="none" w:sz="0" w:space="0" w:color="auto"/>
      </w:divBdr>
    </w:div>
    <w:div w:id="1674455308">
      <w:bodyDiv w:val="1"/>
      <w:marLeft w:val="0"/>
      <w:marRight w:val="0"/>
      <w:marTop w:val="0"/>
      <w:marBottom w:val="0"/>
      <w:divBdr>
        <w:top w:val="none" w:sz="0" w:space="0" w:color="auto"/>
        <w:left w:val="none" w:sz="0" w:space="0" w:color="auto"/>
        <w:bottom w:val="none" w:sz="0" w:space="0" w:color="auto"/>
        <w:right w:val="none" w:sz="0" w:space="0" w:color="auto"/>
      </w:divBdr>
    </w:div>
    <w:div w:id="1674456481">
      <w:bodyDiv w:val="1"/>
      <w:marLeft w:val="0"/>
      <w:marRight w:val="0"/>
      <w:marTop w:val="0"/>
      <w:marBottom w:val="0"/>
      <w:divBdr>
        <w:top w:val="none" w:sz="0" w:space="0" w:color="auto"/>
        <w:left w:val="none" w:sz="0" w:space="0" w:color="auto"/>
        <w:bottom w:val="none" w:sz="0" w:space="0" w:color="auto"/>
        <w:right w:val="none" w:sz="0" w:space="0" w:color="auto"/>
      </w:divBdr>
    </w:div>
    <w:div w:id="1674530698">
      <w:bodyDiv w:val="1"/>
      <w:marLeft w:val="0"/>
      <w:marRight w:val="0"/>
      <w:marTop w:val="0"/>
      <w:marBottom w:val="0"/>
      <w:divBdr>
        <w:top w:val="none" w:sz="0" w:space="0" w:color="auto"/>
        <w:left w:val="none" w:sz="0" w:space="0" w:color="auto"/>
        <w:bottom w:val="none" w:sz="0" w:space="0" w:color="auto"/>
        <w:right w:val="none" w:sz="0" w:space="0" w:color="auto"/>
      </w:divBdr>
    </w:div>
    <w:div w:id="1674606691">
      <w:bodyDiv w:val="1"/>
      <w:marLeft w:val="0"/>
      <w:marRight w:val="0"/>
      <w:marTop w:val="0"/>
      <w:marBottom w:val="0"/>
      <w:divBdr>
        <w:top w:val="none" w:sz="0" w:space="0" w:color="auto"/>
        <w:left w:val="none" w:sz="0" w:space="0" w:color="auto"/>
        <w:bottom w:val="none" w:sz="0" w:space="0" w:color="auto"/>
        <w:right w:val="none" w:sz="0" w:space="0" w:color="auto"/>
      </w:divBdr>
    </w:div>
    <w:div w:id="1674723760">
      <w:bodyDiv w:val="1"/>
      <w:marLeft w:val="0"/>
      <w:marRight w:val="0"/>
      <w:marTop w:val="0"/>
      <w:marBottom w:val="0"/>
      <w:divBdr>
        <w:top w:val="none" w:sz="0" w:space="0" w:color="auto"/>
        <w:left w:val="none" w:sz="0" w:space="0" w:color="auto"/>
        <w:bottom w:val="none" w:sz="0" w:space="0" w:color="auto"/>
        <w:right w:val="none" w:sz="0" w:space="0" w:color="auto"/>
      </w:divBdr>
    </w:div>
    <w:div w:id="1674724357">
      <w:bodyDiv w:val="1"/>
      <w:marLeft w:val="0"/>
      <w:marRight w:val="0"/>
      <w:marTop w:val="0"/>
      <w:marBottom w:val="0"/>
      <w:divBdr>
        <w:top w:val="none" w:sz="0" w:space="0" w:color="auto"/>
        <w:left w:val="none" w:sz="0" w:space="0" w:color="auto"/>
        <w:bottom w:val="none" w:sz="0" w:space="0" w:color="auto"/>
        <w:right w:val="none" w:sz="0" w:space="0" w:color="auto"/>
      </w:divBdr>
    </w:div>
    <w:div w:id="1674794018">
      <w:bodyDiv w:val="1"/>
      <w:marLeft w:val="0"/>
      <w:marRight w:val="0"/>
      <w:marTop w:val="0"/>
      <w:marBottom w:val="0"/>
      <w:divBdr>
        <w:top w:val="none" w:sz="0" w:space="0" w:color="auto"/>
        <w:left w:val="none" w:sz="0" w:space="0" w:color="auto"/>
        <w:bottom w:val="none" w:sz="0" w:space="0" w:color="auto"/>
        <w:right w:val="none" w:sz="0" w:space="0" w:color="auto"/>
      </w:divBdr>
    </w:div>
    <w:div w:id="1674795061">
      <w:bodyDiv w:val="1"/>
      <w:marLeft w:val="0"/>
      <w:marRight w:val="0"/>
      <w:marTop w:val="0"/>
      <w:marBottom w:val="0"/>
      <w:divBdr>
        <w:top w:val="none" w:sz="0" w:space="0" w:color="auto"/>
        <w:left w:val="none" w:sz="0" w:space="0" w:color="auto"/>
        <w:bottom w:val="none" w:sz="0" w:space="0" w:color="auto"/>
        <w:right w:val="none" w:sz="0" w:space="0" w:color="auto"/>
      </w:divBdr>
    </w:div>
    <w:div w:id="1674838669">
      <w:bodyDiv w:val="1"/>
      <w:marLeft w:val="0"/>
      <w:marRight w:val="0"/>
      <w:marTop w:val="0"/>
      <w:marBottom w:val="0"/>
      <w:divBdr>
        <w:top w:val="none" w:sz="0" w:space="0" w:color="auto"/>
        <w:left w:val="none" w:sz="0" w:space="0" w:color="auto"/>
        <w:bottom w:val="none" w:sz="0" w:space="0" w:color="auto"/>
        <w:right w:val="none" w:sz="0" w:space="0" w:color="auto"/>
      </w:divBdr>
    </w:div>
    <w:div w:id="1674993867">
      <w:bodyDiv w:val="1"/>
      <w:marLeft w:val="0"/>
      <w:marRight w:val="0"/>
      <w:marTop w:val="0"/>
      <w:marBottom w:val="0"/>
      <w:divBdr>
        <w:top w:val="none" w:sz="0" w:space="0" w:color="auto"/>
        <w:left w:val="none" w:sz="0" w:space="0" w:color="auto"/>
        <w:bottom w:val="none" w:sz="0" w:space="0" w:color="auto"/>
        <w:right w:val="none" w:sz="0" w:space="0" w:color="auto"/>
      </w:divBdr>
    </w:div>
    <w:div w:id="1675108809">
      <w:bodyDiv w:val="1"/>
      <w:marLeft w:val="0"/>
      <w:marRight w:val="0"/>
      <w:marTop w:val="0"/>
      <w:marBottom w:val="0"/>
      <w:divBdr>
        <w:top w:val="none" w:sz="0" w:space="0" w:color="auto"/>
        <w:left w:val="none" w:sz="0" w:space="0" w:color="auto"/>
        <w:bottom w:val="none" w:sz="0" w:space="0" w:color="auto"/>
        <w:right w:val="none" w:sz="0" w:space="0" w:color="auto"/>
      </w:divBdr>
    </w:div>
    <w:div w:id="1675109596">
      <w:bodyDiv w:val="1"/>
      <w:marLeft w:val="0"/>
      <w:marRight w:val="0"/>
      <w:marTop w:val="0"/>
      <w:marBottom w:val="0"/>
      <w:divBdr>
        <w:top w:val="none" w:sz="0" w:space="0" w:color="auto"/>
        <w:left w:val="none" w:sz="0" w:space="0" w:color="auto"/>
        <w:bottom w:val="none" w:sz="0" w:space="0" w:color="auto"/>
        <w:right w:val="none" w:sz="0" w:space="0" w:color="auto"/>
      </w:divBdr>
    </w:div>
    <w:div w:id="1675254883">
      <w:bodyDiv w:val="1"/>
      <w:marLeft w:val="0"/>
      <w:marRight w:val="0"/>
      <w:marTop w:val="0"/>
      <w:marBottom w:val="0"/>
      <w:divBdr>
        <w:top w:val="none" w:sz="0" w:space="0" w:color="auto"/>
        <w:left w:val="none" w:sz="0" w:space="0" w:color="auto"/>
        <w:bottom w:val="none" w:sz="0" w:space="0" w:color="auto"/>
        <w:right w:val="none" w:sz="0" w:space="0" w:color="auto"/>
      </w:divBdr>
    </w:div>
    <w:div w:id="1675255276">
      <w:bodyDiv w:val="1"/>
      <w:marLeft w:val="0"/>
      <w:marRight w:val="0"/>
      <w:marTop w:val="0"/>
      <w:marBottom w:val="0"/>
      <w:divBdr>
        <w:top w:val="none" w:sz="0" w:space="0" w:color="auto"/>
        <w:left w:val="none" w:sz="0" w:space="0" w:color="auto"/>
        <w:bottom w:val="none" w:sz="0" w:space="0" w:color="auto"/>
        <w:right w:val="none" w:sz="0" w:space="0" w:color="auto"/>
      </w:divBdr>
    </w:div>
    <w:div w:id="1675262380">
      <w:bodyDiv w:val="1"/>
      <w:marLeft w:val="0"/>
      <w:marRight w:val="0"/>
      <w:marTop w:val="0"/>
      <w:marBottom w:val="0"/>
      <w:divBdr>
        <w:top w:val="none" w:sz="0" w:space="0" w:color="auto"/>
        <w:left w:val="none" w:sz="0" w:space="0" w:color="auto"/>
        <w:bottom w:val="none" w:sz="0" w:space="0" w:color="auto"/>
        <w:right w:val="none" w:sz="0" w:space="0" w:color="auto"/>
      </w:divBdr>
    </w:div>
    <w:div w:id="1675298934">
      <w:bodyDiv w:val="1"/>
      <w:marLeft w:val="0"/>
      <w:marRight w:val="0"/>
      <w:marTop w:val="0"/>
      <w:marBottom w:val="0"/>
      <w:divBdr>
        <w:top w:val="none" w:sz="0" w:space="0" w:color="auto"/>
        <w:left w:val="none" w:sz="0" w:space="0" w:color="auto"/>
        <w:bottom w:val="none" w:sz="0" w:space="0" w:color="auto"/>
        <w:right w:val="none" w:sz="0" w:space="0" w:color="auto"/>
      </w:divBdr>
    </w:div>
    <w:div w:id="1675375445">
      <w:bodyDiv w:val="1"/>
      <w:marLeft w:val="0"/>
      <w:marRight w:val="0"/>
      <w:marTop w:val="0"/>
      <w:marBottom w:val="0"/>
      <w:divBdr>
        <w:top w:val="none" w:sz="0" w:space="0" w:color="auto"/>
        <w:left w:val="none" w:sz="0" w:space="0" w:color="auto"/>
        <w:bottom w:val="none" w:sz="0" w:space="0" w:color="auto"/>
        <w:right w:val="none" w:sz="0" w:space="0" w:color="auto"/>
      </w:divBdr>
    </w:div>
    <w:div w:id="1675493962">
      <w:bodyDiv w:val="1"/>
      <w:marLeft w:val="0"/>
      <w:marRight w:val="0"/>
      <w:marTop w:val="0"/>
      <w:marBottom w:val="0"/>
      <w:divBdr>
        <w:top w:val="none" w:sz="0" w:space="0" w:color="auto"/>
        <w:left w:val="none" w:sz="0" w:space="0" w:color="auto"/>
        <w:bottom w:val="none" w:sz="0" w:space="0" w:color="auto"/>
        <w:right w:val="none" w:sz="0" w:space="0" w:color="auto"/>
      </w:divBdr>
    </w:div>
    <w:div w:id="1675525019">
      <w:bodyDiv w:val="1"/>
      <w:marLeft w:val="0"/>
      <w:marRight w:val="0"/>
      <w:marTop w:val="0"/>
      <w:marBottom w:val="0"/>
      <w:divBdr>
        <w:top w:val="none" w:sz="0" w:space="0" w:color="auto"/>
        <w:left w:val="none" w:sz="0" w:space="0" w:color="auto"/>
        <w:bottom w:val="none" w:sz="0" w:space="0" w:color="auto"/>
        <w:right w:val="none" w:sz="0" w:space="0" w:color="auto"/>
      </w:divBdr>
    </w:div>
    <w:div w:id="1675571689">
      <w:bodyDiv w:val="1"/>
      <w:marLeft w:val="0"/>
      <w:marRight w:val="0"/>
      <w:marTop w:val="0"/>
      <w:marBottom w:val="0"/>
      <w:divBdr>
        <w:top w:val="none" w:sz="0" w:space="0" w:color="auto"/>
        <w:left w:val="none" w:sz="0" w:space="0" w:color="auto"/>
        <w:bottom w:val="none" w:sz="0" w:space="0" w:color="auto"/>
        <w:right w:val="none" w:sz="0" w:space="0" w:color="auto"/>
      </w:divBdr>
    </w:div>
    <w:div w:id="1675641315">
      <w:bodyDiv w:val="1"/>
      <w:marLeft w:val="0"/>
      <w:marRight w:val="0"/>
      <w:marTop w:val="0"/>
      <w:marBottom w:val="0"/>
      <w:divBdr>
        <w:top w:val="none" w:sz="0" w:space="0" w:color="auto"/>
        <w:left w:val="none" w:sz="0" w:space="0" w:color="auto"/>
        <w:bottom w:val="none" w:sz="0" w:space="0" w:color="auto"/>
        <w:right w:val="none" w:sz="0" w:space="0" w:color="auto"/>
      </w:divBdr>
    </w:div>
    <w:div w:id="1675645046">
      <w:bodyDiv w:val="1"/>
      <w:marLeft w:val="0"/>
      <w:marRight w:val="0"/>
      <w:marTop w:val="0"/>
      <w:marBottom w:val="0"/>
      <w:divBdr>
        <w:top w:val="none" w:sz="0" w:space="0" w:color="auto"/>
        <w:left w:val="none" w:sz="0" w:space="0" w:color="auto"/>
        <w:bottom w:val="none" w:sz="0" w:space="0" w:color="auto"/>
        <w:right w:val="none" w:sz="0" w:space="0" w:color="auto"/>
      </w:divBdr>
    </w:div>
    <w:div w:id="1675645122">
      <w:bodyDiv w:val="1"/>
      <w:marLeft w:val="0"/>
      <w:marRight w:val="0"/>
      <w:marTop w:val="0"/>
      <w:marBottom w:val="0"/>
      <w:divBdr>
        <w:top w:val="none" w:sz="0" w:space="0" w:color="auto"/>
        <w:left w:val="none" w:sz="0" w:space="0" w:color="auto"/>
        <w:bottom w:val="none" w:sz="0" w:space="0" w:color="auto"/>
        <w:right w:val="none" w:sz="0" w:space="0" w:color="auto"/>
      </w:divBdr>
    </w:div>
    <w:div w:id="1675689994">
      <w:bodyDiv w:val="1"/>
      <w:marLeft w:val="0"/>
      <w:marRight w:val="0"/>
      <w:marTop w:val="0"/>
      <w:marBottom w:val="0"/>
      <w:divBdr>
        <w:top w:val="none" w:sz="0" w:space="0" w:color="auto"/>
        <w:left w:val="none" w:sz="0" w:space="0" w:color="auto"/>
        <w:bottom w:val="none" w:sz="0" w:space="0" w:color="auto"/>
        <w:right w:val="none" w:sz="0" w:space="0" w:color="auto"/>
      </w:divBdr>
    </w:div>
    <w:div w:id="1675690495">
      <w:bodyDiv w:val="1"/>
      <w:marLeft w:val="0"/>
      <w:marRight w:val="0"/>
      <w:marTop w:val="0"/>
      <w:marBottom w:val="0"/>
      <w:divBdr>
        <w:top w:val="none" w:sz="0" w:space="0" w:color="auto"/>
        <w:left w:val="none" w:sz="0" w:space="0" w:color="auto"/>
        <w:bottom w:val="none" w:sz="0" w:space="0" w:color="auto"/>
        <w:right w:val="none" w:sz="0" w:space="0" w:color="auto"/>
      </w:divBdr>
    </w:div>
    <w:div w:id="1675691062">
      <w:bodyDiv w:val="1"/>
      <w:marLeft w:val="0"/>
      <w:marRight w:val="0"/>
      <w:marTop w:val="0"/>
      <w:marBottom w:val="0"/>
      <w:divBdr>
        <w:top w:val="none" w:sz="0" w:space="0" w:color="auto"/>
        <w:left w:val="none" w:sz="0" w:space="0" w:color="auto"/>
        <w:bottom w:val="none" w:sz="0" w:space="0" w:color="auto"/>
        <w:right w:val="none" w:sz="0" w:space="0" w:color="auto"/>
      </w:divBdr>
    </w:div>
    <w:div w:id="1675691632">
      <w:bodyDiv w:val="1"/>
      <w:marLeft w:val="0"/>
      <w:marRight w:val="0"/>
      <w:marTop w:val="0"/>
      <w:marBottom w:val="0"/>
      <w:divBdr>
        <w:top w:val="none" w:sz="0" w:space="0" w:color="auto"/>
        <w:left w:val="none" w:sz="0" w:space="0" w:color="auto"/>
        <w:bottom w:val="none" w:sz="0" w:space="0" w:color="auto"/>
        <w:right w:val="none" w:sz="0" w:space="0" w:color="auto"/>
      </w:divBdr>
    </w:div>
    <w:div w:id="1675692891">
      <w:bodyDiv w:val="1"/>
      <w:marLeft w:val="0"/>
      <w:marRight w:val="0"/>
      <w:marTop w:val="0"/>
      <w:marBottom w:val="0"/>
      <w:divBdr>
        <w:top w:val="none" w:sz="0" w:space="0" w:color="auto"/>
        <w:left w:val="none" w:sz="0" w:space="0" w:color="auto"/>
        <w:bottom w:val="none" w:sz="0" w:space="0" w:color="auto"/>
        <w:right w:val="none" w:sz="0" w:space="0" w:color="auto"/>
      </w:divBdr>
    </w:div>
    <w:div w:id="1675839637">
      <w:bodyDiv w:val="1"/>
      <w:marLeft w:val="0"/>
      <w:marRight w:val="0"/>
      <w:marTop w:val="0"/>
      <w:marBottom w:val="0"/>
      <w:divBdr>
        <w:top w:val="none" w:sz="0" w:space="0" w:color="auto"/>
        <w:left w:val="none" w:sz="0" w:space="0" w:color="auto"/>
        <w:bottom w:val="none" w:sz="0" w:space="0" w:color="auto"/>
        <w:right w:val="none" w:sz="0" w:space="0" w:color="auto"/>
      </w:divBdr>
    </w:div>
    <w:div w:id="1675839899">
      <w:bodyDiv w:val="1"/>
      <w:marLeft w:val="0"/>
      <w:marRight w:val="0"/>
      <w:marTop w:val="0"/>
      <w:marBottom w:val="0"/>
      <w:divBdr>
        <w:top w:val="none" w:sz="0" w:space="0" w:color="auto"/>
        <w:left w:val="none" w:sz="0" w:space="0" w:color="auto"/>
        <w:bottom w:val="none" w:sz="0" w:space="0" w:color="auto"/>
        <w:right w:val="none" w:sz="0" w:space="0" w:color="auto"/>
      </w:divBdr>
    </w:div>
    <w:div w:id="1676031092">
      <w:bodyDiv w:val="1"/>
      <w:marLeft w:val="0"/>
      <w:marRight w:val="0"/>
      <w:marTop w:val="0"/>
      <w:marBottom w:val="0"/>
      <w:divBdr>
        <w:top w:val="none" w:sz="0" w:space="0" w:color="auto"/>
        <w:left w:val="none" w:sz="0" w:space="0" w:color="auto"/>
        <w:bottom w:val="none" w:sz="0" w:space="0" w:color="auto"/>
        <w:right w:val="none" w:sz="0" w:space="0" w:color="auto"/>
      </w:divBdr>
    </w:div>
    <w:div w:id="1676109691">
      <w:bodyDiv w:val="1"/>
      <w:marLeft w:val="0"/>
      <w:marRight w:val="0"/>
      <w:marTop w:val="0"/>
      <w:marBottom w:val="0"/>
      <w:divBdr>
        <w:top w:val="none" w:sz="0" w:space="0" w:color="auto"/>
        <w:left w:val="none" w:sz="0" w:space="0" w:color="auto"/>
        <w:bottom w:val="none" w:sz="0" w:space="0" w:color="auto"/>
        <w:right w:val="none" w:sz="0" w:space="0" w:color="auto"/>
      </w:divBdr>
    </w:div>
    <w:div w:id="1676300407">
      <w:bodyDiv w:val="1"/>
      <w:marLeft w:val="0"/>
      <w:marRight w:val="0"/>
      <w:marTop w:val="0"/>
      <w:marBottom w:val="0"/>
      <w:divBdr>
        <w:top w:val="none" w:sz="0" w:space="0" w:color="auto"/>
        <w:left w:val="none" w:sz="0" w:space="0" w:color="auto"/>
        <w:bottom w:val="none" w:sz="0" w:space="0" w:color="auto"/>
        <w:right w:val="none" w:sz="0" w:space="0" w:color="auto"/>
      </w:divBdr>
    </w:div>
    <w:div w:id="1676372703">
      <w:bodyDiv w:val="1"/>
      <w:marLeft w:val="0"/>
      <w:marRight w:val="0"/>
      <w:marTop w:val="0"/>
      <w:marBottom w:val="0"/>
      <w:divBdr>
        <w:top w:val="none" w:sz="0" w:space="0" w:color="auto"/>
        <w:left w:val="none" w:sz="0" w:space="0" w:color="auto"/>
        <w:bottom w:val="none" w:sz="0" w:space="0" w:color="auto"/>
        <w:right w:val="none" w:sz="0" w:space="0" w:color="auto"/>
      </w:divBdr>
    </w:div>
    <w:div w:id="1676415701">
      <w:bodyDiv w:val="1"/>
      <w:marLeft w:val="0"/>
      <w:marRight w:val="0"/>
      <w:marTop w:val="0"/>
      <w:marBottom w:val="0"/>
      <w:divBdr>
        <w:top w:val="none" w:sz="0" w:space="0" w:color="auto"/>
        <w:left w:val="none" w:sz="0" w:space="0" w:color="auto"/>
        <w:bottom w:val="none" w:sz="0" w:space="0" w:color="auto"/>
        <w:right w:val="none" w:sz="0" w:space="0" w:color="auto"/>
      </w:divBdr>
    </w:div>
    <w:div w:id="1676418266">
      <w:bodyDiv w:val="1"/>
      <w:marLeft w:val="0"/>
      <w:marRight w:val="0"/>
      <w:marTop w:val="0"/>
      <w:marBottom w:val="0"/>
      <w:divBdr>
        <w:top w:val="none" w:sz="0" w:space="0" w:color="auto"/>
        <w:left w:val="none" w:sz="0" w:space="0" w:color="auto"/>
        <w:bottom w:val="none" w:sz="0" w:space="0" w:color="auto"/>
        <w:right w:val="none" w:sz="0" w:space="0" w:color="auto"/>
      </w:divBdr>
    </w:div>
    <w:div w:id="1676421595">
      <w:bodyDiv w:val="1"/>
      <w:marLeft w:val="0"/>
      <w:marRight w:val="0"/>
      <w:marTop w:val="0"/>
      <w:marBottom w:val="0"/>
      <w:divBdr>
        <w:top w:val="none" w:sz="0" w:space="0" w:color="auto"/>
        <w:left w:val="none" w:sz="0" w:space="0" w:color="auto"/>
        <w:bottom w:val="none" w:sz="0" w:space="0" w:color="auto"/>
        <w:right w:val="none" w:sz="0" w:space="0" w:color="auto"/>
      </w:divBdr>
    </w:div>
    <w:div w:id="1676490857">
      <w:bodyDiv w:val="1"/>
      <w:marLeft w:val="0"/>
      <w:marRight w:val="0"/>
      <w:marTop w:val="0"/>
      <w:marBottom w:val="0"/>
      <w:divBdr>
        <w:top w:val="none" w:sz="0" w:space="0" w:color="auto"/>
        <w:left w:val="none" w:sz="0" w:space="0" w:color="auto"/>
        <w:bottom w:val="none" w:sz="0" w:space="0" w:color="auto"/>
        <w:right w:val="none" w:sz="0" w:space="0" w:color="auto"/>
      </w:divBdr>
    </w:div>
    <w:div w:id="1676494289">
      <w:bodyDiv w:val="1"/>
      <w:marLeft w:val="0"/>
      <w:marRight w:val="0"/>
      <w:marTop w:val="0"/>
      <w:marBottom w:val="0"/>
      <w:divBdr>
        <w:top w:val="none" w:sz="0" w:space="0" w:color="auto"/>
        <w:left w:val="none" w:sz="0" w:space="0" w:color="auto"/>
        <w:bottom w:val="none" w:sz="0" w:space="0" w:color="auto"/>
        <w:right w:val="none" w:sz="0" w:space="0" w:color="auto"/>
      </w:divBdr>
    </w:div>
    <w:div w:id="1676494362">
      <w:bodyDiv w:val="1"/>
      <w:marLeft w:val="0"/>
      <w:marRight w:val="0"/>
      <w:marTop w:val="0"/>
      <w:marBottom w:val="0"/>
      <w:divBdr>
        <w:top w:val="none" w:sz="0" w:space="0" w:color="auto"/>
        <w:left w:val="none" w:sz="0" w:space="0" w:color="auto"/>
        <w:bottom w:val="none" w:sz="0" w:space="0" w:color="auto"/>
        <w:right w:val="none" w:sz="0" w:space="0" w:color="auto"/>
      </w:divBdr>
    </w:div>
    <w:div w:id="1676570997">
      <w:bodyDiv w:val="1"/>
      <w:marLeft w:val="0"/>
      <w:marRight w:val="0"/>
      <w:marTop w:val="0"/>
      <w:marBottom w:val="0"/>
      <w:divBdr>
        <w:top w:val="none" w:sz="0" w:space="0" w:color="auto"/>
        <w:left w:val="none" w:sz="0" w:space="0" w:color="auto"/>
        <w:bottom w:val="none" w:sz="0" w:space="0" w:color="auto"/>
        <w:right w:val="none" w:sz="0" w:space="0" w:color="auto"/>
      </w:divBdr>
    </w:div>
    <w:div w:id="1676691453">
      <w:bodyDiv w:val="1"/>
      <w:marLeft w:val="0"/>
      <w:marRight w:val="0"/>
      <w:marTop w:val="0"/>
      <w:marBottom w:val="0"/>
      <w:divBdr>
        <w:top w:val="none" w:sz="0" w:space="0" w:color="auto"/>
        <w:left w:val="none" w:sz="0" w:space="0" w:color="auto"/>
        <w:bottom w:val="none" w:sz="0" w:space="0" w:color="auto"/>
        <w:right w:val="none" w:sz="0" w:space="0" w:color="auto"/>
      </w:divBdr>
    </w:div>
    <w:div w:id="1676759291">
      <w:bodyDiv w:val="1"/>
      <w:marLeft w:val="0"/>
      <w:marRight w:val="0"/>
      <w:marTop w:val="0"/>
      <w:marBottom w:val="0"/>
      <w:divBdr>
        <w:top w:val="none" w:sz="0" w:space="0" w:color="auto"/>
        <w:left w:val="none" w:sz="0" w:space="0" w:color="auto"/>
        <w:bottom w:val="none" w:sz="0" w:space="0" w:color="auto"/>
        <w:right w:val="none" w:sz="0" w:space="0" w:color="auto"/>
      </w:divBdr>
    </w:div>
    <w:div w:id="1676805728">
      <w:bodyDiv w:val="1"/>
      <w:marLeft w:val="0"/>
      <w:marRight w:val="0"/>
      <w:marTop w:val="0"/>
      <w:marBottom w:val="0"/>
      <w:divBdr>
        <w:top w:val="none" w:sz="0" w:space="0" w:color="auto"/>
        <w:left w:val="none" w:sz="0" w:space="0" w:color="auto"/>
        <w:bottom w:val="none" w:sz="0" w:space="0" w:color="auto"/>
        <w:right w:val="none" w:sz="0" w:space="0" w:color="auto"/>
      </w:divBdr>
    </w:div>
    <w:div w:id="1676809678">
      <w:bodyDiv w:val="1"/>
      <w:marLeft w:val="0"/>
      <w:marRight w:val="0"/>
      <w:marTop w:val="0"/>
      <w:marBottom w:val="0"/>
      <w:divBdr>
        <w:top w:val="none" w:sz="0" w:space="0" w:color="auto"/>
        <w:left w:val="none" w:sz="0" w:space="0" w:color="auto"/>
        <w:bottom w:val="none" w:sz="0" w:space="0" w:color="auto"/>
        <w:right w:val="none" w:sz="0" w:space="0" w:color="auto"/>
      </w:divBdr>
    </w:div>
    <w:div w:id="1676883281">
      <w:bodyDiv w:val="1"/>
      <w:marLeft w:val="0"/>
      <w:marRight w:val="0"/>
      <w:marTop w:val="0"/>
      <w:marBottom w:val="0"/>
      <w:divBdr>
        <w:top w:val="none" w:sz="0" w:space="0" w:color="auto"/>
        <w:left w:val="none" w:sz="0" w:space="0" w:color="auto"/>
        <w:bottom w:val="none" w:sz="0" w:space="0" w:color="auto"/>
        <w:right w:val="none" w:sz="0" w:space="0" w:color="auto"/>
      </w:divBdr>
    </w:div>
    <w:div w:id="1676884626">
      <w:bodyDiv w:val="1"/>
      <w:marLeft w:val="0"/>
      <w:marRight w:val="0"/>
      <w:marTop w:val="0"/>
      <w:marBottom w:val="0"/>
      <w:divBdr>
        <w:top w:val="none" w:sz="0" w:space="0" w:color="auto"/>
        <w:left w:val="none" w:sz="0" w:space="0" w:color="auto"/>
        <w:bottom w:val="none" w:sz="0" w:space="0" w:color="auto"/>
        <w:right w:val="none" w:sz="0" w:space="0" w:color="auto"/>
      </w:divBdr>
    </w:div>
    <w:div w:id="1676956969">
      <w:bodyDiv w:val="1"/>
      <w:marLeft w:val="0"/>
      <w:marRight w:val="0"/>
      <w:marTop w:val="0"/>
      <w:marBottom w:val="0"/>
      <w:divBdr>
        <w:top w:val="none" w:sz="0" w:space="0" w:color="auto"/>
        <w:left w:val="none" w:sz="0" w:space="0" w:color="auto"/>
        <w:bottom w:val="none" w:sz="0" w:space="0" w:color="auto"/>
        <w:right w:val="none" w:sz="0" w:space="0" w:color="auto"/>
      </w:divBdr>
    </w:div>
    <w:div w:id="1676960073">
      <w:bodyDiv w:val="1"/>
      <w:marLeft w:val="0"/>
      <w:marRight w:val="0"/>
      <w:marTop w:val="0"/>
      <w:marBottom w:val="0"/>
      <w:divBdr>
        <w:top w:val="none" w:sz="0" w:space="0" w:color="auto"/>
        <w:left w:val="none" w:sz="0" w:space="0" w:color="auto"/>
        <w:bottom w:val="none" w:sz="0" w:space="0" w:color="auto"/>
        <w:right w:val="none" w:sz="0" w:space="0" w:color="auto"/>
      </w:divBdr>
    </w:div>
    <w:div w:id="1677031979">
      <w:bodyDiv w:val="1"/>
      <w:marLeft w:val="0"/>
      <w:marRight w:val="0"/>
      <w:marTop w:val="0"/>
      <w:marBottom w:val="0"/>
      <w:divBdr>
        <w:top w:val="none" w:sz="0" w:space="0" w:color="auto"/>
        <w:left w:val="none" w:sz="0" w:space="0" w:color="auto"/>
        <w:bottom w:val="none" w:sz="0" w:space="0" w:color="auto"/>
        <w:right w:val="none" w:sz="0" w:space="0" w:color="auto"/>
      </w:divBdr>
    </w:div>
    <w:div w:id="1677079249">
      <w:bodyDiv w:val="1"/>
      <w:marLeft w:val="0"/>
      <w:marRight w:val="0"/>
      <w:marTop w:val="0"/>
      <w:marBottom w:val="0"/>
      <w:divBdr>
        <w:top w:val="none" w:sz="0" w:space="0" w:color="auto"/>
        <w:left w:val="none" w:sz="0" w:space="0" w:color="auto"/>
        <w:bottom w:val="none" w:sz="0" w:space="0" w:color="auto"/>
        <w:right w:val="none" w:sz="0" w:space="0" w:color="auto"/>
      </w:divBdr>
    </w:div>
    <w:div w:id="1677149149">
      <w:bodyDiv w:val="1"/>
      <w:marLeft w:val="0"/>
      <w:marRight w:val="0"/>
      <w:marTop w:val="0"/>
      <w:marBottom w:val="0"/>
      <w:divBdr>
        <w:top w:val="none" w:sz="0" w:space="0" w:color="auto"/>
        <w:left w:val="none" w:sz="0" w:space="0" w:color="auto"/>
        <w:bottom w:val="none" w:sz="0" w:space="0" w:color="auto"/>
        <w:right w:val="none" w:sz="0" w:space="0" w:color="auto"/>
      </w:divBdr>
    </w:div>
    <w:div w:id="1677225960">
      <w:bodyDiv w:val="1"/>
      <w:marLeft w:val="0"/>
      <w:marRight w:val="0"/>
      <w:marTop w:val="0"/>
      <w:marBottom w:val="0"/>
      <w:divBdr>
        <w:top w:val="none" w:sz="0" w:space="0" w:color="auto"/>
        <w:left w:val="none" w:sz="0" w:space="0" w:color="auto"/>
        <w:bottom w:val="none" w:sz="0" w:space="0" w:color="auto"/>
        <w:right w:val="none" w:sz="0" w:space="0" w:color="auto"/>
      </w:divBdr>
    </w:div>
    <w:div w:id="1677263082">
      <w:bodyDiv w:val="1"/>
      <w:marLeft w:val="0"/>
      <w:marRight w:val="0"/>
      <w:marTop w:val="0"/>
      <w:marBottom w:val="0"/>
      <w:divBdr>
        <w:top w:val="none" w:sz="0" w:space="0" w:color="auto"/>
        <w:left w:val="none" w:sz="0" w:space="0" w:color="auto"/>
        <w:bottom w:val="none" w:sz="0" w:space="0" w:color="auto"/>
        <w:right w:val="none" w:sz="0" w:space="0" w:color="auto"/>
      </w:divBdr>
    </w:div>
    <w:div w:id="1677265248">
      <w:bodyDiv w:val="1"/>
      <w:marLeft w:val="0"/>
      <w:marRight w:val="0"/>
      <w:marTop w:val="0"/>
      <w:marBottom w:val="0"/>
      <w:divBdr>
        <w:top w:val="none" w:sz="0" w:space="0" w:color="auto"/>
        <w:left w:val="none" w:sz="0" w:space="0" w:color="auto"/>
        <w:bottom w:val="none" w:sz="0" w:space="0" w:color="auto"/>
        <w:right w:val="none" w:sz="0" w:space="0" w:color="auto"/>
      </w:divBdr>
    </w:div>
    <w:div w:id="1677270949">
      <w:bodyDiv w:val="1"/>
      <w:marLeft w:val="0"/>
      <w:marRight w:val="0"/>
      <w:marTop w:val="0"/>
      <w:marBottom w:val="0"/>
      <w:divBdr>
        <w:top w:val="none" w:sz="0" w:space="0" w:color="auto"/>
        <w:left w:val="none" w:sz="0" w:space="0" w:color="auto"/>
        <w:bottom w:val="none" w:sz="0" w:space="0" w:color="auto"/>
        <w:right w:val="none" w:sz="0" w:space="0" w:color="auto"/>
      </w:divBdr>
    </w:div>
    <w:div w:id="1677460825">
      <w:bodyDiv w:val="1"/>
      <w:marLeft w:val="0"/>
      <w:marRight w:val="0"/>
      <w:marTop w:val="0"/>
      <w:marBottom w:val="0"/>
      <w:divBdr>
        <w:top w:val="none" w:sz="0" w:space="0" w:color="auto"/>
        <w:left w:val="none" w:sz="0" w:space="0" w:color="auto"/>
        <w:bottom w:val="none" w:sz="0" w:space="0" w:color="auto"/>
        <w:right w:val="none" w:sz="0" w:space="0" w:color="auto"/>
      </w:divBdr>
    </w:div>
    <w:div w:id="1677541156">
      <w:bodyDiv w:val="1"/>
      <w:marLeft w:val="0"/>
      <w:marRight w:val="0"/>
      <w:marTop w:val="0"/>
      <w:marBottom w:val="0"/>
      <w:divBdr>
        <w:top w:val="none" w:sz="0" w:space="0" w:color="auto"/>
        <w:left w:val="none" w:sz="0" w:space="0" w:color="auto"/>
        <w:bottom w:val="none" w:sz="0" w:space="0" w:color="auto"/>
        <w:right w:val="none" w:sz="0" w:space="0" w:color="auto"/>
      </w:divBdr>
    </w:div>
    <w:div w:id="1677610354">
      <w:bodyDiv w:val="1"/>
      <w:marLeft w:val="0"/>
      <w:marRight w:val="0"/>
      <w:marTop w:val="0"/>
      <w:marBottom w:val="0"/>
      <w:divBdr>
        <w:top w:val="none" w:sz="0" w:space="0" w:color="auto"/>
        <w:left w:val="none" w:sz="0" w:space="0" w:color="auto"/>
        <w:bottom w:val="none" w:sz="0" w:space="0" w:color="auto"/>
        <w:right w:val="none" w:sz="0" w:space="0" w:color="auto"/>
      </w:divBdr>
    </w:div>
    <w:div w:id="1677614309">
      <w:bodyDiv w:val="1"/>
      <w:marLeft w:val="0"/>
      <w:marRight w:val="0"/>
      <w:marTop w:val="0"/>
      <w:marBottom w:val="0"/>
      <w:divBdr>
        <w:top w:val="none" w:sz="0" w:space="0" w:color="auto"/>
        <w:left w:val="none" w:sz="0" w:space="0" w:color="auto"/>
        <w:bottom w:val="none" w:sz="0" w:space="0" w:color="auto"/>
        <w:right w:val="none" w:sz="0" w:space="0" w:color="auto"/>
      </w:divBdr>
    </w:div>
    <w:div w:id="1677725111">
      <w:bodyDiv w:val="1"/>
      <w:marLeft w:val="0"/>
      <w:marRight w:val="0"/>
      <w:marTop w:val="0"/>
      <w:marBottom w:val="0"/>
      <w:divBdr>
        <w:top w:val="none" w:sz="0" w:space="0" w:color="auto"/>
        <w:left w:val="none" w:sz="0" w:space="0" w:color="auto"/>
        <w:bottom w:val="none" w:sz="0" w:space="0" w:color="auto"/>
        <w:right w:val="none" w:sz="0" w:space="0" w:color="auto"/>
      </w:divBdr>
    </w:div>
    <w:div w:id="1677877013">
      <w:bodyDiv w:val="1"/>
      <w:marLeft w:val="0"/>
      <w:marRight w:val="0"/>
      <w:marTop w:val="0"/>
      <w:marBottom w:val="0"/>
      <w:divBdr>
        <w:top w:val="none" w:sz="0" w:space="0" w:color="auto"/>
        <w:left w:val="none" w:sz="0" w:space="0" w:color="auto"/>
        <w:bottom w:val="none" w:sz="0" w:space="0" w:color="auto"/>
        <w:right w:val="none" w:sz="0" w:space="0" w:color="auto"/>
      </w:divBdr>
    </w:div>
    <w:div w:id="1677999440">
      <w:bodyDiv w:val="1"/>
      <w:marLeft w:val="0"/>
      <w:marRight w:val="0"/>
      <w:marTop w:val="0"/>
      <w:marBottom w:val="0"/>
      <w:divBdr>
        <w:top w:val="none" w:sz="0" w:space="0" w:color="auto"/>
        <w:left w:val="none" w:sz="0" w:space="0" w:color="auto"/>
        <w:bottom w:val="none" w:sz="0" w:space="0" w:color="auto"/>
        <w:right w:val="none" w:sz="0" w:space="0" w:color="auto"/>
      </w:divBdr>
    </w:div>
    <w:div w:id="1678072278">
      <w:bodyDiv w:val="1"/>
      <w:marLeft w:val="0"/>
      <w:marRight w:val="0"/>
      <w:marTop w:val="0"/>
      <w:marBottom w:val="0"/>
      <w:divBdr>
        <w:top w:val="none" w:sz="0" w:space="0" w:color="auto"/>
        <w:left w:val="none" w:sz="0" w:space="0" w:color="auto"/>
        <w:bottom w:val="none" w:sz="0" w:space="0" w:color="auto"/>
        <w:right w:val="none" w:sz="0" w:space="0" w:color="auto"/>
      </w:divBdr>
    </w:div>
    <w:div w:id="1678076004">
      <w:bodyDiv w:val="1"/>
      <w:marLeft w:val="0"/>
      <w:marRight w:val="0"/>
      <w:marTop w:val="0"/>
      <w:marBottom w:val="0"/>
      <w:divBdr>
        <w:top w:val="none" w:sz="0" w:space="0" w:color="auto"/>
        <w:left w:val="none" w:sz="0" w:space="0" w:color="auto"/>
        <w:bottom w:val="none" w:sz="0" w:space="0" w:color="auto"/>
        <w:right w:val="none" w:sz="0" w:space="0" w:color="auto"/>
      </w:divBdr>
    </w:div>
    <w:div w:id="1678145198">
      <w:bodyDiv w:val="1"/>
      <w:marLeft w:val="0"/>
      <w:marRight w:val="0"/>
      <w:marTop w:val="0"/>
      <w:marBottom w:val="0"/>
      <w:divBdr>
        <w:top w:val="none" w:sz="0" w:space="0" w:color="auto"/>
        <w:left w:val="none" w:sz="0" w:space="0" w:color="auto"/>
        <w:bottom w:val="none" w:sz="0" w:space="0" w:color="auto"/>
        <w:right w:val="none" w:sz="0" w:space="0" w:color="auto"/>
      </w:divBdr>
    </w:div>
    <w:div w:id="1678193236">
      <w:bodyDiv w:val="1"/>
      <w:marLeft w:val="0"/>
      <w:marRight w:val="0"/>
      <w:marTop w:val="0"/>
      <w:marBottom w:val="0"/>
      <w:divBdr>
        <w:top w:val="none" w:sz="0" w:space="0" w:color="auto"/>
        <w:left w:val="none" w:sz="0" w:space="0" w:color="auto"/>
        <w:bottom w:val="none" w:sz="0" w:space="0" w:color="auto"/>
        <w:right w:val="none" w:sz="0" w:space="0" w:color="auto"/>
      </w:divBdr>
    </w:div>
    <w:div w:id="1678194538">
      <w:bodyDiv w:val="1"/>
      <w:marLeft w:val="0"/>
      <w:marRight w:val="0"/>
      <w:marTop w:val="0"/>
      <w:marBottom w:val="0"/>
      <w:divBdr>
        <w:top w:val="none" w:sz="0" w:space="0" w:color="auto"/>
        <w:left w:val="none" w:sz="0" w:space="0" w:color="auto"/>
        <w:bottom w:val="none" w:sz="0" w:space="0" w:color="auto"/>
        <w:right w:val="none" w:sz="0" w:space="0" w:color="auto"/>
      </w:divBdr>
    </w:div>
    <w:div w:id="1678264895">
      <w:bodyDiv w:val="1"/>
      <w:marLeft w:val="0"/>
      <w:marRight w:val="0"/>
      <w:marTop w:val="0"/>
      <w:marBottom w:val="0"/>
      <w:divBdr>
        <w:top w:val="none" w:sz="0" w:space="0" w:color="auto"/>
        <w:left w:val="none" w:sz="0" w:space="0" w:color="auto"/>
        <w:bottom w:val="none" w:sz="0" w:space="0" w:color="auto"/>
        <w:right w:val="none" w:sz="0" w:space="0" w:color="auto"/>
      </w:divBdr>
    </w:div>
    <w:div w:id="1678312939">
      <w:bodyDiv w:val="1"/>
      <w:marLeft w:val="0"/>
      <w:marRight w:val="0"/>
      <w:marTop w:val="0"/>
      <w:marBottom w:val="0"/>
      <w:divBdr>
        <w:top w:val="none" w:sz="0" w:space="0" w:color="auto"/>
        <w:left w:val="none" w:sz="0" w:space="0" w:color="auto"/>
        <w:bottom w:val="none" w:sz="0" w:space="0" w:color="auto"/>
        <w:right w:val="none" w:sz="0" w:space="0" w:color="auto"/>
      </w:divBdr>
    </w:div>
    <w:div w:id="1678342991">
      <w:bodyDiv w:val="1"/>
      <w:marLeft w:val="0"/>
      <w:marRight w:val="0"/>
      <w:marTop w:val="0"/>
      <w:marBottom w:val="0"/>
      <w:divBdr>
        <w:top w:val="none" w:sz="0" w:space="0" w:color="auto"/>
        <w:left w:val="none" w:sz="0" w:space="0" w:color="auto"/>
        <w:bottom w:val="none" w:sz="0" w:space="0" w:color="auto"/>
        <w:right w:val="none" w:sz="0" w:space="0" w:color="auto"/>
      </w:divBdr>
    </w:div>
    <w:div w:id="1678343494">
      <w:bodyDiv w:val="1"/>
      <w:marLeft w:val="0"/>
      <w:marRight w:val="0"/>
      <w:marTop w:val="0"/>
      <w:marBottom w:val="0"/>
      <w:divBdr>
        <w:top w:val="none" w:sz="0" w:space="0" w:color="auto"/>
        <w:left w:val="none" w:sz="0" w:space="0" w:color="auto"/>
        <w:bottom w:val="none" w:sz="0" w:space="0" w:color="auto"/>
        <w:right w:val="none" w:sz="0" w:space="0" w:color="auto"/>
      </w:divBdr>
    </w:div>
    <w:div w:id="1678456162">
      <w:bodyDiv w:val="1"/>
      <w:marLeft w:val="0"/>
      <w:marRight w:val="0"/>
      <w:marTop w:val="0"/>
      <w:marBottom w:val="0"/>
      <w:divBdr>
        <w:top w:val="none" w:sz="0" w:space="0" w:color="auto"/>
        <w:left w:val="none" w:sz="0" w:space="0" w:color="auto"/>
        <w:bottom w:val="none" w:sz="0" w:space="0" w:color="auto"/>
        <w:right w:val="none" w:sz="0" w:space="0" w:color="auto"/>
      </w:divBdr>
    </w:div>
    <w:div w:id="1678532883">
      <w:bodyDiv w:val="1"/>
      <w:marLeft w:val="0"/>
      <w:marRight w:val="0"/>
      <w:marTop w:val="0"/>
      <w:marBottom w:val="0"/>
      <w:divBdr>
        <w:top w:val="none" w:sz="0" w:space="0" w:color="auto"/>
        <w:left w:val="none" w:sz="0" w:space="0" w:color="auto"/>
        <w:bottom w:val="none" w:sz="0" w:space="0" w:color="auto"/>
        <w:right w:val="none" w:sz="0" w:space="0" w:color="auto"/>
      </w:divBdr>
    </w:div>
    <w:div w:id="1678575184">
      <w:bodyDiv w:val="1"/>
      <w:marLeft w:val="0"/>
      <w:marRight w:val="0"/>
      <w:marTop w:val="0"/>
      <w:marBottom w:val="0"/>
      <w:divBdr>
        <w:top w:val="none" w:sz="0" w:space="0" w:color="auto"/>
        <w:left w:val="none" w:sz="0" w:space="0" w:color="auto"/>
        <w:bottom w:val="none" w:sz="0" w:space="0" w:color="auto"/>
        <w:right w:val="none" w:sz="0" w:space="0" w:color="auto"/>
      </w:divBdr>
    </w:div>
    <w:div w:id="1678770560">
      <w:bodyDiv w:val="1"/>
      <w:marLeft w:val="0"/>
      <w:marRight w:val="0"/>
      <w:marTop w:val="0"/>
      <w:marBottom w:val="0"/>
      <w:divBdr>
        <w:top w:val="none" w:sz="0" w:space="0" w:color="auto"/>
        <w:left w:val="none" w:sz="0" w:space="0" w:color="auto"/>
        <w:bottom w:val="none" w:sz="0" w:space="0" w:color="auto"/>
        <w:right w:val="none" w:sz="0" w:space="0" w:color="auto"/>
      </w:divBdr>
    </w:div>
    <w:div w:id="1678842893">
      <w:bodyDiv w:val="1"/>
      <w:marLeft w:val="0"/>
      <w:marRight w:val="0"/>
      <w:marTop w:val="0"/>
      <w:marBottom w:val="0"/>
      <w:divBdr>
        <w:top w:val="none" w:sz="0" w:space="0" w:color="auto"/>
        <w:left w:val="none" w:sz="0" w:space="0" w:color="auto"/>
        <w:bottom w:val="none" w:sz="0" w:space="0" w:color="auto"/>
        <w:right w:val="none" w:sz="0" w:space="0" w:color="auto"/>
      </w:divBdr>
    </w:div>
    <w:div w:id="1678845751">
      <w:bodyDiv w:val="1"/>
      <w:marLeft w:val="0"/>
      <w:marRight w:val="0"/>
      <w:marTop w:val="0"/>
      <w:marBottom w:val="0"/>
      <w:divBdr>
        <w:top w:val="none" w:sz="0" w:space="0" w:color="auto"/>
        <w:left w:val="none" w:sz="0" w:space="0" w:color="auto"/>
        <w:bottom w:val="none" w:sz="0" w:space="0" w:color="auto"/>
        <w:right w:val="none" w:sz="0" w:space="0" w:color="auto"/>
      </w:divBdr>
    </w:div>
    <w:div w:id="1679119866">
      <w:bodyDiv w:val="1"/>
      <w:marLeft w:val="0"/>
      <w:marRight w:val="0"/>
      <w:marTop w:val="0"/>
      <w:marBottom w:val="0"/>
      <w:divBdr>
        <w:top w:val="none" w:sz="0" w:space="0" w:color="auto"/>
        <w:left w:val="none" w:sz="0" w:space="0" w:color="auto"/>
        <w:bottom w:val="none" w:sz="0" w:space="0" w:color="auto"/>
        <w:right w:val="none" w:sz="0" w:space="0" w:color="auto"/>
      </w:divBdr>
    </w:div>
    <w:div w:id="1679186912">
      <w:bodyDiv w:val="1"/>
      <w:marLeft w:val="0"/>
      <w:marRight w:val="0"/>
      <w:marTop w:val="0"/>
      <w:marBottom w:val="0"/>
      <w:divBdr>
        <w:top w:val="none" w:sz="0" w:space="0" w:color="auto"/>
        <w:left w:val="none" w:sz="0" w:space="0" w:color="auto"/>
        <w:bottom w:val="none" w:sz="0" w:space="0" w:color="auto"/>
        <w:right w:val="none" w:sz="0" w:space="0" w:color="auto"/>
      </w:divBdr>
    </w:div>
    <w:div w:id="1679195685">
      <w:bodyDiv w:val="1"/>
      <w:marLeft w:val="0"/>
      <w:marRight w:val="0"/>
      <w:marTop w:val="0"/>
      <w:marBottom w:val="0"/>
      <w:divBdr>
        <w:top w:val="none" w:sz="0" w:space="0" w:color="auto"/>
        <w:left w:val="none" w:sz="0" w:space="0" w:color="auto"/>
        <w:bottom w:val="none" w:sz="0" w:space="0" w:color="auto"/>
        <w:right w:val="none" w:sz="0" w:space="0" w:color="auto"/>
      </w:divBdr>
    </w:div>
    <w:div w:id="1679308467">
      <w:bodyDiv w:val="1"/>
      <w:marLeft w:val="0"/>
      <w:marRight w:val="0"/>
      <w:marTop w:val="0"/>
      <w:marBottom w:val="0"/>
      <w:divBdr>
        <w:top w:val="none" w:sz="0" w:space="0" w:color="auto"/>
        <w:left w:val="none" w:sz="0" w:space="0" w:color="auto"/>
        <w:bottom w:val="none" w:sz="0" w:space="0" w:color="auto"/>
        <w:right w:val="none" w:sz="0" w:space="0" w:color="auto"/>
      </w:divBdr>
    </w:div>
    <w:div w:id="1679312724">
      <w:bodyDiv w:val="1"/>
      <w:marLeft w:val="0"/>
      <w:marRight w:val="0"/>
      <w:marTop w:val="0"/>
      <w:marBottom w:val="0"/>
      <w:divBdr>
        <w:top w:val="none" w:sz="0" w:space="0" w:color="auto"/>
        <w:left w:val="none" w:sz="0" w:space="0" w:color="auto"/>
        <w:bottom w:val="none" w:sz="0" w:space="0" w:color="auto"/>
        <w:right w:val="none" w:sz="0" w:space="0" w:color="auto"/>
      </w:divBdr>
    </w:div>
    <w:div w:id="1679388960">
      <w:bodyDiv w:val="1"/>
      <w:marLeft w:val="0"/>
      <w:marRight w:val="0"/>
      <w:marTop w:val="0"/>
      <w:marBottom w:val="0"/>
      <w:divBdr>
        <w:top w:val="none" w:sz="0" w:space="0" w:color="auto"/>
        <w:left w:val="none" w:sz="0" w:space="0" w:color="auto"/>
        <w:bottom w:val="none" w:sz="0" w:space="0" w:color="auto"/>
        <w:right w:val="none" w:sz="0" w:space="0" w:color="auto"/>
      </w:divBdr>
    </w:div>
    <w:div w:id="1679455965">
      <w:bodyDiv w:val="1"/>
      <w:marLeft w:val="0"/>
      <w:marRight w:val="0"/>
      <w:marTop w:val="0"/>
      <w:marBottom w:val="0"/>
      <w:divBdr>
        <w:top w:val="none" w:sz="0" w:space="0" w:color="auto"/>
        <w:left w:val="none" w:sz="0" w:space="0" w:color="auto"/>
        <w:bottom w:val="none" w:sz="0" w:space="0" w:color="auto"/>
        <w:right w:val="none" w:sz="0" w:space="0" w:color="auto"/>
      </w:divBdr>
    </w:div>
    <w:div w:id="1679457359">
      <w:bodyDiv w:val="1"/>
      <w:marLeft w:val="0"/>
      <w:marRight w:val="0"/>
      <w:marTop w:val="0"/>
      <w:marBottom w:val="0"/>
      <w:divBdr>
        <w:top w:val="none" w:sz="0" w:space="0" w:color="auto"/>
        <w:left w:val="none" w:sz="0" w:space="0" w:color="auto"/>
        <w:bottom w:val="none" w:sz="0" w:space="0" w:color="auto"/>
        <w:right w:val="none" w:sz="0" w:space="0" w:color="auto"/>
      </w:divBdr>
    </w:div>
    <w:div w:id="1679497451">
      <w:bodyDiv w:val="1"/>
      <w:marLeft w:val="0"/>
      <w:marRight w:val="0"/>
      <w:marTop w:val="0"/>
      <w:marBottom w:val="0"/>
      <w:divBdr>
        <w:top w:val="none" w:sz="0" w:space="0" w:color="auto"/>
        <w:left w:val="none" w:sz="0" w:space="0" w:color="auto"/>
        <w:bottom w:val="none" w:sz="0" w:space="0" w:color="auto"/>
        <w:right w:val="none" w:sz="0" w:space="0" w:color="auto"/>
      </w:divBdr>
    </w:div>
    <w:div w:id="1679500728">
      <w:bodyDiv w:val="1"/>
      <w:marLeft w:val="0"/>
      <w:marRight w:val="0"/>
      <w:marTop w:val="0"/>
      <w:marBottom w:val="0"/>
      <w:divBdr>
        <w:top w:val="none" w:sz="0" w:space="0" w:color="auto"/>
        <w:left w:val="none" w:sz="0" w:space="0" w:color="auto"/>
        <w:bottom w:val="none" w:sz="0" w:space="0" w:color="auto"/>
        <w:right w:val="none" w:sz="0" w:space="0" w:color="auto"/>
      </w:divBdr>
    </w:div>
    <w:div w:id="1679770968">
      <w:bodyDiv w:val="1"/>
      <w:marLeft w:val="0"/>
      <w:marRight w:val="0"/>
      <w:marTop w:val="0"/>
      <w:marBottom w:val="0"/>
      <w:divBdr>
        <w:top w:val="none" w:sz="0" w:space="0" w:color="auto"/>
        <w:left w:val="none" w:sz="0" w:space="0" w:color="auto"/>
        <w:bottom w:val="none" w:sz="0" w:space="0" w:color="auto"/>
        <w:right w:val="none" w:sz="0" w:space="0" w:color="auto"/>
      </w:divBdr>
    </w:div>
    <w:div w:id="1679774125">
      <w:bodyDiv w:val="1"/>
      <w:marLeft w:val="0"/>
      <w:marRight w:val="0"/>
      <w:marTop w:val="0"/>
      <w:marBottom w:val="0"/>
      <w:divBdr>
        <w:top w:val="none" w:sz="0" w:space="0" w:color="auto"/>
        <w:left w:val="none" w:sz="0" w:space="0" w:color="auto"/>
        <w:bottom w:val="none" w:sz="0" w:space="0" w:color="auto"/>
        <w:right w:val="none" w:sz="0" w:space="0" w:color="auto"/>
      </w:divBdr>
    </w:div>
    <w:div w:id="1679843329">
      <w:bodyDiv w:val="1"/>
      <w:marLeft w:val="0"/>
      <w:marRight w:val="0"/>
      <w:marTop w:val="0"/>
      <w:marBottom w:val="0"/>
      <w:divBdr>
        <w:top w:val="none" w:sz="0" w:space="0" w:color="auto"/>
        <w:left w:val="none" w:sz="0" w:space="0" w:color="auto"/>
        <w:bottom w:val="none" w:sz="0" w:space="0" w:color="auto"/>
        <w:right w:val="none" w:sz="0" w:space="0" w:color="auto"/>
      </w:divBdr>
    </w:div>
    <w:div w:id="1679889849">
      <w:bodyDiv w:val="1"/>
      <w:marLeft w:val="0"/>
      <w:marRight w:val="0"/>
      <w:marTop w:val="0"/>
      <w:marBottom w:val="0"/>
      <w:divBdr>
        <w:top w:val="none" w:sz="0" w:space="0" w:color="auto"/>
        <w:left w:val="none" w:sz="0" w:space="0" w:color="auto"/>
        <w:bottom w:val="none" w:sz="0" w:space="0" w:color="auto"/>
        <w:right w:val="none" w:sz="0" w:space="0" w:color="auto"/>
      </w:divBdr>
    </w:div>
    <w:div w:id="1679890263">
      <w:bodyDiv w:val="1"/>
      <w:marLeft w:val="0"/>
      <w:marRight w:val="0"/>
      <w:marTop w:val="0"/>
      <w:marBottom w:val="0"/>
      <w:divBdr>
        <w:top w:val="none" w:sz="0" w:space="0" w:color="auto"/>
        <w:left w:val="none" w:sz="0" w:space="0" w:color="auto"/>
        <w:bottom w:val="none" w:sz="0" w:space="0" w:color="auto"/>
        <w:right w:val="none" w:sz="0" w:space="0" w:color="auto"/>
      </w:divBdr>
    </w:div>
    <w:div w:id="1679961880">
      <w:bodyDiv w:val="1"/>
      <w:marLeft w:val="0"/>
      <w:marRight w:val="0"/>
      <w:marTop w:val="0"/>
      <w:marBottom w:val="0"/>
      <w:divBdr>
        <w:top w:val="none" w:sz="0" w:space="0" w:color="auto"/>
        <w:left w:val="none" w:sz="0" w:space="0" w:color="auto"/>
        <w:bottom w:val="none" w:sz="0" w:space="0" w:color="auto"/>
        <w:right w:val="none" w:sz="0" w:space="0" w:color="auto"/>
      </w:divBdr>
    </w:div>
    <w:div w:id="1680086440">
      <w:bodyDiv w:val="1"/>
      <w:marLeft w:val="0"/>
      <w:marRight w:val="0"/>
      <w:marTop w:val="0"/>
      <w:marBottom w:val="0"/>
      <w:divBdr>
        <w:top w:val="none" w:sz="0" w:space="0" w:color="auto"/>
        <w:left w:val="none" w:sz="0" w:space="0" w:color="auto"/>
        <w:bottom w:val="none" w:sz="0" w:space="0" w:color="auto"/>
        <w:right w:val="none" w:sz="0" w:space="0" w:color="auto"/>
      </w:divBdr>
    </w:div>
    <w:div w:id="1680086448">
      <w:bodyDiv w:val="1"/>
      <w:marLeft w:val="0"/>
      <w:marRight w:val="0"/>
      <w:marTop w:val="0"/>
      <w:marBottom w:val="0"/>
      <w:divBdr>
        <w:top w:val="none" w:sz="0" w:space="0" w:color="auto"/>
        <w:left w:val="none" w:sz="0" w:space="0" w:color="auto"/>
        <w:bottom w:val="none" w:sz="0" w:space="0" w:color="auto"/>
        <w:right w:val="none" w:sz="0" w:space="0" w:color="auto"/>
      </w:divBdr>
    </w:div>
    <w:div w:id="1680156669">
      <w:bodyDiv w:val="1"/>
      <w:marLeft w:val="0"/>
      <w:marRight w:val="0"/>
      <w:marTop w:val="0"/>
      <w:marBottom w:val="0"/>
      <w:divBdr>
        <w:top w:val="none" w:sz="0" w:space="0" w:color="auto"/>
        <w:left w:val="none" w:sz="0" w:space="0" w:color="auto"/>
        <w:bottom w:val="none" w:sz="0" w:space="0" w:color="auto"/>
        <w:right w:val="none" w:sz="0" w:space="0" w:color="auto"/>
      </w:divBdr>
    </w:div>
    <w:div w:id="1680355238">
      <w:bodyDiv w:val="1"/>
      <w:marLeft w:val="0"/>
      <w:marRight w:val="0"/>
      <w:marTop w:val="0"/>
      <w:marBottom w:val="0"/>
      <w:divBdr>
        <w:top w:val="none" w:sz="0" w:space="0" w:color="auto"/>
        <w:left w:val="none" w:sz="0" w:space="0" w:color="auto"/>
        <w:bottom w:val="none" w:sz="0" w:space="0" w:color="auto"/>
        <w:right w:val="none" w:sz="0" w:space="0" w:color="auto"/>
      </w:divBdr>
    </w:div>
    <w:div w:id="1680422962">
      <w:bodyDiv w:val="1"/>
      <w:marLeft w:val="0"/>
      <w:marRight w:val="0"/>
      <w:marTop w:val="0"/>
      <w:marBottom w:val="0"/>
      <w:divBdr>
        <w:top w:val="none" w:sz="0" w:space="0" w:color="auto"/>
        <w:left w:val="none" w:sz="0" w:space="0" w:color="auto"/>
        <w:bottom w:val="none" w:sz="0" w:space="0" w:color="auto"/>
        <w:right w:val="none" w:sz="0" w:space="0" w:color="auto"/>
      </w:divBdr>
    </w:div>
    <w:div w:id="1680499306">
      <w:bodyDiv w:val="1"/>
      <w:marLeft w:val="0"/>
      <w:marRight w:val="0"/>
      <w:marTop w:val="0"/>
      <w:marBottom w:val="0"/>
      <w:divBdr>
        <w:top w:val="none" w:sz="0" w:space="0" w:color="auto"/>
        <w:left w:val="none" w:sz="0" w:space="0" w:color="auto"/>
        <w:bottom w:val="none" w:sz="0" w:space="0" w:color="auto"/>
        <w:right w:val="none" w:sz="0" w:space="0" w:color="auto"/>
      </w:divBdr>
    </w:div>
    <w:div w:id="1680692921">
      <w:bodyDiv w:val="1"/>
      <w:marLeft w:val="0"/>
      <w:marRight w:val="0"/>
      <w:marTop w:val="0"/>
      <w:marBottom w:val="0"/>
      <w:divBdr>
        <w:top w:val="none" w:sz="0" w:space="0" w:color="auto"/>
        <w:left w:val="none" w:sz="0" w:space="0" w:color="auto"/>
        <w:bottom w:val="none" w:sz="0" w:space="0" w:color="auto"/>
        <w:right w:val="none" w:sz="0" w:space="0" w:color="auto"/>
      </w:divBdr>
    </w:div>
    <w:div w:id="1680693688">
      <w:bodyDiv w:val="1"/>
      <w:marLeft w:val="0"/>
      <w:marRight w:val="0"/>
      <w:marTop w:val="0"/>
      <w:marBottom w:val="0"/>
      <w:divBdr>
        <w:top w:val="none" w:sz="0" w:space="0" w:color="auto"/>
        <w:left w:val="none" w:sz="0" w:space="0" w:color="auto"/>
        <w:bottom w:val="none" w:sz="0" w:space="0" w:color="auto"/>
        <w:right w:val="none" w:sz="0" w:space="0" w:color="auto"/>
      </w:divBdr>
    </w:div>
    <w:div w:id="1680696033">
      <w:bodyDiv w:val="1"/>
      <w:marLeft w:val="0"/>
      <w:marRight w:val="0"/>
      <w:marTop w:val="0"/>
      <w:marBottom w:val="0"/>
      <w:divBdr>
        <w:top w:val="none" w:sz="0" w:space="0" w:color="auto"/>
        <w:left w:val="none" w:sz="0" w:space="0" w:color="auto"/>
        <w:bottom w:val="none" w:sz="0" w:space="0" w:color="auto"/>
        <w:right w:val="none" w:sz="0" w:space="0" w:color="auto"/>
      </w:divBdr>
    </w:div>
    <w:div w:id="1680740299">
      <w:bodyDiv w:val="1"/>
      <w:marLeft w:val="0"/>
      <w:marRight w:val="0"/>
      <w:marTop w:val="0"/>
      <w:marBottom w:val="0"/>
      <w:divBdr>
        <w:top w:val="none" w:sz="0" w:space="0" w:color="auto"/>
        <w:left w:val="none" w:sz="0" w:space="0" w:color="auto"/>
        <w:bottom w:val="none" w:sz="0" w:space="0" w:color="auto"/>
        <w:right w:val="none" w:sz="0" w:space="0" w:color="auto"/>
      </w:divBdr>
    </w:div>
    <w:div w:id="1680768196">
      <w:bodyDiv w:val="1"/>
      <w:marLeft w:val="0"/>
      <w:marRight w:val="0"/>
      <w:marTop w:val="0"/>
      <w:marBottom w:val="0"/>
      <w:divBdr>
        <w:top w:val="none" w:sz="0" w:space="0" w:color="auto"/>
        <w:left w:val="none" w:sz="0" w:space="0" w:color="auto"/>
        <w:bottom w:val="none" w:sz="0" w:space="0" w:color="auto"/>
        <w:right w:val="none" w:sz="0" w:space="0" w:color="auto"/>
      </w:divBdr>
    </w:div>
    <w:div w:id="1680883856">
      <w:bodyDiv w:val="1"/>
      <w:marLeft w:val="0"/>
      <w:marRight w:val="0"/>
      <w:marTop w:val="0"/>
      <w:marBottom w:val="0"/>
      <w:divBdr>
        <w:top w:val="none" w:sz="0" w:space="0" w:color="auto"/>
        <w:left w:val="none" w:sz="0" w:space="0" w:color="auto"/>
        <w:bottom w:val="none" w:sz="0" w:space="0" w:color="auto"/>
        <w:right w:val="none" w:sz="0" w:space="0" w:color="auto"/>
      </w:divBdr>
    </w:div>
    <w:div w:id="1680885143">
      <w:bodyDiv w:val="1"/>
      <w:marLeft w:val="0"/>
      <w:marRight w:val="0"/>
      <w:marTop w:val="0"/>
      <w:marBottom w:val="0"/>
      <w:divBdr>
        <w:top w:val="none" w:sz="0" w:space="0" w:color="auto"/>
        <w:left w:val="none" w:sz="0" w:space="0" w:color="auto"/>
        <w:bottom w:val="none" w:sz="0" w:space="0" w:color="auto"/>
        <w:right w:val="none" w:sz="0" w:space="0" w:color="auto"/>
      </w:divBdr>
    </w:div>
    <w:div w:id="1680891559">
      <w:bodyDiv w:val="1"/>
      <w:marLeft w:val="0"/>
      <w:marRight w:val="0"/>
      <w:marTop w:val="0"/>
      <w:marBottom w:val="0"/>
      <w:divBdr>
        <w:top w:val="none" w:sz="0" w:space="0" w:color="auto"/>
        <w:left w:val="none" w:sz="0" w:space="0" w:color="auto"/>
        <w:bottom w:val="none" w:sz="0" w:space="0" w:color="auto"/>
        <w:right w:val="none" w:sz="0" w:space="0" w:color="auto"/>
      </w:divBdr>
    </w:div>
    <w:div w:id="1681006721">
      <w:bodyDiv w:val="1"/>
      <w:marLeft w:val="0"/>
      <w:marRight w:val="0"/>
      <w:marTop w:val="0"/>
      <w:marBottom w:val="0"/>
      <w:divBdr>
        <w:top w:val="none" w:sz="0" w:space="0" w:color="auto"/>
        <w:left w:val="none" w:sz="0" w:space="0" w:color="auto"/>
        <w:bottom w:val="none" w:sz="0" w:space="0" w:color="auto"/>
        <w:right w:val="none" w:sz="0" w:space="0" w:color="auto"/>
      </w:divBdr>
    </w:div>
    <w:div w:id="1681155725">
      <w:bodyDiv w:val="1"/>
      <w:marLeft w:val="0"/>
      <w:marRight w:val="0"/>
      <w:marTop w:val="0"/>
      <w:marBottom w:val="0"/>
      <w:divBdr>
        <w:top w:val="none" w:sz="0" w:space="0" w:color="auto"/>
        <w:left w:val="none" w:sz="0" w:space="0" w:color="auto"/>
        <w:bottom w:val="none" w:sz="0" w:space="0" w:color="auto"/>
        <w:right w:val="none" w:sz="0" w:space="0" w:color="auto"/>
      </w:divBdr>
    </w:div>
    <w:div w:id="1681159232">
      <w:bodyDiv w:val="1"/>
      <w:marLeft w:val="0"/>
      <w:marRight w:val="0"/>
      <w:marTop w:val="0"/>
      <w:marBottom w:val="0"/>
      <w:divBdr>
        <w:top w:val="none" w:sz="0" w:space="0" w:color="auto"/>
        <w:left w:val="none" w:sz="0" w:space="0" w:color="auto"/>
        <w:bottom w:val="none" w:sz="0" w:space="0" w:color="auto"/>
        <w:right w:val="none" w:sz="0" w:space="0" w:color="auto"/>
      </w:divBdr>
    </w:div>
    <w:div w:id="1681195640">
      <w:bodyDiv w:val="1"/>
      <w:marLeft w:val="0"/>
      <w:marRight w:val="0"/>
      <w:marTop w:val="0"/>
      <w:marBottom w:val="0"/>
      <w:divBdr>
        <w:top w:val="none" w:sz="0" w:space="0" w:color="auto"/>
        <w:left w:val="none" w:sz="0" w:space="0" w:color="auto"/>
        <w:bottom w:val="none" w:sz="0" w:space="0" w:color="auto"/>
        <w:right w:val="none" w:sz="0" w:space="0" w:color="auto"/>
      </w:divBdr>
      <w:divsChild>
        <w:div w:id="1052495">
          <w:marLeft w:val="0"/>
          <w:marRight w:val="0"/>
          <w:marTop w:val="0"/>
          <w:marBottom w:val="0"/>
          <w:divBdr>
            <w:top w:val="none" w:sz="0" w:space="0" w:color="auto"/>
            <w:left w:val="none" w:sz="0" w:space="0" w:color="auto"/>
            <w:bottom w:val="none" w:sz="0" w:space="0" w:color="auto"/>
            <w:right w:val="none" w:sz="0" w:space="0" w:color="auto"/>
          </w:divBdr>
        </w:div>
        <w:div w:id="12610316">
          <w:marLeft w:val="0"/>
          <w:marRight w:val="0"/>
          <w:marTop w:val="0"/>
          <w:marBottom w:val="0"/>
          <w:divBdr>
            <w:top w:val="none" w:sz="0" w:space="0" w:color="auto"/>
            <w:left w:val="none" w:sz="0" w:space="0" w:color="auto"/>
            <w:bottom w:val="none" w:sz="0" w:space="0" w:color="auto"/>
            <w:right w:val="none" w:sz="0" w:space="0" w:color="auto"/>
          </w:divBdr>
        </w:div>
        <w:div w:id="55588816">
          <w:marLeft w:val="0"/>
          <w:marRight w:val="0"/>
          <w:marTop w:val="0"/>
          <w:marBottom w:val="0"/>
          <w:divBdr>
            <w:top w:val="none" w:sz="0" w:space="0" w:color="auto"/>
            <w:left w:val="none" w:sz="0" w:space="0" w:color="auto"/>
            <w:bottom w:val="none" w:sz="0" w:space="0" w:color="auto"/>
            <w:right w:val="none" w:sz="0" w:space="0" w:color="auto"/>
          </w:divBdr>
        </w:div>
        <w:div w:id="60758049">
          <w:marLeft w:val="0"/>
          <w:marRight w:val="0"/>
          <w:marTop w:val="0"/>
          <w:marBottom w:val="0"/>
          <w:divBdr>
            <w:top w:val="none" w:sz="0" w:space="0" w:color="auto"/>
            <w:left w:val="none" w:sz="0" w:space="0" w:color="auto"/>
            <w:bottom w:val="none" w:sz="0" w:space="0" w:color="auto"/>
            <w:right w:val="none" w:sz="0" w:space="0" w:color="auto"/>
          </w:divBdr>
        </w:div>
        <w:div w:id="83110107">
          <w:marLeft w:val="0"/>
          <w:marRight w:val="0"/>
          <w:marTop w:val="0"/>
          <w:marBottom w:val="0"/>
          <w:divBdr>
            <w:top w:val="none" w:sz="0" w:space="0" w:color="auto"/>
            <w:left w:val="none" w:sz="0" w:space="0" w:color="auto"/>
            <w:bottom w:val="none" w:sz="0" w:space="0" w:color="auto"/>
            <w:right w:val="none" w:sz="0" w:space="0" w:color="auto"/>
          </w:divBdr>
        </w:div>
        <w:div w:id="85659998">
          <w:marLeft w:val="0"/>
          <w:marRight w:val="0"/>
          <w:marTop w:val="0"/>
          <w:marBottom w:val="0"/>
          <w:divBdr>
            <w:top w:val="none" w:sz="0" w:space="0" w:color="auto"/>
            <w:left w:val="none" w:sz="0" w:space="0" w:color="auto"/>
            <w:bottom w:val="none" w:sz="0" w:space="0" w:color="auto"/>
            <w:right w:val="none" w:sz="0" w:space="0" w:color="auto"/>
          </w:divBdr>
        </w:div>
        <w:div w:id="116726125">
          <w:marLeft w:val="0"/>
          <w:marRight w:val="0"/>
          <w:marTop w:val="0"/>
          <w:marBottom w:val="0"/>
          <w:divBdr>
            <w:top w:val="none" w:sz="0" w:space="0" w:color="auto"/>
            <w:left w:val="none" w:sz="0" w:space="0" w:color="auto"/>
            <w:bottom w:val="none" w:sz="0" w:space="0" w:color="auto"/>
            <w:right w:val="none" w:sz="0" w:space="0" w:color="auto"/>
          </w:divBdr>
        </w:div>
        <w:div w:id="152642440">
          <w:marLeft w:val="0"/>
          <w:marRight w:val="0"/>
          <w:marTop w:val="0"/>
          <w:marBottom w:val="0"/>
          <w:divBdr>
            <w:top w:val="none" w:sz="0" w:space="0" w:color="auto"/>
            <w:left w:val="none" w:sz="0" w:space="0" w:color="auto"/>
            <w:bottom w:val="none" w:sz="0" w:space="0" w:color="auto"/>
            <w:right w:val="none" w:sz="0" w:space="0" w:color="auto"/>
          </w:divBdr>
        </w:div>
        <w:div w:id="173767230">
          <w:marLeft w:val="0"/>
          <w:marRight w:val="0"/>
          <w:marTop w:val="0"/>
          <w:marBottom w:val="0"/>
          <w:divBdr>
            <w:top w:val="none" w:sz="0" w:space="0" w:color="auto"/>
            <w:left w:val="none" w:sz="0" w:space="0" w:color="auto"/>
            <w:bottom w:val="none" w:sz="0" w:space="0" w:color="auto"/>
            <w:right w:val="none" w:sz="0" w:space="0" w:color="auto"/>
          </w:divBdr>
        </w:div>
        <w:div w:id="198006761">
          <w:marLeft w:val="0"/>
          <w:marRight w:val="0"/>
          <w:marTop w:val="0"/>
          <w:marBottom w:val="0"/>
          <w:divBdr>
            <w:top w:val="none" w:sz="0" w:space="0" w:color="auto"/>
            <w:left w:val="none" w:sz="0" w:space="0" w:color="auto"/>
            <w:bottom w:val="none" w:sz="0" w:space="0" w:color="auto"/>
            <w:right w:val="none" w:sz="0" w:space="0" w:color="auto"/>
          </w:divBdr>
        </w:div>
        <w:div w:id="212153759">
          <w:marLeft w:val="0"/>
          <w:marRight w:val="0"/>
          <w:marTop w:val="0"/>
          <w:marBottom w:val="0"/>
          <w:divBdr>
            <w:top w:val="none" w:sz="0" w:space="0" w:color="auto"/>
            <w:left w:val="none" w:sz="0" w:space="0" w:color="auto"/>
            <w:bottom w:val="none" w:sz="0" w:space="0" w:color="auto"/>
            <w:right w:val="none" w:sz="0" w:space="0" w:color="auto"/>
          </w:divBdr>
        </w:div>
        <w:div w:id="218830908">
          <w:marLeft w:val="0"/>
          <w:marRight w:val="0"/>
          <w:marTop w:val="0"/>
          <w:marBottom w:val="0"/>
          <w:divBdr>
            <w:top w:val="none" w:sz="0" w:space="0" w:color="auto"/>
            <w:left w:val="none" w:sz="0" w:space="0" w:color="auto"/>
            <w:bottom w:val="none" w:sz="0" w:space="0" w:color="auto"/>
            <w:right w:val="none" w:sz="0" w:space="0" w:color="auto"/>
          </w:divBdr>
        </w:div>
        <w:div w:id="266696451">
          <w:marLeft w:val="0"/>
          <w:marRight w:val="0"/>
          <w:marTop w:val="0"/>
          <w:marBottom w:val="0"/>
          <w:divBdr>
            <w:top w:val="none" w:sz="0" w:space="0" w:color="auto"/>
            <w:left w:val="none" w:sz="0" w:space="0" w:color="auto"/>
            <w:bottom w:val="none" w:sz="0" w:space="0" w:color="auto"/>
            <w:right w:val="none" w:sz="0" w:space="0" w:color="auto"/>
          </w:divBdr>
        </w:div>
        <w:div w:id="307394868">
          <w:marLeft w:val="0"/>
          <w:marRight w:val="0"/>
          <w:marTop w:val="0"/>
          <w:marBottom w:val="0"/>
          <w:divBdr>
            <w:top w:val="none" w:sz="0" w:space="0" w:color="auto"/>
            <w:left w:val="none" w:sz="0" w:space="0" w:color="auto"/>
            <w:bottom w:val="none" w:sz="0" w:space="0" w:color="auto"/>
            <w:right w:val="none" w:sz="0" w:space="0" w:color="auto"/>
          </w:divBdr>
        </w:div>
        <w:div w:id="322662166">
          <w:marLeft w:val="0"/>
          <w:marRight w:val="0"/>
          <w:marTop w:val="0"/>
          <w:marBottom w:val="0"/>
          <w:divBdr>
            <w:top w:val="none" w:sz="0" w:space="0" w:color="auto"/>
            <w:left w:val="none" w:sz="0" w:space="0" w:color="auto"/>
            <w:bottom w:val="none" w:sz="0" w:space="0" w:color="auto"/>
            <w:right w:val="none" w:sz="0" w:space="0" w:color="auto"/>
          </w:divBdr>
        </w:div>
        <w:div w:id="331639805">
          <w:marLeft w:val="0"/>
          <w:marRight w:val="0"/>
          <w:marTop w:val="0"/>
          <w:marBottom w:val="0"/>
          <w:divBdr>
            <w:top w:val="none" w:sz="0" w:space="0" w:color="auto"/>
            <w:left w:val="none" w:sz="0" w:space="0" w:color="auto"/>
            <w:bottom w:val="none" w:sz="0" w:space="0" w:color="auto"/>
            <w:right w:val="none" w:sz="0" w:space="0" w:color="auto"/>
          </w:divBdr>
        </w:div>
        <w:div w:id="342561572">
          <w:marLeft w:val="0"/>
          <w:marRight w:val="0"/>
          <w:marTop w:val="0"/>
          <w:marBottom w:val="0"/>
          <w:divBdr>
            <w:top w:val="none" w:sz="0" w:space="0" w:color="auto"/>
            <w:left w:val="none" w:sz="0" w:space="0" w:color="auto"/>
            <w:bottom w:val="none" w:sz="0" w:space="0" w:color="auto"/>
            <w:right w:val="none" w:sz="0" w:space="0" w:color="auto"/>
          </w:divBdr>
        </w:div>
        <w:div w:id="344403826">
          <w:marLeft w:val="0"/>
          <w:marRight w:val="0"/>
          <w:marTop w:val="0"/>
          <w:marBottom w:val="0"/>
          <w:divBdr>
            <w:top w:val="none" w:sz="0" w:space="0" w:color="auto"/>
            <w:left w:val="none" w:sz="0" w:space="0" w:color="auto"/>
            <w:bottom w:val="none" w:sz="0" w:space="0" w:color="auto"/>
            <w:right w:val="none" w:sz="0" w:space="0" w:color="auto"/>
          </w:divBdr>
        </w:div>
        <w:div w:id="354118385">
          <w:marLeft w:val="0"/>
          <w:marRight w:val="0"/>
          <w:marTop w:val="0"/>
          <w:marBottom w:val="0"/>
          <w:divBdr>
            <w:top w:val="none" w:sz="0" w:space="0" w:color="auto"/>
            <w:left w:val="none" w:sz="0" w:space="0" w:color="auto"/>
            <w:bottom w:val="none" w:sz="0" w:space="0" w:color="auto"/>
            <w:right w:val="none" w:sz="0" w:space="0" w:color="auto"/>
          </w:divBdr>
        </w:div>
        <w:div w:id="358900885">
          <w:marLeft w:val="0"/>
          <w:marRight w:val="0"/>
          <w:marTop w:val="0"/>
          <w:marBottom w:val="0"/>
          <w:divBdr>
            <w:top w:val="none" w:sz="0" w:space="0" w:color="auto"/>
            <w:left w:val="none" w:sz="0" w:space="0" w:color="auto"/>
            <w:bottom w:val="none" w:sz="0" w:space="0" w:color="auto"/>
            <w:right w:val="none" w:sz="0" w:space="0" w:color="auto"/>
          </w:divBdr>
        </w:div>
        <w:div w:id="362826333">
          <w:marLeft w:val="0"/>
          <w:marRight w:val="0"/>
          <w:marTop w:val="0"/>
          <w:marBottom w:val="0"/>
          <w:divBdr>
            <w:top w:val="none" w:sz="0" w:space="0" w:color="auto"/>
            <w:left w:val="none" w:sz="0" w:space="0" w:color="auto"/>
            <w:bottom w:val="none" w:sz="0" w:space="0" w:color="auto"/>
            <w:right w:val="none" w:sz="0" w:space="0" w:color="auto"/>
          </w:divBdr>
        </w:div>
        <w:div w:id="384916005">
          <w:marLeft w:val="0"/>
          <w:marRight w:val="0"/>
          <w:marTop w:val="0"/>
          <w:marBottom w:val="0"/>
          <w:divBdr>
            <w:top w:val="none" w:sz="0" w:space="0" w:color="auto"/>
            <w:left w:val="none" w:sz="0" w:space="0" w:color="auto"/>
            <w:bottom w:val="none" w:sz="0" w:space="0" w:color="auto"/>
            <w:right w:val="none" w:sz="0" w:space="0" w:color="auto"/>
          </w:divBdr>
        </w:div>
        <w:div w:id="389502317">
          <w:marLeft w:val="0"/>
          <w:marRight w:val="0"/>
          <w:marTop w:val="0"/>
          <w:marBottom w:val="0"/>
          <w:divBdr>
            <w:top w:val="none" w:sz="0" w:space="0" w:color="auto"/>
            <w:left w:val="none" w:sz="0" w:space="0" w:color="auto"/>
            <w:bottom w:val="none" w:sz="0" w:space="0" w:color="auto"/>
            <w:right w:val="none" w:sz="0" w:space="0" w:color="auto"/>
          </w:divBdr>
        </w:div>
        <w:div w:id="398791844">
          <w:marLeft w:val="0"/>
          <w:marRight w:val="0"/>
          <w:marTop w:val="0"/>
          <w:marBottom w:val="0"/>
          <w:divBdr>
            <w:top w:val="none" w:sz="0" w:space="0" w:color="auto"/>
            <w:left w:val="none" w:sz="0" w:space="0" w:color="auto"/>
            <w:bottom w:val="none" w:sz="0" w:space="0" w:color="auto"/>
            <w:right w:val="none" w:sz="0" w:space="0" w:color="auto"/>
          </w:divBdr>
        </w:div>
        <w:div w:id="416248590">
          <w:marLeft w:val="0"/>
          <w:marRight w:val="0"/>
          <w:marTop w:val="0"/>
          <w:marBottom w:val="0"/>
          <w:divBdr>
            <w:top w:val="none" w:sz="0" w:space="0" w:color="auto"/>
            <w:left w:val="none" w:sz="0" w:space="0" w:color="auto"/>
            <w:bottom w:val="none" w:sz="0" w:space="0" w:color="auto"/>
            <w:right w:val="none" w:sz="0" w:space="0" w:color="auto"/>
          </w:divBdr>
        </w:div>
        <w:div w:id="418909579">
          <w:marLeft w:val="0"/>
          <w:marRight w:val="0"/>
          <w:marTop w:val="0"/>
          <w:marBottom w:val="0"/>
          <w:divBdr>
            <w:top w:val="none" w:sz="0" w:space="0" w:color="auto"/>
            <w:left w:val="none" w:sz="0" w:space="0" w:color="auto"/>
            <w:bottom w:val="none" w:sz="0" w:space="0" w:color="auto"/>
            <w:right w:val="none" w:sz="0" w:space="0" w:color="auto"/>
          </w:divBdr>
        </w:div>
        <w:div w:id="419182198">
          <w:marLeft w:val="0"/>
          <w:marRight w:val="0"/>
          <w:marTop w:val="0"/>
          <w:marBottom w:val="0"/>
          <w:divBdr>
            <w:top w:val="none" w:sz="0" w:space="0" w:color="auto"/>
            <w:left w:val="none" w:sz="0" w:space="0" w:color="auto"/>
            <w:bottom w:val="none" w:sz="0" w:space="0" w:color="auto"/>
            <w:right w:val="none" w:sz="0" w:space="0" w:color="auto"/>
          </w:divBdr>
        </w:div>
        <w:div w:id="419718020">
          <w:marLeft w:val="0"/>
          <w:marRight w:val="0"/>
          <w:marTop w:val="0"/>
          <w:marBottom w:val="0"/>
          <w:divBdr>
            <w:top w:val="none" w:sz="0" w:space="0" w:color="auto"/>
            <w:left w:val="none" w:sz="0" w:space="0" w:color="auto"/>
            <w:bottom w:val="none" w:sz="0" w:space="0" w:color="auto"/>
            <w:right w:val="none" w:sz="0" w:space="0" w:color="auto"/>
          </w:divBdr>
        </w:div>
        <w:div w:id="429395346">
          <w:marLeft w:val="0"/>
          <w:marRight w:val="0"/>
          <w:marTop w:val="0"/>
          <w:marBottom w:val="0"/>
          <w:divBdr>
            <w:top w:val="none" w:sz="0" w:space="0" w:color="auto"/>
            <w:left w:val="none" w:sz="0" w:space="0" w:color="auto"/>
            <w:bottom w:val="none" w:sz="0" w:space="0" w:color="auto"/>
            <w:right w:val="none" w:sz="0" w:space="0" w:color="auto"/>
          </w:divBdr>
        </w:div>
        <w:div w:id="436754990">
          <w:marLeft w:val="0"/>
          <w:marRight w:val="0"/>
          <w:marTop w:val="0"/>
          <w:marBottom w:val="0"/>
          <w:divBdr>
            <w:top w:val="none" w:sz="0" w:space="0" w:color="auto"/>
            <w:left w:val="none" w:sz="0" w:space="0" w:color="auto"/>
            <w:bottom w:val="none" w:sz="0" w:space="0" w:color="auto"/>
            <w:right w:val="none" w:sz="0" w:space="0" w:color="auto"/>
          </w:divBdr>
        </w:div>
        <w:div w:id="449511808">
          <w:marLeft w:val="0"/>
          <w:marRight w:val="0"/>
          <w:marTop w:val="0"/>
          <w:marBottom w:val="0"/>
          <w:divBdr>
            <w:top w:val="none" w:sz="0" w:space="0" w:color="auto"/>
            <w:left w:val="none" w:sz="0" w:space="0" w:color="auto"/>
            <w:bottom w:val="none" w:sz="0" w:space="0" w:color="auto"/>
            <w:right w:val="none" w:sz="0" w:space="0" w:color="auto"/>
          </w:divBdr>
        </w:div>
        <w:div w:id="478379355">
          <w:marLeft w:val="0"/>
          <w:marRight w:val="0"/>
          <w:marTop w:val="0"/>
          <w:marBottom w:val="0"/>
          <w:divBdr>
            <w:top w:val="none" w:sz="0" w:space="0" w:color="auto"/>
            <w:left w:val="none" w:sz="0" w:space="0" w:color="auto"/>
            <w:bottom w:val="none" w:sz="0" w:space="0" w:color="auto"/>
            <w:right w:val="none" w:sz="0" w:space="0" w:color="auto"/>
          </w:divBdr>
        </w:div>
        <w:div w:id="483396780">
          <w:marLeft w:val="0"/>
          <w:marRight w:val="0"/>
          <w:marTop w:val="0"/>
          <w:marBottom w:val="0"/>
          <w:divBdr>
            <w:top w:val="none" w:sz="0" w:space="0" w:color="auto"/>
            <w:left w:val="none" w:sz="0" w:space="0" w:color="auto"/>
            <w:bottom w:val="none" w:sz="0" w:space="0" w:color="auto"/>
            <w:right w:val="none" w:sz="0" w:space="0" w:color="auto"/>
          </w:divBdr>
        </w:div>
        <w:div w:id="503591797">
          <w:marLeft w:val="0"/>
          <w:marRight w:val="0"/>
          <w:marTop w:val="0"/>
          <w:marBottom w:val="0"/>
          <w:divBdr>
            <w:top w:val="none" w:sz="0" w:space="0" w:color="auto"/>
            <w:left w:val="none" w:sz="0" w:space="0" w:color="auto"/>
            <w:bottom w:val="none" w:sz="0" w:space="0" w:color="auto"/>
            <w:right w:val="none" w:sz="0" w:space="0" w:color="auto"/>
          </w:divBdr>
        </w:div>
        <w:div w:id="505438755">
          <w:marLeft w:val="0"/>
          <w:marRight w:val="0"/>
          <w:marTop w:val="0"/>
          <w:marBottom w:val="0"/>
          <w:divBdr>
            <w:top w:val="none" w:sz="0" w:space="0" w:color="auto"/>
            <w:left w:val="none" w:sz="0" w:space="0" w:color="auto"/>
            <w:bottom w:val="none" w:sz="0" w:space="0" w:color="auto"/>
            <w:right w:val="none" w:sz="0" w:space="0" w:color="auto"/>
          </w:divBdr>
        </w:div>
        <w:div w:id="519973814">
          <w:marLeft w:val="0"/>
          <w:marRight w:val="0"/>
          <w:marTop w:val="0"/>
          <w:marBottom w:val="0"/>
          <w:divBdr>
            <w:top w:val="none" w:sz="0" w:space="0" w:color="auto"/>
            <w:left w:val="none" w:sz="0" w:space="0" w:color="auto"/>
            <w:bottom w:val="none" w:sz="0" w:space="0" w:color="auto"/>
            <w:right w:val="none" w:sz="0" w:space="0" w:color="auto"/>
          </w:divBdr>
        </w:div>
        <w:div w:id="521668968">
          <w:marLeft w:val="0"/>
          <w:marRight w:val="0"/>
          <w:marTop w:val="0"/>
          <w:marBottom w:val="0"/>
          <w:divBdr>
            <w:top w:val="none" w:sz="0" w:space="0" w:color="auto"/>
            <w:left w:val="none" w:sz="0" w:space="0" w:color="auto"/>
            <w:bottom w:val="none" w:sz="0" w:space="0" w:color="auto"/>
            <w:right w:val="none" w:sz="0" w:space="0" w:color="auto"/>
          </w:divBdr>
        </w:div>
        <w:div w:id="523324047">
          <w:marLeft w:val="0"/>
          <w:marRight w:val="0"/>
          <w:marTop w:val="0"/>
          <w:marBottom w:val="0"/>
          <w:divBdr>
            <w:top w:val="none" w:sz="0" w:space="0" w:color="auto"/>
            <w:left w:val="none" w:sz="0" w:space="0" w:color="auto"/>
            <w:bottom w:val="none" w:sz="0" w:space="0" w:color="auto"/>
            <w:right w:val="none" w:sz="0" w:space="0" w:color="auto"/>
          </w:divBdr>
        </w:div>
        <w:div w:id="525676635">
          <w:marLeft w:val="0"/>
          <w:marRight w:val="0"/>
          <w:marTop w:val="0"/>
          <w:marBottom w:val="0"/>
          <w:divBdr>
            <w:top w:val="none" w:sz="0" w:space="0" w:color="auto"/>
            <w:left w:val="none" w:sz="0" w:space="0" w:color="auto"/>
            <w:bottom w:val="none" w:sz="0" w:space="0" w:color="auto"/>
            <w:right w:val="none" w:sz="0" w:space="0" w:color="auto"/>
          </w:divBdr>
        </w:div>
        <w:div w:id="538249706">
          <w:marLeft w:val="0"/>
          <w:marRight w:val="0"/>
          <w:marTop w:val="0"/>
          <w:marBottom w:val="0"/>
          <w:divBdr>
            <w:top w:val="none" w:sz="0" w:space="0" w:color="auto"/>
            <w:left w:val="none" w:sz="0" w:space="0" w:color="auto"/>
            <w:bottom w:val="none" w:sz="0" w:space="0" w:color="auto"/>
            <w:right w:val="none" w:sz="0" w:space="0" w:color="auto"/>
          </w:divBdr>
        </w:div>
        <w:div w:id="563302198">
          <w:marLeft w:val="0"/>
          <w:marRight w:val="0"/>
          <w:marTop w:val="0"/>
          <w:marBottom w:val="0"/>
          <w:divBdr>
            <w:top w:val="none" w:sz="0" w:space="0" w:color="auto"/>
            <w:left w:val="none" w:sz="0" w:space="0" w:color="auto"/>
            <w:bottom w:val="none" w:sz="0" w:space="0" w:color="auto"/>
            <w:right w:val="none" w:sz="0" w:space="0" w:color="auto"/>
          </w:divBdr>
        </w:div>
        <w:div w:id="595595937">
          <w:marLeft w:val="0"/>
          <w:marRight w:val="0"/>
          <w:marTop w:val="0"/>
          <w:marBottom w:val="0"/>
          <w:divBdr>
            <w:top w:val="none" w:sz="0" w:space="0" w:color="auto"/>
            <w:left w:val="none" w:sz="0" w:space="0" w:color="auto"/>
            <w:bottom w:val="none" w:sz="0" w:space="0" w:color="auto"/>
            <w:right w:val="none" w:sz="0" w:space="0" w:color="auto"/>
          </w:divBdr>
        </w:div>
        <w:div w:id="631254136">
          <w:marLeft w:val="0"/>
          <w:marRight w:val="0"/>
          <w:marTop w:val="0"/>
          <w:marBottom w:val="0"/>
          <w:divBdr>
            <w:top w:val="none" w:sz="0" w:space="0" w:color="auto"/>
            <w:left w:val="none" w:sz="0" w:space="0" w:color="auto"/>
            <w:bottom w:val="none" w:sz="0" w:space="0" w:color="auto"/>
            <w:right w:val="none" w:sz="0" w:space="0" w:color="auto"/>
          </w:divBdr>
        </w:div>
        <w:div w:id="646785534">
          <w:marLeft w:val="0"/>
          <w:marRight w:val="0"/>
          <w:marTop w:val="0"/>
          <w:marBottom w:val="0"/>
          <w:divBdr>
            <w:top w:val="none" w:sz="0" w:space="0" w:color="auto"/>
            <w:left w:val="none" w:sz="0" w:space="0" w:color="auto"/>
            <w:bottom w:val="none" w:sz="0" w:space="0" w:color="auto"/>
            <w:right w:val="none" w:sz="0" w:space="0" w:color="auto"/>
          </w:divBdr>
        </w:div>
        <w:div w:id="652561810">
          <w:marLeft w:val="0"/>
          <w:marRight w:val="0"/>
          <w:marTop w:val="0"/>
          <w:marBottom w:val="0"/>
          <w:divBdr>
            <w:top w:val="none" w:sz="0" w:space="0" w:color="auto"/>
            <w:left w:val="none" w:sz="0" w:space="0" w:color="auto"/>
            <w:bottom w:val="none" w:sz="0" w:space="0" w:color="auto"/>
            <w:right w:val="none" w:sz="0" w:space="0" w:color="auto"/>
          </w:divBdr>
        </w:div>
        <w:div w:id="659891399">
          <w:marLeft w:val="0"/>
          <w:marRight w:val="0"/>
          <w:marTop w:val="0"/>
          <w:marBottom w:val="0"/>
          <w:divBdr>
            <w:top w:val="none" w:sz="0" w:space="0" w:color="auto"/>
            <w:left w:val="none" w:sz="0" w:space="0" w:color="auto"/>
            <w:bottom w:val="none" w:sz="0" w:space="0" w:color="auto"/>
            <w:right w:val="none" w:sz="0" w:space="0" w:color="auto"/>
          </w:divBdr>
        </w:div>
        <w:div w:id="661737906">
          <w:marLeft w:val="0"/>
          <w:marRight w:val="0"/>
          <w:marTop w:val="0"/>
          <w:marBottom w:val="0"/>
          <w:divBdr>
            <w:top w:val="none" w:sz="0" w:space="0" w:color="auto"/>
            <w:left w:val="none" w:sz="0" w:space="0" w:color="auto"/>
            <w:bottom w:val="none" w:sz="0" w:space="0" w:color="auto"/>
            <w:right w:val="none" w:sz="0" w:space="0" w:color="auto"/>
          </w:divBdr>
        </w:div>
        <w:div w:id="716198595">
          <w:marLeft w:val="0"/>
          <w:marRight w:val="0"/>
          <w:marTop w:val="0"/>
          <w:marBottom w:val="0"/>
          <w:divBdr>
            <w:top w:val="none" w:sz="0" w:space="0" w:color="auto"/>
            <w:left w:val="none" w:sz="0" w:space="0" w:color="auto"/>
            <w:bottom w:val="none" w:sz="0" w:space="0" w:color="auto"/>
            <w:right w:val="none" w:sz="0" w:space="0" w:color="auto"/>
          </w:divBdr>
        </w:div>
        <w:div w:id="735666166">
          <w:marLeft w:val="0"/>
          <w:marRight w:val="0"/>
          <w:marTop w:val="0"/>
          <w:marBottom w:val="0"/>
          <w:divBdr>
            <w:top w:val="none" w:sz="0" w:space="0" w:color="auto"/>
            <w:left w:val="none" w:sz="0" w:space="0" w:color="auto"/>
            <w:bottom w:val="none" w:sz="0" w:space="0" w:color="auto"/>
            <w:right w:val="none" w:sz="0" w:space="0" w:color="auto"/>
          </w:divBdr>
        </w:div>
        <w:div w:id="737750309">
          <w:marLeft w:val="0"/>
          <w:marRight w:val="0"/>
          <w:marTop w:val="0"/>
          <w:marBottom w:val="0"/>
          <w:divBdr>
            <w:top w:val="none" w:sz="0" w:space="0" w:color="auto"/>
            <w:left w:val="none" w:sz="0" w:space="0" w:color="auto"/>
            <w:bottom w:val="none" w:sz="0" w:space="0" w:color="auto"/>
            <w:right w:val="none" w:sz="0" w:space="0" w:color="auto"/>
          </w:divBdr>
        </w:div>
        <w:div w:id="768156017">
          <w:marLeft w:val="0"/>
          <w:marRight w:val="0"/>
          <w:marTop w:val="0"/>
          <w:marBottom w:val="0"/>
          <w:divBdr>
            <w:top w:val="none" w:sz="0" w:space="0" w:color="auto"/>
            <w:left w:val="none" w:sz="0" w:space="0" w:color="auto"/>
            <w:bottom w:val="none" w:sz="0" w:space="0" w:color="auto"/>
            <w:right w:val="none" w:sz="0" w:space="0" w:color="auto"/>
          </w:divBdr>
        </w:div>
        <w:div w:id="774059167">
          <w:marLeft w:val="0"/>
          <w:marRight w:val="0"/>
          <w:marTop w:val="0"/>
          <w:marBottom w:val="0"/>
          <w:divBdr>
            <w:top w:val="none" w:sz="0" w:space="0" w:color="auto"/>
            <w:left w:val="none" w:sz="0" w:space="0" w:color="auto"/>
            <w:bottom w:val="none" w:sz="0" w:space="0" w:color="auto"/>
            <w:right w:val="none" w:sz="0" w:space="0" w:color="auto"/>
          </w:divBdr>
        </w:div>
        <w:div w:id="785000027">
          <w:marLeft w:val="0"/>
          <w:marRight w:val="0"/>
          <w:marTop w:val="0"/>
          <w:marBottom w:val="0"/>
          <w:divBdr>
            <w:top w:val="none" w:sz="0" w:space="0" w:color="auto"/>
            <w:left w:val="none" w:sz="0" w:space="0" w:color="auto"/>
            <w:bottom w:val="none" w:sz="0" w:space="0" w:color="auto"/>
            <w:right w:val="none" w:sz="0" w:space="0" w:color="auto"/>
          </w:divBdr>
        </w:div>
        <w:div w:id="788164420">
          <w:marLeft w:val="0"/>
          <w:marRight w:val="0"/>
          <w:marTop w:val="0"/>
          <w:marBottom w:val="0"/>
          <w:divBdr>
            <w:top w:val="none" w:sz="0" w:space="0" w:color="auto"/>
            <w:left w:val="none" w:sz="0" w:space="0" w:color="auto"/>
            <w:bottom w:val="none" w:sz="0" w:space="0" w:color="auto"/>
            <w:right w:val="none" w:sz="0" w:space="0" w:color="auto"/>
          </w:divBdr>
        </w:div>
        <w:div w:id="817696566">
          <w:marLeft w:val="0"/>
          <w:marRight w:val="0"/>
          <w:marTop w:val="0"/>
          <w:marBottom w:val="0"/>
          <w:divBdr>
            <w:top w:val="none" w:sz="0" w:space="0" w:color="auto"/>
            <w:left w:val="none" w:sz="0" w:space="0" w:color="auto"/>
            <w:bottom w:val="none" w:sz="0" w:space="0" w:color="auto"/>
            <w:right w:val="none" w:sz="0" w:space="0" w:color="auto"/>
          </w:divBdr>
        </w:div>
        <w:div w:id="827406586">
          <w:marLeft w:val="0"/>
          <w:marRight w:val="0"/>
          <w:marTop w:val="0"/>
          <w:marBottom w:val="0"/>
          <w:divBdr>
            <w:top w:val="none" w:sz="0" w:space="0" w:color="auto"/>
            <w:left w:val="none" w:sz="0" w:space="0" w:color="auto"/>
            <w:bottom w:val="none" w:sz="0" w:space="0" w:color="auto"/>
            <w:right w:val="none" w:sz="0" w:space="0" w:color="auto"/>
          </w:divBdr>
        </w:div>
        <w:div w:id="848836805">
          <w:marLeft w:val="0"/>
          <w:marRight w:val="0"/>
          <w:marTop w:val="0"/>
          <w:marBottom w:val="0"/>
          <w:divBdr>
            <w:top w:val="none" w:sz="0" w:space="0" w:color="auto"/>
            <w:left w:val="none" w:sz="0" w:space="0" w:color="auto"/>
            <w:bottom w:val="none" w:sz="0" w:space="0" w:color="auto"/>
            <w:right w:val="none" w:sz="0" w:space="0" w:color="auto"/>
          </w:divBdr>
        </w:div>
        <w:div w:id="868614892">
          <w:marLeft w:val="0"/>
          <w:marRight w:val="0"/>
          <w:marTop w:val="0"/>
          <w:marBottom w:val="0"/>
          <w:divBdr>
            <w:top w:val="none" w:sz="0" w:space="0" w:color="auto"/>
            <w:left w:val="none" w:sz="0" w:space="0" w:color="auto"/>
            <w:bottom w:val="none" w:sz="0" w:space="0" w:color="auto"/>
            <w:right w:val="none" w:sz="0" w:space="0" w:color="auto"/>
          </w:divBdr>
        </w:div>
        <w:div w:id="871310475">
          <w:marLeft w:val="0"/>
          <w:marRight w:val="0"/>
          <w:marTop w:val="0"/>
          <w:marBottom w:val="0"/>
          <w:divBdr>
            <w:top w:val="none" w:sz="0" w:space="0" w:color="auto"/>
            <w:left w:val="none" w:sz="0" w:space="0" w:color="auto"/>
            <w:bottom w:val="none" w:sz="0" w:space="0" w:color="auto"/>
            <w:right w:val="none" w:sz="0" w:space="0" w:color="auto"/>
          </w:divBdr>
        </w:div>
        <w:div w:id="878590130">
          <w:marLeft w:val="0"/>
          <w:marRight w:val="0"/>
          <w:marTop w:val="0"/>
          <w:marBottom w:val="0"/>
          <w:divBdr>
            <w:top w:val="none" w:sz="0" w:space="0" w:color="auto"/>
            <w:left w:val="none" w:sz="0" w:space="0" w:color="auto"/>
            <w:bottom w:val="none" w:sz="0" w:space="0" w:color="auto"/>
            <w:right w:val="none" w:sz="0" w:space="0" w:color="auto"/>
          </w:divBdr>
        </w:div>
        <w:div w:id="880899528">
          <w:marLeft w:val="0"/>
          <w:marRight w:val="0"/>
          <w:marTop w:val="0"/>
          <w:marBottom w:val="0"/>
          <w:divBdr>
            <w:top w:val="none" w:sz="0" w:space="0" w:color="auto"/>
            <w:left w:val="none" w:sz="0" w:space="0" w:color="auto"/>
            <w:bottom w:val="none" w:sz="0" w:space="0" w:color="auto"/>
            <w:right w:val="none" w:sz="0" w:space="0" w:color="auto"/>
          </w:divBdr>
        </w:div>
        <w:div w:id="883567357">
          <w:marLeft w:val="0"/>
          <w:marRight w:val="0"/>
          <w:marTop w:val="0"/>
          <w:marBottom w:val="0"/>
          <w:divBdr>
            <w:top w:val="none" w:sz="0" w:space="0" w:color="auto"/>
            <w:left w:val="none" w:sz="0" w:space="0" w:color="auto"/>
            <w:bottom w:val="none" w:sz="0" w:space="0" w:color="auto"/>
            <w:right w:val="none" w:sz="0" w:space="0" w:color="auto"/>
          </w:divBdr>
        </w:div>
        <w:div w:id="883903713">
          <w:marLeft w:val="0"/>
          <w:marRight w:val="0"/>
          <w:marTop w:val="0"/>
          <w:marBottom w:val="0"/>
          <w:divBdr>
            <w:top w:val="none" w:sz="0" w:space="0" w:color="auto"/>
            <w:left w:val="none" w:sz="0" w:space="0" w:color="auto"/>
            <w:bottom w:val="none" w:sz="0" w:space="0" w:color="auto"/>
            <w:right w:val="none" w:sz="0" w:space="0" w:color="auto"/>
          </w:divBdr>
        </w:div>
        <w:div w:id="896404528">
          <w:marLeft w:val="0"/>
          <w:marRight w:val="0"/>
          <w:marTop w:val="0"/>
          <w:marBottom w:val="0"/>
          <w:divBdr>
            <w:top w:val="none" w:sz="0" w:space="0" w:color="auto"/>
            <w:left w:val="none" w:sz="0" w:space="0" w:color="auto"/>
            <w:bottom w:val="none" w:sz="0" w:space="0" w:color="auto"/>
            <w:right w:val="none" w:sz="0" w:space="0" w:color="auto"/>
          </w:divBdr>
        </w:div>
        <w:div w:id="910626332">
          <w:marLeft w:val="0"/>
          <w:marRight w:val="0"/>
          <w:marTop w:val="0"/>
          <w:marBottom w:val="0"/>
          <w:divBdr>
            <w:top w:val="none" w:sz="0" w:space="0" w:color="auto"/>
            <w:left w:val="none" w:sz="0" w:space="0" w:color="auto"/>
            <w:bottom w:val="none" w:sz="0" w:space="0" w:color="auto"/>
            <w:right w:val="none" w:sz="0" w:space="0" w:color="auto"/>
          </w:divBdr>
        </w:div>
        <w:div w:id="928270337">
          <w:marLeft w:val="0"/>
          <w:marRight w:val="0"/>
          <w:marTop w:val="0"/>
          <w:marBottom w:val="0"/>
          <w:divBdr>
            <w:top w:val="none" w:sz="0" w:space="0" w:color="auto"/>
            <w:left w:val="none" w:sz="0" w:space="0" w:color="auto"/>
            <w:bottom w:val="none" w:sz="0" w:space="0" w:color="auto"/>
            <w:right w:val="none" w:sz="0" w:space="0" w:color="auto"/>
          </w:divBdr>
        </w:div>
        <w:div w:id="932935279">
          <w:marLeft w:val="0"/>
          <w:marRight w:val="0"/>
          <w:marTop w:val="0"/>
          <w:marBottom w:val="0"/>
          <w:divBdr>
            <w:top w:val="none" w:sz="0" w:space="0" w:color="auto"/>
            <w:left w:val="none" w:sz="0" w:space="0" w:color="auto"/>
            <w:bottom w:val="none" w:sz="0" w:space="0" w:color="auto"/>
            <w:right w:val="none" w:sz="0" w:space="0" w:color="auto"/>
          </w:divBdr>
        </w:div>
        <w:div w:id="933588448">
          <w:marLeft w:val="0"/>
          <w:marRight w:val="0"/>
          <w:marTop w:val="0"/>
          <w:marBottom w:val="0"/>
          <w:divBdr>
            <w:top w:val="none" w:sz="0" w:space="0" w:color="auto"/>
            <w:left w:val="none" w:sz="0" w:space="0" w:color="auto"/>
            <w:bottom w:val="none" w:sz="0" w:space="0" w:color="auto"/>
            <w:right w:val="none" w:sz="0" w:space="0" w:color="auto"/>
          </w:divBdr>
        </w:div>
        <w:div w:id="939996608">
          <w:marLeft w:val="0"/>
          <w:marRight w:val="0"/>
          <w:marTop w:val="0"/>
          <w:marBottom w:val="0"/>
          <w:divBdr>
            <w:top w:val="none" w:sz="0" w:space="0" w:color="auto"/>
            <w:left w:val="none" w:sz="0" w:space="0" w:color="auto"/>
            <w:bottom w:val="none" w:sz="0" w:space="0" w:color="auto"/>
            <w:right w:val="none" w:sz="0" w:space="0" w:color="auto"/>
          </w:divBdr>
        </w:div>
        <w:div w:id="941111222">
          <w:marLeft w:val="0"/>
          <w:marRight w:val="0"/>
          <w:marTop w:val="0"/>
          <w:marBottom w:val="0"/>
          <w:divBdr>
            <w:top w:val="none" w:sz="0" w:space="0" w:color="auto"/>
            <w:left w:val="none" w:sz="0" w:space="0" w:color="auto"/>
            <w:bottom w:val="none" w:sz="0" w:space="0" w:color="auto"/>
            <w:right w:val="none" w:sz="0" w:space="0" w:color="auto"/>
          </w:divBdr>
        </w:div>
        <w:div w:id="964890370">
          <w:marLeft w:val="0"/>
          <w:marRight w:val="0"/>
          <w:marTop w:val="0"/>
          <w:marBottom w:val="0"/>
          <w:divBdr>
            <w:top w:val="none" w:sz="0" w:space="0" w:color="auto"/>
            <w:left w:val="none" w:sz="0" w:space="0" w:color="auto"/>
            <w:bottom w:val="none" w:sz="0" w:space="0" w:color="auto"/>
            <w:right w:val="none" w:sz="0" w:space="0" w:color="auto"/>
          </w:divBdr>
        </w:div>
        <w:div w:id="969820043">
          <w:marLeft w:val="0"/>
          <w:marRight w:val="0"/>
          <w:marTop w:val="0"/>
          <w:marBottom w:val="0"/>
          <w:divBdr>
            <w:top w:val="none" w:sz="0" w:space="0" w:color="auto"/>
            <w:left w:val="none" w:sz="0" w:space="0" w:color="auto"/>
            <w:bottom w:val="none" w:sz="0" w:space="0" w:color="auto"/>
            <w:right w:val="none" w:sz="0" w:space="0" w:color="auto"/>
          </w:divBdr>
        </w:div>
        <w:div w:id="1004354165">
          <w:marLeft w:val="0"/>
          <w:marRight w:val="0"/>
          <w:marTop w:val="0"/>
          <w:marBottom w:val="0"/>
          <w:divBdr>
            <w:top w:val="none" w:sz="0" w:space="0" w:color="auto"/>
            <w:left w:val="none" w:sz="0" w:space="0" w:color="auto"/>
            <w:bottom w:val="none" w:sz="0" w:space="0" w:color="auto"/>
            <w:right w:val="none" w:sz="0" w:space="0" w:color="auto"/>
          </w:divBdr>
        </w:div>
        <w:div w:id="1017076718">
          <w:marLeft w:val="0"/>
          <w:marRight w:val="0"/>
          <w:marTop w:val="0"/>
          <w:marBottom w:val="0"/>
          <w:divBdr>
            <w:top w:val="none" w:sz="0" w:space="0" w:color="auto"/>
            <w:left w:val="none" w:sz="0" w:space="0" w:color="auto"/>
            <w:bottom w:val="none" w:sz="0" w:space="0" w:color="auto"/>
            <w:right w:val="none" w:sz="0" w:space="0" w:color="auto"/>
          </w:divBdr>
        </w:div>
        <w:div w:id="1019505573">
          <w:marLeft w:val="0"/>
          <w:marRight w:val="0"/>
          <w:marTop w:val="0"/>
          <w:marBottom w:val="0"/>
          <w:divBdr>
            <w:top w:val="none" w:sz="0" w:space="0" w:color="auto"/>
            <w:left w:val="none" w:sz="0" w:space="0" w:color="auto"/>
            <w:bottom w:val="none" w:sz="0" w:space="0" w:color="auto"/>
            <w:right w:val="none" w:sz="0" w:space="0" w:color="auto"/>
          </w:divBdr>
        </w:div>
        <w:div w:id="1022047350">
          <w:marLeft w:val="0"/>
          <w:marRight w:val="0"/>
          <w:marTop w:val="0"/>
          <w:marBottom w:val="0"/>
          <w:divBdr>
            <w:top w:val="none" w:sz="0" w:space="0" w:color="auto"/>
            <w:left w:val="none" w:sz="0" w:space="0" w:color="auto"/>
            <w:bottom w:val="none" w:sz="0" w:space="0" w:color="auto"/>
            <w:right w:val="none" w:sz="0" w:space="0" w:color="auto"/>
          </w:divBdr>
        </w:div>
        <w:div w:id="1025254607">
          <w:marLeft w:val="0"/>
          <w:marRight w:val="0"/>
          <w:marTop w:val="0"/>
          <w:marBottom w:val="0"/>
          <w:divBdr>
            <w:top w:val="none" w:sz="0" w:space="0" w:color="auto"/>
            <w:left w:val="none" w:sz="0" w:space="0" w:color="auto"/>
            <w:bottom w:val="none" w:sz="0" w:space="0" w:color="auto"/>
            <w:right w:val="none" w:sz="0" w:space="0" w:color="auto"/>
          </w:divBdr>
        </w:div>
        <w:div w:id="1035159486">
          <w:marLeft w:val="0"/>
          <w:marRight w:val="0"/>
          <w:marTop w:val="0"/>
          <w:marBottom w:val="0"/>
          <w:divBdr>
            <w:top w:val="none" w:sz="0" w:space="0" w:color="auto"/>
            <w:left w:val="none" w:sz="0" w:space="0" w:color="auto"/>
            <w:bottom w:val="none" w:sz="0" w:space="0" w:color="auto"/>
            <w:right w:val="none" w:sz="0" w:space="0" w:color="auto"/>
          </w:divBdr>
        </w:div>
        <w:div w:id="1045064486">
          <w:marLeft w:val="0"/>
          <w:marRight w:val="0"/>
          <w:marTop w:val="0"/>
          <w:marBottom w:val="0"/>
          <w:divBdr>
            <w:top w:val="none" w:sz="0" w:space="0" w:color="auto"/>
            <w:left w:val="none" w:sz="0" w:space="0" w:color="auto"/>
            <w:bottom w:val="none" w:sz="0" w:space="0" w:color="auto"/>
            <w:right w:val="none" w:sz="0" w:space="0" w:color="auto"/>
          </w:divBdr>
        </w:div>
        <w:div w:id="1050878407">
          <w:marLeft w:val="0"/>
          <w:marRight w:val="0"/>
          <w:marTop w:val="0"/>
          <w:marBottom w:val="0"/>
          <w:divBdr>
            <w:top w:val="none" w:sz="0" w:space="0" w:color="auto"/>
            <w:left w:val="none" w:sz="0" w:space="0" w:color="auto"/>
            <w:bottom w:val="none" w:sz="0" w:space="0" w:color="auto"/>
            <w:right w:val="none" w:sz="0" w:space="0" w:color="auto"/>
          </w:divBdr>
        </w:div>
        <w:div w:id="1054892029">
          <w:marLeft w:val="0"/>
          <w:marRight w:val="0"/>
          <w:marTop w:val="0"/>
          <w:marBottom w:val="0"/>
          <w:divBdr>
            <w:top w:val="none" w:sz="0" w:space="0" w:color="auto"/>
            <w:left w:val="none" w:sz="0" w:space="0" w:color="auto"/>
            <w:bottom w:val="none" w:sz="0" w:space="0" w:color="auto"/>
            <w:right w:val="none" w:sz="0" w:space="0" w:color="auto"/>
          </w:divBdr>
        </w:div>
        <w:div w:id="1061320653">
          <w:marLeft w:val="0"/>
          <w:marRight w:val="0"/>
          <w:marTop w:val="0"/>
          <w:marBottom w:val="0"/>
          <w:divBdr>
            <w:top w:val="none" w:sz="0" w:space="0" w:color="auto"/>
            <w:left w:val="none" w:sz="0" w:space="0" w:color="auto"/>
            <w:bottom w:val="none" w:sz="0" w:space="0" w:color="auto"/>
            <w:right w:val="none" w:sz="0" w:space="0" w:color="auto"/>
          </w:divBdr>
        </w:div>
        <w:div w:id="1069039962">
          <w:marLeft w:val="0"/>
          <w:marRight w:val="0"/>
          <w:marTop w:val="0"/>
          <w:marBottom w:val="0"/>
          <w:divBdr>
            <w:top w:val="none" w:sz="0" w:space="0" w:color="auto"/>
            <w:left w:val="none" w:sz="0" w:space="0" w:color="auto"/>
            <w:bottom w:val="none" w:sz="0" w:space="0" w:color="auto"/>
            <w:right w:val="none" w:sz="0" w:space="0" w:color="auto"/>
          </w:divBdr>
        </w:div>
        <w:div w:id="1074399270">
          <w:marLeft w:val="0"/>
          <w:marRight w:val="0"/>
          <w:marTop w:val="0"/>
          <w:marBottom w:val="0"/>
          <w:divBdr>
            <w:top w:val="none" w:sz="0" w:space="0" w:color="auto"/>
            <w:left w:val="none" w:sz="0" w:space="0" w:color="auto"/>
            <w:bottom w:val="none" w:sz="0" w:space="0" w:color="auto"/>
            <w:right w:val="none" w:sz="0" w:space="0" w:color="auto"/>
          </w:divBdr>
        </w:div>
        <w:div w:id="1088427376">
          <w:marLeft w:val="0"/>
          <w:marRight w:val="0"/>
          <w:marTop w:val="0"/>
          <w:marBottom w:val="0"/>
          <w:divBdr>
            <w:top w:val="none" w:sz="0" w:space="0" w:color="auto"/>
            <w:left w:val="none" w:sz="0" w:space="0" w:color="auto"/>
            <w:bottom w:val="none" w:sz="0" w:space="0" w:color="auto"/>
            <w:right w:val="none" w:sz="0" w:space="0" w:color="auto"/>
          </w:divBdr>
        </w:div>
        <w:div w:id="1094744228">
          <w:marLeft w:val="0"/>
          <w:marRight w:val="0"/>
          <w:marTop w:val="0"/>
          <w:marBottom w:val="0"/>
          <w:divBdr>
            <w:top w:val="none" w:sz="0" w:space="0" w:color="auto"/>
            <w:left w:val="none" w:sz="0" w:space="0" w:color="auto"/>
            <w:bottom w:val="none" w:sz="0" w:space="0" w:color="auto"/>
            <w:right w:val="none" w:sz="0" w:space="0" w:color="auto"/>
          </w:divBdr>
        </w:div>
        <w:div w:id="1107389345">
          <w:marLeft w:val="0"/>
          <w:marRight w:val="0"/>
          <w:marTop w:val="0"/>
          <w:marBottom w:val="0"/>
          <w:divBdr>
            <w:top w:val="none" w:sz="0" w:space="0" w:color="auto"/>
            <w:left w:val="none" w:sz="0" w:space="0" w:color="auto"/>
            <w:bottom w:val="none" w:sz="0" w:space="0" w:color="auto"/>
            <w:right w:val="none" w:sz="0" w:space="0" w:color="auto"/>
          </w:divBdr>
        </w:div>
        <w:div w:id="1151600169">
          <w:marLeft w:val="0"/>
          <w:marRight w:val="0"/>
          <w:marTop w:val="0"/>
          <w:marBottom w:val="0"/>
          <w:divBdr>
            <w:top w:val="none" w:sz="0" w:space="0" w:color="auto"/>
            <w:left w:val="none" w:sz="0" w:space="0" w:color="auto"/>
            <w:bottom w:val="none" w:sz="0" w:space="0" w:color="auto"/>
            <w:right w:val="none" w:sz="0" w:space="0" w:color="auto"/>
          </w:divBdr>
        </w:div>
        <w:div w:id="1157303536">
          <w:marLeft w:val="0"/>
          <w:marRight w:val="0"/>
          <w:marTop w:val="0"/>
          <w:marBottom w:val="0"/>
          <w:divBdr>
            <w:top w:val="none" w:sz="0" w:space="0" w:color="auto"/>
            <w:left w:val="none" w:sz="0" w:space="0" w:color="auto"/>
            <w:bottom w:val="none" w:sz="0" w:space="0" w:color="auto"/>
            <w:right w:val="none" w:sz="0" w:space="0" w:color="auto"/>
          </w:divBdr>
        </w:div>
        <w:div w:id="1158695949">
          <w:marLeft w:val="0"/>
          <w:marRight w:val="0"/>
          <w:marTop w:val="0"/>
          <w:marBottom w:val="0"/>
          <w:divBdr>
            <w:top w:val="none" w:sz="0" w:space="0" w:color="auto"/>
            <w:left w:val="none" w:sz="0" w:space="0" w:color="auto"/>
            <w:bottom w:val="none" w:sz="0" w:space="0" w:color="auto"/>
            <w:right w:val="none" w:sz="0" w:space="0" w:color="auto"/>
          </w:divBdr>
        </w:div>
        <w:div w:id="1183667340">
          <w:marLeft w:val="0"/>
          <w:marRight w:val="0"/>
          <w:marTop w:val="0"/>
          <w:marBottom w:val="0"/>
          <w:divBdr>
            <w:top w:val="none" w:sz="0" w:space="0" w:color="auto"/>
            <w:left w:val="none" w:sz="0" w:space="0" w:color="auto"/>
            <w:bottom w:val="none" w:sz="0" w:space="0" w:color="auto"/>
            <w:right w:val="none" w:sz="0" w:space="0" w:color="auto"/>
          </w:divBdr>
        </w:div>
        <w:div w:id="1191214000">
          <w:marLeft w:val="0"/>
          <w:marRight w:val="0"/>
          <w:marTop w:val="0"/>
          <w:marBottom w:val="0"/>
          <w:divBdr>
            <w:top w:val="none" w:sz="0" w:space="0" w:color="auto"/>
            <w:left w:val="none" w:sz="0" w:space="0" w:color="auto"/>
            <w:bottom w:val="none" w:sz="0" w:space="0" w:color="auto"/>
            <w:right w:val="none" w:sz="0" w:space="0" w:color="auto"/>
          </w:divBdr>
        </w:div>
        <w:div w:id="1192112756">
          <w:marLeft w:val="0"/>
          <w:marRight w:val="0"/>
          <w:marTop w:val="0"/>
          <w:marBottom w:val="0"/>
          <w:divBdr>
            <w:top w:val="none" w:sz="0" w:space="0" w:color="auto"/>
            <w:left w:val="none" w:sz="0" w:space="0" w:color="auto"/>
            <w:bottom w:val="none" w:sz="0" w:space="0" w:color="auto"/>
            <w:right w:val="none" w:sz="0" w:space="0" w:color="auto"/>
          </w:divBdr>
        </w:div>
        <w:div w:id="1192377772">
          <w:marLeft w:val="0"/>
          <w:marRight w:val="0"/>
          <w:marTop w:val="0"/>
          <w:marBottom w:val="0"/>
          <w:divBdr>
            <w:top w:val="none" w:sz="0" w:space="0" w:color="auto"/>
            <w:left w:val="none" w:sz="0" w:space="0" w:color="auto"/>
            <w:bottom w:val="none" w:sz="0" w:space="0" w:color="auto"/>
            <w:right w:val="none" w:sz="0" w:space="0" w:color="auto"/>
          </w:divBdr>
        </w:div>
        <w:div w:id="1197810359">
          <w:marLeft w:val="0"/>
          <w:marRight w:val="0"/>
          <w:marTop w:val="0"/>
          <w:marBottom w:val="0"/>
          <w:divBdr>
            <w:top w:val="none" w:sz="0" w:space="0" w:color="auto"/>
            <w:left w:val="none" w:sz="0" w:space="0" w:color="auto"/>
            <w:bottom w:val="none" w:sz="0" w:space="0" w:color="auto"/>
            <w:right w:val="none" w:sz="0" w:space="0" w:color="auto"/>
          </w:divBdr>
        </w:div>
        <w:div w:id="1198079807">
          <w:marLeft w:val="0"/>
          <w:marRight w:val="0"/>
          <w:marTop w:val="0"/>
          <w:marBottom w:val="0"/>
          <w:divBdr>
            <w:top w:val="none" w:sz="0" w:space="0" w:color="auto"/>
            <w:left w:val="none" w:sz="0" w:space="0" w:color="auto"/>
            <w:bottom w:val="none" w:sz="0" w:space="0" w:color="auto"/>
            <w:right w:val="none" w:sz="0" w:space="0" w:color="auto"/>
          </w:divBdr>
        </w:div>
        <w:div w:id="1242133203">
          <w:marLeft w:val="0"/>
          <w:marRight w:val="0"/>
          <w:marTop w:val="0"/>
          <w:marBottom w:val="0"/>
          <w:divBdr>
            <w:top w:val="none" w:sz="0" w:space="0" w:color="auto"/>
            <w:left w:val="none" w:sz="0" w:space="0" w:color="auto"/>
            <w:bottom w:val="none" w:sz="0" w:space="0" w:color="auto"/>
            <w:right w:val="none" w:sz="0" w:space="0" w:color="auto"/>
          </w:divBdr>
        </w:div>
        <w:div w:id="1250701756">
          <w:marLeft w:val="0"/>
          <w:marRight w:val="0"/>
          <w:marTop w:val="0"/>
          <w:marBottom w:val="0"/>
          <w:divBdr>
            <w:top w:val="none" w:sz="0" w:space="0" w:color="auto"/>
            <w:left w:val="none" w:sz="0" w:space="0" w:color="auto"/>
            <w:bottom w:val="none" w:sz="0" w:space="0" w:color="auto"/>
            <w:right w:val="none" w:sz="0" w:space="0" w:color="auto"/>
          </w:divBdr>
        </w:div>
        <w:div w:id="1255481901">
          <w:marLeft w:val="0"/>
          <w:marRight w:val="0"/>
          <w:marTop w:val="0"/>
          <w:marBottom w:val="0"/>
          <w:divBdr>
            <w:top w:val="none" w:sz="0" w:space="0" w:color="auto"/>
            <w:left w:val="none" w:sz="0" w:space="0" w:color="auto"/>
            <w:bottom w:val="none" w:sz="0" w:space="0" w:color="auto"/>
            <w:right w:val="none" w:sz="0" w:space="0" w:color="auto"/>
          </w:divBdr>
        </w:div>
        <w:div w:id="1264074043">
          <w:marLeft w:val="0"/>
          <w:marRight w:val="0"/>
          <w:marTop w:val="0"/>
          <w:marBottom w:val="0"/>
          <w:divBdr>
            <w:top w:val="none" w:sz="0" w:space="0" w:color="auto"/>
            <w:left w:val="none" w:sz="0" w:space="0" w:color="auto"/>
            <w:bottom w:val="none" w:sz="0" w:space="0" w:color="auto"/>
            <w:right w:val="none" w:sz="0" w:space="0" w:color="auto"/>
          </w:divBdr>
        </w:div>
        <w:div w:id="1300116265">
          <w:marLeft w:val="0"/>
          <w:marRight w:val="0"/>
          <w:marTop w:val="0"/>
          <w:marBottom w:val="0"/>
          <w:divBdr>
            <w:top w:val="none" w:sz="0" w:space="0" w:color="auto"/>
            <w:left w:val="none" w:sz="0" w:space="0" w:color="auto"/>
            <w:bottom w:val="none" w:sz="0" w:space="0" w:color="auto"/>
            <w:right w:val="none" w:sz="0" w:space="0" w:color="auto"/>
          </w:divBdr>
        </w:div>
        <w:div w:id="1318341927">
          <w:marLeft w:val="0"/>
          <w:marRight w:val="0"/>
          <w:marTop w:val="0"/>
          <w:marBottom w:val="0"/>
          <w:divBdr>
            <w:top w:val="none" w:sz="0" w:space="0" w:color="auto"/>
            <w:left w:val="none" w:sz="0" w:space="0" w:color="auto"/>
            <w:bottom w:val="none" w:sz="0" w:space="0" w:color="auto"/>
            <w:right w:val="none" w:sz="0" w:space="0" w:color="auto"/>
          </w:divBdr>
        </w:div>
        <w:div w:id="1323047855">
          <w:marLeft w:val="0"/>
          <w:marRight w:val="0"/>
          <w:marTop w:val="0"/>
          <w:marBottom w:val="0"/>
          <w:divBdr>
            <w:top w:val="none" w:sz="0" w:space="0" w:color="auto"/>
            <w:left w:val="none" w:sz="0" w:space="0" w:color="auto"/>
            <w:bottom w:val="none" w:sz="0" w:space="0" w:color="auto"/>
            <w:right w:val="none" w:sz="0" w:space="0" w:color="auto"/>
          </w:divBdr>
        </w:div>
        <w:div w:id="1345859816">
          <w:marLeft w:val="0"/>
          <w:marRight w:val="0"/>
          <w:marTop w:val="0"/>
          <w:marBottom w:val="0"/>
          <w:divBdr>
            <w:top w:val="none" w:sz="0" w:space="0" w:color="auto"/>
            <w:left w:val="none" w:sz="0" w:space="0" w:color="auto"/>
            <w:bottom w:val="none" w:sz="0" w:space="0" w:color="auto"/>
            <w:right w:val="none" w:sz="0" w:space="0" w:color="auto"/>
          </w:divBdr>
        </w:div>
        <w:div w:id="1350569188">
          <w:marLeft w:val="0"/>
          <w:marRight w:val="0"/>
          <w:marTop w:val="0"/>
          <w:marBottom w:val="0"/>
          <w:divBdr>
            <w:top w:val="none" w:sz="0" w:space="0" w:color="auto"/>
            <w:left w:val="none" w:sz="0" w:space="0" w:color="auto"/>
            <w:bottom w:val="none" w:sz="0" w:space="0" w:color="auto"/>
            <w:right w:val="none" w:sz="0" w:space="0" w:color="auto"/>
          </w:divBdr>
        </w:div>
        <w:div w:id="1359771312">
          <w:marLeft w:val="0"/>
          <w:marRight w:val="0"/>
          <w:marTop w:val="0"/>
          <w:marBottom w:val="0"/>
          <w:divBdr>
            <w:top w:val="none" w:sz="0" w:space="0" w:color="auto"/>
            <w:left w:val="none" w:sz="0" w:space="0" w:color="auto"/>
            <w:bottom w:val="none" w:sz="0" w:space="0" w:color="auto"/>
            <w:right w:val="none" w:sz="0" w:space="0" w:color="auto"/>
          </w:divBdr>
        </w:div>
        <w:div w:id="1363705019">
          <w:marLeft w:val="0"/>
          <w:marRight w:val="0"/>
          <w:marTop w:val="0"/>
          <w:marBottom w:val="0"/>
          <w:divBdr>
            <w:top w:val="none" w:sz="0" w:space="0" w:color="auto"/>
            <w:left w:val="none" w:sz="0" w:space="0" w:color="auto"/>
            <w:bottom w:val="none" w:sz="0" w:space="0" w:color="auto"/>
            <w:right w:val="none" w:sz="0" w:space="0" w:color="auto"/>
          </w:divBdr>
        </w:div>
        <w:div w:id="1373379843">
          <w:marLeft w:val="0"/>
          <w:marRight w:val="0"/>
          <w:marTop w:val="0"/>
          <w:marBottom w:val="0"/>
          <w:divBdr>
            <w:top w:val="none" w:sz="0" w:space="0" w:color="auto"/>
            <w:left w:val="none" w:sz="0" w:space="0" w:color="auto"/>
            <w:bottom w:val="none" w:sz="0" w:space="0" w:color="auto"/>
            <w:right w:val="none" w:sz="0" w:space="0" w:color="auto"/>
          </w:divBdr>
        </w:div>
        <w:div w:id="1382364025">
          <w:marLeft w:val="0"/>
          <w:marRight w:val="0"/>
          <w:marTop w:val="0"/>
          <w:marBottom w:val="0"/>
          <w:divBdr>
            <w:top w:val="none" w:sz="0" w:space="0" w:color="auto"/>
            <w:left w:val="none" w:sz="0" w:space="0" w:color="auto"/>
            <w:bottom w:val="none" w:sz="0" w:space="0" w:color="auto"/>
            <w:right w:val="none" w:sz="0" w:space="0" w:color="auto"/>
          </w:divBdr>
        </w:div>
        <w:div w:id="1386370635">
          <w:marLeft w:val="0"/>
          <w:marRight w:val="0"/>
          <w:marTop w:val="0"/>
          <w:marBottom w:val="0"/>
          <w:divBdr>
            <w:top w:val="none" w:sz="0" w:space="0" w:color="auto"/>
            <w:left w:val="none" w:sz="0" w:space="0" w:color="auto"/>
            <w:bottom w:val="none" w:sz="0" w:space="0" w:color="auto"/>
            <w:right w:val="none" w:sz="0" w:space="0" w:color="auto"/>
          </w:divBdr>
        </w:div>
        <w:div w:id="1391995084">
          <w:marLeft w:val="0"/>
          <w:marRight w:val="0"/>
          <w:marTop w:val="0"/>
          <w:marBottom w:val="0"/>
          <w:divBdr>
            <w:top w:val="none" w:sz="0" w:space="0" w:color="auto"/>
            <w:left w:val="none" w:sz="0" w:space="0" w:color="auto"/>
            <w:bottom w:val="none" w:sz="0" w:space="0" w:color="auto"/>
            <w:right w:val="none" w:sz="0" w:space="0" w:color="auto"/>
          </w:divBdr>
        </w:div>
        <w:div w:id="1406413639">
          <w:marLeft w:val="0"/>
          <w:marRight w:val="0"/>
          <w:marTop w:val="0"/>
          <w:marBottom w:val="0"/>
          <w:divBdr>
            <w:top w:val="none" w:sz="0" w:space="0" w:color="auto"/>
            <w:left w:val="none" w:sz="0" w:space="0" w:color="auto"/>
            <w:bottom w:val="none" w:sz="0" w:space="0" w:color="auto"/>
            <w:right w:val="none" w:sz="0" w:space="0" w:color="auto"/>
          </w:divBdr>
        </w:div>
        <w:div w:id="1419903527">
          <w:marLeft w:val="0"/>
          <w:marRight w:val="0"/>
          <w:marTop w:val="0"/>
          <w:marBottom w:val="0"/>
          <w:divBdr>
            <w:top w:val="none" w:sz="0" w:space="0" w:color="auto"/>
            <w:left w:val="none" w:sz="0" w:space="0" w:color="auto"/>
            <w:bottom w:val="none" w:sz="0" w:space="0" w:color="auto"/>
            <w:right w:val="none" w:sz="0" w:space="0" w:color="auto"/>
          </w:divBdr>
        </w:div>
        <w:div w:id="1452238928">
          <w:marLeft w:val="0"/>
          <w:marRight w:val="0"/>
          <w:marTop w:val="0"/>
          <w:marBottom w:val="0"/>
          <w:divBdr>
            <w:top w:val="none" w:sz="0" w:space="0" w:color="auto"/>
            <w:left w:val="none" w:sz="0" w:space="0" w:color="auto"/>
            <w:bottom w:val="none" w:sz="0" w:space="0" w:color="auto"/>
            <w:right w:val="none" w:sz="0" w:space="0" w:color="auto"/>
          </w:divBdr>
        </w:div>
        <w:div w:id="1465075930">
          <w:marLeft w:val="0"/>
          <w:marRight w:val="0"/>
          <w:marTop w:val="0"/>
          <w:marBottom w:val="0"/>
          <w:divBdr>
            <w:top w:val="none" w:sz="0" w:space="0" w:color="auto"/>
            <w:left w:val="none" w:sz="0" w:space="0" w:color="auto"/>
            <w:bottom w:val="none" w:sz="0" w:space="0" w:color="auto"/>
            <w:right w:val="none" w:sz="0" w:space="0" w:color="auto"/>
          </w:divBdr>
        </w:div>
        <w:div w:id="1471168491">
          <w:marLeft w:val="0"/>
          <w:marRight w:val="0"/>
          <w:marTop w:val="0"/>
          <w:marBottom w:val="0"/>
          <w:divBdr>
            <w:top w:val="none" w:sz="0" w:space="0" w:color="auto"/>
            <w:left w:val="none" w:sz="0" w:space="0" w:color="auto"/>
            <w:bottom w:val="none" w:sz="0" w:space="0" w:color="auto"/>
            <w:right w:val="none" w:sz="0" w:space="0" w:color="auto"/>
          </w:divBdr>
        </w:div>
        <w:div w:id="1532911463">
          <w:marLeft w:val="0"/>
          <w:marRight w:val="0"/>
          <w:marTop w:val="0"/>
          <w:marBottom w:val="0"/>
          <w:divBdr>
            <w:top w:val="none" w:sz="0" w:space="0" w:color="auto"/>
            <w:left w:val="none" w:sz="0" w:space="0" w:color="auto"/>
            <w:bottom w:val="none" w:sz="0" w:space="0" w:color="auto"/>
            <w:right w:val="none" w:sz="0" w:space="0" w:color="auto"/>
          </w:divBdr>
        </w:div>
        <w:div w:id="1548450453">
          <w:marLeft w:val="0"/>
          <w:marRight w:val="0"/>
          <w:marTop w:val="0"/>
          <w:marBottom w:val="0"/>
          <w:divBdr>
            <w:top w:val="none" w:sz="0" w:space="0" w:color="auto"/>
            <w:left w:val="none" w:sz="0" w:space="0" w:color="auto"/>
            <w:bottom w:val="none" w:sz="0" w:space="0" w:color="auto"/>
            <w:right w:val="none" w:sz="0" w:space="0" w:color="auto"/>
          </w:divBdr>
        </w:div>
        <w:div w:id="1561162943">
          <w:marLeft w:val="0"/>
          <w:marRight w:val="0"/>
          <w:marTop w:val="0"/>
          <w:marBottom w:val="0"/>
          <w:divBdr>
            <w:top w:val="none" w:sz="0" w:space="0" w:color="auto"/>
            <w:left w:val="none" w:sz="0" w:space="0" w:color="auto"/>
            <w:bottom w:val="none" w:sz="0" w:space="0" w:color="auto"/>
            <w:right w:val="none" w:sz="0" w:space="0" w:color="auto"/>
          </w:divBdr>
        </w:div>
        <w:div w:id="1562909377">
          <w:marLeft w:val="0"/>
          <w:marRight w:val="0"/>
          <w:marTop w:val="0"/>
          <w:marBottom w:val="0"/>
          <w:divBdr>
            <w:top w:val="none" w:sz="0" w:space="0" w:color="auto"/>
            <w:left w:val="none" w:sz="0" w:space="0" w:color="auto"/>
            <w:bottom w:val="none" w:sz="0" w:space="0" w:color="auto"/>
            <w:right w:val="none" w:sz="0" w:space="0" w:color="auto"/>
          </w:divBdr>
        </w:div>
        <w:div w:id="1564675607">
          <w:marLeft w:val="0"/>
          <w:marRight w:val="0"/>
          <w:marTop w:val="0"/>
          <w:marBottom w:val="0"/>
          <w:divBdr>
            <w:top w:val="none" w:sz="0" w:space="0" w:color="auto"/>
            <w:left w:val="none" w:sz="0" w:space="0" w:color="auto"/>
            <w:bottom w:val="none" w:sz="0" w:space="0" w:color="auto"/>
            <w:right w:val="none" w:sz="0" w:space="0" w:color="auto"/>
          </w:divBdr>
        </w:div>
        <w:div w:id="1577517791">
          <w:marLeft w:val="0"/>
          <w:marRight w:val="0"/>
          <w:marTop w:val="0"/>
          <w:marBottom w:val="0"/>
          <w:divBdr>
            <w:top w:val="none" w:sz="0" w:space="0" w:color="auto"/>
            <w:left w:val="none" w:sz="0" w:space="0" w:color="auto"/>
            <w:bottom w:val="none" w:sz="0" w:space="0" w:color="auto"/>
            <w:right w:val="none" w:sz="0" w:space="0" w:color="auto"/>
          </w:divBdr>
        </w:div>
        <w:div w:id="1587301293">
          <w:marLeft w:val="0"/>
          <w:marRight w:val="0"/>
          <w:marTop w:val="0"/>
          <w:marBottom w:val="0"/>
          <w:divBdr>
            <w:top w:val="none" w:sz="0" w:space="0" w:color="auto"/>
            <w:left w:val="none" w:sz="0" w:space="0" w:color="auto"/>
            <w:bottom w:val="none" w:sz="0" w:space="0" w:color="auto"/>
            <w:right w:val="none" w:sz="0" w:space="0" w:color="auto"/>
          </w:divBdr>
        </w:div>
        <w:div w:id="1588923681">
          <w:marLeft w:val="0"/>
          <w:marRight w:val="0"/>
          <w:marTop w:val="0"/>
          <w:marBottom w:val="0"/>
          <w:divBdr>
            <w:top w:val="none" w:sz="0" w:space="0" w:color="auto"/>
            <w:left w:val="none" w:sz="0" w:space="0" w:color="auto"/>
            <w:bottom w:val="none" w:sz="0" w:space="0" w:color="auto"/>
            <w:right w:val="none" w:sz="0" w:space="0" w:color="auto"/>
          </w:divBdr>
        </w:div>
        <w:div w:id="1592155151">
          <w:marLeft w:val="0"/>
          <w:marRight w:val="0"/>
          <w:marTop w:val="0"/>
          <w:marBottom w:val="0"/>
          <w:divBdr>
            <w:top w:val="none" w:sz="0" w:space="0" w:color="auto"/>
            <w:left w:val="none" w:sz="0" w:space="0" w:color="auto"/>
            <w:bottom w:val="none" w:sz="0" w:space="0" w:color="auto"/>
            <w:right w:val="none" w:sz="0" w:space="0" w:color="auto"/>
          </w:divBdr>
        </w:div>
        <w:div w:id="1602297780">
          <w:marLeft w:val="0"/>
          <w:marRight w:val="0"/>
          <w:marTop w:val="0"/>
          <w:marBottom w:val="0"/>
          <w:divBdr>
            <w:top w:val="none" w:sz="0" w:space="0" w:color="auto"/>
            <w:left w:val="none" w:sz="0" w:space="0" w:color="auto"/>
            <w:bottom w:val="none" w:sz="0" w:space="0" w:color="auto"/>
            <w:right w:val="none" w:sz="0" w:space="0" w:color="auto"/>
          </w:divBdr>
        </w:div>
        <w:div w:id="1621835335">
          <w:marLeft w:val="0"/>
          <w:marRight w:val="0"/>
          <w:marTop w:val="0"/>
          <w:marBottom w:val="0"/>
          <w:divBdr>
            <w:top w:val="none" w:sz="0" w:space="0" w:color="auto"/>
            <w:left w:val="none" w:sz="0" w:space="0" w:color="auto"/>
            <w:bottom w:val="none" w:sz="0" w:space="0" w:color="auto"/>
            <w:right w:val="none" w:sz="0" w:space="0" w:color="auto"/>
          </w:divBdr>
        </w:div>
        <w:div w:id="1624918163">
          <w:marLeft w:val="0"/>
          <w:marRight w:val="0"/>
          <w:marTop w:val="0"/>
          <w:marBottom w:val="0"/>
          <w:divBdr>
            <w:top w:val="none" w:sz="0" w:space="0" w:color="auto"/>
            <w:left w:val="none" w:sz="0" w:space="0" w:color="auto"/>
            <w:bottom w:val="none" w:sz="0" w:space="0" w:color="auto"/>
            <w:right w:val="none" w:sz="0" w:space="0" w:color="auto"/>
          </w:divBdr>
        </w:div>
        <w:div w:id="1655835065">
          <w:marLeft w:val="0"/>
          <w:marRight w:val="0"/>
          <w:marTop w:val="0"/>
          <w:marBottom w:val="0"/>
          <w:divBdr>
            <w:top w:val="none" w:sz="0" w:space="0" w:color="auto"/>
            <w:left w:val="none" w:sz="0" w:space="0" w:color="auto"/>
            <w:bottom w:val="none" w:sz="0" w:space="0" w:color="auto"/>
            <w:right w:val="none" w:sz="0" w:space="0" w:color="auto"/>
          </w:divBdr>
        </w:div>
        <w:div w:id="1659730466">
          <w:marLeft w:val="0"/>
          <w:marRight w:val="0"/>
          <w:marTop w:val="0"/>
          <w:marBottom w:val="0"/>
          <w:divBdr>
            <w:top w:val="none" w:sz="0" w:space="0" w:color="auto"/>
            <w:left w:val="none" w:sz="0" w:space="0" w:color="auto"/>
            <w:bottom w:val="none" w:sz="0" w:space="0" w:color="auto"/>
            <w:right w:val="none" w:sz="0" w:space="0" w:color="auto"/>
          </w:divBdr>
        </w:div>
        <w:div w:id="1660184769">
          <w:marLeft w:val="0"/>
          <w:marRight w:val="0"/>
          <w:marTop w:val="0"/>
          <w:marBottom w:val="0"/>
          <w:divBdr>
            <w:top w:val="none" w:sz="0" w:space="0" w:color="auto"/>
            <w:left w:val="none" w:sz="0" w:space="0" w:color="auto"/>
            <w:bottom w:val="none" w:sz="0" w:space="0" w:color="auto"/>
            <w:right w:val="none" w:sz="0" w:space="0" w:color="auto"/>
          </w:divBdr>
        </w:div>
        <w:div w:id="1662805363">
          <w:marLeft w:val="0"/>
          <w:marRight w:val="0"/>
          <w:marTop w:val="0"/>
          <w:marBottom w:val="0"/>
          <w:divBdr>
            <w:top w:val="none" w:sz="0" w:space="0" w:color="auto"/>
            <w:left w:val="none" w:sz="0" w:space="0" w:color="auto"/>
            <w:bottom w:val="none" w:sz="0" w:space="0" w:color="auto"/>
            <w:right w:val="none" w:sz="0" w:space="0" w:color="auto"/>
          </w:divBdr>
        </w:div>
        <w:div w:id="1663510372">
          <w:marLeft w:val="0"/>
          <w:marRight w:val="0"/>
          <w:marTop w:val="0"/>
          <w:marBottom w:val="0"/>
          <w:divBdr>
            <w:top w:val="none" w:sz="0" w:space="0" w:color="auto"/>
            <w:left w:val="none" w:sz="0" w:space="0" w:color="auto"/>
            <w:bottom w:val="none" w:sz="0" w:space="0" w:color="auto"/>
            <w:right w:val="none" w:sz="0" w:space="0" w:color="auto"/>
          </w:divBdr>
        </w:div>
        <w:div w:id="1665472280">
          <w:marLeft w:val="0"/>
          <w:marRight w:val="0"/>
          <w:marTop w:val="0"/>
          <w:marBottom w:val="0"/>
          <w:divBdr>
            <w:top w:val="none" w:sz="0" w:space="0" w:color="auto"/>
            <w:left w:val="none" w:sz="0" w:space="0" w:color="auto"/>
            <w:bottom w:val="none" w:sz="0" w:space="0" w:color="auto"/>
            <w:right w:val="none" w:sz="0" w:space="0" w:color="auto"/>
          </w:divBdr>
        </w:div>
        <w:div w:id="1682392636">
          <w:marLeft w:val="0"/>
          <w:marRight w:val="0"/>
          <w:marTop w:val="0"/>
          <w:marBottom w:val="0"/>
          <w:divBdr>
            <w:top w:val="none" w:sz="0" w:space="0" w:color="auto"/>
            <w:left w:val="none" w:sz="0" w:space="0" w:color="auto"/>
            <w:bottom w:val="none" w:sz="0" w:space="0" w:color="auto"/>
            <w:right w:val="none" w:sz="0" w:space="0" w:color="auto"/>
          </w:divBdr>
        </w:div>
        <w:div w:id="1698658613">
          <w:marLeft w:val="0"/>
          <w:marRight w:val="0"/>
          <w:marTop w:val="0"/>
          <w:marBottom w:val="0"/>
          <w:divBdr>
            <w:top w:val="none" w:sz="0" w:space="0" w:color="auto"/>
            <w:left w:val="none" w:sz="0" w:space="0" w:color="auto"/>
            <w:bottom w:val="none" w:sz="0" w:space="0" w:color="auto"/>
            <w:right w:val="none" w:sz="0" w:space="0" w:color="auto"/>
          </w:divBdr>
        </w:div>
        <w:div w:id="1708675000">
          <w:marLeft w:val="0"/>
          <w:marRight w:val="0"/>
          <w:marTop w:val="0"/>
          <w:marBottom w:val="0"/>
          <w:divBdr>
            <w:top w:val="none" w:sz="0" w:space="0" w:color="auto"/>
            <w:left w:val="none" w:sz="0" w:space="0" w:color="auto"/>
            <w:bottom w:val="none" w:sz="0" w:space="0" w:color="auto"/>
            <w:right w:val="none" w:sz="0" w:space="0" w:color="auto"/>
          </w:divBdr>
        </w:div>
        <w:div w:id="1720548503">
          <w:marLeft w:val="0"/>
          <w:marRight w:val="0"/>
          <w:marTop w:val="0"/>
          <w:marBottom w:val="0"/>
          <w:divBdr>
            <w:top w:val="none" w:sz="0" w:space="0" w:color="auto"/>
            <w:left w:val="none" w:sz="0" w:space="0" w:color="auto"/>
            <w:bottom w:val="none" w:sz="0" w:space="0" w:color="auto"/>
            <w:right w:val="none" w:sz="0" w:space="0" w:color="auto"/>
          </w:divBdr>
        </w:div>
        <w:div w:id="1731339349">
          <w:marLeft w:val="0"/>
          <w:marRight w:val="0"/>
          <w:marTop w:val="0"/>
          <w:marBottom w:val="0"/>
          <w:divBdr>
            <w:top w:val="none" w:sz="0" w:space="0" w:color="auto"/>
            <w:left w:val="none" w:sz="0" w:space="0" w:color="auto"/>
            <w:bottom w:val="none" w:sz="0" w:space="0" w:color="auto"/>
            <w:right w:val="none" w:sz="0" w:space="0" w:color="auto"/>
          </w:divBdr>
        </w:div>
        <w:div w:id="1759977689">
          <w:marLeft w:val="0"/>
          <w:marRight w:val="0"/>
          <w:marTop w:val="0"/>
          <w:marBottom w:val="0"/>
          <w:divBdr>
            <w:top w:val="none" w:sz="0" w:space="0" w:color="auto"/>
            <w:left w:val="none" w:sz="0" w:space="0" w:color="auto"/>
            <w:bottom w:val="none" w:sz="0" w:space="0" w:color="auto"/>
            <w:right w:val="none" w:sz="0" w:space="0" w:color="auto"/>
          </w:divBdr>
        </w:div>
        <w:div w:id="1761288334">
          <w:marLeft w:val="0"/>
          <w:marRight w:val="0"/>
          <w:marTop w:val="0"/>
          <w:marBottom w:val="0"/>
          <w:divBdr>
            <w:top w:val="none" w:sz="0" w:space="0" w:color="auto"/>
            <w:left w:val="none" w:sz="0" w:space="0" w:color="auto"/>
            <w:bottom w:val="none" w:sz="0" w:space="0" w:color="auto"/>
            <w:right w:val="none" w:sz="0" w:space="0" w:color="auto"/>
          </w:divBdr>
        </w:div>
        <w:div w:id="1774398087">
          <w:marLeft w:val="0"/>
          <w:marRight w:val="0"/>
          <w:marTop w:val="0"/>
          <w:marBottom w:val="0"/>
          <w:divBdr>
            <w:top w:val="none" w:sz="0" w:space="0" w:color="auto"/>
            <w:left w:val="none" w:sz="0" w:space="0" w:color="auto"/>
            <w:bottom w:val="none" w:sz="0" w:space="0" w:color="auto"/>
            <w:right w:val="none" w:sz="0" w:space="0" w:color="auto"/>
          </w:divBdr>
        </w:div>
        <w:div w:id="1784493563">
          <w:marLeft w:val="0"/>
          <w:marRight w:val="0"/>
          <w:marTop w:val="0"/>
          <w:marBottom w:val="0"/>
          <w:divBdr>
            <w:top w:val="none" w:sz="0" w:space="0" w:color="auto"/>
            <w:left w:val="none" w:sz="0" w:space="0" w:color="auto"/>
            <w:bottom w:val="none" w:sz="0" w:space="0" w:color="auto"/>
            <w:right w:val="none" w:sz="0" w:space="0" w:color="auto"/>
          </w:divBdr>
        </w:div>
        <w:div w:id="1791390529">
          <w:marLeft w:val="0"/>
          <w:marRight w:val="0"/>
          <w:marTop w:val="0"/>
          <w:marBottom w:val="0"/>
          <w:divBdr>
            <w:top w:val="none" w:sz="0" w:space="0" w:color="auto"/>
            <w:left w:val="none" w:sz="0" w:space="0" w:color="auto"/>
            <w:bottom w:val="none" w:sz="0" w:space="0" w:color="auto"/>
            <w:right w:val="none" w:sz="0" w:space="0" w:color="auto"/>
          </w:divBdr>
        </w:div>
        <w:div w:id="1799102894">
          <w:marLeft w:val="0"/>
          <w:marRight w:val="0"/>
          <w:marTop w:val="0"/>
          <w:marBottom w:val="0"/>
          <w:divBdr>
            <w:top w:val="none" w:sz="0" w:space="0" w:color="auto"/>
            <w:left w:val="none" w:sz="0" w:space="0" w:color="auto"/>
            <w:bottom w:val="none" w:sz="0" w:space="0" w:color="auto"/>
            <w:right w:val="none" w:sz="0" w:space="0" w:color="auto"/>
          </w:divBdr>
        </w:div>
        <w:div w:id="1831477396">
          <w:marLeft w:val="0"/>
          <w:marRight w:val="0"/>
          <w:marTop w:val="0"/>
          <w:marBottom w:val="0"/>
          <w:divBdr>
            <w:top w:val="none" w:sz="0" w:space="0" w:color="auto"/>
            <w:left w:val="none" w:sz="0" w:space="0" w:color="auto"/>
            <w:bottom w:val="none" w:sz="0" w:space="0" w:color="auto"/>
            <w:right w:val="none" w:sz="0" w:space="0" w:color="auto"/>
          </w:divBdr>
        </w:div>
        <w:div w:id="1865703159">
          <w:marLeft w:val="0"/>
          <w:marRight w:val="0"/>
          <w:marTop w:val="0"/>
          <w:marBottom w:val="0"/>
          <w:divBdr>
            <w:top w:val="none" w:sz="0" w:space="0" w:color="auto"/>
            <w:left w:val="none" w:sz="0" w:space="0" w:color="auto"/>
            <w:bottom w:val="none" w:sz="0" w:space="0" w:color="auto"/>
            <w:right w:val="none" w:sz="0" w:space="0" w:color="auto"/>
          </w:divBdr>
        </w:div>
        <w:div w:id="1870338019">
          <w:marLeft w:val="0"/>
          <w:marRight w:val="0"/>
          <w:marTop w:val="0"/>
          <w:marBottom w:val="0"/>
          <w:divBdr>
            <w:top w:val="none" w:sz="0" w:space="0" w:color="auto"/>
            <w:left w:val="none" w:sz="0" w:space="0" w:color="auto"/>
            <w:bottom w:val="none" w:sz="0" w:space="0" w:color="auto"/>
            <w:right w:val="none" w:sz="0" w:space="0" w:color="auto"/>
          </w:divBdr>
        </w:div>
        <w:div w:id="1871841364">
          <w:marLeft w:val="0"/>
          <w:marRight w:val="0"/>
          <w:marTop w:val="0"/>
          <w:marBottom w:val="0"/>
          <w:divBdr>
            <w:top w:val="none" w:sz="0" w:space="0" w:color="auto"/>
            <w:left w:val="none" w:sz="0" w:space="0" w:color="auto"/>
            <w:bottom w:val="none" w:sz="0" w:space="0" w:color="auto"/>
            <w:right w:val="none" w:sz="0" w:space="0" w:color="auto"/>
          </w:divBdr>
        </w:div>
        <w:div w:id="1874999557">
          <w:marLeft w:val="0"/>
          <w:marRight w:val="0"/>
          <w:marTop w:val="0"/>
          <w:marBottom w:val="0"/>
          <w:divBdr>
            <w:top w:val="none" w:sz="0" w:space="0" w:color="auto"/>
            <w:left w:val="none" w:sz="0" w:space="0" w:color="auto"/>
            <w:bottom w:val="none" w:sz="0" w:space="0" w:color="auto"/>
            <w:right w:val="none" w:sz="0" w:space="0" w:color="auto"/>
          </w:divBdr>
        </w:div>
        <w:div w:id="1880891886">
          <w:marLeft w:val="0"/>
          <w:marRight w:val="0"/>
          <w:marTop w:val="0"/>
          <w:marBottom w:val="0"/>
          <w:divBdr>
            <w:top w:val="none" w:sz="0" w:space="0" w:color="auto"/>
            <w:left w:val="none" w:sz="0" w:space="0" w:color="auto"/>
            <w:bottom w:val="none" w:sz="0" w:space="0" w:color="auto"/>
            <w:right w:val="none" w:sz="0" w:space="0" w:color="auto"/>
          </w:divBdr>
        </w:div>
        <w:div w:id="1909726523">
          <w:marLeft w:val="0"/>
          <w:marRight w:val="0"/>
          <w:marTop w:val="0"/>
          <w:marBottom w:val="0"/>
          <w:divBdr>
            <w:top w:val="none" w:sz="0" w:space="0" w:color="auto"/>
            <w:left w:val="none" w:sz="0" w:space="0" w:color="auto"/>
            <w:bottom w:val="none" w:sz="0" w:space="0" w:color="auto"/>
            <w:right w:val="none" w:sz="0" w:space="0" w:color="auto"/>
          </w:divBdr>
        </w:div>
        <w:div w:id="1914006292">
          <w:marLeft w:val="0"/>
          <w:marRight w:val="0"/>
          <w:marTop w:val="0"/>
          <w:marBottom w:val="0"/>
          <w:divBdr>
            <w:top w:val="none" w:sz="0" w:space="0" w:color="auto"/>
            <w:left w:val="none" w:sz="0" w:space="0" w:color="auto"/>
            <w:bottom w:val="none" w:sz="0" w:space="0" w:color="auto"/>
            <w:right w:val="none" w:sz="0" w:space="0" w:color="auto"/>
          </w:divBdr>
        </w:div>
        <w:div w:id="1923950550">
          <w:marLeft w:val="0"/>
          <w:marRight w:val="0"/>
          <w:marTop w:val="0"/>
          <w:marBottom w:val="0"/>
          <w:divBdr>
            <w:top w:val="none" w:sz="0" w:space="0" w:color="auto"/>
            <w:left w:val="none" w:sz="0" w:space="0" w:color="auto"/>
            <w:bottom w:val="none" w:sz="0" w:space="0" w:color="auto"/>
            <w:right w:val="none" w:sz="0" w:space="0" w:color="auto"/>
          </w:divBdr>
        </w:div>
        <w:div w:id="1934779425">
          <w:marLeft w:val="0"/>
          <w:marRight w:val="0"/>
          <w:marTop w:val="0"/>
          <w:marBottom w:val="0"/>
          <w:divBdr>
            <w:top w:val="none" w:sz="0" w:space="0" w:color="auto"/>
            <w:left w:val="none" w:sz="0" w:space="0" w:color="auto"/>
            <w:bottom w:val="none" w:sz="0" w:space="0" w:color="auto"/>
            <w:right w:val="none" w:sz="0" w:space="0" w:color="auto"/>
          </w:divBdr>
        </w:div>
        <w:div w:id="1944800279">
          <w:marLeft w:val="0"/>
          <w:marRight w:val="0"/>
          <w:marTop w:val="0"/>
          <w:marBottom w:val="0"/>
          <w:divBdr>
            <w:top w:val="none" w:sz="0" w:space="0" w:color="auto"/>
            <w:left w:val="none" w:sz="0" w:space="0" w:color="auto"/>
            <w:bottom w:val="none" w:sz="0" w:space="0" w:color="auto"/>
            <w:right w:val="none" w:sz="0" w:space="0" w:color="auto"/>
          </w:divBdr>
        </w:div>
        <w:div w:id="1944874817">
          <w:marLeft w:val="0"/>
          <w:marRight w:val="0"/>
          <w:marTop w:val="0"/>
          <w:marBottom w:val="0"/>
          <w:divBdr>
            <w:top w:val="none" w:sz="0" w:space="0" w:color="auto"/>
            <w:left w:val="none" w:sz="0" w:space="0" w:color="auto"/>
            <w:bottom w:val="none" w:sz="0" w:space="0" w:color="auto"/>
            <w:right w:val="none" w:sz="0" w:space="0" w:color="auto"/>
          </w:divBdr>
        </w:div>
        <w:div w:id="1963808410">
          <w:marLeft w:val="0"/>
          <w:marRight w:val="0"/>
          <w:marTop w:val="0"/>
          <w:marBottom w:val="0"/>
          <w:divBdr>
            <w:top w:val="none" w:sz="0" w:space="0" w:color="auto"/>
            <w:left w:val="none" w:sz="0" w:space="0" w:color="auto"/>
            <w:bottom w:val="none" w:sz="0" w:space="0" w:color="auto"/>
            <w:right w:val="none" w:sz="0" w:space="0" w:color="auto"/>
          </w:divBdr>
        </w:div>
        <w:div w:id="1965111619">
          <w:marLeft w:val="0"/>
          <w:marRight w:val="0"/>
          <w:marTop w:val="0"/>
          <w:marBottom w:val="0"/>
          <w:divBdr>
            <w:top w:val="none" w:sz="0" w:space="0" w:color="auto"/>
            <w:left w:val="none" w:sz="0" w:space="0" w:color="auto"/>
            <w:bottom w:val="none" w:sz="0" w:space="0" w:color="auto"/>
            <w:right w:val="none" w:sz="0" w:space="0" w:color="auto"/>
          </w:divBdr>
        </w:div>
        <w:div w:id="1972249782">
          <w:marLeft w:val="0"/>
          <w:marRight w:val="0"/>
          <w:marTop w:val="0"/>
          <w:marBottom w:val="0"/>
          <w:divBdr>
            <w:top w:val="none" w:sz="0" w:space="0" w:color="auto"/>
            <w:left w:val="none" w:sz="0" w:space="0" w:color="auto"/>
            <w:bottom w:val="none" w:sz="0" w:space="0" w:color="auto"/>
            <w:right w:val="none" w:sz="0" w:space="0" w:color="auto"/>
          </w:divBdr>
        </w:div>
        <w:div w:id="1976835770">
          <w:marLeft w:val="0"/>
          <w:marRight w:val="0"/>
          <w:marTop w:val="0"/>
          <w:marBottom w:val="0"/>
          <w:divBdr>
            <w:top w:val="none" w:sz="0" w:space="0" w:color="auto"/>
            <w:left w:val="none" w:sz="0" w:space="0" w:color="auto"/>
            <w:bottom w:val="none" w:sz="0" w:space="0" w:color="auto"/>
            <w:right w:val="none" w:sz="0" w:space="0" w:color="auto"/>
          </w:divBdr>
        </w:div>
        <w:div w:id="1986735936">
          <w:marLeft w:val="0"/>
          <w:marRight w:val="0"/>
          <w:marTop w:val="0"/>
          <w:marBottom w:val="0"/>
          <w:divBdr>
            <w:top w:val="none" w:sz="0" w:space="0" w:color="auto"/>
            <w:left w:val="none" w:sz="0" w:space="0" w:color="auto"/>
            <w:bottom w:val="none" w:sz="0" w:space="0" w:color="auto"/>
            <w:right w:val="none" w:sz="0" w:space="0" w:color="auto"/>
          </w:divBdr>
        </w:div>
        <w:div w:id="1987471186">
          <w:marLeft w:val="0"/>
          <w:marRight w:val="0"/>
          <w:marTop w:val="0"/>
          <w:marBottom w:val="0"/>
          <w:divBdr>
            <w:top w:val="none" w:sz="0" w:space="0" w:color="auto"/>
            <w:left w:val="none" w:sz="0" w:space="0" w:color="auto"/>
            <w:bottom w:val="none" w:sz="0" w:space="0" w:color="auto"/>
            <w:right w:val="none" w:sz="0" w:space="0" w:color="auto"/>
          </w:divBdr>
        </w:div>
        <w:div w:id="2002154955">
          <w:marLeft w:val="0"/>
          <w:marRight w:val="0"/>
          <w:marTop w:val="0"/>
          <w:marBottom w:val="0"/>
          <w:divBdr>
            <w:top w:val="none" w:sz="0" w:space="0" w:color="auto"/>
            <w:left w:val="none" w:sz="0" w:space="0" w:color="auto"/>
            <w:bottom w:val="none" w:sz="0" w:space="0" w:color="auto"/>
            <w:right w:val="none" w:sz="0" w:space="0" w:color="auto"/>
          </w:divBdr>
        </w:div>
        <w:div w:id="2009137187">
          <w:marLeft w:val="0"/>
          <w:marRight w:val="0"/>
          <w:marTop w:val="0"/>
          <w:marBottom w:val="0"/>
          <w:divBdr>
            <w:top w:val="none" w:sz="0" w:space="0" w:color="auto"/>
            <w:left w:val="none" w:sz="0" w:space="0" w:color="auto"/>
            <w:bottom w:val="none" w:sz="0" w:space="0" w:color="auto"/>
            <w:right w:val="none" w:sz="0" w:space="0" w:color="auto"/>
          </w:divBdr>
        </w:div>
      </w:divsChild>
    </w:div>
    <w:div w:id="1681202050">
      <w:bodyDiv w:val="1"/>
      <w:marLeft w:val="0"/>
      <w:marRight w:val="0"/>
      <w:marTop w:val="0"/>
      <w:marBottom w:val="0"/>
      <w:divBdr>
        <w:top w:val="none" w:sz="0" w:space="0" w:color="auto"/>
        <w:left w:val="none" w:sz="0" w:space="0" w:color="auto"/>
        <w:bottom w:val="none" w:sz="0" w:space="0" w:color="auto"/>
        <w:right w:val="none" w:sz="0" w:space="0" w:color="auto"/>
      </w:divBdr>
    </w:div>
    <w:div w:id="1681350064">
      <w:bodyDiv w:val="1"/>
      <w:marLeft w:val="0"/>
      <w:marRight w:val="0"/>
      <w:marTop w:val="0"/>
      <w:marBottom w:val="0"/>
      <w:divBdr>
        <w:top w:val="none" w:sz="0" w:space="0" w:color="auto"/>
        <w:left w:val="none" w:sz="0" w:space="0" w:color="auto"/>
        <w:bottom w:val="none" w:sz="0" w:space="0" w:color="auto"/>
        <w:right w:val="none" w:sz="0" w:space="0" w:color="auto"/>
      </w:divBdr>
    </w:div>
    <w:div w:id="1681393334">
      <w:bodyDiv w:val="1"/>
      <w:marLeft w:val="0"/>
      <w:marRight w:val="0"/>
      <w:marTop w:val="0"/>
      <w:marBottom w:val="0"/>
      <w:divBdr>
        <w:top w:val="none" w:sz="0" w:space="0" w:color="auto"/>
        <w:left w:val="none" w:sz="0" w:space="0" w:color="auto"/>
        <w:bottom w:val="none" w:sz="0" w:space="0" w:color="auto"/>
        <w:right w:val="none" w:sz="0" w:space="0" w:color="auto"/>
      </w:divBdr>
    </w:div>
    <w:div w:id="1681394204">
      <w:bodyDiv w:val="1"/>
      <w:marLeft w:val="0"/>
      <w:marRight w:val="0"/>
      <w:marTop w:val="0"/>
      <w:marBottom w:val="0"/>
      <w:divBdr>
        <w:top w:val="none" w:sz="0" w:space="0" w:color="auto"/>
        <w:left w:val="none" w:sz="0" w:space="0" w:color="auto"/>
        <w:bottom w:val="none" w:sz="0" w:space="0" w:color="auto"/>
        <w:right w:val="none" w:sz="0" w:space="0" w:color="auto"/>
      </w:divBdr>
    </w:div>
    <w:div w:id="1681395254">
      <w:bodyDiv w:val="1"/>
      <w:marLeft w:val="0"/>
      <w:marRight w:val="0"/>
      <w:marTop w:val="0"/>
      <w:marBottom w:val="0"/>
      <w:divBdr>
        <w:top w:val="none" w:sz="0" w:space="0" w:color="auto"/>
        <w:left w:val="none" w:sz="0" w:space="0" w:color="auto"/>
        <w:bottom w:val="none" w:sz="0" w:space="0" w:color="auto"/>
        <w:right w:val="none" w:sz="0" w:space="0" w:color="auto"/>
      </w:divBdr>
    </w:div>
    <w:div w:id="1681546126">
      <w:bodyDiv w:val="1"/>
      <w:marLeft w:val="0"/>
      <w:marRight w:val="0"/>
      <w:marTop w:val="0"/>
      <w:marBottom w:val="0"/>
      <w:divBdr>
        <w:top w:val="none" w:sz="0" w:space="0" w:color="auto"/>
        <w:left w:val="none" w:sz="0" w:space="0" w:color="auto"/>
        <w:bottom w:val="none" w:sz="0" w:space="0" w:color="auto"/>
        <w:right w:val="none" w:sz="0" w:space="0" w:color="auto"/>
      </w:divBdr>
    </w:div>
    <w:div w:id="1681665137">
      <w:bodyDiv w:val="1"/>
      <w:marLeft w:val="0"/>
      <w:marRight w:val="0"/>
      <w:marTop w:val="0"/>
      <w:marBottom w:val="0"/>
      <w:divBdr>
        <w:top w:val="none" w:sz="0" w:space="0" w:color="auto"/>
        <w:left w:val="none" w:sz="0" w:space="0" w:color="auto"/>
        <w:bottom w:val="none" w:sz="0" w:space="0" w:color="auto"/>
        <w:right w:val="none" w:sz="0" w:space="0" w:color="auto"/>
      </w:divBdr>
    </w:div>
    <w:div w:id="1681854537">
      <w:bodyDiv w:val="1"/>
      <w:marLeft w:val="0"/>
      <w:marRight w:val="0"/>
      <w:marTop w:val="0"/>
      <w:marBottom w:val="0"/>
      <w:divBdr>
        <w:top w:val="none" w:sz="0" w:space="0" w:color="auto"/>
        <w:left w:val="none" w:sz="0" w:space="0" w:color="auto"/>
        <w:bottom w:val="none" w:sz="0" w:space="0" w:color="auto"/>
        <w:right w:val="none" w:sz="0" w:space="0" w:color="auto"/>
      </w:divBdr>
    </w:div>
    <w:div w:id="1682046978">
      <w:bodyDiv w:val="1"/>
      <w:marLeft w:val="0"/>
      <w:marRight w:val="0"/>
      <w:marTop w:val="0"/>
      <w:marBottom w:val="0"/>
      <w:divBdr>
        <w:top w:val="none" w:sz="0" w:space="0" w:color="auto"/>
        <w:left w:val="none" w:sz="0" w:space="0" w:color="auto"/>
        <w:bottom w:val="none" w:sz="0" w:space="0" w:color="auto"/>
        <w:right w:val="none" w:sz="0" w:space="0" w:color="auto"/>
      </w:divBdr>
    </w:div>
    <w:div w:id="1682196738">
      <w:bodyDiv w:val="1"/>
      <w:marLeft w:val="0"/>
      <w:marRight w:val="0"/>
      <w:marTop w:val="0"/>
      <w:marBottom w:val="0"/>
      <w:divBdr>
        <w:top w:val="none" w:sz="0" w:space="0" w:color="auto"/>
        <w:left w:val="none" w:sz="0" w:space="0" w:color="auto"/>
        <w:bottom w:val="none" w:sz="0" w:space="0" w:color="auto"/>
        <w:right w:val="none" w:sz="0" w:space="0" w:color="auto"/>
      </w:divBdr>
    </w:div>
    <w:div w:id="1682270951">
      <w:bodyDiv w:val="1"/>
      <w:marLeft w:val="0"/>
      <w:marRight w:val="0"/>
      <w:marTop w:val="0"/>
      <w:marBottom w:val="0"/>
      <w:divBdr>
        <w:top w:val="none" w:sz="0" w:space="0" w:color="auto"/>
        <w:left w:val="none" w:sz="0" w:space="0" w:color="auto"/>
        <w:bottom w:val="none" w:sz="0" w:space="0" w:color="auto"/>
        <w:right w:val="none" w:sz="0" w:space="0" w:color="auto"/>
      </w:divBdr>
    </w:div>
    <w:div w:id="1682312891">
      <w:bodyDiv w:val="1"/>
      <w:marLeft w:val="0"/>
      <w:marRight w:val="0"/>
      <w:marTop w:val="0"/>
      <w:marBottom w:val="0"/>
      <w:divBdr>
        <w:top w:val="none" w:sz="0" w:space="0" w:color="auto"/>
        <w:left w:val="none" w:sz="0" w:space="0" w:color="auto"/>
        <w:bottom w:val="none" w:sz="0" w:space="0" w:color="auto"/>
        <w:right w:val="none" w:sz="0" w:space="0" w:color="auto"/>
      </w:divBdr>
    </w:div>
    <w:div w:id="1682320181">
      <w:bodyDiv w:val="1"/>
      <w:marLeft w:val="0"/>
      <w:marRight w:val="0"/>
      <w:marTop w:val="0"/>
      <w:marBottom w:val="0"/>
      <w:divBdr>
        <w:top w:val="none" w:sz="0" w:space="0" w:color="auto"/>
        <w:left w:val="none" w:sz="0" w:space="0" w:color="auto"/>
        <w:bottom w:val="none" w:sz="0" w:space="0" w:color="auto"/>
        <w:right w:val="none" w:sz="0" w:space="0" w:color="auto"/>
      </w:divBdr>
    </w:div>
    <w:div w:id="1682776828">
      <w:bodyDiv w:val="1"/>
      <w:marLeft w:val="0"/>
      <w:marRight w:val="0"/>
      <w:marTop w:val="0"/>
      <w:marBottom w:val="0"/>
      <w:divBdr>
        <w:top w:val="none" w:sz="0" w:space="0" w:color="auto"/>
        <w:left w:val="none" w:sz="0" w:space="0" w:color="auto"/>
        <w:bottom w:val="none" w:sz="0" w:space="0" w:color="auto"/>
        <w:right w:val="none" w:sz="0" w:space="0" w:color="auto"/>
      </w:divBdr>
    </w:div>
    <w:div w:id="1682852112">
      <w:bodyDiv w:val="1"/>
      <w:marLeft w:val="0"/>
      <w:marRight w:val="0"/>
      <w:marTop w:val="0"/>
      <w:marBottom w:val="0"/>
      <w:divBdr>
        <w:top w:val="none" w:sz="0" w:space="0" w:color="auto"/>
        <w:left w:val="none" w:sz="0" w:space="0" w:color="auto"/>
        <w:bottom w:val="none" w:sz="0" w:space="0" w:color="auto"/>
        <w:right w:val="none" w:sz="0" w:space="0" w:color="auto"/>
      </w:divBdr>
    </w:div>
    <w:div w:id="1682930848">
      <w:bodyDiv w:val="1"/>
      <w:marLeft w:val="0"/>
      <w:marRight w:val="0"/>
      <w:marTop w:val="0"/>
      <w:marBottom w:val="0"/>
      <w:divBdr>
        <w:top w:val="none" w:sz="0" w:space="0" w:color="auto"/>
        <w:left w:val="none" w:sz="0" w:space="0" w:color="auto"/>
        <w:bottom w:val="none" w:sz="0" w:space="0" w:color="auto"/>
        <w:right w:val="none" w:sz="0" w:space="0" w:color="auto"/>
      </w:divBdr>
    </w:div>
    <w:div w:id="1682974502">
      <w:bodyDiv w:val="1"/>
      <w:marLeft w:val="0"/>
      <w:marRight w:val="0"/>
      <w:marTop w:val="0"/>
      <w:marBottom w:val="0"/>
      <w:divBdr>
        <w:top w:val="none" w:sz="0" w:space="0" w:color="auto"/>
        <w:left w:val="none" w:sz="0" w:space="0" w:color="auto"/>
        <w:bottom w:val="none" w:sz="0" w:space="0" w:color="auto"/>
        <w:right w:val="none" w:sz="0" w:space="0" w:color="auto"/>
      </w:divBdr>
    </w:div>
    <w:div w:id="1683168607">
      <w:bodyDiv w:val="1"/>
      <w:marLeft w:val="0"/>
      <w:marRight w:val="0"/>
      <w:marTop w:val="0"/>
      <w:marBottom w:val="0"/>
      <w:divBdr>
        <w:top w:val="none" w:sz="0" w:space="0" w:color="auto"/>
        <w:left w:val="none" w:sz="0" w:space="0" w:color="auto"/>
        <w:bottom w:val="none" w:sz="0" w:space="0" w:color="auto"/>
        <w:right w:val="none" w:sz="0" w:space="0" w:color="auto"/>
      </w:divBdr>
    </w:div>
    <w:div w:id="1683317070">
      <w:bodyDiv w:val="1"/>
      <w:marLeft w:val="0"/>
      <w:marRight w:val="0"/>
      <w:marTop w:val="0"/>
      <w:marBottom w:val="0"/>
      <w:divBdr>
        <w:top w:val="none" w:sz="0" w:space="0" w:color="auto"/>
        <w:left w:val="none" w:sz="0" w:space="0" w:color="auto"/>
        <w:bottom w:val="none" w:sz="0" w:space="0" w:color="auto"/>
        <w:right w:val="none" w:sz="0" w:space="0" w:color="auto"/>
      </w:divBdr>
    </w:div>
    <w:div w:id="1683318331">
      <w:bodyDiv w:val="1"/>
      <w:marLeft w:val="0"/>
      <w:marRight w:val="0"/>
      <w:marTop w:val="0"/>
      <w:marBottom w:val="0"/>
      <w:divBdr>
        <w:top w:val="none" w:sz="0" w:space="0" w:color="auto"/>
        <w:left w:val="none" w:sz="0" w:space="0" w:color="auto"/>
        <w:bottom w:val="none" w:sz="0" w:space="0" w:color="auto"/>
        <w:right w:val="none" w:sz="0" w:space="0" w:color="auto"/>
      </w:divBdr>
    </w:div>
    <w:div w:id="1683359278">
      <w:bodyDiv w:val="1"/>
      <w:marLeft w:val="0"/>
      <w:marRight w:val="0"/>
      <w:marTop w:val="0"/>
      <w:marBottom w:val="0"/>
      <w:divBdr>
        <w:top w:val="none" w:sz="0" w:space="0" w:color="auto"/>
        <w:left w:val="none" w:sz="0" w:space="0" w:color="auto"/>
        <w:bottom w:val="none" w:sz="0" w:space="0" w:color="auto"/>
        <w:right w:val="none" w:sz="0" w:space="0" w:color="auto"/>
      </w:divBdr>
    </w:div>
    <w:div w:id="1683507955">
      <w:bodyDiv w:val="1"/>
      <w:marLeft w:val="0"/>
      <w:marRight w:val="0"/>
      <w:marTop w:val="0"/>
      <w:marBottom w:val="0"/>
      <w:divBdr>
        <w:top w:val="none" w:sz="0" w:space="0" w:color="auto"/>
        <w:left w:val="none" w:sz="0" w:space="0" w:color="auto"/>
        <w:bottom w:val="none" w:sz="0" w:space="0" w:color="auto"/>
        <w:right w:val="none" w:sz="0" w:space="0" w:color="auto"/>
      </w:divBdr>
    </w:div>
    <w:div w:id="1683513038">
      <w:bodyDiv w:val="1"/>
      <w:marLeft w:val="0"/>
      <w:marRight w:val="0"/>
      <w:marTop w:val="0"/>
      <w:marBottom w:val="0"/>
      <w:divBdr>
        <w:top w:val="none" w:sz="0" w:space="0" w:color="auto"/>
        <w:left w:val="none" w:sz="0" w:space="0" w:color="auto"/>
        <w:bottom w:val="none" w:sz="0" w:space="0" w:color="auto"/>
        <w:right w:val="none" w:sz="0" w:space="0" w:color="auto"/>
      </w:divBdr>
    </w:div>
    <w:div w:id="1683777298">
      <w:bodyDiv w:val="1"/>
      <w:marLeft w:val="0"/>
      <w:marRight w:val="0"/>
      <w:marTop w:val="0"/>
      <w:marBottom w:val="0"/>
      <w:divBdr>
        <w:top w:val="none" w:sz="0" w:space="0" w:color="auto"/>
        <w:left w:val="none" w:sz="0" w:space="0" w:color="auto"/>
        <w:bottom w:val="none" w:sz="0" w:space="0" w:color="auto"/>
        <w:right w:val="none" w:sz="0" w:space="0" w:color="auto"/>
      </w:divBdr>
    </w:div>
    <w:div w:id="1683821622">
      <w:bodyDiv w:val="1"/>
      <w:marLeft w:val="0"/>
      <w:marRight w:val="0"/>
      <w:marTop w:val="0"/>
      <w:marBottom w:val="0"/>
      <w:divBdr>
        <w:top w:val="none" w:sz="0" w:space="0" w:color="auto"/>
        <w:left w:val="none" w:sz="0" w:space="0" w:color="auto"/>
        <w:bottom w:val="none" w:sz="0" w:space="0" w:color="auto"/>
        <w:right w:val="none" w:sz="0" w:space="0" w:color="auto"/>
      </w:divBdr>
    </w:div>
    <w:div w:id="1683974109">
      <w:bodyDiv w:val="1"/>
      <w:marLeft w:val="0"/>
      <w:marRight w:val="0"/>
      <w:marTop w:val="0"/>
      <w:marBottom w:val="0"/>
      <w:divBdr>
        <w:top w:val="none" w:sz="0" w:space="0" w:color="auto"/>
        <w:left w:val="none" w:sz="0" w:space="0" w:color="auto"/>
        <w:bottom w:val="none" w:sz="0" w:space="0" w:color="auto"/>
        <w:right w:val="none" w:sz="0" w:space="0" w:color="auto"/>
      </w:divBdr>
    </w:div>
    <w:div w:id="1683974996">
      <w:bodyDiv w:val="1"/>
      <w:marLeft w:val="0"/>
      <w:marRight w:val="0"/>
      <w:marTop w:val="0"/>
      <w:marBottom w:val="0"/>
      <w:divBdr>
        <w:top w:val="none" w:sz="0" w:space="0" w:color="auto"/>
        <w:left w:val="none" w:sz="0" w:space="0" w:color="auto"/>
        <w:bottom w:val="none" w:sz="0" w:space="0" w:color="auto"/>
        <w:right w:val="none" w:sz="0" w:space="0" w:color="auto"/>
      </w:divBdr>
    </w:div>
    <w:div w:id="1684014980">
      <w:bodyDiv w:val="1"/>
      <w:marLeft w:val="0"/>
      <w:marRight w:val="0"/>
      <w:marTop w:val="0"/>
      <w:marBottom w:val="0"/>
      <w:divBdr>
        <w:top w:val="none" w:sz="0" w:space="0" w:color="auto"/>
        <w:left w:val="none" w:sz="0" w:space="0" w:color="auto"/>
        <w:bottom w:val="none" w:sz="0" w:space="0" w:color="auto"/>
        <w:right w:val="none" w:sz="0" w:space="0" w:color="auto"/>
      </w:divBdr>
    </w:div>
    <w:div w:id="1684088985">
      <w:bodyDiv w:val="1"/>
      <w:marLeft w:val="0"/>
      <w:marRight w:val="0"/>
      <w:marTop w:val="0"/>
      <w:marBottom w:val="0"/>
      <w:divBdr>
        <w:top w:val="none" w:sz="0" w:space="0" w:color="auto"/>
        <w:left w:val="none" w:sz="0" w:space="0" w:color="auto"/>
        <w:bottom w:val="none" w:sz="0" w:space="0" w:color="auto"/>
        <w:right w:val="none" w:sz="0" w:space="0" w:color="auto"/>
      </w:divBdr>
    </w:div>
    <w:div w:id="1684362108">
      <w:bodyDiv w:val="1"/>
      <w:marLeft w:val="0"/>
      <w:marRight w:val="0"/>
      <w:marTop w:val="0"/>
      <w:marBottom w:val="0"/>
      <w:divBdr>
        <w:top w:val="none" w:sz="0" w:space="0" w:color="auto"/>
        <w:left w:val="none" w:sz="0" w:space="0" w:color="auto"/>
        <w:bottom w:val="none" w:sz="0" w:space="0" w:color="auto"/>
        <w:right w:val="none" w:sz="0" w:space="0" w:color="auto"/>
      </w:divBdr>
    </w:div>
    <w:div w:id="1684480489">
      <w:bodyDiv w:val="1"/>
      <w:marLeft w:val="0"/>
      <w:marRight w:val="0"/>
      <w:marTop w:val="0"/>
      <w:marBottom w:val="0"/>
      <w:divBdr>
        <w:top w:val="none" w:sz="0" w:space="0" w:color="auto"/>
        <w:left w:val="none" w:sz="0" w:space="0" w:color="auto"/>
        <w:bottom w:val="none" w:sz="0" w:space="0" w:color="auto"/>
        <w:right w:val="none" w:sz="0" w:space="0" w:color="auto"/>
      </w:divBdr>
    </w:div>
    <w:div w:id="1684697506">
      <w:bodyDiv w:val="1"/>
      <w:marLeft w:val="0"/>
      <w:marRight w:val="0"/>
      <w:marTop w:val="0"/>
      <w:marBottom w:val="0"/>
      <w:divBdr>
        <w:top w:val="none" w:sz="0" w:space="0" w:color="auto"/>
        <w:left w:val="none" w:sz="0" w:space="0" w:color="auto"/>
        <w:bottom w:val="none" w:sz="0" w:space="0" w:color="auto"/>
        <w:right w:val="none" w:sz="0" w:space="0" w:color="auto"/>
      </w:divBdr>
    </w:div>
    <w:div w:id="1684744979">
      <w:bodyDiv w:val="1"/>
      <w:marLeft w:val="0"/>
      <w:marRight w:val="0"/>
      <w:marTop w:val="0"/>
      <w:marBottom w:val="0"/>
      <w:divBdr>
        <w:top w:val="none" w:sz="0" w:space="0" w:color="auto"/>
        <w:left w:val="none" w:sz="0" w:space="0" w:color="auto"/>
        <w:bottom w:val="none" w:sz="0" w:space="0" w:color="auto"/>
        <w:right w:val="none" w:sz="0" w:space="0" w:color="auto"/>
      </w:divBdr>
    </w:div>
    <w:div w:id="1684816928">
      <w:bodyDiv w:val="1"/>
      <w:marLeft w:val="0"/>
      <w:marRight w:val="0"/>
      <w:marTop w:val="0"/>
      <w:marBottom w:val="0"/>
      <w:divBdr>
        <w:top w:val="none" w:sz="0" w:space="0" w:color="auto"/>
        <w:left w:val="none" w:sz="0" w:space="0" w:color="auto"/>
        <w:bottom w:val="none" w:sz="0" w:space="0" w:color="auto"/>
        <w:right w:val="none" w:sz="0" w:space="0" w:color="auto"/>
      </w:divBdr>
    </w:div>
    <w:div w:id="1684865528">
      <w:bodyDiv w:val="1"/>
      <w:marLeft w:val="0"/>
      <w:marRight w:val="0"/>
      <w:marTop w:val="0"/>
      <w:marBottom w:val="0"/>
      <w:divBdr>
        <w:top w:val="none" w:sz="0" w:space="0" w:color="auto"/>
        <w:left w:val="none" w:sz="0" w:space="0" w:color="auto"/>
        <w:bottom w:val="none" w:sz="0" w:space="0" w:color="auto"/>
        <w:right w:val="none" w:sz="0" w:space="0" w:color="auto"/>
      </w:divBdr>
    </w:div>
    <w:div w:id="1684897059">
      <w:bodyDiv w:val="1"/>
      <w:marLeft w:val="0"/>
      <w:marRight w:val="0"/>
      <w:marTop w:val="0"/>
      <w:marBottom w:val="0"/>
      <w:divBdr>
        <w:top w:val="none" w:sz="0" w:space="0" w:color="auto"/>
        <w:left w:val="none" w:sz="0" w:space="0" w:color="auto"/>
        <w:bottom w:val="none" w:sz="0" w:space="0" w:color="auto"/>
        <w:right w:val="none" w:sz="0" w:space="0" w:color="auto"/>
      </w:divBdr>
    </w:div>
    <w:div w:id="1684937842">
      <w:bodyDiv w:val="1"/>
      <w:marLeft w:val="0"/>
      <w:marRight w:val="0"/>
      <w:marTop w:val="0"/>
      <w:marBottom w:val="0"/>
      <w:divBdr>
        <w:top w:val="none" w:sz="0" w:space="0" w:color="auto"/>
        <w:left w:val="none" w:sz="0" w:space="0" w:color="auto"/>
        <w:bottom w:val="none" w:sz="0" w:space="0" w:color="auto"/>
        <w:right w:val="none" w:sz="0" w:space="0" w:color="auto"/>
      </w:divBdr>
    </w:div>
    <w:div w:id="1685128636">
      <w:bodyDiv w:val="1"/>
      <w:marLeft w:val="0"/>
      <w:marRight w:val="0"/>
      <w:marTop w:val="0"/>
      <w:marBottom w:val="0"/>
      <w:divBdr>
        <w:top w:val="none" w:sz="0" w:space="0" w:color="auto"/>
        <w:left w:val="none" w:sz="0" w:space="0" w:color="auto"/>
        <w:bottom w:val="none" w:sz="0" w:space="0" w:color="auto"/>
        <w:right w:val="none" w:sz="0" w:space="0" w:color="auto"/>
      </w:divBdr>
    </w:div>
    <w:div w:id="1685284286">
      <w:bodyDiv w:val="1"/>
      <w:marLeft w:val="0"/>
      <w:marRight w:val="0"/>
      <w:marTop w:val="0"/>
      <w:marBottom w:val="0"/>
      <w:divBdr>
        <w:top w:val="none" w:sz="0" w:space="0" w:color="auto"/>
        <w:left w:val="none" w:sz="0" w:space="0" w:color="auto"/>
        <w:bottom w:val="none" w:sz="0" w:space="0" w:color="auto"/>
        <w:right w:val="none" w:sz="0" w:space="0" w:color="auto"/>
      </w:divBdr>
    </w:div>
    <w:div w:id="1685326376">
      <w:bodyDiv w:val="1"/>
      <w:marLeft w:val="0"/>
      <w:marRight w:val="0"/>
      <w:marTop w:val="0"/>
      <w:marBottom w:val="0"/>
      <w:divBdr>
        <w:top w:val="none" w:sz="0" w:space="0" w:color="auto"/>
        <w:left w:val="none" w:sz="0" w:space="0" w:color="auto"/>
        <w:bottom w:val="none" w:sz="0" w:space="0" w:color="auto"/>
        <w:right w:val="none" w:sz="0" w:space="0" w:color="auto"/>
      </w:divBdr>
    </w:div>
    <w:div w:id="1685396025">
      <w:bodyDiv w:val="1"/>
      <w:marLeft w:val="0"/>
      <w:marRight w:val="0"/>
      <w:marTop w:val="0"/>
      <w:marBottom w:val="0"/>
      <w:divBdr>
        <w:top w:val="none" w:sz="0" w:space="0" w:color="auto"/>
        <w:left w:val="none" w:sz="0" w:space="0" w:color="auto"/>
        <w:bottom w:val="none" w:sz="0" w:space="0" w:color="auto"/>
        <w:right w:val="none" w:sz="0" w:space="0" w:color="auto"/>
      </w:divBdr>
    </w:div>
    <w:div w:id="1685404018">
      <w:bodyDiv w:val="1"/>
      <w:marLeft w:val="0"/>
      <w:marRight w:val="0"/>
      <w:marTop w:val="0"/>
      <w:marBottom w:val="0"/>
      <w:divBdr>
        <w:top w:val="none" w:sz="0" w:space="0" w:color="auto"/>
        <w:left w:val="none" w:sz="0" w:space="0" w:color="auto"/>
        <w:bottom w:val="none" w:sz="0" w:space="0" w:color="auto"/>
        <w:right w:val="none" w:sz="0" w:space="0" w:color="auto"/>
      </w:divBdr>
    </w:div>
    <w:div w:id="1685473324">
      <w:bodyDiv w:val="1"/>
      <w:marLeft w:val="0"/>
      <w:marRight w:val="0"/>
      <w:marTop w:val="0"/>
      <w:marBottom w:val="0"/>
      <w:divBdr>
        <w:top w:val="none" w:sz="0" w:space="0" w:color="auto"/>
        <w:left w:val="none" w:sz="0" w:space="0" w:color="auto"/>
        <w:bottom w:val="none" w:sz="0" w:space="0" w:color="auto"/>
        <w:right w:val="none" w:sz="0" w:space="0" w:color="auto"/>
      </w:divBdr>
    </w:div>
    <w:div w:id="1685593313">
      <w:bodyDiv w:val="1"/>
      <w:marLeft w:val="0"/>
      <w:marRight w:val="0"/>
      <w:marTop w:val="0"/>
      <w:marBottom w:val="0"/>
      <w:divBdr>
        <w:top w:val="none" w:sz="0" w:space="0" w:color="auto"/>
        <w:left w:val="none" w:sz="0" w:space="0" w:color="auto"/>
        <w:bottom w:val="none" w:sz="0" w:space="0" w:color="auto"/>
        <w:right w:val="none" w:sz="0" w:space="0" w:color="auto"/>
      </w:divBdr>
    </w:div>
    <w:div w:id="1685663560">
      <w:bodyDiv w:val="1"/>
      <w:marLeft w:val="0"/>
      <w:marRight w:val="0"/>
      <w:marTop w:val="0"/>
      <w:marBottom w:val="0"/>
      <w:divBdr>
        <w:top w:val="none" w:sz="0" w:space="0" w:color="auto"/>
        <w:left w:val="none" w:sz="0" w:space="0" w:color="auto"/>
        <w:bottom w:val="none" w:sz="0" w:space="0" w:color="auto"/>
        <w:right w:val="none" w:sz="0" w:space="0" w:color="auto"/>
      </w:divBdr>
    </w:div>
    <w:div w:id="1685743107">
      <w:bodyDiv w:val="1"/>
      <w:marLeft w:val="0"/>
      <w:marRight w:val="0"/>
      <w:marTop w:val="0"/>
      <w:marBottom w:val="0"/>
      <w:divBdr>
        <w:top w:val="none" w:sz="0" w:space="0" w:color="auto"/>
        <w:left w:val="none" w:sz="0" w:space="0" w:color="auto"/>
        <w:bottom w:val="none" w:sz="0" w:space="0" w:color="auto"/>
        <w:right w:val="none" w:sz="0" w:space="0" w:color="auto"/>
      </w:divBdr>
    </w:div>
    <w:div w:id="1685747574">
      <w:bodyDiv w:val="1"/>
      <w:marLeft w:val="0"/>
      <w:marRight w:val="0"/>
      <w:marTop w:val="0"/>
      <w:marBottom w:val="0"/>
      <w:divBdr>
        <w:top w:val="none" w:sz="0" w:space="0" w:color="auto"/>
        <w:left w:val="none" w:sz="0" w:space="0" w:color="auto"/>
        <w:bottom w:val="none" w:sz="0" w:space="0" w:color="auto"/>
        <w:right w:val="none" w:sz="0" w:space="0" w:color="auto"/>
      </w:divBdr>
    </w:div>
    <w:div w:id="1685933959">
      <w:bodyDiv w:val="1"/>
      <w:marLeft w:val="0"/>
      <w:marRight w:val="0"/>
      <w:marTop w:val="0"/>
      <w:marBottom w:val="0"/>
      <w:divBdr>
        <w:top w:val="none" w:sz="0" w:space="0" w:color="auto"/>
        <w:left w:val="none" w:sz="0" w:space="0" w:color="auto"/>
        <w:bottom w:val="none" w:sz="0" w:space="0" w:color="auto"/>
        <w:right w:val="none" w:sz="0" w:space="0" w:color="auto"/>
      </w:divBdr>
    </w:div>
    <w:div w:id="1685939466">
      <w:bodyDiv w:val="1"/>
      <w:marLeft w:val="0"/>
      <w:marRight w:val="0"/>
      <w:marTop w:val="0"/>
      <w:marBottom w:val="0"/>
      <w:divBdr>
        <w:top w:val="none" w:sz="0" w:space="0" w:color="auto"/>
        <w:left w:val="none" w:sz="0" w:space="0" w:color="auto"/>
        <w:bottom w:val="none" w:sz="0" w:space="0" w:color="auto"/>
        <w:right w:val="none" w:sz="0" w:space="0" w:color="auto"/>
      </w:divBdr>
    </w:div>
    <w:div w:id="1686007611">
      <w:bodyDiv w:val="1"/>
      <w:marLeft w:val="0"/>
      <w:marRight w:val="0"/>
      <w:marTop w:val="0"/>
      <w:marBottom w:val="0"/>
      <w:divBdr>
        <w:top w:val="none" w:sz="0" w:space="0" w:color="auto"/>
        <w:left w:val="none" w:sz="0" w:space="0" w:color="auto"/>
        <w:bottom w:val="none" w:sz="0" w:space="0" w:color="auto"/>
        <w:right w:val="none" w:sz="0" w:space="0" w:color="auto"/>
      </w:divBdr>
    </w:div>
    <w:div w:id="1686009708">
      <w:bodyDiv w:val="1"/>
      <w:marLeft w:val="0"/>
      <w:marRight w:val="0"/>
      <w:marTop w:val="0"/>
      <w:marBottom w:val="0"/>
      <w:divBdr>
        <w:top w:val="none" w:sz="0" w:space="0" w:color="auto"/>
        <w:left w:val="none" w:sz="0" w:space="0" w:color="auto"/>
        <w:bottom w:val="none" w:sz="0" w:space="0" w:color="auto"/>
        <w:right w:val="none" w:sz="0" w:space="0" w:color="auto"/>
      </w:divBdr>
    </w:div>
    <w:div w:id="1686009772">
      <w:bodyDiv w:val="1"/>
      <w:marLeft w:val="0"/>
      <w:marRight w:val="0"/>
      <w:marTop w:val="0"/>
      <w:marBottom w:val="0"/>
      <w:divBdr>
        <w:top w:val="none" w:sz="0" w:space="0" w:color="auto"/>
        <w:left w:val="none" w:sz="0" w:space="0" w:color="auto"/>
        <w:bottom w:val="none" w:sz="0" w:space="0" w:color="auto"/>
        <w:right w:val="none" w:sz="0" w:space="0" w:color="auto"/>
      </w:divBdr>
    </w:div>
    <w:div w:id="1686009901">
      <w:bodyDiv w:val="1"/>
      <w:marLeft w:val="0"/>
      <w:marRight w:val="0"/>
      <w:marTop w:val="0"/>
      <w:marBottom w:val="0"/>
      <w:divBdr>
        <w:top w:val="none" w:sz="0" w:space="0" w:color="auto"/>
        <w:left w:val="none" w:sz="0" w:space="0" w:color="auto"/>
        <w:bottom w:val="none" w:sz="0" w:space="0" w:color="auto"/>
        <w:right w:val="none" w:sz="0" w:space="0" w:color="auto"/>
      </w:divBdr>
    </w:div>
    <w:div w:id="1686059833">
      <w:bodyDiv w:val="1"/>
      <w:marLeft w:val="0"/>
      <w:marRight w:val="0"/>
      <w:marTop w:val="0"/>
      <w:marBottom w:val="0"/>
      <w:divBdr>
        <w:top w:val="none" w:sz="0" w:space="0" w:color="auto"/>
        <w:left w:val="none" w:sz="0" w:space="0" w:color="auto"/>
        <w:bottom w:val="none" w:sz="0" w:space="0" w:color="auto"/>
        <w:right w:val="none" w:sz="0" w:space="0" w:color="auto"/>
      </w:divBdr>
    </w:div>
    <w:div w:id="1686126513">
      <w:bodyDiv w:val="1"/>
      <w:marLeft w:val="0"/>
      <w:marRight w:val="0"/>
      <w:marTop w:val="0"/>
      <w:marBottom w:val="0"/>
      <w:divBdr>
        <w:top w:val="none" w:sz="0" w:space="0" w:color="auto"/>
        <w:left w:val="none" w:sz="0" w:space="0" w:color="auto"/>
        <w:bottom w:val="none" w:sz="0" w:space="0" w:color="auto"/>
        <w:right w:val="none" w:sz="0" w:space="0" w:color="auto"/>
      </w:divBdr>
    </w:div>
    <w:div w:id="1686248282">
      <w:bodyDiv w:val="1"/>
      <w:marLeft w:val="0"/>
      <w:marRight w:val="0"/>
      <w:marTop w:val="0"/>
      <w:marBottom w:val="0"/>
      <w:divBdr>
        <w:top w:val="none" w:sz="0" w:space="0" w:color="auto"/>
        <w:left w:val="none" w:sz="0" w:space="0" w:color="auto"/>
        <w:bottom w:val="none" w:sz="0" w:space="0" w:color="auto"/>
        <w:right w:val="none" w:sz="0" w:space="0" w:color="auto"/>
      </w:divBdr>
    </w:div>
    <w:div w:id="1686248479">
      <w:bodyDiv w:val="1"/>
      <w:marLeft w:val="0"/>
      <w:marRight w:val="0"/>
      <w:marTop w:val="0"/>
      <w:marBottom w:val="0"/>
      <w:divBdr>
        <w:top w:val="none" w:sz="0" w:space="0" w:color="auto"/>
        <w:left w:val="none" w:sz="0" w:space="0" w:color="auto"/>
        <w:bottom w:val="none" w:sz="0" w:space="0" w:color="auto"/>
        <w:right w:val="none" w:sz="0" w:space="0" w:color="auto"/>
      </w:divBdr>
    </w:div>
    <w:div w:id="1686322440">
      <w:bodyDiv w:val="1"/>
      <w:marLeft w:val="0"/>
      <w:marRight w:val="0"/>
      <w:marTop w:val="0"/>
      <w:marBottom w:val="0"/>
      <w:divBdr>
        <w:top w:val="none" w:sz="0" w:space="0" w:color="auto"/>
        <w:left w:val="none" w:sz="0" w:space="0" w:color="auto"/>
        <w:bottom w:val="none" w:sz="0" w:space="0" w:color="auto"/>
        <w:right w:val="none" w:sz="0" w:space="0" w:color="auto"/>
      </w:divBdr>
    </w:div>
    <w:div w:id="1686401217">
      <w:bodyDiv w:val="1"/>
      <w:marLeft w:val="0"/>
      <w:marRight w:val="0"/>
      <w:marTop w:val="0"/>
      <w:marBottom w:val="0"/>
      <w:divBdr>
        <w:top w:val="none" w:sz="0" w:space="0" w:color="auto"/>
        <w:left w:val="none" w:sz="0" w:space="0" w:color="auto"/>
        <w:bottom w:val="none" w:sz="0" w:space="0" w:color="auto"/>
        <w:right w:val="none" w:sz="0" w:space="0" w:color="auto"/>
      </w:divBdr>
    </w:div>
    <w:div w:id="1686438633">
      <w:bodyDiv w:val="1"/>
      <w:marLeft w:val="0"/>
      <w:marRight w:val="0"/>
      <w:marTop w:val="0"/>
      <w:marBottom w:val="0"/>
      <w:divBdr>
        <w:top w:val="none" w:sz="0" w:space="0" w:color="auto"/>
        <w:left w:val="none" w:sz="0" w:space="0" w:color="auto"/>
        <w:bottom w:val="none" w:sz="0" w:space="0" w:color="auto"/>
        <w:right w:val="none" w:sz="0" w:space="0" w:color="auto"/>
      </w:divBdr>
    </w:div>
    <w:div w:id="1686512742">
      <w:bodyDiv w:val="1"/>
      <w:marLeft w:val="0"/>
      <w:marRight w:val="0"/>
      <w:marTop w:val="0"/>
      <w:marBottom w:val="0"/>
      <w:divBdr>
        <w:top w:val="none" w:sz="0" w:space="0" w:color="auto"/>
        <w:left w:val="none" w:sz="0" w:space="0" w:color="auto"/>
        <w:bottom w:val="none" w:sz="0" w:space="0" w:color="auto"/>
        <w:right w:val="none" w:sz="0" w:space="0" w:color="auto"/>
      </w:divBdr>
    </w:div>
    <w:div w:id="1686513212">
      <w:bodyDiv w:val="1"/>
      <w:marLeft w:val="0"/>
      <w:marRight w:val="0"/>
      <w:marTop w:val="0"/>
      <w:marBottom w:val="0"/>
      <w:divBdr>
        <w:top w:val="none" w:sz="0" w:space="0" w:color="auto"/>
        <w:left w:val="none" w:sz="0" w:space="0" w:color="auto"/>
        <w:bottom w:val="none" w:sz="0" w:space="0" w:color="auto"/>
        <w:right w:val="none" w:sz="0" w:space="0" w:color="auto"/>
      </w:divBdr>
    </w:div>
    <w:div w:id="1686636594">
      <w:bodyDiv w:val="1"/>
      <w:marLeft w:val="0"/>
      <w:marRight w:val="0"/>
      <w:marTop w:val="0"/>
      <w:marBottom w:val="0"/>
      <w:divBdr>
        <w:top w:val="none" w:sz="0" w:space="0" w:color="auto"/>
        <w:left w:val="none" w:sz="0" w:space="0" w:color="auto"/>
        <w:bottom w:val="none" w:sz="0" w:space="0" w:color="auto"/>
        <w:right w:val="none" w:sz="0" w:space="0" w:color="auto"/>
      </w:divBdr>
    </w:div>
    <w:div w:id="1686666324">
      <w:bodyDiv w:val="1"/>
      <w:marLeft w:val="0"/>
      <w:marRight w:val="0"/>
      <w:marTop w:val="0"/>
      <w:marBottom w:val="0"/>
      <w:divBdr>
        <w:top w:val="none" w:sz="0" w:space="0" w:color="auto"/>
        <w:left w:val="none" w:sz="0" w:space="0" w:color="auto"/>
        <w:bottom w:val="none" w:sz="0" w:space="0" w:color="auto"/>
        <w:right w:val="none" w:sz="0" w:space="0" w:color="auto"/>
      </w:divBdr>
    </w:div>
    <w:div w:id="1686708916">
      <w:bodyDiv w:val="1"/>
      <w:marLeft w:val="0"/>
      <w:marRight w:val="0"/>
      <w:marTop w:val="0"/>
      <w:marBottom w:val="0"/>
      <w:divBdr>
        <w:top w:val="none" w:sz="0" w:space="0" w:color="auto"/>
        <w:left w:val="none" w:sz="0" w:space="0" w:color="auto"/>
        <w:bottom w:val="none" w:sz="0" w:space="0" w:color="auto"/>
        <w:right w:val="none" w:sz="0" w:space="0" w:color="auto"/>
      </w:divBdr>
    </w:div>
    <w:div w:id="1686709923">
      <w:bodyDiv w:val="1"/>
      <w:marLeft w:val="0"/>
      <w:marRight w:val="0"/>
      <w:marTop w:val="0"/>
      <w:marBottom w:val="0"/>
      <w:divBdr>
        <w:top w:val="none" w:sz="0" w:space="0" w:color="auto"/>
        <w:left w:val="none" w:sz="0" w:space="0" w:color="auto"/>
        <w:bottom w:val="none" w:sz="0" w:space="0" w:color="auto"/>
        <w:right w:val="none" w:sz="0" w:space="0" w:color="auto"/>
      </w:divBdr>
    </w:div>
    <w:div w:id="1686712156">
      <w:bodyDiv w:val="1"/>
      <w:marLeft w:val="0"/>
      <w:marRight w:val="0"/>
      <w:marTop w:val="0"/>
      <w:marBottom w:val="0"/>
      <w:divBdr>
        <w:top w:val="none" w:sz="0" w:space="0" w:color="auto"/>
        <w:left w:val="none" w:sz="0" w:space="0" w:color="auto"/>
        <w:bottom w:val="none" w:sz="0" w:space="0" w:color="auto"/>
        <w:right w:val="none" w:sz="0" w:space="0" w:color="auto"/>
      </w:divBdr>
    </w:div>
    <w:div w:id="1686712790">
      <w:bodyDiv w:val="1"/>
      <w:marLeft w:val="0"/>
      <w:marRight w:val="0"/>
      <w:marTop w:val="0"/>
      <w:marBottom w:val="0"/>
      <w:divBdr>
        <w:top w:val="none" w:sz="0" w:space="0" w:color="auto"/>
        <w:left w:val="none" w:sz="0" w:space="0" w:color="auto"/>
        <w:bottom w:val="none" w:sz="0" w:space="0" w:color="auto"/>
        <w:right w:val="none" w:sz="0" w:space="0" w:color="auto"/>
      </w:divBdr>
    </w:div>
    <w:div w:id="1686789614">
      <w:bodyDiv w:val="1"/>
      <w:marLeft w:val="0"/>
      <w:marRight w:val="0"/>
      <w:marTop w:val="0"/>
      <w:marBottom w:val="0"/>
      <w:divBdr>
        <w:top w:val="none" w:sz="0" w:space="0" w:color="auto"/>
        <w:left w:val="none" w:sz="0" w:space="0" w:color="auto"/>
        <w:bottom w:val="none" w:sz="0" w:space="0" w:color="auto"/>
        <w:right w:val="none" w:sz="0" w:space="0" w:color="auto"/>
      </w:divBdr>
    </w:div>
    <w:div w:id="1686857245">
      <w:bodyDiv w:val="1"/>
      <w:marLeft w:val="0"/>
      <w:marRight w:val="0"/>
      <w:marTop w:val="0"/>
      <w:marBottom w:val="0"/>
      <w:divBdr>
        <w:top w:val="none" w:sz="0" w:space="0" w:color="auto"/>
        <w:left w:val="none" w:sz="0" w:space="0" w:color="auto"/>
        <w:bottom w:val="none" w:sz="0" w:space="0" w:color="auto"/>
        <w:right w:val="none" w:sz="0" w:space="0" w:color="auto"/>
      </w:divBdr>
    </w:div>
    <w:div w:id="1686978784">
      <w:bodyDiv w:val="1"/>
      <w:marLeft w:val="0"/>
      <w:marRight w:val="0"/>
      <w:marTop w:val="0"/>
      <w:marBottom w:val="0"/>
      <w:divBdr>
        <w:top w:val="none" w:sz="0" w:space="0" w:color="auto"/>
        <w:left w:val="none" w:sz="0" w:space="0" w:color="auto"/>
        <w:bottom w:val="none" w:sz="0" w:space="0" w:color="auto"/>
        <w:right w:val="none" w:sz="0" w:space="0" w:color="auto"/>
      </w:divBdr>
    </w:div>
    <w:div w:id="1686979146">
      <w:bodyDiv w:val="1"/>
      <w:marLeft w:val="0"/>
      <w:marRight w:val="0"/>
      <w:marTop w:val="0"/>
      <w:marBottom w:val="0"/>
      <w:divBdr>
        <w:top w:val="none" w:sz="0" w:space="0" w:color="auto"/>
        <w:left w:val="none" w:sz="0" w:space="0" w:color="auto"/>
        <w:bottom w:val="none" w:sz="0" w:space="0" w:color="auto"/>
        <w:right w:val="none" w:sz="0" w:space="0" w:color="auto"/>
      </w:divBdr>
    </w:div>
    <w:div w:id="1687050064">
      <w:bodyDiv w:val="1"/>
      <w:marLeft w:val="0"/>
      <w:marRight w:val="0"/>
      <w:marTop w:val="0"/>
      <w:marBottom w:val="0"/>
      <w:divBdr>
        <w:top w:val="none" w:sz="0" w:space="0" w:color="auto"/>
        <w:left w:val="none" w:sz="0" w:space="0" w:color="auto"/>
        <w:bottom w:val="none" w:sz="0" w:space="0" w:color="auto"/>
        <w:right w:val="none" w:sz="0" w:space="0" w:color="auto"/>
      </w:divBdr>
    </w:div>
    <w:div w:id="1687172267">
      <w:bodyDiv w:val="1"/>
      <w:marLeft w:val="0"/>
      <w:marRight w:val="0"/>
      <w:marTop w:val="0"/>
      <w:marBottom w:val="0"/>
      <w:divBdr>
        <w:top w:val="none" w:sz="0" w:space="0" w:color="auto"/>
        <w:left w:val="none" w:sz="0" w:space="0" w:color="auto"/>
        <w:bottom w:val="none" w:sz="0" w:space="0" w:color="auto"/>
        <w:right w:val="none" w:sz="0" w:space="0" w:color="auto"/>
      </w:divBdr>
    </w:div>
    <w:div w:id="1687368178">
      <w:bodyDiv w:val="1"/>
      <w:marLeft w:val="0"/>
      <w:marRight w:val="0"/>
      <w:marTop w:val="0"/>
      <w:marBottom w:val="0"/>
      <w:divBdr>
        <w:top w:val="none" w:sz="0" w:space="0" w:color="auto"/>
        <w:left w:val="none" w:sz="0" w:space="0" w:color="auto"/>
        <w:bottom w:val="none" w:sz="0" w:space="0" w:color="auto"/>
        <w:right w:val="none" w:sz="0" w:space="0" w:color="auto"/>
      </w:divBdr>
    </w:div>
    <w:div w:id="1687441425">
      <w:bodyDiv w:val="1"/>
      <w:marLeft w:val="0"/>
      <w:marRight w:val="0"/>
      <w:marTop w:val="0"/>
      <w:marBottom w:val="0"/>
      <w:divBdr>
        <w:top w:val="none" w:sz="0" w:space="0" w:color="auto"/>
        <w:left w:val="none" w:sz="0" w:space="0" w:color="auto"/>
        <w:bottom w:val="none" w:sz="0" w:space="0" w:color="auto"/>
        <w:right w:val="none" w:sz="0" w:space="0" w:color="auto"/>
      </w:divBdr>
    </w:div>
    <w:div w:id="1687514409">
      <w:bodyDiv w:val="1"/>
      <w:marLeft w:val="0"/>
      <w:marRight w:val="0"/>
      <w:marTop w:val="0"/>
      <w:marBottom w:val="0"/>
      <w:divBdr>
        <w:top w:val="none" w:sz="0" w:space="0" w:color="auto"/>
        <w:left w:val="none" w:sz="0" w:space="0" w:color="auto"/>
        <w:bottom w:val="none" w:sz="0" w:space="0" w:color="auto"/>
        <w:right w:val="none" w:sz="0" w:space="0" w:color="auto"/>
      </w:divBdr>
    </w:div>
    <w:div w:id="1687558397">
      <w:bodyDiv w:val="1"/>
      <w:marLeft w:val="0"/>
      <w:marRight w:val="0"/>
      <w:marTop w:val="0"/>
      <w:marBottom w:val="0"/>
      <w:divBdr>
        <w:top w:val="none" w:sz="0" w:space="0" w:color="auto"/>
        <w:left w:val="none" w:sz="0" w:space="0" w:color="auto"/>
        <w:bottom w:val="none" w:sz="0" w:space="0" w:color="auto"/>
        <w:right w:val="none" w:sz="0" w:space="0" w:color="auto"/>
      </w:divBdr>
    </w:div>
    <w:div w:id="1687637399">
      <w:bodyDiv w:val="1"/>
      <w:marLeft w:val="0"/>
      <w:marRight w:val="0"/>
      <w:marTop w:val="0"/>
      <w:marBottom w:val="0"/>
      <w:divBdr>
        <w:top w:val="none" w:sz="0" w:space="0" w:color="auto"/>
        <w:left w:val="none" w:sz="0" w:space="0" w:color="auto"/>
        <w:bottom w:val="none" w:sz="0" w:space="0" w:color="auto"/>
        <w:right w:val="none" w:sz="0" w:space="0" w:color="auto"/>
      </w:divBdr>
    </w:div>
    <w:div w:id="1687639088">
      <w:bodyDiv w:val="1"/>
      <w:marLeft w:val="0"/>
      <w:marRight w:val="0"/>
      <w:marTop w:val="0"/>
      <w:marBottom w:val="0"/>
      <w:divBdr>
        <w:top w:val="none" w:sz="0" w:space="0" w:color="auto"/>
        <w:left w:val="none" w:sz="0" w:space="0" w:color="auto"/>
        <w:bottom w:val="none" w:sz="0" w:space="0" w:color="auto"/>
        <w:right w:val="none" w:sz="0" w:space="0" w:color="auto"/>
      </w:divBdr>
    </w:div>
    <w:div w:id="1687753896">
      <w:bodyDiv w:val="1"/>
      <w:marLeft w:val="0"/>
      <w:marRight w:val="0"/>
      <w:marTop w:val="0"/>
      <w:marBottom w:val="0"/>
      <w:divBdr>
        <w:top w:val="none" w:sz="0" w:space="0" w:color="auto"/>
        <w:left w:val="none" w:sz="0" w:space="0" w:color="auto"/>
        <w:bottom w:val="none" w:sz="0" w:space="0" w:color="auto"/>
        <w:right w:val="none" w:sz="0" w:space="0" w:color="auto"/>
      </w:divBdr>
    </w:div>
    <w:div w:id="1687904240">
      <w:bodyDiv w:val="1"/>
      <w:marLeft w:val="0"/>
      <w:marRight w:val="0"/>
      <w:marTop w:val="0"/>
      <w:marBottom w:val="0"/>
      <w:divBdr>
        <w:top w:val="none" w:sz="0" w:space="0" w:color="auto"/>
        <w:left w:val="none" w:sz="0" w:space="0" w:color="auto"/>
        <w:bottom w:val="none" w:sz="0" w:space="0" w:color="auto"/>
        <w:right w:val="none" w:sz="0" w:space="0" w:color="auto"/>
      </w:divBdr>
    </w:div>
    <w:div w:id="1687948843">
      <w:bodyDiv w:val="1"/>
      <w:marLeft w:val="0"/>
      <w:marRight w:val="0"/>
      <w:marTop w:val="0"/>
      <w:marBottom w:val="0"/>
      <w:divBdr>
        <w:top w:val="none" w:sz="0" w:space="0" w:color="auto"/>
        <w:left w:val="none" w:sz="0" w:space="0" w:color="auto"/>
        <w:bottom w:val="none" w:sz="0" w:space="0" w:color="auto"/>
        <w:right w:val="none" w:sz="0" w:space="0" w:color="auto"/>
      </w:divBdr>
    </w:div>
    <w:div w:id="1688022138">
      <w:bodyDiv w:val="1"/>
      <w:marLeft w:val="0"/>
      <w:marRight w:val="0"/>
      <w:marTop w:val="0"/>
      <w:marBottom w:val="0"/>
      <w:divBdr>
        <w:top w:val="none" w:sz="0" w:space="0" w:color="auto"/>
        <w:left w:val="none" w:sz="0" w:space="0" w:color="auto"/>
        <w:bottom w:val="none" w:sz="0" w:space="0" w:color="auto"/>
        <w:right w:val="none" w:sz="0" w:space="0" w:color="auto"/>
      </w:divBdr>
    </w:div>
    <w:div w:id="1688092790">
      <w:bodyDiv w:val="1"/>
      <w:marLeft w:val="0"/>
      <w:marRight w:val="0"/>
      <w:marTop w:val="0"/>
      <w:marBottom w:val="0"/>
      <w:divBdr>
        <w:top w:val="none" w:sz="0" w:space="0" w:color="auto"/>
        <w:left w:val="none" w:sz="0" w:space="0" w:color="auto"/>
        <w:bottom w:val="none" w:sz="0" w:space="0" w:color="auto"/>
        <w:right w:val="none" w:sz="0" w:space="0" w:color="auto"/>
      </w:divBdr>
    </w:div>
    <w:div w:id="1688360641">
      <w:bodyDiv w:val="1"/>
      <w:marLeft w:val="0"/>
      <w:marRight w:val="0"/>
      <w:marTop w:val="0"/>
      <w:marBottom w:val="0"/>
      <w:divBdr>
        <w:top w:val="none" w:sz="0" w:space="0" w:color="auto"/>
        <w:left w:val="none" w:sz="0" w:space="0" w:color="auto"/>
        <w:bottom w:val="none" w:sz="0" w:space="0" w:color="auto"/>
        <w:right w:val="none" w:sz="0" w:space="0" w:color="auto"/>
      </w:divBdr>
    </w:div>
    <w:div w:id="1688363206">
      <w:bodyDiv w:val="1"/>
      <w:marLeft w:val="0"/>
      <w:marRight w:val="0"/>
      <w:marTop w:val="0"/>
      <w:marBottom w:val="0"/>
      <w:divBdr>
        <w:top w:val="none" w:sz="0" w:space="0" w:color="auto"/>
        <w:left w:val="none" w:sz="0" w:space="0" w:color="auto"/>
        <w:bottom w:val="none" w:sz="0" w:space="0" w:color="auto"/>
        <w:right w:val="none" w:sz="0" w:space="0" w:color="auto"/>
      </w:divBdr>
    </w:div>
    <w:div w:id="1688408328">
      <w:bodyDiv w:val="1"/>
      <w:marLeft w:val="0"/>
      <w:marRight w:val="0"/>
      <w:marTop w:val="0"/>
      <w:marBottom w:val="0"/>
      <w:divBdr>
        <w:top w:val="none" w:sz="0" w:space="0" w:color="auto"/>
        <w:left w:val="none" w:sz="0" w:space="0" w:color="auto"/>
        <w:bottom w:val="none" w:sz="0" w:space="0" w:color="auto"/>
        <w:right w:val="none" w:sz="0" w:space="0" w:color="auto"/>
      </w:divBdr>
    </w:div>
    <w:div w:id="1688671827">
      <w:bodyDiv w:val="1"/>
      <w:marLeft w:val="0"/>
      <w:marRight w:val="0"/>
      <w:marTop w:val="0"/>
      <w:marBottom w:val="0"/>
      <w:divBdr>
        <w:top w:val="none" w:sz="0" w:space="0" w:color="auto"/>
        <w:left w:val="none" w:sz="0" w:space="0" w:color="auto"/>
        <w:bottom w:val="none" w:sz="0" w:space="0" w:color="auto"/>
        <w:right w:val="none" w:sz="0" w:space="0" w:color="auto"/>
      </w:divBdr>
    </w:div>
    <w:div w:id="1688676457">
      <w:bodyDiv w:val="1"/>
      <w:marLeft w:val="0"/>
      <w:marRight w:val="0"/>
      <w:marTop w:val="0"/>
      <w:marBottom w:val="0"/>
      <w:divBdr>
        <w:top w:val="none" w:sz="0" w:space="0" w:color="auto"/>
        <w:left w:val="none" w:sz="0" w:space="0" w:color="auto"/>
        <w:bottom w:val="none" w:sz="0" w:space="0" w:color="auto"/>
        <w:right w:val="none" w:sz="0" w:space="0" w:color="auto"/>
      </w:divBdr>
    </w:div>
    <w:div w:id="1688750439">
      <w:bodyDiv w:val="1"/>
      <w:marLeft w:val="0"/>
      <w:marRight w:val="0"/>
      <w:marTop w:val="0"/>
      <w:marBottom w:val="0"/>
      <w:divBdr>
        <w:top w:val="none" w:sz="0" w:space="0" w:color="auto"/>
        <w:left w:val="none" w:sz="0" w:space="0" w:color="auto"/>
        <w:bottom w:val="none" w:sz="0" w:space="0" w:color="auto"/>
        <w:right w:val="none" w:sz="0" w:space="0" w:color="auto"/>
      </w:divBdr>
    </w:div>
    <w:div w:id="1688797997">
      <w:bodyDiv w:val="1"/>
      <w:marLeft w:val="0"/>
      <w:marRight w:val="0"/>
      <w:marTop w:val="0"/>
      <w:marBottom w:val="0"/>
      <w:divBdr>
        <w:top w:val="none" w:sz="0" w:space="0" w:color="auto"/>
        <w:left w:val="none" w:sz="0" w:space="0" w:color="auto"/>
        <w:bottom w:val="none" w:sz="0" w:space="0" w:color="auto"/>
        <w:right w:val="none" w:sz="0" w:space="0" w:color="auto"/>
      </w:divBdr>
    </w:div>
    <w:div w:id="1688824561">
      <w:bodyDiv w:val="1"/>
      <w:marLeft w:val="0"/>
      <w:marRight w:val="0"/>
      <w:marTop w:val="0"/>
      <w:marBottom w:val="0"/>
      <w:divBdr>
        <w:top w:val="none" w:sz="0" w:space="0" w:color="auto"/>
        <w:left w:val="none" w:sz="0" w:space="0" w:color="auto"/>
        <w:bottom w:val="none" w:sz="0" w:space="0" w:color="auto"/>
        <w:right w:val="none" w:sz="0" w:space="0" w:color="auto"/>
      </w:divBdr>
    </w:div>
    <w:div w:id="1688829771">
      <w:bodyDiv w:val="1"/>
      <w:marLeft w:val="0"/>
      <w:marRight w:val="0"/>
      <w:marTop w:val="0"/>
      <w:marBottom w:val="0"/>
      <w:divBdr>
        <w:top w:val="none" w:sz="0" w:space="0" w:color="auto"/>
        <w:left w:val="none" w:sz="0" w:space="0" w:color="auto"/>
        <w:bottom w:val="none" w:sz="0" w:space="0" w:color="auto"/>
        <w:right w:val="none" w:sz="0" w:space="0" w:color="auto"/>
      </w:divBdr>
    </w:div>
    <w:div w:id="1688942491">
      <w:bodyDiv w:val="1"/>
      <w:marLeft w:val="0"/>
      <w:marRight w:val="0"/>
      <w:marTop w:val="0"/>
      <w:marBottom w:val="0"/>
      <w:divBdr>
        <w:top w:val="none" w:sz="0" w:space="0" w:color="auto"/>
        <w:left w:val="none" w:sz="0" w:space="0" w:color="auto"/>
        <w:bottom w:val="none" w:sz="0" w:space="0" w:color="auto"/>
        <w:right w:val="none" w:sz="0" w:space="0" w:color="auto"/>
      </w:divBdr>
    </w:div>
    <w:div w:id="1689067109">
      <w:bodyDiv w:val="1"/>
      <w:marLeft w:val="0"/>
      <w:marRight w:val="0"/>
      <w:marTop w:val="0"/>
      <w:marBottom w:val="0"/>
      <w:divBdr>
        <w:top w:val="none" w:sz="0" w:space="0" w:color="auto"/>
        <w:left w:val="none" w:sz="0" w:space="0" w:color="auto"/>
        <w:bottom w:val="none" w:sz="0" w:space="0" w:color="auto"/>
        <w:right w:val="none" w:sz="0" w:space="0" w:color="auto"/>
      </w:divBdr>
    </w:div>
    <w:div w:id="1689211692">
      <w:bodyDiv w:val="1"/>
      <w:marLeft w:val="0"/>
      <w:marRight w:val="0"/>
      <w:marTop w:val="0"/>
      <w:marBottom w:val="0"/>
      <w:divBdr>
        <w:top w:val="none" w:sz="0" w:space="0" w:color="auto"/>
        <w:left w:val="none" w:sz="0" w:space="0" w:color="auto"/>
        <w:bottom w:val="none" w:sz="0" w:space="0" w:color="auto"/>
        <w:right w:val="none" w:sz="0" w:space="0" w:color="auto"/>
      </w:divBdr>
    </w:div>
    <w:div w:id="1689218020">
      <w:bodyDiv w:val="1"/>
      <w:marLeft w:val="0"/>
      <w:marRight w:val="0"/>
      <w:marTop w:val="0"/>
      <w:marBottom w:val="0"/>
      <w:divBdr>
        <w:top w:val="none" w:sz="0" w:space="0" w:color="auto"/>
        <w:left w:val="none" w:sz="0" w:space="0" w:color="auto"/>
        <w:bottom w:val="none" w:sz="0" w:space="0" w:color="auto"/>
        <w:right w:val="none" w:sz="0" w:space="0" w:color="auto"/>
      </w:divBdr>
    </w:div>
    <w:div w:id="1689333078">
      <w:bodyDiv w:val="1"/>
      <w:marLeft w:val="0"/>
      <w:marRight w:val="0"/>
      <w:marTop w:val="0"/>
      <w:marBottom w:val="0"/>
      <w:divBdr>
        <w:top w:val="none" w:sz="0" w:space="0" w:color="auto"/>
        <w:left w:val="none" w:sz="0" w:space="0" w:color="auto"/>
        <w:bottom w:val="none" w:sz="0" w:space="0" w:color="auto"/>
        <w:right w:val="none" w:sz="0" w:space="0" w:color="auto"/>
      </w:divBdr>
    </w:div>
    <w:div w:id="1689334645">
      <w:bodyDiv w:val="1"/>
      <w:marLeft w:val="0"/>
      <w:marRight w:val="0"/>
      <w:marTop w:val="0"/>
      <w:marBottom w:val="0"/>
      <w:divBdr>
        <w:top w:val="none" w:sz="0" w:space="0" w:color="auto"/>
        <w:left w:val="none" w:sz="0" w:space="0" w:color="auto"/>
        <w:bottom w:val="none" w:sz="0" w:space="0" w:color="auto"/>
        <w:right w:val="none" w:sz="0" w:space="0" w:color="auto"/>
      </w:divBdr>
    </w:div>
    <w:div w:id="1689402373">
      <w:bodyDiv w:val="1"/>
      <w:marLeft w:val="0"/>
      <w:marRight w:val="0"/>
      <w:marTop w:val="0"/>
      <w:marBottom w:val="0"/>
      <w:divBdr>
        <w:top w:val="none" w:sz="0" w:space="0" w:color="auto"/>
        <w:left w:val="none" w:sz="0" w:space="0" w:color="auto"/>
        <w:bottom w:val="none" w:sz="0" w:space="0" w:color="auto"/>
        <w:right w:val="none" w:sz="0" w:space="0" w:color="auto"/>
      </w:divBdr>
    </w:div>
    <w:div w:id="1689407819">
      <w:bodyDiv w:val="1"/>
      <w:marLeft w:val="0"/>
      <w:marRight w:val="0"/>
      <w:marTop w:val="0"/>
      <w:marBottom w:val="0"/>
      <w:divBdr>
        <w:top w:val="none" w:sz="0" w:space="0" w:color="auto"/>
        <w:left w:val="none" w:sz="0" w:space="0" w:color="auto"/>
        <w:bottom w:val="none" w:sz="0" w:space="0" w:color="auto"/>
        <w:right w:val="none" w:sz="0" w:space="0" w:color="auto"/>
      </w:divBdr>
      <w:divsChild>
        <w:div w:id="551835">
          <w:marLeft w:val="0"/>
          <w:marRight w:val="0"/>
          <w:marTop w:val="0"/>
          <w:marBottom w:val="0"/>
          <w:divBdr>
            <w:top w:val="none" w:sz="0" w:space="0" w:color="auto"/>
            <w:left w:val="none" w:sz="0" w:space="0" w:color="auto"/>
            <w:bottom w:val="none" w:sz="0" w:space="0" w:color="auto"/>
            <w:right w:val="none" w:sz="0" w:space="0" w:color="auto"/>
          </w:divBdr>
        </w:div>
        <w:div w:id="6253615">
          <w:marLeft w:val="0"/>
          <w:marRight w:val="0"/>
          <w:marTop w:val="0"/>
          <w:marBottom w:val="0"/>
          <w:divBdr>
            <w:top w:val="none" w:sz="0" w:space="0" w:color="auto"/>
            <w:left w:val="none" w:sz="0" w:space="0" w:color="auto"/>
            <w:bottom w:val="none" w:sz="0" w:space="0" w:color="auto"/>
            <w:right w:val="none" w:sz="0" w:space="0" w:color="auto"/>
          </w:divBdr>
        </w:div>
        <w:div w:id="13310005">
          <w:marLeft w:val="0"/>
          <w:marRight w:val="0"/>
          <w:marTop w:val="0"/>
          <w:marBottom w:val="0"/>
          <w:divBdr>
            <w:top w:val="none" w:sz="0" w:space="0" w:color="auto"/>
            <w:left w:val="none" w:sz="0" w:space="0" w:color="auto"/>
            <w:bottom w:val="none" w:sz="0" w:space="0" w:color="auto"/>
            <w:right w:val="none" w:sz="0" w:space="0" w:color="auto"/>
          </w:divBdr>
        </w:div>
        <w:div w:id="21516198">
          <w:marLeft w:val="0"/>
          <w:marRight w:val="0"/>
          <w:marTop w:val="0"/>
          <w:marBottom w:val="0"/>
          <w:divBdr>
            <w:top w:val="none" w:sz="0" w:space="0" w:color="auto"/>
            <w:left w:val="none" w:sz="0" w:space="0" w:color="auto"/>
            <w:bottom w:val="none" w:sz="0" w:space="0" w:color="auto"/>
            <w:right w:val="none" w:sz="0" w:space="0" w:color="auto"/>
          </w:divBdr>
        </w:div>
        <w:div w:id="22755524">
          <w:marLeft w:val="0"/>
          <w:marRight w:val="0"/>
          <w:marTop w:val="0"/>
          <w:marBottom w:val="0"/>
          <w:divBdr>
            <w:top w:val="none" w:sz="0" w:space="0" w:color="auto"/>
            <w:left w:val="none" w:sz="0" w:space="0" w:color="auto"/>
            <w:bottom w:val="none" w:sz="0" w:space="0" w:color="auto"/>
            <w:right w:val="none" w:sz="0" w:space="0" w:color="auto"/>
          </w:divBdr>
        </w:div>
        <w:div w:id="27028625">
          <w:marLeft w:val="0"/>
          <w:marRight w:val="0"/>
          <w:marTop w:val="0"/>
          <w:marBottom w:val="0"/>
          <w:divBdr>
            <w:top w:val="none" w:sz="0" w:space="0" w:color="auto"/>
            <w:left w:val="none" w:sz="0" w:space="0" w:color="auto"/>
            <w:bottom w:val="none" w:sz="0" w:space="0" w:color="auto"/>
            <w:right w:val="none" w:sz="0" w:space="0" w:color="auto"/>
          </w:divBdr>
        </w:div>
        <w:div w:id="47845959">
          <w:marLeft w:val="0"/>
          <w:marRight w:val="0"/>
          <w:marTop w:val="0"/>
          <w:marBottom w:val="0"/>
          <w:divBdr>
            <w:top w:val="none" w:sz="0" w:space="0" w:color="auto"/>
            <w:left w:val="none" w:sz="0" w:space="0" w:color="auto"/>
            <w:bottom w:val="none" w:sz="0" w:space="0" w:color="auto"/>
            <w:right w:val="none" w:sz="0" w:space="0" w:color="auto"/>
          </w:divBdr>
        </w:div>
        <w:div w:id="61488821">
          <w:marLeft w:val="0"/>
          <w:marRight w:val="0"/>
          <w:marTop w:val="0"/>
          <w:marBottom w:val="0"/>
          <w:divBdr>
            <w:top w:val="none" w:sz="0" w:space="0" w:color="auto"/>
            <w:left w:val="none" w:sz="0" w:space="0" w:color="auto"/>
            <w:bottom w:val="none" w:sz="0" w:space="0" w:color="auto"/>
            <w:right w:val="none" w:sz="0" w:space="0" w:color="auto"/>
          </w:divBdr>
        </w:div>
        <w:div w:id="72973775">
          <w:marLeft w:val="0"/>
          <w:marRight w:val="0"/>
          <w:marTop w:val="0"/>
          <w:marBottom w:val="0"/>
          <w:divBdr>
            <w:top w:val="none" w:sz="0" w:space="0" w:color="auto"/>
            <w:left w:val="none" w:sz="0" w:space="0" w:color="auto"/>
            <w:bottom w:val="none" w:sz="0" w:space="0" w:color="auto"/>
            <w:right w:val="none" w:sz="0" w:space="0" w:color="auto"/>
          </w:divBdr>
        </w:div>
        <w:div w:id="74474938">
          <w:marLeft w:val="0"/>
          <w:marRight w:val="0"/>
          <w:marTop w:val="0"/>
          <w:marBottom w:val="0"/>
          <w:divBdr>
            <w:top w:val="none" w:sz="0" w:space="0" w:color="auto"/>
            <w:left w:val="none" w:sz="0" w:space="0" w:color="auto"/>
            <w:bottom w:val="none" w:sz="0" w:space="0" w:color="auto"/>
            <w:right w:val="none" w:sz="0" w:space="0" w:color="auto"/>
          </w:divBdr>
        </w:div>
        <w:div w:id="81342300">
          <w:marLeft w:val="0"/>
          <w:marRight w:val="0"/>
          <w:marTop w:val="0"/>
          <w:marBottom w:val="0"/>
          <w:divBdr>
            <w:top w:val="none" w:sz="0" w:space="0" w:color="auto"/>
            <w:left w:val="none" w:sz="0" w:space="0" w:color="auto"/>
            <w:bottom w:val="none" w:sz="0" w:space="0" w:color="auto"/>
            <w:right w:val="none" w:sz="0" w:space="0" w:color="auto"/>
          </w:divBdr>
        </w:div>
        <w:div w:id="90012464">
          <w:marLeft w:val="0"/>
          <w:marRight w:val="0"/>
          <w:marTop w:val="0"/>
          <w:marBottom w:val="0"/>
          <w:divBdr>
            <w:top w:val="none" w:sz="0" w:space="0" w:color="auto"/>
            <w:left w:val="none" w:sz="0" w:space="0" w:color="auto"/>
            <w:bottom w:val="none" w:sz="0" w:space="0" w:color="auto"/>
            <w:right w:val="none" w:sz="0" w:space="0" w:color="auto"/>
          </w:divBdr>
        </w:div>
        <w:div w:id="90705274">
          <w:marLeft w:val="0"/>
          <w:marRight w:val="0"/>
          <w:marTop w:val="0"/>
          <w:marBottom w:val="0"/>
          <w:divBdr>
            <w:top w:val="none" w:sz="0" w:space="0" w:color="auto"/>
            <w:left w:val="none" w:sz="0" w:space="0" w:color="auto"/>
            <w:bottom w:val="none" w:sz="0" w:space="0" w:color="auto"/>
            <w:right w:val="none" w:sz="0" w:space="0" w:color="auto"/>
          </w:divBdr>
        </w:div>
        <w:div w:id="130946569">
          <w:marLeft w:val="0"/>
          <w:marRight w:val="0"/>
          <w:marTop w:val="0"/>
          <w:marBottom w:val="0"/>
          <w:divBdr>
            <w:top w:val="none" w:sz="0" w:space="0" w:color="auto"/>
            <w:left w:val="none" w:sz="0" w:space="0" w:color="auto"/>
            <w:bottom w:val="none" w:sz="0" w:space="0" w:color="auto"/>
            <w:right w:val="none" w:sz="0" w:space="0" w:color="auto"/>
          </w:divBdr>
        </w:div>
        <w:div w:id="132335734">
          <w:marLeft w:val="0"/>
          <w:marRight w:val="0"/>
          <w:marTop w:val="0"/>
          <w:marBottom w:val="0"/>
          <w:divBdr>
            <w:top w:val="none" w:sz="0" w:space="0" w:color="auto"/>
            <w:left w:val="none" w:sz="0" w:space="0" w:color="auto"/>
            <w:bottom w:val="none" w:sz="0" w:space="0" w:color="auto"/>
            <w:right w:val="none" w:sz="0" w:space="0" w:color="auto"/>
          </w:divBdr>
        </w:div>
        <w:div w:id="150803690">
          <w:marLeft w:val="0"/>
          <w:marRight w:val="0"/>
          <w:marTop w:val="0"/>
          <w:marBottom w:val="0"/>
          <w:divBdr>
            <w:top w:val="none" w:sz="0" w:space="0" w:color="auto"/>
            <w:left w:val="none" w:sz="0" w:space="0" w:color="auto"/>
            <w:bottom w:val="none" w:sz="0" w:space="0" w:color="auto"/>
            <w:right w:val="none" w:sz="0" w:space="0" w:color="auto"/>
          </w:divBdr>
        </w:div>
        <w:div w:id="178473847">
          <w:marLeft w:val="0"/>
          <w:marRight w:val="0"/>
          <w:marTop w:val="0"/>
          <w:marBottom w:val="0"/>
          <w:divBdr>
            <w:top w:val="none" w:sz="0" w:space="0" w:color="auto"/>
            <w:left w:val="none" w:sz="0" w:space="0" w:color="auto"/>
            <w:bottom w:val="none" w:sz="0" w:space="0" w:color="auto"/>
            <w:right w:val="none" w:sz="0" w:space="0" w:color="auto"/>
          </w:divBdr>
        </w:div>
        <w:div w:id="184558033">
          <w:marLeft w:val="0"/>
          <w:marRight w:val="0"/>
          <w:marTop w:val="0"/>
          <w:marBottom w:val="0"/>
          <w:divBdr>
            <w:top w:val="none" w:sz="0" w:space="0" w:color="auto"/>
            <w:left w:val="none" w:sz="0" w:space="0" w:color="auto"/>
            <w:bottom w:val="none" w:sz="0" w:space="0" w:color="auto"/>
            <w:right w:val="none" w:sz="0" w:space="0" w:color="auto"/>
          </w:divBdr>
        </w:div>
        <w:div w:id="223301487">
          <w:marLeft w:val="0"/>
          <w:marRight w:val="0"/>
          <w:marTop w:val="0"/>
          <w:marBottom w:val="0"/>
          <w:divBdr>
            <w:top w:val="none" w:sz="0" w:space="0" w:color="auto"/>
            <w:left w:val="none" w:sz="0" w:space="0" w:color="auto"/>
            <w:bottom w:val="none" w:sz="0" w:space="0" w:color="auto"/>
            <w:right w:val="none" w:sz="0" w:space="0" w:color="auto"/>
          </w:divBdr>
        </w:div>
        <w:div w:id="229850677">
          <w:marLeft w:val="0"/>
          <w:marRight w:val="0"/>
          <w:marTop w:val="0"/>
          <w:marBottom w:val="0"/>
          <w:divBdr>
            <w:top w:val="none" w:sz="0" w:space="0" w:color="auto"/>
            <w:left w:val="none" w:sz="0" w:space="0" w:color="auto"/>
            <w:bottom w:val="none" w:sz="0" w:space="0" w:color="auto"/>
            <w:right w:val="none" w:sz="0" w:space="0" w:color="auto"/>
          </w:divBdr>
        </w:div>
        <w:div w:id="233854725">
          <w:marLeft w:val="0"/>
          <w:marRight w:val="0"/>
          <w:marTop w:val="0"/>
          <w:marBottom w:val="0"/>
          <w:divBdr>
            <w:top w:val="none" w:sz="0" w:space="0" w:color="auto"/>
            <w:left w:val="none" w:sz="0" w:space="0" w:color="auto"/>
            <w:bottom w:val="none" w:sz="0" w:space="0" w:color="auto"/>
            <w:right w:val="none" w:sz="0" w:space="0" w:color="auto"/>
          </w:divBdr>
        </w:div>
        <w:div w:id="252276255">
          <w:marLeft w:val="0"/>
          <w:marRight w:val="0"/>
          <w:marTop w:val="0"/>
          <w:marBottom w:val="0"/>
          <w:divBdr>
            <w:top w:val="none" w:sz="0" w:space="0" w:color="auto"/>
            <w:left w:val="none" w:sz="0" w:space="0" w:color="auto"/>
            <w:bottom w:val="none" w:sz="0" w:space="0" w:color="auto"/>
            <w:right w:val="none" w:sz="0" w:space="0" w:color="auto"/>
          </w:divBdr>
        </w:div>
        <w:div w:id="277110269">
          <w:marLeft w:val="0"/>
          <w:marRight w:val="0"/>
          <w:marTop w:val="0"/>
          <w:marBottom w:val="0"/>
          <w:divBdr>
            <w:top w:val="none" w:sz="0" w:space="0" w:color="auto"/>
            <w:left w:val="none" w:sz="0" w:space="0" w:color="auto"/>
            <w:bottom w:val="none" w:sz="0" w:space="0" w:color="auto"/>
            <w:right w:val="none" w:sz="0" w:space="0" w:color="auto"/>
          </w:divBdr>
        </w:div>
        <w:div w:id="284701473">
          <w:marLeft w:val="0"/>
          <w:marRight w:val="0"/>
          <w:marTop w:val="0"/>
          <w:marBottom w:val="0"/>
          <w:divBdr>
            <w:top w:val="none" w:sz="0" w:space="0" w:color="auto"/>
            <w:left w:val="none" w:sz="0" w:space="0" w:color="auto"/>
            <w:bottom w:val="none" w:sz="0" w:space="0" w:color="auto"/>
            <w:right w:val="none" w:sz="0" w:space="0" w:color="auto"/>
          </w:divBdr>
        </w:div>
        <w:div w:id="289437861">
          <w:marLeft w:val="0"/>
          <w:marRight w:val="0"/>
          <w:marTop w:val="0"/>
          <w:marBottom w:val="0"/>
          <w:divBdr>
            <w:top w:val="none" w:sz="0" w:space="0" w:color="auto"/>
            <w:left w:val="none" w:sz="0" w:space="0" w:color="auto"/>
            <w:bottom w:val="none" w:sz="0" w:space="0" w:color="auto"/>
            <w:right w:val="none" w:sz="0" w:space="0" w:color="auto"/>
          </w:divBdr>
        </w:div>
        <w:div w:id="300354133">
          <w:marLeft w:val="0"/>
          <w:marRight w:val="0"/>
          <w:marTop w:val="0"/>
          <w:marBottom w:val="0"/>
          <w:divBdr>
            <w:top w:val="none" w:sz="0" w:space="0" w:color="auto"/>
            <w:left w:val="none" w:sz="0" w:space="0" w:color="auto"/>
            <w:bottom w:val="none" w:sz="0" w:space="0" w:color="auto"/>
            <w:right w:val="none" w:sz="0" w:space="0" w:color="auto"/>
          </w:divBdr>
        </w:div>
        <w:div w:id="316034041">
          <w:marLeft w:val="0"/>
          <w:marRight w:val="0"/>
          <w:marTop w:val="0"/>
          <w:marBottom w:val="0"/>
          <w:divBdr>
            <w:top w:val="none" w:sz="0" w:space="0" w:color="auto"/>
            <w:left w:val="none" w:sz="0" w:space="0" w:color="auto"/>
            <w:bottom w:val="none" w:sz="0" w:space="0" w:color="auto"/>
            <w:right w:val="none" w:sz="0" w:space="0" w:color="auto"/>
          </w:divBdr>
        </w:div>
        <w:div w:id="329675097">
          <w:marLeft w:val="0"/>
          <w:marRight w:val="0"/>
          <w:marTop w:val="0"/>
          <w:marBottom w:val="0"/>
          <w:divBdr>
            <w:top w:val="none" w:sz="0" w:space="0" w:color="auto"/>
            <w:left w:val="none" w:sz="0" w:space="0" w:color="auto"/>
            <w:bottom w:val="none" w:sz="0" w:space="0" w:color="auto"/>
            <w:right w:val="none" w:sz="0" w:space="0" w:color="auto"/>
          </w:divBdr>
        </w:div>
        <w:div w:id="333151938">
          <w:marLeft w:val="0"/>
          <w:marRight w:val="0"/>
          <w:marTop w:val="0"/>
          <w:marBottom w:val="0"/>
          <w:divBdr>
            <w:top w:val="none" w:sz="0" w:space="0" w:color="auto"/>
            <w:left w:val="none" w:sz="0" w:space="0" w:color="auto"/>
            <w:bottom w:val="none" w:sz="0" w:space="0" w:color="auto"/>
            <w:right w:val="none" w:sz="0" w:space="0" w:color="auto"/>
          </w:divBdr>
        </w:div>
        <w:div w:id="350256280">
          <w:marLeft w:val="0"/>
          <w:marRight w:val="0"/>
          <w:marTop w:val="0"/>
          <w:marBottom w:val="0"/>
          <w:divBdr>
            <w:top w:val="none" w:sz="0" w:space="0" w:color="auto"/>
            <w:left w:val="none" w:sz="0" w:space="0" w:color="auto"/>
            <w:bottom w:val="none" w:sz="0" w:space="0" w:color="auto"/>
            <w:right w:val="none" w:sz="0" w:space="0" w:color="auto"/>
          </w:divBdr>
        </w:div>
        <w:div w:id="365102759">
          <w:marLeft w:val="0"/>
          <w:marRight w:val="0"/>
          <w:marTop w:val="0"/>
          <w:marBottom w:val="0"/>
          <w:divBdr>
            <w:top w:val="none" w:sz="0" w:space="0" w:color="auto"/>
            <w:left w:val="none" w:sz="0" w:space="0" w:color="auto"/>
            <w:bottom w:val="none" w:sz="0" w:space="0" w:color="auto"/>
            <w:right w:val="none" w:sz="0" w:space="0" w:color="auto"/>
          </w:divBdr>
        </w:div>
        <w:div w:id="373581246">
          <w:marLeft w:val="0"/>
          <w:marRight w:val="0"/>
          <w:marTop w:val="0"/>
          <w:marBottom w:val="0"/>
          <w:divBdr>
            <w:top w:val="none" w:sz="0" w:space="0" w:color="auto"/>
            <w:left w:val="none" w:sz="0" w:space="0" w:color="auto"/>
            <w:bottom w:val="none" w:sz="0" w:space="0" w:color="auto"/>
            <w:right w:val="none" w:sz="0" w:space="0" w:color="auto"/>
          </w:divBdr>
        </w:div>
        <w:div w:id="389423774">
          <w:marLeft w:val="0"/>
          <w:marRight w:val="0"/>
          <w:marTop w:val="0"/>
          <w:marBottom w:val="0"/>
          <w:divBdr>
            <w:top w:val="none" w:sz="0" w:space="0" w:color="auto"/>
            <w:left w:val="none" w:sz="0" w:space="0" w:color="auto"/>
            <w:bottom w:val="none" w:sz="0" w:space="0" w:color="auto"/>
            <w:right w:val="none" w:sz="0" w:space="0" w:color="auto"/>
          </w:divBdr>
        </w:div>
        <w:div w:id="401410477">
          <w:marLeft w:val="0"/>
          <w:marRight w:val="0"/>
          <w:marTop w:val="0"/>
          <w:marBottom w:val="0"/>
          <w:divBdr>
            <w:top w:val="none" w:sz="0" w:space="0" w:color="auto"/>
            <w:left w:val="none" w:sz="0" w:space="0" w:color="auto"/>
            <w:bottom w:val="none" w:sz="0" w:space="0" w:color="auto"/>
            <w:right w:val="none" w:sz="0" w:space="0" w:color="auto"/>
          </w:divBdr>
        </w:div>
        <w:div w:id="409010698">
          <w:marLeft w:val="0"/>
          <w:marRight w:val="0"/>
          <w:marTop w:val="0"/>
          <w:marBottom w:val="0"/>
          <w:divBdr>
            <w:top w:val="none" w:sz="0" w:space="0" w:color="auto"/>
            <w:left w:val="none" w:sz="0" w:space="0" w:color="auto"/>
            <w:bottom w:val="none" w:sz="0" w:space="0" w:color="auto"/>
            <w:right w:val="none" w:sz="0" w:space="0" w:color="auto"/>
          </w:divBdr>
        </w:div>
        <w:div w:id="412168605">
          <w:marLeft w:val="0"/>
          <w:marRight w:val="0"/>
          <w:marTop w:val="0"/>
          <w:marBottom w:val="0"/>
          <w:divBdr>
            <w:top w:val="none" w:sz="0" w:space="0" w:color="auto"/>
            <w:left w:val="none" w:sz="0" w:space="0" w:color="auto"/>
            <w:bottom w:val="none" w:sz="0" w:space="0" w:color="auto"/>
            <w:right w:val="none" w:sz="0" w:space="0" w:color="auto"/>
          </w:divBdr>
        </w:div>
        <w:div w:id="421142047">
          <w:marLeft w:val="0"/>
          <w:marRight w:val="0"/>
          <w:marTop w:val="0"/>
          <w:marBottom w:val="0"/>
          <w:divBdr>
            <w:top w:val="none" w:sz="0" w:space="0" w:color="auto"/>
            <w:left w:val="none" w:sz="0" w:space="0" w:color="auto"/>
            <w:bottom w:val="none" w:sz="0" w:space="0" w:color="auto"/>
            <w:right w:val="none" w:sz="0" w:space="0" w:color="auto"/>
          </w:divBdr>
        </w:div>
        <w:div w:id="438062521">
          <w:marLeft w:val="0"/>
          <w:marRight w:val="0"/>
          <w:marTop w:val="0"/>
          <w:marBottom w:val="0"/>
          <w:divBdr>
            <w:top w:val="none" w:sz="0" w:space="0" w:color="auto"/>
            <w:left w:val="none" w:sz="0" w:space="0" w:color="auto"/>
            <w:bottom w:val="none" w:sz="0" w:space="0" w:color="auto"/>
            <w:right w:val="none" w:sz="0" w:space="0" w:color="auto"/>
          </w:divBdr>
        </w:div>
        <w:div w:id="445469351">
          <w:marLeft w:val="0"/>
          <w:marRight w:val="0"/>
          <w:marTop w:val="0"/>
          <w:marBottom w:val="0"/>
          <w:divBdr>
            <w:top w:val="none" w:sz="0" w:space="0" w:color="auto"/>
            <w:left w:val="none" w:sz="0" w:space="0" w:color="auto"/>
            <w:bottom w:val="none" w:sz="0" w:space="0" w:color="auto"/>
            <w:right w:val="none" w:sz="0" w:space="0" w:color="auto"/>
          </w:divBdr>
        </w:div>
        <w:div w:id="449662389">
          <w:marLeft w:val="0"/>
          <w:marRight w:val="0"/>
          <w:marTop w:val="0"/>
          <w:marBottom w:val="0"/>
          <w:divBdr>
            <w:top w:val="none" w:sz="0" w:space="0" w:color="auto"/>
            <w:left w:val="none" w:sz="0" w:space="0" w:color="auto"/>
            <w:bottom w:val="none" w:sz="0" w:space="0" w:color="auto"/>
            <w:right w:val="none" w:sz="0" w:space="0" w:color="auto"/>
          </w:divBdr>
        </w:div>
        <w:div w:id="500119697">
          <w:marLeft w:val="0"/>
          <w:marRight w:val="0"/>
          <w:marTop w:val="0"/>
          <w:marBottom w:val="0"/>
          <w:divBdr>
            <w:top w:val="none" w:sz="0" w:space="0" w:color="auto"/>
            <w:left w:val="none" w:sz="0" w:space="0" w:color="auto"/>
            <w:bottom w:val="none" w:sz="0" w:space="0" w:color="auto"/>
            <w:right w:val="none" w:sz="0" w:space="0" w:color="auto"/>
          </w:divBdr>
        </w:div>
        <w:div w:id="505444241">
          <w:marLeft w:val="0"/>
          <w:marRight w:val="0"/>
          <w:marTop w:val="0"/>
          <w:marBottom w:val="0"/>
          <w:divBdr>
            <w:top w:val="none" w:sz="0" w:space="0" w:color="auto"/>
            <w:left w:val="none" w:sz="0" w:space="0" w:color="auto"/>
            <w:bottom w:val="none" w:sz="0" w:space="0" w:color="auto"/>
            <w:right w:val="none" w:sz="0" w:space="0" w:color="auto"/>
          </w:divBdr>
        </w:div>
        <w:div w:id="507407370">
          <w:marLeft w:val="0"/>
          <w:marRight w:val="0"/>
          <w:marTop w:val="0"/>
          <w:marBottom w:val="0"/>
          <w:divBdr>
            <w:top w:val="none" w:sz="0" w:space="0" w:color="auto"/>
            <w:left w:val="none" w:sz="0" w:space="0" w:color="auto"/>
            <w:bottom w:val="none" w:sz="0" w:space="0" w:color="auto"/>
            <w:right w:val="none" w:sz="0" w:space="0" w:color="auto"/>
          </w:divBdr>
        </w:div>
        <w:div w:id="513766029">
          <w:marLeft w:val="0"/>
          <w:marRight w:val="0"/>
          <w:marTop w:val="0"/>
          <w:marBottom w:val="0"/>
          <w:divBdr>
            <w:top w:val="none" w:sz="0" w:space="0" w:color="auto"/>
            <w:left w:val="none" w:sz="0" w:space="0" w:color="auto"/>
            <w:bottom w:val="none" w:sz="0" w:space="0" w:color="auto"/>
            <w:right w:val="none" w:sz="0" w:space="0" w:color="auto"/>
          </w:divBdr>
        </w:div>
        <w:div w:id="520706779">
          <w:marLeft w:val="0"/>
          <w:marRight w:val="0"/>
          <w:marTop w:val="0"/>
          <w:marBottom w:val="0"/>
          <w:divBdr>
            <w:top w:val="none" w:sz="0" w:space="0" w:color="auto"/>
            <w:left w:val="none" w:sz="0" w:space="0" w:color="auto"/>
            <w:bottom w:val="none" w:sz="0" w:space="0" w:color="auto"/>
            <w:right w:val="none" w:sz="0" w:space="0" w:color="auto"/>
          </w:divBdr>
        </w:div>
        <w:div w:id="521167255">
          <w:marLeft w:val="0"/>
          <w:marRight w:val="0"/>
          <w:marTop w:val="0"/>
          <w:marBottom w:val="0"/>
          <w:divBdr>
            <w:top w:val="none" w:sz="0" w:space="0" w:color="auto"/>
            <w:left w:val="none" w:sz="0" w:space="0" w:color="auto"/>
            <w:bottom w:val="none" w:sz="0" w:space="0" w:color="auto"/>
            <w:right w:val="none" w:sz="0" w:space="0" w:color="auto"/>
          </w:divBdr>
        </w:div>
        <w:div w:id="559557864">
          <w:marLeft w:val="0"/>
          <w:marRight w:val="0"/>
          <w:marTop w:val="0"/>
          <w:marBottom w:val="0"/>
          <w:divBdr>
            <w:top w:val="none" w:sz="0" w:space="0" w:color="auto"/>
            <w:left w:val="none" w:sz="0" w:space="0" w:color="auto"/>
            <w:bottom w:val="none" w:sz="0" w:space="0" w:color="auto"/>
            <w:right w:val="none" w:sz="0" w:space="0" w:color="auto"/>
          </w:divBdr>
        </w:div>
        <w:div w:id="571164680">
          <w:marLeft w:val="0"/>
          <w:marRight w:val="0"/>
          <w:marTop w:val="0"/>
          <w:marBottom w:val="0"/>
          <w:divBdr>
            <w:top w:val="none" w:sz="0" w:space="0" w:color="auto"/>
            <w:left w:val="none" w:sz="0" w:space="0" w:color="auto"/>
            <w:bottom w:val="none" w:sz="0" w:space="0" w:color="auto"/>
            <w:right w:val="none" w:sz="0" w:space="0" w:color="auto"/>
          </w:divBdr>
        </w:div>
        <w:div w:id="598372251">
          <w:marLeft w:val="0"/>
          <w:marRight w:val="0"/>
          <w:marTop w:val="0"/>
          <w:marBottom w:val="0"/>
          <w:divBdr>
            <w:top w:val="none" w:sz="0" w:space="0" w:color="auto"/>
            <w:left w:val="none" w:sz="0" w:space="0" w:color="auto"/>
            <w:bottom w:val="none" w:sz="0" w:space="0" w:color="auto"/>
            <w:right w:val="none" w:sz="0" w:space="0" w:color="auto"/>
          </w:divBdr>
        </w:div>
        <w:div w:id="603615986">
          <w:marLeft w:val="0"/>
          <w:marRight w:val="0"/>
          <w:marTop w:val="0"/>
          <w:marBottom w:val="0"/>
          <w:divBdr>
            <w:top w:val="none" w:sz="0" w:space="0" w:color="auto"/>
            <w:left w:val="none" w:sz="0" w:space="0" w:color="auto"/>
            <w:bottom w:val="none" w:sz="0" w:space="0" w:color="auto"/>
            <w:right w:val="none" w:sz="0" w:space="0" w:color="auto"/>
          </w:divBdr>
        </w:div>
        <w:div w:id="612248261">
          <w:marLeft w:val="0"/>
          <w:marRight w:val="0"/>
          <w:marTop w:val="0"/>
          <w:marBottom w:val="0"/>
          <w:divBdr>
            <w:top w:val="none" w:sz="0" w:space="0" w:color="auto"/>
            <w:left w:val="none" w:sz="0" w:space="0" w:color="auto"/>
            <w:bottom w:val="none" w:sz="0" w:space="0" w:color="auto"/>
            <w:right w:val="none" w:sz="0" w:space="0" w:color="auto"/>
          </w:divBdr>
        </w:div>
        <w:div w:id="618073685">
          <w:marLeft w:val="0"/>
          <w:marRight w:val="0"/>
          <w:marTop w:val="0"/>
          <w:marBottom w:val="0"/>
          <w:divBdr>
            <w:top w:val="none" w:sz="0" w:space="0" w:color="auto"/>
            <w:left w:val="none" w:sz="0" w:space="0" w:color="auto"/>
            <w:bottom w:val="none" w:sz="0" w:space="0" w:color="auto"/>
            <w:right w:val="none" w:sz="0" w:space="0" w:color="auto"/>
          </w:divBdr>
        </w:div>
        <w:div w:id="620453194">
          <w:marLeft w:val="0"/>
          <w:marRight w:val="0"/>
          <w:marTop w:val="0"/>
          <w:marBottom w:val="0"/>
          <w:divBdr>
            <w:top w:val="none" w:sz="0" w:space="0" w:color="auto"/>
            <w:left w:val="none" w:sz="0" w:space="0" w:color="auto"/>
            <w:bottom w:val="none" w:sz="0" w:space="0" w:color="auto"/>
            <w:right w:val="none" w:sz="0" w:space="0" w:color="auto"/>
          </w:divBdr>
        </w:div>
        <w:div w:id="647442693">
          <w:marLeft w:val="0"/>
          <w:marRight w:val="0"/>
          <w:marTop w:val="0"/>
          <w:marBottom w:val="0"/>
          <w:divBdr>
            <w:top w:val="none" w:sz="0" w:space="0" w:color="auto"/>
            <w:left w:val="none" w:sz="0" w:space="0" w:color="auto"/>
            <w:bottom w:val="none" w:sz="0" w:space="0" w:color="auto"/>
            <w:right w:val="none" w:sz="0" w:space="0" w:color="auto"/>
          </w:divBdr>
        </w:div>
        <w:div w:id="654064758">
          <w:marLeft w:val="0"/>
          <w:marRight w:val="0"/>
          <w:marTop w:val="0"/>
          <w:marBottom w:val="0"/>
          <w:divBdr>
            <w:top w:val="none" w:sz="0" w:space="0" w:color="auto"/>
            <w:left w:val="none" w:sz="0" w:space="0" w:color="auto"/>
            <w:bottom w:val="none" w:sz="0" w:space="0" w:color="auto"/>
            <w:right w:val="none" w:sz="0" w:space="0" w:color="auto"/>
          </w:divBdr>
        </w:div>
        <w:div w:id="660541474">
          <w:marLeft w:val="0"/>
          <w:marRight w:val="0"/>
          <w:marTop w:val="0"/>
          <w:marBottom w:val="0"/>
          <w:divBdr>
            <w:top w:val="none" w:sz="0" w:space="0" w:color="auto"/>
            <w:left w:val="none" w:sz="0" w:space="0" w:color="auto"/>
            <w:bottom w:val="none" w:sz="0" w:space="0" w:color="auto"/>
            <w:right w:val="none" w:sz="0" w:space="0" w:color="auto"/>
          </w:divBdr>
        </w:div>
        <w:div w:id="676812246">
          <w:marLeft w:val="0"/>
          <w:marRight w:val="0"/>
          <w:marTop w:val="0"/>
          <w:marBottom w:val="0"/>
          <w:divBdr>
            <w:top w:val="none" w:sz="0" w:space="0" w:color="auto"/>
            <w:left w:val="none" w:sz="0" w:space="0" w:color="auto"/>
            <w:bottom w:val="none" w:sz="0" w:space="0" w:color="auto"/>
            <w:right w:val="none" w:sz="0" w:space="0" w:color="auto"/>
          </w:divBdr>
        </w:div>
        <w:div w:id="684475507">
          <w:marLeft w:val="0"/>
          <w:marRight w:val="0"/>
          <w:marTop w:val="0"/>
          <w:marBottom w:val="0"/>
          <w:divBdr>
            <w:top w:val="none" w:sz="0" w:space="0" w:color="auto"/>
            <w:left w:val="none" w:sz="0" w:space="0" w:color="auto"/>
            <w:bottom w:val="none" w:sz="0" w:space="0" w:color="auto"/>
            <w:right w:val="none" w:sz="0" w:space="0" w:color="auto"/>
          </w:divBdr>
        </w:div>
        <w:div w:id="698355932">
          <w:marLeft w:val="0"/>
          <w:marRight w:val="0"/>
          <w:marTop w:val="0"/>
          <w:marBottom w:val="0"/>
          <w:divBdr>
            <w:top w:val="none" w:sz="0" w:space="0" w:color="auto"/>
            <w:left w:val="none" w:sz="0" w:space="0" w:color="auto"/>
            <w:bottom w:val="none" w:sz="0" w:space="0" w:color="auto"/>
            <w:right w:val="none" w:sz="0" w:space="0" w:color="auto"/>
          </w:divBdr>
        </w:div>
        <w:div w:id="712390222">
          <w:marLeft w:val="0"/>
          <w:marRight w:val="0"/>
          <w:marTop w:val="0"/>
          <w:marBottom w:val="0"/>
          <w:divBdr>
            <w:top w:val="none" w:sz="0" w:space="0" w:color="auto"/>
            <w:left w:val="none" w:sz="0" w:space="0" w:color="auto"/>
            <w:bottom w:val="none" w:sz="0" w:space="0" w:color="auto"/>
            <w:right w:val="none" w:sz="0" w:space="0" w:color="auto"/>
          </w:divBdr>
        </w:div>
        <w:div w:id="741411928">
          <w:marLeft w:val="0"/>
          <w:marRight w:val="0"/>
          <w:marTop w:val="0"/>
          <w:marBottom w:val="0"/>
          <w:divBdr>
            <w:top w:val="none" w:sz="0" w:space="0" w:color="auto"/>
            <w:left w:val="none" w:sz="0" w:space="0" w:color="auto"/>
            <w:bottom w:val="none" w:sz="0" w:space="0" w:color="auto"/>
            <w:right w:val="none" w:sz="0" w:space="0" w:color="auto"/>
          </w:divBdr>
        </w:div>
        <w:div w:id="781608970">
          <w:marLeft w:val="0"/>
          <w:marRight w:val="0"/>
          <w:marTop w:val="0"/>
          <w:marBottom w:val="0"/>
          <w:divBdr>
            <w:top w:val="none" w:sz="0" w:space="0" w:color="auto"/>
            <w:left w:val="none" w:sz="0" w:space="0" w:color="auto"/>
            <w:bottom w:val="none" w:sz="0" w:space="0" w:color="auto"/>
            <w:right w:val="none" w:sz="0" w:space="0" w:color="auto"/>
          </w:divBdr>
        </w:div>
        <w:div w:id="786241524">
          <w:marLeft w:val="0"/>
          <w:marRight w:val="0"/>
          <w:marTop w:val="0"/>
          <w:marBottom w:val="0"/>
          <w:divBdr>
            <w:top w:val="none" w:sz="0" w:space="0" w:color="auto"/>
            <w:left w:val="none" w:sz="0" w:space="0" w:color="auto"/>
            <w:bottom w:val="none" w:sz="0" w:space="0" w:color="auto"/>
            <w:right w:val="none" w:sz="0" w:space="0" w:color="auto"/>
          </w:divBdr>
        </w:div>
        <w:div w:id="798257244">
          <w:marLeft w:val="0"/>
          <w:marRight w:val="0"/>
          <w:marTop w:val="0"/>
          <w:marBottom w:val="0"/>
          <w:divBdr>
            <w:top w:val="none" w:sz="0" w:space="0" w:color="auto"/>
            <w:left w:val="none" w:sz="0" w:space="0" w:color="auto"/>
            <w:bottom w:val="none" w:sz="0" w:space="0" w:color="auto"/>
            <w:right w:val="none" w:sz="0" w:space="0" w:color="auto"/>
          </w:divBdr>
        </w:div>
        <w:div w:id="805858927">
          <w:marLeft w:val="0"/>
          <w:marRight w:val="0"/>
          <w:marTop w:val="0"/>
          <w:marBottom w:val="0"/>
          <w:divBdr>
            <w:top w:val="none" w:sz="0" w:space="0" w:color="auto"/>
            <w:left w:val="none" w:sz="0" w:space="0" w:color="auto"/>
            <w:bottom w:val="none" w:sz="0" w:space="0" w:color="auto"/>
            <w:right w:val="none" w:sz="0" w:space="0" w:color="auto"/>
          </w:divBdr>
        </w:div>
        <w:div w:id="821387287">
          <w:marLeft w:val="0"/>
          <w:marRight w:val="0"/>
          <w:marTop w:val="0"/>
          <w:marBottom w:val="0"/>
          <w:divBdr>
            <w:top w:val="none" w:sz="0" w:space="0" w:color="auto"/>
            <w:left w:val="none" w:sz="0" w:space="0" w:color="auto"/>
            <w:bottom w:val="none" w:sz="0" w:space="0" w:color="auto"/>
            <w:right w:val="none" w:sz="0" w:space="0" w:color="auto"/>
          </w:divBdr>
        </w:div>
        <w:div w:id="825631014">
          <w:marLeft w:val="0"/>
          <w:marRight w:val="0"/>
          <w:marTop w:val="0"/>
          <w:marBottom w:val="0"/>
          <w:divBdr>
            <w:top w:val="none" w:sz="0" w:space="0" w:color="auto"/>
            <w:left w:val="none" w:sz="0" w:space="0" w:color="auto"/>
            <w:bottom w:val="none" w:sz="0" w:space="0" w:color="auto"/>
            <w:right w:val="none" w:sz="0" w:space="0" w:color="auto"/>
          </w:divBdr>
        </w:div>
        <w:div w:id="841624366">
          <w:marLeft w:val="0"/>
          <w:marRight w:val="0"/>
          <w:marTop w:val="0"/>
          <w:marBottom w:val="0"/>
          <w:divBdr>
            <w:top w:val="none" w:sz="0" w:space="0" w:color="auto"/>
            <w:left w:val="none" w:sz="0" w:space="0" w:color="auto"/>
            <w:bottom w:val="none" w:sz="0" w:space="0" w:color="auto"/>
            <w:right w:val="none" w:sz="0" w:space="0" w:color="auto"/>
          </w:divBdr>
        </w:div>
        <w:div w:id="857504599">
          <w:marLeft w:val="0"/>
          <w:marRight w:val="0"/>
          <w:marTop w:val="0"/>
          <w:marBottom w:val="0"/>
          <w:divBdr>
            <w:top w:val="none" w:sz="0" w:space="0" w:color="auto"/>
            <w:left w:val="none" w:sz="0" w:space="0" w:color="auto"/>
            <w:bottom w:val="none" w:sz="0" w:space="0" w:color="auto"/>
            <w:right w:val="none" w:sz="0" w:space="0" w:color="auto"/>
          </w:divBdr>
        </w:div>
        <w:div w:id="858662730">
          <w:marLeft w:val="0"/>
          <w:marRight w:val="0"/>
          <w:marTop w:val="0"/>
          <w:marBottom w:val="0"/>
          <w:divBdr>
            <w:top w:val="none" w:sz="0" w:space="0" w:color="auto"/>
            <w:left w:val="none" w:sz="0" w:space="0" w:color="auto"/>
            <w:bottom w:val="none" w:sz="0" w:space="0" w:color="auto"/>
            <w:right w:val="none" w:sz="0" w:space="0" w:color="auto"/>
          </w:divBdr>
        </w:div>
        <w:div w:id="862208949">
          <w:marLeft w:val="0"/>
          <w:marRight w:val="0"/>
          <w:marTop w:val="0"/>
          <w:marBottom w:val="0"/>
          <w:divBdr>
            <w:top w:val="none" w:sz="0" w:space="0" w:color="auto"/>
            <w:left w:val="none" w:sz="0" w:space="0" w:color="auto"/>
            <w:bottom w:val="none" w:sz="0" w:space="0" w:color="auto"/>
            <w:right w:val="none" w:sz="0" w:space="0" w:color="auto"/>
          </w:divBdr>
        </w:div>
        <w:div w:id="881793642">
          <w:marLeft w:val="0"/>
          <w:marRight w:val="0"/>
          <w:marTop w:val="0"/>
          <w:marBottom w:val="0"/>
          <w:divBdr>
            <w:top w:val="none" w:sz="0" w:space="0" w:color="auto"/>
            <w:left w:val="none" w:sz="0" w:space="0" w:color="auto"/>
            <w:bottom w:val="none" w:sz="0" w:space="0" w:color="auto"/>
            <w:right w:val="none" w:sz="0" w:space="0" w:color="auto"/>
          </w:divBdr>
        </w:div>
        <w:div w:id="882135959">
          <w:marLeft w:val="0"/>
          <w:marRight w:val="0"/>
          <w:marTop w:val="0"/>
          <w:marBottom w:val="0"/>
          <w:divBdr>
            <w:top w:val="none" w:sz="0" w:space="0" w:color="auto"/>
            <w:left w:val="none" w:sz="0" w:space="0" w:color="auto"/>
            <w:bottom w:val="none" w:sz="0" w:space="0" w:color="auto"/>
            <w:right w:val="none" w:sz="0" w:space="0" w:color="auto"/>
          </w:divBdr>
        </w:div>
        <w:div w:id="890656579">
          <w:marLeft w:val="0"/>
          <w:marRight w:val="0"/>
          <w:marTop w:val="0"/>
          <w:marBottom w:val="0"/>
          <w:divBdr>
            <w:top w:val="none" w:sz="0" w:space="0" w:color="auto"/>
            <w:left w:val="none" w:sz="0" w:space="0" w:color="auto"/>
            <w:bottom w:val="none" w:sz="0" w:space="0" w:color="auto"/>
            <w:right w:val="none" w:sz="0" w:space="0" w:color="auto"/>
          </w:divBdr>
        </w:div>
        <w:div w:id="898125811">
          <w:marLeft w:val="0"/>
          <w:marRight w:val="0"/>
          <w:marTop w:val="0"/>
          <w:marBottom w:val="0"/>
          <w:divBdr>
            <w:top w:val="none" w:sz="0" w:space="0" w:color="auto"/>
            <w:left w:val="none" w:sz="0" w:space="0" w:color="auto"/>
            <w:bottom w:val="none" w:sz="0" w:space="0" w:color="auto"/>
            <w:right w:val="none" w:sz="0" w:space="0" w:color="auto"/>
          </w:divBdr>
        </w:div>
        <w:div w:id="933511448">
          <w:marLeft w:val="0"/>
          <w:marRight w:val="0"/>
          <w:marTop w:val="0"/>
          <w:marBottom w:val="0"/>
          <w:divBdr>
            <w:top w:val="none" w:sz="0" w:space="0" w:color="auto"/>
            <w:left w:val="none" w:sz="0" w:space="0" w:color="auto"/>
            <w:bottom w:val="none" w:sz="0" w:space="0" w:color="auto"/>
            <w:right w:val="none" w:sz="0" w:space="0" w:color="auto"/>
          </w:divBdr>
        </w:div>
        <w:div w:id="943344506">
          <w:marLeft w:val="0"/>
          <w:marRight w:val="0"/>
          <w:marTop w:val="0"/>
          <w:marBottom w:val="0"/>
          <w:divBdr>
            <w:top w:val="none" w:sz="0" w:space="0" w:color="auto"/>
            <w:left w:val="none" w:sz="0" w:space="0" w:color="auto"/>
            <w:bottom w:val="none" w:sz="0" w:space="0" w:color="auto"/>
            <w:right w:val="none" w:sz="0" w:space="0" w:color="auto"/>
          </w:divBdr>
        </w:div>
        <w:div w:id="968364817">
          <w:marLeft w:val="0"/>
          <w:marRight w:val="0"/>
          <w:marTop w:val="0"/>
          <w:marBottom w:val="0"/>
          <w:divBdr>
            <w:top w:val="none" w:sz="0" w:space="0" w:color="auto"/>
            <w:left w:val="none" w:sz="0" w:space="0" w:color="auto"/>
            <w:bottom w:val="none" w:sz="0" w:space="0" w:color="auto"/>
            <w:right w:val="none" w:sz="0" w:space="0" w:color="auto"/>
          </w:divBdr>
        </w:div>
        <w:div w:id="969356843">
          <w:marLeft w:val="0"/>
          <w:marRight w:val="0"/>
          <w:marTop w:val="0"/>
          <w:marBottom w:val="0"/>
          <w:divBdr>
            <w:top w:val="none" w:sz="0" w:space="0" w:color="auto"/>
            <w:left w:val="none" w:sz="0" w:space="0" w:color="auto"/>
            <w:bottom w:val="none" w:sz="0" w:space="0" w:color="auto"/>
            <w:right w:val="none" w:sz="0" w:space="0" w:color="auto"/>
          </w:divBdr>
        </w:div>
        <w:div w:id="977102666">
          <w:marLeft w:val="0"/>
          <w:marRight w:val="0"/>
          <w:marTop w:val="0"/>
          <w:marBottom w:val="0"/>
          <w:divBdr>
            <w:top w:val="none" w:sz="0" w:space="0" w:color="auto"/>
            <w:left w:val="none" w:sz="0" w:space="0" w:color="auto"/>
            <w:bottom w:val="none" w:sz="0" w:space="0" w:color="auto"/>
            <w:right w:val="none" w:sz="0" w:space="0" w:color="auto"/>
          </w:divBdr>
        </w:div>
        <w:div w:id="985204798">
          <w:marLeft w:val="0"/>
          <w:marRight w:val="0"/>
          <w:marTop w:val="0"/>
          <w:marBottom w:val="0"/>
          <w:divBdr>
            <w:top w:val="none" w:sz="0" w:space="0" w:color="auto"/>
            <w:left w:val="none" w:sz="0" w:space="0" w:color="auto"/>
            <w:bottom w:val="none" w:sz="0" w:space="0" w:color="auto"/>
            <w:right w:val="none" w:sz="0" w:space="0" w:color="auto"/>
          </w:divBdr>
        </w:div>
        <w:div w:id="996802991">
          <w:marLeft w:val="0"/>
          <w:marRight w:val="0"/>
          <w:marTop w:val="0"/>
          <w:marBottom w:val="0"/>
          <w:divBdr>
            <w:top w:val="none" w:sz="0" w:space="0" w:color="auto"/>
            <w:left w:val="none" w:sz="0" w:space="0" w:color="auto"/>
            <w:bottom w:val="none" w:sz="0" w:space="0" w:color="auto"/>
            <w:right w:val="none" w:sz="0" w:space="0" w:color="auto"/>
          </w:divBdr>
        </w:div>
        <w:div w:id="1001273514">
          <w:marLeft w:val="0"/>
          <w:marRight w:val="0"/>
          <w:marTop w:val="0"/>
          <w:marBottom w:val="0"/>
          <w:divBdr>
            <w:top w:val="none" w:sz="0" w:space="0" w:color="auto"/>
            <w:left w:val="none" w:sz="0" w:space="0" w:color="auto"/>
            <w:bottom w:val="none" w:sz="0" w:space="0" w:color="auto"/>
            <w:right w:val="none" w:sz="0" w:space="0" w:color="auto"/>
          </w:divBdr>
        </w:div>
        <w:div w:id="1008826921">
          <w:marLeft w:val="0"/>
          <w:marRight w:val="0"/>
          <w:marTop w:val="0"/>
          <w:marBottom w:val="0"/>
          <w:divBdr>
            <w:top w:val="none" w:sz="0" w:space="0" w:color="auto"/>
            <w:left w:val="none" w:sz="0" w:space="0" w:color="auto"/>
            <w:bottom w:val="none" w:sz="0" w:space="0" w:color="auto"/>
            <w:right w:val="none" w:sz="0" w:space="0" w:color="auto"/>
          </w:divBdr>
        </w:div>
        <w:div w:id="1040864027">
          <w:marLeft w:val="0"/>
          <w:marRight w:val="0"/>
          <w:marTop w:val="0"/>
          <w:marBottom w:val="0"/>
          <w:divBdr>
            <w:top w:val="none" w:sz="0" w:space="0" w:color="auto"/>
            <w:left w:val="none" w:sz="0" w:space="0" w:color="auto"/>
            <w:bottom w:val="none" w:sz="0" w:space="0" w:color="auto"/>
            <w:right w:val="none" w:sz="0" w:space="0" w:color="auto"/>
          </w:divBdr>
        </w:div>
        <w:div w:id="1071346140">
          <w:marLeft w:val="0"/>
          <w:marRight w:val="0"/>
          <w:marTop w:val="0"/>
          <w:marBottom w:val="0"/>
          <w:divBdr>
            <w:top w:val="none" w:sz="0" w:space="0" w:color="auto"/>
            <w:left w:val="none" w:sz="0" w:space="0" w:color="auto"/>
            <w:bottom w:val="none" w:sz="0" w:space="0" w:color="auto"/>
            <w:right w:val="none" w:sz="0" w:space="0" w:color="auto"/>
          </w:divBdr>
        </w:div>
        <w:div w:id="1073624450">
          <w:marLeft w:val="0"/>
          <w:marRight w:val="0"/>
          <w:marTop w:val="0"/>
          <w:marBottom w:val="0"/>
          <w:divBdr>
            <w:top w:val="none" w:sz="0" w:space="0" w:color="auto"/>
            <w:left w:val="none" w:sz="0" w:space="0" w:color="auto"/>
            <w:bottom w:val="none" w:sz="0" w:space="0" w:color="auto"/>
            <w:right w:val="none" w:sz="0" w:space="0" w:color="auto"/>
          </w:divBdr>
        </w:div>
        <w:div w:id="1099370045">
          <w:marLeft w:val="0"/>
          <w:marRight w:val="0"/>
          <w:marTop w:val="0"/>
          <w:marBottom w:val="0"/>
          <w:divBdr>
            <w:top w:val="none" w:sz="0" w:space="0" w:color="auto"/>
            <w:left w:val="none" w:sz="0" w:space="0" w:color="auto"/>
            <w:bottom w:val="none" w:sz="0" w:space="0" w:color="auto"/>
            <w:right w:val="none" w:sz="0" w:space="0" w:color="auto"/>
          </w:divBdr>
        </w:div>
        <w:div w:id="1099831435">
          <w:marLeft w:val="0"/>
          <w:marRight w:val="0"/>
          <w:marTop w:val="0"/>
          <w:marBottom w:val="0"/>
          <w:divBdr>
            <w:top w:val="none" w:sz="0" w:space="0" w:color="auto"/>
            <w:left w:val="none" w:sz="0" w:space="0" w:color="auto"/>
            <w:bottom w:val="none" w:sz="0" w:space="0" w:color="auto"/>
            <w:right w:val="none" w:sz="0" w:space="0" w:color="auto"/>
          </w:divBdr>
        </w:div>
        <w:div w:id="1103918958">
          <w:marLeft w:val="0"/>
          <w:marRight w:val="0"/>
          <w:marTop w:val="0"/>
          <w:marBottom w:val="0"/>
          <w:divBdr>
            <w:top w:val="none" w:sz="0" w:space="0" w:color="auto"/>
            <w:left w:val="none" w:sz="0" w:space="0" w:color="auto"/>
            <w:bottom w:val="none" w:sz="0" w:space="0" w:color="auto"/>
            <w:right w:val="none" w:sz="0" w:space="0" w:color="auto"/>
          </w:divBdr>
        </w:div>
        <w:div w:id="1117523497">
          <w:marLeft w:val="0"/>
          <w:marRight w:val="0"/>
          <w:marTop w:val="0"/>
          <w:marBottom w:val="0"/>
          <w:divBdr>
            <w:top w:val="none" w:sz="0" w:space="0" w:color="auto"/>
            <w:left w:val="none" w:sz="0" w:space="0" w:color="auto"/>
            <w:bottom w:val="none" w:sz="0" w:space="0" w:color="auto"/>
            <w:right w:val="none" w:sz="0" w:space="0" w:color="auto"/>
          </w:divBdr>
        </w:div>
        <w:div w:id="1133716215">
          <w:marLeft w:val="0"/>
          <w:marRight w:val="0"/>
          <w:marTop w:val="0"/>
          <w:marBottom w:val="0"/>
          <w:divBdr>
            <w:top w:val="none" w:sz="0" w:space="0" w:color="auto"/>
            <w:left w:val="none" w:sz="0" w:space="0" w:color="auto"/>
            <w:bottom w:val="none" w:sz="0" w:space="0" w:color="auto"/>
            <w:right w:val="none" w:sz="0" w:space="0" w:color="auto"/>
          </w:divBdr>
        </w:div>
        <w:div w:id="1135224384">
          <w:marLeft w:val="0"/>
          <w:marRight w:val="0"/>
          <w:marTop w:val="0"/>
          <w:marBottom w:val="0"/>
          <w:divBdr>
            <w:top w:val="none" w:sz="0" w:space="0" w:color="auto"/>
            <w:left w:val="none" w:sz="0" w:space="0" w:color="auto"/>
            <w:bottom w:val="none" w:sz="0" w:space="0" w:color="auto"/>
            <w:right w:val="none" w:sz="0" w:space="0" w:color="auto"/>
          </w:divBdr>
        </w:div>
        <w:div w:id="1136331952">
          <w:marLeft w:val="0"/>
          <w:marRight w:val="0"/>
          <w:marTop w:val="0"/>
          <w:marBottom w:val="0"/>
          <w:divBdr>
            <w:top w:val="none" w:sz="0" w:space="0" w:color="auto"/>
            <w:left w:val="none" w:sz="0" w:space="0" w:color="auto"/>
            <w:bottom w:val="none" w:sz="0" w:space="0" w:color="auto"/>
            <w:right w:val="none" w:sz="0" w:space="0" w:color="auto"/>
          </w:divBdr>
        </w:div>
        <w:div w:id="1141657390">
          <w:marLeft w:val="0"/>
          <w:marRight w:val="0"/>
          <w:marTop w:val="0"/>
          <w:marBottom w:val="0"/>
          <w:divBdr>
            <w:top w:val="none" w:sz="0" w:space="0" w:color="auto"/>
            <w:left w:val="none" w:sz="0" w:space="0" w:color="auto"/>
            <w:bottom w:val="none" w:sz="0" w:space="0" w:color="auto"/>
            <w:right w:val="none" w:sz="0" w:space="0" w:color="auto"/>
          </w:divBdr>
        </w:div>
        <w:div w:id="1142427209">
          <w:marLeft w:val="0"/>
          <w:marRight w:val="0"/>
          <w:marTop w:val="0"/>
          <w:marBottom w:val="0"/>
          <w:divBdr>
            <w:top w:val="none" w:sz="0" w:space="0" w:color="auto"/>
            <w:left w:val="none" w:sz="0" w:space="0" w:color="auto"/>
            <w:bottom w:val="none" w:sz="0" w:space="0" w:color="auto"/>
            <w:right w:val="none" w:sz="0" w:space="0" w:color="auto"/>
          </w:divBdr>
        </w:div>
        <w:div w:id="1155606185">
          <w:marLeft w:val="0"/>
          <w:marRight w:val="0"/>
          <w:marTop w:val="0"/>
          <w:marBottom w:val="0"/>
          <w:divBdr>
            <w:top w:val="none" w:sz="0" w:space="0" w:color="auto"/>
            <w:left w:val="none" w:sz="0" w:space="0" w:color="auto"/>
            <w:bottom w:val="none" w:sz="0" w:space="0" w:color="auto"/>
            <w:right w:val="none" w:sz="0" w:space="0" w:color="auto"/>
          </w:divBdr>
        </w:div>
        <w:div w:id="1156919204">
          <w:marLeft w:val="0"/>
          <w:marRight w:val="0"/>
          <w:marTop w:val="0"/>
          <w:marBottom w:val="0"/>
          <w:divBdr>
            <w:top w:val="none" w:sz="0" w:space="0" w:color="auto"/>
            <w:left w:val="none" w:sz="0" w:space="0" w:color="auto"/>
            <w:bottom w:val="none" w:sz="0" w:space="0" w:color="auto"/>
            <w:right w:val="none" w:sz="0" w:space="0" w:color="auto"/>
          </w:divBdr>
        </w:div>
        <w:div w:id="1160656357">
          <w:marLeft w:val="0"/>
          <w:marRight w:val="0"/>
          <w:marTop w:val="0"/>
          <w:marBottom w:val="0"/>
          <w:divBdr>
            <w:top w:val="none" w:sz="0" w:space="0" w:color="auto"/>
            <w:left w:val="none" w:sz="0" w:space="0" w:color="auto"/>
            <w:bottom w:val="none" w:sz="0" w:space="0" w:color="auto"/>
            <w:right w:val="none" w:sz="0" w:space="0" w:color="auto"/>
          </w:divBdr>
        </w:div>
        <w:div w:id="1169253221">
          <w:marLeft w:val="0"/>
          <w:marRight w:val="0"/>
          <w:marTop w:val="0"/>
          <w:marBottom w:val="0"/>
          <w:divBdr>
            <w:top w:val="none" w:sz="0" w:space="0" w:color="auto"/>
            <w:left w:val="none" w:sz="0" w:space="0" w:color="auto"/>
            <w:bottom w:val="none" w:sz="0" w:space="0" w:color="auto"/>
            <w:right w:val="none" w:sz="0" w:space="0" w:color="auto"/>
          </w:divBdr>
        </w:div>
        <w:div w:id="1169558316">
          <w:marLeft w:val="0"/>
          <w:marRight w:val="0"/>
          <w:marTop w:val="0"/>
          <w:marBottom w:val="0"/>
          <w:divBdr>
            <w:top w:val="none" w:sz="0" w:space="0" w:color="auto"/>
            <w:left w:val="none" w:sz="0" w:space="0" w:color="auto"/>
            <w:bottom w:val="none" w:sz="0" w:space="0" w:color="auto"/>
            <w:right w:val="none" w:sz="0" w:space="0" w:color="auto"/>
          </w:divBdr>
        </w:div>
        <w:div w:id="1190996494">
          <w:marLeft w:val="0"/>
          <w:marRight w:val="0"/>
          <w:marTop w:val="0"/>
          <w:marBottom w:val="0"/>
          <w:divBdr>
            <w:top w:val="none" w:sz="0" w:space="0" w:color="auto"/>
            <w:left w:val="none" w:sz="0" w:space="0" w:color="auto"/>
            <w:bottom w:val="none" w:sz="0" w:space="0" w:color="auto"/>
            <w:right w:val="none" w:sz="0" w:space="0" w:color="auto"/>
          </w:divBdr>
        </w:div>
        <w:div w:id="1193106939">
          <w:marLeft w:val="0"/>
          <w:marRight w:val="0"/>
          <w:marTop w:val="0"/>
          <w:marBottom w:val="0"/>
          <w:divBdr>
            <w:top w:val="none" w:sz="0" w:space="0" w:color="auto"/>
            <w:left w:val="none" w:sz="0" w:space="0" w:color="auto"/>
            <w:bottom w:val="none" w:sz="0" w:space="0" w:color="auto"/>
            <w:right w:val="none" w:sz="0" w:space="0" w:color="auto"/>
          </w:divBdr>
        </w:div>
        <w:div w:id="1194920669">
          <w:marLeft w:val="0"/>
          <w:marRight w:val="0"/>
          <w:marTop w:val="0"/>
          <w:marBottom w:val="0"/>
          <w:divBdr>
            <w:top w:val="none" w:sz="0" w:space="0" w:color="auto"/>
            <w:left w:val="none" w:sz="0" w:space="0" w:color="auto"/>
            <w:bottom w:val="none" w:sz="0" w:space="0" w:color="auto"/>
            <w:right w:val="none" w:sz="0" w:space="0" w:color="auto"/>
          </w:divBdr>
        </w:div>
        <w:div w:id="1206942368">
          <w:marLeft w:val="0"/>
          <w:marRight w:val="0"/>
          <w:marTop w:val="0"/>
          <w:marBottom w:val="0"/>
          <w:divBdr>
            <w:top w:val="none" w:sz="0" w:space="0" w:color="auto"/>
            <w:left w:val="none" w:sz="0" w:space="0" w:color="auto"/>
            <w:bottom w:val="none" w:sz="0" w:space="0" w:color="auto"/>
            <w:right w:val="none" w:sz="0" w:space="0" w:color="auto"/>
          </w:divBdr>
        </w:div>
        <w:div w:id="1212115792">
          <w:marLeft w:val="0"/>
          <w:marRight w:val="0"/>
          <w:marTop w:val="0"/>
          <w:marBottom w:val="0"/>
          <w:divBdr>
            <w:top w:val="none" w:sz="0" w:space="0" w:color="auto"/>
            <w:left w:val="none" w:sz="0" w:space="0" w:color="auto"/>
            <w:bottom w:val="none" w:sz="0" w:space="0" w:color="auto"/>
            <w:right w:val="none" w:sz="0" w:space="0" w:color="auto"/>
          </w:divBdr>
        </w:div>
        <w:div w:id="1216813081">
          <w:marLeft w:val="0"/>
          <w:marRight w:val="0"/>
          <w:marTop w:val="0"/>
          <w:marBottom w:val="0"/>
          <w:divBdr>
            <w:top w:val="none" w:sz="0" w:space="0" w:color="auto"/>
            <w:left w:val="none" w:sz="0" w:space="0" w:color="auto"/>
            <w:bottom w:val="none" w:sz="0" w:space="0" w:color="auto"/>
            <w:right w:val="none" w:sz="0" w:space="0" w:color="auto"/>
          </w:divBdr>
        </w:div>
        <w:div w:id="1227450696">
          <w:marLeft w:val="0"/>
          <w:marRight w:val="0"/>
          <w:marTop w:val="0"/>
          <w:marBottom w:val="0"/>
          <w:divBdr>
            <w:top w:val="none" w:sz="0" w:space="0" w:color="auto"/>
            <w:left w:val="none" w:sz="0" w:space="0" w:color="auto"/>
            <w:bottom w:val="none" w:sz="0" w:space="0" w:color="auto"/>
            <w:right w:val="none" w:sz="0" w:space="0" w:color="auto"/>
          </w:divBdr>
        </w:div>
        <w:div w:id="1227956857">
          <w:marLeft w:val="0"/>
          <w:marRight w:val="0"/>
          <w:marTop w:val="0"/>
          <w:marBottom w:val="0"/>
          <w:divBdr>
            <w:top w:val="none" w:sz="0" w:space="0" w:color="auto"/>
            <w:left w:val="none" w:sz="0" w:space="0" w:color="auto"/>
            <w:bottom w:val="none" w:sz="0" w:space="0" w:color="auto"/>
            <w:right w:val="none" w:sz="0" w:space="0" w:color="auto"/>
          </w:divBdr>
        </w:div>
        <w:div w:id="1263297941">
          <w:marLeft w:val="0"/>
          <w:marRight w:val="0"/>
          <w:marTop w:val="0"/>
          <w:marBottom w:val="0"/>
          <w:divBdr>
            <w:top w:val="none" w:sz="0" w:space="0" w:color="auto"/>
            <w:left w:val="none" w:sz="0" w:space="0" w:color="auto"/>
            <w:bottom w:val="none" w:sz="0" w:space="0" w:color="auto"/>
            <w:right w:val="none" w:sz="0" w:space="0" w:color="auto"/>
          </w:divBdr>
        </w:div>
        <w:div w:id="1267080551">
          <w:marLeft w:val="0"/>
          <w:marRight w:val="0"/>
          <w:marTop w:val="0"/>
          <w:marBottom w:val="0"/>
          <w:divBdr>
            <w:top w:val="none" w:sz="0" w:space="0" w:color="auto"/>
            <w:left w:val="none" w:sz="0" w:space="0" w:color="auto"/>
            <w:bottom w:val="none" w:sz="0" w:space="0" w:color="auto"/>
            <w:right w:val="none" w:sz="0" w:space="0" w:color="auto"/>
          </w:divBdr>
        </w:div>
        <w:div w:id="1270964849">
          <w:marLeft w:val="0"/>
          <w:marRight w:val="0"/>
          <w:marTop w:val="0"/>
          <w:marBottom w:val="0"/>
          <w:divBdr>
            <w:top w:val="none" w:sz="0" w:space="0" w:color="auto"/>
            <w:left w:val="none" w:sz="0" w:space="0" w:color="auto"/>
            <w:bottom w:val="none" w:sz="0" w:space="0" w:color="auto"/>
            <w:right w:val="none" w:sz="0" w:space="0" w:color="auto"/>
          </w:divBdr>
        </w:div>
        <w:div w:id="1362433854">
          <w:marLeft w:val="0"/>
          <w:marRight w:val="0"/>
          <w:marTop w:val="0"/>
          <w:marBottom w:val="0"/>
          <w:divBdr>
            <w:top w:val="none" w:sz="0" w:space="0" w:color="auto"/>
            <w:left w:val="none" w:sz="0" w:space="0" w:color="auto"/>
            <w:bottom w:val="none" w:sz="0" w:space="0" w:color="auto"/>
            <w:right w:val="none" w:sz="0" w:space="0" w:color="auto"/>
          </w:divBdr>
        </w:div>
        <w:div w:id="1371150979">
          <w:marLeft w:val="0"/>
          <w:marRight w:val="0"/>
          <w:marTop w:val="0"/>
          <w:marBottom w:val="0"/>
          <w:divBdr>
            <w:top w:val="none" w:sz="0" w:space="0" w:color="auto"/>
            <w:left w:val="none" w:sz="0" w:space="0" w:color="auto"/>
            <w:bottom w:val="none" w:sz="0" w:space="0" w:color="auto"/>
            <w:right w:val="none" w:sz="0" w:space="0" w:color="auto"/>
          </w:divBdr>
        </w:div>
        <w:div w:id="1385178368">
          <w:marLeft w:val="0"/>
          <w:marRight w:val="0"/>
          <w:marTop w:val="0"/>
          <w:marBottom w:val="0"/>
          <w:divBdr>
            <w:top w:val="none" w:sz="0" w:space="0" w:color="auto"/>
            <w:left w:val="none" w:sz="0" w:space="0" w:color="auto"/>
            <w:bottom w:val="none" w:sz="0" w:space="0" w:color="auto"/>
            <w:right w:val="none" w:sz="0" w:space="0" w:color="auto"/>
          </w:divBdr>
        </w:div>
        <w:div w:id="1403260275">
          <w:marLeft w:val="0"/>
          <w:marRight w:val="0"/>
          <w:marTop w:val="0"/>
          <w:marBottom w:val="0"/>
          <w:divBdr>
            <w:top w:val="none" w:sz="0" w:space="0" w:color="auto"/>
            <w:left w:val="none" w:sz="0" w:space="0" w:color="auto"/>
            <w:bottom w:val="none" w:sz="0" w:space="0" w:color="auto"/>
            <w:right w:val="none" w:sz="0" w:space="0" w:color="auto"/>
          </w:divBdr>
        </w:div>
        <w:div w:id="1404644702">
          <w:marLeft w:val="0"/>
          <w:marRight w:val="0"/>
          <w:marTop w:val="0"/>
          <w:marBottom w:val="0"/>
          <w:divBdr>
            <w:top w:val="none" w:sz="0" w:space="0" w:color="auto"/>
            <w:left w:val="none" w:sz="0" w:space="0" w:color="auto"/>
            <w:bottom w:val="none" w:sz="0" w:space="0" w:color="auto"/>
            <w:right w:val="none" w:sz="0" w:space="0" w:color="auto"/>
          </w:divBdr>
        </w:div>
        <w:div w:id="1419669091">
          <w:marLeft w:val="0"/>
          <w:marRight w:val="0"/>
          <w:marTop w:val="0"/>
          <w:marBottom w:val="0"/>
          <w:divBdr>
            <w:top w:val="none" w:sz="0" w:space="0" w:color="auto"/>
            <w:left w:val="none" w:sz="0" w:space="0" w:color="auto"/>
            <w:bottom w:val="none" w:sz="0" w:space="0" w:color="auto"/>
            <w:right w:val="none" w:sz="0" w:space="0" w:color="auto"/>
          </w:divBdr>
        </w:div>
        <w:div w:id="1423725193">
          <w:marLeft w:val="0"/>
          <w:marRight w:val="0"/>
          <w:marTop w:val="0"/>
          <w:marBottom w:val="0"/>
          <w:divBdr>
            <w:top w:val="none" w:sz="0" w:space="0" w:color="auto"/>
            <w:left w:val="none" w:sz="0" w:space="0" w:color="auto"/>
            <w:bottom w:val="none" w:sz="0" w:space="0" w:color="auto"/>
            <w:right w:val="none" w:sz="0" w:space="0" w:color="auto"/>
          </w:divBdr>
        </w:div>
        <w:div w:id="1442142414">
          <w:marLeft w:val="0"/>
          <w:marRight w:val="0"/>
          <w:marTop w:val="0"/>
          <w:marBottom w:val="0"/>
          <w:divBdr>
            <w:top w:val="none" w:sz="0" w:space="0" w:color="auto"/>
            <w:left w:val="none" w:sz="0" w:space="0" w:color="auto"/>
            <w:bottom w:val="none" w:sz="0" w:space="0" w:color="auto"/>
            <w:right w:val="none" w:sz="0" w:space="0" w:color="auto"/>
          </w:divBdr>
        </w:div>
        <w:div w:id="1443037670">
          <w:marLeft w:val="0"/>
          <w:marRight w:val="0"/>
          <w:marTop w:val="0"/>
          <w:marBottom w:val="0"/>
          <w:divBdr>
            <w:top w:val="none" w:sz="0" w:space="0" w:color="auto"/>
            <w:left w:val="none" w:sz="0" w:space="0" w:color="auto"/>
            <w:bottom w:val="none" w:sz="0" w:space="0" w:color="auto"/>
            <w:right w:val="none" w:sz="0" w:space="0" w:color="auto"/>
          </w:divBdr>
        </w:div>
        <w:div w:id="1454667006">
          <w:marLeft w:val="0"/>
          <w:marRight w:val="0"/>
          <w:marTop w:val="0"/>
          <w:marBottom w:val="0"/>
          <w:divBdr>
            <w:top w:val="none" w:sz="0" w:space="0" w:color="auto"/>
            <w:left w:val="none" w:sz="0" w:space="0" w:color="auto"/>
            <w:bottom w:val="none" w:sz="0" w:space="0" w:color="auto"/>
            <w:right w:val="none" w:sz="0" w:space="0" w:color="auto"/>
          </w:divBdr>
        </w:div>
        <w:div w:id="1459028014">
          <w:marLeft w:val="0"/>
          <w:marRight w:val="0"/>
          <w:marTop w:val="0"/>
          <w:marBottom w:val="0"/>
          <w:divBdr>
            <w:top w:val="none" w:sz="0" w:space="0" w:color="auto"/>
            <w:left w:val="none" w:sz="0" w:space="0" w:color="auto"/>
            <w:bottom w:val="none" w:sz="0" w:space="0" w:color="auto"/>
            <w:right w:val="none" w:sz="0" w:space="0" w:color="auto"/>
          </w:divBdr>
        </w:div>
        <w:div w:id="1490442819">
          <w:marLeft w:val="0"/>
          <w:marRight w:val="0"/>
          <w:marTop w:val="0"/>
          <w:marBottom w:val="0"/>
          <w:divBdr>
            <w:top w:val="none" w:sz="0" w:space="0" w:color="auto"/>
            <w:left w:val="none" w:sz="0" w:space="0" w:color="auto"/>
            <w:bottom w:val="none" w:sz="0" w:space="0" w:color="auto"/>
            <w:right w:val="none" w:sz="0" w:space="0" w:color="auto"/>
          </w:divBdr>
        </w:div>
        <w:div w:id="1541167138">
          <w:marLeft w:val="0"/>
          <w:marRight w:val="0"/>
          <w:marTop w:val="0"/>
          <w:marBottom w:val="0"/>
          <w:divBdr>
            <w:top w:val="none" w:sz="0" w:space="0" w:color="auto"/>
            <w:left w:val="none" w:sz="0" w:space="0" w:color="auto"/>
            <w:bottom w:val="none" w:sz="0" w:space="0" w:color="auto"/>
            <w:right w:val="none" w:sz="0" w:space="0" w:color="auto"/>
          </w:divBdr>
        </w:div>
        <w:div w:id="1553275714">
          <w:marLeft w:val="0"/>
          <w:marRight w:val="0"/>
          <w:marTop w:val="0"/>
          <w:marBottom w:val="0"/>
          <w:divBdr>
            <w:top w:val="none" w:sz="0" w:space="0" w:color="auto"/>
            <w:left w:val="none" w:sz="0" w:space="0" w:color="auto"/>
            <w:bottom w:val="none" w:sz="0" w:space="0" w:color="auto"/>
            <w:right w:val="none" w:sz="0" w:space="0" w:color="auto"/>
          </w:divBdr>
        </w:div>
        <w:div w:id="1590889865">
          <w:marLeft w:val="0"/>
          <w:marRight w:val="0"/>
          <w:marTop w:val="0"/>
          <w:marBottom w:val="0"/>
          <w:divBdr>
            <w:top w:val="none" w:sz="0" w:space="0" w:color="auto"/>
            <w:left w:val="none" w:sz="0" w:space="0" w:color="auto"/>
            <w:bottom w:val="none" w:sz="0" w:space="0" w:color="auto"/>
            <w:right w:val="none" w:sz="0" w:space="0" w:color="auto"/>
          </w:divBdr>
        </w:div>
        <w:div w:id="1592204592">
          <w:marLeft w:val="0"/>
          <w:marRight w:val="0"/>
          <w:marTop w:val="0"/>
          <w:marBottom w:val="0"/>
          <w:divBdr>
            <w:top w:val="none" w:sz="0" w:space="0" w:color="auto"/>
            <w:left w:val="none" w:sz="0" w:space="0" w:color="auto"/>
            <w:bottom w:val="none" w:sz="0" w:space="0" w:color="auto"/>
            <w:right w:val="none" w:sz="0" w:space="0" w:color="auto"/>
          </w:divBdr>
        </w:div>
        <w:div w:id="1596935075">
          <w:marLeft w:val="0"/>
          <w:marRight w:val="0"/>
          <w:marTop w:val="0"/>
          <w:marBottom w:val="0"/>
          <w:divBdr>
            <w:top w:val="none" w:sz="0" w:space="0" w:color="auto"/>
            <w:left w:val="none" w:sz="0" w:space="0" w:color="auto"/>
            <w:bottom w:val="none" w:sz="0" w:space="0" w:color="auto"/>
            <w:right w:val="none" w:sz="0" w:space="0" w:color="auto"/>
          </w:divBdr>
        </w:div>
        <w:div w:id="1602177321">
          <w:marLeft w:val="0"/>
          <w:marRight w:val="0"/>
          <w:marTop w:val="0"/>
          <w:marBottom w:val="0"/>
          <w:divBdr>
            <w:top w:val="none" w:sz="0" w:space="0" w:color="auto"/>
            <w:left w:val="none" w:sz="0" w:space="0" w:color="auto"/>
            <w:bottom w:val="none" w:sz="0" w:space="0" w:color="auto"/>
            <w:right w:val="none" w:sz="0" w:space="0" w:color="auto"/>
          </w:divBdr>
        </w:div>
        <w:div w:id="1605728858">
          <w:marLeft w:val="0"/>
          <w:marRight w:val="0"/>
          <w:marTop w:val="0"/>
          <w:marBottom w:val="0"/>
          <w:divBdr>
            <w:top w:val="none" w:sz="0" w:space="0" w:color="auto"/>
            <w:left w:val="none" w:sz="0" w:space="0" w:color="auto"/>
            <w:bottom w:val="none" w:sz="0" w:space="0" w:color="auto"/>
            <w:right w:val="none" w:sz="0" w:space="0" w:color="auto"/>
          </w:divBdr>
        </w:div>
        <w:div w:id="1611352089">
          <w:marLeft w:val="0"/>
          <w:marRight w:val="0"/>
          <w:marTop w:val="0"/>
          <w:marBottom w:val="0"/>
          <w:divBdr>
            <w:top w:val="none" w:sz="0" w:space="0" w:color="auto"/>
            <w:left w:val="none" w:sz="0" w:space="0" w:color="auto"/>
            <w:bottom w:val="none" w:sz="0" w:space="0" w:color="auto"/>
            <w:right w:val="none" w:sz="0" w:space="0" w:color="auto"/>
          </w:divBdr>
        </w:div>
        <w:div w:id="1615403841">
          <w:marLeft w:val="0"/>
          <w:marRight w:val="0"/>
          <w:marTop w:val="0"/>
          <w:marBottom w:val="0"/>
          <w:divBdr>
            <w:top w:val="none" w:sz="0" w:space="0" w:color="auto"/>
            <w:left w:val="none" w:sz="0" w:space="0" w:color="auto"/>
            <w:bottom w:val="none" w:sz="0" w:space="0" w:color="auto"/>
            <w:right w:val="none" w:sz="0" w:space="0" w:color="auto"/>
          </w:divBdr>
        </w:div>
        <w:div w:id="1628007338">
          <w:marLeft w:val="0"/>
          <w:marRight w:val="0"/>
          <w:marTop w:val="0"/>
          <w:marBottom w:val="0"/>
          <w:divBdr>
            <w:top w:val="none" w:sz="0" w:space="0" w:color="auto"/>
            <w:left w:val="none" w:sz="0" w:space="0" w:color="auto"/>
            <w:bottom w:val="none" w:sz="0" w:space="0" w:color="auto"/>
            <w:right w:val="none" w:sz="0" w:space="0" w:color="auto"/>
          </w:divBdr>
        </w:div>
        <w:div w:id="1674801070">
          <w:marLeft w:val="0"/>
          <w:marRight w:val="0"/>
          <w:marTop w:val="0"/>
          <w:marBottom w:val="0"/>
          <w:divBdr>
            <w:top w:val="none" w:sz="0" w:space="0" w:color="auto"/>
            <w:left w:val="none" w:sz="0" w:space="0" w:color="auto"/>
            <w:bottom w:val="none" w:sz="0" w:space="0" w:color="auto"/>
            <w:right w:val="none" w:sz="0" w:space="0" w:color="auto"/>
          </w:divBdr>
        </w:div>
        <w:div w:id="1682077770">
          <w:marLeft w:val="0"/>
          <w:marRight w:val="0"/>
          <w:marTop w:val="0"/>
          <w:marBottom w:val="0"/>
          <w:divBdr>
            <w:top w:val="none" w:sz="0" w:space="0" w:color="auto"/>
            <w:left w:val="none" w:sz="0" w:space="0" w:color="auto"/>
            <w:bottom w:val="none" w:sz="0" w:space="0" w:color="auto"/>
            <w:right w:val="none" w:sz="0" w:space="0" w:color="auto"/>
          </w:divBdr>
        </w:div>
        <w:div w:id="1686203286">
          <w:marLeft w:val="0"/>
          <w:marRight w:val="0"/>
          <w:marTop w:val="0"/>
          <w:marBottom w:val="0"/>
          <w:divBdr>
            <w:top w:val="none" w:sz="0" w:space="0" w:color="auto"/>
            <w:left w:val="none" w:sz="0" w:space="0" w:color="auto"/>
            <w:bottom w:val="none" w:sz="0" w:space="0" w:color="auto"/>
            <w:right w:val="none" w:sz="0" w:space="0" w:color="auto"/>
          </w:divBdr>
        </w:div>
        <w:div w:id="1711219808">
          <w:marLeft w:val="0"/>
          <w:marRight w:val="0"/>
          <w:marTop w:val="0"/>
          <w:marBottom w:val="0"/>
          <w:divBdr>
            <w:top w:val="none" w:sz="0" w:space="0" w:color="auto"/>
            <w:left w:val="none" w:sz="0" w:space="0" w:color="auto"/>
            <w:bottom w:val="none" w:sz="0" w:space="0" w:color="auto"/>
            <w:right w:val="none" w:sz="0" w:space="0" w:color="auto"/>
          </w:divBdr>
        </w:div>
        <w:div w:id="1717116531">
          <w:marLeft w:val="0"/>
          <w:marRight w:val="0"/>
          <w:marTop w:val="0"/>
          <w:marBottom w:val="0"/>
          <w:divBdr>
            <w:top w:val="none" w:sz="0" w:space="0" w:color="auto"/>
            <w:left w:val="none" w:sz="0" w:space="0" w:color="auto"/>
            <w:bottom w:val="none" w:sz="0" w:space="0" w:color="auto"/>
            <w:right w:val="none" w:sz="0" w:space="0" w:color="auto"/>
          </w:divBdr>
        </w:div>
        <w:div w:id="1717849069">
          <w:marLeft w:val="0"/>
          <w:marRight w:val="0"/>
          <w:marTop w:val="0"/>
          <w:marBottom w:val="0"/>
          <w:divBdr>
            <w:top w:val="none" w:sz="0" w:space="0" w:color="auto"/>
            <w:left w:val="none" w:sz="0" w:space="0" w:color="auto"/>
            <w:bottom w:val="none" w:sz="0" w:space="0" w:color="auto"/>
            <w:right w:val="none" w:sz="0" w:space="0" w:color="auto"/>
          </w:divBdr>
        </w:div>
        <w:div w:id="1742676911">
          <w:marLeft w:val="0"/>
          <w:marRight w:val="0"/>
          <w:marTop w:val="0"/>
          <w:marBottom w:val="0"/>
          <w:divBdr>
            <w:top w:val="none" w:sz="0" w:space="0" w:color="auto"/>
            <w:left w:val="none" w:sz="0" w:space="0" w:color="auto"/>
            <w:bottom w:val="none" w:sz="0" w:space="0" w:color="auto"/>
            <w:right w:val="none" w:sz="0" w:space="0" w:color="auto"/>
          </w:divBdr>
        </w:div>
        <w:div w:id="1758211136">
          <w:marLeft w:val="0"/>
          <w:marRight w:val="0"/>
          <w:marTop w:val="0"/>
          <w:marBottom w:val="0"/>
          <w:divBdr>
            <w:top w:val="none" w:sz="0" w:space="0" w:color="auto"/>
            <w:left w:val="none" w:sz="0" w:space="0" w:color="auto"/>
            <w:bottom w:val="none" w:sz="0" w:space="0" w:color="auto"/>
            <w:right w:val="none" w:sz="0" w:space="0" w:color="auto"/>
          </w:divBdr>
        </w:div>
        <w:div w:id="1782258134">
          <w:marLeft w:val="0"/>
          <w:marRight w:val="0"/>
          <w:marTop w:val="0"/>
          <w:marBottom w:val="0"/>
          <w:divBdr>
            <w:top w:val="none" w:sz="0" w:space="0" w:color="auto"/>
            <w:left w:val="none" w:sz="0" w:space="0" w:color="auto"/>
            <w:bottom w:val="none" w:sz="0" w:space="0" w:color="auto"/>
            <w:right w:val="none" w:sz="0" w:space="0" w:color="auto"/>
          </w:divBdr>
        </w:div>
        <w:div w:id="1810171185">
          <w:marLeft w:val="0"/>
          <w:marRight w:val="0"/>
          <w:marTop w:val="0"/>
          <w:marBottom w:val="0"/>
          <w:divBdr>
            <w:top w:val="none" w:sz="0" w:space="0" w:color="auto"/>
            <w:left w:val="none" w:sz="0" w:space="0" w:color="auto"/>
            <w:bottom w:val="none" w:sz="0" w:space="0" w:color="auto"/>
            <w:right w:val="none" w:sz="0" w:space="0" w:color="auto"/>
          </w:divBdr>
        </w:div>
        <w:div w:id="1812088122">
          <w:marLeft w:val="0"/>
          <w:marRight w:val="0"/>
          <w:marTop w:val="0"/>
          <w:marBottom w:val="0"/>
          <w:divBdr>
            <w:top w:val="none" w:sz="0" w:space="0" w:color="auto"/>
            <w:left w:val="none" w:sz="0" w:space="0" w:color="auto"/>
            <w:bottom w:val="none" w:sz="0" w:space="0" w:color="auto"/>
            <w:right w:val="none" w:sz="0" w:space="0" w:color="auto"/>
          </w:divBdr>
        </w:div>
        <w:div w:id="1814180308">
          <w:marLeft w:val="0"/>
          <w:marRight w:val="0"/>
          <w:marTop w:val="0"/>
          <w:marBottom w:val="0"/>
          <w:divBdr>
            <w:top w:val="none" w:sz="0" w:space="0" w:color="auto"/>
            <w:left w:val="none" w:sz="0" w:space="0" w:color="auto"/>
            <w:bottom w:val="none" w:sz="0" w:space="0" w:color="auto"/>
            <w:right w:val="none" w:sz="0" w:space="0" w:color="auto"/>
          </w:divBdr>
        </w:div>
        <w:div w:id="1816752113">
          <w:marLeft w:val="0"/>
          <w:marRight w:val="0"/>
          <w:marTop w:val="0"/>
          <w:marBottom w:val="0"/>
          <w:divBdr>
            <w:top w:val="none" w:sz="0" w:space="0" w:color="auto"/>
            <w:left w:val="none" w:sz="0" w:space="0" w:color="auto"/>
            <w:bottom w:val="none" w:sz="0" w:space="0" w:color="auto"/>
            <w:right w:val="none" w:sz="0" w:space="0" w:color="auto"/>
          </w:divBdr>
        </w:div>
        <w:div w:id="1818035990">
          <w:marLeft w:val="0"/>
          <w:marRight w:val="0"/>
          <w:marTop w:val="0"/>
          <w:marBottom w:val="0"/>
          <w:divBdr>
            <w:top w:val="none" w:sz="0" w:space="0" w:color="auto"/>
            <w:left w:val="none" w:sz="0" w:space="0" w:color="auto"/>
            <w:bottom w:val="none" w:sz="0" w:space="0" w:color="auto"/>
            <w:right w:val="none" w:sz="0" w:space="0" w:color="auto"/>
          </w:divBdr>
        </w:div>
        <w:div w:id="1838500702">
          <w:marLeft w:val="0"/>
          <w:marRight w:val="0"/>
          <w:marTop w:val="0"/>
          <w:marBottom w:val="0"/>
          <w:divBdr>
            <w:top w:val="none" w:sz="0" w:space="0" w:color="auto"/>
            <w:left w:val="none" w:sz="0" w:space="0" w:color="auto"/>
            <w:bottom w:val="none" w:sz="0" w:space="0" w:color="auto"/>
            <w:right w:val="none" w:sz="0" w:space="0" w:color="auto"/>
          </w:divBdr>
        </w:div>
        <w:div w:id="1848641290">
          <w:marLeft w:val="0"/>
          <w:marRight w:val="0"/>
          <w:marTop w:val="0"/>
          <w:marBottom w:val="0"/>
          <w:divBdr>
            <w:top w:val="none" w:sz="0" w:space="0" w:color="auto"/>
            <w:left w:val="none" w:sz="0" w:space="0" w:color="auto"/>
            <w:bottom w:val="none" w:sz="0" w:space="0" w:color="auto"/>
            <w:right w:val="none" w:sz="0" w:space="0" w:color="auto"/>
          </w:divBdr>
        </w:div>
        <w:div w:id="1862158148">
          <w:marLeft w:val="0"/>
          <w:marRight w:val="0"/>
          <w:marTop w:val="0"/>
          <w:marBottom w:val="0"/>
          <w:divBdr>
            <w:top w:val="none" w:sz="0" w:space="0" w:color="auto"/>
            <w:left w:val="none" w:sz="0" w:space="0" w:color="auto"/>
            <w:bottom w:val="none" w:sz="0" w:space="0" w:color="auto"/>
            <w:right w:val="none" w:sz="0" w:space="0" w:color="auto"/>
          </w:divBdr>
        </w:div>
        <w:div w:id="1893928667">
          <w:marLeft w:val="0"/>
          <w:marRight w:val="0"/>
          <w:marTop w:val="0"/>
          <w:marBottom w:val="0"/>
          <w:divBdr>
            <w:top w:val="none" w:sz="0" w:space="0" w:color="auto"/>
            <w:left w:val="none" w:sz="0" w:space="0" w:color="auto"/>
            <w:bottom w:val="none" w:sz="0" w:space="0" w:color="auto"/>
            <w:right w:val="none" w:sz="0" w:space="0" w:color="auto"/>
          </w:divBdr>
        </w:div>
        <w:div w:id="1903055972">
          <w:marLeft w:val="0"/>
          <w:marRight w:val="0"/>
          <w:marTop w:val="0"/>
          <w:marBottom w:val="0"/>
          <w:divBdr>
            <w:top w:val="none" w:sz="0" w:space="0" w:color="auto"/>
            <w:left w:val="none" w:sz="0" w:space="0" w:color="auto"/>
            <w:bottom w:val="none" w:sz="0" w:space="0" w:color="auto"/>
            <w:right w:val="none" w:sz="0" w:space="0" w:color="auto"/>
          </w:divBdr>
        </w:div>
        <w:div w:id="1909654993">
          <w:marLeft w:val="0"/>
          <w:marRight w:val="0"/>
          <w:marTop w:val="0"/>
          <w:marBottom w:val="0"/>
          <w:divBdr>
            <w:top w:val="none" w:sz="0" w:space="0" w:color="auto"/>
            <w:left w:val="none" w:sz="0" w:space="0" w:color="auto"/>
            <w:bottom w:val="none" w:sz="0" w:space="0" w:color="auto"/>
            <w:right w:val="none" w:sz="0" w:space="0" w:color="auto"/>
          </w:divBdr>
        </w:div>
        <w:div w:id="1910113246">
          <w:marLeft w:val="0"/>
          <w:marRight w:val="0"/>
          <w:marTop w:val="0"/>
          <w:marBottom w:val="0"/>
          <w:divBdr>
            <w:top w:val="none" w:sz="0" w:space="0" w:color="auto"/>
            <w:left w:val="none" w:sz="0" w:space="0" w:color="auto"/>
            <w:bottom w:val="none" w:sz="0" w:space="0" w:color="auto"/>
            <w:right w:val="none" w:sz="0" w:space="0" w:color="auto"/>
          </w:divBdr>
        </w:div>
        <w:div w:id="1920864133">
          <w:marLeft w:val="0"/>
          <w:marRight w:val="0"/>
          <w:marTop w:val="0"/>
          <w:marBottom w:val="0"/>
          <w:divBdr>
            <w:top w:val="none" w:sz="0" w:space="0" w:color="auto"/>
            <w:left w:val="none" w:sz="0" w:space="0" w:color="auto"/>
            <w:bottom w:val="none" w:sz="0" w:space="0" w:color="auto"/>
            <w:right w:val="none" w:sz="0" w:space="0" w:color="auto"/>
          </w:divBdr>
        </w:div>
        <w:div w:id="1941790655">
          <w:marLeft w:val="0"/>
          <w:marRight w:val="0"/>
          <w:marTop w:val="0"/>
          <w:marBottom w:val="0"/>
          <w:divBdr>
            <w:top w:val="none" w:sz="0" w:space="0" w:color="auto"/>
            <w:left w:val="none" w:sz="0" w:space="0" w:color="auto"/>
            <w:bottom w:val="none" w:sz="0" w:space="0" w:color="auto"/>
            <w:right w:val="none" w:sz="0" w:space="0" w:color="auto"/>
          </w:divBdr>
        </w:div>
        <w:div w:id="1988508608">
          <w:marLeft w:val="0"/>
          <w:marRight w:val="0"/>
          <w:marTop w:val="0"/>
          <w:marBottom w:val="0"/>
          <w:divBdr>
            <w:top w:val="none" w:sz="0" w:space="0" w:color="auto"/>
            <w:left w:val="none" w:sz="0" w:space="0" w:color="auto"/>
            <w:bottom w:val="none" w:sz="0" w:space="0" w:color="auto"/>
            <w:right w:val="none" w:sz="0" w:space="0" w:color="auto"/>
          </w:divBdr>
        </w:div>
        <w:div w:id="2015449833">
          <w:marLeft w:val="0"/>
          <w:marRight w:val="0"/>
          <w:marTop w:val="0"/>
          <w:marBottom w:val="0"/>
          <w:divBdr>
            <w:top w:val="none" w:sz="0" w:space="0" w:color="auto"/>
            <w:left w:val="none" w:sz="0" w:space="0" w:color="auto"/>
            <w:bottom w:val="none" w:sz="0" w:space="0" w:color="auto"/>
            <w:right w:val="none" w:sz="0" w:space="0" w:color="auto"/>
          </w:divBdr>
        </w:div>
        <w:div w:id="2018382001">
          <w:marLeft w:val="0"/>
          <w:marRight w:val="0"/>
          <w:marTop w:val="0"/>
          <w:marBottom w:val="0"/>
          <w:divBdr>
            <w:top w:val="none" w:sz="0" w:space="0" w:color="auto"/>
            <w:left w:val="none" w:sz="0" w:space="0" w:color="auto"/>
            <w:bottom w:val="none" w:sz="0" w:space="0" w:color="auto"/>
            <w:right w:val="none" w:sz="0" w:space="0" w:color="auto"/>
          </w:divBdr>
        </w:div>
        <w:div w:id="2018723986">
          <w:marLeft w:val="0"/>
          <w:marRight w:val="0"/>
          <w:marTop w:val="0"/>
          <w:marBottom w:val="0"/>
          <w:divBdr>
            <w:top w:val="none" w:sz="0" w:space="0" w:color="auto"/>
            <w:left w:val="none" w:sz="0" w:space="0" w:color="auto"/>
            <w:bottom w:val="none" w:sz="0" w:space="0" w:color="auto"/>
            <w:right w:val="none" w:sz="0" w:space="0" w:color="auto"/>
          </w:divBdr>
        </w:div>
        <w:div w:id="2018993966">
          <w:marLeft w:val="0"/>
          <w:marRight w:val="0"/>
          <w:marTop w:val="0"/>
          <w:marBottom w:val="0"/>
          <w:divBdr>
            <w:top w:val="none" w:sz="0" w:space="0" w:color="auto"/>
            <w:left w:val="none" w:sz="0" w:space="0" w:color="auto"/>
            <w:bottom w:val="none" w:sz="0" w:space="0" w:color="auto"/>
            <w:right w:val="none" w:sz="0" w:space="0" w:color="auto"/>
          </w:divBdr>
        </w:div>
        <w:div w:id="2028673674">
          <w:marLeft w:val="0"/>
          <w:marRight w:val="0"/>
          <w:marTop w:val="0"/>
          <w:marBottom w:val="0"/>
          <w:divBdr>
            <w:top w:val="none" w:sz="0" w:space="0" w:color="auto"/>
            <w:left w:val="none" w:sz="0" w:space="0" w:color="auto"/>
            <w:bottom w:val="none" w:sz="0" w:space="0" w:color="auto"/>
            <w:right w:val="none" w:sz="0" w:space="0" w:color="auto"/>
          </w:divBdr>
        </w:div>
        <w:div w:id="2030135997">
          <w:marLeft w:val="0"/>
          <w:marRight w:val="0"/>
          <w:marTop w:val="0"/>
          <w:marBottom w:val="0"/>
          <w:divBdr>
            <w:top w:val="none" w:sz="0" w:space="0" w:color="auto"/>
            <w:left w:val="none" w:sz="0" w:space="0" w:color="auto"/>
            <w:bottom w:val="none" w:sz="0" w:space="0" w:color="auto"/>
            <w:right w:val="none" w:sz="0" w:space="0" w:color="auto"/>
          </w:divBdr>
        </w:div>
        <w:div w:id="2031106912">
          <w:marLeft w:val="0"/>
          <w:marRight w:val="0"/>
          <w:marTop w:val="0"/>
          <w:marBottom w:val="0"/>
          <w:divBdr>
            <w:top w:val="none" w:sz="0" w:space="0" w:color="auto"/>
            <w:left w:val="none" w:sz="0" w:space="0" w:color="auto"/>
            <w:bottom w:val="none" w:sz="0" w:space="0" w:color="auto"/>
            <w:right w:val="none" w:sz="0" w:space="0" w:color="auto"/>
          </w:divBdr>
        </w:div>
      </w:divsChild>
    </w:div>
    <w:div w:id="1689483653">
      <w:bodyDiv w:val="1"/>
      <w:marLeft w:val="0"/>
      <w:marRight w:val="0"/>
      <w:marTop w:val="0"/>
      <w:marBottom w:val="0"/>
      <w:divBdr>
        <w:top w:val="none" w:sz="0" w:space="0" w:color="auto"/>
        <w:left w:val="none" w:sz="0" w:space="0" w:color="auto"/>
        <w:bottom w:val="none" w:sz="0" w:space="0" w:color="auto"/>
        <w:right w:val="none" w:sz="0" w:space="0" w:color="auto"/>
      </w:divBdr>
    </w:div>
    <w:div w:id="1689601363">
      <w:bodyDiv w:val="1"/>
      <w:marLeft w:val="0"/>
      <w:marRight w:val="0"/>
      <w:marTop w:val="0"/>
      <w:marBottom w:val="0"/>
      <w:divBdr>
        <w:top w:val="none" w:sz="0" w:space="0" w:color="auto"/>
        <w:left w:val="none" w:sz="0" w:space="0" w:color="auto"/>
        <w:bottom w:val="none" w:sz="0" w:space="0" w:color="auto"/>
        <w:right w:val="none" w:sz="0" w:space="0" w:color="auto"/>
      </w:divBdr>
    </w:div>
    <w:div w:id="1689715318">
      <w:bodyDiv w:val="1"/>
      <w:marLeft w:val="0"/>
      <w:marRight w:val="0"/>
      <w:marTop w:val="0"/>
      <w:marBottom w:val="0"/>
      <w:divBdr>
        <w:top w:val="none" w:sz="0" w:space="0" w:color="auto"/>
        <w:left w:val="none" w:sz="0" w:space="0" w:color="auto"/>
        <w:bottom w:val="none" w:sz="0" w:space="0" w:color="auto"/>
        <w:right w:val="none" w:sz="0" w:space="0" w:color="auto"/>
      </w:divBdr>
    </w:div>
    <w:div w:id="1689792679">
      <w:bodyDiv w:val="1"/>
      <w:marLeft w:val="0"/>
      <w:marRight w:val="0"/>
      <w:marTop w:val="0"/>
      <w:marBottom w:val="0"/>
      <w:divBdr>
        <w:top w:val="none" w:sz="0" w:space="0" w:color="auto"/>
        <w:left w:val="none" w:sz="0" w:space="0" w:color="auto"/>
        <w:bottom w:val="none" w:sz="0" w:space="0" w:color="auto"/>
        <w:right w:val="none" w:sz="0" w:space="0" w:color="auto"/>
      </w:divBdr>
    </w:div>
    <w:div w:id="1689796363">
      <w:bodyDiv w:val="1"/>
      <w:marLeft w:val="0"/>
      <w:marRight w:val="0"/>
      <w:marTop w:val="0"/>
      <w:marBottom w:val="0"/>
      <w:divBdr>
        <w:top w:val="none" w:sz="0" w:space="0" w:color="auto"/>
        <w:left w:val="none" w:sz="0" w:space="0" w:color="auto"/>
        <w:bottom w:val="none" w:sz="0" w:space="0" w:color="auto"/>
        <w:right w:val="none" w:sz="0" w:space="0" w:color="auto"/>
      </w:divBdr>
    </w:div>
    <w:div w:id="1689797734">
      <w:bodyDiv w:val="1"/>
      <w:marLeft w:val="0"/>
      <w:marRight w:val="0"/>
      <w:marTop w:val="0"/>
      <w:marBottom w:val="0"/>
      <w:divBdr>
        <w:top w:val="none" w:sz="0" w:space="0" w:color="auto"/>
        <w:left w:val="none" w:sz="0" w:space="0" w:color="auto"/>
        <w:bottom w:val="none" w:sz="0" w:space="0" w:color="auto"/>
        <w:right w:val="none" w:sz="0" w:space="0" w:color="auto"/>
      </w:divBdr>
    </w:div>
    <w:div w:id="1689871902">
      <w:bodyDiv w:val="1"/>
      <w:marLeft w:val="0"/>
      <w:marRight w:val="0"/>
      <w:marTop w:val="0"/>
      <w:marBottom w:val="0"/>
      <w:divBdr>
        <w:top w:val="none" w:sz="0" w:space="0" w:color="auto"/>
        <w:left w:val="none" w:sz="0" w:space="0" w:color="auto"/>
        <w:bottom w:val="none" w:sz="0" w:space="0" w:color="auto"/>
        <w:right w:val="none" w:sz="0" w:space="0" w:color="auto"/>
      </w:divBdr>
    </w:div>
    <w:div w:id="1689942880">
      <w:bodyDiv w:val="1"/>
      <w:marLeft w:val="0"/>
      <w:marRight w:val="0"/>
      <w:marTop w:val="0"/>
      <w:marBottom w:val="0"/>
      <w:divBdr>
        <w:top w:val="none" w:sz="0" w:space="0" w:color="auto"/>
        <w:left w:val="none" w:sz="0" w:space="0" w:color="auto"/>
        <w:bottom w:val="none" w:sz="0" w:space="0" w:color="auto"/>
        <w:right w:val="none" w:sz="0" w:space="0" w:color="auto"/>
      </w:divBdr>
    </w:div>
    <w:div w:id="1690057177">
      <w:bodyDiv w:val="1"/>
      <w:marLeft w:val="0"/>
      <w:marRight w:val="0"/>
      <w:marTop w:val="0"/>
      <w:marBottom w:val="0"/>
      <w:divBdr>
        <w:top w:val="none" w:sz="0" w:space="0" w:color="auto"/>
        <w:left w:val="none" w:sz="0" w:space="0" w:color="auto"/>
        <w:bottom w:val="none" w:sz="0" w:space="0" w:color="auto"/>
        <w:right w:val="none" w:sz="0" w:space="0" w:color="auto"/>
      </w:divBdr>
    </w:div>
    <w:div w:id="1690332019">
      <w:bodyDiv w:val="1"/>
      <w:marLeft w:val="0"/>
      <w:marRight w:val="0"/>
      <w:marTop w:val="0"/>
      <w:marBottom w:val="0"/>
      <w:divBdr>
        <w:top w:val="none" w:sz="0" w:space="0" w:color="auto"/>
        <w:left w:val="none" w:sz="0" w:space="0" w:color="auto"/>
        <w:bottom w:val="none" w:sz="0" w:space="0" w:color="auto"/>
        <w:right w:val="none" w:sz="0" w:space="0" w:color="auto"/>
      </w:divBdr>
    </w:div>
    <w:div w:id="1690372194">
      <w:bodyDiv w:val="1"/>
      <w:marLeft w:val="0"/>
      <w:marRight w:val="0"/>
      <w:marTop w:val="0"/>
      <w:marBottom w:val="0"/>
      <w:divBdr>
        <w:top w:val="none" w:sz="0" w:space="0" w:color="auto"/>
        <w:left w:val="none" w:sz="0" w:space="0" w:color="auto"/>
        <w:bottom w:val="none" w:sz="0" w:space="0" w:color="auto"/>
        <w:right w:val="none" w:sz="0" w:space="0" w:color="auto"/>
      </w:divBdr>
    </w:div>
    <w:div w:id="1690377074">
      <w:bodyDiv w:val="1"/>
      <w:marLeft w:val="0"/>
      <w:marRight w:val="0"/>
      <w:marTop w:val="0"/>
      <w:marBottom w:val="0"/>
      <w:divBdr>
        <w:top w:val="none" w:sz="0" w:space="0" w:color="auto"/>
        <w:left w:val="none" w:sz="0" w:space="0" w:color="auto"/>
        <w:bottom w:val="none" w:sz="0" w:space="0" w:color="auto"/>
        <w:right w:val="none" w:sz="0" w:space="0" w:color="auto"/>
      </w:divBdr>
    </w:div>
    <w:div w:id="1690402748">
      <w:bodyDiv w:val="1"/>
      <w:marLeft w:val="0"/>
      <w:marRight w:val="0"/>
      <w:marTop w:val="0"/>
      <w:marBottom w:val="0"/>
      <w:divBdr>
        <w:top w:val="none" w:sz="0" w:space="0" w:color="auto"/>
        <w:left w:val="none" w:sz="0" w:space="0" w:color="auto"/>
        <w:bottom w:val="none" w:sz="0" w:space="0" w:color="auto"/>
        <w:right w:val="none" w:sz="0" w:space="0" w:color="auto"/>
      </w:divBdr>
    </w:div>
    <w:div w:id="1690450118">
      <w:bodyDiv w:val="1"/>
      <w:marLeft w:val="0"/>
      <w:marRight w:val="0"/>
      <w:marTop w:val="0"/>
      <w:marBottom w:val="0"/>
      <w:divBdr>
        <w:top w:val="none" w:sz="0" w:space="0" w:color="auto"/>
        <w:left w:val="none" w:sz="0" w:space="0" w:color="auto"/>
        <w:bottom w:val="none" w:sz="0" w:space="0" w:color="auto"/>
        <w:right w:val="none" w:sz="0" w:space="0" w:color="auto"/>
      </w:divBdr>
    </w:div>
    <w:div w:id="1690519920">
      <w:bodyDiv w:val="1"/>
      <w:marLeft w:val="0"/>
      <w:marRight w:val="0"/>
      <w:marTop w:val="0"/>
      <w:marBottom w:val="0"/>
      <w:divBdr>
        <w:top w:val="none" w:sz="0" w:space="0" w:color="auto"/>
        <w:left w:val="none" w:sz="0" w:space="0" w:color="auto"/>
        <w:bottom w:val="none" w:sz="0" w:space="0" w:color="auto"/>
        <w:right w:val="none" w:sz="0" w:space="0" w:color="auto"/>
      </w:divBdr>
    </w:div>
    <w:div w:id="1690525709">
      <w:bodyDiv w:val="1"/>
      <w:marLeft w:val="0"/>
      <w:marRight w:val="0"/>
      <w:marTop w:val="0"/>
      <w:marBottom w:val="0"/>
      <w:divBdr>
        <w:top w:val="none" w:sz="0" w:space="0" w:color="auto"/>
        <w:left w:val="none" w:sz="0" w:space="0" w:color="auto"/>
        <w:bottom w:val="none" w:sz="0" w:space="0" w:color="auto"/>
        <w:right w:val="none" w:sz="0" w:space="0" w:color="auto"/>
      </w:divBdr>
    </w:div>
    <w:div w:id="1690638281">
      <w:bodyDiv w:val="1"/>
      <w:marLeft w:val="0"/>
      <w:marRight w:val="0"/>
      <w:marTop w:val="0"/>
      <w:marBottom w:val="0"/>
      <w:divBdr>
        <w:top w:val="none" w:sz="0" w:space="0" w:color="auto"/>
        <w:left w:val="none" w:sz="0" w:space="0" w:color="auto"/>
        <w:bottom w:val="none" w:sz="0" w:space="0" w:color="auto"/>
        <w:right w:val="none" w:sz="0" w:space="0" w:color="auto"/>
      </w:divBdr>
    </w:div>
    <w:div w:id="1690721386">
      <w:bodyDiv w:val="1"/>
      <w:marLeft w:val="0"/>
      <w:marRight w:val="0"/>
      <w:marTop w:val="0"/>
      <w:marBottom w:val="0"/>
      <w:divBdr>
        <w:top w:val="none" w:sz="0" w:space="0" w:color="auto"/>
        <w:left w:val="none" w:sz="0" w:space="0" w:color="auto"/>
        <w:bottom w:val="none" w:sz="0" w:space="0" w:color="auto"/>
        <w:right w:val="none" w:sz="0" w:space="0" w:color="auto"/>
      </w:divBdr>
    </w:div>
    <w:div w:id="1690763555">
      <w:bodyDiv w:val="1"/>
      <w:marLeft w:val="0"/>
      <w:marRight w:val="0"/>
      <w:marTop w:val="0"/>
      <w:marBottom w:val="0"/>
      <w:divBdr>
        <w:top w:val="none" w:sz="0" w:space="0" w:color="auto"/>
        <w:left w:val="none" w:sz="0" w:space="0" w:color="auto"/>
        <w:bottom w:val="none" w:sz="0" w:space="0" w:color="auto"/>
        <w:right w:val="none" w:sz="0" w:space="0" w:color="auto"/>
      </w:divBdr>
    </w:div>
    <w:div w:id="1690787743">
      <w:bodyDiv w:val="1"/>
      <w:marLeft w:val="0"/>
      <w:marRight w:val="0"/>
      <w:marTop w:val="0"/>
      <w:marBottom w:val="0"/>
      <w:divBdr>
        <w:top w:val="none" w:sz="0" w:space="0" w:color="auto"/>
        <w:left w:val="none" w:sz="0" w:space="0" w:color="auto"/>
        <w:bottom w:val="none" w:sz="0" w:space="0" w:color="auto"/>
        <w:right w:val="none" w:sz="0" w:space="0" w:color="auto"/>
      </w:divBdr>
    </w:div>
    <w:div w:id="1690830800">
      <w:bodyDiv w:val="1"/>
      <w:marLeft w:val="0"/>
      <w:marRight w:val="0"/>
      <w:marTop w:val="0"/>
      <w:marBottom w:val="0"/>
      <w:divBdr>
        <w:top w:val="none" w:sz="0" w:space="0" w:color="auto"/>
        <w:left w:val="none" w:sz="0" w:space="0" w:color="auto"/>
        <w:bottom w:val="none" w:sz="0" w:space="0" w:color="auto"/>
        <w:right w:val="none" w:sz="0" w:space="0" w:color="auto"/>
      </w:divBdr>
    </w:div>
    <w:div w:id="1690832940">
      <w:bodyDiv w:val="1"/>
      <w:marLeft w:val="0"/>
      <w:marRight w:val="0"/>
      <w:marTop w:val="0"/>
      <w:marBottom w:val="0"/>
      <w:divBdr>
        <w:top w:val="none" w:sz="0" w:space="0" w:color="auto"/>
        <w:left w:val="none" w:sz="0" w:space="0" w:color="auto"/>
        <w:bottom w:val="none" w:sz="0" w:space="0" w:color="auto"/>
        <w:right w:val="none" w:sz="0" w:space="0" w:color="auto"/>
      </w:divBdr>
    </w:div>
    <w:div w:id="1690837058">
      <w:bodyDiv w:val="1"/>
      <w:marLeft w:val="0"/>
      <w:marRight w:val="0"/>
      <w:marTop w:val="0"/>
      <w:marBottom w:val="0"/>
      <w:divBdr>
        <w:top w:val="none" w:sz="0" w:space="0" w:color="auto"/>
        <w:left w:val="none" w:sz="0" w:space="0" w:color="auto"/>
        <w:bottom w:val="none" w:sz="0" w:space="0" w:color="auto"/>
        <w:right w:val="none" w:sz="0" w:space="0" w:color="auto"/>
      </w:divBdr>
    </w:div>
    <w:div w:id="1690989160">
      <w:bodyDiv w:val="1"/>
      <w:marLeft w:val="0"/>
      <w:marRight w:val="0"/>
      <w:marTop w:val="0"/>
      <w:marBottom w:val="0"/>
      <w:divBdr>
        <w:top w:val="none" w:sz="0" w:space="0" w:color="auto"/>
        <w:left w:val="none" w:sz="0" w:space="0" w:color="auto"/>
        <w:bottom w:val="none" w:sz="0" w:space="0" w:color="auto"/>
        <w:right w:val="none" w:sz="0" w:space="0" w:color="auto"/>
      </w:divBdr>
    </w:div>
    <w:div w:id="1691033351">
      <w:bodyDiv w:val="1"/>
      <w:marLeft w:val="0"/>
      <w:marRight w:val="0"/>
      <w:marTop w:val="0"/>
      <w:marBottom w:val="0"/>
      <w:divBdr>
        <w:top w:val="none" w:sz="0" w:space="0" w:color="auto"/>
        <w:left w:val="none" w:sz="0" w:space="0" w:color="auto"/>
        <w:bottom w:val="none" w:sz="0" w:space="0" w:color="auto"/>
        <w:right w:val="none" w:sz="0" w:space="0" w:color="auto"/>
      </w:divBdr>
    </w:div>
    <w:div w:id="1691104662">
      <w:bodyDiv w:val="1"/>
      <w:marLeft w:val="0"/>
      <w:marRight w:val="0"/>
      <w:marTop w:val="0"/>
      <w:marBottom w:val="0"/>
      <w:divBdr>
        <w:top w:val="none" w:sz="0" w:space="0" w:color="auto"/>
        <w:left w:val="none" w:sz="0" w:space="0" w:color="auto"/>
        <w:bottom w:val="none" w:sz="0" w:space="0" w:color="auto"/>
        <w:right w:val="none" w:sz="0" w:space="0" w:color="auto"/>
      </w:divBdr>
    </w:div>
    <w:div w:id="1691107346">
      <w:bodyDiv w:val="1"/>
      <w:marLeft w:val="0"/>
      <w:marRight w:val="0"/>
      <w:marTop w:val="0"/>
      <w:marBottom w:val="0"/>
      <w:divBdr>
        <w:top w:val="none" w:sz="0" w:space="0" w:color="auto"/>
        <w:left w:val="none" w:sz="0" w:space="0" w:color="auto"/>
        <w:bottom w:val="none" w:sz="0" w:space="0" w:color="auto"/>
        <w:right w:val="none" w:sz="0" w:space="0" w:color="auto"/>
      </w:divBdr>
    </w:div>
    <w:div w:id="1691108038">
      <w:bodyDiv w:val="1"/>
      <w:marLeft w:val="0"/>
      <w:marRight w:val="0"/>
      <w:marTop w:val="0"/>
      <w:marBottom w:val="0"/>
      <w:divBdr>
        <w:top w:val="none" w:sz="0" w:space="0" w:color="auto"/>
        <w:left w:val="none" w:sz="0" w:space="0" w:color="auto"/>
        <w:bottom w:val="none" w:sz="0" w:space="0" w:color="auto"/>
        <w:right w:val="none" w:sz="0" w:space="0" w:color="auto"/>
      </w:divBdr>
    </w:div>
    <w:div w:id="1691222992">
      <w:bodyDiv w:val="1"/>
      <w:marLeft w:val="0"/>
      <w:marRight w:val="0"/>
      <w:marTop w:val="0"/>
      <w:marBottom w:val="0"/>
      <w:divBdr>
        <w:top w:val="none" w:sz="0" w:space="0" w:color="auto"/>
        <w:left w:val="none" w:sz="0" w:space="0" w:color="auto"/>
        <w:bottom w:val="none" w:sz="0" w:space="0" w:color="auto"/>
        <w:right w:val="none" w:sz="0" w:space="0" w:color="auto"/>
      </w:divBdr>
    </w:div>
    <w:div w:id="1691254078">
      <w:bodyDiv w:val="1"/>
      <w:marLeft w:val="0"/>
      <w:marRight w:val="0"/>
      <w:marTop w:val="0"/>
      <w:marBottom w:val="0"/>
      <w:divBdr>
        <w:top w:val="none" w:sz="0" w:space="0" w:color="auto"/>
        <w:left w:val="none" w:sz="0" w:space="0" w:color="auto"/>
        <w:bottom w:val="none" w:sz="0" w:space="0" w:color="auto"/>
        <w:right w:val="none" w:sz="0" w:space="0" w:color="auto"/>
      </w:divBdr>
    </w:div>
    <w:div w:id="1691368433">
      <w:bodyDiv w:val="1"/>
      <w:marLeft w:val="0"/>
      <w:marRight w:val="0"/>
      <w:marTop w:val="0"/>
      <w:marBottom w:val="0"/>
      <w:divBdr>
        <w:top w:val="none" w:sz="0" w:space="0" w:color="auto"/>
        <w:left w:val="none" w:sz="0" w:space="0" w:color="auto"/>
        <w:bottom w:val="none" w:sz="0" w:space="0" w:color="auto"/>
        <w:right w:val="none" w:sz="0" w:space="0" w:color="auto"/>
      </w:divBdr>
    </w:div>
    <w:div w:id="1691375669">
      <w:bodyDiv w:val="1"/>
      <w:marLeft w:val="0"/>
      <w:marRight w:val="0"/>
      <w:marTop w:val="0"/>
      <w:marBottom w:val="0"/>
      <w:divBdr>
        <w:top w:val="none" w:sz="0" w:space="0" w:color="auto"/>
        <w:left w:val="none" w:sz="0" w:space="0" w:color="auto"/>
        <w:bottom w:val="none" w:sz="0" w:space="0" w:color="auto"/>
        <w:right w:val="none" w:sz="0" w:space="0" w:color="auto"/>
      </w:divBdr>
    </w:div>
    <w:div w:id="1691636438">
      <w:bodyDiv w:val="1"/>
      <w:marLeft w:val="0"/>
      <w:marRight w:val="0"/>
      <w:marTop w:val="0"/>
      <w:marBottom w:val="0"/>
      <w:divBdr>
        <w:top w:val="none" w:sz="0" w:space="0" w:color="auto"/>
        <w:left w:val="none" w:sz="0" w:space="0" w:color="auto"/>
        <w:bottom w:val="none" w:sz="0" w:space="0" w:color="auto"/>
        <w:right w:val="none" w:sz="0" w:space="0" w:color="auto"/>
      </w:divBdr>
    </w:div>
    <w:div w:id="1691839279">
      <w:bodyDiv w:val="1"/>
      <w:marLeft w:val="0"/>
      <w:marRight w:val="0"/>
      <w:marTop w:val="0"/>
      <w:marBottom w:val="0"/>
      <w:divBdr>
        <w:top w:val="none" w:sz="0" w:space="0" w:color="auto"/>
        <w:left w:val="none" w:sz="0" w:space="0" w:color="auto"/>
        <w:bottom w:val="none" w:sz="0" w:space="0" w:color="auto"/>
        <w:right w:val="none" w:sz="0" w:space="0" w:color="auto"/>
      </w:divBdr>
    </w:div>
    <w:div w:id="1691880235">
      <w:bodyDiv w:val="1"/>
      <w:marLeft w:val="0"/>
      <w:marRight w:val="0"/>
      <w:marTop w:val="0"/>
      <w:marBottom w:val="0"/>
      <w:divBdr>
        <w:top w:val="none" w:sz="0" w:space="0" w:color="auto"/>
        <w:left w:val="none" w:sz="0" w:space="0" w:color="auto"/>
        <w:bottom w:val="none" w:sz="0" w:space="0" w:color="auto"/>
        <w:right w:val="none" w:sz="0" w:space="0" w:color="auto"/>
      </w:divBdr>
    </w:div>
    <w:div w:id="1691908769">
      <w:bodyDiv w:val="1"/>
      <w:marLeft w:val="0"/>
      <w:marRight w:val="0"/>
      <w:marTop w:val="0"/>
      <w:marBottom w:val="0"/>
      <w:divBdr>
        <w:top w:val="none" w:sz="0" w:space="0" w:color="auto"/>
        <w:left w:val="none" w:sz="0" w:space="0" w:color="auto"/>
        <w:bottom w:val="none" w:sz="0" w:space="0" w:color="auto"/>
        <w:right w:val="none" w:sz="0" w:space="0" w:color="auto"/>
      </w:divBdr>
    </w:div>
    <w:div w:id="1691948495">
      <w:bodyDiv w:val="1"/>
      <w:marLeft w:val="0"/>
      <w:marRight w:val="0"/>
      <w:marTop w:val="0"/>
      <w:marBottom w:val="0"/>
      <w:divBdr>
        <w:top w:val="none" w:sz="0" w:space="0" w:color="auto"/>
        <w:left w:val="none" w:sz="0" w:space="0" w:color="auto"/>
        <w:bottom w:val="none" w:sz="0" w:space="0" w:color="auto"/>
        <w:right w:val="none" w:sz="0" w:space="0" w:color="auto"/>
      </w:divBdr>
    </w:div>
    <w:div w:id="1691952753">
      <w:bodyDiv w:val="1"/>
      <w:marLeft w:val="0"/>
      <w:marRight w:val="0"/>
      <w:marTop w:val="0"/>
      <w:marBottom w:val="0"/>
      <w:divBdr>
        <w:top w:val="none" w:sz="0" w:space="0" w:color="auto"/>
        <w:left w:val="none" w:sz="0" w:space="0" w:color="auto"/>
        <w:bottom w:val="none" w:sz="0" w:space="0" w:color="auto"/>
        <w:right w:val="none" w:sz="0" w:space="0" w:color="auto"/>
      </w:divBdr>
    </w:div>
    <w:div w:id="1692024219">
      <w:bodyDiv w:val="1"/>
      <w:marLeft w:val="0"/>
      <w:marRight w:val="0"/>
      <w:marTop w:val="0"/>
      <w:marBottom w:val="0"/>
      <w:divBdr>
        <w:top w:val="none" w:sz="0" w:space="0" w:color="auto"/>
        <w:left w:val="none" w:sz="0" w:space="0" w:color="auto"/>
        <w:bottom w:val="none" w:sz="0" w:space="0" w:color="auto"/>
        <w:right w:val="none" w:sz="0" w:space="0" w:color="auto"/>
      </w:divBdr>
    </w:div>
    <w:div w:id="1692219814">
      <w:bodyDiv w:val="1"/>
      <w:marLeft w:val="0"/>
      <w:marRight w:val="0"/>
      <w:marTop w:val="0"/>
      <w:marBottom w:val="0"/>
      <w:divBdr>
        <w:top w:val="none" w:sz="0" w:space="0" w:color="auto"/>
        <w:left w:val="none" w:sz="0" w:space="0" w:color="auto"/>
        <w:bottom w:val="none" w:sz="0" w:space="0" w:color="auto"/>
        <w:right w:val="none" w:sz="0" w:space="0" w:color="auto"/>
      </w:divBdr>
    </w:div>
    <w:div w:id="1692296678">
      <w:bodyDiv w:val="1"/>
      <w:marLeft w:val="0"/>
      <w:marRight w:val="0"/>
      <w:marTop w:val="0"/>
      <w:marBottom w:val="0"/>
      <w:divBdr>
        <w:top w:val="none" w:sz="0" w:space="0" w:color="auto"/>
        <w:left w:val="none" w:sz="0" w:space="0" w:color="auto"/>
        <w:bottom w:val="none" w:sz="0" w:space="0" w:color="auto"/>
        <w:right w:val="none" w:sz="0" w:space="0" w:color="auto"/>
      </w:divBdr>
    </w:div>
    <w:div w:id="1692297852">
      <w:bodyDiv w:val="1"/>
      <w:marLeft w:val="0"/>
      <w:marRight w:val="0"/>
      <w:marTop w:val="0"/>
      <w:marBottom w:val="0"/>
      <w:divBdr>
        <w:top w:val="none" w:sz="0" w:space="0" w:color="auto"/>
        <w:left w:val="none" w:sz="0" w:space="0" w:color="auto"/>
        <w:bottom w:val="none" w:sz="0" w:space="0" w:color="auto"/>
        <w:right w:val="none" w:sz="0" w:space="0" w:color="auto"/>
      </w:divBdr>
    </w:div>
    <w:div w:id="1692343878">
      <w:bodyDiv w:val="1"/>
      <w:marLeft w:val="0"/>
      <w:marRight w:val="0"/>
      <w:marTop w:val="0"/>
      <w:marBottom w:val="0"/>
      <w:divBdr>
        <w:top w:val="none" w:sz="0" w:space="0" w:color="auto"/>
        <w:left w:val="none" w:sz="0" w:space="0" w:color="auto"/>
        <w:bottom w:val="none" w:sz="0" w:space="0" w:color="auto"/>
        <w:right w:val="none" w:sz="0" w:space="0" w:color="auto"/>
      </w:divBdr>
    </w:div>
    <w:div w:id="1692409654">
      <w:bodyDiv w:val="1"/>
      <w:marLeft w:val="0"/>
      <w:marRight w:val="0"/>
      <w:marTop w:val="0"/>
      <w:marBottom w:val="0"/>
      <w:divBdr>
        <w:top w:val="none" w:sz="0" w:space="0" w:color="auto"/>
        <w:left w:val="none" w:sz="0" w:space="0" w:color="auto"/>
        <w:bottom w:val="none" w:sz="0" w:space="0" w:color="auto"/>
        <w:right w:val="none" w:sz="0" w:space="0" w:color="auto"/>
      </w:divBdr>
    </w:div>
    <w:div w:id="1692412713">
      <w:bodyDiv w:val="1"/>
      <w:marLeft w:val="0"/>
      <w:marRight w:val="0"/>
      <w:marTop w:val="0"/>
      <w:marBottom w:val="0"/>
      <w:divBdr>
        <w:top w:val="none" w:sz="0" w:space="0" w:color="auto"/>
        <w:left w:val="none" w:sz="0" w:space="0" w:color="auto"/>
        <w:bottom w:val="none" w:sz="0" w:space="0" w:color="auto"/>
        <w:right w:val="none" w:sz="0" w:space="0" w:color="auto"/>
      </w:divBdr>
    </w:div>
    <w:div w:id="1692417829">
      <w:bodyDiv w:val="1"/>
      <w:marLeft w:val="0"/>
      <w:marRight w:val="0"/>
      <w:marTop w:val="0"/>
      <w:marBottom w:val="0"/>
      <w:divBdr>
        <w:top w:val="none" w:sz="0" w:space="0" w:color="auto"/>
        <w:left w:val="none" w:sz="0" w:space="0" w:color="auto"/>
        <w:bottom w:val="none" w:sz="0" w:space="0" w:color="auto"/>
        <w:right w:val="none" w:sz="0" w:space="0" w:color="auto"/>
      </w:divBdr>
    </w:div>
    <w:div w:id="1692564963">
      <w:bodyDiv w:val="1"/>
      <w:marLeft w:val="0"/>
      <w:marRight w:val="0"/>
      <w:marTop w:val="0"/>
      <w:marBottom w:val="0"/>
      <w:divBdr>
        <w:top w:val="none" w:sz="0" w:space="0" w:color="auto"/>
        <w:left w:val="none" w:sz="0" w:space="0" w:color="auto"/>
        <w:bottom w:val="none" w:sz="0" w:space="0" w:color="auto"/>
        <w:right w:val="none" w:sz="0" w:space="0" w:color="auto"/>
      </w:divBdr>
    </w:div>
    <w:div w:id="1692607149">
      <w:bodyDiv w:val="1"/>
      <w:marLeft w:val="0"/>
      <w:marRight w:val="0"/>
      <w:marTop w:val="0"/>
      <w:marBottom w:val="0"/>
      <w:divBdr>
        <w:top w:val="none" w:sz="0" w:space="0" w:color="auto"/>
        <w:left w:val="none" w:sz="0" w:space="0" w:color="auto"/>
        <w:bottom w:val="none" w:sz="0" w:space="0" w:color="auto"/>
        <w:right w:val="none" w:sz="0" w:space="0" w:color="auto"/>
      </w:divBdr>
    </w:div>
    <w:div w:id="1692609808">
      <w:bodyDiv w:val="1"/>
      <w:marLeft w:val="0"/>
      <w:marRight w:val="0"/>
      <w:marTop w:val="0"/>
      <w:marBottom w:val="0"/>
      <w:divBdr>
        <w:top w:val="none" w:sz="0" w:space="0" w:color="auto"/>
        <w:left w:val="none" w:sz="0" w:space="0" w:color="auto"/>
        <w:bottom w:val="none" w:sz="0" w:space="0" w:color="auto"/>
        <w:right w:val="none" w:sz="0" w:space="0" w:color="auto"/>
      </w:divBdr>
    </w:div>
    <w:div w:id="1692680694">
      <w:bodyDiv w:val="1"/>
      <w:marLeft w:val="0"/>
      <w:marRight w:val="0"/>
      <w:marTop w:val="0"/>
      <w:marBottom w:val="0"/>
      <w:divBdr>
        <w:top w:val="none" w:sz="0" w:space="0" w:color="auto"/>
        <w:left w:val="none" w:sz="0" w:space="0" w:color="auto"/>
        <w:bottom w:val="none" w:sz="0" w:space="0" w:color="auto"/>
        <w:right w:val="none" w:sz="0" w:space="0" w:color="auto"/>
      </w:divBdr>
    </w:div>
    <w:div w:id="1692686896">
      <w:bodyDiv w:val="1"/>
      <w:marLeft w:val="0"/>
      <w:marRight w:val="0"/>
      <w:marTop w:val="0"/>
      <w:marBottom w:val="0"/>
      <w:divBdr>
        <w:top w:val="none" w:sz="0" w:space="0" w:color="auto"/>
        <w:left w:val="none" w:sz="0" w:space="0" w:color="auto"/>
        <w:bottom w:val="none" w:sz="0" w:space="0" w:color="auto"/>
        <w:right w:val="none" w:sz="0" w:space="0" w:color="auto"/>
      </w:divBdr>
    </w:div>
    <w:div w:id="1692992097">
      <w:bodyDiv w:val="1"/>
      <w:marLeft w:val="0"/>
      <w:marRight w:val="0"/>
      <w:marTop w:val="0"/>
      <w:marBottom w:val="0"/>
      <w:divBdr>
        <w:top w:val="none" w:sz="0" w:space="0" w:color="auto"/>
        <w:left w:val="none" w:sz="0" w:space="0" w:color="auto"/>
        <w:bottom w:val="none" w:sz="0" w:space="0" w:color="auto"/>
        <w:right w:val="none" w:sz="0" w:space="0" w:color="auto"/>
      </w:divBdr>
    </w:div>
    <w:div w:id="1692997168">
      <w:bodyDiv w:val="1"/>
      <w:marLeft w:val="0"/>
      <w:marRight w:val="0"/>
      <w:marTop w:val="0"/>
      <w:marBottom w:val="0"/>
      <w:divBdr>
        <w:top w:val="none" w:sz="0" w:space="0" w:color="auto"/>
        <w:left w:val="none" w:sz="0" w:space="0" w:color="auto"/>
        <w:bottom w:val="none" w:sz="0" w:space="0" w:color="auto"/>
        <w:right w:val="none" w:sz="0" w:space="0" w:color="auto"/>
      </w:divBdr>
    </w:div>
    <w:div w:id="1693216896">
      <w:bodyDiv w:val="1"/>
      <w:marLeft w:val="0"/>
      <w:marRight w:val="0"/>
      <w:marTop w:val="0"/>
      <w:marBottom w:val="0"/>
      <w:divBdr>
        <w:top w:val="none" w:sz="0" w:space="0" w:color="auto"/>
        <w:left w:val="none" w:sz="0" w:space="0" w:color="auto"/>
        <w:bottom w:val="none" w:sz="0" w:space="0" w:color="auto"/>
        <w:right w:val="none" w:sz="0" w:space="0" w:color="auto"/>
      </w:divBdr>
    </w:div>
    <w:div w:id="1693219227">
      <w:bodyDiv w:val="1"/>
      <w:marLeft w:val="0"/>
      <w:marRight w:val="0"/>
      <w:marTop w:val="0"/>
      <w:marBottom w:val="0"/>
      <w:divBdr>
        <w:top w:val="none" w:sz="0" w:space="0" w:color="auto"/>
        <w:left w:val="none" w:sz="0" w:space="0" w:color="auto"/>
        <w:bottom w:val="none" w:sz="0" w:space="0" w:color="auto"/>
        <w:right w:val="none" w:sz="0" w:space="0" w:color="auto"/>
      </w:divBdr>
    </w:div>
    <w:div w:id="1693219787">
      <w:bodyDiv w:val="1"/>
      <w:marLeft w:val="0"/>
      <w:marRight w:val="0"/>
      <w:marTop w:val="0"/>
      <w:marBottom w:val="0"/>
      <w:divBdr>
        <w:top w:val="none" w:sz="0" w:space="0" w:color="auto"/>
        <w:left w:val="none" w:sz="0" w:space="0" w:color="auto"/>
        <w:bottom w:val="none" w:sz="0" w:space="0" w:color="auto"/>
        <w:right w:val="none" w:sz="0" w:space="0" w:color="auto"/>
      </w:divBdr>
    </w:div>
    <w:div w:id="1693220483">
      <w:bodyDiv w:val="1"/>
      <w:marLeft w:val="0"/>
      <w:marRight w:val="0"/>
      <w:marTop w:val="0"/>
      <w:marBottom w:val="0"/>
      <w:divBdr>
        <w:top w:val="none" w:sz="0" w:space="0" w:color="auto"/>
        <w:left w:val="none" w:sz="0" w:space="0" w:color="auto"/>
        <w:bottom w:val="none" w:sz="0" w:space="0" w:color="auto"/>
        <w:right w:val="none" w:sz="0" w:space="0" w:color="auto"/>
      </w:divBdr>
    </w:div>
    <w:div w:id="1693263065">
      <w:bodyDiv w:val="1"/>
      <w:marLeft w:val="0"/>
      <w:marRight w:val="0"/>
      <w:marTop w:val="0"/>
      <w:marBottom w:val="0"/>
      <w:divBdr>
        <w:top w:val="none" w:sz="0" w:space="0" w:color="auto"/>
        <w:left w:val="none" w:sz="0" w:space="0" w:color="auto"/>
        <w:bottom w:val="none" w:sz="0" w:space="0" w:color="auto"/>
        <w:right w:val="none" w:sz="0" w:space="0" w:color="auto"/>
      </w:divBdr>
    </w:div>
    <w:div w:id="1693341741">
      <w:bodyDiv w:val="1"/>
      <w:marLeft w:val="0"/>
      <w:marRight w:val="0"/>
      <w:marTop w:val="0"/>
      <w:marBottom w:val="0"/>
      <w:divBdr>
        <w:top w:val="none" w:sz="0" w:space="0" w:color="auto"/>
        <w:left w:val="none" w:sz="0" w:space="0" w:color="auto"/>
        <w:bottom w:val="none" w:sz="0" w:space="0" w:color="auto"/>
        <w:right w:val="none" w:sz="0" w:space="0" w:color="auto"/>
      </w:divBdr>
    </w:div>
    <w:div w:id="1693416736">
      <w:bodyDiv w:val="1"/>
      <w:marLeft w:val="0"/>
      <w:marRight w:val="0"/>
      <w:marTop w:val="0"/>
      <w:marBottom w:val="0"/>
      <w:divBdr>
        <w:top w:val="none" w:sz="0" w:space="0" w:color="auto"/>
        <w:left w:val="none" w:sz="0" w:space="0" w:color="auto"/>
        <w:bottom w:val="none" w:sz="0" w:space="0" w:color="auto"/>
        <w:right w:val="none" w:sz="0" w:space="0" w:color="auto"/>
      </w:divBdr>
    </w:div>
    <w:div w:id="1693459560">
      <w:bodyDiv w:val="1"/>
      <w:marLeft w:val="0"/>
      <w:marRight w:val="0"/>
      <w:marTop w:val="0"/>
      <w:marBottom w:val="0"/>
      <w:divBdr>
        <w:top w:val="none" w:sz="0" w:space="0" w:color="auto"/>
        <w:left w:val="none" w:sz="0" w:space="0" w:color="auto"/>
        <w:bottom w:val="none" w:sz="0" w:space="0" w:color="auto"/>
        <w:right w:val="none" w:sz="0" w:space="0" w:color="auto"/>
      </w:divBdr>
    </w:div>
    <w:div w:id="1693529181">
      <w:bodyDiv w:val="1"/>
      <w:marLeft w:val="0"/>
      <w:marRight w:val="0"/>
      <w:marTop w:val="0"/>
      <w:marBottom w:val="0"/>
      <w:divBdr>
        <w:top w:val="none" w:sz="0" w:space="0" w:color="auto"/>
        <w:left w:val="none" w:sz="0" w:space="0" w:color="auto"/>
        <w:bottom w:val="none" w:sz="0" w:space="0" w:color="auto"/>
        <w:right w:val="none" w:sz="0" w:space="0" w:color="auto"/>
      </w:divBdr>
    </w:div>
    <w:div w:id="1693533917">
      <w:bodyDiv w:val="1"/>
      <w:marLeft w:val="0"/>
      <w:marRight w:val="0"/>
      <w:marTop w:val="0"/>
      <w:marBottom w:val="0"/>
      <w:divBdr>
        <w:top w:val="none" w:sz="0" w:space="0" w:color="auto"/>
        <w:left w:val="none" w:sz="0" w:space="0" w:color="auto"/>
        <w:bottom w:val="none" w:sz="0" w:space="0" w:color="auto"/>
        <w:right w:val="none" w:sz="0" w:space="0" w:color="auto"/>
      </w:divBdr>
    </w:div>
    <w:div w:id="1693606549">
      <w:bodyDiv w:val="1"/>
      <w:marLeft w:val="0"/>
      <w:marRight w:val="0"/>
      <w:marTop w:val="0"/>
      <w:marBottom w:val="0"/>
      <w:divBdr>
        <w:top w:val="none" w:sz="0" w:space="0" w:color="auto"/>
        <w:left w:val="none" w:sz="0" w:space="0" w:color="auto"/>
        <w:bottom w:val="none" w:sz="0" w:space="0" w:color="auto"/>
        <w:right w:val="none" w:sz="0" w:space="0" w:color="auto"/>
      </w:divBdr>
    </w:div>
    <w:div w:id="1693648489">
      <w:bodyDiv w:val="1"/>
      <w:marLeft w:val="0"/>
      <w:marRight w:val="0"/>
      <w:marTop w:val="0"/>
      <w:marBottom w:val="0"/>
      <w:divBdr>
        <w:top w:val="none" w:sz="0" w:space="0" w:color="auto"/>
        <w:left w:val="none" w:sz="0" w:space="0" w:color="auto"/>
        <w:bottom w:val="none" w:sz="0" w:space="0" w:color="auto"/>
        <w:right w:val="none" w:sz="0" w:space="0" w:color="auto"/>
      </w:divBdr>
    </w:div>
    <w:div w:id="1693678700">
      <w:bodyDiv w:val="1"/>
      <w:marLeft w:val="0"/>
      <w:marRight w:val="0"/>
      <w:marTop w:val="0"/>
      <w:marBottom w:val="0"/>
      <w:divBdr>
        <w:top w:val="none" w:sz="0" w:space="0" w:color="auto"/>
        <w:left w:val="none" w:sz="0" w:space="0" w:color="auto"/>
        <w:bottom w:val="none" w:sz="0" w:space="0" w:color="auto"/>
        <w:right w:val="none" w:sz="0" w:space="0" w:color="auto"/>
      </w:divBdr>
    </w:div>
    <w:div w:id="1693726512">
      <w:bodyDiv w:val="1"/>
      <w:marLeft w:val="0"/>
      <w:marRight w:val="0"/>
      <w:marTop w:val="0"/>
      <w:marBottom w:val="0"/>
      <w:divBdr>
        <w:top w:val="none" w:sz="0" w:space="0" w:color="auto"/>
        <w:left w:val="none" w:sz="0" w:space="0" w:color="auto"/>
        <w:bottom w:val="none" w:sz="0" w:space="0" w:color="auto"/>
        <w:right w:val="none" w:sz="0" w:space="0" w:color="auto"/>
      </w:divBdr>
    </w:div>
    <w:div w:id="1693844254">
      <w:bodyDiv w:val="1"/>
      <w:marLeft w:val="0"/>
      <w:marRight w:val="0"/>
      <w:marTop w:val="0"/>
      <w:marBottom w:val="0"/>
      <w:divBdr>
        <w:top w:val="none" w:sz="0" w:space="0" w:color="auto"/>
        <w:left w:val="none" w:sz="0" w:space="0" w:color="auto"/>
        <w:bottom w:val="none" w:sz="0" w:space="0" w:color="auto"/>
        <w:right w:val="none" w:sz="0" w:space="0" w:color="auto"/>
      </w:divBdr>
    </w:div>
    <w:div w:id="1693846311">
      <w:bodyDiv w:val="1"/>
      <w:marLeft w:val="0"/>
      <w:marRight w:val="0"/>
      <w:marTop w:val="0"/>
      <w:marBottom w:val="0"/>
      <w:divBdr>
        <w:top w:val="none" w:sz="0" w:space="0" w:color="auto"/>
        <w:left w:val="none" w:sz="0" w:space="0" w:color="auto"/>
        <w:bottom w:val="none" w:sz="0" w:space="0" w:color="auto"/>
        <w:right w:val="none" w:sz="0" w:space="0" w:color="auto"/>
      </w:divBdr>
    </w:div>
    <w:div w:id="1693918806">
      <w:bodyDiv w:val="1"/>
      <w:marLeft w:val="0"/>
      <w:marRight w:val="0"/>
      <w:marTop w:val="0"/>
      <w:marBottom w:val="0"/>
      <w:divBdr>
        <w:top w:val="none" w:sz="0" w:space="0" w:color="auto"/>
        <w:left w:val="none" w:sz="0" w:space="0" w:color="auto"/>
        <w:bottom w:val="none" w:sz="0" w:space="0" w:color="auto"/>
        <w:right w:val="none" w:sz="0" w:space="0" w:color="auto"/>
      </w:divBdr>
    </w:div>
    <w:div w:id="1694070249">
      <w:bodyDiv w:val="1"/>
      <w:marLeft w:val="0"/>
      <w:marRight w:val="0"/>
      <w:marTop w:val="0"/>
      <w:marBottom w:val="0"/>
      <w:divBdr>
        <w:top w:val="none" w:sz="0" w:space="0" w:color="auto"/>
        <w:left w:val="none" w:sz="0" w:space="0" w:color="auto"/>
        <w:bottom w:val="none" w:sz="0" w:space="0" w:color="auto"/>
        <w:right w:val="none" w:sz="0" w:space="0" w:color="auto"/>
      </w:divBdr>
    </w:div>
    <w:div w:id="1694110255">
      <w:bodyDiv w:val="1"/>
      <w:marLeft w:val="0"/>
      <w:marRight w:val="0"/>
      <w:marTop w:val="0"/>
      <w:marBottom w:val="0"/>
      <w:divBdr>
        <w:top w:val="none" w:sz="0" w:space="0" w:color="auto"/>
        <w:left w:val="none" w:sz="0" w:space="0" w:color="auto"/>
        <w:bottom w:val="none" w:sz="0" w:space="0" w:color="auto"/>
        <w:right w:val="none" w:sz="0" w:space="0" w:color="auto"/>
      </w:divBdr>
    </w:div>
    <w:div w:id="1694112191">
      <w:bodyDiv w:val="1"/>
      <w:marLeft w:val="0"/>
      <w:marRight w:val="0"/>
      <w:marTop w:val="0"/>
      <w:marBottom w:val="0"/>
      <w:divBdr>
        <w:top w:val="none" w:sz="0" w:space="0" w:color="auto"/>
        <w:left w:val="none" w:sz="0" w:space="0" w:color="auto"/>
        <w:bottom w:val="none" w:sz="0" w:space="0" w:color="auto"/>
        <w:right w:val="none" w:sz="0" w:space="0" w:color="auto"/>
      </w:divBdr>
    </w:div>
    <w:div w:id="1694185065">
      <w:bodyDiv w:val="1"/>
      <w:marLeft w:val="0"/>
      <w:marRight w:val="0"/>
      <w:marTop w:val="0"/>
      <w:marBottom w:val="0"/>
      <w:divBdr>
        <w:top w:val="none" w:sz="0" w:space="0" w:color="auto"/>
        <w:left w:val="none" w:sz="0" w:space="0" w:color="auto"/>
        <w:bottom w:val="none" w:sz="0" w:space="0" w:color="auto"/>
        <w:right w:val="none" w:sz="0" w:space="0" w:color="auto"/>
      </w:divBdr>
    </w:div>
    <w:div w:id="1694187959">
      <w:bodyDiv w:val="1"/>
      <w:marLeft w:val="0"/>
      <w:marRight w:val="0"/>
      <w:marTop w:val="0"/>
      <w:marBottom w:val="0"/>
      <w:divBdr>
        <w:top w:val="none" w:sz="0" w:space="0" w:color="auto"/>
        <w:left w:val="none" w:sz="0" w:space="0" w:color="auto"/>
        <w:bottom w:val="none" w:sz="0" w:space="0" w:color="auto"/>
        <w:right w:val="none" w:sz="0" w:space="0" w:color="auto"/>
      </w:divBdr>
    </w:div>
    <w:div w:id="1694188151">
      <w:bodyDiv w:val="1"/>
      <w:marLeft w:val="0"/>
      <w:marRight w:val="0"/>
      <w:marTop w:val="0"/>
      <w:marBottom w:val="0"/>
      <w:divBdr>
        <w:top w:val="none" w:sz="0" w:space="0" w:color="auto"/>
        <w:left w:val="none" w:sz="0" w:space="0" w:color="auto"/>
        <w:bottom w:val="none" w:sz="0" w:space="0" w:color="auto"/>
        <w:right w:val="none" w:sz="0" w:space="0" w:color="auto"/>
      </w:divBdr>
    </w:div>
    <w:div w:id="1694188325">
      <w:bodyDiv w:val="1"/>
      <w:marLeft w:val="0"/>
      <w:marRight w:val="0"/>
      <w:marTop w:val="0"/>
      <w:marBottom w:val="0"/>
      <w:divBdr>
        <w:top w:val="none" w:sz="0" w:space="0" w:color="auto"/>
        <w:left w:val="none" w:sz="0" w:space="0" w:color="auto"/>
        <w:bottom w:val="none" w:sz="0" w:space="0" w:color="auto"/>
        <w:right w:val="none" w:sz="0" w:space="0" w:color="auto"/>
      </w:divBdr>
    </w:div>
    <w:div w:id="1694260518">
      <w:bodyDiv w:val="1"/>
      <w:marLeft w:val="0"/>
      <w:marRight w:val="0"/>
      <w:marTop w:val="0"/>
      <w:marBottom w:val="0"/>
      <w:divBdr>
        <w:top w:val="none" w:sz="0" w:space="0" w:color="auto"/>
        <w:left w:val="none" w:sz="0" w:space="0" w:color="auto"/>
        <w:bottom w:val="none" w:sz="0" w:space="0" w:color="auto"/>
        <w:right w:val="none" w:sz="0" w:space="0" w:color="auto"/>
      </w:divBdr>
    </w:div>
    <w:div w:id="1694261214">
      <w:bodyDiv w:val="1"/>
      <w:marLeft w:val="0"/>
      <w:marRight w:val="0"/>
      <w:marTop w:val="0"/>
      <w:marBottom w:val="0"/>
      <w:divBdr>
        <w:top w:val="none" w:sz="0" w:space="0" w:color="auto"/>
        <w:left w:val="none" w:sz="0" w:space="0" w:color="auto"/>
        <w:bottom w:val="none" w:sz="0" w:space="0" w:color="auto"/>
        <w:right w:val="none" w:sz="0" w:space="0" w:color="auto"/>
      </w:divBdr>
    </w:div>
    <w:div w:id="1694266712">
      <w:bodyDiv w:val="1"/>
      <w:marLeft w:val="0"/>
      <w:marRight w:val="0"/>
      <w:marTop w:val="0"/>
      <w:marBottom w:val="0"/>
      <w:divBdr>
        <w:top w:val="none" w:sz="0" w:space="0" w:color="auto"/>
        <w:left w:val="none" w:sz="0" w:space="0" w:color="auto"/>
        <w:bottom w:val="none" w:sz="0" w:space="0" w:color="auto"/>
        <w:right w:val="none" w:sz="0" w:space="0" w:color="auto"/>
      </w:divBdr>
    </w:div>
    <w:div w:id="1694307681">
      <w:bodyDiv w:val="1"/>
      <w:marLeft w:val="0"/>
      <w:marRight w:val="0"/>
      <w:marTop w:val="0"/>
      <w:marBottom w:val="0"/>
      <w:divBdr>
        <w:top w:val="none" w:sz="0" w:space="0" w:color="auto"/>
        <w:left w:val="none" w:sz="0" w:space="0" w:color="auto"/>
        <w:bottom w:val="none" w:sz="0" w:space="0" w:color="auto"/>
        <w:right w:val="none" w:sz="0" w:space="0" w:color="auto"/>
      </w:divBdr>
    </w:div>
    <w:div w:id="1694453785">
      <w:bodyDiv w:val="1"/>
      <w:marLeft w:val="0"/>
      <w:marRight w:val="0"/>
      <w:marTop w:val="0"/>
      <w:marBottom w:val="0"/>
      <w:divBdr>
        <w:top w:val="none" w:sz="0" w:space="0" w:color="auto"/>
        <w:left w:val="none" w:sz="0" w:space="0" w:color="auto"/>
        <w:bottom w:val="none" w:sz="0" w:space="0" w:color="auto"/>
        <w:right w:val="none" w:sz="0" w:space="0" w:color="auto"/>
      </w:divBdr>
    </w:div>
    <w:div w:id="1695110671">
      <w:bodyDiv w:val="1"/>
      <w:marLeft w:val="0"/>
      <w:marRight w:val="0"/>
      <w:marTop w:val="0"/>
      <w:marBottom w:val="0"/>
      <w:divBdr>
        <w:top w:val="none" w:sz="0" w:space="0" w:color="auto"/>
        <w:left w:val="none" w:sz="0" w:space="0" w:color="auto"/>
        <w:bottom w:val="none" w:sz="0" w:space="0" w:color="auto"/>
        <w:right w:val="none" w:sz="0" w:space="0" w:color="auto"/>
      </w:divBdr>
    </w:div>
    <w:div w:id="1695224314">
      <w:bodyDiv w:val="1"/>
      <w:marLeft w:val="0"/>
      <w:marRight w:val="0"/>
      <w:marTop w:val="0"/>
      <w:marBottom w:val="0"/>
      <w:divBdr>
        <w:top w:val="none" w:sz="0" w:space="0" w:color="auto"/>
        <w:left w:val="none" w:sz="0" w:space="0" w:color="auto"/>
        <w:bottom w:val="none" w:sz="0" w:space="0" w:color="auto"/>
        <w:right w:val="none" w:sz="0" w:space="0" w:color="auto"/>
      </w:divBdr>
    </w:div>
    <w:div w:id="1695233205">
      <w:bodyDiv w:val="1"/>
      <w:marLeft w:val="0"/>
      <w:marRight w:val="0"/>
      <w:marTop w:val="0"/>
      <w:marBottom w:val="0"/>
      <w:divBdr>
        <w:top w:val="none" w:sz="0" w:space="0" w:color="auto"/>
        <w:left w:val="none" w:sz="0" w:space="0" w:color="auto"/>
        <w:bottom w:val="none" w:sz="0" w:space="0" w:color="auto"/>
        <w:right w:val="none" w:sz="0" w:space="0" w:color="auto"/>
      </w:divBdr>
    </w:div>
    <w:div w:id="1695306640">
      <w:bodyDiv w:val="1"/>
      <w:marLeft w:val="0"/>
      <w:marRight w:val="0"/>
      <w:marTop w:val="0"/>
      <w:marBottom w:val="0"/>
      <w:divBdr>
        <w:top w:val="none" w:sz="0" w:space="0" w:color="auto"/>
        <w:left w:val="none" w:sz="0" w:space="0" w:color="auto"/>
        <w:bottom w:val="none" w:sz="0" w:space="0" w:color="auto"/>
        <w:right w:val="none" w:sz="0" w:space="0" w:color="auto"/>
      </w:divBdr>
    </w:div>
    <w:div w:id="1695376512">
      <w:bodyDiv w:val="1"/>
      <w:marLeft w:val="0"/>
      <w:marRight w:val="0"/>
      <w:marTop w:val="0"/>
      <w:marBottom w:val="0"/>
      <w:divBdr>
        <w:top w:val="none" w:sz="0" w:space="0" w:color="auto"/>
        <w:left w:val="none" w:sz="0" w:space="0" w:color="auto"/>
        <w:bottom w:val="none" w:sz="0" w:space="0" w:color="auto"/>
        <w:right w:val="none" w:sz="0" w:space="0" w:color="auto"/>
      </w:divBdr>
    </w:div>
    <w:div w:id="1695382747">
      <w:bodyDiv w:val="1"/>
      <w:marLeft w:val="0"/>
      <w:marRight w:val="0"/>
      <w:marTop w:val="0"/>
      <w:marBottom w:val="0"/>
      <w:divBdr>
        <w:top w:val="none" w:sz="0" w:space="0" w:color="auto"/>
        <w:left w:val="none" w:sz="0" w:space="0" w:color="auto"/>
        <w:bottom w:val="none" w:sz="0" w:space="0" w:color="auto"/>
        <w:right w:val="none" w:sz="0" w:space="0" w:color="auto"/>
      </w:divBdr>
    </w:div>
    <w:div w:id="1695422808">
      <w:bodyDiv w:val="1"/>
      <w:marLeft w:val="0"/>
      <w:marRight w:val="0"/>
      <w:marTop w:val="0"/>
      <w:marBottom w:val="0"/>
      <w:divBdr>
        <w:top w:val="none" w:sz="0" w:space="0" w:color="auto"/>
        <w:left w:val="none" w:sz="0" w:space="0" w:color="auto"/>
        <w:bottom w:val="none" w:sz="0" w:space="0" w:color="auto"/>
        <w:right w:val="none" w:sz="0" w:space="0" w:color="auto"/>
      </w:divBdr>
    </w:div>
    <w:div w:id="1695423979">
      <w:bodyDiv w:val="1"/>
      <w:marLeft w:val="0"/>
      <w:marRight w:val="0"/>
      <w:marTop w:val="0"/>
      <w:marBottom w:val="0"/>
      <w:divBdr>
        <w:top w:val="none" w:sz="0" w:space="0" w:color="auto"/>
        <w:left w:val="none" w:sz="0" w:space="0" w:color="auto"/>
        <w:bottom w:val="none" w:sz="0" w:space="0" w:color="auto"/>
        <w:right w:val="none" w:sz="0" w:space="0" w:color="auto"/>
      </w:divBdr>
    </w:div>
    <w:div w:id="1695497887">
      <w:bodyDiv w:val="1"/>
      <w:marLeft w:val="0"/>
      <w:marRight w:val="0"/>
      <w:marTop w:val="0"/>
      <w:marBottom w:val="0"/>
      <w:divBdr>
        <w:top w:val="none" w:sz="0" w:space="0" w:color="auto"/>
        <w:left w:val="none" w:sz="0" w:space="0" w:color="auto"/>
        <w:bottom w:val="none" w:sz="0" w:space="0" w:color="auto"/>
        <w:right w:val="none" w:sz="0" w:space="0" w:color="auto"/>
      </w:divBdr>
    </w:div>
    <w:div w:id="1695497932">
      <w:bodyDiv w:val="1"/>
      <w:marLeft w:val="0"/>
      <w:marRight w:val="0"/>
      <w:marTop w:val="0"/>
      <w:marBottom w:val="0"/>
      <w:divBdr>
        <w:top w:val="none" w:sz="0" w:space="0" w:color="auto"/>
        <w:left w:val="none" w:sz="0" w:space="0" w:color="auto"/>
        <w:bottom w:val="none" w:sz="0" w:space="0" w:color="auto"/>
        <w:right w:val="none" w:sz="0" w:space="0" w:color="auto"/>
      </w:divBdr>
    </w:div>
    <w:div w:id="1695689521">
      <w:bodyDiv w:val="1"/>
      <w:marLeft w:val="0"/>
      <w:marRight w:val="0"/>
      <w:marTop w:val="0"/>
      <w:marBottom w:val="0"/>
      <w:divBdr>
        <w:top w:val="none" w:sz="0" w:space="0" w:color="auto"/>
        <w:left w:val="none" w:sz="0" w:space="0" w:color="auto"/>
        <w:bottom w:val="none" w:sz="0" w:space="0" w:color="auto"/>
        <w:right w:val="none" w:sz="0" w:space="0" w:color="auto"/>
      </w:divBdr>
    </w:div>
    <w:div w:id="1695689530">
      <w:bodyDiv w:val="1"/>
      <w:marLeft w:val="0"/>
      <w:marRight w:val="0"/>
      <w:marTop w:val="0"/>
      <w:marBottom w:val="0"/>
      <w:divBdr>
        <w:top w:val="none" w:sz="0" w:space="0" w:color="auto"/>
        <w:left w:val="none" w:sz="0" w:space="0" w:color="auto"/>
        <w:bottom w:val="none" w:sz="0" w:space="0" w:color="auto"/>
        <w:right w:val="none" w:sz="0" w:space="0" w:color="auto"/>
      </w:divBdr>
    </w:div>
    <w:div w:id="1695695422">
      <w:bodyDiv w:val="1"/>
      <w:marLeft w:val="0"/>
      <w:marRight w:val="0"/>
      <w:marTop w:val="0"/>
      <w:marBottom w:val="0"/>
      <w:divBdr>
        <w:top w:val="none" w:sz="0" w:space="0" w:color="auto"/>
        <w:left w:val="none" w:sz="0" w:space="0" w:color="auto"/>
        <w:bottom w:val="none" w:sz="0" w:space="0" w:color="auto"/>
        <w:right w:val="none" w:sz="0" w:space="0" w:color="auto"/>
      </w:divBdr>
    </w:div>
    <w:div w:id="1695769555">
      <w:bodyDiv w:val="1"/>
      <w:marLeft w:val="0"/>
      <w:marRight w:val="0"/>
      <w:marTop w:val="0"/>
      <w:marBottom w:val="0"/>
      <w:divBdr>
        <w:top w:val="none" w:sz="0" w:space="0" w:color="auto"/>
        <w:left w:val="none" w:sz="0" w:space="0" w:color="auto"/>
        <w:bottom w:val="none" w:sz="0" w:space="0" w:color="auto"/>
        <w:right w:val="none" w:sz="0" w:space="0" w:color="auto"/>
      </w:divBdr>
    </w:div>
    <w:div w:id="1695836838">
      <w:bodyDiv w:val="1"/>
      <w:marLeft w:val="0"/>
      <w:marRight w:val="0"/>
      <w:marTop w:val="0"/>
      <w:marBottom w:val="0"/>
      <w:divBdr>
        <w:top w:val="none" w:sz="0" w:space="0" w:color="auto"/>
        <w:left w:val="none" w:sz="0" w:space="0" w:color="auto"/>
        <w:bottom w:val="none" w:sz="0" w:space="0" w:color="auto"/>
        <w:right w:val="none" w:sz="0" w:space="0" w:color="auto"/>
      </w:divBdr>
    </w:div>
    <w:div w:id="1695882634">
      <w:bodyDiv w:val="1"/>
      <w:marLeft w:val="0"/>
      <w:marRight w:val="0"/>
      <w:marTop w:val="0"/>
      <w:marBottom w:val="0"/>
      <w:divBdr>
        <w:top w:val="none" w:sz="0" w:space="0" w:color="auto"/>
        <w:left w:val="none" w:sz="0" w:space="0" w:color="auto"/>
        <w:bottom w:val="none" w:sz="0" w:space="0" w:color="auto"/>
        <w:right w:val="none" w:sz="0" w:space="0" w:color="auto"/>
      </w:divBdr>
    </w:div>
    <w:div w:id="1695888979">
      <w:bodyDiv w:val="1"/>
      <w:marLeft w:val="0"/>
      <w:marRight w:val="0"/>
      <w:marTop w:val="0"/>
      <w:marBottom w:val="0"/>
      <w:divBdr>
        <w:top w:val="none" w:sz="0" w:space="0" w:color="auto"/>
        <w:left w:val="none" w:sz="0" w:space="0" w:color="auto"/>
        <w:bottom w:val="none" w:sz="0" w:space="0" w:color="auto"/>
        <w:right w:val="none" w:sz="0" w:space="0" w:color="auto"/>
      </w:divBdr>
    </w:div>
    <w:div w:id="1695959360">
      <w:bodyDiv w:val="1"/>
      <w:marLeft w:val="0"/>
      <w:marRight w:val="0"/>
      <w:marTop w:val="0"/>
      <w:marBottom w:val="0"/>
      <w:divBdr>
        <w:top w:val="none" w:sz="0" w:space="0" w:color="auto"/>
        <w:left w:val="none" w:sz="0" w:space="0" w:color="auto"/>
        <w:bottom w:val="none" w:sz="0" w:space="0" w:color="auto"/>
        <w:right w:val="none" w:sz="0" w:space="0" w:color="auto"/>
      </w:divBdr>
    </w:div>
    <w:div w:id="1695959910">
      <w:bodyDiv w:val="1"/>
      <w:marLeft w:val="0"/>
      <w:marRight w:val="0"/>
      <w:marTop w:val="0"/>
      <w:marBottom w:val="0"/>
      <w:divBdr>
        <w:top w:val="none" w:sz="0" w:space="0" w:color="auto"/>
        <w:left w:val="none" w:sz="0" w:space="0" w:color="auto"/>
        <w:bottom w:val="none" w:sz="0" w:space="0" w:color="auto"/>
        <w:right w:val="none" w:sz="0" w:space="0" w:color="auto"/>
      </w:divBdr>
    </w:div>
    <w:div w:id="1696031237">
      <w:bodyDiv w:val="1"/>
      <w:marLeft w:val="0"/>
      <w:marRight w:val="0"/>
      <w:marTop w:val="0"/>
      <w:marBottom w:val="0"/>
      <w:divBdr>
        <w:top w:val="none" w:sz="0" w:space="0" w:color="auto"/>
        <w:left w:val="none" w:sz="0" w:space="0" w:color="auto"/>
        <w:bottom w:val="none" w:sz="0" w:space="0" w:color="auto"/>
        <w:right w:val="none" w:sz="0" w:space="0" w:color="auto"/>
      </w:divBdr>
    </w:div>
    <w:div w:id="1696032293">
      <w:bodyDiv w:val="1"/>
      <w:marLeft w:val="0"/>
      <w:marRight w:val="0"/>
      <w:marTop w:val="0"/>
      <w:marBottom w:val="0"/>
      <w:divBdr>
        <w:top w:val="none" w:sz="0" w:space="0" w:color="auto"/>
        <w:left w:val="none" w:sz="0" w:space="0" w:color="auto"/>
        <w:bottom w:val="none" w:sz="0" w:space="0" w:color="auto"/>
        <w:right w:val="none" w:sz="0" w:space="0" w:color="auto"/>
      </w:divBdr>
    </w:div>
    <w:div w:id="1696032459">
      <w:bodyDiv w:val="1"/>
      <w:marLeft w:val="0"/>
      <w:marRight w:val="0"/>
      <w:marTop w:val="0"/>
      <w:marBottom w:val="0"/>
      <w:divBdr>
        <w:top w:val="none" w:sz="0" w:space="0" w:color="auto"/>
        <w:left w:val="none" w:sz="0" w:space="0" w:color="auto"/>
        <w:bottom w:val="none" w:sz="0" w:space="0" w:color="auto"/>
        <w:right w:val="none" w:sz="0" w:space="0" w:color="auto"/>
      </w:divBdr>
    </w:div>
    <w:div w:id="1696036159">
      <w:bodyDiv w:val="1"/>
      <w:marLeft w:val="0"/>
      <w:marRight w:val="0"/>
      <w:marTop w:val="0"/>
      <w:marBottom w:val="0"/>
      <w:divBdr>
        <w:top w:val="none" w:sz="0" w:space="0" w:color="auto"/>
        <w:left w:val="none" w:sz="0" w:space="0" w:color="auto"/>
        <w:bottom w:val="none" w:sz="0" w:space="0" w:color="auto"/>
        <w:right w:val="none" w:sz="0" w:space="0" w:color="auto"/>
      </w:divBdr>
    </w:div>
    <w:div w:id="1696156754">
      <w:bodyDiv w:val="1"/>
      <w:marLeft w:val="0"/>
      <w:marRight w:val="0"/>
      <w:marTop w:val="0"/>
      <w:marBottom w:val="0"/>
      <w:divBdr>
        <w:top w:val="none" w:sz="0" w:space="0" w:color="auto"/>
        <w:left w:val="none" w:sz="0" w:space="0" w:color="auto"/>
        <w:bottom w:val="none" w:sz="0" w:space="0" w:color="auto"/>
        <w:right w:val="none" w:sz="0" w:space="0" w:color="auto"/>
      </w:divBdr>
    </w:div>
    <w:div w:id="1696229156">
      <w:bodyDiv w:val="1"/>
      <w:marLeft w:val="0"/>
      <w:marRight w:val="0"/>
      <w:marTop w:val="0"/>
      <w:marBottom w:val="0"/>
      <w:divBdr>
        <w:top w:val="none" w:sz="0" w:space="0" w:color="auto"/>
        <w:left w:val="none" w:sz="0" w:space="0" w:color="auto"/>
        <w:bottom w:val="none" w:sz="0" w:space="0" w:color="auto"/>
        <w:right w:val="none" w:sz="0" w:space="0" w:color="auto"/>
      </w:divBdr>
    </w:div>
    <w:div w:id="1696229255">
      <w:bodyDiv w:val="1"/>
      <w:marLeft w:val="0"/>
      <w:marRight w:val="0"/>
      <w:marTop w:val="0"/>
      <w:marBottom w:val="0"/>
      <w:divBdr>
        <w:top w:val="none" w:sz="0" w:space="0" w:color="auto"/>
        <w:left w:val="none" w:sz="0" w:space="0" w:color="auto"/>
        <w:bottom w:val="none" w:sz="0" w:space="0" w:color="auto"/>
        <w:right w:val="none" w:sz="0" w:space="0" w:color="auto"/>
      </w:divBdr>
    </w:div>
    <w:div w:id="1696229986">
      <w:bodyDiv w:val="1"/>
      <w:marLeft w:val="0"/>
      <w:marRight w:val="0"/>
      <w:marTop w:val="0"/>
      <w:marBottom w:val="0"/>
      <w:divBdr>
        <w:top w:val="none" w:sz="0" w:space="0" w:color="auto"/>
        <w:left w:val="none" w:sz="0" w:space="0" w:color="auto"/>
        <w:bottom w:val="none" w:sz="0" w:space="0" w:color="auto"/>
        <w:right w:val="none" w:sz="0" w:space="0" w:color="auto"/>
      </w:divBdr>
    </w:div>
    <w:div w:id="1696342459">
      <w:bodyDiv w:val="1"/>
      <w:marLeft w:val="0"/>
      <w:marRight w:val="0"/>
      <w:marTop w:val="0"/>
      <w:marBottom w:val="0"/>
      <w:divBdr>
        <w:top w:val="none" w:sz="0" w:space="0" w:color="auto"/>
        <w:left w:val="none" w:sz="0" w:space="0" w:color="auto"/>
        <w:bottom w:val="none" w:sz="0" w:space="0" w:color="auto"/>
        <w:right w:val="none" w:sz="0" w:space="0" w:color="auto"/>
      </w:divBdr>
    </w:div>
    <w:div w:id="1696348147">
      <w:bodyDiv w:val="1"/>
      <w:marLeft w:val="0"/>
      <w:marRight w:val="0"/>
      <w:marTop w:val="0"/>
      <w:marBottom w:val="0"/>
      <w:divBdr>
        <w:top w:val="none" w:sz="0" w:space="0" w:color="auto"/>
        <w:left w:val="none" w:sz="0" w:space="0" w:color="auto"/>
        <w:bottom w:val="none" w:sz="0" w:space="0" w:color="auto"/>
        <w:right w:val="none" w:sz="0" w:space="0" w:color="auto"/>
      </w:divBdr>
    </w:div>
    <w:div w:id="1696422315">
      <w:bodyDiv w:val="1"/>
      <w:marLeft w:val="0"/>
      <w:marRight w:val="0"/>
      <w:marTop w:val="0"/>
      <w:marBottom w:val="0"/>
      <w:divBdr>
        <w:top w:val="none" w:sz="0" w:space="0" w:color="auto"/>
        <w:left w:val="none" w:sz="0" w:space="0" w:color="auto"/>
        <w:bottom w:val="none" w:sz="0" w:space="0" w:color="auto"/>
        <w:right w:val="none" w:sz="0" w:space="0" w:color="auto"/>
      </w:divBdr>
    </w:div>
    <w:div w:id="1696465386">
      <w:bodyDiv w:val="1"/>
      <w:marLeft w:val="0"/>
      <w:marRight w:val="0"/>
      <w:marTop w:val="0"/>
      <w:marBottom w:val="0"/>
      <w:divBdr>
        <w:top w:val="none" w:sz="0" w:space="0" w:color="auto"/>
        <w:left w:val="none" w:sz="0" w:space="0" w:color="auto"/>
        <w:bottom w:val="none" w:sz="0" w:space="0" w:color="auto"/>
        <w:right w:val="none" w:sz="0" w:space="0" w:color="auto"/>
      </w:divBdr>
    </w:div>
    <w:div w:id="1696494401">
      <w:bodyDiv w:val="1"/>
      <w:marLeft w:val="0"/>
      <w:marRight w:val="0"/>
      <w:marTop w:val="0"/>
      <w:marBottom w:val="0"/>
      <w:divBdr>
        <w:top w:val="none" w:sz="0" w:space="0" w:color="auto"/>
        <w:left w:val="none" w:sz="0" w:space="0" w:color="auto"/>
        <w:bottom w:val="none" w:sz="0" w:space="0" w:color="auto"/>
        <w:right w:val="none" w:sz="0" w:space="0" w:color="auto"/>
      </w:divBdr>
    </w:div>
    <w:div w:id="1696496470">
      <w:bodyDiv w:val="1"/>
      <w:marLeft w:val="0"/>
      <w:marRight w:val="0"/>
      <w:marTop w:val="0"/>
      <w:marBottom w:val="0"/>
      <w:divBdr>
        <w:top w:val="none" w:sz="0" w:space="0" w:color="auto"/>
        <w:left w:val="none" w:sz="0" w:space="0" w:color="auto"/>
        <w:bottom w:val="none" w:sz="0" w:space="0" w:color="auto"/>
        <w:right w:val="none" w:sz="0" w:space="0" w:color="auto"/>
      </w:divBdr>
    </w:div>
    <w:div w:id="1696688137">
      <w:bodyDiv w:val="1"/>
      <w:marLeft w:val="0"/>
      <w:marRight w:val="0"/>
      <w:marTop w:val="0"/>
      <w:marBottom w:val="0"/>
      <w:divBdr>
        <w:top w:val="none" w:sz="0" w:space="0" w:color="auto"/>
        <w:left w:val="none" w:sz="0" w:space="0" w:color="auto"/>
        <w:bottom w:val="none" w:sz="0" w:space="0" w:color="auto"/>
        <w:right w:val="none" w:sz="0" w:space="0" w:color="auto"/>
      </w:divBdr>
    </w:div>
    <w:div w:id="1696736679">
      <w:bodyDiv w:val="1"/>
      <w:marLeft w:val="0"/>
      <w:marRight w:val="0"/>
      <w:marTop w:val="0"/>
      <w:marBottom w:val="0"/>
      <w:divBdr>
        <w:top w:val="none" w:sz="0" w:space="0" w:color="auto"/>
        <w:left w:val="none" w:sz="0" w:space="0" w:color="auto"/>
        <w:bottom w:val="none" w:sz="0" w:space="0" w:color="auto"/>
        <w:right w:val="none" w:sz="0" w:space="0" w:color="auto"/>
      </w:divBdr>
    </w:div>
    <w:div w:id="1696928990">
      <w:bodyDiv w:val="1"/>
      <w:marLeft w:val="0"/>
      <w:marRight w:val="0"/>
      <w:marTop w:val="0"/>
      <w:marBottom w:val="0"/>
      <w:divBdr>
        <w:top w:val="none" w:sz="0" w:space="0" w:color="auto"/>
        <w:left w:val="none" w:sz="0" w:space="0" w:color="auto"/>
        <w:bottom w:val="none" w:sz="0" w:space="0" w:color="auto"/>
        <w:right w:val="none" w:sz="0" w:space="0" w:color="auto"/>
      </w:divBdr>
    </w:div>
    <w:div w:id="1697074996">
      <w:bodyDiv w:val="1"/>
      <w:marLeft w:val="0"/>
      <w:marRight w:val="0"/>
      <w:marTop w:val="0"/>
      <w:marBottom w:val="0"/>
      <w:divBdr>
        <w:top w:val="none" w:sz="0" w:space="0" w:color="auto"/>
        <w:left w:val="none" w:sz="0" w:space="0" w:color="auto"/>
        <w:bottom w:val="none" w:sz="0" w:space="0" w:color="auto"/>
        <w:right w:val="none" w:sz="0" w:space="0" w:color="auto"/>
      </w:divBdr>
    </w:div>
    <w:div w:id="1697148170">
      <w:bodyDiv w:val="1"/>
      <w:marLeft w:val="0"/>
      <w:marRight w:val="0"/>
      <w:marTop w:val="0"/>
      <w:marBottom w:val="0"/>
      <w:divBdr>
        <w:top w:val="none" w:sz="0" w:space="0" w:color="auto"/>
        <w:left w:val="none" w:sz="0" w:space="0" w:color="auto"/>
        <w:bottom w:val="none" w:sz="0" w:space="0" w:color="auto"/>
        <w:right w:val="none" w:sz="0" w:space="0" w:color="auto"/>
      </w:divBdr>
    </w:div>
    <w:div w:id="1697149111">
      <w:bodyDiv w:val="1"/>
      <w:marLeft w:val="0"/>
      <w:marRight w:val="0"/>
      <w:marTop w:val="0"/>
      <w:marBottom w:val="0"/>
      <w:divBdr>
        <w:top w:val="none" w:sz="0" w:space="0" w:color="auto"/>
        <w:left w:val="none" w:sz="0" w:space="0" w:color="auto"/>
        <w:bottom w:val="none" w:sz="0" w:space="0" w:color="auto"/>
        <w:right w:val="none" w:sz="0" w:space="0" w:color="auto"/>
      </w:divBdr>
    </w:div>
    <w:div w:id="1697149789">
      <w:bodyDiv w:val="1"/>
      <w:marLeft w:val="0"/>
      <w:marRight w:val="0"/>
      <w:marTop w:val="0"/>
      <w:marBottom w:val="0"/>
      <w:divBdr>
        <w:top w:val="none" w:sz="0" w:space="0" w:color="auto"/>
        <w:left w:val="none" w:sz="0" w:space="0" w:color="auto"/>
        <w:bottom w:val="none" w:sz="0" w:space="0" w:color="auto"/>
        <w:right w:val="none" w:sz="0" w:space="0" w:color="auto"/>
      </w:divBdr>
    </w:div>
    <w:div w:id="1697150969">
      <w:bodyDiv w:val="1"/>
      <w:marLeft w:val="0"/>
      <w:marRight w:val="0"/>
      <w:marTop w:val="0"/>
      <w:marBottom w:val="0"/>
      <w:divBdr>
        <w:top w:val="none" w:sz="0" w:space="0" w:color="auto"/>
        <w:left w:val="none" w:sz="0" w:space="0" w:color="auto"/>
        <w:bottom w:val="none" w:sz="0" w:space="0" w:color="auto"/>
        <w:right w:val="none" w:sz="0" w:space="0" w:color="auto"/>
      </w:divBdr>
    </w:div>
    <w:div w:id="1697271842">
      <w:bodyDiv w:val="1"/>
      <w:marLeft w:val="0"/>
      <w:marRight w:val="0"/>
      <w:marTop w:val="0"/>
      <w:marBottom w:val="0"/>
      <w:divBdr>
        <w:top w:val="none" w:sz="0" w:space="0" w:color="auto"/>
        <w:left w:val="none" w:sz="0" w:space="0" w:color="auto"/>
        <w:bottom w:val="none" w:sz="0" w:space="0" w:color="auto"/>
        <w:right w:val="none" w:sz="0" w:space="0" w:color="auto"/>
      </w:divBdr>
    </w:div>
    <w:div w:id="1697389248">
      <w:bodyDiv w:val="1"/>
      <w:marLeft w:val="0"/>
      <w:marRight w:val="0"/>
      <w:marTop w:val="0"/>
      <w:marBottom w:val="0"/>
      <w:divBdr>
        <w:top w:val="none" w:sz="0" w:space="0" w:color="auto"/>
        <w:left w:val="none" w:sz="0" w:space="0" w:color="auto"/>
        <w:bottom w:val="none" w:sz="0" w:space="0" w:color="auto"/>
        <w:right w:val="none" w:sz="0" w:space="0" w:color="auto"/>
      </w:divBdr>
    </w:div>
    <w:div w:id="1697583783">
      <w:bodyDiv w:val="1"/>
      <w:marLeft w:val="0"/>
      <w:marRight w:val="0"/>
      <w:marTop w:val="0"/>
      <w:marBottom w:val="0"/>
      <w:divBdr>
        <w:top w:val="none" w:sz="0" w:space="0" w:color="auto"/>
        <w:left w:val="none" w:sz="0" w:space="0" w:color="auto"/>
        <w:bottom w:val="none" w:sz="0" w:space="0" w:color="auto"/>
        <w:right w:val="none" w:sz="0" w:space="0" w:color="auto"/>
      </w:divBdr>
    </w:div>
    <w:div w:id="1697653137">
      <w:bodyDiv w:val="1"/>
      <w:marLeft w:val="0"/>
      <w:marRight w:val="0"/>
      <w:marTop w:val="0"/>
      <w:marBottom w:val="0"/>
      <w:divBdr>
        <w:top w:val="none" w:sz="0" w:space="0" w:color="auto"/>
        <w:left w:val="none" w:sz="0" w:space="0" w:color="auto"/>
        <w:bottom w:val="none" w:sz="0" w:space="0" w:color="auto"/>
        <w:right w:val="none" w:sz="0" w:space="0" w:color="auto"/>
      </w:divBdr>
    </w:div>
    <w:div w:id="1697655187">
      <w:bodyDiv w:val="1"/>
      <w:marLeft w:val="0"/>
      <w:marRight w:val="0"/>
      <w:marTop w:val="0"/>
      <w:marBottom w:val="0"/>
      <w:divBdr>
        <w:top w:val="none" w:sz="0" w:space="0" w:color="auto"/>
        <w:left w:val="none" w:sz="0" w:space="0" w:color="auto"/>
        <w:bottom w:val="none" w:sz="0" w:space="0" w:color="auto"/>
        <w:right w:val="none" w:sz="0" w:space="0" w:color="auto"/>
      </w:divBdr>
    </w:div>
    <w:div w:id="1697728233">
      <w:bodyDiv w:val="1"/>
      <w:marLeft w:val="0"/>
      <w:marRight w:val="0"/>
      <w:marTop w:val="0"/>
      <w:marBottom w:val="0"/>
      <w:divBdr>
        <w:top w:val="none" w:sz="0" w:space="0" w:color="auto"/>
        <w:left w:val="none" w:sz="0" w:space="0" w:color="auto"/>
        <w:bottom w:val="none" w:sz="0" w:space="0" w:color="auto"/>
        <w:right w:val="none" w:sz="0" w:space="0" w:color="auto"/>
      </w:divBdr>
    </w:div>
    <w:div w:id="1697852083">
      <w:bodyDiv w:val="1"/>
      <w:marLeft w:val="0"/>
      <w:marRight w:val="0"/>
      <w:marTop w:val="0"/>
      <w:marBottom w:val="0"/>
      <w:divBdr>
        <w:top w:val="none" w:sz="0" w:space="0" w:color="auto"/>
        <w:left w:val="none" w:sz="0" w:space="0" w:color="auto"/>
        <w:bottom w:val="none" w:sz="0" w:space="0" w:color="auto"/>
        <w:right w:val="none" w:sz="0" w:space="0" w:color="auto"/>
      </w:divBdr>
    </w:div>
    <w:div w:id="1698119909">
      <w:bodyDiv w:val="1"/>
      <w:marLeft w:val="0"/>
      <w:marRight w:val="0"/>
      <w:marTop w:val="0"/>
      <w:marBottom w:val="0"/>
      <w:divBdr>
        <w:top w:val="none" w:sz="0" w:space="0" w:color="auto"/>
        <w:left w:val="none" w:sz="0" w:space="0" w:color="auto"/>
        <w:bottom w:val="none" w:sz="0" w:space="0" w:color="auto"/>
        <w:right w:val="none" w:sz="0" w:space="0" w:color="auto"/>
      </w:divBdr>
    </w:div>
    <w:div w:id="1698196499">
      <w:bodyDiv w:val="1"/>
      <w:marLeft w:val="0"/>
      <w:marRight w:val="0"/>
      <w:marTop w:val="0"/>
      <w:marBottom w:val="0"/>
      <w:divBdr>
        <w:top w:val="none" w:sz="0" w:space="0" w:color="auto"/>
        <w:left w:val="none" w:sz="0" w:space="0" w:color="auto"/>
        <w:bottom w:val="none" w:sz="0" w:space="0" w:color="auto"/>
        <w:right w:val="none" w:sz="0" w:space="0" w:color="auto"/>
      </w:divBdr>
    </w:div>
    <w:div w:id="1698198214">
      <w:bodyDiv w:val="1"/>
      <w:marLeft w:val="0"/>
      <w:marRight w:val="0"/>
      <w:marTop w:val="0"/>
      <w:marBottom w:val="0"/>
      <w:divBdr>
        <w:top w:val="none" w:sz="0" w:space="0" w:color="auto"/>
        <w:left w:val="none" w:sz="0" w:space="0" w:color="auto"/>
        <w:bottom w:val="none" w:sz="0" w:space="0" w:color="auto"/>
        <w:right w:val="none" w:sz="0" w:space="0" w:color="auto"/>
      </w:divBdr>
    </w:div>
    <w:div w:id="1698235721">
      <w:bodyDiv w:val="1"/>
      <w:marLeft w:val="0"/>
      <w:marRight w:val="0"/>
      <w:marTop w:val="0"/>
      <w:marBottom w:val="0"/>
      <w:divBdr>
        <w:top w:val="none" w:sz="0" w:space="0" w:color="auto"/>
        <w:left w:val="none" w:sz="0" w:space="0" w:color="auto"/>
        <w:bottom w:val="none" w:sz="0" w:space="0" w:color="auto"/>
        <w:right w:val="none" w:sz="0" w:space="0" w:color="auto"/>
      </w:divBdr>
    </w:div>
    <w:div w:id="1698240218">
      <w:bodyDiv w:val="1"/>
      <w:marLeft w:val="0"/>
      <w:marRight w:val="0"/>
      <w:marTop w:val="0"/>
      <w:marBottom w:val="0"/>
      <w:divBdr>
        <w:top w:val="none" w:sz="0" w:space="0" w:color="auto"/>
        <w:left w:val="none" w:sz="0" w:space="0" w:color="auto"/>
        <w:bottom w:val="none" w:sz="0" w:space="0" w:color="auto"/>
        <w:right w:val="none" w:sz="0" w:space="0" w:color="auto"/>
      </w:divBdr>
    </w:div>
    <w:div w:id="1698241353">
      <w:bodyDiv w:val="1"/>
      <w:marLeft w:val="0"/>
      <w:marRight w:val="0"/>
      <w:marTop w:val="0"/>
      <w:marBottom w:val="0"/>
      <w:divBdr>
        <w:top w:val="none" w:sz="0" w:space="0" w:color="auto"/>
        <w:left w:val="none" w:sz="0" w:space="0" w:color="auto"/>
        <w:bottom w:val="none" w:sz="0" w:space="0" w:color="auto"/>
        <w:right w:val="none" w:sz="0" w:space="0" w:color="auto"/>
      </w:divBdr>
    </w:div>
    <w:div w:id="1698458213">
      <w:bodyDiv w:val="1"/>
      <w:marLeft w:val="0"/>
      <w:marRight w:val="0"/>
      <w:marTop w:val="0"/>
      <w:marBottom w:val="0"/>
      <w:divBdr>
        <w:top w:val="none" w:sz="0" w:space="0" w:color="auto"/>
        <w:left w:val="none" w:sz="0" w:space="0" w:color="auto"/>
        <w:bottom w:val="none" w:sz="0" w:space="0" w:color="auto"/>
        <w:right w:val="none" w:sz="0" w:space="0" w:color="auto"/>
      </w:divBdr>
    </w:div>
    <w:div w:id="1698505076">
      <w:bodyDiv w:val="1"/>
      <w:marLeft w:val="0"/>
      <w:marRight w:val="0"/>
      <w:marTop w:val="0"/>
      <w:marBottom w:val="0"/>
      <w:divBdr>
        <w:top w:val="none" w:sz="0" w:space="0" w:color="auto"/>
        <w:left w:val="none" w:sz="0" w:space="0" w:color="auto"/>
        <w:bottom w:val="none" w:sz="0" w:space="0" w:color="auto"/>
        <w:right w:val="none" w:sz="0" w:space="0" w:color="auto"/>
      </w:divBdr>
    </w:div>
    <w:div w:id="1698509617">
      <w:bodyDiv w:val="1"/>
      <w:marLeft w:val="0"/>
      <w:marRight w:val="0"/>
      <w:marTop w:val="0"/>
      <w:marBottom w:val="0"/>
      <w:divBdr>
        <w:top w:val="none" w:sz="0" w:space="0" w:color="auto"/>
        <w:left w:val="none" w:sz="0" w:space="0" w:color="auto"/>
        <w:bottom w:val="none" w:sz="0" w:space="0" w:color="auto"/>
        <w:right w:val="none" w:sz="0" w:space="0" w:color="auto"/>
      </w:divBdr>
    </w:div>
    <w:div w:id="1698583156">
      <w:bodyDiv w:val="1"/>
      <w:marLeft w:val="0"/>
      <w:marRight w:val="0"/>
      <w:marTop w:val="0"/>
      <w:marBottom w:val="0"/>
      <w:divBdr>
        <w:top w:val="none" w:sz="0" w:space="0" w:color="auto"/>
        <w:left w:val="none" w:sz="0" w:space="0" w:color="auto"/>
        <w:bottom w:val="none" w:sz="0" w:space="0" w:color="auto"/>
        <w:right w:val="none" w:sz="0" w:space="0" w:color="auto"/>
      </w:divBdr>
    </w:div>
    <w:div w:id="1698583870">
      <w:bodyDiv w:val="1"/>
      <w:marLeft w:val="0"/>
      <w:marRight w:val="0"/>
      <w:marTop w:val="0"/>
      <w:marBottom w:val="0"/>
      <w:divBdr>
        <w:top w:val="none" w:sz="0" w:space="0" w:color="auto"/>
        <w:left w:val="none" w:sz="0" w:space="0" w:color="auto"/>
        <w:bottom w:val="none" w:sz="0" w:space="0" w:color="auto"/>
        <w:right w:val="none" w:sz="0" w:space="0" w:color="auto"/>
      </w:divBdr>
    </w:div>
    <w:div w:id="1698778702">
      <w:bodyDiv w:val="1"/>
      <w:marLeft w:val="0"/>
      <w:marRight w:val="0"/>
      <w:marTop w:val="0"/>
      <w:marBottom w:val="0"/>
      <w:divBdr>
        <w:top w:val="none" w:sz="0" w:space="0" w:color="auto"/>
        <w:left w:val="none" w:sz="0" w:space="0" w:color="auto"/>
        <w:bottom w:val="none" w:sz="0" w:space="0" w:color="auto"/>
        <w:right w:val="none" w:sz="0" w:space="0" w:color="auto"/>
      </w:divBdr>
    </w:div>
    <w:div w:id="1698848410">
      <w:bodyDiv w:val="1"/>
      <w:marLeft w:val="0"/>
      <w:marRight w:val="0"/>
      <w:marTop w:val="0"/>
      <w:marBottom w:val="0"/>
      <w:divBdr>
        <w:top w:val="none" w:sz="0" w:space="0" w:color="auto"/>
        <w:left w:val="none" w:sz="0" w:space="0" w:color="auto"/>
        <w:bottom w:val="none" w:sz="0" w:space="0" w:color="auto"/>
        <w:right w:val="none" w:sz="0" w:space="0" w:color="auto"/>
      </w:divBdr>
    </w:div>
    <w:div w:id="1698895006">
      <w:bodyDiv w:val="1"/>
      <w:marLeft w:val="0"/>
      <w:marRight w:val="0"/>
      <w:marTop w:val="0"/>
      <w:marBottom w:val="0"/>
      <w:divBdr>
        <w:top w:val="none" w:sz="0" w:space="0" w:color="auto"/>
        <w:left w:val="none" w:sz="0" w:space="0" w:color="auto"/>
        <w:bottom w:val="none" w:sz="0" w:space="0" w:color="auto"/>
        <w:right w:val="none" w:sz="0" w:space="0" w:color="auto"/>
      </w:divBdr>
    </w:div>
    <w:div w:id="1698895679">
      <w:bodyDiv w:val="1"/>
      <w:marLeft w:val="0"/>
      <w:marRight w:val="0"/>
      <w:marTop w:val="0"/>
      <w:marBottom w:val="0"/>
      <w:divBdr>
        <w:top w:val="none" w:sz="0" w:space="0" w:color="auto"/>
        <w:left w:val="none" w:sz="0" w:space="0" w:color="auto"/>
        <w:bottom w:val="none" w:sz="0" w:space="0" w:color="auto"/>
        <w:right w:val="none" w:sz="0" w:space="0" w:color="auto"/>
      </w:divBdr>
    </w:div>
    <w:div w:id="1698920275">
      <w:bodyDiv w:val="1"/>
      <w:marLeft w:val="0"/>
      <w:marRight w:val="0"/>
      <w:marTop w:val="0"/>
      <w:marBottom w:val="0"/>
      <w:divBdr>
        <w:top w:val="none" w:sz="0" w:space="0" w:color="auto"/>
        <w:left w:val="none" w:sz="0" w:space="0" w:color="auto"/>
        <w:bottom w:val="none" w:sz="0" w:space="0" w:color="auto"/>
        <w:right w:val="none" w:sz="0" w:space="0" w:color="auto"/>
      </w:divBdr>
    </w:div>
    <w:div w:id="1699038530">
      <w:bodyDiv w:val="1"/>
      <w:marLeft w:val="0"/>
      <w:marRight w:val="0"/>
      <w:marTop w:val="0"/>
      <w:marBottom w:val="0"/>
      <w:divBdr>
        <w:top w:val="none" w:sz="0" w:space="0" w:color="auto"/>
        <w:left w:val="none" w:sz="0" w:space="0" w:color="auto"/>
        <w:bottom w:val="none" w:sz="0" w:space="0" w:color="auto"/>
        <w:right w:val="none" w:sz="0" w:space="0" w:color="auto"/>
      </w:divBdr>
    </w:div>
    <w:div w:id="1699039716">
      <w:bodyDiv w:val="1"/>
      <w:marLeft w:val="0"/>
      <w:marRight w:val="0"/>
      <w:marTop w:val="0"/>
      <w:marBottom w:val="0"/>
      <w:divBdr>
        <w:top w:val="none" w:sz="0" w:space="0" w:color="auto"/>
        <w:left w:val="none" w:sz="0" w:space="0" w:color="auto"/>
        <w:bottom w:val="none" w:sz="0" w:space="0" w:color="auto"/>
        <w:right w:val="none" w:sz="0" w:space="0" w:color="auto"/>
      </w:divBdr>
    </w:div>
    <w:div w:id="1699046580">
      <w:bodyDiv w:val="1"/>
      <w:marLeft w:val="0"/>
      <w:marRight w:val="0"/>
      <w:marTop w:val="0"/>
      <w:marBottom w:val="0"/>
      <w:divBdr>
        <w:top w:val="none" w:sz="0" w:space="0" w:color="auto"/>
        <w:left w:val="none" w:sz="0" w:space="0" w:color="auto"/>
        <w:bottom w:val="none" w:sz="0" w:space="0" w:color="auto"/>
        <w:right w:val="none" w:sz="0" w:space="0" w:color="auto"/>
      </w:divBdr>
    </w:div>
    <w:div w:id="1699114276">
      <w:bodyDiv w:val="1"/>
      <w:marLeft w:val="0"/>
      <w:marRight w:val="0"/>
      <w:marTop w:val="0"/>
      <w:marBottom w:val="0"/>
      <w:divBdr>
        <w:top w:val="none" w:sz="0" w:space="0" w:color="auto"/>
        <w:left w:val="none" w:sz="0" w:space="0" w:color="auto"/>
        <w:bottom w:val="none" w:sz="0" w:space="0" w:color="auto"/>
        <w:right w:val="none" w:sz="0" w:space="0" w:color="auto"/>
      </w:divBdr>
    </w:div>
    <w:div w:id="1699115802">
      <w:bodyDiv w:val="1"/>
      <w:marLeft w:val="0"/>
      <w:marRight w:val="0"/>
      <w:marTop w:val="0"/>
      <w:marBottom w:val="0"/>
      <w:divBdr>
        <w:top w:val="none" w:sz="0" w:space="0" w:color="auto"/>
        <w:left w:val="none" w:sz="0" w:space="0" w:color="auto"/>
        <w:bottom w:val="none" w:sz="0" w:space="0" w:color="auto"/>
        <w:right w:val="none" w:sz="0" w:space="0" w:color="auto"/>
      </w:divBdr>
    </w:div>
    <w:div w:id="1699118904">
      <w:bodyDiv w:val="1"/>
      <w:marLeft w:val="0"/>
      <w:marRight w:val="0"/>
      <w:marTop w:val="0"/>
      <w:marBottom w:val="0"/>
      <w:divBdr>
        <w:top w:val="none" w:sz="0" w:space="0" w:color="auto"/>
        <w:left w:val="none" w:sz="0" w:space="0" w:color="auto"/>
        <w:bottom w:val="none" w:sz="0" w:space="0" w:color="auto"/>
        <w:right w:val="none" w:sz="0" w:space="0" w:color="auto"/>
      </w:divBdr>
    </w:div>
    <w:div w:id="1699158763">
      <w:bodyDiv w:val="1"/>
      <w:marLeft w:val="0"/>
      <w:marRight w:val="0"/>
      <w:marTop w:val="0"/>
      <w:marBottom w:val="0"/>
      <w:divBdr>
        <w:top w:val="none" w:sz="0" w:space="0" w:color="auto"/>
        <w:left w:val="none" w:sz="0" w:space="0" w:color="auto"/>
        <w:bottom w:val="none" w:sz="0" w:space="0" w:color="auto"/>
        <w:right w:val="none" w:sz="0" w:space="0" w:color="auto"/>
      </w:divBdr>
    </w:div>
    <w:div w:id="1699233756">
      <w:bodyDiv w:val="1"/>
      <w:marLeft w:val="0"/>
      <w:marRight w:val="0"/>
      <w:marTop w:val="0"/>
      <w:marBottom w:val="0"/>
      <w:divBdr>
        <w:top w:val="none" w:sz="0" w:space="0" w:color="auto"/>
        <w:left w:val="none" w:sz="0" w:space="0" w:color="auto"/>
        <w:bottom w:val="none" w:sz="0" w:space="0" w:color="auto"/>
        <w:right w:val="none" w:sz="0" w:space="0" w:color="auto"/>
      </w:divBdr>
    </w:div>
    <w:div w:id="1699240413">
      <w:bodyDiv w:val="1"/>
      <w:marLeft w:val="0"/>
      <w:marRight w:val="0"/>
      <w:marTop w:val="0"/>
      <w:marBottom w:val="0"/>
      <w:divBdr>
        <w:top w:val="none" w:sz="0" w:space="0" w:color="auto"/>
        <w:left w:val="none" w:sz="0" w:space="0" w:color="auto"/>
        <w:bottom w:val="none" w:sz="0" w:space="0" w:color="auto"/>
        <w:right w:val="none" w:sz="0" w:space="0" w:color="auto"/>
      </w:divBdr>
    </w:div>
    <w:div w:id="1699350465">
      <w:bodyDiv w:val="1"/>
      <w:marLeft w:val="0"/>
      <w:marRight w:val="0"/>
      <w:marTop w:val="0"/>
      <w:marBottom w:val="0"/>
      <w:divBdr>
        <w:top w:val="none" w:sz="0" w:space="0" w:color="auto"/>
        <w:left w:val="none" w:sz="0" w:space="0" w:color="auto"/>
        <w:bottom w:val="none" w:sz="0" w:space="0" w:color="auto"/>
        <w:right w:val="none" w:sz="0" w:space="0" w:color="auto"/>
      </w:divBdr>
    </w:div>
    <w:div w:id="1699429398">
      <w:bodyDiv w:val="1"/>
      <w:marLeft w:val="0"/>
      <w:marRight w:val="0"/>
      <w:marTop w:val="0"/>
      <w:marBottom w:val="0"/>
      <w:divBdr>
        <w:top w:val="none" w:sz="0" w:space="0" w:color="auto"/>
        <w:left w:val="none" w:sz="0" w:space="0" w:color="auto"/>
        <w:bottom w:val="none" w:sz="0" w:space="0" w:color="auto"/>
        <w:right w:val="none" w:sz="0" w:space="0" w:color="auto"/>
      </w:divBdr>
    </w:div>
    <w:div w:id="1699429657">
      <w:bodyDiv w:val="1"/>
      <w:marLeft w:val="0"/>
      <w:marRight w:val="0"/>
      <w:marTop w:val="0"/>
      <w:marBottom w:val="0"/>
      <w:divBdr>
        <w:top w:val="none" w:sz="0" w:space="0" w:color="auto"/>
        <w:left w:val="none" w:sz="0" w:space="0" w:color="auto"/>
        <w:bottom w:val="none" w:sz="0" w:space="0" w:color="auto"/>
        <w:right w:val="none" w:sz="0" w:space="0" w:color="auto"/>
      </w:divBdr>
    </w:div>
    <w:div w:id="1699433726">
      <w:bodyDiv w:val="1"/>
      <w:marLeft w:val="0"/>
      <w:marRight w:val="0"/>
      <w:marTop w:val="0"/>
      <w:marBottom w:val="0"/>
      <w:divBdr>
        <w:top w:val="none" w:sz="0" w:space="0" w:color="auto"/>
        <w:left w:val="none" w:sz="0" w:space="0" w:color="auto"/>
        <w:bottom w:val="none" w:sz="0" w:space="0" w:color="auto"/>
        <w:right w:val="none" w:sz="0" w:space="0" w:color="auto"/>
      </w:divBdr>
    </w:div>
    <w:div w:id="1699502975">
      <w:bodyDiv w:val="1"/>
      <w:marLeft w:val="0"/>
      <w:marRight w:val="0"/>
      <w:marTop w:val="0"/>
      <w:marBottom w:val="0"/>
      <w:divBdr>
        <w:top w:val="none" w:sz="0" w:space="0" w:color="auto"/>
        <w:left w:val="none" w:sz="0" w:space="0" w:color="auto"/>
        <w:bottom w:val="none" w:sz="0" w:space="0" w:color="auto"/>
        <w:right w:val="none" w:sz="0" w:space="0" w:color="auto"/>
      </w:divBdr>
    </w:div>
    <w:div w:id="1699503033">
      <w:bodyDiv w:val="1"/>
      <w:marLeft w:val="0"/>
      <w:marRight w:val="0"/>
      <w:marTop w:val="0"/>
      <w:marBottom w:val="0"/>
      <w:divBdr>
        <w:top w:val="none" w:sz="0" w:space="0" w:color="auto"/>
        <w:left w:val="none" w:sz="0" w:space="0" w:color="auto"/>
        <w:bottom w:val="none" w:sz="0" w:space="0" w:color="auto"/>
        <w:right w:val="none" w:sz="0" w:space="0" w:color="auto"/>
      </w:divBdr>
    </w:div>
    <w:div w:id="1699701356">
      <w:bodyDiv w:val="1"/>
      <w:marLeft w:val="0"/>
      <w:marRight w:val="0"/>
      <w:marTop w:val="0"/>
      <w:marBottom w:val="0"/>
      <w:divBdr>
        <w:top w:val="none" w:sz="0" w:space="0" w:color="auto"/>
        <w:left w:val="none" w:sz="0" w:space="0" w:color="auto"/>
        <w:bottom w:val="none" w:sz="0" w:space="0" w:color="auto"/>
        <w:right w:val="none" w:sz="0" w:space="0" w:color="auto"/>
      </w:divBdr>
    </w:div>
    <w:div w:id="1699966697">
      <w:bodyDiv w:val="1"/>
      <w:marLeft w:val="0"/>
      <w:marRight w:val="0"/>
      <w:marTop w:val="0"/>
      <w:marBottom w:val="0"/>
      <w:divBdr>
        <w:top w:val="none" w:sz="0" w:space="0" w:color="auto"/>
        <w:left w:val="none" w:sz="0" w:space="0" w:color="auto"/>
        <w:bottom w:val="none" w:sz="0" w:space="0" w:color="auto"/>
        <w:right w:val="none" w:sz="0" w:space="0" w:color="auto"/>
      </w:divBdr>
    </w:div>
    <w:div w:id="1700004525">
      <w:bodyDiv w:val="1"/>
      <w:marLeft w:val="0"/>
      <w:marRight w:val="0"/>
      <w:marTop w:val="0"/>
      <w:marBottom w:val="0"/>
      <w:divBdr>
        <w:top w:val="none" w:sz="0" w:space="0" w:color="auto"/>
        <w:left w:val="none" w:sz="0" w:space="0" w:color="auto"/>
        <w:bottom w:val="none" w:sz="0" w:space="0" w:color="auto"/>
        <w:right w:val="none" w:sz="0" w:space="0" w:color="auto"/>
      </w:divBdr>
    </w:div>
    <w:div w:id="1700081031">
      <w:bodyDiv w:val="1"/>
      <w:marLeft w:val="0"/>
      <w:marRight w:val="0"/>
      <w:marTop w:val="0"/>
      <w:marBottom w:val="0"/>
      <w:divBdr>
        <w:top w:val="none" w:sz="0" w:space="0" w:color="auto"/>
        <w:left w:val="none" w:sz="0" w:space="0" w:color="auto"/>
        <w:bottom w:val="none" w:sz="0" w:space="0" w:color="auto"/>
        <w:right w:val="none" w:sz="0" w:space="0" w:color="auto"/>
      </w:divBdr>
    </w:div>
    <w:div w:id="1700157172">
      <w:bodyDiv w:val="1"/>
      <w:marLeft w:val="0"/>
      <w:marRight w:val="0"/>
      <w:marTop w:val="0"/>
      <w:marBottom w:val="0"/>
      <w:divBdr>
        <w:top w:val="none" w:sz="0" w:space="0" w:color="auto"/>
        <w:left w:val="none" w:sz="0" w:space="0" w:color="auto"/>
        <w:bottom w:val="none" w:sz="0" w:space="0" w:color="auto"/>
        <w:right w:val="none" w:sz="0" w:space="0" w:color="auto"/>
      </w:divBdr>
    </w:div>
    <w:div w:id="1700232430">
      <w:bodyDiv w:val="1"/>
      <w:marLeft w:val="0"/>
      <w:marRight w:val="0"/>
      <w:marTop w:val="0"/>
      <w:marBottom w:val="0"/>
      <w:divBdr>
        <w:top w:val="none" w:sz="0" w:space="0" w:color="auto"/>
        <w:left w:val="none" w:sz="0" w:space="0" w:color="auto"/>
        <w:bottom w:val="none" w:sz="0" w:space="0" w:color="auto"/>
        <w:right w:val="none" w:sz="0" w:space="0" w:color="auto"/>
      </w:divBdr>
    </w:div>
    <w:div w:id="1700278968">
      <w:bodyDiv w:val="1"/>
      <w:marLeft w:val="0"/>
      <w:marRight w:val="0"/>
      <w:marTop w:val="0"/>
      <w:marBottom w:val="0"/>
      <w:divBdr>
        <w:top w:val="none" w:sz="0" w:space="0" w:color="auto"/>
        <w:left w:val="none" w:sz="0" w:space="0" w:color="auto"/>
        <w:bottom w:val="none" w:sz="0" w:space="0" w:color="auto"/>
        <w:right w:val="none" w:sz="0" w:space="0" w:color="auto"/>
      </w:divBdr>
    </w:div>
    <w:div w:id="1700279001">
      <w:bodyDiv w:val="1"/>
      <w:marLeft w:val="0"/>
      <w:marRight w:val="0"/>
      <w:marTop w:val="0"/>
      <w:marBottom w:val="0"/>
      <w:divBdr>
        <w:top w:val="none" w:sz="0" w:space="0" w:color="auto"/>
        <w:left w:val="none" w:sz="0" w:space="0" w:color="auto"/>
        <w:bottom w:val="none" w:sz="0" w:space="0" w:color="auto"/>
        <w:right w:val="none" w:sz="0" w:space="0" w:color="auto"/>
      </w:divBdr>
    </w:div>
    <w:div w:id="1700349808">
      <w:bodyDiv w:val="1"/>
      <w:marLeft w:val="0"/>
      <w:marRight w:val="0"/>
      <w:marTop w:val="0"/>
      <w:marBottom w:val="0"/>
      <w:divBdr>
        <w:top w:val="none" w:sz="0" w:space="0" w:color="auto"/>
        <w:left w:val="none" w:sz="0" w:space="0" w:color="auto"/>
        <w:bottom w:val="none" w:sz="0" w:space="0" w:color="auto"/>
        <w:right w:val="none" w:sz="0" w:space="0" w:color="auto"/>
      </w:divBdr>
    </w:div>
    <w:div w:id="1700350181">
      <w:bodyDiv w:val="1"/>
      <w:marLeft w:val="0"/>
      <w:marRight w:val="0"/>
      <w:marTop w:val="0"/>
      <w:marBottom w:val="0"/>
      <w:divBdr>
        <w:top w:val="none" w:sz="0" w:space="0" w:color="auto"/>
        <w:left w:val="none" w:sz="0" w:space="0" w:color="auto"/>
        <w:bottom w:val="none" w:sz="0" w:space="0" w:color="auto"/>
        <w:right w:val="none" w:sz="0" w:space="0" w:color="auto"/>
      </w:divBdr>
    </w:div>
    <w:div w:id="1700350716">
      <w:bodyDiv w:val="1"/>
      <w:marLeft w:val="0"/>
      <w:marRight w:val="0"/>
      <w:marTop w:val="0"/>
      <w:marBottom w:val="0"/>
      <w:divBdr>
        <w:top w:val="none" w:sz="0" w:space="0" w:color="auto"/>
        <w:left w:val="none" w:sz="0" w:space="0" w:color="auto"/>
        <w:bottom w:val="none" w:sz="0" w:space="0" w:color="auto"/>
        <w:right w:val="none" w:sz="0" w:space="0" w:color="auto"/>
      </w:divBdr>
    </w:div>
    <w:div w:id="1700353353">
      <w:bodyDiv w:val="1"/>
      <w:marLeft w:val="0"/>
      <w:marRight w:val="0"/>
      <w:marTop w:val="0"/>
      <w:marBottom w:val="0"/>
      <w:divBdr>
        <w:top w:val="none" w:sz="0" w:space="0" w:color="auto"/>
        <w:left w:val="none" w:sz="0" w:space="0" w:color="auto"/>
        <w:bottom w:val="none" w:sz="0" w:space="0" w:color="auto"/>
        <w:right w:val="none" w:sz="0" w:space="0" w:color="auto"/>
      </w:divBdr>
    </w:div>
    <w:div w:id="1700356280">
      <w:bodyDiv w:val="1"/>
      <w:marLeft w:val="0"/>
      <w:marRight w:val="0"/>
      <w:marTop w:val="0"/>
      <w:marBottom w:val="0"/>
      <w:divBdr>
        <w:top w:val="none" w:sz="0" w:space="0" w:color="auto"/>
        <w:left w:val="none" w:sz="0" w:space="0" w:color="auto"/>
        <w:bottom w:val="none" w:sz="0" w:space="0" w:color="auto"/>
        <w:right w:val="none" w:sz="0" w:space="0" w:color="auto"/>
      </w:divBdr>
    </w:div>
    <w:div w:id="1700617722">
      <w:bodyDiv w:val="1"/>
      <w:marLeft w:val="0"/>
      <w:marRight w:val="0"/>
      <w:marTop w:val="0"/>
      <w:marBottom w:val="0"/>
      <w:divBdr>
        <w:top w:val="none" w:sz="0" w:space="0" w:color="auto"/>
        <w:left w:val="none" w:sz="0" w:space="0" w:color="auto"/>
        <w:bottom w:val="none" w:sz="0" w:space="0" w:color="auto"/>
        <w:right w:val="none" w:sz="0" w:space="0" w:color="auto"/>
      </w:divBdr>
    </w:div>
    <w:div w:id="1700622555">
      <w:bodyDiv w:val="1"/>
      <w:marLeft w:val="0"/>
      <w:marRight w:val="0"/>
      <w:marTop w:val="0"/>
      <w:marBottom w:val="0"/>
      <w:divBdr>
        <w:top w:val="none" w:sz="0" w:space="0" w:color="auto"/>
        <w:left w:val="none" w:sz="0" w:space="0" w:color="auto"/>
        <w:bottom w:val="none" w:sz="0" w:space="0" w:color="auto"/>
        <w:right w:val="none" w:sz="0" w:space="0" w:color="auto"/>
      </w:divBdr>
    </w:div>
    <w:div w:id="1700885693">
      <w:bodyDiv w:val="1"/>
      <w:marLeft w:val="0"/>
      <w:marRight w:val="0"/>
      <w:marTop w:val="0"/>
      <w:marBottom w:val="0"/>
      <w:divBdr>
        <w:top w:val="none" w:sz="0" w:space="0" w:color="auto"/>
        <w:left w:val="none" w:sz="0" w:space="0" w:color="auto"/>
        <w:bottom w:val="none" w:sz="0" w:space="0" w:color="auto"/>
        <w:right w:val="none" w:sz="0" w:space="0" w:color="auto"/>
      </w:divBdr>
    </w:div>
    <w:div w:id="1700928659">
      <w:bodyDiv w:val="1"/>
      <w:marLeft w:val="0"/>
      <w:marRight w:val="0"/>
      <w:marTop w:val="0"/>
      <w:marBottom w:val="0"/>
      <w:divBdr>
        <w:top w:val="none" w:sz="0" w:space="0" w:color="auto"/>
        <w:left w:val="none" w:sz="0" w:space="0" w:color="auto"/>
        <w:bottom w:val="none" w:sz="0" w:space="0" w:color="auto"/>
        <w:right w:val="none" w:sz="0" w:space="0" w:color="auto"/>
      </w:divBdr>
    </w:div>
    <w:div w:id="1700937632">
      <w:bodyDiv w:val="1"/>
      <w:marLeft w:val="0"/>
      <w:marRight w:val="0"/>
      <w:marTop w:val="0"/>
      <w:marBottom w:val="0"/>
      <w:divBdr>
        <w:top w:val="none" w:sz="0" w:space="0" w:color="auto"/>
        <w:left w:val="none" w:sz="0" w:space="0" w:color="auto"/>
        <w:bottom w:val="none" w:sz="0" w:space="0" w:color="auto"/>
        <w:right w:val="none" w:sz="0" w:space="0" w:color="auto"/>
      </w:divBdr>
    </w:div>
    <w:div w:id="1701007797">
      <w:bodyDiv w:val="1"/>
      <w:marLeft w:val="0"/>
      <w:marRight w:val="0"/>
      <w:marTop w:val="0"/>
      <w:marBottom w:val="0"/>
      <w:divBdr>
        <w:top w:val="none" w:sz="0" w:space="0" w:color="auto"/>
        <w:left w:val="none" w:sz="0" w:space="0" w:color="auto"/>
        <w:bottom w:val="none" w:sz="0" w:space="0" w:color="auto"/>
        <w:right w:val="none" w:sz="0" w:space="0" w:color="auto"/>
      </w:divBdr>
    </w:div>
    <w:div w:id="1701055482">
      <w:bodyDiv w:val="1"/>
      <w:marLeft w:val="0"/>
      <w:marRight w:val="0"/>
      <w:marTop w:val="0"/>
      <w:marBottom w:val="0"/>
      <w:divBdr>
        <w:top w:val="none" w:sz="0" w:space="0" w:color="auto"/>
        <w:left w:val="none" w:sz="0" w:space="0" w:color="auto"/>
        <w:bottom w:val="none" w:sz="0" w:space="0" w:color="auto"/>
        <w:right w:val="none" w:sz="0" w:space="0" w:color="auto"/>
      </w:divBdr>
    </w:div>
    <w:div w:id="1701080232">
      <w:bodyDiv w:val="1"/>
      <w:marLeft w:val="0"/>
      <w:marRight w:val="0"/>
      <w:marTop w:val="0"/>
      <w:marBottom w:val="0"/>
      <w:divBdr>
        <w:top w:val="none" w:sz="0" w:space="0" w:color="auto"/>
        <w:left w:val="none" w:sz="0" w:space="0" w:color="auto"/>
        <w:bottom w:val="none" w:sz="0" w:space="0" w:color="auto"/>
        <w:right w:val="none" w:sz="0" w:space="0" w:color="auto"/>
      </w:divBdr>
    </w:div>
    <w:div w:id="1701083271">
      <w:bodyDiv w:val="1"/>
      <w:marLeft w:val="0"/>
      <w:marRight w:val="0"/>
      <w:marTop w:val="0"/>
      <w:marBottom w:val="0"/>
      <w:divBdr>
        <w:top w:val="none" w:sz="0" w:space="0" w:color="auto"/>
        <w:left w:val="none" w:sz="0" w:space="0" w:color="auto"/>
        <w:bottom w:val="none" w:sz="0" w:space="0" w:color="auto"/>
        <w:right w:val="none" w:sz="0" w:space="0" w:color="auto"/>
      </w:divBdr>
    </w:div>
    <w:div w:id="1701128333">
      <w:bodyDiv w:val="1"/>
      <w:marLeft w:val="0"/>
      <w:marRight w:val="0"/>
      <w:marTop w:val="0"/>
      <w:marBottom w:val="0"/>
      <w:divBdr>
        <w:top w:val="none" w:sz="0" w:space="0" w:color="auto"/>
        <w:left w:val="none" w:sz="0" w:space="0" w:color="auto"/>
        <w:bottom w:val="none" w:sz="0" w:space="0" w:color="auto"/>
        <w:right w:val="none" w:sz="0" w:space="0" w:color="auto"/>
      </w:divBdr>
    </w:div>
    <w:div w:id="1701197638">
      <w:bodyDiv w:val="1"/>
      <w:marLeft w:val="0"/>
      <w:marRight w:val="0"/>
      <w:marTop w:val="0"/>
      <w:marBottom w:val="0"/>
      <w:divBdr>
        <w:top w:val="none" w:sz="0" w:space="0" w:color="auto"/>
        <w:left w:val="none" w:sz="0" w:space="0" w:color="auto"/>
        <w:bottom w:val="none" w:sz="0" w:space="0" w:color="auto"/>
        <w:right w:val="none" w:sz="0" w:space="0" w:color="auto"/>
      </w:divBdr>
    </w:div>
    <w:div w:id="1701202549">
      <w:bodyDiv w:val="1"/>
      <w:marLeft w:val="0"/>
      <w:marRight w:val="0"/>
      <w:marTop w:val="0"/>
      <w:marBottom w:val="0"/>
      <w:divBdr>
        <w:top w:val="none" w:sz="0" w:space="0" w:color="auto"/>
        <w:left w:val="none" w:sz="0" w:space="0" w:color="auto"/>
        <w:bottom w:val="none" w:sz="0" w:space="0" w:color="auto"/>
        <w:right w:val="none" w:sz="0" w:space="0" w:color="auto"/>
      </w:divBdr>
    </w:div>
    <w:div w:id="1701276052">
      <w:bodyDiv w:val="1"/>
      <w:marLeft w:val="0"/>
      <w:marRight w:val="0"/>
      <w:marTop w:val="0"/>
      <w:marBottom w:val="0"/>
      <w:divBdr>
        <w:top w:val="none" w:sz="0" w:space="0" w:color="auto"/>
        <w:left w:val="none" w:sz="0" w:space="0" w:color="auto"/>
        <w:bottom w:val="none" w:sz="0" w:space="0" w:color="auto"/>
        <w:right w:val="none" w:sz="0" w:space="0" w:color="auto"/>
      </w:divBdr>
    </w:div>
    <w:div w:id="1701316932">
      <w:bodyDiv w:val="1"/>
      <w:marLeft w:val="0"/>
      <w:marRight w:val="0"/>
      <w:marTop w:val="0"/>
      <w:marBottom w:val="0"/>
      <w:divBdr>
        <w:top w:val="none" w:sz="0" w:space="0" w:color="auto"/>
        <w:left w:val="none" w:sz="0" w:space="0" w:color="auto"/>
        <w:bottom w:val="none" w:sz="0" w:space="0" w:color="auto"/>
        <w:right w:val="none" w:sz="0" w:space="0" w:color="auto"/>
      </w:divBdr>
    </w:div>
    <w:div w:id="1701398506">
      <w:bodyDiv w:val="1"/>
      <w:marLeft w:val="0"/>
      <w:marRight w:val="0"/>
      <w:marTop w:val="0"/>
      <w:marBottom w:val="0"/>
      <w:divBdr>
        <w:top w:val="none" w:sz="0" w:space="0" w:color="auto"/>
        <w:left w:val="none" w:sz="0" w:space="0" w:color="auto"/>
        <w:bottom w:val="none" w:sz="0" w:space="0" w:color="auto"/>
        <w:right w:val="none" w:sz="0" w:space="0" w:color="auto"/>
      </w:divBdr>
    </w:div>
    <w:div w:id="1701398572">
      <w:bodyDiv w:val="1"/>
      <w:marLeft w:val="0"/>
      <w:marRight w:val="0"/>
      <w:marTop w:val="0"/>
      <w:marBottom w:val="0"/>
      <w:divBdr>
        <w:top w:val="none" w:sz="0" w:space="0" w:color="auto"/>
        <w:left w:val="none" w:sz="0" w:space="0" w:color="auto"/>
        <w:bottom w:val="none" w:sz="0" w:space="0" w:color="auto"/>
        <w:right w:val="none" w:sz="0" w:space="0" w:color="auto"/>
      </w:divBdr>
    </w:div>
    <w:div w:id="1701511598">
      <w:bodyDiv w:val="1"/>
      <w:marLeft w:val="0"/>
      <w:marRight w:val="0"/>
      <w:marTop w:val="0"/>
      <w:marBottom w:val="0"/>
      <w:divBdr>
        <w:top w:val="none" w:sz="0" w:space="0" w:color="auto"/>
        <w:left w:val="none" w:sz="0" w:space="0" w:color="auto"/>
        <w:bottom w:val="none" w:sz="0" w:space="0" w:color="auto"/>
        <w:right w:val="none" w:sz="0" w:space="0" w:color="auto"/>
      </w:divBdr>
    </w:div>
    <w:div w:id="1701735075">
      <w:bodyDiv w:val="1"/>
      <w:marLeft w:val="0"/>
      <w:marRight w:val="0"/>
      <w:marTop w:val="0"/>
      <w:marBottom w:val="0"/>
      <w:divBdr>
        <w:top w:val="none" w:sz="0" w:space="0" w:color="auto"/>
        <w:left w:val="none" w:sz="0" w:space="0" w:color="auto"/>
        <w:bottom w:val="none" w:sz="0" w:space="0" w:color="auto"/>
        <w:right w:val="none" w:sz="0" w:space="0" w:color="auto"/>
      </w:divBdr>
    </w:div>
    <w:div w:id="1701853789">
      <w:bodyDiv w:val="1"/>
      <w:marLeft w:val="0"/>
      <w:marRight w:val="0"/>
      <w:marTop w:val="0"/>
      <w:marBottom w:val="0"/>
      <w:divBdr>
        <w:top w:val="none" w:sz="0" w:space="0" w:color="auto"/>
        <w:left w:val="none" w:sz="0" w:space="0" w:color="auto"/>
        <w:bottom w:val="none" w:sz="0" w:space="0" w:color="auto"/>
        <w:right w:val="none" w:sz="0" w:space="0" w:color="auto"/>
      </w:divBdr>
    </w:div>
    <w:div w:id="1701934181">
      <w:bodyDiv w:val="1"/>
      <w:marLeft w:val="0"/>
      <w:marRight w:val="0"/>
      <w:marTop w:val="0"/>
      <w:marBottom w:val="0"/>
      <w:divBdr>
        <w:top w:val="none" w:sz="0" w:space="0" w:color="auto"/>
        <w:left w:val="none" w:sz="0" w:space="0" w:color="auto"/>
        <w:bottom w:val="none" w:sz="0" w:space="0" w:color="auto"/>
        <w:right w:val="none" w:sz="0" w:space="0" w:color="auto"/>
      </w:divBdr>
    </w:div>
    <w:div w:id="1702126084">
      <w:bodyDiv w:val="1"/>
      <w:marLeft w:val="0"/>
      <w:marRight w:val="0"/>
      <w:marTop w:val="0"/>
      <w:marBottom w:val="0"/>
      <w:divBdr>
        <w:top w:val="none" w:sz="0" w:space="0" w:color="auto"/>
        <w:left w:val="none" w:sz="0" w:space="0" w:color="auto"/>
        <w:bottom w:val="none" w:sz="0" w:space="0" w:color="auto"/>
        <w:right w:val="none" w:sz="0" w:space="0" w:color="auto"/>
      </w:divBdr>
    </w:div>
    <w:div w:id="1702129920">
      <w:bodyDiv w:val="1"/>
      <w:marLeft w:val="0"/>
      <w:marRight w:val="0"/>
      <w:marTop w:val="0"/>
      <w:marBottom w:val="0"/>
      <w:divBdr>
        <w:top w:val="none" w:sz="0" w:space="0" w:color="auto"/>
        <w:left w:val="none" w:sz="0" w:space="0" w:color="auto"/>
        <w:bottom w:val="none" w:sz="0" w:space="0" w:color="auto"/>
        <w:right w:val="none" w:sz="0" w:space="0" w:color="auto"/>
      </w:divBdr>
    </w:div>
    <w:div w:id="1702242970">
      <w:bodyDiv w:val="1"/>
      <w:marLeft w:val="0"/>
      <w:marRight w:val="0"/>
      <w:marTop w:val="0"/>
      <w:marBottom w:val="0"/>
      <w:divBdr>
        <w:top w:val="none" w:sz="0" w:space="0" w:color="auto"/>
        <w:left w:val="none" w:sz="0" w:space="0" w:color="auto"/>
        <w:bottom w:val="none" w:sz="0" w:space="0" w:color="auto"/>
        <w:right w:val="none" w:sz="0" w:space="0" w:color="auto"/>
      </w:divBdr>
    </w:div>
    <w:div w:id="1702322071">
      <w:bodyDiv w:val="1"/>
      <w:marLeft w:val="0"/>
      <w:marRight w:val="0"/>
      <w:marTop w:val="0"/>
      <w:marBottom w:val="0"/>
      <w:divBdr>
        <w:top w:val="none" w:sz="0" w:space="0" w:color="auto"/>
        <w:left w:val="none" w:sz="0" w:space="0" w:color="auto"/>
        <w:bottom w:val="none" w:sz="0" w:space="0" w:color="auto"/>
        <w:right w:val="none" w:sz="0" w:space="0" w:color="auto"/>
      </w:divBdr>
    </w:div>
    <w:div w:id="1702364531">
      <w:bodyDiv w:val="1"/>
      <w:marLeft w:val="0"/>
      <w:marRight w:val="0"/>
      <w:marTop w:val="0"/>
      <w:marBottom w:val="0"/>
      <w:divBdr>
        <w:top w:val="none" w:sz="0" w:space="0" w:color="auto"/>
        <w:left w:val="none" w:sz="0" w:space="0" w:color="auto"/>
        <w:bottom w:val="none" w:sz="0" w:space="0" w:color="auto"/>
        <w:right w:val="none" w:sz="0" w:space="0" w:color="auto"/>
      </w:divBdr>
    </w:div>
    <w:div w:id="1702392381">
      <w:bodyDiv w:val="1"/>
      <w:marLeft w:val="0"/>
      <w:marRight w:val="0"/>
      <w:marTop w:val="0"/>
      <w:marBottom w:val="0"/>
      <w:divBdr>
        <w:top w:val="none" w:sz="0" w:space="0" w:color="auto"/>
        <w:left w:val="none" w:sz="0" w:space="0" w:color="auto"/>
        <w:bottom w:val="none" w:sz="0" w:space="0" w:color="auto"/>
        <w:right w:val="none" w:sz="0" w:space="0" w:color="auto"/>
      </w:divBdr>
    </w:div>
    <w:div w:id="1702437806">
      <w:bodyDiv w:val="1"/>
      <w:marLeft w:val="0"/>
      <w:marRight w:val="0"/>
      <w:marTop w:val="0"/>
      <w:marBottom w:val="0"/>
      <w:divBdr>
        <w:top w:val="none" w:sz="0" w:space="0" w:color="auto"/>
        <w:left w:val="none" w:sz="0" w:space="0" w:color="auto"/>
        <w:bottom w:val="none" w:sz="0" w:space="0" w:color="auto"/>
        <w:right w:val="none" w:sz="0" w:space="0" w:color="auto"/>
      </w:divBdr>
    </w:div>
    <w:div w:id="1702508950">
      <w:bodyDiv w:val="1"/>
      <w:marLeft w:val="0"/>
      <w:marRight w:val="0"/>
      <w:marTop w:val="0"/>
      <w:marBottom w:val="0"/>
      <w:divBdr>
        <w:top w:val="none" w:sz="0" w:space="0" w:color="auto"/>
        <w:left w:val="none" w:sz="0" w:space="0" w:color="auto"/>
        <w:bottom w:val="none" w:sz="0" w:space="0" w:color="auto"/>
        <w:right w:val="none" w:sz="0" w:space="0" w:color="auto"/>
      </w:divBdr>
    </w:div>
    <w:div w:id="1702516342">
      <w:bodyDiv w:val="1"/>
      <w:marLeft w:val="0"/>
      <w:marRight w:val="0"/>
      <w:marTop w:val="0"/>
      <w:marBottom w:val="0"/>
      <w:divBdr>
        <w:top w:val="none" w:sz="0" w:space="0" w:color="auto"/>
        <w:left w:val="none" w:sz="0" w:space="0" w:color="auto"/>
        <w:bottom w:val="none" w:sz="0" w:space="0" w:color="auto"/>
        <w:right w:val="none" w:sz="0" w:space="0" w:color="auto"/>
      </w:divBdr>
    </w:div>
    <w:div w:id="1702587015">
      <w:bodyDiv w:val="1"/>
      <w:marLeft w:val="0"/>
      <w:marRight w:val="0"/>
      <w:marTop w:val="0"/>
      <w:marBottom w:val="0"/>
      <w:divBdr>
        <w:top w:val="none" w:sz="0" w:space="0" w:color="auto"/>
        <w:left w:val="none" w:sz="0" w:space="0" w:color="auto"/>
        <w:bottom w:val="none" w:sz="0" w:space="0" w:color="auto"/>
        <w:right w:val="none" w:sz="0" w:space="0" w:color="auto"/>
      </w:divBdr>
    </w:div>
    <w:div w:id="1702626636">
      <w:bodyDiv w:val="1"/>
      <w:marLeft w:val="0"/>
      <w:marRight w:val="0"/>
      <w:marTop w:val="0"/>
      <w:marBottom w:val="0"/>
      <w:divBdr>
        <w:top w:val="none" w:sz="0" w:space="0" w:color="auto"/>
        <w:left w:val="none" w:sz="0" w:space="0" w:color="auto"/>
        <w:bottom w:val="none" w:sz="0" w:space="0" w:color="auto"/>
        <w:right w:val="none" w:sz="0" w:space="0" w:color="auto"/>
      </w:divBdr>
    </w:div>
    <w:div w:id="1702630738">
      <w:bodyDiv w:val="1"/>
      <w:marLeft w:val="0"/>
      <w:marRight w:val="0"/>
      <w:marTop w:val="0"/>
      <w:marBottom w:val="0"/>
      <w:divBdr>
        <w:top w:val="none" w:sz="0" w:space="0" w:color="auto"/>
        <w:left w:val="none" w:sz="0" w:space="0" w:color="auto"/>
        <w:bottom w:val="none" w:sz="0" w:space="0" w:color="auto"/>
        <w:right w:val="none" w:sz="0" w:space="0" w:color="auto"/>
      </w:divBdr>
    </w:div>
    <w:div w:id="1702781974">
      <w:bodyDiv w:val="1"/>
      <w:marLeft w:val="0"/>
      <w:marRight w:val="0"/>
      <w:marTop w:val="0"/>
      <w:marBottom w:val="0"/>
      <w:divBdr>
        <w:top w:val="none" w:sz="0" w:space="0" w:color="auto"/>
        <w:left w:val="none" w:sz="0" w:space="0" w:color="auto"/>
        <w:bottom w:val="none" w:sz="0" w:space="0" w:color="auto"/>
        <w:right w:val="none" w:sz="0" w:space="0" w:color="auto"/>
      </w:divBdr>
    </w:div>
    <w:div w:id="1702854357">
      <w:bodyDiv w:val="1"/>
      <w:marLeft w:val="0"/>
      <w:marRight w:val="0"/>
      <w:marTop w:val="0"/>
      <w:marBottom w:val="0"/>
      <w:divBdr>
        <w:top w:val="none" w:sz="0" w:space="0" w:color="auto"/>
        <w:left w:val="none" w:sz="0" w:space="0" w:color="auto"/>
        <w:bottom w:val="none" w:sz="0" w:space="0" w:color="auto"/>
        <w:right w:val="none" w:sz="0" w:space="0" w:color="auto"/>
      </w:divBdr>
    </w:div>
    <w:div w:id="1702895340">
      <w:bodyDiv w:val="1"/>
      <w:marLeft w:val="0"/>
      <w:marRight w:val="0"/>
      <w:marTop w:val="0"/>
      <w:marBottom w:val="0"/>
      <w:divBdr>
        <w:top w:val="none" w:sz="0" w:space="0" w:color="auto"/>
        <w:left w:val="none" w:sz="0" w:space="0" w:color="auto"/>
        <w:bottom w:val="none" w:sz="0" w:space="0" w:color="auto"/>
        <w:right w:val="none" w:sz="0" w:space="0" w:color="auto"/>
      </w:divBdr>
    </w:div>
    <w:div w:id="1702900448">
      <w:bodyDiv w:val="1"/>
      <w:marLeft w:val="0"/>
      <w:marRight w:val="0"/>
      <w:marTop w:val="0"/>
      <w:marBottom w:val="0"/>
      <w:divBdr>
        <w:top w:val="none" w:sz="0" w:space="0" w:color="auto"/>
        <w:left w:val="none" w:sz="0" w:space="0" w:color="auto"/>
        <w:bottom w:val="none" w:sz="0" w:space="0" w:color="auto"/>
        <w:right w:val="none" w:sz="0" w:space="0" w:color="auto"/>
      </w:divBdr>
    </w:div>
    <w:div w:id="1702903082">
      <w:bodyDiv w:val="1"/>
      <w:marLeft w:val="0"/>
      <w:marRight w:val="0"/>
      <w:marTop w:val="0"/>
      <w:marBottom w:val="0"/>
      <w:divBdr>
        <w:top w:val="none" w:sz="0" w:space="0" w:color="auto"/>
        <w:left w:val="none" w:sz="0" w:space="0" w:color="auto"/>
        <w:bottom w:val="none" w:sz="0" w:space="0" w:color="auto"/>
        <w:right w:val="none" w:sz="0" w:space="0" w:color="auto"/>
      </w:divBdr>
    </w:div>
    <w:div w:id="1702972004">
      <w:bodyDiv w:val="1"/>
      <w:marLeft w:val="0"/>
      <w:marRight w:val="0"/>
      <w:marTop w:val="0"/>
      <w:marBottom w:val="0"/>
      <w:divBdr>
        <w:top w:val="none" w:sz="0" w:space="0" w:color="auto"/>
        <w:left w:val="none" w:sz="0" w:space="0" w:color="auto"/>
        <w:bottom w:val="none" w:sz="0" w:space="0" w:color="auto"/>
        <w:right w:val="none" w:sz="0" w:space="0" w:color="auto"/>
      </w:divBdr>
    </w:div>
    <w:div w:id="1703049852">
      <w:bodyDiv w:val="1"/>
      <w:marLeft w:val="0"/>
      <w:marRight w:val="0"/>
      <w:marTop w:val="0"/>
      <w:marBottom w:val="0"/>
      <w:divBdr>
        <w:top w:val="none" w:sz="0" w:space="0" w:color="auto"/>
        <w:left w:val="none" w:sz="0" w:space="0" w:color="auto"/>
        <w:bottom w:val="none" w:sz="0" w:space="0" w:color="auto"/>
        <w:right w:val="none" w:sz="0" w:space="0" w:color="auto"/>
      </w:divBdr>
    </w:div>
    <w:div w:id="1703087283">
      <w:bodyDiv w:val="1"/>
      <w:marLeft w:val="0"/>
      <w:marRight w:val="0"/>
      <w:marTop w:val="0"/>
      <w:marBottom w:val="0"/>
      <w:divBdr>
        <w:top w:val="none" w:sz="0" w:space="0" w:color="auto"/>
        <w:left w:val="none" w:sz="0" w:space="0" w:color="auto"/>
        <w:bottom w:val="none" w:sz="0" w:space="0" w:color="auto"/>
        <w:right w:val="none" w:sz="0" w:space="0" w:color="auto"/>
      </w:divBdr>
    </w:div>
    <w:div w:id="1703096184">
      <w:bodyDiv w:val="1"/>
      <w:marLeft w:val="0"/>
      <w:marRight w:val="0"/>
      <w:marTop w:val="0"/>
      <w:marBottom w:val="0"/>
      <w:divBdr>
        <w:top w:val="none" w:sz="0" w:space="0" w:color="auto"/>
        <w:left w:val="none" w:sz="0" w:space="0" w:color="auto"/>
        <w:bottom w:val="none" w:sz="0" w:space="0" w:color="auto"/>
        <w:right w:val="none" w:sz="0" w:space="0" w:color="auto"/>
      </w:divBdr>
    </w:div>
    <w:div w:id="1703162745">
      <w:bodyDiv w:val="1"/>
      <w:marLeft w:val="0"/>
      <w:marRight w:val="0"/>
      <w:marTop w:val="0"/>
      <w:marBottom w:val="0"/>
      <w:divBdr>
        <w:top w:val="none" w:sz="0" w:space="0" w:color="auto"/>
        <w:left w:val="none" w:sz="0" w:space="0" w:color="auto"/>
        <w:bottom w:val="none" w:sz="0" w:space="0" w:color="auto"/>
        <w:right w:val="none" w:sz="0" w:space="0" w:color="auto"/>
      </w:divBdr>
    </w:div>
    <w:div w:id="1703168200">
      <w:bodyDiv w:val="1"/>
      <w:marLeft w:val="0"/>
      <w:marRight w:val="0"/>
      <w:marTop w:val="0"/>
      <w:marBottom w:val="0"/>
      <w:divBdr>
        <w:top w:val="none" w:sz="0" w:space="0" w:color="auto"/>
        <w:left w:val="none" w:sz="0" w:space="0" w:color="auto"/>
        <w:bottom w:val="none" w:sz="0" w:space="0" w:color="auto"/>
        <w:right w:val="none" w:sz="0" w:space="0" w:color="auto"/>
      </w:divBdr>
    </w:div>
    <w:div w:id="1703168643">
      <w:bodyDiv w:val="1"/>
      <w:marLeft w:val="0"/>
      <w:marRight w:val="0"/>
      <w:marTop w:val="0"/>
      <w:marBottom w:val="0"/>
      <w:divBdr>
        <w:top w:val="none" w:sz="0" w:space="0" w:color="auto"/>
        <w:left w:val="none" w:sz="0" w:space="0" w:color="auto"/>
        <w:bottom w:val="none" w:sz="0" w:space="0" w:color="auto"/>
        <w:right w:val="none" w:sz="0" w:space="0" w:color="auto"/>
      </w:divBdr>
    </w:div>
    <w:div w:id="1703168904">
      <w:bodyDiv w:val="1"/>
      <w:marLeft w:val="0"/>
      <w:marRight w:val="0"/>
      <w:marTop w:val="0"/>
      <w:marBottom w:val="0"/>
      <w:divBdr>
        <w:top w:val="none" w:sz="0" w:space="0" w:color="auto"/>
        <w:left w:val="none" w:sz="0" w:space="0" w:color="auto"/>
        <w:bottom w:val="none" w:sz="0" w:space="0" w:color="auto"/>
        <w:right w:val="none" w:sz="0" w:space="0" w:color="auto"/>
      </w:divBdr>
    </w:div>
    <w:div w:id="1703169044">
      <w:bodyDiv w:val="1"/>
      <w:marLeft w:val="0"/>
      <w:marRight w:val="0"/>
      <w:marTop w:val="0"/>
      <w:marBottom w:val="0"/>
      <w:divBdr>
        <w:top w:val="none" w:sz="0" w:space="0" w:color="auto"/>
        <w:left w:val="none" w:sz="0" w:space="0" w:color="auto"/>
        <w:bottom w:val="none" w:sz="0" w:space="0" w:color="auto"/>
        <w:right w:val="none" w:sz="0" w:space="0" w:color="auto"/>
      </w:divBdr>
    </w:div>
    <w:div w:id="1703242310">
      <w:bodyDiv w:val="1"/>
      <w:marLeft w:val="0"/>
      <w:marRight w:val="0"/>
      <w:marTop w:val="0"/>
      <w:marBottom w:val="0"/>
      <w:divBdr>
        <w:top w:val="none" w:sz="0" w:space="0" w:color="auto"/>
        <w:left w:val="none" w:sz="0" w:space="0" w:color="auto"/>
        <w:bottom w:val="none" w:sz="0" w:space="0" w:color="auto"/>
        <w:right w:val="none" w:sz="0" w:space="0" w:color="auto"/>
      </w:divBdr>
    </w:div>
    <w:div w:id="1703245326">
      <w:bodyDiv w:val="1"/>
      <w:marLeft w:val="0"/>
      <w:marRight w:val="0"/>
      <w:marTop w:val="0"/>
      <w:marBottom w:val="0"/>
      <w:divBdr>
        <w:top w:val="none" w:sz="0" w:space="0" w:color="auto"/>
        <w:left w:val="none" w:sz="0" w:space="0" w:color="auto"/>
        <w:bottom w:val="none" w:sz="0" w:space="0" w:color="auto"/>
        <w:right w:val="none" w:sz="0" w:space="0" w:color="auto"/>
      </w:divBdr>
    </w:div>
    <w:div w:id="1703246190">
      <w:bodyDiv w:val="1"/>
      <w:marLeft w:val="0"/>
      <w:marRight w:val="0"/>
      <w:marTop w:val="0"/>
      <w:marBottom w:val="0"/>
      <w:divBdr>
        <w:top w:val="none" w:sz="0" w:space="0" w:color="auto"/>
        <w:left w:val="none" w:sz="0" w:space="0" w:color="auto"/>
        <w:bottom w:val="none" w:sz="0" w:space="0" w:color="auto"/>
        <w:right w:val="none" w:sz="0" w:space="0" w:color="auto"/>
      </w:divBdr>
    </w:div>
    <w:div w:id="1703282507">
      <w:bodyDiv w:val="1"/>
      <w:marLeft w:val="0"/>
      <w:marRight w:val="0"/>
      <w:marTop w:val="0"/>
      <w:marBottom w:val="0"/>
      <w:divBdr>
        <w:top w:val="none" w:sz="0" w:space="0" w:color="auto"/>
        <w:left w:val="none" w:sz="0" w:space="0" w:color="auto"/>
        <w:bottom w:val="none" w:sz="0" w:space="0" w:color="auto"/>
        <w:right w:val="none" w:sz="0" w:space="0" w:color="auto"/>
      </w:divBdr>
    </w:div>
    <w:div w:id="1703285128">
      <w:bodyDiv w:val="1"/>
      <w:marLeft w:val="0"/>
      <w:marRight w:val="0"/>
      <w:marTop w:val="0"/>
      <w:marBottom w:val="0"/>
      <w:divBdr>
        <w:top w:val="none" w:sz="0" w:space="0" w:color="auto"/>
        <w:left w:val="none" w:sz="0" w:space="0" w:color="auto"/>
        <w:bottom w:val="none" w:sz="0" w:space="0" w:color="auto"/>
        <w:right w:val="none" w:sz="0" w:space="0" w:color="auto"/>
      </w:divBdr>
    </w:div>
    <w:div w:id="1703360315">
      <w:bodyDiv w:val="1"/>
      <w:marLeft w:val="0"/>
      <w:marRight w:val="0"/>
      <w:marTop w:val="0"/>
      <w:marBottom w:val="0"/>
      <w:divBdr>
        <w:top w:val="none" w:sz="0" w:space="0" w:color="auto"/>
        <w:left w:val="none" w:sz="0" w:space="0" w:color="auto"/>
        <w:bottom w:val="none" w:sz="0" w:space="0" w:color="auto"/>
        <w:right w:val="none" w:sz="0" w:space="0" w:color="auto"/>
      </w:divBdr>
    </w:div>
    <w:div w:id="1703433738">
      <w:bodyDiv w:val="1"/>
      <w:marLeft w:val="0"/>
      <w:marRight w:val="0"/>
      <w:marTop w:val="0"/>
      <w:marBottom w:val="0"/>
      <w:divBdr>
        <w:top w:val="none" w:sz="0" w:space="0" w:color="auto"/>
        <w:left w:val="none" w:sz="0" w:space="0" w:color="auto"/>
        <w:bottom w:val="none" w:sz="0" w:space="0" w:color="auto"/>
        <w:right w:val="none" w:sz="0" w:space="0" w:color="auto"/>
      </w:divBdr>
    </w:div>
    <w:div w:id="1703437233">
      <w:bodyDiv w:val="1"/>
      <w:marLeft w:val="0"/>
      <w:marRight w:val="0"/>
      <w:marTop w:val="0"/>
      <w:marBottom w:val="0"/>
      <w:divBdr>
        <w:top w:val="none" w:sz="0" w:space="0" w:color="auto"/>
        <w:left w:val="none" w:sz="0" w:space="0" w:color="auto"/>
        <w:bottom w:val="none" w:sz="0" w:space="0" w:color="auto"/>
        <w:right w:val="none" w:sz="0" w:space="0" w:color="auto"/>
      </w:divBdr>
    </w:div>
    <w:div w:id="1703480782">
      <w:bodyDiv w:val="1"/>
      <w:marLeft w:val="0"/>
      <w:marRight w:val="0"/>
      <w:marTop w:val="0"/>
      <w:marBottom w:val="0"/>
      <w:divBdr>
        <w:top w:val="none" w:sz="0" w:space="0" w:color="auto"/>
        <w:left w:val="none" w:sz="0" w:space="0" w:color="auto"/>
        <w:bottom w:val="none" w:sz="0" w:space="0" w:color="auto"/>
        <w:right w:val="none" w:sz="0" w:space="0" w:color="auto"/>
      </w:divBdr>
    </w:div>
    <w:div w:id="1703626415">
      <w:bodyDiv w:val="1"/>
      <w:marLeft w:val="0"/>
      <w:marRight w:val="0"/>
      <w:marTop w:val="0"/>
      <w:marBottom w:val="0"/>
      <w:divBdr>
        <w:top w:val="none" w:sz="0" w:space="0" w:color="auto"/>
        <w:left w:val="none" w:sz="0" w:space="0" w:color="auto"/>
        <w:bottom w:val="none" w:sz="0" w:space="0" w:color="auto"/>
        <w:right w:val="none" w:sz="0" w:space="0" w:color="auto"/>
      </w:divBdr>
    </w:div>
    <w:div w:id="1703744509">
      <w:bodyDiv w:val="1"/>
      <w:marLeft w:val="0"/>
      <w:marRight w:val="0"/>
      <w:marTop w:val="0"/>
      <w:marBottom w:val="0"/>
      <w:divBdr>
        <w:top w:val="none" w:sz="0" w:space="0" w:color="auto"/>
        <w:left w:val="none" w:sz="0" w:space="0" w:color="auto"/>
        <w:bottom w:val="none" w:sz="0" w:space="0" w:color="auto"/>
        <w:right w:val="none" w:sz="0" w:space="0" w:color="auto"/>
      </w:divBdr>
    </w:div>
    <w:div w:id="1703939018">
      <w:bodyDiv w:val="1"/>
      <w:marLeft w:val="0"/>
      <w:marRight w:val="0"/>
      <w:marTop w:val="0"/>
      <w:marBottom w:val="0"/>
      <w:divBdr>
        <w:top w:val="none" w:sz="0" w:space="0" w:color="auto"/>
        <w:left w:val="none" w:sz="0" w:space="0" w:color="auto"/>
        <w:bottom w:val="none" w:sz="0" w:space="0" w:color="auto"/>
        <w:right w:val="none" w:sz="0" w:space="0" w:color="auto"/>
      </w:divBdr>
    </w:div>
    <w:div w:id="1704011608">
      <w:bodyDiv w:val="1"/>
      <w:marLeft w:val="0"/>
      <w:marRight w:val="0"/>
      <w:marTop w:val="0"/>
      <w:marBottom w:val="0"/>
      <w:divBdr>
        <w:top w:val="none" w:sz="0" w:space="0" w:color="auto"/>
        <w:left w:val="none" w:sz="0" w:space="0" w:color="auto"/>
        <w:bottom w:val="none" w:sz="0" w:space="0" w:color="auto"/>
        <w:right w:val="none" w:sz="0" w:space="0" w:color="auto"/>
      </w:divBdr>
    </w:div>
    <w:div w:id="1704015431">
      <w:bodyDiv w:val="1"/>
      <w:marLeft w:val="0"/>
      <w:marRight w:val="0"/>
      <w:marTop w:val="0"/>
      <w:marBottom w:val="0"/>
      <w:divBdr>
        <w:top w:val="none" w:sz="0" w:space="0" w:color="auto"/>
        <w:left w:val="none" w:sz="0" w:space="0" w:color="auto"/>
        <w:bottom w:val="none" w:sz="0" w:space="0" w:color="auto"/>
        <w:right w:val="none" w:sz="0" w:space="0" w:color="auto"/>
      </w:divBdr>
    </w:div>
    <w:div w:id="1704088777">
      <w:bodyDiv w:val="1"/>
      <w:marLeft w:val="0"/>
      <w:marRight w:val="0"/>
      <w:marTop w:val="0"/>
      <w:marBottom w:val="0"/>
      <w:divBdr>
        <w:top w:val="none" w:sz="0" w:space="0" w:color="auto"/>
        <w:left w:val="none" w:sz="0" w:space="0" w:color="auto"/>
        <w:bottom w:val="none" w:sz="0" w:space="0" w:color="auto"/>
        <w:right w:val="none" w:sz="0" w:space="0" w:color="auto"/>
      </w:divBdr>
    </w:div>
    <w:div w:id="1704089081">
      <w:bodyDiv w:val="1"/>
      <w:marLeft w:val="0"/>
      <w:marRight w:val="0"/>
      <w:marTop w:val="0"/>
      <w:marBottom w:val="0"/>
      <w:divBdr>
        <w:top w:val="none" w:sz="0" w:space="0" w:color="auto"/>
        <w:left w:val="none" w:sz="0" w:space="0" w:color="auto"/>
        <w:bottom w:val="none" w:sz="0" w:space="0" w:color="auto"/>
        <w:right w:val="none" w:sz="0" w:space="0" w:color="auto"/>
      </w:divBdr>
    </w:div>
    <w:div w:id="1704091596">
      <w:bodyDiv w:val="1"/>
      <w:marLeft w:val="0"/>
      <w:marRight w:val="0"/>
      <w:marTop w:val="0"/>
      <w:marBottom w:val="0"/>
      <w:divBdr>
        <w:top w:val="none" w:sz="0" w:space="0" w:color="auto"/>
        <w:left w:val="none" w:sz="0" w:space="0" w:color="auto"/>
        <w:bottom w:val="none" w:sz="0" w:space="0" w:color="auto"/>
        <w:right w:val="none" w:sz="0" w:space="0" w:color="auto"/>
      </w:divBdr>
    </w:div>
    <w:div w:id="1704093870">
      <w:bodyDiv w:val="1"/>
      <w:marLeft w:val="0"/>
      <w:marRight w:val="0"/>
      <w:marTop w:val="0"/>
      <w:marBottom w:val="0"/>
      <w:divBdr>
        <w:top w:val="none" w:sz="0" w:space="0" w:color="auto"/>
        <w:left w:val="none" w:sz="0" w:space="0" w:color="auto"/>
        <w:bottom w:val="none" w:sz="0" w:space="0" w:color="auto"/>
        <w:right w:val="none" w:sz="0" w:space="0" w:color="auto"/>
      </w:divBdr>
    </w:div>
    <w:div w:id="1704138553">
      <w:bodyDiv w:val="1"/>
      <w:marLeft w:val="0"/>
      <w:marRight w:val="0"/>
      <w:marTop w:val="0"/>
      <w:marBottom w:val="0"/>
      <w:divBdr>
        <w:top w:val="none" w:sz="0" w:space="0" w:color="auto"/>
        <w:left w:val="none" w:sz="0" w:space="0" w:color="auto"/>
        <w:bottom w:val="none" w:sz="0" w:space="0" w:color="auto"/>
        <w:right w:val="none" w:sz="0" w:space="0" w:color="auto"/>
      </w:divBdr>
    </w:div>
    <w:div w:id="1704282244">
      <w:bodyDiv w:val="1"/>
      <w:marLeft w:val="0"/>
      <w:marRight w:val="0"/>
      <w:marTop w:val="0"/>
      <w:marBottom w:val="0"/>
      <w:divBdr>
        <w:top w:val="none" w:sz="0" w:space="0" w:color="auto"/>
        <w:left w:val="none" w:sz="0" w:space="0" w:color="auto"/>
        <w:bottom w:val="none" w:sz="0" w:space="0" w:color="auto"/>
        <w:right w:val="none" w:sz="0" w:space="0" w:color="auto"/>
      </w:divBdr>
    </w:div>
    <w:div w:id="1704355486">
      <w:bodyDiv w:val="1"/>
      <w:marLeft w:val="0"/>
      <w:marRight w:val="0"/>
      <w:marTop w:val="0"/>
      <w:marBottom w:val="0"/>
      <w:divBdr>
        <w:top w:val="none" w:sz="0" w:space="0" w:color="auto"/>
        <w:left w:val="none" w:sz="0" w:space="0" w:color="auto"/>
        <w:bottom w:val="none" w:sz="0" w:space="0" w:color="auto"/>
        <w:right w:val="none" w:sz="0" w:space="0" w:color="auto"/>
      </w:divBdr>
    </w:div>
    <w:div w:id="1704398058">
      <w:bodyDiv w:val="1"/>
      <w:marLeft w:val="0"/>
      <w:marRight w:val="0"/>
      <w:marTop w:val="0"/>
      <w:marBottom w:val="0"/>
      <w:divBdr>
        <w:top w:val="none" w:sz="0" w:space="0" w:color="auto"/>
        <w:left w:val="none" w:sz="0" w:space="0" w:color="auto"/>
        <w:bottom w:val="none" w:sz="0" w:space="0" w:color="auto"/>
        <w:right w:val="none" w:sz="0" w:space="0" w:color="auto"/>
      </w:divBdr>
    </w:div>
    <w:div w:id="1704402572">
      <w:bodyDiv w:val="1"/>
      <w:marLeft w:val="0"/>
      <w:marRight w:val="0"/>
      <w:marTop w:val="0"/>
      <w:marBottom w:val="0"/>
      <w:divBdr>
        <w:top w:val="none" w:sz="0" w:space="0" w:color="auto"/>
        <w:left w:val="none" w:sz="0" w:space="0" w:color="auto"/>
        <w:bottom w:val="none" w:sz="0" w:space="0" w:color="auto"/>
        <w:right w:val="none" w:sz="0" w:space="0" w:color="auto"/>
      </w:divBdr>
    </w:div>
    <w:div w:id="1704594847">
      <w:bodyDiv w:val="1"/>
      <w:marLeft w:val="0"/>
      <w:marRight w:val="0"/>
      <w:marTop w:val="0"/>
      <w:marBottom w:val="0"/>
      <w:divBdr>
        <w:top w:val="none" w:sz="0" w:space="0" w:color="auto"/>
        <w:left w:val="none" w:sz="0" w:space="0" w:color="auto"/>
        <w:bottom w:val="none" w:sz="0" w:space="0" w:color="auto"/>
        <w:right w:val="none" w:sz="0" w:space="0" w:color="auto"/>
      </w:divBdr>
    </w:div>
    <w:div w:id="1704671503">
      <w:bodyDiv w:val="1"/>
      <w:marLeft w:val="0"/>
      <w:marRight w:val="0"/>
      <w:marTop w:val="0"/>
      <w:marBottom w:val="0"/>
      <w:divBdr>
        <w:top w:val="none" w:sz="0" w:space="0" w:color="auto"/>
        <w:left w:val="none" w:sz="0" w:space="0" w:color="auto"/>
        <w:bottom w:val="none" w:sz="0" w:space="0" w:color="auto"/>
        <w:right w:val="none" w:sz="0" w:space="0" w:color="auto"/>
      </w:divBdr>
    </w:div>
    <w:div w:id="1704672794">
      <w:bodyDiv w:val="1"/>
      <w:marLeft w:val="0"/>
      <w:marRight w:val="0"/>
      <w:marTop w:val="0"/>
      <w:marBottom w:val="0"/>
      <w:divBdr>
        <w:top w:val="none" w:sz="0" w:space="0" w:color="auto"/>
        <w:left w:val="none" w:sz="0" w:space="0" w:color="auto"/>
        <w:bottom w:val="none" w:sz="0" w:space="0" w:color="auto"/>
        <w:right w:val="none" w:sz="0" w:space="0" w:color="auto"/>
      </w:divBdr>
    </w:div>
    <w:div w:id="1704743340">
      <w:bodyDiv w:val="1"/>
      <w:marLeft w:val="0"/>
      <w:marRight w:val="0"/>
      <w:marTop w:val="0"/>
      <w:marBottom w:val="0"/>
      <w:divBdr>
        <w:top w:val="none" w:sz="0" w:space="0" w:color="auto"/>
        <w:left w:val="none" w:sz="0" w:space="0" w:color="auto"/>
        <w:bottom w:val="none" w:sz="0" w:space="0" w:color="auto"/>
        <w:right w:val="none" w:sz="0" w:space="0" w:color="auto"/>
      </w:divBdr>
    </w:div>
    <w:div w:id="1704748985">
      <w:bodyDiv w:val="1"/>
      <w:marLeft w:val="0"/>
      <w:marRight w:val="0"/>
      <w:marTop w:val="0"/>
      <w:marBottom w:val="0"/>
      <w:divBdr>
        <w:top w:val="none" w:sz="0" w:space="0" w:color="auto"/>
        <w:left w:val="none" w:sz="0" w:space="0" w:color="auto"/>
        <w:bottom w:val="none" w:sz="0" w:space="0" w:color="auto"/>
        <w:right w:val="none" w:sz="0" w:space="0" w:color="auto"/>
      </w:divBdr>
    </w:div>
    <w:div w:id="1704936445">
      <w:bodyDiv w:val="1"/>
      <w:marLeft w:val="0"/>
      <w:marRight w:val="0"/>
      <w:marTop w:val="0"/>
      <w:marBottom w:val="0"/>
      <w:divBdr>
        <w:top w:val="none" w:sz="0" w:space="0" w:color="auto"/>
        <w:left w:val="none" w:sz="0" w:space="0" w:color="auto"/>
        <w:bottom w:val="none" w:sz="0" w:space="0" w:color="auto"/>
        <w:right w:val="none" w:sz="0" w:space="0" w:color="auto"/>
      </w:divBdr>
    </w:div>
    <w:div w:id="1704944262">
      <w:bodyDiv w:val="1"/>
      <w:marLeft w:val="0"/>
      <w:marRight w:val="0"/>
      <w:marTop w:val="0"/>
      <w:marBottom w:val="0"/>
      <w:divBdr>
        <w:top w:val="none" w:sz="0" w:space="0" w:color="auto"/>
        <w:left w:val="none" w:sz="0" w:space="0" w:color="auto"/>
        <w:bottom w:val="none" w:sz="0" w:space="0" w:color="auto"/>
        <w:right w:val="none" w:sz="0" w:space="0" w:color="auto"/>
      </w:divBdr>
    </w:div>
    <w:div w:id="1705013063">
      <w:bodyDiv w:val="1"/>
      <w:marLeft w:val="0"/>
      <w:marRight w:val="0"/>
      <w:marTop w:val="0"/>
      <w:marBottom w:val="0"/>
      <w:divBdr>
        <w:top w:val="none" w:sz="0" w:space="0" w:color="auto"/>
        <w:left w:val="none" w:sz="0" w:space="0" w:color="auto"/>
        <w:bottom w:val="none" w:sz="0" w:space="0" w:color="auto"/>
        <w:right w:val="none" w:sz="0" w:space="0" w:color="auto"/>
      </w:divBdr>
    </w:div>
    <w:div w:id="1705017243">
      <w:bodyDiv w:val="1"/>
      <w:marLeft w:val="0"/>
      <w:marRight w:val="0"/>
      <w:marTop w:val="0"/>
      <w:marBottom w:val="0"/>
      <w:divBdr>
        <w:top w:val="none" w:sz="0" w:space="0" w:color="auto"/>
        <w:left w:val="none" w:sz="0" w:space="0" w:color="auto"/>
        <w:bottom w:val="none" w:sz="0" w:space="0" w:color="auto"/>
        <w:right w:val="none" w:sz="0" w:space="0" w:color="auto"/>
      </w:divBdr>
    </w:div>
    <w:div w:id="1705062489">
      <w:bodyDiv w:val="1"/>
      <w:marLeft w:val="0"/>
      <w:marRight w:val="0"/>
      <w:marTop w:val="0"/>
      <w:marBottom w:val="0"/>
      <w:divBdr>
        <w:top w:val="none" w:sz="0" w:space="0" w:color="auto"/>
        <w:left w:val="none" w:sz="0" w:space="0" w:color="auto"/>
        <w:bottom w:val="none" w:sz="0" w:space="0" w:color="auto"/>
        <w:right w:val="none" w:sz="0" w:space="0" w:color="auto"/>
      </w:divBdr>
    </w:div>
    <w:div w:id="1705136741">
      <w:bodyDiv w:val="1"/>
      <w:marLeft w:val="0"/>
      <w:marRight w:val="0"/>
      <w:marTop w:val="0"/>
      <w:marBottom w:val="0"/>
      <w:divBdr>
        <w:top w:val="none" w:sz="0" w:space="0" w:color="auto"/>
        <w:left w:val="none" w:sz="0" w:space="0" w:color="auto"/>
        <w:bottom w:val="none" w:sz="0" w:space="0" w:color="auto"/>
        <w:right w:val="none" w:sz="0" w:space="0" w:color="auto"/>
      </w:divBdr>
    </w:div>
    <w:div w:id="1705247915">
      <w:bodyDiv w:val="1"/>
      <w:marLeft w:val="0"/>
      <w:marRight w:val="0"/>
      <w:marTop w:val="0"/>
      <w:marBottom w:val="0"/>
      <w:divBdr>
        <w:top w:val="none" w:sz="0" w:space="0" w:color="auto"/>
        <w:left w:val="none" w:sz="0" w:space="0" w:color="auto"/>
        <w:bottom w:val="none" w:sz="0" w:space="0" w:color="auto"/>
        <w:right w:val="none" w:sz="0" w:space="0" w:color="auto"/>
      </w:divBdr>
    </w:div>
    <w:div w:id="1705255462">
      <w:bodyDiv w:val="1"/>
      <w:marLeft w:val="0"/>
      <w:marRight w:val="0"/>
      <w:marTop w:val="0"/>
      <w:marBottom w:val="0"/>
      <w:divBdr>
        <w:top w:val="none" w:sz="0" w:space="0" w:color="auto"/>
        <w:left w:val="none" w:sz="0" w:space="0" w:color="auto"/>
        <w:bottom w:val="none" w:sz="0" w:space="0" w:color="auto"/>
        <w:right w:val="none" w:sz="0" w:space="0" w:color="auto"/>
      </w:divBdr>
    </w:div>
    <w:div w:id="1705327878">
      <w:bodyDiv w:val="1"/>
      <w:marLeft w:val="0"/>
      <w:marRight w:val="0"/>
      <w:marTop w:val="0"/>
      <w:marBottom w:val="0"/>
      <w:divBdr>
        <w:top w:val="none" w:sz="0" w:space="0" w:color="auto"/>
        <w:left w:val="none" w:sz="0" w:space="0" w:color="auto"/>
        <w:bottom w:val="none" w:sz="0" w:space="0" w:color="auto"/>
        <w:right w:val="none" w:sz="0" w:space="0" w:color="auto"/>
      </w:divBdr>
    </w:div>
    <w:div w:id="1705399099">
      <w:bodyDiv w:val="1"/>
      <w:marLeft w:val="0"/>
      <w:marRight w:val="0"/>
      <w:marTop w:val="0"/>
      <w:marBottom w:val="0"/>
      <w:divBdr>
        <w:top w:val="none" w:sz="0" w:space="0" w:color="auto"/>
        <w:left w:val="none" w:sz="0" w:space="0" w:color="auto"/>
        <w:bottom w:val="none" w:sz="0" w:space="0" w:color="auto"/>
        <w:right w:val="none" w:sz="0" w:space="0" w:color="auto"/>
      </w:divBdr>
    </w:div>
    <w:div w:id="1705403569">
      <w:bodyDiv w:val="1"/>
      <w:marLeft w:val="0"/>
      <w:marRight w:val="0"/>
      <w:marTop w:val="0"/>
      <w:marBottom w:val="0"/>
      <w:divBdr>
        <w:top w:val="none" w:sz="0" w:space="0" w:color="auto"/>
        <w:left w:val="none" w:sz="0" w:space="0" w:color="auto"/>
        <w:bottom w:val="none" w:sz="0" w:space="0" w:color="auto"/>
        <w:right w:val="none" w:sz="0" w:space="0" w:color="auto"/>
      </w:divBdr>
    </w:div>
    <w:div w:id="1705403951">
      <w:bodyDiv w:val="1"/>
      <w:marLeft w:val="0"/>
      <w:marRight w:val="0"/>
      <w:marTop w:val="0"/>
      <w:marBottom w:val="0"/>
      <w:divBdr>
        <w:top w:val="none" w:sz="0" w:space="0" w:color="auto"/>
        <w:left w:val="none" w:sz="0" w:space="0" w:color="auto"/>
        <w:bottom w:val="none" w:sz="0" w:space="0" w:color="auto"/>
        <w:right w:val="none" w:sz="0" w:space="0" w:color="auto"/>
      </w:divBdr>
    </w:div>
    <w:div w:id="1705449004">
      <w:bodyDiv w:val="1"/>
      <w:marLeft w:val="0"/>
      <w:marRight w:val="0"/>
      <w:marTop w:val="0"/>
      <w:marBottom w:val="0"/>
      <w:divBdr>
        <w:top w:val="none" w:sz="0" w:space="0" w:color="auto"/>
        <w:left w:val="none" w:sz="0" w:space="0" w:color="auto"/>
        <w:bottom w:val="none" w:sz="0" w:space="0" w:color="auto"/>
        <w:right w:val="none" w:sz="0" w:space="0" w:color="auto"/>
      </w:divBdr>
    </w:div>
    <w:div w:id="1705520333">
      <w:bodyDiv w:val="1"/>
      <w:marLeft w:val="0"/>
      <w:marRight w:val="0"/>
      <w:marTop w:val="0"/>
      <w:marBottom w:val="0"/>
      <w:divBdr>
        <w:top w:val="none" w:sz="0" w:space="0" w:color="auto"/>
        <w:left w:val="none" w:sz="0" w:space="0" w:color="auto"/>
        <w:bottom w:val="none" w:sz="0" w:space="0" w:color="auto"/>
        <w:right w:val="none" w:sz="0" w:space="0" w:color="auto"/>
      </w:divBdr>
    </w:div>
    <w:div w:id="1705521038">
      <w:bodyDiv w:val="1"/>
      <w:marLeft w:val="0"/>
      <w:marRight w:val="0"/>
      <w:marTop w:val="0"/>
      <w:marBottom w:val="0"/>
      <w:divBdr>
        <w:top w:val="none" w:sz="0" w:space="0" w:color="auto"/>
        <w:left w:val="none" w:sz="0" w:space="0" w:color="auto"/>
        <w:bottom w:val="none" w:sz="0" w:space="0" w:color="auto"/>
        <w:right w:val="none" w:sz="0" w:space="0" w:color="auto"/>
      </w:divBdr>
    </w:div>
    <w:div w:id="1705523654">
      <w:bodyDiv w:val="1"/>
      <w:marLeft w:val="0"/>
      <w:marRight w:val="0"/>
      <w:marTop w:val="0"/>
      <w:marBottom w:val="0"/>
      <w:divBdr>
        <w:top w:val="none" w:sz="0" w:space="0" w:color="auto"/>
        <w:left w:val="none" w:sz="0" w:space="0" w:color="auto"/>
        <w:bottom w:val="none" w:sz="0" w:space="0" w:color="auto"/>
        <w:right w:val="none" w:sz="0" w:space="0" w:color="auto"/>
      </w:divBdr>
    </w:div>
    <w:div w:id="1705595358">
      <w:bodyDiv w:val="1"/>
      <w:marLeft w:val="0"/>
      <w:marRight w:val="0"/>
      <w:marTop w:val="0"/>
      <w:marBottom w:val="0"/>
      <w:divBdr>
        <w:top w:val="none" w:sz="0" w:space="0" w:color="auto"/>
        <w:left w:val="none" w:sz="0" w:space="0" w:color="auto"/>
        <w:bottom w:val="none" w:sz="0" w:space="0" w:color="auto"/>
        <w:right w:val="none" w:sz="0" w:space="0" w:color="auto"/>
      </w:divBdr>
    </w:div>
    <w:div w:id="1705641150">
      <w:bodyDiv w:val="1"/>
      <w:marLeft w:val="0"/>
      <w:marRight w:val="0"/>
      <w:marTop w:val="0"/>
      <w:marBottom w:val="0"/>
      <w:divBdr>
        <w:top w:val="none" w:sz="0" w:space="0" w:color="auto"/>
        <w:left w:val="none" w:sz="0" w:space="0" w:color="auto"/>
        <w:bottom w:val="none" w:sz="0" w:space="0" w:color="auto"/>
        <w:right w:val="none" w:sz="0" w:space="0" w:color="auto"/>
      </w:divBdr>
    </w:div>
    <w:div w:id="1705711071">
      <w:bodyDiv w:val="1"/>
      <w:marLeft w:val="0"/>
      <w:marRight w:val="0"/>
      <w:marTop w:val="0"/>
      <w:marBottom w:val="0"/>
      <w:divBdr>
        <w:top w:val="none" w:sz="0" w:space="0" w:color="auto"/>
        <w:left w:val="none" w:sz="0" w:space="0" w:color="auto"/>
        <w:bottom w:val="none" w:sz="0" w:space="0" w:color="auto"/>
        <w:right w:val="none" w:sz="0" w:space="0" w:color="auto"/>
      </w:divBdr>
    </w:div>
    <w:div w:id="1705784126">
      <w:bodyDiv w:val="1"/>
      <w:marLeft w:val="0"/>
      <w:marRight w:val="0"/>
      <w:marTop w:val="0"/>
      <w:marBottom w:val="0"/>
      <w:divBdr>
        <w:top w:val="none" w:sz="0" w:space="0" w:color="auto"/>
        <w:left w:val="none" w:sz="0" w:space="0" w:color="auto"/>
        <w:bottom w:val="none" w:sz="0" w:space="0" w:color="auto"/>
        <w:right w:val="none" w:sz="0" w:space="0" w:color="auto"/>
      </w:divBdr>
    </w:div>
    <w:div w:id="1705904037">
      <w:bodyDiv w:val="1"/>
      <w:marLeft w:val="0"/>
      <w:marRight w:val="0"/>
      <w:marTop w:val="0"/>
      <w:marBottom w:val="0"/>
      <w:divBdr>
        <w:top w:val="none" w:sz="0" w:space="0" w:color="auto"/>
        <w:left w:val="none" w:sz="0" w:space="0" w:color="auto"/>
        <w:bottom w:val="none" w:sz="0" w:space="0" w:color="auto"/>
        <w:right w:val="none" w:sz="0" w:space="0" w:color="auto"/>
      </w:divBdr>
    </w:div>
    <w:div w:id="1705984681">
      <w:bodyDiv w:val="1"/>
      <w:marLeft w:val="0"/>
      <w:marRight w:val="0"/>
      <w:marTop w:val="0"/>
      <w:marBottom w:val="0"/>
      <w:divBdr>
        <w:top w:val="none" w:sz="0" w:space="0" w:color="auto"/>
        <w:left w:val="none" w:sz="0" w:space="0" w:color="auto"/>
        <w:bottom w:val="none" w:sz="0" w:space="0" w:color="auto"/>
        <w:right w:val="none" w:sz="0" w:space="0" w:color="auto"/>
      </w:divBdr>
    </w:div>
    <w:div w:id="1706052783">
      <w:bodyDiv w:val="1"/>
      <w:marLeft w:val="0"/>
      <w:marRight w:val="0"/>
      <w:marTop w:val="0"/>
      <w:marBottom w:val="0"/>
      <w:divBdr>
        <w:top w:val="none" w:sz="0" w:space="0" w:color="auto"/>
        <w:left w:val="none" w:sz="0" w:space="0" w:color="auto"/>
        <w:bottom w:val="none" w:sz="0" w:space="0" w:color="auto"/>
        <w:right w:val="none" w:sz="0" w:space="0" w:color="auto"/>
      </w:divBdr>
    </w:div>
    <w:div w:id="1706060146">
      <w:bodyDiv w:val="1"/>
      <w:marLeft w:val="0"/>
      <w:marRight w:val="0"/>
      <w:marTop w:val="0"/>
      <w:marBottom w:val="0"/>
      <w:divBdr>
        <w:top w:val="none" w:sz="0" w:space="0" w:color="auto"/>
        <w:left w:val="none" w:sz="0" w:space="0" w:color="auto"/>
        <w:bottom w:val="none" w:sz="0" w:space="0" w:color="auto"/>
        <w:right w:val="none" w:sz="0" w:space="0" w:color="auto"/>
      </w:divBdr>
    </w:div>
    <w:div w:id="1706173736">
      <w:bodyDiv w:val="1"/>
      <w:marLeft w:val="0"/>
      <w:marRight w:val="0"/>
      <w:marTop w:val="0"/>
      <w:marBottom w:val="0"/>
      <w:divBdr>
        <w:top w:val="none" w:sz="0" w:space="0" w:color="auto"/>
        <w:left w:val="none" w:sz="0" w:space="0" w:color="auto"/>
        <w:bottom w:val="none" w:sz="0" w:space="0" w:color="auto"/>
        <w:right w:val="none" w:sz="0" w:space="0" w:color="auto"/>
      </w:divBdr>
    </w:div>
    <w:div w:id="1706246657">
      <w:bodyDiv w:val="1"/>
      <w:marLeft w:val="0"/>
      <w:marRight w:val="0"/>
      <w:marTop w:val="0"/>
      <w:marBottom w:val="0"/>
      <w:divBdr>
        <w:top w:val="none" w:sz="0" w:space="0" w:color="auto"/>
        <w:left w:val="none" w:sz="0" w:space="0" w:color="auto"/>
        <w:bottom w:val="none" w:sz="0" w:space="0" w:color="auto"/>
        <w:right w:val="none" w:sz="0" w:space="0" w:color="auto"/>
      </w:divBdr>
    </w:div>
    <w:div w:id="1706252897">
      <w:bodyDiv w:val="1"/>
      <w:marLeft w:val="0"/>
      <w:marRight w:val="0"/>
      <w:marTop w:val="0"/>
      <w:marBottom w:val="0"/>
      <w:divBdr>
        <w:top w:val="none" w:sz="0" w:space="0" w:color="auto"/>
        <w:left w:val="none" w:sz="0" w:space="0" w:color="auto"/>
        <w:bottom w:val="none" w:sz="0" w:space="0" w:color="auto"/>
        <w:right w:val="none" w:sz="0" w:space="0" w:color="auto"/>
      </w:divBdr>
    </w:div>
    <w:div w:id="1706713836">
      <w:bodyDiv w:val="1"/>
      <w:marLeft w:val="0"/>
      <w:marRight w:val="0"/>
      <w:marTop w:val="0"/>
      <w:marBottom w:val="0"/>
      <w:divBdr>
        <w:top w:val="none" w:sz="0" w:space="0" w:color="auto"/>
        <w:left w:val="none" w:sz="0" w:space="0" w:color="auto"/>
        <w:bottom w:val="none" w:sz="0" w:space="0" w:color="auto"/>
        <w:right w:val="none" w:sz="0" w:space="0" w:color="auto"/>
      </w:divBdr>
    </w:div>
    <w:div w:id="1706715656">
      <w:bodyDiv w:val="1"/>
      <w:marLeft w:val="0"/>
      <w:marRight w:val="0"/>
      <w:marTop w:val="0"/>
      <w:marBottom w:val="0"/>
      <w:divBdr>
        <w:top w:val="none" w:sz="0" w:space="0" w:color="auto"/>
        <w:left w:val="none" w:sz="0" w:space="0" w:color="auto"/>
        <w:bottom w:val="none" w:sz="0" w:space="0" w:color="auto"/>
        <w:right w:val="none" w:sz="0" w:space="0" w:color="auto"/>
      </w:divBdr>
    </w:div>
    <w:div w:id="1706826324">
      <w:bodyDiv w:val="1"/>
      <w:marLeft w:val="0"/>
      <w:marRight w:val="0"/>
      <w:marTop w:val="0"/>
      <w:marBottom w:val="0"/>
      <w:divBdr>
        <w:top w:val="none" w:sz="0" w:space="0" w:color="auto"/>
        <w:left w:val="none" w:sz="0" w:space="0" w:color="auto"/>
        <w:bottom w:val="none" w:sz="0" w:space="0" w:color="auto"/>
        <w:right w:val="none" w:sz="0" w:space="0" w:color="auto"/>
      </w:divBdr>
    </w:div>
    <w:div w:id="1706904709">
      <w:bodyDiv w:val="1"/>
      <w:marLeft w:val="0"/>
      <w:marRight w:val="0"/>
      <w:marTop w:val="0"/>
      <w:marBottom w:val="0"/>
      <w:divBdr>
        <w:top w:val="none" w:sz="0" w:space="0" w:color="auto"/>
        <w:left w:val="none" w:sz="0" w:space="0" w:color="auto"/>
        <w:bottom w:val="none" w:sz="0" w:space="0" w:color="auto"/>
        <w:right w:val="none" w:sz="0" w:space="0" w:color="auto"/>
      </w:divBdr>
    </w:div>
    <w:div w:id="1706905219">
      <w:bodyDiv w:val="1"/>
      <w:marLeft w:val="0"/>
      <w:marRight w:val="0"/>
      <w:marTop w:val="0"/>
      <w:marBottom w:val="0"/>
      <w:divBdr>
        <w:top w:val="none" w:sz="0" w:space="0" w:color="auto"/>
        <w:left w:val="none" w:sz="0" w:space="0" w:color="auto"/>
        <w:bottom w:val="none" w:sz="0" w:space="0" w:color="auto"/>
        <w:right w:val="none" w:sz="0" w:space="0" w:color="auto"/>
      </w:divBdr>
    </w:div>
    <w:div w:id="1706908642">
      <w:bodyDiv w:val="1"/>
      <w:marLeft w:val="0"/>
      <w:marRight w:val="0"/>
      <w:marTop w:val="0"/>
      <w:marBottom w:val="0"/>
      <w:divBdr>
        <w:top w:val="none" w:sz="0" w:space="0" w:color="auto"/>
        <w:left w:val="none" w:sz="0" w:space="0" w:color="auto"/>
        <w:bottom w:val="none" w:sz="0" w:space="0" w:color="auto"/>
        <w:right w:val="none" w:sz="0" w:space="0" w:color="auto"/>
      </w:divBdr>
    </w:div>
    <w:div w:id="1707020866">
      <w:bodyDiv w:val="1"/>
      <w:marLeft w:val="0"/>
      <w:marRight w:val="0"/>
      <w:marTop w:val="0"/>
      <w:marBottom w:val="0"/>
      <w:divBdr>
        <w:top w:val="none" w:sz="0" w:space="0" w:color="auto"/>
        <w:left w:val="none" w:sz="0" w:space="0" w:color="auto"/>
        <w:bottom w:val="none" w:sz="0" w:space="0" w:color="auto"/>
        <w:right w:val="none" w:sz="0" w:space="0" w:color="auto"/>
      </w:divBdr>
    </w:div>
    <w:div w:id="1707024930">
      <w:bodyDiv w:val="1"/>
      <w:marLeft w:val="0"/>
      <w:marRight w:val="0"/>
      <w:marTop w:val="0"/>
      <w:marBottom w:val="0"/>
      <w:divBdr>
        <w:top w:val="none" w:sz="0" w:space="0" w:color="auto"/>
        <w:left w:val="none" w:sz="0" w:space="0" w:color="auto"/>
        <w:bottom w:val="none" w:sz="0" w:space="0" w:color="auto"/>
        <w:right w:val="none" w:sz="0" w:space="0" w:color="auto"/>
      </w:divBdr>
    </w:div>
    <w:div w:id="1707101770">
      <w:bodyDiv w:val="1"/>
      <w:marLeft w:val="0"/>
      <w:marRight w:val="0"/>
      <w:marTop w:val="0"/>
      <w:marBottom w:val="0"/>
      <w:divBdr>
        <w:top w:val="none" w:sz="0" w:space="0" w:color="auto"/>
        <w:left w:val="none" w:sz="0" w:space="0" w:color="auto"/>
        <w:bottom w:val="none" w:sz="0" w:space="0" w:color="auto"/>
        <w:right w:val="none" w:sz="0" w:space="0" w:color="auto"/>
      </w:divBdr>
    </w:div>
    <w:div w:id="1707176748">
      <w:bodyDiv w:val="1"/>
      <w:marLeft w:val="0"/>
      <w:marRight w:val="0"/>
      <w:marTop w:val="0"/>
      <w:marBottom w:val="0"/>
      <w:divBdr>
        <w:top w:val="none" w:sz="0" w:space="0" w:color="auto"/>
        <w:left w:val="none" w:sz="0" w:space="0" w:color="auto"/>
        <w:bottom w:val="none" w:sz="0" w:space="0" w:color="auto"/>
        <w:right w:val="none" w:sz="0" w:space="0" w:color="auto"/>
      </w:divBdr>
    </w:div>
    <w:div w:id="1707178143">
      <w:bodyDiv w:val="1"/>
      <w:marLeft w:val="0"/>
      <w:marRight w:val="0"/>
      <w:marTop w:val="0"/>
      <w:marBottom w:val="0"/>
      <w:divBdr>
        <w:top w:val="none" w:sz="0" w:space="0" w:color="auto"/>
        <w:left w:val="none" w:sz="0" w:space="0" w:color="auto"/>
        <w:bottom w:val="none" w:sz="0" w:space="0" w:color="auto"/>
        <w:right w:val="none" w:sz="0" w:space="0" w:color="auto"/>
      </w:divBdr>
    </w:div>
    <w:div w:id="1707217520">
      <w:bodyDiv w:val="1"/>
      <w:marLeft w:val="0"/>
      <w:marRight w:val="0"/>
      <w:marTop w:val="0"/>
      <w:marBottom w:val="0"/>
      <w:divBdr>
        <w:top w:val="none" w:sz="0" w:space="0" w:color="auto"/>
        <w:left w:val="none" w:sz="0" w:space="0" w:color="auto"/>
        <w:bottom w:val="none" w:sz="0" w:space="0" w:color="auto"/>
        <w:right w:val="none" w:sz="0" w:space="0" w:color="auto"/>
      </w:divBdr>
    </w:div>
    <w:div w:id="1707291281">
      <w:bodyDiv w:val="1"/>
      <w:marLeft w:val="0"/>
      <w:marRight w:val="0"/>
      <w:marTop w:val="0"/>
      <w:marBottom w:val="0"/>
      <w:divBdr>
        <w:top w:val="none" w:sz="0" w:space="0" w:color="auto"/>
        <w:left w:val="none" w:sz="0" w:space="0" w:color="auto"/>
        <w:bottom w:val="none" w:sz="0" w:space="0" w:color="auto"/>
        <w:right w:val="none" w:sz="0" w:space="0" w:color="auto"/>
      </w:divBdr>
    </w:div>
    <w:div w:id="1707295201">
      <w:bodyDiv w:val="1"/>
      <w:marLeft w:val="0"/>
      <w:marRight w:val="0"/>
      <w:marTop w:val="0"/>
      <w:marBottom w:val="0"/>
      <w:divBdr>
        <w:top w:val="none" w:sz="0" w:space="0" w:color="auto"/>
        <w:left w:val="none" w:sz="0" w:space="0" w:color="auto"/>
        <w:bottom w:val="none" w:sz="0" w:space="0" w:color="auto"/>
        <w:right w:val="none" w:sz="0" w:space="0" w:color="auto"/>
      </w:divBdr>
    </w:div>
    <w:div w:id="1707296187">
      <w:bodyDiv w:val="1"/>
      <w:marLeft w:val="0"/>
      <w:marRight w:val="0"/>
      <w:marTop w:val="0"/>
      <w:marBottom w:val="0"/>
      <w:divBdr>
        <w:top w:val="none" w:sz="0" w:space="0" w:color="auto"/>
        <w:left w:val="none" w:sz="0" w:space="0" w:color="auto"/>
        <w:bottom w:val="none" w:sz="0" w:space="0" w:color="auto"/>
        <w:right w:val="none" w:sz="0" w:space="0" w:color="auto"/>
      </w:divBdr>
    </w:div>
    <w:div w:id="1707364471">
      <w:bodyDiv w:val="1"/>
      <w:marLeft w:val="0"/>
      <w:marRight w:val="0"/>
      <w:marTop w:val="0"/>
      <w:marBottom w:val="0"/>
      <w:divBdr>
        <w:top w:val="none" w:sz="0" w:space="0" w:color="auto"/>
        <w:left w:val="none" w:sz="0" w:space="0" w:color="auto"/>
        <w:bottom w:val="none" w:sz="0" w:space="0" w:color="auto"/>
        <w:right w:val="none" w:sz="0" w:space="0" w:color="auto"/>
      </w:divBdr>
    </w:div>
    <w:div w:id="1707410219">
      <w:bodyDiv w:val="1"/>
      <w:marLeft w:val="0"/>
      <w:marRight w:val="0"/>
      <w:marTop w:val="0"/>
      <w:marBottom w:val="0"/>
      <w:divBdr>
        <w:top w:val="none" w:sz="0" w:space="0" w:color="auto"/>
        <w:left w:val="none" w:sz="0" w:space="0" w:color="auto"/>
        <w:bottom w:val="none" w:sz="0" w:space="0" w:color="auto"/>
        <w:right w:val="none" w:sz="0" w:space="0" w:color="auto"/>
      </w:divBdr>
    </w:div>
    <w:div w:id="1707438365">
      <w:bodyDiv w:val="1"/>
      <w:marLeft w:val="0"/>
      <w:marRight w:val="0"/>
      <w:marTop w:val="0"/>
      <w:marBottom w:val="0"/>
      <w:divBdr>
        <w:top w:val="none" w:sz="0" w:space="0" w:color="auto"/>
        <w:left w:val="none" w:sz="0" w:space="0" w:color="auto"/>
        <w:bottom w:val="none" w:sz="0" w:space="0" w:color="auto"/>
        <w:right w:val="none" w:sz="0" w:space="0" w:color="auto"/>
      </w:divBdr>
    </w:div>
    <w:div w:id="1707438664">
      <w:bodyDiv w:val="1"/>
      <w:marLeft w:val="0"/>
      <w:marRight w:val="0"/>
      <w:marTop w:val="0"/>
      <w:marBottom w:val="0"/>
      <w:divBdr>
        <w:top w:val="none" w:sz="0" w:space="0" w:color="auto"/>
        <w:left w:val="none" w:sz="0" w:space="0" w:color="auto"/>
        <w:bottom w:val="none" w:sz="0" w:space="0" w:color="auto"/>
        <w:right w:val="none" w:sz="0" w:space="0" w:color="auto"/>
      </w:divBdr>
    </w:div>
    <w:div w:id="1707439889">
      <w:bodyDiv w:val="1"/>
      <w:marLeft w:val="0"/>
      <w:marRight w:val="0"/>
      <w:marTop w:val="0"/>
      <w:marBottom w:val="0"/>
      <w:divBdr>
        <w:top w:val="none" w:sz="0" w:space="0" w:color="auto"/>
        <w:left w:val="none" w:sz="0" w:space="0" w:color="auto"/>
        <w:bottom w:val="none" w:sz="0" w:space="0" w:color="auto"/>
        <w:right w:val="none" w:sz="0" w:space="0" w:color="auto"/>
      </w:divBdr>
    </w:div>
    <w:div w:id="1707683039">
      <w:bodyDiv w:val="1"/>
      <w:marLeft w:val="0"/>
      <w:marRight w:val="0"/>
      <w:marTop w:val="0"/>
      <w:marBottom w:val="0"/>
      <w:divBdr>
        <w:top w:val="none" w:sz="0" w:space="0" w:color="auto"/>
        <w:left w:val="none" w:sz="0" w:space="0" w:color="auto"/>
        <w:bottom w:val="none" w:sz="0" w:space="0" w:color="auto"/>
        <w:right w:val="none" w:sz="0" w:space="0" w:color="auto"/>
      </w:divBdr>
    </w:div>
    <w:div w:id="1707756091">
      <w:bodyDiv w:val="1"/>
      <w:marLeft w:val="0"/>
      <w:marRight w:val="0"/>
      <w:marTop w:val="0"/>
      <w:marBottom w:val="0"/>
      <w:divBdr>
        <w:top w:val="none" w:sz="0" w:space="0" w:color="auto"/>
        <w:left w:val="none" w:sz="0" w:space="0" w:color="auto"/>
        <w:bottom w:val="none" w:sz="0" w:space="0" w:color="auto"/>
        <w:right w:val="none" w:sz="0" w:space="0" w:color="auto"/>
      </w:divBdr>
    </w:div>
    <w:div w:id="1707833932">
      <w:bodyDiv w:val="1"/>
      <w:marLeft w:val="0"/>
      <w:marRight w:val="0"/>
      <w:marTop w:val="0"/>
      <w:marBottom w:val="0"/>
      <w:divBdr>
        <w:top w:val="none" w:sz="0" w:space="0" w:color="auto"/>
        <w:left w:val="none" w:sz="0" w:space="0" w:color="auto"/>
        <w:bottom w:val="none" w:sz="0" w:space="0" w:color="auto"/>
        <w:right w:val="none" w:sz="0" w:space="0" w:color="auto"/>
      </w:divBdr>
    </w:div>
    <w:div w:id="1707870293">
      <w:bodyDiv w:val="1"/>
      <w:marLeft w:val="0"/>
      <w:marRight w:val="0"/>
      <w:marTop w:val="0"/>
      <w:marBottom w:val="0"/>
      <w:divBdr>
        <w:top w:val="none" w:sz="0" w:space="0" w:color="auto"/>
        <w:left w:val="none" w:sz="0" w:space="0" w:color="auto"/>
        <w:bottom w:val="none" w:sz="0" w:space="0" w:color="auto"/>
        <w:right w:val="none" w:sz="0" w:space="0" w:color="auto"/>
      </w:divBdr>
    </w:div>
    <w:div w:id="1707870632">
      <w:bodyDiv w:val="1"/>
      <w:marLeft w:val="0"/>
      <w:marRight w:val="0"/>
      <w:marTop w:val="0"/>
      <w:marBottom w:val="0"/>
      <w:divBdr>
        <w:top w:val="none" w:sz="0" w:space="0" w:color="auto"/>
        <w:left w:val="none" w:sz="0" w:space="0" w:color="auto"/>
        <w:bottom w:val="none" w:sz="0" w:space="0" w:color="auto"/>
        <w:right w:val="none" w:sz="0" w:space="0" w:color="auto"/>
      </w:divBdr>
    </w:div>
    <w:div w:id="1708213172">
      <w:bodyDiv w:val="1"/>
      <w:marLeft w:val="0"/>
      <w:marRight w:val="0"/>
      <w:marTop w:val="0"/>
      <w:marBottom w:val="0"/>
      <w:divBdr>
        <w:top w:val="none" w:sz="0" w:space="0" w:color="auto"/>
        <w:left w:val="none" w:sz="0" w:space="0" w:color="auto"/>
        <w:bottom w:val="none" w:sz="0" w:space="0" w:color="auto"/>
        <w:right w:val="none" w:sz="0" w:space="0" w:color="auto"/>
      </w:divBdr>
    </w:div>
    <w:div w:id="1708218784">
      <w:bodyDiv w:val="1"/>
      <w:marLeft w:val="0"/>
      <w:marRight w:val="0"/>
      <w:marTop w:val="0"/>
      <w:marBottom w:val="0"/>
      <w:divBdr>
        <w:top w:val="none" w:sz="0" w:space="0" w:color="auto"/>
        <w:left w:val="none" w:sz="0" w:space="0" w:color="auto"/>
        <w:bottom w:val="none" w:sz="0" w:space="0" w:color="auto"/>
        <w:right w:val="none" w:sz="0" w:space="0" w:color="auto"/>
      </w:divBdr>
    </w:div>
    <w:div w:id="1708293650">
      <w:bodyDiv w:val="1"/>
      <w:marLeft w:val="0"/>
      <w:marRight w:val="0"/>
      <w:marTop w:val="0"/>
      <w:marBottom w:val="0"/>
      <w:divBdr>
        <w:top w:val="none" w:sz="0" w:space="0" w:color="auto"/>
        <w:left w:val="none" w:sz="0" w:space="0" w:color="auto"/>
        <w:bottom w:val="none" w:sz="0" w:space="0" w:color="auto"/>
        <w:right w:val="none" w:sz="0" w:space="0" w:color="auto"/>
      </w:divBdr>
    </w:div>
    <w:div w:id="1708330616">
      <w:bodyDiv w:val="1"/>
      <w:marLeft w:val="0"/>
      <w:marRight w:val="0"/>
      <w:marTop w:val="0"/>
      <w:marBottom w:val="0"/>
      <w:divBdr>
        <w:top w:val="none" w:sz="0" w:space="0" w:color="auto"/>
        <w:left w:val="none" w:sz="0" w:space="0" w:color="auto"/>
        <w:bottom w:val="none" w:sz="0" w:space="0" w:color="auto"/>
        <w:right w:val="none" w:sz="0" w:space="0" w:color="auto"/>
      </w:divBdr>
    </w:div>
    <w:div w:id="1708331829">
      <w:bodyDiv w:val="1"/>
      <w:marLeft w:val="0"/>
      <w:marRight w:val="0"/>
      <w:marTop w:val="0"/>
      <w:marBottom w:val="0"/>
      <w:divBdr>
        <w:top w:val="none" w:sz="0" w:space="0" w:color="auto"/>
        <w:left w:val="none" w:sz="0" w:space="0" w:color="auto"/>
        <w:bottom w:val="none" w:sz="0" w:space="0" w:color="auto"/>
        <w:right w:val="none" w:sz="0" w:space="0" w:color="auto"/>
      </w:divBdr>
    </w:div>
    <w:div w:id="1708480192">
      <w:bodyDiv w:val="1"/>
      <w:marLeft w:val="0"/>
      <w:marRight w:val="0"/>
      <w:marTop w:val="0"/>
      <w:marBottom w:val="0"/>
      <w:divBdr>
        <w:top w:val="none" w:sz="0" w:space="0" w:color="auto"/>
        <w:left w:val="none" w:sz="0" w:space="0" w:color="auto"/>
        <w:bottom w:val="none" w:sz="0" w:space="0" w:color="auto"/>
        <w:right w:val="none" w:sz="0" w:space="0" w:color="auto"/>
      </w:divBdr>
    </w:div>
    <w:div w:id="1708482852">
      <w:bodyDiv w:val="1"/>
      <w:marLeft w:val="0"/>
      <w:marRight w:val="0"/>
      <w:marTop w:val="0"/>
      <w:marBottom w:val="0"/>
      <w:divBdr>
        <w:top w:val="none" w:sz="0" w:space="0" w:color="auto"/>
        <w:left w:val="none" w:sz="0" w:space="0" w:color="auto"/>
        <w:bottom w:val="none" w:sz="0" w:space="0" w:color="auto"/>
        <w:right w:val="none" w:sz="0" w:space="0" w:color="auto"/>
      </w:divBdr>
    </w:div>
    <w:div w:id="1708483098">
      <w:bodyDiv w:val="1"/>
      <w:marLeft w:val="0"/>
      <w:marRight w:val="0"/>
      <w:marTop w:val="0"/>
      <w:marBottom w:val="0"/>
      <w:divBdr>
        <w:top w:val="none" w:sz="0" w:space="0" w:color="auto"/>
        <w:left w:val="none" w:sz="0" w:space="0" w:color="auto"/>
        <w:bottom w:val="none" w:sz="0" w:space="0" w:color="auto"/>
        <w:right w:val="none" w:sz="0" w:space="0" w:color="auto"/>
      </w:divBdr>
    </w:div>
    <w:div w:id="1708556104">
      <w:bodyDiv w:val="1"/>
      <w:marLeft w:val="0"/>
      <w:marRight w:val="0"/>
      <w:marTop w:val="0"/>
      <w:marBottom w:val="0"/>
      <w:divBdr>
        <w:top w:val="none" w:sz="0" w:space="0" w:color="auto"/>
        <w:left w:val="none" w:sz="0" w:space="0" w:color="auto"/>
        <w:bottom w:val="none" w:sz="0" w:space="0" w:color="auto"/>
        <w:right w:val="none" w:sz="0" w:space="0" w:color="auto"/>
      </w:divBdr>
    </w:div>
    <w:div w:id="1708604593">
      <w:bodyDiv w:val="1"/>
      <w:marLeft w:val="0"/>
      <w:marRight w:val="0"/>
      <w:marTop w:val="0"/>
      <w:marBottom w:val="0"/>
      <w:divBdr>
        <w:top w:val="none" w:sz="0" w:space="0" w:color="auto"/>
        <w:left w:val="none" w:sz="0" w:space="0" w:color="auto"/>
        <w:bottom w:val="none" w:sz="0" w:space="0" w:color="auto"/>
        <w:right w:val="none" w:sz="0" w:space="0" w:color="auto"/>
      </w:divBdr>
    </w:div>
    <w:div w:id="1708606165">
      <w:bodyDiv w:val="1"/>
      <w:marLeft w:val="0"/>
      <w:marRight w:val="0"/>
      <w:marTop w:val="0"/>
      <w:marBottom w:val="0"/>
      <w:divBdr>
        <w:top w:val="none" w:sz="0" w:space="0" w:color="auto"/>
        <w:left w:val="none" w:sz="0" w:space="0" w:color="auto"/>
        <w:bottom w:val="none" w:sz="0" w:space="0" w:color="auto"/>
        <w:right w:val="none" w:sz="0" w:space="0" w:color="auto"/>
      </w:divBdr>
    </w:div>
    <w:div w:id="1708674444">
      <w:bodyDiv w:val="1"/>
      <w:marLeft w:val="0"/>
      <w:marRight w:val="0"/>
      <w:marTop w:val="0"/>
      <w:marBottom w:val="0"/>
      <w:divBdr>
        <w:top w:val="none" w:sz="0" w:space="0" w:color="auto"/>
        <w:left w:val="none" w:sz="0" w:space="0" w:color="auto"/>
        <w:bottom w:val="none" w:sz="0" w:space="0" w:color="auto"/>
        <w:right w:val="none" w:sz="0" w:space="0" w:color="auto"/>
      </w:divBdr>
    </w:div>
    <w:div w:id="1708723495">
      <w:bodyDiv w:val="1"/>
      <w:marLeft w:val="0"/>
      <w:marRight w:val="0"/>
      <w:marTop w:val="0"/>
      <w:marBottom w:val="0"/>
      <w:divBdr>
        <w:top w:val="none" w:sz="0" w:space="0" w:color="auto"/>
        <w:left w:val="none" w:sz="0" w:space="0" w:color="auto"/>
        <w:bottom w:val="none" w:sz="0" w:space="0" w:color="auto"/>
        <w:right w:val="none" w:sz="0" w:space="0" w:color="auto"/>
      </w:divBdr>
    </w:div>
    <w:div w:id="1708799431">
      <w:bodyDiv w:val="1"/>
      <w:marLeft w:val="0"/>
      <w:marRight w:val="0"/>
      <w:marTop w:val="0"/>
      <w:marBottom w:val="0"/>
      <w:divBdr>
        <w:top w:val="none" w:sz="0" w:space="0" w:color="auto"/>
        <w:left w:val="none" w:sz="0" w:space="0" w:color="auto"/>
        <w:bottom w:val="none" w:sz="0" w:space="0" w:color="auto"/>
        <w:right w:val="none" w:sz="0" w:space="0" w:color="auto"/>
      </w:divBdr>
    </w:div>
    <w:div w:id="1708869624">
      <w:bodyDiv w:val="1"/>
      <w:marLeft w:val="0"/>
      <w:marRight w:val="0"/>
      <w:marTop w:val="0"/>
      <w:marBottom w:val="0"/>
      <w:divBdr>
        <w:top w:val="none" w:sz="0" w:space="0" w:color="auto"/>
        <w:left w:val="none" w:sz="0" w:space="0" w:color="auto"/>
        <w:bottom w:val="none" w:sz="0" w:space="0" w:color="auto"/>
        <w:right w:val="none" w:sz="0" w:space="0" w:color="auto"/>
      </w:divBdr>
    </w:div>
    <w:div w:id="1708872052">
      <w:bodyDiv w:val="1"/>
      <w:marLeft w:val="0"/>
      <w:marRight w:val="0"/>
      <w:marTop w:val="0"/>
      <w:marBottom w:val="0"/>
      <w:divBdr>
        <w:top w:val="none" w:sz="0" w:space="0" w:color="auto"/>
        <w:left w:val="none" w:sz="0" w:space="0" w:color="auto"/>
        <w:bottom w:val="none" w:sz="0" w:space="0" w:color="auto"/>
        <w:right w:val="none" w:sz="0" w:space="0" w:color="auto"/>
      </w:divBdr>
    </w:div>
    <w:div w:id="1708943474">
      <w:bodyDiv w:val="1"/>
      <w:marLeft w:val="0"/>
      <w:marRight w:val="0"/>
      <w:marTop w:val="0"/>
      <w:marBottom w:val="0"/>
      <w:divBdr>
        <w:top w:val="none" w:sz="0" w:space="0" w:color="auto"/>
        <w:left w:val="none" w:sz="0" w:space="0" w:color="auto"/>
        <w:bottom w:val="none" w:sz="0" w:space="0" w:color="auto"/>
        <w:right w:val="none" w:sz="0" w:space="0" w:color="auto"/>
      </w:divBdr>
    </w:div>
    <w:div w:id="1708945314">
      <w:bodyDiv w:val="1"/>
      <w:marLeft w:val="0"/>
      <w:marRight w:val="0"/>
      <w:marTop w:val="0"/>
      <w:marBottom w:val="0"/>
      <w:divBdr>
        <w:top w:val="none" w:sz="0" w:space="0" w:color="auto"/>
        <w:left w:val="none" w:sz="0" w:space="0" w:color="auto"/>
        <w:bottom w:val="none" w:sz="0" w:space="0" w:color="auto"/>
        <w:right w:val="none" w:sz="0" w:space="0" w:color="auto"/>
      </w:divBdr>
    </w:div>
    <w:div w:id="1709065083">
      <w:bodyDiv w:val="1"/>
      <w:marLeft w:val="0"/>
      <w:marRight w:val="0"/>
      <w:marTop w:val="0"/>
      <w:marBottom w:val="0"/>
      <w:divBdr>
        <w:top w:val="none" w:sz="0" w:space="0" w:color="auto"/>
        <w:left w:val="none" w:sz="0" w:space="0" w:color="auto"/>
        <w:bottom w:val="none" w:sz="0" w:space="0" w:color="auto"/>
        <w:right w:val="none" w:sz="0" w:space="0" w:color="auto"/>
      </w:divBdr>
    </w:div>
    <w:div w:id="1709065287">
      <w:bodyDiv w:val="1"/>
      <w:marLeft w:val="0"/>
      <w:marRight w:val="0"/>
      <w:marTop w:val="0"/>
      <w:marBottom w:val="0"/>
      <w:divBdr>
        <w:top w:val="none" w:sz="0" w:space="0" w:color="auto"/>
        <w:left w:val="none" w:sz="0" w:space="0" w:color="auto"/>
        <w:bottom w:val="none" w:sz="0" w:space="0" w:color="auto"/>
        <w:right w:val="none" w:sz="0" w:space="0" w:color="auto"/>
      </w:divBdr>
    </w:div>
    <w:div w:id="1709144612">
      <w:bodyDiv w:val="1"/>
      <w:marLeft w:val="0"/>
      <w:marRight w:val="0"/>
      <w:marTop w:val="0"/>
      <w:marBottom w:val="0"/>
      <w:divBdr>
        <w:top w:val="none" w:sz="0" w:space="0" w:color="auto"/>
        <w:left w:val="none" w:sz="0" w:space="0" w:color="auto"/>
        <w:bottom w:val="none" w:sz="0" w:space="0" w:color="auto"/>
        <w:right w:val="none" w:sz="0" w:space="0" w:color="auto"/>
      </w:divBdr>
    </w:div>
    <w:div w:id="1709185299">
      <w:bodyDiv w:val="1"/>
      <w:marLeft w:val="0"/>
      <w:marRight w:val="0"/>
      <w:marTop w:val="0"/>
      <w:marBottom w:val="0"/>
      <w:divBdr>
        <w:top w:val="none" w:sz="0" w:space="0" w:color="auto"/>
        <w:left w:val="none" w:sz="0" w:space="0" w:color="auto"/>
        <w:bottom w:val="none" w:sz="0" w:space="0" w:color="auto"/>
        <w:right w:val="none" w:sz="0" w:space="0" w:color="auto"/>
      </w:divBdr>
    </w:div>
    <w:div w:id="1709330550">
      <w:bodyDiv w:val="1"/>
      <w:marLeft w:val="0"/>
      <w:marRight w:val="0"/>
      <w:marTop w:val="0"/>
      <w:marBottom w:val="0"/>
      <w:divBdr>
        <w:top w:val="none" w:sz="0" w:space="0" w:color="auto"/>
        <w:left w:val="none" w:sz="0" w:space="0" w:color="auto"/>
        <w:bottom w:val="none" w:sz="0" w:space="0" w:color="auto"/>
        <w:right w:val="none" w:sz="0" w:space="0" w:color="auto"/>
      </w:divBdr>
    </w:div>
    <w:div w:id="1709331704">
      <w:bodyDiv w:val="1"/>
      <w:marLeft w:val="0"/>
      <w:marRight w:val="0"/>
      <w:marTop w:val="0"/>
      <w:marBottom w:val="0"/>
      <w:divBdr>
        <w:top w:val="none" w:sz="0" w:space="0" w:color="auto"/>
        <w:left w:val="none" w:sz="0" w:space="0" w:color="auto"/>
        <w:bottom w:val="none" w:sz="0" w:space="0" w:color="auto"/>
        <w:right w:val="none" w:sz="0" w:space="0" w:color="auto"/>
      </w:divBdr>
    </w:div>
    <w:div w:id="1709406113">
      <w:bodyDiv w:val="1"/>
      <w:marLeft w:val="0"/>
      <w:marRight w:val="0"/>
      <w:marTop w:val="0"/>
      <w:marBottom w:val="0"/>
      <w:divBdr>
        <w:top w:val="none" w:sz="0" w:space="0" w:color="auto"/>
        <w:left w:val="none" w:sz="0" w:space="0" w:color="auto"/>
        <w:bottom w:val="none" w:sz="0" w:space="0" w:color="auto"/>
        <w:right w:val="none" w:sz="0" w:space="0" w:color="auto"/>
      </w:divBdr>
    </w:div>
    <w:div w:id="1709450150">
      <w:bodyDiv w:val="1"/>
      <w:marLeft w:val="0"/>
      <w:marRight w:val="0"/>
      <w:marTop w:val="0"/>
      <w:marBottom w:val="0"/>
      <w:divBdr>
        <w:top w:val="none" w:sz="0" w:space="0" w:color="auto"/>
        <w:left w:val="none" w:sz="0" w:space="0" w:color="auto"/>
        <w:bottom w:val="none" w:sz="0" w:space="0" w:color="auto"/>
        <w:right w:val="none" w:sz="0" w:space="0" w:color="auto"/>
      </w:divBdr>
    </w:div>
    <w:div w:id="1709599854">
      <w:bodyDiv w:val="1"/>
      <w:marLeft w:val="0"/>
      <w:marRight w:val="0"/>
      <w:marTop w:val="0"/>
      <w:marBottom w:val="0"/>
      <w:divBdr>
        <w:top w:val="none" w:sz="0" w:space="0" w:color="auto"/>
        <w:left w:val="none" w:sz="0" w:space="0" w:color="auto"/>
        <w:bottom w:val="none" w:sz="0" w:space="0" w:color="auto"/>
        <w:right w:val="none" w:sz="0" w:space="0" w:color="auto"/>
      </w:divBdr>
    </w:div>
    <w:div w:id="1709645940">
      <w:bodyDiv w:val="1"/>
      <w:marLeft w:val="0"/>
      <w:marRight w:val="0"/>
      <w:marTop w:val="0"/>
      <w:marBottom w:val="0"/>
      <w:divBdr>
        <w:top w:val="none" w:sz="0" w:space="0" w:color="auto"/>
        <w:left w:val="none" w:sz="0" w:space="0" w:color="auto"/>
        <w:bottom w:val="none" w:sz="0" w:space="0" w:color="auto"/>
        <w:right w:val="none" w:sz="0" w:space="0" w:color="auto"/>
      </w:divBdr>
    </w:div>
    <w:div w:id="1709648447">
      <w:bodyDiv w:val="1"/>
      <w:marLeft w:val="0"/>
      <w:marRight w:val="0"/>
      <w:marTop w:val="0"/>
      <w:marBottom w:val="0"/>
      <w:divBdr>
        <w:top w:val="none" w:sz="0" w:space="0" w:color="auto"/>
        <w:left w:val="none" w:sz="0" w:space="0" w:color="auto"/>
        <w:bottom w:val="none" w:sz="0" w:space="0" w:color="auto"/>
        <w:right w:val="none" w:sz="0" w:space="0" w:color="auto"/>
      </w:divBdr>
    </w:div>
    <w:div w:id="1709796726">
      <w:bodyDiv w:val="1"/>
      <w:marLeft w:val="0"/>
      <w:marRight w:val="0"/>
      <w:marTop w:val="0"/>
      <w:marBottom w:val="0"/>
      <w:divBdr>
        <w:top w:val="none" w:sz="0" w:space="0" w:color="auto"/>
        <w:left w:val="none" w:sz="0" w:space="0" w:color="auto"/>
        <w:bottom w:val="none" w:sz="0" w:space="0" w:color="auto"/>
        <w:right w:val="none" w:sz="0" w:space="0" w:color="auto"/>
      </w:divBdr>
    </w:div>
    <w:div w:id="1709800096">
      <w:bodyDiv w:val="1"/>
      <w:marLeft w:val="0"/>
      <w:marRight w:val="0"/>
      <w:marTop w:val="0"/>
      <w:marBottom w:val="0"/>
      <w:divBdr>
        <w:top w:val="none" w:sz="0" w:space="0" w:color="auto"/>
        <w:left w:val="none" w:sz="0" w:space="0" w:color="auto"/>
        <w:bottom w:val="none" w:sz="0" w:space="0" w:color="auto"/>
        <w:right w:val="none" w:sz="0" w:space="0" w:color="auto"/>
      </w:divBdr>
    </w:div>
    <w:div w:id="1709985662">
      <w:bodyDiv w:val="1"/>
      <w:marLeft w:val="0"/>
      <w:marRight w:val="0"/>
      <w:marTop w:val="0"/>
      <w:marBottom w:val="0"/>
      <w:divBdr>
        <w:top w:val="none" w:sz="0" w:space="0" w:color="auto"/>
        <w:left w:val="none" w:sz="0" w:space="0" w:color="auto"/>
        <w:bottom w:val="none" w:sz="0" w:space="0" w:color="auto"/>
        <w:right w:val="none" w:sz="0" w:space="0" w:color="auto"/>
      </w:divBdr>
    </w:div>
    <w:div w:id="1710059931">
      <w:bodyDiv w:val="1"/>
      <w:marLeft w:val="0"/>
      <w:marRight w:val="0"/>
      <w:marTop w:val="0"/>
      <w:marBottom w:val="0"/>
      <w:divBdr>
        <w:top w:val="none" w:sz="0" w:space="0" w:color="auto"/>
        <w:left w:val="none" w:sz="0" w:space="0" w:color="auto"/>
        <w:bottom w:val="none" w:sz="0" w:space="0" w:color="auto"/>
        <w:right w:val="none" w:sz="0" w:space="0" w:color="auto"/>
      </w:divBdr>
    </w:div>
    <w:div w:id="1710063452">
      <w:bodyDiv w:val="1"/>
      <w:marLeft w:val="0"/>
      <w:marRight w:val="0"/>
      <w:marTop w:val="0"/>
      <w:marBottom w:val="0"/>
      <w:divBdr>
        <w:top w:val="none" w:sz="0" w:space="0" w:color="auto"/>
        <w:left w:val="none" w:sz="0" w:space="0" w:color="auto"/>
        <w:bottom w:val="none" w:sz="0" w:space="0" w:color="auto"/>
        <w:right w:val="none" w:sz="0" w:space="0" w:color="auto"/>
      </w:divBdr>
    </w:div>
    <w:div w:id="1710102875">
      <w:bodyDiv w:val="1"/>
      <w:marLeft w:val="0"/>
      <w:marRight w:val="0"/>
      <w:marTop w:val="0"/>
      <w:marBottom w:val="0"/>
      <w:divBdr>
        <w:top w:val="none" w:sz="0" w:space="0" w:color="auto"/>
        <w:left w:val="none" w:sz="0" w:space="0" w:color="auto"/>
        <w:bottom w:val="none" w:sz="0" w:space="0" w:color="auto"/>
        <w:right w:val="none" w:sz="0" w:space="0" w:color="auto"/>
      </w:divBdr>
    </w:div>
    <w:div w:id="1710105914">
      <w:bodyDiv w:val="1"/>
      <w:marLeft w:val="0"/>
      <w:marRight w:val="0"/>
      <w:marTop w:val="0"/>
      <w:marBottom w:val="0"/>
      <w:divBdr>
        <w:top w:val="none" w:sz="0" w:space="0" w:color="auto"/>
        <w:left w:val="none" w:sz="0" w:space="0" w:color="auto"/>
        <w:bottom w:val="none" w:sz="0" w:space="0" w:color="auto"/>
        <w:right w:val="none" w:sz="0" w:space="0" w:color="auto"/>
      </w:divBdr>
    </w:div>
    <w:div w:id="1710227511">
      <w:bodyDiv w:val="1"/>
      <w:marLeft w:val="0"/>
      <w:marRight w:val="0"/>
      <w:marTop w:val="0"/>
      <w:marBottom w:val="0"/>
      <w:divBdr>
        <w:top w:val="none" w:sz="0" w:space="0" w:color="auto"/>
        <w:left w:val="none" w:sz="0" w:space="0" w:color="auto"/>
        <w:bottom w:val="none" w:sz="0" w:space="0" w:color="auto"/>
        <w:right w:val="none" w:sz="0" w:space="0" w:color="auto"/>
      </w:divBdr>
    </w:div>
    <w:div w:id="1710304725">
      <w:bodyDiv w:val="1"/>
      <w:marLeft w:val="0"/>
      <w:marRight w:val="0"/>
      <w:marTop w:val="0"/>
      <w:marBottom w:val="0"/>
      <w:divBdr>
        <w:top w:val="none" w:sz="0" w:space="0" w:color="auto"/>
        <w:left w:val="none" w:sz="0" w:space="0" w:color="auto"/>
        <w:bottom w:val="none" w:sz="0" w:space="0" w:color="auto"/>
        <w:right w:val="none" w:sz="0" w:space="0" w:color="auto"/>
      </w:divBdr>
    </w:div>
    <w:div w:id="1710374856">
      <w:bodyDiv w:val="1"/>
      <w:marLeft w:val="0"/>
      <w:marRight w:val="0"/>
      <w:marTop w:val="0"/>
      <w:marBottom w:val="0"/>
      <w:divBdr>
        <w:top w:val="none" w:sz="0" w:space="0" w:color="auto"/>
        <w:left w:val="none" w:sz="0" w:space="0" w:color="auto"/>
        <w:bottom w:val="none" w:sz="0" w:space="0" w:color="auto"/>
        <w:right w:val="none" w:sz="0" w:space="0" w:color="auto"/>
      </w:divBdr>
    </w:div>
    <w:div w:id="1710448143">
      <w:bodyDiv w:val="1"/>
      <w:marLeft w:val="0"/>
      <w:marRight w:val="0"/>
      <w:marTop w:val="0"/>
      <w:marBottom w:val="0"/>
      <w:divBdr>
        <w:top w:val="none" w:sz="0" w:space="0" w:color="auto"/>
        <w:left w:val="none" w:sz="0" w:space="0" w:color="auto"/>
        <w:bottom w:val="none" w:sz="0" w:space="0" w:color="auto"/>
        <w:right w:val="none" w:sz="0" w:space="0" w:color="auto"/>
      </w:divBdr>
    </w:div>
    <w:div w:id="1710454060">
      <w:bodyDiv w:val="1"/>
      <w:marLeft w:val="0"/>
      <w:marRight w:val="0"/>
      <w:marTop w:val="0"/>
      <w:marBottom w:val="0"/>
      <w:divBdr>
        <w:top w:val="none" w:sz="0" w:space="0" w:color="auto"/>
        <w:left w:val="none" w:sz="0" w:space="0" w:color="auto"/>
        <w:bottom w:val="none" w:sz="0" w:space="0" w:color="auto"/>
        <w:right w:val="none" w:sz="0" w:space="0" w:color="auto"/>
      </w:divBdr>
    </w:div>
    <w:div w:id="1710490295">
      <w:bodyDiv w:val="1"/>
      <w:marLeft w:val="0"/>
      <w:marRight w:val="0"/>
      <w:marTop w:val="0"/>
      <w:marBottom w:val="0"/>
      <w:divBdr>
        <w:top w:val="none" w:sz="0" w:space="0" w:color="auto"/>
        <w:left w:val="none" w:sz="0" w:space="0" w:color="auto"/>
        <w:bottom w:val="none" w:sz="0" w:space="0" w:color="auto"/>
        <w:right w:val="none" w:sz="0" w:space="0" w:color="auto"/>
      </w:divBdr>
    </w:div>
    <w:div w:id="1710491303">
      <w:bodyDiv w:val="1"/>
      <w:marLeft w:val="0"/>
      <w:marRight w:val="0"/>
      <w:marTop w:val="0"/>
      <w:marBottom w:val="0"/>
      <w:divBdr>
        <w:top w:val="none" w:sz="0" w:space="0" w:color="auto"/>
        <w:left w:val="none" w:sz="0" w:space="0" w:color="auto"/>
        <w:bottom w:val="none" w:sz="0" w:space="0" w:color="auto"/>
        <w:right w:val="none" w:sz="0" w:space="0" w:color="auto"/>
      </w:divBdr>
    </w:div>
    <w:div w:id="1710491878">
      <w:bodyDiv w:val="1"/>
      <w:marLeft w:val="0"/>
      <w:marRight w:val="0"/>
      <w:marTop w:val="0"/>
      <w:marBottom w:val="0"/>
      <w:divBdr>
        <w:top w:val="none" w:sz="0" w:space="0" w:color="auto"/>
        <w:left w:val="none" w:sz="0" w:space="0" w:color="auto"/>
        <w:bottom w:val="none" w:sz="0" w:space="0" w:color="auto"/>
        <w:right w:val="none" w:sz="0" w:space="0" w:color="auto"/>
      </w:divBdr>
    </w:div>
    <w:div w:id="1710497985">
      <w:bodyDiv w:val="1"/>
      <w:marLeft w:val="0"/>
      <w:marRight w:val="0"/>
      <w:marTop w:val="0"/>
      <w:marBottom w:val="0"/>
      <w:divBdr>
        <w:top w:val="none" w:sz="0" w:space="0" w:color="auto"/>
        <w:left w:val="none" w:sz="0" w:space="0" w:color="auto"/>
        <w:bottom w:val="none" w:sz="0" w:space="0" w:color="auto"/>
        <w:right w:val="none" w:sz="0" w:space="0" w:color="auto"/>
      </w:divBdr>
    </w:div>
    <w:div w:id="1710567809">
      <w:bodyDiv w:val="1"/>
      <w:marLeft w:val="0"/>
      <w:marRight w:val="0"/>
      <w:marTop w:val="0"/>
      <w:marBottom w:val="0"/>
      <w:divBdr>
        <w:top w:val="none" w:sz="0" w:space="0" w:color="auto"/>
        <w:left w:val="none" w:sz="0" w:space="0" w:color="auto"/>
        <w:bottom w:val="none" w:sz="0" w:space="0" w:color="auto"/>
        <w:right w:val="none" w:sz="0" w:space="0" w:color="auto"/>
      </w:divBdr>
    </w:div>
    <w:div w:id="1710572492">
      <w:bodyDiv w:val="1"/>
      <w:marLeft w:val="0"/>
      <w:marRight w:val="0"/>
      <w:marTop w:val="0"/>
      <w:marBottom w:val="0"/>
      <w:divBdr>
        <w:top w:val="none" w:sz="0" w:space="0" w:color="auto"/>
        <w:left w:val="none" w:sz="0" w:space="0" w:color="auto"/>
        <w:bottom w:val="none" w:sz="0" w:space="0" w:color="auto"/>
        <w:right w:val="none" w:sz="0" w:space="0" w:color="auto"/>
      </w:divBdr>
    </w:div>
    <w:div w:id="1710911933">
      <w:bodyDiv w:val="1"/>
      <w:marLeft w:val="0"/>
      <w:marRight w:val="0"/>
      <w:marTop w:val="0"/>
      <w:marBottom w:val="0"/>
      <w:divBdr>
        <w:top w:val="none" w:sz="0" w:space="0" w:color="auto"/>
        <w:left w:val="none" w:sz="0" w:space="0" w:color="auto"/>
        <w:bottom w:val="none" w:sz="0" w:space="0" w:color="auto"/>
        <w:right w:val="none" w:sz="0" w:space="0" w:color="auto"/>
      </w:divBdr>
    </w:div>
    <w:div w:id="1710912717">
      <w:bodyDiv w:val="1"/>
      <w:marLeft w:val="0"/>
      <w:marRight w:val="0"/>
      <w:marTop w:val="0"/>
      <w:marBottom w:val="0"/>
      <w:divBdr>
        <w:top w:val="none" w:sz="0" w:space="0" w:color="auto"/>
        <w:left w:val="none" w:sz="0" w:space="0" w:color="auto"/>
        <w:bottom w:val="none" w:sz="0" w:space="0" w:color="auto"/>
        <w:right w:val="none" w:sz="0" w:space="0" w:color="auto"/>
      </w:divBdr>
    </w:div>
    <w:div w:id="1710959465">
      <w:bodyDiv w:val="1"/>
      <w:marLeft w:val="0"/>
      <w:marRight w:val="0"/>
      <w:marTop w:val="0"/>
      <w:marBottom w:val="0"/>
      <w:divBdr>
        <w:top w:val="none" w:sz="0" w:space="0" w:color="auto"/>
        <w:left w:val="none" w:sz="0" w:space="0" w:color="auto"/>
        <w:bottom w:val="none" w:sz="0" w:space="0" w:color="auto"/>
        <w:right w:val="none" w:sz="0" w:space="0" w:color="auto"/>
      </w:divBdr>
    </w:div>
    <w:div w:id="1711027934">
      <w:bodyDiv w:val="1"/>
      <w:marLeft w:val="0"/>
      <w:marRight w:val="0"/>
      <w:marTop w:val="0"/>
      <w:marBottom w:val="0"/>
      <w:divBdr>
        <w:top w:val="none" w:sz="0" w:space="0" w:color="auto"/>
        <w:left w:val="none" w:sz="0" w:space="0" w:color="auto"/>
        <w:bottom w:val="none" w:sz="0" w:space="0" w:color="auto"/>
        <w:right w:val="none" w:sz="0" w:space="0" w:color="auto"/>
      </w:divBdr>
    </w:div>
    <w:div w:id="1711104839">
      <w:bodyDiv w:val="1"/>
      <w:marLeft w:val="0"/>
      <w:marRight w:val="0"/>
      <w:marTop w:val="0"/>
      <w:marBottom w:val="0"/>
      <w:divBdr>
        <w:top w:val="none" w:sz="0" w:space="0" w:color="auto"/>
        <w:left w:val="none" w:sz="0" w:space="0" w:color="auto"/>
        <w:bottom w:val="none" w:sz="0" w:space="0" w:color="auto"/>
        <w:right w:val="none" w:sz="0" w:space="0" w:color="auto"/>
      </w:divBdr>
    </w:div>
    <w:div w:id="1711149734">
      <w:bodyDiv w:val="1"/>
      <w:marLeft w:val="0"/>
      <w:marRight w:val="0"/>
      <w:marTop w:val="0"/>
      <w:marBottom w:val="0"/>
      <w:divBdr>
        <w:top w:val="none" w:sz="0" w:space="0" w:color="auto"/>
        <w:left w:val="none" w:sz="0" w:space="0" w:color="auto"/>
        <w:bottom w:val="none" w:sz="0" w:space="0" w:color="auto"/>
        <w:right w:val="none" w:sz="0" w:space="0" w:color="auto"/>
      </w:divBdr>
    </w:div>
    <w:div w:id="1711177217">
      <w:bodyDiv w:val="1"/>
      <w:marLeft w:val="0"/>
      <w:marRight w:val="0"/>
      <w:marTop w:val="0"/>
      <w:marBottom w:val="0"/>
      <w:divBdr>
        <w:top w:val="none" w:sz="0" w:space="0" w:color="auto"/>
        <w:left w:val="none" w:sz="0" w:space="0" w:color="auto"/>
        <w:bottom w:val="none" w:sz="0" w:space="0" w:color="auto"/>
        <w:right w:val="none" w:sz="0" w:space="0" w:color="auto"/>
      </w:divBdr>
    </w:div>
    <w:div w:id="1711297082">
      <w:bodyDiv w:val="1"/>
      <w:marLeft w:val="0"/>
      <w:marRight w:val="0"/>
      <w:marTop w:val="0"/>
      <w:marBottom w:val="0"/>
      <w:divBdr>
        <w:top w:val="none" w:sz="0" w:space="0" w:color="auto"/>
        <w:left w:val="none" w:sz="0" w:space="0" w:color="auto"/>
        <w:bottom w:val="none" w:sz="0" w:space="0" w:color="auto"/>
        <w:right w:val="none" w:sz="0" w:space="0" w:color="auto"/>
      </w:divBdr>
    </w:div>
    <w:div w:id="1711299545">
      <w:bodyDiv w:val="1"/>
      <w:marLeft w:val="0"/>
      <w:marRight w:val="0"/>
      <w:marTop w:val="0"/>
      <w:marBottom w:val="0"/>
      <w:divBdr>
        <w:top w:val="none" w:sz="0" w:space="0" w:color="auto"/>
        <w:left w:val="none" w:sz="0" w:space="0" w:color="auto"/>
        <w:bottom w:val="none" w:sz="0" w:space="0" w:color="auto"/>
        <w:right w:val="none" w:sz="0" w:space="0" w:color="auto"/>
      </w:divBdr>
    </w:div>
    <w:div w:id="1711346517">
      <w:bodyDiv w:val="1"/>
      <w:marLeft w:val="0"/>
      <w:marRight w:val="0"/>
      <w:marTop w:val="0"/>
      <w:marBottom w:val="0"/>
      <w:divBdr>
        <w:top w:val="none" w:sz="0" w:space="0" w:color="auto"/>
        <w:left w:val="none" w:sz="0" w:space="0" w:color="auto"/>
        <w:bottom w:val="none" w:sz="0" w:space="0" w:color="auto"/>
        <w:right w:val="none" w:sz="0" w:space="0" w:color="auto"/>
      </w:divBdr>
    </w:div>
    <w:div w:id="1711372066">
      <w:bodyDiv w:val="1"/>
      <w:marLeft w:val="0"/>
      <w:marRight w:val="0"/>
      <w:marTop w:val="0"/>
      <w:marBottom w:val="0"/>
      <w:divBdr>
        <w:top w:val="none" w:sz="0" w:space="0" w:color="auto"/>
        <w:left w:val="none" w:sz="0" w:space="0" w:color="auto"/>
        <w:bottom w:val="none" w:sz="0" w:space="0" w:color="auto"/>
        <w:right w:val="none" w:sz="0" w:space="0" w:color="auto"/>
      </w:divBdr>
    </w:div>
    <w:div w:id="1711414098">
      <w:bodyDiv w:val="1"/>
      <w:marLeft w:val="0"/>
      <w:marRight w:val="0"/>
      <w:marTop w:val="0"/>
      <w:marBottom w:val="0"/>
      <w:divBdr>
        <w:top w:val="none" w:sz="0" w:space="0" w:color="auto"/>
        <w:left w:val="none" w:sz="0" w:space="0" w:color="auto"/>
        <w:bottom w:val="none" w:sz="0" w:space="0" w:color="auto"/>
        <w:right w:val="none" w:sz="0" w:space="0" w:color="auto"/>
      </w:divBdr>
    </w:div>
    <w:div w:id="1711488525">
      <w:bodyDiv w:val="1"/>
      <w:marLeft w:val="0"/>
      <w:marRight w:val="0"/>
      <w:marTop w:val="0"/>
      <w:marBottom w:val="0"/>
      <w:divBdr>
        <w:top w:val="none" w:sz="0" w:space="0" w:color="auto"/>
        <w:left w:val="none" w:sz="0" w:space="0" w:color="auto"/>
        <w:bottom w:val="none" w:sz="0" w:space="0" w:color="auto"/>
        <w:right w:val="none" w:sz="0" w:space="0" w:color="auto"/>
      </w:divBdr>
    </w:div>
    <w:div w:id="1711489250">
      <w:bodyDiv w:val="1"/>
      <w:marLeft w:val="0"/>
      <w:marRight w:val="0"/>
      <w:marTop w:val="0"/>
      <w:marBottom w:val="0"/>
      <w:divBdr>
        <w:top w:val="none" w:sz="0" w:space="0" w:color="auto"/>
        <w:left w:val="none" w:sz="0" w:space="0" w:color="auto"/>
        <w:bottom w:val="none" w:sz="0" w:space="0" w:color="auto"/>
        <w:right w:val="none" w:sz="0" w:space="0" w:color="auto"/>
      </w:divBdr>
    </w:div>
    <w:div w:id="1711491348">
      <w:bodyDiv w:val="1"/>
      <w:marLeft w:val="0"/>
      <w:marRight w:val="0"/>
      <w:marTop w:val="0"/>
      <w:marBottom w:val="0"/>
      <w:divBdr>
        <w:top w:val="none" w:sz="0" w:space="0" w:color="auto"/>
        <w:left w:val="none" w:sz="0" w:space="0" w:color="auto"/>
        <w:bottom w:val="none" w:sz="0" w:space="0" w:color="auto"/>
        <w:right w:val="none" w:sz="0" w:space="0" w:color="auto"/>
      </w:divBdr>
    </w:div>
    <w:div w:id="1711539117">
      <w:bodyDiv w:val="1"/>
      <w:marLeft w:val="0"/>
      <w:marRight w:val="0"/>
      <w:marTop w:val="0"/>
      <w:marBottom w:val="0"/>
      <w:divBdr>
        <w:top w:val="none" w:sz="0" w:space="0" w:color="auto"/>
        <w:left w:val="none" w:sz="0" w:space="0" w:color="auto"/>
        <w:bottom w:val="none" w:sz="0" w:space="0" w:color="auto"/>
        <w:right w:val="none" w:sz="0" w:space="0" w:color="auto"/>
      </w:divBdr>
    </w:div>
    <w:div w:id="1711611110">
      <w:bodyDiv w:val="1"/>
      <w:marLeft w:val="0"/>
      <w:marRight w:val="0"/>
      <w:marTop w:val="0"/>
      <w:marBottom w:val="0"/>
      <w:divBdr>
        <w:top w:val="none" w:sz="0" w:space="0" w:color="auto"/>
        <w:left w:val="none" w:sz="0" w:space="0" w:color="auto"/>
        <w:bottom w:val="none" w:sz="0" w:space="0" w:color="auto"/>
        <w:right w:val="none" w:sz="0" w:space="0" w:color="auto"/>
      </w:divBdr>
    </w:div>
    <w:div w:id="1711682190">
      <w:bodyDiv w:val="1"/>
      <w:marLeft w:val="0"/>
      <w:marRight w:val="0"/>
      <w:marTop w:val="0"/>
      <w:marBottom w:val="0"/>
      <w:divBdr>
        <w:top w:val="none" w:sz="0" w:space="0" w:color="auto"/>
        <w:left w:val="none" w:sz="0" w:space="0" w:color="auto"/>
        <w:bottom w:val="none" w:sz="0" w:space="0" w:color="auto"/>
        <w:right w:val="none" w:sz="0" w:space="0" w:color="auto"/>
      </w:divBdr>
    </w:div>
    <w:div w:id="1711682563">
      <w:bodyDiv w:val="1"/>
      <w:marLeft w:val="0"/>
      <w:marRight w:val="0"/>
      <w:marTop w:val="0"/>
      <w:marBottom w:val="0"/>
      <w:divBdr>
        <w:top w:val="none" w:sz="0" w:space="0" w:color="auto"/>
        <w:left w:val="none" w:sz="0" w:space="0" w:color="auto"/>
        <w:bottom w:val="none" w:sz="0" w:space="0" w:color="auto"/>
        <w:right w:val="none" w:sz="0" w:space="0" w:color="auto"/>
      </w:divBdr>
    </w:div>
    <w:div w:id="1711756706">
      <w:bodyDiv w:val="1"/>
      <w:marLeft w:val="0"/>
      <w:marRight w:val="0"/>
      <w:marTop w:val="0"/>
      <w:marBottom w:val="0"/>
      <w:divBdr>
        <w:top w:val="none" w:sz="0" w:space="0" w:color="auto"/>
        <w:left w:val="none" w:sz="0" w:space="0" w:color="auto"/>
        <w:bottom w:val="none" w:sz="0" w:space="0" w:color="auto"/>
        <w:right w:val="none" w:sz="0" w:space="0" w:color="auto"/>
      </w:divBdr>
    </w:div>
    <w:div w:id="1711807994">
      <w:bodyDiv w:val="1"/>
      <w:marLeft w:val="0"/>
      <w:marRight w:val="0"/>
      <w:marTop w:val="0"/>
      <w:marBottom w:val="0"/>
      <w:divBdr>
        <w:top w:val="none" w:sz="0" w:space="0" w:color="auto"/>
        <w:left w:val="none" w:sz="0" w:space="0" w:color="auto"/>
        <w:bottom w:val="none" w:sz="0" w:space="0" w:color="auto"/>
        <w:right w:val="none" w:sz="0" w:space="0" w:color="auto"/>
      </w:divBdr>
    </w:div>
    <w:div w:id="1711881598">
      <w:bodyDiv w:val="1"/>
      <w:marLeft w:val="0"/>
      <w:marRight w:val="0"/>
      <w:marTop w:val="0"/>
      <w:marBottom w:val="0"/>
      <w:divBdr>
        <w:top w:val="none" w:sz="0" w:space="0" w:color="auto"/>
        <w:left w:val="none" w:sz="0" w:space="0" w:color="auto"/>
        <w:bottom w:val="none" w:sz="0" w:space="0" w:color="auto"/>
        <w:right w:val="none" w:sz="0" w:space="0" w:color="auto"/>
      </w:divBdr>
    </w:div>
    <w:div w:id="1711882455">
      <w:bodyDiv w:val="1"/>
      <w:marLeft w:val="0"/>
      <w:marRight w:val="0"/>
      <w:marTop w:val="0"/>
      <w:marBottom w:val="0"/>
      <w:divBdr>
        <w:top w:val="none" w:sz="0" w:space="0" w:color="auto"/>
        <w:left w:val="none" w:sz="0" w:space="0" w:color="auto"/>
        <w:bottom w:val="none" w:sz="0" w:space="0" w:color="auto"/>
        <w:right w:val="none" w:sz="0" w:space="0" w:color="auto"/>
      </w:divBdr>
    </w:div>
    <w:div w:id="1711883891">
      <w:bodyDiv w:val="1"/>
      <w:marLeft w:val="0"/>
      <w:marRight w:val="0"/>
      <w:marTop w:val="0"/>
      <w:marBottom w:val="0"/>
      <w:divBdr>
        <w:top w:val="none" w:sz="0" w:space="0" w:color="auto"/>
        <w:left w:val="none" w:sz="0" w:space="0" w:color="auto"/>
        <w:bottom w:val="none" w:sz="0" w:space="0" w:color="auto"/>
        <w:right w:val="none" w:sz="0" w:space="0" w:color="auto"/>
      </w:divBdr>
    </w:div>
    <w:div w:id="1711954420">
      <w:bodyDiv w:val="1"/>
      <w:marLeft w:val="0"/>
      <w:marRight w:val="0"/>
      <w:marTop w:val="0"/>
      <w:marBottom w:val="0"/>
      <w:divBdr>
        <w:top w:val="none" w:sz="0" w:space="0" w:color="auto"/>
        <w:left w:val="none" w:sz="0" w:space="0" w:color="auto"/>
        <w:bottom w:val="none" w:sz="0" w:space="0" w:color="auto"/>
        <w:right w:val="none" w:sz="0" w:space="0" w:color="auto"/>
      </w:divBdr>
    </w:div>
    <w:div w:id="1711956578">
      <w:bodyDiv w:val="1"/>
      <w:marLeft w:val="0"/>
      <w:marRight w:val="0"/>
      <w:marTop w:val="0"/>
      <w:marBottom w:val="0"/>
      <w:divBdr>
        <w:top w:val="none" w:sz="0" w:space="0" w:color="auto"/>
        <w:left w:val="none" w:sz="0" w:space="0" w:color="auto"/>
        <w:bottom w:val="none" w:sz="0" w:space="0" w:color="auto"/>
        <w:right w:val="none" w:sz="0" w:space="0" w:color="auto"/>
      </w:divBdr>
    </w:div>
    <w:div w:id="1711959084">
      <w:bodyDiv w:val="1"/>
      <w:marLeft w:val="0"/>
      <w:marRight w:val="0"/>
      <w:marTop w:val="0"/>
      <w:marBottom w:val="0"/>
      <w:divBdr>
        <w:top w:val="none" w:sz="0" w:space="0" w:color="auto"/>
        <w:left w:val="none" w:sz="0" w:space="0" w:color="auto"/>
        <w:bottom w:val="none" w:sz="0" w:space="0" w:color="auto"/>
        <w:right w:val="none" w:sz="0" w:space="0" w:color="auto"/>
      </w:divBdr>
    </w:div>
    <w:div w:id="1712001699">
      <w:bodyDiv w:val="1"/>
      <w:marLeft w:val="0"/>
      <w:marRight w:val="0"/>
      <w:marTop w:val="0"/>
      <w:marBottom w:val="0"/>
      <w:divBdr>
        <w:top w:val="none" w:sz="0" w:space="0" w:color="auto"/>
        <w:left w:val="none" w:sz="0" w:space="0" w:color="auto"/>
        <w:bottom w:val="none" w:sz="0" w:space="0" w:color="auto"/>
        <w:right w:val="none" w:sz="0" w:space="0" w:color="auto"/>
      </w:divBdr>
    </w:div>
    <w:div w:id="1712144095">
      <w:bodyDiv w:val="1"/>
      <w:marLeft w:val="0"/>
      <w:marRight w:val="0"/>
      <w:marTop w:val="0"/>
      <w:marBottom w:val="0"/>
      <w:divBdr>
        <w:top w:val="none" w:sz="0" w:space="0" w:color="auto"/>
        <w:left w:val="none" w:sz="0" w:space="0" w:color="auto"/>
        <w:bottom w:val="none" w:sz="0" w:space="0" w:color="auto"/>
        <w:right w:val="none" w:sz="0" w:space="0" w:color="auto"/>
      </w:divBdr>
    </w:div>
    <w:div w:id="1712193718">
      <w:bodyDiv w:val="1"/>
      <w:marLeft w:val="0"/>
      <w:marRight w:val="0"/>
      <w:marTop w:val="0"/>
      <w:marBottom w:val="0"/>
      <w:divBdr>
        <w:top w:val="none" w:sz="0" w:space="0" w:color="auto"/>
        <w:left w:val="none" w:sz="0" w:space="0" w:color="auto"/>
        <w:bottom w:val="none" w:sz="0" w:space="0" w:color="auto"/>
        <w:right w:val="none" w:sz="0" w:space="0" w:color="auto"/>
      </w:divBdr>
    </w:div>
    <w:div w:id="1712220345">
      <w:bodyDiv w:val="1"/>
      <w:marLeft w:val="0"/>
      <w:marRight w:val="0"/>
      <w:marTop w:val="0"/>
      <w:marBottom w:val="0"/>
      <w:divBdr>
        <w:top w:val="none" w:sz="0" w:space="0" w:color="auto"/>
        <w:left w:val="none" w:sz="0" w:space="0" w:color="auto"/>
        <w:bottom w:val="none" w:sz="0" w:space="0" w:color="auto"/>
        <w:right w:val="none" w:sz="0" w:space="0" w:color="auto"/>
      </w:divBdr>
    </w:div>
    <w:div w:id="1712225574">
      <w:bodyDiv w:val="1"/>
      <w:marLeft w:val="0"/>
      <w:marRight w:val="0"/>
      <w:marTop w:val="0"/>
      <w:marBottom w:val="0"/>
      <w:divBdr>
        <w:top w:val="none" w:sz="0" w:space="0" w:color="auto"/>
        <w:left w:val="none" w:sz="0" w:space="0" w:color="auto"/>
        <w:bottom w:val="none" w:sz="0" w:space="0" w:color="auto"/>
        <w:right w:val="none" w:sz="0" w:space="0" w:color="auto"/>
      </w:divBdr>
    </w:div>
    <w:div w:id="1712340252">
      <w:bodyDiv w:val="1"/>
      <w:marLeft w:val="0"/>
      <w:marRight w:val="0"/>
      <w:marTop w:val="0"/>
      <w:marBottom w:val="0"/>
      <w:divBdr>
        <w:top w:val="none" w:sz="0" w:space="0" w:color="auto"/>
        <w:left w:val="none" w:sz="0" w:space="0" w:color="auto"/>
        <w:bottom w:val="none" w:sz="0" w:space="0" w:color="auto"/>
        <w:right w:val="none" w:sz="0" w:space="0" w:color="auto"/>
      </w:divBdr>
    </w:div>
    <w:div w:id="1712413807">
      <w:bodyDiv w:val="1"/>
      <w:marLeft w:val="0"/>
      <w:marRight w:val="0"/>
      <w:marTop w:val="0"/>
      <w:marBottom w:val="0"/>
      <w:divBdr>
        <w:top w:val="none" w:sz="0" w:space="0" w:color="auto"/>
        <w:left w:val="none" w:sz="0" w:space="0" w:color="auto"/>
        <w:bottom w:val="none" w:sz="0" w:space="0" w:color="auto"/>
        <w:right w:val="none" w:sz="0" w:space="0" w:color="auto"/>
      </w:divBdr>
    </w:div>
    <w:div w:id="1712533014">
      <w:bodyDiv w:val="1"/>
      <w:marLeft w:val="0"/>
      <w:marRight w:val="0"/>
      <w:marTop w:val="0"/>
      <w:marBottom w:val="0"/>
      <w:divBdr>
        <w:top w:val="none" w:sz="0" w:space="0" w:color="auto"/>
        <w:left w:val="none" w:sz="0" w:space="0" w:color="auto"/>
        <w:bottom w:val="none" w:sz="0" w:space="0" w:color="auto"/>
        <w:right w:val="none" w:sz="0" w:space="0" w:color="auto"/>
      </w:divBdr>
    </w:div>
    <w:div w:id="1712535883">
      <w:bodyDiv w:val="1"/>
      <w:marLeft w:val="0"/>
      <w:marRight w:val="0"/>
      <w:marTop w:val="0"/>
      <w:marBottom w:val="0"/>
      <w:divBdr>
        <w:top w:val="none" w:sz="0" w:space="0" w:color="auto"/>
        <w:left w:val="none" w:sz="0" w:space="0" w:color="auto"/>
        <w:bottom w:val="none" w:sz="0" w:space="0" w:color="auto"/>
        <w:right w:val="none" w:sz="0" w:space="0" w:color="auto"/>
      </w:divBdr>
    </w:div>
    <w:div w:id="1712607002">
      <w:bodyDiv w:val="1"/>
      <w:marLeft w:val="0"/>
      <w:marRight w:val="0"/>
      <w:marTop w:val="0"/>
      <w:marBottom w:val="0"/>
      <w:divBdr>
        <w:top w:val="none" w:sz="0" w:space="0" w:color="auto"/>
        <w:left w:val="none" w:sz="0" w:space="0" w:color="auto"/>
        <w:bottom w:val="none" w:sz="0" w:space="0" w:color="auto"/>
        <w:right w:val="none" w:sz="0" w:space="0" w:color="auto"/>
      </w:divBdr>
    </w:div>
    <w:div w:id="1712725065">
      <w:bodyDiv w:val="1"/>
      <w:marLeft w:val="0"/>
      <w:marRight w:val="0"/>
      <w:marTop w:val="0"/>
      <w:marBottom w:val="0"/>
      <w:divBdr>
        <w:top w:val="none" w:sz="0" w:space="0" w:color="auto"/>
        <w:left w:val="none" w:sz="0" w:space="0" w:color="auto"/>
        <w:bottom w:val="none" w:sz="0" w:space="0" w:color="auto"/>
        <w:right w:val="none" w:sz="0" w:space="0" w:color="auto"/>
      </w:divBdr>
    </w:div>
    <w:div w:id="1712728240">
      <w:bodyDiv w:val="1"/>
      <w:marLeft w:val="0"/>
      <w:marRight w:val="0"/>
      <w:marTop w:val="0"/>
      <w:marBottom w:val="0"/>
      <w:divBdr>
        <w:top w:val="none" w:sz="0" w:space="0" w:color="auto"/>
        <w:left w:val="none" w:sz="0" w:space="0" w:color="auto"/>
        <w:bottom w:val="none" w:sz="0" w:space="0" w:color="auto"/>
        <w:right w:val="none" w:sz="0" w:space="0" w:color="auto"/>
      </w:divBdr>
    </w:div>
    <w:div w:id="1712804997">
      <w:bodyDiv w:val="1"/>
      <w:marLeft w:val="0"/>
      <w:marRight w:val="0"/>
      <w:marTop w:val="0"/>
      <w:marBottom w:val="0"/>
      <w:divBdr>
        <w:top w:val="none" w:sz="0" w:space="0" w:color="auto"/>
        <w:left w:val="none" w:sz="0" w:space="0" w:color="auto"/>
        <w:bottom w:val="none" w:sz="0" w:space="0" w:color="auto"/>
        <w:right w:val="none" w:sz="0" w:space="0" w:color="auto"/>
      </w:divBdr>
    </w:div>
    <w:div w:id="1712923849">
      <w:bodyDiv w:val="1"/>
      <w:marLeft w:val="0"/>
      <w:marRight w:val="0"/>
      <w:marTop w:val="0"/>
      <w:marBottom w:val="0"/>
      <w:divBdr>
        <w:top w:val="none" w:sz="0" w:space="0" w:color="auto"/>
        <w:left w:val="none" w:sz="0" w:space="0" w:color="auto"/>
        <w:bottom w:val="none" w:sz="0" w:space="0" w:color="auto"/>
        <w:right w:val="none" w:sz="0" w:space="0" w:color="auto"/>
      </w:divBdr>
    </w:div>
    <w:div w:id="1712992426">
      <w:bodyDiv w:val="1"/>
      <w:marLeft w:val="0"/>
      <w:marRight w:val="0"/>
      <w:marTop w:val="0"/>
      <w:marBottom w:val="0"/>
      <w:divBdr>
        <w:top w:val="none" w:sz="0" w:space="0" w:color="auto"/>
        <w:left w:val="none" w:sz="0" w:space="0" w:color="auto"/>
        <w:bottom w:val="none" w:sz="0" w:space="0" w:color="auto"/>
        <w:right w:val="none" w:sz="0" w:space="0" w:color="auto"/>
      </w:divBdr>
    </w:div>
    <w:div w:id="1713114111">
      <w:bodyDiv w:val="1"/>
      <w:marLeft w:val="0"/>
      <w:marRight w:val="0"/>
      <w:marTop w:val="0"/>
      <w:marBottom w:val="0"/>
      <w:divBdr>
        <w:top w:val="none" w:sz="0" w:space="0" w:color="auto"/>
        <w:left w:val="none" w:sz="0" w:space="0" w:color="auto"/>
        <w:bottom w:val="none" w:sz="0" w:space="0" w:color="auto"/>
        <w:right w:val="none" w:sz="0" w:space="0" w:color="auto"/>
      </w:divBdr>
    </w:div>
    <w:div w:id="1713191483">
      <w:bodyDiv w:val="1"/>
      <w:marLeft w:val="0"/>
      <w:marRight w:val="0"/>
      <w:marTop w:val="0"/>
      <w:marBottom w:val="0"/>
      <w:divBdr>
        <w:top w:val="none" w:sz="0" w:space="0" w:color="auto"/>
        <w:left w:val="none" w:sz="0" w:space="0" w:color="auto"/>
        <w:bottom w:val="none" w:sz="0" w:space="0" w:color="auto"/>
        <w:right w:val="none" w:sz="0" w:space="0" w:color="auto"/>
      </w:divBdr>
    </w:div>
    <w:div w:id="1713262169">
      <w:bodyDiv w:val="1"/>
      <w:marLeft w:val="0"/>
      <w:marRight w:val="0"/>
      <w:marTop w:val="0"/>
      <w:marBottom w:val="0"/>
      <w:divBdr>
        <w:top w:val="none" w:sz="0" w:space="0" w:color="auto"/>
        <w:left w:val="none" w:sz="0" w:space="0" w:color="auto"/>
        <w:bottom w:val="none" w:sz="0" w:space="0" w:color="auto"/>
        <w:right w:val="none" w:sz="0" w:space="0" w:color="auto"/>
      </w:divBdr>
    </w:div>
    <w:div w:id="1713384192">
      <w:bodyDiv w:val="1"/>
      <w:marLeft w:val="0"/>
      <w:marRight w:val="0"/>
      <w:marTop w:val="0"/>
      <w:marBottom w:val="0"/>
      <w:divBdr>
        <w:top w:val="none" w:sz="0" w:space="0" w:color="auto"/>
        <w:left w:val="none" w:sz="0" w:space="0" w:color="auto"/>
        <w:bottom w:val="none" w:sz="0" w:space="0" w:color="auto"/>
        <w:right w:val="none" w:sz="0" w:space="0" w:color="auto"/>
      </w:divBdr>
    </w:div>
    <w:div w:id="1713385034">
      <w:bodyDiv w:val="1"/>
      <w:marLeft w:val="0"/>
      <w:marRight w:val="0"/>
      <w:marTop w:val="0"/>
      <w:marBottom w:val="0"/>
      <w:divBdr>
        <w:top w:val="none" w:sz="0" w:space="0" w:color="auto"/>
        <w:left w:val="none" w:sz="0" w:space="0" w:color="auto"/>
        <w:bottom w:val="none" w:sz="0" w:space="0" w:color="auto"/>
        <w:right w:val="none" w:sz="0" w:space="0" w:color="auto"/>
      </w:divBdr>
    </w:div>
    <w:div w:id="1713455325">
      <w:bodyDiv w:val="1"/>
      <w:marLeft w:val="0"/>
      <w:marRight w:val="0"/>
      <w:marTop w:val="0"/>
      <w:marBottom w:val="0"/>
      <w:divBdr>
        <w:top w:val="none" w:sz="0" w:space="0" w:color="auto"/>
        <w:left w:val="none" w:sz="0" w:space="0" w:color="auto"/>
        <w:bottom w:val="none" w:sz="0" w:space="0" w:color="auto"/>
        <w:right w:val="none" w:sz="0" w:space="0" w:color="auto"/>
      </w:divBdr>
    </w:div>
    <w:div w:id="1713459555">
      <w:bodyDiv w:val="1"/>
      <w:marLeft w:val="0"/>
      <w:marRight w:val="0"/>
      <w:marTop w:val="0"/>
      <w:marBottom w:val="0"/>
      <w:divBdr>
        <w:top w:val="none" w:sz="0" w:space="0" w:color="auto"/>
        <w:left w:val="none" w:sz="0" w:space="0" w:color="auto"/>
        <w:bottom w:val="none" w:sz="0" w:space="0" w:color="auto"/>
        <w:right w:val="none" w:sz="0" w:space="0" w:color="auto"/>
      </w:divBdr>
    </w:div>
    <w:div w:id="1713579816">
      <w:bodyDiv w:val="1"/>
      <w:marLeft w:val="0"/>
      <w:marRight w:val="0"/>
      <w:marTop w:val="0"/>
      <w:marBottom w:val="0"/>
      <w:divBdr>
        <w:top w:val="none" w:sz="0" w:space="0" w:color="auto"/>
        <w:left w:val="none" w:sz="0" w:space="0" w:color="auto"/>
        <w:bottom w:val="none" w:sz="0" w:space="0" w:color="auto"/>
        <w:right w:val="none" w:sz="0" w:space="0" w:color="auto"/>
      </w:divBdr>
    </w:div>
    <w:div w:id="1713772613">
      <w:bodyDiv w:val="1"/>
      <w:marLeft w:val="0"/>
      <w:marRight w:val="0"/>
      <w:marTop w:val="0"/>
      <w:marBottom w:val="0"/>
      <w:divBdr>
        <w:top w:val="none" w:sz="0" w:space="0" w:color="auto"/>
        <w:left w:val="none" w:sz="0" w:space="0" w:color="auto"/>
        <w:bottom w:val="none" w:sz="0" w:space="0" w:color="auto"/>
        <w:right w:val="none" w:sz="0" w:space="0" w:color="auto"/>
      </w:divBdr>
    </w:div>
    <w:div w:id="1713798329">
      <w:bodyDiv w:val="1"/>
      <w:marLeft w:val="0"/>
      <w:marRight w:val="0"/>
      <w:marTop w:val="0"/>
      <w:marBottom w:val="0"/>
      <w:divBdr>
        <w:top w:val="none" w:sz="0" w:space="0" w:color="auto"/>
        <w:left w:val="none" w:sz="0" w:space="0" w:color="auto"/>
        <w:bottom w:val="none" w:sz="0" w:space="0" w:color="auto"/>
        <w:right w:val="none" w:sz="0" w:space="0" w:color="auto"/>
      </w:divBdr>
    </w:div>
    <w:div w:id="1714041724">
      <w:bodyDiv w:val="1"/>
      <w:marLeft w:val="0"/>
      <w:marRight w:val="0"/>
      <w:marTop w:val="0"/>
      <w:marBottom w:val="0"/>
      <w:divBdr>
        <w:top w:val="none" w:sz="0" w:space="0" w:color="auto"/>
        <w:left w:val="none" w:sz="0" w:space="0" w:color="auto"/>
        <w:bottom w:val="none" w:sz="0" w:space="0" w:color="auto"/>
        <w:right w:val="none" w:sz="0" w:space="0" w:color="auto"/>
      </w:divBdr>
    </w:div>
    <w:div w:id="1714113558">
      <w:bodyDiv w:val="1"/>
      <w:marLeft w:val="0"/>
      <w:marRight w:val="0"/>
      <w:marTop w:val="0"/>
      <w:marBottom w:val="0"/>
      <w:divBdr>
        <w:top w:val="none" w:sz="0" w:space="0" w:color="auto"/>
        <w:left w:val="none" w:sz="0" w:space="0" w:color="auto"/>
        <w:bottom w:val="none" w:sz="0" w:space="0" w:color="auto"/>
        <w:right w:val="none" w:sz="0" w:space="0" w:color="auto"/>
      </w:divBdr>
    </w:div>
    <w:div w:id="1714115661">
      <w:bodyDiv w:val="1"/>
      <w:marLeft w:val="0"/>
      <w:marRight w:val="0"/>
      <w:marTop w:val="0"/>
      <w:marBottom w:val="0"/>
      <w:divBdr>
        <w:top w:val="none" w:sz="0" w:space="0" w:color="auto"/>
        <w:left w:val="none" w:sz="0" w:space="0" w:color="auto"/>
        <w:bottom w:val="none" w:sz="0" w:space="0" w:color="auto"/>
        <w:right w:val="none" w:sz="0" w:space="0" w:color="auto"/>
      </w:divBdr>
    </w:div>
    <w:div w:id="1714189269">
      <w:bodyDiv w:val="1"/>
      <w:marLeft w:val="0"/>
      <w:marRight w:val="0"/>
      <w:marTop w:val="0"/>
      <w:marBottom w:val="0"/>
      <w:divBdr>
        <w:top w:val="none" w:sz="0" w:space="0" w:color="auto"/>
        <w:left w:val="none" w:sz="0" w:space="0" w:color="auto"/>
        <w:bottom w:val="none" w:sz="0" w:space="0" w:color="auto"/>
        <w:right w:val="none" w:sz="0" w:space="0" w:color="auto"/>
      </w:divBdr>
    </w:div>
    <w:div w:id="1714423006">
      <w:bodyDiv w:val="1"/>
      <w:marLeft w:val="0"/>
      <w:marRight w:val="0"/>
      <w:marTop w:val="0"/>
      <w:marBottom w:val="0"/>
      <w:divBdr>
        <w:top w:val="none" w:sz="0" w:space="0" w:color="auto"/>
        <w:left w:val="none" w:sz="0" w:space="0" w:color="auto"/>
        <w:bottom w:val="none" w:sz="0" w:space="0" w:color="auto"/>
        <w:right w:val="none" w:sz="0" w:space="0" w:color="auto"/>
      </w:divBdr>
    </w:div>
    <w:div w:id="1714426909">
      <w:bodyDiv w:val="1"/>
      <w:marLeft w:val="0"/>
      <w:marRight w:val="0"/>
      <w:marTop w:val="0"/>
      <w:marBottom w:val="0"/>
      <w:divBdr>
        <w:top w:val="none" w:sz="0" w:space="0" w:color="auto"/>
        <w:left w:val="none" w:sz="0" w:space="0" w:color="auto"/>
        <w:bottom w:val="none" w:sz="0" w:space="0" w:color="auto"/>
        <w:right w:val="none" w:sz="0" w:space="0" w:color="auto"/>
      </w:divBdr>
    </w:div>
    <w:div w:id="1714498260">
      <w:bodyDiv w:val="1"/>
      <w:marLeft w:val="0"/>
      <w:marRight w:val="0"/>
      <w:marTop w:val="0"/>
      <w:marBottom w:val="0"/>
      <w:divBdr>
        <w:top w:val="none" w:sz="0" w:space="0" w:color="auto"/>
        <w:left w:val="none" w:sz="0" w:space="0" w:color="auto"/>
        <w:bottom w:val="none" w:sz="0" w:space="0" w:color="auto"/>
        <w:right w:val="none" w:sz="0" w:space="0" w:color="auto"/>
      </w:divBdr>
    </w:div>
    <w:div w:id="1714503684">
      <w:bodyDiv w:val="1"/>
      <w:marLeft w:val="0"/>
      <w:marRight w:val="0"/>
      <w:marTop w:val="0"/>
      <w:marBottom w:val="0"/>
      <w:divBdr>
        <w:top w:val="none" w:sz="0" w:space="0" w:color="auto"/>
        <w:left w:val="none" w:sz="0" w:space="0" w:color="auto"/>
        <w:bottom w:val="none" w:sz="0" w:space="0" w:color="auto"/>
        <w:right w:val="none" w:sz="0" w:space="0" w:color="auto"/>
      </w:divBdr>
    </w:div>
    <w:div w:id="1714575381">
      <w:bodyDiv w:val="1"/>
      <w:marLeft w:val="0"/>
      <w:marRight w:val="0"/>
      <w:marTop w:val="0"/>
      <w:marBottom w:val="0"/>
      <w:divBdr>
        <w:top w:val="none" w:sz="0" w:space="0" w:color="auto"/>
        <w:left w:val="none" w:sz="0" w:space="0" w:color="auto"/>
        <w:bottom w:val="none" w:sz="0" w:space="0" w:color="auto"/>
        <w:right w:val="none" w:sz="0" w:space="0" w:color="auto"/>
      </w:divBdr>
    </w:div>
    <w:div w:id="1714577623">
      <w:bodyDiv w:val="1"/>
      <w:marLeft w:val="0"/>
      <w:marRight w:val="0"/>
      <w:marTop w:val="0"/>
      <w:marBottom w:val="0"/>
      <w:divBdr>
        <w:top w:val="none" w:sz="0" w:space="0" w:color="auto"/>
        <w:left w:val="none" w:sz="0" w:space="0" w:color="auto"/>
        <w:bottom w:val="none" w:sz="0" w:space="0" w:color="auto"/>
        <w:right w:val="none" w:sz="0" w:space="0" w:color="auto"/>
      </w:divBdr>
    </w:div>
    <w:div w:id="1714646574">
      <w:bodyDiv w:val="1"/>
      <w:marLeft w:val="0"/>
      <w:marRight w:val="0"/>
      <w:marTop w:val="0"/>
      <w:marBottom w:val="0"/>
      <w:divBdr>
        <w:top w:val="none" w:sz="0" w:space="0" w:color="auto"/>
        <w:left w:val="none" w:sz="0" w:space="0" w:color="auto"/>
        <w:bottom w:val="none" w:sz="0" w:space="0" w:color="auto"/>
        <w:right w:val="none" w:sz="0" w:space="0" w:color="auto"/>
      </w:divBdr>
    </w:div>
    <w:div w:id="1714695353">
      <w:bodyDiv w:val="1"/>
      <w:marLeft w:val="0"/>
      <w:marRight w:val="0"/>
      <w:marTop w:val="0"/>
      <w:marBottom w:val="0"/>
      <w:divBdr>
        <w:top w:val="none" w:sz="0" w:space="0" w:color="auto"/>
        <w:left w:val="none" w:sz="0" w:space="0" w:color="auto"/>
        <w:bottom w:val="none" w:sz="0" w:space="0" w:color="auto"/>
        <w:right w:val="none" w:sz="0" w:space="0" w:color="auto"/>
      </w:divBdr>
    </w:div>
    <w:div w:id="1714768371">
      <w:bodyDiv w:val="1"/>
      <w:marLeft w:val="0"/>
      <w:marRight w:val="0"/>
      <w:marTop w:val="0"/>
      <w:marBottom w:val="0"/>
      <w:divBdr>
        <w:top w:val="none" w:sz="0" w:space="0" w:color="auto"/>
        <w:left w:val="none" w:sz="0" w:space="0" w:color="auto"/>
        <w:bottom w:val="none" w:sz="0" w:space="0" w:color="auto"/>
        <w:right w:val="none" w:sz="0" w:space="0" w:color="auto"/>
      </w:divBdr>
    </w:div>
    <w:div w:id="1714768821">
      <w:bodyDiv w:val="1"/>
      <w:marLeft w:val="0"/>
      <w:marRight w:val="0"/>
      <w:marTop w:val="0"/>
      <w:marBottom w:val="0"/>
      <w:divBdr>
        <w:top w:val="none" w:sz="0" w:space="0" w:color="auto"/>
        <w:left w:val="none" w:sz="0" w:space="0" w:color="auto"/>
        <w:bottom w:val="none" w:sz="0" w:space="0" w:color="auto"/>
        <w:right w:val="none" w:sz="0" w:space="0" w:color="auto"/>
      </w:divBdr>
    </w:div>
    <w:div w:id="1714773369">
      <w:bodyDiv w:val="1"/>
      <w:marLeft w:val="0"/>
      <w:marRight w:val="0"/>
      <w:marTop w:val="0"/>
      <w:marBottom w:val="0"/>
      <w:divBdr>
        <w:top w:val="none" w:sz="0" w:space="0" w:color="auto"/>
        <w:left w:val="none" w:sz="0" w:space="0" w:color="auto"/>
        <w:bottom w:val="none" w:sz="0" w:space="0" w:color="auto"/>
        <w:right w:val="none" w:sz="0" w:space="0" w:color="auto"/>
      </w:divBdr>
    </w:div>
    <w:div w:id="1714890725">
      <w:bodyDiv w:val="1"/>
      <w:marLeft w:val="0"/>
      <w:marRight w:val="0"/>
      <w:marTop w:val="0"/>
      <w:marBottom w:val="0"/>
      <w:divBdr>
        <w:top w:val="none" w:sz="0" w:space="0" w:color="auto"/>
        <w:left w:val="none" w:sz="0" w:space="0" w:color="auto"/>
        <w:bottom w:val="none" w:sz="0" w:space="0" w:color="auto"/>
        <w:right w:val="none" w:sz="0" w:space="0" w:color="auto"/>
      </w:divBdr>
    </w:div>
    <w:div w:id="1714966061">
      <w:bodyDiv w:val="1"/>
      <w:marLeft w:val="0"/>
      <w:marRight w:val="0"/>
      <w:marTop w:val="0"/>
      <w:marBottom w:val="0"/>
      <w:divBdr>
        <w:top w:val="none" w:sz="0" w:space="0" w:color="auto"/>
        <w:left w:val="none" w:sz="0" w:space="0" w:color="auto"/>
        <w:bottom w:val="none" w:sz="0" w:space="0" w:color="auto"/>
        <w:right w:val="none" w:sz="0" w:space="0" w:color="auto"/>
      </w:divBdr>
    </w:div>
    <w:div w:id="1715274469">
      <w:bodyDiv w:val="1"/>
      <w:marLeft w:val="0"/>
      <w:marRight w:val="0"/>
      <w:marTop w:val="0"/>
      <w:marBottom w:val="0"/>
      <w:divBdr>
        <w:top w:val="none" w:sz="0" w:space="0" w:color="auto"/>
        <w:left w:val="none" w:sz="0" w:space="0" w:color="auto"/>
        <w:bottom w:val="none" w:sz="0" w:space="0" w:color="auto"/>
        <w:right w:val="none" w:sz="0" w:space="0" w:color="auto"/>
      </w:divBdr>
    </w:div>
    <w:div w:id="1715306488">
      <w:bodyDiv w:val="1"/>
      <w:marLeft w:val="0"/>
      <w:marRight w:val="0"/>
      <w:marTop w:val="0"/>
      <w:marBottom w:val="0"/>
      <w:divBdr>
        <w:top w:val="none" w:sz="0" w:space="0" w:color="auto"/>
        <w:left w:val="none" w:sz="0" w:space="0" w:color="auto"/>
        <w:bottom w:val="none" w:sz="0" w:space="0" w:color="auto"/>
        <w:right w:val="none" w:sz="0" w:space="0" w:color="auto"/>
      </w:divBdr>
    </w:div>
    <w:div w:id="1715345836">
      <w:bodyDiv w:val="1"/>
      <w:marLeft w:val="0"/>
      <w:marRight w:val="0"/>
      <w:marTop w:val="0"/>
      <w:marBottom w:val="0"/>
      <w:divBdr>
        <w:top w:val="none" w:sz="0" w:space="0" w:color="auto"/>
        <w:left w:val="none" w:sz="0" w:space="0" w:color="auto"/>
        <w:bottom w:val="none" w:sz="0" w:space="0" w:color="auto"/>
        <w:right w:val="none" w:sz="0" w:space="0" w:color="auto"/>
      </w:divBdr>
    </w:div>
    <w:div w:id="1715350950">
      <w:bodyDiv w:val="1"/>
      <w:marLeft w:val="0"/>
      <w:marRight w:val="0"/>
      <w:marTop w:val="0"/>
      <w:marBottom w:val="0"/>
      <w:divBdr>
        <w:top w:val="none" w:sz="0" w:space="0" w:color="auto"/>
        <w:left w:val="none" w:sz="0" w:space="0" w:color="auto"/>
        <w:bottom w:val="none" w:sz="0" w:space="0" w:color="auto"/>
        <w:right w:val="none" w:sz="0" w:space="0" w:color="auto"/>
      </w:divBdr>
    </w:div>
    <w:div w:id="1715420259">
      <w:bodyDiv w:val="1"/>
      <w:marLeft w:val="0"/>
      <w:marRight w:val="0"/>
      <w:marTop w:val="0"/>
      <w:marBottom w:val="0"/>
      <w:divBdr>
        <w:top w:val="none" w:sz="0" w:space="0" w:color="auto"/>
        <w:left w:val="none" w:sz="0" w:space="0" w:color="auto"/>
        <w:bottom w:val="none" w:sz="0" w:space="0" w:color="auto"/>
        <w:right w:val="none" w:sz="0" w:space="0" w:color="auto"/>
      </w:divBdr>
    </w:div>
    <w:div w:id="1715537381">
      <w:bodyDiv w:val="1"/>
      <w:marLeft w:val="0"/>
      <w:marRight w:val="0"/>
      <w:marTop w:val="0"/>
      <w:marBottom w:val="0"/>
      <w:divBdr>
        <w:top w:val="none" w:sz="0" w:space="0" w:color="auto"/>
        <w:left w:val="none" w:sz="0" w:space="0" w:color="auto"/>
        <w:bottom w:val="none" w:sz="0" w:space="0" w:color="auto"/>
        <w:right w:val="none" w:sz="0" w:space="0" w:color="auto"/>
      </w:divBdr>
    </w:div>
    <w:div w:id="1715544952">
      <w:bodyDiv w:val="1"/>
      <w:marLeft w:val="0"/>
      <w:marRight w:val="0"/>
      <w:marTop w:val="0"/>
      <w:marBottom w:val="0"/>
      <w:divBdr>
        <w:top w:val="none" w:sz="0" w:space="0" w:color="auto"/>
        <w:left w:val="none" w:sz="0" w:space="0" w:color="auto"/>
        <w:bottom w:val="none" w:sz="0" w:space="0" w:color="auto"/>
        <w:right w:val="none" w:sz="0" w:space="0" w:color="auto"/>
      </w:divBdr>
    </w:div>
    <w:div w:id="1715546686">
      <w:bodyDiv w:val="1"/>
      <w:marLeft w:val="0"/>
      <w:marRight w:val="0"/>
      <w:marTop w:val="0"/>
      <w:marBottom w:val="0"/>
      <w:divBdr>
        <w:top w:val="none" w:sz="0" w:space="0" w:color="auto"/>
        <w:left w:val="none" w:sz="0" w:space="0" w:color="auto"/>
        <w:bottom w:val="none" w:sz="0" w:space="0" w:color="auto"/>
        <w:right w:val="none" w:sz="0" w:space="0" w:color="auto"/>
      </w:divBdr>
    </w:div>
    <w:div w:id="1715691671">
      <w:bodyDiv w:val="1"/>
      <w:marLeft w:val="0"/>
      <w:marRight w:val="0"/>
      <w:marTop w:val="0"/>
      <w:marBottom w:val="0"/>
      <w:divBdr>
        <w:top w:val="none" w:sz="0" w:space="0" w:color="auto"/>
        <w:left w:val="none" w:sz="0" w:space="0" w:color="auto"/>
        <w:bottom w:val="none" w:sz="0" w:space="0" w:color="auto"/>
        <w:right w:val="none" w:sz="0" w:space="0" w:color="auto"/>
      </w:divBdr>
    </w:div>
    <w:div w:id="1715740282">
      <w:bodyDiv w:val="1"/>
      <w:marLeft w:val="0"/>
      <w:marRight w:val="0"/>
      <w:marTop w:val="0"/>
      <w:marBottom w:val="0"/>
      <w:divBdr>
        <w:top w:val="none" w:sz="0" w:space="0" w:color="auto"/>
        <w:left w:val="none" w:sz="0" w:space="0" w:color="auto"/>
        <w:bottom w:val="none" w:sz="0" w:space="0" w:color="auto"/>
        <w:right w:val="none" w:sz="0" w:space="0" w:color="auto"/>
      </w:divBdr>
    </w:div>
    <w:div w:id="1715764987">
      <w:bodyDiv w:val="1"/>
      <w:marLeft w:val="0"/>
      <w:marRight w:val="0"/>
      <w:marTop w:val="0"/>
      <w:marBottom w:val="0"/>
      <w:divBdr>
        <w:top w:val="none" w:sz="0" w:space="0" w:color="auto"/>
        <w:left w:val="none" w:sz="0" w:space="0" w:color="auto"/>
        <w:bottom w:val="none" w:sz="0" w:space="0" w:color="auto"/>
        <w:right w:val="none" w:sz="0" w:space="0" w:color="auto"/>
      </w:divBdr>
    </w:div>
    <w:div w:id="1715811447">
      <w:bodyDiv w:val="1"/>
      <w:marLeft w:val="0"/>
      <w:marRight w:val="0"/>
      <w:marTop w:val="0"/>
      <w:marBottom w:val="0"/>
      <w:divBdr>
        <w:top w:val="none" w:sz="0" w:space="0" w:color="auto"/>
        <w:left w:val="none" w:sz="0" w:space="0" w:color="auto"/>
        <w:bottom w:val="none" w:sz="0" w:space="0" w:color="auto"/>
        <w:right w:val="none" w:sz="0" w:space="0" w:color="auto"/>
      </w:divBdr>
    </w:div>
    <w:div w:id="1715956735">
      <w:bodyDiv w:val="1"/>
      <w:marLeft w:val="0"/>
      <w:marRight w:val="0"/>
      <w:marTop w:val="0"/>
      <w:marBottom w:val="0"/>
      <w:divBdr>
        <w:top w:val="none" w:sz="0" w:space="0" w:color="auto"/>
        <w:left w:val="none" w:sz="0" w:space="0" w:color="auto"/>
        <w:bottom w:val="none" w:sz="0" w:space="0" w:color="auto"/>
        <w:right w:val="none" w:sz="0" w:space="0" w:color="auto"/>
      </w:divBdr>
    </w:div>
    <w:div w:id="1716075443">
      <w:bodyDiv w:val="1"/>
      <w:marLeft w:val="0"/>
      <w:marRight w:val="0"/>
      <w:marTop w:val="0"/>
      <w:marBottom w:val="0"/>
      <w:divBdr>
        <w:top w:val="none" w:sz="0" w:space="0" w:color="auto"/>
        <w:left w:val="none" w:sz="0" w:space="0" w:color="auto"/>
        <w:bottom w:val="none" w:sz="0" w:space="0" w:color="auto"/>
        <w:right w:val="none" w:sz="0" w:space="0" w:color="auto"/>
      </w:divBdr>
    </w:div>
    <w:div w:id="1716469655">
      <w:bodyDiv w:val="1"/>
      <w:marLeft w:val="0"/>
      <w:marRight w:val="0"/>
      <w:marTop w:val="0"/>
      <w:marBottom w:val="0"/>
      <w:divBdr>
        <w:top w:val="none" w:sz="0" w:space="0" w:color="auto"/>
        <w:left w:val="none" w:sz="0" w:space="0" w:color="auto"/>
        <w:bottom w:val="none" w:sz="0" w:space="0" w:color="auto"/>
        <w:right w:val="none" w:sz="0" w:space="0" w:color="auto"/>
      </w:divBdr>
    </w:div>
    <w:div w:id="1716543401">
      <w:bodyDiv w:val="1"/>
      <w:marLeft w:val="0"/>
      <w:marRight w:val="0"/>
      <w:marTop w:val="0"/>
      <w:marBottom w:val="0"/>
      <w:divBdr>
        <w:top w:val="none" w:sz="0" w:space="0" w:color="auto"/>
        <w:left w:val="none" w:sz="0" w:space="0" w:color="auto"/>
        <w:bottom w:val="none" w:sz="0" w:space="0" w:color="auto"/>
        <w:right w:val="none" w:sz="0" w:space="0" w:color="auto"/>
      </w:divBdr>
    </w:div>
    <w:div w:id="1716587618">
      <w:bodyDiv w:val="1"/>
      <w:marLeft w:val="0"/>
      <w:marRight w:val="0"/>
      <w:marTop w:val="0"/>
      <w:marBottom w:val="0"/>
      <w:divBdr>
        <w:top w:val="none" w:sz="0" w:space="0" w:color="auto"/>
        <w:left w:val="none" w:sz="0" w:space="0" w:color="auto"/>
        <w:bottom w:val="none" w:sz="0" w:space="0" w:color="auto"/>
        <w:right w:val="none" w:sz="0" w:space="0" w:color="auto"/>
      </w:divBdr>
    </w:div>
    <w:div w:id="1716655650">
      <w:bodyDiv w:val="1"/>
      <w:marLeft w:val="0"/>
      <w:marRight w:val="0"/>
      <w:marTop w:val="0"/>
      <w:marBottom w:val="0"/>
      <w:divBdr>
        <w:top w:val="none" w:sz="0" w:space="0" w:color="auto"/>
        <w:left w:val="none" w:sz="0" w:space="0" w:color="auto"/>
        <w:bottom w:val="none" w:sz="0" w:space="0" w:color="auto"/>
        <w:right w:val="none" w:sz="0" w:space="0" w:color="auto"/>
      </w:divBdr>
    </w:div>
    <w:div w:id="1716738227">
      <w:bodyDiv w:val="1"/>
      <w:marLeft w:val="0"/>
      <w:marRight w:val="0"/>
      <w:marTop w:val="0"/>
      <w:marBottom w:val="0"/>
      <w:divBdr>
        <w:top w:val="none" w:sz="0" w:space="0" w:color="auto"/>
        <w:left w:val="none" w:sz="0" w:space="0" w:color="auto"/>
        <w:bottom w:val="none" w:sz="0" w:space="0" w:color="auto"/>
        <w:right w:val="none" w:sz="0" w:space="0" w:color="auto"/>
      </w:divBdr>
    </w:div>
    <w:div w:id="1716812600">
      <w:bodyDiv w:val="1"/>
      <w:marLeft w:val="0"/>
      <w:marRight w:val="0"/>
      <w:marTop w:val="0"/>
      <w:marBottom w:val="0"/>
      <w:divBdr>
        <w:top w:val="none" w:sz="0" w:space="0" w:color="auto"/>
        <w:left w:val="none" w:sz="0" w:space="0" w:color="auto"/>
        <w:bottom w:val="none" w:sz="0" w:space="0" w:color="auto"/>
        <w:right w:val="none" w:sz="0" w:space="0" w:color="auto"/>
      </w:divBdr>
    </w:div>
    <w:div w:id="1716812963">
      <w:bodyDiv w:val="1"/>
      <w:marLeft w:val="0"/>
      <w:marRight w:val="0"/>
      <w:marTop w:val="0"/>
      <w:marBottom w:val="0"/>
      <w:divBdr>
        <w:top w:val="none" w:sz="0" w:space="0" w:color="auto"/>
        <w:left w:val="none" w:sz="0" w:space="0" w:color="auto"/>
        <w:bottom w:val="none" w:sz="0" w:space="0" w:color="auto"/>
        <w:right w:val="none" w:sz="0" w:space="0" w:color="auto"/>
      </w:divBdr>
    </w:div>
    <w:div w:id="1716999233">
      <w:bodyDiv w:val="1"/>
      <w:marLeft w:val="0"/>
      <w:marRight w:val="0"/>
      <w:marTop w:val="0"/>
      <w:marBottom w:val="0"/>
      <w:divBdr>
        <w:top w:val="none" w:sz="0" w:space="0" w:color="auto"/>
        <w:left w:val="none" w:sz="0" w:space="0" w:color="auto"/>
        <w:bottom w:val="none" w:sz="0" w:space="0" w:color="auto"/>
        <w:right w:val="none" w:sz="0" w:space="0" w:color="auto"/>
      </w:divBdr>
    </w:div>
    <w:div w:id="1717004346">
      <w:bodyDiv w:val="1"/>
      <w:marLeft w:val="0"/>
      <w:marRight w:val="0"/>
      <w:marTop w:val="0"/>
      <w:marBottom w:val="0"/>
      <w:divBdr>
        <w:top w:val="none" w:sz="0" w:space="0" w:color="auto"/>
        <w:left w:val="none" w:sz="0" w:space="0" w:color="auto"/>
        <w:bottom w:val="none" w:sz="0" w:space="0" w:color="auto"/>
        <w:right w:val="none" w:sz="0" w:space="0" w:color="auto"/>
      </w:divBdr>
    </w:div>
    <w:div w:id="1717006157">
      <w:bodyDiv w:val="1"/>
      <w:marLeft w:val="0"/>
      <w:marRight w:val="0"/>
      <w:marTop w:val="0"/>
      <w:marBottom w:val="0"/>
      <w:divBdr>
        <w:top w:val="none" w:sz="0" w:space="0" w:color="auto"/>
        <w:left w:val="none" w:sz="0" w:space="0" w:color="auto"/>
        <w:bottom w:val="none" w:sz="0" w:space="0" w:color="auto"/>
        <w:right w:val="none" w:sz="0" w:space="0" w:color="auto"/>
      </w:divBdr>
    </w:div>
    <w:div w:id="1717199306">
      <w:bodyDiv w:val="1"/>
      <w:marLeft w:val="0"/>
      <w:marRight w:val="0"/>
      <w:marTop w:val="0"/>
      <w:marBottom w:val="0"/>
      <w:divBdr>
        <w:top w:val="none" w:sz="0" w:space="0" w:color="auto"/>
        <w:left w:val="none" w:sz="0" w:space="0" w:color="auto"/>
        <w:bottom w:val="none" w:sz="0" w:space="0" w:color="auto"/>
        <w:right w:val="none" w:sz="0" w:space="0" w:color="auto"/>
      </w:divBdr>
    </w:div>
    <w:div w:id="1717201464">
      <w:bodyDiv w:val="1"/>
      <w:marLeft w:val="0"/>
      <w:marRight w:val="0"/>
      <w:marTop w:val="0"/>
      <w:marBottom w:val="0"/>
      <w:divBdr>
        <w:top w:val="none" w:sz="0" w:space="0" w:color="auto"/>
        <w:left w:val="none" w:sz="0" w:space="0" w:color="auto"/>
        <w:bottom w:val="none" w:sz="0" w:space="0" w:color="auto"/>
        <w:right w:val="none" w:sz="0" w:space="0" w:color="auto"/>
      </w:divBdr>
    </w:div>
    <w:div w:id="1717240562">
      <w:bodyDiv w:val="1"/>
      <w:marLeft w:val="0"/>
      <w:marRight w:val="0"/>
      <w:marTop w:val="0"/>
      <w:marBottom w:val="0"/>
      <w:divBdr>
        <w:top w:val="none" w:sz="0" w:space="0" w:color="auto"/>
        <w:left w:val="none" w:sz="0" w:space="0" w:color="auto"/>
        <w:bottom w:val="none" w:sz="0" w:space="0" w:color="auto"/>
        <w:right w:val="none" w:sz="0" w:space="0" w:color="auto"/>
      </w:divBdr>
    </w:div>
    <w:div w:id="1717243746">
      <w:bodyDiv w:val="1"/>
      <w:marLeft w:val="0"/>
      <w:marRight w:val="0"/>
      <w:marTop w:val="0"/>
      <w:marBottom w:val="0"/>
      <w:divBdr>
        <w:top w:val="none" w:sz="0" w:space="0" w:color="auto"/>
        <w:left w:val="none" w:sz="0" w:space="0" w:color="auto"/>
        <w:bottom w:val="none" w:sz="0" w:space="0" w:color="auto"/>
        <w:right w:val="none" w:sz="0" w:space="0" w:color="auto"/>
      </w:divBdr>
    </w:div>
    <w:div w:id="1717312930">
      <w:bodyDiv w:val="1"/>
      <w:marLeft w:val="0"/>
      <w:marRight w:val="0"/>
      <w:marTop w:val="0"/>
      <w:marBottom w:val="0"/>
      <w:divBdr>
        <w:top w:val="none" w:sz="0" w:space="0" w:color="auto"/>
        <w:left w:val="none" w:sz="0" w:space="0" w:color="auto"/>
        <w:bottom w:val="none" w:sz="0" w:space="0" w:color="auto"/>
        <w:right w:val="none" w:sz="0" w:space="0" w:color="auto"/>
      </w:divBdr>
    </w:div>
    <w:div w:id="1717387048">
      <w:bodyDiv w:val="1"/>
      <w:marLeft w:val="0"/>
      <w:marRight w:val="0"/>
      <w:marTop w:val="0"/>
      <w:marBottom w:val="0"/>
      <w:divBdr>
        <w:top w:val="none" w:sz="0" w:space="0" w:color="auto"/>
        <w:left w:val="none" w:sz="0" w:space="0" w:color="auto"/>
        <w:bottom w:val="none" w:sz="0" w:space="0" w:color="auto"/>
        <w:right w:val="none" w:sz="0" w:space="0" w:color="auto"/>
      </w:divBdr>
    </w:div>
    <w:div w:id="1717391164">
      <w:bodyDiv w:val="1"/>
      <w:marLeft w:val="0"/>
      <w:marRight w:val="0"/>
      <w:marTop w:val="0"/>
      <w:marBottom w:val="0"/>
      <w:divBdr>
        <w:top w:val="none" w:sz="0" w:space="0" w:color="auto"/>
        <w:left w:val="none" w:sz="0" w:space="0" w:color="auto"/>
        <w:bottom w:val="none" w:sz="0" w:space="0" w:color="auto"/>
        <w:right w:val="none" w:sz="0" w:space="0" w:color="auto"/>
      </w:divBdr>
    </w:div>
    <w:div w:id="1717436588">
      <w:bodyDiv w:val="1"/>
      <w:marLeft w:val="0"/>
      <w:marRight w:val="0"/>
      <w:marTop w:val="0"/>
      <w:marBottom w:val="0"/>
      <w:divBdr>
        <w:top w:val="none" w:sz="0" w:space="0" w:color="auto"/>
        <w:left w:val="none" w:sz="0" w:space="0" w:color="auto"/>
        <w:bottom w:val="none" w:sz="0" w:space="0" w:color="auto"/>
        <w:right w:val="none" w:sz="0" w:space="0" w:color="auto"/>
      </w:divBdr>
    </w:div>
    <w:div w:id="1717512355">
      <w:bodyDiv w:val="1"/>
      <w:marLeft w:val="0"/>
      <w:marRight w:val="0"/>
      <w:marTop w:val="0"/>
      <w:marBottom w:val="0"/>
      <w:divBdr>
        <w:top w:val="none" w:sz="0" w:space="0" w:color="auto"/>
        <w:left w:val="none" w:sz="0" w:space="0" w:color="auto"/>
        <w:bottom w:val="none" w:sz="0" w:space="0" w:color="auto"/>
        <w:right w:val="none" w:sz="0" w:space="0" w:color="auto"/>
      </w:divBdr>
    </w:div>
    <w:div w:id="1717655698">
      <w:bodyDiv w:val="1"/>
      <w:marLeft w:val="0"/>
      <w:marRight w:val="0"/>
      <w:marTop w:val="0"/>
      <w:marBottom w:val="0"/>
      <w:divBdr>
        <w:top w:val="none" w:sz="0" w:space="0" w:color="auto"/>
        <w:left w:val="none" w:sz="0" w:space="0" w:color="auto"/>
        <w:bottom w:val="none" w:sz="0" w:space="0" w:color="auto"/>
        <w:right w:val="none" w:sz="0" w:space="0" w:color="auto"/>
      </w:divBdr>
    </w:div>
    <w:div w:id="1717780422">
      <w:bodyDiv w:val="1"/>
      <w:marLeft w:val="0"/>
      <w:marRight w:val="0"/>
      <w:marTop w:val="0"/>
      <w:marBottom w:val="0"/>
      <w:divBdr>
        <w:top w:val="none" w:sz="0" w:space="0" w:color="auto"/>
        <w:left w:val="none" w:sz="0" w:space="0" w:color="auto"/>
        <w:bottom w:val="none" w:sz="0" w:space="0" w:color="auto"/>
        <w:right w:val="none" w:sz="0" w:space="0" w:color="auto"/>
      </w:divBdr>
    </w:div>
    <w:div w:id="1717852540">
      <w:bodyDiv w:val="1"/>
      <w:marLeft w:val="0"/>
      <w:marRight w:val="0"/>
      <w:marTop w:val="0"/>
      <w:marBottom w:val="0"/>
      <w:divBdr>
        <w:top w:val="none" w:sz="0" w:space="0" w:color="auto"/>
        <w:left w:val="none" w:sz="0" w:space="0" w:color="auto"/>
        <w:bottom w:val="none" w:sz="0" w:space="0" w:color="auto"/>
        <w:right w:val="none" w:sz="0" w:space="0" w:color="auto"/>
      </w:divBdr>
    </w:div>
    <w:div w:id="1717899362">
      <w:bodyDiv w:val="1"/>
      <w:marLeft w:val="0"/>
      <w:marRight w:val="0"/>
      <w:marTop w:val="0"/>
      <w:marBottom w:val="0"/>
      <w:divBdr>
        <w:top w:val="none" w:sz="0" w:space="0" w:color="auto"/>
        <w:left w:val="none" w:sz="0" w:space="0" w:color="auto"/>
        <w:bottom w:val="none" w:sz="0" w:space="0" w:color="auto"/>
        <w:right w:val="none" w:sz="0" w:space="0" w:color="auto"/>
      </w:divBdr>
    </w:div>
    <w:div w:id="1717924975">
      <w:bodyDiv w:val="1"/>
      <w:marLeft w:val="0"/>
      <w:marRight w:val="0"/>
      <w:marTop w:val="0"/>
      <w:marBottom w:val="0"/>
      <w:divBdr>
        <w:top w:val="none" w:sz="0" w:space="0" w:color="auto"/>
        <w:left w:val="none" w:sz="0" w:space="0" w:color="auto"/>
        <w:bottom w:val="none" w:sz="0" w:space="0" w:color="auto"/>
        <w:right w:val="none" w:sz="0" w:space="0" w:color="auto"/>
      </w:divBdr>
    </w:div>
    <w:div w:id="1717966165">
      <w:bodyDiv w:val="1"/>
      <w:marLeft w:val="0"/>
      <w:marRight w:val="0"/>
      <w:marTop w:val="0"/>
      <w:marBottom w:val="0"/>
      <w:divBdr>
        <w:top w:val="none" w:sz="0" w:space="0" w:color="auto"/>
        <w:left w:val="none" w:sz="0" w:space="0" w:color="auto"/>
        <w:bottom w:val="none" w:sz="0" w:space="0" w:color="auto"/>
        <w:right w:val="none" w:sz="0" w:space="0" w:color="auto"/>
      </w:divBdr>
    </w:div>
    <w:div w:id="1717970253">
      <w:bodyDiv w:val="1"/>
      <w:marLeft w:val="0"/>
      <w:marRight w:val="0"/>
      <w:marTop w:val="0"/>
      <w:marBottom w:val="0"/>
      <w:divBdr>
        <w:top w:val="none" w:sz="0" w:space="0" w:color="auto"/>
        <w:left w:val="none" w:sz="0" w:space="0" w:color="auto"/>
        <w:bottom w:val="none" w:sz="0" w:space="0" w:color="auto"/>
        <w:right w:val="none" w:sz="0" w:space="0" w:color="auto"/>
      </w:divBdr>
    </w:div>
    <w:div w:id="1718041556">
      <w:bodyDiv w:val="1"/>
      <w:marLeft w:val="0"/>
      <w:marRight w:val="0"/>
      <w:marTop w:val="0"/>
      <w:marBottom w:val="0"/>
      <w:divBdr>
        <w:top w:val="none" w:sz="0" w:space="0" w:color="auto"/>
        <w:left w:val="none" w:sz="0" w:space="0" w:color="auto"/>
        <w:bottom w:val="none" w:sz="0" w:space="0" w:color="auto"/>
        <w:right w:val="none" w:sz="0" w:space="0" w:color="auto"/>
      </w:divBdr>
    </w:div>
    <w:div w:id="1718042154">
      <w:bodyDiv w:val="1"/>
      <w:marLeft w:val="0"/>
      <w:marRight w:val="0"/>
      <w:marTop w:val="0"/>
      <w:marBottom w:val="0"/>
      <w:divBdr>
        <w:top w:val="none" w:sz="0" w:space="0" w:color="auto"/>
        <w:left w:val="none" w:sz="0" w:space="0" w:color="auto"/>
        <w:bottom w:val="none" w:sz="0" w:space="0" w:color="auto"/>
        <w:right w:val="none" w:sz="0" w:space="0" w:color="auto"/>
      </w:divBdr>
    </w:div>
    <w:div w:id="1718044820">
      <w:bodyDiv w:val="1"/>
      <w:marLeft w:val="0"/>
      <w:marRight w:val="0"/>
      <w:marTop w:val="0"/>
      <w:marBottom w:val="0"/>
      <w:divBdr>
        <w:top w:val="none" w:sz="0" w:space="0" w:color="auto"/>
        <w:left w:val="none" w:sz="0" w:space="0" w:color="auto"/>
        <w:bottom w:val="none" w:sz="0" w:space="0" w:color="auto"/>
        <w:right w:val="none" w:sz="0" w:space="0" w:color="auto"/>
      </w:divBdr>
    </w:div>
    <w:div w:id="1718159976">
      <w:bodyDiv w:val="1"/>
      <w:marLeft w:val="0"/>
      <w:marRight w:val="0"/>
      <w:marTop w:val="0"/>
      <w:marBottom w:val="0"/>
      <w:divBdr>
        <w:top w:val="none" w:sz="0" w:space="0" w:color="auto"/>
        <w:left w:val="none" w:sz="0" w:space="0" w:color="auto"/>
        <w:bottom w:val="none" w:sz="0" w:space="0" w:color="auto"/>
        <w:right w:val="none" w:sz="0" w:space="0" w:color="auto"/>
      </w:divBdr>
    </w:div>
    <w:div w:id="1718238551">
      <w:bodyDiv w:val="1"/>
      <w:marLeft w:val="0"/>
      <w:marRight w:val="0"/>
      <w:marTop w:val="0"/>
      <w:marBottom w:val="0"/>
      <w:divBdr>
        <w:top w:val="none" w:sz="0" w:space="0" w:color="auto"/>
        <w:left w:val="none" w:sz="0" w:space="0" w:color="auto"/>
        <w:bottom w:val="none" w:sz="0" w:space="0" w:color="auto"/>
        <w:right w:val="none" w:sz="0" w:space="0" w:color="auto"/>
      </w:divBdr>
    </w:div>
    <w:div w:id="1718239185">
      <w:bodyDiv w:val="1"/>
      <w:marLeft w:val="0"/>
      <w:marRight w:val="0"/>
      <w:marTop w:val="0"/>
      <w:marBottom w:val="0"/>
      <w:divBdr>
        <w:top w:val="none" w:sz="0" w:space="0" w:color="auto"/>
        <w:left w:val="none" w:sz="0" w:space="0" w:color="auto"/>
        <w:bottom w:val="none" w:sz="0" w:space="0" w:color="auto"/>
        <w:right w:val="none" w:sz="0" w:space="0" w:color="auto"/>
      </w:divBdr>
    </w:div>
    <w:div w:id="1718309868">
      <w:bodyDiv w:val="1"/>
      <w:marLeft w:val="0"/>
      <w:marRight w:val="0"/>
      <w:marTop w:val="0"/>
      <w:marBottom w:val="0"/>
      <w:divBdr>
        <w:top w:val="none" w:sz="0" w:space="0" w:color="auto"/>
        <w:left w:val="none" w:sz="0" w:space="0" w:color="auto"/>
        <w:bottom w:val="none" w:sz="0" w:space="0" w:color="auto"/>
        <w:right w:val="none" w:sz="0" w:space="0" w:color="auto"/>
      </w:divBdr>
    </w:div>
    <w:div w:id="1718315274">
      <w:bodyDiv w:val="1"/>
      <w:marLeft w:val="0"/>
      <w:marRight w:val="0"/>
      <w:marTop w:val="0"/>
      <w:marBottom w:val="0"/>
      <w:divBdr>
        <w:top w:val="none" w:sz="0" w:space="0" w:color="auto"/>
        <w:left w:val="none" w:sz="0" w:space="0" w:color="auto"/>
        <w:bottom w:val="none" w:sz="0" w:space="0" w:color="auto"/>
        <w:right w:val="none" w:sz="0" w:space="0" w:color="auto"/>
      </w:divBdr>
    </w:div>
    <w:div w:id="1718506325">
      <w:bodyDiv w:val="1"/>
      <w:marLeft w:val="0"/>
      <w:marRight w:val="0"/>
      <w:marTop w:val="0"/>
      <w:marBottom w:val="0"/>
      <w:divBdr>
        <w:top w:val="none" w:sz="0" w:space="0" w:color="auto"/>
        <w:left w:val="none" w:sz="0" w:space="0" w:color="auto"/>
        <w:bottom w:val="none" w:sz="0" w:space="0" w:color="auto"/>
        <w:right w:val="none" w:sz="0" w:space="0" w:color="auto"/>
      </w:divBdr>
    </w:div>
    <w:div w:id="1718578354">
      <w:bodyDiv w:val="1"/>
      <w:marLeft w:val="0"/>
      <w:marRight w:val="0"/>
      <w:marTop w:val="0"/>
      <w:marBottom w:val="0"/>
      <w:divBdr>
        <w:top w:val="none" w:sz="0" w:space="0" w:color="auto"/>
        <w:left w:val="none" w:sz="0" w:space="0" w:color="auto"/>
        <w:bottom w:val="none" w:sz="0" w:space="0" w:color="auto"/>
        <w:right w:val="none" w:sz="0" w:space="0" w:color="auto"/>
      </w:divBdr>
    </w:div>
    <w:div w:id="1718578661">
      <w:bodyDiv w:val="1"/>
      <w:marLeft w:val="0"/>
      <w:marRight w:val="0"/>
      <w:marTop w:val="0"/>
      <w:marBottom w:val="0"/>
      <w:divBdr>
        <w:top w:val="none" w:sz="0" w:space="0" w:color="auto"/>
        <w:left w:val="none" w:sz="0" w:space="0" w:color="auto"/>
        <w:bottom w:val="none" w:sz="0" w:space="0" w:color="auto"/>
        <w:right w:val="none" w:sz="0" w:space="0" w:color="auto"/>
      </w:divBdr>
    </w:div>
    <w:div w:id="1718623823">
      <w:bodyDiv w:val="1"/>
      <w:marLeft w:val="0"/>
      <w:marRight w:val="0"/>
      <w:marTop w:val="0"/>
      <w:marBottom w:val="0"/>
      <w:divBdr>
        <w:top w:val="none" w:sz="0" w:space="0" w:color="auto"/>
        <w:left w:val="none" w:sz="0" w:space="0" w:color="auto"/>
        <w:bottom w:val="none" w:sz="0" w:space="0" w:color="auto"/>
        <w:right w:val="none" w:sz="0" w:space="0" w:color="auto"/>
      </w:divBdr>
    </w:div>
    <w:div w:id="1718747392">
      <w:bodyDiv w:val="1"/>
      <w:marLeft w:val="0"/>
      <w:marRight w:val="0"/>
      <w:marTop w:val="0"/>
      <w:marBottom w:val="0"/>
      <w:divBdr>
        <w:top w:val="none" w:sz="0" w:space="0" w:color="auto"/>
        <w:left w:val="none" w:sz="0" w:space="0" w:color="auto"/>
        <w:bottom w:val="none" w:sz="0" w:space="0" w:color="auto"/>
        <w:right w:val="none" w:sz="0" w:space="0" w:color="auto"/>
      </w:divBdr>
    </w:div>
    <w:div w:id="1718817473">
      <w:bodyDiv w:val="1"/>
      <w:marLeft w:val="0"/>
      <w:marRight w:val="0"/>
      <w:marTop w:val="0"/>
      <w:marBottom w:val="0"/>
      <w:divBdr>
        <w:top w:val="none" w:sz="0" w:space="0" w:color="auto"/>
        <w:left w:val="none" w:sz="0" w:space="0" w:color="auto"/>
        <w:bottom w:val="none" w:sz="0" w:space="0" w:color="auto"/>
        <w:right w:val="none" w:sz="0" w:space="0" w:color="auto"/>
      </w:divBdr>
    </w:div>
    <w:div w:id="1718891320">
      <w:bodyDiv w:val="1"/>
      <w:marLeft w:val="0"/>
      <w:marRight w:val="0"/>
      <w:marTop w:val="0"/>
      <w:marBottom w:val="0"/>
      <w:divBdr>
        <w:top w:val="none" w:sz="0" w:space="0" w:color="auto"/>
        <w:left w:val="none" w:sz="0" w:space="0" w:color="auto"/>
        <w:bottom w:val="none" w:sz="0" w:space="0" w:color="auto"/>
        <w:right w:val="none" w:sz="0" w:space="0" w:color="auto"/>
      </w:divBdr>
    </w:div>
    <w:div w:id="1718965662">
      <w:bodyDiv w:val="1"/>
      <w:marLeft w:val="0"/>
      <w:marRight w:val="0"/>
      <w:marTop w:val="0"/>
      <w:marBottom w:val="0"/>
      <w:divBdr>
        <w:top w:val="none" w:sz="0" w:space="0" w:color="auto"/>
        <w:left w:val="none" w:sz="0" w:space="0" w:color="auto"/>
        <w:bottom w:val="none" w:sz="0" w:space="0" w:color="auto"/>
        <w:right w:val="none" w:sz="0" w:space="0" w:color="auto"/>
      </w:divBdr>
    </w:div>
    <w:div w:id="1719016655">
      <w:bodyDiv w:val="1"/>
      <w:marLeft w:val="0"/>
      <w:marRight w:val="0"/>
      <w:marTop w:val="0"/>
      <w:marBottom w:val="0"/>
      <w:divBdr>
        <w:top w:val="none" w:sz="0" w:space="0" w:color="auto"/>
        <w:left w:val="none" w:sz="0" w:space="0" w:color="auto"/>
        <w:bottom w:val="none" w:sz="0" w:space="0" w:color="auto"/>
        <w:right w:val="none" w:sz="0" w:space="0" w:color="auto"/>
      </w:divBdr>
    </w:div>
    <w:div w:id="1719091797">
      <w:bodyDiv w:val="1"/>
      <w:marLeft w:val="0"/>
      <w:marRight w:val="0"/>
      <w:marTop w:val="0"/>
      <w:marBottom w:val="0"/>
      <w:divBdr>
        <w:top w:val="none" w:sz="0" w:space="0" w:color="auto"/>
        <w:left w:val="none" w:sz="0" w:space="0" w:color="auto"/>
        <w:bottom w:val="none" w:sz="0" w:space="0" w:color="auto"/>
        <w:right w:val="none" w:sz="0" w:space="0" w:color="auto"/>
      </w:divBdr>
    </w:div>
    <w:div w:id="1719091809">
      <w:bodyDiv w:val="1"/>
      <w:marLeft w:val="0"/>
      <w:marRight w:val="0"/>
      <w:marTop w:val="0"/>
      <w:marBottom w:val="0"/>
      <w:divBdr>
        <w:top w:val="none" w:sz="0" w:space="0" w:color="auto"/>
        <w:left w:val="none" w:sz="0" w:space="0" w:color="auto"/>
        <w:bottom w:val="none" w:sz="0" w:space="0" w:color="auto"/>
        <w:right w:val="none" w:sz="0" w:space="0" w:color="auto"/>
      </w:divBdr>
    </w:div>
    <w:div w:id="1719234235">
      <w:bodyDiv w:val="1"/>
      <w:marLeft w:val="0"/>
      <w:marRight w:val="0"/>
      <w:marTop w:val="0"/>
      <w:marBottom w:val="0"/>
      <w:divBdr>
        <w:top w:val="none" w:sz="0" w:space="0" w:color="auto"/>
        <w:left w:val="none" w:sz="0" w:space="0" w:color="auto"/>
        <w:bottom w:val="none" w:sz="0" w:space="0" w:color="auto"/>
        <w:right w:val="none" w:sz="0" w:space="0" w:color="auto"/>
      </w:divBdr>
    </w:div>
    <w:div w:id="1719235257">
      <w:bodyDiv w:val="1"/>
      <w:marLeft w:val="0"/>
      <w:marRight w:val="0"/>
      <w:marTop w:val="0"/>
      <w:marBottom w:val="0"/>
      <w:divBdr>
        <w:top w:val="none" w:sz="0" w:space="0" w:color="auto"/>
        <w:left w:val="none" w:sz="0" w:space="0" w:color="auto"/>
        <w:bottom w:val="none" w:sz="0" w:space="0" w:color="auto"/>
        <w:right w:val="none" w:sz="0" w:space="0" w:color="auto"/>
      </w:divBdr>
    </w:div>
    <w:div w:id="1719356022">
      <w:bodyDiv w:val="1"/>
      <w:marLeft w:val="0"/>
      <w:marRight w:val="0"/>
      <w:marTop w:val="0"/>
      <w:marBottom w:val="0"/>
      <w:divBdr>
        <w:top w:val="none" w:sz="0" w:space="0" w:color="auto"/>
        <w:left w:val="none" w:sz="0" w:space="0" w:color="auto"/>
        <w:bottom w:val="none" w:sz="0" w:space="0" w:color="auto"/>
        <w:right w:val="none" w:sz="0" w:space="0" w:color="auto"/>
      </w:divBdr>
    </w:div>
    <w:div w:id="1719359893">
      <w:bodyDiv w:val="1"/>
      <w:marLeft w:val="0"/>
      <w:marRight w:val="0"/>
      <w:marTop w:val="0"/>
      <w:marBottom w:val="0"/>
      <w:divBdr>
        <w:top w:val="none" w:sz="0" w:space="0" w:color="auto"/>
        <w:left w:val="none" w:sz="0" w:space="0" w:color="auto"/>
        <w:bottom w:val="none" w:sz="0" w:space="0" w:color="auto"/>
        <w:right w:val="none" w:sz="0" w:space="0" w:color="auto"/>
      </w:divBdr>
    </w:div>
    <w:div w:id="1719550437">
      <w:bodyDiv w:val="1"/>
      <w:marLeft w:val="0"/>
      <w:marRight w:val="0"/>
      <w:marTop w:val="0"/>
      <w:marBottom w:val="0"/>
      <w:divBdr>
        <w:top w:val="none" w:sz="0" w:space="0" w:color="auto"/>
        <w:left w:val="none" w:sz="0" w:space="0" w:color="auto"/>
        <w:bottom w:val="none" w:sz="0" w:space="0" w:color="auto"/>
        <w:right w:val="none" w:sz="0" w:space="0" w:color="auto"/>
      </w:divBdr>
    </w:div>
    <w:div w:id="1719550775">
      <w:bodyDiv w:val="1"/>
      <w:marLeft w:val="0"/>
      <w:marRight w:val="0"/>
      <w:marTop w:val="0"/>
      <w:marBottom w:val="0"/>
      <w:divBdr>
        <w:top w:val="none" w:sz="0" w:space="0" w:color="auto"/>
        <w:left w:val="none" w:sz="0" w:space="0" w:color="auto"/>
        <w:bottom w:val="none" w:sz="0" w:space="0" w:color="auto"/>
        <w:right w:val="none" w:sz="0" w:space="0" w:color="auto"/>
      </w:divBdr>
    </w:div>
    <w:div w:id="1719551987">
      <w:bodyDiv w:val="1"/>
      <w:marLeft w:val="0"/>
      <w:marRight w:val="0"/>
      <w:marTop w:val="0"/>
      <w:marBottom w:val="0"/>
      <w:divBdr>
        <w:top w:val="none" w:sz="0" w:space="0" w:color="auto"/>
        <w:left w:val="none" w:sz="0" w:space="0" w:color="auto"/>
        <w:bottom w:val="none" w:sz="0" w:space="0" w:color="auto"/>
        <w:right w:val="none" w:sz="0" w:space="0" w:color="auto"/>
      </w:divBdr>
    </w:div>
    <w:div w:id="1719622405">
      <w:bodyDiv w:val="1"/>
      <w:marLeft w:val="0"/>
      <w:marRight w:val="0"/>
      <w:marTop w:val="0"/>
      <w:marBottom w:val="0"/>
      <w:divBdr>
        <w:top w:val="none" w:sz="0" w:space="0" w:color="auto"/>
        <w:left w:val="none" w:sz="0" w:space="0" w:color="auto"/>
        <w:bottom w:val="none" w:sz="0" w:space="0" w:color="auto"/>
        <w:right w:val="none" w:sz="0" w:space="0" w:color="auto"/>
      </w:divBdr>
    </w:div>
    <w:div w:id="1719668896">
      <w:bodyDiv w:val="1"/>
      <w:marLeft w:val="0"/>
      <w:marRight w:val="0"/>
      <w:marTop w:val="0"/>
      <w:marBottom w:val="0"/>
      <w:divBdr>
        <w:top w:val="none" w:sz="0" w:space="0" w:color="auto"/>
        <w:left w:val="none" w:sz="0" w:space="0" w:color="auto"/>
        <w:bottom w:val="none" w:sz="0" w:space="0" w:color="auto"/>
        <w:right w:val="none" w:sz="0" w:space="0" w:color="auto"/>
      </w:divBdr>
    </w:div>
    <w:div w:id="1719670297">
      <w:bodyDiv w:val="1"/>
      <w:marLeft w:val="0"/>
      <w:marRight w:val="0"/>
      <w:marTop w:val="0"/>
      <w:marBottom w:val="0"/>
      <w:divBdr>
        <w:top w:val="none" w:sz="0" w:space="0" w:color="auto"/>
        <w:left w:val="none" w:sz="0" w:space="0" w:color="auto"/>
        <w:bottom w:val="none" w:sz="0" w:space="0" w:color="auto"/>
        <w:right w:val="none" w:sz="0" w:space="0" w:color="auto"/>
      </w:divBdr>
    </w:div>
    <w:div w:id="1719695169">
      <w:bodyDiv w:val="1"/>
      <w:marLeft w:val="0"/>
      <w:marRight w:val="0"/>
      <w:marTop w:val="0"/>
      <w:marBottom w:val="0"/>
      <w:divBdr>
        <w:top w:val="none" w:sz="0" w:space="0" w:color="auto"/>
        <w:left w:val="none" w:sz="0" w:space="0" w:color="auto"/>
        <w:bottom w:val="none" w:sz="0" w:space="0" w:color="auto"/>
        <w:right w:val="none" w:sz="0" w:space="0" w:color="auto"/>
      </w:divBdr>
    </w:div>
    <w:div w:id="1719741271">
      <w:bodyDiv w:val="1"/>
      <w:marLeft w:val="0"/>
      <w:marRight w:val="0"/>
      <w:marTop w:val="0"/>
      <w:marBottom w:val="0"/>
      <w:divBdr>
        <w:top w:val="none" w:sz="0" w:space="0" w:color="auto"/>
        <w:left w:val="none" w:sz="0" w:space="0" w:color="auto"/>
        <w:bottom w:val="none" w:sz="0" w:space="0" w:color="auto"/>
        <w:right w:val="none" w:sz="0" w:space="0" w:color="auto"/>
      </w:divBdr>
    </w:div>
    <w:div w:id="1719742786">
      <w:bodyDiv w:val="1"/>
      <w:marLeft w:val="0"/>
      <w:marRight w:val="0"/>
      <w:marTop w:val="0"/>
      <w:marBottom w:val="0"/>
      <w:divBdr>
        <w:top w:val="none" w:sz="0" w:space="0" w:color="auto"/>
        <w:left w:val="none" w:sz="0" w:space="0" w:color="auto"/>
        <w:bottom w:val="none" w:sz="0" w:space="0" w:color="auto"/>
        <w:right w:val="none" w:sz="0" w:space="0" w:color="auto"/>
      </w:divBdr>
    </w:div>
    <w:div w:id="1719746895">
      <w:bodyDiv w:val="1"/>
      <w:marLeft w:val="0"/>
      <w:marRight w:val="0"/>
      <w:marTop w:val="0"/>
      <w:marBottom w:val="0"/>
      <w:divBdr>
        <w:top w:val="none" w:sz="0" w:space="0" w:color="auto"/>
        <w:left w:val="none" w:sz="0" w:space="0" w:color="auto"/>
        <w:bottom w:val="none" w:sz="0" w:space="0" w:color="auto"/>
        <w:right w:val="none" w:sz="0" w:space="0" w:color="auto"/>
      </w:divBdr>
    </w:div>
    <w:div w:id="1719862203">
      <w:bodyDiv w:val="1"/>
      <w:marLeft w:val="0"/>
      <w:marRight w:val="0"/>
      <w:marTop w:val="0"/>
      <w:marBottom w:val="0"/>
      <w:divBdr>
        <w:top w:val="none" w:sz="0" w:space="0" w:color="auto"/>
        <w:left w:val="none" w:sz="0" w:space="0" w:color="auto"/>
        <w:bottom w:val="none" w:sz="0" w:space="0" w:color="auto"/>
        <w:right w:val="none" w:sz="0" w:space="0" w:color="auto"/>
      </w:divBdr>
    </w:div>
    <w:div w:id="1720012706">
      <w:bodyDiv w:val="1"/>
      <w:marLeft w:val="0"/>
      <w:marRight w:val="0"/>
      <w:marTop w:val="0"/>
      <w:marBottom w:val="0"/>
      <w:divBdr>
        <w:top w:val="none" w:sz="0" w:space="0" w:color="auto"/>
        <w:left w:val="none" w:sz="0" w:space="0" w:color="auto"/>
        <w:bottom w:val="none" w:sz="0" w:space="0" w:color="auto"/>
        <w:right w:val="none" w:sz="0" w:space="0" w:color="auto"/>
      </w:divBdr>
    </w:div>
    <w:div w:id="1720082085">
      <w:bodyDiv w:val="1"/>
      <w:marLeft w:val="0"/>
      <w:marRight w:val="0"/>
      <w:marTop w:val="0"/>
      <w:marBottom w:val="0"/>
      <w:divBdr>
        <w:top w:val="none" w:sz="0" w:space="0" w:color="auto"/>
        <w:left w:val="none" w:sz="0" w:space="0" w:color="auto"/>
        <w:bottom w:val="none" w:sz="0" w:space="0" w:color="auto"/>
        <w:right w:val="none" w:sz="0" w:space="0" w:color="auto"/>
      </w:divBdr>
    </w:div>
    <w:div w:id="1720128775">
      <w:bodyDiv w:val="1"/>
      <w:marLeft w:val="0"/>
      <w:marRight w:val="0"/>
      <w:marTop w:val="0"/>
      <w:marBottom w:val="0"/>
      <w:divBdr>
        <w:top w:val="none" w:sz="0" w:space="0" w:color="auto"/>
        <w:left w:val="none" w:sz="0" w:space="0" w:color="auto"/>
        <w:bottom w:val="none" w:sz="0" w:space="0" w:color="auto"/>
        <w:right w:val="none" w:sz="0" w:space="0" w:color="auto"/>
      </w:divBdr>
    </w:div>
    <w:div w:id="1720130666">
      <w:bodyDiv w:val="1"/>
      <w:marLeft w:val="0"/>
      <w:marRight w:val="0"/>
      <w:marTop w:val="0"/>
      <w:marBottom w:val="0"/>
      <w:divBdr>
        <w:top w:val="none" w:sz="0" w:space="0" w:color="auto"/>
        <w:left w:val="none" w:sz="0" w:space="0" w:color="auto"/>
        <w:bottom w:val="none" w:sz="0" w:space="0" w:color="auto"/>
        <w:right w:val="none" w:sz="0" w:space="0" w:color="auto"/>
      </w:divBdr>
    </w:div>
    <w:div w:id="1720200642">
      <w:bodyDiv w:val="1"/>
      <w:marLeft w:val="0"/>
      <w:marRight w:val="0"/>
      <w:marTop w:val="0"/>
      <w:marBottom w:val="0"/>
      <w:divBdr>
        <w:top w:val="none" w:sz="0" w:space="0" w:color="auto"/>
        <w:left w:val="none" w:sz="0" w:space="0" w:color="auto"/>
        <w:bottom w:val="none" w:sz="0" w:space="0" w:color="auto"/>
        <w:right w:val="none" w:sz="0" w:space="0" w:color="auto"/>
      </w:divBdr>
    </w:div>
    <w:div w:id="1720208316">
      <w:bodyDiv w:val="1"/>
      <w:marLeft w:val="0"/>
      <w:marRight w:val="0"/>
      <w:marTop w:val="0"/>
      <w:marBottom w:val="0"/>
      <w:divBdr>
        <w:top w:val="none" w:sz="0" w:space="0" w:color="auto"/>
        <w:left w:val="none" w:sz="0" w:space="0" w:color="auto"/>
        <w:bottom w:val="none" w:sz="0" w:space="0" w:color="auto"/>
        <w:right w:val="none" w:sz="0" w:space="0" w:color="auto"/>
      </w:divBdr>
    </w:div>
    <w:div w:id="1720275193">
      <w:bodyDiv w:val="1"/>
      <w:marLeft w:val="0"/>
      <w:marRight w:val="0"/>
      <w:marTop w:val="0"/>
      <w:marBottom w:val="0"/>
      <w:divBdr>
        <w:top w:val="none" w:sz="0" w:space="0" w:color="auto"/>
        <w:left w:val="none" w:sz="0" w:space="0" w:color="auto"/>
        <w:bottom w:val="none" w:sz="0" w:space="0" w:color="auto"/>
        <w:right w:val="none" w:sz="0" w:space="0" w:color="auto"/>
      </w:divBdr>
    </w:div>
    <w:div w:id="1720282447">
      <w:bodyDiv w:val="1"/>
      <w:marLeft w:val="0"/>
      <w:marRight w:val="0"/>
      <w:marTop w:val="0"/>
      <w:marBottom w:val="0"/>
      <w:divBdr>
        <w:top w:val="none" w:sz="0" w:space="0" w:color="auto"/>
        <w:left w:val="none" w:sz="0" w:space="0" w:color="auto"/>
        <w:bottom w:val="none" w:sz="0" w:space="0" w:color="auto"/>
        <w:right w:val="none" w:sz="0" w:space="0" w:color="auto"/>
      </w:divBdr>
    </w:div>
    <w:div w:id="1720396739">
      <w:bodyDiv w:val="1"/>
      <w:marLeft w:val="0"/>
      <w:marRight w:val="0"/>
      <w:marTop w:val="0"/>
      <w:marBottom w:val="0"/>
      <w:divBdr>
        <w:top w:val="none" w:sz="0" w:space="0" w:color="auto"/>
        <w:left w:val="none" w:sz="0" w:space="0" w:color="auto"/>
        <w:bottom w:val="none" w:sz="0" w:space="0" w:color="auto"/>
        <w:right w:val="none" w:sz="0" w:space="0" w:color="auto"/>
      </w:divBdr>
    </w:div>
    <w:div w:id="1720548104">
      <w:bodyDiv w:val="1"/>
      <w:marLeft w:val="0"/>
      <w:marRight w:val="0"/>
      <w:marTop w:val="0"/>
      <w:marBottom w:val="0"/>
      <w:divBdr>
        <w:top w:val="none" w:sz="0" w:space="0" w:color="auto"/>
        <w:left w:val="none" w:sz="0" w:space="0" w:color="auto"/>
        <w:bottom w:val="none" w:sz="0" w:space="0" w:color="auto"/>
        <w:right w:val="none" w:sz="0" w:space="0" w:color="auto"/>
      </w:divBdr>
    </w:div>
    <w:div w:id="1720661574">
      <w:bodyDiv w:val="1"/>
      <w:marLeft w:val="0"/>
      <w:marRight w:val="0"/>
      <w:marTop w:val="0"/>
      <w:marBottom w:val="0"/>
      <w:divBdr>
        <w:top w:val="none" w:sz="0" w:space="0" w:color="auto"/>
        <w:left w:val="none" w:sz="0" w:space="0" w:color="auto"/>
        <w:bottom w:val="none" w:sz="0" w:space="0" w:color="auto"/>
        <w:right w:val="none" w:sz="0" w:space="0" w:color="auto"/>
      </w:divBdr>
    </w:div>
    <w:div w:id="1720740074">
      <w:bodyDiv w:val="1"/>
      <w:marLeft w:val="0"/>
      <w:marRight w:val="0"/>
      <w:marTop w:val="0"/>
      <w:marBottom w:val="0"/>
      <w:divBdr>
        <w:top w:val="none" w:sz="0" w:space="0" w:color="auto"/>
        <w:left w:val="none" w:sz="0" w:space="0" w:color="auto"/>
        <w:bottom w:val="none" w:sz="0" w:space="0" w:color="auto"/>
        <w:right w:val="none" w:sz="0" w:space="0" w:color="auto"/>
      </w:divBdr>
    </w:div>
    <w:div w:id="1720740548">
      <w:bodyDiv w:val="1"/>
      <w:marLeft w:val="0"/>
      <w:marRight w:val="0"/>
      <w:marTop w:val="0"/>
      <w:marBottom w:val="0"/>
      <w:divBdr>
        <w:top w:val="none" w:sz="0" w:space="0" w:color="auto"/>
        <w:left w:val="none" w:sz="0" w:space="0" w:color="auto"/>
        <w:bottom w:val="none" w:sz="0" w:space="0" w:color="auto"/>
        <w:right w:val="none" w:sz="0" w:space="0" w:color="auto"/>
      </w:divBdr>
    </w:div>
    <w:div w:id="1720780671">
      <w:bodyDiv w:val="1"/>
      <w:marLeft w:val="0"/>
      <w:marRight w:val="0"/>
      <w:marTop w:val="0"/>
      <w:marBottom w:val="0"/>
      <w:divBdr>
        <w:top w:val="none" w:sz="0" w:space="0" w:color="auto"/>
        <w:left w:val="none" w:sz="0" w:space="0" w:color="auto"/>
        <w:bottom w:val="none" w:sz="0" w:space="0" w:color="auto"/>
        <w:right w:val="none" w:sz="0" w:space="0" w:color="auto"/>
      </w:divBdr>
    </w:div>
    <w:div w:id="1720858941">
      <w:bodyDiv w:val="1"/>
      <w:marLeft w:val="0"/>
      <w:marRight w:val="0"/>
      <w:marTop w:val="0"/>
      <w:marBottom w:val="0"/>
      <w:divBdr>
        <w:top w:val="none" w:sz="0" w:space="0" w:color="auto"/>
        <w:left w:val="none" w:sz="0" w:space="0" w:color="auto"/>
        <w:bottom w:val="none" w:sz="0" w:space="0" w:color="auto"/>
        <w:right w:val="none" w:sz="0" w:space="0" w:color="auto"/>
      </w:divBdr>
    </w:div>
    <w:div w:id="1720932020">
      <w:bodyDiv w:val="1"/>
      <w:marLeft w:val="0"/>
      <w:marRight w:val="0"/>
      <w:marTop w:val="0"/>
      <w:marBottom w:val="0"/>
      <w:divBdr>
        <w:top w:val="none" w:sz="0" w:space="0" w:color="auto"/>
        <w:left w:val="none" w:sz="0" w:space="0" w:color="auto"/>
        <w:bottom w:val="none" w:sz="0" w:space="0" w:color="auto"/>
        <w:right w:val="none" w:sz="0" w:space="0" w:color="auto"/>
      </w:divBdr>
    </w:div>
    <w:div w:id="1721132506">
      <w:bodyDiv w:val="1"/>
      <w:marLeft w:val="0"/>
      <w:marRight w:val="0"/>
      <w:marTop w:val="0"/>
      <w:marBottom w:val="0"/>
      <w:divBdr>
        <w:top w:val="none" w:sz="0" w:space="0" w:color="auto"/>
        <w:left w:val="none" w:sz="0" w:space="0" w:color="auto"/>
        <w:bottom w:val="none" w:sz="0" w:space="0" w:color="auto"/>
        <w:right w:val="none" w:sz="0" w:space="0" w:color="auto"/>
      </w:divBdr>
    </w:div>
    <w:div w:id="1721248464">
      <w:bodyDiv w:val="1"/>
      <w:marLeft w:val="0"/>
      <w:marRight w:val="0"/>
      <w:marTop w:val="0"/>
      <w:marBottom w:val="0"/>
      <w:divBdr>
        <w:top w:val="none" w:sz="0" w:space="0" w:color="auto"/>
        <w:left w:val="none" w:sz="0" w:space="0" w:color="auto"/>
        <w:bottom w:val="none" w:sz="0" w:space="0" w:color="auto"/>
        <w:right w:val="none" w:sz="0" w:space="0" w:color="auto"/>
      </w:divBdr>
    </w:div>
    <w:div w:id="1721248777">
      <w:bodyDiv w:val="1"/>
      <w:marLeft w:val="0"/>
      <w:marRight w:val="0"/>
      <w:marTop w:val="0"/>
      <w:marBottom w:val="0"/>
      <w:divBdr>
        <w:top w:val="none" w:sz="0" w:space="0" w:color="auto"/>
        <w:left w:val="none" w:sz="0" w:space="0" w:color="auto"/>
        <w:bottom w:val="none" w:sz="0" w:space="0" w:color="auto"/>
        <w:right w:val="none" w:sz="0" w:space="0" w:color="auto"/>
      </w:divBdr>
    </w:div>
    <w:div w:id="1721319196">
      <w:bodyDiv w:val="1"/>
      <w:marLeft w:val="0"/>
      <w:marRight w:val="0"/>
      <w:marTop w:val="0"/>
      <w:marBottom w:val="0"/>
      <w:divBdr>
        <w:top w:val="none" w:sz="0" w:space="0" w:color="auto"/>
        <w:left w:val="none" w:sz="0" w:space="0" w:color="auto"/>
        <w:bottom w:val="none" w:sz="0" w:space="0" w:color="auto"/>
        <w:right w:val="none" w:sz="0" w:space="0" w:color="auto"/>
      </w:divBdr>
    </w:div>
    <w:div w:id="1721514630">
      <w:bodyDiv w:val="1"/>
      <w:marLeft w:val="0"/>
      <w:marRight w:val="0"/>
      <w:marTop w:val="0"/>
      <w:marBottom w:val="0"/>
      <w:divBdr>
        <w:top w:val="none" w:sz="0" w:space="0" w:color="auto"/>
        <w:left w:val="none" w:sz="0" w:space="0" w:color="auto"/>
        <w:bottom w:val="none" w:sz="0" w:space="0" w:color="auto"/>
        <w:right w:val="none" w:sz="0" w:space="0" w:color="auto"/>
      </w:divBdr>
    </w:div>
    <w:div w:id="1721519768">
      <w:bodyDiv w:val="1"/>
      <w:marLeft w:val="0"/>
      <w:marRight w:val="0"/>
      <w:marTop w:val="0"/>
      <w:marBottom w:val="0"/>
      <w:divBdr>
        <w:top w:val="none" w:sz="0" w:space="0" w:color="auto"/>
        <w:left w:val="none" w:sz="0" w:space="0" w:color="auto"/>
        <w:bottom w:val="none" w:sz="0" w:space="0" w:color="auto"/>
        <w:right w:val="none" w:sz="0" w:space="0" w:color="auto"/>
      </w:divBdr>
    </w:div>
    <w:div w:id="1721591696">
      <w:bodyDiv w:val="1"/>
      <w:marLeft w:val="0"/>
      <w:marRight w:val="0"/>
      <w:marTop w:val="0"/>
      <w:marBottom w:val="0"/>
      <w:divBdr>
        <w:top w:val="none" w:sz="0" w:space="0" w:color="auto"/>
        <w:left w:val="none" w:sz="0" w:space="0" w:color="auto"/>
        <w:bottom w:val="none" w:sz="0" w:space="0" w:color="auto"/>
        <w:right w:val="none" w:sz="0" w:space="0" w:color="auto"/>
      </w:divBdr>
    </w:div>
    <w:div w:id="1721633339">
      <w:bodyDiv w:val="1"/>
      <w:marLeft w:val="0"/>
      <w:marRight w:val="0"/>
      <w:marTop w:val="0"/>
      <w:marBottom w:val="0"/>
      <w:divBdr>
        <w:top w:val="none" w:sz="0" w:space="0" w:color="auto"/>
        <w:left w:val="none" w:sz="0" w:space="0" w:color="auto"/>
        <w:bottom w:val="none" w:sz="0" w:space="0" w:color="auto"/>
        <w:right w:val="none" w:sz="0" w:space="0" w:color="auto"/>
      </w:divBdr>
    </w:div>
    <w:div w:id="1721703460">
      <w:bodyDiv w:val="1"/>
      <w:marLeft w:val="0"/>
      <w:marRight w:val="0"/>
      <w:marTop w:val="0"/>
      <w:marBottom w:val="0"/>
      <w:divBdr>
        <w:top w:val="none" w:sz="0" w:space="0" w:color="auto"/>
        <w:left w:val="none" w:sz="0" w:space="0" w:color="auto"/>
        <w:bottom w:val="none" w:sz="0" w:space="0" w:color="auto"/>
        <w:right w:val="none" w:sz="0" w:space="0" w:color="auto"/>
      </w:divBdr>
    </w:div>
    <w:div w:id="1721711393">
      <w:bodyDiv w:val="1"/>
      <w:marLeft w:val="0"/>
      <w:marRight w:val="0"/>
      <w:marTop w:val="0"/>
      <w:marBottom w:val="0"/>
      <w:divBdr>
        <w:top w:val="none" w:sz="0" w:space="0" w:color="auto"/>
        <w:left w:val="none" w:sz="0" w:space="0" w:color="auto"/>
        <w:bottom w:val="none" w:sz="0" w:space="0" w:color="auto"/>
        <w:right w:val="none" w:sz="0" w:space="0" w:color="auto"/>
      </w:divBdr>
    </w:div>
    <w:div w:id="1721857501">
      <w:bodyDiv w:val="1"/>
      <w:marLeft w:val="0"/>
      <w:marRight w:val="0"/>
      <w:marTop w:val="0"/>
      <w:marBottom w:val="0"/>
      <w:divBdr>
        <w:top w:val="none" w:sz="0" w:space="0" w:color="auto"/>
        <w:left w:val="none" w:sz="0" w:space="0" w:color="auto"/>
        <w:bottom w:val="none" w:sz="0" w:space="0" w:color="auto"/>
        <w:right w:val="none" w:sz="0" w:space="0" w:color="auto"/>
      </w:divBdr>
    </w:div>
    <w:div w:id="1721904685">
      <w:bodyDiv w:val="1"/>
      <w:marLeft w:val="0"/>
      <w:marRight w:val="0"/>
      <w:marTop w:val="0"/>
      <w:marBottom w:val="0"/>
      <w:divBdr>
        <w:top w:val="none" w:sz="0" w:space="0" w:color="auto"/>
        <w:left w:val="none" w:sz="0" w:space="0" w:color="auto"/>
        <w:bottom w:val="none" w:sz="0" w:space="0" w:color="auto"/>
        <w:right w:val="none" w:sz="0" w:space="0" w:color="auto"/>
      </w:divBdr>
    </w:div>
    <w:div w:id="1721906285">
      <w:bodyDiv w:val="1"/>
      <w:marLeft w:val="0"/>
      <w:marRight w:val="0"/>
      <w:marTop w:val="0"/>
      <w:marBottom w:val="0"/>
      <w:divBdr>
        <w:top w:val="none" w:sz="0" w:space="0" w:color="auto"/>
        <w:left w:val="none" w:sz="0" w:space="0" w:color="auto"/>
        <w:bottom w:val="none" w:sz="0" w:space="0" w:color="auto"/>
        <w:right w:val="none" w:sz="0" w:space="0" w:color="auto"/>
      </w:divBdr>
    </w:div>
    <w:div w:id="1721973840">
      <w:bodyDiv w:val="1"/>
      <w:marLeft w:val="0"/>
      <w:marRight w:val="0"/>
      <w:marTop w:val="0"/>
      <w:marBottom w:val="0"/>
      <w:divBdr>
        <w:top w:val="none" w:sz="0" w:space="0" w:color="auto"/>
        <w:left w:val="none" w:sz="0" w:space="0" w:color="auto"/>
        <w:bottom w:val="none" w:sz="0" w:space="0" w:color="auto"/>
        <w:right w:val="none" w:sz="0" w:space="0" w:color="auto"/>
      </w:divBdr>
    </w:div>
    <w:div w:id="1722053311">
      <w:bodyDiv w:val="1"/>
      <w:marLeft w:val="0"/>
      <w:marRight w:val="0"/>
      <w:marTop w:val="0"/>
      <w:marBottom w:val="0"/>
      <w:divBdr>
        <w:top w:val="none" w:sz="0" w:space="0" w:color="auto"/>
        <w:left w:val="none" w:sz="0" w:space="0" w:color="auto"/>
        <w:bottom w:val="none" w:sz="0" w:space="0" w:color="auto"/>
        <w:right w:val="none" w:sz="0" w:space="0" w:color="auto"/>
      </w:divBdr>
    </w:div>
    <w:div w:id="1722092788">
      <w:bodyDiv w:val="1"/>
      <w:marLeft w:val="0"/>
      <w:marRight w:val="0"/>
      <w:marTop w:val="0"/>
      <w:marBottom w:val="0"/>
      <w:divBdr>
        <w:top w:val="none" w:sz="0" w:space="0" w:color="auto"/>
        <w:left w:val="none" w:sz="0" w:space="0" w:color="auto"/>
        <w:bottom w:val="none" w:sz="0" w:space="0" w:color="auto"/>
        <w:right w:val="none" w:sz="0" w:space="0" w:color="auto"/>
      </w:divBdr>
    </w:div>
    <w:div w:id="1722094985">
      <w:bodyDiv w:val="1"/>
      <w:marLeft w:val="0"/>
      <w:marRight w:val="0"/>
      <w:marTop w:val="0"/>
      <w:marBottom w:val="0"/>
      <w:divBdr>
        <w:top w:val="none" w:sz="0" w:space="0" w:color="auto"/>
        <w:left w:val="none" w:sz="0" w:space="0" w:color="auto"/>
        <w:bottom w:val="none" w:sz="0" w:space="0" w:color="auto"/>
        <w:right w:val="none" w:sz="0" w:space="0" w:color="auto"/>
      </w:divBdr>
    </w:div>
    <w:div w:id="1722245576">
      <w:bodyDiv w:val="1"/>
      <w:marLeft w:val="0"/>
      <w:marRight w:val="0"/>
      <w:marTop w:val="0"/>
      <w:marBottom w:val="0"/>
      <w:divBdr>
        <w:top w:val="none" w:sz="0" w:space="0" w:color="auto"/>
        <w:left w:val="none" w:sz="0" w:space="0" w:color="auto"/>
        <w:bottom w:val="none" w:sz="0" w:space="0" w:color="auto"/>
        <w:right w:val="none" w:sz="0" w:space="0" w:color="auto"/>
      </w:divBdr>
    </w:div>
    <w:div w:id="1722250149">
      <w:bodyDiv w:val="1"/>
      <w:marLeft w:val="0"/>
      <w:marRight w:val="0"/>
      <w:marTop w:val="0"/>
      <w:marBottom w:val="0"/>
      <w:divBdr>
        <w:top w:val="none" w:sz="0" w:space="0" w:color="auto"/>
        <w:left w:val="none" w:sz="0" w:space="0" w:color="auto"/>
        <w:bottom w:val="none" w:sz="0" w:space="0" w:color="auto"/>
        <w:right w:val="none" w:sz="0" w:space="0" w:color="auto"/>
      </w:divBdr>
    </w:div>
    <w:div w:id="1722291559">
      <w:bodyDiv w:val="1"/>
      <w:marLeft w:val="0"/>
      <w:marRight w:val="0"/>
      <w:marTop w:val="0"/>
      <w:marBottom w:val="0"/>
      <w:divBdr>
        <w:top w:val="none" w:sz="0" w:space="0" w:color="auto"/>
        <w:left w:val="none" w:sz="0" w:space="0" w:color="auto"/>
        <w:bottom w:val="none" w:sz="0" w:space="0" w:color="auto"/>
        <w:right w:val="none" w:sz="0" w:space="0" w:color="auto"/>
      </w:divBdr>
    </w:div>
    <w:div w:id="1722317895">
      <w:bodyDiv w:val="1"/>
      <w:marLeft w:val="0"/>
      <w:marRight w:val="0"/>
      <w:marTop w:val="0"/>
      <w:marBottom w:val="0"/>
      <w:divBdr>
        <w:top w:val="none" w:sz="0" w:space="0" w:color="auto"/>
        <w:left w:val="none" w:sz="0" w:space="0" w:color="auto"/>
        <w:bottom w:val="none" w:sz="0" w:space="0" w:color="auto"/>
        <w:right w:val="none" w:sz="0" w:space="0" w:color="auto"/>
      </w:divBdr>
    </w:div>
    <w:div w:id="1722366980">
      <w:bodyDiv w:val="1"/>
      <w:marLeft w:val="0"/>
      <w:marRight w:val="0"/>
      <w:marTop w:val="0"/>
      <w:marBottom w:val="0"/>
      <w:divBdr>
        <w:top w:val="none" w:sz="0" w:space="0" w:color="auto"/>
        <w:left w:val="none" w:sz="0" w:space="0" w:color="auto"/>
        <w:bottom w:val="none" w:sz="0" w:space="0" w:color="auto"/>
        <w:right w:val="none" w:sz="0" w:space="0" w:color="auto"/>
      </w:divBdr>
    </w:div>
    <w:div w:id="1722552097">
      <w:bodyDiv w:val="1"/>
      <w:marLeft w:val="0"/>
      <w:marRight w:val="0"/>
      <w:marTop w:val="0"/>
      <w:marBottom w:val="0"/>
      <w:divBdr>
        <w:top w:val="none" w:sz="0" w:space="0" w:color="auto"/>
        <w:left w:val="none" w:sz="0" w:space="0" w:color="auto"/>
        <w:bottom w:val="none" w:sz="0" w:space="0" w:color="auto"/>
        <w:right w:val="none" w:sz="0" w:space="0" w:color="auto"/>
      </w:divBdr>
    </w:div>
    <w:div w:id="1722555530">
      <w:bodyDiv w:val="1"/>
      <w:marLeft w:val="0"/>
      <w:marRight w:val="0"/>
      <w:marTop w:val="0"/>
      <w:marBottom w:val="0"/>
      <w:divBdr>
        <w:top w:val="none" w:sz="0" w:space="0" w:color="auto"/>
        <w:left w:val="none" w:sz="0" w:space="0" w:color="auto"/>
        <w:bottom w:val="none" w:sz="0" w:space="0" w:color="auto"/>
        <w:right w:val="none" w:sz="0" w:space="0" w:color="auto"/>
      </w:divBdr>
    </w:div>
    <w:div w:id="1722558046">
      <w:bodyDiv w:val="1"/>
      <w:marLeft w:val="0"/>
      <w:marRight w:val="0"/>
      <w:marTop w:val="0"/>
      <w:marBottom w:val="0"/>
      <w:divBdr>
        <w:top w:val="none" w:sz="0" w:space="0" w:color="auto"/>
        <w:left w:val="none" w:sz="0" w:space="0" w:color="auto"/>
        <w:bottom w:val="none" w:sz="0" w:space="0" w:color="auto"/>
        <w:right w:val="none" w:sz="0" w:space="0" w:color="auto"/>
      </w:divBdr>
    </w:div>
    <w:div w:id="1722629465">
      <w:bodyDiv w:val="1"/>
      <w:marLeft w:val="0"/>
      <w:marRight w:val="0"/>
      <w:marTop w:val="0"/>
      <w:marBottom w:val="0"/>
      <w:divBdr>
        <w:top w:val="none" w:sz="0" w:space="0" w:color="auto"/>
        <w:left w:val="none" w:sz="0" w:space="0" w:color="auto"/>
        <w:bottom w:val="none" w:sz="0" w:space="0" w:color="auto"/>
        <w:right w:val="none" w:sz="0" w:space="0" w:color="auto"/>
      </w:divBdr>
    </w:div>
    <w:div w:id="1722634466">
      <w:bodyDiv w:val="1"/>
      <w:marLeft w:val="0"/>
      <w:marRight w:val="0"/>
      <w:marTop w:val="0"/>
      <w:marBottom w:val="0"/>
      <w:divBdr>
        <w:top w:val="none" w:sz="0" w:space="0" w:color="auto"/>
        <w:left w:val="none" w:sz="0" w:space="0" w:color="auto"/>
        <w:bottom w:val="none" w:sz="0" w:space="0" w:color="auto"/>
        <w:right w:val="none" w:sz="0" w:space="0" w:color="auto"/>
      </w:divBdr>
    </w:div>
    <w:div w:id="1722750529">
      <w:bodyDiv w:val="1"/>
      <w:marLeft w:val="0"/>
      <w:marRight w:val="0"/>
      <w:marTop w:val="0"/>
      <w:marBottom w:val="0"/>
      <w:divBdr>
        <w:top w:val="none" w:sz="0" w:space="0" w:color="auto"/>
        <w:left w:val="none" w:sz="0" w:space="0" w:color="auto"/>
        <w:bottom w:val="none" w:sz="0" w:space="0" w:color="auto"/>
        <w:right w:val="none" w:sz="0" w:space="0" w:color="auto"/>
      </w:divBdr>
    </w:div>
    <w:div w:id="1722825763">
      <w:bodyDiv w:val="1"/>
      <w:marLeft w:val="0"/>
      <w:marRight w:val="0"/>
      <w:marTop w:val="0"/>
      <w:marBottom w:val="0"/>
      <w:divBdr>
        <w:top w:val="none" w:sz="0" w:space="0" w:color="auto"/>
        <w:left w:val="none" w:sz="0" w:space="0" w:color="auto"/>
        <w:bottom w:val="none" w:sz="0" w:space="0" w:color="auto"/>
        <w:right w:val="none" w:sz="0" w:space="0" w:color="auto"/>
      </w:divBdr>
    </w:div>
    <w:div w:id="1722826467">
      <w:bodyDiv w:val="1"/>
      <w:marLeft w:val="0"/>
      <w:marRight w:val="0"/>
      <w:marTop w:val="0"/>
      <w:marBottom w:val="0"/>
      <w:divBdr>
        <w:top w:val="none" w:sz="0" w:space="0" w:color="auto"/>
        <w:left w:val="none" w:sz="0" w:space="0" w:color="auto"/>
        <w:bottom w:val="none" w:sz="0" w:space="0" w:color="auto"/>
        <w:right w:val="none" w:sz="0" w:space="0" w:color="auto"/>
      </w:divBdr>
    </w:div>
    <w:div w:id="1722901213">
      <w:bodyDiv w:val="1"/>
      <w:marLeft w:val="0"/>
      <w:marRight w:val="0"/>
      <w:marTop w:val="0"/>
      <w:marBottom w:val="0"/>
      <w:divBdr>
        <w:top w:val="none" w:sz="0" w:space="0" w:color="auto"/>
        <w:left w:val="none" w:sz="0" w:space="0" w:color="auto"/>
        <w:bottom w:val="none" w:sz="0" w:space="0" w:color="auto"/>
        <w:right w:val="none" w:sz="0" w:space="0" w:color="auto"/>
      </w:divBdr>
    </w:div>
    <w:div w:id="1722903428">
      <w:bodyDiv w:val="1"/>
      <w:marLeft w:val="0"/>
      <w:marRight w:val="0"/>
      <w:marTop w:val="0"/>
      <w:marBottom w:val="0"/>
      <w:divBdr>
        <w:top w:val="none" w:sz="0" w:space="0" w:color="auto"/>
        <w:left w:val="none" w:sz="0" w:space="0" w:color="auto"/>
        <w:bottom w:val="none" w:sz="0" w:space="0" w:color="auto"/>
        <w:right w:val="none" w:sz="0" w:space="0" w:color="auto"/>
      </w:divBdr>
    </w:div>
    <w:div w:id="1722946971">
      <w:bodyDiv w:val="1"/>
      <w:marLeft w:val="0"/>
      <w:marRight w:val="0"/>
      <w:marTop w:val="0"/>
      <w:marBottom w:val="0"/>
      <w:divBdr>
        <w:top w:val="none" w:sz="0" w:space="0" w:color="auto"/>
        <w:left w:val="none" w:sz="0" w:space="0" w:color="auto"/>
        <w:bottom w:val="none" w:sz="0" w:space="0" w:color="auto"/>
        <w:right w:val="none" w:sz="0" w:space="0" w:color="auto"/>
      </w:divBdr>
    </w:div>
    <w:div w:id="1722948032">
      <w:bodyDiv w:val="1"/>
      <w:marLeft w:val="0"/>
      <w:marRight w:val="0"/>
      <w:marTop w:val="0"/>
      <w:marBottom w:val="0"/>
      <w:divBdr>
        <w:top w:val="none" w:sz="0" w:space="0" w:color="auto"/>
        <w:left w:val="none" w:sz="0" w:space="0" w:color="auto"/>
        <w:bottom w:val="none" w:sz="0" w:space="0" w:color="auto"/>
        <w:right w:val="none" w:sz="0" w:space="0" w:color="auto"/>
      </w:divBdr>
    </w:div>
    <w:div w:id="1723014168">
      <w:bodyDiv w:val="1"/>
      <w:marLeft w:val="0"/>
      <w:marRight w:val="0"/>
      <w:marTop w:val="0"/>
      <w:marBottom w:val="0"/>
      <w:divBdr>
        <w:top w:val="none" w:sz="0" w:space="0" w:color="auto"/>
        <w:left w:val="none" w:sz="0" w:space="0" w:color="auto"/>
        <w:bottom w:val="none" w:sz="0" w:space="0" w:color="auto"/>
        <w:right w:val="none" w:sz="0" w:space="0" w:color="auto"/>
      </w:divBdr>
    </w:div>
    <w:div w:id="1723015791">
      <w:bodyDiv w:val="1"/>
      <w:marLeft w:val="0"/>
      <w:marRight w:val="0"/>
      <w:marTop w:val="0"/>
      <w:marBottom w:val="0"/>
      <w:divBdr>
        <w:top w:val="none" w:sz="0" w:space="0" w:color="auto"/>
        <w:left w:val="none" w:sz="0" w:space="0" w:color="auto"/>
        <w:bottom w:val="none" w:sz="0" w:space="0" w:color="auto"/>
        <w:right w:val="none" w:sz="0" w:space="0" w:color="auto"/>
      </w:divBdr>
    </w:div>
    <w:div w:id="1723284517">
      <w:bodyDiv w:val="1"/>
      <w:marLeft w:val="0"/>
      <w:marRight w:val="0"/>
      <w:marTop w:val="0"/>
      <w:marBottom w:val="0"/>
      <w:divBdr>
        <w:top w:val="none" w:sz="0" w:space="0" w:color="auto"/>
        <w:left w:val="none" w:sz="0" w:space="0" w:color="auto"/>
        <w:bottom w:val="none" w:sz="0" w:space="0" w:color="auto"/>
        <w:right w:val="none" w:sz="0" w:space="0" w:color="auto"/>
      </w:divBdr>
    </w:div>
    <w:div w:id="1723364880">
      <w:bodyDiv w:val="1"/>
      <w:marLeft w:val="0"/>
      <w:marRight w:val="0"/>
      <w:marTop w:val="0"/>
      <w:marBottom w:val="0"/>
      <w:divBdr>
        <w:top w:val="none" w:sz="0" w:space="0" w:color="auto"/>
        <w:left w:val="none" w:sz="0" w:space="0" w:color="auto"/>
        <w:bottom w:val="none" w:sz="0" w:space="0" w:color="auto"/>
        <w:right w:val="none" w:sz="0" w:space="0" w:color="auto"/>
      </w:divBdr>
    </w:div>
    <w:div w:id="1723404600">
      <w:bodyDiv w:val="1"/>
      <w:marLeft w:val="0"/>
      <w:marRight w:val="0"/>
      <w:marTop w:val="0"/>
      <w:marBottom w:val="0"/>
      <w:divBdr>
        <w:top w:val="none" w:sz="0" w:space="0" w:color="auto"/>
        <w:left w:val="none" w:sz="0" w:space="0" w:color="auto"/>
        <w:bottom w:val="none" w:sz="0" w:space="0" w:color="auto"/>
        <w:right w:val="none" w:sz="0" w:space="0" w:color="auto"/>
      </w:divBdr>
    </w:div>
    <w:div w:id="1723405013">
      <w:bodyDiv w:val="1"/>
      <w:marLeft w:val="0"/>
      <w:marRight w:val="0"/>
      <w:marTop w:val="0"/>
      <w:marBottom w:val="0"/>
      <w:divBdr>
        <w:top w:val="none" w:sz="0" w:space="0" w:color="auto"/>
        <w:left w:val="none" w:sz="0" w:space="0" w:color="auto"/>
        <w:bottom w:val="none" w:sz="0" w:space="0" w:color="auto"/>
        <w:right w:val="none" w:sz="0" w:space="0" w:color="auto"/>
      </w:divBdr>
    </w:div>
    <w:div w:id="1723485572">
      <w:bodyDiv w:val="1"/>
      <w:marLeft w:val="0"/>
      <w:marRight w:val="0"/>
      <w:marTop w:val="0"/>
      <w:marBottom w:val="0"/>
      <w:divBdr>
        <w:top w:val="none" w:sz="0" w:space="0" w:color="auto"/>
        <w:left w:val="none" w:sz="0" w:space="0" w:color="auto"/>
        <w:bottom w:val="none" w:sz="0" w:space="0" w:color="auto"/>
        <w:right w:val="none" w:sz="0" w:space="0" w:color="auto"/>
      </w:divBdr>
    </w:div>
    <w:div w:id="1723673084">
      <w:bodyDiv w:val="1"/>
      <w:marLeft w:val="0"/>
      <w:marRight w:val="0"/>
      <w:marTop w:val="0"/>
      <w:marBottom w:val="0"/>
      <w:divBdr>
        <w:top w:val="none" w:sz="0" w:space="0" w:color="auto"/>
        <w:left w:val="none" w:sz="0" w:space="0" w:color="auto"/>
        <w:bottom w:val="none" w:sz="0" w:space="0" w:color="auto"/>
        <w:right w:val="none" w:sz="0" w:space="0" w:color="auto"/>
      </w:divBdr>
    </w:div>
    <w:div w:id="1723673997">
      <w:bodyDiv w:val="1"/>
      <w:marLeft w:val="0"/>
      <w:marRight w:val="0"/>
      <w:marTop w:val="0"/>
      <w:marBottom w:val="0"/>
      <w:divBdr>
        <w:top w:val="none" w:sz="0" w:space="0" w:color="auto"/>
        <w:left w:val="none" w:sz="0" w:space="0" w:color="auto"/>
        <w:bottom w:val="none" w:sz="0" w:space="0" w:color="auto"/>
        <w:right w:val="none" w:sz="0" w:space="0" w:color="auto"/>
      </w:divBdr>
    </w:div>
    <w:div w:id="1723677245">
      <w:bodyDiv w:val="1"/>
      <w:marLeft w:val="0"/>
      <w:marRight w:val="0"/>
      <w:marTop w:val="0"/>
      <w:marBottom w:val="0"/>
      <w:divBdr>
        <w:top w:val="none" w:sz="0" w:space="0" w:color="auto"/>
        <w:left w:val="none" w:sz="0" w:space="0" w:color="auto"/>
        <w:bottom w:val="none" w:sz="0" w:space="0" w:color="auto"/>
        <w:right w:val="none" w:sz="0" w:space="0" w:color="auto"/>
      </w:divBdr>
    </w:div>
    <w:div w:id="1723823396">
      <w:bodyDiv w:val="1"/>
      <w:marLeft w:val="0"/>
      <w:marRight w:val="0"/>
      <w:marTop w:val="0"/>
      <w:marBottom w:val="0"/>
      <w:divBdr>
        <w:top w:val="none" w:sz="0" w:space="0" w:color="auto"/>
        <w:left w:val="none" w:sz="0" w:space="0" w:color="auto"/>
        <w:bottom w:val="none" w:sz="0" w:space="0" w:color="auto"/>
        <w:right w:val="none" w:sz="0" w:space="0" w:color="auto"/>
      </w:divBdr>
    </w:div>
    <w:div w:id="1723867600">
      <w:bodyDiv w:val="1"/>
      <w:marLeft w:val="0"/>
      <w:marRight w:val="0"/>
      <w:marTop w:val="0"/>
      <w:marBottom w:val="0"/>
      <w:divBdr>
        <w:top w:val="none" w:sz="0" w:space="0" w:color="auto"/>
        <w:left w:val="none" w:sz="0" w:space="0" w:color="auto"/>
        <w:bottom w:val="none" w:sz="0" w:space="0" w:color="auto"/>
        <w:right w:val="none" w:sz="0" w:space="0" w:color="auto"/>
      </w:divBdr>
    </w:div>
    <w:div w:id="1723947505">
      <w:bodyDiv w:val="1"/>
      <w:marLeft w:val="0"/>
      <w:marRight w:val="0"/>
      <w:marTop w:val="0"/>
      <w:marBottom w:val="0"/>
      <w:divBdr>
        <w:top w:val="none" w:sz="0" w:space="0" w:color="auto"/>
        <w:left w:val="none" w:sz="0" w:space="0" w:color="auto"/>
        <w:bottom w:val="none" w:sz="0" w:space="0" w:color="auto"/>
        <w:right w:val="none" w:sz="0" w:space="0" w:color="auto"/>
      </w:divBdr>
    </w:div>
    <w:div w:id="1724016641">
      <w:bodyDiv w:val="1"/>
      <w:marLeft w:val="0"/>
      <w:marRight w:val="0"/>
      <w:marTop w:val="0"/>
      <w:marBottom w:val="0"/>
      <w:divBdr>
        <w:top w:val="none" w:sz="0" w:space="0" w:color="auto"/>
        <w:left w:val="none" w:sz="0" w:space="0" w:color="auto"/>
        <w:bottom w:val="none" w:sz="0" w:space="0" w:color="auto"/>
        <w:right w:val="none" w:sz="0" w:space="0" w:color="auto"/>
      </w:divBdr>
    </w:div>
    <w:div w:id="1724021702">
      <w:bodyDiv w:val="1"/>
      <w:marLeft w:val="0"/>
      <w:marRight w:val="0"/>
      <w:marTop w:val="0"/>
      <w:marBottom w:val="0"/>
      <w:divBdr>
        <w:top w:val="none" w:sz="0" w:space="0" w:color="auto"/>
        <w:left w:val="none" w:sz="0" w:space="0" w:color="auto"/>
        <w:bottom w:val="none" w:sz="0" w:space="0" w:color="auto"/>
        <w:right w:val="none" w:sz="0" w:space="0" w:color="auto"/>
      </w:divBdr>
    </w:div>
    <w:div w:id="1724064667">
      <w:bodyDiv w:val="1"/>
      <w:marLeft w:val="0"/>
      <w:marRight w:val="0"/>
      <w:marTop w:val="0"/>
      <w:marBottom w:val="0"/>
      <w:divBdr>
        <w:top w:val="none" w:sz="0" w:space="0" w:color="auto"/>
        <w:left w:val="none" w:sz="0" w:space="0" w:color="auto"/>
        <w:bottom w:val="none" w:sz="0" w:space="0" w:color="auto"/>
        <w:right w:val="none" w:sz="0" w:space="0" w:color="auto"/>
      </w:divBdr>
    </w:div>
    <w:div w:id="1724253913">
      <w:bodyDiv w:val="1"/>
      <w:marLeft w:val="0"/>
      <w:marRight w:val="0"/>
      <w:marTop w:val="0"/>
      <w:marBottom w:val="0"/>
      <w:divBdr>
        <w:top w:val="none" w:sz="0" w:space="0" w:color="auto"/>
        <w:left w:val="none" w:sz="0" w:space="0" w:color="auto"/>
        <w:bottom w:val="none" w:sz="0" w:space="0" w:color="auto"/>
        <w:right w:val="none" w:sz="0" w:space="0" w:color="auto"/>
      </w:divBdr>
    </w:div>
    <w:div w:id="1724254394">
      <w:bodyDiv w:val="1"/>
      <w:marLeft w:val="0"/>
      <w:marRight w:val="0"/>
      <w:marTop w:val="0"/>
      <w:marBottom w:val="0"/>
      <w:divBdr>
        <w:top w:val="none" w:sz="0" w:space="0" w:color="auto"/>
        <w:left w:val="none" w:sz="0" w:space="0" w:color="auto"/>
        <w:bottom w:val="none" w:sz="0" w:space="0" w:color="auto"/>
        <w:right w:val="none" w:sz="0" w:space="0" w:color="auto"/>
      </w:divBdr>
    </w:div>
    <w:div w:id="1724255147">
      <w:bodyDiv w:val="1"/>
      <w:marLeft w:val="0"/>
      <w:marRight w:val="0"/>
      <w:marTop w:val="0"/>
      <w:marBottom w:val="0"/>
      <w:divBdr>
        <w:top w:val="none" w:sz="0" w:space="0" w:color="auto"/>
        <w:left w:val="none" w:sz="0" w:space="0" w:color="auto"/>
        <w:bottom w:val="none" w:sz="0" w:space="0" w:color="auto"/>
        <w:right w:val="none" w:sz="0" w:space="0" w:color="auto"/>
      </w:divBdr>
    </w:div>
    <w:div w:id="1724402095">
      <w:bodyDiv w:val="1"/>
      <w:marLeft w:val="0"/>
      <w:marRight w:val="0"/>
      <w:marTop w:val="0"/>
      <w:marBottom w:val="0"/>
      <w:divBdr>
        <w:top w:val="none" w:sz="0" w:space="0" w:color="auto"/>
        <w:left w:val="none" w:sz="0" w:space="0" w:color="auto"/>
        <w:bottom w:val="none" w:sz="0" w:space="0" w:color="auto"/>
        <w:right w:val="none" w:sz="0" w:space="0" w:color="auto"/>
      </w:divBdr>
    </w:div>
    <w:div w:id="1724525672">
      <w:bodyDiv w:val="1"/>
      <w:marLeft w:val="0"/>
      <w:marRight w:val="0"/>
      <w:marTop w:val="0"/>
      <w:marBottom w:val="0"/>
      <w:divBdr>
        <w:top w:val="none" w:sz="0" w:space="0" w:color="auto"/>
        <w:left w:val="none" w:sz="0" w:space="0" w:color="auto"/>
        <w:bottom w:val="none" w:sz="0" w:space="0" w:color="auto"/>
        <w:right w:val="none" w:sz="0" w:space="0" w:color="auto"/>
      </w:divBdr>
    </w:div>
    <w:div w:id="1724527405">
      <w:bodyDiv w:val="1"/>
      <w:marLeft w:val="0"/>
      <w:marRight w:val="0"/>
      <w:marTop w:val="0"/>
      <w:marBottom w:val="0"/>
      <w:divBdr>
        <w:top w:val="none" w:sz="0" w:space="0" w:color="auto"/>
        <w:left w:val="none" w:sz="0" w:space="0" w:color="auto"/>
        <w:bottom w:val="none" w:sz="0" w:space="0" w:color="auto"/>
        <w:right w:val="none" w:sz="0" w:space="0" w:color="auto"/>
      </w:divBdr>
    </w:div>
    <w:div w:id="1724527437">
      <w:bodyDiv w:val="1"/>
      <w:marLeft w:val="0"/>
      <w:marRight w:val="0"/>
      <w:marTop w:val="0"/>
      <w:marBottom w:val="0"/>
      <w:divBdr>
        <w:top w:val="none" w:sz="0" w:space="0" w:color="auto"/>
        <w:left w:val="none" w:sz="0" w:space="0" w:color="auto"/>
        <w:bottom w:val="none" w:sz="0" w:space="0" w:color="auto"/>
        <w:right w:val="none" w:sz="0" w:space="0" w:color="auto"/>
      </w:divBdr>
    </w:div>
    <w:div w:id="1724675299">
      <w:bodyDiv w:val="1"/>
      <w:marLeft w:val="0"/>
      <w:marRight w:val="0"/>
      <w:marTop w:val="0"/>
      <w:marBottom w:val="0"/>
      <w:divBdr>
        <w:top w:val="none" w:sz="0" w:space="0" w:color="auto"/>
        <w:left w:val="none" w:sz="0" w:space="0" w:color="auto"/>
        <w:bottom w:val="none" w:sz="0" w:space="0" w:color="auto"/>
        <w:right w:val="none" w:sz="0" w:space="0" w:color="auto"/>
      </w:divBdr>
    </w:div>
    <w:div w:id="1724789912">
      <w:bodyDiv w:val="1"/>
      <w:marLeft w:val="0"/>
      <w:marRight w:val="0"/>
      <w:marTop w:val="0"/>
      <w:marBottom w:val="0"/>
      <w:divBdr>
        <w:top w:val="none" w:sz="0" w:space="0" w:color="auto"/>
        <w:left w:val="none" w:sz="0" w:space="0" w:color="auto"/>
        <w:bottom w:val="none" w:sz="0" w:space="0" w:color="auto"/>
        <w:right w:val="none" w:sz="0" w:space="0" w:color="auto"/>
      </w:divBdr>
    </w:div>
    <w:div w:id="1724791784">
      <w:bodyDiv w:val="1"/>
      <w:marLeft w:val="0"/>
      <w:marRight w:val="0"/>
      <w:marTop w:val="0"/>
      <w:marBottom w:val="0"/>
      <w:divBdr>
        <w:top w:val="none" w:sz="0" w:space="0" w:color="auto"/>
        <w:left w:val="none" w:sz="0" w:space="0" w:color="auto"/>
        <w:bottom w:val="none" w:sz="0" w:space="0" w:color="auto"/>
        <w:right w:val="none" w:sz="0" w:space="0" w:color="auto"/>
      </w:divBdr>
    </w:div>
    <w:div w:id="1724863010">
      <w:bodyDiv w:val="1"/>
      <w:marLeft w:val="0"/>
      <w:marRight w:val="0"/>
      <w:marTop w:val="0"/>
      <w:marBottom w:val="0"/>
      <w:divBdr>
        <w:top w:val="none" w:sz="0" w:space="0" w:color="auto"/>
        <w:left w:val="none" w:sz="0" w:space="0" w:color="auto"/>
        <w:bottom w:val="none" w:sz="0" w:space="0" w:color="auto"/>
        <w:right w:val="none" w:sz="0" w:space="0" w:color="auto"/>
      </w:divBdr>
    </w:div>
    <w:div w:id="1724865919">
      <w:bodyDiv w:val="1"/>
      <w:marLeft w:val="0"/>
      <w:marRight w:val="0"/>
      <w:marTop w:val="0"/>
      <w:marBottom w:val="0"/>
      <w:divBdr>
        <w:top w:val="none" w:sz="0" w:space="0" w:color="auto"/>
        <w:left w:val="none" w:sz="0" w:space="0" w:color="auto"/>
        <w:bottom w:val="none" w:sz="0" w:space="0" w:color="auto"/>
        <w:right w:val="none" w:sz="0" w:space="0" w:color="auto"/>
      </w:divBdr>
    </w:div>
    <w:div w:id="1724868258">
      <w:bodyDiv w:val="1"/>
      <w:marLeft w:val="0"/>
      <w:marRight w:val="0"/>
      <w:marTop w:val="0"/>
      <w:marBottom w:val="0"/>
      <w:divBdr>
        <w:top w:val="none" w:sz="0" w:space="0" w:color="auto"/>
        <w:left w:val="none" w:sz="0" w:space="0" w:color="auto"/>
        <w:bottom w:val="none" w:sz="0" w:space="0" w:color="auto"/>
        <w:right w:val="none" w:sz="0" w:space="0" w:color="auto"/>
      </w:divBdr>
    </w:div>
    <w:div w:id="1724869467">
      <w:bodyDiv w:val="1"/>
      <w:marLeft w:val="0"/>
      <w:marRight w:val="0"/>
      <w:marTop w:val="0"/>
      <w:marBottom w:val="0"/>
      <w:divBdr>
        <w:top w:val="none" w:sz="0" w:space="0" w:color="auto"/>
        <w:left w:val="none" w:sz="0" w:space="0" w:color="auto"/>
        <w:bottom w:val="none" w:sz="0" w:space="0" w:color="auto"/>
        <w:right w:val="none" w:sz="0" w:space="0" w:color="auto"/>
      </w:divBdr>
    </w:div>
    <w:div w:id="1724911867">
      <w:bodyDiv w:val="1"/>
      <w:marLeft w:val="0"/>
      <w:marRight w:val="0"/>
      <w:marTop w:val="0"/>
      <w:marBottom w:val="0"/>
      <w:divBdr>
        <w:top w:val="none" w:sz="0" w:space="0" w:color="auto"/>
        <w:left w:val="none" w:sz="0" w:space="0" w:color="auto"/>
        <w:bottom w:val="none" w:sz="0" w:space="0" w:color="auto"/>
        <w:right w:val="none" w:sz="0" w:space="0" w:color="auto"/>
      </w:divBdr>
    </w:div>
    <w:div w:id="1724982243">
      <w:bodyDiv w:val="1"/>
      <w:marLeft w:val="0"/>
      <w:marRight w:val="0"/>
      <w:marTop w:val="0"/>
      <w:marBottom w:val="0"/>
      <w:divBdr>
        <w:top w:val="none" w:sz="0" w:space="0" w:color="auto"/>
        <w:left w:val="none" w:sz="0" w:space="0" w:color="auto"/>
        <w:bottom w:val="none" w:sz="0" w:space="0" w:color="auto"/>
        <w:right w:val="none" w:sz="0" w:space="0" w:color="auto"/>
      </w:divBdr>
    </w:div>
    <w:div w:id="1725248593">
      <w:bodyDiv w:val="1"/>
      <w:marLeft w:val="0"/>
      <w:marRight w:val="0"/>
      <w:marTop w:val="0"/>
      <w:marBottom w:val="0"/>
      <w:divBdr>
        <w:top w:val="none" w:sz="0" w:space="0" w:color="auto"/>
        <w:left w:val="none" w:sz="0" w:space="0" w:color="auto"/>
        <w:bottom w:val="none" w:sz="0" w:space="0" w:color="auto"/>
        <w:right w:val="none" w:sz="0" w:space="0" w:color="auto"/>
      </w:divBdr>
    </w:div>
    <w:div w:id="1725251160">
      <w:bodyDiv w:val="1"/>
      <w:marLeft w:val="0"/>
      <w:marRight w:val="0"/>
      <w:marTop w:val="0"/>
      <w:marBottom w:val="0"/>
      <w:divBdr>
        <w:top w:val="none" w:sz="0" w:space="0" w:color="auto"/>
        <w:left w:val="none" w:sz="0" w:space="0" w:color="auto"/>
        <w:bottom w:val="none" w:sz="0" w:space="0" w:color="auto"/>
        <w:right w:val="none" w:sz="0" w:space="0" w:color="auto"/>
      </w:divBdr>
    </w:div>
    <w:div w:id="1725254039">
      <w:bodyDiv w:val="1"/>
      <w:marLeft w:val="0"/>
      <w:marRight w:val="0"/>
      <w:marTop w:val="0"/>
      <w:marBottom w:val="0"/>
      <w:divBdr>
        <w:top w:val="none" w:sz="0" w:space="0" w:color="auto"/>
        <w:left w:val="none" w:sz="0" w:space="0" w:color="auto"/>
        <w:bottom w:val="none" w:sz="0" w:space="0" w:color="auto"/>
        <w:right w:val="none" w:sz="0" w:space="0" w:color="auto"/>
      </w:divBdr>
    </w:div>
    <w:div w:id="1725257841">
      <w:bodyDiv w:val="1"/>
      <w:marLeft w:val="0"/>
      <w:marRight w:val="0"/>
      <w:marTop w:val="0"/>
      <w:marBottom w:val="0"/>
      <w:divBdr>
        <w:top w:val="none" w:sz="0" w:space="0" w:color="auto"/>
        <w:left w:val="none" w:sz="0" w:space="0" w:color="auto"/>
        <w:bottom w:val="none" w:sz="0" w:space="0" w:color="auto"/>
        <w:right w:val="none" w:sz="0" w:space="0" w:color="auto"/>
      </w:divBdr>
    </w:div>
    <w:div w:id="1725518984">
      <w:bodyDiv w:val="1"/>
      <w:marLeft w:val="0"/>
      <w:marRight w:val="0"/>
      <w:marTop w:val="0"/>
      <w:marBottom w:val="0"/>
      <w:divBdr>
        <w:top w:val="none" w:sz="0" w:space="0" w:color="auto"/>
        <w:left w:val="none" w:sz="0" w:space="0" w:color="auto"/>
        <w:bottom w:val="none" w:sz="0" w:space="0" w:color="auto"/>
        <w:right w:val="none" w:sz="0" w:space="0" w:color="auto"/>
      </w:divBdr>
    </w:div>
    <w:div w:id="1725594438">
      <w:bodyDiv w:val="1"/>
      <w:marLeft w:val="0"/>
      <w:marRight w:val="0"/>
      <w:marTop w:val="0"/>
      <w:marBottom w:val="0"/>
      <w:divBdr>
        <w:top w:val="none" w:sz="0" w:space="0" w:color="auto"/>
        <w:left w:val="none" w:sz="0" w:space="0" w:color="auto"/>
        <w:bottom w:val="none" w:sz="0" w:space="0" w:color="auto"/>
        <w:right w:val="none" w:sz="0" w:space="0" w:color="auto"/>
      </w:divBdr>
    </w:div>
    <w:div w:id="1725636788">
      <w:bodyDiv w:val="1"/>
      <w:marLeft w:val="0"/>
      <w:marRight w:val="0"/>
      <w:marTop w:val="0"/>
      <w:marBottom w:val="0"/>
      <w:divBdr>
        <w:top w:val="none" w:sz="0" w:space="0" w:color="auto"/>
        <w:left w:val="none" w:sz="0" w:space="0" w:color="auto"/>
        <w:bottom w:val="none" w:sz="0" w:space="0" w:color="auto"/>
        <w:right w:val="none" w:sz="0" w:space="0" w:color="auto"/>
      </w:divBdr>
    </w:div>
    <w:div w:id="1725640561">
      <w:bodyDiv w:val="1"/>
      <w:marLeft w:val="0"/>
      <w:marRight w:val="0"/>
      <w:marTop w:val="0"/>
      <w:marBottom w:val="0"/>
      <w:divBdr>
        <w:top w:val="none" w:sz="0" w:space="0" w:color="auto"/>
        <w:left w:val="none" w:sz="0" w:space="0" w:color="auto"/>
        <w:bottom w:val="none" w:sz="0" w:space="0" w:color="auto"/>
        <w:right w:val="none" w:sz="0" w:space="0" w:color="auto"/>
      </w:divBdr>
    </w:div>
    <w:div w:id="1725713435">
      <w:bodyDiv w:val="1"/>
      <w:marLeft w:val="0"/>
      <w:marRight w:val="0"/>
      <w:marTop w:val="0"/>
      <w:marBottom w:val="0"/>
      <w:divBdr>
        <w:top w:val="none" w:sz="0" w:space="0" w:color="auto"/>
        <w:left w:val="none" w:sz="0" w:space="0" w:color="auto"/>
        <w:bottom w:val="none" w:sz="0" w:space="0" w:color="auto"/>
        <w:right w:val="none" w:sz="0" w:space="0" w:color="auto"/>
      </w:divBdr>
    </w:div>
    <w:div w:id="1725714020">
      <w:bodyDiv w:val="1"/>
      <w:marLeft w:val="0"/>
      <w:marRight w:val="0"/>
      <w:marTop w:val="0"/>
      <w:marBottom w:val="0"/>
      <w:divBdr>
        <w:top w:val="none" w:sz="0" w:space="0" w:color="auto"/>
        <w:left w:val="none" w:sz="0" w:space="0" w:color="auto"/>
        <w:bottom w:val="none" w:sz="0" w:space="0" w:color="auto"/>
        <w:right w:val="none" w:sz="0" w:space="0" w:color="auto"/>
      </w:divBdr>
    </w:div>
    <w:div w:id="1725831163">
      <w:bodyDiv w:val="1"/>
      <w:marLeft w:val="0"/>
      <w:marRight w:val="0"/>
      <w:marTop w:val="0"/>
      <w:marBottom w:val="0"/>
      <w:divBdr>
        <w:top w:val="none" w:sz="0" w:space="0" w:color="auto"/>
        <w:left w:val="none" w:sz="0" w:space="0" w:color="auto"/>
        <w:bottom w:val="none" w:sz="0" w:space="0" w:color="auto"/>
        <w:right w:val="none" w:sz="0" w:space="0" w:color="auto"/>
      </w:divBdr>
    </w:div>
    <w:div w:id="1725904218">
      <w:bodyDiv w:val="1"/>
      <w:marLeft w:val="0"/>
      <w:marRight w:val="0"/>
      <w:marTop w:val="0"/>
      <w:marBottom w:val="0"/>
      <w:divBdr>
        <w:top w:val="none" w:sz="0" w:space="0" w:color="auto"/>
        <w:left w:val="none" w:sz="0" w:space="0" w:color="auto"/>
        <w:bottom w:val="none" w:sz="0" w:space="0" w:color="auto"/>
        <w:right w:val="none" w:sz="0" w:space="0" w:color="auto"/>
      </w:divBdr>
    </w:div>
    <w:div w:id="1725912004">
      <w:bodyDiv w:val="1"/>
      <w:marLeft w:val="0"/>
      <w:marRight w:val="0"/>
      <w:marTop w:val="0"/>
      <w:marBottom w:val="0"/>
      <w:divBdr>
        <w:top w:val="none" w:sz="0" w:space="0" w:color="auto"/>
        <w:left w:val="none" w:sz="0" w:space="0" w:color="auto"/>
        <w:bottom w:val="none" w:sz="0" w:space="0" w:color="auto"/>
        <w:right w:val="none" w:sz="0" w:space="0" w:color="auto"/>
      </w:divBdr>
    </w:div>
    <w:div w:id="1725983004">
      <w:bodyDiv w:val="1"/>
      <w:marLeft w:val="0"/>
      <w:marRight w:val="0"/>
      <w:marTop w:val="0"/>
      <w:marBottom w:val="0"/>
      <w:divBdr>
        <w:top w:val="none" w:sz="0" w:space="0" w:color="auto"/>
        <w:left w:val="none" w:sz="0" w:space="0" w:color="auto"/>
        <w:bottom w:val="none" w:sz="0" w:space="0" w:color="auto"/>
        <w:right w:val="none" w:sz="0" w:space="0" w:color="auto"/>
      </w:divBdr>
    </w:div>
    <w:div w:id="1726097249">
      <w:bodyDiv w:val="1"/>
      <w:marLeft w:val="0"/>
      <w:marRight w:val="0"/>
      <w:marTop w:val="0"/>
      <w:marBottom w:val="0"/>
      <w:divBdr>
        <w:top w:val="none" w:sz="0" w:space="0" w:color="auto"/>
        <w:left w:val="none" w:sz="0" w:space="0" w:color="auto"/>
        <w:bottom w:val="none" w:sz="0" w:space="0" w:color="auto"/>
        <w:right w:val="none" w:sz="0" w:space="0" w:color="auto"/>
      </w:divBdr>
    </w:div>
    <w:div w:id="1726180149">
      <w:bodyDiv w:val="1"/>
      <w:marLeft w:val="0"/>
      <w:marRight w:val="0"/>
      <w:marTop w:val="0"/>
      <w:marBottom w:val="0"/>
      <w:divBdr>
        <w:top w:val="none" w:sz="0" w:space="0" w:color="auto"/>
        <w:left w:val="none" w:sz="0" w:space="0" w:color="auto"/>
        <w:bottom w:val="none" w:sz="0" w:space="0" w:color="auto"/>
        <w:right w:val="none" w:sz="0" w:space="0" w:color="auto"/>
      </w:divBdr>
    </w:div>
    <w:div w:id="1726291779">
      <w:bodyDiv w:val="1"/>
      <w:marLeft w:val="0"/>
      <w:marRight w:val="0"/>
      <w:marTop w:val="0"/>
      <w:marBottom w:val="0"/>
      <w:divBdr>
        <w:top w:val="none" w:sz="0" w:space="0" w:color="auto"/>
        <w:left w:val="none" w:sz="0" w:space="0" w:color="auto"/>
        <w:bottom w:val="none" w:sz="0" w:space="0" w:color="auto"/>
        <w:right w:val="none" w:sz="0" w:space="0" w:color="auto"/>
      </w:divBdr>
    </w:div>
    <w:div w:id="1726442773">
      <w:bodyDiv w:val="1"/>
      <w:marLeft w:val="0"/>
      <w:marRight w:val="0"/>
      <w:marTop w:val="0"/>
      <w:marBottom w:val="0"/>
      <w:divBdr>
        <w:top w:val="none" w:sz="0" w:space="0" w:color="auto"/>
        <w:left w:val="none" w:sz="0" w:space="0" w:color="auto"/>
        <w:bottom w:val="none" w:sz="0" w:space="0" w:color="auto"/>
        <w:right w:val="none" w:sz="0" w:space="0" w:color="auto"/>
      </w:divBdr>
    </w:div>
    <w:div w:id="1726635615">
      <w:bodyDiv w:val="1"/>
      <w:marLeft w:val="0"/>
      <w:marRight w:val="0"/>
      <w:marTop w:val="0"/>
      <w:marBottom w:val="0"/>
      <w:divBdr>
        <w:top w:val="none" w:sz="0" w:space="0" w:color="auto"/>
        <w:left w:val="none" w:sz="0" w:space="0" w:color="auto"/>
        <w:bottom w:val="none" w:sz="0" w:space="0" w:color="auto"/>
        <w:right w:val="none" w:sz="0" w:space="0" w:color="auto"/>
      </w:divBdr>
    </w:div>
    <w:div w:id="1726677802">
      <w:bodyDiv w:val="1"/>
      <w:marLeft w:val="0"/>
      <w:marRight w:val="0"/>
      <w:marTop w:val="0"/>
      <w:marBottom w:val="0"/>
      <w:divBdr>
        <w:top w:val="none" w:sz="0" w:space="0" w:color="auto"/>
        <w:left w:val="none" w:sz="0" w:space="0" w:color="auto"/>
        <w:bottom w:val="none" w:sz="0" w:space="0" w:color="auto"/>
        <w:right w:val="none" w:sz="0" w:space="0" w:color="auto"/>
      </w:divBdr>
    </w:div>
    <w:div w:id="1726759452">
      <w:bodyDiv w:val="1"/>
      <w:marLeft w:val="0"/>
      <w:marRight w:val="0"/>
      <w:marTop w:val="0"/>
      <w:marBottom w:val="0"/>
      <w:divBdr>
        <w:top w:val="none" w:sz="0" w:space="0" w:color="auto"/>
        <w:left w:val="none" w:sz="0" w:space="0" w:color="auto"/>
        <w:bottom w:val="none" w:sz="0" w:space="0" w:color="auto"/>
        <w:right w:val="none" w:sz="0" w:space="0" w:color="auto"/>
      </w:divBdr>
    </w:div>
    <w:div w:id="1726874353">
      <w:bodyDiv w:val="1"/>
      <w:marLeft w:val="0"/>
      <w:marRight w:val="0"/>
      <w:marTop w:val="0"/>
      <w:marBottom w:val="0"/>
      <w:divBdr>
        <w:top w:val="none" w:sz="0" w:space="0" w:color="auto"/>
        <w:left w:val="none" w:sz="0" w:space="0" w:color="auto"/>
        <w:bottom w:val="none" w:sz="0" w:space="0" w:color="auto"/>
        <w:right w:val="none" w:sz="0" w:space="0" w:color="auto"/>
      </w:divBdr>
    </w:div>
    <w:div w:id="1726875118">
      <w:bodyDiv w:val="1"/>
      <w:marLeft w:val="0"/>
      <w:marRight w:val="0"/>
      <w:marTop w:val="0"/>
      <w:marBottom w:val="0"/>
      <w:divBdr>
        <w:top w:val="none" w:sz="0" w:space="0" w:color="auto"/>
        <w:left w:val="none" w:sz="0" w:space="0" w:color="auto"/>
        <w:bottom w:val="none" w:sz="0" w:space="0" w:color="auto"/>
        <w:right w:val="none" w:sz="0" w:space="0" w:color="auto"/>
      </w:divBdr>
    </w:div>
    <w:div w:id="1727101373">
      <w:bodyDiv w:val="1"/>
      <w:marLeft w:val="0"/>
      <w:marRight w:val="0"/>
      <w:marTop w:val="0"/>
      <w:marBottom w:val="0"/>
      <w:divBdr>
        <w:top w:val="none" w:sz="0" w:space="0" w:color="auto"/>
        <w:left w:val="none" w:sz="0" w:space="0" w:color="auto"/>
        <w:bottom w:val="none" w:sz="0" w:space="0" w:color="auto"/>
        <w:right w:val="none" w:sz="0" w:space="0" w:color="auto"/>
      </w:divBdr>
    </w:div>
    <w:div w:id="1727102173">
      <w:bodyDiv w:val="1"/>
      <w:marLeft w:val="0"/>
      <w:marRight w:val="0"/>
      <w:marTop w:val="0"/>
      <w:marBottom w:val="0"/>
      <w:divBdr>
        <w:top w:val="none" w:sz="0" w:space="0" w:color="auto"/>
        <w:left w:val="none" w:sz="0" w:space="0" w:color="auto"/>
        <w:bottom w:val="none" w:sz="0" w:space="0" w:color="auto"/>
        <w:right w:val="none" w:sz="0" w:space="0" w:color="auto"/>
      </w:divBdr>
    </w:div>
    <w:div w:id="1727141541">
      <w:bodyDiv w:val="1"/>
      <w:marLeft w:val="0"/>
      <w:marRight w:val="0"/>
      <w:marTop w:val="0"/>
      <w:marBottom w:val="0"/>
      <w:divBdr>
        <w:top w:val="none" w:sz="0" w:space="0" w:color="auto"/>
        <w:left w:val="none" w:sz="0" w:space="0" w:color="auto"/>
        <w:bottom w:val="none" w:sz="0" w:space="0" w:color="auto"/>
        <w:right w:val="none" w:sz="0" w:space="0" w:color="auto"/>
      </w:divBdr>
    </w:div>
    <w:div w:id="1727143287">
      <w:bodyDiv w:val="1"/>
      <w:marLeft w:val="0"/>
      <w:marRight w:val="0"/>
      <w:marTop w:val="0"/>
      <w:marBottom w:val="0"/>
      <w:divBdr>
        <w:top w:val="none" w:sz="0" w:space="0" w:color="auto"/>
        <w:left w:val="none" w:sz="0" w:space="0" w:color="auto"/>
        <w:bottom w:val="none" w:sz="0" w:space="0" w:color="auto"/>
        <w:right w:val="none" w:sz="0" w:space="0" w:color="auto"/>
      </w:divBdr>
    </w:div>
    <w:div w:id="1727144028">
      <w:bodyDiv w:val="1"/>
      <w:marLeft w:val="0"/>
      <w:marRight w:val="0"/>
      <w:marTop w:val="0"/>
      <w:marBottom w:val="0"/>
      <w:divBdr>
        <w:top w:val="none" w:sz="0" w:space="0" w:color="auto"/>
        <w:left w:val="none" w:sz="0" w:space="0" w:color="auto"/>
        <w:bottom w:val="none" w:sz="0" w:space="0" w:color="auto"/>
        <w:right w:val="none" w:sz="0" w:space="0" w:color="auto"/>
      </w:divBdr>
    </w:div>
    <w:div w:id="1727146254">
      <w:bodyDiv w:val="1"/>
      <w:marLeft w:val="0"/>
      <w:marRight w:val="0"/>
      <w:marTop w:val="0"/>
      <w:marBottom w:val="0"/>
      <w:divBdr>
        <w:top w:val="none" w:sz="0" w:space="0" w:color="auto"/>
        <w:left w:val="none" w:sz="0" w:space="0" w:color="auto"/>
        <w:bottom w:val="none" w:sz="0" w:space="0" w:color="auto"/>
        <w:right w:val="none" w:sz="0" w:space="0" w:color="auto"/>
      </w:divBdr>
    </w:div>
    <w:div w:id="1727334180">
      <w:bodyDiv w:val="1"/>
      <w:marLeft w:val="0"/>
      <w:marRight w:val="0"/>
      <w:marTop w:val="0"/>
      <w:marBottom w:val="0"/>
      <w:divBdr>
        <w:top w:val="none" w:sz="0" w:space="0" w:color="auto"/>
        <w:left w:val="none" w:sz="0" w:space="0" w:color="auto"/>
        <w:bottom w:val="none" w:sz="0" w:space="0" w:color="auto"/>
        <w:right w:val="none" w:sz="0" w:space="0" w:color="auto"/>
      </w:divBdr>
    </w:div>
    <w:div w:id="1727414155">
      <w:bodyDiv w:val="1"/>
      <w:marLeft w:val="0"/>
      <w:marRight w:val="0"/>
      <w:marTop w:val="0"/>
      <w:marBottom w:val="0"/>
      <w:divBdr>
        <w:top w:val="none" w:sz="0" w:space="0" w:color="auto"/>
        <w:left w:val="none" w:sz="0" w:space="0" w:color="auto"/>
        <w:bottom w:val="none" w:sz="0" w:space="0" w:color="auto"/>
        <w:right w:val="none" w:sz="0" w:space="0" w:color="auto"/>
      </w:divBdr>
    </w:div>
    <w:div w:id="1727489805">
      <w:bodyDiv w:val="1"/>
      <w:marLeft w:val="0"/>
      <w:marRight w:val="0"/>
      <w:marTop w:val="0"/>
      <w:marBottom w:val="0"/>
      <w:divBdr>
        <w:top w:val="none" w:sz="0" w:space="0" w:color="auto"/>
        <w:left w:val="none" w:sz="0" w:space="0" w:color="auto"/>
        <w:bottom w:val="none" w:sz="0" w:space="0" w:color="auto"/>
        <w:right w:val="none" w:sz="0" w:space="0" w:color="auto"/>
      </w:divBdr>
    </w:div>
    <w:div w:id="1727491050">
      <w:bodyDiv w:val="1"/>
      <w:marLeft w:val="0"/>
      <w:marRight w:val="0"/>
      <w:marTop w:val="0"/>
      <w:marBottom w:val="0"/>
      <w:divBdr>
        <w:top w:val="none" w:sz="0" w:space="0" w:color="auto"/>
        <w:left w:val="none" w:sz="0" w:space="0" w:color="auto"/>
        <w:bottom w:val="none" w:sz="0" w:space="0" w:color="auto"/>
        <w:right w:val="none" w:sz="0" w:space="0" w:color="auto"/>
      </w:divBdr>
    </w:div>
    <w:div w:id="1727607407">
      <w:bodyDiv w:val="1"/>
      <w:marLeft w:val="0"/>
      <w:marRight w:val="0"/>
      <w:marTop w:val="0"/>
      <w:marBottom w:val="0"/>
      <w:divBdr>
        <w:top w:val="none" w:sz="0" w:space="0" w:color="auto"/>
        <w:left w:val="none" w:sz="0" w:space="0" w:color="auto"/>
        <w:bottom w:val="none" w:sz="0" w:space="0" w:color="auto"/>
        <w:right w:val="none" w:sz="0" w:space="0" w:color="auto"/>
      </w:divBdr>
    </w:div>
    <w:div w:id="1727608612">
      <w:bodyDiv w:val="1"/>
      <w:marLeft w:val="0"/>
      <w:marRight w:val="0"/>
      <w:marTop w:val="0"/>
      <w:marBottom w:val="0"/>
      <w:divBdr>
        <w:top w:val="none" w:sz="0" w:space="0" w:color="auto"/>
        <w:left w:val="none" w:sz="0" w:space="0" w:color="auto"/>
        <w:bottom w:val="none" w:sz="0" w:space="0" w:color="auto"/>
        <w:right w:val="none" w:sz="0" w:space="0" w:color="auto"/>
      </w:divBdr>
    </w:div>
    <w:div w:id="1727680892">
      <w:bodyDiv w:val="1"/>
      <w:marLeft w:val="0"/>
      <w:marRight w:val="0"/>
      <w:marTop w:val="0"/>
      <w:marBottom w:val="0"/>
      <w:divBdr>
        <w:top w:val="none" w:sz="0" w:space="0" w:color="auto"/>
        <w:left w:val="none" w:sz="0" w:space="0" w:color="auto"/>
        <w:bottom w:val="none" w:sz="0" w:space="0" w:color="auto"/>
        <w:right w:val="none" w:sz="0" w:space="0" w:color="auto"/>
      </w:divBdr>
    </w:div>
    <w:div w:id="1727794433">
      <w:bodyDiv w:val="1"/>
      <w:marLeft w:val="0"/>
      <w:marRight w:val="0"/>
      <w:marTop w:val="0"/>
      <w:marBottom w:val="0"/>
      <w:divBdr>
        <w:top w:val="none" w:sz="0" w:space="0" w:color="auto"/>
        <w:left w:val="none" w:sz="0" w:space="0" w:color="auto"/>
        <w:bottom w:val="none" w:sz="0" w:space="0" w:color="auto"/>
        <w:right w:val="none" w:sz="0" w:space="0" w:color="auto"/>
      </w:divBdr>
    </w:div>
    <w:div w:id="1727799461">
      <w:bodyDiv w:val="1"/>
      <w:marLeft w:val="0"/>
      <w:marRight w:val="0"/>
      <w:marTop w:val="0"/>
      <w:marBottom w:val="0"/>
      <w:divBdr>
        <w:top w:val="none" w:sz="0" w:space="0" w:color="auto"/>
        <w:left w:val="none" w:sz="0" w:space="0" w:color="auto"/>
        <w:bottom w:val="none" w:sz="0" w:space="0" w:color="auto"/>
        <w:right w:val="none" w:sz="0" w:space="0" w:color="auto"/>
      </w:divBdr>
    </w:div>
    <w:div w:id="1727801545">
      <w:bodyDiv w:val="1"/>
      <w:marLeft w:val="0"/>
      <w:marRight w:val="0"/>
      <w:marTop w:val="0"/>
      <w:marBottom w:val="0"/>
      <w:divBdr>
        <w:top w:val="none" w:sz="0" w:space="0" w:color="auto"/>
        <w:left w:val="none" w:sz="0" w:space="0" w:color="auto"/>
        <w:bottom w:val="none" w:sz="0" w:space="0" w:color="auto"/>
        <w:right w:val="none" w:sz="0" w:space="0" w:color="auto"/>
      </w:divBdr>
    </w:div>
    <w:div w:id="1727875101">
      <w:bodyDiv w:val="1"/>
      <w:marLeft w:val="0"/>
      <w:marRight w:val="0"/>
      <w:marTop w:val="0"/>
      <w:marBottom w:val="0"/>
      <w:divBdr>
        <w:top w:val="none" w:sz="0" w:space="0" w:color="auto"/>
        <w:left w:val="none" w:sz="0" w:space="0" w:color="auto"/>
        <w:bottom w:val="none" w:sz="0" w:space="0" w:color="auto"/>
        <w:right w:val="none" w:sz="0" w:space="0" w:color="auto"/>
      </w:divBdr>
    </w:div>
    <w:div w:id="1727947609">
      <w:bodyDiv w:val="1"/>
      <w:marLeft w:val="0"/>
      <w:marRight w:val="0"/>
      <w:marTop w:val="0"/>
      <w:marBottom w:val="0"/>
      <w:divBdr>
        <w:top w:val="none" w:sz="0" w:space="0" w:color="auto"/>
        <w:left w:val="none" w:sz="0" w:space="0" w:color="auto"/>
        <w:bottom w:val="none" w:sz="0" w:space="0" w:color="auto"/>
        <w:right w:val="none" w:sz="0" w:space="0" w:color="auto"/>
      </w:divBdr>
    </w:div>
    <w:div w:id="1727989868">
      <w:bodyDiv w:val="1"/>
      <w:marLeft w:val="0"/>
      <w:marRight w:val="0"/>
      <w:marTop w:val="0"/>
      <w:marBottom w:val="0"/>
      <w:divBdr>
        <w:top w:val="none" w:sz="0" w:space="0" w:color="auto"/>
        <w:left w:val="none" w:sz="0" w:space="0" w:color="auto"/>
        <w:bottom w:val="none" w:sz="0" w:space="0" w:color="auto"/>
        <w:right w:val="none" w:sz="0" w:space="0" w:color="auto"/>
      </w:divBdr>
    </w:div>
    <w:div w:id="1727992653">
      <w:bodyDiv w:val="1"/>
      <w:marLeft w:val="0"/>
      <w:marRight w:val="0"/>
      <w:marTop w:val="0"/>
      <w:marBottom w:val="0"/>
      <w:divBdr>
        <w:top w:val="none" w:sz="0" w:space="0" w:color="auto"/>
        <w:left w:val="none" w:sz="0" w:space="0" w:color="auto"/>
        <w:bottom w:val="none" w:sz="0" w:space="0" w:color="auto"/>
        <w:right w:val="none" w:sz="0" w:space="0" w:color="auto"/>
      </w:divBdr>
    </w:div>
    <w:div w:id="1728184943">
      <w:bodyDiv w:val="1"/>
      <w:marLeft w:val="0"/>
      <w:marRight w:val="0"/>
      <w:marTop w:val="0"/>
      <w:marBottom w:val="0"/>
      <w:divBdr>
        <w:top w:val="none" w:sz="0" w:space="0" w:color="auto"/>
        <w:left w:val="none" w:sz="0" w:space="0" w:color="auto"/>
        <w:bottom w:val="none" w:sz="0" w:space="0" w:color="auto"/>
        <w:right w:val="none" w:sz="0" w:space="0" w:color="auto"/>
      </w:divBdr>
    </w:div>
    <w:div w:id="1728185097">
      <w:bodyDiv w:val="1"/>
      <w:marLeft w:val="0"/>
      <w:marRight w:val="0"/>
      <w:marTop w:val="0"/>
      <w:marBottom w:val="0"/>
      <w:divBdr>
        <w:top w:val="none" w:sz="0" w:space="0" w:color="auto"/>
        <w:left w:val="none" w:sz="0" w:space="0" w:color="auto"/>
        <w:bottom w:val="none" w:sz="0" w:space="0" w:color="auto"/>
        <w:right w:val="none" w:sz="0" w:space="0" w:color="auto"/>
      </w:divBdr>
    </w:div>
    <w:div w:id="1728188662">
      <w:bodyDiv w:val="1"/>
      <w:marLeft w:val="0"/>
      <w:marRight w:val="0"/>
      <w:marTop w:val="0"/>
      <w:marBottom w:val="0"/>
      <w:divBdr>
        <w:top w:val="none" w:sz="0" w:space="0" w:color="auto"/>
        <w:left w:val="none" w:sz="0" w:space="0" w:color="auto"/>
        <w:bottom w:val="none" w:sz="0" w:space="0" w:color="auto"/>
        <w:right w:val="none" w:sz="0" w:space="0" w:color="auto"/>
      </w:divBdr>
    </w:div>
    <w:div w:id="1728189678">
      <w:bodyDiv w:val="1"/>
      <w:marLeft w:val="0"/>
      <w:marRight w:val="0"/>
      <w:marTop w:val="0"/>
      <w:marBottom w:val="0"/>
      <w:divBdr>
        <w:top w:val="none" w:sz="0" w:space="0" w:color="auto"/>
        <w:left w:val="none" w:sz="0" w:space="0" w:color="auto"/>
        <w:bottom w:val="none" w:sz="0" w:space="0" w:color="auto"/>
        <w:right w:val="none" w:sz="0" w:space="0" w:color="auto"/>
      </w:divBdr>
    </w:div>
    <w:div w:id="1728333585">
      <w:bodyDiv w:val="1"/>
      <w:marLeft w:val="0"/>
      <w:marRight w:val="0"/>
      <w:marTop w:val="0"/>
      <w:marBottom w:val="0"/>
      <w:divBdr>
        <w:top w:val="none" w:sz="0" w:space="0" w:color="auto"/>
        <w:left w:val="none" w:sz="0" w:space="0" w:color="auto"/>
        <w:bottom w:val="none" w:sz="0" w:space="0" w:color="auto"/>
        <w:right w:val="none" w:sz="0" w:space="0" w:color="auto"/>
      </w:divBdr>
    </w:div>
    <w:div w:id="1728337283">
      <w:bodyDiv w:val="1"/>
      <w:marLeft w:val="0"/>
      <w:marRight w:val="0"/>
      <w:marTop w:val="0"/>
      <w:marBottom w:val="0"/>
      <w:divBdr>
        <w:top w:val="none" w:sz="0" w:space="0" w:color="auto"/>
        <w:left w:val="none" w:sz="0" w:space="0" w:color="auto"/>
        <w:bottom w:val="none" w:sz="0" w:space="0" w:color="auto"/>
        <w:right w:val="none" w:sz="0" w:space="0" w:color="auto"/>
      </w:divBdr>
    </w:div>
    <w:div w:id="1728524810">
      <w:bodyDiv w:val="1"/>
      <w:marLeft w:val="0"/>
      <w:marRight w:val="0"/>
      <w:marTop w:val="0"/>
      <w:marBottom w:val="0"/>
      <w:divBdr>
        <w:top w:val="none" w:sz="0" w:space="0" w:color="auto"/>
        <w:left w:val="none" w:sz="0" w:space="0" w:color="auto"/>
        <w:bottom w:val="none" w:sz="0" w:space="0" w:color="auto"/>
        <w:right w:val="none" w:sz="0" w:space="0" w:color="auto"/>
      </w:divBdr>
    </w:div>
    <w:div w:id="1728525124">
      <w:bodyDiv w:val="1"/>
      <w:marLeft w:val="0"/>
      <w:marRight w:val="0"/>
      <w:marTop w:val="0"/>
      <w:marBottom w:val="0"/>
      <w:divBdr>
        <w:top w:val="none" w:sz="0" w:space="0" w:color="auto"/>
        <w:left w:val="none" w:sz="0" w:space="0" w:color="auto"/>
        <w:bottom w:val="none" w:sz="0" w:space="0" w:color="auto"/>
        <w:right w:val="none" w:sz="0" w:space="0" w:color="auto"/>
      </w:divBdr>
    </w:div>
    <w:div w:id="1728602385">
      <w:bodyDiv w:val="1"/>
      <w:marLeft w:val="0"/>
      <w:marRight w:val="0"/>
      <w:marTop w:val="0"/>
      <w:marBottom w:val="0"/>
      <w:divBdr>
        <w:top w:val="none" w:sz="0" w:space="0" w:color="auto"/>
        <w:left w:val="none" w:sz="0" w:space="0" w:color="auto"/>
        <w:bottom w:val="none" w:sz="0" w:space="0" w:color="auto"/>
        <w:right w:val="none" w:sz="0" w:space="0" w:color="auto"/>
      </w:divBdr>
    </w:div>
    <w:div w:id="1728602802">
      <w:bodyDiv w:val="1"/>
      <w:marLeft w:val="0"/>
      <w:marRight w:val="0"/>
      <w:marTop w:val="0"/>
      <w:marBottom w:val="0"/>
      <w:divBdr>
        <w:top w:val="none" w:sz="0" w:space="0" w:color="auto"/>
        <w:left w:val="none" w:sz="0" w:space="0" w:color="auto"/>
        <w:bottom w:val="none" w:sz="0" w:space="0" w:color="auto"/>
        <w:right w:val="none" w:sz="0" w:space="0" w:color="auto"/>
      </w:divBdr>
    </w:div>
    <w:div w:id="1728609082">
      <w:bodyDiv w:val="1"/>
      <w:marLeft w:val="0"/>
      <w:marRight w:val="0"/>
      <w:marTop w:val="0"/>
      <w:marBottom w:val="0"/>
      <w:divBdr>
        <w:top w:val="none" w:sz="0" w:space="0" w:color="auto"/>
        <w:left w:val="none" w:sz="0" w:space="0" w:color="auto"/>
        <w:bottom w:val="none" w:sz="0" w:space="0" w:color="auto"/>
        <w:right w:val="none" w:sz="0" w:space="0" w:color="auto"/>
      </w:divBdr>
    </w:div>
    <w:div w:id="1728796973">
      <w:bodyDiv w:val="1"/>
      <w:marLeft w:val="0"/>
      <w:marRight w:val="0"/>
      <w:marTop w:val="0"/>
      <w:marBottom w:val="0"/>
      <w:divBdr>
        <w:top w:val="none" w:sz="0" w:space="0" w:color="auto"/>
        <w:left w:val="none" w:sz="0" w:space="0" w:color="auto"/>
        <w:bottom w:val="none" w:sz="0" w:space="0" w:color="auto"/>
        <w:right w:val="none" w:sz="0" w:space="0" w:color="auto"/>
      </w:divBdr>
    </w:div>
    <w:div w:id="1728843004">
      <w:bodyDiv w:val="1"/>
      <w:marLeft w:val="0"/>
      <w:marRight w:val="0"/>
      <w:marTop w:val="0"/>
      <w:marBottom w:val="0"/>
      <w:divBdr>
        <w:top w:val="none" w:sz="0" w:space="0" w:color="auto"/>
        <w:left w:val="none" w:sz="0" w:space="0" w:color="auto"/>
        <w:bottom w:val="none" w:sz="0" w:space="0" w:color="auto"/>
        <w:right w:val="none" w:sz="0" w:space="0" w:color="auto"/>
      </w:divBdr>
    </w:div>
    <w:div w:id="1728913823">
      <w:bodyDiv w:val="1"/>
      <w:marLeft w:val="0"/>
      <w:marRight w:val="0"/>
      <w:marTop w:val="0"/>
      <w:marBottom w:val="0"/>
      <w:divBdr>
        <w:top w:val="none" w:sz="0" w:space="0" w:color="auto"/>
        <w:left w:val="none" w:sz="0" w:space="0" w:color="auto"/>
        <w:bottom w:val="none" w:sz="0" w:space="0" w:color="auto"/>
        <w:right w:val="none" w:sz="0" w:space="0" w:color="auto"/>
      </w:divBdr>
    </w:div>
    <w:div w:id="1728917534">
      <w:bodyDiv w:val="1"/>
      <w:marLeft w:val="0"/>
      <w:marRight w:val="0"/>
      <w:marTop w:val="0"/>
      <w:marBottom w:val="0"/>
      <w:divBdr>
        <w:top w:val="none" w:sz="0" w:space="0" w:color="auto"/>
        <w:left w:val="none" w:sz="0" w:space="0" w:color="auto"/>
        <w:bottom w:val="none" w:sz="0" w:space="0" w:color="auto"/>
        <w:right w:val="none" w:sz="0" w:space="0" w:color="auto"/>
      </w:divBdr>
    </w:div>
    <w:div w:id="1728920698">
      <w:bodyDiv w:val="1"/>
      <w:marLeft w:val="0"/>
      <w:marRight w:val="0"/>
      <w:marTop w:val="0"/>
      <w:marBottom w:val="0"/>
      <w:divBdr>
        <w:top w:val="none" w:sz="0" w:space="0" w:color="auto"/>
        <w:left w:val="none" w:sz="0" w:space="0" w:color="auto"/>
        <w:bottom w:val="none" w:sz="0" w:space="0" w:color="auto"/>
        <w:right w:val="none" w:sz="0" w:space="0" w:color="auto"/>
      </w:divBdr>
    </w:div>
    <w:div w:id="1729065851">
      <w:bodyDiv w:val="1"/>
      <w:marLeft w:val="0"/>
      <w:marRight w:val="0"/>
      <w:marTop w:val="0"/>
      <w:marBottom w:val="0"/>
      <w:divBdr>
        <w:top w:val="none" w:sz="0" w:space="0" w:color="auto"/>
        <w:left w:val="none" w:sz="0" w:space="0" w:color="auto"/>
        <w:bottom w:val="none" w:sz="0" w:space="0" w:color="auto"/>
        <w:right w:val="none" w:sz="0" w:space="0" w:color="auto"/>
      </w:divBdr>
    </w:div>
    <w:div w:id="1729066647">
      <w:bodyDiv w:val="1"/>
      <w:marLeft w:val="0"/>
      <w:marRight w:val="0"/>
      <w:marTop w:val="0"/>
      <w:marBottom w:val="0"/>
      <w:divBdr>
        <w:top w:val="none" w:sz="0" w:space="0" w:color="auto"/>
        <w:left w:val="none" w:sz="0" w:space="0" w:color="auto"/>
        <w:bottom w:val="none" w:sz="0" w:space="0" w:color="auto"/>
        <w:right w:val="none" w:sz="0" w:space="0" w:color="auto"/>
      </w:divBdr>
    </w:div>
    <w:div w:id="1729106686">
      <w:bodyDiv w:val="1"/>
      <w:marLeft w:val="0"/>
      <w:marRight w:val="0"/>
      <w:marTop w:val="0"/>
      <w:marBottom w:val="0"/>
      <w:divBdr>
        <w:top w:val="none" w:sz="0" w:space="0" w:color="auto"/>
        <w:left w:val="none" w:sz="0" w:space="0" w:color="auto"/>
        <w:bottom w:val="none" w:sz="0" w:space="0" w:color="auto"/>
        <w:right w:val="none" w:sz="0" w:space="0" w:color="auto"/>
      </w:divBdr>
    </w:div>
    <w:div w:id="1729181253">
      <w:bodyDiv w:val="1"/>
      <w:marLeft w:val="0"/>
      <w:marRight w:val="0"/>
      <w:marTop w:val="0"/>
      <w:marBottom w:val="0"/>
      <w:divBdr>
        <w:top w:val="none" w:sz="0" w:space="0" w:color="auto"/>
        <w:left w:val="none" w:sz="0" w:space="0" w:color="auto"/>
        <w:bottom w:val="none" w:sz="0" w:space="0" w:color="auto"/>
        <w:right w:val="none" w:sz="0" w:space="0" w:color="auto"/>
      </w:divBdr>
    </w:div>
    <w:div w:id="1729189412">
      <w:bodyDiv w:val="1"/>
      <w:marLeft w:val="0"/>
      <w:marRight w:val="0"/>
      <w:marTop w:val="0"/>
      <w:marBottom w:val="0"/>
      <w:divBdr>
        <w:top w:val="none" w:sz="0" w:space="0" w:color="auto"/>
        <w:left w:val="none" w:sz="0" w:space="0" w:color="auto"/>
        <w:bottom w:val="none" w:sz="0" w:space="0" w:color="auto"/>
        <w:right w:val="none" w:sz="0" w:space="0" w:color="auto"/>
      </w:divBdr>
    </w:div>
    <w:div w:id="1729299611">
      <w:bodyDiv w:val="1"/>
      <w:marLeft w:val="0"/>
      <w:marRight w:val="0"/>
      <w:marTop w:val="0"/>
      <w:marBottom w:val="0"/>
      <w:divBdr>
        <w:top w:val="none" w:sz="0" w:space="0" w:color="auto"/>
        <w:left w:val="none" w:sz="0" w:space="0" w:color="auto"/>
        <w:bottom w:val="none" w:sz="0" w:space="0" w:color="auto"/>
        <w:right w:val="none" w:sz="0" w:space="0" w:color="auto"/>
      </w:divBdr>
    </w:div>
    <w:div w:id="1729302566">
      <w:bodyDiv w:val="1"/>
      <w:marLeft w:val="0"/>
      <w:marRight w:val="0"/>
      <w:marTop w:val="0"/>
      <w:marBottom w:val="0"/>
      <w:divBdr>
        <w:top w:val="none" w:sz="0" w:space="0" w:color="auto"/>
        <w:left w:val="none" w:sz="0" w:space="0" w:color="auto"/>
        <w:bottom w:val="none" w:sz="0" w:space="0" w:color="auto"/>
        <w:right w:val="none" w:sz="0" w:space="0" w:color="auto"/>
      </w:divBdr>
    </w:div>
    <w:div w:id="1729302652">
      <w:bodyDiv w:val="1"/>
      <w:marLeft w:val="0"/>
      <w:marRight w:val="0"/>
      <w:marTop w:val="0"/>
      <w:marBottom w:val="0"/>
      <w:divBdr>
        <w:top w:val="none" w:sz="0" w:space="0" w:color="auto"/>
        <w:left w:val="none" w:sz="0" w:space="0" w:color="auto"/>
        <w:bottom w:val="none" w:sz="0" w:space="0" w:color="auto"/>
        <w:right w:val="none" w:sz="0" w:space="0" w:color="auto"/>
      </w:divBdr>
    </w:div>
    <w:div w:id="1729378678">
      <w:bodyDiv w:val="1"/>
      <w:marLeft w:val="0"/>
      <w:marRight w:val="0"/>
      <w:marTop w:val="0"/>
      <w:marBottom w:val="0"/>
      <w:divBdr>
        <w:top w:val="none" w:sz="0" w:space="0" w:color="auto"/>
        <w:left w:val="none" w:sz="0" w:space="0" w:color="auto"/>
        <w:bottom w:val="none" w:sz="0" w:space="0" w:color="auto"/>
        <w:right w:val="none" w:sz="0" w:space="0" w:color="auto"/>
      </w:divBdr>
    </w:div>
    <w:div w:id="1729452142">
      <w:bodyDiv w:val="1"/>
      <w:marLeft w:val="0"/>
      <w:marRight w:val="0"/>
      <w:marTop w:val="0"/>
      <w:marBottom w:val="0"/>
      <w:divBdr>
        <w:top w:val="none" w:sz="0" w:space="0" w:color="auto"/>
        <w:left w:val="none" w:sz="0" w:space="0" w:color="auto"/>
        <w:bottom w:val="none" w:sz="0" w:space="0" w:color="auto"/>
        <w:right w:val="none" w:sz="0" w:space="0" w:color="auto"/>
      </w:divBdr>
    </w:div>
    <w:div w:id="1729645293">
      <w:bodyDiv w:val="1"/>
      <w:marLeft w:val="0"/>
      <w:marRight w:val="0"/>
      <w:marTop w:val="0"/>
      <w:marBottom w:val="0"/>
      <w:divBdr>
        <w:top w:val="none" w:sz="0" w:space="0" w:color="auto"/>
        <w:left w:val="none" w:sz="0" w:space="0" w:color="auto"/>
        <w:bottom w:val="none" w:sz="0" w:space="0" w:color="auto"/>
        <w:right w:val="none" w:sz="0" w:space="0" w:color="auto"/>
      </w:divBdr>
    </w:div>
    <w:div w:id="1729650034">
      <w:bodyDiv w:val="1"/>
      <w:marLeft w:val="0"/>
      <w:marRight w:val="0"/>
      <w:marTop w:val="0"/>
      <w:marBottom w:val="0"/>
      <w:divBdr>
        <w:top w:val="none" w:sz="0" w:space="0" w:color="auto"/>
        <w:left w:val="none" w:sz="0" w:space="0" w:color="auto"/>
        <w:bottom w:val="none" w:sz="0" w:space="0" w:color="auto"/>
        <w:right w:val="none" w:sz="0" w:space="0" w:color="auto"/>
      </w:divBdr>
    </w:div>
    <w:div w:id="1729835886">
      <w:bodyDiv w:val="1"/>
      <w:marLeft w:val="0"/>
      <w:marRight w:val="0"/>
      <w:marTop w:val="0"/>
      <w:marBottom w:val="0"/>
      <w:divBdr>
        <w:top w:val="none" w:sz="0" w:space="0" w:color="auto"/>
        <w:left w:val="none" w:sz="0" w:space="0" w:color="auto"/>
        <w:bottom w:val="none" w:sz="0" w:space="0" w:color="auto"/>
        <w:right w:val="none" w:sz="0" w:space="0" w:color="auto"/>
      </w:divBdr>
    </w:div>
    <w:div w:id="1729841394">
      <w:bodyDiv w:val="1"/>
      <w:marLeft w:val="0"/>
      <w:marRight w:val="0"/>
      <w:marTop w:val="0"/>
      <w:marBottom w:val="0"/>
      <w:divBdr>
        <w:top w:val="none" w:sz="0" w:space="0" w:color="auto"/>
        <w:left w:val="none" w:sz="0" w:space="0" w:color="auto"/>
        <w:bottom w:val="none" w:sz="0" w:space="0" w:color="auto"/>
        <w:right w:val="none" w:sz="0" w:space="0" w:color="auto"/>
      </w:divBdr>
    </w:div>
    <w:div w:id="1729953962">
      <w:bodyDiv w:val="1"/>
      <w:marLeft w:val="0"/>
      <w:marRight w:val="0"/>
      <w:marTop w:val="0"/>
      <w:marBottom w:val="0"/>
      <w:divBdr>
        <w:top w:val="none" w:sz="0" w:space="0" w:color="auto"/>
        <w:left w:val="none" w:sz="0" w:space="0" w:color="auto"/>
        <w:bottom w:val="none" w:sz="0" w:space="0" w:color="auto"/>
        <w:right w:val="none" w:sz="0" w:space="0" w:color="auto"/>
      </w:divBdr>
    </w:div>
    <w:div w:id="1729958368">
      <w:bodyDiv w:val="1"/>
      <w:marLeft w:val="0"/>
      <w:marRight w:val="0"/>
      <w:marTop w:val="0"/>
      <w:marBottom w:val="0"/>
      <w:divBdr>
        <w:top w:val="none" w:sz="0" w:space="0" w:color="auto"/>
        <w:left w:val="none" w:sz="0" w:space="0" w:color="auto"/>
        <w:bottom w:val="none" w:sz="0" w:space="0" w:color="auto"/>
        <w:right w:val="none" w:sz="0" w:space="0" w:color="auto"/>
      </w:divBdr>
    </w:div>
    <w:div w:id="1729958933">
      <w:bodyDiv w:val="1"/>
      <w:marLeft w:val="0"/>
      <w:marRight w:val="0"/>
      <w:marTop w:val="0"/>
      <w:marBottom w:val="0"/>
      <w:divBdr>
        <w:top w:val="none" w:sz="0" w:space="0" w:color="auto"/>
        <w:left w:val="none" w:sz="0" w:space="0" w:color="auto"/>
        <w:bottom w:val="none" w:sz="0" w:space="0" w:color="auto"/>
        <w:right w:val="none" w:sz="0" w:space="0" w:color="auto"/>
      </w:divBdr>
    </w:div>
    <w:div w:id="1730107209">
      <w:bodyDiv w:val="1"/>
      <w:marLeft w:val="0"/>
      <w:marRight w:val="0"/>
      <w:marTop w:val="0"/>
      <w:marBottom w:val="0"/>
      <w:divBdr>
        <w:top w:val="none" w:sz="0" w:space="0" w:color="auto"/>
        <w:left w:val="none" w:sz="0" w:space="0" w:color="auto"/>
        <w:bottom w:val="none" w:sz="0" w:space="0" w:color="auto"/>
        <w:right w:val="none" w:sz="0" w:space="0" w:color="auto"/>
      </w:divBdr>
    </w:div>
    <w:div w:id="1730153422">
      <w:bodyDiv w:val="1"/>
      <w:marLeft w:val="0"/>
      <w:marRight w:val="0"/>
      <w:marTop w:val="0"/>
      <w:marBottom w:val="0"/>
      <w:divBdr>
        <w:top w:val="none" w:sz="0" w:space="0" w:color="auto"/>
        <w:left w:val="none" w:sz="0" w:space="0" w:color="auto"/>
        <w:bottom w:val="none" w:sz="0" w:space="0" w:color="auto"/>
        <w:right w:val="none" w:sz="0" w:space="0" w:color="auto"/>
      </w:divBdr>
    </w:div>
    <w:div w:id="1730182868">
      <w:bodyDiv w:val="1"/>
      <w:marLeft w:val="0"/>
      <w:marRight w:val="0"/>
      <w:marTop w:val="0"/>
      <w:marBottom w:val="0"/>
      <w:divBdr>
        <w:top w:val="none" w:sz="0" w:space="0" w:color="auto"/>
        <w:left w:val="none" w:sz="0" w:space="0" w:color="auto"/>
        <w:bottom w:val="none" w:sz="0" w:space="0" w:color="auto"/>
        <w:right w:val="none" w:sz="0" w:space="0" w:color="auto"/>
      </w:divBdr>
    </w:div>
    <w:div w:id="1730304083">
      <w:bodyDiv w:val="1"/>
      <w:marLeft w:val="0"/>
      <w:marRight w:val="0"/>
      <w:marTop w:val="0"/>
      <w:marBottom w:val="0"/>
      <w:divBdr>
        <w:top w:val="none" w:sz="0" w:space="0" w:color="auto"/>
        <w:left w:val="none" w:sz="0" w:space="0" w:color="auto"/>
        <w:bottom w:val="none" w:sz="0" w:space="0" w:color="auto"/>
        <w:right w:val="none" w:sz="0" w:space="0" w:color="auto"/>
      </w:divBdr>
    </w:div>
    <w:div w:id="1730415118">
      <w:bodyDiv w:val="1"/>
      <w:marLeft w:val="0"/>
      <w:marRight w:val="0"/>
      <w:marTop w:val="0"/>
      <w:marBottom w:val="0"/>
      <w:divBdr>
        <w:top w:val="none" w:sz="0" w:space="0" w:color="auto"/>
        <w:left w:val="none" w:sz="0" w:space="0" w:color="auto"/>
        <w:bottom w:val="none" w:sz="0" w:space="0" w:color="auto"/>
        <w:right w:val="none" w:sz="0" w:space="0" w:color="auto"/>
      </w:divBdr>
    </w:div>
    <w:div w:id="1730418809">
      <w:bodyDiv w:val="1"/>
      <w:marLeft w:val="0"/>
      <w:marRight w:val="0"/>
      <w:marTop w:val="0"/>
      <w:marBottom w:val="0"/>
      <w:divBdr>
        <w:top w:val="none" w:sz="0" w:space="0" w:color="auto"/>
        <w:left w:val="none" w:sz="0" w:space="0" w:color="auto"/>
        <w:bottom w:val="none" w:sz="0" w:space="0" w:color="auto"/>
        <w:right w:val="none" w:sz="0" w:space="0" w:color="auto"/>
      </w:divBdr>
    </w:div>
    <w:div w:id="1730424085">
      <w:bodyDiv w:val="1"/>
      <w:marLeft w:val="0"/>
      <w:marRight w:val="0"/>
      <w:marTop w:val="0"/>
      <w:marBottom w:val="0"/>
      <w:divBdr>
        <w:top w:val="none" w:sz="0" w:space="0" w:color="auto"/>
        <w:left w:val="none" w:sz="0" w:space="0" w:color="auto"/>
        <w:bottom w:val="none" w:sz="0" w:space="0" w:color="auto"/>
        <w:right w:val="none" w:sz="0" w:space="0" w:color="auto"/>
      </w:divBdr>
    </w:div>
    <w:div w:id="1730693438">
      <w:bodyDiv w:val="1"/>
      <w:marLeft w:val="0"/>
      <w:marRight w:val="0"/>
      <w:marTop w:val="0"/>
      <w:marBottom w:val="0"/>
      <w:divBdr>
        <w:top w:val="none" w:sz="0" w:space="0" w:color="auto"/>
        <w:left w:val="none" w:sz="0" w:space="0" w:color="auto"/>
        <w:bottom w:val="none" w:sz="0" w:space="0" w:color="auto"/>
        <w:right w:val="none" w:sz="0" w:space="0" w:color="auto"/>
      </w:divBdr>
    </w:div>
    <w:div w:id="1730763610">
      <w:bodyDiv w:val="1"/>
      <w:marLeft w:val="0"/>
      <w:marRight w:val="0"/>
      <w:marTop w:val="0"/>
      <w:marBottom w:val="0"/>
      <w:divBdr>
        <w:top w:val="none" w:sz="0" w:space="0" w:color="auto"/>
        <w:left w:val="none" w:sz="0" w:space="0" w:color="auto"/>
        <w:bottom w:val="none" w:sz="0" w:space="0" w:color="auto"/>
        <w:right w:val="none" w:sz="0" w:space="0" w:color="auto"/>
      </w:divBdr>
    </w:div>
    <w:div w:id="1730766022">
      <w:bodyDiv w:val="1"/>
      <w:marLeft w:val="0"/>
      <w:marRight w:val="0"/>
      <w:marTop w:val="0"/>
      <w:marBottom w:val="0"/>
      <w:divBdr>
        <w:top w:val="none" w:sz="0" w:space="0" w:color="auto"/>
        <w:left w:val="none" w:sz="0" w:space="0" w:color="auto"/>
        <w:bottom w:val="none" w:sz="0" w:space="0" w:color="auto"/>
        <w:right w:val="none" w:sz="0" w:space="0" w:color="auto"/>
      </w:divBdr>
    </w:div>
    <w:div w:id="1730809394">
      <w:bodyDiv w:val="1"/>
      <w:marLeft w:val="0"/>
      <w:marRight w:val="0"/>
      <w:marTop w:val="0"/>
      <w:marBottom w:val="0"/>
      <w:divBdr>
        <w:top w:val="none" w:sz="0" w:space="0" w:color="auto"/>
        <w:left w:val="none" w:sz="0" w:space="0" w:color="auto"/>
        <w:bottom w:val="none" w:sz="0" w:space="0" w:color="auto"/>
        <w:right w:val="none" w:sz="0" w:space="0" w:color="auto"/>
      </w:divBdr>
    </w:div>
    <w:div w:id="1730835967">
      <w:bodyDiv w:val="1"/>
      <w:marLeft w:val="0"/>
      <w:marRight w:val="0"/>
      <w:marTop w:val="0"/>
      <w:marBottom w:val="0"/>
      <w:divBdr>
        <w:top w:val="none" w:sz="0" w:space="0" w:color="auto"/>
        <w:left w:val="none" w:sz="0" w:space="0" w:color="auto"/>
        <w:bottom w:val="none" w:sz="0" w:space="0" w:color="auto"/>
        <w:right w:val="none" w:sz="0" w:space="0" w:color="auto"/>
      </w:divBdr>
    </w:div>
    <w:div w:id="1730958460">
      <w:bodyDiv w:val="1"/>
      <w:marLeft w:val="0"/>
      <w:marRight w:val="0"/>
      <w:marTop w:val="0"/>
      <w:marBottom w:val="0"/>
      <w:divBdr>
        <w:top w:val="none" w:sz="0" w:space="0" w:color="auto"/>
        <w:left w:val="none" w:sz="0" w:space="0" w:color="auto"/>
        <w:bottom w:val="none" w:sz="0" w:space="0" w:color="auto"/>
        <w:right w:val="none" w:sz="0" w:space="0" w:color="auto"/>
      </w:divBdr>
    </w:div>
    <w:div w:id="1731004528">
      <w:bodyDiv w:val="1"/>
      <w:marLeft w:val="0"/>
      <w:marRight w:val="0"/>
      <w:marTop w:val="0"/>
      <w:marBottom w:val="0"/>
      <w:divBdr>
        <w:top w:val="none" w:sz="0" w:space="0" w:color="auto"/>
        <w:left w:val="none" w:sz="0" w:space="0" w:color="auto"/>
        <w:bottom w:val="none" w:sz="0" w:space="0" w:color="auto"/>
        <w:right w:val="none" w:sz="0" w:space="0" w:color="auto"/>
      </w:divBdr>
    </w:div>
    <w:div w:id="1731028477">
      <w:bodyDiv w:val="1"/>
      <w:marLeft w:val="0"/>
      <w:marRight w:val="0"/>
      <w:marTop w:val="0"/>
      <w:marBottom w:val="0"/>
      <w:divBdr>
        <w:top w:val="none" w:sz="0" w:space="0" w:color="auto"/>
        <w:left w:val="none" w:sz="0" w:space="0" w:color="auto"/>
        <w:bottom w:val="none" w:sz="0" w:space="0" w:color="auto"/>
        <w:right w:val="none" w:sz="0" w:space="0" w:color="auto"/>
      </w:divBdr>
    </w:div>
    <w:div w:id="1731415489">
      <w:bodyDiv w:val="1"/>
      <w:marLeft w:val="0"/>
      <w:marRight w:val="0"/>
      <w:marTop w:val="0"/>
      <w:marBottom w:val="0"/>
      <w:divBdr>
        <w:top w:val="none" w:sz="0" w:space="0" w:color="auto"/>
        <w:left w:val="none" w:sz="0" w:space="0" w:color="auto"/>
        <w:bottom w:val="none" w:sz="0" w:space="0" w:color="auto"/>
        <w:right w:val="none" w:sz="0" w:space="0" w:color="auto"/>
      </w:divBdr>
    </w:div>
    <w:div w:id="1731419315">
      <w:bodyDiv w:val="1"/>
      <w:marLeft w:val="0"/>
      <w:marRight w:val="0"/>
      <w:marTop w:val="0"/>
      <w:marBottom w:val="0"/>
      <w:divBdr>
        <w:top w:val="none" w:sz="0" w:space="0" w:color="auto"/>
        <w:left w:val="none" w:sz="0" w:space="0" w:color="auto"/>
        <w:bottom w:val="none" w:sz="0" w:space="0" w:color="auto"/>
        <w:right w:val="none" w:sz="0" w:space="0" w:color="auto"/>
      </w:divBdr>
    </w:div>
    <w:div w:id="1731419796">
      <w:bodyDiv w:val="1"/>
      <w:marLeft w:val="0"/>
      <w:marRight w:val="0"/>
      <w:marTop w:val="0"/>
      <w:marBottom w:val="0"/>
      <w:divBdr>
        <w:top w:val="none" w:sz="0" w:space="0" w:color="auto"/>
        <w:left w:val="none" w:sz="0" w:space="0" w:color="auto"/>
        <w:bottom w:val="none" w:sz="0" w:space="0" w:color="auto"/>
        <w:right w:val="none" w:sz="0" w:space="0" w:color="auto"/>
      </w:divBdr>
    </w:div>
    <w:div w:id="1731532625">
      <w:bodyDiv w:val="1"/>
      <w:marLeft w:val="0"/>
      <w:marRight w:val="0"/>
      <w:marTop w:val="0"/>
      <w:marBottom w:val="0"/>
      <w:divBdr>
        <w:top w:val="none" w:sz="0" w:space="0" w:color="auto"/>
        <w:left w:val="none" w:sz="0" w:space="0" w:color="auto"/>
        <w:bottom w:val="none" w:sz="0" w:space="0" w:color="auto"/>
        <w:right w:val="none" w:sz="0" w:space="0" w:color="auto"/>
      </w:divBdr>
    </w:div>
    <w:div w:id="1731532697">
      <w:bodyDiv w:val="1"/>
      <w:marLeft w:val="0"/>
      <w:marRight w:val="0"/>
      <w:marTop w:val="0"/>
      <w:marBottom w:val="0"/>
      <w:divBdr>
        <w:top w:val="none" w:sz="0" w:space="0" w:color="auto"/>
        <w:left w:val="none" w:sz="0" w:space="0" w:color="auto"/>
        <w:bottom w:val="none" w:sz="0" w:space="0" w:color="auto"/>
        <w:right w:val="none" w:sz="0" w:space="0" w:color="auto"/>
      </w:divBdr>
    </w:div>
    <w:div w:id="1731657769">
      <w:bodyDiv w:val="1"/>
      <w:marLeft w:val="0"/>
      <w:marRight w:val="0"/>
      <w:marTop w:val="0"/>
      <w:marBottom w:val="0"/>
      <w:divBdr>
        <w:top w:val="none" w:sz="0" w:space="0" w:color="auto"/>
        <w:left w:val="none" w:sz="0" w:space="0" w:color="auto"/>
        <w:bottom w:val="none" w:sz="0" w:space="0" w:color="auto"/>
        <w:right w:val="none" w:sz="0" w:space="0" w:color="auto"/>
      </w:divBdr>
    </w:div>
    <w:div w:id="1731734681">
      <w:bodyDiv w:val="1"/>
      <w:marLeft w:val="0"/>
      <w:marRight w:val="0"/>
      <w:marTop w:val="0"/>
      <w:marBottom w:val="0"/>
      <w:divBdr>
        <w:top w:val="none" w:sz="0" w:space="0" w:color="auto"/>
        <w:left w:val="none" w:sz="0" w:space="0" w:color="auto"/>
        <w:bottom w:val="none" w:sz="0" w:space="0" w:color="auto"/>
        <w:right w:val="none" w:sz="0" w:space="0" w:color="auto"/>
      </w:divBdr>
    </w:div>
    <w:div w:id="1731879284">
      <w:bodyDiv w:val="1"/>
      <w:marLeft w:val="0"/>
      <w:marRight w:val="0"/>
      <w:marTop w:val="0"/>
      <w:marBottom w:val="0"/>
      <w:divBdr>
        <w:top w:val="none" w:sz="0" w:space="0" w:color="auto"/>
        <w:left w:val="none" w:sz="0" w:space="0" w:color="auto"/>
        <w:bottom w:val="none" w:sz="0" w:space="0" w:color="auto"/>
        <w:right w:val="none" w:sz="0" w:space="0" w:color="auto"/>
      </w:divBdr>
    </w:div>
    <w:div w:id="1731882682">
      <w:bodyDiv w:val="1"/>
      <w:marLeft w:val="0"/>
      <w:marRight w:val="0"/>
      <w:marTop w:val="0"/>
      <w:marBottom w:val="0"/>
      <w:divBdr>
        <w:top w:val="none" w:sz="0" w:space="0" w:color="auto"/>
        <w:left w:val="none" w:sz="0" w:space="0" w:color="auto"/>
        <w:bottom w:val="none" w:sz="0" w:space="0" w:color="auto"/>
        <w:right w:val="none" w:sz="0" w:space="0" w:color="auto"/>
      </w:divBdr>
    </w:div>
    <w:div w:id="1731922907">
      <w:bodyDiv w:val="1"/>
      <w:marLeft w:val="0"/>
      <w:marRight w:val="0"/>
      <w:marTop w:val="0"/>
      <w:marBottom w:val="0"/>
      <w:divBdr>
        <w:top w:val="none" w:sz="0" w:space="0" w:color="auto"/>
        <w:left w:val="none" w:sz="0" w:space="0" w:color="auto"/>
        <w:bottom w:val="none" w:sz="0" w:space="0" w:color="auto"/>
        <w:right w:val="none" w:sz="0" w:space="0" w:color="auto"/>
      </w:divBdr>
    </w:div>
    <w:div w:id="1731925552">
      <w:bodyDiv w:val="1"/>
      <w:marLeft w:val="0"/>
      <w:marRight w:val="0"/>
      <w:marTop w:val="0"/>
      <w:marBottom w:val="0"/>
      <w:divBdr>
        <w:top w:val="none" w:sz="0" w:space="0" w:color="auto"/>
        <w:left w:val="none" w:sz="0" w:space="0" w:color="auto"/>
        <w:bottom w:val="none" w:sz="0" w:space="0" w:color="auto"/>
        <w:right w:val="none" w:sz="0" w:space="0" w:color="auto"/>
      </w:divBdr>
    </w:div>
    <w:div w:id="1731927402">
      <w:bodyDiv w:val="1"/>
      <w:marLeft w:val="0"/>
      <w:marRight w:val="0"/>
      <w:marTop w:val="0"/>
      <w:marBottom w:val="0"/>
      <w:divBdr>
        <w:top w:val="none" w:sz="0" w:space="0" w:color="auto"/>
        <w:left w:val="none" w:sz="0" w:space="0" w:color="auto"/>
        <w:bottom w:val="none" w:sz="0" w:space="0" w:color="auto"/>
        <w:right w:val="none" w:sz="0" w:space="0" w:color="auto"/>
      </w:divBdr>
    </w:div>
    <w:div w:id="1731927716">
      <w:bodyDiv w:val="1"/>
      <w:marLeft w:val="0"/>
      <w:marRight w:val="0"/>
      <w:marTop w:val="0"/>
      <w:marBottom w:val="0"/>
      <w:divBdr>
        <w:top w:val="none" w:sz="0" w:space="0" w:color="auto"/>
        <w:left w:val="none" w:sz="0" w:space="0" w:color="auto"/>
        <w:bottom w:val="none" w:sz="0" w:space="0" w:color="auto"/>
        <w:right w:val="none" w:sz="0" w:space="0" w:color="auto"/>
      </w:divBdr>
    </w:div>
    <w:div w:id="1732075077">
      <w:bodyDiv w:val="1"/>
      <w:marLeft w:val="0"/>
      <w:marRight w:val="0"/>
      <w:marTop w:val="0"/>
      <w:marBottom w:val="0"/>
      <w:divBdr>
        <w:top w:val="none" w:sz="0" w:space="0" w:color="auto"/>
        <w:left w:val="none" w:sz="0" w:space="0" w:color="auto"/>
        <w:bottom w:val="none" w:sz="0" w:space="0" w:color="auto"/>
        <w:right w:val="none" w:sz="0" w:space="0" w:color="auto"/>
      </w:divBdr>
    </w:div>
    <w:div w:id="1732075176">
      <w:bodyDiv w:val="1"/>
      <w:marLeft w:val="0"/>
      <w:marRight w:val="0"/>
      <w:marTop w:val="0"/>
      <w:marBottom w:val="0"/>
      <w:divBdr>
        <w:top w:val="none" w:sz="0" w:space="0" w:color="auto"/>
        <w:left w:val="none" w:sz="0" w:space="0" w:color="auto"/>
        <w:bottom w:val="none" w:sz="0" w:space="0" w:color="auto"/>
        <w:right w:val="none" w:sz="0" w:space="0" w:color="auto"/>
      </w:divBdr>
    </w:div>
    <w:div w:id="1732076416">
      <w:bodyDiv w:val="1"/>
      <w:marLeft w:val="0"/>
      <w:marRight w:val="0"/>
      <w:marTop w:val="0"/>
      <w:marBottom w:val="0"/>
      <w:divBdr>
        <w:top w:val="none" w:sz="0" w:space="0" w:color="auto"/>
        <w:left w:val="none" w:sz="0" w:space="0" w:color="auto"/>
        <w:bottom w:val="none" w:sz="0" w:space="0" w:color="auto"/>
        <w:right w:val="none" w:sz="0" w:space="0" w:color="auto"/>
      </w:divBdr>
    </w:div>
    <w:div w:id="1732079394">
      <w:bodyDiv w:val="1"/>
      <w:marLeft w:val="0"/>
      <w:marRight w:val="0"/>
      <w:marTop w:val="0"/>
      <w:marBottom w:val="0"/>
      <w:divBdr>
        <w:top w:val="none" w:sz="0" w:space="0" w:color="auto"/>
        <w:left w:val="none" w:sz="0" w:space="0" w:color="auto"/>
        <w:bottom w:val="none" w:sz="0" w:space="0" w:color="auto"/>
        <w:right w:val="none" w:sz="0" w:space="0" w:color="auto"/>
      </w:divBdr>
    </w:div>
    <w:div w:id="1732341673">
      <w:bodyDiv w:val="1"/>
      <w:marLeft w:val="0"/>
      <w:marRight w:val="0"/>
      <w:marTop w:val="0"/>
      <w:marBottom w:val="0"/>
      <w:divBdr>
        <w:top w:val="none" w:sz="0" w:space="0" w:color="auto"/>
        <w:left w:val="none" w:sz="0" w:space="0" w:color="auto"/>
        <w:bottom w:val="none" w:sz="0" w:space="0" w:color="auto"/>
        <w:right w:val="none" w:sz="0" w:space="0" w:color="auto"/>
      </w:divBdr>
    </w:div>
    <w:div w:id="1732343727">
      <w:bodyDiv w:val="1"/>
      <w:marLeft w:val="0"/>
      <w:marRight w:val="0"/>
      <w:marTop w:val="0"/>
      <w:marBottom w:val="0"/>
      <w:divBdr>
        <w:top w:val="none" w:sz="0" w:space="0" w:color="auto"/>
        <w:left w:val="none" w:sz="0" w:space="0" w:color="auto"/>
        <w:bottom w:val="none" w:sz="0" w:space="0" w:color="auto"/>
        <w:right w:val="none" w:sz="0" w:space="0" w:color="auto"/>
      </w:divBdr>
    </w:div>
    <w:div w:id="1732382713">
      <w:bodyDiv w:val="1"/>
      <w:marLeft w:val="0"/>
      <w:marRight w:val="0"/>
      <w:marTop w:val="0"/>
      <w:marBottom w:val="0"/>
      <w:divBdr>
        <w:top w:val="none" w:sz="0" w:space="0" w:color="auto"/>
        <w:left w:val="none" w:sz="0" w:space="0" w:color="auto"/>
        <w:bottom w:val="none" w:sz="0" w:space="0" w:color="auto"/>
        <w:right w:val="none" w:sz="0" w:space="0" w:color="auto"/>
      </w:divBdr>
    </w:div>
    <w:div w:id="1732385056">
      <w:bodyDiv w:val="1"/>
      <w:marLeft w:val="0"/>
      <w:marRight w:val="0"/>
      <w:marTop w:val="0"/>
      <w:marBottom w:val="0"/>
      <w:divBdr>
        <w:top w:val="none" w:sz="0" w:space="0" w:color="auto"/>
        <w:left w:val="none" w:sz="0" w:space="0" w:color="auto"/>
        <w:bottom w:val="none" w:sz="0" w:space="0" w:color="auto"/>
        <w:right w:val="none" w:sz="0" w:space="0" w:color="auto"/>
      </w:divBdr>
    </w:div>
    <w:div w:id="1732461970">
      <w:bodyDiv w:val="1"/>
      <w:marLeft w:val="0"/>
      <w:marRight w:val="0"/>
      <w:marTop w:val="0"/>
      <w:marBottom w:val="0"/>
      <w:divBdr>
        <w:top w:val="none" w:sz="0" w:space="0" w:color="auto"/>
        <w:left w:val="none" w:sz="0" w:space="0" w:color="auto"/>
        <w:bottom w:val="none" w:sz="0" w:space="0" w:color="auto"/>
        <w:right w:val="none" w:sz="0" w:space="0" w:color="auto"/>
      </w:divBdr>
    </w:div>
    <w:div w:id="1732540340">
      <w:bodyDiv w:val="1"/>
      <w:marLeft w:val="0"/>
      <w:marRight w:val="0"/>
      <w:marTop w:val="0"/>
      <w:marBottom w:val="0"/>
      <w:divBdr>
        <w:top w:val="none" w:sz="0" w:space="0" w:color="auto"/>
        <w:left w:val="none" w:sz="0" w:space="0" w:color="auto"/>
        <w:bottom w:val="none" w:sz="0" w:space="0" w:color="auto"/>
        <w:right w:val="none" w:sz="0" w:space="0" w:color="auto"/>
      </w:divBdr>
    </w:div>
    <w:div w:id="1732654329">
      <w:bodyDiv w:val="1"/>
      <w:marLeft w:val="0"/>
      <w:marRight w:val="0"/>
      <w:marTop w:val="0"/>
      <w:marBottom w:val="0"/>
      <w:divBdr>
        <w:top w:val="none" w:sz="0" w:space="0" w:color="auto"/>
        <w:left w:val="none" w:sz="0" w:space="0" w:color="auto"/>
        <w:bottom w:val="none" w:sz="0" w:space="0" w:color="auto"/>
        <w:right w:val="none" w:sz="0" w:space="0" w:color="auto"/>
      </w:divBdr>
    </w:div>
    <w:div w:id="1732727388">
      <w:bodyDiv w:val="1"/>
      <w:marLeft w:val="0"/>
      <w:marRight w:val="0"/>
      <w:marTop w:val="0"/>
      <w:marBottom w:val="0"/>
      <w:divBdr>
        <w:top w:val="none" w:sz="0" w:space="0" w:color="auto"/>
        <w:left w:val="none" w:sz="0" w:space="0" w:color="auto"/>
        <w:bottom w:val="none" w:sz="0" w:space="0" w:color="auto"/>
        <w:right w:val="none" w:sz="0" w:space="0" w:color="auto"/>
      </w:divBdr>
    </w:div>
    <w:div w:id="1732732164">
      <w:bodyDiv w:val="1"/>
      <w:marLeft w:val="0"/>
      <w:marRight w:val="0"/>
      <w:marTop w:val="0"/>
      <w:marBottom w:val="0"/>
      <w:divBdr>
        <w:top w:val="none" w:sz="0" w:space="0" w:color="auto"/>
        <w:left w:val="none" w:sz="0" w:space="0" w:color="auto"/>
        <w:bottom w:val="none" w:sz="0" w:space="0" w:color="auto"/>
        <w:right w:val="none" w:sz="0" w:space="0" w:color="auto"/>
      </w:divBdr>
    </w:div>
    <w:div w:id="1732734122">
      <w:bodyDiv w:val="1"/>
      <w:marLeft w:val="0"/>
      <w:marRight w:val="0"/>
      <w:marTop w:val="0"/>
      <w:marBottom w:val="0"/>
      <w:divBdr>
        <w:top w:val="none" w:sz="0" w:space="0" w:color="auto"/>
        <w:left w:val="none" w:sz="0" w:space="0" w:color="auto"/>
        <w:bottom w:val="none" w:sz="0" w:space="0" w:color="auto"/>
        <w:right w:val="none" w:sz="0" w:space="0" w:color="auto"/>
      </w:divBdr>
    </w:div>
    <w:div w:id="1732773856">
      <w:bodyDiv w:val="1"/>
      <w:marLeft w:val="0"/>
      <w:marRight w:val="0"/>
      <w:marTop w:val="0"/>
      <w:marBottom w:val="0"/>
      <w:divBdr>
        <w:top w:val="none" w:sz="0" w:space="0" w:color="auto"/>
        <w:left w:val="none" w:sz="0" w:space="0" w:color="auto"/>
        <w:bottom w:val="none" w:sz="0" w:space="0" w:color="auto"/>
        <w:right w:val="none" w:sz="0" w:space="0" w:color="auto"/>
      </w:divBdr>
    </w:div>
    <w:div w:id="1732777300">
      <w:bodyDiv w:val="1"/>
      <w:marLeft w:val="0"/>
      <w:marRight w:val="0"/>
      <w:marTop w:val="0"/>
      <w:marBottom w:val="0"/>
      <w:divBdr>
        <w:top w:val="none" w:sz="0" w:space="0" w:color="auto"/>
        <w:left w:val="none" w:sz="0" w:space="0" w:color="auto"/>
        <w:bottom w:val="none" w:sz="0" w:space="0" w:color="auto"/>
        <w:right w:val="none" w:sz="0" w:space="0" w:color="auto"/>
      </w:divBdr>
    </w:div>
    <w:div w:id="1732843674">
      <w:bodyDiv w:val="1"/>
      <w:marLeft w:val="0"/>
      <w:marRight w:val="0"/>
      <w:marTop w:val="0"/>
      <w:marBottom w:val="0"/>
      <w:divBdr>
        <w:top w:val="none" w:sz="0" w:space="0" w:color="auto"/>
        <w:left w:val="none" w:sz="0" w:space="0" w:color="auto"/>
        <w:bottom w:val="none" w:sz="0" w:space="0" w:color="auto"/>
        <w:right w:val="none" w:sz="0" w:space="0" w:color="auto"/>
      </w:divBdr>
    </w:div>
    <w:div w:id="1732844638">
      <w:bodyDiv w:val="1"/>
      <w:marLeft w:val="0"/>
      <w:marRight w:val="0"/>
      <w:marTop w:val="0"/>
      <w:marBottom w:val="0"/>
      <w:divBdr>
        <w:top w:val="none" w:sz="0" w:space="0" w:color="auto"/>
        <w:left w:val="none" w:sz="0" w:space="0" w:color="auto"/>
        <w:bottom w:val="none" w:sz="0" w:space="0" w:color="auto"/>
        <w:right w:val="none" w:sz="0" w:space="0" w:color="auto"/>
      </w:divBdr>
    </w:div>
    <w:div w:id="1732851356">
      <w:bodyDiv w:val="1"/>
      <w:marLeft w:val="0"/>
      <w:marRight w:val="0"/>
      <w:marTop w:val="0"/>
      <w:marBottom w:val="0"/>
      <w:divBdr>
        <w:top w:val="none" w:sz="0" w:space="0" w:color="auto"/>
        <w:left w:val="none" w:sz="0" w:space="0" w:color="auto"/>
        <w:bottom w:val="none" w:sz="0" w:space="0" w:color="auto"/>
        <w:right w:val="none" w:sz="0" w:space="0" w:color="auto"/>
      </w:divBdr>
    </w:div>
    <w:div w:id="1732997954">
      <w:bodyDiv w:val="1"/>
      <w:marLeft w:val="0"/>
      <w:marRight w:val="0"/>
      <w:marTop w:val="0"/>
      <w:marBottom w:val="0"/>
      <w:divBdr>
        <w:top w:val="none" w:sz="0" w:space="0" w:color="auto"/>
        <w:left w:val="none" w:sz="0" w:space="0" w:color="auto"/>
        <w:bottom w:val="none" w:sz="0" w:space="0" w:color="auto"/>
        <w:right w:val="none" w:sz="0" w:space="0" w:color="auto"/>
      </w:divBdr>
    </w:div>
    <w:div w:id="1733000328">
      <w:bodyDiv w:val="1"/>
      <w:marLeft w:val="0"/>
      <w:marRight w:val="0"/>
      <w:marTop w:val="0"/>
      <w:marBottom w:val="0"/>
      <w:divBdr>
        <w:top w:val="none" w:sz="0" w:space="0" w:color="auto"/>
        <w:left w:val="none" w:sz="0" w:space="0" w:color="auto"/>
        <w:bottom w:val="none" w:sz="0" w:space="0" w:color="auto"/>
        <w:right w:val="none" w:sz="0" w:space="0" w:color="auto"/>
      </w:divBdr>
    </w:div>
    <w:div w:id="1733043458">
      <w:bodyDiv w:val="1"/>
      <w:marLeft w:val="0"/>
      <w:marRight w:val="0"/>
      <w:marTop w:val="0"/>
      <w:marBottom w:val="0"/>
      <w:divBdr>
        <w:top w:val="none" w:sz="0" w:space="0" w:color="auto"/>
        <w:left w:val="none" w:sz="0" w:space="0" w:color="auto"/>
        <w:bottom w:val="none" w:sz="0" w:space="0" w:color="auto"/>
        <w:right w:val="none" w:sz="0" w:space="0" w:color="auto"/>
      </w:divBdr>
    </w:div>
    <w:div w:id="1733116350">
      <w:bodyDiv w:val="1"/>
      <w:marLeft w:val="0"/>
      <w:marRight w:val="0"/>
      <w:marTop w:val="0"/>
      <w:marBottom w:val="0"/>
      <w:divBdr>
        <w:top w:val="none" w:sz="0" w:space="0" w:color="auto"/>
        <w:left w:val="none" w:sz="0" w:space="0" w:color="auto"/>
        <w:bottom w:val="none" w:sz="0" w:space="0" w:color="auto"/>
        <w:right w:val="none" w:sz="0" w:space="0" w:color="auto"/>
      </w:divBdr>
    </w:div>
    <w:div w:id="1733119663">
      <w:bodyDiv w:val="1"/>
      <w:marLeft w:val="0"/>
      <w:marRight w:val="0"/>
      <w:marTop w:val="0"/>
      <w:marBottom w:val="0"/>
      <w:divBdr>
        <w:top w:val="none" w:sz="0" w:space="0" w:color="auto"/>
        <w:left w:val="none" w:sz="0" w:space="0" w:color="auto"/>
        <w:bottom w:val="none" w:sz="0" w:space="0" w:color="auto"/>
        <w:right w:val="none" w:sz="0" w:space="0" w:color="auto"/>
      </w:divBdr>
    </w:div>
    <w:div w:id="1733194357">
      <w:bodyDiv w:val="1"/>
      <w:marLeft w:val="0"/>
      <w:marRight w:val="0"/>
      <w:marTop w:val="0"/>
      <w:marBottom w:val="0"/>
      <w:divBdr>
        <w:top w:val="none" w:sz="0" w:space="0" w:color="auto"/>
        <w:left w:val="none" w:sz="0" w:space="0" w:color="auto"/>
        <w:bottom w:val="none" w:sz="0" w:space="0" w:color="auto"/>
        <w:right w:val="none" w:sz="0" w:space="0" w:color="auto"/>
      </w:divBdr>
    </w:div>
    <w:div w:id="1733233547">
      <w:bodyDiv w:val="1"/>
      <w:marLeft w:val="0"/>
      <w:marRight w:val="0"/>
      <w:marTop w:val="0"/>
      <w:marBottom w:val="0"/>
      <w:divBdr>
        <w:top w:val="none" w:sz="0" w:space="0" w:color="auto"/>
        <w:left w:val="none" w:sz="0" w:space="0" w:color="auto"/>
        <w:bottom w:val="none" w:sz="0" w:space="0" w:color="auto"/>
        <w:right w:val="none" w:sz="0" w:space="0" w:color="auto"/>
      </w:divBdr>
    </w:div>
    <w:div w:id="1733238237">
      <w:bodyDiv w:val="1"/>
      <w:marLeft w:val="0"/>
      <w:marRight w:val="0"/>
      <w:marTop w:val="0"/>
      <w:marBottom w:val="0"/>
      <w:divBdr>
        <w:top w:val="none" w:sz="0" w:space="0" w:color="auto"/>
        <w:left w:val="none" w:sz="0" w:space="0" w:color="auto"/>
        <w:bottom w:val="none" w:sz="0" w:space="0" w:color="auto"/>
        <w:right w:val="none" w:sz="0" w:space="0" w:color="auto"/>
      </w:divBdr>
    </w:div>
    <w:div w:id="1733310807">
      <w:bodyDiv w:val="1"/>
      <w:marLeft w:val="0"/>
      <w:marRight w:val="0"/>
      <w:marTop w:val="0"/>
      <w:marBottom w:val="0"/>
      <w:divBdr>
        <w:top w:val="none" w:sz="0" w:space="0" w:color="auto"/>
        <w:left w:val="none" w:sz="0" w:space="0" w:color="auto"/>
        <w:bottom w:val="none" w:sz="0" w:space="0" w:color="auto"/>
        <w:right w:val="none" w:sz="0" w:space="0" w:color="auto"/>
      </w:divBdr>
    </w:div>
    <w:div w:id="1733313295">
      <w:bodyDiv w:val="1"/>
      <w:marLeft w:val="0"/>
      <w:marRight w:val="0"/>
      <w:marTop w:val="0"/>
      <w:marBottom w:val="0"/>
      <w:divBdr>
        <w:top w:val="none" w:sz="0" w:space="0" w:color="auto"/>
        <w:left w:val="none" w:sz="0" w:space="0" w:color="auto"/>
        <w:bottom w:val="none" w:sz="0" w:space="0" w:color="auto"/>
        <w:right w:val="none" w:sz="0" w:space="0" w:color="auto"/>
      </w:divBdr>
    </w:div>
    <w:div w:id="1733313562">
      <w:bodyDiv w:val="1"/>
      <w:marLeft w:val="0"/>
      <w:marRight w:val="0"/>
      <w:marTop w:val="0"/>
      <w:marBottom w:val="0"/>
      <w:divBdr>
        <w:top w:val="none" w:sz="0" w:space="0" w:color="auto"/>
        <w:left w:val="none" w:sz="0" w:space="0" w:color="auto"/>
        <w:bottom w:val="none" w:sz="0" w:space="0" w:color="auto"/>
        <w:right w:val="none" w:sz="0" w:space="0" w:color="auto"/>
      </w:divBdr>
    </w:div>
    <w:div w:id="1733575862">
      <w:bodyDiv w:val="1"/>
      <w:marLeft w:val="0"/>
      <w:marRight w:val="0"/>
      <w:marTop w:val="0"/>
      <w:marBottom w:val="0"/>
      <w:divBdr>
        <w:top w:val="none" w:sz="0" w:space="0" w:color="auto"/>
        <w:left w:val="none" w:sz="0" w:space="0" w:color="auto"/>
        <w:bottom w:val="none" w:sz="0" w:space="0" w:color="auto"/>
        <w:right w:val="none" w:sz="0" w:space="0" w:color="auto"/>
      </w:divBdr>
    </w:div>
    <w:div w:id="1733625587">
      <w:bodyDiv w:val="1"/>
      <w:marLeft w:val="0"/>
      <w:marRight w:val="0"/>
      <w:marTop w:val="0"/>
      <w:marBottom w:val="0"/>
      <w:divBdr>
        <w:top w:val="none" w:sz="0" w:space="0" w:color="auto"/>
        <w:left w:val="none" w:sz="0" w:space="0" w:color="auto"/>
        <w:bottom w:val="none" w:sz="0" w:space="0" w:color="auto"/>
        <w:right w:val="none" w:sz="0" w:space="0" w:color="auto"/>
      </w:divBdr>
    </w:div>
    <w:div w:id="1733767184">
      <w:bodyDiv w:val="1"/>
      <w:marLeft w:val="0"/>
      <w:marRight w:val="0"/>
      <w:marTop w:val="0"/>
      <w:marBottom w:val="0"/>
      <w:divBdr>
        <w:top w:val="none" w:sz="0" w:space="0" w:color="auto"/>
        <w:left w:val="none" w:sz="0" w:space="0" w:color="auto"/>
        <w:bottom w:val="none" w:sz="0" w:space="0" w:color="auto"/>
        <w:right w:val="none" w:sz="0" w:space="0" w:color="auto"/>
      </w:divBdr>
    </w:div>
    <w:div w:id="1733965485">
      <w:bodyDiv w:val="1"/>
      <w:marLeft w:val="0"/>
      <w:marRight w:val="0"/>
      <w:marTop w:val="0"/>
      <w:marBottom w:val="0"/>
      <w:divBdr>
        <w:top w:val="none" w:sz="0" w:space="0" w:color="auto"/>
        <w:left w:val="none" w:sz="0" w:space="0" w:color="auto"/>
        <w:bottom w:val="none" w:sz="0" w:space="0" w:color="auto"/>
        <w:right w:val="none" w:sz="0" w:space="0" w:color="auto"/>
      </w:divBdr>
    </w:div>
    <w:div w:id="1734036088">
      <w:bodyDiv w:val="1"/>
      <w:marLeft w:val="0"/>
      <w:marRight w:val="0"/>
      <w:marTop w:val="0"/>
      <w:marBottom w:val="0"/>
      <w:divBdr>
        <w:top w:val="none" w:sz="0" w:space="0" w:color="auto"/>
        <w:left w:val="none" w:sz="0" w:space="0" w:color="auto"/>
        <w:bottom w:val="none" w:sz="0" w:space="0" w:color="auto"/>
        <w:right w:val="none" w:sz="0" w:space="0" w:color="auto"/>
      </w:divBdr>
    </w:div>
    <w:div w:id="1734233608">
      <w:bodyDiv w:val="1"/>
      <w:marLeft w:val="0"/>
      <w:marRight w:val="0"/>
      <w:marTop w:val="0"/>
      <w:marBottom w:val="0"/>
      <w:divBdr>
        <w:top w:val="none" w:sz="0" w:space="0" w:color="auto"/>
        <w:left w:val="none" w:sz="0" w:space="0" w:color="auto"/>
        <w:bottom w:val="none" w:sz="0" w:space="0" w:color="auto"/>
        <w:right w:val="none" w:sz="0" w:space="0" w:color="auto"/>
      </w:divBdr>
    </w:div>
    <w:div w:id="1734238344">
      <w:bodyDiv w:val="1"/>
      <w:marLeft w:val="0"/>
      <w:marRight w:val="0"/>
      <w:marTop w:val="0"/>
      <w:marBottom w:val="0"/>
      <w:divBdr>
        <w:top w:val="none" w:sz="0" w:space="0" w:color="auto"/>
        <w:left w:val="none" w:sz="0" w:space="0" w:color="auto"/>
        <w:bottom w:val="none" w:sz="0" w:space="0" w:color="auto"/>
        <w:right w:val="none" w:sz="0" w:space="0" w:color="auto"/>
      </w:divBdr>
    </w:div>
    <w:div w:id="1734304574">
      <w:bodyDiv w:val="1"/>
      <w:marLeft w:val="0"/>
      <w:marRight w:val="0"/>
      <w:marTop w:val="0"/>
      <w:marBottom w:val="0"/>
      <w:divBdr>
        <w:top w:val="none" w:sz="0" w:space="0" w:color="auto"/>
        <w:left w:val="none" w:sz="0" w:space="0" w:color="auto"/>
        <w:bottom w:val="none" w:sz="0" w:space="0" w:color="auto"/>
        <w:right w:val="none" w:sz="0" w:space="0" w:color="auto"/>
      </w:divBdr>
    </w:div>
    <w:div w:id="1734304577">
      <w:bodyDiv w:val="1"/>
      <w:marLeft w:val="0"/>
      <w:marRight w:val="0"/>
      <w:marTop w:val="0"/>
      <w:marBottom w:val="0"/>
      <w:divBdr>
        <w:top w:val="none" w:sz="0" w:space="0" w:color="auto"/>
        <w:left w:val="none" w:sz="0" w:space="0" w:color="auto"/>
        <w:bottom w:val="none" w:sz="0" w:space="0" w:color="auto"/>
        <w:right w:val="none" w:sz="0" w:space="0" w:color="auto"/>
      </w:divBdr>
    </w:div>
    <w:div w:id="1734305139">
      <w:bodyDiv w:val="1"/>
      <w:marLeft w:val="0"/>
      <w:marRight w:val="0"/>
      <w:marTop w:val="0"/>
      <w:marBottom w:val="0"/>
      <w:divBdr>
        <w:top w:val="none" w:sz="0" w:space="0" w:color="auto"/>
        <w:left w:val="none" w:sz="0" w:space="0" w:color="auto"/>
        <w:bottom w:val="none" w:sz="0" w:space="0" w:color="auto"/>
        <w:right w:val="none" w:sz="0" w:space="0" w:color="auto"/>
      </w:divBdr>
    </w:div>
    <w:div w:id="1734306059">
      <w:bodyDiv w:val="1"/>
      <w:marLeft w:val="0"/>
      <w:marRight w:val="0"/>
      <w:marTop w:val="0"/>
      <w:marBottom w:val="0"/>
      <w:divBdr>
        <w:top w:val="none" w:sz="0" w:space="0" w:color="auto"/>
        <w:left w:val="none" w:sz="0" w:space="0" w:color="auto"/>
        <w:bottom w:val="none" w:sz="0" w:space="0" w:color="auto"/>
        <w:right w:val="none" w:sz="0" w:space="0" w:color="auto"/>
      </w:divBdr>
    </w:div>
    <w:div w:id="1734352118">
      <w:bodyDiv w:val="1"/>
      <w:marLeft w:val="0"/>
      <w:marRight w:val="0"/>
      <w:marTop w:val="0"/>
      <w:marBottom w:val="0"/>
      <w:divBdr>
        <w:top w:val="none" w:sz="0" w:space="0" w:color="auto"/>
        <w:left w:val="none" w:sz="0" w:space="0" w:color="auto"/>
        <w:bottom w:val="none" w:sz="0" w:space="0" w:color="auto"/>
        <w:right w:val="none" w:sz="0" w:space="0" w:color="auto"/>
      </w:divBdr>
    </w:div>
    <w:div w:id="1734356171">
      <w:bodyDiv w:val="1"/>
      <w:marLeft w:val="0"/>
      <w:marRight w:val="0"/>
      <w:marTop w:val="0"/>
      <w:marBottom w:val="0"/>
      <w:divBdr>
        <w:top w:val="none" w:sz="0" w:space="0" w:color="auto"/>
        <w:left w:val="none" w:sz="0" w:space="0" w:color="auto"/>
        <w:bottom w:val="none" w:sz="0" w:space="0" w:color="auto"/>
        <w:right w:val="none" w:sz="0" w:space="0" w:color="auto"/>
      </w:divBdr>
    </w:div>
    <w:div w:id="1734544525">
      <w:bodyDiv w:val="1"/>
      <w:marLeft w:val="0"/>
      <w:marRight w:val="0"/>
      <w:marTop w:val="0"/>
      <w:marBottom w:val="0"/>
      <w:divBdr>
        <w:top w:val="none" w:sz="0" w:space="0" w:color="auto"/>
        <w:left w:val="none" w:sz="0" w:space="0" w:color="auto"/>
        <w:bottom w:val="none" w:sz="0" w:space="0" w:color="auto"/>
        <w:right w:val="none" w:sz="0" w:space="0" w:color="auto"/>
      </w:divBdr>
    </w:div>
    <w:div w:id="1734691493">
      <w:bodyDiv w:val="1"/>
      <w:marLeft w:val="0"/>
      <w:marRight w:val="0"/>
      <w:marTop w:val="0"/>
      <w:marBottom w:val="0"/>
      <w:divBdr>
        <w:top w:val="none" w:sz="0" w:space="0" w:color="auto"/>
        <w:left w:val="none" w:sz="0" w:space="0" w:color="auto"/>
        <w:bottom w:val="none" w:sz="0" w:space="0" w:color="auto"/>
        <w:right w:val="none" w:sz="0" w:space="0" w:color="auto"/>
      </w:divBdr>
    </w:div>
    <w:div w:id="1734695797">
      <w:bodyDiv w:val="1"/>
      <w:marLeft w:val="0"/>
      <w:marRight w:val="0"/>
      <w:marTop w:val="0"/>
      <w:marBottom w:val="0"/>
      <w:divBdr>
        <w:top w:val="none" w:sz="0" w:space="0" w:color="auto"/>
        <w:left w:val="none" w:sz="0" w:space="0" w:color="auto"/>
        <w:bottom w:val="none" w:sz="0" w:space="0" w:color="auto"/>
        <w:right w:val="none" w:sz="0" w:space="0" w:color="auto"/>
      </w:divBdr>
    </w:div>
    <w:div w:id="1734963516">
      <w:bodyDiv w:val="1"/>
      <w:marLeft w:val="0"/>
      <w:marRight w:val="0"/>
      <w:marTop w:val="0"/>
      <w:marBottom w:val="0"/>
      <w:divBdr>
        <w:top w:val="none" w:sz="0" w:space="0" w:color="auto"/>
        <w:left w:val="none" w:sz="0" w:space="0" w:color="auto"/>
        <w:bottom w:val="none" w:sz="0" w:space="0" w:color="auto"/>
        <w:right w:val="none" w:sz="0" w:space="0" w:color="auto"/>
      </w:divBdr>
    </w:div>
    <w:div w:id="1735006606">
      <w:bodyDiv w:val="1"/>
      <w:marLeft w:val="0"/>
      <w:marRight w:val="0"/>
      <w:marTop w:val="0"/>
      <w:marBottom w:val="0"/>
      <w:divBdr>
        <w:top w:val="none" w:sz="0" w:space="0" w:color="auto"/>
        <w:left w:val="none" w:sz="0" w:space="0" w:color="auto"/>
        <w:bottom w:val="none" w:sz="0" w:space="0" w:color="auto"/>
        <w:right w:val="none" w:sz="0" w:space="0" w:color="auto"/>
      </w:divBdr>
    </w:div>
    <w:div w:id="1735161346">
      <w:bodyDiv w:val="1"/>
      <w:marLeft w:val="0"/>
      <w:marRight w:val="0"/>
      <w:marTop w:val="0"/>
      <w:marBottom w:val="0"/>
      <w:divBdr>
        <w:top w:val="none" w:sz="0" w:space="0" w:color="auto"/>
        <w:left w:val="none" w:sz="0" w:space="0" w:color="auto"/>
        <w:bottom w:val="none" w:sz="0" w:space="0" w:color="auto"/>
        <w:right w:val="none" w:sz="0" w:space="0" w:color="auto"/>
      </w:divBdr>
    </w:div>
    <w:div w:id="1735228690">
      <w:bodyDiv w:val="1"/>
      <w:marLeft w:val="0"/>
      <w:marRight w:val="0"/>
      <w:marTop w:val="0"/>
      <w:marBottom w:val="0"/>
      <w:divBdr>
        <w:top w:val="none" w:sz="0" w:space="0" w:color="auto"/>
        <w:left w:val="none" w:sz="0" w:space="0" w:color="auto"/>
        <w:bottom w:val="none" w:sz="0" w:space="0" w:color="auto"/>
        <w:right w:val="none" w:sz="0" w:space="0" w:color="auto"/>
      </w:divBdr>
    </w:div>
    <w:div w:id="1735273853">
      <w:bodyDiv w:val="1"/>
      <w:marLeft w:val="0"/>
      <w:marRight w:val="0"/>
      <w:marTop w:val="0"/>
      <w:marBottom w:val="0"/>
      <w:divBdr>
        <w:top w:val="none" w:sz="0" w:space="0" w:color="auto"/>
        <w:left w:val="none" w:sz="0" w:space="0" w:color="auto"/>
        <w:bottom w:val="none" w:sz="0" w:space="0" w:color="auto"/>
        <w:right w:val="none" w:sz="0" w:space="0" w:color="auto"/>
      </w:divBdr>
    </w:div>
    <w:div w:id="1735276065">
      <w:bodyDiv w:val="1"/>
      <w:marLeft w:val="0"/>
      <w:marRight w:val="0"/>
      <w:marTop w:val="0"/>
      <w:marBottom w:val="0"/>
      <w:divBdr>
        <w:top w:val="none" w:sz="0" w:space="0" w:color="auto"/>
        <w:left w:val="none" w:sz="0" w:space="0" w:color="auto"/>
        <w:bottom w:val="none" w:sz="0" w:space="0" w:color="auto"/>
        <w:right w:val="none" w:sz="0" w:space="0" w:color="auto"/>
      </w:divBdr>
    </w:div>
    <w:div w:id="1735279206">
      <w:bodyDiv w:val="1"/>
      <w:marLeft w:val="0"/>
      <w:marRight w:val="0"/>
      <w:marTop w:val="0"/>
      <w:marBottom w:val="0"/>
      <w:divBdr>
        <w:top w:val="none" w:sz="0" w:space="0" w:color="auto"/>
        <w:left w:val="none" w:sz="0" w:space="0" w:color="auto"/>
        <w:bottom w:val="none" w:sz="0" w:space="0" w:color="auto"/>
        <w:right w:val="none" w:sz="0" w:space="0" w:color="auto"/>
      </w:divBdr>
    </w:div>
    <w:div w:id="1735470250">
      <w:bodyDiv w:val="1"/>
      <w:marLeft w:val="0"/>
      <w:marRight w:val="0"/>
      <w:marTop w:val="0"/>
      <w:marBottom w:val="0"/>
      <w:divBdr>
        <w:top w:val="none" w:sz="0" w:space="0" w:color="auto"/>
        <w:left w:val="none" w:sz="0" w:space="0" w:color="auto"/>
        <w:bottom w:val="none" w:sz="0" w:space="0" w:color="auto"/>
        <w:right w:val="none" w:sz="0" w:space="0" w:color="auto"/>
      </w:divBdr>
    </w:div>
    <w:div w:id="1735472117">
      <w:bodyDiv w:val="1"/>
      <w:marLeft w:val="0"/>
      <w:marRight w:val="0"/>
      <w:marTop w:val="0"/>
      <w:marBottom w:val="0"/>
      <w:divBdr>
        <w:top w:val="none" w:sz="0" w:space="0" w:color="auto"/>
        <w:left w:val="none" w:sz="0" w:space="0" w:color="auto"/>
        <w:bottom w:val="none" w:sz="0" w:space="0" w:color="auto"/>
        <w:right w:val="none" w:sz="0" w:space="0" w:color="auto"/>
      </w:divBdr>
    </w:div>
    <w:div w:id="1735732868">
      <w:bodyDiv w:val="1"/>
      <w:marLeft w:val="0"/>
      <w:marRight w:val="0"/>
      <w:marTop w:val="0"/>
      <w:marBottom w:val="0"/>
      <w:divBdr>
        <w:top w:val="none" w:sz="0" w:space="0" w:color="auto"/>
        <w:left w:val="none" w:sz="0" w:space="0" w:color="auto"/>
        <w:bottom w:val="none" w:sz="0" w:space="0" w:color="auto"/>
        <w:right w:val="none" w:sz="0" w:space="0" w:color="auto"/>
      </w:divBdr>
    </w:div>
    <w:div w:id="1735740682">
      <w:bodyDiv w:val="1"/>
      <w:marLeft w:val="0"/>
      <w:marRight w:val="0"/>
      <w:marTop w:val="0"/>
      <w:marBottom w:val="0"/>
      <w:divBdr>
        <w:top w:val="none" w:sz="0" w:space="0" w:color="auto"/>
        <w:left w:val="none" w:sz="0" w:space="0" w:color="auto"/>
        <w:bottom w:val="none" w:sz="0" w:space="0" w:color="auto"/>
        <w:right w:val="none" w:sz="0" w:space="0" w:color="auto"/>
      </w:divBdr>
    </w:div>
    <w:div w:id="1735740889">
      <w:bodyDiv w:val="1"/>
      <w:marLeft w:val="0"/>
      <w:marRight w:val="0"/>
      <w:marTop w:val="0"/>
      <w:marBottom w:val="0"/>
      <w:divBdr>
        <w:top w:val="none" w:sz="0" w:space="0" w:color="auto"/>
        <w:left w:val="none" w:sz="0" w:space="0" w:color="auto"/>
        <w:bottom w:val="none" w:sz="0" w:space="0" w:color="auto"/>
        <w:right w:val="none" w:sz="0" w:space="0" w:color="auto"/>
      </w:divBdr>
      <w:divsChild>
        <w:div w:id="6756164">
          <w:marLeft w:val="0"/>
          <w:marRight w:val="0"/>
          <w:marTop w:val="0"/>
          <w:marBottom w:val="0"/>
          <w:divBdr>
            <w:top w:val="none" w:sz="0" w:space="0" w:color="auto"/>
            <w:left w:val="none" w:sz="0" w:space="0" w:color="auto"/>
            <w:bottom w:val="none" w:sz="0" w:space="0" w:color="auto"/>
            <w:right w:val="none" w:sz="0" w:space="0" w:color="auto"/>
          </w:divBdr>
        </w:div>
        <w:div w:id="28378801">
          <w:marLeft w:val="0"/>
          <w:marRight w:val="0"/>
          <w:marTop w:val="0"/>
          <w:marBottom w:val="0"/>
          <w:divBdr>
            <w:top w:val="none" w:sz="0" w:space="0" w:color="auto"/>
            <w:left w:val="none" w:sz="0" w:space="0" w:color="auto"/>
            <w:bottom w:val="none" w:sz="0" w:space="0" w:color="auto"/>
            <w:right w:val="none" w:sz="0" w:space="0" w:color="auto"/>
          </w:divBdr>
        </w:div>
        <w:div w:id="65156002">
          <w:marLeft w:val="0"/>
          <w:marRight w:val="0"/>
          <w:marTop w:val="0"/>
          <w:marBottom w:val="0"/>
          <w:divBdr>
            <w:top w:val="none" w:sz="0" w:space="0" w:color="auto"/>
            <w:left w:val="none" w:sz="0" w:space="0" w:color="auto"/>
            <w:bottom w:val="none" w:sz="0" w:space="0" w:color="auto"/>
            <w:right w:val="none" w:sz="0" w:space="0" w:color="auto"/>
          </w:divBdr>
        </w:div>
        <w:div w:id="69427048">
          <w:marLeft w:val="0"/>
          <w:marRight w:val="0"/>
          <w:marTop w:val="0"/>
          <w:marBottom w:val="0"/>
          <w:divBdr>
            <w:top w:val="none" w:sz="0" w:space="0" w:color="auto"/>
            <w:left w:val="none" w:sz="0" w:space="0" w:color="auto"/>
            <w:bottom w:val="none" w:sz="0" w:space="0" w:color="auto"/>
            <w:right w:val="none" w:sz="0" w:space="0" w:color="auto"/>
          </w:divBdr>
        </w:div>
        <w:div w:id="78253111">
          <w:marLeft w:val="0"/>
          <w:marRight w:val="0"/>
          <w:marTop w:val="0"/>
          <w:marBottom w:val="0"/>
          <w:divBdr>
            <w:top w:val="none" w:sz="0" w:space="0" w:color="auto"/>
            <w:left w:val="none" w:sz="0" w:space="0" w:color="auto"/>
            <w:bottom w:val="none" w:sz="0" w:space="0" w:color="auto"/>
            <w:right w:val="none" w:sz="0" w:space="0" w:color="auto"/>
          </w:divBdr>
        </w:div>
        <w:div w:id="92753315">
          <w:marLeft w:val="0"/>
          <w:marRight w:val="0"/>
          <w:marTop w:val="0"/>
          <w:marBottom w:val="0"/>
          <w:divBdr>
            <w:top w:val="none" w:sz="0" w:space="0" w:color="auto"/>
            <w:left w:val="none" w:sz="0" w:space="0" w:color="auto"/>
            <w:bottom w:val="none" w:sz="0" w:space="0" w:color="auto"/>
            <w:right w:val="none" w:sz="0" w:space="0" w:color="auto"/>
          </w:divBdr>
        </w:div>
        <w:div w:id="104928460">
          <w:marLeft w:val="0"/>
          <w:marRight w:val="0"/>
          <w:marTop w:val="0"/>
          <w:marBottom w:val="0"/>
          <w:divBdr>
            <w:top w:val="none" w:sz="0" w:space="0" w:color="auto"/>
            <w:left w:val="none" w:sz="0" w:space="0" w:color="auto"/>
            <w:bottom w:val="none" w:sz="0" w:space="0" w:color="auto"/>
            <w:right w:val="none" w:sz="0" w:space="0" w:color="auto"/>
          </w:divBdr>
        </w:div>
        <w:div w:id="114491841">
          <w:marLeft w:val="0"/>
          <w:marRight w:val="0"/>
          <w:marTop w:val="0"/>
          <w:marBottom w:val="0"/>
          <w:divBdr>
            <w:top w:val="none" w:sz="0" w:space="0" w:color="auto"/>
            <w:left w:val="none" w:sz="0" w:space="0" w:color="auto"/>
            <w:bottom w:val="none" w:sz="0" w:space="0" w:color="auto"/>
            <w:right w:val="none" w:sz="0" w:space="0" w:color="auto"/>
          </w:divBdr>
        </w:div>
        <w:div w:id="120076610">
          <w:marLeft w:val="0"/>
          <w:marRight w:val="0"/>
          <w:marTop w:val="0"/>
          <w:marBottom w:val="0"/>
          <w:divBdr>
            <w:top w:val="none" w:sz="0" w:space="0" w:color="auto"/>
            <w:left w:val="none" w:sz="0" w:space="0" w:color="auto"/>
            <w:bottom w:val="none" w:sz="0" w:space="0" w:color="auto"/>
            <w:right w:val="none" w:sz="0" w:space="0" w:color="auto"/>
          </w:divBdr>
        </w:div>
        <w:div w:id="147482292">
          <w:marLeft w:val="0"/>
          <w:marRight w:val="0"/>
          <w:marTop w:val="0"/>
          <w:marBottom w:val="0"/>
          <w:divBdr>
            <w:top w:val="none" w:sz="0" w:space="0" w:color="auto"/>
            <w:left w:val="none" w:sz="0" w:space="0" w:color="auto"/>
            <w:bottom w:val="none" w:sz="0" w:space="0" w:color="auto"/>
            <w:right w:val="none" w:sz="0" w:space="0" w:color="auto"/>
          </w:divBdr>
        </w:div>
        <w:div w:id="148642680">
          <w:marLeft w:val="0"/>
          <w:marRight w:val="0"/>
          <w:marTop w:val="0"/>
          <w:marBottom w:val="0"/>
          <w:divBdr>
            <w:top w:val="none" w:sz="0" w:space="0" w:color="auto"/>
            <w:left w:val="none" w:sz="0" w:space="0" w:color="auto"/>
            <w:bottom w:val="none" w:sz="0" w:space="0" w:color="auto"/>
            <w:right w:val="none" w:sz="0" w:space="0" w:color="auto"/>
          </w:divBdr>
        </w:div>
        <w:div w:id="161748137">
          <w:marLeft w:val="0"/>
          <w:marRight w:val="0"/>
          <w:marTop w:val="0"/>
          <w:marBottom w:val="0"/>
          <w:divBdr>
            <w:top w:val="none" w:sz="0" w:space="0" w:color="auto"/>
            <w:left w:val="none" w:sz="0" w:space="0" w:color="auto"/>
            <w:bottom w:val="none" w:sz="0" w:space="0" w:color="auto"/>
            <w:right w:val="none" w:sz="0" w:space="0" w:color="auto"/>
          </w:divBdr>
        </w:div>
        <w:div w:id="170871882">
          <w:marLeft w:val="0"/>
          <w:marRight w:val="0"/>
          <w:marTop w:val="0"/>
          <w:marBottom w:val="0"/>
          <w:divBdr>
            <w:top w:val="none" w:sz="0" w:space="0" w:color="auto"/>
            <w:left w:val="none" w:sz="0" w:space="0" w:color="auto"/>
            <w:bottom w:val="none" w:sz="0" w:space="0" w:color="auto"/>
            <w:right w:val="none" w:sz="0" w:space="0" w:color="auto"/>
          </w:divBdr>
        </w:div>
        <w:div w:id="173037555">
          <w:marLeft w:val="0"/>
          <w:marRight w:val="0"/>
          <w:marTop w:val="0"/>
          <w:marBottom w:val="0"/>
          <w:divBdr>
            <w:top w:val="none" w:sz="0" w:space="0" w:color="auto"/>
            <w:left w:val="none" w:sz="0" w:space="0" w:color="auto"/>
            <w:bottom w:val="none" w:sz="0" w:space="0" w:color="auto"/>
            <w:right w:val="none" w:sz="0" w:space="0" w:color="auto"/>
          </w:divBdr>
        </w:div>
        <w:div w:id="199558186">
          <w:marLeft w:val="0"/>
          <w:marRight w:val="0"/>
          <w:marTop w:val="0"/>
          <w:marBottom w:val="0"/>
          <w:divBdr>
            <w:top w:val="none" w:sz="0" w:space="0" w:color="auto"/>
            <w:left w:val="none" w:sz="0" w:space="0" w:color="auto"/>
            <w:bottom w:val="none" w:sz="0" w:space="0" w:color="auto"/>
            <w:right w:val="none" w:sz="0" w:space="0" w:color="auto"/>
          </w:divBdr>
        </w:div>
        <w:div w:id="210267008">
          <w:marLeft w:val="0"/>
          <w:marRight w:val="0"/>
          <w:marTop w:val="0"/>
          <w:marBottom w:val="0"/>
          <w:divBdr>
            <w:top w:val="none" w:sz="0" w:space="0" w:color="auto"/>
            <w:left w:val="none" w:sz="0" w:space="0" w:color="auto"/>
            <w:bottom w:val="none" w:sz="0" w:space="0" w:color="auto"/>
            <w:right w:val="none" w:sz="0" w:space="0" w:color="auto"/>
          </w:divBdr>
        </w:div>
        <w:div w:id="228424275">
          <w:marLeft w:val="0"/>
          <w:marRight w:val="0"/>
          <w:marTop w:val="0"/>
          <w:marBottom w:val="0"/>
          <w:divBdr>
            <w:top w:val="none" w:sz="0" w:space="0" w:color="auto"/>
            <w:left w:val="none" w:sz="0" w:space="0" w:color="auto"/>
            <w:bottom w:val="none" w:sz="0" w:space="0" w:color="auto"/>
            <w:right w:val="none" w:sz="0" w:space="0" w:color="auto"/>
          </w:divBdr>
        </w:div>
        <w:div w:id="236288349">
          <w:marLeft w:val="0"/>
          <w:marRight w:val="0"/>
          <w:marTop w:val="0"/>
          <w:marBottom w:val="0"/>
          <w:divBdr>
            <w:top w:val="none" w:sz="0" w:space="0" w:color="auto"/>
            <w:left w:val="none" w:sz="0" w:space="0" w:color="auto"/>
            <w:bottom w:val="none" w:sz="0" w:space="0" w:color="auto"/>
            <w:right w:val="none" w:sz="0" w:space="0" w:color="auto"/>
          </w:divBdr>
        </w:div>
        <w:div w:id="284115379">
          <w:marLeft w:val="0"/>
          <w:marRight w:val="0"/>
          <w:marTop w:val="0"/>
          <w:marBottom w:val="0"/>
          <w:divBdr>
            <w:top w:val="none" w:sz="0" w:space="0" w:color="auto"/>
            <w:left w:val="none" w:sz="0" w:space="0" w:color="auto"/>
            <w:bottom w:val="none" w:sz="0" w:space="0" w:color="auto"/>
            <w:right w:val="none" w:sz="0" w:space="0" w:color="auto"/>
          </w:divBdr>
        </w:div>
        <w:div w:id="288711779">
          <w:marLeft w:val="0"/>
          <w:marRight w:val="0"/>
          <w:marTop w:val="0"/>
          <w:marBottom w:val="0"/>
          <w:divBdr>
            <w:top w:val="none" w:sz="0" w:space="0" w:color="auto"/>
            <w:left w:val="none" w:sz="0" w:space="0" w:color="auto"/>
            <w:bottom w:val="none" w:sz="0" w:space="0" w:color="auto"/>
            <w:right w:val="none" w:sz="0" w:space="0" w:color="auto"/>
          </w:divBdr>
        </w:div>
        <w:div w:id="307978895">
          <w:marLeft w:val="0"/>
          <w:marRight w:val="0"/>
          <w:marTop w:val="0"/>
          <w:marBottom w:val="0"/>
          <w:divBdr>
            <w:top w:val="none" w:sz="0" w:space="0" w:color="auto"/>
            <w:left w:val="none" w:sz="0" w:space="0" w:color="auto"/>
            <w:bottom w:val="none" w:sz="0" w:space="0" w:color="auto"/>
            <w:right w:val="none" w:sz="0" w:space="0" w:color="auto"/>
          </w:divBdr>
        </w:div>
        <w:div w:id="317685278">
          <w:marLeft w:val="0"/>
          <w:marRight w:val="0"/>
          <w:marTop w:val="0"/>
          <w:marBottom w:val="0"/>
          <w:divBdr>
            <w:top w:val="none" w:sz="0" w:space="0" w:color="auto"/>
            <w:left w:val="none" w:sz="0" w:space="0" w:color="auto"/>
            <w:bottom w:val="none" w:sz="0" w:space="0" w:color="auto"/>
            <w:right w:val="none" w:sz="0" w:space="0" w:color="auto"/>
          </w:divBdr>
        </w:div>
        <w:div w:id="318509153">
          <w:marLeft w:val="0"/>
          <w:marRight w:val="0"/>
          <w:marTop w:val="0"/>
          <w:marBottom w:val="0"/>
          <w:divBdr>
            <w:top w:val="none" w:sz="0" w:space="0" w:color="auto"/>
            <w:left w:val="none" w:sz="0" w:space="0" w:color="auto"/>
            <w:bottom w:val="none" w:sz="0" w:space="0" w:color="auto"/>
            <w:right w:val="none" w:sz="0" w:space="0" w:color="auto"/>
          </w:divBdr>
        </w:div>
        <w:div w:id="319504798">
          <w:marLeft w:val="0"/>
          <w:marRight w:val="0"/>
          <w:marTop w:val="0"/>
          <w:marBottom w:val="0"/>
          <w:divBdr>
            <w:top w:val="none" w:sz="0" w:space="0" w:color="auto"/>
            <w:left w:val="none" w:sz="0" w:space="0" w:color="auto"/>
            <w:bottom w:val="none" w:sz="0" w:space="0" w:color="auto"/>
            <w:right w:val="none" w:sz="0" w:space="0" w:color="auto"/>
          </w:divBdr>
        </w:div>
        <w:div w:id="320431193">
          <w:marLeft w:val="0"/>
          <w:marRight w:val="0"/>
          <w:marTop w:val="0"/>
          <w:marBottom w:val="0"/>
          <w:divBdr>
            <w:top w:val="none" w:sz="0" w:space="0" w:color="auto"/>
            <w:left w:val="none" w:sz="0" w:space="0" w:color="auto"/>
            <w:bottom w:val="none" w:sz="0" w:space="0" w:color="auto"/>
            <w:right w:val="none" w:sz="0" w:space="0" w:color="auto"/>
          </w:divBdr>
        </w:div>
        <w:div w:id="324094974">
          <w:marLeft w:val="0"/>
          <w:marRight w:val="0"/>
          <w:marTop w:val="0"/>
          <w:marBottom w:val="0"/>
          <w:divBdr>
            <w:top w:val="none" w:sz="0" w:space="0" w:color="auto"/>
            <w:left w:val="none" w:sz="0" w:space="0" w:color="auto"/>
            <w:bottom w:val="none" w:sz="0" w:space="0" w:color="auto"/>
            <w:right w:val="none" w:sz="0" w:space="0" w:color="auto"/>
          </w:divBdr>
        </w:div>
        <w:div w:id="327245661">
          <w:marLeft w:val="0"/>
          <w:marRight w:val="0"/>
          <w:marTop w:val="0"/>
          <w:marBottom w:val="0"/>
          <w:divBdr>
            <w:top w:val="none" w:sz="0" w:space="0" w:color="auto"/>
            <w:left w:val="none" w:sz="0" w:space="0" w:color="auto"/>
            <w:bottom w:val="none" w:sz="0" w:space="0" w:color="auto"/>
            <w:right w:val="none" w:sz="0" w:space="0" w:color="auto"/>
          </w:divBdr>
        </w:div>
        <w:div w:id="343872308">
          <w:marLeft w:val="0"/>
          <w:marRight w:val="0"/>
          <w:marTop w:val="0"/>
          <w:marBottom w:val="0"/>
          <w:divBdr>
            <w:top w:val="none" w:sz="0" w:space="0" w:color="auto"/>
            <w:left w:val="none" w:sz="0" w:space="0" w:color="auto"/>
            <w:bottom w:val="none" w:sz="0" w:space="0" w:color="auto"/>
            <w:right w:val="none" w:sz="0" w:space="0" w:color="auto"/>
          </w:divBdr>
        </w:div>
        <w:div w:id="349993269">
          <w:marLeft w:val="0"/>
          <w:marRight w:val="0"/>
          <w:marTop w:val="0"/>
          <w:marBottom w:val="0"/>
          <w:divBdr>
            <w:top w:val="none" w:sz="0" w:space="0" w:color="auto"/>
            <w:left w:val="none" w:sz="0" w:space="0" w:color="auto"/>
            <w:bottom w:val="none" w:sz="0" w:space="0" w:color="auto"/>
            <w:right w:val="none" w:sz="0" w:space="0" w:color="auto"/>
          </w:divBdr>
        </w:div>
        <w:div w:id="352657678">
          <w:marLeft w:val="0"/>
          <w:marRight w:val="0"/>
          <w:marTop w:val="0"/>
          <w:marBottom w:val="0"/>
          <w:divBdr>
            <w:top w:val="none" w:sz="0" w:space="0" w:color="auto"/>
            <w:left w:val="none" w:sz="0" w:space="0" w:color="auto"/>
            <w:bottom w:val="none" w:sz="0" w:space="0" w:color="auto"/>
            <w:right w:val="none" w:sz="0" w:space="0" w:color="auto"/>
          </w:divBdr>
        </w:div>
        <w:div w:id="366369593">
          <w:marLeft w:val="0"/>
          <w:marRight w:val="0"/>
          <w:marTop w:val="0"/>
          <w:marBottom w:val="0"/>
          <w:divBdr>
            <w:top w:val="none" w:sz="0" w:space="0" w:color="auto"/>
            <w:left w:val="none" w:sz="0" w:space="0" w:color="auto"/>
            <w:bottom w:val="none" w:sz="0" w:space="0" w:color="auto"/>
            <w:right w:val="none" w:sz="0" w:space="0" w:color="auto"/>
          </w:divBdr>
        </w:div>
        <w:div w:id="373428863">
          <w:marLeft w:val="0"/>
          <w:marRight w:val="0"/>
          <w:marTop w:val="0"/>
          <w:marBottom w:val="0"/>
          <w:divBdr>
            <w:top w:val="none" w:sz="0" w:space="0" w:color="auto"/>
            <w:left w:val="none" w:sz="0" w:space="0" w:color="auto"/>
            <w:bottom w:val="none" w:sz="0" w:space="0" w:color="auto"/>
            <w:right w:val="none" w:sz="0" w:space="0" w:color="auto"/>
          </w:divBdr>
        </w:div>
        <w:div w:id="385372271">
          <w:marLeft w:val="0"/>
          <w:marRight w:val="0"/>
          <w:marTop w:val="0"/>
          <w:marBottom w:val="0"/>
          <w:divBdr>
            <w:top w:val="none" w:sz="0" w:space="0" w:color="auto"/>
            <w:left w:val="none" w:sz="0" w:space="0" w:color="auto"/>
            <w:bottom w:val="none" w:sz="0" w:space="0" w:color="auto"/>
            <w:right w:val="none" w:sz="0" w:space="0" w:color="auto"/>
          </w:divBdr>
        </w:div>
        <w:div w:id="387538368">
          <w:marLeft w:val="0"/>
          <w:marRight w:val="0"/>
          <w:marTop w:val="0"/>
          <w:marBottom w:val="0"/>
          <w:divBdr>
            <w:top w:val="none" w:sz="0" w:space="0" w:color="auto"/>
            <w:left w:val="none" w:sz="0" w:space="0" w:color="auto"/>
            <w:bottom w:val="none" w:sz="0" w:space="0" w:color="auto"/>
            <w:right w:val="none" w:sz="0" w:space="0" w:color="auto"/>
          </w:divBdr>
        </w:div>
        <w:div w:id="394396459">
          <w:marLeft w:val="0"/>
          <w:marRight w:val="0"/>
          <w:marTop w:val="0"/>
          <w:marBottom w:val="0"/>
          <w:divBdr>
            <w:top w:val="none" w:sz="0" w:space="0" w:color="auto"/>
            <w:left w:val="none" w:sz="0" w:space="0" w:color="auto"/>
            <w:bottom w:val="none" w:sz="0" w:space="0" w:color="auto"/>
            <w:right w:val="none" w:sz="0" w:space="0" w:color="auto"/>
          </w:divBdr>
        </w:div>
        <w:div w:id="403065410">
          <w:marLeft w:val="0"/>
          <w:marRight w:val="0"/>
          <w:marTop w:val="0"/>
          <w:marBottom w:val="0"/>
          <w:divBdr>
            <w:top w:val="none" w:sz="0" w:space="0" w:color="auto"/>
            <w:left w:val="none" w:sz="0" w:space="0" w:color="auto"/>
            <w:bottom w:val="none" w:sz="0" w:space="0" w:color="auto"/>
            <w:right w:val="none" w:sz="0" w:space="0" w:color="auto"/>
          </w:divBdr>
        </w:div>
        <w:div w:id="403917622">
          <w:marLeft w:val="0"/>
          <w:marRight w:val="0"/>
          <w:marTop w:val="0"/>
          <w:marBottom w:val="0"/>
          <w:divBdr>
            <w:top w:val="none" w:sz="0" w:space="0" w:color="auto"/>
            <w:left w:val="none" w:sz="0" w:space="0" w:color="auto"/>
            <w:bottom w:val="none" w:sz="0" w:space="0" w:color="auto"/>
            <w:right w:val="none" w:sz="0" w:space="0" w:color="auto"/>
          </w:divBdr>
        </w:div>
        <w:div w:id="411975419">
          <w:marLeft w:val="0"/>
          <w:marRight w:val="0"/>
          <w:marTop w:val="0"/>
          <w:marBottom w:val="0"/>
          <w:divBdr>
            <w:top w:val="none" w:sz="0" w:space="0" w:color="auto"/>
            <w:left w:val="none" w:sz="0" w:space="0" w:color="auto"/>
            <w:bottom w:val="none" w:sz="0" w:space="0" w:color="auto"/>
            <w:right w:val="none" w:sz="0" w:space="0" w:color="auto"/>
          </w:divBdr>
        </w:div>
        <w:div w:id="412513359">
          <w:marLeft w:val="0"/>
          <w:marRight w:val="0"/>
          <w:marTop w:val="0"/>
          <w:marBottom w:val="0"/>
          <w:divBdr>
            <w:top w:val="none" w:sz="0" w:space="0" w:color="auto"/>
            <w:left w:val="none" w:sz="0" w:space="0" w:color="auto"/>
            <w:bottom w:val="none" w:sz="0" w:space="0" w:color="auto"/>
            <w:right w:val="none" w:sz="0" w:space="0" w:color="auto"/>
          </w:divBdr>
        </w:div>
        <w:div w:id="415980383">
          <w:marLeft w:val="0"/>
          <w:marRight w:val="0"/>
          <w:marTop w:val="0"/>
          <w:marBottom w:val="0"/>
          <w:divBdr>
            <w:top w:val="none" w:sz="0" w:space="0" w:color="auto"/>
            <w:left w:val="none" w:sz="0" w:space="0" w:color="auto"/>
            <w:bottom w:val="none" w:sz="0" w:space="0" w:color="auto"/>
            <w:right w:val="none" w:sz="0" w:space="0" w:color="auto"/>
          </w:divBdr>
        </w:div>
        <w:div w:id="440611771">
          <w:marLeft w:val="0"/>
          <w:marRight w:val="0"/>
          <w:marTop w:val="0"/>
          <w:marBottom w:val="0"/>
          <w:divBdr>
            <w:top w:val="none" w:sz="0" w:space="0" w:color="auto"/>
            <w:left w:val="none" w:sz="0" w:space="0" w:color="auto"/>
            <w:bottom w:val="none" w:sz="0" w:space="0" w:color="auto"/>
            <w:right w:val="none" w:sz="0" w:space="0" w:color="auto"/>
          </w:divBdr>
        </w:div>
        <w:div w:id="446698820">
          <w:marLeft w:val="0"/>
          <w:marRight w:val="0"/>
          <w:marTop w:val="0"/>
          <w:marBottom w:val="0"/>
          <w:divBdr>
            <w:top w:val="none" w:sz="0" w:space="0" w:color="auto"/>
            <w:left w:val="none" w:sz="0" w:space="0" w:color="auto"/>
            <w:bottom w:val="none" w:sz="0" w:space="0" w:color="auto"/>
            <w:right w:val="none" w:sz="0" w:space="0" w:color="auto"/>
          </w:divBdr>
        </w:div>
        <w:div w:id="453258153">
          <w:marLeft w:val="0"/>
          <w:marRight w:val="0"/>
          <w:marTop w:val="0"/>
          <w:marBottom w:val="0"/>
          <w:divBdr>
            <w:top w:val="none" w:sz="0" w:space="0" w:color="auto"/>
            <w:left w:val="none" w:sz="0" w:space="0" w:color="auto"/>
            <w:bottom w:val="none" w:sz="0" w:space="0" w:color="auto"/>
            <w:right w:val="none" w:sz="0" w:space="0" w:color="auto"/>
          </w:divBdr>
        </w:div>
        <w:div w:id="454375929">
          <w:marLeft w:val="0"/>
          <w:marRight w:val="0"/>
          <w:marTop w:val="0"/>
          <w:marBottom w:val="0"/>
          <w:divBdr>
            <w:top w:val="none" w:sz="0" w:space="0" w:color="auto"/>
            <w:left w:val="none" w:sz="0" w:space="0" w:color="auto"/>
            <w:bottom w:val="none" w:sz="0" w:space="0" w:color="auto"/>
            <w:right w:val="none" w:sz="0" w:space="0" w:color="auto"/>
          </w:divBdr>
        </w:div>
        <w:div w:id="463278349">
          <w:marLeft w:val="0"/>
          <w:marRight w:val="0"/>
          <w:marTop w:val="0"/>
          <w:marBottom w:val="0"/>
          <w:divBdr>
            <w:top w:val="none" w:sz="0" w:space="0" w:color="auto"/>
            <w:left w:val="none" w:sz="0" w:space="0" w:color="auto"/>
            <w:bottom w:val="none" w:sz="0" w:space="0" w:color="auto"/>
            <w:right w:val="none" w:sz="0" w:space="0" w:color="auto"/>
          </w:divBdr>
        </w:div>
        <w:div w:id="464467495">
          <w:marLeft w:val="0"/>
          <w:marRight w:val="0"/>
          <w:marTop w:val="0"/>
          <w:marBottom w:val="0"/>
          <w:divBdr>
            <w:top w:val="none" w:sz="0" w:space="0" w:color="auto"/>
            <w:left w:val="none" w:sz="0" w:space="0" w:color="auto"/>
            <w:bottom w:val="none" w:sz="0" w:space="0" w:color="auto"/>
            <w:right w:val="none" w:sz="0" w:space="0" w:color="auto"/>
          </w:divBdr>
        </w:div>
        <w:div w:id="466894639">
          <w:marLeft w:val="0"/>
          <w:marRight w:val="0"/>
          <w:marTop w:val="0"/>
          <w:marBottom w:val="0"/>
          <w:divBdr>
            <w:top w:val="none" w:sz="0" w:space="0" w:color="auto"/>
            <w:left w:val="none" w:sz="0" w:space="0" w:color="auto"/>
            <w:bottom w:val="none" w:sz="0" w:space="0" w:color="auto"/>
            <w:right w:val="none" w:sz="0" w:space="0" w:color="auto"/>
          </w:divBdr>
        </w:div>
        <w:div w:id="466944487">
          <w:marLeft w:val="0"/>
          <w:marRight w:val="0"/>
          <w:marTop w:val="0"/>
          <w:marBottom w:val="0"/>
          <w:divBdr>
            <w:top w:val="none" w:sz="0" w:space="0" w:color="auto"/>
            <w:left w:val="none" w:sz="0" w:space="0" w:color="auto"/>
            <w:bottom w:val="none" w:sz="0" w:space="0" w:color="auto"/>
            <w:right w:val="none" w:sz="0" w:space="0" w:color="auto"/>
          </w:divBdr>
        </w:div>
        <w:div w:id="482626367">
          <w:marLeft w:val="0"/>
          <w:marRight w:val="0"/>
          <w:marTop w:val="0"/>
          <w:marBottom w:val="0"/>
          <w:divBdr>
            <w:top w:val="none" w:sz="0" w:space="0" w:color="auto"/>
            <w:left w:val="none" w:sz="0" w:space="0" w:color="auto"/>
            <w:bottom w:val="none" w:sz="0" w:space="0" w:color="auto"/>
            <w:right w:val="none" w:sz="0" w:space="0" w:color="auto"/>
          </w:divBdr>
        </w:div>
        <w:div w:id="499395340">
          <w:marLeft w:val="0"/>
          <w:marRight w:val="0"/>
          <w:marTop w:val="0"/>
          <w:marBottom w:val="0"/>
          <w:divBdr>
            <w:top w:val="none" w:sz="0" w:space="0" w:color="auto"/>
            <w:left w:val="none" w:sz="0" w:space="0" w:color="auto"/>
            <w:bottom w:val="none" w:sz="0" w:space="0" w:color="auto"/>
            <w:right w:val="none" w:sz="0" w:space="0" w:color="auto"/>
          </w:divBdr>
        </w:div>
        <w:div w:id="511993642">
          <w:marLeft w:val="0"/>
          <w:marRight w:val="0"/>
          <w:marTop w:val="0"/>
          <w:marBottom w:val="0"/>
          <w:divBdr>
            <w:top w:val="none" w:sz="0" w:space="0" w:color="auto"/>
            <w:left w:val="none" w:sz="0" w:space="0" w:color="auto"/>
            <w:bottom w:val="none" w:sz="0" w:space="0" w:color="auto"/>
            <w:right w:val="none" w:sz="0" w:space="0" w:color="auto"/>
          </w:divBdr>
        </w:div>
        <w:div w:id="529613624">
          <w:marLeft w:val="0"/>
          <w:marRight w:val="0"/>
          <w:marTop w:val="0"/>
          <w:marBottom w:val="0"/>
          <w:divBdr>
            <w:top w:val="none" w:sz="0" w:space="0" w:color="auto"/>
            <w:left w:val="none" w:sz="0" w:space="0" w:color="auto"/>
            <w:bottom w:val="none" w:sz="0" w:space="0" w:color="auto"/>
            <w:right w:val="none" w:sz="0" w:space="0" w:color="auto"/>
          </w:divBdr>
        </w:div>
        <w:div w:id="545070578">
          <w:marLeft w:val="0"/>
          <w:marRight w:val="0"/>
          <w:marTop w:val="0"/>
          <w:marBottom w:val="0"/>
          <w:divBdr>
            <w:top w:val="none" w:sz="0" w:space="0" w:color="auto"/>
            <w:left w:val="none" w:sz="0" w:space="0" w:color="auto"/>
            <w:bottom w:val="none" w:sz="0" w:space="0" w:color="auto"/>
            <w:right w:val="none" w:sz="0" w:space="0" w:color="auto"/>
          </w:divBdr>
        </w:div>
        <w:div w:id="564872634">
          <w:marLeft w:val="0"/>
          <w:marRight w:val="0"/>
          <w:marTop w:val="0"/>
          <w:marBottom w:val="0"/>
          <w:divBdr>
            <w:top w:val="none" w:sz="0" w:space="0" w:color="auto"/>
            <w:left w:val="none" w:sz="0" w:space="0" w:color="auto"/>
            <w:bottom w:val="none" w:sz="0" w:space="0" w:color="auto"/>
            <w:right w:val="none" w:sz="0" w:space="0" w:color="auto"/>
          </w:divBdr>
        </w:div>
        <w:div w:id="573702278">
          <w:marLeft w:val="0"/>
          <w:marRight w:val="0"/>
          <w:marTop w:val="0"/>
          <w:marBottom w:val="0"/>
          <w:divBdr>
            <w:top w:val="none" w:sz="0" w:space="0" w:color="auto"/>
            <w:left w:val="none" w:sz="0" w:space="0" w:color="auto"/>
            <w:bottom w:val="none" w:sz="0" w:space="0" w:color="auto"/>
            <w:right w:val="none" w:sz="0" w:space="0" w:color="auto"/>
          </w:divBdr>
        </w:div>
        <w:div w:id="594245691">
          <w:marLeft w:val="0"/>
          <w:marRight w:val="0"/>
          <w:marTop w:val="0"/>
          <w:marBottom w:val="0"/>
          <w:divBdr>
            <w:top w:val="none" w:sz="0" w:space="0" w:color="auto"/>
            <w:left w:val="none" w:sz="0" w:space="0" w:color="auto"/>
            <w:bottom w:val="none" w:sz="0" w:space="0" w:color="auto"/>
            <w:right w:val="none" w:sz="0" w:space="0" w:color="auto"/>
          </w:divBdr>
        </w:div>
        <w:div w:id="618220066">
          <w:marLeft w:val="0"/>
          <w:marRight w:val="0"/>
          <w:marTop w:val="0"/>
          <w:marBottom w:val="0"/>
          <w:divBdr>
            <w:top w:val="none" w:sz="0" w:space="0" w:color="auto"/>
            <w:left w:val="none" w:sz="0" w:space="0" w:color="auto"/>
            <w:bottom w:val="none" w:sz="0" w:space="0" w:color="auto"/>
            <w:right w:val="none" w:sz="0" w:space="0" w:color="auto"/>
          </w:divBdr>
        </w:div>
        <w:div w:id="618685426">
          <w:marLeft w:val="0"/>
          <w:marRight w:val="0"/>
          <w:marTop w:val="0"/>
          <w:marBottom w:val="0"/>
          <w:divBdr>
            <w:top w:val="none" w:sz="0" w:space="0" w:color="auto"/>
            <w:left w:val="none" w:sz="0" w:space="0" w:color="auto"/>
            <w:bottom w:val="none" w:sz="0" w:space="0" w:color="auto"/>
            <w:right w:val="none" w:sz="0" w:space="0" w:color="auto"/>
          </w:divBdr>
        </w:div>
        <w:div w:id="621034215">
          <w:marLeft w:val="0"/>
          <w:marRight w:val="0"/>
          <w:marTop w:val="0"/>
          <w:marBottom w:val="0"/>
          <w:divBdr>
            <w:top w:val="none" w:sz="0" w:space="0" w:color="auto"/>
            <w:left w:val="none" w:sz="0" w:space="0" w:color="auto"/>
            <w:bottom w:val="none" w:sz="0" w:space="0" w:color="auto"/>
            <w:right w:val="none" w:sz="0" w:space="0" w:color="auto"/>
          </w:divBdr>
        </w:div>
        <w:div w:id="626202659">
          <w:marLeft w:val="0"/>
          <w:marRight w:val="0"/>
          <w:marTop w:val="0"/>
          <w:marBottom w:val="0"/>
          <w:divBdr>
            <w:top w:val="none" w:sz="0" w:space="0" w:color="auto"/>
            <w:left w:val="none" w:sz="0" w:space="0" w:color="auto"/>
            <w:bottom w:val="none" w:sz="0" w:space="0" w:color="auto"/>
            <w:right w:val="none" w:sz="0" w:space="0" w:color="auto"/>
          </w:divBdr>
        </w:div>
        <w:div w:id="633875128">
          <w:marLeft w:val="0"/>
          <w:marRight w:val="0"/>
          <w:marTop w:val="0"/>
          <w:marBottom w:val="0"/>
          <w:divBdr>
            <w:top w:val="none" w:sz="0" w:space="0" w:color="auto"/>
            <w:left w:val="none" w:sz="0" w:space="0" w:color="auto"/>
            <w:bottom w:val="none" w:sz="0" w:space="0" w:color="auto"/>
            <w:right w:val="none" w:sz="0" w:space="0" w:color="auto"/>
          </w:divBdr>
        </w:div>
        <w:div w:id="665137361">
          <w:marLeft w:val="0"/>
          <w:marRight w:val="0"/>
          <w:marTop w:val="0"/>
          <w:marBottom w:val="0"/>
          <w:divBdr>
            <w:top w:val="none" w:sz="0" w:space="0" w:color="auto"/>
            <w:left w:val="none" w:sz="0" w:space="0" w:color="auto"/>
            <w:bottom w:val="none" w:sz="0" w:space="0" w:color="auto"/>
            <w:right w:val="none" w:sz="0" w:space="0" w:color="auto"/>
          </w:divBdr>
        </w:div>
        <w:div w:id="685710769">
          <w:marLeft w:val="0"/>
          <w:marRight w:val="0"/>
          <w:marTop w:val="0"/>
          <w:marBottom w:val="0"/>
          <w:divBdr>
            <w:top w:val="none" w:sz="0" w:space="0" w:color="auto"/>
            <w:left w:val="none" w:sz="0" w:space="0" w:color="auto"/>
            <w:bottom w:val="none" w:sz="0" w:space="0" w:color="auto"/>
            <w:right w:val="none" w:sz="0" w:space="0" w:color="auto"/>
          </w:divBdr>
        </w:div>
        <w:div w:id="693117612">
          <w:marLeft w:val="0"/>
          <w:marRight w:val="0"/>
          <w:marTop w:val="0"/>
          <w:marBottom w:val="0"/>
          <w:divBdr>
            <w:top w:val="none" w:sz="0" w:space="0" w:color="auto"/>
            <w:left w:val="none" w:sz="0" w:space="0" w:color="auto"/>
            <w:bottom w:val="none" w:sz="0" w:space="0" w:color="auto"/>
            <w:right w:val="none" w:sz="0" w:space="0" w:color="auto"/>
          </w:divBdr>
        </w:div>
        <w:div w:id="698164828">
          <w:marLeft w:val="0"/>
          <w:marRight w:val="0"/>
          <w:marTop w:val="0"/>
          <w:marBottom w:val="0"/>
          <w:divBdr>
            <w:top w:val="none" w:sz="0" w:space="0" w:color="auto"/>
            <w:left w:val="none" w:sz="0" w:space="0" w:color="auto"/>
            <w:bottom w:val="none" w:sz="0" w:space="0" w:color="auto"/>
            <w:right w:val="none" w:sz="0" w:space="0" w:color="auto"/>
          </w:divBdr>
        </w:div>
        <w:div w:id="718019284">
          <w:marLeft w:val="0"/>
          <w:marRight w:val="0"/>
          <w:marTop w:val="0"/>
          <w:marBottom w:val="0"/>
          <w:divBdr>
            <w:top w:val="none" w:sz="0" w:space="0" w:color="auto"/>
            <w:left w:val="none" w:sz="0" w:space="0" w:color="auto"/>
            <w:bottom w:val="none" w:sz="0" w:space="0" w:color="auto"/>
            <w:right w:val="none" w:sz="0" w:space="0" w:color="auto"/>
          </w:divBdr>
        </w:div>
        <w:div w:id="721250831">
          <w:marLeft w:val="0"/>
          <w:marRight w:val="0"/>
          <w:marTop w:val="0"/>
          <w:marBottom w:val="0"/>
          <w:divBdr>
            <w:top w:val="none" w:sz="0" w:space="0" w:color="auto"/>
            <w:left w:val="none" w:sz="0" w:space="0" w:color="auto"/>
            <w:bottom w:val="none" w:sz="0" w:space="0" w:color="auto"/>
            <w:right w:val="none" w:sz="0" w:space="0" w:color="auto"/>
          </w:divBdr>
        </w:div>
        <w:div w:id="733700153">
          <w:marLeft w:val="0"/>
          <w:marRight w:val="0"/>
          <w:marTop w:val="0"/>
          <w:marBottom w:val="0"/>
          <w:divBdr>
            <w:top w:val="none" w:sz="0" w:space="0" w:color="auto"/>
            <w:left w:val="none" w:sz="0" w:space="0" w:color="auto"/>
            <w:bottom w:val="none" w:sz="0" w:space="0" w:color="auto"/>
            <w:right w:val="none" w:sz="0" w:space="0" w:color="auto"/>
          </w:divBdr>
        </w:div>
        <w:div w:id="744304899">
          <w:marLeft w:val="0"/>
          <w:marRight w:val="0"/>
          <w:marTop w:val="0"/>
          <w:marBottom w:val="0"/>
          <w:divBdr>
            <w:top w:val="none" w:sz="0" w:space="0" w:color="auto"/>
            <w:left w:val="none" w:sz="0" w:space="0" w:color="auto"/>
            <w:bottom w:val="none" w:sz="0" w:space="0" w:color="auto"/>
            <w:right w:val="none" w:sz="0" w:space="0" w:color="auto"/>
          </w:divBdr>
        </w:div>
        <w:div w:id="750010409">
          <w:marLeft w:val="0"/>
          <w:marRight w:val="0"/>
          <w:marTop w:val="0"/>
          <w:marBottom w:val="0"/>
          <w:divBdr>
            <w:top w:val="none" w:sz="0" w:space="0" w:color="auto"/>
            <w:left w:val="none" w:sz="0" w:space="0" w:color="auto"/>
            <w:bottom w:val="none" w:sz="0" w:space="0" w:color="auto"/>
            <w:right w:val="none" w:sz="0" w:space="0" w:color="auto"/>
          </w:divBdr>
        </w:div>
        <w:div w:id="752627592">
          <w:marLeft w:val="0"/>
          <w:marRight w:val="0"/>
          <w:marTop w:val="0"/>
          <w:marBottom w:val="0"/>
          <w:divBdr>
            <w:top w:val="none" w:sz="0" w:space="0" w:color="auto"/>
            <w:left w:val="none" w:sz="0" w:space="0" w:color="auto"/>
            <w:bottom w:val="none" w:sz="0" w:space="0" w:color="auto"/>
            <w:right w:val="none" w:sz="0" w:space="0" w:color="auto"/>
          </w:divBdr>
        </w:div>
        <w:div w:id="757481044">
          <w:marLeft w:val="0"/>
          <w:marRight w:val="0"/>
          <w:marTop w:val="0"/>
          <w:marBottom w:val="0"/>
          <w:divBdr>
            <w:top w:val="none" w:sz="0" w:space="0" w:color="auto"/>
            <w:left w:val="none" w:sz="0" w:space="0" w:color="auto"/>
            <w:bottom w:val="none" w:sz="0" w:space="0" w:color="auto"/>
            <w:right w:val="none" w:sz="0" w:space="0" w:color="auto"/>
          </w:divBdr>
        </w:div>
        <w:div w:id="783111441">
          <w:marLeft w:val="0"/>
          <w:marRight w:val="0"/>
          <w:marTop w:val="0"/>
          <w:marBottom w:val="0"/>
          <w:divBdr>
            <w:top w:val="none" w:sz="0" w:space="0" w:color="auto"/>
            <w:left w:val="none" w:sz="0" w:space="0" w:color="auto"/>
            <w:bottom w:val="none" w:sz="0" w:space="0" w:color="auto"/>
            <w:right w:val="none" w:sz="0" w:space="0" w:color="auto"/>
          </w:divBdr>
        </w:div>
        <w:div w:id="795834299">
          <w:marLeft w:val="0"/>
          <w:marRight w:val="0"/>
          <w:marTop w:val="0"/>
          <w:marBottom w:val="0"/>
          <w:divBdr>
            <w:top w:val="none" w:sz="0" w:space="0" w:color="auto"/>
            <w:left w:val="none" w:sz="0" w:space="0" w:color="auto"/>
            <w:bottom w:val="none" w:sz="0" w:space="0" w:color="auto"/>
            <w:right w:val="none" w:sz="0" w:space="0" w:color="auto"/>
          </w:divBdr>
        </w:div>
        <w:div w:id="796991592">
          <w:marLeft w:val="0"/>
          <w:marRight w:val="0"/>
          <w:marTop w:val="0"/>
          <w:marBottom w:val="0"/>
          <w:divBdr>
            <w:top w:val="none" w:sz="0" w:space="0" w:color="auto"/>
            <w:left w:val="none" w:sz="0" w:space="0" w:color="auto"/>
            <w:bottom w:val="none" w:sz="0" w:space="0" w:color="auto"/>
            <w:right w:val="none" w:sz="0" w:space="0" w:color="auto"/>
          </w:divBdr>
        </w:div>
        <w:div w:id="850071091">
          <w:marLeft w:val="0"/>
          <w:marRight w:val="0"/>
          <w:marTop w:val="0"/>
          <w:marBottom w:val="0"/>
          <w:divBdr>
            <w:top w:val="none" w:sz="0" w:space="0" w:color="auto"/>
            <w:left w:val="none" w:sz="0" w:space="0" w:color="auto"/>
            <w:bottom w:val="none" w:sz="0" w:space="0" w:color="auto"/>
            <w:right w:val="none" w:sz="0" w:space="0" w:color="auto"/>
          </w:divBdr>
        </w:div>
        <w:div w:id="864515137">
          <w:marLeft w:val="0"/>
          <w:marRight w:val="0"/>
          <w:marTop w:val="0"/>
          <w:marBottom w:val="0"/>
          <w:divBdr>
            <w:top w:val="none" w:sz="0" w:space="0" w:color="auto"/>
            <w:left w:val="none" w:sz="0" w:space="0" w:color="auto"/>
            <w:bottom w:val="none" w:sz="0" w:space="0" w:color="auto"/>
            <w:right w:val="none" w:sz="0" w:space="0" w:color="auto"/>
          </w:divBdr>
        </w:div>
        <w:div w:id="875965693">
          <w:marLeft w:val="0"/>
          <w:marRight w:val="0"/>
          <w:marTop w:val="0"/>
          <w:marBottom w:val="0"/>
          <w:divBdr>
            <w:top w:val="none" w:sz="0" w:space="0" w:color="auto"/>
            <w:left w:val="none" w:sz="0" w:space="0" w:color="auto"/>
            <w:bottom w:val="none" w:sz="0" w:space="0" w:color="auto"/>
            <w:right w:val="none" w:sz="0" w:space="0" w:color="auto"/>
          </w:divBdr>
        </w:div>
        <w:div w:id="913584721">
          <w:marLeft w:val="0"/>
          <w:marRight w:val="0"/>
          <w:marTop w:val="0"/>
          <w:marBottom w:val="0"/>
          <w:divBdr>
            <w:top w:val="none" w:sz="0" w:space="0" w:color="auto"/>
            <w:left w:val="none" w:sz="0" w:space="0" w:color="auto"/>
            <w:bottom w:val="none" w:sz="0" w:space="0" w:color="auto"/>
            <w:right w:val="none" w:sz="0" w:space="0" w:color="auto"/>
          </w:divBdr>
        </w:div>
        <w:div w:id="949433830">
          <w:marLeft w:val="0"/>
          <w:marRight w:val="0"/>
          <w:marTop w:val="0"/>
          <w:marBottom w:val="0"/>
          <w:divBdr>
            <w:top w:val="none" w:sz="0" w:space="0" w:color="auto"/>
            <w:left w:val="none" w:sz="0" w:space="0" w:color="auto"/>
            <w:bottom w:val="none" w:sz="0" w:space="0" w:color="auto"/>
            <w:right w:val="none" w:sz="0" w:space="0" w:color="auto"/>
          </w:divBdr>
        </w:div>
        <w:div w:id="955261264">
          <w:marLeft w:val="0"/>
          <w:marRight w:val="0"/>
          <w:marTop w:val="0"/>
          <w:marBottom w:val="0"/>
          <w:divBdr>
            <w:top w:val="none" w:sz="0" w:space="0" w:color="auto"/>
            <w:left w:val="none" w:sz="0" w:space="0" w:color="auto"/>
            <w:bottom w:val="none" w:sz="0" w:space="0" w:color="auto"/>
            <w:right w:val="none" w:sz="0" w:space="0" w:color="auto"/>
          </w:divBdr>
        </w:div>
        <w:div w:id="958491406">
          <w:marLeft w:val="0"/>
          <w:marRight w:val="0"/>
          <w:marTop w:val="0"/>
          <w:marBottom w:val="0"/>
          <w:divBdr>
            <w:top w:val="none" w:sz="0" w:space="0" w:color="auto"/>
            <w:left w:val="none" w:sz="0" w:space="0" w:color="auto"/>
            <w:bottom w:val="none" w:sz="0" w:space="0" w:color="auto"/>
            <w:right w:val="none" w:sz="0" w:space="0" w:color="auto"/>
          </w:divBdr>
        </w:div>
        <w:div w:id="988243546">
          <w:marLeft w:val="0"/>
          <w:marRight w:val="0"/>
          <w:marTop w:val="0"/>
          <w:marBottom w:val="0"/>
          <w:divBdr>
            <w:top w:val="none" w:sz="0" w:space="0" w:color="auto"/>
            <w:left w:val="none" w:sz="0" w:space="0" w:color="auto"/>
            <w:bottom w:val="none" w:sz="0" w:space="0" w:color="auto"/>
            <w:right w:val="none" w:sz="0" w:space="0" w:color="auto"/>
          </w:divBdr>
        </w:div>
        <w:div w:id="1000354306">
          <w:marLeft w:val="0"/>
          <w:marRight w:val="0"/>
          <w:marTop w:val="0"/>
          <w:marBottom w:val="0"/>
          <w:divBdr>
            <w:top w:val="none" w:sz="0" w:space="0" w:color="auto"/>
            <w:left w:val="none" w:sz="0" w:space="0" w:color="auto"/>
            <w:bottom w:val="none" w:sz="0" w:space="0" w:color="auto"/>
            <w:right w:val="none" w:sz="0" w:space="0" w:color="auto"/>
          </w:divBdr>
        </w:div>
        <w:div w:id="1013264188">
          <w:marLeft w:val="0"/>
          <w:marRight w:val="0"/>
          <w:marTop w:val="0"/>
          <w:marBottom w:val="0"/>
          <w:divBdr>
            <w:top w:val="none" w:sz="0" w:space="0" w:color="auto"/>
            <w:left w:val="none" w:sz="0" w:space="0" w:color="auto"/>
            <w:bottom w:val="none" w:sz="0" w:space="0" w:color="auto"/>
            <w:right w:val="none" w:sz="0" w:space="0" w:color="auto"/>
          </w:divBdr>
        </w:div>
        <w:div w:id="1021207454">
          <w:marLeft w:val="0"/>
          <w:marRight w:val="0"/>
          <w:marTop w:val="0"/>
          <w:marBottom w:val="0"/>
          <w:divBdr>
            <w:top w:val="none" w:sz="0" w:space="0" w:color="auto"/>
            <w:left w:val="none" w:sz="0" w:space="0" w:color="auto"/>
            <w:bottom w:val="none" w:sz="0" w:space="0" w:color="auto"/>
            <w:right w:val="none" w:sz="0" w:space="0" w:color="auto"/>
          </w:divBdr>
        </w:div>
        <w:div w:id="1041637806">
          <w:marLeft w:val="0"/>
          <w:marRight w:val="0"/>
          <w:marTop w:val="0"/>
          <w:marBottom w:val="0"/>
          <w:divBdr>
            <w:top w:val="none" w:sz="0" w:space="0" w:color="auto"/>
            <w:left w:val="none" w:sz="0" w:space="0" w:color="auto"/>
            <w:bottom w:val="none" w:sz="0" w:space="0" w:color="auto"/>
            <w:right w:val="none" w:sz="0" w:space="0" w:color="auto"/>
          </w:divBdr>
        </w:div>
        <w:div w:id="1041827138">
          <w:marLeft w:val="0"/>
          <w:marRight w:val="0"/>
          <w:marTop w:val="0"/>
          <w:marBottom w:val="0"/>
          <w:divBdr>
            <w:top w:val="none" w:sz="0" w:space="0" w:color="auto"/>
            <w:left w:val="none" w:sz="0" w:space="0" w:color="auto"/>
            <w:bottom w:val="none" w:sz="0" w:space="0" w:color="auto"/>
            <w:right w:val="none" w:sz="0" w:space="0" w:color="auto"/>
          </w:divBdr>
        </w:div>
        <w:div w:id="1070886976">
          <w:marLeft w:val="0"/>
          <w:marRight w:val="0"/>
          <w:marTop w:val="0"/>
          <w:marBottom w:val="0"/>
          <w:divBdr>
            <w:top w:val="none" w:sz="0" w:space="0" w:color="auto"/>
            <w:left w:val="none" w:sz="0" w:space="0" w:color="auto"/>
            <w:bottom w:val="none" w:sz="0" w:space="0" w:color="auto"/>
            <w:right w:val="none" w:sz="0" w:space="0" w:color="auto"/>
          </w:divBdr>
        </w:div>
        <w:div w:id="1090736765">
          <w:marLeft w:val="0"/>
          <w:marRight w:val="0"/>
          <w:marTop w:val="0"/>
          <w:marBottom w:val="0"/>
          <w:divBdr>
            <w:top w:val="none" w:sz="0" w:space="0" w:color="auto"/>
            <w:left w:val="none" w:sz="0" w:space="0" w:color="auto"/>
            <w:bottom w:val="none" w:sz="0" w:space="0" w:color="auto"/>
            <w:right w:val="none" w:sz="0" w:space="0" w:color="auto"/>
          </w:divBdr>
        </w:div>
        <w:div w:id="1112289608">
          <w:marLeft w:val="0"/>
          <w:marRight w:val="0"/>
          <w:marTop w:val="0"/>
          <w:marBottom w:val="0"/>
          <w:divBdr>
            <w:top w:val="none" w:sz="0" w:space="0" w:color="auto"/>
            <w:left w:val="none" w:sz="0" w:space="0" w:color="auto"/>
            <w:bottom w:val="none" w:sz="0" w:space="0" w:color="auto"/>
            <w:right w:val="none" w:sz="0" w:space="0" w:color="auto"/>
          </w:divBdr>
        </w:div>
        <w:div w:id="1116486173">
          <w:marLeft w:val="0"/>
          <w:marRight w:val="0"/>
          <w:marTop w:val="0"/>
          <w:marBottom w:val="0"/>
          <w:divBdr>
            <w:top w:val="none" w:sz="0" w:space="0" w:color="auto"/>
            <w:left w:val="none" w:sz="0" w:space="0" w:color="auto"/>
            <w:bottom w:val="none" w:sz="0" w:space="0" w:color="auto"/>
            <w:right w:val="none" w:sz="0" w:space="0" w:color="auto"/>
          </w:divBdr>
        </w:div>
        <w:div w:id="1125346114">
          <w:marLeft w:val="0"/>
          <w:marRight w:val="0"/>
          <w:marTop w:val="0"/>
          <w:marBottom w:val="0"/>
          <w:divBdr>
            <w:top w:val="none" w:sz="0" w:space="0" w:color="auto"/>
            <w:left w:val="none" w:sz="0" w:space="0" w:color="auto"/>
            <w:bottom w:val="none" w:sz="0" w:space="0" w:color="auto"/>
            <w:right w:val="none" w:sz="0" w:space="0" w:color="auto"/>
          </w:divBdr>
        </w:div>
        <w:div w:id="1127091799">
          <w:marLeft w:val="0"/>
          <w:marRight w:val="0"/>
          <w:marTop w:val="0"/>
          <w:marBottom w:val="0"/>
          <w:divBdr>
            <w:top w:val="none" w:sz="0" w:space="0" w:color="auto"/>
            <w:left w:val="none" w:sz="0" w:space="0" w:color="auto"/>
            <w:bottom w:val="none" w:sz="0" w:space="0" w:color="auto"/>
            <w:right w:val="none" w:sz="0" w:space="0" w:color="auto"/>
          </w:divBdr>
        </w:div>
        <w:div w:id="1169325301">
          <w:marLeft w:val="0"/>
          <w:marRight w:val="0"/>
          <w:marTop w:val="0"/>
          <w:marBottom w:val="0"/>
          <w:divBdr>
            <w:top w:val="none" w:sz="0" w:space="0" w:color="auto"/>
            <w:left w:val="none" w:sz="0" w:space="0" w:color="auto"/>
            <w:bottom w:val="none" w:sz="0" w:space="0" w:color="auto"/>
            <w:right w:val="none" w:sz="0" w:space="0" w:color="auto"/>
          </w:divBdr>
        </w:div>
        <w:div w:id="1173300800">
          <w:marLeft w:val="0"/>
          <w:marRight w:val="0"/>
          <w:marTop w:val="0"/>
          <w:marBottom w:val="0"/>
          <w:divBdr>
            <w:top w:val="none" w:sz="0" w:space="0" w:color="auto"/>
            <w:left w:val="none" w:sz="0" w:space="0" w:color="auto"/>
            <w:bottom w:val="none" w:sz="0" w:space="0" w:color="auto"/>
            <w:right w:val="none" w:sz="0" w:space="0" w:color="auto"/>
          </w:divBdr>
        </w:div>
        <w:div w:id="1193032641">
          <w:marLeft w:val="0"/>
          <w:marRight w:val="0"/>
          <w:marTop w:val="0"/>
          <w:marBottom w:val="0"/>
          <w:divBdr>
            <w:top w:val="none" w:sz="0" w:space="0" w:color="auto"/>
            <w:left w:val="none" w:sz="0" w:space="0" w:color="auto"/>
            <w:bottom w:val="none" w:sz="0" w:space="0" w:color="auto"/>
            <w:right w:val="none" w:sz="0" w:space="0" w:color="auto"/>
          </w:divBdr>
        </w:div>
        <w:div w:id="1204946449">
          <w:marLeft w:val="0"/>
          <w:marRight w:val="0"/>
          <w:marTop w:val="0"/>
          <w:marBottom w:val="0"/>
          <w:divBdr>
            <w:top w:val="none" w:sz="0" w:space="0" w:color="auto"/>
            <w:left w:val="none" w:sz="0" w:space="0" w:color="auto"/>
            <w:bottom w:val="none" w:sz="0" w:space="0" w:color="auto"/>
            <w:right w:val="none" w:sz="0" w:space="0" w:color="auto"/>
          </w:divBdr>
        </w:div>
        <w:div w:id="1244802274">
          <w:marLeft w:val="0"/>
          <w:marRight w:val="0"/>
          <w:marTop w:val="0"/>
          <w:marBottom w:val="0"/>
          <w:divBdr>
            <w:top w:val="none" w:sz="0" w:space="0" w:color="auto"/>
            <w:left w:val="none" w:sz="0" w:space="0" w:color="auto"/>
            <w:bottom w:val="none" w:sz="0" w:space="0" w:color="auto"/>
            <w:right w:val="none" w:sz="0" w:space="0" w:color="auto"/>
          </w:divBdr>
        </w:div>
        <w:div w:id="1268584271">
          <w:marLeft w:val="0"/>
          <w:marRight w:val="0"/>
          <w:marTop w:val="0"/>
          <w:marBottom w:val="0"/>
          <w:divBdr>
            <w:top w:val="none" w:sz="0" w:space="0" w:color="auto"/>
            <w:left w:val="none" w:sz="0" w:space="0" w:color="auto"/>
            <w:bottom w:val="none" w:sz="0" w:space="0" w:color="auto"/>
            <w:right w:val="none" w:sz="0" w:space="0" w:color="auto"/>
          </w:divBdr>
        </w:div>
        <w:div w:id="1286885319">
          <w:marLeft w:val="0"/>
          <w:marRight w:val="0"/>
          <w:marTop w:val="0"/>
          <w:marBottom w:val="0"/>
          <w:divBdr>
            <w:top w:val="none" w:sz="0" w:space="0" w:color="auto"/>
            <w:left w:val="none" w:sz="0" w:space="0" w:color="auto"/>
            <w:bottom w:val="none" w:sz="0" w:space="0" w:color="auto"/>
            <w:right w:val="none" w:sz="0" w:space="0" w:color="auto"/>
          </w:divBdr>
        </w:div>
        <w:div w:id="1287004593">
          <w:marLeft w:val="0"/>
          <w:marRight w:val="0"/>
          <w:marTop w:val="0"/>
          <w:marBottom w:val="0"/>
          <w:divBdr>
            <w:top w:val="none" w:sz="0" w:space="0" w:color="auto"/>
            <w:left w:val="none" w:sz="0" w:space="0" w:color="auto"/>
            <w:bottom w:val="none" w:sz="0" w:space="0" w:color="auto"/>
            <w:right w:val="none" w:sz="0" w:space="0" w:color="auto"/>
          </w:divBdr>
        </w:div>
        <w:div w:id="1293562731">
          <w:marLeft w:val="0"/>
          <w:marRight w:val="0"/>
          <w:marTop w:val="0"/>
          <w:marBottom w:val="0"/>
          <w:divBdr>
            <w:top w:val="none" w:sz="0" w:space="0" w:color="auto"/>
            <w:left w:val="none" w:sz="0" w:space="0" w:color="auto"/>
            <w:bottom w:val="none" w:sz="0" w:space="0" w:color="auto"/>
            <w:right w:val="none" w:sz="0" w:space="0" w:color="auto"/>
          </w:divBdr>
        </w:div>
        <w:div w:id="1314526571">
          <w:marLeft w:val="0"/>
          <w:marRight w:val="0"/>
          <w:marTop w:val="0"/>
          <w:marBottom w:val="0"/>
          <w:divBdr>
            <w:top w:val="none" w:sz="0" w:space="0" w:color="auto"/>
            <w:left w:val="none" w:sz="0" w:space="0" w:color="auto"/>
            <w:bottom w:val="none" w:sz="0" w:space="0" w:color="auto"/>
            <w:right w:val="none" w:sz="0" w:space="0" w:color="auto"/>
          </w:divBdr>
        </w:div>
        <w:div w:id="1328482634">
          <w:marLeft w:val="0"/>
          <w:marRight w:val="0"/>
          <w:marTop w:val="0"/>
          <w:marBottom w:val="0"/>
          <w:divBdr>
            <w:top w:val="none" w:sz="0" w:space="0" w:color="auto"/>
            <w:left w:val="none" w:sz="0" w:space="0" w:color="auto"/>
            <w:bottom w:val="none" w:sz="0" w:space="0" w:color="auto"/>
            <w:right w:val="none" w:sz="0" w:space="0" w:color="auto"/>
          </w:divBdr>
        </w:div>
        <w:div w:id="1332222122">
          <w:marLeft w:val="0"/>
          <w:marRight w:val="0"/>
          <w:marTop w:val="0"/>
          <w:marBottom w:val="0"/>
          <w:divBdr>
            <w:top w:val="none" w:sz="0" w:space="0" w:color="auto"/>
            <w:left w:val="none" w:sz="0" w:space="0" w:color="auto"/>
            <w:bottom w:val="none" w:sz="0" w:space="0" w:color="auto"/>
            <w:right w:val="none" w:sz="0" w:space="0" w:color="auto"/>
          </w:divBdr>
        </w:div>
        <w:div w:id="1339163053">
          <w:marLeft w:val="0"/>
          <w:marRight w:val="0"/>
          <w:marTop w:val="0"/>
          <w:marBottom w:val="0"/>
          <w:divBdr>
            <w:top w:val="none" w:sz="0" w:space="0" w:color="auto"/>
            <w:left w:val="none" w:sz="0" w:space="0" w:color="auto"/>
            <w:bottom w:val="none" w:sz="0" w:space="0" w:color="auto"/>
            <w:right w:val="none" w:sz="0" w:space="0" w:color="auto"/>
          </w:divBdr>
        </w:div>
        <w:div w:id="1345355047">
          <w:marLeft w:val="0"/>
          <w:marRight w:val="0"/>
          <w:marTop w:val="0"/>
          <w:marBottom w:val="0"/>
          <w:divBdr>
            <w:top w:val="none" w:sz="0" w:space="0" w:color="auto"/>
            <w:left w:val="none" w:sz="0" w:space="0" w:color="auto"/>
            <w:bottom w:val="none" w:sz="0" w:space="0" w:color="auto"/>
            <w:right w:val="none" w:sz="0" w:space="0" w:color="auto"/>
          </w:divBdr>
        </w:div>
        <w:div w:id="1357342811">
          <w:marLeft w:val="0"/>
          <w:marRight w:val="0"/>
          <w:marTop w:val="0"/>
          <w:marBottom w:val="0"/>
          <w:divBdr>
            <w:top w:val="none" w:sz="0" w:space="0" w:color="auto"/>
            <w:left w:val="none" w:sz="0" w:space="0" w:color="auto"/>
            <w:bottom w:val="none" w:sz="0" w:space="0" w:color="auto"/>
            <w:right w:val="none" w:sz="0" w:space="0" w:color="auto"/>
          </w:divBdr>
        </w:div>
        <w:div w:id="1359503156">
          <w:marLeft w:val="0"/>
          <w:marRight w:val="0"/>
          <w:marTop w:val="0"/>
          <w:marBottom w:val="0"/>
          <w:divBdr>
            <w:top w:val="none" w:sz="0" w:space="0" w:color="auto"/>
            <w:left w:val="none" w:sz="0" w:space="0" w:color="auto"/>
            <w:bottom w:val="none" w:sz="0" w:space="0" w:color="auto"/>
            <w:right w:val="none" w:sz="0" w:space="0" w:color="auto"/>
          </w:divBdr>
        </w:div>
        <w:div w:id="1375694530">
          <w:marLeft w:val="0"/>
          <w:marRight w:val="0"/>
          <w:marTop w:val="0"/>
          <w:marBottom w:val="0"/>
          <w:divBdr>
            <w:top w:val="none" w:sz="0" w:space="0" w:color="auto"/>
            <w:left w:val="none" w:sz="0" w:space="0" w:color="auto"/>
            <w:bottom w:val="none" w:sz="0" w:space="0" w:color="auto"/>
            <w:right w:val="none" w:sz="0" w:space="0" w:color="auto"/>
          </w:divBdr>
        </w:div>
        <w:div w:id="1388143344">
          <w:marLeft w:val="0"/>
          <w:marRight w:val="0"/>
          <w:marTop w:val="0"/>
          <w:marBottom w:val="0"/>
          <w:divBdr>
            <w:top w:val="none" w:sz="0" w:space="0" w:color="auto"/>
            <w:left w:val="none" w:sz="0" w:space="0" w:color="auto"/>
            <w:bottom w:val="none" w:sz="0" w:space="0" w:color="auto"/>
            <w:right w:val="none" w:sz="0" w:space="0" w:color="auto"/>
          </w:divBdr>
        </w:div>
        <w:div w:id="1388803464">
          <w:marLeft w:val="0"/>
          <w:marRight w:val="0"/>
          <w:marTop w:val="0"/>
          <w:marBottom w:val="0"/>
          <w:divBdr>
            <w:top w:val="none" w:sz="0" w:space="0" w:color="auto"/>
            <w:left w:val="none" w:sz="0" w:space="0" w:color="auto"/>
            <w:bottom w:val="none" w:sz="0" w:space="0" w:color="auto"/>
            <w:right w:val="none" w:sz="0" w:space="0" w:color="auto"/>
          </w:divBdr>
        </w:div>
        <w:div w:id="1392535160">
          <w:marLeft w:val="0"/>
          <w:marRight w:val="0"/>
          <w:marTop w:val="0"/>
          <w:marBottom w:val="0"/>
          <w:divBdr>
            <w:top w:val="none" w:sz="0" w:space="0" w:color="auto"/>
            <w:left w:val="none" w:sz="0" w:space="0" w:color="auto"/>
            <w:bottom w:val="none" w:sz="0" w:space="0" w:color="auto"/>
            <w:right w:val="none" w:sz="0" w:space="0" w:color="auto"/>
          </w:divBdr>
        </w:div>
        <w:div w:id="1425149286">
          <w:marLeft w:val="0"/>
          <w:marRight w:val="0"/>
          <w:marTop w:val="0"/>
          <w:marBottom w:val="0"/>
          <w:divBdr>
            <w:top w:val="none" w:sz="0" w:space="0" w:color="auto"/>
            <w:left w:val="none" w:sz="0" w:space="0" w:color="auto"/>
            <w:bottom w:val="none" w:sz="0" w:space="0" w:color="auto"/>
            <w:right w:val="none" w:sz="0" w:space="0" w:color="auto"/>
          </w:divBdr>
        </w:div>
        <w:div w:id="1439058394">
          <w:marLeft w:val="0"/>
          <w:marRight w:val="0"/>
          <w:marTop w:val="0"/>
          <w:marBottom w:val="0"/>
          <w:divBdr>
            <w:top w:val="none" w:sz="0" w:space="0" w:color="auto"/>
            <w:left w:val="none" w:sz="0" w:space="0" w:color="auto"/>
            <w:bottom w:val="none" w:sz="0" w:space="0" w:color="auto"/>
            <w:right w:val="none" w:sz="0" w:space="0" w:color="auto"/>
          </w:divBdr>
        </w:div>
        <w:div w:id="1456870484">
          <w:marLeft w:val="0"/>
          <w:marRight w:val="0"/>
          <w:marTop w:val="0"/>
          <w:marBottom w:val="0"/>
          <w:divBdr>
            <w:top w:val="none" w:sz="0" w:space="0" w:color="auto"/>
            <w:left w:val="none" w:sz="0" w:space="0" w:color="auto"/>
            <w:bottom w:val="none" w:sz="0" w:space="0" w:color="auto"/>
            <w:right w:val="none" w:sz="0" w:space="0" w:color="auto"/>
          </w:divBdr>
        </w:div>
        <w:div w:id="1458648597">
          <w:marLeft w:val="0"/>
          <w:marRight w:val="0"/>
          <w:marTop w:val="0"/>
          <w:marBottom w:val="0"/>
          <w:divBdr>
            <w:top w:val="none" w:sz="0" w:space="0" w:color="auto"/>
            <w:left w:val="none" w:sz="0" w:space="0" w:color="auto"/>
            <w:bottom w:val="none" w:sz="0" w:space="0" w:color="auto"/>
            <w:right w:val="none" w:sz="0" w:space="0" w:color="auto"/>
          </w:divBdr>
        </w:div>
        <w:div w:id="1477525778">
          <w:marLeft w:val="0"/>
          <w:marRight w:val="0"/>
          <w:marTop w:val="0"/>
          <w:marBottom w:val="0"/>
          <w:divBdr>
            <w:top w:val="none" w:sz="0" w:space="0" w:color="auto"/>
            <w:left w:val="none" w:sz="0" w:space="0" w:color="auto"/>
            <w:bottom w:val="none" w:sz="0" w:space="0" w:color="auto"/>
            <w:right w:val="none" w:sz="0" w:space="0" w:color="auto"/>
          </w:divBdr>
        </w:div>
        <w:div w:id="1483623453">
          <w:marLeft w:val="0"/>
          <w:marRight w:val="0"/>
          <w:marTop w:val="0"/>
          <w:marBottom w:val="0"/>
          <w:divBdr>
            <w:top w:val="none" w:sz="0" w:space="0" w:color="auto"/>
            <w:left w:val="none" w:sz="0" w:space="0" w:color="auto"/>
            <w:bottom w:val="none" w:sz="0" w:space="0" w:color="auto"/>
            <w:right w:val="none" w:sz="0" w:space="0" w:color="auto"/>
          </w:divBdr>
        </w:div>
        <w:div w:id="1489436790">
          <w:marLeft w:val="0"/>
          <w:marRight w:val="0"/>
          <w:marTop w:val="0"/>
          <w:marBottom w:val="0"/>
          <w:divBdr>
            <w:top w:val="none" w:sz="0" w:space="0" w:color="auto"/>
            <w:left w:val="none" w:sz="0" w:space="0" w:color="auto"/>
            <w:bottom w:val="none" w:sz="0" w:space="0" w:color="auto"/>
            <w:right w:val="none" w:sz="0" w:space="0" w:color="auto"/>
          </w:divBdr>
        </w:div>
        <w:div w:id="1522550917">
          <w:marLeft w:val="0"/>
          <w:marRight w:val="0"/>
          <w:marTop w:val="0"/>
          <w:marBottom w:val="0"/>
          <w:divBdr>
            <w:top w:val="none" w:sz="0" w:space="0" w:color="auto"/>
            <w:left w:val="none" w:sz="0" w:space="0" w:color="auto"/>
            <w:bottom w:val="none" w:sz="0" w:space="0" w:color="auto"/>
            <w:right w:val="none" w:sz="0" w:space="0" w:color="auto"/>
          </w:divBdr>
        </w:div>
        <w:div w:id="1525554562">
          <w:marLeft w:val="0"/>
          <w:marRight w:val="0"/>
          <w:marTop w:val="0"/>
          <w:marBottom w:val="0"/>
          <w:divBdr>
            <w:top w:val="none" w:sz="0" w:space="0" w:color="auto"/>
            <w:left w:val="none" w:sz="0" w:space="0" w:color="auto"/>
            <w:bottom w:val="none" w:sz="0" w:space="0" w:color="auto"/>
            <w:right w:val="none" w:sz="0" w:space="0" w:color="auto"/>
          </w:divBdr>
        </w:div>
        <w:div w:id="1529491123">
          <w:marLeft w:val="0"/>
          <w:marRight w:val="0"/>
          <w:marTop w:val="0"/>
          <w:marBottom w:val="0"/>
          <w:divBdr>
            <w:top w:val="none" w:sz="0" w:space="0" w:color="auto"/>
            <w:left w:val="none" w:sz="0" w:space="0" w:color="auto"/>
            <w:bottom w:val="none" w:sz="0" w:space="0" w:color="auto"/>
            <w:right w:val="none" w:sz="0" w:space="0" w:color="auto"/>
          </w:divBdr>
        </w:div>
        <w:div w:id="1561747587">
          <w:marLeft w:val="0"/>
          <w:marRight w:val="0"/>
          <w:marTop w:val="0"/>
          <w:marBottom w:val="0"/>
          <w:divBdr>
            <w:top w:val="none" w:sz="0" w:space="0" w:color="auto"/>
            <w:left w:val="none" w:sz="0" w:space="0" w:color="auto"/>
            <w:bottom w:val="none" w:sz="0" w:space="0" w:color="auto"/>
            <w:right w:val="none" w:sz="0" w:space="0" w:color="auto"/>
          </w:divBdr>
        </w:div>
        <w:div w:id="1582176014">
          <w:marLeft w:val="0"/>
          <w:marRight w:val="0"/>
          <w:marTop w:val="0"/>
          <w:marBottom w:val="0"/>
          <w:divBdr>
            <w:top w:val="none" w:sz="0" w:space="0" w:color="auto"/>
            <w:left w:val="none" w:sz="0" w:space="0" w:color="auto"/>
            <w:bottom w:val="none" w:sz="0" w:space="0" w:color="auto"/>
            <w:right w:val="none" w:sz="0" w:space="0" w:color="auto"/>
          </w:divBdr>
        </w:div>
        <w:div w:id="1603295519">
          <w:marLeft w:val="0"/>
          <w:marRight w:val="0"/>
          <w:marTop w:val="0"/>
          <w:marBottom w:val="0"/>
          <w:divBdr>
            <w:top w:val="none" w:sz="0" w:space="0" w:color="auto"/>
            <w:left w:val="none" w:sz="0" w:space="0" w:color="auto"/>
            <w:bottom w:val="none" w:sz="0" w:space="0" w:color="auto"/>
            <w:right w:val="none" w:sz="0" w:space="0" w:color="auto"/>
          </w:divBdr>
        </w:div>
        <w:div w:id="1610744018">
          <w:marLeft w:val="0"/>
          <w:marRight w:val="0"/>
          <w:marTop w:val="0"/>
          <w:marBottom w:val="0"/>
          <w:divBdr>
            <w:top w:val="none" w:sz="0" w:space="0" w:color="auto"/>
            <w:left w:val="none" w:sz="0" w:space="0" w:color="auto"/>
            <w:bottom w:val="none" w:sz="0" w:space="0" w:color="auto"/>
            <w:right w:val="none" w:sz="0" w:space="0" w:color="auto"/>
          </w:divBdr>
        </w:div>
        <w:div w:id="1645114859">
          <w:marLeft w:val="0"/>
          <w:marRight w:val="0"/>
          <w:marTop w:val="0"/>
          <w:marBottom w:val="0"/>
          <w:divBdr>
            <w:top w:val="none" w:sz="0" w:space="0" w:color="auto"/>
            <w:left w:val="none" w:sz="0" w:space="0" w:color="auto"/>
            <w:bottom w:val="none" w:sz="0" w:space="0" w:color="auto"/>
            <w:right w:val="none" w:sz="0" w:space="0" w:color="auto"/>
          </w:divBdr>
        </w:div>
        <w:div w:id="1649090649">
          <w:marLeft w:val="0"/>
          <w:marRight w:val="0"/>
          <w:marTop w:val="0"/>
          <w:marBottom w:val="0"/>
          <w:divBdr>
            <w:top w:val="none" w:sz="0" w:space="0" w:color="auto"/>
            <w:left w:val="none" w:sz="0" w:space="0" w:color="auto"/>
            <w:bottom w:val="none" w:sz="0" w:space="0" w:color="auto"/>
            <w:right w:val="none" w:sz="0" w:space="0" w:color="auto"/>
          </w:divBdr>
        </w:div>
        <w:div w:id="1649507908">
          <w:marLeft w:val="0"/>
          <w:marRight w:val="0"/>
          <w:marTop w:val="0"/>
          <w:marBottom w:val="0"/>
          <w:divBdr>
            <w:top w:val="none" w:sz="0" w:space="0" w:color="auto"/>
            <w:left w:val="none" w:sz="0" w:space="0" w:color="auto"/>
            <w:bottom w:val="none" w:sz="0" w:space="0" w:color="auto"/>
            <w:right w:val="none" w:sz="0" w:space="0" w:color="auto"/>
          </w:divBdr>
        </w:div>
        <w:div w:id="1651323187">
          <w:marLeft w:val="0"/>
          <w:marRight w:val="0"/>
          <w:marTop w:val="0"/>
          <w:marBottom w:val="0"/>
          <w:divBdr>
            <w:top w:val="none" w:sz="0" w:space="0" w:color="auto"/>
            <w:left w:val="none" w:sz="0" w:space="0" w:color="auto"/>
            <w:bottom w:val="none" w:sz="0" w:space="0" w:color="auto"/>
            <w:right w:val="none" w:sz="0" w:space="0" w:color="auto"/>
          </w:divBdr>
        </w:div>
        <w:div w:id="1651474424">
          <w:marLeft w:val="0"/>
          <w:marRight w:val="0"/>
          <w:marTop w:val="0"/>
          <w:marBottom w:val="0"/>
          <w:divBdr>
            <w:top w:val="none" w:sz="0" w:space="0" w:color="auto"/>
            <w:left w:val="none" w:sz="0" w:space="0" w:color="auto"/>
            <w:bottom w:val="none" w:sz="0" w:space="0" w:color="auto"/>
            <w:right w:val="none" w:sz="0" w:space="0" w:color="auto"/>
          </w:divBdr>
        </w:div>
        <w:div w:id="1674719274">
          <w:marLeft w:val="0"/>
          <w:marRight w:val="0"/>
          <w:marTop w:val="0"/>
          <w:marBottom w:val="0"/>
          <w:divBdr>
            <w:top w:val="none" w:sz="0" w:space="0" w:color="auto"/>
            <w:left w:val="none" w:sz="0" w:space="0" w:color="auto"/>
            <w:bottom w:val="none" w:sz="0" w:space="0" w:color="auto"/>
            <w:right w:val="none" w:sz="0" w:space="0" w:color="auto"/>
          </w:divBdr>
        </w:div>
        <w:div w:id="1698506751">
          <w:marLeft w:val="0"/>
          <w:marRight w:val="0"/>
          <w:marTop w:val="0"/>
          <w:marBottom w:val="0"/>
          <w:divBdr>
            <w:top w:val="none" w:sz="0" w:space="0" w:color="auto"/>
            <w:left w:val="none" w:sz="0" w:space="0" w:color="auto"/>
            <w:bottom w:val="none" w:sz="0" w:space="0" w:color="auto"/>
            <w:right w:val="none" w:sz="0" w:space="0" w:color="auto"/>
          </w:divBdr>
        </w:div>
        <w:div w:id="1699308601">
          <w:marLeft w:val="0"/>
          <w:marRight w:val="0"/>
          <w:marTop w:val="0"/>
          <w:marBottom w:val="0"/>
          <w:divBdr>
            <w:top w:val="none" w:sz="0" w:space="0" w:color="auto"/>
            <w:left w:val="none" w:sz="0" w:space="0" w:color="auto"/>
            <w:bottom w:val="none" w:sz="0" w:space="0" w:color="auto"/>
            <w:right w:val="none" w:sz="0" w:space="0" w:color="auto"/>
          </w:divBdr>
        </w:div>
        <w:div w:id="1710379997">
          <w:marLeft w:val="0"/>
          <w:marRight w:val="0"/>
          <w:marTop w:val="0"/>
          <w:marBottom w:val="0"/>
          <w:divBdr>
            <w:top w:val="none" w:sz="0" w:space="0" w:color="auto"/>
            <w:left w:val="none" w:sz="0" w:space="0" w:color="auto"/>
            <w:bottom w:val="none" w:sz="0" w:space="0" w:color="auto"/>
            <w:right w:val="none" w:sz="0" w:space="0" w:color="auto"/>
          </w:divBdr>
        </w:div>
        <w:div w:id="1718818037">
          <w:marLeft w:val="0"/>
          <w:marRight w:val="0"/>
          <w:marTop w:val="0"/>
          <w:marBottom w:val="0"/>
          <w:divBdr>
            <w:top w:val="none" w:sz="0" w:space="0" w:color="auto"/>
            <w:left w:val="none" w:sz="0" w:space="0" w:color="auto"/>
            <w:bottom w:val="none" w:sz="0" w:space="0" w:color="auto"/>
            <w:right w:val="none" w:sz="0" w:space="0" w:color="auto"/>
          </w:divBdr>
        </w:div>
        <w:div w:id="1723096884">
          <w:marLeft w:val="0"/>
          <w:marRight w:val="0"/>
          <w:marTop w:val="0"/>
          <w:marBottom w:val="0"/>
          <w:divBdr>
            <w:top w:val="none" w:sz="0" w:space="0" w:color="auto"/>
            <w:left w:val="none" w:sz="0" w:space="0" w:color="auto"/>
            <w:bottom w:val="none" w:sz="0" w:space="0" w:color="auto"/>
            <w:right w:val="none" w:sz="0" w:space="0" w:color="auto"/>
          </w:divBdr>
        </w:div>
        <w:div w:id="1725251650">
          <w:marLeft w:val="0"/>
          <w:marRight w:val="0"/>
          <w:marTop w:val="0"/>
          <w:marBottom w:val="0"/>
          <w:divBdr>
            <w:top w:val="none" w:sz="0" w:space="0" w:color="auto"/>
            <w:left w:val="none" w:sz="0" w:space="0" w:color="auto"/>
            <w:bottom w:val="none" w:sz="0" w:space="0" w:color="auto"/>
            <w:right w:val="none" w:sz="0" w:space="0" w:color="auto"/>
          </w:divBdr>
        </w:div>
        <w:div w:id="1739131431">
          <w:marLeft w:val="0"/>
          <w:marRight w:val="0"/>
          <w:marTop w:val="0"/>
          <w:marBottom w:val="0"/>
          <w:divBdr>
            <w:top w:val="none" w:sz="0" w:space="0" w:color="auto"/>
            <w:left w:val="none" w:sz="0" w:space="0" w:color="auto"/>
            <w:bottom w:val="none" w:sz="0" w:space="0" w:color="auto"/>
            <w:right w:val="none" w:sz="0" w:space="0" w:color="auto"/>
          </w:divBdr>
        </w:div>
        <w:div w:id="1777867190">
          <w:marLeft w:val="0"/>
          <w:marRight w:val="0"/>
          <w:marTop w:val="0"/>
          <w:marBottom w:val="0"/>
          <w:divBdr>
            <w:top w:val="none" w:sz="0" w:space="0" w:color="auto"/>
            <w:left w:val="none" w:sz="0" w:space="0" w:color="auto"/>
            <w:bottom w:val="none" w:sz="0" w:space="0" w:color="auto"/>
            <w:right w:val="none" w:sz="0" w:space="0" w:color="auto"/>
          </w:divBdr>
        </w:div>
        <w:div w:id="1785149343">
          <w:marLeft w:val="0"/>
          <w:marRight w:val="0"/>
          <w:marTop w:val="0"/>
          <w:marBottom w:val="0"/>
          <w:divBdr>
            <w:top w:val="none" w:sz="0" w:space="0" w:color="auto"/>
            <w:left w:val="none" w:sz="0" w:space="0" w:color="auto"/>
            <w:bottom w:val="none" w:sz="0" w:space="0" w:color="auto"/>
            <w:right w:val="none" w:sz="0" w:space="0" w:color="auto"/>
          </w:divBdr>
        </w:div>
        <w:div w:id="1789738044">
          <w:marLeft w:val="0"/>
          <w:marRight w:val="0"/>
          <w:marTop w:val="0"/>
          <w:marBottom w:val="0"/>
          <w:divBdr>
            <w:top w:val="none" w:sz="0" w:space="0" w:color="auto"/>
            <w:left w:val="none" w:sz="0" w:space="0" w:color="auto"/>
            <w:bottom w:val="none" w:sz="0" w:space="0" w:color="auto"/>
            <w:right w:val="none" w:sz="0" w:space="0" w:color="auto"/>
          </w:divBdr>
        </w:div>
        <w:div w:id="1819151314">
          <w:marLeft w:val="0"/>
          <w:marRight w:val="0"/>
          <w:marTop w:val="0"/>
          <w:marBottom w:val="0"/>
          <w:divBdr>
            <w:top w:val="none" w:sz="0" w:space="0" w:color="auto"/>
            <w:left w:val="none" w:sz="0" w:space="0" w:color="auto"/>
            <w:bottom w:val="none" w:sz="0" w:space="0" w:color="auto"/>
            <w:right w:val="none" w:sz="0" w:space="0" w:color="auto"/>
          </w:divBdr>
        </w:div>
        <w:div w:id="1822496842">
          <w:marLeft w:val="0"/>
          <w:marRight w:val="0"/>
          <w:marTop w:val="0"/>
          <w:marBottom w:val="0"/>
          <w:divBdr>
            <w:top w:val="none" w:sz="0" w:space="0" w:color="auto"/>
            <w:left w:val="none" w:sz="0" w:space="0" w:color="auto"/>
            <w:bottom w:val="none" w:sz="0" w:space="0" w:color="auto"/>
            <w:right w:val="none" w:sz="0" w:space="0" w:color="auto"/>
          </w:divBdr>
        </w:div>
        <w:div w:id="1823694569">
          <w:marLeft w:val="0"/>
          <w:marRight w:val="0"/>
          <w:marTop w:val="0"/>
          <w:marBottom w:val="0"/>
          <w:divBdr>
            <w:top w:val="none" w:sz="0" w:space="0" w:color="auto"/>
            <w:left w:val="none" w:sz="0" w:space="0" w:color="auto"/>
            <w:bottom w:val="none" w:sz="0" w:space="0" w:color="auto"/>
            <w:right w:val="none" w:sz="0" w:space="0" w:color="auto"/>
          </w:divBdr>
        </w:div>
        <w:div w:id="1831024457">
          <w:marLeft w:val="0"/>
          <w:marRight w:val="0"/>
          <w:marTop w:val="0"/>
          <w:marBottom w:val="0"/>
          <w:divBdr>
            <w:top w:val="none" w:sz="0" w:space="0" w:color="auto"/>
            <w:left w:val="none" w:sz="0" w:space="0" w:color="auto"/>
            <w:bottom w:val="none" w:sz="0" w:space="0" w:color="auto"/>
            <w:right w:val="none" w:sz="0" w:space="0" w:color="auto"/>
          </w:divBdr>
        </w:div>
        <w:div w:id="1833912977">
          <w:marLeft w:val="0"/>
          <w:marRight w:val="0"/>
          <w:marTop w:val="0"/>
          <w:marBottom w:val="0"/>
          <w:divBdr>
            <w:top w:val="none" w:sz="0" w:space="0" w:color="auto"/>
            <w:left w:val="none" w:sz="0" w:space="0" w:color="auto"/>
            <w:bottom w:val="none" w:sz="0" w:space="0" w:color="auto"/>
            <w:right w:val="none" w:sz="0" w:space="0" w:color="auto"/>
          </w:divBdr>
        </w:div>
        <w:div w:id="1837265214">
          <w:marLeft w:val="0"/>
          <w:marRight w:val="0"/>
          <w:marTop w:val="0"/>
          <w:marBottom w:val="0"/>
          <w:divBdr>
            <w:top w:val="none" w:sz="0" w:space="0" w:color="auto"/>
            <w:left w:val="none" w:sz="0" w:space="0" w:color="auto"/>
            <w:bottom w:val="none" w:sz="0" w:space="0" w:color="auto"/>
            <w:right w:val="none" w:sz="0" w:space="0" w:color="auto"/>
          </w:divBdr>
        </w:div>
        <w:div w:id="1861502854">
          <w:marLeft w:val="0"/>
          <w:marRight w:val="0"/>
          <w:marTop w:val="0"/>
          <w:marBottom w:val="0"/>
          <w:divBdr>
            <w:top w:val="none" w:sz="0" w:space="0" w:color="auto"/>
            <w:left w:val="none" w:sz="0" w:space="0" w:color="auto"/>
            <w:bottom w:val="none" w:sz="0" w:space="0" w:color="auto"/>
            <w:right w:val="none" w:sz="0" w:space="0" w:color="auto"/>
          </w:divBdr>
        </w:div>
        <w:div w:id="1862472794">
          <w:marLeft w:val="0"/>
          <w:marRight w:val="0"/>
          <w:marTop w:val="0"/>
          <w:marBottom w:val="0"/>
          <w:divBdr>
            <w:top w:val="none" w:sz="0" w:space="0" w:color="auto"/>
            <w:left w:val="none" w:sz="0" w:space="0" w:color="auto"/>
            <w:bottom w:val="none" w:sz="0" w:space="0" w:color="auto"/>
            <w:right w:val="none" w:sz="0" w:space="0" w:color="auto"/>
          </w:divBdr>
        </w:div>
        <w:div w:id="1877691039">
          <w:marLeft w:val="0"/>
          <w:marRight w:val="0"/>
          <w:marTop w:val="0"/>
          <w:marBottom w:val="0"/>
          <w:divBdr>
            <w:top w:val="none" w:sz="0" w:space="0" w:color="auto"/>
            <w:left w:val="none" w:sz="0" w:space="0" w:color="auto"/>
            <w:bottom w:val="none" w:sz="0" w:space="0" w:color="auto"/>
            <w:right w:val="none" w:sz="0" w:space="0" w:color="auto"/>
          </w:divBdr>
        </w:div>
        <w:div w:id="1897738024">
          <w:marLeft w:val="0"/>
          <w:marRight w:val="0"/>
          <w:marTop w:val="0"/>
          <w:marBottom w:val="0"/>
          <w:divBdr>
            <w:top w:val="none" w:sz="0" w:space="0" w:color="auto"/>
            <w:left w:val="none" w:sz="0" w:space="0" w:color="auto"/>
            <w:bottom w:val="none" w:sz="0" w:space="0" w:color="auto"/>
            <w:right w:val="none" w:sz="0" w:space="0" w:color="auto"/>
          </w:divBdr>
        </w:div>
        <w:div w:id="1902249341">
          <w:marLeft w:val="0"/>
          <w:marRight w:val="0"/>
          <w:marTop w:val="0"/>
          <w:marBottom w:val="0"/>
          <w:divBdr>
            <w:top w:val="none" w:sz="0" w:space="0" w:color="auto"/>
            <w:left w:val="none" w:sz="0" w:space="0" w:color="auto"/>
            <w:bottom w:val="none" w:sz="0" w:space="0" w:color="auto"/>
            <w:right w:val="none" w:sz="0" w:space="0" w:color="auto"/>
          </w:divBdr>
        </w:div>
        <w:div w:id="1923760544">
          <w:marLeft w:val="0"/>
          <w:marRight w:val="0"/>
          <w:marTop w:val="0"/>
          <w:marBottom w:val="0"/>
          <w:divBdr>
            <w:top w:val="none" w:sz="0" w:space="0" w:color="auto"/>
            <w:left w:val="none" w:sz="0" w:space="0" w:color="auto"/>
            <w:bottom w:val="none" w:sz="0" w:space="0" w:color="auto"/>
            <w:right w:val="none" w:sz="0" w:space="0" w:color="auto"/>
          </w:divBdr>
        </w:div>
        <w:div w:id="1924141445">
          <w:marLeft w:val="0"/>
          <w:marRight w:val="0"/>
          <w:marTop w:val="0"/>
          <w:marBottom w:val="0"/>
          <w:divBdr>
            <w:top w:val="none" w:sz="0" w:space="0" w:color="auto"/>
            <w:left w:val="none" w:sz="0" w:space="0" w:color="auto"/>
            <w:bottom w:val="none" w:sz="0" w:space="0" w:color="auto"/>
            <w:right w:val="none" w:sz="0" w:space="0" w:color="auto"/>
          </w:divBdr>
        </w:div>
        <w:div w:id="1938363537">
          <w:marLeft w:val="0"/>
          <w:marRight w:val="0"/>
          <w:marTop w:val="0"/>
          <w:marBottom w:val="0"/>
          <w:divBdr>
            <w:top w:val="none" w:sz="0" w:space="0" w:color="auto"/>
            <w:left w:val="none" w:sz="0" w:space="0" w:color="auto"/>
            <w:bottom w:val="none" w:sz="0" w:space="0" w:color="auto"/>
            <w:right w:val="none" w:sz="0" w:space="0" w:color="auto"/>
          </w:divBdr>
        </w:div>
        <w:div w:id="1948806511">
          <w:marLeft w:val="0"/>
          <w:marRight w:val="0"/>
          <w:marTop w:val="0"/>
          <w:marBottom w:val="0"/>
          <w:divBdr>
            <w:top w:val="none" w:sz="0" w:space="0" w:color="auto"/>
            <w:left w:val="none" w:sz="0" w:space="0" w:color="auto"/>
            <w:bottom w:val="none" w:sz="0" w:space="0" w:color="auto"/>
            <w:right w:val="none" w:sz="0" w:space="0" w:color="auto"/>
          </w:divBdr>
        </w:div>
        <w:div w:id="1965771101">
          <w:marLeft w:val="0"/>
          <w:marRight w:val="0"/>
          <w:marTop w:val="0"/>
          <w:marBottom w:val="0"/>
          <w:divBdr>
            <w:top w:val="none" w:sz="0" w:space="0" w:color="auto"/>
            <w:left w:val="none" w:sz="0" w:space="0" w:color="auto"/>
            <w:bottom w:val="none" w:sz="0" w:space="0" w:color="auto"/>
            <w:right w:val="none" w:sz="0" w:space="0" w:color="auto"/>
          </w:divBdr>
        </w:div>
        <w:div w:id="1978487686">
          <w:marLeft w:val="0"/>
          <w:marRight w:val="0"/>
          <w:marTop w:val="0"/>
          <w:marBottom w:val="0"/>
          <w:divBdr>
            <w:top w:val="none" w:sz="0" w:space="0" w:color="auto"/>
            <w:left w:val="none" w:sz="0" w:space="0" w:color="auto"/>
            <w:bottom w:val="none" w:sz="0" w:space="0" w:color="auto"/>
            <w:right w:val="none" w:sz="0" w:space="0" w:color="auto"/>
          </w:divBdr>
        </w:div>
        <w:div w:id="1980651542">
          <w:marLeft w:val="0"/>
          <w:marRight w:val="0"/>
          <w:marTop w:val="0"/>
          <w:marBottom w:val="0"/>
          <w:divBdr>
            <w:top w:val="none" w:sz="0" w:space="0" w:color="auto"/>
            <w:left w:val="none" w:sz="0" w:space="0" w:color="auto"/>
            <w:bottom w:val="none" w:sz="0" w:space="0" w:color="auto"/>
            <w:right w:val="none" w:sz="0" w:space="0" w:color="auto"/>
          </w:divBdr>
        </w:div>
        <w:div w:id="2021546448">
          <w:marLeft w:val="0"/>
          <w:marRight w:val="0"/>
          <w:marTop w:val="0"/>
          <w:marBottom w:val="0"/>
          <w:divBdr>
            <w:top w:val="none" w:sz="0" w:space="0" w:color="auto"/>
            <w:left w:val="none" w:sz="0" w:space="0" w:color="auto"/>
            <w:bottom w:val="none" w:sz="0" w:space="0" w:color="auto"/>
            <w:right w:val="none" w:sz="0" w:space="0" w:color="auto"/>
          </w:divBdr>
        </w:div>
      </w:divsChild>
    </w:div>
    <w:div w:id="1735853211">
      <w:bodyDiv w:val="1"/>
      <w:marLeft w:val="0"/>
      <w:marRight w:val="0"/>
      <w:marTop w:val="0"/>
      <w:marBottom w:val="0"/>
      <w:divBdr>
        <w:top w:val="none" w:sz="0" w:space="0" w:color="auto"/>
        <w:left w:val="none" w:sz="0" w:space="0" w:color="auto"/>
        <w:bottom w:val="none" w:sz="0" w:space="0" w:color="auto"/>
        <w:right w:val="none" w:sz="0" w:space="0" w:color="auto"/>
      </w:divBdr>
    </w:div>
    <w:div w:id="1735856881">
      <w:bodyDiv w:val="1"/>
      <w:marLeft w:val="0"/>
      <w:marRight w:val="0"/>
      <w:marTop w:val="0"/>
      <w:marBottom w:val="0"/>
      <w:divBdr>
        <w:top w:val="none" w:sz="0" w:space="0" w:color="auto"/>
        <w:left w:val="none" w:sz="0" w:space="0" w:color="auto"/>
        <w:bottom w:val="none" w:sz="0" w:space="0" w:color="auto"/>
        <w:right w:val="none" w:sz="0" w:space="0" w:color="auto"/>
      </w:divBdr>
    </w:div>
    <w:div w:id="1735926916">
      <w:bodyDiv w:val="1"/>
      <w:marLeft w:val="0"/>
      <w:marRight w:val="0"/>
      <w:marTop w:val="0"/>
      <w:marBottom w:val="0"/>
      <w:divBdr>
        <w:top w:val="none" w:sz="0" w:space="0" w:color="auto"/>
        <w:left w:val="none" w:sz="0" w:space="0" w:color="auto"/>
        <w:bottom w:val="none" w:sz="0" w:space="0" w:color="auto"/>
        <w:right w:val="none" w:sz="0" w:space="0" w:color="auto"/>
      </w:divBdr>
    </w:div>
    <w:div w:id="1735927683">
      <w:bodyDiv w:val="1"/>
      <w:marLeft w:val="0"/>
      <w:marRight w:val="0"/>
      <w:marTop w:val="0"/>
      <w:marBottom w:val="0"/>
      <w:divBdr>
        <w:top w:val="none" w:sz="0" w:space="0" w:color="auto"/>
        <w:left w:val="none" w:sz="0" w:space="0" w:color="auto"/>
        <w:bottom w:val="none" w:sz="0" w:space="0" w:color="auto"/>
        <w:right w:val="none" w:sz="0" w:space="0" w:color="auto"/>
      </w:divBdr>
    </w:div>
    <w:div w:id="1735934746">
      <w:bodyDiv w:val="1"/>
      <w:marLeft w:val="0"/>
      <w:marRight w:val="0"/>
      <w:marTop w:val="0"/>
      <w:marBottom w:val="0"/>
      <w:divBdr>
        <w:top w:val="none" w:sz="0" w:space="0" w:color="auto"/>
        <w:left w:val="none" w:sz="0" w:space="0" w:color="auto"/>
        <w:bottom w:val="none" w:sz="0" w:space="0" w:color="auto"/>
        <w:right w:val="none" w:sz="0" w:space="0" w:color="auto"/>
      </w:divBdr>
    </w:div>
    <w:div w:id="1736004715">
      <w:bodyDiv w:val="1"/>
      <w:marLeft w:val="0"/>
      <w:marRight w:val="0"/>
      <w:marTop w:val="0"/>
      <w:marBottom w:val="0"/>
      <w:divBdr>
        <w:top w:val="none" w:sz="0" w:space="0" w:color="auto"/>
        <w:left w:val="none" w:sz="0" w:space="0" w:color="auto"/>
        <w:bottom w:val="none" w:sz="0" w:space="0" w:color="auto"/>
        <w:right w:val="none" w:sz="0" w:space="0" w:color="auto"/>
      </w:divBdr>
    </w:div>
    <w:div w:id="1736080914">
      <w:bodyDiv w:val="1"/>
      <w:marLeft w:val="0"/>
      <w:marRight w:val="0"/>
      <w:marTop w:val="0"/>
      <w:marBottom w:val="0"/>
      <w:divBdr>
        <w:top w:val="none" w:sz="0" w:space="0" w:color="auto"/>
        <w:left w:val="none" w:sz="0" w:space="0" w:color="auto"/>
        <w:bottom w:val="none" w:sz="0" w:space="0" w:color="auto"/>
        <w:right w:val="none" w:sz="0" w:space="0" w:color="auto"/>
      </w:divBdr>
    </w:div>
    <w:div w:id="1736081349">
      <w:bodyDiv w:val="1"/>
      <w:marLeft w:val="0"/>
      <w:marRight w:val="0"/>
      <w:marTop w:val="0"/>
      <w:marBottom w:val="0"/>
      <w:divBdr>
        <w:top w:val="none" w:sz="0" w:space="0" w:color="auto"/>
        <w:left w:val="none" w:sz="0" w:space="0" w:color="auto"/>
        <w:bottom w:val="none" w:sz="0" w:space="0" w:color="auto"/>
        <w:right w:val="none" w:sz="0" w:space="0" w:color="auto"/>
      </w:divBdr>
    </w:div>
    <w:div w:id="1736128721">
      <w:bodyDiv w:val="1"/>
      <w:marLeft w:val="0"/>
      <w:marRight w:val="0"/>
      <w:marTop w:val="0"/>
      <w:marBottom w:val="0"/>
      <w:divBdr>
        <w:top w:val="none" w:sz="0" w:space="0" w:color="auto"/>
        <w:left w:val="none" w:sz="0" w:space="0" w:color="auto"/>
        <w:bottom w:val="none" w:sz="0" w:space="0" w:color="auto"/>
        <w:right w:val="none" w:sz="0" w:space="0" w:color="auto"/>
      </w:divBdr>
    </w:div>
    <w:div w:id="1736314269">
      <w:bodyDiv w:val="1"/>
      <w:marLeft w:val="0"/>
      <w:marRight w:val="0"/>
      <w:marTop w:val="0"/>
      <w:marBottom w:val="0"/>
      <w:divBdr>
        <w:top w:val="none" w:sz="0" w:space="0" w:color="auto"/>
        <w:left w:val="none" w:sz="0" w:space="0" w:color="auto"/>
        <w:bottom w:val="none" w:sz="0" w:space="0" w:color="auto"/>
        <w:right w:val="none" w:sz="0" w:space="0" w:color="auto"/>
      </w:divBdr>
    </w:div>
    <w:div w:id="1736315085">
      <w:bodyDiv w:val="1"/>
      <w:marLeft w:val="0"/>
      <w:marRight w:val="0"/>
      <w:marTop w:val="0"/>
      <w:marBottom w:val="0"/>
      <w:divBdr>
        <w:top w:val="none" w:sz="0" w:space="0" w:color="auto"/>
        <w:left w:val="none" w:sz="0" w:space="0" w:color="auto"/>
        <w:bottom w:val="none" w:sz="0" w:space="0" w:color="auto"/>
        <w:right w:val="none" w:sz="0" w:space="0" w:color="auto"/>
      </w:divBdr>
    </w:div>
    <w:div w:id="1736319007">
      <w:bodyDiv w:val="1"/>
      <w:marLeft w:val="0"/>
      <w:marRight w:val="0"/>
      <w:marTop w:val="0"/>
      <w:marBottom w:val="0"/>
      <w:divBdr>
        <w:top w:val="none" w:sz="0" w:space="0" w:color="auto"/>
        <w:left w:val="none" w:sz="0" w:space="0" w:color="auto"/>
        <w:bottom w:val="none" w:sz="0" w:space="0" w:color="auto"/>
        <w:right w:val="none" w:sz="0" w:space="0" w:color="auto"/>
      </w:divBdr>
    </w:div>
    <w:div w:id="1736391664">
      <w:bodyDiv w:val="1"/>
      <w:marLeft w:val="0"/>
      <w:marRight w:val="0"/>
      <w:marTop w:val="0"/>
      <w:marBottom w:val="0"/>
      <w:divBdr>
        <w:top w:val="none" w:sz="0" w:space="0" w:color="auto"/>
        <w:left w:val="none" w:sz="0" w:space="0" w:color="auto"/>
        <w:bottom w:val="none" w:sz="0" w:space="0" w:color="auto"/>
        <w:right w:val="none" w:sz="0" w:space="0" w:color="auto"/>
      </w:divBdr>
    </w:div>
    <w:div w:id="1736392548">
      <w:bodyDiv w:val="1"/>
      <w:marLeft w:val="0"/>
      <w:marRight w:val="0"/>
      <w:marTop w:val="0"/>
      <w:marBottom w:val="0"/>
      <w:divBdr>
        <w:top w:val="none" w:sz="0" w:space="0" w:color="auto"/>
        <w:left w:val="none" w:sz="0" w:space="0" w:color="auto"/>
        <w:bottom w:val="none" w:sz="0" w:space="0" w:color="auto"/>
        <w:right w:val="none" w:sz="0" w:space="0" w:color="auto"/>
      </w:divBdr>
    </w:div>
    <w:div w:id="1736465062">
      <w:bodyDiv w:val="1"/>
      <w:marLeft w:val="0"/>
      <w:marRight w:val="0"/>
      <w:marTop w:val="0"/>
      <w:marBottom w:val="0"/>
      <w:divBdr>
        <w:top w:val="none" w:sz="0" w:space="0" w:color="auto"/>
        <w:left w:val="none" w:sz="0" w:space="0" w:color="auto"/>
        <w:bottom w:val="none" w:sz="0" w:space="0" w:color="auto"/>
        <w:right w:val="none" w:sz="0" w:space="0" w:color="auto"/>
      </w:divBdr>
    </w:div>
    <w:div w:id="1736511093">
      <w:bodyDiv w:val="1"/>
      <w:marLeft w:val="0"/>
      <w:marRight w:val="0"/>
      <w:marTop w:val="0"/>
      <w:marBottom w:val="0"/>
      <w:divBdr>
        <w:top w:val="none" w:sz="0" w:space="0" w:color="auto"/>
        <w:left w:val="none" w:sz="0" w:space="0" w:color="auto"/>
        <w:bottom w:val="none" w:sz="0" w:space="0" w:color="auto"/>
        <w:right w:val="none" w:sz="0" w:space="0" w:color="auto"/>
      </w:divBdr>
    </w:div>
    <w:div w:id="1736584723">
      <w:bodyDiv w:val="1"/>
      <w:marLeft w:val="0"/>
      <w:marRight w:val="0"/>
      <w:marTop w:val="0"/>
      <w:marBottom w:val="0"/>
      <w:divBdr>
        <w:top w:val="none" w:sz="0" w:space="0" w:color="auto"/>
        <w:left w:val="none" w:sz="0" w:space="0" w:color="auto"/>
        <w:bottom w:val="none" w:sz="0" w:space="0" w:color="auto"/>
        <w:right w:val="none" w:sz="0" w:space="0" w:color="auto"/>
      </w:divBdr>
    </w:div>
    <w:div w:id="1736587995">
      <w:bodyDiv w:val="1"/>
      <w:marLeft w:val="0"/>
      <w:marRight w:val="0"/>
      <w:marTop w:val="0"/>
      <w:marBottom w:val="0"/>
      <w:divBdr>
        <w:top w:val="none" w:sz="0" w:space="0" w:color="auto"/>
        <w:left w:val="none" w:sz="0" w:space="0" w:color="auto"/>
        <w:bottom w:val="none" w:sz="0" w:space="0" w:color="auto"/>
        <w:right w:val="none" w:sz="0" w:space="0" w:color="auto"/>
      </w:divBdr>
    </w:div>
    <w:div w:id="1736660941">
      <w:bodyDiv w:val="1"/>
      <w:marLeft w:val="0"/>
      <w:marRight w:val="0"/>
      <w:marTop w:val="0"/>
      <w:marBottom w:val="0"/>
      <w:divBdr>
        <w:top w:val="none" w:sz="0" w:space="0" w:color="auto"/>
        <w:left w:val="none" w:sz="0" w:space="0" w:color="auto"/>
        <w:bottom w:val="none" w:sz="0" w:space="0" w:color="auto"/>
        <w:right w:val="none" w:sz="0" w:space="0" w:color="auto"/>
      </w:divBdr>
    </w:div>
    <w:div w:id="1736704576">
      <w:bodyDiv w:val="1"/>
      <w:marLeft w:val="0"/>
      <w:marRight w:val="0"/>
      <w:marTop w:val="0"/>
      <w:marBottom w:val="0"/>
      <w:divBdr>
        <w:top w:val="none" w:sz="0" w:space="0" w:color="auto"/>
        <w:left w:val="none" w:sz="0" w:space="0" w:color="auto"/>
        <w:bottom w:val="none" w:sz="0" w:space="0" w:color="auto"/>
        <w:right w:val="none" w:sz="0" w:space="0" w:color="auto"/>
      </w:divBdr>
    </w:div>
    <w:div w:id="1736777012">
      <w:bodyDiv w:val="1"/>
      <w:marLeft w:val="0"/>
      <w:marRight w:val="0"/>
      <w:marTop w:val="0"/>
      <w:marBottom w:val="0"/>
      <w:divBdr>
        <w:top w:val="none" w:sz="0" w:space="0" w:color="auto"/>
        <w:left w:val="none" w:sz="0" w:space="0" w:color="auto"/>
        <w:bottom w:val="none" w:sz="0" w:space="0" w:color="auto"/>
        <w:right w:val="none" w:sz="0" w:space="0" w:color="auto"/>
      </w:divBdr>
    </w:div>
    <w:div w:id="1736851640">
      <w:bodyDiv w:val="1"/>
      <w:marLeft w:val="0"/>
      <w:marRight w:val="0"/>
      <w:marTop w:val="0"/>
      <w:marBottom w:val="0"/>
      <w:divBdr>
        <w:top w:val="none" w:sz="0" w:space="0" w:color="auto"/>
        <w:left w:val="none" w:sz="0" w:space="0" w:color="auto"/>
        <w:bottom w:val="none" w:sz="0" w:space="0" w:color="auto"/>
        <w:right w:val="none" w:sz="0" w:space="0" w:color="auto"/>
      </w:divBdr>
    </w:div>
    <w:div w:id="1736852226">
      <w:bodyDiv w:val="1"/>
      <w:marLeft w:val="0"/>
      <w:marRight w:val="0"/>
      <w:marTop w:val="0"/>
      <w:marBottom w:val="0"/>
      <w:divBdr>
        <w:top w:val="none" w:sz="0" w:space="0" w:color="auto"/>
        <w:left w:val="none" w:sz="0" w:space="0" w:color="auto"/>
        <w:bottom w:val="none" w:sz="0" w:space="0" w:color="auto"/>
        <w:right w:val="none" w:sz="0" w:space="0" w:color="auto"/>
      </w:divBdr>
    </w:div>
    <w:div w:id="1736901410">
      <w:bodyDiv w:val="1"/>
      <w:marLeft w:val="0"/>
      <w:marRight w:val="0"/>
      <w:marTop w:val="0"/>
      <w:marBottom w:val="0"/>
      <w:divBdr>
        <w:top w:val="none" w:sz="0" w:space="0" w:color="auto"/>
        <w:left w:val="none" w:sz="0" w:space="0" w:color="auto"/>
        <w:bottom w:val="none" w:sz="0" w:space="0" w:color="auto"/>
        <w:right w:val="none" w:sz="0" w:space="0" w:color="auto"/>
      </w:divBdr>
    </w:div>
    <w:div w:id="1736968004">
      <w:bodyDiv w:val="1"/>
      <w:marLeft w:val="0"/>
      <w:marRight w:val="0"/>
      <w:marTop w:val="0"/>
      <w:marBottom w:val="0"/>
      <w:divBdr>
        <w:top w:val="none" w:sz="0" w:space="0" w:color="auto"/>
        <w:left w:val="none" w:sz="0" w:space="0" w:color="auto"/>
        <w:bottom w:val="none" w:sz="0" w:space="0" w:color="auto"/>
        <w:right w:val="none" w:sz="0" w:space="0" w:color="auto"/>
      </w:divBdr>
    </w:div>
    <w:div w:id="1737046870">
      <w:bodyDiv w:val="1"/>
      <w:marLeft w:val="0"/>
      <w:marRight w:val="0"/>
      <w:marTop w:val="0"/>
      <w:marBottom w:val="0"/>
      <w:divBdr>
        <w:top w:val="none" w:sz="0" w:space="0" w:color="auto"/>
        <w:left w:val="none" w:sz="0" w:space="0" w:color="auto"/>
        <w:bottom w:val="none" w:sz="0" w:space="0" w:color="auto"/>
        <w:right w:val="none" w:sz="0" w:space="0" w:color="auto"/>
      </w:divBdr>
    </w:div>
    <w:div w:id="1737049291">
      <w:bodyDiv w:val="1"/>
      <w:marLeft w:val="0"/>
      <w:marRight w:val="0"/>
      <w:marTop w:val="0"/>
      <w:marBottom w:val="0"/>
      <w:divBdr>
        <w:top w:val="none" w:sz="0" w:space="0" w:color="auto"/>
        <w:left w:val="none" w:sz="0" w:space="0" w:color="auto"/>
        <w:bottom w:val="none" w:sz="0" w:space="0" w:color="auto"/>
        <w:right w:val="none" w:sz="0" w:space="0" w:color="auto"/>
      </w:divBdr>
    </w:div>
    <w:div w:id="1737051635">
      <w:bodyDiv w:val="1"/>
      <w:marLeft w:val="0"/>
      <w:marRight w:val="0"/>
      <w:marTop w:val="0"/>
      <w:marBottom w:val="0"/>
      <w:divBdr>
        <w:top w:val="none" w:sz="0" w:space="0" w:color="auto"/>
        <w:left w:val="none" w:sz="0" w:space="0" w:color="auto"/>
        <w:bottom w:val="none" w:sz="0" w:space="0" w:color="auto"/>
        <w:right w:val="none" w:sz="0" w:space="0" w:color="auto"/>
      </w:divBdr>
    </w:div>
    <w:div w:id="1737128297">
      <w:bodyDiv w:val="1"/>
      <w:marLeft w:val="0"/>
      <w:marRight w:val="0"/>
      <w:marTop w:val="0"/>
      <w:marBottom w:val="0"/>
      <w:divBdr>
        <w:top w:val="none" w:sz="0" w:space="0" w:color="auto"/>
        <w:left w:val="none" w:sz="0" w:space="0" w:color="auto"/>
        <w:bottom w:val="none" w:sz="0" w:space="0" w:color="auto"/>
        <w:right w:val="none" w:sz="0" w:space="0" w:color="auto"/>
      </w:divBdr>
    </w:div>
    <w:div w:id="1737169871">
      <w:bodyDiv w:val="1"/>
      <w:marLeft w:val="0"/>
      <w:marRight w:val="0"/>
      <w:marTop w:val="0"/>
      <w:marBottom w:val="0"/>
      <w:divBdr>
        <w:top w:val="none" w:sz="0" w:space="0" w:color="auto"/>
        <w:left w:val="none" w:sz="0" w:space="0" w:color="auto"/>
        <w:bottom w:val="none" w:sz="0" w:space="0" w:color="auto"/>
        <w:right w:val="none" w:sz="0" w:space="0" w:color="auto"/>
      </w:divBdr>
    </w:div>
    <w:div w:id="1737237101">
      <w:bodyDiv w:val="1"/>
      <w:marLeft w:val="0"/>
      <w:marRight w:val="0"/>
      <w:marTop w:val="0"/>
      <w:marBottom w:val="0"/>
      <w:divBdr>
        <w:top w:val="none" w:sz="0" w:space="0" w:color="auto"/>
        <w:left w:val="none" w:sz="0" w:space="0" w:color="auto"/>
        <w:bottom w:val="none" w:sz="0" w:space="0" w:color="auto"/>
        <w:right w:val="none" w:sz="0" w:space="0" w:color="auto"/>
      </w:divBdr>
    </w:div>
    <w:div w:id="1737508582">
      <w:bodyDiv w:val="1"/>
      <w:marLeft w:val="0"/>
      <w:marRight w:val="0"/>
      <w:marTop w:val="0"/>
      <w:marBottom w:val="0"/>
      <w:divBdr>
        <w:top w:val="none" w:sz="0" w:space="0" w:color="auto"/>
        <w:left w:val="none" w:sz="0" w:space="0" w:color="auto"/>
        <w:bottom w:val="none" w:sz="0" w:space="0" w:color="auto"/>
        <w:right w:val="none" w:sz="0" w:space="0" w:color="auto"/>
      </w:divBdr>
    </w:div>
    <w:div w:id="1737511819">
      <w:bodyDiv w:val="1"/>
      <w:marLeft w:val="0"/>
      <w:marRight w:val="0"/>
      <w:marTop w:val="0"/>
      <w:marBottom w:val="0"/>
      <w:divBdr>
        <w:top w:val="none" w:sz="0" w:space="0" w:color="auto"/>
        <w:left w:val="none" w:sz="0" w:space="0" w:color="auto"/>
        <w:bottom w:val="none" w:sz="0" w:space="0" w:color="auto"/>
        <w:right w:val="none" w:sz="0" w:space="0" w:color="auto"/>
      </w:divBdr>
    </w:div>
    <w:div w:id="1737512035">
      <w:bodyDiv w:val="1"/>
      <w:marLeft w:val="0"/>
      <w:marRight w:val="0"/>
      <w:marTop w:val="0"/>
      <w:marBottom w:val="0"/>
      <w:divBdr>
        <w:top w:val="none" w:sz="0" w:space="0" w:color="auto"/>
        <w:left w:val="none" w:sz="0" w:space="0" w:color="auto"/>
        <w:bottom w:val="none" w:sz="0" w:space="0" w:color="auto"/>
        <w:right w:val="none" w:sz="0" w:space="0" w:color="auto"/>
      </w:divBdr>
    </w:div>
    <w:div w:id="1737582701">
      <w:bodyDiv w:val="1"/>
      <w:marLeft w:val="0"/>
      <w:marRight w:val="0"/>
      <w:marTop w:val="0"/>
      <w:marBottom w:val="0"/>
      <w:divBdr>
        <w:top w:val="none" w:sz="0" w:space="0" w:color="auto"/>
        <w:left w:val="none" w:sz="0" w:space="0" w:color="auto"/>
        <w:bottom w:val="none" w:sz="0" w:space="0" w:color="auto"/>
        <w:right w:val="none" w:sz="0" w:space="0" w:color="auto"/>
      </w:divBdr>
    </w:div>
    <w:div w:id="1737824988">
      <w:bodyDiv w:val="1"/>
      <w:marLeft w:val="0"/>
      <w:marRight w:val="0"/>
      <w:marTop w:val="0"/>
      <w:marBottom w:val="0"/>
      <w:divBdr>
        <w:top w:val="none" w:sz="0" w:space="0" w:color="auto"/>
        <w:left w:val="none" w:sz="0" w:space="0" w:color="auto"/>
        <w:bottom w:val="none" w:sz="0" w:space="0" w:color="auto"/>
        <w:right w:val="none" w:sz="0" w:space="0" w:color="auto"/>
      </w:divBdr>
    </w:div>
    <w:div w:id="1737969771">
      <w:bodyDiv w:val="1"/>
      <w:marLeft w:val="0"/>
      <w:marRight w:val="0"/>
      <w:marTop w:val="0"/>
      <w:marBottom w:val="0"/>
      <w:divBdr>
        <w:top w:val="none" w:sz="0" w:space="0" w:color="auto"/>
        <w:left w:val="none" w:sz="0" w:space="0" w:color="auto"/>
        <w:bottom w:val="none" w:sz="0" w:space="0" w:color="auto"/>
        <w:right w:val="none" w:sz="0" w:space="0" w:color="auto"/>
      </w:divBdr>
    </w:div>
    <w:div w:id="1737974072">
      <w:bodyDiv w:val="1"/>
      <w:marLeft w:val="0"/>
      <w:marRight w:val="0"/>
      <w:marTop w:val="0"/>
      <w:marBottom w:val="0"/>
      <w:divBdr>
        <w:top w:val="none" w:sz="0" w:space="0" w:color="auto"/>
        <w:left w:val="none" w:sz="0" w:space="0" w:color="auto"/>
        <w:bottom w:val="none" w:sz="0" w:space="0" w:color="auto"/>
        <w:right w:val="none" w:sz="0" w:space="0" w:color="auto"/>
      </w:divBdr>
    </w:div>
    <w:div w:id="1738016288">
      <w:bodyDiv w:val="1"/>
      <w:marLeft w:val="0"/>
      <w:marRight w:val="0"/>
      <w:marTop w:val="0"/>
      <w:marBottom w:val="0"/>
      <w:divBdr>
        <w:top w:val="none" w:sz="0" w:space="0" w:color="auto"/>
        <w:left w:val="none" w:sz="0" w:space="0" w:color="auto"/>
        <w:bottom w:val="none" w:sz="0" w:space="0" w:color="auto"/>
        <w:right w:val="none" w:sz="0" w:space="0" w:color="auto"/>
      </w:divBdr>
    </w:div>
    <w:div w:id="1738043427">
      <w:bodyDiv w:val="1"/>
      <w:marLeft w:val="0"/>
      <w:marRight w:val="0"/>
      <w:marTop w:val="0"/>
      <w:marBottom w:val="0"/>
      <w:divBdr>
        <w:top w:val="none" w:sz="0" w:space="0" w:color="auto"/>
        <w:left w:val="none" w:sz="0" w:space="0" w:color="auto"/>
        <w:bottom w:val="none" w:sz="0" w:space="0" w:color="auto"/>
        <w:right w:val="none" w:sz="0" w:space="0" w:color="auto"/>
      </w:divBdr>
    </w:div>
    <w:div w:id="1738238749">
      <w:bodyDiv w:val="1"/>
      <w:marLeft w:val="0"/>
      <w:marRight w:val="0"/>
      <w:marTop w:val="0"/>
      <w:marBottom w:val="0"/>
      <w:divBdr>
        <w:top w:val="none" w:sz="0" w:space="0" w:color="auto"/>
        <w:left w:val="none" w:sz="0" w:space="0" w:color="auto"/>
        <w:bottom w:val="none" w:sz="0" w:space="0" w:color="auto"/>
        <w:right w:val="none" w:sz="0" w:space="0" w:color="auto"/>
      </w:divBdr>
    </w:div>
    <w:div w:id="1738284422">
      <w:bodyDiv w:val="1"/>
      <w:marLeft w:val="0"/>
      <w:marRight w:val="0"/>
      <w:marTop w:val="0"/>
      <w:marBottom w:val="0"/>
      <w:divBdr>
        <w:top w:val="none" w:sz="0" w:space="0" w:color="auto"/>
        <w:left w:val="none" w:sz="0" w:space="0" w:color="auto"/>
        <w:bottom w:val="none" w:sz="0" w:space="0" w:color="auto"/>
        <w:right w:val="none" w:sz="0" w:space="0" w:color="auto"/>
      </w:divBdr>
    </w:div>
    <w:div w:id="1738628097">
      <w:bodyDiv w:val="1"/>
      <w:marLeft w:val="0"/>
      <w:marRight w:val="0"/>
      <w:marTop w:val="0"/>
      <w:marBottom w:val="0"/>
      <w:divBdr>
        <w:top w:val="none" w:sz="0" w:space="0" w:color="auto"/>
        <w:left w:val="none" w:sz="0" w:space="0" w:color="auto"/>
        <w:bottom w:val="none" w:sz="0" w:space="0" w:color="auto"/>
        <w:right w:val="none" w:sz="0" w:space="0" w:color="auto"/>
      </w:divBdr>
    </w:div>
    <w:div w:id="1738673337">
      <w:bodyDiv w:val="1"/>
      <w:marLeft w:val="0"/>
      <w:marRight w:val="0"/>
      <w:marTop w:val="0"/>
      <w:marBottom w:val="0"/>
      <w:divBdr>
        <w:top w:val="none" w:sz="0" w:space="0" w:color="auto"/>
        <w:left w:val="none" w:sz="0" w:space="0" w:color="auto"/>
        <w:bottom w:val="none" w:sz="0" w:space="0" w:color="auto"/>
        <w:right w:val="none" w:sz="0" w:space="0" w:color="auto"/>
      </w:divBdr>
    </w:div>
    <w:div w:id="1738674068">
      <w:bodyDiv w:val="1"/>
      <w:marLeft w:val="0"/>
      <w:marRight w:val="0"/>
      <w:marTop w:val="0"/>
      <w:marBottom w:val="0"/>
      <w:divBdr>
        <w:top w:val="none" w:sz="0" w:space="0" w:color="auto"/>
        <w:left w:val="none" w:sz="0" w:space="0" w:color="auto"/>
        <w:bottom w:val="none" w:sz="0" w:space="0" w:color="auto"/>
        <w:right w:val="none" w:sz="0" w:space="0" w:color="auto"/>
      </w:divBdr>
    </w:div>
    <w:div w:id="1738742093">
      <w:bodyDiv w:val="1"/>
      <w:marLeft w:val="0"/>
      <w:marRight w:val="0"/>
      <w:marTop w:val="0"/>
      <w:marBottom w:val="0"/>
      <w:divBdr>
        <w:top w:val="none" w:sz="0" w:space="0" w:color="auto"/>
        <w:left w:val="none" w:sz="0" w:space="0" w:color="auto"/>
        <w:bottom w:val="none" w:sz="0" w:space="0" w:color="auto"/>
        <w:right w:val="none" w:sz="0" w:space="0" w:color="auto"/>
      </w:divBdr>
    </w:div>
    <w:div w:id="1738824196">
      <w:bodyDiv w:val="1"/>
      <w:marLeft w:val="0"/>
      <w:marRight w:val="0"/>
      <w:marTop w:val="0"/>
      <w:marBottom w:val="0"/>
      <w:divBdr>
        <w:top w:val="none" w:sz="0" w:space="0" w:color="auto"/>
        <w:left w:val="none" w:sz="0" w:space="0" w:color="auto"/>
        <w:bottom w:val="none" w:sz="0" w:space="0" w:color="auto"/>
        <w:right w:val="none" w:sz="0" w:space="0" w:color="auto"/>
      </w:divBdr>
    </w:div>
    <w:div w:id="1738895116">
      <w:bodyDiv w:val="1"/>
      <w:marLeft w:val="0"/>
      <w:marRight w:val="0"/>
      <w:marTop w:val="0"/>
      <w:marBottom w:val="0"/>
      <w:divBdr>
        <w:top w:val="none" w:sz="0" w:space="0" w:color="auto"/>
        <w:left w:val="none" w:sz="0" w:space="0" w:color="auto"/>
        <w:bottom w:val="none" w:sz="0" w:space="0" w:color="auto"/>
        <w:right w:val="none" w:sz="0" w:space="0" w:color="auto"/>
      </w:divBdr>
    </w:div>
    <w:div w:id="1738936710">
      <w:bodyDiv w:val="1"/>
      <w:marLeft w:val="0"/>
      <w:marRight w:val="0"/>
      <w:marTop w:val="0"/>
      <w:marBottom w:val="0"/>
      <w:divBdr>
        <w:top w:val="none" w:sz="0" w:space="0" w:color="auto"/>
        <w:left w:val="none" w:sz="0" w:space="0" w:color="auto"/>
        <w:bottom w:val="none" w:sz="0" w:space="0" w:color="auto"/>
        <w:right w:val="none" w:sz="0" w:space="0" w:color="auto"/>
      </w:divBdr>
    </w:div>
    <w:div w:id="1738941467">
      <w:bodyDiv w:val="1"/>
      <w:marLeft w:val="0"/>
      <w:marRight w:val="0"/>
      <w:marTop w:val="0"/>
      <w:marBottom w:val="0"/>
      <w:divBdr>
        <w:top w:val="none" w:sz="0" w:space="0" w:color="auto"/>
        <w:left w:val="none" w:sz="0" w:space="0" w:color="auto"/>
        <w:bottom w:val="none" w:sz="0" w:space="0" w:color="auto"/>
        <w:right w:val="none" w:sz="0" w:space="0" w:color="auto"/>
      </w:divBdr>
    </w:div>
    <w:div w:id="1739012593">
      <w:bodyDiv w:val="1"/>
      <w:marLeft w:val="0"/>
      <w:marRight w:val="0"/>
      <w:marTop w:val="0"/>
      <w:marBottom w:val="0"/>
      <w:divBdr>
        <w:top w:val="none" w:sz="0" w:space="0" w:color="auto"/>
        <w:left w:val="none" w:sz="0" w:space="0" w:color="auto"/>
        <w:bottom w:val="none" w:sz="0" w:space="0" w:color="auto"/>
        <w:right w:val="none" w:sz="0" w:space="0" w:color="auto"/>
      </w:divBdr>
    </w:div>
    <w:div w:id="1739353573">
      <w:bodyDiv w:val="1"/>
      <w:marLeft w:val="0"/>
      <w:marRight w:val="0"/>
      <w:marTop w:val="0"/>
      <w:marBottom w:val="0"/>
      <w:divBdr>
        <w:top w:val="none" w:sz="0" w:space="0" w:color="auto"/>
        <w:left w:val="none" w:sz="0" w:space="0" w:color="auto"/>
        <w:bottom w:val="none" w:sz="0" w:space="0" w:color="auto"/>
        <w:right w:val="none" w:sz="0" w:space="0" w:color="auto"/>
      </w:divBdr>
    </w:div>
    <w:div w:id="1739354718">
      <w:bodyDiv w:val="1"/>
      <w:marLeft w:val="0"/>
      <w:marRight w:val="0"/>
      <w:marTop w:val="0"/>
      <w:marBottom w:val="0"/>
      <w:divBdr>
        <w:top w:val="none" w:sz="0" w:space="0" w:color="auto"/>
        <w:left w:val="none" w:sz="0" w:space="0" w:color="auto"/>
        <w:bottom w:val="none" w:sz="0" w:space="0" w:color="auto"/>
        <w:right w:val="none" w:sz="0" w:space="0" w:color="auto"/>
      </w:divBdr>
    </w:div>
    <w:div w:id="1739398801">
      <w:bodyDiv w:val="1"/>
      <w:marLeft w:val="0"/>
      <w:marRight w:val="0"/>
      <w:marTop w:val="0"/>
      <w:marBottom w:val="0"/>
      <w:divBdr>
        <w:top w:val="none" w:sz="0" w:space="0" w:color="auto"/>
        <w:left w:val="none" w:sz="0" w:space="0" w:color="auto"/>
        <w:bottom w:val="none" w:sz="0" w:space="0" w:color="auto"/>
        <w:right w:val="none" w:sz="0" w:space="0" w:color="auto"/>
      </w:divBdr>
    </w:div>
    <w:div w:id="1739403837">
      <w:bodyDiv w:val="1"/>
      <w:marLeft w:val="0"/>
      <w:marRight w:val="0"/>
      <w:marTop w:val="0"/>
      <w:marBottom w:val="0"/>
      <w:divBdr>
        <w:top w:val="none" w:sz="0" w:space="0" w:color="auto"/>
        <w:left w:val="none" w:sz="0" w:space="0" w:color="auto"/>
        <w:bottom w:val="none" w:sz="0" w:space="0" w:color="auto"/>
        <w:right w:val="none" w:sz="0" w:space="0" w:color="auto"/>
      </w:divBdr>
    </w:div>
    <w:div w:id="1739550147">
      <w:bodyDiv w:val="1"/>
      <w:marLeft w:val="0"/>
      <w:marRight w:val="0"/>
      <w:marTop w:val="0"/>
      <w:marBottom w:val="0"/>
      <w:divBdr>
        <w:top w:val="none" w:sz="0" w:space="0" w:color="auto"/>
        <w:left w:val="none" w:sz="0" w:space="0" w:color="auto"/>
        <w:bottom w:val="none" w:sz="0" w:space="0" w:color="auto"/>
        <w:right w:val="none" w:sz="0" w:space="0" w:color="auto"/>
      </w:divBdr>
    </w:div>
    <w:div w:id="1739593394">
      <w:bodyDiv w:val="1"/>
      <w:marLeft w:val="0"/>
      <w:marRight w:val="0"/>
      <w:marTop w:val="0"/>
      <w:marBottom w:val="0"/>
      <w:divBdr>
        <w:top w:val="none" w:sz="0" w:space="0" w:color="auto"/>
        <w:left w:val="none" w:sz="0" w:space="0" w:color="auto"/>
        <w:bottom w:val="none" w:sz="0" w:space="0" w:color="auto"/>
        <w:right w:val="none" w:sz="0" w:space="0" w:color="auto"/>
      </w:divBdr>
    </w:div>
    <w:div w:id="1739667441">
      <w:bodyDiv w:val="1"/>
      <w:marLeft w:val="0"/>
      <w:marRight w:val="0"/>
      <w:marTop w:val="0"/>
      <w:marBottom w:val="0"/>
      <w:divBdr>
        <w:top w:val="none" w:sz="0" w:space="0" w:color="auto"/>
        <w:left w:val="none" w:sz="0" w:space="0" w:color="auto"/>
        <w:bottom w:val="none" w:sz="0" w:space="0" w:color="auto"/>
        <w:right w:val="none" w:sz="0" w:space="0" w:color="auto"/>
      </w:divBdr>
    </w:div>
    <w:div w:id="1739749014">
      <w:bodyDiv w:val="1"/>
      <w:marLeft w:val="0"/>
      <w:marRight w:val="0"/>
      <w:marTop w:val="0"/>
      <w:marBottom w:val="0"/>
      <w:divBdr>
        <w:top w:val="none" w:sz="0" w:space="0" w:color="auto"/>
        <w:left w:val="none" w:sz="0" w:space="0" w:color="auto"/>
        <w:bottom w:val="none" w:sz="0" w:space="0" w:color="auto"/>
        <w:right w:val="none" w:sz="0" w:space="0" w:color="auto"/>
      </w:divBdr>
    </w:div>
    <w:div w:id="1739789252">
      <w:bodyDiv w:val="1"/>
      <w:marLeft w:val="0"/>
      <w:marRight w:val="0"/>
      <w:marTop w:val="0"/>
      <w:marBottom w:val="0"/>
      <w:divBdr>
        <w:top w:val="none" w:sz="0" w:space="0" w:color="auto"/>
        <w:left w:val="none" w:sz="0" w:space="0" w:color="auto"/>
        <w:bottom w:val="none" w:sz="0" w:space="0" w:color="auto"/>
        <w:right w:val="none" w:sz="0" w:space="0" w:color="auto"/>
      </w:divBdr>
    </w:div>
    <w:div w:id="1739865004">
      <w:bodyDiv w:val="1"/>
      <w:marLeft w:val="0"/>
      <w:marRight w:val="0"/>
      <w:marTop w:val="0"/>
      <w:marBottom w:val="0"/>
      <w:divBdr>
        <w:top w:val="none" w:sz="0" w:space="0" w:color="auto"/>
        <w:left w:val="none" w:sz="0" w:space="0" w:color="auto"/>
        <w:bottom w:val="none" w:sz="0" w:space="0" w:color="auto"/>
        <w:right w:val="none" w:sz="0" w:space="0" w:color="auto"/>
      </w:divBdr>
    </w:div>
    <w:div w:id="1739983700">
      <w:bodyDiv w:val="1"/>
      <w:marLeft w:val="0"/>
      <w:marRight w:val="0"/>
      <w:marTop w:val="0"/>
      <w:marBottom w:val="0"/>
      <w:divBdr>
        <w:top w:val="none" w:sz="0" w:space="0" w:color="auto"/>
        <w:left w:val="none" w:sz="0" w:space="0" w:color="auto"/>
        <w:bottom w:val="none" w:sz="0" w:space="0" w:color="auto"/>
        <w:right w:val="none" w:sz="0" w:space="0" w:color="auto"/>
      </w:divBdr>
    </w:div>
    <w:div w:id="1740054631">
      <w:bodyDiv w:val="1"/>
      <w:marLeft w:val="0"/>
      <w:marRight w:val="0"/>
      <w:marTop w:val="0"/>
      <w:marBottom w:val="0"/>
      <w:divBdr>
        <w:top w:val="none" w:sz="0" w:space="0" w:color="auto"/>
        <w:left w:val="none" w:sz="0" w:space="0" w:color="auto"/>
        <w:bottom w:val="none" w:sz="0" w:space="0" w:color="auto"/>
        <w:right w:val="none" w:sz="0" w:space="0" w:color="auto"/>
      </w:divBdr>
    </w:div>
    <w:div w:id="1740055842">
      <w:bodyDiv w:val="1"/>
      <w:marLeft w:val="0"/>
      <w:marRight w:val="0"/>
      <w:marTop w:val="0"/>
      <w:marBottom w:val="0"/>
      <w:divBdr>
        <w:top w:val="none" w:sz="0" w:space="0" w:color="auto"/>
        <w:left w:val="none" w:sz="0" w:space="0" w:color="auto"/>
        <w:bottom w:val="none" w:sz="0" w:space="0" w:color="auto"/>
        <w:right w:val="none" w:sz="0" w:space="0" w:color="auto"/>
      </w:divBdr>
    </w:div>
    <w:div w:id="1740059349">
      <w:bodyDiv w:val="1"/>
      <w:marLeft w:val="0"/>
      <w:marRight w:val="0"/>
      <w:marTop w:val="0"/>
      <w:marBottom w:val="0"/>
      <w:divBdr>
        <w:top w:val="none" w:sz="0" w:space="0" w:color="auto"/>
        <w:left w:val="none" w:sz="0" w:space="0" w:color="auto"/>
        <w:bottom w:val="none" w:sz="0" w:space="0" w:color="auto"/>
        <w:right w:val="none" w:sz="0" w:space="0" w:color="auto"/>
      </w:divBdr>
    </w:div>
    <w:div w:id="1740127750">
      <w:bodyDiv w:val="1"/>
      <w:marLeft w:val="0"/>
      <w:marRight w:val="0"/>
      <w:marTop w:val="0"/>
      <w:marBottom w:val="0"/>
      <w:divBdr>
        <w:top w:val="none" w:sz="0" w:space="0" w:color="auto"/>
        <w:left w:val="none" w:sz="0" w:space="0" w:color="auto"/>
        <w:bottom w:val="none" w:sz="0" w:space="0" w:color="auto"/>
        <w:right w:val="none" w:sz="0" w:space="0" w:color="auto"/>
      </w:divBdr>
    </w:div>
    <w:div w:id="1740324056">
      <w:bodyDiv w:val="1"/>
      <w:marLeft w:val="0"/>
      <w:marRight w:val="0"/>
      <w:marTop w:val="0"/>
      <w:marBottom w:val="0"/>
      <w:divBdr>
        <w:top w:val="none" w:sz="0" w:space="0" w:color="auto"/>
        <w:left w:val="none" w:sz="0" w:space="0" w:color="auto"/>
        <w:bottom w:val="none" w:sz="0" w:space="0" w:color="auto"/>
        <w:right w:val="none" w:sz="0" w:space="0" w:color="auto"/>
      </w:divBdr>
    </w:div>
    <w:div w:id="1740785807">
      <w:bodyDiv w:val="1"/>
      <w:marLeft w:val="0"/>
      <w:marRight w:val="0"/>
      <w:marTop w:val="0"/>
      <w:marBottom w:val="0"/>
      <w:divBdr>
        <w:top w:val="none" w:sz="0" w:space="0" w:color="auto"/>
        <w:left w:val="none" w:sz="0" w:space="0" w:color="auto"/>
        <w:bottom w:val="none" w:sz="0" w:space="0" w:color="auto"/>
        <w:right w:val="none" w:sz="0" w:space="0" w:color="auto"/>
      </w:divBdr>
    </w:div>
    <w:div w:id="1740787643">
      <w:bodyDiv w:val="1"/>
      <w:marLeft w:val="0"/>
      <w:marRight w:val="0"/>
      <w:marTop w:val="0"/>
      <w:marBottom w:val="0"/>
      <w:divBdr>
        <w:top w:val="none" w:sz="0" w:space="0" w:color="auto"/>
        <w:left w:val="none" w:sz="0" w:space="0" w:color="auto"/>
        <w:bottom w:val="none" w:sz="0" w:space="0" w:color="auto"/>
        <w:right w:val="none" w:sz="0" w:space="0" w:color="auto"/>
      </w:divBdr>
    </w:div>
    <w:div w:id="1740789454">
      <w:bodyDiv w:val="1"/>
      <w:marLeft w:val="0"/>
      <w:marRight w:val="0"/>
      <w:marTop w:val="0"/>
      <w:marBottom w:val="0"/>
      <w:divBdr>
        <w:top w:val="none" w:sz="0" w:space="0" w:color="auto"/>
        <w:left w:val="none" w:sz="0" w:space="0" w:color="auto"/>
        <w:bottom w:val="none" w:sz="0" w:space="0" w:color="auto"/>
        <w:right w:val="none" w:sz="0" w:space="0" w:color="auto"/>
      </w:divBdr>
    </w:div>
    <w:div w:id="1740906047">
      <w:bodyDiv w:val="1"/>
      <w:marLeft w:val="0"/>
      <w:marRight w:val="0"/>
      <w:marTop w:val="0"/>
      <w:marBottom w:val="0"/>
      <w:divBdr>
        <w:top w:val="none" w:sz="0" w:space="0" w:color="auto"/>
        <w:left w:val="none" w:sz="0" w:space="0" w:color="auto"/>
        <w:bottom w:val="none" w:sz="0" w:space="0" w:color="auto"/>
        <w:right w:val="none" w:sz="0" w:space="0" w:color="auto"/>
      </w:divBdr>
    </w:div>
    <w:div w:id="1741098407">
      <w:bodyDiv w:val="1"/>
      <w:marLeft w:val="0"/>
      <w:marRight w:val="0"/>
      <w:marTop w:val="0"/>
      <w:marBottom w:val="0"/>
      <w:divBdr>
        <w:top w:val="none" w:sz="0" w:space="0" w:color="auto"/>
        <w:left w:val="none" w:sz="0" w:space="0" w:color="auto"/>
        <w:bottom w:val="none" w:sz="0" w:space="0" w:color="auto"/>
        <w:right w:val="none" w:sz="0" w:space="0" w:color="auto"/>
      </w:divBdr>
    </w:div>
    <w:div w:id="1741100133">
      <w:bodyDiv w:val="1"/>
      <w:marLeft w:val="0"/>
      <w:marRight w:val="0"/>
      <w:marTop w:val="0"/>
      <w:marBottom w:val="0"/>
      <w:divBdr>
        <w:top w:val="none" w:sz="0" w:space="0" w:color="auto"/>
        <w:left w:val="none" w:sz="0" w:space="0" w:color="auto"/>
        <w:bottom w:val="none" w:sz="0" w:space="0" w:color="auto"/>
        <w:right w:val="none" w:sz="0" w:space="0" w:color="auto"/>
      </w:divBdr>
    </w:div>
    <w:div w:id="1741102489">
      <w:bodyDiv w:val="1"/>
      <w:marLeft w:val="0"/>
      <w:marRight w:val="0"/>
      <w:marTop w:val="0"/>
      <w:marBottom w:val="0"/>
      <w:divBdr>
        <w:top w:val="none" w:sz="0" w:space="0" w:color="auto"/>
        <w:left w:val="none" w:sz="0" w:space="0" w:color="auto"/>
        <w:bottom w:val="none" w:sz="0" w:space="0" w:color="auto"/>
        <w:right w:val="none" w:sz="0" w:space="0" w:color="auto"/>
      </w:divBdr>
    </w:div>
    <w:div w:id="1741168465">
      <w:bodyDiv w:val="1"/>
      <w:marLeft w:val="0"/>
      <w:marRight w:val="0"/>
      <w:marTop w:val="0"/>
      <w:marBottom w:val="0"/>
      <w:divBdr>
        <w:top w:val="none" w:sz="0" w:space="0" w:color="auto"/>
        <w:left w:val="none" w:sz="0" w:space="0" w:color="auto"/>
        <w:bottom w:val="none" w:sz="0" w:space="0" w:color="auto"/>
        <w:right w:val="none" w:sz="0" w:space="0" w:color="auto"/>
      </w:divBdr>
    </w:div>
    <w:div w:id="1741175787">
      <w:bodyDiv w:val="1"/>
      <w:marLeft w:val="0"/>
      <w:marRight w:val="0"/>
      <w:marTop w:val="0"/>
      <w:marBottom w:val="0"/>
      <w:divBdr>
        <w:top w:val="none" w:sz="0" w:space="0" w:color="auto"/>
        <w:left w:val="none" w:sz="0" w:space="0" w:color="auto"/>
        <w:bottom w:val="none" w:sz="0" w:space="0" w:color="auto"/>
        <w:right w:val="none" w:sz="0" w:space="0" w:color="auto"/>
      </w:divBdr>
    </w:div>
    <w:div w:id="1741243761">
      <w:bodyDiv w:val="1"/>
      <w:marLeft w:val="0"/>
      <w:marRight w:val="0"/>
      <w:marTop w:val="0"/>
      <w:marBottom w:val="0"/>
      <w:divBdr>
        <w:top w:val="none" w:sz="0" w:space="0" w:color="auto"/>
        <w:left w:val="none" w:sz="0" w:space="0" w:color="auto"/>
        <w:bottom w:val="none" w:sz="0" w:space="0" w:color="auto"/>
        <w:right w:val="none" w:sz="0" w:space="0" w:color="auto"/>
      </w:divBdr>
    </w:div>
    <w:div w:id="1741249307">
      <w:bodyDiv w:val="1"/>
      <w:marLeft w:val="0"/>
      <w:marRight w:val="0"/>
      <w:marTop w:val="0"/>
      <w:marBottom w:val="0"/>
      <w:divBdr>
        <w:top w:val="none" w:sz="0" w:space="0" w:color="auto"/>
        <w:left w:val="none" w:sz="0" w:space="0" w:color="auto"/>
        <w:bottom w:val="none" w:sz="0" w:space="0" w:color="auto"/>
        <w:right w:val="none" w:sz="0" w:space="0" w:color="auto"/>
      </w:divBdr>
    </w:div>
    <w:div w:id="1741320276">
      <w:bodyDiv w:val="1"/>
      <w:marLeft w:val="0"/>
      <w:marRight w:val="0"/>
      <w:marTop w:val="0"/>
      <w:marBottom w:val="0"/>
      <w:divBdr>
        <w:top w:val="none" w:sz="0" w:space="0" w:color="auto"/>
        <w:left w:val="none" w:sz="0" w:space="0" w:color="auto"/>
        <w:bottom w:val="none" w:sz="0" w:space="0" w:color="auto"/>
        <w:right w:val="none" w:sz="0" w:space="0" w:color="auto"/>
      </w:divBdr>
    </w:div>
    <w:div w:id="1741442303">
      <w:bodyDiv w:val="1"/>
      <w:marLeft w:val="0"/>
      <w:marRight w:val="0"/>
      <w:marTop w:val="0"/>
      <w:marBottom w:val="0"/>
      <w:divBdr>
        <w:top w:val="none" w:sz="0" w:space="0" w:color="auto"/>
        <w:left w:val="none" w:sz="0" w:space="0" w:color="auto"/>
        <w:bottom w:val="none" w:sz="0" w:space="0" w:color="auto"/>
        <w:right w:val="none" w:sz="0" w:space="0" w:color="auto"/>
      </w:divBdr>
    </w:div>
    <w:div w:id="1741564109">
      <w:bodyDiv w:val="1"/>
      <w:marLeft w:val="0"/>
      <w:marRight w:val="0"/>
      <w:marTop w:val="0"/>
      <w:marBottom w:val="0"/>
      <w:divBdr>
        <w:top w:val="none" w:sz="0" w:space="0" w:color="auto"/>
        <w:left w:val="none" w:sz="0" w:space="0" w:color="auto"/>
        <w:bottom w:val="none" w:sz="0" w:space="0" w:color="auto"/>
        <w:right w:val="none" w:sz="0" w:space="0" w:color="auto"/>
      </w:divBdr>
    </w:div>
    <w:div w:id="1741634254">
      <w:bodyDiv w:val="1"/>
      <w:marLeft w:val="0"/>
      <w:marRight w:val="0"/>
      <w:marTop w:val="0"/>
      <w:marBottom w:val="0"/>
      <w:divBdr>
        <w:top w:val="none" w:sz="0" w:space="0" w:color="auto"/>
        <w:left w:val="none" w:sz="0" w:space="0" w:color="auto"/>
        <w:bottom w:val="none" w:sz="0" w:space="0" w:color="auto"/>
        <w:right w:val="none" w:sz="0" w:space="0" w:color="auto"/>
      </w:divBdr>
    </w:div>
    <w:div w:id="1741710989">
      <w:bodyDiv w:val="1"/>
      <w:marLeft w:val="0"/>
      <w:marRight w:val="0"/>
      <w:marTop w:val="0"/>
      <w:marBottom w:val="0"/>
      <w:divBdr>
        <w:top w:val="none" w:sz="0" w:space="0" w:color="auto"/>
        <w:left w:val="none" w:sz="0" w:space="0" w:color="auto"/>
        <w:bottom w:val="none" w:sz="0" w:space="0" w:color="auto"/>
        <w:right w:val="none" w:sz="0" w:space="0" w:color="auto"/>
      </w:divBdr>
    </w:div>
    <w:div w:id="1741755928">
      <w:bodyDiv w:val="1"/>
      <w:marLeft w:val="0"/>
      <w:marRight w:val="0"/>
      <w:marTop w:val="0"/>
      <w:marBottom w:val="0"/>
      <w:divBdr>
        <w:top w:val="none" w:sz="0" w:space="0" w:color="auto"/>
        <w:left w:val="none" w:sz="0" w:space="0" w:color="auto"/>
        <w:bottom w:val="none" w:sz="0" w:space="0" w:color="auto"/>
        <w:right w:val="none" w:sz="0" w:space="0" w:color="auto"/>
      </w:divBdr>
    </w:div>
    <w:div w:id="1741825597">
      <w:bodyDiv w:val="1"/>
      <w:marLeft w:val="0"/>
      <w:marRight w:val="0"/>
      <w:marTop w:val="0"/>
      <w:marBottom w:val="0"/>
      <w:divBdr>
        <w:top w:val="none" w:sz="0" w:space="0" w:color="auto"/>
        <w:left w:val="none" w:sz="0" w:space="0" w:color="auto"/>
        <w:bottom w:val="none" w:sz="0" w:space="0" w:color="auto"/>
        <w:right w:val="none" w:sz="0" w:space="0" w:color="auto"/>
      </w:divBdr>
    </w:div>
    <w:div w:id="1741947025">
      <w:bodyDiv w:val="1"/>
      <w:marLeft w:val="0"/>
      <w:marRight w:val="0"/>
      <w:marTop w:val="0"/>
      <w:marBottom w:val="0"/>
      <w:divBdr>
        <w:top w:val="none" w:sz="0" w:space="0" w:color="auto"/>
        <w:left w:val="none" w:sz="0" w:space="0" w:color="auto"/>
        <w:bottom w:val="none" w:sz="0" w:space="0" w:color="auto"/>
        <w:right w:val="none" w:sz="0" w:space="0" w:color="auto"/>
      </w:divBdr>
    </w:div>
    <w:div w:id="1742016799">
      <w:bodyDiv w:val="1"/>
      <w:marLeft w:val="0"/>
      <w:marRight w:val="0"/>
      <w:marTop w:val="0"/>
      <w:marBottom w:val="0"/>
      <w:divBdr>
        <w:top w:val="none" w:sz="0" w:space="0" w:color="auto"/>
        <w:left w:val="none" w:sz="0" w:space="0" w:color="auto"/>
        <w:bottom w:val="none" w:sz="0" w:space="0" w:color="auto"/>
        <w:right w:val="none" w:sz="0" w:space="0" w:color="auto"/>
      </w:divBdr>
    </w:div>
    <w:div w:id="1742018525">
      <w:bodyDiv w:val="1"/>
      <w:marLeft w:val="0"/>
      <w:marRight w:val="0"/>
      <w:marTop w:val="0"/>
      <w:marBottom w:val="0"/>
      <w:divBdr>
        <w:top w:val="none" w:sz="0" w:space="0" w:color="auto"/>
        <w:left w:val="none" w:sz="0" w:space="0" w:color="auto"/>
        <w:bottom w:val="none" w:sz="0" w:space="0" w:color="auto"/>
        <w:right w:val="none" w:sz="0" w:space="0" w:color="auto"/>
      </w:divBdr>
    </w:div>
    <w:div w:id="1742023000">
      <w:bodyDiv w:val="1"/>
      <w:marLeft w:val="0"/>
      <w:marRight w:val="0"/>
      <w:marTop w:val="0"/>
      <w:marBottom w:val="0"/>
      <w:divBdr>
        <w:top w:val="none" w:sz="0" w:space="0" w:color="auto"/>
        <w:left w:val="none" w:sz="0" w:space="0" w:color="auto"/>
        <w:bottom w:val="none" w:sz="0" w:space="0" w:color="auto"/>
        <w:right w:val="none" w:sz="0" w:space="0" w:color="auto"/>
      </w:divBdr>
    </w:div>
    <w:div w:id="1742026360">
      <w:bodyDiv w:val="1"/>
      <w:marLeft w:val="0"/>
      <w:marRight w:val="0"/>
      <w:marTop w:val="0"/>
      <w:marBottom w:val="0"/>
      <w:divBdr>
        <w:top w:val="none" w:sz="0" w:space="0" w:color="auto"/>
        <w:left w:val="none" w:sz="0" w:space="0" w:color="auto"/>
        <w:bottom w:val="none" w:sz="0" w:space="0" w:color="auto"/>
        <w:right w:val="none" w:sz="0" w:space="0" w:color="auto"/>
      </w:divBdr>
    </w:div>
    <w:div w:id="1742174028">
      <w:bodyDiv w:val="1"/>
      <w:marLeft w:val="0"/>
      <w:marRight w:val="0"/>
      <w:marTop w:val="0"/>
      <w:marBottom w:val="0"/>
      <w:divBdr>
        <w:top w:val="none" w:sz="0" w:space="0" w:color="auto"/>
        <w:left w:val="none" w:sz="0" w:space="0" w:color="auto"/>
        <w:bottom w:val="none" w:sz="0" w:space="0" w:color="auto"/>
        <w:right w:val="none" w:sz="0" w:space="0" w:color="auto"/>
      </w:divBdr>
    </w:div>
    <w:div w:id="1742288250">
      <w:bodyDiv w:val="1"/>
      <w:marLeft w:val="0"/>
      <w:marRight w:val="0"/>
      <w:marTop w:val="0"/>
      <w:marBottom w:val="0"/>
      <w:divBdr>
        <w:top w:val="none" w:sz="0" w:space="0" w:color="auto"/>
        <w:left w:val="none" w:sz="0" w:space="0" w:color="auto"/>
        <w:bottom w:val="none" w:sz="0" w:space="0" w:color="auto"/>
        <w:right w:val="none" w:sz="0" w:space="0" w:color="auto"/>
      </w:divBdr>
    </w:div>
    <w:div w:id="1742363039">
      <w:bodyDiv w:val="1"/>
      <w:marLeft w:val="0"/>
      <w:marRight w:val="0"/>
      <w:marTop w:val="0"/>
      <w:marBottom w:val="0"/>
      <w:divBdr>
        <w:top w:val="none" w:sz="0" w:space="0" w:color="auto"/>
        <w:left w:val="none" w:sz="0" w:space="0" w:color="auto"/>
        <w:bottom w:val="none" w:sz="0" w:space="0" w:color="auto"/>
        <w:right w:val="none" w:sz="0" w:space="0" w:color="auto"/>
      </w:divBdr>
    </w:div>
    <w:div w:id="1742365619">
      <w:bodyDiv w:val="1"/>
      <w:marLeft w:val="0"/>
      <w:marRight w:val="0"/>
      <w:marTop w:val="0"/>
      <w:marBottom w:val="0"/>
      <w:divBdr>
        <w:top w:val="none" w:sz="0" w:space="0" w:color="auto"/>
        <w:left w:val="none" w:sz="0" w:space="0" w:color="auto"/>
        <w:bottom w:val="none" w:sz="0" w:space="0" w:color="auto"/>
        <w:right w:val="none" w:sz="0" w:space="0" w:color="auto"/>
      </w:divBdr>
    </w:div>
    <w:div w:id="1742410254">
      <w:bodyDiv w:val="1"/>
      <w:marLeft w:val="0"/>
      <w:marRight w:val="0"/>
      <w:marTop w:val="0"/>
      <w:marBottom w:val="0"/>
      <w:divBdr>
        <w:top w:val="none" w:sz="0" w:space="0" w:color="auto"/>
        <w:left w:val="none" w:sz="0" w:space="0" w:color="auto"/>
        <w:bottom w:val="none" w:sz="0" w:space="0" w:color="auto"/>
        <w:right w:val="none" w:sz="0" w:space="0" w:color="auto"/>
      </w:divBdr>
    </w:div>
    <w:div w:id="1742603993">
      <w:bodyDiv w:val="1"/>
      <w:marLeft w:val="0"/>
      <w:marRight w:val="0"/>
      <w:marTop w:val="0"/>
      <w:marBottom w:val="0"/>
      <w:divBdr>
        <w:top w:val="none" w:sz="0" w:space="0" w:color="auto"/>
        <w:left w:val="none" w:sz="0" w:space="0" w:color="auto"/>
        <w:bottom w:val="none" w:sz="0" w:space="0" w:color="auto"/>
        <w:right w:val="none" w:sz="0" w:space="0" w:color="auto"/>
      </w:divBdr>
    </w:div>
    <w:div w:id="1742676653">
      <w:bodyDiv w:val="1"/>
      <w:marLeft w:val="0"/>
      <w:marRight w:val="0"/>
      <w:marTop w:val="0"/>
      <w:marBottom w:val="0"/>
      <w:divBdr>
        <w:top w:val="none" w:sz="0" w:space="0" w:color="auto"/>
        <w:left w:val="none" w:sz="0" w:space="0" w:color="auto"/>
        <w:bottom w:val="none" w:sz="0" w:space="0" w:color="auto"/>
        <w:right w:val="none" w:sz="0" w:space="0" w:color="auto"/>
      </w:divBdr>
    </w:div>
    <w:div w:id="1742824409">
      <w:bodyDiv w:val="1"/>
      <w:marLeft w:val="0"/>
      <w:marRight w:val="0"/>
      <w:marTop w:val="0"/>
      <w:marBottom w:val="0"/>
      <w:divBdr>
        <w:top w:val="none" w:sz="0" w:space="0" w:color="auto"/>
        <w:left w:val="none" w:sz="0" w:space="0" w:color="auto"/>
        <w:bottom w:val="none" w:sz="0" w:space="0" w:color="auto"/>
        <w:right w:val="none" w:sz="0" w:space="0" w:color="auto"/>
      </w:divBdr>
    </w:div>
    <w:div w:id="1742827861">
      <w:bodyDiv w:val="1"/>
      <w:marLeft w:val="0"/>
      <w:marRight w:val="0"/>
      <w:marTop w:val="0"/>
      <w:marBottom w:val="0"/>
      <w:divBdr>
        <w:top w:val="none" w:sz="0" w:space="0" w:color="auto"/>
        <w:left w:val="none" w:sz="0" w:space="0" w:color="auto"/>
        <w:bottom w:val="none" w:sz="0" w:space="0" w:color="auto"/>
        <w:right w:val="none" w:sz="0" w:space="0" w:color="auto"/>
      </w:divBdr>
    </w:div>
    <w:div w:id="1742831276">
      <w:bodyDiv w:val="1"/>
      <w:marLeft w:val="0"/>
      <w:marRight w:val="0"/>
      <w:marTop w:val="0"/>
      <w:marBottom w:val="0"/>
      <w:divBdr>
        <w:top w:val="none" w:sz="0" w:space="0" w:color="auto"/>
        <w:left w:val="none" w:sz="0" w:space="0" w:color="auto"/>
        <w:bottom w:val="none" w:sz="0" w:space="0" w:color="auto"/>
        <w:right w:val="none" w:sz="0" w:space="0" w:color="auto"/>
      </w:divBdr>
    </w:div>
    <w:div w:id="1742942418">
      <w:bodyDiv w:val="1"/>
      <w:marLeft w:val="0"/>
      <w:marRight w:val="0"/>
      <w:marTop w:val="0"/>
      <w:marBottom w:val="0"/>
      <w:divBdr>
        <w:top w:val="none" w:sz="0" w:space="0" w:color="auto"/>
        <w:left w:val="none" w:sz="0" w:space="0" w:color="auto"/>
        <w:bottom w:val="none" w:sz="0" w:space="0" w:color="auto"/>
        <w:right w:val="none" w:sz="0" w:space="0" w:color="auto"/>
      </w:divBdr>
    </w:div>
    <w:div w:id="1743068161">
      <w:bodyDiv w:val="1"/>
      <w:marLeft w:val="0"/>
      <w:marRight w:val="0"/>
      <w:marTop w:val="0"/>
      <w:marBottom w:val="0"/>
      <w:divBdr>
        <w:top w:val="none" w:sz="0" w:space="0" w:color="auto"/>
        <w:left w:val="none" w:sz="0" w:space="0" w:color="auto"/>
        <w:bottom w:val="none" w:sz="0" w:space="0" w:color="auto"/>
        <w:right w:val="none" w:sz="0" w:space="0" w:color="auto"/>
      </w:divBdr>
    </w:div>
    <w:div w:id="1743134705">
      <w:bodyDiv w:val="1"/>
      <w:marLeft w:val="0"/>
      <w:marRight w:val="0"/>
      <w:marTop w:val="0"/>
      <w:marBottom w:val="0"/>
      <w:divBdr>
        <w:top w:val="none" w:sz="0" w:space="0" w:color="auto"/>
        <w:left w:val="none" w:sz="0" w:space="0" w:color="auto"/>
        <w:bottom w:val="none" w:sz="0" w:space="0" w:color="auto"/>
        <w:right w:val="none" w:sz="0" w:space="0" w:color="auto"/>
      </w:divBdr>
    </w:div>
    <w:div w:id="1743406139">
      <w:bodyDiv w:val="1"/>
      <w:marLeft w:val="0"/>
      <w:marRight w:val="0"/>
      <w:marTop w:val="0"/>
      <w:marBottom w:val="0"/>
      <w:divBdr>
        <w:top w:val="none" w:sz="0" w:space="0" w:color="auto"/>
        <w:left w:val="none" w:sz="0" w:space="0" w:color="auto"/>
        <w:bottom w:val="none" w:sz="0" w:space="0" w:color="auto"/>
        <w:right w:val="none" w:sz="0" w:space="0" w:color="auto"/>
      </w:divBdr>
    </w:div>
    <w:div w:id="1743406624">
      <w:bodyDiv w:val="1"/>
      <w:marLeft w:val="0"/>
      <w:marRight w:val="0"/>
      <w:marTop w:val="0"/>
      <w:marBottom w:val="0"/>
      <w:divBdr>
        <w:top w:val="none" w:sz="0" w:space="0" w:color="auto"/>
        <w:left w:val="none" w:sz="0" w:space="0" w:color="auto"/>
        <w:bottom w:val="none" w:sz="0" w:space="0" w:color="auto"/>
        <w:right w:val="none" w:sz="0" w:space="0" w:color="auto"/>
      </w:divBdr>
    </w:div>
    <w:div w:id="1743407770">
      <w:bodyDiv w:val="1"/>
      <w:marLeft w:val="0"/>
      <w:marRight w:val="0"/>
      <w:marTop w:val="0"/>
      <w:marBottom w:val="0"/>
      <w:divBdr>
        <w:top w:val="none" w:sz="0" w:space="0" w:color="auto"/>
        <w:left w:val="none" w:sz="0" w:space="0" w:color="auto"/>
        <w:bottom w:val="none" w:sz="0" w:space="0" w:color="auto"/>
        <w:right w:val="none" w:sz="0" w:space="0" w:color="auto"/>
      </w:divBdr>
    </w:div>
    <w:div w:id="1743411140">
      <w:bodyDiv w:val="1"/>
      <w:marLeft w:val="0"/>
      <w:marRight w:val="0"/>
      <w:marTop w:val="0"/>
      <w:marBottom w:val="0"/>
      <w:divBdr>
        <w:top w:val="none" w:sz="0" w:space="0" w:color="auto"/>
        <w:left w:val="none" w:sz="0" w:space="0" w:color="auto"/>
        <w:bottom w:val="none" w:sz="0" w:space="0" w:color="auto"/>
        <w:right w:val="none" w:sz="0" w:space="0" w:color="auto"/>
      </w:divBdr>
    </w:div>
    <w:div w:id="1743672150">
      <w:bodyDiv w:val="1"/>
      <w:marLeft w:val="0"/>
      <w:marRight w:val="0"/>
      <w:marTop w:val="0"/>
      <w:marBottom w:val="0"/>
      <w:divBdr>
        <w:top w:val="none" w:sz="0" w:space="0" w:color="auto"/>
        <w:left w:val="none" w:sz="0" w:space="0" w:color="auto"/>
        <w:bottom w:val="none" w:sz="0" w:space="0" w:color="auto"/>
        <w:right w:val="none" w:sz="0" w:space="0" w:color="auto"/>
      </w:divBdr>
    </w:div>
    <w:div w:id="1743746636">
      <w:bodyDiv w:val="1"/>
      <w:marLeft w:val="0"/>
      <w:marRight w:val="0"/>
      <w:marTop w:val="0"/>
      <w:marBottom w:val="0"/>
      <w:divBdr>
        <w:top w:val="none" w:sz="0" w:space="0" w:color="auto"/>
        <w:left w:val="none" w:sz="0" w:space="0" w:color="auto"/>
        <w:bottom w:val="none" w:sz="0" w:space="0" w:color="auto"/>
        <w:right w:val="none" w:sz="0" w:space="0" w:color="auto"/>
      </w:divBdr>
    </w:div>
    <w:div w:id="1743867285">
      <w:bodyDiv w:val="1"/>
      <w:marLeft w:val="0"/>
      <w:marRight w:val="0"/>
      <w:marTop w:val="0"/>
      <w:marBottom w:val="0"/>
      <w:divBdr>
        <w:top w:val="none" w:sz="0" w:space="0" w:color="auto"/>
        <w:left w:val="none" w:sz="0" w:space="0" w:color="auto"/>
        <w:bottom w:val="none" w:sz="0" w:space="0" w:color="auto"/>
        <w:right w:val="none" w:sz="0" w:space="0" w:color="auto"/>
      </w:divBdr>
    </w:div>
    <w:div w:id="1743869440">
      <w:bodyDiv w:val="1"/>
      <w:marLeft w:val="0"/>
      <w:marRight w:val="0"/>
      <w:marTop w:val="0"/>
      <w:marBottom w:val="0"/>
      <w:divBdr>
        <w:top w:val="none" w:sz="0" w:space="0" w:color="auto"/>
        <w:left w:val="none" w:sz="0" w:space="0" w:color="auto"/>
        <w:bottom w:val="none" w:sz="0" w:space="0" w:color="auto"/>
        <w:right w:val="none" w:sz="0" w:space="0" w:color="auto"/>
      </w:divBdr>
    </w:div>
    <w:div w:id="1743942651">
      <w:bodyDiv w:val="1"/>
      <w:marLeft w:val="0"/>
      <w:marRight w:val="0"/>
      <w:marTop w:val="0"/>
      <w:marBottom w:val="0"/>
      <w:divBdr>
        <w:top w:val="none" w:sz="0" w:space="0" w:color="auto"/>
        <w:left w:val="none" w:sz="0" w:space="0" w:color="auto"/>
        <w:bottom w:val="none" w:sz="0" w:space="0" w:color="auto"/>
        <w:right w:val="none" w:sz="0" w:space="0" w:color="auto"/>
      </w:divBdr>
    </w:div>
    <w:div w:id="1743987209">
      <w:bodyDiv w:val="1"/>
      <w:marLeft w:val="0"/>
      <w:marRight w:val="0"/>
      <w:marTop w:val="0"/>
      <w:marBottom w:val="0"/>
      <w:divBdr>
        <w:top w:val="none" w:sz="0" w:space="0" w:color="auto"/>
        <w:left w:val="none" w:sz="0" w:space="0" w:color="auto"/>
        <w:bottom w:val="none" w:sz="0" w:space="0" w:color="auto"/>
        <w:right w:val="none" w:sz="0" w:space="0" w:color="auto"/>
      </w:divBdr>
    </w:div>
    <w:div w:id="1744059510">
      <w:bodyDiv w:val="1"/>
      <w:marLeft w:val="0"/>
      <w:marRight w:val="0"/>
      <w:marTop w:val="0"/>
      <w:marBottom w:val="0"/>
      <w:divBdr>
        <w:top w:val="none" w:sz="0" w:space="0" w:color="auto"/>
        <w:left w:val="none" w:sz="0" w:space="0" w:color="auto"/>
        <w:bottom w:val="none" w:sz="0" w:space="0" w:color="auto"/>
        <w:right w:val="none" w:sz="0" w:space="0" w:color="auto"/>
      </w:divBdr>
    </w:div>
    <w:div w:id="1744059685">
      <w:bodyDiv w:val="1"/>
      <w:marLeft w:val="0"/>
      <w:marRight w:val="0"/>
      <w:marTop w:val="0"/>
      <w:marBottom w:val="0"/>
      <w:divBdr>
        <w:top w:val="none" w:sz="0" w:space="0" w:color="auto"/>
        <w:left w:val="none" w:sz="0" w:space="0" w:color="auto"/>
        <w:bottom w:val="none" w:sz="0" w:space="0" w:color="auto"/>
        <w:right w:val="none" w:sz="0" w:space="0" w:color="auto"/>
      </w:divBdr>
    </w:div>
    <w:div w:id="1744134724">
      <w:bodyDiv w:val="1"/>
      <w:marLeft w:val="0"/>
      <w:marRight w:val="0"/>
      <w:marTop w:val="0"/>
      <w:marBottom w:val="0"/>
      <w:divBdr>
        <w:top w:val="none" w:sz="0" w:space="0" w:color="auto"/>
        <w:left w:val="none" w:sz="0" w:space="0" w:color="auto"/>
        <w:bottom w:val="none" w:sz="0" w:space="0" w:color="auto"/>
        <w:right w:val="none" w:sz="0" w:space="0" w:color="auto"/>
      </w:divBdr>
    </w:div>
    <w:div w:id="1744137767">
      <w:bodyDiv w:val="1"/>
      <w:marLeft w:val="0"/>
      <w:marRight w:val="0"/>
      <w:marTop w:val="0"/>
      <w:marBottom w:val="0"/>
      <w:divBdr>
        <w:top w:val="none" w:sz="0" w:space="0" w:color="auto"/>
        <w:left w:val="none" w:sz="0" w:space="0" w:color="auto"/>
        <w:bottom w:val="none" w:sz="0" w:space="0" w:color="auto"/>
        <w:right w:val="none" w:sz="0" w:space="0" w:color="auto"/>
      </w:divBdr>
    </w:div>
    <w:div w:id="1744139746">
      <w:bodyDiv w:val="1"/>
      <w:marLeft w:val="0"/>
      <w:marRight w:val="0"/>
      <w:marTop w:val="0"/>
      <w:marBottom w:val="0"/>
      <w:divBdr>
        <w:top w:val="none" w:sz="0" w:space="0" w:color="auto"/>
        <w:left w:val="none" w:sz="0" w:space="0" w:color="auto"/>
        <w:bottom w:val="none" w:sz="0" w:space="0" w:color="auto"/>
        <w:right w:val="none" w:sz="0" w:space="0" w:color="auto"/>
      </w:divBdr>
    </w:div>
    <w:div w:id="1744180350">
      <w:bodyDiv w:val="1"/>
      <w:marLeft w:val="0"/>
      <w:marRight w:val="0"/>
      <w:marTop w:val="0"/>
      <w:marBottom w:val="0"/>
      <w:divBdr>
        <w:top w:val="none" w:sz="0" w:space="0" w:color="auto"/>
        <w:left w:val="none" w:sz="0" w:space="0" w:color="auto"/>
        <w:bottom w:val="none" w:sz="0" w:space="0" w:color="auto"/>
        <w:right w:val="none" w:sz="0" w:space="0" w:color="auto"/>
      </w:divBdr>
    </w:div>
    <w:div w:id="1744252455">
      <w:bodyDiv w:val="1"/>
      <w:marLeft w:val="0"/>
      <w:marRight w:val="0"/>
      <w:marTop w:val="0"/>
      <w:marBottom w:val="0"/>
      <w:divBdr>
        <w:top w:val="none" w:sz="0" w:space="0" w:color="auto"/>
        <w:left w:val="none" w:sz="0" w:space="0" w:color="auto"/>
        <w:bottom w:val="none" w:sz="0" w:space="0" w:color="auto"/>
        <w:right w:val="none" w:sz="0" w:space="0" w:color="auto"/>
      </w:divBdr>
    </w:div>
    <w:div w:id="1744327461">
      <w:bodyDiv w:val="1"/>
      <w:marLeft w:val="0"/>
      <w:marRight w:val="0"/>
      <w:marTop w:val="0"/>
      <w:marBottom w:val="0"/>
      <w:divBdr>
        <w:top w:val="none" w:sz="0" w:space="0" w:color="auto"/>
        <w:left w:val="none" w:sz="0" w:space="0" w:color="auto"/>
        <w:bottom w:val="none" w:sz="0" w:space="0" w:color="auto"/>
        <w:right w:val="none" w:sz="0" w:space="0" w:color="auto"/>
      </w:divBdr>
    </w:div>
    <w:div w:id="1744330287">
      <w:bodyDiv w:val="1"/>
      <w:marLeft w:val="0"/>
      <w:marRight w:val="0"/>
      <w:marTop w:val="0"/>
      <w:marBottom w:val="0"/>
      <w:divBdr>
        <w:top w:val="none" w:sz="0" w:space="0" w:color="auto"/>
        <w:left w:val="none" w:sz="0" w:space="0" w:color="auto"/>
        <w:bottom w:val="none" w:sz="0" w:space="0" w:color="auto"/>
        <w:right w:val="none" w:sz="0" w:space="0" w:color="auto"/>
      </w:divBdr>
    </w:div>
    <w:div w:id="1744334089">
      <w:bodyDiv w:val="1"/>
      <w:marLeft w:val="0"/>
      <w:marRight w:val="0"/>
      <w:marTop w:val="0"/>
      <w:marBottom w:val="0"/>
      <w:divBdr>
        <w:top w:val="none" w:sz="0" w:space="0" w:color="auto"/>
        <w:left w:val="none" w:sz="0" w:space="0" w:color="auto"/>
        <w:bottom w:val="none" w:sz="0" w:space="0" w:color="auto"/>
        <w:right w:val="none" w:sz="0" w:space="0" w:color="auto"/>
      </w:divBdr>
    </w:div>
    <w:div w:id="1744373582">
      <w:bodyDiv w:val="1"/>
      <w:marLeft w:val="0"/>
      <w:marRight w:val="0"/>
      <w:marTop w:val="0"/>
      <w:marBottom w:val="0"/>
      <w:divBdr>
        <w:top w:val="none" w:sz="0" w:space="0" w:color="auto"/>
        <w:left w:val="none" w:sz="0" w:space="0" w:color="auto"/>
        <w:bottom w:val="none" w:sz="0" w:space="0" w:color="auto"/>
        <w:right w:val="none" w:sz="0" w:space="0" w:color="auto"/>
      </w:divBdr>
    </w:div>
    <w:div w:id="1744521774">
      <w:bodyDiv w:val="1"/>
      <w:marLeft w:val="0"/>
      <w:marRight w:val="0"/>
      <w:marTop w:val="0"/>
      <w:marBottom w:val="0"/>
      <w:divBdr>
        <w:top w:val="none" w:sz="0" w:space="0" w:color="auto"/>
        <w:left w:val="none" w:sz="0" w:space="0" w:color="auto"/>
        <w:bottom w:val="none" w:sz="0" w:space="0" w:color="auto"/>
        <w:right w:val="none" w:sz="0" w:space="0" w:color="auto"/>
      </w:divBdr>
    </w:div>
    <w:div w:id="1744526670">
      <w:bodyDiv w:val="1"/>
      <w:marLeft w:val="0"/>
      <w:marRight w:val="0"/>
      <w:marTop w:val="0"/>
      <w:marBottom w:val="0"/>
      <w:divBdr>
        <w:top w:val="none" w:sz="0" w:space="0" w:color="auto"/>
        <w:left w:val="none" w:sz="0" w:space="0" w:color="auto"/>
        <w:bottom w:val="none" w:sz="0" w:space="0" w:color="auto"/>
        <w:right w:val="none" w:sz="0" w:space="0" w:color="auto"/>
      </w:divBdr>
    </w:div>
    <w:div w:id="1744637918">
      <w:bodyDiv w:val="1"/>
      <w:marLeft w:val="0"/>
      <w:marRight w:val="0"/>
      <w:marTop w:val="0"/>
      <w:marBottom w:val="0"/>
      <w:divBdr>
        <w:top w:val="none" w:sz="0" w:space="0" w:color="auto"/>
        <w:left w:val="none" w:sz="0" w:space="0" w:color="auto"/>
        <w:bottom w:val="none" w:sz="0" w:space="0" w:color="auto"/>
        <w:right w:val="none" w:sz="0" w:space="0" w:color="auto"/>
      </w:divBdr>
    </w:div>
    <w:div w:id="1744641220">
      <w:bodyDiv w:val="1"/>
      <w:marLeft w:val="0"/>
      <w:marRight w:val="0"/>
      <w:marTop w:val="0"/>
      <w:marBottom w:val="0"/>
      <w:divBdr>
        <w:top w:val="none" w:sz="0" w:space="0" w:color="auto"/>
        <w:left w:val="none" w:sz="0" w:space="0" w:color="auto"/>
        <w:bottom w:val="none" w:sz="0" w:space="0" w:color="auto"/>
        <w:right w:val="none" w:sz="0" w:space="0" w:color="auto"/>
      </w:divBdr>
    </w:div>
    <w:div w:id="1744643389">
      <w:bodyDiv w:val="1"/>
      <w:marLeft w:val="0"/>
      <w:marRight w:val="0"/>
      <w:marTop w:val="0"/>
      <w:marBottom w:val="0"/>
      <w:divBdr>
        <w:top w:val="none" w:sz="0" w:space="0" w:color="auto"/>
        <w:left w:val="none" w:sz="0" w:space="0" w:color="auto"/>
        <w:bottom w:val="none" w:sz="0" w:space="0" w:color="auto"/>
        <w:right w:val="none" w:sz="0" w:space="0" w:color="auto"/>
      </w:divBdr>
    </w:div>
    <w:div w:id="1744713407">
      <w:bodyDiv w:val="1"/>
      <w:marLeft w:val="0"/>
      <w:marRight w:val="0"/>
      <w:marTop w:val="0"/>
      <w:marBottom w:val="0"/>
      <w:divBdr>
        <w:top w:val="none" w:sz="0" w:space="0" w:color="auto"/>
        <w:left w:val="none" w:sz="0" w:space="0" w:color="auto"/>
        <w:bottom w:val="none" w:sz="0" w:space="0" w:color="auto"/>
        <w:right w:val="none" w:sz="0" w:space="0" w:color="auto"/>
      </w:divBdr>
    </w:div>
    <w:div w:id="1744721701">
      <w:bodyDiv w:val="1"/>
      <w:marLeft w:val="0"/>
      <w:marRight w:val="0"/>
      <w:marTop w:val="0"/>
      <w:marBottom w:val="0"/>
      <w:divBdr>
        <w:top w:val="none" w:sz="0" w:space="0" w:color="auto"/>
        <w:left w:val="none" w:sz="0" w:space="0" w:color="auto"/>
        <w:bottom w:val="none" w:sz="0" w:space="0" w:color="auto"/>
        <w:right w:val="none" w:sz="0" w:space="0" w:color="auto"/>
      </w:divBdr>
    </w:div>
    <w:div w:id="1744789115">
      <w:bodyDiv w:val="1"/>
      <w:marLeft w:val="0"/>
      <w:marRight w:val="0"/>
      <w:marTop w:val="0"/>
      <w:marBottom w:val="0"/>
      <w:divBdr>
        <w:top w:val="none" w:sz="0" w:space="0" w:color="auto"/>
        <w:left w:val="none" w:sz="0" w:space="0" w:color="auto"/>
        <w:bottom w:val="none" w:sz="0" w:space="0" w:color="auto"/>
        <w:right w:val="none" w:sz="0" w:space="0" w:color="auto"/>
      </w:divBdr>
    </w:div>
    <w:div w:id="1744796211">
      <w:bodyDiv w:val="1"/>
      <w:marLeft w:val="0"/>
      <w:marRight w:val="0"/>
      <w:marTop w:val="0"/>
      <w:marBottom w:val="0"/>
      <w:divBdr>
        <w:top w:val="none" w:sz="0" w:space="0" w:color="auto"/>
        <w:left w:val="none" w:sz="0" w:space="0" w:color="auto"/>
        <w:bottom w:val="none" w:sz="0" w:space="0" w:color="auto"/>
        <w:right w:val="none" w:sz="0" w:space="0" w:color="auto"/>
      </w:divBdr>
    </w:div>
    <w:div w:id="1744796904">
      <w:bodyDiv w:val="1"/>
      <w:marLeft w:val="0"/>
      <w:marRight w:val="0"/>
      <w:marTop w:val="0"/>
      <w:marBottom w:val="0"/>
      <w:divBdr>
        <w:top w:val="none" w:sz="0" w:space="0" w:color="auto"/>
        <w:left w:val="none" w:sz="0" w:space="0" w:color="auto"/>
        <w:bottom w:val="none" w:sz="0" w:space="0" w:color="auto"/>
        <w:right w:val="none" w:sz="0" w:space="0" w:color="auto"/>
      </w:divBdr>
    </w:div>
    <w:div w:id="1744909710">
      <w:bodyDiv w:val="1"/>
      <w:marLeft w:val="0"/>
      <w:marRight w:val="0"/>
      <w:marTop w:val="0"/>
      <w:marBottom w:val="0"/>
      <w:divBdr>
        <w:top w:val="none" w:sz="0" w:space="0" w:color="auto"/>
        <w:left w:val="none" w:sz="0" w:space="0" w:color="auto"/>
        <w:bottom w:val="none" w:sz="0" w:space="0" w:color="auto"/>
        <w:right w:val="none" w:sz="0" w:space="0" w:color="auto"/>
      </w:divBdr>
    </w:div>
    <w:div w:id="1744915182">
      <w:bodyDiv w:val="1"/>
      <w:marLeft w:val="0"/>
      <w:marRight w:val="0"/>
      <w:marTop w:val="0"/>
      <w:marBottom w:val="0"/>
      <w:divBdr>
        <w:top w:val="none" w:sz="0" w:space="0" w:color="auto"/>
        <w:left w:val="none" w:sz="0" w:space="0" w:color="auto"/>
        <w:bottom w:val="none" w:sz="0" w:space="0" w:color="auto"/>
        <w:right w:val="none" w:sz="0" w:space="0" w:color="auto"/>
      </w:divBdr>
    </w:div>
    <w:div w:id="1744987224">
      <w:bodyDiv w:val="1"/>
      <w:marLeft w:val="0"/>
      <w:marRight w:val="0"/>
      <w:marTop w:val="0"/>
      <w:marBottom w:val="0"/>
      <w:divBdr>
        <w:top w:val="none" w:sz="0" w:space="0" w:color="auto"/>
        <w:left w:val="none" w:sz="0" w:space="0" w:color="auto"/>
        <w:bottom w:val="none" w:sz="0" w:space="0" w:color="auto"/>
        <w:right w:val="none" w:sz="0" w:space="0" w:color="auto"/>
      </w:divBdr>
    </w:div>
    <w:div w:id="1745102673">
      <w:bodyDiv w:val="1"/>
      <w:marLeft w:val="0"/>
      <w:marRight w:val="0"/>
      <w:marTop w:val="0"/>
      <w:marBottom w:val="0"/>
      <w:divBdr>
        <w:top w:val="none" w:sz="0" w:space="0" w:color="auto"/>
        <w:left w:val="none" w:sz="0" w:space="0" w:color="auto"/>
        <w:bottom w:val="none" w:sz="0" w:space="0" w:color="auto"/>
        <w:right w:val="none" w:sz="0" w:space="0" w:color="auto"/>
      </w:divBdr>
    </w:div>
    <w:div w:id="1745177320">
      <w:bodyDiv w:val="1"/>
      <w:marLeft w:val="0"/>
      <w:marRight w:val="0"/>
      <w:marTop w:val="0"/>
      <w:marBottom w:val="0"/>
      <w:divBdr>
        <w:top w:val="none" w:sz="0" w:space="0" w:color="auto"/>
        <w:left w:val="none" w:sz="0" w:space="0" w:color="auto"/>
        <w:bottom w:val="none" w:sz="0" w:space="0" w:color="auto"/>
        <w:right w:val="none" w:sz="0" w:space="0" w:color="auto"/>
      </w:divBdr>
    </w:div>
    <w:div w:id="1745225425">
      <w:bodyDiv w:val="1"/>
      <w:marLeft w:val="0"/>
      <w:marRight w:val="0"/>
      <w:marTop w:val="0"/>
      <w:marBottom w:val="0"/>
      <w:divBdr>
        <w:top w:val="none" w:sz="0" w:space="0" w:color="auto"/>
        <w:left w:val="none" w:sz="0" w:space="0" w:color="auto"/>
        <w:bottom w:val="none" w:sz="0" w:space="0" w:color="auto"/>
        <w:right w:val="none" w:sz="0" w:space="0" w:color="auto"/>
      </w:divBdr>
    </w:div>
    <w:div w:id="1745252242">
      <w:bodyDiv w:val="1"/>
      <w:marLeft w:val="0"/>
      <w:marRight w:val="0"/>
      <w:marTop w:val="0"/>
      <w:marBottom w:val="0"/>
      <w:divBdr>
        <w:top w:val="none" w:sz="0" w:space="0" w:color="auto"/>
        <w:left w:val="none" w:sz="0" w:space="0" w:color="auto"/>
        <w:bottom w:val="none" w:sz="0" w:space="0" w:color="auto"/>
        <w:right w:val="none" w:sz="0" w:space="0" w:color="auto"/>
      </w:divBdr>
    </w:div>
    <w:div w:id="1745298619">
      <w:bodyDiv w:val="1"/>
      <w:marLeft w:val="0"/>
      <w:marRight w:val="0"/>
      <w:marTop w:val="0"/>
      <w:marBottom w:val="0"/>
      <w:divBdr>
        <w:top w:val="none" w:sz="0" w:space="0" w:color="auto"/>
        <w:left w:val="none" w:sz="0" w:space="0" w:color="auto"/>
        <w:bottom w:val="none" w:sz="0" w:space="0" w:color="auto"/>
        <w:right w:val="none" w:sz="0" w:space="0" w:color="auto"/>
      </w:divBdr>
    </w:div>
    <w:div w:id="1745447986">
      <w:bodyDiv w:val="1"/>
      <w:marLeft w:val="0"/>
      <w:marRight w:val="0"/>
      <w:marTop w:val="0"/>
      <w:marBottom w:val="0"/>
      <w:divBdr>
        <w:top w:val="none" w:sz="0" w:space="0" w:color="auto"/>
        <w:left w:val="none" w:sz="0" w:space="0" w:color="auto"/>
        <w:bottom w:val="none" w:sz="0" w:space="0" w:color="auto"/>
        <w:right w:val="none" w:sz="0" w:space="0" w:color="auto"/>
      </w:divBdr>
    </w:div>
    <w:div w:id="1745490872">
      <w:bodyDiv w:val="1"/>
      <w:marLeft w:val="0"/>
      <w:marRight w:val="0"/>
      <w:marTop w:val="0"/>
      <w:marBottom w:val="0"/>
      <w:divBdr>
        <w:top w:val="none" w:sz="0" w:space="0" w:color="auto"/>
        <w:left w:val="none" w:sz="0" w:space="0" w:color="auto"/>
        <w:bottom w:val="none" w:sz="0" w:space="0" w:color="auto"/>
        <w:right w:val="none" w:sz="0" w:space="0" w:color="auto"/>
      </w:divBdr>
    </w:div>
    <w:div w:id="1745494954">
      <w:bodyDiv w:val="1"/>
      <w:marLeft w:val="0"/>
      <w:marRight w:val="0"/>
      <w:marTop w:val="0"/>
      <w:marBottom w:val="0"/>
      <w:divBdr>
        <w:top w:val="none" w:sz="0" w:space="0" w:color="auto"/>
        <w:left w:val="none" w:sz="0" w:space="0" w:color="auto"/>
        <w:bottom w:val="none" w:sz="0" w:space="0" w:color="auto"/>
        <w:right w:val="none" w:sz="0" w:space="0" w:color="auto"/>
      </w:divBdr>
    </w:div>
    <w:div w:id="1745495332">
      <w:bodyDiv w:val="1"/>
      <w:marLeft w:val="0"/>
      <w:marRight w:val="0"/>
      <w:marTop w:val="0"/>
      <w:marBottom w:val="0"/>
      <w:divBdr>
        <w:top w:val="none" w:sz="0" w:space="0" w:color="auto"/>
        <w:left w:val="none" w:sz="0" w:space="0" w:color="auto"/>
        <w:bottom w:val="none" w:sz="0" w:space="0" w:color="auto"/>
        <w:right w:val="none" w:sz="0" w:space="0" w:color="auto"/>
      </w:divBdr>
    </w:div>
    <w:div w:id="1745760358">
      <w:bodyDiv w:val="1"/>
      <w:marLeft w:val="0"/>
      <w:marRight w:val="0"/>
      <w:marTop w:val="0"/>
      <w:marBottom w:val="0"/>
      <w:divBdr>
        <w:top w:val="none" w:sz="0" w:space="0" w:color="auto"/>
        <w:left w:val="none" w:sz="0" w:space="0" w:color="auto"/>
        <w:bottom w:val="none" w:sz="0" w:space="0" w:color="auto"/>
        <w:right w:val="none" w:sz="0" w:space="0" w:color="auto"/>
      </w:divBdr>
    </w:div>
    <w:div w:id="1745832747">
      <w:bodyDiv w:val="1"/>
      <w:marLeft w:val="0"/>
      <w:marRight w:val="0"/>
      <w:marTop w:val="0"/>
      <w:marBottom w:val="0"/>
      <w:divBdr>
        <w:top w:val="none" w:sz="0" w:space="0" w:color="auto"/>
        <w:left w:val="none" w:sz="0" w:space="0" w:color="auto"/>
        <w:bottom w:val="none" w:sz="0" w:space="0" w:color="auto"/>
        <w:right w:val="none" w:sz="0" w:space="0" w:color="auto"/>
      </w:divBdr>
    </w:div>
    <w:div w:id="1745908186">
      <w:bodyDiv w:val="1"/>
      <w:marLeft w:val="0"/>
      <w:marRight w:val="0"/>
      <w:marTop w:val="0"/>
      <w:marBottom w:val="0"/>
      <w:divBdr>
        <w:top w:val="none" w:sz="0" w:space="0" w:color="auto"/>
        <w:left w:val="none" w:sz="0" w:space="0" w:color="auto"/>
        <w:bottom w:val="none" w:sz="0" w:space="0" w:color="auto"/>
        <w:right w:val="none" w:sz="0" w:space="0" w:color="auto"/>
      </w:divBdr>
    </w:div>
    <w:div w:id="1746104666">
      <w:bodyDiv w:val="1"/>
      <w:marLeft w:val="0"/>
      <w:marRight w:val="0"/>
      <w:marTop w:val="0"/>
      <w:marBottom w:val="0"/>
      <w:divBdr>
        <w:top w:val="none" w:sz="0" w:space="0" w:color="auto"/>
        <w:left w:val="none" w:sz="0" w:space="0" w:color="auto"/>
        <w:bottom w:val="none" w:sz="0" w:space="0" w:color="auto"/>
        <w:right w:val="none" w:sz="0" w:space="0" w:color="auto"/>
      </w:divBdr>
    </w:div>
    <w:div w:id="1746217477">
      <w:bodyDiv w:val="1"/>
      <w:marLeft w:val="0"/>
      <w:marRight w:val="0"/>
      <w:marTop w:val="0"/>
      <w:marBottom w:val="0"/>
      <w:divBdr>
        <w:top w:val="none" w:sz="0" w:space="0" w:color="auto"/>
        <w:left w:val="none" w:sz="0" w:space="0" w:color="auto"/>
        <w:bottom w:val="none" w:sz="0" w:space="0" w:color="auto"/>
        <w:right w:val="none" w:sz="0" w:space="0" w:color="auto"/>
      </w:divBdr>
    </w:div>
    <w:div w:id="1746342363">
      <w:bodyDiv w:val="1"/>
      <w:marLeft w:val="0"/>
      <w:marRight w:val="0"/>
      <w:marTop w:val="0"/>
      <w:marBottom w:val="0"/>
      <w:divBdr>
        <w:top w:val="none" w:sz="0" w:space="0" w:color="auto"/>
        <w:left w:val="none" w:sz="0" w:space="0" w:color="auto"/>
        <w:bottom w:val="none" w:sz="0" w:space="0" w:color="auto"/>
        <w:right w:val="none" w:sz="0" w:space="0" w:color="auto"/>
      </w:divBdr>
    </w:div>
    <w:div w:id="1746413062">
      <w:bodyDiv w:val="1"/>
      <w:marLeft w:val="0"/>
      <w:marRight w:val="0"/>
      <w:marTop w:val="0"/>
      <w:marBottom w:val="0"/>
      <w:divBdr>
        <w:top w:val="none" w:sz="0" w:space="0" w:color="auto"/>
        <w:left w:val="none" w:sz="0" w:space="0" w:color="auto"/>
        <w:bottom w:val="none" w:sz="0" w:space="0" w:color="auto"/>
        <w:right w:val="none" w:sz="0" w:space="0" w:color="auto"/>
      </w:divBdr>
    </w:div>
    <w:div w:id="1746415495">
      <w:bodyDiv w:val="1"/>
      <w:marLeft w:val="0"/>
      <w:marRight w:val="0"/>
      <w:marTop w:val="0"/>
      <w:marBottom w:val="0"/>
      <w:divBdr>
        <w:top w:val="none" w:sz="0" w:space="0" w:color="auto"/>
        <w:left w:val="none" w:sz="0" w:space="0" w:color="auto"/>
        <w:bottom w:val="none" w:sz="0" w:space="0" w:color="auto"/>
        <w:right w:val="none" w:sz="0" w:space="0" w:color="auto"/>
      </w:divBdr>
    </w:div>
    <w:div w:id="1746493721">
      <w:bodyDiv w:val="1"/>
      <w:marLeft w:val="0"/>
      <w:marRight w:val="0"/>
      <w:marTop w:val="0"/>
      <w:marBottom w:val="0"/>
      <w:divBdr>
        <w:top w:val="none" w:sz="0" w:space="0" w:color="auto"/>
        <w:left w:val="none" w:sz="0" w:space="0" w:color="auto"/>
        <w:bottom w:val="none" w:sz="0" w:space="0" w:color="auto"/>
        <w:right w:val="none" w:sz="0" w:space="0" w:color="auto"/>
      </w:divBdr>
    </w:div>
    <w:div w:id="1746495252">
      <w:bodyDiv w:val="1"/>
      <w:marLeft w:val="0"/>
      <w:marRight w:val="0"/>
      <w:marTop w:val="0"/>
      <w:marBottom w:val="0"/>
      <w:divBdr>
        <w:top w:val="none" w:sz="0" w:space="0" w:color="auto"/>
        <w:left w:val="none" w:sz="0" w:space="0" w:color="auto"/>
        <w:bottom w:val="none" w:sz="0" w:space="0" w:color="auto"/>
        <w:right w:val="none" w:sz="0" w:space="0" w:color="auto"/>
      </w:divBdr>
    </w:div>
    <w:div w:id="1746685519">
      <w:bodyDiv w:val="1"/>
      <w:marLeft w:val="0"/>
      <w:marRight w:val="0"/>
      <w:marTop w:val="0"/>
      <w:marBottom w:val="0"/>
      <w:divBdr>
        <w:top w:val="none" w:sz="0" w:space="0" w:color="auto"/>
        <w:left w:val="none" w:sz="0" w:space="0" w:color="auto"/>
        <w:bottom w:val="none" w:sz="0" w:space="0" w:color="auto"/>
        <w:right w:val="none" w:sz="0" w:space="0" w:color="auto"/>
      </w:divBdr>
    </w:div>
    <w:div w:id="1746731060">
      <w:bodyDiv w:val="1"/>
      <w:marLeft w:val="0"/>
      <w:marRight w:val="0"/>
      <w:marTop w:val="0"/>
      <w:marBottom w:val="0"/>
      <w:divBdr>
        <w:top w:val="none" w:sz="0" w:space="0" w:color="auto"/>
        <w:left w:val="none" w:sz="0" w:space="0" w:color="auto"/>
        <w:bottom w:val="none" w:sz="0" w:space="0" w:color="auto"/>
        <w:right w:val="none" w:sz="0" w:space="0" w:color="auto"/>
      </w:divBdr>
    </w:div>
    <w:div w:id="1746754705">
      <w:bodyDiv w:val="1"/>
      <w:marLeft w:val="0"/>
      <w:marRight w:val="0"/>
      <w:marTop w:val="0"/>
      <w:marBottom w:val="0"/>
      <w:divBdr>
        <w:top w:val="none" w:sz="0" w:space="0" w:color="auto"/>
        <w:left w:val="none" w:sz="0" w:space="0" w:color="auto"/>
        <w:bottom w:val="none" w:sz="0" w:space="0" w:color="auto"/>
        <w:right w:val="none" w:sz="0" w:space="0" w:color="auto"/>
      </w:divBdr>
    </w:div>
    <w:div w:id="1746756199">
      <w:bodyDiv w:val="1"/>
      <w:marLeft w:val="0"/>
      <w:marRight w:val="0"/>
      <w:marTop w:val="0"/>
      <w:marBottom w:val="0"/>
      <w:divBdr>
        <w:top w:val="none" w:sz="0" w:space="0" w:color="auto"/>
        <w:left w:val="none" w:sz="0" w:space="0" w:color="auto"/>
        <w:bottom w:val="none" w:sz="0" w:space="0" w:color="auto"/>
        <w:right w:val="none" w:sz="0" w:space="0" w:color="auto"/>
      </w:divBdr>
    </w:div>
    <w:div w:id="1746804971">
      <w:bodyDiv w:val="1"/>
      <w:marLeft w:val="0"/>
      <w:marRight w:val="0"/>
      <w:marTop w:val="0"/>
      <w:marBottom w:val="0"/>
      <w:divBdr>
        <w:top w:val="none" w:sz="0" w:space="0" w:color="auto"/>
        <w:left w:val="none" w:sz="0" w:space="0" w:color="auto"/>
        <w:bottom w:val="none" w:sz="0" w:space="0" w:color="auto"/>
        <w:right w:val="none" w:sz="0" w:space="0" w:color="auto"/>
      </w:divBdr>
    </w:div>
    <w:div w:id="1746878335">
      <w:bodyDiv w:val="1"/>
      <w:marLeft w:val="0"/>
      <w:marRight w:val="0"/>
      <w:marTop w:val="0"/>
      <w:marBottom w:val="0"/>
      <w:divBdr>
        <w:top w:val="none" w:sz="0" w:space="0" w:color="auto"/>
        <w:left w:val="none" w:sz="0" w:space="0" w:color="auto"/>
        <w:bottom w:val="none" w:sz="0" w:space="0" w:color="auto"/>
        <w:right w:val="none" w:sz="0" w:space="0" w:color="auto"/>
      </w:divBdr>
    </w:div>
    <w:div w:id="1746947785">
      <w:bodyDiv w:val="1"/>
      <w:marLeft w:val="0"/>
      <w:marRight w:val="0"/>
      <w:marTop w:val="0"/>
      <w:marBottom w:val="0"/>
      <w:divBdr>
        <w:top w:val="none" w:sz="0" w:space="0" w:color="auto"/>
        <w:left w:val="none" w:sz="0" w:space="0" w:color="auto"/>
        <w:bottom w:val="none" w:sz="0" w:space="0" w:color="auto"/>
        <w:right w:val="none" w:sz="0" w:space="0" w:color="auto"/>
      </w:divBdr>
    </w:div>
    <w:div w:id="1747066107">
      <w:bodyDiv w:val="1"/>
      <w:marLeft w:val="0"/>
      <w:marRight w:val="0"/>
      <w:marTop w:val="0"/>
      <w:marBottom w:val="0"/>
      <w:divBdr>
        <w:top w:val="none" w:sz="0" w:space="0" w:color="auto"/>
        <w:left w:val="none" w:sz="0" w:space="0" w:color="auto"/>
        <w:bottom w:val="none" w:sz="0" w:space="0" w:color="auto"/>
        <w:right w:val="none" w:sz="0" w:space="0" w:color="auto"/>
      </w:divBdr>
    </w:div>
    <w:div w:id="1747072862">
      <w:bodyDiv w:val="1"/>
      <w:marLeft w:val="0"/>
      <w:marRight w:val="0"/>
      <w:marTop w:val="0"/>
      <w:marBottom w:val="0"/>
      <w:divBdr>
        <w:top w:val="none" w:sz="0" w:space="0" w:color="auto"/>
        <w:left w:val="none" w:sz="0" w:space="0" w:color="auto"/>
        <w:bottom w:val="none" w:sz="0" w:space="0" w:color="auto"/>
        <w:right w:val="none" w:sz="0" w:space="0" w:color="auto"/>
      </w:divBdr>
    </w:div>
    <w:div w:id="1747142172">
      <w:bodyDiv w:val="1"/>
      <w:marLeft w:val="0"/>
      <w:marRight w:val="0"/>
      <w:marTop w:val="0"/>
      <w:marBottom w:val="0"/>
      <w:divBdr>
        <w:top w:val="none" w:sz="0" w:space="0" w:color="auto"/>
        <w:left w:val="none" w:sz="0" w:space="0" w:color="auto"/>
        <w:bottom w:val="none" w:sz="0" w:space="0" w:color="auto"/>
        <w:right w:val="none" w:sz="0" w:space="0" w:color="auto"/>
      </w:divBdr>
    </w:div>
    <w:div w:id="1747268268">
      <w:bodyDiv w:val="1"/>
      <w:marLeft w:val="0"/>
      <w:marRight w:val="0"/>
      <w:marTop w:val="0"/>
      <w:marBottom w:val="0"/>
      <w:divBdr>
        <w:top w:val="none" w:sz="0" w:space="0" w:color="auto"/>
        <w:left w:val="none" w:sz="0" w:space="0" w:color="auto"/>
        <w:bottom w:val="none" w:sz="0" w:space="0" w:color="auto"/>
        <w:right w:val="none" w:sz="0" w:space="0" w:color="auto"/>
      </w:divBdr>
    </w:div>
    <w:div w:id="1747338528">
      <w:bodyDiv w:val="1"/>
      <w:marLeft w:val="0"/>
      <w:marRight w:val="0"/>
      <w:marTop w:val="0"/>
      <w:marBottom w:val="0"/>
      <w:divBdr>
        <w:top w:val="none" w:sz="0" w:space="0" w:color="auto"/>
        <w:left w:val="none" w:sz="0" w:space="0" w:color="auto"/>
        <w:bottom w:val="none" w:sz="0" w:space="0" w:color="auto"/>
        <w:right w:val="none" w:sz="0" w:space="0" w:color="auto"/>
      </w:divBdr>
    </w:div>
    <w:div w:id="1747531727">
      <w:bodyDiv w:val="1"/>
      <w:marLeft w:val="0"/>
      <w:marRight w:val="0"/>
      <w:marTop w:val="0"/>
      <w:marBottom w:val="0"/>
      <w:divBdr>
        <w:top w:val="none" w:sz="0" w:space="0" w:color="auto"/>
        <w:left w:val="none" w:sz="0" w:space="0" w:color="auto"/>
        <w:bottom w:val="none" w:sz="0" w:space="0" w:color="auto"/>
        <w:right w:val="none" w:sz="0" w:space="0" w:color="auto"/>
      </w:divBdr>
    </w:div>
    <w:div w:id="1747730216">
      <w:bodyDiv w:val="1"/>
      <w:marLeft w:val="0"/>
      <w:marRight w:val="0"/>
      <w:marTop w:val="0"/>
      <w:marBottom w:val="0"/>
      <w:divBdr>
        <w:top w:val="none" w:sz="0" w:space="0" w:color="auto"/>
        <w:left w:val="none" w:sz="0" w:space="0" w:color="auto"/>
        <w:bottom w:val="none" w:sz="0" w:space="0" w:color="auto"/>
        <w:right w:val="none" w:sz="0" w:space="0" w:color="auto"/>
      </w:divBdr>
    </w:div>
    <w:div w:id="1747799270">
      <w:bodyDiv w:val="1"/>
      <w:marLeft w:val="0"/>
      <w:marRight w:val="0"/>
      <w:marTop w:val="0"/>
      <w:marBottom w:val="0"/>
      <w:divBdr>
        <w:top w:val="none" w:sz="0" w:space="0" w:color="auto"/>
        <w:left w:val="none" w:sz="0" w:space="0" w:color="auto"/>
        <w:bottom w:val="none" w:sz="0" w:space="0" w:color="auto"/>
        <w:right w:val="none" w:sz="0" w:space="0" w:color="auto"/>
      </w:divBdr>
    </w:div>
    <w:div w:id="1747846276">
      <w:bodyDiv w:val="1"/>
      <w:marLeft w:val="0"/>
      <w:marRight w:val="0"/>
      <w:marTop w:val="0"/>
      <w:marBottom w:val="0"/>
      <w:divBdr>
        <w:top w:val="none" w:sz="0" w:space="0" w:color="auto"/>
        <w:left w:val="none" w:sz="0" w:space="0" w:color="auto"/>
        <w:bottom w:val="none" w:sz="0" w:space="0" w:color="auto"/>
        <w:right w:val="none" w:sz="0" w:space="0" w:color="auto"/>
      </w:divBdr>
    </w:div>
    <w:div w:id="1747875366">
      <w:bodyDiv w:val="1"/>
      <w:marLeft w:val="0"/>
      <w:marRight w:val="0"/>
      <w:marTop w:val="0"/>
      <w:marBottom w:val="0"/>
      <w:divBdr>
        <w:top w:val="none" w:sz="0" w:space="0" w:color="auto"/>
        <w:left w:val="none" w:sz="0" w:space="0" w:color="auto"/>
        <w:bottom w:val="none" w:sz="0" w:space="0" w:color="auto"/>
        <w:right w:val="none" w:sz="0" w:space="0" w:color="auto"/>
      </w:divBdr>
    </w:div>
    <w:div w:id="1748107503">
      <w:bodyDiv w:val="1"/>
      <w:marLeft w:val="0"/>
      <w:marRight w:val="0"/>
      <w:marTop w:val="0"/>
      <w:marBottom w:val="0"/>
      <w:divBdr>
        <w:top w:val="none" w:sz="0" w:space="0" w:color="auto"/>
        <w:left w:val="none" w:sz="0" w:space="0" w:color="auto"/>
        <w:bottom w:val="none" w:sz="0" w:space="0" w:color="auto"/>
        <w:right w:val="none" w:sz="0" w:space="0" w:color="auto"/>
      </w:divBdr>
    </w:div>
    <w:div w:id="1748113699">
      <w:bodyDiv w:val="1"/>
      <w:marLeft w:val="0"/>
      <w:marRight w:val="0"/>
      <w:marTop w:val="0"/>
      <w:marBottom w:val="0"/>
      <w:divBdr>
        <w:top w:val="none" w:sz="0" w:space="0" w:color="auto"/>
        <w:left w:val="none" w:sz="0" w:space="0" w:color="auto"/>
        <w:bottom w:val="none" w:sz="0" w:space="0" w:color="auto"/>
        <w:right w:val="none" w:sz="0" w:space="0" w:color="auto"/>
      </w:divBdr>
    </w:div>
    <w:div w:id="1748189898">
      <w:bodyDiv w:val="1"/>
      <w:marLeft w:val="0"/>
      <w:marRight w:val="0"/>
      <w:marTop w:val="0"/>
      <w:marBottom w:val="0"/>
      <w:divBdr>
        <w:top w:val="none" w:sz="0" w:space="0" w:color="auto"/>
        <w:left w:val="none" w:sz="0" w:space="0" w:color="auto"/>
        <w:bottom w:val="none" w:sz="0" w:space="0" w:color="auto"/>
        <w:right w:val="none" w:sz="0" w:space="0" w:color="auto"/>
      </w:divBdr>
    </w:div>
    <w:div w:id="1748452647">
      <w:bodyDiv w:val="1"/>
      <w:marLeft w:val="0"/>
      <w:marRight w:val="0"/>
      <w:marTop w:val="0"/>
      <w:marBottom w:val="0"/>
      <w:divBdr>
        <w:top w:val="none" w:sz="0" w:space="0" w:color="auto"/>
        <w:left w:val="none" w:sz="0" w:space="0" w:color="auto"/>
        <w:bottom w:val="none" w:sz="0" w:space="0" w:color="auto"/>
        <w:right w:val="none" w:sz="0" w:space="0" w:color="auto"/>
      </w:divBdr>
    </w:div>
    <w:div w:id="1748501576">
      <w:bodyDiv w:val="1"/>
      <w:marLeft w:val="0"/>
      <w:marRight w:val="0"/>
      <w:marTop w:val="0"/>
      <w:marBottom w:val="0"/>
      <w:divBdr>
        <w:top w:val="none" w:sz="0" w:space="0" w:color="auto"/>
        <w:left w:val="none" w:sz="0" w:space="0" w:color="auto"/>
        <w:bottom w:val="none" w:sz="0" w:space="0" w:color="auto"/>
        <w:right w:val="none" w:sz="0" w:space="0" w:color="auto"/>
      </w:divBdr>
    </w:div>
    <w:div w:id="1748569950">
      <w:bodyDiv w:val="1"/>
      <w:marLeft w:val="0"/>
      <w:marRight w:val="0"/>
      <w:marTop w:val="0"/>
      <w:marBottom w:val="0"/>
      <w:divBdr>
        <w:top w:val="none" w:sz="0" w:space="0" w:color="auto"/>
        <w:left w:val="none" w:sz="0" w:space="0" w:color="auto"/>
        <w:bottom w:val="none" w:sz="0" w:space="0" w:color="auto"/>
        <w:right w:val="none" w:sz="0" w:space="0" w:color="auto"/>
      </w:divBdr>
    </w:div>
    <w:div w:id="1748570031">
      <w:bodyDiv w:val="1"/>
      <w:marLeft w:val="0"/>
      <w:marRight w:val="0"/>
      <w:marTop w:val="0"/>
      <w:marBottom w:val="0"/>
      <w:divBdr>
        <w:top w:val="none" w:sz="0" w:space="0" w:color="auto"/>
        <w:left w:val="none" w:sz="0" w:space="0" w:color="auto"/>
        <w:bottom w:val="none" w:sz="0" w:space="0" w:color="auto"/>
        <w:right w:val="none" w:sz="0" w:space="0" w:color="auto"/>
      </w:divBdr>
    </w:div>
    <w:div w:id="1748763869">
      <w:bodyDiv w:val="1"/>
      <w:marLeft w:val="0"/>
      <w:marRight w:val="0"/>
      <w:marTop w:val="0"/>
      <w:marBottom w:val="0"/>
      <w:divBdr>
        <w:top w:val="none" w:sz="0" w:space="0" w:color="auto"/>
        <w:left w:val="none" w:sz="0" w:space="0" w:color="auto"/>
        <w:bottom w:val="none" w:sz="0" w:space="0" w:color="auto"/>
        <w:right w:val="none" w:sz="0" w:space="0" w:color="auto"/>
      </w:divBdr>
    </w:div>
    <w:div w:id="1748768228">
      <w:bodyDiv w:val="1"/>
      <w:marLeft w:val="0"/>
      <w:marRight w:val="0"/>
      <w:marTop w:val="0"/>
      <w:marBottom w:val="0"/>
      <w:divBdr>
        <w:top w:val="none" w:sz="0" w:space="0" w:color="auto"/>
        <w:left w:val="none" w:sz="0" w:space="0" w:color="auto"/>
        <w:bottom w:val="none" w:sz="0" w:space="0" w:color="auto"/>
        <w:right w:val="none" w:sz="0" w:space="0" w:color="auto"/>
      </w:divBdr>
    </w:div>
    <w:div w:id="1748844471">
      <w:bodyDiv w:val="1"/>
      <w:marLeft w:val="0"/>
      <w:marRight w:val="0"/>
      <w:marTop w:val="0"/>
      <w:marBottom w:val="0"/>
      <w:divBdr>
        <w:top w:val="none" w:sz="0" w:space="0" w:color="auto"/>
        <w:left w:val="none" w:sz="0" w:space="0" w:color="auto"/>
        <w:bottom w:val="none" w:sz="0" w:space="0" w:color="auto"/>
        <w:right w:val="none" w:sz="0" w:space="0" w:color="auto"/>
      </w:divBdr>
    </w:div>
    <w:div w:id="1748918884">
      <w:bodyDiv w:val="1"/>
      <w:marLeft w:val="0"/>
      <w:marRight w:val="0"/>
      <w:marTop w:val="0"/>
      <w:marBottom w:val="0"/>
      <w:divBdr>
        <w:top w:val="none" w:sz="0" w:space="0" w:color="auto"/>
        <w:left w:val="none" w:sz="0" w:space="0" w:color="auto"/>
        <w:bottom w:val="none" w:sz="0" w:space="0" w:color="auto"/>
        <w:right w:val="none" w:sz="0" w:space="0" w:color="auto"/>
      </w:divBdr>
    </w:div>
    <w:div w:id="1748961780">
      <w:bodyDiv w:val="1"/>
      <w:marLeft w:val="0"/>
      <w:marRight w:val="0"/>
      <w:marTop w:val="0"/>
      <w:marBottom w:val="0"/>
      <w:divBdr>
        <w:top w:val="none" w:sz="0" w:space="0" w:color="auto"/>
        <w:left w:val="none" w:sz="0" w:space="0" w:color="auto"/>
        <w:bottom w:val="none" w:sz="0" w:space="0" w:color="auto"/>
        <w:right w:val="none" w:sz="0" w:space="0" w:color="auto"/>
      </w:divBdr>
    </w:div>
    <w:div w:id="1749031761">
      <w:bodyDiv w:val="1"/>
      <w:marLeft w:val="0"/>
      <w:marRight w:val="0"/>
      <w:marTop w:val="0"/>
      <w:marBottom w:val="0"/>
      <w:divBdr>
        <w:top w:val="none" w:sz="0" w:space="0" w:color="auto"/>
        <w:left w:val="none" w:sz="0" w:space="0" w:color="auto"/>
        <w:bottom w:val="none" w:sz="0" w:space="0" w:color="auto"/>
        <w:right w:val="none" w:sz="0" w:space="0" w:color="auto"/>
      </w:divBdr>
    </w:div>
    <w:div w:id="1749037810">
      <w:bodyDiv w:val="1"/>
      <w:marLeft w:val="0"/>
      <w:marRight w:val="0"/>
      <w:marTop w:val="0"/>
      <w:marBottom w:val="0"/>
      <w:divBdr>
        <w:top w:val="none" w:sz="0" w:space="0" w:color="auto"/>
        <w:left w:val="none" w:sz="0" w:space="0" w:color="auto"/>
        <w:bottom w:val="none" w:sz="0" w:space="0" w:color="auto"/>
        <w:right w:val="none" w:sz="0" w:space="0" w:color="auto"/>
      </w:divBdr>
    </w:div>
    <w:div w:id="1749156291">
      <w:bodyDiv w:val="1"/>
      <w:marLeft w:val="0"/>
      <w:marRight w:val="0"/>
      <w:marTop w:val="0"/>
      <w:marBottom w:val="0"/>
      <w:divBdr>
        <w:top w:val="none" w:sz="0" w:space="0" w:color="auto"/>
        <w:left w:val="none" w:sz="0" w:space="0" w:color="auto"/>
        <w:bottom w:val="none" w:sz="0" w:space="0" w:color="auto"/>
        <w:right w:val="none" w:sz="0" w:space="0" w:color="auto"/>
      </w:divBdr>
    </w:div>
    <w:div w:id="1749159066">
      <w:bodyDiv w:val="1"/>
      <w:marLeft w:val="0"/>
      <w:marRight w:val="0"/>
      <w:marTop w:val="0"/>
      <w:marBottom w:val="0"/>
      <w:divBdr>
        <w:top w:val="none" w:sz="0" w:space="0" w:color="auto"/>
        <w:left w:val="none" w:sz="0" w:space="0" w:color="auto"/>
        <w:bottom w:val="none" w:sz="0" w:space="0" w:color="auto"/>
        <w:right w:val="none" w:sz="0" w:space="0" w:color="auto"/>
      </w:divBdr>
    </w:div>
    <w:div w:id="1749183838">
      <w:bodyDiv w:val="1"/>
      <w:marLeft w:val="0"/>
      <w:marRight w:val="0"/>
      <w:marTop w:val="0"/>
      <w:marBottom w:val="0"/>
      <w:divBdr>
        <w:top w:val="none" w:sz="0" w:space="0" w:color="auto"/>
        <w:left w:val="none" w:sz="0" w:space="0" w:color="auto"/>
        <w:bottom w:val="none" w:sz="0" w:space="0" w:color="auto"/>
        <w:right w:val="none" w:sz="0" w:space="0" w:color="auto"/>
      </w:divBdr>
    </w:div>
    <w:div w:id="1749228097">
      <w:bodyDiv w:val="1"/>
      <w:marLeft w:val="0"/>
      <w:marRight w:val="0"/>
      <w:marTop w:val="0"/>
      <w:marBottom w:val="0"/>
      <w:divBdr>
        <w:top w:val="none" w:sz="0" w:space="0" w:color="auto"/>
        <w:left w:val="none" w:sz="0" w:space="0" w:color="auto"/>
        <w:bottom w:val="none" w:sz="0" w:space="0" w:color="auto"/>
        <w:right w:val="none" w:sz="0" w:space="0" w:color="auto"/>
      </w:divBdr>
    </w:div>
    <w:div w:id="1749574259">
      <w:bodyDiv w:val="1"/>
      <w:marLeft w:val="0"/>
      <w:marRight w:val="0"/>
      <w:marTop w:val="0"/>
      <w:marBottom w:val="0"/>
      <w:divBdr>
        <w:top w:val="none" w:sz="0" w:space="0" w:color="auto"/>
        <w:left w:val="none" w:sz="0" w:space="0" w:color="auto"/>
        <w:bottom w:val="none" w:sz="0" w:space="0" w:color="auto"/>
        <w:right w:val="none" w:sz="0" w:space="0" w:color="auto"/>
      </w:divBdr>
    </w:div>
    <w:div w:id="1749576914">
      <w:bodyDiv w:val="1"/>
      <w:marLeft w:val="0"/>
      <w:marRight w:val="0"/>
      <w:marTop w:val="0"/>
      <w:marBottom w:val="0"/>
      <w:divBdr>
        <w:top w:val="none" w:sz="0" w:space="0" w:color="auto"/>
        <w:left w:val="none" w:sz="0" w:space="0" w:color="auto"/>
        <w:bottom w:val="none" w:sz="0" w:space="0" w:color="auto"/>
        <w:right w:val="none" w:sz="0" w:space="0" w:color="auto"/>
      </w:divBdr>
    </w:div>
    <w:div w:id="1749577767">
      <w:bodyDiv w:val="1"/>
      <w:marLeft w:val="0"/>
      <w:marRight w:val="0"/>
      <w:marTop w:val="0"/>
      <w:marBottom w:val="0"/>
      <w:divBdr>
        <w:top w:val="none" w:sz="0" w:space="0" w:color="auto"/>
        <w:left w:val="none" w:sz="0" w:space="0" w:color="auto"/>
        <w:bottom w:val="none" w:sz="0" w:space="0" w:color="auto"/>
        <w:right w:val="none" w:sz="0" w:space="0" w:color="auto"/>
      </w:divBdr>
    </w:div>
    <w:div w:id="1749695447">
      <w:bodyDiv w:val="1"/>
      <w:marLeft w:val="0"/>
      <w:marRight w:val="0"/>
      <w:marTop w:val="0"/>
      <w:marBottom w:val="0"/>
      <w:divBdr>
        <w:top w:val="none" w:sz="0" w:space="0" w:color="auto"/>
        <w:left w:val="none" w:sz="0" w:space="0" w:color="auto"/>
        <w:bottom w:val="none" w:sz="0" w:space="0" w:color="auto"/>
        <w:right w:val="none" w:sz="0" w:space="0" w:color="auto"/>
      </w:divBdr>
    </w:div>
    <w:div w:id="1749762553">
      <w:bodyDiv w:val="1"/>
      <w:marLeft w:val="0"/>
      <w:marRight w:val="0"/>
      <w:marTop w:val="0"/>
      <w:marBottom w:val="0"/>
      <w:divBdr>
        <w:top w:val="none" w:sz="0" w:space="0" w:color="auto"/>
        <w:left w:val="none" w:sz="0" w:space="0" w:color="auto"/>
        <w:bottom w:val="none" w:sz="0" w:space="0" w:color="auto"/>
        <w:right w:val="none" w:sz="0" w:space="0" w:color="auto"/>
      </w:divBdr>
    </w:div>
    <w:div w:id="1749763545">
      <w:bodyDiv w:val="1"/>
      <w:marLeft w:val="0"/>
      <w:marRight w:val="0"/>
      <w:marTop w:val="0"/>
      <w:marBottom w:val="0"/>
      <w:divBdr>
        <w:top w:val="none" w:sz="0" w:space="0" w:color="auto"/>
        <w:left w:val="none" w:sz="0" w:space="0" w:color="auto"/>
        <w:bottom w:val="none" w:sz="0" w:space="0" w:color="auto"/>
        <w:right w:val="none" w:sz="0" w:space="0" w:color="auto"/>
      </w:divBdr>
    </w:div>
    <w:div w:id="1749768598">
      <w:bodyDiv w:val="1"/>
      <w:marLeft w:val="0"/>
      <w:marRight w:val="0"/>
      <w:marTop w:val="0"/>
      <w:marBottom w:val="0"/>
      <w:divBdr>
        <w:top w:val="none" w:sz="0" w:space="0" w:color="auto"/>
        <w:left w:val="none" w:sz="0" w:space="0" w:color="auto"/>
        <w:bottom w:val="none" w:sz="0" w:space="0" w:color="auto"/>
        <w:right w:val="none" w:sz="0" w:space="0" w:color="auto"/>
      </w:divBdr>
    </w:div>
    <w:div w:id="1749813482">
      <w:bodyDiv w:val="1"/>
      <w:marLeft w:val="0"/>
      <w:marRight w:val="0"/>
      <w:marTop w:val="0"/>
      <w:marBottom w:val="0"/>
      <w:divBdr>
        <w:top w:val="none" w:sz="0" w:space="0" w:color="auto"/>
        <w:left w:val="none" w:sz="0" w:space="0" w:color="auto"/>
        <w:bottom w:val="none" w:sz="0" w:space="0" w:color="auto"/>
        <w:right w:val="none" w:sz="0" w:space="0" w:color="auto"/>
      </w:divBdr>
    </w:div>
    <w:div w:id="1750031257">
      <w:bodyDiv w:val="1"/>
      <w:marLeft w:val="0"/>
      <w:marRight w:val="0"/>
      <w:marTop w:val="0"/>
      <w:marBottom w:val="0"/>
      <w:divBdr>
        <w:top w:val="none" w:sz="0" w:space="0" w:color="auto"/>
        <w:left w:val="none" w:sz="0" w:space="0" w:color="auto"/>
        <w:bottom w:val="none" w:sz="0" w:space="0" w:color="auto"/>
        <w:right w:val="none" w:sz="0" w:space="0" w:color="auto"/>
      </w:divBdr>
    </w:div>
    <w:div w:id="1750033908">
      <w:bodyDiv w:val="1"/>
      <w:marLeft w:val="0"/>
      <w:marRight w:val="0"/>
      <w:marTop w:val="0"/>
      <w:marBottom w:val="0"/>
      <w:divBdr>
        <w:top w:val="none" w:sz="0" w:space="0" w:color="auto"/>
        <w:left w:val="none" w:sz="0" w:space="0" w:color="auto"/>
        <w:bottom w:val="none" w:sz="0" w:space="0" w:color="auto"/>
        <w:right w:val="none" w:sz="0" w:space="0" w:color="auto"/>
      </w:divBdr>
    </w:div>
    <w:div w:id="1750035092">
      <w:bodyDiv w:val="1"/>
      <w:marLeft w:val="0"/>
      <w:marRight w:val="0"/>
      <w:marTop w:val="0"/>
      <w:marBottom w:val="0"/>
      <w:divBdr>
        <w:top w:val="none" w:sz="0" w:space="0" w:color="auto"/>
        <w:left w:val="none" w:sz="0" w:space="0" w:color="auto"/>
        <w:bottom w:val="none" w:sz="0" w:space="0" w:color="auto"/>
        <w:right w:val="none" w:sz="0" w:space="0" w:color="auto"/>
      </w:divBdr>
    </w:div>
    <w:div w:id="1750036344">
      <w:bodyDiv w:val="1"/>
      <w:marLeft w:val="0"/>
      <w:marRight w:val="0"/>
      <w:marTop w:val="0"/>
      <w:marBottom w:val="0"/>
      <w:divBdr>
        <w:top w:val="none" w:sz="0" w:space="0" w:color="auto"/>
        <w:left w:val="none" w:sz="0" w:space="0" w:color="auto"/>
        <w:bottom w:val="none" w:sz="0" w:space="0" w:color="auto"/>
        <w:right w:val="none" w:sz="0" w:space="0" w:color="auto"/>
      </w:divBdr>
    </w:div>
    <w:div w:id="1750074488">
      <w:bodyDiv w:val="1"/>
      <w:marLeft w:val="0"/>
      <w:marRight w:val="0"/>
      <w:marTop w:val="0"/>
      <w:marBottom w:val="0"/>
      <w:divBdr>
        <w:top w:val="none" w:sz="0" w:space="0" w:color="auto"/>
        <w:left w:val="none" w:sz="0" w:space="0" w:color="auto"/>
        <w:bottom w:val="none" w:sz="0" w:space="0" w:color="auto"/>
        <w:right w:val="none" w:sz="0" w:space="0" w:color="auto"/>
      </w:divBdr>
    </w:div>
    <w:div w:id="1750077976">
      <w:bodyDiv w:val="1"/>
      <w:marLeft w:val="0"/>
      <w:marRight w:val="0"/>
      <w:marTop w:val="0"/>
      <w:marBottom w:val="0"/>
      <w:divBdr>
        <w:top w:val="none" w:sz="0" w:space="0" w:color="auto"/>
        <w:left w:val="none" w:sz="0" w:space="0" w:color="auto"/>
        <w:bottom w:val="none" w:sz="0" w:space="0" w:color="auto"/>
        <w:right w:val="none" w:sz="0" w:space="0" w:color="auto"/>
      </w:divBdr>
    </w:div>
    <w:div w:id="1750078420">
      <w:bodyDiv w:val="1"/>
      <w:marLeft w:val="0"/>
      <w:marRight w:val="0"/>
      <w:marTop w:val="0"/>
      <w:marBottom w:val="0"/>
      <w:divBdr>
        <w:top w:val="none" w:sz="0" w:space="0" w:color="auto"/>
        <w:left w:val="none" w:sz="0" w:space="0" w:color="auto"/>
        <w:bottom w:val="none" w:sz="0" w:space="0" w:color="auto"/>
        <w:right w:val="none" w:sz="0" w:space="0" w:color="auto"/>
      </w:divBdr>
    </w:div>
    <w:div w:id="1750226198">
      <w:bodyDiv w:val="1"/>
      <w:marLeft w:val="0"/>
      <w:marRight w:val="0"/>
      <w:marTop w:val="0"/>
      <w:marBottom w:val="0"/>
      <w:divBdr>
        <w:top w:val="none" w:sz="0" w:space="0" w:color="auto"/>
        <w:left w:val="none" w:sz="0" w:space="0" w:color="auto"/>
        <w:bottom w:val="none" w:sz="0" w:space="0" w:color="auto"/>
        <w:right w:val="none" w:sz="0" w:space="0" w:color="auto"/>
      </w:divBdr>
    </w:div>
    <w:div w:id="1750227238">
      <w:bodyDiv w:val="1"/>
      <w:marLeft w:val="0"/>
      <w:marRight w:val="0"/>
      <w:marTop w:val="0"/>
      <w:marBottom w:val="0"/>
      <w:divBdr>
        <w:top w:val="none" w:sz="0" w:space="0" w:color="auto"/>
        <w:left w:val="none" w:sz="0" w:space="0" w:color="auto"/>
        <w:bottom w:val="none" w:sz="0" w:space="0" w:color="auto"/>
        <w:right w:val="none" w:sz="0" w:space="0" w:color="auto"/>
      </w:divBdr>
    </w:div>
    <w:div w:id="1750227551">
      <w:bodyDiv w:val="1"/>
      <w:marLeft w:val="0"/>
      <w:marRight w:val="0"/>
      <w:marTop w:val="0"/>
      <w:marBottom w:val="0"/>
      <w:divBdr>
        <w:top w:val="none" w:sz="0" w:space="0" w:color="auto"/>
        <w:left w:val="none" w:sz="0" w:space="0" w:color="auto"/>
        <w:bottom w:val="none" w:sz="0" w:space="0" w:color="auto"/>
        <w:right w:val="none" w:sz="0" w:space="0" w:color="auto"/>
      </w:divBdr>
    </w:div>
    <w:div w:id="1750230330">
      <w:bodyDiv w:val="1"/>
      <w:marLeft w:val="0"/>
      <w:marRight w:val="0"/>
      <w:marTop w:val="0"/>
      <w:marBottom w:val="0"/>
      <w:divBdr>
        <w:top w:val="none" w:sz="0" w:space="0" w:color="auto"/>
        <w:left w:val="none" w:sz="0" w:space="0" w:color="auto"/>
        <w:bottom w:val="none" w:sz="0" w:space="0" w:color="auto"/>
        <w:right w:val="none" w:sz="0" w:space="0" w:color="auto"/>
      </w:divBdr>
    </w:div>
    <w:div w:id="1750342919">
      <w:bodyDiv w:val="1"/>
      <w:marLeft w:val="0"/>
      <w:marRight w:val="0"/>
      <w:marTop w:val="0"/>
      <w:marBottom w:val="0"/>
      <w:divBdr>
        <w:top w:val="none" w:sz="0" w:space="0" w:color="auto"/>
        <w:left w:val="none" w:sz="0" w:space="0" w:color="auto"/>
        <w:bottom w:val="none" w:sz="0" w:space="0" w:color="auto"/>
        <w:right w:val="none" w:sz="0" w:space="0" w:color="auto"/>
      </w:divBdr>
    </w:div>
    <w:div w:id="1750350491">
      <w:bodyDiv w:val="1"/>
      <w:marLeft w:val="0"/>
      <w:marRight w:val="0"/>
      <w:marTop w:val="0"/>
      <w:marBottom w:val="0"/>
      <w:divBdr>
        <w:top w:val="none" w:sz="0" w:space="0" w:color="auto"/>
        <w:left w:val="none" w:sz="0" w:space="0" w:color="auto"/>
        <w:bottom w:val="none" w:sz="0" w:space="0" w:color="auto"/>
        <w:right w:val="none" w:sz="0" w:space="0" w:color="auto"/>
      </w:divBdr>
    </w:div>
    <w:div w:id="1750417313">
      <w:bodyDiv w:val="1"/>
      <w:marLeft w:val="0"/>
      <w:marRight w:val="0"/>
      <w:marTop w:val="0"/>
      <w:marBottom w:val="0"/>
      <w:divBdr>
        <w:top w:val="none" w:sz="0" w:space="0" w:color="auto"/>
        <w:left w:val="none" w:sz="0" w:space="0" w:color="auto"/>
        <w:bottom w:val="none" w:sz="0" w:space="0" w:color="auto"/>
        <w:right w:val="none" w:sz="0" w:space="0" w:color="auto"/>
      </w:divBdr>
    </w:div>
    <w:div w:id="1750418974">
      <w:bodyDiv w:val="1"/>
      <w:marLeft w:val="0"/>
      <w:marRight w:val="0"/>
      <w:marTop w:val="0"/>
      <w:marBottom w:val="0"/>
      <w:divBdr>
        <w:top w:val="none" w:sz="0" w:space="0" w:color="auto"/>
        <w:left w:val="none" w:sz="0" w:space="0" w:color="auto"/>
        <w:bottom w:val="none" w:sz="0" w:space="0" w:color="auto"/>
        <w:right w:val="none" w:sz="0" w:space="0" w:color="auto"/>
      </w:divBdr>
    </w:div>
    <w:div w:id="1750492796">
      <w:bodyDiv w:val="1"/>
      <w:marLeft w:val="0"/>
      <w:marRight w:val="0"/>
      <w:marTop w:val="0"/>
      <w:marBottom w:val="0"/>
      <w:divBdr>
        <w:top w:val="none" w:sz="0" w:space="0" w:color="auto"/>
        <w:left w:val="none" w:sz="0" w:space="0" w:color="auto"/>
        <w:bottom w:val="none" w:sz="0" w:space="0" w:color="auto"/>
        <w:right w:val="none" w:sz="0" w:space="0" w:color="auto"/>
      </w:divBdr>
    </w:div>
    <w:div w:id="1750540085">
      <w:bodyDiv w:val="1"/>
      <w:marLeft w:val="0"/>
      <w:marRight w:val="0"/>
      <w:marTop w:val="0"/>
      <w:marBottom w:val="0"/>
      <w:divBdr>
        <w:top w:val="none" w:sz="0" w:space="0" w:color="auto"/>
        <w:left w:val="none" w:sz="0" w:space="0" w:color="auto"/>
        <w:bottom w:val="none" w:sz="0" w:space="0" w:color="auto"/>
        <w:right w:val="none" w:sz="0" w:space="0" w:color="auto"/>
      </w:divBdr>
    </w:div>
    <w:div w:id="1750542538">
      <w:bodyDiv w:val="1"/>
      <w:marLeft w:val="0"/>
      <w:marRight w:val="0"/>
      <w:marTop w:val="0"/>
      <w:marBottom w:val="0"/>
      <w:divBdr>
        <w:top w:val="none" w:sz="0" w:space="0" w:color="auto"/>
        <w:left w:val="none" w:sz="0" w:space="0" w:color="auto"/>
        <w:bottom w:val="none" w:sz="0" w:space="0" w:color="auto"/>
        <w:right w:val="none" w:sz="0" w:space="0" w:color="auto"/>
      </w:divBdr>
    </w:div>
    <w:div w:id="1750542880">
      <w:bodyDiv w:val="1"/>
      <w:marLeft w:val="0"/>
      <w:marRight w:val="0"/>
      <w:marTop w:val="0"/>
      <w:marBottom w:val="0"/>
      <w:divBdr>
        <w:top w:val="none" w:sz="0" w:space="0" w:color="auto"/>
        <w:left w:val="none" w:sz="0" w:space="0" w:color="auto"/>
        <w:bottom w:val="none" w:sz="0" w:space="0" w:color="auto"/>
        <w:right w:val="none" w:sz="0" w:space="0" w:color="auto"/>
      </w:divBdr>
    </w:div>
    <w:div w:id="1750544284">
      <w:bodyDiv w:val="1"/>
      <w:marLeft w:val="0"/>
      <w:marRight w:val="0"/>
      <w:marTop w:val="0"/>
      <w:marBottom w:val="0"/>
      <w:divBdr>
        <w:top w:val="none" w:sz="0" w:space="0" w:color="auto"/>
        <w:left w:val="none" w:sz="0" w:space="0" w:color="auto"/>
        <w:bottom w:val="none" w:sz="0" w:space="0" w:color="auto"/>
        <w:right w:val="none" w:sz="0" w:space="0" w:color="auto"/>
      </w:divBdr>
    </w:div>
    <w:div w:id="1750613460">
      <w:bodyDiv w:val="1"/>
      <w:marLeft w:val="0"/>
      <w:marRight w:val="0"/>
      <w:marTop w:val="0"/>
      <w:marBottom w:val="0"/>
      <w:divBdr>
        <w:top w:val="none" w:sz="0" w:space="0" w:color="auto"/>
        <w:left w:val="none" w:sz="0" w:space="0" w:color="auto"/>
        <w:bottom w:val="none" w:sz="0" w:space="0" w:color="auto"/>
        <w:right w:val="none" w:sz="0" w:space="0" w:color="auto"/>
      </w:divBdr>
    </w:div>
    <w:div w:id="1750733469">
      <w:bodyDiv w:val="1"/>
      <w:marLeft w:val="0"/>
      <w:marRight w:val="0"/>
      <w:marTop w:val="0"/>
      <w:marBottom w:val="0"/>
      <w:divBdr>
        <w:top w:val="none" w:sz="0" w:space="0" w:color="auto"/>
        <w:left w:val="none" w:sz="0" w:space="0" w:color="auto"/>
        <w:bottom w:val="none" w:sz="0" w:space="0" w:color="auto"/>
        <w:right w:val="none" w:sz="0" w:space="0" w:color="auto"/>
      </w:divBdr>
    </w:div>
    <w:div w:id="1750805201">
      <w:bodyDiv w:val="1"/>
      <w:marLeft w:val="0"/>
      <w:marRight w:val="0"/>
      <w:marTop w:val="0"/>
      <w:marBottom w:val="0"/>
      <w:divBdr>
        <w:top w:val="none" w:sz="0" w:space="0" w:color="auto"/>
        <w:left w:val="none" w:sz="0" w:space="0" w:color="auto"/>
        <w:bottom w:val="none" w:sz="0" w:space="0" w:color="auto"/>
        <w:right w:val="none" w:sz="0" w:space="0" w:color="auto"/>
      </w:divBdr>
    </w:div>
    <w:div w:id="1750806062">
      <w:bodyDiv w:val="1"/>
      <w:marLeft w:val="0"/>
      <w:marRight w:val="0"/>
      <w:marTop w:val="0"/>
      <w:marBottom w:val="0"/>
      <w:divBdr>
        <w:top w:val="none" w:sz="0" w:space="0" w:color="auto"/>
        <w:left w:val="none" w:sz="0" w:space="0" w:color="auto"/>
        <w:bottom w:val="none" w:sz="0" w:space="0" w:color="auto"/>
        <w:right w:val="none" w:sz="0" w:space="0" w:color="auto"/>
      </w:divBdr>
    </w:div>
    <w:div w:id="1750807031">
      <w:bodyDiv w:val="1"/>
      <w:marLeft w:val="0"/>
      <w:marRight w:val="0"/>
      <w:marTop w:val="0"/>
      <w:marBottom w:val="0"/>
      <w:divBdr>
        <w:top w:val="none" w:sz="0" w:space="0" w:color="auto"/>
        <w:left w:val="none" w:sz="0" w:space="0" w:color="auto"/>
        <w:bottom w:val="none" w:sz="0" w:space="0" w:color="auto"/>
        <w:right w:val="none" w:sz="0" w:space="0" w:color="auto"/>
      </w:divBdr>
    </w:div>
    <w:div w:id="1751000771">
      <w:bodyDiv w:val="1"/>
      <w:marLeft w:val="0"/>
      <w:marRight w:val="0"/>
      <w:marTop w:val="0"/>
      <w:marBottom w:val="0"/>
      <w:divBdr>
        <w:top w:val="none" w:sz="0" w:space="0" w:color="auto"/>
        <w:left w:val="none" w:sz="0" w:space="0" w:color="auto"/>
        <w:bottom w:val="none" w:sz="0" w:space="0" w:color="auto"/>
        <w:right w:val="none" w:sz="0" w:space="0" w:color="auto"/>
      </w:divBdr>
    </w:div>
    <w:div w:id="1751072857">
      <w:bodyDiv w:val="1"/>
      <w:marLeft w:val="0"/>
      <w:marRight w:val="0"/>
      <w:marTop w:val="0"/>
      <w:marBottom w:val="0"/>
      <w:divBdr>
        <w:top w:val="none" w:sz="0" w:space="0" w:color="auto"/>
        <w:left w:val="none" w:sz="0" w:space="0" w:color="auto"/>
        <w:bottom w:val="none" w:sz="0" w:space="0" w:color="auto"/>
        <w:right w:val="none" w:sz="0" w:space="0" w:color="auto"/>
      </w:divBdr>
    </w:div>
    <w:div w:id="1751079816">
      <w:bodyDiv w:val="1"/>
      <w:marLeft w:val="0"/>
      <w:marRight w:val="0"/>
      <w:marTop w:val="0"/>
      <w:marBottom w:val="0"/>
      <w:divBdr>
        <w:top w:val="none" w:sz="0" w:space="0" w:color="auto"/>
        <w:left w:val="none" w:sz="0" w:space="0" w:color="auto"/>
        <w:bottom w:val="none" w:sz="0" w:space="0" w:color="auto"/>
        <w:right w:val="none" w:sz="0" w:space="0" w:color="auto"/>
      </w:divBdr>
    </w:div>
    <w:div w:id="1751081366">
      <w:bodyDiv w:val="1"/>
      <w:marLeft w:val="0"/>
      <w:marRight w:val="0"/>
      <w:marTop w:val="0"/>
      <w:marBottom w:val="0"/>
      <w:divBdr>
        <w:top w:val="none" w:sz="0" w:space="0" w:color="auto"/>
        <w:left w:val="none" w:sz="0" w:space="0" w:color="auto"/>
        <w:bottom w:val="none" w:sz="0" w:space="0" w:color="auto"/>
        <w:right w:val="none" w:sz="0" w:space="0" w:color="auto"/>
      </w:divBdr>
    </w:div>
    <w:div w:id="1751268999">
      <w:bodyDiv w:val="1"/>
      <w:marLeft w:val="0"/>
      <w:marRight w:val="0"/>
      <w:marTop w:val="0"/>
      <w:marBottom w:val="0"/>
      <w:divBdr>
        <w:top w:val="none" w:sz="0" w:space="0" w:color="auto"/>
        <w:left w:val="none" w:sz="0" w:space="0" w:color="auto"/>
        <w:bottom w:val="none" w:sz="0" w:space="0" w:color="auto"/>
        <w:right w:val="none" w:sz="0" w:space="0" w:color="auto"/>
      </w:divBdr>
    </w:div>
    <w:div w:id="1751348729">
      <w:bodyDiv w:val="1"/>
      <w:marLeft w:val="0"/>
      <w:marRight w:val="0"/>
      <w:marTop w:val="0"/>
      <w:marBottom w:val="0"/>
      <w:divBdr>
        <w:top w:val="none" w:sz="0" w:space="0" w:color="auto"/>
        <w:left w:val="none" w:sz="0" w:space="0" w:color="auto"/>
        <w:bottom w:val="none" w:sz="0" w:space="0" w:color="auto"/>
        <w:right w:val="none" w:sz="0" w:space="0" w:color="auto"/>
      </w:divBdr>
    </w:div>
    <w:div w:id="1751583827">
      <w:bodyDiv w:val="1"/>
      <w:marLeft w:val="0"/>
      <w:marRight w:val="0"/>
      <w:marTop w:val="0"/>
      <w:marBottom w:val="0"/>
      <w:divBdr>
        <w:top w:val="none" w:sz="0" w:space="0" w:color="auto"/>
        <w:left w:val="none" w:sz="0" w:space="0" w:color="auto"/>
        <w:bottom w:val="none" w:sz="0" w:space="0" w:color="auto"/>
        <w:right w:val="none" w:sz="0" w:space="0" w:color="auto"/>
      </w:divBdr>
    </w:div>
    <w:div w:id="1751659658">
      <w:bodyDiv w:val="1"/>
      <w:marLeft w:val="0"/>
      <w:marRight w:val="0"/>
      <w:marTop w:val="0"/>
      <w:marBottom w:val="0"/>
      <w:divBdr>
        <w:top w:val="none" w:sz="0" w:space="0" w:color="auto"/>
        <w:left w:val="none" w:sz="0" w:space="0" w:color="auto"/>
        <w:bottom w:val="none" w:sz="0" w:space="0" w:color="auto"/>
        <w:right w:val="none" w:sz="0" w:space="0" w:color="auto"/>
      </w:divBdr>
    </w:div>
    <w:div w:id="1751734064">
      <w:bodyDiv w:val="1"/>
      <w:marLeft w:val="0"/>
      <w:marRight w:val="0"/>
      <w:marTop w:val="0"/>
      <w:marBottom w:val="0"/>
      <w:divBdr>
        <w:top w:val="none" w:sz="0" w:space="0" w:color="auto"/>
        <w:left w:val="none" w:sz="0" w:space="0" w:color="auto"/>
        <w:bottom w:val="none" w:sz="0" w:space="0" w:color="auto"/>
        <w:right w:val="none" w:sz="0" w:space="0" w:color="auto"/>
      </w:divBdr>
    </w:div>
    <w:div w:id="1751852127">
      <w:bodyDiv w:val="1"/>
      <w:marLeft w:val="0"/>
      <w:marRight w:val="0"/>
      <w:marTop w:val="0"/>
      <w:marBottom w:val="0"/>
      <w:divBdr>
        <w:top w:val="none" w:sz="0" w:space="0" w:color="auto"/>
        <w:left w:val="none" w:sz="0" w:space="0" w:color="auto"/>
        <w:bottom w:val="none" w:sz="0" w:space="0" w:color="auto"/>
        <w:right w:val="none" w:sz="0" w:space="0" w:color="auto"/>
      </w:divBdr>
    </w:div>
    <w:div w:id="1751853700">
      <w:bodyDiv w:val="1"/>
      <w:marLeft w:val="0"/>
      <w:marRight w:val="0"/>
      <w:marTop w:val="0"/>
      <w:marBottom w:val="0"/>
      <w:divBdr>
        <w:top w:val="none" w:sz="0" w:space="0" w:color="auto"/>
        <w:left w:val="none" w:sz="0" w:space="0" w:color="auto"/>
        <w:bottom w:val="none" w:sz="0" w:space="0" w:color="auto"/>
        <w:right w:val="none" w:sz="0" w:space="0" w:color="auto"/>
      </w:divBdr>
    </w:div>
    <w:div w:id="1751854784">
      <w:bodyDiv w:val="1"/>
      <w:marLeft w:val="0"/>
      <w:marRight w:val="0"/>
      <w:marTop w:val="0"/>
      <w:marBottom w:val="0"/>
      <w:divBdr>
        <w:top w:val="none" w:sz="0" w:space="0" w:color="auto"/>
        <w:left w:val="none" w:sz="0" w:space="0" w:color="auto"/>
        <w:bottom w:val="none" w:sz="0" w:space="0" w:color="auto"/>
        <w:right w:val="none" w:sz="0" w:space="0" w:color="auto"/>
      </w:divBdr>
    </w:div>
    <w:div w:id="1752044070">
      <w:bodyDiv w:val="1"/>
      <w:marLeft w:val="0"/>
      <w:marRight w:val="0"/>
      <w:marTop w:val="0"/>
      <w:marBottom w:val="0"/>
      <w:divBdr>
        <w:top w:val="none" w:sz="0" w:space="0" w:color="auto"/>
        <w:left w:val="none" w:sz="0" w:space="0" w:color="auto"/>
        <w:bottom w:val="none" w:sz="0" w:space="0" w:color="auto"/>
        <w:right w:val="none" w:sz="0" w:space="0" w:color="auto"/>
      </w:divBdr>
    </w:div>
    <w:div w:id="1752044079">
      <w:bodyDiv w:val="1"/>
      <w:marLeft w:val="0"/>
      <w:marRight w:val="0"/>
      <w:marTop w:val="0"/>
      <w:marBottom w:val="0"/>
      <w:divBdr>
        <w:top w:val="none" w:sz="0" w:space="0" w:color="auto"/>
        <w:left w:val="none" w:sz="0" w:space="0" w:color="auto"/>
        <w:bottom w:val="none" w:sz="0" w:space="0" w:color="auto"/>
        <w:right w:val="none" w:sz="0" w:space="0" w:color="auto"/>
      </w:divBdr>
    </w:div>
    <w:div w:id="1752120652">
      <w:bodyDiv w:val="1"/>
      <w:marLeft w:val="0"/>
      <w:marRight w:val="0"/>
      <w:marTop w:val="0"/>
      <w:marBottom w:val="0"/>
      <w:divBdr>
        <w:top w:val="none" w:sz="0" w:space="0" w:color="auto"/>
        <w:left w:val="none" w:sz="0" w:space="0" w:color="auto"/>
        <w:bottom w:val="none" w:sz="0" w:space="0" w:color="auto"/>
        <w:right w:val="none" w:sz="0" w:space="0" w:color="auto"/>
      </w:divBdr>
    </w:div>
    <w:div w:id="1752122095">
      <w:bodyDiv w:val="1"/>
      <w:marLeft w:val="0"/>
      <w:marRight w:val="0"/>
      <w:marTop w:val="0"/>
      <w:marBottom w:val="0"/>
      <w:divBdr>
        <w:top w:val="none" w:sz="0" w:space="0" w:color="auto"/>
        <w:left w:val="none" w:sz="0" w:space="0" w:color="auto"/>
        <w:bottom w:val="none" w:sz="0" w:space="0" w:color="auto"/>
        <w:right w:val="none" w:sz="0" w:space="0" w:color="auto"/>
      </w:divBdr>
    </w:div>
    <w:div w:id="1752197454">
      <w:bodyDiv w:val="1"/>
      <w:marLeft w:val="0"/>
      <w:marRight w:val="0"/>
      <w:marTop w:val="0"/>
      <w:marBottom w:val="0"/>
      <w:divBdr>
        <w:top w:val="none" w:sz="0" w:space="0" w:color="auto"/>
        <w:left w:val="none" w:sz="0" w:space="0" w:color="auto"/>
        <w:bottom w:val="none" w:sz="0" w:space="0" w:color="auto"/>
        <w:right w:val="none" w:sz="0" w:space="0" w:color="auto"/>
      </w:divBdr>
    </w:div>
    <w:div w:id="1752312276">
      <w:bodyDiv w:val="1"/>
      <w:marLeft w:val="0"/>
      <w:marRight w:val="0"/>
      <w:marTop w:val="0"/>
      <w:marBottom w:val="0"/>
      <w:divBdr>
        <w:top w:val="none" w:sz="0" w:space="0" w:color="auto"/>
        <w:left w:val="none" w:sz="0" w:space="0" w:color="auto"/>
        <w:bottom w:val="none" w:sz="0" w:space="0" w:color="auto"/>
        <w:right w:val="none" w:sz="0" w:space="0" w:color="auto"/>
      </w:divBdr>
    </w:div>
    <w:div w:id="1752315313">
      <w:bodyDiv w:val="1"/>
      <w:marLeft w:val="0"/>
      <w:marRight w:val="0"/>
      <w:marTop w:val="0"/>
      <w:marBottom w:val="0"/>
      <w:divBdr>
        <w:top w:val="none" w:sz="0" w:space="0" w:color="auto"/>
        <w:left w:val="none" w:sz="0" w:space="0" w:color="auto"/>
        <w:bottom w:val="none" w:sz="0" w:space="0" w:color="auto"/>
        <w:right w:val="none" w:sz="0" w:space="0" w:color="auto"/>
      </w:divBdr>
    </w:div>
    <w:div w:id="1752462314">
      <w:bodyDiv w:val="1"/>
      <w:marLeft w:val="0"/>
      <w:marRight w:val="0"/>
      <w:marTop w:val="0"/>
      <w:marBottom w:val="0"/>
      <w:divBdr>
        <w:top w:val="none" w:sz="0" w:space="0" w:color="auto"/>
        <w:left w:val="none" w:sz="0" w:space="0" w:color="auto"/>
        <w:bottom w:val="none" w:sz="0" w:space="0" w:color="auto"/>
        <w:right w:val="none" w:sz="0" w:space="0" w:color="auto"/>
      </w:divBdr>
    </w:div>
    <w:div w:id="1752506927">
      <w:bodyDiv w:val="1"/>
      <w:marLeft w:val="0"/>
      <w:marRight w:val="0"/>
      <w:marTop w:val="0"/>
      <w:marBottom w:val="0"/>
      <w:divBdr>
        <w:top w:val="none" w:sz="0" w:space="0" w:color="auto"/>
        <w:left w:val="none" w:sz="0" w:space="0" w:color="auto"/>
        <w:bottom w:val="none" w:sz="0" w:space="0" w:color="auto"/>
        <w:right w:val="none" w:sz="0" w:space="0" w:color="auto"/>
      </w:divBdr>
    </w:div>
    <w:div w:id="1752695043">
      <w:bodyDiv w:val="1"/>
      <w:marLeft w:val="0"/>
      <w:marRight w:val="0"/>
      <w:marTop w:val="0"/>
      <w:marBottom w:val="0"/>
      <w:divBdr>
        <w:top w:val="none" w:sz="0" w:space="0" w:color="auto"/>
        <w:left w:val="none" w:sz="0" w:space="0" w:color="auto"/>
        <w:bottom w:val="none" w:sz="0" w:space="0" w:color="auto"/>
        <w:right w:val="none" w:sz="0" w:space="0" w:color="auto"/>
      </w:divBdr>
    </w:div>
    <w:div w:id="1752699830">
      <w:bodyDiv w:val="1"/>
      <w:marLeft w:val="0"/>
      <w:marRight w:val="0"/>
      <w:marTop w:val="0"/>
      <w:marBottom w:val="0"/>
      <w:divBdr>
        <w:top w:val="none" w:sz="0" w:space="0" w:color="auto"/>
        <w:left w:val="none" w:sz="0" w:space="0" w:color="auto"/>
        <w:bottom w:val="none" w:sz="0" w:space="0" w:color="auto"/>
        <w:right w:val="none" w:sz="0" w:space="0" w:color="auto"/>
      </w:divBdr>
    </w:div>
    <w:div w:id="1752846139">
      <w:bodyDiv w:val="1"/>
      <w:marLeft w:val="0"/>
      <w:marRight w:val="0"/>
      <w:marTop w:val="0"/>
      <w:marBottom w:val="0"/>
      <w:divBdr>
        <w:top w:val="none" w:sz="0" w:space="0" w:color="auto"/>
        <w:left w:val="none" w:sz="0" w:space="0" w:color="auto"/>
        <w:bottom w:val="none" w:sz="0" w:space="0" w:color="auto"/>
        <w:right w:val="none" w:sz="0" w:space="0" w:color="auto"/>
      </w:divBdr>
    </w:div>
    <w:div w:id="1752851801">
      <w:bodyDiv w:val="1"/>
      <w:marLeft w:val="0"/>
      <w:marRight w:val="0"/>
      <w:marTop w:val="0"/>
      <w:marBottom w:val="0"/>
      <w:divBdr>
        <w:top w:val="none" w:sz="0" w:space="0" w:color="auto"/>
        <w:left w:val="none" w:sz="0" w:space="0" w:color="auto"/>
        <w:bottom w:val="none" w:sz="0" w:space="0" w:color="auto"/>
        <w:right w:val="none" w:sz="0" w:space="0" w:color="auto"/>
      </w:divBdr>
    </w:div>
    <w:div w:id="1752853463">
      <w:bodyDiv w:val="1"/>
      <w:marLeft w:val="0"/>
      <w:marRight w:val="0"/>
      <w:marTop w:val="0"/>
      <w:marBottom w:val="0"/>
      <w:divBdr>
        <w:top w:val="none" w:sz="0" w:space="0" w:color="auto"/>
        <w:left w:val="none" w:sz="0" w:space="0" w:color="auto"/>
        <w:bottom w:val="none" w:sz="0" w:space="0" w:color="auto"/>
        <w:right w:val="none" w:sz="0" w:space="0" w:color="auto"/>
      </w:divBdr>
    </w:div>
    <w:div w:id="1752895146">
      <w:bodyDiv w:val="1"/>
      <w:marLeft w:val="0"/>
      <w:marRight w:val="0"/>
      <w:marTop w:val="0"/>
      <w:marBottom w:val="0"/>
      <w:divBdr>
        <w:top w:val="none" w:sz="0" w:space="0" w:color="auto"/>
        <w:left w:val="none" w:sz="0" w:space="0" w:color="auto"/>
        <w:bottom w:val="none" w:sz="0" w:space="0" w:color="auto"/>
        <w:right w:val="none" w:sz="0" w:space="0" w:color="auto"/>
      </w:divBdr>
    </w:div>
    <w:div w:id="1752969362">
      <w:bodyDiv w:val="1"/>
      <w:marLeft w:val="0"/>
      <w:marRight w:val="0"/>
      <w:marTop w:val="0"/>
      <w:marBottom w:val="0"/>
      <w:divBdr>
        <w:top w:val="none" w:sz="0" w:space="0" w:color="auto"/>
        <w:left w:val="none" w:sz="0" w:space="0" w:color="auto"/>
        <w:bottom w:val="none" w:sz="0" w:space="0" w:color="auto"/>
        <w:right w:val="none" w:sz="0" w:space="0" w:color="auto"/>
      </w:divBdr>
    </w:div>
    <w:div w:id="1753040437">
      <w:bodyDiv w:val="1"/>
      <w:marLeft w:val="0"/>
      <w:marRight w:val="0"/>
      <w:marTop w:val="0"/>
      <w:marBottom w:val="0"/>
      <w:divBdr>
        <w:top w:val="none" w:sz="0" w:space="0" w:color="auto"/>
        <w:left w:val="none" w:sz="0" w:space="0" w:color="auto"/>
        <w:bottom w:val="none" w:sz="0" w:space="0" w:color="auto"/>
        <w:right w:val="none" w:sz="0" w:space="0" w:color="auto"/>
      </w:divBdr>
    </w:div>
    <w:div w:id="1753115783">
      <w:bodyDiv w:val="1"/>
      <w:marLeft w:val="0"/>
      <w:marRight w:val="0"/>
      <w:marTop w:val="0"/>
      <w:marBottom w:val="0"/>
      <w:divBdr>
        <w:top w:val="none" w:sz="0" w:space="0" w:color="auto"/>
        <w:left w:val="none" w:sz="0" w:space="0" w:color="auto"/>
        <w:bottom w:val="none" w:sz="0" w:space="0" w:color="auto"/>
        <w:right w:val="none" w:sz="0" w:space="0" w:color="auto"/>
      </w:divBdr>
    </w:div>
    <w:div w:id="1753241056">
      <w:bodyDiv w:val="1"/>
      <w:marLeft w:val="0"/>
      <w:marRight w:val="0"/>
      <w:marTop w:val="0"/>
      <w:marBottom w:val="0"/>
      <w:divBdr>
        <w:top w:val="none" w:sz="0" w:space="0" w:color="auto"/>
        <w:left w:val="none" w:sz="0" w:space="0" w:color="auto"/>
        <w:bottom w:val="none" w:sz="0" w:space="0" w:color="auto"/>
        <w:right w:val="none" w:sz="0" w:space="0" w:color="auto"/>
      </w:divBdr>
    </w:div>
    <w:div w:id="1753353598">
      <w:bodyDiv w:val="1"/>
      <w:marLeft w:val="0"/>
      <w:marRight w:val="0"/>
      <w:marTop w:val="0"/>
      <w:marBottom w:val="0"/>
      <w:divBdr>
        <w:top w:val="none" w:sz="0" w:space="0" w:color="auto"/>
        <w:left w:val="none" w:sz="0" w:space="0" w:color="auto"/>
        <w:bottom w:val="none" w:sz="0" w:space="0" w:color="auto"/>
        <w:right w:val="none" w:sz="0" w:space="0" w:color="auto"/>
      </w:divBdr>
      <w:divsChild>
        <w:div w:id="596556">
          <w:marLeft w:val="0"/>
          <w:marRight w:val="0"/>
          <w:marTop w:val="0"/>
          <w:marBottom w:val="0"/>
          <w:divBdr>
            <w:top w:val="none" w:sz="0" w:space="0" w:color="auto"/>
            <w:left w:val="none" w:sz="0" w:space="0" w:color="auto"/>
            <w:bottom w:val="none" w:sz="0" w:space="0" w:color="auto"/>
            <w:right w:val="none" w:sz="0" w:space="0" w:color="auto"/>
          </w:divBdr>
        </w:div>
        <w:div w:id="2979811">
          <w:marLeft w:val="0"/>
          <w:marRight w:val="0"/>
          <w:marTop w:val="0"/>
          <w:marBottom w:val="0"/>
          <w:divBdr>
            <w:top w:val="none" w:sz="0" w:space="0" w:color="auto"/>
            <w:left w:val="none" w:sz="0" w:space="0" w:color="auto"/>
            <w:bottom w:val="none" w:sz="0" w:space="0" w:color="auto"/>
            <w:right w:val="none" w:sz="0" w:space="0" w:color="auto"/>
          </w:divBdr>
        </w:div>
        <w:div w:id="31350028">
          <w:marLeft w:val="0"/>
          <w:marRight w:val="0"/>
          <w:marTop w:val="0"/>
          <w:marBottom w:val="0"/>
          <w:divBdr>
            <w:top w:val="none" w:sz="0" w:space="0" w:color="auto"/>
            <w:left w:val="none" w:sz="0" w:space="0" w:color="auto"/>
            <w:bottom w:val="none" w:sz="0" w:space="0" w:color="auto"/>
            <w:right w:val="none" w:sz="0" w:space="0" w:color="auto"/>
          </w:divBdr>
        </w:div>
        <w:div w:id="35590234">
          <w:marLeft w:val="0"/>
          <w:marRight w:val="0"/>
          <w:marTop w:val="0"/>
          <w:marBottom w:val="0"/>
          <w:divBdr>
            <w:top w:val="none" w:sz="0" w:space="0" w:color="auto"/>
            <w:left w:val="none" w:sz="0" w:space="0" w:color="auto"/>
            <w:bottom w:val="none" w:sz="0" w:space="0" w:color="auto"/>
            <w:right w:val="none" w:sz="0" w:space="0" w:color="auto"/>
          </w:divBdr>
        </w:div>
        <w:div w:id="57285528">
          <w:marLeft w:val="0"/>
          <w:marRight w:val="0"/>
          <w:marTop w:val="0"/>
          <w:marBottom w:val="0"/>
          <w:divBdr>
            <w:top w:val="none" w:sz="0" w:space="0" w:color="auto"/>
            <w:left w:val="none" w:sz="0" w:space="0" w:color="auto"/>
            <w:bottom w:val="none" w:sz="0" w:space="0" w:color="auto"/>
            <w:right w:val="none" w:sz="0" w:space="0" w:color="auto"/>
          </w:divBdr>
        </w:div>
        <w:div w:id="65805886">
          <w:marLeft w:val="0"/>
          <w:marRight w:val="0"/>
          <w:marTop w:val="0"/>
          <w:marBottom w:val="0"/>
          <w:divBdr>
            <w:top w:val="none" w:sz="0" w:space="0" w:color="auto"/>
            <w:left w:val="none" w:sz="0" w:space="0" w:color="auto"/>
            <w:bottom w:val="none" w:sz="0" w:space="0" w:color="auto"/>
            <w:right w:val="none" w:sz="0" w:space="0" w:color="auto"/>
          </w:divBdr>
        </w:div>
        <w:div w:id="66879281">
          <w:marLeft w:val="0"/>
          <w:marRight w:val="0"/>
          <w:marTop w:val="0"/>
          <w:marBottom w:val="0"/>
          <w:divBdr>
            <w:top w:val="none" w:sz="0" w:space="0" w:color="auto"/>
            <w:left w:val="none" w:sz="0" w:space="0" w:color="auto"/>
            <w:bottom w:val="none" w:sz="0" w:space="0" w:color="auto"/>
            <w:right w:val="none" w:sz="0" w:space="0" w:color="auto"/>
          </w:divBdr>
        </w:div>
        <w:div w:id="69040404">
          <w:marLeft w:val="0"/>
          <w:marRight w:val="0"/>
          <w:marTop w:val="0"/>
          <w:marBottom w:val="0"/>
          <w:divBdr>
            <w:top w:val="none" w:sz="0" w:space="0" w:color="auto"/>
            <w:left w:val="none" w:sz="0" w:space="0" w:color="auto"/>
            <w:bottom w:val="none" w:sz="0" w:space="0" w:color="auto"/>
            <w:right w:val="none" w:sz="0" w:space="0" w:color="auto"/>
          </w:divBdr>
        </w:div>
        <w:div w:id="122120594">
          <w:marLeft w:val="0"/>
          <w:marRight w:val="0"/>
          <w:marTop w:val="0"/>
          <w:marBottom w:val="0"/>
          <w:divBdr>
            <w:top w:val="none" w:sz="0" w:space="0" w:color="auto"/>
            <w:left w:val="none" w:sz="0" w:space="0" w:color="auto"/>
            <w:bottom w:val="none" w:sz="0" w:space="0" w:color="auto"/>
            <w:right w:val="none" w:sz="0" w:space="0" w:color="auto"/>
          </w:divBdr>
        </w:div>
        <w:div w:id="137958985">
          <w:marLeft w:val="0"/>
          <w:marRight w:val="0"/>
          <w:marTop w:val="0"/>
          <w:marBottom w:val="0"/>
          <w:divBdr>
            <w:top w:val="none" w:sz="0" w:space="0" w:color="auto"/>
            <w:left w:val="none" w:sz="0" w:space="0" w:color="auto"/>
            <w:bottom w:val="none" w:sz="0" w:space="0" w:color="auto"/>
            <w:right w:val="none" w:sz="0" w:space="0" w:color="auto"/>
          </w:divBdr>
        </w:div>
        <w:div w:id="152112180">
          <w:marLeft w:val="0"/>
          <w:marRight w:val="0"/>
          <w:marTop w:val="0"/>
          <w:marBottom w:val="0"/>
          <w:divBdr>
            <w:top w:val="none" w:sz="0" w:space="0" w:color="auto"/>
            <w:left w:val="none" w:sz="0" w:space="0" w:color="auto"/>
            <w:bottom w:val="none" w:sz="0" w:space="0" w:color="auto"/>
            <w:right w:val="none" w:sz="0" w:space="0" w:color="auto"/>
          </w:divBdr>
        </w:div>
        <w:div w:id="169953677">
          <w:marLeft w:val="0"/>
          <w:marRight w:val="0"/>
          <w:marTop w:val="0"/>
          <w:marBottom w:val="0"/>
          <w:divBdr>
            <w:top w:val="none" w:sz="0" w:space="0" w:color="auto"/>
            <w:left w:val="none" w:sz="0" w:space="0" w:color="auto"/>
            <w:bottom w:val="none" w:sz="0" w:space="0" w:color="auto"/>
            <w:right w:val="none" w:sz="0" w:space="0" w:color="auto"/>
          </w:divBdr>
        </w:div>
        <w:div w:id="173346374">
          <w:marLeft w:val="0"/>
          <w:marRight w:val="0"/>
          <w:marTop w:val="0"/>
          <w:marBottom w:val="0"/>
          <w:divBdr>
            <w:top w:val="none" w:sz="0" w:space="0" w:color="auto"/>
            <w:left w:val="none" w:sz="0" w:space="0" w:color="auto"/>
            <w:bottom w:val="none" w:sz="0" w:space="0" w:color="auto"/>
            <w:right w:val="none" w:sz="0" w:space="0" w:color="auto"/>
          </w:divBdr>
        </w:div>
        <w:div w:id="179272767">
          <w:marLeft w:val="0"/>
          <w:marRight w:val="0"/>
          <w:marTop w:val="0"/>
          <w:marBottom w:val="0"/>
          <w:divBdr>
            <w:top w:val="none" w:sz="0" w:space="0" w:color="auto"/>
            <w:left w:val="none" w:sz="0" w:space="0" w:color="auto"/>
            <w:bottom w:val="none" w:sz="0" w:space="0" w:color="auto"/>
            <w:right w:val="none" w:sz="0" w:space="0" w:color="auto"/>
          </w:divBdr>
        </w:div>
        <w:div w:id="187647489">
          <w:marLeft w:val="0"/>
          <w:marRight w:val="0"/>
          <w:marTop w:val="0"/>
          <w:marBottom w:val="0"/>
          <w:divBdr>
            <w:top w:val="none" w:sz="0" w:space="0" w:color="auto"/>
            <w:left w:val="none" w:sz="0" w:space="0" w:color="auto"/>
            <w:bottom w:val="none" w:sz="0" w:space="0" w:color="auto"/>
            <w:right w:val="none" w:sz="0" w:space="0" w:color="auto"/>
          </w:divBdr>
        </w:div>
        <w:div w:id="233051821">
          <w:marLeft w:val="0"/>
          <w:marRight w:val="0"/>
          <w:marTop w:val="0"/>
          <w:marBottom w:val="0"/>
          <w:divBdr>
            <w:top w:val="none" w:sz="0" w:space="0" w:color="auto"/>
            <w:left w:val="none" w:sz="0" w:space="0" w:color="auto"/>
            <w:bottom w:val="none" w:sz="0" w:space="0" w:color="auto"/>
            <w:right w:val="none" w:sz="0" w:space="0" w:color="auto"/>
          </w:divBdr>
        </w:div>
        <w:div w:id="242952504">
          <w:marLeft w:val="0"/>
          <w:marRight w:val="0"/>
          <w:marTop w:val="0"/>
          <w:marBottom w:val="0"/>
          <w:divBdr>
            <w:top w:val="none" w:sz="0" w:space="0" w:color="auto"/>
            <w:left w:val="none" w:sz="0" w:space="0" w:color="auto"/>
            <w:bottom w:val="none" w:sz="0" w:space="0" w:color="auto"/>
            <w:right w:val="none" w:sz="0" w:space="0" w:color="auto"/>
          </w:divBdr>
        </w:div>
        <w:div w:id="243222612">
          <w:marLeft w:val="0"/>
          <w:marRight w:val="0"/>
          <w:marTop w:val="0"/>
          <w:marBottom w:val="0"/>
          <w:divBdr>
            <w:top w:val="none" w:sz="0" w:space="0" w:color="auto"/>
            <w:left w:val="none" w:sz="0" w:space="0" w:color="auto"/>
            <w:bottom w:val="none" w:sz="0" w:space="0" w:color="auto"/>
            <w:right w:val="none" w:sz="0" w:space="0" w:color="auto"/>
          </w:divBdr>
        </w:div>
        <w:div w:id="264970848">
          <w:marLeft w:val="0"/>
          <w:marRight w:val="0"/>
          <w:marTop w:val="0"/>
          <w:marBottom w:val="0"/>
          <w:divBdr>
            <w:top w:val="none" w:sz="0" w:space="0" w:color="auto"/>
            <w:left w:val="none" w:sz="0" w:space="0" w:color="auto"/>
            <w:bottom w:val="none" w:sz="0" w:space="0" w:color="auto"/>
            <w:right w:val="none" w:sz="0" w:space="0" w:color="auto"/>
          </w:divBdr>
        </w:div>
        <w:div w:id="290674907">
          <w:marLeft w:val="0"/>
          <w:marRight w:val="0"/>
          <w:marTop w:val="0"/>
          <w:marBottom w:val="0"/>
          <w:divBdr>
            <w:top w:val="none" w:sz="0" w:space="0" w:color="auto"/>
            <w:left w:val="none" w:sz="0" w:space="0" w:color="auto"/>
            <w:bottom w:val="none" w:sz="0" w:space="0" w:color="auto"/>
            <w:right w:val="none" w:sz="0" w:space="0" w:color="auto"/>
          </w:divBdr>
        </w:div>
        <w:div w:id="309091644">
          <w:marLeft w:val="0"/>
          <w:marRight w:val="0"/>
          <w:marTop w:val="0"/>
          <w:marBottom w:val="0"/>
          <w:divBdr>
            <w:top w:val="none" w:sz="0" w:space="0" w:color="auto"/>
            <w:left w:val="none" w:sz="0" w:space="0" w:color="auto"/>
            <w:bottom w:val="none" w:sz="0" w:space="0" w:color="auto"/>
            <w:right w:val="none" w:sz="0" w:space="0" w:color="auto"/>
          </w:divBdr>
        </w:div>
        <w:div w:id="311758178">
          <w:marLeft w:val="0"/>
          <w:marRight w:val="0"/>
          <w:marTop w:val="0"/>
          <w:marBottom w:val="0"/>
          <w:divBdr>
            <w:top w:val="none" w:sz="0" w:space="0" w:color="auto"/>
            <w:left w:val="none" w:sz="0" w:space="0" w:color="auto"/>
            <w:bottom w:val="none" w:sz="0" w:space="0" w:color="auto"/>
            <w:right w:val="none" w:sz="0" w:space="0" w:color="auto"/>
          </w:divBdr>
        </w:div>
        <w:div w:id="326790192">
          <w:marLeft w:val="0"/>
          <w:marRight w:val="0"/>
          <w:marTop w:val="0"/>
          <w:marBottom w:val="0"/>
          <w:divBdr>
            <w:top w:val="none" w:sz="0" w:space="0" w:color="auto"/>
            <w:left w:val="none" w:sz="0" w:space="0" w:color="auto"/>
            <w:bottom w:val="none" w:sz="0" w:space="0" w:color="auto"/>
            <w:right w:val="none" w:sz="0" w:space="0" w:color="auto"/>
          </w:divBdr>
        </w:div>
        <w:div w:id="330723897">
          <w:marLeft w:val="0"/>
          <w:marRight w:val="0"/>
          <w:marTop w:val="0"/>
          <w:marBottom w:val="0"/>
          <w:divBdr>
            <w:top w:val="none" w:sz="0" w:space="0" w:color="auto"/>
            <w:left w:val="none" w:sz="0" w:space="0" w:color="auto"/>
            <w:bottom w:val="none" w:sz="0" w:space="0" w:color="auto"/>
            <w:right w:val="none" w:sz="0" w:space="0" w:color="auto"/>
          </w:divBdr>
        </w:div>
        <w:div w:id="330908478">
          <w:marLeft w:val="0"/>
          <w:marRight w:val="0"/>
          <w:marTop w:val="0"/>
          <w:marBottom w:val="0"/>
          <w:divBdr>
            <w:top w:val="none" w:sz="0" w:space="0" w:color="auto"/>
            <w:left w:val="none" w:sz="0" w:space="0" w:color="auto"/>
            <w:bottom w:val="none" w:sz="0" w:space="0" w:color="auto"/>
            <w:right w:val="none" w:sz="0" w:space="0" w:color="auto"/>
          </w:divBdr>
        </w:div>
        <w:div w:id="363410358">
          <w:marLeft w:val="0"/>
          <w:marRight w:val="0"/>
          <w:marTop w:val="0"/>
          <w:marBottom w:val="0"/>
          <w:divBdr>
            <w:top w:val="none" w:sz="0" w:space="0" w:color="auto"/>
            <w:left w:val="none" w:sz="0" w:space="0" w:color="auto"/>
            <w:bottom w:val="none" w:sz="0" w:space="0" w:color="auto"/>
            <w:right w:val="none" w:sz="0" w:space="0" w:color="auto"/>
          </w:divBdr>
        </w:div>
        <w:div w:id="363484136">
          <w:marLeft w:val="0"/>
          <w:marRight w:val="0"/>
          <w:marTop w:val="0"/>
          <w:marBottom w:val="0"/>
          <w:divBdr>
            <w:top w:val="none" w:sz="0" w:space="0" w:color="auto"/>
            <w:left w:val="none" w:sz="0" w:space="0" w:color="auto"/>
            <w:bottom w:val="none" w:sz="0" w:space="0" w:color="auto"/>
            <w:right w:val="none" w:sz="0" w:space="0" w:color="auto"/>
          </w:divBdr>
        </w:div>
        <w:div w:id="389573074">
          <w:marLeft w:val="0"/>
          <w:marRight w:val="0"/>
          <w:marTop w:val="0"/>
          <w:marBottom w:val="0"/>
          <w:divBdr>
            <w:top w:val="none" w:sz="0" w:space="0" w:color="auto"/>
            <w:left w:val="none" w:sz="0" w:space="0" w:color="auto"/>
            <w:bottom w:val="none" w:sz="0" w:space="0" w:color="auto"/>
            <w:right w:val="none" w:sz="0" w:space="0" w:color="auto"/>
          </w:divBdr>
        </w:div>
        <w:div w:id="399137149">
          <w:marLeft w:val="0"/>
          <w:marRight w:val="0"/>
          <w:marTop w:val="0"/>
          <w:marBottom w:val="0"/>
          <w:divBdr>
            <w:top w:val="none" w:sz="0" w:space="0" w:color="auto"/>
            <w:left w:val="none" w:sz="0" w:space="0" w:color="auto"/>
            <w:bottom w:val="none" w:sz="0" w:space="0" w:color="auto"/>
            <w:right w:val="none" w:sz="0" w:space="0" w:color="auto"/>
          </w:divBdr>
        </w:div>
        <w:div w:id="411782892">
          <w:marLeft w:val="0"/>
          <w:marRight w:val="0"/>
          <w:marTop w:val="0"/>
          <w:marBottom w:val="0"/>
          <w:divBdr>
            <w:top w:val="none" w:sz="0" w:space="0" w:color="auto"/>
            <w:left w:val="none" w:sz="0" w:space="0" w:color="auto"/>
            <w:bottom w:val="none" w:sz="0" w:space="0" w:color="auto"/>
            <w:right w:val="none" w:sz="0" w:space="0" w:color="auto"/>
          </w:divBdr>
        </w:div>
        <w:div w:id="414712678">
          <w:marLeft w:val="0"/>
          <w:marRight w:val="0"/>
          <w:marTop w:val="0"/>
          <w:marBottom w:val="0"/>
          <w:divBdr>
            <w:top w:val="none" w:sz="0" w:space="0" w:color="auto"/>
            <w:left w:val="none" w:sz="0" w:space="0" w:color="auto"/>
            <w:bottom w:val="none" w:sz="0" w:space="0" w:color="auto"/>
            <w:right w:val="none" w:sz="0" w:space="0" w:color="auto"/>
          </w:divBdr>
        </w:div>
        <w:div w:id="438987015">
          <w:marLeft w:val="0"/>
          <w:marRight w:val="0"/>
          <w:marTop w:val="0"/>
          <w:marBottom w:val="0"/>
          <w:divBdr>
            <w:top w:val="none" w:sz="0" w:space="0" w:color="auto"/>
            <w:left w:val="none" w:sz="0" w:space="0" w:color="auto"/>
            <w:bottom w:val="none" w:sz="0" w:space="0" w:color="auto"/>
            <w:right w:val="none" w:sz="0" w:space="0" w:color="auto"/>
          </w:divBdr>
        </w:div>
        <w:div w:id="466316778">
          <w:marLeft w:val="0"/>
          <w:marRight w:val="0"/>
          <w:marTop w:val="0"/>
          <w:marBottom w:val="0"/>
          <w:divBdr>
            <w:top w:val="none" w:sz="0" w:space="0" w:color="auto"/>
            <w:left w:val="none" w:sz="0" w:space="0" w:color="auto"/>
            <w:bottom w:val="none" w:sz="0" w:space="0" w:color="auto"/>
            <w:right w:val="none" w:sz="0" w:space="0" w:color="auto"/>
          </w:divBdr>
        </w:div>
        <w:div w:id="468478753">
          <w:marLeft w:val="0"/>
          <w:marRight w:val="0"/>
          <w:marTop w:val="0"/>
          <w:marBottom w:val="0"/>
          <w:divBdr>
            <w:top w:val="none" w:sz="0" w:space="0" w:color="auto"/>
            <w:left w:val="none" w:sz="0" w:space="0" w:color="auto"/>
            <w:bottom w:val="none" w:sz="0" w:space="0" w:color="auto"/>
            <w:right w:val="none" w:sz="0" w:space="0" w:color="auto"/>
          </w:divBdr>
        </w:div>
        <w:div w:id="469714426">
          <w:marLeft w:val="0"/>
          <w:marRight w:val="0"/>
          <w:marTop w:val="0"/>
          <w:marBottom w:val="0"/>
          <w:divBdr>
            <w:top w:val="none" w:sz="0" w:space="0" w:color="auto"/>
            <w:left w:val="none" w:sz="0" w:space="0" w:color="auto"/>
            <w:bottom w:val="none" w:sz="0" w:space="0" w:color="auto"/>
            <w:right w:val="none" w:sz="0" w:space="0" w:color="auto"/>
          </w:divBdr>
        </w:div>
        <w:div w:id="478422689">
          <w:marLeft w:val="0"/>
          <w:marRight w:val="0"/>
          <w:marTop w:val="0"/>
          <w:marBottom w:val="0"/>
          <w:divBdr>
            <w:top w:val="none" w:sz="0" w:space="0" w:color="auto"/>
            <w:left w:val="none" w:sz="0" w:space="0" w:color="auto"/>
            <w:bottom w:val="none" w:sz="0" w:space="0" w:color="auto"/>
            <w:right w:val="none" w:sz="0" w:space="0" w:color="auto"/>
          </w:divBdr>
        </w:div>
        <w:div w:id="534850157">
          <w:marLeft w:val="0"/>
          <w:marRight w:val="0"/>
          <w:marTop w:val="0"/>
          <w:marBottom w:val="0"/>
          <w:divBdr>
            <w:top w:val="none" w:sz="0" w:space="0" w:color="auto"/>
            <w:left w:val="none" w:sz="0" w:space="0" w:color="auto"/>
            <w:bottom w:val="none" w:sz="0" w:space="0" w:color="auto"/>
            <w:right w:val="none" w:sz="0" w:space="0" w:color="auto"/>
          </w:divBdr>
        </w:div>
        <w:div w:id="549415780">
          <w:marLeft w:val="0"/>
          <w:marRight w:val="0"/>
          <w:marTop w:val="0"/>
          <w:marBottom w:val="0"/>
          <w:divBdr>
            <w:top w:val="none" w:sz="0" w:space="0" w:color="auto"/>
            <w:left w:val="none" w:sz="0" w:space="0" w:color="auto"/>
            <w:bottom w:val="none" w:sz="0" w:space="0" w:color="auto"/>
            <w:right w:val="none" w:sz="0" w:space="0" w:color="auto"/>
          </w:divBdr>
        </w:div>
        <w:div w:id="635187838">
          <w:marLeft w:val="0"/>
          <w:marRight w:val="0"/>
          <w:marTop w:val="0"/>
          <w:marBottom w:val="0"/>
          <w:divBdr>
            <w:top w:val="none" w:sz="0" w:space="0" w:color="auto"/>
            <w:left w:val="none" w:sz="0" w:space="0" w:color="auto"/>
            <w:bottom w:val="none" w:sz="0" w:space="0" w:color="auto"/>
            <w:right w:val="none" w:sz="0" w:space="0" w:color="auto"/>
          </w:divBdr>
        </w:div>
        <w:div w:id="651061683">
          <w:marLeft w:val="0"/>
          <w:marRight w:val="0"/>
          <w:marTop w:val="0"/>
          <w:marBottom w:val="0"/>
          <w:divBdr>
            <w:top w:val="none" w:sz="0" w:space="0" w:color="auto"/>
            <w:left w:val="none" w:sz="0" w:space="0" w:color="auto"/>
            <w:bottom w:val="none" w:sz="0" w:space="0" w:color="auto"/>
            <w:right w:val="none" w:sz="0" w:space="0" w:color="auto"/>
          </w:divBdr>
        </w:div>
        <w:div w:id="653073128">
          <w:marLeft w:val="0"/>
          <w:marRight w:val="0"/>
          <w:marTop w:val="0"/>
          <w:marBottom w:val="0"/>
          <w:divBdr>
            <w:top w:val="none" w:sz="0" w:space="0" w:color="auto"/>
            <w:left w:val="none" w:sz="0" w:space="0" w:color="auto"/>
            <w:bottom w:val="none" w:sz="0" w:space="0" w:color="auto"/>
            <w:right w:val="none" w:sz="0" w:space="0" w:color="auto"/>
          </w:divBdr>
        </w:div>
        <w:div w:id="658579734">
          <w:marLeft w:val="0"/>
          <w:marRight w:val="0"/>
          <w:marTop w:val="0"/>
          <w:marBottom w:val="0"/>
          <w:divBdr>
            <w:top w:val="none" w:sz="0" w:space="0" w:color="auto"/>
            <w:left w:val="none" w:sz="0" w:space="0" w:color="auto"/>
            <w:bottom w:val="none" w:sz="0" w:space="0" w:color="auto"/>
            <w:right w:val="none" w:sz="0" w:space="0" w:color="auto"/>
          </w:divBdr>
        </w:div>
        <w:div w:id="662316817">
          <w:marLeft w:val="0"/>
          <w:marRight w:val="0"/>
          <w:marTop w:val="0"/>
          <w:marBottom w:val="0"/>
          <w:divBdr>
            <w:top w:val="none" w:sz="0" w:space="0" w:color="auto"/>
            <w:left w:val="none" w:sz="0" w:space="0" w:color="auto"/>
            <w:bottom w:val="none" w:sz="0" w:space="0" w:color="auto"/>
            <w:right w:val="none" w:sz="0" w:space="0" w:color="auto"/>
          </w:divBdr>
        </w:div>
        <w:div w:id="664018214">
          <w:marLeft w:val="0"/>
          <w:marRight w:val="0"/>
          <w:marTop w:val="0"/>
          <w:marBottom w:val="0"/>
          <w:divBdr>
            <w:top w:val="none" w:sz="0" w:space="0" w:color="auto"/>
            <w:left w:val="none" w:sz="0" w:space="0" w:color="auto"/>
            <w:bottom w:val="none" w:sz="0" w:space="0" w:color="auto"/>
            <w:right w:val="none" w:sz="0" w:space="0" w:color="auto"/>
          </w:divBdr>
        </w:div>
        <w:div w:id="670837018">
          <w:marLeft w:val="0"/>
          <w:marRight w:val="0"/>
          <w:marTop w:val="0"/>
          <w:marBottom w:val="0"/>
          <w:divBdr>
            <w:top w:val="none" w:sz="0" w:space="0" w:color="auto"/>
            <w:left w:val="none" w:sz="0" w:space="0" w:color="auto"/>
            <w:bottom w:val="none" w:sz="0" w:space="0" w:color="auto"/>
            <w:right w:val="none" w:sz="0" w:space="0" w:color="auto"/>
          </w:divBdr>
        </w:div>
        <w:div w:id="679233157">
          <w:marLeft w:val="0"/>
          <w:marRight w:val="0"/>
          <w:marTop w:val="0"/>
          <w:marBottom w:val="0"/>
          <w:divBdr>
            <w:top w:val="none" w:sz="0" w:space="0" w:color="auto"/>
            <w:left w:val="none" w:sz="0" w:space="0" w:color="auto"/>
            <w:bottom w:val="none" w:sz="0" w:space="0" w:color="auto"/>
            <w:right w:val="none" w:sz="0" w:space="0" w:color="auto"/>
          </w:divBdr>
        </w:div>
        <w:div w:id="687100231">
          <w:marLeft w:val="0"/>
          <w:marRight w:val="0"/>
          <w:marTop w:val="0"/>
          <w:marBottom w:val="0"/>
          <w:divBdr>
            <w:top w:val="none" w:sz="0" w:space="0" w:color="auto"/>
            <w:left w:val="none" w:sz="0" w:space="0" w:color="auto"/>
            <w:bottom w:val="none" w:sz="0" w:space="0" w:color="auto"/>
            <w:right w:val="none" w:sz="0" w:space="0" w:color="auto"/>
          </w:divBdr>
        </w:div>
        <w:div w:id="727799626">
          <w:marLeft w:val="0"/>
          <w:marRight w:val="0"/>
          <w:marTop w:val="0"/>
          <w:marBottom w:val="0"/>
          <w:divBdr>
            <w:top w:val="none" w:sz="0" w:space="0" w:color="auto"/>
            <w:left w:val="none" w:sz="0" w:space="0" w:color="auto"/>
            <w:bottom w:val="none" w:sz="0" w:space="0" w:color="auto"/>
            <w:right w:val="none" w:sz="0" w:space="0" w:color="auto"/>
          </w:divBdr>
        </w:div>
        <w:div w:id="736321456">
          <w:marLeft w:val="0"/>
          <w:marRight w:val="0"/>
          <w:marTop w:val="0"/>
          <w:marBottom w:val="0"/>
          <w:divBdr>
            <w:top w:val="none" w:sz="0" w:space="0" w:color="auto"/>
            <w:left w:val="none" w:sz="0" w:space="0" w:color="auto"/>
            <w:bottom w:val="none" w:sz="0" w:space="0" w:color="auto"/>
            <w:right w:val="none" w:sz="0" w:space="0" w:color="auto"/>
          </w:divBdr>
        </w:div>
        <w:div w:id="750543259">
          <w:marLeft w:val="0"/>
          <w:marRight w:val="0"/>
          <w:marTop w:val="0"/>
          <w:marBottom w:val="0"/>
          <w:divBdr>
            <w:top w:val="none" w:sz="0" w:space="0" w:color="auto"/>
            <w:left w:val="none" w:sz="0" w:space="0" w:color="auto"/>
            <w:bottom w:val="none" w:sz="0" w:space="0" w:color="auto"/>
            <w:right w:val="none" w:sz="0" w:space="0" w:color="auto"/>
          </w:divBdr>
        </w:div>
        <w:div w:id="754398708">
          <w:marLeft w:val="0"/>
          <w:marRight w:val="0"/>
          <w:marTop w:val="0"/>
          <w:marBottom w:val="0"/>
          <w:divBdr>
            <w:top w:val="none" w:sz="0" w:space="0" w:color="auto"/>
            <w:left w:val="none" w:sz="0" w:space="0" w:color="auto"/>
            <w:bottom w:val="none" w:sz="0" w:space="0" w:color="auto"/>
            <w:right w:val="none" w:sz="0" w:space="0" w:color="auto"/>
          </w:divBdr>
        </w:div>
        <w:div w:id="764230060">
          <w:marLeft w:val="0"/>
          <w:marRight w:val="0"/>
          <w:marTop w:val="0"/>
          <w:marBottom w:val="0"/>
          <w:divBdr>
            <w:top w:val="none" w:sz="0" w:space="0" w:color="auto"/>
            <w:left w:val="none" w:sz="0" w:space="0" w:color="auto"/>
            <w:bottom w:val="none" w:sz="0" w:space="0" w:color="auto"/>
            <w:right w:val="none" w:sz="0" w:space="0" w:color="auto"/>
          </w:divBdr>
        </w:div>
        <w:div w:id="807551617">
          <w:marLeft w:val="0"/>
          <w:marRight w:val="0"/>
          <w:marTop w:val="0"/>
          <w:marBottom w:val="0"/>
          <w:divBdr>
            <w:top w:val="none" w:sz="0" w:space="0" w:color="auto"/>
            <w:left w:val="none" w:sz="0" w:space="0" w:color="auto"/>
            <w:bottom w:val="none" w:sz="0" w:space="0" w:color="auto"/>
            <w:right w:val="none" w:sz="0" w:space="0" w:color="auto"/>
          </w:divBdr>
        </w:div>
        <w:div w:id="808328141">
          <w:marLeft w:val="0"/>
          <w:marRight w:val="0"/>
          <w:marTop w:val="0"/>
          <w:marBottom w:val="0"/>
          <w:divBdr>
            <w:top w:val="none" w:sz="0" w:space="0" w:color="auto"/>
            <w:left w:val="none" w:sz="0" w:space="0" w:color="auto"/>
            <w:bottom w:val="none" w:sz="0" w:space="0" w:color="auto"/>
            <w:right w:val="none" w:sz="0" w:space="0" w:color="auto"/>
          </w:divBdr>
        </w:div>
        <w:div w:id="811753380">
          <w:marLeft w:val="0"/>
          <w:marRight w:val="0"/>
          <w:marTop w:val="0"/>
          <w:marBottom w:val="0"/>
          <w:divBdr>
            <w:top w:val="none" w:sz="0" w:space="0" w:color="auto"/>
            <w:left w:val="none" w:sz="0" w:space="0" w:color="auto"/>
            <w:bottom w:val="none" w:sz="0" w:space="0" w:color="auto"/>
            <w:right w:val="none" w:sz="0" w:space="0" w:color="auto"/>
          </w:divBdr>
        </w:div>
        <w:div w:id="815683160">
          <w:marLeft w:val="0"/>
          <w:marRight w:val="0"/>
          <w:marTop w:val="0"/>
          <w:marBottom w:val="0"/>
          <w:divBdr>
            <w:top w:val="none" w:sz="0" w:space="0" w:color="auto"/>
            <w:left w:val="none" w:sz="0" w:space="0" w:color="auto"/>
            <w:bottom w:val="none" w:sz="0" w:space="0" w:color="auto"/>
            <w:right w:val="none" w:sz="0" w:space="0" w:color="auto"/>
          </w:divBdr>
        </w:div>
        <w:div w:id="819613095">
          <w:marLeft w:val="0"/>
          <w:marRight w:val="0"/>
          <w:marTop w:val="0"/>
          <w:marBottom w:val="0"/>
          <w:divBdr>
            <w:top w:val="none" w:sz="0" w:space="0" w:color="auto"/>
            <w:left w:val="none" w:sz="0" w:space="0" w:color="auto"/>
            <w:bottom w:val="none" w:sz="0" w:space="0" w:color="auto"/>
            <w:right w:val="none" w:sz="0" w:space="0" w:color="auto"/>
          </w:divBdr>
        </w:div>
        <w:div w:id="824785961">
          <w:marLeft w:val="0"/>
          <w:marRight w:val="0"/>
          <w:marTop w:val="0"/>
          <w:marBottom w:val="0"/>
          <w:divBdr>
            <w:top w:val="none" w:sz="0" w:space="0" w:color="auto"/>
            <w:left w:val="none" w:sz="0" w:space="0" w:color="auto"/>
            <w:bottom w:val="none" w:sz="0" w:space="0" w:color="auto"/>
            <w:right w:val="none" w:sz="0" w:space="0" w:color="auto"/>
          </w:divBdr>
        </w:div>
        <w:div w:id="825436520">
          <w:marLeft w:val="0"/>
          <w:marRight w:val="0"/>
          <w:marTop w:val="0"/>
          <w:marBottom w:val="0"/>
          <w:divBdr>
            <w:top w:val="none" w:sz="0" w:space="0" w:color="auto"/>
            <w:left w:val="none" w:sz="0" w:space="0" w:color="auto"/>
            <w:bottom w:val="none" w:sz="0" w:space="0" w:color="auto"/>
            <w:right w:val="none" w:sz="0" w:space="0" w:color="auto"/>
          </w:divBdr>
        </w:div>
        <w:div w:id="828326311">
          <w:marLeft w:val="0"/>
          <w:marRight w:val="0"/>
          <w:marTop w:val="0"/>
          <w:marBottom w:val="0"/>
          <w:divBdr>
            <w:top w:val="none" w:sz="0" w:space="0" w:color="auto"/>
            <w:left w:val="none" w:sz="0" w:space="0" w:color="auto"/>
            <w:bottom w:val="none" w:sz="0" w:space="0" w:color="auto"/>
            <w:right w:val="none" w:sz="0" w:space="0" w:color="auto"/>
          </w:divBdr>
        </w:div>
        <w:div w:id="833764354">
          <w:marLeft w:val="0"/>
          <w:marRight w:val="0"/>
          <w:marTop w:val="0"/>
          <w:marBottom w:val="0"/>
          <w:divBdr>
            <w:top w:val="none" w:sz="0" w:space="0" w:color="auto"/>
            <w:left w:val="none" w:sz="0" w:space="0" w:color="auto"/>
            <w:bottom w:val="none" w:sz="0" w:space="0" w:color="auto"/>
            <w:right w:val="none" w:sz="0" w:space="0" w:color="auto"/>
          </w:divBdr>
        </w:div>
        <w:div w:id="835223005">
          <w:marLeft w:val="0"/>
          <w:marRight w:val="0"/>
          <w:marTop w:val="0"/>
          <w:marBottom w:val="0"/>
          <w:divBdr>
            <w:top w:val="none" w:sz="0" w:space="0" w:color="auto"/>
            <w:left w:val="none" w:sz="0" w:space="0" w:color="auto"/>
            <w:bottom w:val="none" w:sz="0" w:space="0" w:color="auto"/>
            <w:right w:val="none" w:sz="0" w:space="0" w:color="auto"/>
          </w:divBdr>
        </w:div>
        <w:div w:id="837308179">
          <w:marLeft w:val="0"/>
          <w:marRight w:val="0"/>
          <w:marTop w:val="0"/>
          <w:marBottom w:val="0"/>
          <w:divBdr>
            <w:top w:val="none" w:sz="0" w:space="0" w:color="auto"/>
            <w:left w:val="none" w:sz="0" w:space="0" w:color="auto"/>
            <w:bottom w:val="none" w:sz="0" w:space="0" w:color="auto"/>
            <w:right w:val="none" w:sz="0" w:space="0" w:color="auto"/>
          </w:divBdr>
        </w:div>
        <w:div w:id="843857500">
          <w:marLeft w:val="0"/>
          <w:marRight w:val="0"/>
          <w:marTop w:val="0"/>
          <w:marBottom w:val="0"/>
          <w:divBdr>
            <w:top w:val="none" w:sz="0" w:space="0" w:color="auto"/>
            <w:left w:val="none" w:sz="0" w:space="0" w:color="auto"/>
            <w:bottom w:val="none" w:sz="0" w:space="0" w:color="auto"/>
            <w:right w:val="none" w:sz="0" w:space="0" w:color="auto"/>
          </w:divBdr>
        </w:div>
        <w:div w:id="859974994">
          <w:marLeft w:val="0"/>
          <w:marRight w:val="0"/>
          <w:marTop w:val="0"/>
          <w:marBottom w:val="0"/>
          <w:divBdr>
            <w:top w:val="none" w:sz="0" w:space="0" w:color="auto"/>
            <w:left w:val="none" w:sz="0" w:space="0" w:color="auto"/>
            <w:bottom w:val="none" w:sz="0" w:space="0" w:color="auto"/>
            <w:right w:val="none" w:sz="0" w:space="0" w:color="auto"/>
          </w:divBdr>
        </w:div>
        <w:div w:id="865025777">
          <w:marLeft w:val="0"/>
          <w:marRight w:val="0"/>
          <w:marTop w:val="0"/>
          <w:marBottom w:val="0"/>
          <w:divBdr>
            <w:top w:val="none" w:sz="0" w:space="0" w:color="auto"/>
            <w:left w:val="none" w:sz="0" w:space="0" w:color="auto"/>
            <w:bottom w:val="none" w:sz="0" w:space="0" w:color="auto"/>
            <w:right w:val="none" w:sz="0" w:space="0" w:color="auto"/>
          </w:divBdr>
        </w:div>
        <w:div w:id="868294886">
          <w:marLeft w:val="0"/>
          <w:marRight w:val="0"/>
          <w:marTop w:val="0"/>
          <w:marBottom w:val="0"/>
          <w:divBdr>
            <w:top w:val="none" w:sz="0" w:space="0" w:color="auto"/>
            <w:left w:val="none" w:sz="0" w:space="0" w:color="auto"/>
            <w:bottom w:val="none" w:sz="0" w:space="0" w:color="auto"/>
            <w:right w:val="none" w:sz="0" w:space="0" w:color="auto"/>
          </w:divBdr>
        </w:div>
        <w:div w:id="871384619">
          <w:marLeft w:val="0"/>
          <w:marRight w:val="0"/>
          <w:marTop w:val="0"/>
          <w:marBottom w:val="0"/>
          <w:divBdr>
            <w:top w:val="none" w:sz="0" w:space="0" w:color="auto"/>
            <w:left w:val="none" w:sz="0" w:space="0" w:color="auto"/>
            <w:bottom w:val="none" w:sz="0" w:space="0" w:color="auto"/>
            <w:right w:val="none" w:sz="0" w:space="0" w:color="auto"/>
          </w:divBdr>
        </w:div>
        <w:div w:id="883755941">
          <w:marLeft w:val="0"/>
          <w:marRight w:val="0"/>
          <w:marTop w:val="0"/>
          <w:marBottom w:val="0"/>
          <w:divBdr>
            <w:top w:val="none" w:sz="0" w:space="0" w:color="auto"/>
            <w:left w:val="none" w:sz="0" w:space="0" w:color="auto"/>
            <w:bottom w:val="none" w:sz="0" w:space="0" w:color="auto"/>
            <w:right w:val="none" w:sz="0" w:space="0" w:color="auto"/>
          </w:divBdr>
        </w:div>
        <w:div w:id="888420388">
          <w:marLeft w:val="0"/>
          <w:marRight w:val="0"/>
          <w:marTop w:val="0"/>
          <w:marBottom w:val="0"/>
          <w:divBdr>
            <w:top w:val="none" w:sz="0" w:space="0" w:color="auto"/>
            <w:left w:val="none" w:sz="0" w:space="0" w:color="auto"/>
            <w:bottom w:val="none" w:sz="0" w:space="0" w:color="auto"/>
            <w:right w:val="none" w:sz="0" w:space="0" w:color="auto"/>
          </w:divBdr>
        </w:div>
        <w:div w:id="901408321">
          <w:marLeft w:val="0"/>
          <w:marRight w:val="0"/>
          <w:marTop w:val="0"/>
          <w:marBottom w:val="0"/>
          <w:divBdr>
            <w:top w:val="none" w:sz="0" w:space="0" w:color="auto"/>
            <w:left w:val="none" w:sz="0" w:space="0" w:color="auto"/>
            <w:bottom w:val="none" w:sz="0" w:space="0" w:color="auto"/>
            <w:right w:val="none" w:sz="0" w:space="0" w:color="auto"/>
          </w:divBdr>
        </w:div>
        <w:div w:id="914703374">
          <w:marLeft w:val="0"/>
          <w:marRight w:val="0"/>
          <w:marTop w:val="0"/>
          <w:marBottom w:val="0"/>
          <w:divBdr>
            <w:top w:val="none" w:sz="0" w:space="0" w:color="auto"/>
            <w:left w:val="none" w:sz="0" w:space="0" w:color="auto"/>
            <w:bottom w:val="none" w:sz="0" w:space="0" w:color="auto"/>
            <w:right w:val="none" w:sz="0" w:space="0" w:color="auto"/>
          </w:divBdr>
        </w:div>
        <w:div w:id="951089806">
          <w:marLeft w:val="0"/>
          <w:marRight w:val="0"/>
          <w:marTop w:val="0"/>
          <w:marBottom w:val="0"/>
          <w:divBdr>
            <w:top w:val="none" w:sz="0" w:space="0" w:color="auto"/>
            <w:left w:val="none" w:sz="0" w:space="0" w:color="auto"/>
            <w:bottom w:val="none" w:sz="0" w:space="0" w:color="auto"/>
            <w:right w:val="none" w:sz="0" w:space="0" w:color="auto"/>
          </w:divBdr>
        </w:div>
        <w:div w:id="955404225">
          <w:marLeft w:val="0"/>
          <w:marRight w:val="0"/>
          <w:marTop w:val="0"/>
          <w:marBottom w:val="0"/>
          <w:divBdr>
            <w:top w:val="none" w:sz="0" w:space="0" w:color="auto"/>
            <w:left w:val="none" w:sz="0" w:space="0" w:color="auto"/>
            <w:bottom w:val="none" w:sz="0" w:space="0" w:color="auto"/>
            <w:right w:val="none" w:sz="0" w:space="0" w:color="auto"/>
          </w:divBdr>
        </w:div>
        <w:div w:id="964194635">
          <w:marLeft w:val="0"/>
          <w:marRight w:val="0"/>
          <w:marTop w:val="0"/>
          <w:marBottom w:val="0"/>
          <w:divBdr>
            <w:top w:val="none" w:sz="0" w:space="0" w:color="auto"/>
            <w:left w:val="none" w:sz="0" w:space="0" w:color="auto"/>
            <w:bottom w:val="none" w:sz="0" w:space="0" w:color="auto"/>
            <w:right w:val="none" w:sz="0" w:space="0" w:color="auto"/>
          </w:divBdr>
        </w:div>
        <w:div w:id="968776958">
          <w:marLeft w:val="0"/>
          <w:marRight w:val="0"/>
          <w:marTop w:val="0"/>
          <w:marBottom w:val="0"/>
          <w:divBdr>
            <w:top w:val="none" w:sz="0" w:space="0" w:color="auto"/>
            <w:left w:val="none" w:sz="0" w:space="0" w:color="auto"/>
            <w:bottom w:val="none" w:sz="0" w:space="0" w:color="auto"/>
            <w:right w:val="none" w:sz="0" w:space="0" w:color="auto"/>
          </w:divBdr>
        </w:div>
        <w:div w:id="982464461">
          <w:marLeft w:val="0"/>
          <w:marRight w:val="0"/>
          <w:marTop w:val="0"/>
          <w:marBottom w:val="0"/>
          <w:divBdr>
            <w:top w:val="none" w:sz="0" w:space="0" w:color="auto"/>
            <w:left w:val="none" w:sz="0" w:space="0" w:color="auto"/>
            <w:bottom w:val="none" w:sz="0" w:space="0" w:color="auto"/>
            <w:right w:val="none" w:sz="0" w:space="0" w:color="auto"/>
          </w:divBdr>
        </w:div>
        <w:div w:id="987131063">
          <w:marLeft w:val="0"/>
          <w:marRight w:val="0"/>
          <w:marTop w:val="0"/>
          <w:marBottom w:val="0"/>
          <w:divBdr>
            <w:top w:val="none" w:sz="0" w:space="0" w:color="auto"/>
            <w:left w:val="none" w:sz="0" w:space="0" w:color="auto"/>
            <w:bottom w:val="none" w:sz="0" w:space="0" w:color="auto"/>
            <w:right w:val="none" w:sz="0" w:space="0" w:color="auto"/>
          </w:divBdr>
        </w:div>
        <w:div w:id="998578946">
          <w:marLeft w:val="0"/>
          <w:marRight w:val="0"/>
          <w:marTop w:val="0"/>
          <w:marBottom w:val="0"/>
          <w:divBdr>
            <w:top w:val="none" w:sz="0" w:space="0" w:color="auto"/>
            <w:left w:val="none" w:sz="0" w:space="0" w:color="auto"/>
            <w:bottom w:val="none" w:sz="0" w:space="0" w:color="auto"/>
            <w:right w:val="none" w:sz="0" w:space="0" w:color="auto"/>
          </w:divBdr>
        </w:div>
        <w:div w:id="1008406401">
          <w:marLeft w:val="0"/>
          <w:marRight w:val="0"/>
          <w:marTop w:val="0"/>
          <w:marBottom w:val="0"/>
          <w:divBdr>
            <w:top w:val="none" w:sz="0" w:space="0" w:color="auto"/>
            <w:left w:val="none" w:sz="0" w:space="0" w:color="auto"/>
            <w:bottom w:val="none" w:sz="0" w:space="0" w:color="auto"/>
            <w:right w:val="none" w:sz="0" w:space="0" w:color="auto"/>
          </w:divBdr>
        </w:div>
        <w:div w:id="1019307978">
          <w:marLeft w:val="0"/>
          <w:marRight w:val="0"/>
          <w:marTop w:val="0"/>
          <w:marBottom w:val="0"/>
          <w:divBdr>
            <w:top w:val="none" w:sz="0" w:space="0" w:color="auto"/>
            <w:left w:val="none" w:sz="0" w:space="0" w:color="auto"/>
            <w:bottom w:val="none" w:sz="0" w:space="0" w:color="auto"/>
            <w:right w:val="none" w:sz="0" w:space="0" w:color="auto"/>
          </w:divBdr>
        </w:div>
        <w:div w:id="1028141220">
          <w:marLeft w:val="0"/>
          <w:marRight w:val="0"/>
          <w:marTop w:val="0"/>
          <w:marBottom w:val="0"/>
          <w:divBdr>
            <w:top w:val="none" w:sz="0" w:space="0" w:color="auto"/>
            <w:left w:val="none" w:sz="0" w:space="0" w:color="auto"/>
            <w:bottom w:val="none" w:sz="0" w:space="0" w:color="auto"/>
            <w:right w:val="none" w:sz="0" w:space="0" w:color="auto"/>
          </w:divBdr>
        </w:div>
        <w:div w:id="1035231350">
          <w:marLeft w:val="0"/>
          <w:marRight w:val="0"/>
          <w:marTop w:val="0"/>
          <w:marBottom w:val="0"/>
          <w:divBdr>
            <w:top w:val="none" w:sz="0" w:space="0" w:color="auto"/>
            <w:left w:val="none" w:sz="0" w:space="0" w:color="auto"/>
            <w:bottom w:val="none" w:sz="0" w:space="0" w:color="auto"/>
            <w:right w:val="none" w:sz="0" w:space="0" w:color="auto"/>
          </w:divBdr>
        </w:div>
        <w:div w:id="1043672727">
          <w:marLeft w:val="0"/>
          <w:marRight w:val="0"/>
          <w:marTop w:val="0"/>
          <w:marBottom w:val="0"/>
          <w:divBdr>
            <w:top w:val="none" w:sz="0" w:space="0" w:color="auto"/>
            <w:left w:val="none" w:sz="0" w:space="0" w:color="auto"/>
            <w:bottom w:val="none" w:sz="0" w:space="0" w:color="auto"/>
            <w:right w:val="none" w:sz="0" w:space="0" w:color="auto"/>
          </w:divBdr>
        </w:div>
        <w:div w:id="1049837336">
          <w:marLeft w:val="0"/>
          <w:marRight w:val="0"/>
          <w:marTop w:val="0"/>
          <w:marBottom w:val="0"/>
          <w:divBdr>
            <w:top w:val="none" w:sz="0" w:space="0" w:color="auto"/>
            <w:left w:val="none" w:sz="0" w:space="0" w:color="auto"/>
            <w:bottom w:val="none" w:sz="0" w:space="0" w:color="auto"/>
            <w:right w:val="none" w:sz="0" w:space="0" w:color="auto"/>
          </w:divBdr>
        </w:div>
        <w:div w:id="1077165638">
          <w:marLeft w:val="0"/>
          <w:marRight w:val="0"/>
          <w:marTop w:val="0"/>
          <w:marBottom w:val="0"/>
          <w:divBdr>
            <w:top w:val="none" w:sz="0" w:space="0" w:color="auto"/>
            <w:left w:val="none" w:sz="0" w:space="0" w:color="auto"/>
            <w:bottom w:val="none" w:sz="0" w:space="0" w:color="auto"/>
            <w:right w:val="none" w:sz="0" w:space="0" w:color="auto"/>
          </w:divBdr>
        </w:div>
        <w:div w:id="1077558635">
          <w:marLeft w:val="0"/>
          <w:marRight w:val="0"/>
          <w:marTop w:val="0"/>
          <w:marBottom w:val="0"/>
          <w:divBdr>
            <w:top w:val="none" w:sz="0" w:space="0" w:color="auto"/>
            <w:left w:val="none" w:sz="0" w:space="0" w:color="auto"/>
            <w:bottom w:val="none" w:sz="0" w:space="0" w:color="auto"/>
            <w:right w:val="none" w:sz="0" w:space="0" w:color="auto"/>
          </w:divBdr>
        </w:div>
        <w:div w:id="1102264295">
          <w:marLeft w:val="0"/>
          <w:marRight w:val="0"/>
          <w:marTop w:val="0"/>
          <w:marBottom w:val="0"/>
          <w:divBdr>
            <w:top w:val="none" w:sz="0" w:space="0" w:color="auto"/>
            <w:left w:val="none" w:sz="0" w:space="0" w:color="auto"/>
            <w:bottom w:val="none" w:sz="0" w:space="0" w:color="auto"/>
            <w:right w:val="none" w:sz="0" w:space="0" w:color="auto"/>
          </w:divBdr>
        </w:div>
        <w:div w:id="1105998469">
          <w:marLeft w:val="0"/>
          <w:marRight w:val="0"/>
          <w:marTop w:val="0"/>
          <w:marBottom w:val="0"/>
          <w:divBdr>
            <w:top w:val="none" w:sz="0" w:space="0" w:color="auto"/>
            <w:left w:val="none" w:sz="0" w:space="0" w:color="auto"/>
            <w:bottom w:val="none" w:sz="0" w:space="0" w:color="auto"/>
            <w:right w:val="none" w:sz="0" w:space="0" w:color="auto"/>
          </w:divBdr>
        </w:div>
        <w:div w:id="1113944153">
          <w:marLeft w:val="0"/>
          <w:marRight w:val="0"/>
          <w:marTop w:val="0"/>
          <w:marBottom w:val="0"/>
          <w:divBdr>
            <w:top w:val="none" w:sz="0" w:space="0" w:color="auto"/>
            <w:left w:val="none" w:sz="0" w:space="0" w:color="auto"/>
            <w:bottom w:val="none" w:sz="0" w:space="0" w:color="auto"/>
            <w:right w:val="none" w:sz="0" w:space="0" w:color="auto"/>
          </w:divBdr>
        </w:div>
        <w:div w:id="1124080604">
          <w:marLeft w:val="0"/>
          <w:marRight w:val="0"/>
          <w:marTop w:val="0"/>
          <w:marBottom w:val="0"/>
          <w:divBdr>
            <w:top w:val="none" w:sz="0" w:space="0" w:color="auto"/>
            <w:left w:val="none" w:sz="0" w:space="0" w:color="auto"/>
            <w:bottom w:val="none" w:sz="0" w:space="0" w:color="auto"/>
            <w:right w:val="none" w:sz="0" w:space="0" w:color="auto"/>
          </w:divBdr>
        </w:div>
        <w:div w:id="1139221624">
          <w:marLeft w:val="0"/>
          <w:marRight w:val="0"/>
          <w:marTop w:val="0"/>
          <w:marBottom w:val="0"/>
          <w:divBdr>
            <w:top w:val="none" w:sz="0" w:space="0" w:color="auto"/>
            <w:left w:val="none" w:sz="0" w:space="0" w:color="auto"/>
            <w:bottom w:val="none" w:sz="0" w:space="0" w:color="auto"/>
            <w:right w:val="none" w:sz="0" w:space="0" w:color="auto"/>
          </w:divBdr>
        </w:div>
        <w:div w:id="1147552828">
          <w:marLeft w:val="0"/>
          <w:marRight w:val="0"/>
          <w:marTop w:val="0"/>
          <w:marBottom w:val="0"/>
          <w:divBdr>
            <w:top w:val="none" w:sz="0" w:space="0" w:color="auto"/>
            <w:left w:val="none" w:sz="0" w:space="0" w:color="auto"/>
            <w:bottom w:val="none" w:sz="0" w:space="0" w:color="auto"/>
            <w:right w:val="none" w:sz="0" w:space="0" w:color="auto"/>
          </w:divBdr>
        </w:div>
        <w:div w:id="1178620970">
          <w:marLeft w:val="0"/>
          <w:marRight w:val="0"/>
          <w:marTop w:val="0"/>
          <w:marBottom w:val="0"/>
          <w:divBdr>
            <w:top w:val="none" w:sz="0" w:space="0" w:color="auto"/>
            <w:left w:val="none" w:sz="0" w:space="0" w:color="auto"/>
            <w:bottom w:val="none" w:sz="0" w:space="0" w:color="auto"/>
            <w:right w:val="none" w:sz="0" w:space="0" w:color="auto"/>
          </w:divBdr>
        </w:div>
        <w:div w:id="1229614255">
          <w:marLeft w:val="0"/>
          <w:marRight w:val="0"/>
          <w:marTop w:val="0"/>
          <w:marBottom w:val="0"/>
          <w:divBdr>
            <w:top w:val="none" w:sz="0" w:space="0" w:color="auto"/>
            <w:left w:val="none" w:sz="0" w:space="0" w:color="auto"/>
            <w:bottom w:val="none" w:sz="0" w:space="0" w:color="auto"/>
            <w:right w:val="none" w:sz="0" w:space="0" w:color="auto"/>
          </w:divBdr>
        </w:div>
        <w:div w:id="1234508844">
          <w:marLeft w:val="0"/>
          <w:marRight w:val="0"/>
          <w:marTop w:val="0"/>
          <w:marBottom w:val="0"/>
          <w:divBdr>
            <w:top w:val="none" w:sz="0" w:space="0" w:color="auto"/>
            <w:left w:val="none" w:sz="0" w:space="0" w:color="auto"/>
            <w:bottom w:val="none" w:sz="0" w:space="0" w:color="auto"/>
            <w:right w:val="none" w:sz="0" w:space="0" w:color="auto"/>
          </w:divBdr>
        </w:div>
        <w:div w:id="1255670974">
          <w:marLeft w:val="0"/>
          <w:marRight w:val="0"/>
          <w:marTop w:val="0"/>
          <w:marBottom w:val="0"/>
          <w:divBdr>
            <w:top w:val="none" w:sz="0" w:space="0" w:color="auto"/>
            <w:left w:val="none" w:sz="0" w:space="0" w:color="auto"/>
            <w:bottom w:val="none" w:sz="0" w:space="0" w:color="auto"/>
            <w:right w:val="none" w:sz="0" w:space="0" w:color="auto"/>
          </w:divBdr>
        </w:div>
        <w:div w:id="1257595585">
          <w:marLeft w:val="0"/>
          <w:marRight w:val="0"/>
          <w:marTop w:val="0"/>
          <w:marBottom w:val="0"/>
          <w:divBdr>
            <w:top w:val="none" w:sz="0" w:space="0" w:color="auto"/>
            <w:left w:val="none" w:sz="0" w:space="0" w:color="auto"/>
            <w:bottom w:val="none" w:sz="0" w:space="0" w:color="auto"/>
            <w:right w:val="none" w:sz="0" w:space="0" w:color="auto"/>
          </w:divBdr>
        </w:div>
        <w:div w:id="1272202429">
          <w:marLeft w:val="0"/>
          <w:marRight w:val="0"/>
          <w:marTop w:val="0"/>
          <w:marBottom w:val="0"/>
          <w:divBdr>
            <w:top w:val="none" w:sz="0" w:space="0" w:color="auto"/>
            <w:left w:val="none" w:sz="0" w:space="0" w:color="auto"/>
            <w:bottom w:val="none" w:sz="0" w:space="0" w:color="auto"/>
            <w:right w:val="none" w:sz="0" w:space="0" w:color="auto"/>
          </w:divBdr>
        </w:div>
        <w:div w:id="1294096304">
          <w:marLeft w:val="0"/>
          <w:marRight w:val="0"/>
          <w:marTop w:val="0"/>
          <w:marBottom w:val="0"/>
          <w:divBdr>
            <w:top w:val="none" w:sz="0" w:space="0" w:color="auto"/>
            <w:left w:val="none" w:sz="0" w:space="0" w:color="auto"/>
            <w:bottom w:val="none" w:sz="0" w:space="0" w:color="auto"/>
            <w:right w:val="none" w:sz="0" w:space="0" w:color="auto"/>
          </w:divBdr>
        </w:div>
        <w:div w:id="1297907670">
          <w:marLeft w:val="0"/>
          <w:marRight w:val="0"/>
          <w:marTop w:val="0"/>
          <w:marBottom w:val="0"/>
          <w:divBdr>
            <w:top w:val="none" w:sz="0" w:space="0" w:color="auto"/>
            <w:left w:val="none" w:sz="0" w:space="0" w:color="auto"/>
            <w:bottom w:val="none" w:sz="0" w:space="0" w:color="auto"/>
            <w:right w:val="none" w:sz="0" w:space="0" w:color="auto"/>
          </w:divBdr>
        </w:div>
        <w:div w:id="1310745611">
          <w:marLeft w:val="0"/>
          <w:marRight w:val="0"/>
          <w:marTop w:val="0"/>
          <w:marBottom w:val="0"/>
          <w:divBdr>
            <w:top w:val="none" w:sz="0" w:space="0" w:color="auto"/>
            <w:left w:val="none" w:sz="0" w:space="0" w:color="auto"/>
            <w:bottom w:val="none" w:sz="0" w:space="0" w:color="auto"/>
            <w:right w:val="none" w:sz="0" w:space="0" w:color="auto"/>
          </w:divBdr>
        </w:div>
        <w:div w:id="1341391810">
          <w:marLeft w:val="0"/>
          <w:marRight w:val="0"/>
          <w:marTop w:val="0"/>
          <w:marBottom w:val="0"/>
          <w:divBdr>
            <w:top w:val="none" w:sz="0" w:space="0" w:color="auto"/>
            <w:left w:val="none" w:sz="0" w:space="0" w:color="auto"/>
            <w:bottom w:val="none" w:sz="0" w:space="0" w:color="auto"/>
            <w:right w:val="none" w:sz="0" w:space="0" w:color="auto"/>
          </w:divBdr>
        </w:div>
        <w:div w:id="1350640967">
          <w:marLeft w:val="0"/>
          <w:marRight w:val="0"/>
          <w:marTop w:val="0"/>
          <w:marBottom w:val="0"/>
          <w:divBdr>
            <w:top w:val="none" w:sz="0" w:space="0" w:color="auto"/>
            <w:left w:val="none" w:sz="0" w:space="0" w:color="auto"/>
            <w:bottom w:val="none" w:sz="0" w:space="0" w:color="auto"/>
            <w:right w:val="none" w:sz="0" w:space="0" w:color="auto"/>
          </w:divBdr>
        </w:div>
        <w:div w:id="1354260650">
          <w:marLeft w:val="0"/>
          <w:marRight w:val="0"/>
          <w:marTop w:val="0"/>
          <w:marBottom w:val="0"/>
          <w:divBdr>
            <w:top w:val="none" w:sz="0" w:space="0" w:color="auto"/>
            <w:left w:val="none" w:sz="0" w:space="0" w:color="auto"/>
            <w:bottom w:val="none" w:sz="0" w:space="0" w:color="auto"/>
            <w:right w:val="none" w:sz="0" w:space="0" w:color="auto"/>
          </w:divBdr>
        </w:div>
        <w:div w:id="1380975182">
          <w:marLeft w:val="0"/>
          <w:marRight w:val="0"/>
          <w:marTop w:val="0"/>
          <w:marBottom w:val="0"/>
          <w:divBdr>
            <w:top w:val="none" w:sz="0" w:space="0" w:color="auto"/>
            <w:left w:val="none" w:sz="0" w:space="0" w:color="auto"/>
            <w:bottom w:val="none" w:sz="0" w:space="0" w:color="auto"/>
            <w:right w:val="none" w:sz="0" w:space="0" w:color="auto"/>
          </w:divBdr>
        </w:div>
        <w:div w:id="1395854908">
          <w:marLeft w:val="0"/>
          <w:marRight w:val="0"/>
          <w:marTop w:val="0"/>
          <w:marBottom w:val="0"/>
          <w:divBdr>
            <w:top w:val="none" w:sz="0" w:space="0" w:color="auto"/>
            <w:left w:val="none" w:sz="0" w:space="0" w:color="auto"/>
            <w:bottom w:val="none" w:sz="0" w:space="0" w:color="auto"/>
            <w:right w:val="none" w:sz="0" w:space="0" w:color="auto"/>
          </w:divBdr>
        </w:div>
        <w:div w:id="1399129918">
          <w:marLeft w:val="0"/>
          <w:marRight w:val="0"/>
          <w:marTop w:val="0"/>
          <w:marBottom w:val="0"/>
          <w:divBdr>
            <w:top w:val="none" w:sz="0" w:space="0" w:color="auto"/>
            <w:left w:val="none" w:sz="0" w:space="0" w:color="auto"/>
            <w:bottom w:val="none" w:sz="0" w:space="0" w:color="auto"/>
            <w:right w:val="none" w:sz="0" w:space="0" w:color="auto"/>
          </w:divBdr>
        </w:div>
        <w:div w:id="1403410906">
          <w:marLeft w:val="0"/>
          <w:marRight w:val="0"/>
          <w:marTop w:val="0"/>
          <w:marBottom w:val="0"/>
          <w:divBdr>
            <w:top w:val="none" w:sz="0" w:space="0" w:color="auto"/>
            <w:left w:val="none" w:sz="0" w:space="0" w:color="auto"/>
            <w:bottom w:val="none" w:sz="0" w:space="0" w:color="auto"/>
            <w:right w:val="none" w:sz="0" w:space="0" w:color="auto"/>
          </w:divBdr>
        </w:div>
        <w:div w:id="1433665769">
          <w:marLeft w:val="0"/>
          <w:marRight w:val="0"/>
          <w:marTop w:val="0"/>
          <w:marBottom w:val="0"/>
          <w:divBdr>
            <w:top w:val="none" w:sz="0" w:space="0" w:color="auto"/>
            <w:left w:val="none" w:sz="0" w:space="0" w:color="auto"/>
            <w:bottom w:val="none" w:sz="0" w:space="0" w:color="auto"/>
            <w:right w:val="none" w:sz="0" w:space="0" w:color="auto"/>
          </w:divBdr>
        </w:div>
        <w:div w:id="1442454949">
          <w:marLeft w:val="0"/>
          <w:marRight w:val="0"/>
          <w:marTop w:val="0"/>
          <w:marBottom w:val="0"/>
          <w:divBdr>
            <w:top w:val="none" w:sz="0" w:space="0" w:color="auto"/>
            <w:left w:val="none" w:sz="0" w:space="0" w:color="auto"/>
            <w:bottom w:val="none" w:sz="0" w:space="0" w:color="auto"/>
            <w:right w:val="none" w:sz="0" w:space="0" w:color="auto"/>
          </w:divBdr>
        </w:div>
        <w:div w:id="1470971549">
          <w:marLeft w:val="0"/>
          <w:marRight w:val="0"/>
          <w:marTop w:val="0"/>
          <w:marBottom w:val="0"/>
          <w:divBdr>
            <w:top w:val="none" w:sz="0" w:space="0" w:color="auto"/>
            <w:left w:val="none" w:sz="0" w:space="0" w:color="auto"/>
            <w:bottom w:val="none" w:sz="0" w:space="0" w:color="auto"/>
            <w:right w:val="none" w:sz="0" w:space="0" w:color="auto"/>
          </w:divBdr>
        </w:div>
        <w:div w:id="1472013253">
          <w:marLeft w:val="0"/>
          <w:marRight w:val="0"/>
          <w:marTop w:val="0"/>
          <w:marBottom w:val="0"/>
          <w:divBdr>
            <w:top w:val="none" w:sz="0" w:space="0" w:color="auto"/>
            <w:left w:val="none" w:sz="0" w:space="0" w:color="auto"/>
            <w:bottom w:val="none" w:sz="0" w:space="0" w:color="auto"/>
            <w:right w:val="none" w:sz="0" w:space="0" w:color="auto"/>
          </w:divBdr>
        </w:div>
        <w:div w:id="1489050372">
          <w:marLeft w:val="0"/>
          <w:marRight w:val="0"/>
          <w:marTop w:val="0"/>
          <w:marBottom w:val="0"/>
          <w:divBdr>
            <w:top w:val="none" w:sz="0" w:space="0" w:color="auto"/>
            <w:left w:val="none" w:sz="0" w:space="0" w:color="auto"/>
            <w:bottom w:val="none" w:sz="0" w:space="0" w:color="auto"/>
            <w:right w:val="none" w:sz="0" w:space="0" w:color="auto"/>
          </w:divBdr>
        </w:div>
        <w:div w:id="1490249617">
          <w:marLeft w:val="0"/>
          <w:marRight w:val="0"/>
          <w:marTop w:val="0"/>
          <w:marBottom w:val="0"/>
          <w:divBdr>
            <w:top w:val="none" w:sz="0" w:space="0" w:color="auto"/>
            <w:left w:val="none" w:sz="0" w:space="0" w:color="auto"/>
            <w:bottom w:val="none" w:sz="0" w:space="0" w:color="auto"/>
            <w:right w:val="none" w:sz="0" w:space="0" w:color="auto"/>
          </w:divBdr>
        </w:div>
        <w:div w:id="1500736335">
          <w:marLeft w:val="0"/>
          <w:marRight w:val="0"/>
          <w:marTop w:val="0"/>
          <w:marBottom w:val="0"/>
          <w:divBdr>
            <w:top w:val="none" w:sz="0" w:space="0" w:color="auto"/>
            <w:left w:val="none" w:sz="0" w:space="0" w:color="auto"/>
            <w:bottom w:val="none" w:sz="0" w:space="0" w:color="auto"/>
            <w:right w:val="none" w:sz="0" w:space="0" w:color="auto"/>
          </w:divBdr>
        </w:div>
        <w:div w:id="1501582579">
          <w:marLeft w:val="0"/>
          <w:marRight w:val="0"/>
          <w:marTop w:val="0"/>
          <w:marBottom w:val="0"/>
          <w:divBdr>
            <w:top w:val="none" w:sz="0" w:space="0" w:color="auto"/>
            <w:left w:val="none" w:sz="0" w:space="0" w:color="auto"/>
            <w:bottom w:val="none" w:sz="0" w:space="0" w:color="auto"/>
            <w:right w:val="none" w:sz="0" w:space="0" w:color="auto"/>
          </w:divBdr>
        </w:div>
        <w:div w:id="1508861938">
          <w:marLeft w:val="0"/>
          <w:marRight w:val="0"/>
          <w:marTop w:val="0"/>
          <w:marBottom w:val="0"/>
          <w:divBdr>
            <w:top w:val="none" w:sz="0" w:space="0" w:color="auto"/>
            <w:left w:val="none" w:sz="0" w:space="0" w:color="auto"/>
            <w:bottom w:val="none" w:sz="0" w:space="0" w:color="auto"/>
            <w:right w:val="none" w:sz="0" w:space="0" w:color="auto"/>
          </w:divBdr>
        </w:div>
        <w:div w:id="1526868012">
          <w:marLeft w:val="0"/>
          <w:marRight w:val="0"/>
          <w:marTop w:val="0"/>
          <w:marBottom w:val="0"/>
          <w:divBdr>
            <w:top w:val="none" w:sz="0" w:space="0" w:color="auto"/>
            <w:left w:val="none" w:sz="0" w:space="0" w:color="auto"/>
            <w:bottom w:val="none" w:sz="0" w:space="0" w:color="auto"/>
            <w:right w:val="none" w:sz="0" w:space="0" w:color="auto"/>
          </w:divBdr>
        </w:div>
        <w:div w:id="1526946002">
          <w:marLeft w:val="0"/>
          <w:marRight w:val="0"/>
          <w:marTop w:val="0"/>
          <w:marBottom w:val="0"/>
          <w:divBdr>
            <w:top w:val="none" w:sz="0" w:space="0" w:color="auto"/>
            <w:left w:val="none" w:sz="0" w:space="0" w:color="auto"/>
            <w:bottom w:val="none" w:sz="0" w:space="0" w:color="auto"/>
            <w:right w:val="none" w:sz="0" w:space="0" w:color="auto"/>
          </w:divBdr>
        </w:div>
        <w:div w:id="1536306412">
          <w:marLeft w:val="0"/>
          <w:marRight w:val="0"/>
          <w:marTop w:val="0"/>
          <w:marBottom w:val="0"/>
          <w:divBdr>
            <w:top w:val="none" w:sz="0" w:space="0" w:color="auto"/>
            <w:left w:val="none" w:sz="0" w:space="0" w:color="auto"/>
            <w:bottom w:val="none" w:sz="0" w:space="0" w:color="auto"/>
            <w:right w:val="none" w:sz="0" w:space="0" w:color="auto"/>
          </w:divBdr>
        </w:div>
        <w:div w:id="1536456486">
          <w:marLeft w:val="0"/>
          <w:marRight w:val="0"/>
          <w:marTop w:val="0"/>
          <w:marBottom w:val="0"/>
          <w:divBdr>
            <w:top w:val="none" w:sz="0" w:space="0" w:color="auto"/>
            <w:left w:val="none" w:sz="0" w:space="0" w:color="auto"/>
            <w:bottom w:val="none" w:sz="0" w:space="0" w:color="auto"/>
            <w:right w:val="none" w:sz="0" w:space="0" w:color="auto"/>
          </w:divBdr>
        </w:div>
        <w:div w:id="1549951675">
          <w:marLeft w:val="0"/>
          <w:marRight w:val="0"/>
          <w:marTop w:val="0"/>
          <w:marBottom w:val="0"/>
          <w:divBdr>
            <w:top w:val="none" w:sz="0" w:space="0" w:color="auto"/>
            <w:left w:val="none" w:sz="0" w:space="0" w:color="auto"/>
            <w:bottom w:val="none" w:sz="0" w:space="0" w:color="auto"/>
            <w:right w:val="none" w:sz="0" w:space="0" w:color="auto"/>
          </w:divBdr>
        </w:div>
        <w:div w:id="1563249414">
          <w:marLeft w:val="0"/>
          <w:marRight w:val="0"/>
          <w:marTop w:val="0"/>
          <w:marBottom w:val="0"/>
          <w:divBdr>
            <w:top w:val="none" w:sz="0" w:space="0" w:color="auto"/>
            <w:left w:val="none" w:sz="0" w:space="0" w:color="auto"/>
            <w:bottom w:val="none" w:sz="0" w:space="0" w:color="auto"/>
            <w:right w:val="none" w:sz="0" w:space="0" w:color="auto"/>
          </w:divBdr>
        </w:div>
        <w:div w:id="1564292808">
          <w:marLeft w:val="0"/>
          <w:marRight w:val="0"/>
          <w:marTop w:val="0"/>
          <w:marBottom w:val="0"/>
          <w:divBdr>
            <w:top w:val="none" w:sz="0" w:space="0" w:color="auto"/>
            <w:left w:val="none" w:sz="0" w:space="0" w:color="auto"/>
            <w:bottom w:val="none" w:sz="0" w:space="0" w:color="auto"/>
            <w:right w:val="none" w:sz="0" w:space="0" w:color="auto"/>
          </w:divBdr>
        </w:div>
        <w:div w:id="1589998552">
          <w:marLeft w:val="0"/>
          <w:marRight w:val="0"/>
          <w:marTop w:val="0"/>
          <w:marBottom w:val="0"/>
          <w:divBdr>
            <w:top w:val="none" w:sz="0" w:space="0" w:color="auto"/>
            <w:left w:val="none" w:sz="0" w:space="0" w:color="auto"/>
            <w:bottom w:val="none" w:sz="0" w:space="0" w:color="auto"/>
            <w:right w:val="none" w:sz="0" w:space="0" w:color="auto"/>
          </w:divBdr>
        </w:div>
        <w:div w:id="1598102476">
          <w:marLeft w:val="0"/>
          <w:marRight w:val="0"/>
          <w:marTop w:val="0"/>
          <w:marBottom w:val="0"/>
          <w:divBdr>
            <w:top w:val="none" w:sz="0" w:space="0" w:color="auto"/>
            <w:left w:val="none" w:sz="0" w:space="0" w:color="auto"/>
            <w:bottom w:val="none" w:sz="0" w:space="0" w:color="auto"/>
            <w:right w:val="none" w:sz="0" w:space="0" w:color="auto"/>
          </w:divBdr>
        </w:div>
        <w:div w:id="1607301535">
          <w:marLeft w:val="0"/>
          <w:marRight w:val="0"/>
          <w:marTop w:val="0"/>
          <w:marBottom w:val="0"/>
          <w:divBdr>
            <w:top w:val="none" w:sz="0" w:space="0" w:color="auto"/>
            <w:left w:val="none" w:sz="0" w:space="0" w:color="auto"/>
            <w:bottom w:val="none" w:sz="0" w:space="0" w:color="auto"/>
            <w:right w:val="none" w:sz="0" w:space="0" w:color="auto"/>
          </w:divBdr>
        </w:div>
        <w:div w:id="1637489482">
          <w:marLeft w:val="0"/>
          <w:marRight w:val="0"/>
          <w:marTop w:val="0"/>
          <w:marBottom w:val="0"/>
          <w:divBdr>
            <w:top w:val="none" w:sz="0" w:space="0" w:color="auto"/>
            <w:left w:val="none" w:sz="0" w:space="0" w:color="auto"/>
            <w:bottom w:val="none" w:sz="0" w:space="0" w:color="auto"/>
            <w:right w:val="none" w:sz="0" w:space="0" w:color="auto"/>
          </w:divBdr>
        </w:div>
        <w:div w:id="1659655753">
          <w:marLeft w:val="0"/>
          <w:marRight w:val="0"/>
          <w:marTop w:val="0"/>
          <w:marBottom w:val="0"/>
          <w:divBdr>
            <w:top w:val="none" w:sz="0" w:space="0" w:color="auto"/>
            <w:left w:val="none" w:sz="0" w:space="0" w:color="auto"/>
            <w:bottom w:val="none" w:sz="0" w:space="0" w:color="auto"/>
            <w:right w:val="none" w:sz="0" w:space="0" w:color="auto"/>
          </w:divBdr>
        </w:div>
        <w:div w:id="1684092764">
          <w:marLeft w:val="0"/>
          <w:marRight w:val="0"/>
          <w:marTop w:val="0"/>
          <w:marBottom w:val="0"/>
          <w:divBdr>
            <w:top w:val="none" w:sz="0" w:space="0" w:color="auto"/>
            <w:left w:val="none" w:sz="0" w:space="0" w:color="auto"/>
            <w:bottom w:val="none" w:sz="0" w:space="0" w:color="auto"/>
            <w:right w:val="none" w:sz="0" w:space="0" w:color="auto"/>
          </w:divBdr>
        </w:div>
        <w:div w:id="1687173448">
          <w:marLeft w:val="0"/>
          <w:marRight w:val="0"/>
          <w:marTop w:val="0"/>
          <w:marBottom w:val="0"/>
          <w:divBdr>
            <w:top w:val="none" w:sz="0" w:space="0" w:color="auto"/>
            <w:left w:val="none" w:sz="0" w:space="0" w:color="auto"/>
            <w:bottom w:val="none" w:sz="0" w:space="0" w:color="auto"/>
            <w:right w:val="none" w:sz="0" w:space="0" w:color="auto"/>
          </w:divBdr>
        </w:div>
        <w:div w:id="1689680195">
          <w:marLeft w:val="0"/>
          <w:marRight w:val="0"/>
          <w:marTop w:val="0"/>
          <w:marBottom w:val="0"/>
          <w:divBdr>
            <w:top w:val="none" w:sz="0" w:space="0" w:color="auto"/>
            <w:left w:val="none" w:sz="0" w:space="0" w:color="auto"/>
            <w:bottom w:val="none" w:sz="0" w:space="0" w:color="auto"/>
            <w:right w:val="none" w:sz="0" w:space="0" w:color="auto"/>
          </w:divBdr>
        </w:div>
        <w:div w:id="1699621887">
          <w:marLeft w:val="0"/>
          <w:marRight w:val="0"/>
          <w:marTop w:val="0"/>
          <w:marBottom w:val="0"/>
          <w:divBdr>
            <w:top w:val="none" w:sz="0" w:space="0" w:color="auto"/>
            <w:left w:val="none" w:sz="0" w:space="0" w:color="auto"/>
            <w:bottom w:val="none" w:sz="0" w:space="0" w:color="auto"/>
            <w:right w:val="none" w:sz="0" w:space="0" w:color="auto"/>
          </w:divBdr>
        </w:div>
        <w:div w:id="1708064871">
          <w:marLeft w:val="0"/>
          <w:marRight w:val="0"/>
          <w:marTop w:val="0"/>
          <w:marBottom w:val="0"/>
          <w:divBdr>
            <w:top w:val="none" w:sz="0" w:space="0" w:color="auto"/>
            <w:left w:val="none" w:sz="0" w:space="0" w:color="auto"/>
            <w:bottom w:val="none" w:sz="0" w:space="0" w:color="auto"/>
            <w:right w:val="none" w:sz="0" w:space="0" w:color="auto"/>
          </w:divBdr>
        </w:div>
        <w:div w:id="1730762753">
          <w:marLeft w:val="0"/>
          <w:marRight w:val="0"/>
          <w:marTop w:val="0"/>
          <w:marBottom w:val="0"/>
          <w:divBdr>
            <w:top w:val="none" w:sz="0" w:space="0" w:color="auto"/>
            <w:left w:val="none" w:sz="0" w:space="0" w:color="auto"/>
            <w:bottom w:val="none" w:sz="0" w:space="0" w:color="auto"/>
            <w:right w:val="none" w:sz="0" w:space="0" w:color="auto"/>
          </w:divBdr>
        </w:div>
        <w:div w:id="1734354730">
          <w:marLeft w:val="0"/>
          <w:marRight w:val="0"/>
          <w:marTop w:val="0"/>
          <w:marBottom w:val="0"/>
          <w:divBdr>
            <w:top w:val="none" w:sz="0" w:space="0" w:color="auto"/>
            <w:left w:val="none" w:sz="0" w:space="0" w:color="auto"/>
            <w:bottom w:val="none" w:sz="0" w:space="0" w:color="auto"/>
            <w:right w:val="none" w:sz="0" w:space="0" w:color="auto"/>
          </w:divBdr>
        </w:div>
        <w:div w:id="1744646216">
          <w:marLeft w:val="0"/>
          <w:marRight w:val="0"/>
          <w:marTop w:val="0"/>
          <w:marBottom w:val="0"/>
          <w:divBdr>
            <w:top w:val="none" w:sz="0" w:space="0" w:color="auto"/>
            <w:left w:val="none" w:sz="0" w:space="0" w:color="auto"/>
            <w:bottom w:val="none" w:sz="0" w:space="0" w:color="auto"/>
            <w:right w:val="none" w:sz="0" w:space="0" w:color="auto"/>
          </w:divBdr>
        </w:div>
        <w:div w:id="1754888576">
          <w:marLeft w:val="0"/>
          <w:marRight w:val="0"/>
          <w:marTop w:val="0"/>
          <w:marBottom w:val="0"/>
          <w:divBdr>
            <w:top w:val="none" w:sz="0" w:space="0" w:color="auto"/>
            <w:left w:val="none" w:sz="0" w:space="0" w:color="auto"/>
            <w:bottom w:val="none" w:sz="0" w:space="0" w:color="auto"/>
            <w:right w:val="none" w:sz="0" w:space="0" w:color="auto"/>
          </w:divBdr>
        </w:div>
        <w:div w:id="1776318373">
          <w:marLeft w:val="0"/>
          <w:marRight w:val="0"/>
          <w:marTop w:val="0"/>
          <w:marBottom w:val="0"/>
          <w:divBdr>
            <w:top w:val="none" w:sz="0" w:space="0" w:color="auto"/>
            <w:left w:val="none" w:sz="0" w:space="0" w:color="auto"/>
            <w:bottom w:val="none" w:sz="0" w:space="0" w:color="auto"/>
            <w:right w:val="none" w:sz="0" w:space="0" w:color="auto"/>
          </w:divBdr>
        </w:div>
        <w:div w:id="1809544715">
          <w:marLeft w:val="0"/>
          <w:marRight w:val="0"/>
          <w:marTop w:val="0"/>
          <w:marBottom w:val="0"/>
          <w:divBdr>
            <w:top w:val="none" w:sz="0" w:space="0" w:color="auto"/>
            <w:left w:val="none" w:sz="0" w:space="0" w:color="auto"/>
            <w:bottom w:val="none" w:sz="0" w:space="0" w:color="auto"/>
            <w:right w:val="none" w:sz="0" w:space="0" w:color="auto"/>
          </w:divBdr>
        </w:div>
        <w:div w:id="1814442657">
          <w:marLeft w:val="0"/>
          <w:marRight w:val="0"/>
          <w:marTop w:val="0"/>
          <w:marBottom w:val="0"/>
          <w:divBdr>
            <w:top w:val="none" w:sz="0" w:space="0" w:color="auto"/>
            <w:left w:val="none" w:sz="0" w:space="0" w:color="auto"/>
            <w:bottom w:val="none" w:sz="0" w:space="0" w:color="auto"/>
            <w:right w:val="none" w:sz="0" w:space="0" w:color="auto"/>
          </w:divBdr>
        </w:div>
        <w:div w:id="1820606871">
          <w:marLeft w:val="0"/>
          <w:marRight w:val="0"/>
          <w:marTop w:val="0"/>
          <w:marBottom w:val="0"/>
          <w:divBdr>
            <w:top w:val="none" w:sz="0" w:space="0" w:color="auto"/>
            <w:left w:val="none" w:sz="0" w:space="0" w:color="auto"/>
            <w:bottom w:val="none" w:sz="0" w:space="0" w:color="auto"/>
            <w:right w:val="none" w:sz="0" w:space="0" w:color="auto"/>
          </w:divBdr>
        </w:div>
        <w:div w:id="1823695502">
          <w:marLeft w:val="0"/>
          <w:marRight w:val="0"/>
          <w:marTop w:val="0"/>
          <w:marBottom w:val="0"/>
          <w:divBdr>
            <w:top w:val="none" w:sz="0" w:space="0" w:color="auto"/>
            <w:left w:val="none" w:sz="0" w:space="0" w:color="auto"/>
            <w:bottom w:val="none" w:sz="0" w:space="0" w:color="auto"/>
            <w:right w:val="none" w:sz="0" w:space="0" w:color="auto"/>
          </w:divBdr>
        </w:div>
        <w:div w:id="1823932534">
          <w:marLeft w:val="0"/>
          <w:marRight w:val="0"/>
          <w:marTop w:val="0"/>
          <w:marBottom w:val="0"/>
          <w:divBdr>
            <w:top w:val="none" w:sz="0" w:space="0" w:color="auto"/>
            <w:left w:val="none" w:sz="0" w:space="0" w:color="auto"/>
            <w:bottom w:val="none" w:sz="0" w:space="0" w:color="auto"/>
            <w:right w:val="none" w:sz="0" w:space="0" w:color="auto"/>
          </w:divBdr>
        </w:div>
        <w:div w:id="1834761591">
          <w:marLeft w:val="0"/>
          <w:marRight w:val="0"/>
          <w:marTop w:val="0"/>
          <w:marBottom w:val="0"/>
          <w:divBdr>
            <w:top w:val="none" w:sz="0" w:space="0" w:color="auto"/>
            <w:left w:val="none" w:sz="0" w:space="0" w:color="auto"/>
            <w:bottom w:val="none" w:sz="0" w:space="0" w:color="auto"/>
            <w:right w:val="none" w:sz="0" w:space="0" w:color="auto"/>
          </w:divBdr>
        </w:div>
        <w:div w:id="1836988179">
          <w:marLeft w:val="0"/>
          <w:marRight w:val="0"/>
          <w:marTop w:val="0"/>
          <w:marBottom w:val="0"/>
          <w:divBdr>
            <w:top w:val="none" w:sz="0" w:space="0" w:color="auto"/>
            <w:left w:val="none" w:sz="0" w:space="0" w:color="auto"/>
            <w:bottom w:val="none" w:sz="0" w:space="0" w:color="auto"/>
            <w:right w:val="none" w:sz="0" w:space="0" w:color="auto"/>
          </w:divBdr>
        </w:div>
        <w:div w:id="1839736635">
          <w:marLeft w:val="0"/>
          <w:marRight w:val="0"/>
          <w:marTop w:val="0"/>
          <w:marBottom w:val="0"/>
          <w:divBdr>
            <w:top w:val="none" w:sz="0" w:space="0" w:color="auto"/>
            <w:left w:val="none" w:sz="0" w:space="0" w:color="auto"/>
            <w:bottom w:val="none" w:sz="0" w:space="0" w:color="auto"/>
            <w:right w:val="none" w:sz="0" w:space="0" w:color="auto"/>
          </w:divBdr>
        </w:div>
        <w:div w:id="1871138317">
          <w:marLeft w:val="0"/>
          <w:marRight w:val="0"/>
          <w:marTop w:val="0"/>
          <w:marBottom w:val="0"/>
          <w:divBdr>
            <w:top w:val="none" w:sz="0" w:space="0" w:color="auto"/>
            <w:left w:val="none" w:sz="0" w:space="0" w:color="auto"/>
            <w:bottom w:val="none" w:sz="0" w:space="0" w:color="auto"/>
            <w:right w:val="none" w:sz="0" w:space="0" w:color="auto"/>
          </w:divBdr>
        </w:div>
        <w:div w:id="1893301908">
          <w:marLeft w:val="0"/>
          <w:marRight w:val="0"/>
          <w:marTop w:val="0"/>
          <w:marBottom w:val="0"/>
          <w:divBdr>
            <w:top w:val="none" w:sz="0" w:space="0" w:color="auto"/>
            <w:left w:val="none" w:sz="0" w:space="0" w:color="auto"/>
            <w:bottom w:val="none" w:sz="0" w:space="0" w:color="auto"/>
            <w:right w:val="none" w:sz="0" w:space="0" w:color="auto"/>
          </w:divBdr>
        </w:div>
        <w:div w:id="1918519499">
          <w:marLeft w:val="0"/>
          <w:marRight w:val="0"/>
          <w:marTop w:val="0"/>
          <w:marBottom w:val="0"/>
          <w:divBdr>
            <w:top w:val="none" w:sz="0" w:space="0" w:color="auto"/>
            <w:left w:val="none" w:sz="0" w:space="0" w:color="auto"/>
            <w:bottom w:val="none" w:sz="0" w:space="0" w:color="auto"/>
            <w:right w:val="none" w:sz="0" w:space="0" w:color="auto"/>
          </w:divBdr>
        </w:div>
        <w:div w:id="1930431502">
          <w:marLeft w:val="0"/>
          <w:marRight w:val="0"/>
          <w:marTop w:val="0"/>
          <w:marBottom w:val="0"/>
          <w:divBdr>
            <w:top w:val="none" w:sz="0" w:space="0" w:color="auto"/>
            <w:left w:val="none" w:sz="0" w:space="0" w:color="auto"/>
            <w:bottom w:val="none" w:sz="0" w:space="0" w:color="auto"/>
            <w:right w:val="none" w:sz="0" w:space="0" w:color="auto"/>
          </w:divBdr>
        </w:div>
        <w:div w:id="1938514681">
          <w:marLeft w:val="0"/>
          <w:marRight w:val="0"/>
          <w:marTop w:val="0"/>
          <w:marBottom w:val="0"/>
          <w:divBdr>
            <w:top w:val="none" w:sz="0" w:space="0" w:color="auto"/>
            <w:left w:val="none" w:sz="0" w:space="0" w:color="auto"/>
            <w:bottom w:val="none" w:sz="0" w:space="0" w:color="auto"/>
            <w:right w:val="none" w:sz="0" w:space="0" w:color="auto"/>
          </w:divBdr>
        </w:div>
        <w:div w:id="1962572549">
          <w:marLeft w:val="0"/>
          <w:marRight w:val="0"/>
          <w:marTop w:val="0"/>
          <w:marBottom w:val="0"/>
          <w:divBdr>
            <w:top w:val="none" w:sz="0" w:space="0" w:color="auto"/>
            <w:left w:val="none" w:sz="0" w:space="0" w:color="auto"/>
            <w:bottom w:val="none" w:sz="0" w:space="0" w:color="auto"/>
            <w:right w:val="none" w:sz="0" w:space="0" w:color="auto"/>
          </w:divBdr>
        </w:div>
        <w:div w:id="1981154820">
          <w:marLeft w:val="0"/>
          <w:marRight w:val="0"/>
          <w:marTop w:val="0"/>
          <w:marBottom w:val="0"/>
          <w:divBdr>
            <w:top w:val="none" w:sz="0" w:space="0" w:color="auto"/>
            <w:left w:val="none" w:sz="0" w:space="0" w:color="auto"/>
            <w:bottom w:val="none" w:sz="0" w:space="0" w:color="auto"/>
            <w:right w:val="none" w:sz="0" w:space="0" w:color="auto"/>
          </w:divBdr>
        </w:div>
        <w:div w:id="1981685264">
          <w:marLeft w:val="0"/>
          <w:marRight w:val="0"/>
          <w:marTop w:val="0"/>
          <w:marBottom w:val="0"/>
          <w:divBdr>
            <w:top w:val="none" w:sz="0" w:space="0" w:color="auto"/>
            <w:left w:val="none" w:sz="0" w:space="0" w:color="auto"/>
            <w:bottom w:val="none" w:sz="0" w:space="0" w:color="auto"/>
            <w:right w:val="none" w:sz="0" w:space="0" w:color="auto"/>
          </w:divBdr>
        </w:div>
        <w:div w:id="1983316040">
          <w:marLeft w:val="0"/>
          <w:marRight w:val="0"/>
          <w:marTop w:val="0"/>
          <w:marBottom w:val="0"/>
          <w:divBdr>
            <w:top w:val="none" w:sz="0" w:space="0" w:color="auto"/>
            <w:left w:val="none" w:sz="0" w:space="0" w:color="auto"/>
            <w:bottom w:val="none" w:sz="0" w:space="0" w:color="auto"/>
            <w:right w:val="none" w:sz="0" w:space="0" w:color="auto"/>
          </w:divBdr>
        </w:div>
        <w:div w:id="1998681080">
          <w:marLeft w:val="0"/>
          <w:marRight w:val="0"/>
          <w:marTop w:val="0"/>
          <w:marBottom w:val="0"/>
          <w:divBdr>
            <w:top w:val="none" w:sz="0" w:space="0" w:color="auto"/>
            <w:left w:val="none" w:sz="0" w:space="0" w:color="auto"/>
            <w:bottom w:val="none" w:sz="0" w:space="0" w:color="auto"/>
            <w:right w:val="none" w:sz="0" w:space="0" w:color="auto"/>
          </w:divBdr>
        </w:div>
        <w:div w:id="2000114730">
          <w:marLeft w:val="0"/>
          <w:marRight w:val="0"/>
          <w:marTop w:val="0"/>
          <w:marBottom w:val="0"/>
          <w:divBdr>
            <w:top w:val="none" w:sz="0" w:space="0" w:color="auto"/>
            <w:left w:val="none" w:sz="0" w:space="0" w:color="auto"/>
            <w:bottom w:val="none" w:sz="0" w:space="0" w:color="auto"/>
            <w:right w:val="none" w:sz="0" w:space="0" w:color="auto"/>
          </w:divBdr>
        </w:div>
        <w:div w:id="2003005479">
          <w:marLeft w:val="0"/>
          <w:marRight w:val="0"/>
          <w:marTop w:val="0"/>
          <w:marBottom w:val="0"/>
          <w:divBdr>
            <w:top w:val="none" w:sz="0" w:space="0" w:color="auto"/>
            <w:left w:val="none" w:sz="0" w:space="0" w:color="auto"/>
            <w:bottom w:val="none" w:sz="0" w:space="0" w:color="auto"/>
            <w:right w:val="none" w:sz="0" w:space="0" w:color="auto"/>
          </w:divBdr>
        </w:div>
        <w:div w:id="2008509754">
          <w:marLeft w:val="0"/>
          <w:marRight w:val="0"/>
          <w:marTop w:val="0"/>
          <w:marBottom w:val="0"/>
          <w:divBdr>
            <w:top w:val="none" w:sz="0" w:space="0" w:color="auto"/>
            <w:left w:val="none" w:sz="0" w:space="0" w:color="auto"/>
            <w:bottom w:val="none" w:sz="0" w:space="0" w:color="auto"/>
            <w:right w:val="none" w:sz="0" w:space="0" w:color="auto"/>
          </w:divBdr>
        </w:div>
      </w:divsChild>
    </w:div>
    <w:div w:id="1753356162">
      <w:bodyDiv w:val="1"/>
      <w:marLeft w:val="0"/>
      <w:marRight w:val="0"/>
      <w:marTop w:val="0"/>
      <w:marBottom w:val="0"/>
      <w:divBdr>
        <w:top w:val="none" w:sz="0" w:space="0" w:color="auto"/>
        <w:left w:val="none" w:sz="0" w:space="0" w:color="auto"/>
        <w:bottom w:val="none" w:sz="0" w:space="0" w:color="auto"/>
        <w:right w:val="none" w:sz="0" w:space="0" w:color="auto"/>
      </w:divBdr>
    </w:div>
    <w:div w:id="1753382583">
      <w:bodyDiv w:val="1"/>
      <w:marLeft w:val="0"/>
      <w:marRight w:val="0"/>
      <w:marTop w:val="0"/>
      <w:marBottom w:val="0"/>
      <w:divBdr>
        <w:top w:val="none" w:sz="0" w:space="0" w:color="auto"/>
        <w:left w:val="none" w:sz="0" w:space="0" w:color="auto"/>
        <w:bottom w:val="none" w:sz="0" w:space="0" w:color="auto"/>
        <w:right w:val="none" w:sz="0" w:space="0" w:color="auto"/>
      </w:divBdr>
    </w:div>
    <w:div w:id="1753426111">
      <w:bodyDiv w:val="1"/>
      <w:marLeft w:val="0"/>
      <w:marRight w:val="0"/>
      <w:marTop w:val="0"/>
      <w:marBottom w:val="0"/>
      <w:divBdr>
        <w:top w:val="none" w:sz="0" w:space="0" w:color="auto"/>
        <w:left w:val="none" w:sz="0" w:space="0" w:color="auto"/>
        <w:bottom w:val="none" w:sz="0" w:space="0" w:color="auto"/>
        <w:right w:val="none" w:sz="0" w:space="0" w:color="auto"/>
      </w:divBdr>
    </w:div>
    <w:div w:id="1753549480">
      <w:bodyDiv w:val="1"/>
      <w:marLeft w:val="0"/>
      <w:marRight w:val="0"/>
      <w:marTop w:val="0"/>
      <w:marBottom w:val="0"/>
      <w:divBdr>
        <w:top w:val="none" w:sz="0" w:space="0" w:color="auto"/>
        <w:left w:val="none" w:sz="0" w:space="0" w:color="auto"/>
        <w:bottom w:val="none" w:sz="0" w:space="0" w:color="auto"/>
        <w:right w:val="none" w:sz="0" w:space="0" w:color="auto"/>
      </w:divBdr>
    </w:div>
    <w:div w:id="1753619793">
      <w:bodyDiv w:val="1"/>
      <w:marLeft w:val="0"/>
      <w:marRight w:val="0"/>
      <w:marTop w:val="0"/>
      <w:marBottom w:val="0"/>
      <w:divBdr>
        <w:top w:val="none" w:sz="0" w:space="0" w:color="auto"/>
        <w:left w:val="none" w:sz="0" w:space="0" w:color="auto"/>
        <w:bottom w:val="none" w:sz="0" w:space="0" w:color="auto"/>
        <w:right w:val="none" w:sz="0" w:space="0" w:color="auto"/>
      </w:divBdr>
    </w:div>
    <w:div w:id="1753699136">
      <w:bodyDiv w:val="1"/>
      <w:marLeft w:val="0"/>
      <w:marRight w:val="0"/>
      <w:marTop w:val="0"/>
      <w:marBottom w:val="0"/>
      <w:divBdr>
        <w:top w:val="none" w:sz="0" w:space="0" w:color="auto"/>
        <w:left w:val="none" w:sz="0" w:space="0" w:color="auto"/>
        <w:bottom w:val="none" w:sz="0" w:space="0" w:color="auto"/>
        <w:right w:val="none" w:sz="0" w:space="0" w:color="auto"/>
      </w:divBdr>
      <w:divsChild>
        <w:div w:id="22442510">
          <w:marLeft w:val="0"/>
          <w:marRight w:val="0"/>
          <w:marTop w:val="0"/>
          <w:marBottom w:val="0"/>
          <w:divBdr>
            <w:top w:val="none" w:sz="0" w:space="0" w:color="auto"/>
            <w:left w:val="none" w:sz="0" w:space="0" w:color="auto"/>
            <w:bottom w:val="none" w:sz="0" w:space="0" w:color="auto"/>
            <w:right w:val="none" w:sz="0" w:space="0" w:color="auto"/>
          </w:divBdr>
        </w:div>
        <w:div w:id="22682131">
          <w:marLeft w:val="0"/>
          <w:marRight w:val="0"/>
          <w:marTop w:val="0"/>
          <w:marBottom w:val="0"/>
          <w:divBdr>
            <w:top w:val="none" w:sz="0" w:space="0" w:color="auto"/>
            <w:left w:val="none" w:sz="0" w:space="0" w:color="auto"/>
            <w:bottom w:val="none" w:sz="0" w:space="0" w:color="auto"/>
            <w:right w:val="none" w:sz="0" w:space="0" w:color="auto"/>
          </w:divBdr>
        </w:div>
        <w:div w:id="30888155">
          <w:marLeft w:val="0"/>
          <w:marRight w:val="0"/>
          <w:marTop w:val="0"/>
          <w:marBottom w:val="0"/>
          <w:divBdr>
            <w:top w:val="none" w:sz="0" w:space="0" w:color="auto"/>
            <w:left w:val="none" w:sz="0" w:space="0" w:color="auto"/>
            <w:bottom w:val="none" w:sz="0" w:space="0" w:color="auto"/>
            <w:right w:val="none" w:sz="0" w:space="0" w:color="auto"/>
          </w:divBdr>
        </w:div>
        <w:div w:id="31391901">
          <w:marLeft w:val="0"/>
          <w:marRight w:val="0"/>
          <w:marTop w:val="0"/>
          <w:marBottom w:val="0"/>
          <w:divBdr>
            <w:top w:val="none" w:sz="0" w:space="0" w:color="auto"/>
            <w:left w:val="none" w:sz="0" w:space="0" w:color="auto"/>
            <w:bottom w:val="none" w:sz="0" w:space="0" w:color="auto"/>
            <w:right w:val="none" w:sz="0" w:space="0" w:color="auto"/>
          </w:divBdr>
        </w:div>
        <w:div w:id="34233531">
          <w:marLeft w:val="0"/>
          <w:marRight w:val="0"/>
          <w:marTop w:val="0"/>
          <w:marBottom w:val="0"/>
          <w:divBdr>
            <w:top w:val="none" w:sz="0" w:space="0" w:color="auto"/>
            <w:left w:val="none" w:sz="0" w:space="0" w:color="auto"/>
            <w:bottom w:val="none" w:sz="0" w:space="0" w:color="auto"/>
            <w:right w:val="none" w:sz="0" w:space="0" w:color="auto"/>
          </w:divBdr>
        </w:div>
        <w:div w:id="36904096">
          <w:marLeft w:val="0"/>
          <w:marRight w:val="0"/>
          <w:marTop w:val="0"/>
          <w:marBottom w:val="0"/>
          <w:divBdr>
            <w:top w:val="none" w:sz="0" w:space="0" w:color="auto"/>
            <w:left w:val="none" w:sz="0" w:space="0" w:color="auto"/>
            <w:bottom w:val="none" w:sz="0" w:space="0" w:color="auto"/>
            <w:right w:val="none" w:sz="0" w:space="0" w:color="auto"/>
          </w:divBdr>
        </w:div>
        <w:div w:id="50739718">
          <w:marLeft w:val="0"/>
          <w:marRight w:val="0"/>
          <w:marTop w:val="0"/>
          <w:marBottom w:val="0"/>
          <w:divBdr>
            <w:top w:val="none" w:sz="0" w:space="0" w:color="auto"/>
            <w:left w:val="none" w:sz="0" w:space="0" w:color="auto"/>
            <w:bottom w:val="none" w:sz="0" w:space="0" w:color="auto"/>
            <w:right w:val="none" w:sz="0" w:space="0" w:color="auto"/>
          </w:divBdr>
        </w:div>
        <w:div w:id="53091146">
          <w:marLeft w:val="0"/>
          <w:marRight w:val="0"/>
          <w:marTop w:val="0"/>
          <w:marBottom w:val="0"/>
          <w:divBdr>
            <w:top w:val="none" w:sz="0" w:space="0" w:color="auto"/>
            <w:left w:val="none" w:sz="0" w:space="0" w:color="auto"/>
            <w:bottom w:val="none" w:sz="0" w:space="0" w:color="auto"/>
            <w:right w:val="none" w:sz="0" w:space="0" w:color="auto"/>
          </w:divBdr>
        </w:div>
        <w:div w:id="73361962">
          <w:marLeft w:val="0"/>
          <w:marRight w:val="0"/>
          <w:marTop w:val="0"/>
          <w:marBottom w:val="0"/>
          <w:divBdr>
            <w:top w:val="none" w:sz="0" w:space="0" w:color="auto"/>
            <w:left w:val="none" w:sz="0" w:space="0" w:color="auto"/>
            <w:bottom w:val="none" w:sz="0" w:space="0" w:color="auto"/>
            <w:right w:val="none" w:sz="0" w:space="0" w:color="auto"/>
          </w:divBdr>
        </w:div>
        <w:div w:id="104010572">
          <w:marLeft w:val="0"/>
          <w:marRight w:val="0"/>
          <w:marTop w:val="0"/>
          <w:marBottom w:val="0"/>
          <w:divBdr>
            <w:top w:val="none" w:sz="0" w:space="0" w:color="auto"/>
            <w:left w:val="none" w:sz="0" w:space="0" w:color="auto"/>
            <w:bottom w:val="none" w:sz="0" w:space="0" w:color="auto"/>
            <w:right w:val="none" w:sz="0" w:space="0" w:color="auto"/>
          </w:divBdr>
        </w:div>
        <w:div w:id="107043895">
          <w:marLeft w:val="0"/>
          <w:marRight w:val="0"/>
          <w:marTop w:val="0"/>
          <w:marBottom w:val="0"/>
          <w:divBdr>
            <w:top w:val="none" w:sz="0" w:space="0" w:color="auto"/>
            <w:left w:val="none" w:sz="0" w:space="0" w:color="auto"/>
            <w:bottom w:val="none" w:sz="0" w:space="0" w:color="auto"/>
            <w:right w:val="none" w:sz="0" w:space="0" w:color="auto"/>
          </w:divBdr>
        </w:div>
        <w:div w:id="110132634">
          <w:marLeft w:val="0"/>
          <w:marRight w:val="0"/>
          <w:marTop w:val="0"/>
          <w:marBottom w:val="0"/>
          <w:divBdr>
            <w:top w:val="none" w:sz="0" w:space="0" w:color="auto"/>
            <w:left w:val="none" w:sz="0" w:space="0" w:color="auto"/>
            <w:bottom w:val="none" w:sz="0" w:space="0" w:color="auto"/>
            <w:right w:val="none" w:sz="0" w:space="0" w:color="auto"/>
          </w:divBdr>
        </w:div>
        <w:div w:id="112211228">
          <w:marLeft w:val="0"/>
          <w:marRight w:val="0"/>
          <w:marTop w:val="0"/>
          <w:marBottom w:val="0"/>
          <w:divBdr>
            <w:top w:val="none" w:sz="0" w:space="0" w:color="auto"/>
            <w:left w:val="none" w:sz="0" w:space="0" w:color="auto"/>
            <w:bottom w:val="none" w:sz="0" w:space="0" w:color="auto"/>
            <w:right w:val="none" w:sz="0" w:space="0" w:color="auto"/>
          </w:divBdr>
        </w:div>
        <w:div w:id="124155378">
          <w:marLeft w:val="0"/>
          <w:marRight w:val="0"/>
          <w:marTop w:val="0"/>
          <w:marBottom w:val="0"/>
          <w:divBdr>
            <w:top w:val="none" w:sz="0" w:space="0" w:color="auto"/>
            <w:left w:val="none" w:sz="0" w:space="0" w:color="auto"/>
            <w:bottom w:val="none" w:sz="0" w:space="0" w:color="auto"/>
            <w:right w:val="none" w:sz="0" w:space="0" w:color="auto"/>
          </w:divBdr>
        </w:div>
        <w:div w:id="141653624">
          <w:marLeft w:val="0"/>
          <w:marRight w:val="0"/>
          <w:marTop w:val="0"/>
          <w:marBottom w:val="0"/>
          <w:divBdr>
            <w:top w:val="none" w:sz="0" w:space="0" w:color="auto"/>
            <w:left w:val="none" w:sz="0" w:space="0" w:color="auto"/>
            <w:bottom w:val="none" w:sz="0" w:space="0" w:color="auto"/>
            <w:right w:val="none" w:sz="0" w:space="0" w:color="auto"/>
          </w:divBdr>
        </w:div>
        <w:div w:id="149564684">
          <w:marLeft w:val="0"/>
          <w:marRight w:val="0"/>
          <w:marTop w:val="0"/>
          <w:marBottom w:val="0"/>
          <w:divBdr>
            <w:top w:val="none" w:sz="0" w:space="0" w:color="auto"/>
            <w:left w:val="none" w:sz="0" w:space="0" w:color="auto"/>
            <w:bottom w:val="none" w:sz="0" w:space="0" w:color="auto"/>
            <w:right w:val="none" w:sz="0" w:space="0" w:color="auto"/>
          </w:divBdr>
        </w:div>
        <w:div w:id="157770370">
          <w:marLeft w:val="0"/>
          <w:marRight w:val="0"/>
          <w:marTop w:val="0"/>
          <w:marBottom w:val="0"/>
          <w:divBdr>
            <w:top w:val="none" w:sz="0" w:space="0" w:color="auto"/>
            <w:left w:val="none" w:sz="0" w:space="0" w:color="auto"/>
            <w:bottom w:val="none" w:sz="0" w:space="0" w:color="auto"/>
            <w:right w:val="none" w:sz="0" w:space="0" w:color="auto"/>
          </w:divBdr>
        </w:div>
        <w:div w:id="158932487">
          <w:marLeft w:val="0"/>
          <w:marRight w:val="0"/>
          <w:marTop w:val="0"/>
          <w:marBottom w:val="0"/>
          <w:divBdr>
            <w:top w:val="none" w:sz="0" w:space="0" w:color="auto"/>
            <w:left w:val="none" w:sz="0" w:space="0" w:color="auto"/>
            <w:bottom w:val="none" w:sz="0" w:space="0" w:color="auto"/>
            <w:right w:val="none" w:sz="0" w:space="0" w:color="auto"/>
          </w:divBdr>
        </w:div>
        <w:div w:id="192623134">
          <w:marLeft w:val="0"/>
          <w:marRight w:val="0"/>
          <w:marTop w:val="0"/>
          <w:marBottom w:val="0"/>
          <w:divBdr>
            <w:top w:val="none" w:sz="0" w:space="0" w:color="auto"/>
            <w:left w:val="none" w:sz="0" w:space="0" w:color="auto"/>
            <w:bottom w:val="none" w:sz="0" w:space="0" w:color="auto"/>
            <w:right w:val="none" w:sz="0" w:space="0" w:color="auto"/>
          </w:divBdr>
        </w:div>
        <w:div w:id="206718695">
          <w:marLeft w:val="0"/>
          <w:marRight w:val="0"/>
          <w:marTop w:val="0"/>
          <w:marBottom w:val="0"/>
          <w:divBdr>
            <w:top w:val="none" w:sz="0" w:space="0" w:color="auto"/>
            <w:left w:val="none" w:sz="0" w:space="0" w:color="auto"/>
            <w:bottom w:val="none" w:sz="0" w:space="0" w:color="auto"/>
            <w:right w:val="none" w:sz="0" w:space="0" w:color="auto"/>
          </w:divBdr>
        </w:div>
        <w:div w:id="207691028">
          <w:marLeft w:val="0"/>
          <w:marRight w:val="0"/>
          <w:marTop w:val="0"/>
          <w:marBottom w:val="0"/>
          <w:divBdr>
            <w:top w:val="none" w:sz="0" w:space="0" w:color="auto"/>
            <w:left w:val="none" w:sz="0" w:space="0" w:color="auto"/>
            <w:bottom w:val="none" w:sz="0" w:space="0" w:color="auto"/>
            <w:right w:val="none" w:sz="0" w:space="0" w:color="auto"/>
          </w:divBdr>
        </w:div>
        <w:div w:id="216282535">
          <w:marLeft w:val="0"/>
          <w:marRight w:val="0"/>
          <w:marTop w:val="0"/>
          <w:marBottom w:val="0"/>
          <w:divBdr>
            <w:top w:val="none" w:sz="0" w:space="0" w:color="auto"/>
            <w:left w:val="none" w:sz="0" w:space="0" w:color="auto"/>
            <w:bottom w:val="none" w:sz="0" w:space="0" w:color="auto"/>
            <w:right w:val="none" w:sz="0" w:space="0" w:color="auto"/>
          </w:divBdr>
        </w:div>
        <w:div w:id="230578793">
          <w:marLeft w:val="0"/>
          <w:marRight w:val="0"/>
          <w:marTop w:val="0"/>
          <w:marBottom w:val="0"/>
          <w:divBdr>
            <w:top w:val="none" w:sz="0" w:space="0" w:color="auto"/>
            <w:left w:val="none" w:sz="0" w:space="0" w:color="auto"/>
            <w:bottom w:val="none" w:sz="0" w:space="0" w:color="auto"/>
            <w:right w:val="none" w:sz="0" w:space="0" w:color="auto"/>
          </w:divBdr>
        </w:div>
        <w:div w:id="238565895">
          <w:marLeft w:val="0"/>
          <w:marRight w:val="0"/>
          <w:marTop w:val="0"/>
          <w:marBottom w:val="0"/>
          <w:divBdr>
            <w:top w:val="none" w:sz="0" w:space="0" w:color="auto"/>
            <w:left w:val="none" w:sz="0" w:space="0" w:color="auto"/>
            <w:bottom w:val="none" w:sz="0" w:space="0" w:color="auto"/>
            <w:right w:val="none" w:sz="0" w:space="0" w:color="auto"/>
          </w:divBdr>
        </w:div>
        <w:div w:id="238634922">
          <w:marLeft w:val="0"/>
          <w:marRight w:val="0"/>
          <w:marTop w:val="0"/>
          <w:marBottom w:val="0"/>
          <w:divBdr>
            <w:top w:val="none" w:sz="0" w:space="0" w:color="auto"/>
            <w:left w:val="none" w:sz="0" w:space="0" w:color="auto"/>
            <w:bottom w:val="none" w:sz="0" w:space="0" w:color="auto"/>
            <w:right w:val="none" w:sz="0" w:space="0" w:color="auto"/>
          </w:divBdr>
        </w:div>
        <w:div w:id="238833407">
          <w:marLeft w:val="0"/>
          <w:marRight w:val="0"/>
          <w:marTop w:val="0"/>
          <w:marBottom w:val="0"/>
          <w:divBdr>
            <w:top w:val="none" w:sz="0" w:space="0" w:color="auto"/>
            <w:left w:val="none" w:sz="0" w:space="0" w:color="auto"/>
            <w:bottom w:val="none" w:sz="0" w:space="0" w:color="auto"/>
            <w:right w:val="none" w:sz="0" w:space="0" w:color="auto"/>
          </w:divBdr>
        </w:div>
        <w:div w:id="240867514">
          <w:marLeft w:val="0"/>
          <w:marRight w:val="0"/>
          <w:marTop w:val="0"/>
          <w:marBottom w:val="0"/>
          <w:divBdr>
            <w:top w:val="none" w:sz="0" w:space="0" w:color="auto"/>
            <w:left w:val="none" w:sz="0" w:space="0" w:color="auto"/>
            <w:bottom w:val="none" w:sz="0" w:space="0" w:color="auto"/>
            <w:right w:val="none" w:sz="0" w:space="0" w:color="auto"/>
          </w:divBdr>
        </w:div>
        <w:div w:id="241724542">
          <w:marLeft w:val="0"/>
          <w:marRight w:val="0"/>
          <w:marTop w:val="0"/>
          <w:marBottom w:val="0"/>
          <w:divBdr>
            <w:top w:val="none" w:sz="0" w:space="0" w:color="auto"/>
            <w:left w:val="none" w:sz="0" w:space="0" w:color="auto"/>
            <w:bottom w:val="none" w:sz="0" w:space="0" w:color="auto"/>
            <w:right w:val="none" w:sz="0" w:space="0" w:color="auto"/>
          </w:divBdr>
        </w:div>
        <w:div w:id="257176272">
          <w:marLeft w:val="0"/>
          <w:marRight w:val="0"/>
          <w:marTop w:val="0"/>
          <w:marBottom w:val="0"/>
          <w:divBdr>
            <w:top w:val="none" w:sz="0" w:space="0" w:color="auto"/>
            <w:left w:val="none" w:sz="0" w:space="0" w:color="auto"/>
            <w:bottom w:val="none" w:sz="0" w:space="0" w:color="auto"/>
            <w:right w:val="none" w:sz="0" w:space="0" w:color="auto"/>
          </w:divBdr>
        </w:div>
        <w:div w:id="263419519">
          <w:marLeft w:val="0"/>
          <w:marRight w:val="0"/>
          <w:marTop w:val="0"/>
          <w:marBottom w:val="0"/>
          <w:divBdr>
            <w:top w:val="none" w:sz="0" w:space="0" w:color="auto"/>
            <w:left w:val="none" w:sz="0" w:space="0" w:color="auto"/>
            <w:bottom w:val="none" w:sz="0" w:space="0" w:color="auto"/>
            <w:right w:val="none" w:sz="0" w:space="0" w:color="auto"/>
          </w:divBdr>
        </w:div>
        <w:div w:id="269430758">
          <w:marLeft w:val="0"/>
          <w:marRight w:val="0"/>
          <w:marTop w:val="0"/>
          <w:marBottom w:val="0"/>
          <w:divBdr>
            <w:top w:val="none" w:sz="0" w:space="0" w:color="auto"/>
            <w:left w:val="none" w:sz="0" w:space="0" w:color="auto"/>
            <w:bottom w:val="none" w:sz="0" w:space="0" w:color="auto"/>
            <w:right w:val="none" w:sz="0" w:space="0" w:color="auto"/>
          </w:divBdr>
        </w:div>
        <w:div w:id="276647474">
          <w:marLeft w:val="0"/>
          <w:marRight w:val="0"/>
          <w:marTop w:val="0"/>
          <w:marBottom w:val="0"/>
          <w:divBdr>
            <w:top w:val="none" w:sz="0" w:space="0" w:color="auto"/>
            <w:left w:val="none" w:sz="0" w:space="0" w:color="auto"/>
            <w:bottom w:val="none" w:sz="0" w:space="0" w:color="auto"/>
            <w:right w:val="none" w:sz="0" w:space="0" w:color="auto"/>
          </w:divBdr>
        </w:div>
        <w:div w:id="281303220">
          <w:marLeft w:val="0"/>
          <w:marRight w:val="0"/>
          <w:marTop w:val="0"/>
          <w:marBottom w:val="0"/>
          <w:divBdr>
            <w:top w:val="none" w:sz="0" w:space="0" w:color="auto"/>
            <w:left w:val="none" w:sz="0" w:space="0" w:color="auto"/>
            <w:bottom w:val="none" w:sz="0" w:space="0" w:color="auto"/>
            <w:right w:val="none" w:sz="0" w:space="0" w:color="auto"/>
          </w:divBdr>
        </w:div>
        <w:div w:id="296228945">
          <w:marLeft w:val="0"/>
          <w:marRight w:val="0"/>
          <w:marTop w:val="0"/>
          <w:marBottom w:val="0"/>
          <w:divBdr>
            <w:top w:val="none" w:sz="0" w:space="0" w:color="auto"/>
            <w:left w:val="none" w:sz="0" w:space="0" w:color="auto"/>
            <w:bottom w:val="none" w:sz="0" w:space="0" w:color="auto"/>
            <w:right w:val="none" w:sz="0" w:space="0" w:color="auto"/>
          </w:divBdr>
        </w:div>
        <w:div w:id="300964767">
          <w:marLeft w:val="0"/>
          <w:marRight w:val="0"/>
          <w:marTop w:val="0"/>
          <w:marBottom w:val="0"/>
          <w:divBdr>
            <w:top w:val="none" w:sz="0" w:space="0" w:color="auto"/>
            <w:left w:val="none" w:sz="0" w:space="0" w:color="auto"/>
            <w:bottom w:val="none" w:sz="0" w:space="0" w:color="auto"/>
            <w:right w:val="none" w:sz="0" w:space="0" w:color="auto"/>
          </w:divBdr>
        </w:div>
        <w:div w:id="309485400">
          <w:marLeft w:val="0"/>
          <w:marRight w:val="0"/>
          <w:marTop w:val="0"/>
          <w:marBottom w:val="0"/>
          <w:divBdr>
            <w:top w:val="none" w:sz="0" w:space="0" w:color="auto"/>
            <w:left w:val="none" w:sz="0" w:space="0" w:color="auto"/>
            <w:bottom w:val="none" w:sz="0" w:space="0" w:color="auto"/>
            <w:right w:val="none" w:sz="0" w:space="0" w:color="auto"/>
          </w:divBdr>
        </w:div>
        <w:div w:id="320697763">
          <w:marLeft w:val="0"/>
          <w:marRight w:val="0"/>
          <w:marTop w:val="0"/>
          <w:marBottom w:val="0"/>
          <w:divBdr>
            <w:top w:val="none" w:sz="0" w:space="0" w:color="auto"/>
            <w:left w:val="none" w:sz="0" w:space="0" w:color="auto"/>
            <w:bottom w:val="none" w:sz="0" w:space="0" w:color="auto"/>
            <w:right w:val="none" w:sz="0" w:space="0" w:color="auto"/>
          </w:divBdr>
        </w:div>
        <w:div w:id="326714854">
          <w:marLeft w:val="0"/>
          <w:marRight w:val="0"/>
          <w:marTop w:val="0"/>
          <w:marBottom w:val="0"/>
          <w:divBdr>
            <w:top w:val="none" w:sz="0" w:space="0" w:color="auto"/>
            <w:left w:val="none" w:sz="0" w:space="0" w:color="auto"/>
            <w:bottom w:val="none" w:sz="0" w:space="0" w:color="auto"/>
            <w:right w:val="none" w:sz="0" w:space="0" w:color="auto"/>
          </w:divBdr>
        </w:div>
        <w:div w:id="333189625">
          <w:marLeft w:val="0"/>
          <w:marRight w:val="0"/>
          <w:marTop w:val="0"/>
          <w:marBottom w:val="0"/>
          <w:divBdr>
            <w:top w:val="none" w:sz="0" w:space="0" w:color="auto"/>
            <w:left w:val="none" w:sz="0" w:space="0" w:color="auto"/>
            <w:bottom w:val="none" w:sz="0" w:space="0" w:color="auto"/>
            <w:right w:val="none" w:sz="0" w:space="0" w:color="auto"/>
          </w:divBdr>
        </w:div>
        <w:div w:id="333844604">
          <w:marLeft w:val="0"/>
          <w:marRight w:val="0"/>
          <w:marTop w:val="0"/>
          <w:marBottom w:val="0"/>
          <w:divBdr>
            <w:top w:val="none" w:sz="0" w:space="0" w:color="auto"/>
            <w:left w:val="none" w:sz="0" w:space="0" w:color="auto"/>
            <w:bottom w:val="none" w:sz="0" w:space="0" w:color="auto"/>
            <w:right w:val="none" w:sz="0" w:space="0" w:color="auto"/>
          </w:divBdr>
        </w:div>
        <w:div w:id="336201735">
          <w:marLeft w:val="0"/>
          <w:marRight w:val="0"/>
          <w:marTop w:val="0"/>
          <w:marBottom w:val="0"/>
          <w:divBdr>
            <w:top w:val="none" w:sz="0" w:space="0" w:color="auto"/>
            <w:left w:val="none" w:sz="0" w:space="0" w:color="auto"/>
            <w:bottom w:val="none" w:sz="0" w:space="0" w:color="auto"/>
            <w:right w:val="none" w:sz="0" w:space="0" w:color="auto"/>
          </w:divBdr>
        </w:div>
        <w:div w:id="368839412">
          <w:marLeft w:val="0"/>
          <w:marRight w:val="0"/>
          <w:marTop w:val="0"/>
          <w:marBottom w:val="0"/>
          <w:divBdr>
            <w:top w:val="none" w:sz="0" w:space="0" w:color="auto"/>
            <w:left w:val="none" w:sz="0" w:space="0" w:color="auto"/>
            <w:bottom w:val="none" w:sz="0" w:space="0" w:color="auto"/>
            <w:right w:val="none" w:sz="0" w:space="0" w:color="auto"/>
          </w:divBdr>
        </w:div>
        <w:div w:id="400520269">
          <w:marLeft w:val="0"/>
          <w:marRight w:val="0"/>
          <w:marTop w:val="0"/>
          <w:marBottom w:val="0"/>
          <w:divBdr>
            <w:top w:val="none" w:sz="0" w:space="0" w:color="auto"/>
            <w:left w:val="none" w:sz="0" w:space="0" w:color="auto"/>
            <w:bottom w:val="none" w:sz="0" w:space="0" w:color="auto"/>
            <w:right w:val="none" w:sz="0" w:space="0" w:color="auto"/>
          </w:divBdr>
        </w:div>
        <w:div w:id="405422088">
          <w:marLeft w:val="0"/>
          <w:marRight w:val="0"/>
          <w:marTop w:val="0"/>
          <w:marBottom w:val="0"/>
          <w:divBdr>
            <w:top w:val="none" w:sz="0" w:space="0" w:color="auto"/>
            <w:left w:val="none" w:sz="0" w:space="0" w:color="auto"/>
            <w:bottom w:val="none" w:sz="0" w:space="0" w:color="auto"/>
            <w:right w:val="none" w:sz="0" w:space="0" w:color="auto"/>
          </w:divBdr>
        </w:div>
        <w:div w:id="407193812">
          <w:marLeft w:val="0"/>
          <w:marRight w:val="0"/>
          <w:marTop w:val="0"/>
          <w:marBottom w:val="0"/>
          <w:divBdr>
            <w:top w:val="none" w:sz="0" w:space="0" w:color="auto"/>
            <w:left w:val="none" w:sz="0" w:space="0" w:color="auto"/>
            <w:bottom w:val="none" w:sz="0" w:space="0" w:color="auto"/>
            <w:right w:val="none" w:sz="0" w:space="0" w:color="auto"/>
          </w:divBdr>
        </w:div>
        <w:div w:id="415059655">
          <w:marLeft w:val="0"/>
          <w:marRight w:val="0"/>
          <w:marTop w:val="0"/>
          <w:marBottom w:val="0"/>
          <w:divBdr>
            <w:top w:val="none" w:sz="0" w:space="0" w:color="auto"/>
            <w:left w:val="none" w:sz="0" w:space="0" w:color="auto"/>
            <w:bottom w:val="none" w:sz="0" w:space="0" w:color="auto"/>
            <w:right w:val="none" w:sz="0" w:space="0" w:color="auto"/>
          </w:divBdr>
        </w:div>
        <w:div w:id="417017732">
          <w:marLeft w:val="0"/>
          <w:marRight w:val="0"/>
          <w:marTop w:val="0"/>
          <w:marBottom w:val="0"/>
          <w:divBdr>
            <w:top w:val="none" w:sz="0" w:space="0" w:color="auto"/>
            <w:left w:val="none" w:sz="0" w:space="0" w:color="auto"/>
            <w:bottom w:val="none" w:sz="0" w:space="0" w:color="auto"/>
            <w:right w:val="none" w:sz="0" w:space="0" w:color="auto"/>
          </w:divBdr>
        </w:div>
        <w:div w:id="427506722">
          <w:marLeft w:val="0"/>
          <w:marRight w:val="0"/>
          <w:marTop w:val="0"/>
          <w:marBottom w:val="0"/>
          <w:divBdr>
            <w:top w:val="none" w:sz="0" w:space="0" w:color="auto"/>
            <w:left w:val="none" w:sz="0" w:space="0" w:color="auto"/>
            <w:bottom w:val="none" w:sz="0" w:space="0" w:color="auto"/>
            <w:right w:val="none" w:sz="0" w:space="0" w:color="auto"/>
          </w:divBdr>
        </w:div>
        <w:div w:id="484856737">
          <w:marLeft w:val="0"/>
          <w:marRight w:val="0"/>
          <w:marTop w:val="0"/>
          <w:marBottom w:val="0"/>
          <w:divBdr>
            <w:top w:val="none" w:sz="0" w:space="0" w:color="auto"/>
            <w:left w:val="none" w:sz="0" w:space="0" w:color="auto"/>
            <w:bottom w:val="none" w:sz="0" w:space="0" w:color="auto"/>
            <w:right w:val="none" w:sz="0" w:space="0" w:color="auto"/>
          </w:divBdr>
        </w:div>
        <w:div w:id="506604455">
          <w:marLeft w:val="0"/>
          <w:marRight w:val="0"/>
          <w:marTop w:val="0"/>
          <w:marBottom w:val="0"/>
          <w:divBdr>
            <w:top w:val="none" w:sz="0" w:space="0" w:color="auto"/>
            <w:left w:val="none" w:sz="0" w:space="0" w:color="auto"/>
            <w:bottom w:val="none" w:sz="0" w:space="0" w:color="auto"/>
            <w:right w:val="none" w:sz="0" w:space="0" w:color="auto"/>
          </w:divBdr>
        </w:div>
        <w:div w:id="509101370">
          <w:marLeft w:val="0"/>
          <w:marRight w:val="0"/>
          <w:marTop w:val="0"/>
          <w:marBottom w:val="0"/>
          <w:divBdr>
            <w:top w:val="none" w:sz="0" w:space="0" w:color="auto"/>
            <w:left w:val="none" w:sz="0" w:space="0" w:color="auto"/>
            <w:bottom w:val="none" w:sz="0" w:space="0" w:color="auto"/>
            <w:right w:val="none" w:sz="0" w:space="0" w:color="auto"/>
          </w:divBdr>
        </w:div>
        <w:div w:id="522717844">
          <w:marLeft w:val="0"/>
          <w:marRight w:val="0"/>
          <w:marTop w:val="0"/>
          <w:marBottom w:val="0"/>
          <w:divBdr>
            <w:top w:val="none" w:sz="0" w:space="0" w:color="auto"/>
            <w:left w:val="none" w:sz="0" w:space="0" w:color="auto"/>
            <w:bottom w:val="none" w:sz="0" w:space="0" w:color="auto"/>
            <w:right w:val="none" w:sz="0" w:space="0" w:color="auto"/>
          </w:divBdr>
        </w:div>
        <w:div w:id="556353252">
          <w:marLeft w:val="0"/>
          <w:marRight w:val="0"/>
          <w:marTop w:val="0"/>
          <w:marBottom w:val="0"/>
          <w:divBdr>
            <w:top w:val="none" w:sz="0" w:space="0" w:color="auto"/>
            <w:left w:val="none" w:sz="0" w:space="0" w:color="auto"/>
            <w:bottom w:val="none" w:sz="0" w:space="0" w:color="auto"/>
            <w:right w:val="none" w:sz="0" w:space="0" w:color="auto"/>
          </w:divBdr>
        </w:div>
        <w:div w:id="579562359">
          <w:marLeft w:val="0"/>
          <w:marRight w:val="0"/>
          <w:marTop w:val="0"/>
          <w:marBottom w:val="0"/>
          <w:divBdr>
            <w:top w:val="none" w:sz="0" w:space="0" w:color="auto"/>
            <w:left w:val="none" w:sz="0" w:space="0" w:color="auto"/>
            <w:bottom w:val="none" w:sz="0" w:space="0" w:color="auto"/>
            <w:right w:val="none" w:sz="0" w:space="0" w:color="auto"/>
          </w:divBdr>
        </w:div>
        <w:div w:id="580141065">
          <w:marLeft w:val="0"/>
          <w:marRight w:val="0"/>
          <w:marTop w:val="0"/>
          <w:marBottom w:val="0"/>
          <w:divBdr>
            <w:top w:val="none" w:sz="0" w:space="0" w:color="auto"/>
            <w:left w:val="none" w:sz="0" w:space="0" w:color="auto"/>
            <w:bottom w:val="none" w:sz="0" w:space="0" w:color="auto"/>
            <w:right w:val="none" w:sz="0" w:space="0" w:color="auto"/>
          </w:divBdr>
        </w:div>
        <w:div w:id="580287644">
          <w:marLeft w:val="0"/>
          <w:marRight w:val="0"/>
          <w:marTop w:val="0"/>
          <w:marBottom w:val="0"/>
          <w:divBdr>
            <w:top w:val="none" w:sz="0" w:space="0" w:color="auto"/>
            <w:left w:val="none" w:sz="0" w:space="0" w:color="auto"/>
            <w:bottom w:val="none" w:sz="0" w:space="0" w:color="auto"/>
            <w:right w:val="none" w:sz="0" w:space="0" w:color="auto"/>
          </w:divBdr>
        </w:div>
        <w:div w:id="594632672">
          <w:marLeft w:val="0"/>
          <w:marRight w:val="0"/>
          <w:marTop w:val="0"/>
          <w:marBottom w:val="0"/>
          <w:divBdr>
            <w:top w:val="none" w:sz="0" w:space="0" w:color="auto"/>
            <w:left w:val="none" w:sz="0" w:space="0" w:color="auto"/>
            <w:bottom w:val="none" w:sz="0" w:space="0" w:color="auto"/>
            <w:right w:val="none" w:sz="0" w:space="0" w:color="auto"/>
          </w:divBdr>
        </w:div>
        <w:div w:id="617487586">
          <w:marLeft w:val="0"/>
          <w:marRight w:val="0"/>
          <w:marTop w:val="0"/>
          <w:marBottom w:val="0"/>
          <w:divBdr>
            <w:top w:val="none" w:sz="0" w:space="0" w:color="auto"/>
            <w:left w:val="none" w:sz="0" w:space="0" w:color="auto"/>
            <w:bottom w:val="none" w:sz="0" w:space="0" w:color="auto"/>
            <w:right w:val="none" w:sz="0" w:space="0" w:color="auto"/>
          </w:divBdr>
        </w:div>
        <w:div w:id="637687514">
          <w:marLeft w:val="0"/>
          <w:marRight w:val="0"/>
          <w:marTop w:val="0"/>
          <w:marBottom w:val="0"/>
          <w:divBdr>
            <w:top w:val="none" w:sz="0" w:space="0" w:color="auto"/>
            <w:left w:val="none" w:sz="0" w:space="0" w:color="auto"/>
            <w:bottom w:val="none" w:sz="0" w:space="0" w:color="auto"/>
            <w:right w:val="none" w:sz="0" w:space="0" w:color="auto"/>
          </w:divBdr>
        </w:div>
        <w:div w:id="644698702">
          <w:marLeft w:val="0"/>
          <w:marRight w:val="0"/>
          <w:marTop w:val="0"/>
          <w:marBottom w:val="0"/>
          <w:divBdr>
            <w:top w:val="none" w:sz="0" w:space="0" w:color="auto"/>
            <w:left w:val="none" w:sz="0" w:space="0" w:color="auto"/>
            <w:bottom w:val="none" w:sz="0" w:space="0" w:color="auto"/>
            <w:right w:val="none" w:sz="0" w:space="0" w:color="auto"/>
          </w:divBdr>
        </w:div>
        <w:div w:id="651567492">
          <w:marLeft w:val="0"/>
          <w:marRight w:val="0"/>
          <w:marTop w:val="0"/>
          <w:marBottom w:val="0"/>
          <w:divBdr>
            <w:top w:val="none" w:sz="0" w:space="0" w:color="auto"/>
            <w:left w:val="none" w:sz="0" w:space="0" w:color="auto"/>
            <w:bottom w:val="none" w:sz="0" w:space="0" w:color="auto"/>
            <w:right w:val="none" w:sz="0" w:space="0" w:color="auto"/>
          </w:divBdr>
        </w:div>
        <w:div w:id="674382018">
          <w:marLeft w:val="0"/>
          <w:marRight w:val="0"/>
          <w:marTop w:val="0"/>
          <w:marBottom w:val="0"/>
          <w:divBdr>
            <w:top w:val="none" w:sz="0" w:space="0" w:color="auto"/>
            <w:left w:val="none" w:sz="0" w:space="0" w:color="auto"/>
            <w:bottom w:val="none" w:sz="0" w:space="0" w:color="auto"/>
            <w:right w:val="none" w:sz="0" w:space="0" w:color="auto"/>
          </w:divBdr>
        </w:div>
        <w:div w:id="677536321">
          <w:marLeft w:val="0"/>
          <w:marRight w:val="0"/>
          <w:marTop w:val="0"/>
          <w:marBottom w:val="0"/>
          <w:divBdr>
            <w:top w:val="none" w:sz="0" w:space="0" w:color="auto"/>
            <w:left w:val="none" w:sz="0" w:space="0" w:color="auto"/>
            <w:bottom w:val="none" w:sz="0" w:space="0" w:color="auto"/>
            <w:right w:val="none" w:sz="0" w:space="0" w:color="auto"/>
          </w:divBdr>
        </w:div>
        <w:div w:id="678316110">
          <w:marLeft w:val="0"/>
          <w:marRight w:val="0"/>
          <w:marTop w:val="0"/>
          <w:marBottom w:val="0"/>
          <w:divBdr>
            <w:top w:val="none" w:sz="0" w:space="0" w:color="auto"/>
            <w:left w:val="none" w:sz="0" w:space="0" w:color="auto"/>
            <w:bottom w:val="none" w:sz="0" w:space="0" w:color="auto"/>
            <w:right w:val="none" w:sz="0" w:space="0" w:color="auto"/>
          </w:divBdr>
        </w:div>
        <w:div w:id="688217505">
          <w:marLeft w:val="0"/>
          <w:marRight w:val="0"/>
          <w:marTop w:val="0"/>
          <w:marBottom w:val="0"/>
          <w:divBdr>
            <w:top w:val="none" w:sz="0" w:space="0" w:color="auto"/>
            <w:left w:val="none" w:sz="0" w:space="0" w:color="auto"/>
            <w:bottom w:val="none" w:sz="0" w:space="0" w:color="auto"/>
            <w:right w:val="none" w:sz="0" w:space="0" w:color="auto"/>
          </w:divBdr>
        </w:div>
        <w:div w:id="688602299">
          <w:marLeft w:val="0"/>
          <w:marRight w:val="0"/>
          <w:marTop w:val="0"/>
          <w:marBottom w:val="0"/>
          <w:divBdr>
            <w:top w:val="none" w:sz="0" w:space="0" w:color="auto"/>
            <w:left w:val="none" w:sz="0" w:space="0" w:color="auto"/>
            <w:bottom w:val="none" w:sz="0" w:space="0" w:color="auto"/>
            <w:right w:val="none" w:sz="0" w:space="0" w:color="auto"/>
          </w:divBdr>
        </w:div>
        <w:div w:id="707493703">
          <w:marLeft w:val="0"/>
          <w:marRight w:val="0"/>
          <w:marTop w:val="0"/>
          <w:marBottom w:val="0"/>
          <w:divBdr>
            <w:top w:val="none" w:sz="0" w:space="0" w:color="auto"/>
            <w:left w:val="none" w:sz="0" w:space="0" w:color="auto"/>
            <w:bottom w:val="none" w:sz="0" w:space="0" w:color="auto"/>
            <w:right w:val="none" w:sz="0" w:space="0" w:color="auto"/>
          </w:divBdr>
        </w:div>
        <w:div w:id="730420581">
          <w:marLeft w:val="0"/>
          <w:marRight w:val="0"/>
          <w:marTop w:val="0"/>
          <w:marBottom w:val="0"/>
          <w:divBdr>
            <w:top w:val="none" w:sz="0" w:space="0" w:color="auto"/>
            <w:left w:val="none" w:sz="0" w:space="0" w:color="auto"/>
            <w:bottom w:val="none" w:sz="0" w:space="0" w:color="auto"/>
            <w:right w:val="none" w:sz="0" w:space="0" w:color="auto"/>
          </w:divBdr>
        </w:div>
        <w:div w:id="731662798">
          <w:marLeft w:val="0"/>
          <w:marRight w:val="0"/>
          <w:marTop w:val="0"/>
          <w:marBottom w:val="0"/>
          <w:divBdr>
            <w:top w:val="none" w:sz="0" w:space="0" w:color="auto"/>
            <w:left w:val="none" w:sz="0" w:space="0" w:color="auto"/>
            <w:bottom w:val="none" w:sz="0" w:space="0" w:color="auto"/>
            <w:right w:val="none" w:sz="0" w:space="0" w:color="auto"/>
          </w:divBdr>
        </w:div>
        <w:div w:id="736051844">
          <w:marLeft w:val="0"/>
          <w:marRight w:val="0"/>
          <w:marTop w:val="0"/>
          <w:marBottom w:val="0"/>
          <w:divBdr>
            <w:top w:val="none" w:sz="0" w:space="0" w:color="auto"/>
            <w:left w:val="none" w:sz="0" w:space="0" w:color="auto"/>
            <w:bottom w:val="none" w:sz="0" w:space="0" w:color="auto"/>
            <w:right w:val="none" w:sz="0" w:space="0" w:color="auto"/>
          </w:divBdr>
        </w:div>
        <w:div w:id="772869230">
          <w:marLeft w:val="0"/>
          <w:marRight w:val="0"/>
          <w:marTop w:val="0"/>
          <w:marBottom w:val="0"/>
          <w:divBdr>
            <w:top w:val="none" w:sz="0" w:space="0" w:color="auto"/>
            <w:left w:val="none" w:sz="0" w:space="0" w:color="auto"/>
            <w:bottom w:val="none" w:sz="0" w:space="0" w:color="auto"/>
            <w:right w:val="none" w:sz="0" w:space="0" w:color="auto"/>
          </w:divBdr>
        </w:div>
        <w:div w:id="773406409">
          <w:marLeft w:val="0"/>
          <w:marRight w:val="0"/>
          <w:marTop w:val="0"/>
          <w:marBottom w:val="0"/>
          <w:divBdr>
            <w:top w:val="none" w:sz="0" w:space="0" w:color="auto"/>
            <w:left w:val="none" w:sz="0" w:space="0" w:color="auto"/>
            <w:bottom w:val="none" w:sz="0" w:space="0" w:color="auto"/>
            <w:right w:val="none" w:sz="0" w:space="0" w:color="auto"/>
          </w:divBdr>
        </w:div>
        <w:div w:id="777606507">
          <w:marLeft w:val="0"/>
          <w:marRight w:val="0"/>
          <w:marTop w:val="0"/>
          <w:marBottom w:val="0"/>
          <w:divBdr>
            <w:top w:val="none" w:sz="0" w:space="0" w:color="auto"/>
            <w:left w:val="none" w:sz="0" w:space="0" w:color="auto"/>
            <w:bottom w:val="none" w:sz="0" w:space="0" w:color="auto"/>
            <w:right w:val="none" w:sz="0" w:space="0" w:color="auto"/>
          </w:divBdr>
        </w:div>
        <w:div w:id="792946439">
          <w:marLeft w:val="0"/>
          <w:marRight w:val="0"/>
          <w:marTop w:val="0"/>
          <w:marBottom w:val="0"/>
          <w:divBdr>
            <w:top w:val="none" w:sz="0" w:space="0" w:color="auto"/>
            <w:left w:val="none" w:sz="0" w:space="0" w:color="auto"/>
            <w:bottom w:val="none" w:sz="0" w:space="0" w:color="auto"/>
            <w:right w:val="none" w:sz="0" w:space="0" w:color="auto"/>
          </w:divBdr>
        </w:div>
        <w:div w:id="813371503">
          <w:marLeft w:val="0"/>
          <w:marRight w:val="0"/>
          <w:marTop w:val="0"/>
          <w:marBottom w:val="0"/>
          <w:divBdr>
            <w:top w:val="none" w:sz="0" w:space="0" w:color="auto"/>
            <w:left w:val="none" w:sz="0" w:space="0" w:color="auto"/>
            <w:bottom w:val="none" w:sz="0" w:space="0" w:color="auto"/>
            <w:right w:val="none" w:sz="0" w:space="0" w:color="auto"/>
          </w:divBdr>
        </w:div>
        <w:div w:id="815604174">
          <w:marLeft w:val="0"/>
          <w:marRight w:val="0"/>
          <w:marTop w:val="0"/>
          <w:marBottom w:val="0"/>
          <w:divBdr>
            <w:top w:val="none" w:sz="0" w:space="0" w:color="auto"/>
            <w:left w:val="none" w:sz="0" w:space="0" w:color="auto"/>
            <w:bottom w:val="none" w:sz="0" w:space="0" w:color="auto"/>
            <w:right w:val="none" w:sz="0" w:space="0" w:color="auto"/>
          </w:divBdr>
        </w:div>
        <w:div w:id="823009194">
          <w:marLeft w:val="0"/>
          <w:marRight w:val="0"/>
          <w:marTop w:val="0"/>
          <w:marBottom w:val="0"/>
          <w:divBdr>
            <w:top w:val="none" w:sz="0" w:space="0" w:color="auto"/>
            <w:left w:val="none" w:sz="0" w:space="0" w:color="auto"/>
            <w:bottom w:val="none" w:sz="0" w:space="0" w:color="auto"/>
            <w:right w:val="none" w:sz="0" w:space="0" w:color="auto"/>
          </w:divBdr>
        </w:div>
        <w:div w:id="831529432">
          <w:marLeft w:val="0"/>
          <w:marRight w:val="0"/>
          <w:marTop w:val="0"/>
          <w:marBottom w:val="0"/>
          <w:divBdr>
            <w:top w:val="none" w:sz="0" w:space="0" w:color="auto"/>
            <w:left w:val="none" w:sz="0" w:space="0" w:color="auto"/>
            <w:bottom w:val="none" w:sz="0" w:space="0" w:color="auto"/>
            <w:right w:val="none" w:sz="0" w:space="0" w:color="auto"/>
          </w:divBdr>
        </w:div>
        <w:div w:id="831915205">
          <w:marLeft w:val="0"/>
          <w:marRight w:val="0"/>
          <w:marTop w:val="0"/>
          <w:marBottom w:val="0"/>
          <w:divBdr>
            <w:top w:val="none" w:sz="0" w:space="0" w:color="auto"/>
            <w:left w:val="none" w:sz="0" w:space="0" w:color="auto"/>
            <w:bottom w:val="none" w:sz="0" w:space="0" w:color="auto"/>
            <w:right w:val="none" w:sz="0" w:space="0" w:color="auto"/>
          </w:divBdr>
        </w:div>
        <w:div w:id="848911004">
          <w:marLeft w:val="0"/>
          <w:marRight w:val="0"/>
          <w:marTop w:val="0"/>
          <w:marBottom w:val="0"/>
          <w:divBdr>
            <w:top w:val="none" w:sz="0" w:space="0" w:color="auto"/>
            <w:left w:val="none" w:sz="0" w:space="0" w:color="auto"/>
            <w:bottom w:val="none" w:sz="0" w:space="0" w:color="auto"/>
            <w:right w:val="none" w:sz="0" w:space="0" w:color="auto"/>
          </w:divBdr>
        </w:div>
        <w:div w:id="852575534">
          <w:marLeft w:val="0"/>
          <w:marRight w:val="0"/>
          <w:marTop w:val="0"/>
          <w:marBottom w:val="0"/>
          <w:divBdr>
            <w:top w:val="none" w:sz="0" w:space="0" w:color="auto"/>
            <w:left w:val="none" w:sz="0" w:space="0" w:color="auto"/>
            <w:bottom w:val="none" w:sz="0" w:space="0" w:color="auto"/>
            <w:right w:val="none" w:sz="0" w:space="0" w:color="auto"/>
          </w:divBdr>
        </w:div>
        <w:div w:id="866068201">
          <w:marLeft w:val="0"/>
          <w:marRight w:val="0"/>
          <w:marTop w:val="0"/>
          <w:marBottom w:val="0"/>
          <w:divBdr>
            <w:top w:val="none" w:sz="0" w:space="0" w:color="auto"/>
            <w:left w:val="none" w:sz="0" w:space="0" w:color="auto"/>
            <w:bottom w:val="none" w:sz="0" w:space="0" w:color="auto"/>
            <w:right w:val="none" w:sz="0" w:space="0" w:color="auto"/>
          </w:divBdr>
        </w:div>
        <w:div w:id="876551176">
          <w:marLeft w:val="0"/>
          <w:marRight w:val="0"/>
          <w:marTop w:val="0"/>
          <w:marBottom w:val="0"/>
          <w:divBdr>
            <w:top w:val="none" w:sz="0" w:space="0" w:color="auto"/>
            <w:left w:val="none" w:sz="0" w:space="0" w:color="auto"/>
            <w:bottom w:val="none" w:sz="0" w:space="0" w:color="auto"/>
            <w:right w:val="none" w:sz="0" w:space="0" w:color="auto"/>
          </w:divBdr>
        </w:div>
        <w:div w:id="909464394">
          <w:marLeft w:val="0"/>
          <w:marRight w:val="0"/>
          <w:marTop w:val="0"/>
          <w:marBottom w:val="0"/>
          <w:divBdr>
            <w:top w:val="none" w:sz="0" w:space="0" w:color="auto"/>
            <w:left w:val="none" w:sz="0" w:space="0" w:color="auto"/>
            <w:bottom w:val="none" w:sz="0" w:space="0" w:color="auto"/>
            <w:right w:val="none" w:sz="0" w:space="0" w:color="auto"/>
          </w:divBdr>
        </w:div>
        <w:div w:id="910654750">
          <w:marLeft w:val="0"/>
          <w:marRight w:val="0"/>
          <w:marTop w:val="0"/>
          <w:marBottom w:val="0"/>
          <w:divBdr>
            <w:top w:val="none" w:sz="0" w:space="0" w:color="auto"/>
            <w:left w:val="none" w:sz="0" w:space="0" w:color="auto"/>
            <w:bottom w:val="none" w:sz="0" w:space="0" w:color="auto"/>
            <w:right w:val="none" w:sz="0" w:space="0" w:color="auto"/>
          </w:divBdr>
        </w:div>
        <w:div w:id="921109230">
          <w:marLeft w:val="0"/>
          <w:marRight w:val="0"/>
          <w:marTop w:val="0"/>
          <w:marBottom w:val="0"/>
          <w:divBdr>
            <w:top w:val="none" w:sz="0" w:space="0" w:color="auto"/>
            <w:left w:val="none" w:sz="0" w:space="0" w:color="auto"/>
            <w:bottom w:val="none" w:sz="0" w:space="0" w:color="auto"/>
            <w:right w:val="none" w:sz="0" w:space="0" w:color="auto"/>
          </w:divBdr>
        </w:div>
        <w:div w:id="926378083">
          <w:marLeft w:val="0"/>
          <w:marRight w:val="0"/>
          <w:marTop w:val="0"/>
          <w:marBottom w:val="0"/>
          <w:divBdr>
            <w:top w:val="none" w:sz="0" w:space="0" w:color="auto"/>
            <w:left w:val="none" w:sz="0" w:space="0" w:color="auto"/>
            <w:bottom w:val="none" w:sz="0" w:space="0" w:color="auto"/>
            <w:right w:val="none" w:sz="0" w:space="0" w:color="auto"/>
          </w:divBdr>
        </w:div>
        <w:div w:id="959150002">
          <w:marLeft w:val="0"/>
          <w:marRight w:val="0"/>
          <w:marTop w:val="0"/>
          <w:marBottom w:val="0"/>
          <w:divBdr>
            <w:top w:val="none" w:sz="0" w:space="0" w:color="auto"/>
            <w:left w:val="none" w:sz="0" w:space="0" w:color="auto"/>
            <w:bottom w:val="none" w:sz="0" w:space="0" w:color="auto"/>
            <w:right w:val="none" w:sz="0" w:space="0" w:color="auto"/>
          </w:divBdr>
        </w:div>
        <w:div w:id="968052449">
          <w:marLeft w:val="0"/>
          <w:marRight w:val="0"/>
          <w:marTop w:val="0"/>
          <w:marBottom w:val="0"/>
          <w:divBdr>
            <w:top w:val="none" w:sz="0" w:space="0" w:color="auto"/>
            <w:left w:val="none" w:sz="0" w:space="0" w:color="auto"/>
            <w:bottom w:val="none" w:sz="0" w:space="0" w:color="auto"/>
            <w:right w:val="none" w:sz="0" w:space="0" w:color="auto"/>
          </w:divBdr>
        </w:div>
        <w:div w:id="979765885">
          <w:marLeft w:val="0"/>
          <w:marRight w:val="0"/>
          <w:marTop w:val="0"/>
          <w:marBottom w:val="0"/>
          <w:divBdr>
            <w:top w:val="none" w:sz="0" w:space="0" w:color="auto"/>
            <w:left w:val="none" w:sz="0" w:space="0" w:color="auto"/>
            <w:bottom w:val="none" w:sz="0" w:space="0" w:color="auto"/>
            <w:right w:val="none" w:sz="0" w:space="0" w:color="auto"/>
          </w:divBdr>
        </w:div>
        <w:div w:id="987978029">
          <w:marLeft w:val="0"/>
          <w:marRight w:val="0"/>
          <w:marTop w:val="0"/>
          <w:marBottom w:val="0"/>
          <w:divBdr>
            <w:top w:val="none" w:sz="0" w:space="0" w:color="auto"/>
            <w:left w:val="none" w:sz="0" w:space="0" w:color="auto"/>
            <w:bottom w:val="none" w:sz="0" w:space="0" w:color="auto"/>
            <w:right w:val="none" w:sz="0" w:space="0" w:color="auto"/>
          </w:divBdr>
        </w:div>
        <w:div w:id="991060733">
          <w:marLeft w:val="0"/>
          <w:marRight w:val="0"/>
          <w:marTop w:val="0"/>
          <w:marBottom w:val="0"/>
          <w:divBdr>
            <w:top w:val="none" w:sz="0" w:space="0" w:color="auto"/>
            <w:left w:val="none" w:sz="0" w:space="0" w:color="auto"/>
            <w:bottom w:val="none" w:sz="0" w:space="0" w:color="auto"/>
            <w:right w:val="none" w:sz="0" w:space="0" w:color="auto"/>
          </w:divBdr>
        </w:div>
        <w:div w:id="1003361781">
          <w:marLeft w:val="0"/>
          <w:marRight w:val="0"/>
          <w:marTop w:val="0"/>
          <w:marBottom w:val="0"/>
          <w:divBdr>
            <w:top w:val="none" w:sz="0" w:space="0" w:color="auto"/>
            <w:left w:val="none" w:sz="0" w:space="0" w:color="auto"/>
            <w:bottom w:val="none" w:sz="0" w:space="0" w:color="auto"/>
            <w:right w:val="none" w:sz="0" w:space="0" w:color="auto"/>
          </w:divBdr>
        </w:div>
        <w:div w:id="1035279206">
          <w:marLeft w:val="0"/>
          <w:marRight w:val="0"/>
          <w:marTop w:val="0"/>
          <w:marBottom w:val="0"/>
          <w:divBdr>
            <w:top w:val="none" w:sz="0" w:space="0" w:color="auto"/>
            <w:left w:val="none" w:sz="0" w:space="0" w:color="auto"/>
            <w:bottom w:val="none" w:sz="0" w:space="0" w:color="auto"/>
            <w:right w:val="none" w:sz="0" w:space="0" w:color="auto"/>
          </w:divBdr>
        </w:div>
        <w:div w:id="1059326547">
          <w:marLeft w:val="0"/>
          <w:marRight w:val="0"/>
          <w:marTop w:val="0"/>
          <w:marBottom w:val="0"/>
          <w:divBdr>
            <w:top w:val="none" w:sz="0" w:space="0" w:color="auto"/>
            <w:left w:val="none" w:sz="0" w:space="0" w:color="auto"/>
            <w:bottom w:val="none" w:sz="0" w:space="0" w:color="auto"/>
            <w:right w:val="none" w:sz="0" w:space="0" w:color="auto"/>
          </w:divBdr>
        </w:div>
        <w:div w:id="1111559060">
          <w:marLeft w:val="0"/>
          <w:marRight w:val="0"/>
          <w:marTop w:val="0"/>
          <w:marBottom w:val="0"/>
          <w:divBdr>
            <w:top w:val="none" w:sz="0" w:space="0" w:color="auto"/>
            <w:left w:val="none" w:sz="0" w:space="0" w:color="auto"/>
            <w:bottom w:val="none" w:sz="0" w:space="0" w:color="auto"/>
            <w:right w:val="none" w:sz="0" w:space="0" w:color="auto"/>
          </w:divBdr>
        </w:div>
        <w:div w:id="1116020485">
          <w:marLeft w:val="0"/>
          <w:marRight w:val="0"/>
          <w:marTop w:val="0"/>
          <w:marBottom w:val="0"/>
          <w:divBdr>
            <w:top w:val="none" w:sz="0" w:space="0" w:color="auto"/>
            <w:left w:val="none" w:sz="0" w:space="0" w:color="auto"/>
            <w:bottom w:val="none" w:sz="0" w:space="0" w:color="auto"/>
            <w:right w:val="none" w:sz="0" w:space="0" w:color="auto"/>
          </w:divBdr>
        </w:div>
        <w:div w:id="1126653901">
          <w:marLeft w:val="0"/>
          <w:marRight w:val="0"/>
          <w:marTop w:val="0"/>
          <w:marBottom w:val="0"/>
          <w:divBdr>
            <w:top w:val="none" w:sz="0" w:space="0" w:color="auto"/>
            <w:left w:val="none" w:sz="0" w:space="0" w:color="auto"/>
            <w:bottom w:val="none" w:sz="0" w:space="0" w:color="auto"/>
            <w:right w:val="none" w:sz="0" w:space="0" w:color="auto"/>
          </w:divBdr>
        </w:div>
        <w:div w:id="1130711129">
          <w:marLeft w:val="0"/>
          <w:marRight w:val="0"/>
          <w:marTop w:val="0"/>
          <w:marBottom w:val="0"/>
          <w:divBdr>
            <w:top w:val="none" w:sz="0" w:space="0" w:color="auto"/>
            <w:left w:val="none" w:sz="0" w:space="0" w:color="auto"/>
            <w:bottom w:val="none" w:sz="0" w:space="0" w:color="auto"/>
            <w:right w:val="none" w:sz="0" w:space="0" w:color="auto"/>
          </w:divBdr>
        </w:div>
        <w:div w:id="1161851205">
          <w:marLeft w:val="0"/>
          <w:marRight w:val="0"/>
          <w:marTop w:val="0"/>
          <w:marBottom w:val="0"/>
          <w:divBdr>
            <w:top w:val="none" w:sz="0" w:space="0" w:color="auto"/>
            <w:left w:val="none" w:sz="0" w:space="0" w:color="auto"/>
            <w:bottom w:val="none" w:sz="0" w:space="0" w:color="auto"/>
            <w:right w:val="none" w:sz="0" w:space="0" w:color="auto"/>
          </w:divBdr>
        </w:div>
        <w:div w:id="1164051422">
          <w:marLeft w:val="0"/>
          <w:marRight w:val="0"/>
          <w:marTop w:val="0"/>
          <w:marBottom w:val="0"/>
          <w:divBdr>
            <w:top w:val="none" w:sz="0" w:space="0" w:color="auto"/>
            <w:left w:val="none" w:sz="0" w:space="0" w:color="auto"/>
            <w:bottom w:val="none" w:sz="0" w:space="0" w:color="auto"/>
            <w:right w:val="none" w:sz="0" w:space="0" w:color="auto"/>
          </w:divBdr>
        </w:div>
        <w:div w:id="1185945757">
          <w:marLeft w:val="0"/>
          <w:marRight w:val="0"/>
          <w:marTop w:val="0"/>
          <w:marBottom w:val="0"/>
          <w:divBdr>
            <w:top w:val="none" w:sz="0" w:space="0" w:color="auto"/>
            <w:left w:val="none" w:sz="0" w:space="0" w:color="auto"/>
            <w:bottom w:val="none" w:sz="0" w:space="0" w:color="auto"/>
            <w:right w:val="none" w:sz="0" w:space="0" w:color="auto"/>
          </w:divBdr>
        </w:div>
        <w:div w:id="1188911290">
          <w:marLeft w:val="0"/>
          <w:marRight w:val="0"/>
          <w:marTop w:val="0"/>
          <w:marBottom w:val="0"/>
          <w:divBdr>
            <w:top w:val="none" w:sz="0" w:space="0" w:color="auto"/>
            <w:left w:val="none" w:sz="0" w:space="0" w:color="auto"/>
            <w:bottom w:val="none" w:sz="0" w:space="0" w:color="auto"/>
            <w:right w:val="none" w:sz="0" w:space="0" w:color="auto"/>
          </w:divBdr>
        </w:div>
        <w:div w:id="1189679447">
          <w:marLeft w:val="0"/>
          <w:marRight w:val="0"/>
          <w:marTop w:val="0"/>
          <w:marBottom w:val="0"/>
          <w:divBdr>
            <w:top w:val="none" w:sz="0" w:space="0" w:color="auto"/>
            <w:left w:val="none" w:sz="0" w:space="0" w:color="auto"/>
            <w:bottom w:val="none" w:sz="0" w:space="0" w:color="auto"/>
            <w:right w:val="none" w:sz="0" w:space="0" w:color="auto"/>
          </w:divBdr>
        </w:div>
        <w:div w:id="1197309136">
          <w:marLeft w:val="0"/>
          <w:marRight w:val="0"/>
          <w:marTop w:val="0"/>
          <w:marBottom w:val="0"/>
          <w:divBdr>
            <w:top w:val="none" w:sz="0" w:space="0" w:color="auto"/>
            <w:left w:val="none" w:sz="0" w:space="0" w:color="auto"/>
            <w:bottom w:val="none" w:sz="0" w:space="0" w:color="auto"/>
            <w:right w:val="none" w:sz="0" w:space="0" w:color="auto"/>
          </w:divBdr>
        </w:div>
        <w:div w:id="1229271438">
          <w:marLeft w:val="0"/>
          <w:marRight w:val="0"/>
          <w:marTop w:val="0"/>
          <w:marBottom w:val="0"/>
          <w:divBdr>
            <w:top w:val="none" w:sz="0" w:space="0" w:color="auto"/>
            <w:left w:val="none" w:sz="0" w:space="0" w:color="auto"/>
            <w:bottom w:val="none" w:sz="0" w:space="0" w:color="auto"/>
            <w:right w:val="none" w:sz="0" w:space="0" w:color="auto"/>
          </w:divBdr>
        </w:div>
        <w:div w:id="1262834130">
          <w:marLeft w:val="0"/>
          <w:marRight w:val="0"/>
          <w:marTop w:val="0"/>
          <w:marBottom w:val="0"/>
          <w:divBdr>
            <w:top w:val="none" w:sz="0" w:space="0" w:color="auto"/>
            <w:left w:val="none" w:sz="0" w:space="0" w:color="auto"/>
            <w:bottom w:val="none" w:sz="0" w:space="0" w:color="auto"/>
            <w:right w:val="none" w:sz="0" w:space="0" w:color="auto"/>
          </w:divBdr>
        </w:div>
        <w:div w:id="1272518136">
          <w:marLeft w:val="0"/>
          <w:marRight w:val="0"/>
          <w:marTop w:val="0"/>
          <w:marBottom w:val="0"/>
          <w:divBdr>
            <w:top w:val="none" w:sz="0" w:space="0" w:color="auto"/>
            <w:left w:val="none" w:sz="0" w:space="0" w:color="auto"/>
            <w:bottom w:val="none" w:sz="0" w:space="0" w:color="auto"/>
            <w:right w:val="none" w:sz="0" w:space="0" w:color="auto"/>
          </w:divBdr>
        </w:div>
        <w:div w:id="1282954755">
          <w:marLeft w:val="0"/>
          <w:marRight w:val="0"/>
          <w:marTop w:val="0"/>
          <w:marBottom w:val="0"/>
          <w:divBdr>
            <w:top w:val="none" w:sz="0" w:space="0" w:color="auto"/>
            <w:left w:val="none" w:sz="0" w:space="0" w:color="auto"/>
            <w:bottom w:val="none" w:sz="0" w:space="0" w:color="auto"/>
            <w:right w:val="none" w:sz="0" w:space="0" w:color="auto"/>
          </w:divBdr>
        </w:div>
        <w:div w:id="1284994038">
          <w:marLeft w:val="0"/>
          <w:marRight w:val="0"/>
          <w:marTop w:val="0"/>
          <w:marBottom w:val="0"/>
          <w:divBdr>
            <w:top w:val="none" w:sz="0" w:space="0" w:color="auto"/>
            <w:left w:val="none" w:sz="0" w:space="0" w:color="auto"/>
            <w:bottom w:val="none" w:sz="0" w:space="0" w:color="auto"/>
            <w:right w:val="none" w:sz="0" w:space="0" w:color="auto"/>
          </w:divBdr>
        </w:div>
        <w:div w:id="1286621361">
          <w:marLeft w:val="0"/>
          <w:marRight w:val="0"/>
          <w:marTop w:val="0"/>
          <w:marBottom w:val="0"/>
          <w:divBdr>
            <w:top w:val="none" w:sz="0" w:space="0" w:color="auto"/>
            <w:left w:val="none" w:sz="0" w:space="0" w:color="auto"/>
            <w:bottom w:val="none" w:sz="0" w:space="0" w:color="auto"/>
            <w:right w:val="none" w:sz="0" w:space="0" w:color="auto"/>
          </w:divBdr>
        </w:div>
        <w:div w:id="1308239738">
          <w:marLeft w:val="0"/>
          <w:marRight w:val="0"/>
          <w:marTop w:val="0"/>
          <w:marBottom w:val="0"/>
          <w:divBdr>
            <w:top w:val="none" w:sz="0" w:space="0" w:color="auto"/>
            <w:left w:val="none" w:sz="0" w:space="0" w:color="auto"/>
            <w:bottom w:val="none" w:sz="0" w:space="0" w:color="auto"/>
            <w:right w:val="none" w:sz="0" w:space="0" w:color="auto"/>
          </w:divBdr>
        </w:div>
        <w:div w:id="1325940168">
          <w:marLeft w:val="0"/>
          <w:marRight w:val="0"/>
          <w:marTop w:val="0"/>
          <w:marBottom w:val="0"/>
          <w:divBdr>
            <w:top w:val="none" w:sz="0" w:space="0" w:color="auto"/>
            <w:left w:val="none" w:sz="0" w:space="0" w:color="auto"/>
            <w:bottom w:val="none" w:sz="0" w:space="0" w:color="auto"/>
            <w:right w:val="none" w:sz="0" w:space="0" w:color="auto"/>
          </w:divBdr>
        </w:div>
        <w:div w:id="1347753747">
          <w:marLeft w:val="0"/>
          <w:marRight w:val="0"/>
          <w:marTop w:val="0"/>
          <w:marBottom w:val="0"/>
          <w:divBdr>
            <w:top w:val="none" w:sz="0" w:space="0" w:color="auto"/>
            <w:left w:val="none" w:sz="0" w:space="0" w:color="auto"/>
            <w:bottom w:val="none" w:sz="0" w:space="0" w:color="auto"/>
            <w:right w:val="none" w:sz="0" w:space="0" w:color="auto"/>
          </w:divBdr>
        </w:div>
        <w:div w:id="1395423410">
          <w:marLeft w:val="0"/>
          <w:marRight w:val="0"/>
          <w:marTop w:val="0"/>
          <w:marBottom w:val="0"/>
          <w:divBdr>
            <w:top w:val="none" w:sz="0" w:space="0" w:color="auto"/>
            <w:left w:val="none" w:sz="0" w:space="0" w:color="auto"/>
            <w:bottom w:val="none" w:sz="0" w:space="0" w:color="auto"/>
            <w:right w:val="none" w:sz="0" w:space="0" w:color="auto"/>
          </w:divBdr>
        </w:div>
        <w:div w:id="1405449532">
          <w:marLeft w:val="0"/>
          <w:marRight w:val="0"/>
          <w:marTop w:val="0"/>
          <w:marBottom w:val="0"/>
          <w:divBdr>
            <w:top w:val="none" w:sz="0" w:space="0" w:color="auto"/>
            <w:left w:val="none" w:sz="0" w:space="0" w:color="auto"/>
            <w:bottom w:val="none" w:sz="0" w:space="0" w:color="auto"/>
            <w:right w:val="none" w:sz="0" w:space="0" w:color="auto"/>
          </w:divBdr>
        </w:div>
        <w:div w:id="1409309815">
          <w:marLeft w:val="0"/>
          <w:marRight w:val="0"/>
          <w:marTop w:val="0"/>
          <w:marBottom w:val="0"/>
          <w:divBdr>
            <w:top w:val="none" w:sz="0" w:space="0" w:color="auto"/>
            <w:left w:val="none" w:sz="0" w:space="0" w:color="auto"/>
            <w:bottom w:val="none" w:sz="0" w:space="0" w:color="auto"/>
            <w:right w:val="none" w:sz="0" w:space="0" w:color="auto"/>
          </w:divBdr>
        </w:div>
        <w:div w:id="1415512114">
          <w:marLeft w:val="0"/>
          <w:marRight w:val="0"/>
          <w:marTop w:val="0"/>
          <w:marBottom w:val="0"/>
          <w:divBdr>
            <w:top w:val="none" w:sz="0" w:space="0" w:color="auto"/>
            <w:left w:val="none" w:sz="0" w:space="0" w:color="auto"/>
            <w:bottom w:val="none" w:sz="0" w:space="0" w:color="auto"/>
            <w:right w:val="none" w:sz="0" w:space="0" w:color="auto"/>
          </w:divBdr>
        </w:div>
        <w:div w:id="1416049423">
          <w:marLeft w:val="0"/>
          <w:marRight w:val="0"/>
          <w:marTop w:val="0"/>
          <w:marBottom w:val="0"/>
          <w:divBdr>
            <w:top w:val="none" w:sz="0" w:space="0" w:color="auto"/>
            <w:left w:val="none" w:sz="0" w:space="0" w:color="auto"/>
            <w:bottom w:val="none" w:sz="0" w:space="0" w:color="auto"/>
            <w:right w:val="none" w:sz="0" w:space="0" w:color="auto"/>
          </w:divBdr>
        </w:div>
        <w:div w:id="1416979017">
          <w:marLeft w:val="0"/>
          <w:marRight w:val="0"/>
          <w:marTop w:val="0"/>
          <w:marBottom w:val="0"/>
          <w:divBdr>
            <w:top w:val="none" w:sz="0" w:space="0" w:color="auto"/>
            <w:left w:val="none" w:sz="0" w:space="0" w:color="auto"/>
            <w:bottom w:val="none" w:sz="0" w:space="0" w:color="auto"/>
            <w:right w:val="none" w:sz="0" w:space="0" w:color="auto"/>
          </w:divBdr>
        </w:div>
        <w:div w:id="1442841450">
          <w:marLeft w:val="0"/>
          <w:marRight w:val="0"/>
          <w:marTop w:val="0"/>
          <w:marBottom w:val="0"/>
          <w:divBdr>
            <w:top w:val="none" w:sz="0" w:space="0" w:color="auto"/>
            <w:left w:val="none" w:sz="0" w:space="0" w:color="auto"/>
            <w:bottom w:val="none" w:sz="0" w:space="0" w:color="auto"/>
            <w:right w:val="none" w:sz="0" w:space="0" w:color="auto"/>
          </w:divBdr>
        </w:div>
        <w:div w:id="1458643834">
          <w:marLeft w:val="0"/>
          <w:marRight w:val="0"/>
          <w:marTop w:val="0"/>
          <w:marBottom w:val="0"/>
          <w:divBdr>
            <w:top w:val="none" w:sz="0" w:space="0" w:color="auto"/>
            <w:left w:val="none" w:sz="0" w:space="0" w:color="auto"/>
            <w:bottom w:val="none" w:sz="0" w:space="0" w:color="auto"/>
            <w:right w:val="none" w:sz="0" w:space="0" w:color="auto"/>
          </w:divBdr>
        </w:div>
        <w:div w:id="1461419993">
          <w:marLeft w:val="0"/>
          <w:marRight w:val="0"/>
          <w:marTop w:val="0"/>
          <w:marBottom w:val="0"/>
          <w:divBdr>
            <w:top w:val="none" w:sz="0" w:space="0" w:color="auto"/>
            <w:left w:val="none" w:sz="0" w:space="0" w:color="auto"/>
            <w:bottom w:val="none" w:sz="0" w:space="0" w:color="auto"/>
            <w:right w:val="none" w:sz="0" w:space="0" w:color="auto"/>
          </w:divBdr>
        </w:div>
        <w:div w:id="1508788759">
          <w:marLeft w:val="0"/>
          <w:marRight w:val="0"/>
          <w:marTop w:val="0"/>
          <w:marBottom w:val="0"/>
          <w:divBdr>
            <w:top w:val="none" w:sz="0" w:space="0" w:color="auto"/>
            <w:left w:val="none" w:sz="0" w:space="0" w:color="auto"/>
            <w:bottom w:val="none" w:sz="0" w:space="0" w:color="auto"/>
            <w:right w:val="none" w:sz="0" w:space="0" w:color="auto"/>
          </w:divBdr>
        </w:div>
        <w:div w:id="1511528586">
          <w:marLeft w:val="0"/>
          <w:marRight w:val="0"/>
          <w:marTop w:val="0"/>
          <w:marBottom w:val="0"/>
          <w:divBdr>
            <w:top w:val="none" w:sz="0" w:space="0" w:color="auto"/>
            <w:left w:val="none" w:sz="0" w:space="0" w:color="auto"/>
            <w:bottom w:val="none" w:sz="0" w:space="0" w:color="auto"/>
            <w:right w:val="none" w:sz="0" w:space="0" w:color="auto"/>
          </w:divBdr>
        </w:div>
        <w:div w:id="1533759944">
          <w:marLeft w:val="0"/>
          <w:marRight w:val="0"/>
          <w:marTop w:val="0"/>
          <w:marBottom w:val="0"/>
          <w:divBdr>
            <w:top w:val="none" w:sz="0" w:space="0" w:color="auto"/>
            <w:left w:val="none" w:sz="0" w:space="0" w:color="auto"/>
            <w:bottom w:val="none" w:sz="0" w:space="0" w:color="auto"/>
            <w:right w:val="none" w:sz="0" w:space="0" w:color="auto"/>
          </w:divBdr>
        </w:div>
        <w:div w:id="1545214048">
          <w:marLeft w:val="0"/>
          <w:marRight w:val="0"/>
          <w:marTop w:val="0"/>
          <w:marBottom w:val="0"/>
          <w:divBdr>
            <w:top w:val="none" w:sz="0" w:space="0" w:color="auto"/>
            <w:left w:val="none" w:sz="0" w:space="0" w:color="auto"/>
            <w:bottom w:val="none" w:sz="0" w:space="0" w:color="auto"/>
            <w:right w:val="none" w:sz="0" w:space="0" w:color="auto"/>
          </w:divBdr>
        </w:div>
        <w:div w:id="1548255192">
          <w:marLeft w:val="0"/>
          <w:marRight w:val="0"/>
          <w:marTop w:val="0"/>
          <w:marBottom w:val="0"/>
          <w:divBdr>
            <w:top w:val="none" w:sz="0" w:space="0" w:color="auto"/>
            <w:left w:val="none" w:sz="0" w:space="0" w:color="auto"/>
            <w:bottom w:val="none" w:sz="0" w:space="0" w:color="auto"/>
            <w:right w:val="none" w:sz="0" w:space="0" w:color="auto"/>
          </w:divBdr>
        </w:div>
        <w:div w:id="1570261926">
          <w:marLeft w:val="0"/>
          <w:marRight w:val="0"/>
          <w:marTop w:val="0"/>
          <w:marBottom w:val="0"/>
          <w:divBdr>
            <w:top w:val="none" w:sz="0" w:space="0" w:color="auto"/>
            <w:left w:val="none" w:sz="0" w:space="0" w:color="auto"/>
            <w:bottom w:val="none" w:sz="0" w:space="0" w:color="auto"/>
            <w:right w:val="none" w:sz="0" w:space="0" w:color="auto"/>
          </w:divBdr>
        </w:div>
        <w:div w:id="1584492216">
          <w:marLeft w:val="0"/>
          <w:marRight w:val="0"/>
          <w:marTop w:val="0"/>
          <w:marBottom w:val="0"/>
          <w:divBdr>
            <w:top w:val="none" w:sz="0" w:space="0" w:color="auto"/>
            <w:left w:val="none" w:sz="0" w:space="0" w:color="auto"/>
            <w:bottom w:val="none" w:sz="0" w:space="0" w:color="auto"/>
            <w:right w:val="none" w:sz="0" w:space="0" w:color="auto"/>
          </w:divBdr>
        </w:div>
        <w:div w:id="1591235200">
          <w:marLeft w:val="0"/>
          <w:marRight w:val="0"/>
          <w:marTop w:val="0"/>
          <w:marBottom w:val="0"/>
          <w:divBdr>
            <w:top w:val="none" w:sz="0" w:space="0" w:color="auto"/>
            <w:left w:val="none" w:sz="0" w:space="0" w:color="auto"/>
            <w:bottom w:val="none" w:sz="0" w:space="0" w:color="auto"/>
            <w:right w:val="none" w:sz="0" w:space="0" w:color="auto"/>
          </w:divBdr>
        </w:div>
        <w:div w:id="1597399475">
          <w:marLeft w:val="0"/>
          <w:marRight w:val="0"/>
          <w:marTop w:val="0"/>
          <w:marBottom w:val="0"/>
          <w:divBdr>
            <w:top w:val="none" w:sz="0" w:space="0" w:color="auto"/>
            <w:left w:val="none" w:sz="0" w:space="0" w:color="auto"/>
            <w:bottom w:val="none" w:sz="0" w:space="0" w:color="auto"/>
            <w:right w:val="none" w:sz="0" w:space="0" w:color="auto"/>
          </w:divBdr>
        </w:div>
        <w:div w:id="1601721770">
          <w:marLeft w:val="0"/>
          <w:marRight w:val="0"/>
          <w:marTop w:val="0"/>
          <w:marBottom w:val="0"/>
          <w:divBdr>
            <w:top w:val="none" w:sz="0" w:space="0" w:color="auto"/>
            <w:left w:val="none" w:sz="0" w:space="0" w:color="auto"/>
            <w:bottom w:val="none" w:sz="0" w:space="0" w:color="auto"/>
            <w:right w:val="none" w:sz="0" w:space="0" w:color="auto"/>
          </w:divBdr>
        </w:div>
        <w:div w:id="1605961849">
          <w:marLeft w:val="0"/>
          <w:marRight w:val="0"/>
          <w:marTop w:val="0"/>
          <w:marBottom w:val="0"/>
          <w:divBdr>
            <w:top w:val="none" w:sz="0" w:space="0" w:color="auto"/>
            <w:left w:val="none" w:sz="0" w:space="0" w:color="auto"/>
            <w:bottom w:val="none" w:sz="0" w:space="0" w:color="auto"/>
            <w:right w:val="none" w:sz="0" w:space="0" w:color="auto"/>
          </w:divBdr>
        </w:div>
        <w:div w:id="1617833006">
          <w:marLeft w:val="0"/>
          <w:marRight w:val="0"/>
          <w:marTop w:val="0"/>
          <w:marBottom w:val="0"/>
          <w:divBdr>
            <w:top w:val="none" w:sz="0" w:space="0" w:color="auto"/>
            <w:left w:val="none" w:sz="0" w:space="0" w:color="auto"/>
            <w:bottom w:val="none" w:sz="0" w:space="0" w:color="auto"/>
            <w:right w:val="none" w:sz="0" w:space="0" w:color="auto"/>
          </w:divBdr>
        </w:div>
        <w:div w:id="1629312832">
          <w:marLeft w:val="0"/>
          <w:marRight w:val="0"/>
          <w:marTop w:val="0"/>
          <w:marBottom w:val="0"/>
          <w:divBdr>
            <w:top w:val="none" w:sz="0" w:space="0" w:color="auto"/>
            <w:left w:val="none" w:sz="0" w:space="0" w:color="auto"/>
            <w:bottom w:val="none" w:sz="0" w:space="0" w:color="auto"/>
            <w:right w:val="none" w:sz="0" w:space="0" w:color="auto"/>
          </w:divBdr>
        </w:div>
        <w:div w:id="1643461981">
          <w:marLeft w:val="0"/>
          <w:marRight w:val="0"/>
          <w:marTop w:val="0"/>
          <w:marBottom w:val="0"/>
          <w:divBdr>
            <w:top w:val="none" w:sz="0" w:space="0" w:color="auto"/>
            <w:left w:val="none" w:sz="0" w:space="0" w:color="auto"/>
            <w:bottom w:val="none" w:sz="0" w:space="0" w:color="auto"/>
            <w:right w:val="none" w:sz="0" w:space="0" w:color="auto"/>
          </w:divBdr>
        </w:div>
        <w:div w:id="1643847606">
          <w:marLeft w:val="0"/>
          <w:marRight w:val="0"/>
          <w:marTop w:val="0"/>
          <w:marBottom w:val="0"/>
          <w:divBdr>
            <w:top w:val="none" w:sz="0" w:space="0" w:color="auto"/>
            <w:left w:val="none" w:sz="0" w:space="0" w:color="auto"/>
            <w:bottom w:val="none" w:sz="0" w:space="0" w:color="auto"/>
            <w:right w:val="none" w:sz="0" w:space="0" w:color="auto"/>
          </w:divBdr>
        </w:div>
        <w:div w:id="1651445848">
          <w:marLeft w:val="0"/>
          <w:marRight w:val="0"/>
          <w:marTop w:val="0"/>
          <w:marBottom w:val="0"/>
          <w:divBdr>
            <w:top w:val="none" w:sz="0" w:space="0" w:color="auto"/>
            <w:left w:val="none" w:sz="0" w:space="0" w:color="auto"/>
            <w:bottom w:val="none" w:sz="0" w:space="0" w:color="auto"/>
            <w:right w:val="none" w:sz="0" w:space="0" w:color="auto"/>
          </w:divBdr>
        </w:div>
        <w:div w:id="1655254996">
          <w:marLeft w:val="0"/>
          <w:marRight w:val="0"/>
          <w:marTop w:val="0"/>
          <w:marBottom w:val="0"/>
          <w:divBdr>
            <w:top w:val="none" w:sz="0" w:space="0" w:color="auto"/>
            <w:left w:val="none" w:sz="0" w:space="0" w:color="auto"/>
            <w:bottom w:val="none" w:sz="0" w:space="0" w:color="auto"/>
            <w:right w:val="none" w:sz="0" w:space="0" w:color="auto"/>
          </w:divBdr>
        </w:div>
        <w:div w:id="1670984484">
          <w:marLeft w:val="0"/>
          <w:marRight w:val="0"/>
          <w:marTop w:val="0"/>
          <w:marBottom w:val="0"/>
          <w:divBdr>
            <w:top w:val="none" w:sz="0" w:space="0" w:color="auto"/>
            <w:left w:val="none" w:sz="0" w:space="0" w:color="auto"/>
            <w:bottom w:val="none" w:sz="0" w:space="0" w:color="auto"/>
            <w:right w:val="none" w:sz="0" w:space="0" w:color="auto"/>
          </w:divBdr>
        </w:div>
        <w:div w:id="1677223199">
          <w:marLeft w:val="0"/>
          <w:marRight w:val="0"/>
          <w:marTop w:val="0"/>
          <w:marBottom w:val="0"/>
          <w:divBdr>
            <w:top w:val="none" w:sz="0" w:space="0" w:color="auto"/>
            <w:left w:val="none" w:sz="0" w:space="0" w:color="auto"/>
            <w:bottom w:val="none" w:sz="0" w:space="0" w:color="auto"/>
            <w:right w:val="none" w:sz="0" w:space="0" w:color="auto"/>
          </w:divBdr>
        </w:div>
        <w:div w:id="1677732994">
          <w:marLeft w:val="0"/>
          <w:marRight w:val="0"/>
          <w:marTop w:val="0"/>
          <w:marBottom w:val="0"/>
          <w:divBdr>
            <w:top w:val="none" w:sz="0" w:space="0" w:color="auto"/>
            <w:left w:val="none" w:sz="0" w:space="0" w:color="auto"/>
            <w:bottom w:val="none" w:sz="0" w:space="0" w:color="auto"/>
            <w:right w:val="none" w:sz="0" w:space="0" w:color="auto"/>
          </w:divBdr>
        </w:div>
        <w:div w:id="1686595800">
          <w:marLeft w:val="0"/>
          <w:marRight w:val="0"/>
          <w:marTop w:val="0"/>
          <w:marBottom w:val="0"/>
          <w:divBdr>
            <w:top w:val="none" w:sz="0" w:space="0" w:color="auto"/>
            <w:left w:val="none" w:sz="0" w:space="0" w:color="auto"/>
            <w:bottom w:val="none" w:sz="0" w:space="0" w:color="auto"/>
            <w:right w:val="none" w:sz="0" w:space="0" w:color="auto"/>
          </w:divBdr>
        </w:div>
        <w:div w:id="1737433796">
          <w:marLeft w:val="0"/>
          <w:marRight w:val="0"/>
          <w:marTop w:val="0"/>
          <w:marBottom w:val="0"/>
          <w:divBdr>
            <w:top w:val="none" w:sz="0" w:space="0" w:color="auto"/>
            <w:left w:val="none" w:sz="0" w:space="0" w:color="auto"/>
            <w:bottom w:val="none" w:sz="0" w:space="0" w:color="auto"/>
            <w:right w:val="none" w:sz="0" w:space="0" w:color="auto"/>
          </w:divBdr>
        </w:div>
        <w:div w:id="1755395773">
          <w:marLeft w:val="0"/>
          <w:marRight w:val="0"/>
          <w:marTop w:val="0"/>
          <w:marBottom w:val="0"/>
          <w:divBdr>
            <w:top w:val="none" w:sz="0" w:space="0" w:color="auto"/>
            <w:left w:val="none" w:sz="0" w:space="0" w:color="auto"/>
            <w:bottom w:val="none" w:sz="0" w:space="0" w:color="auto"/>
            <w:right w:val="none" w:sz="0" w:space="0" w:color="auto"/>
          </w:divBdr>
        </w:div>
        <w:div w:id="1757437248">
          <w:marLeft w:val="0"/>
          <w:marRight w:val="0"/>
          <w:marTop w:val="0"/>
          <w:marBottom w:val="0"/>
          <w:divBdr>
            <w:top w:val="none" w:sz="0" w:space="0" w:color="auto"/>
            <w:left w:val="none" w:sz="0" w:space="0" w:color="auto"/>
            <w:bottom w:val="none" w:sz="0" w:space="0" w:color="auto"/>
            <w:right w:val="none" w:sz="0" w:space="0" w:color="auto"/>
          </w:divBdr>
        </w:div>
        <w:div w:id="1769544211">
          <w:marLeft w:val="0"/>
          <w:marRight w:val="0"/>
          <w:marTop w:val="0"/>
          <w:marBottom w:val="0"/>
          <w:divBdr>
            <w:top w:val="none" w:sz="0" w:space="0" w:color="auto"/>
            <w:left w:val="none" w:sz="0" w:space="0" w:color="auto"/>
            <w:bottom w:val="none" w:sz="0" w:space="0" w:color="auto"/>
            <w:right w:val="none" w:sz="0" w:space="0" w:color="auto"/>
          </w:divBdr>
        </w:div>
        <w:div w:id="1778326563">
          <w:marLeft w:val="0"/>
          <w:marRight w:val="0"/>
          <w:marTop w:val="0"/>
          <w:marBottom w:val="0"/>
          <w:divBdr>
            <w:top w:val="none" w:sz="0" w:space="0" w:color="auto"/>
            <w:left w:val="none" w:sz="0" w:space="0" w:color="auto"/>
            <w:bottom w:val="none" w:sz="0" w:space="0" w:color="auto"/>
            <w:right w:val="none" w:sz="0" w:space="0" w:color="auto"/>
          </w:divBdr>
        </w:div>
        <w:div w:id="1785079724">
          <w:marLeft w:val="0"/>
          <w:marRight w:val="0"/>
          <w:marTop w:val="0"/>
          <w:marBottom w:val="0"/>
          <w:divBdr>
            <w:top w:val="none" w:sz="0" w:space="0" w:color="auto"/>
            <w:left w:val="none" w:sz="0" w:space="0" w:color="auto"/>
            <w:bottom w:val="none" w:sz="0" w:space="0" w:color="auto"/>
            <w:right w:val="none" w:sz="0" w:space="0" w:color="auto"/>
          </w:divBdr>
        </w:div>
        <w:div w:id="1786466561">
          <w:marLeft w:val="0"/>
          <w:marRight w:val="0"/>
          <w:marTop w:val="0"/>
          <w:marBottom w:val="0"/>
          <w:divBdr>
            <w:top w:val="none" w:sz="0" w:space="0" w:color="auto"/>
            <w:left w:val="none" w:sz="0" w:space="0" w:color="auto"/>
            <w:bottom w:val="none" w:sz="0" w:space="0" w:color="auto"/>
            <w:right w:val="none" w:sz="0" w:space="0" w:color="auto"/>
          </w:divBdr>
        </w:div>
        <w:div w:id="1809393564">
          <w:marLeft w:val="0"/>
          <w:marRight w:val="0"/>
          <w:marTop w:val="0"/>
          <w:marBottom w:val="0"/>
          <w:divBdr>
            <w:top w:val="none" w:sz="0" w:space="0" w:color="auto"/>
            <w:left w:val="none" w:sz="0" w:space="0" w:color="auto"/>
            <w:bottom w:val="none" w:sz="0" w:space="0" w:color="auto"/>
            <w:right w:val="none" w:sz="0" w:space="0" w:color="auto"/>
          </w:divBdr>
        </w:div>
        <w:div w:id="1818457043">
          <w:marLeft w:val="0"/>
          <w:marRight w:val="0"/>
          <w:marTop w:val="0"/>
          <w:marBottom w:val="0"/>
          <w:divBdr>
            <w:top w:val="none" w:sz="0" w:space="0" w:color="auto"/>
            <w:left w:val="none" w:sz="0" w:space="0" w:color="auto"/>
            <w:bottom w:val="none" w:sz="0" w:space="0" w:color="auto"/>
            <w:right w:val="none" w:sz="0" w:space="0" w:color="auto"/>
          </w:divBdr>
        </w:div>
        <w:div w:id="1821311981">
          <w:marLeft w:val="0"/>
          <w:marRight w:val="0"/>
          <w:marTop w:val="0"/>
          <w:marBottom w:val="0"/>
          <w:divBdr>
            <w:top w:val="none" w:sz="0" w:space="0" w:color="auto"/>
            <w:left w:val="none" w:sz="0" w:space="0" w:color="auto"/>
            <w:bottom w:val="none" w:sz="0" w:space="0" w:color="auto"/>
            <w:right w:val="none" w:sz="0" w:space="0" w:color="auto"/>
          </w:divBdr>
        </w:div>
        <w:div w:id="1827893102">
          <w:marLeft w:val="0"/>
          <w:marRight w:val="0"/>
          <w:marTop w:val="0"/>
          <w:marBottom w:val="0"/>
          <w:divBdr>
            <w:top w:val="none" w:sz="0" w:space="0" w:color="auto"/>
            <w:left w:val="none" w:sz="0" w:space="0" w:color="auto"/>
            <w:bottom w:val="none" w:sz="0" w:space="0" w:color="auto"/>
            <w:right w:val="none" w:sz="0" w:space="0" w:color="auto"/>
          </w:divBdr>
        </w:div>
        <w:div w:id="1830756069">
          <w:marLeft w:val="0"/>
          <w:marRight w:val="0"/>
          <w:marTop w:val="0"/>
          <w:marBottom w:val="0"/>
          <w:divBdr>
            <w:top w:val="none" w:sz="0" w:space="0" w:color="auto"/>
            <w:left w:val="none" w:sz="0" w:space="0" w:color="auto"/>
            <w:bottom w:val="none" w:sz="0" w:space="0" w:color="auto"/>
            <w:right w:val="none" w:sz="0" w:space="0" w:color="auto"/>
          </w:divBdr>
        </w:div>
        <w:div w:id="1869029042">
          <w:marLeft w:val="0"/>
          <w:marRight w:val="0"/>
          <w:marTop w:val="0"/>
          <w:marBottom w:val="0"/>
          <w:divBdr>
            <w:top w:val="none" w:sz="0" w:space="0" w:color="auto"/>
            <w:left w:val="none" w:sz="0" w:space="0" w:color="auto"/>
            <w:bottom w:val="none" w:sz="0" w:space="0" w:color="auto"/>
            <w:right w:val="none" w:sz="0" w:space="0" w:color="auto"/>
          </w:divBdr>
        </w:div>
        <w:div w:id="1894734228">
          <w:marLeft w:val="0"/>
          <w:marRight w:val="0"/>
          <w:marTop w:val="0"/>
          <w:marBottom w:val="0"/>
          <w:divBdr>
            <w:top w:val="none" w:sz="0" w:space="0" w:color="auto"/>
            <w:left w:val="none" w:sz="0" w:space="0" w:color="auto"/>
            <w:bottom w:val="none" w:sz="0" w:space="0" w:color="auto"/>
            <w:right w:val="none" w:sz="0" w:space="0" w:color="auto"/>
          </w:divBdr>
        </w:div>
        <w:div w:id="1906795988">
          <w:marLeft w:val="0"/>
          <w:marRight w:val="0"/>
          <w:marTop w:val="0"/>
          <w:marBottom w:val="0"/>
          <w:divBdr>
            <w:top w:val="none" w:sz="0" w:space="0" w:color="auto"/>
            <w:left w:val="none" w:sz="0" w:space="0" w:color="auto"/>
            <w:bottom w:val="none" w:sz="0" w:space="0" w:color="auto"/>
            <w:right w:val="none" w:sz="0" w:space="0" w:color="auto"/>
          </w:divBdr>
        </w:div>
        <w:div w:id="1919631803">
          <w:marLeft w:val="0"/>
          <w:marRight w:val="0"/>
          <w:marTop w:val="0"/>
          <w:marBottom w:val="0"/>
          <w:divBdr>
            <w:top w:val="none" w:sz="0" w:space="0" w:color="auto"/>
            <w:left w:val="none" w:sz="0" w:space="0" w:color="auto"/>
            <w:bottom w:val="none" w:sz="0" w:space="0" w:color="auto"/>
            <w:right w:val="none" w:sz="0" w:space="0" w:color="auto"/>
          </w:divBdr>
        </w:div>
        <w:div w:id="1927224413">
          <w:marLeft w:val="0"/>
          <w:marRight w:val="0"/>
          <w:marTop w:val="0"/>
          <w:marBottom w:val="0"/>
          <w:divBdr>
            <w:top w:val="none" w:sz="0" w:space="0" w:color="auto"/>
            <w:left w:val="none" w:sz="0" w:space="0" w:color="auto"/>
            <w:bottom w:val="none" w:sz="0" w:space="0" w:color="auto"/>
            <w:right w:val="none" w:sz="0" w:space="0" w:color="auto"/>
          </w:divBdr>
        </w:div>
        <w:div w:id="1927642711">
          <w:marLeft w:val="0"/>
          <w:marRight w:val="0"/>
          <w:marTop w:val="0"/>
          <w:marBottom w:val="0"/>
          <w:divBdr>
            <w:top w:val="none" w:sz="0" w:space="0" w:color="auto"/>
            <w:left w:val="none" w:sz="0" w:space="0" w:color="auto"/>
            <w:bottom w:val="none" w:sz="0" w:space="0" w:color="auto"/>
            <w:right w:val="none" w:sz="0" w:space="0" w:color="auto"/>
          </w:divBdr>
        </w:div>
        <w:div w:id="1978990999">
          <w:marLeft w:val="0"/>
          <w:marRight w:val="0"/>
          <w:marTop w:val="0"/>
          <w:marBottom w:val="0"/>
          <w:divBdr>
            <w:top w:val="none" w:sz="0" w:space="0" w:color="auto"/>
            <w:left w:val="none" w:sz="0" w:space="0" w:color="auto"/>
            <w:bottom w:val="none" w:sz="0" w:space="0" w:color="auto"/>
            <w:right w:val="none" w:sz="0" w:space="0" w:color="auto"/>
          </w:divBdr>
        </w:div>
        <w:div w:id="1983803295">
          <w:marLeft w:val="0"/>
          <w:marRight w:val="0"/>
          <w:marTop w:val="0"/>
          <w:marBottom w:val="0"/>
          <w:divBdr>
            <w:top w:val="none" w:sz="0" w:space="0" w:color="auto"/>
            <w:left w:val="none" w:sz="0" w:space="0" w:color="auto"/>
            <w:bottom w:val="none" w:sz="0" w:space="0" w:color="auto"/>
            <w:right w:val="none" w:sz="0" w:space="0" w:color="auto"/>
          </w:divBdr>
        </w:div>
        <w:div w:id="2007711005">
          <w:marLeft w:val="0"/>
          <w:marRight w:val="0"/>
          <w:marTop w:val="0"/>
          <w:marBottom w:val="0"/>
          <w:divBdr>
            <w:top w:val="none" w:sz="0" w:space="0" w:color="auto"/>
            <w:left w:val="none" w:sz="0" w:space="0" w:color="auto"/>
            <w:bottom w:val="none" w:sz="0" w:space="0" w:color="auto"/>
            <w:right w:val="none" w:sz="0" w:space="0" w:color="auto"/>
          </w:divBdr>
        </w:div>
      </w:divsChild>
    </w:div>
    <w:div w:id="1753702808">
      <w:bodyDiv w:val="1"/>
      <w:marLeft w:val="0"/>
      <w:marRight w:val="0"/>
      <w:marTop w:val="0"/>
      <w:marBottom w:val="0"/>
      <w:divBdr>
        <w:top w:val="none" w:sz="0" w:space="0" w:color="auto"/>
        <w:left w:val="none" w:sz="0" w:space="0" w:color="auto"/>
        <w:bottom w:val="none" w:sz="0" w:space="0" w:color="auto"/>
        <w:right w:val="none" w:sz="0" w:space="0" w:color="auto"/>
      </w:divBdr>
    </w:div>
    <w:div w:id="1753743699">
      <w:bodyDiv w:val="1"/>
      <w:marLeft w:val="0"/>
      <w:marRight w:val="0"/>
      <w:marTop w:val="0"/>
      <w:marBottom w:val="0"/>
      <w:divBdr>
        <w:top w:val="none" w:sz="0" w:space="0" w:color="auto"/>
        <w:left w:val="none" w:sz="0" w:space="0" w:color="auto"/>
        <w:bottom w:val="none" w:sz="0" w:space="0" w:color="auto"/>
        <w:right w:val="none" w:sz="0" w:space="0" w:color="auto"/>
      </w:divBdr>
    </w:div>
    <w:div w:id="1754202818">
      <w:bodyDiv w:val="1"/>
      <w:marLeft w:val="0"/>
      <w:marRight w:val="0"/>
      <w:marTop w:val="0"/>
      <w:marBottom w:val="0"/>
      <w:divBdr>
        <w:top w:val="none" w:sz="0" w:space="0" w:color="auto"/>
        <w:left w:val="none" w:sz="0" w:space="0" w:color="auto"/>
        <w:bottom w:val="none" w:sz="0" w:space="0" w:color="auto"/>
        <w:right w:val="none" w:sz="0" w:space="0" w:color="auto"/>
      </w:divBdr>
    </w:div>
    <w:div w:id="1754204974">
      <w:bodyDiv w:val="1"/>
      <w:marLeft w:val="0"/>
      <w:marRight w:val="0"/>
      <w:marTop w:val="0"/>
      <w:marBottom w:val="0"/>
      <w:divBdr>
        <w:top w:val="none" w:sz="0" w:space="0" w:color="auto"/>
        <w:left w:val="none" w:sz="0" w:space="0" w:color="auto"/>
        <w:bottom w:val="none" w:sz="0" w:space="0" w:color="auto"/>
        <w:right w:val="none" w:sz="0" w:space="0" w:color="auto"/>
      </w:divBdr>
    </w:div>
    <w:div w:id="1754231183">
      <w:bodyDiv w:val="1"/>
      <w:marLeft w:val="0"/>
      <w:marRight w:val="0"/>
      <w:marTop w:val="0"/>
      <w:marBottom w:val="0"/>
      <w:divBdr>
        <w:top w:val="none" w:sz="0" w:space="0" w:color="auto"/>
        <w:left w:val="none" w:sz="0" w:space="0" w:color="auto"/>
        <w:bottom w:val="none" w:sz="0" w:space="0" w:color="auto"/>
        <w:right w:val="none" w:sz="0" w:space="0" w:color="auto"/>
      </w:divBdr>
    </w:div>
    <w:div w:id="1754233197">
      <w:bodyDiv w:val="1"/>
      <w:marLeft w:val="0"/>
      <w:marRight w:val="0"/>
      <w:marTop w:val="0"/>
      <w:marBottom w:val="0"/>
      <w:divBdr>
        <w:top w:val="none" w:sz="0" w:space="0" w:color="auto"/>
        <w:left w:val="none" w:sz="0" w:space="0" w:color="auto"/>
        <w:bottom w:val="none" w:sz="0" w:space="0" w:color="auto"/>
        <w:right w:val="none" w:sz="0" w:space="0" w:color="auto"/>
      </w:divBdr>
    </w:div>
    <w:div w:id="1754280311">
      <w:bodyDiv w:val="1"/>
      <w:marLeft w:val="0"/>
      <w:marRight w:val="0"/>
      <w:marTop w:val="0"/>
      <w:marBottom w:val="0"/>
      <w:divBdr>
        <w:top w:val="none" w:sz="0" w:space="0" w:color="auto"/>
        <w:left w:val="none" w:sz="0" w:space="0" w:color="auto"/>
        <w:bottom w:val="none" w:sz="0" w:space="0" w:color="auto"/>
        <w:right w:val="none" w:sz="0" w:space="0" w:color="auto"/>
      </w:divBdr>
    </w:div>
    <w:div w:id="1754474291">
      <w:bodyDiv w:val="1"/>
      <w:marLeft w:val="0"/>
      <w:marRight w:val="0"/>
      <w:marTop w:val="0"/>
      <w:marBottom w:val="0"/>
      <w:divBdr>
        <w:top w:val="none" w:sz="0" w:space="0" w:color="auto"/>
        <w:left w:val="none" w:sz="0" w:space="0" w:color="auto"/>
        <w:bottom w:val="none" w:sz="0" w:space="0" w:color="auto"/>
        <w:right w:val="none" w:sz="0" w:space="0" w:color="auto"/>
      </w:divBdr>
    </w:div>
    <w:div w:id="1754476458">
      <w:bodyDiv w:val="1"/>
      <w:marLeft w:val="0"/>
      <w:marRight w:val="0"/>
      <w:marTop w:val="0"/>
      <w:marBottom w:val="0"/>
      <w:divBdr>
        <w:top w:val="none" w:sz="0" w:space="0" w:color="auto"/>
        <w:left w:val="none" w:sz="0" w:space="0" w:color="auto"/>
        <w:bottom w:val="none" w:sz="0" w:space="0" w:color="auto"/>
        <w:right w:val="none" w:sz="0" w:space="0" w:color="auto"/>
      </w:divBdr>
    </w:div>
    <w:div w:id="1754625524">
      <w:bodyDiv w:val="1"/>
      <w:marLeft w:val="0"/>
      <w:marRight w:val="0"/>
      <w:marTop w:val="0"/>
      <w:marBottom w:val="0"/>
      <w:divBdr>
        <w:top w:val="none" w:sz="0" w:space="0" w:color="auto"/>
        <w:left w:val="none" w:sz="0" w:space="0" w:color="auto"/>
        <w:bottom w:val="none" w:sz="0" w:space="0" w:color="auto"/>
        <w:right w:val="none" w:sz="0" w:space="0" w:color="auto"/>
      </w:divBdr>
    </w:div>
    <w:div w:id="1754663773">
      <w:bodyDiv w:val="1"/>
      <w:marLeft w:val="0"/>
      <w:marRight w:val="0"/>
      <w:marTop w:val="0"/>
      <w:marBottom w:val="0"/>
      <w:divBdr>
        <w:top w:val="none" w:sz="0" w:space="0" w:color="auto"/>
        <w:left w:val="none" w:sz="0" w:space="0" w:color="auto"/>
        <w:bottom w:val="none" w:sz="0" w:space="0" w:color="auto"/>
        <w:right w:val="none" w:sz="0" w:space="0" w:color="auto"/>
      </w:divBdr>
    </w:div>
    <w:div w:id="1754739072">
      <w:bodyDiv w:val="1"/>
      <w:marLeft w:val="0"/>
      <w:marRight w:val="0"/>
      <w:marTop w:val="0"/>
      <w:marBottom w:val="0"/>
      <w:divBdr>
        <w:top w:val="none" w:sz="0" w:space="0" w:color="auto"/>
        <w:left w:val="none" w:sz="0" w:space="0" w:color="auto"/>
        <w:bottom w:val="none" w:sz="0" w:space="0" w:color="auto"/>
        <w:right w:val="none" w:sz="0" w:space="0" w:color="auto"/>
      </w:divBdr>
    </w:div>
    <w:div w:id="1754744068">
      <w:bodyDiv w:val="1"/>
      <w:marLeft w:val="0"/>
      <w:marRight w:val="0"/>
      <w:marTop w:val="0"/>
      <w:marBottom w:val="0"/>
      <w:divBdr>
        <w:top w:val="none" w:sz="0" w:space="0" w:color="auto"/>
        <w:left w:val="none" w:sz="0" w:space="0" w:color="auto"/>
        <w:bottom w:val="none" w:sz="0" w:space="0" w:color="auto"/>
        <w:right w:val="none" w:sz="0" w:space="0" w:color="auto"/>
      </w:divBdr>
    </w:div>
    <w:div w:id="1754811409">
      <w:bodyDiv w:val="1"/>
      <w:marLeft w:val="0"/>
      <w:marRight w:val="0"/>
      <w:marTop w:val="0"/>
      <w:marBottom w:val="0"/>
      <w:divBdr>
        <w:top w:val="none" w:sz="0" w:space="0" w:color="auto"/>
        <w:left w:val="none" w:sz="0" w:space="0" w:color="auto"/>
        <w:bottom w:val="none" w:sz="0" w:space="0" w:color="auto"/>
        <w:right w:val="none" w:sz="0" w:space="0" w:color="auto"/>
      </w:divBdr>
    </w:div>
    <w:div w:id="1754813041">
      <w:bodyDiv w:val="1"/>
      <w:marLeft w:val="0"/>
      <w:marRight w:val="0"/>
      <w:marTop w:val="0"/>
      <w:marBottom w:val="0"/>
      <w:divBdr>
        <w:top w:val="none" w:sz="0" w:space="0" w:color="auto"/>
        <w:left w:val="none" w:sz="0" w:space="0" w:color="auto"/>
        <w:bottom w:val="none" w:sz="0" w:space="0" w:color="auto"/>
        <w:right w:val="none" w:sz="0" w:space="0" w:color="auto"/>
      </w:divBdr>
    </w:div>
    <w:div w:id="1754858506">
      <w:bodyDiv w:val="1"/>
      <w:marLeft w:val="0"/>
      <w:marRight w:val="0"/>
      <w:marTop w:val="0"/>
      <w:marBottom w:val="0"/>
      <w:divBdr>
        <w:top w:val="none" w:sz="0" w:space="0" w:color="auto"/>
        <w:left w:val="none" w:sz="0" w:space="0" w:color="auto"/>
        <w:bottom w:val="none" w:sz="0" w:space="0" w:color="auto"/>
        <w:right w:val="none" w:sz="0" w:space="0" w:color="auto"/>
      </w:divBdr>
    </w:div>
    <w:div w:id="1754860806">
      <w:bodyDiv w:val="1"/>
      <w:marLeft w:val="0"/>
      <w:marRight w:val="0"/>
      <w:marTop w:val="0"/>
      <w:marBottom w:val="0"/>
      <w:divBdr>
        <w:top w:val="none" w:sz="0" w:space="0" w:color="auto"/>
        <w:left w:val="none" w:sz="0" w:space="0" w:color="auto"/>
        <w:bottom w:val="none" w:sz="0" w:space="0" w:color="auto"/>
        <w:right w:val="none" w:sz="0" w:space="0" w:color="auto"/>
      </w:divBdr>
    </w:div>
    <w:div w:id="1754862836">
      <w:bodyDiv w:val="1"/>
      <w:marLeft w:val="0"/>
      <w:marRight w:val="0"/>
      <w:marTop w:val="0"/>
      <w:marBottom w:val="0"/>
      <w:divBdr>
        <w:top w:val="none" w:sz="0" w:space="0" w:color="auto"/>
        <w:left w:val="none" w:sz="0" w:space="0" w:color="auto"/>
        <w:bottom w:val="none" w:sz="0" w:space="0" w:color="auto"/>
        <w:right w:val="none" w:sz="0" w:space="0" w:color="auto"/>
      </w:divBdr>
    </w:div>
    <w:div w:id="1754934498">
      <w:bodyDiv w:val="1"/>
      <w:marLeft w:val="0"/>
      <w:marRight w:val="0"/>
      <w:marTop w:val="0"/>
      <w:marBottom w:val="0"/>
      <w:divBdr>
        <w:top w:val="none" w:sz="0" w:space="0" w:color="auto"/>
        <w:left w:val="none" w:sz="0" w:space="0" w:color="auto"/>
        <w:bottom w:val="none" w:sz="0" w:space="0" w:color="auto"/>
        <w:right w:val="none" w:sz="0" w:space="0" w:color="auto"/>
      </w:divBdr>
    </w:div>
    <w:div w:id="1755082220">
      <w:bodyDiv w:val="1"/>
      <w:marLeft w:val="0"/>
      <w:marRight w:val="0"/>
      <w:marTop w:val="0"/>
      <w:marBottom w:val="0"/>
      <w:divBdr>
        <w:top w:val="none" w:sz="0" w:space="0" w:color="auto"/>
        <w:left w:val="none" w:sz="0" w:space="0" w:color="auto"/>
        <w:bottom w:val="none" w:sz="0" w:space="0" w:color="auto"/>
        <w:right w:val="none" w:sz="0" w:space="0" w:color="auto"/>
      </w:divBdr>
    </w:div>
    <w:div w:id="1755083943">
      <w:bodyDiv w:val="1"/>
      <w:marLeft w:val="0"/>
      <w:marRight w:val="0"/>
      <w:marTop w:val="0"/>
      <w:marBottom w:val="0"/>
      <w:divBdr>
        <w:top w:val="none" w:sz="0" w:space="0" w:color="auto"/>
        <w:left w:val="none" w:sz="0" w:space="0" w:color="auto"/>
        <w:bottom w:val="none" w:sz="0" w:space="0" w:color="auto"/>
        <w:right w:val="none" w:sz="0" w:space="0" w:color="auto"/>
      </w:divBdr>
    </w:div>
    <w:div w:id="1755125209">
      <w:bodyDiv w:val="1"/>
      <w:marLeft w:val="0"/>
      <w:marRight w:val="0"/>
      <w:marTop w:val="0"/>
      <w:marBottom w:val="0"/>
      <w:divBdr>
        <w:top w:val="none" w:sz="0" w:space="0" w:color="auto"/>
        <w:left w:val="none" w:sz="0" w:space="0" w:color="auto"/>
        <w:bottom w:val="none" w:sz="0" w:space="0" w:color="auto"/>
        <w:right w:val="none" w:sz="0" w:space="0" w:color="auto"/>
      </w:divBdr>
    </w:div>
    <w:div w:id="1755129174">
      <w:bodyDiv w:val="1"/>
      <w:marLeft w:val="0"/>
      <w:marRight w:val="0"/>
      <w:marTop w:val="0"/>
      <w:marBottom w:val="0"/>
      <w:divBdr>
        <w:top w:val="none" w:sz="0" w:space="0" w:color="auto"/>
        <w:left w:val="none" w:sz="0" w:space="0" w:color="auto"/>
        <w:bottom w:val="none" w:sz="0" w:space="0" w:color="auto"/>
        <w:right w:val="none" w:sz="0" w:space="0" w:color="auto"/>
      </w:divBdr>
    </w:div>
    <w:div w:id="1755131331">
      <w:bodyDiv w:val="1"/>
      <w:marLeft w:val="0"/>
      <w:marRight w:val="0"/>
      <w:marTop w:val="0"/>
      <w:marBottom w:val="0"/>
      <w:divBdr>
        <w:top w:val="none" w:sz="0" w:space="0" w:color="auto"/>
        <w:left w:val="none" w:sz="0" w:space="0" w:color="auto"/>
        <w:bottom w:val="none" w:sz="0" w:space="0" w:color="auto"/>
        <w:right w:val="none" w:sz="0" w:space="0" w:color="auto"/>
      </w:divBdr>
    </w:div>
    <w:div w:id="1755205163">
      <w:bodyDiv w:val="1"/>
      <w:marLeft w:val="0"/>
      <w:marRight w:val="0"/>
      <w:marTop w:val="0"/>
      <w:marBottom w:val="0"/>
      <w:divBdr>
        <w:top w:val="none" w:sz="0" w:space="0" w:color="auto"/>
        <w:left w:val="none" w:sz="0" w:space="0" w:color="auto"/>
        <w:bottom w:val="none" w:sz="0" w:space="0" w:color="auto"/>
        <w:right w:val="none" w:sz="0" w:space="0" w:color="auto"/>
      </w:divBdr>
    </w:div>
    <w:div w:id="1755393707">
      <w:bodyDiv w:val="1"/>
      <w:marLeft w:val="0"/>
      <w:marRight w:val="0"/>
      <w:marTop w:val="0"/>
      <w:marBottom w:val="0"/>
      <w:divBdr>
        <w:top w:val="none" w:sz="0" w:space="0" w:color="auto"/>
        <w:left w:val="none" w:sz="0" w:space="0" w:color="auto"/>
        <w:bottom w:val="none" w:sz="0" w:space="0" w:color="auto"/>
        <w:right w:val="none" w:sz="0" w:space="0" w:color="auto"/>
      </w:divBdr>
    </w:div>
    <w:div w:id="1755591102">
      <w:bodyDiv w:val="1"/>
      <w:marLeft w:val="0"/>
      <w:marRight w:val="0"/>
      <w:marTop w:val="0"/>
      <w:marBottom w:val="0"/>
      <w:divBdr>
        <w:top w:val="none" w:sz="0" w:space="0" w:color="auto"/>
        <w:left w:val="none" w:sz="0" w:space="0" w:color="auto"/>
        <w:bottom w:val="none" w:sz="0" w:space="0" w:color="auto"/>
        <w:right w:val="none" w:sz="0" w:space="0" w:color="auto"/>
      </w:divBdr>
    </w:div>
    <w:div w:id="1755735138">
      <w:bodyDiv w:val="1"/>
      <w:marLeft w:val="0"/>
      <w:marRight w:val="0"/>
      <w:marTop w:val="0"/>
      <w:marBottom w:val="0"/>
      <w:divBdr>
        <w:top w:val="none" w:sz="0" w:space="0" w:color="auto"/>
        <w:left w:val="none" w:sz="0" w:space="0" w:color="auto"/>
        <w:bottom w:val="none" w:sz="0" w:space="0" w:color="auto"/>
        <w:right w:val="none" w:sz="0" w:space="0" w:color="auto"/>
      </w:divBdr>
    </w:div>
    <w:div w:id="1755784605">
      <w:bodyDiv w:val="1"/>
      <w:marLeft w:val="0"/>
      <w:marRight w:val="0"/>
      <w:marTop w:val="0"/>
      <w:marBottom w:val="0"/>
      <w:divBdr>
        <w:top w:val="none" w:sz="0" w:space="0" w:color="auto"/>
        <w:left w:val="none" w:sz="0" w:space="0" w:color="auto"/>
        <w:bottom w:val="none" w:sz="0" w:space="0" w:color="auto"/>
        <w:right w:val="none" w:sz="0" w:space="0" w:color="auto"/>
      </w:divBdr>
    </w:div>
    <w:div w:id="1755860299">
      <w:bodyDiv w:val="1"/>
      <w:marLeft w:val="0"/>
      <w:marRight w:val="0"/>
      <w:marTop w:val="0"/>
      <w:marBottom w:val="0"/>
      <w:divBdr>
        <w:top w:val="none" w:sz="0" w:space="0" w:color="auto"/>
        <w:left w:val="none" w:sz="0" w:space="0" w:color="auto"/>
        <w:bottom w:val="none" w:sz="0" w:space="0" w:color="auto"/>
        <w:right w:val="none" w:sz="0" w:space="0" w:color="auto"/>
      </w:divBdr>
    </w:div>
    <w:div w:id="1755978577">
      <w:bodyDiv w:val="1"/>
      <w:marLeft w:val="0"/>
      <w:marRight w:val="0"/>
      <w:marTop w:val="0"/>
      <w:marBottom w:val="0"/>
      <w:divBdr>
        <w:top w:val="none" w:sz="0" w:space="0" w:color="auto"/>
        <w:left w:val="none" w:sz="0" w:space="0" w:color="auto"/>
        <w:bottom w:val="none" w:sz="0" w:space="0" w:color="auto"/>
        <w:right w:val="none" w:sz="0" w:space="0" w:color="auto"/>
      </w:divBdr>
    </w:div>
    <w:div w:id="1756003602">
      <w:bodyDiv w:val="1"/>
      <w:marLeft w:val="0"/>
      <w:marRight w:val="0"/>
      <w:marTop w:val="0"/>
      <w:marBottom w:val="0"/>
      <w:divBdr>
        <w:top w:val="none" w:sz="0" w:space="0" w:color="auto"/>
        <w:left w:val="none" w:sz="0" w:space="0" w:color="auto"/>
        <w:bottom w:val="none" w:sz="0" w:space="0" w:color="auto"/>
        <w:right w:val="none" w:sz="0" w:space="0" w:color="auto"/>
      </w:divBdr>
    </w:div>
    <w:div w:id="1756054568">
      <w:bodyDiv w:val="1"/>
      <w:marLeft w:val="0"/>
      <w:marRight w:val="0"/>
      <w:marTop w:val="0"/>
      <w:marBottom w:val="0"/>
      <w:divBdr>
        <w:top w:val="none" w:sz="0" w:space="0" w:color="auto"/>
        <w:left w:val="none" w:sz="0" w:space="0" w:color="auto"/>
        <w:bottom w:val="none" w:sz="0" w:space="0" w:color="auto"/>
        <w:right w:val="none" w:sz="0" w:space="0" w:color="auto"/>
      </w:divBdr>
    </w:div>
    <w:div w:id="1756125446">
      <w:bodyDiv w:val="1"/>
      <w:marLeft w:val="0"/>
      <w:marRight w:val="0"/>
      <w:marTop w:val="0"/>
      <w:marBottom w:val="0"/>
      <w:divBdr>
        <w:top w:val="none" w:sz="0" w:space="0" w:color="auto"/>
        <w:left w:val="none" w:sz="0" w:space="0" w:color="auto"/>
        <w:bottom w:val="none" w:sz="0" w:space="0" w:color="auto"/>
        <w:right w:val="none" w:sz="0" w:space="0" w:color="auto"/>
      </w:divBdr>
    </w:div>
    <w:div w:id="1756241119">
      <w:bodyDiv w:val="1"/>
      <w:marLeft w:val="0"/>
      <w:marRight w:val="0"/>
      <w:marTop w:val="0"/>
      <w:marBottom w:val="0"/>
      <w:divBdr>
        <w:top w:val="none" w:sz="0" w:space="0" w:color="auto"/>
        <w:left w:val="none" w:sz="0" w:space="0" w:color="auto"/>
        <w:bottom w:val="none" w:sz="0" w:space="0" w:color="auto"/>
        <w:right w:val="none" w:sz="0" w:space="0" w:color="auto"/>
      </w:divBdr>
    </w:div>
    <w:div w:id="1756246300">
      <w:bodyDiv w:val="1"/>
      <w:marLeft w:val="0"/>
      <w:marRight w:val="0"/>
      <w:marTop w:val="0"/>
      <w:marBottom w:val="0"/>
      <w:divBdr>
        <w:top w:val="none" w:sz="0" w:space="0" w:color="auto"/>
        <w:left w:val="none" w:sz="0" w:space="0" w:color="auto"/>
        <w:bottom w:val="none" w:sz="0" w:space="0" w:color="auto"/>
        <w:right w:val="none" w:sz="0" w:space="0" w:color="auto"/>
      </w:divBdr>
    </w:div>
    <w:div w:id="1756434010">
      <w:bodyDiv w:val="1"/>
      <w:marLeft w:val="0"/>
      <w:marRight w:val="0"/>
      <w:marTop w:val="0"/>
      <w:marBottom w:val="0"/>
      <w:divBdr>
        <w:top w:val="none" w:sz="0" w:space="0" w:color="auto"/>
        <w:left w:val="none" w:sz="0" w:space="0" w:color="auto"/>
        <w:bottom w:val="none" w:sz="0" w:space="0" w:color="auto"/>
        <w:right w:val="none" w:sz="0" w:space="0" w:color="auto"/>
      </w:divBdr>
    </w:div>
    <w:div w:id="1756434401">
      <w:bodyDiv w:val="1"/>
      <w:marLeft w:val="0"/>
      <w:marRight w:val="0"/>
      <w:marTop w:val="0"/>
      <w:marBottom w:val="0"/>
      <w:divBdr>
        <w:top w:val="none" w:sz="0" w:space="0" w:color="auto"/>
        <w:left w:val="none" w:sz="0" w:space="0" w:color="auto"/>
        <w:bottom w:val="none" w:sz="0" w:space="0" w:color="auto"/>
        <w:right w:val="none" w:sz="0" w:space="0" w:color="auto"/>
      </w:divBdr>
    </w:div>
    <w:div w:id="1756437228">
      <w:bodyDiv w:val="1"/>
      <w:marLeft w:val="0"/>
      <w:marRight w:val="0"/>
      <w:marTop w:val="0"/>
      <w:marBottom w:val="0"/>
      <w:divBdr>
        <w:top w:val="none" w:sz="0" w:space="0" w:color="auto"/>
        <w:left w:val="none" w:sz="0" w:space="0" w:color="auto"/>
        <w:bottom w:val="none" w:sz="0" w:space="0" w:color="auto"/>
        <w:right w:val="none" w:sz="0" w:space="0" w:color="auto"/>
      </w:divBdr>
    </w:div>
    <w:div w:id="1756441099">
      <w:bodyDiv w:val="1"/>
      <w:marLeft w:val="0"/>
      <w:marRight w:val="0"/>
      <w:marTop w:val="0"/>
      <w:marBottom w:val="0"/>
      <w:divBdr>
        <w:top w:val="none" w:sz="0" w:space="0" w:color="auto"/>
        <w:left w:val="none" w:sz="0" w:space="0" w:color="auto"/>
        <w:bottom w:val="none" w:sz="0" w:space="0" w:color="auto"/>
        <w:right w:val="none" w:sz="0" w:space="0" w:color="auto"/>
      </w:divBdr>
    </w:div>
    <w:div w:id="1756630040">
      <w:bodyDiv w:val="1"/>
      <w:marLeft w:val="0"/>
      <w:marRight w:val="0"/>
      <w:marTop w:val="0"/>
      <w:marBottom w:val="0"/>
      <w:divBdr>
        <w:top w:val="none" w:sz="0" w:space="0" w:color="auto"/>
        <w:left w:val="none" w:sz="0" w:space="0" w:color="auto"/>
        <w:bottom w:val="none" w:sz="0" w:space="0" w:color="auto"/>
        <w:right w:val="none" w:sz="0" w:space="0" w:color="auto"/>
      </w:divBdr>
    </w:div>
    <w:div w:id="1756634369">
      <w:bodyDiv w:val="1"/>
      <w:marLeft w:val="0"/>
      <w:marRight w:val="0"/>
      <w:marTop w:val="0"/>
      <w:marBottom w:val="0"/>
      <w:divBdr>
        <w:top w:val="none" w:sz="0" w:space="0" w:color="auto"/>
        <w:left w:val="none" w:sz="0" w:space="0" w:color="auto"/>
        <w:bottom w:val="none" w:sz="0" w:space="0" w:color="auto"/>
        <w:right w:val="none" w:sz="0" w:space="0" w:color="auto"/>
      </w:divBdr>
    </w:div>
    <w:div w:id="1756701464">
      <w:bodyDiv w:val="1"/>
      <w:marLeft w:val="0"/>
      <w:marRight w:val="0"/>
      <w:marTop w:val="0"/>
      <w:marBottom w:val="0"/>
      <w:divBdr>
        <w:top w:val="none" w:sz="0" w:space="0" w:color="auto"/>
        <w:left w:val="none" w:sz="0" w:space="0" w:color="auto"/>
        <w:bottom w:val="none" w:sz="0" w:space="0" w:color="auto"/>
        <w:right w:val="none" w:sz="0" w:space="0" w:color="auto"/>
      </w:divBdr>
    </w:div>
    <w:div w:id="1756778713">
      <w:bodyDiv w:val="1"/>
      <w:marLeft w:val="0"/>
      <w:marRight w:val="0"/>
      <w:marTop w:val="0"/>
      <w:marBottom w:val="0"/>
      <w:divBdr>
        <w:top w:val="none" w:sz="0" w:space="0" w:color="auto"/>
        <w:left w:val="none" w:sz="0" w:space="0" w:color="auto"/>
        <w:bottom w:val="none" w:sz="0" w:space="0" w:color="auto"/>
        <w:right w:val="none" w:sz="0" w:space="0" w:color="auto"/>
      </w:divBdr>
    </w:div>
    <w:div w:id="1756779402">
      <w:bodyDiv w:val="1"/>
      <w:marLeft w:val="0"/>
      <w:marRight w:val="0"/>
      <w:marTop w:val="0"/>
      <w:marBottom w:val="0"/>
      <w:divBdr>
        <w:top w:val="none" w:sz="0" w:space="0" w:color="auto"/>
        <w:left w:val="none" w:sz="0" w:space="0" w:color="auto"/>
        <w:bottom w:val="none" w:sz="0" w:space="0" w:color="auto"/>
        <w:right w:val="none" w:sz="0" w:space="0" w:color="auto"/>
      </w:divBdr>
    </w:div>
    <w:div w:id="1756783293">
      <w:bodyDiv w:val="1"/>
      <w:marLeft w:val="0"/>
      <w:marRight w:val="0"/>
      <w:marTop w:val="0"/>
      <w:marBottom w:val="0"/>
      <w:divBdr>
        <w:top w:val="none" w:sz="0" w:space="0" w:color="auto"/>
        <w:left w:val="none" w:sz="0" w:space="0" w:color="auto"/>
        <w:bottom w:val="none" w:sz="0" w:space="0" w:color="auto"/>
        <w:right w:val="none" w:sz="0" w:space="0" w:color="auto"/>
      </w:divBdr>
    </w:div>
    <w:div w:id="1756786006">
      <w:bodyDiv w:val="1"/>
      <w:marLeft w:val="0"/>
      <w:marRight w:val="0"/>
      <w:marTop w:val="0"/>
      <w:marBottom w:val="0"/>
      <w:divBdr>
        <w:top w:val="none" w:sz="0" w:space="0" w:color="auto"/>
        <w:left w:val="none" w:sz="0" w:space="0" w:color="auto"/>
        <w:bottom w:val="none" w:sz="0" w:space="0" w:color="auto"/>
        <w:right w:val="none" w:sz="0" w:space="0" w:color="auto"/>
      </w:divBdr>
    </w:div>
    <w:div w:id="1757021585">
      <w:bodyDiv w:val="1"/>
      <w:marLeft w:val="0"/>
      <w:marRight w:val="0"/>
      <w:marTop w:val="0"/>
      <w:marBottom w:val="0"/>
      <w:divBdr>
        <w:top w:val="none" w:sz="0" w:space="0" w:color="auto"/>
        <w:left w:val="none" w:sz="0" w:space="0" w:color="auto"/>
        <w:bottom w:val="none" w:sz="0" w:space="0" w:color="auto"/>
        <w:right w:val="none" w:sz="0" w:space="0" w:color="auto"/>
      </w:divBdr>
    </w:div>
    <w:div w:id="1757164307">
      <w:bodyDiv w:val="1"/>
      <w:marLeft w:val="0"/>
      <w:marRight w:val="0"/>
      <w:marTop w:val="0"/>
      <w:marBottom w:val="0"/>
      <w:divBdr>
        <w:top w:val="none" w:sz="0" w:space="0" w:color="auto"/>
        <w:left w:val="none" w:sz="0" w:space="0" w:color="auto"/>
        <w:bottom w:val="none" w:sz="0" w:space="0" w:color="auto"/>
        <w:right w:val="none" w:sz="0" w:space="0" w:color="auto"/>
      </w:divBdr>
    </w:div>
    <w:div w:id="1757164725">
      <w:bodyDiv w:val="1"/>
      <w:marLeft w:val="0"/>
      <w:marRight w:val="0"/>
      <w:marTop w:val="0"/>
      <w:marBottom w:val="0"/>
      <w:divBdr>
        <w:top w:val="none" w:sz="0" w:space="0" w:color="auto"/>
        <w:left w:val="none" w:sz="0" w:space="0" w:color="auto"/>
        <w:bottom w:val="none" w:sz="0" w:space="0" w:color="auto"/>
        <w:right w:val="none" w:sz="0" w:space="0" w:color="auto"/>
      </w:divBdr>
    </w:div>
    <w:div w:id="1757246542">
      <w:bodyDiv w:val="1"/>
      <w:marLeft w:val="0"/>
      <w:marRight w:val="0"/>
      <w:marTop w:val="0"/>
      <w:marBottom w:val="0"/>
      <w:divBdr>
        <w:top w:val="none" w:sz="0" w:space="0" w:color="auto"/>
        <w:left w:val="none" w:sz="0" w:space="0" w:color="auto"/>
        <w:bottom w:val="none" w:sz="0" w:space="0" w:color="auto"/>
        <w:right w:val="none" w:sz="0" w:space="0" w:color="auto"/>
      </w:divBdr>
    </w:div>
    <w:div w:id="1757247081">
      <w:bodyDiv w:val="1"/>
      <w:marLeft w:val="0"/>
      <w:marRight w:val="0"/>
      <w:marTop w:val="0"/>
      <w:marBottom w:val="0"/>
      <w:divBdr>
        <w:top w:val="none" w:sz="0" w:space="0" w:color="auto"/>
        <w:left w:val="none" w:sz="0" w:space="0" w:color="auto"/>
        <w:bottom w:val="none" w:sz="0" w:space="0" w:color="auto"/>
        <w:right w:val="none" w:sz="0" w:space="0" w:color="auto"/>
      </w:divBdr>
    </w:div>
    <w:div w:id="1757290845">
      <w:bodyDiv w:val="1"/>
      <w:marLeft w:val="0"/>
      <w:marRight w:val="0"/>
      <w:marTop w:val="0"/>
      <w:marBottom w:val="0"/>
      <w:divBdr>
        <w:top w:val="none" w:sz="0" w:space="0" w:color="auto"/>
        <w:left w:val="none" w:sz="0" w:space="0" w:color="auto"/>
        <w:bottom w:val="none" w:sz="0" w:space="0" w:color="auto"/>
        <w:right w:val="none" w:sz="0" w:space="0" w:color="auto"/>
      </w:divBdr>
    </w:div>
    <w:div w:id="1757362312">
      <w:bodyDiv w:val="1"/>
      <w:marLeft w:val="0"/>
      <w:marRight w:val="0"/>
      <w:marTop w:val="0"/>
      <w:marBottom w:val="0"/>
      <w:divBdr>
        <w:top w:val="none" w:sz="0" w:space="0" w:color="auto"/>
        <w:left w:val="none" w:sz="0" w:space="0" w:color="auto"/>
        <w:bottom w:val="none" w:sz="0" w:space="0" w:color="auto"/>
        <w:right w:val="none" w:sz="0" w:space="0" w:color="auto"/>
      </w:divBdr>
    </w:div>
    <w:div w:id="1757436107">
      <w:bodyDiv w:val="1"/>
      <w:marLeft w:val="0"/>
      <w:marRight w:val="0"/>
      <w:marTop w:val="0"/>
      <w:marBottom w:val="0"/>
      <w:divBdr>
        <w:top w:val="none" w:sz="0" w:space="0" w:color="auto"/>
        <w:left w:val="none" w:sz="0" w:space="0" w:color="auto"/>
        <w:bottom w:val="none" w:sz="0" w:space="0" w:color="auto"/>
        <w:right w:val="none" w:sz="0" w:space="0" w:color="auto"/>
      </w:divBdr>
    </w:div>
    <w:div w:id="1757436134">
      <w:bodyDiv w:val="1"/>
      <w:marLeft w:val="0"/>
      <w:marRight w:val="0"/>
      <w:marTop w:val="0"/>
      <w:marBottom w:val="0"/>
      <w:divBdr>
        <w:top w:val="none" w:sz="0" w:space="0" w:color="auto"/>
        <w:left w:val="none" w:sz="0" w:space="0" w:color="auto"/>
        <w:bottom w:val="none" w:sz="0" w:space="0" w:color="auto"/>
        <w:right w:val="none" w:sz="0" w:space="0" w:color="auto"/>
      </w:divBdr>
    </w:div>
    <w:div w:id="1757439076">
      <w:bodyDiv w:val="1"/>
      <w:marLeft w:val="0"/>
      <w:marRight w:val="0"/>
      <w:marTop w:val="0"/>
      <w:marBottom w:val="0"/>
      <w:divBdr>
        <w:top w:val="none" w:sz="0" w:space="0" w:color="auto"/>
        <w:left w:val="none" w:sz="0" w:space="0" w:color="auto"/>
        <w:bottom w:val="none" w:sz="0" w:space="0" w:color="auto"/>
        <w:right w:val="none" w:sz="0" w:space="0" w:color="auto"/>
      </w:divBdr>
    </w:div>
    <w:div w:id="1757509481">
      <w:bodyDiv w:val="1"/>
      <w:marLeft w:val="0"/>
      <w:marRight w:val="0"/>
      <w:marTop w:val="0"/>
      <w:marBottom w:val="0"/>
      <w:divBdr>
        <w:top w:val="none" w:sz="0" w:space="0" w:color="auto"/>
        <w:left w:val="none" w:sz="0" w:space="0" w:color="auto"/>
        <w:bottom w:val="none" w:sz="0" w:space="0" w:color="auto"/>
        <w:right w:val="none" w:sz="0" w:space="0" w:color="auto"/>
      </w:divBdr>
    </w:div>
    <w:div w:id="1757703317">
      <w:bodyDiv w:val="1"/>
      <w:marLeft w:val="0"/>
      <w:marRight w:val="0"/>
      <w:marTop w:val="0"/>
      <w:marBottom w:val="0"/>
      <w:divBdr>
        <w:top w:val="none" w:sz="0" w:space="0" w:color="auto"/>
        <w:left w:val="none" w:sz="0" w:space="0" w:color="auto"/>
        <w:bottom w:val="none" w:sz="0" w:space="0" w:color="auto"/>
        <w:right w:val="none" w:sz="0" w:space="0" w:color="auto"/>
      </w:divBdr>
    </w:div>
    <w:div w:id="1757705425">
      <w:bodyDiv w:val="1"/>
      <w:marLeft w:val="0"/>
      <w:marRight w:val="0"/>
      <w:marTop w:val="0"/>
      <w:marBottom w:val="0"/>
      <w:divBdr>
        <w:top w:val="none" w:sz="0" w:space="0" w:color="auto"/>
        <w:left w:val="none" w:sz="0" w:space="0" w:color="auto"/>
        <w:bottom w:val="none" w:sz="0" w:space="0" w:color="auto"/>
        <w:right w:val="none" w:sz="0" w:space="0" w:color="auto"/>
      </w:divBdr>
    </w:div>
    <w:div w:id="1757745688">
      <w:bodyDiv w:val="1"/>
      <w:marLeft w:val="0"/>
      <w:marRight w:val="0"/>
      <w:marTop w:val="0"/>
      <w:marBottom w:val="0"/>
      <w:divBdr>
        <w:top w:val="none" w:sz="0" w:space="0" w:color="auto"/>
        <w:left w:val="none" w:sz="0" w:space="0" w:color="auto"/>
        <w:bottom w:val="none" w:sz="0" w:space="0" w:color="auto"/>
        <w:right w:val="none" w:sz="0" w:space="0" w:color="auto"/>
      </w:divBdr>
    </w:div>
    <w:div w:id="1757748897">
      <w:bodyDiv w:val="1"/>
      <w:marLeft w:val="0"/>
      <w:marRight w:val="0"/>
      <w:marTop w:val="0"/>
      <w:marBottom w:val="0"/>
      <w:divBdr>
        <w:top w:val="none" w:sz="0" w:space="0" w:color="auto"/>
        <w:left w:val="none" w:sz="0" w:space="0" w:color="auto"/>
        <w:bottom w:val="none" w:sz="0" w:space="0" w:color="auto"/>
        <w:right w:val="none" w:sz="0" w:space="0" w:color="auto"/>
      </w:divBdr>
    </w:div>
    <w:div w:id="1757822303">
      <w:bodyDiv w:val="1"/>
      <w:marLeft w:val="0"/>
      <w:marRight w:val="0"/>
      <w:marTop w:val="0"/>
      <w:marBottom w:val="0"/>
      <w:divBdr>
        <w:top w:val="none" w:sz="0" w:space="0" w:color="auto"/>
        <w:left w:val="none" w:sz="0" w:space="0" w:color="auto"/>
        <w:bottom w:val="none" w:sz="0" w:space="0" w:color="auto"/>
        <w:right w:val="none" w:sz="0" w:space="0" w:color="auto"/>
      </w:divBdr>
    </w:div>
    <w:div w:id="1757824649">
      <w:bodyDiv w:val="1"/>
      <w:marLeft w:val="0"/>
      <w:marRight w:val="0"/>
      <w:marTop w:val="0"/>
      <w:marBottom w:val="0"/>
      <w:divBdr>
        <w:top w:val="none" w:sz="0" w:space="0" w:color="auto"/>
        <w:left w:val="none" w:sz="0" w:space="0" w:color="auto"/>
        <w:bottom w:val="none" w:sz="0" w:space="0" w:color="auto"/>
        <w:right w:val="none" w:sz="0" w:space="0" w:color="auto"/>
      </w:divBdr>
    </w:div>
    <w:div w:id="1757826402">
      <w:bodyDiv w:val="1"/>
      <w:marLeft w:val="0"/>
      <w:marRight w:val="0"/>
      <w:marTop w:val="0"/>
      <w:marBottom w:val="0"/>
      <w:divBdr>
        <w:top w:val="none" w:sz="0" w:space="0" w:color="auto"/>
        <w:left w:val="none" w:sz="0" w:space="0" w:color="auto"/>
        <w:bottom w:val="none" w:sz="0" w:space="0" w:color="auto"/>
        <w:right w:val="none" w:sz="0" w:space="0" w:color="auto"/>
      </w:divBdr>
    </w:div>
    <w:div w:id="1758014127">
      <w:bodyDiv w:val="1"/>
      <w:marLeft w:val="0"/>
      <w:marRight w:val="0"/>
      <w:marTop w:val="0"/>
      <w:marBottom w:val="0"/>
      <w:divBdr>
        <w:top w:val="none" w:sz="0" w:space="0" w:color="auto"/>
        <w:left w:val="none" w:sz="0" w:space="0" w:color="auto"/>
        <w:bottom w:val="none" w:sz="0" w:space="0" w:color="auto"/>
        <w:right w:val="none" w:sz="0" w:space="0" w:color="auto"/>
      </w:divBdr>
    </w:div>
    <w:div w:id="1758014486">
      <w:bodyDiv w:val="1"/>
      <w:marLeft w:val="0"/>
      <w:marRight w:val="0"/>
      <w:marTop w:val="0"/>
      <w:marBottom w:val="0"/>
      <w:divBdr>
        <w:top w:val="none" w:sz="0" w:space="0" w:color="auto"/>
        <w:left w:val="none" w:sz="0" w:space="0" w:color="auto"/>
        <w:bottom w:val="none" w:sz="0" w:space="0" w:color="auto"/>
        <w:right w:val="none" w:sz="0" w:space="0" w:color="auto"/>
      </w:divBdr>
    </w:div>
    <w:div w:id="1758090354">
      <w:bodyDiv w:val="1"/>
      <w:marLeft w:val="0"/>
      <w:marRight w:val="0"/>
      <w:marTop w:val="0"/>
      <w:marBottom w:val="0"/>
      <w:divBdr>
        <w:top w:val="none" w:sz="0" w:space="0" w:color="auto"/>
        <w:left w:val="none" w:sz="0" w:space="0" w:color="auto"/>
        <w:bottom w:val="none" w:sz="0" w:space="0" w:color="auto"/>
        <w:right w:val="none" w:sz="0" w:space="0" w:color="auto"/>
      </w:divBdr>
    </w:div>
    <w:div w:id="1758134691">
      <w:bodyDiv w:val="1"/>
      <w:marLeft w:val="0"/>
      <w:marRight w:val="0"/>
      <w:marTop w:val="0"/>
      <w:marBottom w:val="0"/>
      <w:divBdr>
        <w:top w:val="none" w:sz="0" w:space="0" w:color="auto"/>
        <w:left w:val="none" w:sz="0" w:space="0" w:color="auto"/>
        <w:bottom w:val="none" w:sz="0" w:space="0" w:color="auto"/>
        <w:right w:val="none" w:sz="0" w:space="0" w:color="auto"/>
      </w:divBdr>
    </w:div>
    <w:div w:id="1758209296">
      <w:bodyDiv w:val="1"/>
      <w:marLeft w:val="0"/>
      <w:marRight w:val="0"/>
      <w:marTop w:val="0"/>
      <w:marBottom w:val="0"/>
      <w:divBdr>
        <w:top w:val="none" w:sz="0" w:space="0" w:color="auto"/>
        <w:left w:val="none" w:sz="0" w:space="0" w:color="auto"/>
        <w:bottom w:val="none" w:sz="0" w:space="0" w:color="auto"/>
        <w:right w:val="none" w:sz="0" w:space="0" w:color="auto"/>
      </w:divBdr>
    </w:div>
    <w:div w:id="1758214379">
      <w:bodyDiv w:val="1"/>
      <w:marLeft w:val="0"/>
      <w:marRight w:val="0"/>
      <w:marTop w:val="0"/>
      <w:marBottom w:val="0"/>
      <w:divBdr>
        <w:top w:val="none" w:sz="0" w:space="0" w:color="auto"/>
        <w:left w:val="none" w:sz="0" w:space="0" w:color="auto"/>
        <w:bottom w:val="none" w:sz="0" w:space="0" w:color="auto"/>
        <w:right w:val="none" w:sz="0" w:space="0" w:color="auto"/>
      </w:divBdr>
    </w:div>
    <w:div w:id="1758289452">
      <w:bodyDiv w:val="1"/>
      <w:marLeft w:val="0"/>
      <w:marRight w:val="0"/>
      <w:marTop w:val="0"/>
      <w:marBottom w:val="0"/>
      <w:divBdr>
        <w:top w:val="none" w:sz="0" w:space="0" w:color="auto"/>
        <w:left w:val="none" w:sz="0" w:space="0" w:color="auto"/>
        <w:bottom w:val="none" w:sz="0" w:space="0" w:color="auto"/>
        <w:right w:val="none" w:sz="0" w:space="0" w:color="auto"/>
      </w:divBdr>
    </w:div>
    <w:div w:id="1758356379">
      <w:bodyDiv w:val="1"/>
      <w:marLeft w:val="0"/>
      <w:marRight w:val="0"/>
      <w:marTop w:val="0"/>
      <w:marBottom w:val="0"/>
      <w:divBdr>
        <w:top w:val="none" w:sz="0" w:space="0" w:color="auto"/>
        <w:left w:val="none" w:sz="0" w:space="0" w:color="auto"/>
        <w:bottom w:val="none" w:sz="0" w:space="0" w:color="auto"/>
        <w:right w:val="none" w:sz="0" w:space="0" w:color="auto"/>
      </w:divBdr>
    </w:div>
    <w:div w:id="1758478513">
      <w:bodyDiv w:val="1"/>
      <w:marLeft w:val="0"/>
      <w:marRight w:val="0"/>
      <w:marTop w:val="0"/>
      <w:marBottom w:val="0"/>
      <w:divBdr>
        <w:top w:val="none" w:sz="0" w:space="0" w:color="auto"/>
        <w:left w:val="none" w:sz="0" w:space="0" w:color="auto"/>
        <w:bottom w:val="none" w:sz="0" w:space="0" w:color="auto"/>
        <w:right w:val="none" w:sz="0" w:space="0" w:color="auto"/>
      </w:divBdr>
    </w:div>
    <w:div w:id="1758551859">
      <w:bodyDiv w:val="1"/>
      <w:marLeft w:val="0"/>
      <w:marRight w:val="0"/>
      <w:marTop w:val="0"/>
      <w:marBottom w:val="0"/>
      <w:divBdr>
        <w:top w:val="none" w:sz="0" w:space="0" w:color="auto"/>
        <w:left w:val="none" w:sz="0" w:space="0" w:color="auto"/>
        <w:bottom w:val="none" w:sz="0" w:space="0" w:color="auto"/>
        <w:right w:val="none" w:sz="0" w:space="0" w:color="auto"/>
      </w:divBdr>
    </w:div>
    <w:div w:id="1758625015">
      <w:bodyDiv w:val="1"/>
      <w:marLeft w:val="0"/>
      <w:marRight w:val="0"/>
      <w:marTop w:val="0"/>
      <w:marBottom w:val="0"/>
      <w:divBdr>
        <w:top w:val="none" w:sz="0" w:space="0" w:color="auto"/>
        <w:left w:val="none" w:sz="0" w:space="0" w:color="auto"/>
        <w:bottom w:val="none" w:sz="0" w:space="0" w:color="auto"/>
        <w:right w:val="none" w:sz="0" w:space="0" w:color="auto"/>
      </w:divBdr>
    </w:div>
    <w:div w:id="1758752096">
      <w:bodyDiv w:val="1"/>
      <w:marLeft w:val="0"/>
      <w:marRight w:val="0"/>
      <w:marTop w:val="0"/>
      <w:marBottom w:val="0"/>
      <w:divBdr>
        <w:top w:val="none" w:sz="0" w:space="0" w:color="auto"/>
        <w:left w:val="none" w:sz="0" w:space="0" w:color="auto"/>
        <w:bottom w:val="none" w:sz="0" w:space="0" w:color="auto"/>
        <w:right w:val="none" w:sz="0" w:space="0" w:color="auto"/>
      </w:divBdr>
    </w:div>
    <w:div w:id="1758821517">
      <w:bodyDiv w:val="1"/>
      <w:marLeft w:val="0"/>
      <w:marRight w:val="0"/>
      <w:marTop w:val="0"/>
      <w:marBottom w:val="0"/>
      <w:divBdr>
        <w:top w:val="none" w:sz="0" w:space="0" w:color="auto"/>
        <w:left w:val="none" w:sz="0" w:space="0" w:color="auto"/>
        <w:bottom w:val="none" w:sz="0" w:space="0" w:color="auto"/>
        <w:right w:val="none" w:sz="0" w:space="0" w:color="auto"/>
      </w:divBdr>
    </w:div>
    <w:div w:id="1758862627">
      <w:bodyDiv w:val="1"/>
      <w:marLeft w:val="0"/>
      <w:marRight w:val="0"/>
      <w:marTop w:val="0"/>
      <w:marBottom w:val="0"/>
      <w:divBdr>
        <w:top w:val="none" w:sz="0" w:space="0" w:color="auto"/>
        <w:left w:val="none" w:sz="0" w:space="0" w:color="auto"/>
        <w:bottom w:val="none" w:sz="0" w:space="0" w:color="auto"/>
        <w:right w:val="none" w:sz="0" w:space="0" w:color="auto"/>
      </w:divBdr>
    </w:div>
    <w:div w:id="1758862951">
      <w:bodyDiv w:val="1"/>
      <w:marLeft w:val="0"/>
      <w:marRight w:val="0"/>
      <w:marTop w:val="0"/>
      <w:marBottom w:val="0"/>
      <w:divBdr>
        <w:top w:val="none" w:sz="0" w:space="0" w:color="auto"/>
        <w:left w:val="none" w:sz="0" w:space="0" w:color="auto"/>
        <w:bottom w:val="none" w:sz="0" w:space="0" w:color="auto"/>
        <w:right w:val="none" w:sz="0" w:space="0" w:color="auto"/>
      </w:divBdr>
    </w:div>
    <w:div w:id="1759014280">
      <w:bodyDiv w:val="1"/>
      <w:marLeft w:val="0"/>
      <w:marRight w:val="0"/>
      <w:marTop w:val="0"/>
      <w:marBottom w:val="0"/>
      <w:divBdr>
        <w:top w:val="none" w:sz="0" w:space="0" w:color="auto"/>
        <w:left w:val="none" w:sz="0" w:space="0" w:color="auto"/>
        <w:bottom w:val="none" w:sz="0" w:space="0" w:color="auto"/>
        <w:right w:val="none" w:sz="0" w:space="0" w:color="auto"/>
      </w:divBdr>
    </w:div>
    <w:div w:id="1759053880">
      <w:bodyDiv w:val="1"/>
      <w:marLeft w:val="0"/>
      <w:marRight w:val="0"/>
      <w:marTop w:val="0"/>
      <w:marBottom w:val="0"/>
      <w:divBdr>
        <w:top w:val="none" w:sz="0" w:space="0" w:color="auto"/>
        <w:left w:val="none" w:sz="0" w:space="0" w:color="auto"/>
        <w:bottom w:val="none" w:sz="0" w:space="0" w:color="auto"/>
        <w:right w:val="none" w:sz="0" w:space="0" w:color="auto"/>
      </w:divBdr>
    </w:div>
    <w:div w:id="1759061334">
      <w:bodyDiv w:val="1"/>
      <w:marLeft w:val="0"/>
      <w:marRight w:val="0"/>
      <w:marTop w:val="0"/>
      <w:marBottom w:val="0"/>
      <w:divBdr>
        <w:top w:val="none" w:sz="0" w:space="0" w:color="auto"/>
        <w:left w:val="none" w:sz="0" w:space="0" w:color="auto"/>
        <w:bottom w:val="none" w:sz="0" w:space="0" w:color="auto"/>
        <w:right w:val="none" w:sz="0" w:space="0" w:color="auto"/>
      </w:divBdr>
    </w:div>
    <w:div w:id="1759061376">
      <w:bodyDiv w:val="1"/>
      <w:marLeft w:val="0"/>
      <w:marRight w:val="0"/>
      <w:marTop w:val="0"/>
      <w:marBottom w:val="0"/>
      <w:divBdr>
        <w:top w:val="none" w:sz="0" w:space="0" w:color="auto"/>
        <w:left w:val="none" w:sz="0" w:space="0" w:color="auto"/>
        <w:bottom w:val="none" w:sz="0" w:space="0" w:color="auto"/>
        <w:right w:val="none" w:sz="0" w:space="0" w:color="auto"/>
      </w:divBdr>
    </w:div>
    <w:div w:id="1759134409">
      <w:bodyDiv w:val="1"/>
      <w:marLeft w:val="0"/>
      <w:marRight w:val="0"/>
      <w:marTop w:val="0"/>
      <w:marBottom w:val="0"/>
      <w:divBdr>
        <w:top w:val="none" w:sz="0" w:space="0" w:color="auto"/>
        <w:left w:val="none" w:sz="0" w:space="0" w:color="auto"/>
        <w:bottom w:val="none" w:sz="0" w:space="0" w:color="auto"/>
        <w:right w:val="none" w:sz="0" w:space="0" w:color="auto"/>
      </w:divBdr>
    </w:div>
    <w:div w:id="1759204546">
      <w:bodyDiv w:val="1"/>
      <w:marLeft w:val="0"/>
      <w:marRight w:val="0"/>
      <w:marTop w:val="0"/>
      <w:marBottom w:val="0"/>
      <w:divBdr>
        <w:top w:val="none" w:sz="0" w:space="0" w:color="auto"/>
        <w:left w:val="none" w:sz="0" w:space="0" w:color="auto"/>
        <w:bottom w:val="none" w:sz="0" w:space="0" w:color="auto"/>
        <w:right w:val="none" w:sz="0" w:space="0" w:color="auto"/>
      </w:divBdr>
    </w:div>
    <w:div w:id="1759206279">
      <w:bodyDiv w:val="1"/>
      <w:marLeft w:val="0"/>
      <w:marRight w:val="0"/>
      <w:marTop w:val="0"/>
      <w:marBottom w:val="0"/>
      <w:divBdr>
        <w:top w:val="none" w:sz="0" w:space="0" w:color="auto"/>
        <w:left w:val="none" w:sz="0" w:space="0" w:color="auto"/>
        <w:bottom w:val="none" w:sz="0" w:space="0" w:color="auto"/>
        <w:right w:val="none" w:sz="0" w:space="0" w:color="auto"/>
      </w:divBdr>
    </w:div>
    <w:div w:id="1759324730">
      <w:bodyDiv w:val="1"/>
      <w:marLeft w:val="0"/>
      <w:marRight w:val="0"/>
      <w:marTop w:val="0"/>
      <w:marBottom w:val="0"/>
      <w:divBdr>
        <w:top w:val="none" w:sz="0" w:space="0" w:color="auto"/>
        <w:left w:val="none" w:sz="0" w:space="0" w:color="auto"/>
        <w:bottom w:val="none" w:sz="0" w:space="0" w:color="auto"/>
        <w:right w:val="none" w:sz="0" w:space="0" w:color="auto"/>
      </w:divBdr>
    </w:div>
    <w:div w:id="1759399466">
      <w:bodyDiv w:val="1"/>
      <w:marLeft w:val="0"/>
      <w:marRight w:val="0"/>
      <w:marTop w:val="0"/>
      <w:marBottom w:val="0"/>
      <w:divBdr>
        <w:top w:val="none" w:sz="0" w:space="0" w:color="auto"/>
        <w:left w:val="none" w:sz="0" w:space="0" w:color="auto"/>
        <w:bottom w:val="none" w:sz="0" w:space="0" w:color="auto"/>
        <w:right w:val="none" w:sz="0" w:space="0" w:color="auto"/>
      </w:divBdr>
    </w:div>
    <w:div w:id="1759404173">
      <w:bodyDiv w:val="1"/>
      <w:marLeft w:val="0"/>
      <w:marRight w:val="0"/>
      <w:marTop w:val="0"/>
      <w:marBottom w:val="0"/>
      <w:divBdr>
        <w:top w:val="none" w:sz="0" w:space="0" w:color="auto"/>
        <w:left w:val="none" w:sz="0" w:space="0" w:color="auto"/>
        <w:bottom w:val="none" w:sz="0" w:space="0" w:color="auto"/>
        <w:right w:val="none" w:sz="0" w:space="0" w:color="auto"/>
      </w:divBdr>
    </w:div>
    <w:div w:id="1759407387">
      <w:bodyDiv w:val="1"/>
      <w:marLeft w:val="0"/>
      <w:marRight w:val="0"/>
      <w:marTop w:val="0"/>
      <w:marBottom w:val="0"/>
      <w:divBdr>
        <w:top w:val="none" w:sz="0" w:space="0" w:color="auto"/>
        <w:left w:val="none" w:sz="0" w:space="0" w:color="auto"/>
        <w:bottom w:val="none" w:sz="0" w:space="0" w:color="auto"/>
        <w:right w:val="none" w:sz="0" w:space="0" w:color="auto"/>
      </w:divBdr>
    </w:div>
    <w:div w:id="1759447510">
      <w:bodyDiv w:val="1"/>
      <w:marLeft w:val="0"/>
      <w:marRight w:val="0"/>
      <w:marTop w:val="0"/>
      <w:marBottom w:val="0"/>
      <w:divBdr>
        <w:top w:val="none" w:sz="0" w:space="0" w:color="auto"/>
        <w:left w:val="none" w:sz="0" w:space="0" w:color="auto"/>
        <w:bottom w:val="none" w:sz="0" w:space="0" w:color="auto"/>
        <w:right w:val="none" w:sz="0" w:space="0" w:color="auto"/>
      </w:divBdr>
    </w:div>
    <w:div w:id="1759473332">
      <w:bodyDiv w:val="1"/>
      <w:marLeft w:val="0"/>
      <w:marRight w:val="0"/>
      <w:marTop w:val="0"/>
      <w:marBottom w:val="0"/>
      <w:divBdr>
        <w:top w:val="none" w:sz="0" w:space="0" w:color="auto"/>
        <w:left w:val="none" w:sz="0" w:space="0" w:color="auto"/>
        <w:bottom w:val="none" w:sz="0" w:space="0" w:color="auto"/>
        <w:right w:val="none" w:sz="0" w:space="0" w:color="auto"/>
      </w:divBdr>
    </w:div>
    <w:div w:id="1759597318">
      <w:bodyDiv w:val="1"/>
      <w:marLeft w:val="0"/>
      <w:marRight w:val="0"/>
      <w:marTop w:val="0"/>
      <w:marBottom w:val="0"/>
      <w:divBdr>
        <w:top w:val="none" w:sz="0" w:space="0" w:color="auto"/>
        <w:left w:val="none" w:sz="0" w:space="0" w:color="auto"/>
        <w:bottom w:val="none" w:sz="0" w:space="0" w:color="auto"/>
        <w:right w:val="none" w:sz="0" w:space="0" w:color="auto"/>
      </w:divBdr>
    </w:div>
    <w:div w:id="1759599684">
      <w:bodyDiv w:val="1"/>
      <w:marLeft w:val="0"/>
      <w:marRight w:val="0"/>
      <w:marTop w:val="0"/>
      <w:marBottom w:val="0"/>
      <w:divBdr>
        <w:top w:val="none" w:sz="0" w:space="0" w:color="auto"/>
        <w:left w:val="none" w:sz="0" w:space="0" w:color="auto"/>
        <w:bottom w:val="none" w:sz="0" w:space="0" w:color="auto"/>
        <w:right w:val="none" w:sz="0" w:space="0" w:color="auto"/>
      </w:divBdr>
    </w:div>
    <w:div w:id="1759671701">
      <w:bodyDiv w:val="1"/>
      <w:marLeft w:val="0"/>
      <w:marRight w:val="0"/>
      <w:marTop w:val="0"/>
      <w:marBottom w:val="0"/>
      <w:divBdr>
        <w:top w:val="none" w:sz="0" w:space="0" w:color="auto"/>
        <w:left w:val="none" w:sz="0" w:space="0" w:color="auto"/>
        <w:bottom w:val="none" w:sz="0" w:space="0" w:color="auto"/>
        <w:right w:val="none" w:sz="0" w:space="0" w:color="auto"/>
      </w:divBdr>
    </w:div>
    <w:div w:id="1759718639">
      <w:bodyDiv w:val="1"/>
      <w:marLeft w:val="0"/>
      <w:marRight w:val="0"/>
      <w:marTop w:val="0"/>
      <w:marBottom w:val="0"/>
      <w:divBdr>
        <w:top w:val="none" w:sz="0" w:space="0" w:color="auto"/>
        <w:left w:val="none" w:sz="0" w:space="0" w:color="auto"/>
        <w:bottom w:val="none" w:sz="0" w:space="0" w:color="auto"/>
        <w:right w:val="none" w:sz="0" w:space="0" w:color="auto"/>
      </w:divBdr>
    </w:div>
    <w:div w:id="1759787832">
      <w:bodyDiv w:val="1"/>
      <w:marLeft w:val="0"/>
      <w:marRight w:val="0"/>
      <w:marTop w:val="0"/>
      <w:marBottom w:val="0"/>
      <w:divBdr>
        <w:top w:val="none" w:sz="0" w:space="0" w:color="auto"/>
        <w:left w:val="none" w:sz="0" w:space="0" w:color="auto"/>
        <w:bottom w:val="none" w:sz="0" w:space="0" w:color="auto"/>
        <w:right w:val="none" w:sz="0" w:space="0" w:color="auto"/>
      </w:divBdr>
    </w:div>
    <w:div w:id="1759787931">
      <w:bodyDiv w:val="1"/>
      <w:marLeft w:val="0"/>
      <w:marRight w:val="0"/>
      <w:marTop w:val="0"/>
      <w:marBottom w:val="0"/>
      <w:divBdr>
        <w:top w:val="none" w:sz="0" w:space="0" w:color="auto"/>
        <w:left w:val="none" w:sz="0" w:space="0" w:color="auto"/>
        <w:bottom w:val="none" w:sz="0" w:space="0" w:color="auto"/>
        <w:right w:val="none" w:sz="0" w:space="0" w:color="auto"/>
      </w:divBdr>
    </w:div>
    <w:div w:id="1759788333">
      <w:bodyDiv w:val="1"/>
      <w:marLeft w:val="0"/>
      <w:marRight w:val="0"/>
      <w:marTop w:val="0"/>
      <w:marBottom w:val="0"/>
      <w:divBdr>
        <w:top w:val="none" w:sz="0" w:space="0" w:color="auto"/>
        <w:left w:val="none" w:sz="0" w:space="0" w:color="auto"/>
        <w:bottom w:val="none" w:sz="0" w:space="0" w:color="auto"/>
        <w:right w:val="none" w:sz="0" w:space="0" w:color="auto"/>
      </w:divBdr>
    </w:div>
    <w:div w:id="1759792142">
      <w:bodyDiv w:val="1"/>
      <w:marLeft w:val="0"/>
      <w:marRight w:val="0"/>
      <w:marTop w:val="0"/>
      <w:marBottom w:val="0"/>
      <w:divBdr>
        <w:top w:val="none" w:sz="0" w:space="0" w:color="auto"/>
        <w:left w:val="none" w:sz="0" w:space="0" w:color="auto"/>
        <w:bottom w:val="none" w:sz="0" w:space="0" w:color="auto"/>
        <w:right w:val="none" w:sz="0" w:space="0" w:color="auto"/>
      </w:divBdr>
    </w:div>
    <w:div w:id="1759863725">
      <w:bodyDiv w:val="1"/>
      <w:marLeft w:val="0"/>
      <w:marRight w:val="0"/>
      <w:marTop w:val="0"/>
      <w:marBottom w:val="0"/>
      <w:divBdr>
        <w:top w:val="none" w:sz="0" w:space="0" w:color="auto"/>
        <w:left w:val="none" w:sz="0" w:space="0" w:color="auto"/>
        <w:bottom w:val="none" w:sz="0" w:space="0" w:color="auto"/>
        <w:right w:val="none" w:sz="0" w:space="0" w:color="auto"/>
      </w:divBdr>
    </w:div>
    <w:div w:id="1759864800">
      <w:bodyDiv w:val="1"/>
      <w:marLeft w:val="0"/>
      <w:marRight w:val="0"/>
      <w:marTop w:val="0"/>
      <w:marBottom w:val="0"/>
      <w:divBdr>
        <w:top w:val="none" w:sz="0" w:space="0" w:color="auto"/>
        <w:left w:val="none" w:sz="0" w:space="0" w:color="auto"/>
        <w:bottom w:val="none" w:sz="0" w:space="0" w:color="auto"/>
        <w:right w:val="none" w:sz="0" w:space="0" w:color="auto"/>
      </w:divBdr>
    </w:div>
    <w:div w:id="1759911231">
      <w:bodyDiv w:val="1"/>
      <w:marLeft w:val="0"/>
      <w:marRight w:val="0"/>
      <w:marTop w:val="0"/>
      <w:marBottom w:val="0"/>
      <w:divBdr>
        <w:top w:val="none" w:sz="0" w:space="0" w:color="auto"/>
        <w:left w:val="none" w:sz="0" w:space="0" w:color="auto"/>
        <w:bottom w:val="none" w:sz="0" w:space="0" w:color="auto"/>
        <w:right w:val="none" w:sz="0" w:space="0" w:color="auto"/>
      </w:divBdr>
    </w:div>
    <w:div w:id="1760131219">
      <w:bodyDiv w:val="1"/>
      <w:marLeft w:val="0"/>
      <w:marRight w:val="0"/>
      <w:marTop w:val="0"/>
      <w:marBottom w:val="0"/>
      <w:divBdr>
        <w:top w:val="none" w:sz="0" w:space="0" w:color="auto"/>
        <w:left w:val="none" w:sz="0" w:space="0" w:color="auto"/>
        <w:bottom w:val="none" w:sz="0" w:space="0" w:color="auto"/>
        <w:right w:val="none" w:sz="0" w:space="0" w:color="auto"/>
      </w:divBdr>
    </w:div>
    <w:div w:id="1760173630">
      <w:bodyDiv w:val="1"/>
      <w:marLeft w:val="0"/>
      <w:marRight w:val="0"/>
      <w:marTop w:val="0"/>
      <w:marBottom w:val="0"/>
      <w:divBdr>
        <w:top w:val="none" w:sz="0" w:space="0" w:color="auto"/>
        <w:left w:val="none" w:sz="0" w:space="0" w:color="auto"/>
        <w:bottom w:val="none" w:sz="0" w:space="0" w:color="auto"/>
        <w:right w:val="none" w:sz="0" w:space="0" w:color="auto"/>
      </w:divBdr>
    </w:div>
    <w:div w:id="1760251339">
      <w:bodyDiv w:val="1"/>
      <w:marLeft w:val="0"/>
      <w:marRight w:val="0"/>
      <w:marTop w:val="0"/>
      <w:marBottom w:val="0"/>
      <w:divBdr>
        <w:top w:val="none" w:sz="0" w:space="0" w:color="auto"/>
        <w:left w:val="none" w:sz="0" w:space="0" w:color="auto"/>
        <w:bottom w:val="none" w:sz="0" w:space="0" w:color="auto"/>
        <w:right w:val="none" w:sz="0" w:space="0" w:color="auto"/>
      </w:divBdr>
    </w:div>
    <w:div w:id="1760253118">
      <w:bodyDiv w:val="1"/>
      <w:marLeft w:val="0"/>
      <w:marRight w:val="0"/>
      <w:marTop w:val="0"/>
      <w:marBottom w:val="0"/>
      <w:divBdr>
        <w:top w:val="none" w:sz="0" w:space="0" w:color="auto"/>
        <w:left w:val="none" w:sz="0" w:space="0" w:color="auto"/>
        <w:bottom w:val="none" w:sz="0" w:space="0" w:color="auto"/>
        <w:right w:val="none" w:sz="0" w:space="0" w:color="auto"/>
      </w:divBdr>
    </w:div>
    <w:div w:id="1760368654">
      <w:bodyDiv w:val="1"/>
      <w:marLeft w:val="0"/>
      <w:marRight w:val="0"/>
      <w:marTop w:val="0"/>
      <w:marBottom w:val="0"/>
      <w:divBdr>
        <w:top w:val="none" w:sz="0" w:space="0" w:color="auto"/>
        <w:left w:val="none" w:sz="0" w:space="0" w:color="auto"/>
        <w:bottom w:val="none" w:sz="0" w:space="0" w:color="auto"/>
        <w:right w:val="none" w:sz="0" w:space="0" w:color="auto"/>
      </w:divBdr>
    </w:div>
    <w:div w:id="1760561383">
      <w:bodyDiv w:val="1"/>
      <w:marLeft w:val="0"/>
      <w:marRight w:val="0"/>
      <w:marTop w:val="0"/>
      <w:marBottom w:val="0"/>
      <w:divBdr>
        <w:top w:val="none" w:sz="0" w:space="0" w:color="auto"/>
        <w:left w:val="none" w:sz="0" w:space="0" w:color="auto"/>
        <w:bottom w:val="none" w:sz="0" w:space="0" w:color="auto"/>
        <w:right w:val="none" w:sz="0" w:space="0" w:color="auto"/>
      </w:divBdr>
    </w:div>
    <w:div w:id="1760639679">
      <w:bodyDiv w:val="1"/>
      <w:marLeft w:val="0"/>
      <w:marRight w:val="0"/>
      <w:marTop w:val="0"/>
      <w:marBottom w:val="0"/>
      <w:divBdr>
        <w:top w:val="none" w:sz="0" w:space="0" w:color="auto"/>
        <w:left w:val="none" w:sz="0" w:space="0" w:color="auto"/>
        <w:bottom w:val="none" w:sz="0" w:space="0" w:color="auto"/>
        <w:right w:val="none" w:sz="0" w:space="0" w:color="auto"/>
      </w:divBdr>
    </w:div>
    <w:div w:id="1760641772">
      <w:bodyDiv w:val="1"/>
      <w:marLeft w:val="0"/>
      <w:marRight w:val="0"/>
      <w:marTop w:val="0"/>
      <w:marBottom w:val="0"/>
      <w:divBdr>
        <w:top w:val="none" w:sz="0" w:space="0" w:color="auto"/>
        <w:left w:val="none" w:sz="0" w:space="0" w:color="auto"/>
        <w:bottom w:val="none" w:sz="0" w:space="0" w:color="auto"/>
        <w:right w:val="none" w:sz="0" w:space="0" w:color="auto"/>
      </w:divBdr>
    </w:div>
    <w:div w:id="1760709657">
      <w:bodyDiv w:val="1"/>
      <w:marLeft w:val="0"/>
      <w:marRight w:val="0"/>
      <w:marTop w:val="0"/>
      <w:marBottom w:val="0"/>
      <w:divBdr>
        <w:top w:val="none" w:sz="0" w:space="0" w:color="auto"/>
        <w:left w:val="none" w:sz="0" w:space="0" w:color="auto"/>
        <w:bottom w:val="none" w:sz="0" w:space="0" w:color="auto"/>
        <w:right w:val="none" w:sz="0" w:space="0" w:color="auto"/>
      </w:divBdr>
    </w:div>
    <w:div w:id="1760711223">
      <w:bodyDiv w:val="1"/>
      <w:marLeft w:val="0"/>
      <w:marRight w:val="0"/>
      <w:marTop w:val="0"/>
      <w:marBottom w:val="0"/>
      <w:divBdr>
        <w:top w:val="none" w:sz="0" w:space="0" w:color="auto"/>
        <w:left w:val="none" w:sz="0" w:space="0" w:color="auto"/>
        <w:bottom w:val="none" w:sz="0" w:space="0" w:color="auto"/>
        <w:right w:val="none" w:sz="0" w:space="0" w:color="auto"/>
      </w:divBdr>
    </w:div>
    <w:div w:id="1760712607">
      <w:bodyDiv w:val="1"/>
      <w:marLeft w:val="0"/>
      <w:marRight w:val="0"/>
      <w:marTop w:val="0"/>
      <w:marBottom w:val="0"/>
      <w:divBdr>
        <w:top w:val="none" w:sz="0" w:space="0" w:color="auto"/>
        <w:left w:val="none" w:sz="0" w:space="0" w:color="auto"/>
        <w:bottom w:val="none" w:sz="0" w:space="0" w:color="auto"/>
        <w:right w:val="none" w:sz="0" w:space="0" w:color="auto"/>
      </w:divBdr>
    </w:div>
    <w:div w:id="1760906539">
      <w:bodyDiv w:val="1"/>
      <w:marLeft w:val="0"/>
      <w:marRight w:val="0"/>
      <w:marTop w:val="0"/>
      <w:marBottom w:val="0"/>
      <w:divBdr>
        <w:top w:val="none" w:sz="0" w:space="0" w:color="auto"/>
        <w:left w:val="none" w:sz="0" w:space="0" w:color="auto"/>
        <w:bottom w:val="none" w:sz="0" w:space="0" w:color="auto"/>
        <w:right w:val="none" w:sz="0" w:space="0" w:color="auto"/>
      </w:divBdr>
    </w:div>
    <w:div w:id="1760907197">
      <w:bodyDiv w:val="1"/>
      <w:marLeft w:val="0"/>
      <w:marRight w:val="0"/>
      <w:marTop w:val="0"/>
      <w:marBottom w:val="0"/>
      <w:divBdr>
        <w:top w:val="none" w:sz="0" w:space="0" w:color="auto"/>
        <w:left w:val="none" w:sz="0" w:space="0" w:color="auto"/>
        <w:bottom w:val="none" w:sz="0" w:space="0" w:color="auto"/>
        <w:right w:val="none" w:sz="0" w:space="0" w:color="auto"/>
      </w:divBdr>
    </w:div>
    <w:div w:id="1760979242">
      <w:bodyDiv w:val="1"/>
      <w:marLeft w:val="0"/>
      <w:marRight w:val="0"/>
      <w:marTop w:val="0"/>
      <w:marBottom w:val="0"/>
      <w:divBdr>
        <w:top w:val="none" w:sz="0" w:space="0" w:color="auto"/>
        <w:left w:val="none" w:sz="0" w:space="0" w:color="auto"/>
        <w:bottom w:val="none" w:sz="0" w:space="0" w:color="auto"/>
        <w:right w:val="none" w:sz="0" w:space="0" w:color="auto"/>
      </w:divBdr>
    </w:div>
    <w:div w:id="1761027570">
      <w:bodyDiv w:val="1"/>
      <w:marLeft w:val="0"/>
      <w:marRight w:val="0"/>
      <w:marTop w:val="0"/>
      <w:marBottom w:val="0"/>
      <w:divBdr>
        <w:top w:val="none" w:sz="0" w:space="0" w:color="auto"/>
        <w:left w:val="none" w:sz="0" w:space="0" w:color="auto"/>
        <w:bottom w:val="none" w:sz="0" w:space="0" w:color="auto"/>
        <w:right w:val="none" w:sz="0" w:space="0" w:color="auto"/>
      </w:divBdr>
    </w:div>
    <w:div w:id="1761175263">
      <w:bodyDiv w:val="1"/>
      <w:marLeft w:val="0"/>
      <w:marRight w:val="0"/>
      <w:marTop w:val="0"/>
      <w:marBottom w:val="0"/>
      <w:divBdr>
        <w:top w:val="none" w:sz="0" w:space="0" w:color="auto"/>
        <w:left w:val="none" w:sz="0" w:space="0" w:color="auto"/>
        <w:bottom w:val="none" w:sz="0" w:space="0" w:color="auto"/>
        <w:right w:val="none" w:sz="0" w:space="0" w:color="auto"/>
      </w:divBdr>
    </w:div>
    <w:div w:id="1761214626">
      <w:bodyDiv w:val="1"/>
      <w:marLeft w:val="0"/>
      <w:marRight w:val="0"/>
      <w:marTop w:val="0"/>
      <w:marBottom w:val="0"/>
      <w:divBdr>
        <w:top w:val="none" w:sz="0" w:space="0" w:color="auto"/>
        <w:left w:val="none" w:sz="0" w:space="0" w:color="auto"/>
        <w:bottom w:val="none" w:sz="0" w:space="0" w:color="auto"/>
        <w:right w:val="none" w:sz="0" w:space="0" w:color="auto"/>
      </w:divBdr>
    </w:div>
    <w:div w:id="1761371198">
      <w:bodyDiv w:val="1"/>
      <w:marLeft w:val="0"/>
      <w:marRight w:val="0"/>
      <w:marTop w:val="0"/>
      <w:marBottom w:val="0"/>
      <w:divBdr>
        <w:top w:val="none" w:sz="0" w:space="0" w:color="auto"/>
        <w:left w:val="none" w:sz="0" w:space="0" w:color="auto"/>
        <w:bottom w:val="none" w:sz="0" w:space="0" w:color="auto"/>
        <w:right w:val="none" w:sz="0" w:space="0" w:color="auto"/>
      </w:divBdr>
    </w:div>
    <w:div w:id="1761413090">
      <w:bodyDiv w:val="1"/>
      <w:marLeft w:val="0"/>
      <w:marRight w:val="0"/>
      <w:marTop w:val="0"/>
      <w:marBottom w:val="0"/>
      <w:divBdr>
        <w:top w:val="none" w:sz="0" w:space="0" w:color="auto"/>
        <w:left w:val="none" w:sz="0" w:space="0" w:color="auto"/>
        <w:bottom w:val="none" w:sz="0" w:space="0" w:color="auto"/>
        <w:right w:val="none" w:sz="0" w:space="0" w:color="auto"/>
      </w:divBdr>
    </w:div>
    <w:div w:id="1761440298">
      <w:bodyDiv w:val="1"/>
      <w:marLeft w:val="0"/>
      <w:marRight w:val="0"/>
      <w:marTop w:val="0"/>
      <w:marBottom w:val="0"/>
      <w:divBdr>
        <w:top w:val="none" w:sz="0" w:space="0" w:color="auto"/>
        <w:left w:val="none" w:sz="0" w:space="0" w:color="auto"/>
        <w:bottom w:val="none" w:sz="0" w:space="0" w:color="auto"/>
        <w:right w:val="none" w:sz="0" w:space="0" w:color="auto"/>
      </w:divBdr>
    </w:div>
    <w:div w:id="1761639020">
      <w:bodyDiv w:val="1"/>
      <w:marLeft w:val="0"/>
      <w:marRight w:val="0"/>
      <w:marTop w:val="0"/>
      <w:marBottom w:val="0"/>
      <w:divBdr>
        <w:top w:val="none" w:sz="0" w:space="0" w:color="auto"/>
        <w:left w:val="none" w:sz="0" w:space="0" w:color="auto"/>
        <w:bottom w:val="none" w:sz="0" w:space="0" w:color="auto"/>
        <w:right w:val="none" w:sz="0" w:space="0" w:color="auto"/>
      </w:divBdr>
    </w:div>
    <w:div w:id="1761674897">
      <w:bodyDiv w:val="1"/>
      <w:marLeft w:val="0"/>
      <w:marRight w:val="0"/>
      <w:marTop w:val="0"/>
      <w:marBottom w:val="0"/>
      <w:divBdr>
        <w:top w:val="none" w:sz="0" w:space="0" w:color="auto"/>
        <w:left w:val="none" w:sz="0" w:space="0" w:color="auto"/>
        <w:bottom w:val="none" w:sz="0" w:space="0" w:color="auto"/>
        <w:right w:val="none" w:sz="0" w:space="0" w:color="auto"/>
      </w:divBdr>
    </w:div>
    <w:div w:id="1761679787">
      <w:bodyDiv w:val="1"/>
      <w:marLeft w:val="0"/>
      <w:marRight w:val="0"/>
      <w:marTop w:val="0"/>
      <w:marBottom w:val="0"/>
      <w:divBdr>
        <w:top w:val="none" w:sz="0" w:space="0" w:color="auto"/>
        <w:left w:val="none" w:sz="0" w:space="0" w:color="auto"/>
        <w:bottom w:val="none" w:sz="0" w:space="0" w:color="auto"/>
        <w:right w:val="none" w:sz="0" w:space="0" w:color="auto"/>
      </w:divBdr>
    </w:div>
    <w:div w:id="1761755969">
      <w:bodyDiv w:val="1"/>
      <w:marLeft w:val="0"/>
      <w:marRight w:val="0"/>
      <w:marTop w:val="0"/>
      <w:marBottom w:val="0"/>
      <w:divBdr>
        <w:top w:val="none" w:sz="0" w:space="0" w:color="auto"/>
        <w:left w:val="none" w:sz="0" w:space="0" w:color="auto"/>
        <w:bottom w:val="none" w:sz="0" w:space="0" w:color="auto"/>
        <w:right w:val="none" w:sz="0" w:space="0" w:color="auto"/>
      </w:divBdr>
    </w:div>
    <w:div w:id="1761829825">
      <w:bodyDiv w:val="1"/>
      <w:marLeft w:val="0"/>
      <w:marRight w:val="0"/>
      <w:marTop w:val="0"/>
      <w:marBottom w:val="0"/>
      <w:divBdr>
        <w:top w:val="none" w:sz="0" w:space="0" w:color="auto"/>
        <w:left w:val="none" w:sz="0" w:space="0" w:color="auto"/>
        <w:bottom w:val="none" w:sz="0" w:space="0" w:color="auto"/>
        <w:right w:val="none" w:sz="0" w:space="0" w:color="auto"/>
      </w:divBdr>
    </w:div>
    <w:div w:id="1761832190">
      <w:bodyDiv w:val="1"/>
      <w:marLeft w:val="0"/>
      <w:marRight w:val="0"/>
      <w:marTop w:val="0"/>
      <w:marBottom w:val="0"/>
      <w:divBdr>
        <w:top w:val="none" w:sz="0" w:space="0" w:color="auto"/>
        <w:left w:val="none" w:sz="0" w:space="0" w:color="auto"/>
        <w:bottom w:val="none" w:sz="0" w:space="0" w:color="auto"/>
        <w:right w:val="none" w:sz="0" w:space="0" w:color="auto"/>
      </w:divBdr>
    </w:div>
    <w:div w:id="1762098171">
      <w:bodyDiv w:val="1"/>
      <w:marLeft w:val="0"/>
      <w:marRight w:val="0"/>
      <w:marTop w:val="0"/>
      <w:marBottom w:val="0"/>
      <w:divBdr>
        <w:top w:val="none" w:sz="0" w:space="0" w:color="auto"/>
        <w:left w:val="none" w:sz="0" w:space="0" w:color="auto"/>
        <w:bottom w:val="none" w:sz="0" w:space="0" w:color="auto"/>
        <w:right w:val="none" w:sz="0" w:space="0" w:color="auto"/>
      </w:divBdr>
    </w:div>
    <w:div w:id="1762217234">
      <w:bodyDiv w:val="1"/>
      <w:marLeft w:val="0"/>
      <w:marRight w:val="0"/>
      <w:marTop w:val="0"/>
      <w:marBottom w:val="0"/>
      <w:divBdr>
        <w:top w:val="none" w:sz="0" w:space="0" w:color="auto"/>
        <w:left w:val="none" w:sz="0" w:space="0" w:color="auto"/>
        <w:bottom w:val="none" w:sz="0" w:space="0" w:color="auto"/>
        <w:right w:val="none" w:sz="0" w:space="0" w:color="auto"/>
      </w:divBdr>
    </w:div>
    <w:div w:id="1762288293">
      <w:bodyDiv w:val="1"/>
      <w:marLeft w:val="0"/>
      <w:marRight w:val="0"/>
      <w:marTop w:val="0"/>
      <w:marBottom w:val="0"/>
      <w:divBdr>
        <w:top w:val="none" w:sz="0" w:space="0" w:color="auto"/>
        <w:left w:val="none" w:sz="0" w:space="0" w:color="auto"/>
        <w:bottom w:val="none" w:sz="0" w:space="0" w:color="auto"/>
        <w:right w:val="none" w:sz="0" w:space="0" w:color="auto"/>
      </w:divBdr>
    </w:div>
    <w:div w:id="1762330549">
      <w:bodyDiv w:val="1"/>
      <w:marLeft w:val="0"/>
      <w:marRight w:val="0"/>
      <w:marTop w:val="0"/>
      <w:marBottom w:val="0"/>
      <w:divBdr>
        <w:top w:val="none" w:sz="0" w:space="0" w:color="auto"/>
        <w:left w:val="none" w:sz="0" w:space="0" w:color="auto"/>
        <w:bottom w:val="none" w:sz="0" w:space="0" w:color="auto"/>
        <w:right w:val="none" w:sz="0" w:space="0" w:color="auto"/>
      </w:divBdr>
    </w:div>
    <w:div w:id="1762331765">
      <w:bodyDiv w:val="1"/>
      <w:marLeft w:val="0"/>
      <w:marRight w:val="0"/>
      <w:marTop w:val="0"/>
      <w:marBottom w:val="0"/>
      <w:divBdr>
        <w:top w:val="none" w:sz="0" w:space="0" w:color="auto"/>
        <w:left w:val="none" w:sz="0" w:space="0" w:color="auto"/>
        <w:bottom w:val="none" w:sz="0" w:space="0" w:color="auto"/>
        <w:right w:val="none" w:sz="0" w:space="0" w:color="auto"/>
      </w:divBdr>
    </w:div>
    <w:div w:id="1762406132">
      <w:bodyDiv w:val="1"/>
      <w:marLeft w:val="0"/>
      <w:marRight w:val="0"/>
      <w:marTop w:val="0"/>
      <w:marBottom w:val="0"/>
      <w:divBdr>
        <w:top w:val="none" w:sz="0" w:space="0" w:color="auto"/>
        <w:left w:val="none" w:sz="0" w:space="0" w:color="auto"/>
        <w:bottom w:val="none" w:sz="0" w:space="0" w:color="auto"/>
        <w:right w:val="none" w:sz="0" w:space="0" w:color="auto"/>
      </w:divBdr>
    </w:div>
    <w:div w:id="1762406427">
      <w:bodyDiv w:val="1"/>
      <w:marLeft w:val="0"/>
      <w:marRight w:val="0"/>
      <w:marTop w:val="0"/>
      <w:marBottom w:val="0"/>
      <w:divBdr>
        <w:top w:val="none" w:sz="0" w:space="0" w:color="auto"/>
        <w:left w:val="none" w:sz="0" w:space="0" w:color="auto"/>
        <w:bottom w:val="none" w:sz="0" w:space="0" w:color="auto"/>
        <w:right w:val="none" w:sz="0" w:space="0" w:color="auto"/>
      </w:divBdr>
    </w:div>
    <w:div w:id="1762482621">
      <w:bodyDiv w:val="1"/>
      <w:marLeft w:val="0"/>
      <w:marRight w:val="0"/>
      <w:marTop w:val="0"/>
      <w:marBottom w:val="0"/>
      <w:divBdr>
        <w:top w:val="none" w:sz="0" w:space="0" w:color="auto"/>
        <w:left w:val="none" w:sz="0" w:space="0" w:color="auto"/>
        <w:bottom w:val="none" w:sz="0" w:space="0" w:color="auto"/>
        <w:right w:val="none" w:sz="0" w:space="0" w:color="auto"/>
      </w:divBdr>
    </w:div>
    <w:div w:id="1762490024">
      <w:bodyDiv w:val="1"/>
      <w:marLeft w:val="0"/>
      <w:marRight w:val="0"/>
      <w:marTop w:val="0"/>
      <w:marBottom w:val="0"/>
      <w:divBdr>
        <w:top w:val="none" w:sz="0" w:space="0" w:color="auto"/>
        <w:left w:val="none" w:sz="0" w:space="0" w:color="auto"/>
        <w:bottom w:val="none" w:sz="0" w:space="0" w:color="auto"/>
        <w:right w:val="none" w:sz="0" w:space="0" w:color="auto"/>
      </w:divBdr>
    </w:div>
    <w:div w:id="1762608374">
      <w:bodyDiv w:val="1"/>
      <w:marLeft w:val="0"/>
      <w:marRight w:val="0"/>
      <w:marTop w:val="0"/>
      <w:marBottom w:val="0"/>
      <w:divBdr>
        <w:top w:val="none" w:sz="0" w:space="0" w:color="auto"/>
        <w:left w:val="none" w:sz="0" w:space="0" w:color="auto"/>
        <w:bottom w:val="none" w:sz="0" w:space="0" w:color="auto"/>
        <w:right w:val="none" w:sz="0" w:space="0" w:color="auto"/>
      </w:divBdr>
    </w:div>
    <w:div w:id="1762752004">
      <w:bodyDiv w:val="1"/>
      <w:marLeft w:val="0"/>
      <w:marRight w:val="0"/>
      <w:marTop w:val="0"/>
      <w:marBottom w:val="0"/>
      <w:divBdr>
        <w:top w:val="none" w:sz="0" w:space="0" w:color="auto"/>
        <w:left w:val="none" w:sz="0" w:space="0" w:color="auto"/>
        <w:bottom w:val="none" w:sz="0" w:space="0" w:color="auto"/>
        <w:right w:val="none" w:sz="0" w:space="0" w:color="auto"/>
      </w:divBdr>
    </w:div>
    <w:div w:id="1762792602">
      <w:bodyDiv w:val="1"/>
      <w:marLeft w:val="0"/>
      <w:marRight w:val="0"/>
      <w:marTop w:val="0"/>
      <w:marBottom w:val="0"/>
      <w:divBdr>
        <w:top w:val="none" w:sz="0" w:space="0" w:color="auto"/>
        <w:left w:val="none" w:sz="0" w:space="0" w:color="auto"/>
        <w:bottom w:val="none" w:sz="0" w:space="0" w:color="auto"/>
        <w:right w:val="none" w:sz="0" w:space="0" w:color="auto"/>
      </w:divBdr>
    </w:div>
    <w:div w:id="1762794006">
      <w:bodyDiv w:val="1"/>
      <w:marLeft w:val="0"/>
      <w:marRight w:val="0"/>
      <w:marTop w:val="0"/>
      <w:marBottom w:val="0"/>
      <w:divBdr>
        <w:top w:val="none" w:sz="0" w:space="0" w:color="auto"/>
        <w:left w:val="none" w:sz="0" w:space="0" w:color="auto"/>
        <w:bottom w:val="none" w:sz="0" w:space="0" w:color="auto"/>
        <w:right w:val="none" w:sz="0" w:space="0" w:color="auto"/>
      </w:divBdr>
    </w:div>
    <w:div w:id="1762875776">
      <w:bodyDiv w:val="1"/>
      <w:marLeft w:val="0"/>
      <w:marRight w:val="0"/>
      <w:marTop w:val="0"/>
      <w:marBottom w:val="0"/>
      <w:divBdr>
        <w:top w:val="none" w:sz="0" w:space="0" w:color="auto"/>
        <w:left w:val="none" w:sz="0" w:space="0" w:color="auto"/>
        <w:bottom w:val="none" w:sz="0" w:space="0" w:color="auto"/>
        <w:right w:val="none" w:sz="0" w:space="0" w:color="auto"/>
      </w:divBdr>
    </w:div>
    <w:div w:id="1762919145">
      <w:bodyDiv w:val="1"/>
      <w:marLeft w:val="0"/>
      <w:marRight w:val="0"/>
      <w:marTop w:val="0"/>
      <w:marBottom w:val="0"/>
      <w:divBdr>
        <w:top w:val="none" w:sz="0" w:space="0" w:color="auto"/>
        <w:left w:val="none" w:sz="0" w:space="0" w:color="auto"/>
        <w:bottom w:val="none" w:sz="0" w:space="0" w:color="auto"/>
        <w:right w:val="none" w:sz="0" w:space="0" w:color="auto"/>
      </w:divBdr>
    </w:div>
    <w:div w:id="1762942966">
      <w:bodyDiv w:val="1"/>
      <w:marLeft w:val="0"/>
      <w:marRight w:val="0"/>
      <w:marTop w:val="0"/>
      <w:marBottom w:val="0"/>
      <w:divBdr>
        <w:top w:val="none" w:sz="0" w:space="0" w:color="auto"/>
        <w:left w:val="none" w:sz="0" w:space="0" w:color="auto"/>
        <w:bottom w:val="none" w:sz="0" w:space="0" w:color="auto"/>
        <w:right w:val="none" w:sz="0" w:space="0" w:color="auto"/>
      </w:divBdr>
    </w:div>
    <w:div w:id="1762993896">
      <w:bodyDiv w:val="1"/>
      <w:marLeft w:val="0"/>
      <w:marRight w:val="0"/>
      <w:marTop w:val="0"/>
      <w:marBottom w:val="0"/>
      <w:divBdr>
        <w:top w:val="none" w:sz="0" w:space="0" w:color="auto"/>
        <w:left w:val="none" w:sz="0" w:space="0" w:color="auto"/>
        <w:bottom w:val="none" w:sz="0" w:space="0" w:color="auto"/>
        <w:right w:val="none" w:sz="0" w:space="0" w:color="auto"/>
      </w:divBdr>
    </w:div>
    <w:div w:id="1763185258">
      <w:bodyDiv w:val="1"/>
      <w:marLeft w:val="0"/>
      <w:marRight w:val="0"/>
      <w:marTop w:val="0"/>
      <w:marBottom w:val="0"/>
      <w:divBdr>
        <w:top w:val="none" w:sz="0" w:space="0" w:color="auto"/>
        <w:left w:val="none" w:sz="0" w:space="0" w:color="auto"/>
        <w:bottom w:val="none" w:sz="0" w:space="0" w:color="auto"/>
        <w:right w:val="none" w:sz="0" w:space="0" w:color="auto"/>
      </w:divBdr>
    </w:div>
    <w:div w:id="1763186785">
      <w:bodyDiv w:val="1"/>
      <w:marLeft w:val="0"/>
      <w:marRight w:val="0"/>
      <w:marTop w:val="0"/>
      <w:marBottom w:val="0"/>
      <w:divBdr>
        <w:top w:val="none" w:sz="0" w:space="0" w:color="auto"/>
        <w:left w:val="none" w:sz="0" w:space="0" w:color="auto"/>
        <w:bottom w:val="none" w:sz="0" w:space="0" w:color="auto"/>
        <w:right w:val="none" w:sz="0" w:space="0" w:color="auto"/>
      </w:divBdr>
    </w:div>
    <w:div w:id="1763211788">
      <w:bodyDiv w:val="1"/>
      <w:marLeft w:val="0"/>
      <w:marRight w:val="0"/>
      <w:marTop w:val="0"/>
      <w:marBottom w:val="0"/>
      <w:divBdr>
        <w:top w:val="none" w:sz="0" w:space="0" w:color="auto"/>
        <w:left w:val="none" w:sz="0" w:space="0" w:color="auto"/>
        <w:bottom w:val="none" w:sz="0" w:space="0" w:color="auto"/>
        <w:right w:val="none" w:sz="0" w:space="0" w:color="auto"/>
      </w:divBdr>
    </w:div>
    <w:div w:id="1763256280">
      <w:bodyDiv w:val="1"/>
      <w:marLeft w:val="0"/>
      <w:marRight w:val="0"/>
      <w:marTop w:val="0"/>
      <w:marBottom w:val="0"/>
      <w:divBdr>
        <w:top w:val="none" w:sz="0" w:space="0" w:color="auto"/>
        <w:left w:val="none" w:sz="0" w:space="0" w:color="auto"/>
        <w:bottom w:val="none" w:sz="0" w:space="0" w:color="auto"/>
        <w:right w:val="none" w:sz="0" w:space="0" w:color="auto"/>
      </w:divBdr>
    </w:div>
    <w:div w:id="1763331970">
      <w:bodyDiv w:val="1"/>
      <w:marLeft w:val="0"/>
      <w:marRight w:val="0"/>
      <w:marTop w:val="0"/>
      <w:marBottom w:val="0"/>
      <w:divBdr>
        <w:top w:val="none" w:sz="0" w:space="0" w:color="auto"/>
        <w:left w:val="none" w:sz="0" w:space="0" w:color="auto"/>
        <w:bottom w:val="none" w:sz="0" w:space="0" w:color="auto"/>
        <w:right w:val="none" w:sz="0" w:space="0" w:color="auto"/>
      </w:divBdr>
    </w:div>
    <w:div w:id="1763334017">
      <w:bodyDiv w:val="1"/>
      <w:marLeft w:val="0"/>
      <w:marRight w:val="0"/>
      <w:marTop w:val="0"/>
      <w:marBottom w:val="0"/>
      <w:divBdr>
        <w:top w:val="none" w:sz="0" w:space="0" w:color="auto"/>
        <w:left w:val="none" w:sz="0" w:space="0" w:color="auto"/>
        <w:bottom w:val="none" w:sz="0" w:space="0" w:color="auto"/>
        <w:right w:val="none" w:sz="0" w:space="0" w:color="auto"/>
      </w:divBdr>
    </w:div>
    <w:div w:id="1763335109">
      <w:bodyDiv w:val="1"/>
      <w:marLeft w:val="0"/>
      <w:marRight w:val="0"/>
      <w:marTop w:val="0"/>
      <w:marBottom w:val="0"/>
      <w:divBdr>
        <w:top w:val="none" w:sz="0" w:space="0" w:color="auto"/>
        <w:left w:val="none" w:sz="0" w:space="0" w:color="auto"/>
        <w:bottom w:val="none" w:sz="0" w:space="0" w:color="auto"/>
        <w:right w:val="none" w:sz="0" w:space="0" w:color="auto"/>
      </w:divBdr>
    </w:div>
    <w:div w:id="1763336299">
      <w:bodyDiv w:val="1"/>
      <w:marLeft w:val="0"/>
      <w:marRight w:val="0"/>
      <w:marTop w:val="0"/>
      <w:marBottom w:val="0"/>
      <w:divBdr>
        <w:top w:val="none" w:sz="0" w:space="0" w:color="auto"/>
        <w:left w:val="none" w:sz="0" w:space="0" w:color="auto"/>
        <w:bottom w:val="none" w:sz="0" w:space="0" w:color="auto"/>
        <w:right w:val="none" w:sz="0" w:space="0" w:color="auto"/>
      </w:divBdr>
    </w:div>
    <w:div w:id="1763603187">
      <w:bodyDiv w:val="1"/>
      <w:marLeft w:val="0"/>
      <w:marRight w:val="0"/>
      <w:marTop w:val="0"/>
      <w:marBottom w:val="0"/>
      <w:divBdr>
        <w:top w:val="none" w:sz="0" w:space="0" w:color="auto"/>
        <w:left w:val="none" w:sz="0" w:space="0" w:color="auto"/>
        <w:bottom w:val="none" w:sz="0" w:space="0" w:color="auto"/>
        <w:right w:val="none" w:sz="0" w:space="0" w:color="auto"/>
      </w:divBdr>
    </w:div>
    <w:div w:id="1763604017">
      <w:bodyDiv w:val="1"/>
      <w:marLeft w:val="0"/>
      <w:marRight w:val="0"/>
      <w:marTop w:val="0"/>
      <w:marBottom w:val="0"/>
      <w:divBdr>
        <w:top w:val="none" w:sz="0" w:space="0" w:color="auto"/>
        <w:left w:val="none" w:sz="0" w:space="0" w:color="auto"/>
        <w:bottom w:val="none" w:sz="0" w:space="0" w:color="auto"/>
        <w:right w:val="none" w:sz="0" w:space="0" w:color="auto"/>
      </w:divBdr>
    </w:div>
    <w:div w:id="1763644571">
      <w:bodyDiv w:val="1"/>
      <w:marLeft w:val="0"/>
      <w:marRight w:val="0"/>
      <w:marTop w:val="0"/>
      <w:marBottom w:val="0"/>
      <w:divBdr>
        <w:top w:val="none" w:sz="0" w:space="0" w:color="auto"/>
        <w:left w:val="none" w:sz="0" w:space="0" w:color="auto"/>
        <w:bottom w:val="none" w:sz="0" w:space="0" w:color="auto"/>
        <w:right w:val="none" w:sz="0" w:space="0" w:color="auto"/>
      </w:divBdr>
    </w:div>
    <w:div w:id="1763800467">
      <w:bodyDiv w:val="1"/>
      <w:marLeft w:val="0"/>
      <w:marRight w:val="0"/>
      <w:marTop w:val="0"/>
      <w:marBottom w:val="0"/>
      <w:divBdr>
        <w:top w:val="none" w:sz="0" w:space="0" w:color="auto"/>
        <w:left w:val="none" w:sz="0" w:space="0" w:color="auto"/>
        <w:bottom w:val="none" w:sz="0" w:space="0" w:color="auto"/>
        <w:right w:val="none" w:sz="0" w:space="0" w:color="auto"/>
      </w:divBdr>
    </w:div>
    <w:div w:id="1763840263">
      <w:bodyDiv w:val="1"/>
      <w:marLeft w:val="0"/>
      <w:marRight w:val="0"/>
      <w:marTop w:val="0"/>
      <w:marBottom w:val="0"/>
      <w:divBdr>
        <w:top w:val="none" w:sz="0" w:space="0" w:color="auto"/>
        <w:left w:val="none" w:sz="0" w:space="0" w:color="auto"/>
        <w:bottom w:val="none" w:sz="0" w:space="0" w:color="auto"/>
        <w:right w:val="none" w:sz="0" w:space="0" w:color="auto"/>
      </w:divBdr>
    </w:div>
    <w:div w:id="1763988519">
      <w:bodyDiv w:val="1"/>
      <w:marLeft w:val="0"/>
      <w:marRight w:val="0"/>
      <w:marTop w:val="0"/>
      <w:marBottom w:val="0"/>
      <w:divBdr>
        <w:top w:val="none" w:sz="0" w:space="0" w:color="auto"/>
        <w:left w:val="none" w:sz="0" w:space="0" w:color="auto"/>
        <w:bottom w:val="none" w:sz="0" w:space="0" w:color="auto"/>
        <w:right w:val="none" w:sz="0" w:space="0" w:color="auto"/>
      </w:divBdr>
    </w:div>
    <w:div w:id="1764111852">
      <w:bodyDiv w:val="1"/>
      <w:marLeft w:val="0"/>
      <w:marRight w:val="0"/>
      <w:marTop w:val="0"/>
      <w:marBottom w:val="0"/>
      <w:divBdr>
        <w:top w:val="none" w:sz="0" w:space="0" w:color="auto"/>
        <w:left w:val="none" w:sz="0" w:space="0" w:color="auto"/>
        <w:bottom w:val="none" w:sz="0" w:space="0" w:color="auto"/>
        <w:right w:val="none" w:sz="0" w:space="0" w:color="auto"/>
      </w:divBdr>
    </w:div>
    <w:div w:id="1764187652">
      <w:bodyDiv w:val="1"/>
      <w:marLeft w:val="0"/>
      <w:marRight w:val="0"/>
      <w:marTop w:val="0"/>
      <w:marBottom w:val="0"/>
      <w:divBdr>
        <w:top w:val="none" w:sz="0" w:space="0" w:color="auto"/>
        <w:left w:val="none" w:sz="0" w:space="0" w:color="auto"/>
        <w:bottom w:val="none" w:sz="0" w:space="0" w:color="auto"/>
        <w:right w:val="none" w:sz="0" w:space="0" w:color="auto"/>
      </w:divBdr>
    </w:div>
    <w:div w:id="1764303156">
      <w:bodyDiv w:val="1"/>
      <w:marLeft w:val="0"/>
      <w:marRight w:val="0"/>
      <w:marTop w:val="0"/>
      <w:marBottom w:val="0"/>
      <w:divBdr>
        <w:top w:val="none" w:sz="0" w:space="0" w:color="auto"/>
        <w:left w:val="none" w:sz="0" w:space="0" w:color="auto"/>
        <w:bottom w:val="none" w:sz="0" w:space="0" w:color="auto"/>
        <w:right w:val="none" w:sz="0" w:space="0" w:color="auto"/>
      </w:divBdr>
    </w:div>
    <w:div w:id="1764376648">
      <w:bodyDiv w:val="1"/>
      <w:marLeft w:val="0"/>
      <w:marRight w:val="0"/>
      <w:marTop w:val="0"/>
      <w:marBottom w:val="0"/>
      <w:divBdr>
        <w:top w:val="none" w:sz="0" w:space="0" w:color="auto"/>
        <w:left w:val="none" w:sz="0" w:space="0" w:color="auto"/>
        <w:bottom w:val="none" w:sz="0" w:space="0" w:color="auto"/>
        <w:right w:val="none" w:sz="0" w:space="0" w:color="auto"/>
      </w:divBdr>
    </w:div>
    <w:div w:id="1764377695">
      <w:bodyDiv w:val="1"/>
      <w:marLeft w:val="0"/>
      <w:marRight w:val="0"/>
      <w:marTop w:val="0"/>
      <w:marBottom w:val="0"/>
      <w:divBdr>
        <w:top w:val="none" w:sz="0" w:space="0" w:color="auto"/>
        <w:left w:val="none" w:sz="0" w:space="0" w:color="auto"/>
        <w:bottom w:val="none" w:sz="0" w:space="0" w:color="auto"/>
        <w:right w:val="none" w:sz="0" w:space="0" w:color="auto"/>
      </w:divBdr>
    </w:div>
    <w:div w:id="1764378956">
      <w:bodyDiv w:val="1"/>
      <w:marLeft w:val="0"/>
      <w:marRight w:val="0"/>
      <w:marTop w:val="0"/>
      <w:marBottom w:val="0"/>
      <w:divBdr>
        <w:top w:val="none" w:sz="0" w:space="0" w:color="auto"/>
        <w:left w:val="none" w:sz="0" w:space="0" w:color="auto"/>
        <w:bottom w:val="none" w:sz="0" w:space="0" w:color="auto"/>
        <w:right w:val="none" w:sz="0" w:space="0" w:color="auto"/>
      </w:divBdr>
    </w:div>
    <w:div w:id="1764380700">
      <w:bodyDiv w:val="1"/>
      <w:marLeft w:val="0"/>
      <w:marRight w:val="0"/>
      <w:marTop w:val="0"/>
      <w:marBottom w:val="0"/>
      <w:divBdr>
        <w:top w:val="none" w:sz="0" w:space="0" w:color="auto"/>
        <w:left w:val="none" w:sz="0" w:space="0" w:color="auto"/>
        <w:bottom w:val="none" w:sz="0" w:space="0" w:color="auto"/>
        <w:right w:val="none" w:sz="0" w:space="0" w:color="auto"/>
      </w:divBdr>
    </w:div>
    <w:div w:id="1764448110">
      <w:bodyDiv w:val="1"/>
      <w:marLeft w:val="0"/>
      <w:marRight w:val="0"/>
      <w:marTop w:val="0"/>
      <w:marBottom w:val="0"/>
      <w:divBdr>
        <w:top w:val="none" w:sz="0" w:space="0" w:color="auto"/>
        <w:left w:val="none" w:sz="0" w:space="0" w:color="auto"/>
        <w:bottom w:val="none" w:sz="0" w:space="0" w:color="auto"/>
        <w:right w:val="none" w:sz="0" w:space="0" w:color="auto"/>
      </w:divBdr>
    </w:div>
    <w:div w:id="1764496782">
      <w:bodyDiv w:val="1"/>
      <w:marLeft w:val="0"/>
      <w:marRight w:val="0"/>
      <w:marTop w:val="0"/>
      <w:marBottom w:val="0"/>
      <w:divBdr>
        <w:top w:val="none" w:sz="0" w:space="0" w:color="auto"/>
        <w:left w:val="none" w:sz="0" w:space="0" w:color="auto"/>
        <w:bottom w:val="none" w:sz="0" w:space="0" w:color="auto"/>
        <w:right w:val="none" w:sz="0" w:space="0" w:color="auto"/>
      </w:divBdr>
    </w:div>
    <w:div w:id="1764497882">
      <w:bodyDiv w:val="1"/>
      <w:marLeft w:val="0"/>
      <w:marRight w:val="0"/>
      <w:marTop w:val="0"/>
      <w:marBottom w:val="0"/>
      <w:divBdr>
        <w:top w:val="none" w:sz="0" w:space="0" w:color="auto"/>
        <w:left w:val="none" w:sz="0" w:space="0" w:color="auto"/>
        <w:bottom w:val="none" w:sz="0" w:space="0" w:color="auto"/>
        <w:right w:val="none" w:sz="0" w:space="0" w:color="auto"/>
      </w:divBdr>
    </w:div>
    <w:div w:id="1764568155">
      <w:bodyDiv w:val="1"/>
      <w:marLeft w:val="0"/>
      <w:marRight w:val="0"/>
      <w:marTop w:val="0"/>
      <w:marBottom w:val="0"/>
      <w:divBdr>
        <w:top w:val="none" w:sz="0" w:space="0" w:color="auto"/>
        <w:left w:val="none" w:sz="0" w:space="0" w:color="auto"/>
        <w:bottom w:val="none" w:sz="0" w:space="0" w:color="auto"/>
        <w:right w:val="none" w:sz="0" w:space="0" w:color="auto"/>
      </w:divBdr>
    </w:div>
    <w:div w:id="1764568542">
      <w:bodyDiv w:val="1"/>
      <w:marLeft w:val="0"/>
      <w:marRight w:val="0"/>
      <w:marTop w:val="0"/>
      <w:marBottom w:val="0"/>
      <w:divBdr>
        <w:top w:val="none" w:sz="0" w:space="0" w:color="auto"/>
        <w:left w:val="none" w:sz="0" w:space="0" w:color="auto"/>
        <w:bottom w:val="none" w:sz="0" w:space="0" w:color="auto"/>
        <w:right w:val="none" w:sz="0" w:space="0" w:color="auto"/>
      </w:divBdr>
    </w:div>
    <w:div w:id="1764643316">
      <w:bodyDiv w:val="1"/>
      <w:marLeft w:val="0"/>
      <w:marRight w:val="0"/>
      <w:marTop w:val="0"/>
      <w:marBottom w:val="0"/>
      <w:divBdr>
        <w:top w:val="none" w:sz="0" w:space="0" w:color="auto"/>
        <w:left w:val="none" w:sz="0" w:space="0" w:color="auto"/>
        <w:bottom w:val="none" w:sz="0" w:space="0" w:color="auto"/>
        <w:right w:val="none" w:sz="0" w:space="0" w:color="auto"/>
      </w:divBdr>
    </w:div>
    <w:div w:id="1764644794">
      <w:bodyDiv w:val="1"/>
      <w:marLeft w:val="0"/>
      <w:marRight w:val="0"/>
      <w:marTop w:val="0"/>
      <w:marBottom w:val="0"/>
      <w:divBdr>
        <w:top w:val="none" w:sz="0" w:space="0" w:color="auto"/>
        <w:left w:val="none" w:sz="0" w:space="0" w:color="auto"/>
        <w:bottom w:val="none" w:sz="0" w:space="0" w:color="auto"/>
        <w:right w:val="none" w:sz="0" w:space="0" w:color="auto"/>
      </w:divBdr>
    </w:div>
    <w:div w:id="1764716152">
      <w:bodyDiv w:val="1"/>
      <w:marLeft w:val="0"/>
      <w:marRight w:val="0"/>
      <w:marTop w:val="0"/>
      <w:marBottom w:val="0"/>
      <w:divBdr>
        <w:top w:val="none" w:sz="0" w:space="0" w:color="auto"/>
        <w:left w:val="none" w:sz="0" w:space="0" w:color="auto"/>
        <w:bottom w:val="none" w:sz="0" w:space="0" w:color="auto"/>
        <w:right w:val="none" w:sz="0" w:space="0" w:color="auto"/>
      </w:divBdr>
    </w:div>
    <w:div w:id="1764836380">
      <w:bodyDiv w:val="1"/>
      <w:marLeft w:val="0"/>
      <w:marRight w:val="0"/>
      <w:marTop w:val="0"/>
      <w:marBottom w:val="0"/>
      <w:divBdr>
        <w:top w:val="none" w:sz="0" w:space="0" w:color="auto"/>
        <w:left w:val="none" w:sz="0" w:space="0" w:color="auto"/>
        <w:bottom w:val="none" w:sz="0" w:space="0" w:color="auto"/>
        <w:right w:val="none" w:sz="0" w:space="0" w:color="auto"/>
      </w:divBdr>
    </w:div>
    <w:div w:id="1764836758">
      <w:bodyDiv w:val="1"/>
      <w:marLeft w:val="0"/>
      <w:marRight w:val="0"/>
      <w:marTop w:val="0"/>
      <w:marBottom w:val="0"/>
      <w:divBdr>
        <w:top w:val="none" w:sz="0" w:space="0" w:color="auto"/>
        <w:left w:val="none" w:sz="0" w:space="0" w:color="auto"/>
        <w:bottom w:val="none" w:sz="0" w:space="0" w:color="auto"/>
        <w:right w:val="none" w:sz="0" w:space="0" w:color="auto"/>
      </w:divBdr>
    </w:div>
    <w:div w:id="1764839521">
      <w:bodyDiv w:val="1"/>
      <w:marLeft w:val="0"/>
      <w:marRight w:val="0"/>
      <w:marTop w:val="0"/>
      <w:marBottom w:val="0"/>
      <w:divBdr>
        <w:top w:val="none" w:sz="0" w:space="0" w:color="auto"/>
        <w:left w:val="none" w:sz="0" w:space="0" w:color="auto"/>
        <w:bottom w:val="none" w:sz="0" w:space="0" w:color="auto"/>
        <w:right w:val="none" w:sz="0" w:space="0" w:color="auto"/>
      </w:divBdr>
    </w:div>
    <w:div w:id="1764957126">
      <w:bodyDiv w:val="1"/>
      <w:marLeft w:val="0"/>
      <w:marRight w:val="0"/>
      <w:marTop w:val="0"/>
      <w:marBottom w:val="0"/>
      <w:divBdr>
        <w:top w:val="none" w:sz="0" w:space="0" w:color="auto"/>
        <w:left w:val="none" w:sz="0" w:space="0" w:color="auto"/>
        <w:bottom w:val="none" w:sz="0" w:space="0" w:color="auto"/>
        <w:right w:val="none" w:sz="0" w:space="0" w:color="auto"/>
      </w:divBdr>
    </w:div>
    <w:div w:id="1764958542">
      <w:bodyDiv w:val="1"/>
      <w:marLeft w:val="0"/>
      <w:marRight w:val="0"/>
      <w:marTop w:val="0"/>
      <w:marBottom w:val="0"/>
      <w:divBdr>
        <w:top w:val="none" w:sz="0" w:space="0" w:color="auto"/>
        <w:left w:val="none" w:sz="0" w:space="0" w:color="auto"/>
        <w:bottom w:val="none" w:sz="0" w:space="0" w:color="auto"/>
        <w:right w:val="none" w:sz="0" w:space="0" w:color="auto"/>
      </w:divBdr>
    </w:div>
    <w:div w:id="1765105900">
      <w:bodyDiv w:val="1"/>
      <w:marLeft w:val="0"/>
      <w:marRight w:val="0"/>
      <w:marTop w:val="0"/>
      <w:marBottom w:val="0"/>
      <w:divBdr>
        <w:top w:val="none" w:sz="0" w:space="0" w:color="auto"/>
        <w:left w:val="none" w:sz="0" w:space="0" w:color="auto"/>
        <w:bottom w:val="none" w:sz="0" w:space="0" w:color="auto"/>
        <w:right w:val="none" w:sz="0" w:space="0" w:color="auto"/>
      </w:divBdr>
    </w:div>
    <w:div w:id="1765109456">
      <w:bodyDiv w:val="1"/>
      <w:marLeft w:val="0"/>
      <w:marRight w:val="0"/>
      <w:marTop w:val="0"/>
      <w:marBottom w:val="0"/>
      <w:divBdr>
        <w:top w:val="none" w:sz="0" w:space="0" w:color="auto"/>
        <w:left w:val="none" w:sz="0" w:space="0" w:color="auto"/>
        <w:bottom w:val="none" w:sz="0" w:space="0" w:color="auto"/>
        <w:right w:val="none" w:sz="0" w:space="0" w:color="auto"/>
      </w:divBdr>
    </w:div>
    <w:div w:id="1765148174">
      <w:bodyDiv w:val="1"/>
      <w:marLeft w:val="0"/>
      <w:marRight w:val="0"/>
      <w:marTop w:val="0"/>
      <w:marBottom w:val="0"/>
      <w:divBdr>
        <w:top w:val="none" w:sz="0" w:space="0" w:color="auto"/>
        <w:left w:val="none" w:sz="0" w:space="0" w:color="auto"/>
        <w:bottom w:val="none" w:sz="0" w:space="0" w:color="auto"/>
        <w:right w:val="none" w:sz="0" w:space="0" w:color="auto"/>
      </w:divBdr>
    </w:div>
    <w:div w:id="1765225363">
      <w:bodyDiv w:val="1"/>
      <w:marLeft w:val="0"/>
      <w:marRight w:val="0"/>
      <w:marTop w:val="0"/>
      <w:marBottom w:val="0"/>
      <w:divBdr>
        <w:top w:val="none" w:sz="0" w:space="0" w:color="auto"/>
        <w:left w:val="none" w:sz="0" w:space="0" w:color="auto"/>
        <w:bottom w:val="none" w:sz="0" w:space="0" w:color="auto"/>
        <w:right w:val="none" w:sz="0" w:space="0" w:color="auto"/>
      </w:divBdr>
    </w:div>
    <w:div w:id="1765228890">
      <w:bodyDiv w:val="1"/>
      <w:marLeft w:val="0"/>
      <w:marRight w:val="0"/>
      <w:marTop w:val="0"/>
      <w:marBottom w:val="0"/>
      <w:divBdr>
        <w:top w:val="none" w:sz="0" w:space="0" w:color="auto"/>
        <w:left w:val="none" w:sz="0" w:space="0" w:color="auto"/>
        <w:bottom w:val="none" w:sz="0" w:space="0" w:color="auto"/>
        <w:right w:val="none" w:sz="0" w:space="0" w:color="auto"/>
      </w:divBdr>
    </w:div>
    <w:div w:id="1765229129">
      <w:bodyDiv w:val="1"/>
      <w:marLeft w:val="0"/>
      <w:marRight w:val="0"/>
      <w:marTop w:val="0"/>
      <w:marBottom w:val="0"/>
      <w:divBdr>
        <w:top w:val="none" w:sz="0" w:space="0" w:color="auto"/>
        <w:left w:val="none" w:sz="0" w:space="0" w:color="auto"/>
        <w:bottom w:val="none" w:sz="0" w:space="0" w:color="auto"/>
        <w:right w:val="none" w:sz="0" w:space="0" w:color="auto"/>
      </w:divBdr>
    </w:div>
    <w:div w:id="1765299977">
      <w:bodyDiv w:val="1"/>
      <w:marLeft w:val="0"/>
      <w:marRight w:val="0"/>
      <w:marTop w:val="0"/>
      <w:marBottom w:val="0"/>
      <w:divBdr>
        <w:top w:val="none" w:sz="0" w:space="0" w:color="auto"/>
        <w:left w:val="none" w:sz="0" w:space="0" w:color="auto"/>
        <w:bottom w:val="none" w:sz="0" w:space="0" w:color="auto"/>
        <w:right w:val="none" w:sz="0" w:space="0" w:color="auto"/>
      </w:divBdr>
    </w:div>
    <w:div w:id="1765301571">
      <w:bodyDiv w:val="1"/>
      <w:marLeft w:val="0"/>
      <w:marRight w:val="0"/>
      <w:marTop w:val="0"/>
      <w:marBottom w:val="0"/>
      <w:divBdr>
        <w:top w:val="none" w:sz="0" w:space="0" w:color="auto"/>
        <w:left w:val="none" w:sz="0" w:space="0" w:color="auto"/>
        <w:bottom w:val="none" w:sz="0" w:space="0" w:color="auto"/>
        <w:right w:val="none" w:sz="0" w:space="0" w:color="auto"/>
      </w:divBdr>
    </w:div>
    <w:div w:id="1765374137">
      <w:bodyDiv w:val="1"/>
      <w:marLeft w:val="0"/>
      <w:marRight w:val="0"/>
      <w:marTop w:val="0"/>
      <w:marBottom w:val="0"/>
      <w:divBdr>
        <w:top w:val="none" w:sz="0" w:space="0" w:color="auto"/>
        <w:left w:val="none" w:sz="0" w:space="0" w:color="auto"/>
        <w:bottom w:val="none" w:sz="0" w:space="0" w:color="auto"/>
        <w:right w:val="none" w:sz="0" w:space="0" w:color="auto"/>
      </w:divBdr>
    </w:div>
    <w:div w:id="1765493184">
      <w:bodyDiv w:val="1"/>
      <w:marLeft w:val="0"/>
      <w:marRight w:val="0"/>
      <w:marTop w:val="0"/>
      <w:marBottom w:val="0"/>
      <w:divBdr>
        <w:top w:val="none" w:sz="0" w:space="0" w:color="auto"/>
        <w:left w:val="none" w:sz="0" w:space="0" w:color="auto"/>
        <w:bottom w:val="none" w:sz="0" w:space="0" w:color="auto"/>
        <w:right w:val="none" w:sz="0" w:space="0" w:color="auto"/>
      </w:divBdr>
    </w:div>
    <w:div w:id="1765565291">
      <w:bodyDiv w:val="1"/>
      <w:marLeft w:val="0"/>
      <w:marRight w:val="0"/>
      <w:marTop w:val="0"/>
      <w:marBottom w:val="0"/>
      <w:divBdr>
        <w:top w:val="none" w:sz="0" w:space="0" w:color="auto"/>
        <w:left w:val="none" w:sz="0" w:space="0" w:color="auto"/>
        <w:bottom w:val="none" w:sz="0" w:space="0" w:color="auto"/>
        <w:right w:val="none" w:sz="0" w:space="0" w:color="auto"/>
      </w:divBdr>
    </w:div>
    <w:div w:id="1765615776">
      <w:bodyDiv w:val="1"/>
      <w:marLeft w:val="0"/>
      <w:marRight w:val="0"/>
      <w:marTop w:val="0"/>
      <w:marBottom w:val="0"/>
      <w:divBdr>
        <w:top w:val="none" w:sz="0" w:space="0" w:color="auto"/>
        <w:left w:val="none" w:sz="0" w:space="0" w:color="auto"/>
        <w:bottom w:val="none" w:sz="0" w:space="0" w:color="auto"/>
        <w:right w:val="none" w:sz="0" w:space="0" w:color="auto"/>
      </w:divBdr>
    </w:div>
    <w:div w:id="1765687760">
      <w:bodyDiv w:val="1"/>
      <w:marLeft w:val="0"/>
      <w:marRight w:val="0"/>
      <w:marTop w:val="0"/>
      <w:marBottom w:val="0"/>
      <w:divBdr>
        <w:top w:val="none" w:sz="0" w:space="0" w:color="auto"/>
        <w:left w:val="none" w:sz="0" w:space="0" w:color="auto"/>
        <w:bottom w:val="none" w:sz="0" w:space="0" w:color="auto"/>
        <w:right w:val="none" w:sz="0" w:space="0" w:color="auto"/>
      </w:divBdr>
    </w:div>
    <w:div w:id="1765688623">
      <w:bodyDiv w:val="1"/>
      <w:marLeft w:val="0"/>
      <w:marRight w:val="0"/>
      <w:marTop w:val="0"/>
      <w:marBottom w:val="0"/>
      <w:divBdr>
        <w:top w:val="none" w:sz="0" w:space="0" w:color="auto"/>
        <w:left w:val="none" w:sz="0" w:space="0" w:color="auto"/>
        <w:bottom w:val="none" w:sz="0" w:space="0" w:color="auto"/>
        <w:right w:val="none" w:sz="0" w:space="0" w:color="auto"/>
      </w:divBdr>
    </w:div>
    <w:div w:id="1765691380">
      <w:bodyDiv w:val="1"/>
      <w:marLeft w:val="0"/>
      <w:marRight w:val="0"/>
      <w:marTop w:val="0"/>
      <w:marBottom w:val="0"/>
      <w:divBdr>
        <w:top w:val="none" w:sz="0" w:space="0" w:color="auto"/>
        <w:left w:val="none" w:sz="0" w:space="0" w:color="auto"/>
        <w:bottom w:val="none" w:sz="0" w:space="0" w:color="auto"/>
        <w:right w:val="none" w:sz="0" w:space="0" w:color="auto"/>
      </w:divBdr>
    </w:div>
    <w:div w:id="1765758964">
      <w:bodyDiv w:val="1"/>
      <w:marLeft w:val="0"/>
      <w:marRight w:val="0"/>
      <w:marTop w:val="0"/>
      <w:marBottom w:val="0"/>
      <w:divBdr>
        <w:top w:val="none" w:sz="0" w:space="0" w:color="auto"/>
        <w:left w:val="none" w:sz="0" w:space="0" w:color="auto"/>
        <w:bottom w:val="none" w:sz="0" w:space="0" w:color="auto"/>
        <w:right w:val="none" w:sz="0" w:space="0" w:color="auto"/>
      </w:divBdr>
    </w:div>
    <w:div w:id="1765878790">
      <w:bodyDiv w:val="1"/>
      <w:marLeft w:val="0"/>
      <w:marRight w:val="0"/>
      <w:marTop w:val="0"/>
      <w:marBottom w:val="0"/>
      <w:divBdr>
        <w:top w:val="none" w:sz="0" w:space="0" w:color="auto"/>
        <w:left w:val="none" w:sz="0" w:space="0" w:color="auto"/>
        <w:bottom w:val="none" w:sz="0" w:space="0" w:color="auto"/>
        <w:right w:val="none" w:sz="0" w:space="0" w:color="auto"/>
      </w:divBdr>
    </w:div>
    <w:div w:id="1766001840">
      <w:bodyDiv w:val="1"/>
      <w:marLeft w:val="0"/>
      <w:marRight w:val="0"/>
      <w:marTop w:val="0"/>
      <w:marBottom w:val="0"/>
      <w:divBdr>
        <w:top w:val="none" w:sz="0" w:space="0" w:color="auto"/>
        <w:left w:val="none" w:sz="0" w:space="0" w:color="auto"/>
        <w:bottom w:val="none" w:sz="0" w:space="0" w:color="auto"/>
        <w:right w:val="none" w:sz="0" w:space="0" w:color="auto"/>
      </w:divBdr>
    </w:div>
    <w:div w:id="1766263923">
      <w:bodyDiv w:val="1"/>
      <w:marLeft w:val="0"/>
      <w:marRight w:val="0"/>
      <w:marTop w:val="0"/>
      <w:marBottom w:val="0"/>
      <w:divBdr>
        <w:top w:val="none" w:sz="0" w:space="0" w:color="auto"/>
        <w:left w:val="none" w:sz="0" w:space="0" w:color="auto"/>
        <w:bottom w:val="none" w:sz="0" w:space="0" w:color="auto"/>
        <w:right w:val="none" w:sz="0" w:space="0" w:color="auto"/>
      </w:divBdr>
    </w:div>
    <w:div w:id="1766338042">
      <w:bodyDiv w:val="1"/>
      <w:marLeft w:val="0"/>
      <w:marRight w:val="0"/>
      <w:marTop w:val="0"/>
      <w:marBottom w:val="0"/>
      <w:divBdr>
        <w:top w:val="none" w:sz="0" w:space="0" w:color="auto"/>
        <w:left w:val="none" w:sz="0" w:space="0" w:color="auto"/>
        <w:bottom w:val="none" w:sz="0" w:space="0" w:color="auto"/>
        <w:right w:val="none" w:sz="0" w:space="0" w:color="auto"/>
      </w:divBdr>
    </w:div>
    <w:div w:id="1766341531">
      <w:bodyDiv w:val="1"/>
      <w:marLeft w:val="0"/>
      <w:marRight w:val="0"/>
      <w:marTop w:val="0"/>
      <w:marBottom w:val="0"/>
      <w:divBdr>
        <w:top w:val="none" w:sz="0" w:space="0" w:color="auto"/>
        <w:left w:val="none" w:sz="0" w:space="0" w:color="auto"/>
        <w:bottom w:val="none" w:sz="0" w:space="0" w:color="auto"/>
        <w:right w:val="none" w:sz="0" w:space="0" w:color="auto"/>
      </w:divBdr>
    </w:div>
    <w:div w:id="1766341685">
      <w:bodyDiv w:val="1"/>
      <w:marLeft w:val="0"/>
      <w:marRight w:val="0"/>
      <w:marTop w:val="0"/>
      <w:marBottom w:val="0"/>
      <w:divBdr>
        <w:top w:val="none" w:sz="0" w:space="0" w:color="auto"/>
        <w:left w:val="none" w:sz="0" w:space="0" w:color="auto"/>
        <w:bottom w:val="none" w:sz="0" w:space="0" w:color="auto"/>
        <w:right w:val="none" w:sz="0" w:space="0" w:color="auto"/>
      </w:divBdr>
    </w:div>
    <w:div w:id="1766413061">
      <w:bodyDiv w:val="1"/>
      <w:marLeft w:val="0"/>
      <w:marRight w:val="0"/>
      <w:marTop w:val="0"/>
      <w:marBottom w:val="0"/>
      <w:divBdr>
        <w:top w:val="none" w:sz="0" w:space="0" w:color="auto"/>
        <w:left w:val="none" w:sz="0" w:space="0" w:color="auto"/>
        <w:bottom w:val="none" w:sz="0" w:space="0" w:color="auto"/>
        <w:right w:val="none" w:sz="0" w:space="0" w:color="auto"/>
      </w:divBdr>
    </w:div>
    <w:div w:id="1766415800">
      <w:bodyDiv w:val="1"/>
      <w:marLeft w:val="0"/>
      <w:marRight w:val="0"/>
      <w:marTop w:val="0"/>
      <w:marBottom w:val="0"/>
      <w:divBdr>
        <w:top w:val="none" w:sz="0" w:space="0" w:color="auto"/>
        <w:left w:val="none" w:sz="0" w:space="0" w:color="auto"/>
        <w:bottom w:val="none" w:sz="0" w:space="0" w:color="auto"/>
        <w:right w:val="none" w:sz="0" w:space="0" w:color="auto"/>
      </w:divBdr>
    </w:div>
    <w:div w:id="1766532768">
      <w:bodyDiv w:val="1"/>
      <w:marLeft w:val="0"/>
      <w:marRight w:val="0"/>
      <w:marTop w:val="0"/>
      <w:marBottom w:val="0"/>
      <w:divBdr>
        <w:top w:val="none" w:sz="0" w:space="0" w:color="auto"/>
        <w:left w:val="none" w:sz="0" w:space="0" w:color="auto"/>
        <w:bottom w:val="none" w:sz="0" w:space="0" w:color="auto"/>
        <w:right w:val="none" w:sz="0" w:space="0" w:color="auto"/>
      </w:divBdr>
    </w:div>
    <w:div w:id="1766534484">
      <w:bodyDiv w:val="1"/>
      <w:marLeft w:val="0"/>
      <w:marRight w:val="0"/>
      <w:marTop w:val="0"/>
      <w:marBottom w:val="0"/>
      <w:divBdr>
        <w:top w:val="none" w:sz="0" w:space="0" w:color="auto"/>
        <w:left w:val="none" w:sz="0" w:space="0" w:color="auto"/>
        <w:bottom w:val="none" w:sz="0" w:space="0" w:color="auto"/>
        <w:right w:val="none" w:sz="0" w:space="0" w:color="auto"/>
      </w:divBdr>
    </w:div>
    <w:div w:id="1766538217">
      <w:bodyDiv w:val="1"/>
      <w:marLeft w:val="0"/>
      <w:marRight w:val="0"/>
      <w:marTop w:val="0"/>
      <w:marBottom w:val="0"/>
      <w:divBdr>
        <w:top w:val="none" w:sz="0" w:space="0" w:color="auto"/>
        <w:left w:val="none" w:sz="0" w:space="0" w:color="auto"/>
        <w:bottom w:val="none" w:sz="0" w:space="0" w:color="auto"/>
        <w:right w:val="none" w:sz="0" w:space="0" w:color="auto"/>
      </w:divBdr>
    </w:div>
    <w:div w:id="1766728994">
      <w:bodyDiv w:val="1"/>
      <w:marLeft w:val="0"/>
      <w:marRight w:val="0"/>
      <w:marTop w:val="0"/>
      <w:marBottom w:val="0"/>
      <w:divBdr>
        <w:top w:val="none" w:sz="0" w:space="0" w:color="auto"/>
        <w:left w:val="none" w:sz="0" w:space="0" w:color="auto"/>
        <w:bottom w:val="none" w:sz="0" w:space="0" w:color="auto"/>
        <w:right w:val="none" w:sz="0" w:space="0" w:color="auto"/>
      </w:divBdr>
    </w:div>
    <w:div w:id="1766878405">
      <w:bodyDiv w:val="1"/>
      <w:marLeft w:val="0"/>
      <w:marRight w:val="0"/>
      <w:marTop w:val="0"/>
      <w:marBottom w:val="0"/>
      <w:divBdr>
        <w:top w:val="none" w:sz="0" w:space="0" w:color="auto"/>
        <w:left w:val="none" w:sz="0" w:space="0" w:color="auto"/>
        <w:bottom w:val="none" w:sz="0" w:space="0" w:color="auto"/>
        <w:right w:val="none" w:sz="0" w:space="0" w:color="auto"/>
      </w:divBdr>
    </w:div>
    <w:div w:id="1766883021">
      <w:bodyDiv w:val="1"/>
      <w:marLeft w:val="0"/>
      <w:marRight w:val="0"/>
      <w:marTop w:val="0"/>
      <w:marBottom w:val="0"/>
      <w:divBdr>
        <w:top w:val="none" w:sz="0" w:space="0" w:color="auto"/>
        <w:left w:val="none" w:sz="0" w:space="0" w:color="auto"/>
        <w:bottom w:val="none" w:sz="0" w:space="0" w:color="auto"/>
        <w:right w:val="none" w:sz="0" w:space="0" w:color="auto"/>
      </w:divBdr>
    </w:div>
    <w:div w:id="1766920623">
      <w:bodyDiv w:val="1"/>
      <w:marLeft w:val="0"/>
      <w:marRight w:val="0"/>
      <w:marTop w:val="0"/>
      <w:marBottom w:val="0"/>
      <w:divBdr>
        <w:top w:val="none" w:sz="0" w:space="0" w:color="auto"/>
        <w:left w:val="none" w:sz="0" w:space="0" w:color="auto"/>
        <w:bottom w:val="none" w:sz="0" w:space="0" w:color="auto"/>
        <w:right w:val="none" w:sz="0" w:space="0" w:color="auto"/>
      </w:divBdr>
    </w:div>
    <w:div w:id="1766992850">
      <w:bodyDiv w:val="1"/>
      <w:marLeft w:val="0"/>
      <w:marRight w:val="0"/>
      <w:marTop w:val="0"/>
      <w:marBottom w:val="0"/>
      <w:divBdr>
        <w:top w:val="none" w:sz="0" w:space="0" w:color="auto"/>
        <w:left w:val="none" w:sz="0" w:space="0" w:color="auto"/>
        <w:bottom w:val="none" w:sz="0" w:space="0" w:color="auto"/>
        <w:right w:val="none" w:sz="0" w:space="0" w:color="auto"/>
      </w:divBdr>
    </w:div>
    <w:div w:id="1766993850">
      <w:bodyDiv w:val="1"/>
      <w:marLeft w:val="0"/>
      <w:marRight w:val="0"/>
      <w:marTop w:val="0"/>
      <w:marBottom w:val="0"/>
      <w:divBdr>
        <w:top w:val="none" w:sz="0" w:space="0" w:color="auto"/>
        <w:left w:val="none" w:sz="0" w:space="0" w:color="auto"/>
        <w:bottom w:val="none" w:sz="0" w:space="0" w:color="auto"/>
        <w:right w:val="none" w:sz="0" w:space="0" w:color="auto"/>
      </w:divBdr>
    </w:div>
    <w:div w:id="1766997819">
      <w:bodyDiv w:val="1"/>
      <w:marLeft w:val="0"/>
      <w:marRight w:val="0"/>
      <w:marTop w:val="0"/>
      <w:marBottom w:val="0"/>
      <w:divBdr>
        <w:top w:val="none" w:sz="0" w:space="0" w:color="auto"/>
        <w:left w:val="none" w:sz="0" w:space="0" w:color="auto"/>
        <w:bottom w:val="none" w:sz="0" w:space="0" w:color="auto"/>
        <w:right w:val="none" w:sz="0" w:space="0" w:color="auto"/>
      </w:divBdr>
    </w:div>
    <w:div w:id="1766999776">
      <w:bodyDiv w:val="1"/>
      <w:marLeft w:val="0"/>
      <w:marRight w:val="0"/>
      <w:marTop w:val="0"/>
      <w:marBottom w:val="0"/>
      <w:divBdr>
        <w:top w:val="none" w:sz="0" w:space="0" w:color="auto"/>
        <w:left w:val="none" w:sz="0" w:space="0" w:color="auto"/>
        <w:bottom w:val="none" w:sz="0" w:space="0" w:color="auto"/>
        <w:right w:val="none" w:sz="0" w:space="0" w:color="auto"/>
      </w:divBdr>
    </w:div>
    <w:div w:id="1767000296">
      <w:bodyDiv w:val="1"/>
      <w:marLeft w:val="0"/>
      <w:marRight w:val="0"/>
      <w:marTop w:val="0"/>
      <w:marBottom w:val="0"/>
      <w:divBdr>
        <w:top w:val="none" w:sz="0" w:space="0" w:color="auto"/>
        <w:left w:val="none" w:sz="0" w:space="0" w:color="auto"/>
        <w:bottom w:val="none" w:sz="0" w:space="0" w:color="auto"/>
        <w:right w:val="none" w:sz="0" w:space="0" w:color="auto"/>
      </w:divBdr>
    </w:div>
    <w:div w:id="1767069585">
      <w:bodyDiv w:val="1"/>
      <w:marLeft w:val="0"/>
      <w:marRight w:val="0"/>
      <w:marTop w:val="0"/>
      <w:marBottom w:val="0"/>
      <w:divBdr>
        <w:top w:val="none" w:sz="0" w:space="0" w:color="auto"/>
        <w:left w:val="none" w:sz="0" w:space="0" w:color="auto"/>
        <w:bottom w:val="none" w:sz="0" w:space="0" w:color="auto"/>
        <w:right w:val="none" w:sz="0" w:space="0" w:color="auto"/>
      </w:divBdr>
    </w:div>
    <w:div w:id="1767076447">
      <w:bodyDiv w:val="1"/>
      <w:marLeft w:val="0"/>
      <w:marRight w:val="0"/>
      <w:marTop w:val="0"/>
      <w:marBottom w:val="0"/>
      <w:divBdr>
        <w:top w:val="none" w:sz="0" w:space="0" w:color="auto"/>
        <w:left w:val="none" w:sz="0" w:space="0" w:color="auto"/>
        <w:bottom w:val="none" w:sz="0" w:space="0" w:color="auto"/>
        <w:right w:val="none" w:sz="0" w:space="0" w:color="auto"/>
      </w:divBdr>
    </w:div>
    <w:div w:id="1767112865">
      <w:bodyDiv w:val="1"/>
      <w:marLeft w:val="0"/>
      <w:marRight w:val="0"/>
      <w:marTop w:val="0"/>
      <w:marBottom w:val="0"/>
      <w:divBdr>
        <w:top w:val="none" w:sz="0" w:space="0" w:color="auto"/>
        <w:left w:val="none" w:sz="0" w:space="0" w:color="auto"/>
        <w:bottom w:val="none" w:sz="0" w:space="0" w:color="auto"/>
        <w:right w:val="none" w:sz="0" w:space="0" w:color="auto"/>
      </w:divBdr>
    </w:div>
    <w:div w:id="1767115707">
      <w:bodyDiv w:val="1"/>
      <w:marLeft w:val="0"/>
      <w:marRight w:val="0"/>
      <w:marTop w:val="0"/>
      <w:marBottom w:val="0"/>
      <w:divBdr>
        <w:top w:val="none" w:sz="0" w:space="0" w:color="auto"/>
        <w:left w:val="none" w:sz="0" w:space="0" w:color="auto"/>
        <w:bottom w:val="none" w:sz="0" w:space="0" w:color="auto"/>
        <w:right w:val="none" w:sz="0" w:space="0" w:color="auto"/>
      </w:divBdr>
    </w:div>
    <w:div w:id="1767145261">
      <w:bodyDiv w:val="1"/>
      <w:marLeft w:val="0"/>
      <w:marRight w:val="0"/>
      <w:marTop w:val="0"/>
      <w:marBottom w:val="0"/>
      <w:divBdr>
        <w:top w:val="none" w:sz="0" w:space="0" w:color="auto"/>
        <w:left w:val="none" w:sz="0" w:space="0" w:color="auto"/>
        <w:bottom w:val="none" w:sz="0" w:space="0" w:color="auto"/>
        <w:right w:val="none" w:sz="0" w:space="0" w:color="auto"/>
      </w:divBdr>
    </w:div>
    <w:div w:id="1767264775">
      <w:bodyDiv w:val="1"/>
      <w:marLeft w:val="0"/>
      <w:marRight w:val="0"/>
      <w:marTop w:val="0"/>
      <w:marBottom w:val="0"/>
      <w:divBdr>
        <w:top w:val="none" w:sz="0" w:space="0" w:color="auto"/>
        <w:left w:val="none" w:sz="0" w:space="0" w:color="auto"/>
        <w:bottom w:val="none" w:sz="0" w:space="0" w:color="auto"/>
        <w:right w:val="none" w:sz="0" w:space="0" w:color="auto"/>
      </w:divBdr>
    </w:div>
    <w:div w:id="1767312301">
      <w:bodyDiv w:val="1"/>
      <w:marLeft w:val="0"/>
      <w:marRight w:val="0"/>
      <w:marTop w:val="0"/>
      <w:marBottom w:val="0"/>
      <w:divBdr>
        <w:top w:val="none" w:sz="0" w:space="0" w:color="auto"/>
        <w:left w:val="none" w:sz="0" w:space="0" w:color="auto"/>
        <w:bottom w:val="none" w:sz="0" w:space="0" w:color="auto"/>
        <w:right w:val="none" w:sz="0" w:space="0" w:color="auto"/>
      </w:divBdr>
    </w:div>
    <w:div w:id="1767379582">
      <w:bodyDiv w:val="1"/>
      <w:marLeft w:val="0"/>
      <w:marRight w:val="0"/>
      <w:marTop w:val="0"/>
      <w:marBottom w:val="0"/>
      <w:divBdr>
        <w:top w:val="none" w:sz="0" w:space="0" w:color="auto"/>
        <w:left w:val="none" w:sz="0" w:space="0" w:color="auto"/>
        <w:bottom w:val="none" w:sz="0" w:space="0" w:color="auto"/>
        <w:right w:val="none" w:sz="0" w:space="0" w:color="auto"/>
      </w:divBdr>
    </w:div>
    <w:div w:id="1767454695">
      <w:bodyDiv w:val="1"/>
      <w:marLeft w:val="0"/>
      <w:marRight w:val="0"/>
      <w:marTop w:val="0"/>
      <w:marBottom w:val="0"/>
      <w:divBdr>
        <w:top w:val="none" w:sz="0" w:space="0" w:color="auto"/>
        <w:left w:val="none" w:sz="0" w:space="0" w:color="auto"/>
        <w:bottom w:val="none" w:sz="0" w:space="0" w:color="auto"/>
        <w:right w:val="none" w:sz="0" w:space="0" w:color="auto"/>
      </w:divBdr>
    </w:div>
    <w:div w:id="1767458139">
      <w:bodyDiv w:val="1"/>
      <w:marLeft w:val="0"/>
      <w:marRight w:val="0"/>
      <w:marTop w:val="0"/>
      <w:marBottom w:val="0"/>
      <w:divBdr>
        <w:top w:val="none" w:sz="0" w:space="0" w:color="auto"/>
        <w:left w:val="none" w:sz="0" w:space="0" w:color="auto"/>
        <w:bottom w:val="none" w:sz="0" w:space="0" w:color="auto"/>
        <w:right w:val="none" w:sz="0" w:space="0" w:color="auto"/>
      </w:divBdr>
    </w:div>
    <w:div w:id="1767531156">
      <w:bodyDiv w:val="1"/>
      <w:marLeft w:val="0"/>
      <w:marRight w:val="0"/>
      <w:marTop w:val="0"/>
      <w:marBottom w:val="0"/>
      <w:divBdr>
        <w:top w:val="none" w:sz="0" w:space="0" w:color="auto"/>
        <w:left w:val="none" w:sz="0" w:space="0" w:color="auto"/>
        <w:bottom w:val="none" w:sz="0" w:space="0" w:color="auto"/>
        <w:right w:val="none" w:sz="0" w:space="0" w:color="auto"/>
      </w:divBdr>
    </w:div>
    <w:div w:id="1767536008">
      <w:bodyDiv w:val="1"/>
      <w:marLeft w:val="0"/>
      <w:marRight w:val="0"/>
      <w:marTop w:val="0"/>
      <w:marBottom w:val="0"/>
      <w:divBdr>
        <w:top w:val="none" w:sz="0" w:space="0" w:color="auto"/>
        <w:left w:val="none" w:sz="0" w:space="0" w:color="auto"/>
        <w:bottom w:val="none" w:sz="0" w:space="0" w:color="auto"/>
        <w:right w:val="none" w:sz="0" w:space="0" w:color="auto"/>
      </w:divBdr>
    </w:div>
    <w:div w:id="1767580281">
      <w:bodyDiv w:val="1"/>
      <w:marLeft w:val="0"/>
      <w:marRight w:val="0"/>
      <w:marTop w:val="0"/>
      <w:marBottom w:val="0"/>
      <w:divBdr>
        <w:top w:val="none" w:sz="0" w:space="0" w:color="auto"/>
        <w:left w:val="none" w:sz="0" w:space="0" w:color="auto"/>
        <w:bottom w:val="none" w:sz="0" w:space="0" w:color="auto"/>
        <w:right w:val="none" w:sz="0" w:space="0" w:color="auto"/>
      </w:divBdr>
    </w:div>
    <w:div w:id="1767652435">
      <w:bodyDiv w:val="1"/>
      <w:marLeft w:val="0"/>
      <w:marRight w:val="0"/>
      <w:marTop w:val="0"/>
      <w:marBottom w:val="0"/>
      <w:divBdr>
        <w:top w:val="none" w:sz="0" w:space="0" w:color="auto"/>
        <w:left w:val="none" w:sz="0" w:space="0" w:color="auto"/>
        <w:bottom w:val="none" w:sz="0" w:space="0" w:color="auto"/>
        <w:right w:val="none" w:sz="0" w:space="0" w:color="auto"/>
      </w:divBdr>
    </w:div>
    <w:div w:id="1767657209">
      <w:bodyDiv w:val="1"/>
      <w:marLeft w:val="0"/>
      <w:marRight w:val="0"/>
      <w:marTop w:val="0"/>
      <w:marBottom w:val="0"/>
      <w:divBdr>
        <w:top w:val="none" w:sz="0" w:space="0" w:color="auto"/>
        <w:left w:val="none" w:sz="0" w:space="0" w:color="auto"/>
        <w:bottom w:val="none" w:sz="0" w:space="0" w:color="auto"/>
        <w:right w:val="none" w:sz="0" w:space="0" w:color="auto"/>
      </w:divBdr>
    </w:div>
    <w:div w:id="1767772834">
      <w:bodyDiv w:val="1"/>
      <w:marLeft w:val="0"/>
      <w:marRight w:val="0"/>
      <w:marTop w:val="0"/>
      <w:marBottom w:val="0"/>
      <w:divBdr>
        <w:top w:val="none" w:sz="0" w:space="0" w:color="auto"/>
        <w:left w:val="none" w:sz="0" w:space="0" w:color="auto"/>
        <w:bottom w:val="none" w:sz="0" w:space="0" w:color="auto"/>
        <w:right w:val="none" w:sz="0" w:space="0" w:color="auto"/>
      </w:divBdr>
    </w:div>
    <w:div w:id="1767850168">
      <w:bodyDiv w:val="1"/>
      <w:marLeft w:val="0"/>
      <w:marRight w:val="0"/>
      <w:marTop w:val="0"/>
      <w:marBottom w:val="0"/>
      <w:divBdr>
        <w:top w:val="none" w:sz="0" w:space="0" w:color="auto"/>
        <w:left w:val="none" w:sz="0" w:space="0" w:color="auto"/>
        <w:bottom w:val="none" w:sz="0" w:space="0" w:color="auto"/>
        <w:right w:val="none" w:sz="0" w:space="0" w:color="auto"/>
      </w:divBdr>
    </w:div>
    <w:div w:id="1767967994">
      <w:bodyDiv w:val="1"/>
      <w:marLeft w:val="0"/>
      <w:marRight w:val="0"/>
      <w:marTop w:val="0"/>
      <w:marBottom w:val="0"/>
      <w:divBdr>
        <w:top w:val="none" w:sz="0" w:space="0" w:color="auto"/>
        <w:left w:val="none" w:sz="0" w:space="0" w:color="auto"/>
        <w:bottom w:val="none" w:sz="0" w:space="0" w:color="auto"/>
        <w:right w:val="none" w:sz="0" w:space="0" w:color="auto"/>
      </w:divBdr>
    </w:div>
    <w:div w:id="1767993433">
      <w:bodyDiv w:val="1"/>
      <w:marLeft w:val="0"/>
      <w:marRight w:val="0"/>
      <w:marTop w:val="0"/>
      <w:marBottom w:val="0"/>
      <w:divBdr>
        <w:top w:val="none" w:sz="0" w:space="0" w:color="auto"/>
        <w:left w:val="none" w:sz="0" w:space="0" w:color="auto"/>
        <w:bottom w:val="none" w:sz="0" w:space="0" w:color="auto"/>
        <w:right w:val="none" w:sz="0" w:space="0" w:color="auto"/>
      </w:divBdr>
    </w:div>
    <w:div w:id="1768116810">
      <w:bodyDiv w:val="1"/>
      <w:marLeft w:val="0"/>
      <w:marRight w:val="0"/>
      <w:marTop w:val="0"/>
      <w:marBottom w:val="0"/>
      <w:divBdr>
        <w:top w:val="none" w:sz="0" w:space="0" w:color="auto"/>
        <w:left w:val="none" w:sz="0" w:space="0" w:color="auto"/>
        <w:bottom w:val="none" w:sz="0" w:space="0" w:color="auto"/>
        <w:right w:val="none" w:sz="0" w:space="0" w:color="auto"/>
      </w:divBdr>
    </w:div>
    <w:div w:id="1768186206">
      <w:bodyDiv w:val="1"/>
      <w:marLeft w:val="0"/>
      <w:marRight w:val="0"/>
      <w:marTop w:val="0"/>
      <w:marBottom w:val="0"/>
      <w:divBdr>
        <w:top w:val="none" w:sz="0" w:space="0" w:color="auto"/>
        <w:left w:val="none" w:sz="0" w:space="0" w:color="auto"/>
        <w:bottom w:val="none" w:sz="0" w:space="0" w:color="auto"/>
        <w:right w:val="none" w:sz="0" w:space="0" w:color="auto"/>
      </w:divBdr>
    </w:div>
    <w:div w:id="1768227810">
      <w:bodyDiv w:val="1"/>
      <w:marLeft w:val="0"/>
      <w:marRight w:val="0"/>
      <w:marTop w:val="0"/>
      <w:marBottom w:val="0"/>
      <w:divBdr>
        <w:top w:val="none" w:sz="0" w:space="0" w:color="auto"/>
        <w:left w:val="none" w:sz="0" w:space="0" w:color="auto"/>
        <w:bottom w:val="none" w:sz="0" w:space="0" w:color="auto"/>
        <w:right w:val="none" w:sz="0" w:space="0" w:color="auto"/>
      </w:divBdr>
    </w:div>
    <w:div w:id="1768235937">
      <w:bodyDiv w:val="1"/>
      <w:marLeft w:val="0"/>
      <w:marRight w:val="0"/>
      <w:marTop w:val="0"/>
      <w:marBottom w:val="0"/>
      <w:divBdr>
        <w:top w:val="none" w:sz="0" w:space="0" w:color="auto"/>
        <w:left w:val="none" w:sz="0" w:space="0" w:color="auto"/>
        <w:bottom w:val="none" w:sz="0" w:space="0" w:color="auto"/>
        <w:right w:val="none" w:sz="0" w:space="0" w:color="auto"/>
      </w:divBdr>
    </w:div>
    <w:div w:id="1768236145">
      <w:bodyDiv w:val="1"/>
      <w:marLeft w:val="0"/>
      <w:marRight w:val="0"/>
      <w:marTop w:val="0"/>
      <w:marBottom w:val="0"/>
      <w:divBdr>
        <w:top w:val="none" w:sz="0" w:space="0" w:color="auto"/>
        <w:left w:val="none" w:sz="0" w:space="0" w:color="auto"/>
        <w:bottom w:val="none" w:sz="0" w:space="0" w:color="auto"/>
        <w:right w:val="none" w:sz="0" w:space="0" w:color="auto"/>
      </w:divBdr>
    </w:div>
    <w:div w:id="1768310251">
      <w:bodyDiv w:val="1"/>
      <w:marLeft w:val="0"/>
      <w:marRight w:val="0"/>
      <w:marTop w:val="0"/>
      <w:marBottom w:val="0"/>
      <w:divBdr>
        <w:top w:val="none" w:sz="0" w:space="0" w:color="auto"/>
        <w:left w:val="none" w:sz="0" w:space="0" w:color="auto"/>
        <w:bottom w:val="none" w:sz="0" w:space="0" w:color="auto"/>
        <w:right w:val="none" w:sz="0" w:space="0" w:color="auto"/>
      </w:divBdr>
    </w:div>
    <w:div w:id="1768378744">
      <w:bodyDiv w:val="1"/>
      <w:marLeft w:val="0"/>
      <w:marRight w:val="0"/>
      <w:marTop w:val="0"/>
      <w:marBottom w:val="0"/>
      <w:divBdr>
        <w:top w:val="none" w:sz="0" w:space="0" w:color="auto"/>
        <w:left w:val="none" w:sz="0" w:space="0" w:color="auto"/>
        <w:bottom w:val="none" w:sz="0" w:space="0" w:color="auto"/>
        <w:right w:val="none" w:sz="0" w:space="0" w:color="auto"/>
      </w:divBdr>
    </w:div>
    <w:div w:id="1768380259">
      <w:bodyDiv w:val="1"/>
      <w:marLeft w:val="0"/>
      <w:marRight w:val="0"/>
      <w:marTop w:val="0"/>
      <w:marBottom w:val="0"/>
      <w:divBdr>
        <w:top w:val="none" w:sz="0" w:space="0" w:color="auto"/>
        <w:left w:val="none" w:sz="0" w:space="0" w:color="auto"/>
        <w:bottom w:val="none" w:sz="0" w:space="0" w:color="auto"/>
        <w:right w:val="none" w:sz="0" w:space="0" w:color="auto"/>
      </w:divBdr>
    </w:div>
    <w:div w:id="1768500143">
      <w:bodyDiv w:val="1"/>
      <w:marLeft w:val="0"/>
      <w:marRight w:val="0"/>
      <w:marTop w:val="0"/>
      <w:marBottom w:val="0"/>
      <w:divBdr>
        <w:top w:val="none" w:sz="0" w:space="0" w:color="auto"/>
        <w:left w:val="none" w:sz="0" w:space="0" w:color="auto"/>
        <w:bottom w:val="none" w:sz="0" w:space="0" w:color="auto"/>
        <w:right w:val="none" w:sz="0" w:space="0" w:color="auto"/>
      </w:divBdr>
    </w:div>
    <w:div w:id="1768574191">
      <w:bodyDiv w:val="1"/>
      <w:marLeft w:val="0"/>
      <w:marRight w:val="0"/>
      <w:marTop w:val="0"/>
      <w:marBottom w:val="0"/>
      <w:divBdr>
        <w:top w:val="none" w:sz="0" w:space="0" w:color="auto"/>
        <w:left w:val="none" w:sz="0" w:space="0" w:color="auto"/>
        <w:bottom w:val="none" w:sz="0" w:space="0" w:color="auto"/>
        <w:right w:val="none" w:sz="0" w:space="0" w:color="auto"/>
      </w:divBdr>
    </w:div>
    <w:div w:id="1768578437">
      <w:bodyDiv w:val="1"/>
      <w:marLeft w:val="0"/>
      <w:marRight w:val="0"/>
      <w:marTop w:val="0"/>
      <w:marBottom w:val="0"/>
      <w:divBdr>
        <w:top w:val="none" w:sz="0" w:space="0" w:color="auto"/>
        <w:left w:val="none" w:sz="0" w:space="0" w:color="auto"/>
        <w:bottom w:val="none" w:sz="0" w:space="0" w:color="auto"/>
        <w:right w:val="none" w:sz="0" w:space="0" w:color="auto"/>
      </w:divBdr>
    </w:div>
    <w:div w:id="1768579622">
      <w:bodyDiv w:val="1"/>
      <w:marLeft w:val="0"/>
      <w:marRight w:val="0"/>
      <w:marTop w:val="0"/>
      <w:marBottom w:val="0"/>
      <w:divBdr>
        <w:top w:val="none" w:sz="0" w:space="0" w:color="auto"/>
        <w:left w:val="none" w:sz="0" w:space="0" w:color="auto"/>
        <w:bottom w:val="none" w:sz="0" w:space="0" w:color="auto"/>
        <w:right w:val="none" w:sz="0" w:space="0" w:color="auto"/>
      </w:divBdr>
    </w:div>
    <w:div w:id="1768650098">
      <w:bodyDiv w:val="1"/>
      <w:marLeft w:val="0"/>
      <w:marRight w:val="0"/>
      <w:marTop w:val="0"/>
      <w:marBottom w:val="0"/>
      <w:divBdr>
        <w:top w:val="none" w:sz="0" w:space="0" w:color="auto"/>
        <w:left w:val="none" w:sz="0" w:space="0" w:color="auto"/>
        <w:bottom w:val="none" w:sz="0" w:space="0" w:color="auto"/>
        <w:right w:val="none" w:sz="0" w:space="0" w:color="auto"/>
      </w:divBdr>
    </w:div>
    <w:div w:id="1768959897">
      <w:bodyDiv w:val="1"/>
      <w:marLeft w:val="0"/>
      <w:marRight w:val="0"/>
      <w:marTop w:val="0"/>
      <w:marBottom w:val="0"/>
      <w:divBdr>
        <w:top w:val="none" w:sz="0" w:space="0" w:color="auto"/>
        <w:left w:val="none" w:sz="0" w:space="0" w:color="auto"/>
        <w:bottom w:val="none" w:sz="0" w:space="0" w:color="auto"/>
        <w:right w:val="none" w:sz="0" w:space="0" w:color="auto"/>
      </w:divBdr>
    </w:div>
    <w:div w:id="1768965211">
      <w:bodyDiv w:val="1"/>
      <w:marLeft w:val="0"/>
      <w:marRight w:val="0"/>
      <w:marTop w:val="0"/>
      <w:marBottom w:val="0"/>
      <w:divBdr>
        <w:top w:val="none" w:sz="0" w:space="0" w:color="auto"/>
        <w:left w:val="none" w:sz="0" w:space="0" w:color="auto"/>
        <w:bottom w:val="none" w:sz="0" w:space="0" w:color="auto"/>
        <w:right w:val="none" w:sz="0" w:space="0" w:color="auto"/>
      </w:divBdr>
    </w:div>
    <w:div w:id="1769034336">
      <w:bodyDiv w:val="1"/>
      <w:marLeft w:val="0"/>
      <w:marRight w:val="0"/>
      <w:marTop w:val="0"/>
      <w:marBottom w:val="0"/>
      <w:divBdr>
        <w:top w:val="none" w:sz="0" w:space="0" w:color="auto"/>
        <w:left w:val="none" w:sz="0" w:space="0" w:color="auto"/>
        <w:bottom w:val="none" w:sz="0" w:space="0" w:color="auto"/>
        <w:right w:val="none" w:sz="0" w:space="0" w:color="auto"/>
      </w:divBdr>
    </w:div>
    <w:div w:id="1769081245">
      <w:bodyDiv w:val="1"/>
      <w:marLeft w:val="0"/>
      <w:marRight w:val="0"/>
      <w:marTop w:val="0"/>
      <w:marBottom w:val="0"/>
      <w:divBdr>
        <w:top w:val="none" w:sz="0" w:space="0" w:color="auto"/>
        <w:left w:val="none" w:sz="0" w:space="0" w:color="auto"/>
        <w:bottom w:val="none" w:sz="0" w:space="0" w:color="auto"/>
        <w:right w:val="none" w:sz="0" w:space="0" w:color="auto"/>
      </w:divBdr>
    </w:div>
    <w:div w:id="1769085174">
      <w:bodyDiv w:val="1"/>
      <w:marLeft w:val="0"/>
      <w:marRight w:val="0"/>
      <w:marTop w:val="0"/>
      <w:marBottom w:val="0"/>
      <w:divBdr>
        <w:top w:val="none" w:sz="0" w:space="0" w:color="auto"/>
        <w:left w:val="none" w:sz="0" w:space="0" w:color="auto"/>
        <w:bottom w:val="none" w:sz="0" w:space="0" w:color="auto"/>
        <w:right w:val="none" w:sz="0" w:space="0" w:color="auto"/>
      </w:divBdr>
    </w:div>
    <w:div w:id="1769305791">
      <w:bodyDiv w:val="1"/>
      <w:marLeft w:val="0"/>
      <w:marRight w:val="0"/>
      <w:marTop w:val="0"/>
      <w:marBottom w:val="0"/>
      <w:divBdr>
        <w:top w:val="none" w:sz="0" w:space="0" w:color="auto"/>
        <w:left w:val="none" w:sz="0" w:space="0" w:color="auto"/>
        <w:bottom w:val="none" w:sz="0" w:space="0" w:color="auto"/>
        <w:right w:val="none" w:sz="0" w:space="0" w:color="auto"/>
      </w:divBdr>
    </w:div>
    <w:div w:id="1769347041">
      <w:bodyDiv w:val="1"/>
      <w:marLeft w:val="0"/>
      <w:marRight w:val="0"/>
      <w:marTop w:val="0"/>
      <w:marBottom w:val="0"/>
      <w:divBdr>
        <w:top w:val="none" w:sz="0" w:space="0" w:color="auto"/>
        <w:left w:val="none" w:sz="0" w:space="0" w:color="auto"/>
        <w:bottom w:val="none" w:sz="0" w:space="0" w:color="auto"/>
        <w:right w:val="none" w:sz="0" w:space="0" w:color="auto"/>
      </w:divBdr>
    </w:div>
    <w:div w:id="1769425269">
      <w:bodyDiv w:val="1"/>
      <w:marLeft w:val="0"/>
      <w:marRight w:val="0"/>
      <w:marTop w:val="0"/>
      <w:marBottom w:val="0"/>
      <w:divBdr>
        <w:top w:val="none" w:sz="0" w:space="0" w:color="auto"/>
        <w:left w:val="none" w:sz="0" w:space="0" w:color="auto"/>
        <w:bottom w:val="none" w:sz="0" w:space="0" w:color="auto"/>
        <w:right w:val="none" w:sz="0" w:space="0" w:color="auto"/>
      </w:divBdr>
    </w:div>
    <w:div w:id="1769616528">
      <w:bodyDiv w:val="1"/>
      <w:marLeft w:val="0"/>
      <w:marRight w:val="0"/>
      <w:marTop w:val="0"/>
      <w:marBottom w:val="0"/>
      <w:divBdr>
        <w:top w:val="none" w:sz="0" w:space="0" w:color="auto"/>
        <w:left w:val="none" w:sz="0" w:space="0" w:color="auto"/>
        <w:bottom w:val="none" w:sz="0" w:space="0" w:color="auto"/>
        <w:right w:val="none" w:sz="0" w:space="0" w:color="auto"/>
      </w:divBdr>
    </w:div>
    <w:div w:id="1769689943">
      <w:bodyDiv w:val="1"/>
      <w:marLeft w:val="0"/>
      <w:marRight w:val="0"/>
      <w:marTop w:val="0"/>
      <w:marBottom w:val="0"/>
      <w:divBdr>
        <w:top w:val="none" w:sz="0" w:space="0" w:color="auto"/>
        <w:left w:val="none" w:sz="0" w:space="0" w:color="auto"/>
        <w:bottom w:val="none" w:sz="0" w:space="0" w:color="auto"/>
        <w:right w:val="none" w:sz="0" w:space="0" w:color="auto"/>
      </w:divBdr>
    </w:div>
    <w:div w:id="1769690430">
      <w:bodyDiv w:val="1"/>
      <w:marLeft w:val="0"/>
      <w:marRight w:val="0"/>
      <w:marTop w:val="0"/>
      <w:marBottom w:val="0"/>
      <w:divBdr>
        <w:top w:val="none" w:sz="0" w:space="0" w:color="auto"/>
        <w:left w:val="none" w:sz="0" w:space="0" w:color="auto"/>
        <w:bottom w:val="none" w:sz="0" w:space="0" w:color="auto"/>
        <w:right w:val="none" w:sz="0" w:space="0" w:color="auto"/>
      </w:divBdr>
    </w:div>
    <w:div w:id="1769690591">
      <w:bodyDiv w:val="1"/>
      <w:marLeft w:val="0"/>
      <w:marRight w:val="0"/>
      <w:marTop w:val="0"/>
      <w:marBottom w:val="0"/>
      <w:divBdr>
        <w:top w:val="none" w:sz="0" w:space="0" w:color="auto"/>
        <w:left w:val="none" w:sz="0" w:space="0" w:color="auto"/>
        <w:bottom w:val="none" w:sz="0" w:space="0" w:color="auto"/>
        <w:right w:val="none" w:sz="0" w:space="0" w:color="auto"/>
      </w:divBdr>
    </w:div>
    <w:div w:id="1769696593">
      <w:bodyDiv w:val="1"/>
      <w:marLeft w:val="0"/>
      <w:marRight w:val="0"/>
      <w:marTop w:val="0"/>
      <w:marBottom w:val="0"/>
      <w:divBdr>
        <w:top w:val="none" w:sz="0" w:space="0" w:color="auto"/>
        <w:left w:val="none" w:sz="0" w:space="0" w:color="auto"/>
        <w:bottom w:val="none" w:sz="0" w:space="0" w:color="auto"/>
        <w:right w:val="none" w:sz="0" w:space="0" w:color="auto"/>
      </w:divBdr>
    </w:div>
    <w:div w:id="1769739974">
      <w:bodyDiv w:val="1"/>
      <w:marLeft w:val="0"/>
      <w:marRight w:val="0"/>
      <w:marTop w:val="0"/>
      <w:marBottom w:val="0"/>
      <w:divBdr>
        <w:top w:val="none" w:sz="0" w:space="0" w:color="auto"/>
        <w:left w:val="none" w:sz="0" w:space="0" w:color="auto"/>
        <w:bottom w:val="none" w:sz="0" w:space="0" w:color="auto"/>
        <w:right w:val="none" w:sz="0" w:space="0" w:color="auto"/>
      </w:divBdr>
    </w:div>
    <w:div w:id="1769764591">
      <w:bodyDiv w:val="1"/>
      <w:marLeft w:val="0"/>
      <w:marRight w:val="0"/>
      <w:marTop w:val="0"/>
      <w:marBottom w:val="0"/>
      <w:divBdr>
        <w:top w:val="none" w:sz="0" w:space="0" w:color="auto"/>
        <w:left w:val="none" w:sz="0" w:space="0" w:color="auto"/>
        <w:bottom w:val="none" w:sz="0" w:space="0" w:color="auto"/>
        <w:right w:val="none" w:sz="0" w:space="0" w:color="auto"/>
      </w:divBdr>
    </w:div>
    <w:div w:id="1769882858">
      <w:bodyDiv w:val="1"/>
      <w:marLeft w:val="0"/>
      <w:marRight w:val="0"/>
      <w:marTop w:val="0"/>
      <w:marBottom w:val="0"/>
      <w:divBdr>
        <w:top w:val="none" w:sz="0" w:space="0" w:color="auto"/>
        <w:left w:val="none" w:sz="0" w:space="0" w:color="auto"/>
        <w:bottom w:val="none" w:sz="0" w:space="0" w:color="auto"/>
        <w:right w:val="none" w:sz="0" w:space="0" w:color="auto"/>
      </w:divBdr>
    </w:div>
    <w:div w:id="1769887829">
      <w:bodyDiv w:val="1"/>
      <w:marLeft w:val="0"/>
      <w:marRight w:val="0"/>
      <w:marTop w:val="0"/>
      <w:marBottom w:val="0"/>
      <w:divBdr>
        <w:top w:val="none" w:sz="0" w:space="0" w:color="auto"/>
        <w:left w:val="none" w:sz="0" w:space="0" w:color="auto"/>
        <w:bottom w:val="none" w:sz="0" w:space="0" w:color="auto"/>
        <w:right w:val="none" w:sz="0" w:space="0" w:color="auto"/>
      </w:divBdr>
    </w:div>
    <w:div w:id="1769930859">
      <w:bodyDiv w:val="1"/>
      <w:marLeft w:val="0"/>
      <w:marRight w:val="0"/>
      <w:marTop w:val="0"/>
      <w:marBottom w:val="0"/>
      <w:divBdr>
        <w:top w:val="none" w:sz="0" w:space="0" w:color="auto"/>
        <w:left w:val="none" w:sz="0" w:space="0" w:color="auto"/>
        <w:bottom w:val="none" w:sz="0" w:space="0" w:color="auto"/>
        <w:right w:val="none" w:sz="0" w:space="0" w:color="auto"/>
      </w:divBdr>
    </w:div>
    <w:div w:id="1770077158">
      <w:bodyDiv w:val="1"/>
      <w:marLeft w:val="0"/>
      <w:marRight w:val="0"/>
      <w:marTop w:val="0"/>
      <w:marBottom w:val="0"/>
      <w:divBdr>
        <w:top w:val="none" w:sz="0" w:space="0" w:color="auto"/>
        <w:left w:val="none" w:sz="0" w:space="0" w:color="auto"/>
        <w:bottom w:val="none" w:sz="0" w:space="0" w:color="auto"/>
        <w:right w:val="none" w:sz="0" w:space="0" w:color="auto"/>
      </w:divBdr>
    </w:div>
    <w:div w:id="1770154976">
      <w:bodyDiv w:val="1"/>
      <w:marLeft w:val="0"/>
      <w:marRight w:val="0"/>
      <w:marTop w:val="0"/>
      <w:marBottom w:val="0"/>
      <w:divBdr>
        <w:top w:val="none" w:sz="0" w:space="0" w:color="auto"/>
        <w:left w:val="none" w:sz="0" w:space="0" w:color="auto"/>
        <w:bottom w:val="none" w:sz="0" w:space="0" w:color="auto"/>
        <w:right w:val="none" w:sz="0" w:space="0" w:color="auto"/>
      </w:divBdr>
    </w:div>
    <w:div w:id="1770157476">
      <w:bodyDiv w:val="1"/>
      <w:marLeft w:val="0"/>
      <w:marRight w:val="0"/>
      <w:marTop w:val="0"/>
      <w:marBottom w:val="0"/>
      <w:divBdr>
        <w:top w:val="none" w:sz="0" w:space="0" w:color="auto"/>
        <w:left w:val="none" w:sz="0" w:space="0" w:color="auto"/>
        <w:bottom w:val="none" w:sz="0" w:space="0" w:color="auto"/>
        <w:right w:val="none" w:sz="0" w:space="0" w:color="auto"/>
      </w:divBdr>
    </w:div>
    <w:div w:id="1770157909">
      <w:bodyDiv w:val="1"/>
      <w:marLeft w:val="0"/>
      <w:marRight w:val="0"/>
      <w:marTop w:val="0"/>
      <w:marBottom w:val="0"/>
      <w:divBdr>
        <w:top w:val="none" w:sz="0" w:space="0" w:color="auto"/>
        <w:left w:val="none" w:sz="0" w:space="0" w:color="auto"/>
        <w:bottom w:val="none" w:sz="0" w:space="0" w:color="auto"/>
        <w:right w:val="none" w:sz="0" w:space="0" w:color="auto"/>
      </w:divBdr>
    </w:div>
    <w:div w:id="1770194521">
      <w:bodyDiv w:val="1"/>
      <w:marLeft w:val="0"/>
      <w:marRight w:val="0"/>
      <w:marTop w:val="0"/>
      <w:marBottom w:val="0"/>
      <w:divBdr>
        <w:top w:val="none" w:sz="0" w:space="0" w:color="auto"/>
        <w:left w:val="none" w:sz="0" w:space="0" w:color="auto"/>
        <w:bottom w:val="none" w:sz="0" w:space="0" w:color="auto"/>
        <w:right w:val="none" w:sz="0" w:space="0" w:color="auto"/>
      </w:divBdr>
    </w:div>
    <w:div w:id="1770194669">
      <w:bodyDiv w:val="1"/>
      <w:marLeft w:val="0"/>
      <w:marRight w:val="0"/>
      <w:marTop w:val="0"/>
      <w:marBottom w:val="0"/>
      <w:divBdr>
        <w:top w:val="none" w:sz="0" w:space="0" w:color="auto"/>
        <w:left w:val="none" w:sz="0" w:space="0" w:color="auto"/>
        <w:bottom w:val="none" w:sz="0" w:space="0" w:color="auto"/>
        <w:right w:val="none" w:sz="0" w:space="0" w:color="auto"/>
      </w:divBdr>
    </w:div>
    <w:div w:id="1770201326">
      <w:bodyDiv w:val="1"/>
      <w:marLeft w:val="0"/>
      <w:marRight w:val="0"/>
      <w:marTop w:val="0"/>
      <w:marBottom w:val="0"/>
      <w:divBdr>
        <w:top w:val="none" w:sz="0" w:space="0" w:color="auto"/>
        <w:left w:val="none" w:sz="0" w:space="0" w:color="auto"/>
        <w:bottom w:val="none" w:sz="0" w:space="0" w:color="auto"/>
        <w:right w:val="none" w:sz="0" w:space="0" w:color="auto"/>
      </w:divBdr>
    </w:div>
    <w:div w:id="1770270021">
      <w:bodyDiv w:val="1"/>
      <w:marLeft w:val="0"/>
      <w:marRight w:val="0"/>
      <w:marTop w:val="0"/>
      <w:marBottom w:val="0"/>
      <w:divBdr>
        <w:top w:val="none" w:sz="0" w:space="0" w:color="auto"/>
        <w:left w:val="none" w:sz="0" w:space="0" w:color="auto"/>
        <w:bottom w:val="none" w:sz="0" w:space="0" w:color="auto"/>
        <w:right w:val="none" w:sz="0" w:space="0" w:color="auto"/>
      </w:divBdr>
    </w:div>
    <w:div w:id="1770270195">
      <w:bodyDiv w:val="1"/>
      <w:marLeft w:val="0"/>
      <w:marRight w:val="0"/>
      <w:marTop w:val="0"/>
      <w:marBottom w:val="0"/>
      <w:divBdr>
        <w:top w:val="none" w:sz="0" w:space="0" w:color="auto"/>
        <w:left w:val="none" w:sz="0" w:space="0" w:color="auto"/>
        <w:bottom w:val="none" w:sz="0" w:space="0" w:color="auto"/>
        <w:right w:val="none" w:sz="0" w:space="0" w:color="auto"/>
      </w:divBdr>
    </w:div>
    <w:div w:id="1770275321">
      <w:bodyDiv w:val="1"/>
      <w:marLeft w:val="0"/>
      <w:marRight w:val="0"/>
      <w:marTop w:val="0"/>
      <w:marBottom w:val="0"/>
      <w:divBdr>
        <w:top w:val="none" w:sz="0" w:space="0" w:color="auto"/>
        <w:left w:val="none" w:sz="0" w:space="0" w:color="auto"/>
        <w:bottom w:val="none" w:sz="0" w:space="0" w:color="auto"/>
        <w:right w:val="none" w:sz="0" w:space="0" w:color="auto"/>
      </w:divBdr>
    </w:div>
    <w:div w:id="1770736734">
      <w:bodyDiv w:val="1"/>
      <w:marLeft w:val="0"/>
      <w:marRight w:val="0"/>
      <w:marTop w:val="0"/>
      <w:marBottom w:val="0"/>
      <w:divBdr>
        <w:top w:val="none" w:sz="0" w:space="0" w:color="auto"/>
        <w:left w:val="none" w:sz="0" w:space="0" w:color="auto"/>
        <w:bottom w:val="none" w:sz="0" w:space="0" w:color="auto"/>
        <w:right w:val="none" w:sz="0" w:space="0" w:color="auto"/>
      </w:divBdr>
    </w:div>
    <w:div w:id="1770737057">
      <w:bodyDiv w:val="1"/>
      <w:marLeft w:val="0"/>
      <w:marRight w:val="0"/>
      <w:marTop w:val="0"/>
      <w:marBottom w:val="0"/>
      <w:divBdr>
        <w:top w:val="none" w:sz="0" w:space="0" w:color="auto"/>
        <w:left w:val="none" w:sz="0" w:space="0" w:color="auto"/>
        <w:bottom w:val="none" w:sz="0" w:space="0" w:color="auto"/>
        <w:right w:val="none" w:sz="0" w:space="0" w:color="auto"/>
      </w:divBdr>
    </w:div>
    <w:div w:id="1770813298">
      <w:bodyDiv w:val="1"/>
      <w:marLeft w:val="0"/>
      <w:marRight w:val="0"/>
      <w:marTop w:val="0"/>
      <w:marBottom w:val="0"/>
      <w:divBdr>
        <w:top w:val="none" w:sz="0" w:space="0" w:color="auto"/>
        <w:left w:val="none" w:sz="0" w:space="0" w:color="auto"/>
        <w:bottom w:val="none" w:sz="0" w:space="0" w:color="auto"/>
        <w:right w:val="none" w:sz="0" w:space="0" w:color="auto"/>
      </w:divBdr>
    </w:div>
    <w:div w:id="1770931023">
      <w:bodyDiv w:val="1"/>
      <w:marLeft w:val="0"/>
      <w:marRight w:val="0"/>
      <w:marTop w:val="0"/>
      <w:marBottom w:val="0"/>
      <w:divBdr>
        <w:top w:val="none" w:sz="0" w:space="0" w:color="auto"/>
        <w:left w:val="none" w:sz="0" w:space="0" w:color="auto"/>
        <w:bottom w:val="none" w:sz="0" w:space="0" w:color="auto"/>
        <w:right w:val="none" w:sz="0" w:space="0" w:color="auto"/>
      </w:divBdr>
    </w:div>
    <w:div w:id="1771268649">
      <w:bodyDiv w:val="1"/>
      <w:marLeft w:val="0"/>
      <w:marRight w:val="0"/>
      <w:marTop w:val="0"/>
      <w:marBottom w:val="0"/>
      <w:divBdr>
        <w:top w:val="none" w:sz="0" w:space="0" w:color="auto"/>
        <w:left w:val="none" w:sz="0" w:space="0" w:color="auto"/>
        <w:bottom w:val="none" w:sz="0" w:space="0" w:color="auto"/>
        <w:right w:val="none" w:sz="0" w:space="0" w:color="auto"/>
      </w:divBdr>
    </w:div>
    <w:div w:id="1771465719">
      <w:bodyDiv w:val="1"/>
      <w:marLeft w:val="0"/>
      <w:marRight w:val="0"/>
      <w:marTop w:val="0"/>
      <w:marBottom w:val="0"/>
      <w:divBdr>
        <w:top w:val="none" w:sz="0" w:space="0" w:color="auto"/>
        <w:left w:val="none" w:sz="0" w:space="0" w:color="auto"/>
        <w:bottom w:val="none" w:sz="0" w:space="0" w:color="auto"/>
        <w:right w:val="none" w:sz="0" w:space="0" w:color="auto"/>
      </w:divBdr>
    </w:div>
    <w:div w:id="1771504043">
      <w:bodyDiv w:val="1"/>
      <w:marLeft w:val="0"/>
      <w:marRight w:val="0"/>
      <w:marTop w:val="0"/>
      <w:marBottom w:val="0"/>
      <w:divBdr>
        <w:top w:val="none" w:sz="0" w:space="0" w:color="auto"/>
        <w:left w:val="none" w:sz="0" w:space="0" w:color="auto"/>
        <w:bottom w:val="none" w:sz="0" w:space="0" w:color="auto"/>
        <w:right w:val="none" w:sz="0" w:space="0" w:color="auto"/>
      </w:divBdr>
    </w:div>
    <w:div w:id="1771654639">
      <w:bodyDiv w:val="1"/>
      <w:marLeft w:val="0"/>
      <w:marRight w:val="0"/>
      <w:marTop w:val="0"/>
      <w:marBottom w:val="0"/>
      <w:divBdr>
        <w:top w:val="none" w:sz="0" w:space="0" w:color="auto"/>
        <w:left w:val="none" w:sz="0" w:space="0" w:color="auto"/>
        <w:bottom w:val="none" w:sz="0" w:space="0" w:color="auto"/>
        <w:right w:val="none" w:sz="0" w:space="0" w:color="auto"/>
      </w:divBdr>
    </w:div>
    <w:div w:id="1771655795">
      <w:bodyDiv w:val="1"/>
      <w:marLeft w:val="0"/>
      <w:marRight w:val="0"/>
      <w:marTop w:val="0"/>
      <w:marBottom w:val="0"/>
      <w:divBdr>
        <w:top w:val="none" w:sz="0" w:space="0" w:color="auto"/>
        <w:left w:val="none" w:sz="0" w:space="0" w:color="auto"/>
        <w:bottom w:val="none" w:sz="0" w:space="0" w:color="auto"/>
        <w:right w:val="none" w:sz="0" w:space="0" w:color="auto"/>
      </w:divBdr>
    </w:div>
    <w:div w:id="1771658824">
      <w:bodyDiv w:val="1"/>
      <w:marLeft w:val="0"/>
      <w:marRight w:val="0"/>
      <w:marTop w:val="0"/>
      <w:marBottom w:val="0"/>
      <w:divBdr>
        <w:top w:val="none" w:sz="0" w:space="0" w:color="auto"/>
        <w:left w:val="none" w:sz="0" w:space="0" w:color="auto"/>
        <w:bottom w:val="none" w:sz="0" w:space="0" w:color="auto"/>
        <w:right w:val="none" w:sz="0" w:space="0" w:color="auto"/>
      </w:divBdr>
    </w:div>
    <w:div w:id="1771702279">
      <w:bodyDiv w:val="1"/>
      <w:marLeft w:val="0"/>
      <w:marRight w:val="0"/>
      <w:marTop w:val="0"/>
      <w:marBottom w:val="0"/>
      <w:divBdr>
        <w:top w:val="none" w:sz="0" w:space="0" w:color="auto"/>
        <w:left w:val="none" w:sz="0" w:space="0" w:color="auto"/>
        <w:bottom w:val="none" w:sz="0" w:space="0" w:color="auto"/>
        <w:right w:val="none" w:sz="0" w:space="0" w:color="auto"/>
      </w:divBdr>
    </w:div>
    <w:div w:id="1771706395">
      <w:bodyDiv w:val="1"/>
      <w:marLeft w:val="0"/>
      <w:marRight w:val="0"/>
      <w:marTop w:val="0"/>
      <w:marBottom w:val="0"/>
      <w:divBdr>
        <w:top w:val="none" w:sz="0" w:space="0" w:color="auto"/>
        <w:left w:val="none" w:sz="0" w:space="0" w:color="auto"/>
        <w:bottom w:val="none" w:sz="0" w:space="0" w:color="auto"/>
        <w:right w:val="none" w:sz="0" w:space="0" w:color="auto"/>
      </w:divBdr>
    </w:div>
    <w:div w:id="1771732813">
      <w:bodyDiv w:val="1"/>
      <w:marLeft w:val="0"/>
      <w:marRight w:val="0"/>
      <w:marTop w:val="0"/>
      <w:marBottom w:val="0"/>
      <w:divBdr>
        <w:top w:val="none" w:sz="0" w:space="0" w:color="auto"/>
        <w:left w:val="none" w:sz="0" w:space="0" w:color="auto"/>
        <w:bottom w:val="none" w:sz="0" w:space="0" w:color="auto"/>
        <w:right w:val="none" w:sz="0" w:space="0" w:color="auto"/>
      </w:divBdr>
    </w:div>
    <w:div w:id="1771854654">
      <w:bodyDiv w:val="1"/>
      <w:marLeft w:val="0"/>
      <w:marRight w:val="0"/>
      <w:marTop w:val="0"/>
      <w:marBottom w:val="0"/>
      <w:divBdr>
        <w:top w:val="none" w:sz="0" w:space="0" w:color="auto"/>
        <w:left w:val="none" w:sz="0" w:space="0" w:color="auto"/>
        <w:bottom w:val="none" w:sz="0" w:space="0" w:color="auto"/>
        <w:right w:val="none" w:sz="0" w:space="0" w:color="auto"/>
      </w:divBdr>
    </w:div>
    <w:div w:id="1771855169">
      <w:bodyDiv w:val="1"/>
      <w:marLeft w:val="0"/>
      <w:marRight w:val="0"/>
      <w:marTop w:val="0"/>
      <w:marBottom w:val="0"/>
      <w:divBdr>
        <w:top w:val="none" w:sz="0" w:space="0" w:color="auto"/>
        <w:left w:val="none" w:sz="0" w:space="0" w:color="auto"/>
        <w:bottom w:val="none" w:sz="0" w:space="0" w:color="auto"/>
        <w:right w:val="none" w:sz="0" w:space="0" w:color="auto"/>
      </w:divBdr>
    </w:div>
    <w:div w:id="1771968536">
      <w:bodyDiv w:val="1"/>
      <w:marLeft w:val="0"/>
      <w:marRight w:val="0"/>
      <w:marTop w:val="0"/>
      <w:marBottom w:val="0"/>
      <w:divBdr>
        <w:top w:val="none" w:sz="0" w:space="0" w:color="auto"/>
        <w:left w:val="none" w:sz="0" w:space="0" w:color="auto"/>
        <w:bottom w:val="none" w:sz="0" w:space="0" w:color="auto"/>
        <w:right w:val="none" w:sz="0" w:space="0" w:color="auto"/>
      </w:divBdr>
    </w:div>
    <w:div w:id="1771970147">
      <w:bodyDiv w:val="1"/>
      <w:marLeft w:val="0"/>
      <w:marRight w:val="0"/>
      <w:marTop w:val="0"/>
      <w:marBottom w:val="0"/>
      <w:divBdr>
        <w:top w:val="none" w:sz="0" w:space="0" w:color="auto"/>
        <w:left w:val="none" w:sz="0" w:space="0" w:color="auto"/>
        <w:bottom w:val="none" w:sz="0" w:space="0" w:color="auto"/>
        <w:right w:val="none" w:sz="0" w:space="0" w:color="auto"/>
      </w:divBdr>
    </w:div>
    <w:div w:id="1772047757">
      <w:bodyDiv w:val="1"/>
      <w:marLeft w:val="0"/>
      <w:marRight w:val="0"/>
      <w:marTop w:val="0"/>
      <w:marBottom w:val="0"/>
      <w:divBdr>
        <w:top w:val="none" w:sz="0" w:space="0" w:color="auto"/>
        <w:left w:val="none" w:sz="0" w:space="0" w:color="auto"/>
        <w:bottom w:val="none" w:sz="0" w:space="0" w:color="auto"/>
        <w:right w:val="none" w:sz="0" w:space="0" w:color="auto"/>
      </w:divBdr>
    </w:div>
    <w:div w:id="1772310668">
      <w:bodyDiv w:val="1"/>
      <w:marLeft w:val="0"/>
      <w:marRight w:val="0"/>
      <w:marTop w:val="0"/>
      <w:marBottom w:val="0"/>
      <w:divBdr>
        <w:top w:val="none" w:sz="0" w:space="0" w:color="auto"/>
        <w:left w:val="none" w:sz="0" w:space="0" w:color="auto"/>
        <w:bottom w:val="none" w:sz="0" w:space="0" w:color="auto"/>
        <w:right w:val="none" w:sz="0" w:space="0" w:color="auto"/>
      </w:divBdr>
    </w:div>
    <w:div w:id="1772311496">
      <w:bodyDiv w:val="1"/>
      <w:marLeft w:val="0"/>
      <w:marRight w:val="0"/>
      <w:marTop w:val="0"/>
      <w:marBottom w:val="0"/>
      <w:divBdr>
        <w:top w:val="none" w:sz="0" w:space="0" w:color="auto"/>
        <w:left w:val="none" w:sz="0" w:space="0" w:color="auto"/>
        <w:bottom w:val="none" w:sz="0" w:space="0" w:color="auto"/>
        <w:right w:val="none" w:sz="0" w:space="0" w:color="auto"/>
      </w:divBdr>
    </w:div>
    <w:div w:id="1772360557">
      <w:bodyDiv w:val="1"/>
      <w:marLeft w:val="0"/>
      <w:marRight w:val="0"/>
      <w:marTop w:val="0"/>
      <w:marBottom w:val="0"/>
      <w:divBdr>
        <w:top w:val="none" w:sz="0" w:space="0" w:color="auto"/>
        <w:left w:val="none" w:sz="0" w:space="0" w:color="auto"/>
        <w:bottom w:val="none" w:sz="0" w:space="0" w:color="auto"/>
        <w:right w:val="none" w:sz="0" w:space="0" w:color="auto"/>
      </w:divBdr>
    </w:div>
    <w:div w:id="1772432860">
      <w:bodyDiv w:val="1"/>
      <w:marLeft w:val="0"/>
      <w:marRight w:val="0"/>
      <w:marTop w:val="0"/>
      <w:marBottom w:val="0"/>
      <w:divBdr>
        <w:top w:val="none" w:sz="0" w:space="0" w:color="auto"/>
        <w:left w:val="none" w:sz="0" w:space="0" w:color="auto"/>
        <w:bottom w:val="none" w:sz="0" w:space="0" w:color="auto"/>
        <w:right w:val="none" w:sz="0" w:space="0" w:color="auto"/>
      </w:divBdr>
    </w:div>
    <w:div w:id="1772435443">
      <w:bodyDiv w:val="1"/>
      <w:marLeft w:val="0"/>
      <w:marRight w:val="0"/>
      <w:marTop w:val="0"/>
      <w:marBottom w:val="0"/>
      <w:divBdr>
        <w:top w:val="none" w:sz="0" w:space="0" w:color="auto"/>
        <w:left w:val="none" w:sz="0" w:space="0" w:color="auto"/>
        <w:bottom w:val="none" w:sz="0" w:space="0" w:color="auto"/>
        <w:right w:val="none" w:sz="0" w:space="0" w:color="auto"/>
      </w:divBdr>
    </w:div>
    <w:div w:id="1772510564">
      <w:bodyDiv w:val="1"/>
      <w:marLeft w:val="0"/>
      <w:marRight w:val="0"/>
      <w:marTop w:val="0"/>
      <w:marBottom w:val="0"/>
      <w:divBdr>
        <w:top w:val="none" w:sz="0" w:space="0" w:color="auto"/>
        <w:left w:val="none" w:sz="0" w:space="0" w:color="auto"/>
        <w:bottom w:val="none" w:sz="0" w:space="0" w:color="auto"/>
        <w:right w:val="none" w:sz="0" w:space="0" w:color="auto"/>
      </w:divBdr>
    </w:div>
    <w:div w:id="1772555002">
      <w:bodyDiv w:val="1"/>
      <w:marLeft w:val="0"/>
      <w:marRight w:val="0"/>
      <w:marTop w:val="0"/>
      <w:marBottom w:val="0"/>
      <w:divBdr>
        <w:top w:val="none" w:sz="0" w:space="0" w:color="auto"/>
        <w:left w:val="none" w:sz="0" w:space="0" w:color="auto"/>
        <w:bottom w:val="none" w:sz="0" w:space="0" w:color="auto"/>
        <w:right w:val="none" w:sz="0" w:space="0" w:color="auto"/>
      </w:divBdr>
    </w:div>
    <w:div w:id="1772622802">
      <w:bodyDiv w:val="1"/>
      <w:marLeft w:val="0"/>
      <w:marRight w:val="0"/>
      <w:marTop w:val="0"/>
      <w:marBottom w:val="0"/>
      <w:divBdr>
        <w:top w:val="none" w:sz="0" w:space="0" w:color="auto"/>
        <w:left w:val="none" w:sz="0" w:space="0" w:color="auto"/>
        <w:bottom w:val="none" w:sz="0" w:space="0" w:color="auto"/>
        <w:right w:val="none" w:sz="0" w:space="0" w:color="auto"/>
      </w:divBdr>
    </w:div>
    <w:div w:id="1772774618">
      <w:bodyDiv w:val="1"/>
      <w:marLeft w:val="0"/>
      <w:marRight w:val="0"/>
      <w:marTop w:val="0"/>
      <w:marBottom w:val="0"/>
      <w:divBdr>
        <w:top w:val="none" w:sz="0" w:space="0" w:color="auto"/>
        <w:left w:val="none" w:sz="0" w:space="0" w:color="auto"/>
        <w:bottom w:val="none" w:sz="0" w:space="0" w:color="auto"/>
        <w:right w:val="none" w:sz="0" w:space="0" w:color="auto"/>
      </w:divBdr>
    </w:div>
    <w:div w:id="1772816829">
      <w:bodyDiv w:val="1"/>
      <w:marLeft w:val="0"/>
      <w:marRight w:val="0"/>
      <w:marTop w:val="0"/>
      <w:marBottom w:val="0"/>
      <w:divBdr>
        <w:top w:val="none" w:sz="0" w:space="0" w:color="auto"/>
        <w:left w:val="none" w:sz="0" w:space="0" w:color="auto"/>
        <w:bottom w:val="none" w:sz="0" w:space="0" w:color="auto"/>
        <w:right w:val="none" w:sz="0" w:space="0" w:color="auto"/>
      </w:divBdr>
    </w:div>
    <w:div w:id="1772822149">
      <w:bodyDiv w:val="1"/>
      <w:marLeft w:val="0"/>
      <w:marRight w:val="0"/>
      <w:marTop w:val="0"/>
      <w:marBottom w:val="0"/>
      <w:divBdr>
        <w:top w:val="none" w:sz="0" w:space="0" w:color="auto"/>
        <w:left w:val="none" w:sz="0" w:space="0" w:color="auto"/>
        <w:bottom w:val="none" w:sz="0" w:space="0" w:color="auto"/>
        <w:right w:val="none" w:sz="0" w:space="0" w:color="auto"/>
      </w:divBdr>
    </w:div>
    <w:div w:id="1772823611">
      <w:bodyDiv w:val="1"/>
      <w:marLeft w:val="0"/>
      <w:marRight w:val="0"/>
      <w:marTop w:val="0"/>
      <w:marBottom w:val="0"/>
      <w:divBdr>
        <w:top w:val="none" w:sz="0" w:space="0" w:color="auto"/>
        <w:left w:val="none" w:sz="0" w:space="0" w:color="auto"/>
        <w:bottom w:val="none" w:sz="0" w:space="0" w:color="auto"/>
        <w:right w:val="none" w:sz="0" w:space="0" w:color="auto"/>
      </w:divBdr>
    </w:div>
    <w:div w:id="1772895546">
      <w:bodyDiv w:val="1"/>
      <w:marLeft w:val="0"/>
      <w:marRight w:val="0"/>
      <w:marTop w:val="0"/>
      <w:marBottom w:val="0"/>
      <w:divBdr>
        <w:top w:val="none" w:sz="0" w:space="0" w:color="auto"/>
        <w:left w:val="none" w:sz="0" w:space="0" w:color="auto"/>
        <w:bottom w:val="none" w:sz="0" w:space="0" w:color="auto"/>
        <w:right w:val="none" w:sz="0" w:space="0" w:color="auto"/>
      </w:divBdr>
    </w:div>
    <w:div w:id="1772969105">
      <w:bodyDiv w:val="1"/>
      <w:marLeft w:val="0"/>
      <w:marRight w:val="0"/>
      <w:marTop w:val="0"/>
      <w:marBottom w:val="0"/>
      <w:divBdr>
        <w:top w:val="none" w:sz="0" w:space="0" w:color="auto"/>
        <w:left w:val="none" w:sz="0" w:space="0" w:color="auto"/>
        <w:bottom w:val="none" w:sz="0" w:space="0" w:color="auto"/>
        <w:right w:val="none" w:sz="0" w:space="0" w:color="auto"/>
      </w:divBdr>
    </w:div>
    <w:div w:id="1772971598">
      <w:bodyDiv w:val="1"/>
      <w:marLeft w:val="0"/>
      <w:marRight w:val="0"/>
      <w:marTop w:val="0"/>
      <w:marBottom w:val="0"/>
      <w:divBdr>
        <w:top w:val="none" w:sz="0" w:space="0" w:color="auto"/>
        <w:left w:val="none" w:sz="0" w:space="0" w:color="auto"/>
        <w:bottom w:val="none" w:sz="0" w:space="0" w:color="auto"/>
        <w:right w:val="none" w:sz="0" w:space="0" w:color="auto"/>
      </w:divBdr>
    </w:div>
    <w:div w:id="1773015053">
      <w:bodyDiv w:val="1"/>
      <w:marLeft w:val="0"/>
      <w:marRight w:val="0"/>
      <w:marTop w:val="0"/>
      <w:marBottom w:val="0"/>
      <w:divBdr>
        <w:top w:val="none" w:sz="0" w:space="0" w:color="auto"/>
        <w:left w:val="none" w:sz="0" w:space="0" w:color="auto"/>
        <w:bottom w:val="none" w:sz="0" w:space="0" w:color="auto"/>
        <w:right w:val="none" w:sz="0" w:space="0" w:color="auto"/>
      </w:divBdr>
    </w:div>
    <w:div w:id="1773040504">
      <w:bodyDiv w:val="1"/>
      <w:marLeft w:val="0"/>
      <w:marRight w:val="0"/>
      <w:marTop w:val="0"/>
      <w:marBottom w:val="0"/>
      <w:divBdr>
        <w:top w:val="none" w:sz="0" w:space="0" w:color="auto"/>
        <w:left w:val="none" w:sz="0" w:space="0" w:color="auto"/>
        <w:bottom w:val="none" w:sz="0" w:space="0" w:color="auto"/>
        <w:right w:val="none" w:sz="0" w:space="0" w:color="auto"/>
      </w:divBdr>
    </w:div>
    <w:div w:id="1773041357">
      <w:bodyDiv w:val="1"/>
      <w:marLeft w:val="0"/>
      <w:marRight w:val="0"/>
      <w:marTop w:val="0"/>
      <w:marBottom w:val="0"/>
      <w:divBdr>
        <w:top w:val="none" w:sz="0" w:space="0" w:color="auto"/>
        <w:left w:val="none" w:sz="0" w:space="0" w:color="auto"/>
        <w:bottom w:val="none" w:sz="0" w:space="0" w:color="auto"/>
        <w:right w:val="none" w:sz="0" w:space="0" w:color="auto"/>
      </w:divBdr>
    </w:div>
    <w:div w:id="1773083922">
      <w:bodyDiv w:val="1"/>
      <w:marLeft w:val="0"/>
      <w:marRight w:val="0"/>
      <w:marTop w:val="0"/>
      <w:marBottom w:val="0"/>
      <w:divBdr>
        <w:top w:val="none" w:sz="0" w:space="0" w:color="auto"/>
        <w:left w:val="none" w:sz="0" w:space="0" w:color="auto"/>
        <w:bottom w:val="none" w:sz="0" w:space="0" w:color="auto"/>
        <w:right w:val="none" w:sz="0" w:space="0" w:color="auto"/>
      </w:divBdr>
    </w:div>
    <w:div w:id="1773280187">
      <w:bodyDiv w:val="1"/>
      <w:marLeft w:val="0"/>
      <w:marRight w:val="0"/>
      <w:marTop w:val="0"/>
      <w:marBottom w:val="0"/>
      <w:divBdr>
        <w:top w:val="none" w:sz="0" w:space="0" w:color="auto"/>
        <w:left w:val="none" w:sz="0" w:space="0" w:color="auto"/>
        <w:bottom w:val="none" w:sz="0" w:space="0" w:color="auto"/>
        <w:right w:val="none" w:sz="0" w:space="0" w:color="auto"/>
      </w:divBdr>
    </w:div>
    <w:div w:id="1773282839">
      <w:bodyDiv w:val="1"/>
      <w:marLeft w:val="0"/>
      <w:marRight w:val="0"/>
      <w:marTop w:val="0"/>
      <w:marBottom w:val="0"/>
      <w:divBdr>
        <w:top w:val="none" w:sz="0" w:space="0" w:color="auto"/>
        <w:left w:val="none" w:sz="0" w:space="0" w:color="auto"/>
        <w:bottom w:val="none" w:sz="0" w:space="0" w:color="auto"/>
        <w:right w:val="none" w:sz="0" w:space="0" w:color="auto"/>
      </w:divBdr>
    </w:div>
    <w:div w:id="1773354330">
      <w:bodyDiv w:val="1"/>
      <w:marLeft w:val="0"/>
      <w:marRight w:val="0"/>
      <w:marTop w:val="0"/>
      <w:marBottom w:val="0"/>
      <w:divBdr>
        <w:top w:val="none" w:sz="0" w:space="0" w:color="auto"/>
        <w:left w:val="none" w:sz="0" w:space="0" w:color="auto"/>
        <w:bottom w:val="none" w:sz="0" w:space="0" w:color="auto"/>
        <w:right w:val="none" w:sz="0" w:space="0" w:color="auto"/>
      </w:divBdr>
    </w:div>
    <w:div w:id="1773427345">
      <w:bodyDiv w:val="1"/>
      <w:marLeft w:val="0"/>
      <w:marRight w:val="0"/>
      <w:marTop w:val="0"/>
      <w:marBottom w:val="0"/>
      <w:divBdr>
        <w:top w:val="none" w:sz="0" w:space="0" w:color="auto"/>
        <w:left w:val="none" w:sz="0" w:space="0" w:color="auto"/>
        <w:bottom w:val="none" w:sz="0" w:space="0" w:color="auto"/>
        <w:right w:val="none" w:sz="0" w:space="0" w:color="auto"/>
      </w:divBdr>
    </w:div>
    <w:div w:id="1773434441">
      <w:bodyDiv w:val="1"/>
      <w:marLeft w:val="0"/>
      <w:marRight w:val="0"/>
      <w:marTop w:val="0"/>
      <w:marBottom w:val="0"/>
      <w:divBdr>
        <w:top w:val="none" w:sz="0" w:space="0" w:color="auto"/>
        <w:left w:val="none" w:sz="0" w:space="0" w:color="auto"/>
        <w:bottom w:val="none" w:sz="0" w:space="0" w:color="auto"/>
        <w:right w:val="none" w:sz="0" w:space="0" w:color="auto"/>
      </w:divBdr>
    </w:div>
    <w:div w:id="1773435585">
      <w:bodyDiv w:val="1"/>
      <w:marLeft w:val="0"/>
      <w:marRight w:val="0"/>
      <w:marTop w:val="0"/>
      <w:marBottom w:val="0"/>
      <w:divBdr>
        <w:top w:val="none" w:sz="0" w:space="0" w:color="auto"/>
        <w:left w:val="none" w:sz="0" w:space="0" w:color="auto"/>
        <w:bottom w:val="none" w:sz="0" w:space="0" w:color="auto"/>
        <w:right w:val="none" w:sz="0" w:space="0" w:color="auto"/>
      </w:divBdr>
    </w:div>
    <w:div w:id="1773474293">
      <w:bodyDiv w:val="1"/>
      <w:marLeft w:val="0"/>
      <w:marRight w:val="0"/>
      <w:marTop w:val="0"/>
      <w:marBottom w:val="0"/>
      <w:divBdr>
        <w:top w:val="none" w:sz="0" w:space="0" w:color="auto"/>
        <w:left w:val="none" w:sz="0" w:space="0" w:color="auto"/>
        <w:bottom w:val="none" w:sz="0" w:space="0" w:color="auto"/>
        <w:right w:val="none" w:sz="0" w:space="0" w:color="auto"/>
      </w:divBdr>
    </w:div>
    <w:div w:id="1773551235">
      <w:bodyDiv w:val="1"/>
      <w:marLeft w:val="0"/>
      <w:marRight w:val="0"/>
      <w:marTop w:val="0"/>
      <w:marBottom w:val="0"/>
      <w:divBdr>
        <w:top w:val="none" w:sz="0" w:space="0" w:color="auto"/>
        <w:left w:val="none" w:sz="0" w:space="0" w:color="auto"/>
        <w:bottom w:val="none" w:sz="0" w:space="0" w:color="auto"/>
        <w:right w:val="none" w:sz="0" w:space="0" w:color="auto"/>
      </w:divBdr>
    </w:div>
    <w:div w:id="1773554427">
      <w:bodyDiv w:val="1"/>
      <w:marLeft w:val="0"/>
      <w:marRight w:val="0"/>
      <w:marTop w:val="0"/>
      <w:marBottom w:val="0"/>
      <w:divBdr>
        <w:top w:val="none" w:sz="0" w:space="0" w:color="auto"/>
        <w:left w:val="none" w:sz="0" w:space="0" w:color="auto"/>
        <w:bottom w:val="none" w:sz="0" w:space="0" w:color="auto"/>
        <w:right w:val="none" w:sz="0" w:space="0" w:color="auto"/>
      </w:divBdr>
    </w:div>
    <w:div w:id="1773624198">
      <w:bodyDiv w:val="1"/>
      <w:marLeft w:val="0"/>
      <w:marRight w:val="0"/>
      <w:marTop w:val="0"/>
      <w:marBottom w:val="0"/>
      <w:divBdr>
        <w:top w:val="none" w:sz="0" w:space="0" w:color="auto"/>
        <w:left w:val="none" w:sz="0" w:space="0" w:color="auto"/>
        <w:bottom w:val="none" w:sz="0" w:space="0" w:color="auto"/>
        <w:right w:val="none" w:sz="0" w:space="0" w:color="auto"/>
      </w:divBdr>
    </w:div>
    <w:div w:id="1773667529">
      <w:bodyDiv w:val="1"/>
      <w:marLeft w:val="0"/>
      <w:marRight w:val="0"/>
      <w:marTop w:val="0"/>
      <w:marBottom w:val="0"/>
      <w:divBdr>
        <w:top w:val="none" w:sz="0" w:space="0" w:color="auto"/>
        <w:left w:val="none" w:sz="0" w:space="0" w:color="auto"/>
        <w:bottom w:val="none" w:sz="0" w:space="0" w:color="auto"/>
        <w:right w:val="none" w:sz="0" w:space="0" w:color="auto"/>
      </w:divBdr>
    </w:div>
    <w:div w:id="1773670981">
      <w:bodyDiv w:val="1"/>
      <w:marLeft w:val="0"/>
      <w:marRight w:val="0"/>
      <w:marTop w:val="0"/>
      <w:marBottom w:val="0"/>
      <w:divBdr>
        <w:top w:val="none" w:sz="0" w:space="0" w:color="auto"/>
        <w:left w:val="none" w:sz="0" w:space="0" w:color="auto"/>
        <w:bottom w:val="none" w:sz="0" w:space="0" w:color="auto"/>
        <w:right w:val="none" w:sz="0" w:space="0" w:color="auto"/>
      </w:divBdr>
    </w:div>
    <w:div w:id="1773819165">
      <w:bodyDiv w:val="1"/>
      <w:marLeft w:val="0"/>
      <w:marRight w:val="0"/>
      <w:marTop w:val="0"/>
      <w:marBottom w:val="0"/>
      <w:divBdr>
        <w:top w:val="none" w:sz="0" w:space="0" w:color="auto"/>
        <w:left w:val="none" w:sz="0" w:space="0" w:color="auto"/>
        <w:bottom w:val="none" w:sz="0" w:space="0" w:color="auto"/>
        <w:right w:val="none" w:sz="0" w:space="0" w:color="auto"/>
      </w:divBdr>
    </w:div>
    <w:div w:id="1773822907">
      <w:bodyDiv w:val="1"/>
      <w:marLeft w:val="0"/>
      <w:marRight w:val="0"/>
      <w:marTop w:val="0"/>
      <w:marBottom w:val="0"/>
      <w:divBdr>
        <w:top w:val="none" w:sz="0" w:space="0" w:color="auto"/>
        <w:left w:val="none" w:sz="0" w:space="0" w:color="auto"/>
        <w:bottom w:val="none" w:sz="0" w:space="0" w:color="auto"/>
        <w:right w:val="none" w:sz="0" w:space="0" w:color="auto"/>
      </w:divBdr>
    </w:div>
    <w:div w:id="1773939947">
      <w:bodyDiv w:val="1"/>
      <w:marLeft w:val="0"/>
      <w:marRight w:val="0"/>
      <w:marTop w:val="0"/>
      <w:marBottom w:val="0"/>
      <w:divBdr>
        <w:top w:val="none" w:sz="0" w:space="0" w:color="auto"/>
        <w:left w:val="none" w:sz="0" w:space="0" w:color="auto"/>
        <w:bottom w:val="none" w:sz="0" w:space="0" w:color="auto"/>
        <w:right w:val="none" w:sz="0" w:space="0" w:color="auto"/>
      </w:divBdr>
    </w:div>
    <w:div w:id="1774012491">
      <w:bodyDiv w:val="1"/>
      <w:marLeft w:val="0"/>
      <w:marRight w:val="0"/>
      <w:marTop w:val="0"/>
      <w:marBottom w:val="0"/>
      <w:divBdr>
        <w:top w:val="none" w:sz="0" w:space="0" w:color="auto"/>
        <w:left w:val="none" w:sz="0" w:space="0" w:color="auto"/>
        <w:bottom w:val="none" w:sz="0" w:space="0" w:color="auto"/>
        <w:right w:val="none" w:sz="0" w:space="0" w:color="auto"/>
      </w:divBdr>
    </w:div>
    <w:div w:id="1774130353">
      <w:bodyDiv w:val="1"/>
      <w:marLeft w:val="0"/>
      <w:marRight w:val="0"/>
      <w:marTop w:val="0"/>
      <w:marBottom w:val="0"/>
      <w:divBdr>
        <w:top w:val="none" w:sz="0" w:space="0" w:color="auto"/>
        <w:left w:val="none" w:sz="0" w:space="0" w:color="auto"/>
        <w:bottom w:val="none" w:sz="0" w:space="0" w:color="auto"/>
        <w:right w:val="none" w:sz="0" w:space="0" w:color="auto"/>
      </w:divBdr>
    </w:div>
    <w:div w:id="1774202161">
      <w:bodyDiv w:val="1"/>
      <w:marLeft w:val="0"/>
      <w:marRight w:val="0"/>
      <w:marTop w:val="0"/>
      <w:marBottom w:val="0"/>
      <w:divBdr>
        <w:top w:val="none" w:sz="0" w:space="0" w:color="auto"/>
        <w:left w:val="none" w:sz="0" w:space="0" w:color="auto"/>
        <w:bottom w:val="none" w:sz="0" w:space="0" w:color="auto"/>
        <w:right w:val="none" w:sz="0" w:space="0" w:color="auto"/>
      </w:divBdr>
    </w:div>
    <w:div w:id="1774325402">
      <w:bodyDiv w:val="1"/>
      <w:marLeft w:val="0"/>
      <w:marRight w:val="0"/>
      <w:marTop w:val="0"/>
      <w:marBottom w:val="0"/>
      <w:divBdr>
        <w:top w:val="none" w:sz="0" w:space="0" w:color="auto"/>
        <w:left w:val="none" w:sz="0" w:space="0" w:color="auto"/>
        <w:bottom w:val="none" w:sz="0" w:space="0" w:color="auto"/>
        <w:right w:val="none" w:sz="0" w:space="0" w:color="auto"/>
      </w:divBdr>
    </w:div>
    <w:div w:id="1774550921">
      <w:bodyDiv w:val="1"/>
      <w:marLeft w:val="0"/>
      <w:marRight w:val="0"/>
      <w:marTop w:val="0"/>
      <w:marBottom w:val="0"/>
      <w:divBdr>
        <w:top w:val="none" w:sz="0" w:space="0" w:color="auto"/>
        <w:left w:val="none" w:sz="0" w:space="0" w:color="auto"/>
        <w:bottom w:val="none" w:sz="0" w:space="0" w:color="auto"/>
        <w:right w:val="none" w:sz="0" w:space="0" w:color="auto"/>
      </w:divBdr>
    </w:div>
    <w:div w:id="1774861374">
      <w:bodyDiv w:val="1"/>
      <w:marLeft w:val="0"/>
      <w:marRight w:val="0"/>
      <w:marTop w:val="0"/>
      <w:marBottom w:val="0"/>
      <w:divBdr>
        <w:top w:val="none" w:sz="0" w:space="0" w:color="auto"/>
        <w:left w:val="none" w:sz="0" w:space="0" w:color="auto"/>
        <w:bottom w:val="none" w:sz="0" w:space="0" w:color="auto"/>
        <w:right w:val="none" w:sz="0" w:space="0" w:color="auto"/>
      </w:divBdr>
    </w:div>
    <w:div w:id="1774981942">
      <w:bodyDiv w:val="1"/>
      <w:marLeft w:val="0"/>
      <w:marRight w:val="0"/>
      <w:marTop w:val="0"/>
      <w:marBottom w:val="0"/>
      <w:divBdr>
        <w:top w:val="none" w:sz="0" w:space="0" w:color="auto"/>
        <w:left w:val="none" w:sz="0" w:space="0" w:color="auto"/>
        <w:bottom w:val="none" w:sz="0" w:space="0" w:color="auto"/>
        <w:right w:val="none" w:sz="0" w:space="0" w:color="auto"/>
      </w:divBdr>
    </w:div>
    <w:div w:id="1775056169">
      <w:bodyDiv w:val="1"/>
      <w:marLeft w:val="0"/>
      <w:marRight w:val="0"/>
      <w:marTop w:val="0"/>
      <w:marBottom w:val="0"/>
      <w:divBdr>
        <w:top w:val="none" w:sz="0" w:space="0" w:color="auto"/>
        <w:left w:val="none" w:sz="0" w:space="0" w:color="auto"/>
        <w:bottom w:val="none" w:sz="0" w:space="0" w:color="auto"/>
        <w:right w:val="none" w:sz="0" w:space="0" w:color="auto"/>
      </w:divBdr>
    </w:div>
    <w:div w:id="1775057475">
      <w:bodyDiv w:val="1"/>
      <w:marLeft w:val="0"/>
      <w:marRight w:val="0"/>
      <w:marTop w:val="0"/>
      <w:marBottom w:val="0"/>
      <w:divBdr>
        <w:top w:val="none" w:sz="0" w:space="0" w:color="auto"/>
        <w:left w:val="none" w:sz="0" w:space="0" w:color="auto"/>
        <w:bottom w:val="none" w:sz="0" w:space="0" w:color="auto"/>
        <w:right w:val="none" w:sz="0" w:space="0" w:color="auto"/>
      </w:divBdr>
    </w:div>
    <w:div w:id="1775124918">
      <w:bodyDiv w:val="1"/>
      <w:marLeft w:val="0"/>
      <w:marRight w:val="0"/>
      <w:marTop w:val="0"/>
      <w:marBottom w:val="0"/>
      <w:divBdr>
        <w:top w:val="none" w:sz="0" w:space="0" w:color="auto"/>
        <w:left w:val="none" w:sz="0" w:space="0" w:color="auto"/>
        <w:bottom w:val="none" w:sz="0" w:space="0" w:color="auto"/>
        <w:right w:val="none" w:sz="0" w:space="0" w:color="auto"/>
      </w:divBdr>
    </w:div>
    <w:div w:id="1775131047">
      <w:bodyDiv w:val="1"/>
      <w:marLeft w:val="0"/>
      <w:marRight w:val="0"/>
      <w:marTop w:val="0"/>
      <w:marBottom w:val="0"/>
      <w:divBdr>
        <w:top w:val="none" w:sz="0" w:space="0" w:color="auto"/>
        <w:left w:val="none" w:sz="0" w:space="0" w:color="auto"/>
        <w:bottom w:val="none" w:sz="0" w:space="0" w:color="auto"/>
        <w:right w:val="none" w:sz="0" w:space="0" w:color="auto"/>
      </w:divBdr>
    </w:div>
    <w:div w:id="1775132265">
      <w:bodyDiv w:val="1"/>
      <w:marLeft w:val="0"/>
      <w:marRight w:val="0"/>
      <w:marTop w:val="0"/>
      <w:marBottom w:val="0"/>
      <w:divBdr>
        <w:top w:val="none" w:sz="0" w:space="0" w:color="auto"/>
        <w:left w:val="none" w:sz="0" w:space="0" w:color="auto"/>
        <w:bottom w:val="none" w:sz="0" w:space="0" w:color="auto"/>
        <w:right w:val="none" w:sz="0" w:space="0" w:color="auto"/>
      </w:divBdr>
    </w:div>
    <w:div w:id="1775204893">
      <w:bodyDiv w:val="1"/>
      <w:marLeft w:val="0"/>
      <w:marRight w:val="0"/>
      <w:marTop w:val="0"/>
      <w:marBottom w:val="0"/>
      <w:divBdr>
        <w:top w:val="none" w:sz="0" w:space="0" w:color="auto"/>
        <w:left w:val="none" w:sz="0" w:space="0" w:color="auto"/>
        <w:bottom w:val="none" w:sz="0" w:space="0" w:color="auto"/>
        <w:right w:val="none" w:sz="0" w:space="0" w:color="auto"/>
      </w:divBdr>
    </w:div>
    <w:div w:id="1775245264">
      <w:bodyDiv w:val="1"/>
      <w:marLeft w:val="0"/>
      <w:marRight w:val="0"/>
      <w:marTop w:val="0"/>
      <w:marBottom w:val="0"/>
      <w:divBdr>
        <w:top w:val="none" w:sz="0" w:space="0" w:color="auto"/>
        <w:left w:val="none" w:sz="0" w:space="0" w:color="auto"/>
        <w:bottom w:val="none" w:sz="0" w:space="0" w:color="auto"/>
        <w:right w:val="none" w:sz="0" w:space="0" w:color="auto"/>
      </w:divBdr>
    </w:div>
    <w:div w:id="1775247679">
      <w:bodyDiv w:val="1"/>
      <w:marLeft w:val="0"/>
      <w:marRight w:val="0"/>
      <w:marTop w:val="0"/>
      <w:marBottom w:val="0"/>
      <w:divBdr>
        <w:top w:val="none" w:sz="0" w:space="0" w:color="auto"/>
        <w:left w:val="none" w:sz="0" w:space="0" w:color="auto"/>
        <w:bottom w:val="none" w:sz="0" w:space="0" w:color="auto"/>
        <w:right w:val="none" w:sz="0" w:space="0" w:color="auto"/>
      </w:divBdr>
    </w:div>
    <w:div w:id="1775441281">
      <w:bodyDiv w:val="1"/>
      <w:marLeft w:val="0"/>
      <w:marRight w:val="0"/>
      <w:marTop w:val="0"/>
      <w:marBottom w:val="0"/>
      <w:divBdr>
        <w:top w:val="none" w:sz="0" w:space="0" w:color="auto"/>
        <w:left w:val="none" w:sz="0" w:space="0" w:color="auto"/>
        <w:bottom w:val="none" w:sz="0" w:space="0" w:color="auto"/>
        <w:right w:val="none" w:sz="0" w:space="0" w:color="auto"/>
      </w:divBdr>
    </w:div>
    <w:div w:id="1775586306">
      <w:bodyDiv w:val="1"/>
      <w:marLeft w:val="0"/>
      <w:marRight w:val="0"/>
      <w:marTop w:val="0"/>
      <w:marBottom w:val="0"/>
      <w:divBdr>
        <w:top w:val="none" w:sz="0" w:space="0" w:color="auto"/>
        <w:left w:val="none" w:sz="0" w:space="0" w:color="auto"/>
        <w:bottom w:val="none" w:sz="0" w:space="0" w:color="auto"/>
        <w:right w:val="none" w:sz="0" w:space="0" w:color="auto"/>
      </w:divBdr>
    </w:div>
    <w:div w:id="1775587381">
      <w:bodyDiv w:val="1"/>
      <w:marLeft w:val="0"/>
      <w:marRight w:val="0"/>
      <w:marTop w:val="0"/>
      <w:marBottom w:val="0"/>
      <w:divBdr>
        <w:top w:val="none" w:sz="0" w:space="0" w:color="auto"/>
        <w:left w:val="none" w:sz="0" w:space="0" w:color="auto"/>
        <w:bottom w:val="none" w:sz="0" w:space="0" w:color="auto"/>
        <w:right w:val="none" w:sz="0" w:space="0" w:color="auto"/>
      </w:divBdr>
    </w:div>
    <w:div w:id="1775591573">
      <w:bodyDiv w:val="1"/>
      <w:marLeft w:val="0"/>
      <w:marRight w:val="0"/>
      <w:marTop w:val="0"/>
      <w:marBottom w:val="0"/>
      <w:divBdr>
        <w:top w:val="none" w:sz="0" w:space="0" w:color="auto"/>
        <w:left w:val="none" w:sz="0" w:space="0" w:color="auto"/>
        <w:bottom w:val="none" w:sz="0" w:space="0" w:color="auto"/>
        <w:right w:val="none" w:sz="0" w:space="0" w:color="auto"/>
      </w:divBdr>
    </w:div>
    <w:div w:id="1775707360">
      <w:bodyDiv w:val="1"/>
      <w:marLeft w:val="0"/>
      <w:marRight w:val="0"/>
      <w:marTop w:val="0"/>
      <w:marBottom w:val="0"/>
      <w:divBdr>
        <w:top w:val="none" w:sz="0" w:space="0" w:color="auto"/>
        <w:left w:val="none" w:sz="0" w:space="0" w:color="auto"/>
        <w:bottom w:val="none" w:sz="0" w:space="0" w:color="auto"/>
        <w:right w:val="none" w:sz="0" w:space="0" w:color="auto"/>
      </w:divBdr>
    </w:div>
    <w:div w:id="1776048771">
      <w:bodyDiv w:val="1"/>
      <w:marLeft w:val="0"/>
      <w:marRight w:val="0"/>
      <w:marTop w:val="0"/>
      <w:marBottom w:val="0"/>
      <w:divBdr>
        <w:top w:val="none" w:sz="0" w:space="0" w:color="auto"/>
        <w:left w:val="none" w:sz="0" w:space="0" w:color="auto"/>
        <w:bottom w:val="none" w:sz="0" w:space="0" w:color="auto"/>
        <w:right w:val="none" w:sz="0" w:space="0" w:color="auto"/>
      </w:divBdr>
    </w:div>
    <w:div w:id="1776055926">
      <w:bodyDiv w:val="1"/>
      <w:marLeft w:val="0"/>
      <w:marRight w:val="0"/>
      <w:marTop w:val="0"/>
      <w:marBottom w:val="0"/>
      <w:divBdr>
        <w:top w:val="none" w:sz="0" w:space="0" w:color="auto"/>
        <w:left w:val="none" w:sz="0" w:space="0" w:color="auto"/>
        <w:bottom w:val="none" w:sz="0" w:space="0" w:color="auto"/>
        <w:right w:val="none" w:sz="0" w:space="0" w:color="auto"/>
      </w:divBdr>
    </w:div>
    <w:div w:id="1776174008">
      <w:bodyDiv w:val="1"/>
      <w:marLeft w:val="0"/>
      <w:marRight w:val="0"/>
      <w:marTop w:val="0"/>
      <w:marBottom w:val="0"/>
      <w:divBdr>
        <w:top w:val="none" w:sz="0" w:space="0" w:color="auto"/>
        <w:left w:val="none" w:sz="0" w:space="0" w:color="auto"/>
        <w:bottom w:val="none" w:sz="0" w:space="0" w:color="auto"/>
        <w:right w:val="none" w:sz="0" w:space="0" w:color="auto"/>
      </w:divBdr>
    </w:div>
    <w:div w:id="1776436904">
      <w:bodyDiv w:val="1"/>
      <w:marLeft w:val="0"/>
      <w:marRight w:val="0"/>
      <w:marTop w:val="0"/>
      <w:marBottom w:val="0"/>
      <w:divBdr>
        <w:top w:val="none" w:sz="0" w:space="0" w:color="auto"/>
        <w:left w:val="none" w:sz="0" w:space="0" w:color="auto"/>
        <w:bottom w:val="none" w:sz="0" w:space="0" w:color="auto"/>
        <w:right w:val="none" w:sz="0" w:space="0" w:color="auto"/>
      </w:divBdr>
    </w:div>
    <w:div w:id="1776556110">
      <w:bodyDiv w:val="1"/>
      <w:marLeft w:val="0"/>
      <w:marRight w:val="0"/>
      <w:marTop w:val="0"/>
      <w:marBottom w:val="0"/>
      <w:divBdr>
        <w:top w:val="none" w:sz="0" w:space="0" w:color="auto"/>
        <w:left w:val="none" w:sz="0" w:space="0" w:color="auto"/>
        <w:bottom w:val="none" w:sz="0" w:space="0" w:color="auto"/>
        <w:right w:val="none" w:sz="0" w:space="0" w:color="auto"/>
      </w:divBdr>
    </w:div>
    <w:div w:id="1776632088">
      <w:bodyDiv w:val="1"/>
      <w:marLeft w:val="0"/>
      <w:marRight w:val="0"/>
      <w:marTop w:val="0"/>
      <w:marBottom w:val="0"/>
      <w:divBdr>
        <w:top w:val="none" w:sz="0" w:space="0" w:color="auto"/>
        <w:left w:val="none" w:sz="0" w:space="0" w:color="auto"/>
        <w:bottom w:val="none" w:sz="0" w:space="0" w:color="auto"/>
        <w:right w:val="none" w:sz="0" w:space="0" w:color="auto"/>
      </w:divBdr>
    </w:div>
    <w:div w:id="1776633048">
      <w:bodyDiv w:val="1"/>
      <w:marLeft w:val="0"/>
      <w:marRight w:val="0"/>
      <w:marTop w:val="0"/>
      <w:marBottom w:val="0"/>
      <w:divBdr>
        <w:top w:val="none" w:sz="0" w:space="0" w:color="auto"/>
        <w:left w:val="none" w:sz="0" w:space="0" w:color="auto"/>
        <w:bottom w:val="none" w:sz="0" w:space="0" w:color="auto"/>
        <w:right w:val="none" w:sz="0" w:space="0" w:color="auto"/>
      </w:divBdr>
    </w:div>
    <w:div w:id="1776704331">
      <w:bodyDiv w:val="1"/>
      <w:marLeft w:val="0"/>
      <w:marRight w:val="0"/>
      <w:marTop w:val="0"/>
      <w:marBottom w:val="0"/>
      <w:divBdr>
        <w:top w:val="none" w:sz="0" w:space="0" w:color="auto"/>
        <w:left w:val="none" w:sz="0" w:space="0" w:color="auto"/>
        <w:bottom w:val="none" w:sz="0" w:space="0" w:color="auto"/>
        <w:right w:val="none" w:sz="0" w:space="0" w:color="auto"/>
      </w:divBdr>
    </w:div>
    <w:div w:id="1776746936">
      <w:bodyDiv w:val="1"/>
      <w:marLeft w:val="0"/>
      <w:marRight w:val="0"/>
      <w:marTop w:val="0"/>
      <w:marBottom w:val="0"/>
      <w:divBdr>
        <w:top w:val="none" w:sz="0" w:space="0" w:color="auto"/>
        <w:left w:val="none" w:sz="0" w:space="0" w:color="auto"/>
        <w:bottom w:val="none" w:sz="0" w:space="0" w:color="auto"/>
        <w:right w:val="none" w:sz="0" w:space="0" w:color="auto"/>
      </w:divBdr>
    </w:div>
    <w:div w:id="1776901582">
      <w:bodyDiv w:val="1"/>
      <w:marLeft w:val="0"/>
      <w:marRight w:val="0"/>
      <w:marTop w:val="0"/>
      <w:marBottom w:val="0"/>
      <w:divBdr>
        <w:top w:val="none" w:sz="0" w:space="0" w:color="auto"/>
        <w:left w:val="none" w:sz="0" w:space="0" w:color="auto"/>
        <w:bottom w:val="none" w:sz="0" w:space="0" w:color="auto"/>
        <w:right w:val="none" w:sz="0" w:space="0" w:color="auto"/>
      </w:divBdr>
    </w:div>
    <w:div w:id="1776903157">
      <w:bodyDiv w:val="1"/>
      <w:marLeft w:val="0"/>
      <w:marRight w:val="0"/>
      <w:marTop w:val="0"/>
      <w:marBottom w:val="0"/>
      <w:divBdr>
        <w:top w:val="none" w:sz="0" w:space="0" w:color="auto"/>
        <w:left w:val="none" w:sz="0" w:space="0" w:color="auto"/>
        <w:bottom w:val="none" w:sz="0" w:space="0" w:color="auto"/>
        <w:right w:val="none" w:sz="0" w:space="0" w:color="auto"/>
      </w:divBdr>
    </w:div>
    <w:div w:id="1777021434">
      <w:bodyDiv w:val="1"/>
      <w:marLeft w:val="0"/>
      <w:marRight w:val="0"/>
      <w:marTop w:val="0"/>
      <w:marBottom w:val="0"/>
      <w:divBdr>
        <w:top w:val="none" w:sz="0" w:space="0" w:color="auto"/>
        <w:left w:val="none" w:sz="0" w:space="0" w:color="auto"/>
        <w:bottom w:val="none" w:sz="0" w:space="0" w:color="auto"/>
        <w:right w:val="none" w:sz="0" w:space="0" w:color="auto"/>
      </w:divBdr>
    </w:div>
    <w:div w:id="1777090798">
      <w:bodyDiv w:val="1"/>
      <w:marLeft w:val="0"/>
      <w:marRight w:val="0"/>
      <w:marTop w:val="0"/>
      <w:marBottom w:val="0"/>
      <w:divBdr>
        <w:top w:val="none" w:sz="0" w:space="0" w:color="auto"/>
        <w:left w:val="none" w:sz="0" w:space="0" w:color="auto"/>
        <w:bottom w:val="none" w:sz="0" w:space="0" w:color="auto"/>
        <w:right w:val="none" w:sz="0" w:space="0" w:color="auto"/>
      </w:divBdr>
    </w:div>
    <w:div w:id="1777142338">
      <w:bodyDiv w:val="1"/>
      <w:marLeft w:val="0"/>
      <w:marRight w:val="0"/>
      <w:marTop w:val="0"/>
      <w:marBottom w:val="0"/>
      <w:divBdr>
        <w:top w:val="none" w:sz="0" w:space="0" w:color="auto"/>
        <w:left w:val="none" w:sz="0" w:space="0" w:color="auto"/>
        <w:bottom w:val="none" w:sz="0" w:space="0" w:color="auto"/>
        <w:right w:val="none" w:sz="0" w:space="0" w:color="auto"/>
      </w:divBdr>
    </w:div>
    <w:div w:id="1777171144">
      <w:bodyDiv w:val="1"/>
      <w:marLeft w:val="0"/>
      <w:marRight w:val="0"/>
      <w:marTop w:val="0"/>
      <w:marBottom w:val="0"/>
      <w:divBdr>
        <w:top w:val="none" w:sz="0" w:space="0" w:color="auto"/>
        <w:left w:val="none" w:sz="0" w:space="0" w:color="auto"/>
        <w:bottom w:val="none" w:sz="0" w:space="0" w:color="auto"/>
        <w:right w:val="none" w:sz="0" w:space="0" w:color="auto"/>
      </w:divBdr>
    </w:div>
    <w:div w:id="1777172021">
      <w:bodyDiv w:val="1"/>
      <w:marLeft w:val="0"/>
      <w:marRight w:val="0"/>
      <w:marTop w:val="0"/>
      <w:marBottom w:val="0"/>
      <w:divBdr>
        <w:top w:val="none" w:sz="0" w:space="0" w:color="auto"/>
        <w:left w:val="none" w:sz="0" w:space="0" w:color="auto"/>
        <w:bottom w:val="none" w:sz="0" w:space="0" w:color="auto"/>
        <w:right w:val="none" w:sz="0" w:space="0" w:color="auto"/>
      </w:divBdr>
    </w:div>
    <w:div w:id="1777213955">
      <w:bodyDiv w:val="1"/>
      <w:marLeft w:val="0"/>
      <w:marRight w:val="0"/>
      <w:marTop w:val="0"/>
      <w:marBottom w:val="0"/>
      <w:divBdr>
        <w:top w:val="none" w:sz="0" w:space="0" w:color="auto"/>
        <w:left w:val="none" w:sz="0" w:space="0" w:color="auto"/>
        <w:bottom w:val="none" w:sz="0" w:space="0" w:color="auto"/>
        <w:right w:val="none" w:sz="0" w:space="0" w:color="auto"/>
      </w:divBdr>
    </w:div>
    <w:div w:id="1777287322">
      <w:bodyDiv w:val="1"/>
      <w:marLeft w:val="0"/>
      <w:marRight w:val="0"/>
      <w:marTop w:val="0"/>
      <w:marBottom w:val="0"/>
      <w:divBdr>
        <w:top w:val="none" w:sz="0" w:space="0" w:color="auto"/>
        <w:left w:val="none" w:sz="0" w:space="0" w:color="auto"/>
        <w:bottom w:val="none" w:sz="0" w:space="0" w:color="auto"/>
        <w:right w:val="none" w:sz="0" w:space="0" w:color="auto"/>
      </w:divBdr>
    </w:div>
    <w:div w:id="1777289754">
      <w:bodyDiv w:val="1"/>
      <w:marLeft w:val="0"/>
      <w:marRight w:val="0"/>
      <w:marTop w:val="0"/>
      <w:marBottom w:val="0"/>
      <w:divBdr>
        <w:top w:val="none" w:sz="0" w:space="0" w:color="auto"/>
        <w:left w:val="none" w:sz="0" w:space="0" w:color="auto"/>
        <w:bottom w:val="none" w:sz="0" w:space="0" w:color="auto"/>
        <w:right w:val="none" w:sz="0" w:space="0" w:color="auto"/>
      </w:divBdr>
    </w:div>
    <w:div w:id="1777364015">
      <w:bodyDiv w:val="1"/>
      <w:marLeft w:val="0"/>
      <w:marRight w:val="0"/>
      <w:marTop w:val="0"/>
      <w:marBottom w:val="0"/>
      <w:divBdr>
        <w:top w:val="none" w:sz="0" w:space="0" w:color="auto"/>
        <w:left w:val="none" w:sz="0" w:space="0" w:color="auto"/>
        <w:bottom w:val="none" w:sz="0" w:space="0" w:color="auto"/>
        <w:right w:val="none" w:sz="0" w:space="0" w:color="auto"/>
      </w:divBdr>
    </w:div>
    <w:div w:id="1777364862">
      <w:bodyDiv w:val="1"/>
      <w:marLeft w:val="0"/>
      <w:marRight w:val="0"/>
      <w:marTop w:val="0"/>
      <w:marBottom w:val="0"/>
      <w:divBdr>
        <w:top w:val="none" w:sz="0" w:space="0" w:color="auto"/>
        <w:left w:val="none" w:sz="0" w:space="0" w:color="auto"/>
        <w:bottom w:val="none" w:sz="0" w:space="0" w:color="auto"/>
        <w:right w:val="none" w:sz="0" w:space="0" w:color="auto"/>
      </w:divBdr>
    </w:div>
    <w:div w:id="1777368190">
      <w:bodyDiv w:val="1"/>
      <w:marLeft w:val="0"/>
      <w:marRight w:val="0"/>
      <w:marTop w:val="0"/>
      <w:marBottom w:val="0"/>
      <w:divBdr>
        <w:top w:val="none" w:sz="0" w:space="0" w:color="auto"/>
        <w:left w:val="none" w:sz="0" w:space="0" w:color="auto"/>
        <w:bottom w:val="none" w:sz="0" w:space="0" w:color="auto"/>
        <w:right w:val="none" w:sz="0" w:space="0" w:color="auto"/>
      </w:divBdr>
    </w:div>
    <w:div w:id="1777404356">
      <w:bodyDiv w:val="1"/>
      <w:marLeft w:val="0"/>
      <w:marRight w:val="0"/>
      <w:marTop w:val="0"/>
      <w:marBottom w:val="0"/>
      <w:divBdr>
        <w:top w:val="none" w:sz="0" w:space="0" w:color="auto"/>
        <w:left w:val="none" w:sz="0" w:space="0" w:color="auto"/>
        <w:bottom w:val="none" w:sz="0" w:space="0" w:color="auto"/>
        <w:right w:val="none" w:sz="0" w:space="0" w:color="auto"/>
      </w:divBdr>
    </w:div>
    <w:div w:id="1777405682">
      <w:bodyDiv w:val="1"/>
      <w:marLeft w:val="0"/>
      <w:marRight w:val="0"/>
      <w:marTop w:val="0"/>
      <w:marBottom w:val="0"/>
      <w:divBdr>
        <w:top w:val="none" w:sz="0" w:space="0" w:color="auto"/>
        <w:left w:val="none" w:sz="0" w:space="0" w:color="auto"/>
        <w:bottom w:val="none" w:sz="0" w:space="0" w:color="auto"/>
        <w:right w:val="none" w:sz="0" w:space="0" w:color="auto"/>
      </w:divBdr>
    </w:div>
    <w:div w:id="1777407767">
      <w:bodyDiv w:val="1"/>
      <w:marLeft w:val="0"/>
      <w:marRight w:val="0"/>
      <w:marTop w:val="0"/>
      <w:marBottom w:val="0"/>
      <w:divBdr>
        <w:top w:val="none" w:sz="0" w:space="0" w:color="auto"/>
        <w:left w:val="none" w:sz="0" w:space="0" w:color="auto"/>
        <w:bottom w:val="none" w:sz="0" w:space="0" w:color="auto"/>
        <w:right w:val="none" w:sz="0" w:space="0" w:color="auto"/>
      </w:divBdr>
    </w:div>
    <w:div w:id="1777408315">
      <w:bodyDiv w:val="1"/>
      <w:marLeft w:val="0"/>
      <w:marRight w:val="0"/>
      <w:marTop w:val="0"/>
      <w:marBottom w:val="0"/>
      <w:divBdr>
        <w:top w:val="none" w:sz="0" w:space="0" w:color="auto"/>
        <w:left w:val="none" w:sz="0" w:space="0" w:color="auto"/>
        <w:bottom w:val="none" w:sz="0" w:space="0" w:color="auto"/>
        <w:right w:val="none" w:sz="0" w:space="0" w:color="auto"/>
      </w:divBdr>
    </w:div>
    <w:div w:id="1777410363">
      <w:bodyDiv w:val="1"/>
      <w:marLeft w:val="0"/>
      <w:marRight w:val="0"/>
      <w:marTop w:val="0"/>
      <w:marBottom w:val="0"/>
      <w:divBdr>
        <w:top w:val="none" w:sz="0" w:space="0" w:color="auto"/>
        <w:left w:val="none" w:sz="0" w:space="0" w:color="auto"/>
        <w:bottom w:val="none" w:sz="0" w:space="0" w:color="auto"/>
        <w:right w:val="none" w:sz="0" w:space="0" w:color="auto"/>
      </w:divBdr>
    </w:div>
    <w:div w:id="1777600849">
      <w:bodyDiv w:val="1"/>
      <w:marLeft w:val="0"/>
      <w:marRight w:val="0"/>
      <w:marTop w:val="0"/>
      <w:marBottom w:val="0"/>
      <w:divBdr>
        <w:top w:val="none" w:sz="0" w:space="0" w:color="auto"/>
        <w:left w:val="none" w:sz="0" w:space="0" w:color="auto"/>
        <w:bottom w:val="none" w:sz="0" w:space="0" w:color="auto"/>
        <w:right w:val="none" w:sz="0" w:space="0" w:color="auto"/>
      </w:divBdr>
    </w:div>
    <w:div w:id="1777750908">
      <w:bodyDiv w:val="1"/>
      <w:marLeft w:val="0"/>
      <w:marRight w:val="0"/>
      <w:marTop w:val="0"/>
      <w:marBottom w:val="0"/>
      <w:divBdr>
        <w:top w:val="none" w:sz="0" w:space="0" w:color="auto"/>
        <w:left w:val="none" w:sz="0" w:space="0" w:color="auto"/>
        <w:bottom w:val="none" w:sz="0" w:space="0" w:color="auto"/>
        <w:right w:val="none" w:sz="0" w:space="0" w:color="auto"/>
      </w:divBdr>
    </w:div>
    <w:div w:id="1777821091">
      <w:bodyDiv w:val="1"/>
      <w:marLeft w:val="0"/>
      <w:marRight w:val="0"/>
      <w:marTop w:val="0"/>
      <w:marBottom w:val="0"/>
      <w:divBdr>
        <w:top w:val="none" w:sz="0" w:space="0" w:color="auto"/>
        <w:left w:val="none" w:sz="0" w:space="0" w:color="auto"/>
        <w:bottom w:val="none" w:sz="0" w:space="0" w:color="auto"/>
        <w:right w:val="none" w:sz="0" w:space="0" w:color="auto"/>
      </w:divBdr>
    </w:div>
    <w:div w:id="1778021014">
      <w:bodyDiv w:val="1"/>
      <w:marLeft w:val="0"/>
      <w:marRight w:val="0"/>
      <w:marTop w:val="0"/>
      <w:marBottom w:val="0"/>
      <w:divBdr>
        <w:top w:val="none" w:sz="0" w:space="0" w:color="auto"/>
        <w:left w:val="none" w:sz="0" w:space="0" w:color="auto"/>
        <w:bottom w:val="none" w:sz="0" w:space="0" w:color="auto"/>
        <w:right w:val="none" w:sz="0" w:space="0" w:color="auto"/>
      </w:divBdr>
    </w:div>
    <w:div w:id="1778057912">
      <w:bodyDiv w:val="1"/>
      <w:marLeft w:val="0"/>
      <w:marRight w:val="0"/>
      <w:marTop w:val="0"/>
      <w:marBottom w:val="0"/>
      <w:divBdr>
        <w:top w:val="none" w:sz="0" w:space="0" w:color="auto"/>
        <w:left w:val="none" w:sz="0" w:space="0" w:color="auto"/>
        <w:bottom w:val="none" w:sz="0" w:space="0" w:color="auto"/>
        <w:right w:val="none" w:sz="0" w:space="0" w:color="auto"/>
      </w:divBdr>
    </w:div>
    <w:div w:id="1778133010">
      <w:bodyDiv w:val="1"/>
      <w:marLeft w:val="0"/>
      <w:marRight w:val="0"/>
      <w:marTop w:val="0"/>
      <w:marBottom w:val="0"/>
      <w:divBdr>
        <w:top w:val="none" w:sz="0" w:space="0" w:color="auto"/>
        <w:left w:val="none" w:sz="0" w:space="0" w:color="auto"/>
        <w:bottom w:val="none" w:sz="0" w:space="0" w:color="auto"/>
        <w:right w:val="none" w:sz="0" w:space="0" w:color="auto"/>
      </w:divBdr>
    </w:div>
    <w:div w:id="1778139700">
      <w:bodyDiv w:val="1"/>
      <w:marLeft w:val="0"/>
      <w:marRight w:val="0"/>
      <w:marTop w:val="0"/>
      <w:marBottom w:val="0"/>
      <w:divBdr>
        <w:top w:val="none" w:sz="0" w:space="0" w:color="auto"/>
        <w:left w:val="none" w:sz="0" w:space="0" w:color="auto"/>
        <w:bottom w:val="none" w:sz="0" w:space="0" w:color="auto"/>
        <w:right w:val="none" w:sz="0" w:space="0" w:color="auto"/>
      </w:divBdr>
    </w:div>
    <w:div w:id="1778283210">
      <w:bodyDiv w:val="1"/>
      <w:marLeft w:val="0"/>
      <w:marRight w:val="0"/>
      <w:marTop w:val="0"/>
      <w:marBottom w:val="0"/>
      <w:divBdr>
        <w:top w:val="none" w:sz="0" w:space="0" w:color="auto"/>
        <w:left w:val="none" w:sz="0" w:space="0" w:color="auto"/>
        <w:bottom w:val="none" w:sz="0" w:space="0" w:color="auto"/>
        <w:right w:val="none" w:sz="0" w:space="0" w:color="auto"/>
      </w:divBdr>
    </w:div>
    <w:div w:id="1778401177">
      <w:bodyDiv w:val="1"/>
      <w:marLeft w:val="0"/>
      <w:marRight w:val="0"/>
      <w:marTop w:val="0"/>
      <w:marBottom w:val="0"/>
      <w:divBdr>
        <w:top w:val="none" w:sz="0" w:space="0" w:color="auto"/>
        <w:left w:val="none" w:sz="0" w:space="0" w:color="auto"/>
        <w:bottom w:val="none" w:sz="0" w:space="0" w:color="auto"/>
        <w:right w:val="none" w:sz="0" w:space="0" w:color="auto"/>
      </w:divBdr>
    </w:div>
    <w:div w:id="1778452876">
      <w:bodyDiv w:val="1"/>
      <w:marLeft w:val="0"/>
      <w:marRight w:val="0"/>
      <w:marTop w:val="0"/>
      <w:marBottom w:val="0"/>
      <w:divBdr>
        <w:top w:val="none" w:sz="0" w:space="0" w:color="auto"/>
        <w:left w:val="none" w:sz="0" w:space="0" w:color="auto"/>
        <w:bottom w:val="none" w:sz="0" w:space="0" w:color="auto"/>
        <w:right w:val="none" w:sz="0" w:space="0" w:color="auto"/>
      </w:divBdr>
    </w:div>
    <w:div w:id="1778480912">
      <w:bodyDiv w:val="1"/>
      <w:marLeft w:val="0"/>
      <w:marRight w:val="0"/>
      <w:marTop w:val="0"/>
      <w:marBottom w:val="0"/>
      <w:divBdr>
        <w:top w:val="none" w:sz="0" w:space="0" w:color="auto"/>
        <w:left w:val="none" w:sz="0" w:space="0" w:color="auto"/>
        <w:bottom w:val="none" w:sz="0" w:space="0" w:color="auto"/>
        <w:right w:val="none" w:sz="0" w:space="0" w:color="auto"/>
      </w:divBdr>
    </w:div>
    <w:div w:id="1778599116">
      <w:bodyDiv w:val="1"/>
      <w:marLeft w:val="0"/>
      <w:marRight w:val="0"/>
      <w:marTop w:val="0"/>
      <w:marBottom w:val="0"/>
      <w:divBdr>
        <w:top w:val="none" w:sz="0" w:space="0" w:color="auto"/>
        <w:left w:val="none" w:sz="0" w:space="0" w:color="auto"/>
        <w:bottom w:val="none" w:sz="0" w:space="0" w:color="auto"/>
        <w:right w:val="none" w:sz="0" w:space="0" w:color="auto"/>
      </w:divBdr>
    </w:div>
    <w:div w:id="1778712979">
      <w:bodyDiv w:val="1"/>
      <w:marLeft w:val="0"/>
      <w:marRight w:val="0"/>
      <w:marTop w:val="0"/>
      <w:marBottom w:val="0"/>
      <w:divBdr>
        <w:top w:val="none" w:sz="0" w:space="0" w:color="auto"/>
        <w:left w:val="none" w:sz="0" w:space="0" w:color="auto"/>
        <w:bottom w:val="none" w:sz="0" w:space="0" w:color="auto"/>
        <w:right w:val="none" w:sz="0" w:space="0" w:color="auto"/>
      </w:divBdr>
    </w:div>
    <w:div w:id="1778718335">
      <w:bodyDiv w:val="1"/>
      <w:marLeft w:val="0"/>
      <w:marRight w:val="0"/>
      <w:marTop w:val="0"/>
      <w:marBottom w:val="0"/>
      <w:divBdr>
        <w:top w:val="none" w:sz="0" w:space="0" w:color="auto"/>
        <w:left w:val="none" w:sz="0" w:space="0" w:color="auto"/>
        <w:bottom w:val="none" w:sz="0" w:space="0" w:color="auto"/>
        <w:right w:val="none" w:sz="0" w:space="0" w:color="auto"/>
      </w:divBdr>
    </w:div>
    <w:div w:id="1778792793">
      <w:bodyDiv w:val="1"/>
      <w:marLeft w:val="0"/>
      <w:marRight w:val="0"/>
      <w:marTop w:val="0"/>
      <w:marBottom w:val="0"/>
      <w:divBdr>
        <w:top w:val="none" w:sz="0" w:space="0" w:color="auto"/>
        <w:left w:val="none" w:sz="0" w:space="0" w:color="auto"/>
        <w:bottom w:val="none" w:sz="0" w:space="0" w:color="auto"/>
        <w:right w:val="none" w:sz="0" w:space="0" w:color="auto"/>
      </w:divBdr>
    </w:div>
    <w:div w:id="1778941785">
      <w:bodyDiv w:val="1"/>
      <w:marLeft w:val="0"/>
      <w:marRight w:val="0"/>
      <w:marTop w:val="0"/>
      <w:marBottom w:val="0"/>
      <w:divBdr>
        <w:top w:val="none" w:sz="0" w:space="0" w:color="auto"/>
        <w:left w:val="none" w:sz="0" w:space="0" w:color="auto"/>
        <w:bottom w:val="none" w:sz="0" w:space="0" w:color="auto"/>
        <w:right w:val="none" w:sz="0" w:space="0" w:color="auto"/>
      </w:divBdr>
    </w:div>
    <w:div w:id="1778983548">
      <w:bodyDiv w:val="1"/>
      <w:marLeft w:val="0"/>
      <w:marRight w:val="0"/>
      <w:marTop w:val="0"/>
      <w:marBottom w:val="0"/>
      <w:divBdr>
        <w:top w:val="none" w:sz="0" w:space="0" w:color="auto"/>
        <w:left w:val="none" w:sz="0" w:space="0" w:color="auto"/>
        <w:bottom w:val="none" w:sz="0" w:space="0" w:color="auto"/>
        <w:right w:val="none" w:sz="0" w:space="0" w:color="auto"/>
      </w:divBdr>
    </w:div>
    <w:div w:id="1778988562">
      <w:bodyDiv w:val="1"/>
      <w:marLeft w:val="0"/>
      <w:marRight w:val="0"/>
      <w:marTop w:val="0"/>
      <w:marBottom w:val="0"/>
      <w:divBdr>
        <w:top w:val="none" w:sz="0" w:space="0" w:color="auto"/>
        <w:left w:val="none" w:sz="0" w:space="0" w:color="auto"/>
        <w:bottom w:val="none" w:sz="0" w:space="0" w:color="auto"/>
        <w:right w:val="none" w:sz="0" w:space="0" w:color="auto"/>
      </w:divBdr>
    </w:div>
    <w:div w:id="1779132919">
      <w:bodyDiv w:val="1"/>
      <w:marLeft w:val="0"/>
      <w:marRight w:val="0"/>
      <w:marTop w:val="0"/>
      <w:marBottom w:val="0"/>
      <w:divBdr>
        <w:top w:val="none" w:sz="0" w:space="0" w:color="auto"/>
        <w:left w:val="none" w:sz="0" w:space="0" w:color="auto"/>
        <w:bottom w:val="none" w:sz="0" w:space="0" w:color="auto"/>
        <w:right w:val="none" w:sz="0" w:space="0" w:color="auto"/>
      </w:divBdr>
    </w:div>
    <w:div w:id="1779177301">
      <w:bodyDiv w:val="1"/>
      <w:marLeft w:val="0"/>
      <w:marRight w:val="0"/>
      <w:marTop w:val="0"/>
      <w:marBottom w:val="0"/>
      <w:divBdr>
        <w:top w:val="none" w:sz="0" w:space="0" w:color="auto"/>
        <w:left w:val="none" w:sz="0" w:space="0" w:color="auto"/>
        <w:bottom w:val="none" w:sz="0" w:space="0" w:color="auto"/>
        <w:right w:val="none" w:sz="0" w:space="0" w:color="auto"/>
      </w:divBdr>
    </w:div>
    <w:div w:id="1779177815">
      <w:bodyDiv w:val="1"/>
      <w:marLeft w:val="0"/>
      <w:marRight w:val="0"/>
      <w:marTop w:val="0"/>
      <w:marBottom w:val="0"/>
      <w:divBdr>
        <w:top w:val="none" w:sz="0" w:space="0" w:color="auto"/>
        <w:left w:val="none" w:sz="0" w:space="0" w:color="auto"/>
        <w:bottom w:val="none" w:sz="0" w:space="0" w:color="auto"/>
        <w:right w:val="none" w:sz="0" w:space="0" w:color="auto"/>
      </w:divBdr>
    </w:div>
    <w:div w:id="1779326573">
      <w:bodyDiv w:val="1"/>
      <w:marLeft w:val="0"/>
      <w:marRight w:val="0"/>
      <w:marTop w:val="0"/>
      <w:marBottom w:val="0"/>
      <w:divBdr>
        <w:top w:val="none" w:sz="0" w:space="0" w:color="auto"/>
        <w:left w:val="none" w:sz="0" w:space="0" w:color="auto"/>
        <w:bottom w:val="none" w:sz="0" w:space="0" w:color="auto"/>
        <w:right w:val="none" w:sz="0" w:space="0" w:color="auto"/>
      </w:divBdr>
    </w:div>
    <w:div w:id="1779333794">
      <w:bodyDiv w:val="1"/>
      <w:marLeft w:val="0"/>
      <w:marRight w:val="0"/>
      <w:marTop w:val="0"/>
      <w:marBottom w:val="0"/>
      <w:divBdr>
        <w:top w:val="none" w:sz="0" w:space="0" w:color="auto"/>
        <w:left w:val="none" w:sz="0" w:space="0" w:color="auto"/>
        <w:bottom w:val="none" w:sz="0" w:space="0" w:color="auto"/>
        <w:right w:val="none" w:sz="0" w:space="0" w:color="auto"/>
      </w:divBdr>
    </w:div>
    <w:div w:id="1779369448">
      <w:bodyDiv w:val="1"/>
      <w:marLeft w:val="0"/>
      <w:marRight w:val="0"/>
      <w:marTop w:val="0"/>
      <w:marBottom w:val="0"/>
      <w:divBdr>
        <w:top w:val="none" w:sz="0" w:space="0" w:color="auto"/>
        <w:left w:val="none" w:sz="0" w:space="0" w:color="auto"/>
        <w:bottom w:val="none" w:sz="0" w:space="0" w:color="auto"/>
        <w:right w:val="none" w:sz="0" w:space="0" w:color="auto"/>
      </w:divBdr>
    </w:div>
    <w:div w:id="1779376778">
      <w:bodyDiv w:val="1"/>
      <w:marLeft w:val="0"/>
      <w:marRight w:val="0"/>
      <w:marTop w:val="0"/>
      <w:marBottom w:val="0"/>
      <w:divBdr>
        <w:top w:val="none" w:sz="0" w:space="0" w:color="auto"/>
        <w:left w:val="none" w:sz="0" w:space="0" w:color="auto"/>
        <w:bottom w:val="none" w:sz="0" w:space="0" w:color="auto"/>
        <w:right w:val="none" w:sz="0" w:space="0" w:color="auto"/>
      </w:divBdr>
    </w:div>
    <w:div w:id="1779442899">
      <w:bodyDiv w:val="1"/>
      <w:marLeft w:val="0"/>
      <w:marRight w:val="0"/>
      <w:marTop w:val="0"/>
      <w:marBottom w:val="0"/>
      <w:divBdr>
        <w:top w:val="none" w:sz="0" w:space="0" w:color="auto"/>
        <w:left w:val="none" w:sz="0" w:space="0" w:color="auto"/>
        <w:bottom w:val="none" w:sz="0" w:space="0" w:color="auto"/>
        <w:right w:val="none" w:sz="0" w:space="0" w:color="auto"/>
      </w:divBdr>
    </w:div>
    <w:div w:id="1779517867">
      <w:bodyDiv w:val="1"/>
      <w:marLeft w:val="0"/>
      <w:marRight w:val="0"/>
      <w:marTop w:val="0"/>
      <w:marBottom w:val="0"/>
      <w:divBdr>
        <w:top w:val="none" w:sz="0" w:space="0" w:color="auto"/>
        <w:left w:val="none" w:sz="0" w:space="0" w:color="auto"/>
        <w:bottom w:val="none" w:sz="0" w:space="0" w:color="auto"/>
        <w:right w:val="none" w:sz="0" w:space="0" w:color="auto"/>
      </w:divBdr>
    </w:div>
    <w:div w:id="1779793295">
      <w:bodyDiv w:val="1"/>
      <w:marLeft w:val="0"/>
      <w:marRight w:val="0"/>
      <w:marTop w:val="0"/>
      <w:marBottom w:val="0"/>
      <w:divBdr>
        <w:top w:val="none" w:sz="0" w:space="0" w:color="auto"/>
        <w:left w:val="none" w:sz="0" w:space="0" w:color="auto"/>
        <w:bottom w:val="none" w:sz="0" w:space="0" w:color="auto"/>
        <w:right w:val="none" w:sz="0" w:space="0" w:color="auto"/>
      </w:divBdr>
    </w:div>
    <w:div w:id="1779908511">
      <w:bodyDiv w:val="1"/>
      <w:marLeft w:val="0"/>
      <w:marRight w:val="0"/>
      <w:marTop w:val="0"/>
      <w:marBottom w:val="0"/>
      <w:divBdr>
        <w:top w:val="none" w:sz="0" w:space="0" w:color="auto"/>
        <w:left w:val="none" w:sz="0" w:space="0" w:color="auto"/>
        <w:bottom w:val="none" w:sz="0" w:space="0" w:color="auto"/>
        <w:right w:val="none" w:sz="0" w:space="0" w:color="auto"/>
      </w:divBdr>
    </w:div>
    <w:div w:id="1779909189">
      <w:bodyDiv w:val="1"/>
      <w:marLeft w:val="0"/>
      <w:marRight w:val="0"/>
      <w:marTop w:val="0"/>
      <w:marBottom w:val="0"/>
      <w:divBdr>
        <w:top w:val="none" w:sz="0" w:space="0" w:color="auto"/>
        <w:left w:val="none" w:sz="0" w:space="0" w:color="auto"/>
        <w:bottom w:val="none" w:sz="0" w:space="0" w:color="auto"/>
        <w:right w:val="none" w:sz="0" w:space="0" w:color="auto"/>
      </w:divBdr>
    </w:div>
    <w:div w:id="1779985086">
      <w:bodyDiv w:val="1"/>
      <w:marLeft w:val="0"/>
      <w:marRight w:val="0"/>
      <w:marTop w:val="0"/>
      <w:marBottom w:val="0"/>
      <w:divBdr>
        <w:top w:val="none" w:sz="0" w:space="0" w:color="auto"/>
        <w:left w:val="none" w:sz="0" w:space="0" w:color="auto"/>
        <w:bottom w:val="none" w:sz="0" w:space="0" w:color="auto"/>
        <w:right w:val="none" w:sz="0" w:space="0" w:color="auto"/>
      </w:divBdr>
    </w:div>
    <w:div w:id="1779985976">
      <w:bodyDiv w:val="1"/>
      <w:marLeft w:val="0"/>
      <w:marRight w:val="0"/>
      <w:marTop w:val="0"/>
      <w:marBottom w:val="0"/>
      <w:divBdr>
        <w:top w:val="none" w:sz="0" w:space="0" w:color="auto"/>
        <w:left w:val="none" w:sz="0" w:space="0" w:color="auto"/>
        <w:bottom w:val="none" w:sz="0" w:space="0" w:color="auto"/>
        <w:right w:val="none" w:sz="0" w:space="0" w:color="auto"/>
      </w:divBdr>
    </w:div>
    <w:div w:id="1779986997">
      <w:bodyDiv w:val="1"/>
      <w:marLeft w:val="0"/>
      <w:marRight w:val="0"/>
      <w:marTop w:val="0"/>
      <w:marBottom w:val="0"/>
      <w:divBdr>
        <w:top w:val="none" w:sz="0" w:space="0" w:color="auto"/>
        <w:left w:val="none" w:sz="0" w:space="0" w:color="auto"/>
        <w:bottom w:val="none" w:sz="0" w:space="0" w:color="auto"/>
        <w:right w:val="none" w:sz="0" w:space="0" w:color="auto"/>
      </w:divBdr>
    </w:div>
    <w:div w:id="1780028934">
      <w:bodyDiv w:val="1"/>
      <w:marLeft w:val="0"/>
      <w:marRight w:val="0"/>
      <w:marTop w:val="0"/>
      <w:marBottom w:val="0"/>
      <w:divBdr>
        <w:top w:val="none" w:sz="0" w:space="0" w:color="auto"/>
        <w:left w:val="none" w:sz="0" w:space="0" w:color="auto"/>
        <w:bottom w:val="none" w:sz="0" w:space="0" w:color="auto"/>
        <w:right w:val="none" w:sz="0" w:space="0" w:color="auto"/>
      </w:divBdr>
    </w:div>
    <w:div w:id="1780055985">
      <w:bodyDiv w:val="1"/>
      <w:marLeft w:val="0"/>
      <w:marRight w:val="0"/>
      <w:marTop w:val="0"/>
      <w:marBottom w:val="0"/>
      <w:divBdr>
        <w:top w:val="none" w:sz="0" w:space="0" w:color="auto"/>
        <w:left w:val="none" w:sz="0" w:space="0" w:color="auto"/>
        <w:bottom w:val="none" w:sz="0" w:space="0" w:color="auto"/>
        <w:right w:val="none" w:sz="0" w:space="0" w:color="auto"/>
      </w:divBdr>
    </w:div>
    <w:div w:id="1780105418">
      <w:bodyDiv w:val="1"/>
      <w:marLeft w:val="0"/>
      <w:marRight w:val="0"/>
      <w:marTop w:val="0"/>
      <w:marBottom w:val="0"/>
      <w:divBdr>
        <w:top w:val="none" w:sz="0" w:space="0" w:color="auto"/>
        <w:left w:val="none" w:sz="0" w:space="0" w:color="auto"/>
        <w:bottom w:val="none" w:sz="0" w:space="0" w:color="auto"/>
        <w:right w:val="none" w:sz="0" w:space="0" w:color="auto"/>
      </w:divBdr>
    </w:div>
    <w:div w:id="1780299240">
      <w:bodyDiv w:val="1"/>
      <w:marLeft w:val="0"/>
      <w:marRight w:val="0"/>
      <w:marTop w:val="0"/>
      <w:marBottom w:val="0"/>
      <w:divBdr>
        <w:top w:val="none" w:sz="0" w:space="0" w:color="auto"/>
        <w:left w:val="none" w:sz="0" w:space="0" w:color="auto"/>
        <w:bottom w:val="none" w:sz="0" w:space="0" w:color="auto"/>
        <w:right w:val="none" w:sz="0" w:space="0" w:color="auto"/>
      </w:divBdr>
    </w:div>
    <w:div w:id="1780371978">
      <w:bodyDiv w:val="1"/>
      <w:marLeft w:val="0"/>
      <w:marRight w:val="0"/>
      <w:marTop w:val="0"/>
      <w:marBottom w:val="0"/>
      <w:divBdr>
        <w:top w:val="none" w:sz="0" w:space="0" w:color="auto"/>
        <w:left w:val="none" w:sz="0" w:space="0" w:color="auto"/>
        <w:bottom w:val="none" w:sz="0" w:space="0" w:color="auto"/>
        <w:right w:val="none" w:sz="0" w:space="0" w:color="auto"/>
      </w:divBdr>
    </w:div>
    <w:div w:id="1780373054">
      <w:bodyDiv w:val="1"/>
      <w:marLeft w:val="0"/>
      <w:marRight w:val="0"/>
      <w:marTop w:val="0"/>
      <w:marBottom w:val="0"/>
      <w:divBdr>
        <w:top w:val="none" w:sz="0" w:space="0" w:color="auto"/>
        <w:left w:val="none" w:sz="0" w:space="0" w:color="auto"/>
        <w:bottom w:val="none" w:sz="0" w:space="0" w:color="auto"/>
        <w:right w:val="none" w:sz="0" w:space="0" w:color="auto"/>
      </w:divBdr>
    </w:div>
    <w:div w:id="1780442298">
      <w:bodyDiv w:val="1"/>
      <w:marLeft w:val="0"/>
      <w:marRight w:val="0"/>
      <w:marTop w:val="0"/>
      <w:marBottom w:val="0"/>
      <w:divBdr>
        <w:top w:val="none" w:sz="0" w:space="0" w:color="auto"/>
        <w:left w:val="none" w:sz="0" w:space="0" w:color="auto"/>
        <w:bottom w:val="none" w:sz="0" w:space="0" w:color="auto"/>
        <w:right w:val="none" w:sz="0" w:space="0" w:color="auto"/>
      </w:divBdr>
    </w:div>
    <w:div w:id="1780443054">
      <w:bodyDiv w:val="1"/>
      <w:marLeft w:val="0"/>
      <w:marRight w:val="0"/>
      <w:marTop w:val="0"/>
      <w:marBottom w:val="0"/>
      <w:divBdr>
        <w:top w:val="none" w:sz="0" w:space="0" w:color="auto"/>
        <w:left w:val="none" w:sz="0" w:space="0" w:color="auto"/>
        <w:bottom w:val="none" w:sz="0" w:space="0" w:color="auto"/>
        <w:right w:val="none" w:sz="0" w:space="0" w:color="auto"/>
      </w:divBdr>
    </w:div>
    <w:div w:id="1780489226">
      <w:bodyDiv w:val="1"/>
      <w:marLeft w:val="0"/>
      <w:marRight w:val="0"/>
      <w:marTop w:val="0"/>
      <w:marBottom w:val="0"/>
      <w:divBdr>
        <w:top w:val="none" w:sz="0" w:space="0" w:color="auto"/>
        <w:left w:val="none" w:sz="0" w:space="0" w:color="auto"/>
        <w:bottom w:val="none" w:sz="0" w:space="0" w:color="auto"/>
        <w:right w:val="none" w:sz="0" w:space="0" w:color="auto"/>
      </w:divBdr>
    </w:div>
    <w:div w:id="1780492681">
      <w:bodyDiv w:val="1"/>
      <w:marLeft w:val="0"/>
      <w:marRight w:val="0"/>
      <w:marTop w:val="0"/>
      <w:marBottom w:val="0"/>
      <w:divBdr>
        <w:top w:val="none" w:sz="0" w:space="0" w:color="auto"/>
        <w:left w:val="none" w:sz="0" w:space="0" w:color="auto"/>
        <w:bottom w:val="none" w:sz="0" w:space="0" w:color="auto"/>
        <w:right w:val="none" w:sz="0" w:space="0" w:color="auto"/>
      </w:divBdr>
    </w:div>
    <w:div w:id="1780685750">
      <w:bodyDiv w:val="1"/>
      <w:marLeft w:val="0"/>
      <w:marRight w:val="0"/>
      <w:marTop w:val="0"/>
      <w:marBottom w:val="0"/>
      <w:divBdr>
        <w:top w:val="none" w:sz="0" w:space="0" w:color="auto"/>
        <w:left w:val="none" w:sz="0" w:space="0" w:color="auto"/>
        <w:bottom w:val="none" w:sz="0" w:space="0" w:color="auto"/>
        <w:right w:val="none" w:sz="0" w:space="0" w:color="auto"/>
      </w:divBdr>
    </w:div>
    <w:div w:id="1780754133">
      <w:bodyDiv w:val="1"/>
      <w:marLeft w:val="0"/>
      <w:marRight w:val="0"/>
      <w:marTop w:val="0"/>
      <w:marBottom w:val="0"/>
      <w:divBdr>
        <w:top w:val="none" w:sz="0" w:space="0" w:color="auto"/>
        <w:left w:val="none" w:sz="0" w:space="0" w:color="auto"/>
        <w:bottom w:val="none" w:sz="0" w:space="0" w:color="auto"/>
        <w:right w:val="none" w:sz="0" w:space="0" w:color="auto"/>
      </w:divBdr>
    </w:div>
    <w:div w:id="1780836680">
      <w:bodyDiv w:val="1"/>
      <w:marLeft w:val="0"/>
      <w:marRight w:val="0"/>
      <w:marTop w:val="0"/>
      <w:marBottom w:val="0"/>
      <w:divBdr>
        <w:top w:val="none" w:sz="0" w:space="0" w:color="auto"/>
        <w:left w:val="none" w:sz="0" w:space="0" w:color="auto"/>
        <w:bottom w:val="none" w:sz="0" w:space="0" w:color="auto"/>
        <w:right w:val="none" w:sz="0" w:space="0" w:color="auto"/>
      </w:divBdr>
    </w:div>
    <w:div w:id="1780904186">
      <w:bodyDiv w:val="1"/>
      <w:marLeft w:val="0"/>
      <w:marRight w:val="0"/>
      <w:marTop w:val="0"/>
      <w:marBottom w:val="0"/>
      <w:divBdr>
        <w:top w:val="none" w:sz="0" w:space="0" w:color="auto"/>
        <w:left w:val="none" w:sz="0" w:space="0" w:color="auto"/>
        <w:bottom w:val="none" w:sz="0" w:space="0" w:color="auto"/>
        <w:right w:val="none" w:sz="0" w:space="0" w:color="auto"/>
      </w:divBdr>
    </w:div>
    <w:div w:id="1780948012">
      <w:bodyDiv w:val="1"/>
      <w:marLeft w:val="0"/>
      <w:marRight w:val="0"/>
      <w:marTop w:val="0"/>
      <w:marBottom w:val="0"/>
      <w:divBdr>
        <w:top w:val="none" w:sz="0" w:space="0" w:color="auto"/>
        <w:left w:val="none" w:sz="0" w:space="0" w:color="auto"/>
        <w:bottom w:val="none" w:sz="0" w:space="0" w:color="auto"/>
        <w:right w:val="none" w:sz="0" w:space="0" w:color="auto"/>
      </w:divBdr>
    </w:div>
    <w:div w:id="1781022649">
      <w:bodyDiv w:val="1"/>
      <w:marLeft w:val="0"/>
      <w:marRight w:val="0"/>
      <w:marTop w:val="0"/>
      <w:marBottom w:val="0"/>
      <w:divBdr>
        <w:top w:val="none" w:sz="0" w:space="0" w:color="auto"/>
        <w:left w:val="none" w:sz="0" w:space="0" w:color="auto"/>
        <w:bottom w:val="none" w:sz="0" w:space="0" w:color="auto"/>
        <w:right w:val="none" w:sz="0" w:space="0" w:color="auto"/>
      </w:divBdr>
    </w:div>
    <w:div w:id="1781023782">
      <w:bodyDiv w:val="1"/>
      <w:marLeft w:val="0"/>
      <w:marRight w:val="0"/>
      <w:marTop w:val="0"/>
      <w:marBottom w:val="0"/>
      <w:divBdr>
        <w:top w:val="none" w:sz="0" w:space="0" w:color="auto"/>
        <w:left w:val="none" w:sz="0" w:space="0" w:color="auto"/>
        <w:bottom w:val="none" w:sz="0" w:space="0" w:color="auto"/>
        <w:right w:val="none" w:sz="0" w:space="0" w:color="auto"/>
      </w:divBdr>
    </w:div>
    <w:div w:id="1781025963">
      <w:bodyDiv w:val="1"/>
      <w:marLeft w:val="0"/>
      <w:marRight w:val="0"/>
      <w:marTop w:val="0"/>
      <w:marBottom w:val="0"/>
      <w:divBdr>
        <w:top w:val="none" w:sz="0" w:space="0" w:color="auto"/>
        <w:left w:val="none" w:sz="0" w:space="0" w:color="auto"/>
        <w:bottom w:val="none" w:sz="0" w:space="0" w:color="auto"/>
        <w:right w:val="none" w:sz="0" w:space="0" w:color="auto"/>
      </w:divBdr>
    </w:div>
    <w:div w:id="1781029158">
      <w:bodyDiv w:val="1"/>
      <w:marLeft w:val="0"/>
      <w:marRight w:val="0"/>
      <w:marTop w:val="0"/>
      <w:marBottom w:val="0"/>
      <w:divBdr>
        <w:top w:val="none" w:sz="0" w:space="0" w:color="auto"/>
        <w:left w:val="none" w:sz="0" w:space="0" w:color="auto"/>
        <w:bottom w:val="none" w:sz="0" w:space="0" w:color="auto"/>
        <w:right w:val="none" w:sz="0" w:space="0" w:color="auto"/>
      </w:divBdr>
    </w:div>
    <w:div w:id="1781144412">
      <w:bodyDiv w:val="1"/>
      <w:marLeft w:val="0"/>
      <w:marRight w:val="0"/>
      <w:marTop w:val="0"/>
      <w:marBottom w:val="0"/>
      <w:divBdr>
        <w:top w:val="none" w:sz="0" w:space="0" w:color="auto"/>
        <w:left w:val="none" w:sz="0" w:space="0" w:color="auto"/>
        <w:bottom w:val="none" w:sz="0" w:space="0" w:color="auto"/>
        <w:right w:val="none" w:sz="0" w:space="0" w:color="auto"/>
      </w:divBdr>
    </w:div>
    <w:div w:id="1781146652">
      <w:bodyDiv w:val="1"/>
      <w:marLeft w:val="0"/>
      <w:marRight w:val="0"/>
      <w:marTop w:val="0"/>
      <w:marBottom w:val="0"/>
      <w:divBdr>
        <w:top w:val="none" w:sz="0" w:space="0" w:color="auto"/>
        <w:left w:val="none" w:sz="0" w:space="0" w:color="auto"/>
        <w:bottom w:val="none" w:sz="0" w:space="0" w:color="auto"/>
        <w:right w:val="none" w:sz="0" w:space="0" w:color="auto"/>
      </w:divBdr>
    </w:div>
    <w:div w:id="1781337128">
      <w:bodyDiv w:val="1"/>
      <w:marLeft w:val="0"/>
      <w:marRight w:val="0"/>
      <w:marTop w:val="0"/>
      <w:marBottom w:val="0"/>
      <w:divBdr>
        <w:top w:val="none" w:sz="0" w:space="0" w:color="auto"/>
        <w:left w:val="none" w:sz="0" w:space="0" w:color="auto"/>
        <w:bottom w:val="none" w:sz="0" w:space="0" w:color="auto"/>
        <w:right w:val="none" w:sz="0" w:space="0" w:color="auto"/>
      </w:divBdr>
    </w:div>
    <w:div w:id="1781413301">
      <w:bodyDiv w:val="1"/>
      <w:marLeft w:val="0"/>
      <w:marRight w:val="0"/>
      <w:marTop w:val="0"/>
      <w:marBottom w:val="0"/>
      <w:divBdr>
        <w:top w:val="none" w:sz="0" w:space="0" w:color="auto"/>
        <w:left w:val="none" w:sz="0" w:space="0" w:color="auto"/>
        <w:bottom w:val="none" w:sz="0" w:space="0" w:color="auto"/>
        <w:right w:val="none" w:sz="0" w:space="0" w:color="auto"/>
      </w:divBdr>
    </w:div>
    <w:div w:id="1781414497">
      <w:bodyDiv w:val="1"/>
      <w:marLeft w:val="0"/>
      <w:marRight w:val="0"/>
      <w:marTop w:val="0"/>
      <w:marBottom w:val="0"/>
      <w:divBdr>
        <w:top w:val="none" w:sz="0" w:space="0" w:color="auto"/>
        <w:left w:val="none" w:sz="0" w:space="0" w:color="auto"/>
        <w:bottom w:val="none" w:sz="0" w:space="0" w:color="auto"/>
        <w:right w:val="none" w:sz="0" w:space="0" w:color="auto"/>
      </w:divBdr>
    </w:div>
    <w:div w:id="1781416092">
      <w:bodyDiv w:val="1"/>
      <w:marLeft w:val="0"/>
      <w:marRight w:val="0"/>
      <w:marTop w:val="0"/>
      <w:marBottom w:val="0"/>
      <w:divBdr>
        <w:top w:val="none" w:sz="0" w:space="0" w:color="auto"/>
        <w:left w:val="none" w:sz="0" w:space="0" w:color="auto"/>
        <w:bottom w:val="none" w:sz="0" w:space="0" w:color="auto"/>
        <w:right w:val="none" w:sz="0" w:space="0" w:color="auto"/>
      </w:divBdr>
    </w:div>
    <w:div w:id="1781484052">
      <w:bodyDiv w:val="1"/>
      <w:marLeft w:val="0"/>
      <w:marRight w:val="0"/>
      <w:marTop w:val="0"/>
      <w:marBottom w:val="0"/>
      <w:divBdr>
        <w:top w:val="none" w:sz="0" w:space="0" w:color="auto"/>
        <w:left w:val="none" w:sz="0" w:space="0" w:color="auto"/>
        <w:bottom w:val="none" w:sz="0" w:space="0" w:color="auto"/>
        <w:right w:val="none" w:sz="0" w:space="0" w:color="auto"/>
      </w:divBdr>
    </w:div>
    <w:div w:id="1781531476">
      <w:bodyDiv w:val="1"/>
      <w:marLeft w:val="0"/>
      <w:marRight w:val="0"/>
      <w:marTop w:val="0"/>
      <w:marBottom w:val="0"/>
      <w:divBdr>
        <w:top w:val="none" w:sz="0" w:space="0" w:color="auto"/>
        <w:left w:val="none" w:sz="0" w:space="0" w:color="auto"/>
        <w:bottom w:val="none" w:sz="0" w:space="0" w:color="auto"/>
        <w:right w:val="none" w:sz="0" w:space="0" w:color="auto"/>
      </w:divBdr>
    </w:div>
    <w:div w:id="1781562190">
      <w:bodyDiv w:val="1"/>
      <w:marLeft w:val="0"/>
      <w:marRight w:val="0"/>
      <w:marTop w:val="0"/>
      <w:marBottom w:val="0"/>
      <w:divBdr>
        <w:top w:val="none" w:sz="0" w:space="0" w:color="auto"/>
        <w:left w:val="none" w:sz="0" w:space="0" w:color="auto"/>
        <w:bottom w:val="none" w:sz="0" w:space="0" w:color="auto"/>
        <w:right w:val="none" w:sz="0" w:space="0" w:color="auto"/>
      </w:divBdr>
    </w:div>
    <w:div w:id="1781607491">
      <w:bodyDiv w:val="1"/>
      <w:marLeft w:val="0"/>
      <w:marRight w:val="0"/>
      <w:marTop w:val="0"/>
      <w:marBottom w:val="0"/>
      <w:divBdr>
        <w:top w:val="none" w:sz="0" w:space="0" w:color="auto"/>
        <w:left w:val="none" w:sz="0" w:space="0" w:color="auto"/>
        <w:bottom w:val="none" w:sz="0" w:space="0" w:color="auto"/>
        <w:right w:val="none" w:sz="0" w:space="0" w:color="auto"/>
      </w:divBdr>
    </w:div>
    <w:div w:id="1781608974">
      <w:bodyDiv w:val="1"/>
      <w:marLeft w:val="0"/>
      <w:marRight w:val="0"/>
      <w:marTop w:val="0"/>
      <w:marBottom w:val="0"/>
      <w:divBdr>
        <w:top w:val="none" w:sz="0" w:space="0" w:color="auto"/>
        <w:left w:val="none" w:sz="0" w:space="0" w:color="auto"/>
        <w:bottom w:val="none" w:sz="0" w:space="0" w:color="auto"/>
        <w:right w:val="none" w:sz="0" w:space="0" w:color="auto"/>
      </w:divBdr>
    </w:div>
    <w:div w:id="1781681856">
      <w:bodyDiv w:val="1"/>
      <w:marLeft w:val="0"/>
      <w:marRight w:val="0"/>
      <w:marTop w:val="0"/>
      <w:marBottom w:val="0"/>
      <w:divBdr>
        <w:top w:val="none" w:sz="0" w:space="0" w:color="auto"/>
        <w:left w:val="none" w:sz="0" w:space="0" w:color="auto"/>
        <w:bottom w:val="none" w:sz="0" w:space="0" w:color="auto"/>
        <w:right w:val="none" w:sz="0" w:space="0" w:color="auto"/>
      </w:divBdr>
    </w:div>
    <w:div w:id="1781683051">
      <w:bodyDiv w:val="1"/>
      <w:marLeft w:val="0"/>
      <w:marRight w:val="0"/>
      <w:marTop w:val="0"/>
      <w:marBottom w:val="0"/>
      <w:divBdr>
        <w:top w:val="none" w:sz="0" w:space="0" w:color="auto"/>
        <w:left w:val="none" w:sz="0" w:space="0" w:color="auto"/>
        <w:bottom w:val="none" w:sz="0" w:space="0" w:color="auto"/>
        <w:right w:val="none" w:sz="0" w:space="0" w:color="auto"/>
      </w:divBdr>
    </w:div>
    <w:div w:id="1781684352">
      <w:bodyDiv w:val="1"/>
      <w:marLeft w:val="0"/>
      <w:marRight w:val="0"/>
      <w:marTop w:val="0"/>
      <w:marBottom w:val="0"/>
      <w:divBdr>
        <w:top w:val="none" w:sz="0" w:space="0" w:color="auto"/>
        <w:left w:val="none" w:sz="0" w:space="0" w:color="auto"/>
        <w:bottom w:val="none" w:sz="0" w:space="0" w:color="auto"/>
        <w:right w:val="none" w:sz="0" w:space="0" w:color="auto"/>
      </w:divBdr>
    </w:div>
    <w:div w:id="1781686452">
      <w:bodyDiv w:val="1"/>
      <w:marLeft w:val="0"/>
      <w:marRight w:val="0"/>
      <w:marTop w:val="0"/>
      <w:marBottom w:val="0"/>
      <w:divBdr>
        <w:top w:val="none" w:sz="0" w:space="0" w:color="auto"/>
        <w:left w:val="none" w:sz="0" w:space="0" w:color="auto"/>
        <w:bottom w:val="none" w:sz="0" w:space="0" w:color="auto"/>
        <w:right w:val="none" w:sz="0" w:space="0" w:color="auto"/>
      </w:divBdr>
    </w:div>
    <w:div w:id="1781798935">
      <w:bodyDiv w:val="1"/>
      <w:marLeft w:val="0"/>
      <w:marRight w:val="0"/>
      <w:marTop w:val="0"/>
      <w:marBottom w:val="0"/>
      <w:divBdr>
        <w:top w:val="none" w:sz="0" w:space="0" w:color="auto"/>
        <w:left w:val="none" w:sz="0" w:space="0" w:color="auto"/>
        <w:bottom w:val="none" w:sz="0" w:space="0" w:color="auto"/>
        <w:right w:val="none" w:sz="0" w:space="0" w:color="auto"/>
      </w:divBdr>
    </w:div>
    <w:div w:id="1781800782">
      <w:bodyDiv w:val="1"/>
      <w:marLeft w:val="0"/>
      <w:marRight w:val="0"/>
      <w:marTop w:val="0"/>
      <w:marBottom w:val="0"/>
      <w:divBdr>
        <w:top w:val="none" w:sz="0" w:space="0" w:color="auto"/>
        <w:left w:val="none" w:sz="0" w:space="0" w:color="auto"/>
        <w:bottom w:val="none" w:sz="0" w:space="0" w:color="auto"/>
        <w:right w:val="none" w:sz="0" w:space="0" w:color="auto"/>
      </w:divBdr>
    </w:div>
    <w:div w:id="1781870517">
      <w:bodyDiv w:val="1"/>
      <w:marLeft w:val="0"/>
      <w:marRight w:val="0"/>
      <w:marTop w:val="0"/>
      <w:marBottom w:val="0"/>
      <w:divBdr>
        <w:top w:val="none" w:sz="0" w:space="0" w:color="auto"/>
        <w:left w:val="none" w:sz="0" w:space="0" w:color="auto"/>
        <w:bottom w:val="none" w:sz="0" w:space="0" w:color="auto"/>
        <w:right w:val="none" w:sz="0" w:space="0" w:color="auto"/>
      </w:divBdr>
    </w:div>
    <w:div w:id="1781874602">
      <w:bodyDiv w:val="1"/>
      <w:marLeft w:val="0"/>
      <w:marRight w:val="0"/>
      <w:marTop w:val="0"/>
      <w:marBottom w:val="0"/>
      <w:divBdr>
        <w:top w:val="none" w:sz="0" w:space="0" w:color="auto"/>
        <w:left w:val="none" w:sz="0" w:space="0" w:color="auto"/>
        <w:bottom w:val="none" w:sz="0" w:space="0" w:color="auto"/>
        <w:right w:val="none" w:sz="0" w:space="0" w:color="auto"/>
      </w:divBdr>
    </w:div>
    <w:div w:id="1781875444">
      <w:bodyDiv w:val="1"/>
      <w:marLeft w:val="0"/>
      <w:marRight w:val="0"/>
      <w:marTop w:val="0"/>
      <w:marBottom w:val="0"/>
      <w:divBdr>
        <w:top w:val="none" w:sz="0" w:space="0" w:color="auto"/>
        <w:left w:val="none" w:sz="0" w:space="0" w:color="auto"/>
        <w:bottom w:val="none" w:sz="0" w:space="0" w:color="auto"/>
        <w:right w:val="none" w:sz="0" w:space="0" w:color="auto"/>
      </w:divBdr>
    </w:div>
    <w:div w:id="1781877029">
      <w:bodyDiv w:val="1"/>
      <w:marLeft w:val="0"/>
      <w:marRight w:val="0"/>
      <w:marTop w:val="0"/>
      <w:marBottom w:val="0"/>
      <w:divBdr>
        <w:top w:val="none" w:sz="0" w:space="0" w:color="auto"/>
        <w:left w:val="none" w:sz="0" w:space="0" w:color="auto"/>
        <w:bottom w:val="none" w:sz="0" w:space="0" w:color="auto"/>
        <w:right w:val="none" w:sz="0" w:space="0" w:color="auto"/>
      </w:divBdr>
    </w:div>
    <w:div w:id="1781946687">
      <w:bodyDiv w:val="1"/>
      <w:marLeft w:val="0"/>
      <w:marRight w:val="0"/>
      <w:marTop w:val="0"/>
      <w:marBottom w:val="0"/>
      <w:divBdr>
        <w:top w:val="none" w:sz="0" w:space="0" w:color="auto"/>
        <w:left w:val="none" w:sz="0" w:space="0" w:color="auto"/>
        <w:bottom w:val="none" w:sz="0" w:space="0" w:color="auto"/>
        <w:right w:val="none" w:sz="0" w:space="0" w:color="auto"/>
      </w:divBdr>
    </w:div>
    <w:div w:id="1781991309">
      <w:bodyDiv w:val="1"/>
      <w:marLeft w:val="0"/>
      <w:marRight w:val="0"/>
      <w:marTop w:val="0"/>
      <w:marBottom w:val="0"/>
      <w:divBdr>
        <w:top w:val="none" w:sz="0" w:space="0" w:color="auto"/>
        <w:left w:val="none" w:sz="0" w:space="0" w:color="auto"/>
        <w:bottom w:val="none" w:sz="0" w:space="0" w:color="auto"/>
        <w:right w:val="none" w:sz="0" w:space="0" w:color="auto"/>
      </w:divBdr>
    </w:div>
    <w:div w:id="1782063702">
      <w:bodyDiv w:val="1"/>
      <w:marLeft w:val="0"/>
      <w:marRight w:val="0"/>
      <w:marTop w:val="0"/>
      <w:marBottom w:val="0"/>
      <w:divBdr>
        <w:top w:val="none" w:sz="0" w:space="0" w:color="auto"/>
        <w:left w:val="none" w:sz="0" w:space="0" w:color="auto"/>
        <w:bottom w:val="none" w:sz="0" w:space="0" w:color="auto"/>
        <w:right w:val="none" w:sz="0" w:space="0" w:color="auto"/>
      </w:divBdr>
    </w:div>
    <w:div w:id="1782141034">
      <w:bodyDiv w:val="1"/>
      <w:marLeft w:val="0"/>
      <w:marRight w:val="0"/>
      <w:marTop w:val="0"/>
      <w:marBottom w:val="0"/>
      <w:divBdr>
        <w:top w:val="none" w:sz="0" w:space="0" w:color="auto"/>
        <w:left w:val="none" w:sz="0" w:space="0" w:color="auto"/>
        <w:bottom w:val="none" w:sz="0" w:space="0" w:color="auto"/>
        <w:right w:val="none" w:sz="0" w:space="0" w:color="auto"/>
      </w:divBdr>
    </w:div>
    <w:div w:id="1782144912">
      <w:bodyDiv w:val="1"/>
      <w:marLeft w:val="0"/>
      <w:marRight w:val="0"/>
      <w:marTop w:val="0"/>
      <w:marBottom w:val="0"/>
      <w:divBdr>
        <w:top w:val="none" w:sz="0" w:space="0" w:color="auto"/>
        <w:left w:val="none" w:sz="0" w:space="0" w:color="auto"/>
        <w:bottom w:val="none" w:sz="0" w:space="0" w:color="auto"/>
        <w:right w:val="none" w:sz="0" w:space="0" w:color="auto"/>
      </w:divBdr>
    </w:div>
    <w:div w:id="1782148387">
      <w:bodyDiv w:val="1"/>
      <w:marLeft w:val="0"/>
      <w:marRight w:val="0"/>
      <w:marTop w:val="0"/>
      <w:marBottom w:val="0"/>
      <w:divBdr>
        <w:top w:val="none" w:sz="0" w:space="0" w:color="auto"/>
        <w:left w:val="none" w:sz="0" w:space="0" w:color="auto"/>
        <w:bottom w:val="none" w:sz="0" w:space="0" w:color="auto"/>
        <w:right w:val="none" w:sz="0" w:space="0" w:color="auto"/>
      </w:divBdr>
    </w:div>
    <w:div w:id="1782189967">
      <w:bodyDiv w:val="1"/>
      <w:marLeft w:val="0"/>
      <w:marRight w:val="0"/>
      <w:marTop w:val="0"/>
      <w:marBottom w:val="0"/>
      <w:divBdr>
        <w:top w:val="none" w:sz="0" w:space="0" w:color="auto"/>
        <w:left w:val="none" w:sz="0" w:space="0" w:color="auto"/>
        <w:bottom w:val="none" w:sz="0" w:space="0" w:color="auto"/>
        <w:right w:val="none" w:sz="0" w:space="0" w:color="auto"/>
      </w:divBdr>
    </w:div>
    <w:div w:id="1782217630">
      <w:bodyDiv w:val="1"/>
      <w:marLeft w:val="0"/>
      <w:marRight w:val="0"/>
      <w:marTop w:val="0"/>
      <w:marBottom w:val="0"/>
      <w:divBdr>
        <w:top w:val="none" w:sz="0" w:space="0" w:color="auto"/>
        <w:left w:val="none" w:sz="0" w:space="0" w:color="auto"/>
        <w:bottom w:val="none" w:sz="0" w:space="0" w:color="auto"/>
        <w:right w:val="none" w:sz="0" w:space="0" w:color="auto"/>
      </w:divBdr>
    </w:div>
    <w:div w:id="1782257455">
      <w:bodyDiv w:val="1"/>
      <w:marLeft w:val="0"/>
      <w:marRight w:val="0"/>
      <w:marTop w:val="0"/>
      <w:marBottom w:val="0"/>
      <w:divBdr>
        <w:top w:val="none" w:sz="0" w:space="0" w:color="auto"/>
        <w:left w:val="none" w:sz="0" w:space="0" w:color="auto"/>
        <w:bottom w:val="none" w:sz="0" w:space="0" w:color="auto"/>
        <w:right w:val="none" w:sz="0" w:space="0" w:color="auto"/>
      </w:divBdr>
    </w:div>
    <w:div w:id="1782260922">
      <w:bodyDiv w:val="1"/>
      <w:marLeft w:val="0"/>
      <w:marRight w:val="0"/>
      <w:marTop w:val="0"/>
      <w:marBottom w:val="0"/>
      <w:divBdr>
        <w:top w:val="none" w:sz="0" w:space="0" w:color="auto"/>
        <w:left w:val="none" w:sz="0" w:space="0" w:color="auto"/>
        <w:bottom w:val="none" w:sz="0" w:space="0" w:color="auto"/>
        <w:right w:val="none" w:sz="0" w:space="0" w:color="auto"/>
      </w:divBdr>
    </w:div>
    <w:div w:id="1782261562">
      <w:bodyDiv w:val="1"/>
      <w:marLeft w:val="0"/>
      <w:marRight w:val="0"/>
      <w:marTop w:val="0"/>
      <w:marBottom w:val="0"/>
      <w:divBdr>
        <w:top w:val="none" w:sz="0" w:space="0" w:color="auto"/>
        <w:left w:val="none" w:sz="0" w:space="0" w:color="auto"/>
        <w:bottom w:val="none" w:sz="0" w:space="0" w:color="auto"/>
        <w:right w:val="none" w:sz="0" w:space="0" w:color="auto"/>
      </w:divBdr>
    </w:div>
    <w:div w:id="1782339413">
      <w:bodyDiv w:val="1"/>
      <w:marLeft w:val="0"/>
      <w:marRight w:val="0"/>
      <w:marTop w:val="0"/>
      <w:marBottom w:val="0"/>
      <w:divBdr>
        <w:top w:val="none" w:sz="0" w:space="0" w:color="auto"/>
        <w:left w:val="none" w:sz="0" w:space="0" w:color="auto"/>
        <w:bottom w:val="none" w:sz="0" w:space="0" w:color="auto"/>
        <w:right w:val="none" w:sz="0" w:space="0" w:color="auto"/>
      </w:divBdr>
    </w:div>
    <w:div w:id="1782412410">
      <w:bodyDiv w:val="1"/>
      <w:marLeft w:val="0"/>
      <w:marRight w:val="0"/>
      <w:marTop w:val="0"/>
      <w:marBottom w:val="0"/>
      <w:divBdr>
        <w:top w:val="none" w:sz="0" w:space="0" w:color="auto"/>
        <w:left w:val="none" w:sz="0" w:space="0" w:color="auto"/>
        <w:bottom w:val="none" w:sz="0" w:space="0" w:color="auto"/>
        <w:right w:val="none" w:sz="0" w:space="0" w:color="auto"/>
      </w:divBdr>
    </w:div>
    <w:div w:id="1782413983">
      <w:bodyDiv w:val="1"/>
      <w:marLeft w:val="0"/>
      <w:marRight w:val="0"/>
      <w:marTop w:val="0"/>
      <w:marBottom w:val="0"/>
      <w:divBdr>
        <w:top w:val="none" w:sz="0" w:space="0" w:color="auto"/>
        <w:left w:val="none" w:sz="0" w:space="0" w:color="auto"/>
        <w:bottom w:val="none" w:sz="0" w:space="0" w:color="auto"/>
        <w:right w:val="none" w:sz="0" w:space="0" w:color="auto"/>
      </w:divBdr>
    </w:div>
    <w:div w:id="1782527121">
      <w:bodyDiv w:val="1"/>
      <w:marLeft w:val="0"/>
      <w:marRight w:val="0"/>
      <w:marTop w:val="0"/>
      <w:marBottom w:val="0"/>
      <w:divBdr>
        <w:top w:val="none" w:sz="0" w:space="0" w:color="auto"/>
        <w:left w:val="none" w:sz="0" w:space="0" w:color="auto"/>
        <w:bottom w:val="none" w:sz="0" w:space="0" w:color="auto"/>
        <w:right w:val="none" w:sz="0" w:space="0" w:color="auto"/>
      </w:divBdr>
    </w:div>
    <w:div w:id="1782602540">
      <w:bodyDiv w:val="1"/>
      <w:marLeft w:val="0"/>
      <w:marRight w:val="0"/>
      <w:marTop w:val="0"/>
      <w:marBottom w:val="0"/>
      <w:divBdr>
        <w:top w:val="none" w:sz="0" w:space="0" w:color="auto"/>
        <w:left w:val="none" w:sz="0" w:space="0" w:color="auto"/>
        <w:bottom w:val="none" w:sz="0" w:space="0" w:color="auto"/>
        <w:right w:val="none" w:sz="0" w:space="0" w:color="auto"/>
      </w:divBdr>
    </w:div>
    <w:div w:id="1782842319">
      <w:bodyDiv w:val="1"/>
      <w:marLeft w:val="0"/>
      <w:marRight w:val="0"/>
      <w:marTop w:val="0"/>
      <w:marBottom w:val="0"/>
      <w:divBdr>
        <w:top w:val="none" w:sz="0" w:space="0" w:color="auto"/>
        <w:left w:val="none" w:sz="0" w:space="0" w:color="auto"/>
        <w:bottom w:val="none" w:sz="0" w:space="0" w:color="auto"/>
        <w:right w:val="none" w:sz="0" w:space="0" w:color="auto"/>
      </w:divBdr>
    </w:div>
    <w:div w:id="1782918962">
      <w:bodyDiv w:val="1"/>
      <w:marLeft w:val="0"/>
      <w:marRight w:val="0"/>
      <w:marTop w:val="0"/>
      <w:marBottom w:val="0"/>
      <w:divBdr>
        <w:top w:val="none" w:sz="0" w:space="0" w:color="auto"/>
        <w:left w:val="none" w:sz="0" w:space="0" w:color="auto"/>
        <w:bottom w:val="none" w:sz="0" w:space="0" w:color="auto"/>
        <w:right w:val="none" w:sz="0" w:space="0" w:color="auto"/>
      </w:divBdr>
    </w:div>
    <w:div w:id="1782993144">
      <w:bodyDiv w:val="1"/>
      <w:marLeft w:val="0"/>
      <w:marRight w:val="0"/>
      <w:marTop w:val="0"/>
      <w:marBottom w:val="0"/>
      <w:divBdr>
        <w:top w:val="none" w:sz="0" w:space="0" w:color="auto"/>
        <w:left w:val="none" w:sz="0" w:space="0" w:color="auto"/>
        <w:bottom w:val="none" w:sz="0" w:space="0" w:color="auto"/>
        <w:right w:val="none" w:sz="0" w:space="0" w:color="auto"/>
      </w:divBdr>
    </w:div>
    <w:div w:id="1783039062">
      <w:bodyDiv w:val="1"/>
      <w:marLeft w:val="0"/>
      <w:marRight w:val="0"/>
      <w:marTop w:val="0"/>
      <w:marBottom w:val="0"/>
      <w:divBdr>
        <w:top w:val="none" w:sz="0" w:space="0" w:color="auto"/>
        <w:left w:val="none" w:sz="0" w:space="0" w:color="auto"/>
        <w:bottom w:val="none" w:sz="0" w:space="0" w:color="auto"/>
        <w:right w:val="none" w:sz="0" w:space="0" w:color="auto"/>
      </w:divBdr>
    </w:div>
    <w:div w:id="1783106945">
      <w:bodyDiv w:val="1"/>
      <w:marLeft w:val="0"/>
      <w:marRight w:val="0"/>
      <w:marTop w:val="0"/>
      <w:marBottom w:val="0"/>
      <w:divBdr>
        <w:top w:val="none" w:sz="0" w:space="0" w:color="auto"/>
        <w:left w:val="none" w:sz="0" w:space="0" w:color="auto"/>
        <w:bottom w:val="none" w:sz="0" w:space="0" w:color="auto"/>
        <w:right w:val="none" w:sz="0" w:space="0" w:color="auto"/>
      </w:divBdr>
    </w:div>
    <w:div w:id="1783108707">
      <w:bodyDiv w:val="1"/>
      <w:marLeft w:val="0"/>
      <w:marRight w:val="0"/>
      <w:marTop w:val="0"/>
      <w:marBottom w:val="0"/>
      <w:divBdr>
        <w:top w:val="none" w:sz="0" w:space="0" w:color="auto"/>
        <w:left w:val="none" w:sz="0" w:space="0" w:color="auto"/>
        <w:bottom w:val="none" w:sz="0" w:space="0" w:color="auto"/>
        <w:right w:val="none" w:sz="0" w:space="0" w:color="auto"/>
      </w:divBdr>
    </w:div>
    <w:div w:id="1783113023">
      <w:bodyDiv w:val="1"/>
      <w:marLeft w:val="0"/>
      <w:marRight w:val="0"/>
      <w:marTop w:val="0"/>
      <w:marBottom w:val="0"/>
      <w:divBdr>
        <w:top w:val="none" w:sz="0" w:space="0" w:color="auto"/>
        <w:left w:val="none" w:sz="0" w:space="0" w:color="auto"/>
        <w:bottom w:val="none" w:sz="0" w:space="0" w:color="auto"/>
        <w:right w:val="none" w:sz="0" w:space="0" w:color="auto"/>
      </w:divBdr>
    </w:div>
    <w:div w:id="1783182484">
      <w:bodyDiv w:val="1"/>
      <w:marLeft w:val="0"/>
      <w:marRight w:val="0"/>
      <w:marTop w:val="0"/>
      <w:marBottom w:val="0"/>
      <w:divBdr>
        <w:top w:val="none" w:sz="0" w:space="0" w:color="auto"/>
        <w:left w:val="none" w:sz="0" w:space="0" w:color="auto"/>
        <w:bottom w:val="none" w:sz="0" w:space="0" w:color="auto"/>
        <w:right w:val="none" w:sz="0" w:space="0" w:color="auto"/>
      </w:divBdr>
    </w:div>
    <w:div w:id="1783184702">
      <w:bodyDiv w:val="1"/>
      <w:marLeft w:val="0"/>
      <w:marRight w:val="0"/>
      <w:marTop w:val="0"/>
      <w:marBottom w:val="0"/>
      <w:divBdr>
        <w:top w:val="none" w:sz="0" w:space="0" w:color="auto"/>
        <w:left w:val="none" w:sz="0" w:space="0" w:color="auto"/>
        <w:bottom w:val="none" w:sz="0" w:space="0" w:color="auto"/>
        <w:right w:val="none" w:sz="0" w:space="0" w:color="auto"/>
      </w:divBdr>
    </w:div>
    <w:div w:id="1783303345">
      <w:bodyDiv w:val="1"/>
      <w:marLeft w:val="0"/>
      <w:marRight w:val="0"/>
      <w:marTop w:val="0"/>
      <w:marBottom w:val="0"/>
      <w:divBdr>
        <w:top w:val="none" w:sz="0" w:space="0" w:color="auto"/>
        <w:left w:val="none" w:sz="0" w:space="0" w:color="auto"/>
        <w:bottom w:val="none" w:sz="0" w:space="0" w:color="auto"/>
        <w:right w:val="none" w:sz="0" w:space="0" w:color="auto"/>
      </w:divBdr>
    </w:div>
    <w:div w:id="1783304320">
      <w:bodyDiv w:val="1"/>
      <w:marLeft w:val="0"/>
      <w:marRight w:val="0"/>
      <w:marTop w:val="0"/>
      <w:marBottom w:val="0"/>
      <w:divBdr>
        <w:top w:val="none" w:sz="0" w:space="0" w:color="auto"/>
        <w:left w:val="none" w:sz="0" w:space="0" w:color="auto"/>
        <w:bottom w:val="none" w:sz="0" w:space="0" w:color="auto"/>
        <w:right w:val="none" w:sz="0" w:space="0" w:color="auto"/>
      </w:divBdr>
    </w:div>
    <w:div w:id="1783307923">
      <w:bodyDiv w:val="1"/>
      <w:marLeft w:val="0"/>
      <w:marRight w:val="0"/>
      <w:marTop w:val="0"/>
      <w:marBottom w:val="0"/>
      <w:divBdr>
        <w:top w:val="none" w:sz="0" w:space="0" w:color="auto"/>
        <w:left w:val="none" w:sz="0" w:space="0" w:color="auto"/>
        <w:bottom w:val="none" w:sz="0" w:space="0" w:color="auto"/>
        <w:right w:val="none" w:sz="0" w:space="0" w:color="auto"/>
      </w:divBdr>
    </w:div>
    <w:div w:id="1783374812">
      <w:bodyDiv w:val="1"/>
      <w:marLeft w:val="0"/>
      <w:marRight w:val="0"/>
      <w:marTop w:val="0"/>
      <w:marBottom w:val="0"/>
      <w:divBdr>
        <w:top w:val="none" w:sz="0" w:space="0" w:color="auto"/>
        <w:left w:val="none" w:sz="0" w:space="0" w:color="auto"/>
        <w:bottom w:val="none" w:sz="0" w:space="0" w:color="auto"/>
        <w:right w:val="none" w:sz="0" w:space="0" w:color="auto"/>
      </w:divBdr>
    </w:div>
    <w:div w:id="1783381298">
      <w:bodyDiv w:val="1"/>
      <w:marLeft w:val="0"/>
      <w:marRight w:val="0"/>
      <w:marTop w:val="0"/>
      <w:marBottom w:val="0"/>
      <w:divBdr>
        <w:top w:val="none" w:sz="0" w:space="0" w:color="auto"/>
        <w:left w:val="none" w:sz="0" w:space="0" w:color="auto"/>
        <w:bottom w:val="none" w:sz="0" w:space="0" w:color="auto"/>
        <w:right w:val="none" w:sz="0" w:space="0" w:color="auto"/>
      </w:divBdr>
    </w:div>
    <w:div w:id="1783383722">
      <w:bodyDiv w:val="1"/>
      <w:marLeft w:val="0"/>
      <w:marRight w:val="0"/>
      <w:marTop w:val="0"/>
      <w:marBottom w:val="0"/>
      <w:divBdr>
        <w:top w:val="none" w:sz="0" w:space="0" w:color="auto"/>
        <w:left w:val="none" w:sz="0" w:space="0" w:color="auto"/>
        <w:bottom w:val="none" w:sz="0" w:space="0" w:color="auto"/>
        <w:right w:val="none" w:sz="0" w:space="0" w:color="auto"/>
      </w:divBdr>
    </w:div>
    <w:div w:id="1783450914">
      <w:bodyDiv w:val="1"/>
      <w:marLeft w:val="0"/>
      <w:marRight w:val="0"/>
      <w:marTop w:val="0"/>
      <w:marBottom w:val="0"/>
      <w:divBdr>
        <w:top w:val="none" w:sz="0" w:space="0" w:color="auto"/>
        <w:left w:val="none" w:sz="0" w:space="0" w:color="auto"/>
        <w:bottom w:val="none" w:sz="0" w:space="0" w:color="auto"/>
        <w:right w:val="none" w:sz="0" w:space="0" w:color="auto"/>
      </w:divBdr>
    </w:div>
    <w:div w:id="1783528370">
      <w:bodyDiv w:val="1"/>
      <w:marLeft w:val="0"/>
      <w:marRight w:val="0"/>
      <w:marTop w:val="0"/>
      <w:marBottom w:val="0"/>
      <w:divBdr>
        <w:top w:val="none" w:sz="0" w:space="0" w:color="auto"/>
        <w:left w:val="none" w:sz="0" w:space="0" w:color="auto"/>
        <w:bottom w:val="none" w:sz="0" w:space="0" w:color="auto"/>
        <w:right w:val="none" w:sz="0" w:space="0" w:color="auto"/>
      </w:divBdr>
    </w:div>
    <w:div w:id="1783768227">
      <w:bodyDiv w:val="1"/>
      <w:marLeft w:val="0"/>
      <w:marRight w:val="0"/>
      <w:marTop w:val="0"/>
      <w:marBottom w:val="0"/>
      <w:divBdr>
        <w:top w:val="none" w:sz="0" w:space="0" w:color="auto"/>
        <w:left w:val="none" w:sz="0" w:space="0" w:color="auto"/>
        <w:bottom w:val="none" w:sz="0" w:space="0" w:color="auto"/>
        <w:right w:val="none" w:sz="0" w:space="0" w:color="auto"/>
      </w:divBdr>
    </w:div>
    <w:div w:id="1783770137">
      <w:bodyDiv w:val="1"/>
      <w:marLeft w:val="0"/>
      <w:marRight w:val="0"/>
      <w:marTop w:val="0"/>
      <w:marBottom w:val="0"/>
      <w:divBdr>
        <w:top w:val="none" w:sz="0" w:space="0" w:color="auto"/>
        <w:left w:val="none" w:sz="0" w:space="0" w:color="auto"/>
        <w:bottom w:val="none" w:sz="0" w:space="0" w:color="auto"/>
        <w:right w:val="none" w:sz="0" w:space="0" w:color="auto"/>
      </w:divBdr>
    </w:div>
    <w:div w:id="1783955828">
      <w:bodyDiv w:val="1"/>
      <w:marLeft w:val="0"/>
      <w:marRight w:val="0"/>
      <w:marTop w:val="0"/>
      <w:marBottom w:val="0"/>
      <w:divBdr>
        <w:top w:val="none" w:sz="0" w:space="0" w:color="auto"/>
        <w:left w:val="none" w:sz="0" w:space="0" w:color="auto"/>
        <w:bottom w:val="none" w:sz="0" w:space="0" w:color="auto"/>
        <w:right w:val="none" w:sz="0" w:space="0" w:color="auto"/>
      </w:divBdr>
    </w:div>
    <w:div w:id="1783961108">
      <w:bodyDiv w:val="1"/>
      <w:marLeft w:val="0"/>
      <w:marRight w:val="0"/>
      <w:marTop w:val="0"/>
      <w:marBottom w:val="0"/>
      <w:divBdr>
        <w:top w:val="none" w:sz="0" w:space="0" w:color="auto"/>
        <w:left w:val="none" w:sz="0" w:space="0" w:color="auto"/>
        <w:bottom w:val="none" w:sz="0" w:space="0" w:color="auto"/>
        <w:right w:val="none" w:sz="0" w:space="0" w:color="auto"/>
      </w:divBdr>
    </w:div>
    <w:div w:id="1784034078">
      <w:bodyDiv w:val="1"/>
      <w:marLeft w:val="0"/>
      <w:marRight w:val="0"/>
      <w:marTop w:val="0"/>
      <w:marBottom w:val="0"/>
      <w:divBdr>
        <w:top w:val="none" w:sz="0" w:space="0" w:color="auto"/>
        <w:left w:val="none" w:sz="0" w:space="0" w:color="auto"/>
        <w:bottom w:val="none" w:sz="0" w:space="0" w:color="auto"/>
        <w:right w:val="none" w:sz="0" w:space="0" w:color="auto"/>
      </w:divBdr>
    </w:div>
    <w:div w:id="1784035217">
      <w:bodyDiv w:val="1"/>
      <w:marLeft w:val="0"/>
      <w:marRight w:val="0"/>
      <w:marTop w:val="0"/>
      <w:marBottom w:val="0"/>
      <w:divBdr>
        <w:top w:val="none" w:sz="0" w:space="0" w:color="auto"/>
        <w:left w:val="none" w:sz="0" w:space="0" w:color="auto"/>
        <w:bottom w:val="none" w:sz="0" w:space="0" w:color="auto"/>
        <w:right w:val="none" w:sz="0" w:space="0" w:color="auto"/>
      </w:divBdr>
    </w:div>
    <w:div w:id="1784035786">
      <w:bodyDiv w:val="1"/>
      <w:marLeft w:val="0"/>
      <w:marRight w:val="0"/>
      <w:marTop w:val="0"/>
      <w:marBottom w:val="0"/>
      <w:divBdr>
        <w:top w:val="none" w:sz="0" w:space="0" w:color="auto"/>
        <w:left w:val="none" w:sz="0" w:space="0" w:color="auto"/>
        <w:bottom w:val="none" w:sz="0" w:space="0" w:color="auto"/>
        <w:right w:val="none" w:sz="0" w:space="0" w:color="auto"/>
      </w:divBdr>
    </w:div>
    <w:div w:id="1784036426">
      <w:bodyDiv w:val="1"/>
      <w:marLeft w:val="0"/>
      <w:marRight w:val="0"/>
      <w:marTop w:val="0"/>
      <w:marBottom w:val="0"/>
      <w:divBdr>
        <w:top w:val="none" w:sz="0" w:space="0" w:color="auto"/>
        <w:left w:val="none" w:sz="0" w:space="0" w:color="auto"/>
        <w:bottom w:val="none" w:sz="0" w:space="0" w:color="auto"/>
        <w:right w:val="none" w:sz="0" w:space="0" w:color="auto"/>
      </w:divBdr>
    </w:div>
    <w:div w:id="1784112567">
      <w:bodyDiv w:val="1"/>
      <w:marLeft w:val="0"/>
      <w:marRight w:val="0"/>
      <w:marTop w:val="0"/>
      <w:marBottom w:val="0"/>
      <w:divBdr>
        <w:top w:val="none" w:sz="0" w:space="0" w:color="auto"/>
        <w:left w:val="none" w:sz="0" w:space="0" w:color="auto"/>
        <w:bottom w:val="none" w:sz="0" w:space="0" w:color="auto"/>
        <w:right w:val="none" w:sz="0" w:space="0" w:color="auto"/>
      </w:divBdr>
    </w:div>
    <w:div w:id="1784152090">
      <w:bodyDiv w:val="1"/>
      <w:marLeft w:val="0"/>
      <w:marRight w:val="0"/>
      <w:marTop w:val="0"/>
      <w:marBottom w:val="0"/>
      <w:divBdr>
        <w:top w:val="none" w:sz="0" w:space="0" w:color="auto"/>
        <w:left w:val="none" w:sz="0" w:space="0" w:color="auto"/>
        <w:bottom w:val="none" w:sz="0" w:space="0" w:color="auto"/>
        <w:right w:val="none" w:sz="0" w:space="0" w:color="auto"/>
      </w:divBdr>
    </w:div>
    <w:div w:id="1784155257">
      <w:bodyDiv w:val="1"/>
      <w:marLeft w:val="0"/>
      <w:marRight w:val="0"/>
      <w:marTop w:val="0"/>
      <w:marBottom w:val="0"/>
      <w:divBdr>
        <w:top w:val="none" w:sz="0" w:space="0" w:color="auto"/>
        <w:left w:val="none" w:sz="0" w:space="0" w:color="auto"/>
        <w:bottom w:val="none" w:sz="0" w:space="0" w:color="auto"/>
        <w:right w:val="none" w:sz="0" w:space="0" w:color="auto"/>
      </w:divBdr>
    </w:div>
    <w:div w:id="1784156581">
      <w:bodyDiv w:val="1"/>
      <w:marLeft w:val="0"/>
      <w:marRight w:val="0"/>
      <w:marTop w:val="0"/>
      <w:marBottom w:val="0"/>
      <w:divBdr>
        <w:top w:val="none" w:sz="0" w:space="0" w:color="auto"/>
        <w:left w:val="none" w:sz="0" w:space="0" w:color="auto"/>
        <w:bottom w:val="none" w:sz="0" w:space="0" w:color="auto"/>
        <w:right w:val="none" w:sz="0" w:space="0" w:color="auto"/>
      </w:divBdr>
    </w:div>
    <w:div w:id="1784349001">
      <w:bodyDiv w:val="1"/>
      <w:marLeft w:val="0"/>
      <w:marRight w:val="0"/>
      <w:marTop w:val="0"/>
      <w:marBottom w:val="0"/>
      <w:divBdr>
        <w:top w:val="none" w:sz="0" w:space="0" w:color="auto"/>
        <w:left w:val="none" w:sz="0" w:space="0" w:color="auto"/>
        <w:bottom w:val="none" w:sz="0" w:space="0" w:color="auto"/>
        <w:right w:val="none" w:sz="0" w:space="0" w:color="auto"/>
      </w:divBdr>
    </w:div>
    <w:div w:id="1784350024">
      <w:bodyDiv w:val="1"/>
      <w:marLeft w:val="0"/>
      <w:marRight w:val="0"/>
      <w:marTop w:val="0"/>
      <w:marBottom w:val="0"/>
      <w:divBdr>
        <w:top w:val="none" w:sz="0" w:space="0" w:color="auto"/>
        <w:left w:val="none" w:sz="0" w:space="0" w:color="auto"/>
        <w:bottom w:val="none" w:sz="0" w:space="0" w:color="auto"/>
        <w:right w:val="none" w:sz="0" w:space="0" w:color="auto"/>
      </w:divBdr>
    </w:div>
    <w:div w:id="1784419663">
      <w:bodyDiv w:val="1"/>
      <w:marLeft w:val="0"/>
      <w:marRight w:val="0"/>
      <w:marTop w:val="0"/>
      <w:marBottom w:val="0"/>
      <w:divBdr>
        <w:top w:val="none" w:sz="0" w:space="0" w:color="auto"/>
        <w:left w:val="none" w:sz="0" w:space="0" w:color="auto"/>
        <w:bottom w:val="none" w:sz="0" w:space="0" w:color="auto"/>
        <w:right w:val="none" w:sz="0" w:space="0" w:color="auto"/>
      </w:divBdr>
    </w:div>
    <w:div w:id="1784421434">
      <w:bodyDiv w:val="1"/>
      <w:marLeft w:val="0"/>
      <w:marRight w:val="0"/>
      <w:marTop w:val="0"/>
      <w:marBottom w:val="0"/>
      <w:divBdr>
        <w:top w:val="none" w:sz="0" w:space="0" w:color="auto"/>
        <w:left w:val="none" w:sz="0" w:space="0" w:color="auto"/>
        <w:bottom w:val="none" w:sz="0" w:space="0" w:color="auto"/>
        <w:right w:val="none" w:sz="0" w:space="0" w:color="auto"/>
      </w:divBdr>
    </w:div>
    <w:div w:id="1784421595">
      <w:bodyDiv w:val="1"/>
      <w:marLeft w:val="0"/>
      <w:marRight w:val="0"/>
      <w:marTop w:val="0"/>
      <w:marBottom w:val="0"/>
      <w:divBdr>
        <w:top w:val="none" w:sz="0" w:space="0" w:color="auto"/>
        <w:left w:val="none" w:sz="0" w:space="0" w:color="auto"/>
        <w:bottom w:val="none" w:sz="0" w:space="0" w:color="auto"/>
        <w:right w:val="none" w:sz="0" w:space="0" w:color="auto"/>
      </w:divBdr>
    </w:div>
    <w:div w:id="1784687270">
      <w:bodyDiv w:val="1"/>
      <w:marLeft w:val="0"/>
      <w:marRight w:val="0"/>
      <w:marTop w:val="0"/>
      <w:marBottom w:val="0"/>
      <w:divBdr>
        <w:top w:val="none" w:sz="0" w:space="0" w:color="auto"/>
        <w:left w:val="none" w:sz="0" w:space="0" w:color="auto"/>
        <w:bottom w:val="none" w:sz="0" w:space="0" w:color="auto"/>
        <w:right w:val="none" w:sz="0" w:space="0" w:color="auto"/>
      </w:divBdr>
    </w:div>
    <w:div w:id="1784692741">
      <w:bodyDiv w:val="1"/>
      <w:marLeft w:val="0"/>
      <w:marRight w:val="0"/>
      <w:marTop w:val="0"/>
      <w:marBottom w:val="0"/>
      <w:divBdr>
        <w:top w:val="none" w:sz="0" w:space="0" w:color="auto"/>
        <w:left w:val="none" w:sz="0" w:space="0" w:color="auto"/>
        <w:bottom w:val="none" w:sz="0" w:space="0" w:color="auto"/>
        <w:right w:val="none" w:sz="0" w:space="0" w:color="auto"/>
      </w:divBdr>
    </w:div>
    <w:div w:id="1784761849">
      <w:bodyDiv w:val="1"/>
      <w:marLeft w:val="0"/>
      <w:marRight w:val="0"/>
      <w:marTop w:val="0"/>
      <w:marBottom w:val="0"/>
      <w:divBdr>
        <w:top w:val="none" w:sz="0" w:space="0" w:color="auto"/>
        <w:left w:val="none" w:sz="0" w:space="0" w:color="auto"/>
        <w:bottom w:val="none" w:sz="0" w:space="0" w:color="auto"/>
        <w:right w:val="none" w:sz="0" w:space="0" w:color="auto"/>
      </w:divBdr>
    </w:div>
    <w:div w:id="1784765786">
      <w:bodyDiv w:val="1"/>
      <w:marLeft w:val="0"/>
      <w:marRight w:val="0"/>
      <w:marTop w:val="0"/>
      <w:marBottom w:val="0"/>
      <w:divBdr>
        <w:top w:val="none" w:sz="0" w:space="0" w:color="auto"/>
        <w:left w:val="none" w:sz="0" w:space="0" w:color="auto"/>
        <w:bottom w:val="none" w:sz="0" w:space="0" w:color="auto"/>
        <w:right w:val="none" w:sz="0" w:space="0" w:color="auto"/>
      </w:divBdr>
    </w:div>
    <w:div w:id="1784767319">
      <w:bodyDiv w:val="1"/>
      <w:marLeft w:val="0"/>
      <w:marRight w:val="0"/>
      <w:marTop w:val="0"/>
      <w:marBottom w:val="0"/>
      <w:divBdr>
        <w:top w:val="none" w:sz="0" w:space="0" w:color="auto"/>
        <w:left w:val="none" w:sz="0" w:space="0" w:color="auto"/>
        <w:bottom w:val="none" w:sz="0" w:space="0" w:color="auto"/>
        <w:right w:val="none" w:sz="0" w:space="0" w:color="auto"/>
      </w:divBdr>
    </w:div>
    <w:div w:id="1784840134">
      <w:bodyDiv w:val="1"/>
      <w:marLeft w:val="0"/>
      <w:marRight w:val="0"/>
      <w:marTop w:val="0"/>
      <w:marBottom w:val="0"/>
      <w:divBdr>
        <w:top w:val="none" w:sz="0" w:space="0" w:color="auto"/>
        <w:left w:val="none" w:sz="0" w:space="0" w:color="auto"/>
        <w:bottom w:val="none" w:sz="0" w:space="0" w:color="auto"/>
        <w:right w:val="none" w:sz="0" w:space="0" w:color="auto"/>
      </w:divBdr>
    </w:div>
    <w:div w:id="1784877865">
      <w:bodyDiv w:val="1"/>
      <w:marLeft w:val="0"/>
      <w:marRight w:val="0"/>
      <w:marTop w:val="0"/>
      <w:marBottom w:val="0"/>
      <w:divBdr>
        <w:top w:val="none" w:sz="0" w:space="0" w:color="auto"/>
        <w:left w:val="none" w:sz="0" w:space="0" w:color="auto"/>
        <w:bottom w:val="none" w:sz="0" w:space="0" w:color="auto"/>
        <w:right w:val="none" w:sz="0" w:space="0" w:color="auto"/>
      </w:divBdr>
    </w:div>
    <w:div w:id="1784879150">
      <w:bodyDiv w:val="1"/>
      <w:marLeft w:val="0"/>
      <w:marRight w:val="0"/>
      <w:marTop w:val="0"/>
      <w:marBottom w:val="0"/>
      <w:divBdr>
        <w:top w:val="none" w:sz="0" w:space="0" w:color="auto"/>
        <w:left w:val="none" w:sz="0" w:space="0" w:color="auto"/>
        <w:bottom w:val="none" w:sz="0" w:space="0" w:color="auto"/>
        <w:right w:val="none" w:sz="0" w:space="0" w:color="auto"/>
      </w:divBdr>
    </w:div>
    <w:div w:id="1784885643">
      <w:bodyDiv w:val="1"/>
      <w:marLeft w:val="0"/>
      <w:marRight w:val="0"/>
      <w:marTop w:val="0"/>
      <w:marBottom w:val="0"/>
      <w:divBdr>
        <w:top w:val="none" w:sz="0" w:space="0" w:color="auto"/>
        <w:left w:val="none" w:sz="0" w:space="0" w:color="auto"/>
        <w:bottom w:val="none" w:sz="0" w:space="0" w:color="auto"/>
        <w:right w:val="none" w:sz="0" w:space="0" w:color="auto"/>
      </w:divBdr>
    </w:div>
    <w:div w:id="1785004442">
      <w:bodyDiv w:val="1"/>
      <w:marLeft w:val="0"/>
      <w:marRight w:val="0"/>
      <w:marTop w:val="0"/>
      <w:marBottom w:val="0"/>
      <w:divBdr>
        <w:top w:val="none" w:sz="0" w:space="0" w:color="auto"/>
        <w:left w:val="none" w:sz="0" w:space="0" w:color="auto"/>
        <w:bottom w:val="none" w:sz="0" w:space="0" w:color="auto"/>
        <w:right w:val="none" w:sz="0" w:space="0" w:color="auto"/>
      </w:divBdr>
    </w:div>
    <w:div w:id="1785033379">
      <w:bodyDiv w:val="1"/>
      <w:marLeft w:val="0"/>
      <w:marRight w:val="0"/>
      <w:marTop w:val="0"/>
      <w:marBottom w:val="0"/>
      <w:divBdr>
        <w:top w:val="none" w:sz="0" w:space="0" w:color="auto"/>
        <w:left w:val="none" w:sz="0" w:space="0" w:color="auto"/>
        <w:bottom w:val="none" w:sz="0" w:space="0" w:color="auto"/>
        <w:right w:val="none" w:sz="0" w:space="0" w:color="auto"/>
      </w:divBdr>
    </w:div>
    <w:div w:id="1785073742">
      <w:bodyDiv w:val="1"/>
      <w:marLeft w:val="0"/>
      <w:marRight w:val="0"/>
      <w:marTop w:val="0"/>
      <w:marBottom w:val="0"/>
      <w:divBdr>
        <w:top w:val="none" w:sz="0" w:space="0" w:color="auto"/>
        <w:left w:val="none" w:sz="0" w:space="0" w:color="auto"/>
        <w:bottom w:val="none" w:sz="0" w:space="0" w:color="auto"/>
        <w:right w:val="none" w:sz="0" w:space="0" w:color="auto"/>
      </w:divBdr>
    </w:div>
    <w:div w:id="1785152725">
      <w:bodyDiv w:val="1"/>
      <w:marLeft w:val="0"/>
      <w:marRight w:val="0"/>
      <w:marTop w:val="0"/>
      <w:marBottom w:val="0"/>
      <w:divBdr>
        <w:top w:val="none" w:sz="0" w:space="0" w:color="auto"/>
        <w:left w:val="none" w:sz="0" w:space="0" w:color="auto"/>
        <w:bottom w:val="none" w:sz="0" w:space="0" w:color="auto"/>
        <w:right w:val="none" w:sz="0" w:space="0" w:color="auto"/>
      </w:divBdr>
    </w:div>
    <w:div w:id="1785227109">
      <w:bodyDiv w:val="1"/>
      <w:marLeft w:val="0"/>
      <w:marRight w:val="0"/>
      <w:marTop w:val="0"/>
      <w:marBottom w:val="0"/>
      <w:divBdr>
        <w:top w:val="none" w:sz="0" w:space="0" w:color="auto"/>
        <w:left w:val="none" w:sz="0" w:space="0" w:color="auto"/>
        <w:bottom w:val="none" w:sz="0" w:space="0" w:color="auto"/>
        <w:right w:val="none" w:sz="0" w:space="0" w:color="auto"/>
      </w:divBdr>
    </w:div>
    <w:div w:id="1785270958">
      <w:bodyDiv w:val="1"/>
      <w:marLeft w:val="0"/>
      <w:marRight w:val="0"/>
      <w:marTop w:val="0"/>
      <w:marBottom w:val="0"/>
      <w:divBdr>
        <w:top w:val="none" w:sz="0" w:space="0" w:color="auto"/>
        <w:left w:val="none" w:sz="0" w:space="0" w:color="auto"/>
        <w:bottom w:val="none" w:sz="0" w:space="0" w:color="auto"/>
        <w:right w:val="none" w:sz="0" w:space="0" w:color="auto"/>
      </w:divBdr>
    </w:div>
    <w:div w:id="1785272748">
      <w:bodyDiv w:val="1"/>
      <w:marLeft w:val="0"/>
      <w:marRight w:val="0"/>
      <w:marTop w:val="0"/>
      <w:marBottom w:val="0"/>
      <w:divBdr>
        <w:top w:val="none" w:sz="0" w:space="0" w:color="auto"/>
        <w:left w:val="none" w:sz="0" w:space="0" w:color="auto"/>
        <w:bottom w:val="none" w:sz="0" w:space="0" w:color="auto"/>
        <w:right w:val="none" w:sz="0" w:space="0" w:color="auto"/>
      </w:divBdr>
    </w:div>
    <w:div w:id="1785343470">
      <w:bodyDiv w:val="1"/>
      <w:marLeft w:val="0"/>
      <w:marRight w:val="0"/>
      <w:marTop w:val="0"/>
      <w:marBottom w:val="0"/>
      <w:divBdr>
        <w:top w:val="none" w:sz="0" w:space="0" w:color="auto"/>
        <w:left w:val="none" w:sz="0" w:space="0" w:color="auto"/>
        <w:bottom w:val="none" w:sz="0" w:space="0" w:color="auto"/>
        <w:right w:val="none" w:sz="0" w:space="0" w:color="auto"/>
      </w:divBdr>
    </w:div>
    <w:div w:id="1785348673">
      <w:bodyDiv w:val="1"/>
      <w:marLeft w:val="0"/>
      <w:marRight w:val="0"/>
      <w:marTop w:val="0"/>
      <w:marBottom w:val="0"/>
      <w:divBdr>
        <w:top w:val="none" w:sz="0" w:space="0" w:color="auto"/>
        <w:left w:val="none" w:sz="0" w:space="0" w:color="auto"/>
        <w:bottom w:val="none" w:sz="0" w:space="0" w:color="auto"/>
        <w:right w:val="none" w:sz="0" w:space="0" w:color="auto"/>
      </w:divBdr>
    </w:div>
    <w:div w:id="1785465243">
      <w:bodyDiv w:val="1"/>
      <w:marLeft w:val="0"/>
      <w:marRight w:val="0"/>
      <w:marTop w:val="0"/>
      <w:marBottom w:val="0"/>
      <w:divBdr>
        <w:top w:val="none" w:sz="0" w:space="0" w:color="auto"/>
        <w:left w:val="none" w:sz="0" w:space="0" w:color="auto"/>
        <w:bottom w:val="none" w:sz="0" w:space="0" w:color="auto"/>
        <w:right w:val="none" w:sz="0" w:space="0" w:color="auto"/>
      </w:divBdr>
    </w:div>
    <w:div w:id="1785490577">
      <w:bodyDiv w:val="1"/>
      <w:marLeft w:val="0"/>
      <w:marRight w:val="0"/>
      <w:marTop w:val="0"/>
      <w:marBottom w:val="0"/>
      <w:divBdr>
        <w:top w:val="none" w:sz="0" w:space="0" w:color="auto"/>
        <w:left w:val="none" w:sz="0" w:space="0" w:color="auto"/>
        <w:bottom w:val="none" w:sz="0" w:space="0" w:color="auto"/>
        <w:right w:val="none" w:sz="0" w:space="0" w:color="auto"/>
      </w:divBdr>
    </w:div>
    <w:div w:id="1785495116">
      <w:bodyDiv w:val="1"/>
      <w:marLeft w:val="0"/>
      <w:marRight w:val="0"/>
      <w:marTop w:val="0"/>
      <w:marBottom w:val="0"/>
      <w:divBdr>
        <w:top w:val="none" w:sz="0" w:space="0" w:color="auto"/>
        <w:left w:val="none" w:sz="0" w:space="0" w:color="auto"/>
        <w:bottom w:val="none" w:sz="0" w:space="0" w:color="auto"/>
        <w:right w:val="none" w:sz="0" w:space="0" w:color="auto"/>
      </w:divBdr>
    </w:div>
    <w:div w:id="1785610516">
      <w:bodyDiv w:val="1"/>
      <w:marLeft w:val="0"/>
      <w:marRight w:val="0"/>
      <w:marTop w:val="0"/>
      <w:marBottom w:val="0"/>
      <w:divBdr>
        <w:top w:val="none" w:sz="0" w:space="0" w:color="auto"/>
        <w:left w:val="none" w:sz="0" w:space="0" w:color="auto"/>
        <w:bottom w:val="none" w:sz="0" w:space="0" w:color="auto"/>
        <w:right w:val="none" w:sz="0" w:space="0" w:color="auto"/>
      </w:divBdr>
    </w:div>
    <w:div w:id="1785615814">
      <w:bodyDiv w:val="1"/>
      <w:marLeft w:val="0"/>
      <w:marRight w:val="0"/>
      <w:marTop w:val="0"/>
      <w:marBottom w:val="0"/>
      <w:divBdr>
        <w:top w:val="none" w:sz="0" w:space="0" w:color="auto"/>
        <w:left w:val="none" w:sz="0" w:space="0" w:color="auto"/>
        <w:bottom w:val="none" w:sz="0" w:space="0" w:color="auto"/>
        <w:right w:val="none" w:sz="0" w:space="0" w:color="auto"/>
      </w:divBdr>
    </w:div>
    <w:div w:id="1785805584">
      <w:bodyDiv w:val="1"/>
      <w:marLeft w:val="0"/>
      <w:marRight w:val="0"/>
      <w:marTop w:val="0"/>
      <w:marBottom w:val="0"/>
      <w:divBdr>
        <w:top w:val="none" w:sz="0" w:space="0" w:color="auto"/>
        <w:left w:val="none" w:sz="0" w:space="0" w:color="auto"/>
        <w:bottom w:val="none" w:sz="0" w:space="0" w:color="auto"/>
        <w:right w:val="none" w:sz="0" w:space="0" w:color="auto"/>
      </w:divBdr>
    </w:div>
    <w:div w:id="1785880519">
      <w:bodyDiv w:val="1"/>
      <w:marLeft w:val="0"/>
      <w:marRight w:val="0"/>
      <w:marTop w:val="0"/>
      <w:marBottom w:val="0"/>
      <w:divBdr>
        <w:top w:val="none" w:sz="0" w:space="0" w:color="auto"/>
        <w:left w:val="none" w:sz="0" w:space="0" w:color="auto"/>
        <w:bottom w:val="none" w:sz="0" w:space="0" w:color="auto"/>
        <w:right w:val="none" w:sz="0" w:space="0" w:color="auto"/>
      </w:divBdr>
    </w:div>
    <w:div w:id="1785885252">
      <w:bodyDiv w:val="1"/>
      <w:marLeft w:val="0"/>
      <w:marRight w:val="0"/>
      <w:marTop w:val="0"/>
      <w:marBottom w:val="0"/>
      <w:divBdr>
        <w:top w:val="none" w:sz="0" w:space="0" w:color="auto"/>
        <w:left w:val="none" w:sz="0" w:space="0" w:color="auto"/>
        <w:bottom w:val="none" w:sz="0" w:space="0" w:color="auto"/>
        <w:right w:val="none" w:sz="0" w:space="0" w:color="auto"/>
      </w:divBdr>
    </w:div>
    <w:div w:id="1786075241">
      <w:bodyDiv w:val="1"/>
      <w:marLeft w:val="0"/>
      <w:marRight w:val="0"/>
      <w:marTop w:val="0"/>
      <w:marBottom w:val="0"/>
      <w:divBdr>
        <w:top w:val="none" w:sz="0" w:space="0" w:color="auto"/>
        <w:left w:val="none" w:sz="0" w:space="0" w:color="auto"/>
        <w:bottom w:val="none" w:sz="0" w:space="0" w:color="auto"/>
        <w:right w:val="none" w:sz="0" w:space="0" w:color="auto"/>
      </w:divBdr>
    </w:div>
    <w:div w:id="1786188820">
      <w:bodyDiv w:val="1"/>
      <w:marLeft w:val="0"/>
      <w:marRight w:val="0"/>
      <w:marTop w:val="0"/>
      <w:marBottom w:val="0"/>
      <w:divBdr>
        <w:top w:val="none" w:sz="0" w:space="0" w:color="auto"/>
        <w:left w:val="none" w:sz="0" w:space="0" w:color="auto"/>
        <w:bottom w:val="none" w:sz="0" w:space="0" w:color="auto"/>
        <w:right w:val="none" w:sz="0" w:space="0" w:color="auto"/>
      </w:divBdr>
    </w:div>
    <w:div w:id="1786194950">
      <w:bodyDiv w:val="1"/>
      <w:marLeft w:val="0"/>
      <w:marRight w:val="0"/>
      <w:marTop w:val="0"/>
      <w:marBottom w:val="0"/>
      <w:divBdr>
        <w:top w:val="none" w:sz="0" w:space="0" w:color="auto"/>
        <w:left w:val="none" w:sz="0" w:space="0" w:color="auto"/>
        <w:bottom w:val="none" w:sz="0" w:space="0" w:color="auto"/>
        <w:right w:val="none" w:sz="0" w:space="0" w:color="auto"/>
      </w:divBdr>
    </w:div>
    <w:div w:id="1786268198">
      <w:bodyDiv w:val="1"/>
      <w:marLeft w:val="0"/>
      <w:marRight w:val="0"/>
      <w:marTop w:val="0"/>
      <w:marBottom w:val="0"/>
      <w:divBdr>
        <w:top w:val="none" w:sz="0" w:space="0" w:color="auto"/>
        <w:left w:val="none" w:sz="0" w:space="0" w:color="auto"/>
        <w:bottom w:val="none" w:sz="0" w:space="0" w:color="auto"/>
        <w:right w:val="none" w:sz="0" w:space="0" w:color="auto"/>
      </w:divBdr>
    </w:div>
    <w:div w:id="1786273509">
      <w:bodyDiv w:val="1"/>
      <w:marLeft w:val="0"/>
      <w:marRight w:val="0"/>
      <w:marTop w:val="0"/>
      <w:marBottom w:val="0"/>
      <w:divBdr>
        <w:top w:val="none" w:sz="0" w:space="0" w:color="auto"/>
        <w:left w:val="none" w:sz="0" w:space="0" w:color="auto"/>
        <w:bottom w:val="none" w:sz="0" w:space="0" w:color="auto"/>
        <w:right w:val="none" w:sz="0" w:space="0" w:color="auto"/>
      </w:divBdr>
    </w:div>
    <w:div w:id="1786342165">
      <w:bodyDiv w:val="1"/>
      <w:marLeft w:val="0"/>
      <w:marRight w:val="0"/>
      <w:marTop w:val="0"/>
      <w:marBottom w:val="0"/>
      <w:divBdr>
        <w:top w:val="none" w:sz="0" w:space="0" w:color="auto"/>
        <w:left w:val="none" w:sz="0" w:space="0" w:color="auto"/>
        <w:bottom w:val="none" w:sz="0" w:space="0" w:color="auto"/>
        <w:right w:val="none" w:sz="0" w:space="0" w:color="auto"/>
      </w:divBdr>
    </w:div>
    <w:div w:id="1786384422">
      <w:bodyDiv w:val="1"/>
      <w:marLeft w:val="0"/>
      <w:marRight w:val="0"/>
      <w:marTop w:val="0"/>
      <w:marBottom w:val="0"/>
      <w:divBdr>
        <w:top w:val="none" w:sz="0" w:space="0" w:color="auto"/>
        <w:left w:val="none" w:sz="0" w:space="0" w:color="auto"/>
        <w:bottom w:val="none" w:sz="0" w:space="0" w:color="auto"/>
        <w:right w:val="none" w:sz="0" w:space="0" w:color="auto"/>
      </w:divBdr>
    </w:div>
    <w:div w:id="1786386814">
      <w:bodyDiv w:val="1"/>
      <w:marLeft w:val="0"/>
      <w:marRight w:val="0"/>
      <w:marTop w:val="0"/>
      <w:marBottom w:val="0"/>
      <w:divBdr>
        <w:top w:val="none" w:sz="0" w:space="0" w:color="auto"/>
        <w:left w:val="none" w:sz="0" w:space="0" w:color="auto"/>
        <w:bottom w:val="none" w:sz="0" w:space="0" w:color="auto"/>
        <w:right w:val="none" w:sz="0" w:space="0" w:color="auto"/>
      </w:divBdr>
    </w:div>
    <w:div w:id="1786459811">
      <w:bodyDiv w:val="1"/>
      <w:marLeft w:val="0"/>
      <w:marRight w:val="0"/>
      <w:marTop w:val="0"/>
      <w:marBottom w:val="0"/>
      <w:divBdr>
        <w:top w:val="none" w:sz="0" w:space="0" w:color="auto"/>
        <w:left w:val="none" w:sz="0" w:space="0" w:color="auto"/>
        <w:bottom w:val="none" w:sz="0" w:space="0" w:color="auto"/>
        <w:right w:val="none" w:sz="0" w:space="0" w:color="auto"/>
      </w:divBdr>
    </w:div>
    <w:div w:id="1786536111">
      <w:bodyDiv w:val="1"/>
      <w:marLeft w:val="0"/>
      <w:marRight w:val="0"/>
      <w:marTop w:val="0"/>
      <w:marBottom w:val="0"/>
      <w:divBdr>
        <w:top w:val="none" w:sz="0" w:space="0" w:color="auto"/>
        <w:left w:val="none" w:sz="0" w:space="0" w:color="auto"/>
        <w:bottom w:val="none" w:sz="0" w:space="0" w:color="auto"/>
        <w:right w:val="none" w:sz="0" w:space="0" w:color="auto"/>
      </w:divBdr>
    </w:div>
    <w:div w:id="1786539236">
      <w:bodyDiv w:val="1"/>
      <w:marLeft w:val="0"/>
      <w:marRight w:val="0"/>
      <w:marTop w:val="0"/>
      <w:marBottom w:val="0"/>
      <w:divBdr>
        <w:top w:val="none" w:sz="0" w:space="0" w:color="auto"/>
        <w:left w:val="none" w:sz="0" w:space="0" w:color="auto"/>
        <w:bottom w:val="none" w:sz="0" w:space="0" w:color="auto"/>
        <w:right w:val="none" w:sz="0" w:space="0" w:color="auto"/>
      </w:divBdr>
    </w:div>
    <w:div w:id="1786654501">
      <w:bodyDiv w:val="1"/>
      <w:marLeft w:val="0"/>
      <w:marRight w:val="0"/>
      <w:marTop w:val="0"/>
      <w:marBottom w:val="0"/>
      <w:divBdr>
        <w:top w:val="none" w:sz="0" w:space="0" w:color="auto"/>
        <w:left w:val="none" w:sz="0" w:space="0" w:color="auto"/>
        <w:bottom w:val="none" w:sz="0" w:space="0" w:color="auto"/>
        <w:right w:val="none" w:sz="0" w:space="0" w:color="auto"/>
      </w:divBdr>
    </w:div>
    <w:div w:id="1786843974">
      <w:bodyDiv w:val="1"/>
      <w:marLeft w:val="0"/>
      <w:marRight w:val="0"/>
      <w:marTop w:val="0"/>
      <w:marBottom w:val="0"/>
      <w:divBdr>
        <w:top w:val="none" w:sz="0" w:space="0" w:color="auto"/>
        <w:left w:val="none" w:sz="0" w:space="0" w:color="auto"/>
        <w:bottom w:val="none" w:sz="0" w:space="0" w:color="auto"/>
        <w:right w:val="none" w:sz="0" w:space="0" w:color="auto"/>
      </w:divBdr>
    </w:div>
    <w:div w:id="1786845559">
      <w:bodyDiv w:val="1"/>
      <w:marLeft w:val="0"/>
      <w:marRight w:val="0"/>
      <w:marTop w:val="0"/>
      <w:marBottom w:val="0"/>
      <w:divBdr>
        <w:top w:val="none" w:sz="0" w:space="0" w:color="auto"/>
        <w:left w:val="none" w:sz="0" w:space="0" w:color="auto"/>
        <w:bottom w:val="none" w:sz="0" w:space="0" w:color="auto"/>
        <w:right w:val="none" w:sz="0" w:space="0" w:color="auto"/>
      </w:divBdr>
    </w:div>
    <w:div w:id="1786994659">
      <w:bodyDiv w:val="1"/>
      <w:marLeft w:val="0"/>
      <w:marRight w:val="0"/>
      <w:marTop w:val="0"/>
      <w:marBottom w:val="0"/>
      <w:divBdr>
        <w:top w:val="none" w:sz="0" w:space="0" w:color="auto"/>
        <w:left w:val="none" w:sz="0" w:space="0" w:color="auto"/>
        <w:bottom w:val="none" w:sz="0" w:space="0" w:color="auto"/>
        <w:right w:val="none" w:sz="0" w:space="0" w:color="auto"/>
      </w:divBdr>
    </w:div>
    <w:div w:id="1787046045">
      <w:bodyDiv w:val="1"/>
      <w:marLeft w:val="0"/>
      <w:marRight w:val="0"/>
      <w:marTop w:val="0"/>
      <w:marBottom w:val="0"/>
      <w:divBdr>
        <w:top w:val="none" w:sz="0" w:space="0" w:color="auto"/>
        <w:left w:val="none" w:sz="0" w:space="0" w:color="auto"/>
        <w:bottom w:val="none" w:sz="0" w:space="0" w:color="auto"/>
        <w:right w:val="none" w:sz="0" w:space="0" w:color="auto"/>
      </w:divBdr>
    </w:div>
    <w:div w:id="1787118033">
      <w:bodyDiv w:val="1"/>
      <w:marLeft w:val="0"/>
      <w:marRight w:val="0"/>
      <w:marTop w:val="0"/>
      <w:marBottom w:val="0"/>
      <w:divBdr>
        <w:top w:val="none" w:sz="0" w:space="0" w:color="auto"/>
        <w:left w:val="none" w:sz="0" w:space="0" w:color="auto"/>
        <w:bottom w:val="none" w:sz="0" w:space="0" w:color="auto"/>
        <w:right w:val="none" w:sz="0" w:space="0" w:color="auto"/>
      </w:divBdr>
    </w:div>
    <w:div w:id="1787310860">
      <w:bodyDiv w:val="1"/>
      <w:marLeft w:val="0"/>
      <w:marRight w:val="0"/>
      <w:marTop w:val="0"/>
      <w:marBottom w:val="0"/>
      <w:divBdr>
        <w:top w:val="none" w:sz="0" w:space="0" w:color="auto"/>
        <w:left w:val="none" w:sz="0" w:space="0" w:color="auto"/>
        <w:bottom w:val="none" w:sz="0" w:space="0" w:color="auto"/>
        <w:right w:val="none" w:sz="0" w:space="0" w:color="auto"/>
      </w:divBdr>
    </w:div>
    <w:div w:id="1787313948">
      <w:bodyDiv w:val="1"/>
      <w:marLeft w:val="0"/>
      <w:marRight w:val="0"/>
      <w:marTop w:val="0"/>
      <w:marBottom w:val="0"/>
      <w:divBdr>
        <w:top w:val="none" w:sz="0" w:space="0" w:color="auto"/>
        <w:left w:val="none" w:sz="0" w:space="0" w:color="auto"/>
        <w:bottom w:val="none" w:sz="0" w:space="0" w:color="auto"/>
        <w:right w:val="none" w:sz="0" w:space="0" w:color="auto"/>
      </w:divBdr>
    </w:div>
    <w:div w:id="1787504767">
      <w:bodyDiv w:val="1"/>
      <w:marLeft w:val="0"/>
      <w:marRight w:val="0"/>
      <w:marTop w:val="0"/>
      <w:marBottom w:val="0"/>
      <w:divBdr>
        <w:top w:val="none" w:sz="0" w:space="0" w:color="auto"/>
        <w:left w:val="none" w:sz="0" w:space="0" w:color="auto"/>
        <w:bottom w:val="none" w:sz="0" w:space="0" w:color="auto"/>
        <w:right w:val="none" w:sz="0" w:space="0" w:color="auto"/>
      </w:divBdr>
    </w:div>
    <w:div w:id="1787508256">
      <w:bodyDiv w:val="1"/>
      <w:marLeft w:val="0"/>
      <w:marRight w:val="0"/>
      <w:marTop w:val="0"/>
      <w:marBottom w:val="0"/>
      <w:divBdr>
        <w:top w:val="none" w:sz="0" w:space="0" w:color="auto"/>
        <w:left w:val="none" w:sz="0" w:space="0" w:color="auto"/>
        <w:bottom w:val="none" w:sz="0" w:space="0" w:color="auto"/>
        <w:right w:val="none" w:sz="0" w:space="0" w:color="auto"/>
      </w:divBdr>
    </w:div>
    <w:div w:id="1787578311">
      <w:bodyDiv w:val="1"/>
      <w:marLeft w:val="0"/>
      <w:marRight w:val="0"/>
      <w:marTop w:val="0"/>
      <w:marBottom w:val="0"/>
      <w:divBdr>
        <w:top w:val="none" w:sz="0" w:space="0" w:color="auto"/>
        <w:left w:val="none" w:sz="0" w:space="0" w:color="auto"/>
        <w:bottom w:val="none" w:sz="0" w:space="0" w:color="auto"/>
        <w:right w:val="none" w:sz="0" w:space="0" w:color="auto"/>
      </w:divBdr>
    </w:div>
    <w:div w:id="1787579379">
      <w:bodyDiv w:val="1"/>
      <w:marLeft w:val="0"/>
      <w:marRight w:val="0"/>
      <w:marTop w:val="0"/>
      <w:marBottom w:val="0"/>
      <w:divBdr>
        <w:top w:val="none" w:sz="0" w:space="0" w:color="auto"/>
        <w:left w:val="none" w:sz="0" w:space="0" w:color="auto"/>
        <w:bottom w:val="none" w:sz="0" w:space="0" w:color="auto"/>
        <w:right w:val="none" w:sz="0" w:space="0" w:color="auto"/>
      </w:divBdr>
    </w:div>
    <w:div w:id="1787580780">
      <w:bodyDiv w:val="1"/>
      <w:marLeft w:val="0"/>
      <w:marRight w:val="0"/>
      <w:marTop w:val="0"/>
      <w:marBottom w:val="0"/>
      <w:divBdr>
        <w:top w:val="none" w:sz="0" w:space="0" w:color="auto"/>
        <w:left w:val="none" w:sz="0" w:space="0" w:color="auto"/>
        <w:bottom w:val="none" w:sz="0" w:space="0" w:color="auto"/>
        <w:right w:val="none" w:sz="0" w:space="0" w:color="auto"/>
      </w:divBdr>
    </w:div>
    <w:div w:id="1787651598">
      <w:bodyDiv w:val="1"/>
      <w:marLeft w:val="0"/>
      <w:marRight w:val="0"/>
      <w:marTop w:val="0"/>
      <w:marBottom w:val="0"/>
      <w:divBdr>
        <w:top w:val="none" w:sz="0" w:space="0" w:color="auto"/>
        <w:left w:val="none" w:sz="0" w:space="0" w:color="auto"/>
        <w:bottom w:val="none" w:sz="0" w:space="0" w:color="auto"/>
        <w:right w:val="none" w:sz="0" w:space="0" w:color="auto"/>
      </w:divBdr>
    </w:div>
    <w:div w:id="1787657026">
      <w:bodyDiv w:val="1"/>
      <w:marLeft w:val="0"/>
      <w:marRight w:val="0"/>
      <w:marTop w:val="0"/>
      <w:marBottom w:val="0"/>
      <w:divBdr>
        <w:top w:val="none" w:sz="0" w:space="0" w:color="auto"/>
        <w:left w:val="none" w:sz="0" w:space="0" w:color="auto"/>
        <w:bottom w:val="none" w:sz="0" w:space="0" w:color="auto"/>
        <w:right w:val="none" w:sz="0" w:space="0" w:color="auto"/>
      </w:divBdr>
    </w:div>
    <w:div w:id="1787694325">
      <w:bodyDiv w:val="1"/>
      <w:marLeft w:val="0"/>
      <w:marRight w:val="0"/>
      <w:marTop w:val="0"/>
      <w:marBottom w:val="0"/>
      <w:divBdr>
        <w:top w:val="none" w:sz="0" w:space="0" w:color="auto"/>
        <w:left w:val="none" w:sz="0" w:space="0" w:color="auto"/>
        <w:bottom w:val="none" w:sz="0" w:space="0" w:color="auto"/>
        <w:right w:val="none" w:sz="0" w:space="0" w:color="auto"/>
      </w:divBdr>
    </w:div>
    <w:div w:id="1787769535">
      <w:bodyDiv w:val="1"/>
      <w:marLeft w:val="0"/>
      <w:marRight w:val="0"/>
      <w:marTop w:val="0"/>
      <w:marBottom w:val="0"/>
      <w:divBdr>
        <w:top w:val="none" w:sz="0" w:space="0" w:color="auto"/>
        <w:left w:val="none" w:sz="0" w:space="0" w:color="auto"/>
        <w:bottom w:val="none" w:sz="0" w:space="0" w:color="auto"/>
        <w:right w:val="none" w:sz="0" w:space="0" w:color="auto"/>
      </w:divBdr>
    </w:div>
    <w:div w:id="1787965092">
      <w:bodyDiv w:val="1"/>
      <w:marLeft w:val="0"/>
      <w:marRight w:val="0"/>
      <w:marTop w:val="0"/>
      <w:marBottom w:val="0"/>
      <w:divBdr>
        <w:top w:val="none" w:sz="0" w:space="0" w:color="auto"/>
        <w:left w:val="none" w:sz="0" w:space="0" w:color="auto"/>
        <w:bottom w:val="none" w:sz="0" w:space="0" w:color="auto"/>
        <w:right w:val="none" w:sz="0" w:space="0" w:color="auto"/>
      </w:divBdr>
    </w:div>
    <w:div w:id="1788036472">
      <w:bodyDiv w:val="1"/>
      <w:marLeft w:val="0"/>
      <w:marRight w:val="0"/>
      <w:marTop w:val="0"/>
      <w:marBottom w:val="0"/>
      <w:divBdr>
        <w:top w:val="none" w:sz="0" w:space="0" w:color="auto"/>
        <w:left w:val="none" w:sz="0" w:space="0" w:color="auto"/>
        <w:bottom w:val="none" w:sz="0" w:space="0" w:color="auto"/>
        <w:right w:val="none" w:sz="0" w:space="0" w:color="auto"/>
      </w:divBdr>
    </w:div>
    <w:div w:id="1788043044">
      <w:bodyDiv w:val="1"/>
      <w:marLeft w:val="0"/>
      <w:marRight w:val="0"/>
      <w:marTop w:val="0"/>
      <w:marBottom w:val="0"/>
      <w:divBdr>
        <w:top w:val="none" w:sz="0" w:space="0" w:color="auto"/>
        <w:left w:val="none" w:sz="0" w:space="0" w:color="auto"/>
        <w:bottom w:val="none" w:sz="0" w:space="0" w:color="auto"/>
        <w:right w:val="none" w:sz="0" w:space="0" w:color="auto"/>
      </w:divBdr>
    </w:div>
    <w:div w:id="1788309117">
      <w:bodyDiv w:val="1"/>
      <w:marLeft w:val="0"/>
      <w:marRight w:val="0"/>
      <w:marTop w:val="0"/>
      <w:marBottom w:val="0"/>
      <w:divBdr>
        <w:top w:val="none" w:sz="0" w:space="0" w:color="auto"/>
        <w:left w:val="none" w:sz="0" w:space="0" w:color="auto"/>
        <w:bottom w:val="none" w:sz="0" w:space="0" w:color="auto"/>
        <w:right w:val="none" w:sz="0" w:space="0" w:color="auto"/>
      </w:divBdr>
    </w:div>
    <w:div w:id="1788506841">
      <w:bodyDiv w:val="1"/>
      <w:marLeft w:val="0"/>
      <w:marRight w:val="0"/>
      <w:marTop w:val="0"/>
      <w:marBottom w:val="0"/>
      <w:divBdr>
        <w:top w:val="none" w:sz="0" w:space="0" w:color="auto"/>
        <w:left w:val="none" w:sz="0" w:space="0" w:color="auto"/>
        <w:bottom w:val="none" w:sz="0" w:space="0" w:color="auto"/>
        <w:right w:val="none" w:sz="0" w:space="0" w:color="auto"/>
      </w:divBdr>
    </w:div>
    <w:div w:id="1788507123">
      <w:bodyDiv w:val="1"/>
      <w:marLeft w:val="0"/>
      <w:marRight w:val="0"/>
      <w:marTop w:val="0"/>
      <w:marBottom w:val="0"/>
      <w:divBdr>
        <w:top w:val="none" w:sz="0" w:space="0" w:color="auto"/>
        <w:left w:val="none" w:sz="0" w:space="0" w:color="auto"/>
        <w:bottom w:val="none" w:sz="0" w:space="0" w:color="auto"/>
        <w:right w:val="none" w:sz="0" w:space="0" w:color="auto"/>
      </w:divBdr>
    </w:div>
    <w:div w:id="1788619715">
      <w:bodyDiv w:val="1"/>
      <w:marLeft w:val="0"/>
      <w:marRight w:val="0"/>
      <w:marTop w:val="0"/>
      <w:marBottom w:val="0"/>
      <w:divBdr>
        <w:top w:val="none" w:sz="0" w:space="0" w:color="auto"/>
        <w:left w:val="none" w:sz="0" w:space="0" w:color="auto"/>
        <w:bottom w:val="none" w:sz="0" w:space="0" w:color="auto"/>
        <w:right w:val="none" w:sz="0" w:space="0" w:color="auto"/>
      </w:divBdr>
    </w:div>
    <w:div w:id="1788623215">
      <w:bodyDiv w:val="1"/>
      <w:marLeft w:val="0"/>
      <w:marRight w:val="0"/>
      <w:marTop w:val="0"/>
      <w:marBottom w:val="0"/>
      <w:divBdr>
        <w:top w:val="none" w:sz="0" w:space="0" w:color="auto"/>
        <w:left w:val="none" w:sz="0" w:space="0" w:color="auto"/>
        <w:bottom w:val="none" w:sz="0" w:space="0" w:color="auto"/>
        <w:right w:val="none" w:sz="0" w:space="0" w:color="auto"/>
      </w:divBdr>
    </w:div>
    <w:div w:id="1788767550">
      <w:bodyDiv w:val="1"/>
      <w:marLeft w:val="0"/>
      <w:marRight w:val="0"/>
      <w:marTop w:val="0"/>
      <w:marBottom w:val="0"/>
      <w:divBdr>
        <w:top w:val="none" w:sz="0" w:space="0" w:color="auto"/>
        <w:left w:val="none" w:sz="0" w:space="0" w:color="auto"/>
        <w:bottom w:val="none" w:sz="0" w:space="0" w:color="auto"/>
        <w:right w:val="none" w:sz="0" w:space="0" w:color="auto"/>
      </w:divBdr>
    </w:div>
    <w:div w:id="1788812284">
      <w:bodyDiv w:val="1"/>
      <w:marLeft w:val="0"/>
      <w:marRight w:val="0"/>
      <w:marTop w:val="0"/>
      <w:marBottom w:val="0"/>
      <w:divBdr>
        <w:top w:val="none" w:sz="0" w:space="0" w:color="auto"/>
        <w:left w:val="none" w:sz="0" w:space="0" w:color="auto"/>
        <w:bottom w:val="none" w:sz="0" w:space="0" w:color="auto"/>
        <w:right w:val="none" w:sz="0" w:space="0" w:color="auto"/>
      </w:divBdr>
    </w:div>
    <w:div w:id="1788893887">
      <w:bodyDiv w:val="1"/>
      <w:marLeft w:val="0"/>
      <w:marRight w:val="0"/>
      <w:marTop w:val="0"/>
      <w:marBottom w:val="0"/>
      <w:divBdr>
        <w:top w:val="none" w:sz="0" w:space="0" w:color="auto"/>
        <w:left w:val="none" w:sz="0" w:space="0" w:color="auto"/>
        <w:bottom w:val="none" w:sz="0" w:space="0" w:color="auto"/>
        <w:right w:val="none" w:sz="0" w:space="0" w:color="auto"/>
      </w:divBdr>
    </w:div>
    <w:div w:id="1788893939">
      <w:bodyDiv w:val="1"/>
      <w:marLeft w:val="0"/>
      <w:marRight w:val="0"/>
      <w:marTop w:val="0"/>
      <w:marBottom w:val="0"/>
      <w:divBdr>
        <w:top w:val="none" w:sz="0" w:space="0" w:color="auto"/>
        <w:left w:val="none" w:sz="0" w:space="0" w:color="auto"/>
        <w:bottom w:val="none" w:sz="0" w:space="0" w:color="auto"/>
        <w:right w:val="none" w:sz="0" w:space="0" w:color="auto"/>
      </w:divBdr>
    </w:div>
    <w:div w:id="1788962023">
      <w:bodyDiv w:val="1"/>
      <w:marLeft w:val="0"/>
      <w:marRight w:val="0"/>
      <w:marTop w:val="0"/>
      <w:marBottom w:val="0"/>
      <w:divBdr>
        <w:top w:val="none" w:sz="0" w:space="0" w:color="auto"/>
        <w:left w:val="none" w:sz="0" w:space="0" w:color="auto"/>
        <w:bottom w:val="none" w:sz="0" w:space="0" w:color="auto"/>
        <w:right w:val="none" w:sz="0" w:space="0" w:color="auto"/>
      </w:divBdr>
    </w:div>
    <w:div w:id="1788962859">
      <w:bodyDiv w:val="1"/>
      <w:marLeft w:val="0"/>
      <w:marRight w:val="0"/>
      <w:marTop w:val="0"/>
      <w:marBottom w:val="0"/>
      <w:divBdr>
        <w:top w:val="none" w:sz="0" w:space="0" w:color="auto"/>
        <w:left w:val="none" w:sz="0" w:space="0" w:color="auto"/>
        <w:bottom w:val="none" w:sz="0" w:space="0" w:color="auto"/>
        <w:right w:val="none" w:sz="0" w:space="0" w:color="auto"/>
      </w:divBdr>
    </w:div>
    <w:div w:id="1788967023">
      <w:bodyDiv w:val="1"/>
      <w:marLeft w:val="0"/>
      <w:marRight w:val="0"/>
      <w:marTop w:val="0"/>
      <w:marBottom w:val="0"/>
      <w:divBdr>
        <w:top w:val="none" w:sz="0" w:space="0" w:color="auto"/>
        <w:left w:val="none" w:sz="0" w:space="0" w:color="auto"/>
        <w:bottom w:val="none" w:sz="0" w:space="0" w:color="auto"/>
        <w:right w:val="none" w:sz="0" w:space="0" w:color="auto"/>
      </w:divBdr>
    </w:div>
    <w:div w:id="1789078510">
      <w:bodyDiv w:val="1"/>
      <w:marLeft w:val="0"/>
      <w:marRight w:val="0"/>
      <w:marTop w:val="0"/>
      <w:marBottom w:val="0"/>
      <w:divBdr>
        <w:top w:val="none" w:sz="0" w:space="0" w:color="auto"/>
        <w:left w:val="none" w:sz="0" w:space="0" w:color="auto"/>
        <w:bottom w:val="none" w:sz="0" w:space="0" w:color="auto"/>
        <w:right w:val="none" w:sz="0" w:space="0" w:color="auto"/>
      </w:divBdr>
    </w:div>
    <w:div w:id="1789079251">
      <w:bodyDiv w:val="1"/>
      <w:marLeft w:val="0"/>
      <w:marRight w:val="0"/>
      <w:marTop w:val="0"/>
      <w:marBottom w:val="0"/>
      <w:divBdr>
        <w:top w:val="none" w:sz="0" w:space="0" w:color="auto"/>
        <w:left w:val="none" w:sz="0" w:space="0" w:color="auto"/>
        <w:bottom w:val="none" w:sz="0" w:space="0" w:color="auto"/>
        <w:right w:val="none" w:sz="0" w:space="0" w:color="auto"/>
      </w:divBdr>
    </w:div>
    <w:div w:id="1789087665">
      <w:bodyDiv w:val="1"/>
      <w:marLeft w:val="0"/>
      <w:marRight w:val="0"/>
      <w:marTop w:val="0"/>
      <w:marBottom w:val="0"/>
      <w:divBdr>
        <w:top w:val="none" w:sz="0" w:space="0" w:color="auto"/>
        <w:left w:val="none" w:sz="0" w:space="0" w:color="auto"/>
        <w:bottom w:val="none" w:sz="0" w:space="0" w:color="auto"/>
        <w:right w:val="none" w:sz="0" w:space="0" w:color="auto"/>
      </w:divBdr>
    </w:div>
    <w:div w:id="1789155339">
      <w:bodyDiv w:val="1"/>
      <w:marLeft w:val="0"/>
      <w:marRight w:val="0"/>
      <w:marTop w:val="0"/>
      <w:marBottom w:val="0"/>
      <w:divBdr>
        <w:top w:val="none" w:sz="0" w:space="0" w:color="auto"/>
        <w:left w:val="none" w:sz="0" w:space="0" w:color="auto"/>
        <w:bottom w:val="none" w:sz="0" w:space="0" w:color="auto"/>
        <w:right w:val="none" w:sz="0" w:space="0" w:color="auto"/>
      </w:divBdr>
    </w:div>
    <w:div w:id="1789160712">
      <w:bodyDiv w:val="1"/>
      <w:marLeft w:val="0"/>
      <w:marRight w:val="0"/>
      <w:marTop w:val="0"/>
      <w:marBottom w:val="0"/>
      <w:divBdr>
        <w:top w:val="none" w:sz="0" w:space="0" w:color="auto"/>
        <w:left w:val="none" w:sz="0" w:space="0" w:color="auto"/>
        <w:bottom w:val="none" w:sz="0" w:space="0" w:color="auto"/>
        <w:right w:val="none" w:sz="0" w:space="0" w:color="auto"/>
      </w:divBdr>
    </w:div>
    <w:div w:id="1789274620">
      <w:bodyDiv w:val="1"/>
      <w:marLeft w:val="0"/>
      <w:marRight w:val="0"/>
      <w:marTop w:val="0"/>
      <w:marBottom w:val="0"/>
      <w:divBdr>
        <w:top w:val="none" w:sz="0" w:space="0" w:color="auto"/>
        <w:left w:val="none" w:sz="0" w:space="0" w:color="auto"/>
        <w:bottom w:val="none" w:sz="0" w:space="0" w:color="auto"/>
        <w:right w:val="none" w:sz="0" w:space="0" w:color="auto"/>
      </w:divBdr>
    </w:div>
    <w:div w:id="1789355195">
      <w:bodyDiv w:val="1"/>
      <w:marLeft w:val="0"/>
      <w:marRight w:val="0"/>
      <w:marTop w:val="0"/>
      <w:marBottom w:val="0"/>
      <w:divBdr>
        <w:top w:val="none" w:sz="0" w:space="0" w:color="auto"/>
        <w:left w:val="none" w:sz="0" w:space="0" w:color="auto"/>
        <w:bottom w:val="none" w:sz="0" w:space="0" w:color="auto"/>
        <w:right w:val="none" w:sz="0" w:space="0" w:color="auto"/>
      </w:divBdr>
    </w:div>
    <w:div w:id="1789425635">
      <w:bodyDiv w:val="1"/>
      <w:marLeft w:val="0"/>
      <w:marRight w:val="0"/>
      <w:marTop w:val="0"/>
      <w:marBottom w:val="0"/>
      <w:divBdr>
        <w:top w:val="none" w:sz="0" w:space="0" w:color="auto"/>
        <w:left w:val="none" w:sz="0" w:space="0" w:color="auto"/>
        <w:bottom w:val="none" w:sz="0" w:space="0" w:color="auto"/>
        <w:right w:val="none" w:sz="0" w:space="0" w:color="auto"/>
      </w:divBdr>
    </w:div>
    <w:div w:id="1789464759">
      <w:bodyDiv w:val="1"/>
      <w:marLeft w:val="0"/>
      <w:marRight w:val="0"/>
      <w:marTop w:val="0"/>
      <w:marBottom w:val="0"/>
      <w:divBdr>
        <w:top w:val="none" w:sz="0" w:space="0" w:color="auto"/>
        <w:left w:val="none" w:sz="0" w:space="0" w:color="auto"/>
        <w:bottom w:val="none" w:sz="0" w:space="0" w:color="auto"/>
        <w:right w:val="none" w:sz="0" w:space="0" w:color="auto"/>
      </w:divBdr>
    </w:div>
    <w:div w:id="1789471727">
      <w:bodyDiv w:val="1"/>
      <w:marLeft w:val="0"/>
      <w:marRight w:val="0"/>
      <w:marTop w:val="0"/>
      <w:marBottom w:val="0"/>
      <w:divBdr>
        <w:top w:val="none" w:sz="0" w:space="0" w:color="auto"/>
        <w:left w:val="none" w:sz="0" w:space="0" w:color="auto"/>
        <w:bottom w:val="none" w:sz="0" w:space="0" w:color="auto"/>
        <w:right w:val="none" w:sz="0" w:space="0" w:color="auto"/>
      </w:divBdr>
    </w:div>
    <w:div w:id="1789546976">
      <w:bodyDiv w:val="1"/>
      <w:marLeft w:val="0"/>
      <w:marRight w:val="0"/>
      <w:marTop w:val="0"/>
      <w:marBottom w:val="0"/>
      <w:divBdr>
        <w:top w:val="none" w:sz="0" w:space="0" w:color="auto"/>
        <w:left w:val="none" w:sz="0" w:space="0" w:color="auto"/>
        <w:bottom w:val="none" w:sz="0" w:space="0" w:color="auto"/>
        <w:right w:val="none" w:sz="0" w:space="0" w:color="auto"/>
      </w:divBdr>
    </w:div>
    <w:div w:id="1789592395">
      <w:bodyDiv w:val="1"/>
      <w:marLeft w:val="0"/>
      <w:marRight w:val="0"/>
      <w:marTop w:val="0"/>
      <w:marBottom w:val="0"/>
      <w:divBdr>
        <w:top w:val="none" w:sz="0" w:space="0" w:color="auto"/>
        <w:left w:val="none" w:sz="0" w:space="0" w:color="auto"/>
        <w:bottom w:val="none" w:sz="0" w:space="0" w:color="auto"/>
        <w:right w:val="none" w:sz="0" w:space="0" w:color="auto"/>
      </w:divBdr>
    </w:div>
    <w:div w:id="1789620506">
      <w:bodyDiv w:val="1"/>
      <w:marLeft w:val="0"/>
      <w:marRight w:val="0"/>
      <w:marTop w:val="0"/>
      <w:marBottom w:val="0"/>
      <w:divBdr>
        <w:top w:val="none" w:sz="0" w:space="0" w:color="auto"/>
        <w:left w:val="none" w:sz="0" w:space="0" w:color="auto"/>
        <w:bottom w:val="none" w:sz="0" w:space="0" w:color="auto"/>
        <w:right w:val="none" w:sz="0" w:space="0" w:color="auto"/>
      </w:divBdr>
    </w:div>
    <w:div w:id="1789621854">
      <w:bodyDiv w:val="1"/>
      <w:marLeft w:val="0"/>
      <w:marRight w:val="0"/>
      <w:marTop w:val="0"/>
      <w:marBottom w:val="0"/>
      <w:divBdr>
        <w:top w:val="none" w:sz="0" w:space="0" w:color="auto"/>
        <w:left w:val="none" w:sz="0" w:space="0" w:color="auto"/>
        <w:bottom w:val="none" w:sz="0" w:space="0" w:color="auto"/>
        <w:right w:val="none" w:sz="0" w:space="0" w:color="auto"/>
      </w:divBdr>
    </w:div>
    <w:div w:id="1789659391">
      <w:bodyDiv w:val="1"/>
      <w:marLeft w:val="0"/>
      <w:marRight w:val="0"/>
      <w:marTop w:val="0"/>
      <w:marBottom w:val="0"/>
      <w:divBdr>
        <w:top w:val="none" w:sz="0" w:space="0" w:color="auto"/>
        <w:left w:val="none" w:sz="0" w:space="0" w:color="auto"/>
        <w:bottom w:val="none" w:sz="0" w:space="0" w:color="auto"/>
        <w:right w:val="none" w:sz="0" w:space="0" w:color="auto"/>
      </w:divBdr>
    </w:div>
    <w:div w:id="1789667481">
      <w:bodyDiv w:val="1"/>
      <w:marLeft w:val="0"/>
      <w:marRight w:val="0"/>
      <w:marTop w:val="0"/>
      <w:marBottom w:val="0"/>
      <w:divBdr>
        <w:top w:val="none" w:sz="0" w:space="0" w:color="auto"/>
        <w:left w:val="none" w:sz="0" w:space="0" w:color="auto"/>
        <w:bottom w:val="none" w:sz="0" w:space="0" w:color="auto"/>
        <w:right w:val="none" w:sz="0" w:space="0" w:color="auto"/>
      </w:divBdr>
    </w:div>
    <w:div w:id="1789859957">
      <w:bodyDiv w:val="1"/>
      <w:marLeft w:val="0"/>
      <w:marRight w:val="0"/>
      <w:marTop w:val="0"/>
      <w:marBottom w:val="0"/>
      <w:divBdr>
        <w:top w:val="none" w:sz="0" w:space="0" w:color="auto"/>
        <w:left w:val="none" w:sz="0" w:space="0" w:color="auto"/>
        <w:bottom w:val="none" w:sz="0" w:space="0" w:color="auto"/>
        <w:right w:val="none" w:sz="0" w:space="0" w:color="auto"/>
      </w:divBdr>
    </w:div>
    <w:div w:id="1789935769">
      <w:bodyDiv w:val="1"/>
      <w:marLeft w:val="0"/>
      <w:marRight w:val="0"/>
      <w:marTop w:val="0"/>
      <w:marBottom w:val="0"/>
      <w:divBdr>
        <w:top w:val="none" w:sz="0" w:space="0" w:color="auto"/>
        <w:left w:val="none" w:sz="0" w:space="0" w:color="auto"/>
        <w:bottom w:val="none" w:sz="0" w:space="0" w:color="auto"/>
        <w:right w:val="none" w:sz="0" w:space="0" w:color="auto"/>
      </w:divBdr>
    </w:div>
    <w:div w:id="1790081964">
      <w:bodyDiv w:val="1"/>
      <w:marLeft w:val="0"/>
      <w:marRight w:val="0"/>
      <w:marTop w:val="0"/>
      <w:marBottom w:val="0"/>
      <w:divBdr>
        <w:top w:val="none" w:sz="0" w:space="0" w:color="auto"/>
        <w:left w:val="none" w:sz="0" w:space="0" w:color="auto"/>
        <w:bottom w:val="none" w:sz="0" w:space="0" w:color="auto"/>
        <w:right w:val="none" w:sz="0" w:space="0" w:color="auto"/>
      </w:divBdr>
    </w:div>
    <w:div w:id="1790120417">
      <w:bodyDiv w:val="1"/>
      <w:marLeft w:val="0"/>
      <w:marRight w:val="0"/>
      <w:marTop w:val="0"/>
      <w:marBottom w:val="0"/>
      <w:divBdr>
        <w:top w:val="none" w:sz="0" w:space="0" w:color="auto"/>
        <w:left w:val="none" w:sz="0" w:space="0" w:color="auto"/>
        <w:bottom w:val="none" w:sz="0" w:space="0" w:color="auto"/>
        <w:right w:val="none" w:sz="0" w:space="0" w:color="auto"/>
      </w:divBdr>
    </w:div>
    <w:div w:id="1790128603">
      <w:bodyDiv w:val="1"/>
      <w:marLeft w:val="0"/>
      <w:marRight w:val="0"/>
      <w:marTop w:val="0"/>
      <w:marBottom w:val="0"/>
      <w:divBdr>
        <w:top w:val="none" w:sz="0" w:space="0" w:color="auto"/>
        <w:left w:val="none" w:sz="0" w:space="0" w:color="auto"/>
        <w:bottom w:val="none" w:sz="0" w:space="0" w:color="auto"/>
        <w:right w:val="none" w:sz="0" w:space="0" w:color="auto"/>
      </w:divBdr>
    </w:div>
    <w:div w:id="1790128672">
      <w:bodyDiv w:val="1"/>
      <w:marLeft w:val="0"/>
      <w:marRight w:val="0"/>
      <w:marTop w:val="0"/>
      <w:marBottom w:val="0"/>
      <w:divBdr>
        <w:top w:val="none" w:sz="0" w:space="0" w:color="auto"/>
        <w:left w:val="none" w:sz="0" w:space="0" w:color="auto"/>
        <w:bottom w:val="none" w:sz="0" w:space="0" w:color="auto"/>
        <w:right w:val="none" w:sz="0" w:space="0" w:color="auto"/>
      </w:divBdr>
    </w:div>
    <w:div w:id="1790129021">
      <w:bodyDiv w:val="1"/>
      <w:marLeft w:val="0"/>
      <w:marRight w:val="0"/>
      <w:marTop w:val="0"/>
      <w:marBottom w:val="0"/>
      <w:divBdr>
        <w:top w:val="none" w:sz="0" w:space="0" w:color="auto"/>
        <w:left w:val="none" w:sz="0" w:space="0" w:color="auto"/>
        <w:bottom w:val="none" w:sz="0" w:space="0" w:color="auto"/>
        <w:right w:val="none" w:sz="0" w:space="0" w:color="auto"/>
      </w:divBdr>
    </w:div>
    <w:div w:id="1790389060">
      <w:bodyDiv w:val="1"/>
      <w:marLeft w:val="0"/>
      <w:marRight w:val="0"/>
      <w:marTop w:val="0"/>
      <w:marBottom w:val="0"/>
      <w:divBdr>
        <w:top w:val="none" w:sz="0" w:space="0" w:color="auto"/>
        <w:left w:val="none" w:sz="0" w:space="0" w:color="auto"/>
        <w:bottom w:val="none" w:sz="0" w:space="0" w:color="auto"/>
        <w:right w:val="none" w:sz="0" w:space="0" w:color="auto"/>
      </w:divBdr>
    </w:div>
    <w:div w:id="1790395994">
      <w:bodyDiv w:val="1"/>
      <w:marLeft w:val="0"/>
      <w:marRight w:val="0"/>
      <w:marTop w:val="0"/>
      <w:marBottom w:val="0"/>
      <w:divBdr>
        <w:top w:val="none" w:sz="0" w:space="0" w:color="auto"/>
        <w:left w:val="none" w:sz="0" w:space="0" w:color="auto"/>
        <w:bottom w:val="none" w:sz="0" w:space="0" w:color="auto"/>
        <w:right w:val="none" w:sz="0" w:space="0" w:color="auto"/>
      </w:divBdr>
    </w:div>
    <w:div w:id="1790470692">
      <w:bodyDiv w:val="1"/>
      <w:marLeft w:val="0"/>
      <w:marRight w:val="0"/>
      <w:marTop w:val="0"/>
      <w:marBottom w:val="0"/>
      <w:divBdr>
        <w:top w:val="none" w:sz="0" w:space="0" w:color="auto"/>
        <w:left w:val="none" w:sz="0" w:space="0" w:color="auto"/>
        <w:bottom w:val="none" w:sz="0" w:space="0" w:color="auto"/>
        <w:right w:val="none" w:sz="0" w:space="0" w:color="auto"/>
      </w:divBdr>
    </w:div>
    <w:div w:id="1790736063">
      <w:bodyDiv w:val="1"/>
      <w:marLeft w:val="0"/>
      <w:marRight w:val="0"/>
      <w:marTop w:val="0"/>
      <w:marBottom w:val="0"/>
      <w:divBdr>
        <w:top w:val="none" w:sz="0" w:space="0" w:color="auto"/>
        <w:left w:val="none" w:sz="0" w:space="0" w:color="auto"/>
        <w:bottom w:val="none" w:sz="0" w:space="0" w:color="auto"/>
        <w:right w:val="none" w:sz="0" w:space="0" w:color="auto"/>
      </w:divBdr>
    </w:div>
    <w:div w:id="1790860099">
      <w:bodyDiv w:val="1"/>
      <w:marLeft w:val="0"/>
      <w:marRight w:val="0"/>
      <w:marTop w:val="0"/>
      <w:marBottom w:val="0"/>
      <w:divBdr>
        <w:top w:val="none" w:sz="0" w:space="0" w:color="auto"/>
        <w:left w:val="none" w:sz="0" w:space="0" w:color="auto"/>
        <w:bottom w:val="none" w:sz="0" w:space="0" w:color="auto"/>
        <w:right w:val="none" w:sz="0" w:space="0" w:color="auto"/>
      </w:divBdr>
    </w:div>
    <w:div w:id="1790932875">
      <w:bodyDiv w:val="1"/>
      <w:marLeft w:val="0"/>
      <w:marRight w:val="0"/>
      <w:marTop w:val="0"/>
      <w:marBottom w:val="0"/>
      <w:divBdr>
        <w:top w:val="none" w:sz="0" w:space="0" w:color="auto"/>
        <w:left w:val="none" w:sz="0" w:space="0" w:color="auto"/>
        <w:bottom w:val="none" w:sz="0" w:space="0" w:color="auto"/>
        <w:right w:val="none" w:sz="0" w:space="0" w:color="auto"/>
      </w:divBdr>
    </w:div>
    <w:div w:id="1790975386">
      <w:bodyDiv w:val="1"/>
      <w:marLeft w:val="0"/>
      <w:marRight w:val="0"/>
      <w:marTop w:val="0"/>
      <w:marBottom w:val="0"/>
      <w:divBdr>
        <w:top w:val="none" w:sz="0" w:space="0" w:color="auto"/>
        <w:left w:val="none" w:sz="0" w:space="0" w:color="auto"/>
        <w:bottom w:val="none" w:sz="0" w:space="0" w:color="auto"/>
        <w:right w:val="none" w:sz="0" w:space="0" w:color="auto"/>
      </w:divBdr>
    </w:div>
    <w:div w:id="1791049098">
      <w:bodyDiv w:val="1"/>
      <w:marLeft w:val="0"/>
      <w:marRight w:val="0"/>
      <w:marTop w:val="0"/>
      <w:marBottom w:val="0"/>
      <w:divBdr>
        <w:top w:val="none" w:sz="0" w:space="0" w:color="auto"/>
        <w:left w:val="none" w:sz="0" w:space="0" w:color="auto"/>
        <w:bottom w:val="none" w:sz="0" w:space="0" w:color="auto"/>
        <w:right w:val="none" w:sz="0" w:space="0" w:color="auto"/>
      </w:divBdr>
    </w:div>
    <w:div w:id="1791052277">
      <w:bodyDiv w:val="1"/>
      <w:marLeft w:val="0"/>
      <w:marRight w:val="0"/>
      <w:marTop w:val="0"/>
      <w:marBottom w:val="0"/>
      <w:divBdr>
        <w:top w:val="none" w:sz="0" w:space="0" w:color="auto"/>
        <w:left w:val="none" w:sz="0" w:space="0" w:color="auto"/>
        <w:bottom w:val="none" w:sz="0" w:space="0" w:color="auto"/>
        <w:right w:val="none" w:sz="0" w:space="0" w:color="auto"/>
      </w:divBdr>
    </w:div>
    <w:div w:id="1791313444">
      <w:bodyDiv w:val="1"/>
      <w:marLeft w:val="0"/>
      <w:marRight w:val="0"/>
      <w:marTop w:val="0"/>
      <w:marBottom w:val="0"/>
      <w:divBdr>
        <w:top w:val="none" w:sz="0" w:space="0" w:color="auto"/>
        <w:left w:val="none" w:sz="0" w:space="0" w:color="auto"/>
        <w:bottom w:val="none" w:sz="0" w:space="0" w:color="auto"/>
        <w:right w:val="none" w:sz="0" w:space="0" w:color="auto"/>
      </w:divBdr>
    </w:div>
    <w:div w:id="1791388133">
      <w:bodyDiv w:val="1"/>
      <w:marLeft w:val="0"/>
      <w:marRight w:val="0"/>
      <w:marTop w:val="0"/>
      <w:marBottom w:val="0"/>
      <w:divBdr>
        <w:top w:val="none" w:sz="0" w:space="0" w:color="auto"/>
        <w:left w:val="none" w:sz="0" w:space="0" w:color="auto"/>
        <w:bottom w:val="none" w:sz="0" w:space="0" w:color="auto"/>
        <w:right w:val="none" w:sz="0" w:space="0" w:color="auto"/>
      </w:divBdr>
    </w:div>
    <w:div w:id="1791586516">
      <w:bodyDiv w:val="1"/>
      <w:marLeft w:val="0"/>
      <w:marRight w:val="0"/>
      <w:marTop w:val="0"/>
      <w:marBottom w:val="0"/>
      <w:divBdr>
        <w:top w:val="none" w:sz="0" w:space="0" w:color="auto"/>
        <w:left w:val="none" w:sz="0" w:space="0" w:color="auto"/>
        <w:bottom w:val="none" w:sz="0" w:space="0" w:color="auto"/>
        <w:right w:val="none" w:sz="0" w:space="0" w:color="auto"/>
      </w:divBdr>
    </w:div>
    <w:div w:id="1791705922">
      <w:bodyDiv w:val="1"/>
      <w:marLeft w:val="0"/>
      <w:marRight w:val="0"/>
      <w:marTop w:val="0"/>
      <w:marBottom w:val="0"/>
      <w:divBdr>
        <w:top w:val="none" w:sz="0" w:space="0" w:color="auto"/>
        <w:left w:val="none" w:sz="0" w:space="0" w:color="auto"/>
        <w:bottom w:val="none" w:sz="0" w:space="0" w:color="auto"/>
        <w:right w:val="none" w:sz="0" w:space="0" w:color="auto"/>
      </w:divBdr>
    </w:div>
    <w:div w:id="1791774628">
      <w:bodyDiv w:val="1"/>
      <w:marLeft w:val="0"/>
      <w:marRight w:val="0"/>
      <w:marTop w:val="0"/>
      <w:marBottom w:val="0"/>
      <w:divBdr>
        <w:top w:val="none" w:sz="0" w:space="0" w:color="auto"/>
        <w:left w:val="none" w:sz="0" w:space="0" w:color="auto"/>
        <w:bottom w:val="none" w:sz="0" w:space="0" w:color="auto"/>
        <w:right w:val="none" w:sz="0" w:space="0" w:color="auto"/>
      </w:divBdr>
    </w:div>
    <w:div w:id="1791779266">
      <w:bodyDiv w:val="1"/>
      <w:marLeft w:val="0"/>
      <w:marRight w:val="0"/>
      <w:marTop w:val="0"/>
      <w:marBottom w:val="0"/>
      <w:divBdr>
        <w:top w:val="none" w:sz="0" w:space="0" w:color="auto"/>
        <w:left w:val="none" w:sz="0" w:space="0" w:color="auto"/>
        <w:bottom w:val="none" w:sz="0" w:space="0" w:color="auto"/>
        <w:right w:val="none" w:sz="0" w:space="0" w:color="auto"/>
      </w:divBdr>
    </w:div>
    <w:div w:id="1791820464">
      <w:bodyDiv w:val="1"/>
      <w:marLeft w:val="0"/>
      <w:marRight w:val="0"/>
      <w:marTop w:val="0"/>
      <w:marBottom w:val="0"/>
      <w:divBdr>
        <w:top w:val="none" w:sz="0" w:space="0" w:color="auto"/>
        <w:left w:val="none" w:sz="0" w:space="0" w:color="auto"/>
        <w:bottom w:val="none" w:sz="0" w:space="0" w:color="auto"/>
        <w:right w:val="none" w:sz="0" w:space="0" w:color="auto"/>
      </w:divBdr>
    </w:div>
    <w:div w:id="1791821175">
      <w:bodyDiv w:val="1"/>
      <w:marLeft w:val="0"/>
      <w:marRight w:val="0"/>
      <w:marTop w:val="0"/>
      <w:marBottom w:val="0"/>
      <w:divBdr>
        <w:top w:val="none" w:sz="0" w:space="0" w:color="auto"/>
        <w:left w:val="none" w:sz="0" w:space="0" w:color="auto"/>
        <w:bottom w:val="none" w:sz="0" w:space="0" w:color="auto"/>
        <w:right w:val="none" w:sz="0" w:space="0" w:color="auto"/>
      </w:divBdr>
    </w:div>
    <w:div w:id="1791823952">
      <w:bodyDiv w:val="1"/>
      <w:marLeft w:val="0"/>
      <w:marRight w:val="0"/>
      <w:marTop w:val="0"/>
      <w:marBottom w:val="0"/>
      <w:divBdr>
        <w:top w:val="none" w:sz="0" w:space="0" w:color="auto"/>
        <w:left w:val="none" w:sz="0" w:space="0" w:color="auto"/>
        <w:bottom w:val="none" w:sz="0" w:space="0" w:color="auto"/>
        <w:right w:val="none" w:sz="0" w:space="0" w:color="auto"/>
      </w:divBdr>
    </w:div>
    <w:div w:id="1791825133">
      <w:bodyDiv w:val="1"/>
      <w:marLeft w:val="0"/>
      <w:marRight w:val="0"/>
      <w:marTop w:val="0"/>
      <w:marBottom w:val="0"/>
      <w:divBdr>
        <w:top w:val="none" w:sz="0" w:space="0" w:color="auto"/>
        <w:left w:val="none" w:sz="0" w:space="0" w:color="auto"/>
        <w:bottom w:val="none" w:sz="0" w:space="0" w:color="auto"/>
        <w:right w:val="none" w:sz="0" w:space="0" w:color="auto"/>
      </w:divBdr>
    </w:div>
    <w:div w:id="1791969416">
      <w:bodyDiv w:val="1"/>
      <w:marLeft w:val="0"/>
      <w:marRight w:val="0"/>
      <w:marTop w:val="0"/>
      <w:marBottom w:val="0"/>
      <w:divBdr>
        <w:top w:val="none" w:sz="0" w:space="0" w:color="auto"/>
        <w:left w:val="none" w:sz="0" w:space="0" w:color="auto"/>
        <w:bottom w:val="none" w:sz="0" w:space="0" w:color="auto"/>
        <w:right w:val="none" w:sz="0" w:space="0" w:color="auto"/>
      </w:divBdr>
    </w:div>
    <w:div w:id="1791973111">
      <w:bodyDiv w:val="1"/>
      <w:marLeft w:val="0"/>
      <w:marRight w:val="0"/>
      <w:marTop w:val="0"/>
      <w:marBottom w:val="0"/>
      <w:divBdr>
        <w:top w:val="none" w:sz="0" w:space="0" w:color="auto"/>
        <w:left w:val="none" w:sz="0" w:space="0" w:color="auto"/>
        <w:bottom w:val="none" w:sz="0" w:space="0" w:color="auto"/>
        <w:right w:val="none" w:sz="0" w:space="0" w:color="auto"/>
      </w:divBdr>
    </w:div>
    <w:div w:id="1792018675">
      <w:bodyDiv w:val="1"/>
      <w:marLeft w:val="0"/>
      <w:marRight w:val="0"/>
      <w:marTop w:val="0"/>
      <w:marBottom w:val="0"/>
      <w:divBdr>
        <w:top w:val="none" w:sz="0" w:space="0" w:color="auto"/>
        <w:left w:val="none" w:sz="0" w:space="0" w:color="auto"/>
        <w:bottom w:val="none" w:sz="0" w:space="0" w:color="auto"/>
        <w:right w:val="none" w:sz="0" w:space="0" w:color="auto"/>
      </w:divBdr>
    </w:div>
    <w:div w:id="1792163657">
      <w:bodyDiv w:val="1"/>
      <w:marLeft w:val="0"/>
      <w:marRight w:val="0"/>
      <w:marTop w:val="0"/>
      <w:marBottom w:val="0"/>
      <w:divBdr>
        <w:top w:val="none" w:sz="0" w:space="0" w:color="auto"/>
        <w:left w:val="none" w:sz="0" w:space="0" w:color="auto"/>
        <w:bottom w:val="none" w:sz="0" w:space="0" w:color="auto"/>
        <w:right w:val="none" w:sz="0" w:space="0" w:color="auto"/>
      </w:divBdr>
    </w:div>
    <w:div w:id="1792165623">
      <w:bodyDiv w:val="1"/>
      <w:marLeft w:val="0"/>
      <w:marRight w:val="0"/>
      <w:marTop w:val="0"/>
      <w:marBottom w:val="0"/>
      <w:divBdr>
        <w:top w:val="none" w:sz="0" w:space="0" w:color="auto"/>
        <w:left w:val="none" w:sz="0" w:space="0" w:color="auto"/>
        <w:bottom w:val="none" w:sz="0" w:space="0" w:color="auto"/>
        <w:right w:val="none" w:sz="0" w:space="0" w:color="auto"/>
      </w:divBdr>
    </w:div>
    <w:div w:id="1792243934">
      <w:bodyDiv w:val="1"/>
      <w:marLeft w:val="0"/>
      <w:marRight w:val="0"/>
      <w:marTop w:val="0"/>
      <w:marBottom w:val="0"/>
      <w:divBdr>
        <w:top w:val="none" w:sz="0" w:space="0" w:color="auto"/>
        <w:left w:val="none" w:sz="0" w:space="0" w:color="auto"/>
        <w:bottom w:val="none" w:sz="0" w:space="0" w:color="auto"/>
        <w:right w:val="none" w:sz="0" w:space="0" w:color="auto"/>
      </w:divBdr>
    </w:div>
    <w:div w:id="1792356861">
      <w:bodyDiv w:val="1"/>
      <w:marLeft w:val="0"/>
      <w:marRight w:val="0"/>
      <w:marTop w:val="0"/>
      <w:marBottom w:val="0"/>
      <w:divBdr>
        <w:top w:val="none" w:sz="0" w:space="0" w:color="auto"/>
        <w:left w:val="none" w:sz="0" w:space="0" w:color="auto"/>
        <w:bottom w:val="none" w:sz="0" w:space="0" w:color="auto"/>
        <w:right w:val="none" w:sz="0" w:space="0" w:color="auto"/>
      </w:divBdr>
    </w:div>
    <w:div w:id="1792359012">
      <w:bodyDiv w:val="1"/>
      <w:marLeft w:val="0"/>
      <w:marRight w:val="0"/>
      <w:marTop w:val="0"/>
      <w:marBottom w:val="0"/>
      <w:divBdr>
        <w:top w:val="none" w:sz="0" w:space="0" w:color="auto"/>
        <w:left w:val="none" w:sz="0" w:space="0" w:color="auto"/>
        <w:bottom w:val="none" w:sz="0" w:space="0" w:color="auto"/>
        <w:right w:val="none" w:sz="0" w:space="0" w:color="auto"/>
      </w:divBdr>
    </w:div>
    <w:div w:id="1792362393">
      <w:bodyDiv w:val="1"/>
      <w:marLeft w:val="0"/>
      <w:marRight w:val="0"/>
      <w:marTop w:val="0"/>
      <w:marBottom w:val="0"/>
      <w:divBdr>
        <w:top w:val="none" w:sz="0" w:space="0" w:color="auto"/>
        <w:left w:val="none" w:sz="0" w:space="0" w:color="auto"/>
        <w:bottom w:val="none" w:sz="0" w:space="0" w:color="auto"/>
        <w:right w:val="none" w:sz="0" w:space="0" w:color="auto"/>
      </w:divBdr>
    </w:div>
    <w:div w:id="1792435981">
      <w:bodyDiv w:val="1"/>
      <w:marLeft w:val="0"/>
      <w:marRight w:val="0"/>
      <w:marTop w:val="0"/>
      <w:marBottom w:val="0"/>
      <w:divBdr>
        <w:top w:val="none" w:sz="0" w:space="0" w:color="auto"/>
        <w:left w:val="none" w:sz="0" w:space="0" w:color="auto"/>
        <w:bottom w:val="none" w:sz="0" w:space="0" w:color="auto"/>
        <w:right w:val="none" w:sz="0" w:space="0" w:color="auto"/>
      </w:divBdr>
    </w:div>
    <w:div w:id="1792548186">
      <w:bodyDiv w:val="1"/>
      <w:marLeft w:val="0"/>
      <w:marRight w:val="0"/>
      <w:marTop w:val="0"/>
      <w:marBottom w:val="0"/>
      <w:divBdr>
        <w:top w:val="none" w:sz="0" w:space="0" w:color="auto"/>
        <w:left w:val="none" w:sz="0" w:space="0" w:color="auto"/>
        <w:bottom w:val="none" w:sz="0" w:space="0" w:color="auto"/>
        <w:right w:val="none" w:sz="0" w:space="0" w:color="auto"/>
      </w:divBdr>
    </w:div>
    <w:div w:id="1792557127">
      <w:bodyDiv w:val="1"/>
      <w:marLeft w:val="0"/>
      <w:marRight w:val="0"/>
      <w:marTop w:val="0"/>
      <w:marBottom w:val="0"/>
      <w:divBdr>
        <w:top w:val="none" w:sz="0" w:space="0" w:color="auto"/>
        <w:left w:val="none" w:sz="0" w:space="0" w:color="auto"/>
        <w:bottom w:val="none" w:sz="0" w:space="0" w:color="auto"/>
        <w:right w:val="none" w:sz="0" w:space="0" w:color="auto"/>
      </w:divBdr>
    </w:div>
    <w:div w:id="1792702339">
      <w:bodyDiv w:val="1"/>
      <w:marLeft w:val="0"/>
      <w:marRight w:val="0"/>
      <w:marTop w:val="0"/>
      <w:marBottom w:val="0"/>
      <w:divBdr>
        <w:top w:val="none" w:sz="0" w:space="0" w:color="auto"/>
        <w:left w:val="none" w:sz="0" w:space="0" w:color="auto"/>
        <w:bottom w:val="none" w:sz="0" w:space="0" w:color="auto"/>
        <w:right w:val="none" w:sz="0" w:space="0" w:color="auto"/>
      </w:divBdr>
    </w:div>
    <w:div w:id="1792745849">
      <w:bodyDiv w:val="1"/>
      <w:marLeft w:val="0"/>
      <w:marRight w:val="0"/>
      <w:marTop w:val="0"/>
      <w:marBottom w:val="0"/>
      <w:divBdr>
        <w:top w:val="none" w:sz="0" w:space="0" w:color="auto"/>
        <w:left w:val="none" w:sz="0" w:space="0" w:color="auto"/>
        <w:bottom w:val="none" w:sz="0" w:space="0" w:color="auto"/>
        <w:right w:val="none" w:sz="0" w:space="0" w:color="auto"/>
      </w:divBdr>
    </w:div>
    <w:div w:id="1792748784">
      <w:bodyDiv w:val="1"/>
      <w:marLeft w:val="0"/>
      <w:marRight w:val="0"/>
      <w:marTop w:val="0"/>
      <w:marBottom w:val="0"/>
      <w:divBdr>
        <w:top w:val="none" w:sz="0" w:space="0" w:color="auto"/>
        <w:left w:val="none" w:sz="0" w:space="0" w:color="auto"/>
        <w:bottom w:val="none" w:sz="0" w:space="0" w:color="auto"/>
        <w:right w:val="none" w:sz="0" w:space="0" w:color="auto"/>
      </w:divBdr>
    </w:div>
    <w:div w:id="1792892973">
      <w:bodyDiv w:val="1"/>
      <w:marLeft w:val="0"/>
      <w:marRight w:val="0"/>
      <w:marTop w:val="0"/>
      <w:marBottom w:val="0"/>
      <w:divBdr>
        <w:top w:val="none" w:sz="0" w:space="0" w:color="auto"/>
        <w:left w:val="none" w:sz="0" w:space="0" w:color="auto"/>
        <w:bottom w:val="none" w:sz="0" w:space="0" w:color="auto"/>
        <w:right w:val="none" w:sz="0" w:space="0" w:color="auto"/>
      </w:divBdr>
    </w:div>
    <w:div w:id="1792941661">
      <w:bodyDiv w:val="1"/>
      <w:marLeft w:val="0"/>
      <w:marRight w:val="0"/>
      <w:marTop w:val="0"/>
      <w:marBottom w:val="0"/>
      <w:divBdr>
        <w:top w:val="none" w:sz="0" w:space="0" w:color="auto"/>
        <w:left w:val="none" w:sz="0" w:space="0" w:color="auto"/>
        <w:bottom w:val="none" w:sz="0" w:space="0" w:color="auto"/>
        <w:right w:val="none" w:sz="0" w:space="0" w:color="auto"/>
      </w:divBdr>
    </w:div>
    <w:div w:id="1793012311">
      <w:bodyDiv w:val="1"/>
      <w:marLeft w:val="0"/>
      <w:marRight w:val="0"/>
      <w:marTop w:val="0"/>
      <w:marBottom w:val="0"/>
      <w:divBdr>
        <w:top w:val="none" w:sz="0" w:space="0" w:color="auto"/>
        <w:left w:val="none" w:sz="0" w:space="0" w:color="auto"/>
        <w:bottom w:val="none" w:sz="0" w:space="0" w:color="auto"/>
        <w:right w:val="none" w:sz="0" w:space="0" w:color="auto"/>
      </w:divBdr>
    </w:div>
    <w:div w:id="1793012490">
      <w:bodyDiv w:val="1"/>
      <w:marLeft w:val="0"/>
      <w:marRight w:val="0"/>
      <w:marTop w:val="0"/>
      <w:marBottom w:val="0"/>
      <w:divBdr>
        <w:top w:val="none" w:sz="0" w:space="0" w:color="auto"/>
        <w:left w:val="none" w:sz="0" w:space="0" w:color="auto"/>
        <w:bottom w:val="none" w:sz="0" w:space="0" w:color="auto"/>
        <w:right w:val="none" w:sz="0" w:space="0" w:color="auto"/>
      </w:divBdr>
    </w:div>
    <w:div w:id="1793090438">
      <w:bodyDiv w:val="1"/>
      <w:marLeft w:val="0"/>
      <w:marRight w:val="0"/>
      <w:marTop w:val="0"/>
      <w:marBottom w:val="0"/>
      <w:divBdr>
        <w:top w:val="none" w:sz="0" w:space="0" w:color="auto"/>
        <w:left w:val="none" w:sz="0" w:space="0" w:color="auto"/>
        <w:bottom w:val="none" w:sz="0" w:space="0" w:color="auto"/>
        <w:right w:val="none" w:sz="0" w:space="0" w:color="auto"/>
      </w:divBdr>
    </w:div>
    <w:div w:id="1793090853">
      <w:bodyDiv w:val="1"/>
      <w:marLeft w:val="0"/>
      <w:marRight w:val="0"/>
      <w:marTop w:val="0"/>
      <w:marBottom w:val="0"/>
      <w:divBdr>
        <w:top w:val="none" w:sz="0" w:space="0" w:color="auto"/>
        <w:left w:val="none" w:sz="0" w:space="0" w:color="auto"/>
        <w:bottom w:val="none" w:sz="0" w:space="0" w:color="auto"/>
        <w:right w:val="none" w:sz="0" w:space="0" w:color="auto"/>
      </w:divBdr>
    </w:div>
    <w:div w:id="1793133434">
      <w:bodyDiv w:val="1"/>
      <w:marLeft w:val="0"/>
      <w:marRight w:val="0"/>
      <w:marTop w:val="0"/>
      <w:marBottom w:val="0"/>
      <w:divBdr>
        <w:top w:val="none" w:sz="0" w:space="0" w:color="auto"/>
        <w:left w:val="none" w:sz="0" w:space="0" w:color="auto"/>
        <w:bottom w:val="none" w:sz="0" w:space="0" w:color="auto"/>
        <w:right w:val="none" w:sz="0" w:space="0" w:color="auto"/>
      </w:divBdr>
    </w:div>
    <w:div w:id="1793203527">
      <w:bodyDiv w:val="1"/>
      <w:marLeft w:val="0"/>
      <w:marRight w:val="0"/>
      <w:marTop w:val="0"/>
      <w:marBottom w:val="0"/>
      <w:divBdr>
        <w:top w:val="none" w:sz="0" w:space="0" w:color="auto"/>
        <w:left w:val="none" w:sz="0" w:space="0" w:color="auto"/>
        <w:bottom w:val="none" w:sz="0" w:space="0" w:color="auto"/>
        <w:right w:val="none" w:sz="0" w:space="0" w:color="auto"/>
      </w:divBdr>
    </w:div>
    <w:div w:id="1793285125">
      <w:bodyDiv w:val="1"/>
      <w:marLeft w:val="0"/>
      <w:marRight w:val="0"/>
      <w:marTop w:val="0"/>
      <w:marBottom w:val="0"/>
      <w:divBdr>
        <w:top w:val="none" w:sz="0" w:space="0" w:color="auto"/>
        <w:left w:val="none" w:sz="0" w:space="0" w:color="auto"/>
        <w:bottom w:val="none" w:sz="0" w:space="0" w:color="auto"/>
        <w:right w:val="none" w:sz="0" w:space="0" w:color="auto"/>
      </w:divBdr>
    </w:div>
    <w:div w:id="1793548345">
      <w:bodyDiv w:val="1"/>
      <w:marLeft w:val="0"/>
      <w:marRight w:val="0"/>
      <w:marTop w:val="0"/>
      <w:marBottom w:val="0"/>
      <w:divBdr>
        <w:top w:val="none" w:sz="0" w:space="0" w:color="auto"/>
        <w:left w:val="none" w:sz="0" w:space="0" w:color="auto"/>
        <w:bottom w:val="none" w:sz="0" w:space="0" w:color="auto"/>
        <w:right w:val="none" w:sz="0" w:space="0" w:color="auto"/>
      </w:divBdr>
    </w:div>
    <w:div w:id="1793598072">
      <w:bodyDiv w:val="1"/>
      <w:marLeft w:val="0"/>
      <w:marRight w:val="0"/>
      <w:marTop w:val="0"/>
      <w:marBottom w:val="0"/>
      <w:divBdr>
        <w:top w:val="none" w:sz="0" w:space="0" w:color="auto"/>
        <w:left w:val="none" w:sz="0" w:space="0" w:color="auto"/>
        <w:bottom w:val="none" w:sz="0" w:space="0" w:color="auto"/>
        <w:right w:val="none" w:sz="0" w:space="0" w:color="auto"/>
      </w:divBdr>
    </w:div>
    <w:div w:id="1793741564">
      <w:bodyDiv w:val="1"/>
      <w:marLeft w:val="0"/>
      <w:marRight w:val="0"/>
      <w:marTop w:val="0"/>
      <w:marBottom w:val="0"/>
      <w:divBdr>
        <w:top w:val="none" w:sz="0" w:space="0" w:color="auto"/>
        <w:left w:val="none" w:sz="0" w:space="0" w:color="auto"/>
        <w:bottom w:val="none" w:sz="0" w:space="0" w:color="auto"/>
        <w:right w:val="none" w:sz="0" w:space="0" w:color="auto"/>
      </w:divBdr>
    </w:div>
    <w:div w:id="1793743911">
      <w:bodyDiv w:val="1"/>
      <w:marLeft w:val="0"/>
      <w:marRight w:val="0"/>
      <w:marTop w:val="0"/>
      <w:marBottom w:val="0"/>
      <w:divBdr>
        <w:top w:val="none" w:sz="0" w:space="0" w:color="auto"/>
        <w:left w:val="none" w:sz="0" w:space="0" w:color="auto"/>
        <w:bottom w:val="none" w:sz="0" w:space="0" w:color="auto"/>
        <w:right w:val="none" w:sz="0" w:space="0" w:color="auto"/>
      </w:divBdr>
    </w:div>
    <w:div w:id="1793815747">
      <w:bodyDiv w:val="1"/>
      <w:marLeft w:val="0"/>
      <w:marRight w:val="0"/>
      <w:marTop w:val="0"/>
      <w:marBottom w:val="0"/>
      <w:divBdr>
        <w:top w:val="none" w:sz="0" w:space="0" w:color="auto"/>
        <w:left w:val="none" w:sz="0" w:space="0" w:color="auto"/>
        <w:bottom w:val="none" w:sz="0" w:space="0" w:color="auto"/>
        <w:right w:val="none" w:sz="0" w:space="0" w:color="auto"/>
      </w:divBdr>
    </w:div>
    <w:div w:id="1793858933">
      <w:bodyDiv w:val="1"/>
      <w:marLeft w:val="0"/>
      <w:marRight w:val="0"/>
      <w:marTop w:val="0"/>
      <w:marBottom w:val="0"/>
      <w:divBdr>
        <w:top w:val="none" w:sz="0" w:space="0" w:color="auto"/>
        <w:left w:val="none" w:sz="0" w:space="0" w:color="auto"/>
        <w:bottom w:val="none" w:sz="0" w:space="0" w:color="auto"/>
        <w:right w:val="none" w:sz="0" w:space="0" w:color="auto"/>
      </w:divBdr>
    </w:div>
    <w:div w:id="1793861010">
      <w:bodyDiv w:val="1"/>
      <w:marLeft w:val="0"/>
      <w:marRight w:val="0"/>
      <w:marTop w:val="0"/>
      <w:marBottom w:val="0"/>
      <w:divBdr>
        <w:top w:val="none" w:sz="0" w:space="0" w:color="auto"/>
        <w:left w:val="none" w:sz="0" w:space="0" w:color="auto"/>
        <w:bottom w:val="none" w:sz="0" w:space="0" w:color="auto"/>
        <w:right w:val="none" w:sz="0" w:space="0" w:color="auto"/>
      </w:divBdr>
    </w:div>
    <w:div w:id="1793866657">
      <w:bodyDiv w:val="1"/>
      <w:marLeft w:val="0"/>
      <w:marRight w:val="0"/>
      <w:marTop w:val="0"/>
      <w:marBottom w:val="0"/>
      <w:divBdr>
        <w:top w:val="none" w:sz="0" w:space="0" w:color="auto"/>
        <w:left w:val="none" w:sz="0" w:space="0" w:color="auto"/>
        <w:bottom w:val="none" w:sz="0" w:space="0" w:color="auto"/>
        <w:right w:val="none" w:sz="0" w:space="0" w:color="auto"/>
      </w:divBdr>
    </w:div>
    <w:div w:id="1793983088">
      <w:bodyDiv w:val="1"/>
      <w:marLeft w:val="0"/>
      <w:marRight w:val="0"/>
      <w:marTop w:val="0"/>
      <w:marBottom w:val="0"/>
      <w:divBdr>
        <w:top w:val="none" w:sz="0" w:space="0" w:color="auto"/>
        <w:left w:val="none" w:sz="0" w:space="0" w:color="auto"/>
        <w:bottom w:val="none" w:sz="0" w:space="0" w:color="auto"/>
        <w:right w:val="none" w:sz="0" w:space="0" w:color="auto"/>
      </w:divBdr>
    </w:div>
    <w:div w:id="1794060487">
      <w:bodyDiv w:val="1"/>
      <w:marLeft w:val="0"/>
      <w:marRight w:val="0"/>
      <w:marTop w:val="0"/>
      <w:marBottom w:val="0"/>
      <w:divBdr>
        <w:top w:val="none" w:sz="0" w:space="0" w:color="auto"/>
        <w:left w:val="none" w:sz="0" w:space="0" w:color="auto"/>
        <w:bottom w:val="none" w:sz="0" w:space="0" w:color="auto"/>
        <w:right w:val="none" w:sz="0" w:space="0" w:color="auto"/>
      </w:divBdr>
    </w:div>
    <w:div w:id="1794179103">
      <w:bodyDiv w:val="1"/>
      <w:marLeft w:val="0"/>
      <w:marRight w:val="0"/>
      <w:marTop w:val="0"/>
      <w:marBottom w:val="0"/>
      <w:divBdr>
        <w:top w:val="none" w:sz="0" w:space="0" w:color="auto"/>
        <w:left w:val="none" w:sz="0" w:space="0" w:color="auto"/>
        <w:bottom w:val="none" w:sz="0" w:space="0" w:color="auto"/>
        <w:right w:val="none" w:sz="0" w:space="0" w:color="auto"/>
      </w:divBdr>
    </w:div>
    <w:div w:id="1794206585">
      <w:bodyDiv w:val="1"/>
      <w:marLeft w:val="0"/>
      <w:marRight w:val="0"/>
      <w:marTop w:val="0"/>
      <w:marBottom w:val="0"/>
      <w:divBdr>
        <w:top w:val="none" w:sz="0" w:space="0" w:color="auto"/>
        <w:left w:val="none" w:sz="0" w:space="0" w:color="auto"/>
        <w:bottom w:val="none" w:sz="0" w:space="0" w:color="auto"/>
        <w:right w:val="none" w:sz="0" w:space="0" w:color="auto"/>
      </w:divBdr>
    </w:div>
    <w:div w:id="1794397806">
      <w:bodyDiv w:val="1"/>
      <w:marLeft w:val="0"/>
      <w:marRight w:val="0"/>
      <w:marTop w:val="0"/>
      <w:marBottom w:val="0"/>
      <w:divBdr>
        <w:top w:val="none" w:sz="0" w:space="0" w:color="auto"/>
        <w:left w:val="none" w:sz="0" w:space="0" w:color="auto"/>
        <w:bottom w:val="none" w:sz="0" w:space="0" w:color="auto"/>
        <w:right w:val="none" w:sz="0" w:space="0" w:color="auto"/>
      </w:divBdr>
    </w:div>
    <w:div w:id="1794402388">
      <w:bodyDiv w:val="1"/>
      <w:marLeft w:val="0"/>
      <w:marRight w:val="0"/>
      <w:marTop w:val="0"/>
      <w:marBottom w:val="0"/>
      <w:divBdr>
        <w:top w:val="none" w:sz="0" w:space="0" w:color="auto"/>
        <w:left w:val="none" w:sz="0" w:space="0" w:color="auto"/>
        <w:bottom w:val="none" w:sz="0" w:space="0" w:color="auto"/>
        <w:right w:val="none" w:sz="0" w:space="0" w:color="auto"/>
      </w:divBdr>
    </w:div>
    <w:div w:id="1794447722">
      <w:bodyDiv w:val="1"/>
      <w:marLeft w:val="0"/>
      <w:marRight w:val="0"/>
      <w:marTop w:val="0"/>
      <w:marBottom w:val="0"/>
      <w:divBdr>
        <w:top w:val="none" w:sz="0" w:space="0" w:color="auto"/>
        <w:left w:val="none" w:sz="0" w:space="0" w:color="auto"/>
        <w:bottom w:val="none" w:sz="0" w:space="0" w:color="auto"/>
        <w:right w:val="none" w:sz="0" w:space="0" w:color="auto"/>
      </w:divBdr>
    </w:div>
    <w:div w:id="1794472514">
      <w:bodyDiv w:val="1"/>
      <w:marLeft w:val="0"/>
      <w:marRight w:val="0"/>
      <w:marTop w:val="0"/>
      <w:marBottom w:val="0"/>
      <w:divBdr>
        <w:top w:val="none" w:sz="0" w:space="0" w:color="auto"/>
        <w:left w:val="none" w:sz="0" w:space="0" w:color="auto"/>
        <w:bottom w:val="none" w:sz="0" w:space="0" w:color="auto"/>
        <w:right w:val="none" w:sz="0" w:space="0" w:color="auto"/>
      </w:divBdr>
    </w:div>
    <w:div w:id="1794516612">
      <w:bodyDiv w:val="1"/>
      <w:marLeft w:val="0"/>
      <w:marRight w:val="0"/>
      <w:marTop w:val="0"/>
      <w:marBottom w:val="0"/>
      <w:divBdr>
        <w:top w:val="none" w:sz="0" w:space="0" w:color="auto"/>
        <w:left w:val="none" w:sz="0" w:space="0" w:color="auto"/>
        <w:bottom w:val="none" w:sz="0" w:space="0" w:color="auto"/>
        <w:right w:val="none" w:sz="0" w:space="0" w:color="auto"/>
      </w:divBdr>
    </w:div>
    <w:div w:id="1794715503">
      <w:bodyDiv w:val="1"/>
      <w:marLeft w:val="0"/>
      <w:marRight w:val="0"/>
      <w:marTop w:val="0"/>
      <w:marBottom w:val="0"/>
      <w:divBdr>
        <w:top w:val="none" w:sz="0" w:space="0" w:color="auto"/>
        <w:left w:val="none" w:sz="0" w:space="0" w:color="auto"/>
        <w:bottom w:val="none" w:sz="0" w:space="0" w:color="auto"/>
        <w:right w:val="none" w:sz="0" w:space="0" w:color="auto"/>
      </w:divBdr>
    </w:div>
    <w:div w:id="1794791715">
      <w:bodyDiv w:val="1"/>
      <w:marLeft w:val="0"/>
      <w:marRight w:val="0"/>
      <w:marTop w:val="0"/>
      <w:marBottom w:val="0"/>
      <w:divBdr>
        <w:top w:val="none" w:sz="0" w:space="0" w:color="auto"/>
        <w:left w:val="none" w:sz="0" w:space="0" w:color="auto"/>
        <w:bottom w:val="none" w:sz="0" w:space="0" w:color="auto"/>
        <w:right w:val="none" w:sz="0" w:space="0" w:color="auto"/>
      </w:divBdr>
    </w:div>
    <w:div w:id="1794981055">
      <w:bodyDiv w:val="1"/>
      <w:marLeft w:val="0"/>
      <w:marRight w:val="0"/>
      <w:marTop w:val="0"/>
      <w:marBottom w:val="0"/>
      <w:divBdr>
        <w:top w:val="none" w:sz="0" w:space="0" w:color="auto"/>
        <w:left w:val="none" w:sz="0" w:space="0" w:color="auto"/>
        <w:bottom w:val="none" w:sz="0" w:space="0" w:color="auto"/>
        <w:right w:val="none" w:sz="0" w:space="0" w:color="auto"/>
      </w:divBdr>
    </w:div>
    <w:div w:id="1795058695">
      <w:bodyDiv w:val="1"/>
      <w:marLeft w:val="0"/>
      <w:marRight w:val="0"/>
      <w:marTop w:val="0"/>
      <w:marBottom w:val="0"/>
      <w:divBdr>
        <w:top w:val="none" w:sz="0" w:space="0" w:color="auto"/>
        <w:left w:val="none" w:sz="0" w:space="0" w:color="auto"/>
        <w:bottom w:val="none" w:sz="0" w:space="0" w:color="auto"/>
        <w:right w:val="none" w:sz="0" w:space="0" w:color="auto"/>
      </w:divBdr>
    </w:div>
    <w:div w:id="1795059523">
      <w:bodyDiv w:val="1"/>
      <w:marLeft w:val="0"/>
      <w:marRight w:val="0"/>
      <w:marTop w:val="0"/>
      <w:marBottom w:val="0"/>
      <w:divBdr>
        <w:top w:val="none" w:sz="0" w:space="0" w:color="auto"/>
        <w:left w:val="none" w:sz="0" w:space="0" w:color="auto"/>
        <w:bottom w:val="none" w:sz="0" w:space="0" w:color="auto"/>
        <w:right w:val="none" w:sz="0" w:space="0" w:color="auto"/>
      </w:divBdr>
    </w:div>
    <w:div w:id="1795175718">
      <w:bodyDiv w:val="1"/>
      <w:marLeft w:val="0"/>
      <w:marRight w:val="0"/>
      <w:marTop w:val="0"/>
      <w:marBottom w:val="0"/>
      <w:divBdr>
        <w:top w:val="none" w:sz="0" w:space="0" w:color="auto"/>
        <w:left w:val="none" w:sz="0" w:space="0" w:color="auto"/>
        <w:bottom w:val="none" w:sz="0" w:space="0" w:color="auto"/>
        <w:right w:val="none" w:sz="0" w:space="0" w:color="auto"/>
      </w:divBdr>
    </w:div>
    <w:div w:id="1795250214">
      <w:bodyDiv w:val="1"/>
      <w:marLeft w:val="0"/>
      <w:marRight w:val="0"/>
      <w:marTop w:val="0"/>
      <w:marBottom w:val="0"/>
      <w:divBdr>
        <w:top w:val="none" w:sz="0" w:space="0" w:color="auto"/>
        <w:left w:val="none" w:sz="0" w:space="0" w:color="auto"/>
        <w:bottom w:val="none" w:sz="0" w:space="0" w:color="auto"/>
        <w:right w:val="none" w:sz="0" w:space="0" w:color="auto"/>
      </w:divBdr>
    </w:div>
    <w:div w:id="1795370039">
      <w:bodyDiv w:val="1"/>
      <w:marLeft w:val="0"/>
      <w:marRight w:val="0"/>
      <w:marTop w:val="0"/>
      <w:marBottom w:val="0"/>
      <w:divBdr>
        <w:top w:val="none" w:sz="0" w:space="0" w:color="auto"/>
        <w:left w:val="none" w:sz="0" w:space="0" w:color="auto"/>
        <w:bottom w:val="none" w:sz="0" w:space="0" w:color="auto"/>
        <w:right w:val="none" w:sz="0" w:space="0" w:color="auto"/>
      </w:divBdr>
    </w:div>
    <w:div w:id="1795370065">
      <w:bodyDiv w:val="1"/>
      <w:marLeft w:val="0"/>
      <w:marRight w:val="0"/>
      <w:marTop w:val="0"/>
      <w:marBottom w:val="0"/>
      <w:divBdr>
        <w:top w:val="none" w:sz="0" w:space="0" w:color="auto"/>
        <w:left w:val="none" w:sz="0" w:space="0" w:color="auto"/>
        <w:bottom w:val="none" w:sz="0" w:space="0" w:color="auto"/>
        <w:right w:val="none" w:sz="0" w:space="0" w:color="auto"/>
      </w:divBdr>
    </w:div>
    <w:div w:id="1795439761">
      <w:bodyDiv w:val="1"/>
      <w:marLeft w:val="0"/>
      <w:marRight w:val="0"/>
      <w:marTop w:val="0"/>
      <w:marBottom w:val="0"/>
      <w:divBdr>
        <w:top w:val="none" w:sz="0" w:space="0" w:color="auto"/>
        <w:left w:val="none" w:sz="0" w:space="0" w:color="auto"/>
        <w:bottom w:val="none" w:sz="0" w:space="0" w:color="auto"/>
        <w:right w:val="none" w:sz="0" w:space="0" w:color="auto"/>
      </w:divBdr>
    </w:div>
    <w:div w:id="1795442262">
      <w:bodyDiv w:val="1"/>
      <w:marLeft w:val="0"/>
      <w:marRight w:val="0"/>
      <w:marTop w:val="0"/>
      <w:marBottom w:val="0"/>
      <w:divBdr>
        <w:top w:val="none" w:sz="0" w:space="0" w:color="auto"/>
        <w:left w:val="none" w:sz="0" w:space="0" w:color="auto"/>
        <w:bottom w:val="none" w:sz="0" w:space="0" w:color="auto"/>
        <w:right w:val="none" w:sz="0" w:space="0" w:color="auto"/>
      </w:divBdr>
    </w:div>
    <w:div w:id="1795513853">
      <w:bodyDiv w:val="1"/>
      <w:marLeft w:val="0"/>
      <w:marRight w:val="0"/>
      <w:marTop w:val="0"/>
      <w:marBottom w:val="0"/>
      <w:divBdr>
        <w:top w:val="none" w:sz="0" w:space="0" w:color="auto"/>
        <w:left w:val="none" w:sz="0" w:space="0" w:color="auto"/>
        <w:bottom w:val="none" w:sz="0" w:space="0" w:color="auto"/>
        <w:right w:val="none" w:sz="0" w:space="0" w:color="auto"/>
      </w:divBdr>
    </w:div>
    <w:div w:id="1795556613">
      <w:bodyDiv w:val="1"/>
      <w:marLeft w:val="0"/>
      <w:marRight w:val="0"/>
      <w:marTop w:val="0"/>
      <w:marBottom w:val="0"/>
      <w:divBdr>
        <w:top w:val="none" w:sz="0" w:space="0" w:color="auto"/>
        <w:left w:val="none" w:sz="0" w:space="0" w:color="auto"/>
        <w:bottom w:val="none" w:sz="0" w:space="0" w:color="auto"/>
        <w:right w:val="none" w:sz="0" w:space="0" w:color="auto"/>
      </w:divBdr>
    </w:div>
    <w:div w:id="1795564459">
      <w:bodyDiv w:val="1"/>
      <w:marLeft w:val="0"/>
      <w:marRight w:val="0"/>
      <w:marTop w:val="0"/>
      <w:marBottom w:val="0"/>
      <w:divBdr>
        <w:top w:val="none" w:sz="0" w:space="0" w:color="auto"/>
        <w:left w:val="none" w:sz="0" w:space="0" w:color="auto"/>
        <w:bottom w:val="none" w:sz="0" w:space="0" w:color="auto"/>
        <w:right w:val="none" w:sz="0" w:space="0" w:color="auto"/>
      </w:divBdr>
    </w:div>
    <w:div w:id="1795635834">
      <w:bodyDiv w:val="1"/>
      <w:marLeft w:val="0"/>
      <w:marRight w:val="0"/>
      <w:marTop w:val="0"/>
      <w:marBottom w:val="0"/>
      <w:divBdr>
        <w:top w:val="none" w:sz="0" w:space="0" w:color="auto"/>
        <w:left w:val="none" w:sz="0" w:space="0" w:color="auto"/>
        <w:bottom w:val="none" w:sz="0" w:space="0" w:color="auto"/>
        <w:right w:val="none" w:sz="0" w:space="0" w:color="auto"/>
      </w:divBdr>
    </w:div>
    <w:div w:id="1795707679">
      <w:bodyDiv w:val="1"/>
      <w:marLeft w:val="0"/>
      <w:marRight w:val="0"/>
      <w:marTop w:val="0"/>
      <w:marBottom w:val="0"/>
      <w:divBdr>
        <w:top w:val="none" w:sz="0" w:space="0" w:color="auto"/>
        <w:left w:val="none" w:sz="0" w:space="0" w:color="auto"/>
        <w:bottom w:val="none" w:sz="0" w:space="0" w:color="auto"/>
        <w:right w:val="none" w:sz="0" w:space="0" w:color="auto"/>
      </w:divBdr>
    </w:div>
    <w:div w:id="1795782700">
      <w:bodyDiv w:val="1"/>
      <w:marLeft w:val="0"/>
      <w:marRight w:val="0"/>
      <w:marTop w:val="0"/>
      <w:marBottom w:val="0"/>
      <w:divBdr>
        <w:top w:val="none" w:sz="0" w:space="0" w:color="auto"/>
        <w:left w:val="none" w:sz="0" w:space="0" w:color="auto"/>
        <w:bottom w:val="none" w:sz="0" w:space="0" w:color="auto"/>
        <w:right w:val="none" w:sz="0" w:space="0" w:color="auto"/>
      </w:divBdr>
    </w:div>
    <w:div w:id="1795833195">
      <w:bodyDiv w:val="1"/>
      <w:marLeft w:val="0"/>
      <w:marRight w:val="0"/>
      <w:marTop w:val="0"/>
      <w:marBottom w:val="0"/>
      <w:divBdr>
        <w:top w:val="none" w:sz="0" w:space="0" w:color="auto"/>
        <w:left w:val="none" w:sz="0" w:space="0" w:color="auto"/>
        <w:bottom w:val="none" w:sz="0" w:space="0" w:color="auto"/>
        <w:right w:val="none" w:sz="0" w:space="0" w:color="auto"/>
      </w:divBdr>
    </w:div>
    <w:div w:id="1795907082">
      <w:bodyDiv w:val="1"/>
      <w:marLeft w:val="0"/>
      <w:marRight w:val="0"/>
      <w:marTop w:val="0"/>
      <w:marBottom w:val="0"/>
      <w:divBdr>
        <w:top w:val="none" w:sz="0" w:space="0" w:color="auto"/>
        <w:left w:val="none" w:sz="0" w:space="0" w:color="auto"/>
        <w:bottom w:val="none" w:sz="0" w:space="0" w:color="auto"/>
        <w:right w:val="none" w:sz="0" w:space="0" w:color="auto"/>
      </w:divBdr>
    </w:div>
    <w:div w:id="1795977330">
      <w:bodyDiv w:val="1"/>
      <w:marLeft w:val="0"/>
      <w:marRight w:val="0"/>
      <w:marTop w:val="0"/>
      <w:marBottom w:val="0"/>
      <w:divBdr>
        <w:top w:val="none" w:sz="0" w:space="0" w:color="auto"/>
        <w:left w:val="none" w:sz="0" w:space="0" w:color="auto"/>
        <w:bottom w:val="none" w:sz="0" w:space="0" w:color="auto"/>
        <w:right w:val="none" w:sz="0" w:space="0" w:color="auto"/>
      </w:divBdr>
    </w:div>
    <w:div w:id="1796097572">
      <w:bodyDiv w:val="1"/>
      <w:marLeft w:val="0"/>
      <w:marRight w:val="0"/>
      <w:marTop w:val="0"/>
      <w:marBottom w:val="0"/>
      <w:divBdr>
        <w:top w:val="none" w:sz="0" w:space="0" w:color="auto"/>
        <w:left w:val="none" w:sz="0" w:space="0" w:color="auto"/>
        <w:bottom w:val="none" w:sz="0" w:space="0" w:color="auto"/>
        <w:right w:val="none" w:sz="0" w:space="0" w:color="auto"/>
      </w:divBdr>
    </w:div>
    <w:div w:id="1796214336">
      <w:bodyDiv w:val="1"/>
      <w:marLeft w:val="0"/>
      <w:marRight w:val="0"/>
      <w:marTop w:val="0"/>
      <w:marBottom w:val="0"/>
      <w:divBdr>
        <w:top w:val="none" w:sz="0" w:space="0" w:color="auto"/>
        <w:left w:val="none" w:sz="0" w:space="0" w:color="auto"/>
        <w:bottom w:val="none" w:sz="0" w:space="0" w:color="auto"/>
        <w:right w:val="none" w:sz="0" w:space="0" w:color="auto"/>
      </w:divBdr>
    </w:div>
    <w:div w:id="1796220466">
      <w:bodyDiv w:val="1"/>
      <w:marLeft w:val="0"/>
      <w:marRight w:val="0"/>
      <w:marTop w:val="0"/>
      <w:marBottom w:val="0"/>
      <w:divBdr>
        <w:top w:val="none" w:sz="0" w:space="0" w:color="auto"/>
        <w:left w:val="none" w:sz="0" w:space="0" w:color="auto"/>
        <w:bottom w:val="none" w:sz="0" w:space="0" w:color="auto"/>
        <w:right w:val="none" w:sz="0" w:space="0" w:color="auto"/>
      </w:divBdr>
    </w:div>
    <w:div w:id="1796364713">
      <w:bodyDiv w:val="1"/>
      <w:marLeft w:val="0"/>
      <w:marRight w:val="0"/>
      <w:marTop w:val="0"/>
      <w:marBottom w:val="0"/>
      <w:divBdr>
        <w:top w:val="none" w:sz="0" w:space="0" w:color="auto"/>
        <w:left w:val="none" w:sz="0" w:space="0" w:color="auto"/>
        <w:bottom w:val="none" w:sz="0" w:space="0" w:color="auto"/>
        <w:right w:val="none" w:sz="0" w:space="0" w:color="auto"/>
      </w:divBdr>
    </w:div>
    <w:div w:id="1796365102">
      <w:bodyDiv w:val="1"/>
      <w:marLeft w:val="0"/>
      <w:marRight w:val="0"/>
      <w:marTop w:val="0"/>
      <w:marBottom w:val="0"/>
      <w:divBdr>
        <w:top w:val="none" w:sz="0" w:space="0" w:color="auto"/>
        <w:left w:val="none" w:sz="0" w:space="0" w:color="auto"/>
        <w:bottom w:val="none" w:sz="0" w:space="0" w:color="auto"/>
        <w:right w:val="none" w:sz="0" w:space="0" w:color="auto"/>
      </w:divBdr>
    </w:div>
    <w:div w:id="1796408373">
      <w:bodyDiv w:val="1"/>
      <w:marLeft w:val="0"/>
      <w:marRight w:val="0"/>
      <w:marTop w:val="0"/>
      <w:marBottom w:val="0"/>
      <w:divBdr>
        <w:top w:val="none" w:sz="0" w:space="0" w:color="auto"/>
        <w:left w:val="none" w:sz="0" w:space="0" w:color="auto"/>
        <w:bottom w:val="none" w:sz="0" w:space="0" w:color="auto"/>
        <w:right w:val="none" w:sz="0" w:space="0" w:color="auto"/>
      </w:divBdr>
    </w:div>
    <w:div w:id="1796484440">
      <w:bodyDiv w:val="1"/>
      <w:marLeft w:val="0"/>
      <w:marRight w:val="0"/>
      <w:marTop w:val="0"/>
      <w:marBottom w:val="0"/>
      <w:divBdr>
        <w:top w:val="none" w:sz="0" w:space="0" w:color="auto"/>
        <w:left w:val="none" w:sz="0" w:space="0" w:color="auto"/>
        <w:bottom w:val="none" w:sz="0" w:space="0" w:color="auto"/>
        <w:right w:val="none" w:sz="0" w:space="0" w:color="auto"/>
      </w:divBdr>
    </w:div>
    <w:div w:id="1796630437">
      <w:bodyDiv w:val="1"/>
      <w:marLeft w:val="0"/>
      <w:marRight w:val="0"/>
      <w:marTop w:val="0"/>
      <w:marBottom w:val="0"/>
      <w:divBdr>
        <w:top w:val="none" w:sz="0" w:space="0" w:color="auto"/>
        <w:left w:val="none" w:sz="0" w:space="0" w:color="auto"/>
        <w:bottom w:val="none" w:sz="0" w:space="0" w:color="auto"/>
        <w:right w:val="none" w:sz="0" w:space="0" w:color="auto"/>
      </w:divBdr>
    </w:div>
    <w:div w:id="1796630749">
      <w:bodyDiv w:val="1"/>
      <w:marLeft w:val="0"/>
      <w:marRight w:val="0"/>
      <w:marTop w:val="0"/>
      <w:marBottom w:val="0"/>
      <w:divBdr>
        <w:top w:val="none" w:sz="0" w:space="0" w:color="auto"/>
        <w:left w:val="none" w:sz="0" w:space="0" w:color="auto"/>
        <w:bottom w:val="none" w:sz="0" w:space="0" w:color="auto"/>
        <w:right w:val="none" w:sz="0" w:space="0" w:color="auto"/>
      </w:divBdr>
    </w:div>
    <w:div w:id="1796676812">
      <w:bodyDiv w:val="1"/>
      <w:marLeft w:val="0"/>
      <w:marRight w:val="0"/>
      <w:marTop w:val="0"/>
      <w:marBottom w:val="0"/>
      <w:divBdr>
        <w:top w:val="none" w:sz="0" w:space="0" w:color="auto"/>
        <w:left w:val="none" w:sz="0" w:space="0" w:color="auto"/>
        <w:bottom w:val="none" w:sz="0" w:space="0" w:color="auto"/>
        <w:right w:val="none" w:sz="0" w:space="0" w:color="auto"/>
      </w:divBdr>
    </w:div>
    <w:div w:id="1796868190">
      <w:bodyDiv w:val="1"/>
      <w:marLeft w:val="0"/>
      <w:marRight w:val="0"/>
      <w:marTop w:val="0"/>
      <w:marBottom w:val="0"/>
      <w:divBdr>
        <w:top w:val="none" w:sz="0" w:space="0" w:color="auto"/>
        <w:left w:val="none" w:sz="0" w:space="0" w:color="auto"/>
        <w:bottom w:val="none" w:sz="0" w:space="0" w:color="auto"/>
        <w:right w:val="none" w:sz="0" w:space="0" w:color="auto"/>
      </w:divBdr>
    </w:div>
    <w:div w:id="1797066433">
      <w:bodyDiv w:val="1"/>
      <w:marLeft w:val="0"/>
      <w:marRight w:val="0"/>
      <w:marTop w:val="0"/>
      <w:marBottom w:val="0"/>
      <w:divBdr>
        <w:top w:val="none" w:sz="0" w:space="0" w:color="auto"/>
        <w:left w:val="none" w:sz="0" w:space="0" w:color="auto"/>
        <w:bottom w:val="none" w:sz="0" w:space="0" w:color="auto"/>
        <w:right w:val="none" w:sz="0" w:space="0" w:color="auto"/>
      </w:divBdr>
    </w:div>
    <w:div w:id="1797094616">
      <w:bodyDiv w:val="1"/>
      <w:marLeft w:val="0"/>
      <w:marRight w:val="0"/>
      <w:marTop w:val="0"/>
      <w:marBottom w:val="0"/>
      <w:divBdr>
        <w:top w:val="none" w:sz="0" w:space="0" w:color="auto"/>
        <w:left w:val="none" w:sz="0" w:space="0" w:color="auto"/>
        <w:bottom w:val="none" w:sz="0" w:space="0" w:color="auto"/>
        <w:right w:val="none" w:sz="0" w:space="0" w:color="auto"/>
      </w:divBdr>
    </w:div>
    <w:div w:id="1797136572">
      <w:bodyDiv w:val="1"/>
      <w:marLeft w:val="0"/>
      <w:marRight w:val="0"/>
      <w:marTop w:val="0"/>
      <w:marBottom w:val="0"/>
      <w:divBdr>
        <w:top w:val="none" w:sz="0" w:space="0" w:color="auto"/>
        <w:left w:val="none" w:sz="0" w:space="0" w:color="auto"/>
        <w:bottom w:val="none" w:sz="0" w:space="0" w:color="auto"/>
        <w:right w:val="none" w:sz="0" w:space="0" w:color="auto"/>
      </w:divBdr>
    </w:div>
    <w:div w:id="1797287816">
      <w:bodyDiv w:val="1"/>
      <w:marLeft w:val="0"/>
      <w:marRight w:val="0"/>
      <w:marTop w:val="0"/>
      <w:marBottom w:val="0"/>
      <w:divBdr>
        <w:top w:val="none" w:sz="0" w:space="0" w:color="auto"/>
        <w:left w:val="none" w:sz="0" w:space="0" w:color="auto"/>
        <w:bottom w:val="none" w:sz="0" w:space="0" w:color="auto"/>
        <w:right w:val="none" w:sz="0" w:space="0" w:color="auto"/>
      </w:divBdr>
    </w:div>
    <w:div w:id="1797291924">
      <w:bodyDiv w:val="1"/>
      <w:marLeft w:val="0"/>
      <w:marRight w:val="0"/>
      <w:marTop w:val="0"/>
      <w:marBottom w:val="0"/>
      <w:divBdr>
        <w:top w:val="none" w:sz="0" w:space="0" w:color="auto"/>
        <w:left w:val="none" w:sz="0" w:space="0" w:color="auto"/>
        <w:bottom w:val="none" w:sz="0" w:space="0" w:color="auto"/>
        <w:right w:val="none" w:sz="0" w:space="0" w:color="auto"/>
      </w:divBdr>
    </w:div>
    <w:div w:id="1797331936">
      <w:bodyDiv w:val="1"/>
      <w:marLeft w:val="0"/>
      <w:marRight w:val="0"/>
      <w:marTop w:val="0"/>
      <w:marBottom w:val="0"/>
      <w:divBdr>
        <w:top w:val="none" w:sz="0" w:space="0" w:color="auto"/>
        <w:left w:val="none" w:sz="0" w:space="0" w:color="auto"/>
        <w:bottom w:val="none" w:sz="0" w:space="0" w:color="auto"/>
        <w:right w:val="none" w:sz="0" w:space="0" w:color="auto"/>
      </w:divBdr>
    </w:div>
    <w:div w:id="1797407927">
      <w:bodyDiv w:val="1"/>
      <w:marLeft w:val="0"/>
      <w:marRight w:val="0"/>
      <w:marTop w:val="0"/>
      <w:marBottom w:val="0"/>
      <w:divBdr>
        <w:top w:val="none" w:sz="0" w:space="0" w:color="auto"/>
        <w:left w:val="none" w:sz="0" w:space="0" w:color="auto"/>
        <w:bottom w:val="none" w:sz="0" w:space="0" w:color="auto"/>
        <w:right w:val="none" w:sz="0" w:space="0" w:color="auto"/>
      </w:divBdr>
    </w:div>
    <w:div w:id="1797480289">
      <w:bodyDiv w:val="1"/>
      <w:marLeft w:val="0"/>
      <w:marRight w:val="0"/>
      <w:marTop w:val="0"/>
      <w:marBottom w:val="0"/>
      <w:divBdr>
        <w:top w:val="none" w:sz="0" w:space="0" w:color="auto"/>
        <w:left w:val="none" w:sz="0" w:space="0" w:color="auto"/>
        <w:bottom w:val="none" w:sz="0" w:space="0" w:color="auto"/>
        <w:right w:val="none" w:sz="0" w:space="0" w:color="auto"/>
      </w:divBdr>
    </w:div>
    <w:div w:id="1797487966">
      <w:bodyDiv w:val="1"/>
      <w:marLeft w:val="0"/>
      <w:marRight w:val="0"/>
      <w:marTop w:val="0"/>
      <w:marBottom w:val="0"/>
      <w:divBdr>
        <w:top w:val="none" w:sz="0" w:space="0" w:color="auto"/>
        <w:left w:val="none" w:sz="0" w:space="0" w:color="auto"/>
        <w:bottom w:val="none" w:sz="0" w:space="0" w:color="auto"/>
        <w:right w:val="none" w:sz="0" w:space="0" w:color="auto"/>
      </w:divBdr>
    </w:div>
    <w:div w:id="1797526597">
      <w:bodyDiv w:val="1"/>
      <w:marLeft w:val="0"/>
      <w:marRight w:val="0"/>
      <w:marTop w:val="0"/>
      <w:marBottom w:val="0"/>
      <w:divBdr>
        <w:top w:val="none" w:sz="0" w:space="0" w:color="auto"/>
        <w:left w:val="none" w:sz="0" w:space="0" w:color="auto"/>
        <w:bottom w:val="none" w:sz="0" w:space="0" w:color="auto"/>
        <w:right w:val="none" w:sz="0" w:space="0" w:color="auto"/>
      </w:divBdr>
    </w:div>
    <w:div w:id="1797528141">
      <w:bodyDiv w:val="1"/>
      <w:marLeft w:val="0"/>
      <w:marRight w:val="0"/>
      <w:marTop w:val="0"/>
      <w:marBottom w:val="0"/>
      <w:divBdr>
        <w:top w:val="none" w:sz="0" w:space="0" w:color="auto"/>
        <w:left w:val="none" w:sz="0" w:space="0" w:color="auto"/>
        <w:bottom w:val="none" w:sz="0" w:space="0" w:color="auto"/>
        <w:right w:val="none" w:sz="0" w:space="0" w:color="auto"/>
      </w:divBdr>
    </w:div>
    <w:div w:id="1797720573">
      <w:bodyDiv w:val="1"/>
      <w:marLeft w:val="0"/>
      <w:marRight w:val="0"/>
      <w:marTop w:val="0"/>
      <w:marBottom w:val="0"/>
      <w:divBdr>
        <w:top w:val="none" w:sz="0" w:space="0" w:color="auto"/>
        <w:left w:val="none" w:sz="0" w:space="0" w:color="auto"/>
        <w:bottom w:val="none" w:sz="0" w:space="0" w:color="auto"/>
        <w:right w:val="none" w:sz="0" w:space="0" w:color="auto"/>
      </w:divBdr>
    </w:div>
    <w:div w:id="1797723261">
      <w:bodyDiv w:val="1"/>
      <w:marLeft w:val="0"/>
      <w:marRight w:val="0"/>
      <w:marTop w:val="0"/>
      <w:marBottom w:val="0"/>
      <w:divBdr>
        <w:top w:val="none" w:sz="0" w:space="0" w:color="auto"/>
        <w:left w:val="none" w:sz="0" w:space="0" w:color="auto"/>
        <w:bottom w:val="none" w:sz="0" w:space="0" w:color="auto"/>
        <w:right w:val="none" w:sz="0" w:space="0" w:color="auto"/>
      </w:divBdr>
    </w:div>
    <w:div w:id="1797869390">
      <w:bodyDiv w:val="1"/>
      <w:marLeft w:val="0"/>
      <w:marRight w:val="0"/>
      <w:marTop w:val="0"/>
      <w:marBottom w:val="0"/>
      <w:divBdr>
        <w:top w:val="none" w:sz="0" w:space="0" w:color="auto"/>
        <w:left w:val="none" w:sz="0" w:space="0" w:color="auto"/>
        <w:bottom w:val="none" w:sz="0" w:space="0" w:color="auto"/>
        <w:right w:val="none" w:sz="0" w:space="0" w:color="auto"/>
      </w:divBdr>
    </w:div>
    <w:div w:id="1797869729">
      <w:bodyDiv w:val="1"/>
      <w:marLeft w:val="0"/>
      <w:marRight w:val="0"/>
      <w:marTop w:val="0"/>
      <w:marBottom w:val="0"/>
      <w:divBdr>
        <w:top w:val="none" w:sz="0" w:space="0" w:color="auto"/>
        <w:left w:val="none" w:sz="0" w:space="0" w:color="auto"/>
        <w:bottom w:val="none" w:sz="0" w:space="0" w:color="auto"/>
        <w:right w:val="none" w:sz="0" w:space="0" w:color="auto"/>
      </w:divBdr>
    </w:div>
    <w:div w:id="1797914639">
      <w:bodyDiv w:val="1"/>
      <w:marLeft w:val="0"/>
      <w:marRight w:val="0"/>
      <w:marTop w:val="0"/>
      <w:marBottom w:val="0"/>
      <w:divBdr>
        <w:top w:val="none" w:sz="0" w:space="0" w:color="auto"/>
        <w:left w:val="none" w:sz="0" w:space="0" w:color="auto"/>
        <w:bottom w:val="none" w:sz="0" w:space="0" w:color="auto"/>
        <w:right w:val="none" w:sz="0" w:space="0" w:color="auto"/>
      </w:divBdr>
    </w:div>
    <w:div w:id="1798063366">
      <w:bodyDiv w:val="1"/>
      <w:marLeft w:val="0"/>
      <w:marRight w:val="0"/>
      <w:marTop w:val="0"/>
      <w:marBottom w:val="0"/>
      <w:divBdr>
        <w:top w:val="none" w:sz="0" w:space="0" w:color="auto"/>
        <w:left w:val="none" w:sz="0" w:space="0" w:color="auto"/>
        <w:bottom w:val="none" w:sz="0" w:space="0" w:color="auto"/>
        <w:right w:val="none" w:sz="0" w:space="0" w:color="auto"/>
      </w:divBdr>
    </w:div>
    <w:div w:id="1798135016">
      <w:bodyDiv w:val="1"/>
      <w:marLeft w:val="0"/>
      <w:marRight w:val="0"/>
      <w:marTop w:val="0"/>
      <w:marBottom w:val="0"/>
      <w:divBdr>
        <w:top w:val="none" w:sz="0" w:space="0" w:color="auto"/>
        <w:left w:val="none" w:sz="0" w:space="0" w:color="auto"/>
        <w:bottom w:val="none" w:sz="0" w:space="0" w:color="auto"/>
        <w:right w:val="none" w:sz="0" w:space="0" w:color="auto"/>
      </w:divBdr>
    </w:div>
    <w:div w:id="1798135425">
      <w:bodyDiv w:val="1"/>
      <w:marLeft w:val="0"/>
      <w:marRight w:val="0"/>
      <w:marTop w:val="0"/>
      <w:marBottom w:val="0"/>
      <w:divBdr>
        <w:top w:val="none" w:sz="0" w:space="0" w:color="auto"/>
        <w:left w:val="none" w:sz="0" w:space="0" w:color="auto"/>
        <w:bottom w:val="none" w:sz="0" w:space="0" w:color="auto"/>
        <w:right w:val="none" w:sz="0" w:space="0" w:color="auto"/>
      </w:divBdr>
    </w:div>
    <w:div w:id="1798183874">
      <w:bodyDiv w:val="1"/>
      <w:marLeft w:val="0"/>
      <w:marRight w:val="0"/>
      <w:marTop w:val="0"/>
      <w:marBottom w:val="0"/>
      <w:divBdr>
        <w:top w:val="none" w:sz="0" w:space="0" w:color="auto"/>
        <w:left w:val="none" w:sz="0" w:space="0" w:color="auto"/>
        <w:bottom w:val="none" w:sz="0" w:space="0" w:color="auto"/>
        <w:right w:val="none" w:sz="0" w:space="0" w:color="auto"/>
      </w:divBdr>
    </w:div>
    <w:div w:id="1798332021">
      <w:bodyDiv w:val="1"/>
      <w:marLeft w:val="0"/>
      <w:marRight w:val="0"/>
      <w:marTop w:val="0"/>
      <w:marBottom w:val="0"/>
      <w:divBdr>
        <w:top w:val="none" w:sz="0" w:space="0" w:color="auto"/>
        <w:left w:val="none" w:sz="0" w:space="0" w:color="auto"/>
        <w:bottom w:val="none" w:sz="0" w:space="0" w:color="auto"/>
        <w:right w:val="none" w:sz="0" w:space="0" w:color="auto"/>
      </w:divBdr>
    </w:div>
    <w:div w:id="1798448324">
      <w:bodyDiv w:val="1"/>
      <w:marLeft w:val="0"/>
      <w:marRight w:val="0"/>
      <w:marTop w:val="0"/>
      <w:marBottom w:val="0"/>
      <w:divBdr>
        <w:top w:val="none" w:sz="0" w:space="0" w:color="auto"/>
        <w:left w:val="none" w:sz="0" w:space="0" w:color="auto"/>
        <w:bottom w:val="none" w:sz="0" w:space="0" w:color="auto"/>
        <w:right w:val="none" w:sz="0" w:space="0" w:color="auto"/>
      </w:divBdr>
    </w:div>
    <w:div w:id="1798448982">
      <w:bodyDiv w:val="1"/>
      <w:marLeft w:val="0"/>
      <w:marRight w:val="0"/>
      <w:marTop w:val="0"/>
      <w:marBottom w:val="0"/>
      <w:divBdr>
        <w:top w:val="none" w:sz="0" w:space="0" w:color="auto"/>
        <w:left w:val="none" w:sz="0" w:space="0" w:color="auto"/>
        <w:bottom w:val="none" w:sz="0" w:space="0" w:color="auto"/>
        <w:right w:val="none" w:sz="0" w:space="0" w:color="auto"/>
      </w:divBdr>
    </w:div>
    <w:div w:id="1798520777">
      <w:bodyDiv w:val="1"/>
      <w:marLeft w:val="0"/>
      <w:marRight w:val="0"/>
      <w:marTop w:val="0"/>
      <w:marBottom w:val="0"/>
      <w:divBdr>
        <w:top w:val="none" w:sz="0" w:space="0" w:color="auto"/>
        <w:left w:val="none" w:sz="0" w:space="0" w:color="auto"/>
        <w:bottom w:val="none" w:sz="0" w:space="0" w:color="auto"/>
        <w:right w:val="none" w:sz="0" w:space="0" w:color="auto"/>
      </w:divBdr>
    </w:div>
    <w:div w:id="1798526973">
      <w:bodyDiv w:val="1"/>
      <w:marLeft w:val="0"/>
      <w:marRight w:val="0"/>
      <w:marTop w:val="0"/>
      <w:marBottom w:val="0"/>
      <w:divBdr>
        <w:top w:val="none" w:sz="0" w:space="0" w:color="auto"/>
        <w:left w:val="none" w:sz="0" w:space="0" w:color="auto"/>
        <w:bottom w:val="none" w:sz="0" w:space="0" w:color="auto"/>
        <w:right w:val="none" w:sz="0" w:space="0" w:color="auto"/>
      </w:divBdr>
    </w:div>
    <w:div w:id="1798528084">
      <w:bodyDiv w:val="1"/>
      <w:marLeft w:val="0"/>
      <w:marRight w:val="0"/>
      <w:marTop w:val="0"/>
      <w:marBottom w:val="0"/>
      <w:divBdr>
        <w:top w:val="none" w:sz="0" w:space="0" w:color="auto"/>
        <w:left w:val="none" w:sz="0" w:space="0" w:color="auto"/>
        <w:bottom w:val="none" w:sz="0" w:space="0" w:color="auto"/>
        <w:right w:val="none" w:sz="0" w:space="0" w:color="auto"/>
      </w:divBdr>
    </w:div>
    <w:div w:id="1798596989">
      <w:bodyDiv w:val="1"/>
      <w:marLeft w:val="0"/>
      <w:marRight w:val="0"/>
      <w:marTop w:val="0"/>
      <w:marBottom w:val="0"/>
      <w:divBdr>
        <w:top w:val="none" w:sz="0" w:space="0" w:color="auto"/>
        <w:left w:val="none" w:sz="0" w:space="0" w:color="auto"/>
        <w:bottom w:val="none" w:sz="0" w:space="0" w:color="auto"/>
        <w:right w:val="none" w:sz="0" w:space="0" w:color="auto"/>
      </w:divBdr>
    </w:div>
    <w:div w:id="1798597372">
      <w:bodyDiv w:val="1"/>
      <w:marLeft w:val="0"/>
      <w:marRight w:val="0"/>
      <w:marTop w:val="0"/>
      <w:marBottom w:val="0"/>
      <w:divBdr>
        <w:top w:val="none" w:sz="0" w:space="0" w:color="auto"/>
        <w:left w:val="none" w:sz="0" w:space="0" w:color="auto"/>
        <w:bottom w:val="none" w:sz="0" w:space="0" w:color="auto"/>
        <w:right w:val="none" w:sz="0" w:space="0" w:color="auto"/>
      </w:divBdr>
    </w:div>
    <w:div w:id="1798643816">
      <w:bodyDiv w:val="1"/>
      <w:marLeft w:val="0"/>
      <w:marRight w:val="0"/>
      <w:marTop w:val="0"/>
      <w:marBottom w:val="0"/>
      <w:divBdr>
        <w:top w:val="none" w:sz="0" w:space="0" w:color="auto"/>
        <w:left w:val="none" w:sz="0" w:space="0" w:color="auto"/>
        <w:bottom w:val="none" w:sz="0" w:space="0" w:color="auto"/>
        <w:right w:val="none" w:sz="0" w:space="0" w:color="auto"/>
      </w:divBdr>
    </w:div>
    <w:div w:id="1798796608">
      <w:bodyDiv w:val="1"/>
      <w:marLeft w:val="0"/>
      <w:marRight w:val="0"/>
      <w:marTop w:val="0"/>
      <w:marBottom w:val="0"/>
      <w:divBdr>
        <w:top w:val="none" w:sz="0" w:space="0" w:color="auto"/>
        <w:left w:val="none" w:sz="0" w:space="0" w:color="auto"/>
        <w:bottom w:val="none" w:sz="0" w:space="0" w:color="auto"/>
        <w:right w:val="none" w:sz="0" w:space="0" w:color="auto"/>
      </w:divBdr>
    </w:div>
    <w:div w:id="1798835738">
      <w:bodyDiv w:val="1"/>
      <w:marLeft w:val="0"/>
      <w:marRight w:val="0"/>
      <w:marTop w:val="0"/>
      <w:marBottom w:val="0"/>
      <w:divBdr>
        <w:top w:val="none" w:sz="0" w:space="0" w:color="auto"/>
        <w:left w:val="none" w:sz="0" w:space="0" w:color="auto"/>
        <w:bottom w:val="none" w:sz="0" w:space="0" w:color="auto"/>
        <w:right w:val="none" w:sz="0" w:space="0" w:color="auto"/>
      </w:divBdr>
    </w:div>
    <w:div w:id="1798915247">
      <w:bodyDiv w:val="1"/>
      <w:marLeft w:val="0"/>
      <w:marRight w:val="0"/>
      <w:marTop w:val="0"/>
      <w:marBottom w:val="0"/>
      <w:divBdr>
        <w:top w:val="none" w:sz="0" w:space="0" w:color="auto"/>
        <w:left w:val="none" w:sz="0" w:space="0" w:color="auto"/>
        <w:bottom w:val="none" w:sz="0" w:space="0" w:color="auto"/>
        <w:right w:val="none" w:sz="0" w:space="0" w:color="auto"/>
      </w:divBdr>
    </w:div>
    <w:div w:id="1798987259">
      <w:bodyDiv w:val="1"/>
      <w:marLeft w:val="0"/>
      <w:marRight w:val="0"/>
      <w:marTop w:val="0"/>
      <w:marBottom w:val="0"/>
      <w:divBdr>
        <w:top w:val="none" w:sz="0" w:space="0" w:color="auto"/>
        <w:left w:val="none" w:sz="0" w:space="0" w:color="auto"/>
        <w:bottom w:val="none" w:sz="0" w:space="0" w:color="auto"/>
        <w:right w:val="none" w:sz="0" w:space="0" w:color="auto"/>
      </w:divBdr>
    </w:div>
    <w:div w:id="1799060307">
      <w:bodyDiv w:val="1"/>
      <w:marLeft w:val="0"/>
      <w:marRight w:val="0"/>
      <w:marTop w:val="0"/>
      <w:marBottom w:val="0"/>
      <w:divBdr>
        <w:top w:val="none" w:sz="0" w:space="0" w:color="auto"/>
        <w:left w:val="none" w:sz="0" w:space="0" w:color="auto"/>
        <w:bottom w:val="none" w:sz="0" w:space="0" w:color="auto"/>
        <w:right w:val="none" w:sz="0" w:space="0" w:color="auto"/>
      </w:divBdr>
    </w:div>
    <w:div w:id="1799256558">
      <w:bodyDiv w:val="1"/>
      <w:marLeft w:val="0"/>
      <w:marRight w:val="0"/>
      <w:marTop w:val="0"/>
      <w:marBottom w:val="0"/>
      <w:divBdr>
        <w:top w:val="none" w:sz="0" w:space="0" w:color="auto"/>
        <w:left w:val="none" w:sz="0" w:space="0" w:color="auto"/>
        <w:bottom w:val="none" w:sz="0" w:space="0" w:color="auto"/>
        <w:right w:val="none" w:sz="0" w:space="0" w:color="auto"/>
      </w:divBdr>
    </w:div>
    <w:div w:id="1799294546">
      <w:bodyDiv w:val="1"/>
      <w:marLeft w:val="0"/>
      <w:marRight w:val="0"/>
      <w:marTop w:val="0"/>
      <w:marBottom w:val="0"/>
      <w:divBdr>
        <w:top w:val="none" w:sz="0" w:space="0" w:color="auto"/>
        <w:left w:val="none" w:sz="0" w:space="0" w:color="auto"/>
        <w:bottom w:val="none" w:sz="0" w:space="0" w:color="auto"/>
        <w:right w:val="none" w:sz="0" w:space="0" w:color="auto"/>
      </w:divBdr>
    </w:div>
    <w:div w:id="1799374692">
      <w:bodyDiv w:val="1"/>
      <w:marLeft w:val="0"/>
      <w:marRight w:val="0"/>
      <w:marTop w:val="0"/>
      <w:marBottom w:val="0"/>
      <w:divBdr>
        <w:top w:val="none" w:sz="0" w:space="0" w:color="auto"/>
        <w:left w:val="none" w:sz="0" w:space="0" w:color="auto"/>
        <w:bottom w:val="none" w:sz="0" w:space="0" w:color="auto"/>
        <w:right w:val="none" w:sz="0" w:space="0" w:color="auto"/>
      </w:divBdr>
    </w:div>
    <w:div w:id="1799489023">
      <w:bodyDiv w:val="1"/>
      <w:marLeft w:val="0"/>
      <w:marRight w:val="0"/>
      <w:marTop w:val="0"/>
      <w:marBottom w:val="0"/>
      <w:divBdr>
        <w:top w:val="none" w:sz="0" w:space="0" w:color="auto"/>
        <w:left w:val="none" w:sz="0" w:space="0" w:color="auto"/>
        <w:bottom w:val="none" w:sz="0" w:space="0" w:color="auto"/>
        <w:right w:val="none" w:sz="0" w:space="0" w:color="auto"/>
      </w:divBdr>
    </w:div>
    <w:div w:id="1799491921">
      <w:bodyDiv w:val="1"/>
      <w:marLeft w:val="0"/>
      <w:marRight w:val="0"/>
      <w:marTop w:val="0"/>
      <w:marBottom w:val="0"/>
      <w:divBdr>
        <w:top w:val="none" w:sz="0" w:space="0" w:color="auto"/>
        <w:left w:val="none" w:sz="0" w:space="0" w:color="auto"/>
        <w:bottom w:val="none" w:sz="0" w:space="0" w:color="auto"/>
        <w:right w:val="none" w:sz="0" w:space="0" w:color="auto"/>
      </w:divBdr>
    </w:div>
    <w:div w:id="1799492101">
      <w:bodyDiv w:val="1"/>
      <w:marLeft w:val="0"/>
      <w:marRight w:val="0"/>
      <w:marTop w:val="0"/>
      <w:marBottom w:val="0"/>
      <w:divBdr>
        <w:top w:val="none" w:sz="0" w:space="0" w:color="auto"/>
        <w:left w:val="none" w:sz="0" w:space="0" w:color="auto"/>
        <w:bottom w:val="none" w:sz="0" w:space="0" w:color="auto"/>
        <w:right w:val="none" w:sz="0" w:space="0" w:color="auto"/>
      </w:divBdr>
    </w:div>
    <w:div w:id="1799568121">
      <w:bodyDiv w:val="1"/>
      <w:marLeft w:val="0"/>
      <w:marRight w:val="0"/>
      <w:marTop w:val="0"/>
      <w:marBottom w:val="0"/>
      <w:divBdr>
        <w:top w:val="none" w:sz="0" w:space="0" w:color="auto"/>
        <w:left w:val="none" w:sz="0" w:space="0" w:color="auto"/>
        <w:bottom w:val="none" w:sz="0" w:space="0" w:color="auto"/>
        <w:right w:val="none" w:sz="0" w:space="0" w:color="auto"/>
      </w:divBdr>
    </w:div>
    <w:div w:id="1799570147">
      <w:bodyDiv w:val="1"/>
      <w:marLeft w:val="0"/>
      <w:marRight w:val="0"/>
      <w:marTop w:val="0"/>
      <w:marBottom w:val="0"/>
      <w:divBdr>
        <w:top w:val="none" w:sz="0" w:space="0" w:color="auto"/>
        <w:left w:val="none" w:sz="0" w:space="0" w:color="auto"/>
        <w:bottom w:val="none" w:sz="0" w:space="0" w:color="auto"/>
        <w:right w:val="none" w:sz="0" w:space="0" w:color="auto"/>
      </w:divBdr>
    </w:div>
    <w:div w:id="1799644461">
      <w:bodyDiv w:val="1"/>
      <w:marLeft w:val="0"/>
      <w:marRight w:val="0"/>
      <w:marTop w:val="0"/>
      <w:marBottom w:val="0"/>
      <w:divBdr>
        <w:top w:val="none" w:sz="0" w:space="0" w:color="auto"/>
        <w:left w:val="none" w:sz="0" w:space="0" w:color="auto"/>
        <w:bottom w:val="none" w:sz="0" w:space="0" w:color="auto"/>
        <w:right w:val="none" w:sz="0" w:space="0" w:color="auto"/>
      </w:divBdr>
    </w:div>
    <w:div w:id="1799764859">
      <w:bodyDiv w:val="1"/>
      <w:marLeft w:val="0"/>
      <w:marRight w:val="0"/>
      <w:marTop w:val="0"/>
      <w:marBottom w:val="0"/>
      <w:divBdr>
        <w:top w:val="none" w:sz="0" w:space="0" w:color="auto"/>
        <w:left w:val="none" w:sz="0" w:space="0" w:color="auto"/>
        <w:bottom w:val="none" w:sz="0" w:space="0" w:color="auto"/>
        <w:right w:val="none" w:sz="0" w:space="0" w:color="auto"/>
      </w:divBdr>
    </w:div>
    <w:div w:id="1799910885">
      <w:bodyDiv w:val="1"/>
      <w:marLeft w:val="0"/>
      <w:marRight w:val="0"/>
      <w:marTop w:val="0"/>
      <w:marBottom w:val="0"/>
      <w:divBdr>
        <w:top w:val="none" w:sz="0" w:space="0" w:color="auto"/>
        <w:left w:val="none" w:sz="0" w:space="0" w:color="auto"/>
        <w:bottom w:val="none" w:sz="0" w:space="0" w:color="auto"/>
        <w:right w:val="none" w:sz="0" w:space="0" w:color="auto"/>
      </w:divBdr>
    </w:div>
    <w:div w:id="1799949387">
      <w:bodyDiv w:val="1"/>
      <w:marLeft w:val="0"/>
      <w:marRight w:val="0"/>
      <w:marTop w:val="0"/>
      <w:marBottom w:val="0"/>
      <w:divBdr>
        <w:top w:val="none" w:sz="0" w:space="0" w:color="auto"/>
        <w:left w:val="none" w:sz="0" w:space="0" w:color="auto"/>
        <w:bottom w:val="none" w:sz="0" w:space="0" w:color="auto"/>
        <w:right w:val="none" w:sz="0" w:space="0" w:color="auto"/>
      </w:divBdr>
    </w:div>
    <w:div w:id="1800026049">
      <w:bodyDiv w:val="1"/>
      <w:marLeft w:val="0"/>
      <w:marRight w:val="0"/>
      <w:marTop w:val="0"/>
      <w:marBottom w:val="0"/>
      <w:divBdr>
        <w:top w:val="none" w:sz="0" w:space="0" w:color="auto"/>
        <w:left w:val="none" w:sz="0" w:space="0" w:color="auto"/>
        <w:bottom w:val="none" w:sz="0" w:space="0" w:color="auto"/>
        <w:right w:val="none" w:sz="0" w:space="0" w:color="auto"/>
      </w:divBdr>
    </w:div>
    <w:div w:id="1800148399">
      <w:bodyDiv w:val="1"/>
      <w:marLeft w:val="0"/>
      <w:marRight w:val="0"/>
      <w:marTop w:val="0"/>
      <w:marBottom w:val="0"/>
      <w:divBdr>
        <w:top w:val="none" w:sz="0" w:space="0" w:color="auto"/>
        <w:left w:val="none" w:sz="0" w:space="0" w:color="auto"/>
        <w:bottom w:val="none" w:sz="0" w:space="0" w:color="auto"/>
        <w:right w:val="none" w:sz="0" w:space="0" w:color="auto"/>
      </w:divBdr>
    </w:div>
    <w:div w:id="1800225279">
      <w:bodyDiv w:val="1"/>
      <w:marLeft w:val="0"/>
      <w:marRight w:val="0"/>
      <w:marTop w:val="0"/>
      <w:marBottom w:val="0"/>
      <w:divBdr>
        <w:top w:val="none" w:sz="0" w:space="0" w:color="auto"/>
        <w:left w:val="none" w:sz="0" w:space="0" w:color="auto"/>
        <w:bottom w:val="none" w:sz="0" w:space="0" w:color="auto"/>
        <w:right w:val="none" w:sz="0" w:space="0" w:color="auto"/>
      </w:divBdr>
    </w:div>
    <w:div w:id="1800297558">
      <w:bodyDiv w:val="1"/>
      <w:marLeft w:val="0"/>
      <w:marRight w:val="0"/>
      <w:marTop w:val="0"/>
      <w:marBottom w:val="0"/>
      <w:divBdr>
        <w:top w:val="none" w:sz="0" w:space="0" w:color="auto"/>
        <w:left w:val="none" w:sz="0" w:space="0" w:color="auto"/>
        <w:bottom w:val="none" w:sz="0" w:space="0" w:color="auto"/>
        <w:right w:val="none" w:sz="0" w:space="0" w:color="auto"/>
      </w:divBdr>
    </w:div>
    <w:div w:id="1800345287">
      <w:bodyDiv w:val="1"/>
      <w:marLeft w:val="0"/>
      <w:marRight w:val="0"/>
      <w:marTop w:val="0"/>
      <w:marBottom w:val="0"/>
      <w:divBdr>
        <w:top w:val="none" w:sz="0" w:space="0" w:color="auto"/>
        <w:left w:val="none" w:sz="0" w:space="0" w:color="auto"/>
        <w:bottom w:val="none" w:sz="0" w:space="0" w:color="auto"/>
        <w:right w:val="none" w:sz="0" w:space="0" w:color="auto"/>
      </w:divBdr>
    </w:div>
    <w:div w:id="1800489170">
      <w:bodyDiv w:val="1"/>
      <w:marLeft w:val="0"/>
      <w:marRight w:val="0"/>
      <w:marTop w:val="0"/>
      <w:marBottom w:val="0"/>
      <w:divBdr>
        <w:top w:val="none" w:sz="0" w:space="0" w:color="auto"/>
        <w:left w:val="none" w:sz="0" w:space="0" w:color="auto"/>
        <w:bottom w:val="none" w:sz="0" w:space="0" w:color="auto"/>
        <w:right w:val="none" w:sz="0" w:space="0" w:color="auto"/>
      </w:divBdr>
    </w:div>
    <w:div w:id="1800490925">
      <w:bodyDiv w:val="1"/>
      <w:marLeft w:val="0"/>
      <w:marRight w:val="0"/>
      <w:marTop w:val="0"/>
      <w:marBottom w:val="0"/>
      <w:divBdr>
        <w:top w:val="none" w:sz="0" w:space="0" w:color="auto"/>
        <w:left w:val="none" w:sz="0" w:space="0" w:color="auto"/>
        <w:bottom w:val="none" w:sz="0" w:space="0" w:color="auto"/>
        <w:right w:val="none" w:sz="0" w:space="0" w:color="auto"/>
      </w:divBdr>
    </w:div>
    <w:div w:id="1800491110">
      <w:bodyDiv w:val="1"/>
      <w:marLeft w:val="0"/>
      <w:marRight w:val="0"/>
      <w:marTop w:val="0"/>
      <w:marBottom w:val="0"/>
      <w:divBdr>
        <w:top w:val="none" w:sz="0" w:space="0" w:color="auto"/>
        <w:left w:val="none" w:sz="0" w:space="0" w:color="auto"/>
        <w:bottom w:val="none" w:sz="0" w:space="0" w:color="auto"/>
        <w:right w:val="none" w:sz="0" w:space="0" w:color="auto"/>
      </w:divBdr>
    </w:div>
    <w:div w:id="1800492217">
      <w:bodyDiv w:val="1"/>
      <w:marLeft w:val="0"/>
      <w:marRight w:val="0"/>
      <w:marTop w:val="0"/>
      <w:marBottom w:val="0"/>
      <w:divBdr>
        <w:top w:val="none" w:sz="0" w:space="0" w:color="auto"/>
        <w:left w:val="none" w:sz="0" w:space="0" w:color="auto"/>
        <w:bottom w:val="none" w:sz="0" w:space="0" w:color="auto"/>
        <w:right w:val="none" w:sz="0" w:space="0" w:color="auto"/>
      </w:divBdr>
    </w:div>
    <w:div w:id="1800561687">
      <w:bodyDiv w:val="1"/>
      <w:marLeft w:val="0"/>
      <w:marRight w:val="0"/>
      <w:marTop w:val="0"/>
      <w:marBottom w:val="0"/>
      <w:divBdr>
        <w:top w:val="none" w:sz="0" w:space="0" w:color="auto"/>
        <w:left w:val="none" w:sz="0" w:space="0" w:color="auto"/>
        <w:bottom w:val="none" w:sz="0" w:space="0" w:color="auto"/>
        <w:right w:val="none" w:sz="0" w:space="0" w:color="auto"/>
      </w:divBdr>
    </w:div>
    <w:div w:id="1800562295">
      <w:bodyDiv w:val="1"/>
      <w:marLeft w:val="0"/>
      <w:marRight w:val="0"/>
      <w:marTop w:val="0"/>
      <w:marBottom w:val="0"/>
      <w:divBdr>
        <w:top w:val="none" w:sz="0" w:space="0" w:color="auto"/>
        <w:left w:val="none" w:sz="0" w:space="0" w:color="auto"/>
        <w:bottom w:val="none" w:sz="0" w:space="0" w:color="auto"/>
        <w:right w:val="none" w:sz="0" w:space="0" w:color="auto"/>
      </w:divBdr>
      <w:divsChild>
        <w:div w:id="1324296">
          <w:marLeft w:val="0"/>
          <w:marRight w:val="0"/>
          <w:marTop w:val="0"/>
          <w:marBottom w:val="0"/>
          <w:divBdr>
            <w:top w:val="none" w:sz="0" w:space="0" w:color="auto"/>
            <w:left w:val="none" w:sz="0" w:space="0" w:color="auto"/>
            <w:bottom w:val="none" w:sz="0" w:space="0" w:color="auto"/>
            <w:right w:val="none" w:sz="0" w:space="0" w:color="auto"/>
          </w:divBdr>
        </w:div>
        <w:div w:id="4476767">
          <w:marLeft w:val="0"/>
          <w:marRight w:val="0"/>
          <w:marTop w:val="0"/>
          <w:marBottom w:val="0"/>
          <w:divBdr>
            <w:top w:val="none" w:sz="0" w:space="0" w:color="auto"/>
            <w:left w:val="none" w:sz="0" w:space="0" w:color="auto"/>
            <w:bottom w:val="none" w:sz="0" w:space="0" w:color="auto"/>
            <w:right w:val="none" w:sz="0" w:space="0" w:color="auto"/>
          </w:divBdr>
        </w:div>
        <w:div w:id="9527453">
          <w:marLeft w:val="0"/>
          <w:marRight w:val="0"/>
          <w:marTop w:val="0"/>
          <w:marBottom w:val="0"/>
          <w:divBdr>
            <w:top w:val="none" w:sz="0" w:space="0" w:color="auto"/>
            <w:left w:val="none" w:sz="0" w:space="0" w:color="auto"/>
            <w:bottom w:val="none" w:sz="0" w:space="0" w:color="auto"/>
            <w:right w:val="none" w:sz="0" w:space="0" w:color="auto"/>
          </w:divBdr>
        </w:div>
        <w:div w:id="24016841">
          <w:marLeft w:val="0"/>
          <w:marRight w:val="0"/>
          <w:marTop w:val="0"/>
          <w:marBottom w:val="0"/>
          <w:divBdr>
            <w:top w:val="none" w:sz="0" w:space="0" w:color="auto"/>
            <w:left w:val="none" w:sz="0" w:space="0" w:color="auto"/>
            <w:bottom w:val="none" w:sz="0" w:space="0" w:color="auto"/>
            <w:right w:val="none" w:sz="0" w:space="0" w:color="auto"/>
          </w:divBdr>
        </w:div>
        <w:div w:id="27294959">
          <w:marLeft w:val="0"/>
          <w:marRight w:val="0"/>
          <w:marTop w:val="0"/>
          <w:marBottom w:val="0"/>
          <w:divBdr>
            <w:top w:val="none" w:sz="0" w:space="0" w:color="auto"/>
            <w:left w:val="none" w:sz="0" w:space="0" w:color="auto"/>
            <w:bottom w:val="none" w:sz="0" w:space="0" w:color="auto"/>
            <w:right w:val="none" w:sz="0" w:space="0" w:color="auto"/>
          </w:divBdr>
        </w:div>
        <w:div w:id="32124051">
          <w:marLeft w:val="0"/>
          <w:marRight w:val="0"/>
          <w:marTop w:val="0"/>
          <w:marBottom w:val="0"/>
          <w:divBdr>
            <w:top w:val="none" w:sz="0" w:space="0" w:color="auto"/>
            <w:left w:val="none" w:sz="0" w:space="0" w:color="auto"/>
            <w:bottom w:val="none" w:sz="0" w:space="0" w:color="auto"/>
            <w:right w:val="none" w:sz="0" w:space="0" w:color="auto"/>
          </w:divBdr>
        </w:div>
        <w:div w:id="56823507">
          <w:marLeft w:val="0"/>
          <w:marRight w:val="0"/>
          <w:marTop w:val="0"/>
          <w:marBottom w:val="0"/>
          <w:divBdr>
            <w:top w:val="none" w:sz="0" w:space="0" w:color="auto"/>
            <w:left w:val="none" w:sz="0" w:space="0" w:color="auto"/>
            <w:bottom w:val="none" w:sz="0" w:space="0" w:color="auto"/>
            <w:right w:val="none" w:sz="0" w:space="0" w:color="auto"/>
          </w:divBdr>
        </w:div>
        <w:div w:id="64305661">
          <w:marLeft w:val="0"/>
          <w:marRight w:val="0"/>
          <w:marTop w:val="0"/>
          <w:marBottom w:val="0"/>
          <w:divBdr>
            <w:top w:val="none" w:sz="0" w:space="0" w:color="auto"/>
            <w:left w:val="none" w:sz="0" w:space="0" w:color="auto"/>
            <w:bottom w:val="none" w:sz="0" w:space="0" w:color="auto"/>
            <w:right w:val="none" w:sz="0" w:space="0" w:color="auto"/>
          </w:divBdr>
        </w:div>
        <w:div w:id="66659273">
          <w:marLeft w:val="0"/>
          <w:marRight w:val="0"/>
          <w:marTop w:val="0"/>
          <w:marBottom w:val="0"/>
          <w:divBdr>
            <w:top w:val="none" w:sz="0" w:space="0" w:color="auto"/>
            <w:left w:val="none" w:sz="0" w:space="0" w:color="auto"/>
            <w:bottom w:val="none" w:sz="0" w:space="0" w:color="auto"/>
            <w:right w:val="none" w:sz="0" w:space="0" w:color="auto"/>
          </w:divBdr>
        </w:div>
        <w:div w:id="92437297">
          <w:marLeft w:val="0"/>
          <w:marRight w:val="0"/>
          <w:marTop w:val="0"/>
          <w:marBottom w:val="0"/>
          <w:divBdr>
            <w:top w:val="none" w:sz="0" w:space="0" w:color="auto"/>
            <w:left w:val="none" w:sz="0" w:space="0" w:color="auto"/>
            <w:bottom w:val="none" w:sz="0" w:space="0" w:color="auto"/>
            <w:right w:val="none" w:sz="0" w:space="0" w:color="auto"/>
          </w:divBdr>
        </w:div>
        <w:div w:id="93015823">
          <w:marLeft w:val="0"/>
          <w:marRight w:val="0"/>
          <w:marTop w:val="0"/>
          <w:marBottom w:val="0"/>
          <w:divBdr>
            <w:top w:val="none" w:sz="0" w:space="0" w:color="auto"/>
            <w:left w:val="none" w:sz="0" w:space="0" w:color="auto"/>
            <w:bottom w:val="none" w:sz="0" w:space="0" w:color="auto"/>
            <w:right w:val="none" w:sz="0" w:space="0" w:color="auto"/>
          </w:divBdr>
        </w:div>
        <w:div w:id="96875455">
          <w:marLeft w:val="0"/>
          <w:marRight w:val="0"/>
          <w:marTop w:val="0"/>
          <w:marBottom w:val="0"/>
          <w:divBdr>
            <w:top w:val="none" w:sz="0" w:space="0" w:color="auto"/>
            <w:left w:val="none" w:sz="0" w:space="0" w:color="auto"/>
            <w:bottom w:val="none" w:sz="0" w:space="0" w:color="auto"/>
            <w:right w:val="none" w:sz="0" w:space="0" w:color="auto"/>
          </w:divBdr>
        </w:div>
        <w:div w:id="128086408">
          <w:marLeft w:val="0"/>
          <w:marRight w:val="0"/>
          <w:marTop w:val="0"/>
          <w:marBottom w:val="0"/>
          <w:divBdr>
            <w:top w:val="none" w:sz="0" w:space="0" w:color="auto"/>
            <w:left w:val="none" w:sz="0" w:space="0" w:color="auto"/>
            <w:bottom w:val="none" w:sz="0" w:space="0" w:color="auto"/>
            <w:right w:val="none" w:sz="0" w:space="0" w:color="auto"/>
          </w:divBdr>
        </w:div>
        <w:div w:id="132649348">
          <w:marLeft w:val="0"/>
          <w:marRight w:val="0"/>
          <w:marTop w:val="0"/>
          <w:marBottom w:val="0"/>
          <w:divBdr>
            <w:top w:val="none" w:sz="0" w:space="0" w:color="auto"/>
            <w:left w:val="none" w:sz="0" w:space="0" w:color="auto"/>
            <w:bottom w:val="none" w:sz="0" w:space="0" w:color="auto"/>
            <w:right w:val="none" w:sz="0" w:space="0" w:color="auto"/>
          </w:divBdr>
        </w:div>
        <w:div w:id="133640644">
          <w:marLeft w:val="0"/>
          <w:marRight w:val="0"/>
          <w:marTop w:val="0"/>
          <w:marBottom w:val="0"/>
          <w:divBdr>
            <w:top w:val="none" w:sz="0" w:space="0" w:color="auto"/>
            <w:left w:val="none" w:sz="0" w:space="0" w:color="auto"/>
            <w:bottom w:val="none" w:sz="0" w:space="0" w:color="auto"/>
            <w:right w:val="none" w:sz="0" w:space="0" w:color="auto"/>
          </w:divBdr>
        </w:div>
        <w:div w:id="145585973">
          <w:marLeft w:val="0"/>
          <w:marRight w:val="0"/>
          <w:marTop w:val="0"/>
          <w:marBottom w:val="0"/>
          <w:divBdr>
            <w:top w:val="none" w:sz="0" w:space="0" w:color="auto"/>
            <w:left w:val="none" w:sz="0" w:space="0" w:color="auto"/>
            <w:bottom w:val="none" w:sz="0" w:space="0" w:color="auto"/>
            <w:right w:val="none" w:sz="0" w:space="0" w:color="auto"/>
          </w:divBdr>
        </w:div>
        <w:div w:id="146021609">
          <w:marLeft w:val="0"/>
          <w:marRight w:val="0"/>
          <w:marTop w:val="0"/>
          <w:marBottom w:val="0"/>
          <w:divBdr>
            <w:top w:val="none" w:sz="0" w:space="0" w:color="auto"/>
            <w:left w:val="none" w:sz="0" w:space="0" w:color="auto"/>
            <w:bottom w:val="none" w:sz="0" w:space="0" w:color="auto"/>
            <w:right w:val="none" w:sz="0" w:space="0" w:color="auto"/>
          </w:divBdr>
        </w:div>
        <w:div w:id="154347703">
          <w:marLeft w:val="0"/>
          <w:marRight w:val="0"/>
          <w:marTop w:val="0"/>
          <w:marBottom w:val="0"/>
          <w:divBdr>
            <w:top w:val="none" w:sz="0" w:space="0" w:color="auto"/>
            <w:left w:val="none" w:sz="0" w:space="0" w:color="auto"/>
            <w:bottom w:val="none" w:sz="0" w:space="0" w:color="auto"/>
            <w:right w:val="none" w:sz="0" w:space="0" w:color="auto"/>
          </w:divBdr>
        </w:div>
        <w:div w:id="157187370">
          <w:marLeft w:val="0"/>
          <w:marRight w:val="0"/>
          <w:marTop w:val="0"/>
          <w:marBottom w:val="0"/>
          <w:divBdr>
            <w:top w:val="none" w:sz="0" w:space="0" w:color="auto"/>
            <w:left w:val="none" w:sz="0" w:space="0" w:color="auto"/>
            <w:bottom w:val="none" w:sz="0" w:space="0" w:color="auto"/>
            <w:right w:val="none" w:sz="0" w:space="0" w:color="auto"/>
          </w:divBdr>
        </w:div>
        <w:div w:id="158933007">
          <w:marLeft w:val="0"/>
          <w:marRight w:val="0"/>
          <w:marTop w:val="0"/>
          <w:marBottom w:val="0"/>
          <w:divBdr>
            <w:top w:val="none" w:sz="0" w:space="0" w:color="auto"/>
            <w:left w:val="none" w:sz="0" w:space="0" w:color="auto"/>
            <w:bottom w:val="none" w:sz="0" w:space="0" w:color="auto"/>
            <w:right w:val="none" w:sz="0" w:space="0" w:color="auto"/>
          </w:divBdr>
        </w:div>
        <w:div w:id="162086009">
          <w:marLeft w:val="0"/>
          <w:marRight w:val="0"/>
          <w:marTop w:val="0"/>
          <w:marBottom w:val="0"/>
          <w:divBdr>
            <w:top w:val="none" w:sz="0" w:space="0" w:color="auto"/>
            <w:left w:val="none" w:sz="0" w:space="0" w:color="auto"/>
            <w:bottom w:val="none" w:sz="0" w:space="0" w:color="auto"/>
            <w:right w:val="none" w:sz="0" w:space="0" w:color="auto"/>
          </w:divBdr>
        </w:div>
        <w:div w:id="162358677">
          <w:marLeft w:val="0"/>
          <w:marRight w:val="0"/>
          <w:marTop w:val="0"/>
          <w:marBottom w:val="0"/>
          <w:divBdr>
            <w:top w:val="none" w:sz="0" w:space="0" w:color="auto"/>
            <w:left w:val="none" w:sz="0" w:space="0" w:color="auto"/>
            <w:bottom w:val="none" w:sz="0" w:space="0" w:color="auto"/>
            <w:right w:val="none" w:sz="0" w:space="0" w:color="auto"/>
          </w:divBdr>
        </w:div>
        <w:div w:id="169030719">
          <w:marLeft w:val="0"/>
          <w:marRight w:val="0"/>
          <w:marTop w:val="0"/>
          <w:marBottom w:val="0"/>
          <w:divBdr>
            <w:top w:val="none" w:sz="0" w:space="0" w:color="auto"/>
            <w:left w:val="none" w:sz="0" w:space="0" w:color="auto"/>
            <w:bottom w:val="none" w:sz="0" w:space="0" w:color="auto"/>
            <w:right w:val="none" w:sz="0" w:space="0" w:color="auto"/>
          </w:divBdr>
        </w:div>
        <w:div w:id="175312797">
          <w:marLeft w:val="0"/>
          <w:marRight w:val="0"/>
          <w:marTop w:val="0"/>
          <w:marBottom w:val="0"/>
          <w:divBdr>
            <w:top w:val="none" w:sz="0" w:space="0" w:color="auto"/>
            <w:left w:val="none" w:sz="0" w:space="0" w:color="auto"/>
            <w:bottom w:val="none" w:sz="0" w:space="0" w:color="auto"/>
            <w:right w:val="none" w:sz="0" w:space="0" w:color="auto"/>
          </w:divBdr>
        </w:div>
        <w:div w:id="178203555">
          <w:marLeft w:val="0"/>
          <w:marRight w:val="0"/>
          <w:marTop w:val="0"/>
          <w:marBottom w:val="0"/>
          <w:divBdr>
            <w:top w:val="none" w:sz="0" w:space="0" w:color="auto"/>
            <w:left w:val="none" w:sz="0" w:space="0" w:color="auto"/>
            <w:bottom w:val="none" w:sz="0" w:space="0" w:color="auto"/>
            <w:right w:val="none" w:sz="0" w:space="0" w:color="auto"/>
          </w:divBdr>
        </w:div>
        <w:div w:id="223177088">
          <w:marLeft w:val="0"/>
          <w:marRight w:val="0"/>
          <w:marTop w:val="0"/>
          <w:marBottom w:val="0"/>
          <w:divBdr>
            <w:top w:val="none" w:sz="0" w:space="0" w:color="auto"/>
            <w:left w:val="none" w:sz="0" w:space="0" w:color="auto"/>
            <w:bottom w:val="none" w:sz="0" w:space="0" w:color="auto"/>
            <w:right w:val="none" w:sz="0" w:space="0" w:color="auto"/>
          </w:divBdr>
        </w:div>
        <w:div w:id="234365623">
          <w:marLeft w:val="0"/>
          <w:marRight w:val="0"/>
          <w:marTop w:val="0"/>
          <w:marBottom w:val="0"/>
          <w:divBdr>
            <w:top w:val="none" w:sz="0" w:space="0" w:color="auto"/>
            <w:left w:val="none" w:sz="0" w:space="0" w:color="auto"/>
            <w:bottom w:val="none" w:sz="0" w:space="0" w:color="auto"/>
            <w:right w:val="none" w:sz="0" w:space="0" w:color="auto"/>
          </w:divBdr>
        </w:div>
        <w:div w:id="237327472">
          <w:marLeft w:val="0"/>
          <w:marRight w:val="0"/>
          <w:marTop w:val="0"/>
          <w:marBottom w:val="0"/>
          <w:divBdr>
            <w:top w:val="none" w:sz="0" w:space="0" w:color="auto"/>
            <w:left w:val="none" w:sz="0" w:space="0" w:color="auto"/>
            <w:bottom w:val="none" w:sz="0" w:space="0" w:color="auto"/>
            <w:right w:val="none" w:sz="0" w:space="0" w:color="auto"/>
          </w:divBdr>
        </w:div>
        <w:div w:id="269238523">
          <w:marLeft w:val="0"/>
          <w:marRight w:val="0"/>
          <w:marTop w:val="0"/>
          <w:marBottom w:val="0"/>
          <w:divBdr>
            <w:top w:val="none" w:sz="0" w:space="0" w:color="auto"/>
            <w:left w:val="none" w:sz="0" w:space="0" w:color="auto"/>
            <w:bottom w:val="none" w:sz="0" w:space="0" w:color="auto"/>
            <w:right w:val="none" w:sz="0" w:space="0" w:color="auto"/>
          </w:divBdr>
        </w:div>
        <w:div w:id="273825810">
          <w:marLeft w:val="0"/>
          <w:marRight w:val="0"/>
          <w:marTop w:val="0"/>
          <w:marBottom w:val="0"/>
          <w:divBdr>
            <w:top w:val="none" w:sz="0" w:space="0" w:color="auto"/>
            <w:left w:val="none" w:sz="0" w:space="0" w:color="auto"/>
            <w:bottom w:val="none" w:sz="0" w:space="0" w:color="auto"/>
            <w:right w:val="none" w:sz="0" w:space="0" w:color="auto"/>
          </w:divBdr>
        </w:div>
        <w:div w:id="275261191">
          <w:marLeft w:val="0"/>
          <w:marRight w:val="0"/>
          <w:marTop w:val="0"/>
          <w:marBottom w:val="0"/>
          <w:divBdr>
            <w:top w:val="none" w:sz="0" w:space="0" w:color="auto"/>
            <w:left w:val="none" w:sz="0" w:space="0" w:color="auto"/>
            <w:bottom w:val="none" w:sz="0" w:space="0" w:color="auto"/>
            <w:right w:val="none" w:sz="0" w:space="0" w:color="auto"/>
          </w:divBdr>
        </w:div>
        <w:div w:id="308246755">
          <w:marLeft w:val="0"/>
          <w:marRight w:val="0"/>
          <w:marTop w:val="0"/>
          <w:marBottom w:val="0"/>
          <w:divBdr>
            <w:top w:val="none" w:sz="0" w:space="0" w:color="auto"/>
            <w:left w:val="none" w:sz="0" w:space="0" w:color="auto"/>
            <w:bottom w:val="none" w:sz="0" w:space="0" w:color="auto"/>
            <w:right w:val="none" w:sz="0" w:space="0" w:color="auto"/>
          </w:divBdr>
        </w:div>
        <w:div w:id="314267275">
          <w:marLeft w:val="0"/>
          <w:marRight w:val="0"/>
          <w:marTop w:val="0"/>
          <w:marBottom w:val="0"/>
          <w:divBdr>
            <w:top w:val="none" w:sz="0" w:space="0" w:color="auto"/>
            <w:left w:val="none" w:sz="0" w:space="0" w:color="auto"/>
            <w:bottom w:val="none" w:sz="0" w:space="0" w:color="auto"/>
            <w:right w:val="none" w:sz="0" w:space="0" w:color="auto"/>
          </w:divBdr>
        </w:div>
        <w:div w:id="314377946">
          <w:marLeft w:val="0"/>
          <w:marRight w:val="0"/>
          <w:marTop w:val="0"/>
          <w:marBottom w:val="0"/>
          <w:divBdr>
            <w:top w:val="none" w:sz="0" w:space="0" w:color="auto"/>
            <w:left w:val="none" w:sz="0" w:space="0" w:color="auto"/>
            <w:bottom w:val="none" w:sz="0" w:space="0" w:color="auto"/>
            <w:right w:val="none" w:sz="0" w:space="0" w:color="auto"/>
          </w:divBdr>
        </w:div>
        <w:div w:id="318577939">
          <w:marLeft w:val="0"/>
          <w:marRight w:val="0"/>
          <w:marTop w:val="0"/>
          <w:marBottom w:val="0"/>
          <w:divBdr>
            <w:top w:val="none" w:sz="0" w:space="0" w:color="auto"/>
            <w:left w:val="none" w:sz="0" w:space="0" w:color="auto"/>
            <w:bottom w:val="none" w:sz="0" w:space="0" w:color="auto"/>
            <w:right w:val="none" w:sz="0" w:space="0" w:color="auto"/>
          </w:divBdr>
        </w:div>
        <w:div w:id="325867479">
          <w:marLeft w:val="0"/>
          <w:marRight w:val="0"/>
          <w:marTop w:val="0"/>
          <w:marBottom w:val="0"/>
          <w:divBdr>
            <w:top w:val="none" w:sz="0" w:space="0" w:color="auto"/>
            <w:left w:val="none" w:sz="0" w:space="0" w:color="auto"/>
            <w:bottom w:val="none" w:sz="0" w:space="0" w:color="auto"/>
            <w:right w:val="none" w:sz="0" w:space="0" w:color="auto"/>
          </w:divBdr>
        </w:div>
        <w:div w:id="342168812">
          <w:marLeft w:val="0"/>
          <w:marRight w:val="0"/>
          <w:marTop w:val="0"/>
          <w:marBottom w:val="0"/>
          <w:divBdr>
            <w:top w:val="none" w:sz="0" w:space="0" w:color="auto"/>
            <w:left w:val="none" w:sz="0" w:space="0" w:color="auto"/>
            <w:bottom w:val="none" w:sz="0" w:space="0" w:color="auto"/>
            <w:right w:val="none" w:sz="0" w:space="0" w:color="auto"/>
          </w:divBdr>
        </w:div>
        <w:div w:id="352195117">
          <w:marLeft w:val="0"/>
          <w:marRight w:val="0"/>
          <w:marTop w:val="0"/>
          <w:marBottom w:val="0"/>
          <w:divBdr>
            <w:top w:val="none" w:sz="0" w:space="0" w:color="auto"/>
            <w:left w:val="none" w:sz="0" w:space="0" w:color="auto"/>
            <w:bottom w:val="none" w:sz="0" w:space="0" w:color="auto"/>
            <w:right w:val="none" w:sz="0" w:space="0" w:color="auto"/>
          </w:divBdr>
        </w:div>
        <w:div w:id="352272766">
          <w:marLeft w:val="0"/>
          <w:marRight w:val="0"/>
          <w:marTop w:val="0"/>
          <w:marBottom w:val="0"/>
          <w:divBdr>
            <w:top w:val="none" w:sz="0" w:space="0" w:color="auto"/>
            <w:left w:val="none" w:sz="0" w:space="0" w:color="auto"/>
            <w:bottom w:val="none" w:sz="0" w:space="0" w:color="auto"/>
            <w:right w:val="none" w:sz="0" w:space="0" w:color="auto"/>
          </w:divBdr>
        </w:div>
        <w:div w:id="359284737">
          <w:marLeft w:val="0"/>
          <w:marRight w:val="0"/>
          <w:marTop w:val="0"/>
          <w:marBottom w:val="0"/>
          <w:divBdr>
            <w:top w:val="none" w:sz="0" w:space="0" w:color="auto"/>
            <w:left w:val="none" w:sz="0" w:space="0" w:color="auto"/>
            <w:bottom w:val="none" w:sz="0" w:space="0" w:color="auto"/>
            <w:right w:val="none" w:sz="0" w:space="0" w:color="auto"/>
          </w:divBdr>
        </w:div>
        <w:div w:id="381057219">
          <w:marLeft w:val="0"/>
          <w:marRight w:val="0"/>
          <w:marTop w:val="0"/>
          <w:marBottom w:val="0"/>
          <w:divBdr>
            <w:top w:val="none" w:sz="0" w:space="0" w:color="auto"/>
            <w:left w:val="none" w:sz="0" w:space="0" w:color="auto"/>
            <w:bottom w:val="none" w:sz="0" w:space="0" w:color="auto"/>
            <w:right w:val="none" w:sz="0" w:space="0" w:color="auto"/>
          </w:divBdr>
        </w:div>
        <w:div w:id="390733656">
          <w:marLeft w:val="0"/>
          <w:marRight w:val="0"/>
          <w:marTop w:val="0"/>
          <w:marBottom w:val="0"/>
          <w:divBdr>
            <w:top w:val="none" w:sz="0" w:space="0" w:color="auto"/>
            <w:left w:val="none" w:sz="0" w:space="0" w:color="auto"/>
            <w:bottom w:val="none" w:sz="0" w:space="0" w:color="auto"/>
            <w:right w:val="none" w:sz="0" w:space="0" w:color="auto"/>
          </w:divBdr>
        </w:div>
        <w:div w:id="392895201">
          <w:marLeft w:val="0"/>
          <w:marRight w:val="0"/>
          <w:marTop w:val="0"/>
          <w:marBottom w:val="0"/>
          <w:divBdr>
            <w:top w:val="none" w:sz="0" w:space="0" w:color="auto"/>
            <w:left w:val="none" w:sz="0" w:space="0" w:color="auto"/>
            <w:bottom w:val="none" w:sz="0" w:space="0" w:color="auto"/>
            <w:right w:val="none" w:sz="0" w:space="0" w:color="auto"/>
          </w:divBdr>
        </w:div>
        <w:div w:id="401952518">
          <w:marLeft w:val="0"/>
          <w:marRight w:val="0"/>
          <w:marTop w:val="0"/>
          <w:marBottom w:val="0"/>
          <w:divBdr>
            <w:top w:val="none" w:sz="0" w:space="0" w:color="auto"/>
            <w:left w:val="none" w:sz="0" w:space="0" w:color="auto"/>
            <w:bottom w:val="none" w:sz="0" w:space="0" w:color="auto"/>
            <w:right w:val="none" w:sz="0" w:space="0" w:color="auto"/>
          </w:divBdr>
        </w:div>
        <w:div w:id="402340402">
          <w:marLeft w:val="0"/>
          <w:marRight w:val="0"/>
          <w:marTop w:val="0"/>
          <w:marBottom w:val="0"/>
          <w:divBdr>
            <w:top w:val="none" w:sz="0" w:space="0" w:color="auto"/>
            <w:left w:val="none" w:sz="0" w:space="0" w:color="auto"/>
            <w:bottom w:val="none" w:sz="0" w:space="0" w:color="auto"/>
            <w:right w:val="none" w:sz="0" w:space="0" w:color="auto"/>
          </w:divBdr>
        </w:div>
        <w:div w:id="423309045">
          <w:marLeft w:val="0"/>
          <w:marRight w:val="0"/>
          <w:marTop w:val="0"/>
          <w:marBottom w:val="0"/>
          <w:divBdr>
            <w:top w:val="none" w:sz="0" w:space="0" w:color="auto"/>
            <w:left w:val="none" w:sz="0" w:space="0" w:color="auto"/>
            <w:bottom w:val="none" w:sz="0" w:space="0" w:color="auto"/>
            <w:right w:val="none" w:sz="0" w:space="0" w:color="auto"/>
          </w:divBdr>
        </w:div>
        <w:div w:id="437484315">
          <w:marLeft w:val="0"/>
          <w:marRight w:val="0"/>
          <w:marTop w:val="0"/>
          <w:marBottom w:val="0"/>
          <w:divBdr>
            <w:top w:val="none" w:sz="0" w:space="0" w:color="auto"/>
            <w:left w:val="none" w:sz="0" w:space="0" w:color="auto"/>
            <w:bottom w:val="none" w:sz="0" w:space="0" w:color="auto"/>
            <w:right w:val="none" w:sz="0" w:space="0" w:color="auto"/>
          </w:divBdr>
        </w:div>
        <w:div w:id="440683027">
          <w:marLeft w:val="0"/>
          <w:marRight w:val="0"/>
          <w:marTop w:val="0"/>
          <w:marBottom w:val="0"/>
          <w:divBdr>
            <w:top w:val="none" w:sz="0" w:space="0" w:color="auto"/>
            <w:left w:val="none" w:sz="0" w:space="0" w:color="auto"/>
            <w:bottom w:val="none" w:sz="0" w:space="0" w:color="auto"/>
            <w:right w:val="none" w:sz="0" w:space="0" w:color="auto"/>
          </w:divBdr>
        </w:div>
        <w:div w:id="453132731">
          <w:marLeft w:val="0"/>
          <w:marRight w:val="0"/>
          <w:marTop w:val="0"/>
          <w:marBottom w:val="0"/>
          <w:divBdr>
            <w:top w:val="none" w:sz="0" w:space="0" w:color="auto"/>
            <w:left w:val="none" w:sz="0" w:space="0" w:color="auto"/>
            <w:bottom w:val="none" w:sz="0" w:space="0" w:color="auto"/>
            <w:right w:val="none" w:sz="0" w:space="0" w:color="auto"/>
          </w:divBdr>
        </w:div>
        <w:div w:id="464271613">
          <w:marLeft w:val="0"/>
          <w:marRight w:val="0"/>
          <w:marTop w:val="0"/>
          <w:marBottom w:val="0"/>
          <w:divBdr>
            <w:top w:val="none" w:sz="0" w:space="0" w:color="auto"/>
            <w:left w:val="none" w:sz="0" w:space="0" w:color="auto"/>
            <w:bottom w:val="none" w:sz="0" w:space="0" w:color="auto"/>
            <w:right w:val="none" w:sz="0" w:space="0" w:color="auto"/>
          </w:divBdr>
        </w:div>
        <w:div w:id="467668547">
          <w:marLeft w:val="0"/>
          <w:marRight w:val="0"/>
          <w:marTop w:val="0"/>
          <w:marBottom w:val="0"/>
          <w:divBdr>
            <w:top w:val="none" w:sz="0" w:space="0" w:color="auto"/>
            <w:left w:val="none" w:sz="0" w:space="0" w:color="auto"/>
            <w:bottom w:val="none" w:sz="0" w:space="0" w:color="auto"/>
            <w:right w:val="none" w:sz="0" w:space="0" w:color="auto"/>
          </w:divBdr>
        </w:div>
        <w:div w:id="484933221">
          <w:marLeft w:val="0"/>
          <w:marRight w:val="0"/>
          <w:marTop w:val="0"/>
          <w:marBottom w:val="0"/>
          <w:divBdr>
            <w:top w:val="none" w:sz="0" w:space="0" w:color="auto"/>
            <w:left w:val="none" w:sz="0" w:space="0" w:color="auto"/>
            <w:bottom w:val="none" w:sz="0" w:space="0" w:color="auto"/>
            <w:right w:val="none" w:sz="0" w:space="0" w:color="auto"/>
          </w:divBdr>
        </w:div>
        <w:div w:id="495077909">
          <w:marLeft w:val="0"/>
          <w:marRight w:val="0"/>
          <w:marTop w:val="0"/>
          <w:marBottom w:val="0"/>
          <w:divBdr>
            <w:top w:val="none" w:sz="0" w:space="0" w:color="auto"/>
            <w:left w:val="none" w:sz="0" w:space="0" w:color="auto"/>
            <w:bottom w:val="none" w:sz="0" w:space="0" w:color="auto"/>
            <w:right w:val="none" w:sz="0" w:space="0" w:color="auto"/>
          </w:divBdr>
        </w:div>
        <w:div w:id="504632282">
          <w:marLeft w:val="0"/>
          <w:marRight w:val="0"/>
          <w:marTop w:val="0"/>
          <w:marBottom w:val="0"/>
          <w:divBdr>
            <w:top w:val="none" w:sz="0" w:space="0" w:color="auto"/>
            <w:left w:val="none" w:sz="0" w:space="0" w:color="auto"/>
            <w:bottom w:val="none" w:sz="0" w:space="0" w:color="auto"/>
            <w:right w:val="none" w:sz="0" w:space="0" w:color="auto"/>
          </w:divBdr>
        </w:div>
        <w:div w:id="505168301">
          <w:marLeft w:val="0"/>
          <w:marRight w:val="0"/>
          <w:marTop w:val="0"/>
          <w:marBottom w:val="0"/>
          <w:divBdr>
            <w:top w:val="none" w:sz="0" w:space="0" w:color="auto"/>
            <w:left w:val="none" w:sz="0" w:space="0" w:color="auto"/>
            <w:bottom w:val="none" w:sz="0" w:space="0" w:color="auto"/>
            <w:right w:val="none" w:sz="0" w:space="0" w:color="auto"/>
          </w:divBdr>
        </w:div>
        <w:div w:id="518785744">
          <w:marLeft w:val="0"/>
          <w:marRight w:val="0"/>
          <w:marTop w:val="0"/>
          <w:marBottom w:val="0"/>
          <w:divBdr>
            <w:top w:val="none" w:sz="0" w:space="0" w:color="auto"/>
            <w:left w:val="none" w:sz="0" w:space="0" w:color="auto"/>
            <w:bottom w:val="none" w:sz="0" w:space="0" w:color="auto"/>
            <w:right w:val="none" w:sz="0" w:space="0" w:color="auto"/>
          </w:divBdr>
        </w:div>
        <w:div w:id="528186339">
          <w:marLeft w:val="0"/>
          <w:marRight w:val="0"/>
          <w:marTop w:val="0"/>
          <w:marBottom w:val="0"/>
          <w:divBdr>
            <w:top w:val="none" w:sz="0" w:space="0" w:color="auto"/>
            <w:left w:val="none" w:sz="0" w:space="0" w:color="auto"/>
            <w:bottom w:val="none" w:sz="0" w:space="0" w:color="auto"/>
            <w:right w:val="none" w:sz="0" w:space="0" w:color="auto"/>
          </w:divBdr>
        </w:div>
        <w:div w:id="554317287">
          <w:marLeft w:val="0"/>
          <w:marRight w:val="0"/>
          <w:marTop w:val="0"/>
          <w:marBottom w:val="0"/>
          <w:divBdr>
            <w:top w:val="none" w:sz="0" w:space="0" w:color="auto"/>
            <w:left w:val="none" w:sz="0" w:space="0" w:color="auto"/>
            <w:bottom w:val="none" w:sz="0" w:space="0" w:color="auto"/>
            <w:right w:val="none" w:sz="0" w:space="0" w:color="auto"/>
          </w:divBdr>
        </w:div>
        <w:div w:id="558788153">
          <w:marLeft w:val="0"/>
          <w:marRight w:val="0"/>
          <w:marTop w:val="0"/>
          <w:marBottom w:val="0"/>
          <w:divBdr>
            <w:top w:val="none" w:sz="0" w:space="0" w:color="auto"/>
            <w:left w:val="none" w:sz="0" w:space="0" w:color="auto"/>
            <w:bottom w:val="none" w:sz="0" w:space="0" w:color="auto"/>
            <w:right w:val="none" w:sz="0" w:space="0" w:color="auto"/>
          </w:divBdr>
        </w:div>
        <w:div w:id="568273141">
          <w:marLeft w:val="0"/>
          <w:marRight w:val="0"/>
          <w:marTop w:val="0"/>
          <w:marBottom w:val="0"/>
          <w:divBdr>
            <w:top w:val="none" w:sz="0" w:space="0" w:color="auto"/>
            <w:left w:val="none" w:sz="0" w:space="0" w:color="auto"/>
            <w:bottom w:val="none" w:sz="0" w:space="0" w:color="auto"/>
            <w:right w:val="none" w:sz="0" w:space="0" w:color="auto"/>
          </w:divBdr>
        </w:div>
        <w:div w:id="591397214">
          <w:marLeft w:val="0"/>
          <w:marRight w:val="0"/>
          <w:marTop w:val="0"/>
          <w:marBottom w:val="0"/>
          <w:divBdr>
            <w:top w:val="none" w:sz="0" w:space="0" w:color="auto"/>
            <w:left w:val="none" w:sz="0" w:space="0" w:color="auto"/>
            <w:bottom w:val="none" w:sz="0" w:space="0" w:color="auto"/>
            <w:right w:val="none" w:sz="0" w:space="0" w:color="auto"/>
          </w:divBdr>
        </w:div>
        <w:div w:id="596713864">
          <w:marLeft w:val="0"/>
          <w:marRight w:val="0"/>
          <w:marTop w:val="0"/>
          <w:marBottom w:val="0"/>
          <w:divBdr>
            <w:top w:val="none" w:sz="0" w:space="0" w:color="auto"/>
            <w:left w:val="none" w:sz="0" w:space="0" w:color="auto"/>
            <w:bottom w:val="none" w:sz="0" w:space="0" w:color="auto"/>
            <w:right w:val="none" w:sz="0" w:space="0" w:color="auto"/>
          </w:divBdr>
        </w:div>
        <w:div w:id="600797337">
          <w:marLeft w:val="0"/>
          <w:marRight w:val="0"/>
          <w:marTop w:val="0"/>
          <w:marBottom w:val="0"/>
          <w:divBdr>
            <w:top w:val="none" w:sz="0" w:space="0" w:color="auto"/>
            <w:left w:val="none" w:sz="0" w:space="0" w:color="auto"/>
            <w:bottom w:val="none" w:sz="0" w:space="0" w:color="auto"/>
            <w:right w:val="none" w:sz="0" w:space="0" w:color="auto"/>
          </w:divBdr>
        </w:div>
        <w:div w:id="605041046">
          <w:marLeft w:val="0"/>
          <w:marRight w:val="0"/>
          <w:marTop w:val="0"/>
          <w:marBottom w:val="0"/>
          <w:divBdr>
            <w:top w:val="none" w:sz="0" w:space="0" w:color="auto"/>
            <w:left w:val="none" w:sz="0" w:space="0" w:color="auto"/>
            <w:bottom w:val="none" w:sz="0" w:space="0" w:color="auto"/>
            <w:right w:val="none" w:sz="0" w:space="0" w:color="auto"/>
          </w:divBdr>
        </w:div>
        <w:div w:id="611010145">
          <w:marLeft w:val="0"/>
          <w:marRight w:val="0"/>
          <w:marTop w:val="0"/>
          <w:marBottom w:val="0"/>
          <w:divBdr>
            <w:top w:val="none" w:sz="0" w:space="0" w:color="auto"/>
            <w:left w:val="none" w:sz="0" w:space="0" w:color="auto"/>
            <w:bottom w:val="none" w:sz="0" w:space="0" w:color="auto"/>
            <w:right w:val="none" w:sz="0" w:space="0" w:color="auto"/>
          </w:divBdr>
        </w:div>
        <w:div w:id="617642708">
          <w:marLeft w:val="0"/>
          <w:marRight w:val="0"/>
          <w:marTop w:val="0"/>
          <w:marBottom w:val="0"/>
          <w:divBdr>
            <w:top w:val="none" w:sz="0" w:space="0" w:color="auto"/>
            <w:left w:val="none" w:sz="0" w:space="0" w:color="auto"/>
            <w:bottom w:val="none" w:sz="0" w:space="0" w:color="auto"/>
            <w:right w:val="none" w:sz="0" w:space="0" w:color="auto"/>
          </w:divBdr>
        </w:div>
        <w:div w:id="632978826">
          <w:marLeft w:val="0"/>
          <w:marRight w:val="0"/>
          <w:marTop w:val="0"/>
          <w:marBottom w:val="0"/>
          <w:divBdr>
            <w:top w:val="none" w:sz="0" w:space="0" w:color="auto"/>
            <w:left w:val="none" w:sz="0" w:space="0" w:color="auto"/>
            <w:bottom w:val="none" w:sz="0" w:space="0" w:color="auto"/>
            <w:right w:val="none" w:sz="0" w:space="0" w:color="auto"/>
          </w:divBdr>
        </w:div>
        <w:div w:id="644893742">
          <w:marLeft w:val="0"/>
          <w:marRight w:val="0"/>
          <w:marTop w:val="0"/>
          <w:marBottom w:val="0"/>
          <w:divBdr>
            <w:top w:val="none" w:sz="0" w:space="0" w:color="auto"/>
            <w:left w:val="none" w:sz="0" w:space="0" w:color="auto"/>
            <w:bottom w:val="none" w:sz="0" w:space="0" w:color="auto"/>
            <w:right w:val="none" w:sz="0" w:space="0" w:color="auto"/>
          </w:divBdr>
        </w:div>
        <w:div w:id="679772009">
          <w:marLeft w:val="0"/>
          <w:marRight w:val="0"/>
          <w:marTop w:val="0"/>
          <w:marBottom w:val="0"/>
          <w:divBdr>
            <w:top w:val="none" w:sz="0" w:space="0" w:color="auto"/>
            <w:left w:val="none" w:sz="0" w:space="0" w:color="auto"/>
            <w:bottom w:val="none" w:sz="0" w:space="0" w:color="auto"/>
            <w:right w:val="none" w:sz="0" w:space="0" w:color="auto"/>
          </w:divBdr>
        </w:div>
        <w:div w:id="691732965">
          <w:marLeft w:val="0"/>
          <w:marRight w:val="0"/>
          <w:marTop w:val="0"/>
          <w:marBottom w:val="0"/>
          <w:divBdr>
            <w:top w:val="none" w:sz="0" w:space="0" w:color="auto"/>
            <w:left w:val="none" w:sz="0" w:space="0" w:color="auto"/>
            <w:bottom w:val="none" w:sz="0" w:space="0" w:color="auto"/>
            <w:right w:val="none" w:sz="0" w:space="0" w:color="auto"/>
          </w:divBdr>
        </w:div>
        <w:div w:id="703023518">
          <w:marLeft w:val="0"/>
          <w:marRight w:val="0"/>
          <w:marTop w:val="0"/>
          <w:marBottom w:val="0"/>
          <w:divBdr>
            <w:top w:val="none" w:sz="0" w:space="0" w:color="auto"/>
            <w:left w:val="none" w:sz="0" w:space="0" w:color="auto"/>
            <w:bottom w:val="none" w:sz="0" w:space="0" w:color="auto"/>
            <w:right w:val="none" w:sz="0" w:space="0" w:color="auto"/>
          </w:divBdr>
        </w:div>
        <w:div w:id="709034884">
          <w:marLeft w:val="0"/>
          <w:marRight w:val="0"/>
          <w:marTop w:val="0"/>
          <w:marBottom w:val="0"/>
          <w:divBdr>
            <w:top w:val="none" w:sz="0" w:space="0" w:color="auto"/>
            <w:left w:val="none" w:sz="0" w:space="0" w:color="auto"/>
            <w:bottom w:val="none" w:sz="0" w:space="0" w:color="auto"/>
            <w:right w:val="none" w:sz="0" w:space="0" w:color="auto"/>
          </w:divBdr>
        </w:div>
        <w:div w:id="723063411">
          <w:marLeft w:val="0"/>
          <w:marRight w:val="0"/>
          <w:marTop w:val="0"/>
          <w:marBottom w:val="0"/>
          <w:divBdr>
            <w:top w:val="none" w:sz="0" w:space="0" w:color="auto"/>
            <w:left w:val="none" w:sz="0" w:space="0" w:color="auto"/>
            <w:bottom w:val="none" w:sz="0" w:space="0" w:color="auto"/>
            <w:right w:val="none" w:sz="0" w:space="0" w:color="auto"/>
          </w:divBdr>
        </w:div>
        <w:div w:id="724181795">
          <w:marLeft w:val="0"/>
          <w:marRight w:val="0"/>
          <w:marTop w:val="0"/>
          <w:marBottom w:val="0"/>
          <w:divBdr>
            <w:top w:val="none" w:sz="0" w:space="0" w:color="auto"/>
            <w:left w:val="none" w:sz="0" w:space="0" w:color="auto"/>
            <w:bottom w:val="none" w:sz="0" w:space="0" w:color="auto"/>
            <w:right w:val="none" w:sz="0" w:space="0" w:color="auto"/>
          </w:divBdr>
        </w:div>
        <w:div w:id="756898957">
          <w:marLeft w:val="0"/>
          <w:marRight w:val="0"/>
          <w:marTop w:val="0"/>
          <w:marBottom w:val="0"/>
          <w:divBdr>
            <w:top w:val="none" w:sz="0" w:space="0" w:color="auto"/>
            <w:left w:val="none" w:sz="0" w:space="0" w:color="auto"/>
            <w:bottom w:val="none" w:sz="0" w:space="0" w:color="auto"/>
            <w:right w:val="none" w:sz="0" w:space="0" w:color="auto"/>
          </w:divBdr>
        </w:div>
        <w:div w:id="758872269">
          <w:marLeft w:val="0"/>
          <w:marRight w:val="0"/>
          <w:marTop w:val="0"/>
          <w:marBottom w:val="0"/>
          <w:divBdr>
            <w:top w:val="none" w:sz="0" w:space="0" w:color="auto"/>
            <w:left w:val="none" w:sz="0" w:space="0" w:color="auto"/>
            <w:bottom w:val="none" w:sz="0" w:space="0" w:color="auto"/>
            <w:right w:val="none" w:sz="0" w:space="0" w:color="auto"/>
          </w:divBdr>
        </w:div>
        <w:div w:id="767510368">
          <w:marLeft w:val="0"/>
          <w:marRight w:val="0"/>
          <w:marTop w:val="0"/>
          <w:marBottom w:val="0"/>
          <w:divBdr>
            <w:top w:val="none" w:sz="0" w:space="0" w:color="auto"/>
            <w:left w:val="none" w:sz="0" w:space="0" w:color="auto"/>
            <w:bottom w:val="none" w:sz="0" w:space="0" w:color="auto"/>
            <w:right w:val="none" w:sz="0" w:space="0" w:color="auto"/>
          </w:divBdr>
        </w:div>
        <w:div w:id="770979600">
          <w:marLeft w:val="0"/>
          <w:marRight w:val="0"/>
          <w:marTop w:val="0"/>
          <w:marBottom w:val="0"/>
          <w:divBdr>
            <w:top w:val="none" w:sz="0" w:space="0" w:color="auto"/>
            <w:left w:val="none" w:sz="0" w:space="0" w:color="auto"/>
            <w:bottom w:val="none" w:sz="0" w:space="0" w:color="auto"/>
            <w:right w:val="none" w:sz="0" w:space="0" w:color="auto"/>
          </w:divBdr>
        </w:div>
        <w:div w:id="800268730">
          <w:marLeft w:val="0"/>
          <w:marRight w:val="0"/>
          <w:marTop w:val="0"/>
          <w:marBottom w:val="0"/>
          <w:divBdr>
            <w:top w:val="none" w:sz="0" w:space="0" w:color="auto"/>
            <w:left w:val="none" w:sz="0" w:space="0" w:color="auto"/>
            <w:bottom w:val="none" w:sz="0" w:space="0" w:color="auto"/>
            <w:right w:val="none" w:sz="0" w:space="0" w:color="auto"/>
          </w:divBdr>
        </w:div>
        <w:div w:id="855464135">
          <w:marLeft w:val="0"/>
          <w:marRight w:val="0"/>
          <w:marTop w:val="0"/>
          <w:marBottom w:val="0"/>
          <w:divBdr>
            <w:top w:val="none" w:sz="0" w:space="0" w:color="auto"/>
            <w:left w:val="none" w:sz="0" w:space="0" w:color="auto"/>
            <w:bottom w:val="none" w:sz="0" w:space="0" w:color="auto"/>
            <w:right w:val="none" w:sz="0" w:space="0" w:color="auto"/>
          </w:divBdr>
        </w:div>
        <w:div w:id="868226023">
          <w:marLeft w:val="0"/>
          <w:marRight w:val="0"/>
          <w:marTop w:val="0"/>
          <w:marBottom w:val="0"/>
          <w:divBdr>
            <w:top w:val="none" w:sz="0" w:space="0" w:color="auto"/>
            <w:left w:val="none" w:sz="0" w:space="0" w:color="auto"/>
            <w:bottom w:val="none" w:sz="0" w:space="0" w:color="auto"/>
            <w:right w:val="none" w:sz="0" w:space="0" w:color="auto"/>
          </w:divBdr>
        </w:div>
        <w:div w:id="876426673">
          <w:marLeft w:val="0"/>
          <w:marRight w:val="0"/>
          <w:marTop w:val="0"/>
          <w:marBottom w:val="0"/>
          <w:divBdr>
            <w:top w:val="none" w:sz="0" w:space="0" w:color="auto"/>
            <w:left w:val="none" w:sz="0" w:space="0" w:color="auto"/>
            <w:bottom w:val="none" w:sz="0" w:space="0" w:color="auto"/>
            <w:right w:val="none" w:sz="0" w:space="0" w:color="auto"/>
          </w:divBdr>
        </w:div>
        <w:div w:id="877088286">
          <w:marLeft w:val="0"/>
          <w:marRight w:val="0"/>
          <w:marTop w:val="0"/>
          <w:marBottom w:val="0"/>
          <w:divBdr>
            <w:top w:val="none" w:sz="0" w:space="0" w:color="auto"/>
            <w:left w:val="none" w:sz="0" w:space="0" w:color="auto"/>
            <w:bottom w:val="none" w:sz="0" w:space="0" w:color="auto"/>
            <w:right w:val="none" w:sz="0" w:space="0" w:color="auto"/>
          </w:divBdr>
        </w:div>
        <w:div w:id="883521133">
          <w:marLeft w:val="0"/>
          <w:marRight w:val="0"/>
          <w:marTop w:val="0"/>
          <w:marBottom w:val="0"/>
          <w:divBdr>
            <w:top w:val="none" w:sz="0" w:space="0" w:color="auto"/>
            <w:left w:val="none" w:sz="0" w:space="0" w:color="auto"/>
            <w:bottom w:val="none" w:sz="0" w:space="0" w:color="auto"/>
            <w:right w:val="none" w:sz="0" w:space="0" w:color="auto"/>
          </w:divBdr>
        </w:div>
        <w:div w:id="888230177">
          <w:marLeft w:val="0"/>
          <w:marRight w:val="0"/>
          <w:marTop w:val="0"/>
          <w:marBottom w:val="0"/>
          <w:divBdr>
            <w:top w:val="none" w:sz="0" w:space="0" w:color="auto"/>
            <w:left w:val="none" w:sz="0" w:space="0" w:color="auto"/>
            <w:bottom w:val="none" w:sz="0" w:space="0" w:color="auto"/>
            <w:right w:val="none" w:sz="0" w:space="0" w:color="auto"/>
          </w:divBdr>
        </w:div>
        <w:div w:id="888539299">
          <w:marLeft w:val="0"/>
          <w:marRight w:val="0"/>
          <w:marTop w:val="0"/>
          <w:marBottom w:val="0"/>
          <w:divBdr>
            <w:top w:val="none" w:sz="0" w:space="0" w:color="auto"/>
            <w:left w:val="none" w:sz="0" w:space="0" w:color="auto"/>
            <w:bottom w:val="none" w:sz="0" w:space="0" w:color="auto"/>
            <w:right w:val="none" w:sz="0" w:space="0" w:color="auto"/>
          </w:divBdr>
        </w:div>
        <w:div w:id="926113812">
          <w:marLeft w:val="0"/>
          <w:marRight w:val="0"/>
          <w:marTop w:val="0"/>
          <w:marBottom w:val="0"/>
          <w:divBdr>
            <w:top w:val="none" w:sz="0" w:space="0" w:color="auto"/>
            <w:left w:val="none" w:sz="0" w:space="0" w:color="auto"/>
            <w:bottom w:val="none" w:sz="0" w:space="0" w:color="auto"/>
            <w:right w:val="none" w:sz="0" w:space="0" w:color="auto"/>
          </w:divBdr>
        </w:div>
        <w:div w:id="927428722">
          <w:marLeft w:val="0"/>
          <w:marRight w:val="0"/>
          <w:marTop w:val="0"/>
          <w:marBottom w:val="0"/>
          <w:divBdr>
            <w:top w:val="none" w:sz="0" w:space="0" w:color="auto"/>
            <w:left w:val="none" w:sz="0" w:space="0" w:color="auto"/>
            <w:bottom w:val="none" w:sz="0" w:space="0" w:color="auto"/>
            <w:right w:val="none" w:sz="0" w:space="0" w:color="auto"/>
          </w:divBdr>
        </w:div>
        <w:div w:id="955331428">
          <w:marLeft w:val="0"/>
          <w:marRight w:val="0"/>
          <w:marTop w:val="0"/>
          <w:marBottom w:val="0"/>
          <w:divBdr>
            <w:top w:val="none" w:sz="0" w:space="0" w:color="auto"/>
            <w:left w:val="none" w:sz="0" w:space="0" w:color="auto"/>
            <w:bottom w:val="none" w:sz="0" w:space="0" w:color="auto"/>
            <w:right w:val="none" w:sz="0" w:space="0" w:color="auto"/>
          </w:divBdr>
        </w:div>
        <w:div w:id="957564013">
          <w:marLeft w:val="0"/>
          <w:marRight w:val="0"/>
          <w:marTop w:val="0"/>
          <w:marBottom w:val="0"/>
          <w:divBdr>
            <w:top w:val="none" w:sz="0" w:space="0" w:color="auto"/>
            <w:left w:val="none" w:sz="0" w:space="0" w:color="auto"/>
            <w:bottom w:val="none" w:sz="0" w:space="0" w:color="auto"/>
            <w:right w:val="none" w:sz="0" w:space="0" w:color="auto"/>
          </w:divBdr>
        </w:div>
        <w:div w:id="968046693">
          <w:marLeft w:val="0"/>
          <w:marRight w:val="0"/>
          <w:marTop w:val="0"/>
          <w:marBottom w:val="0"/>
          <w:divBdr>
            <w:top w:val="none" w:sz="0" w:space="0" w:color="auto"/>
            <w:left w:val="none" w:sz="0" w:space="0" w:color="auto"/>
            <w:bottom w:val="none" w:sz="0" w:space="0" w:color="auto"/>
            <w:right w:val="none" w:sz="0" w:space="0" w:color="auto"/>
          </w:divBdr>
        </w:div>
        <w:div w:id="973566033">
          <w:marLeft w:val="0"/>
          <w:marRight w:val="0"/>
          <w:marTop w:val="0"/>
          <w:marBottom w:val="0"/>
          <w:divBdr>
            <w:top w:val="none" w:sz="0" w:space="0" w:color="auto"/>
            <w:left w:val="none" w:sz="0" w:space="0" w:color="auto"/>
            <w:bottom w:val="none" w:sz="0" w:space="0" w:color="auto"/>
            <w:right w:val="none" w:sz="0" w:space="0" w:color="auto"/>
          </w:divBdr>
        </w:div>
        <w:div w:id="982586672">
          <w:marLeft w:val="0"/>
          <w:marRight w:val="0"/>
          <w:marTop w:val="0"/>
          <w:marBottom w:val="0"/>
          <w:divBdr>
            <w:top w:val="none" w:sz="0" w:space="0" w:color="auto"/>
            <w:left w:val="none" w:sz="0" w:space="0" w:color="auto"/>
            <w:bottom w:val="none" w:sz="0" w:space="0" w:color="auto"/>
            <w:right w:val="none" w:sz="0" w:space="0" w:color="auto"/>
          </w:divBdr>
        </w:div>
        <w:div w:id="999502382">
          <w:marLeft w:val="0"/>
          <w:marRight w:val="0"/>
          <w:marTop w:val="0"/>
          <w:marBottom w:val="0"/>
          <w:divBdr>
            <w:top w:val="none" w:sz="0" w:space="0" w:color="auto"/>
            <w:left w:val="none" w:sz="0" w:space="0" w:color="auto"/>
            <w:bottom w:val="none" w:sz="0" w:space="0" w:color="auto"/>
            <w:right w:val="none" w:sz="0" w:space="0" w:color="auto"/>
          </w:divBdr>
        </w:div>
        <w:div w:id="1008289782">
          <w:marLeft w:val="0"/>
          <w:marRight w:val="0"/>
          <w:marTop w:val="0"/>
          <w:marBottom w:val="0"/>
          <w:divBdr>
            <w:top w:val="none" w:sz="0" w:space="0" w:color="auto"/>
            <w:left w:val="none" w:sz="0" w:space="0" w:color="auto"/>
            <w:bottom w:val="none" w:sz="0" w:space="0" w:color="auto"/>
            <w:right w:val="none" w:sz="0" w:space="0" w:color="auto"/>
          </w:divBdr>
        </w:div>
        <w:div w:id="1011375297">
          <w:marLeft w:val="0"/>
          <w:marRight w:val="0"/>
          <w:marTop w:val="0"/>
          <w:marBottom w:val="0"/>
          <w:divBdr>
            <w:top w:val="none" w:sz="0" w:space="0" w:color="auto"/>
            <w:left w:val="none" w:sz="0" w:space="0" w:color="auto"/>
            <w:bottom w:val="none" w:sz="0" w:space="0" w:color="auto"/>
            <w:right w:val="none" w:sz="0" w:space="0" w:color="auto"/>
          </w:divBdr>
        </w:div>
        <w:div w:id="1013384883">
          <w:marLeft w:val="0"/>
          <w:marRight w:val="0"/>
          <w:marTop w:val="0"/>
          <w:marBottom w:val="0"/>
          <w:divBdr>
            <w:top w:val="none" w:sz="0" w:space="0" w:color="auto"/>
            <w:left w:val="none" w:sz="0" w:space="0" w:color="auto"/>
            <w:bottom w:val="none" w:sz="0" w:space="0" w:color="auto"/>
            <w:right w:val="none" w:sz="0" w:space="0" w:color="auto"/>
          </w:divBdr>
        </w:div>
        <w:div w:id="1071735876">
          <w:marLeft w:val="0"/>
          <w:marRight w:val="0"/>
          <w:marTop w:val="0"/>
          <w:marBottom w:val="0"/>
          <w:divBdr>
            <w:top w:val="none" w:sz="0" w:space="0" w:color="auto"/>
            <w:left w:val="none" w:sz="0" w:space="0" w:color="auto"/>
            <w:bottom w:val="none" w:sz="0" w:space="0" w:color="auto"/>
            <w:right w:val="none" w:sz="0" w:space="0" w:color="auto"/>
          </w:divBdr>
        </w:div>
        <w:div w:id="1095588588">
          <w:marLeft w:val="0"/>
          <w:marRight w:val="0"/>
          <w:marTop w:val="0"/>
          <w:marBottom w:val="0"/>
          <w:divBdr>
            <w:top w:val="none" w:sz="0" w:space="0" w:color="auto"/>
            <w:left w:val="none" w:sz="0" w:space="0" w:color="auto"/>
            <w:bottom w:val="none" w:sz="0" w:space="0" w:color="auto"/>
            <w:right w:val="none" w:sz="0" w:space="0" w:color="auto"/>
          </w:divBdr>
        </w:div>
        <w:div w:id="1102265792">
          <w:marLeft w:val="0"/>
          <w:marRight w:val="0"/>
          <w:marTop w:val="0"/>
          <w:marBottom w:val="0"/>
          <w:divBdr>
            <w:top w:val="none" w:sz="0" w:space="0" w:color="auto"/>
            <w:left w:val="none" w:sz="0" w:space="0" w:color="auto"/>
            <w:bottom w:val="none" w:sz="0" w:space="0" w:color="auto"/>
            <w:right w:val="none" w:sz="0" w:space="0" w:color="auto"/>
          </w:divBdr>
        </w:div>
        <w:div w:id="1117722427">
          <w:marLeft w:val="0"/>
          <w:marRight w:val="0"/>
          <w:marTop w:val="0"/>
          <w:marBottom w:val="0"/>
          <w:divBdr>
            <w:top w:val="none" w:sz="0" w:space="0" w:color="auto"/>
            <w:left w:val="none" w:sz="0" w:space="0" w:color="auto"/>
            <w:bottom w:val="none" w:sz="0" w:space="0" w:color="auto"/>
            <w:right w:val="none" w:sz="0" w:space="0" w:color="auto"/>
          </w:divBdr>
        </w:div>
        <w:div w:id="1124538472">
          <w:marLeft w:val="0"/>
          <w:marRight w:val="0"/>
          <w:marTop w:val="0"/>
          <w:marBottom w:val="0"/>
          <w:divBdr>
            <w:top w:val="none" w:sz="0" w:space="0" w:color="auto"/>
            <w:left w:val="none" w:sz="0" w:space="0" w:color="auto"/>
            <w:bottom w:val="none" w:sz="0" w:space="0" w:color="auto"/>
            <w:right w:val="none" w:sz="0" w:space="0" w:color="auto"/>
          </w:divBdr>
        </w:div>
        <w:div w:id="1127042461">
          <w:marLeft w:val="0"/>
          <w:marRight w:val="0"/>
          <w:marTop w:val="0"/>
          <w:marBottom w:val="0"/>
          <w:divBdr>
            <w:top w:val="none" w:sz="0" w:space="0" w:color="auto"/>
            <w:left w:val="none" w:sz="0" w:space="0" w:color="auto"/>
            <w:bottom w:val="none" w:sz="0" w:space="0" w:color="auto"/>
            <w:right w:val="none" w:sz="0" w:space="0" w:color="auto"/>
          </w:divBdr>
        </w:div>
        <w:div w:id="1128284948">
          <w:marLeft w:val="0"/>
          <w:marRight w:val="0"/>
          <w:marTop w:val="0"/>
          <w:marBottom w:val="0"/>
          <w:divBdr>
            <w:top w:val="none" w:sz="0" w:space="0" w:color="auto"/>
            <w:left w:val="none" w:sz="0" w:space="0" w:color="auto"/>
            <w:bottom w:val="none" w:sz="0" w:space="0" w:color="auto"/>
            <w:right w:val="none" w:sz="0" w:space="0" w:color="auto"/>
          </w:divBdr>
        </w:div>
        <w:div w:id="1143766509">
          <w:marLeft w:val="0"/>
          <w:marRight w:val="0"/>
          <w:marTop w:val="0"/>
          <w:marBottom w:val="0"/>
          <w:divBdr>
            <w:top w:val="none" w:sz="0" w:space="0" w:color="auto"/>
            <w:left w:val="none" w:sz="0" w:space="0" w:color="auto"/>
            <w:bottom w:val="none" w:sz="0" w:space="0" w:color="auto"/>
            <w:right w:val="none" w:sz="0" w:space="0" w:color="auto"/>
          </w:divBdr>
        </w:div>
        <w:div w:id="1161194528">
          <w:marLeft w:val="0"/>
          <w:marRight w:val="0"/>
          <w:marTop w:val="0"/>
          <w:marBottom w:val="0"/>
          <w:divBdr>
            <w:top w:val="none" w:sz="0" w:space="0" w:color="auto"/>
            <w:left w:val="none" w:sz="0" w:space="0" w:color="auto"/>
            <w:bottom w:val="none" w:sz="0" w:space="0" w:color="auto"/>
            <w:right w:val="none" w:sz="0" w:space="0" w:color="auto"/>
          </w:divBdr>
        </w:div>
        <w:div w:id="1169758616">
          <w:marLeft w:val="0"/>
          <w:marRight w:val="0"/>
          <w:marTop w:val="0"/>
          <w:marBottom w:val="0"/>
          <w:divBdr>
            <w:top w:val="none" w:sz="0" w:space="0" w:color="auto"/>
            <w:left w:val="none" w:sz="0" w:space="0" w:color="auto"/>
            <w:bottom w:val="none" w:sz="0" w:space="0" w:color="auto"/>
            <w:right w:val="none" w:sz="0" w:space="0" w:color="auto"/>
          </w:divBdr>
        </w:div>
        <w:div w:id="1176842351">
          <w:marLeft w:val="0"/>
          <w:marRight w:val="0"/>
          <w:marTop w:val="0"/>
          <w:marBottom w:val="0"/>
          <w:divBdr>
            <w:top w:val="none" w:sz="0" w:space="0" w:color="auto"/>
            <w:left w:val="none" w:sz="0" w:space="0" w:color="auto"/>
            <w:bottom w:val="none" w:sz="0" w:space="0" w:color="auto"/>
            <w:right w:val="none" w:sz="0" w:space="0" w:color="auto"/>
          </w:divBdr>
        </w:div>
        <w:div w:id="1208637724">
          <w:marLeft w:val="0"/>
          <w:marRight w:val="0"/>
          <w:marTop w:val="0"/>
          <w:marBottom w:val="0"/>
          <w:divBdr>
            <w:top w:val="none" w:sz="0" w:space="0" w:color="auto"/>
            <w:left w:val="none" w:sz="0" w:space="0" w:color="auto"/>
            <w:bottom w:val="none" w:sz="0" w:space="0" w:color="auto"/>
            <w:right w:val="none" w:sz="0" w:space="0" w:color="auto"/>
          </w:divBdr>
        </w:div>
        <w:div w:id="1235237038">
          <w:marLeft w:val="0"/>
          <w:marRight w:val="0"/>
          <w:marTop w:val="0"/>
          <w:marBottom w:val="0"/>
          <w:divBdr>
            <w:top w:val="none" w:sz="0" w:space="0" w:color="auto"/>
            <w:left w:val="none" w:sz="0" w:space="0" w:color="auto"/>
            <w:bottom w:val="none" w:sz="0" w:space="0" w:color="auto"/>
            <w:right w:val="none" w:sz="0" w:space="0" w:color="auto"/>
          </w:divBdr>
        </w:div>
        <w:div w:id="1239633619">
          <w:marLeft w:val="0"/>
          <w:marRight w:val="0"/>
          <w:marTop w:val="0"/>
          <w:marBottom w:val="0"/>
          <w:divBdr>
            <w:top w:val="none" w:sz="0" w:space="0" w:color="auto"/>
            <w:left w:val="none" w:sz="0" w:space="0" w:color="auto"/>
            <w:bottom w:val="none" w:sz="0" w:space="0" w:color="auto"/>
            <w:right w:val="none" w:sz="0" w:space="0" w:color="auto"/>
          </w:divBdr>
        </w:div>
        <w:div w:id="1259370748">
          <w:marLeft w:val="0"/>
          <w:marRight w:val="0"/>
          <w:marTop w:val="0"/>
          <w:marBottom w:val="0"/>
          <w:divBdr>
            <w:top w:val="none" w:sz="0" w:space="0" w:color="auto"/>
            <w:left w:val="none" w:sz="0" w:space="0" w:color="auto"/>
            <w:bottom w:val="none" w:sz="0" w:space="0" w:color="auto"/>
            <w:right w:val="none" w:sz="0" w:space="0" w:color="auto"/>
          </w:divBdr>
        </w:div>
        <w:div w:id="1290286534">
          <w:marLeft w:val="0"/>
          <w:marRight w:val="0"/>
          <w:marTop w:val="0"/>
          <w:marBottom w:val="0"/>
          <w:divBdr>
            <w:top w:val="none" w:sz="0" w:space="0" w:color="auto"/>
            <w:left w:val="none" w:sz="0" w:space="0" w:color="auto"/>
            <w:bottom w:val="none" w:sz="0" w:space="0" w:color="auto"/>
            <w:right w:val="none" w:sz="0" w:space="0" w:color="auto"/>
          </w:divBdr>
        </w:div>
        <w:div w:id="1298683096">
          <w:marLeft w:val="0"/>
          <w:marRight w:val="0"/>
          <w:marTop w:val="0"/>
          <w:marBottom w:val="0"/>
          <w:divBdr>
            <w:top w:val="none" w:sz="0" w:space="0" w:color="auto"/>
            <w:left w:val="none" w:sz="0" w:space="0" w:color="auto"/>
            <w:bottom w:val="none" w:sz="0" w:space="0" w:color="auto"/>
            <w:right w:val="none" w:sz="0" w:space="0" w:color="auto"/>
          </w:divBdr>
        </w:div>
        <w:div w:id="1303197227">
          <w:marLeft w:val="0"/>
          <w:marRight w:val="0"/>
          <w:marTop w:val="0"/>
          <w:marBottom w:val="0"/>
          <w:divBdr>
            <w:top w:val="none" w:sz="0" w:space="0" w:color="auto"/>
            <w:left w:val="none" w:sz="0" w:space="0" w:color="auto"/>
            <w:bottom w:val="none" w:sz="0" w:space="0" w:color="auto"/>
            <w:right w:val="none" w:sz="0" w:space="0" w:color="auto"/>
          </w:divBdr>
        </w:div>
        <w:div w:id="1331830134">
          <w:marLeft w:val="0"/>
          <w:marRight w:val="0"/>
          <w:marTop w:val="0"/>
          <w:marBottom w:val="0"/>
          <w:divBdr>
            <w:top w:val="none" w:sz="0" w:space="0" w:color="auto"/>
            <w:left w:val="none" w:sz="0" w:space="0" w:color="auto"/>
            <w:bottom w:val="none" w:sz="0" w:space="0" w:color="auto"/>
            <w:right w:val="none" w:sz="0" w:space="0" w:color="auto"/>
          </w:divBdr>
        </w:div>
        <w:div w:id="1339889220">
          <w:marLeft w:val="0"/>
          <w:marRight w:val="0"/>
          <w:marTop w:val="0"/>
          <w:marBottom w:val="0"/>
          <w:divBdr>
            <w:top w:val="none" w:sz="0" w:space="0" w:color="auto"/>
            <w:left w:val="none" w:sz="0" w:space="0" w:color="auto"/>
            <w:bottom w:val="none" w:sz="0" w:space="0" w:color="auto"/>
            <w:right w:val="none" w:sz="0" w:space="0" w:color="auto"/>
          </w:divBdr>
        </w:div>
        <w:div w:id="1353216925">
          <w:marLeft w:val="0"/>
          <w:marRight w:val="0"/>
          <w:marTop w:val="0"/>
          <w:marBottom w:val="0"/>
          <w:divBdr>
            <w:top w:val="none" w:sz="0" w:space="0" w:color="auto"/>
            <w:left w:val="none" w:sz="0" w:space="0" w:color="auto"/>
            <w:bottom w:val="none" w:sz="0" w:space="0" w:color="auto"/>
            <w:right w:val="none" w:sz="0" w:space="0" w:color="auto"/>
          </w:divBdr>
        </w:div>
        <w:div w:id="1361206159">
          <w:marLeft w:val="0"/>
          <w:marRight w:val="0"/>
          <w:marTop w:val="0"/>
          <w:marBottom w:val="0"/>
          <w:divBdr>
            <w:top w:val="none" w:sz="0" w:space="0" w:color="auto"/>
            <w:left w:val="none" w:sz="0" w:space="0" w:color="auto"/>
            <w:bottom w:val="none" w:sz="0" w:space="0" w:color="auto"/>
            <w:right w:val="none" w:sz="0" w:space="0" w:color="auto"/>
          </w:divBdr>
        </w:div>
        <w:div w:id="1369143067">
          <w:marLeft w:val="0"/>
          <w:marRight w:val="0"/>
          <w:marTop w:val="0"/>
          <w:marBottom w:val="0"/>
          <w:divBdr>
            <w:top w:val="none" w:sz="0" w:space="0" w:color="auto"/>
            <w:left w:val="none" w:sz="0" w:space="0" w:color="auto"/>
            <w:bottom w:val="none" w:sz="0" w:space="0" w:color="auto"/>
            <w:right w:val="none" w:sz="0" w:space="0" w:color="auto"/>
          </w:divBdr>
        </w:div>
        <w:div w:id="1386372000">
          <w:marLeft w:val="0"/>
          <w:marRight w:val="0"/>
          <w:marTop w:val="0"/>
          <w:marBottom w:val="0"/>
          <w:divBdr>
            <w:top w:val="none" w:sz="0" w:space="0" w:color="auto"/>
            <w:left w:val="none" w:sz="0" w:space="0" w:color="auto"/>
            <w:bottom w:val="none" w:sz="0" w:space="0" w:color="auto"/>
            <w:right w:val="none" w:sz="0" w:space="0" w:color="auto"/>
          </w:divBdr>
        </w:div>
        <w:div w:id="1392271054">
          <w:marLeft w:val="0"/>
          <w:marRight w:val="0"/>
          <w:marTop w:val="0"/>
          <w:marBottom w:val="0"/>
          <w:divBdr>
            <w:top w:val="none" w:sz="0" w:space="0" w:color="auto"/>
            <w:left w:val="none" w:sz="0" w:space="0" w:color="auto"/>
            <w:bottom w:val="none" w:sz="0" w:space="0" w:color="auto"/>
            <w:right w:val="none" w:sz="0" w:space="0" w:color="auto"/>
          </w:divBdr>
        </w:div>
        <w:div w:id="1436049442">
          <w:marLeft w:val="0"/>
          <w:marRight w:val="0"/>
          <w:marTop w:val="0"/>
          <w:marBottom w:val="0"/>
          <w:divBdr>
            <w:top w:val="none" w:sz="0" w:space="0" w:color="auto"/>
            <w:left w:val="none" w:sz="0" w:space="0" w:color="auto"/>
            <w:bottom w:val="none" w:sz="0" w:space="0" w:color="auto"/>
            <w:right w:val="none" w:sz="0" w:space="0" w:color="auto"/>
          </w:divBdr>
        </w:div>
        <w:div w:id="1439792121">
          <w:marLeft w:val="0"/>
          <w:marRight w:val="0"/>
          <w:marTop w:val="0"/>
          <w:marBottom w:val="0"/>
          <w:divBdr>
            <w:top w:val="none" w:sz="0" w:space="0" w:color="auto"/>
            <w:left w:val="none" w:sz="0" w:space="0" w:color="auto"/>
            <w:bottom w:val="none" w:sz="0" w:space="0" w:color="auto"/>
            <w:right w:val="none" w:sz="0" w:space="0" w:color="auto"/>
          </w:divBdr>
        </w:div>
        <w:div w:id="1448087900">
          <w:marLeft w:val="0"/>
          <w:marRight w:val="0"/>
          <w:marTop w:val="0"/>
          <w:marBottom w:val="0"/>
          <w:divBdr>
            <w:top w:val="none" w:sz="0" w:space="0" w:color="auto"/>
            <w:left w:val="none" w:sz="0" w:space="0" w:color="auto"/>
            <w:bottom w:val="none" w:sz="0" w:space="0" w:color="auto"/>
            <w:right w:val="none" w:sz="0" w:space="0" w:color="auto"/>
          </w:divBdr>
        </w:div>
        <w:div w:id="1466314036">
          <w:marLeft w:val="0"/>
          <w:marRight w:val="0"/>
          <w:marTop w:val="0"/>
          <w:marBottom w:val="0"/>
          <w:divBdr>
            <w:top w:val="none" w:sz="0" w:space="0" w:color="auto"/>
            <w:left w:val="none" w:sz="0" w:space="0" w:color="auto"/>
            <w:bottom w:val="none" w:sz="0" w:space="0" w:color="auto"/>
            <w:right w:val="none" w:sz="0" w:space="0" w:color="auto"/>
          </w:divBdr>
        </w:div>
        <w:div w:id="1479221019">
          <w:marLeft w:val="0"/>
          <w:marRight w:val="0"/>
          <w:marTop w:val="0"/>
          <w:marBottom w:val="0"/>
          <w:divBdr>
            <w:top w:val="none" w:sz="0" w:space="0" w:color="auto"/>
            <w:left w:val="none" w:sz="0" w:space="0" w:color="auto"/>
            <w:bottom w:val="none" w:sz="0" w:space="0" w:color="auto"/>
            <w:right w:val="none" w:sz="0" w:space="0" w:color="auto"/>
          </w:divBdr>
        </w:div>
        <w:div w:id="1480223953">
          <w:marLeft w:val="0"/>
          <w:marRight w:val="0"/>
          <w:marTop w:val="0"/>
          <w:marBottom w:val="0"/>
          <w:divBdr>
            <w:top w:val="none" w:sz="0" w:space="0" w:color="auto"/>
            <w:left w:val="none" w:sz="0" w:space="0" w:color="auto"/>
            <w:bottom w:val="none" w:sz="0" w:space="0" w:color="auto"/>
            <w:right w:val="none" w:sz="0" w:space="0" w:color="auto"/>
          </w:divBdr>
        </w:div>
        <w:div w:id="1482312899">
          <w:marLeft w:val="0"/>
          <w:marRight w:val="0"/>
          <w:marTop w:val="0"/>
          <w:marBottom w:val="0"/>
          <w:divBdr>
            <w:top w:val="none" w:sz="0" w:space="0" w:color="auto"/>
            <w:left w:val="none" w:sz="0" w:space="0" w:color="auto"/>
            <w:bottom w:val="none" w:sz="0" w:space="0" w:color="auto"/>
            <w:right w:val="none" w:sz="0" w:space="0" w:color="auto"/>
          </w:divBdr>
        </w:div>
        <w:div w:id="1484851574">
          <w:marLeft w:val="0"/>
          <w:marRight w:val="0"/>
          <w:marTop w:val="0"/>
          <w:marBottom w:val="0"/>
          <w:divBdr>
            <w:top w:val="none" w:sz="0" w:space="0" w:color="auto"/>
            <w:left w:val="none" w:sz="0" w:space="0" w:color="auto"/>
            <w:bottom w:val="none" w:sz="0" w:space="0" w:color="auto"/>
            <w:right w:val="none" w:sz="0" w:space="0" w:color="auto"/>
          </w:divBdr>
        </w:div>
        <w:div w:id="1627345883">
          <w:marLeft w:val="0"/>
          <w:marRight w:val="0"/>
          <w:marTop w:val="0"/>
          <w:marBottom w:val="0"/>
          <w:divBdr>
            <w:top w:val="none" w:sz="0" w:space="0" w:color="auto"/>
            <w:left w:val="none" w:sz="0" w:space="0" w:color="auto"/>
            <w:bottom w:val="none" w:sz="0" w:space="0" w:color="auto"/>
            <w:right w:val="none" w:sz="0" w:space="0" w:color="auto"/>
          </w:divBdr>
        </w:div>
        <w:div w:id="1632125781">
          <w:marLeft w:val="0"/>
          <w:marRight w:val="0"/>
          <w:marTop w:val="0"/>
          <w:marBottom w:val="0"/>
          <w:divBdr>
            <w:top w:val="none" w:sz="0" w:space="0" w:color="auto"/>
            <w:left w:val="none" w:sz="0" w:space="0" w:color="auto"/>
            <w:bottom w:val="none" w:sz="0" w:space="0" w:color="auto"/>
            <w:right w:val="none" w:sz="0" w:space="0" w:color="auto"/>
          </w:divBdr>
        </w:div>
        <w:div w:id="1651977657">
          <w:marLeft w:val="0"/>
          <w:marRight w:val="0"/>
          <w:marTop w:val="0"/>
          <w:marBottom w:val="0"/>
          <w:divBdr>
            <w:top w:val="none" w:sz="0" w:space="0" w:color="auto"/>
            <w:left w:val="none" w:sz="0" w:space="0" w:color="auto"/>
            <w:bottom w:val="none" w:sz="0" w:space="0" w:color="auto"/>
            <w:right w:val="none" w:sz="0" w:space="0" w:color="auto"/>
          </w:divBdr>
        </w:div>
        <w:div w:id="1668484644">
          <w:marLeft w:val="0"/>
          <w:marRight w:val="0"/>
          <w:marTop w:val="0"/>
          <w:marBottom w:val="0"/>
          <w:divBdr>
            <w:top w:val="none" w:sz="0" w:space="0" w:color="auto"/>
            <w:left w:val="none" w:sz="0" w:space="0" w:color="auto"/>
            <w:bottom w:val="none" w:sz="0" w:space="0" w:color="auto"/>
            <w:right w:val="none" w:sz="0" w:space="0" w:color="auto"/>
          </w:divBdr>
        </w:div>
        <w:div w:id="1670936805">
          <w:marLeft w:val="0"/>
          <w:marRight w:val="0"/>
          <w:marTop w:val="0"/>
          <w:marBottom w:val="0"/>
          <w:divBdr>
            <w:top w:val="none" w:sz="0" w:space="0" w:color="auto"/>
            <w:left w:val="none" w:sz="0" w:space="0" w:color="auto"/>
            <w:bottom w:val="none" w:sz="0" w:space="0" w:color="auto"/>
            <w:right w:val="none" w:sz="0" w:space="0" w:color="auto"/>
          </w:divBdr>
        </w:div>
        <w:div w:id="1672179453">
          <w:marLeft w:val="0"/>
          <w:marRight w:val="0"/>
          <w:marTop w:val="0"/>
          <w:marBottom w:val="0"/>
          <w:divBdr>
            <w:top w:val="none" w:sz="0" w:space="0" w:color="auto"/>
            <w:left w:val="none" w:sz="0" w:space="0" w:color="auto"/>
            <w:bottom w:val="none" w:sz="0" w:space="0" w:color="auto"/>
            <w:right w:val="none" w:sz="0" w:space="0" w:color="auto"/>
          </w:divBdr>
        </w:div>
        <w:div w:id="1687246876">
          <w:marLeft w:val="0"/>
          <w:marRight w:val="0"/>
          <w:marTop w:val="0"/>
          <w:marBottom w:val="0"/>
          <w:divBdr>
            <w:top w:val="none" w:sz="0" w:space="0" w:color="auto"/>
            <w:left w:val="none" w:sz="0" w:space="0" w:color="auto"/>
            <w:bottom w:val="none" w:sz="0" w:space="0" w:color="auto"/>
            <w:right w:val="none" w:sz="0" w:space="0" w:color="auto"/>
          </w:divBdr>
        </w:div>
        <w:div w:id="1713771271">
          <w:marLeft w:val="0"/>
          <w:marRight w:val="0"/>
          <w:marTop w:val="0"/>
          <w:marBottom w:val="0"/>
          <w:divBdr>
            <w:top w:val="none" w:sz="0" w:space="0" w:color="auto"/>
            <w:left w:val="none" w:sz="0" w:space="0" w:color="auto"/>
            <w:bottom w:val="none" w:sz="0" w:space="0" w:color="auto"/>
            <w:right w:val="none" w:sz="0" w:space="0" w:color="auto"/>
          </w:divBdr>
        </w:div>
        <w:div w:id="1723400698">
          <w:marLeft w:val="0"/>
          <w:marRight w:val="0"/>
          <w:marTop w:val="0"/>
          <w:marBottom w:val="0"/>
          <w:divBdr>
            <w:top w:val="none" w:sz="0" w:space="0" w:color="auto"/>
            <w:left w:val="none" w:sz="0" w:space="0" w:color="auto"/>
            <w:bottom w:val="none" w:sz="0" w:space="0" w:color="auto"/>
            <w:right w:val="none" w:sz="0" w:space="0" w:color="auto"/>
          </w:divBdr>
        </w:div>
        <w:div w:id="1732844209">
          <w:marLeft w:val="0"/>
          <w:marRight w:val="0"/>
          <w:marTop w:val="0"/>
          <w:marBottom w:val="0"/>
          <w:divBdr>
            <w:top w:val="none" w:sz="0" w:space="0" w:color="auto"/>
            <w:left w:val="none" w:sz="0" w:space="0" w:color="auto"/>
            <w:bottom w:val="none" w:sz="0" w:space="0" w:color="auto"/>
            <w:right w:val="none" w:sz="0" w:space="0" w:color="auto"/>
          </w:divBdr>
        </w:div>
        <w:div w:id="1739475367">
          <w:marLeft w:val="0"/>
          <w:marRight w:val="0"/>
          <w:marTop w:val="0"/>
          <w:marBottom w:val="0"/>
          <w:divBdr>
            <w:top w:val="none" w:sz="0" w:space="0" w:color="auto"/>
            <w:left w:val="none" w:sz="0" w:space="0" w:color="auto"/>
            <w:bottom w:val="none" w:sz="0" w:space="0" w:color="auto"/>
            <w:right w:val="none" w:sz="0" w:space="0" w:color="auto"/>
          </w:divBdr>
        </w:div>
        <w:div w:id="1764909355">
          <w:marLeft w:val="0"/>
          <w:marRight w:val="0"/>
          <w:marTop w:val="0"/>
          <w:marBottom w:val="0"/>
          <w:divBdr>
            <w:top w:val="none" w:sz="0" w:space="0" w:color="auto"/>
            <w:left w:val="none" w:sz="0" w:space="0" w:color="auto"/>
            <w:bottom w:val="none" w:sz="0" w:space="0" w:color="auto"/>
            <w:right w:val="none" w:sz="0" w:space="0" w:color="auto"/>
          </w:divBdr>
        </w:div>
        <w:div w:id="1785688640">
          <w:marLeft w:val="0"/>
          <w:marRight w:val="0"/>
          <w:marTop w:val="0"/>
          <w:marBottom w:val="0"/>
          <w:divBdr>
            <w:top w:val="none" w:sz="0" w:space="0" w:color="auto"/>
            <w:left w:val="none" w:sz="0" w:space="0" w:color="auto"/>
            <w:bottom w:val="none" w:sz="0" w:space="0" w:color="auto"/>
            <w:right w:val="none" w:sz="0" w:space="0" w:color="auto"/>
          </w:divBdr>
        </w:div>
        <w:div w:id="1788695948">
          <w:marLeft w:val="0"/>
          <w:marRight w:val="0"/>
          <w:marTop w:val="0"/>
          <w:marBottom w:val="0"/>
          <w:divBdr>
            <w:top w:val="none" w:sz="0" w:space="0" w:color="auto"/>
            <w:left w:val="none" w:sz="0" w:space="0" w:color="auto"/>
            <w:bottom w:val="none" w:sz="0" w:space="0" w:color="auto"/>
            <w:right w:val="none" w:sz="0" w:space="0" w:color="auto"/>
          </w:divBdr>
        </w:div>
        <w:div w:id="1791239047">
          <w:marLeft w:val="0"/>
          <w:marRight w:val="0"/>
          <w:marTop w:val="0"/>
          <w:marBottom w:val="0"/>
          <w:divBdr>
            <w:top w:val="none" w:sz="0" w:space="0" w:color="auto"/>
            <w:left w:val="none" w:sz="0" w:space="0" w:color="auto"/>
            <w:bottom w:val="none" w:sz="0" w:space="0" w:color="auto"/>
            <w:right w:val="none" w:sz="0" w:space="0" w:color="auto"/>
          </w:divBdr>
        </w:div>
        <w:div w:id="1818573523">
          <w:marLeft w:val="0"/>
          <w:marRight w:val="0"/>
          <w:marTop w:val="0"/>
          <w:marBottom w:val="0"/>
          <w:divBdr>
            <w:top w:val="none" w:sz="0" w:space="0" w:color="auto"/>
            <w:left w:val="none" w:sz="0" w:space="0" w:color="auto"/>
            <w:bottom w:val="none" w:sz="0" w:space="0" w:color="auto"/>
            <w:right w:val="none" w:sz="0" w:space="0" w:color="auto"/>
          </w:divBdr>
        </w:div>
        <w:div w:id="1821539528">
          <w:marLeft w:val="0"/>
          <w:marRight w:val="0"/>
          <w:marTop w:val="0"/>
          <w:marBottom w:val="0"/>
          <w:divBdr>
            <w:top w:val="none" w:sz="0" w:space="0" w:color="auto"/>
            <w:left w:val="none" w:sz="0" w:space="0" w:color="auto"/>
            <w:bottom w:val="none" w:sz="0" w:space="0" w:color="auto"/>
            <w:right w:val="none" w:sz="0" w:space="0" w:color="auto"/>
          </w:divBdr>
        </w:div>
        <w:div w:id="1849827175">
          <w:marLeft w:val="0"/>
          <w:marRight w:val="0"/>
          <w:marTop w:val="0"/>
          <w:marBottom w:val="0"/>
          <w:divBdr>
            <w:top w:val="none" w:sz="0" w:space="0" w:color="auto"/>
            <w:left w:val="none" w:sz="0" w:space="0" w:color="auto"/>
            <w:bottom w:val="none" w:sz="0" w:space="0" w:color="auto"/>
            <w:right w:val="none" w:sz="0" w:space="0" w:color="auto"/>
          </w:divBdr>
        </w:div>
        <w:div w:id="1855070347">
          <w:marLeft w:val="0"/>
          <w:marRight w:val="0"/>
          <w:marTop w:val="0"/>
          <w:marBottom w:val="0"/>
          <w:divBdr>
            <w:top w:val="none" w:sz="0" w:space="0" w:color="auto"/>
            <w:left w:val="none" w:sz="0" w:space="0" w:color="auto"/>
            <w:bottom w:val="none" w:sz="0" w:space="0" w:color="auto"/>
            <w:right w:val="none" w:sz="0" w:space="0" w:color="auto"/>
          </w:divBdr>
        </w:div>
        <w:div w:id="1893612180">
          <w:marLeft w:val="0"/>
          <w:marRight w:val="0"/>
          <w:marTop w:val="0"/>
          <w:marBottom w:val="0"/>
          <w:divBdr>
            <w:top w:val="none" w:sz="0" w:space="0" w:color="auto"/>
            <w:left w:val="none" w:sz="0" w:space="0" w:color="auto"/>
            <w:bottom w:val="none" w:sz="0" w:space="0" w:color="auto"/>
            <w:right w:val="none" w:sz="0" w:space="0" w:color="auto"/>
          </w:divBdr>
        </w:div>
        <w:div w:id="1898734312">
          <w:marLeft w:val="0"/>
          <w:marRight w:val="0"/>
          <w:marTop w:val="0"/>
          <w:marBottom w:val="0"/>
          <w:divBdr>
            <w:top w:val="none" w:sz="0" w:space="0" w:color="auto"/>
            <w:left w:val="none" w:sz="0" w:space="0" w:color="auto"/>
            <w:bottom w:val="none" w:sz="0" w:space="0" w:color="auto"/>
            <w:right w:val="none" w:sz="0" w:space="0" w:color="auto"/>
          </w:divBdr>
        </w:div>
        <w:div w:id="1903370690">
          <w:marLeft w:val="0"/>
          <w:marRight w:val="0"/>
          <w:marTop w:val="0"/>
          <w:marBottom w:val="0"/>
          <w:divBdr>
            <w:top w:val="none" w:sz="0" w:space="0" w:color="auto"/>
            <w:left w:val="none" w:sz="0" w:space="0" w:color="auto"/>
            <w:bottom w:val="none" w:sz="0" w:space="0" w:color="auto"/>
            <w:right w:val="none" w:sz="0" w:space="0" w:color="auto"/>
          </w:divBdr>
        </w:div>
        <w:div w:id="1906259590">
          <w:marLeft w:val="0"/>
          <w:marRight w:val="0"/>
          <w:marTop w:val="0"/>
          <w:marBottom w:val="0"/>
          <w:divBdr>
            <w:top w:val="none" w:sz="0" w:space="0" w:color="auto"/>
            <w:left w:val="none" w:sz="0" w:space="0" w:color="auto"/>
            <w:bottom w:val="none" w:sz="0" w:space="0" w:color="auto"/>
            <w:right w:val="none" w:sz="0" w:space="0" w:color="auto"/>
          </w:divBdr>
        </w:div>
        <w:div w:id="1914704850">
          <w:marLeft w:val="0"/>
          <w:marRight w:val="0"/>
          <w:marTop w:val="0"/>
          <w:marBottom w:val="0"/>
          <w:divBdr>
            <w:top w:val="none" w:sz="0" w:space="0" w:color="auto"/>
            <w:left w:val="none" w:sz="0" w:space="0" w:color="auto"/>
            <w:bottom w:val="none" w:sz="0" w:space="0" w:color="auto"/>
            <w:right w:val="none" w:sz="0" w:space="0" w:color="auto"/>
          </w:divBdr>
        </w:div>
        <w:div w:id="1923373925">
          <w:marLeft w:val="0"/>
          <w:marRight w:val="0"/>
          <w:marTop w:val="0"/>
          <w:marBottom w:val="0"/>
          <w:divBdr>
            <w:top w:val="none" w:sz="0" w:space="0" w:color="auto"/>
            <w:left w:val="none" w:sz="0" w:space="0" w:color="auto"/>
            <w:bottom w:val="none" w:sz="0" w:space="0" w:color="auto"/>
            <w:right w:val="none" w:sz="0" w:space="0" w:color="auto"/>
          </w:divBdr>
        </w:div>
        <w:div w:id="1945796481">
          <w:marLeft w:val="0"/>
          <w:marRight w:val="0"/>
          <w:marTop w:val="0"/>
          <w:marBottom w:val="0"/>
          <w:divBdr>
            <w:top w:val="none" w:sz="0" w:space="0" w:color="auto"/>
            <w:left w:val="none" w:sz="0" w:space="0" w:color="auto"/>
            <w:bottom w:val="none" w:sz="0" w:space="0" w:color="auto"/>
            <w:right w:val="none" w:sz="0" w:space="0" w:color="auto"/>
          </w:divBdr>
        </w:div>
        <w:div w:id="1948732206">
          <w:marLeft w:val="0"/>
          <w:marRight w:val="0"/>
          <w:marTop w:val="0"/>
          <w:marBottom w:val="0"/>
          <w:divBdr>
            <w:top w:val="none" w:sz="0" w:space="0" w:color="auto"/>
            <w:left w:val="none" w:sz="0" w:space="0" w:color="auto"/>
            <w:bottom w:val="none" w:sz="0" w:space="0" w:color="auto"/>
            <w:right w:val="none" w:sz="0" w:space="0" w:color="auto"/>
          </w:divBdr>
        </w:div>
        <w:div w:id="1952276265">
          <w:marLeft w:val="0"/>
          <w:marRight w:val="0"/>
          <w:marTop w:val="0"/>
          <w:marBottom w:val="0"/>
          <w:divBdr>
            <w:top w:val="none" w:sz="0" w:space="0" w:color="auto"/>
            <w:left w:val="none" w:sz="0" w:space="0" w:color="auto"/>
            <w:bottom w:val="none" w:sz="0" w:space="0" w:color="auto"/>
            <w:right w:val="none" w:sz="0" w:space="0" w:color="auto"/>
          </w:divBdr>
        </w:div>
        <w:div w:id="1957641684">
          <w:marLeft w:val="0"/>
          <w:marRight w:val="0"/>
          <w:marTop w:val="0"/>
          <w:marBottom w:val="0"/>
          <w:divBdr>
            <w:top w:val="none" w:sz="0" w:space="0" w:color="auto"/>
            <w:left w:val="none" w:sz="0" w:space="0" w:color="auto"/>
            <w:bottom w:val="none" w:sz="0" w:space="0" w:color="auto"/>
            <w:right w:val="none" w:sz="0" w:space="0" w:color="auto"/>
          </w:divBdr>
        </w:div>
        <w:div w:id="1962303141">
          <w:marLeft w:val="0"/>
          <w:marRight w:val="0"/>
          <w:marTop w:val="0"/>
          <w:marBottom w:val="0"/>
          <w:divBdr>
            <w:top w:val="none" w:sz="0" w:space="0" w:color="auto"/>
            <w:left w:val="none" w:sz="0" w:space="0" w:color="auto"/>
            <w:bottom w:val="none" w:sz="0" w:space="0" w:color="auto"/>
            <w:right w:val="none" w:sz="0" w:space="0" w:color="auto"/>
          </w:divBdr>
        </w:div>
        <w:div w:id="1986396206">
          <w:marLeft w:val="0"/>
          <w:marRight w:val="0"/>
          <w:marTop w:val="0"/>
          <w:marBottom w:val="0"/>
          <w:divBdr>
            <w:top w:val="none" w:sz="0" w:space="0" w:color="auto"/>
            <w:left w:val="none" w:sz="0" w:space="0" w:color="auto"/>
            <w:bottom w:val="none" w:sz="0" w:space="0" w:color="auto"/>
            <w:right w:val="none" w:sz="0" w:space="0" w:color="auto"/>
          </w:divBdr>
        </w:div>
        <w:div w:id="1998266218">
          <w:marLeft w:val="0"/>
          <w:marRight w:val="0"/>
          <w:marTop w:val="0"/>
          <w:marBottom w:val="0"/>
          <w:divBdr>
            <w:top w:val="none" w:sz="0" w:space="0" w:color="auto"/>
            <w:left w:val="none" w:sz="0" w:space="0" w:color="auto"/>
            <w:bottom w:val="none" w:sz="0" w:space="0" w:color="auto"/>
            <w:right w:val="none" w:sz="0" w:space="0" w:color="auto"/>
          </w:divBdr>
        </w:div>
        <w:div w:id="2001928265">
          <w:marLeft w:val="0"/>
          <w:marRight w:val="0"/>
          <w:marTop w:val="0"/>
          <w:marBottom w:val="0"/>
          <w:divBdr>
            <w:top w:val="none" w:sz="0" w:space="0" w:color="auto"/>
            <w:left w:val="none" w:sz="0" w:space="0" w:color="auto"/>
            <w:bottom w:val="none" w:sz="0" w:space="0" w:color="auto"/>
            <w:right w:val="none" w:sz="0" w:space="0" w:color="auto"/>
          </w:divBdr>
        </w:div>
        <w:div w:id="2007124050">
          <w:marLeft w:val="0"/>
          <w:marRight w:val="0"/>
          <w:marTop w:val="0"/>
          <w:marBottom w:val="0"/>
          <w:divBdr>
            <w:top w:val="none" w:sz="0" w:space="0" w:color="auto"/>
            <w:left w:val="none" w:sz="0" w:space="0" w:color="auto"/>
            <w:bottom w:val="none" w:sz="0" w:space="0" w:color="auto"/>
            <w:right w:val="none" w:sz="0" w:space="0" w:color="auto"/>
          </w:divBdr>
        </w:div>
        <w:div w:id="2013290146">
          <w:marLeft w:val="0"/>
          <w:marRight w:val="0"/>
          <w:marTop w:val="0"/>
          <w:marBottom w:val="0"/>
          <w:divBdr>
            <w:top w:val="none" w:sz="0" w:space="0" w:color="auto"/>
            <w:left w:val="none" w:sz="0" w:space="0" w:color="auto"/>
            <w:bottom w:val="none" w:sz="0" w:space="0" w:color="auto"/>
            <w:right w:val="none" w:sz="0" w:space="0" w:color="auto"/>
          </w:divBdr>
        </w:div>
        <w:div w:id="2016180634">
          <w:marLeft w:val="0"/>
          <w:marRight w:val="0"/>
          <w:marTop w:val="0"/>
          <w:marBottom w:val="0"/>
          <w:divBdr>
            <w:top w:val="none" w:sz="0" w:space="0" w:color="auto"/>
            <w:left w:val="none" w:sz="0" w:space="0" w:color="auto"/>
            <w:bottom w:val="none" w:sz="0" w:space="0" w:color="auto"/>
            <w:right w:val="none" w:sz="0" w:space="0" w:color="auto"/>
          </w:divBdr>
        </w:div>
        <w:div w:id="2031367421">
          <w:marLeft w:val="0"/>
          <w:marRight w:val="0"/>
          <w:marTop w:val="0"/>
          <w:marBottom w:val="0"/>
          <w:divBdr>
            <w:top w:val="none" w:sz="0" w:space="0" w:color="auto"/>
            <w:left w:val="none" w:sz="0" w:space="0" w:color="auto"/>
            <w:bottom w:val="none" w:sz="0" w:space="0" w:color="auto"/>
            <w:right w:val="none" w:sz="0" w:space="0" w:color="auto"/>
          </w:divBdr>
        </w:div>
      </w:divsChild>
    </w:div>
    <w:div w:id="1800567299">
      <w:bodyDiv w:val="1"/>
      <w:marLeft w:val="0"/>
      <w:marRight w:val="0"/>
      <w:marTop w:val="0"/>
      <w:marBottom w:val="0"/>
      <w:divBdr>
        <w:top w:val="none" w:sz="0" w:space="0" w:color="auto"/>
        <w:left w:val="none" w:sz="0" w:space="0" w:color="auto"/>
        <w:bottom w:val="none" w:sz="0" w:space="0" w:color="auto"/>
        <w:right w:val="none" w:sz="0" w:space="0" w:color="auto"/>
      </w:divBdr>
    </w:div>
    <w:div w:id="1800759131">
      <w:bodyDiv w:val="1"/>
      <w:marLeft w:val="0"/>
      <w:marRight w:val="0"/>
      <w:marTop w:val="0"/>
      <w:marBottom w:val="0"/>
      <w:divBdr>
        <w:top w:val="none" w:sz="0" w:space="0" w:color="auto"/>
        <w:left w:val="none" w:sz="0" w:space="0" w:color="auto"/>
        <w:bottom w:val="none" w:sz="0" w:space="0" w:color="auto"/>
        <w:right w:val="none" w:sz="0" w:space="0" w:color="auto"/>
      </w:divBdr>
    </w:div>
    <w:div w:id="1800805760">
      <w:bodyDiv w:val="1"/>
      <w:marLeft w:val="0"/>
      <w:marRight w:val="0"/>
      <w:marTop w:val="0"/>
      <w:marBottom w:val="0"/>
      <w:divBdr>
        <w:top w:val="none" w:sz="0" w:space="0" w:color="auto"/>
        <w:left w:val="none" w:sz="0" w:space="0" w:color="auto"/>
        <w:bottom w:val="none" w:sz="0" w:space="0" w:color="auto"/>
        <w:right w:val="none" w:sz="0" w:space="0" w:color="auto"/>
      </w:divBdr>
    </w:div>
    <w:div w:id="1800874338">
      <w:bodyDiv w:val="1"/>
      <w:marLeft w:val="0"/>
      <w:marRight w:val="0"/>
      <w:marTop w:val="0"/>
      <w:marBottom w:val="0"/>
      <w:divBdr>
        <w:top w:val="none" w:sz="0" w:space="0" w:color="auto"/>
        <w:left w:val="none" w:sz="0" w:space="0" w:color="auto"/>
        <w:bottom w:val="none" w:sz="0" w:space="0" w:color="auto"/>
        <w:right w:val="none" w:sz="0" w:space="0" w:color="auto"/>
      </w:divBdr>
    </w:div>
    <w:div w:id="1800995486">
      <w:bodyDiv w:val="1"/>
      <w:marLeft w:val="0"/>
      <w:marRight w:val="0"/>
      <w:marTop w:val="0"/>
      <w:marBottom w:val="0"/>
      <w:divBdr>
        <w:top w:val="none" w:sz="0" w:space="0" w:color="auto"/>
        <w:left w:val="none" w:sz="0" w:space="0" w:color="auto"/>
        <w:bottom w:val="none" w:sz="0" w:space="0" w:color="auto"/>
        <w:right w:val="none" w:sz="0" w:space="0" w:color="auto"/>
      </w:divBdr>
    </w:div>
    <w:div w:id="1801024378">
      <w:bodyDiv w:val="1"/>
      <w:marLeft w:val="0"/>
      <w:marRight w:val="0"/>
      <w:marTop w:val="0"/>
      <w:marBottom w:val="0"/>
      <w:divBdr>
        <w:top w:val="none" w:sz="0" w:space="0" w:color="auto"/>
        <w:left w:val="none" w:sz="0" w:space="0" w:color="auto"/>
        <w:bottom w:val="none" w:sz="0" w:space="0" w:color="auto"/>
        <w:right w:val="none" w:sz="0" w:space="0" w:color="auto"/>
      </w:divBdr>
    </w:div>
    <w:div w:id="1801221623">
      <w:bodyDiv w:val="1"/>
      <w:marLeft w:val="0"/>
      <w:marRight w:val="0"/>
      <w:marTop w:val="0"/>
      <w:marBottom w:val="0"/>
      <w:divBdr>
        <w:top w:val="none" w:sz="0" w:space="0" w:color="auto"/>
        <w:left w:val="none" w:sz="0" w:space="0" w:color="auto"/>
        <w:bottom w:val="none" w:sz="0" w:space="0" w:color="auto"/>
        <w:right w:val="none" w:sz="0" w:space="0" w:color="auto"/>
      </w:divBdr>
    </w:div>
    <w:div w:id="1801335510">
      <w:bodyDiv w:val="1"/>
      <w:marLeft w:val="0"/>
      <w:marRight w:val="0"/>
      <w:marTop w:val="0"/>
      <w:marBottom w:val="0"/>
      <w:divBdr>
        <w:top w:val="none" w:sz="0" w:space="0" w:color="auto"/>
        <w:left w:val="none" w:sz="0" w:space="0" w:color="auto"/>
        <w:bottom w:val="none" w:sz="0" w:space="0" w:color="auto"/>
        <w:right w:val="none" w:sz="0" w:space="0" w:color="auto"/>
      </w:divBdr>
    </w:div>
    <w:div w:id="1801342774">
      <w:bodyDiv w:val="1"/>
      <w:marLeft w:val="0"/>
      <w:marRight w:val="0"/>
      <w:marTop w:val="0"/>
      <w:marBottom w:val="0"/>
      <w:divBdr>
        <w:top w:val="none" w:sz="0" w:space="0" w:color="auto"/>
        <w:left w:val="none" w:sz="0" w:space="0" w:color="auto"/>
        <w:bottom w:val="none" w:sz="0" w:space="0" w:color="auto"/>
        <w:right w:val="none" w:sz="0" w:space="0" w:color="auto"/>
      </w:divBdr>
    </w:div>
    <w:div w:id="1801411928">
      <w:bodyDiv w:val="1"/>
      <w:marLeft w:val="0"/>
      <w:marRight w:val="0"/>
      <w:marTop w:val="0"/>
      <w:marBottom w:val="0"/>
      <w:divBdr>
        <w:top w:val="none" w:sz="0" w:space="0" w:color="auto"/>
        <w:left w:val="none" w:sz="0" w:space="0" w:color="auto"/>
        <w:bottom w:val="none" w:sz="0" w:space="0" w:color="auto"/>
        <w:right w:val="none" w:sz="0" w:space="0" w:color="auto"/>
      </w:divBdr>
    </w:div>
    <w:div w:id="1801414464">
      <w:bodyDiv w:val="1"/>
      <w:marLeft w:val="0"/>
      <w:marRight w:val="0"/>
      <w:marTop w:val="0"/>
      <w:marBottom w:val="0"/>
      <w:divBdr>
        <w:top w:val="none" w:sz="0" w:space="0" w:color="auto"/>
        <w:left w:val="none" w:sz="0" w:space="0" w:color="auto"/>
        <w:bottom w:val="none" w:sz="0" w:space="0" w:color="auto"/>
        <w:right w:val="none" w:sz="0" w:space="0" w:color="auto"/>
      </w:divBdr>
    </w:div>
    <w:div w:id="1801419934">
      <w:bodyDiv w:val="1"/>
      <w:marLeft w:val="0"/>
      <w:marRight w:val="0"/>
      <w:marTop w:val="0"/>
      <w:marBottom w:val="0"/>
      <w:divBdr>
        <w:top w:val="none" w:sz="0" w:space="0" w:color="auto"/>
        <w:left w:val="none" w:sz="0" w:space="0" w:color="auto"/>
        <w:bottom w:val="none" w:sz="0" w:space="0" w:color="auto"/>
        <w:right w:val="none" w:sz="0" w:space="0" w:color="auto"/>
      </w:divBdr>
    </w:div>
    <w:div w:id="1801419968">
      <w:bodyDiv w:val="1"/>
      <w:marLeft w:val="0"/>
      <w:marRight w:val="0"/>
      <w:marTop w:val="0"/>
      <w:marBottom w:val="0"/>
      <w:divBdr>
        <w:top w:val="none" w:sz="0" w:space="0" w:color="auto"/>
        <w:left w:val="none" w:sz="0" w:space="0" w:color="auto"/>
        <w:bottom w:val="none" w:sz="0" w:space="0" w:color="auto"/>
        <w:right w:val="none" w:sz="0" w:space="0" w:color="auto"/>
      </w:divBdr>
    </w:div>
    <w:div w:id="1801455147">
      <w:bodyDiv w:val="1"/>
      <w:marLeft w:val="0"/>
      <w:marRight w:val="0"/>
      <w:marTop w:val="0"/>
      <w:marBottom w:val="0"/>
      <w:divBdr>
        <w:top w:val="none" w:sz="0" w:space="0" w:color="auto"/>
        <w:left w:val="none" w:sz="0" w:space="0" w:color="auto"/>
        <w:bottom w:val="none" w:sz="0" w:space="0" w:color="auto"/>
        <w:right w:val="none" w:sz="0" w:space="0" w:color="auto"/>
      </w:divBdr>
    </w:div>
    <w:div w:id="1801681602">
      <w:bodyDiv w:val="1"/>
      <w:marLeft w:val="0"/>
      <w:marRight w:val="0"/>
      <w:marTop w:val="0"/>
      <w:marBottom w:val="0"/>
      <w:divBdr>
        <w:top w:val="none" w:sz="0" w:space="0" w:color="auto"/>
        <w:left w:val="none" w:sz="0" w:space="0" w:color="auto"/>
        <w:bottom w:val="none" w:sz="0" w:space="0" w:color="auto"/>
        <w:right w:val="none" w:sz="0" w:space="0" w:color="auto"/>
      </w:divBdr>
    </w:div>
    <w:div w:id="1801798465">
      <w:bodyDiv w:val="1"/>
      <w:marLeft w:val="0"/>
      <w:marRight w:val="0"/>
      <w:marTop w:val="0"/>
      <w:marBottom w:val="0"/>
      <w:divBdr>
        <w:top w:val="none" w:sz="0" w:space="0" w:color="auto"/>
        <w:left w:val="none" w:sz="0" w:space="0" w:color="auto"/>
        <w:bottom w:val="none" w:sz="0" w:space="0" w:color="auto"/>
        <w:right w:val="none" w:sz="0" w:space="0" w:color="auto"/>
      </w:divBdr>
    </w:div>
    <w:div w:id="1801875464">
      <w:bodyDiv w:val="1"/>
      <w:marLeft w:val="0"/>
      <w:marRight w:val="0"/>
      <w:marTop w:val="0"/>
      <w:marBottom w:val="0"/>
      <w:divBdr>
        <w:top w:val="none" w:sz="0" w:space="0" w:color="auto"/>
        <w:left w:val="none" w:sz="0" w:space="0" w:color="auto"/>
        <w:bottom w:val="none" w:sz="0" w:space="0" w:color="auto"/>
        <w:right w:val="none" w:sz="0" w:space="0" w:color="auto"/>
      </w:divBdr>
    </w:div>
    <w:div w:id="1801878408">
      <w:bodyDiv w:val="1"/>
      <w:marLeft w:val="0"/>
      <w:marRight w:val="0"/>
      <w:marTop w:val="0"/>
      <w:marBottom w:val="0"/>
      <w:divBdr>
        <w:top w:val="none" w:sz="0" w:space="0" w:color="auto"/>
        <w:left w:val="none" w:sz="0" w:space="0" w:color="auto"/>
        <w:bottom w:val="none" w:sz="0" w:space="0" w:color="auto"/>
        <w:right w:val="none" w:sz="0" w:space="0" w:color="auto"/>
      </w:divBdr>
    </w:div>
    <w:div w:id="1802117831">
      <w:bodyDiv w:val="1"/>
      <w:marLeft w:val="0"/>
      <w:marRight w:val="0"/>
      <w:marTop w:val="0"/>
      <w:marBottom w:val="0"/>
      <w:divBdr>
        <w:top w:val="none" w:sz="0" w:space="0" w:color="auto"/>
        <w:left w:val="none" w:sz="0" w:space="0" w:color="auto"/>
        <w:bottom w:val="none" w:sz="0" w:space="0" w:color="auto"/>
        <w:right w:val="none" w:sz="0" w:space="0" w:color="auto"/>
      </w:divBdr>
    </w:div>
    <w:div w:id="1802189577">
      <w:bodyDiv w:val="1"/>
      <w:marLeft w:val="0"/>
      <w:marRight w:val="0"/>
      <w:marTop w:val="0"/>
      <w:marBottom w:val="0"/>
      <w:divBdr>
        <w:top w:val="none" w:sz="0" w:space="0" w:color="auto"/>
        <w:left w:val="none" w:sz="0" w:space="0" w:color="auto"/>
        <w:bottom w:val="none" w:sz="0" w:space="0" w:color="auto"/>
        <w:right w:val="none" w:sz="0" w:space="0" w:color="auto"/>
      </w:divBdr>
    </w:div>
    <w:div w:id="1802264096">
      <w:bodyDiv w:val="1"/>
      <w:marLeft w:val="0"/>
      <w:marRight w:val="0"/>
      <w:marTop w:val="0"/>
      <w:marBottom w:val="0"/>
      <w:divBdr>
        <w:top w:val="none" w:sz="0" w:space="0" w:color="auto"/>
        <w:left w:val="none" w:sz="0" w:space="0" w:color="auto"/>
        <w:bottom w:val="none" w:sz="0" w:space="0" w:color="auto"/>
        <w:right w:val="none" w:sz="0" w:space="0" w:color="auto"/>
      </w:divBdr>
    </w:div>
    <w:div w:id="1802267287">
      <w:bodyDiv w:val="1"/>
      <w:marLeft w:val="0"/>
      <w:marRight w:val="0"/>
      <w:marTop w:val="0"/>
      <w:marBottom w:val="0"/>
      <w:divBdr>
        <w:top w:val="none" w:sz="0" w:space="0" w:color="auto"/>
        <w:left w:val="none" w:sz="0" w:space="0" w:color="auto"/>
        <w:bottom w:val="none" w:sz="0" w:space="0" w:color="auto"/>
        <w:right w:val="none" w:sz="0" w:space="0" w:color="auto"/>
      </w:divBdr>
    </w:div>
    <w:div w:id="1802337964">
      <w:bodyDiv w:val="1"/>
      <w:marLeft w:val="0"/>
      <w:marRight w:val="0"/>
      <w:marTop w:val="0"/>
      <w:marBottom w:val="0"/>
      <w:divBdr>
        <w:top w:val="none" w:sz="0" w:space="0" w:color="auto"/>
        <w:left w:val="none" w:sz="0" w:space="0" w:color="auto"/>
        <w:bottom w:val="none" w:sz="0" w:space="0" w:color="auto"/>
        <w:right w:val="none" w:sz="0" w:space="0" w:color="auto"/>
      </w:divBdr>
    </w:div>
    <w:div w:id="1802574368">
      <w:bodyDiv w:val="1"/>
      <w:marLeft w:val="0"/>
      <w:marRight w:val="0"/>
      <w:marTop w:val="0"/>
      <w:marBottom w:val="0"/>
      <w:divBdr>
        <w:top w:val="none" w:sz="0" w:space="0" w:color="auto"/>
        <w:left w:val="none" w:sz="0" w:space="0" w:color="auto"/>
        <w:bottom w:val="none" w:sz="0" w:space="0" w:color="auto"/>
        <w:right w:val="none" w:sz="0" w:space="0" w:color="auto"/>
      </w:divBdr>
    </w:div>
    <w:div w:id="1802649545">
      <w:bodyDiv w:val="1"/>
      <w:marLeft w:val="0"/>
      <w:marRight w:val="0"/>
      <w:marTop w:val="0"/>
      <w:marBottom w:val="0"/>
      <w:divBdr>
        <w:top w:val="none" w:sz="0" w:space="0" w:color="auto"/>
        <w:left w:val="none" w:sz="0" w:space="0" w:color="auto"/>
        <w:bottom w:val="none" w:sz="0" w:space="0" w:color="auto"/>
        <w:right w:val="none" w:sz="0" w:space="0" w:color="auto"/>
      </w:divBdr>
    </w:div>
    <w:div w:id="1802768429">
      <w:bodyDiv w:val="1"/>
      <w:marLeft w:val="0"/>
      <w:marRight w:val="0"/>
      <w:marTop w:val="0"/>
      <w:marBottom w:val="0"/>
      <w:divBdr>
        <w:top w:val="none" w:sz="0" w:space="0" w:color="auto"/>
        <w:left w:val="none" w:sz="0" w:space="0" w:color="auto"/>
        <w:bottom w:val="none" w:sz="0" w:space="0" w:color="auto"/>
        <w:right w:val="none" w:sz="0" w:space="0" w:color="auto"/>
      </w:divBdr>
    </w:div>
    <w:div w:id="1802845514">
      <w:bodyDiv w:val="1"/>
      <w:marLeft w:val="0"/>
      <w:marRight w:val="0"/>
      <w:marTop w:val="0"/>
      <w:marBottom w:val="0"/>
      <w:divBdr>
        <w:top w:val="none" w:sz="0" w:space="0" w:color="auto"/>
        <w:left w:val="none" w:sz="0" w:space="0" w:color="auto"/>
        <w:bottom w:val="none" w:sz="0" w:space="0" w:color="auto"/>
        <w:right w:val="none" w:sz="0" w:space="0" w:color="auto"/>
      </w:divBdr>
    </w:div>
    <w:div w:id="1802914530">
      <w:bodyDiv w:val="1"/>
      <w:marLeft w:val="0"/>
      <w:marRight w:val="0"/>
      <w:marTop w:val="0"/>
      <w:marBottom w:val="0"/>
      <w:divBdr>
        <w:top w:val="none" w:sz="0" w:space="0" w:color="auto"/>
        <w:left w:val="none" w:sz="0" w:space="0" w:color="auto"/>
        <w:bottom w:val="none" w:sz="0" w:space="0" w:color="auto"/>
        <w:right w:val="none" w:sz="0" w:space="0" w:color="auto"/>
      </w:divBdr>
    </w:div>
    <w:div w:id="1802918669">
      <w:bodyDiv w:val="1"/>
      <w:marLeft w:val="0"/>
      <w:marRight w:val="0"/>
      <w:marTop w:val="0"/>
      <w:marBottom w:val="0"/>
      <w:divBdr>
        <w:top w:val="none" w:sz="0" w:space="0" w:color="auto"/>
        <w:left w:val="none" w:sz="0" w:space="0" w:color="auto"/>
        <w:bottom w:val="none" w:sz="0" w:space="0" w:color="auto"/>
        <w:right w:val="none" w:sz="0" w:space="0" w:color="auto"/>
      </w:divBdr>
    </w:div>
    <w:div w:id="1802922180">
      <w:bodyDiv w:val="1"/>
      <w:marLeft w:val="0"/>
      <w:marRight w:val="0"/>
      <w:marTop w:val="0"/>
      <w:marBottom w:val="0"/>
      <w:divBdr>
        <w:top w:val="none" w:sz="0" w:space="0" w:color="auto"/>
        <w:left w:val="none" w:sz="0" w:space="0" w:color="auto"/>
        <w:bottom w:val="none" w:sz="0" w:space="0" w:color="auto"/>
        <w:right w:val="none" w:sz="0" w:space="0" w:color="auto"/>
      </w:divBdr>
    </w:div>
    <w:div w:id="1802961572">
      <w:bodyDiv w:val="1"/>
      <w:marLeft w:val="0"/>
      <w:marRight w:val="0"/>
      <w:marTop w:val="0"/>
      <w:marBottom w:val="0"/>
      <w:divBdr>
        <w:top w:val="none" w:sz="0" w:space="0" w:color="auto"/>
        <w:left w:val="none" w:sz="0" w:space="0" w:color="auto"/>
        <w:bottom w:val="none" w:sz="0" w:space="0" w:color="auto"/>
        <w:right w:val="none" w:sz="0" w:space="0" w:color="auto"/>
      </w:divBdr>
    </w:div>
    <w:div w:id="1803111983">
      <w:bodyDiv w:val="1"/>
      <w:marLeft w:val="0"/>
      <w:marRight w:val="0"/>
      <w:marTop w:val="0"/>
      <w:marBottom w:val="0"/>
      <w:divBdr>
        <w:top w:val="none" w:sz="0" w:space="0" w:color="auto"/>
        <w:left w:val="none" w:sz="0" w:space="0" w:color="auto"/>
        <w:bottom w:val="none" w:sz="0" w:space="0" w:color="auto"/>
        <w:right w:val="none" w:sz="0" w:space="0" w:color="auto"/>
      </w:divBdr>
    </w:div>
    <w:div w:id="1803113895">
      <w:bodyDiv w:val="1"/>
      <w:marLeft w:val="0"/>
      <w:marRight w:val="0"/>
      <w:marTop w:val="0"/>
      <w:marBottom w:val="0"/>
      <w:divBdr>
        <w:top w:val="none" w:sz="0" w:space="0" w:color="auto"/>
        <w:left w:val="none" w:sz="0" w:space="0" w:color="auto"/>
        <w:bottom w:val="none" w:sz="0" w:space="0" w:color="auto"/>
        <w:right w:val="none" w:sz="0" w:space="0" w:color="auto"/>
      </w:divBdr>
    </w:div>
    <w:div w:id="1803233247">
      <w:bodyDiv w:val="1"/>
      <w:marLeft w:val="0"/>
      <w:marRight w:val="0"/>
      <w:marTop w:val="0"/>
      <w:marBottom w:val="0"/>
      <w:divBdr>
        <w:top w:val="none" w:sz="0" w:space="0" w:color="auto"/>
        <w:left w:val="none" w:sz="0" w:space="0" w:color="auto"/>
        <w:bottom w:val="none" w:sz="0" w:space="0" w:color="auto"/>
        <w:right w:val="none" w:sz="0" w:space="0" w:color="auto"/>
      </w:divBdr>
    </w:div>
    <w:div w:id="1803234044">
      <w:bodyDiv w:val="1"/>
      <w:marLeft w:val="0"/>
      <w:marRight w:val="0"/>
      <w:marTop w:val="0"/>
      <w:marBottom w:val="0"/>
      <w:divBdr>
        <w:top w:val="none" w:sz="0" w:space="0" w:color="auto"/>
        <w:left w:val="none" w:sz="0" w:space="0" w:color="auto"/>
        <w:bottom w:val="none" w:sz="0" w:space="0" w:color="auto"/>
        <w:right w:val="none" w:sz="0" w:space="0" w:color="auto"/>
      </w:divBdr>
    </w:div>
    <w:div w:id="1803309951">
      <w:bodyDiv w:val="1"/>
      <w:marLeft w:val="0"/>
      <w:marRight w:val="0"/>
      <w:marTop w:val="0"/>
      <w:marBottom w:val="0"/>
      <w:divBdr>
        <w:top w:val="none" w:sz="0" w:space="0" w:color="auto"/>
        <w:left w:val="none" w:sz="0" w:space="0" w:color="auto"/>
        <w:bottom w:val="none" w:sz="0" w:space="0" w:color="auto"/>
        <w:right w:val="none" w:sz="0" w:space="0" w:color="auto"/>
      </w:divBdr>
    </w:div>
    <w:div w:id="1803421088">
      <w:bodyDiv w:val="1"/>
      <w:marLeft w:val="0"/>
      <w:marRight w:val="0"/>
      <w:marTop w:val="0"/>
      <w:marBottom w:val="0"/>
      <w:divBdr>
        <w:top w:val="none" w:sz="0" w:space="0" w:color="auto"/>
        <w:left w:val="none" w:sz="0" w:space="0" w:color="auto"/>
        <w:bottom w:val="none" w:sz="0" w:space="0" w:color="auto"/>
        <w:right w:val="none" w:sz="0" w:space="0" w:color="auto"/>
      </w:divBdr>
    </w:div>
    <w:div w:id="1803499661">
      <w:bodyDiv w:val="1"/>
      <w:marLeft w:val="0"/>
      <w:marRight w:val="0"/>
      <w:marTop w:val="0"/>
      <w:marBottom w:val="0"/>
      <w:divBdr>
        <w:top w:val="none" w:sz="0" w:space="0" w:color="auto"/>
        <w:left w:val="none" w:sz="0" w:space="0" w:color="auto"/>
        <w:bottom w:val="none" w:sz="0" w:space="0" w:color="auto"/>
        <w:right w:val="none" w:sz="0" w:space="0" w:color="auto"/>
      </w:divBdr>
    </w:div>
    <w:div w:id="1803691488">
      <w:bodyDiv w:val="1"/>
      <w:marLeft w:val="0"/>
      <w:marRight w:val="0"/>
      <w:marTop w:val="0"/>
      <w:marBottom w:val="0"/>
      <w:divBdr>
        <w:top w:val="none" w:sz="0" w:space="0" w:color="auto"/>
        <w:left w:val="none" w:sz="0" w:space="0" w:color="auto"/>
        <w:bottom w:val="none" w:sz="0" w:space="0" w:color="auto"/>
        <w:right w:val="none" w:sz="0" w:space="0" w:color="auto"/>
      </w:divBdr>
    </w:div>
    <w:div w:id="1803764743">
      <w:bodyDiv w:val="1"/>
      <w:marLeft w:val="0"/>
      <w:marRight w:val="0"/>
      <w:marTop w:val="0"/>
      <w:marBottom w:val="0"/>
      <w:divBdr>
        <w:top w:val="none" w:sz="0" w:space="0" w:color="auto"/>
        <w:left w:val="none" w:sz="0" w:space="0" w:color="auto"/>
        <w:bottom w:val="none" w:sz="0" w:space="0" w:color="auto"/>
        <w:right w:val="none" w:sz="0" w:space="0" w:color="auto"/>
      </w:divBdr>
    </w:div>
    <w:div w:id="1803769898">
      <w:bodyDiv w:val="1"/>
      <w:marLeft w:val="0"/>
      <w:marRight w:val="0"/>
      <w:marTop w:val="0"/>
      <w:marBottom w:val="0"/>
      <w:divBdr>
        <w:top w:val="none" w:sz="0" w:space="0" w:color="auto"/>
        <w:left w:val="none" w:sz="0" w:space="0" w:color="auto"/>
        <w:bottom w:val="none" w:sz="0" w:space="0" w:color="auto"/>
        <w:right w:val="none" w:sz="0" w:space="0" w:color="auto"/>
      </w:divBdr>
    </w:div>
    <w:div w:id="1803772466">
      <w:bodyDiv w:val="1"/>
      <w:marLeft w:val="0"/>
      <w:marRight w:val="0"/>
      <w:marTop w:val="0"/>
      <w:marBottom w:val="0"/>
      <w:divBdr>
        <w:top w:val="none" w:sz="0" w:space="0" w:color="auto"/>
        <w:left w:val="none" w:sz="0" w:space="0" w:color="auto"/>
        <w:bottom w:val="none" w:sz="0" w:space="0" w:color="auto"/>
        <w:right w:val="none" w:sz="0" w:space="0" w:color="auto"/>
      </w:divBdr>
    </w:div>
    <w:div w:id="1803813236">
      <w:bodyDiv w:val="1"/>
      <w:marLeft w:val="0"/>
      <w:marRight w:val="0"/>
      <w:marTop w:val="0"/>
      <w:marBottom w:val="0"/>
      <w:divBdr>
        <w:top w:val="none" w:sz="0" w:space="0" w:color="auto"/>
        <w:left w:val="none" w:sz="0" w:space="0" w:color="auto"/>
        <w:bottom w:val="none" w:sz="0" w:space="0" w:color="auto"/>
        <w:right w:val="none" w:sz="0" w:space="0" w:color="auto"/>
      </w:divBdr>
    </w:div>
    <w:div w:id="1803889195">
      <w:bodyDiv w:val="1"/>
      <w:marLeft w:val="0"/>
      <w:marRight w:val="0"/>
      <w:marTop w:val="0"/>
      <w:marBottom w:val="0"/>
      <w:divBdr>
        <w:top w:val="none" w:sz="0" w:space="0" w:color="auto"/>
        <w:left w:val="none" w:sz="0" w:space="0" w:color="auto"/>
        <w:bottom w:val="none" w:sz="0" w:space="0" w:color="auto"/>
        <w:right w:val="none" w:sz="0" w:space="0" w:color="auto"/>
      </w:divBdr>
    </w:div>
    <w:div w:id="1803958332">
      <w:bodyDiv w:val="1"/>
      <w:marLeft w:val="0"/>
      <w:marRight w:val="0"/>
      <w:marTop w:val="0"/>
      <w:marBottom w:val="0"/>
      <w:divBdr>
        <w:top w:val="none" w:sz="0" w:space="0" w:color="auto"/>
        <w:left w:val="none" w:sz="0" w:space="0" w:color="auto"/>
        <w:bottom w:val="none" w:sz="0" w:space="0" w:color="auto"/>
        <w:right w:val="none" w:sz="0" w:space="0" w:color="auto"/>
      </w:divBdr>
    </w:div>
    <w:div w:id="1804040691">
      <w:bodyDiv w:val="1"/>
      <w:marLeft w:val="0"/>
      <w:marRight w:val="0"/>
      <w:marTop w:val="0"/>
      <w:marBottom w:val="0"/>
      <w:divBdr>
        <w:top w:val="none" w:sz="0" w:space="0" w:color="auto"/>
        <w:left w:val="none" w:sz="0" w:space="0" w:color="auto"/>
        <w:bottom w:val="none" w:sz="0" w:space="0" w:color="auto"/>
        <w:right w:val="none" w:sz="0" w:space="0" w:color="auto"/>
      </w:divBdr>
    </w:div>
    <w:div w:id="1804082001">
      <w:bodyDiv w:val="1"/>
      <w:marLeft w:val="0"/>
      <w:marRight w:val="0"/>
      <w:marTop w:val="0"/>
      <w:marBottom w:val="0"/>
      <w:divBdr>
        <w:top w:val="none" w:sz="0" w:space="0" w:color="auto"/>
        <w:left w:val="none" w:sz="0" w:space="0" w:color="auto"/>
        <w:bottom w:val="none" w:sz="0" w:space="0" w:color="auto"/>
        <w:right w:val="none" w:sz="0" w:space="0" w:color="auto"/>
      </w:divBdr>
    </w:div>
    <w:div w:id="1804152478">
      <w:bodyDiv w:val="1"/>
      <w:marLeft w:val="0"/>
      <w:marRight w:val="0"/>
      <w:marTop w:val="0"/>
      <w:marBottom w:val="0"/>
      <w:divBdr>
        <w:top w:val="none" w:sz="0" w:space="0" w:color="auto"/>
        <w:left w:val="none" w:sz="0" w:space="0" w:color="auto"/>
        <w:bottom w:val="none" w:sz="0" w:space="0" w:color="auto"/>
        <w:right w:val="none" w:sz="0" w:space="0" w:color="auto"/>
      </w:divBdr>
    </w:div>
    <w:div w:id="1804154451">
      <w:bodyDiv w:val="1"/>
      <w:marLeft w:val="0"/>
      <w:marRight w:val="0"/>
      <w:marTop w:val="0"/>
      <w:marBottom w:val="0"/>
      <w:divBdr>
        <w:top w:val="none" w:sz="0" w:space="0" w:color="auto"/>
        <w:left w:val="none" w:sz="0" w:space="0" w:color="auto"/>
        <w:bottom w:val="none" w:sz="0" w:space="0" w:color="auto"/>
        <w:right w:val="none" w:sz="0" w:space="0" w:color="auto"/>
      </w:divBdr>
    </w:div>
    <w:div w:id="1804225146">
      <w:bodyDiv w:val="1"/>
      <w:marLeft w:val="0"/>
      <w:marRight w:val="0"/>
      <w:marTop w:val="0"/>
      <w:marBottom w:val="0"/>
      <w:divBdr>
        <w:top w:val="none" w:sz="0" w:space="0" w:color="auto"/>
        <w:left w:val="none" w:sz="0" w:space="0" w:color="auto"/>
        <w:bottom w:val="none" w:sz="0" w:space="0" w:color="auto"/>
        <w:right w:val="none" w:sz="0" w:space="0" w:color="auto"/>
      </w:divBdr>
    </w:div>
    <w:div w:id="1804226046">
      <w:bodyDiv w:val="1"/>
      <w:marLeft w:val="0"/>
      <w:marRight w:val="0"/>
      <w:marTop w:val="0"/>
      <w:marBottom w:val="0"/>
      <w:divBdr>
        <w:top w:val="none" w:sz="0" w:space="0" w:color="auto"/>
        <w:left w:val="none" w:sz="0" w:space="0" w:color="auto"/>
        <w:bottom w:val="none" w:sz="0" w:space="0" w:color="auto"/>
        <w:right w:val="none" w:sz="0" w:space="0" w:color="auto"/>
      </w:divBdr>
    </w:div>
    <w:div w:id="1804233920">
      <w:bodyDiv w:val="1"/>
      <w:marLeft w:val="0"/>
      <w:marRight w:val="0"/>
      <w:marTop w:val="0"/>
      <w:marBottom w:val="0"/>
      <w:divBdr>
        <w:top w:val="none" w:sz="0" w:space="0" w:color="auto"/>
        <w:left w:val="none" w:sz="0" w:space="0" w:color="auto"/>
        <w:bottom w:val="none" w:sz="0" w:space="0" w:color="auto"/>
        <w:right w:val="none" w:sz="0" w:space="0" w:color="auto"/>
      </w:divBdr>
    </w:div>
    <w:div w:id="1804272047">
      <w:bodyDiv w:val="1"/>
      <w:marLeft w:val="0"/>
      <w:marRight w:val="0"/>
      <w:marTop w:val="0"/>
      <w:marBottom w:val="0"/>
      <w:divBdr>
        <w:top w:val="none" w:sz="0" w:space="0" w:color="auto"/>
        <w:left w:val="none" w:sz="0" w:space="0" w:color="auto"/>
        <w:bottom w:val="none" w:sz="0" w:space="0" w:color="auto"/>
        <w:right w:val="none" w:sz="0" w:space="0" w:color="auto"/>
      </w:divBdr>
    </w:div>
    <w:div w:id="1804350079">
      <w:bodyDiv w:val="1"/>
      <w:marLeft w:val="0"/>
      <w:marRight w:val="0"/>
      <w:marTop w:val="0"/>
      <w:marBottom w:val="0"/>
      <w:divBdr>
        <w:top w:val="none" w:sz="0" w:space="0" w:color="auto"/>
        <w:left w:val="none" w:sz="0" w:space="0" w:color="auto"/>
        <w:bottom w:val="none" w:sz="0" w:space="0" w:color="auto"/>
        <w:right w:val="none" w:sz="0" w:space="0" w:color="auto"/>
      </w:divBdr>
    </w:div>
    <w:div w:id="1804425169">
      <w:bodyDiv w:val="1"/>
      <w:marLeft w:val="0"/>
      <w:marRight w:val="0"/>
      <w:marTop w:val="0"/>
      <w:marBottom w:val="0"/>
      <w:divBdr>
        <w:top w:val="none" w:sz="0" w:space="0" w:color="auto"/>
        <w:left w:val="none" w:sz="0" w:space="0" w:color="auto"/>
        <w:bottom w:val="none" w:sz="0" w:space="0" w:color="auto"/>
        <w:right w:val="none" w:sz="0" w:space="0" w:color="auto"/>
      </w:divBdr>
    </w:div>
    <w:div w:id="1804426086">
      <w:bodyDiv w:val="1"/>
      <w:marLeft w:val="0"/>
      <w:marRight w:val="0"/>
      <w:marTop w:val="0"/>
      <w:marBottom w:val="0"/>
      <w:divBdr>
        <w:top w:val="none" w:sz="0" w:space="0" w:color="auto"/>
        <w:left w:val="none" w:sz="0" w:space="0" w:color="auto"/>
        <w:bottom w:val="none" w:sz="0" w:space="0" w:color="auto"/>
        <w:right w:val="none" w:sz="0" w:space="0" w:color="auto"/>
      </w:divBdr>
    </w:div>
    <w:div w:id="1804469040">
      <w:bodyDiv w:val="1"/>
      <w:marLeft w:val="0"/>
      <w:marRight w:val="0"/>
      <w:marTop w:val="0"/>
      <w:marBottom w:val="0"/>
      <w:divBdr>
        <w:top w:val="none" w:sz="0" w:space="0" w:color="auto"/>
        <w:left w:val="none" w:sz="0" w:space="0" w:color="auto"/>
        <w:bottom w:val="none" w:sz="0" w:space="0" w:color="auto"/>
        <w:right w:val="none" w:sz="0" w:space="0" w:color="auto"/>
      </w:divBdr>
    </w:div>
    <w:div w:id="1804470074">
      <w:bodyDiv w:val="1"/>
      <w:marLeft w:val="0"/>
      <w:marRight w:val="0"/>
      <w:marTop w:val="0"/>
      <w:marBottom w:val="0"/>
      <w:divBdr>
        <w:top w:val="none" w:sz="0" w:space="0" w:color="auto"/>
        <w:left w:val="none" w:sz="0" w:space="0" w:color="auto"/>
        <w:bottom w:val="none" w:sz="0" w:space="0" w:color="auto"/>
        <w:right w:val="none" w:sz="0" w:space="0" w:color="auto"/>
      </w:divBdr>
    </w:div>
    <w:div w:id="1804497053">
      <w:bodyDiv w:val="1"/>
      <w:marLeft w:val="0"/>
      <w:marRight w:val="0"/>
      <w:marTop w:val="0"/>
      <w:marBottom w:val="0"/>
      <w:divBdr>
        <w:top w:val="none" w:sz="0" w:space="0" w:color="auto"/>
        <w:left w:val="none" w:sz="0" w:space="0" w:color="auto"/>
        <w:bottom w:val="none" w:sz="0" w:space="0" w:color="auto"/>
        <w:right w:val="none" w:sz="0" w:space="0" w:color="auto"/>
      </w:divBdr>
    </w:div>
    <w:div w:id="1804539010">
      <w:bodyDiv w:val="1"/>
      <w:marLeft w:val="0"/>
      <w:marRight w:val="0"/>
      <w:marTop w:val="0"/>
      <w:marBottom w:val="0"/>
      <w:divBdr>
        <w:top w:val="none" w:sz="0" w:space="0" w:color="auto"/>
        <w:left w:val="none" w:sz="0" w:space="0" w:color="auto"/>
        <w:bottom w:val="none" w:sz="0" w:space="0" w:color="auto"/>
        <w:right w:val="none" w:sz="0" w:space="0" w:color="auto"/>
      </w:divBdr>
    </w:div>
    <w:div w:id="1804688394">
      <w:bodyDiv w:val="1"/>
      <w:marLeft w:val="0"/>
      <w:marRight w:val="0"/>
      <w:marTop w:val="0"/>
      <w:marBottom w:val="0"/>
      <w:divBdr>
        <w:top w:val="none" w:sz="0" w:space="0" w:color="auto"/>
        <w:left w:val="none" w:sz="0" w:space="0" w:color="auto"/>
        <w:bottom w:val="none" w:sz="0" w:space="0" w:color="auto"/>
        <w:right w:val="none" w:sz="0" w:space="0" w:color="auto"/>
      </w:divBdr>
    </w:div>
    <w:div w:id="1804733482">
      <w:bodyDiv w:val="1"/>
      <w:marLeft w:val="0"/>
      <w:marRight w:val="0"/>
      <w:marTop w:val="0"/>
      <w:marBottom w:val="0"/>
      <w:divBdr>
        <w:top w:val="none" w:sz="0" w:space="0" w:color="auto"/>
        <w:left w:val="none" w:sz="0" w:space="0" w:color="auto"/>
        <w:bottom w:val="none" w:sz="0" w:space="0" w:color="auto"/>
        <w:right w:val="none" w:sz="0" w:space="0" w:color="auto"/>
      </w:divBdr>
    </w:div>
    <w:div w:id="1804806891">
      <w:bodyDiv w:val="1"/>
      <w:marLeft w:val="0"/>
      <w:marRight w:val="0"/>
      <w:marTop w:val="0"/>
      <w:marBottom w:val="0"/>
      <w:divBdr>
        <w:top w:val="none" w:sz="0" w:space="0" w:color="auto"/>
        <w:left w:val="none" w:sz="0" w:space="0" w:color="auto"/>
        <w:bottom w:val="none" w:sz="0" w:space="0" w:color="auto"/>
        <w:right w:val="none" w:sz="0" w:space="0" w:color="auto"/>
      </w:divBdr>
    </w:div>
    <w:div w:id="1804880597">
      <w:bodyDiv w:val="1"/>
      <w:marLeft w:val="0"/>
      <w:marRight w:val="0"/>
      <w:marTop w:val="0"/>
      <w:marBottom w:val="0"/>
      <w:divBdr>
        <w:top w:val="none" w:sz="0" w:space="0" w:color="auto"/>
        <w:left w:val="none" w:sz="0" w:space="0" w:color="auto"/>
        <w:bottom w:val="none" w:sz="0" w:space="0" w:color="auto"/>
        <w:right w:val="none" w:sz="0" w:space="0" w:color="auto"/>
      </w:divBdr>
    </w:div>
    <w:div w:id="1804931471">
      <w:bodyDiv w:val="1"/>
      <w:marLeft w:val="0"/>
      <w:marRight w:val="0"/>
      <w:marTop w:val="0"/>
      <w:marBottom w:val="0"/>
      <w:divBdr>
        <w:top w:val="none" w:sz="0" w:space="0" w:color="auto"/>
        <w:left w:val="none" w:sz="0" w:space="0" w:color="auto"/>
        <w:bottom w:val="none" w:sz="0" w:space="0" w:color="auto"/>
        <w:right w:val="none" w:sz="0" w:space="0" w:color="auto"/>
      </w:divBdr>
    </w:div>
    <w:div w:id="1804998795">
      <w:bodyDiv w:val="1"/>
      <w:marLeft w:val="0"/>
      <w:marRight w:val="0"/>
      <w:marTop w:val="0"/>
      <w:marBottom w:val="0"/>
      <w:divBdr>
        <w:top w:val="none" w:sz="0" w:space="0" w:color="auto"/>
        <w:left w:val="none" w:sz="0" w:space="0" w:color="auto"/>
        <w:bottom w:val="none" w:sz="0" w:space="0" w:color="auto"/>
        <w:right w:val="none" w:sz="0" w:space="0" w:color="auto"/>
      </w:divBdr>
    </w:div>
    <w:div w:id="1805002116">
      <w:bodyDiv w:val="1"/>
      <w:marLeft w:val="0"/>
      <w:marRight w:val="0"/>
      <w:marTop w:val="0"/>
      <w:marBottom w:val="0"/>
      <w:divBdr>
        <w:top w:val="none" w:sz="0" w:space="0" w:color="auto"/>
        <w:left w:val="none" w:sz="0" w:space="0" w:color="auto"/>
        <w:bottom w:val="none" w:sz="0" w:space="0" w:color="auto"/>
        <w:right w:val="none" w:sz="0" w:space="0" w:color="auto"/>
      </w:divBdr>
    </w:div>
    <w:div w:id="1805153627">
      <w:bodyDiv w:val="1"/>
      <w:marLeft w:val="0"/>
      <w:marRight w:val="0"/>
      <w:marTop w:val="0"/>
      <w:marBottom w:val="0"/>
      <w:divBdr>
        <w:top w:val="none" w:sz="0" w:space="0" w:color="auto"/>
        <w:left w:val="none" w:sz="0" w:space="0" w:color="auto"/>
        <w:bottom w:val="none" w:sz="0" w:space="0" w:color="auto"/>
        <w:right w:val="none" w:sz="0" w:space="0" w:color="auto"/>
      </w:divBdr>
    </w:div>
    <w:div w:id="1805193236">
      <w:bodyDiv w:val="1"/>
      <w:marLeft w:val="0"/>
      <w:marRight w:val="0"/>
      <w:marTop w:val="0"/>
      <w:marBottom w:val="0"/>
      <w:divBdr>
        <w:top w:val="none" w:sz="0" w:space="0" w:color="auto"/>
        <w:left w:val="none" w:sz="0" w:space="0" w:color="auto"/>
        <w:bottom w:val="none" w:sz="0" w:space="0" w:color="auto"/>
        <w:right w:val="none" w:sz="0" w:space="0" w:color="auto"/>
      </w:divBdr>
    </w:div>
    <w:div w:id="1805199901">
      <w:bodyDiv w:val="1"/>
      <w:marLeft w:val="0"/>
      <w:marRight w:val="0"/>
      <w:marTop w:val="0"/>
      <w:marBottom w:val="0"/>
      <w:divBdr>
        <w:top w:val="none" w:sz="0" w:space="0" w:color="auto"/>
        <w:left w:val="none" w:sz="0" w:space="0" w:color="auto"/>
        <w:bottom w:val="none" w:sz="0" w:space="0" w:color="auto"/>
        <w:right w:val="none" w:sz="0" w:space="0" w:color="auto"/>
      </w:divBdr>
    </w:div>
    <w:div w:id="1805344174">
      <w:bodyDiv w:val="1"/>
      <w:marLeft w:val="0"/>
      <w:marRight w:val="0"/>
      <w:marTop w:val="0"/>
      <w:marBottom w:val="0"/>
      <w:divBdr>
        <w:top w:val="none" w:sz="0" w:space="0" w:color="auto"/>
        <w:left w:val="none" w:sz="0" w:space="0" w:color="auto"/>
        <w:bottom w:val="none" w:sz="0" w:space="0" w:color="auto"/>
        <w:right w:val="none" w:sz="0" w:space="0" w:color="auto"/>
      </w:divBdr>
    </w:div>
    <w:div w:id="1805348962">
      <w:bodyDiv w:val="1"/>
      <w:marLeft w:val="0"/>
      <w:marRight w:val="0"/>
      <w:marTop w:val="0"/>
      <w:marBottom w:val="0"/>
      <w:divBdr>
        <w:top w:val="none" w:sz="0" w:space="0" w:color="auto"/>
        <w:left w:val="none" w:sz="0" w:space="0" w:color="auto"/>
        <w:bottom w:val="none" w:sz="0" w:space="0" w:color="auto"/>
        <w:right w:val="none" w:sz="0" w:space="0" w:color="auto"/>
      </w:divBdr>
    </w:div>
    <w:div w:id="1805388810">
      <w:bodyDiv w:val="1"/>
      <w:marLeft w:val="0"/>
      <w:marRight w:val="0"/>
      <w:marTop w:val="0"/>
      <w:marBottom w:val="0"/>
      <w:divBdr>
        <w:top w:val="none" w:sz="0" w:space="0" w:color="auto"/>
        <w:left w:val="none" w:sz="0" w:space="0" w:color="auto"/>
        <w:bottom w:val="none" w:sz="0" w:space="0" w:color="auto"/>
        <w:right w:val="none" w:sz="0" w:space="0" w:color="auto"/>
      </w:divBdr>
    </w:div>
    <w:div w:id="1805537091">
      <w:bodyDiv w:val="1"/>
      <w:marLeft w:val="0"/>
      <w:marRight w:val="0"/>
      <w:marTop w:val="0"/>
      <w:marBottom w:val="0"/>
      <w:divBdr>
        <w:top w:val="none" w:sz="0" w:space="0" w:color="auto"/>
        <w:left w:val="none" w:sz="0" w:space="0" w:color="auto"/>
        <w:bottom w:val="none" w:sz="0" w:space="0" w:color="auto"/>
        <w:right w:val="none" w:sz="0" w:space="0" w:color="auto"/>
      </w:divBdr>
    </w:div>
    <w:div w:id="1805544765">
      <w:bodyDiv w:val="1"/>
      <w:marLeft w:val="0"/>
      <w:marRight w:val="0"/>
      <w:marTop w:val="0"/>
      <w:marBottom w:val="0"/>
      <w:divBdr>
        <w:top w:val="none" w:sz="0" w:space="0" w:color="auto"/>
        <w:left w:val="none" w:sz="0" w:space="0" w:color="auto"/>
        <w:bottom w:val="none" w:sz="0" w:space="0" w:color="auto"/>
        <w:right w:val="none" w:sz="0" w:space="0" w:color="auto"/>
      </w:divBdr>
    </w:div>
    <w:div w:id="1805585286">
      <w:bodyDiv w:val="1"/>
      <w:marLeft w:val="0"/>
      <w:marRight w:val="0"/>
      <w:marTop w:val="0"/>
      <w:marBottom w:val="0"/>
      <w:divBdr>
        <w:top w:val="none" w:sz="0" w:space="0" w:color="auto"/>
        <w:left w:val="none" w:sz="0" w:space="0" w:color="auto"/>
        <w:bottom w:val="none" w:sz="0" w:space="0" w:color="auto"/>
        <w:right w:val="none" w:sz="0" w:space="0" w:color="auto"/>
      </w:divBdr>
    </w:div>
    <w:div w:id="1805657313">
      <w:bodyDiv w:val="1"/>
      <w:marLeft w:val="0"/>
      <w:marRight w:val="0"/>
      <w:marTop w:val="0"/>
      <w:marBottom w:val="0"/>
      <w:divBdr>
        <w:top w:val="none" w:sz="0" w:space="0" w:color="auto"/>
        <w:left w:val="none" w:sz="0" w:space="0" w:color="auto"/>
        <w:bottom w:val="none" w:sz="0" w:space="0" w:color="auto"/>
        <w:right w:val="none" w:sz="0" w:space="0" w:color="auto"/>
      </w:divBdr>
    </w:div>
    <w:div w:id="1805660092">
      <w:bodyDiv w:val="1"/>
      <w:marLeft w:val="0"/>
      <w:marRight w:val="0"/>
      <w:marTop w:val="0"/>
      <w:marBottom w:val="0"/>
      <w:divBdr>
        <w:top w:val="none" w:sz="0" w:space="0" w:color="auto"/>
        <w:left w:val="none" w:sz="0" w:space="0" w:color="auto"/>
        <w:bottom w:val="none" w:sz="0" w:space="0" w:color="auto"/>
        <w:right w:val="none" w:sz="0" w:space="0" w:color="auto"/>
      </w:divBdr>
    </w:div>
    <w:div w:id="1805779274">
      <w:bodyDiv w:val="1"/>
      <w:marLeft w:val="0"/>
      <w:marRight w:val="0"/>
      <w:marTop w:val="0"/>
      <w:marBottom w:val="0"/>
      <w:divBdr>
        <w:top w:val="none" w:sz="0" w:space="0" w:color="auto"/>
        <w:left w:val="none" w:sz="0" w:space="0" w:color="auto"/>
        <w:bottom w:val="none" w:sz="0" w:space="0" w:color="auto"/>
        <w:right w:val="none" w:sz="0" w:space="0" w:color="auto"/>
      </w:divBdr>
    </w:div>
    <w:div w:id="1805804816">
      <w:bodyDiv w:val="1"/>
      <w:marLeft w:val="0"/>
      <w:marRight w:val="0"/>
      <w:marTop w:val="0"/>
      <w:marBottom w:val="0"/>
      <w:divBdr>
        <w:top w:val="none" w:sz="0" w:space="0" w:color="auto"/>
        <w:left w:val="none" w:sz="0" w:space="0" w:color="auto"/>
        <w:bottom w:val="none" w:sz="0" w:space="0" w:color="auto"/>
        <w:right w:val="none" w:sz="0" w:space="0" w:color="auto"/>
      </w:divBdr>
    </w:div>
    <w:div w:id="1805850315">
      <w:bodyDiv w:val="1"/>
      <w:marLeft w:val="0"/>
      <w:marRight w:val="0"/>
      <w:marTop w:val="0"/>
      <w:marBottom w:val="0"/>
      <w:divBdr>
        <w:top w:val="none" w:sz="0" w:space="0" w:color="auto"/>
        <w:left w:val="none" w:sz="0" w:space="0" w:color="auto"/>
        <w:bottom w:val="none" w:sz="0" w:space="0" w:color="auto"/>
        <w:right w:val="none" w:sz="0" w:space="0" w:color="auto"/>
      </w:divBdr>
    </w:div>
    <w:div w:id="1806000905">
      <w:bodyDiv w:val="1"/>
      <w:marLeft w:val="0"/>
      <w:marRight w:val="0"/>
      <w:marTop w:val="0"/>
      <w:marBottom w:val="0"/>
      <w:divBdr>
        <w:top w:val="none" w:sz="0" w:space="0" w:color="auto"/>
        <w:left w:val="none" w:sz="0" w:space="0" w:color="auto"/>
        <w:bottom w:val="none" w:sz="0" w:space="0" w:color="auto"/>
        <w:right w:val="none" w:sz="0" w:space="0" w:color="auto"/>
      </w:divBdr>
    </w:div>
    <w:div w:id="1806005363">
      <w:bodyDiv w:val="1"/>
      <w:marLeft w:val="0"/>
      <w:marRight w:val="0"/>
      <w:marTop w:val="0"/>
      <w:marBottom w:val="0"/>
      <w:divBdr>
        <w:top w:val="none" w:sz="0" w:space="0" w:color="auto"/>
        <w:left w:val="none" w:sz="0" w:space="0" w:color="auto"/>
        <w:bottom w:val="none" w:sz="0" w:space="0" w:color="auto"/>
        <w:right w:val="none" w:sz="0" w:space="0" w:color="auto"/>
      </w:divBdr>
    </w:div>
    <w:div w:id="1806072778">
      <w:bodyDiv w:val="1"/>
      <w:marLeft w:val="0"/>
      <w:marRight w:val="0"/>
      <w:marTop w:val="0"/>
      <w:marBottom w:val="0"/>
      <w:divBdr>
        <w:top w:val="none" w:sz="0" w:space="0" w:color="auto"/>
        <w:left w:val="none" w:sz="0" w:space="0" w:color="auto"/>
        <w:bottom w:val="none" w:sz="0" w:space="0" w:color="auto"/>
        <w:right w:val="none" w:sz="0" w:space="0" w:color="auto"/>
      </w:divBdr>
    </w:div>
    <w:div w:id="1806118603">
      <w:bodyDiv w:val="1"/>
      <w:marLeft w:val="0"/>
      <w:marRight w:val="0"/>
      <w:marTop w:val="0"/>
      <w:marBottom w:val="0"/>
      <w:divBdr>
        <w:top w:val="none" w:sz="0" w:space="0" w:color="auto"/>
        <w:left w:val="none" w:sz="0" w:space="0" w:color="auto"/>
        <w:bottom w:val="none" w:sz="0" w:space="0" w:color="auto"/>
        <w:right w:val="none" w:sz="0" w:space="0" w:color="auto"/>
      </w:divBdr>
    </w:div>
    <w:div w:id="1806193986">
      <w:bodyDiv w:val="1"/>
      <w:marLeft w:val="0"/>
      <w:marRight w:val="0"/>
      <w:marTop w:val="0"/>
      <w:marBottom w:val="0"/>
      <w:divBdr>
        <w:top w:val="none" w:sz="0" w:space="0" w:color="auto"/>
        <w:left w:val="none" w:sz="0" w:space="0" w:color="auto"/>
        <w:bottom w:val="none" w:sz="0" w:space="0" w:color="auto"/>
        <w:right w:val="none" w:sz="0" w:space="0" w:color="auto"/>
      </w:divBdr>
    </w:div>
    <w:div w:id="1806310517">
      <w:bodyDiv w:val="1"/>
      <w:marLeft w:val="0"/>
      <w:marRight w:val="0"/>
      <w:marTop w:val="0"/>
      <w:marBottom w:val="0"/>
      <w:divBdr>
        <w:top w:val="none" w:sz="0" w:space="0" w:color="auto"/>
        <w:left w:val="none" w:sz="0" w:space="0" w:color="auto"/>
        <w:bottom w:val="none" w:sz="0" w:space="0" w:color="auto"/>
        <w:right w:val="none" w:sz="0" w:space="0" w:color="auto"/>
      </w:divBdr>
    </w:div>
    <w:div w:id="1806465187">
      <w:bodyDiv w:val="1"/>
      <w:marLeft w:val="0"/>
      <w:marRight w:val="0"/>
      <w:marTop w:val="0"/>
      <w:marBottom w:val="0"/>
      <w:divBdr>
        <w:top w:val="none" w:sz="0" w:space="0" w:color="auto"/>
        <w:left w:val="none" w:sz="0" w:space="0" w:color="auto"/>
        <w:bottom w:val="none" w:sz="0" w:space="0" w:color="auto"/>
        <w:right w:val="none" w:sz="0" w:space="0" w:color="auto"/>
      </w:divBdr>
    </w:div>
    <w:div w:id="1806507997">
      <w:bodyDiv w:val="1"/>
      <w:marLeft w:val="0"/>
      <w:marRight w:val="0"/>
      <w:marTop w:val="0"/>
      <w:marBottom w:val="0"/>
      <w:divBdr>
        <w:top w:val="none" w:sz="0" w:space="0" w:color="auto"/>
        <w:left w:val="none" w:sz="0" w:space="0" w:color="auto"/>
        <w:bottom w:val="none" w:sz="0" w:space="0" w:color="auto"/>
        <w:right w:val="none" w:sz="0" w:space="0" w:color="auto"/>
      </w:divBdr>
    </w:div>
    <w:div w:id="1806580108">
      <w:bodyDiv w:val="1"/>
      <w:marLeft w:val="0"/>
      <w:marRight w:val="0"/>
      <w:marTop w:val="0"/>
      <w:marBottom w:val="0"/>
      <w:divBdr>
        <w:top w:val="none" w:sz="0" w:space="0" w:color="auto"/>
        <w:left w:val="none" w:sz="0" w:space="0" w:color="auto"/>
        <w:bottom w:val="none" w:sz="0" w:space="0" w:color="auto"/>
        <w:right w:val="none" w:sz="0" w:space="0" w:color="auto"/>
      </w:divBdr>
    </w:div>
    <w:div w:id="1806700870">
      <w:bodyDiv w:val="1"/>
      <w:marLeft w:val="0"/>
      <w:marRight w:val="0"/>
      <w:marTop w:val="0"/>
      <w:marBottom w:val="0"/>
      <w:divBdr>
        <w:top w:val="none" w:sz="0" w:space="0" w:color="auto"/>
        <w:left w:val="none" w:sz="0" w:space="0" w:color="auto"/>
        <w:bottom w:val="none" w:sz="0" w:space="0" w:color="auto"/>
        <w:right w:val="none" w:sz="0" w:space="0" w:color="auto"/>
      </w:divBdr>
    </w:div>
    <w:div w:id="1806703673">
      <w:bodyDiv w:val="1"/>
      <w:marLeft w:val="0"/>
      <w:marRight w:val="0"/>
      <w:marTop w:val="0"/>
      <w:marBottom w:val="0"/>
      <w:divBdr>
        <w:top w:val="none" w:sz="0" w:space="0" w:color="auto"/>
        <w:left w:val="none" w:sz="0" w:space="0" w:color="auto"/>
        <w:bottom w:val="none" w:sz="0" w:space="0" w:color="auto"/>
        <w:right w:val="none" w:sz="0" w:space="0" w:color="auto"/>
      </w:divBdr>
    </w:div>
    <w:div w:id="1806779835">
      <w:bodyDiv w:val="1"/>
      <w:marLeft w:val="0"/>
      <w:marRight w:val="0"/>
      <w:marTop w:val="0"/>
      <w:marBottom w:val="0"/>
      <w:divBdr>
        <w:top w:val="none" w:sz="0" w:space="0" w:color="auto"/>
        <w:left w:val="none" w:sz="0" w:space="0" w:color="auto"/>
        <w:bottom w:val="none" w:sz="0" w:space="0" w:color="auto"/>
        <w:right w:val="none" w:sz="0" w:space="0" w:color="auto"/>
      </w:divBdr>
    </w:div>
    <w:div w:id="1806850226">
      <w:bodyDiv w:val="1"/>
      <w:marLeft w:val="0"/>
      <w:marRight w:val="0"/>
      <w:marTop w:val="0"/>
      <w:marBottom w:val="0"/>
      <w:divBdr>
        <w:top w:val="none" w:sz="0" w:space="0" w:color="auto"/>
        <w:left w:val="none" w:sz="0" w:space="0" w:color="auto"/>
        <w:bottom w:val="none" w:sz="0" w:space="0" w:color="auto"/>
        <w:right w:val="none" w:sz="0" w:space="0" w:color="auto"/>
      </w:divBdr>
    </w:div>
    <w:div w:id="1806893448">
      <w:bodyDiv w:val="1"/>
      <w:marLeft w:val="0"/>
      <w:marRight w:val="0"/>
      <w:marTop w:val="0"/>
      <w:marBottom w:val="0"/>
      <w:divBdr>
        <w:top w:val="none" w:sz="0" w:space="0" w:color="auto"/>
        <w:left w:val="none" w:sz="0" w:space="0" w:color="auto"/>
        <w:bottom w:val="none" w:sz="0" w:space="0" w:color="auto"/>
        <w:right w:val="none" w:sz="0" w:space="0" w:color="auto"/>
      </w:divBdr>
    </w:div>
    <w:div w:id="1806969567">
      <w:bodyDiv w:val="1"/>
      <w:marLeft w:val="0"/>
      <w:marRight w:val="0"/>
      <w:marTop w:val="0"/>
      <w:marBottom w:val="0"/>
      <w:divBdr>
        <w:top w:val="none" w:sz="0" w:space="0" w:color="auto"/>
        <w:left w:val="none" w:sz="0" w:space="0" w:color="auto"/>
        <w:bottom w:val="none" w:sz="0" w:space="0" w:color="auto"/>
        <w:right w:val="none" w:sz="0" w:space="0" w:color="auto"/>
      </w:divBdr>
    </w:div>
    <w:div w:id="1807046108">
      <w:bodyDiv w:val="1"/>
      <w:marLeft w:val="0"/>
      <w:marRight w:val="0"/>
      <w:marTop w:val="0"/>
      <w:marBottom w:val="0"/>
      <w:divBdr>
        <w:top w:val="none" w:sz="0" w:space="0" w:color="auto"/>
        <w:left w:val="none" w:sz="0" w:space="0" w:color="auto"/>
        <w:bottom w:val="none" w:sz="0" w:space="0" w:color="auto"/>
        <w:right w:val="none" w:sz="0" w:space="0" w:color="auto"/>
      </w:divBdr>
    </w:div>
    <w:div w:id="1807120445">
      <w:bodyDiv w:val="1"/>
      <w:marLeft w:val="0"/>
      <w:marRight w:val="0"/>
      <w:marTop w:val="0"/>
      <w:marBottom w:val="0"/>
      <w:divBdr>
        <w:top w:val="none" w:sz="0" w:space="0" w:color="auto"/>
        <w:left w:val="none" w:sz="0" w:space="0" w:color="auto"/>
        <w:bottom w:val="none" w:sz="0" w:space="0" w:color="auto"/>
        <w:right w:val="none" w:sz="0" w:space="0" w:color="auto"/>
      </w:divBdr>
    </w:div>
    <w:div w:id="1807233528">
      <w:bodyDiv w:val="1"/>
      <w:marLeft w:val="0"/>
      <w:marRight w:val="0"/>
      <w:marTop w:val="0"/>
      <w:marBottom w:val="0"/>
      <w:divBdr>
        <w:top w:val="none" w:sz="0" w:space="0" w:color="auto"/>
        <w:left w:val="none" w:sz="0" w:space="0" w:color="auto"/>
        <w:bottom w:val="none" w:sz="0" w:space="0" w:color="auto"/>
        <w:right w:val="none" w:sz="0" w:space="0" w:color="auto"/>
      </w:divBdr>
    </w:div>
    <w:div w:id="1807240895">
      <w:bodyDiv w:val="1"/>
      <w:marLeft w:val="0"/>
      <w:marRight w:val="0"/>
      <w:marTop w:val="0"/>
      <w:marBottom w:val="0"/>
      <w:divBdr>
        <w:top w:val="none" w:sz="0" w:space="0" w:color="auto"/>
        <w:left w:val="none" w:sz="0" w:space="0" w:color="auto"/>
        <w:bottom w:val="none" w:sz="0" w:space="0" w:color="auto"/>
        <w:right w:val="none" w:sz="0" w:space="0" w:color="auto"/>
      </w:divBdr>
    </w:div>
    <w:div w:id="1807434174">
      <w:bodyDiv w:val="1"/>
      <w:marLeft w:val="0"/>
      <w:marRight w:val="0"/>
      <w:marTop w:val="0"/>
      <w:marBottom w:val="0"/>
      <w:divBdr>
        <w:top w:val="none" w:sz="0" w:space="0" w:color="auto"/>
        <w:left w:val="none" w:sz="0" w:space="0" w:color="auto"/>
        <w:bottom w:val="none" w:sz="0" w:space="0" w:color="auto"/>
        <w:right w:val="none" w:sz="0" w:space="0" w:color="auto"/>
      </w:divBdr>
    </w:div>
    <w:div w:id="1807509520">
      <w:bodyDiv w:val="1"/>
      <w:marLeft w:val="0"/>
      <w:marRight w:val="0"/>
      <w:marTop w:val="0"/>
      <w:marBottom w:val="0"/>
      <w:divBdr>
        <w:top w:val="none" w:sz="0" w:space="0" w:color="auto"/>
        <w:left w:val="none" w:sz="0" w:space="0" w:color="auto"/>
        <w:bottom w:val="none" w:sz="0" w:space="0" w:color="auto"/>
        <w:right w:val="none" w:sz="0" w:space="0" w:color="auto"/>
      </w:divBdr>
    </w:div>
    <w:div w:id="1807579388">
      <w:bodyDiv w:val="1"/>
      <w:marLeft w:val="0"/>
      <w:marRight w:val="0"/>
      <w:marTop w:val="0"/>
      <w:marBottom w:val="0"/>
      <w:divBdr>
        <w:top w:val="none" w:sz="0" w:space="0" w:color="auto"/>
        <w:left w:val="none" w:sz="0" w:space="0" w:color="auto"/>
        <w:bottom w:val="none" w:sz="0" w:space="0" w:color="auto"/>
        <w:right w:val="none" w:sz="0" w:space="0" w:color="auto"/>
      </w:divBdr>
    </w:div>
    <w:div w:id="1807621464">
      <w:bodyDiv w:val="1"/>
      <w:marLeft w:val="0"/>
      <w:marRight w:val="0"/>
      <w:marTop w:val="0"/>
      <w:marBottom w:val="0"/>
      <w:divBdr>
        <w:top w:val="none" w:sz="0" w:space="0" w:color="auto"/>
        <w:left w:val="none" w:sz="0" w:space="0" w:color="auto"/>
        <w:bottom w:val="none" w:sz="0" w:space="0" w:color="auto"/>
        <w:right w:val="none" w:sz="0" w:space="0" w:color="auto"/>
      </w:divBdr>
    </w:div>
    <w:div w:id="1807698424">
      <w:bodyDiv w:val="1"/>
      <w:marLeft w:val="0"/>
      <w:marRight w:val="0"/>
      <w:marTop w:val="0"/>
      <w:marBottom w:val="0"/>
      <w:divBdr>
        <w:top w:val="none" w:sz="0" w:space="0" w:color="auto"/>
        <w:left w:val="none" w:sz="0" w:space="0" w:color="auto"/>
        <w:bottom w:val="none" w:sz="0" w:space="0" w:color="auto"/>
        <w:right w:val="none" w:sz="0" w:space="0" w:color="auto"/>
      </w:divBdr>
    </w:div>
    <w:div w:id="1807771892">
      <w:bodyDiv w:val="1"/>
      <w:marLeft w:val="0"/>
      <w:marRight w:val="0"/>
      <w:marTop w:val="0"/>
      <w:marBottom w:val="0"/>
      <w:divBdr>
        <w:top w:val="none" w:sz="0" w:space="0" w:color="auto"/>
        <w:left w:val="none" w:sz="0" w:space="0" w:color="auto"/>
        <w:bottom w:val="none" w:sz="0" w:space="0" w:color="auto"/>
        <w:right w:val="none" w:sz="0" w:space="0" w:color="auto"/>
      </w:divBdr>
    </w:div>
    <w:div w:id="1807967657">
      <w:bodyDiv w:val="1"/>
      <w:marLeft w:val="0"/>
      <w:marRight w:val="0"/>
      <w:marTop w:val="0"/>
      <w:marBottom w:val="0"/>
      <w:divBdr>
        <w:top w:val="none" w:sz="0" w:space="0" w:color="auto"/>
        <w:left w:val="none" w:sz="0" w:space="0" w:color="auto"/>
        <w:bottom w:val="none" w:sz="0" w:space="0" w:color="auto"/>
        <w:right w:val="none" w:sz="0" w:space="0" w:color="auto"/>
      </w:divBdr>
    </w:div>
    <w:div w:id="1807968695">
      <w:bodyDiv w:val="1"/>
      <w:marLeft w:val="0"/>
      <w:marRight w:val="0"/>
      <w:marTop w:val="0"/>
      <w:marBottom w:val="0"/>
      <w:divBdr>
        <w:top w:val="none" w:sz="0" w:space="0" w:color="auto"/>
        <w:left w:val="none" w:sz="0" w:space="0" w:color="auto"/>
        <w:bottom w:val="none" w:sz="0" w:space="0" w:color="auto"/>
        <w:right w:val="none" w:sz="0" w:space="0" w:color="auto"/>
      </w:divBdr>
    </w:div>
    <w:div w:id="1807969778">
      <w:bodyDiv w:val="1"/>
      <w:marLeft w:val="0"/>
      <w:marRight w:val="0"/>
      <w:marTop w:val="0"/>
      <w:marBottom w:val="0"/>
      <w:divBdr>
        <w:top w:val="none" w:sz="0" w:space="0" w:color="auto"/>
        <w:left w:val="none" w:sz="0" w:space="0" w:color="auto"/>
        <w:bottom w:val="none" w:sz="0" w:space="0" w:color="auto"/>
        <w:right w:val="none" w:sz="0" w:space="0" w:color="auto"/>
      </w:divBdr>
    </w:div>
    <w:div w:id="1807972600">
      <w:bodyDiv w:val="1"/>
      <w:marLeft w:val="0"/>
      <w:marRight w:val="0"/>
      <w:marTop w:val="0"/>
      <w:marBottom w:val="0"/>
      <w:divBdr>
        <w:top w:val="none" w:sz="0" w:space="0" w:color="auto"/>
        <w:left w:val="none" w:sz="0" w:space="0" w:color="auto"/>
        <w:bottom w:val="none" w:sz="0" w:space="0" w:color="auto"/>
        <w:right w:val="none" w:sz="0" w:space="0" w:color="auto"/>
      </w:divBdr>
    </w:div>
    <w:div w:id="1808009848">
      <w:bodyDiv w:val="1"/>
      <w:marLeft w:val="0"/>
      <w:marRight w:val="0"/>
      <w:marTop w:val="0"/>
      <w:marBottom w:val="0"/>
      <w:divBdr>
        <w:top w:val="none" w:sz="0" w:space="0" w:color="auto"/>
        <w:left w:val="none" w:sz="0" w:space="0" w:color="auto"/>
        <w:bottom w:val="none" w:sz="0" w:space="0" w:color="auto"/>
        <w:right w:val="none" w:sz="0" w:space="0" w:color="auto"/>
      </w:divBdr>
    </w:div>
    <w:div w:id="1808011693">
      <w:bodyDiv w:val="1"/>
      <w:marLeft w:val="0"/>
      <w:marRight w:val="0"/>
      <w:marTop w:val="0"/>
      <w:marBottom w:val="0"/>
      <w:divBdr>
        <w:top w:val="none" w:sz="0" w:space="0" w:color="auto"/>
        <w:left w:val="none" w:sz="0" w:space="0" w:color="auto"/>
        <w:bottom w:val="none" w:sz="0" w:space="0" w:color="auto"/>
        <w:right w:val="none" w:sz="0" w:space="0" w:color="auto"/>
      </w:divBdr>
    </w:div>
    <w:div w:id="1808081689">
      <w:bodyDiv w:val="1"/>
      <w:marLeft w:val="0"/>
      <w:marRight w:val="0"/>
      <w:marTop w:val="0"/>
      <w:marBottom w:val="0"/>
      <w:divBdr>
        <w:top w:val="none" w:sz="0" w:space="0" w:color="auto"/>
        <w:left w:val="none" w:sz="0" w:space="0" w:color="auto"/>
        <w:bottom w:val="none" w:sz="0" w:space="0" w:color="auto"/>
        <w:right w:val="none" w:sz="0" w:space="0" w:color="auto"/>
      </w:divBdr>
    </w:div>
    <w:div w:id="1808278032">
      <w:bodyDiv w:val="1"/>
      <w:marLeft w:val="0"/>
      <w:marRight w:val="0"/>
      <w:marTop w:val="0"/>
      <w:marBottom w:val="0"/>
      <w:divBdr>
        <w:top w:val="none" w:sz="0" w:space="0" w:color="auto"/>
        <w:left w:val="none" w:sz="0" w:space="0" w:color="auto"/>
        <w:bottom w:val="none" w:sz="0" w:space="0" w:color="auto"/>
        <w:right w:val="none" w:sz="0" w:space="0" w:color="auto"/>
      </w:divBdr>
    </w:div>
    <w:div w:id="1808359345">
      <w:bodyDiv w:val="1"/>
      <w:marLeft w:val="0"/>
      <w:marRight w:val="0"/>
      <w:marTop w:val="0"/>
      <w:marBottom w:val="0"/>
      <w:divBdr>
        <w:top w:val="none" w:sz="0" w:space="0" w:color="auto"/>
        <w:left w:val="none" w:sz="0" w:space="0" w:color="auto"/>
        <w:bottom w:val="none" w:sz="0" w:space="0" w:color="auto"/>
        <w:right w:val="none" w:sz="0" w:space="0" w:color="auto"/>
      </w:divBdr>
    </w:div>
    <w:div w:id="1808469626">
      <w:bodyDiv w:val="1"/>
      <w:marLeft w:val="0"/>
      <w:marRight w:val="0"/>
      <w:marTop w:val="0"/>
      <w:marBottom w:val="0"/>
      <w:divBdr>
        <w:top w:val="none" w:sz="0" w:space="0" w:color="auto"/>
        <w:left w:val="none" w:sz="0" w:space="0" w:color="auto"/>
        <w:bottom w:val="none" w:sz="0" w:space="0" w:color="auto"/>
        <w:right w:val="none" w:sz="0" w:space="0" w:color="auto"/>
      </w:divBdr>
    </w:div>
    <w:div w:id="1808627903">
      <w:bodyDiv w:val="1"/>
      <w:marLeft w:val="0"/>
      <w:marRight w:val="0"/>
      <w:marTop w:val="0"/>
      <w:marBottom w:val="0"/>
      <w:divBdr>
        <w:top w:val="none" w:sz="0" w:space="0" w:color="auto"/>
        <w:left w:val="none" w:sz="0" w:space="0" w:color="auto"/>
        <w:bottom w:val="none" w:sz="0" w:space="0" w:color="auto"/>
        <w:right w:val="none" w:sz="0" w:space="0" w:color="auto"/>
      </w:divBdr>
    </w:div>
    <w:div w:id="1808666383">
      <w:bodyDiv w:val="1"/>
      <w:marLeft w:val="0"/>
      <w:marRight w:val="0"/>
      <w:marTop w:val="0"/>
      <w:marBottom w:val="0"/>
      <w:divBdr>
        <w:top w:val="none" w:sz="0" w:space="0" w:color="auto"/>
        <w:left w:val="none" w:sz="0" w:space="0" w:color="auto"/>
        <w:bottom w:val="none" w:sz="0" w:space="0" w:color="auto"/>
        <w:right w:val="none" w:sz="0" w:space="0" w:color="auto"/>
      </w:divBdr>
    </w:div>
    <w:div w:id="1808667046">
      <w:bodyDiv w:val="1"/>
      <w:marLeft w:val="0"/>
      <w:marRight w:val="0"/>
      <w:marTop w:val="0"/>
      <w:marBottom w:val="0"/>
      <w:divBdr>
        <w:top w:val="none" w:sz="0" w:space="0" w:color="auto"/>
        <w:left w:val="none" w:sz="0" w:space="0" w:color="auto"/>
        <w:bottom w:val="none" w:sz="0" w:space="0" w:color="auto"/>
        <w:right w:val="none" w:sz="0" w:space="0" w:color="auto"/>
      </w:divBdr>
    </w:div>
    <w:div w:id="1808741621">
      <w:bodyDiv w:val="1"/>
      <w:marLeft w:val="0"/>
      <w:marRight w:val="0"/>
      <w:marTop w:val="0"/>
      <w:marBottom w:val="0"/>
      <w:divBdr>
        <w:top w:val="none" w:sz="0" w:space="0" w:color="auto"/>
        <w:left w:val="none" w:sz="0" w:space="0" w:color="auto"/>
        <w:bottom w:val="none" w:sz="0" w:space="0" w:color="auto"/>
        <w:right w:val="none" w:sz="0" w:space="0" w:color="auto"/>
      </w:divBdr>
    </w:div>
    <w:div w:id="1808814505">
      <w:bodyDiv w:val="1"/>
      <w:marLeft w:val="0"/>
      <w:marRight w:val="0"/>
      <w:marTop w:val="0"/>
      <w:marBottom w:val="0"/>
      <w:divBdr>
        <w:top w:val="none" w:sz="0" w:space="0" w:color="auto"/>
        <w:left w:val="none" w:sz="0" w:space="0" w:color="auto"/>
        <w:bottom w:val="none" w:sz="0" w:space="0" w:color="auto"/>
        <w:right w:val="none" w:sz="0" w:space="0" w:color="auto"/>
      </w:divBdr>
    </w:div>
    <w:div w:id="1808933714">
      <w:bodyDiv w:val="1"/>
      <w:marLeft w:val="0"/>
      <w:marRight w:val="0"/>
      <w:marTop w:val="0"/>
      <w:marBottom w:val="0"/>
      <w:divBdr>
        <w:top w:val="none" w:sz="0" w:space="0" w:color="auto"/>
        <w:left w:val="none" w:sz="0" w:space="0" w:color="auto"/>
        <w:bottom w:val="none" w:sz="0" w:space="0" w:color="auto"/>
        <w:right w:val="none" w:sz="0" w:space="0" w:color="auto"/>
      </w:divBdr>
    </w:div>
    <w:div w:id="1808935211">
      <w:bodyDiv w:val="1"/>
      <w:marLeft w:val="0"/>
      <w:marRight w:val="0"/>
      <w:marTop w:val="0"/>
      <w:marBottom w:val="0"/>
      <w:divBdr>
        <w:top w:val="none" w:sz="0" w:space="0" w:color="auto"/>
        <w:left w:val="none" w:sz="0" w:space="0" w:color="auto"/>
        <w:bottom w:val="none" w:sz="0" w:space="0" w:color="auto"/>
        <w:right w:val="none" w:sz="0" w:space="0" w:color="auto"/>
      </w:divBdr>
    </w:div>
    <w:div w:id="1808936204">
      <w:bodyDiv w:val="1"/>
      <w:marLeft w:val="0"/>
      <w:marRight w:val="0"/>
      <w:marTop w:val="0"/>
      <w:marBottom w:val="0"/>
      <w:divBdr>
        <w:top w:val="none" w:sz="0" w:space="0" w:color="auto"/>
        <w:left w:val="none" w:sz="0" w:space="0" w:color="auto"/>
        <w:bottom w:val="none" w:sz="0" w:space="0" w:color="auto"/>
        <w:right w:val="none" w:sz="0" w:space="0" w:color="auto"/>
      </w:divBdr>
    </w:div>
    <w:div w:id="1809007442">
      <w:bodyDiv w:val="1"/>
      <w:marLeft w:val="0"/>
      <w:marRight w:val="0"/>
      <w:marTop w:val="0"/>
      <w:marBottom w:val="0"/>
      <w:divBdr>
        <w:top w:val="none" w:sz="0" w:space="0" w:color="auto"/>
        <w:left w:val="none" w:sz="0" w:space="0" w:color="auto"/>
        <w:bottom w:val="none" w:sz="0" w:space="0" w:color="auto"/>
        <w:right w:val="none" w:sz="0" w:space="0" w:color="auto"/>
      </w:divBdr>
    </w:div>
    <w:div w:id="1809056070">
      <w:bodyDiv w:val="1"/>
      <w:marLeft w:val="0"/>
      <w:marRight w:val="0"/>
      <w:marTop w:val="0"/>
      <w:marBottom w:val="0"/>
      <w:divBdr>
        <w:top w:val="none" w:sz="0" w:space="0" w:color="auto"/>
        <w:left w:val="none" w:sz="0" w:space="0" w:color="auto"/>
        <w:bottom w:val="none" w:sz="0" w:space="0" w:color="auto"/>
        <w:right w:val="none" w:sz="0" w:space="0" w:color="auto"/>
      </w:divBdr>
    </w:div>
    <w:div w:id="1809087696">
      <w:bodyDiv w:val="1"/>
      <w:marLeft w:val="0"/>
      <w:marRight w:val="0"/>
      <w:marTop w:val="0"/>
      <w:marBottom w:val="0"/>
      <w:divBdr>
        <w:top w:val="none" w:sz="0" w:space="0" w:color="auto"/>
        <w:left w:val="none" w:sz="0" w:space="0" w:color="auto"/>
        <w:bottom w:val="none" w:sz="0" w:space="0" w:color="auto"/>
        <w:right w:val="none" w:sz="0" w:space="0" w:color="auto"/>
      </w:divBdr>
    </w:div>
    <w:div w:id="1809123915">
      <w:bodyDiv w:val="1"/>
      <w:marLeft w:val="0"/>
      <w:marRight w:val="0"/>
      <w:marTop w:val="0"/>
      <w:marBottom w:val="0"/>
      <w:divBdr>
        <w:top w:val="none" w:sz="0" w:space="0" w:color="auto"/>
        <w:left w:val="none" w:sz="0" w:space="0" w:color="auto"/>
        <w:bottom w:val="none" w:sz="0" w:space="0" w:color="auto"/>
        <w:right w:val="none" w:sz="0" w:space="0" w:color="auto"/>
      </w:divBdr>
    </w:div>
    <w:div w:id="1809130802">
      <w:bodyDiv w:val="1"/>
      <w:marLeft w:val="0"/>
      <w:marRight w:val="0"/>
      <w:marTop w:val="0"/>
      <w:marBottom w:val="0"/>
      <w:divBdr>
        <w:top w:val="none" w:sz="0" w:space="0" w:color="auto"/>
        <w:left w:val="none" w:sz="0" w:space="0" w:color="auto"/>
        <w:bottom w:val="none" w:sz="0" w:space="0" w:color="auto"/>
        <w:right w:val="none" w:sz="0" w:space="0" w:color="auto"/>
      </w:divBdr>
    </w:div>
    <w:div w:id="1809200473">
      <w:bodyDiv w:val="1"/>
      <w:marLeft w:val="0"/>
      <w:marRight w:val="0"/>
      <w:marTop w:val="0"/>
      <w:marBottom w:val="0"/>
      <w:divBdr>
        <w:top w:val="none" w:sz="0" w:space="0" w:color="auto"/>
        <w:left w:val="none" w:sz="0" w:space="0" w:color="auto"/>
        <w:bottom w:val="none" w:sz="0" w:space="0" w:color="auto"/>
        <w:right w:val="none" w:sz="0" w:space="0" w:color="auto"/>
      </w:divBdr>
    </w:div>
    <w:div w:id="1809274046">
      <w:bodyDiv w:val="1"/>
      <w:marLeft w:val="0"/>
      <w:marRight w:val="0"/>
      <w:marTop w:val="0"/>
      <w:marBottom w:val="0"/>
      <w:divBdr>
        <w:top w:val="none" w:sz="0" w:space="0" w:color="auto"/>
        <w:left w:val="none" w:sz="0" w:space="0" w:color="auto"/>
        <w:bottom w:val="none" w:sz="0" w:space="0" w:color="auto"/>
        <w:right w:val="none" w:sz="0" w:space="0" w:color="auto"/>
      </w:divBdr>
    </w:div>
    <w:div w:id="1809274754">
      <w:bodyDiv w:val="1"/>
      <w:marLeft w:val="0"/>
      <w:marRight w:val="0"/>
      <w:marTop w:val="0"/>
      <w:marBottom w:val="0"/>
      <w:divBdr>
        <w:top w:val="none" w:sz="0" w:space="0" w:color="auto"/>
        <w:left w:val="none" w:sz="0" w:space="0" w:color="auto"/>
        <w:bottom w:val="none" w:sz="0" w:space="0" w:color="auto"/>
        <w:right w:val="none" w:sz="0" w:space="0" w:color="auto"/>
      </w:divBdr>
    </w:div>
    <w:div w:id="1809393182">
      <w:bodyDiv w:val="1"/>
      <w:marLeft w:val="0"/>
      <w:marRight w:val="0"/>
      <w:marTop w:val="0"/>
      <w:marBottom w:val="0"/>
      <w:divBdr>
        <w:top w:val="none" w:sz="0" w:space="0" w:color="auto"/>
        <w:left w:val="none" w:sz="0" w:space="0" w:color="auto"/>
        <w:bottom w:val="none" w:sz="0" w:space="0" w:color="auto"/>
        <w:right w:val="none" w:sz="0" w:space="0" w:color="auto"/>
      </w:divBdr>
    </w:div>
    <w:div w:id="1809393654">
      <w:bodyDiv w:val="1"/>
      <w:marLeft w:val="0"/>
      <w:marRight w:val="0"/>
      <w:marTop w:val="0"/>
      <w:marBottom w:val="0"/>
      <w:divBdr>
        <w:top w:val="none" w:sz="0" w:space="0" w:color="auto"/>
        <w:left w:val="none" w:sz="0" w:space="0" w:color="auto"/>
        <w:bottom w:val="none" w:sz="0" w:space="0" w:color="auto"/>
        <w:right w:val="none" w:sz="0" w:space="0" w:color="auto"/>
      </w:divBdr>
    </w:div>
    <w:div w:id="1809515578">
      <w:bodyDiv w:val="1"/>
      <w:marLeft w:val="0"/>
      <w:marRight w:val="0"/>
      <w:marTop w:val="0"/>
      <w:marBottom w:val="0"/>
      <w:divBdr>
        <w:top w:val="none" w:sz="0" w:space="0" w:color="auto"/>
        <w:left w:val="none" w:sz="0" w:space="0" w:color="auto"/>
        <w:bottom w:val="none" w:sz="0" w:space="0" w:color="auto"/>
        <w:right w:val="none" w:sz="0" w:space="0" w:color="auto"/>
      </w:divBdr>
    </w:div>
    <w:div w:id="1809780113">
      <w:bodyDiv w:val="1"/>
      <w:marLeft w:val="0"/>
      <w:marRight w:val="0"/>
      <w:marTop w:val="0"/>
      <w:marBottom w:val="0"/>
      <w:divBdr>
        <w:top w:val="none" w:sz="0" w:space="0" w:color="auto"/>
        <w:left w:val="none" w:sz="0" w:space="0" w:color="auto"/>
        <w:bottom w:val="none" w:sz="0" w:space="0" w:color="auto"/>
        <w:right w:val="none" w:sz="0" w:space="0" w:color="auto"/>
      </w:divBdr>
    </w:div>
    <w:div w:id="1809782914">
      <w:bodyDiv w:val="1"/>
      <w:marLeft w:val="0"/>
      <w:marRight w:val="0"/>
      <w:marTop w:val="0"/>
      <w:marBottom w:val="0"/>
      <w:divBdr>
        <w:top w:val="none" w:sz="0" w:space="0" w:color="auto"/>
        <w:left w:val="none" w:sz="0" w:space="0" w:color="auto"/>
        <w:bottom w:val="none" w:sz="0" w:space="0" w:color="auto"/>
        <w:right w:val="none" w:sz="0" w:space="0" w:color="auto"/>
      </w:divBdr>
    </w:div>
    <w:div w:id="1809783506">
      <w:bodyDiv w:val="1"/>
      <w:marLeft w:val="0"/>
      <w:marRight w:val="0"/>
      <w:marTop w:val="0"/>
      <w:marBottom w:val="0"/>
      <w:divBdr>
        <w:top w:val="none" w:sz="0" w:space="0" w:color="auto"/>
        <w:left w:val="none" w:sz="0" w:space="0" w:color="auto"/>
        <w:bottom w:val="none" w:sz="0" w:space="0" w:color="auto"/>
        <w:right w:val="none" w:sz="0" w:space="0" w:color="auto"/>
      </w:divBdr>
    </w:div>
    <w:div w:id="1809786255">
      <w:bodyDiv w:val="1"/>
      <w:marLeft w:val="0"/>
      <w:marRight w:val="0"/>
      <w:marTop w:val="0"/>
      <w:marBottom w:val="0"/>
      <w:divBdr>
        <w:top w:val="none" w:sz="0" w:space="0" w:color="auto"/>
        <w:left w:val="none" w:sz="0" w:space="0" w:color="auto"/>
        <w:bottom w:val="none" w:sz="0" w:space="0" w:color="auto"/>
        <w:right w:val="none" w:sz="0" w:space="0" w:color="auto"/>
      </w:divBdr>
    </w:div>
    <w:div w:id="1809786729">
      <w:bodyDiv w:val="1"/>
      <w:marLeft w:val="0"/>
      <w:marRight w:val="0"/>
      <w:marTop w:val="0"/>
      <w:marBottom w:val="0"/>
      <w:divBdr>
        <w:top w:val="none" w:sz="0" w:space="0" w:color="auto"/>
        <w:left w:val="none" w:sz="0" w:space="0" w:color="auto"/>
        <w:bottom w:val="none" w:sz="0" w:space="0" w:color="auto"/>
        <w:right w:val="none" w:sz="0" w:space="0" w:color="auto"/>
      </w:divBdr>
    </w:div>
    <w:div w:id="1809930913">
      <w:bodyDiv w:val="1"/>
      <w:marLeft w:val="0"/>
      <w:marRight w:val="0"/>
      <w:marTop w:val="0"/>
      <w:marBottom w:val="0"/>
      <w:divBdr>
        <w:top w:val="none" w:sz="0" w:space="0" w:color="auto"/>
        <w:left w:val="none" w:sz="0" w:space="0" w:color="auto"/>
        <w:bottom w:val="none" w:sz="0" w:space="0" w:color="auto"/>
        <w:right w:val="none" w:sz="0" w:space="0" w:color="auto"/>
      </w:divBdr>
    </w:div>
    <w:div w:id="1809938276">
      <w:bodyDiv w:val="1"/>
      <w:marLeft w:val="0"/>
      <w:marRight w:val="0"/>
      <w:marTop w:val="0"/>
      <w:marBottom w:val="0"/>
      <w:divBdr>
        <w:top w:val="none" w:sz="0" w:space="0" w:color="auto"/>
        <w:left w:val="none" w:sz="0" w:space="0" w:color="auto"/>
        <w:bottom w:val="none" w:sz="0" w:space="0" w:color="auto"/>
        <w:right w:val="none" w:sz="0" w:space="0" w:color="auto"/>
      </w:divBdr>
    </w:div>
    <w:div w:id="1810049000">
      <w:bodyDiv w:val="1"/>
      <w:marLeft w:val="0"/>
      <w:marRight w:val="0"/>
      <w:marTop w:val="0"/>
      <w:marBottom w:val="0"/>
      <w:divBdr>
        <w:top w:val="none" w:sz="0" w:space="0" w:color="auto"/>
        <w:left w:val="none" w:sz="0" w:space="0" w:color="auto"/>
        <w:bottom w:val="none" w:sz="0" w:space="0" w:color="auto"/>
        <w:right w:val="none" w:sz="0" w:space="0" w:color="auto"/>
      </w:divBdr>
    </w:div>
    <w:div w:id="1810051545">
      <w:bodyDiv w:val="1"/>
      <w:marLeft w:val="0"/>
      <w:marRight w:val="0"/>
      <w:marTop w:val="0"/>
      <w:marBottom w:val="0"/>
      <w:divBdr>
        <w:top w:val="none" w:sz="0" w:space="0" w:color="auto"/>
        <w:left w:val="none" w:sz="0" w:space="0" w:color="auto"/>
        <w:bottom w:val="none" w:sz="0" w:space="0" w:color="auto"/>
        <w:right w:val="none" w:sz="0" w:space="0" w:color="auto"/>
      </w:divBdr>
    </w:div>
    <w:div w:id="1810126007">
      <w:bodyDiv w:val="1"/>
      <w:marLeft w:val="0"/>
      <w:marRight w:val="0"/>
      <w:marTop w:val="0"/>
      <w:marBottom w:val="0"/>
      <w:divBdr>
        <w:top w:val="none" w:sz="0" w:space="0" w:color="auto"/>
        <w:left w:val="none" w:sz="0" w:space="0" w:color="auto"/>
        <w:bottom w:val="none" w:sz="0" w:space="0" w:color="auto"/>
        <w:right w:val="none" w:sz="0" w:space="0" w:color="auto"/>
      </w:divBdr>
    </w:div>
    <w:div w:id="1810393544">
      <w:bodyDiv w:val="1"/>
      <w:marLeft w:val="0"/>
      <w:marRight w:val="0"/>
      <w:marTop w:val="0"/>
      <w:marBottom w:val="0"/>
      <w:divBdr>
        <w:top w:val="none" w:sz="0" w:space="0" w:color="auto"/>
        <w:left w:val="none" w:sz="0" w:space="0" w:color="auto"/>
        <w:bottom w:val="none" w:sz="0" w:space="0" w:color="auto"/>
        <w:right w:val="none" w:sz="0" w:space="0" w:color="auto"/>
      </w:divBdr>
    </w:div>
    <w:div w:id="1810439359">
      <w:bodyDiv w:val="1"/>
      <w:marLeft w:val="0"/>
      <w:marRight w:val="0"/>
      <w:marTop w:val="0"/>
      <w:marBottom w:val="0"/>
      <w:divBdr>
        <w:top w:val="none" w:sz="0" w:space="0" w:color="auto"/>
        <w:left w:val="none" w:sz="0" w:space="0" w:color="auto"/>
        <w:bottom w:val="none" w:sz="0" w:space="0" w:color="auto"/>
        <w:right w:val="none" w:sz="0" w:space="0" w:color="auto"/>
      </w:divBdr>
    </w:div>
    <w:div w:id="1810442663">
      <w:bodyDiv w:val="1"/>
      <w:marLeft w:val="0"/>
      <w:marRight w:val="0"/>
      <w:marTop w:val="0"/>
      <w:marBottom w:val="0"/>
      <w:divBdr>
        <w:top w:val="none" w:sz="0" w:space="0" w:color="auto"/>
        <w:left w:val="none" w:sz="0" w:space="0" w:color="auto"/>
        <w:bottom w:val="none" w:sz="0" w:space="0" w:color="auto"/>
        <w:right w:val="none" w:sz="0" w:space="0" w:color="auto"/>
      </w:divBdr>
    </w:div>
    <w:div w:id="1810509724">
      <w:bodyDiv w:val="1"/>
      <w:marLeft w:val="0"/>
      <w:marRight w:val="0"/>
      <w:marTop w:val="0"/>
      <w:marBottom w:val="0"/>
      <w:divBdr>
        <w:top w:val="none" w:sz="0" w:space="0" w:color="auto"/>
        <w:left w:val="none" w:sz="0" w:space="0" w:color="auto"/>
        <w:bottom w:val="none" w:sz="0" w:space="0" w:color="auto"/>
        <w:right w:val="none" w:sz="0" w:space="0" w:color="auto"/>
      </w:divBdr>
    </w:div>
    <w:div w:id="1810510608">
      <w:bodyDiv w:val="1"/>
      <w:marLeft w:val="0"/>
      <w:marRight w:val="0"/>
      <w:marTop w:val="0"/>
      <w:marBottom w:val="0"/>
      <w:divBdr>
        <w:top w:val="none" w:sz="0" w:space="0" w:color="auto"/>
        <w:left w:val="none" w:sz="0" w:space="0" w:color="auto"/>
        <w:bottom w:val="none" w:sz="0" w:space="0" w:color="auto"/>
        <w:right w:val="none" w:sz="0" w:space="0" w:color="auto"/>
      </w:divBdr>
      <w:divsChild>
        <w:div w:id="13699795">
          <w:marLeft w:val="0"/>
          <w:marRight w:val="0"/>
          <w:marTop w:val="0"/>
          <w:marBottom w:val="0"/>
          <w:divBdr>
            <w:top w:val="none" w:sz="0" w:space="0" w:color="auto"/>
            <w:left w:val="none" w:sz="0" w:space="0" w:color="auto"/>
            <w:bottom w:val="none" w:sz="0" w:space="0" w:color="auto"/>
            <w:right w:val="none" w:sz="0" w:space="0" w:color="auto"/>
          </w:divBdr>
        </w:div>
        <w:div w:id="15353210">
          <w:marLeft w:val="0"/>
          <w:marRight w:val="0"/>
          <w:marTop w:val="0"/>
          <w:marBottom w:val="0"/>
          <w:divBdr>
            <w:top w:val="none" w:sz="0" w:space="0" w:color="auto"/>
            <w:left w:val="none" w:sz="0" w:space="0" w:color="auto"/>
            <w:bottom w:val="none" w:sz="0" w:space="0" w:color="auto"/>
            <w:right w:val="none" w:sz="0" w:space="0" w:color="auto"/>
          </w:divBdr>
        </w:div>
        <w:div w:id="29575826">
          <w:marLeft w:val="0"/>
          <w:marRight w:val="0"/>
          <w:marTop w:val="0"/>
          <w:marBottom w:val="0"/>
          <w:divBdr>
            <w:top w:val="none" w:sz="0" w:space="0" w:color="auto"/>
            <w:left w:val="none" w:sz="0" w:space="0" w:color="auto"/>
            <w:bottom w:val="none" w:sz="0" w:space="0" w:color="auto"/>
            <w:right w:val="none" w:sz="0" w:space="0" w:color="auto"/>
          </w:divBdr>
        </w:div>
        <w:div w:id="35273563">
          <w:marLeft w:val="0"/>
          <w:marRight w:val="0"/>
          <w:marTop w:val="0"/>
          <w:marBottom w:val="0"/>
          <w:divBdr>
            <w:top w:val="none" w:sz="0" w:space="0" w:color="auto"/>
            <w:left w:val="none" w:sz="0" w:space="0" w:color="auto"/>
            <w:bottom w:val="none" w:sz="0" w:space="0" w:color="auto"/>
            <w:right w:val="none" w:sz="0" w:space="0" w:color="auto"/>
          </w:divBdr>
        </w:div>
        <w:div w:id="53820142">
          <w:marLeft w:val="0"/>
          <w:marRight w:val="0"/>
          <w:marTop w:val="0"/>
          <w:marBottom w:val="0"/>
          <w:divBdr>
            <w:top w:val="none" w:sz="0" w:space="0" w:color="auto"/>
            <w:left w:val="none" w:sz="0" w:space="0" w:color="auto"/>
            <w:bottom w:val="none" w:sz="0" w:space="0" w:color="auto"/>
            <w:right w:val="none" w:sz="0" w:space="0" w:color="auto"/>
          </w:divBdr>
        </w:div>
        <w:div w:id="94790300">
          <w:marLeft w:val="0"/>
          <w:marRight w:val="0"/>
          <w:marTop w:val="0"/>
          <w:marBottom w:val="0"/>
          <w:divBdr>
            <w:top w:val="none" w:sz="0" w:space="0" w:color="auto"/>
            <w:left w:val="none" w:sz="0" w:space="0" w:color="auto"/>
            <w:bottom w:val="none" w:sz="0" w:space="0" w:color="auto"/>
            <w:right w:val="none" w:sz="0" w:space="0" w:color="auto"/>
          </w:divBdr>
        </w:div>
        <w:div w:id="97600364">
          <w:marLeft w:val="0"/>
          <w:marRight w:val="0"/>
          <w:marTop w:val="0"/>
          <w:marBottom w:val="0"/>
          <w:divBdr>
            <w:top w:val="none" w:sz="0" w:space="0" w:color="auto"/>
            <w:left w:val="none" w:sz="0" w:space="0" w:color="auto"/>
            <w:bottom w:val="none" w:sz="0" w:space="0" w:color="auto"/>
            <w:right w:val="none" w:sz="0" w:space="0" w:color="auto"/>
          </w:divBdr>
        </w:div>
        <w:div w:id="99379874">
          <w:marLeft w:val="0"/>
          <w:marRight w:val="0"/>
          <w:marTop w:val="0"/>
          <w:marBottom w:val="0"/>
          <w:divBdr>
            <w:top w:val="none" w:sz="0" w:space="0" w:color="auto"/>
            <w:left w:val="none" w:sz="0" w:space="0" w:color="auto"/>
            <w:bottom w:val="none" w:sz="0" w:space="0" w:color="auto"/>
            <w:right w:val="none" w:sz="0" w:space="0" w:color="auto"/>
          </w:divBdr>
        </w:div>
        <w:div w:id="122161368">
          <w:marLeft w:val="0"/>
          <w:marRight w:val="0"/>
          <w:marTop w:val="0"/>
          <w:marBottom w:val="0"/>
          <w:divBdr>
            <w:top w:val="none" w:sz="0" w:space="0" w:color="auto"/>
            <w:left w:val="none" w:sz="0" w:space="0" w:color="auto"/>
            <w:bottom w:val="none" w:sz="0" w:space="0" w:color="auto"/>
            <w:right w:val="none" w:sz="0" w:space="0" w:color="auto"/>
          </w:divBdr>
        </w:div>
        <w:div w:id="128405457">
          <w:marLeft w:val="0"/>
          <w:marRight w:val="0"/>
          <w:marTop w:val="0"/>
          <w:marBottom w:val="0"/>
          <w:divBdr>
            <w:top w:val="none" w:sz="0" w:space="0" w:color="auto"/>
            <w:left w:val="none" w:sz="0" w:space="0" w:color="auto"/>
            <w:bottom w:val="none" w:sz="0" w:space="0" w:color="auto"/>
            <w:right w:val="none" w:sz="0" w:space="0" w:color="auto"/>
          </w:divBdr>
        </w:div>
        <w:div w:id="137184971">
          <w:marLeft w:val="0"/>
          <w:marRight w:val="0"/>
          <w:marTop w:val="0"/>
          <w:marBottom w:val="0"/>
          <w:divBdr>
            <w:top w:val="none" w:sz="0" w:space="0" w:color="auto"/>
            <w:left w:val="none" w:sz="0" w:space="0" w:color="auto"/>
            <w:bottom w:val="none" w:sz="0" w:space="0" w:color="auto"/>
            <w:right w:val="none" w:sz="0" w:space="0" w:color="auto"/>
          </w:divBdr>
        </w:div>
        <w:div w:id="143088722">
          <w:marLeft w:val="0"/>
          <w:marRight w:val="0"/>
          <w:marTop w:val="0"/>
          <w:marBottom w:val="0"/>
          <w:divBdr>
            <w:top w:val="none" w:sz="0" w:space="0" w:color="auto"/>
            <w:left w:val="none" w:sz="0" w:space="0" w:color="auto"/>
            <w:bottom w:val="none" w:sz="0" w:space="0" w:color="auto"/>
            <w:right w:val="none" w:sz="0" w:space="0" w:color="auto"/>
          </w:divBdr>
        </w:div>
        <w:div w:id="147793705">
          <w:marLeft w:val="0"/>
          <w:marRight w:val="0"/>
          <w:marTop w:val="0"/>
          <w:marBottom w:val="0"/>
          <w:divBdr>
            <w:top w:val="none" w:sz="0" w:space="0" w:color="auto"/>
            <w:left w:val="none" w:sz="0" w:space="0" w:color="auto"/>
            <w:bottom w:val="none" w:sz="0" w:space="0" w:color="auto"/>
            <w:right w:val="none" w:sz="0" w:space="0" w:color="auto"/>
          </w:divBdr>
        </w:div>
        <w:div w:id="149952136">
          <w:marLeft w:val="0"/>
          <w:marRight w:val="0"/>
          <w:marTop w:val="0"/>
          <w:marBottom w:val="0"/>
          <w:divBdr>
            <w:top w:val="none" w:sz="0" w:space="0" w:color="auto"/>
            <w:left w:val="none" w:sz="0" w:space="0" w:color="auto"/>
            <w:bottom w:val="none" w:sz="0" w:space="0" w:color="auto"/>
            <w:right w:val="none" w:sz="0" w:space="0" w:color="auto"/>
          </w:divBdr>
        </w:div>
        <w:div w:id="150489619">
          <w:marLeft w:val="0"/>
          <w:marRight w:val="0"/>
          <w:marTop w:val="0"/>
          <w:marBottom w:val="0"/>
          <w:divBdr>
            <w:top w:val="none" w:sz="0" w:space="0" w:color="auto"/>
            <w:left w:val="none" w:sz="0" w:space="0" w:color="auto"/>
            <w:bottom w:val="none" w:sz="0" w:space="0" w:color="auto"/>
            <w:right w:val="none" w:sz="0" w:space="0" w:color="auto"/>
          </w:divBdr>
        </w:div>
        <w:div w:id="162476340">
          <w:marLeft w:val="0"/>
          <w:marRight w:val="0"/>
          <w:marTop w:val="0"/>
          <w:marBottom w:val="0"/>
          <w:divBdr>
            <w:top w:val="none" w:sz="0" w:space="0" w:color="auto"/>
            <w:left w:val="none" w:sz="0" w:space="0" w:color="auto"/>
            <w:bottom w:val="none" w:sz="0" w:space="0" w:color="auto"/>
            <w:right w:val="none" w:sz="0" w:space="0" w:color="auto"/>
          </w:divBdr>
        </w:div>
        <w:div w:id="165444636">
          <w:marLeft w:val="0"/>
          <w:marRight w:val="0"/>
          <w:marTop w:val="0"/>
          <w:marBottom w:val="0"/>
          <w:divBdr>
            <w:top w:val="none" w:sz="0" w:space="0" w:color="auto"/>
            <w:left w:val="none" w:sz="0" w:space="0" w:color="auto"/>
            <w:bottom w:val="none" w:sz="0" w:space="0" w:color="auto"/>
            <w:right w:val="none" w:sz="0" w:space="0" w:color="auto"/>
          </w:divBdr>
        </w:div>
        <w:div w:id="174075545">
          <w:marLeft w:val="0"/>
          <w:marRight w:val="0"/>
          <w:marTop w:val="0"/>
          <w:marBottom w:val="0"/>
          <w:divBdr>
            <w:top w:val="none" w:sz="0" w:space="0" w:color="auto"/>
            <w:left w:val="none" w:sz="0" w:space="0" w:color="auto"/>
            <w:bottom w:val="none" w:sz="0" w:space="0" w:color="auto"/>
            <w:right w:val="none" w:sz="0" w:space="0" w:color="auto"/>
          </w:divBdr>
        </w:div>
        <w:div w:id="176504074">
          <w:marLeft w:val="0"/>
          <w:marRight w:val="0"/>
          <w:marTop w:val="0"/>
          <w:marBottom w:val="0"/>
          <w:divBdr>
            <w:top w:val="none" w:sz="0" w:space="0" w:color="auto"/>
            <w:left w:val="none" w:sz="0" w:space="0" w:color="auto"/>
            <w:bottom w:val="none" w:sz="0" w:space="0" w:color="auto"/>
            <w:right w:val="none" w:sz="0" w:space="0" w:color="auto"/>
          </w:divBdr>
        </w:div>
        <w:div w:id="189881358">
          <w:marLeft w:val="0"/>
          <w:marRight w:val="0"/>
          <w:marTop w:val="0"/>
          <w:marBottom w:val="0"/>
          <w:divBdr>
            <w:top w:val="none" w:sz="0" w:space="0" w:color="auto"/>
            <w:left w:val="none" w:sz="0" w:space="0" w:color="auto"/>
            <w:bottom w:val="none" w:sz="0" w:space="0" w:color="auto"/>
            <w:right w:val="none" w:sz="0" w:space="0" w:color="auto"/>
          </w:divBdr>
        </w:div>
        <w:div w:id="202405327">
          <w:marLeft w:val="0"/>
          <w:marRight w:val="0"/>
          <w:marTop w:val="0"/>
          <w:marBottom w:val="0"/>
          <w:divBdr>
            <w:top w:val="none" w:sz="0" w:space="0" w:color="auto"/>
            <w:left w:val="none" w:sz="0" w:space="0" w:color="auto"/>
            <w:bottom w:val="none" w:sz="0" w:space="0" w:color="auto"/>
            <w:right w:val="none" w:sz="0" w:space="0" w:color="auto"/>
          </w:divBdr>
        </w:div>
        <w:div w:id="210311652">
          <w:marLeft w:val="0"/>
          <w:marRight w:val="0"/>
          <w:marTop w:val="0"/>
          <w:marBottom w:val="0"/>
          <w:divBdr>
            <w:top w:val="none" w:sz="0" w:space="0" w:color="auto"/>
            <w:left w:val="none" w:sz="0" w:space="0" w:color="auto"/>
            <w:bottom w:val="none" w:sz="0" w:space="0" w:color="auto"/>
            <w:right w:val="none" w:sz="0" w:space="0" w:color="auto"/>
          </w:divBdr>
        </w:div>
        <w:div w:id="269751556">
          <w:marLeft w:val="0"/>
          <w:marRight w:val="0"/>
          <w:marTop w:val="0"/>
          <w:marBottom w:val="0"/>
          <w:divBdr>
            <w:top w:val="none" w:sz="0" w:space="0" w:color="auto"/>
            <w:left w:val="none" w:sz="0" w:space="0" w:color="auto"/>
            <w:bottom w:val="none" w:sz="0" w:space="0" w:color="auto"/>
            <w:right w:val="none" w:sz="0" w:space="0" w:color="auto"/>
          </w:divBdr>
        </w:div>
        <w:div w:id="270746292">
          <w:marLeft w:val="0"/>
          <w:marRight w:val="0"/>
          <w:marTop w:val="0"/>
          <w:marBottom w:val="0"/>
          <w:divBdr>
            <w:top w:val="none" w:sz="0" w:space="0" w:color="auto"/>
            <w:left w:val="none" w:sz="0" w:space="0" w:color="auto"/>
            <w:bottom w:val="none" w:sz="0" w:space="0" w:color="auto"/>
            <w:right w:val="none" w:sz="0" w:space="0" w:color="auto"/>
          </w:divBdr>
        </w:div>
        <w:div w:id="271281122">
          <w:marLeft w:val="0"/>
          <w:marRight w:val="0"/>
          <w:marTop w:val="0"/>
          <w:marBottom w:val="0"/>
          <w:divBdr>
            <w:top w:val="none" w:sz="0" w:space="0" w:color="auto"/>
            <w:left w:val="none" w:sz="0" w:space="0" w:color="auto"/>
            <w:bottom w:val="none" w:sz="0" w:space="0" w:color="auto"/>
            <w:right w:val="none" w:sz="0" w:space="0" w:color="auto"/>
          </w:divBdr>
        </w:div>
        <w:div w:id="321083067">
          <w:marLeft w:val="0"/>
          <w:marRight w:val="0"/>
          <w:marTop w:val="0"/>
          <w:marBottom w:val="0"/>
          <w:divBdr>
            <w:top w:val="none" w:sz="0" w:space="0" w:color="auto"/>
            <w:left w:val="none" w:sz="0" w:space="0" w:color="auto"/>
            <w:bottom w:val="none" w:sz="0" w:space="0" w:color="auto"/>
            <w:right w:val="none" w:sz="0" w:space="0" w:color="auto"/>
          </w:divBdr>
        </w:div>
        <w:div w:id="330640276">
          <w:marLeft w:val="0"/>
          <w:marRight w:val="0"/>
          <w:marTop w:val="0"/>
          <w:marBottom w:val="0"/>
          <w:divBdr>
            <w:top w:val="none" w:sz="0" w:space="0" w:color="auto"/>
            <w:left w:val="none" w:sz="0" w:space="0" w:color="auto"/>
            <w:bottom w:val="none" w:sz="0" w:space="0" w:color="auto"/>
            <w:right w:val="none" w:sz="0" w:space="0" w:color="auto"/>
          </w:divBdr>
        </w:div>
        <w:div w:id="351808236">
          <w:marLeft w:val="0"/>
          <w:marRight w:val="0"/>
          <w:marTop w:val="0"/>
          <w:marBottom w:val="0"/>
          <w:divBdr>
            <w:top w:val="none" w:sz="0" w:space="0" w:color="auto"/>
            <w:left w:val="none" w:sz="0" w:space="0" w:color="auto"/>
            <w:bottom w:val="none" w:sz="0" w:space="0" w:color="auto"/>
            <w:right w:val="none" w:sz="0" w:space="0" w:color="auto"/>
          </w:divBdr>
        </w:div>
        <w:div w:id="351994615">
          <w:marLeft w:val="0"/>
          <w:marRight w:val="0"/>
          <w:marTop w:val="0"/>
          <w:marBottom w:val="0"/>
          <w:divBdr>
            <w:top w:val="none" w:sz="0" w:space="0" w:color="auto"/>
            <w:left w:val="none" w:sz="0" w:space="0" w:color="auto"/>
            <w:bottom w:val="none" w:sz="0" w:space="0" w:color="auto"/>
            <w:right w:val="none" w:sz="0" w:space="0" w:color="auto"/>
          </w:divBdr>
        </w:div>
        <w:div w:id="355350933">
          <w:marLeft w:val="0"/>
          <w:marRight w:val="0"/>
          <w:marTop w:val="0"/>
          <w:marBottom w:val="0"/>
          <w:divBdr>
            <w:top w:val="none" w:sz="0" w:space="0" w:color="auto"/>
            <w:left w:val="none" w:sz="0" w:space="0" w:color="auto"/>
            <w:bottom w:val="none" w:sz="0" w:space="0" w:color="auto"/>
            <w:right w:val="none" w:sz="0" w:space="0" w:color="auto"/>
          </w:divBdr>
        </w:div>
        <w:div w:id="366298480">
          <w:marLeft w:val="0"/>
          <w:marRight w:val="0"/>
          <w:marTop w:val="0"/>
          <w:marBottom w:val="0"/>
          <w:divBdr>
            <w:top w:val="none" w:sz="0" w:space="0" w:color="auto"/>
            <w:left w:val="none" w:sz="0" w:space="0" w:color="auto"/>
            <w:bottom w:val="none" w:sz="0" w:space="0" w:color="auto"/>
            <w:right w:val="none" w:sz="0" w:space="0" w:color="auto"/>
          </w:divBdr>
        </w:div>
        <w:div w:id="367999097">
          <w:marLeft w:val="0"/>
          <w:marRight w:val="0"/>
          <w:marTop w:val="0"/>
          <w:marBottom w:val="0"/>
          <w:divBdr>
            <w:top w:val="none" w:sz="0" w:space="0" w:color="auto"/>
            <w:left w:val="none" w:sz="0" w:space="0" w:color="auto"/>
            <w:bottom w:val="none" w:sz="0" w:space="0" w:color="auto"/>
            <w:right w:val="none" w:sz="0" w:space="0" w:color="auto"/>
          </w:divBdr>
        </w:div>
        <w:div w:id="368916392">
          <w:marLeft w:val="0"/>
          <w:marRight w:val="0"/>
          <w:marTop w:val="0"/>
          <w:marBottom w:val="0"/>
          <w:divBdr>
            <w:top w:val="none" w:sz="0" w:space="0" w:color="auto"/>
            <w:left w:val="none" w:sz="0" w:space="0" w:color="auto"/>
            <w:bottom w:val="none" w:sz="0" w:space="0" w:color="auto"/>
            <w:right w:val="none" w:sz="0" w:space="0" w:color="auto"/>
          </w:divBdr>
        </w:div>
        <w:div w:id="374740651">
          <w:marLeft w:val="0"/>
          <w:marRight w:val="0"/>
          <w:marTop w:val="0"/>
          <w:marBottom w:val="0"/>
          <w:divBdr>
            <w:top w:val="none" w:sz="0" w:space="0" w:color="auto"/>
            <w:left w:val="none" w:sz="0" w:space="0" w:color="auto"/>
            <w:bottom w:val="none" w:sz="0" w:space="0" w:color="auto"/>
            <w:right w:val="none" w:sz="0" w:space="0" w:color="auto"/>
          </w:divBdr>
        </w:div>
        <w:div w:id="401175021">
          <w:marLeft w:val="0"/>
          <w:marRight w:val="0"/>
          <w:marTop w:val="0"/>
          <w:marBottom w:val="0"/>
          <w:divBdr>
            <w:top w:val="none" w:sz="0" w:space="0" w:color="auto"/>
            <w:left w:val="none" w:sz="0" w:space="0" w:color="auto"/>
            <w:bottom w:val="none" w:sz="0" w:space="0" w:color="auto"/>
            <w:right w:val="none" w:sz="0" w:space="0" w:color="auto"/>
          </w:divBdr>
        </w:div>
        <w:div w:id="414743339">
          <w:marLeft w:val="0"/>
          <w:marRight w:val="0"/>
          <w:marTop w:val="0"/>
          <w:marBottom w:val="0"/>
          <w:divBdr>
            <w:top w:val="none" w:sz="0" w:space="0" w:color="auto"/>
            <w:left w:val="none" w:sz="0" w:space="0" w:color="auto"/>
            <w:bottom w:val="none" w:sz="0" w:space="0" w:color="auto"/>
            <w:right w:val="none" w:sz="0" w:space="0" w:color="auto"/>
          </w:divBdr>
        </w:div>
        <w:div w:id="493421519">
          <w:marLeft w:val="0"/>
          <w:marRight w:val="0"/>
          <w:marTop w:val="0"/>
          <w:marBottom w:val="0"/>
          <w:divBdr>
            <w:top w:val="none" w:sz="0" w:space="0" w:color="auto"/>
            <w:left w:val="none" w:sz="0" w:space="0" w:color="auto"/>
            <w:bottom w:val="none" w:sz="0" w:space="0" w:color="auto"/>
            <w:right w:val="none" w:sz="0" w:space="0" w:color="auto"/>
          </w:divBdr>
        </w:div>
        <w:div w:id="531453277">
          <w:marLeft w:val="0"/>
          <w:marRight w:val="0"/>
          <w:marTop w:val="0"/>
          <w:marBottom w:val="0"/>
          <w:divBdr>
            <w:top w:val="none" w:sz="0" w:space="0" w:color="auto"/>
            <w:left w:val="none" w:sz="0" w:space="0" w:color="auto"/>
            <w:bottom w:val="none" w:sz="0" w:space="0" w:color="auto"/>
            <w:right w:val="none" w:sz="0" w:space="0" w:color="auto"/>
          </w:divBdr>
        </w:div>
        <w:div w:id="537086963">
          <w:marLeft w:val="0"/>
          <w:marRight w:val="0"/>
          <w:marTop w:val="0"/>
          <w:marBottom w:val="0"/>
          <w:divBdr>
            <w:top w:val="none" w:sz="0" w:space="0" w:color="auto"/>
            <w:left w:val="none" w:sz="0" w:space="0" w:color="auto"/>
            <w:bottom w:val="none" w:sz="0" w:space="0" w:color="auto"/>
            <w:right w:val="none" w:sz="0" w:space="0" w:color="auto"/>
          </w:divBdr>
        </w:div>
        <w:div w:id="548153316">
          <w:marLeft w:val="0"/>
          <w:marRight w:val="0"/>
          <w:marTop w:val="0"/>
          <w:marBottom w:val="0"/>
          <w:divBdr>
            <w:top w:val="none" w:sz="0" w:space="0" w:color="auto"/>
            <w:left w:val="none" w:sz="0" w:space="0" w:color="auto"/>
            <w:bottom w:val="none" w:sz="0" w:space="0" w:color="auto"/>
            <w:right w:val="none" w:sz="0" w:space="0" w:color="auto"/>
          </w:divBdr>
        </w:div>
        <w:div w:id="555361187">
          <w:marLeft w:val="0"/>
          <w:marRight w:val="0"/>
          <w:marTop w:val="0"/>
          <w:marBottom w:val="0"/>
          <w:divBdr>
            <w:top w:val="none" w:sz="0" w:space="0" w:color="auto"/>
            <w:left w:val="none" w:sz="0" w:space="0" w:color="auto"/>
            <w:bottom w:val="none" w:sz="0" w:space="0" w:color="auto"/>
            <w:right w:val="none" w:sz="0" w:space="0" w:color="auto"/>
          </w:divBdr>
        </w:div>
        <w:div w:id="570887138">
          <w:marLeft w:val="0"/>
          <w:marRight w:val="0"/>
          <w:marTop w:val="0"/>
          <w:marBottom w:val="0"/>
          <w:divBdr>
            <w:top w:val="none" w:sz="0" w:space="0" w:color="auto"/>
            <w:left w:val="none" w:sz="0" w:space="0" w:color="auto"/>
            <w:bottom w:val="none" w:sz="0" w:space="0" w:color="auto"/>
            <w:right w:val="none" w:sz="0" w:space="0" w:color="auto"/>
          </w:divBdr>
        </w:div>
        <w:div w:id="584268517">
          <w:marLeft w:val="0"/>
          <w:marRight w:val="0"/>
          <w:marTop w:val="0"/>
          <w:marBottom w:val="0"/>
          <w:divBdr>
            <w:top w:val="none" w:sz="0" w:space="0" w:color="auto"/>
            <w:left w:val="none" w:sz="0" w:space="0" w:color="auto"/>
            <w:bottom w:val="none" w:sz="0" w:space="0" w:color="auto"/>
            <w:right w:val="none" w:sz="0" w:space="0" w:color="auto"/>
          </w:divBdr>
        </w:div>
        <w:div w:id="589116860">
          <w:marLeft w:val="0"/>
          <w:marRight w:val="0"/>
          <w:marTop w:val="0"/>
          <w:marBottom w:val="0"/>
          <w:divBdr>
            <w:top w:val="none" w:sz="0" w:space="0" w:color="auto"/>
            <w:left w:val="none" w:sz="0" w:space="0" w:color="auto"/>
            <w:bottom w:val="none" w:sz="0" w:space="0" w:color="auto"/>
            <w:right w:val="none" w:sz="0" w:space="0" w:color="auto"/>
          </w:divBdr>
        </w:div>
        <w:div w:id="602155846">
          <w:marLeft w:val="0"/>
          <w:marRight w:val="0"/>
          <w:marTop w:val="0"/>
          <w:marBottom w:val="0"/>
          <w:divBdr>
            <w:top w:val="none" w:sz="0" w:space="0" w:color="auto"/>
            <w:left w:val="none" w:sz="0" w:space="0" w:color="auto"/>
            <w:bottom w:val="none" w:sz="0" w:space="0" w:color="auto"/>
            <w:right w:val="none" w:sz="0" w:space="0" w:color="auto"/>
          </w:divBdr>
        </w:div>
        <w:div w:id="620722795">
          <w:marLeft w:val="0"/>
          <w:marRight w:val="0"/>
          <w:marTop w:val="0"/>
          <w:marBottom w:val="0"/>
          <w:divBdr>
            <w:top w:val="none" w:sz="0" w:space="0" w:color="auto"/>
            <w:left w:val="none" w:sz="0" w:space="0" w:color="auto"/>
            <w:bottom w:val="none" w:sz="0" w:space="0" w:color="auto"/>
            <w:right w:val="none" w:sz="0" w:space="0" w:color="auto"/>
          </w:divBdr>
        </w:div>
        <w:div w:id="636035744">
          <w:marLeft w:val="0"/>
          <w:marRight w:val="0"/>
          <w:marTop w:val="0"/>
          <w:marBottom w:val="0"/>
          <w:divBdr>
            <w:top w:val="none" w:sz="0" w:space="0" w:color="auto"/>
            <w:left w:val="none" w:sz="0" w:space="0" w:color="auto"/>
            <w:bottom w:val="none" w:sz="0" w:space="0" w:color="auto"/>
            <w:right w:val="none" w:sz="0" w:space="0" w:color="auto"/>
          </w:divBdr>
        </w:div>
        <w:div w:id="640354105">
          <w:marLeft w:val="0"/>
          <w:marRight w:val="0"/>
          <w:marTop w:val="0"/>
          <w:marBottom w:val="0"/>
          <w:divBdr>
            <w:top w:val="none" w:sz="0" w:space="0" w:color="auto"/>
            <w:left w:val="none" w:sz="0" w:space="0" w:color="auto"/>
            <w:bottom w:val="none" w:sz="0" w:space="0" w:color="auto"/>
            <w:right w:val="none" w:sz="0" w:space="0" w:color="auto"/>
          </w:divBdr>
        </w:div>
        <w:div w:id="640771738">
          <w:marLeft w:val="0"/>
          <w:marRight w:val="0"/>
          <w:marTop w:val="0"/>
          <w:marBottom w:val="0"/>
          <w:divBdr>
            <w:top w:val="none" w:sz="0" w:space="0" w:color="auto"/>
            <w:left w:val="none" w:sz="0" w:space="0" w:color="auto"/>
            <w:bottom w:val="none" w:sz="0" w:space="0" w:color="auto"/>
            <w:right w:val="none" w:sz="0" w:space="0" w:color="auto"/>
          </w:divBdr>
        </w:div>
        <w:div w:id="669139684">
          <w:marLeft w:val="0"/>
          <w:marRight w:val="0"/>
          <w:marTop w:val="0"/>
          <w:marBottom w:val="0"/>
          <w:divBdr>
            <w:top w:val="none" w:sz="0" w:space="0" w:color="auto"/>
            <w:left w:val="none" w:sz="0" w:space="0" w:color="auto"/>
            <w:bottom w:val="none" w:sz="0" w:space="0" w:color="auto"/>
            <w:right w:val="none" w:sz="0" w:space="0" w:color="auto"/>
          </w:divBdr>
        </w:div>
        <w:div w:id="701974105">
          <w:marLeft w:val="0"/>
          <w:marRight w:val="0"/>
          <w:marTop w:val="0"/>
          <w:marBottom w:val="0"/>
          <w:divBdr>
            <w:top w:val="none" w:sz="0" w:space="0" w:color="auto"/>
            <w:left w:val="none" w:sz="0" w:space="0" w:color="auto"/>
            <w:bottom w:val="none" w:sz="0" w:space="0" w:color="auto"/>
            <w:right w:val="none" w:sz="0" w:space="0" w:color="auto"/>
          </w:divBdr>
        </w:div>
        <w:div w:id="712578604">
          <w:marLeft w:val="0"/>
          <w:marRight w:val="0"/>
          <w:marTop w:val="0"/>
          <w:marBottom w:val="0"/>
          <w:divBdr>
            <w:top w:val="none" w:sz="0" w:space="0" w:color="auto"/>
            <w:left w:val="none" w:sz="0" w:space="0" w:color="auto"/>
            <w:bottom w:val="none" w:sz="0" w:space="0" w:color="auto"/>
            <w:right w:val="none" w:sz="0" w:space="0" w:color="auto"/>
          </w:divBdr>
        </w:div>
        <w:div w:id="730662156">
          <w:marLeft w:val="0"/>
          <w:marRight w:val="0"/>
          <w:marTop w:val="0"/>
          <w:marBottom w:val="0"/>
          <w:divBdr>
            <w:top w:val="none" w:sz="0" w:space="0" w:color="auto"/>
            <w:left w:val="none" w:sz="0" w:space="0" w:color="auto"/>
            <w:bottom w:val="none" w:sz="0" w:space="0" w:color="auto"/>
            <w:right w:val="none" w:sz="0" w:space="0" w:color="auto"/>
          </w:divBdr>
        </w:div>
        <w:div w:id="743917027">
          <w:marLeft w:val="0"/>
          <w:marRight w:val="0"/>
          <w:marTop w:val="0"/>
          <w:marBottom w:val="0"/>
          <w:divBdr>
            <w:top w:val="none" w:sz="0" w:space="0" w:color="auto"/>
            <w:left w:val="none" w:sz="0" w:space="0" w:color="auto"/>
            <w:bottom w:val="none" w:sz="0" w:space="0" w:color="auto"/>
            <w:right w:val="none" w:sz="0" w:space="0" w:color="auto"/>
          </w:divBdr>
        </w:div>
        <w:div w:id="765924036">
          <w:marLeft w:val="0"/>
          <w:marRight w:val="0"/>
          <w:marTop w:val="0"/>
          <w:marBottom w:val="0"/>
          <w:divBdr>
            <w:top w:val="none" w:sz="0" w:space="0" w:color="auto"/>
            <w:left w:val="none" w:sz="0" w:space="0" w:color="auto"/>
            <w:bottom w:val="none" w:sz="0" w:space="0" w:color="auto"/>
            <w:right w:val="none" w:sz="0" w:space="0" w:color="auto"/>
          </w:divBdr>
        </w:div>
        <w:div w:id="767119072">
          <w:marLeft w:val="0"/>
          <w:marRight w:val="0"/>
          <w:marTop w:val="0"/>
          <w:marBottom w:val="0"/>
          <w:divBdr>
            <w:top w:val="none" w:sz="0" w:space="0" w:color="auto"/>
            <w:left w:val="none" w:sz="0" w:space="0" w:color="auto"/>
            <w:bottom w:val="none" w:sz="0" w:space="0" w:color="auto"/>
            <w:right w:val="none" w:sz="0" w:space="0" w:color="auto"/>
          </w:divBdr>
        </w:div>
        <w:div w:id="770272643">
          <w:marLeft w:val="0"/>
          <w:marRight w:val="0"/>
          <w:marTop w:val="0"/>
          <w:marBottom w:val="0"/>
          <w:divBdr>
            <w:top w:val="none" w:sz="0" w:space="0" w:color="auto"/>
            <w:left w:val="none" w:sz="0" w:space="0" w:color="auto"/>
            <w:bottom w:val="none" w:sz="0" w:space="0" w:color="auto"/>
            <w:right w:val="none" w:sz="0" w:space="0" w:color="auto"/>
          </w:divBdr>
        </w:div>
        <w:div w:id="774524556">
          <w:marLeft w:val="0"/>
          <w:marRight w:val="0"/>
          <w:marTop w:val="0"/>
          <w:marBottom w:val="0"/>
          <w:divBdr>
            <w:top w:val="none" w:sz="0" w:space="0" w:color="auto"/>
            <w:left w:val="none" w:sz="0" w:space="0" w:color="auto"/>
            <w:bottom w:val="none" w:sz="0" w:space="0" w:color="auto"/>
            <w:right w:val="none" w:sz="0" w:space="0" w:color="auto"/>
          </w:divBdr>
        </w:div>
        <w:div w:id="782575637">
          <w:marLeft w:val="0"/>
          <w:marRight w:val="0"/>
          <w:marTop w:val="0"/>
          <w:marBottom w:val="0"/>
          <w:divBdr>
            <w:top w:val="none" w:sz="0" w:space="0" w:color="auto"/>
            <w:left w:val="none" w:sz="0" w:space="0" w:color="auto"/>
            <w:bottom w:val="none" w:sz="0" w:space="0" w:color="auto"/>
            <w:right w:val="none" w:sz="0" w:space="0" w:color="auto"/>
          </w:divBdr>
        </w:div>
        <w:div w:id="800612181">
          <w:marLeft w:val="0"/>
          <w:marRight w:val="0"/>
          <w:marTop w:val="0"/>
          <w:marBottom w:val="0"/>
          <w:divBdr>
            <w:top w:val="none" w:sz="0" w:space="0" w:color="auto"/>
            <w:left w:val="none" w:sz="0" w:space="0" w:color="auto"/>
            <w:bottom w:val="none" w:sz="0" w:space="0" w:color="auto"/>
            <w:right w:val="none" w:sz="0" w:space="0" w:color="auto"/>
          </w:divBdr>
        </w:div>
        <w:div w:id="812260450">
          <w:marLeft w:val="0"/>
          <w:marRight w:val="0"/>
          <w:marTop w:val="0"/>
          <w:marBottom w:val="0"/>
          <w:divBdr>
            <w:top w:val="none" w:sz="0" w:space="0" w:color="auto"/>
            <w:left w:val="none" w:sz="0" w:space="0" w:color="auto"/>
            <w:bottom w:val="none" w:sz="0" w:space="0" w:color="auto"/>
            <w:right w:val="none" w:sz="0" w:space="0" w:color="auto"/>
          </w:divBdr>
        </w:div>
        <w:div w:id="842859820">
          <w:marLeft w:val="0"/>
          <w:marRight w:val="0"/>
          <w:marTop w:val="0"/>
          <w:marBottom w:val="0"/>
          <w:divBdr>
            <w:top w:val="none" w:sz="0" w:space="0" w:color="auto"/>
            <w:left w:val="none" w:sz="0" w:space="0" w:color="auto"/>
            <w:bottom w:val="none" w:sz="0" w:space="0" w:color="auto"/>
            <w:right w:val="none" w:sz="0" w:space="0" w:color="auto"/>
          </w:divBdr>
        </w:div>
        <w:div w:id="844370062">
          <w:marLeft w:val="0"/>
          <w:marRight w:val="0"/>
          <w:marTop w:val="0"/>
          <w:marBottom w:val="0"/>
          <w:divBdr>
            <w:top w:val="none" w:sz="0" w:space="0" w:color="auto"/>
            <w:left w:val="none" w:sz="0" w:space="0" w:color="auto"/>
            <w:bottom w:val="none" w:sz="0" w:space="0" w:color="auto"/>
            <w:right w:val="none" w:sz="0" w:space="0" w:color="auto"/>
          </w:divBdr>
        </w:div>
        <w:div w:id="868374015">
          <w:marLeft w:val="0"/>
          <w:marRight w:val="0"/>
          <w:marTop w:val="0"/>
          <w:marBottom w:val="0"/>
          <w:divBdr>
            <w:top w:val="none" w:sz="0" w:space="0" w:color="auto"/>
            <w:left w:val="none" w:sz="0" w:space="0" w:color="auto"/>
            <w:bottom w:val="none" w:sz="0" w:space="0" w:color="auto"/>
            <w:right w:val="none" w:sz="0" w:space="0" w:color="auto"/>
          </w:divBdr>
        </w:div>
        <w:div w:id="887035740">
          <w:marLeft w:val="0"/>
          <w:marRight w:val="0"/>
          <w:marTop w:val="0"/>
          <w:marBottom w:val="0"/>
          <w:divBdr>
            <w:top w:val="none" w:sz="0" w:space="0" w:color="auto"/>
            <w:left w:val="none" w:sz="0" w:space="0" w:color="auto"/>
            <w:bottom w:val="none" w:sz="0" w:space="0" w:color="auto"/>
            <w:right w:val="none" w:sz="0" w:space="0" w:color="auto"/>
          </w:divBdr>
        </w:div>
        <w:div w:id="912200851">
          <w:marLeft w:val="0"/>
          <w:marRight w:val="0"/>
          <w:marTop w:val="0"/>
          <w:marBottom w:val="0"/>
          <w:divBdr>
            <w:top w:val="none" w:sz="0" w:space="0" w:color="auto"/>
            <w:left w:val="none" w:sz="0" w:space="0" w:color="auto"/>
            <w:bottom w:val="none" w:sz="0" w:space="0" w:color="auto"/>
            <w:right w:val="none" w:sz="0" w:space="0" w:color="auto"/>
          </w:divBdr>
        </w:div>
        <w:div w:id="912354127">
          <w:marLeft w:val="0"/>
          <w:marRight w:val="0"/>
          <w:marTop w:val="0"/>
          <w:marBottom w:val="0"/>
          <w:divBdr>
            <w:top w:val="none" w:sz="0" w:space="0" w:color="auto"/>
            <w:left w:val="none" w:sz="0" w:space="0" w:color="auto"/>
            <w:bottom w:val="none" w:sz="0" w:space="0" w:color="auto"/>
            <w:right w:val="none" w:sz="0" w:space="0" w:color="auto"/>
          </w:divBdr>
        </w:div>
        <w:div w:id="954943752">
          <w:marLeft w:val="0"/>
          <w:marRight w:val="0"/>
          <w:marTop w:val="0"/>
          <w:marBottom w:val="0"/>
          <w:divBdr>
            <w:top w:val="none" w:sz="0" w:space="0" w:color="auto"/>
            <w:left w:val="none" w:sz="0" w:space="0" w:color="auto"/>
            <w:bottom w:val="none" w:sz="0" w:space="0" w:color="auto"/>
            <w:right w:val="none" w:sz="0" w:space="0" w:color="auto"/>
          </w:divBdr>
        </w:div>
        <w:div w:id="964045465">
          <w:marLeft w:val="0"/>
          <w:marRight w:val="0"/>
          <w:marTop w:val="0"/>
          <w:marBottom w:val="0"/>
          <w:divBdr>
            <w:top w:val="none" w:sz="0" w:space="0" w:color="auto"/>
            <w:left w:val="none" w:sz="0" w:space="0" w:color="auto"/>
            <w:bottom w:val="none" w:sz="0" w:space="0" w:color="auto"/>
            <w:right w:val="none" w:sz="0" w:space="0" w:color="auto"/>
          </w:divBdr>
        </w:div>
        <w:div w:id="975377239">
          <w:marLeft w:val="0"/>
          <w:marRight w:val="0"/>
          <w:marTop w:val="0"/>
          <w:marBottom w:val="0"/>
          <w:divBdr>
            <w:top w:val="none" w:sz="0" w:space="0" w:color="auto"/>
            <w:left w:val="none" w:sz="0" w:space="0" w:color="auto"/>
            <w:bottom w:val="none" w:sz="0" w:space="0" w:color="auto"/>
            <w:right w:val="none" w:sz="0" w:space="0" w:color="auto"/>
          </w:divBdr>
        </w:div>
        <w:div w:id="982999259">
          <w:marLeft w:val="0"/>
          <w:marRight w:val="0"/>
          <w:marTop w:val="0"/>
          <w:marBottom w:val="0"/>
          <w:divBdr>
            <w:top w:val="none" w:sz="0" w:space="0" w:color="auto"/>
            <w:left w:val="none" w:sz="0" w:space="0" w:color="auto"/>
            <w:bottom w:val="none" w:sz="0" w:space="0" w:color="auto"/>
            <w:right w:val="none" w:sz="0" w:space="0" w:color="auto"/>
          </w:divBdr>
        </w:div>
        <w:div w:id="987901523">
          <w:marLeft w:val="0"/>
          <w:marRight w:val="0"/>
          <w:marTop w:val="0"/>
          <w:marBottom w:val="0"/>
          <w:divBdr>
            <w:top w:val="none" w:sz="0" w:space="0" w:color="auto"/>
            <w:left w:val="none" w:sz="0" w:space="0" w:color="auto"/>
            <w:bottom w:val="none" w:sz="0" w:space="0" w:color="auto"/>
            <w:right w:val="none" w:sz="0" w:space="0" w:color="auto"/>
          </w:divBdr>
        </w:div>
        <w:div w:id="994601038">
          <w:marLeft w:val="0"/>
          <w:marRight w:val="0"/>
          <w:marTop w:val="0"/>
          <w:marBottom w:val="0"/>
          <w:divBdr>
            <w:top w:val="none" w:sz="0" w:space="0" w:color="auto"/>
            <w:left w:val="none" w:sz="0" w:space="0" w:color="auto"/>
            <w:bottom w:val="none" w:sz="0" w:space="0" w:color="auto"/>
            <w:right w:val="none" w:sz="0" w:space="0" w:color="auto"/>
          </w:divBdr>
        </w:div>
        <w:div w:id="1019702624">
          <w:marLeft w:val="0"/>
          <w:marRight w:val="0"/>
          <w:marTop w:val="0"/>
          <w:marBottom w:val="0"/>
          <w:divBdr>
            <w:top w:val="none" w:sz="0" w:space="0" w:color="auto"/>
            <w:left w:val="none" w:sz="0" w:space="0" w:color="auto"/>
            <w:bottom w:val="none" w:sz="0" w:space="0" w:color="auto"/>
            <w:right w:val="none" w:sz="0" w:space="0" w:color="auto"/>
          </w:divBdr>
        </w:div>
        <w:div w:id="1024399118">
          <w:marLeft w:val="0"/>
          <w:marRight w:val="0"/>
          <w:marTop w:val="0"/>
          <w:marBottom w:val="0"/>
          <w:divBdr>
            <w:top w:val="none" w:sz="0" w:space="0" w:color="auto"/>
            <w:left w:val="none" w:sz="0" w:space="0" w:color="auto"/>
            <w:bottom w:val="none" w:sz="0" w:space="0" w:color="auto"/>
            <w:right w:val="none" w:sz="0" w:space="0" w:color="auto"/>
          </w:divBdr>
        </w:div>
        <w:div w:id="1026757992">
          <w:marLeft w:val="0"/>
          <w:marRight w:val="0"/>
          <w:marTop w:val="0"/>
          <w:marBottom w:val="0"/>
          <w:divBdr>
            <w:top w:val="none" w:sz="0" w:space="0" w:color="auto"/>
            <w:left w:val="none" w:sz="0" w:space="0" w:color="auto"/>
            <w:bottom w:val="none" w:sz="0" w:space="0" w:color="auto"/>
            <w:right w:val="none" w:sz="0" w:space="0" w:color="auto"/>
          </w:divBdr>
        </w:div>
        <w:div w:id="1035887987">
          <w:marLeft w:val="0"/>
          <w:marRight w:val="0"/>
          <w:marTop w:val="0"/>
          <w:marBottom w:val="0"/>
          <w:divBdr>
            <w:top w:val="none" w:sz="0" w:space="0" w:color="auto"/>
            <w:left w:val="none" w:sz="0" w:space="0" w:color="auto"/>
            <w:bottom w:val="none" w:sz="0" w:space="0" w:color="auto"/>
            <w:right w:val="none" w:sz="0" w:space="0" w:color="auto"/>
          </w:divBdr>
        </w:div>
        <w:div w:id="1079403767">
          <w:marLeft w:val="0"/>
          <w:marRight w:val="0"/>
          <w:marTop w:val="0"/>
          <w:marBottom w:val="0"/>
          <w:divBdr>
            <w:top w:val="none" w:sz="0" w:space="0" w:color="auto"/>
            <w:left w:val="none" w:sz="0" w:space="0" w:color="auto"/>
            <w:bottom w:val="none" w:sz="0" w:space="0" w:color="auto"/>
            <w:right w:val="none" w:sz="0" w:space="0" w:color="auto"/>
          </w:divBdr>
        </w:div>
        <w:div w:id="1083574538">
          <w:marLeft w:val="0"/>
          <w:marRight w:val="0"/>
          <w:marTop w:val="0"/>
          <w:marBottom w:val="0"/>
          <w:divBdr>
            <w:top w:val="none" w:sz="0" w:space="0" w:color="auto"/>
            <w:left w:val="none" w:sz="0" w:space="0" w:color="auto"/>
            <w:bottom w:val="none" w:sz="0" w:space="0" w:color="auto"/>
            <w:right w:val="none" w:sz="0" w:space="0" w:color="auto"/>
          </w:divBdr>
        </w:div>
        <w:div w:id="1103495580">
          <w:marLeft w:val="0"/>
          <w:marRight w:val="0"/>
          <w:marTop w:val="0"/>
          <w:marBottom w:val="0"/>
          <w:divBdr>
            <w:top w:val="none" w:sz="0" w:space="0" w:color="auto"/>
            <w:left w:val="none" w:sz="0" w:space="0" w:color="auto"/>
            <w:bottom w:val="none" w:sz="0" w:space="0" w:color="auto"/>
            <w:right w:val="none" w:sz="0" w:space="0" w:color="auto"/>
          </w:divBdr>
        </w:div>
        <w:div w:id="1129202032">
          <w:marLeft w:val="0"/>
          <w:marRight w:val="0"/>
          <w:marTop w:val="0"/>
          <w:marBottom w:val="0"/>
          <w:divBdr>
            <w:top w:val="none" w:sz="0" w:space="0" w:color="auto"/>
            <w:left w:val="none" w:sz="0" w:space="0" w:color="auto"/>
            <w:bottom w:val="none" w:sz="0" w:space="0" w:color="auto"/>
            <w:right w:val="none" w:sz="0" w:space="0" w:color="auto"/>
          </w:divBdr>
        </w:div>
        <w:div w:id="1145587309">
          <w:marLeft w:val="0"/>
          <w:marRight w:val="0"/>
          <w:marTop w:val="0"/>
          <w:marBottom w:val="0"/>
          <w:divBdr>
            <w:top w:val="none" w:sz="0" w:space="0" w:color="auto"/>
            <w:left w:val="none" w:sz="0" w:space="0" w:color="auto"/>
            <w:bottom w:val="none" w:sz="0" w:space="0" w:color="auto"/>
            <w:right w:val="none" w:sz="0" w:space="0" w:color="auto"/>
          </w:divBdr>
        </w:div>
        <w:div w:id="1166243698">
          <w:marLeft w:val="0"/>
          <w:marRight w:val="0"/>
          <w:marTop w:val="0"/>
          <w:marBottom w:val="0"/>
          <w:divBdr>
            <w:top w:val="none" w:sz="0" w:space="0" w:color="auto"/>
            <w:left w:val="none" w:sz="0" w:space="0" w:color="auto"/>
            <w:bottom w:val="none" w:sz="0" w:space="0" w:color="auto"/>
            <w:right w:val="none" w:sz="0" w:space="0" w:color="auto"/>
          </w:divBdr>
        </w:div>
        <w:div w:id="1170946116">
          <w:marLeft w:val="0"/>
          <w:marRight w:val="0"/>
          <w:marTop w:val="0"/>
          <w:marBottom w:val="0"/>
          <w:divBdr>
            <w:top w:val="none" w:sz="0" w:space="0" w:color="auto"/>
            <w:left w:val="none" w:sz="0" w:space="0" w:color="auto"/>
            <w:bottom w:val="none" w:sz="0" w:space="0" w:color="auto"/>
            <w:right w:val="none" w:sz="0" w:space="0" w:color="auto"/>
          </w:divBdr>
        </w:div>
        <w:div w:id="1172336233">
          <w:marLeft w:val="0"/>
          <w:marRight w:val="0"/>
          <w:marTop w:val="0"/>
          <w:marBottom w:val="0"/>
          <w:divBdr>
            <w:top w:val="none" w:sz="0" w:space="0" w:color="auto"/>
            <w:left w:val="none" w:sz="0" w:space="0" w:color="auto"/>
            <w:bottom w:val="none" w:sz="0" w:space="0" w:color="auto"/>
            <w:right w:val="none" w:sz="0" w:space="0" w:color="auto"/>
          </w:divBdr>
        </w:div>
        <w:div w:id="1188063834">
          <w:marLeft w:val="0"/>
          <w:marRight w:val="0"/>
          <w:marTop w:val="0"/>
          <w:marBottom w:val="0"/>
          <w:divBdr>
            <w:top w:val="none" w:sz="0" w:space="0" w:color="auto"/>
            <w:left w:val="none" w:sz="0" w:space="0" w:color="auto"/>
            <w:bottom w:val="none" w:sz="0" w:space="0" w:color="auto"/>
            <w:right w:val="none" w:sz="0" w:space="0" w:color="auto"/>
          </w:divBdr>
        </w:div>
        <w:div w:id="1189291958">
          <w:marLeft w:val="0"/>
          <w:marRight w:val="0"/>
          <w:marTop w:val="0"/>
          <w:marBottom w:val="0"/>
          <w:divBdr>
            <w:top w:val="none" w:sz="0" w:space="0" w:color="auto"/>
            <w:left w:val="none" w:sz="0" w:space="0" w:color="auto"/>
            <w:bottom w:val="none" w:sz="0" w:space="0" w:color="auto"/>
            <w:right w:val="none" w:sz="0" w:space="0" w:color="auto"/>
          </w:divBdr>
        </w:div>
        <w:div w:id="1198392901">
          <w:marLeft w:val="0"/>
          <w:marRight w:val="0"/>
          <w:marTop w:val="0"/>
          <w:marBottom w:val="0"/>
          <w:divBdr>
            <w:top w:val="none" w:sz="0" w:space="0" w:color="auto"/>
            <w:left w:val="none" w:sz="0" w:space="0" w:color="auto"/>
            <w:bottom w:val="none" w:sz="0" w:space="0" w:color="auto"/>
            <w:right w:val="none" w:sz="0" w:space="0" w:color="auto"/>
          </w:divBdr>
        </w:div>
        <w:div w:id="1241522252">
          <w:marLeft w:val="0"/>
          <w:marRight w:val="0"/>
          <w:marTop w:val="0"/>
          <w:marBottom w:val="0"/>
          <w:divBdr>
            <w:top w:val="none" w:sz="0" w:space="0" w:color="auto"/>
            <w:left w:val="none" w:sz="0" w:space="0" w:color="auto"/>
            <w:bottom w:val="none" w:sz="0" w:space="0" w:color="auto"/>
            <w:right w:val="none" w:sz="0" w:space="0" w:color="auto"/>
          </w:divBdr>
        </w:div>
        <w:div w:id="1275868182">
          <w:marLeft w:val="0"/>
          <w:marRight w:val="0"/>
          <w:marTop w:val="0"/>
          <w:marBottom w:val="0"/>
          <w:divBdr>
            <w:top w:val="none" w:sz="0" w:space="0" w:color="auto"/>
            <w:left w:val="none" w:sz="0" w:space="0" w:color="auto"/>
            <w:bottom w:val="none" w:sz="0" w:space="0" w:color="auto"/>
            <w:right w:val="none" w:sz="0" w:space="0" w:color="auto"/>
          </w:divBdr>
        </w:div>
        <w:div w:id="1283728977">
          <w:marLeft w:val="0"/>
          <w:marRight w:val="0"/>
          <w:marTop w:val="0"/>
          <w:marBottom w:val="0"/>
          <w:divBdr>
            <w:top w:val="none" w:sz="0" w:space="0" w:color="auto"/>
            <w:left w:val="none" w:sz="0" w:space="0" w:color="auto"/>
            <w:bottom w:val="none" w:sz="0" w:space="0" w:color="auto"/>
            <w:right w:val="none" w:sz="0" w:space="0" w:color="auto"/>
          </w:divBdr>
        </w:div>
        <w:div w:id="1284724175">
          <w:marLeft w:val="0"/>
          <w:marRight w:val="0"/>
          <w:marTop w:val="0"/>
          <w:marBottom w:val="0"/>
          <w:divBdr>
            <w:top w:val="none" w:sz="0" w:space="0" w:color="auto"/>
            <w:left w:val="none" w:sz="0" w:space="0" w:color="auto"/>
            <w:bottom w:val="none" w:sz="0" w:space="0" w:color="auto"/>
            <w:right w:val="none" w:sz="0" w:space="0" w:color="auto"/>
          </w:divBdr>
        </w:div>
        <w:div w:id="1294217806">
          <w:marLeft w:val="0"/>
          <w:marRight w:val="0"/>
          <w:marTop w:val="0"/>
          <w:marBottom w:val="0"/>
          <w:divBdr>
            <w:top w:val="none" w:sz="0" w:space="0" w:color="auto"/>
            <w:left w:val="none" w:sz="0" w:space="0" w:color="auto"/>
            <w:bottom w:val="none" w:sz="0" w:space="0" w:color="auto"/>
            <w:right w:val="none" w:sz="0" w:space="0" w:color="auto"/>
          </w:divBdr>
        </w:div>
        <w:div w:id="1340041383">
          <w:marLeft w:val="0"/>
          <w:marRight w:val="0"/>
          <w:marTop w:val="0"/>
          <w:marBottom w:val="0"/>
          <w:divBdr>
            <w:top w:val="none" w:sz="0" w:space="0" w:color="auto"/>
            <w:left w:val="none" w:sz="0" w:space="0" w:color="auto"/>
            <w:bottom w:val="none" w:sz="0" w:space="0" w:color="auto"/>
            <w:right w:val="none" w:sz="0" w:space="0" w:color="auto"/>
          </w:divBdr>
        </w:div>
        <w:div w:id="1345940967">
          <w:marLeft w:val="0"/>
          <w:marRight w:val="0"/>
          <w:marTop w:val="0"/>
          <w:marBottom w:val="0"/>
          <w:divBdr>
            <w:top w:val="none" w:sz="0" w:space="0" w:color="auto"/>
            <w:left w:val="none" w:sz="0" w:space="0" w:color="auto"/>
            <w:bottom w:val="none" w:sz="0" w:space="0" w:color="auto"/>
            <w:right w:val="none" w:sz="0" w:space="0" w:color="auto"/>
          </w:divBdr>
        </w:div>
        <w:div w:id="1346903925">
          <w:marLeft w:val="0"/>
          <w:marRight w:val="0"/>
          <w:marTop w:val="0"/>
          <w:marBottom w:val="0"/>
          <w:divBdr>
            <w:top w:val="none" w:sz="0" w:space="0" w:color="auto"/>
            <w:left w:val="none" w:sz="0" w:space="0" w:color="auto"/>
            <w:bottom w:val="none" w:sz="0" w:space="0" w:color="auto"/>
            <w:right w:val="none" w:sz="0" w:space="0" w:color="auto"/>
          </w:divBdr>
        </w:div>
        <w:div w:id="1361935584">
          <w:marLeft w:val="0"/>
          <w:marRight w:val="0"/>
          <w:marTop w:val="0"/>
          <w:marBottom w:val="0"/>
          <w:divBdr>
            <w:top w:val="none" w:sz="0" w:space="0" w:color="auto"/>
            <w:left w:val="none" w:sz="0" w:space="0" w:color="auto"/>
            <w:bottom w:val="none" w:sz="0" w:space="0" w:color="auto"/>
            <w:right w:val="none" w:sz="0" w:space="0" w:color="auto"/>
          </w:divBdr>
        </w:div>
        <w:div w:id="1364096179">
          <w:marLeft w:val="0"/>
          <w:marRight w:val="0"/>
          <w:marTop w:val="0"/>
          <w:marBottom w:val="0"/>
          <w:divBdr>
            <w:top w:val="none" w:sz="0" w:space="0" w:color="auto"/>
            <w:left w:val="none" w:sz="0" w:space="0" w:color="auto"/>
            <w:bottom w:val="none" w:sz="0" w:space="0" w:color="auto"/>
            <w:right w:val="none" w:sz="0" w:space="0" w:color="auto"/>
          </w:divBdr>
        </w:div>
        <w:div w:id="1385836983">
          <w:marLeft w:val="0"/>
          <w:marRight w:val="0"/>
          <w:marTop w:val="0"/>
          <w:marBottom w:val="0"/>
          <w:divBdr>
            <w:top w:val="none" w:sz="0" w:space="0" w:color="auto"/>
            <w:left w:val="none" w:sz="0" w:space="0" w:color="auto"/>
            <w:bottom w:val="none" w:sz="0" w:space="0" w:color="auto"/>
            <w:right w:val="none" w:sz="0" w:space="0" w:color="auto"/>
          </w:divBdr>
        </w:div>
        <w:div w:id="1388190131">
          <w:marLeft w:val="0"/>
          <w:marRight w:val="0"/>
          <w:marTop w:val="0"/>
          <w:marBottom w:val="0"/>
          <w:divBdr>
            <w:top w:val="none" w:sz="0" w:space="0" w:color="auto"/>
            <w:left w:val="none" w:sz="0" w:space="0" w:color="auto"/>
            <w:bottom w:val="none" w:sz="0" w:space="0" w:color="auto"/>
            <w:right w:val="none" w:sz="0" w:space="0" w:color="auto"/>
          </w:divBdr>
        </w:div>
        <w:div w:id="1389956096">
          <w:marLeft w:val="0"/>
          <w:marRight w:val="0"/>
          <w:marTop w:val="0"/>
          <w:marBottom w:val="0"/>
          <w:divBdr>
            <w:top w:val="none" w:sz="0" w:space="0" w:color="auto"/>
            <w:left w:val="none" w:sz="0" w:space="0" w:color="auto"/>
            <w:bottom w:val="none" w:sz="0" w:space="0" w:color="auto"/>
            <w:right w:val="none" w:sz="0" w:space="0" w:color="auto"/>
          </w:divBdr>
        </w:div>
        <w:div w:id="1396122062">
          <w:marLeft w:val="0"/>
          <w:marRight w:val="0"/>
          <w:marTop w:val="0"/>
          <w:marBottom w:val="0"/>
          <w:divBdr>
            <w:top w:val="none" w:sz="0" w:space="0" w:color="auto"/>
            <w:left w:val="none" w:sz="0" w:space="0" w:color="auto"/>
            <w:bottom w:val="none" w:sz="0" w:space="0" w:color="auto"/>
            <w:right w:val="none" w:sz="0" w:space="0" w:color="auto"/>
          </w:divBdr>
        </w:div>
        <w:div w:id="1400254274">
          <w:marLeft w:val="0"/>
          <w:marRight w:val="0"/>
          <w:marTop w:val="0"/>
          <w:marBottom w:val="0"/>
          <w:divBdr>
            <w:top w:val="none" w:sz="0" w:space="0" w:color="auto"/>
            <w:left w:val="none" w:sz="0" w:space="0" w:color="auto"/>
            <w:bottom w:val="none" w:sz="0" w:space="0" w:color="auto"/>
            <w:right w:val="none" w:sz="0" w:space="0" w:color="auto"/>
          </w:divBdr>
        </w:div>
        <w:div w:id="1406994902">
          <w:marLeft w:val="0"/>
          <w:marRight w:val="0"/>
          <w:marTop w:val="0"/>
          <w:marBottom w:val="0"/>
          <w:divBdr>
            <w:top w:val="none" w:sz="0" w:space="0" w:color="auto"/>
            <w:left w:val="none" w:sz="0" w:space="0" w:color="auto"/>
            <w:bottom w:val="none" w:sz="0" w:space="0" w:color="auto"/>
            <w:right w:val="none" w:sz="0" w:space="0" w:color="auto"/>
          </w:divBdr>
        </w:div>
        <w:div w:id="1410271884">
          <w:marLeft w:val="0"/>
          <w:marRight w:val="0"/>
          <w:marTop w:val="0"/>
          <w:marBottom w:val="0"/>
          <w:divBdr>
            <w:top w:val="none" w:sz="0" w:space="0" w:color="auto"/>
            <w:left w:val="none" w:sz="0" w:space="0" w:color="auto"/>
            <w:bottom w:val="none" w:sz="0" w:space="0" w:color="auto"/>
            <w:right w:val="none" w:sz="0" w:space="0" w:color="auto"/>
          </w:divBdr>
        </w:div>
        <w:div w:id="1423992134">
          <w:marLeft w:val="0"/>
          <w:marRight w:val="0"/>
          <w:marTop w:val="0"/>
          <w:marBottom w:val="0"/>
          <w:divBdr>
            <w:top w:val="none" w:sz="0" w:space="0" w:color="auto"/>
            <w:left w:val="none" w:sz="0" w:space="0" w:color="auto"/>
            <w:bottom w:val="none" w:sz="0" w:space="0" w:color="auto"/>
            <w:right w:val="none" w:sz="0" w:space="0" w:color="auto"/>
          </w:divBdr>
        </w:div>
        <w:div w:id="1424254434">
          <w:marLeft w:val="0"/>
          <w:marRight w:val="0"/>
          <w:marTop w:val="0"/>
          <w:marBottom w:val="0"/>
          <w:divBdr>
            <w:top w:val="none" w:sz="0" w:space="0" w:color="auto"/>
            <w:left w:val="none" w:sz="0" w:space="0" w:color="auto"/>
            <w:bottom w:val="none" w:sz="0" w:space="0" w:color="auto"/>
            <w:right w:val="none" w:sz="0" w:space="0" w:color="auto"/>
          </w:divBdr>
        </w:div>
        <w:div w:id="1447772444">
          <w:marLeft w:val="0"/>
          <w:marRight w:val="0"/>
          <w:marTop w:val="0"/>
          <w:marBottom w:val="0"/>
          <w:divBdr>
            <w:top w:val="none" w:sz="0" w:space="0" w:color="auto"/>
            <w:left w:val="none" w:sz="0" w:space="0" w:color="auto"/>
            <w:bottom w:val="none" w:sz="0" w:space="0" w:color="auto"/>
            <w:right w:val="none" w:sz="0" w:space="0" w:color="auto"/>
          </w:divBdr>
        </w:div>
        <w:div w:id="1468545902">
          <w:marLeft w:val="0"/>
          <w:marRight w:val="0"/>
          <w:marTop w:val="0"/>
          <w:marBottom w:val="0"/>
          <w:divBdr>
            <w:top w:val="none" w:sz="0" w:space="0" w:color="auto"/>
            <w:left w:val="none" w:sz="0" w:space="0" w:color="auto"/>
            <w:bottom w:val="none" w:sz="0" w:space="0" w:color="auto"/>
            <w:right w:val="none" w:sz="0" w:space="0" w:color="auto"/>
          </w:divBdr>
        </w:div>
        <w:div w:id="1475685474">
          <w:marLeft w:val="0"/>
          <w:marRight w:val="0"/>
          <w:marTop w:val="0"/>
          <w:marBottom w:val="0"/>
          <w:divBdr>
            <w:top w:val="none" w:sz="0" w:space="0" w:color="auto"/>
            <w:left w:val="none" w:sz="0" w:space="0" w:color="auto"/>
            <w:bottom w:val="none" w:sz="0" w:space="0" w:color="auto"/>
            <w:right w:val="none" w:sz="0" w:space="0" w:color="auto"/>
          </w:divBdr>
        </w:div>
        <w:div w:id="1476531815">
          <w:marLeft w:val="0"/>
          <w:marRight w:val="0"/>
          <w:marTop w:val="0"/>
          <w:marBottom w:val="0"/>
          <w:divBdr>
            <w:top w:val="none" w:sz="0" w:space="0" w:color="auto"/>
            <w:left w:val="none" w:sz="0" w:space="0" w:color="auto"/>
            <w:bottom w:val="none" w:sz="0" w:space="0" w:color="auto"/>
            <w:right w:val="none" w:sz="0" w:space="0" w:color="auto"/>
          </w:divBdr>
        </w:div>
        <w:div w:id="1512334410">
          <w:marLeft w:val="0"/>
          <w:marRight w:val="0"/>
          <w:marTop w:val="0"/>
          <w:marBottom w:val="0"/>
          <w:divBdr>
            <w:top w:val="none" w:sz="0" w:space="0" w:color="auto"/>
            <w:left w:val="none" w:sz="0" w:space="0" w:color="auto"/>
            <w:bottom w:val="none" w:sz="0" w:space="0" w:color="auto"/>
            <w:right w:val="none" w:sz="0" w:space="0" w:color="auto"/>
          </w:divBdr>
        </w:div>
        <w:div w:id="1513257098">
          <w:marLeft w:val="0"/>
          <w:marRight w:val="0"/>
          <w:marTop w:val="0"/>
          <w:marBottom w:val="0"/>
          <w:divBdr>
            <w:top w:val="none" w:sz="0" w:space="0" w:color="auto"/>
            <w:left w:val="none" w:sz="0" w:space="0" w:color="auto"/>
            <w:bottom w:val="none" w:sz="0" w:space="0" w:color="auto"/>
            <w:right w:val="none" w:sz="0" w:space="0" w:color="auto"/>
          </w:divBdr>
        </w:div>
        <w:div w:id="1525169089">
          <w:marLeft w:val="0"/>
          <w:marRight w:val="0"/>
          <w:marTop w:val="0"/>
          <w:marBottom w:val="0"/>
          <w:divBdr>
            <w:top w:val="none" w:sz="0" w:space="0" w:color="auto"/>
            <w:left w:val="none" w:sz="0" w:space="0" w:color="auto"/>
            <w:bottom w:val="none" w:sz="0" w:space="0" w:color="auto"/>
            <w:right w:val="none" w:sz="0" w:space="0" w:color="auto"/>
          </w:divBdr>
        </w:div>
        <w:div w:id="1545677773">
          <w:marLeft w:val="0"/>
          <w:marRight w:val="0"/>
          <w:marTop w:val="0"/>
          <w:marBottom w:val="0"/>
          <w:divBdr>
            <w:top w:val="none" w:sz="0" w:space="0" w:color="auto"/>
            <w:left w:val="none" w:sz="0" w:space="0" w:color="auto"/>
            <w:bottom w:val="none" w:sz="0" w:space="0" w:color="auto"/>
            <w:right w:val="none" w:sz="0" w:space="0" w:color="auto"/>
          </w:divBdr>
        </w:div>
        <w:div w:id="1546943185">
          <w:marLeft w:val="0"/>
          <w:marRight w:val="0"/>
          <w:marTop w:val="0"/>
          <w:marBottom w:val="0"/>
          <w:divBdr>
            <w:top w:val="none" w:sz="0" w:space="0" w:color="auto"/>
            <w:left w:val="none" w:sz="0" w:space="0" w:color="auto"/>
            <w:bottom w:val="none" w:sz="0" w:space="0" w:color="auto"/>
            <w:right w:val="none" w:sz="0" w:space="0" w:color="auto"/>
          </w:divBdr>
        </w:div>
        <w:div w:id="1549417731">
          <w:marLeft w:val="0"/>
          <w:marRight w:val="0"/>
          <w:marTop w:val="0"/>
          <w:marBottom w:val="0"/>
          <w:divBdr>
            <w:top w:val="none" w:sz="0" w:space="0" w:color="auto"/>
            <w:left w:val="none" w:sz="0" w:space="0" w:color="auto"/>
            <w:bottom w:val="none" w:sz="0" w:space="0" w:color="auto"/>
            <w:right w:val="none" w:sz="0" w:space="0" w:color="auto"/>
          </w:divBdr>
        </w:div>
        <w:div w:id="1560752760">
          <w:marLeft w:val="0"/>
          <w:marRight w:val="0"/>
          <w:marTop w:val="0"/>
          <w:marBottom w:val="0"/>
          <w:divBdr>
            <w:top w:val="none" w:sz="0" w:space="0" w:color="auto"/>
            <w:left w:val="none" w:sz="0" w:space="0" w:color="auto"/>
            <w:bottom w:val="none" w:sz="0" w:space="0" w:color="auto"/>
            <w:right w:val="none" w:sz="0" w:space="0" w:color="auto"/>
          </w:divBdr>
        </w:div>
        <w:div w:id="1567495879">
          <w:marLeft w:val="0"/>
          <w:marRight w:val="0"/>
          <w:marTop w:val="0"/>
          <w:marBottom w:val="0"/>
          <w:divBdr>
            <w:top w:val="none" w:sz="0" w:space="0" w:color="auto"/>
            <w:left w:val="none" w:sz="0" w:space="0" w:color="auto"/>
            <w:bottom w:val="none" w:sz="0" w:space="0" w:color="auto"/>
            <w:right w:val="none" w:sz="0" w:space="0" w:color="auto"/>
          </w:divBdr>
        </w:div>
        <w:div w:id="1570995464">
          <w:marLeft w:val="0"/>
          <w:marRight w:val="0"/>
          <w:marTop w:val="0"/>
          <w:marBottom w:val="0"/>
          <w:divBdr>
            <w:top w:val="none" w:sz="0" w:space="0" w:color="auto"/>
            <w:left w:val="none" w:sz="0" w:space="0" w:color="auto"/>
            <w:bottom w:val="none" w:sz="0" w:space="0" w:color="auto"/>
            <w:right w:val="none" w:sz="0" w:space="0" w:color="auto"/>
          </w:divBdr>
        </w:div>
        <w:div w:id="1573543567">
          <w:marLeft w:val="0"/>
          <w:marRight w:val="0"/>
          <w:marTop w:val="0"/>
          <w:marBottom w:val="0"/>
          <w:divBdr>
            <w:top w:val="none" w:sz="0" w:space="0" w:color="auto"/>
            <w:left w:val="none" w:sz="0" w:space="0" w:color="auto"/>
            <w:bottom w:val="none" w:sz="0" w:space="0" w:color="auto"/>
            <w:right w:val="none" w:sz="0" w:space="0" w:color="auto"/>
          </w:divBdr>
        </w:div>
        <w:div w:id="1604914736">
          <w:marLeft w:val="0"/>
          <w:marRight w:val="0"/>
          <w:marTop w:val="0"/>
          <w:marBottom w:val="0"/>
          <w:divBdr>
            <w:top w:val="none" w:sz="0" w:space="0" w:color="auto"/>
            <w:left w:val="none" w:sz="0" w:space="0" w:color="auto"/>
            <w:bottom w:val="none" w:sz="0" w:space="0" w:color="auto"/>
            <w:right w:val="none" w:sz="0" w:space="0" w:color="auto"/>
          </w:divBdr>
        </w:div>
        <w:div w:id="1605768361">
          <w:marLeft w:val="0"/>
          <w:marRight w:val="0"/>
          <w:marTop w:val="0"/>
          <w:marBottom w:val="0"/>
          <w:divBdr>
            <w:top w:val="none" w:sz="0" w:space="0" w:color="auto"/>
            <w:left w:val="none" w:sz="0" w:space="0" w:color="auto"/>
            <w:bottom w:val="none" w:sz="0" w:space="0" w:color="auto"/>
            <w:right w:val="none" w:sz="0" w:space="0" w:color="auto"/>
          </w:divBdr>
        </w:div>
        <w:div w:id="1612280106">
          <w:marLeft w:val="0"/>
          <w:marRight w:val="0"/>
          <w:marTop w:val="0"/>
          <w:marBottom w:val="0"/>
          <w:divBdr>
            <w:top w:val="none" w:sz="0" w:space="0" w:color="auto"/>
            <w:left w:val="none" w:sz="0" w:space="0" w:color="auto"/>
            <w:bottom w:val="none" w:sz="0" w:space="0" w:color="auto"/>
            <w:right w:val="none" w:sz="0" w:space="0" w:color="auto"/>
          </w:divBdr>
        </w:div>
        <w:div w:id="1615284253">
          <w:marLeft w:val="0"/>
          <w:marRight w:val="0"/>
          <w:marTop w:val="0"/>
          <w:marBottom w:val="0"/>
          <w:divBdr>
            <w:top w:val="none" w:sz="0" w:space="0" w:color="auto"/>
            <w:left w:val="none" w:sz="0" w:space="0" w:color="auto"/>
            <w:bottom w:val="none" w:sz="0" w:space="0" w:color="auto"/>
            <w:right w:val="none" w:sz="0" w:space="0" w:color="auto"/>
          </w:divBdr>
        </w:div>
        <w:div w:id="1626352012">
          <w:marLeft w:val="0"/>
          <w:marRight w:val="0"/>
          <w:marTop w:val="0"/>
          <w:marBottom w:val="0"/>
          <w:divBdr>
            <w:top w:val="none" w:sz="0" w:space="0" w:color="auto"/>
            <w:left w:val="none" w:sz="0" w:space="0" w:color="auto"/>
            <w:bottom w:val="none" w:sz="0" w:space="0" w:color="auto"/>
            <w:right w:val="none" w:sz="0" w:space="0" w:color="auto"/>
          </w:divBdr>
        </w:div>
        <w:div w:id="1645817886">
          <w:marLeft w:val="0"/>
          <w:marRight w:val="0"/>
          <w:marTop w:val="0"/>
          <w:marBottom w:val="0"/>
          <w:divBdr>
            <w:top w:val="none" w:sz="0" w:space="0" w:color="auto"/>
            <w:left w:val="none" w:sz="0" w:space="0" w:color="auto"/>
            <w:bottom w:val="none" w:sz="0" w:space="0" w:color="auto"/>
            <w:right w:val="none" w:sz="0" w:space="0" w:color="auto"/>
          </w:divBdr>
        </w:div>
        <w:div w:id="1646548523">
          <w:marLeft w:val="0"/>
          <w:marRight w:val="0"/>
          <w:marTop w:val="0"/>
          <w:marBottom w:val="0"/>
          <w:divBdr>
            <w:top w:val="none" w:sz="0" w:space="0" w:color="auto"/>
            <w:left w:val="none" w:sz="0" w:space="0" w:color="auto"/>
            <w:bottom w:val="none" w:sz="0" w:space="0" w:color="auto"/>
            <w:right w:val="none" w:sz="0" w:space="0" w:color="auto"/>
          </w:divBdr>
        </w:div>
        <w:div w:id="1663776749">
          <w:marLeft w:val="0"/>
          <w:marRight w:val="0"/>
          <w:marTop w:val="0"/>
          <w:marBottom w:val="0"/>
          <w:divBdr>
            <w:top w:val="none" w:sz="0" w:space="0" w:color="auto"/>
            <w:left w:val="none" w:sz="0" w:space="0" w:color="auto"/>
            <w:bottom w:val="none" w:sz="0" w:space="0" w:color="auto"/>
            <w:right w:val="none" w:sz="0" w:space="0" w:color="auto"/>
          </w:divBdr>
        </w:div>
        <w:div w:id="1697076014">
          <w:marLeft w:val="0"/>
          <w:marRight w:val="0"/>
          <w:marTop w:val="0"/>
          <w:marBottom w:val="0"/>
          <w:divBdr>
            <w:top w:val="none" w:sz="0" w:space="0" w:color="auto"/>
            <w:left w:val="none" w:sz="0" w:space="0" w:color="auto"/>
            <w:bottom w:val="none" w:sz="0" w:space="0" w:color="auto"/>
            <w:right w:val="none" w:sz="0" w:space="0" w:color="auto"/>
          </w:divBdr>
        </w:div>
        <w:div w:id="1703243980">
          <w:marLeft w:val="0"/>
          <w:marRight w:val="0"/>
          <w:marTop w:val="0"/>
          <w:marBottom w:val="0"/>
          <w:divBdr>
            <w:top w:val="none" w:sz="0" w:space="0" w:color="auto"/>
            <w:left w:val="none" w:sz="0" w:space="0" w:color="auto"/>
            <w:bottom w:val="none" w:sz="0" w:space="0" w:color="auto"/>
            <w:right w:val="none" w:sz="0" w:space="0" w:color="auto"/>
          </w:divBdr>
        </w:div>
        <w:div w:id="1705254120">
          <w:marLeft w:val="0"/>
          <w:marRight w:val="0"/>
          <w:marTop w:val="0"/>
          <w:marBottom w:val="0"/>
          <w:divBdr>
            <w:top w:val="none" w:sz="0" w:space="0" w:color="auto"/>
            <w:left w:val="none" w:sz="0" w:space="0" w:color="auto"/>
            <w:bottom w:val="none" w:sz="0" w:space="0" w:color="auto"/>
            <w:right w:val="none" w:sz="0" w:space="0" w:color="auto"/>
          </w:divBdr>
        </w:div>
        <w:div w:id="1723863217">
          <w:marLeft w:val="0"/>
          <w:marRight w:val="0"/>
          <w:marTop w:val="0"/>
          <w:marBottom w:val="0"/>
          <w:divBdr>
            <w:top w:val="none" w:sz="0" w:space="0" w:color="auto"/>
            <w:left w:val="none" w:sz="0" w:space="0" w:color="auto"/>
            <w:bottom w:val="none" w:sz="0" w:space="0" w:color="auto"/>
            <w:right w:val="none" w:sz="0" w:space="0" w:color="auto"/>
          </w:divBdr>
        </w:div>
        <w:div w:id="1727298974">
          <w:marLeft w:val="0"/>
          <w:marRight w:val="0"/>
          <w:marTop w:val="0"/>
          <w:marBottom w:val="0"/>
          <w:divBdr>
            <w:top w:val="none" w:sz="0" w:space="0" w:color="auto"/>
            <w:left w:val="none" w:sz="0" w:space="0" w:color="auto"/>
            <w:bottom w:val="none" w:sz="0" w:space="0" w:color="auto"/>
            <w:right w:val="none" w:sz="0" w:space="0" w:color="auto"/>
          </w:divBdr>
        </w:div>
        <w:div w:id="1729303361">
          <w:marLeft w:val="0"/>
          <w:marRight w:val="0"/>
          <w:marTop w:val="0"/>
          <w:marBottom w:val="0"/>
          <w:divBdr>
            <w:top w:val="none" w:sz="0" w:space="0" w:color="auto"/>
            <w:left w:val="none" w:sz="0" w:space="0" w:color="auto"/>
            <w:bottom w:val="none" w:sz="0" w:space="0" w:color="auto"/>
            <w:right w:val="none" w:sz="0" w:space="0" w:color="auto"/>
          </w:divBdr>
        </w:div>
        <w:div w:id="1744717301">
          <w:marLeft w:val="0"/>
          <w:marRight w:val="0"/>
          <w:marTop w:val="0"/>
          <w:marBottom w:val="0"/>
          <w:divBdr>
            <w:top w:val="none" w:sz="0" w:space="0" w:color="auto"/>
            <w:left w:val="none" w:sz="0" w:space="0" w:color="auto"/>
            <w:bottom w:val="none" w:sz="0" w:space="0" w:color="auto"/>
            <w:right w:val="none" w:sz="0" w:space="0" w:color="auto"/>
          </w:divBdr>
        </w:div>
        <w:div w:id="1746151314">
          <w:marLeft w:val="0"/>
          <w:marRight w:val="0"/>
          <w:marTop w:val="0"/>
          <w:marBottom w:val="0"/>
          <w:divBdr>
            <w:top w:val="none" w:sz="0" w:space="0" w:color="auto"/>
            <w:left w:val="none" w:sz="0" w:space="0" w:color="auto"/>
            <w:bottom w:val="none" w:sz="0" w:space="0" w:color="auto"/>
            <w:right w:val="none" w:sz="0" w:space="0" w:color="auto"/>
          </w:divBdr>
        </w:div>
        <w:div w:id="1754819393">
          <w:marLeft w:val="0"/>
          <w:marRight w:val="0"/>
          <w:marTop w:val="0"/>
          <w:marBottom w:val="0"/>
          <w:divBdr>
            <w:top w:val="none" w:sz="0" w:space="0" w:color="auto"/>
            <w:left w:val="none" w:sz="0" w:space="0" w:color="auto"/>
            <w:bottom w:val="none" w:sz="0" w:space="0" w:color="auto"/>
            <w:right w:val="none" w:sz="0" w:space="0" w:color="auto"/>
          </w:divBdr>
        </w:div>
        <w:div w:id="1760171160">
          <w:marLeft w:val="0"/>
          <w:marRight w:val="0"/>
          <w:marTop w:val="0"/>
          <w:marBottom w:val="0"/>
          <w:divBdr>
            <w:top w:val="none" w:sz="0" w:space="0" w:color="auto"/>
            <w:left w:val="none" w:sz="0" w:space="0" w:color="auto"/>
            <w:bottom w:val="none" w:sz="0" w:space="0" w:color="auto"/>
            <w:right w:val="none" w:sz="0" w:space="0" w:color="auto"/>
          </w:divBdr>
        </w:div>
        <w:div w:id="1763377976">
          <w:marLeft w:val="0"/>
          <w:marRight w:val="0"/>
          <w:marTop w:val="0"/>
          <w:marBottom w:val="0"/>
          <w:divBdr>
            <w:top w:val="none" w:sz="0" w:space="0" w:color="auto"/>
            <w:left w:val="none" w:sz="0" w:space="0" w:color="auto"/>
            <w:bottom w:val="none" w:sz="0" w:space="0" w:color="auto"/>
            <w:right w:val="none" w:sz="0" w:space="0" w:color="auto"/>
          </w:divBdr>
        </w:div>
        <w:div w:id="1770540890">
          <w:marLeft w:val="0"/>
          <w:marRight w:val="0"/>
          <w:marTop w:val="0"/>
          <w:marBottom w:val="0"/>
          <w:divBdr>
            <w:top w:val="none" w:sz="0" w:space="0" w:color="auto"/>
            <w:left w:val="none" w:sz="0" w:space="0" w:color="auto"/>
            <w:bottom w:val="none" w:sz="0" w:space="0" w:color="auto"/>
            <w:right w:val="none" w:sz="0" w:space="0" w:color="auto"/>
          </w:divBdr>
        </w:div>
        <w:div w:id="1775709249">
          <w:marLeft w:val="0"/>
          <w:marRight w:val="0"/>
          <w:marTop w:val="0"/>
          <w:marBottom w:val="0"/>
          <w:divBdr>
            <w:top w:val="none" w:sz="0" w:space="0" w:color="auto"/>
            <w:left w:val="none" w:sz="0" w:space="0" w:color="auto"/>
            <w:bottom w:val="none" w:sz="0" w:space="0" w:color="auto"/>
            <w:right w:val="none" w:sz="0" w:space="0" w:color="auto"/>
          </w:divBdr>
        </w:div>
        <w:div w:id="1776320224">
          <w:marLeft w:val="0"/>
          <w:marRight w:val="0"/>
          <w:marTop w:val="0"/>
          <w:marBottom w:val="0"/>
          <w:divBdr>
            <w:top w:val="none" w:sz="0" w:space="0" w:color="auto"/>
            <w:left w:val="none" w:sz="0" w:space="0" w:color="auto"/>
            <w:bottom w:val="none" w:sz="0" w:space="0" w:color="auto"/>
            <w:right w:val="none" w:sz="0" w:space="0" w:color="auto"/>
          </w:divBdr>
        </w:div>
        <w:div w:id="1808428449">
          <w:marLeft w:val="0"/>
          <w:marRight w:val="0"/>
          <w:marTop w:val="0"/>
          <w:marBottom w:val="0"/>
          <w:divBdr>
            <w:top w:val="none" w:sz="0" w:space="0" w:color="auto"/>
            <w:left w:val="none" w:sz="0" w:space="0" w:color="auto"/>
            <w:bottom w:val="none" w:sz="0" w:space="0" w:color="auto"/>
            <w:right w:val="none" w:sz="0" w:space="0" w:color="auto"/>
          </w:divBdr>
        </w:div>
        <w:div w:id="1822844256">
          <w:marLeft w:val="0"/>
          <w:marRight w:val="0"/>
          <w:marTop w:val="0"/>
          <w:marBottom w:val="0"/>
          <w:divBdr>
            <w:top w:val="none" w:sz="0" w:space="0" w:color="auto"/>
            <w:left w:val="none" w:sz="0" w:space="0" w:color="auto"/>
            <w:bottom w:val="none" w:sz="0" w:space="0" w:color="auto"/>
            <w:right w:val="none" w:sz="0" w:space="0" w:color="auto"/>
          </w:divBdr>
        </w:div>
        <w:div w:id="1826775609">
          <w:marLeft w:val="0"/>
          <w:marRight w:val="0"/>
          <w:marTop w:val="0"/>
          <w:marBottom w:val="0"/>
          <w:divBdr>
            <w:top w:val="none" w:sz="0" w:space="0" w:color="auto"/>
            <w:left w:val="none" w:sz="0" w:space="0" w:color="auto"/>
            <w:bottom w:val="none" w:sz="0" w:space="0" w:color="auto"/>
            <w:right w:val="none" w:sz="0" w:space="0" w:color="auto"/>
          </w:divBdr>
        </w:div>
        <w:div w:id="1831017049">
          <w:marLeft w:val="0"/>
          <w:marRight w:val="0"/>
          <w:marTop w:val="0"/>
          <w:marBottom w:val="0"/>
          <w:divBdr>
            <w:top w:val="none" w:sz="0" w:space="0" w:color="auto"/>
            <w:left w:val="none" w:sz="0" w:space="0" w:color="auto"/>
            <w:bottom w:val="none" w:sz="0" w:space="0" w:color="auto"/>
            <w:right w:val="none" w:sz="0" w:space="0" w:color="auto"/>
          </w:divBdr>
        </w:div>
        <w:div w:id="1841117510">
          <w:marLeft w:val="0"/>
          <w:marRight w:val="0"/>
          <w:marTop w:val="0"/>
          <w:marBottom w:val="0"/>
          <w:divBdr>
            <w:top w:val="none" w:sz="0" w:space="0" w:color="auto"/>
            <w:left w:val="none" w:sz="0" w:space="0" w:color="auto"/>
            <w:bottom w:val="none" w:sz="0" w:space="0" w:color="auto"/>
            <w:right w:val="none" w:sz="0" w:space="0" w:color="auto"/>
          </w:divBdr>
        </w:div>
        <w:div w:id="1843743542">
          <w:marLeft w:val="0"/>
          <w:marRight w:val="0"/>
          <w:marTop w:val="0"/>
          <w:marBottom w:val="0"/>
          <w:divBdr>
            <w:top w:val="none" w:sz="0" w:space="0" w:color="auto"/>
            <w:left w:val="none" w:sz="0" w:space="0" w:color="auto"/>
            <w:bottom w:val="none" w:sz="0" w:space="0" w:color="auto"/>
            <w:right w:val="none" w:sz="0" w:space="0" w:color="auto"/>
          </w:divBdr>
        </w:div>
        <w:div w:id="1847204295">
          <w:marLeft w:val="0"/>
          <w:marRight w:val="0"/>
          <w:marTop w:val="0"/>
          <w:marBottom w:val="0"/>
          <w:divBdr>
            <w:top w:val="none" w:sz="0" w:space="0" w:color="auto"/>
            <w:left w:val="none" w:sz="0" w:space="0" w:color="auto"/>
            <w:bottom w:val="none" w:sz="0" w:space="0" w:color="auto"/>
            <w:right w:val="none" w:sz="0" w:space="0" w:color="auto"/>
          </w:divBdr>
        </w:div>
        <w:div w:id="1847860852">
          <w:marLeft w:val="0"/>
          <w:marRight w:val="0"/>
          <w:marTop w:val="0"/>
          <w:marBottom w:val="0"/>
          <w:divBdr>
            <w:top w:val="none" w:sz="0" w:space="0" w:color="auto"/>
            <w:left w:val="none" w:sz="0" w:space="0" w:color="auto"/>
            <w:bottom w:val="none" w:sz="0" w:space="0" w:color="auto"/>
            <w:right w:val="none" w:sz="0" w:space="0" w:color="auto"/>
          </w:divBdr>
        </w:div>
        <w:div w:id="1871524548">
          <w:marLeft w:val="0"/>
          <w:marRight w:val="0"/>
          <w:marTop w:val="0"/>
          <w:marBottom w:val="0"/>
          <w:divBdr>
            <w:top w:val="none" w:sz="0" w:space="0" w:color="auto"/>
            <w:left w:val="none" w:sz="0" w:space="0" w:color="auto"/>
            <w:bottom w:val="none" w:sz="0" w:space="0" w:color="auto"/>
            <w:right w:val="none" w:sz="0" w:space="0" w:color="auto"/>
          </w:divBdr>
        </w:div>
        <w:div w:id="1876455242">
          <w:marLeft w:val="0"/>
          <w:marRight w:val="0"/>
          <w:marTop w:val="0"/>
          <w:marBottom w:val="0"/>
          <w:divBdr>
            <w:top w:val="none" w:sz="0" w:space="0" w:color="auto"/>
            <w:left w:val="none" w:sz="0" w:space="0" w:color="auto"/>
            <w:bottom w:val="none" w:sz="0" w:space="0" w:color="auto"/>
            <w:right w:val="none" w:sz="0" w:space="0" w:color="auto"/>
          </w:divBdr>
        </w:div>
        <w:div w:id="1881357395">
          <w:marLeft w:val="0"/>
          <w:marRight w:val="0"/>
          <w:marTop w:val="0"/>
          <w:marBottom w:val="0"/>
          <w:divBdr>
            <w:top w:val="none" w:sz="0" w:space="0" w:color="auto"/>
            <w:left w:val="none" w:sz="0" w:space="0" w:color="auto"/>
            <w:bottom w:val="none" w:sz="0" w:space="0" w:color="auto"/>
            <w:right w:val="none" w:sz="0" w:space="0" w:color="auto"/>
          </w:divBdr>
        </w:div>
        <w:div w:id="1883905719">
          <w:marLeft w:val="0"/>
          <w:marRight w:val="0"/>
          <w:marTop w:val="0"/>
          <w:marBottom w:val="0"/>
          <w:divBdr>
            <w:top w:val="none" w:sz="0" w:space="0" w:color="auto"/>
            <w:left w:val="none" w:sz="0" w:space="0" w:color="auto"/>
            <w:bottom w:val="none" w:sz="0" w:space="0" w:color="auto"/>
            <w:right w:val="none" w:sz="0" w:space="0" w:color="auto"/>
          </w:divBdr>
        </w:div>
        <w:div w:id="1915968686">
          <w:marLeft w:val="0"/>
          <w:marRight w:val="0"/>
          <w:marTop w:val="0"/>
          <w:marBottom w:val="0"/>
          <w:divBdr>
            <w:top w:val="none" w:sz="0" w:space="0" w:color="auto"/>
            <w:left w:val="none" w:sz="0" w:space="0" w:color="auto"/>
            <w:bottom w:val="none" w:sz="0" w:space="0" w:color="auto"/>
            <w:right w:val="none" w:sz="0" w:space="0" w:color="auto"/>
          </w:divBdr>
        </w:div>
        <w:div w:id="1926449873">
          <w:marLeft w:val="0"/>
          <w:marRight w:val="0"/>
          <w:marTop w:val="0"/>
          <w:marBottom w:val="0"/>
          <w:divBdr>
            <w:top w:val="none" w:sz="0" w:space="0" w:color="auto"/>
            <w:left w:val="none" w:sz="0" w:space="0" w:color="auto"/>
            <w:bottom w:val="none" w:sz="0" w:space="0" w:color="auto"/>
            <w:right w:val="none" w:sz="0" w:space="0" w:color="auto"/>
          </w:divBdr>
        </w:div>
        <w:div w:id="1926838746">
          <w:marLeft w:val="0"/>
          <w:marRight w:val="0"/>
          <w:marTop w:val="0"/>
          <w:marBottom w:val="0"/>
          <w:divBdr>
            <w:top w:val="none" w:sz="0" w:space="0" w:color="auto"/>
            <w:left w:val="none" w:sz="0" w:space="0" w:color="auto"/>
            <w:bottom w:val="none" w:sz="0" w:space="0" w:color="auto"/>
            <w:right w:val="none" w:sz="0" w:space="0" w:color="auto"/>
          </w:divBdr>
        </w:div>
        <w:div w:id="1933077273">
          <w:marLeft w:val="0"/>
          <w:marRight w:val="0"/>
          <w:marTop w:val="0"/>
          <w:marBottom w:val="0"/>
          <w:divBdr>
            <w:top w:val="none" w:sz="0" w:space="0" w:color="auto"/>
            <w:left w:val="none" w:sz="0" w:space="0" w:color="auto"/>
            <w:bottom w:val="none" w:sz="0" w:space="0" w:color="auto"/>
            <w:right w:val="none" w:sz="0" w:space="0" w:color="auto"/>
          </w:divBdr>
        </w:div>
        <w:div w:id="1943536171">
          <w:marLeft w:val="0"/>
          <w:marRight w:val="0"/>
          <w:marTop w:val="0"/>
          <w:marBottom w:val="0"/>
          <w:divBdr>
            <w:top w:val="none" w:sz="0" w:space="0" w:color="auto"/>
            <w:left w:val="none" w:sz="0" w:space="0" w:color="auto"/>
            <w:bottom w:val="none" w:sz="0" w:space="0" w:color="auto"/>
            <w:right w:val="none" w:sz="0" w:space="0" w:color="auto"/>
          </w:divBdr>
        </w:div>
        <w:div w:id="1951356548">
          <w:marLeft w:val="0"/>
          <w:marRight w:val="0"/>
          <w:marTop w:val="0"/>
          <w:marBottom w:val="0"/>
          <w:divBdr>
            <w:top w:val="none" w:sz="0" w:space="0" w:color="auto"/>
            <w:left w:val="none" w:sz="0" w:space="0" w:color="auto"/>
            <w:bottom w:val="none" w:sz="0" w:space="0" w:color="auto"/>
            <w:right w:val="none" w:sz="0" w:space="0" w:color="auto"/>
          </w:divBdr>
        </w:div>
        <w:div w:id="2010329678">
          <w:marLeft w:val="0"/>
          <w:marRight w:val="0"/>
          <w:marTop w:val="0"/>
          <w:marBottom w:val="0"/>
          <w:divBdr>
            <w:top w:val="none" w:sz="0" w:space="0" w:color="auto"/>
            <w:left w:val="none" w:sz="0" w:space="0" w:color="auto"/>
            <w:bottom w:val="none" w:sz="0" w:space="0" w:color="auto"/>
            <w:right w:val="none" w:sz="0" w:space="0" w:color="auto"/>
          </w:divBdr>
        </w:div>
        <w:div w:id="2025284305">
          <w:marLeft w:val="0"/>
          <w:marRight w:val="0"/>
          <w:marTop w:val="0"/>
          <w:marBottom w:val="0"/>
          <w:divBdr>
            <w:top w:val="none" w:sz="0" w:space="0" w:color="auto"/>
            <w:left w:val="none" w:sz="0" w:space="0" w:color="auto"/>
            <w:bottom w:val="none" w:sz="0" w:space="0" w:color="auto"/>
            <w:right w:val="none" w:sz="0" w:space="0" w:color="auto"/>
          </w:divBdr>
        </w:div>
      </w:divsChild>
    </w:div>
    <w:div w:id="1810705943">
      <w:bodyDiv w:val="1"/>
      <w:marLeft w:val="0"/>
      <w:marRight w:val="0"/>
      <w:marTop w:val="0"/>
      <w:marBottom w:val="0"/>
      <w:divBdr>
        <w:top w:val="none" w:sz="0" w:space="0" w:color="auto"/>
        <w:left w:val="none" w:sz="0" w:space="0" w:color="auto"/>
        <w:bottom w:val="none" w:sz="0" w:space="0" w:color="auto"/>
        <w:right w:val="none" w:sz="0" w:space="0" w:color="auto"/>
      </w:divBdr>
    </w:div>
    <w:div w:id="1810784466">
      <w:bodyDiv w:val="1"/>
      <w:marLeft w:val="0"/>
      <w:marRight w:val="0"/>
      <w:marTop w:val="0"/>
      <w:marBottom w:val="0"/>
      <w:divBdr>
        <w:top w:val="none" w:sz="0" w:space="0" w:color="auto"/>
        <w:left w:val="none" w:sz="0" w:space="0" w:color="auto"/>
        <w:bottom w:val="none" w:sz="0" w:space="0" w:color="auto"/>
        <w:right w:val="none" w:sz="0" w:space="0" w:color="auto"/>
      </w:divBdr>
    </w:div>
    <w:div w:id="1810856350">
      <w:bodyDiv w:val="1"/>
      <w:marLeft w:val="0"/>
      <w:marRight w:val="0"/>
      <w:marTop w:val="0"/>
      <w:marBottom w:val="0"/>
      <w:divBdr>
        <w:top w:val="none" w:sz="0" w:space="0" w:color="auto"/>
        <w:left w:val="none" w:sz="0" w:space="0" w:color="auto"/>
        <w:bottom w:val="none" w:sz="0" w:space="0" w:color="auto"/>
        <w:right w:val="none" w:sz="0" w:space="0" w:color="auto"/>
      </w:divBdr>
    </w:div>
    <w:div w:id="1810857057">
      <w:bodyDiv w:val="1"/>
      <w:marLeft w:val="0"/>
      <w:marRight w:val="0"/>
      <w:marTop w:val="0"/>
      <w:marBottom w:val="0"/>
      <w:divBdr>
        <w:top w:val="none" w:sz="0" w:space="0" w:color="auto"/>
        <w:left w:val="none" w:sz="0" w:space="0" w:color="auto"/>
        <w:bottom w:val="none" w:sz="0" w:space="0" w:color="auto"/>
        <w:right w:val="none" w:sz="0" w:space="0" w:color="auto"/>
      </w:divBdr>
    </w:div>
    <w:div w:id="1810899521">
      <w:bodyDiv w:val="1"/>
      <w:marLeft w:val="0"/>
      <w:marRight w:val="0"/>
      <w:marTop w:val="0"/>
      <w:marBottom w:val="0"/>
      <w:divBdr>
        <w:top w:val="none" w:sz="0" w:space="0" w:color="auto"/>
        <w:left w:val="none" w:sz="0" w:space="0" w:color="auto"/>
        <w:bottom w:val="none" w:sz="0" w:space="0" w:color="auto"/>
        <w:right w:val="none" w:sz="0" w:space="0" w:color="auto"/>
      </w:divBdr>
    </w:div>
    <w:div w:id="1811166810">
      <w:bodyDiv w:val="1"/>
      <w:marLeft w:val="0"/>
      <w:marRight w:val="0"/>
      <w:marTop w:val="0"/>
      <w:marBottom w:val="0"/>
      <w:divBdr>
        <w:top w:val="none" w:sz="0" w:space="0" w:color="auto"/>
        <w:left w:val="none" w:sz="0" w:space="0" w:color="auto"/>
        <w:bottom w:val="none" w:sz="0" w:space="0" w:color="auto"/>
        <w:right w:val="none" w:sz="0" w:space="0" w:color="auto"/>
      </w:divBdr>
    </w:div>
    <w:div w:id="1811242220">
      <w:bodyDiv w:val="1"/>
      <w:marLeft w:val="0"/>
      <w:marRight w:val="0"/>
      <w:marTop w:val="0"/>
      <w:marBottom w:val="0"/>
      <w:divBdr>
        <w:top w:val="none" w:sz="0" w:space="0" w:color="auto"/>
        <w:left w:val="none" w:sz="0" w:space="0" w:color="auto"/>
        <w:bottom w:val="none" w:sz="0" w:space="0" w:color="auto"/>
        <w:right w:val="none" w:sz="0" w:space="0" w:color="auto"/>
      </w:divBdr>
    </w:div>
    <w:div w:id="1811245308">
      <w:bodyDiv w:val="1"/>
      <w:marLeft w:val="0"/>
      <w:marRight w:val="0"/>
      <w:marTop w:val="0"/>
      <w:marBottom w:val="0"/>
      <w:divBdr>
        <w:top w:val="none" w:sz="0" w:space="0" w:color="auto"/>
        <w:left w:val="none" w:sz="0" w:space="0" w:color="auto"/>
        <w:bottom w:val="none" w:sz="0" w:space="0" w:color="auto"/>
        <w:right w:val="none" w:sz="0" w:space="0" w:color="auto"/>
      </w:divBdr>
    </w:div>
    <w:div w:id="1811286231">
      <w:bodyDiv w:val="1"/>
      <w:marLeft w:val="0"/>
      <w:marRight w:val="0"/>
      <w:marTop w:val="0"/>
      <w:marBottom w:val="0"/>
      <w:divBdr>
        <w:top w:val="none" w:sz="0" w:space="0" w:color="auto"/>
        <w:left w:val="none" w:sz="0" w:space="0" w:color="auto"/>
        <w:bottom w:val="none" w:sz="0" w:space="0" w:color="auto"/>
        <w:right w:val="none" w:sz="0" w:space="0" w:color="auto"/>
      </w:divBdr>
    </w:div>
    <w:div w:id="1811358343">
      <w:bodyDiv w:val="1"/>
      <w:marLeft w:val="0"/>
      <w:marRight w:val="0"/>
      <w:marTop w:val="0"/>
      <w:marBottom w:val="0"/>
      <w:divBdr>
        <w:top w:val="none" w:sz="0" w:space="0" w:color="auto"/>
        <w:left w:val="none" w:sz="0" w:space="0" w:color="auto"/>
        <w:bottom w:val="none" w:sz="0" w:space="0" w:color="auto"/>
        <w:right w:val="none" w:sz="0" w:space="0" w:color="auto"/>
      </w:divBdr>
    </w:div>
    <w:div w:id="1811360397">
      <w:bodyDiv w:val="1"/>
      <w:marLeft w:val="0"/>
      <w:marRight w:val="0"/>
      <w:marTop w:val="0"/>
      <w:marBottom w:val="0"/>
      <w:divBdr>
        <w:top w:val="none" w:sz="0" w:space="0" w:color="auto"/>
        <w:left w:val="none" w:sz="0" w:space="0" w:color="auto"/>
        <w:bottom w:val="none" w:sz="0" w:space="0" w:color="auto"/>
        <w:right w:val="none" w:sz="0" w:space="0" w:color="auto"/>
      </w:divBdr>
    </w:div>
    <w:div w:id="1811362913">
      <w:bodyDiv w:val="1"/>
      <w:marLeft w:val="0"/>
      <w:marRight w:val="0"/>
      <w:marTop w:val="0"/>
      <w:marBottom w:val="0"/>
      <w:divBdr>
        <w:top w:val="none" w:sz="0" w:space="0" w:color="auto"/>
        <w:left w:val="none" w:sz="0" w:space="0" w:color="auto"/>
        <w:bottom w:val="none" w:sz="0" w:space="0" w:color="auto"/>
        <w:right w:val="none" w:sz="0" w:space="0" w:color="auto"/>
      </w:divBdr>
    </w:div>
    <w:div w:id="1811441342">
      <w:bodyDiv w:val="1"/>
      <w:marLeft w:val="0"/>
      <w:marRight w:val="0"/>
      <w:marTop w:val="0"/>
      <w:marBottom w:val="0"/>
      <w:divBdr>
        <w:top w:val="none" w:sz="0" w:space="0" w:color="auto"/>
        <w:left w:val="none" w:sz="0" w:space="0" w:color="auto"/>
        <w:bottom w:val="none" w:sz="0" w:space="0" w:color="auto"/>
        <w:right w:val="none" w:sz="0" w:space="0" w:color="auto"/>
      </w:divBdr>
    </w:div>
    <w:div w:id="1811511347">
      <w:bodyDiv w:val="1"/>
      <w:marLeft w:val="0"/>
      <w:marRight w:val="0"/>
      <w:marTop w:val="0"/>
      <w:marBottom w:val="0"/>
      <w:divBdr>
        <w:top w:val="none" w:sz="0" w:space="0" w:color="auto"/>
        <w:left w:val="none" w:sz="0" w:space="0" w:color="auto"/>
        <w:bottom w:val="none" w:sz="0" w:space="0" w:color="auto"/>
        <w:right w:val="none" w:sz="0" w:space="0" w:color="auto"/>
      </w:divBdr>
    </w:div>
    <w:div w:id="1811558027">
      <w:bodyDiv w:val="1"/>
      <w:marLeft w:val="0"/>
      <w:marRight w:val="0"/>
      <w:marTop w:val="0"/>
      <w:marBottom w:val="0"/>
      <w:divBdr>
        <w:top w:val="none" w:sz="0" w:space="0" w:color="auto"/>
        <w:left w:val="none" w:sz="0" w:space="0" w:color="auto"/>
        <w:bottom w:val="none" w:sz="0" w:space="0" w:color="auto"/>
        <w:right w:val="none" w:sz="0" w:space="0" w:color="auto"/>
      </w:divBdr>
    </w:div>
    <w:div w:id="1811677611">
      <w:bodyDiv w:val="1"/>
      <w:marLeft w:val="0"/>
      <w:marRight w:val="0"/>
      <w:marTop w:val="0"/>
      <w:marBottom w:val="0"/>
      <w:divBdr>
        <w:top w:val="none" w:sz="0" w:space="0" w:color="auto"/>
        <w:left w:val="none" w:sz="0" w:space="0" w:color="auto"/>
        <w:bottom w:val="none" w:sz="0" w:space="0" w:color="auto"/>
        <w:right w:val="none" w:sz="0" w:space="0" w:color="auto"/>
      </w:divBdr>
    </w:div>
    <w:div w:id="1811677997">
      <w:bodyDiv w:val="1"/>
      <w:marLeft w:val="0"/>
      <w:marRight w:val="0"/>
      <w:marTop w:val="0"/>
      <w:marBottom w:val="0"/>
      <w:divBdr>
        <w:top w:val="none" w:sz="0" w:space="0" w:color="auto"/>
        <w:left w:val="none" w:sz="0" w:space="0" w:color="auto"/>
        <w:bottom w:val="none" w:sz="0" w:space="0" w:color="auto"/>
        <w:right w:val="none" w:sz="0" w:space="0" w:color="auto"/>
      </w:divBdr>
    </w:div>
    <w:div w:id="1811827939">
      <w:bodyDiv w:val="1"/>
      <w:marLeft w:val="0"/>
      <w:marRight w:val="0"/>
      <w:marTop w:val="0"/>
      <w:marBottom w:val="0"/>
      <w:divBdr>
        <w:top w:val="none" w:sz="0" w:space="0" w:color="auto"/>
        <w:left w:val="none" w:sz="0" w:space="0" w:color="auto"/>
        <w:bottom w:val="none" w:sz="0" w:space="0" w:color="auto"/>
        <w:right w:val="none" w:sz="0" w:space="0" w:color="auto"/>
      </w:divBdr>
    </w:div>
    <w:div w:id="1811828524">
      <w:bodyDiv w:val="1"/>
      <w:marLeft w:val="0"/>
      <w:marRight w:val="0"/>
      <w:marTop w:val="0"/>
      <w:marBottom w:val="0"/>
      <w:divBdr>
        <w:top w:val="none" w:sz="0" w:space="0" w:color="auto"/>
        <w:left w:val="none" w:sz="0" w:space="0" w:color="auto"/>
        <w:bottom w:val="none" w:sz="0" w:space="0" w:color="auto"/>
        <w:right w:val="none" w:sz="0" w:space="0" w:color="auto"/>
      </w:divBdr>
    </w:div>
    <w:div w:id="1812089266">
      <w:bodyDiv w:val="1"/>
      <w:marLeft w:val="0"/>
      <w:marRight w:val="0"/>
      <w:marTop w:val="0"/>
      <w:marBottom w:val="0"/>
      <w:divBdr>
        <w:top w:val="none" w:sz="0" w:space="0" w:color="auto"/>
        <w:left w:val="none" w:sz="0" w:space="0" w:color="auto"/>
        <w:bottom w:val="none" w:sz="0" w:space="0" w:color="auto"/>
        <w:right w:val="none" w:sz="0" w:space="0" w:color="auto"/>
      </w:divBdr>
    </w:div>
    <w:div w:id="1812212854">
      <w:bodyDiv w:val="1"/>
      <w:marLeft w:val="0"/>
      <w:marRight w:val="0"/>
      <w:marTop w:val="0"/>
      <w:marBottom w:val="0"/>
      <w:divBdr>
        <w:top w:val="none" w:sz="0" w:space="0" w:color="auto"/>
        <w:left w:val="none" w:sz="0" w:space="0" w:color="auto"/>
        <w:bottom w:val="none" w:sz="0" w:space="0" w:color="auto"/>
        <w:right w:val="none" w:sz="0" w:space="0" w:color="auto"/>
      </w:divBdr>
    </w:div>
    <w:div w:id="1812287465">
      <w:bodyDiv w:val="1"/>
      <w:marLeft w:val="0"/>
      <w:marRight w:val="0"/>
      <w:marTop w:val="0"/>
      <w:marBottom w:val="0"/>
      <w:divBdr>
        <w:top w:val="none" w:sz="0" w:space="0" w:color="auto"/>
        <w:left w:val="none" w:sz="0" w:space="0" w:color="auto"/>
        <w:bottom w:val="none" w:sz="0" w:space="0" w:color="auto"/>
        <w:right w:val="none" w:sz="0" w:space="0" w:color="auto"/>
      </w:divBdr>
    </w:div>
    <w:div w:id="1812403311">
      <w:bodyDiv w:val="1"/>
      <w:marLeft w:val="0"/>
      <w:marRight w:val="0"/>
      <w:marTop w:val="0"/>
      <w:marBottom w:val="0"/>
      <w:divBdr>
        <w:top w:val="none" w:sz="0" w:space="0" w:color="auto"/>
        <w:left w:val="none" w:sz="0" w:space="0" w:color="auto"/>
        <w:bottom w:val="none" w:sz="0" w:space="0" w:color="auto"/>
        <w:right w:val="none" w:sz="0" w:space="0" w:color="auto"/>
      </w:divBdr>
    </w:div>
    <w:div w:id="1812557981">
      <w:bodyDiv w:val="1"/>
      <w:marLeft w:val="0"/>
      <w:marRight w:val="0"/>
      <w:marTop w:val="0"/>
      <w:marBottom w:val="0"/>
      <w:divBdr>
        <w:top w:val="none" w:sz="0" w:space="0" w:color="auto"/>
        <w:left w:val="none" w:sz="0" w:space="0" w:color="auto"/>
        <w:bottom w:val="none" w:sz="0" w:space="0" w:color="auto"/>
        <w:right w:val="none" w:sz="0" w:space="0" w:color="auto"/>
      </w:divBdr>
    </w:div>
    <w:div w:id="1812677501">
      <w:bodyDiv w:val="1"/>
      <w:marLeft w:val="0"/>
      <w:marRight w:val="0"/>
      <w:marTop w:val="0"/>
      <w:marBottom w:val="0"/>
      <w:divBdr>
        <w:top w:val="none" w:sz="0" w:space="0" w:color="auto"/>
        <w:left w:val="none" w:sz="0" w:space="0" w:color="auto"/>
        <w:bottom w:val="none" w:sz="0" w:space="0" w:color="auto"/>
        <w:right w:val="none" w:sz="0" w:space="0" w:color="auto"/>
      </w:divBdr>
    </w:div>
    <w:div w:id="1812791681">
      <w:bodyDiv w:val="1"/>
      <w:marLeft w:val="0"/>
      <w:marRight w:val="0"/>
      <w:marTop w:val="0"/>
      <w:marBottom w:val="0"/>
      <w:divBdr>
        <w:top w:val="none" w:sz="0" w:space="0" w:color="auto"/>
        <w:left w:val="none" w:sz="0" w:space="0" w:color="auto"/>
        <w:bottom w:val="none" w:sz="0" w:space="0" w:color="auto"/>
        <w:right w:val="none" w:sz="0" w:space="0" w:color="auto"/>
      </w:divBdr>
    </w:div>
    <w:div w:id="1812822248">
      <w:bodyDiv w:val="1"/>
      <w:marLeft w:val="0"/>
      <w:marRight w:val="0"/>
      <w:marTop w:val="0"/>
      <w:marBottom w:val="0"/>
      <w:divBdr>
        <w:top w:val="none" w:sz="0" w:space="0" w:color="auto"/>
        <w:left w:val="none" w:sz="0" w:space="0" w:color="auto"/>
        <w:bottom w:val="none" w:sz="0" w:space="0" w:color="auto"/>
        <w:right w:val="none" w:sz="0" w:space="0" w:color="auto"/>
      </w:divBdr>
    </w:div>
    <w:div w:id="1812940518">
      <w:bodyDiv w:val="1"/>
      <w:marLeft w:val="0"/>
      <w:marRight w:val="0"/>
      <w:marTop w:val="0"/>
      <w:marBottom w:val="0"/>
      <w:divBdr>
        <w:top w:val="none" w:sz="0" w:space="0" w:color="auto"/>
        <w:left w:val="none" w:sz="0" w:space="0" w:color="auto"/>
        <w:bottom w:val="none" w:sz="0" w:space="0" w:color="auto"/>
        <w:right w:val="none" w:sz="0" w:space="0" w:color="auto"/>
      </w:divBdr>
    </w:div>
    <w:div w:id="1813020342">
      <w:bodyDiv w:val="1"/>
      <w:marLeft w:val="0"/>
      <w:marRight w:val="0"/>
      <w:marTop w:val="0"/>
      <w:marBottom w:val="0"/>
      <w:divBdr>
        <w:top w:val="none" w:sz="0" w:space="0" w:color="auto"/>
        <w:left w:val="none" w:sz="0" w:space="0" w:color="auto"/>
        <w:bottom w:val="none" w:sz="0" w:space="0" w:color="auto"/>
        <w:right w:val="none" w:sz="0" w:space="0" w:color="auto"/>
      </w:divBdr>
    </w:div>
    <w:div w:id="1813020423">
      <w:bodyDiv w:val="1"/>
      <w:marLeft w:val="0"/>
      <w:marRight w:val="0"/>
      <w:marTop w:val="0"/>
      <w:marBottom w:val="0"/>
      <w:divBdr>
        <w:top w:val="none" w:sz="0" w:space="0" w:color="auto"/>
        <w:left w:val="none" w:sz="0" w:space="0" w:color="auto"/>
        <w:bottom w:val="none" w:sz="0" w:space="0" w:color="auto"/>
        <w:right w:val="none" w:sz="0" w:space="0" w:color="auto"/>
      </w:divBdr>
    </w:div>
    <w:div w:id="1813129734">
      <w:bodyDiv w:val="1"/>
      <w:marLeft w:val="0"/>
      <w:marRight w:val="0"/>
      <w:marTop w:val="0"/>
      <w:marBottom w:val="0"/>
      <w:divBdr>
        <w:top w:val="none" w:sz="0" w:space="0" w:color="auto"/>
        <w:left w:val="none" w:sz="0" w:space="0" w:color="auto"/>
        <w:bottom w:val="none" w:sz="0" w:space="0" w:color="auto"/>
        <w:right w:val="none" w:sz="0" w:space="0" w:color="auto"/>
      </w:divBdr>
    </w:div>
    <w:div w:id="1813207258">
      <w:bodyDiv w:val="1"/>
      <w:marLeft w:val="0"/>
      <w:marRight w:val="0"/>
      <w:marTop w:val="0"/>
      <w:marBottom w:val="0"/>
      <w:divBdr>
        <w:top w:val="none" w:sz="0" w:space="0" w:color="auto"/>
        <w:left w:val="none" w:sz="0" w:space="0" w:color="auto"/>
        <w:bottom w:val="none" w:sz="0" w:space="0" w:color="auto"/>
        <w:right w:val="none" w:sz="0" w:space="0" w:color="auto"/>
      </w:divBdr>
    </w:div>
    <w:div w:id="1813209488">
      <w:bodyDiv w:val="1"/>
      <w:marLeft w:val="0"/>
      <w:marRight w:val="0"/>
      <w:marTop w:val="0"/>
      <w:marBottom w:val="0"/>
      <w:divBdr>
        <w:top w:val="none" w:sz="0" w:space="0" w:color="auto"/>
        <w:left w:val="none" w:sz="0" w:space="0" w:color="auto"/>
        <w:bottom w:val="none" w:sz="0" w:space="0" w:color="auto"/>
        <w:right w:val="none" w:sz="0" w:space="0" w:color="auto"/>
      </w:divBdr>
    </w:div>
    <w:div w:id="1813255012">
      <w:bodyDiv w:val="1"/>
      <w:marLeft w:val="0"/>
      <w:marRight w:val="0"/>
      <w:marTop w:val="0"/>
      <w:marBottom w:val="0"/>
      <w:divBdr>
        <w:top w:val="none" w:sz="0" w:space="0" w:color="auto"/>
        <w:left w:val="none" w:sz="0" w:space="0" w:color="auto"/>
        <w:bottom w:val="none" w:sz="0" w:space="0" w:color="auto"/>
        <w:right w:val="none" w:sz="0" w:space="0" w:color="auto"/>
      </w:divBdr>
    </w:div>
    <w:div w:id="1813257118">
      <w:bodyDiv w:val="1"/>
      <w:marLeft w:val="0"/>
      <w:marRight w:val="0"/>
      <w:marTop w:val="0"/>
      <w:marBottom w:val="0"/>
      <w:divBdr>
        <w:top w:val="none" w:sz="0" w:space="0" w:color="auto"/>
        <w:left w:val="none" w:sz="0" w:space="0" w:color="auto"/>
        <w:bottom w:val="none" w:sz="0" w:space="0" w:color="auto"/>
        <w:right w:val="none" w:sz="0" w:space="0" w:color="auto"/>
      </w:divBdr>
    </w:div>
    <w:div w:id="1813281126">
      <w:bodyDiv w:val="1"/>
      <w:marLeft w:val="0"/>
      <w:marRight w:val="0"/>
      <w:marTop w:val="0"/>
      <w:marBottom w:val="0"/>
      <w:divBdr>
        <w:top w:val="none" w:sz="0" w:space="0" w:color="auto"/>
        <w:left w:val="none" w:sz="0" w:space="0" w:color="auto"/>
        <w:bottom w:val="none" w:sz="0" w:space="0" w:color="auto"/>
        <w:right w:val="none" w:sz="0" w:space="0" w:color="auto"/>
      </w:divBdr>
    </w:div>
    <w:div w:id="1813398996">
      <w:bodyDiv w:val="1"/>
      <w:marLeft w:val="0"/>
      <w:marRight w:val="0"/>
      <w:marTop w:val="0"/>
      <w:marBottom w:val="0"/>
      <w:divBdr>
        <w:top w:val="none" w:sz="0" w:space="0" w:color="auto"/>
        <w:left w:val="none" w:sz="0" w:space="0" w:color="auto"/>
        <w:bottom w:val="none" w:sz="0" w:space="0" w:color="auto"/>
        <w:right w:val="none" w:sz="0" w:space="0" w:color="auto"/>
      </w:divBdr>
    </w:div>
    <w:div w:id="1813598811">
      <w:bodyDiv w:val="1"/>
      <w:marLeft w:val="0"/>
      <w:marRight w:val="0"/>
      <w:marTop w:val="0"/>
      <w:marBottom w:val="0"/>
      <w:divBdr>
        <w:top w:val="none" w:sz="0" w:space="0" w:color="auto"/>
        <w:left w:val="none" w:sz="0" w:space="0" w:color="auto"/>
        <w:bottom w:val="none" w:sz="0" w:space="0" w:color="auto"/>
        <w:right w:val="none" w:sz="0" w:space="0" w:color="auto"/>
      </w:divBdr>
    </w:div>
    <w:div w:id="1813714391">
      <w:bodyDiv w:val="1"/>
      <w:marLeft w:val="0"/>
      <w:marRight w:val="0"/>
      <w:marTop w:val="0"/>
      <w:marBottom w:val="0"/>
      <w:divBdr>
        <w:top w:val="none" w:sz="0" w:space="0" w:color="auto"/>
        <w:left w:val="none" w:sz="0" w:space="0" w:color="auto"/>
        <w:bottom w:val="none" w:sz="0" w:space="0" w:color="auto"/>
        <w:right w:val="none" w:sz="0" w:space="0" w:color="auto"/>
      </w:divBdr>
    </w:div>
    <w:div w:id="1813717687">
      <w:bodyDiv w:val="1"/>
      <w:marLeft w:val="0"/>
      <w:marRight w:val="0"/>
      <w:marTop w:val="0"/>
      <w:marBottom w:val="0"/>
      <w:divBdr>
        <w:top w:val="none" w:sz="0" w:space="0" w:color="auto"/>
        <w:left w:val="none" w:sz="0" w:space="0" w:color="auto"/>
        <w:bottom w:val="none" w:sz="0" w:space="0" w:color="auto"/>
        <w:right w:val="none" w:sz="0" w:space="0" w:color="auto"/>
      </w:divBdr>
    </w:div>
    <w:div w:id="1813792223">
      <w:bodyDiv w:val="1"/>
      <w:marLeft w:val="0"/>
      <w:marRight w:val="0"/>
      <w:marTop w:val="0"/>
      <w:marBottom w:val="0"/>
      <w:divBdr>
        <w:top w:val="none" w:sz="0" w:space="0" w:color="auto"/>
        <w:left w:val="none" w:sz="0" w:space="0" w:color="auto"/>
        <w:bottom w:val="none" w:sz="0" w:space="0" w:color="auto"/>
        <w:right w:val="none" w:sz="0" w:space="0" w:color="auto"/>
      </w:divBdr>
    </w:div>
    <w:div w:id="1814102818">
      <w:bodyDiv w:val="1"/>
      <w:marLeft w:val="0"/>
      <w:marRight w:val="0"/>
      <w:marTop w:val="0"/>
      <w:marBottom w:val="0"/>
      <w:divBdr>
        <w:top w:val="none" w:sz="0" w:space="0" w:color="auto"/>
        <w:left w:val="none" w:sz="0" w:space="0" w:color="auto"/>
        <w:bottom w:val="none" w:sz="0" w:space="0" w:color="auto"/>
        <w:right w:val="none" w:sz="0" w:space="0" w:color="auto"/>
      </w:divBdr>
    </w:div>
    <w:div w:id="1814104224">
      <w:bodyDiv w:val="1"/>
      <w:marLeft w:val="0"/>
      <w:marRight w:val="0"/>
      <w:marTop w:val="0"/>
      <w:marBottom w:val="0"/>
      <w:divBdr>
        <w:top w:val="none" w:sz="0" w:space="0" w:color="auto"/>
        <w:left w:val="none" w:sz="0" w:space="0" w:color="auto"/>
        <w:bottom w:val="none" w:sz="0" w:space="0" w:color="auto"/>
        <w:right w:val="none" w:sz="0" w:space="0" w:color="auto"/>
      </w:divBdr>
    </w:div>
    <w:div w:id="1814132816">
      <w:bodyDiv w:val="1"/>
      <w:marLeft w:val="0"/>
      <w:marRight w:val="0"/>
      <w:marTop w:val="0"/>
      <w:marBottom w:val="0"/>
      <w:divBdr>
        <w:top w:val="none" w:sz="0" w:space="0" w:color="auto"/>
        <w:left w:val="none" w:sz="0" w:space="0" w:color="auto"/>
        <w:bottom w:val="none" w:sz="0" w:space="0" w:color="auto"/>
        <w:right w:val="none" w:sz="0" w:space="0" w:color="auto"/>
      </w:divBdr>
    </w:div>
    <w:div w:id="1814325588">
      <w:bodyDiv w:val="1"/>
      <w:marLeft w:val="0"/>
      <w:marRight w:val="0"/>
      <w:marTop w:val="0"/>
      <w:marBottom w:val="0"/>
      <w:divBdr>
        <w:top w:val="none" w:sz="0" w:space="0" w:color="auto"/>
        <w:left w:val="none" w:sz="0" w:space="0" w:color="auto"/>
        <w:bottom w:val="none" w:sz="0" w:space="0" w:color="auto"/>
        <w:right w:val="none" w:sz="0" w:space="0" w:color="auto"/>
      </w:divBdr>
    </w:div>
    <w:div w:id="1814325968">
      <w:bodyDiv w:val="1"/>
      <w:marLeft w:val="0"/>
      <w:marRight w:val="0"/>
      <w:marTop w:val="0"/>
      <w:marBottom w:val="0"/>
      <w:divBdr>
        <w:top w:val="none" w:sz="0" w:space="0" w:color="auto"/>
        <w:left w:val="none" w:sz="0" w:space="0" w:color="auto"/>
        <w:bottom w:val="none" w:sz="0" w:space="0" w:color="auto"/>
        <w:right w:val="none" w:sz="0" w:space="0" w:color="auto"/>
      </w:divBdr>
    </w:div>
    <w:div w:id="1814365163">
      <w:bodyDiv w:val="1"/>
      <w:marLeft w:val="0"/>
      <w:marRight w:val="0"/>
      <w:marTop w:val="0"/>
      <w:marBottom w:val="0"/>
      <w:divBdr>
        <w:top w:val="none" w:sz="0" w:space="0" w:color="auto"/>
        <w:left w:val="none" w:sz="0" w:space="0" w:color="auto"/>
        <w:bottom w:val="none" w:sz="0" w:space="0" w:color="auto"/>
        <w:right w:val="none" w:sz="0" w:space="0" w:color="auto"/>
      </w:divBdr>
    </w:div>
    <w:div w:id="1814374494">
      <w:bodyDiv w:val="1"/>
      <w:marLeft w:val="0"/>
      <w:marRight w:val="0"/>
      <w:marTop w:val="0"/>
      <w:marBottom w:val="0"/>
      <w:divBdr>
        <w:top w:val="none" w:sz="0" w:space="0" w:color="auto"/>
        <w:left w:val="none" w:sz="0" w:space="0" w:color="auto"/>
        <w:bottom w:val="none" w:sz="0" w:space="0" w:color="auto"/>
        <w:right w:val="none" w:sz="0" w:space="0" w:color="auto"/>
      </w:divBdr>
    </w:div>
    <w:div w:id="1814565122">
      <w:bodyDiv w:val="1"/>
      <w:marLeft w:val="0"/>
      <w:marRight w:val="0"/>
      <w:marTop w:val="0"/>
      <w:marBottom w:val="0"/>
      <w:divBdr>
        <w:top w:val="none" w:sz="0" w:space="0" w:color="auto"/>
        <w:left w:val="none" w:sz="0" w:space="0" w:color="auto"/>
        <w:bottom w:val="none" w:sz="0" w:space="0" w:color="auto"/>
        <w:right w:val="none" w:sz="0" w:space="0" w:color="auto"/>
      </w:divBdr>
    </w:div>
    <w:div w:id="1814565610">
      <w:bodyDiv w:val="1"/>
      <w:marLeft w:val="0"/>
      <w:marRight w:val="0"/>
      <w:marTop w:val="0"/>
      <w:marBottom w:val="0"/>
      <w:divBdr>
        <w:top w:val="none" w:sz="0" w:space="0" w:color="auto"/>
        <w:left w:val="none" w:sz="0" w:space="0" w:color="auto"/>
        <w:bottom w:val="none" w:sz="0" w:space="0" w:color="auto"/>
        <w:right w:val="none" w:sz="0" w:space="0" w:color="auto"/>
      </w:divBdr>
    </w:div>
    <w:div w:id="1814711606">
      <w:bodyDiv w:val="1"/>
      <w:marLeft w:val="0"/>
      <w:marRight w:val="0"/>
      <w:marTop w:val="0"/>
      <w:marBottom w:val="0"/>
      <w:divBdr>
        <w:top w:val="none" w:sz="0" w:space="0" w:color="auto"/>
        <w:left w:val="none" w:sz="0" w:space="0" w:color="auto"/>
        <w:bottom w:val="none" w:sz="0" w:space="0" w:color="auto"/>
        <w:right w:val="none" w:sz="0" w:space="0" w:color="auto"/>
      </w:divBdr>
    </w:div>
    <w:div w:id="1814906096">
      <w:bodyDiv w:val="1"/>
      <w:marLeft w:val="0"/>
      <w:marRight w:val="0"/>
      <w:marTop w:val="0"/>
      <w:marBottom w:val="0"/>
      <w:divBdr>
        <w:top w:val="none" w:sz="0" w:space="0" w:color="auto"/>
        <w:left w:val="none" w:sz="0" w:space="0" w:color="auto"/>
        <w:bottom w:val="none" w:sz="0" w:space="0" w:color="auto"/>
        <w:right w:val="none" w:sz="0" w:space="0" w:color="auto"/>
      </w:divBdr>
    </w:div>
    <w:div w:id="1814910649">
      <w:bodyDiv w:val="1"/>
      <w:marLeft w:val="0"/>
      <w:marRight w:val="0"/>
      <w:marTop w:val="0"/>
      <w:marBottom w:val="0"/>
      <w:divBdr>
        <w:top w:val="none" w:sz="0" w:space="0" w:color="auto"/>
        <w:left w:val="none" w:sz="0" w:space="0" w:color="auto"/>
        <w:bottom w:val="none" w:sz="0" w:space="0" w:color="auto"/>
        <w:right w:val="none" w:sz="0" w:space="0" w:color="auto"/>
      </w:divBdr>
    </w:div>
    <w:div w:id="1815021628">
      <w:bodyDiv w:val="1"/>
      <w:marLeft w:val="0"/>
      <w:marRight w:val="0"/>
      <w:marTop w:val="0"/>
      <w:marBottom w:val="0"/>
      <w:divBdr>
        <w:top w:val="none" w:sz="0" w:space="0" w:color="auto"/>
        <w:left w:val="none" w:sz="0" w:space="0" w:color="auto"/>
        <w:bottom w:val="none" w:sz="0" w:space="0" w:color="auto"/>
        <w:right w:val="none" w:sz="0" w:space="0" w:color="auto"/>
      </w:divBdr>
    </w:div>
    <w:div w:id="1815021754">
      <w:bodyDiv w:val="1"/>
      <w:marLeft w:val="0"/>
      <w:marRight w:val="0"/>
      <w:marTop w:val="0"/>
      <w:marBottom w:val="0"/>
      <w:divBdr>
        <w:top w:val="none" w:sz="0" w:space="0" w:color="auto"/>
        <w:left w:val="none" w:sz="0" w:space="0" w:color="auto"/>
        <w:bottom w:val="none" w:sz="0" w:space="0" w:color="auto"/>
        <w:right w:val="none" w:sz="0" w:space="0" w:color="auto"/>
      </w:divBdr>
    </w:div>
    <w:div w:id="1815174620">
      <w:bodyDiv w:val="1"/>
      <w:marLeft w:val="0"/>
      <w:marRight w:val="0"/>
      <w:marTop w:val="0"/>
      <w:marBottom w:val="0"/>
      <w:divBdr>
        <w:top w:val="none" w:sz="0" w:space="0" w:color="auto"/>
        <w:left w:val="none" w:sz="0" w:space="0" w:color="auto"/>
        <w:bottom w:val="none" w:sz="0" w:space="0" w:color="auto"/>
        <w:right w:val="none" w:sz="0" w:space="0" w:color="auto"/>
      </w:divBdr>
    </w:div>
    <w:div w:id="1815218541">
      <w:bodyDiv w:val="1"/>
      <w:marLeft w:val="0"/>
      <w:marRight w:val="0"/>
      <w:marTop w:val="0"/>
      <w:marBottom w:val="0"/>
      <w:divBdr>
        <w:top w:val="none" w:sz="0" w:space="0" w:color="auto"/>
        <w:left w:val="none" w:sz="0" w:space="0" w:color="auto"/>
        <w:bottom w:val="none" w:sz="0" w:space="0" w:color="auto"/>
        <w:right w:val="none" w:sz="0" w:space="0" w:color="auto"/>
      </w:divBdr>
    </w:div>
    <w:div w:id="1815368505">
      <w:bodyDiv w:val="1"/>
      <w:marLeft w:val="0"/>
      <w:marRight w:val="0"/>
      <w:marTop w:val="0"/>
      <w:marBottom w:val="0"/>
      <w:divBdr>
        <w:top w:val="none" w:sz="0" w:space="0" w:color="auto"/>
        <w:left w:val="none" w:sz="0" w:space="0" w:color="auto"/>
        <w:bottom w:val="none" w:sz="0" w:space="0" w:color="auto"/>
        <w:right w:val="none" w:sz="0" w:space="0" w:color="auto"/>
      </w:divBdr>
    </w:div>
    <w:div w:id="1815483947">
      <w:bodyDiv w:val="1"/>
      <w:marLeft w:val="0"/>
      <w:marRight w:val="0"/>
      <w:marTop w:val="0"/>
      <w:marBottom w:val="0"/>
      <w:divBdr>
        <w:top w:val="none" w:sz="0" w:space="0" w:color="auto"/>
        <w:left w:val="none" w:sz="0" w:space="0" w:color="auto"/>
        <w:bottom w:val="none" w:sz="0" w:space="0" w:color="auto"/>
        <w:right w:val="none" w:sz="0" w:space="0" w:color="auto"/>
      </w:divBdr>
    </w:div>
    <w:div w:id="1815486364">
      <w:bodyDiv w:val="1"/>
      <w:marLeft w:val="0"/>
      <w:marRight w:val="0"/>
      <w:marTop w:val="0"/>
      <w:marBottom w:val="0"/>
      <w:divBdr>
        <w:top w:val="none" w:sz="0" w:space="0" w:color="auto"/>
        <w:left w:val="none" w:sz="0" w:space="0" w:color="auto"/>
        <w:bottom w:val="none" w:sz="0" w:space="0" w:color="auto"/>
        <w:right w:val="none" w:sz="0" w:space="0" w:color="auto"/>
      </w:divBdr>
    </w:div>
    <w:div w:id="1815486495">
      <w:bodyDiv w:val="1"/>
      <w:marLeft w:val="0"/>
      <w:marRight w:val="0"/>
      <w:marTop w:val="0"/>
      <w:marBottom w:val="0"/>
      <w:divBdr>
        <w:top w:val="none" w:sz="0" w:space="0" w:color="auto"/>
        <w:left w:val="none" w:sz="0" w:space="0" w:color="auto"/>
        <w:bottom w:val="none" w:sz="0" w:space="0" w:color="auto"/>
        <w:right w:val="none" w:sz="0" w:space="0" w:color="auto"/>
      </w:divBdr>
    </w:div>
    <w:div w:id="1815490953">
      <w:bodyDiv w:val="1"/>
      <w:marLeft w:val="0"/>
      <w:marRight w:val="0"/>
      <w:marTop w:val="0"/>
      <w:marBottom w:val="0"/>
      <w:divBdr>
        <w:top w:val="none" w:sz="0" w:space="0" w:color="auto"/>
        <w:left w:val="none" w:sz="0" w:space="0" w:color="auto"/>
        <w:bottom w:val="none" w:sz="0" w:space="0" w:color="auto"/>
        <w:right w:val="none" w:sz="0" w:space="0" w:color="auto"/>
      </w:divBdr>
    </w:div>
    <w:div w:id="1815560791">
      <w:bodyDiv w:val="1"/>
      <w:marLeft w:val="0"/>
      <w:marRight w:val="0"/>
      <w:marTop w:val="0"/>
      <w:marBottom w:val="0"/>
      <w:divBdr>
        <w:top w:val="none" w:sz="0" w:space="0" w:color="auto"/>
        <w:left w:val="none" w:sz="0" w:space="0" w:color="auto"/>
        <w:bottom w:val="none" w:sz="0" w:space="0" w:color="auto"/>
        <w:right w:val="none" w:sz="0" w:space="0" w:color="auto"/>
      </w:divBdr>
    </w:div>
    <w:div w:id="1815565367">
      <w:bodyDiv w:val="1"/>
      <w:marLeft w:val="0"/>
      <w:marRight w:val="0"/>
      <w:marTop w:val="0"/>
      <w:marBottom w:val="0"/>
      <w:divBdr>
        <w:top w:val="none" w:sz="0" w:space="0" w:color="auto"/>
        <w:left w:val="none" w:sz="0" w:space="0" w:color="auto"/>
        <w:bottom w:val="none" w:sz="0" w:space="0" w:color="auto"/>
        <w:right w:val="none" w:sz="0" w:space="0" w:color="auto"/>
      </w:divBdr>
    </w:div>
    <w:div w:id="1815684988">
      <w:bodyDiv w:val="1"/>
      <w:marLeft w:val="0"/>
      <w:marRight w:val="0"/>
      <w:marTop w:val="0"/>
      <w:marBottom w:val="0"/>
      <w:divBdr>
        <w:top w:val="none" w:sz="0" w:space="0" w:color="auto"/>
        <w:left w:val="none" w:sz="0" w:space="0" w:color="auto"/>
        <w:bottom w:val="none" w:sz="0" w:space="0" w:color="auto"/>
        <w:right w:val="none" w:sz="0" w:space="0" w:color="auto"/>
      </w:divBdr>
    </w:div>
    <w:div w:id="1815759476">
      <w:bodyDiv w:val="1"/>
      <w:marLeft w:val="0"/>
      <w:marRight w:val="0"/>
      <w:marTop w:val="0"/>
      <w:marBottom w:val="0"/>
      <w:divBdr>
        <w:top w:val="none" w:sz="0" w:space="0" w:color="auto"/>
        <w:left w:val="none" w:sz="0" w:space="0" w:color="auto"/>
        <w:bottom w:val="none" w:sz="0" w:space="0" w:color="auto"/>
        <w:right w:val="none" w:sz="0" w:space="0" w:color="auto"/>
      </w:divBdr>
    </w:div>
    <w:div w:id="1815827483">
      <w:bodyDiv w:val="1"/>
      <w:marLeft w:val="0"/>
      <w:marRight w:val="0"/>
      <w:marTop w:val="0"/>
      <w:marBottom w:val="0"/>
      <w:divBdr>
        <w:top w:val="none" w:sz="0" w:space="0" w:color="auto"/>
        <w:left w:val="none" w:sz="0" w:space="0" w:color="auto"/>
        <w:bottom w:val="none" w:sz="0" w:space="0" w:color="auto"/>
        <w:right w:val="none" w:sz="0" w:space="0" w:color="auto"/>
      </w:divBdr>
    </w:div>
    <w:div w:id="1815873695">
      <w:bodyDiv w:val="1"/>
      <w:marLeft w:val="0"/>
      <w:marRight w:val="0"/>
      <w:marTop w:val="0"/>
      <w:marBottom w:val="0"/>
      <w:divBdr>
        <w:top w:val="none" w:sz="0" w:space="0" w:color="auto"/>
        <w:left w:val="none" w:sz="0" w:space="0" w:color="auto"/>
        <w:bottom w:val="none" w:sz="0" w:space="0" w:color="auto"/>
        <w:right w:val="none" w:sz="0" w:space="0" w:color="auto"/>
      </w:divBdr>
    </w:div>
    <w:div w:id="1815876861">
      <w:bodyDiv w:val="1"/>
      <w:marLeft w:val="0"/>
      <w:marRight w:val="0"/>
      <w:marTop w:val="0"/>
      <w:marBottom w:val="0"/>
      <w:divBdr>
        <w:top w:val="none" w:sz="0" w:space="0" w:color="auto"/>
        <w:left w:val="none" w:sz="0" w:space="0" w:color="auto"/>
        <w:bottom w:val="none" w:sz="0" w:space="0" w:color="auto"/>
        <w:right w:val="none" w:sz="0" w:space="0" w:color="auto"/>
      </w:divBdr>
    </w:div>
    <w:div w:id="1816024125">
      <w:bodyDiv w:val="1"/>
      <w:marLeft w:val="0"/>
      <w:marRight w:val="0"/>
      <w:marTop w:val="0"/>
      <w:marBottom w:val="0"/>
      <w:divBdr>
        <w:top w:val="none" w:sz="0" w:space="0" w:color="auto"/>
        <w:left w:val="none" w:sz="0" w:space="0" w:color="auto"/>
        <w:bottom w:val="none" w:sz="0" w:space="0" w:color="auto"/>
        <w:right w:val="none" w:sz="0" w:space="0" w:color="auto"/>
      </w:divBdr>
    </w:div>
    <w:div w:id="1816095158">
      <w:bodyDiv w:val="1"/>
      <w:marLeft w:val="0"/>
      <w:marRight w:val="0"/>
      <w:marTop w:val="0"/>
      <w:marBottom w:val="0"/>
      <w:divBdr>
        <w:top w:val="none" w:sz="0" w:space="0" w:color="auto"/>
        <w:left w:val="none" w:sz="0" w:space="0" w:color="auto"/>
        <w:bottom w:val="none" w:sz="0" w:space="0" w:color="auto"/>
        <w:right w:val="none" w:sz="0" w:space="0" w:color="auto"/>
      </w:divBdr>
    </w:div>
    <w:div w:id="1816096856">
      <w:bodyDiv w:val="1"/>
      <w:marLeft w:val="0"/>
      <w:marRight w:val="0"/>
      <w:marTop w:val="0"/>
      <w:marBottom w:val="0"/>
      <w:divBdr>
        <w:top w:val="none" w:sz="0" w:space="0" w:color="auto"/>
        <w:left w:val="none" w:sz="0" w:space="0" w:color="auto"/>
        <w:bottom w:val="none" w:sz="0" w:space="0" w:color="auto"/>
        <w:right w:val="none" w:sz="0" w:space="0" w:color="auto"/>
      </w:divBdr>
    </w:div>
    <w:div w:id="1816213167">
      <w:bodyDiv w:val="1"/>
      <w:marLeft w:val="0"/>
      <w:marRight w:val="0"/>
      <w:marTop w:val="0"/>
      <w:marBottom w:val="0"/>
      <w:divBdr>
        <w:top w:val="none" w:sz="0" w:space="0" w:color="auto"/>
        <w:left w:val="none" w:sz="0" w:space="0" w:color="auto"/>
        <w:bottom w:val="none" w:sz="0" w:space="0" w:color="auto"/>
        <w:right w:val="none" w:sz="0" w:space="0" w:color="auto"/>
      </w:divBdr>
    </w:div>
    <w:div w:id="1816215439">
      <w:bodyDiv w:val="1"/>
      <w:marLeft w:val="0"/>
      <w:marRight w:val="0"/>
      <w:marTop w:val="0"/>
      <w:marBottom w:val="0"/>
      <w:divBdr>
        <w:top w:val="none" w:sz="0" w:space="0" w:color="auto"/>
        <w:left w:val="none" w:sz="0" w:space="0" w:color="auto"/>
        <w:bottom w:val="none" w:sz="0" w:space="0" w:color="auto"/>
        <w:right w:val="none" w:sz="0" w:space="0" w:color="auto"/>
      </w:divBdr>
    </w:div>
    <w:div w:id="1816292642">
      <w:bodyDiv w:val="1"/>
      <w:marLeft w:val="0"/>
      <w:marRight w:val="0"/>
      <w:marTop w:val="0"/>
      <w:marBottom w:val="0"/>
      <w:divBdr>
        <w:top w:val="none" w:sz="0" w:space="0" w:color="auto"/>
        <w:left w:val="none" w:sz="0" w:space="0" w:color="auto"/>
        <w:bottom w:val="none" w:sz="0" w:space="0" w:color="auto"/>
        <w:right w:val="none" w:sz="0" w:space="0" w:color="auto"/>
      </w:divBdr>
    </w:div>
    <w:div w:id="1816294053">
      <w:bodyDiv w:val="1"/>
      <w:marLeft w:val="0"/>
      <w:marRight w:val="0"/>
      <w:marTop w:val="0"/>
      <w:marBottom w:val="0"/>
      <w:divBdr>
        <w:top w:val="none" w:sz="0" w:space="0" w:color="auto"/>
        <w:left w:val="none" w:sz="0" w:space="0" w:color="auto"/>
        <w:bottom w:val="none" w:sz="0" w:space="0" w:color="auto"/>
        <w:right w:val="none" w:sz="0" w:space="0" w:color="auto"/>
      </w:divBdr>
    </w:div>
    <w:div w:id="1816528033">
      <w:bodyDiv w:val="1"/>
      <w:marLeft w:val="0"/>
      <w:marRight w:val="0"/>
      <w:marTop w:val="0"/>
      <w:marBottom w:val="0"/>
      <w:divBdr>
        <w:top w:val="none" w:sz="0" w:space="0" w:color="auto"/>
        <w:left w:val="none" w:sz="0" w:space="0" w:color="auto"/>
        <w:bottom w:val="none" w:sz="0" w:space="0" w:color="auto"/>
        <w:right w:val="none" w:sz="0" w:space="0" w:color="auto"/>
      </w:divBdr>
    </w:div>
    <w:div w:id="1816605508">
      <w:bodyDiv w:val="1"/>
      <w:marLeft w:val="0"/>
      <w:marRight w:val="0"/>
      <w:marTop w:val="0"/>
      <w:marBottom w:val="0"/>
      <w:divBdr>
        <w:top w:val="none" w:sz="0" w:space="0" w:color="auto"/>
        <w:left w:val="none" w:sz="0" w:space="0" w:color="auto"/>
        <w:bottom w:val="none" w:sz="0" w:space="0" w:color="auto"/>
        <w:right w:val="none" w:sz="0" w:space="0" w:color="auto"/>
      </w:divBdr>
    </w:div>
    <w:div w:id="1816677012">
      <w:bodyDiv w:val="1"/>
      <w:marLeft w:val="0"/>
      <w:marRight w:val="0"/>
      <w:marTop w:val="0"/>
      <w:marBottom w:val="0"/>
      <w:divBdr>
        <w:top w:val="none" w:sz="0" w:space="0" w:color="auto"/>
        <w:left w:val="none" w:sz="0" w:space="0" w:color="auto"/>
        <w:bottom w:val="none" w:sz="0" w:space="0" w:color="auto"/>
        <w:right w:val="none" w:sz="0" w:space="0" w:color="auto"/>
      </w:divBdr>
    </w:div>
    <w:div w:id="1816868675">
      <w:bodyDiv w:val="1"/>
      <w:marLeft w:val="0"/>
      <w:marRight w:val="0"/>
      <w:marTop w:val="0"/>
      <w:marBottom w:val="0"/>
      <w:divBdr>
        <w:top w:val="none" w:sz="0" w:space="0" w:color="auto"/>
        <w:left w:val="none" w:sz="0" w:space="0" w:color="auto"/>
        <w:bottom w:val="none" w:sz="0" w:space="0" w:color="auto"/>
        <w:right w:val="none" w:sz="0" w:space="0" w:color="auto"/>
      </w:divBdr>
    </w:div>
    <w:div w:id="1816920307">
      <w:bodyDiv w:val="1"/>
      <w:marLeft w:val="0"/>
      <w:marRight w:val="0"/>
      <w:marTop w:val="0"/>
      <w:marBottom w:val="0"/>
      <w:divBdr>
        <w:top w:val="none" w:sz="0" w:space="0" w:color="auto"/>
        <w:left w:val="none" w:sz="0" w:space="0" w:color="auto"/>
        <w:bottom w:val="none" w:sz="0" w:space="0" w:color="auto"/>
        <w:right w:val="none" w:sz="0" w:space="0" w:color="auto"/>
      </w:divBdr>
    </w:div>
    <w:div w:id="1816951088">
      <w:bodyDiv w:val="1"/>
      <w:marLeft w:val="0"/>
      <w:marRight w:val="0"/>
      <w:marTop w:val="0"/>
      <w:marBottom w:val="0"/>
      <w:divBdr>
        <w:top w:val="none" w:sz="0" w:space="0" w:color="auto"/>
        <w:left w:val="none" w:sz="0" w:space="0" w:color="auto"/>
        <w:bottom w:val="none" w:sz="0" w:space="0" w:color="auto"/>
        <w:right w:val="none" w:sz="0" w:space="0" w:color="auto"/>
      </w:divBdr>
    </w:div>
    <w:div w:id="1816951861">
      <w:bodyDiv w:val="1"/>
      <w:marLeft w:val="0"/>
      <w:marRight w:val="0"/>
      <w:marTop w:val="0"/>
      <w:marBottom w:val="0"/>
      <w:divBdr>
        <w:top w:val="none" w:sz="0" w:space="0" w:color="auto"/>
        <w:left w:val="none" w:sz="0" w:space="0" w:color="auto"/>
        <w:bottom w:val="none" w:sz="0" w:space="0" w:color="auto"/>
        <w:right w:val="none" w:sz="0" w:space="0" w:color="auto"/>
      </w:divBdr>
    </w:div>
    <w:div w:id="1817258783">
      <w:bodyDiv w:val="1"/>
      <w:marLeft w:val="0"/>
      <w:marRight w:val="0"/>
      <w:marTop w:val="0"/>
      <w:marBottom w:val="0"/>
      <w:divBdr>
        <w:top w:val="none" w:sz="0" w:space="0" w:color="auto"/>
        <w:left w:val="none" w:sz="0" w:space="0" w:color="auto"/>
        <w:bottom w:val="none" w:sz="0" w:space="0" w:color="auto"/>
        <w:right w:val="none" w:sz="0" w:space="0" w:color="auto"/>
      </w:divBdr>
    </w:div>
    <w:div w:id="1817334434">
      <w:bodyDiv w:val="1"/>
      <w:marLeft w:val="0"/>
      <w:marRight w:val="0"/>
      <w:marTop w:val="0"/>
      <w:marBottom w:val="0"/>
      <w:divBdr>
        <w:top w:val="none" w:sz="0" w:space="0" w:color="auto"/>
        <w:left w:val="none" w:sz="0" w:space="0" w:color="auto"/>
        <w:bottom w:val="none" w:sz="0" w:space="0" w:color="auto"/>
        <w:right w:val="none" w:sz="0" w:space="0" w:color="auto"/>
      </w:divBdr>
    </w:div>
    <w:div w:id="1817336849">
      <w:bodyDiv w:val="1"/>
      <w:marLeft w:val="0"/>
      <w:marRight w:val="0"/>
      <w:marTop w:val="0"/>
      <w:marBottom w:val="0"/>
      <w:divBdr>
        <w:top w:val="none" w:sz="0" w:space="0" w:color="auto"/>
        <w:left w:val="none" w:sz="0" w:space="0" w:color="auto"/>
        <w:bottom w:val="none" w:sz="0" w:space="0" w:color="auto"/>
        <w:right w:val="none" w:sz="0" w:space="0" w:color="auto"/>
      </w:divBdr>
    </w:div>
    <w:div w:id="1817603870">
      <w:bodyDiv w:val="1"/>
      <w:marLeft w:val="0"/>
      <w:marRight w:val="0"/>
      <w:marTop w:val="0"/>
      <w:marBottom w:val="0"/>
      <w:divBdr>
        <w:top w:val="none" w:sz="0" w:space="0" w:color="auto"/>
        <w:left w:val="none" w:sz="0" w:space="0" w:color="auto"/>
        <w:bottom w:val="none" w:sz="0" w:space="0" w:color="auto"/>
        <w:right w:val="none" w:sz="0" w:space="0" w:color="auto"/>
      </w:divBdr>
    </w:div>
    <w:div w:id="1817642363">
      <w:bodyDiv w:val="1"/>
      <w:marLeft w:val="0"/>
      <w:marRight w:val="0"/>
      <w:marTop w:val="0"/>
      <w:marBottom w:val="0"/>
      <w:divBdr>
        <w:top w:val="none" w:sz="0" w:space="0" w:color="auto"/>
        <w:left w:val="none" w:sz="0" w:space="0" w:color="auto"/>
        <w:bottom w:val="none" w:sz="0" w:space="0" w:color="auto"/>
        <w:right w:val="none" w:sz="0" w:space="0" w:color="auto"/>
      </w:divBdr>
    </w:div>
    <w:div w:id="1817643591">
      <w:bodyDiv w:val="1"/>
      <w:marLeft w:val="0"/>
      <w:marRight w:val="0"/>
      <w:marTop w:val="0"/>
      <w:marBottom w:val="0"/>
      <w:divBdr>
        <w:top w:val="none" w:sz="0" w:space="0" w:color="auto"/>
        <w:left w:val="none" w:sz="0" w:space="0" w:color="auto"/>
        <w:bottom w:val="none" w:sz="0" w:space="0" w:color="auto"/>
        <w:right w:val="none" w:sz="0" w:space="0" w:color="auto"/>
      </w:divBdr>
    </w:div>
    <w:div w:id="1817646886">
      <w:bodyDiv w:val="1"/>
      <w:marLeft w:val="0"/>
      <w:marRight w:val="0"/>
      <w:marTop w:val="0"/>
      <w:marBottom w:val="0"/>
      <w:divBdr>
        <w:top w:val="none" w:sz="0" w:space="0" w:color="auto"/>
        <w:left w:val="none" w:sz="0" w:space="0" w:color="auto"/>
        <w:bottom w:val="none" w:sz="0" w:space="0" w:color="auto"/>
        <w:right w:val="none" w:sz="0" w:space="0" w:color="auto"/>
      </w:divBdr>
    </w:div>
    <w:div w:id="1817722546">
      <w:bodyDiv w:val="1"/>
      <w:marLeft w:val="0"/>
      <w:marRight w:val="0"/>
      <w:marTop w:val="0"/>
      <w:marBottom w:val="0"/>
      <w:divBdr>
        <w:top w:val="none" w:sz="0" w:space="0" w:color="auto"/>
        <w:left w:val="none" w:sz="0" w:space="0" w:color="auto"/>
        <w:bottom w:val="none" w:sz="0" w:space="0" w:color="auto"/>
        <w:right w:val="none" w:sz="0" w:space="0" w:color="auto"/>
      </w:divBdr>
    </w:div>
    <w:div w:id="1817724855">
      <w:bodyDiv w:val="1"/>
      <w:marLeft w:val="0"/>
      <w:marRight w:val="0"/>
      <w:marTop w:val="0"/>
      <w:marBottom w:val="0"/>
      <w:divBdr>
        <w:top w:val="none" w:sz="0" w:space="0" w:color="auto"/>
        <w:left w:val="none" w:sz="0" w:space="0" w:color="auto"/>
        <w:bottom w:val="none" w:sz="0" w:space="0" w:color="auto"/>
        <w:right w:val="none" w:sz="0" w:space="0" w:color="auto"/>
      </w:divBdr>
    </w:div>
    <w:div w:id="1817799043">
      <w:bodyDiv w:val="1"/>
      <w:marLeft w:val="0"/>
      <w:marRight w:val="0"/>
      <w:marTop w:val="0"/>
      <w:marBottom w:val="0"/>
      <w:divBdr>
        <w:top w:val="none" w:sz="0" w:space="0" w:color="auto"/>
        <w:left w:val="none" w:sz="0" w:space="0" w:color="auto"/>
        <w:bottom w:val="none" w:sz="0" w:space="0" w:color="auto"/>
        <w:right w:val="none" w:sz="0" w:space="0" w:color="auto"/>
      </w:divBdr>
    </w:div>
    <w:div w:id="1817801147">
      <w:bodyDiv w:val="1"/>
      <w:marLeft w:val="0"/>
      <w:marRight w:val="0"/>
      <w:marTop w:val="0"/>
      <w:marBottom w:val="0"/>
      <w:divBdr>
        <w:top w:val="none" w:sz="0" w:space="0" w:color="auto"/>
        <w:left w:val="none" w:sz="0" w:space="0" w:color="auto"/>
        <w:bottom w:val="none" w:sz="0" w:space="0" w:color="auto"/>
        <w:right w:val="none" w:sz="0" w:space="0" w:color="auto"/>
      </w:divBdr>
    </w:div>
    <w:div w:id="1817839693">
      <w:bodyDiv w:val="1"/>
      <w:marLeft w:val="0"/>
      <w:marRight w:val="0"/>
      <w:marTop w:val="0"/>
      <w:marBottom w:val="0"/>
      <w:divBdr>
        <w:top w:val="none" w:sz="0" w:space="0" w:color="auto"/>
        <w:left w:val="none" w:sz="0" w:space="0" w:color="auto"/>
        <w:bottom w:val="none" w:sz="0" w:space="0" w:color="auto"/>
        <w:right w:val="none" w:sz="0" w:space="0" w:color="auto"/>
      </w:divBdr>
    </w:div>
    <w:div w:id="1817915476">
      <w:bodyDiv w:val="1"/>
      <w:marLeft w:val="0"/>
      <w:marRight w:val="0"/>
      <w:marTop w:val="0"/>
      <w:marBottom w:val="0"/>
      <w:divBdr>
        <w:top w:val="none" w:sz="0" w:space="0" w:color="auto"/>
        <w:left w:val="none" w:sz="0" w:space="0" w:color="auto"/>
        <w:bottom w:val="none" w:sz="0" w:space="0" w:color="auto"/>
        <w:right w:val="none" w:sz="0" w:space="0" w:color="auto"/>
      </w:divBdr>
    </w:div>
    <w:div w:id="1817986845">
      <w:bodyDiv w:val="1"/>
      <w:marLeft w:val="0"/>
      <w:marRight w:val="0"/>
      <w:marTop w:val="0"/>
      <w:marBottom w:val="0"/>
      <w:divBdr>
        <w:top w:val="none" w:sz="0" w:space="0" w:color="auto"/>
        <w:left w:val="none" w:sz="0" w:space="0" w:color="auto"/>
        <w:bottom w:val="none" w:sz="0" w:space="0" w:color="auto"/>
        <w:right w:val="none" w:sz="0" w:space="0" w:color="auto"/>
      </w:divBdr>
    </w:div>
    <w:div w:id="1818186100">
      <w:bodyDiv w:val="1"/>
      <w:marLeft w:val="0"/>
      <w:marRight w:val="0"/>
      <w:marTop w:val="0"/>
      <w:marBottom w:val="0"/>
      <w:divBdr>
        <w:top w:val="none" w:sz="0" w:space="0" w:color="auto"/>
        <w:left w:val="none" w:sz="0" w:space="0" w:color="auto"/>
        <w:bottom w:val="none" w:sz="0" w:space="0" w:color="auto"/>
        <w:right w:val="none" w:sz="0" w:space="0" w:color="auto"/>
      </w:divBdr>
    </w:div>
    <w:div w:id="1818256276">
      <w:bodyDiv w:val="1"/>
      <w:marLeft w:val="0"/>
      <w:marRight w:val="0"/>
      <w:marTop w:val="0"/>
      <w:marBottom w:val="0"/>
      <w:divBdr>
        <w:top w:val="none" w:sz="0" w:space="0" w:color="auto"/>
        <w:left w:val="none" w:sz="0" w:space="0" w:color="auto"/>
        <w:bottom w:val="none" w:sz="0" w:space="0" w:color="auto"/>
        <w:right w:val="none" w:sz="0" w:space="0" w:color="auto"/>
      </w:divBdr>
    </w:div>
    <w:div w:id="1818297582">
      <w:bodyDiv w:val="1"/>
      <w:marLeft w:val="0"/>
      <w:marRight w:val="0"/>
      <w:marTop w:val="0"/>
      <w:marBottom w:val="0"/>
      <w:divBdr>
        <w:top w:val="none" w:sz="0" w:space="0" w:color="auto"/>
        <w:left w:val="none" w:sz="0" w:space="0" w:color="auto"/>
        <w:bottom w:val="none" w:sz="0" w:space="0" w:color="auto"/>
        <w:right w:val="none" w:sz="0" w:space="0" w:color="auto"/>
      </w:divBdr>
    </w:div>
    <w:div w:id="1818372236">
      <w:bodyDiv w:val="1"/>
      <w:marLeft w:val="0"/>
      <w:marRight w:val="0"/>
      <w:marTop w:val="0"/>
      <w:marBottom w:val="0"/>
      <w:divBdr>
        <w:top w:val="none" w:sz="0" w:space="0" w:color="auto"/>
        <w:left w:val="none" w:sz="0" w:space="0" w:color="auto"/>
        <w:bottom w:val="none" w:sz="0" w:space="0" w:color="auto"/>
        <w:right w:val="none" w:sz="0" w:space="0" w:color="auto"/>
      </w:divBdr>
    </w:div>
    <w:div w:id="1818492993">
      <w:bodyDiv w:val="1"/>
      <w:marLeft w:val="0"/>
      <w:marRight w:val="0"/>
      <w:marTop w:val="0"/>
      <w:marBottom w:val="0"/>
      <w:divBdr>
        <w:top w:val="none" w:sz="0" w:space="0" w:color="auto"/>
        <w:left w:val="none" w:sz="0" w:space="0" w:color="auto"/>
        <w:bottom w:val="none" w:sz="0" w:space="0" w:color="auto"/>
        <w:right w:val="none" w:sz="0" w:space="0" w:color="auto"/>
      </w:divBdr>
    </w:div>
    <w:div w:id="1818493875">
      <w:bodyDiv w:val="1"/>
      <w:marLeft w:val="0"/>
      <w:marRight w:val="0"/>
      <w:marTop w:val="0"/>
      <w:marBottom w:val="0"/>
      <w:divBdr>
        <w:top w:val="none" w:sz="0" w:space="0" w:color="auto"/>
        <w:left w:val="none" w:sz="0" w:space="0" w:color="auto"/>
        <w:bottom w:val="none" w:sz="0" w:space="0" w:color="auto"/>
        <w:right w:val="none" w:sz="0" w:space="0" w:color="auto"/>
      </w:divBdr>
    </w:div>
    <w:div w:id="1818496006">
      <w:bodyDiv w:val="1"/>
      <w:marLeft w:val="0"/>
      <w:marRight w:val="0"/>
      <w:marTop w:val="0"/>
      <w:marBottom w:val="0"/>
      <w:divBdr>
        <w:top w:val="none" w:sz="0" w:space="0" w:color="auto"/>
        <w:left w:val="none" w:sz="0" w:space="0" w:color="auto"/>
        <w:bottom w:val="none" w:sz="0" w:space="0" w:color="auto"/>
        <w:right w:val="none" w:sz="0" w:space="0" w:color="auto"/>
      </w:divBdr>
    </w:div>
    <w:div w:id="1818496592">
      <w:bodyDiv w:val="1"/>
      <w:marLeft w:val="0"/>
      <w:marRight w:val="0"/>
      <w:marTop w:val="0"/>
      <w:marBottom w:val="0"/>
      <w:divBdr>
        <w:top w:val="none" w:sz="0" w:space="0" w:color="auto"/>
        <w:left w:val="none" w:sz="0" w:space="0" w:color="auto"/>
        <w:bottom w:val="none" w:sz="0" w:space="0" w:color="auto"/>
        <w:right w:val="none" w:sz="0" w:space="0" w:color="auto"/>
      </w:divBdr>
    </w:div>
    <w:div w:id="1818574441">
      <w:bodyDiv w:val="1"/>
      <w:marLeft w:val="0"/>
      <w:marRight w:val="0"/>
      <w:marTop w:val="0"/>
      <w:marBottom w:val="0"/>
      <w:divBdr>
        <w:top w:val="none" w:sz="0" w:space="0" w:color="auto"/>
        <w:left w:val="none" w:sz="0" w:space="0" w:color="auto"/>
        <w:bottom w:val="none" w:sz="0" w:space="0" w:color="auto"/>
        <w:right w:val="none" w:sz="0" w:space="0" w:color="auto"/>
      </w:divBdr>
    </w:div>
    <w:div w:id="1818649087">
      <w:bodyDiv w:val="1"/>
      <w:marLeft w:val="0"/>
      <w:marRight w:val="0"/>
      <w:marTop w:val="0"/>
      <w:marBottom w:val="0"/>
      <w:divBdr>
        <w:top w:val="none" w:sz="0" w:space="0" w:color="auto"/>
        <w:left w:val="none" w:sz="0" w:space="0" w:color="auto"/>
        <w:bottom w:val="none" w:sz="0" w:space="0" w:color="auto"/>
        <w:right w:val="none" w:sz="0" w:space="0" w:color="auto"/>
      </w:divBdr>
    </w:div>
    <w:div w:id="1818690790">
      <w:bodyDiv w:val="1"/>
      <w:marLeft w:val="0"/>
      <w:marRight w:val="0"/>
      <w:marTop w:val="0"/>
      <w:marBottom w:val="0"/>
      <w:divBdr>
        <w:top w:val="none" w:sz="0" w:space="0" w:color="auto"/>
        <w:left w:val="none" w:sz="0" w:space="0" w:color="auto"/>
        <w:bottom w:val="none" w:sz="0" w:space="0" w:color="auto"/>
        <w:right w:val="none" w:sz="0" w:space="0" w:color="auto"/>
      </w:divBdr>
    </w:div>
    <w:div w:id="1818761192">
      <w:bodyDiv w:val="1"/>
      <w:marLeft w:val="0"/>
      <w:marRight w:val="0"/>
      <w:marTop w:val="0"/>
      <w:marBottom w:val="0"/>
      <w:divBdr>
        <w:top w:val="none" w:sz="0" w:space="0" w:color="auto"/>
        <w:left w:val="none" w:sz="0" w:space="0" w:color="auto"/>
        <w:bottom w:val="none" w:sz="0" w:space="0" w:color="auto"/>
        <w:right w:val="none" w:sz="0" w:space="0" w:color="auto"/>
      </w:divBdr>
    </w:div>
    <w:div w:id="1818766771">
      <w:bodyDiv w:val="1"/>
      <w:marLeft w:val="0"/>
      <w:marRight w:val="0"/>
      <w:marTop w:val="0"/>
      <w:marBottom w:val="0"/>
      <w:divBdr>
        <w:top w:val="none" w:sz="0" w:space="0" w:color="auto"/>
        <w:left w:val="none" w:sz="0" w:space="0" w:color="auto"/>
        <w:bottom w:val="none" w:sz="0" w:space="0" w:color="auto"/>
        <w:right w:val="none" w:sz="0" w:space="0" w:color="auto"/>
      </w:divBdr>
    </w:div>
    <w:div w:id="1818911722">
      <w:bodyDiv w:val="1"/>
      <w:marLeft w:val="0"/>
      <w:marRight w:val="0"/>
      <w:marTop w:val="0"/>
      <w:marBottom w:val="0"/>
      <w:divBdr>
        <w:top w:val="none" w:sz="0" w:space="0" w:color="auto"/>
        <w:left w:val="none" w:sz="0" w:space="0" w:color="auto"/>
        <w:bottom w:val="none" w:sz="0" w:space="0" w:color="auto"/>
        <w:right w:val="none" w:sz="0" w:space="0" w:color="auto"/>
      </w:divBdr>
    </w:div>
    <w:div w:id="1818916155">
      <w:bodyDiv w:val="1"/>
      <w:marLeft w:val="0"/>
      <w:marRight w:val="0"/>
      <w:marTop w:val="0"/>
      <w:marBottom w:val="0"/>
      <w:divBdr>
        <w:top w:val="none" w:sz="0" w:space="0" w:color="auto"/>
        <w:left w:val="none" w:sz="0" w:space="0" w:color="auto"/>
        <w:bottom w:val="none" w:sz="0" w:space="0" w:color="auto"/>
        <w:right w:val="none" w:sz="0" w:space="0" w:color="auto"/>
      </w:divBdr>
    </w:div>
    <w:div w:id="1818916857">
      <w:bodyDiv w:val="1"/>
      <w:marLeft w:val="0"/>
      <w:marRight w:val="0"/>
      <w:marTop w:val="0"/>
      <w:marBottom w:val="0"/>
      <w:divBdr>
        <w:top w:val="none" w:sz="0" w:space="0" w:color="auto"/>
        <w:left w:val="none" w:sz="0" w:space="0" w:color="auto"/>
        <w:bottom w:val="none" w:sz="0" w:space="0" w:color="auto"/>
        <w:right w:val="none" w:sz="0" w:space="0" w:color="auto"/>
      </w:divBdr>
    </w:div>
    <w:div w:id="1818952086">
      <w:bodyDiv w:val="1"/>
      <w:marLeft w:val="0"/>
      <w:marRight w:val="0"/>
      <w:marTop w:val="0"/>
      <w:marBottom w:val="0"/>
      <w:divBdr>
        <w:top w:val="none" w:sz="0" w:space="0" w:color="auto"/>
        <w:left w:val="none" w:sz="0" w:space="0" w:color="auto"/>
        <w:bottom w:val="none" w:sz="0" w:space="0" w:color="auto"/>
        <w:right w:val="none" w:sz="0" w:space="0" w:color="auto"/>
      </w:divBdr>
    </w:div>
    <w:div w:id="1819032606">
      <w:bodyDiv w:val="1"/>
      <w:marLeft w:val="0"/>
      <w:marRight w:val="0"/>
      <w:marTop w:val="0"/>
      <w:marBottom w:val="0"/>
      <w:divBdr>
        <w:top w:val="none" w:sz="0" w:space="0" w:color="auto"/>
        <w:left w:val="none" w:sz="0" w:space="0" w:color="auto"/>
        <w:bottom w:val="none" w:sz="0" w:space="0" w:color="auto"/>
        <w:right w:val="none" w:sz="0" w:space="0" w:color="auto"/>
      </w:divBdr>
    </w:div>
    <w:div w:id="1819105093">
      <w:bodyDiv w:val="1"/>
      <w:marLeft w:val="0"/>
      <w:marRight w:val="0"/>
      <w:marTop w:val="0"/>
      <w:marBottom w:val="0"/>
      <w:divBdr>
        <w:top w:val="none" w:sz="0" w:space="0" w:color="auto"/>
        <w:left w:val="none" w:sz="0" w:space="0" w:color="auto"/>
        <w:bottom w:val="none" w:sz="0" w:space="0" w:color="auto"/>
        <w:right w:val="none" w:sz="0" w:space="0" w:color="auto"/>
      </w:divBdr>
    </w:div>
    <w:div w:id="1819227253">
      <w:bodyDiv w:val="1"/>
      <w:marLeft w:val="0"/>
      <w:marRight w:val="0"/>
      <w:marTop w:val="0"/>
      <w:marBottom w:val="0"/>
      <w:divBdr>
        <w:top w:val="none" w:sz="0" w:space="0" w:color="auto"/>
        <w:left w:val="none" w:sz="0" w:space="0" w:color="auto"/>
        <w:bottom w:val="none" w:sz="0" w:space="0" w:color="auto"/>
        <w:right w:val="none" w:sz="0" w:space="0" w:color="auto"/>
      </w:divBdr>
    </w:div>
    <w:div w:id="1819297424">
      <w:bodyDiv w:val="1"/>
      <w:marLeft w:val="0"/>
      <w:marRight w:val="0"/>
      <w:marTop w:val="0"/>
      <w:marBottom w:val="0"/>
      <w:divBdr>
        <w:top w:val="none" w:sz="0" w:space="0" w:color="auto"/>
        <w:left w:val="none" w:sz="0" w:space="0" w:color="auto"/>
        <w:bottom w:val="none" w:sz="0" w:space="0" w:color="auto"/>
        <w:right w:val="none" w:sz="0" w:space="0" w:color="auto"/>
      </w:divBdr>
    </w:div>
    <w:div w:id="1819304946">
      <w:bodyDiv w:val="1"/>
      <w:marLeft w:val="0"/>
      <w:marRight w:val="0"/>
      <w:marTop w:val="0"/>
      <w:marBottom w:val="0"/>
      <w:divBdr>
        <w:top w:val="none" w:sz="0" w:space="0" w:color="auto"/>
        <w:left w:val="none" w:sz="0" w:space="0" w:color="auto"/>
        <w:bottom w:val="none" w:sz="0" w:space="0" w:color="auto"/>
        <w:right w:val="none" w:sz="0" w:space="0" w:color="auto"/>
      </w:divBdr>
    </w:div>
    <w:div w:id="1819377159">
      <w:bodyDiv w:val="1"/>
      <w:marLeft w:val="0"/>
      <w:marRight w:val="0"/>
      <w:marTop w:val="0"/>
      <w:marBottom w:val="0"/>
      <w:divBdr>
        <w:top w:val="none" w:sz="0" w:space="0" w:color="auto"/>
        <w:left w:val="none" w:sz="0" w:space="0" w:color="auto"/>
        <w:bottom w:val="none" w:sz="0" w:space="0" w:color="auto"/>
        <w:right w:val="none" w:sz="0" w:space="0" w:color="auto"/>
      </w:divBdr>
    </w:div>
    <w:div w:id="1819496735">
      <w:bodyDiv w:val="1"/>
      <w:marLeft w:val="0"/>
      <w:marRight w:val="0"/>
      <w:marTop w:val="0"/>
      <w:marBottom w:val="0"/>
      <w:divBdr>
        <w:top w:val="none" w:sz="0" w:space="0" w:color="auto"/>
        <w:left w:val="none" w:sz="0" w:space="0" w:color="auto"/>
        <w:bottom w:val="none" w:sz="0" w:space="0" w:color="auto"/>
        <w:right w:val="none" w:sz="0" w:space="0" w:color="auto"/>
      </w:divBdr>
    </w:div>
    <w:div w:id="1819568412">
      <w:bodyDiv w:val="1"/>
      <w:marLeft w:val="0"/>
      <w:marRight w:val="0"/>
      <w:marTop w:val="0"/>
      <w:marBottom w:val="0"/>
      <w:divBdr>
        <w:top w:val="none" w:sz="0" w:space="0" w:color="auto"/>
        <w:left w:val="none" w:sz="0" w:space="0" w:color="auto"/>
        <w:bottom w:val="none" w:sz="0" w:space="0" w:color="auto"/>
        <w:right w:val="none" w:sz="0" w:space="0" w:color="auto"/>
      </w:divBdr>
    </w:div>
    <w:div w:id="1819613587">
      <w:bodyDiv w:val="1"/>
      <w:marLeft w:val="0"/>
      <w:marRight w:val="0"/>
      <w:marTop w:val="0"/>
      <w:marBottom w:val="0"/>
      <w:divBdr>
        <w:top w:val="none" w:sz="0" w:space="0" w:color="auto"/>
        <w:left w:val="none" w:sz="0" w:space="0" w:color="auto"/>
        <w:bottom w:val="none" w:sz="0" w:space="0" w:color="auto"/>
        <w:right w:val="none" w:sz="0" w:space="0" w:color="auto"/>
      </w:divBdr>
    </w:div>
    <w:div w:id="1819682793">
      <w:bodyDiv w:val="1"/>
      <w:marLeft w:val="0"/>
      <w:marRight w:val="0"/>
      <w:marTop w:val="0"/>
      <w:marBottom w:val="0"/>
      <w:divBdr>
        <w:top w:val="none" w:sz="0" w:space="0" w:color="auto"/>
        <w:left w:val="none" w:sz="0" w:space="0" w:color="auto"/>
        <w:bottom w:val="none" w:sz="0" w:space="0" w:color="auto"/>
        <w:right w:val="none" w:sz="0" w:space="0" w:color="auto"/>
      </w:divBdr>
    </w:div>
    <w:div w:id="1819807560">
      <w:bodyDiv w:val="1"/>
      <w:marLeft w:val="0"/>
      <w:marRight w:val="0"/>
      <w:marTop w:val="0"/>
      <w:marBottom w:val="0"/>
      <w:divBdr>
        <w:top w:val="none" w:sz="0" w:space="0" w:color="auto"/>
        <w:left w:val="none" w:sz="0" w:space="0" w:color="auto"/>
        <w:bottom w:val="none" w:sz="0" w:space="0" w:color="auto"/>
        <w:right w:val="none" w:sz="0" w:space="0" w:color="auto"/>
      </w:divBdr>
    </w:div>
    <w:div w:id="1819834500">
      <w:bodyDiv w:val="1"/>
      <w:marLeft w:val="0"/>
      <w:marRight w:val="0"/>
      <w:marTop w:val="0"/>
      <w:marBottom w:val="0"/>
      <w:divBdr>
        <w:top w:val="none" w:sz="0" w:space="0" w:color="auto"/>
        <w:left w:val="none" w:sz="0" w:space="0" w:color="auto"/>
        <w:bottom w:val="none" w:sz="0" w:space="0" w:color="auto"/>
        <w:right w:val="none" w:sz="0" w:space="0" w:color="auto"/>
      </w:divBdr>
    </w:div>
    <w:div w:id="1820031770">
      <w:bodyDiv w:val="1"/>
      <w:marLeft w:val="0"/>
      <w:marRight w:val="0"/>
      <w:marTop w:val="0"/>
      <w:marBottom w:val="0"/>
      <w:divBdr>
        <w:top w:val="none" w:sz="0" w:space="0" w:color="auto"/>
        <w:left w:val="none" w:sz="0" w:space="0" w:color="auto"/>
        <w:bottom w:val="none" w:sz="0" w:space="0" w:color="auto"/>
        <w:right w:val="none" w:sz="0" w:space="0" w:color="auto"/>
      </w:divBdr>
    </w:div>
    <w:div w:id="1820071928">
      <w:bodyDiv w:val="1"/>
      <w:marLeft w:val="0"/>
      <w:marRight w:val="0"/>
      <w:marTop w:val="0"/>
      <w:marBottom w:val="0"/>
      <w:divBdr>
        <w:top w:val="none" w:sz="0" w:space="0" w:color="auto"/>
        <w:left w:val="none" w:sz="0" w:space="0" w:color="auto"/>
        <w:bottom w:val="none" w:sz="0" w:space="0" w:color="auto"/>
        <w:right w:val="none" w:sz="0" w:space="0" w:color="auto"/>
      </w:divBdr>
    </w:div>
    <w:div w:id="1820073428">
      <w:bodyDiv w:val="1"/>
      <w:marLeft w:val="0"/>
      <w:marRight w:val="0"/>
      <w:marTop w:val="0"/>
      <w:marBottom w:val="0"/>
      <w:divBdr>
        <w:top w:val="none" w:sz="0" w:space="0" w:color="auto"/>
        <w:left w:val="none" w:sz="0" w:space="0" w:color="auto"/>
        <w:bottom w:val="none" w:sz="0" w:space="0" w:color="auto"/>
        <w:right w:val="none" w:sz="0" w:space="0" w:color="auto"/>
      </w:divBdr>
    </w:div>
    <w:div w:id="1820148662">
      <w:bodyDiv w:val="1"/>
      <w:marLeft w:val="0"/>
      <w:marRight w:val="0"/>
      <w:marTop w:val="0"/>
      <w:marBottom w:val="0"/>
      <w:divBdr>
        <w:top w:val="none" w:sz="0" w:space="0" w:color="auto"/>
        <w:left w:val="none" w:sz="0" w:space="0" w:color="auto"/>
        <w:bottom w:val="none" w:sz="0" w:space="0" w:color="auto"/>
        <w:right w:val="none" w:sz="0" w:space="0" w:color="auto"/>
      </w:divBdr>
    </w:div>
    <w:div w:id="1820152802">
      <w:bodyDiv w:val="1"/>
      <w:marLeft w:val="0"/>
      <w:marRight w:val="0"/>
      <w:marTop w:val="0"/>
      <w:marBottom w:val="0"/>
      <w:divBdr>
        <w:top w:val="none" w:sz="0" w:space="0" w:color="auto"/>
        <w:left w:val="none" w:sz="0" w:space="0" w:color="auto"/>
        <w:bottom w:val="none" w:sz="0" w:space="0" w:color="auto"/>
        <w:right w:val="none" w:sz="0" w:space="0" w:color="auto"/>
      </w:divBdr>
    </w:div>
    <w:div w:id="1820264656">
      <w:bodyDiv w:val="1"/>
      <w:marLeft w:val="0"/>
      <w:marRight w:val="0"/>
      <w:marTop w:val="0"/>
      <w:marBottom w:val="0"/>
      <w:divBdr>
        <w:top w:val="none" w:sz="0" w:space="0" w:color="auto"/>
        <w:left w:val="none" w:sz="0" w:space="0" w:color="auto"/>
        <w:bottom w:val="none" w:sz="0" w:space="0" w:color="auto"/>
        <w:right w:val="none" w:sz="0" w:space="0" w:color="auto"/>
      </w:divBdr>
    </w:div>
    <w:div w:id="1820269186">
      <w:bodyDiv w:val="1"/>
      <w:marLeft w:val="0"/>
      <w:marRight w:val="0"/>
      <w:marTop w:val="0"/>
      <w:marBottom w:val="0"/>
      <w:divBdr>
        <w:top w:val="none" w:sz="0" w:space="0" w:color="auto"/>
        <w:left w:val="none" w:sz="0" w:space="0" w:color="auto"/>
        <w:bottom w:val="none" w:sz="0" w:space="0" w:color="auto"/>
        <w:right w:val="none" w:sz="0" w:space="0" w:color="auto"/>
      </w:divBdr>
    </w:div>
    <w:div w:id="1820343392">
      <w:bodyDiv w:val="1"/>
      <w:marLeft w:val="0"/>
      <w:marRight w:val="0"/>
      <w:marTop w:val="0"/>
      <w:marBottom w:val="0"/>
      <w:divBdr>
        <w:top w:val="none" w:sz="0" w:space="0" w:color="auto"/>
        <w:left w:val="none" w:sz="0" w:space="0" w:color="auto"/>
        <w:bottom w:val="none" w:sz="0" w:space="0" w:color="auto"/>
        <w:right w:val="none" w:sz="0" w:space="0" w:color="auto"/>
      </w:divBdr>
    </w:div>
    <w:div w:id="1820345263">
      <w:bodyDiv w:val="1"/>
      <w:marLeft w:val="0"/>
      <w:marRight w:val="0"/>
      <w:marTop w:val="0"/>
      <w:marBottom w:val="0"/>
      <w:divBdr>
        <w:top w:val="none" w:sz="0" w:space="0" w:color="auto"/>
        <w:left w:val="none" w:sz="0" w:space="0" w:color="auto"/>
        <w:bottom w:val="none" w:sz="0" w:space="0" w:color="auto"/>
        <w:right w:val="none" w:sz="0" w:space="0" w:color="auto"/>
      </w:divBdr>
    </w:div>
    <w:div w:id="1820413191">
      <w:bodyDiv w:val="1"/>
      <w:marLeft w:val="0"/>
      <w:marRight w:val="0"/>
      <w:marTop w:val="0"/>
      <w:marBottom w:val="0"/>
      <w:divBdr>
        <w:top w:val="none" w:sz="0" w:space="0" w:color="auto"/>
        <w:left w:val="none" w:sz="0" w:space="0" w:color="auto"/>
        <w:bottom w:val="none" w:sz="0" w:space="0" w:color="auto"/>
        <w:right w:val="none" w:sz="0" w:space="0" w:color="auto"/>
      </w:divBdr>
    </w:div>
    <w:div w:id="1820417706">
      <w:bodyDiv w:val="1"/>
      <w:marLeft w:val="0"/>
      <w:marRight w:val="0"/>
      <w:marTop w:val="0"/>
      <w:marBottom w:val="0"/>
      <w:divBdr>
        <w:top w:val="none" w:sz="0" w:space="0" w:color="auto"/>
        <w:left w:val="none" w:sz="0" w:space="0" w:color="auto"/>
        <w:bottom w:val="none" w:sz="0" w:space="0" w:color="auto"/>
        <w:right w:val="none" w:sz="0" w:space="0" w:color="auto"/>
      </w:divBdr>
    </w:div>
    <w:div w:id="1820538475">
      <w:bodyDiv w:val="1"/>
      <w:marLeft w:val="0"/>
      <w:marRight w:val="0"/>
      <w:marTop w:val="0"/>
      <w:marBottom w:val="0"/>
      <w:divBdr>
        <w:top w:val="none" w:sz="0" w:space="0" w:color="auto"/>
        <w:left w:val="none" w:sz="0" w:space="0" w:color="auto"/>
        <w:bottom w:val="none" w:sz="0" w:space="0" w:color="auto"/>
        <w:right w:val="none" w:sz="0" w:space="0" w:color="auto"/>
      </w:divBdr>
    </w:div>
    <w:div w:id="1820684059">
      <w:bodyDiv w:val="1"/>
      <w:marLeft w:val="0"/>
      <w:marRight w:val="0"/>
      <w:marTop w:val="0"/>
      <w:marBottom w:val="0"/>
      <w:divBdr>
        <w:top w:val="none" w:sz="0" w:space="0" w:color="auto"/>
        <w:left w:val="none" w:sz="0" w:space="0" w:color="auto"/>
        <w:bottom w:val="none" w:sz="0" w:space="0" w:color="auto"/>
        <w:right w:val="none" w:sz="0" w:space="0" w:color="auto"/>
      </w:divBdr>
    </w:div>
    <w:div w:id="1820724552">
      <w:bodyDiv w:val="1"/>
      <w:marLeft w:val="0"/>
      <w:marRight w:val="0"/>
      <w:marTop w:val="0"/>
      <w:marBottom w:val="0"/>
      <w:divBdr>
        <w:top w:val="none" w:sz="0" w:space="0" w:color="auto"/>
        <w:left w:val="none" w:sz="0" w:space="0" w:color="auto"/>
        <w:bottom w:val="none" w:sz="0" w:space="0" w:color="auto"/>
        <w:right w:val="none" w:sz="0" w:space="0" w:color="auto"/>
      </w:divBdr>
    </w:div>
    <w:div w:id="1820799773">
      <w:bodyDiv w:val="1"/>
      <w:marLeft w:val="0"/>
      <w:marRight w:val="0"/>
      <w:marTop w:val="0"/>
      <w:marBottom w:val="0"/>
      <w:divBdr>
        <w:top w:val="none" w:sz="0" w:space="0" w:color="auto"/>
        <w:left w:val="none" w:sz="0" w:space="0" w:color="auto"/>
        <w:bottom w:val="none" w:sz="0" w:space="0" w:color="auto"/>
        <w:right w:val="none" w:sz="0" w:space="0" w:color="auto"/>
      </w:divBdr>
    </w:div>
    <w:div w:id="1820807557">
      <w:bodyDiv w:val="1"/>
      <w:marLeft w:val="0"/>
      <w:marRight w:val="0"/>
      <w:marTop w:val="0"/>
      <w:marBottom w:val="0"/>
      <w:divBdr>
        <w:top w:val="none" w:sz="0" w:space="0" w:color="auto"/>
        <w:left w:val="none" w:sz="0" w:space="0" w:color="auto"/>
        <w:bottom w:val="none" w:sz="0" w:space="0" w:color="auto"/>
        <w:right w:val="none" w:sz="0" w:space="0" w:color="auto"/>
      </w:divBdr>
    </w:div>
    <w:div w:id="1820918927">
      <w:bodyDiv w:val="1"/>
      <w:marLeft w:val="0"/>
      <w:marRight w:val="0"/>
      <w:marTop w:val="0"/>
      <w:marBottom w:val="0"/>
      <w:divBdr>
        <w:top w:val="none" w:sz="0" w:space="0" w:color="auto"/>
        <w:left w:val="none" w:sz="0" w:space="0" w:color="auto"/>
        <w:bottom w:val="none" w:sz="0" w:space="0" w:color="auto"/>
        <w:right w:val="none" w:sz="0" w:space="0" w:color="auto"/>
      </w:divBdr>
    </w:div>
    <w:div w:id="1820993524">
      <w:bodyDiv w:val="1"/>
      <w:marLeft w:val="0"/>
      <w:marRight w:val="0"/>
      <w:marTop w:val="0"/>
      <w:marBottom w:val="0"/>
      <w:divBdr>
        <w:top w:val="none" w:sz="0" w:space="0" w:color="auto"/>
        <w:left w:val="none" w:sz="0" w:space="0" w:color="auto"/>
        <w:bottom w:val="none" w:sz="0" w:space="0" w:color="auto"/>
        <w:right w:val="none" w:sz="0" w:space="0" w:color="auto"/>
      </w:divBdr>
    </w:div>
    <w:div w:id="1820997352">
      <w:bodyDiv w:val="1"/>
      <w:marLeft w:val="0"/>
      <w:marRight w:val="0"/>
      <w:marTop w:val="0"/>
      <w:marBottom w:val="0"/>
      <w:divBdr>
        <w:top w:val="none" w:sz="0" w:space="0" w:color="auto"/>
        <w:left w:val="none" w:sz="0" w:space="0" w:color="auto"/>
        <w:bottom w:val="none" w:sz="0" w:space="0" w:color="auto"/>
        <w:right w:val="none" w:sz="0" w:space="0" w:color="auto"/>
      </w:divBdr>
    </w:div>
    <w:div w:id="1821120577">
      <w:bodyDiv w:val="1"/>
      <w:marLeft w:val="0"/>
      <w:marRight w:val="0"/>
      <w:marTop w:val="0"/>
      <w:marBottom w:val="0"/>
      <w:divBdr>
        <w:top w:val="none" w:sz="0" w:space="0" w:color="auto"/>
        <w:left w:val="none" w:sz="0" w:space="0" w:color="auto"/>
        <w:bottom w:val="none" w:sz="0" w:space="0" w:color="auto"/>
        <w:right w:val="none" w:sz="0" w:space="0" w:color="auto"/>
      </w:divBdr>
    </w:div>
    <w:div w:id="1821264726">
      <w:bodyDiv w:val="1"/>
      <w:marLeft w:val="0"/>
      <w:marRight w:val="0"/>
      <w:marTop w:val="0"/>
      <w:marBottom w:val="0"/>
      <w:divBdr>
        <w:top w:val="none" w:sz="0" w:space="0" w:color="auto"/>
        <w:left w:val="none" w:sz="0" w:space="0" w:color="auto"/>
        <w:bottom w:val="none" w:sz="0" w:space="0" w:color="auto"/>
        <w:right w:val="none" w:sz="0" w:space="0" w:color="auto"/>
      </w:divBdr>
    </w:div>
    <w:div w:id="1821381727">
      <w:bodyDiv w:val="1"/>
      <w:marLeft w:val="0"/>
      <w:marRight w:val="0"/>
      <w:marTop w:val="0"/>
      <w:marBottom w:val="0"/>
      <w:divBdr>
        <w:top w:val="none" w:sz="0" w:space="0" w:color="auto"/>
        <w:left w:val="none" w:sz="0" w:space="0" w:color="auto"/>
        <w:bottom w:val="none" w:sz="0" w:space="0" w:color="auto"/>
        <w:right w:val="none" w:sz="0" w:space="0" w:color="auto"/>
      </w:divBdr>
    </w:div>
    <w:div w:id="1821389065">
      <w:bodyDiv w:val="1"/>
      <w:marLeft w:val="0"/>
      <w:marRight w:val="0"/>
      <w:marTop w:val="0"/>
      <w:marBottom w:val="0"/>
      <w:divBdr>
        <w:top w:val="none" w:sz="0" w:space="0" w:color="auto"/>
        <w:left w:val="none" w:sz="0" w:space="0" w:color="auto"/>
        <w:bottom w:val="none" w:sz="0" w:space="0" w:color="auto"/>
        <w:right w:val="none" w:sz="0" w:space="0" w:color="auto"/>
      </w:divBdr>
    </w:div>
    <w:div w:id="1821461902">
      <w:bodyDiv w:val="1"/>
      <w:marLeft w:val="0"/>
      <w:marRight w:val="0"/>
      <w:marTop w:val="0"/>
      <w:marBottom w:val="0"/>
      <w:divBdr>
        <w:top w:val="none" w:sz="0" w:space="0" w:color="auto"/>
        <w:left w:val="none" w:sz="0" w:space="0" w:color="auto"/>
        <w:bottom w:val="none" w:sz="0" w:space="0" w:color="auto"/>
        <w:right w:val="none" w:sz="0" w:space="0" w:color="auto"/>
      </w:divBdr>
    </w:div>
    <w:div w:id="1821462041">
      <w:bodyDiv w:val="1"/>
      <w:marLeft w:val="0"/>
      <w:marRight w:val="0"/>
      <w:marTop w:val="0"/>
      <w:marBottom w:val="0"/>
      <w:divBdr>
        <w:top w:val="none" w:sz="0" w:space="0" w:color="auto"/>
        <w:left w:val="none" w:sz="0" w:space="0" w:color="auto"/>
        <w:bottom w:val="none" w:sz="0" w:space="0" w:color="auto"/>
        <w:right w:val="none" w:sz="0" w:space="0" w:color="auto"/>
      </w:divBdr>
    </w:div>
    <w:div w:id="1821462985">
      <w:bodyDiv w:val="1"/>
      <w:marLeft w:val="0"/>
      <w:marRight w:val="0"/>
      <w:marTop w:val="0"/>
      <w:marBottom w:val="0"/>
      <w:divBdr>
        <w:top w:val="none" w:sz="0" w:space="0" w:color="auto"/>
        <w:left w:val="none" w:sz="0" w:space="0" w:color="auto"/>
        <w:bottom w:val="none" w:sz="0" w:space="0" w:color="auto"/>
        <w:right w:val="none" w:sz="0" w:space="0" w:color="auto"/>
      </w:divBdr>
    </w:div>
    <w:div w:id="1821532226">
      <w:bodyDiv w:val="1"/>
      <w:marLeft w:val="0"/>
      <w:marRight w:val="0"/>
      <w:marTop w:val="0"/>
      <w:marBottom w:val="0"/>
      <w:divBdr>
        <w:top w:val="none" w:sz="0" w:space="0" w:color="auto"/>
        <w:left w:val="none" w:sz="0" w:space="0" w:color="auto"/>
        <w:bottom w:val="none" w:sz="0" w:space="0" w:color="auto"/>
        <w:right w:val="none" w:sz="0" w:space="0" w:color="auto"/>
      </w:divBdr>
    </w:div>
    <w:div w:id="1821655171">
      <w:bodyDiv w:val="1"/>
      <w:marLeft w:val="0"/>
      <w:marRight w:val="0"/>
      <w:marTop w:val="0"/>
      <w:marBottom w:val="0"/>
      <w:divBdr>
        <w:top w:val="none" w:sz="0" w:space="0" w:color="auto"/>
        <w:left w:val="none" w:sz="0" w:space="0" w:color="auto"/>
        <w:bottom w:val="none" w:sz="0" w:space="0" w:color="auto"/>
        <w:right w:val="none" w:sz="0" w:space="0" w:color="auto"/>
      </w:divBdr>
    </w:div>
    <w:div w:id="1821728484">
      <w:bodyDiv w:val="1"/>
      <w:marLeft w:val="0"/>
      <w:marRight w:val="0"/>
      <w:marTop w:val="0"/>
      <w:marBottom w:val="0"/>
      <w:divBdr>
        <w:top w:val="none" w:sz="0" w:space="0" w:color="auto"/>
        <w:left w:val="none" w:sz="0" w:space="0" w:color="auto"/>
        <w:bottom w:val="none" w:sz="0" w:space="0" w:color="auto"/>
        <w:right w:val="none" w:sz="0" w:space="0" w:color="auto"/>
      </w:divBdr>
    </w:div>
    <w:div w:id="1821730396">
      <w:bodyDiv w:val="1"/>
      <w:marLeft w:val="0"/>
      <w:marRight w:val="0"/>
      <w:marTop w:val="0"/>
      <w:marBottom w:val="0"/>
      <w:divBdr>
        <w:top w:val="none" w:sz="0" w:space="0" w:color="auto"/>
        <w:left w:val="none" w:sz="0" w:space="0" w:color="auto"/>
        <w:bottom w:val="none" w:sz="0" w:space="0" w:color="auto"/>
        <w:right w:val="none" w:sz="0" w:space="0" w:color="auto"/>
      </w:divBdr>
    </w:div>
    <w:div w:id="1821770574">
      <w:bodyDiv w:val="1"/>
      <w:marLeft w:val="0"/>
      <w:marRight w:val="0"/>
      <w:marTop w:val="0"/>
      <w:marBottom w:val="0"/>
      <w:divBdr>
        <w:top w:val="none" w:sz="0" w:space="0" w:color="auto"/>
        <w:left w:val="none" w:sz="0" w:space="0" w:color="auto"/>
        <w:bottom w:val="none" w:sz="0" w:space="0" w:color="auto"/>
        <w:right w:val="none" w:sz="0" w:space="0" w:color="auto"/>
      </w:divBdr>
    </w:div>
    <w:div w:id="1821842532">
      <w:bodyDiv w:val="1"/>
      <w:marLeft w:val="0"/>
      <w:marRight w:val="0"/>
      <w:marTop w:val="0"/>
      <w:marBottom w:val="0"/>
      <w:divBdr>
        <w:top w:val="none" w:sz="0" w:space="0" w:color="auto"/>
        <w:left w:val="none" w:sz="0" w:space="0" w:color="auto"/>
        <w:bottom w:val="none" w:sz="0" w:space="0" w:color="auto"/>
        <w:right w:val="none" w:sz="0" w:space="0" w:color="auto"/>
      </w:divBdr>
    </w:div>
    <w:div w:id="1821925536">
      <w:bodyDiv w:val="1"/>
      <w:marLeft w:val="0"/>
      <w:marRight w:val="0"/>
      <w:marTop w:val="0"/>
      <w:marBottom w:val="0"/>
      <w:divBdr>
        <w:top w:val="none" w:sz="0" w:space="0" w:color="auto"/>
        <w:left w:val="none" w:sz="0" w:space="0" w:color="auto"/>
        <w:bottom w:val="none" w:sz="0" w:space="0" w:color="auto"/>
        <w:right w:val="none" w:sz="0" w:space="0" w:color="auto"/>
      </w:divBdr>
    </w:div>
    <w:div w:id="1822038434">
      <w:bodyDiv w:val="1"/>
      <w:marLeft w:val="0"/>
      <w:marRight w:val="0"/>
      <w:marTop w:val="0"/>
      <w:marBottom w:val="0"/>
      <w:divBdr>
        <w:top w:val="none" w:sz="0" w:space="0" w:color="auto"/>
        <w:left w:val="none" w:sz="0" w:space="0" w:color="auto"/>
        <w:bottom w:val="none" w:sz="0" w:space="0" w:color="auto"/>
        <w:right w:val="none" w:sz="0" w:space="0" w:color="auto"/>
      </w:divBdr>
    </w:div>
    <w:div w:id="1822115399">
      <w:bodyDiv w:val="1"/>
      <w:marLeft w:val="0"/>
      <w:marRight w:val="0"/>
      <w:marTop w:val="0"/>
      <w:marBottom w:val="0"/>
      <w:divBdr>
        <w:top w:val="none" w:sz="0" w:space="0" w:color="auto"/>
        <w:left w:val="none" w:sz="0" w:space="0" w:color="auto"/>
        <w:bottom w:val="none" w:sz="0" w:space="0" w:color="auto"/>
        <w:right w:val="none" w:sz="0" w:space="0" w:color="auto"/>
      </w:divBdr>
    </w:div>
    <w:div w:id="1822185861">
      <w:bodyDiv w:val="1"/>
      <w:marLeft w:val="0"/>
      <w:marRight w:val="0"/>
      <w:marTop w:val="0"/>
      <w:marBottom w:val="0"/>
      <w:divBdr>
        <w:top w:val="none" w:sz="0" w:space="0" w:color="auto"/>
        <w:left w:val="none" w:sz="0" w:space="0" w:color="auto"/>
        <w:bottom w:val="none" w:sz="0" w:space="0" w:color="auto"/>
        <w:right w:val="none" w:sz="0" w:space="0" w:color="auto"/>
      </w:divBdr>
    </w:div>
    <w:div w:id="1822192955">
      <w:bodyDiv w:val="1"/>
      <w:marLeft w:val="0"/>
      <w:marRight w:val="0"/>
      <w:marTop w:val="0"/>
      <w:marBottom w:val="0"/>
      <w:divBdr>
        <w:top w:val="none" w:sz="0" w:space="0" w:color="auto"/>
        <w:left w:val="none" w:sz="0" w:space="0" w:color="auto"/>
        <w:bottom w:val="none" w:sz="0" w:space="0" w:color="auto"/>
        <w:right w:val="none" w:sz="0" w:space="0" w:color="auto"/>
      </w:divBdr>
    </w:div>
    <w:div w:id="1822229775">
      <w:bodyDiv w:val="1"/>
      <w:marLeft w:val="0"/>
      <w:marRight w:val="0"/>
      <w:marTop w:val="0"/>
      <w:marBottom w:val="0"/>
      <w:divBdr>
        <w:top w:val="none" w:sz="0" w:space="0" w:color="auto"/>
        <w:left w:val="none" w:sz="0" w:space="0" w:color="auto"/>
        <w:bottom w:val="none" w:sz="0" w:space="0" w:color="auto"/>
        <w:right w:val="none" w:sz="0" w:space="0" w:color="auto"/>
      </w:divBdr>
    </w:div>
    <w:div w:id="1822305589">
      <w:bodyDiv w:val="1"/>
      <w:marLeft w:val="0"/>
      <w:marRight w:val="0"/>
      <w:marTop w:val="0"/>
      <w:marBottom w:val="0"/>
      <w:divBdr>
        <w:top w:val="none" w:sz="0" w:space="0" w:color="auto"/>
        <w:left w:val="none" w:sz="0" w:space="0" w:color="auto"/>
        <w:bottom w:val="none" w:sz="0" w:space="0" w:color="auto"/>
        <w:right w:val="none" w:sz="0" w:space="0" w:color="auto"/>
      </w:divBdr>
    </w:div>
    <w:div w:id="1822386238">
      <w:bodyDiv w:val="1"/>
      <w:marLeft w:val="0"/>
      <w:marRight w:val="0"/>
      <w:marTop w:val="0"/>
      <w:marBottom w:val="0"/>
      <w:divBdr>
        <w:top w:val="none" w:sz="0" w:space="0" w:color="auto"/>
        <w:left w:val="none" w:sz="0" w:space="0" w:color="auto"/>
        <w:bottom w:val="none" w:sz="0" w:space="0" w:color="auto"/>
        <w:right w:val="none" w:sz="0" w:space="0" w:color="auto"/>
      </w:divBdr>
    </w:div>
    <w:div w:id="1822430718">
      <w:bodyDiv w:val="1"/>
      <w:marLeft w:val="0"/>
      <w:marRight w:val="0"/>
      <w:marTop w:val="0"/>
      <w:marBottom w:val="0"/>
      <w:divBdr>
        <w:top w:val="none" w:sz="0" w:space="0" w:color="auto"/>
        <w:left w:val="none" w:sz="0" w:space="0" w:color="auto"/>
        <w:bottom w:val="none" w:sz="0" w:space="0" w:color="auto"/>
        <w:right w:val="none" w:sz="0" w:space="0" w:color="auto"/>
      </w:divBdr>
    </w:div>
    <w:div w:id="1822498952">
      <w:bodyDiv w:val="1"/>
      <w:marLeft w:val="0"/>
      <w:marRight w:val="0"/>
      <w:marTop w:val="0"/>
      <w:marBottom w:val="0"/>
      <w:divBdr>
        <w:top w:val="none" w:sz="0" w:space="0" w:color="auto"/>
        <w:left w:val="none" w:sz="0" w:space="0" w:color="auto"/>
        <w:bottom w:val="none" w:sz="0" w:space="0" w:color="auto"/>
        <w:right w:val="none" w:sz="0" w:space="0" w:color="auto"/>
      </w:divBdr>
    </w:div>
    <w:div w:id="1822500883">
      <w:bodyDiv w:val="1"/>
      <w:marLeft w:val="0"/>
      <w:marRight w:val="0"/>
      <w:marTop w:val="0"/>
      <w:marBottom w:val="0"/>
      <w:divBdr>
        <w:top w:val="none" w:sz="0" w:space="0" w:color="auto"/>
        <w:left w:val="none" w:sz="0" w:space="0" w:color="auto"/>
        <w:bottom w:val="none" w:sz="0" w:space="0" w:color="auto"/>
        <w:right w:val="none" w:sz="0" w:space="0" w:color="auto"/>
      </w:divBdr>
    </w:div>
    <w:div w:id="1822501831">
      <w:bodyDiv w:val="1"/>
      <w:marLeft w:val="0"/>
      <w:marRight w:val="0"/>
      <w:marTop w:val="0"/>
      <w:marBottom w:val="0"/>
      <w:divBdr>
        <w:top w:val="none" w:sz="0" w:space="0" w:color="auto"/>
        <w:left w:val="none" w:sz="0" w:space="0" w:color="auto"/>
        <w:bottom w:val="none" w:sz="0" w:space="0" w:color="auto"/>
        <w:right w:val="none" w:sz="0" w:space="0" w:color="auto"/>
      </w:divBdr>
    </w:div>
    <w:div w:id="1822578162">
      <w:bodyDiv w:val="1"/>
      <w:marLeft w:val="0"/>
      <w:marRight w:val="0"/>
      <w:marTop w:val="0"/>
      <w:marBottom w:val="0"/>
      <w:divBdr>
        <w:top w:val="none" w:sz="0" w:space="0" w:color="auto"/>
        <w:left w:val="none" w:sz="0" w:space="0" w:color="auto"/>
        <w:bottom w:val="none" w:sz="0" w:space="0" w:color="auto"/>
        <w:right w:val="none" w:sz="0" w:space="0" w:color="auto"/>
      </w:divBdr>
    </w:div>
    <w:div w:id="1822623218">
      <w:bodyDiv w:val="1"/>
      <w:marLeft w:val="0"/>
      <w:marRight w:val="0"/>
      <w:marTop w:val="0"/>
      <w:marBottom w:val="0"/>
      <w:divBdr>
        <w:top w:val="none" w:sz="0" w:space="0" w:color="auto"/>
        <w:left w:val="none" w:sz="0" w:space="0" w:color="auto"/>
        <w:bottom w:val="none" w:sz="0" w:space="0" w:color="auto"/>
        <w:right w:val="none" w:sz="0" w:space="0" w:color="auto"/>
      </w:divBdr>
    </w:div>
    <w:div w:id="1822647942">
      <w:bodyDiv w:val="1"/>
      <w:marLeft w:val="0"/>
      <w:marRight w:val="0"/>
      <w:marTop w:val="0"/>
      <w:marBottom w:val="0"/>
      <w:divBdr>
        <w:top w:val="none" w:sz="0" w:space="0" w:color="auto"/>
        <w:left w:val="none" w:sz="0" w:space="0" w:color="auto"/>
        <w:bottom w:val="none" w:sz="0" w:space="0" w:color="auto"/>
        <w:right w:val="none" w:sz="0" w:space="0" w:color="auto"/>
      </w:divBdr>
    </w:div>
    <w:div w:id="1822692389">
      <w:bodyDiv w:val="1"/>
      <w:marLeft w:val="0"/>
      <w:marRight w:val="0"/>
      <w:marTop w:val="0"/>
      <w:marBottom w:val="0"/>
      <w:divBdr>
        <w:top w:val="none" w:sz="0" w:space="0" w:color="auto"/>
        <w:left w:val="none" w:sz="0" w:space="0" w:color="auto"/>
        <w:bottom w:val="none" w:sz="0" w:space="0" w:color="auto"/>
        <w:right w:val="none" w:sz="0" w:space="0" w:color="auto"/>
      </w:divBdr>
    </w:div>
    <w:div w:id="1822692932">
      <w:bodyDiv w:val="1"/>
      <w:marLeft w:val="0"/>
      <w:marRight w:val="0"/>
      <w:marTop w:val="0"/>
      <w:marBottom w:val="0"/>
      <w:divBdr>
        <w:top w:val="none" w:sz="0" w:space="0" w:color="auto"/>
        <w:left w:val="none" w:sz="0" w:space="0" w:color="auto"/>
        <w:bottom w:val="none" w:sz="0" w:space="0" w:color="auto"/>
        <w:right w:val="none" w:sz="0" w:space="0" w:color="auto"/>
      </w:divBdr>
    </w:div>
    <w:div w:id="1822774942">
      <w:bodyDiv w:val="1"/>
      <w:marLeft w:val="0"/>
      <w:marRight w:val="0"/>
      <w:marTop w:val="0"/>
      <w:marBottom w:val="0"/>
      <w:divBdr>
        <w:top w:val="none" w:sz="0" w:space="0" w:color="auto"/>
        <w:left w:val="none" w:sz="0" w:space="0" w:color="auto"/>
        <w:bottom w:val="none" w:sz="0" w:space="0" w:color="auto"/>
        <w:right w:val="none" w:sz="0" w:space="0" w:color="auto"/>
      </w:divBdr>
    </w:div>
    <w:div w:id="1822775144">
      <w:bodyDiv w:val="1"/>
      <w:marLeft w:val="0"/>
      <w:marRight w:val="0"/>
      <w:marTop w:val="0"/>
      <w:marBottom w:val="0"/>
      <w:divBdr>
        <w:top w:val="none" w:sz="0" w:space="0" w:color="auto"/>
        <w:left w:val="none" w:sz="0" w:space="0" w:color="auto"/>
        <w:bottom w:val="none" w:sz="0" w:space="0" w:color="auto"/>
        <w:right w:val="none" w:sz="0" w:space="0" w:color="auto"/>
      </w:divBdr>
    </w:div>
    <w:div w:id="1822842983">
      <w:bodyDiv w:val="1"/>
      <w:marLeft w:val="0"/>
      <w:marRight w:val="0"/>
      <w:marTop w:val="0"/>
      <w:marBottom w:val="0"/>
      <w:divBdr>
        <w:top w:val="none" w:sz="0" w:space="0" w:color="auto"/>
        <w:left w:val="none" w:sz="0" w:space="0" w:color="auto"/>
        <w:bottom w:val="none" w:sz="0" w:space="0" w:color="auto"/>
        <w:right w:val="none" w:sz="0" w:space="0" w:color="auto"/>
      </w:divBdr>
    </w:div>
    <w:div w:id="1823043585">
      <w:bodyDiv w:val="1"/>
      <w:marLeft w:val="0"/>
      <w:marRight w:val="0"/>
      <w:marTop w:val="0"/>
      <w:marBottom w:val="0"/>
      <w:divBdr>
        <w:top w:val="none" w:sz="0" w:space="0" w:color="auto"/>
        <w:left w:val="none" w:sz="0" w:space="0" w:color="auto"/>
        <w:bottom w:val="none" w:sz="0" w:space="0" w:color="auto"/>
        <w:right w:val="none" w:sz="0" w:space="0" w:color="auto"/>
      </w:divBdr>
    </w:div>
    <w:div w:id="1823156990">
      <w:bodyDiv w:val="1"/>
      <w:marLeft w:val="0"/>
      <w:marRight w:val="0"/>
      <w:marTop w:val="0"/>
      <w:marBottom w:val="0"/>
      <w:divBdr>
        <w:top w:val="none" w:sz="0" w:space="0" w:color="auto"/>
        <w:left w:val="none" w:sz="0" w:space="0" w:color="auto"/>
        <w:bottom w:val="none" w:sz="0" w:space="0" w:color="auto"/>
        <w:right w:val="none" w:sz="0" w:space="0" w:color="auto"/>
      </w:divBdr>
    </w:div>
    <w:div w:id="1823309325">
      <w:bodyDiv w:val="1"/>
      <w:marLeft w:val="0"/>
      <w:marRight w:val="0"/>
      <w:marTop w:val="0"/>
      <w:marBottom w:val="0"/>
      <w:divBdr>
        <w:top w:val="none" w:sz="0" w:space="0" w:color="auto"/>
        <w:left w:val="none" w:sz="0" w:space="0" w:color="auto"/>
        <w:bottom w:val="none" w:sz="0" w:space="0" w:color="auto"/>
        <w:right w:val="none" w:sz="0" w:space="0" w:color="auto"/>
      </w:divBdr>
    </w:div>
    <w:div w:id="1823353568">
      <w:bodyDiv w:val="1"/>
      <w:marLeft w:val="0"/>
      <w:marRight w:val="0"/>
      <w:marTop w:val="0"/>
      <w:marBottom w:val="0"/>
      <w:divBdr>
        <w:top w:val="none" w:sz="0" w:space="0" w:color="auto"/>
        <w:left w:val="none" w:sz="0" w:space="0" w:color="auto"/>
        <w:bottom w:val="none" w:sz="0" w:space="0" w:color="auto"/>
        <w:right w:val="none" w:sz="0" w:space="0" w:color="auto"/>
      </w:divBdr>
    </w:div>
    <w:div w:id="1823505561">
      <w:bodyDiv w:val="1"/>
      <w:marLeft w:val="0"/>
      <w:marRight w:val="0"/>
      <w:marTop w:val="0"/>
      <w:marBottom w:val="0"/>
      <w:divBdr>
        <w:top w:val="none" w:sz="0" w:space="0" w:color="auto"/>
        <w:left w:val="none" w:sz="0" w:space="0" w:color="auto"/>
        <w:bottom w:val="none" w:sz="0" w:space="0" w:color="auto"/>
        <w:right w:val="none" w:sz="0" w:space="0" w:color="auto"/>
      </w:divBdr>
    </w:div>
    <w:div w:id="1823539601">
      <w:bodyDiv w:val="1"/>
      <w:marLeft w:val="0"/>
      <w:marRight w:val="0"/>
      <w:marTop w:val="0"/>
      <w:marBottom w:val="0"/>
      <w:divBdr>
        <w:top w:val="none" w:sz="0" w:space="0" w:color="auto"/>
        <w:left w:val="none" w:sz="0" w:space="0" w:color="auto"/>
        <w:bottom w:val="none" w:sz="0" w:space="0" w:color="auto"/>
        <w:right w:val="none" w:sz="0" w:space="0" w:color="auto"/>
      </w:divBdr>
    </w:div>
    <w:div w:id="1823766968">
      <w:bodyDiv w:val="1"/>
      <w:marLeft w:val="0"/>
      <w:marRight w:val="0"/>
      <w:marTop w:val="0"/>
      <w:marBottom w:val="0"/>
      <w:divBdr>
        <w:top w:val="none" w:sz="0" w:space="0" w:color="auto"/>
        <w:left w:val="none" w:sz="0" w:space="0" w:color="auto"/>
        <w:bottom w:val="none" w:sz="0" w:space="0" w:color="auto"/>
        <w:right w:val="none" w:sz="0" w:space="0" w:color="auto"/>
      </w:divBdr>
    </w:div>
    <w:div w:id="1823962396">
      <w:bodyDiv w:val="1"/>
      <w:marLeft w:val="0"/>
      <w:marRight w:val="0"/>
      <w:marTop w:val="0"/>
      <w:marBottom w:val="0"/>
      <w:divBdr>
        <w:top w:val="none" w:sz="0" w:space="0" w:color="auto"/>
        <w:left w:val="none" w:sz="0" w:space="0" w:color="auto"/>
        <w:bottom w:val="none" w:sz="0" w:space="0" w:color="auto"/>
        <w:right w:val="none" w:sz="0" w:space="0" w:color="auto"/>
      </w:divBdr>
    </w:div>
    <w:div w:id="1824003475">
      <w:bodyDiv w:val="1"/>
      <w:marLeft w:val="0"/>
      <w:marRight w:val="0"/>
      <w:marTop w:val="0"/>
      <w:marBottom w:val="0"/>
      <w:divBdr>
        <w:top w:val="none" w:sz="0" w:space="0" w:color="auto"/>
        <w:left w:val="none" w:sz="0" w:space="0" w:color="auto"/>
        <w:bottom w:val="none" w:sz="0" w:space="0" w:color="auto"/>
        <w:right w:val="none" w:sz="0" w:space="0" w:color="auto"/>
      </w:divBdr>
    </w:div>
    <w:div w:id="1824005810">
      <w:bodyDiv w:val="1"/>
      <w:marLeft w:val="0"/>
      <w:marRight w:val="0"/>
      <w:marTop w:val="0"/>
      <w:marBottom w:val="0"/>
      <w:divBdr>
        <w:top w:val="none" w:sz="0" w:space="0" w:color="auto"/>
        <w:left w:val="none" w:sz="0" w:space="0" w:color="auto"/>
        <w:bottom w:val="none" w:sz="0" w:space="0" w:color="auto"/>
        <w:right w:val="none" w:sz="0" w:space="0" w:color="auto"/>
      </w:divBdr>
    </w:div>
    <w:div w:id="1824080975">
      <w:bodyDiv w:val="1"/>
      <w:marLeft w:val="0"/>
      <w:marRight w:val="0"/>
      <w:marTop w:val="0"/>
      <w:marBottom w:val="0"/>
      <w:divBdr>
        <w:top w:val="none" w:sz="0" w:space="0" w:color="auto"/>
        <w:left w:val="none" w:sz="0" w:space="0" w:color="auto"/>
        <w:bottom w:val="none" w:sz="0" w:space="0" w:color="auto"/>
        <w:right w:val="none" w:sz="0" w:space="0" w:color="auto"/>
      </w:divBdr>
    </w:div>
    <w:div w:id="1824083691">
      <w:bodyDiv w:val="1"/>
      <w:marLeft w:val="0"/>
      <w:marRight w:val="0"/>
      <w:marTop w:val="0"/>
      <w:marBottom w:val="0"/>
      <w:divBdr>
        <w:top w:val="none" w:sz="0" w:space="0" w:color="auto"/>
        <w:left w:val="none" w:sz="0" w:space="0" w:color="auto"/>
        <w:bottom w:val="none" w:sz="0" w:space="0" w:color="auto"/>
        <w:right w:val="none" w:sz="0" w:space="0" w:color="auto"/>
      </w:divBdr>
    </w:div>
    <w:div w:id="1824153036">
      <w:bodyDiv w:val="1"/>
      <w:marLeft w:val="0"/>
      <w:marRight w:val="0"/>
      <w:marTop w:val="0"/>
      <w:marBottom w:val="0"/>
      <w:divBdr>
        <w:top w:val="none" w:sz="0" w:space="0" w:color="auto"/>
        <w:left w:val="none" w:sz="0" w:space="0" w:color="auto"/>
        <w:bottom w:val="none" w:sz="0" w:space="0" w:color="auto"/>
        <w:right w:val="none" w:sz="0" w:space="0" w:color="auto"/>
      </w:divBdr>
    </w:div>
    <w:div w:id="1824195841">
      <w:bodyDiv w:val="1"/>
      <w:marLeft w:val="0"/>
      <w:marRight w:val="0"/>
      <w:marTop w:val="0"/>
      <w:marBottom w:val="0"/>
      <w:divBdr>
        <w:top w:val="none" w:sz="0" w:space="0" w:color="auto"/>
        <w:left w:val="none" w:sz="0" w:space="0" w:color="auto"/>
        <w:bottom w:val="none" w:sz="0" w:space="0" w:color="auto"/>
        <w:right w:val="none" w:sz="0" w:space="0" w:color="auto"/>
      </w:divBdr>
    </w:div>
    <w:div w:id="1824200430">
      <w:bodyDiv w:val="1"/>
      <w:marLeft w:val="0"/>
      <w:marRight w:val="0"/>
      <w:marTop w:val="0"/>
      <w:marBottom w:val="0"/>
      <w:divBdr>
        <w:top w:val="none" w:sz="0" w:space="0" w:color="auto"/>
        <w:left w:val="none" w:sz="0" w:space="0" w:color="auto"/>
        <w:bottom w:val="none" w:sz="0" w:space="0" w:color="auto"/>
        <w:right w:val="none" w:sz="0" w:space="0" w:color="auto"/>
      </w:divBdr>
    </w:div>
    <w:div w:id="1824351875">
      <w:bodyDiv w:val="1"/>
      <w:marLeft w:val="0"/>
      <w:marRight w:val="0"/>
      <w:marTop w:val="0"/>
      <w:marBottom w:val="0"/>
      <w:divBdr>
        <w:top w:val="none" w:sz="0" w:space="0" w:color="auto"/>
        <w:left w:val="none" w:sz="0" w:space="0" w:color="auto"/>
        <w:bottom w:val="none" w:sz="0" w:space="0" w:color="auto"/>
        <w:right w:val="none" w:sz="0" w:space="0" w:color="auto"/>
      </w:divBdr>
    </w:div>
    <w:div w:id="1824352851">
      <w:bodyDiv w:val="1"/>
      <w:marLeft w:val="0"/>
      <w:marRight w:val="0"/>
      <w:marTop w:val="0"/>
      <w:marBottom w:val="0"/>
      <w:divBdr>
        <w:top w:val="none" w:sz="0" w:space="0" w:color="auto"/>
        <w:left w:val="none" w:sz="0" w:space="0" w:color="auto"/>
        <w:bottom w:val="none" w:sz="0" w:space="0" w:color="auto"/>
        <w:right w:val="none" w:sz="0" w:space="0" w:color="auto"/>
      </w:divBdr>
    </w:div>
    <w:div w:id="1824393211">
      <w:bodyDiv w:val="1"/>
      <w:marLeft w:val="0"/>
      <w:marRight w:val="0"/>
      <w:marTop w:val="0"/>
      <w:marBottom w:val="0"/>
      <w:divBdr>
        <w:top w:val="none" w:sz="0" w:space="0" w:color="auto"/>
        <w:left w:val="none" w:sz="0" w:space="0" w:color="auto"/>
        <w:bottom w:val="none" w:sz="0" w:space="0" w:color="auto"/>
        <w:right w:val="none" w:sz="0" w:space="0" w:color="auto"/>
      </w:divBdr>
    </w:div>
    <w:div w:id="1824395240">
      <w:bodyDiv w:val="1"/>
      <w:marLeft w:val="0"/>
      <w:marRight w:val="0"/>
      <w:marTop w:val="0"/>
      <w:marBottom w:val="0"/>
      <w:divBdr>
        <w:top w:val="none" w:sz="0" w:space="0" w:color="auto"/>
        <w:left w:val="none" w:sz="0" w:space="0" w:color="auto"/>
        <w:bottom w:val="none" w:sz="0" w:space="0" w:color="auto"/>
        <w:right w:val="none" w:sz="0" w:space="0" w:color="auto"/>
      </w:divBdr>
    </w:div>
    <w:div w:id="1824422510">
      <w:bodyDiv w:val="1"/>
      <w:marLeft w:val="0"/>
      <w:marRight w:val="0"/>
      <w:marTop w:val="0"/>
      <w:marBottom w:val="0"/>
      <w:divBdr>
        <w:top w:val="none" w:sz="0" w:space="0" w:color="auto"/>
        <w:left w:val="none" w:sz="0" w:space="0" w:color="auto"/>
        <w:bottom w:val="none" w:sz="0" w:space="0" w:color="auto"/>
        <w:right w:val="none" w:sz="0" w:space="0" w:color="auto"/>
      </w:divBdr>
    </w:div>
    <w:div w:id="1824472208">
      <w:bodyDiv w:val="1"/>
      <w:marLeft w:val="0"/>
      <w:marRight w:val="0"/>
      <w:marTop w:val="0"/>
      <w:marBottom w:val="0"/>
      <w:divBdr>
        <w:top w:val="none" w:sz="0" w:space="0" w:color="auto"/>
        <w:left w:val="none" w:sz="0" w:space="0" w:color="auto"/>
        <w:bottom w:val="none" w:sz="0" w:space="0" w:color="auto"/>
        <w:right w:val="none" w:sz="0" w:space="0" w:color="auto"/>
      </w:divBdr>
    </w:div>
    <w:div w:id="1824543269">
      <w:bodyDiv w:val="1"/>
      <w:marLeft w:val="0"/>
      <w:marRight w:val="0"/>
      <w:marTop w:val="0"/>
      <w:marBottom w:val="0"/>
      <w:divBdr>
        <w:top w:val="none" w:sz="0" w:space="0" w:color="auto"/>
        <w:left w:val="none" w:sz="0" w:space="0" w:color="auto"/>
        <w:bottom w:val="none" w:sz="0" w:space="0" w:color="auto"/>
        <w:right w:val="none" w:sz="0" w:space="0" w:color="auto"/>
      </w:divBdr>
    </w:div>
    <w:div w:id="1824589976">
      <w:bodyDiv w:val="1"/>
      <w:marLeft w:val="0"/>
      <w:marRight w:val="0"/>
      <w:marTop w:val="0"/>
      <w:marBottom w:val="0"/>
      <w:divBdr>
        <w:top w:val="none" w:sz="0" w:space="0" w:color="auto"/>
        <w:left w:val="none" w:sz="0" w:space="0" w:color="auto"/>
        <w:bottom w:val="none" w:sz="0" w:space="0" w:color="auto"/>
        <w:right w:val="none" w:sz="0" w:space="0" w:color="auto"/>
      </w:divBdr>
    </w:div>
    <w:div w:id="1824656573">
      <w:bodyDiv w:val="1"/>
      <w:marLeft w:val="0"/>
      <w:marRight w:val="0"/>
      <w:marTop w:val="0"/>
      <w:marBottom w:val="0"/>
      <w:divBdr>
        <w:top w:val="none" w:sz="0" w:space="0" w:color="auto"/>
        <w:left w:val="none" w:sz="0" w:space="0" w:color="auto"/>
        <w:bottom w:val="none" w:sz="0" w:space="0" w:color="auto"/>
        <w:right w:val="none" w:sz="0" w:space="0" w:color="auto"/>
      </w:divBdr>
    </w:div>
    <w:div w:id="1824809454">
      <w:bodyDiv w:val="1"/>
      <w:marLeft w:val="0"/>
      <w:marRight w:val="0"/>
      <w:marTop w:val="0"/>
      <w:marBottom w:val="0"/>
      <w:divBdr>
        <w:top w:val="none" w:sz="0" w:space="0" w:color="auto"/>
        <w:left w:val="none" w:sz="0" w:space="0" w:color="auto"/>
        <w:bottom w:val="none" w:sz="0" w:space="0" w:color="auto"/>
        <w:right w:val="none" w:sz="0" w:space="0" w:color="auto"/>
      </w:divBdr>
    </w:div>
    <w:div w:id="1824814673">
      <w:bodyDiv w:val="1"/>
      <w:marLeft w:val="0"/>
      <w:marRight w:val="0"/>
      <w:marTop w:val="0"/>
      <w:marBottom w:val="0"/>
      <w:divBdr>
        <w:top w:val="none" w:sz="0" w:space="0" w:color="auto"/>
        <w:left w:val="none" w:sz="0" w:space="0" w:color="auto"/>
        <w:bottom w:val="none" w:sz="0" w:space="0" w:color="auto"/>
        <w:right w:val="none" w:sz="0" w:space="0" w:color="auto"/>
      </w:divBdr>
    </w:div>
    <w:div w:id="1824924788">
      <w:bodyDiv w:val="1"/>
      <w:marLeft w:val="0"/>
      <w:marRight w:val="0"/>
      <w:marTop w:val="0"/>
      <w:marBottom w:val="0"/>
      <w:divBdr>
        <w:top w:val="none" w:sz="0" w:space="0" w:color="auto"/>
        <w:left w:val="none" w:sz="0" w:space="0" w:color="auto"/>
        <w:bottom w:val="none" w:sz="0" w:space="0" w:color="auto"/>
        <w:right w:val="none" w:sz="0" w:space="0" w:color="auto"/>
      </w:divBdr>
    </w:div>
    <w:div w:id="1825000737">
      <w:bodyDiv w:val="1"/>
      <w:marLeft w:val="0"/>
      <w:marRight w:val="0"/>
      <w:marTop w:val="0"/>
      <w:marBottom w:val="0"/>
      <w:divBdr>
        <w:top w:val="none" w:sz="0" w:space="0" w:color="auto"/>
        <w:left w:val="none" w:sz="0" w:space="0" w:color="auto"/>
        <w:bottom w:val="none" w:sz="0" w:space="0" w:color="auto"/>
        <w:right w:val="none" w:sz="0" w:space="0" w:color="auto"/>
      </w:divBdr>
    </w:div>
    <w:div w:id="1825000989">
      <w:bodyDiv w:val="1"/>
      <w:marLeft w:val="0"/>
      <w:marRight w:val="0"/>
      <w:marTop w:val="0"/>
      <w:marBottom w:val="0"/>
      <w:divBdr>
        <w:top w:val="none" w:sz="0" w:space="0" w:color="auto"/>
        <w:left w:val="none" w:sz="0" w:space="0" w:color="auto"/>
        <w:bottom w:val="none" w:sz="0" w:space="0" w:color="auto"/>
        <w:right w:val="none" w:sz="0" w:space="0" w:color="auto"/>
      </w:divBdr>
    </w:div>
    <w:div w:id="1825079147">
      <w:bodyDiv w:val="1"/>
      <w:marLeft w:val="0"/>
      <w:marRight w:val="0"/>
      <w:marTop w:val="0"/>
      <w:marBottom w:val="0"/>
      <w:divBdr>
        <w:top w:val="none" w:sz="0" w:space="0" w:color="auto"/>
        <w:left w:val="none" w:sz="0" w:space="0" w:color="auto"/>
        <w:bottom w:val="none" w:sz="0" w:space="0" w:color="auto"/>
        <w:right w:val="none" w:sz="0" w:space="0" w:color="auto"/>
      </w:divBdr>
    </w:div>
    <w:div w:id="1825118939">
      <w:bodyDiv w:val="1"/>
      <w:marLeft w:val="0"/>
      <w:marRight w:val="0"/>
      <w:marTop w:val="0"/>
      <w:marBottom w:val="0"/>
      <w:divBdr>
        <w:top w:val="none" w:sz="0" w:space="0" w:color="auto"/>
        <w:left w:val="none" w:sz="0" w:space="0" w:color="auto"/>
        <w:bottom w:val="none" w:sz="0" w:space="0" w:color="auto"/>
        <w:right w:val="none" w:sz="0" w:space="0" w:color="auto"/>
      </w:divBdr>
    </w:div>
    <w:div w:id="1825198354">
      <w:bodyDiv w:val="1"/>
      <w:marLeft w:val="0"/>
      <w:marRight w:val="0"/>
      <w:marTop w:val="0"/>
      <w:marBottom w:val="0"/>
      <w:divBdr>
        <w:top w:val="none" w:sz="0" w:space="0" w:color="auto"/>
        <w:left w:val="none" w:sz="0" w:space="0" w:color="auto"/>
        <w:bottom w:val="none" w:sz="0" w:space="0" w:color="auto"/>
        <w:right w:val="none" w:sz="0" w:space="0" w:color="auto"/>
      </w:divBdr>
    </w:div>
    <w:div w:id="1825202673">
      <w:bodyDiv w:val="1"/>
      <w:marLeft w:val="0"/>
      <w:marRight w:val="0"/>
      <w:marTop w:val="0"/>
      <w:marBottom w:val="0"/>
      <w:divBdr>
        <w:top w:val="none" w:sz="0" w:space="0" w:color="auto"/>
        <w:left w:val="none" w:sz="0" w:space="0" w:color="auto"/>
        <w:bottom w:val="none" w:sz="0" w:space="0" w:color="auto"/>
        <w:right w:val="none" w:sz="0" w:space="0" w:color="auto"/>
      </w:divBdr>
    </w:div>
    <w:div w:id="1825243180">
      <w:bodyDiv w:val="1"/>
      <w:marLeft w:val="0"/>
      <w:marRight w:val="0"/>
      <w:marTop w:val="0"/>
      <w:marBottom w:val="0"/>
      <w:divBdr>
        <w:top w:val="none" w:sz="0" w:space="0" w:color="auto"/>
        <w:left w:val="none" w:sz="0" w:space="0" w:color="auto"/>
        <w:bottom w:val="none" w:sz="0" w:space="0" w:color="auto"/>
        <w:right w:val="none" w:sz="0" w:space="0" w:color="auto"/>
      </w:divBdr>
    </w:div>
    <w:div w:id="1825245559">
      <w:bodyDiv w:val="1"/>
      <w:marLeft w:val="0"/>
      <w:marRight w:val="0"/>
      <w:marTop w:val="0"/>
      <w:marBottom w:val="0"/>
      <w:divBdr>
        <w:top w:val="none" w:sz="0" w:space="0" w:color="auto"/>
        <w:left w:val="none" w:sz="0" w:space="0" w:color="auto"/>
        <w:bottom w:val="none" w:sz="0" w:space="0" w:color="auto"/>
        <w:right w:val="none" w:sz="0" w:space="0" w:color="auto"/>
      </w:divBdr>
    </w:div>
    <w:div w:id="1825269031">
      <w:bodyDiv w:val="1"/>
      <w:marLeft w:val="0"/>
      <w:marRight w:val="0"/>
      <w:marTop w:val="0"/>
      <w:marBottom w:val="0"/>
      <w:divBdr>
        <w:top w:val="none" w:sz="0" w:space="0" w:color="auto"/>
        <w:left w:val="none" w:sz="0" w:space="0" w:color="auto"/>
        <w:bottom w:val="none" w:sz="0" w:space="0" w:color="auto"/>
        <w:right w:val="none" w:sz="0" w:space="0" w:color="auto"/>
      </w:divBdr>
    </w:div>
    <w:div w:id="1825275239">
      <w:bodyDiv w:val="1"/>
      <w:marLeft w:val="0"/>
      <w:marRight w:val="0"/>
      <w:marTop w:val="0"/>
      <w:marBottom w:val="0"/>
      <w:divBdr>
        <w:top w:val="none" w:sz="0" w:space="0" w:color="auto"/>
        <w:left w:val="none" w:sz="0" w:space="0" w:color="auto"/>
        <w:bottom w:val="none" w:sz="0" w:space="0" w:color="auto"/>
        <w:right w:val="none" w:sz="0" w:space="0" w:color="auto"/>
      </w:divBdr>
    </w:div>
    <w:div w:id="1825315591">
      <w:bodyDiv w:val="1"/>
      <w:marLeft w:val="0"/>
      <w:marRight w:val="0"/>
      <w:marTop w:val="0"/>
      <w:marBottom w:val="0"/>
      <w:divBdr>
        <w:top w:val="none" w:sz="0" w:space="0" w:color="auto"/>
        <w:left w:val="none" w:sz="0" w:space="0" w:color="auto"/>
        <w:bottom w:val="none" w:sz="0" w:space="0" w:color="auto"/>
        <w:right w:val="none" w:sz="0" w:space="0" w:color="auto"/>
      </w:divBdr>
    </w:div>
    <w:div w:id="1825463226">
      <w:bodyDiv w:val="1"/>
      <w:marLeft w:val="0"/>
      <w:marRight w:val="0"/>
      <w:marTop w:val="0"/>
      <w:marBottom w:val="0"/>
      <w:divBdr>
        <w:top w:val="none" w:sz="0" w:space="0" w:color="auto"/>
        <w:left w:val="none" w:sz="0" w:space="0" w:color="auto"/>
        <w:bottom w:val="none" w:sz="0" w:space="0" w:color="auto"/>
        <w:right w:val="none" w:sz="0" w:space="0" w:color="auto"/>
      </w:divBdr>
    </w:div>
    <w:div w:id="1825509533">
      <w:bodyDiv w:val="1"/>
      <w:marLeft w:val="0"/>
      <w:marRight w:val="0"/>
      <w:marTop w:val="0"/>
      <w:marBottom w:val="0"/>
      <w:divBdr>
        <w:top w:val="none" w:sz="0" w:space="0" w:color="auto"/>
        <w:left w:val="none" w:sz="0" w:space="0" w:color="auto"/>
        <w:bottom w:val="none" w:sz="0" w:space="0" w:color="auto"/>
        <w:right w:val="none" w:sz="0" w:space="0" w:color="auto"/>
      </w:divBdr>
    </w:div>
    <w:div w:id="1825580336">
      <w:bodyDiv w:val="1"/>
      <w:marLeft w:val="0"/>
      <w:marRight w:val="0"/>
      <w:marTop w:val="0"/>
      <w:marBottom w:val="0"/>
      <w:divBdr>
        <w:top w:val="none" w:sz="0" w:space="0" w:color="auto"/>
        <w:left w:val="none" w:sz="0" w:space="0" w:color="auto"/>
        <w:bottom w:val="none" w:sz="0" w:space="0" w:color="auto"/>
        <w:right w:val="none" w:sz="0" w:space="0" w:color="auto"/>
      </w:divBdr>
    </w:div>
    <w:div w:id="1825588940">
      <w:bodyDiv w:val="1"/>
      <w:marLeft w:val="0"/>
      <w:marRight w:val="0"/>
      <w:marTop w:val="0"/>
      <w:marBottom w:val="0"/>
      <w:divBdr>
        <w:top w:val="none" w:sz="0" w:space="0" w:color="auto"/>
        <w:left w:val="none" w:sz="0" w:space="0" w:color="auto"/>
        <w:bottom w:val="none" w:sz="0" w:space="0" w:color="auto"/>
        <w:right w:val="none" w:sz="0" w:space="0" w:color="auto"/>
      </w:divBdr>
    </w:div>
    <w:div w:id="1825662582">
      <w:bodyDiv w:val="1"/>
      <w:marLeft w:val="0"/>
      <w:marRight w:val="0"/>
      <w:marTop w:val="0"/>
      <w:marBottom w:val="0"/>
      <w:divBdr>
        <w:top w:val="none" w:sz="0" w:space="0" w:color="auto"/>
        <w:left w:val="none" w:sz="0" w:space="0" w:color="auto"/>
        <w:bottom w:val="none" w:sz="0" w:space="0" w:color="auto"/>
        <w:right w:val="none" w:sz="0" w:space="0" w:color="auto"/>
      </w:divBdr>
    </w:div>
    <w:div w:id="1825899357">
      <w:bodyDiv w:val="1"/>
      <w:marLeft w:val="0"/>
      <w:marRight w:val="0"/>
      <w:marTop w:val="0"/>
      <w:marBottom w:val="0"/>
      <w:divBdr>
        <w:top w:val="none" w:sz="0" w:space="0" w:color="auto"/>
        <w:left w:val="none" w:sz="0" w:space="0" w:color="auto"/>
        <w:bottom w:val="none" w:sz="0" w:space="0" w:color="auto"/>
        <w:right w:val="none" w:sz="0" w:space="0" w:color="auto"/>
      </w:divBdr>
    </w:div>
    <w:div w:id="1825928830">
      <w:bodyDiv w:val="1"/>
      <w:marLeft w:val="0"/>
      <w:marRight w:val="0"/>
      <w:marTop w:val="0"/>
      <w:marBottom w:val="0"/>
      <w:divBdr>
        <w:top w:val="none" w:sz="0" w:space="0" w:color="auto"/>
        <w:left w:val="none" w:sz="0" w:space="0" w:color="auto"/>
        <w:bottom w:val="none" w:sz="0" w:space="0" w:color="auto"/>
        <w:right w:val="none" w:sz="0" w:space="0" w:color="auto"/>
      </w:divBdr>
    </w:div>
    <w:div w:id="1826042129">
      <w:bodyDiv w:val="1"/>
      <w:marLeft w:val="0"/>
      <w:marRight w:val="0"/>
      <w:marTop w:val="0"/>
      <w:marBottom w:val="0"/>
      <w:divBdr>
        <w:top w:val="none" w:sz="0" w:space="0" w:color="auto"/>
        <w:left w:val="none" w:sz="0" w:space="0" w:color="auto"/>
        <w:bottom w:val="none" w:sz="0" w:space="0" w:color="auto"/>
        <w:right w:val="none" w:sz="0" w:space="0" w:color="auto"/>
      </w:divBdr>
    </w:div>
    <w:div w:id="1826120030">
      <w:bodyDiv w:val="1"/>
      <w:marLeft w:val="0"/>
      <w:marRight w:val="0"/>
      <w:marTop w:val="0"/>
      <w:marBottom w:val="0"/>
      <w:divBdr>
        <w:top w:val="none" w:sz="0" w:space="0" w:color="auto"/>
        <w:left w:val="none" w:sz="0" w:space="0" w:color="auto"/>
        <w:bottom w:val="none" w:sz="0" w:space="0" w:color="auto"/>
        <w:right w:val="none" w:sz="0" w:space="0" w:color="auto"/>
      </w:divBdr>
    </w:div>
    <w:div w:id="1826124602">
      <w:bodyDiv w:val="1"/>
      <w:marLeft w:val="0"/>
      <w:marRight w:val="0"/>
      <w:marTop w:val="0"/>
      <w:marBottom w:val="0"/>
      <w:divBdr>
        <w:top w:val="none" w:sz="0" w:space="0" w:color="auto"/>
        <w:left w:val="none" w:sz="0" w:space="0" w:color="auto"/>
        <w:bottom w:val="none" w:sz="0" w:space="0" w:color="auto"/>
        <w:right w:val="none" w:sz="0" w:space="0" w:color="auto"/>
      </w:divBdr>
    </w:div>
    <w:div w:id="1826125893">
      <w:bodyDiv w:val="1"/>
      <w:marLeft w:val="0"/>
      <w:marRight w:val="0"/>
      <w:marTop w:val="0"/>
      <w:marBottom w:val="0"/>
      <w:divBdr>
        <w:top w:val="none" w:sz="0" w:space="0" w:color="auto"/>
        <w:left w:val="none" w:sz="0" w:space="0" w:color="auto"/>
        <w:bottom w:val="none" w:sz="0" w:space="0" w:color="auto"/>
        <w:right w:val="none" w:sz="0" w:space="0" w:color="auto"/>
      </w:divBdr>
    </w:div>
    <w:div w:id="1826126088">
      <w:bodyDiv w:val="1"/>
      <w:marLeft w:val="0"/>
      <w:marRight w:val="0"/>
      <w:marTop w:val="0"/>
      <w:marBottom w:val="0"/>
      <w:divBdr>
        <w:top w:val="none" w:sz="0" w:space="0" w:color="auto"/>
        <w:left w:val="none" w:sz="0" w:space="0" w:color="auto"/>
        <w:bottom w:val="none" w:sz="0" w:space="0" w:color="auto"/>
        <w:right w:val="none" w:sz="0" w:space="0" w:color="auto"/>
      </w:divBdr>
    </w:div>
    <w:div w:id="1826362658">
      <w:bodyDiv w:val="1"/>
      <w:marLeft w:val="0"/>
      <w:marRight w:val="0"/>
      <w:marTop w:val="0"/>
      <w:marBottom w:val="0"/>
      <w:divBdr>
        <w:top w:val="none" w:sz="0" w:space="0" w:color="auto"/>
        <w:left w:val="none" w:sz="0" w:space="0" w:color="auto"/>
        <w:bottom w:val="none" w:sz="0" w:space="0" w:color="auto"/>
        <w:right w:val="none" w:sz="0" w:space="0" w:color="auto"/>
      </w:divBdr>
    </w:div>
    <w:div w:id="1826428895">
      <w:bodyDiv w:val="1"/>
      <w:marLeft w:val="0"/>
      <w:marRight w:val="0"/>
      <w:marTop w:val="0"/>
      <w:marBottom w:val="0"/>
      <w:divBdr>
        <w:top w:val="none" w:sz="0" w:space="0" w:color="auto"/>
        <w:left w:val="none" w:sz="0" w:space="0" w:color="auto"/>
        <w:bottom w:val="none" w:sz="0" w:space="0" w:color="auto"/>
        <w:right w:val="none" w:sz="0" w:space="0" w:color="auto"/>
      </w:divBdr>
    </w:div>
    <w:div w:id="1826431507">
      <w:bodyDiv w:val="1"/>
      <w:marLeft w:val="0"/>
      <w:marRight w:val="0"/>
      <w:marTop w:val="0"/>
      <w:marBottom w:val="0"/>
      <w:divBdr>
        <w:top w:val="none" w:sz="0" w:space="0" w:color="auto"/>
        <w:left w:val="none" w:sz="0" w:space="0" w:color="auto"/>
        <w:bottom w:val="none" w:sz="0" w:space="0" w:color="auto"/>
        <w:right w:val="none" w:sz="0" w:space="0" w:color="auto"/>
      </w:divBdr>
    </w:div>
    <w:div w:id="1826630309">
      <w:bodyDiv w:val="1"/>
      <w:marLeft w:val="0"/>
      <w:marRight w:val="0"/>
      <w:marTop w:val="0"/>
      <w:marBottom w:val="0"/>
      <w:divBdr>
        <w:top w:val="none" w:sz="0" w:space="0" w:color="auto"/>
        <w:left w:val="none" w:sz="0" w:space="0" w:color="auto"/>
        <w:bottom w:val="none" w:sz="0" w:space="0" w:color="auto"/>
        <w:right w:val="none" w:sz="0" w:space="0" w:color="auto"/>
      </w:divBdr>
    </w:div>
    <w:div w:id="1826777368">
      <w:bodyDiv w:val="1"/>
      <w:marLeft w:val="0"/>
      <w:marRight w:val="0"/>
      <w:marTop w:val="0"/>
      <w:marBottom w:val="0"/>
      <w:divBdr>
        <w:top w:val="none" w:sz="0" w:space="0" w:color="auto"/>
        <w:left w:val="none" w:sz="0" w:space="0" w:color="auto"/>
        <w:bottom w:val="none" w:sz="0" w:space="0" w:color="auto"/>
        <w:right w:val="none" w:sz="0" w:space="0" w:color="auto"/>
      </w:divBdr>
    </w:div>
    <w:div w:id="1826779209">
      <w:bodyDiv w:val="1"/>
      <w:marLeft w:val="0"/>
      <w:marRight w:val="0"/>
      <w:marTop w:val="0"/>
      <w:marBottom w:val="0"/>
      <w:divBdr>
        <w:top w:val="none" w:sz="0" w:space="0" w:color="auto"/>
        <w:left w:val="none" w:sz="0" w:space="0" w:color="auto"/>
        <w:bottom w:val="none" w:sz="0" w:space="0" w:color="auto"/>
        <w:right w:val="none" w:sz="0" w:space="0" w:color="auto"/>
      </w:divBdr>
    </w:div>
    <w:div w:id="1826969369">
      <w:bodyDiv w:val="1"/>
      <w:marLeft w:val="0"/>
      <w:marRight w:val="0"/>
      <w:marTop w:val="0"/>
      <w:marBottom w:val="0"/>
      <w:divBdr>
        <w:top w:val="none" w:sz="0" w:space="0" w:color="auto"/>
        <w:left w:val="none" w:sz="0" w:space="0" w:color="auto"/>
        <w:bottom w:val="none" w:sz="0" w:space="0" w:color="auto"/>
        <w:right w:val="none" w:sz="0" w:space="0" w:color="auto"/>
      </w:divBdr>
    </w:div>
    <w:div w:id="1827089873">
      <w:bodyDiv w:val="1"/>
      <w:marLeft w:val="0"/>
      <w:marRight w:val="0"/>
      <w:marTop w:val="0"/>
      <w:marBottom w:val="0"/>
      <w:divBdr>
        <w:top w:val="none" w:sz="0" w:space="0" w:color="auto"/>
        <w:left w:val="none" w:sz="0" w:space="0" w:color="auto"/>
        <w:bottom w:val="none" w:sz="0" w:space="0" w:color="auto"/>
        <w:right w:val="none" w:sz="0" w:space="0" w:color="auto"/>
      </w:divBdr>
    </w:div>
    <w:div w:id="1827167064">
      <w:bodyDiv w:val="1"/>
      <w:marLeft w:val="0"/>
      <w:marRight w:val="0"/>
      <w:marTop w:val="0"/>
      <w:marBottom w:val="0"/>
      <w:divBdr>
        <w:top w:val="none" w:sz="0" w:space="0" w:color="auto"/>
        <w:left w:val="none" w:sz="0" w:space="0" w:color="auto"/>
        <w:bottom w:val="none" w:sz="0" w:space="0" w:color="auto"/>
        <w:right w:val="none" w:sz="0" w:space="0" w:color="auto"/>
      </w:divBdr>
    </w:div>
    <w:div w:id="1827209660">
      <w:bodyDiv w:val="1"/>
      <w:marLeft w:val="0"/>
      <w:marRight w:val="0"/>
      <w:marTop w:val="0"/>
      <w:marBottom w:val="0"/>
      <w:divBdr>
        <w:top w:val="none" w:sz="0" w:space="0" w:color="auto"/>
        <w:left w:val="none" w:sz="0" w:space="0" w:color="auto"/>
        <w:bottom w:val="none" w:sz="0" w:space="0" w:color="auto"/>
        <w:right w:val="none" w:sz="0" w:space="0" w:color="auto"/>
      </w:divBdr>
    </w:div>
    <w:div w:id="1827431448">
      <w:bodyDiv w:val="1"/>
      <w:marLeft w:val="0"/>
      <w:marRight w:val="0"/>
      <w:marTop w:val="0"/>
      <w:marBottom w:val="0"/>
      <w:divBdr>
        <w:top w:val="none" w:sz="0" w:space="0" w:color="auto"/>
        <w:left w:val="none" w:sz="0" w:space="0" w:color="auto"/>
        <w:bottom w:val="none" w:sz="0" w:space="0" w:color="auto"/>
        <w:right w:val="none" w:sz="0" w:space="0" w:color="auto"/>
      </w:divBdr>
    </w:div>
    <w:div w:id="1827434948">
      <w:bodyDiv w:val="1"/>
      <w:marLeft w:val="0"/>
      <w:marRight w:val="0"/>
      <w:marTop w:val="0"/>
      <w:marBottom w:val="0"/>
      <w:divBdr>
        <w:top w:val="none" w:sz="0" w:space="0" w:color="auto"/>
        <w:left w:val="none" w:sz="0" w:space="0" w:color="auto"/>
        <w:bottom w:val="none" w:sz="0" w:space="0" w:color="auto"/>
        <w:right w:val="none" w:sz="0" w:space="0" w:color="auto"/>
      </w:divBdr>
    </w:div>
    <w:div w:id="1827553126">
      <w:bodyDiv w:val="1"/>
      <w:marLeft w:val="0"/>
      <w:marRight w:val="0"/>
      <w:marTop w:val="0"/>
      <w:marBottom w:val="0"/>
      <w:divBdr>
        <w:top w:val="none" w:sz="0" w:space="0" w:color="auto"/>
        <w:left w:val="none" w:sz="0" w:space="0" w:color="auto"/>
        <w:bottom w:val="none" w:sz="0" w:space="0" w:color="auto"/>
        <w:right w:val="none" w:sz="0" w:space="0" w:color="auto"/>
      </w:divBdr>
    </w:div>
    <w:div w:id="1827672263">
      <w:bodyDiv w:val="1"/>
      <w:marLeft w:val="0"/>
      <w:marRight w:val="0"/>
      <w:marTop w:val="0"/>
      <w:marBottom w:val="0"/>
      <w:divBdr>
        <w:top w:val="none" w:sz="0" w:space="0" w:color="auto"/>
        <w:left w:val="none" w:sz="0" w:space="0" w:color="auto"/>
        <w:bottom w:val="none" w:sz="0" w:space="0" w:color="auto"/>
        <w:right w:val="none" w:sz="0" w:space="0" w:color="auto"/>
      </w:divBdr>
    </w:div>
    <w:div w:id="1827696931">
      <w:bodyDiv w:val="1"/>
      <w:marLeft w:val="0"/>
      <w:marRight w:val="0"/>
      <w:marTop w:val="0"/>
      <w:marBottom w:val="0"/>
      <w:divBdr>
        <w:top w:val="none" w:sz="0" w:space="0" w:color="auto"/>
        <w:left w:val="none" w:sz="0" w:space="0" w:color="auto"/>
        <w:bottom w:val="none" w:sz="0" w:space="0" w:color="auto"/>
        <w:right w:val="none" w:sz="0" w:space="0" w:color="auto"/>
      </w:divBdr>
    </w:div>
    <w:div w:id="1827821866">
      <w:bodyDiv w:val="1"/>
      <w:marLeft w:val="0"/>
      <w:marRight w:val="0"/>
      <w:marTop w:val="0"/>
      <w:marBottom w:val="0"/>
      <w:divBdr>
        <w:top w:val="none" w:sz="0" w:space="0" w:color="auto"/>
        <w:left w:val="none" w:sz="0" w:space="0" w:color="auto"/>
        <w:bottom w:val="none" w:sz="0" w:space="0" w:color="auto"/>
        <w:right w:val="none" w:sz="0" w:space="0" w:color="auto"/>
      </w:divBdr>
    </w:div>
    <w:div w:id="1827935423">
      <w:bodyDiv w:val="1"/>
      <w:marLeft w:val="0"/>
      <w:marRight w:val="0"/>
      <w:marTop w:val="0"/>
      <w:marBottom w:val="0"/>
      <w:divBdr>
        <w:top w:val="none" w:sz="0" w:space="0" w:color="auto"/>
        <w:left w:val="none" w:sz="0" w:space="0" w:color="auto"/>
        <w:bottom w:val="none" w:sz="0" w:space="0" w:color="auto"/>
        <w:right w:val="none" w:sz="0" w:space="0" w:color="auto"/>
      </w:divBdr>
    </w:div>
    <w:div w:id="1828010164">
      <w:bodyDiv w:val="1"/>
      <w:marLeft w:val="0"/>
      <w:marRight w:val="0"/>
      <w:marTop w:val="0"/>
      <w:marBottom w:val="0"/>
      <w:divBdr>
        <w:top w:val="none" w:sz="0" w:space="0" w:color="auto"/>
        <w:left w:val="none" w:sz="0" w:space="0" w:color="auto"/>
        <w:bottom w:val="none" w:sz="0" w:space="0" w:color="auto"/>
        <w:right w:val="none" w:sz="0" w:space="0" w:color="auto"/>
      </w:divBdr>
    </w:div>
    <w:div w:id="1828011281">
      <w:bodyDiv w:val="1"/>
      <w:marLeft w:val="0"/>
      <w:marRight w:val="0"/>
      <w:marTop w:val="0"/>
      <w:marBottom w:val="0"/>
      <w:divBdr>
        <w:top w:val="none" w:sz="0" w:space="0" w:color="auto"/>
        <w:left w:val="none" w:sz="0" w:space="0" w:color="auto"/>
        <w:bottom w:val="none" w:sz="0" w:space="0" w:color="auto"/>
        <w:right w:val="none" w:sz="0" w:space="0" w:color="auto"/>
      </w:divBdr>
    </w:div>
    <w:div w:id="1828203116">
      <w:bodyDiv w:val="1"/>
      <w:marLeft w:val="0"/>
      <w:marRight w:val="0"/>
      <w:marTop w:val="0"/>
      <w:marBottom w:val="0"/>
      <w:divBdr>
        <w:top w:val="none" w:sz="0" w:space="0" w:color="auto"/>
        <w:left w:val="none" w:sz="0" w:space="0" w:color="auto"/>
        <w:bottom w:val="none" w:sz="0" w:space="0" w:color="auto"/>
        <w:right w:val="none" w:sz="0" w:space="0" w:color="auto"/>
      </w:divBdr>
    </w:div>
    <w:div w:id="1828207287">
      <w:bodyDiv w:val="1"/>
      <w:marLeft w:val="0"/>
      <w:marRight w:val="0"/>
      <w:marTop w:val="0"/>
      <w:marBottom w:val="0"/>
      <w:divBdr>
        <w:top w:val="none" w:sz="0" w:space="0" w:color="auto"/>
        <w:left w:val="none" w:sz="0" w:space="0" w:color="auto"/>
        <w:bottom w:val="none" w:sz="0" w:space="0" w:color="auto"/>
        <w:right w:val="none" w:sz="0" w:space="0" w:color="auto"/>
      </w:divBdr>
    </w:div>
    <w:div w:id="1828208074">
      <w:bodyDiv w:val="1"/>
      <w:marLeft w:val="0"/>
      <w:marRight w:val="0"/>
      <w:marTop w:val="0"/>
      <w:marBottom w:val="0"/>
      <w:divBdr>
        <w:top w:val="none" w:sz="0" w:space="0" w:color="auto"/>
        <w:left w:val="none" w:sz="0" w:space="0" w:color="auto"/>
        <w:bottom w:val="none" w:sz="0" w:space="0" w:color="auto"/>
        <w:right w:val="none" w:sz="0" w:space="0" w:color="auto"/>
      </w:divBdr>
    </w:div>
    <w:div w:id="1828209363">
      <w:bodyDiv w:val="1"/>
      <w:marLeft w:val="0"/>
      <w:marRight w:val="0"/>
      <w:marTop w:val="0"/>
      <w:marBottom w:val="0"/>
      <w:divBdr>
        <w:top w:val="none" w:sz="0" w:space="0" w:color="auto"/>
        <w:left w:val="none" w:sz="0" w:space="0" w:color="auto"/>
        <w:bottom w:val="none" w:sz="0" w:space="0" w:color="auto"/>
        <w:right w:val="none" w:sz="0" w:space="0" w:color="auto"/>
      </w:divBdr>
    </w:div>
    <w:div w:id="1828209450">
      <w:bodyDiv w:val="1"/>
      <w:marLeft w:val="0"/>
      <w:marRight w:val="0"/>
      <w:marTop w:val="0"/>
      <w:marBottom w:val="0"/>
      <w:divBdr>
        <w:top w:val="none" w:sz="0" w:space="0" w:color="auto"/>
        <w:left w:val="none" w:sz="0" w:space="0" w:color="auto"/>
        <w:bottom w:val="none" w:sz="0" w:space="0" w:color="auto"/>
        <w:right w:val="none" w:sz="0" w:space="0" w:color="auto"/>
      </w:divBdr>
    </w:div>
    <w:div w:id="1828354172">
      <w:bodyDiv w:val="1"/>
      <w:marLeft w:val="0"/>
      <w:marRight w:val="0"/>
      <w:marTop w:val="0"/>
      <w:marBottom w:val="0"/>
      <w:divBdr>
        <w:top w:val="none" w:sz="0" w:space="0" w:color="auto"/>
        <w:left w:val="none" w:sz="0" w:space="0" w:color="auto"/>
        <w:bottom w:val="none" w:sz="0" w:space="0" w:color="auto"/>
        <w:right w:val="none" w:sz="0" w:space="0" w:color="auto"/>
      </w:divBdr>
    </w:div>
    <w:div w:id="1828396343">
      <w:bodyDiv w:val="1"/>
      <w:marLeft w:val="0"/>
      <w:marRight w:val="0"/>
      <w:marTop w:val="0"/>
      <w:marBottom w:val="0"/>
      <w:divBdr>
        <w:top w:val="none" w:sz="0" w:space="0" w:color="auto"/>
        <w:left w:val="none" w:sz="0" w:space="0" w:color="auto"/>
        <w:bottom w:val="none" w:sz="0" w:space="0" w:color="auto"/>
        <w:right w:val="none" w:sz="0" w:space="0" w:color="auto"/>
      </w:divBdr>
    </w:div>
    <w:div w:id="1828396810">
      <w:bodyDiv w:val="1"/>
      <w:marLeft w:val="0"/>
      <w:marRight w:val="0"/>
      <w:marTop w:val="0"/>
      <w:marBottom w:val="0"/>
      <w:divBdr>
        <w:top w:val="none" w:sz="0" w:space="0" w:color="auto"/>
        <w:left w:val="none" w:sz="0" w:space="0" w:color="auto"/>
        <w:bottom w:val="none" w:sz="0" w:space="0" w:color="auto"/>
        <w:right w:val="none" w:sz="0" w:space="0" w:color="auto"/>
      </w:divBdr>
    </w:div>
    <w:div w:id="1828397272">
      <w:bodyDiv w:val="1"/>
      <w:marLeft w:val="0"/>
      <w:marRight w:val="0"/>
      <w:marTop w:val="0"/>
      <w:marBottom w:val="0"/>
      <w:divBdr>
        <w:top w:val="none" w:sz="0" w:space="0" w:color="auto"/>
        <w:left w:val="none" w:sz="0" w:space="0" w:color="auto"/>
        <w:bottom w:val="none" w:sz="0" w:space="0" w:color="auto"/>
        <w:right w:val="none" w:sz="0" w:space="0" w:color="auto"/>
      </w:divBdr>
    </w:div>
    <w:div w:id="1828469918">
      <w:bodyDiv w:val="1"/>
      <w:marLeft w:val="0"/>
      <w:marRight w:val="0"/>
      <w:marTop w:val="0"/>
      <w:marBottom w:val="0"/>
      <w:divBdr>
        <w:top w:val="none" w:sz="0" w:space="0" w:color="auto"/>
        <w:left w:val="none" w:sz="0" w:space="0" w:color="auto"/>
        <w:bottom w:val="none" w:sz="0" w:space="0" w:color="auto"/>
        <w:right w:val="none" w:sz="0" w:space="0" w:color="auto"/>
      </w:divBdr>
    </w:div>
    <w:div w:id="1828521300">
      <w:bodyDiv w:val="1"/>
      <w:marLeft w:val="0"/>
      <w:marRight w:val="0"/>
      <w:marTop w:val="0"/>
      <w:marBottom w:val="0"/>
      <w:divBdr>
        <w:top w:val="none" w:sz="0" w:space="0" w:color="auto"/>
        <w:left w:val="none" w:sz="0" w:space="0" w:color="auto"/>
        <w:bottom w:val="none" w:sz="0" w:space="0" w:color="auto"/>
        <w:right w:val="none" w:sz="0" w:space="0" w:color="auto"/>
      </w:divBdr>
    </w:div>
    <w:div w:id="1828521329">
      <w:bodyDiv w:val="1"/>
      <w:marLeft w:val="0"/>
      <w:marRight w:val="0"/>
      <w:marTop w:val="0"/>
      <w:marBottom w:val="0"/>
      <w:divBdr>
        <w:top w:val="none" w:sz="0" w:space="0" w:color="auto"/>
        <w:left w:val="none" w:sz="0" w:space="0" w:color="auto"/>
        <w:bottom w:val="none" w:sz="0" w:space="0" w:color="auto"/>
        <w:right w:val="none" w:sz="0" w:space="0" w:color="auto"/>
      </w:divBdr>
    </w:div>
    <w:div w:id="1828589661">
      <w:bodyDiv w:val="1"/>
      <w:marLeft w:val="0"/>
      <w:marRight w:val="0"/>
      <w:marTop w:val="0"/>
      <w:marBottom w:val="0"/>
      <w:divBdr>
        <w:top w:val="none" w:sz="0" w:space="0" w:color="auto"/>
        <w:left w:val="none" w:sz="0" w:space="0" w:color="auto"/>
        <w:bottom w:val="none" w:sz="0" w:space="0" w:color="auto"/>
        <w:right w:val="none" w:sz="0" w:space="0" w:color="auto"/>
      </w:divBdr>
    </w:div>
    <w:div w:id="1828859440">
      <w:bodyDiv w:val="1"/>
      <w:marLeft w:val="0"/>
      <w:marRight w:val="0"/>
      <w:marTop w:val="0"/>
      <w:marBottom w:val="0"/>
      <w:divBdr>
        <w:top w:val="none" w:sz="0" w:space="0" w:color="auto"/>
        <w:left w:val="none" w:sz="0" w:space="0" w:color="auto"/>
        <w:bottom w:val="none" w:sz="0" w:space="0" w:color="auto"/>
        <w:right w:val="none" w:sz="0" w:space="0" w:color="auto"/>
      </w:divBdr>
    </w:div>
    <w:div w:id="1828865754">
      <w:bodyDiv w:val="1"/>
      <w:marLeft w:val="0"/>
      <w:marRight w:val="0"/>
      <w:marTop w:val="0"/>
      <w:marBottom w:val="0"/>
      <w:divBdr>
        <w:top w:val="none" w:sz="0" w:space="0" w:color="auto"/>
        <w:left w:val="none" w:sz="0" w:space="0" w:color="auto"/>
        <w:bottom w:val="none" w:sz="0" w:space="0" w:color="auto"/>
        <w:right w:val="none" w:sz="0" w:space="0" w:color="auto"/>
      </w:divBdr>
    </w:div>
    <w:div w:id="1828935171">
      <w:bodyDiv w:val="1"/>
      <w:marLeft w:val="0"/>
      <w:marRight w:val="0"/>
      <w:marTop w:val="0"/>
      <w:marBottom w:val="0"/>
      <w:divBdr>
        <w:top w:val="none" w:sz="0" w:space="0" w:color="auto"/>
        <w:left w:val="none" w:sz="0" w:space="0" w:color="auto"/>
        <w:bottom w:val="none" w:sz="0" w:space="0" w:color="auto"/>
        <w:right w:val="none" w:sz="0" w:space="0" w:color="auto"/>
      </w:divBdr>
    </w:div>
    <w:div w:id="1829050053">
      <w:bodyDiv w:val="1"/>
      <w:marLeft w:val="0"/>
      <w:marRight w:val="0"/>
      <w:marTop w:val="0"/>
      <w:marBottom w:val="0"/>
      <w:divBdr>
        <w:top w:val="none" w:sz="0" w:space="0" w:color="auto"/>
        <w:left w:val="none" w:sz="0" w:space="0" w:color="auto"/>
        <w:bottom w:val="none" w:sz="0" w:space="0" w:color="auto"/>
        <w:right w:val="none" w:sz="0" w:space="0" w:color="auto"/>
      </w:divBdr>
    </w:div>
    <w:div w:id="1829125034">
      <w:bodyDiv w:val="1"/>
      <w:marLeft w:val="0"/>
      <w:marRight w:val="0"/>
      <w:marTop w:val="0"/>
      <w:marBottom w:val="0"/>
      <w:divBdr>
        <w:top w:val="none" w:sz="0" w:space="0" w:color="auto"/>
        <w:left w:val="none" w:sz="0" w:space="0" w:color="auto"/>
        <w:bottom w:val="none" w:sz="0" w:space="0" w:color="auto"/>
        <w:right w:val="none" w:sz="0" w:space="0" w:color="auto"/>
      </w:divBdr>
    </w:div>
    <w:div w:id="1829200243">
      <w:bodyDiv w:val="1"/>
      <w:marLeft w:val="0"/>
      <w:marRight w:val="0"/>
      <w:marTop w:val="0"/>
      <w:marBottom w:val="0"/>
      <w:divBdr>
        <w:top w:val="none" w:sz="0" w:space="0" w:color="auto"/>
        <w:left w:val="none" w:sz="0" w:space="0" w:color="auto"/>
        <w:bottom w:val="none" w:sz="0" w:space="0" w:color="auto"/>
        <w:right w:val="none" w:sz="0" w:space="0" w:color="auto"/>
      </w:divBdr>
    </w:div>
    <w:div w:id="1829204629">
      <w:bodyDiv w:val="1"/>
      <w:marLeft w:val="0"/>
      <w:marRight w:val="0"/>
      <w:marTop w:val="0"/>
      <w:marBottom w:val="0"/>
      <w:divBdr>
        <w:top w:val="none" w:sz="0" w:space="0" w:color="auto"/>
        <w:left w:val="none" w:sz="0" w:space="0" w:color="auto"/>
        <w:bottom w:val="none" w:sz="0" w:space="0" w:color="auto"/>
        <w:right w:val="none" w:sz="0" w:space="0" w:color="auto"/>
      </w:divBdr>
    </w:div>
    <w:div w:id="1829205851">
      <w:bodyDiv w:val="1"/>
      <w:marLeft w:val="0"/>
      <w:marRight w:val="0"/>
      <w:marTop w:val="0"/>
      <w:marBottom w:val="0"/>
      <w:divBdr>
        <w:top w:val="none" w:sz="0" w:space="0" w:color="auto"/>
        <w:left w:val="none" w:sz="0" w:space="0" w:color="auto"/>
        <w:bottom w:val="none" w:sz="0" w:space="0" w:color="auto"/>
        <w:right w:val="none" w:sz="0" w:space="0" w:color="auto"/>
      </w:divBdr>
    </w:div>
    <w:div w:id="1829206603">
      <w:bodyDiv w:val="1"/>
      <w:marLeft w:val="0"/>
      <w:marRight w:val="0"/>
      <w:marTop w:val="0"/>
      <w:marBottom w:val="0"/>
      <w:divBdr>
        <w:top w:val="none" w:sz="0" w:space="0" w:color="auto"/>
        <w:left w:val="none" w:sz="0" w:space="0" w:color="auto"/>
        <w:bottom w:val="none" w:sz="0" w:space="0" w:color="auto"/>
        <w:right w:val="none" w:sz="0" w:space="0" w:color="auto"/>
      </w:divBdr>
    </w:div>
    <w:div w:id="1829320932">
      <w:bodyDiv w:val="1"/>
      <w:marLeft w:val="0"/>
      <w:marRight w:val="0"/>
      <w:marTop w:val="0"/>
      <w:marBottom w:val="0"/>
      <w:divBdr>
        <w:top w:val="none" w:sz="0" w:space="0" w:color="auto"/>
        <w:left w:val="none" w:sz="0" w:space="0" w:color="auto"/>
        <w:bottom w:val="none" w:sz="0" w:space="0" w:color="auto"/>
        <w:right w:val="none" w:sz="0" w:space="0" w:color="auto"/>
      </w:divBdr>
    </w:div>
    <w:div w:id="1829326892">
      <w:bodyDiv w:val="1"/>
      <w:marLeft w:val="0"/>
      <w:marRight w:val="0"/>
      <w:marTop w:val="0"/>
      <w:marBottom w:val="0"/>
      <w:divBdr>
        <w:top w:val="none" w:sz="0" w:space="0" w:color="auto"/>
        <w:left w:val="none" w:sz="0" w:space="0" w:color="auto"/>
        <w:bottom w:val="none" w:sz="0" w:space="0" w:color="auto"/>
        <w:right w:val="none" w:sz="0" w:space="0" w:color="auto"/>
      </w:divBdr>
    </w:div>
    <w:div w:id="1829444696">
      <w:bodyDiv w:val="1"/>
      <w:marLeft w:val="0"/>
      <w:marRight w:val="0"/>
      <w:marTop w:val="0"/>
      <w:marBottom w:val="0"/>
      <w:divBdr>
        <w:top w:val="none" w:sz="0" w:space="0" w:color="auto"/>
        <w:left w:val="none" w:sz="0" w:space="0" w:color="auto"/>
        <w:bottom w:val="none" w:sz="0" w:space="0" w:color="auto"/>
        <w:right w:val="none" w:sz="0" w:space="0" w:color="auto"/>
      </w:divBdr>
    </w:div>
    <w:div w:id="1829588345">
      <w:bodyDiv w:val="1"/>
      <w:marLeft w:val="0"/>
      <w:marRight w:val="0"/>
      <w:marTop w:val="0"/>
      <w:marBottom w:val="0"/>
      <w:divBdr>
        <w:top w:val="none" w:sz="0" w:space="0" w:color="auto"/>
        <w:left w:val="none" w:sz="0" w:space="0" w:color="auto"/>
        <w:bottom w:val="none" w:sz="0" w:space="0" w:color="auto"/>
        <w:right w:val="none" w:sz="0" w:space="0" w:color="auto"/>
      </w:divBdr>
    </w:div>
    <w:div w:id="1829636193">
      <w:bodyDiv w:val="1"/>
      <w:marLeft w:val="0"/>
      <w:marRight w:val="0"/>
      <w:marTop w:val="0"/>
      <w:marBottom w:val="0"/>
      <w:divBdr>
        <w:top w:val="none" w:sz="0" w:space="0" w:color="auto"/>
        <w:left w:val="none" w:sz="0" w:space="0" w:color="auto"/>
        <w:bottom w:val="none" w:sz="0" w:space="0" w:color="auto"/>
        <w:right w:val="none" w:sz="0" w:space="0" w:color="auto"/>
      </w:divBdr>
    </w:div>
    <w:div w:id="1829714204">
      <w:bodyDiv w:val="1"/>
      <w:marLeft w:val="0"/>
      <w:marRight w:val="0"/>
      <w:marTop w:val="0"/>
      <w:marBottom w:val="0"/>
      <w:divBdr>
        <w:top w:val="none" w:sz="0" w:space="0" w:color="auto"/>
        <w:left w:val="none" w:sz="0" w:space="0" w:color="auto"/>
        <w:bottom w:val="none" w:sz="0" w:space="0" w:color="auto"/>
        <w:right w:val="none" w:sz="0" w:space="0" w:color="auto"/>
      </w:divBdr>
    </w:div>
    <w:div w:id="1829860023">
      <w:bodyDiv w:val="1"/>
      <w:marLeft w:val="0"/>
      <w:marRight w:val="0"/>
      <w:marTop w:val="0"/>
      <w:marBottom w:val="0"/>
      <w:divBdr>
        <w:top w:val="none" w:sz="0" w:space="0" w:color="auto"/>
        <w:left w:val="none" w:sz="0" w:space="0" w:color="auto"/>
        <w:bottom w:val="none" w:sz="0" w:space="0" w:color="auto"/>
        <w:right w:val="none" w:sz="0" w:space="0" w:color="auto"/>
      </w:divBdr>
    </w:div>
    <w:div w:id="1829900044">
      <w:bodyDiv w:val="1"/>
      <w:marLeft w:val="0"/>
      <w:marRight w:val="0"/>
      <w:marTop w:val="0"/>
      <w:marBottom w:val="0"/>
      <w:divBdr>
        <w:top w:val="none" w:sz="0" w:space="0" w:color="auto"/>
        <w:left w:val="none" w:sz="0" w:space="0" w:color="auto"/>
        <w:bottom w:val="none" w:sz="0" w:space="0" w:color="auto"/>
        <w:right w:val="none" w:sz="0" w:space="0" w:color="auto"/>
      </w:divBdr>
    </w:div>
    <w:div w:id="1829905204">
      <w:bodyDiv w:val="1"/>
      <w:marLeft w:val="0"/>
      <w:marRight w:val="0"/>
      <w:marTop w:val="0"/>
      <w:marBottom w:val="0"/>
      <w:divBdr>
        <w:top w:val="none" w:sz="0" w:space="0" w:color="auto"/>
        <w:left w:val="none" w:sz="0" w:space="0" w:color="auto"/>
        <w:bottom w:val="none" w:sz="0" w:space="0" w:color="auto"/>
        <w:right w:val="none" w:sz="0" w:space="0" w:color="auto"/>
      </w:divBdr>
    </w:div>
    <w:div w:id="1829976232">
      <w:bodyDiv w:val="1"/>
      <w:marLeft w:val="0"/>
      <w:marRight w:val="0"/>
      <w:marTop w:val="0"/>
      <w:marBottom w:val="0"/>
      <w:divBdr>
        <w:top w:val="none" w:sz="0" w:space="0" w:color="auto"/>
        <w:left w:val="none" w:sz="0" w:space="0" w:color="auto"/>
        <w:bottom w:val="none" w:sz="0" w:space="0" w:color="auto"/>
        <w:right w:val="none" w:sz="0" w:space="0" w:color="auto"/>
      </w:divBdr>
    </w:div>
    <w:div w:id="1829982200">
      <w:bodyDiv w:val="1"/>
      <w:marLeft w:val="0"/>
      <w:marRight w:val="0"/>
      <w:marTop w:val="0"/>
      <w:marBottom w:val="0"/>
      <w:divBdr>
        <w:top w:val="none" w:sz="0" w:space="0" w:color="auto"/>
        <w:left w:val="none" w:sz="0" w:space="0" w:color="auto"/>
        <w:bottom w:val="none" w:sz="0" w:space="0" w:color="auto"/>
        <w:right w:val="none" w:sz="0" w:space="0" w:color="auto"/>
      </w:divBdr>
    </w:div>
    <w:div w:id="1830049626">
      <w:bodyDiv w:val="1"/>
      <w:marLeft w:val="0"/>
      <w:marRight w:val="0"/>
      <w:marTop w:val="0"/>
      <w:marBottom w:val="0"/>
      <w:divBdr>
        <w:top w:val="none" w:sz="0" w:space="0" w:color="auto"/>
        <w:left w:val="none" w:sz="0" w:space="0" w:color="auto"/>
        <w:bottom w:val="none" w:sz="0" w:space="0" w:color="auto"/>
        <w:right w:val="none" w:sz="0" w:space="0" w:color="auto"/>
      </w:divBdr>
    </w:div>
    <w:div w:id="1830056705">
      <w:bodyDiv w:val="1"/>
      <w:marLeft w:val="0"/>
      <w:marRight w:val="0"/>
      <w:marTop w:val="0"/>
      <w:marBottom w:val="0"/>
      <w:divBdr>
        <w:top w:val="none" w:sz="0" w:space="0" w:color="auto"/>
        <w:left w:val="none" w:sz="0" w:space="0" w:color="auto"/>
        <w:bottom w:val="none" w:sz="0" w:space="0" w:color="auto"/>
        <w:right w:val="none" w:sz="0" w:space="0" w:color="auto"/>
      </w:divBdr>
    </w:div>
    <w:div w:id="1830093052">
      <w:bodyDiv w:val="1"/>
      <w:marLeft w:val="0"/>
      <w:marRight w:val="0"/>
      <w:marTop w:val="0"/>
      <w:marBottom w:val="0"/>
      <w:divBdr>
        <w:top w:val="none" w:sz="0" w:space="0" w:color="auto"/>
        <w:left w:val="none" w:sz="0" w:space="0" w:color="auto"/>
        <w:bottom w:val="none" w:sz="0" w:space="0" w:color="auto"/>
        <w:right w:val="none" w:sz="0" w:space="0" w:color="auto"/>
      </w:divBdr>
    </w:div>
    <w:div w:id="1830242680">
      <w:bodyDiv w:val="1"/>
      <w:marLeft w:val="0"/>
      <w:marRight w:val="0"/>
      <w:marTop w:val="0"/>
      <w:marBottom w:val="0"/>
      <w:divBdr>
        <w:top w:val="none" w:sz="0" w:space="0" w:color="auto"/>
        <w:left w:val="none" w:sz="0" w:space="0" w:color="auto"/>
        <w:bottom w:val="none" w:sz="0" w:space="0" w:color="auto"/>
        <w:right w:val="none" w:sz="0" w:space="0" w:color="auto"/>
      </w:divBdr>
    </w:div>
    <w:div w:id="1830294155">
      <w:bodyDiv w:val="1"/>
      <w:marLeft w:val="0"/>
      <w:marRight w:val="0"/>
      <w:marTop w:val="0"/>
      <w:marBottom w:val="0"/>
      <w:divBdr>
        <w:top w:val="none" w:sz="0" w:space="0" w:color="auto"/>
        <w:left w:val="none" w:sz="0" w:space="0" w:color="auto"/>
        <w:bottom w:val="none" w:sz="0" w:space="0" w:color="auto"/>
        <w:right w:val="none" w:sz="0" w:space="0" w:color="auto"/>
      </w:divBdr>
    </w:div>
    <w:div w:id="1830360419">
      <w:bodyDiv w:val="1"/>
      <w:marLeft w:val="0"/>
      <w:marRight w:val="0"/>
      <w:marTop w:val="0"/>
      <w:marBottom w:val="0"/>
      <w:divBdr>
        <w:top w:val="none" w:sz="0" w:space="0" w:color="auto"/>
        <w:left w:val="none" w:sz="0" w:space="0" w:color="auto"/>
        <w:bottom w:val="none" w:sz="0" w:space="0" w:color="auto"/>
        <w:right w:val="none" w:sz="0" w:space="0" w:color="auto"/>
      </w:divBdr>
    </w:div>
    <w:div w:id="1830362323">
      <w:bodyDiv w:val="1"/>
      <w:marLeft w:val="0"/>
      <w:marRight w:val="0"/>
      <w:marTop w:val="0"/>
      <w:marBottom w:val="0"/>
      <w:divBdr>
        <w:top w:val="none" w:sz="0" w:space="0" w:color="auto"/>
        <w:left w:val="none" w:sz="0" w:space="0" w:color="auto"/>
        <w:bottom w:val="none" w:sz="0" w:space="0" w:color="auto"/>
        <w:right w:val="none" w:sz="0" w:space="0" w:color="auto"/>
      </w:divBdr>
    </w:div>
    <w:div w:id="1830511573">
      <w:bodyDiv w:val="1"/>
      <w:marLeft w:val="0"/>
      <w:marRight w:val="0"/>
      <w:marTop w:val="0"/>
      <w:marBottom w:val="0"/>
      <w:divBdr>
        <w:top w:val="none" w:sz="0" w:space="0" w:color="auto"/>
        <w:left w:val="none" w:sz="0" w:space="0" w:color="auto"/>
        <w:bottom w:val="none" w:sz="0" w:space="0" w:color="auto"/>
        <w:right w:val="none" w:sz="0" w:space="0" w:color="auto"/>
      </w:divBdr>
    </w:div>
    <w:div w:id="1830513666">
      <w:bodyDiv w:val="1"/>
      <w:marLeft w:val="0"/>
      <w:marRight w:val="0"/>
      <w:marTop w:val="0"/>
      <w:marBottom w:val="0"/>
      <w:divBdr>
        <w:top w:val="none" w:sz="0" w:space="0" w:color="auto"/>
        <w:left w:val="none" w:sz="0" w:space="0" w:color="auto"/>
        <w:bottom w:val="none" w:sz="0" w:space="0" w:color="auto"/>
        <w:right w:val="none" w:sz="0" w:space="0" w:color="auto"/>
      </w:divBdr>
    </w:div>
    <w:div w:id="1830517496">
      <w:bodyDiv w:val="1"/>
      <w:marLeft w:val="0"/>
      <w:marRight w:val="0"/>
      <w:marTop w:val="0"/>
      <w:marBottom w:val="0"/>
      <w:divBdr>
        <w:top w:val="none" w:sz="0" w:space="0" w:color="auto"/>
        <w:left w:val="none" w:sz="0" w:space="0" w:color="auto"/>
        <w:bottom w:val="none" w:sz="0" w:space="0" w:color="auto"/>
        <w:right w:val="none" w:sz="0" w:space="0" w:color="auto"/>
      </w:divBdr>
    </w:div>
    <w:div w:id="1830557871">
      <w:bodyDiv w:val="1"/>
      <w:marLeft w:val="0"/>
      <w:marRight w:val="0"/>
      <w:marTop w:val="0"/>
      <w:marBottom w:val="0"/>
      <w:divBdr>
        <w:top w:val="none" w:sz="0" w:space="0" w:color="auto"/>
        <w:left w:val="none" w:sz="0" w:space="0" w:color="auto"/>
        <w:bottom w:val="none" w:sz="0" w:space="0" w:color="auto"/>
        <w:right w:val="none" w:sz="0" w:space="0" w:color="auto"/>
      </w:divBdr>
    </w:div>
    <w:div w:id="1830631016">
      <w:bodyDiv w:val="1"/>
      <w:marLeft w:val="0"/>
      <w:marRight w:val="0"/>
      <w:marTop w:val="0"/>
      <w:marBottom w:val="0"/>
      <w:divBdr>
        <w:top w:val="none" w:sz="0" w:space="0" w:color="auto"/>
        <w:left w:val="none" w:sz="0" w:space="0" w:color="auto"/>
        <w:bottom w:val="none" w:sz="0" w:space="0" w:color="auto"/>
        <w:right w:val="none" w:sz="0" w:space="0" w:color="auto"/>
      </w:divBdr>
    </w:div>
    <w:div w:id="1830749823">
      <w:bodyDiv w:val="1"/>
      <w:marLeft w:val="0"/>
      <w:marRight w:val="0"/>
      <w:marTop w:val="0"/>
      <w:marBottom w:val="0"/>
      <w:divBdr>
        <w:top w:val="none" w:sz="0" w:space="0" w:color="auto"/>
        <w:left w:val="none" w:sz="0" w:space="0" w:color="auto"/>
        <w:bottom w:val="none" w:sz="0" w:space="0" w:color="auto"/>
        <w:right w:val="none" w:sz="0" w:space="0" w:color="auto"/>
      </w:divBdr>
    </w:div>
    <w:div w:id="1830754989">
      <w:bodyDiv w:val="1"/>
      <w:marLeft w:val="0"/>
      <w:marRight w:val="0"/>
      <w:marTop w:val="0"/>
      <w:marBottom w:val="0"/>
      <w:divBdr>
        <w:top w:val="none" w:sz="0" w:space="0" w:color="auto"/>
        <w:left w:val="none" w:sz="0" w:space="0" w:color="auto"/>
        <w:bottom w:val="none" w:sz="0" w:space="0" w:color="auto"/>
        <w:right w:val="none" w:sz="0" w:space="0" w:color="auto"/>
      </w:divBdr>
    </w:div>
    <w:div w:id="1830824252">
      <w:bodyDiv w:val="1"/>
      <w:marLeft w:val="0"/>
      <w:marRight w:val="0"/>
      <w:marTop w:val="0"/>
      <w:marBottom w:val="0"/>
      <w:divBdr>
        <w:top w:val="none" w:sz="0" w:space="0" w:color="auto"/>
        <w:left w:val="none" w:sz="0" w:space="0" w:color="auto"/>
        <w:bottom w:val="none" w:sz="0" w:space="0" w:color="auto"/>
        <w:right w:val="none" w:sz="0" w:space="0" w:color="auto"/>
      </w:divBdr>
    </w:div>
    <w:div w:id="1830906572">
      <w:bodyDiv w:val="1"/>
      <w:marLeft w:val="0"/>
      <w:marRight w:val="0"/>
      <w:marTop w:val="0"/>
      <w:marBottom w:val="0"/>
      <w:divBdr>
        <w:top w:val="none" w:sz="0" w:space="0" w:color="auto"/>
        <w:left w:val="none" w:sz="0" w:space="0" w:color="auto"/>
        <w:bottom w:val="none" w:sz="0" w:space="0" w:color="auto"/>
        <w:right w:val="none" w:sz="0" w:space="0" w:color="auto"/>
      </w:divBdr>
    </w:div>
    <w:div w:id="1830945680">
      <w:bodyDiv w:val="1"/>
      <w:marLeft w:val="0"/>
      <w:marRight w:val="0"/>
      <w:marTop w:val="0"/>
      <w:marBottom w:val="0"/>
      <w:divBdr>
        <w:top w:val="none" w:sz="0" w:space="0" w:color="auto"/>
        <w:left w:val="none" w:sz="0" w:space="0" w:color="auto"/>
        <w:bottom w:val="none" w:sz="0" w:space="0" w:color="auto"/>
        <w:right w:val="none" w:sz="0" w:space="0" w:color="auto"/>
      </w:divBdr>
    </w:div>
    <w:div w:id="1831018102">
      <w:bodyDiv w:val="1"/>
      <w:marLeft w:val="0"/>
      <w:marRight w:val="0"/>
      <w:marTop w:val="0"/>
      <w:marBottom w:val="0"/>
      <w:divBdr>
        <w:top w:val="none" w:sz="0" w:space="0" w:color="auto"/>
        <w:left w:val="none" w:sz="0" w:space="0" w:color="auto"/>
        <w:bottom w:val="none" w:sz="0" w:space="0" w:color="auto"/>
        <w:right w:val="none" w:sz="0" w:space="0" w:color="auto"/>
      </w:divBdr>
    </w:div>
    <w:div w:id="1831023244">
      <w:bodyDiv w:val="1"/>
      <w:marLeft w:val="0"/>
      <w:marRight w:val="0"/>
      <w:marTop w:val="0"/>
      <w:marBottom w:val="0"/>
      <w:divBdr>
        <w:top w:val="none" w:sz="0" w:space="0" w:color="auto"/>
        <w:left w:val="none" w:sz="0" w:space="0" w:color="auto"/>
        <w:bottom w:val="none" w:sz="0" w:space="0" w:color="auto"/>
        <w:right w:val="none" w:sz="0" w:space="0" w:color="auto"/>
      </w:divBdr>
    </w:div>
    <w:div w:id="1831142392">
      <w:bodyDiv w:val="1"/>
      <w:marLeft w:val="0"/>
      <w:marRight w:val="0"/>
      <w:marTop w:val="0"/>
      <w:marBottom w:val="0"/>
      <w:divBdr>
        <w:top w:val="none" w:sz="0" w:space="0" w:color="auto"/>
        <w:left w:val="none" w:sz="0" w:space="0" w:color="auto"/>
        <w:bottom w:val="none" w:sz="0" w:space="0" w:color="auto"/>
        <w:right w:val="none" w:sz="0" w:space="0" w:color="auto"/>
      </w:divBdr>
    </w:div>
    <w:div w:id="1831166861">
      <w:bodyDiv w:val="1"/>
      <w:marLeft w:val="0"/>
      <w:marRight w:val="0"/>
      <w:marTop w:val="0"/>
      <w:marBottom w:val="0"/>
      <w:divBdr>
        <w:top w:val="none" w:sz="0" w:space="0" w:color="auto"/>
        <w:left w:val="none" w:sz="0" w:space="0" w:color="auto"/>
        <w:bottom w:val="none" w:sz="0" w:space="0" w:color="auto"/>
        <w:right w:val="none" w:sz="0" w:space="0" w:color="auto"/>
      </w:divBdr>
    </w:div>
    <w:div w:id="1831169433">
      <w:bodyDiv w:val="1"/>
      <w:marLeft w:val="0"/>
      <w:marRight w:val="0"/>
      <w:marTop w:val="0"/>
      <w:marBottom w:val="0"/>
      <w:divBdr>
        <w:top w:val="none" w:sz="0" w:space="0" w:color="auto"/>
        <w:left w:val="none" w:sz="0" w:space="0" w:color="auto"/>
        <w:bottom w:val="none" w:sz="0" w:space="0" w:color="auto"/>
        <w:right w:val="none" w:sz="0" w:space="0" w:color="auto"/>
      </w:divBdr>
    </w:div>
    <w:div w:id="1831169795">
      <w:bodyDiv w:val="1"/>
      <w:marLeft w:val="0"/>
      <w:marRight w:val="0"/>
      <w:marTop w:val="0"/>
      <w:marBottom w:val="0"/>
      <w:divBdr>
        <w:top w:val="none" w:sz="0" w:space="0" w:color="auto"/>
        <w:left w:val="none" w:sz="0" w:space="0" w:color="auto"/>
        <w:bottom w:val="none" w:sz="0" w:space="0" w:color="auto"/>
        <w:right w:val="none" w:sz="0" w:space="0" w:color="auto"/>
      </w:divBdr>
    </w:div>
    <w:div w:id="1831212484">
      <w:bodyDiv w:val="1"/>
      <w:marLeft w:val="0"/>
      <w:marRight w:val="0"/>
      <w:marTop w:val="0"/>
      <w:marBottom w:val="0"/>
      <w:divBdr>
        <w:top w:val="none" w:sz="0" w:space="0" w:color="auto"/>
        <w:left w:val="none" w:sz="0" w:space="0" w:color="auto"/>
        <w:bottom w:val="none" w:sz="0" w:space="0" w:color="auto"/>
        <w:right w:val="none" w:sz="0" w:space="0" w:color="auto"/>
      </w:divBdr>
    </w:div>
    <w:div w:id="1831214402">
      <w:bodyDiv w:val="1"/>
      <w:marLeft w:val="0"/>
      <w:marRight w:val="0"/>
      <w:marTop w:val="0"/>
      <w:marBottom w:val="0"/>
      <w:divBdr>
        <w:top w:val="none" w:sz="0" w:space="0" w:color="auto"/>
        <w:left w:val="none" w:sz="0" w:space="0" w:color="auto"/>
        <w:bottom w:val="none" w:sz="0" w:space="0" w:color="auto"/>
        <w:right w:val="none" w:sz="0" w:space="0" w:color="auto"/>
      </w:divBdr>
    </w:div>
    <w:div w:id="1831215186">
      <w:bodyDiv w:val="1"/>
      <w:marLeft w:val="0"/>
      <w:marRight w:val="0"/>
      <w:marTop w:val="0"/>
      <w:marBottom w:val="0"/>
      <w:divBdr>
        <w:top w:val="none" w:sz="0" w:space="0" w:color="auto"/>
        <w:left w:val="none" w:sz="0" w:space="0" w:color="auto"/>
        <w:bottom w:val="none" w:sz="0" w:space="0" w:color="auto"/>
        <w:right w:val="none" w:sz="0" w:space="0" w:color="auto"/>
      </w:divBdr>
    </w:div>
    <w:div w:id="1831293222">
      <w:bodyDiv w:val="1"/>
      <w:marLeft w:val="0"/>
      <w:marRight w:val="0"/>
      <w:marTop w:val="0"/>
      <w:marBottom w:val="0"/>
      <w:divBdr>
        <w:top w:val="none" w:sz="0" w:space="0" w:color="auto"/>
        <w:left w:val="none" w:sz="0" w:space="0" w:color="auto"/>
        <w:bottom w:val="none" w:sz="0" w:space="0" w:color="auto"/>
        <w:right w:val="none" w:sz="0" w:space="0" w:color="auto"/>
      </w:divBdr>
    </w:div>
    <w:div w:id="1831367268">
      <w:bodyDiv w:val="1"/>
      <w:marLeft w:val="0"/>
      <w:marRight w:val="0"/>
      <w:marTop w:val="0"/>
      <w:marBottom w:val="0"/>
      <w:divBdr>
        <w:top w:val="none" w:sz="0" w:space="0" w:color="auto"/>
        <w:left w:val="none" w:sz="0" w:space="0" w:color="auto"/>
        <w:bottom w:val="none" w:sz="0" w:space="0" w:color="auto"/>
        <w:right w:val="none" w:sz="0" w:space="0" w:color="auto"/>
      </w:divBdr>
    </w:div>
    <w:div w:id="1831410994">
      <w:bodyDiv w:val="1"/>
      <w:marLeft w:val="0"/>
      <w:marRight w:val="0"/>
      <w:marTop w:val="0"/>
      <w:marBottom w:val="0"/>
      <w:divBdr>
        <w:top w:val="none" w:sz="0" w:space="0" w:color="auto"/>
        <w:left w:val="none" w:sz="0" w:space="0" w:color="auto"/>
        <w:bottom w:val="none" w:sz="0" w:space="0" w:color="auto"/>
        <w:right w:val="none" w:sz="0" w:space="0" w:color="auto"/>
      </w:divBdr>
    </w:div>
    <w:div w:id="1831411428">
      <w:bodyDiv w:val="1"/>
      <w:marLeft w:val="0"/>
      <w:marRight w:val="0"/>
      <w:marTop w:val="0"/>
      <w:marBottom w:val="0"/>
      <w:divBdr>
        <w:top w:val="none" w:sz="0" w:space="0" w:color="auto"/>
        <w:left w:val="none" w:sz="0" w:space="0" w:color="auto"/>
        <w:bottom w:val="none" w:sz="0" w:space="0" w:color="auto"/>
        <w:right w:val="none" w:sz="0" w:space="0" w:color="auto"/>
      </w:divBdr>
    </w:div>
    <w:div w:id="1831411490">
      <w:bodyDiv w:val="1"/>
      <w:marLeft w:val="0"/>
      <w:marRight w:val="0"/>
      <w:marTop w:val="0"/>
      <w:marBottom w:val="0"/>
      <w:divBdr>
        <w:top w:val="none" w:sz="0" w:space="0" w:color="auto"/>
        <w:left w:val="none" w:sz="0" w:space="0" w:color="auto"/>
        <w:bottom w:val="none" w:sz="0" w:space="0" w:color="auto"/>
        <w:right w:val="none" w:sz="0" w:space="0" w:color="auto"/>
      </w:divBdr>
    </w:div>
    <w:div w:id="1831479328">
      <w:bodyDiv w:val="1"/>
      <w:marLeft w:val="0"/>
      <w:marRight w:val="0"/>
      <w:marTop w:val="0"/>
      <w:marBottom w:val="0"/>
      <w:divBdr>
        <w:top w:val="none" w:sz="0" w:space="0" w:color="auto"/>
        <w:left w:val="none" w:sz="0" w:space="0" w:color="auto"/>
        <w:bottom w:val="none" w:sz="0" w:space="0" w:color="auto"/>
        <w:right w:val="none" w:sz="0" w:space="0" w:color="auto"/>
      </w:divBdr>
    </w:div>
    <w:div w:id="1831552755">
      <w:bodyDiv w:val="1"/>
      <w:marLeft w:val="0"/>
      <w:marRight w:val="0"/>
      <w:marTop w:val="0"/>
      <w:marBottom w:val="0"/>
      <w:divBdr>
        <w:top w:val="none" w:sz="0" w:space="0" w:color="auto"/>
        <w:left w:val="none" w:sz="0" w:space="0" w:color="auto"/>
        <w:bottom w:val="none" w:sz="0" w:space="0" w:color="auto"/>
        <w:right w:val="none" w:sz="0" w:space="0" w:color="auto"/>
      </w:divBdr>
    </w:div>
    <w:div w:id="1831604887">
      <w:bodyDiv w:val="1"/>
      <w:marLeft w:val="0"/>
      <w:marRight w:val="0"/>
      <w:marTop w:val="0"/>
      <w:marBottom w:val="0"/>
      <w:divBdr>
        <w:top w:val="none" w:sz="0" w:space="0" w:color="auto"/>
        <w:left w:val="none" w:sz="0" w:space="0" w:color="auto"/>
        <w:bottom w:val="none" w:sz="0" w:space="0" w:color="auto"/>
        <w:right w:val="none" w:sz="0" w:space="0" w:color="auto"/>
      </w:divBdr>
    </w:div>
    <w:div w:id="1831674610">
      <w:bodyDiv w:val="1"/>
      <w:marLeft w:val="0"/>
      <w:marRight w:val="0"/>
      <w:marTop w:val="0"/>
      <w:marBottom w:val="0"/>
      <w:divBdr>
        <w:top w:val="none" w:sz="0" w:space="0" w:color="auto"/>
        <w:left w:val="none" w:sz="0" w:space="0" w:color="auto"/>
        <w:bottom w:val="none" w:sz="0" w:space="0" w:color="auto"/>
        <w:right w:val="none" w:sz="0" w:space="0" w:color="auto"/>
      </w:divBdr>
    </w:div>
    <w:div w:id="1831746812">
      <w:bodyDiv w:val="1"/>
      <w:marLeft w:val="0"/>
      <w:marRight w:val="0"/>
      <w:marTop w:val="0"/>
      <w:marBottom w:val="0"/>
      <w:divBdr>
        <w:top w:val="none" w:sz="0" w:space="0" w:color="auto"/>
        <w:left w:val="none" w:sz="0" w:space="0" w:color="auto"/>
        <w:bottom w:val="none" w:sz="0" w:space="0" w:color="auto"/>
        <w:right w:val="none" w:sz="0" w:space="0" w:color="auto"/>
      </w:divBdr>
    </w:div>
    <w:div w:id="1831824208">
      <w:bodyDiv w:val="1"/>
      <w:marLeft w:val="0"/>
      <w:marRight w:val="0"/>
      <w:marTop w:val="0"/>
      <w:marBottom w:val="0"/>
      <w:divBdr>
        <w:top w:val="none" w:sz="0" w:space="0" w:color="auto"/>
        <w:left w:val="none" w:sz="0" w:space="0" w:color="auto"/>
        <w:bottom w:val="none" w:sz="0" w:space="0" w:color="auto"/>
        <w:right w:val="none" w:sz="0" w:space="0" w:color="auto"/>
      </w:divBdr>
    </w:div>
    <w:div w:id="1832210708">
      <w:bodyDiv w:val="1"/>
      <w:marLeft w:val="0"/>
      <w:marRight w:val="0"/>
      <w:marTop w:val="0"/>
      <w:marBottom w:val="0"/>
      <w:divBdr>
        <w:top w:val="none" w:sz="0" w:space="0" w:color="auto"/>
        <w:left w:val="none" w:sz="0" w:space="0" w:color="auto"/>
        <w:bottom w:val="none" w:sz="0" w:space="0" w:color="auto"/>
        <w:right w:val="none" w:sz="0" w:space="0" w:color="auto"/>
      </w:divBdr>
    </w:div>
    <w:div w:id="1832283366">
      <w:bodyDiv w:val="1"/>
      <w:marLeft w:val="0"/>
      <w:marRight w:val="0"/>
      <w:marTop w:val="0"/>
      <w:marBottom w:val="0"/>
      <w:divBdr>
        <w:top w:val="none" w:sz="0" w:space="0" w:color="auto"/>
        <w:left w:val="none" w:sz="0" w:space="0" w:color="auto"/>
        <w:bottom w:val="none" w:sz="0" w:space="0" w:color="auto"/>
        <w:right w:val="none" w:sz="0" w:space="0" w:color="auto"/>
      </w:divBdr>
    </w:div>
    <w:div w:id="1832326570">
      <w:bodyDiv w:val="1"/>
      <w:marLeft w:val="0"/>
      <w:marRight w:val="0"/>
      <w:marTop w:val="0"/>
      <w:marBottom w:val="0"/>
      <w:divBdr>
        <w:top w:val="none" w:sz="0" w:space="0" w:color="auto"/>
        <w:left w:val="none" w:sz="0" w:space="0" w:color="auto"/>
        <w:bottom w:val="none" w:sz="0" w:space="0" w:color="auto"/>
        <w:right w:val="none" w:sz="0" w:space="0" w:color="auto"/>
      </w:divBdr>
    </w:div>
    <w:div w:id="1832453044">
      <w:bodyDiv w:val="1"/>
      <w:marLeft w:val="0"/>
      <w:marRight w:val="0"/>
      <w:marTop w:val="0"/>
      <w:marBottom w:val="0"/>
      <w:divBdr>
        <w:top w:val="none" w:sz="0" w:space="0" w:color="auto"/>
        <w:left w:val="none" w:sz="0" w:space="0" w:color="auto"/>
        <w:bottom w:val="none" w:sz="0" w:space="0" w:color="auto"/>
        <w:right w:val="none" w:sz="0" w:space="0" w:color="auto"/>
      </w:divBdr>
    </w:div>
    <w:div w:id="1832476795">
      <w:bodyDiv w:val="1"/>
      <w:marLeft w:val="0"/>
      <w:marRight w:val="0"/>
      <w:marTop w:val="0"/>
      <w:marBottom w:val="0"/>
      <w:divBdr>
        <w:top w:val="none" w:sz="0" w:space="0" w:color="auto"/>
        <w:left w:val="none" w:sz="0" w:space="0" w:color="auto"/>
        <w:bottom w:val="none" w:sz="0" w:space="0" w:color="auto"/>
        <w:right w:val="none" w:sz="0" w:space="0" w:color="auto"/>
      </w:divBdr>
    </w:div>
    <w:div w:id="1832480242">
      <w:bodyDiv w:val="1"/>
      <w:marLeft w:val="0"/>
      <w:marRight w:val="0"/>
      <w:marTop w:val="0"/>
      <w:marBottom w:val="0"/>
      <w:divBdr>
        <w:top w:val="none" w:sz="0" w:space="0" w:color="auto"/>
        <w:left w:val="none" w:sz="0" w:space="0" w:color="auto"/>
        <w:bottom w:val="none" w:sz="0" w:space="0" w:color="auto"/>
        <w:right w:val="none" w:sz="0" w:space="0" w:color="auto"/>
      </w:divBdr>
    </w:div>
    <w:div w:id="1832523785">
      <w:bodyDiv w:val="1"/>
      <w:marLeft w:val="0"/>
      <w:marRight w:val="0"/>
      <w:marTop w:val="0"/>
      <w:marBottom w:val="0"/>
      <w:divBdr>
        <w:top w:val="none" w:sz="0" w:space="0" w:color="auto"/>
        <w:left w:val="none" w:sz="0" w:space="0" w:color="auto"/>
        <w:bottom w:val="none" w:sz="0" w:space="0" w:color="auto"/>
        <w:right w:val="none" w:sz="0" w:space="0" w:color="auto"/>
      </w:divBdr>
    </w:div>
    <w:div w:id="1832528906">
      <w:bodyDiv w:val="1"/>
      <w:marLeft w:val="0"/>
      <w:marRight w:val="0"/>
      <w:marTop w:val="0"/>
      <w:marBottom w:val="0"/>
      <w:divBdr>
        <w:top w:val="none" w:sz="0" w:space="0" w:color="auto"/>
        <w:left w:val="none" w:sz="0" w:space="0" w:color="auto"/>
        <w:bottom w:val="none" w:sz="0" w:space="0" w:color="auto"/>
        <w:right w:val="none" w:sz="0" w:space="0" w:color="auto"/>
      </w:divBdr>
    </w:div>
    <w:div w:id="1832714969">
      <w:bodyDiv w:val="1"/>
      <w:marLeft w:val="0"/>
      <w:marRight w:val="0"/>
      <w:marTop w:val="0"/>
      <w:marBottom w:val="0"/>
      <w:divBdr>
        <w:top w:val="none" w:sz="0" w:space="0" w:color="auto"/>
        <w:left w:val="none" w:sz="0" w:space="0" w:color="auto"/>
        <w:bottom w:val="none" w:sz="0" w:space="0" w:color="auto"/>
        <w:right w:val="none" w:sz="0" w:space="0" w:color="auto"/>
      </w:divBdr>
    </w:div>
    <w:div w:id="1832790825">
      <w:bodyDiv w:val="1"/>
      <w:marLeft w:val="0"/>
      <w:marRight w:val="0"/>
      <w:marTop w:val="0"/>
      <w:marBottom w:val="0"/>
      <w:divBdr>
        <w:top w:val="none" w:sz="0" w:space="0" w:color="auto"/>
        <w:left w:val="none" w:sz="0" w:space="0" w:color="auto"/>
        <w:bottom w:val="none" w:sz="0" w:space="0" w:color="auto"/>
        <w:right w:val="none" w:sz="0" w:space="0" w:color="auto"/>
      </w:divBdr>
    </w:div>
    <w:div w:id="1832868524">
      <w:bodyDiv w:val="1"/>
      <w:marLeft w:val="0"/>
      <w:marRight w:val="0"/>
      <w:marTop w:val="0"/>
      <w:marBottom w:val="0"/>
      <w:divBdr>
        <w:top w:val="none" w:sz="0" w:space="0" w:color="auto"/>
        <w:left w:val="none" w:sz="0" w:space="0" w:color="auto"/>
        <w:bottom w:val="none" w:sz="0" w:space="0" w:color="auto"/>
        <w:right w:val="none" w:sz="0" w:space="0" w:color="auto"/>
      </w:divBdr>
    </w:div>
    <w:div w:id="1832911083">
      <w:bodyDiv w:val="1"/>
      <w:marLeft w:val="0"/>
      <w:marRight w:val="0"/>
      <w:marTop w:val="0"/>
      <w:marBottom w:val="0"/>
      <w:divBdr>
        <w:top w:val="none" w:sz="0" w:space="0" w:color="auto"/>
        <w:left w:val="none" w:sz="0" w:space="0" w:color="auto"/>
        <w:bottom w:val="none" w:sz="0" w:space="0" w:color="auto"/>
        <w:right w:val="none" w:sz="0" w:space="0" w:color="auto"/>
      </w:divBdr>
    </w:div>
    <w:div w:id="1832984822">
      <w:bodyDiv w:val="1"/>
      <w:marLeft w:val="0"/>
      <w:marRight w:val="0"/>
      <w:marTop w:val="0"/>
      <w:marBottom w:val="0"/>
      <w:divBdr>
        <w:top w:val="none" w:sz="0" w:space="0" w:color="auto"/>
        <w:left w:val="none" w:sz="0" w:space="0" w:color="auto"/>
        <w:bottom w:val="none" w:sz="0" w:space="0" w:color="auto"/>
        <w:right w:val="none" w:sz="0" w:space="0" w:color="auto"/>
      </w:divBdr>
    </w:div>
    <w:div w:id="1833137964">
      <w:bodyDiv w:val="1"/>
      <w:marLeft w:val="0"/>
      <w:marRight w:val="0"/>
      <w:marTop w:val="0"/>
      <w:marBottom w:val="0"/>
      <w:divBdr>
        <w:top w:val="none" w:sz="0" w:space="0" w:color="auto"/>
        <w:left w:val="none" w:sz="0" w:space="0" w:color="auto"/>
        <w:bottom w:val="none" w:sz="0" w:space="0" w:color="auto"/>
        <w:right w:val="none" w:sz="0" w:space="0" w:color="auto"/>
      </w:divBdr>
    </w:div>
    <w:div w:id="1833182020">
      <w:bodyDiv w:val="1"/>
      <w:marLeft w:val="0"/>
      <w:marRight w:val="0"/>
      <w:marTop w:val="0"/>
      <w:marBottom w:val="0"/>
      <w:divBdr>
        <w:top w:val="none" w:sz="0" w:space="0" w:color="auto"/>
        <w:left w:val="none" w:sz="0" w:space="0" w:color="auto"/>
        <w:bottom w:val="none" w:sz="0" w:space="0" w:color="auto"/>
        <w:right w:val="none" w:sz="0" w:space="0" w:color="auto"/>
      </w:divBdr>
    </w:div>
    <w:div w:id="1833258235">
      <w:bodyDiv w:val="1"/>
      <w:marLeft w:val="0"/>
      <w:marRight w:val="0"/>
      <w:marTop w:val="0"/>
      <w:marBottom w:val="0"/>
      <w:divBdr>
        <w:top w:val="none" w:sz="0" w:space="0" w:color="auto"/>
        <w:left w:val="none" w:sz="0" w:space="0" w:color="auto"/>
        <w:bottom w:val="none" w:sz="0" w:space="0" w:color="auto"/>
        <w:right w:val="none" w:sz="0" w:space="0" w:color="auto"/>
      </w:divBdr>
    </w:div>
    <w:div w:id="1833329031">
      <w:bodyDiv w:val="1"/>
      <w:marLeft w:val="0"/>
      <w:marRight w:val="0"/>
      <w:marTop w:val="0"/>
      <w:marBottom w:val="0"/>
      <w:divBdr>
        <w:top w:val="none" w:sz="0" w:space="0" w:color="auto"/>
        <w:left w:val="none" w:sz="0" w:space="0" w:color="auto"/>
        <w:bottom w:val="none" w:sz="0" w:space="0" w:color="auto"/>
        <w:right w:val="none" w:sz="0" w:space="0" w:color="auto"/>
      </w:divBdr>
    </w:div>
    <w:div w:id="1833330141">
      <w:bodyDiv w:val="1"/>
      <w:marLeft w:val="0"/>
      <w:marRight w:val="0"/>
      <w:marTop w:val="0"/>
      <w:marBottom w:val="0"/>
      <w:divBdr>
        <w:top w:val="none" w:sz="0" w:space="0" w:color="auto"/>
        <w:left w:val="none" w:sz="0" w:space="0" w:color="auto"/>
        <w:bottom w:val="none" w:sz="0" w:space="0" w:color="auto"/>
        <w:right w:val="none" w:sz="0" w:space="0" w:color="auto"/>
      </w:divBdr>
    </w:div>
    <w:div w:id="1833371425">
      <w:bodyDiv w:val="1"/>
      <w:marLeft w:val="0"/>
      <w:marRight w:val="0"/>
      <w:marTop w:val="0"/>
      <w:marBottom w:val="0"/>
      <w:divBdr>
        <w:top w:val="none" w:sz="0" w:space="0" w:color="auto"/>
        <w:left w:val="none" w:sz="0" w:space="0" w:color="auto"/>
        <w:bottom w:val="none" w:sz="0" w:space="0" w:color="auto"/>
        <w:right w:val="none" w:sz="0" w:space="0" w:color="auto"/>
      </w:divBdr>
    </w:div>
    <w:div w:id="1833445890">
      <w:bodyDiv w:val="1"/>
      <w:marLeft w:val="0"/>
      <w:marRight w:val="0"/>
      <w:marTop w:val="0"/>
      <w:marBottom w:val="0"/>
      <w:divBdr>
        <w:top w:val="none" w:sz="0" w:space="0" w:color="auto"/>
        <w:left w:val="none" w:sz="0" w:space="0" w:color="auto"/>
        <w:bottom w:val="none" w:sz="0" w:space="0" w:color="auto"/>
        <w:right w:val="none" w:sz="0" w:space="0" w:color="auto"/>
      </w:divBdr>
    </w:div>
    <w:div w:id="1833520040">
      <w:bodyDiv w:val="1"/>
      <w:marLeft w:val="0"/>
      <w:marRight w:val="0"/>
      <w:marTop w:val="0"/>
      <w:marBottom w:val="0"/>
      <w:divBdr>
        <w:top w:val="none" w:sz="0" w:space="0" w:color="auto"/>
        <w:left w:val="none" w:sz="0" w:space="0" w:color="auto"/>
        <w:bottom w:val="none" w:sz="0" w:space="0" w:color="auto"/>
        <w:right w:val="none" w:sz="0" w:space="0" w:color="auto"/>
      </w:divBdr>
    </w:div>
    <w:div w:id="1833569831">
      <w:bodyDiv w:val="1"/>
      <w:marLeft w:val="0"/>
      <w:marRight w:val="0"/>
      <w:marTop w:val="0"/>
      <w:marBottom w:val="0"/>
      <w:divBdr>
        <w:top w:val="none" w:sz="0" w:space="0" w:color="auto"/>
        <w:left w:val="none" w:sz="0" w:space="0" w:color="auto"/>
        <w:bottom w:val="none" w:sz="0" w:space="0" w:color="auto"/>
        <w:right w:val="none" w:sz="0" w:space="0" w:color="auto"/>
      </w:divBdr>
    </w:div>
    <w:div w:id="1833594653">
      <w:bodyDiv w:val="1"/>
      <w:marLeft w:val="0"/>
      <w:marRight w:val="0"/>
      <w:marTop w:val="0"/>
      <w:marBottom w:val="0"/>
      <w:divBdr>
        <w:top w:val="none" w:sz="0" w:space="0" w:color="auto"/>
        <w:left w:val="none" w:sz="0" w:space="0" w:color="auto"/>
        <w:bottom w:val="none" w:sz="0" w:space="0" w:color="auto"/>
        <w:right w:val="none" w:sz="0" w:space="0" w:color="auto"/>
      </w:divBdr>
    </w:div>
    <w:div w:id="1833595644">
      <w:bodyDiv w:val="1"/>
      <w:marLeft w:val="0"/>
      <w:marRight w:val="0"/>
      <w:marTop w:val="0"/>
      <w:marBottom w:val="0"/>
      <w:divBdr>
        <w:top w:val="none" w:sz="0" w:space="0" w:color="auto"/>
        <w:left w:val="none" w:sz="0" w:space="0" w:color="auto"/>
        <w:bottom w:val="none" w:sz="0" w:space="0" w:color="auto"/>
        <w:right w:val="none" w:sz="0" w:space="0" w:color="auto"/>
      </w:divBdr>
    </w:div>
    <w:div w:id="1833638560">
      <w:bodyDiv w:val="1"/>
      <w:marLeft w:val="0"/>
      <w:marRight w:val="0"/>
      <w:marTop w:val="0"/>
      <w:marBottom w:val="0"/>
      <w:divBdr>
        <w:top w:val="none" w:sz="0" w:space="0" w:color="auto"/>
        <w:left w:val="none" w:sz="0" w:space="0" w:color="auto"/>
        <w:bottom w:val="none" w:sz="0" w:space="0" w:color="auto"/>
        <w:right w:val="none" w:sz="0" w:space="0" w:color="auto"/>
      </w:divBdr>
    </w:div>
    <w:div w:id="1833638571">
      <w:bodyDiv w:val="1"/>
      <w:marLeft w:val="0"/>
      <w:marRight w:val="0"/>
      <w:marTop w:val="0"/>
      <w:marBottom w:val="0"/>
      <w:divBdr>
        <w:top w:val="none" w:sz="0" w:space="0" w:color="auto"/>
        <w:left w:val="none" w:sz="0" w:space="0" w:color="auto"/>
        <w:bottom w:val="none" w:sz="0" w:space="0" w:color="auto"/>
        <w:right w:val="none" w:sz="0" w:space="0" w:color="auto"/>
      </w:divBdr>
    </w:div>
    <w:div w:id="1833762957">
      <w:bodyDiv w:val="1"/>
      <w:marLeft w:val="0"/>
      <w:marRight w:val="0"/>
      <w:marTop w:val="0"/>
      <w:marBottom w:val="0"/>
      <w:divBdr>
        <w:top w:val="none" w:sz="0" w:space="0" w:color="auto"/>
        <w:left w:val="none" w:sz="0" w:space="0" w:color="auto"/>
        <w:bottom w:val="none" w:sz="0" w:space="0" w:color="auto"/>
        <w:right w:val="none" w:sz="0" w:space="0" w:color="auto"/>
      </w:divBdr>
    </w:div>
    <w:div w:id="1833788538">
      <w:bodyDiv w:val="1"/>
      <w:marLeft w:val="0"/>
      <w:marRight w:val="0"/>
      <w:marTop w:val="0"/>
      <w:marBottom w:val="0"/>
      <w:divBdr>
        <w:top w:val="none" w:sz="0" w:space="0" w:color="auto"/>
        <w:left w:val="none" w:sz="0" w:space="0" w:color="auto"/>
        <w:bottom w:val="none" w:sz="0" w:space="0" w:color="auto"/>
        <w:right w:val="none" w:sz="0" w:space="0" w:color="auto"/>
      </w:divBdr>
    </w:div>
    <w:div w:id="1833789279">
      <w:bodyDiv w:val="1"/>
      <w:marLeft w:val="0"/>
      <w:marRight w:val="0"/>
      <w:marTop w:val="0"/>
      <w:marBottom w:val="0"/>
      <w:divBdr>
        <w:top w:val="none" w:sz="0" w:space="0" w:color="auto"/>
        <w:left w:val="none" w:sz="0" w:space="0" w:color="auto"/>
        <w:bottom w:val="none" w:sz="0" w:space="0" w:color="auto"/>
        <w:right w:val="none" w:sz="0" w:space="0" w:color="auto"/>
      </w:divBdr>
    </w:div>
    <w:div w:id="1833791581">
      <w:bodyDiv w:val="1"/>
      <w:marLeft w:val="0"/>
      <w:marRight w:val="0"/>
      <w:marTop w:val="0"/>
      <w:marBottom w:val="0"/>
      <w:divBdr>
        <w:top w:val="none" w:sz="0" w:space="0" w:color="auto"/>
        <w:left w:val="none" w:sz="0" w:space="0" w:color="auto"/>
        <w:bottom w:val="none" w:sz="0" w:space="0" w:color="auto"/>
        <w:right w:val="none" w:sz="0" w:space="0" w:color="auto"/>
      </w:divBdr>
    </w:div>
    <w:div w:id="1833912433">
      <w:bodyDiv w:val="1"/>
      <w:marLeft w:val="0"/>
      <w:marRight w:val="0"/>
      <w:marTop w:val="0"/>
      <w:marBottom w:val="0"/>
      <w:divBdr>
        <w:top w:val="none" w:sz="0" w:space="0" w:color="auto"/>
        <w:left w:val="none" w:sz="0" w:space="0" w:color="auto"/>
        <w:bottom w:val="none" w:sz="0" w:space="0" w:color="auto"/>
        <w:right w:val="none" w:sz="0" w:space="0" w:color="auto"/>
      </w:divBdr>
    </w:div>
    <w:div w:id="1834030379">
      <w:bodyDiv w:val="1"/>
      <w:marLeft w:val="0"/>
      <w:marRight w:val="0"/>
      <w:marTop w:val="0"/>
      <w:marBottom w:val="0"/>
      <w:divBdr>
        <w:top w:val="none" w:sz="0" w:space="0" w:color="auto"/>
        <w:left w:val="none" w:sz="0" w:space="0" w:color="auto"/>
        <w:bottom w:val="none" w:sz="0" w:space="0" w:color="auto"/>
        <w:right w:val="none" w:sz="0" w:space="0" w:color="auto"/>
      </w:divBdr>
    </w:div>
    <w:div w:id="1834107330">
      <w:bodyDiv w:val="1"/>
      <w:marLeft w:val="0"/>
      <w:marRight w:val="0"/>
      <w:marTop w:val="0"/>
      <w:marBottom w:val="0"/>
      <w:divBdr>
        <w:top w:val="none" w:sz="0" w:space="0" w:color="auto"/>
        <w:left w:val="none" w:sz="0" w:space="0" w:color="auto"/>
        <w:bottom w:val="none" w:sz="0" w:space="0" w:color="auto"/>
        <w:right w:val="none" w:sz="0" w:space="0" w:color="auto"/>
      </w:divBdr>
    </w:div>
    <w:div w:id="1834294453">
      <w:bodyDiv w:val="1"/>
      <w:marLeft w:val="0"/>
      <w:marRight w:val="0"/>
      <w:marTop w:val="0"/>
      <w:marBottom w:val="0"/>
      <w:divBdr>
        <w:top w:val="none" w:sz="0" w:space="0" w:color="auto"/>
        <w:left w:val="none" w:sz="0" w:space="0" w:color="auto"/>
        <w:bottom w:val="none" w:sz="0" w:space="0" w:color="auto"/>
        <w:right w:val="none" w:sz="0" w:space="0" w:color="auto"/>
      </w:divBdr>
    </w:div>
    <w:div w:id="1834296471">
      <w:bodyDiv w:val="1"/>
      <w:marLeft w:val="0"/>
      <w:marRight w:val="0"/>
      <w:marTop w:val="0"/>
      <w:marBottom w:val="0"/>
      <w:divBdr>
        <w:top w:val="none" w:sz="0" w:space="0" w:color="auto"/>
        <w:left w:val="none" w:sz="0" w:space="0" w:color="auto"/>
        <w:bottom w:val="none" w:sz="0" w:space="0" w:color="auto"/>
        <w:right w:val="none" w:sz="0" w:space="0" w:color="auto"/>
      </w:divBdr>
    </w:div>
    <w:div w:id="1834445801">
      <w:bodyDiv w:val="1"/>
      <w:marLeft w:val="0"/>
      <w:marRight w:val="0"/>
      <w:marTop w:val="0"/>
      <w:marBottom w:val="0"/>
      <w:divBdr>
        <w:top w:val="none" w:sz="0" w:space="0" w:color="auto"/>
        <w:left w:val="none" w:sz="0" w:space="0" w:color="auto"/>
        <w:bottom w:val="none" w:sz="0" w:space="0" w:color="auto"/>
        <w:right w:val="none" w:sz="0" w:space="0" w:color="auto"/>
      </w:divBdr>
    </w:div>
    <w:div w:id="1834488495">
      <w:bodyDiv w:val="1"/>
      <w:marLeft w:val="0"/>
      <w:marRight w:val="0"/>
      <w:marTop w:val="0"/>
      <w:marBottom w:val="0"/>
      <w:divBdr>
        <w:top w:val="none" w:sz="0" w:space="0" w:color="auto"/>
        <w:left w:val="none" w:sz="0" w:space="0" w:color="auto"/>
        <w:bottom w:val="none" w:sz="0" w:space="0" w:color="auto"/>
        <w:right w:val="none" w:sz="0" w:space="0" w:color="auto"/>
      </w:divBdr>
    </w:div>
    <w:div w:id="1834489126">
      <w:bodyDiv w:val="1"/>
      <w:marLeft w:val="0"/>
      <w:marRight w:val="0"/>
      <w:marTop w:val="0"/>
      <w:marBottom w:val="0"/>
      <w:divBdr>
        <w:top w:val="none" w:sz="0" w:space="0" w:color="auto"/>
        <w:left w:val="none" w:sz="0" w:space="0" w:color="auto"/>
        <w:bottom w:val="none" w:sz="0" w:space="0" w:color="auto"/>
        <w:right w:val="none" w:sz="0" w:space="0" w:color="auto"/>
      </w:divBdr>
    </w:div>
    <w:div w:id="1834638326">
      <w:bodyDiv w:val="1"/>
      <w:marLeft w:val="0"/>
      <w:marRight w:val="0"/>
      <w:marTop w:val="0"/>
      <w:marBottom w:val="0"/>
      <w:divBdr>
        <w:top w:val="none" w:sz="0" w:space="0" w:color="auto"/>
        <w:left w:val="none" w:sz="0" w:space="0" w:color="auto"/>
        <w:bottom w:val="none" w:sz="0" w:space="0" w:color="auto"/>
        <w:right w:val="none" w:sz="0" w:space="0" w:color="auto"/>
      </w:divBdr>
    </w:div>
    <w:div w:id="1834757090">
      <w:bodyDiv w:val="1"/>
      <w:marLeft w:val="0"/>
      <w:marRight w:val="0"/>
      <w:marTop w:val="0"/>
      <w:marBottom w:val="0"/>
      <w:divBdr>
        <w:top w:val="none" w:sz="0" w:space="0" w:color="auto"/>
        <w:left w:val="none" w:sz="0" w:space="0" w:color="auto"/>
        <w:bottom w:val="none" w:sz="0" w:space="0" w:color="auto"/>
        <w:right w:val="none" w:sz="0" w:space="0" w:color="auto"/>
      </w:divBdr>
    </w:div>
    <w:div w:id="1834835543">
      <w:bodyDiv w:val="1"/>
      <w:marLeft w:val="0"/>
      <w:marRight w:val="0"/>
      <w:marTop w:val="0"/>
      <w:marBottom w:val="0"/>
      <w:divBdr>
        <w:top w:val="none" w:sz="0" w:space="0" w:color="auto"/>
        <w:left w:val="none" w:sz="0" w:space="0" w:color="auto"/>
        <w:bottom w:val="none" w:sz="0" w:space="0" w:color="auto"/>
        <w:right w:val="none" w:sz="0" w:space="0" w:color="auto"/>
      </w:divBdr>
    </w:div>
    <w:div w:id="1834909657">
      <w:bodyDiv w:val="1"/>
      <w:marLeft w:val="0"/>
      <w:marRight w:val="0"/>
      <w:marTop w:val="0"/>
      <w:marBottom w:val="0"/>
      <w:divBdr>
        <w:top w:val="none" w:sz="0" w:space="0" w:color="auto"/>
        <w:left w:val="none" w:sz="0" w:space="0" w:color="auto"/>
        <w:bottom w:val="none" w:sz="0" w:space="0" w:color="auto"/>
        <w:right w:val="none" w:sz="0" w:space="0" w:color="auto"/>
      </w:divBdr>
    </w:div>
    <w:div w:id="1834955256">
      <w:bodyDiv w:val="1"/>
      <w:marLeft w:val="0"/>
      <w:marRight w:val="0"/>
      <w:marTop w:val="0"/>
      <w:marBottom w:val="0"/>
      <w:divBdr>
        <w:top w:val="none" w:sz="0" w:space="0" w:color="auto"/>
        <w:left w:val="none" w:sz="0" w:space="0" w:color="auto"/>
        <w:bottom w:val="none" w:sz="0" w:space="0" w:color="auto"/>
        <w:right w:val="none" w:sz="0" w:space="0" w:color="auto"/>
      </w:divBdr>
    </w:div>
    <w:div w:id="1835022316">
      <w:bodyDiv w:val="1"/>
      <w:marLeft w:val="0"/>
      <w:marRight w:val="0"/>
      <w:marTop w:val="0"/>
      <w:marBottom w:val="0"/>
      <w:divBdr>
        <w:top w:val="none" w:sz="0" w:space="0" w:color="auto"/>
        <w:left w:val="none" w:sz="0" w:space="0" w:color="auto"/>
        <w:bottom w:val="none" w:sz="0" w:space="0" w:color="auto"/>
        <w:right w:val="none" w:sz="0" w:space="0" w:color="auto"/>
      </w:divBdr>
    </w:div>
    <w:div w:id="1835022765">
      <w:bodyDiv w:val="1"/>
      <w:marLeft w:val="0"/>
      <w:marRight w:val="0"/>
      <w:marTop w:val="0"/>
      <w:marBottom w:val="0"/>
      <w:divBdr>
        <w:top w:val="none" w:sz="0" w:space="0" w:color="auto"/>
        <w:left w:val="none" w:sz="0" w:space="0" w:color="auto"/>
        <w:bottom w:val="none" w:sz="0" w:space="0" w:color="auto"/>
        <w:right w:val="none" w:sz="0" w:space="0" w:color="auto"/>
      </w:divBdr>
    </w:div>
    <w:div w:id="1835024433">
      <w:bodyDiv w:val="1"/>
      <w:marLeft w:val="0"/>
      <w:marRight w:val="0"/>
      <w:marTop w:val="0"/>
      <w:marBottom w:val="0"/>
      <w:divBdr>
        <w:top w:val="none" w:sz="0" w:space="0" w:color="auto"/>
        <w:left w:val="none" w:sz="0" w:space="0" w:color="auto"/>
        <w:bottom w:val="none" w:sz="0" w:space="0" w:color="auto"/>
        <w:right w:val="none" w:sz="0" w:space="0" w:color="auto"/>
      </w:divBdr>
    </w:div>
    <w:div w:id="1835025756">
      <w:bodyDiv w:val="1"/>
      <w:marLeft w:val="0"/>
      <w:marRight w:val="0"/>
      <w:marTop w:val="0"/>
      <w:marBottom w:val="0"/>
      <w:divBdr>
        <w:top w:val="none" w:sz="0" w:space="0" w:color="auto"/>
        <w:left w:val="none" w:sz="0" w:space="0" w:color="auto"/>
        <w:bottom w:val="none" w:sz="0" w:space="0" w:color="auto"/>
        <w:right w:val="none" w:sz="0" w:space="0" w:color="auto"/>
      </w:divBdr>
    </w:div>
    <w:div w:id="1835030662">
      <w:bodyDiv w:val="1"/>
      <w:marLeft w:val="0"/>
      <w:marRight w:val="0"/>
      <w:marTop w:val="0"/>
      <w:marBottom w:val="0"/>
      <w:divBdr>
        <w:top w:val="none" w:sz="0" w:space="0" w:color="auto"/>
        <w:left w:val="none" w:sz="0" w:space="0" w:color="auto"/>
        <w:bottom w:val="none" w:sz="0" w:space="0" w:color="auto"/>
        <w:right w:val="none" w:sz="0" w:space="0" w:color="auto"/>
      </w:divBdr>
    </w:div>
    <w:div w:id="1835073666">
      <w:bodyDiv w:val="1"/>
      <w:marLeft w:val="0"/>
      <w:marRight w:val="0"/>
      <w:marTop w:val="0"/>
      <w:marBottom w:val="0"/>
      <w:divBdr>
        <w:top w:val="none" w:sz="0" w:space="0" w:color="auto"/>
        <w:left w:val="none" w:sz="0" w:space="0" w:color="auto"/>
        <w:bottom w:val="none" w:sz="0" w:space="0" w:color="auto"/>
        <w:right w:val="none" w:sz="0" w:space="0" w:color="auto"/>
      </w:divBdr>
    </w:div>
    <w:div w:id="1835099870">
      <w:bodyDiv w:val="1"/>
      <w:marLeft w:val="0"/>
      <w:marRight w:val="0"/>
      <w:marTop w:val="0"/>
      <w:marBottom w:val="0"/>
      <w:divBdr>
        <w:top w:val="none" w:sz="0" w:space="0" w:color="auto"/>
        <w:left w:val="none" w:sz="0" w:space="0" w:color="auto"/>
        <w:bottom w:val="none" w:sz="0" w:space="0" w:color="auto"/>
        <w:right w:val="none" w:sz="0" w:space="0" w:color="auto"/>
      </w:divBdr>
    </w:div>
    <w:div w:id="1835220757">
      <w:bodyDiv w:val="1"/>
      <w:marLeft w:val="0"/>
      <w:marRight w:val="0"/>
      <w:marTop w:val="0"/>
      <w:marBottom w:val="0"/>
      <w:divBdr>
        <w:top w:val="none" w:sz="0" w:space="0" w:color="auto"/>
        <w:left w:val="none" w:sz="0" w:space="0" w:color="auto"/>
        <w:bottom w:val="none" w:sz="0" w:space="0" w:color="auto"/>
        <w:right w:val="none" w:sz="0" w:space="0" w:color="auto"/>
      </w:divBdr>
    </w:div>
    <w:div w:id="1835604127">
      <w:bodyDiv w:val="1"/>
      <w:marLeft w:val="0"/>
      <w:marRight w:val="0"/>
      <w:marTop w:val="0"/>
      <w:marBottom w:val="0"/>
      <w:divBdr>
        <w:top w:val="none" w:sz="0" w:space="0" w:color="auto"/>
        <w:left w:val="none" w:sz="0" w:space="0" w:color="auto"/>
        <w:bottom w:val="none" w:sz="0" w:space="0" w:color="auto"/>
        <w:right w:val="none" w:sz="0" w:space="0" w:color="auto"/>
      </w:divBdr>
    </w:div>
    <w:div w:id="1835680408">
      <w:bodyDiv w:val="1"/>
      <w:marLeft w:val="0"/>
      <w:marRight w:val="0"/>
      <w:marTop w:val="0"/>
      <w:marBottom w:val="0"/>
      <w:divBdr>
        <w:top w:val="none" w:sz="0" w:space="0" w:color="auto"/>
        <w:left w:val="none" w:sz="0" w:space="0" w:color="auto"/>
        <w:bottom w:val="none" w:sz="0" w:space="0" w:color="auto"/>
        <w:right w:val="none" w:sz="0" w:space="0" w:color="auto"/>
      </w:divBdr>
    </w:div>
    <w:div w:id="1835685475">
      <w:bodyDiv w:val="1"/>
      <w:marLeft w:val="0"/>
      <w:marRight w:val="0"/>
      <w:marTop w:val="0"/>
      <w:marBottom w:val="0"/>
      <w:divBdr>
        <w:top w:val="none" w:sz="0" w:space="0" w:color="auto"/>
        <w:left w:val="none" w:sz="0" w:space="0" w:color="auto"/>
        <w:bottom w:val="none" w:sz="0" w:space="0" w:color="auto"/>
        <w:right w:val="none" w:sz="0" w:space="0" w:color="auto"/>
      </w:divBdr>
    </w:div>
    <w:div w:id="1835755659">
      <w:bodyDiv w:val="1"/>
      <w:marLeft w:val="0"/>
      <w:marRight w:val="0"/>
      <w:marTop w:val="0"/>
      <w:marBottom w:val="0"/>
      <w:divBdr>
        <w:top w:val="none" w:sz="0" w:space="0" w:color="auto"/>
        <w:left w:val="none" w:sz="0" w:space="0" w:color="auto"/>
        <w:bottom w:val="none" w:sz="0" w:space="0" w:color="auto"/>
        <w:right w:val="none" w:sz="0" w:space="0" w:color="auto"/>
      </w:divBdr>
    </w:div>
    <w:div w:id="1835796257">
      <w:bodyDiv w:val="1"/>
      <w:marLeft w:val="0"/>
      <w:marRight w:val="0"/>
      <w:marTop w:val="0"/>
      <w:marBottom w:val="0"/>
      <w:divBdr>
        <w:top w:val="none" w:sz="0" w:space="0" w:color="auto"/>
        <w:left w:val="none" w:sz="0" w:space="0" w:color="auto"/>
        <w:bottom w:val="none" w:sz="0" w:space="0" w:color="auto"/>
        <w:right w:val="none" w:sz="0" w:space="0" w:color="auto"/>
      </w:divBdr>
    </w:div>
    <w:div w:id="1835951651">
      <w:bodyDiv w:val="1"/>
      <w:marLeft w:val="0"/>
      <w:marRight w:val="0"/>
      <w:marTop w:val="0"/>
      <w:marBottom w:val="0"/>
      <w:divBdr>
        <w:top w:val="none" w:sz="0" w:space="0" w:color="auto"/>
        <w:left w:val="none" w:sz="0" w:space="0" w:color="auto"/>
        <w:bottom w:val="none" w:sz="0" w:space="0" w:color="auto"/>
        <w:right w:val="none" w:sz="0" w:space="0" w:color="auto"/>
      </w:divBdr>
    </w:div>
    <w:div w:id="1835953152">
      <w:bodyDiv w:val="1"/>
      <w:marLeft w:val="0"/>
      <w:marRight w:val="0"/>
      <w:marTop w:val="0"/>
      <w:marBottom w:val="0"/>
      <w:divBdr>
        <w:top w:val="none" w:sz="0" w:space="0" w:color="auto"/>
        <w:left w:val="none" w:sz="0" w:space="0" w:color="auto"/>
        <w:bottom w:val="none" w:sz="0" w:space="0" w:color="auto"/>
        <w:right w:val="none" w:sz="0" w:space="0" w:color="auto"/>
      </w:divBdr>
    </w:div>
    <w:div w:id="1835953425">
      <w:bodyDiv w:val="1"/>
      <w:marLeft w:val="0"/>
      <w:marRight w:val="0"/>
      <w:marTop w:val="0"/>
      <w:marBottom w:val="0"/>
      <w:divBdr>
        <w:top w:val="none" w:sz="0" w:space="0" w:color="auto"/>
        <w:left w:val="none" w:sz="0" w:space="0" w:color="auto"/>
        <w:bottom w:val="none" w:sz="0" w:space="0" w:color="auto"/>
        <w:right w:val="none" w:sz="0" w:space="0" w:color="auto"/>
      </w:divBdr>
    </w:div>
    <w:div w:id="1836218547">
      <w:bodyDiv w:val="1"/>
      <w:marLeft w:val="0"/>
      <w:marRight w:val="0"/>
      <w:marTop w:val="0"/>
      <w:marBottom w:val="0"/>
      <w:divBdr>
        <w:top w:val="none" w:sz="0" w:space="0" w:color="auto"/>
        <w:left w:val="none" w:sz="0" w:space="0" w:color="auto"/>
        <w:bottom w:val="none" w:sz="0" w:space="0" w:color="auto"/>
        <w:right w:val="none" w:sz="0" w:space="0" w:color="auto"/>
      </w:divBdr>
    </w:div>
    <w:div w:id="1836335907">
      <w:bodyDiv w:val="1"/>
      <w:marLeft w:val="0"/>
      <w:marRight w:val="0"/>
      <w:marTop w:val="0"/>
      <w:marBottom w:val="0"/>
      <w:divBdr>
        <w:top w:val="none" w:sz="0" w:space="0" w:color="auto"/>
        <w:left w:val="none" w:sz="0" w:space="0" w:color="auto"/>
        <w:bottom w:val="none" w:sz="0" w:space="0" w:color="auto"/>
        <w:right w:val="none" w:sz="0" w:space="0" w:color="auto"/>
      </w:divBdr>
    </w:div>
    <w:div w:id="1836457056">
      <w:bodyDiv w:val="1"/>
      <w:marLeft w:val="0"/>
      <w:marRight w:val="0"/>
      <w:marTop w:val="0"/>
      <w:marBottom w:val="0"/>
      <w:divBdr>
        <w:top w:val="none" w:sz="0" w:space="0" w:color="auto"/>
        <w:left w:val="none" w:sz="0" w:space="0" w:color="auto"/>
        <w:bottom w:val="none" w:sz="0" w:space="0" w:color="auto"/>
        <w:right w:val="none" w:sz="0" w:space="0" w:color="auto"/>
      </w:divBdr>
    </w:div>
    <w:div w:id="1836527590">
      <w:bodyDiv w:val="1"/>
      <w:marLeft w:val="0"/>
      <w:marRight w:val="0"/>
      <w:marTop w:val="0"/>
      <w:marBottom w:val="0"/>
      <w:divBdr>
        <w:top w:val="none" w:sz="0" w:space="0" w:color="auto"/>
        <w:left w:val="none" w:sz="0" w:space="0" w:color="auto"/>
        <w:bottom w:val="none" w:sz="0" w:space="0" w:color="auto"/>
        <w:right w:val="none" w:sz="0" w:space="0" w:color="auto"/>
      </w:divBdr>
    </w:div>
    <w:div w:id="1836527843">
      <w:bodyDiv w:val="1"/>
      <w:marLeft w:val="0"/>
      <w:marRight w:val="0"/>
      <w:marTop w:val="0"/>
      <w:marBottom w:val="0"/>
      <w:divBdr>
        <w:top w:val="none" w:sz="0" w:space="0" w:color="auto"/>
        <w:left w:val="none" w:sz="0" w:space="0" w:color="auto"/>
        <w:bottom w:val="none" w:sz="0" w:space="0" w:color="auto"/>
        <w:right w:val="none" w:sz="0" w:space="0" w:color="auto"/>
      </w:divBdr>
    </w:div>
    <w:div w:id="1836535829">
      <w:bodyDiv w:val="1"/>
      <w:marLeft w:val="0"/>
      <w:marRight w:val="0"/>
      <w:marTop w:val="0"/>
      <w:marBottom w:val="0"/>
      <w:divBdr>
        <w:top w:val="none" w:sz="0" w:space="0" w:color="auto"/>
        <w:left w:val="none" w:sz="0" w:space="0" w:color="auto"/>
        <w:bottom w:val="none" w:sz="0" w:space="0" w:color="auto"/>
        <w:right w:val="none" w:sz="0" w:space="0" w:color="auto"/>
      </w:divBdr>
    </w:div>
    <w:div w:id="1836603653">
      <w:bodyDiv w:val="1"/>
      <w:marLeft w:val="0"/>
      <w:marRight w:val="0"/>
      <w:marTop w:val="0"/>
      <w:marBottom w:val="0"/>
      <w:divBdr>
        <w:top w:val="none" w:sz="0" w:space="0" w:color="auto"/>
        <w:left w:val="none" w:sz="0" w:space="0" w:color="auto"/>
        <w:bottom w:val="none" w:sz="0" w:space="0" w:color="auto"/>
        <w:right w:val="none" w:sz="0" w:space="0" w:color="auto"/>
      </w:divBdr>
    </w:div>
    <w:div w:id="1836725362">
      <w:bodyDiv w:val="1"/>
      <w:marLeft w:val="0"/>
      <w:marRight w:val="0"/>
      <w:marTop w:val="0"/>
      <w:marBottom w:val="0"/>
      <w:divBdr>
        <w:top w:val="none" w:sz="0" w:space="0" w:color="auto"/>
        <w:left w:val="none" w:sz="0" w:space="0" w:color="auto"/>
        <w:bottom w:val="none" w:sz="0" w:space="0" w:color="auto"/>
        <w:right w:val="none" w:sz="0" w:space="0" w:color="auto"/>
      </w:divBdr>
    </w:div>
    <w:div w:id="1836802186">
      <w:bodyDiv w:val="1"/>
      <w:marLeft w:val="0"/>
      <w:marRight w:val="0"/>
      <w:marTop w:val="0"/>
      <w:marBottom w:val="0"/>
      <w:divBdr>
        <w:top w:val="none" w:sz="0" w:space="0" w:color="auto"/>
        <w:left w:val="none" w:sz="0" w:space="0" w:color="auto"/>
        <w:bottom w:val="none" w:sz="0" w:space="0" w:color="auto"/>
        <w:right w:val="none" w:sz="0" w:space="0" w:color="auto"/>
      </w:divBdr>
    </w:div>
    <w:div w:id="1836846607">
      <w:bodyDiv w:val="1"/>
      <w:marLeft w:val="0"/>
      <w:marRight w:val="0"/>
      <w:marTop w:val="0"/>
      <w:marBottom w:val="0"/>
      <w:divBdr>
        <w:top w:val="none" w:sz="0" w:space="0" w:color="auto"/>
        <w:left w:val="none" w:sz="0" w:space="0" w:color="auto"/>
        <w:bottom w:val="none" w:sz="0" w:space="0" w:color="auto"/>
        <w:right w:val="none" w:sz="0" w:space="0" w:color="auto"/>
      </w:divBdr>
    </w:div>
    <w:div w:id="1837063780">
      <w:bodyDiv w:val="1"/>
      <w:marLeft w:val="0"/>
      <w:marRight w:val="0"/>
      <w:marTop w:val="0"/>
      <w:marBottom w:val="0"/>
      <w:divBdr>
        <w:top w:val="none" w:sz="0" w:space="0" w:color="auto"/>
        <w:left w:val="none" w:sz="0" w:space="0" w:color="auto"/>
        <w:bottom w:val="none" w:sz="0" w:space="0" w:color="auto"/>
        <w:right w:val="none" w:sz="0" w:space="0" w:color="auto"/>
      </w:divBdr>
    </w:div>
    <w:div w:id="1837106057">
      <w:bodyDiv w:val="1"/>
      <w:marLeft w:val="0"/>
      <w:marRight w:val="0"/>
      <w:marTop w:val="0"/>
      <w:marBottom w:val="0"/>
      <w:divBdr>
        <w:top w:val="none" w:sz="0" w:space="0" w:color="auto"/>
        <w:left w:val="none" w:sz="0" w:space="0" w:color="auto"/>
        <w:bottom w:val="none" w:sz="0" w:space="0" w:color="auto"/>
        <w:right w:val="none" w:sz="0" w:space="0" w:color="auto"/>
      </w:divBdr>
    </w:div>
    <w:div w:id="1837114942">
      <w:bodyDiv w:val="1"/>
      <w:marLeft w:val="0"/>
      <w:marRight w:val="0"/>
      <w:marTop w:val="0"/>
      <w:marBottom w:val="0"/>
      <w:divBdr>
        <w:top w:val="none" w:sz="0" w:space="0" w:color="auto"/>
        <w:left w:val="none" w:sz="0" w:space="0" w:color="auto"/>
        <w:bottom w:val="none" w:sz="0" w:space="0" w:color="auto"/>
        <w:right w:val="none" w:sz="0" w:space="0" w:color="auto"/>
      </w:divBdr>
    </w:div>
    <w:div w:id="1837190364">
      <w:bodyDiv w:val="1"/>
      <w:marLeft w:val="0"/>
      <w:marRight w:val="0"/>
      <w:marTop w:val="0"/>
      <w:marBottom w:val="0"/>
      <w:divBdr>
        <w:top w:val="none" w:sz="0" w:space="0" w:color="auto"/>
        <w:left w:val="none" w:sz="0" w:space="0" w:color="auto"/>
        <w:bottom w:val="none" w:sz="0" w:space="0" w:color="auto"/>
        <w:right w:val="none" w:sz="0" w:space="0" w:color="auto"/>
      </w:divBdr>
    </w:div>
    <w:div w:id="1837383859">
      <w:bodyDiv w:val="1"/>
      <w:marLeft w:val="0"/>
      <w:marRight w:val="0"/>
      <w:marTop w:val="0"/>
      <w:marBottom w:val="0"/>
      <w:divBdr>
        <w:top w:val="none" w:sz="0" w:space="0" w:color="auto"/>
        <w:left w:val="none" w:sz="0" w:space="0" w:color="auto"/>
        <w:bottom w:val="none" w:sz="0" w:space="0" w:color="auto"/>
        <w:right w:val="none" w:sz="0" w:space="0" w:color="auto"/>
      </w:divBdr>
    </w:div>
    <w:div w:id="1837452241">
      <w:bodyDiv w:val="1"/>
      <w:marLeft w:val="0"/>
      <w:marRight w:val="0"/>
      <w:marTop w:val="0"/>
      <w:marBottom w:val="0"/>
      <w:divBdr>
        <w:top w:val="none" w:sz="0" w:space="0" w:color="auto"/>
        <w:left w:val="none" w:sz="0" w:space="0" w:color="auto"/>
        <w:bottom w:val="none" w:sz="0" w:space="0" w:color="auto"/>
        <w:right w:val="none" w:sz="0" w:space="0" w:color="auto"/>
      </w:divBdr>
    </w:div>
    <w:div w:id="1837529086">
      <w:bodyDiv w:val="1"/>
      <w:marLeft w:val="0"/>
      <w:marRight w:val="0"/>
      <w:marTop w:val="0"/>
      <w:marBottom w:val="0"/>
      <w:divBdr>
        <w:top w:val="none" w:sz="0" w:space="0" w:color="auto"/>
        <w:left w:val="none" w:sz="0" w:space="0" w:color="auto"/>
        <w:bottom w:val="none" w:sz="0" w:space="0" w:color="auto"/>
        <w:right w:val="none" w:sz="0" w:space="0" w:color="auto"/>
      </w:divBdr>
    </w:div>
    <w:div w:id="1837531094">
      <w:bodyDiv w:val="1"/>
      <w:marLeft w:val="0"/>
      <w:marRight w:val="0"/>
      <w:marTop w:val="0"/>
      <w:marBottom w:val="0"/>
      <w:divBdr>
        <w:top w:val="none" w:sz="0" w:space="0" w:color="auto"/>
        <w:left w:val="none" w:sz="0" w:space="0" w:color="auto"/>
        <w:bottom w:val="none" w:sz="0" w:space="0" w:color="auto"/>
        <w:right w:val="none" w:sz="0" w:space="0" w:color="auto"/>
      </w:divBdr>
    </w:div>
    <w:div w:id="1837570234">
      <w:bodyDiv w:val="1"/>
      <w:marLeft w:val="0"/>
      <w:marRight w:val="0"/>
      <w:marTop w:val="0"/>
      <w:marBottom w:val="0"/>
      <w:divBdr>
        <w:top w:val="none" w:sz="0" w:space="0" w:color="auto"/>
        <w:left w:val="none" w:sz="0" w:space="0" w:color="auto"/>
        <w:bottom w:val="none" w:sz="0" w:space="0" w:color="auto"/>
        <w:right w:val="none" w:sz="0" w:space="0" w:color="auto"/>
      </w:divBdr>
    </w:div>
    <w:div w:id="1837649383">
      <w:bodyDiv w:val="1"/>
      <w:marLeft w:val="0"/>
      <w:marRight w:val="0"/>
      <w:marTop w:val="0"/>
      <w:marBottom w:val="0"/>
      <w:divBdr>
        <w:top w:val="none" w:sz="0" w:space="0" w:color="auto"/>
        <w:left w:val="none" w:sz="0" w:space="0" w:color="auto"/>
        <w:bottom w:val="none" w:sz="0" w:space="0" w:color="auto"/>
        <w:right w:val="none" w:sz="0" w:space="0" w:color="auto"/>
      </w:divBdr>
    </w:div>
    <w:div w:id="1837650608">
      <w:bodyDiv w:val="1"/>
      <w:marLeft w:val="0"/>
      <w:marRight w:val="0"/>
      <w:marTop w:val="0"/>
      <w:marBottom w:val="0"/>
      <w:divBdr>
        <w:top w:val="none" w:sz="0" w:space="0" w:color="auto"/>
        <w:left w:val="none" w:sz="0" w:space="0" w:color="auto"/>
        <w:bottom w:val="none" w:sz="0" w:space="0" w:color="auto"/>
        <w:right w:val="none" w:sz="0" w:space="0" w:color="auto"/>
      </w:divBdr>
    </w:div>
    <w:div w:id="1837719577">
      <w:bodyDiv w:val="1"/>
      <w:marLeft w:val="0"/>
      <w:marRight w:val="0"/>
      <w:marTop w:val="0"/>
      <w:marBottom w:val="0"/>
      <w:divBdr>
        <w:top w:val="none" w:sz="0" w:space="0" w:color="auto"/>
        <w:left w:val="none" w:sz="0" w:space="0" w:color="auto"/>
        <w:bottom w:val="none" w:sz="0" w:space="0" w:color="auto"/>
        <w:right w:val="none" w:sz="0" w:space="0" w:color="auto"/>
      </w:divBdr>
    </w:div>
    <w:div w:id="1837763587">
      <w:bodyDiv w:val="1"/>
      <w:marLeft w:val="0"/>
      <w:marRight w:val="0"/>
      <w:marTop w:val="0"/>
      <w:marBottom w:val="0"/>
      <w:divBdr>
        <w:top w:val="none" w:sz="0" w:space="0" w:color="auto"/>
        <w:left w:val="none" w:sz="0" w:space="0" w:color="auto"/>
        <w:bottom w:val="none" w:sz="0" w:space="0" w:color="auto"/>
        <w:right w:val="none" w:sz="0" w:space="0" w:color="auto"/>
      </w:divBdr>
    </w:div>
    <w:div w:id="1837840233">
      <w:bodyDiv w:val="1"/>
      <w:marLeft w:val="0"/>
      <w:marRight w:val="0"/>
      <w:marTop w:val="0"/>
      <w:marBottom w:val="0"/>
      <w:divBdr>
        <w:top w:val="none" w:sz="0" w:space="0" w:color="auto"/>
        <w:left w:val="none" w:sz="0" w:space="0" w:color="auto"/>
        <w:bottom w:val="none" w:sz="0" w:space="0" w:color="auto"/>
        <w:right w:val="none" w:sz="0" w:space="0" w:color="auto"/>
      </w:divBdr>
    </w:div>
    <w:div w:id="1837915357">
      <w:bodyDiv w:val="1"/>
      <w:marLeft w:val="0"/>
      <w:marRight w:val="0"/>
      <w:marTop w:val="0"/>
      <w:marBottom w:val="0"/>
      <w:divBdr>
        <w:top w:val="none" w:sz="0" w:space="0" w:color="auto"/>
        <w:left w:val="none" w:sz="0" w:space="0" w:color="auto"/>
        <w:bottom w:val="none" w:sz="0" w:space="0" w:color="auto"/>
        <w:right w:val="none" w:sz="0" w:space="0" w:color="auto"/>
      </w:divBdr>
    </w:div>
    <w:div w:id="1837918406">
      <w:bodyDiv w:val="1"/>
      <w:marLeft w:val="0"/>
      <w:marRight w:val="0"/>
      <w:marTop w:val="0"/>
      <w:marBottom w:val="0"/>
      <w:divBdr>
        <w:top w:val="none" w:sz="0" w:space="0" w:color="auto"/>
        <w:left w:val="none" w:sz="0" w:space="0" w:color="auto"/>
        <w:bottom w:val="none" w:sz="0" w:space="0" w:color="auto"/>
        <w:right w:val="none" w:sz="0" w:space="0" w:color="auto"/>
      </w:divBdr>
    </w:div>
    <w:div w:id="1837919538">
      <w:bodyDiv w:val="1"/>
      <w:marLeft w:val="0"/>
      <w:marRight w:val="0"/>
      <w:marTop w:val="0"/>
      <w:marBottom w:val="0"/>
      <w:divBdr>
        <w:top w:val="none" w:sz="0" w:space="0" w:color="auto"/>
        <w:left w:val="none" w:sz="0" w:space="0" w:color="auto"/>
        <w:bottom w:val="none" w:sz="0" w:space="0" w:color="auto"/>
        <w:right w:val="none" w:sz="0" w:space="0" w:color="auto"/>
      </w:divBdr>
    </w:div>
    <w:div w:id="1837958047">
      <w:bodyDiv w:val="1"/>
      <w:marLeft w:val="0"/>
      <w:marRight w:val="0"/>
      <w:marTop w:val="0"/>
      <w:marBottom w:val="0"/>
      <w:divBdr>
        <w:top w:val="none" w:sz="0" w:space="0" w:color="auto"/>
        <w:left w:val="none" w:sz="0" w:space="0" w:color="auto"/>
        <w:bottom w:val="none" w:sz="0" w:space="0" w:color="auto"/>
        <w:right w:val="none" w:sz="0" w:space="0" w:color="auto"/>
      </w:divBdr>
    </w:div>
    <w:div w:id="1837960988">
      <w:bodyDiv w:val="1"/>
      <w:marLeft w:val="0"/>
      <w:marRight w:val="0"/>
      <w:marTop w:val="0"/>
      <w:marBottom w:val="0"/>
      <w:divBdr>
        <w:top w:val="none" w:sz="0" w:space="0" w:color="auto"/>
        <w:left w:val="none" w:sz="0" w:space="0" w:color="auto"/>
        <w:bottom w:val="none" w:sz="0" w:space="0" w:color="auto"/>
        <w:right w:val="none" w:sz="0" w:space="0" w:color="auto"/>
      </w:divBdr>
    </w:div>
    <w:div w:id="1838036883">
      <w:bodyDiv w:val="1"/>
      <w:marLeft w:val="0"/>
      <w:marRight w:val="0"/>
      <w:marTop w:val="0"/>
      <w:marBottom w:val="0"/>
      <w:divBdr>
        <w:top w:val="none" w:sz="0" w:space="0" w:color="auto"/>
        <w:left w:val="none" w:sz="0" w:space="0" w:color="auto"/>
        <w:bottom w:val="none" w:sz="0" w:space="0" w:color="auto"/>
        <w:right w:val="none" w:sz="0" w:space="0" w:color="auto"/>
      </w:divBdr>
    </w:div>
    <w:div w:id="1838301384">
      <w:bodyDiv w:val="1"/>
      <w:marLeft w:val="0"/>
      <w:marRight w:val="0"/>
      <w:marTop w:val="0"/>
      <w:marBottom w:val="0"/>
      <w:divBdr>
        <w:top w:val="none" w:sz="0" w:space="0" w:color="auto"/>
        <w:left w:val="none" w:sz="0" w:space="0" w:color="auto"/>
        <w:bottom w:val="none" w:sz="0" w:space="0" w:color="auto"/>
        <w:right w:val="none" w:sz="0" w:space="0" w:color="auto"/>
      </w:divBdr>
    </w:div>
    <w:div w:id="1838303571">
      <w:bodyDiv w:val="1"/>
      <w:marLeft w:val="0"/>
      <w:marRight w:val="0"/>
      <w:marTop w:val="0"/>
      <w:marBottom w:val="0"/>
      <w:divBdr>
        <w:top w:val="none" w:sz="0" w:space="0" w:color="auto"/>
        <w:left w:val="none" w:sz="0" w:space="0" w:color="auto"/>
        <w:bottom w:val="none" w:sz="0" w:space="0" w:color="auto"/>
        <w:right w:val="none" w:sz="0" w:space="0" w:color="auto"/>
      </w:divBdr>
    </w:div>
    <w:div w:id="1838308398">
      <w:bodyDiv w:val="1"/>
      <w:marLeft w:val="0"/>
      <w:marRight w:val="0"/>
      <w:marTop w:val="0"/>
      <w:marBottom w:val="0"/>
      <w:divBdr>
        <w:top w:val="none" w:sz="0" w:space="0" w:color="auto"/>
        <w:left w:val="none" w:sz="0" w:space="0" w:color="auto"/>
        <w:bottom w:val="none" w:sz="0" w:space="0" w:color="auto"/>
        <w:right w:val="none" w:sz="0" w:space="0" w:color="auto"/>
      </w:divBdr>
    </w:div>
    <w:div w:id="1838374378">
      <w:bodyDiv w:val="1"/>
      <w:marLeft w:val="0"/>
      <w:marRight w:val="0"/>
      <w:marTop w:val="0"/>
      <w:marBottom w:val="0"/>
      <w:divBdr>
        <w:top w:val="none" w:sz="0" w:space="0" w:color="auto"/>
        <w:left w:val="none" w:sz="0" w:space="0" w:color="auto"/>
        <w:bottom w:val="none" w:sz="0" w:space="0" w:color="auto"/>
        <w:right w:val="none" w:sz="0" w:space="0" w:color="auto"/>
      </w:divBdr>
    </w:div>
    <w:div w:id="1838376017">
      <w:bodyDiv w:val="1"/>
      <w:marLeft w:val="0"/>
      <w:marRight w:val="0"/>
      <w:marTop w:val="0"/>
      <w:marBottom w:val="0"/>
      <w:divBdr>
        <w:top w:val="none" w:sz="0" w:space="0" w:color="auto"/>
        <w:left w:val="none" w:sz="0" w:space="0" w:color="auto"/>
        <w:bottom w:val="none" w:sz="0" w:space="0" w:color="auto"/>
        <w:right w:val="none" w:sz="0" w:space="0" w:color="auto"/>
      </w:divBdr>
    </w:div>
    <w:div w:id="1838378486">
      <w:bodyDiv w:val="1"/>
      <w:marLeft w:val="0"/>
      <w:marRight w:val="0"/>
      <w:marTop w:val="0"/>
      <w:marBottom w:val="0"/>
      <w:divBdr>
        <w:top w:val="none" w:sz="0" w:space="0" w:color="auto"/>
        <w:left w:val="none" w:sz="0" w:space="0" w:color="auto"/>
        <w:bottom w:val="none" w:sz="0" w:space="0" w:color="auto"/>
        <w:right w:val="none" w:sz="0" w:space="0" w:color="auto"/>
      </w:divBdr>
    </w:div>
    <w:div w:id="1838420425">
      <w:bodyDiv w:val="1"/>
      <w:marLeft w:val="0"/>
      <w:marRight w:val="0"/>
      <w:marTop w:val="0"/>
      <w:marBottom w:val="0"/>
      <w:divBdr>
        <w:top w:val="none" w:sz="0" w:space="0" w:color="auto"/>
        <w:left w:val="none" w:sz="0" w:space="0" w:color="auto"/>
        <w:bottom w:val="none" w:sz="0" w:space="0" w:color="auto"/>
        <w:right w:val="none" w:sz="0" w:space="0" w:color="auto"/>
      </w:divBdr>
    </w:div>
    <w:div w:id="1838494317">
      <w:bodyDiv w:val="1"/>
      <w:marLeft w:val="0"/>
      <w:marRight w:val="0"/>
      <w:marTop w:val="0"/>
      <w:marBottom w:val="0"/>
      <w:divBdr>
        <w:top w:val="none" w:sz="0" w:space="0" w:color="auto"/>
        <w:left w:val="none" w:sz="0" w:space="0" w:color="auto"/>
        <w:bottom w:val="none" w:sz="0" w:space="0" w:color="auto"/>
        <w:right w:val="none" w:sz="0" w:space="0" w:color="auto"/>
      </w:divBdr>
    </w:div>
    <w:div w:id="1838496337">
      <w:bodyDiv w:val="1"/>
      <w:marLeft w:val="0"/>
      <w:marRight w:val="0"/>
      <w:marTop w:val="0"/>
      <w:marBottom w:val="0"/>
      <w:divBdr>
        <w:top w:val="none" w:sz="0" w:space="0" w:color="auto"/>
        <w:left w:val="none" w:sz="0" w:space="0" w:color="auto"/>
        <w:bottom w:val="none" w:sz="0" w:space="0" w:color="auto"/>
        <w:right w:val="none" w:sz="0" w:space="0" w:color="auto"/>
      </w:divBdr>
    </w:div>
    <w:div w:id="1838498503">
      <w:bodyDiv w:val="1"/>
      <w:marLeft w:val="0"/>
      <w:marRight w:val="0"/>
      <w:marTop w:val="0"/>
      <w:marBottom w:val="0"/>
      <w:divBdr>
        <w:top w:val="none" w:sz="0" w:space="0" w:color="auto"/>
        <w:left w:val="none" w:sz="0" w:space="0" w:color="auto"/>
        <w:bottom w:val="none" w:sz="0" w:space="0" w:color="auto"/>
        <w:right w:val="none" w:sz="0" w:space="0" w:color="auto"/>
      </w:divBdr>
    </w:div>
    <w:div w:id="1838571814">
      <w:bodyDiv w:val="1"/>
      <w:marLeft w:val="0"/>
      <w:marRight w:val="0"/>
      <w:marTop w:val="0"/>
      <w:marBottom w:val="0"/>
      <w:divBdr>
        <w:top w:val="none" w:sz="0" w:space="0" w:color="auto"/>
        <w:left w:val="none" w:sz="0" w:space="0" w:color="auto"/>
        <w:bottom w:val="none" w:sz="0" w:space="0" w:color="auto"/>
        <w:right w:val="none" w:sz="0" w:space="0" w:color="auto"/>
      </w:divBdr>
    </w:div>
    <w:div w:id="1838839277">
      <w:bodyDiv w:val="1"/>
      <w:marLeft w:val="0"/>
      <w:marRight w:val="0"/>
      <w:marTop w:val="0"/>
      <w:marBottom w:val="0"/>
      <w:divBdr>
        <w:top w:val="none" w:sz="0" w:space="0" w:color="auto"/>
        <w:left w:val="none" w:sz="0" w:space="0" w:color="auto"/>
        <w:bottom w:val="none" w:sz="0" w:space="0" w:color="auto"/>
        <w:right w:val="none" w:sz="0" w:space="0" w:color="auto"/>
      </w:divBdr>
    </w:div>
    <w:div w:id="1838954568">
      <w:bodyDiv w:val="1"/>
      <w:marLeft w:val="0"/>
      <w:marRight w:val="0"/>
      <w:marTop w:val="0"/>
      <w:marBottom w:val="0"/>
      <w:divBdr>
        <w:top w:val="none" w:sz="0" w:space="0" w:color="auto"/>
        <w:left w:val="none" w:sz="0" w:space="0" w:color="auto"/>
        <w:bottom w:val="none" w:sz="0" w:space="0" w:color="auto"/>
        <w:right w:val="none" w:sz="0" w:space="0" w:color="auto"/>
      </w:divBdr>
    </w:div>
    <w:div w:id="1839038018">
      <w:bodyDiv w:val="1"/>
      <w:marLeft w:val="0"/>
      <w:marRight w:val="0"/>
      <w:marTop w:val="0"/>
      <w:marBottom w:val="0"/>
      <w:divBdr>
        <w:top w:val="none" w:sz="0" w:space="0" w:color="auto"/>
        <w:left w:val="none" w:sz="0" w:space="0" w:color="auto"/>
        <w:bottom w:val="none" w:sz="0" w:space="0" w:color="auto"/>
        <w:right w:val="none" w:sz="0" w:space="0" w:color="auto"/>
      </w:divBdr>
    </w:div>
    <w:div w:id="1839268443">
      <w:bodyDiv w:val="1"/>
      <w:marLeft w:val="0"/>
      <w:marRight w:val="0"/>
      <w:marTop w:val="0"/>
      <w:marBottom w:val="0"/>
      <w:divBdr>
        <w:top w:val="none" w:sz="0" w:space="0" w:color="auto"/>
        <w:left w:val="none" w:sz="0" w:space="0" w:color="auto"/>
        <w:bottom w:val="none" w:sz="0" w:space="0" w:color="auto"/>
        <w:right w:val="none" w:sz="0" w:space="0" w:color="auto"/>
      </w:divBdr>
    </w:div>
    <w:div w:id="1839271321">
      <w:bodyDiv w:val="1"/>
      <w:marLeft w:val="0"/>
      <w:marRight w:val="0"/>
      <w:marTop w:val="0"/>
      <w:marBottom w:val="0"/>
      <w:divBdr>
        <w:top w:val="none" w:sz="0" w:space="0" w:color="auto"/>
        <w:left w:val="none" w:sz="0" w:space="0" w:color="auto"/>
        <w:bottom w:val="none" w:sz="0" w:space="0" w:color="auto"/>
        <w:right w:val="none" w:sz="0" w:space="0" w:color="auto"/>
      </w:divBdr>
    </w:div>
    <w:div w:id="1839274025">
      <w:bodyDiv w:val="1"/>
      <w:marLeft w:val="0"/>
      <w:marRight w:val="0"/>
      <w:marTop w:val="0"/>
      <w:marBottom w:val="0"/>
      <w:divBdr>
        <w:top w:val="none" w:sz="0" w:space="0" w:color="auto"/>
        <w:left w:val="none" w:sz="0" w:space="0" w:color="auto"/>
        <w:bottom w:val="none" w:sz="0" w:space="0" w:color="auto"/>
        <w:right w:val="none" w:sz="0" w:space="0" w:color="auto"/>
      </w:divBdr>
    </w:div>
    <w:div w:id="1839422344">
      <w:bodyDiv w:val="1"/>
      <w:marLeft w:val="0"/>
      <w:marRight w:val="0"/>
      <w:marTop w:val="0"/>
      <w:marBottom w:val="0"/>
      <w:divBdr>
        <w:top w:val="none" w:sz="0" w:space="0" w:color="auto"/>
        <w:left w:val="none" w:sz="0" w:space="0" w:color="auto"/>
        <w:bottom w:val="none" w:sz="0" w:space="0" w:color="auto"/>
        <w:right w:val="none" w:sz="0" w:space="0" w:color="auto"/>
      </w:divBdr>
    </w:div>
    <w:div w:id="1839465357">
      <w:bodyDiv w:val="1"/>
      <w:marLeft w:val="0"/>
      <w:marRight w:val="0"/>
      <w:marTop w:val="0"/>
      <w:marBottom w:val="0"/>
      <w:divBdr>
        <w:top w:val="none" w:sz="0" w:space="0" w:color="auto"/>
        <w:left w:val="none" w:sz="0" w:space="0" w:color="auto"/>
        <w:bottom w:val="none" w:sz="0" w:space="0" w:color="auto"/>
        <w:right w:val="none" w:sz="0" w:space="0" w:color="auto"/>
      </w:divBdr>
    </w:div>
    <w:div w:id="1839468129">
      <w:bodyDiv w:val="1"/>
      <w:marLeft w:val="0"/>
      <w:marRight w:val="0"/>
      <w:marTop w:val="0"/>
      <w:marBottom w:val="0"/>
      <w:divBdr>
        <w:top w:val="none" w:sz="0" w:space="0" w:color="auto"/>
        <w:left w:val="none" w:sz="0" w:space="0" w:color="auto"/>
        <w:bottom w:val="none" w:sz="0" w:space="0" w:color="auto"/>
        <w:right w:val="none" w:sz="0" w:space="0" w:color="auto"/>
      </w:divBdr>
    </w:div>
    <w:div w:id="1839491269">
      <w:bodyDiv w:val="1"/>
      <w:marLeft w:val="0"/>
      <w:marRight w:val="0"/>
      <w:marTop w:val="0"/>
      <w:marBottom w:val="0"/>
      <w:divBdr>
        <w:top w:val="none" w:sz="0" w:space="0" w:color="auto"/>
        <w:left w:val="none" w:sz="0" w:space="0" w:color="auto"/>
        <w:bottom w:val="none" w:sz="0" w:space="0" w:color="auto"/>
        <w:right w:val="none" w:sz="0" w:space="0" w:color="auto"/>
      </w:divBdr>
    </w:div>
    <w:div w:id="1839495135">
      <w:bodyDiv w:val="1"/>
      <w:marLeft w:val="0"/>
      <w:marRight w:val="0"/>
      <w:marTop w:val="0"/>
      <w:marBottom w:val="0"/>
      <w:divBdr>
        <w:top w:val="none" w:sz="0" w:space="0" w:color="auto"/>
        <w:left w:val="none" w:sz="0" w:space="0" w:color="auto"/>
        <w:bottom w:val="none" w:sz="0" w:space="0" w:color="auto"/>
        <w:right w:val="none" w:sz="0" w:space="0" w:color="auto"/>
      </w:divBdr>
    </w:div>
    <w:div w:id="1839537105">
      <w:bodyDiv w:val="1"/>
      <w:marLeft w:val="0"/>
      <w:marRight w:val="0"/>
      <w:marTop w:val="0"/>
      <w:marBottom w:val="0"/>
      <w:divBdr>
        <w:top w:val="none" w:sz="0" w:space="0" w:color="auto"/>
        <w:left w:val="none" w:sz="0" w:space="0" w:color="auto"/>
        <w:bottom w:val="none" w:sz="0" w:space="0" w:color="auto"/>
        <w:right w:val="none" w:sz="0" w:space="0" w:color="auto"/>
      </w:divBdr>
    </w:div>
    <w:div w:id="1839736548">
      <w:bodyDiv w:val="1"/>
      <w:marLeft w:val="0"/>
      <w:marRight w:val="0"/>
      <w:marTop w:val="0"/>
      <w:marBottom w:val="0"/>
      <w:divBdr>
        <w:top w:val="none" w:sz="0" w:space="0" w:color="auto"/>
        <w:left w:val="none" w:sz="0" w:space="0" w:color="auto"/>
        <w:bottom w:val="none" w:sz="0" w:space="0" w:color="auto"/>
        <w:right w:val="none" w:sz="0" w:space="0" w:color="auto"/>
      </w:divBdr>
    </w:div>
    <w:div w:id="1839885964">
      <w:bodyDiv w:val="1"/>
      <w:marLeft w:val="0"/>
      <w:marRight w:val="0"/>
      <w:marTop w:val="0"/>
      <w:marBottom w:val="0"/>
      <w:divBdr>
        <w:top w:val="none" w:sz="0" w:space="0" w:color="auto"/>
        <w:left w:val="none" w:sz="0" w:space="0" w:color="auto"/>
        <w:bottom w:val="none" w:sz="0" w:space="0" w:color="auto"/>
        <w:right w:val="none" w:sz="0" w:space="0" w:color="auto"/>
      </w:divBdr>
    </w:div>
    <w:div w:id="1839923422">
      <w:bodyDiv w:val="1"/>
      <w:marLeft w:val="0"/>
      <w:marRight w:val="0"/>
      <w:marTop w:val="0"/>
      <w:marBottom w:val="0"/>
      <w:divBdr>
        <w:top w:val="none" w:sz="0" w:space="0" w:color="auto"/>
        <w:left w:val="none" w:sz="0" w:space="0" w:color="auto"/>
        <w:bottom w:val="none" w:sz="0" w:space="0" w:color="auto"/>
        <w:right w:val="none" w:sz="0" w:space="0" w:color="auto"/>
      </w:divBdr>
    </w:div>
    <w:div w:id="1839927988">
      <w:bodyDiv w:val="1"/>
      <w:marLeft w:val="0"/>
      <w:marRight w:val="0"/>
      <w:marTop w:val="0"/>
      <w:marBottom w:val="0"/>
      <w:divBdr>
        <w:top w:val="none" w:sz="0" w:space="0" w:color="auto"/>
        <w:left w:val="none" w:sz="0" w:space="0" w:color="auto"/>
        <w:bottom w:val="none" w:sz="0" w:space="0" w:color="auto"/>
        <w:right w:val="none" w:sz="0" w:space="0" w:color="auto"/>
      </w:divBdr>
    </w:div>
    <w:div w:id="1839930123">
      <w:bodyDiv w:val="1"/>
      <w:marLeft w:val="0"/>
      <w:marRight w:val="0"/>
      <w:marTop w:val="0"/>
      <w:marBottom w:val="0"/>
      <w:divBdr>
        <w:top w:val="none" w:sz="0" w:space="0" w:color="auto"/>
        <w:left w:val="none" w:sz="0" w:space="0" w:color="auto"/>
        <w:bottom w:val="none" w:sz="0" w:space="0" w:color="auto"/>
        <w:right w:val="none" w:sz="0" w:space="0" w:color="auto"/>
      </w:divBdr>
    </w:div>
    <w:div w:id="1840197517">
      <w:bodyDiv w:val="1"/>
      <w:marLeft w:val="0"/>
      <w:marRight w:val="0"/>
      <w:marTop w:val="0"/>
      <w:marBottom w:val="0"/>
      <w:divBdr>
        <w:top w:val="none" w:sz="0" w:space="0" w:color="auto"/>
        <w:left w:val="none" w:sz="0" w:space="0" w:color="auto"/>
        <w:bottom w:val="none" w:sz="0" w:space="0" w:color="auto"/>
        <w:right w:val="none" w:sz="0" w:space="0" w:color="auto"/>
      </w:divBdr>
    </w:div>
    <w:div w:id="1840385009">
      <w:bodyDiv w:val="1"/>
      <w:marLeft w:val="0"/>
      <w:marRight w:val="0"/>
      <w:marTop w:val="0"/>
      <w:marBottom w:val="0"/>
      <w:divBdr>
        <w:top w:val="none" w:sz="0" w:space="0" w:color="auto"/>
        <w:left w:val="none" w:sz="0" w:space="0" w:color="auto"/>
        <w:bottom w:val="none" w:sz="0" w:space="0" w:color="auto"/>
        <w:right w:val="none" w:sz="0" w:space="0" w:color="auto"/>
      </w:divBdr>
    </w:div>
    <w:div w:id="1840581341">
      <w:bodyDiv w:val="1"/>
      <w:marLeft w:val="0"/>
      <w:marRight w:val="0"/>
      <w:marTop w:val="0"/>
      <w:marBottom w:val="0"/>
      <w:divBdr>
        <w:top w:val="none" w:sz="0" w:space="0" w:color="auto"/>
        <w:left w:val="none" w:sz="0" w:space="0" w:color="auto"/>
        <w:bottom w:val="none" w:sz="0" w:space="0" w:color="auto"/>
        <w:right w:val="none" w:sz="0" w:space="0" w:color="auto"/>
      </w:divBdr>
    </w:div>
    <w:div w:id="1840583345">
      <w:bodyDiv w:val="1"/>
      <w:marLeft w:val="0"/>
      <w:marRight w:val="0"/>
      <w:marTop w:val="0"/>
      <w:marBottom w:val="0"/>
      <w:divBdr>
        <w:top w:val="none" w:sz="0" w:space="0" w:color="auto"/>
        <w:left w:val="none" w:sz="0" w:space="0" w:color="auto"/>
        <w:bottom w:val="none" w:sz="0" w:space="0" w:color="auto"/>
        <w:right w:val="none" w:sz="0" w:space="0" w:color="auto"/>
      </w:divBdr>
    </w:div>
    <w:div w:id="1840584050">
      <w:bodyDiv w:val="1"/>
      <w:marLeft w:val="0"/>
      <w:marRight w:val="0"/>
      <w:marTop w:val="0"/>
      <w:marBottom w:val="0"/>
      <w:divBdr>
        <w:top w:val="none" w:sz="0" w:space="0" w:color="auto"/>
        <w:left w:val="none" w:sz="0" w:space="0" w:color="auto"/>
        <w:bottom w:val="none" w:sz="0" w:space="0" w:color="auto"/>
        <w:right w:val="none" w:sz="0" w:space="0" w:color="auto"/>
      </w:divBdr>
    </w:div>
    <w:div w:id="1840652921">
      <w:bodyDiv w:val="1"/>
      <w:marLeft w:val="0"/>
      <w:marRight w:val="0"/>
      <w:marTop w:val="0"/>
      <w:marBottom w:val="0"/>
      <w:divBdr>
        <w:top w:val="none" w:sz="0" w:space="0" w:color="auto"/>
        <w:left w:val="none" w:sz="0" w:space="0" w:color="auto"/>
        <w:bottom w:val="none" w:sz="0" w:space="0" w:color="auto"/>
        <w:right w:val="none" w:sz="0" w:space="0" w:color="auto"/>
      </w:divBdr>
    </w:div>
    <w:div w:id="1840658490">
      <w:bodyDiv w:val="1"/>
      <w:marLeft w:val="0"/>
      <w:marRight w:val="0"/>
      <w:marTop w:val="0"/>
      <w:marBottom w:val="0"/>
      <w:divBdr>
        <w:top w:val="none" w:sz="0" w:space="0" w:color="auto"/>
        <w:left w:val="none" w:sz="0" w:space="0" w:color="auto"/>
        <w:bottom w:val="none" w:sz="0" w:space="0" w:color="auto"/>
        <w:right w:val="none" w:sz="0" w:space="0" w:color="auto"/>
      </w:divBdr>
    </w:div>
    <w:div w:id="1840659912">
      <w:bodyDiv w:val="1"/>
      <w:marLeft w:val="0"/>
      <w:marRight w:val="0"/>
      <w:marTop w:val="0"/>
      <w:marBottom w:val="0"/>
      <w:divBdr>
        <w:top w:val="none" w:sz="0" w:space="0" w:color="auto"/>
        <w:left w:val="none" w:sz="0" w:space="0" w:color="auto"/>
        <w:bottom w:val="none" w:sz="0" w:space="0" w:color="auto"/>
        <w:right w:val="none" w:sz="0" w:space="0" w:color="auto"/>
      </w:divBdr>
    </w:div>
    <w:div w:id="1840803517">
      <w:bodyDiv w:val="1"/>
      <w:marLeft w:val="0"/>
      <w:marRight w:val="0"/>
      <w:marTop w:val="0"/>
      <w:marBottom w:val="0"/>
      <w:divBdr>
        <w:top w:val="none" w:sz="0" w:space="0" w:color="auto"/>
        <w:left w:val="none" w:sz="0" w:space="0" w:color="auto"/>
        <w:bottom w:val="none" w:sz="0" w:space="0" w:color="auto"/>
        <w:right w:val="none" w:sz="0" w:space="0" w:color="auto"/>
      </w:divBdr>
    </w:div>
    <w:div w:id="1840851803">
      <w:bodyDiv w:val="1"/>
      <w:marLeft w:val="0"/>
      <w:marRight w:val="0"/>
      <w:marTop w:val="0"/>
      <w:marBottom w:val="0"/>
      <w:divBdr>
        <w:top w:val="none" w:sz="0" w:space="0" w:color="auto"/>
        <w:left w:val="none" w:sz="0" w:space="0" w:color="auto"/>
        <w:bottom w:val="none" w:sz="0" w:space="0" w:color="auto"/>
        <w:right w:val="none" w:sz="0" w:space="0" w:color="auto"/>
      </w:divBdr>
    </w:div>
    <w:div w:id="1840853713">
      <w:bodyDiv w:val="1"/>
      <w:marLeft w:val="0"/>
      <w:marRight w:val="0"/>
      <w:marTop w:val="0"/>
      <w:marBottom w:val="0"/>
      <w:divBdr>
        <w:top w:val="none" w:sz="0" w:space="0" w:color="auto"/>
        <w:left w:val="none" w:sz="0" w:space="0" w:color="auto"/>
        <w:bottom w:val="none" w:sz="0" w:space="0" w:color="auto"/>
        <w:right w:val="none" w:sz="0" w:space="0" w:color="auto"/>
      </w:divBdr>
    </w:div>
    <w:div w:id="1840925003">
      <w:bodyDiv w:val="1"/>
      <w:marLeft w:val="0"/>
      <w:marRight w:val="0"/>
      <w:marTop w:val="0"/>
      <w:marBottom w:val="0"/>
      <w:divBdr>
        <w:top w:val="none" w:sz="0" w:space="0" w:color="auto"/>
        <w:left w:val="none" w:sz="0" w:space="0" w:color="auto"/>
        <w:bottom w:val="none" w:sz="0" w:space="0" w:color="auto"/>
        <w:right w:val="none" w:sz="0" w:space="0" w:color="auto"/>
      </w:divBdr>
    </w:div>
    <w:div w:id="1841038150">
      <w:bodyDiv w:val="1"/>
      <w:marLeft w:val="0"/>
      <w:marRight w:val="0"/>
      <w:marTop w:val="0"/>
      <w:marBottom w:val="0"/>
      <w:divBdr>
        <w:top w:val="none" w:sz="0" w:space="0" w:color="auto"/>
        <w:left w:val="none" w:sz="0" w:space="0" w:color="auto"/>
        <w:bottom w:val="none" w:sz="0" w:space="0" w:color="auto"/>
        <w:right w:val="none" w:sz="0" w:space="0" w:color="auto"/>
      </w:divBdr>
    </w:div>
    <w:div w:id="1841193216">
      <w:bodyDiv w:val="1"/>
      <w:marLeft w:val="0"/>
      <w:marRight w:val="0"/>
      <w:marTop w:val="0"/>
      <w:marBottom w:val="0"/>
      <w:divBdr>
        <w:top w:val="none" w:sz="0" w:space="0" w:color="auto"/>
        <w:left w:val="none" w:sz="0" w:space="0" w:color="auto"/>
        <w:bottom w:val="none" w:sz="0" w:space="0" w:color="auto"/>
        <w:right w:val="none" w:sz="0" w:space="0" w:color="auto"/>
      </w:divBdr>
    </w:div>
    <w:div w:id="1841197526">
      <w:bodyDiv w:val="1"/>
      <w:marLeft w:val="0"/>
      <w:marRight w:val="0"/>
      <w:marTop w:val="0"/>
      <w:marBottom w:val="0"/>
      <w:divBdr>
        <w:top w:val="none" w:sz="0" w:space="0" w:color="auto"/>
        <w:left w:val="none" w:sz="0" w:space="0" w:color="auto"/>
        <w:bottom w:val="none" w:sz="0" w:space="0" w:color="auto"/>
        <w:right w:val="none" w:sz="0" w:space="0" w:color="auto"/>
      </w:divBdr>
    </w:div>
    <w:div w:id="1841384870">
      <w:bodyDiv w:val="1"/>
      <w:marLeft w:val="0"/>
      <w:marRight w:val="0"/>
      <w:marTop w:val="0"/>
      <w:marBottom w:val="0"/>
      <w:divBdr>
        <w:top w:val="none" w:sz="0" w:space="0" w:color="auto"/>
        <w:left w:val="none" w:sz="0" w:space="0" w:color="auto"/>
        <w:bottom w:val="none" w:sz="0" w:space="0" w:color="auto"/>
        <w:right w:val="none" w:sz="0" w:space="0" w:color="auto"/>
      </w:divBdr>
    </w:div>
    <w:div w:id="1841462089">
      <w:bodyDiv w:val="1"/>
      <w:marLeft w:val="0"/>
      <w:marRight w:val="0"/>
      <w:marTop w:val="0"/>
      <w:marBottom w:val="0"/>
      <w:divBdr>
        <w:top w:val="none" w:sz="0" w:space="0" w:color="auto"/>
        <w:left w:val="none" w:sz="0" w:space="0" w:color="auto"/>
        <w:bottom w:val="none" w:sz="0" w:space="0" w:color="auto"/>
        <w:right w:val="none" w:sz="0" w:space="0" w:color="auto"/>
      </w:divBdr>
    </w:div>
    <w:div w:id="1841503764">
      <w:bodyDiv w:val="1"/>
      <w:marLeft w:val="0"/>
      <w:marRight w:val="0"/>
      <w:marTop w:val="0"/>
      <w:marBottom w:val="0"/>
      <w:divBdr>
        <w:top w:val="none" w:sz="0" w:space="0" w:color="auto"/>
        <w:left w:val="none" w:sz="0" w:space="0" w:color="auto"/>
        <w:bottom w:val="none" w:sz="0" w:space="0" w:color="auto"/>
        <w:right w:val="none" w:sz="0" w:space="0" w:color="auto"/>
      </w:divBdr>
    </w:div>
    <w:div w:id="1841650339">
      <w:bodyDiv w:val="1"/>
      <w:marLeft w:val="0"/>
      <w:marRight w:val="0"/>
      <w:marTop w:val="0"/>
      <w:marBottom w:val="0"/>
      <w:divBdr>
        <w:top w:val="none" w:sz="0" w:space="0" w:color="auto"/>
        <w:left w:val="none" w:sz="0" w:space="0" w:color="auto"/>
        <w:bottom w:val="none" w:sz="0" w:space="0" w:color="auto"/>
        <w:right w:val="none" w:sz="0" w:space="0" w:color="auto"/>
      </w:divBdr>
    </w:div>
    <w:div w:id="1841650927">
      <w:bodyDiv w:val="1"/>
      <w:marLeft w:val="0"/>
      <w:marRight w:val="0"/>
      <w:marTop w:val="0"/>
      <w:marBottom w:val="0"/>
      <w:divBdr>
        <w:top w:val="none" w:sz="0" w:space="0" w:color="auto"/>
        <w:left w:val="none" w:sz="0" w:space="0" w:color="auto"/>
        <w:bottom w:val="none" w:sz="0" w:space="0" w:color="auto"/>
        <w:right w:val="none" w:sz="0" w:space="0" w:color="auto"/>
      </w:divBdr>
    </w:div>
    <w:div w:id="1841657031">
      <w:bodyDiv w:val="1"/>
      <w:marLeft w:val="0"/>
      <w:marRight w:val="0"/>
      <w:marTop w:val="0"/>
      <w:marBottom w:val="0"/>
      <w:divBdr>
        <w:top w:val="none" w:sz="0" w:space="0" w:color="auto"/>
        <w:left w:val="none" w:sz="0" w:space="0" w:color="auto"/>
        <w:bottom w:val="none" w:sz="0" w:space="0" w:color="auto"/>
        <w:right w:val="none" w:sz="0" w:space="0" w:color="auto"/>
      </w:divBdr>
    </w:div>
    <w:div w:id="1841699575">
      <w:bodyDiv w:val="1"/>
      <w:marLeft w:val="0"/>
      <w:marRight w:val="0"/>
      <w:marTop w:val="0"/>
      <w:marBottom w:val="0"/>
      <w:divBdr>
        <w:top w:val="none" w:sz="0" w:space="0" w:color="auto"/>
        <w:left w:val="none" w:sz="0" w:space="0" w:color="auto"/>
        <w:bottom w:val="none" w:sz="0" w:space="0" w:color="auto"/>
        <w:right w:val="none" w:sz="0" w:space="0" w:color="auto"/>
      </w:divBdr>
    </w:div>
    <w:div w:id="1841700074">
      <w:bodyDiv w:val="1"/>
      <w:marLeft w:val="0"/>
      <w:marRight w:val="0"/>
      <w:marTop w:val="0"/>
      <w:marBottom w:val="0"/>
      <w:divBdr>
        <w:top w:val="none" w:sz="0" w:space="0" w:color="auto"/>
        <w:left w:val="none" w:sz="0" w:space="0" w:color="auto"/>
        <w:bottom w:val="none" w:sz="0" w:space="0" w:color="auto"/>
        <w:right w:val="none" w:sz="0" w:space="0" w:color="auto"/>
      </w:divBdr>
    </w:div>
    <w:div w:id="1841700798">
      <w:bodyDiv w:val="1"/>
      <w:marLeft w:val="0"/>
      <w:marRight w:val="0"/>
      <w:marTop w:val="0"/>
      <w:marBottom w:val="0"/>
      <w:divBdr>
        <w:top w:val="none" w:sz="0" w:space="0" w:color="auto"/>
        <w:left w:val="none" w:sz="0" w:space="0" w:color="auto"/>
        <w:bottom w:val="none" w:sz="0" w:space="0" w:color="auto"/>
        <w:right w:val="none" w:sz="0" w:space="0" w:color="auto"/>
      </w:divBdr>
    </w:div>
    <w:div w:id="1841775609">
      <w:bodyDiv w:val="1"/>
      <w:marLeft w:val="0"/>
      <w:marRight w:val="0"/>
      <w:marTop w:val="0"/>
      <w:marBottom w:val="0"/>
      <w:divBdr>
        <w:top w:val="none" w:sz="0" w:space="0" w:color="auto"/>
        <w:left w:val="none" w:sz="0" w:space="0" w:color="auto"/>
        <w:bottom w:val="none" w:sz="0" w:space="0" w:color="auto"/>
        <w:right w:val="none" w:sz="0" w:space="0" w:color="auto"/>
      </w:divBdr>
    </w:div>
    <w:div w:id="1841962684">
      <w:bodyDiv w:val="1"/>
      <w:marLeft w:val="0"/>
      <w:marRight w:val="0"/>
      <w:marTop w:val="0"/>
      <w:marBottom w:val="0"/>
      <w:divBdr>
        <w:top w:val="none" w:sz="0" w:space="0" w:color="auto"/>
        <w:left w:val="none" w:sz="0" w:space="0" w:color="auto"/>
        <w:bottom w:val="none" w:sz="0" w:space="0" w:color="auto"/>
        <w:right w:val="none" w:sz="0" w:space="0" w:color="auto"/>
      </w:divBdr>
    </w:div>
    <w:div w:id="1842114639">
      <w:bodyDiv w:val="1"/>
      <w:marLeft w:val="0"/>
      <w:marRight w:val="0"/>
      <w:marTop w:val="0"/>
      <w:marBottom w:val="0"/>
      <w:divBdr>
        <w:top w:val="none" w:sz="0" w:space="0" w:color="auto"/>
        <w:left w:val="none" w:sz="0" w:space="0" w:color="auto"/>
        <w:bottom w:val="none" w:sz="0" w:space="0" w:color="auto"/>
        <w:right w:val="none" w:sz="0" w:space="0" w:color="auto"/>
      </w:divBdr>
    </w:div>
    <w:div w:id="1842158287">
      <w:bodyDiv w:val="1"/>
      <w:marLeft w:val="0"/>
      <w:marRight w:val="0"/>
      <w:marTop w:val="0"/>
      <w:marBottom w:val="0"/>
      <w:divBdr>
        <w:top w:val="none" w:sz="0" w:space="0" w:color="auto"/>
        <w:left w:val="none" w:sz="0" w:space="0" w:color="auto"/>
        <w:bottom w:val="none" w:sz="0" w:space="0" w:color="auto"/>
        <w:right w:val="none" w:sz="0" w:space="0" w:color="auto"/>
      </w:divBdr>
    </w:div>
    <w:div w:id="1842162332">
      <w:bodyDiv w:val="1"/>
      <w:marLeft w:val="0"/>
      <w:marRight w:val="0"/>
      <w:marTop w:val="0"/>
      <w:marBottom w:val="0"/>
      <w:divBdr>
        <w:top w:val="none" w:sz="0" w:space="0" w:color="auto"/>
        <w:left w:val="none" w:sz="0" w:space="0" w:color="auto"/>
        <w:bottom w:val="none" w:sz="0" w:space="0" w:color="auto"/>
        <w:right w:val="none" w:sz="0" w:space="0" w:color="auto"/>
      </w:divBdr>
    </w:div>
    <w:div w:id="1842236922">
      <w:bodyDiv w:val="1"/>
      <w:marLeft w:val="0"/>
      <w:marRight w:val="0"/>
      <w:marTop w:val="0"/>
      <w:marBottom w:val="0"/>
      <w:divBdr>
        <w:top w:val="none" w:sz="0" w:space="0" w:color="auto"/>
        <w:left w:val="none" w:sz="0" w:space="0" w:color="auto"/>
        <w:bottom w:val="none" w:sz="0" w:space="0" w:color="auto"/>
        <w:right w:val="none" w:sz="0" w:space="0" w:color="auto"/>
      </w:divBdr>
    </w:div>
    <w:div w:id="1842238413">
      <w:bodyDiv w:val="1"/>
      <w:marLeft w:val="0"/>
      <w:marRight w:val="0"/>
      <w:marTop w:val="0"/>
      <w:marBottom w:val="0"/>
      <w:divBdr>
        <w:top w:val="none" w:sz="0" w:space="0" w:color="auto"/>
        <w:left w:val="none" w:sz="0" w:space="0" w:color="auto"/>
        <w:bottom w:val="none" w:sz="0" w:space="0" w:color="auto"/>
        <w:right w:val="none" w:sz="0" w:space="0" w:color="auto"/>
      </w:divBdr>
    </w:div>
    <w:div w:id="1842351425">
      <w:bodyDiv w:val="1"/>
      <w:marLeft w:val="0"/>
      <w:marRight w:val="0"/>
      <w:marTop w:val="0"/>
      <w:marBottom w:val="0"/>
      <w:divBdr>
        <w:top w:val="none" w:sz="0" w:space="0" w:color="auto"/>
        <w:left w:val="none" w:sz="0" w:space="0" w:color="auto"/>
        <w:bottom w:val="none" w:sz="0" w:space="0" w:color="auto"/>
        <w:right w:val="none" w:sz="0" w:space="0" w:color="auto"/>
      </w:divBdr>
    </w:div>
    <w:div w:id="1842502379">
      <w:bodyDiv w:val="1"/>
      <w:marLeft w:val="0"/>
      <w:marRight w:val="0"/>
      <w:marTop w:val="0"/>
      <w:marBottom w:val="0"/>
      <w:divBdr>
        <w:top w:val="none" w:sz="0" w:space="0" w:color="auto"/>
        <w:left w:val="none" w:sz="0" w:space="0" w:color="auto"/>
        <w:bottom w:val="none" w:sz="0" w:space="0" w:color="auto"/>
        <w:right w:val="none" w:sz="0" w:space="0" w:color="auto"/>
      </w:divBdr>
    </w:div>
    <w:div w:id="1842504332">
      <w:bodyDiv w:val="1"/>
      <w:marLeft w:val="0"/>
      <w:marRight w:val="0"/>
      <w:marTop w:val="0"/>
      <w:marBottom w:val="0"/>
      <w:divBdr>
        <w:top w:val="none" w:sz="0" w:space="0" w:color="auto"/>
        <w:left w:val="none" w:sz="0" w:space="0" w:color="auto"/>
        <w:bottom w:val="none" w:sz="0" w:space="0" w:color="auto"/>
        <w:right w:val="none" w:sz="0" w:space="0" w:color="auto"/>
      </w:divBdr>
    </w:div>
    <w:div w:id="1842504850">
      <w:bodyDiv w:val="1"/>
      <w:marLeft w:val="0"/>
      <w:marRight w:val="0"/>
      <w:marTop w:val="0"/>
      <w:marBottom w:val="0"/>
      <w:divBdr>
        <w:top w:val="none" w:sz="0" w:space="0" w:color="auto"/>
        <w:left w:val="none" w:sz="0" w:space="0" w:color="auto"/>
        <w:bottom w:val="none" w:sz="0" w:space="0" w:color="auto"/>
        <w:right w:val="none" w:sz="0" w:space="0" w:color="auto"/>
      </w:divBdr>
    </w:div>
    <w:div w:id="1842550788">
      <w:bodyDiv w:val="1"/>
      <w:marLeft w:val="0"/>
      <w:marRight w:val="0"/>
      <w:marTop w:val="0"/>
      <w:marBottom w:val="0"/>
      <w:divBdr>
        <w:top w:val="none" w:sz="0" w:space="0" w:color="auto"/>
        <w:left w:val="none" w:sz="0" w:space="0" w:color="auto"/>
        <w:bottom w:val="none" w:sz="0" w:space="0" w:color="auto"/>
        <w:right w:val="none" w:sz="0" w:space="0" w:color="auto"/>
      </w:divBdr>
    </w:div>
    <w:div w:id="1842574241">
      <w:bodyDiv w:val="1"/>
      <w:marLeft w:val="0"/>
      <w:marRight w:val="0"/>
      <w:marTop w:val="0"/>
      <w:marBottom w:val="0"/>
      <w:divBdr>
        <w:top w:val="none" w:sz="0" w:space="0" w:color="auto"/>
        <w:left w:val="none" w:sz="0" w:space="0" w:color="auto"/>
        <w:bottom w:val="none" w:sz="0" w:space="0" w:color="auto"/>
        <w:right w:val="none" w:sz="0" w:space="0" w:color="auto"/>
      </w:divBdr>
    </w:div>
    <w:div w:id="1842576440">
      <w:bodyDiv w:val="1"/>
      <w:marLeft w:val="0"/>
      <w:marRight w:val="0"/>
      <w:marTop w:val="0"/>
      <w:marBottom w:val="0"/>
      <w:divBdr>
        <w:top w:val="none" w:sz="0" w:space="0" w:color="auto"/>
        <w:left w:val="none" w:sz="0" w:space="0" w:color="auto"/>
        <w:bottom w:val="none" w:sz="0" w:space="0" w:color="auto"/>
        <w:right w:val="none" w:sz="0" w:space="0" w:color="auto"/>
      </w:divBdr>
    </w:div>
    <w:div w:id="1842770766">
      <w:bodyDiv w:val="1"/>
      <w:marLeft w:val="0"/>
      <w:marRight w:val="0"/>
      <w:marTop w:val="0"/>
      <w:marBottom w:val="0"/>
      <w:divBdr>
        <w:top w:val="none" w:sz="0" w:space="0" w:color="auto"/>
        <w:left w:val="none" w:sz="0" w:space="0" w:color="auto"/>
        <w:bottom w:val="none" w:sz="0" w:space="0" w:color="auto"/>
        <w:right w:val="none" w:sz="0" w:space="0" w:color="auto"/>
      </w:divBdr>
    </w:div>
    <w:div w:id="1842966379">
      <w:bodyDiv w:val="1"/>
      <w:marLeft w:val="0"/>
      <w:marRight w:val="0"/>
      <w:marTop w:val="0"/>
      <w:marBottom w:val="0"/>
      <w:divBdr>
        <w:top w:val="none" w:sz="0" w:space="0" w:color="auto"/>
        <w:left w:val="none" w:sz="0" w:space="0" w:color="auto"/>
        <w:bottom w:val="none" w:sz="0" w:space="0" w:color="auto"/>
        <w:right w:val="none" w:sz="0" w:space="0" w:color="auto"/>
      </w:divBdr>
    </w:div>
    <w:div w:id="1842966509">
      <w:bodyDiv w:val="1"/>
      <w:marLeft w:val="0"/>
      <w:marRight w:val="0"/>
      <w:marTop w:val="0"/>
      <w:marBottom w:val="0"/>
      <w:divBdr>
        <w:top w:val="none" w:sz="0" w:space="0" w:color="auto"/>
        <w:left w:val="none" w:sz="0" w:space="0" w:color="auto"/>
        <w:bottom w:val="none" w:sz="0" w:space="0" w:color="auto"/>
        <w:right w:val="none" w:sz="0" w:space="0" w:color="auto"/>
      </w:divBdr>
    </w:div>
    <w:div w:id="1843003817">
      <w:bodyDiv w:val="1"/>
      <w:marLeft w:val="0"/>
      <w:marRight w:val="0"/>
      <w:marTop w:val="0"/>
      <w:marBottom w:val="0"/>
      <w:divBdr>
        <w:top w:val="none" w:sz="0" w:space="0" w:color="auto"/>
        <w:left w:val="none" w:sz="0" w:space="0" w:color="auto"/>
        <w:bottom w:val="none" w:sz="0" w:space="0" w:color="auto"/>
        <w:right w:val="none" w:sz="0" w:space="0" w:color="auto"/>
      </w:divBdr>
    </w:div>
    <w:div w:id="1843086150">
      <w:bodyDiv w:val="1"/>
      <w:marLeft w:val="0"/>
      <w:marRight w:val="0"/>
      <w:marTop w:val="0"/>
      <w:marBottom w:val="0"/>
      <w:divBdr>
        <w:top w:val="none" w:sz="0" w:space="0" w:color="auto"/>
        <w:left w:val="none" w:sz="0" w:space="0" w:color="auto"/>
        <w:bottom w:val="none" w:sz="0" w:space="0" w:color="auto"/>
        <w:right w:val="none" w:sz="0" w:space="0" w:color="auto"/>
      </w:divBdr>
    </w:div>
    <w:div w:id="1843162331">
      <w:bodyDiv w:val="1"/>
      <w:marLeft w:val="0"/>
      <w:marRight w:val="0"/>
      <w:marTop w:val="0"/>
      <w:marBottom w:val="0"/>
      <w:divBdr>
        <w:top w:val="none" w:sz="0" w:space="0" w:color="auto"/>
        <w:left w:val="none" w:sz="0" w:space="0" w:color="auto"/>
        <w:bottom w:val="none" w:sz="0" w:space="0" w:color="auto"/>
        <w:right w:val="none" w:sz="0" w:space="0" w:color="auto"/>
      </w:divBdr>
    </w:div>
    <w:div w:id="1843232507">
      <w:bodyDiv w:val="1"/>
      <w:marLeft w:val="0"/>
      <w:marRight w:val="0"/>
      <w:marTop w:val="0"/>
      <w:marBottom w:val="0"/>
      <w:divBdr>
        <w:top w:val="none" w:sz="0" w:space="0" w:color="auto"/>
        <w:left w:val="none" w:sz="0" w:space="0" w:color="auto"/>
        <w:bottom w:val="none" w:sz="0" w:space="0" w:color="auto"/>
        <w:right w:val="none" w:sz="0" w:space="0" w:color="auto"/>
      </w:divBdr>
    </w:div>
    <w:div w:id="1843280621">
      <w:bodyDiv w:val="1"/>
      <w:marLeft w:val="0"/>
      <w:marRight w:val="0"/>
      <w:marTop w:val="0"/>
      <w:marBottom w:val="0"/>
      <w:divBdr>
        <w:top w:val="none" w:sz="0" w:space="0" w:color="auto"/>
        <w:left w:val="none" w:sz="0" w:space="0" w:color="auto"/>
        <w:bottom w:val="none" w:sz="0" w:space="0" w:color="auto"/>
        <w:right w:val="none" w:sz="0" w:space="0" w:color="auto"/>
      </w:divBdr>
    </w:div>
    <w:div w:id="1843349827">
      <w:bodyDiv w:val="1"/>
      <w:marLeft w:val="0"/>
      <w:marRight w:val="0"/>
      <w:marTop w:val="0"/>
      <w:marBottom w:val="0"/>
      <w:divBdr>
        <w:top w:val="none" w:sz="0" w:space="0" w:color="auto"/>
        <w:left w:val="none" w:sz="0" w:space="0" w:color="auto"/>
        <w:bottom w:val="none" w:sz="0" w:space="0" w:color="auto"/>
        <w:right w:val="none" w:sz="0" w:space="0" w:color="auto"/>
      </w:divBdr>
    </w:div>
    <w:div w:id="1843428445">
      <w:bodyDiv w:val="1"/>
      <w:marLeft w:val="0"/>
      <w:marRight w:val="0"/>
      <w:marTop w:val="0"/>
      <w:marBottom w:val="0"/>
      <w:divBdr>
        <w:top w:val="none" w:sz="0" w:space="0" w:color="auto"/>
        <w:left w:val="none" w:sz="0" w:space="0" w:color="auto"/>
        <w:bottom w:val="none" w:sz="0" w:space="0" w:color="auto"/>
        <w:right w:val="none" w:sz="0" w:space="0" w:color="auto"/>
      </w:divBdr>
    </w:div>
    <w:div w:id="1843620612">
      <w:bodyDiv w:val="1"/>
      <w:marLeft w:val="0"/>
      <w:marRight w:val="0"/>
      <w:marTop w:val="0"/>
      <w:marBottom w:val="0"/>
      <w:divBdr>
        <w:top w:val="none" w:sz="0" w:space="0" w:color="auto"/>
        <w:left w:val="none" w:sz="0" w:space="0" w:color="auto"/>
        <w:bottom w:val="none" w:sz="0" w:space="0" w:color="auto"/>
        <w:right w:val="none" w:sz="0" w:space="0" w:color="auto"/>
      </w:divBdr>
    </w:div>
    <w:div w:id="1843665455">
      <w:bodyDiv w:val="1"/>
      <w:marLeft w:val="0"/>
      <w:marRight w:val="0"/>
      <w:marTop w:val="0"/>
      <w:marBottom w:val="0"/>
      <w:divBdr>
        <w:top w:val="none" w:sz="0" w:space="0" w:color="auto"/>
        <w:left w:val="none" w:sz="0" w:space="0" w:color="auto"/>
        <w:bottom w:val="none" w:sz="0" w:space="0" w:color="auto"/>
        <w:right w:val="none" w:sz="0" w:space="0" w:color="auto"/>
      </w:divBdr>
    </w:div>
    <w:div w:id="1843666660">
      <w:bodyDiv w:val="1"/>
      <w:marLeft w:val="0"/>
      <w:marRight w:val="0"/>
      <w:marTop w:val="0"/>
      <w:marBottom w:val="0"/>
      <w:divBdr>
        <w:top w:val="none" w:sz="0" w:space="0" w:color="auto"/>
        <w:left w:val="none" w:sz="0" w:space="0" w:color="auto"/>
        <w:bottom w:val="none" w:sz="0" w:space="0" w:color="auto"/>
        <w:right w:val="none" w:sz="0" w:space="0" w:color="auto"/>
      </w:divBdr>
    </w:div>
    <w:div w:id="1843739333">
      <w:bodyDiv w:val="1"/>
      <w:marLeft w:val="0"/>
      <w:marRight w:val="0"/>
      <w:marTop w:val="0"/>
      <w:marBottom w:val="0"/>
      <w:divBdr>
        <w:top w:val="none" w:sz="0" w:space="0" w:color="auto"/>
        <w:left w:val="none" w:sz="0" w:space="0" w:color="auto"/>
        <w:bottom w:val="none" w:sz="0" w:space="0" w:color="auto"/>
        <w:right w:val="none" w:sz="0" w:space="0" w:color="auto"/>
      </w:divBdr>
    </w:div>
    <w:div w:id="1843885722">
      <w:bodyDiv w:val="1"/>
      <w:marLeft w:val="0"/>
      <w:marRight w:val="0"/>
      <w:marTop w:val="0"/>
      <w:marBottom w:val="0"/>
      <w:divBdr>
        <w:top w:val="none" w:sz="0" w:space="0" w:color="auto"/>
        <w:left w:val="none" w:sz="0" w:space="0" w:color="auto"/>
        <w:bottom w:val="none" w:sz="0" w:space="0" w:color="auto"/>
        <w:right w:val="none" w:sz="0" w:space="0" w:color="auto"/>
      </w:divBdr>
    </w:div>
    <w:div w:id="1843885845">
      <w:bodyDiv w:val="1"/>
      <w:marLeft w:val="0"/>
      <w:marRight w:val="0"/>
      <w:marTop w:val="0"/>
      <w:marBottom w:val="0"/>
      <w:divBdr>
        <w:top w:val="none" w:sz="0" w:space="0" w:color="auto"/>
        <w:left w:val="none" w:sz="0" w:space="0" w:color="auto"/>
        <w:bottom w:val="none" w:sz="0" w:space="0" w:color="auto"/>
        <w:right w:val="none" w:sz="0" w:space="0" w:color="auto"/>
      </w:divBdr>
    </w:div>
    <w:div w:id="1843886865">
      <w:bodyDiv w:val="1"/>
      <w:marLeft w:val="0"/>
      <w:marRight w:val="0"/>
      <w:marTop w:val="0"/>
      <w:marBottom w:val="0"/>
      <w:divBdr>
        <w:top w:val="none" w:sz="0" w:space="0" w:color="auto"/>
        <w:left w:val="none" w:sz="0" w:space="0" w:color="auto"/>
        <w:bottom w:val="none" w:sz="0" w:space="0" w:color="auto"/>
        <w:right w:val="none" w:sz="0" w:space="0" w:color="auto"/>
      </w:divBdr>
    </w:div>
    <w:div w:id="1843930938">
      <w:bodyDiv w:val="1"/>
      <w:marLeft w:val="0"/>
      <w:marRight w:val="0"/>
      <w:marTop w:val="0"/>
      <w:marBottom w:val="0"/>
      <w:divBdr>
        <w:top w:val="none" w:sz="0" w:space="0" w:color="auto"/>
        <w:left w:val="none" w:sz="0" w:space="0" w:color="auto"/>
        <w:bottom w:val="none" w:sz="0" w:space="0" w:color="auto"/>
        <w:right w:val="none" w:sz="0" w:space="0" w:color="auto"/>
      </w:divBdr>
    </w:div>
    <w:div w:id="1844053312">
      <w:bodyDiv w:val="1"/>
      <w:marLeft w:val="0"/>
      <w:marRight w:val="0"/>
      <w:marTop w:val="0"/>
      <w:marBottom w:val="0"/>
      <w:divBdr>
        <w:top w:val="none" w:sz="0" w:space="0" w:color="auto"/>
        <w:left w:val="none" w:sz="0" w:space="0" w:color="auto"/>
        <w:bottom w:val="none" w:sz="0" w:space="0" w:color="auto"/>
        <w:right w:val="none" w:sz="0" w:space="0" w:color="auto"/>
      </w:divBdr>
    </w:div>
    <w:div w:id="1844053670">
      <w:bodyDiv w:val="1"/>
      <w:marLeft w:val="0"/>
      <w:marRight w:val="0"/>
      <w:marTop w:val="0"/>
      <w:marBottom w:val="0"/>
      <w:divBdr>
        <w:top w:val="none" w:sz="0" w:space="0" w:color="auto"/>
        <w:left w:val="none" w:sz="0" w:space="0" w:color="auto"/>
        <w:bottom w:val="none" w:sz="0" w:space="0" w:color="auto"/>
        <w:right w:val="none" w:sz="0" w:space="0" w:color="auto"/>
      </w:divBdr>
    </w:div>
    <w:div w:id="1844083364">
      <w:bodyDiv w:val="1"/>
      <w:marLeft w:val="0"/>
      <w:marRight w:val="0"/>
      <w:marTop w:val="0"/>
      <w:marBottom w:val="0"/>
      <w:divBdr>
        <w:top w:val="none" w:sz="0" w:space="0" w:color="auto"/>
        <w:left w:val="none" w:sz="0" w:space="0" w:color="auto"/>
        <w:bottom w:val="none" w:sz="0" w:space="0" w:color="auto"/>
        <w:right w:val="none" w:sz="0" w:space="0" w:color="auto"/>
      </w:divBdr>
    </w:div>
    <w:div w:id="1844196317">
      <w:bodyDiv w:val="1"/>
      <w:marLeft w:val="0"/>
      <w:marRight w:val="0"/>
      <w:marTop w:val="0"/>
      <w:marBottom w:val="0"/>
      <w:divBdr>
        <w:top w:val="none" w:sz="0" w:space="0" w:color="auto"/>
        <w:left w:val="none" w:sz="0" w:space="0" w:color="auto"/>
        <w:bottom w:val="none" w:sz="0" w:space="0" w:color="auto"/>
        <w:right w:val="none" w:sz="0" w:space="0" w:color="auto"/>
      </w:divBdr>
    </w:div>
    <w:div w:id="1844200113">
      <w:bodyDiv w:val="1"/>
      <w:marLeft w:val="0"/>
      <w:marRight w:val="0"/>
      <w:marTop w:val="0"/>
      <w:marBottom w:val="0"/>
      <w:divBdr>
        <w:top w:val="none" w:sz="0" w:space="0" w:color="auto"/>
        <w:left w:val="none" w:sz="0" w:space="0" w:color="auto"/>
        <w:bottom w:val="none" w:sz="0" w:space="0" w:color="auto"/>
        <w:right w:val="none" w:sz="0" w:space="0" w:color="auto"/>
      </w:divBdr>
    </w:div>
    <w:div w:id="1844201250">
      <w:bodyDiv w:val="1"/>
      <w:marLeft w:val="0"/>
      <w:marRight w:val="0"/>
      <w:marTop w:val="0"/>
      <w:marBottom w:val="0"/>
      <w:divBdr>
        <w:top w:val="none" w:sz="0" w:space="0" w:color="auto"/>
        <w:left w:val="none" w:sz="0" w:space="0" w:color="auto"/>
        <w:bottom w:val="none" w:sz="0" w:space="0" w:color="auto"/>
        <w:right w:val="none" w:sz="0" w:space="0" w:color="auto"/>
      </w:divBdr>
    </w:div>
    <w:div w:id="1844320068">
      <w:bodyDiv w:val="1"/>
      <w:marLeft w:val="0"/>
      <w:marRight w:val="0"/>
      <w:marTop w:val="0"/>
      <w:marBottom w:val="0"/>
      <w:divBdr>
        <w:top w:val="none" w:sz="0" w:space="0" w:color="auto"/>
        <w:left w:val="none" w:sz="0" w:space="0" w:color="auto"/>
        <w:bottom w:val="none" w:sz="0" w:space="0" w:color="auto"/>
        <w:right w:val="none" w:sz="0" w:space="0" w:color="auto"/>
      </w:divBdr>
    </w:div>
    <w:div w:id="1844322772">
      <w:bodyDiv w:val="1"/>
      <w:marLeft w:val="0"/>
      <w:marRight w:val="0"/>
      <w:marTop w:val="0"/>
      <w:marBottom w:val="0"/>
      <w:divBdr>
        <w:top w:val="none" w:sz="0" w:space="0" w:color="auto"/>
        <w:left w:val="none" w:sz="0" w:space="0" w:color="auto"/>
        <w:bottom w:val="none" w:sz="0" w:space="0" w:color="auto"/>
        <w:right w:val="none" w:sz="0" w:space="0" w:color="auto"/>
      </w:divBdr>
    </w:div>
    <w:div w:id="1844390245">
      <w:bodyDiv w:val="1"/>
      <w:marLeft w:val="0"/>
      <w:marRight w:val="0"/>
      <w:marTop w:val="0"/>
      <w:marBottom w:val="0"/>
      <w:divBdr>
        <w:top w:val="none" w:sz="0" w:space="0" w:color="auto"/>
        <w:left w:val="none" w:sz="0" w:space="0" w:color="auto"/>
        <w:bottom w:val="none" w:sz="0" w:space="0" w:color="auto"/>
        <w:right w:val="none" w:sz="0" w:space="0" w:color="auto"/>
      </w:divBdr>
    </w:div>
    <w:div w:id="1844516537">
      <w:bodyDiv w:val="1"/>
      <w:marLeft w:val="0"/>
      <w:marRight w:val="0"/>
      <w:marTop w:val="0"/>
      <w:marBottom w:val="0"/>
      <w:divBdr>
        <w:top w:val="none" w:sz="0" w:space="0" w:color="auto"/>
        <w:left w:val="none" w:sz="0" w:space="0" w:color="auto"/>
        <w:bottom w:val="none" w:sz="0" w:space="0" w:color="auto"/>
        <w:right w:val="none" w:sz="0" w:space="0" w:color="auto"/>
      </w:divBdr>
    </w:div>
    <w:div w:id="1844586071">
      <w:bodyDiv w:val="1"/>
      <w:marLeft w:val="0"/>
      <w:marRight w:val="0"/>
      <w:marTop w:val="0"/>
      <w:marBottom w:val="0"/>
      <w:divBdr>
        <w:top w:val="none" w:sz="0" w:space="0" w:color="auto"/>
        <w:left w:val="none" w:sz="0" w:space="0" w:color="auto"/>
        <w:bottom w:val="none" w:sz="0" w:space="0" w:color="auto"/>
        <w:right w:val="none" w:sz="0" w:space="0" w:color="auto"/>
      </w:divBdr>
    </w:div>
    <w:div w:id="1844710102">
      <w:bodyDiv w:val="1"/>
      <w:marLeft w:val="0"/>
      <w:marRight w:val="0"/>
      <w:marTop w:val="0"/>
      <w:marBottom w:val="0"/>
      <w:divBdr>
        <w:top w:val="none" w:sz="0" w:space="0" w:color="auto"/>
        <w:left w:val="none" w:sz="0" w:space="0" w:color="auto"/>
        <w:bottom w:val="none" w:sz="0" w:space="0" w:color="auto"/>
        <w:right w:val="none" w:sz="0" w:space="0" w:color="auto"/>
      </w:divBdr>
    </w:div>
    <w:div w:id="1844738503">
      <w:bodyDiv w:val="1"/>
      <w:marLeft w:val="0"/>
      <w:marRight w:val="0"/>
      <w:marTop w:val="0"/>
      <w:marBottom w:val="0"/>
      <w:divBdr>
        <w:top w:val="none" w:sz="0" w:space="0" w:color="auto"/>
        <w:left w:val="none" w:sz="0" w:space="0" w:color="auto"/>
        <w:bottom w:val="none" w:sz="0" w:space="0" w:color="auto"/>
        <w:right w:val="none" w:sz="0" w:space="0" w:color="auto"/>
      </w:divBdr>
    </w:div>
    <w:div w:id="1844778808">
      <w:bodyDiv w:val="1"/>
      <w:marLeft w:val="0"/>
      <w:marRight w:val="0"/>
      <w:marTop w:val="0"/>
      <w:marBottom w:val="0"/>
      <w:divBdr>
        <w:top w:val="none" w:sz="0" w:space="0" w:color="auto"/>
        <w:left w:val="none" w:sz="0" w:space="0" w:color="auto"/>
        <w:bottom w:val="none" w:sz="0" w:space="0" w:color="auto"/>
        <w:right w:val="none" w:sz="0" w:space="0" w:color="auto"/>
      </w:divBdr>
    </w:div>
    <w:div w:id="1844929725">
      <w:bodyDiv w:val="1"/>
      <w:marLeft w:val="0"/>
      <w:marRight w:val="0"/>
      <w:marTop w:val="0"/>
      <w:marBottom w:val="0"/>
      <w:divBdr>
        <w:top w:val="none" w:sz="0" w:space="0" w:color="auto"/>
        <w:left w:val="none" w:sz="0" w:space="0" w:color="auto"/>
        <w:bottom w:val="none" w:sz="0" w:space="0" w:color="auto"/>
        <w:right w:val="none" w:sz="0" w:space="0" w:color="auto"/>
      </w:divBdr>
    </w:div>
    <w:div w:id="1844971994">
      <w:bodyDiv w:val="1"/>
      <w:marLeft w:val="0"/>
      <w:marRight w:val="0"/>
      <w:marTop w:val="0"/>
      <w:marBottom w:val="0"/>
      <w:divBdr>
        <w:top w:val="none" w:sz="0" w:space="0" w:color="auto"/>
        <w:left w:val="none" w:sz="0" w:space="0" w:color="auto"/>
        <w:bottom w:val="none" w:sz="0" w:space="0" w:color="auto"/>
        <w:right w:val="none" w:sz="0" w:space="0" w:color="auto"/>
      </w:divBdr>
    </w:div>
    <w:div w:id="1845123276">
      <w:bodyDiv w:val="1"/>
      <w:marLeft w:val="0"/>
      <w:marRight w:val="0"/>
      <w:marTop w:val="0"/>
      <w:marBottom w:val="0"/>
      <w:divBdr>
        <w:top w:val="none" w:sz="0" w:space="0" w:color="auto"/>
        <w:left w:val="none" w:sz="0" w:space="0" w:color="auto"/>
        <w:bottom w:val="none" w:sz="0" w:space="0" w:color="auto"/>
        <w:right w:val="none" w:sz="0" w:space="0" w:color="auto"/>
      </w:divBdr>
    </w:div>
    <w:div w:id="1845169926">
      <w:bodyDiv w:val="1"/>
      <w:marLeft w:val="0"/>
      <w:marRight w:val="0"/>
      <w:marTop w:val="0"/>
      <w:marBottom w:val="0"/>
      <w:divBdr>
        <w:top w:val="none" w:sz="0" w:space="0" w:color="auto"/>
        <w:left w:val="none" w:sz="0" w:space="0" w:color="auto"/>
        <w:bottom w:val="none" w:sz="0" w:space="0" w:color="auto"/>
        <w:right w:val="none" w:sz="0" w:space="0" w:color="auto"/>
      </w:divBdr>
    </w:div>
    <w:div w:id="1845243424">
      <w:bodyDiv w:val="1"/>
      <w:marLeft w:val="0"/>
      <w:marRight w:val="0"/>
      <w:marTop w:val="0"/>
      <w:marBottom w:val="0"/>
      <w:divBdr>
        <w:top w:val="none" w:sz="0" w:space="0" w:color="auto"/>
        <w:left w:val="none" w:sz="0" w:space="0" w:color="auto"/>
        <w:bottom w:val="none" w:sz="0" w:space="0" w:color="auto"/>
        <w:right w:val="none" w:sz="0" w:space="0" w:color="auto"/>
      </w:divBdr>
    </w:div>
    <w:div w:id="1845243478">
      <w:bodyDiv w:val="1"/>
      <w:marLeft w:val="0"/>
      <w:marRight w:val="0"/>
      <w:marTop w:val="0"/>
      <w:marBottom w:val="0"/>
      <w:divBdr>
        <w:top w:val="none" w:sz="0" w:space="0" w:color="auto"/>
        <w:left w:val="none" w:sz="0" w:space="0" w:color="auto"/>
        <w:bottom w:val="none" w:sz="0" w:space="0" w:color="auto"/>
        <w:right w:val="none" w:sz="0" w:space="0" w:color="auto"/>
      </w:divBdr>
    </w:div>
    <w:div w:id="1845322171">
      <w:bodyDiv w:val="1"/>
      <w:marLeft w:val="0"/>
      <w:marRight w:val="0"/>
      <w:marTop w:val="0"/>
      <w:marBottom w:val="0"/>
      <w:divBdr>
        <w:top w:val="none" w:sz="0" w:space="0" w:color="auto"/>
        <w:left w:val="none" w:sz="0" w:space="0" w:color="auto"/>
        <w:bottom w:val="none" w:sz="0" w:space="0" w:color="auto"/>
        <w:right w:val="none" w:sz="0" w:space="0" w:color="auto"/>
      </w:divBdr>
    </w:div>
    <w:div w:id="1845322879">
      <w:bodyDiv w:val="1"/>
      <w:marLeft w:val="0"/>
      <w:marRight w:val="0"/>
      <w:marTop w:val="0"/>
      <w:marBottom w:val="0"/>
      <w:divBdr>
        <w:top w:val="none" w:sz="0" w:space="0" w:color="auto"/>
        <w:left w:val="none" w:sz="0" w:space="0" w:color="auto"/>
        <w:bottom w:val="none" w:sz="0" w:space="0" w:color="auto"/>
        <w:right w:val="none" w:sz="0" w:space="0" w:color="auto"/>
      </w:divBdr>
    </w:div>
    <w:div w:id="1845389241">
      <w:bodyDiv w:val="1"/>
      <w:marLeft w:val="0"/>
      <w:marRight w:val="0"/>
      <w:marTop w:val="0"/>
      <w:marBottom w:val="0"/>
      <w:divBdr>
        <w:top w:val="none" w:sz="0" w:space="0" w:color="auto"/>
        <w:left w:val="none" w:sz="0" w:space="0" w:color="auto"/>
        <w:bottom w:val="none" w:sz="0" w:space="0" w:color="auto"/>
        <w:right w:val="none" w:sz="0" w:space="0" w:color="auto"/>
      </w:divBdr>
    </w:div>
    <w:div w:id="1845438651">
      <w:bodyDiv w:val="1"/>
      <w:marLeft w:val="0"/>
      <w:marRight w:val="0"/>
      <w:marTop w:val="0"/>
      <w:marBottom w:val="0"/>
      <w:divBdr>
        <w:top w:val="none" w:sz="0" w:space="0" w:color="auto"/>
        <w:left w:val="none" w:sz="0" w:space="0" w:color="auto"/>
        <w:bottom w:val="none" w:sz="0" w:space="0" w:color="auto"/>
        <w:right w:val="none" w:sz="0" w:space="0" w:color="auto"/>
      </w:divBdr>
    </w:div>
    <w:div w:id="1845439519">
      <w:bodyDiv w:val="1"/>
      <w:marLeft w:val="0"/>
      <w:marRight w:val="0"/>
      <w:marTop w:val="0"/>
      <w:marBottom w:val="0"/>
      <w:divBdr>
        <w:top w:val="none" w:sz="0" w:space="0" w:color="auto"/>
        <w:left w:val="none" w:sz="0" w:space="0" w:color="auto"/>
        <w:bottom w:val="none" w:sz="0" w:space="0" w:color="auto"/>
        <w:right w:val="none" w:sz="0" w:space="0" w:color="auto"/>
      </w:divBdr>
    </w:div>
    <w:div w:id="1845633328">
      <w:bodyDiv w:val="1"/>
      <w:marLeft w:val="0"/>
      <w:marRight w:val="0"/>
      <w:marTop w:val="0"/>
      <w:marBottom w:val="0"/>
      <w:divBdr>
        <w:top w:val="none" w:sz="0" w:space="0" w:color="auto"/>
        <w:left w:val="none" w:sz="0" w:space="0" w:color="auto"/>
        <w:bottom w:val="none" w:sz="0" w:space="0" w:color="auto"/>
        <w:right w:val="none" w:sz="0" w:space="0" w:color="auto"/>
      </w:divBdr>
    </w:div>
    <w:div w:id="1845708194">
      <w:bodyDiv w:val="1"/>
      <w:marLeft w:val="0"/>
      <w:marRight w:val="0"/>
      <w:marTop w:val="0"/>
      <w:marBottom w:val="0"/>
      <w:divBdr>
        <w:top w:val="none" w:sz="0" w:space="0" w:color="auto"/>
        <w:left w:val="none" w:sz="0" w:space="0" w:color="auto"/>
        <w:bottom w:val="none" w:sz="0" w:space="0" w:color="auto"/>
        <w:right w:val="none" w:sz="0" w:space="0" w:color="auto"/>
      </w:divBdr>
    </w:div>
    <w:div w:id="1845775301">
      <w:bodyDiv w:val="1"/>
      <w:marLeft w:val="0"/>
      <w:marRight w:val="0"/>
      <w:marTop w:val="0"/>
      <w:marBottom w:val="0"/>
      <w:divBdr>
        <w:top w:val="none" w:sz="0" w:space="0" w:color="auto"/>
        <w:left w:val="none" w:sz="0" w:space="0" w:color="auto"/>
        <w:bottom w:val="none" w:sz="0" w:space="0" w:color="auto"/>
        <w:right w:val="none" w:sz="0" w:space="0" w:color="auto"/>
      </w:divBdr>
    </w:div>
    <w:div w:id="1845823967">
      <w:bodyDiv w:val="1"/>
      <w:marLeft w:val="0"/>
      <w:marRight w:val="0"/>
      <w:marTop w:val="0"/>
      <w:marBottom w:val="0"/>
      <w:divBdr>
        <w:top w:val="none" w:sz="0" w:space="0" w:color="auto"/>
        <w:left w:val="none" w:sz="0" w:space="0" w:color="auto"/>
        <w:bottom w:val="none" w:sz="0" w:space="0" w:color="auto"/>
        <w:right w:val="none" w:sz="0" w:space="0" w:color="auto"/>
      </w:divBdr>
    </w:div>
    <w:div w:id="1845899844">
      <w:bodyDiv w:val="1"/>
      <w:marLeft w:val="0"/>
      <w:marRight w:val="0"/>
      <w:marTop w:val="0"/>
      <w:marBottom w:val="0"/>
      <w:divBdr>
        <w:top w:val="none" w:sz="0" w:space="0" w:color="auto"/>
        <w:left w:val="none" w:sz="0" w:space="0" w:color="auto"/>
        <w:bottom w:val="none" w:sz="0" w:space="0" w:color="auto"/>
        <w:right w:val="none" w:sz="0" w:space="0" w:color="auto"/>
      </w:divBdr>
    </w:div>
    <w:div w:id="1846047523">
      <w:bodyDiv w:val="1"/>
      <w:marLeft w:val="0"/>
      <w:marRight w:val="0"/>
      <w:marTop w:val="0"/>
      <w:marBottom w:val="0"/>
      <w:divBdr>
        <w:top w:val="none" w:sz="0" w:space="0" w:color="auto"/>
        <w:left w:val="none" w:sz="0" w:space="0" w:color="auto"/>
        <w:bottom w:val="none" w:sz="0" w:space="0" w:color="auto"/>
        <w:right w:val="none" w:sz="0" w:space="0" w:color="auto"/>
      </w:divBdr>
    </w:div>
    <w:div w:id="1846163708">
      <w:bodyDiv w:val="1"/>
      <w:marLeft w:val="0"/>
      <w:marRight w:val="0"/>
      <w:marTop w:val="0"/>
      <w:marBottom w:val="0"/>
      <w:divBdr>
        <w:top w:val="none" w:sz="0" w:space="0" w:color="auto"/>
        <w:left w:val="none" w:sz="0" w:space="0" w:color="auto"/>
        <w:bottom w:val="none" w:sz="0" w:space="0" w:color="auto"/>
        <w:right w:val="none" w:sz="0" w:space="0" w:color="auto"/>
      </w:divBdr>
    </w:div>
    <w:div w:id="1846361408">
      <w:bodyDiv w:val="1"/>
      <w:marLeft w:val="0"/>
      <w:marRight w:val="0"/>
      <w:marTop w:val="0"/>
      <w:marBottom w:val="0"/>
      <w:divBdr>
        <w:top w:val="none" w:sz="0" w:space="0" w:color="auto"/>
        <w:left w:val="none" w:sz="0" w:space="0" w:color="auto"/>
        <w:bottom w:val="none" w:sz="0" w:space="0" w:color="auto"/>
        <w:right w:val="none" w:sz="0" w:space="0" w:color="auto"/>
      </w:divBdr>
    </w:div>
    <w:div w:id="1846432123">
      <w:bodyDiv w:val="1"/>
      <w:marLeft w:val="0"/>
      <w:marRight w:val="0"/>
      <w:marTop w:val="0"/>
      <w:marBottom w:val="0"/>
      <w:divBdr>
        <w:top w:val="none" w:sz="0" w:space="0" w:color="auto"/>
        <w:left w:val="none" w:sz="0" w:space="0" w:color="auto"/>
        <w:bottom w:val="none" w:sz="0" w:space="0" w:color="auto"/>
        <w:right w:val="none" w:sz="0" w:space="0" w:color="auto"/>
      </w:divBdr>
    </w:div>
    <w:div w:id="1846437964">
      <w:bodyDiv w:val="1"/>
      <w:marLeft w:val="0"/>
      <w:marRight w:val="0"/>
      <w:marTop w:val="0"/>
      <w:marBottom w:val="0"/>
      <w:divBdr>
        <w:top w:val="none" w:sz="0" w:space="0" w:color="auto"/>
        <w:left w:val="none" w:sz="0" w:space="0" w:color="auto"/>
        <w:bottom w:val="none" w:sz="0" w:space="0" w:color="auto"/>
        <w:right w:val="none" w:sz="0" w:space="0" w:color="auto"/>
      </w:divBdr>
    </w:div>
    <w:div w:id="1846476870">
      <w:bodyDiv w:val="1"/>
      <w:marLeft w:val="0"/>
      <w:marRight w:val="0"/>
      <w:marTop w:val="0"/>
      <w:marBottom w:val="0"/>
      <w:divBdr>
        <w:top w:val="none" w:sz="0" w:space="0" w:color="auto"/>
        <w:left w:val="none" w:sz="0" w:space="0" w:color="auto"/>
        <w:bottom w:val="none" w:sz="0" w:space="0" w:color="auto"/>
        <w:right w:val="none" w:sz="0" w:space="0" w:color="auto"/>
      </w:divBdr>
    </w:div>
    <w:div w:id="1846481016">
      <w:bodyDiv w:val="1"/>
      <w:marLeft w:val="0"/>
      <w:marRight w:val="0"/>
      <w:marTop w:val="0"/>
      <w:marBottom w:val="0"/>
      <w:divBdr>
        <w:top w:val="none" w:sz="0" w:space="0" w:color="auto"/>
        <w:left w:val="none" w:sz="0" w:space="0" w:color="auto"/>
        <w:bottom w:val="none" w:sz="0" w:space="0" w:color="auto"/>
        <w:right w:val="none" w:sz="0" w:space="0" w:color="auto"/>
      </w:divBdr>
    </w:div>
    <w:div w:id="1846482832">
      <w:bodyDiv w:val="1"/>
      <w:marLeft w:val="0"/>
      <w:marRight w:val="0"/>
      <w:marTop w:val="0"/>
      <w:marBottom w:val="0"/>
      <w:divBdr>
        <w:top w:val="none" w:sz="0" w:space="0" w:color="auto"/>
        <w:left w:val="none" w:sz="0" w:space="0" w:color="auto"/>
        <w:bottom w:val="none" w:sz="0" w:space="0" w:color="auto"/>
        <w:right w:val="none" w:sz="0" w:space="0" w:color="auto"/>
      </w:divBdr>
    </w:div>
    <w:div w:id="1846550829">
      <w:bodyDiv w:val="1"/>
      <w:marLeft w:val="0"/>
      <w:marRight w:val="0"/>
      <w:marTop w:val="0"/>
      <w:marBottom w:val="0"/>
      <w:divBdr>
        <w:top w:val="none" w:sz="0" w:space="0" w:color="auto"/>
        <w:left w:val="none" w:sz="0" w:space="0" w:color="auto"/>
        <w:bottom w:val="none" w:sz="0" w:space="0" w:color="auto"/>
        <w:right w:val="none" w:sz="0" w:space="0" w:color="auto"/>
      </w:divBdr>
    </w:div>
    <w:div w:id="1846893514">
      <w:bodyDiv w:val="1"/>
      <w:marLeft w:val="0"/>
      <w:marRight w:val="0"/>
      <w:marTop w:val="0"/>
      <w:marBottom w:val="0"/>
      <w:divBdr>
        <w:top w:val="none" w:sz="0" w:space="0" w:color="auto"/>
        <w:left w:val="none" w:sz="0" w:space="0" w:color="auto"/>
        <w:bottom w:val="none" w:sz="0" w:space="0" w:color="auto"/>
        <w:right w:val="none" w:sz="0" w:space="0" w:color="auto"/>
      </w:divBdr>
    </w:div>
    <w:div w:id="1847208440">
      <w:bodyDiv w:val="1"/>
      <w:marLeft w:val="0"/>
      <w:marRight w:val="0"/>
      <w:marTop w:val="0"/>
      <w:marBottom w:val="0"/>
      <w:divBdr>
        <w:top w:val="none" w:sz="0" w:space="0" w:color="auto"/>
        <w:left w:val="none" w:sz="0" w:space="0" w:color="auto"/>
        <w:bottom w:val="none" w:sz="0" w:space="0" w:color="auto"/>
        <w:right w:val="none" w:sz="0" w:space="0" w:color="auto"/>
      </w:divBdr>
    </w:div>
    <w:div w:id="1847213084">
      <w:bodyDiv w:val="1"/>
      <w:marLeft w:val="0"/>
      <w:marRight w:val="0"/>
      <w:marTop w:val="0"/>
      <w:marBottom w:val="0"/>
      <w:divBdr>
        <w:top w:val="none" w:sz="0" w:space="0" w:color="auto"/>
        <w:left w:val="none" w:sz="0" w:space="0" w:color="auto"/>
        <w:bottom w:val="none" w:sz="0" w:space="0" w:color="auto"/>
        <w:right w:val="none" w:sz="0" w:space="0" w:color="auto"/>
      </w:divBdr>
    </w:div>
    <w:div w:id="1847282854">
      <w:bodyDiv w:val="1"/>
      <w:marLeft w:val="0"/>
      <w:marRight w:val="0"/>
      <w:marTop w:val="0"/>
      <w:marBottom w:val="0"/>
      <w:divBdr>
        <w:top w:val="none" w:sz="0" w:space="0" w:color="auto"/>
        <w:left w:val="none" w:sz="0" w:space="0" w:color="auto"/>
        <w:bottom w:val="none" w:sz="0" w:space="0" w:color="auto"/>
        <w:right w:val="none" w:sz="0" w:space="0" w:color="auto"/>
      </w:divBdr>
    </w:div>
    <w:div w:id="1847285075">
      <w:bodyDiv w:val="1"/>
      <w:marLeft w:val="0"/>
      <w:marRight w:val="0"/>
      <w:marTop w:val="0"/>
      <w:marBottom w:val="0"/>
      <w:divBdr>
        <w:top w:val="none" w:sz="0" w:space="0" w:color="auto"/>
        <w:left w:val="none" w:sz="0" w:space="0" w:color="auto"/>
        <w:bottom w:val="none" w:sz="0" w:space="0" w:color="auto"/>
        <w:right w:val="none" w:sz="0" w:space="0" w:color="auto"/>
      </w:divBdr>
    </w:div>
    <w:div w:id="1847401908">
      <w:bodyDiv w:val="1"/>
      <w:marLeft w:val="0"/>
      <w:marRight w:val="0"/>
      <w:marTop w:val="0"/>
      <w:marBottom w:val="0"/>
      <w:divBdr>
        <w:top w:val="none" w:sz="0" w:space="0" w:color="auto"/>
        <w:left w:val="none" w:sz="0" w:space="0" w:color="auto"/>
        <w:bottom w:val="none" w:sz="0" w:space="0" w:color="auto"/>
        <w:right w:val="none" w:sz="0" w:space="0" w:color="auto"/>
      </w:divBdr>
    </w:div>
    <w:div w:id="1847557509">
      <w:bodyDiv w:val="1"/>
      <w:marLeft w:val="0"/>
      <w:marRight w:val="0"/>
      <w:marTop w:val="0"/>
      <w:marBottom w:val="0"/>
      <w:divBdr>
        <w:top w:val="none" w:sz="0" w:space="0" w:color="auto"/>
        <w:left w:val="none" w:sz="0" w:space="0" w:color="auto"/>
        <w:bottom w:val="none" w:sz="0" w:space="0" w:color="auto"/>
        <w:right w:val="none" w:sz="0" w:space="0" w:color="auto"/>
      </w:divBdr>
    </w:div>
    <w:div w:id="1847597171">
      <w:bodyDiv w:val="1"/>
      <w:marLeft w:val="0"/>
      <w:marRight w:val="0"/>
      <w:marTop w:val="0"/>
      <w:marBottom w:val="0"/>
      <w:divBdr>
        <w:top w:val="none" w:sz="0" w:space="0" w:color="auto"/>
        <w:left w:val="none" w:sz="0" w:space="0" w:color="auto"/>
        <w:bottom w:val="none" w:sz="0" w:space="0" w:color="auto"/>
        <w:right w:val="none" w:sz="0" w:space="0" w:color="auto"/>
      </w:divBdr>
    </w:div>
    <w:div w:id="1847668273">
      <w:bodyDiv w:val="1"/>
      <w:marLeft w:val="0"/>
      <w:marRight w:val="0"/>
      <w:marTop w:val="0"/>
      <w:marBottom w:val="0"/>
      <w:divBdr>
        <w:top w:val="none" w:sz="0" w:space="0" w:color="auto"/>
        <w:left w:val="none" w:sz="0" w:space="0" w:color="auto"/>
        <w:bottom w:val="none" w:sz="0" w:space="0" w:color="auto"/>
        <w:right w:val="none" w:sz="0" w:space="0" w:color="auto"/>
      </w:divBdr>
    </w:div>
    <w:div w:id="1847669779">
      <w:bodyDiv w:val="1"/>
      <w:marLeft w:val="0"/>
      <w:marRight w:val="0"/>
      <w:marTop w:val="0"/>
      <w:marBottom w:val="0"/>
      <w:divBdr>
        <w:top w:val="none" w:sz="0" w:space="0" w:color="auto"/>
        <w:left w:val="none" w:sz="0" w:space="0" w:color="auto"/>
        <w:bottom w:val="none" w:sz="0" w:space="0" w:color="auto"/>
        <w:right w:val="none" w:sz="0" w:space="0" w:color="auto"/>
      </w:divBdr>
    </w:div>
    <w:div w:id="1847745108">
      <w:bodyDiv w:val="1"/>
      <w:marLeft w:val="0"/>
      <w:marRight w:val="0"/>
      <w:marTop w:val="0"/>
      <w:marBottom w:val="0"/>
      <w:divBdr>
        <w:top w:val="none" w:sz="0" w:space="0" w:color="auto"/>
        <w:left w:val="none" w:sz="0" w:space="0" w:color="auto"/>
        <w:bottom w:val="none" w:sz="0" w:space="0" w:color="auto"/>
        <w:right w:val="none" w:sz="0" w:space="0" w:color="auto"/>
      </w:divBdr>
    </w:div>
    <w:div w:id="1847750718">
      <w:bodyDiv w:val="1"/>
      <w:marLeft w:val="0"/>
      <w:marRight w:val="0"/>
      <w:marTop w:val="0"/>
      <w:marBottom w:val="0"/>
      <w:divBdr>
        <w:top w:val="none" w:sz="0" w:space="0" w:color="auto"/>
        <w:left w:val="none" w:sz="0" w:space="0" w:color="auto"/>
        <w:bottom w:val="none" w:sz="0" w:space="0" w:color="auto"/>
        <w:right w:val="none" w:sz="0" w:space="0" w:color="auto"/>
      </w:divBdr>
    </w:div>
    <w:div w:id="1847790721">
      <w:bodyDiv w:val="1"/>
      <w:marLeft w:val="0"/>
      <w:marRight w:val="0"/>
      <w:marTop w:val="0"/>
      <w:marBottom w:val="0"/>
      <w:divBdr>
        <w:top w:val="none" w:sz="0" w:space="0" w:color="auto"/>
        <w:left w:val="none" w:sz="0" w:space="0" w:color="auto"/>
        <w:bottom w:val="none" w:sz="0" w:space="0" w:color="auto"/>
        <w:right w:val="none" w:sz="0" w:space="0" w:color="auto"/>
      </w:divBdr>
    </w:div>
    <w:div w:id="1847792968">
      <w:bodyDiv w:val="1"/>
      <w:marLeft w:val="0"/>
      <w:marRight w:val="0"/>
      <w:marTop w:val="0"/>
      <w:marBottom w:val="0"/>
      <w:divBdr>
        <w:top w:val="none" w:sz="0" w:space="0" w:color="auto"/>
        <w:left w:val="none" w:sz="0" w:space="0" w:color="auto"/>
        <w:bottom w:val="none" w:sz="0" w:space="0" w:color="auto"/>
        <w:right w:val="none" w:sz="0" w:space="0" w:color="auto"/>
      </w:divBdr>
    </w:div>
    <w:div w:id="1847985128">
      <w:bodyDiv w:val="1"/>
      <w:marLeft w:val="0"/>
      <w:marRight w:val="0"/>
      <w:marTop w:val="0"/>
      <w:marBottom w:val="0"/>
      <w:divBdr>
        <w:top w:val="none" w:sz="0" w:space="0" w:color="auto"/>
        <w:left w:val="none" w:sz="0" w:space="0" w:color="auto"/>
        <w:bottom w:val="none" w:sz="0" w:space="0" w:color="auto"/>
        <w:right w:val="none" w:sz="0" w:space="0" w:color="auto"/>
      </w:divBdr>
    </w:div>
    <w:div w:id="1848015913">
      <w:bodyDiv w:val="1"/>
      <w:marLeft w:val="0"/>
      <w:marRight w:val="0"/>
      <w:marTop w:val="0"/>
      <w:marBottom w:val="0"/>
      <w:divBdr>
        <w:top w:val="none" w:sz="0" w:space="0" w:color="auto"/>
        <w:left w:val="none" w:sz="0" w:space="0" w:color="auto"/>
        <w:bottom w:val="none" w:sz="0" w:space="0" w:color="auto"/>
        <w:right w:val="none" w:sz="0" w:space="0" w:color="auto"/>
      </w:divBdr>
    </w:div>
    <w:div w:id="1848058190">
      <w:bodyDiv w:val="1"/>
      <w:marLeft w:val="0"/>
      <w:marRight w:val="0"/>
      <w:marTop w:val="0"/>
      <w:marBottom w:val="0"/>
      <w:divBdr>
        <w:top w:val="none" w:sz="0" w:space="0" w:color="auto"/>
        <w:left w:val="none" w:sz="0" w:space="0" w:color="auto"/>
        <w:bottom w:val="none" w:sz="0" w:space="0" w:color="auto"/>
        <w:right w:val="none" w:sz="0" w:space="0" w:color="auto"/>
      </w:divBdr>
    </w:div>
    <w:div w:id="1848209499">
      <w:bodyDiv w:val="1"/>
      <w:marLeft w:val="0"/>
      <w:marRight w:val="0"/>
      <w:marTop w:val="0"/>
      <w:marBottom w:val="0"/>
      <w:divBdr>
        <w:top w:val="none" w:sz="0" w:space="0" w:color="auto"/>
        <w:left w:val="none" w:sz="0" w:space="0" w:color="auto"/>
        <w:bottom w:val="none" w:sz="0" w:space="0" w:color="auto"/>
        <w:right w:val="none" w:sz="0" w:space="0" w:color="auto"/>
      </w:divBdr>
    </w:div>
    <w:div w:id="1848210144">
      <w:bodyDiv w:val="1"/>
      <w:marLeft w:val="0"/>
      <w:marRight w:val="0"/>
      <w:marTop w:val="0"/>
      <w:marBottom w:val="0"/>
      <w:divBdr>
        <w:top w:val="none" w:sz="0" w:space="0" w:color="auto"/>
        <w:left w:val="none" w:sz="0" w:space="0" w:color="auto"/>
        <w:bottom w:val="none" w:sz="0" w:space="0" w:color="auto"/>
        <w:right w:val="none" w:sz="0" w:space="0" w:color="auto"/>
      </w:divBdr>
    </w:div>
    <w:div w:id="1848322458">
      <w:bodyDiv w:val="1"/>
      <w:marLeft w:val="0"/>
      <w:marRight w:val="0"/>
      <w:marTop w:val="0"/>
      <w:marBottom w:val="0"/>
      <w:divBdr>
        <w:top w:val="none" w:sz="0" w:space="0" w:color="auto"/>
        <w:left w:val="none" w:sz="0" w:space="0" w:color="auto"/>
        <w:bottom w:val="none" w:sz="0" w:space="0" w:color="auto"/>
        <w:right w:val="none" w:sz="0" w:space="0" w:color="auto"/>
      </w:divBdr>
    </w:div>
    <w:div w:id="1848397515">
      <w:bodyDiv w:val="1"/>
      <w:marLeft w:val="0"/>
      <w:marRight w:val="0"/>
      <w:marTop w:val="0"/>
      <w:marBottom w:val="0"/>
      <w:divBdr>
        <w:top w:val="none" w:sz="0" w:space="0" w:color="auto"/>
        <w:left w:val="none" w:sz="0" w:space="0" w:color="auto"/>
        <w:bottom w:val="none" w:sz="0" w:space="0" w:color="auto"/>
        <w:right w:val="none" w:sz="0" w:space="0" w:color="auto"/>
      </w:divBdr>
    </w:div>
    <w:div w:id="1848447457">
      <w:bodyDiv w:val="1"/>
      <w:marLeft w:val="0"/>
      <w:marRight w:val="0"/>
      <w:marTop w:val="0"/>
      <w:marBottom w:val="0"/>
      <w:divBdr>
        <w:top w:val="none" w:sz="0" w:space="0" w:color="auto"/>
        <w:left w:val="none" w:sz="0" w:space="0" w:color="auto"/>
        <w:bottom w:val="none" w:sz="0" w:space="0" w:color="auto"/>
        <w:right w:val="none" w:sz="0" w:space="0" w:color="auto"/>
      </w:divBdr>
    </w:div>
    <w:div w:id="1848590558">
      <w:bodyDiv w:val="1"/>
      <w:marLeft w:val="0"/>
      <w:marRight w:val="0"/>
      <w:marTop w:val="0"/>
      <w:marBottom w:val="0"/>
      <w:divBdr>
        <w:top w:val="none" w:sz="0" w:space="0" w:color="auto"/>
        <w:left w:val="none" w:sz="0" w:space="0" w:color="auto"/>
        <w:bottom w:val="none" w:sz="0" w:space="0" w:color="auto"/>
        <w:right w:val="none" w:sz="0" w:space="0" w:color="auto"/>
      </w:divBdr>
    </w:div>
    <w:div w:id="1848593187">
      <w:bodyDiv w:val="1"/>
      <w:marLeft w:val="0"/>
      <w:marRight w:val="0"/>
      <w:marTop w:val="0"/>
      <w:marBottom w:val="0"/>
      <w:divBdr>
        <w:top w:val="none" w:sz="0" w:space="0" w:color="auto"/>
        <w:left w:val="none" w:sz="0" w:space="0" w:color="auto"/>
        <w:bottom w:val="none" w:sz="0" w:space="0" w:color="auto"/>
        <w:right w:val="none" w:sz="0" w:space="0" w:color="auto"/>
      </w:divBdr>
    </w:div>
    <w:div w:id="1848596544">
      <w:bodyDiv w:val="1"/>
      <w:marLeft w:val="0"/>
      <w:marRight w:val="0"/>
      <w:marTop w:val="0"/>
      <w:marBottom w:val="0"/>
      <w:divBdr>
        <w:top w:val="none" w:sz="0" w:space="0" w:color="auto"/>
        <w:left w:val="none" w:sz="0" w:space="0" w:color="auto"/>
        <w:bottom w:val="none" w:sz="0" w:space="0" w:color="auto"/>
        <w:right w:val="none" w:sz="0" w:space="0" w:color="auto"/>
      </w:divBdr>
    </w:div>
    <w:div w:id="1848598519">
      <w:bodyDiv w:val="1"/>
      <w:marLeft w:val="0"/>
      <w:marRight w:val="0"/>
      <w:marTop w:val="0"/>
      <w:marBottom w:val="0"/>
      <w:divBdr>
        <w:top w:val="none" w:sz="0" w:space="0" w:color="auto"/>
        <w:left w:val="none" w:sz="0" w:space="0" w:color="auto"/>
        <w:bottom w:val="none" w:sz="0" w:space="0" w:color="auto"/>
        <w:right w:val="none" w:sz="0" w:space="0" w:color="auto"/>
      </w:divBdr>
    </w:div>
    <w:div w:id="1848716854">
      <w:bodyDiv w:val="1"/>
      <w:marLeft w:val="0"/>
      <w:marRight w:val="0"/>
      <w:marTop w:val="0"/>
      <w:marBottom w:val="0"/>
      <w:divBdr>
        <w:top w:val="none" w:sz="0" w:space="0" w:color="auto"/>
        <w:left w:val="none" w:sz="0" w:space="0" w:color="auto"/>
        <w:bottom w:val="none" w:sz="0" w:space="0" w:color="auto"/>
        <w:right w:val="none" w:sz="0" w:space="0" w:color="auto"/>
      </w:divBdr>
    </w:div>
    <w:div w:id="1848862147">
      <w:bodyDiv w:val="1"/>
      <w:marLeft w:val="0"/>
      <w:marRight w:val="0"/>
      <w:marTop w:val="0"/>
      <w:marBottom w:val="0"/>
      <w:divBdr>
        <w:top w:val="none" w:sz="0" w:space="0" w:color="auto"/>
        <w:left w:val="none" w:sz="0" w:space="0" w:color="auto"/>
        <w:bottom w:val="none" w:sz="0" w:space="0" w:color="auto"/>
        <w:right w:val="none" w:sz="0" w:space="0" w:color="auto"/>
      </w:divBdr>
    </w:div>
    <w:div w:id="1848866353">
      <w:bodyDiv w:val="1"/>
      <w:marLeft w:val="0"/>
      <w:marRight w:val="0"/>
      <w:marTop w:val="0"/>
      <w:marBottom w:val="0"/>
      <w:divBdr>
        <w:top w:val="none" w:sz="0" w:space="0" w:color="auto"/>
        <w:left w:val="none" w:sz="0" w:space="0" w:color="auto"/>
        <w:bottom w:val="none" w:sz="0" w:space="0" w:color="auto"/>
        <w:right w:val="none" w:sz="0" w:space="0" w:color="auto"/>
      </w:divBdr>
    </w:div>
    <w:div w:id="1848904716">
      <w:bodyDiv w:val="1"/>
      <w:marLeft w:val="0"/>
      <w:marRight w:val="0"/>
      <w:marTop w:val="0"/>
      <w:marBottom w:val="0"/>
      <w:divBdr>
        <w:top w:val="none" w:sz="0" w:space="0" w:color="auto"/>
        <w:left w:val="none" w:sz="0" w:space="0" w:color="auto"/>
        <w:bottom w:val="none" w:sz="0" w:space="0" w:color="auto"/>
        <w:right w:val="none" w:sz="0" w:space="0" w:color="auto"/>
      </w:divBdr>
    </w:div>
    <w:div w:id="1849099917">
      <w:bodyDiv w:val="1"/>
      <w:marLeft w:val="0"/>
      <w:marRight w:val="0"/>
      <w:marTop w:val="0"/>
      <w:marBottom w:val="0"/>
      <w:divBdr>
        <w:top w:val="none" w:sz="0" w:space="0" w:color="auto"/>
        <w:left w:val="none" w:sz="0" w:space="0" w:color="auto"/>
        <w:bottom w:val="none" w:sz="0" w:space="0" w:color="auto"/>
        <w:right w:val="none" w:sz="0" w:space="0" w:color="auto"/>
      </w:divBdr>
    </w:div>
    <w:div w:id="1849127337">
      <w:bodyDiv w:val="1"/>
      <w:marLeft w:val="0"/>
      <w:marRight w:val="0"/>
      <w:marTop w:val="0"/>
      <w:marBottom w:val="0"/>
      <w:divBdr>
        <w:top w:val="none" w:sz="0" w:space="0" w:color="auto"/>
        <w:left w:val="none" w:sz="0" w:space="0" w:color="auto"/>
        <w:bottom w:val="none" w:sz="0" w:space="0" w:color="auto"/>
        <w:right w:val="none" w:sz="0" w:space="0" w:color="auto"/>
      </w:divBdr>
    </w:div>
    <w:div w:id="1849127829">
      <w:bodyDiv w:val="1"/>
      <w:marLeft w:val="0"/>
      <w:marRight w:val="0"/>
      <w:marTop w:val="0"/>
      <w:marBottom w:val="0"/>
      <w:divBdr>
        <w:top w:val="none" w:sz="0" w:space="0" w:color="auto"/>
        <w:left w:val="none" w:sz="0" w:space="0" w:color="auto"/>
        <w:bottom w:val="none" w:sz="0" w:space="0" w:color="auto"/>
        <w:right w:val="none" w:sz="0" w:space="0" w:color="auto"/>
      </w:divBdr>
    </w:div>
    <w:div w:id="1849245733">
      <w:bodyDiv w:val="1"/>
      <w:marLeft w:val="0"/>
      <w:marRight w:val="0"/>
      <w:marTop w:val="0"/>
      <w:marBottom w:val="0"/>
      <w:divBdr>
        <w:top w:val="none" w:sz="0" w:space="0" w:color="auto"/>
        <w:left w:val="none" w:sz="0" w:space="0" w:color="auto"/>
        <w:bottom w:val="none" w:sz="0" w:space="0" w:color="auto"/>
        <w:right w:val="none" w:sz="0" w:space="0" w:color="auto"/>
      </w:divBdr>
    </w:div>
    <w:div w:id="1849245907">
      <w:bodyDiv w:val="1"/>
      <w:marLeft w:val="0"/>
      <w:marRight w:val="0"/>
      <w:marTop w:val="0"/>
      <w:marBottom w:val="0"/>
      <w:divBdr>
        <w:top w:val="none" w:sz="0" w:space="0" w:color="auto"/>
        <w:left w:val="none" w:sz="0" w:space="0" w:color="auto"/>
        <w:bottom w:val="none" w:sz="0" w:space="0" w:color="auto"/>
        <w:right w:val="none" w:sz="0" w:space="0" w:color="auto"/>
      </w:divBdr>
    </w:div>
    <w:div w:id="1849365680">
      <w:bodyDiv w:val="1"/>
      <w:marLeft w:val="0"/>
      <w:marRight w:val="0"/>
      <w:marTop w:val="0"/>
      <w:marBottom w:val="0"/>
      <w:divBdr>
        <w:top w:val="none" w:sz="0" w:space="0" w:color="auto"/>
        <w:left w:val="none" w:sz="0" w:space="0" w:color="auto"/>
        <w:bottom w:val="none" w:sz="0" w:space="0" w:color="auto"/>
        <w:right w:val="none" w:sz="0" w:space="0" w:color="auto"/>
      </w:divBdr>
    </w:div>
    <w:div w:id="1849368263">
      <w:bodyDiv w:val="1"/>
      <w:marLeft w:val="0"/>
      <w:marRight w:val="0"/>
      <w:marTop w:val="0"/>
      <w:marBottom w:val="0"/>
      <w:divBdr>
        <w:top w:val="none" w:sz="0" w:space="0" w:color="auto"/>
        <w:left w:val="none" w:sz="0" w:space="0" w:color="auto"/>
        <w:bottom w:val="none" w:sz="0" w:space="0" w:color="auto"/>
        <w:right w:val="none" w:sz="0" w:space="0" w:color="auto"/>
      </w:divBdr>
    </w:div>
    <w:div w:id="1849370860">
      <w:bodyDiv w:val="1"/>
      <w:marLeft w:val="0"/>
      <w:marRight w:val="0"/>
      <w:marTop w:val="0"/>
      <w:marBottom w:val="0"/>
      <w:divBdr>
        <w:top w:val="none" w:sz="0" w:space="0" w:color="auto"/>
        <w:left w:val="none" w:sz="0" w:space="0" w:color="auto"/>
        <w:bottom w:val="none" w:sz="0" w:space="0" w:color="auto"/>
        <w:right w:val="none" w:sz="0" w:space="0" w:color="auto"/>
      </w:divBdr>
    </w:div>
    <w:div w:id="1849513717">
      <w:bodyDiv w:val="1"/>
      <w:marLeft w:val="0"/>
      <w:marRight w:val="0"/>
      <w:marTop w:val="0"/>
      <w:marBottom w:val="0"/>
      <w:divBdr>
        <w:top w:val="none" w:sz="0" w:space="0" w:color="auto"/>
        <w:left w:val="none" w:sz="0" w:space="0" w:color="auto"/>
        <w:bottom w:val="none" w:sz="0" w:space="0" w:color="auto"/>
        <w:right w:val="none" w:sz="0" w:space="0" w:color="auto"/>
      </w:divBdr>
    </w:div>
    <w:div w:id="1849558281">
      <w:bodyDiv w:val="1"/>
      <w:marLeft w:val="0"/>
      <w:marRight w:val="0"/>
      <w:marTop w:val="0"/>
      <w:marBottom w:val="0"/>
      <w:divBdr>
        <w:top w:val="none" w:sz="0" w:space="0" w:color="auto"/>
        <w:left w:val="none" w:sz="0" w:space="0" w:color="auto"/>
        <w:bottom w:val="none" w:sz="0" w:space="0" w:color="auto"/>
        <w:right w:val="none" w:sz="0" w:space="0" w:color="auto"/>
      </w:divBdr>
    </w:div>
    <w:div w:id="1849635446">
      <w:bodyDiv w:val="1"/>
      <w:marLeft w:val="0"/>
      <w:marRight w:val="0"/>
      <w:marTop w:val="0"/>
      <w:marBottom w:val="0"/>
      <w:divBdr>
        <w:top w:val="none" w:sz="0" w:space="0" w:color="auto"/>
        <w:left w:val="none" w:sz="0" w:space="0" w:color="auto"/>
        <w:bottom w:val="none" w:sz="0" w:space="0" w:color="auto"/>
        <w:right w:val="none" w:sz="0" w:space="0" w:color="auto"/>
      </w:divBdr>
    </w:div>
    <w:div w:id="1849756907">
      <w:bodyDiv w:val="1"/>
      <w:marLeft w:val="0"/>
      <w:marRight w:val="0"/>
      <w:marTop w:val="0"/>
      <w:marBottom w:val="0"/>
      <w:divBdr>
        <w:top w:val="none" w:sz="0" w:space="0" w:color="auto"/>
        <w:left w:val="none" w:sz="0" w:space="0" w:color="auto"/>
        <w:bottom w:val="none" w:sz="0" w:space="0" w:color="auto"/>
        <w:right w:val="none" w:sz="0" w:space="0" w:color="auto"/>
      </w:divBdr>
    </w:div>
    <w:div w:id="1849905767">
      <w:bodyDiv w:val="1"/>
      <w:marLeft w:val="0"/>
      <w:marRight w:val="0"/>
      <w:marTop w:val="0"/>
      <w:marBottom w:val="0"/>
      <w:divBdr>
        <w:top w:val="none" w:sz="0" w:space="0" w:color="auto"/>
        <w:left w:val="none" w:sz="0" w:space="0" w:color="auto"/>
        <w:bottom w:val="none" w:sz="0" w:space="0" w:color="auto"/>
        <w:right w:val="none" w:sz="0" w:space="0" w:color="auto"/>
      </w:divBdr>
    </w:div>
    <w:div w:id="1849952347">
      <w:bodyDiv w:val="1"/>
      <w:marLeft w:val="0"/>
      <w:marRight w:val="0"/>
      <w:marTop w:val="0"/>
      <w:marBottom w:val="0"/>
      <w:divBdr>
        <w:top w:val="none" w:sz="0" w:space="0" w:color="auto"/>
        <w:left w:val="none" w:sz="0" w:space="0" w:color="auto"/>
        <w:bottom w:val="none" w:sz="0" w:space="0" w:color="auto"/>
        <w:right w:val="none" w:sz="0" w:space="0" w:color="auto"/>
      </w:divBdr>
    </w:div>
    <w:div w:id="1849975880">
      <w:bodyDiv w:val="1"/>
      <w:marLeft w:val="0"/>
      <w:marRight w:val="0"/>
      <w:marTop w:val="0"/>
      <w:marBottom w:val="0"/>
      <w:divBdr>
        <w:top w:val="none" w:sz="0" w:space="0" w:color="auto"/>
        <w:left w:val="none" w:sz="0" w:space="0" w:color="auto"/>
        <w:bottom w:val="none" w:sz="0" w:space="0" w:color="auto"/>
        <w:right w:val="none" w:sz="0" w:space="0" w:color="auto"/>
      </w:divBdr>
    </w:div>
    <w:div w:id="1850093540">
      <w:bodyDiv w:val="1"/>
      <w:marLeft w:val="0"/>
      <w:marRight w:val="0"/>
      <w:marTop w:val="0"/>
      <w:marBottom w:val="0"/>
      <w:divBdr>
        <w:top w:val="none" w:sz="0" w:space="0" w:color="auto"/>
        <w:left w:val="none" w:sz="0" w:space="0" w:color="auto"/>
        <w:bottom w:val="none" w:sz="0" w:space="0" w:color="auto"/>
        <w:right w:val="none" w:sz="0" w:space="0" w:color="auto"/>
      </w:divBdr>
    </w:div>
    <w:div w:id="1850099164">
      <w:bodyDiv w:val="1"/>
      <w:marLeft w:val="0"/>
      <w:marRight w:val="0"/>
      <w:marTop w:val="0"/>
      <w:marBottom w:val="0"/>
      <w:divBdr>
        <w:top w:val="none" w:sz="0" w:space="0" w:color="auto"/>
        <w:left w:val="none" w:sz="0" w:space="0" w:color="auto"/>
        <w:bottom w:val="none" w:sz="0" w:space="0" w:color="auto"/>
        <w:right w:val="none" w:sz="0" w:space="0" w:color="auto"/>
      </w:divBdr>
    </w:div>
    <w:div w:id="1850214413">
      <w:bodyDiv w:val="1"/>
      <w:marLeft w:val="0"/>
      <w:marRight w:val="0"/>
      <w:marTop w:val="0"/>
      <w:marBottom w:val="0"/>
      <w:divBdr>
        <w:top w:val="none" w:sz="0" w:space="0" w:color="auto"/>
        <w:left w:val="none" w:sz="0" w:space="0" w:color="auto"/>
        <w:bottom w:val="none" w:sz="0" w:space="0" w:color="auto"/>
        <w:right w:val="none" w:sz="0" w:space="0" w:color="auto"/>
      </w:divBdr>
    </w:div>
    <w:div w:id="1850216547">
      <w:bodyDiv w:val="1"/>
      <w:marLeft w:val="0"/>
      <w:marRight w:val="0"/>
      <w:marTop w:val="0"/>
      <w:marBottom w:val="0"/>
      <w:divBdr>
        <w:top w:val="none" w:sz="0" w:space="0" w:color="auto"/>
        <w:left w:val="none" w:sz="0" w:space="0" w:color="auto"/>
        <w:bottom w:val="none" w:sz="0" w:space="0" w:color="auto"/>
        <w:right w:val="none" w:sz="0" w:space="0" w:color="auto"/>
      </w:divBdr>
    </w:div>
    <w:div w:id="1850218155">
      <w:bodyDiv w:val="1"/>
      <w:marLeft w:val="0"/>
      <w:marRight w:val="0"/>
      <w:marTop w:val="0"/>
      <w:marBottom w:val="0"/>
      <w:divBdr>
        <w:top w:val="none" w:sz="0" w:space="0" w:color="auto"/>
        <w:left w:val="none" w:sz="0" w:space="0" w:color="auto"/>
        <w:bottom w:val="none" w:sz="0" w:space="0" w:color="auto"/>
        <w:right w:val="none" w:sz="0" w:space="0" w:color="auto"/>
      </w:divBdr>
    </w:div>
    <w:div w:id="1850364274">
      <w:bodyDiv w:val="1"/>
      <w:marLeft w:val="0"/>
      <w:marRight w:val="0"/>
      <w:marTop w:val="0"/>
      <w:marBottom w:val="0"/>
      <w:divBdr>
        <w:top w:val="none" w:sz="0" w:space="0" w:color="auto"/>
        <w:left w:val="none" w:sz="0" w:space="0" w:color="auto"/>
        <w:bottom w:val="none" w:sz="0" w:space="0" w:color="auto"/>
        <w:right w:val="none" w:sz="0" w:space="0" w:color="auto"/>
      </w:divBdr>
    </w:div>
    <w:div w:id="1850366949">
      <w:bodyDiv w:val="1"/>
      <w:marLeft w:val="0"/>
      <w:marRight w:val="0"/>
      <w:marTop w:val="0"/>
      <w:marBottom w:val="0"/>
      <w:divBdr>
        <w:top w:val="none" w:sz="0" w:space="0" w:color="auto"/>
        <w:left w:val="none" w:sz="0" w:space="0" w:color="auto"/>
        <w:bottom w:val="none" w:sz="0" w:space="0" w:color="auto"/>
        <w:right w:val="none" w:sz="0" w:space="0" w:color="auto"/>
      </w:divBdr>
    </w:div>
    <w:div w:id="1850368140">
      <w:bodyDiv w:val="1"/>
      <w:marLeft w:val="0"/>
      <w:marRight w:val="0"/>
      <w:marTop w:val="0"/>
      <w:marBottom w:val="0"/>
      <w:divBdr>
        <w:top w:val="none" w:sz="0" w:space="0" w:color="auto"/>
        <w:left w:val="none" w:sz="0" w:space="0" w:color="auto"/>
        <w:bottom w:val="none" w:sz="0" w:space="0" w:color="auto"/>
        <w:right w:val="none" w:sz="0" w:space="0" w:color="auto"/>
      </w:divBdr>
    </w:div>
    <w:div w:id="1850409622">
      <w:bodyDiv w:val="1"/>
      <w:marLeft w:val="0"/>
      <w:marRight w:val="0"/>
      <w:marTop w:val="0"/>
      <w:marBottom w:val="0"/>
      <w:divBdr>
        <w:top w:val="none" w:sz="0" w:space="0" w:color="auto"/>
        <w:left w:val="none" w:sz="0" w:space="0" w:color="auto"/>
        <w:bottom w:val="none" w:sz="0" w:space="0" w:color="auto"/>
        <w:right w:val="none" w:sz="0" w:space="0" w:color="auto"/>
      </w:divBdr>
    </w:div>
    <w:div w:id="1850439614">
      <w:bodyDiv w:val="1"/>
      <w:marLeft w:val="0"/>
      <w:marRight w:val="0"/>
      <w:marTop w:val="0"/>
      <w:marBottom w:val="0"/>
      <w:divBdr>
        <w:top w:val="none" w:sz="0" w:space="0" w:color="auto"/>
        <w:left w:val="none" w:sz="0" w:space="0" w:color="auto"/>
        <w:bottom w:val="none" w:sz="0" w:space="0" w:color="auto"/>
        <w:right w:val="none" w:sz="0" w:space="0" w:color="auto"/>
      </w:divBdr>
    </w:div>
    <w:div w:id="1850489198">
      <w:bodyDiv w:val="1"/>
      <w:marLeft w:val="0"/>
      <w:marRight w:val="0"/>
      <w:marTop w:val="0"/>
      <w:marBottom w:val="0"/>
      <w:divBdr>
        <w:top w:val="none" w:sz="0" w:space="0" w:color="auto"/>
        <w:left w:val="none" w:sz="0" w:space="0" w:color="auto"/>
        <w:bottom w:val="none" w:sz="0" w:space="0" w:color="auto"/>
        <w:right w:val="none" w:sz="0" w:space="0" w:color="auto"/>
      </w:divBdr>
    </w:div>
    <w:div w:id="1850559809">
      <w:bodyDiv w:val="1"/>
      <w:marLeft w:val="0"/>
      <w:marRight w:val="0"/>
      <w:marTop w:val="0"/>
      <w:marBottom w:val="0"/>
      <w:divBdr>
        <w:top w:val="none" w:sz="0" w:space="0" w:color="auto"/>
        <w:left w:val="none" w:sz="0" w:space="0" w:color="auto"/>
        <w:bottom w:val="none" w:sz="0" w:space="0" w:color="auto"/>
        <w:right w:val="none" w:sz="0" w:space="0" w:color="auto"/>
      </w:divBdr>
    </w:div>
    <w:div w:id="1850561974">
      <w:bodyDiv w:val="1"/>
      <w:marLeft w:val="0"/>
      <w:marRight w:val="0"/>
      <w:marTop w:val="0"/>
      <w:marBottom w:val="0"/>
      <w:divBdr>
        <w:top w:val="none" w:sz="0" w:space="0" w:color="auto"/>
        <w:left w:val="none" w:sz="0" w:space="0" w:color="auto"/>
        <w:bottom w:val="none" w:sz="0" w:space="0" w:color="auto"/>
        <w:right w:val="none" w:sz="0" w:space="0" w:color="auto"/>
      </w:divBdr>
    </w:div>
    <w:div w:id="1850562191">
      <w:bodyDiv w:val="1"/>
      <w:marLeft w:val="0"/>
      <w:marRight w:val="0"/>
      <w:marTop w:val="0"/>
      <w:marBottom w:val="0"/>
      <w:divBdr>
        <w:top w:val="none" w:sz="0" w:space="0" w:color="auto"/>
        <w:left w:val="none" w:sz="0" w:space="0" w:color="auto"/>
        <w:bottom w:val="none" w:sz="0" w:space="0" w:color="auto"/>
        <w:right w:val="none" w:sz="0" w:space="0" w:color="auto"/>
      </w:divBdr>
    </w:div>
    <w:div w:id="1850824620">
      <w:bodyDiv w:val="1"/>
      <w:marLeft w:val="0"/>
      <w:marRight w:val="0"/>
      <w:marTop w:val="0"/>
      <w:marBottom w:val="0"/>
      <w:divBdr>
        <w:top w:val="none" w:sz="0" w:space="0" w:color="auto"/>
        <w:left w:val="none" w:sz="0" w:space="0" w:color="auto"/>
        <w:bottom w:val="none" w:sz="0" w:space="0" w:color="auto"/>
        <w:right w:val="none" w:sz="0" w:space="0" w:color="auto"/>
      </w:divBdr>
    </w:div>
    <w:div w:id="1850868834">
      <w:bodyDiv w:val="1"/>
      <w:marLeft w:val="0"/>
      <w:marRight w:val="0"/>
      <w:marTop w:val="0"/>
      <w:marBottom w:val="0"/>
      <w:divBdr>
        <w:top w:val="none" w:sz="0" w:space="0" w:color="auto"/>
        <w:left w:val="none" w:sz="0" w:space="0" w:color="auto"/>
        <w:bottom w:val="none" w:sz="0" w:space="0" w:color="auto"/>
        <w:right w:val="none" w:sz="0" w:space="0" w:color="auto"/>
      </w:divBdr>
    </w:div>
    <w:div w:id="1851019758">
      <w:bodyDiv w:val="1"/>
      <w:marLeft w:val="0"/>
      <w:marRight w:val="0"/>
      <w:marTop w:val="0"/>
      <w:marBottom w:val="0"/>
      <w:divBdr>
        <w:top w:val="none" w:sz="0" w:space="0" w:color="auto"/>
        <w:left w:val="none" w:sz="0" w:space="0" w:color="auto"/>
        <w:bottom w:val="none" w:sz="0" w:space="0" w:color="auto"/>
        <w:right w:val="none" w:sz="0" w:space="0" w:color="auto"/>
      </w:divBdr>
    </w:div>
    <w:div w:id="1851142461">
      <w:bodyDiv w:val="1"/>
      <w:marLeft w:val="0"/>
      <w:marRight w:val="0"/>
      <w:marTop w:val="0"/>
      <w:marBottom w:val="0"/>
      <w:divBdr>
        <w:top w:val="none" w:sz="0" w:space="0" w:color="auto"/>
        <w:left w:val="none" w:sz="0" w:space="0" w:color="auto"/>
        <w:bottom w:val="none" w:sz="0" w:space="0" w:color="auto"/>
        <w:right w:val="none" w:sz="0" w:space="0" w:color="auto"/>
      </w:divBdr>
    </w:div>
    <w:div w:id="1851213086">
      <w:bodyDiv w:val="1"/>
      <w:marLeft w:val="0"/>
      <w:marRight w:val="0"/>
      <w:marTop w:val="0"/>
      <w:marBottom w:val="0"/>
      <w:divBdr>
        <w:top w:val="none" w:sz="0" w:space="0" w:color="auto"/>
        <w:left w:val="none" w:sz="0" w:space="0" w:color="auto"/>
        <w:bottom w:val="none" w:sz="0" w:space="0" w:color="auto"/>
        <w:right w:val="none" w:sz="0" w:space="0" w:color="auto"/>
      </w:divBdr>
    </w:div>
    <w:div w:id="1851287467">
      <w:bodyDiv w:val="1"/>
      <w:marLeft w:val="0"/>
      <w:marRight w:val="0"/>
      <w:marTop w:val="0"/>
      <w:marBottom w:val="0"/>
      <w:divBdr>
        <w:top w:val="none" w:sz="0" w:space="0" w:color="auto"/>
        <w:left w:val="none" w:sz="0" w:space="0" w:color="auto"/>
        <w:bottom w:val="none" w:sz="0" w:space="0" w:color="auto"/>
        <w:right w:val="none" w:sz="0" w:space="0" w:color="auto"/>
      </w:divBdr>
    </w:div>
    <w:div w:id="1851287813">
      <w:bodyDiv w:val="1"/>
      <w:marLeft w:val="0"/>
      <w:marRight w:val="0"/>
      <w:marTop w:val="0"/>
      <w:marBottom w:val="0"/>
      <w:divBdr>
        <w:top w:val="none" w:sz="0" w:space="0" w:color="auto"/>
        <w:left w:val="none" w:sz="0" w:space="0" w:color="auto"/>
        <w:bottom w:val="none" w:sz="0" w:space="0" w:color="auto"/>
        <w:right w:val="none" w:sz="0" w:space="0" w:color="auto"/>
      </w:divBdr>
    </w:div>
    <w:div w:id="1851291001">
      <w:bodyDiv w:val="1"/>
      <w:marLeft w:val="0"/>
      <w:marRight w:val="0"/>
      <w:marTop w:val="0"/>
      <w:marBottom w:val="0"/>
      <w:divBdr>
        <w:top w:val="none" w:sz="0" w:space="0" w:color="auto"/>
        <w:left w:val="none" w:sz="0" w:space="0" w:color="auto"/>
        <w:bottom w:val="none" w:sz="0" w:space="0" w:color="auto"/>
        <w:right w:val="none" w:sz="0" w:space="0" w:color="auto"/>
      </w:divBdr>
    </w:div>
    <w:div w:id="1851484504">
      <w:bodyDiv w:val="1"/>
      <w:marLeft w:val="0"/>
      <w:marRight w:val="0"/>
      <w:marTop w:val="0"/>
      <w:marBottom w:val="0"/>
      <w:divBdr>
        <w:top w:val="none" w:sz="0" w:space="0" w:color="auto"/>
        <w:left w:val="none" w:sz="0" w:space="0" w:color="auto"/>
        <w:bottom w:val="none" w:sz="0" w:space="0" w:color="auto"/>
        <w:right w:val="none" w:sz="0" w:space="0" w:color="auto"/>
      </w:divBdr>
    </w:div>
    <w:div w:id="1851488295">
      <w:bodyDiv w:val="1"/>
      <w:marLeft w:val="0"/>
      <w:marRight w:val="0"/>
      <w:marTop w:val="0"/>
      <w:marBottom w:val="0"/>
      <w:divBdr>
        <w:top w:val="none" w:sz="0" w:space="0" w:color="auto"/>
        <w:left w:val="none" w:sz="0" w:space="0" w:color="auto"/>
        <w:bottom w:val="none" w:sz="0" w:space="0" w:color="auto"/>
        <w:right w:val="none" w:sz="0" w:space="0" w:color="auto"/>
      </w:divBdr>
    </w:div>
    <w:div w:id="1851675715">
      <w:bodyDiv w:val="1"/>
      <w:marLeft w:val="0"/>
      <w:marRight w:val="0"/>
      <w:marTop w:val="0"/>
      <w:marBottom w:val="0"/>
      <w:divBdr>
        <w:top w:val="none" w:sz="0" w:space="0" w:color="auto"/>
        <w:left w:val="none" w:sz="0" w:space="0" w:color="auto"/>
        <w:bottom w:val="none" w:sz="0" w:space="0" w:color="auto"/>
        <w:right w:val="none" w:sz="0" w:space="0" w:color="auto"/>
      </w:divBdr>
    </w:div>
    <w:div w:id="1851680748">
      <w:bodyDiv w:val="1"/>
      <w:marLeft w:val="0"/>
      <w:marRight w:val="0"/>
      <w:marTop w:val="0"/>
      <w:marBottom w:val="0"/>
      <w:divBdr>
        <w:top w:val="none" w:sz="0" w:space="0" w:color="auto"/>
        <w:left w:val="none" w:sz="0" w:space="0" w:color="auto"/>
        <w:bottom w:val="none" w:sz="0" w:space="0" w:color="auto"/>
        <w:right w:val="none" w:sz="0" w:space="0" w:color="auto"/>
      </w:divBdr>
    </w:div>
    <w:div w:id="1851984831">
      <w:bodyDiv w:val="1"/>
      <w:marLeft w:val="0"/>
      <w:marRight w:val="0"/>
      <w:marTop w:val="0"/>
      <w:marBottom w:val="0"/>
      <w:divBdr>
        <w:top w:val="none" w:sz="0" w:space="0" w:color="auto"/>
        <w:left w:val="none" w:sz="0" w:space="0" w:color="auto"/>
        <w:bottom w:val="none" w:sz="0" w:space="0" w:color="auto"/>
        <w:right w:val="none" w:sz="0" w:space="0" w:color="auto"/>
      </w:divBdr>
    </w:div>
    <w:div w:id="1851990054">
      <w:bodyDiv w:val="1"/>
      <w:marLeft w:val="0"/>
      <w:marRight w:val="0"/>
      <w:marTop w:val="0"/>
      <w:marBottom w:val="0"/>
      <w:divBdr>
        <w:top w:val="none" w:sz="0" w:space="0" w:color="auto"/>
        <w:left w:val="none" w:sz="0" w:space="0" w:color="auto"/>
        <w:bottom w:val="none" w:sz="0" w:space="0" w:color="auto"/>
        <w:right w:val="none" w:sz="0" w:space="0" w:color="auto"/>
      </w:divBdr>
    </w:div>
    <w:div w:id="1852061166">
      <w:bodyDiv w:val="1"/>
      <w:marLeft w:val="0"/>
      <w:marRight w:val="0"/>
      <w:marTop w:val="0"/>
      <w:marBottom w:val="0"/>
      <w:divBdr>
        <w:top w:val="none" w:sz="0" w:space="0" w:color="auto"/>
        <w:left w:val="none" w:sz="0" w:space="0" w:color="auto"/>
        <w:bottom w:val="none" w:sz="0" w:space="0" w:color="auto"/>
        <w:right w:val="none" w:sz="0" w:space="0" w:color="auto"/>
      </w:divBdr>
    </w:div>
    <w:div w:id="1852064666">
      <w:bodyDiv w:val="1"/>
      <w:marLeft w:val="0"/>
      <w:marRight w:val="0"/>
      <w:marTop w:val="0"/>
      <w:marBottom w:val="0"/>
      <w:divBdr>
        <w:top w:val="none" w:sz="0" w:space="0" w:color="auto"/>
        <w:left w:val="none" w:sz="0" w:space="0" w:color="auto"/>
        <w:bottom w:val="none" w:sz="0" w:space="0" w:color="auto"/>
        <w:right w:val="none" w:sz="0" w:space="0" w:color="auto"/>
      </w:divBdr>
    </w:div>
    <w:div w:id="1852136371">
      <w:bodyDiv w:val="1"/>
      <w:marLeft w:val="0"/>
      <w:marRight w:val="0"/>
      <w:marTop w:val="0"/>
      <w:marBottom w:val="0"/>
      <w:divBdr>
        <w:top w:val="none" w:sz="0" w:space="0" w:color="auto"/>
        <w:left w:val="none" w:sz="0" w:space="0" w:color="auto"/>
        <w:bottom w:val="none" w:sz="0" w:space="0" w:color="auto"/>
        <w:right w:val="none" w:sz="0" w:space="0" w:color="auto"/>
      </w:divBdr>
    </w:div>
    <w:div w:id="1852181260">
      <w:bodyDiv w:val="1"/>
      <w:marLeft w:val="0"/>
      <w:marRight w:val="0"/>
      <w:marTop w:val="0"/>
      <w:marBottom w:val="0"/>
      <w:divBdr>
        <w:top w:val="none" w:sz="0" w:space="0" w:color="auto"/>
        <w:left w:val="none" w:sz="0" w:space="0" w:color="auto"/>
        <w:bottom w:val="none" w:sz="0" w:space="0" w:color="auto"/>
        <w:right w:val="none" w:sz="0" w:space="0" w:color="auto"/>
      </w:divBdr>
    </w:div>
    <w:div w:id="1852254033">
      <w:bodyDiv w:val="1"/>
      <w:marLeft w:val="0"/>
      <w:marRight w:val="0"/>
      <w:marTop w:val="0"/>
      <w:marBottom w:val="0"/>
      <w:divBdr>
        <w:top w:val="none" w:sz="0" w:space="0" w:color="auto"/>
        <w:left w:val="none" w:sz="0" w:space="0" w:color="auto"/>
        <w:bottom w:val="none" w:sz="0" w:space="0" w:color="auto"/>
        <w:right w:val="none" w:sz="0" w:space="0" w:color="auto"/>
      </w:divBdr>
    </w:div>
    <w:div w:id="1852378100">
      <w:bodyDiv w:val="1"/>
      <w:marLeft w:val="0"/>
      <w:marRight w:val="0"/>
      <w:marTop w:val="0"/>
      <w:marBottom w:val="0"/>
      <w:divBdr>
        <w:top w:val="none" w:sz="0" w:space="0" w:color="auto"/>
        <w:left w:val="none" w:sz="0" w:space="0" w:color="auto"/>
        <w:bottom w:val="none" w:sz="0" w:space="0" w:color="auto"/>
        <w:right w:val="none" w:sz="0" w:space="0" w:color="auto"/>
      </w:divBdr>
    </w:div>
    <w:div w:id="1852600044">
      <w:bodyDiv w:val="1"/>
      <w:marLeft w:val="0"/>
      <w:marRight w:val="0"/>
      <w:marTop w:val="0"/>
      <w:marBottom w:val="0"/>
      <w:divBdr>
        <w:top w:val="none" w:sz="0" w:space="0" w:color="auto"/>
        <w:left w:val="none" w:sz="0" w:space="0" w:color="auto"/>
        <w:bottom w:val="none" w:sz="0" w:space="0" w:color="auto"/>
        <w:right w:val="none" w:sz="0" w:space="0" w:color="auto"/>
      </w:divBdr>
    </w:div>
    <w:div w:id="1852601570">
      <w:bodyDiv w:val="1"/>
      <w:marLeft w:val="0"/>
      <w:marRight w:val="0"/>
      <w:marTop w:val="0"/>
      <w:marBottom w:val="0"/>
      <w:divBdr>
        <w:top w:val="none" w:sz="0" w:space="0" w:color="auto"/>
        <w:left w:val="none" w:sz="0" w:space="0" w:color="auto"/>
        <w:bottom w:val="none" w:sz="0" w:space="0" w:color="auto"/>
        <w:right w:val="none" w:sz="0" w:space="0" w:color="auto"/>
      </w:divBdr>
    </w:div>
    <w:div w:id="1852603359">
      <w:bodyDiv w:val="1"/>
      <w:marLeft w:val="0"/>
      <w:marRight w:val="0"/>
      <w:marTop w:val="0"/>
      <w:marBottom w:val="0"/>
      <w:divBdr>
        <w:top w:val="none" w:sz="0" w:space="0" w:color="auto"/>
        <w:left w:val="none" w:sz="0" w:space="0" w:color="auto"/>
        <w:bottom w:val="none" w:sz="0" w:space="0" w:color="auto"/>
        <w:right w:val="none" w:sz="0" w:space="0" w:color="auto"/>
      </w:divBdr>
    </w:div>
    <w:div w:id="1852647111">
      <w:bodyDiv w:val="1"/>
      <w:marLeft w:val="0"/>
      <w:marRight w:val="0"/>
      <w:marTop w:val="0"/>
      <w:marBottom w:val="0"/>
      <w:divBdr>
        <w:top w:val="none" w:sz="0" w:space="0" w:color="auto"/>
        <w:left w:val="none" w:sz="0" w:space="0" w:color="auto"/>
        <w:bottom w:val="none" w:sz="0" w:space="0" w:color="auto"/>
        <w:right w:val="none" w:sz="0" w:space="0" w:color="auto"/>
      </w:divBdr>
    </w:div>
    <w:div w:id="1852797801">
      <w:bodyDiv w:val="1"/>
      <w:marLeft w:val="0"/>
      <w:marRight w:val="0"/>
      <w:marTop w:val="0"/>
      <w:marBottom w:val="0"/>
      <w:divBdr>
        <w:top w:val="none" w:sz="0" w:space="0" w:color="auto"/>
        <w:left w:val="none" w:sz="0" w:space="0" w:color="auto"/>
        <w:bottom w:val="none" w:sz="0" w:space="0" w:color="auto"/>
        <w:right w:val="none" w:sz="0" w:space="0" w:color="auto"/>
      </w:divBdr>
    </w:div>
    <w:div w:id="1852866401">
      <w:bodyDiv w:val="1"/>
      <w:marLeft w:val="0"/>
      <w:marRight w:val="0"/>
      <w:marTop w:val="0"/>
      <w:marBottom w:val="0"/>
      <w:divBdr>
        <w:top w:val="none" w:sz="0" w:space="0" w:color="auto"/>
        <w:left w:val="none" w:sz="0" w:space="0" w:color="auto"/>
        <w:bottom w:val="none" w:sz="0" w:space="0" w:color="auto"/>
        <w:right w:val="none" w:sz="0" w:space="0" w:color="auto"/>
      </w:divBdr>
    </w:div>
    <w:div w:id="1852917613">
      <w:bodyDiv w:val="1"/>
      <w:marLeft w:val="0"/>
      <w:marRight w:val="0"/>
      <w:marTop w:val="0"/>
      <w:marBottom w:val="0"/>
      <w:divBdr>
        <w:top w:val="none" w:sz="0" w:space="0" w:color="auto"/>
        <w:left w:val="none" w:sz="0" w:space="0" w:color="auto"/>
        <w:bottom w:val="none" w:sz="0" w:space="0" w:color="auto"/>
        <w:right w:val="none" w:sz="0" w:space="0" w:color="auto"/>
      </w:divBdr>
    </w:div>
    <w:div w:id="1853185613">
      <w:bodyDiv w:val="1"/>
      <w:marLeft w:val="0"/>
      <w:marRight w:val="0"/>
      <w:marTop w:val="0"/>
      <w:marBottom w:val="0"/>
      <w:divBdr>
        <w:top w:val="none" w:sz="0" w:space="0" w:color="auto"/>
        <w:left w:val="none" w:sz="0" w:space="0" w:color="auto"/>
        <w:bottom w:val="none" w:sz="0" w:space="0" w:color="auto"/>
        <w:right w:val="none" w:sz="0" w:space="0" w:color="auto"/>
      </w:divBdr>
    </w:div>
    <w:div w:id="1853253891">
      <w:bodyDiv w:val="1"/>
      <w:marLeft w:val="0"/>
      <w:marRight w:val="0"/>
      <w:marTop w:val="0"/>
      <w:marBottom w:val="0"/>
      <w:divBdr>
        <w:top w:val="none" w:sz="0" w:space="0" w:color="auto"/>
        <w:left w:val="none" w:sz="0" w:space="0" w:color="auto"/>
        <w:bottom w:val="none" w:sz="0" w:space="0" w:color="auto"/>
        <w:right w:val="none" w:sz="0" w:space="0" w:color="auto"/>
      </w:divBdr>
    </w:div>
    <w:div w:id="1853297817">
      <w:bodyDiv w:val="1"/>
      <w:marLeft w:val="0"/>
      <w:marRight w:val="0"/>
      <w:marTop w:val="0"/>
      <w:marBottom w:val="0"/>
      <w:divBdr>
        <w:top w:val="none" w:sz="0" w:space="0" w:color="auto"/>
        <w:left w:val="none" w:sz="0" w:space="0" w:color="auto"/>
        <w:bottom w:val="none" w:sz="0" w:space="0" w:color="auto"/>
        <w:right w:val="none" w:sz="0" w:space="0" w:color="auto"/>
      </w:divBdr>
    </w:div>
    <w:div w:id="1853300713">
      <w:bodyDiv w:val="1"/>
      <w:marLeft w:val="0"/>
      <w:marRight w:val="0"/>
      <w:marTop w:val="0"/>
      <w:marBottom w:val="0"/>
      <w:divBdr>
        <w:top w:val="none" w:sz="0" w:space="0" w:color="auto"/>
        <w:left w:val="none" w:sz="0" w:space="0" w:color="auto"/>
        <w:bottom w:val="none" w:sz="0" w:space="0" w:color="auto"/>
        <w:right w:val="none" w:sz="0" w:space="0" w:color="auto"/>
      </w:divBdr>
    </w:div>
    <w:div w:id="1853371193">
      <w:bodyDiv w:val="1"/>
      <w:marLeft w:val="0"/>
      <w:marRight w:val="0"/>
      <w:marTop w:val="0"/>
      <w:marBottom w:val="0"/>
      <w:divBdr>
        <w:top w:val="none" w:sz="0" w:space="0" w:color="auto"/>
        <w:left w:val="none" w:sz="0" w:space="0" w:color="auto"/>
        <w:bottom w:val="none" w:sz="0" w:space="0" w:color="auto"/>
        <w:right w:val="none" w:sz="0" w:space="0" w:color="auto"/>
      </w:divBdr>
    </w:div>
    <w:div w:id="1853372065">
      <w:bodyDiv w:val="1"/>
      <w:marLeft w:val="0"/>
      <w:marRight w:val="0"/>
      <w:marTop w:val="0"/>
      <w:marBottom w:val="0"/>
      <w:divBdr>
        <w:top w:val="none" w:sz="0" w:space="0" w:color="auto"/>
        <w:left w:val="none" w:sz="0" w:space="0" w:color="auto"/>
        <w:bottom w:val="none" w:sz="0" w:space="0" w:color="auto"/>
        <w:right w:val="none" w:sz="0" w:space="0" w:color="auto"/>
      </w:divBdr>
    </w:div>
    <w:div w:id="1853374843">
      <w:bodyDiv w:val="1"/>
      <w:marLeft w:val="0"/>
      <w:marRight w:val="0"/>
      <w:marTop w:val="0"/>
      <w:marBottom w:val="0"/>
      <w:divBdr>
        <w:top w:val="none" w:sz="0" w:space="0" w:color="auto"/>
        <w:left w:val="none" w:sz="0" w:space="0" w:color="auto"/>
        <w:bottom w:val="none" w:sz="0" w:space="0" w:color="auto"/>
        <w:right w:val="none" w:sz="0" w:space="0" w:color="auto"/>
      </w:divBdr>
    </w:div>
    <w:div w:id="1853564564">
      <w:bodyDiv w:val="1"/>
      <w:marLeft w:val="0"/>
      <w:marRight w:val="0"/>
      <w:marTop w:val="0"/>
      <w:marBottom w:val="0"/>
      <w:divBdr>
        <w:top w:val="none" w:sz="0" w:space="0" w:color="auto"/>
        <w:left w:val="none" w:sz="0" w:space="0" w:color="auto"/>
        <w:bottom w:val="none" w:sz="0" w:space="0" w:color="auto"/>
        <w:right w:val="none" w:sz="0" w:space="0" w:color="auto"/>
      </w:divBdr>
    </w:div>
    <w:div w:id="1853566494">
      <w:bodyDiv w:val="1"/>
      <w:marLeft w:val="0"/>
      <w:marRight w:val="0"/>
      <w:marTop w:val="0"/>
      <w:marBottom w:val="0"/>
      <w:divBdr>
        <w:top w:val="none" w:sz="0" w:space="0" w:color="auto"/>
        <w:left w:val="none" w:sz="0" w:space="0" w:color="auto"/>
        <w:bottom w:val="none" w:sz="0" w:space="0" w:color="auto"/>
        <w:right w:val="none" w:sz="0" w:space="0" w:color="auto"/>
      </w:divBdr>
    </w:div>
    <w:div w:id="1853765100">
      <w:bodyDiv w:val="1"/>
      <w:marLeft w:val="0"/>
      <w:marRight w:val="0"/>
      <w:marTop w:val="0"/>
      <w:marBottom w:val="0"/>
      <w:divBdr>
        <w:top w:val="none" w:sz="0" w:space="0" w:color="auto"/>
        <w:left w:val="none" w:sz="0" w:space="0" w:color="auto"/>
        <w:bottom w:val="none" w:sz="0" w:space="0" w:color="auto"/>
        <w:right w:val="none" w:sz="0" w:space="0" w:color="auto"/>
      </w:divBdr>
      <w:divsChild>
        <w:div w:id="15816076">
          <w:marLeft w:val="0"/>
          <w:marRight w:val="0"/>
          <w:marTop w:val="0"/>
          <w:marBottom w:val="0"/>
          <w:divBdr>
            <w:top w:val="none" w:sz="0" w:space="0" w:color="auto"/>
            <w:left w:val="none" w:sz="0" w:space="0" w:color="auto"/>
            <w:bottom w:val="none" w:sz="0" w:space="0" w:color="auto"/>
            <w:right w:val="none" w:sz="0" w:space="0" w:color="auto"/>
          </w:divBdr>
        </w:div>
        <w:div w:id="30300655">
          <w:marLeft w:val="0"/>
          <w:marRight w:val="0"/>
          <w:marTop w:val="0"/>
          <w:marBottom w:val="0"/>
          <w:divBdr>
            <w:top w:val="none" w:sz="0" w:space="0" w:color="auto"/>
            <w:left w:val="none" w:sz="0" w:space="0" w:color="auto"/>
            <w:bottom w:val="none" w:sz="0" w:space="0" w:color="auto"/>
            <w:right w:val="none" w:sz="0" w:space="0" w:color="auto"/>
          </w:divBdr>
        </w:div>
        <w:div w:id="72549941">
          <w:marLeft w:val="0"/>
          <w:marRight w:val="0"/>
          <w:marTop w:val="0"/>
          <w:marBottom w:val="0"/>
          <w:divBdr>
            <w:top w:val="none" w:sz="0" w:space="0" w:color="auto"/>
            <w:left w:val="none" w:sz="0" w:space="0" w:color="auto"/>
            <w:bottom w:val="none" w:sz="0" w:space="0" w:color="auto"/>
            <w:right w:val="none" w:sz="0" w:space="0" w:color="auto"/>
          </w:divBdr>
        </w:div>
        <w:div w:id="89472135">
          <w:marLeft w:val="0"/>
          <w:marRight w:val="0"/>
          <w:marTop w:val="0"/>
          <w:marBottom w:val="0"/>
          <w:divBdr>
            <w:top w:val="none" w:sz="0" w:space="0" w:color="auto"/>
            <w:left w:val="none" w:sz="0" w:space="0" w:color="auto"/>
            <w:bottom w:val="none" w:sz="0" w:space="0" w:color="auto"/>
            <w:right w:val="none" w:sz="0" w:space="0" w:color="auto"/>
          </w:divBdr>
        </w:div>
        <w:div w:id="90511728">
          <w:marLeft w:val="0"/>
          <w:marRight w:val="0"/>
          <w:marTop w:val="0"/>
          <w:marBottom w:val="0"/>
          <w:divBdr>
            <w:top w:val="none" w:sz="0" w:space="0" w:color="auto"/>
            <w:left w:val="none" w:sz="0" w:space="0" w:color="auto"/>
            <w:bottom w:val="none" w:sz="0" w:space="0" w:color="auto"/>
            <w:right w:val="none" w:sz="0" w:space="0" w:color="auto"/>
          </w:divBdr>
        </w:div>
        <w:div w:id="107631223">
          <w:marLeft w:val="0"/>
          <w:marRight w:val="0"/>
          <w:marTop w:val="0"/>
          <w:marBottom w:val="0"/>
          <w:divBdr>
            <w:top w:val="none" w:sz="0" w:space="0" w:color="auto"/>
            <w:left w:val="none" w:sz="0" w:space="0" w:color="auto"/>
            <w:bottom w:val="none" w:sz="0" w:space="0" w:color="auto"/>
            <w:right w:val="none" w:sz="0" w:space="0" w:color="auto"/>
          </w:divBdr>
        </w:div>
        <w:div w:id="107742973">
          <w:marLeft w:val="0"/>
          <w:marRight w:val="0"/>
          <w:marTop w:val="0"/>
          <w:marBottom w:val="0"/>
          <w:divBdr>
            <w:top w:val="none" w:sz="0" w:space="0" w:color="auto"/>
            <w:left w:val="none" w:sz="0" w:space="0" w:color="auto"/>
            <w:bottom w:val="none" w:sz="0" w:space="0" w:color="auto"/>
            <w:right w:val="none" w:sz="0" w:space="0" w:color="auto"/>
          </w:divBdr>
        </w:div>
        <w:div w:id="120540632">
          <w:marLeft w:val="0"/>
          <w:marRight w:val="0"/>
          <w:marTop w:val="0"/>
          <w:marBottom w:val="0"/>
          <w:divBdr>
            <w:top w:val="none" w:sz="0" w:space="0" w:color="auto"/>
            <w:left w:val="none" w:sz="0" w:space="0" w:color="auto"/>
            <w:bottom w:val="none" w:sz="0" w:space="0" w:color="auto"/>
            <w:right w:val="none" w:sz="0" w:space="0" w:color="auto"/>
          </w:divBdr>
        </w:div>
        <w:div w:id="140005584">
          <w:marLeft w:val="0"/>
          <w:marRight w:val="0"/>
          <w:marTop w:val="0"/>
          <w:marBottom w:val="0"/>
          <w:divBdr>
            <w:top w:val="none" w:sz="0" w:space="0" w:color="auto"/>
            <w:left w:val="none" w:sz="0" w:space="0" w:color="auto"/>
            <w:bottom w:val="none" w:sz="0" w:space="0" w:color="auto"/>
            <w:right w:val="none" w:sz="0" w:space="0" w:color="auto"/>
          </w:divBdr>
        </w:div>
        <w:div w:id="144709059">
          <w:marLeft w:val="0"/>
          <w:marRight w:val="0"/>
          <w:marTop w:val="0"/>
          <w:marBottom w:val="0"/>
          <w:divBdr>
            <w:top w:val="none" w:sz="0" w:space="0" w:color="auto"/>
            <w:left w:val="none" w:sz="0" w:space="0" w:color="auto"/>
            <w:bottom w:val="none" w:sz="0" w:space="0" w:color="auto"/>
            <w:right w:val="none" w:sz="0" w:space="0" w:color="auto"/>
          </w:divBdr>
        </w:div>
        <w:div w:id="162480018">
          <w:marLeft w:val="0"/>
          <w:marRight w:val="0"/>
          <w:marTop w:val="0"/>
          <w:marBottom w:val="0"/>
          <w:divBdr>
            <w:top w:val="none" w:sz="0" w:space="0" w:color="auto"/>
            <w:left w:val="none" w:sz="0" w:space="0" w:color="auto"/>
            <w:bottom w:val="none" w:sz="0" w:space="0" w:color="auto"/>
            <w:right w:val="none" w:sz="0" w:space="0" w:color="auto"/>
          </w:divBdr>
        </w:div>
        <w:div w:id="170065988">
          <w:marLeft w:val="0"/>
          <w:marRight w:val="0"/>
          <w:marTop w:val="0"/>
          <w:marBottom w:val="0"/>
          <w:divBdr>
            <w:top w:val="none" w:sz="0" w:space="0" w:color="auto"/>
            <w:left w:val="none" w:sz="0" w:space="0" w:color="auto"/>
            <w:bottom w:val="none" w:sz="0" w:space="0" w:color="auto"/>
            <w:right w:val="none" w:sz="0" w:space="0" w:color="auto"/>
          </w:divBdr>
        </w:div>
        <w:div w:id="172694972">
          <w:marLeft w:val="0"/>
          <w:marRight w:val="0"/>
          <w:marTop w:val="0"/>
          <w:marBottom w:val="0"/>
          <w:divBdr>
            <w:top w:val="none" w:sz="0" w:space="0" w:color="auto"/>
            <w:left w:val="none" w:sz="0" w:space="0" w:color="auto"/>
            <w:bottom w:val="none" w:sz="0" w:space="0" w:color="auto"/>
            <w:right w:val="none" w:sz="0" w:space="0" w:color="auto"/>
          </w:divBdr>
        </w:div>
        <w:div w:id="178473253">
          <w:marLeft w:val="0"/>
          <w:marRight w:val="0"/>
          <w:marTop w:val="0"/>
          <w:marBottom w:val="0"/>
          <w:divBdr>
            <w:top w:val="none" w:sz="0" w:space="0" w:color="auto"/>
            <w:left w:val="none" w:sz="0" w:space="0" w:color="auto"/>
            <w:bottom w:val="none" w:sz="0" w:space="0" w:color="auto"/>
            <w:right w:val="none" w:sz="0" w:space="0" w:color="auto"/>
          </w:divBdr>
        </w:div>
        <w:div w:id="200094942">
          <w:marLeft w:val="0"/>
          <w:marRight w:val="0"/>
          <w:marTop w:val="0"/>
          <w:marBottom w:val="0"/>
          <w:divBdr>
            <w:top w:val="none" w:sz="0" w:space="0" w:color="auto"/>
            <w:left w:val="none" w:sz="0" w:space="0" w:color="auto"/>
            <w:bottom w:val="none" w:sz="0" w:space="0" w:color="auto"/>
            <w:right w:val="none" w:sz="0" w:space="0" w:color="auto"/>
          </w:divBdr>
        </w:div>
        <w:div w:id="213738166">
          <w:marLeft w:val="0"/>
          <w:marRight w:val="0"/>
          <w:marTop w:val="0"/>
          <w:marBottom w:val="0"/>
          <w:divBdr>
            <w:top w:val="none" w:sz="0" w:space="0" w:color="auto"/>
            <w:left w:val="none" w:sz="0" w:space="0" w:color="auto"/>
            <w:bottom w:val="none" w:sz="0" w:space="0" w:color="auto"/>
            <w:right w:val="none" w:sz="0" w:space="0" w:color="auto"/>
          </w:divBdr>
        </w:div>
        <w:div w:id="234316102">
          <w:marLeft w:val="0"/>
          <w:marRight w:val="0"/>
          <w:marTop w:val="0"/>
          <w:marBottom w:val="0"/>
          <w:divBdr>
            <w:top w:val="none" w:sz="0" w:space="0" w:color="auto"/>
            <w:left w:val="none" w:sz="0" w:space="0" w:color="auto"/>
            <w:bottom w:val="none" w:sz="0" w:space="0" w:color="auto"/>
            <w:right w:val="none" w:sz="0" w:space="0" w:color="auto"/>
          </w:divBdr>
        </w:div>
        <w:div w:id="282226085">
          <w:marLeft w:val="0"/>
          <w:marRight w:val="0"/>
          <w:marTop w:val="0"/>
          <w:marBottom w:val="0"/>
          <w:divBdr>
            <w:top w:val="none" w:sz="0" w:space="0" w:color="auto"/>
            <w:left w:val="none" w:sz="0" w:space="0" w:color="auto"/>
            <w:bottom w:val="none" w:sz="0" w:space="0" w:color="auto"/>
            <w:right w:val="none" w:sz="0" w:space="0" w:color="auto"/>
          </w:divBdr>
        </w:div>
        <w:div w:id="318118148">
          <w:marLeft w:val="0"/>
          <w:marRight w:val="0"/>
          <w:marTop w:val="0"/>
          <w:marBottom w:val="0"/>
          <w:divBdr>
            <w:top w:val="none" w:sz="0" w:space="0" w:color="auto"/>
            <w:left w:val="none" w:sz="0" w:space="0" w:color="auto"/>
            <w:bottom w:val="none" w:sz="0" w:space="0" w:color="auto"/>
            <w:right w:val="none" w:sz="0" w:space="0" w:color="auto"/>
          </w:divBdr>
        </w:div>
        <w:div w:id="320811117">
          <w:marLeft w:val="0"/>
          <w:marRight w:val="0"/>
          <w:marTop w:val="0"/>
          <w:marBottom w:val="0"/>
          <w:divBdr>
            <w:top w:val="none" w:sz="0" w:space="0" w:color="auto"/>
            <w:left w:val="none" w:sz="0" w:space="0" w:color="auto"/>
            <w:bottom w:val="none" w:sz="0" w:space="0" w:color="auto"/>
            <w:right w:val="none" w:sz="0" w:space="0" w:color="auto"/>
          </w:divBdr>
        </w:div>
        <w:div w:id="344211933">
          <w:marLeft w:val="0"/>
          <w:marRight w:val="0"/>
          <w:marTop w:val="0"/>
          <w:marBottom w:val="0"/>
          <w:divBdr>
            <w:top w:val="none" w:sz="0" w:space="0" w:color="auto"/>
            <w:left w:val="none" w:sz="0" w:space="0" w:color="auto"/>
            <w:bottom w:val="none" w:sz="0" w:space="0" w:color="auto"/>
            <w:right w:val="none" w:sz="0" w:space="0" w:color="auto"/>
          </w:divBdr>
        </w:div>
        <w:div w:id="359665640">
          <w:marLeft w:val="0"/>
          <w:marRight w:val="0"/>
          <w:marTop w:val="0"/>
          <w:marBottom w:val="0"/>
          <w:divBdr>
            <w:top w:val="none" w:sz="0" w:space="0" w:color="auto"/>
            <w:left w:val="none" w:sz="0" w:space="0" w:color="auto"/>
            <w:bottom w:val="none" w:sz="0" w:space="0" w:color="auto"/>
            <w:right w:val="none" w:sz="0" w:space="0" w:color="auto"/>
          </w:divBdr>
        </w:div>
        <w:div w:id="364870408">
          <w:marLeft w:val="0"/>
          <w:marRight w:val="0"/>
          <w:marTop w:val="0"/>
          <w:marBottom w:val="0"/>
          <w:divBdr>
            <w:top w:val="none" w:sz="0" w:space="0" w:color="auto"/>
            <w:left w:val="none" w:sz="0" w:space="0" w:color="auto"/>
            <w:bottom w:val="none" w:sz="0" w:space="0" w:color="auto"/>
            <w:right w:val="none" w:sz="0" w:space="0" w:color="auto"/>
          </w:divBdr>
        </w:div>
        <w:div w:id="405537148">
          <w:marLeft w:val="0"/>
          <w:marRight w:val="0"/>
          <w:marTop w:val="0"/>
          <w:marBottom w:val="0"/>
          <w:divBdr>
            <w:top w:val="none" w:sz="0" w:space="0" w:color="auto"/>
            <w:left w:val="none" w:sz="0" w:space="0" w:color="auto"/>
            <w:bottom w:val="none" w:sz="0" w:space="0" w:color="auto"/>
            <w:right w:val="none" w:sz="0" w:space="0" w:color="auto"/>
          </w:divBdr>
        </w:div>
        <w:div w:id="416634616">
          <w:marLeft w:val="0"/>
          <w:marRight w:val="0"/>
          <w:marTop w:val="0"/>
          <w:marBottom w:val="0"/>
          <w:divBdr>
            <w:top w:val="none" w:sz="0" w:space="0" w:color="auto"/>
            <w:left w:val="none" w:sz="0" w:space="0" w:color="auto"/>
            <w:bottom w:val="none" w:sz="0" w:space="0" w:color="auto"/>
            <w:right w:val="none" w:sz="0" w:space="0" w:color="auto"/>
          </w:divBdr>
        </w:div>
        <w:div w:id="418794878">
          <w:marLeft w:val="0"/>
          <w:marRight w:val="0"/>
          <w:marTop w:val="0"/>
          <w:marBottom w:val="0"/>
          <w:divBdr>
            <w:top w:val="none" w:sz="0" w:space="0" w:color="auto"/>
            <w:left w:val="none" w:sz="0" w:space="0" w:color="auto"/>
            <w:bottom w:val="none" w:sz="0" w:space="0" w:color="auto"/>
            <w:right w:val="none" w:sz="0" w:space="0" w:color="auto"/>
          </w:divBdr>
        </w:div>
        <w:div w:id="436026071">
          <w:marLeft w:val="0"/>
          <w:marRight w:val="0"/>
          <w:marTop w:val="0"/>
          <w:marBottom w:val="0"/>
          <w:divBdr>
            <w:top w:val="none" w:sz="0" w:space="0" w:color="auto"/>
            <w:left w:val="none" w:sz="0" w:space="0" w:color="auto"/>
            <w:bottom w:val="none" w:sz="0" w:space="0" w:color="auto"/>
            <w:right w:val="none" w:sz="0" w:space="0" w:color="auto"/>
          </w:divBdr>
        </w:div>
        <w:div w:id="437796570">
          <w:marLeft w:val="0"/>
          <w:marRight w:val="0"/>
          <w:marTop w:val="0"/>
          <w:marBottom w:val="0"/>
          <w:divBdr>
            <w:top w:val="none" w:sz="0" w:space="0" w:color="auto"/>
            <w:left w:val="none" w:sz="0" w:space="0" w:color="auto"/>
            <w:bottom w:val="none" w:sz="0" w:space="0" w:color="auto"/>
            <w:right w:val="none" w:sz="0" w:space="0" w:color="auto"/>
          </w:divBdr>
        </w:div>
        <w:div w:id="442848294">
          <w:marLeft w:val="0"/>
          <w:marRight w:val="0"/>
          <w:marTop w:val="0"/>
          <w:marBottom w:val="0"/>
          <w:divBdr>
            <w:top w:val="none" w:sz="0" w:space="0" w:color="auto"/>
            <w:left w:val="none" w:sz="0" w:space="0" w:color="auto"/>
            <w:bottom w:val="none" w:sz="0" w:space="0" w:color="auto"/>
            <w:right w:val="none" w:sz="0" w:space="0" w:color="auto"/>
          </w:divBdr>
        </w:div>
        <w:div w:id="490606211">
          <w:marLeft w:val="0"/>
          <w:marRight w:val="0"/>
          <w:marTop w:val="0"/>
          <w:marBottom w:val="0"/>
          <w:divBdr>
            <w:top w:val="none" w:sz="0" w:space="0" w:color="auto"/>
            <w:left w:val="none" w:sz="0" w:space="0" w:color="auto"/>
            <w:bottom w:val="none" w:sz="0" w:space="0" w:color="auto"/>
            <w:right w:val="none" w:sz="0" w:space="0" w:color="auto"/>
          </w:divBdr>
        </w:div>
        <w:div w:id="494687622">
          <w:marLeft w:val="0"/>
          <w:marRight w:val="0"/>
          <w:marTop w:val="0"/>
          <w:marBottom w:val="0"/>
          <w:divBdr>
            <w:top w:val="none" w:sz="0" w:space="0" w:color="auto"/>
            <w:left w:val="none" w:sz="0" w:space="0" w:color="auto"/>
            <w:bottom w:val="none" w:sz="0" w:space="0" w:color="auto"/>
            <w:right w:val="none" w:sz="0" w:space="0" w:color="auto"/>
          </w:divBdr>
        </w:div>
        <w:div w:id="566456233">
          <w:marLeft w:val="0"/>
          <w:marRight w:val="0"/>
          <w:marTop w:val="0"/>
          <w:marBottom w:val="0"/>
          <w:divBdr>
            <w:top w:val="none" w:sz="0" w:space="0" w:color="auto"/>
            <w:left w:val="none" w:sz="0" w:space="0" w:color="auto"/>
            <w:bottom w:val="none" w:sz="0" w:space="0" w:color="auto"/>
            <w:right w:val="none" w:sz="0" w:space="0" w:color="auto"/>
          </w:divBdr>
        </w:div>
        <w:div w:id="643966432">
          <w:marLeft w:val="0"/>
          <w:marRight w:val="0"/>
          <w:marTop w:val="0"/>
          <w:marBottom w:val="0"/>
          <w:divBdr>
            <w:top w:val="none" w:sz="0" w:space="0" w:color="auto"/>
            <w:left w:val="none" w:sz="0" w:space="0" w:color="auto"/>
            <w:bottom w:val="none" w:sz="0" w:space="0" w:color="auto"/>
            <w:right w:val="none" w:sz="0" w:space="0" w:color="auto"/>
          </w:divBdr>
        </w:div>
        <w:div w:id="643973955">
          <w:marLeft w:val="0"/>
          <w:marRight w:val="0"/>
          <w:marTop w:val="0"/>
          <w:marBottom w:val="0"/>
          <w:divBdr>
            <w:top w:val="none" w:sz="0" w:space="0" w:color="auto"/>
            <w:left w:val="none" w:sz="0" w:space="0" w:color="auto"/>
            <w:bottom w:val="none" w:sz="0" w:space="0" w:color="auto"/>
            <w:right w:val="none" w:sz="0" w:space="0" w:color="auto"/>
          </w:divBdr>
        </w:div>
        <w:div w:id="645086702">
          <w:marLeft w:val="0"/>
          <w:marRight w:val="0"/>
          <w:marTop w:val="0"/>
          <w:marBottom w:val="0"/>
          <w:divBdr>
            <w:top w:val="none" w:sz="0" w:space="0" w:color="auto"/>
            <w:left w:val="none" w:sz="0" w:space="0" w:color="auto"/>
            <w:bottom w:val="none" w:sz="0" w:space="0" w:color="auto"/>
            <w:right w:val="none" w:sz="0" w:space="0" w:color="auto"/>
          </w:divBdr>
        </w:div>
        <w:div w:id="664669340">
          <w:marLeft w:val="0"/>
          <w:marRight w:val="0"/>
          <w:marTop w:val="0"/>
          <w:marBottom w:val="0"/>
          <w:divBdr>
            <w:top w:val="none" w:sz="0" w:space="0" w:color="auto"/>
            <w:left w:val="none" w:sz="0" w:space="0" w:color="auto"/>
            <w:bottom w:val="none" w:sz="0" w:space="0" w:color="auto"/>
            <w:right w:val="none" w:sz="0" w:space="0" w:color="auto"/>
          </w:divBdr>
        </w:div>
        <w:div w:id="671297099">
          <w:marLeft w:val="0"/>
          <w:marRight w:val="0"/>
          <w:marTop w:val="0"/>
          <w:marBottom w:val="0"/>
          <w:divBdr>
            <w:top w:val="none" w:sz="0" w:space="0" w:color="auto"/>
            <w:left w:val="none" w:sz="0" w:space="0" w:color="auto"/>
            <w:bottom w:val="none" w:sz="0" w:space="0" w:color="auto"/>
            <w:right w:val="none" w:sz="0" w:space="0" w:color="auto"/>
          </w:divBdr>
        </w:div>
        <w:div w:id="711925728">
          <w:marLeft w:val="0"/>
          <w:marRight w:val="0"/>
          <w:marTop w:val="0"/>
          <w:marBottom w:val="0"/>
          <w:divBdr>
            <w:top w:val="none" w:sz="0" w:space="0" w:color="auto"/>
            <w:left w:val="none" w:sz="0" w:space="0" w:color="auto"/>
            <w:bottom w:val="none" w:sz="0" w:space="0" w:color="auto"/>
            <w:right w:val="none" w:sz="0" w:space="0" w:color="auto"/>
          </w:divBdr>
        </w:div>
        <w:div w:id="722676684">
          <w:marLeft w:val="0"/>
          <w:marRight w:val="0"/>
          <w:marTop w:val="0"/>
          <w:marBottom w:val="0"/>
          <w:divBdr>
            <w:top w:val="none" w:sz="0" w:space="0" w:color="auto"/>
            <w:left w:val="none" w:sz="0" w:space="0" w:color="auto"/>
            <w:bottom w:val="none" w:sz="0" w:space="0" w:color="auto"/>
            <w:right w:val="none" w:sz="0" w:space="0" w:color="auto"/>
          </w:divBdr>
        </w:div>
        <w:div w:id="728958513">
          <w:marLeft w:val="0"/>
          <w:marRight w:val="0"/>
          <w:marTop w:val="0"/>
          <w:marBottom w:val="0"/>
          <w:divBdr>
            <w:top w:val="none" w:sz="0" w:space="0" w:color="auto"/>
            <w:left w:val="none" w:sz="0" w:space="0" w:color="auto"/>
            <w:bottom w:val="none" w:sz="0" w:space="0" w:color="auto"/>
            <w:right w:val="none" w:sz="0" w:space="0" w:color="auto"/>
          </w:divBdr>
        </w:div>
        <w:div w:id="766921909">
          <w:marLeft w:val="0"/>
          <w:marRight w:val="0"/>
          <w:marTop w:val="0"/>
          <w:marBottom w:val="0"/>
          <w:divBdr>
            <w:top w:val="none" w:sz="0" w:space="0" w:color="auto"/>
            <w:left w:val="none" w:sz="0" w:space="0" w:color="auto"/>
            <w:bottom w:val="none" w:sz="0" w:space="0" w:color="auto"/>
            <w:right w:val="none" w:sz="0" w:space="0" w:color="auto"/>
          </w:divBdr>
        </w:div>
        <w:div w:id="772634474">
          <w:marLeft w:val="0"/>
          <w:marRight w:val="0"/>
          <w:marTop w:val="0"/>
          <w:marBottom w:val="0"/>
          <w:divBdr>
            <w:top w:val="none" w:sz="0" w:space="0" w:color="auto"/>
            <w:left w:val="none" w:sz="0" w:space="0" w:color="auto"/>
            <w:bottom w:val="none" w:sz="0" w:space="0" w:color="auto"/>
            <w:right w:val="none" w:sz="0" w:space="0" w:color="auto"/>
          </w:divBdr>
        </w:div>
        <w:div w:id="781607596">
          <w:marLeft w:val="0"/>
          <w:marRight w:val="0"/>
          <w:marTop w:val="0"/>
          <w:marBottom w:val="0"/>
          <w:divBdr>
            <w:top w:val="none" w:sz="0" w:space="0" w:color="auto"/>
            <w:left w:val="none" w:sz="0" w:space="0" w:color="auto"/>
            <w:bottom w:val="none" w:sz="0" w:space="0" w:color="auto"/>
            <w:right w:val="none" w:sz="0" w:space="0" w:color="auto"/>
          </w:divBdr>
        </w:div>
        <w:div w:id="795685865">
          <w:marLeft w:val="0"/>
          <w:marRight w:val="0"/>
          <w:marTop w:val="0"/>
          <w:marBottom w:val="0"/>
          <w:divBdr>
            <w:top w:val="none" w:sz="0" w:space="0" w:color="auto"/>
            <w:left w:val="none" w:sz="0" w:space="0" w:color="auto"/>
            <w:bottom w:val="none" w:sz="0" w:space="0" w:color="auto"/>
            <w:right w:val="none" w:sz="0" w:space="0" w:color="auto"/>
          </w:divBdr>
        </w:div>
        <w:div w:id="804739487">
          <w:marLeft w:val="0"/>
          <w:marRight w:val="0"/>
          <w:marTop w:val="0"/>
          <w:marBottom w:val="0"/>
          <w:divBdr>
            <w:top w:val="none" w:sz="0" w:space="0" w:color="auto"/>
            <w:left w:val="none" w:sz="0" w:space="0" w:color="auto"/>
            <w:bottom w:val="none" w:sz="0" w:space="0" w:color="auto"/>
            <w:right w:val="none" w:sz="0" w:space="0" w:color="auto"/>
          </w:divBdr>
        </w:div>
        <w:div w:id="814493437">
          <w:marLeft w:val="0"/>
          <w:marRight w:val="0"/>
          <w:marTop w:val="0"/>
          <w:marBottom w:val="0"/>
          <w:divBdr>
            <w:top w:val="none" w:sz="0" w:space="0" w:color="auto"/>
            <w:left w:val="none" w:sz="0" w:space="0" w:color="auto"/>
            <w:bottom w:val="none" w:sz="0" w:space="0" w:color="auto"/>
            <w:right w:val="none" w:sz="0" w:space="0" w:color="auto"/>
          </w:divBdr>
        </w:div>
        <w:div w:id="822695770">
          <w:marLeft w:val="0"/>
          <w:marRight w:val="0"/>
          <w:marTop w:val="0"/>
          <w:marBottom w:val="0"/>
          <w:divBdr>
            <w:top w:val="none" w:sz="0" w:space="0" w:color="auto"/>
            <w:left w:val="none" w:sz="0" w:space="0" w:color="auto"/>
            <w:bottom w:val="none" w:sz="0" w:space="0" w:color="auto"/>
            <w:right w:val="none" w:sz="0" w:space="0" w:color="auto"/>
          </w:divBdr>
        </w:div>
        <w:div w:id="832136574">
          <w:marLeft w:val="0"/>
          <w:marRight w:val="0"/>
          <w:marTop w:val="0"/>
          <w:marBottom w:val="0"/>
          <w:divBdr>
            <w:top w:val="none" w:sz="0" w:space="0" w:color="auto"/>
            <w:left w:val="none" w:sz="0" w:space="0" w:color="auto"/>
            <w:bottom w:val="none" w:sz="0" w:space="0" w:color="auto"/>
            <w:right w:val="none" w:sz="0" w:space="0" w:color="auto"/>
          </w:divBdr>
        </w:div>
        <w:div w:id="837647667">
          <w:marLeft w:val="0"/>
          <w:marRight w:val="0"/>
          <w:marTop w:val="0"/>
          <w:marBottom w:val="0"/>
          <w:divBdr>
            <w:top w:val="none" w:sz="0" w:space="0" w:color="auto"/>
            <w:left w:val="none" w:sz="0" w:space="0" w:color="auto"/>
            <w:bottom w:val="none" w:sz="0" w:space="0" w:color="auto"/>
            <w:right w:val="none" w:sz="0" w:space="0" w:color="auto"/>
          </w:divBdr>
        </w:div>
        <w:div w:id="859902072">
          <w:marLeft w:val="0"/>
          <w:marRight w:val="0"/>
          <w:marTop w:val="0"/>
          <w:marBottom w:val="0"/>
          <w:divBdr>
            <w:top w:val="none" w:sz="0" w:space="0" w:color="auto"/>
            <w:left w:val="none" w:sz="0" w:space="0" w:color="auto"/>
            <w:bottom w:val="none" w:sz="0" w:space="0" w:color="auto"/>
            <w:right w:val="none" w:sz="0" w:space="0" w:color="auto"/>
          </w:divBdr>
        </w:div>
        <w:div w:id="898591236">
          <w:marLeft w:val="0"/>
          <w:marRight w:val="0"/>
          <w:marTop w:val="0"/>
          <w:marBottom w:val="0"/>
          <w:divBdr>
            <w:top w:val="none" w:sz="0" w:space="0" w:color="auto"/>
            <w:left w:val="none" w:sz="0" w:space="0" w:color="auto"/>
            <w:bottom w:val="none" w:sz="0" w:space="0" w:color="auto"/>
            <w:right w:val="none" w:sz="0" w:space="0" w:color="auto"/>
          </w:divBdr>
        </w:div>
        <w:div w:id="898827641">
          <w:marLeft w:val="0"/>
          <w:marRight w:val="0"/>
          <w:marTop w:val="0"/>
          <w:marBottom w:val="0"/>
          <w:divBdr>
            <w:top w:val="none" w:sz="0" w:space="0" w:color="auto"/>
            <w:left w:val="none" w:sz="0" w:space="0" w:color="auto"/>
            <w:bottom w:val="none" w:sz="0" w:space="0" w:color="auto"/>
            <w:right w:val="none" w:sz="0" w:space="0" w:color="auto"/>
          </w:divBdr>
        </w:div>
        <w:div w:id="904492861">
          <w:marLeft w:val="0"/>
          <w:marRight w:val="0"/>
          <w:marTop w:val="0"/>
          <w:marBottom w:val="0"/>
          <w:divBdr>
            <w:top w:val="none" w:sz="0" w:space="0" w:color="auto"/>
            <w:left w:val="none" w:sz="0" w:space="0" w:color="auto"/>
            <w:bottom w:val="none" w:sz="0" w:space="0" w:color="auto"/>
            <w:right w:val="none" w:sz="0" w:space="0" w:color="auto"/>
          </w:divBdr>
        </w:div>
        <w:div w:id="905529885">
          <w:marLeft w:val="0"/>
          <w:marRight w:val="0"/>
          <w:marTop w:val="0"/>
          <w:marBottom w:val="0"/>
          <w:divBdr>
            <w:top w:val="none" w:sz="0" w:space="0" w:color="auto"/>
            <w:left w:val="none" w:sz="0" w:space="0" w:color="auto"/>
            <w:bottom w:val="none" w:sz="0" w:space="0" w:color="auto"/>
            <w:right w:val="none" w:sz="0" w:space="0" w:color="auto"/>
          </w:divBdr>
        </w:div>
        <w:div w:id="906574062">
          <w:marLeft w:val="0"/>
          <w:marRight w:val="0"/>
          <w:marTop w:val="0"/>
          <w:marBottom w:val="0"/>
          <w:divBdr>
            <w:top w:val="none" w:sz="0" w:space="0" w:color="auto"/>
            <w:left w:val="none" w:sz="0" w:space="0" w:color="auto"/>
            <w:bottom w:val="none" w:sz="0" w:space="0" w:color="auto"/>
            <w:right w:val="none" w:sz="0" w:space="0" w:color="auto"/>
          </w:divBdr>
        </w:div>
        <w:div w:id="917053187">
          <w:marLeft w:val="0"/>
          <w:marRight w:val="0"/>
          <w:marTop w:val="0"/>
          <w:marBottom w:val="0"/>
          <w:divBdr>
            <w:top w:val="none" w:sz="0" w:space="0" w:color="auto"/>
            <w:left w:val="none" w:sz="0" w:space="0" w:color="auto"/>
            <w:bottom w:val="none" w:sz="0" w:space="0" w:color="auto"/>
            <w:right w:val="none" w:sz="0" w:space="0" w:color="auto"/>
          </w:divBdr>
        </w:div>
        <w:div w:id="917861540">
          <w:marLeft w:val="0"/>
          <w:marRight w:val="0"/>
          <w:marTop w:val="0"/>
          <w:marBottom w:val="0"/>
          <w:divBdr>
            <w:top w:val="none" w:sz="0" w:space="0" w:color="auto"/>
            <w:left w:val="none" w:sz="0" w:space="0" w:color="auto"/>
            <w:bottom w:val="none" w:sz="0" w:space="0" w:color="auto"/>
            <w:right w:val="none" w:sz="0" w:space="0" w:color="auto"/>
          </w:divBdr>
        </w:div>
        <w:div w:id="933561186">
          <w:marLeft w:val="0"/>
          <w:marRight w:val="0"/>
          <w:marTop w:val="0"/>
          <w:marBottom w:val="0"/>
          <w:divBdr>
            <w:top w:val="none" w:sz="0" w:space="0" w:color="auto"/>
            <w:left w:val="none" w:sz="0" w:space="0" w:color="auto"/>
            <w:bottom w:val="none" w:sz="0" w:space="0" w:color="auto"/>
            <w:right w:val="none" w:sz="0" w:space="0" w:color="auto"/>
          </w:divBdr>
        </w:div>
        <w:div w:id="944002737">
          <w:marLeft w:val="0"/>
          <w:marRight w:val="0"/>
          <w:marTop w:val="0"/>
          <w:marBottom w:val="0"/>
          <w:divBdr>
            <w:top w:val="none" w:sz="0" w:space="0" w:color="auto"/>
            <w:left w:val="none" w:sz="0" w:space="0" w:color="auto"/>
            <w:bottom w:val="none" w:sz="0" w:space="0" w:color="auto"/>
            <w:right w:val="none" w:sz="0" w:space="0" w:color="auto"/>
          </w:divBdr>
        </w:div>
        <w:div w:id="973365344">
          <w:marLeft w:val="0"/>
          <w:marRight w:val="0"/>
          <w:marTop w:val="0"/>
          <w:marBottom w:val="0"/>
          <w:divBdr>
            <w:top w:val="none" w:sz="0" w:space="0" w:color="auto"/>
            <w:left w:val="none" w:sz="0" w:space="0" w:color="auto"/>
            <w:bottom w:val="none" w:sz="0" w:space="0" w:color="auto"/>
            <w:right w:val="none" w:sz="0" w:space="0" w:color="auto"/>
          </w:divBdr>
        </w:div>
        <w:div w:id="976835871">
          <w:marLeft w:val="0"/>
          <w:marRight w:val="0"/>
          <w:marTop w:val="0"/>
          <w:marBottom w:val="0"/>
          <w:divBdr>
            <w:top w:val="none" w:sz="0" w:space="0" w:color="auto"/>
            <w:left w:val="none" w:sz="0" w:space="0" w:color="auto"/>
            <w:bottom w:val="none" w:sz="0" w:space="0" w:color="auto"/>
            <w:right w:val="none" w:sz="0" w:space="0" w:color="auto"/>
          </w:divBdr>
        </w:div>
        <w:div w:id="987052328">
          <w:marLeft w:val="0"/>
          <w:marRight w:val="0"/>
          <w:marTop w:val="0"/>
          <w:marBottom w:val="0"/>
          <w:divBdr>
            <w:top w:val="none" w:sz="0" w:space="0" w:color="auto"/>
            <w:left w:val="none" w:sz="0" w:space="0" w:color="auto"/>
            <w:bottom w:val="none" w:sz="0" w:space="0" w:color="auto"/>
            <w:right w:val="none" w:sz="0" w:space="0" w:color="auto"/>
          </w:divBdr>
        </w:div>
        <w:div w:id="995769521">
          <w:marLeft w:val="0"/>
          <w:marRight w:val="0"/>
          <w:marTop w:val="0"/>
          <w:marBottom w:val="0"/>
          <w:divBdr>
            <w:top w:val="none" w:sz="0" w:space="0" w:color="auto"/>
            <w:left w:val="none" w:sz="0" w:space="0" w:color="auto"/>
            <w:bottom w:val="none" w:sz="0" w:space="0" w:color="auto"/>
            <w:right w:val="none" w:sz="0" w:space="0" w:color="auto"/>
          </w:divBdr>
        </w:div>
        <w:div w:id="1005278392">
          <w:marLeft w:val="0"/>
          <w:marRight w:val="0"/>
          <w:marTop w:val="0"/>
          <w:marBottom w:val="0"/>
          <w:divBdr>
            <w:top w:val="none" w:sz="0" w:space="0" w:color="auto"/>
            <w:left w:val="none" w:sz="0" w:space="0" w:color="auto"/>
            <w:bottom w:val="none" w:sz="0" w:space="0" w:color="auto"/>
            <w:right w:val="none" w:sz="0" w:space="0" w:color="auto"/>
          </w:divBdr>
        </w:div>
        <w:div w:id="1009797510">
          <w:marLeft w:val="0"/>
          <w:marRight w:val="0"/>
          <w:marTop w:val="0"/>
          <w:marBottom w:val="0"/>
          <w:divBdr>
            <w:top w:val="none" w:sz="0" w:space="0" w:color="auto"/>
            <w:left w:val="none" w:sz="0" w:space="0" w:color="auto"/>
            <w:bottom w:val="none" w:sz="0" w:space="0" w:color="auto"/>
            <w:right w:val="none" w:sz="0" w:space="0" w:color="auto"/>
          </w:divBdr>
        </w:div>
        <w:div w:id="1017074891">
          <w:marLeft w:val="0"/>
          <w:marRight w:val="0"/>
          <w:marTop w:val="0"/>
          <w:marBottom w:val="0"/>
          <w:divBdr>
            <w:top w:val="none" w:sz="0" w:space="0" w:color="auto"/>
            <w:left w:val="none" w:sz="0" w:space="0" w:color="auto"/>
            <w:bottom w:val="none" w:sz="0" w:space="0" w:color="auto"/>
            <w:right w:val="none" w:sz="0" w:space="0" w:color="auto"/>
          </w:divBdr>
        </w:div>
        <w:div w:id="1029838004">
          <w:marLeft w:val="0"/>
          <w:marRight w:val="0"/>
          <w:marTop w:val="0"/>
          <w:marBottom w:val="0"/>
          <w:divBdr>
            <w:top w:val="none" w:sz="0" w:space="0" w:color="auto"/>
            <w:left w:val="none" w:sz="0" w:space="0" w:color="auto"/>
            <w:bottom w:val="none" w:sz="0" w:space="0" w:color="auto"/>
            <w:right w:val="none" w:sz="0" w:space="0" w:color="auto"/>
          </w:divBdr>
        </w:div>
        <w:div w:id="1053963087">
          <w:marLeft w:val="0"/>
          <w:marRight w:val="0"/>
          <w:marTop w:val="0"/>
          <w:marBottom w:val="0"/>
          <w:divBdr>
            <w:top w:val="none" w:sz="0" w:space="0" w:color="auto"/>
            <w:left w:val="none" w:sz="0" w:space="0" w:color="auto"/>
            <w:bottom w:val="none" w:sz="0" w:space="0" w:color="auto"/>
            <w:right w:val="none" w:sz="0" w:space="0" w:color="auto"/>
          </w:divBdr>
        </w:div>
        <w:div w:id="1054625143">
          <w:marLeft w:val="0"/>
          <w:marRight w:val="0"/>
          <w:marTop w:val="0"/>
          <w:marBottom w:val="0"/>
          <w:divBdr>
            <w:top w:val="none" w:sz="0" w:space="0" w:color="auto"/>
            <w:left w:val="none" w:sz="0" w:space="0" w:color="auto"/>
            <w:bottom w:val="none" w:sz="0" w:space="0" w:color="auto"/>
            <w:right w:val="none" w:sz="0" w:space="0" w:color="auto"/>
          </w:divBdr>
        </w:div>
        <w:div w:id="1055665883">
          <w:marLeft w:val="0"/>
          <w:marRight w:val="0"/>
          <w:marTop w:val="0"/>
          <w:marBottom w:val="0"/>
          <w:divBdr>
            <w:top w:val="none" w:sz="0" w:space="0" w:color="auto"/>
            <w:left w:val="none" w:sz="0" w:space="0" w:color="auto"/>
            <w:bottom w:val="none" w:sz="0" w:space="0" w:color="auto"/>
            <w:right w:val="none" w:sz="0" w:space="0" w:color="auto"/>
          </w:divBdr>
        </w:div>
        <w:div w:id="1061445943">
          <w:marLeft w:val="0"/>
          <w:marRight w:val="0"/>
          <w:marTop w:val="0"/>
          <w:marBottom w:val="0"/>
          <w:divBdr>
            <w:top w:val="none" w:sz="0" w:space="0" w:color="auto"/>
            <w:left w:val="none" w:sz="0" w:space="0" w:color="auto"/>
            <w:bottom w:val="none" w:sz="0" w:space="0" w:color="auto"/>
            <w:right w:val="none" w:sz="0" w:space="0" w:color="auto"/>
          </w:divBdr>
        </w:div>
        <w:div w:id="1067416498">
          <w:marLeft w:val="0"/>
          <w:marRight w:val="0"/>
          <w:marTop w:val="0"/>
          <w:marBottom w:val="0"/>
          <w:divBdr>
            <w:top w:val="none" w:sz="0" w:space="0" w:color="auto"/>
            <w:left w:val="none" w:sz="0" w:space="0" w:color="auto"/>
            <w:bottom w:val="none" w:sz="0" w:space="0" w:color="auto"/>
            <w:right w:val="none" w:sz="0" w:space="0" w:color="auto"/>
          </w:divBdr>
        </w:div>
        <w:div w:id="1068459897">
          <w:marLeft w:val="0"/>
          <w:marRight w:val="0"/>
          <w:marTop w:val="0"/>
          <w:marBottom w:val="0"/>
          <w:divBdr>
            <w:top w:val="none" w:sz="0" w:space="0" w:color="auto"/>
            <w:left w:val="none" w:sz="0" w:space="0" w:color="auto"/>
            <w:bottom w:val="none" w:sz="0" w:space="0" w:color="auto"/>
            <w:right w:val="none" w:sz="0" w:space="0" w:color="auto"/>
          </w:divBdr>
        </w:div>
        <w:div w:id="1096292725">
          <w:marLeft w:val="0"/>
          <w:marRight w:val="0"/>
          <w:marTop w:val="0"/>
          <w:marBottom w:val="0"/>
          <w:divBdr>
            <w:top w:val="none" w:sz="0" w:space="0" w:color="auto"/>
            <w:left w:val="none" w:sz="0" w:space="0" w:color="auto"/>
            <w:bottom w:val="none" w:sz="0" w:space="0" w:color="auto"/>
            <w:right w:val="none" w:sz="0" w:space="0" w:color="auto"/>
          </w:divBdr>
        </w:div>
        <w:div w:id="1100299776">
          <w:marLeft w:val="0"/>
          <w:marRight w:val="0"/>
          <w:marTop w:val="0"/>
          <w:marBottom w:val="0"/>
          <w:divBdr>
            <w:top w:val="none" w:sz="0" w:space="0" w:color="auto"/>
            <w:left w:val="none" w:sz="0" w:space="0" w:color="auto"/>
            <w:bottom w:val="none" w:sz="0" w:space="0" w:color="auto"/>
            <w:right w:val="none" w:sz="0" w:space="0" w:color="auto"/>
          </w:divBdr>
        </w:div>
        <w:div w:id="1111321999">
          <w:marLeft w:val="0"/>
          <w:marRight w:val="0"/>
          <w:marTop w:val="0"/>
          <w:marBottom w:val="0"/>
          <w:divBdr>
            <w:top w:val="none" w:sz="0" w:space="0" w:color="auto"/>
            <w:left w:val="none" w:sz="0" w:space="0" w:color="auto"/>
            <w:bottom w:val="none" w:sz="0" w:space="0" w:color="auto"/>
            <w:right w:val="none" w:sz="0" w:space="0" w:color="auto"/>
          </w:divBdr>
        </w:div>
        <w:div w:id="1129130854">
          <w:marLeft w:val="0"/>
          <w:marRight w:val="0"/>
          <w:marTop w:val="0"/>
          <w:marBottom w:val="0"/>
          <w:divBdr>
            <w:top w:val="none" w:sz="0" w:space="0" w:color="auto"/>
            <w:left w:val="none" w:sz="0" w:space="0" w:color="auto"/>
            <w:bottom w:val="none" w:sz="0" w:space="0" w:color="auto"/>
            <w:right w:val="none" w:sz="0" w:space="0" w:color="auto"/>
          </w:divBdr>
        </w:div>
        <w:div w:id="1136410837">
          <w:marLeft w:val="0"/>
          <w:marRight w:val="0"/>
          <w:marTop w:val="0"/>
          <w:marBottom w:val="0"/>
          <w:divBdr>
            <w:top w:val="none" w:sz="0" w:space="0" w:color="auto"/>
            <w:left w:val="none" w:sz="0" w:space="0" w:color="auto"/>
            <w:bottom w:val="none" w:sz="0" w:space="0" w:color="auto"/>
            <w:right w:val="none" w:sz="0" w:space="0" w:color="auto"/>
          </w:divBdr>
        </w:div>
        <w:div w:id="1146125170">
          <w:marLeft w:val="0"/>
          <w:marRight w:val="0"/>
          <w:marTop w:val="0"/>
          <w:marBottom w:val="0"/>
          <w:divBdr>
            <w:top w:val="none" w:sz="0" w:space="0" w:color="auto"/>
            <w:left w:val="none" w:sz="0" w:space="0" w:color="auto"/>
            <w:bottom w:val="none" w:sz="0" w:space="0" w:color="auto"/>
            <w:right w:val="none" w:sz="0" w:space="0" w:color="auto"/>
          </w:divBdr>
        </w:div>
        <w:div w:id="1160851149">
          <w:marLeft w:val="0"/>
          <w:marRight w:val="0"/>
          <w:marTop w:val="0"/>
          <w:marBottom w:val="0"/>
          <w:divBdr>
            <w:top w:val="none" w:sz="0" w:space="0" w:color="auto"/>
            <w:left w:val="none" w:sz="0" w:space="0" w:color="auto"/>
            <w:bottom w:val="none" w:sz="0" w:space="0" w:color="auto"/>
            <w:right w:val="none" w:sz="0" w:space="0" w:color="auto"/>
          </w:divBdr>
        </w:div>
        <w:div w:id="1163665873">
          <w:marLeft w:val="0"/>
          <w:marRight w:val="0"/>
          <w:marTop w:val="0"/>
          <w:marBottom w:val="0"/>
          <w:divBdr>
            <w:top w:val="none" w:sz="0" w:space="0" w:color="auto"/>
            <w:left w:val="none" w:sz="0" w:space="0" w:color="auto"/>
            <w:bottom w:val="none" w:sz="0" w:space="0" w:color="auto"/>
            <w:right w:val="none" w:sz="0" w:space="0" w:color="auto"/>
          </w:divBdr>
        </w:div>
        <w:div w:id="1169321514">
          <w:marLeft w:val="0"/>
          <w:marRight w:val="0"/>
          <w:marTop w:val="0"/>
          <w:marBottom w:val="0"/>
          <w:divBdr>
            <w:top w:val="none" w:sz="0" w:space="0" w:color="auto"/>
            <w:left w:val="none" w:sz="0" w:space="0" w:color="auto"/>
            <w:bottom w:val="none" w:sz="0" w:space="0" w:color="auto"/>
            <w:right w:val="none" w:sz="0" w:space="0" w:color="auto"/>
          </w:divBdr>
        </w:div>
        <w:div w:id="1183935825">
          <w:marLeft w:val="0"/>
          <w:marRight w:val="0"/>
          <w:marTop w:val="0"/>
          <w:marBottom w:val="0"/>
          <w:divBdr>
            <w:top w:val="none" w:sz="0" w:space="0" w:color="auto"/>
            <w:left w:val="none" w:sz="0" w:space="0" w:color="auto"/>
            <w:bottom w:val="none" w:sz="0" w:space="0" w:color="auto"/>
            <w:right w:val="none" w:sz="0" w:space="0" w:color="auto"/>
          </w:divBdr>
        </w:div>
        <w:div w:id="1194537742">
          <w:marLeft w:val="0"/>
          <w:marRight w:val="0"/>
          <w:marTop w:val="0"/>
          <w:marBottom w:val="0"/>
          <w:divBdr>
            <w:top w:val="none" w:sz="0" w:space="0" w:color="auto"/>
            <w:left w:val="none" w:sz="0" w:space="0" w:color="auto"/>
            <w:bottom w:val="none" w:sz="0" w:space="0" w:color="auto"/>
            <w:right w:val="none" w:sz="0" w:space="0" w:color="auto"/>
          </w:divBdr>
        </w:div>
        <w:div w:id="1198355376">
          <w:marLeft w:val="0"/>
          <w:marRight w:val="0"/>
          <w:marTop w:val="0"/>
          <w:marBottom w:val="0"/>
          <w:divBdr>
            <w:top w:val="none" w:sz="0" w:space="0" w:color="auto"/>
            <w:left w:val="none" w:sz="0" w:space="0" w:color="auto"/>
            <w:bottom w:val="none" w:sz="0" w:space="0" w:color="auto"/>
            <w:right w:val="none" w:sz="0" w:space="0" w:color="auto"/>
          </w:divBdr>
        </w:div>
        <w:div w:id="1214776437">
          <w:marLeft w:val="0"/>
          <w:marRight w:val="0"/>
          <w:marTop w:val="0"/>
          <w:marBottom w:val="0"/>
          <w:divBdr>
            <w:top w:val="none" w:sz="0" w:space="0" w:color="auto"/>
            <w:left w:val="none" w:sz="0" w:space="0" w:color="auto"/>
            <w:bottom w:val="none" w:sz="0" w:space="0" w:color="auto"/>
            <w:right w:val="none" w:sz="0" w:space="0" w:color="auto"/>
          </w:divBdr>
        </w:div>
        <w:div w:id="1215506311">
          <w:marLeft w:val="0"/>
          <w:marRight w:val="0"/>
          <w:marTop w:val="0"/>
          <w:marBottom w:val="0"/>
          <w:divBdr>
            <w:top w:val="none" w:sz="0" w:space="0" w:color="auto"/>
            <w:left w:val="none" w:sz="0" w:space="0" w:color="auto"/>
            <w:bottom w:val="none" w:sz="0" w:space="0" w:color="auto"/>
            <w:right w:val="none" w:sz="0" w:space="0" w:color="auto"/>
          </w:divBdr>
        </w:div>
        <w:div w:id="1218976705">
          <w:marLeft w:val="0"/>
          <w:marRight w:val="0"/>
          <w:marTop w:val="0"/>
          <w:marBottom w:val="0"/>
          <w:divBdr>
            <w:top w:val="none" w:sz="0" w:space="0" w:color="auto"/>
            <w:left w:val="none" w:sz="0" w:space="0" w:color="auto"/>
            <w:bottom w:val="none" w:sz="0" w:space="0" w:color="auto"/>
            <w:right w:val="none" w:sz="0" w:space="0" w:color="auto"/>
          </w:divBdr>
        </w:div>
        <w:div w:id="1220088411">
          <w:marLeft w:val="0"/>
          <w:marRight w:val="0"/>
          <w:marTop w:val="0"/>
          <w:marBottom w:val="0"/>
          <w:divBdr>
            <w:top w:val="none" w:sz="0" w:space="0" w:color="auto"/>
            <w:left w:val="none" w:sz="0" w:space="0" w:color="auto"/>
            <w:bottom w:val="none" w:sz="0" w:space="0" w:color="auto"/>
            <w:right w:val="none" w:sz="0" w:space="0" w:color="auto"/>
          </w:divBdr>
        </w:div>
        <w:div w:id="1238782147">
          <w:marLeft w:val="0"/>
          <w:marRight w:val="0"/>
          <w:marTop w:val="0"/>
          <w:marBottom w:val="0"/>
          <w:divBdr>
            <w:top w:val="none" w:sz="0" w:space="0" w:color="auto"/>
            <w:left w:val="none" w:sz="0" w:space="0" w:color="auto"/>
            <w:bottom w:val="none" w:sz="0" w:space="0" w:color="auto"/>
            <w:right w:val="none" w:sz="0" w:space="0" w:color="auto"/>
          </w:divBdr>
        </w:div>
        <w:div w:id="1248154659">
          <w:marLeft w:val="0"/>
          <w:marRight w:val="0"/>
          <w:marTop w:val="0"/>
          <w:marBottom w:val="0"/>
          <w:divBdr>
            <w:top w:val="none" w:sz="0" w:space="0" w:color="auto"/>
            <w:left w:val="none" w:sz="0" w:space="0" w:color="auto"/>
            <w:bottom w:val="none" w:sz="0" w:space="0" w:color="auto"/>
            <w:right w:val="none" w:sz="0" w:space="0" w:color="auto"/>
          </w:divBdr>
        </w:div>
        <w:div w:id="1250577106">
          <w:marLeft w:val="0"/>
          <w:marRight w:val="0"/>
          <w:marTop w:val="0"/>
          <w:marBottom w:val="0"/>
          <w:divBdr>
            <w:top w:val="none" w:sz="0" w:space="0" w:color="auto"/>
            <w:left w:val="none" w:sz="0" w:space="0" w:color="auto"/>
            <w:bottom w:val="none" w:sz="0" w:space="0" w:color="auto"/>
            <w:right w:val="none" w:sz="0" w:space="0" w:color="auto"/>
          </w:divBdr>
        </w:div>
        <w:div w:id="1268153733">
          <w:marLeft w:val="0"/>
          <w:marRight w:val="0"/>
          <w:marTop w:val="0"/>
          <w:marBottom w:val="0"/>
          <w:divBdr>
            <w:top w:val="none" w:sz="0" w:space="0" w:color="auto"/>
            <w:left w:val="none" w:sz="0" w:space="0" w:color="auto"/>
            <w:bottom w:val="none" w:sz="0" w:space="0" w:color="auto"/>
            <w:right w:val="none" w:sz="0" w:space="0" w:color="auto"/>
          </w:divBdr>
        </w:div>
        <w:div w:id="1304702729">
          <w:marLeft w:val="0"/>
          <w:marRight w:val="0"/>
          <w:marTop w:val="0"/>
          <w:marBottom w:val="0"/>
          <w:divBdr>
            <w:top w:val="none" w:sz="0" w:space="0" w:color="auto"/>
            <w:left w:val="none" w:sz="0" w:space="0" w:color="auto"/>
            <w:bottom w:val="none" w:sz="0" w:space="0" w:color="auto"/>
            <w:right w:val="none" w:sz="0" w:space="0" w:color="auto"/>
          </w:divBdr>
        </w:div>
        <w:div w:id="1305543039">
          <w:marLeft w:val="0"/>
          <w:marRight w:val="0"/>
          <w:marTop w:val="0"/>
          <w:marBottom w:val="0"/>
          <w:divBdr>
            <w:top w:val="none" w:sz="0" w:space="0" w:color="auto"/>
            <w:left w:val="none" w:sz="0" w:space="0" w:color="auto"/>
            <w:bottom w:val="none" w:sz="0" w:space="0" w:color="auto"/>
            <w:right w:val="none" w:sz="0" w:space="0" w:color="auto"/>
          </w:divBdr>
        </w:div>
        <w:div w:id="1310596821">
          <w:marLeft w:val="0"/>
          <w:marRight w:val="0"/>
          <w:marTop w:val="0"/>
          <w:marBottom w:val="0"/>
          <w:divBdr>
            <w:top w:val="none" w:sz="0" w:space="0" w:color="auto"/>
            <w:left w:val="none" w:sz="0" w:space="0" w:color="auto"/>
            <w:bottom w:val="none" w:sz="0" w:space="0" w:color="auto"/>
            <w:right w:val="none" w:sz="0" w:space="0" w:color="auto"/>
          </w:divBdr>
        </w:div>
        <w:div w:id="1320959813">
          <w:marLeft w:val="0"/>
          <w:marRight w:val="0"/>
          <w:marTop w:val="0"/>
          <w:marBottom w:val="0"/>
          <w:divBdr>
            <w:top w:val="none" w:sz="0" w:space="0" w:color="auto"/>
            <w:left w:val="none" w:sz="0" w:space="0" w:color="auto"/>
            <w:bottom w:val="none" w:sz="0" w:space="0" w:color="auto"/>
            <w:right w:val="none" w:sz="0" w:space="0" w:color="auto"/>
          </w:divBdr>
        </w:div>
        <w:div w:id="1326661504">
          <w:marLeft w:val="0"/>
          <w:marRight w:val="0"/>
          <w:marTop w:val="0"/>
          <w:marBottom w:val="0"/>
          <w:divBdr>
            <w:top w:val="none" w:sz="0" w:space="0" w:color="auto"/>
            <w:left w:val="none" w:sz="0" w:space="0" w:color="auto"/>
            <w:bottom w:val="none" w:sz="0" w:space="0" w:color="auto"/>
            <w:right w:val="none" w:sz="0" w:space="0" w:color="auto"/>
          </w:divBdr>
        </w:div>
        <w:div w:id="1335454423">
          <w:marLeft w:val="0"/>
          <w:marRight w:val="0"/>
          <w:marTop w:val="0"/>
          <w:marBottom w:val="0"/>
          <w:divBdr>
            <w:top w:val="none" w:sz="0" w:space="0" w:color="auto"/>
            <w:left w:val="none" w:sz="0" w:space="0" w:color="auto"/>
            <w:bottom w:val="none" w:sz="0" w:space="0" w:color="auto"/>
            <w:right w:val="none" w:sz="0" w:space="0" w:color="auto"/>
          </w:divBdr>
        </w:div>
        <w:div w:id="1343630569">
          <w:marLeft w:val="0"/>
          <w:marRight w:val="0"/>
          <w:marTop w:val="0"/>
          <w:marBottom w:val="0"/>
          <w:divBdr>
            <w:top w:val="none" w:sz="0" w:space="0" w:color="auto"/>
            <w:left w:val="none" w:sz="0" w:space="0" w:color="auto"/>
            <w:bottom w:val="none" w:sz="0" w:space="0" w:color="auto"/>
            <w:right w:val="none" w:sz="0" w:space="0" w:color="auto"/>
          </w:divBdr>
        </w:div>
        <w:div w:id="1344012677">
          <w:marLeft w:val="0"/>
          <w:marRight w:val="0"/>
          <w:marTop w:val="0"/>
          <w:marBottom w:val="0"/>
          <w:divBdr>
            <w:top w:val="none" w:sz="0" w:space="0" w:color="auto"/>
            <w:left w:val="none" w:sz="0" w:space="0" w:color="auto"/>
            <w:bottom w:val="none" w:sz="0" w:space="0" w:color="auto"/>
            <w:right w:val="none" w:sz="0" w:space="0" w:color="auto"/>
          </w:divBdr>
        </w:div>
        <w:div w:id="1349984901">
          <w:marLeft w:val="0"/>
          <w:marRight w:val="0"/>
          <w:marTop w:val="0"/>
          <w:marBottom w:val="0"/>
          <w:divBdr>
            <w:top w:val="none" w:sz="0" w:space="0" w:color="auto"/>
            <w:left w:val="none" w:sz="0" w:space="0" w:color="auto"/>
            <w:bottom w:val="none" w:sz="0" w:space="0" w:color="auto"/>
            <w:right w:val="none" w:sz="0" w:space="0" w:color="auto"/>
          </w:divBdr>
        </w:div>
        <w:div w:id="1363941216">
          <w:marLeft w:val="0"/>
          <w:marRight w:val="0"/>
          <w:marTop w:val="0"/>
          <w:marBottom w:val="0"/>
          <w:divBdr>
            <w:top w:val="none" w:sz="0" w:space="0" w:color="auto"/>
            <w:left w:val="none" w:sz="0" w:space="0" w:color="auto"/>
            <w:bottom w:val="none" w:sz="0" w:space="0" w:color="auto"/>
            <w:right w:val="none" w:sz="0" w:space="0" w:color="auto"/>
          </w:divBdr>
        </w:div>
        <w:div w:id="1384409561">
          <w:marLeft w:val="0"/>
          <w:marRight w:val="0"/>
          <w:marTop w:val="0"/>
          <w:marBottom w:val="0"/>
          <w:divBdr>
            <w:top w:val="none" w:sz="0" w:space="0" w:color="auto"/>
            <w:left w:val="none" w:sz="0" w:space="0" w:color="auto"/>
            <w:bottom w:val="none" w:sz="0" w:space="0" w:color="auto"/>
            <w:right w:val="none" w:sz="0" w:space="0" w:color="auto"/>
          </w:divBdr>
        </w:div>
        <w:div w:id="1395396379">
          <w:marLeft w:val="0"/>
          <w:marRight w:val="0"/>
          <w:marTop w:val="0"/>
          <w:marBottom w:val="0"/>
          <w:divBdr>
            <w:top w:val="none" w:sz="0" w:space="0" w:color="auto"/>
            <w:left w:val="none" w:sz="0" w:space="0" w:color="auto"/>
            <w:bottom w:val="none" w:sz="0" w:space="0" w:color="auto"/>
            <w:right w:val="none" w:sz="0" w:space="0" w:color="auto"/>
          </w:divBdr>
        </w:div>
        <w:div w:id="1396857782">
          <w:marLeft w:val="0"/>
          <w:marRight w:val="0"/>
          <w:marTop w:val="0"/>
          <w:marBottom w:val="0"/>
          <w:divBdr>
            <w:top w:val="none" w:sz="0" w:space="0" w:color="auto"/>
            <w:left w:val="none" w:sz="0" w:space="0" w:color="auto"/>
            <w:bottom w:val="none" w:sz="0" w:space="0" w:color="auto"/>
            <w:right w:val="none" w:sz="0" w:space="0" w:color="auto"/>
          </w:divBdr>
        </w:div>
        <w:div w:id="1404795293">
          <w:marLeft w:val="0"/>
          <w:marRight w:val="0"/>
          <w:marTop w:val="0"/>
          <w:marBottom w:val="0"/>
          <w:divBdr>
            <w:top w:val="none" w:sz="0" w:space="0" w:color="auto"/>
            <w:left w:val="none" w:sz="0" w:space="0" w:color="auto"/>
            <w:bottom w:val="none" w:sz="0" w:space="0" w:color="auto"/>
            <w:right w:val="none" w:sz="0" w:space="0" w:color="auto"/>
          </w:divBdr>
        </w:div>
        <w:div w:id="1405713738">
          <w:marLeft w:val="0"/>
          <w:marRight w:val="0"/>
          <w:marTop w:val="0"/>
          <w:marBottom w:val="0"/>
          <w:divBdr>
            <w:top w:val="none" w:sz="0" w:space="0" w:color="auto"/>
            <w:left w:val="none" w:sz="0" w:space="0" w:color="auto"/>
            <w:bottom w:val="none" w:sz="0" w:space="0" w:color="auto"/>
            <w:right w:val="none" w:sz="0" w:space="0" w:color="auto"/>
          </w:divBdr>
        </w:div>
        <w:div w:id="1437552904">
          <w:marLeft w:val="0"/>
          <w:marRight w:val="0"/>
          <w:marTop w:val="0"/>
          <w:marBottom w:val="0"/>
          <w:divBdr>
            <w:top w:val="none" w:sz="0" w:space="0" w:color="auto"/>
            <w:left w:val="none" w:sz="0" w:space="0" w:color="auto"/>
            <w:bottom w:val="none" w:sz="0" w:space="0" w:color="auto"/>
            <w:right w:val="none" w:sz="0" w:space="0" w:color="auto"/>
          </w:divBdr>
        </w:div>
        <w:div w:id="1452939130">
          <w:marLeft w:val="0"/>
          <w:marRight w:val="0"/>
          <w:marTop w:val="0"/>
          <w:marBottom w:val="0"/>
          <w:divBdr>
            <w:top w:val="none" w:sz="0" w:space="0" w:color="auto"/>
            <w:left w:val="none" w:sz="0" w:space="0" w:color="auto"/>
            <w:bottom w:val="none" w:sz="0" w:space="0" w:color="auto"/>
            <w:right w:val="none" w:sz="0" w:space="0" w:color="auto"/>
          </w:divBdr>
        </w:div>
        <w:div w:id="1478061640">
          <w:marLeft w:val="0"/>
          <w:marRight w:val="0"/>
          <w:marTop w:val="0"/>
          <w:marBottom w:val="0"/>
          <w:divBdr>
            <w:top w:val="none" w:sz="0" w:space="0" w:color="auto"/>
            <w:left w:val="none" w:sz="0" w:space="0" w:color="auto"/>
            <w:bottom w:val="none" w:sz="0" w:space="0" w:color="auto"/>
            <w:right w:val="none" w:sz="0" w:space="0" w:color="auto"/>
          </w:divBdr>
        </w:div>
        <w:div w:id="1479959197">
          <w:marLeft w:val="0"/>
          <w:marRight w:val="0"/>
          <w:marTop w:val="0"/>
          <w:marBottom w:val="0"/>
          <w:divBdr>
            <w:top w:val="none" w:sz="0" w:space="0" w:color="auto"/>
            <w:left w:val="none" w:sz="0" w:space="0" w:color="auto"/>
            <w:bottom w:val="none" w:sz="0" w:space="0" w:color="auto"/>
            <w:right w:val="none" w:sz="0" w:space="0" w:color="auto"/>
          </w:divBdr>
        </w:div>
        <w:div w:id="1484152169">
          <w:marLeft w:val="0"/>
          <w:marRight w:val="0"/>
          <w:marTop w:val="0"/>
          <w:marBottom w:val="0"/>
          <w:divBdr>
            <w:top w:val="none" w:sz="0" w:space="0" w:color="auto"/>
            <w:left w:val="none" w:sz="0" w:space="0" w:color="auto"/>
            <w:bottom w:val="none" w:sz="0" w:space="0" w:color="auto"/>
            <w:right w:val="none" w:sz="0" w:space="0" w:color="auto"/>
          </w:divBdr>
        </w:div>
        <w:div w:id="1509442780">
          <w:marLeft w:val="0"/>
          <w:marRight w:val="0"/>
          <w:marTop w:val="0"/>
          <w:marBottom w:val="0"/>
          <w:divBdr>
            <w:top w:val="none" w:sz="0" w:space="0" w:color="auto"/>
            <w:left w:val="none" w:sz="0" w:space="0" w:color="auto"/>
            <w:bottom w:val="none" w:sz="0" w:space="0" w:color="auto"/>
            <w:right w:val="none" w:sz="0" w:space="0" w:color="auto"/>
          </w:divBdr>
        </w:div>
        <w:div w:id="1516647961">
          <w:marLeft w:val="0"/>
          <w:marRight w:val="0"/>
          <w:marTop w:val="0"/>
          <w:marBottom w:val="0"/>
          <w:divBdr>
            <w:top w:val="none" w:sz="0" w:space="0" w:color="auto"/>
            <w:left w:val="none" w:sz="0" w:space="0" w:color="auto"/>
            <w:bottom w:val="none" w:sz="0" w:space="0" w:color="auto"/>
            <w:right w:val="none" w:sz="0" w:space="0" w:color="auto"/>
          </w:divBdr>
        </w:div>
        <w:div w:id="1532912301">
          <w:marLeft w:val="0"/>
          <w:marRight w:val="0"/>
          <w:marTop w:val="0"/>
          <w:marBottom w:val="0"/>
          <w:divBdr>
            <w:top w:val="none" w:sz="0" w:space="0" w:color="auto"/>
            <w:left w:val="none" w:sz="0" w:space="0" w:color="auto"/>
            <w:bottom w:val="none" w:sz="0" w:space="0" w:color="auto"/>
            <w:right w:val="none" w:sz="0" w:space="0" w:color="auto"/>
          </w:divBdr>
        </w:div>
        <w:div w:id="1541481202">
          <w:marLeft w:val="0"/>
          <w:marRight w:val="0"/>
          <w:marTop w:val="0"/>
          <w:marBottom w:val="0"/>
          <w:divBdr>
            <w:top w:val="none" w:sz="0" w:space="0" w:color="auto"/>
            <w:left w:val="none" w:sz="0" w:space="0" w:color="auto"/>
            <w:bottom w:val="none" w:sz="0" w:space="0" w:color="auto"/>
            <w:right w:val="none" w:sz="0" w:space="0" w:color="auto"/>
          </w:divBdr>
        </w:div>
        <w:div w:id="1559242397">
          <w:marLeft w:val="0"/>
          <w:marRight w:val="0"/>
          <w:marTop w:val="0"/>
          <w:marBottom w:val="0"/>
          <w:divBdr>
            <w:top w:val="none" w:sz="0" w:space="0" w:color="auto"/>
            <w:left w:val="none" w:sz="0" w:space="0" w:color="auto"/>
            <w:bottom w:val="none" w:sz="0" w:space="0" w:color="auto"/>
            <w:right w:val="none" w:sz="0" w:space="0" w:color="auto"/>
          </w:divBdr>
        </w:div>
        <w:div w:id="1577934403">
          <w:marLeft w:val="0"/>
          <w:marRight w:val="0"/>
          <w:marTop w:val="0"/>
          <w:marBottom w:val="0"/>
          <w:divBdr>
            <w:top w:val="none" w:sz="0" w:space="0" w:color="auto"/>
            <w:left w:val="none" w:sz="0" w:space="0" w:color="auto"/>
            <w:bottom w:val="none" w:sz="0" w:space="0" w:color="auto"/>
            <w:right w:val="none" w:sz="0" w:space="0" w:color="auto"/>
          </w:divBdr>
        </w:div>
        <w:div w:id="1582250199">
          <w:marLeft w:val="0"/>
          <w:marRight w:val="0"/>
          <w:marTop w:val="0"/>
          <w:marBottom w:val="0"/>
          <w:divBdr>
            <w:top w:val="none" w:sz="0" w:space="0" w:color="auto"/>
            <w:left w:val="none" w:sz="0" w:space="0" w:color="auto"/>
            <w:bottom w:val="none" w:sz="0" w:space="0" w:color="auto"/>
            <w:right w:val="none" w:sz="0" w:space="0" w:color="auto"/>
          </w:divBdr>
        </w:div>
        <w:div w:id="1588229633">
          <w:marLeft w:val="0"/>
          <w:marRight w:val="0"/>
          <w:marTop w:val="0"/>
          <w:marBottom w:val="0"/>
          <w:divBdr>
            <w:top w:val="none" w:sz="0" w:space="0" w:color="auto"/>
            <w:left w:val="none" w:sz="0" w:space="0" w:color="auto"/>
            <w:bottom w:val="none" w:sz="0" w:space="0" w:color="auto"/>
            <w:right w:val="none" w:sz="0" w:space="0" w:color="auto"/>
          </w:divBdr>
        </w:div>
        <w:div w:id="1592927463">
          <w:marLeft w:val="0"/>
          <w:marRight w:val="0"/>
          <w:marTop w:val="0"/>
          <w:marBottom w:val="0"/>
          <w:divBdr>
            <w:top w:val="none" w:sz="0" w:space="0" w:color="auto"/>
            <w:left w:val="none" w:sz="0" w:space="0" w:color="auto"/>
            <w:bottom w:val="none" w:sz="0" w:space="0" w:color="auto"/>
            <w:right w:val="none" w:sz="0" w:space="0" w:color="auto"/>
          </w:divBdr>
        </w:div>
        <w:div w:id="1601446304">
          <w:marLeft w:val="0"/>
          <w:marRight w:val="0"/>
          <w:marTop w:val="0"/>
          <w:marBottom w:val="0"/>
          <w:divBdr>
            <w:top w:val="none" w:sz="0" w:space="0" w:color="auto"/>
            <w:left w:val="none" w:sz="0" w:space="0" w:color="auto"/>
            <w:bottom w:val="none" w:sz="0" w:space="0" w:color="auto"/>
            <w:right w:val="none" w:sz="0" w:space="0" w:color="auto"/>
          </w:divBdr>
        </w:div>
        <w:div w:id="1608731642">
          <w:marLeft w:val="0"/>
          <w:marRight w:val="0"/>
          <w:marTop w:val="0"/>
          <w:marBottom w:val="0"/>
          <w:divBdr>
            <w:top w:val="none" w:sz="0" w:space="0" w:color="auto"/>
            <w:left w:val="none" w:sz="0" w:space="0" w:color="auto"/>
            <w:bottom w:val="none" w:sz="0" w:space="0" w:color="auto"/>
            <w:right w:val="none" w:sz="0" w:space="0" w:color="auto"/>
          </w:divBdr>
        </w:div>
        <w:div w:id="1628582220">
          <w:marLeft w:val="0"/>
          <w:marRight w:val="0"/>
          <w:marTop w:val="0"/>
          <w:marBottom w:val="0"/>
          <w:divBdr>
            <w:top w:val="none" w:sz="0" w:space="0" w:color="auto"/>
            <w:left w:val="none" w:sz="0" w:space="0" w:color="auto"/>
            <w:bottom w:val="none" w:sz="0" w:space="0" w:color="auto"/>
            <w:right w:val="none" w:sz="0" w:space="0" w:color="auto"/>
          </w:divBdr>
        </w:div>
        <w:div w:id="1629431557">
          <w:marLeft w:val="0"/>
          <w:marRight w:val="0"/>
          <w:marTop w:val="0"/>
          <w:marBottom w:val="0"/>
          <w:divBdr>
            <w:top w:val="none" w:sz="0" w:space="0" w:color="auto"/>
            <w:left w:val="none" w:sz="0" w:space="0" w:color="auto"/>
            <w:bottom w:val="none" w:sz="0" w:space="0" w:color="auto"/>
            <w:right w:val="none" w:sz="0" w:space="0" w:color="auto"/>
          </w:divBdr>
        </w:div>
        <w:div w:id="1636835355">
          <w:marLeft w:val="0"/>
          <w:marRight w:val="0"/>
          <w:marTop w:val="0"/>
          <w:marBottom w:val="0"/>
          <w:divBdr>
            <w:top w:val="none" w:sz="0" w:space="0" w:color="auto"/>
            <w:left w:val="none" w:sz="0" w:space="0" w:color="auto"/>
            <w:bottom w:val="none" w:sz="0" w:space="0" w:color="auto"/>
            <w:right w:val="none" w:sz="0" w:space="0" w:color="auto"/>
          </w:divBdr>
        </w:div>
        <w:div w:id="1641761478">
          <w:marLeft w:val="0"/>
          <w:marRight w:val="0"/>
          <w:marTop w:val="0"/>
          <w:marBottom w:val="0"/>
          <w:divBdr>
            <w:top w:val="none" w:sz="0" w:space="0" w:color="auto"/>
            <w:left w:val="none" w:sz="0" w:space="0" w:color="auto"/>
            <w:bottom w:val="none" w:sz="0" w:space="0" w:color="auto"/>
            <w:right w:val="none" w:sz="0" w:space="0" w:color="auto"/>
          </w:divBdr>
        </w:div>
        <w:div w:id="1657807696">
          <w:marLeft w:val="0"/>
          <w:marRight w:val="0"/>
          <w:marTop w:val="0"/>
          <w:marBottom w:val="0"/>
          <w:divBdr>
            <w:top w:val="none" w:sz="0" w:space="0" w:color="auto"/>
            <w:left w:val="none" w:sz="0" w:space="0" w:color="auto"/>
            <w:bottom w:val="none" w:sz="0" w:space="0" w:color="auto"/>
            <w:right w:val="none" w:sz="0" w:space="0" w:color="auto"/>
          </w:divBdr>
        </w:div>
        <w:div w:id="1662855667">
          <w:marLeft w:val="0"/>
          <w:marRight w:val="0"/>
          <w:marTop w:val="0"/>
          <w:marBottom w:val="0"/>
          <w:divBdr>
            <w:top w:val="none" w:sz="0" w:space="0" w:color="auto"/>
            <w:left w:val="none" w:sz="0" w:space="0" w:color="auto"/>
            <w:bottom w:val="none" w:sz="0" w:space="0" w:color="auto"/>
            <w:right w:val="none" w:sz="0" w:space="0" w:color="auto"/>
          </w:divBdr>
        </w:div>
        <w:div w:id="1678996488">
          <w:marLeft w:val="0"/>
          <w:marRight w:val="0"/>
          <w:marTop w:val="0"/>
          <w:marBottom w:val="0"/>
          <w:divBdr>
            <w:top w:val="none" w:sz="0" w:space="0" w:color="auto"/>
            <w:left w:val="none" w:sz="0" w:space="0" w:color="auto"/>
            <w:bottom w:val="none" w:sz="0" w:space="0" w:color="auto"/>
            <w:right w:val="none" w:sz="0" w:space="0" w:color="auto"/>
          </w:divBdr>
        </w:div>
        <w:div w:id="1679774033">
          <w:marLeft w:val="0"/>
          <w:marRight w:val="0"/>
          <w:marTop w:val="0"/>
          <w:marBottom w:val="0"/>
          <w:divBdr>
            <w:top w:val="none" w:sz="0" w:space="0" w:color="auto"/>
            <w:left w:val="none" w:sz="0" w:space="0" w:color="auto"/>
            <w:bottom w:val="none" w:sz="0" w:space="0" w:color="auto"/>
            <w:right w:val="none" w:sz="0" w:space="0" w:color="auto"/>
          </w:divBdr>
        </w:div>
        <w:div w:id="1682587242">
          <w:marLeft w:val="0"/>
          <w:marRight w:val="0"/>
          <w:marTop w:val="0"/>
          <w:marBottom w:val="0"/>
          <w:divBdr>
            <w:top w:val="none" w:sz="0" w:space="0" w:color="auto"/>
            <w:left w:val="none" w:sz="0" w:space="0" w:color="auto"/>
            <w:bottom w:val="none" w:sz="0" w:space="0" w:color="auto"/>
            <w:right w:val="none" w:sz="0" w:space="0" w:color="auto"/>
          </w:divBdr>
        </w:div>
        <w:div w:id="1682705559">
          <w:marLeft w:val="0"/>
          <w:marRight w:val="0"/>
          <w:marTop w:val="0"/>
          <w:marBottom w:val="0"/>
          <w:divBdr>
            <w:top w:val="none" w:sz="0" w:space="0" w:color="auto"/>
            <w:left w:val="none" w:sz="0" w:space="0" w:color="auto"/>
            <w:bottom w:val="none" w:sz="0" w:space="0" w:color="auto"/>
            <w:right w:val="none" w:sz="0" w:space="0" w:color="auto"/>
          </w:divBdr>
        </w:div>
        <w:div w:id="1686441443">
          <w:marLeft w:val="0"/>
          <w:marRight w:val="0"/>
          <w:marTop w:val="0"/>
          <w:marBottom w:val="0"/>
          <w:divBdr>
            <w:top w:val="none" w:sz="0" w:space="0" w:color="auto"/>
            <w:left w:val="none" w:sz="0" w:space="0" w:color="auto"/>
            <w:bottom w:val="none" w:sz="0" w:space="0" w:color="auto"/>
            <w:right w:val="none" w:sz="0" w:space="0" w:color="auto"/>
          </w:divBdr>
        </w:div>
        <w:div w:id="1693073153">
          <w:marLeft w:val="0"/>
          <w:marRight w:val="0"/>
          <w:marTop w:val="0"/>
          <w:marBottom w:val="0"/>
          <w:divBdr>
            <w:top w:val="none" w:sz="0" w:space="0" w:color="auto"/>
            <w:left w:val="none" w:sz="0" w:space="0" w:color="auto"/>
            <w:bottom w:val="none" w:sz="0" w:space="0" w:color="auto"/>
            <w:right w:val="none" w:sz="0" w:space="0" w:color="auto"/>
          </w:divBdr>
        </w:div>
        <w:div w:id="1701127728">
          <w:marLeft w:val="0"/>
          <w:marRight w:val="0"/>
          <w:marTop w:val="0"/>
          <w:marBottom w:val="0"/>
          <w:divBdr>
            <w:top w:val="none" w:sz="0" w:space="0" w:color="auto"/>
            <w:left w:val="none" w:sz="0" w:space="0" w:color="auto"/>
            <w:bottom w:val="none" w:sz="0" w:space="0" w:color="auto"/>
            <w:right w:val="none" w:sz="0" w:space="0" w:color="auto"/>
          </w:divBdr>
        </w:div>
        <w:div w:id="1710498051">
          <w:marLeft w:val="0"/>
          <w:marRight w:val="0"/>
          <w:marTop w:val="0"/>
          <w:marBottom w:val="0"/>
          <w:divBdr>
            <w:top w:val="none" w:sz="0" w:space="0" w:color="auto"/>
            <w:left w:val="none" w:sz="0" w:space="0" w:color="auto"/>
            <w:bottom w:val="none" w:sz="0" w:space="0" w:color="auto"/>
            <w:right w:val="none" w:sz="0" w:space="0" w:color="auto"/>
          </w:divBdr>
        </w:div>
        <w:div w:id="1733576634">
          <w:marLeft w:val="0"/>
          <w:marRight w:val="0"/>
          <w:marTop w:val="0"/>
          <w:marBottom w:val="0"/>
          <w:divBdr>
            <w:top w:val="none" w:sz="0" w:space="0" w:color="auto"/>
            <w:left w:val="none" w:sz="0" w:space="0" w:color="auto"/>
            <w:bottom w:val="none" w:sz="0" w:space="0" w:color="auto"/>
            <w:right w:val="none" w:sz="0" w:space="0" w:color="auto"/>
          </w:divBdr>
        </w:div>
        <w:div w:id="1739865365">
          <w:marLeft w:val="0"/>
          <w:marRight w:val="0"/>
          <w:marTop w:val="0"/>
          <w:marBottom w:val="0"/>
          <w:divBdr>
            <w:top w:val="none" w:sz="0" w:space="0" w:color="auto"/>
            <w:left w:val="none" w:sz="0" w:space="0" w:color="auto"/>
            <w:bottom w:val="none" w:sz="0" w:space="0" w:color="auto"/>
            <w:right w:val="none" w:sz="0" w:space="0" w:color="auto"/>
          </w:divBdr>
        </w:div>
        <w:div w:id="1740520303">
          <w:marLeft w:val="0"/>
          <w:marRight w:val="0"/>
          <w:marTop w:val="0"/>
          <w:marBottom w:val="0"/>
          <w:divBdr>
            <w:top w:val="none" w:sz="0" w:space="0" w:color="auto"/>
            <w:left w:val="none" w:sz="0" w:space="0" w:color="auto"/>
            <w:bottom w:val="none" w:sz="0" w:space="0" w:color="auto"/>
            <w:right w:val="none" w:sz="0" w:space="0" w:color="auto"/>
          </w:divBdr>
        </w:div>
        <w:div w:id="1746299434">
          <w:marLeft w:val="0"/>
          <w:marRight w:val="0"/>
          <w:marTop w:val="0"/>
          <w:marBottom w:val="0"/>
          <w:divBdr>
            <w:top w:val="none" w:sz="0" w:space="0" w:color="auto"/>
            <w:left w:val="none" w:sz="0" w:space="0" w:color="auto"/>
            <w:bottom w:val="none" w:sz="0" w:space="0" w:color="auto"/>
            <w:right w:val="none" w:sz="0" w:space="0" w:color="auto"/>
          </w:divBdr>
        </w:div>
        <w:div w:id="1776318678">
          <w:marLeft w:val="0"/>
          <w:marRight w:val="0"/>
          <w:marTop w:val="0"/>
          <w:marBottom w:val="0"/>
          <w:divBdr>
            <w:top w:val="none" w:sz="0" w:space="0" w:color="auto"/>
            <w:left w:val="none" w:sz="0" w:space="0" w:color="auto"/>
            <w:bottom w:val="none" w:sz="0" w:space="0" w:color="auto"/>
            <w:right w:val="none" w:sz="0" w:space="0" w:color="auto"/>
          </w:divBdr>
        </w:div>
        <w:div w:id="1792435039">
          <w:marLeft w:val="0"/>
          <w:marRight w:val="0"/>
          <w:marTop w:val="0"/>
          <w:marBottom w:val="0"/>
          <w:divBdr>
            <w:top w:val="none" w:sz="0" w:space="0" w:color="auto"/>
            <w:left w:val="none" w:sz="0" w:space="0" w:color="auto"/>
            <w:bottom w:val="none" w:sz="0" w:space="0" w:color="auto"/>
            <w:right w:val="none" w:sz="0" w:space="0" w:color="auto"/>
          </w:divBdr>
        </w:div>
        <w:div w:id="1794980342">
          <w:marLeft w:val="0"/>
          <w:marRight w:val="0"/>
          <w:marTop w:val="0"/>
          <w:marBottom w:val="0"/>
          <w:divBdr>
            <w:top w:val="none" w:sz="0" w:space="0" w:color="auto"/>
            <w:left w:val="none" w:sz="0" w:space="0" w:color="auto"/>
            <w:bottom w:val="none" w:sz="0" w:space="0" w:color="auto"/>
            <w:right w:val="none" w:sz="0" w:space="0" w:color="auto"/>
          </w:divBdr>
        </w:div>
        <w:div w:id="1841580266">
          <w:marLeft w:val="0"/>
          <w:marRight w:val="0"/>
          <w:marTop w:val="0"/>
          <w:marBottom w:val="0"/>
          <w:divBdr>
            <w:top w:val="none" w:sz="0" w:space="0" w:color="auto"/>
            <w:left w:val="none" w:sz="0" w:space="0" w:color="auto"/>
            <w:bottom w:val="none" w:sz="0" w:space="0" w:color="auto"/>
            <w:right w:val="none" w:sz="0" w:space="0" w:color="auto"/>
          </w:divBdr>
        </w:div>
        <w:div w:id="1848251318">
          <w:marLeft w:val="0"/>
          <w:marRight w:val="0"/>
          <w:marTop w:val="0"/>
          <w:marBottom w:val="0"/>
          <w:divBdr>
            <w:top w:val="none" w:sz="0" w:space="0" w:color="auto"/>
            <w:left w:val="none" w:sz="0" w:space="0" w:color="auto"/>
            <w:bottom w:val="none" w:sz="0" w:space="0" w:color="auto"/>
            <w:right w:val="none" w:sz="0" w:space="0" w:color="auto"/>
          </w:divBdr>
        </w:div>
        <w:div w:id="1856115678">
          <w:marLeft w:val="0"/>
          <w:marRight w:val="0"/>
          <w:marTop w:val="0"/>
          <w:marBottom w:val="0"/>
          <w:divBdr>
            <w:top w:val="none" w:sz="0" w:space="0" w:color="auto"/>
            <w:left w:val="none" w:sz="0" w:space="0" w:color="auto"/>
            <w:bottom w:val="none" w:sz="0" w:space="0" w:color="auto"/>
            <w:right w:val="none" w:sz="0" w:space="0" w:color="auto"/>
          </w:divBdr>
        </w:div>
        <w:div w:id="1861972114">
          <w:marLeft w:val="0"/>
          <w:marRight w:val="0"/>
          <w:marTop w:val="0"/>
          <w:marBottom w:val="0"/>
          <w:divBdr>
            <w:top w:val="none" w:sz="0" w:space="0" w:color="auto"/>
            <w:left w:val="none" w:sz="0" w:space="0" w:color="auto"/>
            <w:bottom w:val="none" w:sz="0" w:space="0" w:color="auto"/>
            <w:right w:val="none" w:sz="0" w:space="0" w:color="auto"/>
          </w:divBdr>
        </w:div>
        <w:div w:id="1862745969">
          <w:marLeft w:val="0"/>
          <w:marRight w:val="0"/>
          <w:marTop w:val="0"/>
          <w:marBottom w:val="0"/>
          <w:divBdr>
            <w:top w:val="none" w:sz="0" w:space="0" w:color="auto"/>
            <w:left w:val="none" w:sz="0" w:space="0" w:color="auto"/>
            <w:bottom w:val="none" w:sz="0" w:space="0" w:color="auto"/>
            <w:right w:val="none" w:sz="0" w:space="0" w:color="auto"/>
          </w:divBdr>
        </w:div>
        <w:div w:id="1872573676">
          <w:marLeft w:val="0"/>
          <w:marRight w:val="0"/>
          <w:marTop w:val="0"/>
          <w:marBottom w:val="0"/>
          <w:divBdr>
            <w:top w:val="none" w:sz="0" w:space="0" w:color="auto"/>
            <w:left w:val="none" w:sz="0" w:space="0" w:color="auto"/>
            <w:bottom w:val="none" w:sz="0" w:space="0" w:color="auto"/>
            <w:right w:val="none" w:sz="0" w:space="0" w:color="auto"/>
          </w:divBdr>
        </w:div>
        <w:div w:id="1878160983">
          <w:marLeft w:val="0"/>
          <w:marRight w:val="0"/>
          <w:marTop w:val="0"/>
          <w:marBottom w:val="0"/>
          <w:divBdr>
            <w:top w:val="none" w:sz="0" w:space="0" w:color="auto"/>
            <w:left w:val="none" w:sz="0" w:space="0" w:color="auto"/>
            <w:bottom w:val="none" w:sz="0" w:space="0" w:color="auto"/>
            <w:right w:val="none" w:sz="0" w:space="0" w:color="auto"/>
          </w:divBdr>
        </w:div>
        <w:div w:id="1897234226">
          <w:marLeft w:val="0"/>
          <w:marRight w:val="0"/>
          <w:marTop w:val="0"/>
          <w:marBottom w:val="0"/>
          <w:divBdr>
            <w:top w:val="none" w:sz="0" w:space="0" w:color="auto"/>
            <w:left w:val="none" w:sz="0" w:space="0" w:color="auto"/>
            <w:bottom w:val="none" w:sz="0" w:space="0" w:color="auto"/>
            <w:right w:val="none" w:sz="0" w:space="0" w:color="auto"/>
          </w:divBdr>
        </w:div>
        <w:div w:id="1905406538">
          <w:marLeft w:val="0"/>
          <w:marRight w:val="0"/>
          <w:marTop w:val="0"/>
          <w:marBottom w:val="0"/>
          <w:divBdr>
            <w:top w:val="none" w:sz="0" w:space="0" w:color="auto"/>
            <w:left w:val="none" w:sz="0" w:space="0" w:color="auto"/>
            <w:bottom w:val="none" w:sz="0" w:space="0" w:color="auto"/>
            <w:right w:val="none" w:sz="0" w:space="0" w:color="auto"/>
          </w:divBdr>
        </w:div>
        <w:div w:id="1916159468">
          <w:marLeft w:val="0"/>
          <w:marRight w:val="0"/>
          <w:marTop w:val="0"/>
          <w:marBottom w:val="0"/>
          <w:divBdr>
            <w:top w:val="none" w:sz="0" w:space="0" w:color="auto"/>
            <w:left w:val="none" w:sz="0" w:space="0" w:color="auto"/>
            <w:bottom w:val="none" w:sz="0" w:space="0" w:color="auto"/>
            <w:right w:val="none" w:sz="0" w:space="0" w:color="auto"/>
          </w:divBdr>
        </w:div>
        <w:div w:id="1917083873">
          <w:marLeft w:val="0"/>
          <w:marRight w:val="0"/>
          <w:marTop w:val="0"/>
          <w:marBottom w:val="0"/>
          <w:divBdr>
            <w:top w:val="none" w:sz="0" w:space="0" w:color="auto"/>
            <w:left w:val="none" w:sz="0" w:space="0" w:color="auto"/>
            <w:bottom w:val="none" w:sz="0" w:space="0" w:color="auto"/>
            <w:right w:val="none" w:sz="0" w:space="0" w:color="auto"/>
          </w:divBdr>
        </w:div>
        <w:div w:id="1918519597">
          <w:marLeft w:val="0"/>
          <w:marRight w:val="0"/>
          <w:marTop w:val="0"/>
          <w:marBottom w:val="0"/>
          <w:divBdr>
            <w:top w:val="none" w:sz="0" w:space="0" w:color="auto"/>
            <w:left w:val="none" w:sz="0" w:space="0" w:color="auto"/>
            <w:bottom w:val="none" w:sz="0" w:space="0" w:color="auto"/>
            <w:right w:val="none" w:sz="0" w:space="0" w:color="auto"/>
          </w:divBdr>
        </w:div>
        <w:div w:id="1934703202">
          <w:marLeft w:val="0"/>
          <w:marRight w:val="0"/>
          <w:marTop w:val="0"/>
          <w:marBottom w:val="0"/>
          <w:divBdr>
            <w:top w:val="none" w:sz="0" w:space="0" w:color="auto"/>
            <w:left w:val="none" w:sz="0" w:space="0" w:color="auto"/>
            <w:bottom w:val="none" w:sz="0" w:space="0" w:color="auto"/>
            <w:right w:val="none" w:sz="0" w:space="0" w:color="auto"/>
          </w:divBdr>
        </w:div>
        <w:div w:id="1938557966">
          <w:marLeft w:val="0"/>
          <w:marRight w:val="0"/>
          <w:marTop w:val="0"/>
          <w:marBottom w:val="0"/>
          <w:divBdr>
            <w:top w:val="none" w:sz="0" w:space="0" w:color="auto"/>
            <w:left w:val="none" w:sz="0" w:space="0" w:color="auto"/>
            <w:bottom w:val="none" w:sz="0" w:space="0" w:color="auto"/>
            <w:right w:val="none" w:sz="0" w:space="0" w:color="auto"/>
          </w:divBdr>
        </w:div>
        <w:div w:id="1957366272">
          <w:marLeft w:val="0"/>
          <w:marRight w:val="0"/>
          <w:marTop w:val="0"/>
          <w:marBottom w:val="0"/>
          <w:divBdr>
            <w:top w:val="none" w:sz="0" w:space="0" w:color="auto"/>
            <w:left w:val="none" w:sz="0" w:space="0" w:color="auto"/>
            <w:bottom w:val="none" w:sz="0" w:space="0" w:color="auto"/>
            <w:right w:val="none" w:sz="0" w:space="0" w:color="auto"/>
          </w:divBdr>
        </w:div>
        <w:div w:id="1963030367">
          <w:marLeft w:val="0"/>
          <w:marRight w:val="0"/>
          <w:marTop w:val="0"/>
          <w:marBottom w:val="0"/>
          <w:divBdr>
            <w:top w:val="none" w:sz="0" w:space="0" w:color="auto"/>
            <w:left w:val="none" w:sz="0" w:space="0" w:color="auto"/>
            <w:bottom w:val="none" w:sz="0" w:space="0" w:color="auto"/>
            <w:right w:val="none" w:sz="0" w:space="0" w:color="auto"/>
          </w:divBdr>
        </w:div>
        <w:div w:id="1964800085">
          <w:marLeft w:val="0"/>
          <w:marRight w:val="0"/>
          <w:marTop w:val="0"/>
          <w:marBottom w:val="0"/>
          <w:divBdr>
            <w:top w:val="none" w:sz="0" w:space="0" w:color="auto"/>
            <w:left w:val="none" w:sz="0" w:space="0" w:color="auto"/>
            <w:bottom w:val="none" w:sz="0" w:space="0" w:color="auto"/>
            <w:right w:val="none" w:sz="0" w:space="0" w:color="auto"/>
          </w:divBdr>
        </w:div>
        <w:div w:id="1965963257">
          <w:marLeft w:val="0"/>
          <w:marRight w:val="0"/>
          <w:marTop w:val="0"/>
          <w:marBottom w:val="0"/>
          <w:divBdr>
            <w:top w:val="none" w:sz="0" w:space="0" w:color="auto"/>
            <w:left w:val="none" w:sz="0" w:space="0" w:color="auto"/>
            <w:bottom w:val="none" w:sz="0" w:space="0" w:color="auto"/>
            <w:right w:val="none" w:sz="0" w:space="0" w:color="auto"/>
          </w:divBdr>
        </w:div>
        <w:div w:id="1968126842">
          <w:marLeft w:val="0"/>
          <w:marRight w:val="0"/>
          <w:marTop w:val="0"/>
          <w:marBottom w:val="0"/>
          <w:divBdr>
            <w:top w:val="none" w:sz="0" w:space="0" w:color="auto"/>
            <w:left w:val="none" w:sz="0" w:space="0" w:color="auto"/>
            <w:bottom w:val="none" w:sz="0" w:space="0" w:color="auto"/>
            <w:right w:val="none" w:sz="0" w:space="0" w:color="auto"/>
          </w:divBdr>
        </w:div>
        <w:div w:id="2000184803">
          <w:marLeft w:val="0"/>
          <w:marRight w:val="0"/>
          <w:marTop w:val="0"/>
          <w:marBottom w:val="0"/>
          <w:divBdr>
            <w:top w:val="none" w:sz="0" w:space="0" w:color="auto"/>
            <w:left w:val="none" w:sz="0" w:space="0" w:color="auto"/>
            <w:bottom w:val="none" w:sz="0" w:space="0" w:color="auto"/>
            <w:right w:val="none" w:sz="0" w:space="0" w:color="auto"/>
          </w:divBdr>
        </w:div>
        <w:div w:id="2013799735">
          <w:marLeft w:val="0"/>
          <w:marRight w:val="0"/>
          <w:marTop w:val="0"/>
          <w:marBottom w:val="0"/>
          <w:divBdr>
            <w:top w:val="none" w:sz="0" w:space="0" w:color="auto"/>
            <w:left w:val="none" w:sz="0" w:space="0" w:color="auto"/>
            <w:bottom w:val="none" w:sz="0" w:space="0" w:color="auto"/>
            <w:right w:val="none" w:sz="0" w:space="0" w:color="auto"/>
          </w:divBdr>
        </w:div>
        <w:div w:id="2028629770">
          <w:marLeft w:val="0"/>
          <w:marRight w:val="0"/>
          <w:marTop w:val="0"/>
          <w:marBottom w:val="0"/>
          <w:divBdr>
            <w:top w:val="none" w:sz="0" w:space="0" w:color="auto"/>
            <w:left w:val="none" w:sz="0" w:space="0" w:color="auto"/>
            <w:bottom w:val="none" w:sz="0" w:space="0" w:color="auto"/>
            <w:right w:val="none" w:sz="0" w:space="0" w:color="auto"/>
          </w:divBdr>
        </w:div>
      </w:divsChild>
    </w:div>
    <w:div w:id="1853831808">
      <w:bodyDiv w:val="1"/>
      <w:marLeft w:val="0"/>
      <w:marRight w:val="0"/>
      <w:marTop w:val="0"/>
      <w:marBottom w:val="0"/>
      <w:divBdr>
        <w:top w:val="none" w:sz="0" w:space="0" w:color="auto"/>
        <w:left w:val="none" w:sz="0" w:space="0" w:color="auto"/>
        <w:bottom w:val="none" w:sz="0" w:space="0" w:color="auto"/>
        <w:right w:val="none" w:sz="0" w:space="0" w:color="auto"/>
      </w:divBdr>
    </w:div>
    <w:div w:id="1853839923">
      <w:bodyDiv w:val="1"/>
      <w:marLeft w:val="0"/>
      <w:marRight w:val="0"/>
      <w:marTop w:val="0"/>
      <w:marBottom w:val="0"/>
      <w:divBdr>
        <w:top w:val="none" w:sz="0" w:space="0" w:color="auto"/>
        <w:left w:val="none" w:sz="0" w:space="0" w:color="auto"/>
        <w:bottom w:val="none" w:sz="0" w:space="0" w:color="auto"/>
        <w:right w:val="none" w:sz="0" w:space="0" w:color="auto"/>
      </w:divBdr>
    </w:div>
    <w:div w:id="1853840790">
      <w:bodyDiv w:val="1"/>
      <w:marLeft w:val="0"/>
      <w:marRight w:val="0"/>
      <w:marTop w:val="0"/>
      <w:marBottom w:val="0"/>
      <w:divBdr>
        <w:top w:val="none" w:sz="0" w:space="0" w:color="auto"/>
        <w:left w:val="none" w:sz="0" w:space="0" w:color="auto"/>
        <w:bottom w:val="none" w:sz="0" w:space="0" w:color="auto"/>
        <w:right w:val="none" w:sz="0" w:space="0" w:color="auto"/>
      </w:divBdr>
    </w:div>
    <w:div w:id="1853951355">
      <w:bodyDiv w:val="1"/>
      <w:marLeft w:val="0"/>
      <w:marRight w:val="0"/>
      <w:marTop w:val="0"/>
      <w:marBottom w:val="0"/>
      <w:divBdr>
        <w:top w:val="none" w:sz="0" w:space="0" w:color="auto"/>
        <w:left w:val="none" w:sz="0" w:space="0" w:color="auto"/>
        <w:bottom w:val="none" w:sz="0" w:space="0" w:color="auto"/>
        <w:right w:val="none" w:sz="0" w:space="0" w:color="auto"/>
      </w:divBdr>
    </w:div>
    <w:div w:id="1853953020">
      <w:bodyDiv w:val="1"/>
      <w:marLeft w:val="0"/>
      <w:marRight w:val="0"/>
      <w:marTop w:val="0"/>
      <w:marBottom w:val="0"/>
      <w:divBdr>
        <w:top w:val="none" w:sz="0" w:space="0" w:color="auto"/>
        <w:left w:val="none" w:sz="0" w:space="0" w:color="auto"/>
        <w:bottom w:val="none" w:sz="0" w:space="0" w:color="auto"/>
        <w:right w:val="none" w:sz="0" w:space="0" w:color="auto"/>
      </w:divBdr>
    </w:div>
    <w:div w:id="1853955062">
      <w:bodyDiv w:val="1"/>
      <w:marLeft w:val="0"/>
      <w:marRight w:val="0"/>
      <w:marTop w:val="0"/>
      <w:marBottom w:val="0"/>
      <w:divBdr>
        <w:top w:val="none" w:sz="0" w:space="0" w:color="auto"/>
        <w:left w:val="none" w:sz="0" w:space="0" w:color="auto"/>
        <w:bottom w:val="none" w:sz="0" w:space="0" w:color="auto"/>
        <w:right w:val="none" w:sz="0" w:space="0" w:color="auto"/>
      </w:divBdr>
    </w:div>
    <w:div w:id="1854105870">
      <w:bodyDiv w:val="1"/>
      <w:marLeft w:val="0"/>
      <w:marRight w:val="0"/>
      <w:marTop w:val="0"/>
      <w:marBottom w:val="0"/>
      <w:divBdr>
        <w:top w:val="none" w:sz="0" w:space="0" w:color="auto"/>
        <w:left w:val="none" w:sz="0" w:space="0" w:color="auto"/>
        <w:bottom w:val="none" w:sz="0" w:space="0" w:color="auto"/>
        <w:right w:val="none" w:sz="0" w:space="0" w:color="auto"/>
      </w:divBdr>
    </w:div>
    <w:div w:id="1854176441">
      <w:bodyDiv w:val="1"/>
      <w:marLeft w:val="0"/>
      <w:marRight w:val="0"/>
      <w:marTop w:val="0"/>
      <w:marBottom w:val="0"/>
      <w:divBdr>
        <w:top w:val="none" w:sz="0" w:space="0" w:color="auto"/>
        <w:left w:val="none" w:sz="0" w:space="0" w:color="auto"/>
        <w:bottom w:val="none" w:sz="0" w:space="0" w:color="auto"/>
        <w:right w:val="none" w:sz="0" w:space="0" w:color="auto"/>
      </w:divBdr>
    </w:div>
    <w:div w:id="1854414590">
      <w:bodyDiv w:val="1"/>
      <w:marLeft w:val="0"/>
      <w:marRight w:val="0"/>
      <w:marTop w:val="0"/>
      <w:marBottom w:val="0"/>
      <w:divBdr>
        <w:top w:val="none" w:sz="0" w:space="0" w:color="auto"/>
        <w:left w:val="none" w:sz="0" w:space="0" w:color="auto"/>
        <w:bottom w:val="none" w:sz="0" w:space="0" w:color="auto"/>
        <w:right w:val="none" w:sz="0" w:space="0" w:color="auto"/>
      </w:divBdr>
    </w:div>
    <w:div w:id="1854417779">
      <w:bodyDiv w:val="1"/>
      <w:marLeft w:val="0"/>
      <w:marRight w:val="0"/>
      <w:marTop w:val="0"/>
      <w:marBottom w:val="0"/>
      <w:divBdr>
        <w:top w:val="none" w:sz="0" w:space="0" w:color="auto"/>
        <w:left w:val="none" w:sz="0" w:space="0" w:color="auto"/>
        <w:bottom w:val="none" w:sz="0" w:space="0" w:color="auto"/>
        <w:right w:val="none" w:sz="0" w:space="0" w:color="auto"/>
      </w:divBdr>
    </w:div>
    <w:div w:id="1854418002">
      <w:bodyDiv w:val="1"/>
      <w:marLeft w:val="0"/>
      <w:marRight w:val="0"/>
      <w:marTop w:val="0"/>
      <w:marBottom w:val="0"/>
      <w:divBdr>
        <w:top w:val="none" w:sz="0" w:space="0" w:color="auto"/>
        <w:left w:val="none" w:sz="0" w:space="0" w:color="auto"/>
        <w:bottom w:val="none" w:sz="0" w:space="0" w:color="auto"/>
        <w:right w:val="none" w:sz="0" w:space="0" w:color="auto"/>
      </w:divBdr>
    </w:div>
    <w:div w:id="1854419630">
      <w:bodyDiv w:val="1"/>
      <w:marLeft w:val="0"/>
      <w:marRight w:val="0"/>
      <w:marTop w:val="0"/>
      <w:marBottom w:val="0"/>
      <w:divBdr>
        <w:top w:val="none" w:sz="0" w:space="0" w:color="auto"/>
        <w:left w:val="none" w:sz="0" w:space="0" w:color="auto"/>
        <w:bottom w:val="none" w:sz="0" w:space="0" w:color="auto"/>
        <w:right w:val="none" w:sz="0" w:space="0" w:color="auto"/>
      </w:divBdr>
    </w:div>
    <w:div w:id="1854489444">
      <w:bodyDiv w:val="1"/>
      <w:marLeft w:val="0"/>
      <w:marRight w:val="0"/>
      <w:marTop w:val="0"/>
      <w:marBottom w:val="0"/>
      <w:divBdr>
        <w:top w:val="none" w:sz="0" w:space="0" w:color="auto"/>
        <w:left w:val="none" w:sz="0" w:space="0" w:color="auto"/>
        <w:bottom w:val="none" w:sz="0" w:space="0" w:color="auto"/>
        <w:right w:val="none" w:sz="0" w:space="0" w:color="auto"/>
      </w:divBdr>
    </w:div>
    <w:div w:id="1854490891">
      <w:bodyDiv w:val="1"/>
      <w:marLeft w:val="0"/>
      <w:marRight w:val="0"/>
      <w:marTop w:val="0"/>
      <w:marBottom w:val="0"/>
      <w:divBdr>
        <w:top w:val="none" w:sz="0" w:space="0" w:color="auto"/>
        <w:left w:val="none" w:sz="0" w:space="0" w:color="auto"/>
        <w:bottom w:val="none" w:sz="0" w:space="0" w:color="auto"/>
        <w:right w:val="none" w:sz="0" w:space="0" w:color="auto"/>
      </w:divBdr>
    </w:div>
    <w:div w:id="1854538526">
      <w:bodyDiv w:val="1"/>
      <w:marLeft w:val="0"/>
      <w:marRight w:val="0"/>
      <w:marTop w:val="0"/>
      <w:marBottom w:val="0"/>
      <w:divBdr>
        <w:top w:val="none" w:sz="0" w:space="0" w:color="auto"/>
        <w:left w:val="none" w:sz="0" w:space="0" w:color="auto"/>
        <w:bottom w:val="none" w:sz="0" w:space="0" w:color="auto"/>
        <w:right w:val="none" w:sz="0" w:space="0" w:color="auto"/>
      </w:divBdr>
    </w:div>
    <w:div w:id="1854607073">
      <w:bodyDiv w:val="1"/>
      <w:marLeft w:val="0"/>
      <w:marRight w:val="0"/>
      <w:marTop w:val="0"/>
      <w:marBottom w:val="0"/>
      <w:divBdr>
        <w:top w:val="none" w:sz="0" w:space="0" w:color="auto"/>
        <w:left w:val="none" w:sz="0" w:space="0" w:color="auto"/>
        <w:bottom w:val="none" w:sz="0" w:space="0" w:color="auto"/>
        <w:right w:val="none" w:sz="0" w:space="0" w:color="auto"/>
      </w:divBdr>
    </w:div>
    <w:div w:id="1854756182">
      <w:bodyDiv w:val="1"/>
      <w:marLeft w:val="0"/>
      <w:marRight w:val="0"/>
      <w:marTop w:val="0"/>
      <w:marBottom w:val="0"/>
      <w:divBdr>
        <w:top w:val="none" w:sz="0" w:space="0" w:color="auto"/>
        <w:left w:val="none" w:sz="0" w:space="0" w:color="auto"/>
        <w:bottom w:val="none" w:sz="0" w:space="0" w:color="auto"/>
        <w:right w:val="none" w:sz="0" w:space="0" w:color="auto"/>
      </w:divBdr>
    </w:div>
    <w:div w:id="1854876909">
      <w:bodyDiv w:val="1"/>
      <w:marLeft w:val="0"/>
      <w:marRight w:val="0"/>
      <w:marTop w:val="0"/>
      <w:marBottom w:val="0"/>
      <w:divBdr>
        <w:top w:val="none" w:sz="0" w:space="0" w:color="auto"/>
        <w:left w:val="none" w:sz="0" w:space="0" w:color="auto"/>
        <w:bottom w:val="none" w:sz="0" w:space="0" w:color="auto"/>
        <w:right w:val="none" w:sz="0" w:space="0" w:color="auto"/>
      </w:divBdr>
    </w:div>
    <w:div w:id="1854879447">
      <w:bodyDiv w:val="1"/>
      <w:marLeft w:val="0"/>
      <w:marRight w:val="0"/>
      <w:marTop w:val="0"/>
      <w:marBottom w:val="0"/>
      <w:divBdr>
        <w:top w:val="none" w:sz="0" w:space="0" w:color="auto"/>
        <w:left w:val="none" w:sz="0" w:space="0" w:color="auto"/>
        <w:bottom w:val="none" w:sz="0" w:space="0" w:color="auto"/>
        <w:right w:val="none" w:sz="0" w:space="0" w:color="auto"/>
      </w:divBdr>
    </w:div>
    <w:div w:id="1854882065">
      <w:bodyDiv w:val="1"/>
      <w:marLeft w:val="0"/>
      <w:marRight w:val="0"/>
      <w:marTop w:val="0"/>
      <w:marBottom w:val="0"/>
      <w:divBdr>
        <w:top w:val="none" w:sz="0" w:space="0" w:color="auto"/>
        <w:left w:val="none" w:sz="0" w:space="0" w:color="auto"/>
        <w:bottom w:val="none" w:sz="0" w:space="0" w:color="auto"/>
        <w:right w:val="none" w:sz="0" w:space="0" w:color="auto"/>
      </w:divBdr>
    </w:div>
    <w:div w:id="1854996625">
      <w:bodyDiv w:val="1"/>
      <w:marLeft w:val="0"/>
      <w:marRight w:val="0"/>
      <w:marTop w:val="0"/>
      <w:marBottom w:val="0"/>
      <w:divBdr>
        <w:top w:val="none" w:sz="0" w:space="0" w:color="auto"/>
        <w:left w:val="none" w:sz="0" w:space="0" w:color="auto"/>
        <w:bottom w:val="none" w:sz="0" w:space="0" w:color="auto"/>
        <w:right w:val="none" w:sz="0" w:space="0" w:color="auto"/>
      </w:divBdr>
    </w:div>
    <w:div w:id="1855025734">
      <w:bodyDiv w:val="1"/>
      <w:marLeft w:val="0"/>
      <w:marRight w:val="0"/>
      <w:marTop w:val="0"/>
      <w:marBottom w:val="0"/>
      <w:divBdr>
        <w:top w:val="none" w:sz="0" w:space="0" w:color="auto"/>
        <w:left w:val="none" w:sz="0" w:space="0" w:color="auto"/>
        <w:bottom w:val="none" w:sz="0" w:space="0" w:color="auto"/>
        <w:right w:val="none" w:sz="0" w:space="0" w:color="auto"/>
      </w:divBdr>
    </w:div>
    <w:div w:id="1855028071">
      <w:bodyDiv w:val="1"/>
      <w:marLeft w:val="0"/>
      <w:marRight w:val="0"/>
      <w:marTop w:val="0"/>
      <w:marBottom w:val="0"/>
      <w:divBdr>
        <w:top w:val="none" w:sz="0" w:space="0" w:color="auto"/>
        <w:left w:val="none" w:sz="0" w:space="0" w:color="auto"/>
        <w:bottom w:val="none" w:sz="0" w:space="0" w:color="auto"/>
        <w:right w:val="none" w:sz="0" w:space="0" w:color="auto"/>
      </w:divBdr>
    </w:div>
    <w:div w:id="1855225722">
      <w:bodyDiv w:val="1"/>
      <w:marLeft w:val="0"/>
      <w:marRight w:val="0"/>
      <w:marTop w:val="0"/>
      <w:marBottom w:val="0"/>
      <w:divBdr>
        <w:top w:val="none" w:sz="0" w:space="0" w:color="auto"/>
        <w:left w:val="none" w:sz="0" w:space="0" w:color="auto"/>
        <w:bottom w:val="none" w:sz="0" w:space="0" w:color="auto"/>
        <w:right w:val="none" w:sz="0" w:space="0" w:color="auto"/>
      </w:divBdr>
    </w:div>
    <w:div w:id="1855265809">
      <w:bodyDiv w:val="1"/>
      <w:marLeft w:val="0"/>
      <w:marRight w:val="0"/>
      <w:marTop w:val="0"/>
      <w:marBottom w:val="0"/>
      <w:divBdr>
        <w:top w:val="none" w:sz="0" w:space="0" w:color="auto"/>
        <w:left w:val="none" w:sz="0" w:space="0" w:color="auto"/>
        <w:bottom w:val="none" w:sz="0" w:space="0" w:color="auto"/>
        <w:right w:val="none" w:sz="0" w:space="0" w:color="auto"/>
      </w:divBdr>
    </w:div>
    <w:div w:id="1855419736">
      <w:bodyDiv w:val="1"/>
      <w:marLeft w:val="0"/>
      <w:marRight w:val="0"/>
      <w:marTop w:val="0"/>
      <w:marBottom w:val="0"/>
      <w:divBdr>
        <w:top w:val="none" w:sz="0" w:space="0" w:color="auto"/>
        <w:left w:val="none" w:sz="0" w:space="0" w:color="auto"/>
        <w:bottom w:val="none" w:sz="0" w:space="0" w:color="auto"/>
        <w:right w:val="none" w:sz="0" w:space="0" w:color="auto"/>
      </w:divBdr>
    </w:div>
    <w:div w:id="1855533896">
      <w:bodyDiv w:val="1"/>
      <w:marLeft w:val="0"/>
      <w:marRight w:val="0"/>
      <w:marTop w:val="0"/>
      <w:marBottom w:val="0"/>
      <w:divBdr>
        <w:top w:val="none" w:sz="0" w:space="0" w:color="auto"/>
        <w:left w:val="none" w:sz="0" w:space="0" w:color="auto"/>
        <w:bottom w:val="none" w:sz="0" w:space="0" w:color="auto"/>
        <w:right w:val="none" w:sz="0" w:space="0" w:color="auto"/>
      </w:divBdr>
    </w:div>
    <w:div w:id="1855609821">
      <w:bodyDiv w:val="1"/>
      <w:marLeft w:val="0"/>
      <w:marRight w:val="0"/>
      <w:marTop w:val="0"/>
      <w:marBottom w:val="0"/>
      <w:divBdr>
        <w:top w:val="none" w:sz="0" w:space="0" w:color="auto"/>
        <w:left w:val="none" w:sz="0" w:space="0" w:color="auto"/>
        <w:bottom w:val="none" w:sz="0" w:space="0" w:color="auto"/>
        <w:right w:val="none" w:sz="0" w:space="0" w:color="auto"/>
      </w:divBdr>
    </w:div>
    <w:div w:id="1855799872">
      <w:bodyDiv w:val="1"/>
      <w:marLeft w:val="0"/>
      <w:marRight w:val="0"/>
      <w:marTop w:val="0"/>
      <w:marBottom w:val="0"/>
      <w:divBdr>
        <w:top w:val="none" w:sz="0" w:space="0" w:color="auto"/>
        <w:left w:val="none" w:sz="0" w:space="0" w:color="auto"/>
        <w:bottom w:val="none" w:sz="0" w:space="0" w:color="auto"/>
        <w:right w:val="none" w:sz="0" w:space="0" w:color="auto"/>
      </w:divBdr>
    </w:div>
    <w:div w:id="1855800339">
      <w:bodyDiv w:val="1"/>
      <w:marLeft w:val="0"/>
      <w:marRight w:val="0"/>
      <w:marTop w:val="0"/>
      <w:marBottom w:val="0"/>
      <w:divBdr>
        <w:top w:val="none" w:sz="0" w:space="0" w:color="auto"/>
        <w:left w:val="none" w:sz="0" w:space="0" w:color="auto"/>
        <w:bottom w:val="none" w:sz="0" w:space="0" w:color="auto"/>
        <w:right w:val="none" w:sz="0" w:space="0" w:color="auto"/>
      </w:divBdr>
    </w:div>
    <w:div w:id="1855875285">
      <w:bodyDiv w:val="1"/>
      <w:marLeft w:val="0"/>
      <w:marRight w:val="0"/>
      <w:marTop w:val="0"/>
      <w:marBottom w:val="0"/>
      <w:divBdr>
        <w:top w:val="none" w:sz="0" w:space="0" w:color="auto"/>
        <w:left w:val="none" w:sz="0" w:space="0" w:color="auto"/>
        <w:bottom w:val="none" w:sz="0" w:space="0" w:color="auto"/>
        <w:right w:val="none" w:sz="0" w:space="0" w:color="auto"/>
      </w:divBdr>
    </w:div>
    <w:div w:id="1855876333">
      <w:bodyDiv w:val="1"/>
      <w:marLeft w:val="0"/>
      <w:marRight w:val="0"/>
      <w:marTop w:val="0"/>
      <w:marBottom w:val="0"/>
      <w:divBdr>
        <w:top w:val="none" w:sz="0" w:space="0" w:color="auto"/>
        <w:left w:val="none" w:sz="0" w:space="0" w:color="auto"/>
        <w:bottom w:val="none" w:sz="0" w:space="0" w:color="auto"/>
        <w:right w:val="none" w:sz="0" w:space="0" w:color="auto"/>
      </w:divBdr>
    </w:div>
    <w:div w:id="1855921120">
      <w:bodyDiv w:val="1"/>
      <w:marLeft w:val="0"/>
      <w:marRight w:val="0"/>
      <w:marTop w:val="0"/>
      <w:marBottom w:val="0"/>
      <w:divBdr>
        <w:top w:val="none" w:sz="0" w:space="0" w:color="auto"/>
        <w:left w:val="none" w:sz="0" w:space="0" w:color="auto"/>
        <w:bottom w:val="none" w:sz="0" w:space="0" w:color="auto"/>
        <w:right w:val="none" w:sz="0" w:space="0" w:color="auto"/>
      </w:divBdr>
    </w:div>
    <w:div w:id="1855923081">
      <w:bodyDiv w:val="1"/>
      <w:marLeft w:val="0"/>
      <w:marRight w:val="0"/>
      <w:marTop w:val="0"/>
      <w:marBottom w:val="0"/>
      <w:divBdr>
        <w:top w:val="none" w:sz="0" w:space="0" w:color="auto"/>
        <w:left w:val="none" w:sz="0" w:space="0" w:color="auto"/>
        <w:bottom w:val="none" w:sz="0" w:space="0" w:color="auto"/>
        <w:right w:val="none" w:sz="0" w:space="0" w:color="auto"/>
      </w:divBdr>
    </w:div>
    <w:div w:id="1855924724">
      <w:bodyDiv w:val="1"/>
      <w:marLeft w:val="0"/>
      <w:marRight w:val="0"/>
      <w:marTop w:val="0"/>
      <w:marBottom w:val="0"/>
      <w:divBdr>
        <w:top w:val="none" w:sz="0" w:space="0" w:color="auto"/>
        <w:left w:val="none" w:sz="0" w:space="0" w:color="auto"/>
        <w:bottom w:val="none" w:sz="0" w:space="0" w:color="auto"/>
        <w:right w:val="none" w:sz="0" w:space="0" w:color="auto"/>
      </w:divBdr>
    </w:div>
    <w:div w:id="1855993468">
      <w:bodyDiv w:val="1"/>
      <w:marLeft w:val="0"/>
      <w:marRight w:val="0"/>
      <w:marTop w:val="0"/>
      <w:marBottom w:val="0"/>
      <w:divBdr>
        <w:top w:val="none" w:sz="0" w:space="0" w:color="auto"/>
        <w:left w:val="none" w:sz="0" w:space="0" w:color="auto"/>
        <w:bottom w:val="none" w:sz="0" w:space="0" w:color="auto"/>
        <w:right w:val="none" w:sz="0" w:space="0" w:color="auto"/>
      </w:divBdr>
    </w:div>
    <w:div w:id="1856116904">
      <w:bodyDiv w:val="1"/>
      <w:marLeft w:val="0"/>
      <w:marRight w:val="0"/>
      <w:marTop w:val="0"/>
      <w:marBottom w:val="0"/>
      <w:divBdr>
        <w:top w:val="none" w:sz="0" w:space="0" w:color="auto"/>
        <w:left w:val="none" w:sz="0" w:space="0" w:color="auto"/>
        <w:bottom w:val="none" w:sz="0" w:space="0" w:color="auto"/>
        <w:right w:val="none" w:sz="0" w:space="0" w:color="auto"/>
      </w:divBdr>
    </w:div>
    <w:div w:id="1856185047">
      <w:bodyDiv w:val="1"/>
      <w:marLeft w:val="0"/>
      <w:marRight w:val="0"/>
      <w:marTop w:val="0"/>
      <w:marBottom w:val="0"/>
      <w:divBdr>
        <w:top w:val="none" w:sz="0" w:space="0" w:color="auto"/>
        <w:left w:val="none" w:sz="0" w:space="0" w:color="auto"/>
        <w:bottom w:val="none" w:sz="0" w:space="0" w:color="auto"/>
        <w:right w:val="none" w:sz="0" w:space="0" w:color="auto"/>
      </w:divBdr>
    </w:div>
    <w:div w:id="1856308480">
      <w:bodyDiv w:val="1"/>
      <w:marLeft w:val="0"/>
      <w:marRight w:val="0"/>
      <w:marTop w:val="0"/>
      <w:marBottom w:val="0"/>
      <w:divBdr>
        <w:top w:val="none" w:sz="0" w:space="0" w:color="auto"/>
        <w:left w:val="none" w:sz="0" w:space="0" w:color="auto"/>
        <w:bottom w:val="none" w:sz="0" w:space="0" w:color="auto"/>
        <w:right w:val="none" w:sz="0" w:space="0" w:color="auto"/>
      </w:divBdr>
    </w:div>
    <w:div w:id="1856310692">
      <w:bodyDiv w:val="1"/>
      <w:marLeft w:val="0"/>
      <w:marRight w:val="0"/>
      <w:marTop w:val="0"/>
      <w:marBottom w:val="0"/>
      <w:divBdr>
        <w:top w:val="none" w:sz="0" w:space="0" w:color="auto"/>
        <w:left w:val="none" w:sz="0" w:space="0" w:color="auto"/>
        <w:bottom w:val="none" w:sz="0" w:space="0" w:color="auto"/>
        <w:right w:val="none" w:sz="0" w:space="0" w:color="auto"/>
      </w:divBdr>
    </w:div>
    <w:div w:id="1856383458">
      <w:bodyDiv w:val="1"/>
      <w:marLeft w:val="0"/>
      <w:marRight w:val="0"/>
      <w:marTop w:val="0"/>
      <w:marBottom w:val="0"/>
      <w:divBdr>
        <w:top w:val="none" w:sz="0" w:space="0" w:color="auto"/>
        <w:left w:val="none" w:sz="0" w:space="0" w:color="auto"/>
        <w:bottom w:val="none" w:sz="0" w:space="0" w:color="auto"/>
        <w:right w:val="none" w:sz="0" w:space="0" w:color="auto"/>
      </w:divBdr>
    </w:div>
    <w:div w:id="1856530338">
      <w:bodyDiv w:val="1"/>
      <w:marLeft w:val="0"/>
      <w:marRight w:val="0"/>
      <w:marTop w:val="0"/>
      <w:marBottom w:val="0"/>
      <w:divBdr>
        <w:top w:val="none" w:sz="0" w:space="0" w:color="auto"/>
        <w:left w:val="none" w:sz="0" w:space="0" w:color="auto"/>
        <w:bottom w:val="none" w:sz="0" w:space="0" w:color="auto"/>
        <w:right w:val="none" w:sz="0" w:space="0" w:color="auto"/>
      </w:divBdr>
    </w:div>
    <w:div w:id="1856572861">
      <w:bodyDiv w:val="1"/>
      <w:marLeft w:val="0"/>
      <w:marRight w:val="0"/>
      <w:marTop w:val="0"/>
      <w:marBottom w:val="0"/>
      <w:divBdr>
        <w:top w:val="none" w:sz="0" w:space="0" w:color="auto"/>
        <w:left w:val="none" w:sz="0" w:space="0" w:color="auto"/>
        <w:bottom w:val="none" w:sz="0" w:space="0" w:color="auto"/>
        <w:right w:val="none" w:sz="0" w:space="0" w:color="auto"/>
      </w:divBdr>
    </w:div>
    <w:div w:id="1856725220">
      <w:bodyDiv w:val="1"/>
      <w:marLeft w:val="0"/>
      <w:marRight w:val="0"/>
      <w:marTop w:val="0"/>
      <w:marBottom w:val="0"/>
      <w:divBdr>
        <w:top w:val="none" w:sz="0" w:space="0" w:color="auto"/>
        <w:left w:val="none" w:sz="0" w:space="0" w:color="auto"/>
        <w:bottom w:val="none" w:sz="0" w:space="0" w:color="auto"/>
        <w:right w:val="none" w:sz="0" w:space="0" w:color="auto"/>
      </w:divBdr>
    </w:div>
    <w:div w:id="1856798218">
      <w:bodyDiv w:val="1"/>
      <w:marLeft w:val="0"/>
      <w:marRight w:val="0"/>
      <w:marTop w:val="0"/>
      <w:marBottom w:val="0"/>
      <w:divBdr>
        <w:top w:val="none" w:sz="0" w:space="0" w:color="auto"/>
        <w:left w:val="none" w:sz="0" w:space="0" w:color="auto"/>
        <w:bottom w:val="none" w:sz="0" w:space="0" w:color="auto"/>
        <w:right w:val="none" w:sz="0" w:space="0" w:color="auto"/>
      </w:divBdr>
    </w:div>
    <w:div w:id="1856839797">
      <w:bodyDiv w:val="1"/>
      <w:marLeft w:val="0"/>
      <w:marRight w:val="0"/>
      <w:marTop w:val="0"/>
      <w:marBottom w:val="0"/>
      <w:divBdr>
        <w:top w:val="none" w:sz="0" w:space="0" w:color="auto"/>
        <w:left w:val="none" w:sz="0" w:space="0" w:color="auto"/>
        <w:bottom w:val="none" w:sz="0" w:space="0" w:color="auto"/>
        <w:right w:val="none" w:sz="0" w:space="0" w:color="auto"/>
      </w:divBdr>
    </w:div>
    <w:div w:id="1856917407">
      <w:bodyDiv w:val="1"/>
      <w:marLeft w:val="0"/>
      <w:marRight w:val="0"/>
      <w:marTop w:val="0"/>
      <w:marBottom w:val="0"/>
      <w:divBdr>
        <w:top w:val="none" w:sz="0" w:space="0" w:color="auto"/>
        <w:left w:val="none" w:sz="0" w:space="0" w:color="auto"/>
        <w:bottom w:val="none" w:sz="0" w:space="0" w:color="auto"/>
        <w:right w:val="none" w:sz="0" w:space="0" w:color="auto"/>
      </w:divBdr>
    </w:div>
    <w:div w:id="1856918447">
      <w:bodyDiv w:val="1"/>
      <w:marLeft w:val="0"/>
      <w:marRight w:val="0"/>
      <w:marTop w:val="0"/>
      <w:marBottom w:val="0"/>
      <w:divBdr>
        <w:top w:val="none" w:sz="0" w:space="0" w:color="auto"/>
        <w:left w:val="none" w:sz="0" w:space="0" w:color="auto"/>
        <w:bottom w:val="none" w:sz="0" w:space="0" w:color="auto"/>
        <w:right w:val="none" w:sz="0" w:space="0" w:color="auto"/>
      </w:divBdr>
    </w:div>
    <w:div w:id="1856963082">
      <w:bodyDiv w:val="1"/>
      <w:marLeft w:val="0"/>
      <w:marRight w:val="0"/>
      <w:marTop w:val="0"/>
      <w:marBottom w:val="0"/>
      <w:divBdr>
        <w:top w:val="none" w:sz="0" w:space="0" w:color="auto"/>
        <w:left w:val="none" w:sz="0" w:space="0" w:color="auto"/>
        <w:bottom w:val="none" w:sz="0" w:space="0" w:color="auto"/>
        <w:right w:val="none" w:sz="0" w:space="0" w:color="auto"/>
      </w:divBdr>
    </w:div>
    <w:div w:id="1856992444">
      <w:bodyDiv w:val="1"/>
      <w:marLeft w:val="0"/>
      <w:marRight w:val="0"/>
      <w:marTop w:val="0"/>
      <w:marBottom w:val="0"/>
      <w:divBdr>
        <w:top w:val="none" w:sz="0" w:space="0" w:color="auto"/>
        <w:left w:val="none" w:sz="0" w:space="0" w:color="auto"/>
        <w:bottom w:val="none" w:sz="0" w:space="0" w:color="auto"/>
        <w:right w:val="none" w:sz="0" w:space="0" w:color="auto"/>
      </w:divBdr>
    </w:div>
    <w:div w:id="1857032859">
      <w:bodyDiv w:val="1"/>
      <w:marLeft w:val="0"/>
      <w:marRight w:val="0"/>
      <w:marTop w:val="0"/>
      <w:marBottom w:val="0"/>
      <w:divBdr>
        <w:top w:val="none" w:sz="0" w:space="0" w:color="auto"/>
        <w:left w:val="none" w:sz="0" w:space="0" w:color="auto"/>
        <w:bottom w:val="none" w:sz="0" w:space="0" w:color="auto"/>
        <w:right w:val="none" w:sz="0" w:space="0" w:color="auto"/>
      </w:divBdr>
    </w:div>
    <w:div w:id="1857033881">
      <w:bodyDiv w:val="1"/>
      <w:marLeft w:val="0"/>
      <w:marRight w:val="0"/>
      <w:marTop w:val="0"/>
      <w:marBottom w:val="0"/>
      <w:divBdr>
        <w:top w:val="none" w:sz="0" w:space="0" w:color="auto"/>
        <w:left w:val="none" w:sz="0" w:space="0" w:color="auto"/>
        <w:bottom w:val="none" w:sz="0" w:space="0" w:color="auto"/>
        <w:right w:val="none" w:sz="0" w:space="0" w:color="auto"/>
      </w:divBdr>
    </w:div>
    <w:div w:id="1857113391">
      <w:bodyDiv w:val="1"/>
      <w:marLeft w:val="0"/>
      <w:marRight w:val="0"/>
      <w:marTop w:val="0"/>
      <w:marBottom w:val="0"/>
      <w:divBdr>
        <w:top w:val="none" w:sz="0" w:space="0" w:color="auto"/>
        <w:left w:val="none" w:sz="0" w:space="0" w:color="auto"/>
        <w:bottom w:val="none" w:sz="0" w:space="0" w:color="auto"/>
        <w:right w:val="none" w:sz="0" w:space="0" w:color="auto"/>
      </w:divBdr>
    </w:div>
    <w:div w:id="1857186020">
      <w:bodyDiv w:val="1"/>
      <w:marLeft w:val="0"/>
      <w:marRight w:val="0"/>
      <w:marTop w:val="0"/>
      <w:marBottom w:val="0"/>
      <w:divBdr>
        <w:top w:val="none" w:sz="0" w:space="0" w:color="auto"/>
        <w:left w:val="none" w:sz="0" w:space="0" w:color="auto"/>
        <w:bottom w:val="none" w:sz="0" w:space="0" w:color="auto"/>
        <w:right w:val="none" w:sz="0" w:space="0" w:color="auto"/>
      </w:divBdr>
    </w:div>
    <w:div w:id="1857495169">
      <w:bodyDiv w:val="1"/>
      <w:marLeft w:val="0"/>
      <w:marRight w:val="0"/>
      <w:marTop w:val="0"/>
      <w:marBottom w:val="0"/>
      <w:divBdr>
        <w:top w:val="none" w:sz="0" w:space="0" w:color="auto"/>
        <w:left w:val="none" w:sz="0" w:space="0" w:color="auto"/>
        <w:bottom w:val="none" w:sz="0" w:space="0" w:color="auto"/>
        <w:right w:val="none" w:sz="0" w:space="0" w:color="auto"/>
      </w:divBdr>
    </w:div>
    <w:div w:id="1857578240">
      <w:bodyDiv w:val="1"/>
      <w:marLeft w:val="0"/>
      <w:marRight w:val="0"/>
      <w:marTop w:val="0"/>
      <w:marBottom w:val="0"/>
      <w:divBdr>
        <w:top w:val="none" w:sz="0" w:space="0" w:color="auto"/>
        <w:left w:val="none" w:sz="0" w:space="0" w:color="auto"/>
        <w:bottom w:val="none" w:sz="0" w:space="0" w:color="auto"/>
        <w:right w:val="none" w:sz="0" w:space="0" w:color="auto"/>
      </w:divBdr>
    </w:div>
    <w:div w:id="1857620967">
      <w:bodyDiv w:val="1"/>
      <w:marLeft w:val="0"/>
      <w:marRight w:val="0"/>
      <w:marTop w:val="0"/>
      <w:marBottom w:val="0"/>
      <w:divBdr>
        <w:top w:val="none" w:sz="0" w:space="0" w:color="auto"/>
        <w:left w:val="none" w:sz="0" w:space="0" w:color="auto"/>
        <w:bottom w:val="none" w:sz="0" w:space="0" w:color="auto"/>
        <w:right w:val="none" w:sz="0" w:space="0" w:color="auto"/>
      </w:divBdr>
    </w:div>
    <w:div w:id="1857650363">
      <w:bodyDiv w:val="1"/>
      <w:marLeft w:val="0"/>
      <w:marRight w:val="0"/>
      <w:marTop w:val="0"/>
      <w:marBottom w:val="0"/>
      <w:divBdr>
        <w:top w:val="none" w:sz="0" w:space="0" w:color="auto"/>
        <w:left w:val="none" w:sz="0" w:space="0" w:color="auto"/>
        <w:bottom w:val="none" w:sz="0" w:space="0" w:color="auto"/>
        <w:right w:val="none" w:sz="0" w:space="0" w:color="auto"/>
      </w:divBdr>
    </w:div>
    <w:div w:id="1857690003">
      <w:bodyDiv w:val="1"/>
      <w:marLeft w:val="0"/>
      <w:marRight w:val="0"/>
      <w:marTop w:val="0"/>
      <w:marBottom w:val="0"/>
      <w:divBdr>
        <w:top w:val="none" w:sz="0" w:space="0" w:color="auto"/>
        <w:left w:val="none" w:sz="0" w:space="0" w:color="auto"/>
        <w:bottom w:val="none" w:sz="0" w:space="0" w:color="auto"/>
        <w:right w:val="none" w:sz="0" w:space="0" w:color="auto"/>
      </w:divBdr>
    </w:div>
    <w:div w:id="1857696142">
      <w:bodyDiv w:val="1"/>
      <w:marLeft w:val="0"/>
      <w:marRight w:val="0"/>
      <w:marTop w:val="0"/>
      <w:marBottom w:val="0"/>
      <w:divBdr>
        <w:top w:val="none" w:sz="0" w:space="0" w:color="auto"/>
        <w:left w:val="none" w:sz="0" w:space="0" w:color="auto"/>
        <w:bottom w:val="none" w:sz="0" w:space="0" w:color="auto"/>
        <w:right w:val="none" w:sz="0" w:space="0" w:color="auto"/>
      </w:divBdr>
    </w:div>
    <w:div w:id="1857769383">
      <w:bodyDiv w:val="1"/>
      <w:marLeft w:val="0"/>
      <w:marRight w:val="0"/>
      <w:marTop w:val="0"/>
      <w:marBottom w:val="0"/>
      <w:divBdr>
        <w:top w:val="none" w:sz="0" w:space="0" w:color="auto"/>
        <w:left w:val="none" w:sz="0" w:space="0" w:color="auto"/>
        <w:bottom w:val="none" w:sz="0" w:space="0" w:color="auto"/>
        <w:right w:val="none" w:sz="0" w:space="0" w:color="auto"/>
      </w:divBdr>
    </w:div>
    <w:div w:id="1857883730">
      <w:bodyDiv w:val="1"/>
      <w:marLeft w:val="0"/>
      <w:marRight w:val="0"/>
      <w:marTop w:val="0"/>
      <w:marBottom w:val="0"/>
      <w:divBdr>
        <w:top w:val="none" w:sz="0" w:space="0" w:color="auto"/>
        <w:left w:val="none" w:sz="0" w:space="0" w:color="auto"/>
        <w:bottom w:val="none" w:sz="0" w:space="0" w:color="auto"/>
        <w:right w:val="none" w:sz="0" w:space="0" w:color="auto"/>
      </w:divBdr>
    </w:div>
    <w:div w:id="1857890333">
      <w:bodyDiv w:val="1"/>
      <w:marLeft w:val="0"/>
      <w:marRight w:val="0"/>
      <w:marTop w:val="0"/>
      <w:marBottom w:val="0"/>
      <w:divBdr>
        <w:top w:val="none" w:sz="0" w:space="0" w:color="auto"/>
        <w:left w:val="none" w:sz="0" w:space="0" w:color="auto"/>
        <w:bottom w:val="none" w:sz="0" w:space="0" w:color="auto"/>
        <w:right w:val="none" w:sz="0" w:space="0" w:color="auto"/>
      </w:divBdr>
    </w:div>
    <w:div w:id="1858077841">
      <w:bodyDiv w:val="1"/>
      <w:marLeft w:val="0"/>
      <w:marRight w:val="0"/>
      <w:marTop w:val="0"/>
      <w:marBottom w:val="0"/>
      <w:divBdr>
        <w:top w:val="none" w:sz="0" w:space="0" w:color="auto"/>
        <w:left w:val="none" w:sz="0" w:space="0" w:color="auto"/>
        <w:bottom w:val="none" w:sz="0" w:space="0" w:color="auto"/>
        <w:right w:val="none" w:sz="0" w:space="0" w:color="auto"/>
      </w:divBdr>
    </w:div>
    <w:div w:id="1858151171">
      <w:bodyDiv w:val="1"/>
      <w:marLeft w:val="0"/>
      <w:marRight w:val="0"/>
      <w:marTop w:val="0"/>
      <w:marBottom w:val="0"/>
      <w:divBdr>
        <w:top w:val="none" w:sz="0" w:space="0" w:color="auto"/>
        <w:left w:val="none" w:sz="0" w:space="0" w:color="auto"/>
        <w:bottom w:val="none" w:sz="0" w:space="0" w:color="auto"/>
        <w:right w:val="none" w:sz="0" w:space="0" w:color="auto"/>
      </w:divBdr>
    </w:div>
    <w:div w:id="1858155373">
      <w:bodyDiv w:val="1"/>
      <w:marLeft w:val="0"/>
      <w:marRight w:val="0"/>
      <w:marTop w:val="0"/>
      <w:marBottom w:val="0"/>
      <w:divBdr>
        <w:top w:val="none" w:sz="0" w:space="0" w:color="auto"/>
        <w:left w:val="none" w:sz="0" w:space="0" w:color="auto"/>
        <w:bottom w:val="none" w:sz="0" w:space="0" w:color="auto"/>
        <w:right w:val="none" w:sz="0" w:space="0" w:color="auto"/>
      </w:divBdr>
    </w:div>
    <w:div w:id="1858301140">
      <w:bodyDiv w:val="1"/>
      <w:marLeft w:val="0"/>
      <w:marRight w:val="0"/>
      <w:marTop w:val="0"/>
      <w:marBottom w:val="0"/>
      <w:divBdr>
        <w:top w:val="none" w:sz="0" w:space="0" w:color="auto"/>
        <w:left w:val="none" w:sz="0" w:space="0" w:color="auto"/>
        <w:bottom w:val="none" w:sz="0" w:space="0" w:color="auto"/>
        <w:right w:val="none" w:sz="0" w:space="0" w:color="auto"/>
      </w:divBdr>
    </w:div>
    <w:div w:id="1858349819">
      <w:bodyDiv w:val="1"/>
      <w:marLeft w:val="0"/>
      <w:marRight w:val="0"/>
      <w:marTop w:val="0"/>
      <w:marBottom w:val="0"/>
      <w:divBdr>
        <w:top w:val="none" w:sz="0" w:space="0" w:color="auto"/>
        <w:left w:val="none" w:sz="0" w:space="0" w:color="auto"/>
        <w:bottom w:val="none" w:sz="0" w:space="0" w:color="auto"/>
        <w:right w:val="none" w:sz="0" w:space="0" w:color="auto"/>
      </w:divBdr>
    </w:div>
    <w:div w:id="1858422941">
      <w:bodyDiv w:val="1"/>
      <w:marLeft w:val="0"/>
      <w:marRight w:val="0"/>
      <w:marTop w:val="0"/>
      <w:marBottom w:val="0"/>
      <w:divBdr>
        <w:top w:val="none" w:sz="0" w:space="0" w:color="auto"/>
        <w:left w:val="none" w:sz="0" w:space="0" w:color="auto"/>
        <w:bottom w:val="none" w:sz="0" w:space="0" w:color="auto"/>
        <w:right w:val="none" w:sz="0" w:space="0" w:color="auto"/>
      </w:divBdr>
    </w:div>
    <w:div w:id="1858427958">
      <w:bodyDiv w:val="1"/>
      <w:marLeft w:val="0"/>
      <w:marRight w:val="0"/>
      <w:marTop w:val="0"/>
      <w:marBottom w:val="0"/>
      <w:divBdr>
        <w:top w:val="none" w:sz="0" w:space="0" w:color="auto"/>
        <w:left w:val="none" w:sz="0" w:space="0" w:color="auto"/>
        <w:bottom w:val="none" w:sz="0" w:space="0" w:color="auto"/>
        <w:right w:val="none" w:sz="0" w:space="0" w:color="auto"/>
      </w:divBdr>
    </w:div>
    <w:div w:id="1858495488">
      <w:bodyDiv w:val="1"/>
      <w:marLeft w:val="0"/>
      <w:marRight w:val="0"/>
      <w:marTop w:val="0"/>
      <w:marBottom w:val="0"/>
      <w:divBdr>
        <w:top w:val="none" w:sz="0" w:space="0" w:color="auto"/>
        <w:left w:val="none" w:sz="0" w:space="0" w:color="auto"/>
        <w:bottom w:val="none" w:sz="0" w:space="0" w:color="auto"/>
        <w:right w:val="none" w:sz="0" w:space="0" w:color="auto"/>
      </w:divBdr>
    </w:div>
    <w:div w:id="1858498107">
      <w:bodyDiv w:val="1"/>
      <w:marLeft w:val="0"/>
      <w:marRight w:val="0"/>
      <w:marTop w:val="0"/>
      <w:marBottom w:val="0"/>
      <w:divBdr>
        <w:top w:val="none" w:sz="0" w:space="0" w:color="auto"/>
        <w:left w:val="none" w:sz="0" w:space="0" w:color="auto"/>
        <w:bottom w:val="none" w:sz="0" w:space="0" w:color="auto"/>
        <w:right w:val="none" w:sz="0" w:space="0" w:color="auto"/>
      </w:divBdr>
    </w:div>
    <w:div w:id="1858502089">
      <w:bodyDiv w:val="1"/>
      <w:marLeft w:val="0"/>
      <w:marRight w:val="0"/>
      <w:marTop w:val="0"/>
      <w:marBottom w:val="0"/>
      <w:divBdr>
        <w:top w:val="none" w:sz="0" w:space="0" w:color="auto"/>
        <w:left w:val="none" w:sz="0" w:space="0" w:color="auto"/>
        <w:bottom w:val="none" w:sz="0" w:space="0" w:color="auto"/>
        <w:right w:val="none" w:sz="0" w:space="0" w:color="auto"/>
      </w:divBdr>
    </w:div>
    <w:div w:id="1858536886">
      <w:bodyDiv w:val="1"/>
      <w:marLeft w:val="0"/>
      <w:marRight w:val="0"/>
      <w:marTop w:val="0"/>
      <w:marBottom w:val="0"/>
      <w:divBdr>
        <w:top w:val="none" w:sz="0" w:space="0" w:color="auto"/>
        <w:left w:val="none" w:sz="0" w:space="0" w:color="auto"/>
        <w:bottom w:val="none" w:sz="0" w:space="0" w:color="auto"/>
        <w:right w:val="none" w:sz="0" w:space="0" w:color="auto"/>
      </w:divBdr>
    </w:div>
    <w:div w:id="1858542420">
      <w:bodyDiv w:val="1"/>
      <w:marLeft w:val="0"/>
      <w:marRight w:val="0"/>
      <w:marTop w:val="0"/>
      <w:marBottom w:val="0"/>
      <w:divBdr>
        <w:top w:val="none" w:sz="0" w:space="0" w:color="auto"/>
        <w:left w:val="none" w:sz="0" w:space="0" w:color="auto"/>
        <w:bottom w:val="none" w:sz="0" w:space="0" w:color="auto"/>
        <w:right w:val="none" w:sz="0" w:space="0" w:color="auto"/>
      </w:divBdr>
    </w:div>
    <w:div w:id="1858616796">
      <w:bodyDiv w:val="1"/>
      <w:marLeft w:val="0"/>
      <w:marRight w:val="0"/>
      <w:marTop w:val="0"/>
      <w:marBottom w:val="0"/>
      <w:divBdr>
        <w:top w:val="none" w:sz="0" w:space="0" w:color="auto"/>
        <w:left w:val="none" w:sz="0" w:space="0" w:color="auto"/>
        <w:bottom w:val="none" w:sz="0" w:space="0" w:color="auto"/>
        <w:right w:val="none" w:sz="0" w:space="0" w:color="auto"/>
      </w:divBdr>
    </w:div>
    <w:div w:id="1858617586">
      <w:bodyDiv w:val="1"/>
      <w:marLeft w:val="0"/>
      <w:marRight w:val="0"/>
      <w:marTop w:val="0"/>
      <w:marBottom w:val="0"/>
      <w:divBdr>
        <w:top w:val="none" w:sz="0" w:space="0" w:color="auto"/>
        <w:left w:val="none" w:sz="0" w:space="0" w:color="auto"/>
        <w:bottom w:val="none" w:sz="0" w:space="0" w:color="auto"/>
        <w:right w:val="none" w:sz="0" w:space="0" w:color="auto"/>
      </w:divBdr>
    </w:div>
    <w:div w:id="1858617621">
      <w:bodyDiv w:val="1"/>
      <w:marLeft w:val="0"/>
      <w:marRight w:val="0"/>
      <w:marTop w:val="0"/>
      <w:marBottom w:val="0"/>
      <w:divBdr>
        <w:top w:val="none" w:sz="0" w:space="0" w:color="auto"/>
        <w:left w:val="none" w:sz="0" w:space="0" w:color="auto"/>
        <w:bottom w:val="none" w:sz="0" w:space="0" w:color="auto"/>
        <w:right w:val="none" w:sz="0" w:space="0" w:color="auto"/>
      </w:divBdr>
    </w:div>
    <w:div w:id="1858884551">
      <w:bodyDiv w:val="1"/>
      <w:marLeft w:val="0"/>
      <w:marRight w:val="0"/>
      <w:marTop w:val="0"/>
      <w:marBottom w:val="0"/>
      <w:divBdr>
        <w:top w:val="none" w:sz="0" w:space="0" w:color="auto"/>
        <w:left w:val="none" w:sz="0" w:space="0" w:color="auto"/>
        <w:bottom w:val="none" w:sz="0" w:space="0" w:color="auto"/>
        <w:right w:val="none" w:sz="0" w:space="0" w:color="auto"/>
      </w:divBdr>
    </w:div>
    <w:div w:id="1858887006">
      <w:bodyDiv w:val="1"/>
      <w:marLeft w:val="0"/>
      <w:marRight w:val="0"/>
      <w:marTop w:val="0"/>
      <w:marBottom w:val="0"/>
      <w:divBdr>
        <w:top w:val="none" w:sz="0" w:space="0" w:color="auto"/>
        <w:left w:val="none" w:sz="0" w:space="0" w:color="auto"/>
        <w:bottom w:val="none" w:sz="0" w:space="0" w:color="auto"/>
        <w:right w:val="none" w:sz="0" w:space="0" w:color="auto"/>
      </w:divBdr>
    </w:div>
    <w:div w:id="1858932512">
      <w:bodyDiv w:val="1"/>
      <w:marLeft w:val="0"/>
      <w:marRight w:val="0"/>
      <w:marTop w:val="0"/>
      <w:marBottom w:val="0"/>
      <w:divBdr>
        <w:top w:val="none" w:sz="0" w:space="0" w:color="auto"/>
        <w:left w:val="none" w:sz="0" w:space="0" w:color="auto"/>
        <w:bottom w:val="none" w:sz="0" w:space="0" w:color="auto"/>
        <w:right w:val="none" w:sz="0" w:space="0" w:color="auto"/>
      </w:divBdr>
    </w:div>
    <w:div w:id="1858958555">
      <w:bodyDiv w:val="1"/>
      <w:marLeft w:val="0"/>
      <w:marRight w:val="0"/>
      <w:marTop w:val="0"/>
      <w:marBottom w:val="0"/>
      <w:divBdr>
        <w:top w:val="none" w:sz="0" w:space="0" w:color="auto"/>
        <w:left w:val="none" w:sz="0" w:space="0" w:color="auto"/>
        <w:bottom w:val="none" w:sz="0" w:space="0" w:color="auto"/>
        <w:right w:val="none" w:sz="0" w:space="0" w:color="auto"/>
      </w:divBdr>
    </w:div>
    <w:div w:id="1859194306">
      <w:bodyDiv w:val="1"/>
      <w:marLeft w:val="0"/>
      <w:marRight w:val="0"/>
      <w:marTop w:val="0"/>
      <w:marBottom w:val="0"/>
      <w:divBdr>
        <w:top w:val="none" w:sz="0" w:space="0" w:color="auto"/>
        <w:left w:val="none" w:sz="0" w:space="0" w:color="auto"/>
        <w:bottom w:val="none" w:sz="0" w:space="0" w:color="auto"/>
        <w:right w:val="none" w:sz="0" w:space="0" w:color="auto"/>
      </w:divBdr>
    </w:div>
    <w:div w:id="1859269926">
      <w:bodyDiv w:val="1"/>
      <w:marLeft w:val="0"/>
      <w:marRight w:val="0"/>
      <w:marTop w:val="0"/>
      <w:marBottom w:val="0"/>
      <w:divBdr>
        <w:top w:val="none" w:sz="0" w:space="0" w:color="auto"/>
        <w:left w:val="none" w:sz="0" w:space="0" w:color="auto"/>
        <w:bottom w:val="none" w:sz="0" w:space="0" w:color="auto"/>
        <w:right w:val="none" w:sz="0" w:space="0" w:color="auto"/>
      </w:divBdr>
    </w:div>
    <w:div w:id="1859388203">
      <w:bodyDiv w:val="1"/>
      <w:marLeft w:val="0"/>
      <w:marRight w:val="0"/>
      <w:marTop w:val="0"/>
      <w:marBottom w:val="0"/>
      <w:divBdr>
        <w:top w:val="none" w:sz="0" w:space="0" w:color="auto"/>
        <w:left w:val="none" w:sz="0" w:space="0" w:color="auto"/>
        <w:bottom w:val="none" w:sz="0" w:space="0" w:color="auto"/>
        <w:right w:val="none" w:sz="0" w:space="0" w:color="auto"/>
      </w:divBdr>
    </w:div>
    <w:div w:id="1859464456">
      <w:bodyDiv w:val="1"/>
      <w:marLeft w:val="0"/>
      <w:marRight w:val="0"/>
      <w:marTop w:val="0"/>
      <w:marBottom w:val="0"/>
      <w:divBdr>
        <w:top w:val="none" w:sz="0" w:space="0" w:color="auto"/>
        <w:left w:val="none" w:sz="0" w:space="0" w:color="auto"/>
        <w:bottom w:val="none" w:sz="0" w:space="0" w:color="auto"/>
        <w:right w:val="none" w:sz="0" w:space="0" w:color="auto"/>
      </w:divBdr>
    </w:div>
    <w:div w:id="1859542188">
      <w:bodyDiv w:val="1"/>
      <w:marLeft w:val="0"/>
      <w:marRight w:val="0"/>
      <w:marTop w:val="0"/>
      <w:marBottom w:val="0"/>
      <w:divBdr>
        <w:top w:val="none" w:sz="0" w:space="0" w:color="auto"/>
        <w:left w:val="none" w:sz="0" w:space="0" w:color="auto"/>
        <w:bottom w:val="none" w:sz="0" w:space="0" w:color="auto"/>
        <w:right w:val="none" w:sz="0" w:space="0" w:color="auto"/>
      </w:divBdr>
    </w:div>
    <w:div w:id="1859615682">
      <w:bodyDiv w:val="1"/>
      <w:marLeft w:val="0"/>
      <w:marRight w:val="0"/>
      <w:marTop w:val="0"/>
      <w:marBottom w:val="0"/>
      <w:divBdr>
        <w:top w:val="none" w:sz="0" w:space="0" w:color="auto"/>
        <w:left w:val="none" w:sz="0" w:space="0" w:color="auto"/>
        <w:bottom w:val="none" w:sz="0" w:space="0" w:color="auto"/>
        <w:right w:val="none" w:sz="0" w:space="0" w:color="auto"/>
      </w:divBdr>
    </w:div>
    <w:div w:id="1859659499">
      <w:bodyDiv w:val="1"/>
      <w:marLeft w:val="0"/>
      <w:marRight w:val="0"/>
      <w:marTop w:val="0"/>
      <w:marBottom w:val="0"/>
      <w:divBdr>
        <w:top w:val="none" w:sz="0" w:space="0" w:color="auto"/>
        <w:left w:val="none" w:sz="0" w:space="0" w:color="auto"/>
        <w:bottom w:val="none" w:sz="0" w:space="0" w:color="auto"/>
        <w:right w:val="none" w:sz="0" w:space="0" w:color="auto"/>
      </w:divBdr>
    </w:div>
    <w:div w:id="1859731010">
      <w:bodyDiv w:val="1"/>
      <w:marLeft w:val="0"/>
      <w:marRight w:val="0"/>
      <w:marTop w:val="0"/>
      <w:marBottom w:val="0"/>
      <w:divBdr>
        <w:top w:val="none" w:sz="0" w:space="0" w:color="auto"/>
        <w:left w:val="none" w:sz="0" w:space="0" w:color="auto"/>
        <w:bottom w:val="none" w:sz="0" w:space="0" w:color="auto"/>
        <w:right w:val="none" w:sz="0" w:space="0" w:color="auto"/>
      </w:divBdr>
    </w:div>
    <w:div w:id="1859731336">
      <w:bodyDiv w:val="1"/>
      <w:marLeft w:val="0"/>
      <w:marRight w:val="0"/>
      <w:marTop w:val="0"/>
      <w:marBottom w:val="0"/>
      <w:divBdr>
        <w:top w:val="none" w:sz="0" w:space="0" w:color="auto"/>
        <w:left w:val="none" w:sz="0" w:space="0" w:color="auto"/>
        <w:bottom w:val="none" w:sz="0" w:space="0" w:color="auto"/>
        <w:right w:val="none" w:sz="0" w:space="0" w:color="auto"/>
      </w:divBdr>
    </w:div>
    <w:div w:id="1859808801">
      <w:bodyDiv w:val="1"/>
      <w:marLeft w:val="0"/>
      <w:marRight w:val="0"/>
      <w:marTop w:val="0"/>
      <w:marBottom w:val="0"/>
      <w:divBdr>
        <w:top w:val="none" w:sz="0" w:space="0" w:color="auto"/>
        <w:left w:val="none" w:sz="0" w:space="0" w:color="auto"/>
        <w:bottom w:val="none" w:sz="0" w:space="0" w:color="auto"/>
        <w:right w:val="none" w:sz="0" w:space="0" w:color="auto"/>
      </w:divBdr>
    </w:div>
    <w:div w:id="1859812789">
      <w:bodyDiv w:val="1"/>
      <w:marLeft w:val="0"/>
      <w:marRight w:val="0"/>
      <w:marTop w:val="0"/>
      <w:marBottom w:val="0"/>
      <w:divBdr>
        <w:top w:val="none" w:sz="0" w:space="0" w:color="auto"/>
        <w:left w:val="none" w:sz="0" w:space="0" w:color="auto"/>
        <w:bottom w:val="none" w:sz="0" w:space="0" w:color="auto"/>
        <w:right w:val="none" w:sz="0" w:space="0" w:color="auto"/>
      </w:divBdr>
    </w:div>
    <w:div w:id="1859853858">
      <w:bodyDiv w:val="1"/>
      <w:marLeft w:val="0"/>
      <w:marRight w:val="0"/>
      <w:marTop w:val="0"/>
      <w:marBottom w:val="0"/>
      <w:divBdr>
        <w:top w:val="none" w:sz="0" w:space="0" w:color="auto"/>
        <w:left w:val="none" w:sz="0" w:space="0" w:color="auto"/>
        <w:bottom w:val="none" w:sz="0" w:space="0" w:color="auto"/>
        <w:right w:val="none" w:sz="0" w:space="0" w:color="auto"/>
      </w:divBdr>
    </w:div>
    <w:div w:id="1859856552">
      <w:bodyDiv w:val="1"/>
      <w:marLeft w:val="0"/>
      <w:marRight w:val="0"/>
      <w:marTop w:val="0"/>
      <w:marBottom w:val="0"/>
      <w:divBdr>
        <w:top w:val="none" w:sz="0" w:space="0" w:color="auto"/>
        <w:left w:val="none" w:sz="0" w:space="0" w:color="auto"/>
        <w:bottom w:val="none" w:sz="0" w:space="0" w:color="auto"/>
        <w:right w:val="none" w:sz="0" w:space="0" w:color="auto"/>
      </w:divBdr>
    </w:div>
    <w:div w:id="1860120446">
      <w:bodyDiv w:val="1"/>
      <w:marLeft w:val="0"/>
      <w:marRight w:val="0"/>
      <w:marTop w:val="0"/>
      <w:marBottom w:val="0"/>
      <w:divBdr>
        <w:top w:val="none" w:sz="0" w:space="0" w:color="auto"/>
        <w:left w:val="none" w:sz="0" w:space="0" w:color="auto"/>
        <w:bottom w:val="none" w:sz="0" w:space="0" w:color="auto"/>
        <w:right w:val="none" w:sz="0" w:space="0" w:color="auto"/>
      </w:divBdr>
    </w:div>
    <w:div w:id="1860123190">
      <w:bodyDiv w:val="1"/>
      <w:marLeft w:val="0"/>
      <w:marRight w:val="0"/>
      <w:marTop w:val="0"/>
      <w:marBottom w:val="0"/>
      <w:divBdr>
        <w:top w:val="none" w:sz="0" w:space="0" w:color="auto"/>
        <w:left w:val="none" w:sz="0" w:space="0" w:color="auto"/>
        <w:bottom w:val="none" w:sz="0" w:space="0" w:color="auto"/>
        <w:right w:val="none" w:sz="0" w:space="0" w:color="auto"/>
      </w:divBdr>
    </w:div>
    <w:div w:id="1860125441">
      <w:bodyDiv w:val="1"/>
      <w:marLeft w:val="0"/>
      <w:marRight w:val="0"/>
      <w:marTop w:val="0"/>
      <w:marBottom w:val="0"/>
      <w:divBdr>
        <w:top w:val="none" w:sz="0" w:space="0" w:color="auto"/>
        <w:left w:val="none" w:sz="0" w:space="0" w:color="auto"/>
        <w:bottom w:val="none" w:sz="0" w:space="0" w:color="auto"/>
        <w:right w:val="none" w:sz="0" w:space="0" w:color="auto"/>
      </w:divBdr>
    </w:div>
    <w:div w:id="1860199235">
      <w:bodyDiv w:val="1"/>
      <w:marLeft w:val="0"/>
      <w:marRight w:val="0"/>
      <w:marTop w:val="0"/>
      <w:marBottom w:val="0"/>
      <w:divBdr>
        <w:top w:val="none" w:sz="0" w:space="0" w:color="auto"/>
        <w:left w:val="none" w:sz="0" w:space="0" w:color="auto"/>
        <w:bottom w:val="none" w:sz="0" w:space="0" w:color="auto"/>
        <w:right w:val="none" w:sz="0" w:space="0" w:color="auto"/>
      </w:divBdr>
    </w:div>
    <w:div w:id="1860309787">
      <w:bodyDiv w:val="1"/>
      <w:marLeft w:val="0"/>
      <w:marRight w:val="0"/>
      <w:marTop w:val="0"/>
      <w:marBottom w:val="0"/>
      <w:divBdr>
        <w:top w:val="none" w:sz="0" w:space="0" w:color="auto"/>
        <w:left w:val="none" w:sz="0" w:space="0" w:color="auto"/>
        <w:bottom w:val="none" w:sz="0" w:space="0" w:color="auto"/>
        <w:right w:val="none" w:sz="0" w:space="0" w:color="auto"/>
      </w:divBdr>
    </w:div>
    <w:div w:id="1860318876">
      <w:bodyDiv w:val="1"/>
      <w:marLeft w:val="0"/>
      <w:marRight w:val="0"/>
      <w:marTop w:val="0"/>
      <w:marBottom w:val="0"/>
      <w:divBdr>
        <w:top w:val="none" w:sz="0" w:space="0" w:color="auto"/>
        <w:left w:val="none" w:sz="0" w:space="0" w:color="auto"/>
        <w:bottom w:val="none" w:sz="0" w:space="0" w:color="auto"/>
        <w:right w:val="none" w:sz="0" w:space="0" w:color="auto"/>
      </w:divBdr>
    </w:div>
    <w:div w:id="1860436026">
      <w:bodyDiv w:val="1"/>
      <w:marLeft w:val="0"/>
      <w:marRight w:val="0"/>
      <w:marTop w:val="0"/>
      <w:marBottom w:val="0"/>
      <w:divBdr>
        <w:top w:val="none" w:sz="0" w:space="0" w:color="auto"/>
        <w:left w:val="none" w:sz="0" w:space="0" w:color="auto"/>
        <w:bottom w:val="none" w:sz="0" w:space="0" w:color="auto"/>
        <w:right w:val="none" w:sz="0" w:space="0" w:color="auto"/>
      </w:divBdr>
    </w:div>
    <w:div w:id="1860464046">
      <w:bodyDiv w:val="1"/>
      <w:marLeft w:val="0"/>
      <w:marRight w:val="0"/>
      <w:marTop w:val="0"/>
      <w:marBottom w:val="0"/>
      <w:divBdr>
        <w:top w:val="none" w:sz="0" w:space="0" w:color="auto"/>
        <w:left w:val="none" w:sz="0" w:space="0" w:color="auto"/>
        <w:bottom w:val="none" w:sz="0" w:space="0" w:color="auto"/>
        <w:right w:val="none" w:sz="0" w:space="0" w:color="auto"/>
      </w:divBdr>
    </w:div>
    <w:div w:id="1860466804">
      <w:bodyDiv w:val="1"/>
      <w:marLeft w:val="0"/>
      <w:marRight w:val="0"/>
      <w:marTop w:val="0"/>
      <w:marBottom w:val="0"/>
      <w:divBdr>
        <w:top w:val="none" w:sz="0" w:space="0" w:color="auto"/>
        <w:left w:val="none" w:sz="0" w:space="0" w:color="auto"/>
        <w:bottom w:val="none" w:sz="0" w:space="0" w:color="auto"/>
        <w:right w:val="none" w:sz="0" w:space="0" w:color="auto"/>
      </w:divBdr>
    </w:div>
    <w:div w:id="1860511137">
      <w:bodyDiv w:val="1"/>
      <w:marLeft w:val="0"/>
      <w:marRight w:val="0"/>
      <w:marTop w:val="0"/>
      <w:marBottom w:val="0"/>
      <w:divBdr>
        <w:top w:val="none" w:sz="0" w:space="0" w:color="auto"/>
        <w:left w:val="none" w:sz="0" w:space="0" w:color="auto"/>
        <w:bottom w:val="none" w:sz="0" w:space="0" w:color="auto"/>
        <w:right w:val="none" w:sz="0" w:space="0" w:color="auto"/>
      </w:divBdr>
    </w:div>
    <w:div w:id="1860580044">
      <w:bodyDiv w:val="1"/>
      <w:marLeft w:val="0"/>
      <w:marRight w:val="0"/>
      <w:marTop w:val="0"/>
      <w:marBottom w:val="0"/>
      <w:divBdr>
        <w:top w:val="none" w:sz="0" w:space="0" w:color="auto"/>
        <w:left w:val="none" w:sz="0" w:space="0" w:color="auto"/>
        <w:bottom w:val="none" w:sz="0" w:space="0" w:color="auto"/>
        <w:right w:val="none" w:sz="0" w:space="0" w:color="auto"/>
      </w:divBdr>
    </w:div>
    <w:div w:id="1860587026">
      <w:bodyDiv w:val="1"/>
      <w:marLeft w:val="0"/>
      <w:marRight w:val="0"/>
      <w:marTop w:val="0"/>
      <w:marBottom w:val="0"/>
      <w:divBdr>
        <w:top w:val="none" w:sz="0" w:space="0" w:color="auto"/>
        <w:left w:val="none" w:sz="0" w:space="0" w:color="auto"/>
        <w:bottom w:val="none" w:sz="0" w:space="0" w:color="auto"/>
        <w:right w:val="none" w:sz="0" w:space="0" w:color="auto"/>
      </w:divBdr>
    </w:div>
    <w:div w:id="1860656841">
      <w:bodyDiv w:val="1"/>
      <w:marLeft w:val="0"/>
      <w:marRight w:val="0"/>
      <w:marTop w:val="0"/>
      <w:marBottom w:val="0"/>
      <w:divBdr>
        <w:top w:val="none" w:sz="0" w:space="0" w:color="auto"/>
        <w:left w:val="none" w:sz="0" w:space="0" w:color="auto"/>
        <w:bottom w:val="none" w:sz="0" w:space="0" w:color="auto"/>
        <w:right w:val="none" w:sz="0" w:space="0" w:color="auto"/>
      </w:divBdr>
    </w:div>
    <w:div w:id="1860700008">
      <w:bodyDiv w:val="1"/>
      <w:marLeft w:val="0"/>
      <w:marRight w:val="0"/>
      <w:marTop w:val="0"/>
      <w:marBottom w:val="0"/>
      <w:divBdr>
        <w:top w:val="none" w:sz="0" w:space="0" w:color="auto"/>
        <w:left w:val="none" w:sz="0" w:space="0" w:color="auto"/>
        <w:bottom w:val="none" w:sz="0" w:space="0" w:color="auto"/>
        <w:right w:val="none" w:sz="0" w:space="0" w:color="auto"/>
      </w:divBdr>
    </w:div>
    <w:div w:id="1861044526">
      <w:bodyDiv w:val="1"/>
      <w:marLeft w:val="0"/>
      <w:marRight w:val="0"/>
      <w:marTop w:val="0"/>
      <w:marBottom w:val="0"/>
      <w:divBdr>
        <w:top w:val="none" w:sz="0" w:space="0" w:color="auto"/>
        <w:left w:val="none" w:sz="0" w:space="0" w:color="auto"/>
        <w:bottom w:val="none" w:sz="0" w:space="0" w:color="auto"/>
        <w:right w:val="none" w:sz="0" w:space="0" w:color="auto"/>
      </w:divBdr>
    </w:div>
    <w:div w:id="1861162672">
      <w:bodyDiv w:val="1"/>
      <w:marLeft w:val="0"/>
      <w:marRight w:val="0"/>
      <w:marTop w:val="0"/>
      <w:marBottom w:val="0"/>
      <w:divBdr>
        <w:top w:val="none" w:sz="0" w:space="0" w:color="auto"/>
        <w:left w:val="none" w:sz="0" w:space="0" w:color="auto"/>
        <w:bottom w:val="none" w:sz="0" w:space="0" w:color="auto"/>
        <w:right w:val="none" w:sz="0" w:space="0" w:color="auto"/>
      </w:divBdr>
    </w:div>
    <w:div w:id="1861239625">
      <w:bodyDiv w:val="1"/>
      <w:marLeft w:val="0"/>
      <w:marRight w:val="0"/>
      <w:marTop w:val="0"/>
      <w:marBottom w:val="0"/>
      <w:divBdr>
        <w:top w:val="none" w:sz="0" w:space="0" w:color="auto"/>
        <w:left w:val="none" w:sz="0" w:space="0" w:color="auto"/>
        <w:bottom w:val="none" w:sz="0" w:space="0" w:color="auto"/>
        <w:right w:val="none" w:sz="0" w:space="0" w:color="auto"/>
      </w:divBdr>
    </w:div>
    <w:div w:id="1861353758">
      <w:bodyDiv w:val="1"/>
      <w:marLeft w:val="0"/>
      <w:marRight w:val="0"/>
      <w:marTop w:val="0"/>
      <w:marBottom w:val="0"/>
      <w:divBdr>
        <w:top w:val="none" w:sz="0" w:space="0" w:color="auto"/>
        <w:left w:val="none" w:sz="0" w:space="0" w:color="auto"/>
        <w:bottom w:val="none" w:sz="0" w:space="0" w:color="auto"/>
        <w:right w:val="none" w:sz="0" w:space="0" w:color="auto"/>
      </w:divBdr>
    </w:div>
    <w:div w:id="1861432518">
      <w:bodyDiv w:val="1"/>
      <w:marLeft w:val="0"/>
      <w:marRight w:val="0"/>
      <w:marTop w:val="0"/>
      <w:marBottom w:val="0"/>
      <w:divBdr>
        <w:top w:val="none" w:sz="0" w:space="0" w:color="auto"/>
        <w:left w:val="none" w:sz="0" w:space="0" w:color="auto"/>
        <w:bottom w:val="none" w:sz="0" w:space="0" w:color="auto"/>
        <w:right w:val="none" w:sz="0" w:space="0" w:color="auto"/>
      </w:divBdr>
    </w:div>
    <w:div w:id="1861434275">
      <w:bodyDiv w:val="1"/>
      <w:marLeft w:val="0"/>
      <w:marRight w:val="0"/>
      <w:marTop w:val="0"/>
      <w:marBottom w:val="0"/>
      <w:divBdr>
        <w:top w:val="none" w:sz="0" w:space="0" w:color="auto"/>
        <w:left w:val="none" w:sz="0" w:space="0" w:color="auto"/>
        <w:bottom w:val="none" w:sz="0" w:space="0" w:color="auto"/>
        <w:right w:val="none" w:sz="0" w:space="0" w:color="auto"/>
      </w:divBdr>
    </w:div>
    <w:div w:id="1861435863">
      <w:bodyDiv w:val="1"/>
      <w:marLeft w:val="0"/>
      <w:marRight w:val="0"/>
      <w:marTop w:val="0"/>
      <w:marBottom w:val="0"/>
      <w:divBdr>
        <w:top w:val="none" w:sz="0" w:space="0" w:color="auto"/>
        <w:left w:val="none" w:sz="0" w:space="0" w:color="auto"/>
        <w:bottom w:val="none" w:sz="0" w:space="0" w:color="auto"/>
        <w:right w:val="none" w:sz="0" w:space="0" w:color="auto"/>
      </w:divBdr>
    </w:div>
    <w:div w:id="1861435911">
      <w:bodyDiv w:val="1"/>
      <w:marLeft w:val="0"/>
      <w:marRight w:val="0"/>
      <w:marTop w:val="0"/>
      <w:marBottom w:val="0"/>
      <w:divBdr>
        <w:top w:val="none" w:sz="0" w:space="0" w:color="auto"/>
        <w:left w:val="none" w:sz="0" w:space="0" w:color="auto"/>
        <w:bottom w:val="none" w:sz="0" w:space="0" w:color="auto"/>
        <w:right w:val="none" w:sz="0" w:space="0" w:color="auto"/>
      </w:divBdr>
    </w:div>
    <w:div w:id="1861503571">
      <w:bodyDiv w:val="1"/>
      <w:marLeft w:val="0"/>
      <w:marRight w:val="0"/>
      <w:marTop w:val="0"/>
      <w:marBottom w:val="0"/>
      <w:divBdr>
        <w:top w:val="none" w:sz="0" w:space="0" w:color="auto"/>
        <w:left w:val="none" w:sz="0" w:space="0" w:color="auto"/>
        <w:bottom w:val="none" w:sz="0" w:space="0" w:color="auto"/>
        <w:right w:val="none" w:sz="0" w:space="0" w:color="auto"/>
      </w:divBdr>
    </w:div>
    <w:div w:id="1861511460">
      <w:bodyDiv w:val="1"/>
      <w:marLeft w:val="0"/>
      <w:marRight w:val="0"/>
      <w:marTop w:val="0"/>
      <w:marBottom w:val="0"/>
      <w:divBdr>
        <w:top w:val="none" w:sz="0" w:space="0" w:color="auto"/>
        <w:left w:val="none" w:sz="0" w:space="0" w:color="auto"/>
        <w:bottom w:val="none" w:sz="0" w:space="0" w:color="auto"/>
        <w:right w:val="none" w:sz="0" w:space="0" w:color="auto"/>
      </w:divBdr>
    </w:div>
    <w:div w:id="1861552717">
      <w:bodyDiv w:val="1"/>
      <w:marLeft w:val="0"/>
      <w:marRight w:val="0"/>
      <w:marTop w:val="0"/>
      <w:marBottom w:val="0"/>
      <w:divBdr>
        <w:top w:val="none" w:sz="0" w:space="0" w:color="auto"/>
        <w:left w:val="none" w:sz="0" w:space="0" w:color="auto"/>
        <w:bottom w:val="none" w:sz="0" w:space="0" w:color="auto"/>
        <w:right w:val="none" w:sz="0" w:space="0" w:color="auto"/>
      </w:divBdr>
    </w:div>
    <w:div w:id="1861582693">
      <w:bodyDiv w:val="1"/>
      <w:marLeft w:val="0"/>
      <w:marRight w:val="0"/>
      <w:marTop w:val="0"/>
      <w:marBottom w:val="0"/>
      <w:divBdr>
        <w:top w:val="none" w:sz="0" w:space="0" w:color="auto"/>
        <w:left w:val="none" w:sz="0" w:space="0" w:color="auto"/>
        <w:bottom w:val="none" w:sz="0" w:space="0" w:color="auto"/>
        <w:right w:val="none" w:sz="0" w:space="0" w:color="auto"/>
      </w:divBdr>
    </w:div>
    <w:div w:id="1861629135">
      <w:bodyDiv w:val="1"/>
      <w:marLeft w:val="0"/>
      <w:marRight w:val="0"/>
      <w:marTop w:val="0"/>
      <w:marBottom w:val="0"/>
      <w:divBdr>
        <w:top w:val="none" w:sz="0" w:space="0" w:color="auto"/>
        <w:left w:val="none" w:sz="0" w:space="0" w:color="auto"/>
        <w:bottom w:val="none" w:sz="0" w:space="0" w:color="auto"/>
        <w:right w:val="none" w:sz="0" w:space="0" w:color="auto"/>
      </w:divBdr>
    </w:div>
    <w:div w:id="1861629431">
      <w:bodyDiv w:val="1"/>
      <w:marLeft w:val="0"/>
      <w:marRight w:val="0"/>
      <w:marTop w:val="0"/>
      <w:marBottom w:val="0"/>
      <w:divBdr>
        <w:top w:val="none" w:sz="0" w:space="0" w:color="auto"/>
        <w:left w:val="none" w:sz="0" w:space="0" w:color="auto"/>
        <w:bottom w:val="none" w:sz="0" w:space="0" w:color="auto"/>
        <w:right w:val="none" w:sz="0" w:space="0" w:color="auto"/>
      </w:divBdr>
    </w:div>
    <w:div w:id="1861773362">
      <w:bodyDiv w:val="1"/>
      <w:marLeft w:val="0"/>
      <w:marRight w:val="0"/>
      <w:marTop w:val="0"/>
      <w:marBottom w:val="0"/>
      <w:divBdr>
        <w:top w:val="none" w:sz="0" w:space="0" w:color="auto"/>
        <w:left w:val="none" w:sz="0" w:space="0" w:color="auto"/>
        <w:bottom w:val="none" w:sz="0" w:space="0" w:color="auto"/>
        <w:right w:val="none" w:sz="0" w:space="0" w:color="auto"/>
      </w:divBdr>
    </w:div>
    <w:div w:id="1861774736">
      <w:bodyDiv w:val="1"/>
      <w:marLeft w:val="0"/>
      <w:marRight w:val="0"/>
      <w:marTop w:val="0"/>
      <w:marBottom w:val="0"/>
      <w:divBdr>
        <w:top w:val="none" w:sz="0" w:space="0" w:color="auto"/>
        <w:left w:val="none" w:sz="0" w:space="0" w:color="auto"/>
        <w:bottom w:val="none" w:sz="0" w:space="0" w:color="auto"/>
        <w:right w:val="none" w:sz="0" w:space="0" w:color="auto"/>
      </w:divBdr>
    </w:div>
    <w:div w:id="1861896413">
      <w:bodyDiv w:val="1"/>
      <w:marLeft w:val="0"/>
      <w:marRight w:val="0"/>
      <w:marTop w:val="0"/>
      <w:marBottom w:val="0"/>
      <w:divBdr>
        <w:top w:val="none" w:sz="0" w:space="0" w:color="auto"/>
        <w:left w:val="none" w:sz="0" w:space="0" w:color="auto"/>
        <w:bottom w:val="none" w:sz="0" w:space="0" w:color="auto"/>
        <w:right w:val="none" w:sz="0" w:space="0" w:color="auto"/>
      </w:divBdr>
    </w:div>
    <w:div w:id="1861965400">
      <w:bodyDiv w:val="1"/>
      <w:marLeft w:val="0"/>
      <w:marRight w:val="0"/>
      <w:marTop w:val="0"/>
      <w:marBottom w:val="0"/>
      <w:divBdr>
        <w:top w:val="none" w:sz="0" w:space="0" w:color="auto"/>
        <w:left w:val="none" w:sz="0" w:space="0" w:color="auto"/>
        <w:bottom w:val="none" w:sz="0" w:space="0" w:color="auto"/>
        <w:right w:val="none" w:sz="0" w:space="0" w:color="auto"/>
      </w:divBdr>
    </w:div>
    <w:div w:id="1862009801">
      <w:bodyDiv w:val="1"/>
      <w:marLeft w:val="0"/>
      <w:marRight w:val="0"/>
      <w:marTop w:val="0"/>
      <w:marBottom w:val="0"/>
      <w:divBdr>
        <w:top w:val="none" w:sz="0" w:space="0" w:color="auto"/>
        <w:left w:val="none" w:sz="0" w:space="0" w:color="auto"/>
        <w:bottom w:val="none" w:sz="0" w:space="0" w:color="auto"/>
        <w:right w:val="none" w:sz="0" w:space="0" w:color="auto"/>
      </w:divBdr>
    </w:div>
    <w:div w:id="1862040761">
      <w:bodyDiv w:val="1"/>
      <w:marLeft w:val="0"/>
      <w:marRight w:val="0"/>
      <w:marTop w:val="0"/>
      <w:marBottom w:val="0"/>
      <w:divBdr>
        <w:top w:val="none" w:sz="0" w:space="0" w:color="auto"/>
        <w:left w:val="none" w:sz="0" w:space="0" w:color="auto"/>
        <w:bottom w:val="none" w:sz="0" w:space="0" w:color="auto"/>
        <w:right w:val="none" w:sz="0" w:space="0" w:color="auto"/>
      </w:divBdr>
    </w:div>
    <w:div w:id="1862082220">
      <w:bodyDiv w:val="1"/>
      <w:marLeft w:val="0"/>
      <w:marRight w:val="0"/>
      <w:marTop w:val="0"/>
      <w:marBottom w:val="0"/>
      <w:divBdr>
        <w:top w:val="none" w:sz="0" w:space="0" w:color="auto"/>
        <w:left w:val="none" w:sz="0" w:space="0" w:color="auto"/>
        <w:bottom w:val="none" w:sz="0" w:space="0" w:color="auto"/>
        <w:right w:val="none" w:sz="0" w:space="0" w:color="auto"/>
      </w:divBdr>
    </w:div>
    <w:div w:id="1862090533">
      <w:bodyDiv w:val="1"/>
      <w:marLeft w:val="0"/>
      <w:marRight w:val="0"/>
      <w:marTop w:val="0"/>
      <w:marBottom w:val="0"/>
      <w:divBdr>
        <w:top w:val="none" w:sz="0" w:space="0" w:color="auto"/>
        <w:left w:val="none" w:sz="0" w:space="0" w:color="auto"/>
        <w:bottom w:val="none" w:sz="0" w:space="0" w:color="auto"/>
        <w:right w:val="none" w:sz="0" w:space="0" w:color="auto"/>
      </w:divBdr>
    </w:div>
    <w:div w:id="1862159586">
      <w:bodyDiv w:val="1"/>
      <w:marLeft w:val="0"/>
      <w:marRight w:val="0"/>
      <w:marTop w:val="0"/>
      <w:marBottom w:val="0"/>
      <w:divBdr>
        <w:top w:val="none" w:sz="0" w:space="0" w:color="auto"/>
        <w:left w:val="none" w:sz="0" w:space="0" w:color="auto"/>
        <w:bottom w:val="none" w:sz="0" w:space="0" w:color="auto"/>
        <w:right w:val="none" w:sz="0" w:space="0" w:color="auto"/>
      </w:divBdr>
    </w:div>
    <w:div w:id="1862160659">
      <w:bodyDiv w:val="1"/>
      <w:marLeft w:val="0"/>
      <w:marRight w:val="0"/>
      <w:marTop w:val="0"/>
      <w:marBottom w:val="0"/>
      <w:divBdr>
        <w:top w:val="none" w:sz="0" w:space="0" w:color="auto"/>
        <w:left w:val="none" w:sz="0" w:space="0" w:color="auto"/>
        <w:bottom w:val="none" w:sz="0" w:space="0" w:color="auto"/>
        <w:right w:val="none" w:sz="0" w:space="0" w:color="auto"/>
      </w:divBdr>
    </w:div>
    <w:div w:id="1862275195">
      <w:bodyDiv w:val="1"/>
      <w:marLeft w:val="0"/>
      <w:marRight w:val="0"/>
      <w:marTop w:val="0"/>
      <w:marBottom w:val="0"/>
      <w:divBdr>
        <w:top w:val="none" w:sz="0" w:space="0" w:color="auto"/>
        <w:left w:val="none" w:sz="0" w:space="0" w:color="auto"/>
        <w:bottom w:val="none" w:sz="0" w:space="0" w:color="auto"/>
        <w:right w:val="none" w:sz="0" w:space="0" w:color="auto"/>
      </w:divBdr>
    </w:div>
    <w:div w:id="1862281868">
      <w:bodyDiv w:val="1"/>
      <w:marLeft w:val="0"/>
      <w:marRight w:val="0"/>
      <w:marTop w:val="0"/>
      <w:marBottom w:val="0"/>
      <w:divBdr>
        <w:top w:val="none" w:sz="0" w:space="0" w:color="auto"/>
        <w:left w:val="none" w:sz="0" w:space="0" w:color="auto"/>
        <w:bottom w:val="none" w:sz="0" w:space="0" w:color="auto"/>
        <w:right w:val="none" w:sz="0" w:space="0" w:color="auto"/>
      </w:divBdr>
    </w:div>
    <w:div w:id="1862354015">
      <w:bodyDiv w:val="1"/>
      <w:marLeft w:val="0"/>
      <w:marRight w:val="0"/>
      <w:marTop w:val="0"/>
      <w:marBottom w:val="0"/>
      <w:divBdr>
        <w:top w:val="none" w:sz="0" w:space="0" w:color="auto"/>
        <w:left w:val="none" w:sz="0" w:space="0" w:color="auto"/>
        <w:bottom w:val="none" w:sz="0" w:space="0" w:color="auto"/>
        <w:right w:val="none" w:sz="0" w:space="0" w:color="auto"/>
      </w:divBdr>
    </w:div>
    <w:div w:id="1862433282">
      <w:bodyDiv w:val="1"/>
      <w:marLeft w:val="0"/>
      <w:marRight w:val="0"/>
      <w:marTop w:val="0"/>
      <w:marBottom w:val="0"/>
      <w:divBdr>
        <w:top w:val="none" w:sz="0" w:space="0" w:color="auto"/>
        <w:left w:val="none" w:sz="0" w:space="0" w:color="auto"/>
        <w:bottom w:val="none" w:sz="0" w:space="0" w:color="auto"/>
        <w:right w:val="none" w:sz="0" w:space="0" w:color="auto"/>
      </w:divBdr>
    </w:div>
    <w:div w:id="1862475151">
      <w:bodyDiv w:val="1"/>
      <w:marLeft w:val="0"/>
      <w:marRight w:val="0"/>
      <w:marTop w:val="0"/>
      <w:marBottom w:val="0"/>
      <w:divBdr>
        <w:top w:val="none" w:sz="0" w:space="0" w:color="auto"/>
        <w:left w:val="none" w:sz="0" w:space="0" w:color="auto"/>
        <w:bottom w:val="none" w:sz="0" w:space="0" w:color="auto"/>
        <w:right w:val="none" w:sz="0" w:space="0" w:color="auto"/>
      </w:divBdr>
    </w:div>
    <w:div w:id="1862550537">
      <w:bodyDiv w:val="1"/>
      <w:marLeft w:val="0"/>
      <w:marRight w:val="0"/>
      <w:marTop w:val="0"/>
      <w:marBottom w:val="0"/>
      <w:divBdr>
        <w:top w:val="none" w:sz="0" w:space="0" w:color="auto"/>
        <w:left w:val="none" w:sz="0" w:space="0" w:color="auto"/>
        <w:bottom w:val="none" w:sz="0" w:space="0" w:color="auto"/>
        <w:right w:val="none" w:sz="0" w:space="0" w:color="auto"/>
      </w:divBdr>
    </w:div>
    <w:div w:id="1862622911">
      <w:bodyDiv w:val="1"/>
      <w:marLeft w:val="0"/>
      <w:marRight w:val="0"/>
      <w:marTop w:val="0"/>
      <w:marBottom w:val="0"/>
      <w:divBdr>
        <w:top w:val="none" w:sz="0" w:space="0" w:color="auto"/>
        <w:left w:val="none" w:sz="0" w:space="0" w:color="auto"/>
        <w:bottom w:val="none" w:sz="0" w:space="0" w:color="auto"/>
        <w:right w:val="none" w:sz="0" w:space="0" w:color="auto"/>
      </w:divBdr>
    </w:div>
    <w:div w:id="1862670841">
      <w:bodyDiv w:val="1"/>
      <w:marLeft w:val="0"/>
      <w:marRight w:val="0"/>
      <w:marTop w:val="0"/>
      <w:marBottom w:val="0"/>
      <w:divBdr>
        <w:top w:val="none" w:sz="0" w:space="0" w:color="auto"/>
        <w:left w:val="none" w:sz="0" w:space="0" w:color="auto"/>
        <w:bottom w:val="none" w:sz="0" w:space="0" w:color="auto"/>
        <w:right w:val="none" w:sz="0" w:space="0" w:color="auto"/>
      </w:divBdr>
    </w:div>
    <w:div w:id="1863084034">
      <w:bodyDiv w:val="1"/>
      <w:marLeft w:val="0"/>
      <w:marRight w:val="0"/>
      <w:marTop w:val="0"/>
      <w:marBottom w:val="0"/>
      <w:divBdr>
        <w:top w:val="none" w:sz="0" w:space="0" w:color="auto"/>
        <w:left w:val="none" w:sz="0" w:space="0" w:color="auto"/>
        <w:bottom w:val="none" w:sz="0" w:space="0" w:color="auto"/>
        <w:right w:val="none" w:sz="0" w:space="0" w:color="auto"/>
      </w:divBdr>
    </w:div>
    <w:div w:id="1863472914">
      <w:bodyDiv w:val="1"/>
      <w:marLeft w:val="0"/>
      <w:marRight w:val="0"/>
      <w:marTop w:val="0"/>
      <w:marBottom w:val="0"/>
      <w:divBdr>
        <w:top w:val="none" w:sz="0" w:space="0" w:color="auto"/>
        <w:left w:val="none" w:sz="0" w:space="0" w:color="auto"/>
        <w:bottom w:val="none" w:sz="0" w:space="0" w:color="auto"/>
        <w:right w:val="none" w:sz="0" w:space="0" w:color="auto"/>
      </w:divBdr>
    </w:div>
    <w:div w:id="1863586077">
      <w:bodyDiv w:val="1"/>
      <w:marLeft w:val="0"/>
      <w:marRight w:val="0"/>
      <w:marTop w:val="0"/>
      <w:marBottom w:val="0"/>
      <w:divBdr>
        <w:top w:val="none" w:sz="0" w:space="0" w:color="auto"/>
        <w:left w:val="none" w:sz="0" w:space="0" w:color="auto"/>
        <w:bottom w:val="none" w:sz="0" w:space="0" w:color="auto"/>
        <w:right w:val="none" w:sz="0" w:space="0" w:color="auto"/>
      </w:divBdr>
    </w:div>
    <w:div w:id="1863591853">
      <w:bodyDiv w:val="1"/>
      <w:marLeft w:val="0"/>
      <w:marRight w:val="0"/>
      <w:marTop w:val="0"/>
      <w:marBottom w:val="0"/>
      <w:divBdr>
        <w:top w:val="none" w:sz="0" w:space="0" w:color="auto"/>
        <w:left w:val="none" w:sz="0" w:space="0" w:color="auto"/>
        <w:bottom w:val="none" w:sz="0" w:space="0" w:color="auto"/>
        <w:right w:val="none" w:sz="0" w:space="0" w:color="auto"/>
      </w:divBdr>
    </w:div>
    <w:div w:id="1863737657">
      <w:bodyDiv w:val="1"/>
      <w:marLeft w:val="0"/>
      <w:marRight w:val="0"/>
      <w:marTop w:val="0"/>
      <w:marBottom w:val="0"/>
      <w:divBdr>
        <w:top w:val="none" w:sz="0" w:space="0" w:color="auto"/>
        <w:left w:val="none" w:sz="0" w:space="0" w:color="auto"/>
        <w:bottom w:val="none" w:sz="0" w:space="0" w:color="auto"/>
        <w:right w:val="none" w:sz="0" w:space="0" w:color="auto"/>
      </w:divBdr>
    </w:div>
    <w:div w:id="1863740648">
      <w:bodyDiv w:val="1"/>
      <w:marLeft w:val="0"/>
      <w:marRight w:val="0"/>
      <w:marTop w:val="0"/>
      <w:marBottom w:val="0"/>
      <w:divBdr>
        <w:top w:val="none" w:sz="0" w:space="0" w:color="auto"/>
        <w:left w:val="none" w:sz="0" w:space="0" w:color="auto"/>
        <w:bottom w:val="none" w:sz="0" w:space="0" w:color="auto"/>
        <w:right w:val="none" w:sz="0" w:space="0" w:color="auto"/>
      </w:divBdr>
    </w:div>
    <w:div w:id="1863742785">
      <w:bodyDiv w:val="1"/>
      <w:marLeft w:val="0"/>
      <w:marRight w:val="0"/>
      <w:marTop w:val="0"/>
      <w:marBottom w:val="0"/>
      <w:divBdr>
        <w:top w:val="none" w:sz="0" w:space="0" w:color="auto"/>
        <w:left w:val="none" w:sz="0" w:space="0" w:color="auto"/>
        <w:bottom w:val="none" w:sz="0" w:space="0" w:color="auto"/>
        <w:right w:val="none" w:sz="0" w:space="0" w:color="auto"/>
      </w:divBdr>
    </w:div>
    <w:div w:id="1863855106">
      <w:bodyDiv w:val="1"/>
      <w:marLeft w:val="0"/>
      <w:marRight w:val="0"/>
      <w:marTop w:val="0"/>
      <w:marBottom w:val="0"/>
      <w:divBdr>
        <w:top w:val="none" w:sz="0" w:space="0" w:color="auto"/>
        <w:left w:val="none" w:sz="0" w:space="0" w:color="auto"/>
        <w:bottom w:val="none" w:sz="0" w:space="0" w:color="auto"/>
        <w:right w:val="none" w:sz="0" w:space="0" w:color="auto"/>
      </w:divBdr>
    </w:div>
    <w:div w:id="1863858840">
      <w:bodyDiv w:val="1"/>
      <w:marLeft w:val="0"/>
      <w:marRight w:val="0"/>
      <w:marTop w:val="0"/>
      <w:marBottom w:val="0"/>
      <w:divBdr>
        <w:top w:val="none" w:sz="0" w:space="0" w:color="auto"/>
        <w:left w:val="none" w:sz="0" w:space="0" w:color="auto"/>
        <w:bottom w:val="none" w:sz="0" w:space="0" w:color="auto"/>
        <w:right w:val="none" w:sz="0" w:space="0" w:color="auto"/>
      </w:divBdr>
    </w:div>
    <w:div w:id="1863935335">
      <w:bodyDiv w:val="1"/>
      <w:marLeft w:val="0"/>
      <w:marRight w:val="0"/>
      <w:marTop w:val="0"/>
      <w:marBottom w:val="0"/>
      <w:divBdr>
        <w:top w:val="none" w:sz="0" w:space="0" w:color="auto"/>
        <w:left w:val="none" w:sz="0" w:space="0" w:color="auto"/>
        <w:bottom w:val="none" w:sz="0" w:space="0" w:color="auto"/>
        <w:right w:val="none" w:sz="0" w:space="0" w:color="auto"/>
      </w:divBdr>
    </w:div>
    <w:div w:id="1864004842">
      <w:bodyDiv w:val="1"/>
      <w:marLeft w:val="0"/>
      <w:marRight w:val="0"/>
      <w:marTop w:val="0"/>
      <w:marBottom w:val="0"/>
      <w:divBdr>
        <w:top w:val="none" w:sz="0" w:space="0" w:color="auto"/>
        <w:left w:val="none" w:sz="0" w:space="0" w:color="auto"/>
        <w:bottom w:val="none" w:sz="0" w:space="0" w:color="auto"/>
        <w:right w:val="none" w:sz="0" w:space="0" w:color="auto"/>
      </w:divBdr>
    </w:div>
    <w:div w:id="1864049925">
      <w:bodyDiv w:val="1"/>
      <w:marLeft w:val="0"/>
      <w:marRight w:val="0"/>
      <w:marTop w:val="0"/>
      <w:marBottom w:val="0"/>
      <w:divBdr>
        <w:top w:val="none" w:sz="0" w:space="0" w:color="auto"/>
        <w:left w:val="none" w:sz="0" w:space="0" w:color="auto"/>
        <w:bottom w:val="none" w:sz="0" w:space="0" w:color="auto"/>
        <w:right w:val="none" w:sz="0" w:space="0" w:color="auto"/>
      </w:divBdr>
    </w:div>
    <w:div w:id="1864055856">
      <w:bodyDiv w:val="1"/>
      <w:marLeft w:val="0"/>
      <w:marRight w:val="0"/>
      <w:marTop w:val="0"/>
      <w:marBottom w:val="0"/>
      <w:divBdr>
        <w:top w:val="none" w:sz="0" w:space="0" w:color="auto"/>
        <w:left w:val="none" w:sz="0" w:space="0" w:color="auto"/>
        <w:bottom w:val="none" w:sz="0" w:space="0" w:color="auto"/>
        <w:right w:val="none" w:sz="0" w:space="0" w:color="auto"/>
      </w:divBdr>
    </w:div>
    <w:div w:id="1864130855">
      <w:bodyDiv w:val="1"/>
      <w:marLeft w:val="0"/>
      <w:marRight w:val="0"/>
      <w:marTop w:val="0"/>
      <w:marBottom w:val="0"/>
      <w:divBdr>
        <w:top w:val="none" w:sz="0" w:space="0" w:color="auto"/>
        <w:left w:val="none" w:sz="0" w:space="0" w:color="auto"/>
        <w:bottom w:val="none" w:sz="0" w:space="0" w:color="auto"/>
        <w:right w:val="none" w:sz="0" w:space="0" w:color="auto"/>
      </w:divBdr>
    </w:div>
    <w:div w:id="1864173794">
      <w:bodyDiv w:val="1"/>
      <w:marLeft w:val="0"/>
      <w:marRight w:val="0"/>
      <w:marTop w:val="0"/>
      <w:marBottom w:val="0"/>
      <w:divBdr>
        <w:top w:val="none" w:sz="0" w:space="0" w:color="auto"/>
        <w:left w:val="none" w:sz="0" w:space="0" w:color="auto"/>
        <w:bottom w:val="none" w:sz="0" w:space="0" w:color="auto"/>
        <w:right w:val="none" w:sz="0" w:space="0" w:color="auto"/>
      </w:divBdr>
    </w:div>
    <w:div w:id="1864438869">
      <w:bodyDiv w:val="1"/>
      <w:marLeft w:val="0"/>
      <w:marRight w:val="0"/>
      <w:marTop w:val="0"/>
      <w:marBottom w:val="0"/>
      <w:divBdr>
        <w:top w:val="none" w:sz="0" w:space="0" w:color="auto"/>
        <w:left w:val="none" w:sz="0" w:space="0" w:color="auto"/>
        <w:bottom w:val="none" w:sz="0" w:space="0" w:color="auto"/>
        <w:right w:val="none" w:sz="0" w:space="0" w:color="auto"/>
      </w:divBdr>
    </w:div>
    <w:div w:id="1864440924">
      <w:bodyDiv w:val="1"/>
      <w:marLeft w:val="0"/>
      <w:marRight w:val="0"/>
      <w:marTop w:val="0"/>
      <w:marBottom w:val="0"/>
      <w:divBdr>
        <w:top w:val="none" w:sz="0" w:space="0" w:color="auto"/>
        <w:left w:val="none" w:sz="0" w:space="0" w:color="auto"/>
        <w:bottom w:val="none" w:sz="0" w:space="0" w:color="auto"/>
        <w:right w:val="none" w:sz="0" w:space="0" w:color="auto"/>
      </w:divBdr>
    </w:div>
    <w:div w:id="1864441989">
      <w:bodyDiv w:val="1"/>
      <w:marLeft w:val="0"/>
      <w:marRight w:val="0"/>
      <w:marTop w:val="0"/>
      <w:marBottom w:val="0"/>
      <w:divBdr>
        <w:top w:val="none" w:sz="0" w:space="0" w:color="auto"/>
        <w:left w:val="none" w:sz="0" w:space="0" w:color="auto"/>
        <w:bottom w:val="none" w:sz="0" w:space="0" w:color="auto"/>
        <w:right w:val="none" w:sz="0" w:space="0" w:color="auto"/>
      </w:divBdr>
    </w:div>
    <w:div w:id="1864443723">
      <w:bodyDiv w:val="1"/>
      <w:marLeft w:val="0"/>
      <w:marRight w:val="0"/>
      <w:marTop w:val="0"/>
      <w:marBottom w:val="0"/>
      <w:divBdr>
        <w:top w:val="none" w:sz="0" w:space="0" w:color="auto"/>
        <w:left w:val="none" w:sz="0" w:space="0" w:color="auto"/>
        <w:bottom w:val="none" w:sz="0" w:space="0" w:color="auto"/>
        <w:right w:val="none" w:sz="0" w:space="0" w:color="auto"/>
      </w:divBdr>
    </w:div>
    <w:div w:id="1864509442">
      <w:bodyDiv w:val="1"/>
      <w:marLeft w:val="0"/>
      <w:marRight w:val="0"/>
      <w:marTop w:val="0"/>
      <w:marBottom w:val="0"/>
      <w:divBdr>
        <w:top w:val="none" w:sz="0" w:space="0" w:color="auto"/>
        <w:left w:val="none" w:sz="0" w:space="0" w:color="auto"/>
        <w:bottom w:val="none" w:sz="0" w:space="0" w:color="auto"/>
        <w:right w:val="none" w:sz="0" w:space="0" w:color="auto"/>
      </w:divBdr>
    </w:div>
    <w:div w:id="1864512050">
      <w:bodyDiv w:val="1"/>
      <w:marLeft w:val="0"/>
      <w:marRight w:val="0"/>
      <w:marTop w:val="0"/>
      <w:marBottom w:val="0"/>
      <w:divBdr>
        <w:top w:val="none" w:sz="0" w:space="0" w:color="auto"/>
        <w:left w:val="none" w:sz="0" w:space="0" w:color="auto"/>
        <w:bottom w:val="none" w:sz="0" w:space="0" w:color="auto"/>
        <w:right w:val="none" w:sz="0" w:space="0" w:color="auto"/>
      </w:divBdr>
    </w:div>
    <w:div w:id="1864518352">
      <w:bodyDiv w:val="1"/>
      <w:marLeft w:val="0"/>
      <w:marRight w:val="0"/>
      <w:marTop w:val="0"/>
      <w:marBottom w:val="0"/>
      <w:divBdr>
        <w:top w:val="none" w:sz="0" w:space="0" w:color="auto"/>
        <w:left w:val="none" w:sz="0" w:space="0" w:color="auto"/>
        <w:bottom w:val="none" w:sz="0" w:space="0" w:color="auto"/>
        <w:right w:val="none" w:sz="0" w:space="0" w:color="auto"/>
      </w:divBdr>
    </w:div>
    <w:div w:id="1864590164">
      <w:bodyDiv w:val="1"/>
      <w:marLeft w:val="0"/>
      <w:marRight w:val="0"/>
      <w:marTop w:val="0"/>
      <w:marBottom w:val="0"/>
      <w:divBdr>
        <w:top w:val="none" w:sz="0" w:space="0" w:color="auto"/>
        <w:left w:val="none" w:sz="0" w:space="0" w:color="auto"/>
        <w:bottom w:val="none" w:sz="0" w:space="0" w:color="auto"/>
        <w:right w:val="none" w:sz="0" w:space="0" w:color="auto"/>
      </w:divBdr>
    </w:div>
    <w:div w:id="1864631578">
      <w:bodyDiv w:val="1"/>
      <w:marLeft w:val="0"/>
      <w:marRight w:val="0"/>
      <w:marTop w:val="0"/>
      <w:marBottom w:val="0"/>
      <w:divBdr>
        <w:top w:val="none" w:sz="0" w:space="0" w:color="auto"/>
        <w:left w:val="none" w:sz="0" w:space="0" w:color="auto"/>
        <w:bottom w:val="none" w:sz="0" w:space="0" w:color="auto"/>
        <w:right w:val="none" w:sz="0" w:space="0" w:color="auto"/>
      </w:divBdr>
    </w:div>
    <w:div w:id="1864636193">
      <w:bodyDiv w:val="1"/>
      <w:marLeft w:val="0"/>
      <w:marRight w:val="0"/>
      <w:marTop w:val="0"/>
      <w:marBottom w:val="0"/>
      <w:divBdr>
        <w:top w:val="none" w:sz="0" w:space="0" w:color="auto"/>
        <w:left w:val="none" w:sz="0" w:space="0" w:color="auto"/>
        <w:bottom w:val="none" w:sz="0" w:space="0" w:color="auto"/>
        <w:right w:val="none" w:sz="0" w:space="0" w:color="auto"/>
      </w:divBdr>
    </w:div>
    <w:div w:id="1864704102">
      <w:bodyDiv w:val="1"/>
      <w:marLeft w:val="0"/>
      <w:marRight w:val="0"/>
      <w:marTop w:val="0"/>
      <w:marBottom w:val="0"/>
      <w:divBdr>
        <w:top w:val="none" w:sz="0" w:space="0" w:color="auto"/>
        <w:left w:val="none" w:sz="0" w:space="0" w:color="auto"/>
        <w:bottom w:val="none" w:sz="0" w:space="0" w:color="auto"/>
        <w:right w:val="none" w:sz="0" w:space="0" w:color="auto"/>
      </w:divBdr>
    </w:div>
    <w:div w:id="1864828607">
      <w:bodyDiv w:val="1"/>
      <w:marLeft w:val="0"/>
      <w:marRight w:val="0"/>
      <w:marTop w:val="0"/>
      <w:marBottom w:val="0"/>
      <w:divBdr>
        <w:top w:val="none" w:sz="0" w:space="0" w:color="auto"/>
        <w:left w:val="none" w:sz="0" w:space="0" w:color="auto"/>
        <w:bottom w:val="none" w:sz="0" w:space="0" w:color="auto"/>
        <w:right w:val="none" w:sz="0" w:space="0" w:color="auto"/>
      </w:divBdr>
    </w:div>
    <w:div w:id="1864897587">
      <w:bodyDiv w:val="1"/>
      <w:marLeft w:val="0"/>
      <w:marRight w:val="0"/>
      <w:marTop w:val="0"/>
      <w:marBottom w:val="0"/>
      <w:divBdr>
        <w:top w:val="none" w:sz="0" w:space="0" w:color="auto"/>
        <w:left w:val="none" w:sz="0" w:space="0" w:color="auto"/>
        <w:bottom w:val="none" w:sz="0" w:space="0" w:color="auto"/>
        <w:right w:val="none" w:sz="0" w:space="0" w:color="auto"/>
      </w:divBdr>
    </w:div>
    <w:div w:id="1865089625">
      <w:bodyDiv w:val="1"/>
      <w:marLeft w:val="0"/>
      <w:marRight w:val="0"/>
      <w:marTop w:val="0"/>
      <w:marBottom w:val="0"/>
      <w:divBdr>
        <w:top w:val="none" w:sz="0" w:space="0" w:color="auto"/>
        <w:left w:val="none" w:sz="0" w:space="0" w:color="auto"/>
        <w:bottom w:val="none" w:sz="0" w:space="0" w:color="auto"/>
        <w:right w:val="none" w:sz="0" w:space="0" w:color="auto"/>
      </w:divBdr>
    </w:div>
    <w:div w:id="1865094869">
      <w:bodyDiv w:val="1"/>
      <w:marLeft w:val="0"/>
      <w:marRight w:val="0"/>
      <w:marTop w:val="0"/>
      <w:marBottom w:val="0"/>
      <w:divBdr>
        <w:top w:val="none" w:sz="0" w:space="0" w:color="auto"/>
        <w:left w:val="none" w:sz="0" w:space="0" w:color="auto"/>
        <w:bottom w:val="none" w:sz="0" w:space="0" w:color="auto"/>
        <w:right w:val="none" w:sz="0" w:space="0" w:color="auto"/>
      </w:divBdr>
    </w:div>
    <w:div w:id="1865167432">
      <w:bodyDiv w:val="1"/>
      <w:marLeft w:val="0"/>
      <w:marRight w:val="0"/>
      <w:marTop w:val="0"/>
      <w:marBottom w:val="0"/>
      <w:divBdr>
        <w:top w:val="none" w:sz="0" w:space="0" w:color="auto"/>
        <w:left w:val="none" w:sz="0" w:space="0" w:color="auto"/>
        <w:bottom w:val="none" w:sz="0" w:space="0" w:color="auto"/>
        <w:right w:val="none" w:sz="0" w:space="0" w:color="auto"/>
      </w:divBdr>
    </w:div>
    <w:div w:id="1865245817">
      <w:bodyDiv w:val="1"/>
      <w:marLeft w:val="0"/>
      <w:marRight w:val="0"/>
      <w:marTop w:val="0"/>
      <w:marBottom w:val="0"/>
      <w:divBdr>
        <w:top w:val="none" w:sz="0" w:space="0" w:color="auto"/>
        <w:left w:val="none" w:sz="0" w:space="0" w:color="auto"/>
        <w:bottom w:val="none" w:sz="0" w:space="0" w:color="auto"/>
        <w:right w:val="none" w:sz="0" w:space="0" w:color="auto"/>
      </w:divBdr>
    </w:div>
    <w:div w:id="1865318331">
      <w:bodyDiv w:val="1"/>
      <w:marLeft w:val="0"/>
      <w:marRight w:val="0"/>
      <w:marTop w:val="0"/>
      <w:marBottom w:val="0"/>
      <w:divBdr>
        <w:top w:val="none" w:sz="0" w:space="0" w:color="auto"/>
        <w:left w:val="none" w:sz="0" w:space="0" w:color="auto"/>
        <w:bottom w:val="none" w:sz="0" w:space="0" w:color="auto"/>
        <w:right w:val="none" w:sz="0" w:space="0" w:color="auto"/>
      </w:divBdr>
    </w:div>
    <w:div w:id="1865359239">
      <w:bodyDiv w:val="1"/>
      <w:marLeft w:val="0"/>
      <w:marRight w:val="0"/>
      <w:marTop w:val="0"/>
      <w:marBottom w:val="0"/>
      <w:divBdr>
        <w:top w:val="none" w:sz="0" w:space="0" w:color="auto"/>
        <w:left w:val="none" w:sz="0" w:space="0" w:color="auto"/>
        <w:bottom w:val="none" w:sz="0" w:space="0" w:color="auto"/>
        <w:right w:val="none" w:sz="0" w:space="0" w:color="auto"/>
      </w:divBdr>
    </w:div>
    <w:div w:id="1865367280">
      <w:bodyDiv w:val="1"/>
      <w:marLeft w:val="0"/>
      <w:marRight w:val="0"/>
      <w:marTop w:val="0"/>
      <w:marBottom w:val="0"/>
      <w:divBdr>
        <w:top w:val="none" w:sz="0" w:space="0" w:color="auto"/>
        <w:left w:val="none" w:sz="0" w:space="0" w:color="auto"/>
        <w:bottom w:val="none" w:sz="0" w:space="0" w:color="auto"/>
        <w:right w:val="none" w:sz="0" w:space="0" w:color="auto"/>
      </w:divBdr>
    </w:div>
    <w:div w:id="1865438947">
      <w:bodyDiv w:val="1"/>
      <w:marLeft w:val="0"/>
      <w:marRight w:val="0"/>
      <w:marTop w:val="0"/>
      <w:marBottom w:val="0"/>
      <w:divBdr>
        <w:top w:val="none" w:sz="0" w:space="0" w:color="auto"/>
        <w:left w:val="none" w:sz="0" w:space="0" w:color="auto"/>
        <w:bottom w:val="none" w:sz="0" w:space="0" w:color="auto"/>
        <w:right w:val="none" w:sz="0" w:space="0" w:color="auto"/>
      </w:divBdr>
    </w:div>
    <w:div w:id="1865510725">
      <w:bodyDiv w:val="1"/>
      <w:marLeft w:val="0"/>
      <w:marRight w:val="0"/>
      <w:marTop w:val="0"/>
      <w:marBottom w:val="0"/>
      <w:divBdr>
        <w:top w:val="none" w:sz="0" w:space="0" w:color="auto"/>
        <w:left w:val="none" w:sz="0" w:space="0" w:color="auto"/>
        <w:bottom w:val="none" w:sz="0" w:space="0" w:color="auto"/>
        <w:right w:val="none" w:sz="0" w:space="0" w:color="auto"/>
      </w:divBdr>
    </w:div>
    <w:div w:id="1865635963">
      <w:bodyDiv w:val="1"/>
      <w:marLeft w:val="0"/>
      <w:marRight w:val="0"/>
      <w:marTop w:val="0"/>
      <w:marBottom w:val="0"/>
      <w:divBdr>
        <w:top w:val="none" w:sz="0" w:space="0" w:color="auto"/>
        <w:left w:val="none" w:sz="0" w:space="0" w:color="auto"/>
        <w:bottom w:val="none" w:sz="0" w:space="0" w:color="auto"/>
        <w:right w:val="none" w:sz="0" w:space="0" w:color="auto"/>
      </w:divBdr>
    </w:div>
    <w:div w:id="1865702357">
      <w:bodyDiv w:val="1"/>
      <w:marLeft w:val="0"/>
      <w:marRight w:val="0"/>
      <w:marTop w:val="0"/>
      <w:marBottom w:val="0"/>
      <w:divBdr>
        <w:top w:val="none" w:sz="0" w:space="0" w:color="auto"/>
        <w:left w:val="none" w:sz="0" w:space="0" w:color="auto"/>
        <w:bottom w:val="none" w:sz="0" w:space="0" w:color="auto"/>
        <w:right w:val="none" w:sz="0" w:space="0" w:color="auto"/>
      </w:divBdr>
    </w:div>
    <w:div w:id="1865702392">
      <w:bodyDiv w:val="1"/>
      <w:marLeft w:val="0"/>
      <w:marRight w:val="0"/>
      <w:marTop w:val="0"/>
      <w:marBottom w:val="0"/>
      <w:divBdr>
        <w:top w:val="none" w:sz="0" w:space="0" w:color="auto"/>
        <w:left w:val="none" w:sz="0" w:space="0" w:color="auto"/>
        <w:bottom w:val="none" w:sz="0" w:space="0" w:color="auto"/>
        <w:right w:val="none" w:sz="0" w:space="0" w:color="auto"/>
      </w:divBdr>
    </w:div>
    <w:div w:id="1865750471">
      <w:bodyDiv w:val="1"/>
      <w:marLeft w:val="0"/>
      <w:marRight w:val="0"/>
      <w:marTop w:val="0"/>
      <w:marBottom w:val="0"/>
      <w:divBdr>
        <w:top w:val="none" w:sz="0" w:space="0" w:color="auto"/>
        <w:left w:val="none" w:sz="0" w:space="0" w:color="auto"/>
        <w:bottom w:val="none" w:sz="0" w:space="0" w:color="auto"/>
        <w:right w:val="none" w:sz="0" w:space="0" w:color="auto"/>
      </w:divBdr>
    </w:div>
    <w:div w:id="1865752354">
      <w:bodyDiv w:val="1"/>
      <w:marLeft w:val="0"/>
      <w:marRight w:val="0"/>
      <w:marTop w:val="0"/>
      <w:marBottom w:val="0"/>
      <w:divBdr>
        <w:top w:val="none" w:sz="0" w:space="0" w:color="auto"/>
        <w:left w:val="none" w:sz="0" w:space="0" w:color="auto"/>
        <w:bottom w:val="none" w:sz="0" w:space="0" w:color="auto"/>
        <w:right w:val="none" w:sz="0" w:space="0" w:color="auto"/>
      </w:divBdr>
    </w:div>
    <w:div w:id="1865900944">
      <w:bodyDiv w:val="1"/>
      <w:marLeft w:val="0"/>
      <w:marRight w:val="0"/>
      <w:marTop w:val="0"/>
      <w:marBottom w:val="0"/>
      <w:divBdr>
        <w:top w:val="none" w:sz="0" w:space="0" w:color="auto"/>
        <w:left w:val="none" w:sz="0" w:space="0" w:color="auto"/>
        <w:bottom w:val="none" w:sz="0" w:space="0" w:color="auto"/>
        <w:right w:val="none" w:sz="0" w:space="0" w:color="auto"/>
      </w:divBdr>
    </w:div>
    <w:div w:id="1865943970">
      <w:bodyDiv w:val="1"/>
      <w:marLeft w:val="0"/>
      <w:marRight w:val="0"/>
      <w:marTop w:val="0"/>
      <w:marBottom w:val="0"/>
      <w:divBdr>
        <w:top w:val="none" w:sz="0" w:space="0" w:color="auto"/>
        <w:left w:val="none" w:sz="0" w:space="0" w:color="auto"/>
        <w:bottom w:val="none" w:sz="0" w:space="0" w:color="auto"/>
        <w:right w:val="none" w:sz="0" w:space="0" w:color="auto"/>
      </w:divBdr>
    </w:div>
    <w:div w:id="1866093121">
      <w:bodyDiv w:val="1"/>
      <w:marLeft w:val="0"/>
      <w:marRight w:val="0"/>
      <w:marTop w:val="0"/>
      <w:marBottom w:val="0"/>
      <w:divBdr>
        <w:top w:val="none" w:sz="0" w:space="0" w:color="auto"/>
        <w:left w:val="none" w:sz="0" w:space="0" w:color="auto"/>
        <w:bottom w:val="none" w:sz="0" w:space="0" w:color="auto"/>
        <w:right w:val="none" w:sz="0" w:space="0" w:color="auto"/>
      </w:divBdr>
    </w:div>
    <w:div w:id="1866362798">
      <w:bodyDiv w:val="1"/>
      <w:marLeft w:val="0"/>
      <w:marRight w:val="0"/>
      <w:marTop w:val="0"/>
      <w:marBottom w:val="0"/>
      <w:divBdr>
        <w:top w:val="none" w:sz="0" w:space="0" w:color="auto"/>
        <w:left w:val="none" w:sz="0" w:space="0" w:color="auto"/>
        <w:bottom w:val="none" w:sz="0" w:space="0" w:color="auto"/>
        <w:right w:val="none" w:sz="0" w:space="0" w:color="auto"/>
      </w:divBdr>
    </w:div>
    <w:div w:id="1866402160">
      <w:bodyDiv w:val="1"/>
      <w:marLeft w:val="0"/>
      <w:marRight w:val="0"/>
      <w:marTop w:val="0"/>
      <w:marBottom w:val="0"/>
      <w:divBdr>
        <w:top w:val="none" w:sz="0" w:space="0" w:color="auto"/>
        <w:left w:val="none" w:sz="0" w:space="0" w:color="auto"/>
        <w:bottom w:val="none" w:sz="0" w:space="0" w:color="auto"/>
        <w:right w:val="none" w:sz="0" w:space="0" w:color="auto"/>
      </w:divBdr>
    </w:div>
    <w:div w:id="1866404283">
      <w:bodyDiv w:val="1"/>
      <w:marLeft w:val="0"/>
      <w:marRight w:val="0"/>
      <w:marTop w:val="0"/>
      <w:marBottom w:val="0"/>
      <w:divBdr>
        <w:top w:val="none" w:sz="0" w:space="0" w:color="auto"/>
        <w:left w:val="none" w:sz="0" w:space="0" w:color="auto"/>
        <w:bottom w:val="none" w:sz="0" w:space="0" w:color="auto"/>
        <w:right w:val="none" w:sz="0" w:space="0" w:color="auto"/>
      </w:divBdr>
    </w:div>
    <w:div w:id="1866408479">
      <w:bodyDiv w:val="1"/>
      <w:marLeft w:val="0"/>
      <w:marRight w:val="0"/>
      <w:marTop w:val="0"/>
      <w:marBottom w:val="0"/>
      <w:divBdr>
        <w:top w:val="none" w:sz="0" w:space="0" w:color="auto"/>
        <w:left w:val="none" w:sz="0" w:space="0" w:color="auto"/>
        <w:bottom w:val="none" w:sz="0" w:space="0" w:color="auto"/>
        <w:right w:val="none" w:sz="0" w:space="0" w:color="auto"/>
      </w:divBdr>
    </w:div>
    <w:div w:id="1866601090">
      <w:bodyDiv w:val="1"/>
      <w:marLeft w:val="0"/>
      <w:marRight w:val="0"/>
      <w:marTop w:val="0"/>
      <w:marBottom w:val="0"/>
      <w:divBdr>
        <w:top w:val="none" w:sz="0" w:space="0" w:color="auto"/>
        <w:left w:val="none" w:sz="0" w:space="0" w:color="auto"/>
        <w:bottom w:val="none" w:sz="0" w:space="0" w:color="auto"/>
        <w:right w:val="none" w:sz="0" w:space="0" w:color="auto"/>
      </w:divBdr>
    </w:div>
    <w:div w:id="1866675256">
      <w:bodyDiv w:val="1"/>
      <w:marLeft w:val="0"/>
      <w:marRight w:val="0"/>
      <w:marTop w:val="0"/>
      <w:marBottom w:val="0"/>
      <w:divBdr>
        <w:top w:val="none" w:sz="0" w:space="0" w:color="auto"/>
        <w:left w:val="none" w:sz="0" w:space="0" w:color="auto"/>
        <w:bottom w:val="none" w:sz="0" w:space="0" w:color="auto"/>
        <w:right w:val="none" w:sz="0" w:space="0" w:color="auto"/>
      </w:divBdr>
    </w:div>
    <w:div w:id="1866677137">
      <w:bodyDiv w:val="1"/>
      <w:marLeft w:val="0"/>
      <w:marRight w:val="0"/>
      <w:marTop w:val="0"/>
      <w:marBottom w:val="0"/>
      <w:divBdr>
        <w:top w:val="none" w:sz="0" w:space="0" w:color="auto"/>
        <w:left w:val="none" w:sz="0" w:space="0" w:color="auto"/>
        <w:bottom w:val="none" w:sz="0" w:space="0" w:color="auto"/>
        <w:right w:val="none" w:sz="0" w:space="0" w:color="auto"/>
      </w:divBdr>
    </w:div>
    <w:div w:id="1866746246">
      <w:bodyDiv w:val="1"/>
      <w:marLeft w:val="0"/>
      <w:marRight w:val="0"/>
      <w:marTop w:val="0"/>
      <w:marBottom w:val="0"/>
      <w:divBdr>
        <w:top w:val="none" w:sz="0" w:space="0" w:color="auto"/>
        <w:left w:val="none" w:sz="0" w:space="0" w:color="auto"/>
        <w:bottom w:val="none" w:sz="0" w:space="0" w:color="auto"/>
        <w:right w:val="none" w:sz="0" w:space="0" w:color="auto"/>
      </w:divBdr>
    </w:div>
    <w:div w:id="1867055242">
      <w:bodyDiv w:val="1"/>
      <w:marLeft w:val="0"/>
      <w:marRight w:val="0"/>
      <w:marTop w:val="0"/>
      <w:marBottom w:val="0"/>
      <w:divBdr>
        <w:top w:val="none" w:sz="0" w:space="0" w:color="auto"/>
        <w:left w:val="none" w:sz="0" w:space="0" w:color="auto"/>
        <w:bottom w:val="none" w:sz="0" w:space="0" w:color="auto"/>
        <w:right w:val="none" w:sz="0" w:space="0" w:color="auto"/>
      </w:divBdr>
    </w:div>
    <w:div w:id="1867064087">
      <w:bodyDiv w:val="1"/>
      <w:marLeft w:val="0"/>
      <w:marRight w:val="0"/>
      <w:marTop w:val="0"/>
      <w:marBottom w:val="0"/>
      <w:divBdr>
        <w:top w:val="none" w:sz="0" w:space="0" w:color="auto"/>
        <w:left w:val="none" w:sz="0" w:space="0" w:color="auto"/>
        <w:bottom w:val="none" w:sz="0" w:space="0" w:color="auto"/>
        <w:right w:val="none" w:sz="0" w:space="0" w:color="auto"/>
      </w:divBdr>
    </w:div>
    <w:div w:id="1867133813">
      <w:bodyDiv w:val="1"/>
      <w:marLeft w:val="0"/>
      <w:marRight w:val="0"/>
      <w:marTop w:val="0"/>
      <w:marBottom w:val="0"/>
      <w:divBdr>
        <w:top w:val="none" w:sz="0" w:space="0" w:color="auto"/>
        <w:left w:val="none" w:sz="0" w:space="0" w:color="auto"/>
        <w:bottom w:val="none" w:sz="0" w:space="0" w:color="auto"/>
        <w:right w:val="none" w:sz="0" w:space="0" w:color="auto"/>
      </w:divBdr>
    </w:div>
    <w:div w:id="1867209697">
      <w:bodyDiv w:val="1"/>
      <w:marLeft w:val="0"/>
      <w:marRight w:val="0"/>
      <w:marTop w:val="0"/>
      <w:marBottom w:val="0"/>
      <w:divBdr>
        <w:top w:val="none" w:sz="0" w:space="0" w:color="auto"/>
        <w:left w:val="none" w:sz="0" w:space="0" w:color="auto"/>
        <w:bottom w:val="none" w:sz="0" w:space="0" w:color="auto"/>
        <w:right w:val="none" w:sz="0" w:space="0" w:color="auto"/>
      </w:divBdr>
    </w:div>
    <w:div w:id="1867211251">
      <w:bodyDiv w:val="1"/>
      <w:marLeft w:val="0"/>
      <w:marRight w:val="0"/>
      <w:marTop w:val="0"/>
      <w:marBottom w:val="0"/>
      <w:divBdr>
        <w:top w:val="none" w:sz="0" w:space="0" w:color="auto"/>
        <w:left w:val="none" w:sz="0" w:space="0" w:color="auto"/>
        <w:bottom w:val="none" w:sz="0" w:space="0" w:color="auto"/>
        <w:right w:val="none" w:sz="0" w:space="0" w:color="auto"/>
      </w:divBdr>
    </w:div>
    <w:div w:id="1867283518">
      <w:bodyDiv w:val="1"/>
      <w:marLeft w:val="0"/>
      <w:marRight w:val="0"/>
      <w:marTop w:val="0"/>
      <w:marBottom w:val="0"/>
      <w:divBdr>
        <w:top w:val="none" w:sz="0" w:space="0" w:color="auto"/>
        <w:left w:val="none" w:sz="0" w:space="0" w:color="auto"/>
        <w:bottom w:val="none" w:sz="0" w:space="0" w:color="auto"/>
        <w:right w:val="none" w:sz="0" w:space="0" w:color="auto"/>
      </w:divBdr>
    </w:div>
    <w:div w:id="1867519302">
      <w:bodyDiv w:val="1"/>
      <w:marLeft w:val="0"/>
      <w:marRight w:val="0"/>
      <w:marTop w:val="0"/>
      <w:marBottom w:val="0"/>
      <w:divBdr>
        <w:top w:val="none" w:sz="0" w:space="0" w:color="auto"/>
        <w:left w:val="none" w:sz="0" w:space="0" w:color="auto"/>
        <w:bottom w:val="none" w:sz="0" w:space="0" w:color="auto"/>
        <w:right w:val="none" w:sz="0" w:space="0" w:color="auto"/>
      </w:divBdr>
    </w:div>
    <w:div w:id="1867521812">
      <w:bodyDiv w:val="1"/>
      <w:marLeft w:val="0"/>
      <w:marRight w:val="0"/>
      <w:marTop w:val="0"/>
      <w:marBottom w:val="0"/>
      <w:divBdr>
        <w:top w:val="none" w:sz="0" w:space="0" w:color="auto"/>
        <w:left w:val="none" w:sz="0" w:space="0" w:color="auto"/>
        <w:bottom w:val="none" w:sz="0" w:space="0" w:color="auto"/>
        <w:right w:val="none" w:sz="0" w:space="0" w:color="auto"/>
      </w:divBdr>
    </w:div>
    <w:div w:id="1867669700">
      <w:bodyDiv w:val="1"/>
      <w:marLeft w:val="0"/>
      <w:marRight w:val="0"/>
      <w:marTop w:val="0"/>
      <w:marBottom w:val="0"/>
      <w:divBdr>
        <w:top w:val="none" w:sz="0" w:space="0" w:color="auto"/>
        <w:left w:val="none" w:sz="0" w:space="0" w:color="auto"/>
        <w:bottom w:val="none" w:sz="0" w:space="0" w:color="auto"/>
        <w:right w:val="none" w:sz="0" w:space="0" w:color="auto"/>
      </w:divBdr>
    </w:div>
    <w:div w:id="1867677168">
      <w:bodyDiv w:val="1"/>
      <w:marLeft w:val="0"/>
      <w:marRight w:val="0"/>
      <w:marTop w:val="0"/>
      <w:marBottom w:val="0"/>
      <w:divBdr>
        <w:top w:val="none" w:sz="0" w:space="0" w:color="auto"/>
        <w:left w:val="none" w:sz="0" w:space="0" w:color="auto"/>
        <w:bottom w:val="none" w:sz="0" w:space="0" w:color="auto"/>
        <w:right w:val="none" w:sz="0" w:space="0" w:color="auto"/>
      </w:divBdr>
    </w:div>
    <w:div w:id="1867710901">
      <w:bodyDiv w:val="1"/>
      <w:marLeft w:val="0"/>
      <w:marRight w:val="0"/>
      <w:marTop w:val="0"/>
      <w:marBottom w:val="0"/>
      <w:divBdr>
        <w:top w:val="none" w:sz="0" w:space="0" w:color="auto"/>
        <w:left w:val="none" w:sz="0" w:space="0" w:color="auto"/>
        <w:bottom w:val="none" w:sz="0" w:space="0" w:color="auto"/>
        <w:right w:val="none" w:sz="0" w:space="0" w:color="auto"/>
      </w:divBdr>
    </w:div>
    <w:div w:id="1867711250">
      <w:bodyDiv w:val="1"/>
      <w:marLeft w:val="0"/>
      <w:marRight w:val="0"/>
      <w:marTop w:val="0"/>
      <w:marBottom w:val="0"/>
      <w:divBdr>
        <w:top w:val="none" w:sz="0" w:space="0" w:color="auto"/>
        <w:left w:val="none" w:sz="0" w:space="0" w:color="auto"/>
        <w:bottom w:val="none" w:sz="0" w:space="0" w:color="auto"/>
        <w:right w:val="none" w:sz="0" w:space="0" w:color="auto"/>
      </w:divBdr>
    </w:div>
    <w:div w:id="1867715360">
      <w:bodyDiv w:val="1"/>
      <w:marLeft w:val="0"/>
      <w:marRight w:val="0"/>
      <w:marTop w:val="0"/>
      <w:marBottom w:val="0"/>
      <w:divBdr>
        <w:top w:val="none" w:sz="0" w:space="0" w:color="auto"/>
        <w:left w:val="none" w:sz="0" w:space="0" w:color="auto"/>
        <w:bottom w:val="none" w:sz="0" w:space="0" w:color="auto"/>
        <w:right w:val="none" w:sz="0" w:space="0" w:color="auto"/>
      </w:divBdr>
    </w:div>
    <w:div w:id="1867793106">
      <w:bodyDiv w:val="1"/>
      <w:marLeft w:val="0"/>
      <w:marRight w:val="0"/>
      <w:marTop w:val="0"/>
      <w:marBottom w:val="0"/>
      <w:divBdr>
        <w:top w:val="none" w:sz="0" w:space="0" w:color="auto"/>
        <w:left w:val="none" w:sz="0" w:space="0" w:color="auto"/>
        <w:bottom w:val="none" w:sz="0" w:space="0" w:color="auto"/>
        <w:right w:val="none" w:sz="0" w:space="0" w:color="auto"/>
      </w:divBdr>
    </w:div>
    <w:div w:id="1867862416">
      <w:bodyDiv w:val="1"/>
      <w:marLeft w:val="0"/>
      <w:marRight w:val="0"/>
      <w:marTop w:val="0"/>
      <w:marBottom w:val="0"/>
      <w:divBdr>
        <w:top w:val="none" w:sz="0" w:space="0" w:color="auto"/>
        <w:left w:val="none" w:sz="0" w:space="0" w:color="auto"/>
        <w:bottom w:val="none" w:sz="0" w:space="0" w:color="auto"/>
        <w:right w:val="none" w:sz="0" w:space="0" w:color="auto"/>
      </w:divBdr>
    </w:div>
    <w:div w:id="1867911310">
      <w:bodyDiv w:val="1"/>
      <w:marLeft w:val="0"/>
      <w:marRight w:val="0"/>
      <w:marTop w:val="0"/>
      <w:marBottom w:val="0"/>
      <w:divBdr>
        <w:top w:val="none" w:sz="0" w:space="0" w:color="auto"/>
        <w:left w:val="none" w:sz="0" w:space="0" w:color="auto"/>
        <w:bottom w:val="none" w:sz="0" w:space="0" w:color="auto"/>
        <w:right w:val="none" w:sz="0" w:space="0" w:color="auto"/>
      </w:divBdr>
    </w:div>
    <w:div w:id="1867937502">
      <w:bodyDiv w:val="1"/>
      <w:marLeft w:val="0"/>
      <w:marRight w:val="0"/>
      <w:marTop w:val="0"/>
      <w:marBottom w:val="0"/>
      <w:divBdr>
        <w:top w:val="none" w:sz="0" w:space="0" w:color="auto"/>
        <w:left w:val="none" w:sz="0" w:space="0" w:color="auto"/>
        <w:bottom w:val="none" w:sz="0" w:space="0" w:color="auto"/>
        <w:right w:val="none" w:sz="0" w:space="0" w:color="auto"/>
      </w:divBdr>
    </w:div>
    <w:div w:id="1867982825">
      <w:bodyDiv w:val="1"/>
      <w:marLeft w:val="0"/>
      <w:marRight w:val="0"/>
      <w:marTop w:val="0"/>
      <w:marBottom w:val="0"/>
      <w:divBdr>
        <w:top w:val="none" w:sz="0" w:space="0" w:color="auto"/>
        <w:left w:val="none" w:sz="0" w:space="0" w:color="auto"/>
        <w:bottom w:val="none" w:sz="0" w:space="0" w:color="auto"/>
        <w:right w:val="none" w:sz="0" w:space="0" w:color="auto"/>
      </w:divBdr>
    </w:div>
    <w:div w:id="1868180923">
      <w:bodyDiv w:val="1"/>
      <w:marLeft w:val="0"/>
      <w:marRight w:val="0"/>
      <w:marTop w:val="0"/>
      <w:marBottom w:val="0"/>
      <w:divBdr>
        <w:top w:val="none" w:sz="0" w:space="0" w:color="auto"/>
        <w:left w:val="none" w:sz="0" w:space="0" w:color="auto"/>
        <w:bottom w:val="none" w:sz="0" w:space="0" w:color="auto"/>
        <w:right w:val="none" w:sz="0" w:space="0" w:color="auto"/>
      </w:divBdr>
    </w:div>
    <w:div w:id="1868255385">
      <w:bodyDiv w:val="1"/>
      <w:marLeft w:val="0"/>
      <w:marRight w:val="0"/>
      <w:marTop w:val="0"/>
      <w:marBottom w:val="0"/>
      <w:divBdr>
        <w:top w:val="none" w:sz="0" w:space="0" w:color="auto"/>
        <w:left w:val="none" w:sz="0" w:space="0" w:color="auto"/>
        <w:bottom w:val="none" w:sz="0" w:space="0" w:color="auto"/>
        <w:right w:val="none" w:sz="0" w:space="0" w:color="auto"/>
      </w:divBdr>
    </w:div>
    <w:div w:id="1868374113">
      <w:bodyDiv w:val="1"/>
      <w:marLeft w:val="0"/>
      <w:marRight w:val="0"/>
      <w:marTop w:val="0"/>
      <w:marBottom w:val="0"/>
      <w:divBdr>
        <w:top w:val="none" w:sz="0" w:space="0" w:color="auto"/>
        <w:left w:val="none" w:sz="0" w:space="0" w:color="auto"/>
        <w:bottom w:val="none" w:sz="0" w:space="0" w:color="auto"/>
        <w:right w:val="none" w:sz="0" w:space="0" w:color="auto"/>
      </w:divBdr>
    </w:div>
    <w:div w:id="1868374446">
      <w:bodyDiv w:val="1"/>
      <w:marLeft w:val="0"/>
      <w:marRight w:val="0"/>
      <w:marTop w:val="0"/>
      <w:marBottom w:val="0"/>
      <w:divBdr>
        <w:top w:val="none" w:sz="0" w:space="0" w:color="auto"/>
        <w:left w:val="none" w:sz="0" w:space="0" w:color="auto"/>
        <w:bottom w:val="none" w:sz="0" w:space="0" w:color="auto"/>
        <w:right w:val="none" w:sz="0" w:space="0" w:color="auto"/>
      </w:divBdr>
    </w:div>
    <w:div w:id="1868450704">
      <w:bodyDiv w:val="1"/>
      <w:marLeft w:val="0"/>
      <w:marRight w:val="0"/>
      <w:marTop w:val="0"/>
      <w:marBottom w:val="0"/>
      <w:divBdr>
        <w:top w:val="none" w:sz="0" w:space="0" w:color="auto"/>
        <w:left w:val="none" w:sz="0" w:space="0" w:color="auto"/>
        <w:bottom w:val="none" w:sz="0" w:space="0" w:color="auto"/>
        <w:right w:val="none" w:sz="0" w:space="0" w:color="auto"/>
      </w:divBdr>
    </w:div>
    <w:div w:id="1868785568">
      <w:bodyDiv w:val="1"/>
      <w:marLeft w:val="0"/>
      <w:marRight w:val="0"/>
      <w:marTop w:val="0"/>
      <w:marBottom w:val="0"/>
      <w:divBdr>
        <w:top w:val="none" w:sz="0" w:space="0" w:color="auto"/>
        <w:left w:val="none" w:sz="0" w:space="0" w:color="auto"/>
        <w:bottom w:val="none" w:sz="0" w:space="0" w:color="auto"/>
        <w:right w:val="none" w:sz="0" w:space="0" w:color="auto"/>
      </w:divBdr>
    </w:div>
    <w:div w:id="1868790985">
      <w:bodyDiv w:val="1"/>
      <w:marLeft w:val="0"/>
      <w:marRight w:val="0"/>
      <w:marTop w:val="0"/>
      <w:marBottom w:val="0"/>
      <w:divBdr>
        <w:top w:val="none" w:sz="0" w:space="0" w:color="auto"/>
        <w:left w:val="none" w:sz="0" w:space="0" w:color="auto"/>
        <w:bottom w:val="none" w:sz="0" w:space="0" w:color="auto"/>
        <w:right w:val="none" w:sz="0" w:space="0" w:color="auto"/>
      </w:divBdr>
    </w:div>
    <w:div w:id="1868904495">
      <w:bodyDiv w:val="1"/>
      <w:marLeft w:val="0"/>
      <w:marRight w:val="0"/>
      <w:marTop w:val="0"/>
      <w:marBottom w:val="0"/>
      <w:divBdr>
        <w:top w:val="none" w:sz="0" w:space="0" w:color="auto"/>
        <w:left w:val="none" w:sz="0" w:space="0" w:color="auto"/>
        <w:bottom w:val="none" w:sz="0" w:space="0" w:color="auto"/>
        <w:right w:val="none" w:sz="0" w:space="0" w:color="auto"/>
      </w:divBdr>
    </w:div>
    <w:div w:id="1868906587">
      <w:bodyDiv w:val="1"/>
      <w:marLeft w:val="0"/>
      <w:marRight w:val="0"/>
      <w:marTop w:val="0"/>
      <w:marBottom w:val="0"/>
      <w:divBdr>
        <w:top w:val="none" w:sz="0" w:space="0" w:color="auto"/>
        <w:left w:val="none" w:sz="0" w:space="0" w:color="auto"/>
        <w:bottom w:val="none" w:sz="0" w:space="0" w:color="auto"/>
        <w:right w:val="none" w:sz="0" w:space="0" w:color="auto"/>
      </w:divBdr>
    </w:div>
    <w:div w:id="1868980797">
      <w:bodyDiv w:val="1"/>
      <w:marLeft w:val="0"/>
      <w:marRight w:val="0"/>
      <w:marTop w:val="0"/>
      <w:marBottom w:val="0"/>
      <w:divBdr>
        <w:top w:val="none" w:sz="0" w:space="0" w:color="auto"/>
        <w:left w:val="none" w:sz="0" w:space="0" w:color="auto"/>
        <w:bottom w:val="none" w:sz="0" w:space="0" w:color="auto"/>
        <w:right w:val="none" w:sz="0" w:space="0" w:color="auto"/>
      </w:divBdr>
    </w:div>
    <w:div w:id="1869024288">
      <w:bodyDiv w:val="1"/>
      <w:marLeft w:val="0"/>
      <w:marRight w:val="0"/>
      <w:marTop w:val="0"/>
      <w:marBottom w:val="0"/>
      <w:divBdr>
        <w:top w:val="none" w:sz="0" w:space="0" w:color="auto"/>
        <w:left w:val="none" w:sz="0" w:space="0" w:color="auto"/>
        <w:bottom w:val="none" w:sz="0" w:space="0" w:color="auto"/>
        <w:right w:val="none" w:sz="0" w:space="0" w:color="auto"/>
      </w:divBdr>
    </w:div>
    <w:div w:id="1869024757">
      <w:bodyDiv w:val="1"/>
      <w:marLeft w:val="0"/>
      <w:marRight w:val="0"/>
      <w:marTop w:val="0"/>
      <w:marBottom w:val="0"/>
      <w:divBdr>
        <w:top w:val="none" w:sz="0" w:space="0" w:color="auto"/>
        <w:left w:val="none" w:sz="0" w:space="0" w:color="auto"/>
        <w:bottom w:val="none" w:sz="0" w:space="0" w:color="auto"/>
        <w:right w:val="none" w:sz="0" w:space="0" w:color="auto"/>
      </w:divBdr>
    </w:div>
    <w:div w:id="1869098649">
      <w:bodyDiv w:val="1"/>
      <w:marLeft w:val="0"/>
      <w:marRight w:val="0"/>
      <w:marTop w:val="0"/>
      <w:marBottom w:val="0"/>
      <w:divBdr>
        <w:top w:val="none" w:sz="0" w:space="0" w:color="auto"/>
        <w:left w:val="none" w:sz="0" w:space="0" w:color="auto"/>
        <w:bottom w:val="none" w:sz="0" w:space="0" w:color="auto"/>
        <w:right w:val="none" w:sz="0" w:space="0" w:color="auto"/>
      </w:divBdr>
    </w:div>
    <w:div w:id="1869219611">
      <w:bodyDiv w:val="1"/>
      <w:marLeft w:val="0"/>
      <w:marRight w:val="0"/>
      <w:marTop w:val="0"/>
      <w:marBottom w:val="0"/>
      <w:divBdr>
        <w:top w:val="none" w:sz="0" w:space="0" w:color="auto"/>
        <w:left w:val="none" w:sz="0" w:space="0" w:color="auto"/>
        <w:bottom w:val="none" w:sz="0" w:space="0" w:color="auto"/>
        <w:right w:val="none" w:sz="0" w:space="0" w:color="auto"/>
      </w:divBdr>
    </w:div>
    <w:div w:id="1869221811">
      <w:bodyDiv w:val="1"/>
      <w:marLeft w:val="0"/>
      <w:marRight w:val="0"/>
      <w:marTop w:val="0"/>
      <w:marBottom w:val="0"/>
      <w:divBdr>
        <w:top w:val="none" w:sz="0" w:space="0" w:color="auto"/>
        <w:left w:val="none" w:sz="0" w:space="0" w:color="auto"/>
        <w:bottom w:val="none" w:sz="0" w:space="0" w:color="auto"/>
        <w:right w:val="none" w:sz="0" w:space="0" w:color="auto"/>
      </w:divBdr>
    </w:div>
    <w:div w:id="1869296853">
      <w:bodyDiv w:val="1"/>
      <w:marLeft w:val="0"/>
      <w:marRight w:val="0"/>
      <w:marTop w:val="0"/>
      <w:marBottom w:val="0"/>
      <w:divBdr>
        <w:top w:val="none" w:sz="0" w:space="0" w:color="auto"/>
        <w:left w:val="none" w:sz="0" w:space="0" w:color="auto"/>
        <w:bottom w:val="none" w:sz="0" w:space="0" w:color="auto"/>
        <w:right w:val="none" w:sz="0" w:space="0" w:color="auto"/>
      </w:divBdr>
    </w:div>
    <w:div w:id="1869678778">
      <w:bodyDiv w:val="1"/>
      <w:marLeft w:val="0"/>
      <w:marRight w:val="0"/>
      <w:marTop w:val="0"/>
      <w:marBottom w:val="0"/>
      <w:divBdr>
        <w:top w:val="none" w:sz="0" w:space="0" w:color="auto"/>
        <w:left w:val="none" w:sz="0" w:space="0" w:color="auto"/>
        <w:bottom w:val="none" w:sz="0" w:space="0" w:color="auto"/>
        <w:right w:val="none" w:sz="0" w:space="0" w:color="auto"/>
      </w:divBdr>
    </w:div>
    <w:div w:id="1869829937">
      <w:bodyDiv w:val="1"/>
      <w:marLeft w:val="0"/>
      <w:marRight w:val="0"/>
      <w:marTop w:val="0"/>
      <w:marBottom w:val="0"/>
      <w:divBdr>
        <w:top w:val="none" w:sz="0" w:space="0" w:color="auto"/>
        <w:left w:val="none" w:sz="0" w:space="0" w:color="auto"/>
        <w:bottom w:val="none" w:sz="0" w:space="0" w:color="auto"/>
        <w:right w:val="none" w:sz="0" w:space="0" w:color="auto"/>
      </w:divBdr>
    </w:div>
    <w:div w:id="1869903295">
      <w:bodyDiv w:val="1"/>
      <w:marLeft w:val="0"/>
      <w:marRight w:val="0"/>
      <w:marTop w:val="0"/>
      <w:marBottom w:val="0"/>
      <w:divBdr>
        <w:top w:val="none" w:sz="0" w:space="0" w:color="auto"/>
        <w:left w:val="none" w:sz="0" w:space="0" w:color="auto"/>
        <w:bottom w:val="none" w:sz="0" w:space="0" w:color="auto"/>
        <w:right w:val="none" w:sz="0" w:space="0" w:color="auto"/>
      </w:divBdr>
    </w:div>
    <w:div w:id="1870022008">
      <w:bodyDiv w:val="1"/>
      <w:marLeft w:val="0"/>
      <w:marRight w:val="0"/>
      <w:marTop w:val="0"/>
      <w:marBottom w:val="0"/>
      <w:divBdr>
        <w:top w:val="none" w:sz="0" w:space="0" w:color="auto"/>
        <w:left w:val="none" w:sz="0" w:space="0" w:color="auto"/>
        <w:bottom w:val="none" w:sz="0" w:space="0" w:color="auto"/>
        <w:right w:val="none" w:sz="0" w:space="0" w:color="auto"/>
      </w:divBdr>
    </w:div>
    <w:div w:id="1870142839">
      <w:bodyDiv w:val="1"/>
      <w:marLeft w:val="0"/>
      <w:marRight w:val="0"/>
      <w:marTop w:val="0"/>
      <w:marBottom w:val="0"/>
      <w:divBdr>
        <w:top w:val="none" w:sz="0" w:space="0" w:color="auto"/>
        <w:left w:val="none" w:sz="0" w:space="0" w:color="auto"/>
        <w:bottom w:val="none" w:sz="0" w:space="0" w:color="auto"/>
        <w:right w:val="none" w:sz="0" w:space="0" w:color="auto"/>
      </w:divBdr>
    </w:div>
    <w:div w:id="1870143579">
      <w:bodyDiv w:val="1"/>
      <w:marLeft w:val="0"/>
      <w:marRight w:val="0"/>
      <w:marTop w:val="0"/>
      <w:marBottom w:val="0"/>
      <w:divBdr>
        <w:top w:val="none" w:sz="0" w:space="0" w:color="auto"/>
        <w:left w:val="none" w:sz="0" w:space="0" w:color="auto"/>
        <w:bottom w:val="none" w:sz="0" w:space="0" w:color="auto"/>
        <w:right w:val="none" w:sz="0" w:space="0" w:color="auto"/>
      </w:divBdr>
    </w:div>
    <w:div w:id="1870145832">
      <w:bodyDiv w:val="1"/>
      <w:marLeft w:val="0"/>
      <w:marRight w:val="0"/>
      <w:marTop w:val="0"/>
      <w:marBottom w:val="0"/>
      <w:divBdr>
        <w:top w:val="none" w:sz="0" w:space="0" w:color="auto"/>
        <w:left w:val="none" w:sz="0" w:space="0" w:color="auto"/>
        <w:bottom w:val="none" w:sz="0" w:space="0" w:color="auto"/>
        <w:right w:val="none" w:sz="0" w:space="0" w:color="auto"/>
      </w:divBdr>
    </w:div>
    <w:div w:id="1870298266">
      <w:bodyDiv w:val="1"/>
      <w:marLeft w:val="0"/>
      <w:marRight w:val="0"/>
      <w:marTop w:val="0"/>
      <w:marBottom w:val="0"/>
      <w:divBdr>
        <w:top w:val="none" w:sz="0" w:space="0" w:color="auto"/>
        <w:left w:val="none" w:sz="0" w:space="0" w:color="auto"/>
        <w:bottom w:val="none" w:sz="0" w:space="0" w:color="auto"/>
        <w:right w:val="none" w:sz="0" w:space="0" w:color="auto"/>
      </w:divBdr>
    </w:div>
    <w:div w:id="1870407347">
      <w:bodyDiv w:val="1"/>
      <w:marLeft w:val="0"/>
      <w:marRight w:val="0"/>
      <w:marTop w:val="0"/>
      <w:marBottom w:val="0"/>
      <w:divBdr>
        <w:top w:val="none" w:sz="0" w:space="0" w:color="auto"/>
        <w:left w:val="none" w:sz="0" w:space="0" w:color="auto"/>
        <w:bottom w:val="none" w:sz="0" w:space="0" w:color="auto"/>
        <w:right w:val="none" w:sz="0" w:space="0" w:color="auto"/>
      </w:divBdr>
    </w:div>
    <w:div w:id="1870410273">
      <w:bodyDiv w:val="1"/>
      <w:marLeft w:val="0"/>
      <w:marRight w:val="0"/>
      <w:marTop w:val="0"/>
      <w:marBottom w:val="0"/>
      <w:divBdr>
        <w:top w:val="none" w:sz="0" w:space="0" w:color="auto"/>
        <w:left w:val="none" w:sz="0" w:space="0" w:color="auto"/>
        <w:bottom w:val="none" w:sz="0" w:space="0" w:color="auto"/>
        <w:right w:val="none" w:sz="0" w:space="0" w:color="auto"/>
      </w:divBdr>
    </w:div>
    <w:div w:id="1870485187">
      <w:bodyDiv w:val="1"/>
      <w:marLeft w:val="0"/>
      <w:marRight w:val="0"/>
      <w:marTop w:val="0"/>
      <w:marBottom w:val="0"/>
      <w:divBdr>
        <w:top w:val="none" w:sz="0" w:space="0" w:color="auto"/>
        <w:left w:val="none" w:sz="0" w:space="0" w:color="auto"/>
        <w:bottom w:val="none" w:sz="0" w:space="0" w:color="auto"/>
        <w:right w:val="none" w:sz="0" w:space="0" w:color="auto"/>
      </w:divBdr>
    </w:div>
    <w:div w:id="1870487680">
      <w:bodyDiv w:val="1"/>
      <w:marLeft w:val="0"/>
      <w:marRight w:val="0"/>
      <w:marTop w:val="0"/>
      <w:marBottom w:val="0"/>
      <w:divBdr>
        <w:top w:val="none" w:sz="0" w:space="0" w:color="auto"/>
        <w:left w:val="none" w:sz="0" w:space="0" w:color="auto"/>
        <w:bottom w:val="none" w:sz="0" w:space="0" w:color="auto"/>
        <w:right w:val="none" w:sz="0" w:space="0" w:color="auto"/>
      </w:divBdr>
    </w:div>
    <w:div w:id="1870529631">
      <w:bodyDiv w:val="1"/>
      <w:marLeft w:val="0"/>
      <w:marRight w:val="0"/>
      <w:marTop w:val="0"/>
      <w:marBottom w:val="0"/>
      <w:divBdr>
        <w:top w:val="none" w:sz="0" w:space="0" w:color="auto"/>
        <w:left w:val="none" w:sz="0" w:space="0" w:color="auto"/>
        <w:bottom w:val="none" w:sz="0" w:space="0" w:color="auto"/>
        <w:right w:val="none" w:sz="0" w:space="0" w:color="auto"/>
      </w:divBdr>
    </w:div>
    <w:div w:id="1870529985">
      <w:bodyDiv w:val="1"/>
      <w:marLeft w:val="0"/>
      <w:marRight w:val="0"/>
      <w:marTop w:val="0"/>
      <w:marBottom w:val="0"/>
      <w:divBdr>
        <w:top w:val="none" w:sz="0" w:space="0" w:color="auto"/>
        <w:left w:val="none" w:sz="0" w:space="0" w:color="auto"/>
        <w:bottom w:val="none" w:sz="0" w:space="0" w:color="auto"/>
        <w:right w:val="none" w:sz="0" w:space="0" w:color="auto"/>
      </w:divBdr>
    </w:div>
    <w:div w:id="1870606765">
      <w:bodyDiv w:val="1"/>
      <w:marLeft w:val="0"/>
      <w:marRight w:val="0"/>
      <w:marTop w:val="0"/>
      <w:marBottom w:val="0"/>
      <w:divBdr>
        <w:top w:val="none" w:sz="0" w:space="0" w:color="auto"/>
        <w:left w:val="none" w:sz="0" w:space="0" w:color="auto"/>
        <w:bottom w:val="none" w:sz="0" w:space="0" w:color="auto"/>
        <w:right w:val="none" w:sz="0" w:space="0" w:color="auto"/>
      </w:divBdr>
    </w:div>
    <w:div w:id="1870754341">
      <w:bodyDiv w:val="1"/>
      <w:marLeft w:val="0"/>
      <w:marRight w:val="0"/>
      <w:marTop w:val="0"/>
      <w:marBottom w:val="0"/>
      <w:divBdr>
        <w:top w:val="none" w:sz="0" w:space="0" w:color="auto"/>
        <w:left w:val="none" w:sz="0" w:space="0" w:color="auto"/>
        <w:bottom w:val="none" w:sz="0" w:space="0" w:color="auto"/>
        <w:right w:val="none" w:sz="0" w:space="0" w:color="auto"/>
      </w:divBdr>
    </w:div>
    <w:div w:id="1870757531">
      <w:bodyDiv w:val="1"/>
      <w:marLeft w:val="0"/>
      <w:marRight w:val="0"/>
      <w:marTop w:val="0"/>
      <w:marBottom w:val="0"/>
      <w:divBdr>
        <w:top w:val="none" w:sz="0" w:space="0" w:color="auto"/>
        <w:left w:val="none" w:sz="0" w:space="0" w:color="auto"/>
        <w:bottom w:val="none" w:sz="0" w:space="0" w:color="auto"/>
        <w:right w:val="none" w:sz="0" w:space="0" w:color="auto"/>
      </w:divBdr>
    </w:div>
    <w:div w:id="1870801800">
      <w:bodyDiv w:val="1"/>
      <w:marLeft w:val="0"/>
      <w:marRight w:val="0"/>
      <w:marTop w:val="0"/>
      <w:marBottom w:val="0"/>
      <w:divBdr>
        <w:top w:val="none" w:sz="0" w:space="0" w:color="auto"/>
        <w:left w:val="none" w:sz="0" w:space="0" w:color="auto"/>
        <w:bottom w:val="none" w:sz="0" w:space="0" w:color="auto"/>
        <w:right w:val="none" w:sz="0" w:space="0" w:color="auto"/>
      </w:divBdr>
    </w:div>
    <w:div w:id="1870874872">
      <w:bodyDiv w:val="1"/>
      <w:marLeft w:val="0"/>
      <w:marRight w:val="0"/>
      <w:marTop w:val="0"/>
      <w:marBottom w:val="0"/>
      <w:divBdr>
        <w:top w:val="none" w:sz="0" w:space="0" w:color="auto"/>
        <w:left w:val="none" w:sz="0" w:space="0" w:color="auto"/>
        <w:bottom w:val="none" w:sz="0" w:space="0" w:color="auto"/>
        <w:right w:val="none" w:sz="0" w:space="0" w:color="auto"/>
      </w:divBdr>
    </w:div>
    <w:div w:id="1870946282">
      <w:bodyDiv w:val="1"/>
      <w:marLeft w:val="0"/>
      <w:marRight w:val="0"/>
      <w:marTop w:val="0"/>
      <w:marBottom w:val="0"/>
      <w:divBdr>
        <w:top w:val="none" w:sz="0" w:space="0" w:color="auto"/>
        <w:left w:val="none" w:sz="0" w:space="0" w:color="auto"/>
        <w:bottom w:val="none" w:sz="0" w:space="0" w:color="auto"/>
        <w:right w:val="none" w:sz="0" w:space="0" w:color="auto"/>
      </w:divBdr>
    </w:div>
    <w:div w:id="1870988379">
      <w:bodyDiv w:val="1"/>
      <w:marLeft w:val="0"/>
      <w:marRight w:val="0"/>
      <w:marTop w:val="0"/>
      <w:marBottom w:val="0"/>
      <w:divBdr>
        <w:top w:val="none" w:sz="0" w:space="0" w:color="auto"/>
        <w:left w:val="none" w:sz="0" w:space="0" w:color="auto"/>
        <w:bottom w:val="none" w:sz="0" w:space="0" w:color="auto"/>
        <w:right w:val="none" w:sz="0" w:space="0" w:color="auto"/>
      </w:divBdr>
    </w:div>
    <w:div w:id="1870992809">
      <w:bodyDiv w:val="1"/>
      <w:marLeft w:val="0"/>
      <w:marRight w:val="0"/>
      <w:marTop w:val="0"/>
      <w:marBottom w:val="0"/>
      <w:divBdr>
        <w:top w:val="none" w:sz="0" w:space="0" w:color="auto"/>
        <w:left w:val="none" w:sz="0" w:space="0" w:color="auto"/>
        <w:bottom w:val="none" w:sz="0" w:space="0" w:color="auto"/>
        <w:right w:val="none" w:sz="0" w:space="0" w:color="auto"/>
      </w:divBdr>
    </w:div>
    <w:div w:id="1871184793">
      <w:bodyDiv w:val="1"/>
      <w:marLeft w:val="0"/>
      <w:marRight w:val="0"/>
      <w:marTop w:val="0"/>
      <w:marBottom w:val="0"/>
      <w:divBdr>
        <w:top w:val="none" w:sz="0" w:space="0" w:color="auto"/>
        <w:left w:val="none" w:sz="0" w:space="0" w:color="auto"/>
        <w:bottom w:val="none" w:sz="0" w:space="0" w:color="auto"/>
        <w:right w:val="none" w:sz="0" w:space="0" w:color="auto"/>
      </w:divBdr>
    </w:div>
    <w:div w:id="1871262588">
      <w:bodyDiv w:val="1"/>
      <w:marLeft w:val="0"/>
      <w:marRight w:val="0"/>
      <w:marTop w:val="0"/>
      <w:marBottom w:val="0"/>
      <w:divBdr>
        <w:top w:val="none" w:sz="0" w:space="0" w:color="auto"/>
        <w:left w:val="none" w:sz="0" w:space="0" w:color="auto"/>
        <w:bottom w:val="none" w:sz="0" w:space="0" w:color="auto"/>
        <w:right w:val="none" w:sz="0" w:space="0" w:color="auto"/>
      </w:divBdr>
    </w:div>
    <w:div w:id="1871334521">
      <w:bodyDiv w:val="1"/>
      <w:marLeft w:val="0"/>
      <w:marRight w:val="0"/>
      <w:marTop w:val="0"/>
      <w:marBottom w:val="0"/>
      <w:divBdr>
        <w:top w:val="none" w:sz="0" w:space="0" w:color="auto"/>
        <w:left w:val="none" w:sz="0" w:space="0" w:color="auto"/>
        <w:bottom w:val="none" w:sz="0" w:space="0" w:color="auto"/>
        <w:right w:val="none" w:sz="0" w:space="0" w:color="auto"/>
      </w:divBdr>
    </w:div>
    <w:div w:id="1871458094">
      <w:bodyDiv w:val="1"/>
      <w:marLeft w:val="0"/>
      <w:marRight w:val="0"/>
      <w:marTop w:val="0"/>
      <w:marBottom w:val="0"/>
      <w:divBdr>
        <w:top w:val="none" w:sz="0" w:space="0" w:color="auto"/>
        <w:left w:val="none" w:sz="0" w:space="0" w:color="auto"/>
        <w:bottom w:val="none" w:sz="0" w:space="0" w:color="auto"/>
        <w:right w:val="none" w:sz="0" w:space="0" w:color="auto"/>
      </w:divBdr>
    </w:div>
    <w:div w:id="1871531657">
      <w:bodyDiv w:val="1"/>
      <w:marLeft w:val="0"/>
      <w:marRight w:val="0"/>
      <w:marTop w:val="0"/>
      <w:marBottom w:val="0"/>
      <w:divBdr>
        <w:top w:val="none" w:sz="0" w:space="0" w:color="auto"/>
        <w:left w:val="none" w:sz="0" w:space="0" w:color="auto"/>
        <w:bottom w:val="none" w:sz="0" w:space="0" w:color="auto"/>
        <w:right w:val="none" w:sz="0" w:space="0" w:color="auto"/>
      </w:divBdr>
    </w:div>
    <w:div w:id="1871796493">
      <w:bodyDiv w:val="1"/>
      <w:marLeft w:val="0"/>
      <w:marRight w:val="0"/>
      <w:marTop w:val="0"/>
      <w:marBottom w:val="0"/>
      <w:divBdr>
        <w:top w:val="none" w:sz="0" w:space="0" w:color="auto"/>
        <w:left w:val="none" w:sz="0" w:space="0" w:color="auto"/>
        <w:bottom w:val="none" w:sz="0" w:space="0" w:color="auto"/>
        <w:right w:val="none" w:sz="0" w:space="0" w:color="auto"/>
      </w:divBdr>
    </w:div>
    <w:div w:id="1871844395">
      <w:bodyDiv w:val="1"/>
      <w:marLeft w:val="0"/>
      <w:marRight w:val="0"/>
      <w:marTop w:val="0"/>
      <w:marBottom w:val="0"/>
      <w:divBdr>
        <w:top w:val="none" w:sz="0" w:space="0" w:color="auto"/>
        <w:left w:val="none" w:sz="0" w:space="0" w:color="auto"/>
        <w:bottom w:val="none" w:sz="0" w:space="0" w:color="auto"/>
        <w:right w:val="none" w:sz="0" w:space="0" w:color="auto"/>
      </w:divBdr>
    </w:div>
    <w:div w:id="1871987426">
      <w:bodyDiv w:val="1"/>
      <w:marLeft w:val="0"/>
      <w:marRight w:val="0"/>
      <w:marTop w:val="0"/>
      <w:marBottom w:val="0"/>
      <w:divBdr>
        <w:top w:val="none" w:sz="0" w:space="0" w:color="auto"/>
        <w:left w:val="none" w:sz="0" w:space="0" w:color="auto"/>
        <w:bottom w:val="none" w:sz="0" w:space="0" w:color="auto"/>
        <w:right w:val="none" w:sz="0" w:space="0" w:color="auto"/>
      </w:divBdr>
    </w:div>
    <w:div w:id="1871987877">
      <w:bodyDiv w:val="1"/>
      <w:marLeft w:val="0"/>
      <w:marRight w:val="0"/>
      <w:marTop w:val="0"/>
      <w:marBottom w:val="0"/>
      <w:divBdr>
        <w:top w:val="none" w:sz="0" w:space="0" w:color="auto"/>
        <w:left w:val="none" w:sz="0" w:space="0" w:color="auto"/>
        <w:bottom w:val="none" w:sz="0" w:space="0" w:color="auto"/>
        <w:right w:val="none" w:sz="0" w:space="0" w:color="auto"/>
      </w:divBdr>
    </w:div>
    <w:div w:id="1872065160">
      <w:bodyDiv w:val="1"/>
      <w:marLeft w:val="0"/>
      <w:marRight w:val="0"/>
      <w:marTop w:val="0"/>
      <w:marBottom w:val="0"/>
      <w:divBdr>
        <w:top w:val="none" w:sz="0" w:space="0" w:color="auto"/>
        <w:left w:val="none" w:sz="0" w:space="0" w:color="auto"/>
        <w:bottom w:val="none" w:sz="0" w:space="0" w:color="auto"/>
        <w:right w:val="none" w:sz="0" w:space="0" w:color="auto"/>
      </w:divBdr>
    </w:div>
    <w:div w:id="1872067775">
      <w:bodyDiv w:val="1"/>
      <w:marLeft w:val="0"/>
      <w:marRight w:val="0"/>
      <w:marTop w:val="0"/>
      <w:marBottom w:val="0"/>
      <w:divBdr>
        <w:top w:val="none" w:sz="0" w:space="0" w:color="auto"/>
        <w:left w:val="none" w:sz="0" w:space="0" w:color="auto"/>
        <w:bottom w:val="none" w:sz="0" w:space="0" w:color="auto"/>
        <w:right w:val="none" w:sz="0" w:space="0" w:color="auto"/>
      </w:divBdr>
    </w:div>
    <w:div w:id="1872180939">
      <w:bodyDiv w:val="1"/>
      <w:marLeft w:val="0"/>
      <w:marRight w:val="0"/>
      <w:marTop w:val="0"/>
      <w:marBottom w:val="0"/>
      <w:divBdr>
        <w:top w:val="none" w:sz="0" w:space="0" w:color="auto"/>
        <w:left w:val="none" w:sz="0" w:space="0" w:color="auto"/>
        <w:bottom w:val="none" w:sz="0" w:space="0" w:color="auto"/>
        <w:right w:val="none" w:sz="0" w:space="0" w:color="auto"/>
      </w:divBdr>
    </w:div>
    <w:div w:id="1872183852">
      <w:bodyDiv w:val="1"/>
      <w:marLeft w:val="0"/>
      <w:marRight w:val="0"/>
      <w:marTop w:val="0"/>
      <w:marBottom w:val="0"/>
      <w:divBdr>
        <w:top w:val="none" w:sz="0" w:space="0" w:color="auto"/>
        <w:left w:val="none" w:sz="0" w:space="0" w:color="auto"/>
        <w:bottom w:val="none" w:sz="0" w:space="0" w:color="auto"/>
        <w:right w:val="none" w:sz="0" w:space="0" w:color="auto"/>
      </w:divBdr>
    </w:div>
    <w:div w:id="1872187968">
      <w:bodyDiv w:val="1"/>
      <w:marLeft w:val="0"/>
      <w:marRight w:val="0"/>
      <w:marTop w:val="0"/>
      <w:marBottom w:val="0"/>
      <w:divBdr>
        <w:top w:val="none" w:sz="0" w:space="0" w:color="auto"/>
        <w:left w:val="none" w:sz="0" w:space="0" w:color="auto"/>
        <w:bottom w:val="none" w:sz="0" w:space="0" w:color="auto"/>
        <w:right w:val="none" w:sz="0" w:space="0" w:color="auto"/>
      </w:divBdr>
    </w:div>
    <w:div w:id="1872330627">
      <w:bodyDiv w:val="1"/>
      <w:marLeft w:val="0"/>
      <w:marRight w:val="0"/>
      <w:marTop w:val="0"/>
      <w:marBottom w:val="0"/>
      <w:divBdr>
        <w:top w:val="none" w:sz="0" w:space="0" w:color="auto"/>
        <w:left w:val="none" w:sz="0" w:space="0" w:color="auto"/>
        <w:bottom w:val="none" w:sz="0" w:space="0" w:color="auto"/>
        <w:right w:val="none" w:sz="0" w:space="0" w:color="auto"/>
      </w:divBdr>
    </w:div>
    <w:div w:id="1872451619">
      <w:bodyDiv w:val="1"/>
      <w:marLeft w:val="0"/>
      <w:marRight w:val="0"/>
      <w:marTop w:val="0"/>
      <w:marBottom w:val="0"/>
      <w:divBdr>
        <w:top w:val="none" w:sz="0" w:space="0" w:color="auto"/>
        <w:left w:val="none" w:sz="0" w:space="0" w:color="auto"/>
        <w:bottom w:val="none" w:sz="0" w:space="0" w:color="auto"/>
        <w:right w:val="none" w:sz="0" w:space="0" w:color="auto"/>
      </w:divBdr>
    </w:div>
    <w:div w:id="1872526208">
      <w:bodyDiv w:val="1"/>
      <w:marLeft w:val="0"/>
      <w:marRight w:val="0"/>
      <w:marTop w:val="0"/>
      <w:marBottom w:val="0"/>
      <w:divBdr>
        <w:top w:val="none" w:sz="0" w:space="0" w:color="auto"/>
        <w:left w:val="none" w:sz="0" w:space="0" w:color="auto"/>
        <w:bottom w:val="none" w:sz="0" w:space="0" w:color="auto"/>
        <w:right w:val="none" w:sz="0" w:space="0" w:color="auto"/>
      </w:divBdr>
    </w:div>
    <w:div w:id="1872572413">
      <w:bodyDiv w:val="1"/>
      <w:marLeft w:val="0"/>
      <w:marRight w:val="0"/>
      <w:marTop w:val="0"/>
      <w:marBottom w:val="0"/>
      <w:divBdr>
        <w:top w:val="none" w:sz="0" w:space="0" w:color="auto"/>
        <w:left w:val="none" w:sz="0" w:space="0" w:color="auto"/>
        <w:bottom w:val="none" w:sz="0" w:space="0" w:color="auto"/>
        <w:right w:val="none" w:sz="0" w:space="0" w:color="auto"/>
      </w:divBdr>
    </w:div>
    <w:div w:id="1872691260">
      <w:bodyDiv w:val="1"/>
      <w:marLeft w:val="0"/>
      <w:marRight w:val="0"/>
      <w:marTop w:val="0"/>
      <w:marBottom w:val="0"/>
      <w:divBdr>
        <w:top w:val="none" w:sz="0" w:space="0" w:color="auto"/>
        <w:left w:val="none" w:sz="0" w:space="0" w:color="auto"/>
        <w:bottom w:val="none" w:sz="0" w:space="0" w:color="auto"/>
        <w:right w:val="none" w:sz="0" w:space="0" w:color="auto"/>
      </w:divBdr>
    </w:div>
    <w:div w:id="1872836029">
      <w:bodyDiv w:val="1"/>
      <w:marLeft w:val="0"/>
      <w:marRight w:val="0"/>
      <w:marTop w:val="0"/>
      <w:marBottom w:val="0"/>
      <w:divBdr>
        <w:top w:val="none" w:sz="0" w:space="0" w:color="auto"/>
        <w:left w:val="none" w:sz="0" w:space="0" w:color="auto"/>
        <w:bottom w:val="none" w:sz="0" w:space="0" w:color="auto"/>
        <w:right w:val="none" w:sz="0" w:space="0" w:color="auto"/>
      </w:divBdr>
    </w:div>
    <w:div w:id="1873028733">
      <w:bodyDiv w:val="1"/>
      <w:marLeft w:val="0"/>
      <w:marRight w:val="0"/>
      <w:marTop w:val="0"/>
      <w:marBottom w:val="0"/>
      <w:divBdr>
        <w:top w:val="none" w:sz="0" w:space="0" w:color="auto"/>
        <w:left w:val="none" w:sz="0" w:space="0" w:color="auto"/>
        <w:bottom w:val="none" w:sz="0" w:space="0" w:color="auto"/>
        <w:right w:val="none" w:sz="0" w:space="0" w:color="auto"/>
      </w:divBdr>
    </w:div>
    <w:div w:id="1873150734">
      <w:bodyDiv w:val="1"/>
      <w:marLeft w:val="0"/>
      <w:marRight w:val="0"/>
      <w:marTop w:val="0"/>
      <w:marBottom w:val="0"/>
      <w:divBdr>
        <w:top w:val="none" w:sz="0" w:space="0" w:color="auto"/>
        <w:left w:val="none" w:sz="0" w:space="0" w:color="auto"/>
        <w:bottom w:val="none" w:sz="0" w:space="0" w:color="auto"/>
        <w:right w:val="none" w:sz="0" w:space="0" w:color="auto"/>
      </w:divBdr>
    </w:div>
    <w:div w:id="1873182243">
      <w:bodyDiv w:val="1"/>
      <w:marLeft w:val="0"/>
      <w:marRight w:val="0"/>
      <w:marTop w:val="0"/>
      <w:marBottom w:val="0"/>
      <w:divBdr>
        <w:top w:val="none" w:sz="0" w:space="0" w:color="auto"/>
        <w:left w:val="none" w:sz="0" w:space="0" w:color="auto"/>
        <w:bottom w:val="none" w:sz="0" w:space="0" w:color="auto"/>
        <w:right w:val="none" w:sz="0" w:space="0" w:color="auto"/>
      </w:divBdr>
    </w:div>
    <w:div w:id="1873373812">
      <w:bodyDiv w:val="1"/>
      <w:marLeft w:val="0"/>
      <w:marRight w:val="0"/>
      <w:marTop w:val="0"/>
      <w:marBottom w:val="0"/>
      <w:divBdr>
        <w:top w:val="none" w:sz="0" w:space="0" w:color="auto"/>
        <w:left w:val="none" w:sz="0" w:space="0" w:color="auto"/>
        <w:bottom w:val="none" w:sz="0" w:space="0" w:color="auto"/>
        <w:right w:val="none" w:sz="0" w:space="0" w:color="auto"/>
      </w:divBdr>
    </w:div>
    <w:div w:id="1873422572">
      <w:bodyDiv w:val="1"/>
      <w:marLeft w:val="0"/>
      <w:marRight w:val="0"/>
      <w:marTop w:val="0"/>
      <w:marBottom w:val="0"/>
      <w:divBdr>
        <w:top w:val="none" w:sz="0" w:space="0" w:color="auto"/>
        <w:left w:val="none" w:sz="0" w:space="0" w:color="auto"/>
        <w:bottom w:val="none" w:sz="0" w:space="0" w:color="auto"/>
        <w:right w:val="none" w:sz="0" w:space="0" w:color="auto"/>
      </w:divBdr>
    </w:div>
    <w:div w:id="1873493096">
      <w:bodyDiv w:val="1"/>
      <w:marLeft w:val="0"/>
      <w:marRight w:val="0"/>
      <w:marTop w:val="0"/>
      <w:marBottom w:val="0"/>
      <w:divBdr>
        <w:top w:val="none" w:sz="0" w:space="0" w:color="auto"/>
        <w:left w:val="none" w:sz="0" w:space="0" w:color="auto"/>
        <w:bottom w:val="none" w:sz="0" w:space="0" w:color="auto"/>
        <w:right w:val="none" w:sz="0" w:space="0" w:color="auto"/>
      </w:divBdr>
    </w:div>
    <w:div w:id="1873569801">
      <w:bodyDiv w:val="1"/>
      <w:marLeft w:val="0"/>
      <w:marRight w:val="0"/>
      <w:marTop w:val="0"/>
      <w:marBottom w:val="0"/>
      <w:divBdr>
        <w:top w:val="none" w:sz="0" w:space="0" w:color="auto"/>
        <w:left w:val="none" w:sz="0" w:space="0" w:color="auto"/>
        <w:bottom w:val="none" w:sz="0" w:space="0" w:color="auto"/>
        <w:right w:val="none" w:sz="0" w:space="0" w:color="auto"/>
      </w:divBdr>
    </w:div>
    <w:div w:id="1873611486">
      <w:bodyDiv w:val="1"/>
      <w:marLeft w:val="0"/>
      <w:marRight w:val="0"/>
      <w:marTop w:val="0"/>
      <w:marBottom w:val="0"/>
      <w:divBdr>
        <w:top w:val="none" w:sz="0" w:space="0" w:color="auto"/>
        <w:left w:val="none" w:sz="0" w:space="0" w:color="auto"/>
        <w:bottom w:val="none" w:sz="0" w:space="0" w:color="auto"/>
        <w:right w:val="none" w:sz="0" w:space="0" w:color="auto"/>
      </w:divBdr>
    </w:div>
    <w:div w:id="1873767105">
      <w:bodyDiv w:val="1"/>
      <w:marLeft w:val="0"/>
      <w:marRight w:val="0"/>
      <w:marTop w:val="0"/>
      <w:marBottom w:val="0"/>
      <w:divBdr>
        <w:top w:val="none" w:sz="0" w:space="0" w:color="auto"/>
        <w:left w:val="none" w:sz="0" w:space="0" w:color="auto"/>
        <w:bottom w:val="none" w:sz="0" w:space="0" w:color="auto"/>
        <w:right w:val="none" w:sz="0" w:space="0" w:color="auto"/>
      </w:divBdr>
    </w:div>
    <w:div w:id="1873834421">
      <w:bodyDiv w:val="1"/>
      <w:marLeft w:val="0"/>
      <w:marRight w:val="0"/>
      <w:marTop w:val="0"/>
      <w:marBottom w:val="0"/>
      <w:divBdr>
        <w:top w:val="none" w:sz="0" w:space="0" w:color="auto"/>
        <w:left w:val="none" w:sz="0" w:space="0" w:color="auto"/>
        <w:bottom w:val="none" w:sz="0" w:space="0" w:color="auto"/>
        <w:right w:val="none" w:sz="0" w:space="0" w:color="auto"/>
      </w:divBdr>
    </w:div>
    <w:div w:id="1874152130">
      <w:bodyDiv w:val="1"/>
      <w:marLeft w:val="0"/>
      <w:marRight w:val="0"/>
      <w:marTop w:val="0"/>
      <w:marBottom w:val="0"/>
      <w:divBdr>
        <w:top w:val="none" w:sz="0" w:space="0" w:color="auto"/>
        <w:left w:val="none" w:sz="0" w:space="0" w:color="auto"/>
        <w:bottom w:val="none" w:sz="0" w:space="0" w:color="auto"/>
        <w:right w:val="none" w:sz="0" w:space="0" w:color="auto"/>
      </w:divBdr>
    </w:div>
    <w:div w:id="1874344306">
      <w:bodyDiv w:val="1"/>
      <w:marLeft w:val="0"/>
      <w:marRight w:val="0"/>
      <w:marTop w:val="0"/>
      <w:marBottom w:val="0"/>
      <w:divBdr>
        <w:top w:val="none" w:sz="0" w:space="0" w:color="auto"/>
        <w:left w:val="none" w:sz="0" w:space="0" w:color="auto"/>
        <w:bottom w:val="none" w:sz="0" w:space="0" w:color="auto"/>
        <w:right w:val="none" w:sz="0" w:space="0" w:color="auto"/>
      </w:divBdr>
    </w:div>
    <w:div w:id="1874415778">
      <w:bodyDiv w:val="1"/>
      <w:marLeft w:val="0"/>
      <w:marRight w:val="0"/>
      <w:marTop w:val="0"/>
      <w:marBottom w:val="0"/>
      <w:divBdr>
        <w:top w:val="none" w:sz="0" w:space="0" w:color="auto"/>
        <w:left w:val="none" w:sz="0" w:space="0" w:color="auto"/>
        <w:bottom w:val="none" w:sz="0" w:space="0" w:color="auto"/>
        <w:right w:val="none" w:sz="0" w:space="0" w:color="auto"/>
      </w:divBdr>
    </w:div>
    <w:div w:id="1874423254">
      <w:bodyDiv w:val="1"/>
      <w:marLeft w:val="0"/>
      <w:marRight w:val="0"/>
      <w:marTop w:val="0"/>
      <w:marBottom w:val="0"/>
      <w:divBdr>
        <w:top w:val="none" w:sz="0" w:space="0" w:color="auto"/>
        <w:left w:val="none" w:sz="0" w:space="0" w:color="auto"/>
        <w:bottom w:val="none" w:sz="0" w:space="0" w:color="auto"/>
        <w:right w:val="none" w:sz="0" w:space="0" w:color="auto"/>
      </w:divBdr>
    </w:div>
    <w:div w:id="1874460682">
      <w:bodyDiv w:val="1"/>
      <w:marLeft w:val="0"/>
      <w:marRight w:val="0"/>
      <w:marTop w:val="0"/>
      <w:marBottom w:val="0"/>
      <w:divBdr>
        <w:top w:val="none" w:sz="0" w:space="0" w:color="auto"/>
        <w:left w:val="none" w:sz="0" w:space="0" w:color="auto"/>
        <w:bottom w:val="none" w:sz="0" w:space="0" w:color="auto"/>
        <w:right w:val="none" w:sz="0" w:space="0" w:color="auto"/>
      </w:divBdr>
    </w:div>
    <w:div w:id="1874463232">
      <w:bodyDiv w:val="1"/>
      <w:marLeft w:val="0"/>
      <w:marRight w:val="0"/>
      <w:marTop w:val="0"/>
      <w:marBottom w:val="0"/>
      <w:divBdr>
        <w:top w:val="none" w:sz="0" w:space="0" w:color="auto"/>
        <w:left w:val="none" w:sz="0" w:space="0" w:color="auto"/>
        <w:bottom w:val="none" w:sz="0" w:space="0" w:color="auto"/>
        <w:right w:val="none" w:sz="0" w:space="0" w:color="auto"/>
      </w:divBdr>
    </w:div>
    <w:div w:id="1874489769">
      <w:bodyDiv w:val="1"/>
      <w:marLeft w:val="0"/>
      <w:marRight w:val="0"/>
      <w:marTop w:val="0"/>
      <w:marBottom w:val="0"/>
      <w:divBdr>
        <w:top w:val="none" w:sz="0" w:space="0" w:color="auto"/>
        <w:left w:val="none" w:sz="0" w:space="0" w:color="auto"/>
        <w:bottom w:val="none" w:sz="0" w:space="0" w:color="auto"/>
        <w:right w:val="none" w:sz="0" w:space="0" w:color="auto"/>
      </w:divBdr>
    </w:div>
    <w:div w:id="1874492536">
      <w:bodyDiv w:val="1"/>
      <w:marLeft w:val="0"/>
      <w:marRight w:val="0"/>
      <w:marTop w:val="0"/>
      <w:marBottom w:val="0"/>
      <w:divBdr>
        <w:top w:val="none" w:sz="0" w:space="0" w:color="auto"/>
        <w:left w:val="none" w:sz="0" w:space="0" w:color="auto"/>
        <w:bottom w:val="none" w:sz="0" w:space="0" w:color="auto"/>
        <w:right w:val="none" w:sz="0" w:space="0" w:color="auto"/>
      </w:divBdr>
    </w:div>
    <w:div w:id="1874802249">
      <w:bodyDiv w:val="1"/>
      <w:marLeft w:val="0"/>
      <w:marRight w:val="0"/>
      <w:marTop w:val="0"/>
      <w:marBottom w:val="0"/>
      <w:divBdr>
        <w:top w:val="none" w:sz="0" w:space="0" w:color="auto"/>
        <w:left w:val="none" w:sz="0" w:space="0" w:color="auto"/>
        <w:bottom w:val="none" w:sz="0" w:space="0" w:color="auto"/>
        <w:right w:val="none" w:sz="0" w:space="0" w:color="auto"/>
      </w:divBdr>
    </w:div>
    <w:div w:id="1874951328">
      <w:bodyDiv w:val="1"/>
      <w:marLeft w:val="0"/>
      <w:marRight w:val="0"/>
      <w:marTop w:val="0"/>
      <w:marBottom w:val="0"/>
      <w:divBdr>
        <w:top w:val="none" w:sz="0" w:space="0" w:color="auto"/>
        <w:left w:val="none" w:sz="0" w:space="0" w:color="auto"/>
        <w:bottom w:val="none" w:sz="0" w:space="0" w:color="auto"/>
        <w:right w:val="none" w:sz="0" w:space="0" w:color="auto"/>
      </w:divBdr>
    </w:div>
    <w:div w:id="1875076389">
      <w:bodyDiv w:val="1"/>
      <w:marLeft w:val="0"/>
      <w:marRight w:val="0"/>
      <w:marTop w:val="0"/>
      <w:marBottom w:val="0"/>
      <w:divBdr>
        <w:top w:val="none" w:sz="0" w:space="0" w:color="auto"/>
        <w:left w:val="none" w:sz="0" w:space="0" w:color="auto"/>
        <w:bottom w:val="none" w:sz="0" w:space="0" w:color="auto"/>
        <w:right w:val="none" w:sz="0" w:space="0" w:color="auto"/>
      </w:divBdr>
    </w:div>
    <w:div w:id="1875117085">
      <w:bodyDiv w:val="1"/>
      <w:marLeft w:val="0"/>
      <w:marRight w:val="0"/>
      <w:marTop w:val="0"/>
      <w:marBottom w:val="0"/>
      <w:divBdr>
        <w:top w:val="none" w:sz="0" w:space="0" w:color="auto"/>
        <w:left w:val="none" w:sz="0" w:space="0" w:color="auto"/>
        <w:bottom w:val="none" w:sz="0" w:space="0" w:color="auto"/>
        <w:right w:val="none" w:sz="0" w:space="0" w:color="auto"/>
      </w:divBdr>
    </w:div>
    <w:div w:id="1875121191">
      <w:bodyDiv w:val="1"/>
      <w:marLeft w:val="0"/>
      <w:marRight w:val="0"/>
      <w:marTop w:val="0"/>
      <w:marBottom w:val="0"/>
      <w:divBdr>
        <w:top w:val="none" w:sz="0" w:space="0" w:color="auto"/>
        <w:left w:val="none" w:sz="0" w:space="0" w:color="auto"/>
        <w:bottom w:val="none" w:sz="0" w:space="0" w:color="auto"/>
        <w:right w:val="none" w:sz="0" w:space="0" w:color="auto"/>
      </w:divBdr>
    </w:div>
    <w:div w:id="1875121213">
      <w:bodyDiv w:val="1"/>
      <w:marLeft w:val="0"/>
      <w:marRight w:val="0"/>
      <w:marTop w:val="0"/>
      <w:marBottom w:val="0"/>
      <w:divBdr>
        <w:top w:val="none" w:sz="0" w:space="0" w:color="auto"/>
        <w:left w:val="none" w:sz="0" w:space="0" w:color="auto"/>
        <w:bottom w:val="none" w:sz="0" w:space="0" w:color="auto"/>
        <w:right w:val="none" w:sz="0" w:space="0" w:color="auto"/>
      </w:divBdr>
    </w:div>
    <w:div w:id="1875269567">
      <w:bodyDiv w:val="1"/>
      <w:marLeft w:val="0"/>
      <w:marRight w:val="0"/>
      <w:marTop w:val="0"/>
      <w:marBottom w:val="0"/>
      <w:divBdr>
        <w:top w:val="none" w:sz="0" w:space="0" w:color="auto"/>
        <w:left w:val="none" w:sz="0" w:space="0" w:color="auto"/>
        <w:bottom w:val="none" w:sz="0" w:space="0" w:color="auto"/>
        <w:right w:val="none" w:sz="0" w:space="0" w:color="auto"/>
      </w:divBdr>
    </w:div>
    <w:div w:id="1875343977">
      <w:bodyDiv w:val="1"/>
      <w:marLeft w:val="0"/>
      <w:marRight w:val="0"/>
      <w:marTop w:val="0"/>
      <w:marBottom w:val="0"/>
      <w:divBdr>
        <w:top w:val="none" w:sz="0" w:space="0" w:color="auto"/>
        <w:left w:val="none" w:sz="0" w:space="0" w:color="auto"/>
        <w:bottom w:val="none" w:sz="0" w:space="0" w:color="auto"/>
        <w:right w:val="none" w:sz="0" w:space="0" w:color="auto"/>
      </w:divBdr>
    </w:div>
    <w:div w:id="1875386140">
      <w:bodyDiv w:val="1"/>
      <w:marLeft w:val="0"/>
      <w:marRight w:val="0"/>
      <w:marTop w:val="0"/>
      <w:marBottom w:val="0"/>
      <w:divBdr>
        <w:top w:val="none" w:sz="0" w:space="0" w:color="auto"/>
        <w:left w:val="none" w:sz="0" w:space="0" w:color="auto"/>
        <w:bottom w:val="none" w:sz="0" w:space="0" w:color="auto"/>
        <w:right w:val="none" w:sz="0" w:space="0" w:color="auto"/>
      </w:divBdr>
    </w:div>
    <w:div w:id="1875388668">
      <w:bodyDiv w:val="1"/>
      <w:marLeft w:val="0"/>
      <w:marRight w:val="0"/>
      <w:marTop w:val="0"/>
      <w:marBottom w:val="0"/>
      <w:divBdr>
        <w:top w:val="none" w:sz="0" w:space="0" w:color="auto"/>
        <w:left w:val="none" w:sz="0" w:space="0" w:color="auto"/>
        <w:bottom w:val="none" w:sz="0" w:space="0" w:color="auto"/>
        <w:right w:val="none" w:sz="0" w:space="0" w:color="auto"/>
      </w:divBdr>
    </w:div>
    <w:div w:id="1875389401">
      <w:bodyDiv w:val="1"/>
      <w:marLeft w:val="0"/>
      <w:marRight w:val="0"/>
      <w:marTop w:val="0"/>
      <w:marBottom w:val="0"/>
      <w:divBdr>
        <w:top w:val="none" w:sz="0" w:space="0" w:color="auto"/>
        <w:left w:val="none" w:sz="0" w:space="0" w:color="auto"/>
        <w:bottom w:val="none" w:sz="0" w:space="0" w:color="auto"/>
        <w:right w:val="none" w:sz="0" w:space="0" w:color="auto"/>
      </w:divBdr>
    </w:div>
    <w:div w:id="1875456215">
      <w:bodyDiv w:val="1"/>
      <w:marLeft w:val="0"/>
      <w:marRight w:val="0"/>
      <w:marTop w:val="0"/>
      <w:marBottom w:val="0"/>
      <w:divBdr>
        <w:top w:val="none" w:sz="0" w:space="0" w:color="auto"/>
        <w:left w:val="none" w:sz="0" w:space="0" w:color="auto"/>
        <w:bottom w:val="none" w:sz="0" w:space="0" w:color="auto"/>
        <w:right w:val="none" w:sz="0" w:space="0" w:color="auto"/>
      </w:divBdr>
    </w:div>
    <w:div w:id="1875531695">
      <w:bodyDiv w:val="1"/>
      <w:marLeft w:val="0"/>
      <w:marRight w:val="0"/>
      <w:marTop w:val="0"/>
      <w:marBottom w:val="0"/>
      <w:divBdr>
        <w:top w:val="none" w:sz="0" w:space="0" w:color="auto"/>
        <w:left w:val="none" w:sz="0" w:space="0" w:color="auto"/>
        <w:bottom w:val="none" w:sz="0" w:space="0" w:color="auto"/>
        <w:right w:val="none" w:sz="0" w:space="0" w:color="auto"/>
      </w:divBdr>
    </w:div>
    <w:div w:id="1875655294">
      <w:bodyDiv w:val="1"/>
      <w:marLeft w:val="0"/>
      <w:marRight w:val="0"/>
      <w:marTop w:val="0"/>
      <w:marBottom w:val="0"/>
      <w:divBdr>
        <w:top w:val="none" w:sz="0" w:space="0" w:color="auto"/>
        <w:left w:val="none" w:sz="0" w:space="0" w:color="auto"/>
        <w:bottom w:val="none" w:sz="0" w:space="0" w:color="auto"/>
        <w:right w:val="none" w:sz="0" w:space="0" w:color="auto"/>
      </w:divBdr>
    </w:div>
    <w:div w:id="1875772357">
      <w:bodyDiv w:val="1"/>
      <w:marLeft w:val="0"/>
      <w:marRight w:val="0"/>
      <w:marTop w:val="0"/>
      <w:marBottom w:val="0"/>
      <w:divBdr>
        <w:top w:val="none" w:sz="0" w:space="0" w:color="auto"/>
        <w:left w:val="none" w:sz="0" w:space="0" w:color="auto"/>
        <w:bottom w:val="none" w:sz="0" w:space="0" w:color="auto"/>
        <w:right w:val="none" w:sz="0" w:space="0" w:color="auto"/>
      </w:divBdr>
    </w:div>
    <w:div w:id="1875850954">
      <w:bodyDiv w:val="1"/>
      <w:marLeft w:val="0"/>
      <w:marRight w:val="0"/>
      <w:marTop w:val="0"/>
      <w:marBottom w:val="0"/>
      <w:divBdr>
        <w:top w:val="none" w:sz="0" w:space="0" w:color="auto"/>
        <w:left w:val="none" w:sz="0" w:space="0" w:color="auto"/>
        <w:bottom w:val="none" w:sz="0" w:space="0" w:color="auto"/>
        <w:right w:val="none" w:sz="0" w:space="0" w:color="auto"/>
      </w:divBdr>
    </w:div>
    <w:div w:id="1876111741">
      <w:bodyDiv w:val="1"/>
      <w:marLeft w:val="0"/>
      <w:marRight w:val="0"/>
      <w:marTop w:val="0"/>
      <w:marBottom w:val="0"/>
      <w:divBdr>
        <w:top w:val="none" w:sz="0" w:space="0" w:color="auto"/>
        <w:left w:val="none" w:sz="0" w:space="0" w:color="auto"/>
        <w:bottom w:val="none" w:sz="0" w:space="0" w:color="auto"/>
        <w:right w:val="none" w:sz="0" w:space="0" w:color="auto"/>
      </w:divBdr>
    </w:div>
    <w:div w:id="1876195746">
      <w:bodyDiv w:val="1"/>
      <w:marLeft w:val="0"/>
      <w:marRight w:val="0"/>
      <w:marTop w:val="0"/>
      <w:marBottom w:val="0"/>
      <w:divBdr>
        <w:top w:val="none" w:sz="0" w:space="0" w:color="auto"/>
        <w:left w:val="none" w:sz="0" w:space="0" w:color="auto"/>
        <w:bottom w:val="none" w:sz="0" w:space="0" w:color="auto"/>
        <w:right w:val="none" w:sz="0" w:space="0" w:color="auto"/>
      </w:divBdr>
    </w:div>
    <w:div w:id="1876236597">
      <w:bodyDiv w:val="1"/>
      <w:marLeft w:val="0"/>
      <w:marRight w:val="0"/>
      <w:marTop w:val="0"/>
      <w:marBottom w:val="0"/>
      <w:divBdr>
        <w:top w:val="none" w:sz="0" w:space="0" w:color="auto"/>
        <w:left w:val="none" w:sz="0" w:space="0" w:color="auto"/>
        <w:bottom w:val="none" w:sz="0" w:space="0" w:color="auto"/>
        <w:right w:val="none" w:sz="0" w:space="0" w:color="auto"/>
      </w:divBdr>
    </w:div>
    <w:div w:id="1876238526">
      <w:bodyDiv w:val="1"/>
      <w:marLeft w:val="0"/>
      <w:marRight w:val="0"/>
      <w:marTop w:val="0"/>
      <w:marBottom w:val="0"/>
      <w:divBdr>
        <w:top w:val="none" w:sz="0" w:space="0" w:color="auto"/>
        <w:left w:val="none" w:sz="0" w:space="0" w:color="auto"/>
        <w:bottom w:val="none" w:sz="0" w:space="0" w:color="auto"/>
        <w:right w:val="none" w:sz="0" w:space="0" w:color="auto"/>
      </w:divBdr>
    </w:div>
    <w:div w:id="1876389326">
      <w:bodyDiv w:val="1"/>
      <w:marLeft w:val="0"/>
      <w:marRight w:val="0"/>
      <w:marTop w:val="0"/>
      <w:marBottom w:val="0"/>
      <w:divBdr>
        <w:top w:val="none" w:sz="0" w:space="0" w:color="auto"/>
        <w:left w:val="none" w:sz="0" w:space="0" w:color="auto"/>
        <w:bottom w:val="none" w:sz="0" w:space="0" w:color="auto"/>
        <w:right w:val="none" w:sz="0" w:space="0" w:color="auto"/>
      </w:divBdr>
    </w:div>
    <w:div w:id="1876427791">
      <w:bodyDiv w:val="1"/>
      <w:marLeft w:val="0"/>
      <w:marRight w:val="0"/>
      <w:marTop w:val="0"/>
      <w:marBottom w:val="0"/>
      <w:divBdr>
        <w:top w:val="none" w:sz="0" w:space="0" w:color="auto"/>
        <w:left w:val="none" w:sz="0" w:space="0" w:color="auto"/>
        <w:bottom w:val="none" w:sz="0" w:space="0" w:color="auto"/>
        <w:right w:val="none" w:sz="0" w:space="0" w:color="auto"/>
      </w:divBdr>
    </w:div>
    <w:div w:id="1876428580">
      <w:bodyDiv w:val="1"/>
      <w:marLeft w:val="0"/>
      <w:marRight w:val="0"/>
      <w:marTop w:val="0"/>
      <w:marBottom w:val="0"/>
      <w:divBdr>
        <w:top w:val="none" w:sz="0" w:space="0" w:color="auto"/>
        <w:left w:val="none" w:sz="0" w:space="0" w:color="auto"/>
        <w:bottom w:val="none" w:sz="0" w:space="0" w:color="auto"/>
        <w:right w:val="none" w:sz="0" w:space="0" w:color="auto"/>
      </w:divBdr>
    </w:div>
    <w:div w:id="1876501856">
      <w:bodyDiv w:val="1"/>
      <w:marLeft w:val="0"/>
      <w:marRight w:val="0"/>
      <w:marTop w:val="0"/>
      <w:marBottom w:val="0"/>
      <w:divBdr>
        <w:top w:val="none" w:sz="0" w:space="0" w:color="auto"/>
        <w:left w:val="none" w:sz="0" w:space="0" w:color="auto"/>
        <w:bottom w:val="none" w:sz="0" w:space="0" w:color="auto"/>
        <w:right w:val="none" w:sz="0" w:space="0" w:color="auto"/>
      </w:divBdr>
    </w:div>
    <w:div w:id="1876653588">
      <w:bodyDiv w:val="1"/>
      <w:marLeft w:val="0"/>
      <w:marRight w:val="0"/>
      <w:marTop w:val="0"/>
      <w:marBottom w:val="0"/>
      <w:divBdr>
        <w:top w:val="none" w:sz="0" w:space="0" w:color="auto"/>
        <w:left w:val="none" w:sz="0" w:space="0" w:color="auto"/>
        <w:bottom w:val="none" w:sz="0" w:space="0" w:color="auto"/>
        <w:right w:val="none" w:sz="0" w:space="0" w:color="auto"/>
      </w:divBdr>
    </w:div>
    <w:div w:id="1876691515">
      <w:bodyDiv w:val="1"/>
      <w:marLeft w:val="0"/>
      <w:marRight w:val="0"/>
      <w:marTop w:val="0"/>
      <w:marBottom w:val="0"/>
      <w:divBdr>
        <w:top w:val="none" w:sz="0" w:space="0" w:color="auto"/>
        <w:left w:val="none" w:sz="0" w:space="0" w:color="auto"/>
        <w:bottom w:val="none" w:sz="0" w:space="0" w:color="auto"/>
        <w:right w:val="none" w:sz="0" w:space="0" w:color="auto"/>
      </w:divBdr>
    </w:div>
    <w:div w:id="1876892361">
      <w:bodyDiv w:val="1"/>
      <w:marLeft w:val="0"/>
      <w:marRight w:val="0"/>
      <w:marTop w:val="0"/>
      <w:marBottom w:val="0"/>
      <w:divBdr>
        <w:top w:val="none" w:sz="0" w:space="0" w:color="auto"/>
        <w:left w:val="none" w:sz="0" w:space="0" w:color="auto"/>
        <w:bottom w:val="none" w:sz="0" w:space="0" w:color="auto"/>
        <w:right w:val="none" w:sz="0" w:space="0" w:color="auto"/>
      </w:divBdr>
    </w:div>
    <w:div w:id="1876962487">
      <w:bodyDiv w:val="1"/>
      <w:marLeft w:val="0"/>
      <w:marRight w:val="0"/>
      <w:marTop w:val="0"/>
      <w:marBottom w:val="0"/>
      <w:divBdr>
        <w:top w:val="none" w:sz="0" w:space="0" w:color="auto"/>
        <w:left w:val="none" w:sz="0" w:space="0" w:color="auto"/>
        <w:bottom w:val="none" w:sz="0" w:space="0" w:color="auto"/>
        <w:right w:val="none" w:sz="0" w:space="0" w:color="auto"/>
      </w:divBdr>
    </w:div>
    <w:div w:id="1876967756">
      <w:bodyDiv w:val="1"/>
      <w:marLeft w:val="0"/>
      <w:marRight w:val="0"/>
      <w:marTop w:val="0"/>
      <w:marBottom w:val="0"/>
      <w:divBdr>
        <w:top w:val="none" w:sz="0" w:space="0" w:color="auto"/>
        <w:left w:val="none" w:sz="0" w:space="0" w:color="auto"/>
        <w:bottom w:val="none" w:sz="0" w:space="0" w:color="auto"/>
        <w:right w:val="none" w:sz="0" w:space="0" w:color="auto"/>
      </w:divBdr>
    </w:div>
    <w:div w:id="1877422398">
      <w:bodyDiv w:val="1"/>
      <w:marLeft w:val="0"/>
      <w:marRight w:val="0"/>
      <w:marTop w:val="0"/>
      <w:marBottom w:val="0"/>
      <w:divBdr>
        <w:top w:val="none" w:sz="0" w:space="0" w:color="auto"/>
        <w:left w:val="none" w:sz="0" w:space="0" w:color="auto"/>
        <w:bottom w:val="none" w:sz="0" w:space="0" w:color="auto"/>
        <w:right w:val="none" w:sz="0" w:space="0" w:color="auto"/>
      </w:divBdr>
    </w:div>
    <w:div w:id="1877615668">
      <w:bodyDiv w:val="1"/>
      <w:marLeft w:val="0"/>
      <w:marRight w:val="0"/>
      <w:marTop w:val="0"/>
      <w:marBottom w:val="0"/>
      <w:divBdr>
        <w:top w:val="none" w:sz="0" w:space="0" w:color="auto"/>
        <w:left w:val="none" w:sz="0" w:space="0" w:color="auto"/>
        <w:bottom w:val="none" w:sz="0" w:space="0" w:color="auto"/>
        <w:right w:val="none" w:sz="0" w:space="0" w:color="auto"/>
      </w:divBdr>
    </w:div>
    <w:div w:id="1877616872">
      <w:bodyDiv w:val="1"/>
      <w:marLeft w:val="0"/>
      <w:marRight w:val="0"/>
      <w:marTop w:val="0"/>
      <w:marBottom w:val="0"/>
      <w:divBdr>
        <w:top w:val="none" w:sz="0" w:space="0" w:color="auto"/>
        <w:left w:val="none" w:sz="0" w:space="0" w:color="auto"/>
        <w:bottom w:val="none" w:sz="0" w:space="0" w:color="auto"/>
        <w:right w:val="none" w:sz="0" w:space="0" w:color="auto"/>
      </w:divBdr>
    </w:div>
    <w:div w:id="1877620663">
      <w:bodyDiv w:val="1"/>
      <w:marLeft w:val="0"/>
      <w:marRight w:val="0"/>
      <w:marTop w:val="0"/>
      <w:marBottom w:val="0"/>
      <w:divBdr>
        <w:top w:val="none" w:sz="0" w:space="0" w:color="auto"/>
        <w:left w:val="none" w:sz="0" w:space="0" w:color="auto"/>
        <w:bottom w:val="none" w:sz="0" w:space="0" w:color="auto"/>
        <w:right w:val="none" w:sz="0" w:space="0" w:color="auto"/>
      </w:divBdr>
    </w:div>
    <w:div w:id="1877697295">
      <w:bodyDiv w:val="1"/>
      <w:marLeft w:val="0"/>
      <w:marRight w:val="0"/>
      <w:marTop w:val="0"/>
      <w:marBottom w:val="0"/>
      <w:divBdr>
        <w:top w:val="none" w:sz="0" w:space="0" w:color="auto"/>
        <w:left w:val="none" w:sz="0" w:space="0" w:color="auto"/>
        <w:bottom w:val="none" w:sz="0" w:space="0" w:color="auto"/>
        <w:right w:val="none" w:sz="0" w:space="0" w:color="auto"/>
      </w:divBdr>
    </w:div>
    <w:div w:id="1877812162">
      <w:bodyDiv w:val="1"/>
      <w:marLeft w:val="0"/>
      <w:marRight w:val="0"/>
      <w:marTop w:val="0"/>
      <w:marBottom w:val="0"/>
      <w:divBdr>
        <w:top w:val="none" w:sz="0" w:space="0" w:color="auto"/>
        <w:left w:val="none" w:sz="0" w:space="0" w:color="auto"/>
        <w:bottom w:val="none" w:sz="0" w:space="0" w:color="auto"/>
        <w:right w:val="none" w:sz="0" w:space="0" w:color="auto"/>
      </w:divBdr>
    </w:div>
    <w:div w:id="1877812170">
      <w:bodyDiv w:val="1"/>
      <w:marLeft w:val="0"/>
      <w:marRight w:val="0"/>
      <w:marTop w:val="0"/>
      <w:marBottom w:val="0"/>
      <w:divBdr>
        <w:top w:val="none" w:sz="0" w:space="0" w:color="auto"/>
        <w:left w:val="none" w:sz="0" w:space="0" w:color="auto"/>
        <w:bottom w:val="none" w:sz="0" w:space="0" w:color="auto"/>
        <w:right w:val="none" w:sz="0" w:space="0" w:color="auto"/>
      </w:divBdr>
    </w:div>
    <w:div w:id="1877813108">
      <w:bodyDiv w:val="1"/>
      <w:marLeft w:val="0"/>
      <w:marRight w:val="0"/>
      <w:marTop w:val="0"/>
      <w:marBottom w:val="0"/>
      <w:divBdr>
        <w:top w:val="none" w:sz="0" w:space="0" w:color="auto"/>
        <w:left w:val="none" w:sz="0" w:space="0" w:color="auto"/>
        <w:bottom w:val="none" w:sz="0" w:space="0" w:color="auto"/>
        <w:right w:val="none" w:sz="0" w:space="0" w:color="auto"/>
      </w:divBdr>
    </w:div>
    <w:div w:id="1877892507">
      <w:bodyDiv w:val="1"/>
      <w:marLeft w:val="0"/>
      <w:marRight w:val="0"/>
      <w:marTop w:val="0"/>
      <w:marBottom w:val="0"/>
      <w:divBdr>
        <w:top w:val="none" w:sz="0" w:space="0" w:color="auto"/>
        <w:left w:val="none" w:sz="0" w:space="0" w:color="auto"/>
        <w:bottom w:val="none" w:sz="0" w:space="0" w:color="auto"/>
        <w:right w:val="none" w:sz="0" w:space="0" w:color="auto"/>
      </w:divBdr>
    </w:div>
    <w:div w:id="1877960719">
      <w:bodyDiv w:val="1"/>
      <w:marLeft w:val="0"/>
      <w:marRight w:val="0"/>
      <w:marTop w:val="0"/>
      <w:marBottom w:val="0"/>
      <w:divBdr>
        <w:top w:val="none" w:sz="0" w:space="0" w:color="auto"/>
        <w:left w:val="none" w:sz="0" w:space="0" w:color="auto"/>
        <w:bottom w:val="none" w:sz="0" w:space="0" w:color="auto"/>
        <w:right w:val="none" w:sz="0" w:space="0" w:color="auto"/>
      </w:divBdr>
    </w:div>
    <w:div w:id="1877963412">
      <w:bodyDiv w:val="1"/>
      <w:marLeft w:val="0"/>
      <w:marRight w:val="0"/>
      <w:marTop w:val="0"/>
      <w:marBottom w:val="0"/>
      <w:divBdr>
        <w:top w:val="none" w:sz="0" w:space="0" w:color="auto"/>
        <w:left w:val="none" w:sz="0" w:space="0" w:color="auto"/>
        <w:bottom w:val="none" w:sz="0" w:space="0" w:color="auto"/>
        <w:right w:val="none" w:sz="0" w:space="0" w:color="auto"/>
      </w:divBdr>
    </w:div>
    <w:div w:id="1878005923">
      <w:bodyDiv w:val="1"/>
      <w:marLeft w:val="0"/>
      <w:marRight w:val="0"/>
      <w:marTop w:val="0"/>
      <w:marBottom w:val="0"/>
      <w:divBdr>
        <w:top w:val="none" w:sz="0" w:space="0" w:color="auto"/>
        <w:left w:val="none" w:sz="0" w:space="0" w:color="auto"/>
        <w:bottom w:val="none" w:sz="0" w:space="0" w:color="auto"/>
        <w:right w:val="none" w:sz="0" w:space="0" w:color="auto"/>
      </w:divBdr>
    </w:div>
    <w:div w:id="1878153990">
      <w:bodyDiv w:val="1"/>
      <w:marLeft w:val="0"/>
      <w:marRight w:val="0"/>
      <w:marTop w:val="0"/>
      <w:marBottom w:val="0"/>
      <w:divBdr>
        <w:top w:val="none" w:sz="0" w:space="0" w:color="auto"/>
        <w:left w:val="none" w:sz="0" w:space="0" w:color="auto"/>
        <w:bottom w:val="none" w:sz="0" w:space="0" w:color="auto"/>
        <w:right w:val="none" w:sz="0" w:space="0" w:color="auto"/>
      </w:divBdr>
    </w:div>
    <w:div w:id="1878154047">
      <w:bodyDiv w:val="1"/>
      <w:marLeft w:val="0"/>
      <w:marRight w:val="0"/>
      <w:marTop w:val="0"/>
      <w:marBottom w:val="0"/>
      <w:divBdr>
        <w:top w:val="none" w:sz="0" w:space="0" w:color="auto"/>
        <w:left w:val="none" w:sz="0" w:space="0" w:color="auto"/>
        <w:bottom w:val="none" w:sz="0" w:space="0" w:color="auto"/>
        <w:right w:val="none" w:sz="0" w:space="0" w:color="auto"/>
      </w:divBdr>
    </w:div>
    <w:div w:id="1878200460">
      <w:bodyDiv w:val="1"/>
      <w:marLeft w:val="0"/>
      <w:marRight w:val="0"/>
      <w:marTop w:val="0"/>
      <w:marBottom w:val="0"/>
      <w:divBdr>
        <w:top w:val="none" w:sz="0" w:space="0" w:color="auto"/>
        <w:left w:val="none" w:sz="0" w:space="0" w:color="auto"/>
        <w:bottom w:val="none" w:sz="0" w:space="0" w:color="auto"/>
        <w:right w:val="none" w:sz="0" w:space="0" w:color="auto"/>
      </w:divBdr>
    </w:div>
    <w:div w:id="1878275436">
      <w:bodyDiv w:val="1"/>
      <w:marLeft w:val="0"/>
      <w:marRight w:val="0"/>
      <w:marTop w:val="0"/>
      <w:marBottom w:val="0"/>
      <w:divBdr>
        <w:top w:val="none" w:sz="0" w:space="0" w:color="auto"/>
        <w:left w:val="none" w:sz="0" w:space="0" w:color="auto"/>
        <w:bottom w:val="none" w:sz="0" w:space="0" w:color="auto"/>
        <w:right w:val="none" w:sz="0" w:space="0" w:color="auto"/>
      </w:divBdr>
    </w:div>
    <w:div w:id="1878345933">
      <w:bodyDiv w:val="1"/>
      <w:marLeft w:val="0"/>
      <w:marRight w:val="0"/>
      <w:marTop w:val="0"/>
      <w:marBottom w:val="0"/>
      <w:divBdr>
        <w:top w:val="none" w:sz="0" w:space="0" w:color="auto"/>
        <w:left w:val="none" w:sz="0" w:space="0" w:color="auto"/>
        <w:bottom w:val="none" w:sz="0" w:space="0" w:color="auto"/>
        <w:right w:val="none" w:sz="0" w:space="0" w:color="auto"/>
      </w:divBdr>
    </w:div>
    <w:div w:id="1878350781">
      <w:bodyDiv w:val="1"/>
      <w:marLeft w:val="0"/>
      <w:marRight w:val="0"/>
      <w:marTop w:val="0"/>
      <w:marBottom w:val="0"/>
      <w:divBdr>
        <w:top w:val="none" w:sz="0" w:space="0" w:color="auto"/>
        <w:left w:val="none" w:sz="0" w:space="0" w:color="auto"/>
        <w:bottom w:val="none" w:sz="0" w:space="0" w:color="auto"/>
        <w:right w:val="none" w:sz="0" w:space="0" w:color="auto"/>
      </w:divBdr>
    </w:div>
    <w:div w:id="1878396325">
      <w:bodyDiv w:val="1"/>
      <w:marLeft w:val="0"/>
      <w:marRight w:val="0"/>
      <w:marTop w:val="0"/>
      <w:marBottom w:val="0"/>
      <w:divBdr>
        <w:top w:val="none" w:sz="0" w:space="0" w:color="auto"/>
        <w:left w:val="none" w:sz="0" w:space="0" w:color="auto"/>
        <w:bottom w:val="none" w:sz="0" w:space="0" w:color="auto"/>
        <w:right w:val="none" w:sz="0" w:space="0" w:color="auto"/>
      </w:divBdr>
    </w:div>
    <w:div w:id="1878465150">
      <w:bodyDiv w:val="1"/>
      <w:marLeft w:val="0"/>
      <w:marRight w:val="0"/>
      <w:marTop w:val="0"/>
      <w:marBottom w:val="0"/>
      <w:divBdr>
        <w:top w:val="none" w:sz="0" w:space="0" w:color="auto"/>
        <w:left w:val="none" w:sz="0" w:space="0" w:color="auto"/>
        <w:bottom w:val="none" w:sz="0" w:space="0" w:color="auto"/>
        <w:right w:val="none" w:sz="0" w:space="0" w:color="auto"/>
      </w:divBdr>
    </w:div>
    <w:div w:id="1878815719">
      <w:bodyDiv w:val="1"/>
      <w:marLeft w:val="0"/>
      <w:marRight w:val="0"/>
      <w:marTop w:val="0"/>
      <w:marBottom w:val="0"/>
      <w:divBdr>
        <w:top w:val="none" w:sz="0" w:space="0" w:color="auto"/>
        <w:left w:val="none" w:sz="0" w:space="0" w:color="auto"/>
        <w:bottom w:val="none" w:sz="0" w:space="0" w:color="auto"/>
        <w:right w:val="none" w:sz="0" w:space="0" w:color="auto"/>
      </w:divBdr>
    </w:div>
    <w:div w:id="1878816911">
      <w:bodyDiv w:val="1"/>
      <w:marLeft w:val="0"/>
      <w:marRight w:val="0"/>
      <w:marTop w:val="0"/>
      <w:marBottom w:val="0"/>
      <w:divBdr>
        <w:top w:val="none" w:sz="0" w:space="0" w:color="auto"/>
        <w:left w:val="none" w:sz="0" w:space="0" w:color="auto"/>
        <w:bottom w:val="none" w:sz="0" w:space="0" w:color="auto"/>
        <w:right w:val="none" w:sz="0" w:space="0" w:color="auto"/>
      </w:divBdr>
    </w:div>
    <w:div w:id="1878852279">
      <w:bodyDiv w:val="1"/>
      <w:marLeft w:val="0"/>
      <w:marRight w:val="0"/>
      <w:marTop w:val="0"/>
      <w:marBottom w:val="0"/>
      <w:divBdr>
        <w:top w:val="none" w:sz="0" w:space="0" w:color="auto"/>
        <w:left w:val="none" w:sz="0" w:space="0" w:color="auto"/>
        <w:bottom w:val="none" w:sz="0" w:space="0" w:color="auto"/>
        <w:right w:val="none" w:sz="0" w:space="0" w:color="auto"/>
      </w:divBdr>
    </w:div>
    <w:div w:id="1878931104">
      <w:bodyDiv w:val="1"/>
      <w:marLeft w:val="0"/>
      <w:marRight w:val="0"/>
      <w:marTop w:val="0"/>
      <w:marBottom w:val="0"/>
      <w:divBdr>
        <w:top w:val="none" w:sz="0" w:space="0" w:color="auto"/>
        <w:left w:val="none" w:sz="0" w:space="0" w:color="auto"/>
        <w:bottom w:val="none" w:sz="0" w:space="0" w:color="auto"/>
        <w:right w:val="none" w:sz="0" w:space="0" w:color="auto"/>
      </w:divBdr>
    </w:div>
    <w:div w:id="1878933672">
      <w:bodyDiv w:val="1"/>
      <w:marLeft w:val="0"/>
      <w:marRight w:val="0"/>
      <w:marTop w:val="0"/>
      <w:marBottom w:val="0"/>
      <w:divBdr>
        <w:top w:val="none" w:sz="0" w:space="0" w:color="auto"/>
        <w:left w:val="none" w:sz="0" w:space="0" w:color="auto"/>
        <w:bottom w:val="none" w:sz="0" w:space="0" w:color="auto"/>
        <w:right w:val="none" w:sz="0" w:space="0" w:color="auto"/>
      </w:divBdr>
    </w:div>
    <w:div w:id="1879010259">
      <w:bodyDiv w:val="1"/>
      <w:marLeft w:val="0"/>
      <w:marRight w:val="0"/>
      <w:marTop w:val="0"/>
      <w:marBottom w:val="0"/>
      <w:divBdr>
        <w:top w:val="none" w:sz="0" w:space="0" w:color="auto"/>
        <w:left w:val="none" w:sz="0" w:space="0" w:color="auto"/>
        <w:bottom w:val="none" w:sz="0" w:space="0" w:color="auto"/>
        <w:right w:val="none" w:sz="0" w:space="0" w:color="auto"/>
      </w:divBdr>
    </w:div>
    <w:div w:id="1879080587">
      <w:bodyDiv w:val="1"/>
      <w:marLeft w:val="0"/>
      <w:marRight w:val="0"/>
      <w:marTop w:val="0"/>
      <w:marBottom w:val="0"/>
      <w:divBdr>
        <w:top w:val="none" w:sz="0" w:space="0" w:color="auto"/>
        <w:left w:val="none" w:sz="0" w:space="0" w:color="auto"/>
        <w:bottom w:val="none" w:sz="0" w:space="0" w:color="auto"/>
        <w:right w:val="none" w:sz="0" w:space="0" w:color="auto"/>
      </w:divBdr>
    </w:div>
    <w:div w:id="1879128006">
      <w:bodyDiv w:val="1"/>
      <w:marLeft w:val="0"/>
      <w:marRight w:val="0"/>
      <w:marTop w:val="0"/>
      <w:marBottom w:val="0"/>
      <w:divBdr>
        <w:top w:val="none" w:sz="0" w:space="0" w:color="auto"/>
        <w:left w:val="none" w:sz="0" w:space="0" w:color="auto"/>
        <w:bottom w:val="none" w:sz="0" w:space="0" w:color="auto"/>
        <w:right w:val="none" w:sz="0" w:space="0" w:color="auto"/>
      </w:divBdr>
    </w:div>
    <w:div w:id="1879312936">
      <w:bodyDiv w:val="1"/>
      <w:marLeft w:val="0"/>
      <w:marRight w:val="0"/>
      <w:marTop w:val="0"/>
      <w:marBottom w:val="0"/>
      <w:divBdr>
        <w:top w:val="none" w:sz="0" w:space="0" w:color="auto"/>
        <w:left w:val="none" w:sz="0" w:space="0" w:color="auto"/>
        <w:bottom w:val="none" w:sz="0" w:space="0" w:color="auto"/>
        <w:right w:val="none" w:sz="0" w:space="0" w:color="auto"/>
      </w:divBdr>
    </w:div>
    <w:div w:id="1879321559">
      <w:bodyDiv w:val="1"/>
      <w:marLeft w:val="0"/>
      <w:marRight w:val="0"/>
      <w:marTop w:val="0"/>
      <w:marBottom w:val="0"/>
      <w:divBdr>
        <w:top w:val="none" w:sz="0" w:space="0" w:color="auto"/>
        <w:left w:val="none" w:sz="0" w:space="0" w:color="auto"/>
        <w:bottom w:val="none" w:sz="0" w:space="0" w:color="auto"/>
        <w:right w:val="none" w:sz="0" w:space="0" w:color="auto"/>
      </w:divBdr>
    </w:div>
    <w:div w:id="1879509517">
      <w:bodyDiv w:val="1"/>
      <w:marLeft w:val="0"/>
      <w:marRight w:val="0"/>
      <w:marTop w:val="0"/>
      <w:marBottom w:val="0"/>
      <w:divBdr>
        <w:top w:val="none" w:sz="0" w:space="0" w:color="auto"/>
        <w:left w:val="none" w:sz="0" w:space="0" w:color="auto"/>
        <w:bottom w:val="none" w:sz="0" w:space="0" w:color="auto"/>
        <w:right w:val="none" w:sz="0" w:space="0" w:color="auto"/>
      </w:divBdr>
    </w:div>
    <w:div w:id="1879512078">
      <w:bodyDiv w:val="1"/>
      <w:marLeft w:val="0"/>
      <w:marRight w:val="0"/>
      <w:marTop w:val="0"/>
      <w:marBottom w:val="0"/>
      <w:divBdr>
        <w:top w:val="none" w:sz="0" w:space="0" w:color="auto"/>
        <w:left w:val="none" w:sz="0" w:space="0" w:color="auto"/>
        <w:bottom w:val="none" w:sz="0" w:space="0" w:color="auto"/>
        <w:right w:val="none" w:sz="0" w:space="0" w:color="auto"/>
      </w:divBdr>
    </w:div>
    <w:div w:id="1879581955">
      <w:bodyDiv w:val="1"/>
      <w:marLeft w:val="0"/>
      <w:marRight w:val="0"/>
      <w:marTop w:val="0"/>
      <w:marBottom w:val="0"/>
      <w:divBdr>
        <w:top w:val="none" w:sz="0" w:space="0" w:color="auto"/>
        <w:left w:val="none" w:sz="0" w:space="0" w:color="auto"/>
        <w:bottom w:val="none" w:sz="0" w:space="0" w:color="auto"/>
        <w:right w:val="none" w:sz="0" w:space="0" w:color="auto"/>
      </w:divBdr>
    </w:div>
    <w:div w:id="1879657164">
      <w:bodyDiv w:val="1"/>
      <w:marLeft w:val="0"/>
      <w:marRight w:val="0"/>
      <w:marTop w:val="0"/>
      <w:marBottom w:val="0"/>
      <w:divBdr>
        <w:top w:val="none" w:sz="0" w:space="0" w:color="auto"/>
        <w:left w:val="none" w:sz="0" w:space="0" w:color="auto"/>
        <w:bottom w:val="none" w:sz="0" w:space="0" w:color="auto"/>
        <w:right w:val="none" w:sz="0" w:space="0" w:color="auto"/>
      </w:divBdr>
    </w:div>
    <w:div w:id="1879706144">
      <w:bodyDiv w:val="1"/>
      <w:marLeft w:val="0"/>
      <w:marRight w:val="0"/>
      <w:marTop w:val="0"/>
      <w:marBottom w:val="0"/>
      <w:divBdr>
        <w:top w:val="none" w:sz="0" w:space="0" w:color="auto"/>
        <w:left w:val="none" w:sz="0" w:space="0" w:color="auto"/>
        <w:bottom w:val="none" w:sz="0" w:space="0" w:color="auto"/>
        <w:right w:val="none" w:sz="0" w:space="0" w:color="auto"/>
      </w:divBdr>
    </w:div>
    <w:div w:id="1879708165">
      <w:bodyDiv w:val="1"/>
      <w:marLeft w:val="0"/>
      <w:marRight w:val="0"/>
      <w:marTop w:val="0"/>
      <w:marBottom w:val="0"/>
      <w:divBdr>
        <w:top w:val="none" w:sz="0" w:space="0" w:color="auto"/>
        <w:left w:val="none" w:sz="0" w:space="0" w:color="auto"/>
        <w:bottom w:val="none" w:sz="0" w:space="0" w:color="auto"/>
        <w:right w:val="none" w:sz="0" w:space="0" w:color="auto"/>
      </w:divBdr>
    </w:div>
    <w:div w:id="1879854165">
      <w:bodyDiv w:val="1"/>
      <w:marLeft w:val="0"/>
      <w:marRight w:val="0"/>
      <w:marTop w:val="0"/>
      <w:marBottom w:val="0"/>
      <w:divBdr>
        <w:top w:val="none" w:sz="0" w:space="0" w:color="auto"/>
        <w:left w:val="none" w:sz="0" w:space="0" w:color="auto"/>
        <w:bottom w:val="none" w:sz="0" w:space="0" w:color="auto"/>
        <w:right w:val="none" w:sz="0" w:space="0" w:color="auto"/>
      </w:divBdr>
    </w:div>
    <w:div w:id="1879930205">
      <w:bodyDiv w:val="1"/>
      <w:marLeft w:val="0"/>
      <w:marRight w:val="0"/>
      <w:marTop w:val="0"/>
      <w:marBottom w:val="0"/>
      <w:divBdr>
        <w:top w:val="none" w:sz="0" w:space="0" w:color="auto"/>
        <w:left w:val="none" w:sz="0" w:space="0" w:color="auto"/>
        <w:bottom w:val="none" w:sz="0" w:space="0" w:color="auto"/>
        <w:right w:val="none" w:sz="0" w:space="0" w:color="auto"/>
      </w:divBdr>
    </w:div>
    <w:div w:id="1879971767">
      <w:bodyDiv w:val="1"/>
      <w:marLeft w:val="0"/>
      <w:marRight w:val="0"/>
      <w:marTop w:val="0"/>
      <w:marBottom w:val="0"/>
      <w:divBdr>
        <w:top w:val="none" w:sz="0" w:space="0" w:color="auto"/>
        <w:left w:val="none" w:sz="0" w:space="0" w:color="auto"/>
        <w:bottom w:val="none" w:sz="0" w:space="0" w:color="auto"/>
        <w:right w:val="none" w:sz="0" w:space="0" w:color="auto"/>
      </w:divBdr>
    </w:div>
    <w:div w:id="1880046992">
      <w:bodyDiv w:val="1"/>
      <w:marLeft w:val="0"/>
      <w:marRight w:val="0"/>
      <w:marTop w:val="0"/>
      <w:marBottom w:val="0"/>
      <w:divBdr>
        <w:top w:val="none" w:sz="0" w:space="0" w:color="auto"/>
        <w:left w:val="none" w:sz="0" w:space="0" w:color="auto"/>
        <w:bottom w:val="none" w:sz="0" w:space="0" w:color="auto"/>
        <w:right w:val="none" w:sz="0" w:space="0" w:color="auto"/>
      </w:divBdr>
    </w:div>
    <w:div w:id="1880123531">
      <w:bodyDiv w:val="1"/>
      <w:marLeft w:val="0"/>
      <w:marRight w:val="0"/>
      <w:marTop w:val="0"/>
      <w:marBottom w:val="0"/>
      <w:divBdr>
        <w:top w:val="none" w:sz="0" w:space="0" w:color="auto"/>
        <w:left w:val="none" w:sz="0" w:space="0" w:color="auto"/>
        <w:bottom w:val="none" w:sz="0" w:space="0" w:color="auto"/>
        <w:right w:val="none" w:sz="0" w:space="0" w:color="auto"/>
      </w:divBdr>
    </w:div>
    <w:div w:id="1880124456">
      <w:bodyDiv w:val="1"/>
      <w:marLeft w:val="0"/>
      <w:marRight w:val="0"/>
      <w:marTop w:val="0"/>
      <w:marBottom w:val="0"/>
      <w:divBdr>
        <w:top w:val="none" w:sz="0" w:space="0" w:color="auto"/>
        <w:left w:val="none" w:sz="0" w:space="0" w:color="auto"/>
        <w:bottom w:val="none" w:sz="0" w:space="0" w:color="auto"/>
        <w:right w:val="none" w:sz="0" w:space="0" w:color="auto"/>
      </w:divBdr>
    </w:div>
    <w:div w:id="1880314184">
      <w:bodyDiv w:val="1"/>
      <w:marLeft w:val="0"/>
      <w:marRight w:val="0"/>
      <w:marTop w:val="0"/>
      <w:marBottom w:val="0"/>
      <w:divBdr>
        <w:top w:val="none" w:sz="0" w:space="0" w:color="auto"/>
        <w:left w:val="none" w:sz="0" w:space="0" w:color="auto"/>
        <w:bottom w:val="none" w:sz="0" w:space="0" w:color="auto"/>
        <w:right w:val="none" w:sz="0" w:space="0" w:color="auto"/>
      </w:divBdr>
    </w:div>
    <w:div w:id="1880361186">
      <w:bodyDiv w:val="1"/>
      <w:marLeft w:val="0"/>
      <w:marRight w:val="0"/>
      <w:marTop w:val="0"/>
      <w:marBottom w:val="0"/>
      <w:divBdr>
        <w:top w:val="none" w:sz="0" w:space="0" w:color="auto"/>
        <w:left w:val="none" w:sz="0" w:space="0" w:color="auto"/>
        <w:bottom w:val="none" w:sz="0" w:space="0" w:color="auto"/>
        <w:right w:val="none" w:sz="0" w:space="0" w:color="auto"/>
      </w:divBdr>
    </w:div>
    <w:div w:id="1880389716">
      <w:bodyDiv w:val="1"/>
      <w:marLeft w:val="0"/>
      <w:marRight w:val="0"/>
      <w:marTop w:val="0"/>
      <w:marBottom w:val="0"/>
      <w:divBdr>
        <w:top w:val="none" w:sz="0" w:space="0" w:color="auto"/>
        <w:left w:val="none" w:sz="0" w:space="0" w:color="auto"/>
        <w:bottom w:val="none" w:sz="0" w:space="0" w:color="auto"/>
        <w:right w:val="none" w:sz="0" w:space="0" w:color="auto"/>
      </w:divBdr>
    </w:div>
    <w:div w:id="1880390127">
      <w:bodyDiv w:val="1"/>
      <w:marLeft w:val="0"/>
      <w:marRight w:val="0"/>
      <w:marTop w:val="0"/>
      <w:marBottom w:val="0"/>
      <w:divBdr>
        <w:top w:val="none" w:sz="0" w:space="0" w:color="auto"/>
        <w:left w:val="none" w:sz="0" w:space="0" w:color="auto"/>
        <w:bottom w:val="none" w:sz="0" w:space="0" w:color="auto"/>
        <w:right w:val="none" w:sz="0" w:space="0" w:color="auto"/>
      </w:divBdr>
    </w:div>
    <w:div w:id="1880505538">
      <w:bodyDiv w:val="1"/>
      <w:marLeft w:val="0"/>
      <w:marRight w:val="0"/>
      <w:marTop w:val="0"/>
      <w:marBottom w:val="0"/>
      <w:divBdr>
        <w:top w:val="none" w:sz="0" w:space="0" w:color="auto"/>
        <w:left w:val="none" w:sz="0" w:space="0" w:color="auto"/>
        <w:bottom w:val="none" w:sz="0" w:space="0" w:color="auto"/>
        <w:right w:val="none" w:sz="0" w:space="0" w:color="auto"/>
      </w:divBdr>
    </w:div>
    <w:div w:id="1880581234">
      <w:bodyDiv w:val="1"/>
      <w:marLeft w:val="0"/>
      <w:marRight w:val="0"/>
      <w:marTop w:val="0"/>
      <w:marBottom w:val="0"/>
      <w:divBdr>
        <w:top w:val="none" w:sz="0" w:space="0" w:color="auto"/>
        <w:left w:val="none" w:sz="0" w:space="0" w:color="auto"/>
        <w:bottom w:val="none" w:sz="0" w:space="0" w:color="auto"/>
        <w:right w:val="none" w:sz="0" w:space="0" w:color="auto"/>
      </w:divBdr>
    </w:div>
    <w:div w:id="1880583031">
      <w:bodyDiv w:val="1"/>
      <w:marLeft w:val="0"/>
      <w:marRight w:val="0"/>
      <w:marTop w:val="0"/>
      <w:marBottom w:val="0"/>
      <w:divBdr>
        <w:top w:val="none" w:sz="0" w:space="0" w:color="auto"/>
        <w:left w:val="none" w:sz="0" w:space="0" w:color="auto"/>
        <w:bottom w:val="none" w:sz="0" w:space="0" w:color="auto"/>
        <w:right w:val="none" w:sz="0" w:space="0" w:color="auto"/>
      </w:divBdr>
    </w:div>
    <w:div w:id="1880587308">
      <w:bodyDiv w:val="1"/>
      <w:marLeft w:val="0"/>
      <w:marRight w:val="0"/>
      <w:marTop w:val="0"/>
      <w:marBottom w:val="0"/>
      <w:divBdr>
        <w:top w:val="none" w:sz="0" w:space="0" w:color="auto"/>
        <w:left w:val="none" w:sz="0" w:space="0" w:color="auto"/>
        <w:bottom w:val="none" w:sz="0" w:space="0" w:color="auto"/>
        <w:right w:val="none" w:sz="0" w:space="0" w:color="auto"/>
      </w:divBdr>
    </w:div>
    <w:div w:id="1880623269">
      <w:bodyDiv w:val="1"/>
      <w:marLeft w:val="0"/>
      <w:marRight w:val="0"/>
      <w:marTop w:val="0"/>
      <w:marBottom w:val="0"/>
      <w:divBdr>
        <w:top w:val="none" w:sz="0" w:space="0" w:color="auto"/>
        <w:left w:val="none" w:sz="0" w:space="0" w:color="auto"/>
        <w:bottom w:val="none" w:sz="0" w:space="0" w:color="auto"/>
        <w:right w:val="none" w:sz="0" w:space="0" w:color="auto"/>
      </w:divBdr>
    </w:div>
    <w:div w:id="1880623952">
      <w:bodyDiv w:val="1"/>
      <w:marLeft w:val="0"/>
      <w:marRight w:val="0"/>
      <w:marTop w:val="0"/>
      <w:marBottom w:val="0"/>
      <w:divBdr>
        <w:top w:val="none" w:sz="0" w:space="0" w:color="auto"/>
        <w:left w:val="none" w:sz="0" w:space="0" w:color="auto"/>
        <w:bottom w:val="none" w:sz="0" w:space="0" w:color="auto"/>
        <w:right w:val="none" w:sz="0" w:space="0" w:color="auto"/>
      </w:divBdr>
    </w:div>
    <w:div w:id="1880629590">
      <w:bodyDiv w:val="1"/>
      <w:marLeft w:val="0"/>
      <w:marRight w:val="0"/>
      <w:marTop w:val="0"/>
      <w:marBottom w:val="0"/>
      <w:divBdr>
        <w:top w:val="none" w:sz="0" w:space="0" w:color="auto"/>
        <w:left w:val="none" w:sz="0" w:space="0" w:color="auto"/>
        <w:bottom w:val="none" w:sz="0" w:space="0" w:color="auto"/>
        <w:right w:val="none" w:sz="0" w:space="0" w:color="auto"/>
      </w:divBdr>
    </w:div>
    <w:div w:id="1880699105">
      <w:bodyDiv w:val="1"/>
      <w:marLeft w:val="0"/>
      <w:marRight w:val="0"/>
      <w:marTop w:val="0"/>
      <w:marBottom w:val="0"/>
      <w:divBdr>
        <w:top w:val="none" w:sz="0" w:space="0" w:color="auto"/>
        <w:left w:val="none" w:sz="0" w:space="0" w:color="auto"/>
        <w:bottom w:val="none" w:sz="0" w:space="0" w:color="auto"/>
        <w:right w:val="none" w:sz="0" w:space="0" w:color="auto"/>
      </w:divBdr>
    </w:div>
    <w:div w:id="1880705245">
      <w:bodyDiv w:val="1"/>
      <w:marLeft w:val="0"/>
      <w:marRight w:val="0"/>
      <w:marTop w:val="0"/>
      <w:marBottom w:val="0"/>
      <w:divBdr>
        <w:top w:val="none" w:sz="0" w:space="0" w:color="auto"/>
        <w:left w:val="none" w:sz="0" w:space="0" w:color="auto"/>
        <w:bottom w:val="none" w:sz="0" w:space="0" w:color="auto"/>
        <w:right w:val="none" w:sz="0" w:space="0" w:color="auto"/>
      </w:divBdr>
    </w:div>
    <w:div w:id="1880777353">
      <w:bodyDiv w:val="1"/>
      <w:marLeft w:val="0"/>
      <w:marRight w:val="0"/>
      <w:marTop w:val="0"/>
      <w:marBottom w:val="0"/>
      <w:divBdr>
        <w:top w:val="none" w:sz="0" w:space="0" w:color="auto"/>
        <w:left w:val="none" w:sz="0" w:space="0" w:color="auto"/>
        <w:bottom w:val="none" w:sz="0" w:space="0" w:color="auto"/>
        <w:right w:val="none" w:sz="0" w:space="0" w:color="auto"/>
      </w:divBdr>
    </w:div>
    <w:div w:id="1880897928">
      <w:bodyDiv w:val="1"/>
      <w:marLeft w:val="0"/>
      <w:marRight w:val="0"/>
      <w:marTop w:val="0"/>
      <w:marBottom w:val="0"/>
      <w:divBdr>
        <w:top w:val="none" w:sz="0" w:space="0" w:color="auto"/>
        <w:left w:val="none" w:sz="0" w:space="0" w:color="auto"/>
        <w:bottom w:val="none" w:sz="0" w:space="0" w:color="auto"/>
        <w:right w:val="none" w:sz="0" w:space="0" w:color="auto"/>
      </w:divBdr>
    </w:div>
    <w:div w:id="1880975828">
      <w:bodyDiv w:val="1"/>
      <w:marLeft w:val="0"/>
      <w:marRight w:val="0"/>
      <w:marTop w:val="0"/>
      <w:marBottom w:val="0"/>
      <w:divBdr>
        <w:top w:val="none" w:sz="0" w:space="0" w:color="auto"/>
        <w:left w:val="none" w:sz="0" w:space="0" w:color="auto"/>
        <w:bottom w:val="none" w:sz="0" w:space="0" w:color="auto"/>
        <w:right w:val="none" w:sz="0" w:space="0" w:color="auto"/>
      </w:divBdr>
    </w:div>
    <w:div w:id="1881045991">
      <w:bodyDiv w:val="1"/>
      <w:marLeft w:val="0"/>
      <w:marRight w:val="0"/>
      <w:marTop w:val="0"/>
      <w:marBottom w:val="0"/>
      <w:divBdr>
        <w:top w:val="none" w:sz="0" w:space="0" w:color="auto"/>
        <w:left w:val="none" w:sz="0" w:space="0" w:color="auto"/>
        <w:bottom w:val="none" w:sz="0" w:space="0" w:color="auto"/>
        <w:right w:val="none" w:sz="0" w:space="0" w:color="auto"/>
      </w:divBdr>
    </w:div>
    <w:div w:id="1881086641">
      <w:bodyDiv w:val="1"/>
      <w:marLeft w:val="0"/>
      <w:marRight w:val="0"/>
      <w:marTop w:val="0"/>
      <w:marBottom w:val="0"/>
      <w:divBdr>
        <w:top w:val="none" w:sz="0" w:space="0" w:color="auto"/>
        <w:left w:val="none" w:sz="0" w:space="0" w:color="auto"/>
        <w:bottom w:val="none" w:sz="0" w:space="0" w:color="auto"/>
        <w:right w:val="none" w:sz="0" w:space="0" w:color="auto"/>
      </w:divBdr>
    </w:div>
    <w:div w:id="1881090500">
      <w:bodyDiv w:val="1"/>
      <w:marLeft w:val="0"/>
      <w:marRight w:val="0"/>
      <w:marTop w:val="0"/>
      <w:marBottom w:val="0"/>
      <w:divBdr>
        <w:top w:val="none" w:sz="0" w:space="0" w:color="auto"/>
        <w:left w:val="none" w:sz="0" w:space="0" w:color="auto"/>
        <w:bottom w:val="none" w:sz="0" w:space="0" w:color="auto"/>
        <w:right w:val="none" w:sz="0" w:space="0" w:color="auto"/>
      </w:divBdr>
    </w:div>
    <w:div w:id="1881240695">
      <w:bodyDiv w:val="1"/>
      <w:marLeft w:val="0"/>
      <w:marRight w:val="0"/>
      <w:marTop w:val="0"/>
      <w:marBottom w:val="0"/>
      <w:divBdr>
        <w:top w:val="none" w:sz="0" w:space="0" w:color="auto"/>
        <w:left w:val="none" w:sz="0" w:space="0" w:color="auto"/>
        <w:bottom w:val="none" w:sz="0" w:space="0" w:color="auto"/>
        <w:right w:val="none" w:sz="0" w:space="0" w:color="auto"/>
      </w:divBdr>
    </w:div>
    <w:div w:id="1881281731">
      <w:bodyDiv w:val="1"/>
      <w:marLeft w:val="0"/>
      <w:marRight w:val="0"/>
      <w:marTop w:val="0"/>
      <w:marBottom w:val="0"/>
      <w:divBdr>
        <w:top w:val="none" w:sz="0" w:space="0" w:color="auto"/>
        <w:left w:val="none" w:sz="0" w:space="0" w:color="auto"/>
        <w:bottom w:val="none" w:sz="0" w:space="0" w:color="auto"/>
        <w:right w:val="none" w:sz="0" w:space="0" w:color="auto"/>
      </w:divBdr>
    </w:div>
    <w:div w:id="1881287058">
      <w:bodyDiv w:val="1"/>
      <w:marLeft w:val="0"/>
      <w:marRight w:val="0"/>
      <w:marTop w:val="0"/>
      <w:marBottom w:val="0"/>
      <w:divBdr>
        <w:top w:val="none" w:sz="0" w:space="0" w:color="auto"/>
        <w:left w:val="none" w:sz="0" w:space="0" w:color="auto"/>
        <w:bottom w:val="none" w:sz="0" w:space="0" w:color="auto"/>
        <w:right w:val="none" w:sz="0" w:space="0" w:color="auto"/>
      </w:divBdr>
    </w:div>
    <w:div w:id="1881353567">
      <w:bodyDiv w:val="1"/>
      <w:marLeft w:val="0"/>
      <w:marRight w:val="0"/>
      <w:marTop w:val="0"/>
      <w:marBottom w:val="0"/>
      <w:divBdr>
        <w:top w:val="none" w:sz="0" w:space="0" w:color="auto"/>
        <w:left w:val="none" w:sz="0" w:space="0" w:color="auto"/>
        <w:bottom w:val="none" w:sz="0" w:space="0" w:color="auto"/>
        <w:right w:val="none" w:sz="0" w:space="0" w:color="auto"/>
      </w:divBdr>
    </w:div>
    <w:div w:id="1881355225">
      <w:bodyDiv w:val="1"/>
      <w:marLeft w:val="0"/>
      <w:marRight w:val="0"/>
      <w:marTop w:val="0"/>
      <w:marBottom w:val="0"/>
      <w:divBdr>
        <w:top w:val="none" w:sz="0" w:space="0" w:color="auto"/>
        <w:left w:val="none" w:sz="0" w:space="0" w:color="auto"/>
        <w:bottom w:val="none" w:sz="0" w:space="0" w:color="auto"/>
        <w:right w:val="none" w:sz="0" w:space="0" w:color="auto"/>
      </w:divBdr>
    </w:div>
    <w:div w:id="1881431177">
      <w:bodyDiv w:val="1"/>
      <w:marLeft w:val="0"/>
      <w:marRight w:val="0"/>
      <w:marTop w:val="0"/>
      <w:marBottom w:val="0"/>
      <w:divBdr>
        <w:top w:val="none" w:sz="0" w:space="0" w:color="auto"/>
        <w:left w:val="none" w:sz="0" w:space="0" w:color="auto"/>
        <w:bottom w:val="none" w:sz="0" w:space="0" w:color="auto"/>
        <w:right w:val="none" w:sz="0" w:space="0" w:color="auto"/>
      </w:divBdr>
    </w:div>
    <w:div w:id="1881431670">
      <w:bodyDiv w:val="1"/>
      <w:marLeft w:val="0"/>
      <w:marRight w:val="0"/>
      <w:marTop w:val="0"/>
      <w:marBottom w:val="0"/>
      <w:divBdr>
        <w:top w:val="none" w:sz="0" w:space="0" w:color="auto"/>
        <w:left w:val="none" w:sz="0" w:space="0" w:color="auto"/>
        <w:bottom w:val="none" w:sz="0" w:space="0" w:color="auto"/>
        <w:right w:val="none" w:sz="0" w:space="0" w:color="auto"/>
      </w:divBdr>
    </w:div>
    <w:div w:id="1881436696">
      <w:bodyDiv w:val="1"/>
      <w:marLeft w:val="0"/>
      <w:marRight w:val="0"/>
      <w:marTop w:val="0"/>
      <w:marBottom w:val="0"/>
      <w:divBdr>
        <w:top w:val="none" w:sz="0" w:space="0" w:color="auto"/>
        <w:left w:val="none" w:sz="0" w:space="0" w:color="auto"/>
        <w:bottom w:val="none" w:sz="0" w:space="0" w:color="auto"/>
        <w:right w:val="none" w:sz="0" w:space="0" w:color="auto"/>
      </w:divBdr>
    </w:div>
    <w:div w:id="1881479116">
      <w:bodyDiv w:val="1"/>
      <w:marLeft w:val="0"/>
      <w:marRight w:val="0"/>
      <w:marTop w:val="0"/>
      <w:marBottom w:val="0"/>
      <w:divBdr>
        <w:top w:val="none" w:sz="0" w:space="0" w:color="auto"/>
        <w:left w:val="none" w:sz="0" w:space="0" w:color="auto"/>
        <w:bottom w:val="none" w:sz="0" w:space="0" w:color="auto"/>
        <w:right w:val="none" w:sz="0" w:space="0" w:color="auto"/>
      </w:divBdr>
    </w:div>
    <w:div w:id="1881550246">
      <w:bodyDiv w:val="1"/>
      <w:marLeft w:val="0"/>
      <w:marRight w:val="0"/>
      <w:marTop w:val="0"/>
      <w:marBottom w:val="0"/>
      <w:divBdr>
        <w:top w:val="none" w:sz="0" w:space="0" w:color="auto"/>
        <w:left w:val="none" w:sz="0" w:space="0" w:color="auto"/>
        <w:bottom w:val="none" w:sz="0" w:space="0" w:color="auto"/>
        <w:right w:val="none" w:sz="0" w:space="0" w:color="auto"/>
      </w:divBdr>
    </w:div>
    <w:div w:id="1881669645">
      <w:bodyDiv w:val="1"/>
      <w:marLeft w:val="0"/>
      <w:marRight w:val="0"/>
      <w:marTop w:val="0"/>
      <w:marBottom w:val="0"/>
      <w:divBdr>
        <w:top w:val="none" w:sz="0" w:space="0" w:color="auto"/>
        <w:left w:val="none" w:sz="0" w:space="0" w:color="auto"/>
        <w:bottom w:val="none" w:sz="0" w:space="0" w:color="auto"/>
        <w:right w:val="none" w:sz="0" w:space="0" w:color="auto"/>
      </w:divBdr>
    </w:div>
    <w:div w:id="1881699366">
      <w:bodyDiv w:val="1"/>
      <w:marLeft w:val="0"/>
      <w:marRight w:val="0"/>
      <w:marTop w:val="0"/>
      <w:marBottom w:val="0"/>
      <w:divBdr>
        <w:top w:val="none" w:sz="0" w:space="0" w:color="auto"/>
        <w:left w:val="none" w:sz="0" w:space="0" w:color="auto"/>
        <w:bottom w:val="none" w:sz="0" w:space="0" w:color="auto"/>
        <w:right w:val="none" w:sz="0" w:space="0" w:color="auto"/>
      </w:divBdr>
    </w:div>
    <w:div w:id="1881896306">
      <w:bodyDiv w:val="1"/>
      <w:marLeft w:val="0"/>
      <w:marRight w:val="0"/>
      <w:marTop w:val="0"/>
      <w:marBottom w:val="0"/>
      <w:divBdr>
        <w:top w:val="none" w:sz="0" w:space="0" w:color="auto"/>
        <w:left w:val="none" w:sz="0" w:space="0" w:color="auto"/>
        <w:bottom w:val="none" w:sz="0" w:space="0" w:color="auto"/>
        <w:right w:val="none" w:sz="0" w:space="0" w:color="auto"/>
      </w:divBdr>
    </w:div>
    <w:div w:id="1882090457">
      <w:bodyDiv w:val="1"/>
      <w:marLeft w:val="0"/>
      <w:marRight w:val="0"/>
      <w:marTop w:val="0"/>
      <w:marBottom w:val="0"/>
      <w:divBdr>
        <w:top w:val="none" w:sz="0" w:space="0" w:color="auto"/>
        <w:left w:val="none" w:sz="0" w:space="0" w:color="auto"/>
        <w:bottom w:val="none" w:sz="0" w:space="0" w:color="auto"/>
        <w:right w:val="none" w:sz="0" w:space="0" w:color="auto"/>
      </w:divBdr>
    </w:div>
    <w:div w:id="1882478463">
      <w:bodyDiv w:val="1"/>
      <w:marLeft w:val="0"/>
      <w:marRight w:val="0"/>
      <w:marTop w:val="0"/>
      <w:marBottom w:val="0"/>
      <w:divBdr>
        <w:top w:val="none" w:sz="0" w:space="0" w:color="auto"/>
        <w:left w:val="none" w:sz="0" w:space="0" w:color="auto"/>
        <w:bottom w:val="none" w:sz="0" w:space="0" w:color="auto"/>
        <w:right w:val="none" w:sz="0" w:space="0" w:color="auto"/>
      </w:divBdr>
    </w:div>
    <w:div w:id="1882550053">
      <w:bodyDiv w:val="1"/>
      <w:marLeft w:val="0"/>
      <w:marRight w:val="0"/>
      <w:marTop w:val="0"/>
      <w:marBottom w:val="0"/>
      <w:divBdr>
        <w:top w:val="none" w:sz="0" w:space="0" w:color="auto"/>
        <w:left w:val="none" w:sz="0" w:space="0" w:color="auto"/>
        <w:bottom w:val="none" w:sz="0" w:space="0" w:color="auto"/>
        <w:right w:val="none" w:sz="0" w:space="0" w:color="auto"/>
      </w:divBdr>
    </w:div>
    <w:div w:id="1882551604">
      <w:bodyDiv w:val="1"/>
      <w:marLeft w:val="0"/>
      <w:marRight w:val="0"/>
      <w:marTop w:val="0"/>
      <w:marBottom w:val="0"/>
      <w:divBdr>
        <w:top w:val="none" w:sz="0" w:space="0" w:color="auto"/>
        <w:left w:val="none" w:sz="0" w:space="0" w:color="auto"/>
        <w:bottom w:val="none" w:sz="0" w:space="0" w:color="auto"/>
        <w:right w:val="none" w:sz="0" w:space="0" w:color="auto"/>
      </w:divBdr>
    </w:div>
    <w:div w:id="1882588285">
      <w:bodyDiv w:val="1"/>
      <w:marLeft w:val="0"/>
      <w:marRight w:val="0"/>
      <w:marTop w:val="0"/>
      <w:marBottom w:val="0"/>
      <w:divBdr>
        <w:top w:val="none" w:sz="0" w:space="0" w:color="auto"/>
        <w:left w:val="none" w:sz="0" w:space="0" w:color="auto"/>
        <w:bottom w:val="none" w:sz="0" w:space="0" w:color="auto"/>
        <w:right w:val="none" w:sz="0" w:space="0" w:color="auto"/>
      </w:divBdr>
    </w:div>
    <w:div w:id="1882591215">
      <w:bodyDiv w:val="1"/>
      <w:marLeft w:val="0"/>
      <w:marRight w:val="0"/>
      <w:marTop w:val="0"/>
      <w:marBottom w:val="0"/>
      <w:divBdr>
        <w:top w:val="none" w:sz="0" w:space="0" w:color="auto"/>
        <w:left w:val="none" w:sz="0" w:space="0" w:color="auto"/>
        <w:bottom w:val="none" w:sz="0" w:space="0" w:color="auto"/>
        <w:right w:val="none" w:sz="0" w:space="0" w:color="auto"/>
      </w:divBdr>
    </w:div>
    <w:div w:id="1882859570">
      <w:bodyDiv w:val="1"/>
      <w:marLeft w:val="0"/>
      <w:marRight w:val="0"/>
      <w:marTop w:val="0"/>
      <w:marBottom w:val="0"/>
      <w:divBdr>
        <w:top w:val="none" w:sz="0" w:space="0" w:color="auto"/>
        <w:left w:val="none" w:sz="0" w:space="0" w:color="auto"/>
        <w:bottom w:val="none" w:sz="0" w:space="0" w:color="auto"/>
        <w:right w:val="none" w:sz="0" w:space="0" w:color="auto"/>
      </w:divBdr>
    </w:div>
    <w:div w:id="1882860255">
      <w:bodyDiv w:val="1"/>
      <w:marLeft w:val="0"/>
      <w:marRight w:val="0"/>
      <w:marTop w:val="0"/>
      <w:marBottom w:val="0"/>
      <w:divBdr>
        <w:top w:val="none" w:sz="0" w:space="0" w:color="auto"/>
        <w:left w:val="none" w:sz="0" w:space="0" w:color="auto"/>
        <w:bottom w:val="none" w:sz="0" w:space="0" w:color="auto"/>
        <w:right w:val="none" w:sz="0" w:space="0" w:color="auto"/>
      </w:divBdr>
    </w:div>
    <w:div w:id="1882861884">
      <w:bodyDiv w:val="1"/>
      <w:marLeft w:val="0"/>
      <w:marRight w:val="0"/>
      <w:marTop w:val="0"/>
      <w:marBottom w:val="0"/>
      <w:divBdr>
        <w:top w:val="none" w:sz="0" w:space="0" w:color="auto"/>
        <w:left w:val="none" w:sz="0" w:space="0" w:color="auto"/>
        <w:bottom w:val="none" w:sz="0" w:space="0" w:color="auto"/>
        <w:right w:val="none" w:sz="0" w:space="0" w:color="auto"/>
      </w:divBdr>
    </w:div>
    <w:div w:id="1882938824">
      <w:bodyDiv w:val="1"/>
      <w:marLeft w:val="0"/>
      <w:marRight w:val="0"/>
      <w:marTop w:val="0"/>
      <w:marBottom w:val="0"/>
      <w:divBdr>
        <w:top w:val="none" w:sz="0" w:space="0" w:color="auto"/>
        <w:left w:val="none" w:sz="0" w:space="0" w:color="auto"/>
        <w:bottom w:val="none" w:sz="0" w:space="0" w:color="auto"/>
        <w:right w:val="none" w:sz="0" w:space="0" w:color="auto"/>
      </w:divBdr>
    </w:div>
    <w:div w:id="1882981696">
      <w:bodyDiv w:val="1"/>
      <w:marLeft w:val="0"/>
      <w:marRight w:val="0"/>
      <w:marTop w:val="0"/>
      <w:marBottom w:val="0"/>
      <w:divBdr>
        <w:top w:val="none" w:sz="0" w:space="0" w:color="auto"/>
        <w:left w:val="none" w:sz="0" w:space="0" w:color="auto"/>
        <w:bottom w:val="none" w:sz="0" w:space="0" w:color="auto"/>
        <w:right w:val="none" w:sz="0" w:space="0" w:color="auto"/>
      </w:divBdr>
    </w:div>
    <w:div w:id="1883125646">
      <w:bodyDiv w:val="1"/>
      <w:marLeft w:val="0"/>
      <w:marRight w:val="0"/>
      <w:marTop w:val="0"/>
      <w:marBottom w:val="0"/>
      <w:divBdr>
        <w:top w:val="none" w:sz="0" w:space="0" w:color="auto"/>
        <w:left w:val="none" w:sz="0" w:space="0" w:color="auto"/>
        <w:bottom w:val="none" w:sz="0" w:space="0" w:color="auto"/>
        <w:right w:val="none" w:sz="0" w:space="0" w:color="auto"/>
      </w:divBdr>
    </w:div>
    <w:div w:id="1883126391">
      <w:bodyDiv w:val="1"/>
      <w:marLeft w:val="0"/>
      <w:marRight w:val="0"/>
      <w:marTop w:val="0"/>
      <w:marBottom w:val="0"/>
      <w:divBdr>
        <w:top w:val="none" w:sz="0" w:space="0" w:color="auto"/>
        <w:left w:val="none" w:sz="0" w:space="0" w:color="auto"/>
        <w:bottom w:val="none" w:sz="0" w:space="0" w:color="auto"/>
        <w:right w:val="none" w:sz="0" w:space="0" w:color="auto"/>
      </w:divBdr>
    </w:div>
    <w:div w:id="1883321927">
      <w:bodyDiv w:val="1"/>
      <w:marLeft w:val="0"/>
      <w:marRight w:val="0"/>
      <w:marTop w:val="0"/>
      <w:marBottom w:val="0"/>
      <w:divBdr>
        <w:top w:val="none" w:sz="0" w:space="0" w:color="auto"/>
        <w:left w:val="none" w:sz="0" w:space="0" w:color="auto"/>
        <w:bottom w:val="none" w:sz="0" w:space="0" w:color="auto"/>
        <w:right w:val="none" w:sz="0" w:space="0" w:color="auto"/>
      </w:divBdr>
    </w:div>
    <w:div w:id="1883401281">
      <w:bodyDiv w:val="1"/>
      <w:marLeft w:val="0"/>
      <w:marRight w:val="0"/>
      <w:marTop w:val="0"/>
      <w:marBottom w:val="0"/>
      <w:divBdr>
        <w:top w:val="none" w:sz="0" w:space="0" w:color="auto"/>
        <w:left w:val="none" w:sz="0" w:space="0" w:color="auto"/>
        <w:bottom w:val="none" w:sz="0" w:space="0" w:color="auto"/>
        <w:right w:val="none" w:sz="0" w:space="0" w:color="auto"/>
      </w:divBdr>
    </w:div>
    <w:div w:id="1883444720">
      <w:bodyDiv w:val="1"/>
      <w:marLeft w:val="0"/>
      <w:marRight w:val="0"/>
      <w:marTop w:val="0"/>
      <w:marBottom w:val="0"/>
      <w:divBdr>
        <w:top w:val="none" w:sz="0" w:space="0" w:color="auto"/>
        <w:left w:val="none" w:sz="0" w:space="0" w:color="auto"/>
        <w:bottom w:val="none" w:sz="0" w:space="0" w:color="auto"/>
        <w:right w:val="none" w:sz="0" w:space="0" w:color="auto"/>
      </w:divBdr>
    </w:div>
    <w:div w:id="1883588305">
      <w:bodyDiv w:val="1"/>
      <w:marLeft w:val="0"/>
      <w:marRight w:val="0"/>
      <w:marTop w:val="0"/>
      <w:marBottom w:val="0"/>
      <w:divBdr>
        <w:top w:val="none" w:sz="0" w:space="0" w:color="auto"/>
        <w:left w:val="none" w:sz="0" w:space="0" w:color="auto"/>
        <w:bottom w:val="none" w:sz="0" w:space="0" w:color="auto"/>
        <w:right w:val="none" w:sz="0" w:space="0" w:color="auto"/>
      </w:divBdr>
    </w:div>
    <w:div w:id="1883590793">
      <w:bodyDiv w:val="1"/>
      <w:marLeft w:val="0"/>
      <w:marRight w:val="0"/>
      <w:marTop w:val="0"/>
      <w:marBottom w:val="0"/>
      <w:divBdr>
        <w:top w:val="none" w:sz="0" w:space="0" w:color="auto"/>
        <w:left w:val="none" w:sz="0" w:space="0" w:color="auto"/>
        <w:bottom w:val="none" w:sz="0" w:space="0" w:color="auto"/>
        <w:right w:val="none" w:sz="0" w:space="0" w:color="auto"/>
      </w:divBdr>
    </w:div>
    <w:div w:id="1883592947">
      <w:bodyDiv w:val="1"/>
      <w:marLeft w:val="0"/>
      <w:marRight w:val="0"/>
      <w:marTop w:val="0"/>
      <w:marBottom w:val="0"/>
      <w:divBdr>
        <w:top w:val="none" w:sz="0" w:space="0" w:color="auto"/>
        <w:left w:val="none" w:sz="0" w:space="0" w:color="auto"/>
        <w:bottom w:val="none" w:sz="0" w:space="0" w:color="auto"/>
        <w:right w:val="none" w:sz="0" w:space="0" w:color="auto"/>
      </w:divBdr>
    </w:div>
    <w:div w:id="1883637846">
      <w:bodyDiv w:val="1"/>
      <w:marLeft w:val="0"/>
      <w:marRight w:val="0"/>
      <w:marTop w:val="0"/>
      <w:marBottom w:val="0"/>
      <w:divBdr>
        <w:top w:val="none" w:sz="0" w:space="0" w:color="auto"/>
        <w:left w:val="none" w:sz="0" w:space="0" w:color="auto"/>
        <w:bottom w:val="none" w:sz="0" w:space="0" w:color="auto"/>
        <w:right w:val="none" w:sz="0" w:space="0" w:color="auto"/>
      </w:divBdr>
    </w:div>
    <w:div w:id="1883781317">
      <w:bodyDiv w:val="1"/>
      <w:marLeft w:val="0"/>
      <w:marRight w:val="0"/>
      <w:marTop w:val="0"/>
      <w:marBottom w:val="0"/>
      <w:divBdr>
        <w:top w:val="none" w:sz="0" w:space="0" w:color="auto"/>
        <w:left w:val="none" w:sz="0" w:space="0" w:color="auto"/>
        <w:bottom w:val="none" w:sz="0" w:space="0" w:color="auto"/>
        <w:right w:val="none" w:sz="0" w:space="0" w:color="auto"/>
      </w:divBdr>
    </w:div>
    <w:div w:id="1883786748">
      <w:bodyDiv w:val="1"/>
      <w:marLeft w:val="0"/>
      <w:marRight w:val="0"/>
      <w:marTop w:val="0"/>
      <w:marBottom w:val="0"/>
      <w:divBdr>
        <w:top w:val="none" w:sz="0" w:space="0" w:color="auto"/>
        <w:left w:val="none" w:sz="0" w:space="0" w:color="auto"/>
        <w:bottom w:val="none" w:sz="0" w:space="0" w:color="auto"/>
        <w:right w:val="none" w:sz="0" w:space="0" w:color="auto"/>
      </w:divBdr>
    </w:div>
    <w:div w:id="1883860317">
      <w:bodyDiv w:val="1"/>
      <w:marLeft w:val="0"/>
      <w:marRight w:val="0"/>
      <w:marTop w:val="0"/>
      <w:marBottom w:val="0"/>
      <w:divBdr>
        <w:top w:val="none" w:sz="0" w:space="0" w:color="auto"/>
        <w:left w:val="none" w:sz="0" w:space="0" w:color="auto"/>
        <w:bottom w:val="none" w:sz="0" w:space="0" w:color="auto"/>
        <w:right w:val="none" w:sz="0" w:space="0" w:color="auto"/>
      </w:divBdr>
    </w:div>
    <w:div w:id="1883862273">
      <w:bodyDiv w:val="1"/>
      <w:marLeft w:val="0"/>
      <w:marRight w:val="0"/>
      <w:marTop w:val="0"/>
      <w:marBottom w:val="0"/>
      <w:divBdr>
        <w:top w:val="none" w:sz="0" w:space="0" w:color="auto"/>
        <w:left w:val="none" w:sz="0" w:space="0" w:color="auto"/>
        <w:bottom w:val="none" w:sz="0" w:space="0" w:color="auto"/>
        <w:right w:val="none" w:sz="0" w:space="0" w:color="auto"/>
      </w:divBdr>
    </w:div>
    <w:div w:id="1884049895">
      <w:bodyDiv w:val="1"/>
      <w:marLeft w:val="0"/>
      <w:marRight w:val="0"/>
      <w:marTop w:val="0"/>
      <w:marBottom w:val="0"/>
      <w:divBdr>
        <w:top w:val="none" w:sz="0" w:space="0" w:color="auto"/>
        <w:left w:val="none" w:sz="0" w:space="0" w:color="auto"/>
        <w:bottom w:val="none" w:sz="0" w:space="0" w:color="auto"/>
        <w:right w:val="none" w:sz="0" w:space="0" w:color="auto"/>
      </w:divBdr>
    </w:div>
    <w:div w:id="1884050388">
      <w:bodyDiv w:val="1"/>
      <w:marLeft w:val="0"/>
      <w:marRight w:val="0"/>
      <w:marTop w:val="0"/>
      <w:marBottom w:val="0"/>
      <w:divBdr>
        <w:top w:val="none" w:sz="0" w:space="0" w:color="auto"/>
        <w:left w:val="none" w:sz="0" w:space="0" w:color="auto"/>
        <w:bottom w:val="none" w:sz="0" w:space="0" w:color="auto"/>
        <w:right w:val="none" w:sz="0" w:space="0" w:color="auto"/>
      </w:divBdr>
    </w:div>
    <w:div w:id="1884053252">
      <w:bodyDiv w:val="1"/>
      <w:marLeft w:val="0"/>
      <w:marRight w:val="0"/>
      <w:marTop w:val="0"/>
      <w:marBottom w:val="0"/>
      <w:divBdr>
        <w:top w:val="none" w:sz="0" w:space="0" w:color="auto"/>
        <w:left w:val="none" w:sz="0" w:space="0" w:color="auto"/>
        <w:bottom w:val="none" w:sz="0" w:space="0" w:color="auto"/>
        <w:right w:val="none" w:sz="0" w:space="0" w:color="auto"/>
      </w:divBdr>
    </w:div>
    <w:div w:id="1884095065">
      <w:bodyDiv w:val="1"/>
      <w:marLeft w:val="0"/>
      <w:marRight w:val="0"/>
      <w:marTop w:val="0"/>
      <w:marBottom w:val="0"/>
      <w:divBdr>
        <w:top w:val="none" w:sz="0" w:space="0" w:color="auto"/>
        <w:left w:val="none" w:sz="0" w:space="0" w:color="auto"/>
        <w:bottom w:val="none" w:sz="0" w:space="0" w:color="auto"/>
        <w:right w:val="none" w:sz="0" w:space="0" w:color="auto"/>
      </w:divBdr>
    </w:div>
    <w:div w:id="1884170208">
      <w:bodyDiv w:val="1"/>
      <w:marLeft w:val="0"/>
      <w:marRight w:val="0"/>
      <w:marTop w:val="0"/>
      <w:marBottom w:val="0"/>
      <w:divBdr>
        <w:top w:val="none" w:sz="0" w:space="0" w:color="auto"/>
        <w:left w:val="none" w:sz="0" w:space="0" w:color="auto"/>
        <w:bottom w:val="none" w:sz="0" w:space="0" w:color="auto"/>
        <w:right w:val="none" w:sz="0" w:space="0" w:color="auto"/>
      </w:divBdr>
    </w:div>
    <w:div w:id="1884175397">
      <w:bodyDiv w:val="1"/>
      <w:marLeft w:val="0"/>
      <w:marRight w:val="0"/>
      <w:marTop w:val="0"/>
      <w:marBottom w:val="0"/>
      <w:divBdr>
        <w:top w:val="none" w:sz="0" w:space="0" w:color="auto"/>
        <w:left w:val="none" w:sz="0" w:space="0" w:color="auto"/>
        <w:bottom w:val="none" w:sz="0" w:space="0" w:color="auto"/>
        <w:right w:val="none" w:sz="0" w:space="0" w:color="auto"/>
      </w:divBdr>
    </w:div>
    <w:div w:id="1884245486">
      <w:bodyDiv w:val="1"/>
      <w:marLeft w:val="0"/>
      <w:marRight w:val="0"/>
      <w:marTop w:val="0"/>
      <w:marBottom w:val="0"/>
      <w:divBdr>
        <w:top w:val="none" w:sz="0" w:space="0" w:color="auto"/>
        <w:left w:val="none" w:sz="0" w:space="0" w:color="auto"/>
        <w:bottom w:val="none" w:sz="0" w:space="0" w:color="auto"/>
        <w:right w:val="none" w:sz="0" w:space="0" w:color="auto"/>
      </w:divBdr>
    </w:div>
    <w:div w:id="1884247129">
      <w:bodyDiv w:val="1"/>
      <w:marLeft w:val="0"/>
      <w:marRight w:val="0"/>
      <w:marTop w:val="0"/>
      <w:marBottom w:val="0"/>
      <w:divBdr>
        <w:top w:val="none" w:sz="0" w:space="0" w:color="auto"/>
        <w:left w:val="none" w:sz="0" w:space="0" w:color="auto"/>
        <w:bottom w:val="none" w:sz="0" w:space="0" w:color="auto"/>
        <w:right w:val="none" w:sz="0" w:space="0" w:color="auto"/>
      </w:divBdr>
    </w:div>
    <w:div w:id="1884247279">
      <w:bodyDiv w:val="1"/>
      <w:marLeft w:val="0"/>
      <w:marRight w:val="0"/>
      <w:marTop w:val="0"/>
      <w:marBottom w:val="0"/>
      <w:divBdr>
        <w:top w:val="none" w:sz="0" w:space="0" w:color="auto"/>
        <w:left w:val="none" w:sz="0" w:space="0" w:color="auto"/>
        <w:bottom w:val="none" w:sz="0" w:space="0" w:color="auto"/>
        <w:right w:val="none" w:sz="0" w:space="0" w:color="auto"/>
      </w:divBdr>
    </w:div>
    <w:div w:id="1884249690">
      <w:bodyDiv w:val="1"/>
      <w:marLeft w:val="0"/>
      <w:marRight w:val="0"/>
      <w:marTop w:val="0"/>
      <w:marBottom w:val="0"/>
      <w:divBdr>
        <w:top w:val="none" w:sz="0" w:space="0" w:color="auto"/>
        <w:left w:val="none" w:sz="0" w:space="0" w:color="auto"/>
        <w:bottom w:val="none" w:sz="0" w:space="0" w:color="auto"/>
        <w:right w:val="none" w:sz="0" w:space="0" w:color="auto"/>
      </w:divBdr>
    </w:div>
    <w:div w:id="1884250826">
      <w:bodyDiv w:val="1"/>
      <w:marLeft w:val="0"/>
      <w:marRight w:val="0"/>
      <w:marTop w:val="0"/>
      <w:marBottom w:val="0"/>
      <w:divBdr>
        <w:top w:val="none" w:sz="0" w:space="0" w:color="auto"/>
        <w:left w:val="none" w:sz="0" w:space="0" w:color="auto"/>
        <w:bottom w:val="none" w:sz="0" w:space="0" w:color="auto"/>
        <w:right w:val="none" w:sz="0" w:space="0" w:color="auto"/>
      </w:divBdr>
    </w:div>
    <w:div w:id="1884367964">
      <w:bodyDiv w:val="1"/>
      <w:marLeft w:val="0"/>
      <w:marRight w:val="0"/>
      <w:marTop w:val="0"/>
      <w:marBottom w:val="0"/>
      <w:divBdr>
        <w:top w:val="none" w:sz="0" w:space="0" w:color="auto"/>
        <w:left w:val="none" w:sz="0" w:space="0" w:color="auto"/>
        <w:bottom w:val="none" w:sz="0" w:space="0" w:color="auto"/>
        <w:right w:val="none" w:sz="0" w:space="0" w:color="auto"/>
      </w:divBdr>
    </w:div>
    <w:div w:id="1884556669">
      <w:bodyDiv w:val="1"/>
      <w:marLeft w:val="0"/>
      <w:marRight w:val="0"/>
      <w:marTop w:val="0"/>
      <w:marBottom w:val="0"/>
      <w:divBdr>
        <w:top w:val="none" w:sz="0" w:space="0" w:color="auto"/>
        <w:left w:val="none" w:sz="0" w:space="0" w:color="auto"/>
        <w:bottom w:val="none" w:sz="0" w:space="0" w:color="auto"/>
        <w:right w:val="none" w:sz="0" w:space="0" w:color="auto"/>
      </w:divBdr>
    </w:div>
    <w:div w:id="1884905435">
      <w:bodyDiv w:val="1"/>
      <w:marLeft w:val="0"/>
      <w:marRight w:val="0"/>
      <w:marTop w:val="0"/>
      <w:marBottom w:val="0"/>
      <w:divBdr>
        <w:top w:val="none" w:sz="0" w:space="0" w:color="auto"/>
        <w:left w:val="none" w:sz="0" w:space="0" w:color="auto"/>
        <w:bottom w:val="none" w:sz="0" w:space="0" w:color="auto"/>
        <w:right w:val="none" w:sz="0" w:space="0" w:color="auto"/>
      </w:divBdr>
    </w:div>
    <w:div w:id="1885018680">
      <w:bodyDiv w:val="1"/>
      <w:marLeft w:val="0"/>
      <w:marRight w:val="0"/>
      <w:marTop w:val="0"/>
      <w:marBottom w:val="0"/>
      <w:divBdr>
        <w:top w:val="none" w:sz="0" w:space="0" w:color="auto"/>
        <w:left w:val="none" w:sz="0" w:space="0" w:color="auto"/>
        <w:bottom w:val="none" w:sz="0" w:space="0" w:color="auto"/>
        <w:right w:val="none" w:sz="0" w:space="0" w:color="auto"/>
      </w:divBdr>
    </w:div>
    <w:div w:id="1885022340">
      <w:bodyDiv w:val="1"/>
      <w:marLeft w:val="0"/>
      <w:marRight w:val="0"/>
      <w:marTop w:val="0"/>
      <w:marBottom w:val="0"/>
      <w:divBdr>
        <w:top w:val="none" w:sz="0" w:space="0" w:color="auto"/>
        <w:left w:val="none" w:sz="0" w:space="0" w:color="auto"/>
        <w:bottom w:val="none" w:sz="0" w:space="0" w:color="auto"/>
        <w:right w:val="none" w:sz="0" w:space="0" w:color="auto"/>
      </w:divBdr>
    </w:div>
    <w:div w:id="1885024427">
      <w:bodyDiv w:val="1"/>
      <w:marLeft w:val="0"/>
      <w:marRight w:val="0"/>
      <w:marTop w:val="0"/>
      <w:marBottom w:val="0"/>
      <w:divBdr>
        <w:top w:val="none" w:sz="0" w:space="0" w:color="auto"/>
        <w:left w:val="none" w:sz="0" w:space="0" w:color="auto"/>
        <w:bottom w:val="none" w:sz="0" w:space="0" w:color="auto"/>
        <w:right w:val="none" w:sz="0" w:space="0" w:color="auto"/>
      </w:divBdr>
    </w:div>
    <w:div w:id="1885093508">
      <w:bodyDiv w:val="1"/>
      <w:marLeft w:val="0"/>
      <w:marRight w:val="0"/>
      <w:marTop w:val="0"/>
      <w:marBottom w:val="0"/>
      <w:divBdr>
        <w:top w:val="none" w:sz="0" w:space="0" w:color="auto"/>
        <w:left w:val="none" w:sz="0" w:space="0" w:color="auto"/>
        <w:bottom w:val="none" w:sz="0" w:space="0" w:color="auto"/>
        <w:right w:val="none" w:sz="0" w:space="0" w:color="auto"/>
      </w:divBdr>
    </w:div>
    <w:div w:id="1885098283">
      <w:bodyDiv w:val="1"/>
      <w:marLeft w:val="0"/>
      <w:marRight w:val="0"/>
      <w:marTop w:val="0"/>
      <w:marBottom w:val="0"/>
      <w:divBdr>
        <w:top w:val="none" w:sz="0" w:space="0" w:color="auto"/>
        <w:left w:val="none" w:sz="0" w:space="0" w:color="auto"/>
        <w:bottom w:val="none" w:sz="0" w:space="0" w:color="auto"/>
        <w:right w:val="none" w:sz="0" w:space="0" w:color="auto"/>
      </w:divBdr>
    </w:div>
    <w:div w:id="1885286959">
      <w:bodyDiv w:val="1"/>
      <w:marLeft w:val="0"/>
      <w:marRight w:val="0"/>
      <w:marTop w:val="0"/>
      <w:marBottom w:val="0"/>
      <w:divBdr>
        <w:top w:val="none" w:sz="0" w:space="0" w:color="auto"/>
        <w:left w:val="none" w:sz="0" w:space="0" w:color="auto"/>
        <w:bottom w:val="none" w:sz="0" w:space="0" w:color="auto"/>
        <w:right w:val="none" w:sz="0" w:space="0" w:color="auto"/>
      </w:divBdr>
    </w:div>
    <w:div w:id="1885286995">
      <w:bodyDiv w:val="1"/>
      <w:marLeft w:val="0"/>
      <w:marRight w:val="0"/>
      <w:marTop w:val="0"/>
      <w:marBottom w:val="0"/>
      <w:divBdr>
        <w:top w:val="none" w:sz="0" w:space="0" w:color="auto"/>
        <w:left w:val="none" w:sz="0" w:space="0" w:color="auto"/>
        <w:bottom w:val="none" w:sz="0" w:space="0" w:color="auto"/>
        <w:right w:val="none" w:sz="0" w:space="0" w:color="auto"/>
      </w:divBdr>
    </w:div>
    <w:div w:id="1885364291">
      <w:bodyDiv w:val="1"/>
      <w:marLeft w:val="0"/>
      <w:marRight w:val="0"/>
      <w:marTop w:val="0"/>
      <w:marBottom w:val="0"/>
      <w:divBdr>
        <w:top w:val="none" w:sz="0" w:space="0" w:color="auto"/>
        <w:left w:val="none" w:sz="0" w:space="0" w:color="auto"/>
        <w:bottom w:val="none" w:sz="0" w:space="0" w:color="auto"/>
        <w:right w:val="none" w:sz="0" w:space="0" w:color="auto"/>
      </w:divBdr>
    </w:div>
    <w:div w:id="1885554572">
      <w:bodyDiv w:val="1"/>
      <w:marLeft w:val="0"/>
      <w:marRight w:val="0"/>
      <w:marTop w:val="0"/>
      <w:marBottom w:val="0"/>
      <w:divBdr>
        <w:top w:val="none" w:sz="0" w:space="0" w:color="auto"/>
        <w:left w:val="none" w:sz="0" w:space="0" w:color="auto"/>
        <w:bottom w:val="none" w:sz="0" w:space="0" w:color="auto"/>
        <w:right w:val="none" w:sz="0" w:space="0" w:color="auto"/>
      </w:divBdr>
    </w:div>
    <w:div w:id="1885601868">
      <w:bodyDiv w:val="1"/>
      <w:marLeft w:val="0"/>
      <w:marRight w:val="0"/>
      <w:marTop w:val="0"/>
      <w:marBottom w:val="0"/>
      <w:divBdr>
        <w:top w:val="none" w:sz="0" w:space="0" w:color="auto"/>
        <w:left w:val="none" w:sz="0" w:space="0" w:color="auto"/>
        <w:bottom w:val="none" w:sz="0" w:space="0" w:color="auto"/>
        <w:right w:val="none" w:sz="0" w:space="0" w:color="auto"/>
      </w:divBdr>
    </w:div>
    <w:div w:id="1885798852">
      <w:bodyDiv w:val="1"/>
      <w:marLeft w:val="0"/>
      <w:marRight w:val="0"/>
      <w:marTop w:val="0"/>
      <w:marBottom w:val="0"/>
      <w:divBdr>
        <w:top w:val="none" w:sz="0" w:space="0" w:color="auto"/>
        <w:left w:val="none" w:sz="0" w:space="0" w:color="auto"/>
        <w:bottom w:val="none" w:sz="0" w:space="0" w:color="auto"/>
        <w:right w:val="none" w:sz="0" w:space="0" w:color="auto"/>
      </w:divBdr>
    </w:div>
    <w:div w:id="1885826688">
      <w:bodyDiv w:val="1"/>
      <w:marLeft w:val="0"/>
      <w:marRight w:val="0"/>
      <w:marTop w:val="0"/>
      <w:marBottom w:val="0"/>
      <w:divBdr>
        <w:top w:val="none" w:sz="0" w:space="0" w:color="auto"/>
        <w:left w:val="none" w:sz="0" w:space="0" w:color="auto"/>
        <w:bottom w:val="none" w:sz="0" w:space="0" w:color="auto"/>
        <w:right w:val="none" w:sz="0" w:space="0" w:color="auto"/>
      </w:divBdr>
    </w:div>
    <w:div w:id="1885941390">
      <w:bodyDiv w:val="1"/>
      <w:marLeft w:val="0"/>
      <w:marRight w:val="0"/>
      <w:marTop w:val="0"/>
      <w:marBottom w:val="0"/>
      <w:divBdr>
        <w:top w:val="none" w:sz="0" w:space="0" w:color="auto"/>
        <w:left w:val="none" w:sz="0" w:space="0" w:color="auto"/>
        <w:bottom w:val="none" w:sz="0" w:space="0" w:color="auto"/>
        <w:right w:val="none" w:sz="0" w:space="0" w:color="auto"/>
      </w:divBdr>
    </w:div>
    <w:div w:id="1885946985">
      <w:bodyDiv w:val="1"/>
      <w:marLeft w:val="0"/>
      <w:marRight w:val="0"/>
      <w:marTop w:val="0"/>
      <w:marBottom w:val="0"/>
      <w:divBdr>
        <w:top w:val="none" w:sz="0" w:space="0" w:color="auto"/>
        <w:left w:val="none" w:sz="0" w:space="0" w:color="auto"/>
        <w:bottom w:val="none" w:sz="0" w:space="0" w:color="auto"/>
        <w:right w:val="none" w:sz="0" w:space="0" w:color="auto"/>
      </w:divBdr>
    </w:div>
    <w:div w:id="1885948719">
      <w:bodyDiv w:val="1"/>
      <w:marLeft w:val="0"/>
      <w:marRight w:val="0"/>
      <w:marTop w:val="0"/>
      <w:marBottom w:val="0"/>
      <w:divBdr>
        <w:top w:val="none" w:sz="0" w:space="0" w:color="auto"/>
        <w:left w:val="none" w:sz="0" w:space="0" w:color="auto"/>
        <w:bottom w:val="none" w:sz="0" w:space="0" w:color="auto"/>
        <w:right w:val="none" w:sz="0" w:space="0" w:color="auto"/>
      </w:divBdr>
    </w:div>
    <w:div w:id="1886020055">
      <w:bodyDiv w:val="1"/>
      <w:marLeft w:val="0"/>
      <w:marRight w:val="0"/>
      <w:marTop w:val="0"/>
      <w:marBottom w:val="0"/>
      <w:divBdr>
        <w:top w:val="none" w:sz="0" w:space="0" w:color="auto"/>
        <w:left w:val="none" w:sz="0" w:space="0" w:color="auto"/>
        <w:bottom w:val="none" w:sz="0" w:space="0" w:color="auto"/>
        <w:right w:val="none" w:sz="0" w:space="0" w:color="auto"/>
      </w:divBdr>
    </w:div>
    <w:div w:id="1886021346">
      <w:bodyDiv w:val="1"/>
      <w:marLeft w:val="0"/>
      <w:marRight w:val="0"/>
      <w:marTop w:val="0"/>
      <w:marBottom w:val="0"/>
      <w:divBdr>
        <w:top w:val="none" w:sz="0" w:space="0" w:color="auto"/>
        <w:left w:val="none" w:sz="0" w:space="0" w:color="auto"/>
        <w:bottom w:val="none" w:sz="0" w:space="0" w:color="auto"/>
        <w:right w:val="none" w:sz="0" w:space="0" w:color="auto"/>
      </w:divBdr>
    </w:div>
    <w:div w:id="1886210872">
      <w:bodyDiv w:val="1"/>
      <w:marLeft w:val="0"/>
      <w:marRight w:val="0"/>
      <w:marTop w:val="0"/>
      <w:marBottom w:val="0"/>
      <w:divBdr>
        <w:top w:val="none" w:sz="0" w:space="0" w:color="auto"/>
        <w:left w:val="none" w:sz="0" w:space="0" w:color="auto"/>
        <w:bottom w:val="none" w:sz="0" w:space="0" w:color="auto"/>
        <w:right w:val="none" w:sz="0" w:space="0" w:color="auto"/>
      </w:divBdr>
    </w:div>
    <w:div w:id="1886211454">
      <w:bodyDiv w:val="1"/>
      <w:marLeft w:val="0"/>
      <w:marRight w:val="0"/>
      <w:marTop w:val="0"/>
      <w:marBottom w:val="0"/>
      <w:divBdr>
        <w:top w:val="none" w:sz="0" w:space="0" w:color="auto"/>
        <w:left w:val="none" w:sz="0" w:space="0" w:color="auto"/>
        <w:bottom w:val="none" w:sz="0" w:space="0" w:color="auto"/>
        <w:right w:val="none" w:sz="0" w:space="0" w:color="auto"/>
      </w:divBdr>
    </w:div>
    <w:div w:id="1886211860">
      <w:bodyDiv w:val="1"/>
      <w:marLeft w:val="0"/>
      <w:marRight w:val="0"/>
      <w:marTop w:val="0"/>
      <w:marBottom w:val="0"/>
      <w:divBdr>
        <w:top w:val="none" w:sz="0" w:space="0" w:color="auto"/>
        <w:left w:val="none" w:sz="0" w:space="0" w:color="auto"/>
        <w:bottom w:val="none" w:sz="0" w:space="0" w:color="auto"/>
        <w:right w:val="none" w:sz="0" w:space="0" w:color="auto"/>
      </w:divBdr>
    </w:div>
    <w:div w:id="1886212740">
      <w:bodyDiv w:val="1"/>
      <w:marLeft w:val="0"/>
      <w:marRight w:val="0"/>
      <w:marTop w:val="0"/>
      <w:marBottom w:val="0"/>
      <w:divBdr>
        <w:top w:val="none" w:sz="0" w:space="0" w:color="auto"/>
        <w:left w:val="none" w:sz="0" w:space="0" w:color="auto"/>
        <w:bottom w:val="none" w:sz="0" w:space="0" w:color="auto"/>
        <w:right w:val="none" w:sz="0" w:space="0" w:color="auto"/>
      </w:divBdr>
    </w:div>
    <w:div w:id="1886214637">
      <w:bodyDiv w:val="1"/>
      <w:marLeft w:val="0"/>
      <w:marRight w:val="0"/>
      <w:marTop w:val="0"/>
      <w:marBottom w:val="0"/>
      <w:divBdr>
        <w:top w:val="none" w:sz="0" w:space="0" w:color="auto"/>
        <w:left w:val="none" w:sz="0" w:space="0" w:color="auto"/>
        <w:bottom w:val="none" w:sz="0" w:space="0" w:color="auto"/>
        <w:right w:val="none" w:sz="0" w:space="0" w:color="auto"/>
      </w:divBdr>
    </w:div>
    <w:div w:id="1886217315">
      <w:bodyDiv w:val="1"/>
      <w:marLeft w:val="0"/>
      <w:marRight w:val="0"/>
      <w:marTop w:val="0"/>
      <w:marBottom w:val="0"/>
      <w:divBdr>
        <w:top w:val="none" w:sz="0" w:space="0" w:color="auto"/>
        <w:left w:val="none" w:sz="0" w:space="0" w:color="auto"/>
        <w:bottom w:val="none" w:sz="0" w:space="0" w:color="auto"/>
        <w:right w:val="none" w:sz="0" w:space="0" w:color="auto"/>
      </w:divBdr>
    </w:div>
    <w:div w:id="1886218263">
      <w:bodyDiv w:val="1"/>
      <w:marLeft w:val="0"/>
      <w:marRight w:val="0"/>
      <w:marTop w:val="0"/>
      <w:marBottom w:val="0"/>
      <w:divBdr>
        <w:top w:val="none" w:sz="0" w:space="0" w:color="auto"/>
        <w:left w:val="none" w:sz="0" w:space="0" w:color="auto"/>
        <w:bottom w:val="none" w:sz="0" w:space="0" w:color="auto"/>
        <w:right w:val="none" w:sz="0" w:space="0" w:color="auto"/>
      </w:divBdr>
    </w:div>
    <w:div w:id="1886260287">
      <w:bodyDiv w:val="1"/>
      <w:marLeft w:val="0"/>
      <w:marRight w:val="0"/>
      <w:marTop w:val="0"/>
      <w:marBottom w:val="0"/>
      <w:divBdr>
        <w:top w:val="none" w:sz="0" w:space="0" w:color="auto"/>
        <w:left w:val="none" w:sz="0" w:space="0" w:color="auto"/>
        <w:bottom w:val="none" w:sz="0" w:space="0" w:color="auto"/>
        <w:right w:val="none" w:sz="0" w:space="0" w:color="auto"/>
      </w:divBdr>
    </w:div>
    <w:div w:id="1886260618">
      <w:bodyDiv w:val="1"/>
      <w:marLeft w:val="0"/>
      <w:marRight w:val="0"/>
      <w:marTop w:val="0"/>
      <w:marBottom w:val="0"/>
      <w:divBdr>
        <w:top w:val="none" w:sz="0" w:space="0" w:color="auto"/>
        <w:left w:val="none" w:sz="0" w:space="0" w:color="auto"/>
        <w:bottom w:val="none" w:sz="0" w:space="0" w:color="auto"/>
        <w:right w:val="none" w:sz="0" w:space="0" w:color="auto"/>
      </w:divBdr>
    </w:div>
    <w:div w:id="1886284984">
      <w:bodyDiv w:val="1"/>
      <w:marLeft w:val="0"/>
      <w:marRight w:val="0"/>
      <w:marTop w:val="0"/>
      <w:marBottom w:val="0"/>
      <w:divBdr>
        <w:top w:val="none" w:sz="0" w:space="0" w:color="auto"/>
        <w:left w:val="none" w:sz="0" w:space="0" w:color="auto"/>
        <w:bottom w:val="none" w:sz="0" w:space="0" w:color="auto"/>
        <w:right w:val="none" w:sz="0" w:space="0" w:color="auto"/>
      </w:divBdr>
    </w:div>
    <w:div w:id="1886521574">
      <w:bodyDiv w:val="1"/>
      <w:marLeft w:val="0"/>
      <w:marRight w:val="0"/>
      <w:marTop w:val="0"/>
      <w:marBottom w:val="0"/>
      <w:divBdr>
        <w:top w:val="none" w:sz="0" w:space="0" w:color="auto"/>
        <w:left w:val="none" w:sz="0" w:space="0" w:color="auto"/>
        <w:bottom w:val="none" w:sz="0" w:space="0" w:color="auto"/>
        <w:right w:val="none" w:sz="0" w:space="0" w:color="auto"/>
      </w:divBdr>
    </w:div>
    <w:div w:id="1886526203">
      <w:bodyDiv w:val="1"/>
      <w:marLeft w:val="0"/>
      <w:marRight w:val="0"/>
      <w:marTop w:val="0"/>
      <w:marBottom w:val="0"/>
      <w:divBdr>
        <w:top w:val="none" w:sz="0" w:space="0" w:color="auto"/>
        <w:left w:val="none" w:sz="0" w:space="0" w:color="auto"/>
        <w:bottom w:val="none" w:sz="0" w:space="0" w:color="auto"/>
        <w:right w:val="none" w:sz="0" w:space="0" w:color="auto"/>
      </w:divBdr>
    </w:div>
    <w:div w:id="1886673543">
      <w:bodyDiv w:val="1"/>
      <w:marLeft w:val="0"/>
      <w:marRight w:val="0"/>
      <w:marTop w:val="0"/>
      <w:marBottom w:val="0"/>
      <w:divBdr>
        <w:top w:val="none" w:sz="0" w:space="0" w:color="auto"/>
        <w:left w:val="none" w:sz="0" w:space="0" w:color="auto"/>
        <w:bottom w:val="none" w:sz="0" w:space="0" w:color="auto"/>
        <w:right w:val="none" w:sz="0" w:space="0" w:color="auto"/>
      </w:divBdr>
    </w:div>
    <w:div w:id="1886746297">
      <w:bodyDiv w:val="1"/>
      <w:marLeft w:val="0"/>
      <w:marRight w:val="0"/>
      <w:marTop w:val="0"/>
      <w:marBottom w:val="0"/>
      <w:divBdr>
        <w:top w:val="none" w:sz="0" w:space="0" w:color="auto"/>
        <w:left w:val="none" w:sz="0" w:space="0" w:color="auto"/>
        <w:bottom w:val="none" w:sz="0" w:space="0" w:color="auto"/>
        <w:right w:val="none" w:sz="0" w:space="0" w:color="auto"/>
      </w:divBdr>
    </w:div>
    <w:div w:id="1886868269">
      <w:bodyDiv w:val="1"/>
      <w:marLeft w:val="0"/>
      <w:marRight w:val="0"/>
      <w:marTop w:val="0"/>
      <w:marBottom w:val="0"/>
      <w:divBdr>
        <w:top w:val="none" w:sz="0" w:space="0" w:color="auto"/>
        <w:left w:val="none" w:sz="0" w:space="0" w:color="auto"/>
        <w:bottom w:val="none" w:sz="0" w:space="0" w:color="auto"/>
        <w:right w:val="none" w:sz="0" w:space="0" w:color="auto"/>
      </w:divBdr>
    </w:div>
    <w:div w:id="1886872071">
      <w:bodyDiv w:val="1"/>
      <w:marLeft w:val="0"/>
      <w:marRight w:val="0"/>
      <w:marTop w:val="0"/>
      <w:marBottom w:val="0"/>
      <w:divBdr>
        <w:top w:val="none" w:sz="0" w:space="0" w:color="auto"/>
        <w:left w:val="none" w:sz="0" w:space="0" w:color="auto"/>
        <w:bottom w:val="none" w:sz="0" w:space="0" w:color="auto"/>
        <w:right w:val="none" w:sz="0" w:space="0" w:color="auto"/>
      </w:divBdr>
    </w:div>
    <w:div w:id="1886912857">
      <w:bodyDiv w:val="1"/>
      <w:marLeft w:val="0"/>
      <w:marRight w:val="0"/>
      <w:marTop w:val="0"/>
      <w:marBottom w:val="0"/>
      <w:divBdr>
        <w:top w:val="none" w:sz="0" w:space="0" w:color="auto"/>
        <w:left w:val="none" w:sz="0" w:space="0" w:color="auto"/>
        <w:bottom w:val="none" w:sz="0" w:space="0" w:color="auto"/>
        <w:right w:val="none" w:sz="0" w:space="0" w:color="auto"/>
      </w:divBdr>
    </w:div>
    <w:div w:id="1887058246">
      <w:bodyDiv w:val="1"/>
      <w:marLeft w:val="0"/>
      <w:marRight w:val="0"/>
      <w:marTop w:val="0"/>
      <w:marBottom w:val="0"/>
      <w:divBdr>
        <w:top w:val="none" w:sz="0" w:space="0" w:color="auto"/>
        <w:left w:val="none" w:sz="0" w:space="0" w:color="auto"/>
        <w:bottom w:val="none" w:sz="0" w:space="0" w:color="auto"/>
        <w:right w:val="none" w:sz="0" w:space="0" w:color="auto"/>
      </w:divBdr>
    </w:div>
    <w:div w:id="1887066979">
      <w:bodyDiv w:val="1"/>
      <w:marLeft w:val="0"/>
      <w:marRight w:val="0"/>
      <w:marTop w:val="0"/>
      <w:marBottom w:val="0"/>
      <w:divBdr>
        <w:top w:val="none" w:sz="0" w:space="0" w:color="auto"/>
        <w:left w:val="none" w:sz="0" w:space="0" w:color="auto"/>
        <w:bottom w:val="none" w:sz="0" w:space="0" w:color="auto"/>
        <w:right w:val="none" w:sz="0" w:space="0" w:color="auto"/>
      </w:divBdr>
    </w:div>
    <w:div w:id="1887136139">
      <w:bodyDiv w:val="1"/>
      <w:marLeft w:val="0"/>
      <w:marRight w:val="0"/>
      <w:marTop w:val="0"/>
      <w:marBottom w:val="0"/>
      <w:divBdr>
        <w:top w:val="none" w:sz="0" w:space="0" w:color="auto"/>
        <w:left w:val="none" w:sz="0" w:space="0" w:color="auto"/>
        <w:bottom w:val="none" w:sz="0" w:space="0" w:color="auto"/>
        <w:right w:val="none" w:sz="0" w:space="0" w:color="auto"/>
      </w:divBdr>
    </w:div>
    <w:div w:id="1887176179">
      <w:bodyDiv w:val="1"/>
      <w:marLeft w:val="0"/>
      <w:marRight w:val="0"/>
      <w:marTop w:val="0"/>
      <w:marBottom w:val="0"/>
      <w:divBdr>
        <w:top w:val="none" w:sz="0" w:space="0" w:color="auto"/>
        <w:left w:val="none" w:sz="0" w:space="0" w:color="auto"/>
        <w:bottom w:val="none" w:sz="0" w:space="0" w:color="auto"/>
        <w:right w:val="none" w:sz="0" w:space="0" w:color="auto"/>
      </w:divBdr>
    </w:div>
    <w:div w:id="1887179805">
      <w:bodyDiv w:val="1"/>
      <w:marLeft w:val="0"/>
      <w:marRight w:val="0"/>
      <w:marTop w:val="0"/>
      <w:marBottom w:val="0"/>
      <w:divBdr>
        <w:top w:val="none" w:sz="0" w:space="0" w:color="auto"/>
        <w:left w:val="none" w:sz="0" w:space="0" w:color="auto"/>
        <w:bottom w:val="none" w:sz="0" w:space="0" w:color="auto"/>
        <w:right w:val="none" w:sz="0" w:space="0" w:color="auto"/>
      </w:divBdr>
    </w:div>
    <w:div w:id="1887183226">
      <w:bodyDiv w:val="1"/>
      <w:marLeft w:val="0"/>
      <w:marRight w:val="0"/>
      <w:marTop w:val="0"/>
      <w:marBottom w:val="0"/>
      <w:divBdr>
        <w:top w:val="none" w:sz="0" w:space="0" w:color="auto"/>
        <w:left w:val="none" w:sz="0" w:space="0" w:color="auto"/>
        <w:bottom w:val="none" w:sz="0" w:space="0" w:color="auto"/>
        <w:right w:val="none" w:sz="0" w:space="0" w:color="auto"/>
      </w:divBdr>
    </w:div>
    <w:div w:id="1887184488">
      <w:bodyDiv w:val="1"/>
      <w:marLeft w:val="0"/>
      <w:marRight w:val="0"/>
      <w:marTop w:val="0"/>
      <w:marBottom w:val="0"/>
      <w:divBdr>
        <w:top w:val="none" w:sz="0" w:space="0" w:color="auto"/>
        <w:left w:val="none" w:sz="0" w:space="0" w:color="auto"/>
        <w:bottom w:val="none" w:sz="0" w:space="0" w:color="auto"/>
        <w:right w:val="none" w:sz="0" w:space="0" w:color="auto"/>
      </w:divBdr>
    </w:div>
    <w:div w:id="1887252898">
      <w:bodyDiv w:val="1"/>
      <w:marLeft w:val="0"/>
      <w:marRight w:val="0"/>
      <w:marTop w:val="0"/>
      <w:marBottom w:val="0"/>
      <w:divBdr>
        <w:top w:val="none" w:sz="0" w:space="0" w:color="auto"/>
        <w:left w:val="none" w:sz="0" w:space="0" w:color="auto"/>
        <w:bottom w:val="none" w:sz="0" w:space="0" w:color="auto"/>
        <w:right w:val="none" w:sz="0" w:space="0" w:color="auto"/>
      </w:divBdr>
    </w:div>
    <w:div w:id="1887257373">
      <w:bodyDiv w:val="1"/>
      <w:marLeft w:val="0"/>
      <w:marRight w:val="0"/>
      <w:marTop w:val="0"/>
      <w:marBottom w:val="0"/>
      <w:divBdr>
        <w:top w:val="none" w:sz="0" w:space="0" w:color="auto"/>
        <w:left w:val="none" w:sz="0" w:space="0" w:color="auto"/>
        <w:bottom w:val="none" w:sz="0" w:space="0" w:color="auto"/>
        <w:right w:val="none" w:sz="0" w:space="0" w:color="auto"/>
      </w:divBdr>
    </w:div>
    <w:div w:id="1887378110">
      <w:bodyDiv w:val="1"/>
      <w:marLeft w:val="0"/>
      <w:marRight w:val="0"/>
      <w:marTop w:val="0"/>
      <w:marBottom w:val="0"/>
      <w:divBdr>
        <w:top w:val="none" w:sz="0" w:space="0" w:color="auto"/>
        <w:left w:val="none" w:sz="0" w:space="0" w:color="auto"/>
        <w:bottom w:val="none" w:sz="0" w:space="0" w:color="auto"/>
        <w:right w:val="none" w:sz="0" w:space="0" w:color="auto"/>
      </w:divBdr>
    </w:div>
    <w:div w:id="1887445731">
      <w:bodyDiv w:val="1"/>
      <w:marLeft w:val="0"/>
      <w:marRight w:val="0"/>
      <w:marTop w:val="0"/>
      <w:marBottom w:val="0"/>
      <w:divBdr>
        <w:top w:val="none" w:sz="0" w:space="0" w:color="auto"/>
        <w:left w:val="none" w:sz="0" w:space="0" w:color="auto"/>
        <w:bottom w:val="none" w:sz="0" w:space="0" w:color="auto"/>
        <w:right w:val="none" w:sz="0" w:space="0" w:color="auto"/>
      </w:divBdr>
    </w:div>
    <w:div w:id="1887638112">
      <w:bodyDiv w:val="1"/>
      <w:marLeft w:val="0"/>
      <w:marRight w:val="0"/>
      <w:marTop w:val="0"/>
      <w:marBottom w:val="0"/>
      <w:divBdr>
        <w:top w:val="none" w:sz="0" w:space="0" w:color="auto"/>
        <w:left w:val="none" w:sz="0" w:space="0" w:color="auto"/>
        <w:bottom w:val="none" w:sz="0" w:space="0" w:color="auto"/>
        <w:right w:val="none" w:sz="0" w:space="0" w:color="auto"/>
      </w:divBdr>
    </w:div>
    <w:div w:id="1887640108">
      <w:bodyDiv w:val="1"/>
      <w:marLeft w:val="0"/>
      <w:marRight w:val="0"/>
      <w:marTop w:val="0"/>
      <w:marBottom w:val="0"/>
      <w:divBdr>
        <w:top w:val="none" w:sz="0" w:space="0" w:color="auto"/>
        <w:left w:val="none" w:sz="0" w:space="0" w:color="auto"/>
        <w:bottom w:val="none" w:sz="0" w:space="0" w:color="auto"/>
        <w:right w:val="none" w:sz="0" w:space="0" w:color="auto"/>
      </w:divBdr>
    </w:div>
    <w:div w:id="1887641578">
      <w:bodyDiv w:val="1"/>
      <w:marLeft w:val="0"/>
      <w:marRight w:val="0"/>
      <w:marTop w:val="0"/>
      <w:marBottom w:val="0"/>
      <w:divBdr>
        <w:top w:val="none" w:sz="0" w:space="0" w:color="auto"/>
        <w:left w:val="none" w:sz="0" w:space="0" w:color="auto"/>
        <w:bottom w:val="none" w:sz="0" w:space="0" w:color="auto"/>
        <w:right w:val="none" w:sz="0" w:space="0" w:color="auto"/>
      </w:divBdr>
    </w:div>
    <w:div w:id="1887645712">
      <w:bodyDiv w:val="1"/>
      <w:marLeft w:val="0"/>
      <w:marRight w:val="0"/>
      <w:marTop w:val="0"/>
      <w:marBottom w:val="0"/>
      <w:divBdr>
        <w:top w:val="none" w:sz="0" w:space="0" w:color="auto"/>
        <w:left w:val="none" w:sz="0" w:space="0" w:color="auto"/>
        <w:bottom w:val="none" w:sz="0" w:space="0" w:color="auto"/>
        <w:right w:val="none" w:sz="0" w:space="0" w:color="auto"/>
      </w:divBdr>
    </w:div>
    <w:div w:id="1887717809">
      <w:bodyDiv w:val="1"/>
      <w:marLeft w:val="0"/>
      <w:marRight w:val="0"/>
      <w:marTop w:val="0"/>
      <w:marBottom w:val="0"/>
      <w:divBdr>
        <w:top w:val="none" w:sz="0" w:space="0" w:color="auto"/>
        <w:left w:val="none" w:sz="0" w:space="0" w:color="auto"/>
        <w:bottom w:val="none" w:sz="0" w:space="0" w:color="auto"/>
        <w:right w:val="none" w:sz="0" w:space="0" w:color="auto"/>
      </w:divBdr>
    </w:div>
    <w:div w:id="1887832386">
      <w:bodyDiv w:val="1"/>
      <w:marLeft w:val="0"/>
      <w:marRight w:val="0"/>
      <w:marTop w:val="0"/>
      <w:marBottom w:val="0"/>
      <w:divBdr>
        <w:top w:val="none" w:sz="0" w:space="0" w:color="auto"/>
        <w:left w:val="none" w:sz="0" w:space="0" w:color="auto"/>
        <w:bottom w:val="none" w:sz="0" w:space="0" w:color="auto"/>
        <w:right w:val="none" w:sz="0" w:space="0" w:color="auto"/>
      </w:divBdr>
    </w:div>
    <w:div w:id="1887833280">
      <w:bodyDiv w:val="1"/>
      <w:marLeft w:val="0"/>
      <w:marRight w:val="0"/>
      <w:marTop w:val="0"/>
      <w:marBottom w:val="0"/>
      <w:divBdr>
        <w:top w:val="none" w:sz="0" w:space="0" w:color="auto"/>
        <w:left w:val="none" w:sz="0" w:space="0" w:color="auto"/>
        <w:bottom w:val="none" w:sz="0" w:space="0" w:color="auto"/>
        <w:right w:val="none" w:sz="0" w:space="0" w:color="auto"/>
      </w:divBdr>
    </w:div>
    <w:div w:id="1887837558">
      <w:bodyDiv w:val="1"/>
      <w:marLeft w:val="0"/>
      <w:marRight w:val="0"/>
      <w:marTop w:val="0"/>
      <w:marBottom w:val="0"/>
      <w:divBdr>
        <w:top w:val="none" w:sz="0" w:space="0" w:color="auto"/>
        <w:left w:val="none" w:sz="0" w:space="0" w:color="auto"/>
        <w:bottom w:val="none" w:sz="0" w:space="0" w:color="auto"/>
        <w:right w:val="none" w:sz="0" w:space="0" w:color="auto"/>
      </w:divBdr>
    </w:div>
    <w:div w:id="1887909413">
      <w:bodyDiv w:val="1"/>
      <w:marLeft w:val="0"/>
      <w:marRight w:val="0"/>
      <w:marTop w:val="0"/>
      <w:marBottom w:val="0"/>
      <w:divBdr>
        <w:top w:val="none" w:sz="0" w:space="0" w:color="auto"/>
        <w:left w:val="none" w:sz="0" w:space="0" w:color="auto"/>
        <w:bottom w:val="none" w:sz="0" w:space="0" w:color="auto"/>
        <w:right w:val="none" w:sz="0" w:space="0" w:color="auto"/>
      </w:divBdr>
    </w:div>
    <w:div w:id="1887909694">
      <w:bodyDiv w:val="1"/>
      <w:marLeft w:val="0"/>
      <w:marRight w:val="0"/>
      <w:marTop w:val="0"/>
      <w:marBottom w:val="0"/>
      <w:divBdr>
        <w:top w:val="none" w:sz="0" w:space="0" w:color="auto"/>
        <w:left w:val="none" w:sz="0" w:space="0" w:color="auto"/>
        <w:bottom w:val="none" w:sz="0" w:space="0" w:color="auto"/>
        <w:right w:val="none" w:sz="0" w:space="0" w:color="auto"/>
      </w:divBdr>
    </w:div>
    <w:div w:id="1887914325">
      <w:bodyDiv w:val="1"/>
      <w:marLeft w:val="0"/>
      <w:marRight w:val="0"/>
      <w:marTop w:val="0"/>
      <w:marBottom w:val="0"/>
      <w:divBdr>
        <w:top w:val="none" w:sz="0" w:space="0" w:color="auto"/>
        <w:left w:val="none" w:sz="0" w:space="0" w:color="auto"/>
        <w:bottom w:val="none" w:sz="0" w:space="0" w:color="auto"/>
        <w:right w:val="none" w:sz="0" w:space="0" w:color="auto"/>
      </w:divBdr>
    </w:div>
    <w:div w:id="1887981893">
      <w:bodyDiv w:val="1"/>
      <w:marLeft w:val="0"/>
      <w:marRight w:val="0"/>
      <w:marTop w:val="0"/>
      <w:marBottom w:val="0"/>
      <w:divBdr>
        <w:top w:val="none" w:sz="0" w:space="0" w:color="auto"/>
        <w:left w:val="none" w:sz="0" w:space="0" w:color="auto"/>
        <w:bottom w:val="none" w:sz="0" w:space="0" w:color="auto"/>
        <w:right w:val="none" w:sz="0" w:space="0" w:color="auto"/>
      </w:divBdr>
    </w:div>
    <w:div w:id="1887983249">
      <w:bodyDiv w:val="1"/>
      <w:marLeft w:val="0"/>
      <w:marRight w:val="0"/>
      <w:marTop w:val="0"/>
      <w:marBottom w:val="0"/>
      <w:divBdr>
        <w:top w:val="none" w:sz="0" w:space="0" w:color="auto"/>
        <w:left w:val="none" w:sz="0" w:space="0" w:color="auto"/>
        <w:bottom w:val="none" w:sz="0" w:space="0" w:color="auto"/>
        <w:right w:val="none" w:sz="0" w:space="0" w:color="auto"/>
      </w:divBdr>
    </w:div>
    <w:div w:id="1887983648">
      <w:bodyDiv w:val="1"/>
      <w:marLeft w:val="0"/>
      <w:marRight w:val="0"/>
      <w:marTop w:val="0"/>
      <w:marBottom w:val="0"/>
      <w:divBdr>
        <w:top w:val="none" w:sz="0" w:space="0" w:color="auto"/>
        <w:left w:val="none" w:sz="0" w:space="0" w:color="auto"/>
        <w:bottom w:val="none" w:sz="0" w:space="0" w:color="auto"/>
        <w:right w:val="none" w:sz="0" w:space="0" w:color="auto"/>
      </w:divBdr>
    </w:div>
    <w:div w:id="1888030720">
      <w:bodyDiv w:val="1"/>
      <w:marLeft w:val="0"/>
      <w:marRight w:val="0"/>
      <w:marTop w:val="0"/>
      <w:marBottom w:val="0"/>
      <w:divBdr>
        <w:top w:val="none" w:sz="0" w:space="0" w:color="auto"/>
        <w:left w:val="none" w:sz="0" w:space="0" w:color="auto"/>
        <w:bottom w:val="none" w:sz="0" w:space="0" w:color="auto"/>
        <w:right w:val="none" w:sz="0" w:space="0" w:color="auto"/>
      </w:divBdr>
    </w:div>
    <w:div w:id="1888058926">
      <w:bodyDiv w:val="1"/>
      <w:marLeft w:val="0"/>
      <w:marRight w:val="0"/>
      <w:marTop w:val="0"/>
      <w:marBottom w:val="0"/>
      <w:divBdr>
        <w:top w:val="none" w:sz="0" w:space="0" w:color="auto"/>
        <w:left w:val="none" w:sz="0" w:space="0" w:color="auto"/>
        <w:bottom w:val="none" w:sz="0" w:space="0" w:color="auto"/>
        <w:right w:val="none" w:sz="0" w:space="0" w:color="auto"/>
      </w:divBdr>
    </w:div>
    <w:div w:id="1888102735">
      <w:bodyDiv w:val="1"/>
      <w:marLeft w:val="0"/>
      <w:marRight w:val="0"/>
      <w:marTop w:val="0"/>
      <w:marBottom w:val="0"/>
      <w:divBdr>
        <w:top w:val="none" w:sz="0" w:space="0" w:color="auto"/>
        <w:left w:val="none" w:sz="0" w:space="0" w:color="auto"/>
        <w:bottom w:val="none" w:sz="0" w:space="0" w:color="auto"/>
        <w:right w:val="none" w:sz="0" w:space="0" w:color="auto"/>
      </w:divBdr>
    </w:div>
    <w:div w:id="1888180735">
      <w:bodyDiv w:val="1"/>
      <w:marLeft w:val="0"/>
      <w:marRight w:val="0"/>
      <w:marTop w:val="0"/>
      <w:marBottom w:val="0"/>
      <w:divBdr>
        <w:top w:val="none" w:sz="0" w:space="0" w:color="auto"/>
        <w:left w:val="none" w:sz="0" w:space="0" w:color="auto"/>
        <w:bottom w:val="none" w:sz="0" w:space="0" w:color="auto"/>
        <w:right w:val="none" w:sz="0" w:space="0" w:color="auto"/>
      </w:divBdr>
    </w:div>
    <w:div w:id="1888373607">
      <w:bodyDiv w:val="1"/>
      <w:marLeft w:val="0"/>
      <w:marRight w:val="0"/>
      <w:marTop w:val="0"/>
      <w:marBottom w:val="0"/>
      <w:divBdr>
        <w:top w:val="none" w:sz="0" w:space="0" w:color="auto"/>
        <w:left w:val="none" w:sz="0" w:space="0" w:color="auto"/>
        <w:bottom w:val="none" w:sz="0" w:space="0" w:color="auto"/>
        <w:right w:val="none" w:sz="0" w:space="0" w:color="auto"/>
      </w:divBdr>
    </w:div>
    <w:div w:id="1888446203">
      <w:bodyDiv w:val="1"/>
      <w:marLeft w:val="0"/>
      <w:marRight w:val="0"/>
      <w:marTop w:val="0"/>
      <w:marBottom w:val="0"/>
      <w:divBdr>
        <w:top w:val="none" w:sz="0" w:space="0" w:color="auto"/>
        <w:left w:val="none" w:sz="0" w:space="0" w:color="auto"/>
        <w:bottom w:val="none" w:sz="0" w:space="0" w:color="auto"/>
        <w:right w:val="none" w:sz="0" w:space="0" w:color="auto"/>
      </w:divBdr>
    </w:div>
    <w:div w:id="1888452465">
      <w:bodyDiv w:val="1"/>
      <w:marLeft w:val="0"/>
      <w:marRight w:val="0"/>
      <w:marTop w:val="0"/>
      <w:marBottom w:val="0"/>
      <w:divBdr>
        <w:top w:val="none" w:sz="0" w:space="0" w:color="auto"/>
        <w:left w:val="none" w:sz="0" w:space="0" w:color="auto"/>
        <w:bottom w:val="none" w:sz="0" w:space="0" w:color="auto"/>
        <w:right w:val="none" w:sz="0" w:space="0" w:color="auto"/>
      </w:divBdr>
    </w:div>
    <w:div w:id="1888486095">
      <w:bodyDiv w:val="1"/>
      <w:marLeft w:val="0"/>
      <w:marRight w:val="0"/>
      <w:marTop w:val="0"/>
      <w:marBottom w:val="0"/>
      <w:divBdr>
        <w:top w:val="none" w:sz="0" w:space="0" w:color="auto"/>
        <w:left w:val="none" w:sz="0" w:space="0" w:color="auto"/>
        <w:bottom w:val="none" w:sz="0" w:space="0" w:color="auto"/>
        <w:right w:val="none" w:sz="0" w:space="0" w:color="auto"/>
      </w:divBdr>
    </w:div>
    <w:div w:id="1888492166">
      <w:bodyDiv w:val="1"/>
      <w:marLeft w:val="0"/>
      <w:marRight w:val="0"/>
      <w:marTop w:val="0"/>
      <w:marBottom w:val="0"/>
      <w:divBdr>
        <w:top w:val="none" w:sz="0" w:space="0" w:color="auto"/>
        <w:left w:val="none" w:sz="0" w:space="0" w:color="auto"/>
        <w:bottom w:val="none" w:sz="0" w:space="0" w:color="auto"/>
        <w:right w:val="none" w:sz="0" w:space="0" w:color="auto"/>
      </w:divBdr>
    </w:div>
    <w:div w:id="1888561659">
      <w:bodyDiv w:val="1"/>
      <w:marLeft w:val="0"/>
      <w:marRight w:val="0"/>
      <w:marTop w:val="0"/>
      <w:marBottom w:val="0"/>
      <w:divBdr>
        <w:top w:val="none" w:sz="0" w:space="0" w:color="auto"/>
        <w:left w:val="none" w:sz="0" w:space="0" w:color="auto"/>
        <w:bottom w:val="none" w:sz="0" w:space="0" w:color="auto"/>
        <w:right w:val="none" w:sz="0" w:space="0" w:color="auto"/>
      </w:divBdr>
    </w:div>
    <w:div w:id="1888684201">
      <w:bodyDiv w:val="1"/>
      <w:marLeft w:val="0"/>
      <w:marRight w:val="0"/>
      <w:marTop w:val="0"/>
      <w:marBottom w:val="0"/>
      <w:divBdr>
        <w:top w:val="none" w:sz="0" w:space="0" w:color="auto"/>
        <w:left w:val="none" w:sz="0" w:space="0" w:color="auto"/>
        <w:bottom w:val="none" w:sz="0" w:space="0" w:color="auto"/>
        <w:right w:val="none" w:sz="0" w:space="0" w:color="auto"/>
      </w:divBdr>
    </w:div>
    <w:div w:id="1888713012">
      <w:bodyDiv w:val="1"/>
      <w:marLeft w:val="0"/>
      <w:marRight w:val="0"/>
      <w:marTop w:val="0"/>
      <w:marBottom w:val="0"/>
      <w:divBdr>
        <w:top w:val="none" w:sz="0" w:space="0" w:color="auto"/>
        <w:left w:val="none" w:sz="0" w:space="0" w:color="auto"/>
        <w:bottom w:val="none" w:sz="0" w:space="0" w:color="auto"/>
        <w:right w:val="none" w:sz="0" w:space="0" w:color="auto"/>
      </w:divBdr>
    </w:div>
    <w:div w:id="1888756790">
      <w:bodyDiv w:val="1"/>
      <w:marLeft w:val="0"/>
      <w:marRight w:val="0"/>
      <w:marTop w:val="0"/>
      <w:marBottom w:val="0"/>
      <w:divBdr>
        <w:top w:val="none" w:sz="0" w:space="0" w:color="auto"/>
        <w:left w:val="none" w:sz="0" w:space="0" w:color="auto"/>
        <w:bottom w:val="none" w:sz="0" w:space="0" w:color="auto"/>
        <w:right w:val="none" w:sz="0" w:space="0" w:color="auto"/>
      </w:divBdr>
    </w:div>
    <w:div w:id="1888837196">
      <w:bodyDiv w:val="1"/>
      <w:marLeft w:val="0"/>
      <w:marRight w:val="0"/>
      <w:marTop w:val="0"/>
      <w:marBottom w:val="0"/>
      <w:divBdr>
        <w:top w:val="none" w:sz="0" w:space="0" w:color="auto"/>
        <w:left w:val="none" w:sz="0" w:space="0" w:color="auto"/>
        <w:bottom w:val="none" w:sz="0" w:space="0" w:color="auto"/>
        <w:right w:val="none" w:sz="0" w:space="0" w:color="auto"/>
      </w:divBdr>
    </w:div>
    <w:div w:id="1888905907">
      <w:bodyDiv w:val="1"/>
      <w:marLeft w:val="0"/>
      <w:marRight w:val="0"/>
      <w:marTop w:val="0"/>
      <w:marBottom w:val="0"/>
      <w:divBdr>
        <w:top w:val="none" w:sz="0" w:space="0" w:color="auto"/>
        <w:left w:val="none" w:sz="0" w:space="0" w:color="auto"/>
        <w:bottom w:val="none" w:sz="0" w:space="0" w:color="auto"/>
        <w:right w:val="none" w:sz="0" w:space="0" w:color="auto"/>
      </w:divBdr>
    </w:div>
    <w:div w:id="1889030572">
      <w:bodyDiv w:val="1"/>
      <w:marLeft w:val="0"/>
      <w:marRight w:val="0"/>
      <w:marTop w:val="0"/>
      <w:marBottom w:val="0"/>
      <w:divBdr>
        <w:top w:val="none" w:sz="0" w:space="0" w:color="auto"/>
        <w:left w:val="none" w:sz="0" w:space="0" w:color="auto"/>
        <w:bottom w:val="none" w:sz="0" w:space="0" w:color="auto"/>
        <w:right w:val="none" w:sz="0" w:space="0" w:color="auto"/>
      </w:divBdr>
    </w:div>
    <w:div w:id="1889104811">
      <w:bodyDiv w:val="1"/>
      <w:marLeft w:val="0"/>
      <w:marRight w:val="0"/>
      <w:marTop w:val="0"/>
      <w:marBottom w:val="0"/>
      <w:divBdr>
        <w:top w:val="none" w:sz="0" w:space="0" w:color="auto"/>
        <w:left w:val="none" w:sz="0" w:space="0" w:color="auto"/>
        <w:bottom w:val="none" w:sz="0" w:space="0" w:color="auto"/>
        <w:right w:val="none" w:sz="0" w:space="0" w:color="auto"/>
      </w:divBdr>
    </w:div>
    <w:div w:id="1889142969">
      <w:bodyDiv w:val="1"/>
      <w:marLeft w:val="0"/>
      <w:marRight w:val="0"/>
      <w:marTop w:val="0"/>
      <w:marBottom w:val="0"/>
      <w:divBdr>
        <w:top w:val="none" w:sz="0" w:space="0" w:color="auto"/>
        <w:left w:val="none" w:sz="0" w:space="0" w:color="auto"/>
        <w:bottom w:val="none" w:sz="0" w:space="0" w:color="auto"/>
        <w:right w:val="none" w:sz="0" w:space="0" w:color="auto"/>
      </w:divBdr>
    </w:div>
    <w:div w:id="1889146468">
      <w:bodyDiv w:val="1"/>
      <w:marLeft w:val="0"/>
      <w:marRight w:val="0"/>
      <w:marTop w:val="0"/>
      <w:marBottom w:val="0"/>
      <w:divBdr>
        <w:top w:val="none" w:sz="0" w:space="0" w:color="auto"/>
        <w:left w:val="none" w:sz="0" w:space="0" w:color="auto"/>
        <w:bottom w:val="none" w:sz="0" w:space="0" w:color="auto"/>
        <w:right w:val="none" w:sz="0" w:space="0" w:color="auto"/>
      </w:divBdr>
    </w:div>
    <w:div w:id="1889147018">
      <w:bodyDiv w:val="1"/>
      <w:marLeft w:val="0"/>
      <w:marRight w:val="0"/>
      <w:marTop w:val="0"/>
      <w:marBottom w:val="0"/>
      <w:divBdr>
        <w:top w:val="none" w:sz="0" w:space="0" w:color="auto"/>
        <w:left w:val="none" w:sz="0" w:space="0" w:color="auto"/>
        <w:bottom w:val="none" w:sz="0" w:space="0" w:color="auto"/>
        <w:right w:val="none" w:sz="0" w:space="0" w:color="auto"/>
      </w:divBdr>
    </w:div>
    <w:div w:id="1889149659">
      <w:bodyDiv w:val="1"/>
      <w:marLeft w:val="0"/>
      <w:marRight w:val="0"/>
      <w:marTop w:val="0"/>
      <w:marBottom w:val="0"/>
      <w:divBdr>
        <w:top w:val="none" w:sz="0" w:space="0" w:color="auto"/>
        <w:left w:val="none" w:sz="0" w:space="0" w:color="auto"/>
        <w:bottom w:val="none" w:sz="0" w:space="0" w:color="auto"/>
        <w:right w:val="none" w:sz="0" w:space="0" w:color="auto"/>
      </w:divBdr>
    </w:div>
    <w:div w:id="1889300503">
      <w:bodyDiv w:val="1"/>
      <w:marLeft w:val="0"/>
      <w:marRight w:val="0"/>
      <w:marTop w:val="0"/>
      <w:marBottom w:val="0"/>
      <w:divBdr>
        <w:top w:val="none" w:sz="0" w:space="0" w:color="auto"/>
        <w:left w:val="none" w:sz="0" w:space="0" w:color="auto"/>
        <w:bottom w:val="none" w:sz="0" w:space="0" w:color="auto"/>
        <w:right w:val="none" w:sz="0" w:space="0" w:color="auto"/>
      </w:divBdr>
    </w:div>
    <w:div w:id="1889413977">
      <w:bodyDiv w:val="1"/>
      <w:marLeft w:val="0"/>
      <w:marRight w:val="0"/>
      <w:marTop w:val="0"/>
      <w:marBottom w:val="0"/>
      <w:divBdr>
        <w:top w:val="none" w:sz="0" w:space="0" w:color="auto"/>
        <w:left w:val="none" w:sz="0" w:space="0" w:color="auto"/>
        <w:bottom w:val="none" w:sz="0" w:space="0" w:color="auto"/>
        <w:right w:val="none" w:sz="0" w:space="0" w:color="auto"/>
      </w:divBdr>
    </w:div>
    <w:div w:id="1889562012">
      <w:bodyDiv w:val="1"/>
      <w:marLeft w:val="0"/>
      <w:marRight w:val="0"/>
      <w:marTop w:val="0"/>
      <w:marBottom w:val="0"/>
      <w:divBdr>
        <w:top w:val="none" w:sz="0" w:space="0" w:color="auto"/>
        <w:left w:val="none" w:sz="0" w:space="0" w:color="auto"/>
        <w:bottom w:val="none" w:sz="0" w:space="0" w:color="auto"/>
        <w:right w:val="none" w:sz="0" w:space="0" w:color="auto"/>
      </w:divBdr>
    </w:div>
    <w:div w:id="1889563333">
      <w:bodyDiv w:val="1"/>
      <w:marLeft w:val="0"/>
      <w:marRight w:val="0"/>
      <w:marTop w:val="0"/>
      <w:marBottom w:val="0"/>
      <w:divBdr>
        <w:top w:val="none" w:sz="0" w:space="0" w:color="auto"/>
        <w:left w:val="none" w:sz="0" w:space="0" w:color="auto"/>
        <w:bottom w:val="none" w:sz="0" w:space="0" w:color="auto"/>
        <w:right w:val="none" w:sz="0" w:space="0" w:color="auto"/>
      </w:divBdr>
    </w:div>
    <w:div w:id="1889603852">
      <w:bodyDiv w:val="1"/>
      <w:marLeft w:val="0"/>
      <w:marRight w:val="0"/>
      <w:marTop w:val="0"/>
      <w:marBottom w:val="0"/>
      <w:divBdr>
        <w:top w:val="none" w:sz="0" w:space="0" w:color="auto"/>
        <w:left w:val="none" w:sz="0" w:space="0" w:color="auto"/>
        <w:bottom w:val="none" w:sz="0" w:space="0" w:color="auto"/>
        <w:right w:val="none" w:sz="0" w:space="0" w:color="auto"/>
      </w:divBdr>
    </w:div>
    <w:div w:id="1889604594">
      <w:bodyDiv w:val="1"/>
      <w:marLeft w:val="0"/>
      <w:marRight w:val="0"/>
      <w:marTop w:val="0"/>
      <w:marBottom w:val="0"/>
      <w:divBdr>
        <w:top w:val="none" w:sz="0" w:space="0" w:color="auto"/>
        <w:left w:val="none" w:sz="0" w:space="0" w:color="auto"/>
        <w:bottom w:val="none" w:sz="0" w:space="0" w:color="auto"/>
        <w:right w:val="none" w:sz="0" w:space="0" w:color="auto"/>
      </w:divBdr>
    </w:div>
    <w:div w:id="1889756316">
      <w:bodyDiv w:val="1"/>
      <w:marLeft w:val="0"/>
      <w:marRight w:val="0"/>
      <w:marTop w:val="0"/>
      <w:marBottom w:val="0"/>
      <w:divBdr>
        <w:top w:val="none" w:sz="0" w:space="0" w:color="auto"/>
        <w:left w:val="none" w:sz="0" w:space="0" w:color="auto"/>
        <w:bottom w:val="none" w:sz="0" w:space="0" w:color="auto"/>
        <w:right w:val="none" w:sz="0" w:space="0" w:color="auto"/>
      </w:divBdr>
    </w:div>
    <w:div w:id="1889756832">
      <w:bodyDiv w:val="1"/>
      <w:marLeft w:val="0"/>
      <w:marRight w:val="0"/>
      <w:marTop w:val="0"/>
      <w:marBottom w:val="0"/>
      <w:divBdr>
        <w:top w:val="none" w:sz="0" w:space="0" w:color="auto"/>
        <w:left w:val="none" w:sz="0" w:space="0" w:color="auto"/>
        <w:bottom w:val="none" w:sz="0" w:space="0" w:color="auto"/>
        <w:right w:val="none" w:sz="0" w:space="0" w:color="auto"/>
      </w:divBdr>
    </w:div>
    <w:div w:id="1889801914">
      <w:bodyDiv w:val="1"/>
      <w:marLeft w:val="0"/>
      <w:marRight w:val="0"/>
      <w:marTop w:val="0"/>
      <w:marBottom w:val="0"/>
      <w:divBdr>
        <w:top w:val="none" w:sz="0" w:space="0" w:color="auto"/>
        <w:left w:val="none" w:sz="0" w:space="0" w:color="auto"/>
        <w:bottom w:val="none" w:sz="0" w:space="0" w:color="auto"/>
        <w:right w:val="none" w:sz="0" w:space="0" w:color="auto"/>
      </w:divBdr>
    </w:div>
    <w:div w:id="1889873085">
      <w:bodyDiv w:val="1"/>
      <w:marLeft w:val="0"/>
      <w:marRight w:val="0"/>
      <w:marTop w:val="0"/>
      <w:marBottom w:val="0"/>
      <w:divBdr>
        <w:top w:val="none" w:sz="0" w:space="0" w:color="auto"/>
        <w:left w:val="none" w:sz="0" w:space="0" w:color="auto"/>
        <w:bottom w:val="none" w:sz="0" w:space="0" w:color="auto"/>
        <w:right w:val="none" w:sz="0" w:space="0" w:color="auto"/>
      </w:divBdr>
    </w:div>
    <w:div w:id="1889873789">
      <w:bodyDiv w:val="1"/>
      <w:marLeft w:val="0"/>
      <w:marRight w:val="0"/>
      <w:marTop w:val="0"/>
      <w:marBottom w:val="0"/>
      <w:divBdr>
        <w:top w:val="none" w:sz="0" w:space="0" w:color="auto"/>
        <w:left w:val="none" w:sz="0" w:space="0" w:color="auto"/>
        <w:bottom w:val="none" w:sz="0" w:space="0" w:color="auto"/>
        <w:right w:val="none" w:sz="0" w:space="0" w:color="auto"/>
      </w:divBdr>
    </w:div>
    <w:div w:id="1889877699">
      <w:bodyDiv w:val="1"/>
      <w:marLeft w:val="0"/>
      <w:marRight w:val="0"/>
      <w:marTop w:val="0"/>
      <w:marBottom w:val="0"/>
      <w:divBdr>
        <w:top w:val="none" w:sz="0" w:space="0" w:color="auto"/>
        <w:left w:val="none" w:sz="0" w:space="0" w:color="auto"/>
        <w:bottom w:val="none" w:sz="0" w:space="0" w:color="auto"/>
        <w:right w:val="none" w:sz="0" w:space="0" w:color="auto"/>
      </w:divBdr>
    </w:div>
    <w:div w:id="1889950007">
      <w:bodyDiv w:val="1"/>
      <w:marLeft w:val="0"/>
      <w:marRight w:val="0"/>
      <w:marTop w:val="0"/>
      <w:marBottom w:val="0"/>
      <w:divBdr>
        <w:top w:val="none" w:sz="0" w:space="0" w:color="auto"/>
        <w:left w:val="none" w:sz="0" w:space="0" w:color="auto"/>
        <w:bottom w:val="none" w:sz="0" w:space="0" w:color="auto"/>
        <w:right w:val="none" w:sz="0" w:space="0" w:color="auto"/>
      </w:divBdr>
    </w:div>
    <w:div w:id="1889955911">
      <w:bodyDiv w:val="1"/>
      <w:marLeft w:val="0"/>
      <w:marRight w:val="0"/>
      <w:marTop w:val="0"/>
      <w:marBottom w:val="0"/>
      <w:divBdr>
        <w:top w:val="none" w:sz="0" w:space="0" w:color="auto"/>
        <w:left w:val="none" w:sz="0" w:space="0" w:color="auto"/>
        <w:bottom w:val="none" w:sz="0" w:space="0" w:color="auto"/>
        <w:right w:val="none" w:sz="0" w:space="0" w:color="auto"/>
      </w:divBdr>
    </w:div>
    <w:div w:id="1889956602">
      <w:bodyDiv w:val="1"/>
      <w:marLeft w:val="0"/>
      <w:marRight w:val="0"/>
      <w:marTop w:val="0"/>
      <w:marBottom w:val="0"/>
      <w:divBdr>
        <w:top w:val="none" w:sz="0" w:space="0" w:color="auto"/>
        <w:left w:val="none" w:sz="0" w:space="0" w:color="auto"/>
        <w:bottom w:val="none" w:sz="0" w:space="0" w:color="auto"/>
        <w:right w:val="none" w:sz="0" w:space="0" w:color="auto"/>
      </w:divBdr>
    </w:div>
    <w:div w:id="1890142869">
      <w:bodyDiv w:val="1"/>
      <w:marLeft w:val="0"/>
      <w:marRight w:val="0"/>
      <w:marTop w:val="0"/>
      <w:marBottom w:val="0"/>
      <w:divBdr>
        <w:top w:val="none" w:sz="0" w:space="0" w:color="auto"/>
        <w:left w:val="none" w:sz="0" w:space="0" w:color="auto"/>
        <w:bottom w:val="none" w:sz="0" w:space="0" w:color="auto"/>
        <w:right w:val="none" w:sz="0" w:space="0" w:color="auto"/>
      </w:divBdr>
    </w:div>
    <w:div w:id="1890258661">
      <w:bodyDiv w:val="1"/>
      <w:marLeft w:val="0"/>
      <w:marRight w:val="0"/>
      <w:marTop w:val="0"/>
      <w:marBottom w:val="0"/>
      <w:divBdr>
        <w:top w:val="none" w:sz="0" w:space="0" w:color="auto"/>
        <w:left w:val="none" w:sz="0" w:space="0" w:color="auto"/>
        <w:bottom w:val="none" w:sz="0" w:space="0" w:color="auto"/>
        <w:right w:val="none" w:sz="0" w:space="0" w:color="auto"/>
      </w:divBdr>
    </w:div>
    <w:div w:id="1890338275">
      <w:bodyDiv w:val="1"/>
      <w:marLeft w:val="0"/>
      <w:marRight w:val="0"/>
      <w:marTop w:val="0"/>
      <w:marBottom w:val="0"/>
      <w:divBdr>
        <w:top w:val="none" w:sz="0" w:space="0" w:color="auto"/>
        <w:left w:val="none" w:sz="0" w:space="0" w:color="auto"/>
        <w:bottom w:val="none" w:sz="0" w:space="0" w:color="auto"/>
        <w:right w:val="none" w:sz="0" w:space="0" w:color="auto"/>
      </w:divBdr>
    </w:div>
    <w:div w:id="1890411632">
      <w:bodyDiv w:val="1"/>
      <w:marLeft w:val="0"/>
      <w:marRight w:val="0"/>
      <w:marTop w:val="0"/>
      <w:marBottom w:val="0"/>
      <w:divBdr>
        <w:top w:val="none" w:sz="0" w:space="0" w:color="auto"/>
        <w:left w:val="none" w:sz="0" w:space="0" w:color="auto"/>
        <w:bottom w:val="none" w:sz="0" w:space="0" w:color="auto"/>
        <w:right w:val="none" w:sz="0" w:space="0" w:color="auto"/>
      </w:divBdr>
    </w:div>
    <w:div w:id="1890415041">
      <w:bodyDiv w:val="1"/>
      <w:marLeft w:val="0"/>
      <w:marRight w:val="0"/>
      <w:marTop w:val="0"/>
      <w:marBottom w:val="0"/>
      <w:divBdr>
        <w:top w:val="none" w:sz="0" w:space="0" w:color="auto"/>
        <w:left w:val="none" w:sz="0" w:space="0" w:color="auto"/>
        <w:bottom w:val="none" w:sz="0" w:space="0" w:color="auto"/>
        <w:right w:val="none" w:sz="0" w:space="0" w:color="auto"/>
      </w:divBdr>
    </w:div>
    <w:div w:id="1890452698">
      <w:bodyDiv w:val="1"/>
      <w:marLeft w:val="0"/>
      <w:marRight w:val="0"/>
      <w:marTop w:val="0"/>
      <w:marBottom w:val="0"/>
      <w:divBdr>
        <w:top w:val="none" w:sz="0" w:space="0" w:color="auto"/>
        <w:left w:val="none" w:sz="0" w:space="0" w:color="auto"/>
        <w:bottom w:val="none" w:sz="0" w:space="0" w:color="auto"/>
        <w:right w:val="none" w:sz="0" w:space="0" w:color="auto"/>
      </w:divBdr>
    </w:div>
    <w:div w:id="1890456682">
      <w:bodyDiv w:val="1"/>
      <w:marLeft w:val="0"/>
      <w:marRight w:val="0"/>
      <w:marTop w:val="0"/>
      <w:marBottom w:val="0"/>
      <w:divBdr>
        <w:top w:val="none" w:sz="0" w:space="0" w:color="auto"/>
        <w:left w:val="none" w:sz="0" w:space="0" w:color="auto"/>
        <w:bottom w:val="none" w:sz="0" w:space="0" w:color="auto"/>
        <w:right w:val="none" w:sz="0" w:space="0" w:color="auto"/>
      </w:divBdr>
    </w:div>
    <w:div w:id="1890459626">
      <w:bodyDiv w:val="1"/>
      <w:marLeft w:val="0"/>
      <w:marRight w:val="0"/>
      <w:marTop w:val="0"/>
      <w:marBottom w:val="0"/>
      <w:divBdr>
        <w:top w:val="none" w:sz="0" w:space="0" w:color="auto"/>
        <w:left w:val="none" w:sz="0" w:space="0" w:color="auto"/>
        <w:bottom w:val="none" w:sz="0" w:space="0" w:color="auto"/>
        <w:right w:val="none" w:sz="0" w:space="0" w:color="auto"/>
      </w:divBdr>
    </w:div>
    <w:div w:id="1890608856">
      <w:bodyDiv w:val="1"/>
      <w:marLeft w:val="0"/>
      <w:marRight w:val="0"/>
      <w:marTop w:val="0"/>
      <w:marBottom w:val="0"/>
      <w:divBdr>
        <w:top w:val="none" w:sz="0" w:space="0" w:color="auto"/>
        <w:left w:val="none" w:sz="0" w:space="0" w:color="auto"/>
        <w:bottom w:val="none" w:sz="0" w:space="0" w:color="auto"/>
        <w:right w:val="none" w:sz="0" w:space="0" w:color="auto"/>
      </w:divBdr>
    </w:div>
    <w:div w:id="1890680798">
      <w:bodyDiv w:val="1"/>
      <w:marLeft w:val="0"/>
      <w:marRight w:val="0"/>
      <w:marTop w:val="0"/>
      <w:marBottom w:val="0"/>
      <w:divBdr>
        <w:top w:val="none" w:sz="0" w:space="0" w:color="auto"/>
        <w:left w:val="none" w:sz="0" w:space="0" w:color="auto"/>
        <w:bottom w:val="none" w:sz="0" w:space="0" w:color="auto"/>
        <w:right w:val="none" w:sz="0" w:space="0" w:color="auto"/>
      </w:divBdr>
    </w:div>
    <w:div w:id="1890872227">
      <w:bodyDiv w:val="1"/>
      <w:marLeft w:val="0"/>
      <w:marRight w:val="0"/>
      <w:marTop w:val="0"/>
      <w:marBottom w:val="0"/>
      <w:divBdr>
        <w:top w:val="none" w:sz="0" w:space="0" w:color="auto"/>
        <w:left w:val="none" w:sz="0" w:space="0" w:color="auto"/>
        <w:bottom w:val="none" w:sz="0" w:space="0" w:color="auto"/>
        <w:right w:val="none" w:sz="0" w:space="0" w:color="auto"/>
      </w:divBdr>
    </w:div>
    <w:div w:id="1890875911">
      <w:bodyDiv w:val="1"/>
      <w:marLeft w:val="0"/>
      <w:marRight w:val="0"/>
      <w:marTop w:val="0"/>
      <w:marBottom w:val="0"/>
      <w:divBdr>
        <w:top w:val="none" w:sz="0" w:space="0" w:color="auto"/>
        <w:left w:val="none" w:sz="0" w:space="0" w:color="auto"/>
        <w:bottom w:val="none" w:sz="0" w:space="0" w:color="auto"/>
        <w:right w:val="none" w:sz="0" w:space="0" w:color="auto"/>
      </w:divBdr>
    </w:div>
    <w:div w:id="1890917056">
      <w:bodyDiv w:val="1"/>
      <w:marLeft w:val="0"/>
      <w:marRight w:val="0"/>
      <w:marTop w:val="0"/>
      <w:marBottom w:val="0"/>
      <w:divBdr>
        <w:top w:val="none" w:sz="0" w:space="0" w:color="auto"/>
        <w:left w:val="none" w:sz="0" w:space="0" w:color="auto"/>
        <w:bottom w:val="none" w:sz="0" w:space="0" w:color="auto"/>
        <w:right w:val="none" w:sz="0" w:space="0" w:color="auto"/>
      </w:divBdr>
    </w:div>
    <w:div w:id="1890917547">
      <w:bodyDiv w:val="1"/>
      <w:marLeft w:val="0"/>
      <w:marRight w:val="0"/>
      <w:marTop w:val="0"/>
      <w:marBottom w:val="0"/>
      <w:divBdr>
        <w:top w:val="none" w:sz="0" w:space="0" w:color="auto"/>
        <w:left w:val="none" w:sz="0" w:space="0" w:color="auto"/>
        <w:bottom w:val="none" w:sz="0" w:space="0" w:color="auto"/>
        <w:right w:val="none" w:sz="0" w:space="0" w:color="auto"/>
      </w:divBdr>
    </w:div>
    <w:div w:id="1891307314">
      <w:bodyDiv w:val="1"/>
      <w:marLeft w:val="0"/>
      <w:marRight w:val="0"/>
      <w:marTop w:val="0"/>
      <w:marBottom w:val="0"/>
      <w:divBdr>
        <w:top w:val="none" w:sz="0" w:space="0" w:color="auto"/>
        <w:left w:val="none" w:sz="0" w:space="0" w:color="auto"/>
        <w:bottom w:val="none" w:sz="0" w:space="0" w:color="auto"/>
        <w:right w:val="none" w:sz="0" w:space="0" w:color="auto"/>
      </w:divBdr>
    </w:div>
    <w:div w:id="1891501403">
      <w:bodyDiv w:val="1"/>
      <w:marLeft w:val="0"/>
      <w:marRight w:val="0"/>
      <w:marTop w:val="0"/>
      <w:marBottom w:val="0"/>
      <w:divBdr>
        <w:top w:val="none" w:sz="0" w:space="0" w:color="auto"/>
        <w:left w:val="none" w:sz="0" w:space="0" w:color="auto"/>
        <w:bottom w:val="none" w:sz="0" w:space="0" w:color="auto"/>
        <w:right w:val="none" w:sz="0" w:space="0" w:color="auto"/>
      </w:divBdr>
    </w:div>
    <w:div w:id="1891526962">
      <w:bodyDiv w:val="1"/>
      <w:marLeft w:val="0"/>
      <w:marRight w:val="0"/>
      <w:marTop w:val="0"/>
      <w:marBottom w:val="0"/>
      <w:divBdr>
        <w:top w:val="none" w:sz="0" w:space="0" w:color="auto"/>
        <w:left w:val="none" w:sz="0" w:space="0" w:color="auto"/>
        <w:bottom w:val="none" w:sz="0" w:space="0" w:color="auto"/>
        <w:right w:val="none" w:sz="0" w:space="0" w:color="auto"/>
      </w:divBdr>
    </w:div>
    <w:div w:id="1891532624">
      <w:bodyDiv w:val="1"/>
      <w:marLeft w:val="0"/>
      <w:marRight w:val="0"/>
      <w:marTop w:val="0"/>
      <w:marBottom w:val="0"/>
      <w:divBdr>
        <w:top w:val="none" w:sz="0" w:space="0" w:color="auto"/>
        <w:left w:val="none" w:sz="0" w:space="0" w:color="auto"/>
        <w:bottom w:val="none" w:sz="0" w:space="0" w:color="auto"/>
        <w:right w:val="none" w:sz="0" w:space="0" w:color="auto"/>
      </w:divBdr>
    </w:div>
    <w:div w:id="1891645296">
      <w:bodyDiv w:val="1"/>
      <w:marLeft w:val="0"/>
      <w:marRight w:val="0"/>
      <w:marTop w:val="0"/>
      <w:marBottom w:val="0"/>
      <w:divBdr>
        <w:top w:val="none" w:sz="0" w:space="0" w:color="auto"/>
        <w:left w:val="none" w:sz="0" w:space="0" w:color="auto"/>
        <w:bottom w:val="none" w:sz="0" w:space="0" w:color="auto"/>
        <w:right w:val="none" w:sz="0" w:space="0" w:color="auto"/>
      </w:divBdr>
    </w:div>
    <w:div w:id="1891650322">
      <w:bodyDiv w:val="1"/>
      <w:marLeft w:val="0"/>
      <w:marRight w:val="0"/>
      <w:marTop w:val="0"/>
      <w:marBottom w:val="0"/>
      <w:divBdr>
        <w:top w:val="none" w:sz="0" w:space="0" w:color="auto"/>
        <w:left w:val="none" w:sz="0" w:space="0" w:color="auto"/>
        <w:bottom w:val="none" w:sz="0" w:space="0" w:color="auto"/>
        <w:right w:val="none" w:sz="0" w:space="0" w:color="auto"/>
      </w:divBdr>
    </w:div>
    <w:div w:id="1891727773">
      <w:bodyDiv w:val="1"/>
      <w:marLeft w:val="0"/>
      <w:marRight w:val="0"/>
      <w:marTop w:val="0"/>
      <w:marBottom w:val="0"/>
      <w:divBdr>
        <w:top w:val="none" w:sz="0" w:space="0" w:color="auto"/>
        <w:left w:val="none" w:sz="0" w:space="0" w:color="auto"/>
        <w:bottom w:val="none" w:sz="0" w:space="0" w:color="auto"/>
        <w:right w:val="none" w:sz="0" w:space="0" w:color="auto"/>
      </w:divBdr>
    </w:div>
    <w:div w:id="1891768403">
      <w:bodyDiv w:val="1"/>
      <w:marLeft w:val="0"/>
      <w:marRight w:val="0"/>
      <w:marTop w:val="0"/>
      <w:marBottom w:val="0"/>
      <w:divBdr>
        <w:top w:val="none" w:sz="0" w:space="0" w:color="auto"/>
        <w:left w:val="none" w:sz="0" w:space="0" w:color="auto"/>
        <w:bottom w:val="none" w:sz="0" w:space="0" w:color="auto"/>
        <w:right w:val="none" w:sz="0" w:space="0" w:color="auto"/>
      </w:divBdr>
    </w:div>
    <w:div w:id="1891768576">
      <w:bodyDiv w:val="1"/>
      <w:marLeft w:val="0"/>
      <w:marRight w:val="0"/>
      <w:marTop w:val="0"/>
      <w:marBottom w:val="0"/>
      <w:divBdr>
        <w:top w:val="none" w:sz="0" w:space="0" w:color="auto"/>
        <w:left w:val="none" w:sz="0" w:space="0" w:color="auto"/>
        <w:bottom w:val="none" w:sz="0" w:space="0" w:color="auto"/>
        <w:right w:val="none" w:sz="0" w:space="0" w:color="auto"/>
      </w:divBdr>
    </w:div>
    <w:div w:id="1892035077">
      <w:bodyDiv w:val="1"/>
      <w:marLeft w:val="0"/>
      <w:marRight w:val="0"/>
      <w:marTop w:val="0"/>
      <w:marBottom w:val="0"/>
      <w:divBdr>
        <w:top w:val="none" w:sz="0" w:space="0" w:color="auto"/>
        <w:left w:val="none" w:sz="0" w:space="0" w:color="auto"/>
        <w:bottom w:val="none" w:sz="0" w:space="0" w:color="auto"/>
        <w:right w:val="none" w:sz="0" w:space="0" w:color="auto"/>
      </w:divBdr>
    </w:div>
    <w:div w:id="1892037958">
      <w:bodyDiv w:val="1"/>
      <w:marLeft w:val="0"/>
      <w:marRight w:val="0"/>
      <w:marTop w:val="0"/>
      <w:marBottom w:val="0"/>
      <w:divBdr>
        <w:top w:val="none" w:sz="0" w:space="0" w:color="auto"/>
        <w:left w:val="none" w:sz="0" w:space="0" w:color="auto"/>
        <w:bottom w:val="none" w:sz="0" w:space="0" w:color="auto"/>
        <w:right w:val="none" w:sz="0" w:space="0" w:color="auto"/>
      </w:divBdr>
    </w:div>
    <w:div w:id="1892039811">
      <w:bodyDiv w:val="1"/>
      <w:marLeft w:val="0"/>
      <w:marRight w:val="0"/>
      <w:marTop w:val="0"/>
      <w:marBottom w:val="0"/>
      <w:divBdr>
        <w:top w:val="none" w:sz="0" w:space="0" w:color="auto"/>
        <w:left w:val="none" w:sz="0" w:space="0" w:color="auto"/>
        <w:bottom w:val="none" w:sz="0" w:space="0" w:color="auto"/>
        <w:right w:val="none" w:sz="0" w:space="0" w:color="auto"/>
      </w:divBdr>
    </w:div>
    <w:div w:id="1892230213">
      <w:bodyDiv w:val="1"/>
      <w:marLeft w:val="0"/>
      <w:marRight w:val="0"/>
      <w:marTop w:val="0"/>
      <w:marBottom w:val="0"/>
      <w:divBdr>
        <w:top w:val="none" w:sz="0" w:space="0" w:color="auto"/>
        <w:left w:val="none" w:sz="0" w:space="0" w:color="auto"/>
        <w:bottom w:val="none" w:sz="0" w:space="0" w:color="auto"/>
        <w:right w:val="none" w:sz="0" w:space="0" w:color="auto"/>
      </w:divBdr>
    </w:div>
    <w:div w:id="1892232963">
      <w:bodyDiv w:val="1"/>
      <w:marLeft w:val="0"/>
      <w:marRight w:val="0"/>
      <w:marTop w:val="0"/>
      <w:marBottom w:val="0"/>
      <w:divBdr>
        <w:top w:val="none" w:sz="0" w:space="0" w:color="auto"/>
        <w:left w:val="none" w:sz="0" w:space="0" w:color="auto"/>
        <w:bottom w:val="none" w:sz="0" w:space="0" w:color="auto"/>
        <w:right w:val="none" w:sz="0" w:space="0" w:color="auto"/>
      </w:divBdr>
    </w:div>
    <w:div w:id="1892303792">
      <w:bodyDiv w:val="1"/>
      <w:marLeft w:val="0"/>
      <w:marRight w:val="0"/>
      <w:marTop w:val="0"/>
      <w:marBottom w:val="0"/>
      <w:divBdr>
        <w:top w:val="none" w:sz="0" w:space="0" w:color="auto"/>
        <w:left w:val="none" w:sz="0" w:space="0" w:color="auto"/>
        <w:bottom w:val="none" w:sz="0" w:space="0" w:color="auto"/>
        <w:right w:val="none" w:sz="0" w:space="0" w:color="auto"/>
      </w:divBdr>
    </w:div>
    <w:div w:id="1892421857">
      <w:bodyDiv w:val="1"/>
      <w:marLeft w:val="0"/>
      <w:marRight w:val="0"/>
      <w:marTop w:val="0"/>
      <w:marBottom w:val="0"/>
      <w:divBdr>
        <w:top w:val="none" w:sz="0" w:space="0" w:color="auto"/>
        <w:left w:val="none" w:sz="0" w:space="0" w:color="auto"/>
        <w:bottom w:val="none" w:sz="0" w:space="0" w:color="auto"/>
        <w:right w:val="none" w:sz="0" w:space="0" w:color="auto"/>
      </w:divBdr>
    </w:div>
    <w:div w:id="1892496334">
      <w:bodyDiv w:val="1"/>
      <w:marLeft w:val="0"/>
      <w:marRight w:val="0"/>
      <w:marTop w:val="0"/>
      <w:marBottom w:val="0"/>
      <w:divBdr>
        <w:top w:val="none" w:sz="0" w:space="0" w:color="auto"/>
        <w:left w:val="none" w:sz="0" w:space="0" w:color="auto"/>
        <w:bottom w:val="none" w:sz="0" w:space="0" w:color="auto"/>
        <w:right w:val="none" w:sz="0" w:space="0" w:color="auto"/>
      </w:divBdr>
    </w:div>
    <w:div w:id="1892499608">
      <w:bodyDiv w:val="1"/>
      <w:marLeft w:val="0"/>
      <w:marRight w:val="0"/>
      <w:marTop w:val="0"/>
      <w:marBottom w:val="0"/>
      <w:divBdr>
        <w:top w:val="none" w:sz="0" w:space="0" w:color="auto"/>
        <w:left w:val="none" w:sz="0" w:space="0" w:color="auto"/>
        <w:bottom w:val="none" w:sz="0" w:space="0" w:color="auto"/>
        <w:right w:val="none" w:sz="0" w:space="0" w:color="auto"/>
      </w:divBdr>
    </w:div>
    <w:div w:id="1892568994">
      <w:bodyDiv w:val="1"/>
      <w:marLeft w:val="0"/>
      <w:marRight w:val="0"/>
      <w:marTop w:val="0"/>
      <w:marBottom w:val="0"/>
      <w:divBdr>
        <w:top w:val="none" w:sz="0" w:space="0" w:color="auto"/>
        <w:left w:val="none" w:sz="0" w:space="0" w:color="auto"/>
        <w:bottom w:val="none" w:sz="0" w:space="0" w:color="auto"/>
        <w:right w:val="none" w:sz="0" w:space="0" w:color="auto"/>
      </w:divBdr>
    </w:div>
    <w:div w:id="1892577542">
      <w:bodyDiv w:val="1"/>
      <w:marLeft w:val="0"/>
      <w:marRight w:val="0"/>
      <w:marTop w:val="0"/>
      <w:marBottom w:val="0"/>
      <w:divBdr>
        <w:top w:val="none" w:sz="0" w:space="0" w:color="auto"/>
        <w:left w:val="none" w:sz="0" w:space="0" w:color="auto"/>
        <w:bottom w:val="none" w:sz="0" w:space="0" w:color="auto"/>
        <w:right w:val="none" w:sz="0" w:space="0" w:color="auto"/>
      </w:divBdr>
    </w:div>
    <w:div w:id="1892614535">
      <w:bodyDiv w:val="1"/>
      <w:marLeft w:val="0"/>
      <w:marRight w:val="0"/>
      <w:marTop w:val="0"/>
      <w:marBottom w:val="0"/>
      <w:divBdr>
        <w:top w:val="none" w:sz="0" w:space="0" w:color="auto"/>
        <w:left w:val="none" w:sz="0" w:space="0" w:color="auto"/>
        <w:bottom w:val="none" w:sz="0" w:space="0" w:color="auto"/>
        <w:right w:val="none" w:sz="0" w:space="0" w:color="auto"/>
      </w:divBdr>
    </w:div>
    <w:div w:id="1892615107">
      <w:bodyDiv w:val="1"/>
      <w:marLeft w:val="0"/>
      <w:marRight w:val="0"/>
      <w:marTop w:val="0"/>
      <w:marBottom w:val="0"/>
      <w:divBdr>
        <w:top w:val="none" w:sz="0" w:space="0" w:color="auto"/>
        <w:left w:val="none" w:sz="0" w:space="0" w:color="auto"/>
        <w:bottom w:val="none" w:sz="0" w:space="0" w:color="auto"/>
        <w:right w:val="none" w:sz="0" w:space="0" w:color="auto"/>
      </w:divBdr>
    </w:div>
    <w:div w:id="1892688994">
      <w:bodyDiv w:val="1"/>
      <w:marLeft w:val="0"/>
      <w:marRight w:val="0"/>
      <w:marTop w:val="0"/>
      <w:marBottom w:val="0"/>
      <w:divBdr>
        <w:top w:val="none" w:sz="0" w:space="0" w:color="auto"/>
        <w:left w:val="none" w:sz="0" w:space="0" w:color="auto"/>
        <w:bottom w:val="none" w:sz="0" w:space="0" w:color="auto"/>
        <w:right w:val="none" w:sz="0" w:space="0" w:color="auto"/>
      </w:divBdr>
    </w:div>
    <w:div w:id="1892768759">
      <w:bodyDiv w:val="1"/>
      <w:marLeft w:val="0"/>
      <w:marRight w:val="0"/>
      <w:marTop w:val="0"/>
      <w:marBottom w:val="0"/>
      <w:divBdr>
        <w:top w:val="none" w:sz="0" w:space="0" w:color="auto"/>
        <w:left w:val="none" w:sz="0" w:space="0" w:color="auto"/>
        <w:bottom w:val="none" w:sz="0" w:space="0" w:color="auto"/>
        <w:right w:val="none" w:sz="0" w:space="0" w:color="auto"/>
      </w:divBdr>
    </w:div>
    <w:div w:id="1892885277">
      <w:bodyDiv w:val="1"/>
      <w:marLeft w:val="0"/>
      <w:marRight w:val="0"/>
      <w:marTop w:val="0"/>
      <w:marBottom w:val="0"/>
      <w:divBdr>
        <w:top w:val="none" w:sz="0" w:space="0" w:color="auto"/>
        <w:left w:val="none" w:sz="0" w:space="0" w:color="auto"/>
        <w:bottom w:val="none" w:sz="0" w:space="0" w:color="auto"/>
        <w:right w:val="none" w:sz="0" w:space="0" w:color="auto"/>
      </w:divBdr>
    </w:div>
    <w:div w:id="1893031409">
      <w:bodyDiv w:val="1"/>
      <w:marLeft w:val="0"/>
      <w:marRight w:val="0"/>
      <w:marTop w:val="0"/>
      <w:marBottom w:val="0"/>
      <w:divBdr>
        <w:top w:val="none" w:sz="0" w:space="0" w:color="auto"/>
        <w:left w:val="none" w:sz="0" w:space="0" w:color="auto"/>
        <w:bottom w:val="none" w:sz="0" w:space="0" w:color="auto"/>
        <w:right w:val="none" w:sz="0" w:space="0" w:color="auto"/>
      </w:divBdr>
    </w:div>
    <w:div w:id="1893037703">
      <w:bodyDiv w:val="1"/>
      <w:marLeft w:val="0"/>
      <w:marRight w:val="0"/>
      <w:marTop w:val="0"/>
      <w:marBottom w:val="0"/>
      <w:divBdr>
        <w:top w:val="none" w:sz="0" w:space="0" w:color="auto"/>
        <w:left w:val="none" w:sz="0" w:space="0" w:color="auto"/>
        <w:bottom w:val="none" w:sz="0" w:space="0" w:color="auto"/>
        <w:right w:val="none" w:sz="0" w:space="0" w:color="auto"/>
      </w:divBdr>
    </w:div>
    <w:div w:id="1893073172">
      <w:bodyDiv w:val="1"/>
      <w:marLeft w:val="0"/>
      <w:marRight w:val="0"/>
      <w:marTop w:val="0"/>
      <w:marBottom w:val="0"/>
      <w:divBdr>
        <w:top w:val="none" w:sz="0" w:space="0" w:color="auto"/>
        <w:left w:val="none" w:sz="0" w:space="0" w:color="auto"/>
        <w:bottom w:val="none" w:sz="0" w:space="0" w:color="auto"/>
        <w:right w:val="none" w:sz="0" w:space="0" w:color="auto"/>
      </w:divBdr>
    </w:div>
    <w:div w:id="1893079555">
      <w:bodyDiv w:val="1"/>
      <w:marLeft w:val="0"/>
      <w:marRight w:val="0"/>
      <w:marTop w:val="0"/>
      <w:marBottom w:val="0"/>
      <w:divBdr>
        <w:top w:val="none" w:sz="0" w:space="0" w:color="auto"/>
        <w:left w:val="none" w:sz="0" w:space="0" w:color="auto"/>
        <w:bottom w:val="none" w:sz="0" w:space="0" w:color="auto"/>
        <w:right w:val="none" w:sz="0" w:space="0" w:color="auto"/>
      </w:divBdr>
    </w:div>
    <w:div w:id="1893226977">
      <w:bodyDiv w:val="1"/>
      <w:marLeft w:val="0"/>
      <w:marRight w:val="0"/>
      <w:marTop w:val="0"/>
      <w:marBottom w:val="0"/>
      <w:divBdr>
        <w:top w:val="none" w:sz="0" w:space="0" w:color="auto"/>
        <w:left w:val="none" w:sz="0" w:space="0" w:color="auto"/>
        <w:bottom w:val="none" w:sz="0" w:space="0" w:color="auto"/>
        <w:right w:val="none" w:sz="0" w:space="0" w:color="auto"/>
      </w:divBdr>
    </w:div>
    <w:div w:id="1893232092">
      <w:bodyDiv w:val="1"/>
      <w:marLeft w:val="0"/>
      <w:marRight w:val="0"/>
      <w:marTop w:val="0"/>
      <w:marBottom w:val="0"/>
      <w:divBdr>
        <w:top w:val="none" w:sz="0" w:space="0" w:color="auto"/>
        <w:left w:val="none" w:sz="0" w:space="0" w:color="auto"/>
        <w:bottom w:val="none" w:sz="0" w:space="0" w:color="auto"/>
        <w:right w:val="none" w:sz="0" w:space="0" w:color="auto"/>
      </w:divBdr>
    </w:div>
    <w:div w:id="1893233016">
      <w:bodyDiv w:val="1"/>
      <w:marLeft w:val="0"/>
      <w:marRight w:val="0"/>
      <w:marTop w:val="0"/>
      <w:marBottom w:val="0"/>
      <w:divBdr>
        <w:top w:val="none" w:sz="0" w:space="0" w:color="auto"/>
        <w:left w:val="none" w:sz="0" w:space="0" w:color="auto"/>
        <w:bottom w:val="none" w:sz="0" w:space="0" w:color="auto"/>
        <w:right w:val="none" w:sz="0" w:space="0" w:color="auto"/>
      </w:divBdr>
    </w:div>
    <w:div w:id="1893419323">
      <w:bodyDiv w:val="1"/>
      <w:marLeft w:val="0"/>
      <w:marRight w:val="0"/>
      <w:marTop w:val="0"/>
      <w:marBottom w:val="0"/>
      <w:divBdr>
        <w:top w:val="none" w:sz="0" w:space="0" w:color="auto"/>
        <w:left w:val="none" w:sz="0" w:space="0" w:color="auto"/>
        <w:bottom w:val="none" w:sz="0" w:space="0" w:color="auto"/>
        <w:right w:val="none" w:sz="0" w:space="0" w:color="auto"/>
      </w:divBdr>
    </w:div>
    <w:div w:id="1893494267">
      <w:bodyDiv w:val="1"/>
      <w:marLeft w:val="0"/>
      <w:marRight w:val="0"/>
      <w:marTop w:val="0"/>
      <w:marBottom w:val="0"/>
      <w:divBdr>
        <w:top w:val="none" w:sz="0" w:space="0" w:color="auto"/>
        <w:left w:val="none" w:sz="0" w:space="0" w:color="auto"/>
        <w:bottom w:val="none" w:sz="0" w:space="0" w:color="auto"/>
        <w:right w:val="none" w:sz="0" w:space="0" w:color="auto"/>
      </w:divBdr>
    </w:div>
    <w:div w:id="1893534945">
      <w:bodyDiv w:val="1"/>
      <w:marLeft w:val="0"/>
      <w:marRight w:val="0"/>
      <w:marTop w:val="0"/>
      <w:marBottom w:val="0"/>
      <w:divBdr>
        <w:top w:val="none" w:sz="0" w:space="0" w:color="auto"/>
        <w:left w:val="none" w:sz="0" w:space="0" w:color="auto"/>
        <w:bottom w:val="none" w:sz="0" w:space="0" w:color="auto"/>
        <w:right w:val="none" w:sz="0" w:space="0" w:color="auto"/>
      </w:divBdr>
    </w:div>
    <w:div w:id="1893617672">
      <w:bodyDiv w:val="1"/>
      <w:marLeft w:val="0"/>
      <w:marRight w:val="0"/>
      <w:marTop w:val="0"/>
      <w:marBottom w:val="0"/>
      <w:divBdr>
        <w:top w:val="none" w:sz="0" w:space="0" w:color="auto"/>
        <w:left w:val="none" w:sz="0" w:space="0" w:color="auto"/>
        <w:bottom w:val="none" w:sz="0" w:space="0" w:color="auto"/>
        <w:right w:val="none" w:sz="0" w:space="0" w:color="auto"/>
      </w:divBdr>
    </w:div>
    <w:div w:id="1893618372">
      <w:bodyDiv w:val="1"/>
      <w:marLeft w:val="0"/>
      <w:marRight w:val="0"/>
      <w:marTop w:val="0"/>
      <w:marBottom w:val="0"/>
      <w:divBdr>
        <w:top w:val="none" w:sz="0" w:space="0" w:color="auto"/>
        <w:left w:val="none" w:sz="0" w:space="0" w:color="auto"/>
        <w:bottom w:val="none" w:sz="0" w:space="0" w:color="auto"/>
        <w:right w:val="none" w:sz="0" w:space="0" w:color="auto"/>
      </w:divBdr>
    </w:div>
    <w:div w:id="1893685512">
      <w:bodyDiv w:val="1"/>
      <w:marLeft w:val="0"/>
      <w:marRight w:val="0"/>
      <w:marTop w:val="0"/>
      <w:marBottom w:val="0"/>
      <w:divBdr>
        <w:top w:val="none" w:sz="0" w:space="0" w:color="auto"/>
        <w:left w:val="none" w:sz="0" w:space="0" w:color="auto"/>
        <w:bottom w:val="none" w:sz="0" w:space="0" w:color="auto"/>
        <w:right w:val="none" w:sz="0" w:space="0" w:color="auto"/>
      </w:divBdr>
    </w:div>
    <w:div w:id="1893688211">
      <w:bodyDiv w:val="1"/>
      <w:marLeft w:val="0"/>
      <w:marRight w:val="0"/>
      <w:marTop w:val="0"/>
      <w:marBottom w:val="0"/>
      <w:divBdr>
        <w:top w:val="none" w:sz="0" w:space="0" w:color="auto"/>
        <w:left w:val="none" w:sz="0" w:space="0" w:color="auto"/>
        <w:bottom w:val="none" w:sz="0" w:space="0" w:color="auto"/>
        <w:right w:val="none" w:sz="0" w:space="0" w:color="auto"/>
      </w:divBdr>
    </w:div>
    <w:div w:id="1893689838">
      <w:bodyDiv w:val="1"/>
      <w:marLeft w:val="0"/>
      <w:marRight w:val="0"/>
      <w:marTop w:val="0"/>
      <w:marBottom w:val="0"/>
      <w:divBdr>
        <w:top w:val="none" w:sz="0" w:space="0" w:color="auto"/>
        <w:left w:val="none" w:sz="0" w:space="0" w:color="auto"/>
        <w:bottom w:val="none" w:sz="0" w:space="0" w:color="auto"/>
        <w:right w:val="none" w:sz="0" w:space="0" w:color="auto"/>
      </w:divBdr>
    </w:div>
    <w:div w:id="1893692489">
      <w:bodyDiv w:val="1"/>
      <w:marLeft w:val="0"/>
      <w:marRight w:val="0"/>
      <w:marTop w:val="0"/>
      <w:marBottom w:val="0"/>
      <w:divBdr>
        <w:top w:val="none" w:sz="0" w:space="0" w:color="auto"/>
        <w:left w:val="none" w:sz="0" w:space="0" w:color="auto"/>
        <w:bottom w:val="none" w:sz="0" w:space="0" w:color="auto"/>
        <w:right w:val="none" w:sz="0" w:space="0" w:color="auto"/>
      </w:divBdr>
    </w:div>
    <w:div w:id="1893887161">
      <w:bodyDiv w:val="1"/>
      <w:marLeft w:val="0"/>
      <w:marRight w:val="0"/>
      <w:marTop w:val="0"/>
      <w:marBottom w:val="0"/>
      <w:divBdr>
        <w:top w:val="none" w:sz="0" w:space="0" w:color="auto"/>
        <w:left w:val="none" w:sz="0" w:space="0" w:color="auto"/>
        <w:bottom w:val="none" w:sz="0" w:space="0" w:color="auto"/>
        <w:right w:val="none" w:sz="0" w:space="0" w:color="auto"/>
      </w:divBdr>
    </w:div>
    <w:div w:id="1893925706">
      <w:bodyDiv w:val="1"/>
      <w:marLeft w:val="0"/>
      <w:marRight w:val="0"/>
      <w:marTop w:val="0"/>
      <w:marBottom w:val="0"/>
      <w:divBdr>
        <w:top w:val="none" w:sz="0" w:space="0" w:color="auto"/>
        <w:left w:val="none" w:sz="0" w:space="0" w:color="auto"/>
        <w:bottom w:val="none" w:sz="0" w:space="0" w:color="auto"/>
        <w:right w:val="none" w:sz="0" w:space="0" w:color="auto"/>
      </w:divBdr>
    </w:div>
    <w:div w:id="1893997086">
      <w:bodyDiv w:val="1"/>
      <w:marLeft w:val="0"/>
      <w:marRight w:val="0"/>
      <w:marTop w:val="0"/>
      <w:marBottom w:val="0"/>
      <w:divBdr>
        <w:top w:val="none" w:sz="0" w:space="0" w:color="auto"/>
        <w:left w:val="none" w:sz="0" w:space="0" w:color="auto"/>
        <w:bottom w:val="none" w:sz="0" w:space="0" w:color="auto"/>
        <w:right w:val="none" w:sz="0" w:space="0" w:color="auto"/>
      </w:divBdr>
    </w:div>
    <w:div w:id="1894072035">
      <w:bodyDiv w:val="1"/>
      <w:marLeft w:val="0"/>
      <w:marRight w:val="0"/>
      <w:marTop w:val="0"/>
      <w:marBottom w:val="0"/>
      <w:divBdr>
        <w:top w:val="none" w:sz="0" w:space="0" w:color="auto"/>
        <w:left w:val="none" w:sz="0" w:space="0" w:color="auto"/>
        <w:bottom w:val="none" w:sz="0" w:space="0" w:color="auto"/>
        <w:right w:val="none" w:sz="0" w:space="0" w:color="auto"/>
      </w:divBdr>
    </w:div>
    <w:div w:id="1894073232">
      <w:bodyDiv w:val="1"/>
      <w:marLeft w:val="0"/>
      <w:marRight w:val="0"/>
      <w:marTop w:val="0"/>
      <w:marBottom w:val="0"/>
      <w:divBdr>
        <w:top w:val="none" w:sz="0" w:space="0" w:color="auto"/>
        <w:left w:val="none" w:sz="0" w:space="0" w:color="auto"/>
        <w:bottom w:val="none" w:sz="0" w:space="0" w:color="auto"/>
        <w:right w:val="none" w:sz="0" w:space="0" w:color="auto"/>
      </w:divBdr>
    </w:div>
    <w:div w:id="1894076639">
      <w:bodyDiv w:val="1"/>
      <w:marLeft w:val="0"/>
      <w:marRight w:val="0"/>
      <w:marTop w:val="0"/>
      <w:marBottom w:val="0"/>
      <w:divBdr>
        <w:top w:val="none" w:sz="0" w:space="0" w:color="auto"/>
        <w:left w:val="none" w:sz="0" w:space="0" w:color="auto"/>
        <w:bottom w:val="none" w:sz="0" w:space="0" w:color="auto"/>
        <w:right w:val="none" w:sz="0" w:space="0" w:color="auto"/>
      </w:divBdr>
    </w:div>
    <w:div w:id="1894122159">
      <w:bodyDiv w:val="1"/>
      <w:marLeft w:val="0"/>
      <w:marRight w:val="0"/>
      <w:marTop w:val="0"/>
      <w:marBottom w:val="0"/>
      <w:divBdr>
        <w:top w:val="none" w:sz="0" w:space="0" w:color="auto"/>
        <w:left w:val="none" w:sz="0" w:space="0" w:color="auto"/>
        <w:bottom w:val="none" w:sz="0" w:space="0" w:color="auto"/>
        <w:right w:val="none" w:sz="0" w:space="0" w:color="auto"/>
      </w:divBdr>
    </w:div>
    <w:div w:id="1894147594">
      <w:bodyDiv w:val="1"/>
      <w:marLeft w:val="0"/>
      <w:marRight w:val="0"/>
      <w:marTop w:val="0"/>
      <w:marBottom w:val="0"/>
      <w:divBdr>
        <w:top w:val="none" w:sz="0" w:space="0" w:color="auto"/>
        <w:left w:val="none" w:sz="0" w:space="0" w:color="auto"/>
        <w:bottom w:val="none" w:sz="0" w:space="0" w:color="auto"/>
        <w:right w:val="none" w:sz="0" w:space="0" w:color="auto"/>
      </w:divBdr>
    </w:div>
    <w:div w:id="1894153084">
      <w:bodyDiv w:val="1"/>
      <w:marLeft w:val="0"/>
      <w:marRight w:val="0"/>
      <w:marTop w:val="0"/>
      <w:marBottom w:val="0"/>
      <w:divBdr>
        <w:top w:val="none" w:sz="0" w:space="0" w:color="auto"/>
        <w:left w:val="none" w:sz="0" w:space="0" w:color="auto"/>
        <w:bottom w:val="none" w:sz="0" w:space="0" w:color="auto"/>
        <w:right w:val="none" w:sz="0" w:space="0" w:color="auto"/>
      </w:divBdr>
    </w:div>
    <w:div w:id="1894390496">
      <w:bodyDiv w:val="1"/>
      <w:marLeft w:val="0"/>
      <w:marRight w:val="0"/>
      <w:marTop w:val="0"/>
      <w:marBottom w:val="0"/>
      <w:divBdr>
        <w:top w:val="none" w:sz="0" w:space="0" w:color="auto"/>
        <w:left w:val="none" w:sz="0" w:space="0" w:color="auto"/>
        <w:bottom w:val="none" w:sz="0" w:space="0" w:color="auto"/>
        <w:right w:val="none" w:sz="0" w:space="0" w:color="auto"/>
      </w:divBdr>
    </w:div>
    <w:div w:id="1894463844">
      <w:bodyDiv w:val="1"/>
      <w:marLeft w:val="0"/>
      <w:marRight w:val="0"/>
      <w:marTop w:val="0"/>
      <w:marBottom w:val="0"/>
      <w:divBdr>
        <w:top w:val="none" w:sz="0" w:space="0" w:color="auto"/>
        <w:left w:val="none" w:sz="0" w:space="0" w:color="auto"/>
        <w:bottom w:val="none" w:sz="0" w:space="0" w:color="auto"/>
        <w:right w:val="none" w:sz="0" w:space="0" w:color="auto"/>
      </w:divBdr>
    </w:div>
    <w:div w:id="1894467161">
      <w:bodyDiv w:val="1"/>
      <w:marLeft w:val="0"/>
      <w:marRight w:val="0"/>
      <w:marTop w:val="0"/>
      <w:marBottom w:val="0"/>
      <w:divBdr>
        <w:top w:val="none" w:sz="0" w:space="0" w:color="auto"/>
        <w:left w:val="none" w:sz="0" w:space="0" w:color="auto"/>
        <w:bottom w:val="none" w:sz="0" w:space="0" w:color="auto"/>
        <w:right w:val="none" w:sz="0" w:space="0" w:color="auto"/>
      </w:divBdr>
    </w:div>
    <w:div w:id="1894731572">
      <w:bodyDiv w:val="1"/>
      <w:marLeft w:val="0"/>
      <w:marRight w:val="0"/>
      <w:marTop w:val="0"/>
      <w:marBottom w:val="0"/>
      <w:divBdr>
        <w:top w:val="none" w:sz="0" w:space="0" w:color="auto"/>
        <w:left w:val="none" w:sz="0" w:space="0" w:color="auto"/>
        <w:bottom w:val="none" w:sz="0" w:space="0" w:color="auto"/>
        <w:right w:val="none" w:sz="0" w:space="0" w:color="auto"/>
      </w:divBdr>
    </w:div>
    <w:div w:id="1894735403">
      <w:bodyDiv w:val="1"/>
      <w:marLeft w:val="0"/>
      <w:marRight w:val="0"/>
      <w:marTop w:val="0"/>
      <w:marBottom w:val="0"/>
      <w:divBdr>
        <w:top w:val="none" w:sz="0" w:space="0" w:color="auto"/>
        <w:left w:val="none" w:sz="0" w:space="0" w:color="auto"/>
        <w:bottom w:val="none" w:sz="0" w:space="0" w:color="auto"/>
        <w:right w:val="none" w:sz="0" w:space="0" w:color="auto"/>
      </w:divBdr>
    </w:div>
    <w:div w:id="1894922164">
      <w:bodyDiv w:val="1"/>
      <w:marLeft w:val="0"/>
      <w:marRight w:val="0"/>
      <w:marTop w:val="0"/>
      <w:marBottom w:val="0"/>
      <w:divBdr>
        <w:top w:val="none" w:sz="0" w:space="0" w:color="auto"/>
        <w:left w:val="none" w:sz="0" w:space="0" w:color="auto"/>
        <w:bottom w:val="none" w:sz="0" w:space="0" w:color="auto"/>
        <w:right w:val="none" w:sz="0" w:space="0" w:color="auto"/>
      </w:divBdr>
    </w:div>
    <w:div w:id="1894923071">
      <w:bodyDiv w:val="1"/>
      <w:marLeft w:val="0"/>
      <w:marRight w:val="0"/>
      <w:marTop w:val="0"/>
      <w:marBottom w:val="0"/>
      <w:divBdr>
        <w:top w:val="none" w:sz="0" w:space="0" w:color="auto"/>
        <w:left w:val="none" w:sz="0" w:space="0" w:color="auto"/>
        <w:bottom w:val="none" w:sz="0" w:space="0" w:color="auto"/>
        <w:right w:val="none" w:sz="0" w:space="0" w:color="auto"/>
      </w:divBdr>
    </w:div>
    <w:div w:id="1894927492">
      <w:bodyDiv w:val="1"/>
      <w:marLeft w:val="0"/>
      <w:marRight w:val="0"/>
      <w:marTop w:val="0"/>
      <w:marBottom w:val="0"/>
      <w:divBdr>
        <w:top w:val="none" w:sz="0" w:space="0" w:color="auto"/>
        <w:left w:val="none" w:sz="0" w:space="0" w:color="auto"/>
        <w:bottom w:val="none" w:sz="0" w:space="0" w:color="auto"/>
        <w:right w:val="none" w:sz="0" w:space="0" w:color="auto"/>
      </w:divBdr>
    </w:div>
    <w:div w:id="1895040597">
      <w:bodyDiv w:val="1"/>
      <w:marLeft w:val="0"/>
      <w:marRight w:val="0"/>
      <w:marTop w:val="0"/>
      <w:marBottom w:val="0"/>
      <w:divBdr>
        <w:top w:val="none" w:sz="0" w:space="0" w:color="auto"/>
        <w:left w:val="none" w:sz="0" w:space="0" w:color="auto"/>
        <w:bottom w:val="none" w:sz="0" w:space="0" w:color="auto"/>
        <w:right w:val="none" w:sz="0" w:space="0" w:color="auto"/>
      </w:divBdr>
    </w:div>
    <w:div w:id="1895047678">
      <w:bodyDiv w:val="1"/>
      <w:marLeft w:val="0"/>
      <w:marRight w:val="0"/>
      <w:marTop w:val="0"/>
      <w:marBottom w:val="0"/>
      <w:divBdr>
        <w:top w:val="none" w:sz="0" w:space="0" w:color="auto"/>
        <w:left w:val="none" w:sz="0" w:space="0" w:color="auto"/>
        <w:bottom w:val="none" w:sz="0" w:space="0" w:color="auto"/>
        <w:right w:val="none" w:sz="0" w:space="0" w:color="auto"/>
      </w:divBdr>
    </w:div>
    <w:div w:id="1895115911">
      <w:bodyDiv w:val="1"/>
      <w:marLeft w:val="0"/>
      <w:marRight w:val="0"/>
      <w:marTop w:val="0"/>
      <w:marBottom w:val="0"/>
      <w:divBdr>
        <w:top w:val="none" w:sz="0" w:space="0" w:color="auto"/>
        <w:left w:val="none" w:sz="0" w:space="0" w:color="auto"/>
        <w:bottom w:val="none" w:sz="0" w:space="0" w:color="auto"/>
        <w:right w:val="none" w:sz="0" w:space="0" w:color="auto"/>
      </w:divBdr>
    </w:div>
    <w:div w:id="1895118530">
      <w:bodyDiv w:val="1"/>
      <w:marLeft w:val="0"/>
      <w:marRight w:val="0"/>
      <w:marTop w:val="0"/>
      <w:marBottom w:val="0"/>
      <w:divBdr>
        <w:top w:val="none" w:sz="0" w:space="0" w:color="auto"/>
        <w:left w:val="none" w:sz="0" w:space="0" w:color="auto"/>
        <w:bottom w:val="none" w:sz="0" w:space="0" w:color="auto"/>
        <w:right w:val="none" w:sz="0" w:space="0" w:color="auto"/>
      </w:divBdr>
    </w:div>
    <w:div w:id="1895194629">
      <w:bodyDiv w:val="1"/>
      <w:marLeft w:val="0"/>
      <w:marRight w:val="0"/>
      <w:marTop w:val="0"/>
      <w:marBottom w:val="0"/>
      <w:divBdr>
        <w:top w:val="none" w:sz="0" w:space="0" w:color="auto"/>
        <w:left w:val="none" w:sz="0" w:space="0" w:color="auto"/>
        <w:bottom w:val="none" w:sz="0" w:space="0" w:color="auto"/>
        <w:right w:val="none" w:sz="0" w:space="0" w:color="auto"/>
      </w:divBdr>
    </w:div>
    <w:div w:id="1895382788">
      <w:bodyDiv w:val="1"/>
      <w:marLeft w:val="0"/>
      <w:marRight w:val="0"/>
      <w:marTop w:val="0"/>
      <w:marBottom w:val="0"/>
      <w:divBdr>
        <w:top w:val="none" w:sz="0" w:space="0" w:color="auto"/>
        <w:left w:val="none" w:sz="0" w:space="0" w:color="auto"/>
        <w:bottom w:val="none" w:sz="0" w:space="0" w:color="auto"/>
        <w:right w:val="none" w:sz="0" w:space="0" w:color="auto"/>
      </w:divBdr>
    </w:div>
    <w:div w:id="1895383026">
      <w:bodyDiv w:val="1"/>
      <w:marLeft w:val="0"/>
      <w:marRight w:val="0"/>
      <w:marTop w:val="0"/>
      <w:marBottom w:val="0"/>
      <w:divBdr>
        <w:top w:val="none" w:sz="0" w:space="0" w:color="auto"/>
        <w:left w:val="none" w:sz="0" w:space="0" w:color="auto"/>
        <w:bottom w:val="none" w:sz="0" w:space="0" w:color="auto"/>
        <w:right w:val="none" w:sz="0" w:space="0" w:color="auto"/>
      </w:divBdr>
    </w:div>
    <w:div w:id="1895458157">
      <w:bodyDiv w:val="1"/>
      <w:marLeft w:val="0"/>
      <w:marRight w:val="0"/>
      <w:marTop w:val="0"/>
      <w:marBottom w:val="0"/>
      <w:divBdr>
        <w:top w:val="none" w:sz="0" w:space="0" w:color="auto"/>
        <w:left w:val="none" w:sz="0" w:space="0" w:color="auto"/>
        <w:bottom w:val="none" w:sz="0" w:space="0" w:color="auto"/>
        <w:right w:val="none" w:sz="0" w:space="0" w:color="auto"/>
      </w:divBdr>
    </w:div>
    <w:div w:id="1895463987">
      <w:bodyDiv w:val="1"/>
      <w:marLeft w:val="0"/>
      <w:marRight w:val="0"/>
      <w:marTop w:val="0"/>
      <w:marBottom w:val="0"/>
      <w:divBdr>
        <w:top w:val="none" w:sz="0" w:space="0" w:color="auto"/>
        <w:left w:val="none" w:sz="0" w:space="0" w:color="auto"/>
        <w:bottom w:val="none" w:sz="0" w:space="0" w:color="auto"/>
        <w:right w:val="none" w:sz="0" w:space="0" w:color="auto"/>
      </w:divBdr>
    </w:div>
    <w:div w:id="1895577203">
      <w:bodyDiv w:val="1"/>
      <w:marLeft w:val="0"/>
      <w:marRight w:val="0"/>
      <w:marTop w:val="0"/>
      <w:marBottom w:val="0"/>
      <w:divBdr>
        <w:top w:val="none" w:sz="0" w:space="0" w:color="auto"/>
        <w:left w:val="none" w:sz="0" w:space="0" w:color="auto"/>
        <w:bottom w:val="none" w:sz="0" w:space="0" w:color="auto"/>
        <w:right w:val="none" w:sz="0" w:space="0" w:color="auto"/>
      </w:divBdr>
    </w:div>
    <w:div w:id="1895891719">
      <w:bodyDiv w:val="1"/>
      <w:marLeft w:val="0"/>
      <w:marRight w:val="0"/>
      <w:marTop w:val="0"/>
      <w:marBottom w:val="0"/>
      <w:divBdr>
        <w:top w:val="none" w:sz="0" w:space="0" w:color="auto"/>
        <w:left w:val="none" w:sz="0" w:space="0" w:color="auto"/>
        <w:bottom w:val="none" w:sz="0" w:space="0" w:color="auto"/>
        <w:right w:val="none" w:sz="0" w:space="0" w:color="auto"/>
      </w:divBdr>
    </w:div>
    <w:div w:id="1895966370">
      <w:bodyDiv w:val="1"/>
      <w:marLeft w:val="0"/>
      <w:marRight w:val="0"/>
      <w:marTop w:val="0"/>
      <w:marBottom w:val="0"/>
      <w:divBdr>
        <w:top w:val="none" w:sz="0" w:space="0" w:color="auto"/>
        <w:left w:val="none" w:sz="0" w:space="0" w:color="auto"/>
        <w:bottom w:val="none" w:sz="0" w:space="0" w:color="auto"/>
        <w:right w:val="none" w:sz="0" w:space="0" w:color="auto"/>
      </w:divBdr>
    </w:div>
    <w:div w:id="1895971702">
      <w:bodyDiv w:val="1"/>
      <w:marLeft w:val="0"/>
      <w:marRight w:val="0"/>
      <w:marTop w:val="0"/>
      <w:marBottom w:val="0"/>
      <w:divBdr>
        <w:top w:val="none" w:sz="0" w:space="0" w:color="auto"/>
        <w:left w:val="none" w:sz="0" w:space="0" w:color="auto"/>
        <w:bottom w:val="none" w:sz="0" w:space="0" w:color="auto"/>
        <w:right w:val="none" w:sz="0" w:space="0" w:color="auto"/>
      </w:divBdr>
    </w:div>
    <w:div w:id="1896120293">
      <w:bodyDiv w:val="1"/>
      <w:marLeft w:val="0"/>
      <w:marRight w:val="0"/>
      <w:marTop w:val="0"/>
      <w:marBottom w:val="0"/>
      <w:divBdr>
        <w:top w:val="none" w:sz="0" w:space="0" w:color="auto"/>
        <w:left w:val="none" w:sz="0" w:space="0" w:color="auto"/>
        <w:bottom w:val="none" w:sz="0" w:space="0" w:color="auto"/>
        <w:right w:val="none" w:sz="0" w:space="0" w:color="auto"/>
      </w:divBdr>
    </w:div>
    <w:div w:id="1896164111">
      <w:bodyDiv w:val="1"/>
      <w:marLeft w:val="0"/>
      <w:marRight w:val="0"/>
      <w:marTop w:val="0"/>
      <w:marBottom w:val="0"/>
      <w:divBdr>
        <w:top w:val="none" w:sz="0" w:space="0" w:color="auto"/>
        <w:left w:val="none" w:sz="0" w:space="0" w:color="auto"/>
        <w:bottom w:val="none" w:sz="0" w:space="0" w:color="auto"/>
        <w:right w:val="none" w:sz="0" w:space="0" w:color="auto"/>
      </w:divBdr>
    </w:div>
    <w:div w:id="1896355806">
      <w:bodyDiv w:val="1"/>
      <w:marLeft w:val="0"/>
      <w:marRight w:val="0"/>
      <w:marTop w:val="0"/>
      <w:marBottom w:val="0"/>
      <w:divBdr>
        <w:top w:val="none" w:sz="0" w:space="0" w:color="auto"/>
        <w:left w:val="none" w:sz="0" w:space="0" w:color="auto"/>
        <w:bottom w:val="none" w:sz="0" w:space="0" w:color="auto"/>
        <w:right w:val="none" w:sz="0" w:space="0" w:color="auto"/>
      </w:divBdr>
    </w:div>
    <w:div w:id="1896430940">
      <w:bodyDiv w:val="1"/>
      <w:marLeft w:val="0"/>
      <w:marRight w:val="0"/>
      <w:marTop w:val="0"/>
      <w:marBottom w:val="0"/>
      <w:divBdr>
        <w:top w:val="none" w:sz="0" w:space="0" w:color="auto"/>
        <w:left w:val="none" w:sz="0" w:space="0" w:color="auto"/>
        <w:bottom w:val="none" w:sz="0" w:space="0" w:color="auto"/>
        <w:right w:val="none" w:sz="0" w:space="0" w:color="auto"/>
      </w:divBdr>
    </w:div>
    <w:div w:id="1896431838">
      <w:bodyDiv w:val="1"/>
      <w:marLeft w:val="0"/>
      <w:marRight w:val="0"/>
      <w:marTop w:val="0"/>
      <w:marBottom w:val="0"/>
      <w:divBdr>
        <w:top w:val="none" w:sz="0" w:space="0" w:color="auto"/>
        <w:left w:val="none" w:sz="0" w:space="0" w:color="auto"/>
        <w:bottom w:val="none" w:sz="0" w:space="0" w:color="auto"/>
        <w:right w:val="none" w:sz="0" w:space="0" w:color="auto"/>
      </w:divBdr>
    </w:div>
    <w:div w:id="1896500667">
      <w:bodyDiv w:val="1"/>
      <w:marLeft w:val="0"/>
      <w:marRight w:val="0"/>
      <w:marTop w:val="0"/>
      <w:marBottom w:val="0"/>
      <w:divBdr>
        <w:top w:val="none" w:sz="0" w:space="0" w:color="auto"/>
        <w:left w:val="none" w:sz="0" w:space="0" w:color="auto"/>
        <w:bottom w:val="none" w:sz="0" w:space="0" w:color="auto"/>
        <w:right w:val="none" w:sz="0" w:space="0" w:color="auto"/>
      </w:divBdr>
    </w:div>
    <w:div w:id="1896507826">
      <w:bodyDiv w:val="1"/>
      <w:marLeft w:val="0"/>
      <w:marRight w:val="0"/>
      <w:marTop w:val="0"/>
      <w:marBottom w:val="0"/>
      <w:divBdr>
        <w:top w:val="none" w:sz="0" w:space="0" w:color="auto"/>
        <w:left w:val="none" w:sz="0" w:space="0" w:color="auto"/>
        <w:bottom w:val="none" w:sz="0" w:space="0" w:color="auto"/>
        <w:right w:val="none" w:sz="0" w:space="0" w:color="auto"/>
      </w:divBdr>
    </w:div>
    <w:div w:id="1896509384">
      <w:bodyDiv w:val="1"/>
      <w:marLeft w:val="0"/>
      <w:marRight w:val="0"/>
      <w:marTop w:val="0"/>
      <w:marBottom w:val="0"/>
      <w:divBdr>
        <w:top w:val="none" w:sz="0" w:space="0" w:color="auto"/>
        <w:left w:val="none" w:sz="0" w:space="0" w:color="auto"/>
        <w:bottom w:val="none" w:sz="0" w:space="0" w:color="auto"/>
        <w:right w:val="none" w:sz="0" w:space="0" w:color="auto"/>
      </w:divBdr>
    </w:div>
    <w:div w:id="1896694845">
      <w:bodyDiv w:val="1"/>
      <w:marLeft w:val="0"/>
      <w:marRight w:val="0"/>
      <w:marTop w:val="0"/>
      <w:marBottom w:val="0"/>
      <w:divBdr>
        <w:top w:val="none" w:sz="0" w:space="0" w:color="auto"/>
        <w:left w:val="none" w:sz="0" w:space="0" w:color="auto"/>
        <w:bottom w:val="none" w:sz="0" w:space="0" w:color="auto"/>
        <w:right w:val="none" w:sz="0" w:space="0" w:color="auto"/>
      </w:divBdr>
    </w:div>
    <w:div w:id="1896774270">
      <w:bodyDiv w:val="1"/>
      <w:marLeft w:val="0"/>
      <w:marRight w:val="0"/>
      <w:marTop w:val="0"/>
      <w:marBottom w:val="0"/>
      <w:divBdr>
        <w:top w:val="none" w:sz="0" w:space="0" w:color="auto"/>
        <w:left w:val="none" w:sz="0" w:space="0" w:color="auto"/>
        <w:bottom w:val="none" w:sz="0" w:space="0" w:color="auto"/>
        <w:right w:val="none" w:sz="0" w:space="0" w:color="auto"/>
      </w:divBdr>
    </w:div>
    <w:div w:id="1896811118">
      <w:bodyDiv w:val="1"/>
      <w:marLeft w:val="0"/>
      <w:marRight w:val="0"/>
      <w:marTop w:val="0"/>
      <w:marBottom w:val="0"/>
      <w:divBdr>
        <w:top w:val="none" w:sz="0" w:space="0" w:color="auto"/>
        <w:left w:val="none" w:sz="0" w:space="0" w:color="auto"/>
        <w:bottom w:val="none" w:sz="0" w:space="0" w:color="auto"/>
        <w:right w:val="none" w:sz="0" w:space="0" w:color="auto"/>
      </w:divBdr>
    </w:div>
    <w:div w:id="1896811655">
      <w:bodyDiv w:val="1"/>
      <w:marLeft w:val="0"/>
      <w:marRight w:val="0"/>
      <w:marTop w:val="0"/>
      <w:marBottom w:val="0"/>
      <w:divBdr>
        <w:top w:val="none" w:sz="0" w:space="0" w:color="auto"/>
        <w:left w:val="none" w:sz="0" w:space="0" w:color="auto"/>
        <w:bottom w:val="none" w:sz="0" w:space="0" w:color="auto"/>
        <w:right w:val="none" w:sz="0" w:space="0" w:color="auto"/>
      </w:divBdr>
    </w:div>
    <w:div w:id="1896817642">
      <w:bodyDiv w:val="1"/>
      <w:marLeft w:val="0"/>
      <w:marRight w:val="0"/>
      <w:marTop w:val="0"/>
      <w:marBottom w:val="0"/>
      <w:divBdr>
        <w:top w:val="none" w:sz="0" w:space="0" w:color="auto"/>
        <w:left w:val="none" w:sz="0" w:space="0" w:color="auto"/>
        <w:bottom w:val="none" w:sz="0" w:space="0" w:color="auto"/>
        <w:right w:val="none" w:sz="0" w:space="0" w:color="auto"/>
      </w:divBdr>
    </w:div>
    <w:div w:id="1896893338">
      <w:bodyDiv w:val="1"/>
      <w:marLeft w:val="0"/>
      <w:marRight w:val="0"/>
      <w:marTop w:val="0"/>
      <w:marBottom w:val="0"/>
      <w:divBdr>
        <w:top w:val="none" w:sz="0" w:space="0" w:color="auto"/>
        <w:left w:val="none" w:sz="0" w:space="0" w:color="auto"/>
        <w:bottom w:val="none" w:sz="0" w:space="0" w:color="auto"/>
        <w:right w:val="none" w:sz="0" w:space="0" w:color="auto"/>
      </w:divBdr>
    </w:div>
    <w:div w:id="1897005455">
      <w:bodyDiv w:val="1"/>
      <w:marLeft w:val="0"/>
      <w:marRight w:val="0"/>
      <w:marTop w:val="0"/>
      <w:marBottom w:val="0"/>
      <w:divBdr>
        <w:top w:val="none" w:sz="0" w:space="0" w:color="auto"/>
        <w:left w:val="none" w:sz="0" w:space="0" w:color="auto"/>
        <w:bottom w:val="none" w:sz="0" w:space="0" w:color="auto"/>
        <w:right w:val="none" w:sz="0" w:space="0" w:color="auto"/>
      </w:divBdr>
    </w:div>
    <w:div w:id="1897013624">
      <w:bodyDiv w:val="1"/>
      <w:marLeft w:val="0"/>
      <w:marRight w:val="0"/>
      <w:marTop w:val="0"/>
      <w:marBottom w:val="0"/>
      <w:divBdr>
        <w:top w:val="none" w:sz="0" w:space="0" w:color="auto"/>
        <w:left w:val="none" w:sz="0" w:space="0" w:color="auto"/>
        <w:bottom w:val="none" w:sz="0" w:space="0" w:color="auto"/>
        <w:right w:val="none" w:sz="0" w:space="0" w:color="auto"/>
      </w:divBdr>
    </w:div>
    <w:div w:id="1897080791">
      <w:bodyDiv w:val="1"/>
      <w:marLeft w:val="0"/>
      <w:marRight w:val="0"/>
      <w:marTop w:val="0"/>
      <w:marBottom w:val="0"/>
      <w:divBdr>
        <w:top w:val="none" w:sz="0" w:space="0" w:color="auto"/>
        <w:left w:val="none" w:sz="0" w:space="0" w:color="auto"/>
        <w:bottom w:val="none" w:sz="0" w:space="0" w:color="auto"/>
        <w:right w:val="none" w:sz="0" w:space="0" w:color="auto"/>
      </w:divBdr>
    </w:div>
    <w:div w:id="1897086558">
      <w:bodyDiv w:val="1"/>
      <w:marLeft w:val="0"/>
      <w:marRight w:val="0"/>
      <w:marTop w:val="0"/>
      <w:marBottom w:val="0"/>
      <w:divBdr>
        <w:top w:val="none" w:sz="0" w:space="0" w:color="auto"/>
        <w:left w:val="none" w:sz="0" w:space="0" w:color="auto"/>
        <w:bottom w:val="none" w:sz="0" w:space="0" w:color="auto"/>
        <w:right w:val="none" w:sz="0" w:space="0" w:color="auto"/>
      </w:divBdr>
    </w:div>
    <w:div w:id="1897230729">
      <w:bodyDiv w:val="1"/>
      <w:marLeft w:val="0"/>
      <w:marRight w:val="0"/>
      <w:marTop w:val="0"/>
      <w:marBottom w:val="0"/>
      <w:divBdr>
        <w:top w:val="none" w:sz="0" w:space="0" w:color="auto"/>
        <w:left w:val="none" w:sz="0" w:space="0" w:color="auto"/>
        <w:bottom w:val="none" w:sz="0" w:space="0" w:color="auto"/>
        <w:right w:val="none" w:sz="0" w:space="0" w:color="auto"/>
      </w:divBdr>
    </w:div>
    <w:div w:id="1897280034">
      <w:bodyDiv w:val="1"/>
      <w:marLeft w:val="0"/>
      <w:marRight w:val="0"/>
      <w:marTop w:val="0"/>
      <w:marBottom w:val="0"/>
      <w:divBdr>
        <w:top w:val="none" w:sz="0" w:space="0" w:color="auto"/>
        <w:left w:val="none" w:sz="0" w:space="0" w:color="auto"/>
        <w:bottom w:val="none" w:sz="0" w:space="0" w:color="auto"/>
        <w:right w:val="none" w:sz="0" w:space="0" w:color="auto"/>
      </w:divBdr>
    </w:div>
    <w:div w:id="1897356065">
      <w:bodyDiv w:val="1"/>
      <w:marLeft w:val="0"/>
      <w:marRight w:val="0"/>
      <w:marTop w:val="0"/>
      <w:marBottom w:val="0"/>
      <w:divBdr>
        <w:top w:val="none" w:sz="0" w:space="0" w:color="auto"/>
        <w:left w:val="none" w:sz="0" w:space="0" w:color="auto"/>
        <w:bottom w:val="none" w:sz="0" w:space="0" w:color="auto"/>
        <w:right w:val="none" w:sz="0" w:space="0" w:color="auto"/>
      </w:divBdr>
    </w:div>
    <w:div w:id="1897618999">
      <w:bodyDiv w:val="1"/>
      <w:marLeft w:val="0"/>
      <w:marRight w:val="0"/>
      <w:marTop w:val="0"/>
      <w:marBottom w:val="0"/>
      <w:divBdr>
        <w:top w:val="none" w:sz="0" w:space="0" w:color="auto"/>
        <w:left w:val="none" w:sz="0" w:space="0" w:color="auto"/>
        <w:bottom w:val="none" w:sz="0" w:space="0" w:color="auto"/>
        <w:right w:val="none" w:sz="0" w:space="0" w:color="auto"/>
      </w:divBdr>
    </w:div>
    <w:div w:id="1897735584">
      <w:bodyDiv w:val="1"/>
      <w:marLeft w:val="0"/>
      <w:marRight w:val="0"/>
      <w:marTop w:val="0"/>
      <w:marBottom w:val="0"/>
      <w:divBdr>
        <w:top w:val="none" w:sz="0" w:space="0" w:color="auto"/>
        <w:left w:val="none" w:sz="0" w:space="0" w:color="auto"/>
        <w:bottom w:val="none" w:sz="0" w:space="0" w:color="auto"/>
        <w:right w:val="none" w:sz="0" w:space="0" w:color="auto"/>
      </w:divBdr>
    </w:div>
    <w:div w:id="1897812314">
      <w:bodyDiv w:val="1"/>
      <w:marLeft w:val="0"/>
      <w:marRight w:val="0"/>
      <w:marTop w:val="0"/>
      <w:marBottom w:val="0"/>
      <w:divBdr>
        <w:top w:val="none" w:sz="0" w:space="0" w:color="auto"/>
        <w:left w:val="none" w:sz="0" w:space="0" w:color="auto"/>
        <w:bottom w:val="none" w:sz="0" w:space="0" w:color="auto"/>
        <w:right w:val="none" w:sz="0" w:space="0" w:color="auto"/>
      </w:divBdr>
    </w:div>
    <w:div w:id="1897887969">
      <w:bodyDiv w:val="1"/>
      <w:marLeft w:val="0"/>
      <w:marRight w:val="0"/>
      <w:marTop w:val="0"/>
      <w:marBottom w:val="0"/>
      <w:divBdr>
        <w:top w:val="none" w:sz="0" w:space="0" w:color="auto"/>
        <w:left w:val="none" w:sz="0" w:space="0" w:color="auto"/>
        <w:bottom w:val="none" w:sz="0" w:space="0" w:color="auto"/>
        <w:right w:val="none" w:sz="0" w:space="0" w:color="auto"/>
      </w:divBdr>
    </w:div>
    <w:div w:id="1898080110">
      <w:bodyDiv w:val="1"/>
      <w:marLeft w:val="0"/>
      <w:marRight w:val="0"/>
      <w:marTop w:val="0"/>
      <w:marBottom w:val="0"/>
      <w:divBdr>
        <w:top w:val="none" w:sz="0" w:space="0" w:color="auto"/>
        <w:left w:val="none" w:sz="0" w:space="0" w:color="auto"/>
        <w:bottom w:val="none" w:sz="0" w:space="0" w:color="auto"/>
        <w:right w:val="none" w:sz="0" w:space="0" w:color="auto"/>
      </w:divBdr>
    </w:div>
    <w:div w:id="1898199624">
      <w:bodyDiv w:val="1"/>
      <w:marLeft w:val="0"/>
      <w:marRight w:val="0"/>
      <w:marTop w:val="0"/>
      <w:marBottom w:val="0"/>
      <w:divBdr>
        <w:top w:val="none" w:sz="0" w:space="0" w:color="auto"/>
        <w:left w:val="none" w:sz="0" w:space="0" w:color="auto"/>
        <w:bottom w:val="none" w:sz="0" w:space="0" w:color="auto"/>
        <w:right w:val="none" w:sz="0" w:space="0" w:color="auto"/>
      </w:divBdr>
    </w:div>
    <w:div w:id="1898279772">
      <w:bodyDiv w:val="1"/>
      <w:marLeft w:val="0"/>
      <w:marRight w:val="0"/>
      <w:marTop w:val="0"/>
      <w:marBottom w:val="0"/>
      <w:divBdr>
        <w:top w:val="none" w:sz="0" w:space="0" w:color="auto"/>
        <w:left w:val="none" w:sz="0" w:space="0" w:color="auto"/>
        <w:bottom w:val="none" w:sz="0" w:space="0" w:color="auto"/>
        <w:right w:val="none" w:sz="0" w:space="0" w:color="auto"/>
      </w:divBdr>
    </w:div>
    <w:div w:id="1898318858">
      <w:bodyDiv w:val="1"/>
      <w:marLeft w:val="0"/>
      <w:marRight w:val="0"/>
      <w:marTop w:val="0"/>
      <w:marBottom w:val="0"/>
      <w:divBdr>
        <w:top w:val="none" w:sz="0" w:space="0" w:color="auto"/>
        <w:left w:val="none" w:sz="0" w:space="0" w:color="auto"/>
        <w:bottom w:val="none" w:sz="0" w:space="0" w:color="auto"/>
        <w:right w:val="none" w:sz="0" w:space="0" w:color="auto"/>
      </w:divBdr>
    </w:div>
    <w:div w:id="1898472971">
      <w:bodyDiv w:val="1"/>
      <w:marLeft w:val="0"/>
      <w:marRight w:val="0"/>
      <w:marTop w:val="0"/>
      <w:marBottom w:val="0"/>
      <w:divBdr>
        <w:top w:val="none" w:sz="0" w:space="0" w:color="auto"/>
        <w:left w:val="none" w:sz="0" w:space="0" w:color="auto"/>
        <w:bottom w:val="none" w:sz="0" w:space="0" w:color="auto"/>
        <w:right w:val="none" w:sz="0" w:space="0" w:color="auto"/>
      </w:divBdr>
    </w:div>
    <w:div w:id="1898475195">
      <w:bodyDiv w:val="1"/>
      <w:marLeft w:val="0"/>
      <w:marRight w:val="0"/>
      <w:marTop w:val="0"/>
      <w:marBottom w:val="0"/>
      <w:divBdr>
        <w:top w:val="none" w:sz="0" w:space="0" w:color="auto"/>
        <w:left w:val="none" w:sz="0" w:space="0" w:color="auto"/>
        <w:bottom w:val="none" w:sz="0" w:space="0" w:color="auto"/>
        <w:right w:val="none" w:sz="0" w:space="0" w:color="auto"/>
      </w:divBdr>
    </w:div>
    <w:div w:id="1898545113">
      <w:bodyDiv w:val="1"/>
      <w:marLeft w:val="0"/>
      <w:marRight w:val="0"/>
      <w:marTop w:val="0"/>
      <w:marBottom w:val="0"/>
      <w:divBdr>
        <w:top w:val="none" w:sz="0" w:space="0" w:color="auto"/>
        <w:left w:val="none" w:sz="0" w:space="0" w:color="auto"/>
        <w:bottom w:val="none" w:sz="0" w:space="0" w:color="auto"/>
        <w:right w:val="none" w:sz="0" w:space="0" w:color="auto"/>
      </w:divBdr>
    </w:div>
    <w:div w:id="1898588365">
      <w:bodyDiv w:val="1"/>
      <w:marLeft w:val="0"/>
      <w:marRight w:val="0"/>
      <w:marTop w:val="0"/>
      <w:marBottom w:val="0"/>
      <w:divBdr>
        <w:top w:val="none" w:sz="0" w:space="0" w:color="auto"/>
        <w:left w:val="none" w:sz="0" w:space="0" w:color="auto"/>
        <w:bottom w:val="none" w:sz="0" w:space="0" w:color="auto"/>
        <w:right w:val="none" w:sz="0" w:space="0" w:color="auto"/>
      </w:divBdr>
    </w:div>
    <w:div w:id="1898659513">
      <w:bodyDiv w:val="1"/>
      <w:marLeft w:val="0"/>
      <w:marRight w:val="0"/>
      <w:marTop w:val="0"/>
      <w:marBottom w:val="0"/>
      <w:divBdr>
        <w:top w:val="none" w:sz="0" w:space="0" w:color="auto"/>
        <w:left w:val="none" w:sz="0" w:space="0" w:color="auto"/>
        <w:bottom w:val="none" w:sz="0" w:space="0" w:color="auto"/>
        <w:right w:val="none" w:sz="0" w:space="0" w:color="auto"/>
      </w:divBdr>
    </w:div>
    <w:div w:id="1898741737">
      <w:bodyDiv w:val="1"/>
      <w:marLeft w:val="0"/>
      <w:marRight w:val="0"/>
      <w:marTop w:val="0"/>
      <w:marBottom w:val="0"/>
      <w:divBdr>
        <w:top w:val="none" w:sz="0" w:space="0" w:color="auto"/>
        <w:left w:val="none" w:sz="0" w:space="0" w:color="auto"/>
        <w:bottom w:val="none" w:sz="0" w:space="0" w:color="auto"/>
        <w:right w:val="none" w:sz="0" w:space="0" w:color="auto"/>
      </w:divBdr>
    </w:div>
    <w:div w:id="1898778092">
      <w:bodyDiv w:val="1"/>
      <w:marLeft w:val="0"/>
      <w:marRight w:val="0"/>
      <w:marTop w:val="0"/>
      <w:marBottom w:val="0"/>
      <w:divBdr>
        <w:top w:val="none" w:sz="0" w:space="0" w:color="auto"/>
        <w:left w:val="none" w:sz="0" w:space="0" w:color="auto"/>
        <w:bottom w:val="none" w:sz="0" w:space="0" w:color="auto"/>
        <w:right w:val="none" w:sz="0" w:space="0" w:color="auto"/>
      </w:divBdr>
    </w:div>
    <w:div w:id="1898860044">
      <w:bodyDiv w:val="1"/>
      <w:marLeft w:val="0"/>
      <w:marRight w:val="0"/>
      <w:marTop w:val="0"/>
      <w:marBottom w:val="0"/>
      <w:divBdr>
        <w:top w:val="none" w:sz="0" w:space="0" w:color="auto"/>
        <w:left w:val="none" w:sz="0" w:space="0" w:color="auto"/>
        <w:bottom w:val="none" w:sz="0" w:space="0" w:color="auto"/>
        <w:right w:val="none" w:sz="0" w:space="0" w:color="auto"/>
      </w:divBdr>
    </w:div>
    <w:div w:id="1898975518">
      <w:bodyDiv w:val="1"/>
      <w:marLeft w:val="0"/>
      <w:marRight w:val="0"/>
      <w:marTop w:val="0"/>
      <w:marBottom w:val="0"/>
      <w:divBdr>
        <w:top w:val="none" w:sz="0" w:space="0" w:color="auto"/>
        <w:left w:val="none" w:sz="0" w:space="0" w:color="auto"/>
        <w:bottom w:val="none" w:sz="0" w:space="0" w:color="auto"/>
        <w:right w:val="none" w:sz="0" w:space="0" w:color="auto"/>
      </w:divBdr>
    </w:div>
    <w:div w:id="1898975969">
      <w:bodyDiv w:val="1"/>
      <w:marLeft w:val="0"/>
      <w:marRight w:val="0"/>
      <w:marTop w:val="0"/>
      <w:marBottom w:val="0"/>
      <w:divBdr>
        <w:top w:val="none" w:sz="0" w:space="0" w:color="auto"/>
        <w:left w:val="none" w:sz="0" w:space="0" w:color="auto"/>
        <w:bottom w:val="none" w:sz="0" w:space="0" w:color="auto"/>
        <w:right w:val="none" w:sz="0" w:space="0" w:color="auto"/>
      </w:divBdr>
    </w:div>
    <w:div w:id="1899048679">
      <w:bodyDiv w:val="1"/>
      <w:marLeft w:val="0"/>
      <w:marRight w:val="0"/>
      <w:marTop w:val="0"/>
      <w:marBottom w:val="0"/>
      <w:divBdr>
        <w:top w:val="none" w:sz="0" w:space="0" w:color="auto"/>
        <w:left w:val="none" w:sz="0" w:space="0" w:color="auto"/>
        <w:bottom w:val="none" w:sz="0" w:space="0" w:color="auto"/>
        <w:right w:val="none" w:sz="0" w:space="0" w:color="auto"/>
      </w:divBdr>
    </w:div>
    <w:div w:id="1899049059">
      <w:bodyDiv w:val="1"/>
      <w:marLeft w:val="0"/>
      <w:marRight w:val="0"/>
      <w:marTop w:val="0"/>
      <w:marBottom w:val="0"/>
      <w:divBdr>
        <w:top w:val="none" w:sz="0" w:space="0" w:color="auto"/>
        <w:left w:val="none" w:sz="0" w:space="0" w:color="auto"/>
        <w:bottom w:val="none" w:sz="0" w:space="0" w:color="auto"/>
        <w:right w:val="none" w:sz="0" w:space="0" w:color="auto"/>
      </w:divBdr>
    </w:div>
    <w:div w:id="1899050734">
      <w:bodyDiv w:val="1"/>
      <w:marLeft w:val="0"/>
      <w:marRight w:val="0"/>
      <w:marTop w:val="0"/>
      <w:marBottom w:val="0"/>
      <w:divBdr>
        <w:top w:val="none" w:sz="0" w:space="0" w:color="auto"/>
        <w:left w:val="none" w:sz="0" w:space="0" w:color="auto"/>
        <w:bottom w:val="none" w:sz="0" w:space="0" w:color="auto"/>
        <w:right w:val="none" w:sz="0" w:space="0" w:color="auto"/>
      </w:divBdr>
    </w:div>
    <w:div w:id="1899054119">
      <w:bodyDiv w:val="1"/>
      <w:marLeft w:val="0"/>
      <w:marRight w:val="0"/>
      <w:marTop w:val="0"/>
      <w:marBottom w:val="0"/>
      <w:divBdr>
        <w:top w:val="none" w:sz="0" w:space="0" w:color="auto"/>
        <w:left w:val="none" w:sz="0" w:space="0" w:color="auto"/>
        <w:bottom w:val="none" w:sz="0" w:space="0" w:color="auto"/>
        <w:right w:val="none" w:sz="0" w:space="0" w:color="auto"/>
      </w:divBdr>
    </w:div>
    <w:div w:id="1899321287">
      <w:bodyDiv w:val="1"/>
      <w:marLeft w:val="0"/>
      <w:marRight w:val="0"/>
      <w:marTop w:val="0"/>
      <w:marBottom w:val="0"/>
      <w:divBdr>
        <w:top w:val="none" w:sz="0" w:space="0" w:color="auto"/>
        <w:left w:val="none" w:sz="0" w:space="0" w:color="auto"/>
        <w:bottom w:val="none" w:sz="0" w:space="0" w:color="auto"/>
        <w:right w:val="none" w:sz="0" w:space="0" w:color="auto"/>
      </w:divBdr>
    </w:div>
    <w:div w:id="1899365545">
      <w:bodyDiv w:val="1"/>
      <w:marLeft w:val="0"/>
      <w:marRight w:val="0"/>
      <w:marTop w:val="0"/>
      <w:marBottom w:val="0"/>
      <w:divBdr>
        <w:top w:val="none" w:sz="0" w:space="0" w:color="auto"/>
        <w:left w:val="none" w:sz="0" w:space="0" w:color="auto"/>
        <w:bottom w:val="none" w:sz="0" w:space="0" w:color="auto"/>
        <w:right w:val="none" w:sz="0" w:space="0" w:color="auto"/>
      </w:divBdr>
    </w:div>
    <w:div w:id="1899434200">
      <w:bodyDiv w:val="1"/>
      <w:marLeft w:val="0"/>
      <w:marRight w:val="0"/>
      <w:marTop w:val="0"/>
      <w:marBottom w:val="0"/>
      <w:divBdr>
        <w:top w:val="none" w:sz="0" w:space="0" w:color="auto"/>
        <w:left w:val="none" w:sz="0" w:space="0" w:color="auto"/>
        <w:bottom w:val="none" w:sz="0" w:space="0" w:color="auto"/>
        <w:right w:val="none" w:sz="0" w:space="0" w:color="auto"/>
      </w:divBdr>
    </w:div>
    <w:div w:id="1899512513">
      <w:bodyDiv w:val="1"/>
      <w:marLeft w:val="0"/>
      <w:marRight w:val="0"/>
      <w:marTop w:val="0"/>
      <w:marBottom w:val="0"/>
      <w:divBdr>
        <w:top w:val="none" w:sz="0" w:space="0" w:color="auto"/>
        <w:left w:val="none" w:sz="0" w:space="0" w:color="auto"/>
        <w:bottom w:val="none" w:sz="0" w:space="0" w:color="auto"/>
        <w:right w:val="none" w:sz="0" w:space="0" w:color="auto"/>
      </w:divBdr>
    </w:div>
    <w:div w:id="1899513500">
      <w:bodyDiv w:val="1"/>
      <w:marLeft w:val="0"/>
      <w:marRight w:val="0"/>
      <w:marTop w:val="0"/>
      <w:marBottom w:val="0"/>
      <w:divBdr>
        <w:top w:val="none" w:sz="0" w:space="0" w:color="auto"/>
        <w:left w:val="none" w:sz="0" w:space="0" w:color="auto"/>
        <w:bottom w:val="none" w:sz="0" w:space="0" w:color="auto"/>
        <w:right w:val="none" w:sz="0" w:space="0" w:color="auto"/>
      </w:divBdr>
    </w:div>
    <w:div w:id="1899586736">
      <w:bodyDiv w:val="1"/>
      <w:marLeft w:val="0"/>
      <w:marRight w:val="0"/>
      <w:marTop w:val="0"/>
      <w:marBottom w:val="0"/>
      <w:divBdr>
        <w:top w:val="none" w:sz="0" w:space="0" w:color="auto"/>
        <w:left w:val="none" w:sz="0" w:space="0" w:color="auto"/>
        <w:bottom w:val="none" w:sz="0" w:space="0" w:color="auto"/>
        <w:right w:val="none" w:sz="0" w:space="0" w:color="auto"/>
      </w:divBdr>
    </w:div>
    <w:div w:id="1899634989">
      <w:bodyDiv w:val="1"/>
      <w:marLeft w:val="0"/>
      <w:marRight w:val="0"/>
      <w:marTop w:val="0"/>
      <w:marBottom w:val="0"/>
      <w:divBdr>
        <w:top w:val="none" w:sz="0" w:space="0" w:color="auto"/>
        <w:left w:val="none" w:sz="0" w:space="0" w:color="auto"/>
        <w:bottom w:val="none" w:sz="0" w:space="0" w:color="auto"/>
        <w:right w:val="none" w:sz="0" w:space="0" w:color="auto"/>
      </w:divBdr>
    </w:div>
    <w:div w:id="1899824156">
      <w:bodyDiv w:val="1"/>
      <w:marLeft w:val="0"/>
      <w:marRight w:val="0"/>
      <w:marTop w:val="0"/>
      <w:marBottom w:val="0"/>
      <w:divBdr>
        <w:top w:val="none" w:sz="0" w:space="0" w:color="auto"/>
        <w:left w:val="none" w:sz="0" w:space="0" w:color="auto"/>
        <w:bottom w:val="none" w:sz="0" w:space="0" w:color="auto"/>
        <w:right w:val="none" w:sz="0" w:space="0" w:color="auto"/>
      </w:divBdr>
    </w:div>
    <w:div w:id="1899853754">
      <w:bodyDiv w:val="1"/>
      <w:marLeft w:val="0"/>
      <w:marRight w:val="0"/>
      <w:marTop w:val="0"/>
      <w:marBottom w:val="0"/>
      <w:divBdr>
        <w:top w:val="none" w:sz="0" w:space="0" w:color="auto"/>
        <w:left w:val="none" w:sz="0" w:space="0" w:color="auto"/>
        <w:bottom w:val="none" w:sz="0" w:space="0" w:color="auto"/>
        <w:right w:val="none" w:sz="0" w:space="0" w:color="auto"/>
      </w:divBdr>
    </w:div>
    <w:div w:id="1899854017">
      <w:bodyDiv w:val="1"/>
      <w:marLeft w:val="0"/>
      <w:marRight w:val="0"/>
      <w:marTop w:val="0"/>
      <w:marBottom w:val="0"/>
      <w:divBdr>
        <w:top w:val="none" w:sz="0" w:space="0" w:color="auto"/>
        <w:left w:val="none" w:sz="0" w:space="0" w:color="auto"/>
        <w:bottom w:val="none" w:sz="0" w:space="0" w:color="auto"/>
        <w:right w:val="none" w:sz="0" w:space="0" w:color="auto"/>
      </w:divBdr>
    </w:div>
    <w:div w:id="1899896180">
      <w:bodyDiv w:val="1"/>
      <w:marLeft w:val="0"/>
      <w:marRight w:val="0"/>
      <w:marTop w:val="0"/>
      <w:marBottom w:val="0"/>
      <w:divBdr>
        <w:top w:val="none" w:sz="0" w:space="0" w:color="auto"/>
        <w:left w:val="none" w:sz="0" w:space="0" w:color="auto"/>
        <w:bottom w:val="none" w:sz="0" w:space="0" w:color="auto"/>
        <w:right w:val="none" w:sz="0" w:space="0" w:color="auto"/>
      </w:divBdr>
    </w:div>
    <w:div w:id="1899970027">
      <w:bodyDiv w:val="1"/>
      <w:marLeft w:val="0"/>
      <w:marRight w:val="0"/>
      <w:marTop w:val="0"/>
      <w:marBottom w:val="0"/>
      <w:divBdr>
        <w:top w:val="none" w:sz="0" w:space="0" w:color="auto"/>
        <w:left w:val="none" w:sz="0" w:space="0" w:color="auto"/>
        <w:bottom w:val="none" w:sz="0" w:space="0" w:color="auto"/>
        <w:right w:val="none" w:sz="0" w:space="0" w:color="auto"/>
      </w:divBdr>
    </w:div>
    <w:div w:id="1900087962">
      <w:bodyDiv w:val="1"/>
      <w:marLeft w:val="0"/>
      <w:marRight w:val="0"/>
      <w:marTop w:val="0"/>
      <w:marBottom w:val="0"/>
      <w:divBdr>
        <w:top w:val="none" w:sz="0" w:space="0" w:color="auto"/>
        <w:left w:val="none" w:sz="0" w:space="0" w:color="auto"/>
        <w:bottom w:val="none" w:sz="0" w:space="0" w:color="auto"/>
        <w:right w:val="none" w:sz="0" w:space="0" w:color="auto"/>
      </w:divBdr>
    </w:div>
    <w:div w:id="1900164993">
      <w:bodyDiv w:val="1"/>
      <w:marLeft w:val="0"/>
      <w:marRight w:val="0"/>
      <w:marTop w:val="0"/>
      <w:marBottom w:val="0"/>
      <w:divBdr>
        <w:top w:val="none" w:sz="0" w:space="0" w:color="auto"/>
        <w:left w:val="none" w:sz="0" w:space="0" w:color="auto"/>
        <w:bottom w:val="none" w:sz="0" w:space="0" w:color="auto"/>
        <w:right w:val="none" w:sz="0" w:space="0" w:color="auto"/>
      </w:divBdr>
    </w:div>
    <w:div w:id="1900172223">
      <w:bodyDiv w:val="1"/>
      <w:marLeft w:val="0"/>
      <w:marRight w:val="0"/>
      <w:marTop w:val="0"/>
      <w:marBottom w:val="0"/>
      <w:divBdr>
        <w:top w:val="none" w:sz="0" w:space="0" w:color="auto"/>
        <w:left w:val="none" w:sz="0" w:space="0" w:color="auto"/>
        <w:bottom w:val="none" w:sz="0" w:space="0" w:color="auto"/>
        <w:right w:val="none" w:sz="0" w:space="0" w:color="auto"/>
      </w:divBdr>
    </w:div>
    <w:div w:id="1900313597">
      <w:bodyDiv w:val="1"/>
      <w:marLeft w:val="0"/>
      <w:marRight w:val="0"/>
      <w:marTop w:val="0"/>
      <w:marBottom w:val="0"/>
      <w:divBdr>
        <w:top w:val="none" w:sz="0" w:space="0" w:color="auto"/>
        <w:left w:val="none" w:sz="0" w:space="0" w:color="auto"/>
        <w:bottom w:val="none" w:sz="0" w:space="0" w:color="auto"/>
        <w:right w:val="none" w:sz="0" w:space="0" w:color="auto"/>
      </w:divBdr>
    </w:div>
    <w:div w:id="1900363583">
      <w:bodyDiv w:val="1"/>
      <w:marLeft w:val="0"/>
      <w:marRight w:val="0"/>
      <w:marTop w:val="0"/>
      <w:marBottom w:val="0"/>
      <w:divBdr>
        <w:top w:val="none" w:sz="0" w:space="0" w:color="auto"/>
        <w:left w:val="none" w:sz="0" w:space="0" w:color="auto"/>
        <w:bottom w:val="none" w:sz="0" w:space="0" w:color="auto"/>
        <w:right w:val="none" w:sz="0" w:space="0" w:color="auto"/>
      </w:divBdr>
    </w:div>
    <w:div w:id="1900365545">
      <w:bodyDiv w:val="1"/>
      <w:marLeft w:val="0"/>
      <w:marRight w:val="0"/>
      <w:marTop w:val="0"/>
      <w:marBottom w:val="0"/>
      <w:divBdr>
        <w:top w:val="none" w:sz="0" w:space="0" w:color="auto"/>
        <w:left w:val="none" w:sz="0" w:space="0" w:color="auto"/>
        <w:bottom w:val="none" w:sz="0" w:space="0" w:color="auto"/>
        <w:right w:val="none" w:sz="0" w:space="0" w:color="auto"/>
      </w:divBdr>
    </w:div>
    <w:div w:id="1900432244">
      <w:bodyDiv w:val="1"/>
      <w:marLeft w:val="0"/>
      <w:marRight w:val="0"/>
      <w:marTop w:val="0"/>
      <w:marBottom w:val="0"/>
      <w:divBdr>
        <w:top w:val="none" w:sz="0" w:space="0" w:color="auto"/>
        <w:left w:val="none" w:sz="0" w:space="0" w:color="auto"/>
        <w:bottom w:val="none" w:sz="0" w:space="0" w:color="auto"/>
        <w:right w:val="none" w:sz="0" w:space="0" w:color="auto"/>
      </w:divBdr>
    </w:div>
    <w:div w:id="1900439779">
      <w:bodyDiv w:val="1"/>
      <w:marLeft w:val="0"/>
      <w:marRight w:val="0"/>
      <w:marTop w:val="0"/>
      <w:marBottom w:val="0"/>
      <w:divBdr>
        <w:top w:val="none" w:sz="0" w:space="0" w:color="auto"/>
        <w:left w:val="none" w:sz="0" w:space="0" w:color="auto"/>
        <w:bottom w:val="none" w:sz="0" w:space="0" w:color="auto"/>
        <w:right w:val="none" w:sz="0" w:space="0" w:color="auto"/>
      </w:divBdr>
    </w:div>
    <w:div w:id="1900550255">
      <w:bodyDiv w:val="1"/>
      <w:marLeft w:val="0"/>
      <w:marRight w:val="0"/>
      <w:marTop w:val="0"/>
      <w:marBottom w:val="0"/>
      <w:divBdr>
        <w:top w:val="none" w:sz="0" w:space="0" w:color="auto"/>
        <w:left w:val="none" w:sz="0" w:space="0" w:color="auto"/>
        <w:bottom w:val="none" w:sz="0" w:space="0" w:color="auto"/>
        <w:right w:val="none" w:sz="0" w:space="0" w:color="auto"/>
      </w:divBdr>
    </w:div>
    <w:div w:id="1900676118">
      <w:bodyDiv w:val="1"/>
      <w:marLeft w:val="0"/>
      <w:marRight w:val="0"/>
      <w:marTop w:val="0"/>
      <w:marBottom w:val="0"/>
      <w:divBdr>
        <w:top w:val="none" w:sz="0" w:space="0" w:color="auto"/>
        <w:left w:val="none" w:sz="0" w:space="0" w:color="auto"/>
        <w:bottom w:val="none" w:sz="0" w:space="0" w:color="auto"/>
        <w:right w:val="none" w:sz="0" w:space="0" w:color="auto"/>
      </w:divBdr>
    </w:div>
    <w:div w:id="1900825142">
      <w:bodyDiv w:val="1"/>
      <w:marLeft w:val="0"/>
      <w:marRight w:val="0"/>
      <w:marTop w:val="0"/>
      <w:marBottom w:val="0"/>
      <w:divBdr>
        <w:top w:val="none" w:sz="0" w:space="0" w:color="auto"/>
        <w:left w:val="none" w:sz="0" w:space="0" w:color="auto"/>
        <w:bottom w:val="none" w:sz="0" w:space="0" w:color="auto"/>
        <w:right w:val="none" w:sz="0" w:space="0" w:color="auto"/>
      </w:divBdr>
    </w:div>
    <w:div w:id="1900826350">
      <w:bodyDiv w:val="1"/>
      <w:marLeft w:val="0"/>
      <w:marRight w:val="0"/>
      <w:marTop w:val="0"/>
      <w:marBottom w:val="0"/>
      <w:divBdr>
        <w:top w:val="none" w:sz="0" w:space="0" w:color="auto"/>
        <w:left w:val="none" w:sz="0" w:space="0" w:color="auto"/>
        <w:bottom w:val="none" w:sz="0" w:space="0" w:color="auto"/>
        <w:right w:val="none" w:sz="0" w:space="0" w:color="auto"/>
      </w:divBdr>
    </w:div>
    <w:div w:id="1900900470">
      <w:bodyDiv w:val="1"/>
      <w:marLeft w:val="0"/>
      <w:marRight w:val="0"/>
      <w:marTop w:val="0"/>
      <w:marBottom w:val="0"/>
      <w:divBdr>
        <w:top w:val="none" w:sz="0" w:space="0" w:color="auto"/>
        <w:left w:val="none" w:sz="0" w:space="0" w:color="auto"/>
        <w:bottom w:val="none" w:sz="0" w:space="0" w:color="auto"/>
        <w:right w:val="none" w:sz="0" w:space="0" w:color="auto"/>
      </w:divBdr>
    </w:div>
    <w:div w:id="1900901288">
      <w:bodyDiv w:val="1"/>
      <w:marLeft w:val="0"/>
      <w:marRight w:val="0"/>
      <w:marTop w:val="0"/>
      <w:marBottom w:val="0"/>
      <w:divBdr>
        <w:top w:val="none" w:sz="0" w:space="0" w:color="auto"/>
        <w:left w:val="none" w:sz="0" w:space="0" w:color="auto"/>
        <w:bottom w:val="none" w:sz="0" w:space="0" w:color="auto"/>
        <w:right w:val="none" w:sz="0" w:space="0" w:color="auto"/>
      </w:divBdr>
    </w:div>
    <w:div w:id="1900939643">
      <w:bodyDiv w:val="1"/>
      <w:marLeft w:val="0"/>
      <w:marRight w:val="0"/>
      <w:marTop w:val="0"/>
      <w:marBottom w:val="0"/>
      <w:divBdr>
        <w:top w:val="none" w:sz="0" w:space="0" w:color="auto"/>
        <w:left w:val="none" w:sz="0" w:space="0" w:color="auto"/>
        <w:bottom w:val="none" w:sz="0" w:space="0" w:color="auto"/>
        <w:right w:val="none" w:sz="0" w:space="0" w:color="auto"/>
      </w:divBdr>
    </w:div>
    <w:div w:id="1901015673">
      <w:bodyDiv w:val="1"/>
      <w:marLeft w:val="0"/>
      <w:marRight w:val="0"/>
      <w:marTop w:val="0"/>
      <w:marBottom w:val="0"/>
      <w:divBdr>
        <w:top w:val="none" w:sz="0" w:space="0" w:color="auto"/>
        <w:left w:val="none" w:sz="0" w:space="0" w:color="auto"/>
        <w:bottom w:val="none" w:sz="0" w:space="0" w:color="auto"/>
        <w:right w:val="none" w:sz="0" w:space="0" w:color="auto"/>
      </w:divBdr>
    </w:div>
    <w:div w:id="1901207266">
      <w:bodyDiv w:val="1"/>
      <w:marLeft w:val="0"/>
      <w:marRight w:val="0"/>
      <w:marTop w:val="0"/>
      <w:marBottom w:val="0"/>
      <w:divBdr>
        <w:top w:val="none" w:sz="0" w:space="0" w:color="auto"/>
        <w:left w:val="none" w:sz="0" w:space="0" w:color="auto"/>
        <w:bottom w:val="none" w:sz="0" w:space="0" w:color="auto"/>
        <w:right w:val="none" w:sz="0" w:space="0" w:color="auto"/>
      </w:divBdr>
    </w:div>
    <w:div w:id="1901209129">
      <w:bodyDiv w:val="1"/>
      <w:marLeft w:val="0"/>
      <w:marRight w:val="0"/>
      <w:marTop w:val="0"/>
      <w:marBottom w:val="0"/>
      <w:divBdr>
        <w:top w:val="none" w:sz="0" w:space="0" w:color="auto"/>
        <w:left w:val="none" w:sz="0" w:space="0" w:color="auto"/>
        <w:bottom w:val="none" w:sz="0" w:space="0" w:color="auto"/>
        <w:right w:val="none" w:sz="0" w:space="0" w:color="auto"/>
      </w:divBdr>
    </w:div>
    <w:div w:id="1901211920">
      <w:bodyDiv w:val="1"/>
      <w:marLeft w:val="0"/>
      <w:marRight w:val="0"/>
      <w:marTop w:val="0"/>
      <w:marBottom w:val="0"/>
      <w:divBdr>
        <w:top w:val="none" w:sz="0" w:space="0" w:color="auto"/>
        <w:left w:val="none" w:sz="0" w:space="0" w:color="auto"/>
        <w:bottom w:val="none" w:sz="0" w:space="0" w:color="auto"/>
        <w:right w:val="none" w:sz="0" w:space="0" w:color="auto"/>
      </w:divBdr>
    </w:div>
    <w:div w:id="1901401148">
      <w:bodyDiv w:val="1"/>
      <w:marLeft w:val="0"/>
      <w:marRight w:val="0"/>
      <w:marTop w:val="0"/>
      <w:marBottom w:val="0"/>
      <w:divBdr>
        <w:top w:val="none" w:sz="0" w:space="0" w:color="auto"/>
        <w:left w:val="none" w:sz="0" w:space="0" w:color="auto"/>
        <w:bottom w:val="none" w:sz="0" w:space="0" w:color="auto"/>
        <w:right w:val="none" w:sz="0" w:space="0" w:color="auto"/>
      </w:divBdr>
    </w:div>
    <w:div w:id="1901477574">
      <w:bodyDiv w:val="1"/>
      <w:marLeft w:val="0"/>
      <w:marRight w:val="0"/>
      <w:marTop w:val="0"/>
      <w:marBottom w:val="0"/>
      <w:divBdr>
        <w:top w:val="none" w:sz="0" w:space="0" w:color="auto"/>
        <w:left w:val="none" w:sz="0" w:space="0" w:color="auto"/>
        <w:bottom w:val="none" w:sz="0" w:space="0" w:color="auto"/>
        <w:right w:val="none" w:sz="0" w:space="0" w:color="auto"/>
      </w:divBdr>
    </w:div>
    <w:div w:id="1901672517">
      <w:bodyDiv w:val="1"/>
      <w:marLeft w:val="0"/>
      <w:marRight w:val="0"/>
      <w:marTop w:val="0"/>
      <w:marBottom w:val="0"/>
      <w:divBdr>
        <w:top w:val="none" w:sz="0" w:space="0" w:color="auto"/>
        <w:left w:val="none" w:sz="0" w:space="0" w:color="auto"/>
        <w:bottom w:val="none" w:sz="0" w:space="0" w:color="auto"/>
        <w:right w:val="none" w:sz="0" w:space="0" w:color="auto"/>
      </w:divBdr>
    </w:div>
    <w:div w:id="1901673447">
      <w:bodyDiv w:val="1"/>
      <w:marLeft w:val="0"/>
      <w:marRight w:val="0"/>
      <w:marTop w:val="0"/>
      <w:marBottom w:val="0"/>
      <w:divBdr>
        <w:top w:val="none" w:sz="0" w:space="0" w:color="auto"/>
        <w:left w:val="none" w:sz="0" w:space="0" w:color="auto"/>
        <w:bottom w:val="none" w:sz="0" w:space="0" w:color="auto"/>
        <w:right w:val="none" w:sz="0" w:space="0" w:color="auto"/>
      </w:divBdr>
    </w:div>
    <w:div w:id="1901742413">
      <w:bodyDiv w:val="1"/>
      <w:marLeft w:val="0"/>
      <w:marRight w:val="0"/>
      <w:marTop w:val="0"/>
      <w:marBottom w:val="0"/>
      <w:divBdr>
        <w:top w:val="none" w:sz="0" w:space="0" w:color="auto"/>
        <w:left w:val="none" w:sz="0" w:space="0" w:color="auto"/>
        <w:bottom w:val="none" w:sz="0" w:space="0" w:color="auto"/>
        <w:right w:val="none" w:sz="0" w:space="0" w:color="auto"/>
      </w:divBdr>
    </w:div>
    <w:div w:id="1901745827">
      <w:bodyDiv w:val="1"/>
      <w:marLeft w:val="0"/>
      <w:marRight w:val="0"/>
      <w:marTop w:val="0"/>
      <w:marBottom w:val="0"/>
      <w:divBdr>
        <w:top w:val="none" w:sz="0" w:space="0" w:color="auto"/>
        <w:left w:val="none" w:sz="0" w:space="0" w:color="auto"/>
        <w:bottom w:val="none" w:sz="0" w:space="0" w:color="auto"/>
        <w:right w:val="none" w:sz="0" w:space="0" w:color="auto"/>
      </w:divBdr>
    </w:div>
    <w:div w:id="1901749572">
      <w:bodyDiv w:val="1"/>
      <w:marLeft w:val="0"/>
      <w:marRight w:val="0"/>
      <w:marTop w:val="0"/>
      <w:marBottom w:val="0"/>
      <w:divBdr>
        <w:top w:val="none" w:sz="0" w:space="0" w:color="auto"/>
        <w:left w:val="none" w:sz="0" w:space="0" w:color="auto"/>
        <w:bottom w:val="none" w:sz="0" w:space="0" w:color="auto"/>
        <w:right w:val="none" w:sz="0" w:space="0" w:color="auto"/>
      </w:divBdr>
    </w:div>
    <w:div w:id="1901750171">
      <w:bodyDiv w:val="1"/>
      <w:marLeft w:val="0"/>
      <w:marRight w:val="0"/>
      <w:marTop w:val="0"/>
      <w:marBottom w:val="0"/>
      <w:divBdr>
        <w:top w:val="none" w:sz="0" w:space="0" w:color="auto"/>
        <w:left w:val="none" w:sz="0" w:space="0" w:color="auto"/>
        <w:bottom w:val="none" w:sz="0" w:space="0" w:color="auto"/>
        <w:right w:val="none" w:sz="0" w:space="0" w:color="auto"/>
      </w:divBdr>
    </w:div>
    <w:div w:id="1901820437">
      <w:bodyDiv w:val="1"/>
      <w:marLeft w:val="0"/>
      <w:marRight w:val="0"/>
      <w:marTop w:val="0"/>
      <w:marBottom w:val="0"/>
      <w:divBdr>
        <w:top w:val="none" w:sz="0" w:space="0" w:color="auto"/>
        <w:left w:val="none" w:sz="0" w:space="0" w:color="auto"/>
        <w:bottom w:val="none" w:sz="0" w:space="0" w:color="auto"/>
        <w:right w:val="none" w:sz="0" w:space="0" w:color="auto"/>
      </w:divBdr>
    </w:div>
    <w:div w:id="1901820648">
      <w:bodyDiv w:val="1"/>
      <w:marLeft w:val="0"/>
      <w:marRight w:val="0"/>
      <w:marTop w:val="0"/>
      <w:marBottom w:val="0"/>
      <w:divBdr>
        <w:top w:val="none" w:sz="0" w:space="0" w:color="auto"/>
        <w:left w:val="none" w:sz="0" w:space="0" w:color="auto"/>
        <w:bottom w:val="none" w:sz="0" w:space="0" w:color="auto"/>
        <w:right w:val="none" w:sz="0" w:space="0" w:color="auto"/>
      </w:divBdr>
    </w:div>
    <w:div w:id="1901943934">
      <w:bodyDiv w:val="1"/>
      <w:marLeft w:val="0"/>
      <w:marRight w:val="0"/>
      <w:marTop w:val="0"/>
      <w:marBottom w:val="0"/>
      <w:divBdr>
        <w:top w:val="none" w:sz="0" w:space="0" w:color="auto"/>
        <w:left w:val="none" w:sz="0" w:space="0" w:color="auto"/>
        <w:bottom w:val="none" w:sz="0" w:space="0" w:color="auto"/>
        <w:right w:val="none" w:sz="0" w:space="0" w:color="auto"/>
      </w:divBdr>
    </w:div>
    <w:div w:id="1901986043">
      <w:bodyDiv w:val="1"/>
      <w:marLeft w:val="0"/>
      <w:marRight w:val="0"/>
      <w:marTop w:val="0"/>
      <w:marBottom w:val="0"/>
      <w:divBdr>
        <w:top w:val="none" w:sz="0" w:space="0" w:color="auto"/>
        <w:left w:val="none" w:sz="0" w:space="0" w:color="auto"/>
        <w:bottom w:val="none" w:sz="0" w:space="0" w:color="auto"/>
        <w:right w:val="none" w:sz="0" w:space="0" w:color="auto"/>
      </w:divBdr>
    </w:div>
    <w:div w:id="1902131067">
      <w:bodyDiv w:val="1"/>
      <w:marLeft w:val="0"/>
      <w:marRight w:val="0"/>
      <w:marTop w:val="0"/>
      <w:marBottom w:val="0"/>
      <w:divBdr>
        <w:top w:val="none" w:sz="0" w:space="0" w:color="auto"/>
        <w:left w:val="none" w:sz="0" w:space="0" w:color="auto"/>
        <w:bottom w:val="none" w:sz="0" w:space="0" w:color="auto"/>
        <w:right w:val="none" w:sz="0" w:space="0" w:color="auto"/>
      </w:divBdr>
    </w:div>
    <w:div w:id="1902133918">
      <w:bodyDiv w:val="1"/>
      <w:marLeft w:val="0"/>
      <w:marRight w:val="0"/>
      <w:marTop w:val="0"/>
      <w:marBottom w:val="0"/>
      <w:divBdr>
        <w:top w:val="none" w:sz="0" w:space="0" w:color="auto"/>
        <w:left w:val="none" w:sz="0" w:space="0" w:color="auto"/>
        <w:bottom w:val="none" w:sz="0" w:space="0" w:color="auto"/>
        <w:right w:val="none" w:sz="0" w:space="0" w:color="auto"/>
      </w:divBdr>
    </w:div>
    <w:div w:id="1902250908">
      <w:bodyDiv w:val="1"/>
      <w:marLeft w:val="0"/>
      <w:marRight w:val="0"/>
      <w:marTop w:val="0"/>
      <w:marBottom w:val="0"/>
      <w:divBdr>
        <w:top w:val="none" w:sz="0" w:space="0" w:color="auto"/>
        <w:left w:val="none" w:sz="0" w:space="0" w:color="auto"/>
        <w:bottom w:val="none" w:sz="0" w:space="0" w:color="auto"/>
        <w:right w:val="none" w:sz="0" w:space="0" w:color="auto"/>
      </w:divBdr>
    </w:div>
    <w:div w:id="1902255451">
      <w:bodyDiv w:val="1"/>
      <w:marLeft w:val="0"/>
      <w:marRight w:val="0"/>
      <w:marTop w:val="0"/>
      <w:marBottom w:val="0"/>
      <w:divBdr>
        <w:top w:val="none" w:sz="0" w:space="0" w:color="auto"/>
        <w:left w:val="none" w:sz="0" w:space="0" w:color="auto"/>
        <w:bottom w:val="none" w:sz="0" w:space="0" w:color="auto"/>
        <w:right w:val="none" w:sz="0" w:space="0" w:color="auto"/>
      </w:divBdr>
    </w:div>
    <w:div w:id="1902324016">
      <w:bodyDiv w:val="1"/>
      <w:marLeft w:val="0"/>
      <w:marRight w:val="0"/>
      <w:marTop w:val="0"/>
      <w:marBottom w:val="0"/>
      <w:divBdr>
        <w:top w:val="none" w:sz="0" w:space="0" w:color="auto"/>
        <w:left w:val="none" w:sz="0" w:space="0" w:color="auto"/>
        <w:bottom w:val="none" w:sz="0" w:space="0" w:color="auto"/>
        <w:right w:val="none" w:sz="0" w:space="0" w:color="auto"/>
      </w:divBdr>
    </w:div>
    <w:div w:id="1902397757">
      <w:bodyDiv w:val="1"/>
      <w:marLeft w:val="0"/>
      <w:marRight w:val="0"/>
      <w:marTop w:val="0"/>
      <w:marBottom w:val="0"/>
      <w:divBdr>
        <w:top w:val="none" w:sz="0" w:space="0" w:color="auto"/>
        <w:left w:val="none" w:sz="0" w:space="0" w:color="auto"/>
        <w:bottom w:val="none" w:sz="0" w:space="0" w:color="auto"/>
        <w:right w:val="none" w:sz="0" w:space="0" w:color="auto"/>
      </w:divBdr>
    </w:div>
    <w:div w:id="1902405541">
      <w:bodyDiv w:val="1"/>
      <w:marLeft w:val="0"/>
      <w:marRight w:val="0"/>
      <w:marTop w:val="0"/>
      <w:marBottom w:val="0"/>
      <w:divBdr>
        <w:top w:val="none" w:sz="0" w:space="0" w:color="auto"/>
        <w:left w:val="none" w:sz="0" w:space="0" w:color="auto"/>
        <w:bottom w:val="none" w:sz="0" w:space="0" w:color="auto"/>
        <w:right w:val="none" w:sz="0" w:space="0" w:color="auto"/>
      </w:divBdr>
    </w:div>
    <w:div w:id="1902445159">
      <w:bodyDiv w:val="1"/>
      <w:marLeft w:val="0"/>
      <w:marRight w:val="0"/>
      <w:marTop w:val="0"/>
      <w:marBottom w:val="0"/>
      <w:divBdr>
        <w:top w:val="none" w:sz="0" w:space="0" w:color="auto"/>
        <w:left w:val="none" w:sz="0" w:space="0" w:color="auto"/>
        <w:bottom w:val="none" w:sz="0" w:space="0" w:color="auto"/>
        <w:right w:val="none" w:sz="0" w:space="0" w:color="auto"/>
      </w:divBdr>
    </w:div>
    <w:div w:id="1902591587">
      <w:bodyDiv w:val="1"/>
      <w:marLeft w:val="0"/>
      <w:marRight w:val="0"/>
      <w:marTop w:val="0"/>
      <w:marBottom w:val="0"/>
      <w:divBdr>
        <w:top w:val="none" w:sz="0" w:space="0" w:color="auto"/>
        <w:left w:val="none" w:sz="0" w:space="0" w:color="auto"/>
        <w:bottom w:val="none" w:sz="0" w:space="0" w:color="auto"/>
        <w:right w:val="none" w:sz="0" w:space="0" w:color="auto"/>
      </w:divBdr>
    </w:div>
    <w:div w:id="1902642700">
      <w:bodyDiv w:val="1"/>
      <w:marLeft w:val="0"/>
      <w:marRight w:val="0"/>
      <w:marTop w:val="0"/>
      <w:marBottom w:val="0"/>
      <w:divBdr>
        <w:top w:val="none" w:sz="0" w:space="0" w:color="auto"/>
        <w:left w:val="none" w:sz="0" w:space="0" w:color="auto"/>
        <w:bottom w:val="none" w:sz="0" w:space="0" w:color="auto"/>
        <w:right w:val="none" w:sz="0" w:space="0" w:color="auto"/>
      </w:divBdr>
    </w:div>
    <w:div w:id="1902783699">
      <w:bodyDiv w:val="1"/>
      <w:marLeft w:val="0"/>
      <w:marRight w:val="0"/>
      <w:marTop w:val="0"/>
      <w:marBottom w:val="0"/>
      <w:divBdr>
        <w:top w:val="none" w:sz="0" w:space="0" w:color="auto"/>
        <w:left w:val="none" w:sz="0" w:space="0" w:color="auto"/>
        <w:bottom w:val="none" w:sz="0" w:space="0" w:color="auto"/>
        <w:right w:val="none" w:sz="0" w:space="0" w:color="auto"/>
      </w:divBdr>
    </w:div>
    <w:div w:id="1902790587">
      <w:bodyDiv w:val="1"/>
      <w:marLeft w:val="0"/>
      <w:marRight w:val="0"/>
      <w:marTop w:val="0"/>
      <w:marBottom w:val="0"/>
      <w:divBdr>
        <w:top w:val="none" w:sz="0" w:space="0" w:color="auto"/>
        <w:left w:val="none" w:sz="0" w:space="0" w:color="auto"/>
        <w:bottom w:val="none" w:sz="0" w:space="0" w:color="auto"/>
        <w:right w:val="none" w:sz="0" w:space="0" w:color="auto"/>
      </w:divBdr>
    </w:div>
    <w:div w:id="1902865128">
      <w:bodyDiv w:val="1"/>
      <w:marLeft w:val="0"/>
      <w:marRight w:val="0"/>
      <w:marTop w:val="0"/>
      <w:marBottom w:val="0"/>
      <w:divBdr>
        <w:top w:val="none" w:sz="0" w:space="0" w:color="auto"/>
        <w:left w:val="none" w:sz="0" w:space="0" w:color="auto"/>
        <w:bottom w:val="none" w:sz="0" w:space="0" w:color="auto"/>
        <w:right w:val="none" w:sz="0" w:space="0" w:color="auto"/>
      </w:divBdr>
    </w:div>
    <w:div w:id="1903054217">
      <w:bodyDiv w:val="1"/>
      <w:marLeft w:val="0"/>
      <w:marRight w:val="0"/>
      <w:marTop w:val="0"/>
      <w:marBottom w:val="0"/>
      <w:divBdr>
        <w:top w:val="none" w:sz="0" w:space="0" w:color="auto"/>
        <w:left w:val="none" w:sz="0" w:space="0" w:color="auto"/>
        <w:bottom w:val="none" w:sz="0" w:space="0" w:color="auto"/>
        <w:right w:val="none" w:sz="0" w:space="0" w:color="auto"/>
      </w:divBdr>
    </w:div>
    <w:div w:id="1903127904">
      <w:bodyDiv w:val="1"/>
      <w:marLeft w:val="0"/>
      <w:marRight w:val="0"/>
      <w:marTop w:val="0"/>
      <w:marBottom w:val="0"/>
      <w:divBdr>
        <w:top w:val="none" w:sz="0" w:space="0" w:color="auto"/>
        <w:left w:val="none" w:sz="0" w:space="0" w:color="auto"/>
        <w:bottom w:val="none" w:sz="0" w:space="0" w:color="auto"/>
        <w:right w:val="none" w:sz="0" w:space="0" w:color="auto"/>
      </w:divBdr>
    </w:div>
    <w:div w:id="1903297432">
      <w:bodyDiv w:val="1"/>
      <w:marLeft w:val="0"/>
      <w:marRight w:val="0"/>
      <w:marTop w:val="0"/>
      <w:marBottom w:val="0"/>
      <w:divBdr>
        <w:top w:val="none" w:sz="0" w:space="0" w:color="auto"/>
        <w:left w:val="none" w:sz="0" w:space="0" w:color="auto"/>
        <w:bottom w:val="none" w:sz="0" w:space="0" w:color="auto"/>
        <w:right w:val="none" w:sz="0" w:space="0" w:color="auto"/>
      </w:divBdr>
    </w:div>
    <w:div w:id="1903367148">
      <w:bodyDiv w:val="1"/>
      <w:marLeft w:val="0"/>
      <w:marRight w:val="0"/>
      <w:marTop w:val="0"/>
      <w:marBottom w:val="0"/>
      <w:divBdr>
        <w:top w:val="none" w:sz="0" w:space="0" w:color="auto"/>
        <w:left w:val="none" w:sz="0" w:space="0" w:color="auto"/>
        <w:bottom w:val="none" w:sz="0" w:space="0" w:color="auto"/>
        <w:right w:val="none" w:sz="0" w:space="0" w:color="auto"/>
      </w:divBdr>
    </w:div>
    <w:div w:id="1903443457">
      <w:bodyDiv w:val="1"/>
      <w:marLeft w:val="0"/>
      <w:marRight w:val="0"/>
      <w:marTop w:val="0"/>
      <w:marBottom w:val="0"/>
      <w:divBdr>
        <w:top w:val="none" w:sz="0" w:space="0" w:color="auto"/>
        <w:left w:val="none" w:sz="0" w:space="0" w:color="auto"/>
        <w:bottom w:val="none" w:sz="0" w:space="0" w:color="auto"/>
        <w:right w:val="none" w:sz="0" w:space="0" w:color="auto"/>
      </w:divBdr>
    </w:div>
    <w:div w:id="1903448205">
      <w:bodyDiv w:val="1"/>
      <w:marLeft w:val="0"/>
      <w:marRight w:val="0"/>
      <w:marTop w:val="0"/>
      <w:marBottom w:val="0"/>
      <w:divBdr>
        <w:top w:val="none" w:sz="0" w:space="0" w:color="auto"/>
        <w:left w:val="none" w:sz="0" w:space="0" w:color="auto"/>
        <w:bottom w:val="none" w:sz="0" w:space="0" w:color="auto"/>
        <w:right w:val="none" w:sz="0" w:space="0" w:color="auto"/>
      </w:divBdr>
    </w:div>
    <w:div w:id="1903520778">
      <w:bodyDiv w:val="1"/>
      <w:marLeft w:val="0"/>
      <w:marRight w:val="0"/>
      <w:marTop w:val="0"/>
      <w:marBottom w:val="0"/>
      <w:divBdr>
        <w:top w:val="none" w:sz="0" w:space="0" w:color="auto"/>
        <w:left w:val="none" w:sz="0" w:space="0" w:color="auto"/>
        <w:bottom w:val="none" w:sz="0" w:space="0" w:color="auto"/>
        <w:right w:val="none" w:sz="0" w:space="0" w:color="auto"/>
      </w:divBdr>
    </w:div>
    <w:div w:id="1903635656">
      <w:bodyDiv w:val="1"/>
      <w:marLeft w:val="0"/>
      <w:marRight w:val="0"/>
      <w:marTop w:val="0"/>
      <w:marBottom w:val="0"/>
      <w:divBdr>
        <w:top w:val="none" w:sz="0" w:space="0" w:color="auto"/>
        <w:left w:val="none" w:sz="0" w:space="0" w:color="auto"/>
        <w:bottom w:val="none" w:sz="0" w:space="0" w:color="auto"/>
        <w:right w:val="none" w:sz="0" w:space="0" w:color="auto"/>
      </w:divBdr>
    </w:div>
    <w:div w:id="1903712639">
      <w:bodyDiv w:val="1"/>
      <w:marLeft w:val="0"/>
      <w:marRight w:val="0"/>
      <w:marTop w:val="0"/>
      <w:marBottom w:val="0"/>
      <w:divBdr>
        <w:top w:val="none" w:sz="0" w:space="0" w:color="auto"/>
        <w:left w:val="none" w:sz="0" w:space="0" w:color="auto"/>
        <w:bottom w:val="none" w:sz="0" w:space="0" w:color="auto"/>
        <w:right w:val="none" w:sz="0" w:space="0" w:color="auto"/>
      </w:divBdr>
    </w:div>
    <w:div w:id="1903787867">
      <w:bodyDiv w:val="1"/>
      <w:marLeft w:val="0"/>
      <w:marRight w:val="0"/>
      <w:marTop w:val="0"/>
      <w:marBottom w:val="0"/>
      <w:divBdr>
        <w:top w:val="none" w:sz="0" w:space="0" w:color="auto"/>
        <w:left w:val="none" w:sz="0" w:space="0" w:color="auto"/>
        <w:bottom w:val="none" w:sz="0" w:space="0" w:color="auto"/>
        <w:right w:val="none" w:sz="0" w:space="0" w:color="auto"/>
      </w:divBdr>
    </w:div>
    <w:div w:id="1903833366">
      <w:bodyDiv w:val="1"/>
      <w:marLeft w:val="0"/>
      <w:marRight w:val="0"/>
      <w:marTop w:val="0"/>
      <w:marBottom w:val="0"/>
      <w:divBdr>
        <w:top w:val="none" w:sz="0" w:space="0" w:color="auto"/>
        <w:left w:val="none" w:sz="0" w:space="0" w:color="auto"/>
        <w:bottom w:val="none" w:sz="0" w:space="0" w:color="auto"/>
        <w:right w:val="none" w:sz="0" w:space="0" w:color="auto"/>
      </w:divBdr>
    </w:div>
    <w:div w:id="1903909720">
      <w:bodyDiv w:val="1"/>
      <w:marLeft w:val="0"/>
      <w:marRight w:val="0"/>
      <w:marTop w:val="0"/>
      <w:marBottom w:val="0"/>
      <w:divBdr>
        <w:top w:val="none" w:sz="0" w:space="0" w:color="auto"/>
        <w:left w:val="none" w:sz="0" w:space="0" w:color="auto"/>
        <w:bottom w:val="none" w:sz="0" w:space="0" w:color="auto"/>
        <w:right w:val="none" w:sz="0" w:space="0" w:color="auto"/>
      </w:divBdr>
    </w:div>
    <w:div w:id="1903980729">
      <w:bodyDiv w:val="1"/>
      <w:marLeft w:val="0"/>
      <w:marRight w:val="0"/>
      <w:marTop w:val="0"/>
      <w:marBottom w:val="0"/>
      <w:divBdr>
        <w:top w:val="none" w:sz="0" w:space="0" w:color="auto"/>
        <w:left w:val="none" w:sz="0" w:space="0" w:color="auto"/>
        <w:bottom w:val="none" w:sz="0" w:space="0" w:color="auto"/>
        <w:right w:val="none" w:sz="0" w:space="0" w:color="auto"/>
      </w:divBdr>
    </w:div>
    <w:div w:id="1903983168">
      <w:bodyDiv w:val="1"/>
      <w:marLeft w:val="0"/>
      <w:marRight w:val="0"/>
      <w:marTop w:val="0"/>
      <w:marBottom w:val="0"/>
      <w:divBdr>
        <w:top w:val="none" w:sz="0" w:space="0" w:color="auto"/>
        <w:left w:val="none" w:sz="0" w:space="0" w:color="auto"/>
        <w:bottom w:val="none" w:sz="0" w:space="0" w:color="auto"/>
        <w:right w:val="none" w:sz="0" w:space="0" w:color="auto"/>
      </w:divBdr>
    </w:div>
    <w:div w:id="1904023797">
      <w:bodyDiv w:val="1"/>
      <w:marLeft w:val="0"/>
      <w:marRight w:val="0"/>
      <w:marTop w:val="0"/>
      <w:marBottom w:val="0"/>
      <w:divBdr>
        <w:top w:val="none" w:sz="0" w:space="0" w:color="auto"/>
        <w:left w:val="none" w:sz="0" w:space="0" w:color="auto"/>
        <w:bottom w:val="none" w:sz="0" w:space="0" w:color="auto"/>
        <w:right w:val="none" w:sz="0" w:space="0" w:color="auto"/>
      </w:divBdr>
    </w:div>
    <w:div w:id="1904026431">
      <w:bodyDiv w:val="1"/>
      <w:marLeft w:val="0"/>
      <w:marRight w:val="0"/>
      <w:marTop w:val="0"/>
      <w:marBottom w:val="0"/>
      <w:divBdr>
        <w:top w:val="none" w:sz="0" w:space="0" w:color="auto"/>
        <w:left w:val="none" w:sz="0" w:space="0" w:color="auto"/>
        <w:bottom w:val="none" w:sz="0" w:space="0" w:color="auto"/>
        <w:right w:val="none" w:sz="0" w:space="0" w:color="auto"/>
      </w:divBdr>
    </w:div>
    <w:div w:id="1904099093">
      <w:bodyDiv w:val="1"/>
      <w:marLeft w:val="0"/>
      <w:marRight w:val="0"/>
      <w:marTop w:val="0"/>
      <w:marBottom w:val="0"/>
      <w:divBdr>
        <w:top w:val="none" w:sz="0" w:space="0" w:color="auto"/>
        <w:left w:val="none" w:sz="0" w:space="0" w:color="auto"/>
        <w:bottom w:val="none" w:sz="0" w:space="0" w:color="auto"/>
        <w:right w:val="none" w:sz="0" w:space="0" w:color="auto"/>
      </w:divBdr>
    </w:div>
    <w:div w:id="1904099839">
      <w:bodyDiv w:val="1"/>
      <w:marLeft w:val="0"/>
      <w:marRight w:val="0"/>
      <w:marTop w:val="0"/>
      <w:marBottom w:val="0"/>
      <w:divBdr>
        <w:top w:val="none" w:sz="0" w:space="0" w:color="auto"/>
        <w:left w:val="none" w:sz="0" w:space="0" w:color="auto"/>
        <w:bottom w:val="none" w:sz="0" w:space="0" w:color="auto"/>
        <w:right w:val="none" w:sz="0" w:space="0" w:color="auto"/>
      </w:divBdr>
    </w:div>
    <w:div w:id="1904291814">
      <w:bodyDiv w:val="1"/>
      <w:marLeft w:val="0"/>
      <w:marRight w:val="0"/>
      <w:marTop w:val="0"/>
      <w:marBottom w:val="0"/>
      <w:divBdr>
        <w:top w:val="none" w:sz="0" w:space="0" w:color="auto"/>
        <w:left w:val="none" w:sz="0" w:space="0" w:color="auto"/>
        <w:bottom w:val="none" w:sz="0" w:space="0" w:color="auto"/>
        <w:right w:val="none" w:sz="0" w:space="0" w:color="auto"/>
      </w:divBdr>
    </w:div>
    <w:div w:id="1904295046">
      <w:bodyDiv w:val="1"/>
      <w:marLeft w:val="0"/>
      <w:marRight w:val="0"/>
      <w:marTop w:val="0"/>
      <w:marBottom w:val="0"/>
      <w:divBdr>
        <w:top w:val="none" w:sz="0" w:space="0" w:color="auto"/>
        <w:left w:val="none" w:sz="0" w:space="0" w:color="auto"/>
        <w:bottom w:val="none" w:sz="0" w:space="0" w:color="auto"/>
        <w:right w:val="none" w:sz="0" w:space="0" w:color="auto"/>
      </w:divBdr>
    </w:div>
    <w:div w:id="1904295724">
      <w:bodyDiv w:val="1"/>
      <w:marLeft w:val="0"/>
      <w:marRight w:val="0"/>
      <w:marTop w:val="0"/>
      <w:marBottom w:val="0"/>
      <w:divBdr>
        <w:top w:val="none" w:sz="0" w:space="0" w:color="auto"/>
        <w:left w:val="none" w:sz="0" w:space="0" w:color="auto"/>
        <w:bottom w:val="none" w:sz="0" w:space="0" w:color="auto"/>
        <w:right w:val="none" w:sz="0" w:space="0" w:color="auto"/>
      </w:divBdr>
    </w:div>
    <w:div w:id="1904679032">
      <w:bodyDiv w:val="1"/>
      <w:marLeft w:val="0"/>
      <w:marRight w:val="0"/>
      <w:marTop w:val="0"/>
      <w:marBottom w:val="0"/>
      <w:divBdr>
        <w:top w:val="none" w:sz="0" w:space="0" w:color="auto"/>
        <w:left w:val="none" w:sz="0" w:space="0" w:color="auto"/>
        <w:bottom w:val="none" w:sz="0" w:space="0" w:color="auto"/>
        <w:right w:val="none" w:sz="0" w:space="0" w:color="auto"/>
      </w:divBdr>
    </w:div>
    <w:div w:id="1904679809">
      <w:bodyDiv w:val="1"/>
      <w:marLeft w:val="0"/>
      <w:marRight w:val="0"/>
      <w:marTop w:val="0"/>
      <w:marBottom w:val="0"/>
      <w:divBdr>
        <w:top w:val="none" w:sz="0" w:space="0" w:color="auto"/>
        <w:left w:val="none" w:sz="0" w:space="0" w:color="auto"/>
        <w:bottom w:val="none" w:sz="0" w:space="0" w:color="auto"/>
        <w:right w:val="none" w:sz="0" w:space="0" w:color="auto"/>
      </w:divBdr>
    </w:div>
    <w:div w:id="1904826900">
      <w:bodyDiv w:val="1"/>
      <w:marLeft w:val="0"/>
      <w:marRight w:val="0"/>
      <w:marTop w:val="0"/>
      <w:marBottom w:val="0"/>
      <w:divBdr>
        <w:top w:val="none" w:sz="0" w:space="0" w:color="auto"/>
        <w:left w:val="none" w:sz="0" w:space="0" w:color="auto"/>
        <w:bottom w:val="none" w:sz="0" w:space="0" w:color="auto"/>
        <w:right w:val="none" w:sz="0" w:space="0" w:color="auto"/>
      </w:divBdr>
    </w:div>
    <w:div w:id="1904900714">
      <w:bodyDiv w:val="1"/>
      <w:marLeft w:val="0"/>
      <w:marRight w:val="0"/>
      <w:marTop w:val="0"/>
      <w:marBottom w:val="0"/>
      <w:divBdr>
        <w:top w:val="none" w:sz="0" w:space="0" w:color="auto"/>
        <w:left w:val="none" w:sz="0" w:space="0" w:color="auto"/>
        <w:bottom w:val="none" w:sz="0" w:space="0" w:color="auto"/>
        <w:right w:val="none" w:sz="0" w:space="0" w:color="auto"/>
      </w:divBdr>
    </w:div>
    <w:div w:id="1904950558">
      <w:bodyDiv w:val="1"/>
      <w:marLeft w:val="0"/>
      <w:marRight w:val="0"/>
      <w:marTop w:val="0"/>
      <w:marBottom w:val="0"/>
      <w:divBdr>
        <w:top w:val="none" w:sz="0" w:space="0" w:color="auto"/>
        <w:left w:val="none" w:sz="0" w:space="0" w:color="auto"/>
        <w:bottom w:val="none" w:sz="0" w:space="0" w:color="auto"/>
        <w:right w:val="none" w:sz="0" w:space="0" w:color="auto"/>
      </w:divBdr>
    </w:div>
    <w:div w:id="1905023545">
      <w:bodyDiv w:val="1"/>
      <w:marLeft w:val="0"/>
      <w:marRight w:val="0"/>
      <w:marTop w:val="0"/>
      <w:marBottom w:val="0"/>
      <w:divBdr>
        <w:top w:val="none" w:sz="0" w:space="0" w:color="auto"/>
        <w:left w:val="none" w:sz="0" w:space="0" w:color="auto"/>
        <w:bottom w:val="none" w:sz="0" w:space="0" w:color="auto"/>
        <w:right w:val="none" w:sz="0" w:space="0" w:color="auto"/>
      </w:divBdr>
    </w:div>
    <w:div w:id="1905024682">
      <w:bodyDiv w:val="1"/>
      <w:marLeft w:val="0"/>
      <w:marRight w:val="0"/>
      <w:marTop w:val="0"/>
      <w:marBottom w:val="0"/>
      <w:divBdr>
        <w:top w:val="none" w:sz="0" w:space="0" w:color="auto"/>
        <w:left w:val="none" w:sz="0" w:space="0" w:color="auto"/>
        <w:bottom w:val="none" w:sz="0" w:space="0" w:color="auto"/>
        <w:right w:val="none" w:sz="0" w:space="0" w:color="auto"/>
      </w:divBdr>
    </w:div>
    <w:div w:id="1905287166">
      <w:bodyDiv w:val="1"/>
      <w:marLeft w:val="0"/>
      <w:marRight w:val="0"/>
      <w:marTop w:val="0"/>
      <w:marBottom w:val="0"/>
      <w:divBdr>
        <w:top w:val="none" w:sz="0" w:space="0" w:color="auto"/>
        <w:left w:val="none" w:sz="0" w:space="0" w:color="auto"/>
        <w:bottom w:val="none" w:sz="0" w:space="0" w:color="auto"/>
        <w:right w:val="none" w:sz="0" w:space="0" w:color="auto"/>
      </w:divBdr>
    </w:div>
    <w:div w:id="1905337875">
      <w:bodyDiv w:val="1"/>
      <w:marLeft w:val="0"/>
      <w:marRight w:val="0"/>
      <w:marTop w:val="0"/>
      <w:marBottom w:val="0"/>
      <w:divBdr>
        <w:top w:val="none" w:sz="0" w:space="0" w:color="auto"/>
        <w:left w:val="none" w:sz="0" w:space="0" w:color="auto"/>
        <w:bottom w:val="none" w:sz="0" w:space="0" w:color="auto"/>
        <w:right w:val="none" w:sz="0" w:space="0" w:color="auto"/>
      </w:divBdr>
    </w:div>
    <w:div w:id="1905410467">
      <w:bodyDiv w:val="1"/>
      <w:marLeft w:val="0"/>
      <w:marRight w:val="0"/>
      <w:marTop w:val="0"/>
      <w:marBottom w:val="0"/>
      <w:divBdr>
        <w:top w:val="none" w:sz="0" w:space="0" w:color="auto"/>
        <w:left w:val="none" w:sz="0" w:space="0" w:color="auto"/>
        <w:bottom w:val="none" w:sz="0" w:space="0" w:color="auto"/>
        <w:right w:val="none" w:sz="0" w:space="0" w:color="auto"/>
      </w:divBdr>
    </w:div>
    <w:div w:id="1905483553">
      <w:bodyDiv w:val="1"/>
      <w:marLeft w:val="0"/>
      <w:marRight w:val="0"/>
      <w:marTop w:val="0"/>
      <w:marBottom w:val="0"/>
      <w:divBdr>
        <w:top w:val="none" w:sz="0" w:space="0" w:color="auto"/>
        <w:left w:val="none" w:sz="0" w:space="0" w:color="auto"/>
        <w:bottom w:val="none" w:sz="0" w:space="0" w:color="auto"/>
        <w:right w:val="none" w:sz="0" w:space="0" w:color="auto"/>
      </w:divBdr>
    </w:div>
    <w:div w:id="1905529332">
      <w:bodyDiv w:val="1"/>
      <w:marLeft w:val="0"/>
      <w:marRight w:val="0"/>
      <w:marTop w:val="0"/>
      <w:marBottom w:val="0"/>
      <w:divBdr>
        <w:top w:val="none" w:sz="0" w:space="0" w:color="auto"/>
        <w:left w:val="none" w:sz="0" w:space="0" w:color="auto"/>
        <w:bottom w:val="none" w:sz="0" w:space="0" w:color="auto"/>
        <w:right w:val="none" w:sz="0" w:space="0" w:color="auto"/>
      </w:divBdr>
    </w:div>
    <w:div w:id="1905795493">
      <w:bodyDiv w:val="1"/>
      <w:marLeft w:val="0"/>
      <w:marRight w:val="0"/>
      <w:marTop w:val="0"/>
      <w:marBottom w:val="0"/>
      <w:divBdr>
        <w:top w:val="none" w:sz="0" w:space="0" w:color="auto"/>
        <w:left w:val="none" w:sz="0" w:space="0" w:color="auto"/>
        <w:bottom w:val="none" w:sz="0" w:space="0" w:color="auto"/>
        <w:right w:val="none" w:sz="0" w:space="0" w:color="auto"/>
      </w:divBdr>
    </w:div>
    <w:div w:id="1905873427">
      <w:bodyDiv w:val="1"/>
      <w:marLeft w:val="0"/>
      <w:marRight w:val="0"/>
      <w:marTop w:val="0"/>
      <w:marBottom w:val="0"/>
      <w:divBdr>
        <w:top w:val="none" w:sz="0" w:space="0" w:color="auto"/>
        <w:left w:val="none" w:sz="0" w:space="0" w:color="auto"/>
        <w:bottom w:val="none" w:sz="0" w:space="0" w:color="auto"/>
        <w:right w:val="none" w:sz="0" w:space="0" w:color="auto"/>
      </w:divBdr>
    </w:div>
    <w:div w:id="1905948403">
      <w:bodyDiv w:val="1"/>
      <w:marLeft w:val="0"/>
      <w:marRight w:val="0"/>
      <w:marTop w:val="0"/>
      <w:marBottom w:val="0"/>
      <w:divBdr>
        <w:top w:val="none" w:sz="0" w:space="0" w:color="auto"/>
        <w:left w:val="none" w:sz="0" w:space="0" w:color="auto"/>
        <w:bottom w:val="none" w:sz="0" w:space="0" w:color="auto"/>
        <w:right w:val="none" w:sz="0" w:space="0" w:color="auto"/>
      </w:divBdr>
    </w:div>
    <w:div w:id="1905985681">
      <w:bodyDiv w:val="1"/>
      <w:marLeft w:val="0"/>
      <w:marRight w:val="0"/>
      <w:marTop w:val="0"/>
      <w:marBottom w:val="0"/>
      <w:divBdr>
        <w:top w:val="none" w:sz="0" w:space="0" w:color="auto"/>
        <w:left w:val="none" w:sz="0" w:space="0" w:color="auto"/>
        <w:bottom w:val="none" w:sz="0" w:space="0" w:color="auto"/>
        <w:right w:val="none" w:sz="0" w:space="0" w:color="auto"/>
      </w:divBdr>
    </w:div>
    <w:div w:id="1906136166">
      <w:bodyDiv w:val="1"/>
      <w:marLeft w:val="0"/>
      <w:marRight w:val="0"/>
      <w:marTop w:val="0"/>
      <w:marBottom w:val="0"/>
      <w:divBdr>
        <w:top w:val="none" w:sz="0" w:space="0" w:color="auto"/>
        <w:left w:val="none" w:sz="0" w:space="0" w:color="auto"/>
        <w:bottom w:val="none" w:sz="0" w:space="0" w:color="auto"/>
        <w:right w:val="none" w:sz="0" w:space="0" w:color="auto"/>
      </w:divBdr>
    </w:div>
    <w:div w:id="1906143837">
      <w:bodyDiv w:val="1"/>
      <w:marLeft w:val="0"/>
      <w:marRight w:val="0"/>
      <w:marTop w:val="0"/>
      <w:marBottom w:val="0"/>
      <w:divBdr>
        <w:top w:val="none" w:sz="0" w:space="0" w:color="auto"/>
        <w:left w:val="none" w:sz="0" w:space="0" w:color="auto"/>
        <w:bottom w:val="none" w:sz="0" w:space="0" w:color="auto"/>
        <w:right w:val="none" w:sz="0" w:space="0" w:color="auto"/>
      </w:divBdr>
    </w:div>
    <w:div w:id="1906211310">
      <w:bodyDiv w:val="1"/>
      <w:marLeft w:val="0"/>
      <w:marRight w:val="0"/>
      <w:marTop w:val="0"/>
      <w:marBottom w:val="0"/>
      <w:divBdr>
        <w:top w:val="none" w:sz="0" w:space="0" w:color="auto"/>
        <w:left w:val="none" w:sz="0" w:space="0" w:color="auto"/>
        <w:bottom w:val="none" w:sz="0" w:space="0" w:color="auto"/>
        <w:right w:val="none" w:sz="0" w:space="0" w:color="auto"/>
      </w:divBdr>
    </w:div>
    <w:div w:id="1906258053">
      <w:bodyDiv w:val="1"/>
      <w:marLeft w:val="0"/>
      <w:marRight w:val="0"/>
      <w:marTop w:val="0"/>
      <w:marBottom w:val="0"/>
      <w:divBdr>
        <w:top w:val="none" w:sz="0" w:space="0" w:color="auto"/>
        <w:left w:val="none" w:sz="0" w:space="0" w:color="auto"/>
        <w:bottom w:val="none" w:sz="0" w:space="0" w:color="auto"/>
        <w:right w:val="none" w:sz="0" w:space="0" w:color="auto"/>
      </w:divBdr>
    </w:div>
    <w:div w:id="1906377822">
      <w:bodyDiv w:val="1"/>
      <w:marLeft w:val="0"/>
      <w:marRight w:val="0"/>
      <w:marTop w:val="0"/>
      <w:marBottom w:val="0"/>
      <w:divBdr>
        <w:top w:val="none" w:sz="0" w:space="0" w:color="auto"/>
        <w:left w:val="none" w:sz="0" w:space="0" w:color="auto"/>
        <w:bottom w:val="none" w:sz="0" w:space="0" w:color="auto"/>
        <w:right w:val="none" w:sz="0" w:space="0" w:color="auto"/>
      </w:divBdr>
    </w:div>
    <w:div w:id="1906446693">
      <w:bodyDiv w:val="1"/>
      <w:marLeft w:val="0"/>
      <w:marRight w:val="0"/>
      <w:marTop w:val="0"/>
      <w:marBottom w:val="0"/>
      <w:divBdr>
        <w:top w:val="none" w:sz="0" w:space="0" w:color="auto"/>
        <w:left w:val="none" w:sz="0" w:space="0" w:color="auto"/>
        <w:bottom w:val="none" w:sz="0" w:space="0" w:color="auto"/>
        <w:right w:val="none" w:sz="0" w:space="0" w:color="auto"/>
      </w:divBdr>
    </w:div>
    <w:div w:id="1906645882">
      <w:bodyDiv w:val="1"/>
      <w:marLeft w:val="0"/>
      <w:marRight w:val="0"/>
      <w:marTop w:val="0"/>
      <w:marBottom w:val="0"/>
      <w:divBdr>
        <w:top w:val="none" w:sz="0" w:space="0" w:color="auto"/>
        <w:left w:val="none" w:sz="0" w:space="0" w:color="auto"/>
        <w:bottom w:val="none" w:sz="0" w:space="0" w:color="auto"/>
        <w:right w:val="none" w:sz="0" w:space="0" w:color="auto"/>
      </w:divBdr>
    </w:div>
    <w:div w:id="1906649062">
      <w:bodyDiv w:val="1"/>
      <w:marLeft w:val="0"/>
      <w:marRight w:val="0"/>
      <w:marTop w:val="0"/>
      <w:marBottom w:val="0"/>
      <w:divBdr>
        <w:top w:val="none" w:sz="0" w:space="0" w:color="auto"/>
        <w:left w:val="none" w:sz="0" w:space="0" w:color="auto"/>
        <w:bottom w:val="none" w:sz="0" w:space="0" w:color="auto"/>
        <w:right w:val="none" w:sz="0" w:space="0" w:color="auto"/>
      </w:divBdr>
    </w:div>
    <w:div w:id="1906913620">
      <w:bodyDiv w:val="1"/>
      <w:marLeft w:val="0"/>
      <w:marRight w:val="0"/>
      <w:marTop w:val="0"/>
      <w:marBottom w:val="0"/>
      <w:divBdr>
        <w:top w:val="none" w:sz="0" w:space="0" w:color="auto"/>
        <w:left w:val="none" w:sz="0" w:space="0" w:color="auto"/>
        <w:bottom w:val="none" w:sz="0" w:space="0" w:color="auto"/>
        <w:right w:val="none" w:sz="0" w:space="0" w:color="auto"/>
      </w:divBdr>
    </w:div>
    <w:div w:id="1907035434">
      <w:bodyDiv w:val="1"/>
      <w:marLeft w:val="0"/>
      <w:marRight w:val="0"/>
      <w:marTop w:val="0"/>
      <w:marBottom w:val="0"/>
      <w:divBdr>
        <w:top w:val="none" w:sz="0" w:space="0" w:color="auto"/>
        <w:left w:val="none" w:sz="0" w:space="0" w:color="auto"/>
        <w:bottom w:val="none" w:sz="0" w:space="0" w:color="auto"/>
        <w:right w:val="none" w:sz="0" w:space="0" w:color="auto"/>
      </w:divBdr>
    </w:div>
    <w:div w:id="1907061267">
      <w:bodyDiv w:val="1"/>
      <w:marLeft w:val="0"/>
      <w:marRight w:val="0"/>
      <w:marTop w:val="0"/>
      <w:marBottom w:val="0"/>
      <w:divBdr>
        <w:top w:val="none" w:sz="0" w:space="0" w:color="auto"/>
        <w:left w:val="none" w:sz="0" w:space="0" w:color="auto"/>
        <w:bottom w:val="none" w:sz="0" w:space="0" w:color="auto"/>
        <w:right w:val="none" w:sz="0" w:space="0" w:color="auto"/>
      </w:divBdr>
    </w:div>
    <w:div w:id="1907063374">
      <w:bodyDiv w:val="1"/>
      <w:marLeft w:val="0"/>
      <w:marRight w:val="0"/>
      <w:marTop w:val="0"/>
      <w:marBottom w:val="0"/>
      <w:divBdr>
        <w:top w:val="none" w:sz="0" w:space="0" w:color="auto"/>
        <w:left w:val="none" w:sz="0" w:space="0" w:color="auto"/>
        <w:bottom w:val="none" w:sz="0" w:space="0" w:color="auto"/>
        <w:right w:val="none" w:sz="0" w:space="0" w:color="auto"/>
      </w:divBdr>
    </w:div>
    <w:div w:id="1907107101">
      <w:bodyDiv w:val="1"/>
      <w:marLeft w:val="0"/>
      <w:marRight w:val="0"/>
      <w:marTop w:val="0"/>
      <w:marBottom w:val="0"/>
      <w:divBdr>
        <w:top w:val="none" w:sz="0" w:space="0" w:color="auto"/>
        <w:left w:val="none" w:sz="0" w:space="0" w:color="auto"/>
        <w:bottom w:val="none" w:sz="0" w:space="0" w:color="auto"/>
        <w:right w:val="none" w:sz="0" w:space="0" w:color="auto"/>
      </w:divBdr>
    </w:div>
    <w:div w:id="1907298824">
      <w:bodyDiv w:val="1"/>
      <w:marLeft w:val="0"/>
      <w:marRight w:val="0"/>
      <w:marTop w:val="0"/>
      <w:marBottom w:val="0"/>
      <w:divBdr>
        <w:top w:val="none" w:sz="0" w:space="0" w:color="auto"/>
        <w:left w:val="none" w:sz="0" w:space="0" w:color="auto"/>
        <w:bottom w:val="none" w:sz="0" w:space="0" w:color="auto"/>
        <w:right w:val="none" w:sz="0" w:space="0" w:color="auto"/>
      </w:divBdr>
    </w:div>
    <w:div w:id="1907370815">
      <w:bodyDiv w:val="1"/>
      <w:marLeft w:val="0"/>
      <w:marRight w:val="0"/>
      <w:marTop w:val="0"/>
      <w:marBottom w:val="0"/>
      <w:divBdr>
        <w:top w:val="none" w:sz="0" w:space="0" w:color="auto"/>
        <w:left w:val="none" w:sz="0" w:space="0" w:color="auto"/>
        <w:bottom w:val="none" w:sz="0" w:space="0" w:color="auto"/>
        <w:right w:val="none" w:sz="0" w:space="0" w:color="auto"/>
      </w:divBdr>
    </w:div>
    <w:div w:id="1907380318">
      <w:bodyDiv w:val="1"/>
      <w:marLeft w:val="0"/>
      <w:marRight w:val="0"/>
      <w:marTop w:val="0"/>
      <w:marBottom w:val="0"/>
      <w:divBdr>
        <w:top w:val="none" w:sz="0" w:space="0" w:color="auto"/>
        <w:left w:val="none" w:sz="0" w:space="0" w:color="auto"/>
        <w:bottom w:val="none" w:sz="0" w:space="0" w:color="auto"/>
        <w:right w:val="none" w:sz="0" w:space="0" w:color="auto"/>
      </w:divBdr>
    </w:div>
    <w:div w:id="1907446835">
      <w:bodyDiv w:val="1"/>
      <w:marLeft w:val="0"/>
      <w:marRight w:val="0"/>
      <w:marTop w:val="0"/>
      <w:marBottom w:val="0"/>
      <w:divBdr>
        <w:top w:val="none" w:sz="0" w:space="0" w:color="auto"/>
        <w:left w:val="none" w:sz="0" w:space="0" w:color="auto"/>
        <w:bottom w:val="none" w:sz="0" w:space="0" w:color="auto"/>
        <w:right w:val="none" w:sz="0" w:space="0" w:color="auto"/>
      </w:divBdr>
    </w:div>
    <w:div w:id="1907567959">
      <w:bodyDiv w:val="1"/>
      <w:marLeft w:val="0"/>
      <w:marRight w:val="0"/>
      <w:marTop w:val="0"/>
      <w:marBottom w:val="0"/>
      <w:divBdr>
        <w:top w:val="none" w:sz="0" w:space="0" w:color="auto"/>
        <w:left w:val="none" w:sz="0" w:space="0" w:color="auto"/>
        <w:bottom w:val="none" w:sz="0" w:space="0" w:color="auto"/>
        <w:right w:val="none" w:sz="0" w:space="0" w:color="auto"/>
      </w:divBdr>
    </w:div>
    <w:div w:id="1907572723">
      <w:bodyDiv w:val="1"/>
      <w:marLeft w:val="0"/>
      <w:marRight w:val="0"/>
      <w:marTop w:val="0"/>
      <w:marBottom w:val="0"/>
      <w:divBdr>
        <w:top w:val="none" w:sz="0" w:space="0" w:color="auto"/>
        <w:left w:val="none" w:sz="0" w:space="0" w:color="auto"/>
        <w:bottom w:val="none" w:sz="0" w:space="0" w:color="auto"/>
        <w:right w:val="none" w:sz="0" w:space="0" w:color="auto"/>
      </w:divBdr>
    </w:div>
    <w:div w:id="1907641072">
      <w:bodyDiv w:val="1"/>
      <w:marLeft w:val="0"/>
      <w:marRight w:val="0"/>
      <w:marTop w:val="0"/>
      <w:marBottom w:val="0"/>
      <w:divBdr>
        <w:top w:val="none" w:sz="0" w:space="0" w:color="auto"/>
        <w:left w:val="none" w:sz="0" w:space="0" w:color="auto"/>
        <w:bottom w:val="none" w:sz="0" w:space="0" w:color="auto"/>
        <w:right w:val="none" w:sz="0" w:space="0" w:color="auto"/>
      </w:divBdr>
    </w:div>
    <w:div w:id="1907715097">
      <w:bodyDiv w:val="1"/>
      <w:marLeft w:val="0"/>
      <w:marRight w:val="0"/>
      <w:marTop w:val="0"/>
      <w:marBottom w:val="0"/>
      <w:divBdr>
        <w:top w:val="none" w:sz="0" w:space="0" w:color="auto"/>
        <w:left w:val="none" w:sz="0" w:space="0" w:color="auto"/>
        <w:bottom w:val="none" w:sz="0" w:space="0" w:color="auto"/>
        <w:right w:val="none" w:sz="0" w:space="0" w:color="auto"/>
      </w:divBdr>
    </w:div>
    <w:div w:id="1907764291">
      <w:bodyDiv w:val="1"/>
      <w:marLeft w:val="0"/>
      <w:marRight w:val="0"/>
      <w:marTop w:val="0"/>
      <w:marBottom w:val="0"/>
      <w:divBdr>
        <w:top w:val="none" w:sz="0" w:space="0" w:color="auto"/>
        <w:left w:val="none" w:sz="0" w:space="0" w:color="auto"/>
        <w:bottom w:val="none" w:sz="0" w:space="0" w:color="auto"/>
        <w:right w:val="none" w:sz="0" w:space="0" w:color="auto"/>
      </w:divBdr>
    </w:div>
    <w:div w:id="1907837213">
      <w:bodyDiv w:val="1"/>
      <w:marLeft w:val="0"/>
      <w:marRight w:val="0"/>
      <w:marTop w:val="0"/>
      <w:marBottom w:val="0"/>
      <w:divBdr>
        <w:top w:val="none" w:sz="0" w:space="0" w:color="auto"/>
        <w:left w:val="none" w:sz="0" w:space="0" w:color="auto"/>
        <w:bottom w:val="none" w:sz="0" w:space="0" w:color="auto"/>
        <w:right w:val="none" w:sz="0" w:space="0" w:color="auto"/>
      </w:divBdr>
    </w:div>
    <w:div w:id="1907914552">
      <w:bodyDiv w:val="1"/>
      <w:marLeft w:val="0"/>
      <w:marRight w:val="0"/>
      <w:marTop w:val="0"/>
      <w:marBottom w:val="0"/>
      <w:divBdr>
        <w:top w:val="none" w:sz="0" w:space="0" w:color="auto"/>
        <w:left w:val="none" w:sz="0" w:space="0" w:color="auto"/>
        <w:bottom w:val="none" w:sz="0" w:space="0" w:color="auto"/>
        <w:right w:val="none" w:sz="0" w:space="0" w:color="auto"/>
      </w:divBdr>
    </w:div>
    <w:div w:id="1908032705">
      <w:bodyDiv w:val="1"/>
      <w:marLeft w:val="0"/>
      <w:marRight w:val="0"/>
      <w:marTop w:val="0"/>
      <w:marBottom w:val="0"/>
      <w:divBdr>
        <w:top w:val="none" w:sz="0" w:space="0" w:color="auto"/>
        <w:left w:val="none" w:sz="0" w:space="0" w:color="auto"/>
        <w:bottom w:val="none" w:sz="0" w:space="0" w:color="auto"/>
        <w:right w:val="none" w:sz="0" w:space="0" w:color="auto"/>
      </w:divBdr>
    </w:div>
    <w:div w:id="1908106330">
      <w:bodyDiv w:val="1"/>
      <w:marLeft w:val="0"/>
      <w:marRight w:val="0"/>
      <w:marTop w:val="0"/>
      <w:marBottom w:val="0"/>
      <w:divBdr>
        <w:top w:val="none" w:sz="0" w:space="0" w:color="auto"/>
        <w:left w:val="none" w:sz="0" w:space="0" w:color="auto"/>
        <w:bottom w:val="none" w:sz="0" w:space="0" w:color="auto"/>
        <w:right w:val="none" w:sz="0" w:space="0" w:color="auto"/>
      </w:divBdr>
    </w:div>
    <w:div w:id="1908151330">
      <w:bodyDiv w:val="1"/>
      <w:marLeft w:val="0"/>
      <w:marRight w:val="0"/>
      <w:marTop w:val="0"/>
      <w:marBottom w:val="0"/>
      <w:divBdr>
        <w:top w:val="none" w:sz="0" w:space="0" w:color="auto"/>
        <w:left w:val="none" w:sz="0" w:space="0" w:color="auto"/>
        <w:bottom w:val="none" w:sz="0" w:space="0" w:color="auto"/>
        <w:right w:val="none" w:sz="0" w:space="0" w:color="auto"/>
      </w:divBdr>
    </w:div>
    <w:div w:id="1908301830">
      <w:bodyDiv w:val="1"/>
      <w:marLeft w:val="0"/>
      <w:marRight w:val="0"/>
      <w:marTop w:val="0"/>
      <w:marBottom w:val="0"/>
      <w:divBdr>
        <w:top w:val="none" w:sz="0" w:space="0" w:color="auto"/>
        <w:left w:val="none" w:sz="0" w:space="0" w:color="auto"/>
        <w:bottom w:val="none" w:sz="0" w:space="0" w:color="auto"/>
        <w:right w:val="none" w:sz="0" w:space="0" w:color="auto"/>
      </w:divBdr>
    </w:div>
    <w:div w:id="1908371161">
      <w:bodyDiv w:val="1"/>
      <w:marLeft w:val="0"/>
      <w:marRight w:val="0"/>
      <w:marTop w:val="0"/>
      <w:marBottom w:val="0"/>
      <w:divBdr>
        <w:top w:val="none" w:sz="0" w:space="0" w:color="auto"/>
        <w:left w:val="none" w:sz="0" w:space="0" w:color="auto"/>
        <w:bottom w:val="none" w:sz="0" w:space="0" w:color="auto"/>
        <w:right w:val="none" w:sz="0" w:space="0" w:color="auto"/>
      </w:divBdr>
    </w:div>
    <w:div w:id="1908421259">
      <w:bodyDiv w:val="1"/>
      <w:marLeft w:val="0"/>
      <w:marRight w:val="0"/>
      <w:marTop w:val="0"/>
      <w:marBottom w:val="0"/>
      <w:divBdr>
        <w:top w:val="none" w:sz="0" w:space="0" w:color="auto"/>
        <w:left w:val="none" w:sz="0" w:space="0" w:color="auto"/>
        <w:bottom w:val="none" w:sz="0" w:space="0" w:color="auto"/>
        <w:right w:val="none" w:sz="0" w:space="0" w:color="auto"/>
      </w:divBdr>
    </w:div>
    <w:div w:id="1908489409">
      <w:bodyDiv w:val="1"/>
      <w:marLeft w:val="0"/>
      <w:marRight w:val="0"/>
      <w:marTop w:val="0"/>
      <w:marBottom w:val="0"/>
      <w:divBdr>
        <w:top w:val="none" w:sz="0" w:space="0" w:color="auto"/>
        <w:left w:val="none" w:sz="0" w:space="0" w:color="auto"/>
        <w:bottom w:val="none" w:sz="0" w:space="0" w:color="auto"/>
        <w:right w:val="none" w:sz="0" w:space="0" w:color="auto"/>
      </w:divBdr>
    </w:div>
    <w:div w:id="1908493749">
      <w:bodyDiv w:val="1"/>
      <w:marLeft w:val="0"/>
      <w:marRight w:val="0"/>
      <w:marTop w:val="0"/>
      <w:marBottom w:val="0"/>
      <w:divBdr>
        <w:top w:val="none" w:sz="0" w:space="0" w:color="auto"/>
        <w:left w:val="none" w:sz="0" w:space="0" w:color="auto"/>
        <w:bottom w:val="none" w:sz="0" w:space="0" w:color="auto"/>
        <w:right w:val="none" w:sz="0" w:space="0" w:color="auto"/>
      </w:divBdr>
    </w:div>
    <w:div w:id="1908494043">
      <w:bodyDiv w:val="1"/>
      <w:marLeft w:val="0"/>
      <w:marRight w:val="0"/>
      <w:marTop w:val="0"/>
      <w:marBottom w:val="0"/>
      <w:divBdr>
        <w:top w:val="none" w:sz="0" w:space="0" w:color="auto"/>
        <w:left w:val="none" w:sz="0" w:space="0" w:color="auto"/>
        <w:bottom w:val="none" w:sz="0" w:space="0" w:color="auto"/>
        <w:right w:val="none" w:sz="0" w:space="0" w:color="auto"/>
      </w:divBdr>
    </w:div>
    <w:div w:id="1908874365">
      <w:bodyDiv w:val="1"/>
      <w:marLeft w:val="0"/>
      <w:marRight w:val="0"/>
      <w:marTop w:val="0"/>
      <w:marBottom w:val="0"/>
      <w:divBdr>
        <w:top w:val="none" w:sz="0" w:space="0" w:color="auto"/>
        <w:left w:val="none" w:sz="0" w:space="0" w:color="auto"/>
        <w:bottom w:val="none" w:sz="0" w:space="0" w:color="auto"/>
        <w:right w:val="none" w:sz="0" w:space="0" w:color="auto"/>
      </w:divBdr>
    </w:div>
    <w:div w:id="1908955635">
      <w:bodyDiv w:val="1"/>
      <w:marLeft w:val="0"/>
      <w:marRight w:val="0"/>
      <w:marTop w:val="0"/>
      <w:marBottom w:val="0"/>
      <w:divBdr>
        <w:top w:val="none" w:sz="0" w:space="0" w:color="auto"/>
        <w:left w:val="none" w:sz="0" w:space="0" w:color="auto"/>
        <w:bottom w:val="none" w:sz="0" w:space="0" w:color="auto"/>
        <w:right w:val="none" w:sz="0" w:space="0" w:color="auto"/>
      </w:divBdr>
    </w:div>
    <w:div w:id="1908957983">
      <w:bodyDiv w:val="1"/>
      <w:marLeft w:val="0"/>
      <w:marRight w:val="0"/>
      <w:marTop w:val="0"/>
      <w:marBottom w:val="0"/>
      <w:divBdr>
        <w:top w:val="none" w:sz="0" w:space="0" w:color="auto"/>
        <w:left w:val="none" w:sz="0" w:space="0" w:color="auto"/>
        <w:bottom w:val="none" w:sz="0" w:space="0" w:color="auto"/>
        <w:right w:val="none" w:sz="0" w:space="0" w:color="auto"/>
      </w:divBdr>
    </w:div>
    <w:div w:id="1909029533">
      <w:bodyDiv w:val="1"/>
      <w:marLeft w:val="0"/>
      <w:marRight w:val="0"/>
      <w:marTop w:val="0"/>
      <w:marBottom w:val="0"/>
      <w:divBdr>
        <w:top w:val="none" w:sz="0" w:space="0" w:color="auto"/>
        <w:left w:val="none" w:sz="0" w:space="0" w:color="auto"/>
        <w:bottom w:val="none" w:sz="0" w:space="0" w:color="auto"/>
        <w:right w:val="none" w:sz="0" w:space="0" w:color="auto"/>
      </w:divBdr>
    </w:div>
    <w:div w:id="1909148326">
      <w:bodyDiv w:val="1"/>
      <w:marLeft w:val="0"/>
      <w:marRight w:val="0"/>
      <w:marTop w:val="0"/>
      <w:marBottom w:val="0"/>
      <w:divBdr>
        <w:top w:val="none" w:sz="0" w:space="0" w:color="auto"/>
        <w:left w:val="none" w:sz="0" w:space="0" w:color="auto"/>
        <w:bottom w:val="none" w:sz="0" w:space="0" w:color="auto"/>
        <w:right w:val="none" w:sz="0" w:space="0" w:color="auto"/>
      </w:divBdr>
    </w:div>
    <w:div w:id="1909223055">
      <w:bodyDiv w:val="1"/>
      <w:marLeft w:val="0"/>
      <w:marRight w:val="0"/>
      <w:marTop w:val="0"/>
      <w:marBottom w:val="0"/>
      <w:divBdr>
        <w:top w:val="none" w:sz="0" w:space="0" w:color="auto"/>
        <w:left w:val="none" w:sz="0" w:space="0" w:color="auto"/>
        <w:bottom w:val="none" w:sz="0" w:space="0" w:color="auto"/>
        <w:right w:val="none" w:sz="0" w:space="0" w:color="auto"/>
      </w:divBdr>
    </w:div>
    <w:div w:id="1909265493">
      <w:bodyDiv w:val="1"/>
      <w:marLeft w:val="0"/>
      <w:marRight w:val="0"/>
      <w:marTop w:val="0"/>
      <w:marBottom w:val="0"/>
      <w:divBdr>
        <w:top w:val="none" w:sz="0" w:space="0" w:color="auto"/>
        <w:left w:val="none" w:sz="0" w:space="0" w:color="auto"/>
        <w:bottom w:val="none" w:sz="0" w:space="0" w:color="auto"/>
        <w:right w:val="none" w:sz="0" w:space="0" w:color="auto"/>
      </w:divBdr>
    </w:div>
    <w:div w:id="1909267531">
      <w:bodyDiv w:val="1"/>
      <w:marLeft w:val="0"/>
      <w:marRight w:val="0"/>
      <w:marTop w:val="0"/>
      <w:marBottom w:val="0"/>
      <w:divBdr>
        <w:top w:val="none" w:sz="0" w:space="0" w:color="auto"/>
        <w:left w:val="none" w:sz="0" w:space="0" w:color="auto"/>
        <w:bottom w:val="none" w:sz="0" w:space="0" w:color="auto"/>
        <w:right w:val="none" w:sz="0" w:space="0" w:color="auto"/>
      </w:divBdr>
    </w:div>
    <w:div w:id="1909419601">
      <w:bodyDiv w:val="1"/>
      <w:marLeft w:val="0"/>
      <w:marRight w:val="0"/>
      <w:marTop w:val="0"/>
      <w:marBottom w:val="0"/>
      <w:divBdr>
        <w:top w:val="none" w:sz="0" w:space="0" w:color="auto"/>
        <w:left w:val="none" w:sz="0" w:space="0" w:color="auto"/>
        <w:bottom w:val="none" w:sz="0" w:space="0" w:color="auto"/>
        <w:right w:val="none" w:sz="0" w:space="0" w:color="auto"/>
      </w:divBdr>
    </w:div>
    <w:div w:id="1909457442">
      <w:bodyDiv w:val="1"/>
      <w:marLeft w:val="0"/>
      <w:marRight w:val="0"/>
      <w:marTop w:val="0"/>
      <w:marBottom w:val="0"/>
      <w:divBdr>
        <w:top w:val="none" w:sz="0" w:space="0" w:color="auto"/>
        <w:left w:val="none" w:sz="0" w:space="0" w:color="auto"/>
        <w:bottom w:val="none" w:sz="0" w:space="0" w:color="auto"/>
        <w:right w:val="none" w:sz="0" w:space="0" w:color="auto"/>
      </w:divBdr>
    </w:div>
    <w:div w:id="1909614155">
      <w:bodyDiv w:val="1"/>
      <w:marLeft w:val="0"/>
      <w:marRight w:val="0"/>
      <w:marTop w:val="0"/>
      <w:marBottom w:val="0"/>
      <w:divBdr>
        <w:top w:val="none" w:sz="0" w:space="0" w:color="auto"/>
        <w:left w:val="none" w:sz="0" w:space="0" w:color="auto"/>
        <w:bottom w:val="none" w:sz="0" w:space="0" w:color="auto"/>
        <w:right w:val="none" w:sz="0" w:space="0" w:color="auto"/>
      </w:divBdr>
    </w:div>
    <w:div w:id="1909654548">
      <w:bodyDiv w:val="1"/>
      <w:marLeft w:val="0"/>
      <w:marRight w:val="0"/>
      <w:marTop w:val="0"/>
      <w:marBottom w:val="0"/>
      <w:divBdr>
        <w:top w:val="none" w:sz="0" w:space="0" w:color="auto"/>
        <w:left w:val="none" w:sz="0" w:space="0" w:color="auto"/>
        <w:bottom w:val="none" w:sz="0" w:space="0" w:color="auto"/>
        <w:right w:val="none" w:sz="0" w:space="0" w:color="auto"/>
      </w:divBdr>
    </w:div>
    <w:div w:id="1909682721">
      <w:bodyDiv w:val="1"/>
      <w:marLeft w:val="0"/>
      <w:marRight w:val="0"/>
      <w:marTop w:val="0"/>
      <w:marBottom w:val="0"/>
      <w:divBdr>
        <w:top w:val="none" w:sz="0" w:space="0" w:color="auto"/>
        <w:left w:val="none" w:sz="0" w:space="0" w:color="auto"/>
        <w:bottom w:val="none" w:sz="0" w:space="0" w:color="auto"/>
        <w:right w:val="none" w:sz="0" w:space="0" w:color="auto"/>
      </w:divBdr>
    </w:div>
    <w:div w:id="1909800113">
      <w:bodyDiv w:val="1"/>
      <w:marLeft w:val="0"/>
      <w:marRight w:val="0"/>
      <w:marTop w:val="0"/>
      <w:marBottom w:val="0"/>
      <w:divBdr>
        <w:top w:val="none" w:sz="0" w:space="0" w:color="auto"/>
        <w:left w:val="none" w:sz="0" w:space="0" w:color="auto"/>
        <w:bottom w:val="none" w:sz="0" w:space="0" w:color="auto"/>
        <w:right w:val="none" w:sz="0" w:space="0" w:color="auto"/>
      </w:divBdr>
    </w:div>
    <w:div w:id="1909805423">
      <w:bodyDiv w:val="1"/>
      <w:marLeft w:val="0"/>
      <w:marRight w:val="0"/>
      <w:marTop w:val="0"/>
      <w:marBottom w:val="0"/>
      <w:divBdr>
        <w:top w:val="none" w:sz="0" w:space="0" w:color="auto"/>
        <w:left w:val="none" w:sz="0" w:space="0" w:color="auto"/>
        <w:bottom w:val="none" w:sz="0" w:space="0" w:color="auto"/>
        <w:right w:val="none" w:sz="0" w:space="0" w:color="auto"/>
      </w:divBdr>
    </w:div>
    <w:div w:id="1910075385">
      <w:bodyDiv w:val="1"/>
      <w:marLeft w:val="0"/>
      <w:marRight w:val="0"/>
      <w:marTop w:val="0"/>
      <w:marBottom w:val="0"/>
      <w:divBdr>
        <w:top w:val="none" w:sz="0" w:space="0" w:color="auto"/>
        <w:left w:val="none" w:sz="0" w:space="0" w:color="auto"/>
        <w:bottom w:val="none" w:sz="0" w:space="0" w:color="auto"/>
        <w:right w:val="none" w:sz="0" w:space="0" w:color="auto"/>
      </w:divBdr>
    </w:div>
    <w:div w:id="1910112877">
      <w:bodyDiv w:val="1"/>
      <w:marLeft w:val="0"/>
      <w:marRight w:val="0"/>
      <w:marTop w:val="0"/>
      <w:marBottom w:val="0"/>
      <w:divBdr>
        <w:top w:val="none" w:sz="0" w:space="0" w:color="auto"/>
        <w:left w:val="none" w:sz="0" w:space="0" w:color="auto"/>
        <w:bottom w:val="none" w:sz="0" w:space="0" w:color="auto"/>
        <w:right w:val="none" w:sz="0" w:space="0" w:color="auto"/>
      </w:divBdr>
    </w:div>
    <w:div w:id="1910188739">
      <w:bodyDiv w:val="1"/>
      <w:marLeft w:val="0"/>
      <w:marRight w:val="0"/>
      <w:marTop w:val="0"/>
      <w:marBottom w:val="0"/>
      <w:divBdr>
        <w:top w:val="none" w:sz="0" w:space="0" w:color="auto"/>
        <w:left w:val="none" w:sz="0" w:space="0" w:color="auto"/>
        <w:bottom w:val="none" w:sz="0" w:space="0" w:color="auto"/>
        <w:right w:val="none" w:sz="0" w:space="0" w:color="auto"/>
      </w:divBdr>
    </w:div>
    <w:div w:id="1910261907">
      <w:bodyDiv w:val="1"/>
      <w:marLeft w:val="0"/>
      <w:marRight w:val="0"/>
      <w:marTop w:val="0"/>
      <w:marBottom w:val="0"/>
      <w:divBdr>
        <w:top w:val="none" w:sz="0" w:space="0" w:color="auto"/>
        <w:left w:val="none" w:sz="0" w:space="0" w:color="auto"/>
        <w:bottom w:val="none" w:sz="0" w:space="0" w:color="auto"/>
        <w:right w:val="none" w:sz="0" w:space="0" w:color="auto"/>
      </w:divBdr>
    </w:div>
    <w:div w:id="1910264191">
      <w:bodyDiv w:val="1"/>
      <w:marLeft w:val="0"/>
      <w:marRight w:val="0"/>
      <w:marTop w:val="0"/>
      <w:marBottom w:val="0"/>
      <w:divBdr>
        <w:top w:val="none" w:sz="0" w:space="0" w:color="auto"/>
        <w:left w:val="none" w:sz="0" w:space="0" w:color="auto"/>
        <w:bottom w:val="none" w:sz="0" w:space="0" w:color="auto"/>
        <w:right w:val="none" w:sz="0" w:space="0" w:color="auto"/>
      </w:divBdr>
    </w:div>
    <w:div w:id="1910265765">
      <w:bodyDiv w:val="1"/>
      <w:marLeft w:val="0"/>
      <w:marRight w:val="0"/>
      <w:marTop w:val="0"/>
      <w:marBottom w:val="0"/>
      <w:divBdr>
        <w:top w:val="none" w:sz="0" w:space="0" w:color="auto"/>
        <w:left w:val="none" w:sz="0" w:space="0" w:color="auto"/>
        <w:bottom w:val="none" w:sz="0" w:space="0" w:color="auto"/>
        <w:right w:val="none" w:sz="0" w:space="0" w:color="auto"/>
      </w:divBdr>
    </w:div>
    <w:div w:id="1910339504">
      <w:bodyDiv w:val="1"/>
      <w:marLeft w:val="0"/>
      <w:marRight w:val="0"/>
      <w:marTop w:val="0"/>
      <w:marBottom w:val="0"/>
      <w:divBdr>
        <w:top w:val="none" w:sz="0" w:space="0" w:color="auto"/>
        <w:left w:val="none" w:sz="0" w:space="0" w:color="auto"/>
        <w:bottom w:val="none" w:sz="0" w:space="0" w:color="auto"/>
        <w:right w:val="none" w:sz="0" w:space="0" w:color="auto"/>
      </w:divBdr>
    </w:div>
    <w:div w:id="1910459633">
      <w:bodyDiv w:val="1"/>
      <w:marLeft w:val="0"/>
      <w:marRight w:val="0"/>
      <w:marTop w:val="0"/>
      <w:marBottom w:val="0"/>
      <w:divBdr>
        <w:top w:val="none" w:sz="0" w:space="0" w:color="auto"/>
        <w:left w:val="none" w:sz="0" w:space="0" w:color="auto"/>
        <w:bottom w:val="none" w:sz="0" w:space="0" w:color="auto"/>
        <w:right w:val="none" w:sz="0" w:space="0" w:color="auto"/>
      </w:divBdr>
    </w:div>
    <w:div w:id="1910531632">
      <w:bodyDiv w:val="1"/>
      <w:marLeft w:val="0"/>
      <w:marRight w:val="0"/>
      <w:marTop w:val="0"/>
      <w:marBottom w:val="0"/>
      <w:divBdr>
        <w:top w:val="none" w:sz="0" w:space="0" w:color="auto"/>
        <w:left w:val="none" w:sz="0" w:space="0" w:color="auto"/>
        <w:bottom w:val="none" w:sz="0" w:space="0" w:color="auto"/>
        <w:right w:val="none" w:sz="0" w:space="0" w:color="auto"/>
      </w:divBdr>
    </w:div>
    <w:div w:id="1910573453">
      <w:bodyDiv w:val="1"/>
      <w:marLeft w:val="0"/>
      <w:marRight w:val="0"/>
      <w:marTop w:val="0"/>
      <w:marBottom w:val="0"/>
      <w:divBdr>
        <w:top w:val="none" w:sz="0" w:space="0" w:color="auto"/>
        <w:left w:val="none" w:sz="0" w:space="0" w:color="auto"/>
        <w:bottom w:val="none" w:sz="0" w:space="0" w:color="auto"/>
        <w:right w:val="none" w:sz="0" w:space="0" w:color="auto"/>
      </w:divBdr>
    </w:div>
    <w:div w:id="1910579839">
      <w:bodyDiv w:val="1"/>
      <w:marLeft w:val="0"/>
      <w:marRight w:val="0"/>
      <w:marTop w:val="0"/>
      <w:marBottom w:val="0"/>
      <w:divBdr>
        <w:top w:val="none" w:sz="0" w:space="0" w:color="auto"/>
        <w:left w:val="none" w:sz="0" w:space="0" w:color="auto"/>
        <w:bottom w:val="none" w:sz="0" w:space="0" w:color="auto"/>
        <w:right w:val="none" w:sz="0" w:space="0" w:color="auto"/>
      </w:divBdr>
    </w:div>
    <w:div w:id="1910652118">
      <w:bodyDiv w:val="1"/>
      <w:marLeft w:val="0"/>
      <w:marRight w:val="0"/>
      <w:marTop w:val="0"/>
      <w:marBottom w:val="0"/>
      <w:divBdr>
        <w:top w:val="none" w:sz="0" w:space="0" w:color="auto"/>
        <w:left w:val="none" w:sz="0" w:space="0" w:color="auto"/>
        <w:bottom w:val="none" w:sz="0" w:space="0" w:color="auto"/>
        <w:right w:val="none" w:sz="0" w:space="0" w:color="auto"/>
      </w:divBdr>
    </w:div>
    <w:div w:id="1910725702">
      <w:bodyDiv w:val="1"/>
      <w:marLeft w:val="0"/>
      <w:marRight w:val="0"/>
      <w:marTop w:val="0"/>
      <w:marBottom w:val="0"/>
      <w:divBdr>
        <w:top w:val="none" w:sz="0" w:space="0" w:color="auto"/>
        <w:left w:val="none" w:sz="0" w:space="0" w:color="auto"/>
        <w:bottom w:val="none" w:sz="0" w:space="0" w:color="auto"/>
        <w:right w:val="none" w:sz="0" w:space="0" w:color="auto"/>
      </w:divBdr>
    </w:div>
    <w:div w:id="1910731215">
      <w:bodyDiv w:val="1"/>
      <w:marLeft w:val="0"/>
      <w:marRight w:val="0"/>
      <w:marTop w:val="0"/>
      <w:marBottom w:val="0"/>
      <w:divBdr>
        <w:top w:val="none" w:sz="0" w:space="0" w:color="auto"/>
        <w:left w:val="none" w:sz="0" w:space="0" w:color="auto"/>
        <w:bottom w:val="none" w:sz="0" w:space="0" w:color="auto"/>
        <w:right w:val="none" w:sz="0" w:space="0" w:color="auto"/>
      </w:divBdr>
    </w:div>
    <w:div w:id="1910799416">
      <w:bodyDiv w:val="1"/>
      <w:marLeft w:val="0"/>
      <w:marRight w:val="0"/>
      <w:marTop w:val="0"/>
      <w:marBottom w:val="0"/>
      <w:divBdr>
        <w:top w:val="none" w:sz="0" w:space="0" w:color="auto"/>
        <w:left w:val="none" w:sz="0" w:space="0" w:color="auto"/>
        <w:bottom w:val="none" w:sz="0" w:space="0" w:color="auto"/>
        <w:right w:val="none" w:sz="0" w:space="0" w:color="auto"/>
      </w:divBdr>
    </w:div>
    <w:div w:id="1910920127">
      <w:bodyDiv w:val="1"/>
      <w:marLeft w:val="0"/>
      <w:marRight w:val="0"/>
      <w:marTop w:val="0"/>
      <w:marBottom w:val="0"/>
      <w:divBdr>
        <w:top w:val="none" w:sz="0" w:space="0" w:color="auto"/>
        <w:left w:val="none" w:sz="0" w:space="0" w:color="auto"/>
        <w:bottom w:val="none" w:sz="0" w:space="0" w:color="auto"/>
        <w:right w:val="none" w:sz="0" w:space="0" w:color="auto"/>
      </w:divBdr>
    </w:div>
    <w:div w:id="1910965998">
      <w:bodyDiv w:val="1"/>
      <w:marLeft w:val="0"/>
      <w:marRight w:val="0"/>
      <w:marTop w:val="0"/>
      <w:marBottom w:val="0"/>
      <w:divBdr>
        <w:top w:val="none" w:sz="0" w:space="0" w:color="auto"/>
        <w:left w:val="none" w:sz="0" w:space="0" w:color="auto"/>
        <w:bottom w:val="none" w:sz="0" w:space="0" w:color="auto"/>
        <w:right w:val="none" w:sz="0" w:space="0" w:color="auto"/>
      </w:divBdr>
    </w:div>
    <w:div w:id="1910995753">
      <w:bodyDiv w:val="1"/>
      <w:marLeft w:val="0"/>
      <w:marRight w:val="0"/>
      <w:marTop w:val="0"/>
      <w:marBottom w:val="0"/>
      <w:divBdr>
        <w:top w:val="none" w:sz="0" w:space="0" w:color="auto"/>
        <w:left w:val="none" w:sz="0" w:space="0" w:color="auto"/>
        <w:bottom w:val="none" w:sz="0" w:space="0" w:color="auto"/>
        <w:right w:val="none" w:sz="0" w:space="0" w:color="auto"/>
      </w:divBdr>
    </w:div>
    <w:div w:id="1910996093">
      <w:bodyDiv w:val="1"/>
      <w:marLeft w:val="0"/>
      <w:marRight w:val="0"/>
      <w:marTop w:val="0"/>
      <w:marBottom w:val="0"/>
      <w:divBdr>
        <w:top w:val="none" w:sz="0" w:space="0" w:color="auto"/>
        <w:left w:val="none" w:sz="0" w:space="0" w:color="auto"/>
        <w:bottom w:val="none" w:sz="0" w:space="0" w:color="auto"/>
        <w:right w:val="none" w:sz="0" w:space="0" w:color="auto"/>
      </w:divBdr>
    </w:div>
    <w:div w:id="1911042030">
      <w:bodyDiv w:val="1"/>
      <w:marLeft w:val="0"/>
      <w:marRight w:val="0"/>
      <w:marTop w:val="0"/>
      <w:marBottom w:val="0"/>
      <w:divBdr>
        <w:top w:val="none" w:sz="0" w:space="0" w:color="auto"/>
        <w:left w:val="none" w:sz="0" w:space="0" w:color="auto"/>
        <w:bottom w:val="none" w:sz="0" w:space="0" w:color="auto"/>
        <w:right w:val="none" w:sz="0" w:space="0" w:color="auto"/>
      </w:divBdr>
    </w:div>
    <w:div w:id="1911112275">
      <w:bodyDiv w:val="1"/>
      <w:marLeft w:val="0"/>
      <w:marRight w:val="0"/>
      <w:marTop w:val="0"/>
      <w:marBottom w:val="0"/>
      <w:divBdr>
        <w:top w:val="none" w:sz="0" w:space="0" w:color="auto"/>
        <w:left w:val="none" w:sz="0" w:space="0" w:color="auto"/>
        <w:bottom w:val="none" w:sz="0" w:space="0" w:color="auto"/>
        <w:right w:val="none" w:sz="0" w:space="0" w:color="auto"/>
      </w:divBdr>
    </w:div>
    <w:div w:id="1911114030">
      <w:bodyDiv w:val="1"/>
      <w:marLeft w:val="0"/>
      <w:marRight w:val="0"/>
      <w:marTop w:val="0"/>
      <w:marBottom w:val="0"/>
      <w:divBdr>
        <w:top w:val="none" w:sz="0" w:space="0" w:color="auto"/>
        <w:left w:val="none" w:sz="0" w:space="0" w:color="auto"/>
        <w:bottom w:val="none" w:sz="0" w:space="0" w:color="auto"/>
        <w:right w:val="none" w:sz="0" w:space="0" w:color="auto"/>
      </w:divBdr>
    </w:div>
    <w:div w:id="1911192545">
      <w:bodyDiv w:val="1"/>
      <w:marLeft w:val="0"/>
      <w:marRight w:val="0"/>
      <w:marTop w:val="0"/>
      <w:marBottom w:val="0"/>
      <w:divBdr>
        <w:top w:val="none" w:sz="0" w:space="0" w:color="auto"/>
        <w:left w:val="none" w:sz="0" w:space="0" w:color="auto"/>
        <w:bottom w:val="none" w:sz="0" w:space="0" w:color="auto"/>
        <w:right w:val="none" w:sz="0" w:space="0" w:color="auto"/>
      </w:divBdr>
    </w:div>
    <w:div w:id="1911233675">
      <w:bodyDiv w:val="1"/>
      <w:marLeft w:val="0"/>
      <w:marRight w:val="0"/>
      <w:marTop w:val="0"/>
      <w:marBottom w:val="0"/>
      <w:divBdr>
        <w:top w:val="none" w:sz="0" w:space="0" w:color="auto"/>
        <w:left w:val="none" w:sz="0" w:space="0" w:color="auto"/>
        <w:bottom w:val="none" w:sz="0" w:space="0" w:color="auto"/>
        <w:right w:val="none" w:sz="0" w:space="0" w:color="auto"/>
      </w:divBdr>
    </w:div>
    <w:div w:id="1911234793">
      <w:bodyDiv w:val="1"/>
      <w:marLeft w:val="0"/>
      <w:marRight w:val="0"/>
      <w:marTop w:val="0"/>
      <w:marBottom w:val="0"/>
      <w:divBdr>
        <w:top w:val="none" w:sz="0" w:space="0" w:color="auto"/>
        <w:left w:val="none" w:sz="0" w:space="0" w:color="auto"/>
        <w:bottom w:val="none" w:sz="0" w:space="0" w:color="auto"/>
        <w:right w:val="none" w:sz="0" w:space="0" w:color="auto"/>
      </w:divBdr>
    </w:div>
    <w:div w:id="1911378777">
      <w:bodyDiv w:val="1"/>
      <w:marLeft w:val="0"/>
      <w:marRight w:val="0"/>
      <w:marTop w:val="0"/>
      <w:marBottom w:val="0"/>
      <w:divBdr>
        <w:top w:val="none" w:sz="0" w:space="0" w:color="auto"/>
        <w:left w:val="none" w:sz="0" w:space="0" w:color="auto"/>
        <w:bottom w:val="none" w:sz="0" w:space="0" w:color="auto"/>
        <w:right w:val="none" w:sz="0" w:space="0" w:color="auto"/>
      </w:divBdr>
    </w:div>
    <w:div w:id="1911383935">
      <w:bodyDiv w:val="1"/>
      <w:marLeft w:val="0"/>
      <w:marRight w:val="0"/>
      <w:marTop w:val="0"/>
      <w:marBottom w:val="0"/>
      <w:divBdr>
        <w:top w:val="none" w:sz="0" w:space="0" w:color="auto"/>
        <w:left w:val="none" w:sz="0" w:space="0" w:color="auto"/>
        <w:bottom w:val="none" w:sz="0" w:space="0" w:color="auto"/>
        <w:right w:val="none" w:sz="0" w:space="0" w:color="auto"/>
      </w:divBdr>
    </w:div>
    <w:div w:id="1911385765">
      <w:bodyDiv w:val="1"/>
      <w:marLeft w:val="0"/>
      <w:marRight w:val="0"/>
      <w:marTop w:val="0"/>
      <w:marBottom w:val="0"/>
      <w:divBdr>
        <w:top w:val="none" w:sz="0" w:space="0" w:color="auto"/>
        <w:left w:val="none" w:sz="0" w:space="0" w:color="auto"/>
        <w:bottom w:val="none" w:sz="0" w:space="0" w:color="auto"/>
        <w:right w:val="none" w:sz="0" w:space="0" w:color="auto"/>
      </w:divBdr>
    </w:div>
    <w:div w:id="1911497285">
      <w:bodyDiv w:val="1"/>
      <w:marLeft w:val="0"/>
      <w:marRight w:val="0"/>
      <w:marTop w:val="0"/>
      <w:marBottom w:val="0"/>
      <w:divBdr>
        <w:top w:val="none" w:sz="0" w:space="0" w:color="auto"/>
        <w:left w:val="none" w:sz="0" w:space="0" w:color="auto"/>
        <w:bottom w:val="none" w:sz="0" w:space="0" w:color="auto"/>
        <w:right w:val="none" w:sz="0" w:space="0" w:color="auto"/>
      </w:divBdr>
    </w:div>
    <w:div w:id="1911578971">
      <w:bodyDiv w:val="1"/>
      <w:marLeft w:val="0"/>
      <w:marRight w:val="0"/>
      <w:marTop w:val="0"/>
      <w:marBottom w:val="0"/>
      <w:divBdr>
        <w:top w:val="none" w:sz="0" w:space="0" w:color="auto"/>
        <w:left w:val="none" w:sz="0" w:space="0" w:color="auto"/>
        <w:bottom w:val="none" w:sz="0" w:space="0" w:color="auto"/>
        <w:right w:val="none" w:sz="0" w:space="0" w:color="auto"/>
      </w:divBdr>
    </w:div>
    <w:div w:id="1911647740">
      <w:bodyDiv w:val="1"/>
      <w:marLeft w:val="0"/>
      <w:marRight w:val="0"/>
      <w:marTop w:val="0"/>
      <w:marBottom w:val="0"/>
      <w:divBdr>
        <w:top w:val="none" w:sz="0" w:space="0" w:color="auto"/>
        <w:left w:val="none" w:sz="0" w:space="0" w:color="auto"/>
        <w:bottom w:val="none" w:sz="0" w:space="0" w:color="auto"/>
        <w:right w:val="none" w:sz="0" w:space="0" w:color="auto"/>
      </w:divBdr>
    </w:div>
    <w:div w:id="1911772757">
      <w:bodyDiv w:val="1"/>
      <w:marLeft w:val="0"/>
      <w:marRight w:val="0"/>
      <w:marTop w:val="0"/>
      <w:marBottom w:val="0"/>
      <w:divBdr>
        <w:top w:val="none" w:sz="0" w:space="0" w:color="auto"/>
        <w:left w:val="none" w:sz="0" w:space="0" w:color="auto"/>
        <w:bottom w:val="none" w:sz="0" w:space="0" w:color="auto"/>
        <w:right w:val="none" w:sz="0" w:space="0" w:color="auto"/>
      </w:divBdr>
    </w:div>
    <w:div w:id="1911841448">
      <w:bodyDiv w:val="1"/>
      <w:marLeft w:val="0"/>
      <w:marRight w:val="0"/>
      <w:marTop w:val="0"/>
      <w:marBottom w:val="0"/>
      <w:divBdr>
        <w:top w:val="none" w:sz="0" w:space="0" w:color="auto"/>
        <w:left w:val="none" w:sz="0" w:space="0" w:color="auto"/>
        <w:bottom w:val="none" w:sz="0" w:space="0" w:color="auto"/>
        <w:right w:val="none" w:sz="0" w:space="0" w:color="auto"/>
      </w:divBdr>
    </w:div>
    <w:div w:id="1911842481">
      <w:bodyDiv w:val="1"/>
      <w:marLeft w:val="0"/>
      <w:marRight w:val="0"/>
      <w:marTop w:val="0"/>
      <w:marBottom w:val="0"/>
      <w:divBdr>
        <w:top w:val="none" w:sz="0" w:space="0" w:color="auto"/>
        <w:left w:val="none" w:sz="0" w:space="0" w:color="auto"/>
        <w:bottom w:val="none" w:sz="0" w:space="0" w:color="auto"/>
        <w:right w:val="none" w:sz="0" w:space="0" w:color="auto"/>
      </w:divBdr>
    </w:div>
    <w:div w:id="1911961510">
      <w:bodyDiv w:val="1"/>
      <w:marLeft w:val="0"/>
      <w:marRight w:val="0"/>
      <w:marTop w:val="0"/>
      <w:marBottom w:val="0"/>
      <w:divBdr>
        <w:top w:val="none" w:sz="0" w:space="0" w:color="auto"/>
        <w:left w:val="none" w:sz="0" w:space="0" w:color="auto"/>
        <w:bottom w:val="none" w:sz="0" w:space="0" w:color="auto"/>
        <w:right w:val="none" w:sz="0" w:space="0" w:color="auto"/>
      </w:divBdr>
    </w:div>
    <w:div w:id="1912083108">
      <w:bodyDiv w:val="1"/>
      <w:marLeft w:val="0"/>
      <w:marRight w:val="0"/>
      <w:marTop w:val="0"/>
      <w:marBottom w:val="0"/>
      <w:divBdr>
        <w:top w:val="none" w:sz="0" w:space="0" w:color="auto"/>
        <w:left w:val="none" w:sz="0" w:space="0" w:color="auto"/>
        <w:bottom w:val="none" w:sz="0" w:space="0" w:color="auto"/>
        <w:right w:val="none" w:sz="0" w:space="0" w:color="auto"/>
      </w:divBdr>
    </w:div>
    <w:div w:id="1912110934">
      <w:bodyDiv w:val="1"/>
      <w:marLeft w:val="0"/>
      <w:marRight w:val="0"/>
      <w:marTop w:val="0"/>
      <w:marBottom w:val="0"/>
      <w:divBdr>
        <w:top w:val="none" w:sz="0" w:space="0" w:color="auto"/>
        <w:left w:val="none" w:sz="0" w:space="0" w:color="auto"/>
        <w:bottom w:val="none" w:sz="0" w:space="0" w:color="auto"/>
        <w:right w:val="none" w:sz="0" w:space="0" w:color="auto"/>
      </w:divBdr>
    </w:div>
    <w:div w:id="1912159994">
      <w:bodyDiv w:val="1"/>
      <w:marLeft w:val="0"/>
      <w:marRight w:val="0"/>
      <w:marTop w:val="0"/>
      <w:marBottom w:val="0"/>
      <w:divBdr>
        <w:top w:val="none" w:sz="0" w:space="0" w:color="auto"/>
        <w:left w:val="none" w:sz="0" w:space="0" w:color="auto"/>
        <w:bottom w:val="none" w:sz="0" w:space="0" w:color="auto"/>
        <w:right w:val="none" w:sz="0" w:space="0" w:color="auto"/>
      </w:divBdr>
    </w:div>
    <w:div w:id="1912160118">
      <w:bodyDiv w:val="1"/>
      <w:marLeft w:val="0"/>
      <w:marRight w:val="0"/>
      <w:marTop w:val="0"/>
      <w:marBottom w:val="0"/>
      <w:divBdr>
        <w:top w:val="none" w:sz="0" w:space="0" w:color="auto"/>
        <w:left w:val="none" w:sz="0" w:space="0" w:color="auto"/>
        <w:bottom w:val="none" w:sz="0" w:space="0" w:color="auto"/>
        <w:right w:val="none" w:sz="0" w:space="0" w:color="auto"/>
      </w:divBdr>
    </w:div>
    <w:div w:id="1912353423">
      <w:bodyDiv w:val="1"/>
      <w:marLeft w:val="0"/>
      <w:marRight w:val="0"/>
      <w:marTop w:val="0"/>
      <w:marBottom w:val="0"/>
      <w:divBdr>
        <w:top w:val="none" w:sz="0" w:space="0" w:color="auto"/>
        <w:left w:val="none" w:sz="0" w:space="0" w:color="auto"/>
        <w:bottom w:val="none" w:sz="0" w:space="0" w:color="auto"/>
        <w:right w:val="none" w:sz="0" w:space="0" w:color="auto"/>
      </w:divBdr>
    </w:div>
    <w:div w:id="1912421923">
      <w:bodyDiv w:val="1"/>
      <w:marLeft w:val="0"/>
      <w:marRight w:val="0"/>
      <w:marTop w:val="0"/>
      <w:marBottom w:val="0"/>
      <w:divBdr>
        <w:top w:val="none" w:sz="0" w:space="0" w:color="auto"/>
        <w:left w:val="none" w:sz="0" w:space="0" w:color="auto"/>
        <w:bottom w:val="none" w:sz="0" w:space="0" w:color="auto"/>
        <w:right w:val="none" w:sz="0" w:space="0" w:color="auto"/>
      </w:divBdr>
    </w:div>
    <w:div w:id="1912428253">
      <w:bodyDiv w:val="1"/>
      <w:marLeft w:val="0"/>
      <w:marRight w:val="0"/>
      <w:marTop w:val="0"/>
      <w:marBottom w:val="0"/>
      <w:divBdr>
        <w:top w:val="none" w:sz="0" w:space="0" w:color="auto"/>
        <w:left w:val="none" w:sz="0" w:space="0" w:color="auto"/>
        <w:bottom w:val="none" w:sz="0" w:space="0" w:color="auto"/>
        <w:right w:val="none" w:sz="0" w:space="0" w:color="auto"/>
      </w:divBdr>
    </w:div>
    <w:div w:id="1912538222">
      <w:bodyDiv w:val="1"/>
      <w:marLeft w:val="0"/>
      <w:marRight w:val="0"/>
      <w:marTop w:val="0"/>
      <w:marBottom w:val="0"/>
      <w:divBdr>
        <w:top w:val="none" w:sz="0" w:space="0" w:color="auto"/>
        <w:left w:val="none" w:sz="0" w:space="0" w:color="auto"/>
        <w:bottom w:val="none" w:sz="0" w:space="0" w:color="auto"/>
        <w:right w:val="none" w:sz="0" w:space="0" w:color="auto"/>
      </w:divBdr>
    </w:div>
    <w:div w:id="1912736310">
      <w:bodyDiv w:val="1"/>
      <w:marLeft w:val="0"/>
      <w:marRight w:val="0"/>
      <w:marTop w:val="0"/>
      <w:marBottom w:val="0"/>
      <w:divBdr>
        <w:top w:val="none" w:sz="0" w:space="0" w:color="auto"/>
        <w:left w:val="none" w:sz="0" w:space="0" w:color="auto"/>
        <w:bottom w:val="none" w:sz="0" w:space="0" w:color="auto"/>
        <w:right w:val="none" w:sz="0" w:space="0" w:color="auto"/>
      </w:divBdr>
    </w:div>
    <w:div w:id="1912806339">
      <w:bodyDiv w:val="1"/>
      <w:marLeft w:val="0"/>
      <w:marRight w:val="0"/>
      <w:marTop w:val="0"/>
      <w:marBottom w:val="0"/>
      <w:divBdr>
        <w:top w:val="none" w:sz="0" w:space="0" w:color="auto"/>
        <w:left w:val="none" w:sz="0" w:space="0" w:color="auto"/>
        <w:bottom w:val="none" w:sz="0" w:space="0" w:color="auto"/>
        <w:right w:val="none" w:sz="0" w:space="0" w:color="auto"/>
      </w:divBdr>
    </w:div>
    <w:div w:id="1912958573">
      <w:bodyDiv w:val="1"/>
      <w:marLeft w:val="0"/>
      <w:marRight w:val="0"/>
      <w:marTop w:val="0"/>
      <w:marBottom w:val="0"/>
      <w:divBdr>
        <w:top w:val="none" w:sz="0" w:space="0" w:color="auto"/>
        <w:left w:val="none" w:sz="0" w:space="0" w:color="auto"/>
        <w:bottom w:val="none" w:sz="0" w:space="0" w:color="auto"/>
        <w:right w:val="none" w:sz="0" w:space="0" w:color="auto"/>
      </w:divBdr>
      <w:divsChild>
        <w:div w:id="60104155">
          <w:marLeft w:val="0"/>
          <w:marRight w:val="0"/>
          <w:marTop w:val="0"/>
          <w:marBottom w:val="0"/>
          <w:divBdr>
            <w:top w:val="none" w:sz="0" w:space="0" w:color="auto"/>
            <w:left w:val="none" w:sz="0" w:space="0" w:color="auto"/>
            <w:bottom w:val="none" w:sz="0" w:space="0" w:color="auto"/>
            <w:right w:val="none" w:sz="0" w:space="0" w:color="auto"/>
          </w:divBdr>
        </w:div>
        <w:div w:id="62604565">
          <w:marLeft w:val="0"/>
          <w:marRight w:val="0"/>
          <w:marTop w:val="0"/>
          <w:marBottom w:val="0"/>
          <w:divBdr>
            <w:top w:val="none" w:sz="0" w:space="0" w:color="auto"/>
            <w:left w:val="none" w:sz="0" w:space="0" w:color="auto"/>
            <w:bottom w:val="none" w:sz="0" w:space="0" w:color="auto"/>
            <w:right w:val="none" w:sz="0" w:space="0" w:color="auto"/>
          </w:divBdr>
        </w:div>
        <w:div w:id="64887421">
          <w:marLeft w:val="0"/>
          <w:marRight w:val="0"/>
          <w:marTop w:val="0"/>
          <w:marBottom w:val="0"/>
          <w:divBdr>
            <w:top w:val="none" w:sz="0" w:space="0" w:color="auto"/>
            <w:left w:val="none" w:sz="0" w:space="0" w:color="auto"/>
            <w:bottom w:val="none" w:sz="0" w:space="0" w:color="auto"/>
            <w:right w:val="none" w:sz="0" w:space="0" w:color="auto"/>
          </w:divBdr>
        </w:div>
        <w:div w:id="71851010">
          <w:marLeft w:val="0"/>
          <w:marRight w:val="0"/>
          <w:marTop w:val="0"/>
          <w:marBottom w:val="0"/>
          <w:divBdr>
            <w:top w:val="none" w:sz="0" w:space="0" w:color="auto"/>
            <w:left w:val="none" w:sz="0" w:space="0" w:color="auto"/>
            <w:bottom w:val="none" w:sz="0" w:space="0" w:color="auto"/>
            <w:right w:val="none" w:sz="0" w:space="0" w:color="auto"/>
          </w:divBdr>
        </w:div>
        <w:div w:id="73479292">
          <w:marLeft w:val="0"/>
          <w:marRight w:val="0"/>
          <w:marTop w:val="0"/>
          <w:marBottom w:val="0"/>
          <w:divBdr>
            <w:top w:val="none" w:sz="0" w:space="0" w:color="auto"/>
            <w:left w:val="none" w:sz="0" w:space="0" w:color="auto"/>
            <w:bottom w:val="none" w:sz="0" w:space="0" w:color="auto"/>
            <w:right w:val="none" w:sz="0" w:space="0" w:color="auto"/>
          </w:divBdr>
        </w:div>
        <w:div w:id="98257980">
          <w:marLeft w:val="0"/>
          <w:marRight w:val="0"/>
          <w:marTop w:val="0"/>
          <w:marBottom w:val="0"/>
          <w:divBdr>
            <w:top w:val="none" w:sz="0" w:space="0" w:color="auto"/>
            <w:left w:val="none" w:sz="0" w:space="0" w:color="auto"/>
            <w:bottom w:val="none" w:sz="0" w:space="0" w:color="auto"/>
            <w:right w:val="none" w:sz="0" w:space="0" w:color="auto"/>
          </w:divBdr>
        </w:div>
        <w:div w:id="116218932">
          <w:marLeft w:val="0"/>
          <w:marRight w:val="0"/>
          <w:marTop w:val="0"/>
          <w:marBottom w:val="0"/>
          <w:divBdr>
            <w:top w:val="none" w:sz="0" w:space="0" w:color="auto"/>
            <w:left w:val="none" w:sz="0" w:space="0" w:color="auto"/>
            <w:bottom w:val="none" w:sz="0" w:space="0" w:color="auto"/>
            <w:right w:val="none" w:sz="0" w:space="0" w:color="auto"/>
          </w:divBdr>
        </w:div>
        <w:div w:id="117451924">
          <w:marLeft w:val="0"/>
          <w:marRight w:val="0"/>
          <w:marTop w:val="0"/>
          <w:marBottom w:val="0"/>
          <w:divBdr>
            <w:top w:val="none" w:sz="0" w:space="0" w:color="auto"/>
            <w:left w:val="none" w:sz="0" w:space="0" w:color="auto"/>
            <w:bottom w:val="none" w:sz="0" w:space="0" w:color="auto"/>
            <w:right w:val="none" w:sz="0" w:space="0" w:color="auto"/>
          </w:divBdr>
        </w:div>
        <w:div w:id="125702565">
          <w:marLeft w:val="0"/>
          <w:marRight w:val="0"/>
          <w:marTop w:val="0"/>
          <w:marBottom w:val="0"/>
          <w:divBdr>
            <w:top w:val="none" w:sz="0" w:space="0" w:color="auto"/>
            <w:left w:val="none" w:sz="0" w:space="0" w:color="auto"/>
            <w:bottom w:val="none" w:sz="0" w:space="0" w:color="auto"/>
            <w:right w:val="none" w:sz="0" w:space="0" w:color="auto"/>
          </w:divBdr>
        </w:div>
        <w:div w:id="160313067">
          <w:marLeft w:val="0"/>
          <w:marRight w:val="0"/>
          <w:marTop w:val="0"/>
          <w:marBottom w:val="0"/>
          <w:divBdr>
            <w:top w:val="none" w:sz="0" w:space="0" w:color="auto"/>
            <w:left w:val="none" w:sz="0" w:space="0" w:color="auto"/>
            <w:bottom w:val="none" w:sz="0" w:space="0" w:color="auto"/>
            <w:right w:val="none" w:sz="0" w:space="0" w:color="auto"/>
          </w:divBdr>
        </w:div>
        <w:div w:id="184443443">
          <w:marLeft w:val="0"/>
          <w:marRight w:val="0"/>
          <w:marTop w:val="0"/>
          <w:marBottom w:val="0"/>
          <w:divBdr>
            <w:top w:val="none" w:sz="0" w:space="0" w:color="auto"/>
            <w:left w:val="none" w:sz="0" w:space="0" w:color="auto"/>
            <w:bottom w:val="none" w:sz="0" w:space="0" w:color="auto"/>
            <w:right w:val="none" w:sz="0" w:space="0" w:color="auto"/>
          </w:divBdr>
        </w:div>
        <w:div w:id="195312191">
          <w:marLeft w:val="0"/>
          <w:marRight w:val="0"/>
          <w:marTop w:val="0"/>
          <w:marBottom w:val="0"/>
          <w:divBdr>
            <w:top w:val="none" w:sz="0" w:space="0" w:color="auto"/>
            <w:left w:val="none" w:sz="0" w:space="0" w:color="auto"/>
            <w:bottom w:val="none" w:sz="0" w:space="0" w:color="auto"/>
            <w:right w:val="none" w:sz="0" w:space="0" w:color="auto"/>
          </w:divBdr>
        </w:div>
        <w:div w:id="196745186">
          <w:marLeft w:val="0"/>
          <w:marRight w:val="0"/>
          <w:marTop w:val="0"/>
          <w:marBottom w:val="0"/>
          <w:divBdr>
            <w:top w:val="none" w:sz="0" w:space="0" w:color="auto"/>
            <w:left w:val="none" w:sz="0" w:space="0" w:color="auto"/>
            <w:bottom w:val="none" w:sz="0" w:space="0" w:color="auto"/>
            <w:right w:val="none" w:sz="0" w:space="0" w:color="auto"/>
          </w:divBdr>
        </w:div>
        <w:div w:id="200170685">
          <w:marLeft w:val="0"/>
          <w:marRight w:val="0"/>
          <w:marTop w:val="0"/>
          <w:marBottom w:val="0"/>
          <w:divBdr>
            <w:top w:val="none" w:sz="0" w:space="0" w:color="auto"/>
            <w:left w:val="none" w:sz="0" w:space="0" w:color="auto"/>
            <w:bottom w:val="none" w:sz="0" w:space="0" w:color="auto"/>
            <w:right w:val="none" w:sz="0" w:space="0" w:color="auto"/>
          </w:divBdr>
        </w:div>
        <w:div w:id="224146013">
          <w:marLeft w:val="0"/>
          <w:marRight w:val="0"/>
          <w:marTop w:val="0"/>
          <w:marBottom w:val="0"/>
          <w:divBdr>
            <w:top w:val="none" w:sz="0" w:space="0" w:color="auto"/>
            <w:left w:val="none" w:sz="0" w:space="0" w:color="auto"/>
            <w:bottom w:val="none" w:sz="0" w:space="0" w:color="auto"/>
            <w:right w:val="none" w:sz="0" w:space="0" w:color="auto"/>
          </w:divBdr>
        </w:div>
        <w:div w:id="240725616">
          <w:marLeft w:val="0"/>
          <w:marRight w:val="0"/>
          <w:marTop w:val="0"/>
          <w:marBottom w:val="0"/>
          <w:divBdr>
            <w:top w:val="none" w:sz="0" w:space="0" w:color="auto"/>
            <w:left w:val="none" w:sz="0" w:space="0" w:color="auto"/>
            <w:bottom w:val="none" w:sz="0" w:space="0" w:color="auto"/>
            <w:right w:val="none" w:sz="0" w:space="0" w:color="auto"/>
          </w:divBdr>
        </w:div>
        <w:div w:id="241062435">
          <w:marLeft w:val="0"/>
          <w:marRight w:val="0"/>
          <w:marTop w:val="0"/>
          <w:marBottom w:val="0"/>
          <w:divBdr>
            <w:top w:val="none" w:sz="0" w:space="0" w:color="auto"/>
            <w:left w:val="none" w:sz="0" w:space="0" w:color="auto"/>
            <w:bottom w:val="none" w:sz="0" w:space="0" w:color="auto"/>
            <w:right w:val="none" w:sz="0" w:space="0" w:color="auto"/>
          </w:divBdr>
        </w:div>
        <w:div w:id="252444991">
          <w:marLeft w:val="0"/>
          <w:marRight w:val="0"/>
          <w:marTop w:val="0"/>
          <w:marBottom w:val="0"/>
          <w:divBdr>
            <w:top w:val="none" w:sz="0" w:space="0" w:color="auto"/>
            <w:left w:val="none" w:sz="0" w:space="0" w:color="auto"/>
            <w:bottom w:val="none" w:sz="0" w:space="0" w:color="auto"/>
            <w:right w:val="none" w:sz="0" w:space="0" w:color="auto"/>
          </w:divBdr>
        </w:div>
        <w:div w:id="263539073">
          <w:marLeft w:val="0"/>
          <w:marRight w:val="0"/>
          <w:marTop w:val="0"/>
          <w:marBottom w:val="0"/>
          <w:divBdr>
            <w:top w:val="none" w:sz="0" w:space="0" w:color="auto"/>
            <w:left w:val="none" w:sz="0" w:space="0" w:color="auto"/>
            <w:bottom w:val="none" w:sz="0" w:space="0" w:color="auto"/>
            <w:right w:val="none" w:sz="0" w:space="0" w:color="auto"/>
          </w:divBdr>
        </w:div>
        <w:div w:id="272439809">
          <w:marLeft w:val="0"/>
          <w:marRight w:val="0"/>
          <w:marTop w:val="0"/>
          <w:marBottom w:val="0"/>
          <w:divBdr>
            <w:top w:val="none" w:sz="0" w:space="0" w:color="auto"/>
            <w:left w:val="none" w:sz="0" w:space="0" w:color="auto"/>
            <w:bottom w:val="none" w:sz="0" w:space="0" w:color="auto"/>
            <w:right w:val="none" w:sz="0" w:space="0" w:color="auto"/>
          </w:divBdr>
        </w:div>
        <w:div w:id="274411523">
          <w:marLeft w:val="0"/>
          <w:marRight w:val="0"/>
          <w:marTop w:val="0"/>
          <w:marBottom w:val="0"/>
          <w:divBdr>
            <w:top w:val="none" w:sz="0" w:space="0" w:color="auto"/>
            <w:left w:val="none" w:sz="0" w:space="0" w:color="auto"/>
            <w:bottom w:val="none" w:sz="0" w:space="0" w:color="auto"/>
            <w:right w:val="none" w:sz="0" w:space="0" w:color="auto"/>
          </w:divBdr>
        </w:div>
        <w:div w:id="280964093">
          <w:marLeft w:val="0"/>
          <w:marRight w:val="0"/>
          <w:marTop w:val="0"/>
          <w:marBottom w:val="0"/>
          <w:divBdr>
            <w:top w:val="none" w:sz="0" w:space="0" w:color="auto"/>
            <w:left w:val="none" w:sz="0" w:space="0" w:color="auto"/>
            <w:bottom w:val="none" w:sz="0" w:space="0" w:color="auto"/>
            <w:right w:val="none" w:sz="0" w:space="0" w:color="auto"/>
          </w:divBdr>
        </w:div>
        <w:div w:id="291710091">
          <w:marLeft w:val="0"/>
          <w:marRight w:val="0"/>
          <w:marTop w:val="0"/>
          <w:marBottom w:val="0"/>
          <w:divBdr>
            <w:top w:val="none" w:sz="0" w:space="0" w:color="auto"/>
            <w:left w:val="none" w:sz="0" w:space="0" w:color="auto"/>
            <w:bottom w:val="none" w:sz="0" w:space="0" w:color="auto"/>
            <w:right w:val="none" w:sz="0" w:space="0" w:color="auto"/>
          </w:divBdr>
        </w:div>
        <w:div w:id="310793689">
          <w:marLeft w:val="0"/>
          <w:marRight w:val="0"/>
          <w:marTop w:val="0"/>
          <w:marBottom w:val="0"/>
          <w:divBdr>
            <w:top w:val="none" w:sz="0" w:space="0" w:color="auto"/>
            <w:left w:val="none" w:sz="0" w:space="0" w:color="auto"/>
            <w:bottom w:val="none" w:sz="0" w:space="0" w:color="auto"/>
            <w:right w:val="none" w:sz="0" w:space="0" w:color="auto"/>
          </w:divBdr>
        </w:div>
        <w:div w:id="322205130">
          <w:marLeft w:val="0"/>
          <w:marRight w:val="0"/>
          <w:marTop w:val="0"/>
          <w:marBottom w:val="0"/>
          <w:divBdr>
            <w:top w:val="none" w:sz="0" w:space="0" w:color="auto"/>
            <w:left w:val="none" w:sz="0" w:space="0" w:color="auto"/>
            <w:bottom w:val="none" w:sz="0" w:space="0" w:color="auto"/>
            <w:right w:val="none" w:sz="0" w:space="0" w:color="auto"/>
          </w:divBdr>
        </w:div>
        <w:div w:id="328337689">
          <w:marLeft w:val="0"/>
          <w:marRight w:val="0"/>
          <w:marTop w:val="0"/>
          <w:marBottom w:val="0"/>
          <w:divBdr>
            <w:top w:val="none" w:sz="0" w:space="0" w:color="auto"/>
            <w:left w:val="none" w:sz="0" w:space="0" w:color="auto"/>
            <w:bottom w:val="none" w:sz="0" w:space="0" w:color="auto"/>
            <w:right w:val="none" w:sz="0" w:space="0" w:color="auto"/>
          </w:divBdr>
        </w:div>
        <w:div w:id="333846212">
          <w:marLeft w:val="0"/>
          <w:marRight w:val="0"/>
          <w:marTop w:val="0"/>
          <w:marBottom w:val="0"/>
          <w:divBdr>
            <w:top w:val="none" w:sz="0" w:space="0" w:color="auto"/>
            <w:left w:val="none" w:sz="0" w:space="0" w:color="auto"/>
            <w:bottom w:val="none" w:sz="0" w:space="0" w:color="auto"/>
            <w:right w:val="none" w:sz="0" w:space="0" w:color="auto"/>
          </w:divBdr>
        </w:div>
        <w:div w:id="335695493">
          <w:marLeft w:val="0"/>
          <w:marRight w:val="0"/>
          <w:marTop w:val="0"/>
          <w:marBottom w:val="0"/>
          <w:divBdr>
            <w:top w:val="none" w:sz="0" w:space="0" w:color="auto"/>
            <w:left w:val="none" w:sz="0" w:space="0" w:color="auto"/>
            <w:bottom w:val="none" w:sz="0" w:space="0" w:color="auto"/>
            <w:right w:val="none" w:sz="0" w:space="0" w:color="auto"/>
          </w:divBdr>
        </w:div>
        <w:div w:id="360474590">
          <w:marLeft w:val="0"/>
          <w:marRight w:val="0"/>
          <w:marTop w:val="0"/>
          <w:marBottom w:val="0"/>
          <w:divBdr>
            <w:top w:val="none" w:sz="0" w:space="0" w:color="auto"/>
            <w:left w:val="none" w:sz="0" w:space="0" w:color="auto"/>
            <w:bottom w:val="none" w:sz="0" w:space="0" w:color="auto"/>
            <w:right w:val="none" w:sz="0" w:space="0" w:color="auto"/>
          </w:divBdr>
        </w:div>
        <w:div w:id="369260050">
          <w:marLeft w:val="0"/>
          <w:marRight w:val="0"/>
          <w:marTop w:val="0"/>
          <w:marBottom w:val="0"/>
          <w:divBdr>
            <w:top w:val="none" w:sz="0" w:space="0" w:color="auto"/>
            <w:left w:val="none" w:sz="0" w:space="0" w:color="auto"/>
            <w:bottom w:val="none" w:sz="0" w:space="0" w:color="auto"/>
            <w:right w:val="none" w:sz="0" w:space="0" w:color="auto"/>
          </w:divBdr>
        </w:div>
        <w:div w:id="371073080">
          <w:marLeft w:val="0"/>
          <w:marRight w:val="0"/>
          <w:marTop w:val="0"/>
          <w:marBottom w:val="0"/>
          <w:divBdr>
            <w:top w:val="none" w:sz="0" w:space="0" w:color="auto"/>
            <w:left w:val="none" w:sz="0" w:space="0" w:color="auto"/>
            <w:bottom w:val="none" w:sz="0" w:space="0" w:color="auto"/>
            <w:right w:val="none" w:sz="0" w:space="0" w:color="auto"/>
          </w:divBdr>
        </w:div>
        <w:div w:id="372386307">
          <w:marLeft w:val="0"/>
          <w:marRight w:val="0"/>
          <w:marTop w:val="0"/>
          <w:marBottom w:val="0"/>
          <w:divBdr>
            <w:top w:val="none" w:sz="0" w:space="0" w:color="auto"/>
            <w:left w:val="none" w:sz="0" w:space="0" w:color="auto"/>
            <w:bottom w:val="none" w:sz="0" w:space="0" w:color="auto"/>
            <w:right w:val="none" w:sz="0" w:space="0" w:color="auto"/>
          </w:divBdr>
        </w:div>
        <w:div w:id="394551846">
          <w:marLeft w:val="0"/>
          <w:marRight w:val="0"/>
          <w:marTop w:val="0"/>
          <w:marBottom w:val="0"/>
          <w:divBdr>
            <w:top w:val="none" w:sz="0" w:space="0" w:color="auto"/>
            <w:left w:val="none" w:sz="0" w:space="0" w:color="auto"/>
            <w:bottom w:val="none" w:sz="0" w:space="0" w:color="auto"/>
            <w:right w:val="none" w:sz="0" w:space="0" w:color="auto"/>
          </w:divBdr>
        </w:div>
        <w:div w:id="402875501">
          <w:marLeft w:val="0"/>
          <w:marRight w:val="0"/>
          <w:marTop w:val="0"/>
          <w:marBottom w:val="0"/>
          <w:divBdr>
            <w:top w:val="none" w:sz="0" w:space="0" w:color="auto"/>
            <w:left w:val="none" w:sz="0" w:space="0" w:color="auto"/>
            <w:bottom w:val="none" w:sz="0" w:space="0" w:color="auto"/>
            <w:right w:val="none" w:sz="0" w:space="0" w:color="auto"/>
          </w:divBdr>
        </w:div>
        <w:div w:id="417480075">
          <w:marLeft w:val="0"/>
          <w:marRight w:val="0"/>
          <w:marTop w:val="0"/>
          <w:marBottom w:val="0"/>
          <w:divBdr>
            <w:top w:val="none" w:sz="0" w:space="0" w:color="auto"/>
            <w:left w:val="none" w:sz="0" w:space="0" w:color="auto"/>
            <w:bottom w:val="none" w:sz="0" w:space="0" w:color="auto"/>
            <w:right w:val="none" w:sz="0" w:space="0" w:color="auto"/>
          </w:divBdr>
        </w:div>
        <w:div w:id="425200451">
          <w:marLeft w:val="0"/>
          <w:marRight w:val="0"/>
          <w:marTop w:val="0"/>
          <w:marBottom w:val="0"/>
          <w:divBdr>
            <w:top w:val="none" w:sz="0" w:space="0" w:color="auto"/>
            <w:left w:val="none" w:sz="0" w:space="0" w:color="auto"/>
            <w:bottom w:val="none" w:sz="0" w:space="0" w:color="auto"/>
            <w:right w:val="none" w:sz="0" w:space="0" w:color="auto"/>
          </w:divBdr>
        </w:div>
        <w:div w:id="430007864">
          <w:marLeft w:val="0"/>
          <w:marRight w:val="0"/>
          <w:marTop w:val="0"/>
          <w:marBottom w:val="0"/>
          <w:divBdr>
            <w:top w:val="none" w:sz="0" w:space="0" w:color="auto"/>
            <w:left w:val="none" w:sz="0" w:space="0" w:color="auto"/>
            <w:bottom w:val="none" w:sz="0" w:space="0" w:color="auto"/>
            <w:right w:val="none" w:sz="0" w:space="0" w:color="auto"/>
          </w:divBdr>
        </w:div>
        <w:div w:id="434718083">
          <w:marLeft w:val="0"/>
          <w:marRight w:val="0"/>
          <w:marTop w:val="0"/>
          <w:marBottom w:val="0"/>
          <w:divBdr>
            <w:top w:val="none" w:sz="0" w:space="0" w:color="auto"/>
            <w:left w:val="none" w:sz="0" w:space="0" w:color="auto"/>
            <w:bottom w:val="none" w:sz="0" w:space="0" w:color="auto"/>
            <w:right w:val="none" w:sz="0" w:space="0" w:color="auto"/>
          </w:divBdr>
        </w:div>
        <w:div w:id="444348263">
          <w:marLeft w:val="0"/>
          <w:marRight w:val="0"/>
          <w:marTop w:val="0"/>
          <w:marBottom w:val="0"/>
          <w:divBdr>
            <w:top w:val="none" w:sz="0" w:space="0" w:color="auto"/>
            <w:left w:val="none" w:sz="0" w:space="0" w:color="auto"/>
            <w:bottom w:val="none" w:sz="0" w:space="0" w:color="auto"/>
            <w:right w:val="none" w:sz="0" w:space="0" w:color="auto"/>
          </w:divBdr>
        </w:div>
        <w:div w:id="481967999">
          <w:marLeft w:val="0"/>
          <w:marRight w:val="0"/>
          <w:marTop w:val="0"/>
          <w:marBottom w:val="0"/>
          <w:divBdr>
            <w:top w:val="none" w:sz="0" w:space="0" w:color="auto"/>
            <w:left w:val="none" w:sz="0" w:space="0" w:color="auto"/>
            <w:bottom w:val="none" w:sz="0" w:space="0" w:color="auto"/>
            <w:right w:val="none" w:sz="0" w:space="0" w:color="auto"/>
          </w:divBdr>
        </w:div>
        <w:div w:id="490558851">
          <w:marLeft w:val="0"/>
          <w:marRight w:val="0"/>
          <w:marTop w:val="0"/>
          <w:marBottom w:val="0"/>
          <w:divBdr>
            <w:top w:val="none" w:sz="0" w:space="0" w:color="auto"/>
            <w:left w:val="none" w:sz="0" w:space="0" w:color="auto"/>
            <w:bottom w:val="none" w:sz="0" w:space="0" w:color="auto"/>
            <w:right w:val="none" w:sz="0" w:space="0" w:color="auto"/>
          </w:divBdr>
        </w:div>
        <w:div w:id="570777357">
          <w:marLeft w:val="0"/>
          <w:marRight w:val="0"/>
          <w:marTop w:val="0"/>
          <w:marBottom w:val="0"/>
          <w:divBdr>
            <w:top w:val="none" w:sz="0" w:space="0" w:color="auto"/>
            <w:left w:val="none" w:sz="0" w:space="0" w:color="auto"/>
            <w:bottom w:val="none" w:sz="0" w:space="0" w:color="auto"/>
            <w:right w:val="none" w:sz="0" w:space="0" w:color="auto"/>
          </w:divBdr>
        </w:div>
        <w:div w:id="574972901">
          <w:marLeft w:val="0"/>
          <w:marRight w:val="0"/>
          <w:marTop w:val="0"/>
          <w:marBottom w:val="0"/>
          <w:divBdr>
            <w:top w:val="none" w:sz="0" w:space="0" w:color="auto"/>
            <w:left w:val="none" w:sz="0" w:space="0" w:color="auto"/>
            <w:bottom w:val="none" w:sz="0" w:space="0" w:color="auto"/>
            <w:right w:val="none" w:sz="0" w:space="0" w:color="auto"/>
          </w:divBdr>
        </w:div>
        <w:div w:id="574975919">
          <w:marLeft w:val="0"/>
          <w:marRight w:val="0"/>
          <w:marTop w:val="0"/>
          <w:marBottom w:val="0"/>
          <w:divBdr>
            <w:top w:val="none" w:sz="0" w:space="0" w:color="auto"/>
            <w:left w:val="none" w:sz="0" w:space="0" w:color="auto"/>
            <w:bottom w:val="none" w:sz="0" w:space="0" w:color="auto"/>
            <w:right w:val="none" w:sz="0" w:space="0" w:color="auto"/>
          </w:divBdr>
        </w:div>
        <w:div w:id="588850070">
          <w:marLeft w:val="0"/>
          <w:marRight w:val="0"/>
          <w:marTop w:val="0"/>
          <w:marBottom w:val="0"/>
          <w:divBdr>
            <w:top w:val="none" w:sz="0" w:space="0" w:color="auto"/>
            <w:left w:val="none" w:sz="0" w:space="0" w:color="auto"/>
            <w:bottom w:val="none" w:sz="0" w:space="0" w:color="auto"/>
            <w:right w:val="none" w:sz="0" w:space="0" w:color="auto"/>
          </w:divBdr>
        </w:div>
        <w:div w:id="589434846">
          <w:marLeft w:val="0"/>
          <w:marRight w:val="0"/>
          <w:marTop w:val="0"/>
          <w:marBottom w:val="0"/>
          <w:divBdr>
            <w:top w:val="none" w:sz="0" w:space="0" w:color="auto"/>
            <w:left w:val="none" w:sz="0" w:space="0" w:color="auto"/>
            <w:bottom w:val="none" w:sz="0" w:space="0" w:color="auto"/>
            <w:right w:val="none" w:sz="0" w:space="0" w:color="auto"/>
          </w:divBdr>
        </w:div>
        <w:div w:id="592667034">
          <w:marLeft w:val="0"/>
          <w:marRight w:val="0"/>
          <w:marTop w:val="0"/>
          <w:marBottom w:val="0"/>
          <w:divBdr>
            <w:top w:val="none" w:sz="0" w:space="0" w:color="auto"/>
            <w:left w:val="none" w:sz="0" w:space="0" w:color="auto"/>
            <w:bottom w:val="none" w:sz="0" w:space="0" w:color="auto"/>
            <w:right w:val="none" w:sz="0" w:space="0" w:color="auto"/>
          </w:divBdr>
        </w:div>
        <w:div w:id="623465867">
          <w:marLeft w:val="0"/>
          <w:marRight w:val="0"/>
          <w:marTop w:val="0"/>
          <w:marBottom w:val="0"/>
          <w:divBdr>
            <w:top w:val="none" w:sz="0" w:space="0" w:color="auto"/>
            <w:left w:val="none" w:sz="0" w:space="0" w:color="auto"/>
            <w:bottom w:val="none" w:sz="0" w:space="0" w:color="auto"/>
            <w:right w:val="none" w:sz="0" w:space="0" w:color="auto"/>
          </w:divBdr>
        </w:div>
        <w:div w:id="624503994">
          <w:marLeft w:val="0"/>
          <w:marRight w:val="0"/>
          <w:marTop w:val="0"/>
          <w:marBottom w:val="0"/>
          <w:divBdr>
            <w:top w:val="none" w:sz="0" w:space="0" w:color="auto"/>
            <w:left w:val="none" w:sz="0" w:space="0" w:color="auto"/>
            <w:bottom w:val="none" w:sz="0" w:space="0" w:color="auto"/>
            <w:right w:val="none" w:sz="0" w:space="0" w:color="auto"/>
          </w:divBdr>
        </w:div>
        <w:div w:id="633564489">
          <w:marLeft w:val="0"/>
          <w:marRight w:val="0"/>
          <w:marTop w:val="0"/>
          <w:marBottom w:val="0"/>
          <w:divBdr>
            <w:top w:val="none" w:sz="0" w:space="0" w:color="auto"/>
            <w:left w:val="none" w:sz="0" w:space="0" w:color="auto"/>
            <w:bottom w:val="none" w:sz="0" w:space="0" w:color="auto"/>
            <w:right w:val="none" w:sz="0" w:space="0" w:color="auto"/>
          </w:divBdr>
        </w:div>
        <w:div w:id="651907861">
          <w:marLeft w:val="0"/>
          <w:marRight w:val="0"/>
          <w:marTop w:val="0"/>
          <w:marBottom w:val="0"/>
          <w:divBdr>
            <w:top w:val="none" w:sz="0" w:space="0" w:color="auto"/>
            <w:left w:val="none" w:sz="0" w:space="0" w:color="auto"/>
            <w:bottom w:val="none" w:sz="0" w:space="0" w:color="auto"/>
            <w:right w:val="none" w:sz="0" w:space="0" w:color="auto"/>
          </w:divBdr>
        </w:div>
        <w:div w:id="653681314">
          <w:marLeft w:val="0"/>
          <w:marRight w:val="0"/>
          <w:marTop w:val="0"/>
          <w:marBottom w:val="0"/>
          <w:divBdr>
            <w:top w:val="none" w:sz="0" w:space="0" w:color="auto"/>
            <w:left w:val="none" w:sz="0" w:space="0" w:color="auto"/>
            <w:bottom w:val="none" w:sz="0" w:space="0" w:color="auto"/>
            <w:right w:val="none" w:sz="0" w:space="0" w:color="auto"/>
          </w:divBdr>
        </w:div>
        <w:div w:id="654991481">
          <w:marLeft w:val="0"/>
          <w:marRight w:val="0"/>
          <w:marTop w:val="0"/>
          <w:marBottom w:val="0"/>
          <w:divBdr>
            <w:top w:val="none" w:sz="0" w:space="0" w:color="auto"/>
            <w:left w:val="none" w:sz="0" w:space="0" w:color="auto"/>
            <w:bottom w:val="none" w:sz="0" w:space="0" w:color="auto"/>
            <w:right w:val="none" w:sz="0" w:space="0" w:color="auto"/>
          </w:divBdr>
        </w:div>
        <w:div w:id="673341507">
          <w:marLeft w:val="0"/>
          <w:marRight w:val="0"/>
          <w:marTop w:val="0"/>
          <w:marBottom w:val="0"/>
          <w:divBdr>
            <w:top w:val="none" w:sz="0" w:space="0" w:color="auto"/>
            <w:left w:val="none" w:sz="0" w:space="0" w:color="auto"/>
            <w:bottom w:val="none" w:sz="0" w:space="0" w:color="auto"/>
            <w:right w:val="none" w:sz="0" w:space="0" w:color="auto"/>
          </w:divBdr>
        </w:div>
        <w:div w:id="680200576">
          <w:marLeft w:val="0"/>
          <w:marRight w:val="0"/>
          <w:marTop w:val="0"/>
          <w:marBottom w:val="0"/>
          <w:divBdr>
            <w:top w:val="none" w:sz="0" w:space="0" w:color="auto"/>
            <w:left w:val="none" w:sz="0" w:space="0" w:color="auto"/>
            <w:bottom w:val="none" w:sz="0" w:space="0" w:color="auto"/>
            <w:right w:val="none" w:sz="0" w:space="0" w:color="auto"/>
          </w:divBdr>
        </w:div>
        <w:div w:id="690884516">
          <w:marLeft w:val="0"/>
          <w:marRight w:val="0"/>
          <w:marTop w:val="0"/>
          <w:marBottom w:val="0"/>
          <w:divBdr>
            <w:top w:val="none" w:sz="0" w:space="0" w:color="auto"/>
            <w:left w:val="none" w:sz="0" w:space="0" w:color="auto"/>
            <w:bottom w:val="none" w:sz="0" w:space="0" w:color="auto"/>
            <w:right w:val="none" w:sz="0" w:space="0" w:color="auto"/>
          </w:divBdr>
        </w:div>
        <w:div w:id="695036148">
          <w:marLeft w:val="0"/>
          <w:marRight w:val="0"/>
          <w:marTop w:val="0"/>
          <w:marBottom w:val="0"/>
          <w:divBdr>
            <w:top w:val="none" w:sz="0" w:space="0" w:color="auto"/>
            <w:left w:val="none" w:sz="0" w:space="0" w:color="auto"/>
            <w:bottom w:val="none" w:sz="0" w:space="0" w:color="auto"/>
            <w:right w:val="none" w:sz="0" w:space="0" w:color="auto"/>
          </w:divBdr>
        </w:div>
        <w:div w:id="716053821">
          <w:marLeft w:val="0"/>
          <w:marRight w:val="0"/>
          <w:marTop w:val="0"/>
          <w:marBottom w:val="0"/>
          <w:divBdr>
            <w:top w:val="none" w:sz="0" w:space="0" w:color="auto"/>
            <w:left w:val="none" w:sz="0" w:space="0" w:color="auto"/>
            <w:bottom w:val="none" w:sz="0" w:space="0" w:color="auto"/>
            <w:right w:val="none" w:sz="0" w:space="0" w:color="auto"/>
          </w:divBdr>
        </w:div>
        <w:div w:id="717122368">
          <w:marLeft w:val="0"/>
          <w:marRight w:val="0"/>
          <w:marTop w:val="0"/>
          <w:marBottom w:val="0"/>
          <w:divBdr>
            <w:top w:val="none" w:sz="0" w:space="0" w:color="auto"/>
            <w:left w:val="none" w:sz="0" w:space="0" w:color="auto"/>
            <w:bottom w:val="none" w:sz="0" w:space="0" w:color="auto"/>
            <w:right w:val="none" w:sz="0" w:space="0" w:color="auto"/>
          </w:divBdr>
        </w:div>
        <w:div w:id="739255162">
          <w:marLeft w:val="0"/>
          <w:marRight w:val="0"/>
          <w:marTop w:val="0"/>
          <w:marBottom w:val="0"/>
          <w:divBdr>
            <w:top w:val="none" w:sz="0" w:space="0" w:color="auto"/>
            <w:left w:val="none" w:sz="0" w:space="0" w:color="auto"/>
            <w:bottom w:val="none" w:sz="0" w:space="0" w:color="auto"/>
            <w:right w:val="none" w:sz="0" w:space="0" w:color="auto"/>
          </w:divBdr>
        </w:div>
        <w:div w:id="748576348">
          <w:marLeft w:val="0"/>
          <w:marRight w:val="0"/>
          <w:marTop w:val="0"/>
          <w:marBottom w:val="0"/>
          <w:divBdr>
            <w:top w:val="none" w:sz="0" w:space="0" w:color="auto"/>
            <w:left w:val="none" w:sz="0" w:space="0" w:color="auto"/>
            <w:bottom w:val="none" w:sz="0" w:space="0" w:color="auto"/>
            <w:right w:val="none" w:sz="0" w:space="0" w:color="auto"/>
          </w:divBdr>
        </w:div>
        <w:div w:id="755250577">
          <w:marLeft w:val="0"/>
          <w:marRight w:val="0"/>
          <w:marTop w:val="0"/>
          <w:marBottom w:val="0"/>
          <w:divBdr>
            <w:top w:val="none" w:sz="0" w:space="0" w:color="auto"/>
            <w:left w:val="none" w:sz="0" w:space="0" w:color="auto"/>
            <w:bottom w:val="none" w:sz="0" w:space="0" w:color="auto"/>
            <w:right w:val="none" w:sz="0" w:space="0" w:color="auto"/>
          </w:divBdr>
        </w:div>
        <w:div w:id="760689003">
          <w:marLeft w:val="0"/>
          <w:marRight w:val="0"/>
          <w:marTop w:val="0"/>
          <w:marBottom w:val="0"/>
          <w:divBdr>
            <w:top w:val="none" w:sz="0" w:space="0" w:color="auto"/>
            <w:left w:val="none" w:sz="0" w:space="0" w:color="auto"/>
            <w:bottom w:val="none" w:sz="0" w:space="0" w:color="auto"/>
            <w:right w:val="none" w:sz="0" w:space="0" w:color="auto"/>
          </w:divBdr>
        </w:div>
        <w:div w:id="778528354">
          <w:marLeft w:val="0"/>
          <w:marRight w:val="0"/>
          <w:marTop w:val="0"/>
          <w:marBottom w:val="0"/>
          <w:divBdr>
            <w:top w:val="none" w:sz="0" w:space="0" w:color="auto"/>
            <w:left w:val="none" w:sz="0" w:space="0" w:color="auto"/>
            <w:bottom w:val="none" w:sz="0" w:space="0" w:color="auto"/>
            <w:right w:val="none" w:sz="0" w:space="0" w:color="auto"/>
          </w:divBdr>
        </w:div>
        <w:div w:id="793519516">
          <w:marLeft w:val="0"/>
          <w:marRight w:val="0"/>
          <w:marTop w:val="0"/>
          <w:marBottom w:val="0"/>
          <w:divBdr>
            <w:top w:val="none" w:sz="0" w:space="0" w:color="auto"/>
            <w:left w:val="none" w:sz="0" w:space="0" w:color="auto"/>
            <w:bottom w:val="none" w:sz="0" w:space="0" w:color="auto"/>
            <w:right w:val="none" w:sz="0" w:space="0" w:color="auto"/>
          </w:divBdr>
        </w:div>
        <w:div w:id="800927607">
          <w:marLeft w:val="0"/>
          <w:marRight w:val="0"/>
          <w:marTop w:val="0"/>
          <w:marBottom w:val="0"/>
          <w:divBdr>
            <w:top w:val="none" w:sz="0" w:space="0" w:color="auto"/>
            <w:left w:val="none" w:sz="0" w:space="0" w:color="auto"/>
            <w:bottom w:val="none" w:sz="0" w:space="0" w:color="auto"/>
            <w:right w:val="none" w:sz="0" w:space="0" w:color="auto"/>
          </w:divBdr>
        </w:div>
        <w:div w:id="803616027">
          <w:marLeft w:val="0"/>
          <w:marRight w:val="0"/>
          <w:marTop w:val="0"/>
          <w:marBottom w:val="0"/>
          <w:divBdr>
            <w:top w:val="none" w:sz="0" w:space="0" w:color="auto"/>
            <w:left w:val="none" w:sz="0" w:space="0" w:color="auto"/>
            <w:bottom w:val="none" w:sz="0" w:space="0" w:color="auto"/>
            <w:right w:val="none" w:sz="0" w:space="0" w:color="auto"/>
          </w:divBdr>
        </w:div>
        <w:div w:id="822963425">
          <w:marLeft w:val="0"/>
          <w:marRight w:val="0"/>
          <w:marTop w:val="0"/>
          <w:marBottom w:val="0"/>
          <w:divBdr>
            <w:top w:val="none" w:sz="0" w:space="0" w:color="auto"/>
            <w:left w:val="none" w:sz="0" w:space="0" w:color="auto"/>
            <w:bottom w:val="none" w:sz="0" w:space="0" w:color="auto"/>
            <w:right w:val="none" w:sz="0" w:space="0" w:color="auto"/>
          </w:divBdr>
        </w:div>
        <w:div w:id="834029319">
          <w:marLeft w:val="0"/>
          <w:marRight w:val="0"/>
          <w:marTop w:val="0"/>
          <w:marBottom w:val="0"/>
          <w:divBdr>
            <w:top w:val="none" w:sz="0" w:space="0" w:color="auto"/>
            <w:left w:val="none" w:sz="0" w:space="0" w:color="auto"/>
            <w:bottom w:val="none" w:sz="0" w:space="0" w:color="auto"/>
            <w:right w:val="none" w:sz="0" w:space="0" w:color="auto"/>
          </w:divBdr>
        </w:div>
        <w:div w:id="899251618">
          <w:marLeft w:val="0"/>
          <w:marRight w:val="0"/>
          <w:marTop w:val="0"/>
          <w:marBottom w:val="0"/>
          <w:divBdr>
            <w:top w:val="none" w:sz="0" w:space="0" w:color="auto"/>
            <w:left w:val="none" w:sz="0" w:space="0" w:color="auto"/>
            <w:bottom w:val="none" w:sz="0" w:space="0" w:color="auto"/>
            <w:right w:val="none" w:sz="0" w:space="0" w:color="auto"/>
          </w:divBdr>
        </w:div>
        <w:div w:id="900288152">
          <w:marLeft w:val="0"/>
          <w:marRight w:val="0"/>
          <w:marTop w:val="0"/>
          <w:marBottom w:val="0"/>
          <w:divBdr>
            <w:top w:val="none" w:sz="0" w:space="0" w:color="auto"/>
            <w:left w:val="none" w:sz="0" w:space="0" w:color="auto"/>
            <w:bottom w:val="none" w:sz="0" w:space="0" w:color="auto"/>
            <w:right w:val="none" w:sz="0" w:space="0" w:color="auto"/>
          </w:divBdr>
        </w:div>
        <w:div w:id="919216311">
          <w:marLeft w:val="0"/>
          <w:marRight w:val="0"/>
          <w:marTop w:val="0"/>
          <w:marBottom w:val="0"/>
          <w:divBdr>
            <w:top w:val="none" w:sz="0" w:space="0" w:color="auto"/>
            <w:left w:val="none" w:sz="0" w:space="0" w:color="auto"/>
            <w:bottom w:val="none" w:sz="0" w:space="0" w:color="auto"/>
            <w:right w:val="none" w:sz="0" w:space="0" w:color="auto"/>
          </w:divBdr>
        </w:div>
        <w:div w:id="968701250">
          <w:marLeft w:val="0"/>
          <w:marRight w:val="0"/>
          <w:marTop w:val="0"/>
          <w:marBottom w:val="0"/>
          <w:divBdr>
            <w:top w:val="none" w:sz="0" w:space="0" w:color="auto"/>
            <w:left w:val="none" w:sz="0" w:space="0" w:color="auto"/>
            <w:bottom w:val="none" w:sz="0" w:space="0" w:color="auto"/>
            <w:right w:val="none" w:sz="0" w:space="0" w:color="auto"/>
          </w:divBdr>
        </w:div>
        <w:div w:id="971054237">
          <w:marLeft w:val="0"/>
          <w:marRight w:val="0"/>
          <w:marTop w:val="0"/>
          <w:marBottom w:val="0"/>
          <w:divBdr>
            <w:top w:val="none" w:sz="0" w:space="0" w:color="auto"/>
            <w:left w:val="none" w:sz="0" w:space="0" w:color="auto"/>
            <w:bottom w:val="none" w:sz="0" w:space="0" w:color="auto"/>
            <w:right w:val="none" w:sz="0" w:space="0" w:color="auto"/>
          </w:divBdr>
        </w:div>
        <w:div w:id="980769080">
          <w:marLeft w:val="0"/>
          <w:marRight w:val="0"/>
          <w:marTop w:val="0"/>
          <w:marBottom w:val="0"/>
          <w:divBdr>
            <w:top w:val="none" w:sz="0" w:space="0" w:color="auto"/>
            <w:left w:val="none" w:sz="0" w:space="0" w:color="auto"/>
            <w:bottom w:val="none" w:sz="0" w:space="0" w:color="auto"/>
            <w:right w:val="none" w:sz="0" w:space="0" w:color="auto"/>
          </w:divBdr>
        </w:div>
        <w:div w:id="1005598317">
          <w:marLeft w:val="0"/>
          <w:marRight w:val="0"/>
          <w:marTop w:val="0"/>
          <w:marBottom w:val="0"/>
          <w:divBdr>
            <w:top w:val="none" w:sz="0" w:space="0" w:color="auto"/>
            <w:left w:val="none" w:sz="0" w:space="0" w:color="auto"/>
            <w:bottom w:val="none" w:sz="0" w:space="0" w:color="auto"/>
            <w:right w:val="none" w:sz="0" w:space="0" w:color="auto"/>
          </w:divBdr>
        </w:div>
        <w:div w:id="1007832473">
          <w:marLeft w:val="0"/>
          <w:marRight w:val="0"/>
          <w:marTop w:val="0"/>
          <w:marBottom w:val="0"/>
          <w:divBdr>
            <w:top w:val="none" w:sz="0" w:space="0" w:color="auto"/>
            <w:left w:val="none" w:sz="0" w:space="0" w:color="auto"/>
            <w:bottom w:val="none" w:sz="0" w:space="0" w:color="auto"/>
            <w:right w:val="none" w:sz="0" w:space="0" w:color="auto"/>
          </w:divBdr>
        </w:div>
        <w:div w:id="1026449726">
          <w:marLeft w:val="0"/>
          <w:marRight w:val="0"/>
          <w:marTop w:val="0"/>
          <w:marBottom w:val="0"/>
          <w:divBdr>
            <w:top w:val="none" w:sz="0" w:space="0" w:color="auto"/>
            <w:left w:val="none" w:sz="0" w:space="0" w:color="auto"/>
            <w:bottom w:val="none" w:sz="0" w:space="0" w:color="auto"/>
            <w:right w:val="none" w:sz="0" w:space="0" w:color="auto"/>
          </w:divBdr>
        </w:div>
        <w:div w:id="1047073408">
          <w:marLeft w:val="0"/>
          <w:marRight w:val="0"/>
          <w:marTop w:val="0"/>
          <w:marBottom w:val="0"/>
          <w:divBdr>
            <w:top w:val="none" w:sz="0" w:space="0" w:color="auto"/>
            <w:left w:val="none" w:sz="0" w:space="0" w:color="auto"/>
            <w:bottom w:val="none" w:sz="0" w:space="0" w:color="auto"/>
            <w:right w:val="none" w:sz="0" w:space="0" w:color="auto"/>
          </w:divBdr>
        </w:div>
        <w:div w:id="1063873949">
          <w:marLeft w:val="0"/>
          <w:marRight w:val="0"/>
          <w:marTop w:val="0"/>
          <w:marBottom w:val="0"/>
          <w:divBdr>
            <w:top w:val="none" w:sz="0" w:space="0" w:color="auto"/>
            <w:left w:val="none" w:sz="0" w:space="0" w:color="auto"/>
            <w:bottom w:val="none" w:sz="0" w:space="0" w:color="auto"/>
            <w:right w:val="none" w:sz="0" w:space="0" w:color="auto"/>
          </w:divBdr>
        </w:div>
        <w:div w:id="1076824643">
          <w:marLeft w:val="0"/>
          <w:marRight w:val="0"/>
          <w:marTop w:val="0"/>
          <w:marBottom w:val="0"/>
          <w:divBdr>
            <w:top w:val="none" w:sz="0" w:space="0" w:color="auto"/>
            <w:left w:val="none" w:sz="0" w:space="0" w:color="auto"/>
            <w:bottom w:val="none" w:sz="0" w:space="0" w:color="auto"/>
            <w:right w:val="none" w:sz="0" w:space="0" w:color="auto"/>
          </w:divBdr>
        </w:div>
        <w:div w:id="1082682667">
          <w:marLeft w:val="0"/>
          <w:marRight w:val="0"/>
          <w:marTop w:val="0"/>
          <w:marBottom w:val="0"/>
          <w:divBdr>
            <w:top w:val="none" w:sz="0" w:space="0" w:color="auto"/>
            <w:left w:val="none" w:sz="0" w:space="0" w:color="auto"/>
            <w:bottom w:val="none" w:sz="0" w:space="0" w:color="auto"/>
            <w:right w:val="none" w:sz="0" w:space="0" w:color="auto"/>
          </w:divBdr>
        </w:div>
        <w:div w:id="1085539286">
          <w:marLeft w:val="0"/>
          <w:marRight w:val="0"/>
          <w:marTop w:val="0"/>
          <w:marBottom w:val="0"/>
          <w:divBdr>
            <w:top w:val="none" w:sz="0" w:space="0" w:color="auto"/>
            <w:left w:val="none" w:sz="0" w:space="0" w:color="auto"/>
            <w:bottom w:val="none" w:sz="0" w:space="0" w:color="auto"/>
            <w:right w:val="none" w:sz="0" w:space="0" w:color="auto"/>
          </w:divBdr>
        </w:div>
        <w:div w:id="1091853242">
          <w:marLeft w:val="0"/>
          <w:marRight w:val="0"/>
          <w:marTop w:val="0"/>
          <w:marBottom w:val="0"/>
          <w:divBdr>
            <w:top w:val="none" w:sz="0" w:space="0" w:color="auto"/>
            <w:left w:val="none" w:sz="0" w:space="0" w:color="auto"/>
            <w:bottom w:val="none" w:sz="0" w:space="0" w:color="auto"/>
            <w:right w:val="none" w:sz="0" w:space="0" w:color="auto"/>
          </w:divBdr>
        </w:div>
        <w:div w:id="1094325473">
          <w:marLeft w:val="0"/>
          <w:marRight w:val="0"/>
          <w:marTop w:val="0"/>
          <w:marBottom w:val="0"/>
          <w:divBdr>
            <w:top w:val="none" w:sz="0" w:space="0" w:color="auto"/>
            <w:left w:val="none" w:sz="0" w:space="0" w:color="auto"/>
            <w:bottom w:val="none" w:sz="0" w:space="0" w:color="auto"/>
            <w:right w:val="none" w:sz="0" w:space="0" w:color="auto"/>
          </w:divBdr>
        </w:div>
        <w:div w:id="1095177404">
          <w:marLeft w:val="0"/>
          <w:marRight w:val="0"/>
          <w:marTop w:val="0"/>
          <w:marBottom w:val="0"/>
          <w:divBdr>
            <w:top w:val="none" w:sz="0" w:space="0" w:color="auto"/>
            <w:left w:val="none" w:sz="0" w:space="0" w:color="auto"/>
            <w:bottom w:val="none" w:sz="0" w:space="0" w:color="auto"/>
            <w:right w:val="none" w:sz="0" w:space="0" w:color="auto"/>
          </w:divBdr>
        </w:div>
        <w:div w:id="1095635438">
          <w:marLeft w:val="0"/>
          <w:marRight w:val="0"/>
          <w:marTop w:val="0"/>
          <w:marBottom w:val="0"/>
          <w:divBdr>
            <w:top w:val="none" w:sz="0" w:space="0" w:color="auto"/>
            <w:left w:val="none" w:sz="0" w:space="0" w:color="auto"/>
            <w:bottom w:val="none" w:sz="0" w:space="0" w:color="auto"/>
            <w:right w:val="none" w:sz="0" w:space="0" w:color="auto"/>
          </w:divBdr>
        </w:div>
        <w:div w:id="1101492244">
          <w:marLeft w:val="0"/>
          <w:marRight w:val="0"/>
          <w:marTop w:val="0"/>
          <w:marBottom w:val="0"/>
          <w:divBdr>
            <w:top w:val="none" w:sz="0" w:space="0" w:color="auto"/>
            <w:left w:val="none" w:sz="0" w:space="0" w:color="auto"/>
            <w:bottom w:val="none" w:sz="0" w:space="0" w:color="auto"/>
            <w:right w:val="none" w:sz="0" w:space="0" w:color="auto"/>
          </w:divBdr>
        </w:div>
        <w:div w:id="1125082407">
          <w:marLeft w:val="0"/>
          <w:marRight w:val="0"/>
          <w:marTop w:val="0"/>
          <w:marBottom w:val="0"/>
          <w:divBdr>
            <w:top w:val="none" w:sz="0" w:space="0" w:color="auto"/>
            <w:left w:val="none" w:sz="0" w:space="0" w:color="auto"/>
            <w:bottom w:val="none" w:sz="0" w:space="0" w:color="auto"/>
            <w:right w:val="none" w:sz="0" w:space="0" w:color="auto"/>
          </w:divBdr>
        </w:div>
        <w:div w:id="1129125553">
          <w:marLeft w:val="0"/>
          <w:marRight w:val="0"/>
          <w:marTop w:val="0"/>
          <w:marBottom w:val="0"/>
          <w:divBdr>
            <w:top w:val="none" w:sz="0" w:space="0" w:color="auto"/>
            <w:left w:val="none" w:sz="0" w:space="0" w:color="auto"/>
            <w:bottom w:val="none" w:sz="0" w:space="0" w:color="auto"/>
            <w:right w:val="none" w:sz="0" w:space="0" w:color="auto"/>
          </w:divBdr>
        </w:div>
        <w:div w:id="1149517581">
          <w:marLeft w:val="0"/>
          <w:marRight w:val="0"/>
          <w:marTop w:val="0"/>
          <w:marBottom w:val="0"/>
          <w:divBdr>
            <w:top w:val="none" w:sz="0" w:space="0" w:color="auto"/>
            <w:left w:val="none" w:sz="0" w:space="0" w:color="auto"/>
            <w:bottom w:val="none" w:sz="0" w:space="0" w:color="auto"/>
            <w:right w:val="none" w:sz="0" w:space="0" w:color="auto"/>
          </w:divBdr>
        </w:div>
        <w:div w:id="1150364246">
          <w:marLeft w:val="0"/>
          <w:marRight w:val="0"/>
          <w:marTop w:val="0"/>
          <w:marBottom w:val="0"/>
          <w:divBdr>
            <w:top w:val="none" w:sz="0" w:space="0" w:color="auto"/>
            <w:left w:val="none" w:sz="0" w:space="0" w:color="auto"/>
            <w:bottom w:val="none" w:sz="0" w:space="0" w:color="auto"/>
            <w:right w:val="none" w:sz="0" w:space="0" w:color="auto"/>
          </w:divBdr>
        </w:div>
        <w:div w:id="1154561734">
          <w:marLeft w:val="0"/>
          <w:marRight w:val="0"/>
          <w:marTop w:val="0"/>
          <w:marBottom w:val="0"/>
          <w:divBdr>
            <w:top w:val="none" w:sz="0" w:space="0" w:color="auto"/>
            <w:left w:val="none" w:sz="0" w:space="0" w:color="auto"/>
            <w:bottom w:val="none" w:sz="0" w:space="0" w:color="auto"/>
            <w:right w:val="none" w:sz="0" w:space="0" w:color="auto"/>
          </w:divBdr>
        </w:div>
        <w:div w:id="1156921216">
          <w:marLeft w:val="0"/>
          <w:marRight w:val="0"/>
          <w:marTop w:val="0"/>
          <w:marBottom w:val="0"/>
          <w:divBdr>
            <w:top w:val="none" w:sz="0" w:space="0" w:color="auto"/>
            <w:left w:val="none" w:sz="0" w:space="0" w:color="auto"/>
            <w:bottom w:val="none" w:sz="0" w:space="0" w:color="auto"/>
            <w:right w:val="none" w:sz="0" w:space="0" w:color="auto"/>
          </w:divBdr>
        </w:div>
        <w:div w:id="1172258590">
          <w:marLeft w:val="0"/>
          <w:marRight w:val="0"/>
          <w:marTop w:val="0"/>
          <w:marBottom w:val="0"/>
          <w:divBdr>
            <w:top w:val="none" w:sz="0" w:space="0" w:color="auto"/>
            <w:left w:val="none" w:sz="0" w:space="0" w:color="auto"/>
            <w:bottom w:val="none" w:sz="0" w:space="0" w:color="auto"/>
            <w:right w:val="none" w:sz="0" w:space="0" w:color="auto"/>
          </w:divBdr>
        </w:div>
        <w:div w:id="1195727463">
          <w:marLeft w:val="0"/>
          <w:marRight w:val="0"/>
          <w:marTop w:val="0"/>
          <w:marBottom w:val="0"/>
          <w:divBdr>
            <w:top w:val="none" w:sz="0" w:space="0" w:color="auto"/>
            <w:left w:val="none" w:sz="0" w:space="0" w:color="auto"/>
            <w:bottom w:val="none" w:sz="0" w:space="0" w:color="auto"/>
            <w:right w:val="none" w:sz="0" w:space="0" w:color="auto"/>
          </w:divBdr>
        </w:div>
        <w:div w:id="1201935203">
          <w:marLeft w:val="0"/>
          <w:marRight w:val="0"/>
          <w:marTop w:val="0"/>
          <w:marBottom w:val="0"/>
          <w:divBdr>
            <w:top w:val="none" w:sz="0" w:space="0" w:color="auto"/>
            <w:left w:val="none" w:sz="0" w:space="0" w:color="auto"/>
            <w:bottom w:val="none" w:sz="0" w:space="0" w:color="auto"/>
            <w:right w:val="none" w:sz="0" w:space="0" w:color="auto"/>
          </w:divBdr>
        </w:div>
        <w:div w:id="1203785168">
          <w:marLeft w:val="0"/>
          <w:marRight w:val="0"/>
          <w:marTop w:val="0"/>
          <w:marBottom w:val="0"/>
          <w:divBdr>
            <w:top w:val="none" w:sz="0" w:space="0" w:color="auto"/>
            <w:left w:val="none" w:sz="0" w:space="0" w:color="auto"/>
            <w:bottom w:val="none" w:sz="0" w:space="0" w:color="auto"/>
            <w:right w:val="none" w:sz="0" w:space="0" w:color="auto"/>
          </w:divBdr>
        </w:div>
        <w:div w:id="1206335611">
          <w:marLeft w:val="0"/>
          <w:marRight w:val="0"/>
          <w:marTop w:val="0"/>
          <w:marBottom w:val="0"/>
          <w:divBdr>
            <w:top w:val="none" w:sz="0" w:space="0" w:color="auto"/>
            <w:left w:val="none" w:sz="0" w:space="0" w:color="auto"/>
            <w:bottom w:val="none" w:sz="0" w:space="0" w:color="auto"/>
            <w:right w:val="none" w:sz="0" w:space="0" w:color="auto"/>
          </w:divBdr>
        </w:div>
        <w:div w:id="1212502364">
          <w:marLeft w:val="0"/>
          <w:marRight w:val="0"/>
          <w:marTop w:val="0"/>
          <w:marBottom w:val="0"/>
          <w:divBdr>
            <w:top w:val="none" w:sz="0" w:space="0" w:color="auto"/>
            <w:left w:val="none" w:sz="0" w:space="0" w:color="auto"/>
            <w:bottom w:val="none" w:sz="0" w:space="0" w:color="auto"/>
            <w:right w:val="none" w:sz="0" w:space="0" w:color="auto"/>
          </w:divBdr>
        </w:div>
        <w:div w:id="1237125781">
          <w:marLeft w:val="0"/>
          <w:marRight w:val="0"/>
          <w:marTop w:val="0"/>
          <w:marBottom w:val="0"/>
          <w:divBdr>
            <w:top w:val="none" w:sz="0" w:space="0" w:color="auto"/>
            <w:left w:val="none" w:sz="0" w:space="0" w:color="auto"/>
            <w:bottom w:val="none" w:sz="0" w:space="0" w:color="auto"/>
            <w:right w:val="none" w:sz="0" w:space="0" w:color="auto"/>
          </w:divBdr>
        </w:div>
        <w:div w:id="1249773179">
          <w:marLeft w:val="0"/>
          <w:marRight w:val="0"/>
          <w:marTop w:val="0"/>
          <w:marBottom w:val="0"/>
          <w:divBdr>
            <w:top w:val="none" w:sz="0" w:space="0" w:color="auto"/>
            <w:left w:val="none" w:sz="0" w:space="0" w:color="auto"/>
            <w:bottom w:val="none" w:sz="0" w:space="0" w:color="auto"/>
            <w:right w:val="none" w:sz="0" w:space="0" w:color="auto"/>
          </w:divBdr>
        </w:div>
        <w:div w:id="1251812836">
          <w:marLeft w:val="0"/>
          <w:marRight w:val="0"/>
          <w:marTop w:val="0"/>
          <w:marBottom w:val="0"/>
          <w:divBdr>
            <w:top w:val="none" w:sz="0" w:space="0" w:color="auto"/>
            <w:left w:val="none" w:sz="0" w:space="0" w:color="auto"/>
            <w:bottom w:val="none" w:sz="0" w:space="0" w:color="auto"/>
            <w:right w:val="none" w:sz="0" w:space="0" w:color="auto"/>
          </w:divBdr>
        </w:div>
        <w:div w:id="1256672317">
          <w:marLeft w:val="0"/>
          <w:marRight w:val="0"/>
          <w:marTop w:val="0"/>
          <w:marBottom w:val="0"/>
          <w:divBdr>
            <w:top w:val="none" w:sz="0" w:space="0" w:color="auto"/>
            <w:left w:val="none" w:sz="0" w:space="0" w:color="auto"/>
            <w:bottom w:val="none" w:sz="0" w:space="0" w:color="auto"/>
            <w:right w:val="none" w:sz="0" w:space="0" w:color="auto"/>
          </w:divBdr>
        </w:div>
        <w:div w:id="1264999445">
          <w:marLeft w:val="0"/>
          <w:marRight w:val="0"/>
          <w:marTop w:val="0"/>
          <w:marBottom w:val="0"/>
          <w:divBdr>
            <w:top w:val="none" w:sz="0" w:space="0" w:color="auto"/>
            <w:left w:val="none" w:sz="0" w:space="0" w:color="auto"/>
            <w:bottom w:val="none" w:sz="0" w:space="0" w:color="auto"/>
            <w:right w:val="none" w:sz="0" w:space="0" w:color="auto"/>
          </w:divBdr>
        </w:div>
        <w:div w:id="1269702990">
          <w:marLeft w:val="0"/>
          <w:marRight w:val="0"/>
          <w:marTop w:val="0"/>
          <w:marBottom w:val="0"/>
          <w:divBdr>
            <w:top w:val="none" w:sz="0" w:space="0" w:color="auto"/>
            <w:left w:val="none" w:sz="0" w:space="0" w:color="auto"/>
            <w:bottom w:val="none" w:sz="0" w:space="0" w:color="auto"/>
            <w:right w:val="none" w:sz="0" w:space="0" w:color="auto"/>
          </w:divBdr>
        </w:div>
        <w:div w:id="1276445436">
          <w:marLeft w:val="0"/>
          <w:marRight w:val="0"/>
          <w:marTop w:val="0"/>
          <w:marBottom w:val="0"/>
          <w:divBdr>
            <w:top w:val="none" w:sz="0" w:space="0" w:color="auto"/>
            <w:left w:val="none" w:sz="0" w:space="0" w:color="auto"/>
            <w:bottom w:val="none" w:sz="0" w:space="0" w:color="auto"/>
            <w:right w:val="none" w:sz="0" w:space="0" w:color="auto"/>
          </w:divBdr>
        </w:div>
        <w:div w:id="1291981923">
          <w:marLeft w:val="0"/>
          <w:marRight w:val="0"/>
          <w:marTop w:val="0"/>
          <w:marBottom w:val="0"/>
          <w:divBdr>
            <w:top w:val="none" w:sz="0" w:space="0" w:color="auto"/>
            <w:left w:val="none" w:sz="0" w:space="0" w:color="auto"/>
            <w:bottom w:val="none" w:sz="0" w:space="0" w:color="auto"/>
            <w:right w:val="none" w:sz="0" w:space="0" w:color="auto"/>
          </w:divBdr>
        </w:div>
        <w:div w:id="1307126431">
          <w:marLeft w:val="0"/>
          <w:marRight w:val="0"/>
          <w:marTop w:val="0"/>
          <w:marBottom w:val="0"/>
          <w:divBdr>
            <w:top w:val="none" w:sz="0" w:space="0" w:color="auto"/>
            <w:left w:val="none" w:sz="0" w:space="0" w:color="auto"/>
            <w:bottom w:val="none" w:sz="0" w:space="0" w:color="auto"/>
            <w:right w:val="none" w:sz="0" w:space="0" w:color="auto"/>
          </w:divBdr>
        </w:div>
        <w:div w:id="1309019723">
          <w:marLeft w:val="0"/>
          <w:marRight w:val="0"/>
          <w:marTop w:val="0"/>
          <w:marBottom w:val="0"/>
          <w:divBdr>
            <w:top w:val="none" w:sz="0" w:space="0" w:color="auto"/>
            <w:left w:val="none" w:sz="0" w:space="0" w:color="auto"/>
            <w:bottom w:val="none" w:sz="0" w:space="0" w:color="auto"/>
            <w:right w:val="none" w:sz="0" w:space="0" w:color="auto"/>
          </w:divBdr>
        </w:div>
        <w:div w:id="1313215510">
          <w:marLeft w:val="0"/>
          <w:marRight w:val="0"/>
          <w:marTop w:val="0"/>
          <w:marBottom w:val="0"/>
          <w:divBdr>
            <w:top w:val="none" w:sz="0" w:space="0" w:color="auto"/>
            <w:left w:val="none" w:sz="0" w:space="0" w:color="auto"/>
            <w:bottom w:val="none" w:sz="0" w:space="0" w:color="auto"/>
            <w:right w:val="none" w:sz="0" w:space="0" w:color="auto"/>
          </w:divBdr>
        </w:div>
        <w:div w:id="1341006432">
          <w:marLeft w:val="0"/>
          <w:marRight w:val="0"/>
          <w:marTop w:val="0"/>
          <w:marBottom w:val="0"/>
          <w:divBdr>
            <w:top w:val="none" w:sz="0" w:space="0" w:color="auto"/>
            <w:left w:val="none" w:sz="0" w:space="0" w:color="auto"/>
            <w:bottom w:val="none" w:sz="0" w:space="0" w:color="auto"/>
            <w:right w:val="none" w:sz="0" w:space="0" w:color="auto"/>
          </w:divBdr>
        </w:div>
        <w:div w:id="1347093727">
          <w:marLeft w:val="0"/>
          <w:marRight w:val="0"/>
          <w:marTop w:val="0"/>
          <w:marBottom w:val="0"/>
          <w:divBdr>
            <w:top w:val="none" w:sz="0" w:space="0" w:color="auto"/>
            <w:left w:val="none" w:sz="0" w:space="0" w:color="auto"/>
            <w:bottom w:val="none" w:sz="0" w:space="0" w:color="auto"/>
            <w:right w:val="none" w:sz="0" w:space="0" w:color="auto"/>
          </w:divBdr>
        </w:div>
        <w:div w:id="1348292441">
          <w:marLeft w:val="0"/>
          <w:marRight w:val="0"/>
          <w:marTop w:val="0"/>
          <w:marBottom w:val="0"/>
          <w:divBdr>
            <w:top w:val="none" w:sz="0" w:space="0" w:color="auto"/>
            <w:left w:val="none" w:sz="0" w:space="0" w:color="auto"/>
            <w:bottom w:val="none" w:sz="0" w:space="0" w:color="auto"/>
            <w:right w:val="none" w:sz="0" w:space="0" w:color="auto"/>
          </w:divBdr>
        </w:div>
        <w:div w:id="1373381538">
          <w:marLeft w:val="0"/>
          <w:marRight w:val="0"/>
          <w:marTop w:val="0"/>
          <w:marBottom w:val="0"/>
          <w:divBdr>
            <w:top w:val="none" w:sz="0" w:space="0" w:color="auto"/>
            <w:left w:val="none" w:sz="0" w:space="0" w:color="auto"/>
            <w:bottom w:val="none" w:sz="0" w:space="0" w:color="auto"/>
            <w:right w:val="none" w:sz="0" w:space="0" w:color="auto"/>
          </w:divBdr>
        </w:div>
        <w:div w:id="1375731903">
          <w:marLeft w:val="0"/>
          <w:marRight w:val="0"/>
          <w:marTop w:val="0"/>
          <w:marBottom w:val="0"/>
          <w:divBdr>
            <w:top w:val="none" w:sz="0" w:space="0" w:color="auto"/>
            <w:left w:val="none" w:sz="0" w:space="0" w:color="auto"/>
            <w:bottom w:val="none" w:sz="0" w:space="0" w:color="auto"/>
            <w:right w:val="none" w:sz="0" w:space="0" w:color="auto"/>
          </w:divBdr>
        </w:div>
        <w:div w:id="1398669828">
          <w:marLeft w:val="0"/>
          <w:marRight w:val="0"/>
          <w:marTop w:val="0"/>
          <w:marBottom w:val="0"/>
          <w:divBdr>
            <w:top w:val="none" w:sz="0" w:space="0" w:color="auto"/>
            <w:left w:val="none" w:sz="0" w:space="0" w:color="auto"/>
            <w:bottom w:val="none" w:sz="0" w:space="0" w:color="auto"/>
            <w:right w:val="none" w:sz="0" w:space="0" w:color="auto"/>
          </w:divBdr>
        </w:div>
        <w:div w:id="1416778217">
          <w:marLeft w:val="0"/>
          <w:marRight w:val="0"/>
          <w:marTop w:val="0"/>
          <w:marBottom w:val="0"/>
          <w:divBdr>
            <w:top w:val="none" w:sz="0" w:space="0" w:color="auto"/>
            <w:left w:val="none" w:sz="0" w:space="0" w:color="auto"/>
            <w:bottom w:val="none" w:sz="0" w:space="0" w:color="auto"/>
            <w:right w:val="none" w:sz="0" w:space="0" w:color="auto"/>
          </w:divBdr>
        </w:div>
        <w:div w:id="1442844877">
          <w:marLeft w:val="0"/>
          <w:marRight w:val="0"/>
          <w:marTop w:val="0"/>
          <w:marBottom w:val="0"/>
          <w:divBdr>
            <w:top w:val="none" w:sz="0" w:space="0" w:color="auto"/>
            <w:left w:val="none" w:sz="0" w:space="0" w:color="auto"/>
            <w:bottom w:val="none" w:sz="0" w:space="0" w:color="auto"/>
            <w:right w:val="none" w:sz="0" w:space="0" w:color="auto"/>
          </w:divBdr>
        </w:div>
        <w:div w:id="1449396179">
          <w:marLeft w:val="0"/>
          <w:marRight w:val="0"/>
          <w:marTop w:val="0"/>
          <w:marBottom w:val="0"/>
          <w:divBdr>
            <w:top w:val="none" w:sz="0" w:space="0" w:color="auto"/>
            <w:left w:val="none" w:sz="0" w:space="0" w:color="auto"/>
            <w:bottom w:val="none" w:sz="0" w:space="0" w:color="auto"/>
            <w:right w:val="none" w:sz="0" w:space="0" w:color="auto"/>
          </w:divBdr>
        </w:div>
        <w:div w:id="1453748044">
          <w:marLeft w:val="0"/>
          <w:marRight w:val="0"/>
          <w:marTop w:val="0"/>
          <w:marBottom w:val="0"/>
          <w:divBdr>
            <w:top w:val="none" w:sz="0" w:space="0" w:color="auto"/>
            <w:left w:val="none" w:sz="0" w:space="0" w:color="auto"/>
            <w:bottom w:val="none" w:sz="0" w:space="0" w:color="auto"/>
            <w:right w:val="none" w:sz="0" w:space="0" w:color="auto"/>
          </w:divBdr>
        </w:div>
        <w:div w:id="1458328061">
          <w:marLeft w:val="0"/>
          <w:marRight w:val="0"/>
          <w:marTop w:val="0"/>
          <w:marBottom w:val="0"/>
          <w:divBdr>
            <w:top w:val="none" w:sz="0" w:space="0" w:color="auto"/>
            <w:left w:val="none" w:sz="0" w:space="0" w:color="auto"/>
            <w:bottom w:val="none" w:sz="0" w:space="0" w:color="auto"/>
            <w:right w:val="none" w:sz="0" w:space="0" w:color="auto"/>
          </w:divBdr>
        </w:div>
        <w:div w:id="1505896989">
          <w:marLeft w:val="0"/>
          <w:marRight w:val="0"/>
          <w:marTop w:val="0"/>
          <w:marBottom w:val="0"/>
          <w:divBdr>
            <w:top w:val="none" w:sz="0" w:space="0" w:color="auto"/>
            <w:left w:val="none" w:sz="0" w:space="0" w:color="auto"/>
            <w:bottom w:val="none" w:sz="0" w:space="0" w:color="auto"/>
            <w:right w:val="none" w:sz="0" w:space="0" w:color="auto"/>
          </w:divBdr>
        </w:div>
        <w:div w:id="1528256835">
          <w:marLeft w:val="0"/>
          <w:marRight w:val="0"/>
          <w:marTop w:val="0"/>
          <w:marBottom w:val="0"/>
          <w:divBdr>
            <w:top w:val="none" w:sz="0" w:space="0" w:color="auto"/>
            <w:left w:val="none" w:sz="0" w:space="0" w:color="auto"/>
            <w:bottom w:val="none" w:sz="0" w:space="0" w:color="auto"/>
            <w:right w:val="none" w:sz="0" w:space="0" w:color="auto"/>
          </w:divBdr>
        </w:div>
        <w:div w:id="1534613308">
          <w:marLeft w:val="0"/>
          <w:marRight w:val="0"/>
          <w:marTop w:val="0"/>
          <w:marBottom w:val="0"/>
          <w:divBdr>
            <w:top w:val="none" w:sz="0" w:space="0" w:color="auto"/>
            <w:left w:val="none" w:sz="0" w:space="0" w:color="auto"/>
            <w:bottom w:val="none" w:sz="0" w:space="0" w:color="auto"/>
            <w:right w:val="none" w:sz="0" w:space="0" w:color="auto"/>
          </w:divBdr>
        </w:div>
        <w:div w:id="1557352454">
          <w:marLeft w:val="0"/>
          <w:marRight w:val="0"/>
          <w:marTop w:val="0"/>
          <w:marBottom w:val="0"/>
          <w:divBdr>
            <w:top w:val="none" w:sz="0" w:space="0" w:color="auto"/>
            <w:left w:val="none" w:sz="0" w:space="0" w:color="auto"/>
            <w:bottom w:val="none" w:sz="0" w:space="0" w:color="auto"/>
            <w:right w:val="none" w:sz="0" w:space="0" w:color="auto"/>
          </w:divBdr>
        </w:div>
        <w:div w:id="1574394486">
          <w:marLeft w:val="0"/>
          <w:marRight w:val="0"/>
          <w:marTop w:val="0"/>
          <w:marBottom w:val="0"/>
          <w:divBdr>
            <w:top w:val="none" w:sz="0" w:space="0" w:color="auto"/>
            <w:left w:val="none" w:sz="0" w:space="0" w:color="auto"/>
            <w:bottom w:val="none" w:sz="0" w:space="0" w:color="auto"/>
            <w:right w:val="none" w:sz="0" w:space="0" w:color="auto"/>
          </w:divBdr>
        </w:div>
        <w:div w:id="1621719517">
          <w:marLeft w:val="0"/>
          <w:marRight w:val="0"/>
          <w:marTop w:val="0"/>
          <w:marBottom w:val="0"/>
          <w:divBdr>
            <w:top w:val="none" w:sz="0" w:space="0" w:color="auto"/>
            <w:left w:val="none" w:sz="0" w:space="0" w:color="auto"/>
            <w:bottom w:val="none" w:sz="0" w:space="0" w:color="auto"/>
            <w:right w:val="none" w:sz="0" w:space="0" w:color="auto"/>
          </w:divBdr>
        </w:div>
        <w:div w:id="1628664702">
          <w:marLeft w:val="0"/>
          <w:marRight w:val="0"/>
          <w:marTop w:val="0"/>
          <w:marBottom w:val="0"/>
          <w:divBdr>
            <w:top w:val="none" w:sz="0" w:space="0" w:color="auto"/>
            <w:left w:val="none" w:sz="0" w:space="0" w:color="auto"/>
            <w:bottom w:val="none" w:sz="0" w:space="0" w:color="auto"/>
            <w:right w:val="none" w:sz="0" w:space="0" w:color="auto"/>
          </w:divBdr>
        </w:div>
        <w:div w:id="1629319893">
          <w:marLeft w:val="0"/>
          <w:marRight w:val="0"/>
          <w:marTop w:val="0"/>
          <w:marBottom w:val="0"/>
          <w:divBdr>
            <w:top w:val="none" w:sz="0" w:space="0" w:color="auto"/>
            <w:left w:val="none" w:sz="0" w:space="0" w:color="auto"/>
            <w:bottom w:val="none" w:sz="0" w:space="0" w:color="auto"/>
            <w:right w:val="none" w:sz="0" w:space="0" w:color="auto"/>
          </w:divBdr>
        </w:div>
        <w:div w:id="1663851558">
          <w:marLeft w:val="0"/>
          <w:marRight w:val="0"/>
          <w:marTop w:val="0"/>
          <w:marBottom w:val="0"/>
          <w:divBdr>
            <w:top w:val="none" w:sz="0" w:space="0" w:color="auto"/>
            <w:left w:val="none" w:sz="0" w:space="0" w:color="auto"/>
            <w:bottom w:val="none" w:sz="0" w:space="0" w:color="auto"/>
            <w:right w:val="none" w:sz="0" w:space="0" w:color="auto"/>
          </w:divBdr>
        </w:div>
        <w:div w:id="1701783316">
          <w:marLeft w:val="0"/>
          <w:marRight w:val="0"/>
          <w:marTop w:val="0"/>
          <w:marBottom w:val="0"/>
          <w:divBdr>
            <w:top w:val="none" w:sz="0" w:space="0" w:color="auto"/>
            <w:left w:val="none" w:sz="0" w:space="0" w:color="auto"/>
            <w:bottom w:val="none" w:sz="0" w:space="0" w:color="auto"/>
            <w:right w:val="none" w:sz="0" w:space="0" w:color="auto"/>
          </w:divBdr>
        </w:div>
        <w:div w:id="1708139403">
          <w:marLeft w:val="0"/>
          <w:marRight w:val="0"/>
          <w:marTop w:val="0"/>
          <w:marBottom w:val="0"/>
          <w:divBdr>
            <w:top w:val="none" w:sz="0" w:space="0" w:color="auto"/>
            <w:left w:val="none" w:sz="0" w:space="0" w:color="auto"/>
            <w:bottom w:val="none" w:sz="0" w:space="0" w:color="auto"/>
            <w:right w:val="none" w:sz="0" w:space="0" w:color="auto"/>
          </w:divBdr>
        </w:div>
        <w:div w:id="1713186288">
          <w:marLeft w:val="0"/>
          <w:marRight w:val="0"/>
          <w:marTop w:val="0"/>
          <w:marBottom w:val="0"/>
          <w:divBdr>
            <w:top w:val="none" w:sz="0" w:space="0" w:color="auto"/>
            <w:left w:val="none" w:sz="0" w:space="0" w:color="auto"/>
            <w:bottom w:val="none" w:sz="0" w:space="0" w:color="auto"/>
            <w:right w:val="none" w:sz="0" w:space="0" w:color="auto"/>
          </w:divBdr>
        </w:div>
        <w:div w:id="1716661886">
          <w:marLeft w:val="0"/>
          <w:marRight w:val="0"/>
          <w:marTop w:val="0"/>
          <w:marBottom w:val="0"/>
          <w:divBdr>
            <w:top w:val="none" w:sz="0" w:space="0" w:color="auto"/>
            <w:left w:val="none" w:sz="0" w:space="0" w:color="auto"/>
            <w:bottom w:val="none" w:sz="0" w:space="0" w:color="auto"/>
            <w:right w:val="none" w:sz="0" w:space="0" w:color="auto"/>
          </w:divBdr>
        </w:div>
        <w:div w:id="1751611812">
          <w:marLeft w:val="0"/>
          <w:marRight w:val="0"/>
          <w:marTop w:val="0"/>
          <w:marBottom w:val="0"/>
          <w:divBdr>
            <w:top w:val="none" w:sz="0" w:space="0" w:color="auto"/>
            <w:left w:val="none" w:sz="0" w:space="0" w:color="auto"/>
            <w:bottom w:val="none" w:sz="0" w:space="0" w:color="auto"/>
            <w:right w:val="none" w:sz="0" w:space="0" w:color="auto"/>
          </w:divBdr>
        </w:div>
        <w:div w:id="1758476787">
          <w:marLeft w:val="0"/>
          <w:marRight w:val="0"/>
          <w:marTop w:val="0"/>
          <w:marBottom w:val="0"/>
          <w:divBdr>
            <w:top w:val="none" w:sz="0" w:space="0" w:color="auto"/>
            <w:left w:val="none" w:sz="0" w:space="0" w:color="auto"/>
            <w:bottom w:val="none" w:sz="0" w:space="0" w:color="auto"/>
            <w:right w:val="none" w:sz="0" w:space="0" w:color="auto"/>
          </w:divBdr>
        </w:div>
        <w:div w:id="1782257691">
          <w:marLeft w:val="0"/>
          <w:marRight w:val="0"/>
          <w:marTop w:val="0"/>
          <w:marBottom w:val="0"/>
          <w:divBdr>
            <w:top w:val="none" w:sz="0" w:space="0" w:color="auto"/>
            <w:left w:val="none" w:sz="0" w:space="0" w:color="auto"/>
            <w:bottom w:val="none" w:sz="0" w:space="0" w:color="auto"/>
            <w:right w:val="none" w:sz="0" w:space="0" w:color="auto"/>
          </w:divBdr>
        </w:div>
        <w:div w:id="1811097897">
          <w:marLeft w:val="0"/>
          <w:marRight w:val="0"/>
          <w:marTop w:val="0"/>
          <w:marBottom w:val="0"/>
          <w:divBdr>
            <w:top w:val="none" w:sz="0" w:space="0" w:color="auto"/>
            <w:left w:val="none" w:sz="0" w:space="0" w:color="auto"/>
            <w:bottom w:val="none" w:sz="0" w:space="0" w:color="auto"/>
            <w:right w:val="none" w:sz="0" w:space="0" w:color="auto"/>
          </w:divBdr>
        </w:div>
        <w:div w:id="1811291561">
          <w:marLeft w:val="0"/>
          <w:marRight w:val="0"/>
          <w:marTop w:val="0"/>
          <w:marBottom w:val="0"/>
          <w:divBdr>
            <w:top w:val="none" w:sz="0" w:space="0" w:color="auto"/>
            <w:left w:val="none" w:sz="0" w:space="0" w:color="auto"/>
            <w:bottom w:val="none" w:sz="0" w:space="0" w:color="auto"/>
            <w:right w:val="none" w:sz="0" w:space="0" w:color="auto"/>
          </w:divBdr>
        </w:div>
        <w:div w:id="1812478994">
          <w:marLeft w:val="0"/>
          <w:marRight w:val="0"/>
          <w:marTop w:val="0"/>
          <w:marBottom w:val="0"/>
          <w:divBdr>
            <w:top w:val="none" w:sz="0" w:space="0" w:color="auto"/>
            <w:left w:val="none" w:sz="0" w:space="0" w:color="auto"/>
            <w:bottom w:val="none" w:sz="0" w:space="0" w:color="auto"/>
            <w:right w:val="none" w:sz="0" w:space="0" w:color="auto"/>
          </w:divBdr>
        </w:div>
        <w:div w:id="1816217408">
          <w:marLeft w:val="0"/>
          <w:marRight w:val="0"/>
          <w:marTop w:val="0"/>
          <w:marBottom w:val="0"/>
          <w:divBdr>
            <w:top w:val="none" w:sz="0" w:space="0" w:color="auto"/>
            <w:left w:val="none" w:sz="0" w:space="0" w:color="auto"/>
            <w:bottom w:val="none" w:sz="0" w:space="0" w:color="auto"/>
            <w:right w:val="none" w:sz="0" w:space="0" w:color="auto"/>
          </w:divBdr>
        </w:div>
        <w:div w:id="1832595052">
          <w:marLeft w:val="0"/>
          <w:marRight w:val="0"/>
          <w:marTop w:val="0"/>
          <w:marBottom w:val="0"/>
          <w:divBdr>
            <w:top w:val="none" w:sz="0" w:space="0" w:color="auto"/>
            <w:left w:val="none" w:sz="0" w:space="0" w:color="auto"/>
            <w:bottom w:val="none" w:sz="0" w:space="0" w:color="auto"/>
            <w:right w:val="none" w:sz="0" w:space="0" w:color="auto"/>
          </w:divBdr>
        </w:div>
        <w:div w:id="1849901143">
          <w:marLeft w:val="0"/>
          <w:marRight w:val="0"/>
          <w:marTop w:val="0"/>
          <w:marBottom w:val="0"/>
          <w:divBdr>
            <w:top w:val="none" w:sz="0" w:space="0" w:color="auto"/>
            <w:left w:val="none" w:sz="0" w:space="0" w:color="auto"/>
            <w:bottom w:val="none" w:sz="0" w:space="0" w:color="auto"/>
            <w:right w:val="none" w:sz="0" w:space="0" w:color="auto"/>
          </w:divBdr>
        </w:div>
        <w:div w:id="1851872839">
          <w:marLeft w:val="0"/>
          <w:marRight w:val="0"/>
          <w:marTop w:val="0"/>
          <w:marBottom w:val="0"/>
          <w:divBdr>
            <w:top w:val="none" w:sz="0" w:space="0" w:color="auto"/>
            <w:left w:val="none" w:sz="0" w:space="0" w:color="auto"/>
            <w:bottom w:val="none" w:sz="0" w:space="0" w:color="auto"/>
            <w:right w:val="none" w:sz="0" w:space="0" w:color="auto"/>
          </w:divBdr>
        </w:div>
        <w:div w:id="1870795853">
          <w:marLeft w:val="0"/>
          <w:marRight w:val="0"/>
          <w:marTop w:val="0"/>
          <w:marBottom w:val="0"/>
          <w:divBdr>
            <w:top w:val="none" w:sz="0" w:space="0" w:color="auto"/>
            <w:left w:val="none" w:sz="0" w:space="0" w:color="auto"/>
            <w:bottom w:val="none" w:sz="0" w:space="0" w:color="auto"/>
            <w:right w:val="none" w:sz="0" w:space="0" w:color="auto"/>
          </w:divBdr>
        </w:div>
        <w:div w:id="1880624010">
          <w:marLeft w:val="0"/>
          <w:marRight w:val="0"/>
          <w:marTop w:val="0"/>
          <w:marBottom w:val="0"/>
          <w:divBdr>
            <w:top w:val="none" w:sz="0" w:space="0" w:color="auto"/>
            <w:left w:val="none" w:sz="0" w:space="0" w:color="auto"/>
            <w:bottom w:val="none" w:sz="0" w:space="0" w:color="auto"/>
            <w:right w:val="none" w:sz="0" w:space="0" w:color="auto"/>
          </w:divBdr>
        </w:div>
        <w:div w:id="1898972978">
          <w:marLeft w:val="0"/>
          <w:marRight w:val="0"/>
          <w:marTop w:val="0"/>
          <w:marBottom w:val="0"/>
          <w:divBdr>
            <w:top w:val="none" w:sz="0" w:space="0" w:color="auto"/>
            <w:left w:val="none" w:sz="0" w:space="0" w:color="auto"/>
            <w:bottom w:val="none" w:sz="0" w:space="0" w:color="auto"/>
            <w:right w:val="none" w:sz="0" w:space="0" w:color="auto"/>
          </w:divBdr>
        </w:div>
        <w:div w:id="1907719610">
          <w:marLeft w:val="0"/>
          <w:marRight w:val="0"/>
          <w:marTop w:val="0"/>
          <w:marBottom w:val="0"/>
          <w:divBdr>
            <w:top w:val="none" w:sz="0" w:space="0" w:color="auto"/>
            <w:left w:val="none" w:sz="0" w:space="0" w:color="auto"/>
            <w:bottom w:val="none" w:sz="0" w:space="0" w:color="auto"/>
            <w:right w:val="none" w:sz="0" w:space="0" w:color="auto"/>
          </w:divBdr>
        </w:div>
        <w:div w:id="1912695527">
          <w:marLeft w:val="0"/>
          <w:marRight w:val="0"/>
          <w:marTop w:val="0"/>
          <w:marBottom w:val="0"/>
          <w:divBdr>
            <w:top w:val="none" w:sz="0" w:space="0" w:color="auto"/>
            <w:left w:val="none" w:sz="0" w:space="0" w:color="auto"/>
            <w:bottom w:val="none" w:sz="0" w:space="0" w:color="auto"/>
            <w:right w:val="none" w:sz="0" w:space="0" w:color="auto"/>
          </w:divBdr>
        </w:div>
        <w:div w:id="1929342614">
          <w:marLeft w:val="0"/>
          <w:marRight w:val="0"/>
          <w:marTop w:val="0"/>
          <w:marBottom w:val="0"/>
          <w:divBdr>
            <w:top w:val="none" w:sz="0" w:space="0" w:color="auto"/>
            <w:left w:val="none" w:sz="0" w:space="0" w:color="auto"/>
            <w:bottom w:val="none" w:sz="0" w:space="0" w:color="auto"/>
            <w:right w:val="none" w:sz="0" w:space="0" w:color="auto"/>
          </w:divBdr>
        </w:div>
        <w:div w:id="1941987585">
          <w:marLeft w:val="0"/>
          <w:marRight w:val="0"/>
          <w:marTop w:val="0"/>
          <w:marBottom w:val="0"/>
          <w:divBdr>
            <w:top w:val="none" w:sz="0" w:space="0" w:color="auto"/>
            <w:left w:val="none" w:sz="0" w:space="0" w:color="auto"/>
            <w:bottom w:val="none" w:sz="0" w:space="0" w:color="auto"/>
            <w:right w:val="none" w:sz="0" w:space="0" w:color="auto"/>
          </w:divBdr>
        </w:div>
        <w:div w:id="1955399928">
          <w:marLeft w:val="0"/>
          <w:marRight w:val="0"/>
          <w:marTop w:val="0"/>
          <w:marBottom w:val="0"/>
          <w:divBdr>
            <w:top w:val="none" w:sz="0" w:space="0" w:color="auto"/>
            <w:left w:val="none" w:sz="0" w:space="0" w:color="auto"/>
            <w:bottom w:val="none" w:sz="0" w:space="0" w:color="auto"/>
            <w:right w:val="none" w:sz="0" w:space="0" w:color="auto"/>
          </w:divBdr>
        </w:div>
        <w:div w:id="1958026844">
          <w:marLeft w:val="0"/>
          <w:marRight w:val="0"/>
          <w:marTop w:val="0"/>
          <w:marBottom w:val="0"/>
          <w:divBdr>
            <w:top w:val="none" w:sz="0" w:space="0" w:color="auto"/>
            <w:left w:val="none" w:sz="0" w:space="0" w:color="auto"/>
            <w:bottom w:val="none" w:sz="0" w:space="0" w:color="auto"/>
            <w:right w:val="none" w:sz="0" w:space="0" w:color="auto"/>
          </w:divBdr>
        </w:div>
        <w:div w:id="1961689619">
          <w:marLeft w:val="0"/>
          <w:marRight w:val="0"/>
          <w:marTop w:val="0"/>
          <w:marBottom w:val="0"/>
          <w:divBdr>
            <w:top w:val="none" w:sz="0" w:space="0" w:color="auto"/>
            <w:left w:val="none" w:sz="0" w:space="0" w:color="auto"/>
            <w:bottom w:val="none" w:sz="0" w:space="0" w:color="auto"/>
            <w:right w:val="none" w:sz="0" w:space="0" w:color="auto"/>
          </w:divBdr>
        </w:div>
        <w:div w:id="1964849688">
          <w:marLeft w:val="0"/>
          <w:marRight w:val="0"/>
          <w:marTop w:val="0"/>
          <w:marBottom w:val="0"/>
          <w:divBdr>
            <w:top w:val="none" w:sz="0" w:space="0" w:color="auto"/>
            <w:left w:val="none" w:sz="0" w:space="0" w:color="auto"/>
            <w:bottom w:val="none" w:sz="0" w:space="0" w:color="auto"/>
            <w:right w:val="none" w:sz="0" w:space="0" w:color="auto"/>
          </w:divBdr>
        </w:div>
        <w:div w:id="1965576570">
          <w:marLeft w:val="0"/>
          <w:marRight w:val="0"/>
          <w:marTop w:val="0"/>
          <w:marBottom w:val="0"/>
          <w:divBdr>
            <w:top w:val="none" w:sz="0" w:space="0" w:color="auto"/>
            <w:left w:val="none" w:sz="0" w:space="0" w:color="auto"/>
            <w:bottom w:val="none" w:sz="0" w:space="0" w:color="auto"/>
            <w:right w:val="none" w:sz="0" w:space="0" w:color="auto"/>
          </w:divBdr>
        </w:div>
        <w:div w:id="1968201070">
          <w:marLeft w:val="0"/>
          <w:marRight w:val="0"/>
          <w:marTop w:val="0"/>
          <w:marBottom w:val="0"/>
          <w:divBdr>
            <w:top w:val="none" w:sz="0" w:space="0" w:color="auto"/>
            <w:left w:val="none" w:sz="0" w:space="0" w:color="auto"/>
            <w:bottom w:val="none" w:sz="0" w:space="0" w:color="auto"/>
            <w:right w:val="none" w:sz="0" w:space="0" w:color="auto"/>
          </w:divBdr>
        </w:div>
        <w:div w:id="1968730089">
          <w:marLeft w:val="0"/>
          <w:marRight w:val="0"/>
          <w:marTop w:val="0"/>
          <w:marBottom w:val="0"/>
          <w:divBdr>
            <w:top w:val="none" w:sz="0" w:space="0" w:color="auto"/>
            <w:left w:val="none" w:sz="0" w:space="0" w:color="auto"/>
            <w:bottom w:val="none" w:sz="0" w:space="0" w:color="auto"/>
            <w:right w:val="none" w:sz="0" w:space="0" w:color="auto"/>
          </w:divBdr>
        </w:div>
        <w:div w:id="1972056562">
          <w:marLeft w:val="0"/>
          <w:marRight w:val="0"/>
          <w:marTop w:val="0"/>
          <w:marBottom w:val="0"/>
          <w:divBdr>
            <w:top w:val="none" w:sz="0" w:space="0" w:color="auto"/>
            <w:left w:val="none" w:sz="0" w:space="0" w:color="auto"/>
            <w:bottom w:val="none" w:sz="0" w:space="0" w:color="auto"/>
            <w:right w:val="none" w:sz="0" w:space="0" w:color="auto"/>
          </w:divBdr>
        </w:div>
        <w:div w:id="1982424691">
          <w:marLeft w:val="0"/>
          <w:marRight w:val="0"/>
          <w:marTop w:val="0"/>
          <w:marBottom w:val="0"/>
          <w:divBdr>
            <w:top w:val="none" w:sz="0" w:space="0" w:color="auto"/>
            <w:left w:val="none" w:sz="0" w:space="0" w:color="auto"/>
            <w:bottom w:val="none" w:sz="0" w:space="0" w:color="auto"/>
            <w:right w:val="none" w:sz="0" w:space="0" w:color="auto"/>
          </w:divBdr>
        </w:div>
        <w:div w:id="1984239355">
          <w:marLeft w:val="0"/>
          <w:marRight w:val="0"/>
          <w:marTop w:val="0"/>
          <w:marBottom w:val="0"/>
          <w:divBdr>
            <w:top w:val="none" w:sz="0" w:space="0" w:color="auto"/>
            <w:left w:val="none" w:sz="0" w:space="0" w:color="auto"/>
            <w:bottom w:val="none" w:sz="0" w:space="0" w:color="auto"/>
            <w:right w:val="none" w:sz="0" w:space="0" w:color="auto"/>
          </w:divBdr>
        </w:div>
        <w:div w:id="1989281772">
          <w:marLeft w:val="0"/>
          <w:marRight w:val="0"/>
          <w:marTop w:val="0"/>
          <w:marBottom w:val="0"/>
          <w:divBdr>
            <w:top w:val="none" w:sz="0" w:space="0" w:color="auto"/>
            <w:left w:val="none" w:sz="0" w:space="0" w:color="auto"/>
            <w:bottom w:val="none" w:sz="0" w:space="0" w:color="auto"/>
            <w:right w:val="none" w:sz="0" w:space="0" w:color="auto"/>
          </w:divBdr>
        </w:div>
        <w:div w:id="1992708600">
          <w:marLeft w:val="0"/>
          <w:marRight w:val="0"/>
          <w:marTop w:val="0"/>
          <w:marBottom w:val="0"/>
          <w:divBdr>
            <w:top w:val="none" w:sz="0" w:space="0" w:color="auto"/>
            <w:left w:val="none" w:sz="0" w:space="0" w:color="auto"/>
            <w:bottom w:val="none" w:sz="0" w:space="0" w:color="auto"/>
            <w:right w:val="none" w:sz="0" w:space="0" w:color="auto"/>
          </w:divBdr>
        </w:div>
        <w:div w:id="2000184324">
          <w:marLeft w:val="0"/>
          <w:marRight w:val="0"/>
          <w:marTop w:val="0"/>
          <w:marBottom w:val="0"/>
          <w:divBdr>
            <w:top w:val="none" w:sz="0" w:space="0" w:color="auto"/>
            <w:left w:val="none" w:sz="0" w:space="0" w:color="auto"/>
            <w:bottom w:val="none" w:sz="0" w:space="0" w:color="auto"/>
            <w:right w:val="none" w:sz="0" w:space="0" w:color="auto"/>
          </w:divBdr>
        </w:div>
        <w:div w:id="2000883578">
          <w:marLeft w:val="0"/>
          <w:marRight w:val="0"/>
          <w:marTop w:val="0"/>
          <w:marBottom w:val="0"/>
          <w:divBdr>
            <w:top w:val="none" w:sz="0" w:space="0" w:color="auto"/>
            <w:left w:val="none" w:sz="0" w:space="0" w:color="auto"/>
            <w:bottom w:val="none" w:sz="0" w:space="0" w:color="auto"/>
            <w:right w:val="none" w:sz="0" w:space="0" w:color="auto"/>
          </w:divBdr>
        </w:div>
        <w:div w:id="2026440675">
          <w:marLeft w:val="0"/>
          <w:marRight w:val="0"/>
          <w:marTop w:val="0"/>
          <w:marBottom w:val="0"/>
          <w:divBdr>
            <w:top w:val="none" w:sz="0" w:space="0" w:color="auto"/>
            <w:left w:val="none" w:sz="0" w:space="0" w:color="auto"/>
            <w:bottom w:val="none" w:sz="0" w:space="0" w:color="auto"/>
            <w:right w:val="none" w:sz="0" w:space="0" w:color="auto"/>
          </w:divBdr>
        </w:div>
      </w:divsChild>
    </w:div>
    <w:div w:id="1912999836">
      <w:bodyDiv w:val="1"/>
      <w:marLeft w:val="0"/>
      <w:marRight w:val="0"/>
      <w:marTop w:val="0"/>
      <w:marBottom w:val="0"/>
      <w:divBdr>
        <w:top w:val="none" w:sz="0" w:space="0" w:color="auto"/>
        <w:left w:val="none" w:sz="0" w:space="0" w:color="auto"/>
        <w:bottom w:val="none" w:sz="0" w:space="0" w:color="auto"/>
        <w:right w:val="none" w:sz="0" w:space="0" w:color="auto"/>
      </w:divBdr>
    </w:div>
    <w:div w:id="1913152742">
      <w:bodyDiv w:val="1"/>
      <w:marLeft w:val="0"/>
      <w:marRight w:val="0"/>
      <w:marTop w:val="0"/>
      <w:marBottom w:val="0"/>
      <w:divBdr>
        <w:top w:val="none" w:sz="0" w:space="0" w:color="auto"/>
        <w:left w:val="none" w:sz="0" w:space="0" w:color="auto"/>
        <w:bottom w:val="none" w:sz="0" w:space="0" w:color="auto"/>
        <w:right w:val="none" w:sz="0" w:space="0" w:color="auto"/>
      </w:divBdr>
    </w:div>
    <w:div w:id="1913156869">
      <w:bodyDiv w:val="1"/>
      <w:marLeft w:val="0"/>
      <w:marRight w:val="0"/>
      <w:marTop w:val="0"/>
      <w:marBottom w:val="0"/>
      <w:divBdr>
        <w:top w:val="none" w:sz="0" w:space="0" w:color="auto"/>
        <w:left w:val="none" w:sz="0" w:space="0" w:color="auto"/>
        <w:bottom w:val="none" w:sz="0" w:space="0" w:color="auto"/>
        <w:right w:val="none" w:sz="0" w:space="0" w:color="auto"/>
      </w:divBdr>
    </w:div>
    <w:div w:id="1913159267">
      <w:bodyDiv w:val="1"/>
      <w:marLeft w:val="0"/>
      <w:marRight w:val="0"/>
      <w:marTop w:val="0"/>
      <w:marBottom w:val="0"/>
      <w:divBdr>
        <w:top w:val="none" w:sz="0" w:space="0" w:color="auto"/>
        <w:left w:val="none" w:sz="0" w:space="0" w:color="auto"/>
        <w:bottom w:val="none" w:sz="0" w:space="0" w:color="auto"/>
        <w:right w:val="none" w:sz="0" w:space="0" w:color="auto"/>
      </w:divBdr>
    </w:div>
    <w:div w:id="1913193337">
      <w:bodyDiv w:val="1"/>
      <w:marLeft w:val="0"/>
      <w:marRight w:val="0"/>
      <w:marTop w:val="0"/>
      <w:marBottom w:val="0"/>
      <w:divBdr>
        <w:top w:val="none" w:sz="0" w:space="0" w:color="auto"/>
        <w:left w:val="none" w:sz="0" w:space="0" w:color="auto"/>
        <w:bottom w:val="none" w:sz="0" w:space="0" w:color="auto"/>
        <w:right w:val="none" w:sz="0" w:space="0" w:color="auto"/>
      </w:divBdr>
    </w:div>
    <w:div w:id="1913196367">
      <w:bodyDiv w:val="1"/>
      <w:marLeft w:val="0"/>
      <w:marRight w:val="0"/>
      <w:marTop w:val="0"/>
      <w:marBottom w:val="0"/>
      <w:divBdr>
        <w:top w:val="none" w:sz="0" w:space="0" w:color="auto"/>
        <w:left w:val="none" w:sz="0" w:space="0" w:color="auto"/>
        <w:bottom w:val="none" w:sz="0" w:space="0" w:color="auto"/>
        <w:right w:val="none" w:sz="0" w:space="0" w:color="auto"/>
      </w:divBdr>
    </w:div>
    <w:div w:id="1913273164">
      <w:bodyDiv w:val="1"/>
      <w:marLeft w:val="0"/>
      <w:marRight w:val="0"/>
      <w:marTop w:val="0"/>
      <w:marBottom w:val="0"/>
      <w:divBdr>
        <w:top w:val="none" w:sz="0" w:space="0" w:color="auto"/>
        <w:left w:val="none" w:sz="0" w:space="0" w:color="auto"/>
        <w:bottom w:val="none" w:sz="0" w:space="0" w:color="auto"/>
        <w:right w:val="none" w:sz="0" w:space="0" w:color="auto"/>
      </w:divBdr>
    </w:div>
    <w:div w:id="1913274728">
      <w:bodyDiv w:val="1"/>
      <w:marLeft w:val="0"/>
      <w:marRight w:val="0"/>
      <w:marTop w:val="0"/>
      <w:marBottom w:val="0"/>
      <w:divBdr>
        <w:top w:val="none" w:sz="0" w:space="0" w:color="auto"/>
        <w:left w:val="none" w:sz="0" w:space="0" w:color="auto"/>
        <w:bottom w:val="none" w:sz="0" w:space="0" w:color="auto"/>
        <w:right w:val="none" w:sz="0" w:space="0" w:color="auto"/>
      </w:divBdr>
    </w:div>
    <w:div w:id="1913275075">
      <w:bodyDiv w:val="1"/>
      <w:marLeft w:val="0"/>
      <w:marRight w:val="0"/>
      <w:marTop w:val="0"/>
      <w:marBottom w:val="0"/>
      <w:divBdr>
        <w:top w:val="none" w:sz="0" w:space="0" w:color="auto"/>
        <w:left w:val="none" w:sz="0" w:space="0" w:color="auto"/>
        <w:bottom w:val="none" w:sz="0" w:space="0" w:color="auto"/>
        <w:right w:val="none" w:sz="0" w:space="0" w:color="auto"/>
      </w:divBdr>
    </w:div>
    <w:div w:id="1913542995">
      <w:bodyDiv w:val="1"/>
      <w:marLeft w:val="0"/>
      <w:marRight w:val="0"/>
      <w:marTop w:val="0"/>
      <w:marBottom w:val="0"/>
      <w:divBdr>
        <w:top w:val="none" w:sz="0" w:space="0" w:color="auto"/>
        <w:left w:val="none" w:sz="0" w:space="0" w:color="auto"/>
        <w:bottom w:val="none" w:sz="0" w:space="0" w:color="auto"/>
        <w:right w:val="none" w:sz="0" w:space="0" w:color="auto"/>
      </w:divBdr>
    </w:div>
    <w:div w:id="1913544891">
      <w:bodyDiv w:val="1"/>
      <w:marLeft w:val="0"/>
      <w:marRight w:val="0"/>
      <w:marTop w:val="0"/>
      <w:marBottom w:val="0"/>
      <w:divBdr>
        <w:top w:val="none" w:sz="0" w:space="0" w:color="auto"/>
        <w:left w:val="none" w:sz="0" w:space="0" w:color="auto"/>
        <w:bottom w:val="none" w:sz="0" w:space="0" w:color="auto"/>
        <w:right w:val="none" w:sz="0" w:space="0" w:color="auto"/>
      </w:divBdr>
    </w:div>
    <w:div w:id="1913545952">
      <w:bodyDiv w:val="1"/>
      <w:marLeft w:val="0"/>
      <w:marRight w:val="0"/>
      <w:marTop w:val="0"/>
      <w:marBottom w:val="0"/>
      <w:divBdr>
        <w:top w:val="none" w:sz="0" w:space="0" w:color="auto"/>
        <w:left w:val="none" w:sz="0" w:space="0" w:color="auto"/>
        <w:bottom w:val="none" w:sz="0" w:space="0" w:color="auto"/>
        <w:right w:val="none" w:sz="0" w:space="0" w:color="auto"/>
      </w:divBdr>
    </w:div>
    <w:div w:id="1913546179">
      <w:bodyDiv w:val="1"/>
      <w:marLeft w:val="0"/>
      <w:marRight w:val="0"/>
      <w:marTop w:val="0"/>
      <w:marBottom w:val="0"/>
      <w:divBdr>
        <w:top w:val="none" w:sz="0" w:space="0" w:color="auto"/>
        <w:left w:val="none" w:sz="0" w:space="0" w:color="auto"/>
        <w:bottom w:val="none" w:sz="0" w:space="0" w:color="auto"/>
        <w:right w:val="none" w:sz="0" w:space="0" w:color="auto"/>
      </w:divBdr>
    </w:div>
    <w:div w:id="1913617063">
      <w:bodyDiv w:val="1"/>
      <w:marLeft w:val="0"/>
      <w:marRight w:val="0"/>
      <w:marTop w:val="0"/>
      <w:marBottom w:val="0"/>
      <w:divBdr>
        <w:top w:val="none" w:sz="0" w:space="0" w:color="auto"/>
        <w:left w:val="none" w:sz="0" w:space="0" w:color="auto"/>
        <w:bottom w:val="none" w:sz="0" w:space="0" w:color="auto"/>
        <w:right w:val="none" w:sz="0" w:space="0" w:color="auto"/>
      </w:divBdr>
    </w:div>
    <w:div w:id="1913617856">
      <w:bodyDiv w:val="1"/>
      <w:marLeft w:val="0"/>
      <w:marRight w:val="0"/>
      <w:marTop w:val="0"/>
      <w:marBottom w:val="0"/>
      <w:divBdr>
        <w:top w:val="none" w:sz="0" w:space="0" w:color="auto"/>
        <w:left w:val="none" w:sz="0" w:space="0" w:color="auto"/>
        <w:bottom w:val="none" w:sz="0" w:space="0" w:color="auto"/>
        <w:right w:val="none" w:sz="0" w:space="0" w:color="auto"/>
      </w:divBdr>
    </w:div>
    <w:div w:id="1913734675">
      <w:bodyDiv w:val="1"/>
      <w:marLeft w:val="0"/>
      <w:marRight w:val="0"/>
      <w:marTop w:val="0"/>
      <w:marBottom w:val="0"/>
      <w:divBdr>
        <w:top w:val="none" w:sz="0" w:space="0" w:color="auto"/>
        <w:left w:val="none" w:sz="0" w:space="0" w:color="auto"/>
        <w:bottom w:val="none" w:sz="0" w:space="0" w:color="auto"/>
        <w:right w:val="none" w:sz="0" w:space="0" w:color="auto"/>
      </w:divBdr>
    </w:div>
    <w:div w:id="1913736482">
      <w:bodyDiv w:val="1"/>
      <w:marLeft w:val="0"/>
      <w:marRight w:val="0"/>
      <w:marTop w:val="0"/>
      <w:marBottom w:val="0"/>
      <w:divBdr>
        <w:top w:val="none" w:sz="0" w:space="0" w:color="auto"/>
        <w:left w:val="none" w:sz="0" w:space="0" w:color="auto"/>
        <w:bottom w:val="none" w:sz="0" w:space="0" w:color="auto"/>
        <w:right w:val="none" w:sz="0" w:space="0" w:color="auto"/>
      </w:divBdr>
    </w:div>
    <w:div w:id="1913806444">
      <w:bodyDiv w:val="1"/>
      <w:marLeft w:val="0"/>
      <w:marRight w:val="0"/>
      <w:marTop w:val="0"/>
      <w:marBottom w:val="0"/>
      <w:divBdr>
        <w:top w:val="none" w:sz="0" w:space="0" w:color="auto"/>
        <w:left w:val="none" w:sz="0" w:space="0" w:color="auto"/>
        <w:bottom w:val="none" w:sz="0" w:space="0" w:color="auto"/>
        <w:right w:val="none" w:sz="0" w:space="0" w:color="auto"/>
      </w:divBdr>
    </w:div>
    <w:div w:id="1913806464">
      <w:bodyDiv w:val="1"/>
      <w:marLeft w:val="0"/>
      <w:marRight w:val="0"/>
      <w:marTop w:val="0"/>
      <w:marBottom w:val="0"/>
      <w:divBdr>
        <w:top w:val="none" w:sz="0" w:space="0" w:color="auto"/>
        <w:left w:val="none" w:sz="0" w:space="0" w:color="auto"/>
        <w:bottom w:val="none" w:sz="0" w:space="0" w:color="auto"/>
        <w:right w:val="none" w:sz="0" w:space="0" w:color="auto"/>
      </w:divBdr>
    </w:div>
    <w:div w:id="1913927810">
      <w:bodyDiv w:val="1"/>
      <w:marLeft w:val="0"/>
      <w:marRight w:val="0"/>
      <w:marTop w:val="0"/>
      <w:marBottom w:val="0"/>
      <w:divBdr>
        <w:top w:val="none" w:sz="0" w:space="0" w:color="auto"/>
        <w:left w:val="none" w:sz="0" w:space="0" w:color="auto"/>
        <w:bottom w:val="none" w:sz="0" w:space="0" w:color="auto"/>
        <w:right w:val="none" w:sz="0" w:space="0" w:color="auto"/>
      </w:divBdr>
    </w:div>
    <w:div w:id="1913929390">
      <w:bodyDiv w:val="1"/>
      <w:marLeft w:val="0"/>
      <w:marRight w:val="0"/>
      <w:marTop w:val="0"/>
      <w:marBottom w:val="0"/>
      <w:divBdr>
        <w:top w:val="none" w:sz="0" w:space="0" w:color="auto"/>
        <w:left w:val="none" w:sz="0" w:space="0" w:color="auto"/>
        <w:bottom w:val="none" w:sz="0" w:space="0" w:color="auto"/>
        <w:right w:val="none" w:sz="0" w:space="0" w:color="auto"/>
      </w:divBdr>
    </w:div>
    <w:div w:id="1913999941">
      <w:bodyDiv w:val="1"/>
      <w:marLeft w:val="0"/>
      <w:marRight w:val="0"/>
      <w:marTop w:val="0"/>
      <w:marBottom w:val="0"/>
      <w:divBdr>
        <w:top w:val="none" w:sz="0" w:space="0" w:color="auto"/>
        <w:left w:val="none" w:sz="0" w:space="0" w:color="auto"/>
        <w:bottom w:val="none" w:sz="0" w:space="0" w:color="auto"/>
        <w:right w:val="none" w:sz="0" w:space="0" w:color="auto"/>
      </w:divBdr>
    </w:div>
    <w:div w:id="1914118912">
      <w:bodyDiv w:val="1"/>
      <w:marLeft w:val="0"/>
      <w:marRight w:val="0"/>
      <w:marTop w:val="0"/>
      <w:marBottom w:val="0"/>
      <w:divBdr>
        <w:top w:val="none" w:sz="0" w:space="0" w:color="auto"/>
        <w:left w:val="none" w:sz="0" w:space="0" w:color="auto"/>
        <w:bottom w:val="none" w:sz="0" w:space="0" w:color="auto"/>
        <w:right w:val="none" w:sz="0" w:space="0" w:color="auto"/>
      </w:divBdr>
    </w:div>
    <w:div w:id="1914121720">
      <w:bodyDiv w:val="1"/>
      <w:marLeft w:val="0"/>
      <w:marRight w:val="0"/>
      <w:marTop w:val="0"/>
      <w:marBottom w:val="0"/>
      <w:divBdr>
        <w:top w:val="none" w:sz="0" w:space="0" w:color="auto"/>
        <w:left w:val="none" w:sz="0" w:space="0" w:color="auto"/>
        <w:bottom w:val="none" w:sz="0" w:space="0" w:color="auto"/>
        <w:right w:val="none" w:sz="0" w:space="0" w:color="auto"/>
      </w:divBdr>
    </w:div>
    <w:div w:id="1914192154">
      <w:bodyDiv w:val="1"/>
      <w:marLeft w:val="0"/>
      <w:marRight w:val="0"/>
      <w:marTop w:val="0"/>
      <w:marBottom w:val="0"/>
      <w:divBdr>
        <w:top w:val="none" w:sz="0" w:space="0" w:color="auto"/>
        <w:left w:val="none" w:sz="0" w:space="0" w:color="auto"/>
        <w:bottom w:val="none" w:sz="0" w:space="0" w:color="auto"/>
        <w:right w:val="none" w:sz="0" w:space="0" w:color="auto"/>
      </w:divBdr>
    </w:div>
    <w:div w:id="1914194439">
      <w:bodyDiv w:val="1"/>
      <w:marLeft w:val="0"/>
      <w:marRight w:val="0"/>
      <w:marTop w:val="0"/>
      <w:marBottom w:val="0"/>
      <w:divBdr>
        <w:top w:val="none" w:sz="0" w:space="0" w:color="auto"/>
        <w:left w:val="none" w:sz="0" w:space="0" w:color="auto"/>
        <w:bottom w:val="none" w:sz="0" w:space="0" w:color="auto"/>
        <w:right w:val="none" w:sz="0" w:space="0" w:color="auto"/>
      </w:divBdr>
    </w:div>
    <w:div w:id="1914273308">
      <w:bodyDiv w:val="1"/>
      <w:marLeft w:val="0"/>
      <w:marRight w:val="0"/>
      <w:marTop w:val="0"/>
      <w:marBottom w:val="0"/>
      <w:divBdr>
        <w:top w:val="none" w:sz="0" w:space="0" w:color="auto"/>
        <w:left w:val="none" w:sz="0" w:space="0" w:color="auto"/>
        <w:bottom w:val="none" w:sz="0" w:space="0" w:color="auto"/>
        <w:right w:val="none" w:sz="0" w:space="0" w:color="auto"/>
      </w:divBdr>
    </w:div>
    <w:div w:id="1914391302">
      <w:bodyDiv w:val="1"/>
      <w:marLeft w:val="0"/>
      <w:marRight w:val="0"/>
      <w:marTop w:val="0"/>
      <w:marBottom w:val="0"/>
      <w:divBdr>
        <w:top w:val="none" w:sz="0" w:space="0" w:color="auto"/>
        <w:left w:val="none" w:sz="0" w:space="0" w:color="auto"/>
        <w:bottom w:val="none" w:sz="0" w:space="0" w:color="auto"/>
        <w:right w:val="none" w:sz="0" w:space="0" w:color="auto"/>
      </w:divBdr>
    </w:div>
    <w:div w:id="1914469068">
      <w:bodyDiv w:val="1"/>
      <w:marLeft w:val="0"/>
      <w:marRight w:val="0"/>
      <w:marTop w:val="0"/>
      <w:marBottom w:val="0"/>
      <w:divBdr>
        <w:top w:val="none" w:sz="0" w:space="0" w:color="auto"/>
        <w:left w:val="none" w:sz="0" w:space="0" w:color="auto"/>
        <w:bottom w:val="none" w:sz="0" w:space="0" w:color="auto"/>
        <w:right w:val="none" w:sz="0" w:space="0" w:color="auto"/>
      </w:divBdr>
    </w:div>
    <w:div w:id="1914585538">
      <w:bodyDiv w:val="1"/>
      <w:marLeft w:val="0"/>
      <w:marRight w:val="0"/>
      <w:marTop w:val="0"/>
      <w:marBottom w:val="0"/>
      <w:divBdr>
        <w:top w:val="none" w:sz="0" w:space="0" w:color="auto"/>
        <w:left w:val="none" w:sz="0" w:space="0" w:color="auto"/>
        <w:bottom w:val="none" w:sz="0" w:space="0" w:color="auto"/>
        <w:right w:val="none" w:sz="0" w:space="0" w:color="auto"/>
      </w:divBdr>
    </w:div>
    <w:div w:id="1914703253">
      <w:bodyDiv w:val="1"/>
      <w:marLeft w:val="0"/>
      <w:marRight w:val="0"/>
      <w:marTop w:val="0"/>
      <w:marBottom w:val="0"/>
      <w:divBdr>
        <w:top w:val="none" w:sz="0" w:space="0" w:color="auto"/>
        <w:left w:val="none" w:sz="0" w:space="0" w:color="auto"/>
        <w:bottom w:val="none" w:sz="0" w:space="0" w:color="auto"/>
        <w:right w:val="none" w:sz="0" w:space="0" w:color="auto"/>
      </w:divBdr>
    </w:div>
    <w:div w:id="1914705116">
      <w:bodyDiv w:val="1"/>
      <w:marLeft w:val="0"/>
      <w:marRight w:val="0"/>
      <w:marTop w:val="0"/>
      <w:marBottom w:val="0"/>
      <w:divBdr>
        <w:top w:val="none" w:sz="0" w:space="0" w:color="auto"/>
        <w:left w:val="none" w:sz="0" w:space="0" w:color="auto"/>
        <w:bottom w:val="none" w:sz="0" w:space="0" w:color="auto"/>
        <w:right w:val="none" w:sz="0" w:space="0" w:color="auto"/>
      </w:divBdr>
    </w:div>
    <w:div w:id="1915040971">
      <w:bodyDiv w:val="1"/>
      <w:marLeft w:val="0"/>
      <w:marRight w:val="0"/>
      <w:marTop w:val="0"/>
      <w:marBottom w:val="0"/>
      <w:divBdr>
        <w:top w:val="none" w:sz="0" w:space="0" w:color="auto"/>
        <w:left w:val="none" w:sz="0" w:space="0" w:color="auto"/>
        <w:bottom w:val="none" w:sz="0" w:space="0" w:color="auto"/>
        <w:right w:val="none" w:sz="0" w:space="0" w:color="auto"/>
      </w:divBdr>
    </w:div>
    <w:div w:id="1915041058">
      <w:bodyDiv w:val="1"/>
      <w:marLeft w:val="0"/>
      <w:marRight w:val="0"/>
      <w:marTop w:val="0"/>
      <w:marBottom w:val="0"/>
      <w:divBdr>
        <w:top w:val="none" w:sz="0" w:space="0" w:color="auto"/>
        <w:left w:val="none" w:sz="0" w:space="0" w:color="auto"/>
        <w:bottom w:val="none" w:sz="0" w:space="0" w:color="auto"/>
        <w:right w:val="none" w:sz="0" w:space="0" w:color="auto"/>
      </w:divBdr>
    </w:div>
    <w:div w:id="1915123606">
      <w:bodyDiv w:val="1"/>
      <w:marLeft w:val="0"/>
      <w:marRight w:val="0"/>
      <w:marTop w:val="0"/>
      <w:marBottom w:val="0"/>
      <w:divBdr>
        <w:top w:val="none" w:sz="0" w:space="0" w:color="auto"/>
        <w:left w:val="none" w:sz="0" w:space="0" w:color="auto"/>
        <w:bottom w:val="none" w:sz="0" w:space="0" w:color="auto"/>
        <w:right w:val="none" w:sz="0" w:space="0" w:color="auto"/>
      </w:divBdr>
    </w:div>
    <w:div w:id="1915161546">
      <w:bodyDiv w:val="1"/>
      <w:marLeft w:val="0"/>
      <w:marRight w:val="0"/>
      <w:marTop w:val="0"/>
      <w:marBottom w:val="0"/>
      <w:divBdr>
        <w:top w:val="none" w:sz="0" w:space="0" w:color="auto"/>
        <w:left w:val="none" w:sz="0" w:space="0" w:color="auto"/>
        <w:bottom w:val="none" w:sz="0" w:space="0" w:color="auto"/>
        <w:right w:val="none" w:sz="0" w:space="0" w:color="auto"/>
      </w:divBdr>
    </w:div>
    <w:div w:id="1915317192">
      <w:bodyDiv w:val="1"/>
      <w:marLeft w:val="0"/>
      <w:marRight w:val="0"/>
      <w:marTop w:val="0"/>
      <w:marBottom w:val="0"/>
      <w:divBdr>
        <w:top w:val="none" w:sz="0" w:space="0" w:color="auto"/>
        <w:left w:val="none" w:sz="0" w:space="0" w:color="auto"/>
        <w:bottom w:val="none" w:sz="0" w:space="0" w:color="auto"/>
        <w:right w:val="none" w:sz="0" w:space="0" w:color="auto"/>
      </w:divBdr>
    </w:div>
    <w:div w:id="1915436041">
      <w:bodyDiv w:val="1"/>
      <w:marLeft w:val="0"/>
      <w:marRight w:val="0"/>
      <w:marTop w:val="0"/>
      <w:marBottom w:val="0"/>
      <w:divBdr>
        <w:top w:val="none" w:sz="0" w:space="0" w:color="auto"/>
        <w:left w:val="none" w:sz="0" w:space="0" w:color="auto"/>
        <w:bottom w:val="none" w:sz="0" w:space="0" w:color="auto"/>
        <w:right w:val="none" w:sz="0" w:space="0" w:color="auto"/>
      </w:divBdr>
    </w:div>
    <w:div w:id="1915582549">
      <w:bodyDiv w:val="1"/>
      <w:marLeft w:val="0"/>
      <w:marRight w:val="0"/>
      <w:marTop w:val="0"/>
      <w:marBottom w:val="0"/>
      <w:divBdr>
        <w:top w:val="none" w:sz="0" w:space="0" w:color="auto"/>
        <w:left w:val="none" w:sz="0" w:space="0" w:color="auto"/>
        <w:bottom w:val="none" w:sz="0" w:space="0" w:color="auto"/>
        <w:right w:val="none" w:sz="0" w:space="0" w:color="auto"/>
      </w:divBdr>
    </w:div>
    <w:div w:id="1915583222">
      <w:bodyDiv w:val="1"/>
      <w:marLeft w:val="0"/>
      <w:marRight w:val="0"/>
      <w:marTop w:val="0"/>
      <w:marBottom w:val="0"/>
      <w:divBdr>
        <w:top w:val="none" w:sz="0" w:space="0" w:color="auto"/>
        <w:left w:val="none" w:sz="0" w:space="0" w:color="auto"/>
        <w:bottom w:val="none" w:sz="0" w:space="0" w:color="auto"/>
        <w:right w:val="none" w:sz="0" w:space="0" w:color="auto"/>
      </w:divBdr>
    </w:div>
    <w:div w:id="1915583678">
      <w:bodyDiv w:val="1"/>
      <w:marLeft w:val="0"/>
      <w:marRight w:val="0"/>
      <w:marTop w:val="0"/>
      <w:marBottom w:val="0"/>
      <w:divBdr>
        <w:top w:val="none" w:sz="0" w:space="0" w:color="auto"/>
        <w:left w:val="none" w:sz="0" w:space="0" w:color="auto"/>
        <w:bottom w:val="none" w:sz="0" w:space="0" w:color="auto"/>
        <w:right w:val="none" w:sz="0" w:space="0" w:color="auto"/>
      </w:divBdr>
    </w:div>
    <w:div w:id="1915776116">
      <w:bodyDiv w:val="1"/>
      <w:marLeft w:val="0"/>
      <w:marRight w:val="0"/>
      <w:marTop w:val="0"/>
      <w:marBottom w:val="0"/>
      <w:divBdr>
        <w:top w:val="none" w:sz="0" w:space="0" w:color="auto"/>
        <w:left w:val="none" w:sz="0" w:space="0" w:color="auto"/>
        <w:bottom w:val="none" w:sz="0" w:space="0" w:color="auto"/>
        <w:right w:val="none" w:sz="0" w:space="0" w:color="auto"/>
      </w:divBdr>
    </w:div>
    <w:div w:id="1915971750">
      <w:bodyDiv w:val="1"/>
      <w:marLeft w:val="0"/>
      <w:marRight w:val="0"/>
      <w:marTop w:val="0"/>
      <w:marBottom w:val="0"/>
      <w:divBdr>
        <w:top w:val="none" w:sz="0" w:space="0" w:color="auto"/>
        <w:left w:val="none" w:sz="0" w:space="0" w:color="auto"/>
        <w:bottom w:val="none" w:sz="0" w:space="0" w:color="auto"/>
        <w:right w:val="none" w:sz="0" w:space="0" w:color="auto"/>
      </w:divBdr>
    </w:div>
    <w:div w:id="1916160504">
      <w:bodyDiv w:val="1"/>
      <w:marLeft w:val="0"/>
      <w:marRight w:val="0"/>
      <w:marTop w:val="0"/>
      <w:marBottom w:val="0"/>
      <w:divBdr>
        <w:top w:val="none" w:sz="0" w:space="0" w:color="auto"/>
        <w:left w:val="none" w:sz="0" w:space="0" w:color="auto"/>
        <w:bottom w:val="none" w:sz="0" w:space="0" w:color="auto"/>
        <w:right w:val="none" w:sz="0" w:space="0" w:color="auto"/>
      </w:divBdr>
    </w:div>
    <w:div w:id="1916208453">
      <w:bodyDiv w:val="1"/>
      <w:marLeft w:val="0"/>
      <w:marRight w:val="0"/>
      <w:marTop w:val="0"/>
      <w:marBottom w:val="0"/>
      <w:divBdr>
        <w:top w:val="none" w:sz="0" w:space="0" w:color="auto"/>
        <w:left w:val="none" w:sz="0" w:space="0" w:color="auto"/>
        <w:bottom w:val="none" w:sz="0" w:space="0" w:color="auto"/>
        <w:right w:val="none" w:sz="0" w:space="0" w:color="auto"/>
      </w:divBdr>
    </w:div>
    <w:div w:id="1916280221">
      <w:bodyDiv w:val="1"/>
      <w:marLeft w:val="0"/>
      <w:marRight w:val="0"/>
      <w:marTop w:val="0"/>
      <w:marBottom w:val="0"/>
      <w:divBdr>
        <w:top w:val="none" w:sz="0" w:space="0" w:color="auto"/>
        <w:left w:val="none" w:sz="0" w:space="0" w:color="auto"/>
        <w:bottom w:val="none" w:sz="0" w:space="0" w:color="auto"/>
        <w:right w:val="none" w:sz="0" w:space="0" w:color="auto"/>
      </w:divBdr>
    </w:div>
    <w:div w:id="1916427734">
      <w:bodyDiv w:val="1"/>
      <w:marLeft w:val="0"/>
      <w:marRight w:val="0"/>
      <w:marTop w:val="0"/>
      <w:marBottom w:val="0"/>
      <w:divBdr>
        <w:top w:val="none" w:sz="0" w:space="0" w:color="auto"/>
        <w:left w:val="none" w:sz="0" w:space="0" w:color="auto"/>
        <w:bottom w:val="none" w:sz="0" w:space="0" w:color="auto"/>
        <w:right w:val="none" w:sz="0" w:space="0" w:color="auto"/>
      </w:divBdr>
    </w:div>
    <w:div w:id="1916469533">
      <w:bodyDiv w:val="1"/>
      <w:marLeft w:val="0"/>
      <w:marRight w:val="0"/>
      <w:marTop w:val="0"/>
      <w:marBottom w:val="0"/>
      <w:divBdr>
        <w:top w:val="none" w:sz="0" w:space="0" w:color="auto"/>
        <w:left w:val="none" w:sz="0" w:space="0" w:color="auto"/>
        <w:bottom w:val="none" w:sz="0" w:space="0" w:color="auto"/>
        <w:right w:val="none" w:sz="0" w:space="0" w:color="auto"/>
      </w:divBdr>
    </w:div>
    <w:div w:id="1916469949">
      <w:bodyDiv w:val="1"/>
      <w:marLeft w:val="0"/>
      <w:marRight w:val="0"/>
      <w:marTop w:val="0"/>
      <w:marBottom w:val="0"/>
      <w:divBdr>
        <w:top w:val="none" w:sz="0" w:space="0" w:color="auto"/>
        <w:left w:val="none" w:sz="0" w:space="0" w:color="auto"/>
        <w:bottom w:val="none" w:sz="0" w:space="0" w:color="auto"/>
        <w:right w:val="none" w:sz="0" w:space="0" w:color="auto"/>
      </w:divBdr>
    </w:div>
    <w:div w:id="1916473503">
      <w:bodyDiv w:val="1"/>
      <w:marLeft w:val="0"/>
      <w:marRight w:val="0"/>
      <w:marTop w:val="0"/>
      <w:marBottom w:val="0"/>
      <w:divBdr>
        <w:top w:val="none" w:sz="0" w:space="0" w:color="auto"/>
        <w:left w:val="none" w:sz="0" w:space="0" w:color="auto"/>
        <w:bottom w:val="none" w:sz="0" w:space="0" w:color="auto"/>
        <w:right w:val="none" w:sz="0" w:space="0" w:color="auto"/>
      </w:divBdr>
    </w:div>
    <w:div w:id="1916475957">
      <w:bodyDiv w:val="1"/>
      <w:marLeft w:val="0"/>
      <w:marRight w:val="0"/>
      <w:marTop w:val="0"/>
      <w:marBottom w:val="0"/>
      <w:divBdr>
        <w:top w:val="none" w:sz="0" w:space="0" w:color="auto"/>
        <w:left w:val="none" w:sz="0" w:space="0" w:color="auto"/>
        <w:bottom w:val="none" w:sz="0" w:space="0" w:color="auto"/>
        <w:right w:val="none" w:sz="0" w:space="0" w:color="auto"/>
      </w:divBdr>
    </w:div>
    <w:div w:id="1916626709">
      <w:bodyDiv w:val="1"/>
      <w:marLeft w:val="0"/>
      <w:marRight w:val="0"/>
      <w:marTop w:val="0"/>
      <w:marBottom w:val="0"/>
      <w:divBdr>
        <w:top w:val="none" w:sz="0" w:space="0" w:color="auto"/>
        <w:left w:val="none" w:sz="0" w:space="0" w:color="auto"/>
        <w:bottom w:val="none" w:sz="0" w:space="0" w:color="auto"/>
        <w:right w:val="none" w:sz="0" w:space="0" w:color="auto"/>
      </w:divBdr>
    </w:div>
    <w:div w:id="1916628777">
      <w:bodyDiv w:val="1"/>
      <w:marLeft w:val="0"/>
      <w:marRight w:val="0"/>
      <w:marTop w:val="0"/>
      <w:marBottom w:val="0"/>
      <w:divBdr>
        <w:top w:val="none" w:sz="0" w:space="0" w:color="auto"/>
        <w:left w:val="none" w:sz="0" w:space="0" w:color="auto"/>
        <w:bottom w:val="none" w:sz="0" w:space="0" w:color="auto"/>
        <w:right w:val="none" w:sz="0" w:space="0" w:color="auto"/>
      </w:divBdr>
    </w:div>
    <w:div w:id="1916740273">
      <w:bodyDiv w:val="1"/>
      <w:marLeft w:val="0"/>
      <w:marRight w:val="0"/>
      <w:marTop w:val="0"/>
      <w:marBottom w:val="0"/>
      <w:divBdr>
        <w:top w:val="none" w:sz="0" w:space="0" w:color="auto"/>
        <w:left w:val="none" w:sz="0" w:space="0" w:color="auto"/>
        <w:bottom w:val="none" w:sz="0" w:space="0" w:color="auto"/>
        <w:right w:val="none" w:sz="0" w:space="0" w:color="auto"/>
      </w:divBdr>
    </w:div>
    <w:div w:id="1916740573">
      <w:bodyDiv w:val="1"/>
      <w:marLeft w:val="0"/>
      <w:marRight w:val="0"/>
      <w:marTop w:val="0"/>
      <w:marBottom w:val="0"/>
      <w:divBdr>
        <w:top w:val="none" w:sz="0" w:space="0" w:color="auto"/>
        <w:left w:val="none" w:sz="0" w:space="0" w:color="auto"/>
        <w:bottom w:val="none" w:sz="0" w:space="0" w:color="auto"/>
        <w:right w:val="none" w:sz="0" w:space="0" w:color="auto"/>
      </w:divBdr>
    </w:div>
    <w:div w:id="1916747084">
      <w:bodyDiv w:val="1"/>
      <w:marLeft w:val="0"/>
      <w:marRight w:val="0"/>
      <w:marTop w:val="0"/>
      <w:marBottom w:val="0"/>
      <w:divBdr>
        <w:top w:val="none" w:sz="0" w:space="0" w:color="auto"/>
        <w:left w:val="none" w:sz="0" w:space="0" w:color="auto"/>
        <w:bottom w:val="none" w:sz="0" w:space="0" w:color="auto"/>
        <w:right w:val="none" w:sz="0" w:space="0" w:color="auto"/>
      </w:divBdr>
    </w:div>
    <w:div w:id="1916819281">
      <w:bodyDiv w:val="1"/>
      <w:marLeft w:val="0"/>
      <w:marRight w:val="0"/>
      <w:marTop w:val="0"/>
      <w:marBottom w:val="0"/>
      <w:divBdr>
        <w:top w:val="none" w:sz="0" w:space="0" w:color="auto"/>
        <w:left w:val="none" w:sz="0" w:space="0" w:color="auto"/>
        <w:bottom w:val="none" w:sz="0" w:space="0" w:color="auto"/>
        <w:right w:val="none" w:sz="0" w:space="0" w:color="auto"/>
      </w:divBdr>
    </w:div>
    <w:div w:id="1916890251">
      <w:bodyDiv w:val="1"/>
      <w:marLeft w:val="0"/>
      <w:marRight w:val="0"/>
      <w:marTop w:val="0"/>
      <w:marBottom w:val="0"/>
      <w:divBdr>
        <w:top w:val="none" w:sz="0" w:space="0" w:color="auto"/>
        <w:left w:val="none" w:sz="0" w:space="0" w:color="auto"/>
        <w:bottom w:val="none" w:sz="0" w:space="0" w:color="auto"/>
        <w:right w:val="none" w:sz="0" w:space="0" w:color="auto"/>
      </w:divBdr>
    </w:div>
    <w:div w:id="1916893945">
      <w:bodyDiv w:val="1"/>
      <w:marLeft w:val="0"/>
      <w:marRight w:val="0"/>
      <w:marTop w:val="0"/>
      <w:marBottom w:val="0"/>
      <w:divBdr>
        <w:top w:val="none" w:sz="0" w:space="0" w:color="auto"/>
        <w:left w:val="none" w:sz="0" w:space="0" w:color="auto"/>
        <w:bottom w:val="none" w:sz="0" w:space="0" w:color="auto"/>
        <w:right w:val="none" w:sz="0" w:space="0" w:color="auto"/>
      </w:divBdr>
    </w:div>
    <w:div w:id="1917006937">
      <w:bodyDiv w:val="1"/>
      <w:marLeft w:val="0"/>
      <w:marRight w:val="0"/>
      <w:marTop w:val="0"/>
      <w:marBottom w:val="0"/>
      <w:divBdr>
        <w:top w:val="none" w:sz="0" w:space="0" w:color="auto"/>
        <w:left w:val="none" w:sz="0" w:space="0" w:color="auto"/>
        <w:bottom w:val="none" w:sz="0" w:space="0" w:color="auto"/>
        <w:right w:val="none" w:sz="0" w:space="0" w:color="auto"/>
      </w:divBdr>
    </w:div>
    <w:div w:id="1917014610">
      <w:bodyDiv w:val="1"/>
      <w:marLeft w:val="0"/>
      <w:marRight w:val="0"/>
      <w:marTop w:val="0"/>
      <w:marBottom w:val="0"/>
      <w:divBdr>
        <w:top w:val="none" w:sz="0" w:space="0" w:color="auto"/>
        <w:left w:val="none" w:sz="0" w:space="0" w:color="auto"/>
        <w:bottom w:val="none" w:sz="0" w:space="0" w:color="auto"/>
        <w:right w:val="none" w:sz="0" w:space="0" w:color="auto"/>
      </w:divBdr>
    </w:div>
    <w:div w:id="1917127461">
      <w:bodyDiv w:val="1"/>
      <w:marLeft w:val="0"/>
      <w:marRight w:val="0"/>
      <w:marTop w:val="0"/>
      <w:marBottom w:val="0"/>
      <w:divBdr>
        <w:top w:val="none" w:sz="0" w:space="0" w:color="auto"/>
        <w:left w:val="none" w:sz="0" w:space="0" w:color="auto"/>
        <w:bottom w:val="none" w:sz="0" w:space="0" w:color="auto"/>
        <w:right w:val="none" w:sz="0" w:space="0" w:color="auto"/>
      </w:divBdr>
    </w:div>
    <w:div w:id="1917133030">
      <w:bodyDiv w:val="1"/>
      <w:marLeft w:val="0"/>
      <w:marRight w:val="0"/>
      <w:marTop w:val="0"/>
      <w:marBottom w:val="0"/>
      <w:divBdr>
        <w:top w:val="none" w:sz="0" w:space="0" w:color="auto"/>
        <w:left w:val="none" w:sz="0" w:space="0" w:color="auto"/>
        <w:bottom w:val="none" w:sz="0" w:space="0" w:color="auto"/>
        <w:right w:val="none" w:sz="0" w:space="0" w:color="auto"/>
      </w:divBdr>
    </w:div>
    <w:div w:id="1917275191">
      <w:bodyDiv w:val="1"/>
      <w:marLeft w:val="0"/>
      <w:marRight w:val="0"/>
      <w:marTop w:val="0"/>
      <w:marBottom w:val="0"/>
      <w:divBdr>
        <w:top w:val="none" w:sz="0" w:space="0" w:color="auto"/>
        <w:left w:val="none" w:sz="0" w:space="0" w:color="auto"/>
        <w:bottom w:val="none" w:sz="0" w:space="0" w:color="auto"/>
        <w:right w:val="none" w:sz="0" w:space="0" w:color="auto"/>
      </w:divBdr>
    </w:div>
    <w:div w:id="1917325361">
      <w:bodyDiv w:val="1"/>
      <w:marLeft w:val="0"/>
      <w:marRight w:val="0"/>
      <w:marTop w:val="0"/>
      <w:marBottom w:val="0"/>
      <w:divBdr>
        <w:top w:val="none" w:sz="0" w:space="0" w:color="auto"/>
        <w:left w:val="none" w:sz="0" w:space="0" w:color="auto"/>
        <w:bottom w:val="none" w:sz="0" w:space="0" w:color="auto"/>
        <w:right w:val="none" w:sz="0" w:space="0" w:color="auto"/>
      </w:divBdr>
    </w:div>
    <w:div w:id="1917545955">
      <w:bodyDiv w:val="1"/>
      <w:marLeft w:val="0"/>
      <w:marRight w:val="0"/>
      <w:marTop w:val="0"/>
      <w:marBottom w:val="0"/>
      <w:divBdr>
        <w:top w:val="none" w:sz="0" w:space="0" w:color="auto"/>
        <w:left w:val="none" w:sz="0" w:space="0" w:color="auto"/>
        <w:bottom w:val="none" w:sz="0" w:space="0" w:color="auto"/>
        <w:right w:val="none" w:sz="0" w:space="0" w:color="auto"/>
      </w:divBdr>
    </w:div>
    <w:div w:id="1917593240">
      <w:bodyDiv w:val="1"/>
      <w:marLeft w:val="0"/>
      <w:marRight w:val="0"/>
      <w:marTop w:val="0"/>
      <w:marBottom w:val="0"/>
      <w:divBdr>
        <w:top w:val="none" w:sz="0" w:space="0" w:color="auto"/>
        <w:left w:val="none" w:sz="0" w:space="0" w:color="auto"/>
        <w:bottom w:val="none" w:sz="0" w:space="0" w:color="auto"/>
        <w:right w:val="none" w:sz="0" w:space="0" w:color="auto"/>
      </w:divBdr>
    </w:div>
    <w:div w:id="1917670110">
      <w:bodyDiv w:val="1"/>
      <w:marLeft w:val="0"/>
      <w:marRight w:val="0"/>
      <w:marTop w:val="0"/>
      <w:marBottom w:val="0"/>
      <w:divBdr>
        <w:top w:val="none" w:sz="0" w:space="0" w:color="auto"/>
        <w:left w:val="none" w:sz="0" w:space="0" w:color="auto"/>
        <w:bottom w:val="none" w:sz="0" w:space="0" w:color="auto"/>
        <w:right w:val="none" w:sz="0" w:space="0" w:color="auto"/>
      </w:divBdr>
    </w:div>
    <w:div w:id="1917744250">
      <w:bodyDiv w:val="1"/>
      <w:marLeft w:val="0"/>
      <w:marRight w:val="0"/>
      <w:marTop w:val="0"/>
      <w:marBottom w:val="0"/>
      <w:divBdr>
        <w:top w:val="none" w:sz="0" w:space="0" w:color="auto"/>
        <w:left w:val="none" w:sz="0" w:space="0" w:color="auto"/>
        <w:bottom w:val="none" w:sz="0" w:space="0" w:color="auto"/>
        <w:right w:val="none" w:sz="0" w:space="0" w:color="auto"/>
      </w:divBdr>
    </w:div>
    <w:div w:id="1917812596">
      <w:bodyDiv w:val="1"/>
      <w:marLeft w:val="0"/>
      <w:marRight w:val="0"/>
      <w:marTop w:val="0"/>
      <w:marBottom w:val="0"/>
      <w:divBdr>
        <w:top w:val="none" w:sz="0" w:space="0" w:color="auto"/>
        <w:left w:val="none" w:sz="0" w:space="0" w:color="auto"/>
        <w:bottom w:val="none" w:sz="0" w:space="0" w:color="auto"/>
        <w:right w:val="none" w:sz="0" w:space="0" w:color="auto"/>
      </w:divBdr>
    </w:div>
    <w:div w:id="1917861378">
      <w:bodyDiv w:val="1"/>
      <w:marLeft w:val="0"/>
      <w:marRight w:val="0"/>
      <w:marTop w:val="0"/>
      <w:marBottom w:val="0"/>
      <w:divBdr>
        <w:top w:val="none" w:sz="0" w:space="0" w:color="auto"/>
        <w:left w:val="none" w:sz="0" w:space="0" w:color="auto"/>
        <w:bottom w:val="none" w:sz="0" w:space="0" w:color="auto"/>
        <w:right w:val="none" w:sz="0" w:space="0" w:color="auto"/>
      </w:divBdr>
    </w:div>
    <w:div w:id="1917931821">
      <w:bodyDiv w:val="1"/>
      <w:marLeft w:val="0"/>
      <w:marRight w:val="0"/>
      <w:marTop w:val="0"/>
      <w:marBottom w:val="0"/>
      <w:divBdr>
        <w:top w:val="none" w:sz="0" w:space="0" w:color="auto"/>
        <w:left w:val="none" w:sz="0" w:space="0" w:color="auto"/>
        <w:bottom w:val="none" w:sz="0" w:space="0" w:color="auto"/>
        <w:right w:val="none" w:sz="0" w:space="0" w:color="auto"/>
      </w:divBdr>
    </w:div>
    <w:div w:id="1917981448">
      <w:bodyDiv w:val="1"/>
      <w:marLeft w:val="0"/>
      <w:marRight w:val="0"/>
      <w:marTop w:val="0"/>
      <w:marBottom w:val="0"/>
      <w:divBdr>
        <w:top w:val="none" w:sz="0" w:space="0" w:color="auto"/>
        <w:left w:val="none" w:sz="0" w:space="0" w:color="auto"/>
        <w:bottom w:val="none" w:sz="0" w:space="0" w:color="auto"/>
        <w:right w:val="none" w:sz="0" w:space="0" w:color="auto"/>
      </w:divBdr>
    </w:div>
    <w:div w:id="1918007045">
      <w:bodyDiv w:val="1"/>
      <w:marLeft w:val="0"/>
      <w:marRight w:val="0"/>
      <w:marTop w:val="0"/>
      <w:marBottom w:val="0"/>
      <w:divBdr>
        <w:top w:val="none" w:sz="0" w:space="0" w:color="auto"/>
        <w:left w:val="none" w:sz="0" w:space="0" w:color="auto"/>
        <w:bottom w:val="none" w:sz="0" w:space="0" w:color="auto"/>
        <w:right w:val="none" w:sz="0" w:space="0" w:color="auto"/>
      </w:divBdr>
    </w:div>
    <w:div w:id="1918128612">
      <w:bodyDiv w:val="1"/>
      <w:marLeft w:val="0"/>
      <w:marRight w:val="0"/>
      <w:marTop w:val="0"/>
      <w:marBottom w:val="0"/>
      <w:divBdr>
        <w:top w:val="none" w:sz="0" w:space="0" w:color="auto"/>
        <w:left w:val="none" w:sz="0" w:space="0" w:color="auto"/>
        <w:bottom w:val="none" w:sz="0" w:space="0" w:color="auto"/>
        <w:right w:val="none" w:sz="0" w:space="0" w:color="auto"/>
      </w:divBdr>
    </w:div>
    <w:div w:id="1918129811">
      <w:bodyDiv w:val="1"/>
      <w:marLeft w:val="0"/>
      <w:marRight w:val="0"/>
      <w:marTop w:val="0"/>
      <w:marBottom w:val="0"/>
      <w:divBdr>
        <w:top w:val="none" w:sz="0" w:space="0" w:color="auto"/>
        <w:left w:val="none" w:sz="0" w:space="0" w:color="auto"/>
        <w:bottom w:val="none" w:sz="0" w:space="0" w:color="auto"/>
        <w:right w:val="none" w:sz="0" w:space="0" w:color="auto"/>
      </w:divBdr>
    </w:div>
    <w:div w:id="1918174536">
      <w:bodyDiv w:val="1"/>
      <w:marLeft w:val="0"/>
      <w:marRight w:val="0"/>
      <w:marTop w:val="0"/>
      <w:marBottom w:val="0"/>
      <w:divBdr>
        <w:top w:val="none" w:sz="0" w:space="0" w:color="auto"/>
        <w:left w:val="none" w:sz="0" w:space="0" w:color="auto"/>
        <w:bottom w:val="none" w:sz="0" w:space="0" w:color="auto"/>
        <w:right w:val="none" w:sz="0" w:space="0" w:color="auto"/>
      </w:divBdr>
    </w:div>
    <w:div w:id="1918319015">
      <w:bodyDiv w:val="1"/>
      <w:marLeft w:val="0"/>
      <w:marRight w:val="0"/>
      <w:marTop w:val="0"/>
      <w:marBottom w:val="0"/>
      <w:divBdr>
        <w:top w:val="none" w:sz="0" w:space="0" w:color="auto"/>
        <w:left w:val="none" w:sz="0" w:space="0" w:color="auto"/>
        <w:bottom w:val="none" w:sz="0" w:space="0" w:color="auto"/>
        <w:right w:val="none" w:sz="0" w:space="0" w:color="auto"/>
      </w:divBdr>
    </w:div>
    <w:div w:id="1918397548">
      <w:bodyDiv w:val="1"/>
      <w:marLeft w:val="0"/>
      <w:marRight w:val="0"/>
      <w:marTop w:val="0"/>
      <w:marBottom w:val="0"/>
      <w:divBdr>
        <w:top w:val="none" w:sz="0" w:space="0" w:color="auto"/>
        <w:left w:val="none" w:sz="0" w:space="0" w:color="auto"/>
        <w:bottom w:val="none" w:sz="0" w:space="0" w:color="auto"/>
        <w:right w:val="none" w:sz="0" w:space="0" w:color="auto"/>
      </w:divBdr>
    </w:div>
    <w:div w:id="1918512062">
      <w:bodyDiv w:val="1"/>
      <w:marLeft w:val="0"/>
      <w:marRight w:val="0"/>
      <w:marTop w:val="0"/>
      <w:marBottom w:val="0"/>
      <w:divBdr>
        <w:top w:val="none" w:sz="0" w:space="0" w:color="auto"/>
        <w:left w:val="none" w:sz="0" w:space="0" w:color="auto"/>
        <w:bottom w:val="none" w:sz="0" w:space="0" w:color="auto"/>
        <w:right w:val="none" w:sz="0" w:space="0" w:color="auto"/>
      </w:divBdr>
    </w:div>
    <w:div w:id="1918516070">
      <w:bodyDiv w:val="1"/>
      <w:marLeft w:val="0"/>
      <w:marRight w:val="0"/>
      <w:marTop w:val="0"/>
      <w:marBottom w:val="0"/>
      <w:divBdr>
        <w:top w:val="none" w:sz="0" w:space="0" w:color="auto"/>
        <w:left w:val="none" w:sz="0" w:space="0" w:color="auto"/>
        <w:bottom w:val="none" w:sz="0" w:space="0" w:color="auto"/>
        <w:right w:val="none" w:sz="0" w:space="0" w:color="auto"/>
      </w:divBdr>
    </w:div>
    <w:div w:id="1918516339">
      <w:bodyDiv w:val="1"/>
      <w:marLeft w:val="0"/>
      <w:marRight w:val="0"/>
      <w:marTop w:val="0"/>
      <w:marBottom w:val="0"/>
      <w:divBdr>
        <w:top w:val="none" w:sz="0" w:space="0" w:color="auto"/>
        <w:left w:val="none" w:sz="0" w:space="0" w:color="auto"/>
        <w:bottom w:val="none" w:sz="0" w:space="0" w:color="auto"/>
        <w:right w:val="none" w:sz="0" w:space="0" w:color="auto"/>
      </w:divBdr>
    </w:div>
    <w:div w:id="1918518228">
      <w:bodyDiv w:val="1"/>
      <w:marLeft w:val="0"/>
      <w:marRight w:val="0"/>
      <w:marTop w:val="0"/>
      <w:marBottom w:val="0"/>
      <w:divBdr>
        <w:top w:val="none" w:sz="0" w:space="0" w:color="auto"/>
        <w:left w:val="none" w:sz="0" w:space="0" w:color="auto"/>
        <w:bottom w:val="none" w:sz="0" w:space="0" w:color="auto"/>
        <w:right w:val="none" w:sz="0" w:space="0" w:color="auto"/>
      </w:divBdr>
    </w:div>
    <w:div w:id="1918585566">
      <w:bodyDiv w:val="1"/>
      <w:marLeft w:val="0"/>
      <w:marRight w:val="0"/>
      <w:marTop w:val="0"/>
      <w:marBottom w:val="0"/>
      <w:divBdr>
        <w:top w:val="none" w:sz="0" w:space="0" w:color="auto"/>
        <w:left w:val="none" w:sz="0" w:space="0" w:color="auto"/>
        <w:bottom w:val="none" w:sz="0" w:space="0" w:color="auto"/>
        <w:right w:val="none" w:sz="0" w:space="0" w:color="auto"/>
      </w:divBdr>
    </w:div>
    <w:div w:id="1918585572">
      <w:bodyDiv w:val="1"/>
      <w:marLeft w:val="0"/>
      <w:marRight w:val="0"/>
      <w:marTop w:val="0"/>
      <w:marBottom w:val="0"/>
      <w:divBdr>
        <w:top w:val="none" w:sz="0" w:space="0" w:color="auto"/>
        <w:left w:val="none" w:sz="0" w:space="0" w:color="auto"/>
        <w:bottom w:val="none" w:sz="0" w:space="0" w:color="auto"/>
        <w:right w:val="none" w:sz="0" w:space="0" w:color="auto"/>
      </w:divBdr>
    </w:div>
    <w:div w:id="1918664086">
      <w:bodyDiv w:val="1"/>
      <w:marLeft w:val="0"/>
      <w:marRight w:val="0"/>
      <w:marTop w:val="0"/>
      <w:marBottom w:val="0"/>
      <w:divBdr>
        <w:top w:val="none" w:sz="0" w:space="0" w:color="auto"/>
        <w:left w:val="none" w:sz="0" w:space="0" w:color="auto"/>
        <w:bottom w:val="none" w:sz="0" w:space="0" w:color="auto"/>
        <w:right w:val="none" w:sz="0" w:space="0" w:color="auto"/>
      </w:divBdr>
    </w:div>
    <w:div w:id="1918703435">
      <w:bodyDiv w:val="1"/>
      <w:marLeft w:val="0"/>
      <w:marRight w:val="0"/>
      <w:marTop w:val="0"/>
      <w:marBottom w:val="0"/>
      <w:divBdr>
        <w:top w:val="none" w:sz="0" w:space="0" w:color="auto"/>
        <w:left w:val="none" w:sz="0" w:space="0" w:color="auto"/>
        <w:bottom w:val="none" w:sz="0" w:space="0" w:color="auto"/>
        <w:right w:val="none" w:sz="0" w:space="0" w:color="auto"/>
      </w:divBdr>
    </w:div>
    <w:div w:id="1918705821">
      <w:bodyDiv w:val="1"/>
      <w:marLeft w:val="0"/>
      <w:marRight w:val="0"/>
      <w:marTop w:val="0"/>
      <w:marBottom w:val="0"/>
      <w:divBdr>
        <w:top w:val="none" w:sz="0" w:space="0" w:color="auto"/>
        <w:left w:val="none" w:sz="0" w:space="0" w:color="auto"/>
        <w:bottom w:val="none" w:sz="0" w:space="0" w:color="auto"/>
        <w:right w:val="none" w:sz="0" w:space="0" w:color="auto"/>
      </w:divBdr>
    </w:div>
    <w:div w:id="1918706866">
      <w:bodyDiv w:val="1"/>
      <w:marLeft w:val="0"/>
      <w:marRight w:val="0"/>
      <w:marTop w:val="0"/>
      <w:marBottom w:val="0"/>
      <w:divBdr>
        <w:top w:val="none" w:sz="0" w:space="0" w:color="auto"/>
        <w:left w:val="none" w:sz="0" w:space="0" w:color="auto"/>
        <w:bottom w:val="none" w:sz="0" w:space="0" w:color="auto"/>
        <w:right w:val="none" w:sz="0" w:space="0" w:color="auto"/>
      </w:divBdr>
    </w:div>
    <w:div w:id="1918782112">
      <w:bodyDiv w:val="1"/>
      <w:marLeft w:val="0"/>
      <w:marRight w:val="0"/>
      <w:marTop w:val="0"/>
      <w:marBottom w:val="0"/>
      <w:divBdr>
        <w:top w:val="none" w:sz="0" w:space="0" w:color="auto"/>
        <w:left w:val="none" w:sz="0" w:space="0" w:color="auto"/>
        <w:bottom w:val="none" w:sz="0" w:space="0" w:color="auto"/>
        <w:right w:val="none" w:sz="0" w:space="0" w:color="auto"/>
      </w:divBdr>
    </w:div>
    <w:div w:id="1918784395">
      <w:bodyDiv w:val="1"/>
      <w:marLeft w:val="0"/>
      <w:marRight w:val="0"/>
      <w:marTop w:val="0"/>
      <w:marBottom w:val="0"/>
      <w:divBdr>
        <w:top w:val="none" w:sz="0" w:space="0" w:color="auto"/>
        <w:left w:val="none" w:sz="0" w:space="0" w:color="auto"/>
        <w:bottom w:val="none" w:sz="0" w:space="0" w:color="auto"/>
        <w:right w:val="none" w:sz="0" w:space="0" w:color="auto"/>
      </w:divBdr>
    </w:div>
    <w:div w:id="1918858824">
      <w:bodyDiv w:val="1"/>
      <w:marLeft w:val="0"/>
      <w:marRight w:val="0"/>
      <w:marTop w:val="0"/>
      <w:marBottom w:val="0"/>
      <w:divBdr>
        <w:top w:val="none" w:sz="0" w:space="0" w:color="auto"/>
        <w:left w:val="none" w:sz="0" w:space="0" w:color="auto"/>
        <w:bottom w:val="none" w:sz="0" w:space="0" w:color="auto"/>
        <w:right w:val="none" w:sz="0" w:space="0" w:color="auto"/>
      </w:divBdr>
    </w:div>
    <w:div w:id="1918899486">
      <w:bodyDiv w:val="1"/>
      <w:marLeft w:val="0"/>
      <w:marRight w:val="0"/>
      <w:marTop w:val="0"/>
      <w:marBottom w:val="0"/>
      <w:divBdr>
        <w:top w:val="none" w:sz="0" w:space="0" w:color="auto"/>
        <w:left w:val="none" w:sz="0" w:space="0" w:color="auto"/>
        <w:bottom w:val="none" w:sz="0" w:space="0" w:color="auto"/>
        <w:right w:val="none" w:sz="0" w:space="0" w:color="auto"/>
      </w:divBdr>
    </w:div>
    <w:div w:id="1918973208">
      <w:bodyDiv w:val="1"/>
      <w:marLeft w:val="0"/>
      <w:marRight w:val="0"/>
      <w:marTop w:val="0"/>
      <w:marBottom w:val="0"/>
      <w:divBdr>
        <w:top w:val="none" w:sz="0" w:space="0" w:color="auto"/>
        <w:left w:val="none" w:sz="0" w:space="0" w:color="auto"/>
        <w:bottom w:val="none" w:sz="0" w:space="0" w:color="auto"/>
        <w:right w:val="none" w:sz="0" w:space="0" w:color="auto"/>
      </w:divBdr>
    </w:div>
    <w:div w:id="1918976937">
      <w:bodyDiv w:val="1"/>
      <w:marLeft w:val="0"/>
      <w:marRight w:val="0"/>
      <w:marTop w:val="0"/>
      <w:marBottom w:val="0"/>
      <w:divBdr>
        <w:top w:val="none" w:sz="0" w:space="0" w:color="auto"/>
        <w:left w:val="none" w:sz="0" w:space="0" w:color="auto"/>
        <w:bottom w:val="none" w:sz="0" w:space="0" w:color="auto"/>
        <w:right w:val="none" w:sz="0" w:space="0" w:color="auto"/>
      </w:divBdr>
    </w:div>
    <w:div w:id="1918979476">
      <w:bodyDiv w:val="1"/>
      <w:marLeft w:val="0"/>
      <w:marRight w:val="0"/>
      <w:marTop w:val="0"/>
      <w:marBottom w:val="0"/>
      <w:divBdr>
        <w:top w:val="none" w:sz="0" w:space="0" w:color="auto"/>
        <w:left w:val="none" w:sz="0" w:space="0" w:color="auto"/>
        <w:bottom w:val="none" w:sz="0" w:space="0" w:color="auto"/>
        <w:right w:val="none" w:sz="0" w:space="0" w:color="auto"/>
      </w:divBdr>
    </w:div>
    <w:div w:id="1919097553">
      <w:bodyDiv w:val="1"/>
      <w:marLeft w:val="0"/>
      <w:marRight w:val="0"/>
      <w:marTop w:val="0"/>
      <w:marBottom w:val="0"/>
      <w:divBdr>
        <w:top w:val="none" w:sz="0" w:space="0" w:color="auto"/>
        <w:left w:val="none" w:sz="0" w:space="0" w:color="auto"/>
        <w:bottom w:val="none" w:sz="0" w:space="0" w:color="auto"/>
        <w:right w:val="none" w:sz="0" w:space="0" w:color="auto"/>
      </w:divBdr>
    </w:div>
    <w:div w:id="1919098877">
      <w:bodyDiv w:val="1"/>
      <w:marLeft w:val="0"/>
      <w:marRight w:val="0"/>
      <w:marTop w:val="0"/>
      <w:marBottom w:val="0"/>
      <w:divBdr>
        <w:top w:val="none" w:sz="0" w:space="0" w:color="auto"/>
        <w:left w:val="none" w:sz="0" w:space="0" w:color="auto"/>
        <w:bottom w:val="none" w:sz="0" w:space="0" w:color="auto"/>
        <w:right w:val="none" w:sz="0" w:space="0" w:color="auto"/>
      </w:divBdr>
    </w:div>
    <w:div w:id="1919099472">
      <w:bodyDiv w:val="1"/>
      <w:marLeft w:val="0"/>
      <w:marRight w:val="0"/>
      <w:marTop w:val="0"/>
      <w:marBottom w:val="0"/>
      <w:divBdr>
        <w:top w:val="none" w:sz="0" w:space="0" w:color="auto"/>
        <w:left w:val="none" w:sz="0" w:space="0" w:color="auto"/>
        <w:bottom w:val="none" w:sz="0" w:space="0" w:color="auto"/>
        <w:right w:val="none" w:sz="0" w:space="0" w:color="auto"/>
      </w:divBdr>
    </w:div>
    <w:div w:id="1919316991">
      <w:bodyDiv w:val="1"/>
      <w:marLeft w:val="0"/>
      <w:marRight w:val="0"/>
      <w:marTop w:val="0"/>
      <w:marBottom w:val="0"/>
      <w:divBdr>
        <w:top w:val="none" w:sz="0" w:space="0" w:color="auto"/>
        <w:left w:val="none" w:sz="0" w:space="0" w:color="auto"/>
        <w:bottom w:val="none" w:sz="0" w:space="0" w:color="auto"/>
        <w:right w:val="none" w:sz="0" w:space="0" w:color="auto"/>
      </w:divBdr>
    </w:div>
    <w:div w:id="1919359940">
      <w:bodyDiv w:val="1"/>
      <w:marLeft w:val="0"/>
      <w:marRight w:val="0"/>
      <w:marTop w:val="0"/>
      <w:marBottom w:val="0"/>
      <w:divBdr>
        <w:top w:val="none" w:sz="0" w:space="0" w:color="auto"/>
        <w:left w:val="none" w:sz="0" w:space="0" w:color="auto"/>
        <w:bottom w:val="none" w:sz="0" w:space="0" w:color="auto"/>
        <w:right w:val="none" w:sz="0" w:space="0" w:color="auto"/>
      </w:divBdr>
    </w:div>
    <w:div w:id="1919360295">
      <w:bodyDiv w:val="1"/>
      <w:marLeft w:val="0"/>
      <w:marRight w:val="0"/>
      <w:marTop w:val="0"/>
      <w:marBottom w:val="0"/>
      <w:divBdr>
        <w:top w:val="none" w:sz="0" w:space="0" w:color="auto"/>
        <w:left w:val="none" w:sz="0" w:space="0" w:color="auto"/>
        <w:bottom w:val="none" w:sz="0" w:space="0" w:color="auto"/>
        <w:right w:val="none" w:sz="0" w:space="0" w:color="auto"/>
      </w:divBdr>
    </w:div>
    <w:div w:id="1919440723">
      <w:bodyDiv w:val="1"/>
      <w:marLeft w:val="0"/>
      <w:marRight w:val="0"/>
      <w:marTop w:val="0"/>
      <w:marBottom w:val="0"/>
      <w:divBdr>
        <w:top w:val="none" w:sz="0" w:space="0" w:color="auto"/>
        <w:left w:val="none" w:sz="0" w:space="0" w:color="auto"/>
        <w:bottom w:val="none" w:sz="0" w:space="0" w:color="auto"/>
        <w:right w:val="none" w:sz="0" w:space="0" w:color="auto"/>
      </w:divBdr>
    </w:div>
    <w:div w:id="1919441285">
      <w:bodyDiv w:val="1"/>
      <w:marLeft w:val="0"/>
      <w:marRight w:val="0"/>
      <w:marTop w:val="0"/>
      <w:marBottom w:val="0"/>
      <w:divBdr>
        <w:top w:val="none" w:sz="0" w:space="0" w:color="auto"/>
        <w:left w:val="none" w:sz="0" w:space="0" w:color="auto"/>
        <w:bottom w:val="none" w:sz="0" w:space="0" w:color="auto"/>
        <w:right w:val="none" w:sz="0" w:space="0" w:color="auto"/>
      </w:divBdr>
    </w:div>
    <w:div w:id="1919509441">
      <w:bodyDiv w:val="1"/>
      <w:marLeft w:val="0"/>
      <w:marRight w:val="0"/>
      <w:marTop w:val="0"/>
      <w:marBottom w:val="0"/>
      <w:divBdr>
        <w:top w:val="none" w:sz="0" w:space="0" w:color="auto"/>
        <w:left w:val="none" w:sz="0" w:space="0" w:color="auto"/>
        <w:bottom w:val="none" w:sz="0" w:space="0" w:color="auto"/>
        <w:right w:val="none" w:sz="0" w:space="0" w:color="auto"/>
      </w:divBdr>
    </w:div>
    <w:div w:id="1919512638">
      <w:bodyDiv w:val="1"/>
      <w:marLeft w:val="0"/>
      <w:marRight w:val="0"/>
      <w:marTop w:val="0"/>
      <w:marBottom w:val="0"/>
      <w:divBdr>
        <w:top w:val="none" w:sz="0" w:space="0" w:color="auto"/>
        <w:left w:val="none" w:sz="0" w:space="0" w:color="auto"/>
        <w:bottom w:val="none" w:sz="0" w:space="0" w:color="auto"/>
        <w:right w:val="none" w:sz="0" w:space="0" w:color="auto"/>
      </w:divBdr>
    </w:div>
    <w:div w:id="1919513786">
      <w:bodyDiv w:val="1"/>
      <w:marLeft w:val="0"/>
      <w:marRight w:val="0"/>
      <w:marTop w:val="0"/>
      <w:marBottom w:val="0"/>
      <w:divBdr>
        <w:top w:val="none" w:sz="0" w:space="0" w:color="auto"/>
        <w:left w:val="none" w:sz="0" w:space="0" w:color="auto"/>
        <w:bottom w:val="none" w:sz="0" w:space="0" w:color="auto"/>
        <w:right w:val="none" w:sz="0" w:space="0" w:color="auto"/>
      </w:divBdr>
    </w:div>
    <w:div w:id="1919628401">
      <w:bodyDiv w:val="1"/>
      <w:marLeft w:val="0"/>
      <w:marRight w:val="0"/>
      <w:marTop w:val="0"/>
      <w:marBottom w:val="0"/>
      <w:divBdr>
        <w:top w:val="none" w:sz="0" w:space="0" w:color="auto"/>
        <w:left w:val="none" w:sz="0" w:space="0" w:color="auto"/>
        <w:bottom w:val="none" w:sz="0" w:space="0" w:color="auto"/>
        <w:right w:val="none" w:sz="0" w:space="0" w:color="auto"/>
      </w:divBdr>
    </w:div>
    <w:div w:id="1919631829">
      <w:bodyDiv w:val="1"/>
      <w:marLeft w:val="0"/>
      <w:marRight w:val="0"/>
      <w:marTop w:val="0"/>
      <w:marBottom w:val="0"/>
      <w:divBdr>
        <w:top w:val="none" w:sz="0" w:space="0" w:color="auto"/>
        <w:left w:val="none" w:sz="0" w:space="0" w:color="auto"/>
        <w:bottom w:val="none" w:sz="0" w:space="0" w:color="auto"/>
        <w:right w:val="none" w:sz="0" w:space="0" w:color="auto"/>
      </w:divBdr>
    </w:div>
    <w:div w:id="1919707021">
      <w:bodyDiv w:val="1"/>
      <w:marLeft w:val="0"/>
      <w:marRight w:val="0"/>
      <w:marTop w:val="0"/>
      <w:marBottom w:val="0"/>
      <w:divBdr>
        <w:top w:val="none" w:sz="0" w:space="0" w:color="auto"/>
        <w:left w:val="none" w:sz="0" w:space="0" w:color="auto"/>
        <w:bottom w:val="none" w:sz="0" w:space="0" w:color="auto"/>
        <w:right w:val="none" w:sz="0" w:space="0" w:color="auto"/>
      </w:divBdr>
    </w:div>
    <w:div w:id="1919829954">
      <w:bodyDiv w:val="1"/>
      <w:marLeft w:val="0"/>
      <w:marRight w:val="0"/>
      <w:marTop w:val="0"/>
      <w:marBottom w:val="0"/>
      <w:divBdr>
        <w:top w:val="none" w:sz="0" w:space="0" w:color="auto"/>
        <w:left w:val="none" w:sz="0" w:space="0" w:color="auto"/>
        <w:bottom w:val="none" w:sz="0" w:space="0" w:color="auto"/>
        <w:right w:val="none" w:sz="0" w:space="0" w:color="auto"/>
      </w:divBdr>
    </w:div>
    <w:div w:id="1920211012">
      <w:bodyDiv w:val="1"/>
      <w:marLeft w:val="0"/>
      <w:marRight w:val="0"/>
      <w:marTop w:val="0"/>
      <w:marBottom w:val="0"/>
      <w:divBdr>
        <w:top w:val="none" w:sz="0" w:space="0" w:color="auto"/>
        <w:left w:val="none" w:sz="0" w:space="0" w:color="auto"/>
        <w:bottom w:val="none" w:sz="0" w:space="0" w:color="auto"/>
        <w:right w:val="none" w:sz="0" w:space="0" w:color="auto"/>
      </w:divBdr>
    </w:div>
    <w:div w:id="1920288402">
      <w:bodyDiv w:val="1"/>
      <w:marLeft w:val="0"/>
      <w:marRight w:val="0"/>
      <w:marTop w:val="0"/>
      <w:marBottom w:val="0"/>
      <w:divBdr>
        <w:top w:val="none" w:sz="0" w:space="0" w:color="auto"/>
        <w:left w:val="none" w:sz="0" w:space="0" w:color="auto"/>
        <w:bottom w:val="none" w:sz="0" w:space="0" w:color="auto"/>
        <w:right w:val="none" w:sz="0" w:space="0" w:color="auto"/>
      </w:divBdr>
    </w:div>
    <w:div w:id="1920290993">
      <w:bodyDiv w:val="1"/>
      <w:marLeft w:val="0"/>
      <w:marRight w:val="0"/>
      <w:marTop w:val="0"/>
      <w:marBottom w:val="0"/>
      <w:divBdr>
        <w:top w:val="none" w:sz="0" w:space="0" w:color="auto"/>
        <w:left w:val="none" w:sz="0" w:space="0" w:color="auto"/>
        <w:bottom w:val="none" w:sz="0" w:space="0" w:color="auto"/>
        <w:right w:val="none" w:sz="0" w:space="0" w:color="auto"/>
      </w:divBdr>
    </w:div>
    <w:div w:id="1920291551">
      <w:bodyDiv w:val="1"/>
      <w:marLeft w:val="0"/>
      <w:marRight w:val="0"/>
      <w:marTop w:val="0"/>
      <w:marBottom w:val="0"/>
      <w:divBdr>
        <w:top w:val="none" w:sz="0" w:space="0" w:color="auto"/>
        <w:left w:val="none" w:sz="0" w:space="0" w:color="auto"/>
        <w:bottom w:val="none" w:sz="0" w:space="0" w:color="auto"/>
        <w:right w:val="none" w:sz="0" w:space="0" w:color="auto"/>
      </w:divBdr>
    </w:div>
    <w:div w:id="1920367697">
      <w:bodyDiv w:val="1"/>
      <w:marLeft w:val="0"/>
      <w:marRight w:val="0"/>
      <w:marTop w:val="0"/>
      <w:marBottom w:val="0"/>
      <w:divBdr>
        <w:top w:val="none" w:sz="0" w:space="0" w:color="auto"/>
        <w:left w:val="none" w:sz="0" w:space="0" w:color="auto"/>
        <w:bottom w:val="none" w:sz="0" w:space="0" w:color="auto"/>
        <w:right w:val="none" w:sz="0" w:space="0" w:color="auto"/>
      </w:divBdr>
    </w:div>
    <w:div w:id="1920406735">
      <w:bodyDiv w:val="1"/>
      <w:marLeft w:val="0"/>
      <w:marRight w:val="0"/>
      <w:marTop w:val="0"/>
      <w:marBottom w:val="0"/>
      <w:divBdr>
        <w:top w:val="none" w:sz="0" w:space="0" w:color="auto"/>
        <w:left w:val="none" w:sz="0" w:space="0" w:color="auto"/>
        <w:bottom w:val="none" w:sz="0" w:space="0" w:color="auto"/>
        <w:right w:val="none" w:sz="0" w:space="0" w:color="auto"/>
      </w:divBdr>
    </w:div>
    <w:div w:id="1920433770">
      <w:bodyDiv w:val="1"/>
      <w:marLeft w:val="0"/>
      <w:marRight w:val="0"/>
      <w:marTop w:val="0"/>
      <w:marBottom w:val="0"/>
      <w:divBdr>
        <w:top w:val="none" w:sz="0" w:space="0" w:color="auto"/>
        <w:left w:val="none" w:sz="0" w:space="0" w:color="auto"/>
        <w:bottom w:val="none" w:sz="0" w:space="0" w:color="auto"/>
        <w:right w:val="none" w:sz="0" w:space="0" w:color="auto"/>
      </w:divBdr>
    </w:div>
    <w:div w:id="1920560058">
      <w:bodyDiv w:val="1"/>
      <w:marLeft w:val="0"/>
      <w:marRight w:val="0"/>
      <w:marTop w:val="0"/>
      <w:marBottom w:val="0"/>
      <w:divBdr>
        <w:top w:val="none" w:sz="0" w:space="0" w:color="auto"/>
        <w:left w:val="none" w:sz="0" w:space="0" w:color="auto"/>
        <w:bottom w:val="none" w:sz="0" w:space="0" w:color="auto"/>
        <w:right w:val="none" w:sz="0" w:space="0" w:color="auto"/>
      </w:divBdr>
    </w:div>
    <w:div w:id="1920600031">
      <w:bodyDiv w:val="1"/>
      <w:marLeft w:val="0"/>
      <w:marRight w:val="0"/>
      <w:marTop w:val="0"/>
      <w:marBottom w:val="0"/>
      <w:divBdr>
        <w:top w:val="none" w:sz="0" w:space="0" w:color="auto"/>
        <w:left w:val="none" w:sz="0" w:space="0" w:color="auto"/>
        <w:bottom w:val="none" w:sz="0" w:space="0" w:color="auto"/>
        <w:right w:val="none" w:sz="0" w:space="0" w:color="auto"/>
      </w:divBdr>
    </w:div>
    <w:div w:id="1920673289">
      <w:bodyDiv w:val="1"/>
      <w:marLeft w:val="0"/>
      <w:marRight w:val="0"/>
      <w:marTop w:val="0"/>
      <w:marBottom w:val="0"/>
      <w:divBdr>
        <w:top w:val="none" w:sz="0" w:space="0" w:color="auto"/>
        <w:left w:val="none" w:sz="0" w:space="0" w:color="auto"/>
        <w:bottom w:val="none" w:sz="0" w:space="0" w:color="auto"/>
        <w:right w:val="none" w:sz="0" w:space="0" w:color="auto"/>
      </w:divBdr>
    </w:div>
    <w:div w:id="1920749444">
      <w:bodyDiv w:val="1"/>
      <w:marLeft w:val="0"/>
      <w:marRight w:val="0"/>
      <w:marTop w:val="0"/>
      <w:marBottom w:val="0"/>
      <w:divBdr>
        <w:top w:val="none" w:sz="0" w:space="0" w:color="auto"/>
        <w:left w:val="none" w:sz="0" w:space="0" w:color="auto"/>
        <w:bottom w:val="none" w:sz="0" w:space="0" w:color="auto"/>
        <w:right w:val="none" w:sz="0" w:space="0" w:color="auto"/>
      </w:divBdr>
    </w:div>
    <w:div w:id="1920750389">
      <w:bodyDiv w:val="1"/>
      <w:marLeft w:val="0"/>
      <w:marRight w:val="0"/>
      <w:marTop w:val="0"/>
      <w:marBottom w:val="0"/>
      <w:divBdr>
        <w:top w:val="none" w:sz="0" w:space="0" w:color="auto"/>
        <w:left w:val="none" w:sz="0" w:space="0" w:color="auto"/>
        <w:bottom w:val="none" w:sz="0" w:space="0" w:color="auto"/>
        <w:right w:val="none" w:sz="0" w:space="0" w:color="auto"/>
      </w:divBdr>
    </w:div>
    <w:div w:id="1920821474">
      <w:bodyDiv w:val="1"/>
      <w:marLeft w:val="0"/>
      <w:marRight w:val="0"/>
      <w:marTop w:val="0"/>
      <w:marBottom w:val="0"/>
      <w:divBdr>
        <w:top w:val="none" w:sz="0" w:space="0" w:color="auto"/>
        <w:left w:val="none" w:sz="0" w:space="0" w:color="auto"/>
        <w:bottom w:val="none" w:sz="0" w:space="0" w:color="auto"/>
        <w:right w:val="none" w:sz="0" w:space="0" w:color="auto"/>
      </w:divBdr>
    </w:div>
    <w:div w:id="1920939719">
      <w:bodyDiv w:val="1"/>
      <w:marLeft w:val="0"/>
      <w:marRight w:val="0"/>
      <w:marTop w:val="0"/>
      <w:marBottom w:val="0"/>
      <w:divBdr>
        <w:top w:val="none" w:sz="0" w:space="0" w:color="auto"/>
        <w:left w:val="none" w:sz="0" w:space="0" w:color="auto"/>
        <w:bottom w:val="none" w:sz="0" w:space="0" w:color="auto"/>
        <w:right w:val="none" w:sz="0" w:space="0" w:color="auto"/>
      </w:divBdr>
    </w:div>
    <w:div w:id="1920946026">
      <w:bodyDiv w:val="1"/>
      <w:marLeft w:val="0"/>
      <w:marRight w:val="0"/>
      <w:marTop w:val="0"/>
      <w:marBottom w:val="0"/>
      <w:divBdr>
        <w:top w:val="none" w:sz="0" w:space="0" w:color="auto"/>
        <w:left w:val="none" w:sz="0" w:space="0" w:color="auto"/>
        <w:bottom w:val="none" w:sz="0" w:space="0" w:color="auto"/>
        <w:right w:val="none" w:sz="0" w:space="0" w:color="auto"/>
      </w:divBdr>
    </w:div>
    <w:div w:id="1920947577">
      <w:bodyDiv w:val="1"/>
      <w:marLeft w:val="0"/>
      <w:marRight w:val="0"/>
      <w:marTop w:val="0"/>
      <w:marBottom w:val="0"/>
      <w:divBdr>
        <w:top w:val="none" w:sz="0" w:space="0" w:color="auto"/>
        <w:left w:val="none" w:sz="0" w:space="0" w:color="auto"/>
        <w:bottom w:val="none" w:sz="0" w:space="0" w:color="auto"/>
        <w:right w:val="none" w:sz="0" w:space="0" w:color="auto"/>
      </w:divBdr>
    </w:div>
    <w:div w:id="1921065325">
      <w:bodyDiv w:val="1"/>
      <w:marLeft w:val="0"/>
      <w:marRight w:val="0"/>
      <w:marTop w:val="0"/>
      <w:marBottom w:val="0"/>
      <w:divBdr>
        <w:top w:val="none" w:sz="0" w:space="0" w:color="auto"/>
        <w:left w:val="none" w:sz="0" w:space="0" w:color="auto"/>
        <w:bottom w:val="none" w:sz="0" w:space="0" w:color="auto"/>
        <w:right w:val="none" w:sz="0" w:space="0" w:color="auto"/>
      </w:divBdr>
    </w:div>
    <w:div w:id="1921089310">
      <w:bodyDiv w:val="1"/>
      <w:marLeft w:val="0"/>
      <w:marRight w:val="0"/>
      <w:marTop w:val="0"/>
      <w:marBottom w:val="0"/>
      <w:divBdr>
        <w:top w:val="none" w:sz="0" w:space="0" w:color="auto"/>
        <w:left w:val="none" w:sz="0" w:space="0" w:color="auto"/>
        <w:bottom w:val="none" w:sz="0" w:space="0" w:color="auto"/>
        <w:right w:val="none" w:sz="0" w:space="0" w:color="auto"/>
      </w:divBdr>
    </w:div>
    <w:div w:id="1921207162">
      <w:bodyDiv w:val="1"/>
      <w:marLeft w:val="0"/>
      <w:marRight w:val="0"/>
      <w:marTop w:val="0"/>
      <w:marBottom w:val="0"/>
      <w:divBdr>
        <w:top w:val="none" w:sz="0" w:space="0" w:color="auto"/>
        <w:left w:val="none" w:sz="0" w:space="0" w:color="auto"/>
        <w:bottom w:val="none" w:sz="0" w:space="0" w:color="auto"/>
        <w:right w:val="none" w:sz="0" w:space="0" w:color="auto"/>
      </w:divBdr>
    </w:div>
    <w:div w:id="1921208538">
      <w:bodyDiv w:val="1"/>
      <w:marLeft w:val="0"/>
      <w:marRight w:val="0"/>
      <w:marTop w:val="0"/>
      <w:marBottom w:val="0"/>
      <w:divBdr>
        <w:top w:val="none" w:sz="0" w:space="0" w:color="auto"/>
        <w:left w:val="none" w:sz="0" w:space="0" w:color="auto"/>
        <w:bottom w:val="none" w:sz="0" w:space="0" w:color="auto"/>
        <w:right w:val="none" w:sz="0" w:space="0" w:color="auto"/>
      </w:divBdr>
    </w:div>
    <w:div w:id="1921214105">
      <w:bodyDiv w:val="1"/>
      <w:marLeft w:val="0"/>
      <w:marRight w:val="0"/>
      <w:marTop w:val="0"/>
      <w:marBottom w:val="0"/>
      <w:divBdr>
        <w:top w:val="none" w:sz="0" w:space="0" w:color="auto"/>
        <w:left w:val="none" w:sz="0" w:space="0" w:color="auto"/>
        <w:bottom w:val="none" w:sz="0" w:space="0" w:color="auto"/>
        <w:right w:val="none" w:sz="0" w:space="0" w:color="auto"/>
      </w:divBdr>
    </w:div>
    <w:div w:id="1921282900">
      <w:bodyDiv w:val="1"/>
      <w:marLeft w:val="0"/>
      <w:marRight w:val="0"/>
      <w:marTop w:val="0"/>
      <w:marBottom w:val="0"/>
      <w:divBdr>
        <w:top w:val="none" w:sz="0" w:space="0" w:color="auto"/>
        <w:left w:val="none" w:sz="0" w:space="0" w:color="auto"/>
        <w:bottom w:val="none" w:sz="0" w:space="0" w:color="auto"/>
        <w:right w:val="none" w:sz="0" w:space="0" w:color="auto"/>
      </w:divBdr>
    </w:div>
    <w:div w:id="1921284050">
      <w:bodyDiv w:val="1"/>
      <w:marLeft w:val="0"/>
      <w:marRight w:val="0"/>
      <w:marTop w:val="0"/>
      <w:marBottom w:val="0"/>
      <w:divBdr>
        <w:top w:val="none" w:sz="0" w:space="0" w:color="auto"/>
        <w:left w:val="none" w:sz="0" w:space="0" w:color="auto"/>
        <w:bottom w:val="none" w:sz="0" w:space="0" w:color="auto"/>
        <w:right w:val="none" w:sz="0" w:space="0" w:color="auto"/>
      </w:divBdr>
    </w:div>
    <w:div w:id="1921403399">
      <w:bodyDiv w:val="1"/>
      <w:marLeft w:val="0"/>
      <w:marRight w:val="0"/>
      <w:marTop w:val="0"/>
      <w:marBottom w:val="0"/>
      <w:divBdr>
        <w:top w:val="none" w:sz="0" w:space="0" w:color="auto"/>
        <w:left w:val="none" w:sz="0" w:space="0" w:color="auto"/>
        <w:bottom w:val="none" w:sz="0" w:space="0" w:color="auto"/>
        <w:right w:val="none" w:sz="0" w:space="0" w:color="auto"/>
      </w:divBdr>
    </w:div>
    <w:div w:id="1921403487">
      <w:bodyDiv w:val="1"/>
      <w:marLeft w:val="0"/>
      <w:marRight w:val="0"/>
      <w:marTop w:val="0"/>
      <w:marBottom w:val="0"/>
      <w:divBdr>
        <w:top w:val="none" w:sz="0" w:space="0" w:color="auto"/>
        <w:left w:val="none" w:sz="0" w:space="0" w:color="auto"/>
        <w:bottom w:val="none" w:sz="0" w:space="0" w:color="auto"/>
        <w:right w:val="none" w:sz="0" w:space="0" w:color="auto"/>
      </w:divBdr>
    </w:div>
    <w:div w:id="1921478689">
      <w:bodyDiv w:val="1"/>
      <w:marLeft w:val="0"/>
      <w:marRight w:val="0"/>
      <w:marTop w:val="0"/>
      <w:marBottom w:val="0"/>
      <w:divBdr>
        <w:top w:val="none" w:sz="0" w:space="0" w:color="auto"/>
        <w:left w:val="none" w:sz="0" w:space="0" w:color="auto"/>
        <w:bottom w:val="none" w:sz="0" w:space="0" w:color="auto"/>
        <w:right w:val="none" w:sz="0" w:space="0" w:color="auto"/>
      </w:divBdr>
    </w:div>
    <w:div w:id="1921911860">
      <w:bodyDiv w:val="1"/>
      <w:marLeft w:val="0"/>
      <w:marRight w:val="0"/>
      <w:marTop w:val="0"/>
      <w:marBottom w:val="0"/>
      <w:divBdr>
        <w:top w:val="none" w:sz="0" w:space="0" w:color="auto"/>
        <w:left w:val="none" w:sz="0" w:space="0" w:color="auto"/>
        <w:bottom w:val="none" w:sz="0" w:space="0" w:color="auto"/>
        <w:right w:val="none" w:sz="0" w:space="0" w:color="auto"/>
      </w:divBdr>
    </w:div>
    <w:div w:id="1921982258">
      <w:bodyDiv w:val="1"/>
      <w:marLeft w:val="0"/>
      <w:marRight w:val="0"/>
      <w:marTop w:val="0"/>
      <w:marBottom w:val="0"/>
      <w:divBdr>
        <w:top w:val="none" w:sz="0" w:space="0" w:color="auto"/>
        <w:left w:val="none" w:sz="0" w:space="0" w:color="auto"/>
        <w:bottom w:val="none" w:sz="0" w:space="0" w:color="auto"/>
        <w:right w:val="none" w:sz="0" w:space="0" w:color="auto"/>
      </w:divBdr>
    </w:div>
    <w:div w:id="1922057500">
      <w:bodyDiv w:val="1"/>
      <w:marLeft w:val="0"/>
      <w:marRight w:val="0"/>
      <w:marTop w:val="0"/>
      <w:marBottom w:val="0"/>
      <w:divBdr>
        <w:top w:val="none" w:sz="0" w:space="0" w:color="auto"/>
        <w:left w:val="none" w:sz="0" w:space="0" w:color="auto"/>
        <w:bottom w:val="none" w:sz="0" w:space="0" w:color="auto"/>
        <w:right w:val="none" w:sz="0" w:space="0" w:color="auto"/>
      </w:divBdr>
    </w:div>
    <w:div w:id="1922253209">
      <w:bodyDiv w:val="1"/>
      <w:marLeft w:val="0"/>
      <w:marRight w:val="0"/>
      <w:marTop w:val="0"/>
      <w:marBottom w:val="0"/>
      <w:divBdr>
        <w:top w:val="none" w:sz="0" w:space="0" w:color="auto"/>
        <w:left w:val="none" w:sz="0" w:space="0" w:color="auto"/>
        <w:bottom w:val="none" w:sz="0" w:space="0" w:color="auto"/>
        <w:right w:val="none" w:sz="0" w:space="0" w:color="auto"/>
      </w:divBdr>
    </w:div>
    <w:div w:id="1922326299">
      <w:bodyDiv w:val="1"/>
      <w:marLeft w:val="0"/>
      <w:marRight w:val="0"/>
      <w:marTop w:val="0"/>
      <w:marBottom w:val="0"/>
      <w:divBdr>
        <w:top w:val="none" w:sz="0" w:space="0" w:color="auto"/>
        <w:left w:val="none" w:sz="0" w:space="0" w:color="auto"/>
        <w:bottom w:val="none" w:sz="0" w:space="0" w:color="auto"/>
        <w:right w:val="none" w:sz="0" w:space="0" w:color="auto"/>
      </w:divBdr>
    </w:div>
    <w:div w:id="1922441705">
      <w:bodyDiv w:val="1"/>
      <w:marLeft w:val="0"/>
      <w:marRight w:val="0"/>
      <w:marTop w:val="0"/>
      <w:marBottom w:val="0"/>
      <w:divBdr>
        <w:top w:val="none" w:sz="0" w:space="0" w:color="auto"/>
        <w:left w:val="none" w:sz="0" w:space="0" w:color="auto"/>
        <w:bottom w:val="none" w:sz="0" w:space="0" w:color="auto"/>
        <w:right w:val="none" w:sz="0" w:space="0" w:color="auto"/>
      </w:divBdr>
    </w:div>
    <w:div w:id="1922446795">
      <w:bodyDiv w:val="1"/>
      <w:marLeft w:val="0"/>
      <w:marRight w:val="0"/>
      <w:marTop w:val="0"/>
      <w:marBottom w:val="0"/>
      <w:divBdr>
        <w:top w:val="none" w:sz="0" w:space="0" w:color="auto"/>
        <w:left w:val="none" w:sz="0" w:space="0" w:color="auto"/>
        <w:bottom w:val="none" w:sz="0" w:space="0" w:color="auto"/>
        <w:right w:val="none" w:sz="0" w:space="0" w:color="auto"/>
      </w:divBdr>
    </w:div>
    <w:div w:id="1922450241">
      <w:bodyDiv w:val="1"/>
      <w:marLeft w:val="0"/>
      <w:marRight w:val="0"/>
      <w:marTop w:val="0"/>
      <w:marBottom w:val="0"/>
      <w:divBdr>
        <w:top w:val="none" w:sz="0" w:space="0" w:color="auto"/>
        <w:left w:val="none" w:sz="0" w:space="0" w:color="auto"/>
        <w:bottom w:val="none" w:sz="0" w:space="0" w:color="auto"/>
        <w:right w:val="none" w:sz="0" w:space="0" w:color="auto"/>
      </w:divBdr>
    </w:div>
    <w:div w:id="1922637041">
      <w:bodyDiv w:val="1"/>
      <w:marLeft w:val="0"/>
      <w:marRight w:val="0"/>
      <w:marTop w:val="0"/>
      <w:marBottom w:val="0"/>
      <w:divBdr>
        <w:top w:val="none" w:sz="0" w:space="0" w:color="auto"/>
        <w:left w:val="none" w:sz="0" w:space="0" w:color="auto"/>
        <w:bottom w:val="none" w:sz="0" w:space="0" w:color="auto"/>
        <w:right w:val="none" w:sz="0" w:space="0" w:color="auto"/>
      </w:divBdr>
    </w:div>
    <w:div w:id="1922714316">
      <w:bodyDiv w:val="1"/>
      <w:marLeft w:val="0"/>
      <w:marRight w:val="0"/>
      <w:marTop w:val="0"/>
      <w:marBottom w:val="0"/>
      <w:divBdr>
        <w:top w:val="none" w:sz="0" w:space="0" w:color="auto"/>
        <w:left w:val="none" w:sz="0" w:space="0" w:color="auto"/>
        <w:bottom w:val="none" w:sz="0" w:space="0" w:color="auto"/>
        <w:right w:val="none" w:sz="0" w:space="0" w:color="auto"/>
      </w:divBdr>
    </w:div>
    <w:div w:id="1922790761">
      <w:bodyDiv w:val="1"/>
      <w:marLeft w:val="0"/>
      <w:marRight w:val="0"/>
      <w:marTop w:val="0"/>
      <w:marBottom w:val="0"/>
      <w:divBdr>
        <w:top w:val="none" w:sz="0" w:space="0" w:color="auto"/>
        <w:left w:val="none" w:sz="0" w:space="0" w:color="auto"/>
        <w:bottom w:val="none" w:sz="0" w:space="0" w:color="auto"/>
        <w:right w:val="none" w:sz="0" w:space="0" w:color="auto"/>
      </w:divBdr>
    </w:div>
    <w:div w:id="1922830326">
      <w:bodyDiv w:val="1"/>
      <w:marLeft w:val="0"/>
      <w:marRight w:val="0"/>
      <w:marTop w:val="0"/>
      <w:marBottom w:val="0"/>
      <w:divBdr>
        <w:top w:val="none" w:sz="0" w:space="0" w:color="auto"/>
        <w:left w:val="none" w:sz="0" w:space="0" w:color="auto"/>
        <w:bottom w:val="none" w:sz="0" w:space="0" w:color="auto"/>
        <w:right w:val="none" w:sz="0" w:space="0" w:color="auto"/>
      </w:divBdr>
    </w:div>
    <w:div w:id="1922834679">
      <w:bodyDiv w:val="1"/>
      <w:marLeft w:val="0"/>
      <w:marRight w:val="0"/>
      <w:marTop w:val="0"/>
      <w:marBottom w:val="0"/>
      <w:divBdr>
        <w:top w:val="none" w:sz="0" w:space="0" w:color="auto"/>
        <w:left w:val="none" w:sz="0" w:space="0" w:color="auto"/>
        <w:bottom w:val="none" w:sz="0" w:space="0" w:color="auto"/>
        <w:right w:val="none" w:sz="0" w:space="0" w:color="auto"/>
      </w:divBdr>
    </w:div>
    <w:div w:id="1922979838">
      <w:bodyDiv w:val="1"/>
      <w:marLeft w:val="0"/>
      <w:marRight w:val="0"/>
      <w:marTop w:val="0"/>
      <w:marBottom w:val="0"/>
      <w:divBdr>
        <w:top w:val="none" w:sz="0" w:space="0" w:color="auto"/>
        <w:left w:val="none" w:sz="0" w:space="0" w:color="auto"/>
        <w:bottom w:val="none" w:sz="0" w:space="0" w:color="auto"/>
        <w:right w:val="none" w:sz="0" w:space="0" w:color="auto"/>
      </w:divBdr>
    </w:div>
    <w:div w:id="1923103707">
      <w:bodyDiv w:val="1"/>
      <w:marLeft w:val="0"/>
      <w:marRight w:val="0"/>
      <w:marTop w:val="0"/>
      <w:marBottom w:val="0"/>
      <w:divBdr>
        <w:top w:val="none" w:sz="0" w:space="0" w:color="auto"/>
        <w:left w:val="none" w:sz="0" w:space="0" w:color="auto"/>
        <w:bottom w:val="none" w:sz="0" w:space="0" w:color="auto"/>
        <w:right w:val="none" w:sz="0" w:space="0" w:color="auto"/>
      </w:divBdr>
    </w:div>
    <w:div w:id="1923176317">
      <w:bodyDiv w:val="1"/>
      <w:marLeft w:val="0"/>
      <w:marRight w:val="0"/>
      <w:marTop w:val="0"/>
      <w:marBottom w:val="0"/>
      <w:divBdr>
        <w:top w:val="none" w:sz="0" w:space="0" w:color="auto"/>
        <w:left w:val="none" w:sz="0" w:space="0" w:color="auto"/>
        <w:bottom w:val="none" w:sz="0" w:space="0" w:color="auto"/>
        <w:right w:val="none" w:sz="0" w:space="0" w:color="auto"/>
      </w:divBdr>
    </w:div>
    <w:div w:id="1923293365">
      <w:bodyDiv w:val="1"/>
      <w:marLeft w:val="0"/>
      <w:marRight w:val="0"/>
      <w:marTop w:val="0"/>
      <w:marBottom w:val="0"/>
      <w:divBdr>
        <w:top w:val="none" w:sz="0" w:space="0" w:color="auto"/>
        <w:left w:val="none" w:sz="0" w:space="0" w:color="auto"/>
        <w:bottom w:val="none" w:sz="0" w:space="0" w:color="auto"/>
        <w:right w:val="none" w:sz="0" w:space="0" w:color="auto"/>
      </w:divBdr>
    </w:div>
    <w:div w:id="1923293810">
      <w:bodyDiv w:val="1"/>
      <w:marLeft w:val="0"/>
      <w:marRight w:val="0"/>
      <w:marTop w:val="0"/>
      <w:marBottom w:val="0"/>
      <w:divBdr>
        <w:top w:val="none" w:sz="0" w:space="0" w:color="auto"/>
        <w:left w:val="none" w:sz="0" w:space="0" w:color="auto"/>
        <w:bottom w:val="none" w:sz="0" w:space="0" w:color="auto"/>
        <w:right w:val="none" w:sz="0" w:space="0" w:color="auto"/>
      </w:divBdr>
    </w:div>
    <w:div w:id="1923298470">
      <w:bodyDiv w:val="1"/>
      <w:marLeft w:val="0"/>
      <w:marRight w:val="0"/>
      <w:marTop w:val="0"/>
      <w:marBottom w:val="0"/>
      <w:divBdr>
        <w:top w:val="none" w:sz="0" w:space="0" w:color="auto"/>
        <w:left w:val="none" w:sz="0" w:space="0" w:color="auto"/>
        <w:bottom w:val="none" w:sz="0" w:space="0" w:color="auto"/>
        <w:right w:val="none" w:sz="0" w:space="0" w:color="auto"/>
      </w:divBdr>
    </w:div>
    <w:div w:id="1923369323">
      <w:bodyDiv w:val="1"/>
      <w:marLeft w:val="0"/>
      <w:marRight w:val="0"/>
      <w:marTop w:val="0"/>
      <w:marBottom w:val="0"/>
      <w:divBdr>
        <w:top w:val="none" w:sz="0" w:space="0" w:color="auto"/>
        <w:left w:val="none" w:sz="0" w:space="0" w:color="auto"/>
        <w:bottom w:val="none" w:sz="0" w:space="0" w:color="auto"/>
        <w:right w:val="none" w:sz="0" w:space="0" w:color="auto"/>
      </w:divBdr>
    </w:div>
    <w:div w:id="1923370210">
      <w:bodyDiv w:val="1"/>
      <w:marLeft w:val="0"/>
      <w:marRight w:val="0"/>
      <w:marTop w:val="0"/>
      <w:marBottom w:val="0"/>
      <w:divBdr>
        <w:top w:val="none" w:sz="0" w:space="0" w:color="auto"/>
        <w:left w:val="none" w:sz="0" w:space="0" w:color="auto"/>
        <w:bottom w:val="none" w:sz="0" w:space="0" w:color="auto"/>
        <w:right w:val="none" w:sz="0" w:space="0" w:color="auto"/>
      </w:divBdr>
    </w:div>
    <w:div w:id="1923440999">
      <w:bodyDiv w:val="1"/>
      <w:marLeft w:val="0"/>
      <w:marRight w:val="0"/>
      <w:marTop w:val="0"/>
      <w:marBottom w:val="0"/>
      <w:divBdr>
        <w:top w:val="none" w:sz="0" w:space="0" w:color="auto"/>
        <w:left w:val="none" w:sz="0" w:space="0" w:color="auto"/>
        <w:bottom w:val="none" w:sz="0" w:space="0" w:color="auto"/>
        <w:right w:val="none" w:sz="0" w:space="0" w:color="auto"/>
      </w:divBdr>
    </w:div>
    <w:div w:id="1923444548">
      <w:bodyDiv w:val="1"/>
      <w:marLeft w:val="0"/>
      <w:marRight w:val="0"/>
      <w:marTop w:val="0"/>
      <w:marBottom w:val="0"/>
      <w:divBdr>
        <w:top w:val="none" w:sz="0" w:space="0" w:color="auto"/>
        <w:left w:val="none" w:sz="0" w:space="0" w:color="auto"/>
        <w:bottom w:val="none" w:sz="0" w:space="0" w:color="auto"/>
        <w:right w:val="none" w:sz="0" w:space="0" w:color="auto"/>
      </w:divBdr>
    </w:div>
    <w:div w:id="1923492535">
      <w:bodyDiv w:val="1"/>
      <w:marLeft w:val="0"/>
      <w:marRight w:val="0"/>
      <w:marTop w:val="0"/>
      <w:marBottom w:val="0"/>
      <w:divBdr>
        <w:top w:val="none" w:sz="0" w:space="0" w:color="auto"/>
        <w:left w:val="none" w:sz="0" w:space="0" w:color="auto"/>
        <w:bottom w:val="none" w:sz="0" w:space="0" w:color="auto"/>
        <w:right w:val="none" w:sz="0" w:space="0" w:color="auto"/>
      </w:divBdr>
    </w:div>
    <w:div w:id="1923680375">
      <w:bodyDiv w:val="1"/>
      <w:marLeft w:val="0"/>
      <w:marRight w:val="0"/>
      <w:marTop w:val="0"/>
      <w:marBottom w:val="0"/>
      <w:divBdr>
        <w:top w:val="none" w:sz="0" w:space="0" w:color="auto"/>
        <w:left w:val="none" w:sz="0" w:space="0" w:color="auto"/>
        <w:bottom w:val="none" w:sz="0" w:space="0" w:color="auto"/>
        <w:right w:val="none" w:sz="0" w:space="0" w:color="auto"/>
      </w:divBdr>
    </w:div>
    <w:div w:id="1923685049">
      <w:bodyDiv w:val="1"/>
      <w:marLeft w:val="0"/>
      <w:marRight w:val="0"/>
      <w:marTop w:val="0"/>
      <w:marBottom w:val="0"/>
      <w:divBdr>
        <w:top w:val="none" w:sz="0" w:space="0" w:color="auto"/>
        <w:left w:val="none" w:sz="0" w:space="0" w:color="auto"/>
        <w:bottom w:val="none" w:sz="0" w:space="0" w:color="auto"/>
        <w:right w:val="none" w:sz="0" w:space="0" w:color="auto"/>
      </w:divBdr>
    </w:div>
    <w:div w:id="1923754427">
      <w:bodyDiv w:val="1"/>
      <w:marLeft w:val="0"/>
      <w:marRight w:val="0"/>
      <w:marTop w:val="0"/>
      <w:marBottom w:val="0"/>
      <w:divBdr>
        <w:top w:val="none" w:sz="0" w:space="0" w:color="auto"/>
        <w:left w:val="none" w:sz="0" w:space="0" w:color="auto"/>
        <w:bottom w:val="none" w:sz="0" w:space="0" w:color="auto"/>
        <w:right w:val="none" w:sz="0" w:space="0" w:color="auto"/>
      </w:divBdr>
    </w:div>
    <w:div w:id="1923757361">
      <w:bodyDiv w:val="1"/>
      <w:marLeft w:val="0"/>
      <w:marRight w:val="0"/>
      <w:marTop w:val="0"/>
      <w:marBottom w:val="0"/>
      <w:divBdr>
        <w:top w:val="none" w:sz="0" w:space="0" w:color="auto"/>
        <w:left w:val="none" w:sz="0" w:space="0" w:color="auto"/>
        <w:bottom w:val="none" w:sz="0" w:space="0" w:color="auto"/>
        <w:right w:val="none" w:sz="0" w:space="0" w:color="auto"/>
      </w:divBdr>
    </w:div>
    <w:div w:id="1923903918">
      <w:bodyDiv w:val="1"/>
      <w:marLeft w:val="0"/>
      <w:marRight w:val="0"/>
      <w:marTop w:val="0"/>
      <w:marBottom w:val="0"/>
      <w:divBdr>
        <w:top w:val="none" w:sz="0" w:space="0" w:color="auto"/>
        <w:left w:val="none" w:sz="0" w:space="0" w:color="auto"/>
        <w:bottom w:val="none" w:sz="0" w:space="0" w:color="auto"/>
        <w:right w:val="none" w:sz="0" w:space="0" w:color="auto"/>
      </w:divBdr>
    </w:div>
    <w:div w:id="1923907171">
      <w:bodyDiv w:val="1"/>
      <w:marLeft w:val="0"/>
      <w:marRight w:val="0"/>
      <w:marTop w:val="0"/>
      <w:marBottom w:val="0"/>
      <w:divBdr>
        <w:top w:val="none" w:sz="0" w:space="0" w:color="auto"/>
        <w:left w:val="none" w:sz="0" w:space="0" w:color="auto"/>
        <w:bottom w:val="none" w:sz="0" w:space="0" w:color="auto"/>
        <w:right w:val="none" w:sz="0" w:space="0" w:color="auto"/>
      </w:divBdr>
    </w:div>
    <w:div w:id="1924219223">
      <w:bodyDiv w:val="1"/>
      <w:marLeft w:val="0"/>
      <w:marRight w:val="0"/>
      <w:marTop w:val="0"/>
      <w:marBottom w:val="0"/>
      <w:divBdr>
        <w:top w:val="none" w:sz="0" w:space="0" w:color="auto"/>
        <w:left w:val="none" w:sz="0" w:space="0" w:color="auto"/>
        <w:bottom w:val="none" w:sz="0" w:space="0" w:color="auto"/>
        <w:right w:val="none" w:sz="0" w:space="0" w:color="auto"/>
      </w:divBdr>
    </w:div>
    <w:div w:id="1924291444">
      <w:bodyDiv w:val="1"/>
      <w:marLeft w:val="0"/>
      <w:marRight w:val="0"/>
      <w:marTop w:val="0"/>
      <w:marBottom w:val="0"/>
      <w:divBdr>
        <w:top w:val="none" w:sz="0" w:space="0" w:color="auto"/>
        <w:left w:val="none" w:sz="0" w:space="0" w:color="auto"/>
        <w:bottom w:val="none" w:sz="0" w:space="0" w:color="auto"/>
        <w:right w:val="none" w:sz="0" w:space="0" w:color="auto"/>
      </w:divBdr>
    </w:div>
    <w:div w:id="1924294418">
      <w:bodyDiv w:val="1"/>
      <w:marLeft w:val="0"/>
      <w:marRight w:val="0"/>
      <w:marTop w:val="0"/>
      <w:marBottom w:val="0"/>
      <w:divBdr>
        <w:top w:val="none" w:sz="0" w:space="0" w:color="auto"/>
        <w:left w:val="none" w:sz="0" w:space="0" w:color="auto"/>
        <w:bottom w:val="none" w:sz="0" w:space="0" w:color="auto"/>
        <w:right w:val="none" w:sz="0" w:space="0" w:color="auto"/>
      </w:divBdr>
    </w:div>
    <w:div w:id="1924336906">
      <w:bodyDiv w:val="1"/>
      <w:marLeft w:val="0"/>
      <w:marRight w:val="0"/>
      <w:marTop w:val="0"/>
      <w:marBottom w:val="0"/>
      <w:divBdr>
        <w:top w:val="none" w:sz="0" w:space="0" w:color="auto"/>
        <w:left w:val="none" w:sz="0" w:space="0" w:color="auto"/>
        <w:bottom w:val="none" w:sz="0" w:space="0" w:color="auto"/>
        <w:right w:val="none" w:sz="0" w:space="0" w:color="auto"/>
      </w:divBdr>
    </w:div>
    <w:div w:id="1924365537">
      <w:bodyDiv w:val="1"/>
      <w:marLeft w:val="0"/>
      <w:marRight w:val="0"/>
      <w:marTop w:val="0"/>
      <w:marBottom w:val="0"/>
      <w:divBdr>
        <w:top w:val="none" w:sz="0" w:space="0" w:color="auto"/>
        <w:left w:val="none" w:sz="0" w:space="0" w:color="auto"/>
        <w:bottom w:val="none" w:sz="0" w:space="0" w:color="auto"/>
        <w:right w:val="none" w:sz="0" w:space="0" w:color="auto"/>
      </w:divBdr>
    </w:div>
    <w:div w:id="1924365583">
      <w:bodyDiv w:val="1"/>
      <w:marLeft w:val="0"/>
      <w:marRight w:val="0"/>
      <w:marTop w:val="0"/>
      <w:marBottom w:val="0"/>
      <w:divBdr>
        <w:top w:val="none" w:sz="0" w:space="0" w:color="auto"/>
        <w:left w:val="none" w:sz="0" w:space="0" w:color="auto"/>
        <w:bottom w:val="none" w:sz="0" w:space="0" w:color="auto"/>
        <w:right w:val="none" w:sz="0" w:space="0" w:color="auto"/>
      </w:divBdr>
    </w:div>
    <w:div w:id="1924411520">
      <w:bodyDiv w:val="1"/>
      <w:marLeft w:val="0"/>
      <w:marRight w:val="0"/>
      <w:marTop w:val="0"/>
      <w:marBottom w:val="0"/>
      <w:divBdr>
        <w:top w:val="none" w:sz="0" w:space="0" w:color="auto"/>
        <w:left w:val="none" w:sz="0" w:space="0" w:color="auto"/>
        <w:bottom w:val="none" w:sz="0" w:space="0" w:color="auto"/>
        <w:right w:val="none" w:sz="0" w:space="0" w:color="auto"/>
      </w:divBdr>
    </w:div>
    <w:div w:id="1924677270">
      <w:bodyDiv w:val="1"/>
      <w:marLeft w:val="0"/>
      <w:marRight w:val="0"/>
      <w:marTop w:val="0"/>
      <w:marBottom w:val="0"/>
      <w:divBdr>
        <w:top w:val="none" w:sz="0" w:space="0" w:color="auto"/>
        <w:left w:val="none" w:sz="0" w:space="0" w:color="auto"/>
        <w:bottom w:val="none" w:sz="0" w:space="0" w:color="auto"/>
        <w:right w:val="none" w:sz="0" w:space="0" w:color="auto"/>
      </w:divBdr>
    </w:div>
    <w:div w:id="1924680617">
      <w:bodyDiv w:val="1"/>
      <w:marLeft w:val="0"/>
      <w:marRight w:val="0"/>
      <w:marTop w:val="0"/>
      <w:marBottom w:val="0"/>
      <w:divBdr>
        <w:top w:val="none" w:sz="0" w:space="0" w:color="auto"/>
        <w:left w:val="none" w:sz="0" w:space="0" w:color="auto"/>
        <w:bottom w:val="none" w:sz="0" w:space="0" w:color="auto"/>
        <w:right w:val="none" w:sz="0" w:space="0" w:color="auto"/>
      </w:divBdr>
    </w:div>
    <w:div w:id="1924728317">
      <w:bodyDiv w:val="1"/>
      <w:marLeft w:val="0"/>
      <w:marRight w:val="0"/>
      <w:marTop w:val="0"/>
      <w:marBottom w:val="0"/>
      <w:divBdr>
        <w:top w:val="none" w:sz="0" w:space="0" w:color="auto"/>
        <w:left w:val="none" w:sz="0" w:space="0" w:color="auto"/>
        <w:bottom w:val="none" w:sz="0" w:space="0" w:color="auto"/>
        <w:right w:val="none" w:sz="0" w:space="0" w:color="auto"/>
      </w:divBdr>
    </w:div>
    <w:div w:id="1924754436">
      <w:bodyDiv w:val="1"/>
      <w:marLeft w:val="0"/>
      <w:marRight w:val="0"/>
      <w:marTop w:val="0"/>
      <w:marBottom w:val="0"/>
      <w:divBdr>
        <w:top w:val="none" w:sz="0" w:space="0" w:color="auto"/>
        <w:left w:val="none" w:sz="0" w:space="0" w:color="auto"/>
        <w:bottom w:val="none" w:sz="0" w:space="0" w:color="auto"/>
        <w:right w:val="none" w:sz="0" w:space="0" w:color="auto"/>
      </w:divBdr>
    </w:div>
    <w:div w:id="1924797774">
      <w:bodyDiv w:val="1"/>
      <w:marLeft w:val="0"/>
      <w:marRight w:val="0"/>
      <w:marTop w:val="0"/>
      <w:marBottom w:val="0"/>
      <w:divBdr>
        <w:top w:val="none" w:sz="0" w:space="0" w:color="auto"/>
        <w:left w:val="none" w:sz="0" w:space="0" w:color="auto"/>
        <w:bottom w:val="none" w:sz="0" w:space="0" w:color="auto"/>
        <w:right w:val="none" w:sz="0" w:space="0" w:color="auto"/>
      </w:divBdr>
    </w:div>
    <w:div w:id="1924871371">
      <w:bodyDiv w:val="1"/>
      <w:marLeft w:val="0"/>
      <w:marRight w:val="0"/>
      <w:marTop w:val="0"/>
      <w:marBottom w:val="0"/>
      <w:divBdr>
        <w:top w:val="none" w:sz="0" w:space="0" w:color="auto"/>
        <w:left w:val="none" w:sz="0" w:space="0" w:color="auto"/>
        <w:bottom w:val="none" w:sz="0" w:space="0" w:color="auto"/>
        <w:right w:val="none" w:sz="0" w:space="0" w:color="auto"/>
      </w:divBdr>
    </w:div>
    <w:div w:id="1924871580">
      <w:bodyDiv w:val="1"/>
      <w:marLeft w:val="0"/>
      <w:marRight w:val="0"/>
      <w:marTop w:val="0"/>
      <w:marBottom w:val="0"/>
      <w:divBdr>
        <w:top w:val="none" w:sz="0" w:space="0" w:color="auto"/>
        <w:left w:val="none" w:sz="0" w:space="0" w:color="auto"/>
        <w:bottom w:val="none" w:sz="0" w:space="0" w:color="auto"/>
        <w:right w:val="none" w:sz="0" w:space="0" w:color="auto"/>
      </w:divBdr>
    </w:div>
    <w:div w:id="1924874561">
      <w:bodyDiv w:val="1"/>
      <w:marLeft w:val="0"/>
      <w:marRight w:val="0"/>
      <w:marTop w:val="0"/>
      <w:marBottom w:val="0"/>
      <w:divBdr>
        <w:top w:val="none" w:sz="0" w:space="0" w:color="auto"/>
        <w:left w:val="none" w:sz="0" w:space="0" w:color="auto"/>
        <w:bottom w:val="none" w:sz="0" w:space="0" w:color="auto"/>
        <w:right w:val="none" w:sz="0" w:space="0" w:color="auto"/>
      </w:divBdr>
    </w:div>
    <w:div w:id="1924946816">
      <w:bodyDiv w:val="1"/>
      <w:marLeft w:val="0"/>
      <w:marRight w:val="0"/>
      <w:marTop w:val="0"/>
      <w:marBottom w:val="0"/>
      <w:divBdr>
        <w:top w:val="none" w:sz="0" w:space="0" w:color="auto"/>
        <w:left w:val="none" w:sz="0" w:space="0" w:color="auto"/>
        <w:bottom w:val="none" w:sz="0" w:space="0" w:color="auto"/>
        <w:right w:val="none" w:sz="0" w:space="0" w:color="auto"/>
      </w:divBdr>
    </w:div>
    <w:div w:id="1924994233">
      <w:bodyDiv w:val="1"/>
      <w:marLeft w:val="0"/>
      <w:marRight w:val="0"/>
      <w:marTop w:val="0"/>
      <w:marBottom w:val="0"/>
      <w:divBdr>
        <w:top w:val="none" w:sz="0" w:space="0" w:color="auto"/>
        <w:left w:val="none" w:sz="0" w:space="0" w:color="auto"/>
        <w:bottom w:val="none" w:sz="0" w:space="0" w:color="auto"/>
        <w:right w:val="none" w:sz="0" w:space="0" w:color="auto"/>
      </w:divBdr>
    </w:div>
    <w:div w:id="1925020971">
      <w:bodyDiv w:val="1"/>
      <w:marLeft w:val="0"/>
      <w:marRight w:val="0"/>
      <w:marTop w:val="0"/>
      <w:marBottom w:val="0"/>
      <w:divBdr>
        <w:top w:val="none" w:sz="0" w:space="0" w:color="auto"/>
        <w:left w:val="none" w:sz="0" w:space="0" w:color="auto"/>
        <w:bottom w:val="none" w:sz="0" w:space="0" w:color="auto"/>
        <w:right w:val="none" w:sz="0" w:space="0" w:color="auto"/>
      </w:divBdr>
    </w:div>
    <w:div w:id="1925067048">
      <w:bodyDiv w:val="1"/>
      <w:marLeft w:val="0"/>
      <w:marRight w:val="0"/>
      <w:marTop w:val="0"/>
      <w:marBottom w:val="0"/>
      <w:divBdr>
        <w:top w:val="none" w:sz="0" w:space="0" w:color="auto"/>
        <w:left w:val="none" w:sz="0" w:space="0" w:color="auto"/>
        <w:bottom w:val="none" w:sz="0" w:space="0" w:color="auto"/>
        <w:right w:val="none" w:sz="0" w:space="0" w:color="auto"/>
      </w:divBdr>
    </w:div>
    <w:div w:id="1925143754">
      <w:bodyDiv w:val="1"/>
      <w:marLeft w:val="0"/>
      <w:marRight w:val="0"/>
      <w:marTop w:val="0"/>
      <w:marBottom w:val="0"/>
      <w:divBdr>
        <w:top w:val="none" w:sz="0" w:space="0" w:color="auto"/>
        <w:left w:val="none" w:sz="0" w:space="0" w:color="auto"/>
        <w:bottom w:val="none" w:sz="0" w:space="0" w:color="auto"/>
        <w:right w:val="none" w:sz="0" w:space="0" w:color="auto"/>
      </w:divBdr>
    </w:div>
    <w:div w:id="1925216345">
      <w:bodyDiv w:val="1"/>
      <w:marLeft w:val="0"/>
      <w:marRight w:val="0"/>
      <w:marTop w:val="0"/>
      <w:marBottom w:val="0"/>
      <w:divBdr>
        <w:top w:val="none" w:sz="0" w:space="0" w:color="auto"/>
        <w:left w:val="none" w:sz="0" w:space="0" w:color="auto"/>
        <w:bottom w:val="none" w:sz="0" w:space="0" w:color="auto"/>
        <w:right w:val="none" w:sz="0" w:space="0" w:color="auto"/>
      </w:divBdr>
    </w:div>
    <w:div w:id="1925218125">
      <w:bodyDiv w:val="1"/>
      <w:marLeft w:val="0"/>
      <w:marRight w:val="0"/>
      <w:marTop w:val="0"/>
      <w:marBottom w:val="0"/>
      <w:divBdr>
        <w:top w:val="none" w:sz="0" w:space="0" w:color="auto"/>
        <w:left w:val="none" w:sz="0" w:space="0" w:color="auto"/>
        <w:bottom w:val="none" w:sz="0" w:space="0" w:color="auto"/>
        <w:right w:val="none" w:sz="0" w:space="0" w:color="auto"/>
      </w:divBdr>
    </w:div>
    <w:div w:id="1925259362">
      <w:bodyDiv w:val="1"/>
      <w:marLeft w:val="0"/>
      <w:marRight w:val="0"/>
      <w:marTop w:val="0"/>
      <w:marBottom w:val="0"/>
      <w:divBdr>
        <w:top w:val="none" w:sz="0" w:space="0" w:color="auto"/>
        <w:left w:val="none" w:sz="0" w:space="0" w:color="auto"/>
        <w:bottom w:val="none" w:sz="0" w:space="0" w:color="auto"/>
        <w:right w:val="none" w:sz="0" w:space="0" w:color="auto"/>
      </w:divBdr>
    </w:div>
    <w:div w:id="1925332799">
      <w:bodyDiv w:val="1"/>
      <w:marLeft w:val="0"/>
      <w:marRight w:val="0"/>
      <w:marTop w:val="0"/>
      <w:marBottom w:val="0"/>
      <w:divBdr>
        <w:top w:val="none" w:sz="0" w:space="0" w:color="auto"/>
        <w:left w:val="none" w:sz="0" w:space="0" w:color="auto"/>
        <w:bottom w:val="none" w:sz="0" w:space="0" w:color="auto"/>
        <w:right w:val="none" w:sz="0" w:space="0" w:color="auto"/>
      </w:divBdr>
    </w:div>
    <w:div w:id="1925334673">
      <w:bodyDiv w:val="1"/>
      <w:marLeft w:val="0"/>
      <w:marRight w:val="0"/>
      <w:marTop w:val="0"/>
      <w:marBottom w:val="0"/>
      <w:divBdr>
        <w:top w:val="none" w:sz="0" w:space="0" w:color="auto"/>
        <w:left w:val="none" w:sz="0" w:space="0" w:color="auto"/>
        <w:bottom w:val="none" w:sz="0" w:space="0" w:color="auto"/>
        <w:right w:val="none" w:sz="0" w:space="0" w:color="auto"/>
      </w:divBdr>
    </w:div>
    <w:div w:id="1925407443">
      <w:bodyDiv w:val="1"/>
      <w:marLeft w:val="0"/>
      <w:marRight w:val="0"/>
      <w:marTop w:val="0"/>
      <w:marBottom w:val="0"/>
      <w:divBdr>
        <w:top w:val="none" w:sz="0" w:space="0" w:color="auto"/>
        <w:left w:val="none" w:sz="0" w:space="0" w:color="auto"/>
        <w:bottom w:val="none" w:sz="0" w:space="0" w:color="auto"/>
        <w:right w:val="none" w:sz="0" w:space="0" w:color="auto"/>
      </w:divBdr>
    </w:div>
    <w:div w:id="1925458302">
      <w:bodyDiv w:val="1"/>
      <w:marLeft w:val="0"/>
      <w:marRight w:val="0"/>
      <w:marTop w:val="0"/>
      <w:marBottom w:val="0"/>
      <w:divBdr>
        <w:top w:val="none" w:sz="0" w:space="0" w:color="auto"/>
        <w:left w:val="none" w:sz="0" w:space="0" w:color="auto"/>
        <w:bottom w:val="none" w:sz="0" w:space="0" w:color="auto"/>
        <w:right w:val="none" w:sz="0" w:space="0" w:color="auto"/>
      </w:divBdr>
    </w:div>
    <w:div w:id="1925529167">
      <w:bodyDiv w:val="1"/>
      <w:marLeft w:val="0"/>
      <w:marRight w:val="0"/>
      <w:marTop w:val="0"/>
      <w:marBottom w:val="0"/>
      <w:divBdr>
        <w:top w:val="none" w:sz="0" w:space="0" w:color="auto"/>
        <w:left w:val="none" w:sz="0" w:space="0" w:color="auto"/>
        <w:bottom w:val="none" w:sz="0" w:space="0" w:color="auto"/>
        <w:right w:val="none" w:sz="0" w:space="0" w:color="auto"/>
      </w:divBdr>
    </w:div>
    <w:div w:id="1925606504">
      <w:bodyDiv w:val="1"/>
      <w:marLeft w:val="0"/>
      <w:marRight w:val="0"/>
      <w:marTop w:val="0"/>
      <w:marBottom w:val="0"/>
      <w:divBdr>
        <w:top w:val="none" w:sz="0" w:space="0" w:color="auto"/>
        <w:left w:val="none" w:sz="0" w:space="0" w:color="auto"/>
        <w:bottom w:val="none" w:sz="0" w:space="0" w:color="auto"/>
        <w:right w:val="none" w:sz="0" w:space="0" w:color="auto"/>
      </w:divBdr>
    </w:div>
    <w:div w:id="1925647629">
      <w:bodyDiv w:val="1"/>
      <w:marLeft w:val="0"/>
      <w:marRight w:val="0"/>
      <w:marTop w:val="0"/>
      <w:marBottom w:val="0"/>
      <w:divBdr>
        <w:top w:val="none" w:sz="0" w:space="0" w:color="auto"/>
        <w:left w:val="none" w:sz="0" w:space="0" w:color="auto"/>
        <w:bottom w:val="none" w:sz="0" w:space="0" w:color="auto"/>
        <w:right w:val="none" w:sz="0" w:space="0" w:color="auto"/>
      </w:divBdr>
    </w:div>
    <w:div w:id="1925727848">
      <w:bodyDiv w:val="1"/>
      <w:marLeft w:val="0"/>
      <w:marRight w:val="0"/>
      <w:marTop w:val="0"/>
      <w:marBottom w:val="0"/>
      <w:divBdr>
        <w:top w:val="none" w:sz="0" w:space="0" w:color="auto"/>
        <w:left w:val="none" w:sz="0" w:space="0" w:color="auto"/>
        <w:bottom w:val="none" w:sz="0" w:space="0" w:color="auto"/>
        <w:right w:val="none" w:sz="0" w:space="0" w:color="auto"/>
      </w:divBdr>
    </w:div>
    <w:div w:id="1925794514">
      <w:bodyDiv w:val="1"/>
      <w:marLeft w:val="0"/>
      <w:marRight w:val="0"/>
      <w:marTop w:val="0"/>
      <w:marBottom w:val="0"/>
      <w:divBdr>
        <w:top w:val="none" w:sz="0" w:space="0" w:color="auto"/>
        <w:left w:val="none" w:sz="0" w:space="0" w:color="auto"/>
        <w:bottom w:val="none" w:sz="0" w:space="0" w:color="auto"/>
        <w:right w:val="none" w:sz="0" w:space="0" w:color="auto"/>
      </w:divBdr>
    </w:div>
    <w:div w:id="1925870950">
      <w:bodyDiv w:val="1"/>
      <w:marLeft w:val="0"/>
      <w:marRight w:val="0"/>
      <w:marTop w:val="0"/>
      <w:marBottom w:val="0"/>
      <w:divBdr>
        <w:top w:val="none" w:sz="0" w:space="0" w:color="auto"/>
        <w:left w:val="none" w:sz="0" w:space="0" w:color="auto"/>
        <w:bottom w:val="none" w:sz="0" w:space="0" w:color="auto"/>
        <w:right w:val="none" w:sz="0" w:space="0" w:color="auto"/>
      </w:divBdr>
    </w:div>
    <w:div w:id="1925914930">
      <w:bodyDiv w:val="1"/>
      <w:marLeft w:val="0"/>
      <w:marRight w:val="0"/>
      <w:marTop w:val="0"/>
      <w:marBottom w:val="0"/>
      <w:divBdr>
        <w:top w:val="none" w:sz="0" w:space="0" w:color="auto"/>
        <w:left w:val="none" w:sz="0" w:space="0" w:color="auto"/>
        <w:bottom w:val="none" w:sz="0" w:space="0" w:color="auto"/>
        <w:right w:val="none" w:sz="0" w:space="0" w:color="auto"/>
      </w:divBdr>
    </w:div>
    <w:div w:id="1925915934">
      <w:bodyDiv w:val="1"/>
      <w:marLeft w:val="0"/>
      <w:marRight w:val="0"/>
      <w:marTop w:val="0"/>
      <w:marBottom w:val="0"/>
      <w:divBdr>
        <w:top w:val="none" w:sz="0" w:space="0" w:color="auto"/>
        <w:left w:val="none" w:sz="0" w:space="0" w:color="auto"/>
        <w:bottom w:val="none" w:sz="0" w:space="0" w:color="auto"/>
        <w:right w:val="none" w:sz="0" w:space="0" w:color="auto"/>
      </w:divBdr>
    </w:div>
    <w:div w:id="1926257995">
      <w:bodyDiv w:val="1"/>
      <w:marLeft w:val="0"/>
      <w:marRight w:val="0"/>
      <w:marTop w:val="0"/>
      <w:marBottom w:val="0"/>
      <w:divBdr>
        <w:top w:val="none" w:sz="0" w:space="0" w:color="auto"/>
        <w:left w:val="none" w:sz="0" w:space="0" w:color="auto"/>
        <w:bottom w:val="none" w:sz="0" w:space="0" w:color="auto"/>
        <w:right w:val="none" w:sz="0" w:space="0" w:color="auto"/>
      </w:divBdr>
    </w:div>
    <w:div w:id="1926330826">
      <w:bodyDiv w:val="1"/>
      <w:marLeft w:val="0"/>
      <w:marRight w:val="0"/>
      <w:marTop w:val="0"/>
      <w:marBottom w:val="0"/>
      <w:divBdr>
        <w:top w:val="none" w:sz="0" w:space="0" w:color="auto"/>
        <w:left w:val="none" w:sz="0" w:space="0" w:color="auto"/>
        <w:bottom w:val="none" w:sz="0" w:space="0" w:color="auto"/>
        <w:right w:val="none" w:sz="0" w:space="0" w:color="auto"/>
      </w:divBdr>
    </w:div>
    <w:div w:id="1926377600">
      <w:bodyDiv w:val="1"/>
      <w:marLeft w:val="0"/>
      <w:marRight w:val="0"/>
      <w:marTop w:val="0"/>
      <w:marBottom w:val="0"/>
      <w:divBdr>
        <w:top w:val="none" w:sz="0" w:space="0" w:color="auto"/>
        <w:left w:val="none" w:sz="0" w:space="0" w:color="auto"/>
        <w:bottom w:val="none" w:sz="0" w:space="0" w:color="auto"/>
        <w:right w:val="none" w:sz="0" w:space="0" w:color="auto"/>
      </w:divBdr>
    </w:div>
    <w:div w:id="1926382828">
      <w:bodyDiv w:val="1"/>
      <w:marLeft w:val="0"/>
      <w:marRight w:val="0"/>
      <w:marTop w:val="0"/>
      <w:marBottom w:val="0"/>
      <w:divBdr>
        <w:top w:val="none" w:sz="0" w:space="0" w:color="auto"/>
        <w:left w:val="none" w:sz="0" w:space="0" w:color="auto"/>
        <w:bottom w:val="none" w:sz="0" w:space="0" w:color="auto"/>
        <w:right w:val="none" w:sz="0" w:space="0" w:color="auto"/>
      </w:divBdr>
    </w:div>
    <w:div w:id="1926498082">
      <w:bodyDiv w:val="1"/>
      <w:marLeft w:val="0"/>
      <w:marRight w:val="0"/>
      <w:marTop w:val="0"/>
      <w:marBottom w:val="0"/>
      <w:divBdr>
        <w:top w:val="none" w:sz="0" w:space="0" w:color="auto"/>
        <w:left w:val="none" w:sz="0" w:space="0" w:color="auto"/>
        <w:bottom w:val="none" w:sz="0" w:space="0" w:color="auto"/>
        <w:right w:val="none" w:sz="0" w:space="0" w:color="auto"/>
      </w:divBdr>
    </w:div>
    <w:div w:id="1926500406">
      <w:bodyDiv w:val="1"/>
      <w:marLeft w:val="0"/>
      <w:marRight w:val="0"/>
      <w:marTop w:val="0"/>
      <w:marBottom w:val="0"/>
      <w:divBdr>
        <w:top w:val="none" w:sz="0" w:space="0" w:color="auto"/>
        <w:left w:val="none" w:sz="0" w:space="0" w:color="auto"/>
        <w:bottom w:val="none" w:sz="0" w:space="0" w:color="auto"/>
        <w:right w:val="none" w:sz="0" w:space="0" w:color="auto"/>
      </w:divBdr>
    </w:div>
    <w:div w:id="1926648554">
      <w:bodyDiv w:val="1"/>
      <w:marLeft w:val="0"/>
      <w:marRight w:val="0"/>
      <w:marTop w:val="0"/>
      <w:marBottom w:val="0"/>
      <w:divBdr>
        <w:top w:val="none" w:sz="0" w:space="0" w:color="auto"/>
        <w:left w:val="none" w:sz="0" w:space="0" w:color="auto"/>
        <w:bottom w:val="none" w:sz="0" w:space="0" w:color="auto"/>
        <w:right w:val="none" w:sz="0" w:space="0" w:color="auto"/>
      </w:divBdr>
    </w:div>
    <w:div w:id="1926722289">
      <w:bodyDiv w:val="1"/>
      <w:marLeft w:val="0"/>
      <w:marRight w:val="0"/>
      <w:marTop w:val="0"/>
      <w:marBottom w:val="0"/>
      <w:divBdr>
        <w:top w:val="none" w:sz="0" w:space="0" w:color="auto"/>
        <w:left w:val="none" w:sz="0" w:space="0" w:color="auto"/>
        <w:bottom w:val="none" w:sz="0" w:space="0" w:color="auto"/>
        <w:right w:val="none" w:sz="0" w:space="0" w:color="auto"/>
      </w:divBdr>
    </w:div>
    <w:div w:id="1926760086">
      <w:bodyDiv w:val="1"/>
      <w:marLeft w:val="0"/>
      <w:marRight w:val="0"/>
      <w:marTop w:val="0"/>
      <w:marBottom w:val="0"/>
      <w:divBdr>
        <w:top w:val="none" w:sz="0" w:space="0" w:color="auto"/>
        <w:left w:val="none" w:sz="0" w:space="0" w:color="auto"/>
        <w:bottom w:val="none" w:sz="0" w:space="0" w:color="auto"/>
        <w:right w:val="none" w:sz="0" w:space="0" w:color="auto"/>
      </w:divBdr>
    </w:div>
    <w:div w:id="1926767456">
      <w:bodyDiv w:val="1"/>
      <w:marLeft w:val="0"/>
      <w:marRight w:val="0"/>
      <w:marTop w:val="0"/>
      <w:marBottom w:val="0"/>
      <w:divBdr>
        <w:top w:val="none" w:sz="0" w:space="0" w:color="auto"/>
        <w:left w:val="none" w:sz="0" w:space="0" w:color="auto"/>
        <w:bottom w:val="none" w:sz="0" w:space="0" w:color="auto"/>
        <w:right w:val="none" w:sz="0" w:space="0" w:color="auto"/>
      </w:divBdr>
    </w:div>
    <w:div w:id="1926912273">
      <w:bodyDiv w:val="1"/>
      <w:marLeft w:val="0"/>
      <w:marRight w:val="0"/>
      <w:marTop w:val="0"/>
      <w:marBottom w:val="0"/>
      <w:divBdr>
        <w:top w:val="none" w:sz="0" w:space="0" w:color="auto"/>
        <w:left w:val="none" w:sz="0" w:space="0" w:color="auto"/>
        <w:bottom w:val="none" w:sz="0" w:space="0" w:color="auto"/>
        <w:right w:val="none" w:sz="0" w:space="0" w:color="auto"/>
      </w:divBdr>
    </w:div>
    <w:div w:id="1927028649">
      <w:bodyDiv w:val="1"/>
      <w:marLeft w:val="0"/>
      <w:marRight w:val="0"/>
      <w:marTop w:val="0"/>
      <w:marBottom w:val="0"/>
      <w:divBdr>
        <w:top w:val="none" w:sz="0" w:space="0" w:color="auto"/>
        <w:left w:val="none" w:sz="0" w:space="0" w:color="auto"/>
        <w:bottom w:val="none" w:sz="0" w:space="0" w:color="auto"/>
        <w:right w:val="none" w:sz="0" w:space="0" w:color="auto"/>
      </w:divBdr>
    </w:div>
    <w:div w:id="1927032226">
      <w:bodyDiv w:val="1"/>
      <w:marLeft w:val="0"/>
      <w:marRight w:val="0"/>
      <w:marTop w:val="0"/>
      <w:marBottom w:val="0"/>
      <w:divBdr>
        <w:top w:val="none" w:sz="0" w:space="0" w:color="auto"/>
        <w:left w:val="none" w:sz="0" w:space="0" w:color="auto"/>
        <w:bottom w:val="none" w:sz="0" w:space="0" w:color="auto"/>
        <w:right w:val="none" w:sz="0" w:space="0" w:color="auto"/>
      </w:divBdr>
    </w:div>
    <w:div w:id="1927300065">
      <w:bodyDiv w:val="1"/>
      <w:marLeft w:val="0"/>
      <w:marRight w:val="0"/>
      <w:marTop w:val="0"/>
      <w:marBottom w:val="0"/>
      <w:divBdr>
        <w:top w:val="none" w:sz="0" w:space="0" w:color="auto"/>
        <w:left w:val="none" w:sz="0" w:space="0" w:color="auto"/>
        <w:bottom w:val="none" w:sz="0" w:space="0" w:color="auto"/>
        <w:right w:val="none" w:sz="0" w:space="0" w:color="auto"/>
      </w:divBdr>
    </w:div>
    <w:div w:id="1927498955">
      <w:bodyDiv w:val="1"/>
      <w:marLeft w:val="0"/>
      <w:marRight w:val="0"/>
      <w:marTop w:val="0"/>
      <w:marBottom w:val="0"/>
      <w:divBdr>
        <w:top w:val="none" w:sz="0" w:space="0" w:color="auto"/>
        <w:left w:val="none" w:sz="0" w:space="0" w:color="auto"/>
        <w:bottom w:val="none" w:sz="0" w:space="0" w:color="auto"/>
        <w:right w:val="none" w:sz="0" w:space="0" w:color="auto"/>
      </w:divBdr>
    </w:div>
    <w:div w:id="1927612302">
      <w:bodyDiv w:val="1"/>
      <w:marLeft w:val="0"/>
      <w:marRight w:val="0"/>
      <w:marTop w:val="0"/>
      <w:marBottom w:val="0"/>
      <w:divBdr>
        <w:top w:val="none" w:sz="0" w:space="0" w:color="auto"/>
        <w:left w:val="none" w:sz="0" w:space="0" w:color="auto"/>
        <w:bottom w:val="none" w:sz="0" w:space="0" w:color="auto"/>
        <w:right w:val="none" w:sz="0" w:space="0" w:color="auto"/>
      </w:divBdr>
    </w:div>
    <w:div w:id="1927684699">
      <w:bodyDiv w:val="1"/>
      <w:marLeft w:val="0"/>
      <w:marRight w:val="0"/>
      <w:marTop w:val="0"/>
      <w:marBottom w:val="0"/>
      <w:divBdr>
        <w:top w:val="none" w:sz="0" w:space="0" w:color="auto"/>
        <w:left w:val="none" w:sz="0" w:space="0" w:color="auto"/>
        <w:bottom w:val="none" w:sz="0" w:space="0" w:color="auto"/>
        <w:right w:val="none" w:sz="0" w:space="0" w:color="auto"/>
      </w:divBdr>
    </w:div>
    <w:div w:id="1927685884">
      <w:bodyDiv w:val="1"/>
      <w:marLeft w:val="0"/>
      <w:marRight w:val="0"/>
      <w:marTop w:val="0"/>
      <w:marBottom w:val="0"/>
      <w:divBdr>
        <w:top w:val="none" w:sz="0" w:space="0" w:color="auto"/>
        <w:left w:val="none" w:sz="0" w:space="0" w:color="auto"/>
        <w:bottom w:val="none" w:sz="0" w:space="0" w:color="auto"/>
        <w:right w:val="none" w:sz="0" w:space="0" w:color="auto"/>
      </w:divBdr>
    </w:div>
    <w:div w:id="1927768098">
      <w:bodyDiv w:val="1"/>
      <w:marLeft w:val="0"/>
      <w:marRight w:val="0"/>
      <w:marTop w:val="0"/>
      <w:marBottom w:val="0"/>
      <w:divBdr>
        <w:top w:val="none" w:sz="0" w:space="0" w:color="auto"/>
        <w:left w:val="none" w:sz="0" w:space="0" w:color="auto"/>
        <w:bottom w:val="none" w:sz="0" w:space="0" w:color="auto"/>
        <w:right w:val="none" w:sz="0" w:space="0" w:color="auto"/>
      </w:divBdr>
    </w:div>
    <w:div w:id="1927808457">
      <w:bodyDiv w:val="1"/>
      <w:marLeft w:val="0"/>
      <w:marRight w:val="0"/>
      <w:marTop w:val="0"/>
      <w:marBottom w:val="0"/>
      <w:divBdr>
        <w:top w:val="none" w:sz="0" w:space="0" w:color="auto"/>
        <w:left w:val="none" w:sz="0" w:space="0" w:color="auto"/>
        <w:bottom w:val="none" w:sz="0" w:space="0" w:color="auto"/>
        <w:right w:val="none" w:sz="0" w:space="0" w:color="auto"/>
      </w:divBdr>
    </w:div>
    <w:div w:id="1927836738">
      <w:bodyDiv w:val="1"/>
      <w:marLeft w:val="0"/>
      <w:marRight w:val="0"/>
      <w:marTop w:val="0"/>
      <w:marBottom w:val="0"/>
      <w:divBdr>
        <w:top w:val="none" w:sz="0" w:space="0" w:color="auto"/>
        <w:left w:val="none" w:sz="0" w:space="0" w:color="auto"/>
        <w:bottom w:val="none" w:sz="0" w:space="0" w:color="auto"/>
        <w:right w:val="none" w:sz="0" w:space="0" w:color="auto"/>
      </w:divBdr>
    </w:div>
    <w:div w:id="1928004331">
      <w:bodyDiv w:val="1"/>
      <w:marLeft w:val="0"/>
      <w:marRight w:val="0"/>
      <w:marTop w:val="0"/>
      <w:marBottom w:val="0"/>
      <w:divBdr>
        <w:top w:val="none" w:sz="0" w:space="0" w:color="auto"/>
        <w:left w:val="none" w:sz="0" w:space="0" w:color="auto"/>
        <w:bottom w:val="none" w:sz="0" w:space="0" w:color="auto"/>
        <w:right w:val="none" w:sz="0" w:space="0" w:color="auto"/>
      </w:divBdr>
    </w:div>
    <w:div w:id="1928004433">
      <w:bodyDiv w:val="1"/>
      <w:marLeft w:val="0"/>
      <w:marRight w:val="0"/>
      <w:marTop w:val="0"/>
      <w:marBottom w:val="0"/>
      <w:divBdr>
        <w:top w:val="none" w:sz="0" w:space="0" w:color="auto"/>
        <w:left w:val="none" w:sz="0" w:space="0" w:color="auto"/>
        <w:bottom w:val="none" w:sz="0" w:space="0" w:color="auto"/>
        <w:right w:val="none" w:sz="0" w:space="0" w:color="auto"/>
      </w:divBdr>
    </w:div>
    <w:div w:id="1928072722">
      <w:bodyDiv w:val="1"/>
      <w:marLeft w:val="0"/>
      <w:marRight w:val="0"/>
      <w:marTop w:val="0"/>
      <w:marBottom w:val="0"/>
      <w:divBdr>
        <w:top w:val="none" w:sz="0" w:space="0" w:color="auto"/>
        <w:left w:val="none" w:sz="0" w:space="0" w:color="auto"/>
        <w:bottom w:val="none" w:sz="0" w:space="0" w:color="auto"/>
        <w:right w:val="none" w:sz="0" w:space="0" w:color="auto"/>
      </w:divBdr>
    </w:div>
    <w:div w:id="1928073349">
      <w:bodyDiv w:val="1"/>
      <w:marLeft w:val="0"/>
      <w:marRight w:val="0"/>
      <w:marTop w:val="0"/>
      <w:marBottom w:val="0"/>
      <w:divBdr>
        <w:top w:val="none" w:sz="0" w:space="0" w:color="auto"/>
        <w:left w:val="none" w:sz="0" w:space="0" w:color="auto"/>
        <w:bottom w:val="none" w:sz="0" w:space="0" w:color="auto"/>
        <w:right w:val="none" w:sz="0" w:space="0" w:color="auto"/>
      </w:divBdr>
    </w:div>
    <w:div w:id="1928074818">
      <w:bodyDiv w:val="1"/>
      <w:marLeft w:val="0"/>
      <w:marRight w:val="0"/>
      <w:marTop w:val="0"/>
      <w:marBottom w:val="0"/>
      <w:divBdr>
        <w:top w:val="none" w:sz="0" w:space="0" w:color="auto"/>
        <w:left w:val="none" w:sz="0" w:space="0" w:color="auto"/>
        <w:bottom w:val="none" w:sz="0" w:space="0" w:color="auto"/>
        <w:right w:val="none" w:sz="0" w:space="0" w:color="auto"/>
      </w:divBdr>
    </w:div>
    <w:div w:id="1928080104">
      <w:bodyDiv w:val="1"/>
      <w:marLeft w:val="0"/>
      <w:marRight w:val="0"/>
      <w:marTop w:val="0"/>
      <w:marBottom w:val="0"/>
      <w:divBdr>
        <w:top w:val="none" w:sz="0" w:space="0" w:color="auto"/>
        <w:left w:val="none" w:sz="0" w:space="0" w:color="auto"/>
        <w:bottom w:val="none" w:sz="0" w:space="0" w:color="auto"/>
        <w:right w:val="none" w:sz="0" w:space="0" w:color="auto"/>
      </w:divBdr>
    </w:div>
    <w:div w:id="1928080226">
      <w:bodyDiv w:val="1"/>
      <w:marLeft w:val="0"/>
      <w:marRight w:val="0"/>
      <w:marTop w:val="0"/>
      <w:marBottom w:val="0"/>
      <w:divBdr>
        <w:top w:val="none" w:sz="0" w:space="0" w:color="auto"/>
        <w:left w:val="none" w:sz="0" w:space="0" w:color="auto"/>
        <w:bottom w:val="none" w:sz="0" w:space="0" w:color="auto"/>
        <w:right w:val="none" w:sz="0" w:space="0" w:color="auto"/>
      </w:divBdr>
    </w:div>
    <w:div w:id="1928154716">
      <w:bodyDiv w:val="1"/>
      <w:marLeft w:val="0"/>
      <w:marRight w:val="0"/>
      <w:marTop w:val="0"/>
      <w:marBottom w:val="0"/>
      <w:divBdr>
        <w:top w:val="none" w:sz="0" w:space="0" w:color="auto"/>
        <w:left w:val="none" w:sz="0" w:space="0" w:color="auto"/>
        <w:bottom w:val="none" w:sz="0" w:space="0" w:color="auto"/>
        <w:right w:val="none" w:sz="0" w:space="0" w:color="auto"/>
      </w:divBdr>
    </w:div>
    <w:div w:id="1928227508">
      <w:bodyDiv w:val="1"/>
      <w:marLeft w:val="0"/>
      <w:marRight w:val="0"/>
      <w:marTop w:val="0"/>
      <w:marBottom w:val="0"/>
      <w:divBdr>
        <w:top w:val="none" w:sz="0" w:space="0" w:color="auto"/>
        <w:left w:val="none" w:sz="0" w:space="0" w:color="auto"/>
        <w:bottom w:val="none" w:sz="0" w:space="0" w:color="auto"/>
        <w:right w:val="none" w:sz="0" w:space="0" w:color="auto"/>
      </w:divBdr>
    </w:div>
    <w:div w:id="1928265906">
      <w:bodyDiv w:val="1"/>
      <w:marLeft w:val="0"/>
      <w:marRight w:val="0"/>
      <w:marTop w:val="0"/>
      <w:marBottom w:val="0"/>
      <w:divBdr>
        <w:top w:val="none" w:sz="0" w:space="0" w:color="auto"/>
        <w:left w:val="none" w:sz="0" w:space="0" w:color="auto"/>
        <w:bottom w:val="none" w:sz="0" w:space="0" w:color="auto"/>
        <w:right w:val="none" w:sz="0" w:space="0" w:color="auto"/>
      </w:divBdr>
    </w:div>
    <w:div w:id="1928273405">
      <w:bodyDiv w:val="1"/>
      <w:marLeft w:val="0"/>
      <w:marRight w:val="0"/>
      <w:marTop w:val="0"/>
      <w:marBottom w:val="0"/>
      <w:divBdr>
        <w:top w:val="none" w:sz="0" w:space="0" w:color="auto"/>
        <w:left w:val="none" w:sz="0" w:space="0" w:color="auto"/>
        <w:bottom w:val="none" w:sz="0" w:space="0" w:color="auto"/>
        <w:right w:val="none" w:sz="0" w:space="0" w:color="auto"/>
      </w:divBdr>
    </w:div>
    <w:div w:id="1928298232">
      <w:bodyDiv w:val="1"/>
      <w:marLeft w:val="0"/>
      <w:marRight w:val="0"/>
      <w:marTop w:val="0"/>
      <w:marBottom w:val="0"/>
      <w:divBdr>
        <w:top w:val="none" w:sz="0" w:space="0" w:color="auto"/>
        <w:left w:val="none" w:sz="0" w:space="0" w:color="auto"/>
        <w:bottom w:val="none" w:sz="0" w:space="0" w:color="auto"/>
        <w:right w:val="none" w:sz="0" w:space="0" w:color="auto"/>
      </w:divBdr>
    </w:div>
    <w:div w:id="1928339366">
      <w:bodyDiv w:val="1"/>
      <w:marLeft w:val="0"/>
      <w:marRight w:val="0"/>
      <w:marTop w:val="0"/>
      <w:marBottom w:val="0"/>
      <w:divBdr>
        <w:top w:val="none" w:sz="0" w:space="0" w:color="auto"/>
        <w:left w:val="none" w:sz="0" w:space="0" w:color="auto"/>
        <w:bottom w:val="none" w:sz="0" w:space="0" w:color="auto"/>
        <w:right w:val="none" w:sz="0" w:space="0" w:color="auto"/>
      </w:divBdr>
    </w:div>
    <w:div w:id="1928342585">
      <w:bodyDiv w:val="1"/>
      <w:marLeft w:val="0"/>
      <w:marRight w:val="0"/>
      <w:marTop w:val="0"/>
      <w:marBottom w:val="0"/>
      <w:divBdr>
        <w:top w:val="none" w:sz="0" w:space="0" w:color="auto"/>
        <w:left w:val="none" w:sz="0" w:space="0" w:color="auto"/>
        <w:bottom w:val="none" w:sz="0" w:space="0" w:color="auto"/>
        <w:right w:val="none" w:sz="0" w:space="0" w:color="auto"/>
      </w:divBdr>
    </w:div>
    <w:div w:id="1928490936">
      <w:bodyDiv w:val="1"/>
      <w:marLeft w:val="0"/>
      <w:marRight w:val="0"/>
      <w:marTop w:val="0"/>
      <w:marBottom w:val="0"/>
      <w:divBdr>
        <w:top w:val="none" w:sz="0" w:space="0" w:color="auto"/>
        <w:left w:val="none" w:sz="0" w:space="0" w:color="auto"/>
        <w:bottom w:val="none" w:sz="0" w:space="0" w:color="auto"/>
        <w:right w:val="none" w:sz="0" w:space="0" w:color="auto"/>
      </w:divBdr>
    </w:div>
    <w:div w:id="1928609427">
      <w:bodyDiv w:val="1"/>
      <w:marLeft w:val="0"/>
      <w:marRight w:val="0"/>
      <w:marTop w:val="0"/>
      <w:marBottom w:val="0"/>
      <w:divBdr>
        <w:top w:val="none" w:sz="0" w:space="0" w:color="auto"/>
        <w:left w:val="none" w:sz="0" w:space="0" w:color="auto"/>
        <w:bottom w:val="none" w:sz="0" w:space="0" w:color="auto"/>
        <w:right w:val="none" w:sz="0" w:space="0" w:color="auto"/>
      </w:divBdr>
    </w:div>
    <w:div w:id="1928612477">
      <w:bodyDiv w:val="1"/>
      <w:marLeft w:val="0"/>
      <w:marRight w:val="0"/>
      <w:marTop w:val="0"/>
      <w:marBottom w:val="0"/>
      <w:divBdr>
        <w:top w:val="none" w:sz="0" w:space="0" w:color="auto"/>
        <w:left w:val="none" w:sz="0" w:space="0" w:color="auto"/>
        <w:bottom w:val="none" w:sz="0" w:space="0" w:color="auto"/>
        <w:right w:val="none" w:sz="0" w:space="0" w:color="auto"/>
      </w:divBdr>
    </w:div>
    <w:div w:id="1928616259">
      <w:bodyDiv w:val="1"/>
      <w:marLeft w:val="0"/>
      <w:marRight w:val="0"/>
      <w:marTop w:val="0"/>
      <w:marBottom w:val="0"/>
      <w:divBdr>
        <w:top w:val="none" w:sz="0" w:space="0" w:color="auto"/>
        <w:left w:val="none" w:sz="0" w:space="0" w:color="auto"/>
        <w:bottom w:val="none" w:sz="0" w:space="0" w:color="auto"/>
        <w:right w:val="none" w:sz="0" w:space="0" w:color="auto"/>
      </w:divBdr>
    </w:div>
    <w:div w:id="1928687392">
      <w:bodyDiv w:val="1"/>
      <w:marLeft w:val="0"/>
      <w:marRight w:val="0"/>
      <w:marTop w:val="0"/>
      <w:marBottom w:val="0"/>
      <w:divBdr>
        <w:top w:val="none" w:sz="0" w:space="0" w:color="auto"/>
        <w:left w:val="none" w:sz="0" w:space="0" w:color="auto"/>
        <w:bottom w:val="none" w:sz="0" w:space="0" w:color="auto"/>
        <w:right w:val="none" w:sz="0" w:space="0" w:color="auto"/>
      </w:divBdr>
    </w:div>
    <w:div w:id="1928689609">
      <w:bodyDiv w:val="1"/>
      <w:marLeft w:val="0"/>
      <w:marRight w:val="0"/>
      <w:marTop w:val="0"/>
      <w:marBottom w:val="0"/>
      <w:divBdr>
        <w:top w:val="none" w:sz="0" w:space="0" w:color="auto"/>
        <w:left w:val="none" w:sz="0" w:space="0" w:color="auto"/>
        <w:bottom w:val="none" w:sz="0" w:space="0" w:color="auto"/>
        <w:right w:val="none" w:sz="0" w:space="0" w:color="auto"/>
      </w:divBdr>
    </w:div>
    <w:div w:id="1928690268">
      <w:bodyDiv w:val="1"/>
      <w:marLeft w:val="0"/>
      <w:marRight w:val="0"/>
      <w:marTop w:val="0"/>
      <w:marBottom w:val="0"/>
      <w:divBdr>
        <w:top w:val="none" w:sz="0" w:space="0" w:color="auto"/>
        <w:left w:val="none" w:sz="0" w:space="0" w:color="auto"/>
        <w:bottom w:val="none" w:sz="0" w:space="0" w:color="auto"/>
        <w:right w:val="none" w:sz="0" w:space="0" w:color="auto"/>
      </w:divBdr>
    </w:div>
    <w:div w:id="1928726829">
      <w:bodyDiv w:val="1"/>
      <w:marLeft w:val="0"/>
      <w:marRight w:val="0"/>
      <w:marTop w:val="0"/>
      <w:marBottom w:val="0"/>
      <w:divBdr>
        <w:top w:val="none" w:sz="0" w:space="0" w:color="auto"/>
        <w:left w:val="none" w:sz="0" w:space="0" w:color="auto"/>
        <w:bottom w:val="none" w:sz="0" w:space="0" w:color="auto"/>
        <w:right w:val="none" w:sz="0" w:space="0" w:color="auto"/>
      </w:divBdr>
    </w:div>
    <w:div w:id="1928733676">
      <w:bodyDiv w:val="1"/>
      <w:marLeft w:val="0"/>
      <w:marRight w:val="0"/>
      <w:marTop w:val="0"/>
      <w:marBottom w:val="0"/>
      <w:divBdr>
        <w:top w:val="none" w:sz="0" w:space="0" w:color="auto"/>
        <w:left w:val="none" w:sz="0" w:space="0" w:color="auto"/>
        <w:bottom w:val="none" w:sz="0" w:space="0" w:color="auto"/>
        <w:right w:val="none" w:sz="0" w:space="0" w:color="auto"/>
      </w:divBdr>
    </w:div>
    <w:div w:id="1928735271">
      <w:bodyDiv w:val="1"/>
      <w:marLeft w:val="0"/>
      <w:marRight w:val="0"/>
      <w:marTop w:val="0"/>
      <w:marBottom w:val="0"/>
      <w:divBdr>
        <w:top w:val="none" w:sz="0" w:space="0" w:color="auto"/>
        <w:left w:val="none" w:sz="0" w:space="0" w:color="auto"/>
        <w:bottom w:val="none" w:sz="0" w:space="0" w:color="auto"/>
        <w:right w:val="none" w:sz="0" w:space="0" w:color="auto"/>
      </w:divBdr>
    </w:div>
    <w:div w:id="1928876786">
      <w:bodyDiv w:val="1"/>
      <w:marLeft w:val="0"/>
      <w:marRight w:val="0"/>
      <w:marTop w:val="0"/>
      <w:marBottom w:val="0"/>
      <w:divBdr>
        <w:top w:val="none" w:sz="0" w:space="0" w:color="auto"/>
        <w:left w:val="none" w:sz="0" w:space="0" w:color="auto"/>
        <w:bottom w:val="none" w:sz="0" w:space="0" w:color="auto"/>
        <w:right w:val="none" w:sz="0" w:space="0" w:color="auto"/>
      </w:divBdr>
    </w:div>
    <w:div w:id="1928952774">
      <w:bodyDiv w:val="1"/>
      <w:marLeft w:val="0"/>
      <w:marRight w:val="0"/>
      <w:marTop w:val="0"/>
      <w:marBottom w:val="0"/>
      <w:divBdr>
        <w:top w:val="none" w:sz="0" w:space="0" w:color="auto"/>
        <w:left w:val="none" w:sz="0" w:space="0" w:color="auto"/>
        <w:bottom w:val="none" w:sz="0" w:space="0" w:color="auto"/>
        <w:right w:val="none" w:sz="0" w:space="0" w:color="auto"/>
      </w:divBdr>
    </w:div>
    <w:div w:id="1928953150">
      <w:bodyDiv w:val="1"/>
      <w:marLeft w:val="0"/>
      <w:marRight w:val="0"/>
      <w:marTop w:val="0"/>
      <w:marBottom w:val="0"/>
      <w:divBdr>
        <w:top w:val="none" w:sz="0" w:space="0" w:color="auto"/>
        <w:left w:val="none" w:sz="0" w:space="0" w:color="auto"/>
        <w:bottom w:val="none" w:sz="0" w:space="0" w:color="auto"/>
        <w:right w:val="none" w:sz="0" w:space="0" w:color="auto"/>
      </w:divBdr>
    </w:div>
    <w:div w:id="1929071264">
      <w:bodyDiv w:val="1"/>
      <w:marLeft w:val="0"/>
      <w:marRight w:val="0"/>
      <w:marTop w:val="0"/>
      <w:marBottom w:val="0"/>
      <w:divBdr>
        <w:top w:val="none" w:sz="0" w:space="0" w:color="auto"/>
        <w:left w:val="none" w:sz="0" w:space="0" w:color="auto"/>
        <w:bottom w:val="none" w:sz="0" w:space="0" w:color="auto"/>
        <w:right w:val="none" w:sz="0" w:space="0" w:color="auto"/>
      </w:divBdr>
    </w:div>
    <w:div w:id="1929269541">
      <w:bodyDiv w:val="1"/>
      <w:marLeft w:val="0"/>
      <w:marRight w:val="0"/>
      <w:marTop w:val="0"/>
      <w:marBottom w:val="0"/>
      <w:divBdr>
        <w:top w:val="none" w:sz="0" w:space="0" w:color="auto"/>
        <w:left w:val="none" w:sz="0" w:space="0" w:color="auto"/>
        <w:bottom w:val="none" w:sz="0" w:space="0" w:color="auto"/>
        <w:right w:val="none" w:sz="0" w:space="0" w:color="auto"/>
      </w:divBdr>
    </w:div>
    <w:div w:id="1929344327">
      <w:bodyDiv w:val="1"/>
      <w:marLeft w:val="0"/>
      <w:marRight w:val="0"/>
      <w:marTop w:val="0"/>
      <w:marBottom w:val="0"/>
      <w:divBdr>
        <w:top w:val="none" w:sz="0" w:space="0" w:color="auto"/>
        <w:left w:val="none" w:sz="0" w:space="0" w:color="auto"/>
        <w:bottom w:val="none" w:sz="0" w:space="0" w:color="auto"/>
        <w:right w:val="none" w:sz="0" w:space="0" w:color="auto"/>
      </w:divBdr>
    </w:div>
    <w:div w:id="1929389393">
      <w:bodyDiv w:val="1"/>
      <w:marLeft w:val="0"/>
      <w:marRight w:val="0"/>
      <w:marTop w:val="0"/>
      <w:marBottom w:val="0"/>
      <w:divBdr>
        <w:top w:val="none" w:sz="0" w:space="0" w:color="auto"/>
        <w:left w:val="none" w:sz="0" w:space="0" w:color="auto"/>
        <w:bottom w:val="none" w:sz="0" w:space="0" w:color="auto"/>
        <w:right w:val="none" w:sz="0" w:space="0" w:color="auto"/>
      </w:divBdr>
    </w:div>
    <w:div w:id="1929458524">
      <w:bodyDiv w:val="1"/>
      <w:marLeft w:val="0"/>
      <w:marRight w:val="0"/>
      <w:marTop w:val="0"/>
      <w:marBottom w:val="0"/>
      <w:divBdr>
        <w:top w:val="none" w:sz="0" w:space="0" w:color="auto"/>
        <w:left w:val="none" w:sz="0" w:space="0" w:color="auto"/>
        <w:bottom w:val="none" w:sz="0" w:space="0" w:color="auto"/>
        <w:right w:val="none" w:sz="0" w:space="0" w:color="auto"/>
      </w:divBdr>
    </w:div>
    <w:div w:id="1929774289">
      <w:bodyDiv w:val="1"/>
      <w:marLeft w:val="0"/>
      <w:marRight w:val="0"/>
      <w:marTop w:val="0"/>
      <w:marBottom w:val="0"/>
      <w:divBdr>
        <w:top w:val="none" w:sz="0" w:space="0" w:color="auto"/>
        <w:left w:val="none" w:sz="0" w:space="0" w:color="auto"/>
        <w:bottom w:val="none" w:sz="0" w:space="0" w:color="auto"/>
        <w:right w:val="none" w:sz="0" w:space="0" w:color="auto"/>
      </w:divBdr>
    </w:div>
    <w:div w:id="1929851829">
      <w:bodyDiv w:val="1"/>
      <w:marLeft w:val="0"/>
      <w:marRight w:val="0"/>
      <w:marTop w:val="0"/>
      <w:marBottom w:val="0"/>
      <w:divBdr>
        <w:top w:val="none" w:sz="0" w:space="0" w:color="auto"/>
        <w:left w:val="none" w:sz="0" w:space="0" w:color="auto"/>
        <w:bottom w:val="none" w:sz="0" w:space="0" w:color="auto"/>
        <w:right w:val="none" w:sz="0" w:space="0" w:color="auto"/>
      </w:divBdr>
    </w:div>
    <w:div w:id="1929925127">
      <w:bodyDiv w:val="1"/>
      <w:marLeft w:val="0"/>
      <w:marRight w:val="0"/>
      <w:marTop w:val="0"/>
      <w:marBottom w:val="0"/>
      <w:divBdr>
        <w:top w:val="none" w:sz="0" w:space="0" w:color="auto"/>
        <w:left w:val="none" w:sz="0" w:space="0" w:color="auto"/>
        <w:bottom w:val="none" w:sz="0" w:space="0" w:color="auto"/>
        <w:right w:val="none" w:sz="0" w:space="0" w:color="auto"/>
      </w:divBdr>
    </w:div>
    <w:div w:id="1929970686">
      <w:bodyDiv w:val="1"/>
      <w:marLeft w:val="0"/>
      <w:marRight w:val="0"/>
      <w:marTop w:val="0"/>
      <w:marBottom w:val="0"/>
      <w:divBdr>
        <w:top w:val="none" w:sz="0" w:space="0" w:color="auto"/>
        <w:left w:val="none" w:sz="0" w:space="0" w:color="auto"/>
        <w:bottom w:val="none" w:sz="0" w:space="0" w:color="auto"/>
        <w:right w:val="none" w:sz="0" w:space="0" w:color="auto"/>
      </w:divBdr>
    </w:div>
    <w:div w:id="1930001387">
      <w:bodyDiv w:val="1"/>
      <w:marLeft w:val="0"/>
      <w:marRight w:val="0"/>
      <w:marTop w:val="0"/>
      <w:marBottom w:val="0"/>
      <w:divBdr>
        <w:top w:val="none" w:sz="0" w:space="0" w:color="auto"/>
        <w:left w:val="none" w:sz="0" w:space="0" w:color="auto"/>
        <w:bottom w:val="none" w:sz="0" w:space="0" w:color="auto"/>
        <w:right w:val="none" w:sz="0" w:space="0" w:color="auto"/>
      </w:divBdr>
    </w:div>
    <w:div w:id="1930001733">
      <w:bodyDiv w:val="1"/>
      <w:marLeft w:val="0"/>
      <w:marRight w:val="0"/>
      <w:marTop w:val="0"/>
      <w:marBottom w:val="0"/>
      <w:divBdr>
        <w:top w:val="none" w:sz="0" w:space="0" w:color="auto"/>
        <w:left w:val="none" w:sz="0" w:space="0" w:color="auto"/>
        <w:bottom w:val="none" w:sz="0" w:space="0" w:color="auto"/>
        <w:right w:val="none" w:sz="0" w:space="0" w:color="auto"/>
      </w:divBdr>
    </w:div>
    <w:div w:id="1930036758">
      <w:bodyDiv w:val="1"/>
      <w:marLeft w:val="0"/>
      <w:marRight w:val="0"/>
      <w:marTop w:val="0"/>
      <w:marBottom w:val="0"/>
      <w:divBdr>
        <w:top w:val="none" w:sz="0" w:space="0" w:color="auto"/>
        <w:left w:val="none" w:sz="0" w:space="0" w:color="auto"/>
        <w:bottom w:val="none" w:sz="0" w:space="0" w:color="auto"/>
        <w:right w:val="none" w:sz="0" w:space="0" w:color="auto"/>
      </w:divBdr>
    </w:div>
    <w:div w:id="1930040770">
      <w:bodyDiv w:val="1"/>
      <w:marLeft w:val="0"/>
      <w:marRight w:val="0"/>
      <w:marTop w:val="0"/>
      <w:marBottom w:val="0"/>
      <w:divBdr>
        <w:top w:val="none" w:sz="0" w:space="0" w:color="auto"/>
        <w:left w:val="none" w:sz="0" w:space="0" w:color="auto"/>
        <w:bottom w:val="none" w:sz="0" w:space="0" w:color="auto"/>
        <w:right w:val="none" w:sz="0" w:space="0" w:color="auto"/>
      </w:divBdr>
    </w:div>
    <w:div w:id="1930042666">
      <w:bodyDiv w:val="1"/>
      <w:marLeft w:val="0"/>
      <w:marRight w:val="0"/>
      <w:marTop w:val="0"/>
      <w:marBottom w:val="0"/>
      <w:divBdr>
        <w:top w:val="none" w:sz="0" w:space="0" w:color="auto"/>
        <w:left w:val="none" w:sz="0" w:space="0" w:color="auto"/>
        <w:bottom w:val="none" w:sz="0" w:space="0" w:color="auto"/>
        <w:right w:val="none" w:sz="0" w:space="0" w:color="auto"/>
      </w:divBdr>
    </w:div>
    <w:div w:id="1930111890">
      <w:bodyDiv w:val="1"/>
      <w:marLeft w:val="0"/>
      <w:marRight w:val="0"/>
      <w:marTop w:val="0"/>
      <w:marBottom w:val="0"/>
      <w:divBdr>
        <w:top w:val="none" w:sz="0" w:space="0" w:color="auto"/>
        <w:left w:val="none" w:sz="0" w:space="0" w:color="auto"/>
        <w:bottom w:val="none" w:sz="0" w:space="0" w:color="auto"/>
        <w:right w:val="none" w:sz="0" w:space="0" w:color="auto"/>
      </w:divBdr>
    </w:div>
    <w:div w:id="1930113152">
      <w:bodyDiv w:val="1"/>
      <w:marLeft w:val="0"/>
      <w:marRight w:val="0"/>
      <w:marTop w:val="0"/>
      <w:marBottom w:val="0"/>
      <w:divBdr>
        <w:top w:val="none" w:sz="0" w:space="0" w:color="auto"/>
        <w:left w:val="none" w:sz="0" w:space="0" w:color="auto"/>
        <w:bottom w:val="none" w:sz="0" w:space="0" w:color="auto"/>
        <w:right w:val="none" w:sz="0" w:space="0" w:color="auto"/>
      </w:divBdr>
    </w:div>
    <w:div w:id="1930121427">
      <w:bodyDiv w:val="1"/>
      <w:marLeft w:val="0"/>
      <w:marRight w:val="0"/>
      <w:marTop w:val="0"/>
      <w:marBottom w:val="0"/>
      <w:divBdr>
        <w:top w:val="none" w:sz="0" w:space="0" w:color="auto"/>
        <w:left w:val="none" w:sz="0" w:space="0" w:color="auto"/>
        <w:bottom w:val="none" w:sz="0" w:space="0" w:color="auto"/>
        <w:right w:val="none" w:sz="0" w:space="0" w:color="auto"/>
      </w:divBdr>
    </w:div>
    <w:div w:id="1930194321">
      <w:bodyDiv w:val="1"/>
      <w:marLeft w:val="0"/>
      <w:marRight w:val="0"/>
      <w:marTop w:val="0"/>
      <w:marBottom w:val="0"/>
      <w:divBdr>
        <w:top w:val="none" w:sz="0" w:space="0" w:color="auto"/>
        <w:left w:val="none" w:sz="0" w:space="0" w:color="auto"/>
        <w:bottom w:val="none" w:sz="0" w:space="0" w:color="auto"/>
        <w:right w:val="none" w:sz="0" w:space="0" w:color="auto"/>
      </w:divBdr>
    </w:div>
    <w:div w:id="1930432123">
      <w:bodyDiv w:val="1"/>
      <w:marLeft w:val="0"/>
      <w:marRight w:val="0"/>
      <w:marTop w:val="0"/>
      <w:marBottom w:val="0"/>
      <w:divBdr>
        <w:top w:val="none" w:sz="0" w:space="0" w:color="auto"/>
        <w:left w:val="none" w:sz="0" w:space="0" w:color="auto"/>
        <w:bottom w:val="none" w:sz="0" w:space="0" w:color="auto"/>
        <w:right w:val="none" w:sz="0" w:space="0" w:color="auto"/>
      </w:divBdr>
    </w:div>
    <w:div w:id="1930498465">
      <w:bodyDiv w:val="1"/>
      <w:marLeft w:val="0"/>
      <w:marRight w:val="0"/>
      <w:marTop w:val="0"/>
      <w:marBottom w:val="0"/>
      <w:divBdr>
        <w:top w:val="none" w:sz="0" w:space="0" w:color="auto"/>
        <w:left w:val="none" w:sz="0" w:space="0" w:color="auto"/>
        <w:bottom w:val="none" w:sz="0" w:space="0" w:color="auto"/>
        <w:right w:val="none" w:sz="0" w:space="0" w:color="auto"/>
      </w:divBdr>
    </w:div>
    <w:div w:id="1930502681">
      <w:bodyDiv w:val="1"/>
      <w:marLeft w:val="0"/>
      <w:marRight w:val="0"/>
      <w:marTop w:val="0"/>
      <w:marBottom w:val="0"/>
      <w:divBdr>
        <w:top w:val="none" w:sz="0" w:space="0" w:color="auto"/>
        <w:left w:val="none" w:sz="0" w:space="0" w:color="auto"/>
        <w:bottom w:val="none" w:sz="0" w:space="0" w:color="auto"/>
        <w:right w:val="none" w:sz="0" w:space="0" w:color="auto"/>
      </w:divBdr>
    </w:div>
    <w:div w:id="1930505587">
      <w:bodyDiv w:val="1"/>
      <w:marLeft w:val="0"/>
      <w:marRight w:val="0"/>
      <w:marTop w:val="0"/>
      <w:marBottom w:val="0"/>
      <w:divBdr>
        <w:top w:val="none" w:sz="0" w:space="0" w:color="auto"/>
        <w:left w:val="none" w:sz="0" w:space="0" w:color="auto"/>
        <w:bottom w:val="none" w:sz="0" w:space="0" w:color="auto"/>
        <w:right w:val="none" w:sz="0" w:space="0" w:color="auto"/>
      </w:divBdr>
    </w:div>
    <w:div w:id="1930574581">
      <w:bodyDiv w:val="1"/>
      <w:marLeft w:val="0"/>
      <w:marRight w:val="0"/>
      <w:marTop w:val="0"/>
      <w:marBottom w:val="0"/>
      <w:divBdr>
        <w:top w:val="none" w:sz="0" w:space="0" w:color="auto"/>
        <w:left w:val="none" w:sz="0" w:space="0" w:color="auto"/>
        <w:bottom w:val="none" w:sz="0" w:space="0" w:color="auto"/>
        <w:right w:val="none" w:sz="0" w:space="0" w:color="auto"/>
      </w:divBdr>
    </w:div>
    <w:div w:id="1930581598">
      <w:bodyDiv w:val="1"/>
      <w:marLeft w:val="0"/>
      <w:marRight w:val="0"/>
      <w:marTop w:val="0"/>
      <w:marBottom w:val="0"/>
      <w:divBdr>
        <w:top w:val="none" w:sz="0" w:space="0" w:color="auto"/>
        <w:left w:val="none" w:sz="0" w:space="0" w:color="auto"/>
        <w:bottom w:val="none" w:sz="0" w:space="0" w:color="auto"/>
        <w:right w:val="none" w:sz="0" w:space="0" w:color="auto"/>
      </w:divBdr>
    </w:div>
    <w:div w:id="1930650117">
      <w:bodyDiv w:val="1"/>
      <w:marLeft w:val="0"/>
      <w:marRight w:val="0"/>
      <w:marTop w:val="0"/>
      <w:marBottom w:val="0"/>
      <w:divBdr>
        <w:top w:val="none" w:sz="0" w:space="0" w:color="auto"/>
        <w:left w:val="none" w:sz="0" w:space="0" w:color="auto"/>
        <w:bottom w:val="none" w:sz="0" w:space="0" w:color="auto"/>
        <w:right w:val="none" w:sz="0" w:space="0" w:color="auto"/>
      </w:divBdr>
    </w:div>
    <w:div w:id="1930693152">
      <w:bodyDiv w:val="1"/>
      <w:marLeft w:val="0"/>
      <w:marRight w:val="0"/>
      <w:marTop w:val="0"/>
      <w:marBottom w:val="0"/>
      <w:divBdr>
        <w:top w:val="none" w:sz="0" w:space="0" w:color="auto"/>
        <w:left w:val="none" w:sz="0" w:space="0" w:color="auto"/>
        <w:bottom w:val="none" w:sz="0" w:space="0" w:color="auto"/>
        <w:right w:val="none" w:sz="0" w:space="0" w:color="auto"/>
      </w:divBdr>
    </w:div>
    <w:div w:id="1931086446">
      <w:bodyDiv w:val="1"/>
      <w:marLeft w:val="0"/>
      <w:marRight w:val="0"/>
      <w:marTop w:val="0"/>
      <w:marBottom w:val="0"/>
      <w:divBdr>
        <w:top w:val="none" w:sz="0" w:space="0" w:color="auto"/>
        <w:left w:val="none" w:sz="0" w:space="0" w:color="auto"/>
        <w:bottom w:val="none" w:sz="0" w:space="0" w:color="auto"/>
        <w:right w:val="none" w:sz="0" w:space="0" w:color="auto"/>
      </w:divBdr>
    </w:div>
    <w:div w:id="1931116229">
      <w:bodyDiv w:val="1"/>
      <w:marLeft w:val="0"/>
      <w:marRight w:val="0"/>
      <w:marTop w:val="0"/>
      <w:marBottom w:val="0"/>
      <w:divBdr>
        <w:top w:val="none" w:sz="0" w:space="0" w:color="auto"/>
        <w:left w:val="none" w:sz="0" w:space="0" w:color="auto"/>
        <w:bottom w:val="none" w:sz="0" w:space="0" w:color="auto"/>
        <w:right w:val="none" w:sz="0" w:space="0" w:color="auto"/>
      </w:divBdr>
    </w:div>
    <w:div w:id="1931155135">
      <w:bodyDiv w:val="1"/>
      <w:marLeft w:val="0"/>
      <w:marRight w:val="0"/>
      <w:marTop w:val="0"/>
      <w:marBottom w:val="0"/>
      <w:divBdr>
        <w:top w:val="none" w:sz="0" w:space="0" w:color="auto"/>
        <w:left w:val="none" w:sz="0" w:space="0" w:color="auto"/>
        <w:bottom w:val="none" w:sz="0" w:space="0" w:color="auto"/>
        <w:right w:val="none" w:sz="0" w:space="0" w:color="auto"/>
      </w:divBdr>
    </w:div>
    <w:div w:id="1931157594">
      <w:bodyDiv w:val="1"/>
      <w:marLeft w:val="0"/>
      <w:marRight w:val="0"/>
      <w:marTop w:val="0"/>
      <w:marBottom w:val="0"/>
      <w:divBdr>
        <w:top w:val="none" w:sz="0" w:space="0" w:color="auto"/>
        <w:left w:val="none" w:sz="0" w:space="0" w:color="auto"/>
        <w:bottom w:val="none" w:sz="0" w:space="0" w:color="auto"/>
        <w:right w:val="none" w:sz="0" w:space="0" w:color="auto"/>
      </w:divBdr>
    </w:div>
    <w:div w:id="1931229748">
      <w:bodyDiv w:val="1"/>
      <w:marLeft w:val="0"/>
      <w:marRight w:val="0"/>
      <w:marTop w:val="0"/>
      <w:marBottom w:val="0"/>
      <w:divBdr>
        <w:top w:val="none" w:sz="0" w:space="0" w:color="auto"/>
        <w:left w:val="none" w:sz="0" w:space="0" w:color="auto"/>
        <w:bottom w:val="none" w:sz="0" w:space="0" w:color="auto"/>
        <w:right w:val="none" w:sz="0" w:space="0" w:color="auto"/>
      </w:divBdr>
    </w:div>
    <w:div w:id="1931234350">
      <w:bodyDiv w:val="1"/>
      <w:marLeft w:val="0"/>
      <w:marRight w:val="0"/>
      <w:marTop w:val="0"/>
      <w:marBottom w:val="0"/>
      <w:divBdr>
        <w:top w:val="none" w:sz="0" w:space="0" w:color="auto"/>
        <w:left w:val="none" w:sz="0" w:space="0" w:color="auto"/>
        <w:bottom w:val="none" w:sz="0" w:space="0" w:color="auto"/>
        <w:right w:val="none" w:sz="0" w:space="0" w:color="auto"/>
      </w:divBdr>
    </w:div>
    <w:div w:id="1931352743">
      <w:bodyDiv w:val="1"/>
      <w:marLeft w:val="0"/>
      <w:marRight w:val="0"/>
      <w:marTop w:val="0"/>
      <w:marBottom w:val="0"/>
      <w:divBdr>
        <w:top w:val="none" w:sz="0" w:space="0" w:color="auto"/>
        <w:left w:val="none" w:sz="0" w:space="0" w:color="auto"/>
        <w:bottom w:val="none" w:sz="0" w:space="0" w:color="auto"/>
        <w:right w:val="none" w:sz="0" w:space="0" w:color="auto"/>
      </w:divBdr>
    </w:div>
    <w:div w:id="1931355514">
      <w:bodyDiv w:val="1"/>
      <w:marLeft w:val="0"/>
      <w:marRight w:val="0"/>
      <w:marTop w:val="0"/>
      <w:marBottom w:val="0"/>
      <w:divBdr>
        <w:top w:val="none" w:sz="0" w:space="0" w:color="auto"/>
        <w:left w:val="none" w:sz="0" w:space="0" w:color="auto"/>
        <w:bottom w:val="none" w:sz="0" w:space="0" w:color="auto"/>
        <w:right w:val="none" w:sz="0" w:space="0" w:color="auto"/>
      </w:divBdr>
    </w:div>
    <w:div w:id="1931424627">
      <w:bodyDiv w:val="1"/>
      <w:marLeft w:val="0"/>
      <w:marRight w:val="0"/>
      <w:marTop w:val="0"/>
      <w:marBottom w:val="0"/>
      <w:divBdr>
        <w:top w:val="none" w:sz="0" w:space="0" w:color="auto"/>
        <w:left w:val="none" w:sz="0" w:space="0" w:color="auto"/>
        <w:bottom w:val="none" w:sz="0" w:space="0" w:color="auto"/>
        <w:right w:val="none" w:sz="0" w:space="0" w:color="auto"/>
      </w:divBdr>
    </w:div>
    <w:div w:id="1931507140">
      <w:bodyDiv w:val="1"/>
      <w:marLeft w:val="0"/>
      <w:marRight w:val="0"/>
      <w:marTop w:val="0"/>
      <w:marBottom w:val="0"/>
      <w:divBdr>
        <w:top w:val="none" w:sz="0" w:space="0" w:color="auto"/>
        <w:left w:val="none" w:sz="0" w:space="0" w:color="auto"/>
        <w:bottom w:val="none" w:sz="0" w:space="0" w:color="auto"/>
        <w:right w:val="none" w:sz="0" w:space="0" w:color="auto"/>
      </w:divBdr>
    </w:div>
    <w:div w:id="1931619312">
      <w:bodyDiv w:val="1"/>
      <w:marLeft w:val="0"/>
      <w:marRight w:val="0"/>
      <w:marTop w:val="0"/>
      <w:marBottom w:val="0"/>
      <w:divBdr>
        <w:top w:val="none" w:sz="0" w:space="0" w:color="auto"/>
        <w:left w:val="none" w:sz="0" w:space="0" w:color="auto"/>
        <w:bottom w:val="none" w:sz="0" w:space="0" w:color="auto"/>
        <w:right w:val="none" w:sz="0" w:space="0" w:color="auto"/>
      </w:divBdr>
    </w:div>
    <w:div w:id="1931692373">
      <w:bodyDiv w:val="1"/>
      <w:marLeft w:val="0"/>
      <w:marRight w:val="0"/>
      <w:marTop w:val="0"/>
      <w:marBottom w:val="0"/>
      <w:divBdr>
        <w:top w:val="none" w:sz="0" w:space="0" w:color="auto"/>
        <w:left w:val="none" w:sz="0" w:space="0" w:color="auto"/>
        <w:bottom w:val="none" w:sz="0" w:space="0" w:color="auto"/>
        <w:right w:val="none" w:sz="0" w:space="0" w:color="auto"/>
      </w:divBdr>
    </w:div>
    <w:div w:id="1931699129">
      <w:bodyDiv w:val="1"/>
      <w:marLeft w:val="0"/>
      <w:marRight w:val="0"/>
      <w:marTop w:val="0"/>
      <w:marBottom w:val="0"/>
      <w:divBdr>
        <w:top w:val="none" w:sz="0" w:space="0" w:color="auto"/>
        <w:left w:val="none" w:sz="0" w:space="0" w:color="auto"/>
        <w:bottom w:val="none" w:sz="0" w:space="0" w:color="auto"/>
        <w:right w:val="none" w:sz="0" w:space="0" w:color="auto"/>
      </w:divBdr>
    </w:div>
    <w:div w:id="1931888685">
      <w:bodyDiv w:val="1"/>
      <w:marLeft w:val="0"/>
      <w:marRight w:val="0"/>
      <w:marTop w:val="0"/>
      <w:marBottom w:val="0"/>
      <w:divBdr>
        <w:top w:val="none" w:sz="0" w:space="0" w:color="auto"/>
        <w:left w:val="none" w:sz="0" w:space="0" w:color="auto"/>
        <w:bottom w:val="none" w:sz="0" w:space="0" w:color="auto"/>
        <w:right w:val="none" w:sz="0" w:space="0" w:color="auto"/>
      </w:divBdr>
    </w:div>
    <w:div w:id="1931889965">
      <w:bodyDiv w:val="1"/>
      <w:marLeft w:val="0"/>
      <w:marRight w:val="0"/>
      <w:marTop w:val="0"/>
      <w:marBottom w:val="0"/>
      <w:divBdr>
        <w:top w:val="none" w:sz="0" w:space="0" w:color="auto"/>
        <w:left w:val="none" w:sz="0" w:space="0" w:color="auto"/>
        <w:bottom w:val="none" w:sz="0" w:space="0" w:color="auto"/>
        <w:right w:val="none" w:sz="0" w:space="0" w:color="auto"/>
      </w:divBdr>
    </w:div>
    <w:div w:id="1931961748">
      <w:bodyDiv w:val="1"/>
      <w:marLeft w:val="0"/>
      <w:marRight w:val="0"/>
      <w:marTop w:val="0"/>
      <w:marBottom w:val="0"/>
      <w:divBdr>
        <w:top w:val="none" w:sz="0" w:space="0" w:color="auto"/>
        <w:left w:val="none" w:sz="0" w:space="0" w:color="auto"/>
        <w:bottom w:val="none" w:sz="0" w:space="0" w:color="auto"/>
        <w:right w:val="none" w:sz="0" w:space="0" w:color="auto"/>
      </w:divBdr>
    </w:div>
    <w:div w:id="1932005626">
      <w:bodyDiv w:val="1"/>
      <w:marLeft w:val="0"/>
      <w:marRight w:val="0"/>
      <w:marTop w:val="0"/>
      <w:marBottom w:val="0"/>
      <w:divBdr>
        <w:top w:val="none" w:sz="0" w:space="0" w:color="auto"/>
        <w:left w:val="none" w:sz="0" w:space="0" w:color="auto"/>
        <w:bottom w:val="none" w:sz="0" w:space="0" w:color="auto"/>
        <w:right w:val="none" w:sz="0" w:space="0" w:color="auto"/>
      </w:divBdr>
    </w:div>
    <w:div w:id="1932080238">
      <w:bodyDiv w:val="1"/>
      <w:marLeft w:val="0"/>
      <w:marRight w:val="0"/>
      <w:marTop w:val="0"/>
      <w:marBottom w:val="0"/>
      <w:divBdr>
        <w:top w:val="none" w:sz="0" w:space="0" w:color="auto"/>
        <w:left w:val="none" w:sz="0" w:space="0" w:color="auto"/>
        <w:bottom w:val="none" w:sz="0" w:space="0" w:color="auto"/>
        <w:right w:val="none" w:sz="0" w:space="0" w:color="auto"/>
      </w:divBdr>
    </w:div>
    <w:div w:id="1932083676">
      <w:bodyDiv w:val="1"/>
      <w:marLeft w:val="0"/>
      <w:marRight w:val="0"/>
      <w:marTop w:val="0"/>
      <w:marBottom w:val="0"/>
      <w:divBdr>
        <w:top w:val="none" w:sz="0" w:space="0" w:color="auto"/>
        <w:left w:val="none" w:sz="0" w:space="0" w:color="auto"/>
        <w:bottom w:val="none" w:sz="0" w:space="0" w:color="auto"/>
        <w:right w:val="none" w:sz="0" w:space="0" w:color="auto"/>
      </w:divBdr>
    </w:div>
    <w:div w:id="1932274808">
      <w:bodyDiv w:val="1"/>
      <w:marLeft w:val="0"/>
      <w:marRight w:val="0"/>
      <w:marTop w:val="0"/>
      <w:marBottom w:val="0"/>
      <w:divBdr>
        <w:top w:val="none" w:sz="0" w:space="0" w:color="auto"/>
        <w:left w:val="none" w:sz="0" w:space="0" w:color="auto"/>
        <w:bottom w:val="none" w:sz="0" w:space="0" w:color="auto"/>
        <w:right w:val="none" w:sz="0" w:space="0" w:color="auto"/>
      </w:divBdr>
    </w:div>
    <w:div w:id="1932280178">
      <w:bodyDiv w:val="1"/>
      <w:marLeft w:val="0"/>
      <w:marRight w:val="0"/>
      <w:marTop w:val="0"/>
      <w:marBottom w:val="0"/>
      <w:divBdr>
        <w:top w:val="none" w:sz="0" w:space="0" w:color="auto"/>
        <w:left w:val="none" w:sz="0" w:space="0" w:color="auto"/>
        <w:bottom w:val="none" w:sz="0" w:space="0" w:color="auto"/>
        <w:right w:val="none" w:sz="0" w:space="0" w:color="auto"/>
      </w:divBdr>
    </w:div>
    <w:div w:id="1932347511">
      <w:bodyDiv w:val="1"/>
      <w:marLeft w:val="0"/>
      <w:marRight w:val="0"/>
      <w:marTop w:val="0"/>
      <w:marBottom w:val="0"/>
      <w:divBdr>
        <w:top w:val="none" w:sz="0" w:space="0" w:color="auto"/>
        <w:left w:val="none" w:sz="0" w:space="0" w:color="auto"/>
        <w:bottom w:val="none" w:sz="0" w:space="0" w:color="auto"/>
        <w:right w:val="none" w:sz="0" w:space="0" w:color="auto"/>
      </w:divBdr>
    </w:div>
    <w:div w:id="1932467067">
      <w:bodyDiv w:val="1"/>
      <w:marLeft w:val="0"/>
      <w:marRight w:val="0"/>
      <w:marTop w:val="0"/>
      <w:marBottom w:val="0"/>
      <w:divBdr>
        <w:top w:val="none" w:sz="0" w:space="0" w:color="auto"/>
        <w:left w:val="none" w:sz="0" w:space="0" w:color="auto"/>
        <w:bottom w:val="none" w:sz="0" w:space="0" w:color="auto"/>
        <w:right w:val="none" w:sz="0" w:space="0" w:color="auto"/>
      </w:divBdr>
    </w:div>
    <w:div w:id="1932615812">
      <w:bodyDiv w:val="1"/>
      <w:marLeft w:val="0"/>
      <w:marRight w:val="0"/>
      <w:marTop w:val="0"/>
      <w:marBottom w:val="0"/>
      <w:divBdr>
        <w:top w:val="none" w:sz="0" w:space="0" w:color="auto"/>
        <w:left w:val="none" w:sz="0" w:space="0" w:color="auto"/>
        <w:bottom w:val="none" w:sz="0" w:space="0" w:color="auto"/>
        <w:right w:val="none" w:sz="0" w:space="0" w:color="auto"/>
      </w:divBdr>
    </w:div>
    <w:div w:id="1932858722">
      <w:bodyDiv w:val="1"/>
      <w:marLeft w:val="0"/>
      <w:marRight w:val="0"/>
      <w:marTop w:val="0"/>
      <w:marBottom w:val="0"/>
      <w:divBdr>
        <w:top w:val="none" w:sz="0" w:space="0" w:color="auto"/>
        <w:left w:val="none" w:sz="0" w:space="0" w:color="auto"/>
        <w:bottom w:val="none" w:sz="0" w:space="0" w:color="auto"/>
        <w:right w:val="none" w:sz="0" w:space="0" w:color="auto"/>
      </w:divBdr>
    </w:div>
    <w:div w:id="1932933007">
      <w:bodyDiv w:val="1"/>
      <w:marLeft w:val="0"/>
      <w:marRight w:val="0"/>
      <w:marTop w:val="0"/>
      <w:marBottom w:val="0"/>
      <w:divBdr>
        <w:top w:val="none" w:sz="0" w:space="0" w:color="auto"/>
        <w:left w:val="none" w:sz="0" w:space="0" w:color="auto"/>
        <w:bottom w:val="none" w:sz="0" w:space="0" w:color="auto"/>
        <w:right w:val="none" w:sz="0" w:space="0" w:color="auto"/>
      </w:divBdr>
    </w:div>
    <w:div w:id="1932933496">
      <w:bodyDiv w:val="1"/>
      <w:marLeft w:val="0"/>
      <w:marRight w:val="0"/>
      <w:marTop w:val="0"/>
      <w:marBottom w:val="0"/>
      <w:divBdr>
        <w:top w:val="none" w:sz="0" w:space="0" w:color="auto"/>
        <w:left w:val="none" w:sz="0" w:space="0" w:color="auto"/>
        <w:bottom w:val="none" w:sz="0" w:space="0" w:color="auto"/>
        <w:right w:val="none" w:sz="0" w:space="0" w:color="auto"/>
      </w:divBdr>
    </w:div>
    <w:div w:id="1932935271">
      <w:bodyDiv w:val="1"/>
      <w:marLeft w:val="0"/>
      <w:marRight w:val="0"/>
      <w:marTop w:val="0"/>
      <w:marBottom w:val="0"/>
      <w:divBdr>
        <w:top w:val="none" w:sz="0" w:space="0" w:color="auto"/>
        <w:left w:val="none" w:sz="0" w:space="0" w:color="auto"/>
        <w:bottom w:val="none" w:sz="0" w:space="0" w:color="auto"/>
        <w:right w:val="none" w:sz="0" w:space="0" w:color="auto"/>
      </w:divBdr>
    </w:div>
    <w:div w:id="1933009877">
      <w:bodyDiv w:val="1"/>
      <w:marLeft w:val="0"/>
      <w:marRight w:val="0"/>
      <w:marTop w:val="0"/>
      <w:marBottom w:val="0"/>
      <w:divBdr>
        <w:top w:val="none" w:sz="0" w:space="0" w:color="auto"/>
        <w:left w:val="none" w:sz="0" w:space="0" w:color="auto"/>
        <w:bottom w:val="none" w:sz="0" w:space="0" w:color="auto"/>
        <w:right w:val="none" w:sz="0" w:space="0" w:color="auto"/>
      </w:divBdr>
    </w:div>
    <w:div w:id="1933079246">
      <w:bodyDiv w:val="1"/>
      <w:marLeft w:val="0"/>
      <w:marRight w:val="0"/>
      <w:marTop w:val="0"/>
      <w:marBottom w:val="0"/>
      <w:divBdr>
        <w:top w:val="none" w:sz="0" w:space="0" w:color="auto"/>
        <w:left w:val="none" w:sz="0" w:space="0" w:color="auto"/>
        <w:bottom w:val="none" w:sz="0" w:space="0" w:color="auto"/>
        <w:right w:val="none" w:sz="0" w:space="0" w:color="auto"/>
      </w:divBdr>
    </w:div>
    <w:div w:id="1933079443">
      <w:bodyDiv w:val="1"/>
      <w:marLeft w:val="0"/>
      <w:marRight w:val="0"/>
      <w:marTop w:val="0"/>
      <w:marBottom w:val="0"/>
      <w:divBdr>
        <w:top w:val="none" w:sz="0" w:space="0" w:color="auto"/>
        <w:left w:val="none" w:sz="0" w:space="0" w:color="auto"/>
        <w:bottom w:val="none" w:sz="0" w:space="0" w:color="auto"/>
        <w:right w:val="none" w:sz="0" w:space="0" w:color="auto"/>
      </w:divBdr>
    </w:div>
    <w:div w:id="1933081299">
      <w:bodyDiv w:val="1"/>
      <w:marLeft w:val="0"/>
      <w:marRight w:val="0"/>
      <w:marTop w:val="0"/>
      <w:marBottom w:val="0"/>
      <w:divBdr>
        <w:top w:val="none" w:sz="0" w:space="0" w:color="auto"/>
        <w:left w:val="none" w:sz="0" w:space="0" w:color="auto"/>
        <w:bottom w:val="none" w:sz="0" w:space="0" w:color="auto"/>
        <w:right w:val="none" w:sz="0" w:space="0" w:color="auto"/>
      </w:divBdr>
    </w:div>
    <w:div w:id="1933202634">
      <w:bodyDiv w:val="1"/>
      <w:marLeft w:val="0"/>
      <w:marRight w:val="0"/>
      <w:marTop w:val="0"/>
      <w:marBottom w:val="0"/>
      <w:divBdr>
        <w:top w:val="none" w:sz="0" w:space="0" w:color="auto"/>
        <w:left w:val="none" w:sz="0" w:space="0" w:color="auto"/>
        <w:bottom w:val="none" w:sz="0" w:space="0" w:color="auto"/>
        <w:right w:val="none" w:sz="0" w:space="0" w:color="auto"/>
      </w:divBdr>
    </w:div>
    <w:div w:id="1933275297">
      <w:bodyDiv w:val="1"/>
      <w:marLeft w:val="0"/>
      <w:marRight w:val="0"/>
      <w:marTop w:val="0"/>
      <w:marBottom w:val="0"/>
      <w:divBdr>
        <w:top w:val="none" w:sz="0" w:space="0" w:color="auto"/>
        <w:left w:val="none" w:sz="0" w:space="0" w:color="auto"/>
        <w:bottom w:val="none" w:sz="0" w:space="0" w:color="auto"/>
        <w:right w:val="none" w:sz="0" w:space="0" w:color="auto"/>
      </w:divBdr>
    </w:div>
    <w:div w:id="1933312679">
      <w:bodyDiv w:val="1"/>
      <w:marLeft w:val="0"/>
      <w:marRight w:val="0"/>
      <w:marTop w:val="0"/>
      <w:marBottom w:val="0"/>
      <w:divBdr>
        <w:top w:val="none" w:sz="0" w:space="0" w:color="auto"/>
        <w:left w:val="none" w:sz="0" w:space="0" w:color="auto"/>
        <w:bottom w:val="none" w:sz="0" w:space="0" w:color="auto"/>
        <w:right w:val="none" w:sz="0" w:space="0" w:color="auto"/>
      </w:divBdr>
    </w:div>
    <w:div w:id="1933315333">
      <w:bodyDiv w:val="1"/>
      <w:marLeft w:val="0"/>
      <w:marRight w:val="0"/>
      <w:marTop w:val="0"/>
      <w:marBottom w:val="0"/>
      <w:divBdr>
        <w:top w:val="none" w:sz="0" w:space="0" w:color="auto"/>
        <w:left w:val="none" w:sz="0" w:space="0" w:color="auto"/>
        <w:bottom w:val="none" w:sz="0" w:space="0" w:color="auto"/>
        <w:right w:val="none" w:sz="0" w:space="0" w:color="auto"/>
      </w:divBdr>
    </w:div>
    <w:div w:id="1933512409">
      <w:bodyDiv w:val="1"/>
      <w:marLeft w:val="0"/>
      <w:marRight w:val="0"/>
      <w:marTop w:val="0"/>
      <w:marBottom w:val="0"/>
      <w:divBdr>
        <w:top w:val="none" w:sz="0" w:space="0" w:color="auto"/>
        <w:left w:val="none" w:sz="0" w:space="0" w:color="auto"/>
        <w:bottom w:val="none" w:sz="0" w:space="0" w:color="auto"/>
        <w:right w:val="none" w:sz="0" w:space="0" w:color="auto"/>
      </w:divBdr>
    </w:div>
    <w:div w:id="1933541017">
      <w:bodyDiv w:val="1"/>
      <w:marLeft w:val="0"/>
      <w:marRight w:val="0"/>
      <w:marTop w:val="0"/>
      <w:marBottom w:val="0"/>
      <w:divBdr>
        <w:top w:val="none" w:sz="0" w:space="0" w:color="auto"/>
        <w:left w:val="none" w:sz="0" w:space="0" w:color="auto"/>
        <w:bottom w:val="none" w:sz="0" w:space="0" w:color="auto"/>
        <w:right w:val="none" w:sz="0" w:space="0" w:color="auto"/>
      </w:divBdr>
    </w:div>
    <w:div w:id="1933588080">
      <w:bodyDiv w:val="1"/>
      <w:marLeft w:val="0"/>
      <w:marRight w:val="0"/>
      <w:marTop w:val="0"/>
      <w:marBottom w:val="0"/>
      <w:divBdr>
        <w:top w:val="none" w:sz="0" w:space="0" w:color="auto"/>
        <w:left w:val="none" w:sz="0" w:space="0" w:color="auto"/>
        <w:bottom w:val="none" w:sz="0" w:space="0" w:color="auto"/>
        <w:right w:val="none" w:sz="0" w:space="0" w:color="auto"/>
      </w:divBdr>
    </w:div>
    <w:div w:id="1933664745">
      <w:bodyDiv w:val="1"/>
      <w:marLeft w:val="0"/>
      <w:marRight w:val="0"/>
      <w:marTop w:val="0"/>
      <w:marBottom w:val="0"/>
      <w:divBdr>
        <w:top w:val="none" w:sz="0" w:space="0" w:color="auto"/>
        <w:left w:val="none" w:sz="0" w:space="0" w:color="auto"/>
        <w:bottom w:val="none" w:sz="0" w:space="0" w:color="auto"/>
        <w:right w:val="none" w:sz="0" w:space="0" w:color="auto"/>
      </w:divBdr>
    </w:div>
    <w:div w:id="1933737239">
      <w:bodyDiv w:val="1"/>
      <w:marLeft w:val="0"/>
      <w:marRight w:val="0"/>
      <w:marTop w:val="0"/>
      <w:marBottom w:val="0"/>
      <w:divBdr>
        <w:top w:val="none" w:sz="0" w:space="0" w:color="auto"/>
        <w:left w:val="none" w:sz="0" w:space="0" w:color="auto"/>
        <w:bottom w:val="none" w:sz="0" w:space="0" w:color="auto"/>
        <w:right w:val="none" w:sz="0" w:space="0" w:color="auto"/>
      </w:divBdr>
    </w:div>
    <w:div w:id="1933737468">
      <w:bodyDiv w:val="1"/>
      <w:marLeft w:val="0"/>
      <w:marRight w:val="0"/>
      <w:marTop w:val="0"/>
      <w:marBottom w:val="0"/>
      <w:divBdr>
        <w:top w:val="none" w:sz="0" w:space="0" w:color="auto"/>
        <w:left w:val="none" w:sz="0" w:space="0" w:color="auto"/>
        <w:bottom w:val="none" w:sz="0" w:space="0" w:color="auto"/>
        <w:right w:val="none" w:sz="0" w:space="0" w:color="auto"/>
      </w:divBdr>
    </w:div>
    <w:div w:id="1933851281">
      <w:bodyDiv w:val="1"/>
      <w:marLeft w:val="0"/>
      <w:marRight w:val="0"/>
      <w:marTop w:val="0"/>
      <w:marBottom w:val="0"/>
      <w:divBdr>
        <w:top w:val="none" w:sz="0" w:space="0" w:color="auto"/>
        <w:left w:val="none" w:sz="0" w:space="0" w:color="auto"/>
        <w:bottom w:val="none" w:sz="0" w:space="0" w:color="auto"/>
        <w:right w:val="none" w:sz="0" w:space="0" w:color="auto"/>
      </w:divBdr>
    </w:div>
    <w:div w:id="1933928176">
      <w:bodyDiv w:val="1"/>
      <w:marLeft w:val="0"/>
      <w:marRight w:val="0"/>
      <w:marTop w:val="0"/>
      <w:marBottom w:val="0"/>
      <w:divBdr>
        <w:top w:val="none" w:sz="0" w:space="0" w:color="auto"/>
        <w:left w:val="none" w:sz="0" w:space="0" w:color="auto"/>
        <w:bottom w:val="none" w:sz="0" w:space="0" w:color="auto"/>
        <w:right w:val="none" w:sz="0" w:space="0" w:color="auto"/>
      </w:divBdr>
    </w:div>
    <w:div w:id="1934043824">
      <w:bodyDiv w:val="1"/>
      <w:marLeft w:val="0"/>
      <w:marRight w:val="0"/>
      <w:marTop w:val="0"/>
      <w:marBottom w:val="0"/>
      <w:divBdr>
        <w:top w:val="none" w:sz="0" w:space="0" w:color="auto"/>
        <w:left w:val="none" w:sz="0" w:space="0" w:color="auto"/>
        <w:bottom w:val="none" w:sz="0" w:space="0" w:color="auto"/>
        <w:right w:val="none" w:sz="0" w:space="0" w:color="auto"/>
      </w:divBdr>
    </w:div>
    <w:div w:id="1934044219">
      <w:bodyDiv w:val="1"/>
      <w:marLeft w:val="0"/>
      <w:marRight w:val="0"/>
      <w:marTop w:val="0"/>
      <w:marBottom w:val="0"/>
      <w:divBdr>
        <w:top w:val="none" w:sz="0" w:space="0" w:color="auto"/>
        <w:left w:val="none" w:sz="0" w:space="0" w:color="auto"/>
        <w:bottom w:val="none" w:sz="0" w:space="0" w:color="auto"/>
        <w:right w:val="none" w:sz="0" w:space="0" w:color="auto"/>
      </w:divBdr>
    </w:div>
    <w:div w:id="1934045985">
      <w:bodyDiv w:val="1"/>
      <w:marLeft w:val="0"/>
      <w:marRight w:val="0"/>
      <w:marTop w:val="0"/>
      <w:marBottom w:val="0"/>
      <w:divBdr>
        <w:top w:val="none" w:sz="0" w:space="0" w:color="auto"/>
        <w:left w:val="none" w:sz="0" w:space="0" w:color="auto"/>
        <w:bottom w:val="none" w:sz="0" w:space="0" w:color="auto"/>
        <w:right w:val="none" w:sz="0" w:space="0" w:color="auto"/>
      </w:divBdr>
    </w:div>
    <w:div w:id="1934119812">
      <w:bodyDiv w:val="1"/>
      <w:marLeft w:val="0"/>
      <w:marRight w:val="0"/>
      <w:marTop w:val="0"/>
      <w:marBottom w:val="0"/>
      <w:divBdr>
        <w:top w:val="none" w:sz="0" w:space="0" w:color="auto"/>
        <w:left w:val="none" w:sz="0" w:space="0" w:color="auto"/>
        <w:bottom w:val="none" w:sz="0" w:space="0" w:color="auto"/>
        <w:right w:val="none" w:sz="0" w:space="0" w:color="auto"/>
      </w:divBdr>
    </w:div>
    <w:div w:id="1934126754">
      <w:bodyDiv w:val="1"/>
      <w:marLeft w:val="0"/>
      <w:marRight w:val="0"/>
      <w:marTop w:val="0"/>
      <w:marBottom w:val="0"/>
      <w:divBdr>
        <w:top w:val="none" w:sz="0" w:space="0" w:color="auto"/>
        <w:left w:val="none" w:sz="0" w:space="0" w:color="auto"/>
        <w:bottom w:val="none" w:sz="0" w:space="0" w:color="auto"/>
        <w:right w:val="none" w:sz="0" w:space="0" w:color="auto"/>
      </w:divBdr>
    </w:div>
    <w:div w:id="1934165007">
      <w:bodyDiv w:val="1"/>
      <w:marLeft w:val="0"/>
      <w:marRight w:val="0"/>
      <w:marTop w:val="0"/>
      <w:marBottom w:val="0"/>
      <w:divBdr>
        <w:top w:val="none" w:sz="0" w:space="0" w:color="auto"/>
        <w:left w:val="none" w:sz="0" w:space="0" w:color="auto"/>
        <w:bottom w:val="none" w:sz="0" w:space="0" w:color="auto"/>
        <w:right w:val="none" w:sz="0" w:space="0" w:color="auto"/>
      </w:divBdr>
    </w:div>
    <w:div w:id="1934170133">
      <w:bodyDiv w:val="1"/>
      <w:marLeft w:val="0"/>
      <w:marRight w:val="0"/>
      <w:marTop w:val="0"/>
      <w:marBottom w:val="0"/>
      <w:divBdr>
        <w:top w:val="none" w:sz="0" w:space="0" w:color="auto"/>
        <w:left w:val="none" w:sz="0" w:space="0" w:color="auto"/>
        <w:bottom w:val="none" w:sz="0" w:space="0" w:color="auto"/>
        <w:right w:val="none" w:sz="0" w:space="0" w:color="auto"/>
      </w:divBdr>
    </w:div>
    <w:div w:id="1934363830">
      <w:bodyDiv w:val="1"/>
      <w:marLeft w:val="0"/>
      <w:marRight w:val="0"/>
      <w:marTop w:val="0"/>
      <w:marBottom w:val="0"/>
      <w:divBdr>
        <w:top w:val="none" w:sz="0" w:space="0" w:color="auto"/>
        <w:left w:val="none" w:sz="0" w:space="0" w:color="auto"/>
        <w:bottom w:val="none" w:sz="0" w:space="0" w:color="auto"/>
        <w:right w:val="none" w:sz="0" w:space="0" w:color="auto"/>
      </w:divBdr>
    </w:div>
    <w:div w:id="1934582481">
      <w:bodyDiv w:val="1"/>
      <w:marLeft w:val="0"/>
      <w:marRight w:val="0"/>
      <w:marTop w:val="0"/>
      <w:marBottom w:val="0"/>
      <w:divBdr>
        <w:top w:val="none" w:sz="0" w:space="0" w:color="auto"/>
        <w:left w:val="none" w:sz="0" w:space="0" w:color="auto"/>
        <w:bottom w:val="none" w:sz="0" w:space="0" w:color="auto"/>
        <w:right w:val="none" w:sz="0" w:space="0" w:color="auto"/>
      </w:divBdr>
    </w:div>
    <w:div w:id="1934780959">
      <w:bodyDiv w:val="1"/>
      <w:marLeft w:val="0"/>
      <w:marRight w:val="0"/>
      <w:marTop w:val="0"/>
      <w:marBottom w:val="0"/>
      <w:divBdr>
        <w:top w:val="none" w:sz="0" w:space="0" w:color="auto"/>
        <w:left w:val="none" w:sz="0" w:space="0" w:color="auto"/>
        <w:bottom w:val="none" w:sz="0" w:space="0" w:color="auto"/>
        <w:right w:val="none" w:sz="0" w:space="0" w:color="auto"/>
      </w:divBdr>
    </w:div>
    <w:div w:id="1934825323">
      <w:bodyDiv w:val="1"/>
      <w:marLeft w:val="0"/>
      <w:marRight w:val="0"/>
      <w:marTop w:val="0"/>
      <w:marBottom w:val="0"/>
      <w:divBdr>
        <w:top w:val="none" w:sz="0" w:space="0" w:color="auto"/>
        <w:left w:val="none" w:sz="0" w:space="0" w:color="auto"/>
        <w:bottom w:val="none" w:sz="0" w:space="0" w:color="auto"/>
        <w:right w:val="none" w:sz="0" w:space="0" w:color="auto"/>
      </w:divBdr>
    </w:div>
    <w:div w:id="1935237243">
      <w:bodyDiv w:val="1"/>
      <w:marLeft w:val="0"/>
      <w:marRight w:val="0"/>
      <w:marTop w:val="0"/>
      <w:marBottom w:val="0"/>
      <w:divBdr>
        <w:top w:val="none" w:sz="0" w:space="0" w:color="auto"/>
        <w:left w:val="none" w:sz="0" w:space="0" w:color="auto"/>
        <w:bottom w:val="none" w:sz="0" w:space="0" w:color="auto"/>
        <w:right w:val="none" w:sz="0" w:space="0" w:color="auto"/>
      </w:divBdr>
    </w:div>
    <w:div w:id="1935284316">
      <w:bodyDiv w:val="1"/>
      <w:marLeft w:val="0"/>
      <w:marRight w:val="0"/>
      <w:marTop w:val="0"/>
      <w:marBottom w:val="0"/>
      <w:divBdr>
        <w:top w:val="none" w:sz="0" w:space="0" w:color="auto"/>
        <w:left w:val="none" w:sz="0" w:space="0" w:color="auto"/>
        <w:bottom w:val="none" w:sz="0" w:space="0" w:color="auto"/>
        <w:right w:val="none" w:sz="0" w:space="0" w:color="auto"/>
      </w:divBdr>
    </w:div>
    <w:div w:id="1935433063">
      <w:bodyDiv w:val="1"/>
      <w:marLeft w:val="0"/>
      <w:marRight w:val="0"/>
      <w:marTop w:val="0"/>
      <w:marBottom w:val="0"/>
      <w:divBdr>
        <w:top w:val="none" w:sz="0" w:space="0" w:color="auto"/>
        <w:left w:val="none" w:sz="0" w:space="0" w:color="auto"/>
        <w:bottom w:val="none" w:sz="0" w:space="0" w:color="auto"/>
        <w:right w:val="none" w:sz="0" w:space="0" w:color="auto"/>
      </w:divBdr>
    </w:div>
    <w:div w:id="1935623515">
      <w:bodyDiv w:val="1"/>
      <w:marLeft w:val="0"/>
      <w:marRight w:val="0"/>
      <w:marTop w:val="0"/>
      <w:marBottom w:val="0"/>
      <w:divBdr>
        <w:top w:val="none" w:sz="0" w:space="0" w:color="auto"/>
        <w:left w:val="none" w:sz="0" w:space="0" w:color="auto"/>
        <w:bottom w:val="none" w:sz="0" w:space="0" w:color="auto"/>
        <w:right w:val="none" w:sz="0" w:space="0" w:color="auto"/>
      </w:divBdr>
    </w:div>
    <w:div w:id="1935628945">
      <w:bodyDiv w:val="1"/>
      <w:marLeft w:val="0"/>
      <w:marRight w:val="0"/>
      <w:marTop w:val="0"/>
      <w:marBottom w:val="0"/>
      <w:divBdr>
        <w:top w:val="none" w:sz="0" w:space="0" w:color="auto"/>
        <w:left w:val="none" w:sz="0" w:space="0" w:color="auto"/>
        <w:bottom w:val="none" w:sz="0" w:space="0" w:color="auto"/>
        <w:right w:val="none" w:sz="0" w:space="0" w:color="auto"/>
      </w:divBdr>
    </w:div>
    <w:div w:id="1936015178">
      <w:bodyDiv w:val="1"/>
      <w:marLeft w:val="0"/>
      <w:marRight w:val="0"/>
      <w:marTop w:val="0"/>
      <w:marBottom w:val="0"/>
      <w:divBdr>
        <w:top w:val="none" w:sz="0" w:space="0" w:color="auto"/>
        <w:left w:val="none" w:sz="0" w:space="0" w:color="auto"/>
        <w:bottom w:val="none" w:sz="0" w:space="0" w:color="auto"/>
        <w:right w:val="none" w:sz="0" w:space="0" w:color="auto"/>
      </w:divBdr>
    </w:div>
    <w:div w:id="1936088163">
      <w:bodyDiv w:val="1"/>
      <w:marLeft w:val="0"/>
      <w:marRight w:val="0"/>
      <w:marTop w:val="0"/>
      <w:marBottom w:val="0"/>
      <w:divBdr>
        <w:top w:val="none" w:sz="0" w:space="0" w:color="auto"/>
        <w:left w:val="none" w:sz="0" w:space="0" w:color="auto"/>
        <w:bottom w:val="none" w:sz="0" w:space="0" w:color="auto"/>
        <w:right w:val="none" w:sz="0" w:space="0" w:color="auto"/>
      </w:divBdr>
    </w:div>
    <w:div w:id="1936089848">
      <w:bodyDiv w:val="1"/>
      <w:marLeft w:val="0"/>
      <w:marRight w:val="0"/>
      <w:marTop w:val="0"/>
      <w:marBottom w:val="0"/>
      <w:divBdr>
        <w:top w:val="none" w:sz="0" w:space="0" w:color="auto"/>
        <w:left w:val="none" w:sz="0" w:space="0" w:color="auto"/>
        <w:bottom w:val="none" w:sz="0" w:space="0" w:color="auto"/>
        <w:right w:val="none" w:sz="0" w:space="0" w:color="auto"/>
      </w:divBdr>
    </w:div>
    <w:div w:id="1936131898">
      <w:bodyDiv w:val="1"/>
      <w:marLeft w:val="0"/>
      <w:marRight w:val="0"/>
      <w:marTop w:val="0"/>
      <w:marBottom w:val="0"/>
      <w:divBdr>
        <w:top w:val="none" w:sz="0" w:space="0" w:color="auto"/>
        <w:left w:val="none" w:sz="0" w:space="0" w:color="auto"/>
        <w:bottom w:val="none" w:sz="0" w:space="0" w:color="auto"/>
        <w:right w:val="none" w:sz="0" w:space="0" w:color="auto"/>
      </w:divBdr>
    </w:div>
    <w:div w:id="1936204498">
      <w:bodyDiv w:val="1"/>
      <w:marLeft w:val="0"/>
      <w:marRight w:val="0"/>
      <w:marTop w:val="0"/>
      <w:marBottom w:val="0"/>
      <w:divBdr>
        <w:top w:val="none" w:sz="0" w:space="0" w:color="auto"/>
        <w:left w:val="none" w:sz="0" w:space="0" w:color="auto"/>
        <w:bottom w:val="none" w:sz="0" w:space="0" w:color="auto"/>
        <w:right w:val="none" w:sz="0" w:space="0" w:color="auto"/>
      </w:divBdr>
    </w:div>
    <w:div w:id="1936207555">
      <w:bodyDiv w:val="1"/>
      <w:marLeft w:val="0"/>
      <w:marRight w:val="0"/>
      <w:marTop w:val="0"/>
      <w:marBottom w:val="0"/>
      <w:divBdr>
        <w:top w:val="none" w:sz="0" w:space="0" w:color="auto"/>
        <w:left w:val="none" w:sz="0" w:space="0" w:color="auto"/>
        <w:bottom w:val="none" w:sz="0" w:space="0" w:color="auto"/>
        <w:right w:val="none" w:sz="0" w:space="0" w:color="auto"/>
      </w:divBdr>
    </w:div>
    <w:div w:id="1936280764">
      <w:bodyDiv w:val="1"/>
      <w:marLeft w:val="0"/>
      <w:marRight w:val="0"/>
      <w:marTop w:val="0"/>
      <w:marBottom w:val="0"/>
      <w:divBdr>
        <w:top w:val="none" w:sz="0" w:space="0" w:color="auto"/>
        <w:left w:val="none" w:sz="0" w:space="0" w:color="auto"/>
        <w:bottom w:val="none" w:sz="0" w:space="0" w:color="auto"/>
        <w:right w:val="none" w:sz="0" w:space="0" w:color="auto"/>
      </w:divBdr>
    </w:div>
    <w:div w:id="1936284542">
      <w:bodyDiv w:val="1"/>
      <w:marLeft w:val="0"/>
      <w:marRight w:val="0"/>
      <w:marTop w:val="0"/>
      <w:marBottom w:val="0"/>
      <w:divBdr>
        <w:top w:val="none" w:sz="0" w:space="0" w:color="auto"/>
        <w:left w:val="none" w:sz="0" w:space="0" w:color="auto"/>
        <w:bottom w:val="none" w:sz="0" w:space="0" w:color="auto"/>
        <w:right w:val="none" w:sz="0" w:space="0" w:color="auto"/>
      </w:divBdr>
    </w:div>
    <w:div w:id="1936328223">
      <w:bodyDiv w:val="1"/>
      <w:marLeft w:val="0"/>
      <w:marRight w:val="0"/>
      <w:marTop w:val="0"/>
      <w:marBottom w:val="0"/>
      <w:divBdr>
        <w:top w:val="none" w:sz="0" w:space="0" w:color="auto"/>
        <w:left w:val="none" w:sz="0" w:space="0" w:color="auto"/>
        <w:bottom w:val="none" w:sz="0" w:space="0" w:color="auto"/>
        <w:right w:val="none" w:sz="0" w:space="0" w:color="auto"/>
      </w:divBdr>
    </w:div>
    <w:div w:id="1936355687">
      <w:bodyDiv w:val="1"/>
      <w:marLeft w:val="0"/>
      <w:marRight w:val="0"/>
      <w:marTop w:val="0"/>
      <w:marBottom w:val="0"/>
      <w:divBdr>
        <w:top w:val="none" w:sz="0" w:space="0" w:color="auto"/>
        <w:left w:val="none" w:sz="0" w:space="0" w:color="auto"/>
        <w:bottom w:val="none" w:sz="0" w:space="0" w:color="auto"/>
        <w:right w:val="none" w:sz="0" w:space="0" w:color="auto"/>
      </w:divBdr>
    </w:div>
    <w:div w:id="1936473700">
      <w:bodyDiv w:val="1"/>
      <w:marLeft w:val="0"/>
      <w:marRight w:val="0"/>
      <w:marTop w:val="0"/>
      <w:marBottom w:val="0"/>
      <w:divBdr>
        <w:top w:val="none" w:sz="0" w:space="0" w:color="auto"/>
        <w:left w:val="none" w:sz="0" w:space="0" w:color="auto"/>
        <w:bottom w:val="none" w:sz="0" w:space="0" w:color="auto"/>
        <w:right w:val="none" w:sz="0" w:space="0" w:color="auto"/>
      </w:divBdr>
    </w:div>
    <w:div w:id="1936475433">
      <w:bodyDiv w:val="1"/>
      <w:marLeft w:val="0"/>
      <w:marRight w:val="0"/>
      <w:marTop w:val="0"/>
      <w:marBottom w:val="0"/>
      <w:divBdr>
        <w:top w:val="none" w:sz="0" w:space="0" w:color="auto"/>
        <w:left w:val="none" w:sz="0" w:space="0" w:color="auto"/>
        <w:bottom w:val="none" w:sz="0" w:space="0" w:color="auto"/>
        <w:right w:val="none" w:sz="0" w:space="0" w:color="auto"/>
      </w:divBdr>
    </w:div>
    <w:div w:id="1936475668">
      <w:bodyDiv w:val="1"/>
      <w:marLeft w:val="0"/>
      <w:marRight w:val="0"/>
      <w:marTop w:val="0"/>
      <w:marBottom w:val="0"/>
      <w:divBdr>
        <w:top w:val="none" w:sz="0" w:space="0" w:color="auto"/>
        <w:left w:val="none" w:sz="0" w:space="0" w:color="auto"/>
        <w:bottom w:val="none" w:sz="0" w:space="0" w:color="auto"/>
        <w:right w:val="none" w:sz="0" w:space="0" w:color="auto"/>
      </w:divBdr>
    </w:div>
    <w:div w:id="1936476658">
      <w:bodyDiv w:val="1"/>
      <w:marLeft w:val="0"/>
      <w:marRight w:val="0"/>
      <w:marTop w:val="0"/>
      <w:marBottom w:val="0"/>
      <w:divBdr>
        <w:top w:val="none" w:sz="0" w:space="0" w:color="auto"/>
        <w:left w:val="none" w:sz="0" w:space="0" w:color="auto"/>
        <w:bottom w:val="none" w:sz="0" w:space="0" w:color="auto"/>
        <w:right w:val="none" w:sz="0" w:space="0" w:color="auto"/>
      </w:divBdr>
    </w:div>
    <w:div w:id="1936666532">
      <w:bodyDiv w:val="1"/>
      <w:marLeft w:val="0"/>
      <w:marRight w:val="0"/>
      <w:marTop w:val="0"/>
      <w:marBottom w:val="0"/>
      <w:divBdr>
        <w:top w:val="none" w:sz="0" w:space="0" w:color="auto"/>
        <w:left w:val="none" w:sz="0" w:space="0" w:color="auto"/>
        <w:bottom w:val="none" w:sz="0" w:space="0" w:color="auto"/>
        <w:right w:val="none" w:sz="0" w:space="0" w:color="auto"/>
      </w:divBdr>
    </w:div>
    <w:div w:id="1936739864">
      <w:bodyDiv w:val="1"/>
      <w:marLeft w:val="0"/>
      <w:marRight w:val="0"/>
      <w:marTop w:val="0"/>
      <w:marBottom w:val="0"/>
      <w:divBdr>
        <w:top w:val="none" w:sz="0" w:space="0" w:color="auto"/>
        <w:left w:val="none" w:sz="0" w:space="0" w:color="auto"/>
        <w:bottom w:val="none" w:sz="0" w:space="0" w:color="auto"/>
        <w:right w:val="none" w:sz="0" w:space="0" w:color="auto"/>
      </w:divBdr>
    </w:div>
    <w:div w:id="1936817548">
      <w:bodyDiv w:val="1"/>
      <w:marLeft w:val="0"/>
      <w:marRight w:val="0"/>
      <w:marTop w:val="0"/>
      <w:marBottom w:val="0"/>
      <w:divBdr>
        <w:top w:val="none" w:sz="0" w:space="0" w:color="auto"/>
        <w:left w:val="none" w:sz="0" w:space="0" w:color="auto"/>
        <w:bottom w:val="none" w:sz="0" w:space="0" w:color="auto"/>
        <w:right w:val="none" w:sz="0" w:space="0" w:color="auto"/>
      </w:divBdr>
    </w:div>
    <w:div w:id="1936865178">
      <w:bodyDiv w:val="1"/>
      <w:marLeft w:val="0"/>
      <w:marRight w:val="0"/>
      <w:marTop w:val="0"/>
      <w:marBottom w:val="0"/>
      <w:divBdr>
        <w:top w:val="none" w:sz="0" w:space="0" w:color="auto"/>
        <w:left w:val="none" w:sz="0" w:space="0" w:color="auto"/>
        <w:bottom w:val="none" w:sz="0" w:space="0" w:color="auto"/>
        <w:right w:val="none" w:sz="0" w:space="0" w:color="auto"/>
      </w:divBdr>
    </w:div>
    <w:div w:id="1936938915">
      <w:bodyDiv w:val="1"/>
      <w:marLeft w:val="0"/>
      <w:marRight w:val="0"/>
      <w:marTop w:val="0"/>
      <w:marBottom w:val="0"/>
      <w:divBdr>
        <w:top w:val="none" w:sz="0" w:space="0" w:color="auto"/>
        <w:left w:val="none" w:sz="0" w:space="0" w:color="auto"/>
        <w:bottom w:val="none" w:sz="0" w:space="0" w:color="auto"/>
        <w:right w:val="none" w:sz="0" w:space="0" w:color="auto"/>
      </w:divBdr>
    </w:div>
    <w:div w:id="1937205624">
      <w:bodyDiv w:val="1"/>
      <w:marLeft w:val="0"/>
      <w:marRight w:val="0"/>
      <w:marTop w:val="0"/>
      <w:marBottom w:val="0"/>
      <w:divBdr>
        <w:top w:val="none" w:sz="0" w:space="0" w:color="auto"/>
        <w:left w:val="none" w:sz="0" w:space="0" w:color="auto"/>
        <w:bottom w:val="none" w:sz="0" w:space="0" w:color="auto"/>
        <w:right w:val="none" w:sz="0" w:space="0" w:color="auto"/>
      </w:divBdr>
    </w:div>
    <w:div w:id="1937207123">
      <w:bodyDiv w:val="1"/>
      <w:marLeft w:val="0"/>
      <w:marRight w:val="0"/>
      <w:marTop w:val="0"/>
      <w:marBottom w:val="0"/>
      <w:divBdr>
        <w:top w:val="none" w:sz="0" w:space="0" w:color="auto"/>
        <w:left w:val="none" w:sz="0" w:space="0" w:color="auto"/>
        <w:bottom w:val="none" w:sz="0" w:space="0" w:color="auto"/>
        <w:right w:val="none" w:sz="0" w:space="0" w:color="auto"/>
      </w:divBdr>
    </w:div>
    <w:div w:id="1937323058">
      <w:bodyDiv w:val="1"/>
      <w:marLeft w:val="0"/>
      <w:marRight w:val="0"/>
      <w:marTop w:val="0"/>
      <w:marBottom w:val="0"/>
      <w:divBdr>
        <w:top w:val="none" w:sz="0" w:space="0" w:color="auto"/>
        <w:left w:val="none" w:sz="0" w:space="0" w:color="auto"/>
        <w:bottom w:val="none" w:sz="0" w:space="0" w:color="auto"/>
        <w:right w:val="none" w:sz="0" w:space="0" w:color="auto"/>
      </w:divBdr>
    </w:div>
    <w:div w:id="1937326641">
      <w:bodyDiv w:val="1"/>
      <w:marLeft w:val="0"/>
      <w:marRight w:val="0"/>
      <w:marTop w:val="0"/>
      <w:marBottom w:val="0"/>
      <w:divBdr>
        <w:top w:val="none" w:sz="0" w:space="0" w:color="auto"/>
        <w:left w:val="none" w:sz="0" w:space="0" w:color="auto"/>
        <w:bottom w:val="none" w:sz="0" w:space="0" w:color="auto"/>
        <w:right w:val="none" w:sz="0" w:space="0" w:color="auto"/>
      </w:divBdr>
    </w:div>
    <w:div w:id="1937328592">
      <w:bodyDiv w:val="1"/>
      <w:marLeft w:val="0"/>
      <w:marRight w:val="0"/>
      <w:marTop w:val="0"/>
      <w:marBottom w:val="0"/>
      <w:divBdr>
        <w:top w:val="none" w:sz="0" w:space="0" w:color="auto"/>
        <w:left w:val="none" w:sz="0" w:space="0" w:color="auto"/>
        <w:bottom w:val="none" w:sz="0" w:space="0" w:color="auto"/>
        <w:right w:val="none" w:sz="0" w:space="0" w:color="auto"/>
      </w:divBdr>
    </w:div>
    <w:div w:id="1937400062">
      <w:bodyDiv w:val="1"/>
      <w:marLeft w:val="0"/>
      <w:marRight w:val="0"/>
      <w:marTop w:val="0"/>
      <w:marBottom w:val="0"/>
      <w:divBdr>
        <w:top w:val="none" w:sz="0" w:space="0" w:color="auto"/>
        <w:left w:val="none" w:sz="0" w:space="0" w:color="auto"/>
        <w:bottom w:val="none" w:sz="0" w:space="0" w:color="auto"/>
        <w:right w:val="none" w:sz="0" w:space="0" w:color="auto"/>
      </w:divBdr>
    </w:div>
    <w:div w:id="1937402150">
      <w:bodyDiv w:val="1"/>
      <w:marLeft w:val="0"/>
      <w:marRight w:val="0"/>
      <w:marTop w:val="0"/>
      <w:marBottom w:val="0"/>
      <w:divBdr>
        <w:top w:val="none" w:sz="0" w:space="0" w:color="auto"/>
        <w:left w:val="none" w:sz="0" w:space="0" w:color="auto"/>
        <w:bottom w:val="none" w:sz="0" w:space="0" w:color="auto"/>
        <w:right w:val="none" w:sz="0" w:space="0" w:color="auto"/>
      </w:divBdr>
    </w:div>
    <w:div w:id="1937402439">
      <w:bodyDiv w:val="1"/>
      <w:marLeft w:val="0"/>
      <w:marRight w:val="0"/>
      <w:marTop w:val="0"/>
      <w:marBottom w:val="0"/>
      <w:divBdr>
        <w:top w:val="none" w:sz="0" w:space="0" w:color="auto"/>
        <w:left w:val="none" w:sz="0" w:space="0" w:color="auto"/>
        <w:bottom w:val="none" w:sz="0" w:space="0" w:color="auto"/>
        <w:right w:val="none" w:sz="0" w:space="0" w:color="auto"/>
      </w:divBdr>
    </w:div>
    <w:div w:id="1937519051">
      <w:bodyDiv w:val="1"/>
      <w:marLeft w:val="0"/>
      <w:marRight w:val="0"/>
      <w:marTop w:val="0"/>
      <w:marBottom w:val="0"/>
      <w:divBdr>
        <w:top w:val="none" w:sz="0" w:space="0" w:color="auto"/>
        <w:left w:val="none" w:sz="0" w:space="0" w:color="auto"/>
        <w:bottom w:val="none" w:sz="0" w:space="0" w:color="auto"/>
        <w:right w:val="none" w:sz="0" w:space="0" w:color="auto"/>
      </w:divBdr>
    </w:div>
    <w:div w:id="1937521090">
      <w:bodyDiv w:val="1"/>
      <w:marLeft w:val="0"/>
      <w:marRight w:val="0"/>
      <w:marTop w:val="0"/>
      <w:marBottom w:val="0"/>
      <w:divBdr>
        <w:top w:val="none" w:sz="0" w:space="0" w:color="auto"/>
        <w:left w:val="none" w:sz="0" w:space="0" w:color="auto"/>
        <w:bottom w:val="none" w:sz="0" w:space="0" w:color="auto"/>
        <w:right w:val="none" w:sz="0" w:space="0" w:color="auto"/>
      </w:divBdr>
    </w:div>
    <w:div w:id="1937592327">
      <w:bodyDiv w:val="1"/>
      <w:marLeft w:val="0"/>
      <w:marRight w:val="0"/>
      <w:marTop w:val="0"/>
      <w:marBottom w:val="0"/>
      <w:divBdr>
        <w:top w:val="none" w:sz="0" w:space="0" w:color="auto"/>
        <w:left w:val="none" w:sz="0" w:space="0" w:color="auto"/>
        <w:bottom w:val="none" w:sz="0" w:space="0" w:color="auto"/>
        <w:right w:val="none" w:sz="0" w:space="0" w:color="auto"/>
      </w:divBdr>
    </w:div>
    <w:div w:id="1937666102">
      <w:bodyDiv w:val="1"/>
      <w:marLeft w:val="0"/>
      <w:marRight w:val="0"/>
      <w:marTop w:val="0"/>
      <w:marBottom w:val="0"/>
      <w:divBdr>
        <w:top w:val="none" w:sz="0" w:space="0" w:color="auto"/>
        <w:left w:val="none" w:sz="0" w:space="0" w:color="auto"/>
        <w:bottom w:val="none" w:sz="0" w:space="0" w:color="auto"/>
        <w:right w:val="none" w:sz="0" w:space="0" w:color="auto"/>
      </w:divBdr>
    </w:div>
    <w:div w:id="1937710131">
      <w:bodyDiv w:val="1"/>
      <w:marLeft w:val="0"/>
      <w:marRight w:val="0"/>
      <w:marTop w:val="0"/>
      <w:marBottom w:val="0"/>
      <w:divBdr>
        <w:top w:val="none" w:sz="0" w:space="0" w:color="auto"/>
        <w:left w:val="none" w:sz="0" w:space="0" w:color="auto"/>
        <w:bottom w:val="none" w:sz="0" w:space="0" w:color="auto"/>
        <w:right w:val="none" w:sz="0" w:space="0" w:color="auto"/>
      </w:divBdr>
    </w:div>
    <w:div w:id="1937787775">
      <w:bodyDiv w:val="1"/>
      <w:marLeft w:val="0"/>
      <w:marRight w:val="0"/>
      <w:marTop w:val="0"/>
      <w:marBottom w:val="0"/>
      <w:divBdr>
        <w:top w:val="none" w:sz="0" w:space="0" w:color="auto"/>
        <w:left w:val="none" w:sz="0" w:space="0" w:color="auto"/>
        <w:bottom w:val="none" w:sz="0" w:space="0" w:color="auto"/>
        <w:right w:val="none" w:sz="0" w:space="0" w:color="auto"/>
      </w:divBdr>
    </w:div>
    <w:div w:id="1937902931">
      <w:bodyDiv w:val="1"/>
      <w:marLeft w:val="0"/>
      <w:marRight w:val="0"/>
      <w:marTop w:val="0"/>
      <w:marBottom w:val="0"/>
      <w:divBdr>
        <w:top w:val="none" w:sz="0" w:space="0" w:color="auto"/>
        <w:left w:val="none" w:sz="0" w:space="0" w:color="auto"/>
        <w:bottom w:val="none" w:sz="0" w:space="0" w:color="auto"/>
        <w:right w:val="none" w:sz="0" w:space="0" w:color="auto"/>
      </w:divBdr>
    </w:div>
    <w:div w:id="1937906220">
      <w:bodyDiv w:val="1"/>
      <w:marLeft w:val="0"/>
      <w:marRight w:val="0"/>
      <w:marTop w:val="0"/>
      <w:marBottom w:val="0"/>
      <w:divBdr>
        <w:top w:val="none" w:sz="0" w:space="0" w:color="auto"/>
        <w:left w:val="none" w:sz="0" w:space="0" w:color="auto"/>
        <w:bottom w:val="none" w:sz="0" w:space="0" w:color="auto"/>
        <w:right w:val="none" w:sz="0" w:space="0" w:color="auto"/>
      </w:divBdr>
    </w:div>
    <w:div w:id="1938101844">
      <w:bodyDiv w:val="1"/>
      <w:marLeft w:val="0"/>
      <w:marRight w:val="0"/>
      <w:marTop w:val="0"/>
      <w:marBottom w:val="0"/>
      <w:divBdr>
        <w:top w:val="none" w:sz="0" w:space="0" w:color="auto"/>
        <w:left w:val="none" w:sz="0" w:space="0" w:color="auto"/>
        <w:bottom w:val="none" w:sz="0" w:space="0" w:color="auto"/>
        <w:right w:val="none" w:sz="0" w:space="0" w:color="auto"/>
      </w:divBdr>
    </w:div>
    <w:div w:id="1938102172">
      <w:bodyDiv w:val="1"/>
      <w:marLeft w:val="0"/>
      <w:marRight w:val="0"/>
      <w:marTop w:val="0"/>
      <w:marBottom w:val="0"/>
      <w:divBdr>
        <w:top w:val="none" w:sz="0" w:space="0" w:color="auto"/>
        <w:left w:val="none" w:sz="0" w:space="0" w:color="auto"/>
        <w:bottom w:val="none" w:sz="0" w:space="0" w:color="auto"/>
        <w:right w:val="none" w:sz="0" w:space="0" w:color="auto"/>
      </w:divBdr>
    </w:div>
    <w:div w:id="1938177148">
      <w:bodyDiv w:val="1"/>
      <w:marLeft w:val="0"/>
      <w:marRight w:val="0"/>
      <w:marTop w:val="0"/>
      <w:marBottom w:val="0"/>
      <w:divBdr>
        <w:top w:val="none" w:sz="0" w:space="0" w:color="auto"/>
        <w:left w:val="none" w:sz="0" w:space="0" w:color="auto"/>
        <w:bottom w:val="none" w:sz="0" w:space="0" w:color="auto"/>
        <w:right w:val="none" w:sz="0" w:space="0" w:color="auto"/>
      </w:divBdr>
    </w:div>
    <w:div w:id="1938244123">
      <w:bodyDiv w:val="1"/>
      <w:marLeft w:val="0"/>
      <w:marRight w:val="0"/>
      <w:marTop w:val="0"/>
      <w:marBottom w:val="0"/>
      <w:divBdr>
        <w:top w:val="none" w:sz="0" w:space="0" w:color="auto"/>
        <w:left w:val="none" w:sz="0" w:space="0" w:color="auto"/>
        <w:bottom w:val="none" w:sz="0" w:space="0" w:color="auto"/>
        <w:right w:val="none" w:sz="0" w:space="0" w:color="auto"/>
      </w:divBdr>
    </w:div>
    <w:div w:id="1938362412">
      <w:bodyDiv w:val="1"/>
      <w:marLeft w:val="0"/>
      <w:marRight w:val="0"/>
      <w:marTop w:val="0"/>
      <w:marBottom w:val="0"/>
      <w:divBdr>
        <w:top w:val="none" w:sz="0" w:space="0" w:color="auto"/>
        <w:left w:val="none" w:sz="0" w:space="0" w:color="auto"/>
        <w:bottom w:val="none" w:sz="0" w:space="0" w:color="auto"/>
        <w:right w:val="none" w:sz="0" w:space="0" w:color="auto"/>
      </w:divBdr>
    </w:div>
    <w:div w:id="1938366061">
      <w:bodyDiv w:val="1"/>
      <w:marLeft w:val="0"/>
      <w:marRight w:val="0"/>
      <w:marTop w:val="0"/>
      <w:marBottom w:val="0"/>
      <w:divBdr>
        <w:top w:val="none" w:sz="0" w:space="0" w:color="auto"/>
        <w:left w:val="none" w:sz="0" w:space="0" w:color="auto"/>
        <w:bottom w:val="none" w:sz="0" w:space="0" w:color="auto"/>
        <w:right w:val="none" w:sz="0" w:space="0" w:color="auto"/>
      </w:divBdr>
    </w:div>
    <w:div w:id="1938369631">
      <w:bodyDiv w:val="1"/>
      <w:marLeft w:val="0"/>
      <w:marRight w:val="0"/>
      <w:marTop w:val="0"/>
      <w:marBottom w:val="0"/>
      <w:divBdr>
        <w:top w:val="none" w:sz="0" w:space="0" w:color="auto"/>
        <w:left w:val="none" w:sz="0" w:space="0" w:color="auto"/>
        <w:bottom w:val="none" w:sz="0" w:space="0" w:color="auto"/>
        <w:right w:val="none" w:sz="0" w:space="0" w:color="auto"/>
      </w:divBdr>
    </w:div>
    <w:div w:id="1938444071">
      <w:bodyDiv w:val="1"/>
      <w:marLeft w:val="0"/>
      <w:marRight w:val="0"/>
      <w:marTop w:val="0"/>
      <w:marBottom w:val="0"/>
      <w:divBdr>
        <w:top w:val="none" w:sz="0" w:space="0" w:color="auto"/>
        <w:left w:val="none" w:sz="0" w:space="0" w:color="auto"/>
        <w:bottom w:val="none" w:sz="0" w:space="0" w:color="auto"/>
        <w:right w:val="none" w:sz="0" w:space="0" w:color="auto"/>
      </w:divBdr>
    </w:div>
    <w:div w:id="1938634910">
      <w:bodyDiv w:val="1"/>
      <w:marLeft w:val="0"/>
      <w:marRight w:val="0"/>
      <w:marTop w:val="0"/>
      <w:marBottom w:val="0"/>
      <w:divBdr>
        <w:top w:val="none" w:sz="0" w:space="0" w:color="auto"/>
        <w:left w:val="none" w:sz="0" w:space="0" w:color="auto"/>
        <w:bottom w:val="none" w:sz="0" w:space="0" w:color="auto"/>
        <w:right w:val="none" w:sz="0" w:space="0" w:color="auto"/>
      </w:divBdr>
    </w:div>
    <w:div w:id="1938753920">
      <w:bodyDiv w:val="1"/>
      <w:marLeft w:val="0"/>
      <w:marRight w:val="0"/>
      <w:marTop w:val="0"/>
      <w:marBottom w:val="0"/>
      <w:divBdr>
        <w:top w:val="none" w:sz="0" w:space="0" w:color="auto"/>
        <w:left w:val="none" w:sz="0" w:space="0" w:color="auto"/>
        <w:bottom w:val="none" w:sz="0" w:space="0" w:color="auto"/>
        <w:right w:val="none" w:sz="0" w:space="0" w:color="auto"/>
      </w:divBdr>
    </w:div>
    <w:div w:id="1938756567">
      <w:bodyDiv w:val="1"/>
      <w:marLeft w:val="0"/>
      <w:marRight w:val="0"/>
      <w:marTop w:val="0"/>
      <w:marBottom w:val="0"/>
      <w:divBdr>
        <w:top w:val="none" w:sz="0" w:space="0" w:color="auto"/>
        <w:left w:val="none" w:sz="0" w:space="0" w:color="auto"/>
        <w:bottom w:val="none" w:sz="0" w:space="0" w:color="auto"/>
        <w:right w:val="none" w:sz="0" w:space="0" w:color="auto"/>
      </w:divBdr>
    </w:div>
    <w:div w:id="1938825848">
      <w:bodyDiv w:val="1"/>
      <w:marLeft w:val="0"/>
      <w:marRight w:val="0"/>
      <w:marTop w:val="0"/>
      <w:marBottom w:val="0"/>
      <w:divBdr>
        <w:top w:val="none" w:sz="0" w:space="0" w:color="auto"/>
        <w:left w:val="none" w:sz="0" w:space="0" w:color="auto"/>
        <w:bottom w:val="none" w:sz="0" w:space="0" w:color="auto"/>
        <w:right w:val="none" w:sz="0" w:space="0" w:color="auto"/>
      </w:divBdr>
    </w:div>
    <w:div w:id="1938899598">
      <w:bodyDiv w:val="1"/>
      <w:marLeft w:val="0"/>
      <w:marRight w:val="0"/>
      <w:marTop w:val="0"/>
      <w:marBottom w:val="0"/>
      <w:divBdr>
        <w:top w:val="none" w:sz="0" w:space="0" w:color="auto"/>
        <w:left w:val="none" w:sz="0" w:space="0" w:color="auto"/>
        <w:bottom w:val="none" w:sz="0" w:space="0" w:color="auto"/>
        <w:right w:val="none" w:sz="0" w:space="0" w:color="auto"/>
      </w:divBdr>
    </w:div>
    <w:div w:id="1939024608">
      <w:bodyDiv w:val="1"/>
      <w:marLeft w:val="0"/>
      <w:marRight w:val="0"/>
      <w:marTop w:val="0"/>
      <w:marBottom w:val="0"/>
      <w:divBdr>
        <w:top w:val="none" w:sz="0" w:space="0" w:color="auto"/>
        <w:left w:val="none" w:sz="0" w:space="0" w:color="auto"/>
        <w:bottom w:val="none" w:sz="0" w:space="0" w:color="auto"/>
        <w:right w:val="none" w:sz="0" w:space="0" w:color="auto"/>
      </w:divBdr>
    </w:div>
    <w:div w:id="1939095138">
      <w:bodyDiv w:val="1"/>
      <w:marLeft w:val="0"/>
      <w:marRight w:val="0"/>
      <w:marTop w:val="0"/>
      <w:marBottom w:val="0"/>
      <w:divBdr>
        <w:top w:val="none" w:sz="0" w:space="0" w:color="auto"/>
        <w:left w:val="none" w:sz="0" w:space="0" w:color="auto"/>
        <w:bottom w:val="none" w:sz="0" w:space="0" w:color="auto"/>
        <w:right w:val="none" w:sz="0" w:space="0" w:color="auto"/>
      </w:divBdr>
    </w:div>
    <w:div w:id="1939095294">
      <w:bodyDiv w:val="1"/>
      <w:marLeft w:val="0"/>
      <w:marRight w:val="0"/>
      <w:marTop w:val="0"/>
      <w:marBottom w:val="0"/>
      <w:divBdr>
        <w:top w:val="none" w:sz="0" w:space="0" w:color="auto"/>
        <w:left w:val="none" w:sz="0" w:space="0" w:color="auto"/>
        <w:bottom w:val="none" w:sz="0" w:space="0" w:color="auto"/>
        <w:right w:val="none" w:sz="0" w:space="0" w:color="auto"/>
      </w:divBdr>
    </w:div>
    <w:div w:id="1939170078">
      <w:bodyDiv w:val="1"/>
      <w:marLeft w:val="0"/>
      <w:marRight w:val="0"/>
      <w:marTop w:val="0"/>
      <w:marBottom w:val="0"/>
      <w:divBdr>
        <w:top w:val="none" w:sz="0" w:space="0" w:color="auto"/>
        <w:left w:val="none" w:sz="0" w:space="0" w:color="auto"/>
        <w:bottom w:val="none" w:sz="0" w:space="0" w:color="auto"/>
        <w:right w:val="none" w:sz="0" w:space="0" w:color="auto"/>
      </w:divBdr>
    </w:div>
    <w:div w:id="1939213603">
      <w:bodyDiv w:val="1"/>
      <w:marLeft w:val="0"/>
      <w:marRight w:val="0"/>
      <w:marTop w:val="0"/>
      <w:marBottom w:val="0"/>
      <w:divBdr>
        <w:top w:val="none" w:sz="0" w:space="0" w:color="auto"/>
        <w:left w:val="none" w:sz="0" w:space="0" w:color="auto"/>
        <w:bottom w:val="none" w:sz="0" w:space="0" w:color="auto"/>
        <w:right w:val="none" w:sz="0" w:space="0" w:color="auto"/>
      </w:divBdr>
    </w:div>
    <w:div w:id="1939214756">
      <w:bodyDiv w:val="1"/>
      <w:marLeft w:val="0"/>
      <w:marRight w:val="0"/>
      <w:marTop w:val="0"/>
      <w:marBottom w:val="0"/>
      <w:divBdr>
        <w:top w:val="none" w:sz="0" w:space="0" w:color="auto"/>
        <w:left w:val="none" w:sz="0" w:space="0" w:color="auto"/>
        <w:bottom w:val="none" w:sz="0" w:space="0" w:color="auto"/>
        <w:right w:val="none" w:sz="0" w:space="0" w:color="auto"/>
      </w:divBdr>
    </w:div>
    <w:div w:id="1939287455">
      <w:bodyDiv w:val="1"/>
      <w:marLeft w:val="0"/>
      <w:marRight w:val="0"/>
      <w:marTop w:val="0"/>
      <w:marBottom w:val="0"/>
      <w:divBdr>
        <w:top w:val="none" w:sz="0" w:space="0" w:color="auto"/>
        <w:left w:val="none" w:sz="0" w:space="0" w:color="auto"/>
        <w:bottom w:val="none" w:sz="0" w:space="0" w:color="auto"/>
        <w:right w:val="none" w:sz="0" w:space="0" w:color="auto"/>
      </w:divBdr>
    </w:div>
    <w:div w:id="1939367230">
      <w:bodyDiv w:val="1"/>
      <w:marLeft w:val="0"/>
      <w:marRight w:val="0"/>
      <w:marTop w:val="0"/>
      <w:marBottom w:val="0"/>
      <w:divBdr>
        <w:top w:val="none" w:sz="0" w:space="0" w:color="auto"/>
        <w:left w:val="none" w:sz="0" w:space="0" w:color="auto"/>
        <w:bottom w:val="none" w:sz="0" w:space="0" w:color="auto"/>
        <w:right w:val="none" w:sz="0" w:space="0" w:color="auto"/>
      </w:divBdr>
    </w:div>
    <w:div w:id="1939487754">
      <w:bodyDiv w:val="1"/>
      <w:marLeft w:val="0"/>
      <w:marRight w:val="0"/>
      <w:marTop w:val="0"/>
      <w:marBottom w:val="0"/>
      <w:divBdr>
        <w:top w:val="none" w:sz="0" w:space="0" w:color="auto"/>
        <w:left w:val="none" w:sz="0" w:space="0" w:color="auto"/>
        <w:bottom w:val="none" w:sz="0" w:space="0" w:color="auto"/>
        <w:right w:val="none" w:sz="0" w:space="0" w:color="auto"/>
      </w:divBdr>
    </w:div>
    <w:div w:id="1939560100">
      <w:bodyDiv w:val="1"/>
      <w:marLeft w:val="0"/>
      <w:marRight w:val="0"/>
      <w:marTop w:val="0"/>
      <w:marBottom w:val="0"/>
      <w:divBdr>
        <w:top w:val="none" w:sz="0" w:space="0" w:color="auto"/>
        <w:left w:val="none" w:sz="0" w:space="0" w:color="auto"/>
        <w:bottom w:val="none" w:sz="0" w:space="0" w:color="auto"/>
        <w:right w:val="none" w:sz="0" w:space="0" w:color="auto"/>
      </w:divBdr>
    </w:div>
    <w:div w:id="1939560896">
      <w:bodyDiv w:val="1"/>
      <w:marLeft w:val="0"/>
      <w:marRight w:val="0"/>
      <w:marTop w:val="0"/>
      <w:marBottom w:val="0"/>
      <w:divBdr>
        <w:top w:val="none" w:sz="0" w:space="0" w:color="auto"/>
        <w:left w:val="none" w:sz="0" w:space="0" w:color="auto"/>
        <w:bottom w:val="none" w:sz="0" w:space="0" w:color="auto"/>
        <w:right w:val="none" w:sz="0" w:space="0" w:color="auto"/>
      </w:divBdr>
    </w:div>
    <w:div w:id="1939562519">
      <w:bodyDiv w:val="1"/>
      <w:marLeft w:val="0"/>
      <w:marRight w:val="0"/>
      <w:marTop w:val="0"/>
      <w:marBottom w:val="0"/>
      <w:divBdr>
        <w:top w:val="none" w:sz="0" w:space="0" w:color="auto"/>
        <w:left w:val="none" w:sz="0" w:space="0" w:color="auto"/>
        <w:bottom w:val="none" w:sz="0" w:space="0" w:color="auto"/>
        <w:right w:val="none" w:sz="0" w:space="0" w:color="auto"/>
      </w:divBdr>
    </w:div>
    <w:div w:id="1939633958">
      <w:bodyDiv w:val="1"/>
      <w:marLeft w:val="0"/>
      <w:marRight w:val="0"/>
      <w:marTop w:val="0"/>
      <w:marBottom w:val="0"/>
      <w:divBdr>
        <w:top w:val="none" w:sz="0" w:space="0" w:color="auto"/>
        <w:left w:val="none" w:sz="0" w:space="0" w:color="auto"/>
        <w:bottom w:val="none" w:sz="0" w:space="0" w:color="auto"/>
        <w:right w:val="none" w:sz="0" w:space="0" w:color="auto"/>
      </w:divBdr>
    </w:div>
    <w:div w:id="1939756582">
      <w:bodyDiv w:val="1"/>
      <w:marLeft w:val="0"/>
      <w:marRight w:val="0"/>
      <w:marTop w:val="0"/>
      <w:marBottom w:val="0"/>
      <w:divBdr>
        <w:top w:val="none" w:sz="0" w:space="0" w:color="auto"/>
        <w:left w:val="none" w:sz="0" w:space="0" w:color="auto"/>
        <w:bottom w:val="none" w:sz="0" w:space="0" w:color="auto"/>
        <w:right w:val="none" w:sz="0" w:space="0" w:color="auto"/>
      </w:divBdr>
    </w:div>
    <w:div w:id="1939827365">
      <w:bodyDiv w:val="1"/>
      <w:marLeft w:val="0"/>
      <w:marRight w:val="0"/>
      <w:marTop w:val="0"/>
      <w:marBottom w:val="0"/>
      <w:divBdr>
        <w:top w:val="none" w:sz="0" w:space="0" w:color="auto"/>
        <w:left w:val="none" w:sz="0" w:space="0" w:color="auto"/>
        <w:bottom w:val="none" w:sz="0" w:space="0" w:color="auto"/>
        <w:right w:val="none" w:sz="0" w:space="0" w:color="auto"/>
      </w:divBdr>
    </w:div>
    <w:div w:id="1939827490">
      <w:bodyDiv w:val="1"/>
      <w:marLeft w:val="0"/>
      <w:marRight w:val="0"/>
      <w:marTop w:val="0"/>
      <w:marBottom w:val="0"/>
      <w:divBdr>
        <w:top w:val="none" w:sz="0" w:space="0" w:color="auto"/>
        <w:left w:val="none" w:sz="0" w:space="0" w:color="auto"/>
        <w:bottom w:val="none" w:sz="0" w:space="0" w:color="auto"/>
        <w:right w:val="none" w:sz="0" w:space="0" w:color="auto"/>
      </w:divBdr>
    </w:div>
    <w:div w:id="1939873374">
      <w:bodyDiv w:val="1"/>
      <w:marLeft w:val="0"/>
      <w:marRight w:val="0"/>
      <w:marTop w:val="0"/>
      <w:marBottom w:val="0"/>
      <w:divBdr>
        <w:top w:val="none" w:sz="0" w:space="0" w:color="auto"/>
        <w:left w:val="none" w:sz="0" w:space="0" w:color="auto"/>
        <w:bottom w:val="none" w:sz="0" w:space="0" w:color="auto"/>
        <w:right w:val="none" w:sz="0" w:space="0" w:color="auto"/>
      </w:divBdr>
    </w:div>
    <w:div w:id="1939941214">
      <w:bodyDiv w:val="1"/>
      <w:marLeft w:val="0"/>
      <w:marRight w:val="0"/>
      <w:marTop w:val="0"/>
      <w:marBottom w:val="0"/>
      <w:divBdr>
        <w:top w:val="none" w:sz="0" w:space="0" w:color="auto"/>
        <w:left w:val="none" w:sz="0" w:space="0" w:color="auto"/>
        <w:bottom w:val="none" w:sz="0" w:space="0" w:color="auto"/>
        <w:right w:val="none" w:sz="0" w:space="0" w:color="auto"/>
      </w:divBdr>
    </w:div>
    <w:div w:id="1939950115">
      <w:bodyDiv w:val="1"/>
      <w:marLeft w:val="0"/>
      <w:marRight w:val="0"/>
      <w:marTop w:val="0"/>
      <w:marBottom w:val="0"/>
      <w:divBdr>
        <w:top w:val="none" w:sz="0" w:space="0" w:color="auto"/>
        <w:left w:val="none" w:sz="0" w:space="0" w:color="auto"/>
        <w:bottom w:val="none" w:sz="0" w:space="0" w:color="auto"/>
        <w:right w:val="none" w:sz="0" w:space="0" w:color="auto"/>
      </w:divBdr>
    </w:div>
    <w:div w:id="1940023059">
      <w:bodyDiv w:val="1"/>
      <w:marLeft w:val="0"/>
      <w:marRight w:val="0"/>
      <w:marTop w:val="0"/>
      <w:marBottom w:val="0"/>
      <w:divBdr>
        <w:top w:val="none" w:sz="0" w:space="0" w:color="auto"/>
        <w:left w:val="none" w:sz="0" w:space="0" w:color="auto"/>
        <w:bottom w:val="none" w:sz="0" w:space="0" w:color="auto"/>
        <w:right w:val="none" w:sz="0" w:space="0" w:color="auto"/>
      </w:divBdr>
    </w:div>
    <w:div w:id="1940094884">
      <w:bodyDiv w:val="1"/>
      <w:marLeft w:val="0"/>
      <w:marRight w:val="0"/>
      <w:marTop w:val="0"/>
      <w:marBottom w:val="0"/>
      <w:divBdr>
        <w:top w:val="none" w:sz="0" w:space="0" w:color="auto"/>
        <w:left w:val="none" w:sz="0" w:space="0" w:color="auto"/>
        <w:bottom w:val="none" w:sz="0" w:space="0" w:color="auto"/>
        <w:right w:val="none" w:sz="0" w:space="0" w:color="auto"/>
      </w:divBdr>
    </w:div>
    <w:div w:id="1940288501">
      <w:bodyDiv w:val="1"/>
      <w:marLeft w:val="0"/>
      <w:marRight w:val="0"/>
      <w:marTop w:val="0"/>
      <w:marBottom w:val="0"/>
      <w:divBdr>
        <w:top w:val="none" w:sz="0" w:space="0" w:color="auto"/>
        <w:left w:val="none" w:sz="0" w:space="0" w:color="auto"/>
        <w:bottom w:val="none" w:sz="0" w:space="0" w:color="auto"/>
        <w:right w:val="none" w:sz="0" w:space="0" w:color="auto"/>
      </w:divBdr>
    </w:div>
    <w:div w:id="1940289275">
      <w:bodyDiv w:val="1"/>
      <w:marLeft w:val="0"/>
      <w:marRight w:val="0"/>
      <w:marTop w:val="0"/>
      <w:marBottom w:val="0"/>
      <w:divBdr>
        <w:top w:val="none" w:sz="0" w:space="0" w:color="auto"/>
        <w:left w:val="none" w:sz="0" w:space="0" w:color="auto"/>
        <w:bottom w:val="none" w:sz="0" w:space="0" w:color="auto"/>
        <w:right w:val="none" w:sz="0" w:space="0" w:color="auto"/>
      </w:divBdr>
    </w:div>
    <w:div w:id="1940482778">
      <w:bodyDiv w:val="1"/>
      <w:marLeft w:val="0"/>
      <w:marRight w:val="0"/>
      <w:marTop w:val="0"/>
      <w:marBottom w:val="0"/>
      <w:divBdr>
        <w:top w:val="none" w:sz="0" w:space="0" w:color="auto"/>
        <w:left w:val="none" w:sz="0" w:space="0" w:color="auto"/>
        <w:bottom w:val="none" w:sz="0" w:space="0" w:color="auto"/>
        <w:right w:val="none" w:sz="0" w:space="0" w:color="auto"/>
      </w:divBdr>
    </w:div>
    <w:div w:id="1940486151">
      <w:bodyDiv w:val="1"/>
      <w:marLeft w:val="0"/>
      <w:marRight w:val="0"/>
      <w:marTop w:val="0"/>
      <w:marBottom w:val="0"/>
      <w:divBdr>
        <w:top w:val="none" w:sz="0" w:space="0" w:color="auto"/>
        <w:left w:val="none" w:sz="0" w:space="0" w:color="auto"/>
        <w:bottom w:val="none" w:sz="0" w:space="0" w:color="auto"/>
        <w:right w:val="none" w:sz="0" w:space="0" w:color="auto"/>
      </w:divBdr>
    </w:div>
    <w:div w:id="1940528800">
      <w:bodyDiv w:val="1"/>
      <w:marLeft w:val="0"/>
      <w:marRight w:val="0"/>
      <w:marTop w:val="0"/>
      <w:marBottom w:val="0"/>
      <w:divBdr>
        <w:top w:val="none" w:sz="0" w:space="0" w:color="auto"/>
        <w:left w:val="none" w:sz="0" w:space="0" w:color="auto"/>
        <w:bottom w:val="none" w:sz="0" w:space="0" w:color="auto"/>
        <w:right w:val="none" w:sz="0" w:space="0" w:color="auto"/>
      </w:divBdr>
    </w:div>
    <w:div w:id="1940604241">
      <w:bodyDiv w:val="1"/>
      <w:marLeft w:val="0"/>
      <w:marRight w:val="0"/>
      <w:marTop w:val="0"/>
      <w:marBottom w:val="0"/>
      <w:divBdr>
        <w:top w:val="none" w:sz="0" w:space="0" w:color="auto"/>
        <w:left w:val="none" w:sz="0" w:space="0" w:color="auto"/>
        <w:bottom w:val="none" w:sz="0" w:space="0" w:color="auto"/>
        <w:right w:val="none" w:sz="0" w:space="0" w:color="auto"/>
      </w:divBdr>
    </w:div>
    <w:div w:id="1940720428">
      <w:bodyDiv w:val="1"/>
      <w:marLeft w:val="0"/>
      <w:marRight w:val="0"/>
      <w:marTop w:val="0"/>
      <w:marBottom w:val="0"/>
      <w:divBdr>
        <w:top w:val="none" w:sz="0" w:space="0" w:color="auto"/>
        <w:left w:val="none" w:sz="0" w:space="0" w:color="auto"/>
        <w:bottom w:val="none" w:sz="0" w:space="0" w:color="auto"/>
        <w:right w:val="none" w:sz="0" w:space="0" w:color="auto"/>
      </w:divBdr>
    </w:div>
    <w:div w:id="1940793218">
      <w:bodyDiv w:val="1"/>
      <w:marLeft w:val="0"/>
      <w:marRight w:val="0"/>
      <w:marTop w:val="0"/>
      <w:marBottom w:val="0"/>
      <w:divBdr>
        <w:top w:val="none" w:sz="0" w:space="0" w:color="auto"/>
        <w:left w:val="none" w:sz="0" w:space="0" w:color="auto"/>
        <w:bottom w:val="none" w:sz="0" w:space="0" w:color="auto"/>
        <w:right w:val="none" w:sz="0" w:space="0" w:color="auto"/>
      </w:divBdr>
    </w:div>
    <w:div w:id="1940869638">
      <w:bodyDiv w:val="1"/>
      <w:marLeft w:val="0"/>
      <w:marRight w:val="0"/>
      <w:marTop w:val="0"/>
      <w:marBottom w:val="0"/>
      <w:divBdr>
        <w:top w:val="none" w:sz="0" w:space="0" w:color="auto"/>
        <w:left w:val="none" w:sz="0" w:space="0" w:color="auto"/>
        <w:bottom w:val="none" w:sz="0" w:space="0" w:color="auto"/>
        <w:right w:val="none" w:sz="0" w:space="0" w:color="auto"/>
      </w:divBdr>
    </w:div>
    <w:div w:id="1940942766">
      <w:bodyDiv w:val="1"/>
      <w:marLeft w:val="0"/>
      <w:marRight w:val="0"/>
      <w:marTop w:val="0"/>
      <w:marBottom w:val="0"/>
      <w:divBdr>
        <w:top w:val="none" w:sz="0" w:space="0" w:color="auto"/>
        <w:left w:val="none" w:sz="0" w:space="0" w:color="auto"/>
        <w:bottom w:val="none" w:sz="0" w:space="0" w:color="auto"/>
        <w:right w:val="none" w:sz="0" w:space="0" w:color="auto"/>
      </w:divBdr>
    </w:div>
    <w:div w:id="1940985456">
      <w:bodyDiv w:val="1"/>
      <w:marLeft w:val="0"/>
      <w:marRight w:val="0"/>
      <w:marTop w:val="0"/>
      <w:marBottom w:val="0"/>
      <w:divBdr>
        <w:top w:val="none" w:sz="0" w:space="0" w:color="auto"/>
        <w:left w:val="none" w:sz="0" w:space="0" w:color="auto"/>
        <w:bottom w:val="none" w:sz="0" w:space="0" w:color="auto"/>
        <w:right w:val="none" w:sz="0" w:space="0" w:color="auto"/>
      </w:divBdr>
    </w:div>
    <w:div w:id="1940988965">
      <w:bodyDiv w:val="1"/>
      <w:marLeft w:val="0"/>
      <w:marRight w:val="0"/>
      <w:marTop w:val="0"/>
      <w:marBottom w:val="0"/>
      <w:divBdr>
        <w:top w:val="none" w:sz="0" w:space="0" w:color="auto"/>
        <w:left w:val="none" w:sz="0" w:space="0" w:color="auto"/>
        <w:bottom w:val="none" w:sz="0" w:space="0" w:color="auto"/>
        <w:right w:val="none" w:sz="0" w:space="0" w:color="auto"/>
      </w:divBdr>
    </w:div>
    <w:div w:id="1941064753">
      <w:bodyDiv w:val="1"/>
      <w:marLeft w:val="0"/>
      <w:marRight w:val="0"/>
      <w:marTop w:val="0"/>
      <w:marBottom w:val="0"/>
      <w:divBdr>
        <w:top w:val="none" w:sz="0" w:space="0" w:color="auto"/>
        <w:left w:val="none" w:sz="0" w:space="0" w:color="auto"/>
        <w:bottom w:val="none" w:sz="0" w:space="0" w:color="auto"/>
        <w:right w:val="none" w:sz="0" w:space="0" w:color="auto"/>
      </w:divBdr>
    </w:div>
    <w:div w:id="1941183778">
      <w:bodyDiv w:val="1"/>
      <w:marLeft w:val="0"/>
      <w:marRight w:val="0"/>
      <w:marTop w:val="0"/>
      <w:marBottom w:val="0"/>
      <w:divBdr>
        <w:top w:val="none" w:sz="0" w:space="0" w:color="auto"/>
        <w:left w:val="none" w:sz="0" w:space="0" w:color="auto"/>
        <w:bottom w:val="none" w:sz="0" w:space="0" w:color="auto"/>
        <w:right w:val="none" w:sz="0" w:space="0" w:color="auto"/>
      </w:divBdr>
    </w:div>
    <w:div w:id="1941256525">
      <w:bodyDiv w:val="1"/>
      <w:marLeft w:val="0"/>
      <w:marRight w:val="0"/>
      <w:marTop w:val="0"/>
      <w:marBottom w:val="0"/>
      <w:divBdr>
        <w:top w:val="none" w:sz="0" w:space="0" w:color="auto"/>
        <w:left w:val="none" w:sz="0" w:space="0" w:color="auto"/>
        <w:bottom w:val="none" w:sz="0" w:space="0" w:color="auto"/>
        <w:right w:val="none" w:sz="0" w:space="0" w:color="auto"/>
      </w:divBdr>
    </w:div>
    <w:div w:id="1941329936">
      <w:bodyDiv w:val="1"/>
      <w:marLeft w:val="0"/>
      <w:marRight w:val="0"/>
      <w:marTop w:val="0"/>
      <w:marBottom w:val="0"/>
      <w:divBdr>
        <w:top w:val="none" w:sz="0" w:space="0" w:color="auto"/>
        <w:left w:val="none" w:sz="0" w:space="0" w:color="auto"/>
        <w:bottom w:val="none" w:sz="0" w:space="0" w:color="auto"/>
        <w:right w:val="none" w:sz="0" w:space="0" w:color="auto"/>
      </w:divBdr>
    </w:div>
    <w:div w:id="1941332220">
      <w:bodyDiv w:val="1"/>
      <w:marLeft w:val="0"/>
      <w:marRight w:val="0"/>
      <w:marTop w:val="0"/>
      <w:marBottom w:val="0"/>
      <w:divBdr>
        <w:top w:val="none" w:sz="0" w:space="0" w:color="auto"/>
        <w:left w:val="none" w:sz="0" w:space="0" w:color="auto"/>
        <w:bottom w:val="none" w:sz="0" w:space="0" w:color="auto"/>
        <w:right w:val="none" w:sz="0" w:space="0" w:color="auto"/>
      </w:divBdr>
    </w:div>
    <w:div w:id="1941376515">
      <w:bodyDiv w:val="1"/>
      <w:marLeft w:val="0"/>
      <w:marRight w:val="0"/>
      <w:marTop w:val="0"/>
      <w:marBottom w:val="0"/>
      <w:divBdr>
        <w:top w:val="none" w:sz="0" w:space="0" w:color="auto"/>
        <w:left w:val="none" w:sz="0" w:space="0" w:color="auto"/>
        <w:bottom w:val="none" w:sz="0" w:space="0" w:color="auto"/>
        <w:right w:val="none" w:sz="0" w:space="0" w:color="auto"/>
      </w:divBdr>
    </w:div>
    <w:div w:id="1941446912">
      <w:bodyDiv w:val="1"/>
      <w:marLeft w:val="0"/>
      <w:marRight w:val="0"/>
      <w:marTop w:val="0"/>
      <w:marBottom w:val="0"/>
      <w:divBdr>
        <w:top w:val="none" w:sz="0" w:space="0" w:color="auto"/>
        <w:left w:val="none" w:sz="0" w:space="0" w:color="auto"/>
        <w:bottom w:val="none" w:sz="0" w:space="0" w:color="auto"/>
        <w:right w:val="none" w:sz="0" w:space="0" w:color="auto"/>
      </w:divBdr>
    </w:div>
    <w:div w:id="1941447173">
      <w:bodyDiv w:val="1"/>
      <w:marLeft w:val="0"/>
      <w:marRight w:val="0"/>
      <w:marTop w:val="0"/>
      <w:marBottom w:val="0"/>
      <w:divBdr>
        <w:top w:val="none" w:sz="0" w:space="0" w:color="auto"/>
        <w:left w:val="none" w:sz="0" w:space="0" w:color="auto"/>
        <w:bottom w:val="none" w:sz="0" w:space="0" w:color="auto"/>
        <w:right w:val="none" w:sz="0" w:space="0" w:color="auto"/>
      </w:divBdr>
    </w:div>
    <w:div w:id="1941595675">
      <w:bodyDiv w:val="1"/>
      <w:marLeft w:val="0"/>
      <w:marRight w:val="0"/>
      <w:marTop w:val="0"/>
      <w:marBottom w:val="0"/>
      <w:divBdr>
        <w:top w:val="none" w:sz="0" w:space="0" w:color="auto"/>
        <w:left w:val="none" w:sz="0" w:space="0" w:color="auto"/>
        <w:bottom w:val="none" w:sz="0" w:space="0" w:color="auto"/>
        <w:right w:val="none" w:sz="0" w:space="0" w:color="auto"/>
      </w:divBdr>
    </w:div>
    <w:div w:id="1941597421">
      <w:bodyDiv w:val="1"/>
      <w:marLeft w:val="0"/>
      <w:marRight w:val="0"/>
      <w:marTop w:val="0"/>
      <w:marBottom w:val="0"/>
      <w:divBdr>
        <w:top w:val="none" w:sz="0" w:space="0" w:color="auto"/>
        <w:left w:val="none" w:sz="0" w:space="0" w:color="auto"/>
        <w:bottom w:val="none" w:sz="0" w:space="0" w:color="auto"/>
        <w:right w:val="none" w:sz="0" w:space="0" w:color="auto"/>
      </w:divBdr>
    </w:div>
    <w:div w:id="1941639401">
      <w:bodyDiv w:val="1"/>
      <w:marLeft w:val="0"/>
      <w:marRight w:val="0"/>
      <w:marTop w:val="0"/>
      <w:marBottom w:val="0"/>
      <w:divBdr>
        <w:top w:val="none" w:sz="0" w:space="0" w:color="auto"/>
        <w:left w:val="none" w:sz="0" w:space="0" w:color="auto"/>
        <w:bottom w:val="none" w:sz="0" w:space="0" w:color="auto"/>
        <w:right w:val="none" w:sz="0" w:space="0" w:color="auto"/>
      </w:divBdr>
    </w:div>
    <w:div w:id="1941837923">
      <w:bodyDiv w:val="1"/>
      <w:marLeft w:val="0"/>
      <w:marRight w:val="0"/>
      <w:marTop w:val="0"/>
      <w:marBottom w:val="0"/>
      <w:divBdr>
        <w:top w:val="none" w:sz="0" w:space="0" w:color="auto"/>
        <w:left w:val="none" w:sz="0" w:space="0" w:color="auto"/>
        <w:bottom w:val="none" w:sz="0" w:space="0" w:color="auto"/>
        <w:right w:val="none" w:sz="0" w:space="0" w:color="auto"/>
      </w:divBdr>
    </w:div>
    <w:div w:id="1941839507">
      <w:bodyDiv w:val="1"/>
      <w:marLeft w:val="0"/>
      <w:marRight w:val="0"/>
      <w:marTop w:val="0"/>
      <w:marBottom w:val="0"/>
      <w:divBdr>
        <w:top w:val="none" w:sz="0" w:space="0" w:color="auto"/>
        <w:left w:val="none" w:sz="0" w:space="0" w:color="auto"/>
        <w:bottom w:val="none" w:sz="0" w:space="0" w:color="auto"/>
        <w:right w:val="none" w:sz="0" w:space="0" w:color="auto"/>
      </w:divBdr>
    </w:div>
    <w:div w:id="1941908065">
      <w:bodyDiv w:val="1"/>
      <w:marLeft w:val="0"/>
      <w:marRight w:val="0"/>
      <w:marTop w:val="0"/>
      <w:marBottom w:val="0"/>
      <w:divBdr>
        <w:top w:val="none" w:sz="0" w:space="0" w:color="auto"/>
        <w:left w:val="none" w:sz="0" w:space="0" w:color="auto"/>
        <w:bottom w:val="none" w:sz="0" w:space="0" w:color="auto"/>
        <w:right w:val="none" w:sz="0" w:space="0" w:color="auto"/>
      </w:divBdr>
    </w:div>
    <w:div w:id="1941911348">
      <w:bodyDiv w:val="1"/>
      <w:marLeft w:val="0"/>
      <w:marRight w:val="0"/>
      <w:marTop w:val="0"/>
      <w:marBottom w:val="0"/>
      <w:divBdr>
        <w:top w:val="none" w:sz="0" w:space="0" w:color="auto"/>
        <w:left w:val="none" w:sz="0" w:space="0" w:color="auto"/>
        <w:bottom w:val="none" w:sz="0" w:space="0" w:color="auto"/>
        <w:right w:val="none" w:sz="0" w:space="0" w:color="auto"/>
      </w:divBdr>
    </w:div>
    <w:div w:id="1941989474">
      <w:bodyDiv w:val="1"/>
      <w:marLeft w:val="0"/>
      <w:marRight w:val="0"/>
      <w:marTop w:val="0"/>
      <w:marBottom w:val="0"/>
      <w:divBdr>
        <w:top w:val="none" w:sz="0" w:space="0" w:color="auto"/>
        <w:left w:val="none" w:sz="0" w:space="0" w:color="auto"/>
        <w:bottom w:val="none" w:sz="0" w:space="0" w:color="auto"/>
        <w:right w:val="none" w:sz="0" w:space="0" w:color="auto"/>
      </w:divBdr>
    </w:div>
    <w:div w:id="1942104946">
      <w:bodyDiv w:val="1"/>
      <w:marLeft w:val="0"/>
      <w:marRight w:val="0"/>
      <w:marTop w:val="0"/>
      <w:marBottom w:val="0"/>
      <w:divBdr>
        <w:top w:val="none" w:sz="0" w:space="0" w:color="auto"/>
        <w:left w:val="none" w:sz="0" w:space="0" w:color="auto"/>
        <w:bottom w:val="none" w:sz="0" w:space="0" w:color="auto"/>
        <w:right w:val="none" w:sz="0" w:space="0" w:color="auto"/>
      </w:divBdr>
    </w:div>
    <w:div w:id="1942108663">
      <w:bodyDiv w:val="1"/>
      <w:marLeft w:val="0"/>
      <w:marRight w:val="0"/>
      <w:marTop w:val="0"/>
      <w:marBottom w:val="0"/>
      <w:divBdr>
        <w:top w:val="none" w:sz="0" w:space="0" w:color="auto"/>
        <w:left w:val="none" w:sz="0" w:space="0" w:color="auto"/>
        <w:bottom w:val="none" w:sz="0" w:space="0" w:color="auto"/>
        <w:right w:val="none" w:sz="0" w:space="0" w:color="auto"/>
      </w:divBdr>
    </w:div>
    <w:div w:id="1942294625">
      <w:bodyDiv w:val="1"/>
      <w:marLeft w:val="0"/>
      <w:marRight w:val="0"/>
      <w:marTop w:val="0"/>
      <w:marBottom w:val="0"/>
      <w:divBdr>
        <w:top w:val="none" w:sz="0" w:space="0" w:color="auto"/>
        <w:left w:val="none" w:sz="0" w:space="0" w:color="auto"/>
        <w:bottom w:val="none" w:sz="0" w:space="0" w:color="auto"/>
        <w:right w:val="none" w:sz="0" w:space="0" w:color="auto"/>
      </w:divBdr>
    </w:div>
    <w:div w:id="1942297484">
      <w:bodyDiv w:val="1"/>
      <w:marLeft w:val="0"/>
      <w:marRight w:val="0"/>
      <w:marTop w:val="0"/>
      <w:marBottom w:val="0"/>
      <w:divBdr>
        <w:top w:val="none" w:sz="0" w:space="0" w:color="auto"/>
        <w:left w:val="none" w:sz="0" w:space="0" w:color="auto"/>
        <w:bottom w:val="none" w:sz="0" w:space="0" w:color="auto"/>
        <w:right w:val="none" w:sz="0" w:space="0" w:color="auto"/>
      </w:divBdr>
    </w:div>
    <w:div w:id="1942444889">
      <w:bodyDiv w:val="1"/>
      <w:marLeft w:val="0"/>
      <w:marRight w:val="0"/>
      <w:marTop w:val="0"/>
      <w:marBottom w:val="0"/>
      <w:divBdr>
        <w:top w:val="none" w:sz="0" w:space="0" w:color="auto"/>
        <w:left w:val="none" w:sz="0" w:space="0" w:color="auto"/>
        <w:bottom w:val="none" w:sz="0" w:space="0" w:color="auto"/>
        <w:right w:val="none" w:sz="0" w:space="0" w:color="auto"/>
      </w:divBdr>
    </w:div>
    <w:div w:id="1942562285">
      <w:bodyDiv w:val="1"/>
      <w:marLeft w:val="0"/>
      <w:marRight w:val="0"/>
      <w:marTop w:val="0"/>
      <w:marBottom w:val="0"/>
      <w:divBdr>
        <w:top w:val="none" w:sz="0" w:space="0" w:color="auto"/>
        <w:left w:val="none" w:sz="0" w:space="0" w:color="auto"/>
        <w:bottom w:val="none" w:sz="0" w:space="0" w:color="auto"/>
        <w:right w:val="none" w:sz="0" w:space="0" w:color="auto"/>
      </w:divBdr>
    </w:div>
    <w:div w:id="1942563425">
      <w:bodyDiv w:val="1"/>
      <w:marLeft w:val="0"/>
      <w:marRight w:val="0"/>
      <w:marTop w:val="0"/>
      <w:marBottom w:val="0"/>
      <w:divBdr>
        <w:top w:val="none" w:sz="0" w:space="0" w:color="auto"/>
        <w:left w:val="none" w:sz="0" w:space="0" w:color="auto"/>
        <w:bottom w:val="none" w:sz="0" w:space="0" w:color="auto"/>
        <w:right w:val="none" w:sz="0" w:space="0" w:color="auto"/>
      </w:divBdr>
    </w:div>
    <w:div w:id="1942688400">
      <w:bodyDiv w:val="1"/>
      <w:marLeft w:val="0"/>
      <w:marRight w:val="0"/>
      <w:marTop w:val="0"/>
      <w:marBottom w:val="0"/>
      <w:divBdr>
        <w:top w:val="none" w:sz="0" w:space="0" w:color="auto"/>
        <w:left w:val="none" w:sz="0" w:space="0" w:color="auto"/>
        <w:bottom w:val="none" w:sz="0" w:space="0" w:color="auto"/>
        <w:right w:val="none" w:sz="0" w:space="0" w:color="auto"/>
      </w:divBdr>
    </w:div>
    <w:div w:id="1942881989">
      <w:bodyDiv w:val="1"/>
      <w:marLeft w:val="0"/>
      <w:marRight w:val="0"/>
      <w:marTop w:val="0"/>
      <w:marBottom w:val="0"/>
      <w:divBdr>
        <w:top w:val="none" w:sz="0" w:space="0" w:color="auto"/>
        <w:left w:val="none" w:sz="0" w:space="0" w:color="auto"/>
        <w:bottom w:val="none" w:sz="0" w:space="0" w:color="auto"/>
        <w:right w:val="none" w:sz="0" w:space="0" w:color="auto"/>
      </w:divBdr>
    </w:div>
    <w:div w:id="1942907803">
      <w:bodyDiv w:val="1"/>
      <w:marLeft w:val="0"/>
      <w:marRight w:val="0"/>
      <w:marTop w:val="0"/>
      <w:marBottom w:val="0"/>
      <w:divBdr>
        <w:top w:val="none" w:sz="0" w:space="0" w:color="auto"/>
        <w:left w:val="none" w:sz="0" w:space="0" w:color="auto"/>
        <w:bottom w:val="none" w:sz="0" w:space="0" w:color="auto"/>
        <w:right w:val="none" w:sz="0" w:space="0" w:color="auto"/>
      </w:divBdr>
    </w:div>
    <w:div w:id="1943024020">
      <w:bodyDiv w:val="1"/>
      <w:marLeft w:val="0"/>
      <w:marRight w:val="0"/>
      <w:marTop w:val="0"/>
      <w:marBottom w:val="0"/>
      <w:divBdr>
        <w:top w:val="none" w:sz="0" w:space="0" w:color="auto"/>
        <w:left w:val="none" w:sz="0" w:space="0" w:color="auto"/>
        <w:bottom w:val="none" w:sz="0" w:space="0" w:color="auto"/>
        <w:right w:val="none" w:sz="0" w:space="0" w:color="auto"/>
      </w:divBdr>
    </w:div>
    <w:div w:id="1943026512">
      <w:bodyDiv w:val="1"/>
      <w:marLeft w:val="0"/>
      <w:marRight w:val="0"/>
      <w:marTop w:val="0"/>
      <w:marBottom w:val="0"/>
      <w:divBdr>
        <w:top w:val="none" w:sz="0" w:space="0" w:color="auto"/>
        <w:left w:val="none" w:sz="0" w:space="0" w:color="auto"/>
        <w:bottom w:val="none" w:sz="0" w:space="0" w:color="auto"/>
        <w:right w:val="none" w:sz="0" w:space="0" w:color="auto"/>
      </w:divBdr>
    </w:div>
    <w:div w:id="1943027854">
      <w:bodyDiv w:val="1"/>
      <w:marLeft w:val="0"/>
      <w:marRight w:val="0"/>
      <w:marTop w:val="0"/>
      <w:marBottom w:val="0"/>
      <w:divBdr>
        <w:top w:val="none" w:sz="0" w:space="0" w:color="auto"/>
        <w:left w:val="none" w:sz="0" w:space="0" w:color="auto"/>
        <w:bottom w:val="none" w:sz="0" w:space="0" w:color="auto"/>
        <w:right w:val="none" w:sz="0" w:space="0" w:color="auto"/>
      </w:divBdr>
    </w:div>
    <w:div w:id="1943028514">
      <w:bodyDiv w:val="1"/>
      <w:marLeft w:val="0"/>
      <w:marRight w:val="0"/>
      <w:marTop w:val="0"/>
      <w:marBottom w:val="0"/>
      <w:divBdr>
        <w:top w:val="none" w:sz="0" w:space="0" w:color="auto"/>
        <w:left w:val="none" w:sz="0" w:space="0" w:color="auto"/>
        <w:bottom w:val="none" w:sz="0" w:space="0" w:color="auto"/>
        <w:right w:val="none" w:sz="0" w:space="0" w:color="auto"/>
      </w:divBdr>
    </w:div>
    <w:div w:id="1943100536">
      <w:bodyDiv w:val="1"/>
      <w:marLeft w:val="0"/>
      <w:marRight w:val="0"/>
      <w:marTop w:val="0"/>
      <w:marBottom w:val="0"/>
      <w:divBdr>
        <w:top w:val="none" w:sz="0" w:space="0" w:color="auto"/>
        <w:left w:val="none" w:sz="0" w:space="0" w:color="auto"/>
        <w:bottom w:val="none" w:sz="0" w:space="0" w:color="auto"/>
        <w:right w:val="none" w:sz="0" w:space="0" w:color="auto"/>
      </w:divBdr>
    </w:div>
    <w:div w:id="1943146907">
      <w:bodyDiv w:val="1"/>
      <w:marLeft w:val="0"/>
      <w:marRight w:val="0"/>
      <w:marTop w:val="0"/>
      <w:marBottom w:val="0"/>
      <w:divBdr>
        <w:top w:val="none" w:sz="0" w:space="0" w:color="auto"/>
        <w:left w:val="none" w:sz="0" w:space="0" w:color="auto"/>
        <w:bottom w:val="none" w:sz="0" w:space="0" w:color="auto"/>
        <w:right w:val="none" w:sz="0" w:space="0" w:color="auto"/>
      </w:divBdr>
    </w:div>
    <w:div w:id="1943224912">
      <w:bodyDiv w:val="1"/>
      <w:marLeft w:val="0"/>
      <w:marRight w:val="0"/>
      <w:marTop w:val="0"/>
      <w:marBottom w:val="0"/>
      <w:divBdr>
        <w:top w:val="none" w:sz="0" w:space="0" w:color="auto"/>
        <w:left w:val="none" w:sz="0" w:space="0" w:color="auto"/>
        <w:bottom w:val="none" w:sz="0" w:space="0" w:color="auto"/>
        <w:right w:val="none" w:sz="0" w:space="0" w:color="auto"/>
      </w:divBdr>
    </w:div>
    <w:div w:id="1943340282">
      <w:bodyDiv w:val="1"/>
      <w:marLeft w:val="0"/>
      <w:marRight w:val="0"/>
      <w:marTop w:val="0"/>
      <w:marBottom w:val="0"/>
      <w:divBdr>
        <w:top w:val="none" w:sz="0" w:space="0" w:color="auto"/>
        <w:left w:val="none" w:sz="0" w:space="0" w:color="auto"/>
        <w:bottom w:val="none" w:sz="0" w:space="0" w:color="auto"/>
        <w:right w:val="none" w:sz="0" w:space="0" w:color="auto"/>
      </w:divBdr>
    </w:div>
    <w:div w:id="1943341062">
      <w:bodyDiv w:val="1"/>
      <w:marLeft w:val="0"/>
      <w:marRight w:val="0"/>
      <w:marTop w:val="0"/>
      <w:marBottom w:val="0"/>
      <w:divBdr>
        <w:top w:val="none" w:sz="0" w:space="0" w:color="auto"/>
        <w:left w:val="none" w:sz="0" w:space="0" w:color="auto"/>
        <w:bottom w:val="none" w:sz="0" w:space="0" w:color="auto"/>
        <w:right w:val="none" w:sz="0" w:space="0" w:color="auto"/>
      </w:divBdr>
    </w:div>
    <w:div w:id="1943415152">
      <w:bodyDiv w:val="1"/>
      <w:marLeft w:val="0"/>
      <w:marRight w:val="0"/>
      <w:marTop w:val="0"/>
      <w:marBottom w:val="0"/>
      <w:divBdr>
        <w:top w:val="none" w:sz="0" w:space="0" w:color="auto"/>
        <w:left w:val="none" w:sz="0" w:space="0" w:color="auto"/>
        <w:bottom w:val="none" w:sz="0" w:space="0" w:color="auto"/>
        <w:right w:val="none" w:sz="0" w:space="0" w:color="auto"/>
      </w:divBdr>
    </w:div>
    <w:div w:id="1943486857">
      <w:bodyDiv w:val="1"/>
      <w:marLeft w:val="0"/>
      <w:marRight w:val="0"/>
      <w:marTop w:val="0"/>
      <w:marBottom w:val="0"/>
      <w:divBdr>
        <w:top w:val="none" w:sz="0" w:space="0" w:color="auto"/>
        <w:left w:val="none" w:sz="0" w:space="0" w:color="auto"/>
        <w:bottom w:val="none" w:sz="0" w:space="0" w:color="auto"/>
        <w:right w:val="none" w:sz="0" w:space="0" w:color="auto"/>
      </w:divBdr>
    </w:div>
    <w:div w:id="1943494620">
      <w:bodyDiv w:val="1"/>
      <w:marLeft w:val="0"/>
      <w:marRight w:val="0"/>
      <w:marTop w:val="0"/>
      <w:marBottom w:val="0"/>
      <w:divBdr>
        <w:top w:val="none" w:sz="0" w:space="0" w:color="auto"/>
        <w:left w:val="none" w:sz="0" w:space="0" w:color="auto"/>
        <w:bottom w:val="none" w:sz="0" w:space="0" w:color="auto"/>
        <w:right w:val="none" w:sz="0" w:space="0" w:color="auto"/>
      </w:divBdr>
    </w:div>
    <w:div w:id="1943683576">
      <w:bodyDiv w:val="1"/>
      <w:marLeft w:val="0"/>
      <w:marRight w:val="0"/>
      <w:marTop w:val="0"/>
      <w:marBottom w:val="0"/>
      <w:divBdr>
        <w:top w:val="none" w:sz="0" w:space="0" w:color="auto"/>
        <w:left w:val="none" w:sz="0" w:space="0" w:color="auto"/>
        <w:bottom w:val="none" w:sz="0" w:space="0" w:color="auto"/>
        <w:right w:val="none" w:sz="0" w:space="0" w:color="auto"/>
      </w:divBdr>
    </w:div>
    <w:div w:id="1943687767">
      <w:bodyDiv w:val="1"/>
      <w:marLeft w:val="0"/>
      <w:marRight w:val="0"/>
      <w:marTop w:val="0"/>
      <w:marBottom w:val="0"/>
      <w:divBdr>
        <w:top w:val="none" w:sz="0" w:space="0" w:color="auto"/>
        <w:left w:val="none" w:sz="0" w:space="0" w:color="auto"/>
        <w:bottom w:val="none" w:sz="0" w:space="0" w:color="auto"/>
        <w:right w:val="none" w:sz="0" w:space="0" w:color="auto"/>
      </w:divBdr>
    </w:div>
    <w:div w:id="1943798011">
      <w:bodyDiv w:val="1"/>
      <w:marLeft w:val="0"/>
      <w:marRight w:val="0"/>
      <w:marTop w:val="0"/>
      <w:marBottom w:val="0"/>
      <w:divBdr>
        <w:top w:val="none" w:sz="0" w:space="0" w:color="auto"/>
        <w:left w:val="none" w:sz="0" w:space="0" w:color="auto"/>
        <w:bottom w:val="none" w:sz="0" w:space="0" w:color="auto"/>
        <w:right w:val="none" w:sz="0" w:space="0" w:color="auto"/>
      </w:divBdr>
    </w:div>
    <w:div w:id="1943803642">
      <w:bodyDiv w:val="1"/>
      <w:marLeft w:val="0"/>
      <w:marRight w:val="0"/>
      <w:marTop w:val="0"/>
      <w:marBottom w:val="0"/>
      <w:divBdr>
        <w:top w:val="none" w:sz="0" w:space="0" w:color="auto"/>
        <w:left w:val="none" w:sz="0" w:space="0" w:color="auto"/>
        <w:bottom w:val="none" w:sz="0" w:space="0" w:color="auto"/>
        <w:right w:val="none" w:sz="0" w:space="0" w:color="auto"/>
      </w:divBdr>
    </w:div>
    <w:div w:id="1943878891">
      <w:bodyDiv w:val="1"/>
      <w:marLeft w:val="0"/>
      <w:marRight w:val="0"/>
      <w:marTop w:val="0"/>
      <w:marBottom w:val="0"/>
      <w:divBdr>
        <w:top w:val="none" w:sz="0" w:space="0" w:color="auto"/>
        <w:left w:val="none" w:sz="0" w:space="0" w:color="auto"/>
        <w:bottom w:val="none" w:sz="0" w:space="0" w:color="auto"/>
        <w:right w:val="none" w:sz="0" w:space="0" w:color="auto"/>
      </w:divBdr>
    </w:div>
    <w:div w:id="1943950337">
      <w:bodyDiv w:val="1"/>
      <w:marLeft w:val="0"/>
      <w:marRight w:val="0"/>
      <w:marTop w:val="0"/>
      <w:marBottom w:val="0"/>
      <w:divBdr>
        <w:top w:val="none" w:sz="0" w:space="0" w:color="auto"/>
        <w:left w:val="none" w:sz="0" w:space="0" w:color="auto"/>
        <w:bottom w:val="none" w:sz="0" w:space="0" w:color="auto"/>
        <w:right w:val="none" w:sz="0" w:space="0" w:color="auto"/>
      </w:divBdr>
    </w:div>
    <w:div w:id="1944023643">
      <w:bodyDiv w:val="1"/>
      <w:marLeft w:val="0"/>
      <w:marRight w:val="0"/>
      <w:marTop w:val="0"/>
      <w:marBottom w:val="0"/>
      <w:divBdr>
        <w:top w:val="none" w:sz="0" w:space="0" w:color="auto"/>
        <w:left w:val="none" w:sz="0" w:space="0" w:color="auto"/>
        <w:bottom w:val="none" w:sz="0" w:space="0" w:color="auto"/>
        <w:right w:val="none" w:sz="0" w:space="0" w:color="auto"/>
      </w:divBdr>
    </w:div>
    <w:div w:id="1944066830">
      <w:bodyDiv w:val="1"/>
      <w:marLeft w:val="0"/>
      <w:marRight w:val="0"/>
      <w:marTop w:val="0"/>
      <w:marBottom w:val="0"/>
      <w:divBdr>
        <w:top w:val="none" w:sz="0" w:space="0" w:color="auto"/>
        <w:left w:val="none" w:sz="0" w:space="0" w:color="auto"/>
        <w:bottom w:val="none" w:sz="0" w:space="0" w:color="auto"/>
        <w:right w:val="none" w:sz="0" w:space="0" w:color="auto"/>
      </w:divBdr>
    </w:div>
    <w:div w:id="1944223183">
      <w:bodyDiv w:val="1"/>
      <w:marLeft w:val="0"/>
      <w:marRight w:val="0"/>
      <w:marTop w:val="0"/>
      <w:marBottom w:val="0"/>
      <w:divBdr>
        <w:top w:val="none" w:sz="0" w:space="0" w:color="auto"/>
        <w:left w:val="none" w:sz="0" w:space="0" w:color="auto"/>
        <w:bottom w:val="none" w:sz="0" w:space="0" w:color="auto"/>
        <w:right w:val="none" w:sz="0" w:space="0" w:color="auto"/>
      </w:divBdr>
    </w:div>
    <w:div w:id="1944342144">
      <w:bodyDiv w:val="1"/>
      <w:marLeft w:val="0"/>
      <w:marRight w:val="0"/>
      <w:marTop w:val="0"/>
      <w:marBottom w:val="0"/>
      <w:divBdr>
        <w:top w:val="none" w:sz="0" w:space="0" w:color="auto"/>
        <w:left w:val="none" w:sz="0" w:space="0" w:color="auto"/>
        <w:bottom w:val="none" w:sz="0" w:space="0" w:color="auto"/>
        <w:right w:val="none" w:sz="0" w:space="0" w:color="auto"/>
      </w:divBdr>
    </w:div>
    <w:div w:id="1944417366">
      <w:bodyDiv w:val="1"/>
      <w:marLeft w:val="0"/>
      <w:marRight w:val="0"/>
      <w:marTop w:val="0"/>
      <w:marBottom w:val="0"/>
      <w:divBdr>
        <w:top w:val="none" w:sz="0" w:space="0" w:color="auto"/>
        <w:left w:val="none" w:sz="0" w:space="0" w:color="auto"/>
        <w:bottom w:val="none" w:sz="0" w:space="0" w:color="auto"/>
        <w:right w:val="none" w:sz="0" w:space="0" w:color="auto"/>
      </w:divBdr>
    </w:div>
    <w:div w:id="1944460279">
      <w:bodyDiv w:val="1"/>
      <w:marLeft w:val="0"/>
      <w:marRight w:val="0"/>
      <w:marTop w:val="0"/>
      <w:marBottom w:val="0"/>
      <w:divBdr>
        <w:top w:val="none" w:sz="0" w:space="0" w:color="auto"/>
        <w:left w:val="none" w:sz="0" w:space="0" w:color="auto"/>
        <w:bottom w:val="none" w:sz="0" w:space="0" w:color="auto"/>
        <w:right w:val="none" w:sz="0" w:space="0" w:color="auto"/>
      </w:divBdr>
    </w:div>
    <w:div w:id="1944536163">
      <w:bodyDiv w:val="1"/>
      <w:marLeft w:val="0"/>
      <w:marRight w:val="0"/>
      <w:marTop w:val="0"/>
      <w:marBottom w:val="0"/>
      <w:divBdr>
        <w:top w:val="none" w:sz="0" w:space="0" w:color="auto"/>
        <w:left w:val="none" w:sz="0" w:space="0" w:color="auto"/>
        <w:bottom w:val="none" w:sz="0" w:space="0" w:color="auto"/>
        <w:right w:val="none" w:sz="0" w:space="0" w:color="auto"/>
      </w:divBdr>
    </w:div>
    <w:div w:id="1944610953">
      <w:bodyDiv w:val="1"/>
      <w:marLeft w:val="0"/>
      <w:marRight w:val="0"/>
      <w:marTop w:val="0"/>
      <w:marBottom w:val="0"/>
      <w:divBdr>
        <w:top w:val="none" w:sz="0" w:space="0" w:color="auto"/>
        <w:left w:val="none" w:sz="0" w:space="0" w:color="auto"/>
        <w:bottom w:val="none" w:sz="0" w:space="0" w:color="auto"/>
        <w:right w:val="none" w:sz="0" w:space="0" w:color="auto"/>
      </w:divBdr>
    </w:div>
    <w:div w:id="1944678338">
      <w:bodyDiv w:val="1"/>
      <w:marLeft w:val="0"/>
      <w:marRight w:val="0"/>
      <w:marTop w:val="0"/>
      <w:marBottom w:val="0"/>
      <w:divBdr>
        <w:top w:val="none" w:sz="0" w:space="0" w:color="auto"/>
        <w:left w:val="none" w:sz="0" w:space="0" w:color="auto"/>
        <w:bottom w:val="none" w:sz="0" w:space="0" w:color="auto"/>
        <w:right w:val="none" w:sz="0" w:space="0" w:color="auto"/>
      </w:divBdr>
    </w:div>
    <w:div w:id="1944729680">
      <w:bodyDiv w:val="1"/>
      <w:marLeft w:val="0"/>
      <w:marRight w:val="0"/>
      <w:marTop w:val="0"/>
      <w:marBottom w:val="0"/>
      <w:divBdr>
        <w:top w:val="none" w:sz="0" w:space="0" w:color="auto"/>
        <w:left w:val="none" w:sz="0" w:space="0" w:color="auto"/>
        <w:bottom w:val="none" w:sz="0" w:space="0" w:color="auto"/>
        <w:right w:val="none" w:sz="0" w:space="0" w:color="auto"/>
      </w:divBdr>
    </w:div>
    <w:div w:id="1944799068">
      <w:bodyDiv w:val="1"/>
      <w:marLeft w:val="0"/>
      <w:marRight w:val="0"/>
      <w:marTop w:val="0"/>
      <w:marBottom w:val="0"/>
      <w:divBdr>
        <w:top w:val="none" w:sz="0" w:space="0" w:color="auto"/>
        <w:left w:val="none" w:sz="0" w:space="0" w:color="auto"/>
        <w:bottom w:val="none" w:sz="0" w:space="0" w:color="auto"/>
        <w:right w:val="none" w:sz="0" w:space="0" w:color="auto"/>
      </w:divBdr>
    </w:div>
    <w:div w:id="1944915668">
      <w:bodyDiv w:val="1"/>
      <w:marLeft w:val="0"/>
      <w:marRight w:val="0"/>
      <w:marTop w:val="0"/>
      <w:marBottom w:val="0"/>
      <w:divBdr>
        <w:top w:val="none" w:sz="0" w:space="0" w:color="auto"/>
        <w:left w:val="none" w:sz="0" w:space="0" w:color="auto"/>
        <w:bottom w:val="none" w:sz="0" w:space="0" w:color="auto"/>
        <w:right w:val="none" w:sz="0" w:space="0" w:color="auto"/>
      </w:divBdr>
    </w:div>
    <w:div w:id="1944992681">
      <w:bodyDiv w:val="1"/>
      <w:marLeft w:val="0"/>
      <w:marRight w:val="0"/>
      <w:marTop w:val="0"/>
      <w:marBottom w:val="0"/>
      <w:divBdr>
        <w:top w:val="none" w:sz="0" w:space="0" w:color="auto"/>
        <w:left w:val="none" w:sz="0" w:space="0" w:color="auto"/>
        <w:bottom w:val="none" w:sz="0" w:space="0" w:color="auto"/>
        <w:right w:val="none" w:sz="0" w:space="0" w:color="auto"/>
      </w:divBdr>
    </w:div>
    <w:div w:id="1945073404">
      <w:bodyDiv w:val="1"/>
      <w:marLeft w:val="0"/>
      <w:marRight w:val="0"/>
      <w:marTop w:val="0"/>
      <w:marBottom w:val="0"/>
      <w:divBdr>
        <w:top w:val="none" w:sz="0" w:space="0" w:color="auto"/>
        <w:left w:val="none" w:sz="0" w:space="0" w:color="auto"/>
        <w:bottom w:val="none" w:sz="0" w:space="0" w:color="auto"/>
        <w:right w:val="none" w:sz="0" w:space="0" w:color="auto"/>
      </w:divBdr>
    </w:div>
    <w:div w:id="1945191287">
      <w:bodyDiv w:val="1"/>
      <w:marLeft w:val="0"/>
      <w:marRight w:val="0"/>
      <w:marTop w:val="0"/>
      <w:marBottom w:val="0"/>
      <w:divBdr>
        <w:top w:val="none" w:sz="0" w:space="0" w:color="auto"/>
        <w:left w:val="none" w:sz="0" w:space="0" w:color="auto"/>
        <w:bottom w:val="none" w:sz="0" w:space="0" w:color="auto"/>
        <w:right w:val="none" w:sz="0" w:space="0" w:color="auto"/>
      </w:divBdr>
    </w:div>
    <w:div w:id="1945337796">
      <w:bodyDiv w:val="1"/>
      <w:marLeft w:val="0"/>
      <w:marRight w:val="0"/>
      <w:marTop w:val="0"/>
      <w:marBottom w:val="0"/>
      <w:divBdr>
        <w:top w:val="none" w:sz="0" w:space="0" w:color="auto"/>
        <w:left w:val="none" w:sz="0" w:space="0" w:color="auto"/>
        <w:bottom w:val="none" w:sz="0" w:space="0" w:color="auto"/>
        <w:right w:val="none" w:sz="0" w:space="0" w:color="auto"/>
      </w:divBdr>
    </w:div>
    <w:div w:id="1945382779">
      <w:bodyDiv w:val="1"/>
      <w:marLeft w:val="0"/>
      <w:marRight w:val="0"/>
      <w:marTop w:val="0"/>
      <w:marBottom w:val="0"/>
      <w:divBdr>
        <w:top w:val="none" w:sz="0" w:space="0" w:color="auto"/>
        <w:left w:val="none" w:sz="0" w:space="0" w:color="auto"/>
        <w:bottom w:val="none" w:sz="0" w:space="0" w:color="auto"/>
        <w:right w:val="none" w:sz="0" w:space="0" w:color="auto"/>
      </w:divBdr>
    </w:div>
    <w:div w:id="1945385745">
      <w:bodyDiv w:val="1"/>
      <w:marLeft w:val="0"/>
      <w:marRight w:val="0"/>
      <w:marTop w:val="0"/>
      <w:marBottom w:val="0"/>
      <w:divBdr>
        <w:top w:val="none" w:sz="0" w:space="0" w:color="auto"/>
        <w:left w:val="none" w:sz="0" w:space="0" w:color="auto"/>
        <w:bottom w:val="none" w:sz="0" w:space="0" w:color="auto"/>
        <w:right w:val="none" w:sz="0" w:space="0" w:color="auto"/>
      </w:divBdr>
    </w:div>
    <w:div w:id="1945458240">
      <w:bodyDiv w:val="1"/>
      <w:marLeft w:val="0"/>
      <w:marRight w:val="0"/>
      <w:marTop w:val="0"/>
      <w:marBottom w:val="0"/>
      <w:divBdr>
        <w:top w:val="none" w:sz="0" w:space="0" w:color="auto"/>
        <w:left w:val="none" w:sz="0" w:space="0" w:color="auto"/>
        <w:bottom w:val="none" w:sz="0" w:space="0" w:color="auto"/>
        <w:right w:val="none" w:sz="0" w:space="0" w:color="auto"/>
      </w:divBdr>
    </w:div>
    <w:div w:id="1945458449">
      <w:bodyDiv w:val="1"/>
      <w:marLeft w:val="0"/>
      <w:marRight w:val="0"/>
      <w:marTop w:val="0"/>
      <w:marBottom w:val="0"/>
      <w:divBdr>
        <w:top w:val="none" w:sz="0" w:space="0" w:color="auto"/>
        <w:left w:val="none" w:sz="0" w:space="0" w:color="auto"/>
        <w:bottom w:val="none" w:sz="0" w:space="0" w:color="auto"/>
        <w:right w:val="none" w:sz="0" w:space="0" w:color="auto"/>
      </w:divBdr>
    </w:div>
    <w:div w:id="1945530646">
      <w:bodyDiv w:val="1"/>
      <w:marLeft w:val="0"/>
      <w:marRight w:val="0"/>
      <w:marTop w:val="0"/>
      <w:marBottom w:val="0"/>
      <w:divBdr>
        <w:top w:val="none" w:sz="0" w:space="0" w:color="auto"/>
        <w:left w:val="none" w:sz="0" w:space="0" w:color="auto"/>
        <w:bottom w:val="none" w:sz="0" w:space="0" w:color="auto"/>
        <w:right w:val="none" w:sz="0" w:space="0" w:color="auto"/>
      </w:divBdr>
    </w:div>
    <w:div w:id="1945532504">
      <w:bodyDiv w:val="1"/>
      <w:marLeft w:val="0"/>
      <w:marRight w:val="0"/>
      <w:marTop w:val="0"/>
      <w:marBottom w:val="0"/>
      <w:divBdr>
        <w:top w:val="none" w:sz="0" w:space="0" w:color="auto"/>
        <w:left w:val="none" w:sz="0" w:space="0" w:color="auto"/>
        <w:bottom w:val="none" w:sz="0" w:space="0" w:color="auto"/>
        <w:right w:val="none" w:sz="0" w:space="0" w:color="auto"/>
      </w:divBdr>
    </w:div>
    <w:div w:id="1945571273">
      <w:bodyDiv w:val="1"/>
      <w:marLeft w:val="0"/>
      <w:marRight w:val="0"/>
      <w:marTop w:val="0"/>
      <w:marBottom w:val="0"/>
      <w:divBdr>
        <w:top w:val="none" w:sz="0" w:space="0" w:color="auto"/>
        <w:left w:val="none" w:sz="0" w:space="0" w:color="auto"/>
        <w:bottom w:val="none" w:sz="0" w:space="0" w:color="auto"/>
        <w:right w:val="none" w:sz="0" w:space="0" w:color="auto"/>
      </w:divBdr>
    </w:div>
    <w:div w:id="1945578262">
      <w:bodyDiv w:val="1"/>
      <w:marLeft w:val="0"/>
      <w:marRight w:val="0"/>
      <w:marTop w:val="0"/>
      <w:marBottom w:val="0"/>
      <w:divBdr>
        <w:top w:val="none" w:sz="0" w:space="0" w:color="auto"/>
        <w:left w:val="none" w:sz="0" w:space="0" w:color="auto"/>
        <w:bottom w:val="none" w:sz="0" w:space="0" w:color="auto"/>
        <w:right w:val="none" w:sz="0" w:space="0" w:color="auto"/>
      </w:divBdr>
    </w:div>
    <w:div w:id="1945728839">
      <w:bodyDiv w:val="1"/>
      <w:marLeft w:val="0"/>
      <w:marRight w:val="0"/>
      <w:marTop w:val="0"/>
      <w:marBottom w:val="0"/>
      <w:divBdr>
        <w:top w:val="none" w:sz="0" w:space="0" w:color="auto"/>
        <w:left w:val="none" w:sz="0" w:space="0" w:color="auto"/>
        <w:bottom w:val="none" w:sz="0" w:space="0" w:color="auto"/>
        <w:right w:val="none" w:sz="0" w:space="0" w:color="auto"/>
      </w:divBdr>
    </w:div>
    <w:div w:id="1945920211">
      <w:bodyDiv w:val="1"/>
      <w:marLeft w:val="0"/>
      <w:marRight w:val="0"/>
      <w:marTop w:val="0"/>
      <w:marBottom w:val="0"/>
      <w:divBdr>
        <w:top w:val="none" w:sz="0" w:space="0" w:color="auto"/>
        <w:left w:val="none" w:sz="0" w:space="0" w:color="auto"/>
        <w:bottom w:val="none" w:sz="0" w:space="0" w:color="auto"/>
        <w:right w:val="none" w:sz="0" w:space="0" w:color="auto"/>
      </w:divBdr>
    </w:div>
    <w:div w:id="1945920254">
      <w:bodyDiv w:val="1"/>
      <w:marLeft w:val="0"/>
      <w:marRight w:val="0"/>
      <w:marTop w:val="0"/>
      <w:marBottom w:val="0"/>
      <w:divBdr>
        <w:top w:val="none" w:sz="0" w:space="0" w:color="auto"/>
        <w:left w:val="none" w:sz="0" w:space="0" w:color="auto"/>
        <w:bottom w:val="none" w:sz="0" w:space="0" w:color="auto"/>
        <w:right w:val="none" w:sz="0" w:space="0" w:color="auto"/>
      </w:divBdr>
    </w:div>
    <w:div w:id="1946031406">
      <w:bodyDiv w:val="1"/>
      <w:marLeft w:val="0"/>
      <w:marRight w:val="0"/>
      <w:marTop w:val="0"/>
      <w:marBottom w:val="0"/>
      <w:divBdr>
        <w:top w:val="none" w:sz="0" w:space="0" w:color="auto"/>
        <w:left w:val="none" w:sz="0" w:space="0" w:color="auto"/>
        <w:bottom w:val="none" w:sz="0" w:space="0" w:color="auto"/>
        <w:right w:val="none" w:sz="0" w:space="0" w:color="auto"/>
      </w:divBdr>
    </w:div>
    <w:div w:id="1946109293">
      <w:bodyDiv w:val="1"/>
      <w:marLeft w:val="0"/>
      <w:marRight w:val="0"/>
      <w:marTop w:val="0"/>
      <w:marBottom w:val="0"/>
      <w:divBdr>
        <w:top w:val="none" w:sz="0" w:space="0" w:color="auto"/>
        <w:left w:val="none" w:sz="0" w:space="0" w:color="auto"/>
        <w:bottom w:val="none" w:sz="0" w:space="0" w:color="auto"/>
        <w:right w:val="none" w:sz="0" w:space="0" w:color="auto"/>
      </w:divBdr>
    </w:div>
    <w:div w:id="1946182788">
      <w:bodyDiv w:val="1"/>
      <w:marLeft w:val="0"/>
      <w:marRight w:val="0"/>
      <w:marTop w:val="0"/>
      <w:marBottom w:val="0"/>
      <w:divBdr>
        <w:top w:val="none" w:sz="0" w:space="0" w:color="auto"/>
        <w:left w:val="none" w:sz="0" w:space="0" w:color="auto"/>
        <w:bottom w:val="none" w:sz="0" w:space="0" w:color="auto"/>
        <w:right w:val="none" w:sz="0" w:space="0" w:color="auto"/>
      </w:divBdr>
      <w:divsChild>
        <w:div w:id="860851">
          <w:marLeft w:val="0"/>
          <w:marRight w:val="0"/>
          <w:marTop w:val="0"/>
          <w:marBottom w:val="0"/>
          <w:divBdr>
            <w:top w:val="none" w:sz="0" w:space="0" w:color="auto"/>
            <w:left w:val="none" w:sz="0" w:space="0" w:color="auto"/>
            <w:bottom w:val="none" w:sz="0" w:space="0" w:color="auto"/>
            <w:right w:val="none" w:sz="0" w:space="0" w:color="auto"/>
          </w:divBdr>
        </w:div>
        <w:div w:id="47651729">
          <w:marLeft w:val="0"/>
          <w:marRight w:val="0"/>
          <w:marTop w:val="0"/>
          <w:marBottom w:val="0"/>
          <w:divBdr>
            <w:top w:val="none" w:sz="0" w:space="0" w:color="auto"/>
            <w:left w:val="none" w:sz="0" w:space="0" w:color="auto"/>
            <w:bottom w:val="none" w:sz="0" w:space="0" w:color="auto"/>
            <w:right w:val="none" w:sz="0" w:space="0" w:color="auto"/>
          </w:divBdr>
        </w:div>
        <w:div w:id="47923029">
          <w:marLeft w:val="0"/>
          <w:marRight w:val="0"/>
          <w:marTop w:val="0"/>
          <w:marBottom w:val="0"/>
          <w:divBdr>
            <w:top w:val="none" w:sz="0" w:space="0" w:color="auto"/>
            <w:left w:val="none" w:sz="0" w:space="0" w:color="auto"/>
            <w:bottom w:val="none" w:sz="0" w:space="0" w:color="auto"/>
            <w:right w:val="none" w:sz="0" w:space="0" w:color="auto"/>
          </w:divBdr>
        </w:div>
        <w:div w:id="53116801">
          <w:marLeft w:val="0"/>
          <w:marRight w:val="0"/>
          <w:marTop w:val="0"/>
          <w:marBottom w:val="0"/>
          <w:divBdr>
            <w:top w:val="none" w:sz="0" w:space="0" w:color="auto"/>
            <w:left w:val="none" w:sz="0" w:space="0" w:color="auto"/>
            <w:bottom w:val="none" w:sz="0" w:space="0" w:color="auto"/>
            <w:right w:val="none" w:sz="0" w:space="0" w:color="auto"/>
          </w:divBdr>
        </w:div>
        <w:div w:id="55975107">
          <w:marLeft w:val="0"/>
          <w:marRight w:val="0"/>
          <w:marTop w:val="0"/>
          <w:marBottom w:val="0"/>
          <w:divBdr>
            <w:top w:val="none" w:sz="0" w:space="0" w:color="auto"/>
            <w:left w:val="none" w:sz="0" w:space="0" w:color="auto"/>
            <w:bottom w:val="none" w:sz="0" w:space="0" w:color="auto"/>
            <w:right w:val="none" w:sz="0" w:space="0" w:color="auto"/>
          </w:divBdr>
        </w:div>
        <w:div w:id="84543101">
          <w:marLeft w:val="0"/>
          <w:marRight w:val="0"/>
          <w:marTop w:val="0"/>
          <w:marBottom w:val="0"/>
          <w:divBdr>
            <w:top w:val="none" w:sz="0" w:space="0" w:color="auto"/>
            <w:left w:val="none" w:sz="0" w:space="0" w:color="auto"/>
            <w:bottom w:val="none" w:sz="0" w:space="0" w:color="auto"/>
            <w:right w:val="none" w:sz="0" w:space="0" w:color="auto"/>
          </w:divBdr>
        </w:div>
        <w:div w:id="87233256">
          <w:marLeft w:val="0"/>
          <w:marRight w:val="0"/>
          <w:marTop w:val="0"/>
          <w:marBottom w:val="0"/>
          <w:divBdr>
            <w:top w:val="none" w:sz="0" w:space="0" w:color="auto"/>
            <w:left w:val="none" w:sz="0" w:space="0" w:color="auto"/>
            <w:bottom w:val="none" w:sz="0" w:space="0" w:color="auto"/>
            <w:right w:val="none" w:sz="0" w:space="0" w:color="auto"/>
          </w:divBdr>
        </w:div>
        <w:div w:id="89811894">
          <w:marLeft w:val="0"/>
          <w:marRight w:val="0"/>
          <w:marTop w:val="0"/>
          <w:marBottom w:val="0"/>
          <w:divBdr>
            <w:top w:val="none" w:sz="0" w:space="0" w:color="auto"/>
            <w:left w:val="none" w:sz="0" w:space="0" w:color="auto"/>
            <w:bottom w:val="none" w:sz="0" w:space="0" w:color="auto"/>
            <w:right w:val="none" w:sz="0" w:space="0" w:color="auto"/>
          </w:divBdr>
        </w:div>
        <w:div w:id="91825523">
          <w:marLeft w:val="0"/>
          <w:marRight w:val="0"/>
          <w:marTop w:val="0"/>
          <w:marBottom w:val="0"/>
          <w:divBdr>
            <w:top w:val="none" w:sz="0" w:space="0" w:color="auto"/>
            <w:left w:val="none" w:sz="0" w:space="0" w:color="auto"/>
            <w:bottom w:val="none" w:sz="0" w:space="0" w:color="auto"/>
            <w:right w:val="none" w:sz="0" w:space="0" w:color="auto"/>
          </w:divBdr>
        </w:div>
        <w:div w:id="92896141">
          <w:marLeft w:val="0"/>
          <w:marRight w:val="0"/>
          <w:marTop w:val="0"/>
          <w:marBottom w:val="0"/>
          <w:divBdr>
            <w:top w:val="none" w:sz="0" w:space="0" w:color="auto"/>
            <w:left w:val="none" w:sz="0" w:space="0" w:color="auto"/>
            <w:bottom w:val="none" w:sz="0" w:space="0" w:color="auto"/>
            <w:right w:val="none" w:sz="0" w:space="0" w:color="auto"/>
          </w:divBdr>
        </w:div>
        <w:div w:id="99180315">
          <w:marLeft w:val="0"/>
          <w:marRight w:val="0"/>
          <w:marTop w:val="0"/>
          <w:marBottom w:val="0"/>
          <w:divBdr>
            <w:top w:val="none" w:sz="0" w:space="0" w:color="auto"/>
            <w:left w:val="none" w:sz="0" w:space="0" w:color="auto"/>
            <w:bottom w:val="none" w:sz="0" w:space="0" w:color="auto"/>
            <w:right w:val="none" w:sz="0" w:space="0" w:color="auto"/>
          </w:divBdr>
        </w:div>
        <w:div w:id="101606677">
          <w:marLeft w:val="0"/>
          <w:marRight w:val="0"/>
          <w:marTop w:val="0"/>
          <w:marBottom w:val="0"/>
          <w:divBdr>
            <w:top w:val="none" w:sz="0" w:space="0" w:color="auto"/>
            <w:left w:val="none" w:sz="0" w:space="0" w:color="auto"/>
            <w:bottom w:val="none" w:sz="0" w:space="0" w:color="auto"/>
            <w:right w:val="none" w:sz="0" w:space="0" w:color="auto"/>
          </w:divBdr>
        </w:div>
        <w:div w:id="103113676">
          <w:marLeft w:val="0"/>
          <w:marRight w:val="0"/>
          <w:marTop w:val="0"/>
          <w:marBottom w:val="0"/>
          <w:divBdr>
            <w:top w:val="none" w:sz="0" w:space="0" w:color="auto"/>
            <w:left w:val="none" w:sz="0" w:space="0" w:color="auto"/>
            <w:bottom w:val="none" w:sz="0" w:space="0" w:color="auto"/>
            <w:right w:val="none" w:sz="0" w:space="0" w:color="auto"/>
          </w:divBdr>
        </w:div>
        <w:div w:id="114905344">
          <w:marLeft w:val="0"/>
          <w:marRight w:val="0"/>
          <w:marTop w:val="0"/>
          <w:marBottom w:val="0"/>
          <w:divBdr>
            <w:top w:val="none" w:sz="0" w:space="0" w:color="auto"/>
            <w:left w:val="none" w:sz="0" w:space="0" w:color="auto"/>
            <w:bottom w:val="none" w:sz="0" w:space="0" w:color="auto"/>
            <w:right w:val="none" w:sz="0" w:space="0" w:color="auto"/>
          </w:divBdr>
        </w:div>
        <w:div w:id="137193961">
          <w:marLeft w:val="0"/>
          <w:marRight w:val="0"/>
          <w:marTop w:val="0"/>
          <w:marBottom w:val="0"/>
          <w:divBdr>
            <w:top w:val="none" w:sz="0" w:space="0" w:color="auto"/>
            <w:left w:val="none" w:sz="0" w:space="0" w:color="auto"/>
            <w:bottom w:val="none" w:sz="0" w:space="0" w:color="auto"/>
            <w:right w:val="none" w:sz="0" w:space="0" w:color="auto"/>
          </w:divBdr>
        </w:div>
        <w:div w:id="155150043">
          <w:marLeft w:val="0"/>
          <w:marRight w:val="0"/>
          <w:marTop w:val="0"/>
          <w:marBottom w:val="0"/>
          <w:divBdr>
            <w:top w:val="none" w:sz="0" w:space="0" w:color="auto"/>
            <w:left w:val="none" w:sz="0" w:space="0" w:color="auto"/>
            <w:bottom w:val="none" w:sz="0" w:space="0" w:color="auto"/>
            <w:right w:val="none" w:sz="0" w:space="0" w:color="auto"/>
          </w:divBdr>
        </w:div>
        <w:div w:id="159932716">
          <w:marLeft w:val="0"/>
          <w:marRight w:val="0"/>
          <w:marTop w:val="0"/>
          <w:marBottom w:val="0"/>
          <w:divBdr>
            <w:top w:val="none" w:sz="0" w:space="0" w:color="auto"/>
            <w:left w:val="none" w:sz="0" w:space="0" w:color="auto"/>
            <w:bottom w:val="none" w:sz="0" w:space="0" w:color="auto"/>
            <w:right w:val="none" w:sz="0" w:space="0" w:color="auto"/>
          </w:divBdr>
        </w:div>
        <w:div w:id="172038293">
          <w:marLeft w:val="0"/>
          <w:marRight w:val="0"/>
          <w:marTop w:val="0"/>
          <w:marBottom w:val="0"/>
          <w:divBdr>
            <w:top w:val="none" w:sz="0" w:space="0" w:color="auto"/>
            <w:left w:val="none" w:sz="0" w:space="0" w:color="auto"/>
            <w:bottom w:val="none" w:sz="0" w:space="0" w:color="auto"/>
            <w:right w:val="none" w:sz="0" w:space="0" w:color="auto"/>
          </w:divBdr>
        </w:div>
        <w:div w:id="187184996">
          <w:marLeft w:val="0"/>
          <w:marRight w:val="0"/>
          <w:marTop w:val="0"/>
          <w:marBottom w:val="0"/>
          <w:divBdr>
            <w:top w:val="none" w:sz="0" w:space="0" w:color="auto"/>
            <w:left w:val="none" w:sz="0" w:space="0" w:color="auto"/>
            <w:bottom w:val="none" w:sz="0" w:space="0" w:color="auto"/>
            <w:right w:val="none" w:sz="0" w:space="0" w:color="auto"/>
          </w:divBdr>
        </w:div>
        <w:div w:id="197663155">
          <w:marLeft w:val="0"/>
          <w:marRight w:val="0"/>
          <w:marTop w:val="0"/>
          <w:marBottom w:val="0"/>
          <w:divBdr>
            <w:top w:val="none" w:sz="0" w:space="0" w:color="auto"/>
            <w:left w:val="none" w:sz="0" w:space="0" w:color="auto"/>
            <w:bottom w:val="none" w:sz="0" w:space="0" w:color="auto"/>
            <w:right w:val="none" w:sz="0" w:space="0" w:color="auto"/>
          </w:divBdr>
        </w:div>
        <w:div w:id="229271491">
          <w:marLeft w:val="0"/>
          <w:marRight w:val="0"/>
          <w:marTop w:val="0"/>
          <w:marBottom w:val="0"/>
          <w:divBdr>
            <w:top w:val="none" w:sz="0" w:space="0" w:color="auto"/>
            <w:left w:val="none" w:sz="0" w:space="0" w:color="auto"/>
            <w:bottom w:val="none" w:sz="0" w:space="0" w:color="auto"/>
            <w:right w:val="none" w:sz="0" w:space="0" w:color="auto"/>
          </w:divBdr>
        </w:div>
        <w:div w:id="235819932">
          <w:marLeft w:val="0"/>
          <w:marRight w:val="0"/>
          <w:marTop w:val="0"/>
          <w:marBottom w:val="0"/>
          <w:divBdr>
            <w:top w:val="none" w:sz="0" w:space="0" w:color="auto"/>
            <w:left w:val="none" w:sz="0" w:space="0" w:color="auto"/>
            <w:bottom w:val="none" w:sz="0" w:space="0" w:color="auto"/>
            <w:right w:val="none" w:sz="0" w:space="0" w:color="auto"/>
          </w:divBdr>
        </w:div>
        <w:div w:id="241959527">
          <w:marLeft w:val="0"/>
          <w:marRight w:val="0"/>
          <w:marTop w:val="0"/>
          <w:marBottom w:val="0"/>
          <w:divBdr>
            <w:top w:val="none" w:sz="0" w:space="0" w:color="auto"/>
            <w:left w:val="none" w:sz="0" w:space="0" w:color="auto"/>
            <w:bottom w:val="none" w:sz="0" w:space="0" w:color="auto"/>
            <w:right w:val="none" w:sz="0" w:space="0" w:color="auto"/>
          </w:divBdr>
        </w:div>
        <w:div w:id="246812252">
          <w:marLeft w:val="0"/>
          <w:marRight w:val="0"/>
          <w:marTop w:val="0"/>
          <w:marBottom w:val="0"/>
          <w:divBdr>
            <w:top w:val="none" w:sz="0" w:space="0" w:color="auto"/>
            <w:left w:val="none" w:sz="0" w:space="0" w:color="auto"/>
            <w:bottom w:val="none" w:sz="0" w:space="0" w:color="auto"/>
            <w:right w:val="none" w:sz="0" w:space="0" w:color="auto"/>
          </w:divBdr>
        </w:div>
        <w:div w:id="252668159">
          <w:marLeft w:val="0"/>
          <w:marRight w:val="0"/>
          <w:marTop w:val="0"/>
          <w:marBottom w:val="0"/>
          <w:divBdr>
            <w:top w:val="none" w:sz="0" w:space="0" w:color="auto"/>
            <w:left w:val="none" w:sz="0" w:space="0" w:color="auto"/>
            <w:bottom w:val="none" w:sz="0" w:space="0" w:color="auto"/>
            <w:right w:val="none" w:sz="0" w:space="0" w:color="auto"/>
          </w:divBdr>
        </w:div>
        <w:div w:id="262614480">
          <w:marLeft w:val="0"/>
          <w:marRight w:val="0"/>
          <w:marTop w:val="0"/>
          <w:marBottom w:val="0"/>
          <w:divBdr>
            <w:top w:val="none" w:sz="0" w:space="0" w:color="auto"/>
            <w:left w:val="none" w:sz="0" w:space="0" w:color="auto"/>
            <w:bottom w:val="none" w:sz="0" w:space="0" w:color="auto"/>
            <w:right w:val="none" w:sz="0" w:space="0" w:color="auto"/>
          </w:divBdr>
        </w:div>
        <w:div w:id="298875733">
          <w:marLeft w:val="0"/>
          <w:marRight w:val="0"/>
          <w:marTop w:val="0"/>
          <w:marBottom w:val="0"/>
          <w:divBdr>
            <w:top w:val="none" w:sz="0" w:space="0" w:color="auto"/>
            <w:left w:val="none" w:sz="0" w:space="0" w:color="auto"/>
            <w:bottom w:val="none" w:sz="0" w:space="0" w:color="auto"/>
            <w:right w:val="none" w:sz="0" w:space="0" w:color="auto"/>
          </w:divBdr>
        </w:div>
        <w:div w:id="312879415">
          <w:marLeft w:val="0"/>
          <w:marRight w:val="0"/>
          <w:marTop w:val="0"/>
          <w:marBottom w:val="0"/>
          <w:divBdr>
            <w:top w:val="none" w:sz="0" w:space="0" w:color="auto"/>
            <w:left w:val="none" w:sz="0" w:space="0" w:color="auto"/>
            <w:bottom w:val="none" w:sz="0" w:space="0" w:color="auto"/>
            <w:right w:val="none" w:sz="0" w:space="0" w:color="auto"/>
          </w:divBdr>
        </w:div>
        <w:div w:id="315912604">
          <w:marLeft w:val="0"/>
          <w:marRight w:val="0"/>
          <w:marTop w:val="0"/>
          <w:marBottom w:val="0"/>
          <w:divBdr>
            <w:top w:val="none" w:sz="0" w:space="0" w:color="auto"/>
            <w:left w:val="none" w:sz="0" w:space="0" w:color="auto"/>
            <w:bottom w:val="none" w:sz="0" w:space="0" w:color="auto"/>
            <w:right w:val="none" w:sz="0" w:space="0" w:color="auto"/>
          </w:divBdr>
        </w:div>
        <w:div w:id="345209812">
          <w:marLeft w:val="0"/>
          <w:marRight w:val="0"/>
          <w:marTop w:val="0"/>
          <w:marBottom w:val="0"/>
          <w:divBdr>
            <w:top w:val="none" w:sz="0" w:space="0" w:color="auto"/>
            <w:left w:val="none" w:sz="0" w:space="0" w:color="auto"/>
            <w:bottom w:val="none" w:sz="0" w:space="0" w:color="auto"/>
            <w:right w:val="none" w:sz="0" w:space="0" w:color="auto"/>
          </w:divBdr>
        </w:div>
        <w:div w:id="351611162">
          <w:marLeft w:val="0"/>
          <w:marRight w:val="0"/>
          <w:marTop w:val="0"/>
          <w:marBottom w:val="0"/>
          <w:divBdr>
            <w:top w:val="none" w:sz="0" w:space="0" w:color="auto"/>
            <w:left w:val="none" w:sz="0" w:space="0" w:color="auto"/>
            <w:bottom w:val="none" w:sz="0" w:space="0" w:color="auto"/>
            <w:right w:val="none" w:sz="0" w:space="0" w:color="auto"/>
          </w:divBdr>
        </w:div>
        <w:div w:id="352730241">
          <w:marLeft w:val="0"/>
          <w:marRight w:val="0"/>
          <w:marTop w:val="0"/>
          <w:marBottom w:val="0"/>
          <w:divBdr>
            <w:top w:val="none" w:sz="0" w:space="0" w:color="auto"/>
            <w:left w:val="none" w:sz="0" w:space="0" w:color="auto"/>
            <w:bottom w:val="none" w:sz="0" w:space="0" w:color="auto"/>
            <w:right w:val="none" w:sz="0" w:space="0" w:color="auto"/>
          </w:divBdr>
        </w:div>
        <w:div w:id="372510061">
          <w:marLeft w:val="0"/>
          <w:marRight w:val="0"/>
          <w:marTop w:val="0"/>
          <w:marBottom w:val="0"/>
          <w:divBdr>
            <w:top w:val="none" w:sz="0" w:space="0" w:color="auto"/>
            <w:left w:val="none" w:sz="0" w:space="0" w:color="auto"/>
            <w:bottom w:val="none" w:sz="0" w:space="0" w:color="auto"/>
            <w:right w:val="none" w:sz="0" w:space="0" w:color="auto"/>
          </w:divBdr>
        </w:div>
        <w:div w:id="385111590">
          <w:marLeft w:val="0"/>
          <w:marRight w:val="0"/>
          <w:marTop w:val="0"/>
          <w:marBottom w:val="0"/>
          <w:divBdr>
            <w:top w:val="none" w:sz="0" w:space="0" w:color="auto"/>
            <w:left w:val="none" w:sz="0" w:space="0" w:color="auto"/>
            <w:bottom w:val="none" w:sz="0" w:space="0" w:color="auto"/>
            <w:right w:val="none" w:sz="0" w:space="0" w:color="auto"/>
          </w:divBdr>
        </w:div>
        <w:div w:id="400635731">
          <w:marLeft w:val="0"/>
          <w:marRight w:val="0"/>
          <w:marTop w:val="0"/>
          <w:marBottom w:val="0"/>
          <w:divBdr>
            <w:top w:val="none" w:sz="0" w:space="0" w:color="auto"/>
            <w:left w:val="none" w:sz="0" w:space="0" w:color="auto"/>
            <w:bottom w:val="none" w:sz="0" w:space="0" w:color="auto"/>
            <w:right w:val="none" w:sz="0" w:space="0" w:color="auto"/>
          </w:divBdr>
        </w:div>
        <w:div w:id="401492298">
          <w:marLeft w:val="0"/>
          <w:marRight w:val="0"/>
          <w:marTop w:val="0"/>
          <w:marBottom w:val="0"/>
          <w:divBdr>
            <w:top w:val="none" w:sz="0" w:space="0" w:color="auto"/>
            <w:left w:val="none" w:sz="0" w:space="0" w:color="auto"/>
            <w:bottom w:val="none" w:sz="0" w:space="0" w:color="auto"/>
            <w:right w:val="none" w:sz="0" w:space="0" w:color="auto"/>
          </w:divBdr>
        </w:div>
        <w:div w:id="411199737">
          <w:marLeft w:val="0"/>
          <w:marRight w:val="0"/>
          <w:marTop w:val="0"/>
          <w:marBottom w:val="0"/>
          <w:divBdr>
            <w:top w:val="none" w:sz="0" w:space="0" w:color="auto"/>
            <w:left w:val="none" w:sz="0" w:space="0" w:color="auto"/>
            <w:bottom w:val="none" w:sz="0" w:space="0" w:color="auto"/>
            <w:right w:val="none" w:sz="0" w:space="0" w:color="auto"/>
          </w:divBdr>
        </w:div>
        <w:div w:id="417940943">
          <w:marLeft w:val="0"/>
          <w:marRight w:val="0"/>
          <w:marTop w:val="0"/>
          <w:marBottom w:val="0"/>
          <w:divBdr>
            <w:top w:val="none" w:sz="0" w:space="0" w:color="auto"/>
            <w:left w:val="none" w:sz="0" w:space="0" w:color="auto"/>
            <w:bottom w:val="none" w:sz="0" w:space="0" w:color="auto"/>
            <w:right w:val="none" w:sz="0" w:space="0" w:color="auto"/>
          </w:divBdr>
        </w:div>
        <w:div w:id="421951671">
          <w:marLeft w:val="0"/>
          <w:marRight w:val="0"/>
          <w:marTop w:val="0"/>
          <w:marBottom w:val="0"/>
          <w:divBdr>
            <w:top w:val="none" w:sz="0" w:space="0" w:color="auto"/>
            <w:left w:val="none" w:sz="0" w:space="0" w:color="auto"/>
            <w:bottom w:val="none" w:sz="0" w:space="0" w:color="auto"/>
            <w:right w:val="none" w:sz="0" w:space="0" w:color="auto"/>
          </w:divBdr>
        </w:div>
        <w:div w:id="447746950">
          <w:marLeft w:val="0"/>
          <w:marRight w:val="0"/>
          <w:marTop w:val="0"/>
          <w:marBottom w:val="0"/>
          <w:divBdr>
            <w:top w:val="none" w:sz="0" w:space="0" w:color="auto"/>
            <w:left w:val="none" w:sz="0" w:space="0" w:color="auto"/>
            <w:bottom w:val="none" w:sz="0" w:space="0" w:color="auto"/>
            <w:right w:val="none" w:sz="0" w:space="0" w:color="auto"/>
          </w:divBdr>
        </w:div>
        <w:div w:id="467358813">
          <w:marLeft w:val="0"/>
          <w:marRight w:val="0"/>
          <w:marTop w:val="0"/>
          <w:marBottom w:val="0"/>
          <w:divBdr>
            <w:top w:val="none" w:sz="0" w:space="0" w:color="auto"/>
            <w:left w:val="none" w:sz="0" w:space="0" w:color="auto"/>
            <w:bottom w:val="none" w:sz="0" w:space="0" w:color="auto"/>
            <w:right w:val="none" w:sz="0" w:space="0" w:color="auto"/>
          </w:divBdr>
        </w:div>
        <w:div w:id="473571723">
          <w:marLeft w:val="0"/>
          <w:marRight w:val="0"/>
          <w:marTop w:val="0"/>
          <w:marBottom w:val="0"/>
          <w:divBdr>
            <w:top w:val="none" w:sz="0" w:space="0" w:color="auto"/>
            <w:left w:val="none" w:sz="0" w:space="0" w:color="auto"/>
            <w:bottom w:val="none" w:sz="0" w:space="0" w:color="auto"/>
            <w:right w:val="none" w:sz="0" w:space="0" w:color="auto"/>
          </w:divBdr>
        </w:div>
        <w:div w:id="474839325">
          <w:marLeft w:val="0"/>
          <w:marRight w:val="0"/>
          <w:marTop w:val="0"/>
          <w:marBottom w:val="0"/>
          <w:divBdr>
            <w:top w:val="none" w:sz="0" w:space="0" w:color="auto"/>
            <w:left w:val="none" w:sz="0" w:space="0" w:color="auto"/>
            <w:bottom w:val="none" w:sz="0" w:space="0" w:color="auto"/>
            <w:right w:val="none" w:sz="0" w:space="0" w:color="auto"/>
          </w:divBdr>
        </w:div>
        <w:div w:id="476648522">
          <w:marLeft w:val="0"/>
          <w:marRight w:val="0"/>
          <w:marTop w:val="0"/>
          <w:marBottom w:val="0"/>
          <w:divBdr>
            <w:top w:val="none" w:sz="0" w:space="0" w:color="auto"/>
            <w:left w:val="none" w:sz="0" w:space="0" w:color="auto"/>
            <w:bottom w:val="none" w:sz="0" w:space="0" w:color="auto"/>
            <w:right w:val="none" w:sz="0" w:space="0" w:color="auto"/>
          </w:divBdr>
        </w:div>
        <w:div w:id="482620134">
          <w:marLeft w:val="0"/>
          <w:marRight w:val="0"/>
          <w:marTop w:val="0"/>
          <w:marBottom w:val="0"/>
          <w:divBdr>
            <w:top w:val="none" w:sz="0" w:space="0" w:color="auto"/>
            <w:left w:val="none" w:sz="0" w:space="0" w:color="auto"/>
            <w:bottom w:val="none" w:sz="0" w:space="0" w:color="auto"/>
            <w:right w:val="none" w:sz="0" w:space="0" w:color="auto"/>
          </w:divBdr>
        </w:div>
        <w:div w:id="504052658">
          <w:marLeft w:val="0"/>
          <w:marRight w:val="0"/>
          <w:marTop w:val="0"/>
          <w:marBottom w:val="0"/>
          <w:divBdr>
            <w:top w:val="none" w:sz="0" w:space="0" w:color="auto"/>
            <w:left w:val="none" w:sz="0" w:space="0" w:color="auto"/>
            <w:bottom w:val="none" w:sz="0" w:space="0" w:color="auto"/>
            <w:right w:val="none" w:sz="0" w:space="0" w:color="auto"/>
          </w:divBdr>
        </w:div>
        <w:div w:id="526404962">
          <w:marLeft w:val="0"/>
          <w:marRight w:val="0"/>
          <w:marTop w:val="0"/>
          <w:marBottom w:val="0"/>
          <w:divBdr>
            <w:top w:val="none" w:sz="0" w:space="0" w:color="auto"/>
            <w:left w:val="none" w:sz="0" w:space="0" w:color="auto"/>
            <w:bottom w:val="none" w:sz="0" w:space="0" w:color="auto"/>
            <w:right w:val="none" w:sz="0" w:space="0" w:color="auto"/>
          </w:divBdr>
        </w:div>
        <w:div w:id="548956388">
          <w:marLeft w:val="0"/>
          <w:marRight w:val="0"/>
          <w:marTop w:val="0"/>
          <w:marBottom w:val="0"/>
          <w:divBdr>
            <w:top w:val="none" w:sz="0" w:space="0" w:color="auto"/>
            <w:left w:val="none" w:sz="0" w:space="0" w:color="auto"/>
            <w:bottom w:val="none" w:sz="0" w:space="0" w:color="auto"/>
            <w:right w:val="none" w:sz="0" w:space="0" w:color="auto"/>
          </w:divBdr>
        </w:div>
        <w:div w:id="561479620">
          <w:marLeft w:val="0"/>
          <w:marRight w:val="0"/>
          <w:marTop w:val="0"/>
          <w:marBottom w:val="0"/>
          <w:divBdr>
            <w:top w:val="none" w:sz="0" w:space="0" w:color="auto"/>
            <w:left w:val="none" w:sz="0" w:space="0" w:color="auto"/>
            <w:bottom w:val="none" w:sz="0" w:space="0" w:color="auto"/>
            <w:right w:val="none" w:sz="0" w:space="0" w:color="auto"/>
          </w:divBdr>
        </w:div>
        <w:div w:id="568006131">
          <w:marLeft w:val="0"/>
          <w:marRight w:val="0"/>
          <w:marTop w:val="0"/>
          <w:marBottom w:val="0"/>
          <w:divBdr>
            <w:top w:val="none" w:sz="0" w:space="0" w:color="auto"/>
            <w:left w:val="none" w:sz="0" w:space="0" w:color="auto"/>
            <w:bottom w:val="none" w:sz="0" w:space="0" w:color="auto"/>
            <w:right w:val="none" w:sz="0" w:space="0" w:color="auto"/>
          </w:divBdr>
        </w:div>
        <w:div w:id="581254030">
          <w:marLeft w:val="0"/>
          <w:marRight w:val="0"/>
          <w:marTop w:val="0"/>
          <w:marBottom w:val="0"/>
          <w:divBdr>
            <w:top w:val="none" w:sz="0" w:space="0" w:color="auto"/>
            <w:left w:val="none" w:sz="0" w:space="0" w:color="auto"/>
            <w:bottom w:val="none" w:sz="0" w:space="0" w:color="auto"/>
            <w:right w:val="none" w:sz="0" w:space="0" w:color="auto"/>
          </w:divBdr>
        </w:div>
        <w:div w:id="596713777">
          <w:marLeft w:val="0"/>
          <w:marRight w:val="0"/>
          <w:marTop w:val="0"/>
          <w:marBottom w:val="0"/>
          <w:divBdr>
            <w:top w:val="none" w:sz="0" w:space="0" w:color="auto"/>
            <w:left w:val="none" w:sz="0" w:space="0" w:color="auto"/>
            <w:bottom w:val="none" w:sz="0" w:space="0" w:color="auto"/>
            <w:right w:val="none" w:sz="0" w:space="0" w:color="auto"/>
          </w:divBdr>
        </w:div>
        <w:div w:id="597912496">
          <w:marLeft w:val="0"/>
          <w:marRight w:val="0"/>
          <w:marTop w:val="0"/>
          <w:marBottom w:val="0"/>
          <w:divBdr>
            <w:top w:val="none" w:sz="0" w:space="0" w:color="auto"/>
            <w:left w:val="none" w:sz="0" w:space="0" w:color="auto"/>
            <w:bottom w:val="none" w:sz="0" w:space="0" w:color="auto"/>
            <w:right w:val="none" w:sz="0" w:space="0" w:color="auto"/>
          </w:divBdr>
        </w:div>
        <w:div w:id="605695451">
          <w:marLeft w:val="0"/>
          <w:marRight w:val="0"/>
          <w:marTop w:val="0"/>
          <w:marBottom w:val="0"/>
          <w:divBdr>
            <w:top w:val="none" w:sz="0" w:space="0" w:color="auto"/>
            <w:left w:val="none" w:sz="0" w:space="0" w:color="auto"/>
            <w:bottom w:val="none" w:sz="0" w:space="0" w:color="auto"/>
            <w:right w:val="none" w:sz="0" w:space="0" w:color="auto"/>
          </w:divBdr>
        </w:div>
        <w:div w:id="606734360">
          <w:marLeft w:val="0"/>
          <w:marRight w:val="0"/>
          <w:marTop w:val="0"/>
          <w:marBottom w:val="0"/>
          <w:divBdr>
            <w:top w:val="none" w:sz="0" w:space="0" w:color="auto"/>
            <w:left w:val="none" w:sz="0" w:space="0" w:color="auto"/>
            <w:bottom w:val="none" w:sz="0" w:space="0" w:color="auto"/>
            <w:right w:val="none" w:sz="0" w:space="0" w:color="auto"/>
          </w:divBdr>
        </w:div>
        <w:div w:id="623535046">
          <w:marLeft w:val="0"/>
          <w:marRight w:val="0"/>
          <w:marTop w:val="0"/>
          <w:marBottom w:val="0"/>
          <w:divBdr>
            <w:top w:val="none" w:sz="0" w:space="0" w:color="auto"/>
            <w:left w:val="none" w:sz="0" w:space="0" w:color="auto"/>
            <w:bottom w:val="none" w:sz="0" w:space="0" w:color="auto"/>
            <w:right w:val="none" w:sz="0" w:space="0" w:color="auto"/>
          </w:divBdr>
        </w:div>
        <w:div w:id="627052848">
          <w:marLeft w:val="0"/>
          <w:marRight w:val="0"/>
          <w:marTop w:val="0"/>
          <w:marBottom w:val="0"/>
          <w:divBdr>
            <w:top w:val="none" w:sz="0" w:space="0" w:color="auto"/>
            <w:left w:val="none" w:sz="0" w:space="0" w:color="auto"/>
            <w:bottom w:val="none" w:sz="0" w:space="0" w:color="auto"/>
            <w:right w:val="none" w:sz="0" w:space="0" w:color="auto"/>
          </w:divBdr>
        </w:div>
        <w:div w:id="658852525">
          <w:marLeft w:val="0"/>
          <w:marRight w:val="0"/>
          <w:marTop w:val="0"/>
          <w:marBottom w:val="0"/>
          <w:divBdr>
            <w:top w:val="none" w:sz="0" w:space="0" w:color="auto"/>
            <w:left w:val="none" w:sz="0" w:space="0" w:color="auto"/>
            <w:bottom w:val="none" w:sz="0" w:space="0" w:color="auto"/>
            <w:right w:val="none" w:sz="0" w:space="0" w:color="auto"/>
          </w:divBdr>
        </w:div>
        <w:div w:id="674457238">
          <w:marLeft w:val="0"/>
          <w:marRight w:val="0"/>
          <w:marTop w:val="0"/>
          <w:marBottom w:val="0"/>
          <w:divBdr>
            <w:top w:val="none" w:sz="0" w:space="0" w:color="auto"/>
            <w:left w:val="none" w:sz="0" w:space="0" w:color="auto"/>
            <w:bottom w:val="none" w:sz="0" w:space="0" w:color="auto"/>
            <w:right w:val="none" w:sz="0" w:space="0" w:color="auto"/>
          </w:divBdr>
        </w:div>
        <w:div w:id="679621843">
          <w:marLeft w:val="0"/>
          <w:marRight w:val="0"/>
          <w:marTop w:val="0"/>
          <w:marBottom w:val="0"/>
          <w:divBdr>
            <w:top w:val="none" w:sz="0" w:space="0" w:color="auto"/>
            <w:left w:val="none" w:sz="0" w:space="0" w:color="auto"/>
            <w:bottom w:val="none" w:sz="0" w:space="0" w:color="auto"/>
            <w:right w:val="none" w:sz="0" w:space="0" w:color="auto"/>
          </w:divBdr>
        </w:div>
        <w:div w:id="719936902">
          <w:marLeft w:val="0"/>
          <w:marRight w:val="0"/>
          <w:marTop w:val="0"/>
          <w:marBottom w:val="0"/>
          <w:divBdr>
            <w:top w:val="none" w:sz="0" w:space="0" w:color="auto"/>
            <w:left w:val="none" w:sz="0" w:space="0" w:color="auto"/>
            <w:bottom w:val="none" w:sz="0" w:space="0" w:color="auto"/>
            <w:right w:val="none" w:sz="0" w:space="0" w:color="auto"/>
          </w:divBdr>
        </w:div>
        <w:div w:id="732047379">
          <w:marLeft w:val="0"/>
          <w:marRight w:val="0"/>
          <w:marTop w:val="0"/>
          <w:marBottom w:val="0"/>
          <w:divBdr>
            <w:top w:val="none" w:sz="0" w:space="0" w:color="auto"/>
            <w:left w:val="none" w:sz="0" w:space="0" w:color="auto"/>
            <w:bottom w:val="none" w:sz="0" w:space="0" w:color="auto"/>
            <w:right w:val="none" w:sz="0" w:space="0" w:color="auto"/>
          </w:divBdr>
        </w:div>
        <w:div w:id="749545195">
          <w:marLeft w:val="0"/>
          <w:marRight w:val="0"/>
          <w:marTop w:val="0"/>
          <w:marBottom w:val="0"/>
          <w:divBdr>
            <w:top w:val="none" w:sz="0" w:space="0" w:color="auto"/>
            <w:left w:val="none" w:sz="0" w:space="0" w:color="auto"/>
            <w:bottom w:val="none" w:sz="0" w:space="0" w:color="auto"/>
            <w:right w:val="none" w:sz="0" w:space="0" w:color="auto"/>
          </w:divBdr>
        </w:div>
        <w:div w:id="774641044">
          <w:marLeft w:val="0"/>
          <w:marRight w:val="0"/>
          <w:marTop w:val="0"/>
          <w:marBottom w:val="0"/>
          <w:divBdr>
            <w:top w:val="none" w:sz="0" w:space="0" w:color="auto"/>
            <w:left w:val="none" w:sz="0" w:space="0" w:color="auto"/>
            <w:bottom w:val="none" w:sz="0" w:space="0" w:color="auto"/>
            <w:right w:val="none" w:sz="0" w:space="0" w:color="auto"/>
          </w:divBdr>
        </w:div>
        <w:div w:id="777603530">
          <w:marLeft w:val="0"/>
          <w:marRight w:val="0"/>
          <w:marTop w:val="0"/>
          <w:marBottom w:val="0"/>
          <w:divBdr>
            <w:top w:val="none" w:sz="0" w:space="0" w:color="auto"/>
            <w:left w:val="none" w:sz="0" w:space="0" w:color="auto"/>
            <w:bottom w:val="none" w:sz="0" w:space="0" w:color="auto"/>
            <w:right w:val="none" w:sz="0" w:space="0" w:color="auto"/>
          </w:divBdr>
        </w:div>
        <w:div w:id="780104490">
          <w:marLeft w:val="0"/>
          <w:marRight w:val="0"/>
          <w:marTop w:val="0"/>
          <w:marBottom w:val="0"/>
          <w:divBdr>
            <w:top w:val="none" w:sz="0" w:space="0" w:color="auto"/>
            <w:left w:val="none" w:sz="0" w:space="0" w:color="auto"/>
            <w:bottom w:val="none" w:sz="0" w:space="0" w:color="auto"/>
            <w:right w:val="none" w:sz="0" w:space="0" w:color="auto"/>
          </w:divBdr>
        </w:div>
        <w:div w:id="803736938">
          <w:marLeft w:val="0"/>
          <w:marRight w:val="0"/>
          <w:marTop w:val="0"/>
          <w:marBottom w:val="0"/>
          <w:divBdr>
            <w:top w:val="none" w:sz="0" w:space="0" w:color="auto"/>
            <w:left w:val="none" w:sz="0" w:space="0" w:color="auto"/>
            <w:bottom w:val="none" w:sz="0" w:space="0" w:color="auto"/>
            <w:right w:val="none" w:sz="0" w:space="0" w:color="auto"/>
          </w:divBdr>
        </w:div>
        <w:div w:id="821123471">
          <w:marLeft w:val="0"/>
          <w:marRight w:val="0"/>
          <w:marTop w:val="0"/>
          <w:marBottom w:val="0"/>
          <w:divBdr>
            <w:top w:val="none" w:sz="0" w:space="0" w:color="auto"/>
            <w:left w:val="none" w:sz="0" w:space="0" w:color="auto"/>
            <w:bottom w:val="none" w:sz="0" w:space="0" w:color="auto"/>
            <w:right w:val="none" w:sz="0" w:space="0" w:color="auto"/>
          </w:divBdr>
        </w:div>
        <w:div w:id="829759095">
          <w:marLeft w:val="0"/>
          <w:marRight w:val="0"/>
          <w:marTop w:val="0"/>
          <w:marBottom w:val="0"/>
          <w:divBdr>
            <w:top w:val="none" w:sz="0" w:space="0" w:color="auto"/>
            <w:left w:val="none" w:sz="0" w:space="0" w:color="auto"/>
            <w:bottom w:val="none" w:sz="0" w:space="0" w:color="auto"/>
            <w:right w:val="none" w:sz="0" w:space="0" w:color="auto"/>
          </w:divBdr>
        </w:div>
        <w:div w:id="840897372">
          <w:marLeft w:val="0"/>
          <w:marRight w:val="0"/>
          <w:marTop w:val="0"/>
          <w:marBottom w:val="0"/>
          <w:divBdr>
            <w:top w:val="none" w:sz="0" w:space="0" w:color="auto"/>
            <w:left w:val="none" w:sz="0" w:space="0" w:color="auto"/>
            <w:bottom w:val="none" w:sz="0" w:space="0" w:color="auto"/>
            <w:right w:val="none" w:sz="0" w:space="0" w:color="auto"/>
          </w:divBdr>
        </w:div>
        <w:div w:id="845752232">
          <w:marLeft w:val="0"/>
          <w:marRight w:val="0"/>
          <w:marTop w:val="0"/>
          <w:marBottom w:val="0"/>
          <w:divBdr>
            <w:top w:val="none" w:sz="0" w:space="0" w:color="auto"/>
            <w:left w:val="none" w:sz="0" w:space="0" w:color="auto"/>
            <w:bottom w:val="none" w:sz="0" w:space="0" w:color="auto"/>
            <w:right w:val="none" w:sz="0" w:space="0" w:color="auto"/>
          </w:divBdr>
        </w:div>
        <w:div w:id="850140998">
          <w:marLeft w:val="0"/>
          <w:marRight w:val="0"/>
          <w:marTop w:val="0"/>
          <w:marBottom w:val="0"/>
          <w:divBdr>
            <w:top w:val="none" w:sz="0" w:space="0" w:color="auto"/>
            <w:left w:val="none" w:sz="0" w:space="0" w:color="auto"/>
            <w:bottom w:val="none" w:sz="0" w:space="0" w:color="auto"/>
            <w:right w:val="none" w:sz="0" w:space="0" w:color="auto"/>
          </w:divBdr>
        </w:div>
        <w:div w:id="852377491">
          <w:marLeft w:val="0"/>
          <w:marRight w:val="0"/>
          <w:marTop w:val="0"/>
          <w:marBottom w:val="0"/>
          <w:divBdr>
            <w:top w:val="none" w:sz="0" w:space="0" w:color="auto"/>
            <w:left w:val="none" w:sz="0" w:space="0" w:color="auto"/>
            <w:bottom w:val="none" w:sz="0" w:space="0" w:color="auto"/>
            <w:right w:val="none" w:sz="0" w:space="0" w:color="auto"/>
          </w:divBdr>
        </w:div>
        <w:div w:id="884371361">
          <w:marLeft w:val="0"/>
          <w:marRight w:val="0"/>
          <w:marTop w:val="0"/>
          <w:marBottom w:val="0"/>
          <w:divBdr>
            <w:top w:val="none" w:sz="0" w:space="0" w:color="auto"/>
            <w:left w:val="none" w:sz="0" w:space="0" w:color="auto"/>
            <w:bottom w:val="none" w:sz="0" w:space="0" w:color="auto"/>
            <w:right w:val="none" w:sz="0" w:space="0" w:color="auto"/>
          </w:divBdr>
        </w:div>
        <w:div w:id="885489279">
          <w:marLeft w:val="0"/>
          <w:marRight w:val="0"/>
          <w:marTop w:val="0"/>
          <w:marBottom w:val="0"/>
          <w:divBdr>
            <w:top w:val="none" w:sz="0" w:space="0" w:color="auto"/>
            <w:left w:val="none" w:sz="0" w:space="0" w:color="auto"/>
            <w:bottom w:val="none" w:sz="0" w:space="0" w:color="auto"/>
            <w:right w:val="none" w:sz="0" w:space="0" w:color="auto"/>
          </w:divBdr>
        </w:div>
        <w:div w:id="893397193">
          <w:marLeft w:val="0"/>
          <w:marRight w:val="0"/>
          <w:marTop w:val="0"/>
          <w:marBottom w:val="0"/>
          <w:divBdr>
            <w:top w:val="none" w:sz="0" w:space="0" w:color="auto"/>
            <w:left w:val="none" w:sz="0" w:space="0" w:color="auto"/>
            <w:bottom w:val="none" w:sz="0" w:space="0" w:color="auto"/>
            <w:right w:val="none" w:sz="0" w:space="0" w:color="auto"/>
          </w:divBdr>
        </w:div>
        <w:div w:id="907115422">
          <w:marLeft w:val="0"/>
          <w:marRight w:val="0"/>
          <w:marTop w:val="0"/>
          <w:marBottom w:val="0"/>
          <w:divBdr>
            <w:top w:val="none" w:sz="0" w:space="0" w:color="auto"/>
            <w:left w:val="none" w:sz="0" w:space="0" w:color="auto"/>
            <w:bottom w:val="none" w:sz="0" w:space="0" w:color="auto"/>
            <w:right w:val="none" w:sz="0" w:space="0" w:color="auto"/>
          </w:divBdr>
        </w:div>
        <w:div w:id="914705504">
          <w:marLeft w:val="0"/>
          <w:marRight w:val="0"/>
          <w:marTop w:val="0"/>
          <w:marBottom w:val="0"/>
          <w:divBdr>
            <w:top w:val="none" w:sz="0" w:space="0" w:color="auto"/>
            <w:left w:val="none" w:sz="0" w:space="0" w:color="auto"/>
            <w:bottom w:val="none" w:sz="0" w:space="0" w:color="auto"/>
            <w:right w:val="none" w:sz="0" w:space="0" w:color="auto"/>
          </w:divBdr>
        </w:div>
        <w:div w:id="922101773">
          <w:marLeft w:val="0"/>
          <w:marRight w:val="0"/>
          <w:marTop w:val="0"/>
          <w:marBottom w:val="0"/>
          <w:divBdr>
            <w:top w:val="none" w:sz="0" w:space="0" w:color="auto"/>
            <w:left w:val="none" w:sz="0" w:space="0" w:color="auto"/>
            <w:bottom w:val="none" w:sz="0" w:space="0" w:color="auto"/>
            <w:right w:val="none" w:sz="0" w:space="0" w:color="auto"/>
          </w:divBdr>
        </w:div>
        <w:div w:id="930310225">
          <w:marLeft w:val="0"/>
          <w:marRight w:val="0"/>
          <w:marTop w:val="0"/>
          <w:marBottom w:val="0"/>
          <w:divBdr>
            <w:top w:val="none" w:sz="0" w:space="0" w:color="auto"/>
            <w:left w:val="none" w:sz="0" w:space="0" w:color="auto"/>
            <w:bottom w:val="none" w:sz="0" w:space="0" w:color="auto"/>
            <w:right w:val="none" w:sz="0" w:space="0" w:color="auto"/>
          </w:divBdr>
        </w:div>
        <w:div w:id="934633778">
          <w:marLeft w:val="0"/>
          <w:marRight w:val="0"/>
          <w:marTop w:val="0"/>
          <w:marBottom w:val="0"/>
          <w:divBdr>
            <w:top w:val="none" w:sz="0" w:space="0" w:color="auto"/>
            <w:left w:val="none" w:sz="0" w:space="0" w:color="auto"/>
            <w:bottom w:val="none" w:sz="0" w:space="0" w:color="auto"/>
            <w:right w:val="none" w:sz="0" w:space="0" w:color="auto"/>
          </w:divBdr>
        </w:div>
        <w:div w:id="942566718">
          <w:marLeft w:val="0"/>
          <w:marRight w:val="0"/>
          <w:marTop w:val="0"/>
          <w:marBottom w:val="0"/>
          <w:divBdr>
            <w:top w:val="none" w:sz="0" w:space="0" w:color="auto"/>
            <w:left w:val="none" w:sz="0" w:space="0" w:color="auto"/>
            <w:bottom w:val="none" w:sz="0" w:space="0" w:color="auto"/>
            <w:right w:val="none" w:sz="0" w:space="0" w:color="auto"/>
          </w:divBdr>
        </w:div>
        <w:div w:id="943264293">
          <w:marLeft w:val="0"/>
          <w:marRight w:val="0"/>
          <w:marTop w:val="0"/>
          <w:marBottom w:val="0"/>
          <w:divBdr>
            <w:top w:val="none" w:sz="0" w:space="0" w:color="auto"/>
            <w:left w:val="none" w:sz="0" w:space="0" w:color="auto"/>
            <w:bottom w:val="none" w:sz="0" w:space="0" w:color="auto"/>
            <w:right w:val="none" w:sz="0" w:space="0" w:color="auto"/>
          </w:divBdr>
        </w:div>
        <w:div w:id="945383421">
          <w:marLeft w:val="0"/>
          <w:marRight w:val="0"/>
          <w:marTop w:val="0"/>
          <w:marBottom w:val="0"/>
          <w:divBdr>
            <w:top w:val="none" w:sz="0" w:space="0" w:color="auto"/>
            <w:left w:val="none" w:sz="0" w:space="0" w:color="auto"/>
            <w:bottom w:val="none" w:sz="0" w:space="0" w:color="auto"/>
            <w:right w:val="none" w:sz="0" w:space="0" w:color="auto"/>
          </w:divBdr>
        </w:div>
        <w:div w:id="960569282">
          <w:marLeft w:val="0"/>
          <w:marRight w:val="0"/>
          <w:marTop w:val="0"/>
          <w:marBottom w:val="0"/>
          <w:divBdr>
            <w:top w:val="none" w:sz="0" w:space="0" w:color="auto"/>
            <w:left w:val="none" w:sz="0" w:space="0" w:color="auto"/>
            <w:bottom w:val="none" w:sz="0" w:space="0" w:color="auto"/>
            <w:right w:val="none" w:sz="0" w:space="0" w:color="auto"/>
          </w:divBdr>
        </w:div>
        <w:div w:id="963080268">
          <w:marLeft w:val="0"/>
          <w:marRight w:val="0"/>
          <w:marTop w:val="0"/>
          <w:marBottom w:val="0"/>
          <w:divBdr>
            <w:top w:val="none" w:sz="0" w:space="0" w:color="auto"/>
            <w:left w:val="none" w:sz="0" w:space="0" w:color="auto"/>
            <w:bottom w:val="none" w:sz="0" w:space="0" w:color="auto"/>
            <w:right w:val="none" w:sz="0" w:space="0" w:color="auto"/>
          </w:divBdr>
        </w:div>
        <w:div w:id="974674545">
          <w:marLeft w:val="0"/>
          <w:marRight w:val="0"/>
          <w:marTop w:val="0"/>
          <w:marBottom w:val="0"/>
          <w:divBdr>
            <w:top w:val="none" w:sz="0" w:space="0" w:color="auto"/>
            <w:left w:val="none" w:sz="0" w:space="0" w:color="auto"/>
            <w:bottom w:val="none" w:sz="0" w:space="0" w:color="auto"/>
            <w:right w:val="none" w:sz="0" w:space="0" w:color="auto"/>
          </w:divBdr>
        </w:div>
        <w:div w:id="979188982">
          <w:marLeft w:val="0"/>
          <w:marRight w:val="0"/>
          <w:marTop w:val="0"/>
          <w:marBottom w:val="0"/>
          <w:divBdr>
            <w:top w:val="none" w:sz="0" w:space="0" w:color="auto"/>
            <w:left w:val="none" w:sz="0" w:space="0" w:color="auto"/>
            <w:bottom w:val="none" w:sz="0" w:space="0" w:color="auto"/>
            <w:right w:val="none" w:sz="0" w:space="0" w:color="auto"/>
          </w:divBdr>
        </w:div>
        <w:div w:id="1001666075">
          <w:marLeft w:val="0"/>
          <w:marRight w:val="0"/>
          <w:marTop w:val="0"/>
          <w:marBottom w:val="0"/>
          <w:divBdr>
            <w:top w:val="none" w:sz="0" w:space="0" w:color="auto"/>
            <w:left w:val="none" w:sz="0" w:space="0" w:color="auto"/>
            <w:bottom w:val="none" w:sz="0" w:space="0" w:color="auto"/>
            <w:right w:val="none" w:sz="0" w:space="0" w:color="auto"/>
          </w:divBdr>
        </w:div>
        <w:div w:id="1005135306">
          <w:marLeft w:val="0"/>
          <w:marRight w:val="0"/>
          <w:marTop w:val="0"/>
          <w:marBottom w:val="0"/>
          <w:divBdr>
            <w:top w:val="none" w:sz="0" w:space="0" w:color="auto"/>
            <w:left w:val="none" w:sz="0" w:space="0" w:color="auto"/>
            <w:bottom w:val="none" w:sz="0" w:space="0" w:color="auto"/>
            <w:right w:val="none" w:sz="0" w:space="0" w:color="auto"/>
          </w:divBdr>
        </w:div>
        <w:div w:id="1021128442">
          <w:marLeft w:val="0"/>
          <w:marRight w:val="0"/>
          <w:marTop w:val="0"/>
          <w:marBottom w:val="0"/>
          <w:divBdr>
            <w:top w:val="none" w:sz="0" w:space="0" w:color="auto"/>
            <w:left w:val="none" w:sz="0" w:space="0" w:color="auto"/>
            <w:bottom w:val="none" w:sz="0" w:space="0" w:color="auto"/>
            <w:right w:val="none" w:sz="0" w:space="0" w:color="auto"/>
          </w:divBdr>
        </w:div>
        <w:div w:id="1021474316">
          <w:marLeft w:val="0"/>
          <w:marRight w:val="0"/>
          <w:marTop w:val="0"/>
          <w:marBottom w:val="0"/>
          <w:divBdr>
            <w:top w:val="none" w:sz="0" w:space="0" w:color="auto"/>
            <w:left w:val="none" w:sz="0" w:space="0" w:color="auto"/>
            <w:bottom w:val="none" w:sz="0" w:space="0" w:color="auto"/>
            <w:right w:val="none" w:sz="0" w:space="0" w:color="auto"/>
          </w:divBdr>
        </w:div>
        <w:div w:id="1026058469">
          <w:marLeft w:val="0"/>
          <w:marRight w:val="0"/>
          <w:marTop w:val="0"/>
          <w:marBottom w:val="0"/>
          <w:divBdr>
            <w:top w:val="none" w:sz="0" w:space="0" w:color="auto"/>
            <w:left w:val="none" w:sz="0" w:space="0" w:color="auto"/>
            <w:bottom w:val="none" w:sz="0" w:space="0" w:color="auto"/>
            <w:right w:val="none" w:sz="0" w:space="0" w:color="auto"/>
          </w:divBdr>
        </w:div>
        <w:div w:id="1066151656">
          <w:marLeft w:val="0"/>
          <w:marRight w:val="0"/>
          <w:marTop w:val="0"/>
          <w:marBottom w:val="0"/>
          <w:divBdr>
            <w:top w:val="none" w:sz="0" w:space="0" w:color="auto"/>
            <w:left w:val="none" w:sz="0" w:space="0" w:color="auto"/>
            <w:bottom w:val="none" w:sz="0" w:space="0" w:color="auto"/>
            <w:right w:val="none" w:sz="0" w:space="0" w:color="auto"/>
          </w:divBdr>
        </w:div>
        <w:div w:id="1075123323">
          <w:marLeft w:val="0"/>
          <w:marRight w:val="0"/>
          <w:marTop w:val="0"/>
          <w:marBottom w:val="0"/>
          <w:divBdr>
            <w:top w:val="none" w:sz="0" w:space="0" w:color="auto"/>
            <w:left w:val="none" w:sz="0" w:space="0" w:color="auto"/>
            <w:bottom w:val="none" w:sz="0" w:space="0" w:color="auto"/>
            <w:right w:val="none" w:sz="0" w:space="0" w:color="auto"/>
          </w:divBdr>
        </w:div>
        <w:div w:id="1083991488">
          <w:marLeft w:val="0"/>
          <w:marRight w:val="0"/>
          <w:marTop w:val="0"/>
          <w:marBottom w:val="0"/>
          <w:divBdr>
            <w:top w:val="none" w:sz="0" w:space="0" w:color="auto"/>
            <w:left w:val="none" w:sz="0" w:space="0" w:color="auto"/>
            <w:bottom w:val="none" w:sz="0" w:space="0" w:color="auto"/>
            <w:right w:val="none" w:sz="0" w:space="0" w:color="auto"/>
          </w:divBdr>
        </w:div>
        <w:div w:id="1100107218">
          <w:marLeft w:val="0"/>
          <w:marRight w:val="0"/>
          <w:marTop w:val="0"/>
          <w:marBottom w:val="0"/>
          <w:divBdr>
            <w:top w:val="none" w:sz="0" w:space="0" w:color="auto"/>
            <w:left w:val="none" w:sz="0" w:space="0" w:color="auto"/>
            <w:bottom w:val="none" w:sz="0" w:space="0" w:color="auto"/>
            <w:right w:val="none" w:sz="0" w:space="0" w:color="auto"/>
          </w:divBdr>
        </w:div>
        <w:div w:id="1102341095">
          <w:marLeft w:val="0"/>
          <w:marRight w:val="0"/>
          <w:marTop w:val="0"/>
          <w:marBottom w:val="0"/>
          <w:divBdr>
            <w:top w:val="none" w:sz="0" w:space="0" w:color="auto"/>
            <w:left w:val="none" w:sz="0" w:space="0" w:color="auto"/>
            <w:bottom w:val="none" w:sz="0" w:space="0" w:color="auto"/>
            <w:right w:val="none" w:sz="0" w:space="0" w:color="auto"/>
          </w:divBdr>
        </w:div>
        <w:div w:id="1104955362">
          <w:marLeft w:val="0"/>
          <w:marRight w:val="0"/>
          <w:marTop w:val="0"/>
          <w:marBottom w:val="0"/>
          <w:divBdr>
            <w:top w:val="none" w:sz="0" w:space="0" w:color="auto"/>
            <w:left w:val="none" w:sz="0" w:space="0" w:color="auto"/>
            <w:bottom w:val="none" w:sz="0" w:space="0" w:color="auto"/>
            <w:right w:val="none" w:sz="0" w:space="0" w:color="auto"/>
          </w:divBdr>
        </w:div>
        <w:div w:id="1108936481">
          <w:marLeft w:val="0"/>
          <w:marRight w:val="0"/>
          <w:marTop w:val="0"/>
          <w:marBottom w:val="0"/>
          <w:divBdr>
            <w:top w:val="none" w:sz="0" w:space="0" w:color="auto"/>
            <w:left w:val="none" w:sz="0" w:space="0" w:color="auto"/>
            <w:bottom w:val="none" w:sz="0" w:space="0" w:color="auto"/>
            <w:right w:val="none" w:sz="0" w:space="0" w:color="auto"/>
          </w:divBdr>
        </w:div>
        <w:div w:id="1144736901">
          <w:marLeft w:val="0"/>
          <w:marRight w:val="0"/>
          <w:marTop w:val="0"/>
          <w:marBottom w:val="0"/>
          <w:divBdr>
            <w:top w:val="none" w:sz="0" w:space="0" w:color="auto"/>
            <w:left w:val="none" w:sz="0" w:space="0" w:color="auto"/>
            <w:bottom w:val="none" w:sz="0" w:space="0" w:color="auto"/>
            <w:right w:val="none" w:sz="0" w:space="0" w:color="auto"/>
          </w:divBdr>
        </w:div>
        <w:div w:id="1155879097">
          <w:marLeft w:val="0"/>
          <w:marRight w:val="0"/>
          <w:marTop w:val="0"/>
          <w:marBottom w:val="0"/>
          <w:divBdr>
            <w:top w:val="none" w:sz="0" w:space="0" w:color="auto"/>
            <w:left w:val="none" w:sz="0" w:space="0" w:color="auto"/>
            <w:bottom w:val="none" w:sz="0" w:space="0" w:color="auto"/>
            <w:right w:val="none" w:sz="0" w:space="0" w:color="auto"/>
          </w:divBdr>
        </w:div>
        <w:div w:id="1159731535">
          <w:marLeft w:val="0"/>
          <w:marRight w:val="0"/>
          <w:marTop w:val="0"/>
          <w:marBottom w:val="0"/>
          <w:divBdr>
            <w:top w:val="none" w:sz="0" w:space="0" w:color="auto"/>
            <w:left w:val="none" w:sz="0" w:space="0" w:color="auto"/>
            <w:bottom w:val="none" w:sz="0" w:space="0" w:color="auto"/>
            <w:right w:val="none" w:sz="0" w:space="0" w:color="auto"/>
          </w:divBdr>
        </w:div>
        <w:div w:id="1173034437">
          <w:marLeft w:val="0"/>
          <w:marRight w:val="0"/>
          <w:marTop w:val="0"/>
          <w:marBottom w:val="0"/>
          <w:divBdr>
            <w:top w:val="none" w:sz="0" w:space="0" w:color="auto"/>
            <w:left w:val="none" w:sz="0" w:space="0" w:color="auto"/>
            <w:bottom w:val="none" w:sz="0" w:space="0" w:color="auto"/>
            <w:right w:val="none" w:sz="0" w:space="0" w:color="auto"/>
          </w:divBdr>
        </w:div>
        <w:div w:id="1193880918">
          <w:marLeft w:val="0"/>
          <w:marRight w:val="0"/>
          <w:marTop w:val="0"/>
          <w:marBottom w:val="0"/>
          <w:divBdr>
            <w:top w:val="none" w:sz="0" w:space="0" w:color="auto"/>
            <w:left w:val="none" w:sz="0" w:space="0" w:color="auto"/>
            <w:bottom w:val="none" w:sz="0" w:space="0" w:color="auto"/>
            <w:right w:val="none" w:sz="0" w:space="0" w:color="auto"/>
          </w:divBdr>
        </w:div>
        <w:div w:id="1206335717">
          <w:marLeft w:val="0"/>
          <w:marRight w:val="0"/>
          <w:marTop w:val="0"/>
          <w:marBottom w:val="0"/>
          <w:divBdr>
            <w:top w:val="none" w:sz="0" w:space="0" w:color="auto"/>
            <w:left w:val="none" w:sz="0" w:space="0" w:color="auto"/>
            <w:bottom w:val="none" w:sz="0" w:space="0" w:color="auto"/>
            <w:right w:val="none" w:sz="0" w:space="0" w:color="auto"/>
          </w:divBdr>
        </w:div>
        <w:div w:id="1225867824">
          <w:marLeft w:val="0"/>
          <w:marRight w:val="0"/>
          <w:marTop w:val="0"/>
          <w:marBottom w:val="0"/>
          <w:divBdr>
            <w:top w:val="none" w:sz="0" w:space="0" w:color="auto"/>
            <w:left w:val="none" w:sz="0" w:space="0" w:color="auto"/>
            <w:bottom w:val="none" w:sz="0" w:space="0" w:color="auto"/>
            <w:right w:val="none" w:sz="0" w:space="0" w:color="auto"/>
          </w:divBdr>
        </w:div>
        <w:div w:id="1231043698">
          <w:marLeft w:val="0"/>
          <w:marRight w:val="0"/>
          <w:marTop w:val="0"/>
          <w:marBottom w:val="0"/>
          <w:divBdr>
            <w:top w:val="none" w:sz="0" w:space="0" w:color="auto"/>
            <w:left w:val="none" w:sz="0" w:space="0" w:color="auto"/>
            <w:bottom w:val="none" w:sz="0" w:space="0" w:color="auto"/>
            <w:right w:val="none" w:sz="0" w:space="0" w:color="auto"/>
          </w:divBdr>
        </w:div>
        <w:div w:id="1232035005">
          <w:marLeft w:val="0"/>
          <w:marRight w:val="0"/>
          <w:marTop w:val="0"/>
          <w:marBottom w:val="0"/>
          <w:divBdr>
            <w:top w:val="none" w:sz="0" w:space="0" w:color="auto"/>
            <w:left w:val="none" w:sz="0" w:space="0" w:color="auto"/>
            <w:bottom w:val="none" w:sz="0" w:space="0" w:color="auto"/>
            <w:right w:val="none" w:sz="0" w:space="0" w:color="auto"/>
          </w:divBdr>
        </w:div>
        <w:div w:id="1232038183">
          <w:marLeft w:val="0"/>
          <w:marRight w:val="0"/>
          <w:marTop w:val="0"/>
          <w:marBottom w:val="0"/>
          <w:divBdr>
            <w:top w:val="none" w:sz="0" w:space="0" w:color="auto"/>
            <w:left w:val="none" w:sz="0" w:space="0" w:color="auto"/>
            <w:bottom w:val="none" w:sz="0" w:space="0" w:color="auto"/>
            <w:right w:val="none" w:sz="0" w:space="0" w:color="auto"/>
          </w:divBdr>
        </w:div>
        <w:div w:id="1239827458">
          <w:marLeft w:val="0"/>
          <w:marRight w:val="0"/>
          <w:marTop w:val="0"/>
          <w:marBottom w:val="0"/>
          <w:divBdr>
            <w:top w:val="none" w:sz="0" w:space="0" w:color="auto"/>
            <w:left w:val="none" w:sz="0" w:space="0" w:color="auto"/>
            <w:bottom w:val="none" w:sz="0" w:space="0" w:color="auto"/>
            <w:right w:val="none" w:sz="0" w:space="0" w:color="auto"/>
          </w:divBdr>
        </w:div>
        <w:div w:id="1259369924">
          <w:marLeft w:val="0"/>
          <w:marRight w:val="0"/>
          <w:marTop w:val="0"/>
          <w:marBottom w:val="0"/>
          <w:divBdr>
            <w:top w:val="none" w:sz="0" w:space="0" w:color="auto"/>
            <w:left w:val="none" w:sz="0" w:space="0" w:color="auto"/>
            <w:bottom w:val="none" w:sz="0" w:space="0" w:color="auto"/>
            <w:right w:val="none" w:sz="0" w:space="0" w:color="auto"/>
          </w:divBdr>
        </w:div>
        <w:div w:id="1266496660">
          <w:marLeft w:val="0"/>
          <w:marRight w:val="0"/>
          <w:marTop w:val="0"/>
          <w:marBottom w:val="0"/>
          <w:divBdr>
            <w:top w:val="none" w:sz="0" w:space="0" w:color="auto"/>
            <w:left w:val="none" w:sz="0" w:space="0" w:color="auto"/>
            <w:bottom w:val="none" w:sz="0" w:space="0" w:color="auto"/>
            <w:right w:val="none" w:sz="0" w:space="0" w:color="auto"/>
          </w:divBdr>
        </w:div>
        <w:div w:id="1290472448">
          <w:marLeft w:val="0"/>
          <w:marRight w:val="0"/>
          <w:marTop w:val="0"/>
          <w:marBottom w:val="0"/>
          <w:divBdr>
            <w:top w:val="none" w:sz="0" w:space="0" w:color="auto"/>
            <w:left w:val="none" w:sz="0" w:space="0" w:color="auto"/>
            <w:bottom w:val="none" w:sz="0" w:space="0" w:color="auto"/>
            <w:right w:val="none" w:sz="0" w:space="0" w:color="auto"/>
          </w:divBdr>
        </w:div>
        <w:div w:id="1301036056">
          <w:marLeft w:val="0"/>
          <w:marRight w:val="0"/>
          <w:marTop w:val="0"/>
          <w:marBottom w:val="0"/>
          <w:divBdr>
            <w:top w:val="none" w:sz="0" w:space="0" w:color="auto"/>
            <w:left w:val="none" w:sz="0" w:space="0" w:color="auto"/>
            <w:bottom w:val="none" w:sz="0" w:space="0" w:color="auto"/>
            <w:right w:val="none" w:sz="0" w:space="0" w:color="auto"/>
          </w:divBdr>
        </w:div>
        <w:div w:id="1326326860">
          <w:marLeft w:val="0"/>
          <w:marRight w:val="0"/>
          <w:marTop w:val="0"/>
          <w:marBottom w:val="0"/>
          <w:divBdr>
            <w:top w:val="none" w:sz="0" w:space="0" w:color="auto"/>
            <w:left w:val="none" w:sz="0" w:space="0" w:color="auto"/>
            <w:bottom w:val="none" w:sz="0" w:space="0" w:color="auto"/>
            <w:right w:val="none" w:sz="0" w:space="0" w:color="auto"/>
          </w:divBdr>
        </w:div>
        <w:div w:id="1335185838">
          <w:marLeft w:val="0"/>
          <w:marRight w:val="0"/>
          <w:marTop w:val="0"/>
          <w:marBottom w:val="0"/>
          <w:divBdr>
            <w:top w:val="none" w:sz="0" w:space="0" w:color="auto"/>
            <w:left w:val="none" w:sz="0" w:space="0" w:color="auto"/>
            <w:bottom w:val="none" w:sz="0" w:space="0" w:color="auto"/>
            <w:right w:val="none" w:sz="0" w:space="0" w:color="auto"/>
          </w:divBdr>
        </w:div>
        <w:div w:id="1338967992">
          <w:marLeft w:val="0"/>
          <w:marRight w:val="0"/>
          <w:marTop w:val="0"/>
          <w:marBottom w:val="0"/>
          <w:divBdr>
            <w:top w:val="none" w:sz="0" w:space="0" w:color="auto"/>
            <w:left w:val="none" w:sz="0" w:space="0" w:color="auto"/>
            <w:bottom w:val="none" w:sz="0" w:space="0" w:color="auto"/>
            <w:right w:val="none" w:sz="0" w:space="0" w:color="auto"/>
          </w:divBdr>
        </w:div>
        <w:div w:id="1344166904">
          <w:marLeft w:val="0"/>
          <w:marRight w:val="0"/>
          <w:marTop w:val="0"/>
          <w:marBottom w:val="0"/>
          <w:divBdr>
            <w:top w:val="none" w:sz="0" w:space="0" w:color="auto"/>
            <w:left w:val="none" w:sz="0" w:space="0" w:color="auto"/>
            <w:bottom w:val="none" w:sz="0" w:space="0" w:color="auto"/>
            <w:right w:val="none" w:sz="0" w:space="0" w:color="auto"/>
          </w:divBdr>
        </w:div>
        <w:div w:id="1345590044">
          <w:marLeft w:val="0"/>
          <w:marRight w:val="0"/>
          <w:marTop w:val="0"/>
          <w:marBottom w:val="0"/>
          <w:divBdr>
            <w:top w:val="none" w:sz="0" w:space="0" w:color="auto"/>
            <w:left w:val="none" w:sz="0" w:space="0" w:color="auto"/>
            <w:bottom w:val="none" w:sz="0" w:space="0" w:color="auto"/>
            <w:right w:val="none" w:sz="0" w:space="0" w:color="auto"/>
          </w:divBdr>
        </w:div>
        <w:div w:id="1361199894">
          <w:marLeft w:val="0"/>
          <w:marRight w:val="0"/>
          <w:marTop w:val="0"/>
          <w:marBottom w:val="0"/>
          <w:divBdr>
            <w:top w:val="none" w:sz="0" w:space="0" w:color="auto"/>
            <w:left w:val="none" w:sz="0" w:space="0" w:color="auto"/>
            <w:bottom w:val="none" w:sz="0" w:space="0" w:color="auto"/>
            <w:right w:val="none" w:sz="0" w:space="0" w:color="auto"/>
          </w:divBdr>
        </w:div>
        <w:div w:id="1363287709">
          <w:marLeft w:val="0"/>
          <w:marRight w:val="0"/>
          <w:marTop w:val="0"/>
          <w:marBottom w:val="0"/>
          <w:divBdr>
            <w:top w:val="none" w:sz="0" w:space="0" w:color="auto"/>
            <w:left w:val="none" w:sz="0" w:space="0" w:color="auto"/>
            <w:bottom w:val="none" w:sz="0" w:space="0" w:color="auto"/>
            <w:right w:val="none" w:sz="0" w:space="0" w:color="auto"/>
          </w:divBdr>
        </w:div>
        <w:div w:id="1370494859">
          <w:marLeft w:val="0"/>
          <w:marRight w:val="0"/>
          <w:marTop w:val="0"/>
          <w:marBottom w:val="0"/>
          <w:divBdr>
            <w:top w:val="none" w:sz="0" w:space="0" w:color="auto"/>
            <w:left w:val="none" w:sz="0" w:space="0" w:color="auto"/>
            <w:bottom w:val="none" w:sz="0" w:space="0" w:color="auto"/>
            <w:right w:val="none" w:sz="0" w:space="0" w:color="auto"/>
          </w:divBdr>
        </w:div>
        <w:div w:id="1376075895">
          <w:marLeft w:val="0"/>
          <w:marRight w:val="0"/>
          <w:marTop w:val="0"/>
          <w:marBottom w:val="0"/>
          <w:divBdr>
            <w:top w:val="none" w:sz="0" w:space="0" w:color="auto"/>
            <w:left w:val="none" w:sz="0" w:space="0" w:color="auto"/>
            <w:bottom w:val="none" w:sz="0" w:space="0" w:color="auto"/>
            <w:right w:val="none" w:sz="0" w:space="0" w:color="auto"/>
          </w:divBdr>
        </w:div>
        <w:div w:id="1403060954">
          <w:marLeft w:val="0"/>
          <w:marRight w:val="0"/>
          <w:marTop w:val="0"/>
          <w:marBottom w:val="0"/>
          <w:divBdr>
            <w:top w:val="none" w:sz="0" w:space="0" w:color="auto"/>
            <w:left w:val="none" w:sz="0" w:space="0" w:color="auto"/>
            <w:bottom w:val="none" w:sz="0" w:space="0" w:color="auto"/>
            <w:right w:val="none" w:sz="0" w:space="0" w:color="auto"/>
          </w:divBdr>
        </w:div>
        <w:div w:id="1403530435">
          <w:marLeft w:val="0"/>
          <w:marRight w:val="0"/>
          <w:marTop w:val="0"/>
          <w:marBottom w:val="0"/>
          <w:divBdr>
            <w:top w:val="none" w:sz="0" w:space="0" w:color="auto"/>
            <w:left w:val="none" w:sz="0" w:space="0" w:color="auto"/>
            <w:bottom w:val="none" w:sz="0" w:space="0" w:color="auto"/>
            <w:right w:val="none" w:sz="0" w:space="0" w:color="auto"/>
          </w:divBdr>
        </w:div>
        <w:div w:id="1426268378">
          <w:marLeft w:val="0"/>
          <w:marRight w:val="0"/>
          <w:marTop w:val="0"/>
          <w:marBottom w:val="0"/>
          <w:divBdr>
            <w:top w:val="none" w:sz="0" w:space="0" w:color="auto"/>
            <w:left w:val="none" w:sz="0" w:space="0" w:color="auto"/>
            <w:bottom w:val="none" w:sz="0" w:space="0" w:color="auto"/>
            <w:right w:val="none" w:sz="0" w:space="0" w:color="auto"/>
          </w:divBdr>
        </w:div>
        <w:div w:id="1446653942">
          <w:marLeft w:val="0"/>
          <w:marRight w:val="0"/>
          <w:marTop w:val="0"/>
          <w:marBottom w:val="0"/>
          <w:divBdr>
            <w:top w:val="none" w:sz="0" w:space="0" w:color="auto"/>
            <w:left w:val="none" w:sz="0" w:space="0" w:color="auto"/>
            <w:bottom w:val="none" w:sz="0" w:space="0" w:color="auto"/>
            <w:right w:val="none" w:sz="0" w:space="0" w:color="auto"/>
          </w:divBdr>
        </w:div>
        <w:div w:id="1483502459">
          <w:marLeft w:val="0"/>
          <w:marRight w:val="0"/>
          <w:marTop w:val="0"/>
          <w:marBottom w:val="0"/>
          <w:divBdr>
            <w:top w:val="none" w:sz="0" w:space="0" w:color="auto"/>
            <w:left w:val="none" w:sz="0" w:space="0" w:color="auto"/>
            <w:bottom w:val="none" w:sz="0" w:space="0" w:color="auto"/>
            <w:right w:val="none" w:sz="0" w:space="0" w:color="auto"/>
          </w:divBdr>
        </w:div>
        <w:div w:id="1496416230">
          <w:marLeft w:val="0"/>
          <w:marRight w:val="0"/>
          <w:marTop w:val="0"/>
          <w:marBottom w:val="0"/>
          <w:divBdr>
            <w:top w:val="none" w:sz="0" w:space="0" w:color="auto"/>
            <w:left w:val="none" w:sz="0" w:space="0" w:color="auto"/>
            <w:bottom w:val="none" w:sz="0" w:space="0" w:color="auto"/>
            <w:right w:val="none" w:sz="0" w:space="0" w:color="auto"/>
          </w:divBdr>
        </w:div>
        <w:div w:id="1497694390">
          <w:marLeft w:val="0"/>
          <w:marRight w:val="0"/>
          <w:marTop w:val="0"/>
          <w:marBottom w:val="0"/>
          <w:divBdr>
            <w:top w:val="none" w:sz="0" w:space="0" w:color="auto"/>
            <w:left w:val="none" w:sz="0" w:space="0" w:color="auto"/>
            <w:bottom w:val="none" w:sz="0" w:space="0" w:color="auto"/>
            <w:right w:val="none" w:sz="0" w:space="0" w:color="auto"/>
          </w:divBdr>
        </w:div>
        <w:div w:id="1509978490">
          <w:marLeft w:val="0"/>
          <w:marRight w:val="0"/>
          <w:marTop w:val="0"/>
          <w:marBottom w:val="0"/>
          <w:divBdr>
            <w:top w:val="none" w:sz="0" w:space="0" w:color="auto"/>
            <w:left w:val="none" w:sz="0" w:space="0" w:color="auto"/>
            <w:bottom w:val="none" w:sz="0" w:space="0" w:color="auto"/>
            <w:right w:val="none" w:sz="0" w:space="0" w:color="auto"/>
          </w:divBdr>
        </w:div>
        <w:div w:id="1530021027">
          <w:marLeft w:val="0"/>
          <w:marRight w:val="0"/>
          <w:marTop w:val="0"/>
          <w:marBottom w:val="0"/>
          <w:divBdr>
            <w:top w:val="none" w:sz="0" w:space="0" w:color="auto"/>
            <w:left w:val="none" w:sz="0" w:space="0" w:color="auto"/>
            <w:bottom w:val="none" w:sz="0" w:space="0" w:color="auto"/>
            <w:right w:val="none" w:sz="0" w:space="0" w:color="auto"/>
          </w:divBdr>
        </w:div>
        <w:div w:id="1554073165">
          <w:marLeft w:val="0"/>
          <w:marRight w:val="0"/>
          <w:marTop w:val="0"/>
          <w:marBottom w:val="0"/>
          <w:divBdr>
            <w:top w:val="none" w:sz="0" w:space="0" w:color="auto"/>
            <w:left w:val="none" w:sz="0" w:space="0" w:color="auto"/>
            <w:bottom w:val="none" w:sz="0" w:space="0" w:color="auto"/>
            <w:right w:val="none" w:sz="0" w:space="0" w:color="auto"/>
          </w:divBdr>
        </w:div>
        <w:div w:id="1586112101">
          <w:marLeft w:val="0"/>
          <w:marRight w:val="0"/>
          <w:marTop w:val="0"/>
          <w:marBottom w:val="0"/>
          <w:divBdr>
            <w:top w:val="none" w:sz="0" w:space="0" w:color="auto"/>
            <w:left w:val="none" w:sz="0" w:space="0" w:color="auto"/>
            <w:bottom w:val="none" w:sz="0" w:space="0" w:color="auto"/>
            <w:right w:val="none" w:sz="0" w:space="0" w:color="auto"/>
          </w:divBdr>
        </w:div>
        <w:div w:id="1609776194">
          <w:marLeft w:val="0"/>
          <w:marRight w:val="0"/>
          <w:marTop w:val="0"/>
          <w:marBottom w:val="0"/>
          <w:divBdr>
            <w:top w:val="none" w:sz="0" w:space="0" w:color="auto"/>
            <w:left w:val="none" w:sz="0" w:space="0" w:color="auto"/>
            <w:bottom w:val="none" w:sz="0" w:space="0" w:color="auto"/>
            <w:right w:val="none" w:sz="0" w:space="0" w:color="auto"/>
          </w:divBdr>
        </w:div>
        <w:div w:id="1641424197">
          <w:marLeft w:val="0"/>
          <w:marRight w:val="0"/>
          <w:marTop w:val="0"/>
          <w:marBottom w:val="0"/>
          <w:divBdr>
            <w:top w:val="none" w:sz="0" w:space="0" w:color="auto"/>
            <w:left w:val="none" w:sz="0" w:space="0" w:color="auto"/>
            <w:bottom w:val="none" w:sz="0" w:space="0" w:color="auto"/>
            <w:right w:val="none" w:sz="0" w:space="0" w:color="auto"/>
          </w:divBdr>
        </w:div>
        <w:div w:id="1648507826">
          <w:marLeft w:val="0"/>
          <w:marRight w:val="0"/>
          <w:marTop w:val="0"/>
          <w:marBottom w:val="0"/>
          <w:divBdr>
            <w:top w:val="none" w:sz="0" w:space="0" w:color="auto"/>
            <w:left w:val="none" w:sz="0" w:space="0" w:color="auto"/>
            <w:bottom w:val="none" w:sz="0" w:space="0" w:color="auto"/>
            <w:right w:val="none" w:sz="0" w:space="0" w:color="auto"/>
          </w:divBdr>
        </w:div>
        <w:div w:id="1651865421">
          <w:marLeft w:val="0"/>
          <w:marRight w:val="0"/>
          <w:marTop w:val="0"/>
          <w:marBottom w:val="0"/>
          <w:divBdr>
            <w:top w:val="none" w:sz="0" w:space="0" w:color="auto"/>
            <w:left w:val="none" w:sz="0" w:space="0" w:color="auto"/>
            <w:bottom w:val="none" w:sz="0" w:space="0" w:color="auto"/>
            <w:right w:val="none" w:sz="0" w:space="0" w:color="auto"/>
          </w:divBdr>
        </w:div>
        <w:div w:id="1659385698">
          <w:marLeft w:val="0"/>
          <w:marRight w:val="0"/>
          <w:marTop w:val="0"/>
          <w:marBottom w:val="0"/>
          <w:divBdr>
            <w:top w:val="none" w:sz="0" w:space="0" w:color="auto"/>
            <w:left w:val="none" w:sz="0" w:space="0" w:color="auto"/>
            <w:bottom w:val="none" w:sz="0" w:space="0" w:color="auto"/>
            <w:right w:val="none" w:sz="0" w:space="0" w:color="auto"/>
          </w:divBdr>
        </w:div>
        <w:div w:id="1678771807">
          <w:marLeft w:val="0"/>
          <w:marRight w:val="0"/>
          <w:marTop w:val="0"/>
          <w:marBottom w:val="0"/>
          <w:divBdr>
            <w:top w:val="none" w:sz="0" w:space="0" w:color="auto"/>
            <w:left w:val="none" w:sz="0" w:space="0" w:color="auto"/>
            <w:bottom w:val="none" w:sz="0" w:space="0" w:color="auto"/>
            <w:right w:val="none" w:sz="0" w:space="0" w:color="auto"/>
          </w:divBdr>
        </w:div>
        <w:div w:id="1709185720">
          <w:marLeft w:val="0"/>
          <w:marRight w:val="0"/>
          <w:marTop w:val="0"/>
          <w:marBottom w:val="0"/>
          <w:divBdr>
            <w:top w:val="none" w:sz="0" w:space="0" w:color="auto"/>
            <w:left w:val="none" w:sz="0" w:space="0" w:color="auto"/>
            <w:bottom w:val="none" w:sz="0" w:space="0" w:color="auto"/>
            <w:right w:val="none" w:sz="0" w:space="0" w:color="auto"/>
          </w:divBdr>
        </w:div>
        <w:div w:id="1723170663">
          <w:marLeft w:val="0"/>
          <w:marRight w:val="0"/>
          <w:marTop w:val="0"/>
          <w:marBottom w:val="0"/>
          <w:divBdr>
            <w:top w:val="none" w:sz="0" w:space="0" w:color="auto"/>
            <w:left w:val="none" w:sz="0" w:space="0" w:color="auto"/>
            <w:bottom w:val="none" w:sz="0" w:space="0" w:color="auto"/>
            <w:right w:val="none" w:sz="0" w:space="0" w:color="auto"/>
          </w:divBdr>
        </w:div>
        <w:div w:id="1744448512">
          <w:marLeft w:val="0"/>
          <w:marRight w:val="0"/>
          <w:marTop w:val="0"/>
          <w:marBottom w:val="0"/>
          <w:divBdr>
            <w:top w:val="none" w:sz="0" w:space="0" w:color="auto"/>
            <w:left w:val="none" w:sz="0" w:space="0" w:color="auto"/>
            <w:bottom w:val="none" w:sz="0" w:space="0" w:color="auto"/>
            <w:right w:val="none" w:sz="0" w:space="0" w:color="auto"/>
          </w:divBdr>
        </w:div>
        <w:div w:id="1757361386">
          <w:marLeft w:val="0"/>
          <w:marRight w:val="0"/>
          <w:marTop w:val="0"/>
          <w:marBottom w:val="0"/>
          <w:divBdr>
            <w:top w:val="none" w:sz="0" w:space="0" w:color="auto"/>
            <w:left w:val="none" w:sz="0" w:space="0" w:color="auto"/>
            <w:bottom w:val="none" w:sz="0" w:space="0" w:color="auto"/>
            <w:right w:val="none" w:sz="0" w:space="0" w:color="auto"/>
          </w:divBdr>
        </w:div>
        <w:div w:id="1772314940">
          <w:marLeft w:val="0"/>
          <w:marRight w:val="0"/>
          <w:marTop w:val="0"/>
          <w:marBottom w:val="0"/>
          <w:divBdr>
            <w:top w:val="none" w:sz="0" w:space="0" w:color="auto"/>
            <w:left w:val="none" w:sz="0" w:space="0" w:color="auto"/>
            <w:bottom w:val="none" w:sz="0" w:space="0" w:color="auto"/>
            <w:right w:val="none" w:sz="0" w:space="0" w:color="auto"/>
          </w:divBdr>
        </w:div>
        <w:div w:id="1774281159">
          <w:marLeft w:val="0"/>
          <w:marRight w:val="0"/>
          <w:marTop w:val="0"/>
          <w:marBottom w:val="0"/>
          <w:divBdr>
            <w:top w:val="none" w:sz="0" w:space="0" w:color="auto"/>
            <w:left w:val="none" w:sz="0" w:space="0" w:color="auto"/>
            <w:bottom w:val="none" w:sz="0" w:space="0" w:color="auto"/>
            <w:right w:val="none" w:sz="0" w:space="0" w:color="auto"/>
          </w:divBdr>
        </w:div>
        <w:div w:id="1779565828">
          <w:marLeft w:val="0"/>
          <w:marRight w:val="0"/>
          <w:marTop w:val="0"/>
          <w:marBottom w:val="0"/>
          <w:divBdr>
            <w:top w:val="none" w:sz="0" w:space="0" w:color="auto"/>
            <w:left w:val="none" w:sz="0" w:space="0" w:color="auto"/>
            <w:bottom w:val="none" w:sz="0" w:space="0" w:color="auto"/>
            <w:right w:val="none" w:sz="0" w:space="0" w:color="auto"/>
          </w:divBdr>
        </w:div>
        <w:div w:id="1835025148">
          <w:marLeft w:val="0"/>
          <w:marRight w:val="0"/>
          <w:marTop w:val="0"/>
          <w:marBottom w:val="0"/>
          <w:divBdr>
            <w:top w:val="none" w:sz="0" w:space="0" w:color="auto"/>
            <w:left w:val="none" w:sz="0" w:space="0" w:color="auto"/>
            <w:bottom w:val="none" w:sz="0" w:space="0" w:color="auto"/>
            <w:right w:val="none" w:sz="0" w:space="0" w:color="auto"/>
          </w:divBdr>
        </w:div>
        <w:div w:id="1847788530">
          <w:marLeft w:val="0"/>
          <w:marRight w:val="0"/>
          <w:marTop w:val="0"/>
          <w:marBottom w:val="0"/>
          <w:divBdr>
            <w:top w:val="none" w:sz="0" w:space="0" w:color="auto"/>
            <w:left w:val="none" w:sz="0" w:space="0" w:color="auto"/>
            <w:bottom w:val="none" w:sz="0" w:space="0" w:color="auto"/>
            <w:right w:val="none" w:sz="0" w:space="0" w:color="auto"/>
          </w:divBdr>
        </w:div>
        <w:div w:id="1853033069">
          <w:marLeft w:val="0"/>
          <w:marRight w:val="0"/>
          <w:marTop w:val="0"/>
          <w:marBottom w:val="0"/>
          <w:divBdr>
            <w:top w:val="none" w:sz="0" w:space="0" w:color="auto"/>
            <w:left w:val="none" w:sz="0" w:space="0" w:color="auto"/>
            <w:bottom w:val="none" w:sz="0" w:space="0" w:color="auto"/>
            <w:right w:val="none" w:sz="0" w:space="0" w:color="auto"/>
          </w:divBdr>
        </w:div>
        <w:div w:id="1861241255">
          <w:marLeft w:val="0"/>
          <w:marRight w:val="0"/>
          <w:marTop w:val="0"/>
          <w:marBottom w:val="0"/>
          <w:divBdr>
            <w:top w:val="none" w:sz="0" w:space="0" w:color="auto"/>
            <w:left w:val="none" w:sz="0" w:space="0" w:color="auto"/>
            <w:bottom w:val="none" w:sz="0" w:space="0" w:color="auto"/>
            <w:right w:val="none" w:sz="0" w:space="0" w:color="auto"/>
          </w:divBdr>
        </w:div>
        <w:div w:id="1864705011">
          <w:marLeft w:val="0"/>
          <w:marRight w:val="0"/>
          <w:marTop w:val="0"/>
          <w:marBottom w:val="0"/>
          <w:divBdr>
            <w:top w:val="none" w:sz="0" w:space="0" w:color="auto"/>
            <w:left w:val="none" w:sz="0" w:space="0" w:color="auto"/>
            <w:bottom w:val="none" w:sz="0" w:space="0" w:color="auto"/>
            <w:right w:val="none" w:sz="0" w:space="0" w:color="auto"/>
          </w:divBdr>
        </w:div>
        <w:div w:id="1866476871">
          <w:marLeft w:val="0"/>
          <w:marRight w:val="0"/>
          <w:marTop w:val="0"/>
          <w:marBottom w:val="0"/>
          <w:divBdr>
            <w:top w:val="none" w:sz="0" w:space="0" w:color="auto"/>
            <w:left w:val="none" w:sz="0" w:space="0" w:color="auto"/>
            <w:bottom w:val="none" w:sz="0" w:space="0" w:color="auto"/>
            <w:right w:val="none" w:sz="0" w:space="0" w:color="auto"/>
          </w:divBdr>
        </w:div>
        <w:div w:id="1867401654">
          <w:marLeft w:val="0"/>
          <w:marRight w:val="0"/>
          <w:marTop w:val="0"/>
          <w:marBottom w:val="0"/>
          <w:divBdr>
            <w:top w:val="none" w:sz="0" w:space="0" w:color="auto"/>
            <w:left w:val="none" w:sz="0" w:space="0" w:color="auto"/>
            <w:bottom w:val="none" w:sz="0" w:space="0" w:color="auto"/>
            <w:right w:val="none" w:sz="0" w:space="0" w:color="auto"/>
          </w:divBdr>
        </w:div>
        <w:div w:id="1868181856">
          <w:marLeft w:val="0"/>
          <w:marRight w:val="0"/>
          <w:marTop w:val="0"/>
          <w:marBottom w:val="0"/>
          <w:divBdr>
            <w:top w:val="none" w:sz="0" w:space="0" w:color="auto"/>
            <w:left w:val="none" w:sz="0" w:space="0" w:color="auto"/>
            <w:bottom w:val="none" w:sz="0" w:space="0" w:color="auto"/>
            <w:right w:val="none" w:sz="0" w:space="0" w:color="auto"/>
          </w:divBdr>
        </w:div>
        <w:div w:id="1889107693">
          <w:marLeft w:val="0"/>
          <w:marRight w:val="0"/>
          <w:marTop w:val="0"/>
          <w:marBottom w:val="0"/>
          <w:divBdr>
            <w:top w:val="none" w:sz="0" w:space="0" w:color="auto"/>
            <w:left w:val="none" w:sz="0" w:space="0" w:color="auto"/>
            <w:bottom w:val="none" w:sz="0" w:space="0" w:color="auto"/>
            <w:right w:val="none" w:sz="0" w:space="0" w:color="auto"/>
          </w:divBdr>
        </w:div>
        <w:div w:id="1891376935">
          <w:marLeft w:val="0"/>
          <w:marRight w:val="0"/>
          <w:marTop w:val="0"/>
          <w:marBottom w:val="0"/>
          <w:divBdr>
            <w:top w:val="none" w:sz="0" w:space="0" w:color="auto"/>
            <w:left w:val="none" w:sz="0" w:space="0" w:color="auto"/>
            <w:bottom w:val="none" w:sz="0" w:space="0" w:color="auto"/>
            <w:right w:val="none" w:sz="0" w:space="0" w:color="auto"/>
          </w:divBdr>
        </w:div>
        <w:div w:id="1895384067">
          <w:marLeft w:val="0"/>
          <w:marRight w:val="0"/>
          <w:marTop w:val="0"/>
          <w:marBottom w:val="0"/>
          <w:divBdr>
            <w:top w:val="none" w:sz="0" w:space="0" w:color="auto"/>
            <w:left w:val="none" w:sz="0" w:space="0" w:color="auto"/>
            <w:bottom w:val="none" w:sz="0" w:space="0" w:color="auto"/>
            <w:right w:val="none" w:sz="0" w:space="0" w:color="auto"/>
          </w:divBdr>
        </w:div>
        <w:div w:id="1903057206">
          <w:marLeft w:val="0"/>
          <w:marRight w:val="0"/>
          <w:marTop w:val="0"/>
          <w:marBottom w:val="0"/>
          <w:divBdr>
            <w:top w:val="none" w:sz="0" w:space="0" w:color="auto"/>
            <w:left w:val="none" w:sz="0" w:space="0" w:color="auto"/>
            <w:bottom w:val="none" w:sz="0" w:space="0" w:color="auto"/>
            <w:right w:val="none" w:sz="0" w:space="0" w:color="auto"/>
          </w:divBdr>
        </w:div>
        <w:div w:id="1904633331">
          <w:marLeft w:val="0"/>
          <w:marRight w:val="0"/>
          <w:marTop w:val="0"/>
          <w:marBottom w:val="0"/>
          <w:divBdr>
            <w:top w:val="none" w:sz="0" w:space="0" w:color="auto"/>
            <w:left w:val="none" w:sz="0" w:space="0" w:color="auto"/>
            <w:bottom w:val="none" w:sz="0" w:space="0" w:color="auto"/>
            <w:right w:val="none" w:sz="0" w:space="0" w:color="auto"/>
          </w:divBdr>
        </w:div>
        <w:div w:id="1921522539">
          <w:marLeft w:val="0"/>
          <w:marRight w:val="0"/>
          <w:marTop w:val="0"/>
          <w:marBottom w:val="0"/>
          <w:divBdr>
            <w:top w:val="none" w:sz="0" w:space="0" w:color="auto"/>
            <w:left w:val="none" w:sz="0" w:space="0" w:color="auto"/>
            <w:bottom w:val="none" w:sz="0" w:space="0" w:color="auto"/>
            <w:right w:val="none" w:sz="0" w:space="0" w:color="auto"/>
          </w:divBdr>
        </w:div>
        <w:div w:id="1938517730">
          <w:marLeft w:val="0"/>
          <w:marRight w:val="0"/>
          <w:marTop w:val="0"/>
          <w:marBottom w:val="0"/>
          <w:divBdr>
            <w:top w:val="none" w:sz="0" w:space="0" w:color="auto"/>
            <w:left w:val="none" w:sz="0" w:space="0" w:color="auto"/>
            <w:bottom w:val="none" w:sz="0" w:space="0" w:color="auto"/>
            <w:right w:val="none" w:sz="0" w:space="0" w:color="auto"/>
          </w:divBdr>
        </w:div>
        <w:div w:id="1964534122">
          <w:marLeft w:val="0"/>
          <w:marRight w:val="0"/>
          <w:marTop w:val="0"/>
          <w:marBottom w:val="0"/>
          <w:divBdr>
            <w:top w:val="none" w:sz="0" w:space="0" w:color="auto"/>
            <w:left w:val="none" w:sz="0" w:space="0" w:color="auto"/>
            <w:bottom w:val="none" w:sz="0" w:space="0" w:color="auto"/>
            <w:right w:val="none" w:sz="0" w:space="0" w:color="auto"/>
          </w:divBdr>
        </w:div>
        <w:div w:id="1979996085">
          <w:marLeft w:val="0"/>
          <w:marRight w:val="0"/>
          <w:marTop w:val="0"/>
          <w:marBottom w:val="0"/>
          <w:divBdr>
            <w:top w:val="none" w:sz="0" w:space="0" w:color="auto"/>
            <w:left w:val="none" w:sz="0" w:space="0" w:color="auto"/>
            <w:bottom w:val="none" w:sz="0" w:space="0" w:color="auto"/>
            <w:right w:val="none" w:sz="0" w:space="0" w:color="auto"/>
          </w:divBdr>
        </w:div>
        <w:div w:id="1988392614">
          <w:marLeft w:val="0"/>
          <w:marRight w:val="0"/>
          <w:marTop w:val="0"/>
          <w:marBottom w:val="0"/>
          <w:divBdr>
            <w:top w:val="none" w:sz="0" w:space="0" w:color="auto"/>
            <w:left w:val="none" w:sz="0" w:space="0" w:color="auto"/>
            <w:bottom w:val="none" w:sz="0" w:space="0" w:color="auto"/>
            <w:right w:val="none" w:sz="0" w:space="0" w:color="auto"/>
          </w:divBdr>
        </w:div>
        <w:div w:id="1996911066">
          <w:marLeft w:val="0"/>
          <w:marRight w:val="0"/>
          <w:marTop w:val="0"/>
          <w:marBottom w:val="0"/>
          <w:divBdr>
            <w:top w:val="none" w:sz="0" w:space="0" w:color="auto"/>
            <w:left w:val="none" w:sz="0" w:space="0" w:color="auto"/>
            <w:bottom w:val="none" w:sz="0" w:space="0" w:color="auto"/>
            <w:right w:val="none" w:sz="0" w:space="0" w:color="auto"/>
          </w:divBdr>
        </w:div>
        <w:div w:id="2018992650">
          <w:marLeft w:val="0"/>
          <w:marRight w:val="0"/>
          <w:marTop w:val="0"/>
          <w:marBottom w:val="0"/>
          <w:divBdr>
            <w:top w:val="none" w:sz="0" w:space="0" w:color="auto"/>
            <w:left w:val="none" w:sz="0" w:space="0" w:color="auto"/>
            <w:bottom w:val="none" w:sz="0" w:space="0" w:color="auto"/>
            <w:right w:val="none" w:sz="0" w:space="0" w:color="auto"/>
          </w:divBdr>
        </w:div>
        <w:div w:id="2019114569">
          <w:marLeft w:val="0"/>
          <w:marRight w:val="0"/>
          <w:marTop w:val="0"/>
          <w:marBottom w:val="0"/>
          <w:divBdr>
            <w:top w:val="none" w:sz="0" w:space="0" w:color="auto"/>
            <w:left w:val="none" w:sz="0" w:space="0" w:color="auto"/>
            <w:bottom w:val="none" w:sz="0" w:space="0" w:color="auto"/>
            <w:right w:val="none" w:sz="0" w:space="0" w:color="auto"/>
          </w:divBdr>
        </w:div>
        <w:div w:id="2025740209">
          <w:marLeft w:val="0"/>
          <w:marRight w:val="0"/>
          <w:marTop w:val="0"/>
          <w:marBottom w:val="0"/>
          <w:divBdr>
            <w:top w:val="none" w:sz="0" w:space="0" w:color="auto"/>
            <w:left w:val="none" w:sz="0" w:space="0" w:color="auto"/>
            <w:bottom w:val="none" w:sz="0" w:space="0" w:color="auto"/>
            <w:right w:val="none" w:sz="0" w:space="0" w:color="auto"/>
          </w:divBdr>
        </w:div>
      </w:divsChild>
    </w:div>
    <w:div w:id="1946184210">
      <w:bodyDiv w:val="1"/>
      <w:marLeft w:val="0"/>
      <w:marRight w:val="0"/>
      <w:marTop w:val="0"/>
      <w:marBottom w:val="0"/>
      <w:divBdr>
        <w:top w:val="none" w:sz="0" w:space="0" w:color="auto"/>
        <w:left w:val="none" w:sz="0" w:space="0" w:color="auto"/>
        <w:bottom w:val="none" w:sz="0" w:space="0" w:color="auto"/>
        <w:right w:val="none" w:sz="0" w:space="0" w:color="auto"/>
      </w:divBdr>
    </w:div>
    <w:div w:id="1946300656">
      <w:bodyDiv w:val="1"/>
      <w:marLeft w:val="0"/>
      <w:marRight w:val="0"/>
      <w:marTop w:val="0"/>
      <w:marBottom w:val="0"/>
      <w:divBdr>
        <w:top w:val="none" w:sz="0" w:space="0" w:color="auto"/>
        <w:left w:val="none" w:sz="0" w:space="0" w:color="auto"/>
        <w:bottom w:val="none" w:sz="0" w:space="0" w:color="auto"/>
        <w:right w:val="none" w:sz="0" w:space="0" w:color="auto"/>
      </w:divBdr>
    </w:div>
    <w:div w:id="1946305046">
      <w:bodyDiv w:val="1"/>
      <w:marLeft w:val="0"/>
      <w:marRight w:val="0"/>
      <w:marTop w:val="0"/>
      <w:marBottom w:val="0"/>
      <w:divBdr>
        <w:top w:val="none" w:sz="0" w:space="0" w:color="auto"/>
        <w:left w:val="none" w:sz="0" w:space="0" w:color="auto"/>
        <w:bottom w:val="none" w:sz="0" w:space="0" w:color="auto"/>
        <w:right w:val="none" w:sz="0" w:space="0" w:color="auto"/>
      </w:divBdr>
    </w:div>
    <w:div w:id="1946380848">
      <w:bodyDiv w:val="1"/>
      <w:marLeft w:val="0"/>
      <w:marRight w:val="0"/>
      <w:marTop w:val="0"/>
      <w:marBottom w:val="0"/>
      <w:divBdr>
        <w:top w:val="none" w:sz="0" w:space="0" w:color="auto"/>
        <w:left w:val="none" w:sz="0" w:space="0" w:color="auto"/>
        <w:bottom w:val="none" w:sz="0" w:space="0" w:color="auto"/>
        <w:right w:val="none" w:sz="0" w:space="0" w:color="auto"/>
      </w:divBdr>
    </w:div>
    <w:div w:id="1946426687">
      <w:bodyDiv w:val="1"/>
      <w:marLeft w:val="0"/>
      <w:marRight w:val="0"/>
      <w:marTop w:val="0"/>
      <w:marBottom w:val="0"/>
      <w:divBdr>
        <w:top w:val="none" w:sz="0" w:space="0" w:color="auto"/>
        <w:left w:val="none" w:sz="0" w:space="0" w:color="auto"/>
        <w:bottom w:val="none" w:sz="0" w:space="0" w:color="auto"/>
        <w:right w:val="none" w:sz="0" w:space="0" w:color="auto"/>
      </w:divBdr>
    </w:div>
    <w:div w:id="1946426689">
      <w:bodyDiv w:val="1"/>
      <w:marLeft w:val="0"/>
      <w:marRight w:val="0"/>
      <w:marTop w:val="0"/>
      <w:marBottom w:val="0"/>
      <w:divBdr>
        <w:top w:val="none" w:sz="0" w:space="0" w:color="auto"/>
        <w:left w:val="none" w:sz="0" w:space="0" w:color="auto"/>
        <w:bottom w:val="none" w:sz="0" w:space="0" w:color="auto"/>
        <w:right w:val="none" w:sz="0" w:space="0" w:color="auto"/>
      </w:divBdr>
    </w:div>
    <w:div w:id="1946451102">
      <w:bodyDiv w:val="1"/>
      <w:marLeft w:val="0"/>
      <w:marRight w:val="0"/>
      <w:marTop w:val="0"/>
      <w:marBottom w:val="0"/>
      <w:divBdr>
        <w:top w:val="none" w:sz="0" w:space="0" w:color="auto"/>
        <w:left w:val="none" w:sz="0" w:space="0" w:color="auto"/>
        <w:bottom w:val="none" w:sz="0" w:space="0" w:color="auto"/>
        <w:right w:val="none" w:sz="0" w:space="0" w:color="auto"/>
      </w:divBdr>
    </w:div>
    <w:div w:id="1946616488">
      <w:bodyDiv w:val="1"/>
      <w:marLeft w:val="0"/>
      <w:marRight w:val="0"/>
      <w:marTop w:val="0"/>
      <w:marBottom w:val="0"/>
      <w:divBdr>
        <w:top w:val="none" w:sz="0" w:space="0" w:color="auto"/>
        <w:left w:val="none" w:sz="0" w:space="0" w:color="auto"/>
        <w:bottom w:val="none" w:sz="0" w:space="0" w:color="auto"/>
        <w:right w:val="none" w:sz="0" w:space="0" w:color="auto"/>
      </w:divBdr>
    </w:div>
    <w:div w:id="1946620245">
      <w:bodyDiv w:val="1"/>
      <w:marLeft w:val="0"/>
      <w:marRight w:val="0"/>
      <w:marTop w:val="0"/>
      <w:marBottom w:val="0"/>
      <w:divBdr>
        <w:top w:val="none" w:sz="0" w:space="0" w:color="auto"/>
        <w:left w:val="none" w:sz="0" w:space="0" w:color="auto"/>
        <w:bottom w:val="none" w:sz="0" w:space="0" w:color="auto"/>
        <w:right w:val="none" w:sz="0" w:space="0" w:color="auto"/>
      </w:divBdr>
    </w:div>
    <w:div w:id="1946692828">
      <w:bodyDiv w:val="1"/>
      <w:marLeft w:val="0"/>
      <w:marRight w:val="0"/>
      <w:marTop w:val="0"/>
      <w:marBottom w:val="0"/>
      <w:divBdr>
        <w:top w:val="none" w:sz="0" w:space="0" w:color="auto"/>
        <w:left w:val="none" w:sz="0" w:space="0" w:color="auto"/>
        <w:bottom w:val="none" w:sz="0" w:space="0" w:color="auto"/>
        <w:right w:val="none" w:sz="0" w:space="0" w:color="auto"/>
      </w:divBdr>
    </w:div>
    <w:div w:id="1946839098">
      <w:bodyDiv w:val="1"/>
      <w:marLeft w:val="0"/>
      <w:marRight w:val="0"/>
      <w:marTop w:val="0"/>
      <w:marBottom w:val="0"/>
      <w:divBdr>
        <w:top w:val="none" w:sz="0" w:space="0" w:color="auto"/>
        <w:left w:val="none" w:sz="0" w:space="0" w:color="auto"/>
        <w:bottom w:val="none" w:sz="0" w:space="0" w:color="auto"/>
        <w:right w:val="none" w:sz="0" w:space="0" w:color="auto"/>
      </w:divBdr>
    </w:div>
    <w:div w:id="1946840569">
      <w:bodyDiv w:val="1"/>
      <w:marLeft w:val="0"/>
      <w:marRight w:val="0"/>
      <w:marTop w:val="0"/>
      <w:marBottom w:val="0"/>
      <w:divBdr>
        <w:top w:val="none" w:sz="0" w:space="0" w:color="auto"/>
        <w:left w:val="none" w:sz="0" w:space="0" w:color="auto"/>
        <w:bottom w:val="none" w:sz="0" w:space="0" w:color="auto"/>
        <w:right w:val="none" w:sz="0" w:space="0" w:color="auto"/>
      </w:divBdr>
    </w:div>
    <w:div w:id="1946842987">
      <w:bodyDiv w:val="1"/>
      <w:marLeft w:val="0"/>
      <w:marRight w:val="0"/>
      <w:marTop w:val="0"/>
      <w:marBottom w:val="0"/>
      <w:divBdr>
        <w:top w:val="none" w:sz="0" w:space="0" w:color="auto"/>
        <w:left w:val="none" w:sz="0" w:space="0" w:color="auto"/>
        <w:bottom w:val="none" w:sz="0" w:space="0" w:color="auto"/>
        <w:right w:val="none" w:sz="0" w:space="0" w:color="auto"/>
      </w:divBdr>
    </w:div>
    <w:div w:id="1946963271">
      <w:bodyDiv w:val="1"/>
      <w:marLeft w:val="0"/>
      <w:marRight w:val="0"/>
      <w:marTop w:val="0"/>
      <w:marBottom w:val="0"/>
      <w:divBdr>
        <w:top w:val="none" w:sz="0" w:space="0" w:color="auto"/>
        <w:left w:val="none" w:sz="0" w:space="0" w:color="auto"/>
        <w:bottom w:val="none" w:sz="0" w:space="0" w:color="auto"/>
        <w:right w:val="none" w:sz="0" w:space="0" w:color="auto"/>
      </w:divBdr>
    </w:div>
    <w:div w:id="1947076321">
      <w:bodyDiv w:val="1"/>
      <w:marLeft w:val="0"/>
      <w:marRight w:val="0"/>
      <w:marTop w:val="0"/>
      <w:marBottom w:val="0"/>
      <w:divBdr>
        <w:top w:val="none" w:sz="0" w:space="0" w:color="auto"/>
        <w:left w:val="none" w:sz="0" w:space="0" w:color="auto"/>
        <w:bottom w:val="none" w:sz="0" w:space="0" w:color="auto"/>
        <w:right w:val="none" w:sz="0" w:space="0" w:color="auto"/>
      </w:divBdr>
    </w:div>
    <w:div w:id="1947077541">
      <w:bodyDiv w:val="1"/>
      <w:marLeft w:val="0"/>
      <w:marRight w:val="0"/>
      <w:marTop w:val="0"/>
      <w:marBottom w:val="0"/>
      <w:divBdr>
        <w:top w:val="none" w:sz="0" w:space="0" w:color="auto"/>
        <w:left w:val="none" w:sz="0" w:space="0" w:color="auto"/>
        <w:bottom w:val="none" w:sz="0" w:space="0" w:color="auto"/>
        <w:right w:val="none" w:sz="0" w:space="0" w:color="auto"/>
      </w:divBdr>
    </w:div>
    <w:div w:id="1947081188">
      <w:bodyDiv w:val="1"/>
      <w:marLeft w:val="0"/>
      <w:marRight w:val="0"/>
      <w:marTop w:val="0"/>
      <w:marBottom w:val="0"/>
      <w:divBdr>
        <w:top w:val="none" w:sz="0" w:space="0" w:color="auto"/>
        <w:left w:val="none" w:sz="0" w:space="0" w:color="auto"/>
        <w:bottom w:val="none" w:sz="0" w:space="0" w:color="auto"/>
        <w:right w:val="none" w:sz="0" w:space="0" w:color="auto"/>
      </w:divBdr>
    </w:div>
    <w:div w:id="1947225094">
      <w:bodyDiv w:val="1"/>
      <w:marLeft w:val="0"/>
      <w:marRight w:val="0"/>
      <w:marTop w:val="0"/>
      <w:marBottom w:val="0"/>
      <w:divBdr>
        <w:top w:val="none" w:sz="0" w:space="0" w:color="auto"/>
        <w:left w:val="none" w:sz="0" w:space="0" w:color="auto"/>
        <w:bottom w:val="none" w:sz="0" w:space="0" w:color="auto"/>
        <w:right w:val="none" w:sz="0" w:space="0" w:color="auto"/>
      </w:divBdr>
    </w:div>
    <w:div w:id="1947232609">
      <w:bodyDiv w:val="1"/>
      <w:marLeft w:val="0"/>
      <w:marRight w:val="0"/>
      <w:marTop w:val="0"/>
      <w:marBottom w:val="0"/>
      <w:divBdr>
        <w:top w:val="none" w:sz="0" w:space="0" w:color="auto"/>
        <w:left w:val="none" w:sz="0" w:space="0" w:color="auto"/>
        <w:bottom w:val="none" w:sz="0" w:space="0" w:color="auto"/>
        <w:right w:val="none" w:sz="0" w:space="0" w:color="auto"/>
      </w:divBdr>
    </w:div>
    <w:div w:id="1947300005">
      <w:bodyDiv w:val="1"/>
      <w:marLeft w:val="0"/>
      <w:marRight w:val="0"/>
      <w:marTop w:val="0"/>
      <w:marBottom w:val="0"/>
      <w:divBdr>
        <w:top w:val="none" w:sz="0" w:space="0" w:color="auto"/>
        <w:left w:val="none" w:sz="0" w:space="0" w:color="auto"/>
        <w:bottom w:val="none" w:sz="0" w:space="0" w:color="auto"/>
        <w:right w:val="none" w:sz="0" w:space="0" w:color="auto"/>
      </w:divBdr>
    </w:div>
    <w:div w:id="1947496441">
      <w:bodyDiv w:val="1"/>
      <w:marLeft w:val="0"/>
      <w:marRight w:val="0"/>
      <w:marTop w:val="0"/>
      <w:marBottom w:val="0"/>
      <w:divBdr>
        <w:top w:val="none" w:sz="0" w:space="0" w:color="auto"/>
        <w:left w:val="none" w:sz="0" w:space="0" w:color="auto"/>
        <w:bottom w:val="none" w:sz="0" w:space="0" w:color="auto"/>
        <w:right w:val="none" w:sz="0" w:space="0" w:color="auto"/>
      </w:divBdr>
    </w:div>
    <w:div w:id="1947499330">
      <w:bodyDiv w:val="1"/>
      <w:marLeft w:val="0"/>
      <w:marRight w:val="0"/>
      <w:marTop w:val="0"/>
      <w:marBottom w:val="0"/>
      <w:divBdr>
        <w:top w:val="none" w:sz="0" w:space="0" w:color="auto"/>
        <w:left w:val="none" w:sz="0" w:space="0" w:color="auto"/>
        <w:bottom w:val="none" w:sz="0" w:space="0" w:color="auto"/>
        <w:right w:val="none" w:sz="0" w:space="0" w:color="auto"/>
      </w:divBdr>
    </w:div>
    <w:div w:id="1947613868">
      <w:bodyDiv w:val="1"/>
      <w:marLeft w:val="0"/>
      <w:marRight w:val="0"/>
      <w:marTop w:val="0"/>
      <w:marBottom w:val="0"/>
      <w:divBdr>
        <w:top w:val="none" w:sz="0" w:space="0" w:color="auto"/>
        <w:left w:val="none" w:sz="0" w:space="0" w:color="auto"/>
        <w:bottom w:val="none" w:sz="0" w:space="0" w:color="auto"/>
        <w:right w:val="none" w:sz="0" w:space="0" w:color="auto"/>
      </w:divBdr>
    </w:div>
    <w:div w:id="1947808304">
      <w:bodyDiv w:val="1"/>
      <w:marLeft w:val="0"/>
      <w:marRight w:val="0"/>
      <w:marTop w:val="0"/>
      <w:marBottom w:val="0"/>
      <w:divBdr>
        <w:top w:val="none" w:sz="0" w:space="0" w:color="auto"/>
        <w:left w:val="none" w:sz="0" w:space="0" w:color="auto"/>
        <w:bottom w:val="none" w:sz="0" w:space="0" w:color="auto"/>
        <w:right w:val="none" w:sz="0" w:space="0" w:color="auto"/>
      </w:divBdr>
    </w:div>
    <w:div w:id="1947885929">
      <w:bodyDiv w:val="1"/>
      <w:marLeft w:val="0"/>
      <w:marRight w:val="0"/>
      <w:marTop w:val="0"/>
      <w:marBottom w:val="0"/>
      <w:divBdr>
        <w:top w:val="none" w:sz="0" w:space="0" w:color="auto"/>
        <w:left w:val="none" w:sz="0" w:space="0" w:color="auto"/>
        <w:bottom w:val="none" w:sz="0" w:space="0" w:color="auto"/>
        <w:right w:val="none" w:sz="0" w:space="0" w:color="auto"/>
      </w:divBdr>
    </w:div>
    <w:div w:id="1947886884">
      <w:bodyDiv w:val="1"/>
      <w:marLeft w:val="0"/>
      <w:marRight w:val="0"/>
      <w:marTop w:val="0"/>
      <w:marBottom w:val="0"/>
      <w:divBdr>
        <w:top w:val="none" w:sz="0" w:space="0" w:color="auto"/>
        <w:left w:val="none" w:sz="0" w:space="0" w:color="auto"/>
        <w:bottom w:val="none" w:sz="0" w:space="0" w:color="auto"/>
        <w:right w:val="none" w:sz="0" w:space="0" w:color="auto"/>
      </w:divBdr>
    </w:div>
    <w:div w:id="1947930287">
      <w:bodyDiv w:val="1"/>
      <w:marLeft w:val="0"/>
      <w:marRight w:val="0"/>
      <w:marTop w:val="0"/>
      <w:marBottom w:val="0"/>
      <w:divBdr>
        <w:top w:val="none" w:sz="0" w:space="0" w:color="auto"/>
        <w:left w:val="none" w:sz="0" w:space="0" w:color="auto"/>
        <w:bottom w:val="none" w:sz="0" w:space="0" w:color="auto"/>
        <w:right w:val="none" w:sz="0" w:space="0" w:color="auto"/>
      </w:divBdr>
    </w:div>
    <w:div w:id="1947931142">
      <w:bodyDiv w:val="1"/>
      <w:marLeft w:val="0"/>
      <w:marRight w:val="0"/>
      <w:marTop w:val="0"/>
      <w:marBottom w:val="0"/>
      <w:divBdr>
        <w:top w:val="none" w:sz="0" w:space="0" w:color="auto"/>
        <w:left w:val="none" w:sz="0" w:space="0" w:color="auto"/>
        <w:bottom w:val="none" w:sz="0" w:space="0" w:color="auto"/>
        <w:right w:val="none" w:sz="0" w:space="0" w:color="auto"/>
      </w:divBdr>
    </w:div>
    <w:div w:id="1947957707">
      <w:bodyDiv w:val="1"/>
      <w:marLeft w:val="0"/>
      <w:marRight w:val="0"/>
      <w:marTop w:val="0"/>
      <w:marBottom w:val="0"/>
      <w:divBdr>
        <w:top w:val="none" w:sz="0" w:space="0" w:color="auto"/>
        <w:left w:val="none" w:sz="0" w:space="0" w:color="auto"/>
        <w:bottom w:val="none" w:sz="0" w:space="0" w:color="auto"/>
        <w:right w:val="none" w:sz="0" w:space="0" w:color="auto"/>
      </w:divBdr>
    </w:div>
    <w:div w:id="1948079742">
      <w:bodyDiv w:val="1"/>
      <w:marLeft w:val="0"/>
      <w:marRight w:val="0"/>
      <w:marTop w:val="0"/>
      <w:marBottom w:val="0"/>
      <w:divBdr>
        <w:top w:val="none" w:sz="0" w:space="0" w:color="auto"/>
        <w:left w:val="none" w:sz="0" w:space="0" w:color="auto"/>
        <w:bottom w:val="none" w:sz="0" w:space="0" w:color="auto"/>
        <w:right w:val="none" w:sz="0" w:space="0" w:color="auto"/>
      </w:divBdr>
    </w:div>
    <w:div w:id="1948196932">
      <w:bodyDiv w:val="1"/>
      <w:marLeft w:val="0"/>
      <w:marRight w:val="0"/>
      <w:marTop w:val="0"/>
      <w:marBottom w:val="0"/>
      <w:divBdr>
        <w:top w:val="none" w:sz="0" w:space="0" w:color="auto"/>
        <w:left w:val="none" w:sz="0" w:space="0" w:color="auto"/>
        <w:bottom w:val="none" w:sz="0" w:space="0" w:color="auto"/>
        <w:right w:val="none" w:sz="0" w:space="0" w:color="auto"/>
      </w:divBdr>
    </w:div>
    <w:div w:id="1948272406">
      <w:bodyDiv w:val="1"/>
      <w:marLeft w:val="0"/>
      <w:marRight w:val="0"/>
      <w:marTop w:val="0"/>
      <w:marBottom w:val="0"/>
      <w:divBdr>
        <w:top w:val="none" w:sz="0" w:space="0" w:color="auto"/>
        <w:left w:val="none" w:sz="0" w:space="0" w:color="auto"/>
        <w:bottom w:val="none" w:sz="0" w:space="0" w:color="auto"/>
        <w:right w:val="none" w:sz="0" w:space="0" w:color="auto"/>
      </w:divBdr>
    </w:div>
    <w:div w:id="1948273743">
      <w:bodyDiv w:val="1"/>
      <w:marLeft w:val="0"/>
      <w:marRight w:val="0"/>
      <w:marTop w:val="0"/>
      <w:marBottom w:val="0"/>
      <w:divBdr>
        <w:top w:val="none" w:sz="0" w:space="0" w:color="auto"/>
        <w:left w:val="none" w:sz="0" w:space="0" w:color="auto"/>
        <w:bottom w:val="none" w:sz="0" w:space="0" w:color="auto"/>
        <w:right w:val="none" w:sz="0" w:space="0" w:color="auto"/>
      </w:divBdr>
    </w:div>
    <w:div w:id="1948463310">
      <w:bodyDiv w:val="1"/>
      <w:marLeft w:val="0"/>
      <w:marRight w:val="0"/>
      <w:marTop w:val="0"/>
      <w:marBottom w:val="0"/>
      <w:divBdr>
        <w:top w:val="none" w:sz="0" w:space="0" w:color="auto"/>
        <w:left w:val="none" w:sz="0" w:space="0" w:color="auto"/>
        <w:bottom w:val="none" w:sz="0" w:space="0" w:color="auto"/>
        <w:right w:val="none" w:sz="0" w:space="0" w:color="auto"/>
      </w:divBdr>
    </w:div>
    <w:div w:id="1948463718">
      <w:bodyDiv w:val="1"/>
      <w:marLeft w:val="0"/>
      <w:marRight w:val="0"/>
      <w:marTop w:val="0"/>
      <w:marBottom w:val="0"/>
      <w:divBdr>
        <w:top w:val="none" w:sz="0" w:space="0" w:color="auto"/>
        <w:left w:val="none" w:sz="0" w:space="0" w:color="auto"/>
        <w:bottom w:val="none" w:sz="0" w:space="0" w:color="auto"/>
        <w:right w:val="none" w:sz="0" w:space="0" w:color="auto"/>
      </w:divBdr>
    </w:div>
    <w:div w:id="1948536995">
      <w:bodyDiv w:val="1"/>
      <w:marLeft w:val="0"/>
      <w:marRight w:val="0"/>
      <w:marTop w:val="0"/>
      <w:marBottom w:val="0"/>
      <w:divBdr>
        <w:top w:val="none" w:sz="0" w:space="0" w:color="auto"/>
        <w:left w:val="none" w:sz="0" w:space="0" w:color="auto"/>
        <w:bottom w:val="none" w:sz="0" w:space="0" w:color="auto"/>
        <w:right w:val="none" w:sz="0" w:space="0" w:color="auto"/>
      </w:divBdr>
    </w:div>
    <w:div w:id="1948544328">
      <w:bodyDiv w:val="1"/>
      <w:marLeft w:val="0"/>
      <w:marRight w:val="0"/>
      <w:marTop w:val="0"/>
      <w:marBottom w:val="0"/>
      <w:divBdr>
        <w:top w:val="none" w:sz="0" w:space="0" w:color="auto"/>
        <w:left w:val="none" w:sz="0" w:space="0" w:color="auto"/>
        <w:bottom w:val="none" w:sz="0" w:space="0" w:color="auto"/>
        <w:right w:val="none" w:sz="0" w:space="0" w:color="auto"/>
      </w:divBdr>
    </w:div>
    <w:div w:id="1948585635">
      <w:bodyDiv w:val="1"/>
      <w:marLeft w:val="0"/>
      <w:marRight w:val="0"/>
      <w:marTop w:val="0"/>
      <w:marBottom w:val="0"/>
      <w:divBdr>
        <w:top w:val="none" w:sz="0" w:space="0" w:color="auto"/>
        <w:left w:val="none" w:sz="0" w:space="0" w:color="auto"/>
        <w:bottom w:val="none" w:sz="0" w:space="0" w:color="auto"/>
        <w:right w:val="none" w:sz="0" w:space="0" w:color="auto"/>
      </w:divBdr>
    </w:div>
    <w:div w:id="1948729117">
      <w:bodyDiv w:val="1"/>
      <w:marLeft w:val="0"/>
      <w:marRight w:val="0"/>
      <w:marTop w:val="0"/>
      <w:marBottom w:val="0"/>
      <w:divBdr>
        <w:top w:val="none" w:sz="0" w:space="0" w:color="auto"/>
        <w:left w:val="none" w:sz="0" w:space="0" w:color="auto"/>
        <w:bottom w:val="none" w:sz="0" w:space="0" w:color="auto"/>
        <w:right w:val="none" w:sz="0" w:space="0" w:color="auto"/>
      </w:divBdr>
    </w:div>
    <w:div w:id="1948737293">
      <w:bodyDiv w:val="1"/>
      <w:marLeft w:val="0"/>
      <w:marRight w:val="0"/>
      <w:marTop w:val="0"/>
      <w:marBottom w:val="0"/>
      <w:divBdr>
        <w:top w:val="none" w:sz="0" w:space="0" w:color="auto"/>
        <w:left w:val="none" w:sz="0" w:space="0" w:color="auto"/>
        <w:bottom w:val="none" w:sz="0" w:space="0" w:color="auto"/>
        <w:right w:val="none" w:sz="0" w:space="0" w:color="auto"/>
      </w:divBdr>
    </w:div>
    <w:div w:id="1948924011">
      <w:bodyDiv w:val="1"/>
      <w:marLeft w:val="0"/>
      <w:marRight w:val="0"/>
      <w:marTop w:val="0"/>
      <w:marBottom w:val="0"/>
      <w:divBdr>
        <w:top w:val="none" w:sz="0" w:space="0" w:color="auto"/>
        <w:left w:val="none" w:sz="0" w:space="0" w:color="auto"/>
        <w:bottom w:val="none" w:sz="0" w:space="0" w:color="auto"/>
        <w:right w:val="none" w:sz="0" w:space="0" w:color="auto"/>
      </w:divBdr>
    </w:div>
    <w:div w:id="1948998779">
      <w:bodyDiv w:val="1"/>
      <w:marLeft w:val="0"/>
      <w:marRight w:val="0"/>
      <w:marTop w:val="0"/>
      <w:marBottom w:val="0"/>
      <w:divBdr>
        <w:top w:val="none" w:sz="0" w:space="0" w:color="auto"/>
        <w:left w:val="none" w:sz="0" w:space="0" w:color="auto"/>
        <w:bottom w:val="none" w:sz="0" w:space="0" w:color="auto"/>
        <w:right w:val="none" w:sz="0" w:space="0" w:color="auto"/>
      </w:divBdr>
    </w:div>
    <w:div w:id="1948999023">
      <w:bodyDiv w:val="1"/>
      <w:marLeft w:val="0"/>
      <w:marRight w:val="0"/>
      <w:marTop w:val="0"/>
      <w:marBottom w:val="0"/>
      <w:divBdr>
        <w:top w:val="none" w:sz="0" w:space="0" w:color="auto"/>
        <w:left w:val="none" w:sz="0" w:space="0" w:color="auto"/>
        <w:bottom w:val="none" w:sz="0" w:space="0" w:color="auto"/>
        <w:right w:val="none" w:sz="0" w:space="0" w:color="auto"/>
      </w:divBdr>
    </w:div>
    <w:div w:id="1949003451">
      <w:bodyDiv w:val="1"/>
      <w:marLeft w:val="0"/>
      <w:marRight w:val="0"/>
      <w:marTop w:val="0"/>
      <w:marBottom w:val="0"/>
      <w:divBdr>
        <w:top w:val="none" w:sz="0" w:space="0" w:color="auto"/>
        <w:left w:val="none" w:sz="0" w:space="0" w:color="auto"/>
        <w:bottom w:val="none" w:sz="0" w:space="0" w:color="auto"/>
        <w:right w:val="none" w:sz="0" w:space="0" w:color="auto"/>
      </w:divBdr>
    </w:div>
    <w:div w:id="1949116371">
      <w:bodyDiv w:val="1"/>
      <w:marLeft w:val="0"/>
      <w:marRight w:val="0"/>
      <w:marTop w:val="0"/>
      <w:marBottom w:val="0"/>
      <w:divBdr>
        <w:top w:val="none" w:sz="0" w:space="0" w:color="auto"/>
        <w:left w:val="none" w:sz="0" w:space="0" w:color="auto"/>
        <w:bottom w:val="none" w:sz="0" w:space="0" w:color="auto"/>
        <w:right w:val="none" w:sz="0" w:space="0" w:color="auto"/>
      </w:divBdr>
    </w:div>
    <w:div w:id="1949117415">
      <w:bodyDiv w:val="1"/>
      <w:marLeft w:val="0"/>
      <w:marRight w:val="0"/>
      <w:marTop w:val="0"/>
      <w:marBottom w:val="0"/>
      <w:divBdr>
        <w:top w:val="none" w:sz="0" w:space="0" w:color="auto"/>
        <w:left w:val="none" w:sz="0" w:space="0" w:color="auto"/>
        <w:bottom w:val="none" w:sz="0" w:space="0" w:color="auto"/>
        <w:right w:val="none" w:sz="0" w:space="0" w:color="auto"/>
      </w:divBdr>
    </w:div>
    <w:div w:id="1949124132">
      <w:bodyDiv w:val="1"/>
      <w:marLeft w:val="0"/>
      <w:marRight w:val="0"/>
      <w:marTop w:val="0"/>
      <w:marBottom w:val="0"/>
      <w:divBdr>
        <w:top w:val="none" w:sz="0" w:space="0" w:color="auto"/>
        <w:left w:val="none" w:sz="0" w:space="0" w:color="auto"/>
        <w:bottom w:val="none" w:sz="0" w:space="0" w:color="auto"/>
        <w:right w:val="none" w:sz="0" w:space="0" w:color="auto"/>
      </w:divBdr>
    </w:div>
    <w:div w:id="1949311618">
      <w:bodyDiv w:val="1"/>
      <w:marLeft w:val="0"/>
      <w:marRight w:val="0"/>
      <w:marTop w:val="0"/>
      <w:marBottom w:val="0"/>
      <w:divBdr>
        <w:top w:val="none" w:sz="0" w:space="0" w:color="auto"/>
        <w:left w:val="none" w:sz="0" w:space="0" w:color="auto"/>
        <w:bottom w:val="none" w:sz="0" w:space="0" w:color="auto"/>
        <w:right w:val="none" w:sz="0" w:space="0" w:color="auto"/>
      </w:divBdr>
    </w:div>
    <w:div w:id="1949460583">
      <w:bodyDiv w:val="1"/>
      <w:marLeft w:val="0"/>
      <w:marRight w:val="0"/>
      <w:marTop w:val="0"/>
      <w:marBottom w:val="0"/>
      <w:divBdr>
        <w:top w:val="none" w:sz="0" w:space="0" w:color="auto"/>
        <w:left w:val="none" w:sz="0" w:space="0" w:color="auto"/>
        <w:bottom w:val="none" w:sz="0" w:space="0" w:color="auto"/>
        <w:right w:val="none" w:sz="0" w:space="0" w:color="auto"/>
      </w:divBdr>
    </w:div>
    <w:div w:id="1949462938">
      <w:bodyDiv w:val="1"/>
      <w:marLeft w:val="0"/>
      <w:marRight w:val="0"/>
      <w:marTop w:val="0"/>
      <w:marBottom w:val="0"/>
      <w:divBdr>
        <w:top w:val="none" w:sz="0" w:space="0" w:color="auto"/>
        <w:left w:val="none" w:sz="0" w:space="0" w:color="auto"/>
        <w:bottom w:val="none" w:sz="0" w:space="0" w:color="auto"/>
        <w:right w:val="none" w:sz="0" w:space="0" w:color="auto"/>
      </w:divBdr>
    </w:div>
    <w:div w:id="1949698723">
      <w:bodyDiv w:val="1"/>
      <w:marLeft w:val="0"/>
      <w:marRight w:val="0"/>
      <w:marTop w:val="0"/>
      <w:marBottom w:val="0"/>
      <w:divBdr>
        <w:top w:val="none" w:sz="0" w:space="0" w:color="auto"/>
        <w:left w:val="none" w:sz="0" w:space="0" w:color="auto"/>
        <w:bottom w:val="none" w:sz="0" w:space="0" w:color="auto"/>
        <w:right w:val="none" w:sz="0" w:space="0" w:color="auto"/>
      </w:divBdr>
    </w:div>
    <w:div w:id="1949774919">
      <w:bodyDiv w:val="1"/>
      <w:marLeft w:val="0"/>
      <w:marRight w:val="0"/>
      <w:marTop w:val="0"/>
      <w:marBottom w:val="0"/>
      <w:divBdr>
        <w:top w:val="none" w:sz="0" w:space="0" w:color="auto"/>
        <w:left w:val="none" w:sz="0" w:space="0" w:color="auto"/>
        <w:bottom w:val="none" w:sz="0" w:space="0" w:color="auto"/>
        <w:right w:val="none" w:sz="0" w:space="0" w:color="auto"/>
      </w:divBdr>
    </w:div>
    <w:div w:id="1949847819">
      <w:bodyDiv w:val="1"/>
      <w:marLeft w:val="0"/>
      <w:marRight w:val="0"/>
      <w:marTop w:val="0"/>
      <w:marBottom w:val="0"/>
      <w:divBdr>
        <w:top w:val="none" w:sz="0" w:space="0" w:color="auto"/>
        <w:left w:val="none" w:sz="0" w:space="0" w:color="auto"/>
        <w:bottom w:val="none" w:sz="0" w:space="0" w:color="auto"/>
        <w:right w:val="none" w:sz="0" w:space="0" w:color="auto"/>
      </w:divBdr>
    </w:div>
    <w:div w:id="1949969817">
      <w:bodyDiv w:val="1"/>
      <w:marLeft w:val="0"/>
      <w:marRight w:val="0"/>
      <w:marTop w:val="0"/>
      <w:marBottom w:val="0"/>
      <w:divBdr>
        <w:top w:val="none" w:sz="0" w:space="0" w:color="auto"/>
        <w:left w:val="none" w:sz="0" w:space="0" w:color="auto"/>
        <w:bottom w:val="none" w:sz="0" w:space="0" w:color="auto"/>
        <w:right w:val="none" w:sz="0" w:space="0" w:color="auto"/>
      </w:divBdr>
    </w:div>
    <w:div w:id="1950121322">
      <w:bodyDiv w:val="1"/>
      <w:marLeft w:val="0"/>
      <w:marRight w:val="0"/>
      <w:marTop w:val="0"/>
      <w:marBottom w:val="0"/>
      <w:divBdr>
        <w:top w:val="none" w:sz="0" w:space="0" w:color="auto"/>
        <w:left w:val="none" w:sz="0" w:space="0" w:color="auto"/>
        <w:bottom w:val="none" w:sz="0" w:space="0" w:color="auto"/>
        <w:right w:val="none" w:sz="0" w:space="0" w:color="auto"/>
      </w:divBdr>
    </w:div>
    <w:div w:id="1950157226">
      <w:bodyDiv w:val="1"/>
      <w:marLeft w:val="0"/>
      <w:marRight w:val="0"/>
      <w:marTop w:val="0"/>
      <w:marBottom w:val="0"/>
      <w:divBdr>
        <w:top w:val="none" w:sz="0" w:space="0" w:color="auto"/>
        <w:left w:val="none" w:sz="0" w:space="0" w:color="auto"/>
        <w:bottom w:val="none" w:sz="0" w:space="0" w:color="auto"/>
        <w:right w:val="none" w:sz="0" w:space="0" w:color="auto"/>
      </w:divBdr>
    </w:div>
    <w:div w:id="1950157523">
      <w:bodyDiv w:val="1"/>
      <w:marLeft w:val="0"/>
      <w:marRight w:val="0"/>
      <w:marTop w:val="0"/>
      <w:marBottom w:val="0"/>
      <w:divBdr>
        <w:top w:val="none" w:sz="0" w:space="0" w:color="auto"/>
        <w:left w:val="none" w:sz="0" w:space="0" w:color="auto"/>
        <w:bottom w:val="none" w:sz="0" w:space="0" w:color="auto"/>
        <w:right w:val="none" w:sz="0" w:space="0" w:color="auto"/>
      </w:divBdr>
    </w:div>
    <w:div w:id="1950160731">
      <w:bodyDiv w:val="1"/>
      <w:marLeft w:val="0"/>
      <w:marRight w:val="0"/>
      <w:marTop w:val="0"/>
      <w:marBottom w:val="0"/>
      <w:divBdr>
        <w:top w:val="none" w:sz="0" w:space="0" w:color="auto"/>
        <w:left w:val="none" w:sz="0" w:space="0" w:color="auto"/>
        <w:bottom w:val="none" w:sz="0" w:space="0" w:color="auto"/>
        <w:right w:val="none" w:sz="0" w:space="0" w:color="auto"/>
      </w:divBdr>
    </w:div>
    <w:div w:id="1950357333">
      <w:bodyDiv w:val="1"/>
      <w:marLeft w:val="0"/>
      <w:marRight w:val="0"/>
      <w:marTop w:val="0"/>
      <w:marBottom w:val="0"/>
      <w:divBdr>
        <w:top w:val="none" w:sz="0" w:space="0" w:color="auto"/>
        <w:left w:val="none" w:sz="0" w:space="0" w:color="auto"/>
        <w:bottom w:val="none" w:sz="0" w:space="0" w:color="auto"/>
        <w:right w:val="none" w:sz="0" w:space="0" w:color="auto"/>
      </w:divBdr>
    </w:div>
    <w:div w:id="1950426638">
      <w:bodyDiv w:val="1"/>
      <w:marLeft w:val="0"/>
      <w:marRight w:val="0"/>
      <w:marTop w:val="0"/>
      <w:marBottom w:val="0"/>
      <w:divBdr>
        <w:top w:val="none" w:sz="0" w:space="0" w:color="auto"/>
        <w:left w:val="none" w:sz="0" w:space="0" w:color="auto"/>
        <w:bottom w:val="none" w:sz="0" w:space="0" w:color="auto"/>
        <w:right w:val="none" w:sz="0" w:space="0" w:color="auto"/>
      </w:divBdr>
    </w:div>
    <w:div w:id="1950501822">
      <w:bodyDiv w:val="1"/>
      <w:marLeft w:val="0"/>
      <w:marRight w:val="0"/>
      <w:marTop w:val="0"/>
      <w:marBottom w:val="0"/>
      <w:divBdr>
        <w:top w:val="none" w:sz="0" w:space="0" w:color="auto"/>
        <w:left w:val="none" w:sz="0" w:space="0" w:color="auto"/>
        <w:bottom w:val="none" w:sz="0" w:space="0" w:color="auto"/>
        <w:right w:val="none" w:sz="0" w:space="0" w:color="auto"/>
      </w:divBdr>
    </w:div>
    <w:div w:id="1950502175">
      <w:bodyDiv w:val="1"/>
      <w:marLeft w:val="0"/>
      <w:marRight w:val="0"/>
      <w:marTop w:val="0"/>
      <w:marBottom w:val="0"/>
      <w:divBdr>
        <w:top w:val="none" w:sz="0" w:space="0" w:color="auto"/>
        <w:left w:val="none" w:sz="0" w:space="0" w:color="auto"/>
        <w:bottom w:val="none" w:sz="0" w:space="0" w:color="auto"/>
        <w:right w:val="none" w:sz="0" w:space="0" w:color="auto"/>
      </w:divBdr>
    </w:div>
    <w:div w:id="1950502734">
      <w:bodyDiv w:val="1"/>
      <w:marLeft w:val="0"/>
      <w:marRight w:val="0"/>
      <w:marTop w:val="0"/>
      <w:marBottom w:val="0"/>
      <w:divBdr>
        <w:top w:val="none" w:sz="0" w:space="0" w:color="auto"/>
        <w:left w:val="none" w:sz="0" w:space="0" w:color="auto"/>
        <w:bottom w:val="none" w:sz="0" w:space="0" w:color="auto"/>
        <w:right w:val="none" w:sz="0" w:space="0" w:color="auto"/>
      </w:divBdr>
    </w:div>
    <w:div w:id="1950624232">
      <w:bodyDiv w:val="1"/>
      <w:marLeft w:val="0"/>
      <w:marRight w:val="0"/>
      <w:marTop w:val="0"/>
      <w:marBottom w:val="0"/>
      <w:divBdr>
        <w:top w:val="none" w:sz="0" w:space="0" w:color="auto"/>
        <w:left w:val="none" w:sz="0" w:space="0" w:color="auto"/>
        <w:bottom w:val="none" w:sz="0" w:space="0" w:color="auto"/>
        <w:right w:val="none" w:sz="0" w:space="0" w:color="auto"/>
      </w:divBdr>
    </w:div>
    <w:div w:id="1950775368">
      <w:bodyDiv w:val="1"/>
      <w:marLeft w:val="0"/>
      <w:marRight w:val="0"/>
      <w:marTop w:val="0"/>
      <w:marBottom w:val="0"/>
      <w:divBdr>
        <w:top w:val="none" w:sz="0" w:space="0" w:color="auto"/>
        <w:left w:val="none" w:sz="0" w:space="0" w:color="auto"/>
        <w:bottom w:val="none" w:sz="0" w:space="0" w:color="auto"/>
        <w:right w:val="none" w:sz="0" w:space="0" w:color="auto"/>
      </w:divBdr>
    </w:div>
    <w:div w:id="1950819479">
      <w:bodyDiv w:val="1"/>
      <w:marLeft w:val="0"/>
      <w:marRight w:val="0"/>
      <w:marTop w:val="0"/>
      <w:marBottom w:val="0"/>
      <w:divBdr>
        <w:top w:val="none" w:sz="0" w:space="0" w:color="auto"/>
        <w:left w:val="none" w:sz="0" w:space="0" w:color="auto"/>
        <w:bottom w:val="none" w:sz="0" w:space="0" w:color="auto"/>
        <w:right w:val="none" w:sz="0" w:space="0" w:color="auto"/>
      </w:divBdr>
    </w:div>
    <w:div w:id="1950894815">
      <w:bodyDiv w:val="1"/>
      <w:marLeft w:val="0"/>
      <w:marRight w:val="0"/>
      <w:marTop w:val="0"/>
      <w:marBottom w:val="0"/>
      <w:divBdr>
        <w:top w:val="none" w:sz="0" w:space="0" w:color="auto"/>
        <w:left w:val="none" w:sz="0" w:space="0" w:color="auto"/>
        <w:bottom w:val="none" w:sz="0" w:space="0" w:color="auto"/>
        <w:right w:val="none" w:sz="0" w:space="0" w:color="auto"/>
      </w:divBdr>
    </w:div>
    <w:div w:id="1950896530">
      <w:bodyDiv w:val="1"/>
      <w:marLeft w:val="0"/>
      <w:marRight w:val="0"/>
      <w:marTop w:val="0"/>
      <w:marBottom w:val="0"/>
      <w:divBdr>
        <w:top w:val="none" w:sz="0" w:space="0" w:color="auto"/>
        <w:left w:val="none" w:sz="0" w:space="0" w:color="auto"/>
        <w:bottom w:val="none" w:sz="0" w:space="0" w:color="auto"/>
        <w:right w:val="none" w:sz="0" w:space="0" w:color="auto"/>
      </w:divBdr>
    </w:div>
    <w:div w:id="1950967239">
      <w:bodyDiv w:val="1"/>
      <w:marLeft w:val="0"/>
      <w:marRight w:val="0"/>
      <w:marTop w:val="0"/>
      <w:marBottom w:val="0"/>
      <w:divBdr>
        <w:top w:val="none" w:sz="0" w:space="0" w:color="auto"/>
        <w:left w:val="none" w:sz="0" w:space="0" w:color="auto"/>
        <w:bottom w:val="none" w:sz="0" w:space="0" w:color="auto"/>
        <w:right w:val="none" w:sz="0" w:space="0" w:color="auto"/>
      </w:divBdr>
    </w:div>
    <w:div w:id="1951038390">
      <w:bodyDiv w:val="1"/>
      <w:marLeft w:val="0"/>
      <w:marRight w:val="0"/>
      <w:marTop w:val="0"/>
      <w:marBottom w:val="0"/>
      <w:divBdr>
        <w:top w:val="none" w:sz="0" w:space="0" w:color="auto"/>
        <w:left w:val="none" w:sz="0" w:space="0" w:color="auto"/>
        <w:bottom w:val="none" w:sz="0" w:space="0" w:color="auto"/>
        <w:right w:val="none" w:sz="0" w:space="0" w:color="auto"/>
      </w:divBdr>
    </w:div>
    <w:div w:id="1951083542">
      <w:bodyDiv w:val="1"/>
      <w:marLeft w:val="0"/>
      <w:marRight w:val="0"/>
      <w:marTop w:val="0"/>
      <w:marBottom w:val="0"/>
      <w:divBdr>
        <w:top w:val="none" w:sz="0" w:space="0" w:color="auto"/>
        <w:left w:val="none" w:sz="0" w:space="0" w:color="auto"/>
        <w:bottom w:val="none" w:sz="0" w:space="0" w:color="auto"/>
        <w:right w:val="none" w:sz="0" w:space="0" w:color="auto"/>
      </w:divBdr>
    </w:div>
    <w:div w:id="1951206561">
      <w:bodyDiv w:val="1"/>
      <w:marLeft w:val="0"/>
      <w:marRight w:val="0"/>
      <w:marTop w:val="0"/>
      <w:marBottom w:val="0"/>
      <w:divBdr>
        <w:top w:val="none" w:sz="0" w:space="0" w:color="auto"/>
        <w:left w:val="none" w:sz="0" w:space="0" w:color="auto"/>
        <w:bottom w:val="none" w:sz="0" w:space="0" w:color="auto"/>
        <w:right w:val="none" w:sz="0" w:space="0" w:color="auto"/>
      </w:divBdr>
    </w:div>
    <w:div w:id="1951353120">
      <w:bodyDiv w:val="1"/>
      <w:marLeft w:val="0"/>
      <w:marRight w:val="0"/>
      <w:marTop w:val="0"/>
      <w:marBottom w:val="0"/>
      <w:divBdr>
        <w:top w:val="none" w:sz="0" w:space="0" w:color="auto"/>
        <w:left w:val="none" w:sz="0" w:space="0" w:color="auto"/>
        <w:bottom w:val="none" w:sz="0" w:space="0" w:color="auto"/>
        <w:right w:val="none" w:sz="0" w:space="0" w:color="auto"/>
      </w:divBdr>
    </w:div>
    <w:div w:id="1951357161">
      <w:bodyDiv w:val="1"/>
      <w:marLeft w:val="0"/>
      <w:marRight w:val="0"/>
      <w:marTop w:val="0"/>
      <w:marBottom w:val="0"/>
      <w:divBdr>
        <w:top w:val="none" w:sz="0" w:space="0" w:color="auto"/>
        <w:left w:val="none" w:sz="0" w:space="0" w:color="auto"/>
        <w:bottom w:val="none" w:sz="0" w:space="0" w:color="auto"/>
        <w:right w:val="none" w:sz="0" w:space="0" w:color="auto"/>
      </w:divBdr>
    </w:div>
    <w:div w:id="1951546252">
      <w:bodyDiv w:val="1"/>
      <w:marLeft w:val="0"/>
      <w:marRight w:val="0"/>
      <w:marTop w:val="0"/>
      <w:marBottom w:val="0"/>
      <w:divBdr>
        <w:top w:val="none" w:sz="0" w:space="0" w:color="auto"/>
        <w:left w:val="none" w:sz="0" w:space="0" w:color="auto"/>
        <w:bottom w:val="none" w:sz="0" w:space="0" w:color="auto"/>
        <w:right w:val="none" w:sz="0" w:space="0" w:color="auto"/>
      </w:divBdr>
    </w:div>
    <w:div w:id="1951622398">
      <w:bodyDiv w:val="1"/>
      <w:marLeft w:val="0"/>
      <w:marRight w:val="0"/>
      <w:marTop w:val="0"/>
      <w:marBottom w:val="0"/>
      <w:divBdr>
        <w:top w:val="none" w:sz="0" w:space="0" w:color="auto"/>
        <w:left w:val="none" w:sz="0" w:space="0" w:color="auto"/>
        <w:bottom w:val="none" w:sz="0" w:space="0" w:color="auto"/>
        <w:right w:val="none" w:sz="0" w:space="0" w:color="auto"/>
      </w:divBdr>
    </w:div>
    <w:div w:id="1951663166">
      <w:bodyDiv w:val="1"/>
      <w:marLeft w:val="0"/>
      <w:marRight w:val="0"/>
      <w:marTop w:val="0"/>
      <w:marBottom w:val="0"/>
      <w:divBdr>
        <w:top w:val="none" w:sz="0" w:space="0" w:color="auto"/>
        <w:left w:val="none" w:sz="0" w:space="0" w:color="auto"/>
        <w:bottom w:val="none" w:sz="0" w:space="0" w:color="auto"/>
        <w:right w:val="none" w:sz="0" w:space="0" w:color="auto"/>
      </w:divBdr>
    </w:div>
    <w:div w:id="1951737179">
      <w:bodyDiv w:val="1"/>
      <w:marLeft w:val="0"/>
      <w:marRight w:val="0"/>
      <w:marTop w:val="0"/>
      <w:marBottom w:val="0"/>
      <w:divBdr>
        <w:top w:val="none" w:sz="0" w:space="0" w:color="auto"/>
        <w:left w:val="none" w:sz="0" w:space="0" w:color="auto"/>
        <w:bottom w:val="none" w:sz="0" w:space="0" w:color="auto"/>
        <w:right w:val="none" w:sz="0" w:space="0" w:color="auto"/>
      </w:divBdr>
    </w:div>
    <w:div w:id="1951860865">
      <w:bodyDiv w:val="1"/>
      <w:marLeft w:val="0"/>
      <w:marRight w:val="0"/>
      <w:marTop w:val="0"/>
      <w:marBottom w:val="0"/>
      <w:divBdr>
        <w:top w:val="none" w:sz="0" w:space="0" w:color="auto"/>
        <w:left w:val="none" w:sz="0" w:space="0" w:color="auto"/>
        <w:bottom w:val="none" w:sz="0" w:space="0" w:color="auto"/>
        <w:right w:val="none" w:sz="0" w:space="0" w:color="auto"/>
      </w:divBdr>
    </w:div>
    <w:div w:id="1951861997">
      <w:bodyDiv w:val="1"/>
      <w:marLeft w:val="0"/>
      <w:marRight w:val="0"/>
      <w:marTop w:val="0"/>
      <w:marBottom w:val="0"/>
      <w:divBdr>
        <w:top w:val="none" w:sz="0" w:space="0" w:color="auto"/>
        <w:left w:val="none" w:sz="0" w:space="0" w:color="auto"/>
        <w:bottom w:val="none" w:sz="0" w:space="0" w:color="auto"/>
        <w:right w:val="none" w:sz="0" w:space="0" w:color="auto"/>
      </w:divBdr>
    </w:div>
    <w:div w:id="1951933779">
      <w:bodyDiv w:val="1"/>
      <w:marLeft w:val="0"/>
      <w:marRight w:val="0"/>
      <w:marTop w:val="0"/>
      <w:marBottom w:val="0"/>
      <w:divBdr>
        <w:top w:val="none" w:sz="0" w:space="0" w:color="auto"/>
        <w:left w:val="none" w:sz="0" w:space="0" w:color="auto"/>
        <w:bottom w:val="none" w:sz="0" w:space="0" w:color="auto"/>
        <w:right w:val="none" w:sz="0" w:space="0" w:color="auto"/>
      </w:divBdr>
    </w:div>
    <w:div w:id="1951937934">
      <w:bodyDiv w:val="1"/>
      <w:marLeft w:val="0"/>
      <w:marRight w:val="0"/>
      <w:marTop w:val="0"/>
      <w:marBottom w:val="0"/>
      <w:divBdr>
        <w:top w:val="none" w:sz="0" w:space="0" w:color="auto"/>
        <w:left w:val="none" w:sz="0" w:space="0" w:color="auto"/>
        <w:bottom w:val="none" w:sz="0" w:space="0" w:color="auto"/>
        <w:right w:val="none" w:sz="0" w:space="0" w:color="auto"/>
      </w:divBdr>
    </w:div>
    <w:div w:id="1952012873">
      <w:bodyDiv w:val="1"/>
      <w:marLeft w:val="0"/>
      <w:marRight w:val="0"/>
      <w:marTop w:val="0"/>
      <w:marBottom w:val="0"/>
      <w:divBdr>
        <w:top w:val="none" w:sz="0" w:space="0" w:color="auto"/>
        <w:left w:val="none" w:sz="0" w:space="0" w:color="auto"/>
        <w:bottom w:val="none" w:sz="0" w:space="0" w:color="auto"/>
        <w:right w:val="none" w:sz="0" w:space="0" w:color="auto"/>
      </w:divBdr>
    </w:div>
    <w:div w:id="1952129025">
      <w:bodyDiv w:val="1"/>
      <w:marLeft w:val="0"/>
      <w:marRight w:val="0"/>
      <w:marTop w:val="0"/>
      <w:marBottom w:val="0"/>
      <w:divBdr>
        <w:top w:val="none" w:sz="0" w:space="0" w:color="auto"/>
        <w:left w:val="none" w:sz="0" w:space="0" w:color="auto"/>
        <w:bottom w:val="none" w:sz="0" w:space="0" w:color="auto"/>
        <w:right w:val="none" w:sz="0" w:space="0" w:color="auto"/>
      </w:divBdr>
    </w:div>
    <w:div w:id="1952131248">
      <w:bodyDiv w:val="1"/>
      <w:marLeft w:val="0"/>
      <w:marRight w:val="0"/>
      <w:marTop w:val="0"/>
      <w:marBottom w:val="0"/>
      <w:divBdr>
        <w:top w:val="none" w:sz="0" w:space="0" w:color="auto"/>
        <w:left w:val="none" w:sz="0" w:space="0" w:color="auto"/>
        <w:bottom w:val="none" w:sz="0" w:space="0" w:color="auto"/>
        <w:right w:val="none" w:sz="0" w:space="0" w:color="auto"/>
      </w:divBdr>
    </w:div>
    <w:div w:id="1952276552">
      <w:bodyDiv w:val="1"/>
      <w:marLeft w:val="0"/>
      <w:marRight w:val="0"/>
      <w:marTop w:val="0"/>
      <w:marBottom w:val="0"/>
      <w:divBdr>
        <w:top w:val="none" w:sz="0" w:space="0" w:color="auto"/>
        <w:left w:val="none" w:sz="0" w:space="0" w:color="auto"/>
        <w:bottom w:val="none" w:sz="0" w:space="0" w:color="auto"/>
        <w:right w:val="none" w:sz="0" w:space="0" w:color="auto"/>
      </w:divBdr>
    </w:div>
    <w:div w:id="1952277075">
      <w:bodyDiv w:val="1"/>
      <w:marLeft w:val="0"/>
      <w:marRight w:val="0"/>
      <w:marTop w:val="0"/>
      <w:marBottom w:val="0"/>
      <w:divBdr>
        <w:top w:val="none" w:sz="0" w:space="0" w:color="auto"/>
        <w:left w:val="none" w:sz="0" w:space="0" w:color="auto"/>
        <w:bottom w:val="none" w:sz="0" w:space="0" w:color="auto"/>
        <w:right w:val="none" w:sz="0" w:space="0" w:color="auto"/>
      </w:divBdr>
    </w:div>
    <w:div w:id="1952282208">
      <w:bodyDiv w:val="1"/>
      <w:marLeft w:val="0"/>
      <w:marRight w:val="0"/>
      <w:marTop w:val="0"/>
      <w:marBottom w:val="0"/>
      <w:divBdr>
        <w:top w:val="none" w:sz="0" w:space="0" w:color="auto"/>
        <w:left w:val="none" w:sz="0" w:space="0" w:color="auto"/>
        <w:bottom w:val="none" w:sz="0" w:space="0" w:color="auto"/>
        <w:right w:val="none" w:sz="0" w:space="0" w:color="auto"/>
      </w:divBdr>
    </w:div>
    <w:div w:id="1952318691">
      <w:bodyDiv w:val="1"/>
      <w:marLeft w:val="0"/>
      <w:marRight w:val="0"/>
      <w:marTop w:val="0"/>
      <w:marBottom w:val="0"/>
      <w:divBdr>
        <w:top w:val="none" w:sz="0" w:space="0" w:color="auto"/>
        <w:left w:val="none" w:sz="0" w:space="0" w:color="auto"/>
        <w:bottom w:val="none" w:sz="0" w:space="0" w:color="auto"/>
        <w:right w:val="none" w:sz="0" w:space="0" w:color="auto"/>
      </w:divBdr>
    </w:div>
    <w:div w:id="1952318869">
      <w:bodyDiv w:val="1"/>
      <w:marLeft w:val="0"/>
      <w:marRight w:val="0"/>
      <w:marTop w:val="0"/>
      <w:marBottom w:val="0"/>
      <w:divBdr>
        <w:top w:val="none" w:sz="0" w:space="0" w:color="auto"/>
        <w:left w:val="none" w:sz="0" w:space="0" w:color="auto"/>
        <w:bottom w:val="none" w:sz="0" w:space="0" w:color="auto"/>
        <w:right w:val="none" w:sz="0" w:space="0" w:color="auto"/>
      </w:divBdr>
    </w:div>
    <w:div w:id="1952325166">
      <w:bodyDiv w:val="1"/>
      <w:marLeft w:val="0"/>
      <w:marRight w:val="0"/>
      <w:marTop w:val="0"/>
      <w:marBottom w:val="0"/>
      <w:divBdr>
        <w:top w:val="none" w:sz="0" w:space="0" w:color="auto"/>
        <w:left w:val="none" w:sz="0" w:space="0" w:color="auto"/>
        <w:bottom w:val="none" w:sz="0" w:space="0" w:color="auto"/>
        <w:right w:val="none" w:sz="0" w:space="0" w:color="auto"/>
      </w:divBdr>
    </w:div>
    <w:div w:id="1952393276">
      <w:bodyDiv w:val="1"/>
      <w:marLeft w:val="0"/>
      <w:marRight w:val="0"/>
      <w:marTop w:val="0"/>
      <w:marBottom w:val="0"/>
      <w:divBdr>
        <w:top w:val="none" w:sz="0" w:space="0" w:color="auto"/>
        <w:left w:val="none" w:sz="0" w:space="0" w:color="auto"/>
        <w:bottom w:val="none" w:sz="0" w:space="0" w:color="auto"/>
        <w:right w:val="none" w:sz="0" w:space="0" w:color="auto"/>
      </w:divBdr>
    </w:div>
    <w:div w:id="1952394913">
      <w:bodyDiv w:val="1"/>
      <w:marLeft w:val="0"/>
      <w:marRight w:val="0"/>
      <w:marTop w:val="0"/>
      <w:marBottom w:val="0"/>
      <w:divBdr>
        <w:top w:val="none" w:sz="0" w:space="0" w:color="auto"/>
        <w:left w:val="none" w:sz="0" w:space="0" w:color="auto"/>
        <w:bottom w:val="none" w:sz="0" w:space="0" w:color="auto"/>
        <w:right w:val="none" w:sz="0" w:space="0" w:color="auto"/>
      </w:divBdr>
    </w:div>
    <w:div w:id="1952399104">
      <w:bodyDiv w:val="1"/>
      <w:marLeft w:val="0"/>
      <w:marRight w:val="0"/>
      <w:marTop w:val="0"/>
      <w:marBottom w:val="0"/>
      <w:divBdr>
        <w:top w:val="none" w:sz="0" w:space="0" w:color="auto"/>
        <w:left w:val="none" w:sz="0" w:space="0" w:color="auto"/>
        <w:bottom w:val="none" w:sz="0" w:space="0" w:color="auto"/>
        <w:right w:val="none" w:sz="0" w:space="0" w:color="auto"/>
      </w:divBdr>
    </w:div>
    <w:div w:id="1952399991">
      <w:bodyDiv w:val="1"/>
      <w:marLeft w:val="0"/>
      <w:marRight w:val="0"/>
      <w:marTop w:val="0"/>
      <w:marBottom w:val="0"/>
      <w:divBdr>
        <w:top w:val="none" w:sz="0" w:space="0" w:color="auto"/>
        <w:left w:val="none" w:sz="0" w:space="0" w:color="auto"/>
        <w:bottom w:val="none" w:sz="0" w:space="0" w:color="auto"/>
        <w:right w:val="none" w:sz="0" w:space="0" w:color="auto"/>
      </w:divBdr>
    </w:div>
    <w:div w:id="1952472742">
      <w:bodyDiv w:val="1"/>
      <w:marLeft w:val="0"/>
      <w:marRight w:val="0"/>
      <w:marTop w:val="0"/>
      <w:marBottom w:val="0"/>
      <w:divBdr>
        <w:top w:val="none" w:sz="0" w:space="0" w:color="auto"/>
        <w:left w:val="none" w:sz="0" w:space="0" w:color="auto"/>
        <w:bottom w:val="none" w:sz="0" w:space="0" w:color="auto"/>
        <w:right w:val="none" w:sz="0" w:space="0" w:color="auto"/>
      </w:divBdr>
    </w:div>
    <w:div w:id="1952475301">
      <w:bodyDiv w:val="1"/>
      <w:marLeft w:val="0"/>
      <w:marRight w:val="0"/>
      <w:marTop w:val="0"/>
      <w:marBottom w:val="0"/>
      <w:divBdr>
        <w:top w:val="none" w:sz="0" w:space="0" w:color="auto"/>
        <w:left w:val="none" w:sz="0" w:space="0" w:color="auto"/>
        <w:bottom w:val="none" w:sz="0" w:space="0" w:color="auto"/>
        <w:right w:val="none" w:sz="0" w:space="0" w:color="auto"/>
      </w:divBdr>
    </w:div>
    <w:div w:id="1952585460">
      <w:bodyDiv w:val="1"/>
      <w:marLeft w:val="0"/>
      <w:marRight w:val="0"/>
      <w:marTop w:val="0"/>
      <w:marBottom w:val="0"/>
      <w:divBdr>
        <w:top w:val="none" w:sz="0" w:space="0" w:color="auto"/>
        <w:left w:val="none" w:sz="0" w:space="0" w:color="auto"/>
        <w:bottom w:val="none" w:sz="0" w:space="0" w:color="auto"/>
        <w:right w:val="none" w:sz="0" w:space="0" w:color="auto"/>
      </w:divBdr>
    </w:div>
    <w:div w:id="1952667225">
      <w:bodyDiv w:val="1"/>
      <w:marLeft w:val="0"/>
      <w:marRight w:val="0"/>
      <w:marTop w:val="0"/>
      <w:marBottom w:val="0"/>
      <w:divBdr>
        <w:top w:val="none" w:sz="0" w:space="0" w:color="auto"/>
        <w:left w:val="none" w:sz="0" w:space="0" w:color="auto"/>
        <w:bottom w:val="none" w:sz="0" w:space="0" w:color="auto"/>
        <w:right w:val="none" w:sz="0" w:space="0" w:color="auto"/>
      </w:divBdr>
    </w:div>
    <w:div w:id="1952929897">
      <w:bodyDiv w:val="1"/>
      <w:marLeft w:val="0"/>
      <w:marRight w:val="0"/>
      <w:marTop w:val="0"/>
      <w:marBottom w:val="0"/>
      <w:divBdr>
        <w:top w:val="none" w:sz="0" w:space="0" w:color="auto"/>
        <w:left w:val="none" w:sz="0" w:space="0" w:color="auto"/>
        <w:bottom w:val="none" w:sz="0" w:space="0" w:color="auto"/>
        <w:right w:val="none" w:sz="0" w:space="0" w:color="auto"/>
      </w:divBdr>
    </w:div>
    <w:div w:id="1952979505">
      <w:bodyDiv w:val="1"/>
      <w:marLeft w:val="0"/>
      <w:marRight w:val="0"/>
      <w:marTop w:val="0"/>
      <w:marBottom w:val="0"/>
      <w:divBdr>
        <w:top w:val="none" w:sz="0" w:space="0" w:color="auto"/>
        <w:left w:val="none" w:sz="0" w:space="0" w:color="auto"/>
        <w:bottom w:val="none" w:sz="0" w:space="0" w:color="auto"/>
        <w:right w:val="none" w:sz="0" w:space="0" w:color="auto"/>
      </w:divBdr>
    </w:div>
    <w:div w:id="1952979610">
      <w:bodyDiv w:val="1"/>
      <w:marLeft w:val="0"/>
      <w:marRight w:val="0"/>
      <w:marTop w:val="0"/>
      <w:marBottom w:val="0"/>
      <w:divBdr>
        <w:top w:val="none" w:sz="0" w:space="0" w:color="auto"/>
        <w:left w:val="none" w:sz="0" w:space="0" w:color="auto"/>
        <w:bottom w:val="none" w:sz="0" w:space="0" w:color="auto"/>
        <w:right w:val="none" w:sz="0" w:space="0" w:color="auto"/>
      </w:divBdr>
    </w:div>
    <w:div w:id="1953004340">
      <w:bodyDiv w:val="1"/>
      <w:marLeft w:val="0"/>
      <w:marRight w:val="0"/>
      <w:marTop w:val="0"/>
      <w:marBottom w:val="0"/>
      <w:divBdr>
        <w:top w:val="none" w:sz="0" w:space="0" w:color="auto"/>
        <w:left w:val="none" w:sz="0" w:space="0" w:color="auto"/>
        <w:bottom w:val="none" w:sz="0" w:space="0" w:color="auto"/>
        <w:right w:val="none" w:sz="0" w:space="0" w:color="auto"/>
      </w:divBdr>
    </w:div>
    <w:div w:id="1953199952">
      <w:bodyDiv w:val="1"/>
      <w:marLeft w:val="0"/>
      <w:marRight w:val="0"/>
      <w:marTop w:val="0"/>
      <w:marBottom w:val="0"/>
      <w:divBdr>
        <w:top w:val="none" w:sz="0" w:space="0" w:color="auto"/>
        <w:left w:val="none" w:sz="0" w:space="0" w:color="auto"/>
        <w:bottom w:val="none" w:sz="0" w:space="0" w:color="auto"/>
        <w:right w:val="none" w:sz="0" w:space="0" w:color="auto"/>
      </w:divBdr>
    </w:div>
    <w:div w:id="1953245672">
      <w:bodyDiv w:val="1"/>
      <w:marLeft w:val="0"/>
      <w:marRight w:val="0"/>
      <w:marTop w:val="0"/>
      <w:marBottom w:val="0"/>
      <w:divBdr>
        <w:top w:val="none" w:sz="0" w:space="0" w:color="auto"/>
        <w:left w:val="none" w:sz="0" w:space="0" w:color="auto"/>
        <w:bottom w:val="none" w:sz="0" w:space="0" w:color="auto"/>
        <w:right w:val="none" w:sz="0" w:space="0" w:color="auto"/>
      </w:divBdr>
    </w:div>
    <w:div w:id="1953246876">
      <w:bodyDiv w:val="1"/>
      <w:marLeft w:val="0"/>
      <w:marRight w:val="0"/>
      <w:marTop w:val="0"/>
      <w:marBottom w:val="0"/>
      <w:divBdr>
        <w:top w:val="none" w:sz="0" w:space="0" w:color="auto"/>
        <w:left w:val="none" w:sz="0" w:space="0" w:color="auto"/>
        <w:bottom w:val="none" w:sz="0" w:space="0" w:color="auto"/>
        <w:right w:val="none" w:sz="0" w:space="0" w:color="auto"/>
      </w:divBdr>
    </w:div>
    <w:div w:id="1953316857">
      <w:bodyDiv w:val="1"/>
      <w:marLeft w:val="0"/>
      <w:marRight w:val="0"/>
      <w:marTop w:val="0"/>
      <w:marBottom w:val="0"/>
      <w:divBdr>
        <w:top w:val="none" w:sz="0" w:space="0" w:color="auto"/>
        <w:left w:val="none" w:sz="0" w:space="0" w:color="auto"/>
        <w:bottom w:val="none" w:sz="0" w:space="0" w:color="auto"/>
        <w:right w:val="none" w:sz="0" w:space="0" w:color="auto"/>
      </w:divBdr>
    </w:div>
    <w:div w:id="1953320649">
      <w:bodyDiv w:val="1"/>
      <w:marLeft w:val="0"/>
      <w:marRight w:val="0"/>
      <w:marTop w:val="0"/>
      <w:marBottom w:val="0"/>
      <w:divBdr>
        <w:top w:val="none" w:sz="0" w:space="0" w:color="auto"/>
        <w:left w:val="none" w:sz="0" w:space="0" w:color="auto"/>
        <w:bottom w:val="none" w:sz="0" w:space="0" w:color="auto"/>
        <w:right w:val="none" w:sz="0" w:space="0" w:color="auto"/>
      </w:divBdr>
    </w:div>
    <w:div w:id="1953433590">
      <w:bodyDiv w:val="1"/>
      <w:marLeft w:val="0"/>
      <w:marRight w:val="0"/>
      <w:marTop w:val="0"/>
      <w:marBottom w:val="0"/>
      <w:divBdr>
        <w:top w:val="none" w:sz="0" w:space="0" w:color="auto"/>
        <w:left w:val="none" w:sz="0" w:space="0" w:color="auto"/>
        <w:bottom w:val="none" w:sz="0" w:space="0" w:color="auto"/>
        <w:right w:val="none" w:sz="0" w:space="0" w:color="auto"/>
      </w:divBdr>
    </w:div>
    <w:div w:id="1953439198">
      <w:bodyDiv w:val="1"/>
      <w:marLeft w:val="0"/>
      <w:marRight w:val="0"/>
      <w:marTop w:val="0"/>
      <w:marBottom w:val="0"/>
      <w:divBdr>
        <w:top w:val="none" w:sz="0" w:space="0" w:color="auto"/>
        <w:left w:val="none" w:sz="0" w:space="0" w:color="auto"/>
        <w:bottom w:val="none" w:sz="0" w:space="0" w:color="auto"/>
        <w:right w:val="none" w:sz="0" w:space="0" w:color="auto"/>
      </w:divBdr>
    </w:div>
    <w:div w:id="1953442388">
      <w:bodyDiv w:val="1"/>
      <w:marLeft w:val="0"/>
      <w:marRight w:val="0"/>
      <w:marTop w:val="0"/>
      <w:marBottom w:val="0"/>
      <w:divBdr>
        <w:top w:val="none" w:sz="0" w:space="0" w:color="auto"/>
        <w:left w:val="none" w:sz="0" w:space="0" w:color="auto"/>
        <w:bottom w:val="none" w:sz="0" w:space="0" w:color="auto"/>
        <w:right w:val="none" w:sz="0" w:space="0" w:color="auto"/>
      </w:divBdr>
    </w:div>
    <w:div w:id="1953631005">
      <w:bodyDiv w:val="1"/>
      <w:marLeft w:val="0"/>
      <w:marRight w:val="0"/>
      <w:marTop w:val="0"/>
      <w:marBottom w:val="0"/>
      <w:divBdr>
        <w:top w:val="none" w:sz="0" w:space="0" w:color="auto"/>
        <w:left w:val="none" w:sz="0" w:space="0" w:color="auto"/>
        <w:bottom w:val="none" w:sz="0" w:space="0" w:color="auto"/>
        <w:right w:val="none" w:sz="0" w:space="0" w:color="auto"/>
      </w:divBdr>
    </w:div>
    <w:div w:id="1953633284">
      <w:bodyDiv w:val="1"/>
      <w:marLeft w:val="0"/>
      <w:marRight w:val="0"/>
      <w:marTop w:val="0"/>
      <w:marBottom w:val="0"/>
      <w:divBdr>
        <w:top w:val="none" w:sz="0" w:space="0" w:color="auto"/>
        <w:left w:val="none" w:sz="0" w:space="0" w:color="auto"/>
        <w:bottom w:val="none" w:sz="0" w:space="0" w:color="auto"/>
        <w:right w:val="none" w:sz="0" w:space="0" w:color="auto"/>
      </w:divBdr>
    </w:div>
    <w:div w:id="1953902512">
      <w:bodyDiv w:val="1"/>
      <w:marLeft w:val="0"/>
      <w:marRight w:val="0"/>
      <w:marTop w:val="0"/>
      <w:marBottom w:val="0"/>
      <w:divBdr>
        <w:top w:val="none" w:sz="0" w:space="0" w:color="auto"/>
        <w:left w:val="none" w:sz="0" w:space="0" w:color="auto"/>
        <w:bottom w:val="none" w:sz="0" w:space="0" w:color="auto"/>
        <w:right w:val="none" w:sz="0" w:space="0" w:color="auto"/>
      </w:divBdr>
    </w:div>
    <w:div w:id="1954089326">
      <w:bodyDiv w:val="1"/>
      <w:marLeft w:val="0"/>
      <w:marRight w:val="0"/>
      <w:marTop w:val="0"/>
      <w:marBottom w:val="0"/>
      <w:divBdr>
        <w:top w:val="none" w:sz="0" w:space="0" w:color="auto"/>
        <w:left w:val="none" w:sz="0" w:space="0" w:color="auto"/>
        <w:bottom w:val="none" w:sz="0" w:space="0" w:color="auto"/>
        <w:right w:val="none" w:sz="0" w:space="0" w:color="auto"/>
      </w:divBdr>
    </w:div>
    <w:div w:id="1954093966">
      <w:bodyDiv w:val="1"/>
      <w:marLeft w:val="0"/>
      <w:marRight w:val="0"/>
      <w:marTop w:val="0"/>
      <w:marBottom w:val="0"/>
      <w:divBdr>
        <w:top w:val="none" w:sz="0" w:space="0" w:color="auto"/>
        <w:left w:val="none" w:sz="0" w:space="0" w:color="auto"/>
        <w:bottom w:val="none" w:sz="0" w:space="0" w:color="auto"/>
        <w:right w:val="none" w:sz="0" w:space="0" w:color="auto"/>
      </w:divBdr>
    </w:div>
    <w:div w:id="1954166671">
      <w:bodyDiv w:val="1"/>
      <w:marLeft w:val="0"/>
      <w:marRight w:val="0"/>
      <w:marTop w:val="0"/>
      <w:marBottom w:val="0"/>
      <w:divBdr>
        <w:top w:val="none" w:sz="0" w:space="0" w:color="auto"/>
        <w:left w:val="none" w:sz="0" w:space="0" w:color="auto"/>
        <w:bottom w:val="none" w:sz="0" w:space="0" w:color="auto"/>
        <w:right w:val="none" w:sz="0" w:space="0" w:color="auto"/>
      </w:divBdr>
    </w:div>
    <w:div w:id="1954435333">
      <w:bodyDiv w:val="1"/>
      <w:marLeft w:val="0"/>
      <w:marRight w:val="0"/>
      <w:marTop w:val="0"/>
      <w:marBottom w:val="0"/>
      <w:divBdr>
        <w:top w:val="none" w:sz="0" w:space="0" w:color="auto"/>
        <w:left w:val="none" w:sz="0" w:space="0" w:color="auto"/>
        <w:bottom w:val="none" w:sz="0" w:space="0" w:color="auto"/>
        <w:right w:val="none" w:sz="0" w:space="0" w:color="auto"/>
      </w:divBdr>
    </w:div>
    <w:div w:id="1954482936">
      <w:bodyDiv w:val="1"/>
      <w:marLeft w:val="0"/>
      <w:marRight w:val="0"/>
      <w:marTop w:val="0"/>
      <w:marBottom w:val="0"/>
      <w:divBdr>
        <w:top w:val="none" w:sz="0" w:space="0" w:color="auto"/>
        <w:left w:val="none" w:sz="0" w:space="0" w:color="auto"/>
        <w:bottom w:val="none" w:sz="0" w:space="0" w:color="auto"/>
        <w:right w:val="none" w:sz="0" w:space="0" w:color="auto"/>
      </w:divBdr>
    </w:div>
    <w:div w:id="1954747062">
      <w:bodyDiv w:val="1"/>
      <w:marLeft w:val="0"/>
      <w:marRight w:val="0"/>
      <w:marTop w:val="0"/>
      <w:marBottom w:val="0"/>
      <w:divBdr>
        <w:top w:val="none" w:sz="0" w:space="0" w:color="auto"/>
        <w:left w:val="none" w:sz="0" w:space="0" w:color="auto"/>
        <w:bottom w:val="none" w:sz="0" w:space="0" w:color="auto"/>
        <w:right w:val="none" w:sz="0" w:space="0" w:color="auto"/>
      </w:divBdr>
    </w:div>
    <w:div w:id="1954971305">
      <w:bodyDiv w:val="1"/>
      <w:marLeft w:val="0"/>
      <w:marRight w:val="0"/>
      <w:marTop w:val="0"/>
      <w:marBottom w:val="0"/>
      <w:divBdr>
        <w:top w:val="none" w:sz="0" w:space="0" w:color="auto"/>
        <w:left w:val="none" w:sz="0" w:space="0" w:color="auto"/>
        <w:bottom w:val="none" w:sz="0" w:space="0" w:color="auto"/>
        <w:right w:val="none" w:sz="0" w:space="0" w:color="auto"/>
      </w:divBdr>
    </w:div>
    <w:div w:id="1955012877">
      <w:bodyDiv w:val="1"/>
      <w:marLeft w:val="0"/>
      <w:marRight w:val="0"/>
      <w:marTop w:val="0"/>
      <w:marBottom w:val="0"/>
      <w:divBdr>
        <w:top w:val="none" w:sz="0" w:space="0" w:color="auto"/>
        <w:left w:val="none" w:sz="0" w:space="0" w:color="auto"/>
        <w:bottom w:val="none" w:sz="0" w:space="0" w:color="auto"/>
        <w:right w:val="none" w:sz="0" w:space="0" w:color="auto"/>
      </w:divBdr>
    </w:div>
    <w:div w:id="1955018090">
      <w:bodyDiv w:val="1"/>
      <w:marLeft w:val="0"/>
      <w:marRight w:val="0"/>
      <w:marTop w:val="0"/>
      <w:marBottom w:val="0"/>
      <w:divBdr>
        <w:top w:val="none" w:sz="0" w:space="0" w:color="auto"/>
        <w:left w:val="none" w:sz="0" w:space="0" w:color="auto"/>
        <w:bottom w:val="none" w:sz="0" w:space="0" w:color="auto"/>
        <w:right w:val="none" w:sz="0" w:space="0" w:color="auto"/>
      </w:divBdr>
    </w:div>
    <w:div w:id="1955094266">
      <w:bodyDiv w:val="1"/>
      <w:marLeft w:val="0"/>
      <w:marRight w:val="0"/>
      <w:marTop w:val="0"/>
      <w:marBottom w:val="0"/>
      <w:divBdr>
        <w:top w:val="none" w:sz="0" w:space="0" w:color="auto"/>
        <w:left w:val="none" w:sz="0" w:space="0" w:color="auto"/>
        <w:bottom w:val="none" w:sz="0" w:space="0" w:color="auto"/>
        <w:right w:val="none" w:sz="0" w:space="0" w:color="auto"/>
      </w:divBdr>
    </w:div>
    <w:div w:id="1955139201">
      <w:bodyDiv w:val="1"/>
      <w:marLeft w:val="0"/>
      <w:marRight w:val="0"/>
      <w:marTop w:val="0"/>
      <w:marBottom w:val="0"/>
      <w:divBdr>
        <w:top w:val="none" w:sz="0" w:space="0" w:color="auto"/>
        <w:left w:val="none" w:sz="0" w:space="0" w:color="auto"/>
        <w:bottom w:val="none" w:sz="0" w:space="0" w:color="auto"/>
        <w:right w:val="none" w:sz="0" w:space="0" w:color="auto"/>
      </w:divBdr>
    </w:div>
    <w:div w:id="1955212629">
      <w:bodyDiv w:val="1"/>
      <w:marLeft w:val="0"/>
      <w:marRight w:val="0"/>
      <w:marTop w:val="0"/>
      <w:marBottom w:val="0"/>
      <w:divBdr>
        <w:top w:val="none" w:sz="0" w:space="0" w:color="auto"/>
        <w:left w:val="none" w:sz="0" w:space="0" w:color="auto"/>
        <w:bottom w:val="none" w:sz="0" w:space="0" w:color="auto"/>
        <w:right w:val="none" w:sz="0" w:space="0" w:color="auto"/>
      </w:divBdr>
    </w:div>
    <w:div w:id="1955283310">
      <w:bodyDiv w:val="1"/>
      <w:marLeft w:val="0"/>
      <w:marRight w:val="0"/>
      <w:marTop w:val="0"/>
      <w:marBottom w:val="0"/>
      <w:divBdr>
        <w:top w:val="none" w:sz="0" w:space="0" w:color="auto"/>
        <w:left w:val="none" w:sz="0" w:space="0" w:color="auto"/>
        <w:bottom w:val="none" w:sz="0" w:space="0" w:color="auto"/>
        <w:right w:val="none" w:sz="0" w:space="0" w:color="auto"/>
      </w:divBdr>
    </w:div>
    <w:div w:id="1955364689">
      <w:bodyDiv w:val="1"/>
      <w:marLeft w:val="0"/>
      <w:marRight w:val="0"/>
      <w:marTop w:val="0"/>
      <w:marBottom w:val="0"/>
      <w:divBdr>
        <w:top w:val="none" w:sz="0" w:space="0" w:color="auto"/>
        <w:left w:val="none" w:sz="0" w:space="0" w:color="auto"/>
        <w:bottom w:val="none" w:sz="0" w:space="0" w:color="auto"/>
        <w:right w:val="none" w:sz="0" w:space="0" w:color="auto"/>
      </w:divBdr>
    </w:div>
    <w:div w:id="1955601114">
      <w:bodyDiv w:val="1"/>
      <w:marLeft w:val="0"/>
      <w:marRight w:val="0"/>
      <w:marTop w:val="0"/>
      <w:marBottom w:val="0"/>
      <w:divBdr>
        <w:top w:val="none" w:sz="0" w:space="0" w:color="auto"/>
        <w:left w:val="none" w:sz="0" w:space="0" w:color="auto"/>
        <w:bottom w:val="none" w:sz="0" w:space="0" w:color="auto"/>
        <w:right w:val="none" w:sz="0" w:space="0" w:color="auto"/>
      </w:divBdr>
    </w:div>
    <w:div w:id="1955747588">
      <w:bodyDiv w:val="1"/>
      <w:marLeft w:val="0"/>
      <w:marRight w:val="0"/>
      <w:marTop w:val="0"/>
      <w:marBottom w:val="0"/>
      <w:divBdr>
        <w:top w:val="none" w:sz="0" w:space="0" w:color="auto"/>
        <w:left w:val="none" w:sz="0" w:space="0" w:color="auto"/>
        <w:bottom w:val="none" w:sz="0" w:space="0" w:color="auto"/>
        <w:right w:val="none" w:sz="0" w:space="0" w:color="auto"/>
      </w:divBdr>
    </w:div>
    <w:div w:id="1955823132">
      <w:bodyDiv w:val="1"/>
      <w:marLeft w:val="0"/>
      <w:marRight w:val="0"/>
      <w:marTop w:val="0"/>
      <w:marBottom w:val="0"/>
      <w:divBdr>
        <w:top w:val="none" w:sz="0" w:space="0" w:color="auto"/>
        <w:left w:val="none" w:sz="0" w:space="0" w:color="auto"/>
        <w:bottom w:val="none" w:sz="0" w:space="0" w:color="auto"/>
        <w:right w:val="none" w:sz="0" w:space="0" w:color="auto"/>
      </w:divBdr>
    </w:div>
    <w:div w:id="1955862192">
      <w:bodyDiv w:val="1"/>
      <w:marLeft w:val="0"/>
      <w:marRight w:val="0"/>
      <w:marTop w:val="0"/>
      <w:marBottom w:val="0"/>
      <w:divBdr>
        <w:top w:val="none" w:sz="0" w:space="0" w:color="auto"/>
        <w:left w:val="none" w:sz="0" w:space="0" w:color="auto"/>
        <w:bottom w:val="none" w:sz="0" w:space="0" w:color="auto"/>
        <w:right w:val="none" w:sz="0" w:space="0" w:color="auto"/>
      </w:divBdr>
    </w:div>
    <w:div w:id="1955866143">
      <w:bodyDiv w:val="1"/>
      <w:marLeft w:val="0"/>
      <w:marRight w:val="0"/>
      <w:marTop w:val="0"/>
      <w:marBottom w:val="0"/>
      <w:divBdr>
        <w:top w:val="none" w:sz="0" w:space="0" w:color="auto"/>
        <w:left w:val="none" w:sz="0" w:space="0" w:color="auto"/>
        <w:bottom w:val="none" w:sz="0" w:space="0" w:color="auto"/>
        <w:right w:val="none" w:sz="0" w:space="0" w:color="auto"/>
      </w:divBdr>
    </w:div>
    <w:div w:id="1956055796">
      <w:bodyDiv w:val="1"/>
      <w:marLeft w:val="0"/>
      <w:marRight w:val="0"/>
      <w:marTop w:val="0"/>
      <w:marBottom w:val="0"/>
      <w:divBdr>
        <w:top w:val="none" w:sz="0" w:space="0" w:color="auto"/>
        <w:left w:val="none" w:sz="0" w:space="0" w:color="auto"/>
        <w:bottom w:val="none" w:sz="0" w:space="0" w:color="auto"/>
        <w:right w:val="none" w:sz="0" w:space="0" w:color="auto"/>
      </w:divBdr>
    </w:div>
    <w:div w:id="1956134698">
      <w:bodyDiv w:val="1"/>
      <w:marLeft w:val="0"/>
      <w:marRight w:val="0"/>
      <w:marTop w:val="0"/>
      <w:marBottom w:val="0"/>
      <w:divBdr>
        <w:top w:val="none" w:sz="0" w:space="0" w:color="auto"/>
        <w:left w:val="none" w:sz="0" w:space="0" w:color="auto"/>
        <w:bottom w:val="none" w:sz="0" w:space="0" w:color="auto"/>
        <w:right w:val="none" w:sz="0" w:space="0" w:color="auto"/>
      </w:divBdr>
    </w:div>
    <w:div w:id="1956135167">
      <w:bodyDiv w:val="1"/>
      <w:marLeft w:val="0"/>
      <w:marRight w:val="0"/>
      <w:marTop w:val="0"/>
      <w:marBottom w:val="0"/>
      <w:divBdr>
        <w:top w:val="none" w:sz="0" w:space="0" w:color="auto"/>
        <w:left w:val="none" w:sz="0" w:space="0" w:color="auto"/>
        <w:bottom w:val="none" w:sz="0" w:space="0" w:color="auto"/>
        <w:right w:val="none" w:sz="0" w:space="0" w:color="auto"/>
      </w:divBdr>
    </w:div>
    <w:div w:id="1956666659">
      <w:bodyDiv w:val="1"/>
      <w:marLeft w:val="0"/>
      <w:marRight w:val="0"/>
      <w:marTop w:val="0"/>
      <w:marBottom w:val="0"/>
      <w:divBdr>
        <w:top w:val="none" w:sz="0" w:space="0" w:color="auto"/>
        <w:left w:val="none" w:sz="0" w:space="0" w:color="auto"/>
        <w:bottom w:val="none" w:sz="0" w:space="0" w:color="auto"/>
        <w:right w:val="none" w:sz="0" w:space="0" w:color="auto"/>
      </w:divBdr>
    </w:div>
    <w:div w:id="1956668757">
      <w:bodyDiv w:val="1"/>
      <w:marLeft w:val="0"/>
      <w:marRight w:val="0"/>
      <w:marTop w:val="0"/>
      <w:marBottom w:val="0"/>
      <w:divBdr>
        <w:top w:val="none" w:sz="0" w:space="0" w:color="auto"/>
        <w:left w:val="none" w:sz="0" w:space="0" w:color="auto"/>
        <w:bottom w:val="none" w:sz="0" w:space="0" w:color="auto"/>
        <w:right w:val="none" w:sz="0" w:space="0" w:color="auto"/>
      </w:divBdr>
    </w:div>
    <w:div w:id="1956711996">
      <w:bodyDiv w:val="1"/>
      <w:marLeft w:val="0"/>
      <w:marRight w:val="0"/>
      <w:marTop w:val="0"/>
      <w:marBottom w:val="0"/>
      <w:divBdr>
        <w:top w:val="none" w:sz="0" w:space="0" w:color="auto"/>
        <w:left w:val="none" w:sz="0" w:space="0" w:color="auto"/>
        <w:bottom w:val="none" w:sz="0" w:space="0" w:color="auto"/>
        <w:right w:val="none" w:sz="0" w:space="0" w:color="auto"/>
      </w:divBdr>
    </w:div>
    <w:div w:id="1956787850">
      <w:bodyDiv w:val="1"/>
      <w:marLeft w:val="0"/>
      <w:marRight w:val="0"/>
      <w:marTop w:val="0"/>
      <w:marBottom w:val="0"/>
      <w:divBdr>
        <w:top w:val="none" w:sz="0" w:space="0" w:color="auto"/>
        <w:left w:val="none" w:sz="0" w:space="0" w:color="auto"/>
        <w:bottom w:val="none" w:sz="0" w:space="0" w:color="auto"/>
        <w:right w:val="none" w:sz="0" w:space="0" w:color="auto"/>
      </w:divBdr>
    </w:div>
    <w:div w:id="1956983317">
      <w:bodyDiv w:val="1"/>
      <w:marLeft w:val="0"/>
      <w:marRight w:val="0"/>
      <w:marTop w:val="0"/>
      <w:marBottom w:val="0"/>
      <w:divBdr>
        <w:top w:val="none" w:sz="0" w:space="0" w:color="auto"/>
        <w:left w:val="none" w:sz="0" w:space="0" w:color="auto"/>
        <w:bottom w:val="none" w:sz="0" w:space="0" w:color="auto"/>
        <w:right w:val="none" w:sz="0" w:space="0" w:color="auto"/>
      </w:divBdr>
    </w:div>
    <w:div w:id="1957054483">
      <w:bodyDiv w:val="1"/>
      <w:marLeft w:val="0"/>
      <w:marRight w:val="0"/>
      <w:marTop w:val="0"/>
      <w:marBottom w:val="0"/>
      <w:divBdr>
        <w:top w:val="none" w:sz="0" w:space="0" w:color="auto"/>
        <w:left w:val="none" w:sz="0" w:space="0" w:color="auto"/>
        <w:bottom w:val="none" w:sz="0" w:space="0" w:color="auto"/>
        <w:right w:val="none" w:sz="0" w:space="0" w:color="auto"/>
      </w:divBdr>
    </w:div>
    <w:div w:id="1957057915">
      <w:bodyDiv w:val="1"/>
      <w:marLeft w:val="0"/>
      <w:marRight w:val="0"/>
      <w:marTop w:val="0"/>
      <w:marBottom w:val="0"/>
      <w:divBdr>
        <w:top w:val="none" w:sz="0" w:space="0" w:color="auto"/>
        <w:left w:val="none" w:sz="0" w:space="0" w:color="auto"/>
        <w:bottom w:val="none" w:sz="0" w:space="0" w:color="auto"/>
        <w:right w:val="none" w:sz="0" w:space="0" w:color="auto"/>
      </w:divBdr>
    </w:div>
    <w:div w:id="1957175675">
      <w:bodyDiv w:val="1"/>
      <w:marLeft w:val="0"/>
      <w:marRight w:val="0"/>
      <w:marTop w:val="0"/>
      <w:marBottom w:val="0"/>
      <w:divBdr>
        <w:top w:val="none" w:sz="0" w:space="0" w:color="auto"/>
        <w:left w:val="none" w:sz="0" w:space="0" w:color="auto"/>
        <w:bottom w:val="none" w:sz="0" w:space="0" w:color="auto"/>
        <w:right w:val="none" w:sz="0" w:space="0" w:color="auto"/>
      </w:divBdr>
    </w:div>
    <w:div w:id="1957251595">
      <w:bodyDiv w:val="1"/>
      <w:marLeft w:val="0"/>
      <w:marRight w:val="0"/>
      <w:marTop w:val="0"/>
      <w:marBottom w:val="0"/>
      <w:divBdr>
        <w:top w:val="none" w:sz="0" w:space="0" w:color="auto"/>
        <w:left w:val="none" w:sz="0" w:space="0" w:color="auto"/>
        <w:bottom w:val="none" w:sz="0" w:space="0" w:color="auto"/>
        <w:right w:val="none" w:sz="0" w:space="0" w:color="auto"/>
      </w:divBdr>
    </w:div>
    <w:div w:id="1957329039">
      <w:bodyDiv w:val="1"/>
      <w:marLeft w:val="0"/>
      <w:marRight w:val="0"/>
      <w:marTop w:val="0"/>
      <w:marBottom w:val="0"/>
      <w:divBdr>
        <w:top w:val="none" w:sz="0" w:space="0" w:color="auto"/>
        <w:left w:val="none" w:sz="0" w:space="0" w:color="auto"/>
        <w:bottom w:val="none" w:sz="0" w:space="0" w:color="auto"/>
        <w:right w:val="none" w:sz="0" w:space="0" w:color="auto"/>
      </w:divBdr>
    </w:div>
    <w:div w:id="1957372637">
      <w:bodyDiv w:val="1"/>
      <w:marLeft w:val="0"/>
      <w:marRight w:val="0"/>
      <w:marTop w:val="0"/>
      <w:marBottom w:val="0"/>
      <w:divBdr>
        <w:top w:val="none" w:sz="0" w:space="0" w:color="auto"/>
        <w:left w:val="none" w:sz="0" w:space="0" w:color="auto"/>
        <w:bottom w:val="none" w:sz="0" w:space="0" w:color="auto"/>
        <w:right w:val="none" w:sz="0" w:space="0" w:color="auto"/>
      </w:divBdr>
    </w:div>
    <w:div w:id="1957444865">
      <w:bodyDiv w:val="1"/>
      <w:marLeft w:val="0"/>
      <w:marRight w:val="0"/>
      <w:marTop w:val="0"/>
      <w:marBottom w:val="0"/>
      <w:divBdr>
        <w:top w:val="none" w:sz="0" w:space="0" w:color="auto"/>
        <w:left w:val="none" w:sz="0" w:space="0" w:color="auto"/>
        <w:bottom w:val="none" w:sz="0" w:space="0" w:color="auto"/>
        <w:right w:val="none" w:sz="0" w:space="0" w:color="auto"/>
      </w:divBdr>
    </w:div>
    <w:div w:id="1957447594">
      <w:bodyDiv w:val="1"/>
      <w:marLeft w:val="0"/>
      <w:marRight w:val="0"/>
      <w:marTop w:val="0"/>
      <w:marBottom w:val="0"/>
      <w:divBdr>
        <w:top w:val="none" w:sz="0" w:space="0" w:color="auto"/>
        <w:left w:val="none" w:sz="0" w:space="0" w:color="auto"/>
        <w:bottom w:val="none" w:sz="0" w:space="0" w:color="auto"/>
        <w:right w:val="none" w:sz="0" w:space="0" w:color="auto"/>
      </w:divBdr>
    </w:div>
    <w:div w:id="1957591428">
      <w:bodyDiv w:val="1"/>
      <w:marLeft w:val="0"/>
      <w:marRight w:val="0"/>
      <w:marTop w:val="0"/>
      <w:marBottom w:val="0"/>
      <w:divBdr>
        <w:top w:val="none" w:sz="0" w:space="0" w:color="auto"/>
        <w:left w:val="none" w:sz="0" w:space="0" w:color="auto"/>
        <w:bottom w:val="none" w:sz="0" w:space="0" w:color="auto"/>
        <w:right w:val="none" w:sz="0" w:space="0" w:color="auto"/>
      </w:divBdr>
    </w:div>
    <w:div w:id="1957718003">
      <w:bodyDiv w:val="1"/>
      <w:marLeft w:val="0"/>
      <w:marRight w:val="0"/>
      <w:marTop w:val="0"/>
      <w:marBottom w:val="0"/>
      <w:divBdr>
        <w:top w:val="none" w:sz="0" w:space="0" w:color="auto"/>
        <w:left w:val="none" w:sz="0" w:space="0" w:color="auto"/>
        <w:bottom w:val="none" w:sz="0" w:space="0" w:color="auto"/>
        <w:right w:val="none" w:sz="0" w:space="0" w:color="auto"/>
      </w:divBdr>
    </w:div>
    <w:div w:id="1957784544">
      <w:bodyDiv w:val="1"/>
      <w:marLeft w:val="0"/>
      <w:marRight w:val="0"/>
      <w:marTop w:val="0"/>
      <w:marBottom w:val="0"/>
      <w:divBdr>
        <w:top w:val="none" w:sz="0" w:space="0" w:color="auto"/>
        <w:left w:val="none" w:sz="0" w:space="0" w:color="auto"/>
        <w:bottom w:val="none" w:sz="0" w:space="0" w:color="auto"/>
        <w:right w:val="none" w:sz="0" w:space="0" w:color="auto"/>
      </w:divBdr>
    </w:div>
    <w:div w:id="1957902755">
      <w:bodyDiv w:val="1"/>
      <w:marLeft w:val="0"/>
      <w:marRight w:val="0"/>
      <w:marTop w:val="0"/>
      <w:marBottom w:val="0"/>
      <w:divBdr>
        <w:top w:val="none" w:sz="0" w:space="0" w:color="auto"/>
        <w:left w:val="none" w:sz="0" w:space="0" w:color="auto"/>
        <w:bottom w:val="none" w:sz="0" w:space="0" w:color="auto"/>
        <w:right w:val="none" w:sz="0" w:space="0" w:color="auto"/>
      </w:divBdr>
    </w:div>
    <w:div w:id="1957903505">
      <w:bodyDiv w:val="1"/>
      <w:marLeft w:val="0"/>
      <w:marRight w:val="0"/>
      <w:marTop w:val="0"/>
      <w:marBottom w:val="0"/>
      <w:divBdr>
        <w:top w:val="none" w:sz="0" w:space="0" w:color="auto"/>
        <w:left w:val="none" w:sz="0" w:space="0" w:color="auto"/>
        <w:bottom w:val="none" w:sz="0" w:space="0" w:color="auto"/>
        <w:right w:val="none" w:sz="0" w:space="0" w:color="auto"/>
      </w:divBdr>
    </w:div>
    <w:div w:id="1957903743">
      <w:bodyDiv w:val="1"/>
      <w:marLeft w:val="0"/>
      <w:marRight w:val="0"/>
      <w:marTop w:val="0"/>
      <w:marBottom w:val="0"/>
      <w:divBdr>
        <w:top w:val="none" w:sz="0" w:space="0" w:color="auto"/>
        <w:left w:val="none" w:sz="0" w:space="0" w:color="auto"/>
        <w:bottom w:val="none" w:sz="0" w:space="0" w:color="auto"/>
        <w:right w:val="none" w:sz="0" w:space="0" w:color="auto"/>
      </w:divBdr>
    </w:div>
    <w:div w:id="1957985759">
      <w:bodyDiv w:val="1"/>
      <w:marLeft w:val="0"/>
      <w:marRight w:val="0"/>
      <w:marTop w:val="0"/>
      <w:marBottom w:val="0"/>
      <w:divBdr>
        <w:top w:val="none" w:sz="0" w:space="0" w:color="auto"/>
        <w:left w:val="none" w:sz="0" w:space="0" w:color="auto"/>
        <w:bottom w:val="none" w:sz="0" w:space="0" w:color="auto"/>
        <w:right w:val="none" w:sz="0" w:space="0" w:color="auto"/>
      </w:divBdr>
    </w:div>
    <w:div w:id="1958022971">
      <w:bodyDiv w:val="1"/>
      <w:marLeft w:val="0"/>
      <w:marRight w:val="0"/>
      <w:marTop w:val="0"/>
      <w:marBottom w:val="0"/>
      <w:divBdr>
        <w:top w:val="none" w:sz="0" w:space="0" w:color="auto"/>
        <w:left w:val="none" w:sz="0" w:space="0" w:color="auto"/>
        <w:bottom w:val="none" w:sz="0" w:space="0" w:color="auto"/>
        <w:right w:val="none" w:sz="0" w:space="0" w:color="auto"/>
      </w:divBdr>
    </w:div>
    <w:div w:id="1958028323">
      <w:bodyDiv w:val="1"/>
      <w:marLeft w:val="0"/>
      <w:marRight w:val="0"/>
      <w:marTop w:val="0"/>
      <w:marBottom w:val="0"/>
      <w:divBdr>
        <w:top w:val="none" w:sz="0" w:space="0" w:color="auto"/>
        <w:left w:val="none" w:sz="0" w:space="0" w:color="auto"/>
        <w:bottom w:val="none" w:sz="0" w:space="0" w:color="auto"/>
        <w:right w:val="none" w:sz="0" w:space="0" w:color="auto"/>
      </w:divBdr>
    </w:div>
    <w:div w:id="1958172272">
      <w:bodyDiv w:val="1"/>
      <w:marLeft w:val="0"/>
      <w:marRight w:val="0"/>
      <w:marTop w:val="0"/>
      <w:marBottom w:val="0"/>
      <w:divBdr>
        <w:top w:val="none" w:sz="0" w:space="0" w:color="auto"/>
        <w:left w:val="none" w:sz="0" w:space="0" w:color="auto"/>
        <w:bottom w:val="none" w:sz="0" w:space="0" w:color="auto"/>
        <w:right w:val="none" w:sz="0" w:space="0" w:color="auto"/>
      </w:divBdr>
    </w:div>
    <w:div w:id="1958178858">
      <w:bodyDiv w:val="1"/>
      <w:marLeft w:val="0"/>
      <w:marRight w:val="0"/>
      <w:marTop w:val="0"/>
      <w:marBottom w:val="0"/>
      <w:divBdr>
        <w:top w:val="none" w:sz="0" w:space="0" w:color="auto"/>
        <w:left w:val="none" w:sz="0" w:space="0" w:color="auto"/>
        <w:bottom w:val="none" w:sz="0" w:space="0" w:color="auto"/>
        <w:right w:val="none" w:sz="0" w:space="0" w:color="auto"/>
      </w:divBdr>
    </w:div>
    <w:div w:id="1958246991">
      <w:bodyDiv w:val="1"/>
      <w:marLeft w:val="0"/>
      <w:marRight w:val="0"/>
      <w:marTop w:val="0"/>
      <w:marBottom w:val="0"/>
      <w:divBdr>
        <w:top w:val="none" w:sz="0" w:space="0" w:color="auto"/>
        <w:left w:val="none" w:sz="0" w:space="0" w:color="auto"/>
        <w:bottom w:val="none" w:sz="0" w:space="0" w:color="auto"/>
        <w:right w:val="none" w:sz="0" w:space="0" w:color="auto"/>
      </w:divBdr>
    </w:div>
    <w:div w:id="1958292703">
      <w:bodyDiv w:val="1"/>
      <w:marLeft w:val="0"/>
      <w:marRight w:val="0"/>
      <w:marTop w:val="0"/>
      <w:marBottom w:val="0"/>
      <w:divBdr>
        <w:top w:val="none" w:sz="0" w:space="0" w:color="auto"/>
        <w:left w:val="none" w:sz="0" w:space="0" w:color="auto"/>
        <w:bottom w:val="none" w:sz="0" w:space="0" w:color="auto"/>
        <w:right w:val="none" w:sz="0" w:space="0" w:color="auto"/>
      </w:divBdr>
    </w:div>
    <w:div w:id="1958372123">
      <w:bodyDiv w:val="1"/>
      <w:marLeft w:val="0"/>
      <w:marRight w:val="0"/>
      <w:marTop w:val="0"/>
      <w:marBottom w:val="0"/>
      <w:divBdr>
        <w:top w:val="none" w:sz="0" w:space="0" w:color="auto"/>
        <w:left w:val="none" w:sz="0" w:space="0" w:color="auto"/>
        <w:bottom w:val="none" w:sz="0" w:space="0" w:color="auto"/>
        <w:right w:val="none" w:sz="0" w:space="0" w:color="auto"/>
      </w:divBdr>
    </w:div>
    <w:div w:id="1958560180">
      <w:bodyDiv w:val="1"/>
      <w:marLeft w:val="0"/>
      <w:marRight w:val="0"/>
      <w:marTop w:val="0"/>
      <w:marBottom w:val="0"/>
      <w:divBdr>
        <w:top w:val="none" w:sz="0" w:space="0" w:color="auto"/>
        <w:left w:val="none" w:sz="0" w:space="0" w:color="auto"/>
        <w:bottom w:val="none" w:sz="0" w:space="0" w:color="auto"/>
        <w:right w:val="none" w:sz="0" w:space="0" w:color="auto"/>
      </w:divBdr>
    </w:div>
    <w:div w:id="1958634469">
      <w:bodyDiv w:val="1"/>
      <w:marLeft w:val="0"/>
      <w:marRight w:val="0"/>
      <w:marTop w:val="0"/>
      <w:marBottom w:val="0"/>
      <w:divBdr>
        <w:top w:val="none" w:sz="0" w:space="0" w:color="auto"/>
        <w:left w:val="none" w:sz="0" w:space="0" w:color="auto"/>
        <w:bottom w:val="none" w:sz="0" w:space="0" w:color="auto"/>
        <w:right w:val="none" w:sz="0" w:space="0" w:color="auto"/>
      </w:divBdr>
    </w:div>
    <w:div w:id="1958678488">
      <w:bodyDiv w:val="1"/>
      <w:marLeft w:val="0"/>
      <w:marRight w:val="0"/>
      <w:marTop w:val="0"/>
      <w:marBottom w:val="0"/>
      <w:divBdr>
        <w:top w:val="none" w:sz="0" w:space="0" w:color="auto"/>
        <w:left w:val="none" w:sz="0" w:space="0" w:color="auto"/>
        <w:bottom w:val="none" w:sz="0" w:space="0" w:color="auto"/>
        <w:right w:val="none" w:sz="0" w:space="0" w:color="auto"/>
      </w:divBdr>
    </w:div>
    <w:div w:id="1958750482">
      <w:bodyDiv w:val="1"/>
      <w:marLeft w:val="0"/>
      <w:marRight w:val="0"/>
      <w:marTop w:val="0"/>
      <w:marBottom w:val="0"/>
      <w:divBdr>
        <w:top w:val="none" w:sz="0" w:space="0" w:color="auto"/>
        <w:left w:val="none" w:sz="0" w:space="0" w:color="auto"/>
        <w:bottom w:val="none" w:sz="0" w:space="0" w:color="auto"/>
        <w:right w:val="none" w:sz="0" w:space="0" w:color="auto"/>
      </w:divBdr>
    </w:div>
    <w:div w:id="1958753404">
      <w:bodyDiv w:val="1"/>
      <w:marLeft w:val="0"/>
      <w:marRight w:val="0"/>
      <w:marTop w:val="0"/>
      <w:marBottom w:val="0"/>
      <w:divBdr>
        <w:top w:val="none" w:sz="0" w:space="0" w:color="auto"/>
        <w:left w:val="none" w:sz="0" w:space="0" w:color="auto"/>
        <w:bottom w:val="none" w:sz="0" w:space="0" w:color="auto"/>
        <w:right w:val="none" w:sz="0" w:space="0" w:color="auto"/>
      </w:divBdr>
    </w:div>
    <w:div w:id="1958952257">
      <w:bodyDiv w:val="1"/>
      <w:marLeft w:val="0"/>
      <w:marRight w:val="0"/>
      <w:marTop w:val="0"/>
      <w:marBottom w:val="0"/>
      <w:divBdr>
        <w:top w:val="none" w:sz="0" w:space="0" w:color="auto"/>
        <w:left w:val="none" w:sz="0" w:space="0" w:color="auto"/>
        <w:bottom w:val="none" w:sz="0" w:space="0" w:color="auto"/>
        <w:right w:val="none" w:sz="0" w:space="0" w:color="auto"/>
      </w:divBdr>
    </w:div>
    <w:div w:id="1959019425">
      <w:bodyDiv w:val="1"/>
      <w:marLeft w:val="0"/>
      <w:marRight w:val="0"/>
      <w:marTop w:val="0"/>
      <w:marBottom w:val="0"/>
      <w:divBdr>
        <w:top w:val="none" w:sz="0" w:space="0" w:color="auto"/>
        <w:left w:val="none" w:sz="0" w:space="0" w:color="auto"/>
        <w:bottom w:val="none" w:sz="0" w:space="0" w:color="auto"/>
        <w:right w:val="none" w:sz="0" w:space="0" w:color="auto"/>
      </w:divBdr>
    </w:div>
    <w:div w:id="1959028123">
      <w:bodyDiv w:val="1"/>
      <w:marLeft w:val="0"/>
      <w:marRight w:val="0"/>
      <w:marTop w:val="0"/>
      <w:marBottom w:val="0"/>
      <w:divBdr>
        <w:top w:val="none" w:sz="0" w:space="0" w:color="auto"/>
        <w:left w:val="none" w:sz="0" w:space="0" w:color="auto"/>
        <w:bottom w:val="none" w:sz="0" w:space="0" w:color="auto"/>
        <w:right w:val="none" w:sz="0" w:space="0" w:color="auto"/>
      </w:divBdr>
    </w:div>
    <w:div w:id="1959028446">
      <w:bodyDiv w:val="1"/>
      <w:marLeft w:val="0"/>
      <w:marRight w:val="0"/>
      <w:marTop w:val="0"/>
      <w:marBottom w:val="0"/>
      <w:divBdr>
        <w:top w:val="none" w:sz="0" w:space="0" w:color="auto"/>
        <w:left w:val="none" w:sz="0" w:space="0" w:color="auto"/>
        <w:bottom w:val="none" w:sz="0" w:space="0" w:color="auto"/>
        <w:right w:val="none" w:sz="0" w:space="0" w:color="auto"/>
      </w:divBdr>
    </w:div>
    <w:div w:id="1959291748">
      <w:bodyDiv w:val="1"/>
      <w:marLeft w:val="0"/>
      <w:marRight w:val="0"/>
      <w:marTop w:val="0"/>
      <w:marBottom w:val="0"/>
      <w:divBdr>
        <w:top w:val="none" w:sz="0" w:space="0" w:color="auto"/>
        <w:left w:val="none" w:sz="0" w:space="0" w:color="auto"/>
        <w:bottom w:val="none" w:sz="0" w:space="0" w:color="auto"/>
        <w:right w:val="none" w:sz="0" w:space="0" w:color="auto"/>
      </w:divBdr>
    </w:div>
    <w:div w:id="1959334273">
      <w:bodyDiv w:val="1"/>
      <w:marLeft w:val="0"/>
      <w:marRight w:val="0"/>
      <w:marTop w:val="0"/>
      <w:marBottom w:val="0"/>
      <w:divBdr>
        <w:top w:val="none" w:sz="0" w:space="0" w:color="auto"/>
        <w:left w:val="none" w:sz="0" w:space="0" w:color="auto"/>
        <w:bottom w:val="none" w:sz="0" w:space="0" w:color="auto"/>
        <w:right w:val="none" w:sz="0" w:space="0" w:color="auto"/>
      </w:divBdr>
    </w:div>
    <w:div w:id="1959408796">
      <w:bodyDiv w:val="1"/>
      <w:marLeft w:val="0"/>
      <w:marRight w:val="0"/>
      <w:marTop w:val="0"/>
      <w:marBottom w:val="0"/>
      <w:divBdr>
        <w:top w:val="none" w:sz="0" w:space="0" w:color="auto"/>
        <w:left w:val="none" w:sz="0" w:space="0" w:color="auto"/>
        <w:bottom w:val="none" w:sz="0" w:space="0" w:color="auto"/>
        <w:right w:val="none" w:sz="0" w:space="0" w:color="auto"/>
      </w:divBdr>
    </w:div>
    <w:div w:id="1959482455">
      <w:bodyDiv w:val="1"/>
      <w:marLeft w:val="0"/>
      <w:marRight w:val="0"/>
      <w:marTop w:val="0"/>
      <w:marBottom w:val="0"/>
      <w:divBdr>
        <w:top w:val="none" w:sz="0" w:space="0" w:color="auto"/>
        <w:left w:val="none" w:sz="0" w:space="0" w:color="auto"/>
        <w:bottom w:val="none" w:sz="0" w:space="0" w:color="auto"/>
        <w:right w:val="none" w:sz="0" w:space="0" w:color="auto"/>
      </w:divBdr>
    </w:div>
    <w:div w:id="1959599491">
      <w:bodyDiv w:val="1"/>
      <w:marLeft w:val="0"/>
      <w:marRight w:val="0"/>
      <w:marTop w:val="0"/>
      <w:marBottom w:val="0"/>
      <w:divBdr>
        <w:top w:val="none" w:sz="0" w:space="0" w:color="auto"/>
        <w:left w:val="none" w:sz="0" w:space="0" w:color="auto"/>
        <w:bottom w:val="none" w:sz="0" w:space="0" w:color="auto"/>
        <w:right w:val="none" w:sz="0" w:space="0" w:color="auto"/>
      </w:divBdr>
    </w:div>
    <w:div w:id="1959607247">
      <w:bodyDiv w:val="1"/>
      <w:marLeft w:val="0"/>
      <w:marRight w:val="0"/>
      <w:marTop w:val="0"/>
      <w:marBottom w:val="0"/>
      <w:divBdr>
        <w:top w:val="none" w:sz="0" w:space="0" w:color="auto"/>
        <w:left w:val="none" w:sz="0" w:space="0" w:color="auto"/>
        <w:bottom w:val="none" w:sz="0" w:space="0" w:color="auto"/>
        <w:right w:val="none" w:sz="0" w:space="0" w:color="auto"/>
      </w:divBdr>
    </w:div>
    <w:div w:id="1959675170">
      <w:bodyDiv w:val="1"/>
      <w:marLeft w:val="0"/>
      <w:marRight w:val="0"/>
      <w:marTop w:val="0"/>
      <w:marBottom w:val="0"/>
      <w:divBdr>
        <w:top w:val="none" w:sz="0" w:space="0" w:color="auto"/>
        <w:left w:val="none" w:sz="0" w:space="0" w:color="auto"/>
        <w:bottom w:val="none" w:sz="0" w:space="0" w:color="auto"/>
        <w:right w:val="none" w:sz="0" w:space="0" w:color="auto"/>
      </w:divBdr>
    </w:div>
    <w:div w:id="1959680866">
      <w:bodyDiv w:val="1"/>
      <w:marLeft w:val="0"/>
      <w:marRight w:val="0"/>
      <w:marTop w:val="0"/>
      <w:marBottom w:val="0"/>
      <w:divBdr>
        <w:top w:val="none" w:sz="0" w:space="0" w:color="auto"/>
        <w:left w:val="none" w:sz="0" w:space="0" w:color="auto"/>
        <w:bottom w:val="none" w:sz="0" w:space="0" w:color="auto"/>
        <w:right w:val="none" w:sz="0" w:space="0" w:color="auto"/>
      </w:divBdr>
    </w:div>
    <w:div w:id="1959681240">
      <w:bodyDiv w:val="1"/>
      <w:marLeft w:val="0"/>
      <w:marRight w:val="0"/>
      <w:marTop w:val="0"/>
      <w:marBottom w:val="0"/>
      <w:divBdr>
        <w:top w:val="none" w:sz="0" w:space="0" w:color="auto"/>
        <w:left w:val="none" w:sz="0" w:space="0" w:color="auto"/>
        <w:bottom w:val="none" w:sz="0" w:space="0" w:color="auto"/>
        <w:right w:val="none" w:sz="0" w:space="0" w:color="auto"/>
      </w:divBdr>
    </w:div>
    <w:div w:id="1959794766">
      <w:bodyDiv w:val="1"/>
      <w:marLeft w:val="0"/>
      <w:marRight w:val="0"/>
      <w:marTop w:val="0"/>
      <w:marBottom w:val="0"/>
      <w:divBdr>
        <w:top w:val="none" w:sz="0" w:space="0" w:color="auto"/>
        <w:left w:val="none" w:sz="0" w:space="0" w:color="auto"/>
        <w:bottom w:val="none" w:sz="0" w:space="0" w:color="auto"/>
        <w:right w:val="none" w:sz="0" w:space="0" w:color="auto"/>
      </w:divBdr>
    </w:div>
    <w:div w:id="1959796442">
      <w:bodyDiv w:val="1"/>
      <w:marLeft w:val="0"/>
      <w:marRight w:val="0"/>
      <w:marTop w:val="0"/>
      <w:marBottom w:val="0"/>
      <w:divBdr>
        <w:top w:val="none" w:sz="0" w:space="0" w:color="auto"/>
        <w:left w:val="none" w:sz="0" w:space="0" w:color="auto"/>
        <w:bottom w:val="none" w:sz="0" w:space="0" w:color="auto"/>
        <w:right w:val="none" w:sz="0" w:space="0" w:color="auto"/>
      </w:divBdr>
    </w:div>
    <w:div w:id="1959799380">
      <w:bodyDiv w:val="1"/>
      <w:marLeft w:val="0"/>
      <w:marRight w:val="0"/>
      <w:marTop w:val="0"/>
      <w:marBottom w:val="0"/>
      <w:divBdr>
        <w:top w:val="none" w:sz="0" w:space="0" w:color="auto"/>
        <w:left w:val="none" w:sz="0" w:space="0" w:color="auto"/>
        <w:bottom w:val="none" w:sz="0" w:space="0" w:color="auto"/>
        <w:right w:val="none" w:sz="0" w:space="0" w:color="auto"/>
      </w:divBdr>
    </w:div>
    <w:div w:id="1959868343">
      <w:bodyDiv w:val="1"/>
      <w:marLeft w:val="0"/>
      <w:marRight w:val="0"/>
      <w:marTop w:val="0"/>
      <w:marBottom w:val="0"/>
      <w:divBdr>
        <w:top w:val="none" w:sz="0" w:space="0" w:color="auto"/>
        <w:left w:val="none" w:sz="0" w:space="0" w:color="auto"/>
        <w:bottom w:val="none" w:sz="0" w:space="0" w:color="auto"/>
        <w:right w:val="none" w:sz="0" w:space="0" w:color="auto"/>
      </w:divBdr>
    </w:div>
    <w:div w:id="1959871025">
      <w:bodyDiv w:val="1"/>
      <w:marLeft w:val="0"/>
      <w:marRight w:val="0"/>
      <w:marTop w:val="0"/>
      <w:marBottom w:val="0"/>
      <w:divBdr>
        <w:top w:val="none" w:sz="0" w:space="0" w:color="auto"/>
        <w:left w:val="none" w:sz="0" w:space="0" w:color="auto"/>
        <w:bottom w:val="none" w:sz="0" w:space="0" w:color="auto"/>
        <w:right w:val="none" w:sz="0" w:space="0" w:color="auto"/>
      </w:divBdr>
    </w:div>
    <w:div w:id="1959875298">
      <w:bodyDiv w:val="1"/>
      <w:marLeft w:val="0"/>
      <w:marRight w:val="0"/>
      <w:marTop w:val="0"/>
      <w:marBottom w:val="0"/>
      <w:divBdr>
        <w:top w:val="none" w:sz="0" w:space="0" w:color="auto"/>
        <w:left w:val="none" w:sz="0" w:space="0" w:color="auto"/>
        <w:bottom w:val="none" w:sz="0" w:space="0" w:color="auto"/>
        <w:right w:val="none" w:sz="0" w:space="0" w:color="auto"/>
      </w:divBdr>
    </w:div>
    <w:div w:id="1959876478">
      <w:bodyDiv w:val="1"/>
      <w:marLeft w:val="0"/>
      <w:marRight w:val="0"/>
      <w:marTop w:val="0"/>
      <w:marBottom w:val="0"/>
      <w:divBdr>
        <w:top w:val="none" w:sz="0" w:space="0" w:color="auto"/>
        <w:left w:val="none" w:sz="0" w:space="0" w:color="auto"/>
        <w:bottom w:val="none" w:sz="0" w:space="0" w:color="auto"/>
        <w:right w:val="none" w:sz="0" w:space="0" w:color="auto"/>
      </w:divBdr>
    </w:div>
    <w:div w:id="1959985346">
      <w:bodyDiv w:val="1"/>
      <w:marLeft w:val="0"/>
      <w:marRight w:val="0"/>
      <w:marTop w:val="0"/>
      <w:marBottom w:val="0"/>
      <w:divBdr>
        <w:top w:val="none" w:sz="0" w:space="0" w:color="auto"/>
        <w:left w:val="none" w:sz="0" w:space="0" w:color="auto"/>
        <w:bottom w:val="none" w:sz="0" w:space="0" w:color="auto"/>
        <w:right w:val="none" w:sz="0" w:space="0" w:color="auto"/>
      </w:divBdr>
    </w:div>
    <w:div w:id="1960184257">
      <w:bodyDiv w:val="1"/>
      <w:marLeft w:val="0"/>
      <w:marRight w:val="0"/>
      <w:marTop w:val="0"/>
      <w:marBottom w:val="0"/>
      <w:divBdr>
        <w:top w:val="none" w:sz="0" w:space="0" w:color="auto"/>
        <w:left w:val="none" w:sz="0" w:space="0" w:color="auto"/>
        <w:bottom w:val="none" w:sz="0" w:space="0" w:color="auto"/>
        <w:right w:val="none" w:sz="0" w:space="0" w:color="auto"/>
      </w:divBdr>
    </w:div>
    <w:div w:id="1960214116">
      <w:bodyDiv w:val="1"/>
      <w:marLeft w:val="0"/>
      <w:marRight w:val="0"/>
      <w:marTop w:val="0"/>
      <w:marBottom w:val="0"/>
      <w:divBdr>
        <w:top w:val="none" w:sz="0" w:space="0" w:color="auto"/>
        <w:left w:val="none" w:sz="0" w:space="0" w:color="auto"/>
        <w:bottom w:val="none" w:sz="0" w:space="0" w:color="auto"/>
        <w:right w:val="none" w:sz="0" w:space="0" w:color="auto"/>
      </w:divBdr>
    </w:div>
    <w:div w:id="1960333842">
      <w:bodyDiv w:val="1"/>
      <w:marLeft w:val="0"/>
      <w:marRight w:val="0"/>
      <w:marTop w:val="0"/>
      <w:marBottom w:val="0"/>
      <w:divBdr>
        <w:top w:val="none" w:sz="0" w:space="0" w:color="auto"/>
        <w:left w:val="none" w:sz="0" w:space="0" w:color="auto"/>
        <w:bottom w:val="none" w:sz="0" w:space="0" w:color="auto"/>
        <w:right w:val="none" w:sz="0" w:space="0" w:color="auto"/>
      </w:divBdr>
    </w:div>
    <w:div w:id="1960379387">
      <w:bodyDiv w:val="1"/>
      <w:marLeft w:val="0"/>
      <w:marRight w:val="0"/>
      <w:marTop w:val="0"/>
      <w:marBottom w:val="0"/>
      <w:divBdr>
        <w:top w:val="none" w:sz="0" w:space="0" w:color="auto"/>
        <w:left w:val="none" w:sz="0" w:space="0" w:color="auto"/>
        <w:bottom w:val="none" w:sz="0" w:space="0" w:color="auto"/>
        <w:right w:val="none" w:sz="0" w:space="0" w:color="auto"/>
      </w:divBdr>
    </w:div>
    <w:div w:id="1960530885">
      <w:bodyDiv w:val="1"/>
      <w:marLeft w:val="0"/>
      <w:marRight w:val="0"/>
      <w:marTop w:val="0"/>
      <w:marBottom w:val="0"/>
      <w:divBdr>
        <w:top w:val="none" w:sz="0" w:space="0" w:color="auto"/>
        <w:left w:val="none" w:sz="0" w:space="0" w:color="auto"/>
        <w:bottom w:val="none" w:sz="0" w:space="0" w:color="auto"/>
        <w:right w:val="none" w:sz="0" w:space="0" w:color="auto"/>
      </w:divBdr>
    </w:div>
    <w:div w:id="1960717505">
      <w:bodyDiv w:val="1"/>
      <w:marLeft w:val="0"/>
      <w:marRight w:val="0"/>
      <w:marTop w:val="0"/>
      <w:marBottom w:val="0"/>
      <w:divBdr>
        <w:top w:val="none" w:sz="0" w:space="0" w:color="auto"/>
        <w:left w:val="none" w:sz="0" w:space="0" w:color="auto"/>
        <w:bottom w:val="none" w:sz="0" w:space="0" w:color="auto"/>
        <w:right w:val="none" w:sz="0" w:space="0" w:color="auto"/>
      </w:divBdr>
    </w:div>
    <w:div w:id="1960721074">
      <w:bodyDiv w:val="1"/>
      <w:marLeft w:val="0"/>
      <w:marRight w:val="0"/>
      <w:marTop w:val="0"/>
      <w:marBottom w:val="0"/>
      <w:divBdr>
        <w:top w:val="none" w:sz="0" w:space="0" w:color="auto"/>
        <w:left w:val="none" w:sz="0" w:space="0" w:color="auto"/>
        <w:bottom w:val="none" w:sz="0" w:space="0" w:color="auto"/>
        <w:right w:val="none" w:sz="0" w:space="0" w:color="auto"/>
      </w:divBdr>
    </w:div>
    <w:div w:id="1960799868">
      <w:bodyDiv w:val="1"/>
      <w:marLeft w:val="0"/>
      <w:marRight w:val="0"/>
      <w:marTop w:val="0"/>
      <w:marBottom w:val="0"/>
      <w:divBdr>
        <w:top w:val="none" w:sz="0" w:space="0" w:color="auto"/>
        <w:left w:val="none" w:sz="0" w:space="0" w:color="auto"/>
        <w:bottom w:val="none" w:sz="0" w:space="0" w:color="auto"/>
        <w:right w:val="none" w:sz="0" w:space="0" w:color="auto"/>
      </w:divBdr>
    </w:div>
    <w:div w:id="1960867377">
      <w:bodyDiv w:val="1"/>
      <w:marLeft w:val="0"/>
      <w:marRight w:val="0"/>
      <w:marTop w:val="0"/>
      <w:marBottom w:val="0"/>
      <w:divBdr>
        <w:top w:val="none" w:sz="0" w:space="0" w:color="auto"/>
        <w:left w:val="none" w:sz="0" w:space="0" w:color="auto"/>
        <w:bottom w:val="none" w:sz="0" w:space="0" w:color="auto"/>
        <w:right w:val="none" w:sz="0" w:space="0" w:color="auto"/>
      </w:divBdr>
    </w:div>
    <w:div w:id="1960868975">
      <w:bodyDiv w:val="1"/>
      <w:marLeft w:val="0"/>
      <w:marRight w:val="0"/>
      <w:marTop w:val="0"/>
      <w:marBottom w:val="0"/>
      <w:divBdr>
        <w:top w:val="none" w:sz="0" w:space="0" w:color="auto"/>
        <w:left w:val="none" w:sz="0" w:space="0" w:color="auto"/>
        <w:bottom w:val="none" w:sz="0" w:space="0" w:color="auto"/>
        <w:right w:val="none" w:sz="0" w:space="0" w:color="auto"/>
      </w:divBdr>
    </w:div>
    <w:div w:id="1960869124">
      <w:bodyDiv w:val="1"/>
      <w:marLeft w:val="0"/>
      <w:marRight w:val="0"/>
      <w:marTop w:val="0"/>
      <w:marBottom w:val="0"/>
      <w:divBdr>
        <w:top w:val="none" w:sz="0" w:space="0" w:color="auto"/>
        <w:left w:val="none" w:sz="0" w:space="0" w:color="auto"/>
        <w:bottom w:val="none" w:sz="0" w:space="0" w:color="auto"/>
        <w:right w:val="none" w:sz="0" w:space="0" w:color="auto"/>
      </w:divBdr>
    </w:div>
    <w:div w:id="1960985726">
      <w:bodyDiv w:val="1"/>
      <w:marLeft w:val="0"/>
      <w:marRight w:val="0"/>
      <w:marTop w:val="0"/>
      <w:marBottom w:val="0"/>
      <w:divBdr>
        <w:top w:val="none" w:sz="0" w:space="0" w:color="auto"/>
        <w:left w:val="none" w:sz="0" w:space="0" w:color="auto"/>
        <w:bottom w:val="none" w:sz="0" w:space="0" w:color="auto"/>
        <w:right w:val="none" w:sz="0" w:space="0" w:color="auto"/>
      </w:divBdr>
    </w:div>
    <w:div w:id="1960990601">
      <w:bodyDiv w:val="1"/>
      <w:marLeft w:val="0"/>
      <w:marRight w:val="0"/>
      <w:marTop w:val="0"/>
      <w:marBottom w:val="0"/>
      <w:divBdr>
        <w:top w:val="none" w:sz="0" w:space="0" w:color="auto"/>
        <w:left w:val="none" w:sz="0" w:space="0" w:color="auto"/>
        <w:bottom w:val="none" w:sz="0" w:space="0" w:color="auto"/>
        <w:right w:val="none" w:sz="0" w:space="0" w:color="auto"/>
      </w:divBdr>
    </w:div>
    <w:div w:id="1961379726">
      <w:bodyDiv w:val="1"/>
      <w:marLeft w:val="0"/>
      <w:marRight w:val="0"/>
      <w:marTop w:val="0"/>
      <w:marBottom w:val="0"/>
      <w:divBdr>
        <w:top w:val="none" w:sz="0" w:space="0" w:color="auto"/>
        <w:left w:val="none" w:sz="0" w:space="0" w:color="auto"/>
        <w:bottom w:val="none" w:sz="0" w:space="0" w:color="auto"/>
        <w:right w:val="none" w:sz="0" w:space="0" w:color="auto"/>
      </w:divBdr>
    </w:div>
    <w:div w:id="1961494934">
      <w:bodyDiv w:val="1"/>
      <w:marLeft w:val="0"/>
      <w:marRight w:val="0"/>
      <w:marTop w:val="0"/>
      <w:marBottom w:val="0"/>
      <w:divBdr>
        <w:top w:val="none" w:sz="0" w:space="0" w:color="auto"/>
        <w:left w:val="none" w:sz="0" w:space="0" w:color="auto"/>
        <w:bottom w:val="none" w:sz="0" w:space="0" w:color="auto"/>
        <w:right w:val="none" w:sz="0" w:space="0" w:color="auto"/>
      </w:divBdr>
    </w:div>
    <w:div w:id="1961498552">
      <w:bodyDiv w:val="1"/>
      <w:marLeft w:val="0"/>
      <w:marRight w:val="0"/>
      <w:marTop w:val="0"/>
      <w:marBottom w:val="0"/>
      <w:divBdr>
        <w:top w:val="none" w:sz="0" w:space="0" w:color="auto"/>
        <w:left w:val="none" w:sz="0" w:space="0" w:color="auto"/>
        <w:bottom w:val="none" w:sz="0" w:space="0" w:color="auto"/>
        <w:right w:val="none" w:sz="0" w:space="0" w:color="auto"/>
      </w:divBdr>
    </w:div>
    <w:div w:id="1961525072">
      <w:bodyDiv w:val="1"/>
      <w:marLeft w:val="0"/>
      <w:marRight w:val="0"/>
      <w:marTop w:val="0"/>
      <w:marBottom w:val="0"/>
      <w:divBdr>
        <w:top w:val="none" w:sz="0" w:space="0" w:color="auto"/>
        <w:left w:val="none" w:sz="0" w:space="0" w:color="auto"/>
        <w:bottom w:val="none" w:sz="0" w:space="0" w:color="auto"/>
        <w:right w:val="none" w:sz="0" w:space="0" w:color="auto"/>
      </w:divBdr>
    </w:div>
    <w:div w:id="1961564550">
      <w:bodyDiv w:val="1"/>
      <w:marLeft w:val="0"/>
      <w:marRight w:val="0"/>
      <w:marTop w:val="0"/>
      <w:marBottom w:val="0"/>
      <w:divBdr>
        <w:top w:val="none" w:sz="0" w:space="0" w:color="auto"/>
        <w:left w:val="none" w:sz="0" w:space="0" w:color="auto"/>
        <w:bottom w:val="none" w:sz="0" w:space="0" w:color="auto"/>
        <w:right w:val="none" w:sz="0" w:space="0" w:color="auto"/>
      </w:divBdr>
    </w:div>
    <w:div w:id="1961645118">
      <w:bodyDiv w:val="1"/>
      <w:marLeft w:val="0"/>
      <w:marRight w:val="0"/>
      <w:marTop w:val="0"/>
      <w:marBottom w:val="0"/>
      <w:divBdr>
        <w:top w:val="none" w:sz="0" w:space="0" w:color="auto"/>
        <w:left w:val="none" w:sz="0" w:space="0" w:color="auto"/>
        <w:bottom w:val="none" w:sz="0" w:space="0" w:color="auto"/>
        <w:right w:val="none" w:sz="0" w:space="0" w:color="auto"/>
      </w:divBdr>
    </w:div>
    <w:div w:id="1961691184">
      <w:bodyDiv w:val="1"/>
      <w:marLeft w:val="0"/>
      <w:marRight w:val="0"/>
      <w:marTop w:val="0"/>
      <w:marBottom w:val="0"/>
      <w:divBdr>
        <w:top w:val="none" w:sz="0" w:space="0" w:color="auto"/>
        <w:left w:val="none" w:sz="0" w:space="0" w:color="auto"/>
        <w:bottom w:val="none" w:sz="0" w:space="0" w:color="auto"/>
        <w:right w:val="none" w:sz="0" w:space="0" w:color="auto"/>
      </w:divBdr>
    </w:div>
    <w:div w:id="1961765052">
      <w:bodyDiv w:val="1"/>
      <w:marLeft w:val="0"/>
      <w:marRight w:val="0"/>
      <w:marTop w:val="0"/>
      <w:marBottom w:val="0"/>
      <w:divBdr>
        <w:top w:val="none" w:sz="0" w:space="0" w:color="auto"/>
        <w:left w:val="none" w:sz="0" w:space="0" w:color="auto"/>
        <w:bottom w:val="none" w:sz="0" w:space="0" w:color="auto"/>
        <w:right w:val="none" w:sz="0" w:space="0" w:color="auto"/>
      </w:divBdr>
    </w:div>
    <w:div w:id="1961839976">
      <w:bodyDiv w:val="1"/>
      <w:marLeft w:val="0"/>
      <w:marRight w:val="0"/>
      <w:marTop w:val="0"/>
      <w:marBottom w:val="0"/>
      <w:divBdr>
        <w:top w:val="none" w:sz="0" w:space="0" w:color="auto"/>
        <w:left w:val="none" w:sz="0" w:space="0" w:color="auto"/>
        <w:bottom w:val="none" w:sz="0" w:space="0" w:color="auto"/>
        <w:right w:val="none" w:sz="0" w:space="0" w:color="auto"/>
      </w:divBdr>
    </w:div>
    <w:div w:id="1961912239">
      <w:bodyDiv w:val="1"/>
      <w:marLeft w:val="0"/>
      <w:marRight w:val="0"/>
      <w:marTop w:val="0"/>
      <w:marBottom w:val="0"/>
      <w:divBdr>
        <w:top w:val="none" w:sz="0" w:space="0" w:color="auto"/>
        <w:left w:val="none" w:sz="0" w:space="0" w:color="auto"/>
        <w:bottom w:val="none" w:sz="0" w:space="0" w:color="auto"/>
        <w:right w:val="none" w:sz="0" w:space="0" w:color="auto"/>
      </w:divBdr>
    </w:div>
    <w:div w:id="1962027337">
      <w:bodyDiv w:val="1"/>
      <w:marLeft w:val="0"/>
      <w:marRight w:val="0"/>
      <w:marTop w:val="0"/>
      <w:marBottom w:val="0"/>
      <w:divBdr>
        <w:top w:val="none" w:sz="0" w:space="0" w:color="auto"/>
        <w:left w:val="none" w:sz="0" w:space="0" w:color="auto"/>
        <w:bottom w:val="none" w:sz="0" w:space="0" w:color="auto"/>
        <w:right w:val="none" w:sz="0" w:space="0" w:color="auto"/>
      </w:divBdr>
    </w:div>
    <w:div w:id="1962300404">
      <w:bodyDiv w:val="1"/>
      <w:marLeft w:val="0"/>
      <w:marRight w:val="0"/>
      <w:marTop w:val="0"/>
      <w:marBottom w:val="0"/>
      <w:divBdr>
        <w:top w:val="none" w:sz="0" w:space="0" w:color="auto"/>
        <w:left w:val="none" w:sz="0" w:space="0" w:color="auto"/>
        <w:bottom w:val="none" w:sz="0" w:space="0" w:color="auto"/>
        <w:right w:val="none" w:sz="0" w:space="0" w:color="auto"/>
      </w:divBdr>
    </w:div>
    <w:div w:id="1962372243">
      <w:bodyDiv w:val="1"/>
      <w:marLeft w:val="0"/>
      <w:marRight w:val="0"/>
      <w:marTop w:val="0"/>
      <w:marBottom w:val="0"/>
      <w:divBdr>
        <w:top w:val="none" w:sz="0" w:space="0" w:color="auto"/>
        <w:left w:val="none" w:sz="0" w:space="0" w:color="auto"/>
        <w:bottom w:val="none" w:sz="0" w:space="0" w:color="auto"/>
        <w:right w:val="none" w:sz="0" w:space="0" w:color="auto"/>
      </w:divBdr>
    </w:div>
    <w:div w:id="1962413341">
      <w:bodyDiv w:val="1"/>
      <w:marLeft w:val="0"/>
      <w:marRight w:val="0"/>
      <w:marTop w:val="0"/>
      <w:marBottom w:val="0"/>
      <w:divBdr>
        <w:top w:val="none" w:sz="0" w:space="0" w:color="auto"/>
        <w:left w:val="none" w:sz="0" w:space="0" w:color="auto"/>
        <w:bottom w:val="none" w:sz="0" w:space="0" w:color="auto"/>
        <w:right w:val="none" w:sz="0" w:space="0" w:color="auto"/>
      </w:divBdr>
    </w:div>
    <w:div w:id="1962414317">
      <w:bodyDiv w:val="1"/>
      <w:marLeft w:val="0"/>
      <w:marRight w:val="0"/>
      <w:marTop w:val="0"/>
      <w:marBottom w:val="0"/>
      <w:divBdr>
        <w:top w:val="none" w:sz="0" w:space="0" w:color="auto"/>
        <w:left w:val="none" w:sz="0" w:space="0" w:color="auto"/>
        <w:bottom w:val="none" w:sz="0" w:space="0" w:color="auto"/>
        <w:right w:val="none" w:sz="0" w:space="0" w:color="auto"/>
      </w:divBdr>
    </w:div>
    <w:div w:id="1962415593">
      <w:bodyDiv w:val="1"/>
      <w:marLeft w:val="0"/>
      <w:marRight w:val="0"/>
      <w:marTop w:val="0"/>
      <w:marBottom w:val="0"/>
      <w:divBdr>
        <w:top w:val="none" w:sz="0" w:space="0" w:color="auto"/>
        <w:left w:val="none" w:sz="0" w:space="0" w:color="auto"/>
        <w:bottom w:val="none" w:sz="0" w:space="0" w:color="auto"/>
        <w:right w:val="none" w:sz="0" w:space="0" w:color="auto"/>
      </w:divBdr>
    </w:div>
    <w:div w:id="1962416133">
      <w:bodyDiv w:val="1"/>
      <w:marLeft w:val="0"/>
      <w:marRight w:val="0"/>
      <w:marTop w:val="0"/>
      <w:marBottom w:val="0"/>
      <w:divBdr>
        <w:top w:val="none" w:sz="0" w:space="0" w:color="auto"/>
        <w:left w:val="none" w:sz="0" w:space="0" w:color="auto"/>
        <w:bottom w:val="none" w:sz="0" w:space="0" w:color="auto"/>
        <w:right w:val="none" w:sz="0" w:space="0" w:color="auto"/>
      </w:divBdr>
    </w:div>
    <w:div w:id="1962418997">
      <w:bodyDiv w:val="1"/>
      <w:marLeft w:val="0"/>
      <w:marRight w:val="0"/>
      <w:marTop w:val="0"/>
      <w:marBottom w:val="0"/>
      <w:divBdr>
        <w:top w:val="none" w:sz="0" w:space="0" w:color="auto"/>
        <w:left w:val="none" w:sz="0" w:space="0" w:color="auto"/>
        <w:bottom w:val="none" w:sz="0" w:space="0" w:color="auto"/>
        <w:right w:val="none" w:sz="0" w:space="0" w:color="auto"/>
      </w:divBdr>
    </w:div>
    <w:div w:id="1962564730">
      <w:bodyDiv w:val="1"/>
      <w:marLeft w:val="0"/>
      <w:marRight w:val="0"/>
      <w:marTop w:val="0"/>
      <w:marBottom w:val="0"/>
      <w:divBdr>
        <w:top w:val="none" w:sz="0" w:space="0" w:color="auto"/>
        <w:left w:val="none" w:sz="0" w:space="0" w:color="auto"/>
        <w:bottom w:val="none" w:sz="0" w:space="0" w:color="auto"/>
        <w:right w:val="none" w:sz="0" w:space="0" w:color="auto"/>
      </w:divBdr>
    </w:div>
    <w:div w:id="1962612789">
      <w:bodyDiv w:val="1"/>
      <w:marLeft w:val="0"/>
      <w:marRight w:val="0"/>
      <w:marTop w:val="0"/>
      <w:marBottom w:val="0"/>
      <w:divBdr>
        <w:top w:val="none" w:sz="0" w:space="0" w:color="auto"/>
        <w:left w:val="none" w:sz="0" w:space="0" w:color="auto"/>
        <w:bottom w:val="none" w:sz="0" w:space="0" w:color="auto"/>
        <w:right w:val="none" w:sz="0" w:space="0" w:color="auto"/>
      </w:divBdr>
    </w:div>
    <w:div w:id="1962807136">
      <w:bodyDiv w:val="1"/>
      <w:marLeft w:val="0"/>
      <w:marRight w:val="0"/>
      <w:marTop w:val="0"/>
      <w:marBottom w:val="0"/>
      <w:divBdr>
        <w:top w:val="none" w:sz="0" w:space="0" w:color="auto"/>
        <w:left w:val="none" w:sz="0" w:space="0" w:color="auto"/>
        <w:bottom w:val="none" w:sz="0" w:space="0" w:color="auto"/>
        <w:right w:val="none" w:sz="0" w:space="0" w:color="auto"/>
      </w:divBdr>
    </w:div>
    <w:div w:id="1962875141">
      <w:bodyDiv w:val="1"/>
      <w:marLeft w:val="0"/>
      <w:marRight w:val="0"/>
      <w:marTop w:val="0"/>
      <w:marBottom w:val="0"/>
      <w:divBdr>
        <w:top w:val="none" w:sz="0" w:space="0" w:color="auto"/>
        <w:left w:val="none" w:sz="0" w:space="0" w:color="auto"/>
        <w:bottom w:val="none" w:sz="0" w:space="0" w:color="auto"/>
        <w:right w:val="none" w:sz="0" w:space="0" w:color="auto"/>
      </w:divBdr>
    </w:div>
    <w:div w:id="1963026158">
      <w:bodyDiv w:val="1"/>
      <w:marLeft w:val="0"/>
      <w:marRight w:val="0"/>
      <w:marTop w:val="0"/>
      <w:marBottom w:val="0"/>
      <w:divBdr>
        <w:top w:val="none" w:sz="0" w:space="0" w:color="auto"/>
        <w:left w:val="none" w:sz="0" w:space="0" w:color="auto"/>
        <w:bottom w:val="none" w:sz="0" w:space="0" w:color="auto"/>
        <w:right w:val="none" w:sz="0" w:space="0" w:color="auto"/>
      </w:divBdr>
    </w:div>
    <w:div w:id="1963028726">
      <w:bodyDiv w:val="1"/>
      <w:marLeft w:val="0"/>
      <w:marRight w:val="0"/>
      <w:marTop w:val="0"/>
      <w:marBottom w:val="0"/>
      <w:divBdr>
        <w:top w:val="none" w:sz="0" w:space="0" w:color="auto"/>
        <w:left w:val="none" w:sz="0" w:space="0" w:color="auto"/>
        <w:bottom w:val="none" w:sz="0" w:space="0" w:color="auto"/>
        <w:right w:val="none" w:sz="0" w:space="0" w:color="auto"/>
      </w:divBdr>
    </w:div>
    <w:div w:id="1963072614">
      <w:bodyDiv w:val="1"/>
      <w:marLeft w:val="0"/>
      <w:marRight w:val="0"/>
      <w:marTop w:val="0"/>
      <w:marBottom w:val="0"/>
      <w:divBdr>
        <w:top w:val="none" w:sz="0" w:space="0" w:color="auto"/>
        <w:left w:val="none" w:sz="0" w:space="0" w:color="auto"/>
        <w:bottom w:val="none" w:sz="0" w:space="0" w:color="auto"/>
        <w:right w:val="none" w:sz="0" w:space="0" w:color="auto"/>
      </w:divBdr>
    </w:div>
    <w:div w:id="1963076427">
      <w:bodyDiv w:val="1"/>
      <w:marLeft w:val="0"/>
      <w:marRight w:val="0"/>
      <w:marTop w:val="0"/>
      <w:marBottom w:val="0"/>
      <w:divBdr>
        <w:top w:val="none" w:sz="0" w:space="0" w:color="auto"/>
        <w:left w:val="none" w:sz="0" w:space="0" w:color="auto"/>
        <w:bottom w:val="none" w:sz="0" w:space="0" w:color="auto"/>
        <w:right w:val="none" w:sz="0" w:space="0" w:color="auto"/>
      </w:divBdr>
    </w:div>
    <w:div w:id="1963148770">
      <w:bodyDiv w:val="1"/>
      <w:marLeft w:val="0"/>
      <w:marRight w:val="0"/>
      <w:marTop w:val="0"/>
      <w:marBottom w:val="0"/>
      <w:divBdr>
        <w:top w:val="none" w:sz="0" w:space="0" w:color="auto"/>
        <w:left w:val="none" w:sz="0" w:space="0" w:color="auto"/>
        <w:bottom w:val="none" w:sz="0" w:space="0" w:color="auto"/>
        <w:right w:val="none" w:sz="0" w:space="0" w:color="auto"/>
      </w:divBdr>
    </w:div>
    <w:div w:id="1963221870">
      <w:bodyDiv w:val="1"/>
      <w:marLeft w:val="0"/>
      <w:marRight w:val="0"/>
      <w:marTop w:val="0"/>
      <w:marBottom w:val="0"/>
      <w:divBdr>
        <w:top w:val="none" w:sz="0" w:space="0" w:color="auto"/>
        <w:left w:val="none" w:sz="0" w:space="0" w:color="auto"/>
        <w:bottom w:val="none" w:sz="0" w:space="0" w:color="auto"/>
        <w:right w:val="none" w:sz="0" w:space="0" w:color="auto"/>
      </w:divBdr>
    </w:div>
    <w:div w:id="1963226402">
      <w:bodyDiv w:val="1"/>
      <w:marLeft w:val="0"/>
      <w:marRight w:val="0"/>
      <w:marTop w:val="0"/>
      <w:marBottom w:val="0"/>
      <w:divBdr>
        <w:top w:val="none" w:sz="0" w:space="0" w:color="auto"/>
        <w:left w:val="none" w:sz="0" w:space="0" w:color="auto"/>
        <w:bottom w:val="none" w:sz="0" w:space="0" w:color="auto"/>
        <w:right w:val="none" w:sz="0" w:space="0" w:color="auto"/>
      </w:divBdr>
    </w:div>
    <w:div w:id="1963458639">
      <w:bodyDiv w:val="1"/>
      <w:marLeft w:val="0"/>
      <w:marRight w:val="0"/>
      <w:marTop w:val="0"/>
      <w:marBottom w:val="0"/>
      <w:divBdr>
        <w:top w:val="none" w:sz="0" w:space="0" w:color="auto"/>
        <w:left w:val="none" w:sz="0" w:space="0" w:color="auto"/>
        <w:bottom w:val="none" w:sz="0" w:space="0" w:color="auto"/>
        <w:right w:val="none" w:sz="0" w:space="0" w:color="auto"/>
      </w:divBdr>
    </w:div>
    <w:div w:id="1963657348">
      <w:bodyDiv w:val="1"/>
      <w:marLeft w:val="0"/>
      <w:marRight w:val="0"/>
      <w:marTop w:val="0"/>
      <w:marBottom w:val="0"/>
      <w:divBdr>
        <w:top w:val="none" w:sz="0" w:space="0" w:color="auto"/>
        <w:left w:val="none" w:sz="0" w:space="0" w:color="auto"/>
        <w:bottom w:val="none" w:sz="0" w:space="0" w:color="auto"/>
        <w:right w:val="none" w:sz="0" w:space="0" w:color="auto"/>
      </w:divBdr>
    </w:div>
    <w:div w:id="1963801978">
      <w:bodyDiv w:val="1"/>
      <w:marLeft w:val="0"/>
      <w:marRight w:val="0"/>
      <w:marTop w:val="0"/>
      <w:marBottom w:val="0"/>
      <w:divBdr>
        <w:top w:val="none" w:sz="0" w:space="0" w:color="auto"/>
        <w:left w:val="none" w:sz="0" w:space="0" w:color="auto"/>
        <w:bottom w:val="none" w:sz="0" w:space="0" w:color="auto"/>
        <w:right w:val="none" w:sz="0" w:space="0" w:color="auto"/>
      </w:divBdr>
    </w:div>
    <w:div w:id="1963803603">
      <w:bodyDiv w:val="1"/>
      <w:marLeft w:val="0"/>
      <w:marRight w:val="0"/>
      <w:marTop w:val="0"/>
      <w:marBottom w:val="0"/>
      <w:divBdr>
        <w:top w:val="none" w:sz="0" w:space="0" w:color="auto"/>
        <w:left w:val="none" w:sz="0" w:space="0" w:color="auto"/>
        <w:bottom w:val="none" w:sz="0" w:space="0" w:color="auto"/>
        <w:right w:val="none" w:sz="0" w:space="0" w:color="auto"/>
      </w:divBdr>
    </w:div>
    <w:div w:id="1963806528">
      <w:bodyDiv w:val="1"/>
      <w:marLeft w:val="0"/>
      <w:marRight w:val="0"/>
      <w:marTop w:val="0"/>
      <w:marBottom w:val="0"/>
      <w:divBdr>
        <w:top w:val="none" w:sz="0" w:space="0" w:color="auto"/>
        <w:left w:val="none" w:sz="0" w:space="0" w:color="auto"/>
        <w:bottom w:val="none" w:sz="0" w:space="0" w:color="auto"/>
        <w:right w:val="none" w:sz="0" w:space="0" w:color="auto"/>
      </w:divBdr>
    </w:div>
    <w:div w:id="1963806878">
      <w:bodyDiv w:val="1"/>
      <w:marLeft w:val="0"/>
      <w:marRight w:val="0"/>
      <w:marTop w:val="0"/>
      <w:marBottom w:val="0"/>
      <w:divBdr>
        <w:top w:val="none" w:sz="0" w:space="0" w:color="auto"/>
        <w:left w:val="none" w:sz="0" w:space="0" w:color="auto"/>
        <w:bottom w:val="none" w:sz="0" w:space="0" w:color="auto"/>
        <w:right w:val="none" w:sz="0" w:space="0" w:color="auto"/>
      </w:divBdr>
    </w:div>
    <w:div w:id="1963922786">
      <w:bodyDiv w:val="1"/>
      <w:marLeft w:val="0"/>
      <w:marRight w:val="0"/>
      <w:marTop w:val="0"/>
      <w:marBottom w:val="0"/>
      <w:divBdr>
        <w:top w:val="none" w:sz="0" w:space="0" w:color="auto"/>
        <w:left w:val="none" w:sz="0" w:space="0" w:color="auto"/>
        <w:bottom w:val="none" w:sz="0" w:space="0" w:color="auto"/>
        <w:right w:val="none" w:sz="0" w:space="0" w:color="auto"/>
      </w:divBdr>
    </w:div>
    <w:div w:id="1964001342">
      <w:bodyDiv w:val="1"/>
      <w:marLeft w:val="0"/>
      <w:marRight w:val="0"/>
      <w:marTop w:val="0"/>
      <w:marBottom w:val="0"/>
      <w:divBdr>
        <w:top w:val="none" w:sz="0" w:space="0" w:color="auto"/>
        <w:left w:val="none" w:sz="0" w:space="0" w:color="auto"/>
        <w:bottom w:val="none" w:sz="0" w:space="0" w:color="auto"/>
        <w:right w:val="none" w:sz="0" w:space="0" w:color="auto"/>
      </w:divBdr>
    </w:div>
    <w:div w:id="1964069789">
      <w:bodyDiv w:val="1"/>
      <w:marLeft w:val="0"/>
      <w:marRight w:val="0"/>
      <w:marTop w:val="0"/>
      <w:marBottom w:val="0"/>
      <w:divBdr>
        <w:top w:val="none" w:sz="0" w:space="0" w:color="auto"/>
        <w:left w:val="none" w:sz="0" w:space="0" w:color="auto"/>
        <w:bottom w:val="none" w:sz="0" w:space="0" w:color="auto"/>
        <w:right w:val="none" w:sz="0" w:space="0" w:color="auto"/>
      </w:divBdr>
    </w:div>
    <w:div w:id="1964074296">
      <w:bodyDiv w:val="1"/>
      <w:marLeft w:val="0"/>
      <w:marRight w:val="0"/>
      <w:marTop w:val="0"/>
      <w:marBottom w:val="0"/>
      <w:divBdr>
        <w:top w:val="none" w:sz="0" w:space="0" w:color="auto"/>
        <w:left w:val="none" w:sz="0" w:space="0" w:color="auto"/>
        <w:bottom w:val="none" w:sz="0" w:space="0" w:color="auto"/>
        <w:right w:val="none" w:sz="0" w:space="0" w:color="auto"/>
      </w:divBdr>
    </w:div>
    <w:div w:id="1964074819">
      <w:bodyDiv w:val="1"/>
      <w:marLeft w:val="0"/>
      <w:marRight w:val="0"/>
      <w:marTop w:val="0"/>
      <w:marBottom w:val="0"/>
      <w:divBdr>
        <w:top w:val="none" w:sz="0" w:space="0" w:color="auto"/>
        <w:left w:val="none" w:sz="0" w:space="0" w:color="auto"/>
        <w:bottom w:val="none" w:sz="0" w:space="0" w:color="auto"/>
        <w:right w:val="none" w:sz="0" w:space="0" w:color="auto"/>
      </w:divBdr>
    </w:div>
    <w:div w:id="1964192346">
      <w:bodyDiv w:val="1"/>
      <w:marLeft w:val="0"/>
      <w:marRight w:val="0"/>
      <w:marTop w:val="0"/>
      <w:marBottom w:val="0"/>
      <w:divBdr>
        <w:top w:val="none" w:sz="0" w:space="0" w:color="auto"/>
        <w:left w:val="none" w:sz="0" w:space="0" w:color="auto"/>
        <w:bottom w:val="none" w:sz="0" w:space="0" w:color="auto"/>
        <w:right w:val="none" w:sz="0" w:space="0" w:color="auto"/>
      </w:divBdr>
    </w:div>
    <w:div w:id="1964342371">
      <w:bodyDiv w:val="1"/>
      <w:marLeft w:val="0"/>
      <w:marRight w:val="0"/>
      <w:marTop w:val="0"/>
      <w:marBottom w:val="0"/>
      <w:divBdr>
        <w:top w:val="none" w:sz="0" w:space="0" w:color="auto"/>
        <w:left w:val="none" w:sz="0" w:space="0" w:color="auto"/>
        <w:bottom w:val="none" w:sz="0" w:space="0" w:color="auto"/>
        <w:right w:val="none" w:sz="0" w:space="0" w:color="auto"/>
      </w:divBdr>
    </w:div>
    <w:div w:id="1964457399">
      <w:bodyDiv w:val="1"/>
      <w:marLeft w:val="0"/>
      <w:marRight w:val="0"/>
      <w:marTop w:val="0"/>
      <w:marBottom w:val="0"/>
      <w:divBdr>
        <w:top w:val="none" w:sz="0" w:space="0" w:color="auto"/>
        <w:left w:val="none" w:sz="0" w:space="0" w:color="auto"/>
        <w:bottom w:val="none" w:sz="0" w:space="0" w:color="auto"/>
        <w:right w:val="none" w:sz="0" w:space="0" w:color="auto"/>
      </w:divBdr>
    </w:div>
    <w:div w:id="1964458611">
      <w:bodyDiv w:val="1"/>
      <w:marLeft w:val="0"/>
      <w:marRight w:val="0"/>
      <w:marTop w:val="0"/>
      <w:marBottom w:val="0"/>
      <w:divBdr>
        <w:top w:val="none" w:sz="0" w:space="0" w:color="auto"/>
        <w:left w:val="none" w:sz="0" w:space="0" w:color="auto"/>
        <w:bottom w:val="none" w:sz="0" w:space="0" w:color="auto"/>
        <w:right w:val="none" w:sz="0" w:space="0" w:color="auto"/>
      </w:divBdr>
    </w:div>
    <w:div w:id="1964461735">
      <w:bodyDiv w:val="1"/>
      <w:marLeft w:val="0"/>
      <w:marRight w:val="0"/>
      <w:marTop w:val="0"/>
      <w:marBottom w:val="0"/>
      <w:divBdr>
        <w:top w:val="none" w:sz="0" w:space="0" w:color="auto"/>
        <w:left w:val="none" w:sz="0" w:space="0" w:color="auto"/>
        <w:bottom w:val="none" w:sz="0" w:space="0" w:color="auto"/>
        <w:right w:val="none" w:sz="0" w:space="0" w:color="auto"/>
      </w:divBdr>
    </w:div>
    <w:div w:id="1964463688">
      <w:bodyDiv w:val="1"/>
      <w:marLeft w:val="0"/>
      <w:marRight w:val="0"/>
      <w:marTop w:val="0"/>
      <w:marBottom w:val="0"/>
      <w:divBdr>
        <w:top w:val="none" w:sz="0" w:space="0" w:color="auto"/>
        <w:left w:val="none" w:sz="0" w:space="0" w:color="auto"/>
        <w:bottom w:val="none" w:sz="0" w:space="0" w:color="auto"/>
        <w:right w:val="none" w:sz="0" w:space="0" w:color="auto"/>
      </w:divBdr>
    </w:div>
    <w:div w:id="1964532320">
      <w:bodyDiv w:val="1"/>
      <w:marLeft w:val="0"/>
      <w:marRight w:val="0"/>
      <w:marTop w:val="0"/>
      <w:marBottom w:val="0"/>
      <w:divBdr>
        <w:top w:val="none" w:sz="0" w:space="0" w:color="auto"/>
        <w:left w:val="none" w:sz="0" w:space="0" w:color="auto"/>
        <w:bottom w:val="none" w:sz="0" w:space="0" w:color="auto"/>
        <w:right w:val="none" w:sz="0" w:space="0" w:color="auto"/>
      </w:divBdr>
    </w:div>
    <w:div w:id="1964573056">
      <w:bodyDiv w:val="1"/>
      <w:marLeft w:val="0"/>
      <w:marRight w:val="0"/>
      <w:marTop w:val="0"/>
      <w:marBottom w:val="0"/>
      <w:divBdr>
        <w:top w:val="none" w:sz="0" w:space="0" w:color="auto"/>
        <w:left w:val="none" w:sz="0" w:space="0" w:color="auto"/>
        <w:bottom w:val="none" w:sz="0" w:space="0" w:color="auto"/>
        <w:right w:val="none" w:sz="0" w:space="0" w:color="auto"/>
      </w:divBdr>
    </w:div>
    <w:div w:id="1964576571">
      <w:bodyDiv w:val="1"/>
      <w:marLeft w:val="0"/>
      <w:marRight w:val="0"/>
      <w:marTop w:val="0"/>
      <w:marBottom w:val="0"/>
      <w:divBdr>
        <w:top w:val="none" w:sz="0" w:space="0" w:color="auto"/>
        <w:left w:val="none" w:sz="0" w:space="0" w:color="auto"/>
        <w:bottom w:val="none" w:sz="0" w:space="0" w:color="auto"/>
        <w:right w:val="none" w:sz="0" w:space="0" w:color="auto"/>
      </w:divBdr>
    </w:div>
    <w:div w:id="1964656299">
      <w:bodyDiv w:val="1"/>
      <w:marLeft w:val="0"/>
      <w:marRight w:val="0"/>
      <w:marTop w:val="0"/>
      <w:marBottom w:val="0"/>
      <w:divBdr>
        <w:top w:val="none" w:sz="0" w:space="0" w:color="auto"/>
        <w:left w:val="none" w:sz="0" w:space="0" w:color="auto"/>
        <w:bottom w:val="none" w:sz="0" w:space="0" w:color="auto"/>
        <w:right w:val="none" w:sz="0" w:space="0" w:color="auto"/>
      </w:divBdr>
    </w:div>
    <w:div w:id="1964731336">
      <w:bodyDiv w:val="1"/>
      <w:marLeft w:val="0"/>
      <w:marRight w:val="0"/>
      <w:marTop w:val="0"/>
      <w:marBottom w:val="0"/>
      <w:divBdr>
        <w:top w:val="none" w:sz="0" w:space="0" w:color="auto"/>
        <w:left w:val="none" w:sz="0" w:space="0" w:color="auto"/>
        <w:bottom w:val="none" w:sz="0" w:space="0" w:color="auto"/>
        <w:right w:val="none" w:sz="0" w:space="0" w:color="auto"/>
      </w:divBdr>
    </w:div>
    <w:div w:id="1964770916">
      <w:bodyDiv w:val="1"/>
      <w:marLeft w:val="0"/>
      <w:marRight w:val="0"/>
      <w:marTop w:val="0"/>
      <w:marBottom w:val="0"/>
      <w:divBdr>
        <w:top w:val="none" w:sz="0" w:space="0" w:color="auto"/>
        <w:left w:val="none" w:sz="0" w:space="0" w:color="auto"/>
        <w:bottom w:val="none" w:sz="0" w:space="0" w:color="auto"/>
        <w:right w:val="none" w:sz="0" w:space="0" w:color="auto"/>
      </w:divBdr>
    </w:div>
    <w:div w:id="1964801187">
      <w:bodyDiv w:val="1"/>
      <w:marLeft w:val="0"/>
      <w:marRight w:val="0"/>
      <w:marTop w:val="0"/>
      <w:marBottom w:val="0"/>
      <w:divBdr>
        <w:top w:val="none" w:sz="0" w:space="0" w:color="auto"/>
        <w:left w:val="none" w:sz="0" w:space="0" w:color="auto"/>
        <w:bottom w:val="none" w:sz="0" w:space="0" w:color="auto"/>
        <w:right w:val="none" w:sz="0" w:space="0" w:color="auto"/>
      </w:divBdr>
    </w:div>
    <w:div w:id="1964842044">
      <w:bodyDiv w:val="1"/>
      <w:marLeft w:val="0"/>
      <w:marRight w:val="0"/>
      <w:marTop w:val="0"/>
      <w:marBottom w:val="0"/>
      <w:divBdr>
        <w:top w:val="none" w:sz="0" w:space="0" w:color="auto"/>
        <w:left w:val="none" w:sz="0" w:space="0" w:color="auto"/>
        <w:bottom w:val="none" w:sz="0" w:space="0" w:color="auto"/>
        <w:right w:val="none" w:sz="0" w:space="0" w:color="auto"/>
      </w:divBdr>
    </w:div>
    <w:div w:id="1964847503">
      <w:bodyDiv w:val="1"/>
      <w:marLeft w:val="0"/>
      <w:marRight w:val="0"/>
      <w:marTop w:val="0"/>
      <w:marBottom w:val="0"/>
      <w:divBdr>
        <w:top w:val="none" w:sz="0" w:space="0" w:color="auto"/>
        <w:left w:val="none" w:sz="0" w:space="0" w:color="auto"/>
        <w:bottom w:val="none" w:sz="0" w:space="0" w:color="auto"/>
        <w:right w:val="none" w:sz="0" w:space="0" w:color="auto"/>
      </w:divBdr>
    </w:div>
    <w:div w:id="1964966335">
      <w:bodyDiv w:val="1"/>
      <w:marLeft w:val="0"/>
      <w:marRight w:val="0"/>
      <w:marTop w:val="0"/>
      <w:marBottom w:val="0"/>
      <w:divBdr>
        <w:top w:val="none" w:sz="0" w:space="0" w:color="auto"/>
        <w:left w:val="none" w:sz="0" w:space="0" w:color="auto"/>
        <w:bottom w:val="none" w:sz="0" w:space="0" w:color="auto"/>
        <w:right w:val="none" w:sz="0" w:space="0" w:color="auto"/>
      </w:divBdr>
    </w:div>
    <w:div w:id="1964995417">
      <w:bodyDiv w:val="1"/>
      <w:marLeft w:val="0"/>
      <w:marRight w:val="0"/>
      <w:marTop w:val="0"/>
      <w:marBottom w:val="0"/>
      <w:divBdr>
        <w:top w:val="none" w:sz="0" w:space="0" w:color="auto"/>
        <w:left w:val="none" w:sz="0" w:space="0" w:color="auto"/>
        <w:bottom w:val="none" w:sz="0" w:space="0" w:color="auto"/>
        <w:right w:val="none" w:sz="0" w:space="0" w:color="auto"/>
      </w:divBdr>
    </w:div>
    <w:div w:id="1965185812">
      <w:bodyDiv w:val="1"/>
      <w:marLeft w:val="0"/>
      <w:marRight w:val="0"/>
      <w:marTop w:val="0"/>
      <w:marBottom w:val="0"/>
      <w:divBdr>
        <w:top w:val="none" w:sz="0" w:space="0" w:color="auto"/>
        <w:left w:val="none" w:sz="0" w:space="0" w:color="auto"/>
        <w:bottom w:val="none" w:sz="0" w:space="0" w:color="auto"/>
        <w:right w:val="none" w:sz="0" w:space="0" w:color="auto"/>
      </w:divBdr>
    </w:div>
    <w:div w:id="1965302993">
      <w:bodyDiv w:val="1"/>
      <w:marLeft w:val="0"/>
      <w:marRight w:val="0"/>
      <w:marTop w:val="0"/>
      <w:marBottom w:val="0"/>
      <w:divBdr>
        <w:top w:val="none" w:sz="0" w:space="0" w:color="auto"/>
        <w:left w:val="none" w:sz="0" w:space="0" w:color="auto"/>
        <w:bottom w:val="none" w:sz="0" w:space="0" w:color="auto"/>
        <w:right w:val="none" w:sz="0" w:space="0" w:color="auto"/>
      </w:divBdr>
    </w:div>
    <w:div w:id="1965381629">
      <w:bodyDiv w:val="1"/>
      <w:marLeft w:val="0"/>
      <w:marRight w:val="0"/>
      <w:marTop w:val="0"/>
      <w:marBottom w:val="0"/>
      <w:divBdr>
        <w:top w:val="none" w:sz="0" w:space="0" w:color="auto"/>
        <w:left w:val="none" w:sz="0" w:space="0" w:color="auto"/>
        <w:bottom w:val="none" w:sz="0" w:space="0" w:color="auto"/>
        <w:right w:val="none" w:sz="0" w:space="0" w:color="auto"/>
      </w:divBdr>
    </w:div>
    <w:div w:id="1965386961">
      <w:bodyDiv w:val="1"/>
      <w:marLeft w:val="0"/>
      <w:marRight w:val="0"/>
      <w:marTop w:val="0"/>
      <w:marBottom w:val="0"/>
      <w:divBdr>
        <w:top w:val="none" w:sz="0" w:space="0" w:color="auto"/>
        <w:left w:val="none" w:sz="0" w:space="0" w:color="auto"/>
        <w:bottom w:val="none" w:sz="0" w:space="0" w:color="auto"/>
        <w:right w:val="none" w:sz="0" w:space="0" w:color="auto"/>
      </w:divBdr>
    </w:div>
    <w:div w:id="1965456203">
      <w:bodyDiv w:val="1"/>
      <w:marLeft w:val="0"/>
      <w:marRight w:val="0"/>
      <w:marTop w:val="0"/>
      <w:marBottom w:val="0"/>
      <w:divBdr>
        <w:top w:val="none" w:sz="0" w:space="0" w:color="auto"/>
        <w:left w:val="none" w:sz="0" w:space="0" w:color="auto"/>
        <w:bottom w:val="none" w:sz="0" w:space="0" w:color="auto"/>
        <w:right w:val="none" w:sz="0" w:space="0" w:color="auto"/>
      </w:divBdr>
    </w:div>
    <w:div w:id="1965649768">
      <w:bodyDiv w:val="1"/>
      <w:marLeft w:val="0"/>
      <w:marRight w:val="0"/>
      <w:marTop w:val="0"/>
      <w:marBottom w:val="0"/>
      <w:divBdr>
        <w:top w:val="none" w:sz="0" w:space="0" w:color="auto"/>
        <w:left w:val="none" w:sz="0" w:space="0" w:color="auto"/>
        <w:bottom w:val="none" w:sz="0" w:space="0" w:color="auto"/>
        <w:right w:val="none" w:sz="0" w:space="0" w:color="auto"/>
      </w:divBdr>
    </w:div>
    <w:div w:id="1965693470">
      <w:bodyDiv w:val="1"/>
      <w:marLeft w:val="0"/>
      <w:marRight w:val="0"/>
      <w:marTop w:val="0"/>
      <w:marBottom w:val="0"/>
      <w:divBdr>
        <w:top w:val="none" w:sz="0" w:space="0" w:color="auto"/>
        <w:left w:val="none" w:sz="0" w:space="0" w:color="auto"/>
        <w:bottom w:val="none" w:sz="0" w:space="0" w:color="auto"/>
        <w:right w:val="none" w:sz="0" w:space="0" w:color="auto"/>
      </w:divBdr>
    </w:div>
    <w:div w:id="1965695608">
      <w:bodyDiv w:val="1"/>
      <w:marLeft w:val="0"/>
      <w:marRight w:val="0"/>
      <w:marTop w:val="0"/>
      <w:marBottom w:val="0"/>
      <w:divBdr>
        <w:top w:val="none" w:sz="0" w:space="0" w:color="auto"/>
        <w:left w:val="none" w:sz="0" w:space="0" w:color="auto"/>
        <w:bottom w:val="none" w:sz="0" w:space="0" w:color="auto"/>
        <w:right w:val="none" w:sz="0" w:space="0" w:color="auto"/>
      </w:divBdr>
    </w:div>
    <w:div w:id="1965770357">
      <w:bodyDiv w:val="1"/>
      <w:marLeft w:val="0"/>
      <w:marRight w:val="0"/>
      <w:marTop w:val="0"/>
      <w:marBottom w:val="0"/>
      <w:divBdr>
        <w:top w:val="none" w:sz="0" w:space="0" w:color="auto"/>
        <w:left w:val="none" w:sz="0" w:space="0" w:color="auto"/>
        <w:bottom w:val="none" w:sz="0" w:space="0" w:color="auto"/>
        <w:right w:val="none" w:sz="0" w:space="0" w:color="auto"/>
      </w:divBdr>
    </w:div>
    <w:div w:id="1965772142">
      <w:bodyDiv w:val="1"/>
      <w:marLeft w:val="0"/>
      <w:marRight w:val="0"/>
      <w:marTop w:val="0"/>
      <w:marBottom w:val="0"/>
      <w:divBdr>
        <w:top w:val="none" w:sz="0" w:space="0" w:color="auto"/>
        <w:left w:val="none" w:sz="0" w:space="0" w:color="auto"/>
        <w:bottom w:val="none" w:sz="0" w:space="0" w:color="auto"/>
        <w:right w:val="none" w:sz="0" w:space="0" w:color="auto"/>
      </w:divBdr>
    </w:div>
    <w:div w:id="1965773102">
      <w:bodyDiv w:val="1"/>
      <w:marLeft w:val="0"/>
      <w:marRight w:val="0"/>
      <w:marTop w:val="0"/>
      <w:marBottom w:val="0"/>
      <w:divBdr>
        <w:top w:val="none" w:sz="0" w:space="0" w:color="auto"/>
        <w:left w:val="none" w:sz="0" w:space="0" w:color="auto"/>
        <w:bottom w:val="none" w:sz="0" w:space="0" w:color="auto"/>
        <w:right w:val="none" w:sz="0" w:space="0" w:color="auto"/>
      </w:divBdr>
    </w:div>
    <w:div w:id="1965887736">
      <w:bodyDiv w:val="1"/>
      <w:marLeft w:val="0"/>
      <w:marRight w:val="0"/>
      <w:marTop w:val="0"/>
      <w:marBottom w:val="0"/>
      <w:divBdr>
        <w:top w:val="none" w:sz="0" w:space="0" w:color="auto"/>
        <w:left w:val="none" w:sz="0" w:space="0" w:color="auto"/>
        <w:bottom w:val="none" w:sz="0" w:space="0" w:color="auto"/>
        <w:right w:val="none" w:sz="0" w:space="0" w:color="auto"/>
      </w:divBdr>
    </w:div>
    <w:div w:id="1965891922">
      <w:bodyDiv w:val="1"/>
      <w:marLeft w:val="0"/>
      <w:marRight w:val="0"/>
      <w:marTop w:val="0"/>
      <w:marBottom w:val="0"/>
      <w:divBdr>
        <w:top w:val="none" w:sz="0" w:space="0" w:color="auto"/>
        <w:left w:val="none" w:sz="0" w:space="0" w:color="auto"/>
        <w:bottom w:val="none" w:sz="0" w:space="0" w:color="auto"/>
        <w:right w:val="none" w:sz="0" w:space="0" w:color="auto"/>
      </w:divBdr>
    </w:div>
    <w:div w:id="1965958472">
      <w:bodyDiv w:val="1"/>
      <w:marLeft w:val="0"/>
      <w:marRight w:val="0"/>
      <w:marTop w:val="0"/>
      <w:marBottom w:val="0"/>
      <w:divBdr>
        <w:top w:val="none" w:sz="0" w:space="0" w:color="auto"/>
        <w:left w:val="none" w:sz="0" w:space="0" w:color="auto"/>
        <w:bottom w:val="none" w:sz="0" w:space="0" w:color="auto"/>
        <w:right w:val="none" w:sz="0" w:space="0" w:color="auto"/>
      </w:divBdr>
    </w:div>
    <w:div w:id="1965962453">
      <w:bodyDiv w:val="1"/>
      <w:marLeft w:val="0"/>
      <w:marRight w:val="0"/>
      <w:marTop w:val="0"/>
      <w:marBottom w:val="0"/>
      <w:divBdr>
        <w:top w:val="none" w:sz="0" w:space="0" w:color="auto"/>
        <w:left w:val="none" w:sz="0" w:space="0" w:color="auto"/>
        <w:bottom w:val="none" w:sz="0" w:space="0" w:color="auto"/>
        <w:right w:val="none" w:sz="0" w:space="0" w:color="auto"/>
      </w:divBdr>
    </w:div>
    <w:div w:id="1965966461">
      <w:bodyDiv w:val="1"/>
      <w:marLeft w:val="0"/>
      <w:marRight w:val="0"/>
      <w:marTop w:val="0"/>
      <w:marBottom w:val="0"/>
      <w:divBdr>
        <w:top w:val="none" w:sz="0" w:space="0" w:color="auto"/>
        <w:left w:val="none" w:sz="0" w:space="0" w:color="auto"/>
        <w:bottom w:val="none" w:sz="0" w:space="0" w:color="auto"/>
        <w:right w:val="none" w:sz="0" w:space="0" w:color="auto"/>
      </w:divBdr>
    </w:div>
    <w:div w:id="1966039187">
      <w:bodyDiv w:val="1"/>
      <w:marLeft w:val="0"/>
      <w:marRight w:val="0"/>
      <w:marTop w:val="0"/>
      <w:marBottom w:val="0"/>
      <w:divBdr>
        <w:top w:val="none" w:sz="0" w:space="0" w:color="auto"/>
        <w:left w:val="none" w:sz="0" w:space="0" w:color="auto"/>
        <w:bottom w:val="none" w:sz="0" w:space="0" w:color="auto"/>
        <w:right w:val="none" w:sz="0" w:space="0" w:color="auto"/>
      </w:divBdr>
    </w:div>
    <w:div w:id="1966042745">
      <w:bodyDiv w:val="1"/>
      <w:marLeft w:val="0"/>
      <w:marRight w:val="0"/>
      <w:marTop w:val="0"/>
      <w:marBottom w:val="0"/>
      <w:divBdr>
        <w:top w:val="none" w:sz="0" w:space="0" w:color="auto"/>
        <w:left w:val="none" w:sz="0" w:space="0" w:color="auto"/>
        <w:bottom w:val="none" w:sz="0" w:space="0" w:color="auto"/>
        <w:right w:val="none" w:sz="0" w:space="0" w:color="auto"/>
      </w:divBdr>
    </w:div>
    <w:div w:id="1966084124">
      <w:bodyDiv w:val="1"/>
      <w:marLeft w:val="0"/>
      <w:marRight w:val="0"/>
      <w:marTop w:val="0"/>
      <w:marBottom w:val="0"/>
      <w:divBdr>
        <w:top w:val="none" w:sz="0" w:space="0" w:color="auto"/>
        <w:left w:val="none" w:sz="0" w:space="0" w:color="auto"/>
        <w:bottom w:val="none" w:sz="0" w:space="0" w:color="auto"/>
        <w:right w:val="none" w:sz="0" w:space="0" w:color="auto"/>
      </w:divBdr>
    </w:div>
    <w:div w:id="1966157464">
      <w:bodyDiv w:val="1"/>
      <w:marLeft w:val="0"/>
      <w:marRight w:val="0"/>
      <w:marTop w:val="0"/>
      <w:marBottom w:val="0"/>
      <w:divBdr>
        <w:top w:val="none" w:sz="0" w:space="0" w:color="auto"/>
        <w:left w:val="none" w:sz="0" w:space="0" w:color="auto"/>
        <w:bottom w:val="none" w:sz="0" w:space="0" w:color="auto"/>
        <w:right w:val="none" w:sz="0" w:space="0" w:color="auto"/>
      </w:divBdr>
    </w:div>
    <w:div w:id="1966540212">
      <w:bodyDiv w:val="1"/>
      <w:marLeft w:val="0"/>
      <w:marRight w:val="0"/>
      <w:marTop w:val="0"/>
      <w:marBottom w:val="0"/>
      <w:divBdr>
        <w:top w:val="none" w:sz="0" w:space="0" w:color="auto"/>
        <w:left w:val="none" w:sz="0" w:space="0" w:color="auto"/>
        <w:bottom w:val="none" w:sz="0" w:space="0" w:color="auto"/>
        <w:right w:val="none" w:sz="0" w:space="0" w:color="auto"/>
      </w:divBdr>
    </w:div>
    <w:div w:id="1966809800">
      <w:bodyDiv w:val="1"/>
      <w:marLeft w:val="0"/>
      <w:marRight w:val="0"/>
      <w:marTop w:val="0"/>
      <w:marBottom w:val="0"/>
      <w:divBdr>
        <w:top w:val="none" w:sz="0" w:space="0" w:color="auto"/>
        <w:left w:val="none" w:sz="0" w:space="0" w:color="auto"/>
        <w:bottom w:val="none" w:sz="0" w:space="0" w:color="auto"/>
        <w:right w:val="none" w:sz="0" w:space="0" w:color="auto"/>
      </w:divBdr>
    </w:div>
    <w:div w:id="1966932299">
      <w:bodyDiv w:val="1"/>
      <w:marLeft w:val="0"/>
      <w:marRight w:val="0"/>
      <w:marTop w:val="0"/>
      <w:marBottom w:val="0"/>
      <w:divBdr>
        <w:top w:val="none" w:sz="0" w:space="0" w:color="auto"/>
        <w:left w:val="none" w:sz="0" w:space="0" w:color="auto"/>
        <w:bottom w:val="none" w:sz="0" w:space="0" w:color="auto"/>
        <w:right w:val="none" w:sz="0" w:space="0" w:color="auto"/>
      </w:divBdr>
    </w:div>
    <w:div w:id="1967002187">
      <w:bodyDiv w:val="1"/>
      <w:marLeft w:val="0"/>
      <w:marRight w:val="0"/>
      <w:marTop w:val="0"/>
      <w:marBottom w:val="0"/>
      <w:divBdr>
        <w:top w:val="none" w:sz="0" w:space="0" w:color="auto"/>
        <w:left w:val="none" w:sz="0" w:space="0" w:color="auto"/>
        <w:bottom w:val="none" w:sz="0" w:space="0" w:color="auto"/>
        <w:right w:val="none" w:sz="0" w:space="0" w:color="auto"/>
      </w:divBdr>
    </w:div>
    <w:div w:id="1967078299">
      <w:bodyDiv w:val="1"/>
      <w:marLeft w:val="0"/>
      <w:marRight w:val="0"/>
      <w:marTop w:val="0"/>
      <w:marBottom w:val="0"/>
      <w:divBdr>
        <w:top w:val="none" w:sz="0" w:space="0" w:color="auto"/>
        <w:left w:val="none" w:sz="0" w:space="0" w:color="auto"/>
        <w:bottom w:val="none" w:sz="0" w:space="0" w:color="auto"/>
        <w:right w:val="none" w:sz="0" w:space="0" w:color="auto"/>
      </w:divBdr>
    </w:div>
    <w:div w:id="1967083830">
      <w:bodyDiv w:val="1"/>
      <w:marLeft w:val="0"/>
      <w:marRight w:val="0"/>
      <w:marTop w:val="0"/>
      <w:marBottom w:val="0"/>
      <w:divBdr>
        <w:top w:val="none" w:sz="0" w:space="0" w:color="auto"/>
        <w:left w:val="none" w:sz="0" w:space="0" w:color="auto"/>
        <w:bottom w:val="none" w:sz="0" w:space="0" w:color="auto"/>
        <w:right w:val="none" w:sz="0" w:space="0" w:color="auto"/>
      </w:divBdr>
    </w:div>
    <w:div w:id="1967201360">
      <w:bodyDiv w:val="1"/>
      <w:marLeft w:val="0"/>
      <w:marRight w:val="0"/>
      <w:marTop w:val="0"/>
      <w:marBottom w:val="0"/>
      <w:divBdr>
        <w:top w:val="none" w:sz="0" w:space="0" w:color="auto"/>
        <w:left w:val="none" w:sz="0" w:space="0" w:color="auto"/>
        <w:bottom w:val="none" w:sz="0" w:space="0" w:color="auto"/>
        <w:right w:val="none" w:sz="0" w:space="0" w:color="auto"/>
      </w:divBdr>
    </w:div>
    <w:div w:id="1967226833">
      <w:bodyDiv w:val="1"/>
      <w:marLeft w:val="0"/>
      <w:marRight w:val="0"/>
      <w:marTop w:val="0"/>
      <w:marBottom w:val="0"/>
      <w:divBdr>
        <w:top w:val="none" w:sz="0" w:space="0" w:color="auto"/>
        <w:left w:val="none" w:sz="0" w:space="0" w:color="auto"/>
        <w:bottom w:val="none" w:sz="0" w:space="0" w:color="auto"/>
        <w:right w:val="none" w:sz="0" w:space="0" w:color="auto"/>
      </w:divBdr>
    </w:div>
    <w:div w:id="1967346763">
      <w:bodyDiv w:val="1"/>
      <w:marLeft w:val="0"/>
      <w:marRight w:val="0"/>
      <w:marTop w:val="0"/>
      <w:marBottom w:val="0"/>
      <w:divBdr>
        <w:top w:val="none" w:sz="0" w:space="0" w:color="auto"/>
        <w:left w:val="none" w:sz="0" w:space="0" w:color="auto"/>
        <w:bottom w:val="none" w:sz="0" w:space="0" w:color="auto"/>
        <w:right w:val="none" w:sz="0" w:space="0" w:color="auto"/>
      </w:divBdr>
    </w:div>
    <w:div w:id="1967463909">
      <w:bodyDiv w:val="1"/>
      <w:marLeft w:val="0"/>
      <w:marRight w:val="0"/>
      <w:marTop w:val="0"/>
      <w:marBottom w:val="0"/>
      <w:divBdr>
        <w:top w:val="none" w:sz="0" w:space="0" w:color="auto"/>
        <w:left w:val="none" w:sz="0" w:space="0" w:color="auto"/>
        <w:bottom w:val="none" w:sz="0" w:space="0" w:color="auto"/>
        <w:right w:val="none" w:sz="0" w:space="0" w:color="auto"/>
      </w:divBdr>
    </w:div>
    <w:div w:id="1967542484">
      <w:bodyDiv w:val="1"/>
      <w:marLeft w:val="0"/>
      <w:marRight w:val="0"/>
      <w:marTop w:val="0"/>
      <w:marBottom w:val="0"/>
      <w:divBdr>
        <w:top w:val="none" w:sz="0" w:space="0" w:color="auto"/>
        <w:left w:val="none" w:sz="0" w:space="0" w:color="auto"/>
        <w:bottom w:val="none" w:sz="0" w:space="0" w:color="auto"/>
        <w:right w:val="none" w:sz="0" w:space="0" w:color="auto"/>
      </w:divBdr>
    </w:div>
    <w:div w:id="1967658103">
      <w:bodyDiv w:val="1"/>
      <w:marLeft w:val="0"/>
      <w:marRight w:val="0"/>
      <w:marTop w:val="0"/>
      <w:marBottom w:val="0"/>
      <w:divBdr>
        <w:top w:val="none" w:sz="0" w:space="0" w:color="auto"/>
        <w:left w:val="none" w:sz="0" w:space="0" w:color="auto"/>
        <w:bottom w:val="none" w:sz="0" w:space="0" w:color="auto"/>
        <w:right w:val="none" w:sz="0" w:space="0" w:color="auto"/>
      </w:divBdr>
    </w:div>
    <w:div w:id="1967806031">
      <w:bodyDiv w:val="1"/>
      <w:marLeft w:val="0"/>
      <w:marRight w:val="0"/>
      <w:marTop w:val="0"/>
      <w:marBottom w:val="0"/>
      <w:divBdr>
        <w:top w:val="none" w:sz="0" w:space="0" w:color="auto"/>
        <w:left w:val="none" w:sz="0" w:space="0" w:color="auto"/>
        <w:bottom w:val="none" w:sz="0" w:space="0" w:color="auto"/>
        <w:right w:val="none" w:sz="0" w:space="0" w:color="auto"/>
      </w:divBdr>
    </w:div>
    <w:div w:id="1968005056">
      <w:bodyDiv w:val="1"/>
      <w:marLeft w:val="0"/>
      <w:marRight w:val="0"/>
      <w:marTop w:val="0"/>
      <w:marBottom w:val="0"/>
      <w:divBdr>
        <w:top w:val="none" w:sz="0" w:space="0" w:color="auto"/>
        <w:left w:val="none" w:sz="0" w:space="0" w:color="auto"/>
        <w:bottom w:val="none" w:sz="0" w:space="0" w:color="auto"/>
        <w:right w:val="none" w:sz="0" w:space="0" w:color="auto"/>
      </w:divBdr>
    </w:div>
    <w:div w:id="1968007756">
      <w:bodyDiv w:val="1"/>
      <w:marLeft w:val="0"/>
      <w:marRight w:val="0"/>
      <w:marTop w:val="0"/>
      <w:marBottom w:val="0"/>
      <w:divBdr>
        <w:top w:val="none" w:sz="0" w:space="0" w:color="auto"/>
        <w:left w:val="none" w:sz="0" w:space="0" w:color="auto"/>
        <w:bottom w:val="none" w:sz="0" w:space="0" w:color="auto"/>
        <w:right w:val="none" w:sz="0" w:space="0" w:color="auto"/>
      </w:divBdr>
    </w:div>
    <w:div w:id="1968200393">
      <w:bodyDiv w:val="1"/>
      <w:marLeft w:val="0"/>
      <w:marRight w:val="0"/>
      <w:marTop w:val="0"/>
      <w:marBottom w:val="0"/>
      <w:divBdr>
        <w:top w:val="none" w:sz="0" w:space="0" w:color="auto"/>
        <w:left w:val="none" w:sz="0" w:space="0" w:color="auto"/>
        <w:bottom w:val="none" w:sz="0" w:space="0" w:color="auto"/>
        <w:right w:val="none" w:sz="0" w:space="0" w:color="auto"/>
      </w:divBdr>
    </w:div>
    <w:div w:id="1968268553">
      <w:bodyDiv w:val="1"/>
      <w:marLeft w:val="0"/>
      <w:marRight w:val="0"/>
      <w:marTop w:val="0"/>
      <w:marBottom w:val="0"/>
      <w:divBdr>
        <w:top w:val="none" w:sz="0" w:space="0" w:color="auto"/>
        <w:left w:val="none" w:sz="0" w:space="0" w:color="auto"/>
        <w:bottom w:val="none" w:sz="0" w:space="0" w:color="auto"/>
        <w:right w:val="none" w:sz="0" w:space="0" w:color="auto"/>
      </w:divBdr>
    </w:div>
    <w:div w:id="1968390796">
      <w:bodyDiv w:val="1"/>
      <w:marLeft w:val="0"/>
      <w:marRight w:val="0"/>
      <w:marTop w:val="0"/>
      <w:marBottom w:val="0"/>
      <w:divBdr>
        <w:top w:val="none" w:sz="0" w:space="0" w:color="auto"/>
        <w:left w:val="none" w:sz="0" w:space="0" w:color="auto"/>
        <w:bottom w:val="none" w:sz="0" w:space="0" w:color="auto"/>
        <w:right w:val="none" w:sz="0" w:space="0" w:color="auto"/>
      </w:divBdr>
    </w:div>
    <w:div w:id="1968392090">
      <w:bodyDiv w:val="1"/>
      <w:marLeft w:val="0"/>
      <w:marRight w:val="0"/>
      <w:marTop w:val="0"/>
      <w:marBottom w:val="0"/>
      <w:divBdr>
        <w:top w:val="none" w:sz="0" w:space="0" w:color="auto"/>
        <w:left w:val="none" w:sz="0" w:space="0" w:color="auto"/>
        <w:bottom w:val="none" w:sz="0" w:space="0" w:color="auto"/>
        <w:right w:val="none" w:sz="0" w:space="0" w:color="auto"/>
      </w:divBdr>
    </w:div>
    <w:div w:id="1968461707">
      <w:bodyDiv w:val="1"/>
      <w:marLeft w:val="0"/>
      <w:marRight w:val="0"/>
      <w:marTop w:val="0"/>
      <w:marBottom w:val="0"/>
      <w:divBdr>
        <w:top w:val="none" w:sz="0" w:space="0" w:color="auto"/>
        <w:left w:val="none" w:sz="0" w:space="0" w:color="auto"/>
        <w:bottom w:val="none" w:sz="0" w:space="0" w:color="auto"/>
        <w:right w:val="none" w:sz="0" w:space="0" w:color="auto"/>
      </w:divBdr>
    </w:div>
    <w:div w:id="1968464478">
      <w:bodyDiv w:val="1"/>
      <w:marLeft w:val="0"/>
      <w:marRight w:val="0"/>
      <w:marTop w:val="0"/>
      <w:marBottom w:val="0"/>
      <w:divBdr>
        <w:top w:val="none" w:sz="0" w:space="0" w:color="auto"/>
        <w:left w:val="none" w:sz="0" w:space="0" w:color="auto"/>
        <w:bottom w:val="none" w:sz="0" w:space="0" w:color="auto"/>
        <w:right w:val="none" w:sz="0" w:space="0" w:color="auto"/>
      </w:divBdr>
    </w:div>
    <w:div w:id="1968584567">
      <w:bodyDiv w:val="1"/>
      <w:marLeft w:val="0"/>
      <w:marRight w:val="0"/>
      <w:marTop w:val="0"/>
      <w:marBottom w:val="0"/>
      <w:divBdr>
        <w:top w:val="none" w:sz="0" w:space="0" w:color="auto"/>
        <w:left w:val="none" w:sz="0" w:space="0" w:color="auto"/>
        <w:bottom w:val="none" w:sz="0" w:space="0" w:color="auto"/>
        <w:right w:val="none" w:sz="0" w:space="0" w:color="auto"/>
      </w:divBdr>
    </w:div>
    <w:div w:id="1968585160">
      <w:bodyDiv w:val="1"/>
      <w:marLeft w:val="0"/>
      <w:marRight w:val="0"/>
      <w:marTop w:val="0"/>
      <w:marBottom w:val="0"/>
      <w:divBdr>
        <w:top w:val="none" w:sz="0" w:space="0" w:color="auto"/>
        <w:left w:val="none" w:sz="0" w:space="0" w:color="auto"/>
        <w:bottom w:val="none" w:sz="0" w:space="0" w:color="auto"/>
        <w:right w:val="none" w:sz="0" w:space="0" w:color="auto"/>
      </w:divBdr>
    </w:div>
    <w:div w:id="1968588044">
      <w:bodyDiv w:val="1"/>
      <w:marLeft w:val="0"/>
      <w:marRight w:val="0"/>
      <w:marTop w:val="0"/>
      <w:marBottom w:val="0"/>
      <w:divBdr>
        <w:top w:val="none" w:sz="0" w:space="0" w:color="auto"/>
        <w:left w:val="none" w:sz="0" w:space="0" w:color="auto"/>
        <w:bottom w:val="none" w:sz="0" w:space="0" w:color="auto"/>
        <w:right w:val="none" w:sz="0" w:space="0" w:color="auto"/>
      </w:divBdr>
    </w:div>
    <w:div w:id="1968930435">
      <w:bodyDiv w:val="1"/>
      <w:marLeft w:val="0"/>
      <w:marRight w:val="0"/>
      <w:marTop w:val="0"/>
      <w:marBottom w:val="0"/>
      <w:divBdr>
        <w:top w:val="none" w:sz="0" w:space="0" w:color="auto"/>
        <w:left w:val="none" w:sz="0" w:space="0" w:color="auto"/>
        <w:bottom w:val="none" w:sz="0" w:space="0" w:color="auto"/>
        <w:right w:val="none" w:sz="0" w:space="0" w:color="auto"/>
      </w:divBdr>
    </w:div>
    <w:div w:id="1969119170">
      <w:bodyDiv w:val="1"/>
      <w:marLeft w:val="0"/>
      <w:marRight w:val="0"/>
      <w:marTop w:val="0"/>
      <w:marBottom w:val="0"/>
      <w:divBdr>
        <w:top w:val="none" w:sz="0" w:space="0" w:color="auto"/>
        <w:left w:val="none" w:sz="0" w:space="0" w:color="auto"/>
        <w:bottom w:val="none" w:sz="0" w:space="0" w:color="auto"/>
        <w:right w:val="none" w:sz="0" w:space="0" w:color="auto"/>
      </w:divBdr>
    </w:div>
    <w:div w:id="1969122817">
      <w:bodyDiv w:val="1"/>
      <w:marLeft w:val="0"/>
      <w:marRight w:val="0"/>
      <w:marTop w:val="0"/>
      <w:marBottom w:val="0"/>
      <w:divBdr>
        <w:top w:val="none" w:sz="0" w:space="0" w:color="auto"/>
        <w:left w:val="none" w:sz="0" w:space="0" w:color="auto"/>
        <w:bottom w:val="none" w:sz="0" w:space="0" w:color="auto"/>
        <w:right w:val="none" w:sz="0" w:space="0" w:color="auto"/>
      </w:divBdr>
    </w:div>
    <w:div w:id="1969123546">
      <w:bodyDiv w:val="1"/>
      <w:marLeft w:val="0"/>
      <w:marRight w:val="0"/>
      <w:marTop w:val="0"/>
      <w:marBottom w:val="0"/>
      <w:divBdr>
        <w:top w:val="none" w:sz="0" w:space="0" w:color="auto"/>
        <w:left w:val="none" w:sz="0" w:space="0" w:color="auto"/>
        <w:bottom w:val="none" w:sz="0" w:space="0" w:color="auto"/>
        <w:right w:val="none" w:sz="0" w:space="0" w:color="auto"/>
      </w:divBdr>
    </w:div>
    <w:div w:id="1969123551">
      <w:bodyDiv w:val="1"/>
      <w:marLeft w:val="0"/>
      <w:marRight w:val="0"/>
      <w:marTop w:val="0"/>
      <w:marBottom w:val="0"/>
      <w:divBdr>
        <w:top w:val="none" w:sz="0" w:space="0" w:color="auto"/>
        <w:left w:val="none" w:sz="0" w:space="0" w:color="auto"/>
        <w:bottom w:val="none" w:sz="0" w:space="0" w:color="auto"/>
        <w:right w:val="none" w:sz="0" w:space="0" w:color="auto"/>
      </w:divBdr>
    </w:div>
    <w:div w:id="1969161666">
      <w:bodyDiv w:val="1"/>
      <w:marLeft w:val="0"/>
      <w:marRight w:val="0"/>
      <w:marTop w:val="0"/>
      <w:marBottom w:val="0"/>
      <w:divBdr>
        <w:top w:val="none" w:sz="0" w:space="0" w:color="auto"/>
        <w:left w:val="none" w:sz="0" w:space="0" w:color="auto"/>
        <w:bottom w:val="none" w:sz="0" w:space="0" w:color="auto"/>
        <w:right w:val="none" w:sz="0" w:space="0" w:color="auto"/>
      </w:divBdr>
    </w:div>
    <w:div w:id="1969161962">
      <w:bodyDiv w:val="1"/>
      <w:marLeft w:val="0"/>
      <w:marRight w:val="0"/>
      <w:marTop w:val="0"/>
      <w:marBottom w:val="0"/>
      <w:divBdr>
        <w:top w:val="none" w:sz="0" w:space="0" w:color="auto"/>
        <w:left w:val="none" w:sz="0" w:space="0" w:color="auto"/>
        <w:bottom w:val="none" w:sz="0" w:space="0" w:color="auto"/>
        <w:right w:val="none" w:sz="0" w:space="0" w:color="auto"/>
      </w:divBdr>
    </w:div>
    <w:div w:id="1969166988">
      <w:bodyDiv w:val="1"/>
      <w:marLeft w:val="0"/>
      <w:marRight w:val="0"/>
      <w:marTop w:val="0"/>
      <w:marBottom w:val="0"/>
      <w:divBdr>
        <w:top w:val="none" w:sz="0" w:space="0" w:color="auto"/>
        <w:left w:val="none" w:sz="0" w:space="0" w:color="auto"/>
        <w:bottom w:val="none" w:sz="0" w:space="0" w:color="auto"/>
        <w:right w:val="none" w:sz="0" w:space="0" w:color="auto"/>
      </w:divBdr>
    </w:div>
    <w:div w:id="1969234576">
      <w:bodyDiv w:val="1"/>
      <w:marLeft w:val="0"/>
      <w:marRight w:val="0"/>
      <w:marTop w:val="0"/>
      <w:marBottom w:val="0"/>
      <w:divBdr>
        <w:top w:val="none" w:sz="0" w:space="0" w:color="auto"/>
        <w:left w:val="none" w:sz="0" w:space="0" w:color="auto"/>
        <w:bottom w:val="none" w:sz="0" w:space="0" w:color="auto"/>
        <w:right w:val="none" w:sz="0" w:space="0" w:color="auto"/>
      </w:divBdr>
    </w:div>
    <w:div w:id="1969310976">
      <w:bodyDiv w:val="1"/>
      <w:marLeft w:val="0"/>
      <w:marRight w:val="0"/>
      <w:marTop w:val="0"/>
      <w:marBottom w:val="0"/>
      <w:divBdr>
        <w:top w:val="none" w:sz="0" w:space="0" w:color="auto"/>
        <w:left w:val="none" w:sz="0" w:space="0" w:color="auto"/>
        <w:bottom w:val="none" w:sz="0" w:space="0" w:color="auto"/>
        <w:right w:val="none" w:sz="0" w:space="0" w:color="auto"/>
      </w:divBdr>
    </w:div>
    <w:div w:id="1969503440">
      <w:bodyDiv w:val="1"/>
      <w:marLeft w:val="0"/>
      <w:marRight w:val="0"/>
      <w:marTop w:val="0"/>
      <w:marBottom w:val="0"/>
      <w:divBdr>
        <w:top w:val="none" w:sz="0" w:space="0" w:color="auto"/>
        <w:left w:val="none" w:sz="0" w:space="0" w:color="auto"/>
        <w:bottom w:val="none" w:sz="0" w:space="0" w:color="auto"/>
        <w:right w:val="none" w:sz="0" w:space="0" w:color="auto"/>
      </w:divBdr>
    </w:div>
    <w:div w:id="1969586093">
      <w:bodyDiv w:val="1"/>
      <w:marLeft w:val="0"/>
      <w:marRight w:val="0"/>
      <w:marTop w:val="0"/>
      <w:marBottom w:val="0"/>
      <w:divBdr>
        <w:top w:val="none" w:sz="0" w:space="0" w:color="auto"/>
        <w:left w:val="none" w:sz="0" w:space="0" w:color="auto"/>
        <w:bottom w:val="none" w:sz="0" w:space="0" w:color="auto"/>
        <w:right w:val="none" w:sz="0" w:space="0" w:color="auto"/>
      </w:divBdr>
    </w:div>
    <w:div w:id="1969627673">
      <w:bodyDiv w:val="1"/>
      <w:marLeft w:val="0"/>
      <w:marRight w:val="0"/>
      <w:marTop w:val="0"/>
      <w:marBottom w:val="0"/>
      <w:divBdr>
        <w:top w:val="none" w:sz="0" w:space="0" w:color="auto"/>
        <w:left w:val="none" w:sz="0" w:space="0" w:color="auto"/>
        <w:bottom w:val="none" w:sz="0" w:space="0" w:color="auto"/>
        <w:right w:val="none" w:sz="0" w:space="0" w:color="auto"/>
      </w:divBdr>
    </w:div>
    <w:div w:id="1969773741">
      <w:bodyDiv w:val="1"/>
      <w:marLeft w:val="0"/>
      <w:marRight w:val="0"/>
      <w:marTop w:val="0"/>
      <w:marBottom w:val="0"/>
      <w:divBdr>
        <w:top w:val="none" w:sz="0" w:space="0" w:color="auto"/>
        <w:left w:val="none" w:sz="0" w:space="0" w:color="auto"/>
        <w:bottom w:val="none" w:sz="0" w:space="0" w:color="auto"/>
        <w:right w:val="none" w:sz="0" w:space="0" w:color="auto"/>
      </w:divBdr>
    </w:div>
    <w:div w:id="1969780720">
      <w:bodyDiv w:val="1"/>
      <w:marLeft w:val="0"/>
      <w:marRight w:val="0"/>
      <w:marTop w:val="0"/>
      <w:marBottom w:val="0"/>
      <w:divBdr>
        <w:top w:val="none" w:sz="0" w:space="0" w:color="auto"/>
        <w:left w:val="none" w:sz="0" w:space="0" w:color="auto"/>
        <w:bottom w:val="none" w:sz="0" w:space="0" w:color="auto"/>
        <w:right w:val="none" w:sz="0" w:space="0" w:color="auto"/>
      </w:divBdr>
    </w:div>
    <w:div w:id="1969817469">
      <w:bodyDiv w:val="1"/>
      <w:marLeft w:val="0"/>
      <w:marRight w:val="0"/>
      <w:marTop w:val="0"/>
      <w:marBottom w:val="0"/>
      <w:divBdr>
        <w:top w:val="none" w:sz="0" w:space="0" w:color="auto"/>
        <w:left w:val="none" w:sz="0" w:space="0" w:color="auto"/>
        <w:bottom w:val="none" w:sz="0" w:space="0" w:color="auto"/>
        <w:right w:val="none" w:sz="0" w:space="0" w:color="auto"/>
      </w:divBdr>
    </w:div>
    <w:div w:id="1969820010">
      <w:bodyDiv w:val="1"/>
      <w:marLeft w:val="0"/>
      <w:marRight w:val="0"/>
      <w:marTop w:val="0"/>
      <w:marBottom w:val="0"/>
      <w:divBdr>
        <w:top w:val="none" w:sz="0" w:space="0" w:color="auto"/>
        <w:left w:val="none" w:sz="0" w:space="0" w:color="auto"/>
        <w:bottom w:val="none" w:sz="0" w:space="0" w:color="auto"/>
        <w:right w:val="none" w:sz="0" w:space="0" w:color="auto"/>
      </w:divBdr>
    </w:div>
    <w:div w:id="1969822704">
      <w:bodyDiv w:val="1"/>
      <w:marLeft w:val="0"/>
      <w:marRight w:val="0"/>
      <w:marTop w:val="0"/>
      <w:marBottom w:val="0"/>
      <w:divBdr>
        <w:top w:val="none" w:sz="0" w:space="0" w:color="auto"/>
        <w:left w:val="none" w:sz="0" w:space="0" w:color="auto"/>
        <w:bottom w:val="none" w:sz="0" w:space="0" w:color="auto"/>
        <w:right w:val="none" w:sz="0" w:space="0" w:color="auto"/>
      </w:divBdr>
    </w:div>
    <w:div w:id="1969822851">
      <w:bodyDiv w:val="1"/>
      <w:marLeft w:val="0"/>
      <w:marRight w:val="0"/>
      <w:marTop w:val="0"/>
      <w:marBottom w:val="0"/>
      <w:divBdr>
        <w:top w:val="none" w:sz="0" w:space="0" w:color="auto"/>
        <w:left w:val="none" w:sz="0" w:space="0" w:color="auto"/>
        <w:bottom w:val="none" w:sz="0" w:space="0" w:color="auto"/>
        <w:right w:val="none" w:sz="0" w:space="0" w:color="auto"/>
      </w:divBdr>
    </w:div>
    <w:div w:id="1969894556">
      <w:bodyDiv w:val="1"/>
      <w:marLeft w:val="0"/>
      <w:marRight w:val="0"/>
      <w:marTop w:val="0"/>
      <w:marBottom w:val="0"/>
      <w:divBdr>
        <w:top w:val="none" w:sz="0" w:space="0" w:color="auto"/>
        <w:left w:val="none" w:sz="0" w:space="0" w:color="auto"/>
        <w:bottom w:val="none" w:sz="0" w:space="0" w:color="auto"/>
        <w:right w:val="none" w:sz="0" w:space="0" w:color="auto"/>
      </w:divBdr>
    </w:div>
    <w:div w:id="1970043094">
      <w:bodyDiv w:val="1"/>
      <w:marLeft w:val="0"/>
      <w:marRight w:val="0"/>
      <w:marTop w:val="0"/>
      <w:marBottom w:val="0"/>
      <w:divBdr>
        <w:top w:val="none" w:sz="0" w:space="0" w:color="auto"/>
        <w:left w:val="none" w:sz="0" w:space="0" w:color="auto"/>
        <w:bottom w:val="none" w:sz="0" w:space="0" w:color="auto"/>
        <w:right w:val="none" w:sz="0" w:space="0" w:color="auto"/>
      </w:divBdr>
    </w:div>
    <w:div w:id="1970161807">
      <w:bodyDiv w:val="1"/>
      <w:marLeft w:val="0"/>
      <w:marRight w:val="0"/>
      <w:marTop w:val="0"/>
      <w:marBottom w:val="0"/>
      <w:divBdr>
        <w:top w:val="none" w:sz="0" w:space="0" w:color="auto"/>
        <w:left w:val="none" w:sz="0" w:space="0" w:color="auto"/>
        <w:bottom w:val="none" w:sz="0" w:space="0" w:color="auto"/>
        <w:right w:val="none" w:sz="0" w:space="0" w:color="auto"/>
      </w:divBdr>
    </w:div>
    <w:div w:id="1970166431">
      <w:bodyDiv w:val="1"/>
      <w:marLeft w:val="0"/>
      <w:marRight w:val="0"/>
      <w:marTop w:val="0"/>
      <w:marBottom w:val="0"/>
      <w:divBdr>
        <w:top w:val="none" w:sz="0" w:space="0" w:color="auto"/>
        <w:left w:val="none" w:sz="0" w:space="0" w:color="auto"/>
        <w:bottom w:val="none" w:sz="0" w:space="0" w:color="auto"/>
        <w:right w:val="none" w:sz="0" w:space="0" w:color="auto"/>
      </w:divBdr>
    </w:div>
    <w:div w:id="1970236066">
      <w:bodyDiv w:val="1"/>
      <w:marLeft w:val="0"/>
      <w:marRight w:val="0"/>
      <w:marTop w:val="0"/>
      <w:marBottom w:val="0"/>
      <w:divBdr>
        <w:top w:val="none" w:sz="0" w:space="0" w:color="auto"/>
        <w:left w:val="none" w:sz="0" w:space="0" w:color="auto"/>
        <w:bottom w:val="none" w:sz="0" w:space="0" w:color="auto"/>
        <w:right w:val="none" w:sz="0" w:space="0" w:color="auto"/>
      </w:divBdr>
    </w:div>
    <w:div w:id="1970281197">
      <w:bodyDiv w:val="1"/>
      <w:marLeft w:val="0"/>
      <w:marRight w:val="0"/>
      <w:marTop w:val="0"/>
      <w:marBottom w:val="0"/>
      <w:divBdr>
        <w:top w:val="none" w:sz="0" w:space="0" w:color="auto"/>
        <w:left w:val="none" w:sz="0" w:space="0" w:color="auto"/>
        <w:bottom w:val="none" w:sz="0" w:space="0" w:color="auto"/>
        <w:right w:val="none" w:sz="0" w:space="0" w:color="auto"/>
      </w:divBdr>
    </w:div>
    <w:div w:id="1970284006">
      <w:bodyDiv w:val="1"/>
      <w:marLeft w:val="0"/>
      <w:marRight w:val="0"/>
      <w:marTop w:val="0"/>
      <w:marBottom w:val="0"/>
      <w:divBdr>
        <w:top w:val="none" w:sz="0" w:space="0" w:color="auto"/>
        <w:left w:val="none" w:sz="0" w:space="0" w:color="auto"/>
        <w:bottom w:val="none" w:sz="0" w:space="0" w:color="auto"/>
        <w:right w:val="none" w:sz="0" w:space="0" w:color="auto"/>
      </w:divBdr>
    </w:div>
    <w:div w:id="1970358873">
      <w:bodyDiv w:val="1"/>
      <w:marLeft w:val="0"/>
      <w:marRight w:val="0"/>
      <w:marTop w:val="0"/>
      <w:marBottom w:val="0"/>
      <w:divBdr>
        <w:top w:val="none" w:sz="0" w:space="0" w:color="auto"/>
        <w:left w:val="none" w:sz="0" w:space="0" w:color="auto"/>
        <w:bottom w:val="none" w:sz="0" w:space="0" w:color="auto"/>
        <w:right w:val="none" w:sz="0" w:space="0" w:color="auto"/>
      </w:divBdr>
    </w:div>
    <w:div w:id="1970427656">
      <w:bodyDiv w:val="1"/>
      <w:marLeft w:val="0"/>
      <w:marRight w:val="0"/>
      <w:marTop w:val="0"/>
      <w:marBottom w:val="0"/>
      <w:divBdr>
        <w:top w:val="none" w:sz="0" w:space="0" w:color="auto"/>
        <w:left w:val="none" w:sz="0" w:space="0" w:color="auto"/>
        <w:bottom w:val="none" w:sz="0" w:space="0" w:color="auto"/>
        <w:right w:val="none" w:sz="0" w:space="0" w:color="auto"/>
      </w:divBdr>
    </w:div>
    <w:div w:id="1970430384">
      <w:bodyDiv w:val="1"/>
      <w:marLeft w:val="0"/>
      <w:marRight w:val="0"/>
      <w:marTop w:val="0"/>
      <w:marBottom w:val="0"/>
      <w:divBdr>
        <w:top w:val="none" w:sz="0" w:space="0" w:color="auto"/>
        <w:left w:val="none" w:sz="0" w:space="0" w:color="auto"/>
        <w:bottom w:val="none" w:sz="0" w:space="0" w:color="auto"/>
        <w:right w:val="none" w:sz="0" w:space="0" w:color="auto"/>
      </w:divBdr>
    </w:div>
    <w:div w:id="1970436142">
      <w:bodyDiv w:val="1"/>
      <w:marLeft w:val="0"/>
      <w:marRight w:val="0"/>
      <w:marTop w:val="0"/>
      <w:marBottom w:val="0"/>
      <w:divBdr>
        <w:top w:val="none" w:sz="0" w:space="0" w:color="auto"/>
        <w:left w:val="none" w:sz="0" w:space="0" w:color="auto"/>
        <w:bottom w:val="none" w:sz="0" w:space="0" w:color="auto"/>
        <w:right w:val="none" w:sz="0" w:space="0" w:color="auto"/>
      </w:divBdr>
    </w:div>
    <w:div w:id="1970476872">
      <w:bodyDiv w:val="1"/>
      <w:marLeft w:val="0"/>
      <w:marRight w:val="0"/>
      <w:marTop w:val="0"/>
      <w:marBottom w:val="0"/>
      <w:divBdr>
        <w:top w:val="none" w:sz="0" w:space="0" w:color="auto"/>
        <w:left w:val="none" w:sz="0" w:space="0" w:color="auto"/>
        <w:bottom w:val="none" w:sz="0" w:space="0" w:color="auto"/>
        <w:right w:val="none" w:sz="0" w:space="0" w:color="auto"/>
      </w:divBdr>
    </w:div>
    <w:div w:id="1970621532">
      <w:bodyDiv w:val="1"/>
      <w:marLeft w:val="0"/>
      <w:marRight w:val="0"/>
      <w:marTop w:val="0"/>
      <w:marBottom w:val="0"/>
      <w:divBdr>
        <w:top w:val="none" w:sz="0" w:space="0" w:color="auto"/>
        <w:left w:val="none" w:sz="0" w:space="0" w:color="auto"/>
        <w:bottom w:val="none" w:sz="0" w:space="0" w:color="auto"/>
        <w:right w:val="none" w:sz="0" w:space="0" w:color="auto"/>
      </w:divBdr>
    </w:div>
    <w:div w:id="1970738646">
      <w:bodyDiv w:val="1"/>
      <w:marLeft w:val="0"/>
      <w:marRight w:val="0"/>
      <w:marTop w:val="0"/>
      <w:marBottom w:val="0"/>
      <w:divBdr>
        <w:top w:val="none" w:sz="0" w:space="0" w:color="auto"/>
        <w:left w:val="none" w:sz="0" w:space="0" w:color="auto"/>
        <w:bottom w:val="none" w:sz="0" w:space="0" w:color="auto"/>
        <w:right w:val="none" w:sz="0" w:space="0" w:color="auto"/>
      </w:divBdr>
    </w:div>
    <w:div w:id="1970739010">
      <w:bodyDiv w:val="1"/>
      <w:marLeft w:val="0"/>
      <w:marRight w:val="0"/>
      <w:marTop w:val="0"/>
      <w:marBottom w:val="0"/>
      <w:divBdr>
        <w:top w:val="none" w:sz="0" w:space="0" w:color="auto"/>
        <w:left w:val="none" w:sz="0" w:space="0" w:color="auto"/>
        <w:bottom w:val="none" w:sz="0" w:space="0" w:color="auto"/>
        <w:right w:val="none" w:sz="0" w:space="0" w:color="auto"/>
      </w:divBdr>
    </w:div>
    <w:div w:id="1970815953">
      <w:bodyDiv w:val="1"/>
      <w:marLeft w:val="0"/>
      <w:marRight w:val="0"/>
      <w:marTop w:val="0"/>
      <w:marBottom w:val="0"/>
      <w:divBdr>
        <w:top w:val="none" w:sz="0" w:space="0" w:color="auto"/>
        <w:left w:val="none" w:sz="0" w:space="0" w:color="auto"/>
        <w:bottom w:val="none" w:sz="0" w:space="0" w:color="auto"/>
        <w:right w:val="none" w:sz="0" w:space="0" w:color="auto"/>
      </w:divBdr>
    </w:div>
    <w:div w:id="1970821448">
      <w:bodyDiv w:val="1"/>
      <w:marLeft w:val="0"/>
      <w:marRight w:val="0"/>
      <w:marTop w:val="0"/>
      <w:marBottom w:val="0"/>
      <w:divBdr>
        <w:top w:val="none" w:sz="0" w:space="0" w:color="auto"/>
        <w:left w:val="none" w:sz="0" w:space="0" w:color="auto"/>
        <w:bottom w:val="none" w:sz="0" w:space="0" w:color="auto"/>
        <w:right w:val="none" w:sz="0" w:space="0" w:color="auto"/>
      </w:divBdr>
    </w:div>
    <w:div w:id="1970931663">
      <w:bodyDiv w:val="1"/>
      <w:marLeft w:val="0"/>
      <w:marRight w:val="0"/>
      <w:marTop w:val="0"/>
      <w:marBottom w:val="0"/>
      <w:divBdr>
        <w:top w:val="none" w:sz="0" w:space="0" w:color="auto"/>
        <w:left w:val="none" w:sz="0" w:space="0" w:color="auto"/>
        <w:bottom w:val="none" w:sz="0" w:space="0" w:color="auto"/>
        <w:right w:val="none" w:sz="0" w:space="0" w:color="auto"/>
      </w:divBdr>
    </w:div>
    <w:div w:id="1970933196">
      <w:bodyDiv w:val="1"/>
      <w:marLeft w:val="0"/>
      <w:marRight w:val="0"/>
      <w:marTop w:val="0"/>
      <w:marBottom w:val="0"/>
      <w:divBdr>
        <w:top w:val="none" w:sz="0" w:space="0" w:color="auto"/>
        <w:left w:val="none" w:sz="0" w:space="0" w:color="auto"/>
        <w:bottom w:val="none" w:sz="0" w:space="0" w:color="auto"/>
        <w:right w:val="none" w:sz="0" w:space="0" w:color="auto"/>
      </w:divBdr>
    </w:div>
    <w:div w:id="1971008154">
      <w:bodyDiv w:val="1"/>
      <w:marLeft w:val="0"/>
      <w:marRight w:val="0"/>
      <w:marTop w:val="0"/>
      <w:marBottom w:val="0"/>
      <w:divBdr>
        <w:top w:val="none" w:sz="0" w:space="0" w:color="auto"/>
        <w:left w:val="none" w:sz="0" w:space="0" w:color="auto"/>
        <w:bottom w:val="none" w:sz="0" w:space="0" w:color="auto"/>
        <w:right w:val="none" w:sz="0" w:space="0" w:color="auto"/>
      </w:divBdr>
    </w:div>
    <w:div w:id="1971008959">
      <w:bodyDiv w:val="1"/>
      <w:marLeft w:val="0"/>
      <w:marRight w:val="0"/>
      <w:marTop w:val="0"/>
      <w:marBottom w:val="0"/>
      <w:divBdr>
        <w:top w:val="none" w:sz="0" w:space="0" w:color="auto"/>
        <w:left w:val="none" w:sz="0" w:space="0" w:color="auto"/>
        <w:bottom w:val="none" w:sz="0" w:space="0" w:color="auto"/>
        <w:right w:val="none" w:sz="0" w:space="0" w:color="auto"/>
      </w:divBdr>
    </w:div>
    <w:div w:id="1971131333">
      <w:bodyDiv w:val="1"/>
      <w:marLeft w:val="0"/>
      <w:marRight w:val="0"/>
      <w:marTop w:val="0"/>
      <w:marBottom w:val="0"/>
      <w:divBdr>
        <w:top w:val="none" w:sz="0" w:space="0" w:color="auto"/>
        <w:left w:val="none" w:sz="0" w:space="0" w:color="auto"/>
        <w:bottom w:val="none" w:sz="0" w:space="0" w:color="auto"/>
        <w:right w:val="none" w:sz="0" w:space="0" w:color="auto"/>
      </w:divBdr>
    </w:div>
    <w:div w:id="1971206605">
      <w:bodyDiv w:val="1"/>
      <w:marLeft w:val="0"/>
      <w:marRight w:val="0"/>
      <w:marTop w:val="0"/>
      <w:marBottom w:val="0"/>
      <w:divBdr>
        <w:top w:val="none" w:sz="0" w:space="0" w:color="auto"/>
        <w:left w:val="none" w:sz="0" w:space="0" w:color="auto"/>
        <w:bottom w:val="none" w:sz="0" w:space="0" w:color="auto"/>
        <w:right w:val="none" w:sz="0" w:space="0" w:color="auto"/>
      </w:divBdr>
    </w:div>
    <w:div w:id="1971275632">
      <w:bodyDiv w:val="1"/>
      <w:marLeft w:val="0"/>
      <w:marRight w:val="0"/>
      <w:marTop w:val="0"/>
      <w:marBottom w:val="0"/>
      <w:divBdr>
        <w:top w:val="none" w:sz="0" w:space="0" w:color="auto"/>
        <w:left w:val="none" w:sz="0" w:space="0" w:color="auto"/>
        <w:bottom w:val="none" w:sz="0" w:space="0" w:color="auto"/>
        <w:right w:val="none" w:sz="0" w:space="0" w:color="auto"/>
      </w:divBdr>
    </w:div>
    <w:div w:id="1971277788">
      <w:bodyDiv w:val="1"/>
      <w:marLeft w:val="0"/>
      <w:marRight w:val="0"/>
      <w:marTop w:val="0"/>
      <w:marBottom w:val="0"/>
      <w:divBdr>
        <w:top w:val="none" w:sz="0" w:space="0" w:color="auto"/>
        <w:left w:val="none" w:sz="0" w:space="0" w:color="auto"/>
        <w:bottom w:val="none" w:sz="0" w:space="0" w:color="auto"/>
        <w:right w:val="none" w:sz="0" w:space="0" w:color="auto"/>
      </w:divBdr>
    </w:div>
    <w:div w:id="1971283532">
      <w:bodyDiv w:val="1"/>
      <w:marLeft w:val="0"/>
      <w:marRight w:val="0"/>
      <w:marTop w:val="0"/>
      <w:marBottom w:val="0"/>
      <w:divBdr>
        <w:top w:val="none" w:sz="0" w:space="0" w:color="auto"/>
        <w:left w:val="none" w:sz="0" w:space="0" w:color="auto"/>
        <w:bottom w:val="none" w:sz="0" w:space="0" w:color="auto"/>
        <w:right w:val="none" w:sz="0" w:space="0" w:color="auto"/>
      </w:divBdr>
    </w:div>
    <w:div w:id="1971396209">
      <w:bodyDiv w:val="1"/>
      <w:marLeft w:val="0"/>
      <w:marRight w:val="0"/>
      <w:marTop w:val="0"/>
      <w:marBottom w:val="0"/>
      <w:divBdr>
        <w:top w:val="none" w:sz="0" w:space="0" w:color="auto"/>
        <w:left w:val="none" w:sz="0" w:space="0" w:color="auto"/>
        <w:bottom w:val="none" w:sz="0" w:space="0" w:color="auto"/>
        <w:right w:val="none" w:sz="0" w:space="0" w:color="auto"/>
      </w:divBdr>
    </w:div>
    <w:div w:id="1971472484">
      <w:bodyDiv w:val="1"/>
      <w:marLeft w:val="0"/>
      <w:marRight w:val="0"/>
      <w:marTop w:val="0"/>
      <w:marBottom w:val="0"/>
      <w:divBdr>
        <w:top w:val="none" w:sz="0" w:space="0" w:color="auto"/>
        <w:left w:val="none" w:sz="0" w:space="0" w:color="auto"/>
        <w:bottom w:val="none" w:sz="0" w:space="0" w:color="auto"/>
        <w:right w:val="none" w:sz="0" w:space="0" w:color="auto"/>
      </w:divBdr>
    </w:div>
    <w:div w:id="1971667336">
      <w:bodyDiv w:val="1"/>
      <w:marLeft w:val="0"/>
      <w:marRight w:val="0"/>
      <w:marTop w:val="0"/>
      <w:marBottom w:val="0"/>
      <w:divBdr>
        <w:top w:val="none" w:sz="0" w:space="0" w:color="auto"/>
        <w:left w:val="none" w:sz="0" w:space="0" w:color="auto"/>
        <w:bottom w:val="none" w:sz="0" w:space="0" w:color="auto"/>
        <w:right w:val="none" w:sz="0" w:space="0" w:color="auto"/>
      </w:divBdr>
    </w:div>
    <w:div w:id="1971671205">
      <w:bodyDiv w:val="1"/>
      <w:marLeft w:val="0"/>
      <w:marRight w:val="0"/>
      <w:marTop w:val="0"/>
      <w:marBottom w:val="0"/>
      <w:divBdr>
        <w:top w:val="none" w:sz="0" w:space="0" w:color="auto"/>
        <w:left w:val="none" w:sz="0" w:space="0" w:color="auto"/>
        <w:bottom w:val="none" w:sz="0" w:space="0" w:color="auto"/>
        <w:right w:val="none" w:sz="0" w:space="0" w:color="auto"/>
      </w:divBdr>
    </w:div>
    <w:div w:id="1971739437">
      <w:bodyDiv w:val="1"/>
      <w:marLeft w:val="0"/>
      <w:marRight w:val="0"/>
      <w:marTop w:val="0"/>
      <w:marBottom w:val="0"/>
      <w:divBdr>
        <w:top w:val="none" w:sz="0" w:space="0" w:color="auto"/>
        <w:left w:val="none" w:sz="0" w:space="0" w:color="auto"/>
        <w:bottom w:val="none" w:sz="0" w:space="0" w:color="auto"/>
        <w:right w:val="none" w:sz="0" w:space="0" w:color="auto"/>
      </w:divBdr>
    </w:div>
    <w:div w:id="1971788982">
      <w:bodyDiv w:val="1"/>
      <w:marLeft w:val="0"/>
      <w:marRight w:val="0"/>
      <w:marTop w:val="0"/>
      <w:marBottom w:val="0"/>
      <w:divBdr>
        <w:top w:val="none" w:sz="0" w:space="0" w:color="auto"/>
        <w:left w:val="none" w:sz="0" w:space="0" w:color="auto"/>
        <w:bottom w:val="none" w:sz="0" w:space="0" w:color="auto"/>
        <w:right w:val="none" w:sz="0" w:space="0" w:color="auto"/>
      </w:divBdr>
    </w:div>
    <w:div w:id="1971861080">
      <w:bodyDiv w:val="1"/>
      <w:marLeft w:val="0"/>
      <w:marRight w:val="0"/>
      <w:marTop w:val="0"/>
      <w:marBottom w:val="0"/>
      <w:divBdr>
        <w:top w:val="none" w:sz="0" w:space="0" w:color="auto"/>
        <w:left w:val="none" w:sz="0" w:space="0" w:color="auto"/>
        <w:bottom w:val="none" w:sz="0" w:space="0" w:color="auto"/>
        <w:right w:val="none" w:sz="0" w:space="0" w:color="auto"/>
      </w:divBdr>
    </w:div>
    <w:div w:id="1971864070">
      <w:bodyDiv w:val="1"/>
      <w:marLeft w:val="0"/>
      <w:marRight w:val="0"/>
      <w:marTop w:val="0"/>
      <w:marBottom w:val="0"/>
      <w:divBdr>
        <w:top w:val="none" w:sz="0" w:space="0" w:color="auto"/>
        <w:left w:val="none" w:sz="0" w:space="0" w:color="auto"/>
        <w:bottom w:val="none" w:sz="0" w:space="0" w:color="auto"/>
        <w:right w:val="none" w:sz="0" w:space="0" w:color="auto"/>
      </w:divBdr>
    </w:div>
    <w:div w:id="1971983102">
      <w:bodyDiv w:val="1"/>
      <w:marLeft w:val="0"/>
      <w:marRight w:val="0"/>
      <w:marTop w:val="0"/>
      <w:marBottom w:val="0"/>
      <w:divBdr>
        <w:top w:val="none" w:sz="0" w:space="0" w:color="auto"/>
        <w:left w:val="none" w:sz="0" w:space="0" w:color="auto"/>
        <w:bottom w:val="none" w:sz="0" w:space="0" w:color="auto"/>
        <w:right w:val="none" w:sz="0" w:space="0" w:color="auto"/>
      </w:divBdr>
    </w:div>
    <w:div w:id="1972049499">
      <w:bodyDiv w:val="1"/>
      <w:marLeft w:val="0"/>
      <w:marRight w:val="0"/>
      <w:marTop w:val="0"/>
      <w:marBottom w:val="0"/>
      <w:divBdr>
        <w:top w:val="none" w:sz="0" w:space="0" w:color="auto"/>
        <w:left w:val="none" w:sz="0" w:space="0" w:color="auto"/>
        <w:bottom w:val="none" w:sz="0" w:space="0" w:color="auto"/>
        <w:right w:val="none" w:sz="0" w:space="0" w:color="auto"/>
      </w:divBdr>
    </w:div>
    <w:div w:id="1972049881">
      <w:bodyDiv w:val="1"/>
      <w:marLeft w:val="0"/>
      <w:marRight w:val="0"/>
      <w:marTop w:val="0"/>
      <w:marBottom w:val="0"/>
      <w:divBdr>
        <w:top w:val="none" w:sz="0" w:space="0" w:color="auto"/>
        <w:left w:val="none" w:sz="0" w:space="0" w:color="auto"/>
        <w:bottom w:val="none" w:sz="0" w:space="0" w:color="auto"/>
        <w:right w:val="none" w:sz="0" w:space="0" w:color="auto"/>
      </w:divBdr>
    </w:div>
    <w:div w:id="1972127005">
      <w:bodyDiv w:val="1"/>
      <w:marLeft w:val="0"/>
      <w:marRight w:val="0"/>
      <w:marTop w:val="0"/>
      <w:marBottom w:val="0"/>
      <w:divBdr>
        <w:top w:val="none" w:sz="0" w:space="0" w:color="auto"/>
        <w:left w:val="none" w:sz="0" w:space="0" w:color="auto"/>
        <w:bottom w:val="none" w:sz="0" w:space="0" w:color="auto"/>
        <w:right w:val="none" w:sz="0" w:space="0" w:color="auto"/>
      </w:divBdr>
    </w:div>
    <w:div w:id="1972127586">
      <w:bodyDiv w:val="1"/>
      <w:marLeft w:val="0"/>
      <w:marRight w:val="0"/>
      <w:marTop w:val="0"/>
      <w:marBottom w:val="0"/>
      <w:divBdr>
        <w:top w:val="none" w:sz="0" w:space="0" w:color="auto"/>
        <w:left w:val="none" w:sz="0" w:space="0" w:color="auto"/>
        <w:bottom w:val="none" w:sz="0" w:space="0" w:color="auto"/>
        <w:right w:val="none" w:sz="0" w:space="0" w:color="auto"/>
      </w:divBdr>
    </w:div>
    <w:div w:id="1972321908">
      <w:bodyDiv w:val="1"/>
      <w:marLeft w:val="0"/>
      <w:marRight w:val="0"/>
      <w:marTop w:val="0"/>
      <w:marBottom w:val="0"/>
      <w:divBdr>
        <w:top w:val="none" w:sz="0" w:space="0" w:color="auto"/>
        <w:left w:val="none" w:sz="0" w:space="0" w:color="auto"/>
        <w:bottom w:val="none" w:sz="0" w:space="0" w:color="auto"/>
        <w:right w:val="none" w:sz="0" w:space="0" w:color="auto"/>
      </w:divBdr>
    </w:div>
    <w:div w:id="1972326748">
      <w:bodyDiv w:val="1"/>
      <w:marLeft w:val="0"/>
      <w:marRight w:val="0"/>
      <w:marTop w:val="0"/>
      <w:marBottom w:val="0"/>
      <w:divBdr>
        <w:top w:val="none" w:sz="0" w:space="0" w:color="auto"/>
        <w:left w:val="none" w:sz="0" w:space="0" w:color="auto"/>
        <w:bottom w:val="none" w:sz="0" w:space="0" w:color="auto"/>
        <w:right w:val="none" w:sz="0" w:space="0" w:color="auto"/>
      </w:divBdr>
    </w:div>
    <w:div w:id="1972514776">
      <w:bodyDiv w:val="1"/>
      <w:marLeft w:val="0"/>
      <w:marRight w:val="0"/>
      <w:marTop w:val="0"/>
      <w:marBottom w:val="0"/>
      <w:divBdr>
        <w:top w:val="none" w:sz="0" w:space="0" w:color="auto"/>
        <w:left w:val="none" w:sz="0" w:space="0" w:color="auto"/>
        <w:bottom w:val="none" w:sz="0" w:space="0" w:color="auto"/>
        <w:right w:val="none" w:sz="0" w:space="0" w:color="auto"/>
      </w:divBdr>
    </w:div>
    <w:div w:id="1972589788">
      <w:bodyDiv w:val="1"/>
      <w:marLeft w:val="0"/>
      <w:marRight w:val="0"/>
      <w:marTop w:val="0"/>
      <w:marBottom w:val="0"/>
      <w:divBdr>
        <w:top w:val="none" w:sz="0" w:space="0" w:color="auto"/>
        <w:left w:val="none" w:sz="0" w:space="0" w:color="auto"/>
        <w:bottom w:val="none" w:sz="0" w:space="0" w:color="auto"/>
        <w:right w:val="none" w:sz="0" w:space="0" w:color="auto"/>
      </w:divBdr>
    </w:div>
    <w:div w:id="1972637999">
      <w:bodyDiv w:val="1"/>
      <w:marLeft w:val="0"/>
      <w:marRight w:val="0"/>
      <w:marTop w:val="0"/>
      <w:marBottom w:val="0"/>
      <w:divBdr>
        <w:top w:val="none" w:sz="0" w:space="0" w:color="auto"/>
        <w:left w:val="none" w:sz="0" w:space="0" w:color="auto"/>
        <w:bottom w:val="none" w:sz="0" w:space="0" w:color="auto"/>
        <w:right w:val="none" w:sz="0" w:space="0" w:color="auto"/>
      </w:divBdr>
    </w:div>
    <w:div w:id="1972664060">
      <w:bodyDiv w:val="1"/>
      <w:marLeft w:val="0"/>
      <w:marRight w:val="0"/>
      <w:marTop w:val="0"/>
      <w:marBottom w:val="0"/>
      <w:divBdr>
        <w:top w:val="none" w:sz="0" w:space="0" w:color="auto"/>
        <w:left w:val="none" w:sz="0" w:space="0" w:color="auto"/>
        <w:bottom w:val="none" w:sz="0" w:space="0" w:color="auto"/>
        <w:right w:val="none" w:sz="0" w:space="0" w:color="auto"/>
      </w:divBdr>
    </w:div>
    <w:div w:id="1972665902">
      <w:bodyDiv w:val="1"/>
      <w:marLeft w:val="0"/>
      <w:marRight w:val="0"/>
      <w:marTop w:val="0"/>
      <w:marBottom w:val="0"/>
      <w:divBdr>
        <w:top w:val="none" w:sz="0" w:space="0" w:color="auto"/>
        <w:left w:val="none" w:sz="0" w:space="0" w:color="auto"/>
        <w:bottom w:val="none" w:sz="0" w:space="0" w:color="auto"/>
        <w:right w:val="none" w:sz="0" w:space="0" w:color="auto"/>
      </w:divBdr>
    </w:div>
    <w:div w:id="1972858625">
      <w:bodyDiv w:val="1"/>
      <w:marLeft w:val="0"/>
      <w:marRight w:val="0"/>
      <w:marTop w:val="0"/>
      <w:marBottom w:val="0"/>
      <w:divBdr>
        <w:top w:val="none" w:sz="0" w:space="0" w:color="auto"/>
        <w:left w:val="none" w:sz="0" w:space="0" w:color="auto"/>
        <w:bottom w:val="none" w:sz="0" w:space="0" w:color="auto"/>
        <w:right w:val="none" w:sz="0" w:space="0" w:color="auto"/>
      </w:divBdr>
    </w:div>
    <w:div w:id="1972898301">
      <w:bodyDiv w:val="1"/>
      <w:marLeft w:val="0"/>
      <w:marRight w:val="0"/>
      <w:marTop w:val="0"/>
      <w:marBottom w:val="0"/>
      <w:divBdr>
        <w:top w:val="none" w:sz="0" w:space="0" w:color="auto"/>
        <w:left w:val="none" w:sz="0" w:space="0" w:color="auto"/>
        <w:bottom w:val="none" w:sz="0" w:space="0" w:color="auto"/>
        <w:right w:val="none" w:sz="0" w:space="0" w:color="auto"/>
      </w:divBdr>
    </w:div>
    <w:div w:id="1972973661">
      <w:bodyDiv w:val="1"/>
      <w:marLeft w:val="0"/>
      <w:marRight w:val="0"/>
      <w:marTop w:val="0"/>
      <w:marBottom w:val="0"/>
      <w:divBdr>
        <w:top w:val="none" w:sz="0" w:space="0" w:color="auto"/>
        <w:left w:val="none" w:sz="0" w:space="0" w:color="auto"/>
        <w:bottom w:val="none" w:sz="0" w:space="0" w:color="auto"/>
        <w:right w:val="none" w:sz="0" w:space="0" w:color="auto"/>
      </w:divBdr>
    </w:div>
    <w:div w:id="1972974564">
      <w:bodyDiv w:val="1"/>
      <w:marLeft w:val="0"/>
      <w:marRight w:val="0"/>
      <w:marTop w:val="0"/>
      <w:marBottom w:val="0"/>
      <w:divBdr>
        <w:top w:val="none" w:sz="0" w:space="0" w:color="auto"/>
        <w:left w:val="none" w:sz="0" w:space="0" w:color="auto"/>
        <w:bottom w:val="none" w:sz="0" w:space="0" w:color="auto"/>
        <w:right w:val="none" w:sz="0" w:space="0" w:color="auto"/>
      </w:divBdr>
    </w:div>
    <w:div w:id="1973048883">
      <w:bodyDiv w:val="1"/>
      <w:marLeft w:val="0"/>
      <w:marRight w:val="0"/>
      <w:marTop w:val="0"/>
      <w:marBottom w:val="0"/>
      <w:divBdr>
        <w:top w:val="none" w:sz="0" w:space="0" w:color="auto"/>
        <w:left w:val="none" w:sz="0" w:space="0" w:color="auto"/>
        <w:bottom w:val="none" w:sz="0" w:space="0" w:color="auto"/>
        <w:right w:val="none" w:sz="0" w:space="0" w:color="auto"/>
      </w:divBdr>
    </w:div>
    <w:div w:id="1973049643">
      <w:bodyDiv w:val="1"/>
      <w:marLeft w:val="0"/>
      <w:marRight w:val="0"/>
      <w:marTop w:val="0"/>
      <w:marBottom w:val="0"/>
      <w:divBdr>
        <w:top w:val="none" w:sz="0" w:space="0" w:color="auto"/>
        <w:left w:val="none" w:sz="0" w:space="0" w:color="auto"/>
        <w:bottom w:val="none" w:sz="0" w:space="0" w:color="auto"/>
        <w:right w:val="none" w:sz="0" w:space="0" w:color="auto"/>
      </w:divBdr>
    </w:div>
    <w:div w:id="1973052530">
      <w:bodyDiv w:val="1"/>
      <w:marLeft w:val="0"/>
      <w:marRight w:val="0"/>
      <w:marTop w:val="0"/>
      <w:marBottom w:val="0"/>
      <w:divBdr>
        <w:top w:val="none" w:sz="0" w:space="0" w:color="auto"/>
        <w:left w:val="none" w:sz="0" w:space="0" w:color="auto"/>
        <w:bottom w:val="none" w:sz="0" w:space="0" w:color="auto"/>
        <w:right w:val="none" w:sz="0" w:space="0" w:color="auto"/>
      </w:divBdr>
    </w:div>
    <w:div w:id="1973169600">
      <w:bodyDiv w:val="1"/>
      <w:marLeft w:val="0"/>
      <w:marRight w:val="0"/>
      <w:marTop w:val="0"/>
      <w:marBottom w:val="0"/>
      <w:divBdr>
        <w:top w:val="none" w:sz="0" w:space="0" w:color="auto"/>
        <w:left w:val="none" w:sz="0" w:space="0" w:color="auto"/>
        <w:bottom w:val="none" w:sz="0" w:space="0" w:color="auto"/>
        <w:right w:val="none" w:sz="0" w:space="0" w:color="auto"/>
      </w:divBdr>
    </w:div>
    <w:div w:id="1973289248">
      <w:bodyDiv w:val="1"/>
      <w:marLeft w:val="0"/>
      <w:marRight w:val="0"/>
      <w:marTop w:val="0"/>
      <w:marBottom w:val="0"/>
      <w:divBdr>
        <w:top w:val="none" w:sz="0" w:space="0" w:color="auto"/>
        <w:left w:val="none" w:sz="0" w:space="0" w:color="auto"/>
        <w:bottom w:val="none" w:sz="0" w:space="0" w:color="auto"/>
        <w:right w:val="none" w:sz="0" w:space="0" w:color="auto"/>
      </w:divBdr>
    </w:div>
    <w:div w:id="1973363640">
      <w:bodyDiv w:val="1"/>
      <w:marLeft w:val="0"/>
      <w:marRight w:val="0"/>
      <w:marTop w:val="0"/>
      <w:marBottom w:val="0"/>
      <w:divBdr>
        <w:top w:val="none" w:sz="0" w:space="0" w:color="auto"/>
        <w:left w:val="none" w:sz="0" w:space="0" w:color="auto"/>
        <w:bottom w:val="none" w:sz="0" w:space="0" w:color="auto"/>
        <w:right w:val="none" w:sz="0" w:space="0" w:color="auto"/>
      </w:divBdr>
    </w:div>
    <w:div w:id="1973434959">
      <w:bodyDiv w:val="1"/>
      <w:marLeft w:val="0"/>
      <w:marRight w:val="0"/>
      <w:marTop w:val="0"/>
      <w:marBottom w:val="0"/>
      <w:divBdr>
        <w:top w:val="none" w:sz="0" w:space="0" w:color="auto"/>
        <w:left w:val="none" w:sz="0" w:space="0" w:color="auto"/>
        <w:bottom w:val="none" w:sz="0" w:space="0" w:color="auto"/>
        <w:right w:val="none" w:sz="0" w:space="0" w:color="auto"/>
      </w:divBdr>
    </w:div>
    <w:div w:id="1973435084">
      <w:bodyDiv w:val="1"/>
      <w:marLeft w:val="0"/>
      <w:marRight w:val="0"/>
      <w:marTop w:val="0"/>
      <w:marBottom w:val="0"/>
      <w:divBdr>
        <w:top w:val="none" w:sz="0" w:space="0" w:color="auto"/>
        <w:left w:val="none" w:sz="0" w:space="0" w:color="auto"/>
        <w:bottom w:val="none" w:sz="0" w:space="0" w:color="auto"/>
        <w:right w:val="none" w:sz="0" w:space="0" w:color="auto"/>
      </w:divBdr>
    </w:div>
    <w:div w:id="1973515190">
      <w:bodyDiv w:val="1"/>
      <w:marLeft w:val="0"/>
      <w:marRight w:val="0"/>
      <w:marTop w:val="0"/>
      <w:marBottom w:val="0"/>
      <w:divBdr>
        <w:top w:val="none" w:sz="0" w:space="0" w:color="auto"/>
        <w:left w:val="none" w:sz="0" w:space="0" w:color="auto"/>
        <w:bottom w:val="none" w:sz="0" w:space="0" w:color="auto"/>
        <w:right w:val="none" w:sz="0" w:space="0" w:color="auto"/>
      </w:divBdr>
    </w:div>
    <w:div w:id="1973556953">
      <w:bodyDiv w:val="1"/>
      <w:marLeft w:val="0"/>
      <w:marRight w:val="0"/>
      <w:marTop w:val="0"/>
      <w:marBottom w:val="0"/>
      <w:divBdr>
        <w:top w:val="none" w:sz="0" w:space="0" w:color="auto"/>
        <w:left w:val="none" w:sz="0" w:space="0" w:color="auto"/>
        <w:bottom w:val="none" w:sz="0" w:space="0" w:color="auto"/>
        <w:right w:val="none" w:sz="0" w:space="0" w:color="auto"/>
      </w:divBdr>
    </w:div>
    <w:div w:id="1973561998">
      <w:bodyDiv w:val="1"/>
      <w:marLeft w:val="0"/>
      <w:marRight w:val="0"/>
      <w:marTop w:val="0"/>
      <w:marBottom w:val="0"/>
      <w:divBdr>
        <w:top w:val="none" w:sz="0" w:space="0" w:color="auto"/>
        <w:left w:val="none" w:sz="0" w:space="0" w:color="auto"/>
        <w:bottom w:val="none" w:sz="0" w:space="0" w:color="auto"/>
        <w:right w:val="none" w:sz="0" w:space="0" w:color="auto"/>
      </w:divBdr>
    </w:div>
    <w:div w:id="1973631389">
      <w:bodyDiv w:val="1"/>
      <w:marLeft w:val="0"/>
      <w:marRight w:val="0"/>
      <w:marTop w:val="0"/>
      <w:marBottom w:val="0"/>
      <w:divBdr>
        <w:top w:val="none" w:sz="0" w:space="0" w:color="auto"/>
        <w:left w:val="none" w:sz="0" w:space="0" w:color="auto"/>
        <w:bottom w:val="none" w:sz="0" w:space="0" w:color="auto"/>
        <w:right w:val="none" w:sz="0" w:space="0" w:color="auto"/>
      </w:divBdr>
    </w:div>
    <w:div w:id="1973703679">
      <w:bodyDiv w:val="1"/>
      <w:marLeft w:val="0"/>
      <w:marRight w:val="0"/>
      <w:marTop w:val="0"/>
      <w:marBottom w:val="0"/>
      <w:divBdr>
        <w:top w:val="none" w:sz="0" w:space="0" w:color="auto"/>
        <w:left w:val="none" w:sz="0" w:space="0" w:color="auto"/>
        <w:bottom w:val="none" w:sz="0" w:space="0" w:color="auto"/>
        <w:right w:val="none" w:sz="0" w:space="0" w:color="auto"/>
      </w:divBdr>
    </w:div>
    <w:div w:id="1973706848">
      <w:bodyDiv w:val="1"/>
      <w:marLeft w:val="0"/>
      <w:marRight w:val="0"/>
      <w:marTop w:val="0"/>
      <w:marBottom w:val="0"/>
      <w:divBdr>
        <w:top w:val="none" w:sz="0" w:space="0" w:color="auto"/>
        <w:left w:val="none" w:sz="0" w:space="0" w:color="auto"/>
        <w:bottom w:val="none" w:sz="0" w:space="0" w:color="auto"/>
        <w:right w:val="none" w:sz="0" w:space="0" w:color="auto"/>
      </w:divBdr>
    </w:div>
    <w:div w:id="1973829977">
      <w:bodyDiv w:val="1"/>
      <w:marLeft w:val="0"/>
      <w:marRight w:val="0"/>
      <w:marTop w:val="0"/>
      <w:marBottom w:val="0"/>
      <w:divBdr>
        <w:top w:val="none" w:sz="0" w:space="0" w:color="auto"/>
        <w:left w:val="none" w:sz="0" w:space="0" w:color="auto"/>
        <w:bottom w:val="none" w:sz="0" w:space="0" w:color="auto"/>
        <w:right w:val="none" w:sz="0" w:space="0" w:color="auto"/>
      </w:divBdr>
    </w:div>
    <w:div w:id="1973902800">
      <w:bodyDiv w:val="1"/>
      <w:marLeft w:val="0"/>
      <w:marRight w:val="0"/>
      <w:marTop w:val="0"/>
      <w:marBottom w:val="0"/>
      <w:divBdr>
        <w:top w:val="none" w:sz="0" w:space="0" w:color="auto"/>
        <w:left w:val="none" w:sz="0" w:space="0" w:color="auto"/>
        <w:bottom w:val="none" w:sz="0" w:space="0" w:color="auto"/>
        <w:right w:val="none" w:sz="0" w:space="0" w:color="auto"/>
      </w:divBdr>
    </w:div>
    <w:div w:id="1974172644">
      <w:bodyDiv w:val="1"/>
      <w:marLeft w:val="0"/>
      <w:marRight w:val="0"/>
      <w:marTop w:val="0"/>
      <w:marBottom w:val="0"/>
      <w:divBdr>
        <w:top w:val="none" w:sz="0" w:space="0" w:color="auto"/>
        <w:left w:val="none" w:sz="0" w:space="0" w:color="auto"/>
        <w:bottom w:val="none" w:sz="0" w:space="0" w:color="auto"/>
        <w:right w:val="none" w:sz="0" w:space="0" w:color="auto"/>
      </w:divBdr>
    </w:div>
    <w:div w:id="1974211353">
      <w:bodyDiv w:val="1"/>
      <w:marLeft w:val="0"/>
      <w:marRight w:val="0"/>
      <w:marTop w:val="0"/>
      <w:marBottom w:val="0"/>
      <w:divBdr>
        <w:top w:val="none" w:sz="0" w:space="0" w:color="auto"/>
        <w:left w:val="none" w:sz="0" w:space="0" w:color="auto"/>
        <w:bottom w:val="none" w:sz="0" w:space="0" w:color="auto"/>
        <w:right w:val="none" w:sz="0" w:space="0" w:color="auto"/>
      </w:divBdr>
    </w:div>
    <w:div w:id="1974483514">
      <w:bodyDiv w:val="1"/>
      <w:marLeft w:val="0"/>
      <w:marRight w:val="0"/>
      <w:marTop w:val="0"/>
      <w:marBottom w:val="0"/>
      <w:divBdr>
        <w:top w:val="none" w:sz="0" w:space="0" w:color="auto"/>
        <w:left w:val="none" w:sz="0" w:space="0" w:color="auto"/>
        <w:bottom w:val="none" w:sz="0" w:space="0" w:color="auto"/>
        <w:right w:val="none" w:sz="0" w:space="0" w:color="auto"/>
      </w:divBdr>
    </w:div>
    <w:div w:id="1974555700">
      <w:bodyDiv w:val="1"/>
      <w:marLeft w:val="0"/>
      <w:marRight w:val="0"/>
      <w:marTop w:val="0"/>
      <w:marBottom w:val="0"/>
      <w:divBdr>
        <w:top w:val="none" w:sz="0" w:space="0" w:color="auto"/>
        <w:left w:val="none" w:sz="0" w:space="0" w:color="auto"/>
        <w:bottom w:val="none" w:sz="0" w:space="0" w:color="auto"/>
        <w:right w:val="none" w:sz="0" w:space="0" w:color="auto"/>
      </w:divBdr>
    </w:div>
    <w:div w:id="1974602514">
      <w:bodyDiv w:val="1"/>
      <w:marLeft w:val="0"/>
      <w:marRight w:val="0"/>
      <w:marTop w:val="0"/>
      <w:marBottom w:val="0"/>
      <w:divBdr>
        <w:top w:val="none" w:sz="0" w:space="0" w:color="auto"/>
        <w:left w:val="none" w:sz="0" w:space="0" w:color="auto"/>
        <w:bottom w:val="none" w:sz="0" w:space="0" w:color="auto"/>
        <w:right w:val="none" w:sz="0" w:space="0" w:color="auto"/>
      </w:divBdr>
    </w:div>
    <w:div w:id="1974670068">
      <w:bodyDiv w:val="1"/>
      <w:marLeft w:val="0"/>
      <w:marRight w:val="0"/>
      <w:marTop w:val="0"/>
      <w:marBottom w:val="0"/>
      <w:divBdr>
        <w:top w:val="none" w:sz="0" w:space="0" w:color="auto"/>
        <w:left w:val="none" w:sz="0" w:space="0" w:color="auto"/>
        <w:bottom w:val="none" w:sz="0" w:space="0" w:color="auto"/>
        <w:right w:val="none" w:sz="0" w:space="0" w:color="auto"/>
      </w:divBdr>
    </w:div>
    <w:div w:id="1974752230">
      <w:bodyDiv w:val="1"/>
      <w:marLeft w:val="0"/>
      <w:marRight w:val="0"/>
      <w:marTop w:val="0"/>
      <w:marBottom w:val="0"/>
      <w:divBdr>
        <w:top w:val="none" w:sz="0" w:space="0" w:color="auto"/>
        <w:left w:val="none" w:sz="0" w:space="0" w:color="auto"/>
        <w:bottom w:val="none" w:sz="0" w:space="0" w:color="auto"/>
        <w:right w:val="none" w:sz="0" w:space="0" w:color="auto"/>
      </w:divBdr>
    </w:div>
    <w:div w:id="1974942383">
      <w:bodyDiv w:val="1"/>
      <w:marLeft w:val="0"/>
      <w:marRight w:val="0"/>
      <w:marTop w:val="0"/>
      <w:marBottom w:val="0"/>
      <w:divBdr>
        <w:top w:val="none" w:sz="0" w:space="0" w:color="auto"/>
        <w:left w:val="none" w:sz="0" w:space="0" w:color="auto"/>
        <w:bottom w:val="none" w:sz="0" w:space="0" w:color="auto"/>
        <w:right w:val="none" w:sz="0" w:space="0" w:color="auto"/>
      </w:divBdr>
    </w:div>
    <w:div w:id="1975015718">
      <w:bodyDiv w:val="1"/>
      <w:marLeft w:val="0"/>
      <w:marRight w:val="0"/>
      <w:marTop w:val="0"/>
      <w:marBottom w:val="0"/>
      <w:divBdr>
        <w:top w:val="none" w:sz="0" w:space="0" w:color="auto"/>
        <w:left w:val="none" w:sz="0" w:space="0" w:color="auto"/>
        <w:bottom w:val="none" w:sz="0" w:space="0" w:color="auto"/>
        <w:right w:val="none" w:sz="0" w:space="0" w:color="auto"/>
      </w:divBdr>
    </w:div>
    <w:div w:id="1975016430">
      <w:bodyDiv w:val="1"/>
      <w:marLeft w:val="0"/>
      <w:marRight w:val="0"/>
      <w:marTop w:val="0"/>
      <w:marBottom w:val="0"/>
      <w:divBdr>
        <w:top w:val="none" w:sz="0" w:space="0" w:color="auto"/>
        <w:left w:val="none" w:sz="0" w:space="0" w:color="auto"/>
        <w:bottom w:val="none" w:sz="0" w:space="0" w:color="auto"/>
        <w:right w:val="none" w:sz="0" w:space="0" w:color="auto"/>
      </w:divBdr>
    </w:div>
    <w:div w:id="1975016709">
      <w:bodyDiv w:val="1"/>
      <w:marLeft w:val="0"/>
      <w:marRight w:val="0"/>
      <w:marTop w:val="0"/>
      <w:marBottom w:val="0"/>
      <w:divBdr>
        <w:top w:val="none" w:sz="0" w:space="0" w:color="auto"/>
        <w:left w:val="none" w:sz="0" w:space="0" w:color="auto"/>
        <w:bottom w:val="none" w:sz="0" w:space="0" w:color="auto"/>
        <w:right w:val="none" w:sz="0" w:space="0" w:color="auto"/>
      </w:divBdr>
    </w:div>
    <w:div w:id="1975019801">
      <w:bodyDiv w:val="1"/>
      <w:marLeft w:val="0"/>
      <w:marRight w:val="0"/>
      <w:marTop w:val="0"/>
      <w:marBottom w:val="0"/>
      <w:divBdr>
        <w:top w:val="none" w:sz="0" w:space="0" w:color="auto"/>
        <w:left w:val="none" w:sz="0" w:space="0" w:color="auto"/>
        <w:bottom w:val="none" w:sz="0" w:space="0" w:color="auto"/>
        <w:right w:val="none" w:sz="0" w:space="0" w:color="auto"/>
      </w:divBdr>
    </w:div>
    <w:div w:id="1975089432">
      <w:bodyDiv w:val="1"/>
      <w:marLeft w:val="0"/>
      <w:marRight w:val="0"/>
      <w:marTop w:val="0"/>
      <w:marBottom w:val="0"/>
      <w:divBdr>
        <w:top w:val="none" w:sz="0" w:space="0" w:color="auto"/>
        <w:left w:val="none" w:sz="0" w:space="0" w:color="auto"/>
        <w:bottom w:val="none" w:sz="0" w:space="0" w:color="auto"/>
        <w:right w:val="none" w:sz="0" w:space="0" w:color="auto"/>
      </w:divBdr>
    </w:div>
    <w:div w:id="1975137977">
      <w:bodyDiv w:val="1"/>
      <w:marLeft w:val="0"/>
      <w:marRight w:val="0"/>
      <w:marTop w:val="0"/>
      <w:marBottom w:val="0"/>
      <w:divBdr>
        <w:top w:val="none" w:sz="0" w:space="0" w:color="auto"/>
        <w:left w:val="none" w:sz="0" w:space="0" w:color="auto"/>
        <w:bottom w:val="none" w:sz="0" w:space="0" w:color="auto"/>
        <w:right w:val="none" w:sz="0" w:space="0" w:color="auto"/>
      </w:divBdr>
    </w:div>
    <w:div w:id="1975213622">
      <w:bodyDiv w:val="1"/>
      <w:marLeft w:val="0"/>
      <w:marRight w:val="0"/>
      <w:marTop w:val="0"/>
      <w:marBottom w:val="0"/>
      <w:divBdr>
        <w:top w:val="none" w:sz="0" w:space="0" w:color="auto"/>
        <w:left w:val="none" w:sz="0" w:space="0" w:color="auto"/>
        <w:bottom w:val="none" w:sz="0" w:space="0" w:color="auto"/>
        <w:right w:val="none" w:sz="0" w:space="0" w:color="auto"/>
      </w:divBdr>
    </w:div>
    <w:div w:id="1975258456">
      <w:bodyDiv w:val="1"/>
      <w:marLeft w:val="0"/>
      <w:marRight w:val="0"/>
      <w:marTop w:val="0"/>
      <w:marBottom w:val="0"/>
      <w:divBdr>
        <w:top w:val="none" w:sz="0" w:space="0" w:color="auto"/>
        <w:left w:val="none" w:sz="0" w:space="0" w:color="auto"/>
        <w:bottom w:val="none" w:sz="0" w:space="0" w:color="auto"/>
        <w:right w:val="none" w:sz="0" w:space="0" w:color="auto"/>
      </w:divBdr>
    </w:div>
    <w:div w:id="1975334274">
      <w:bodyDiv w:val="1"/>
      <w:marLeft w:val="0"/>
      <w:marRight w:val="0"/>
      <w:marTop w:val="0"/>
      <w:marBottom w:val="0"/>
      <w:divBdr>
        <w:top w:val="none" w:sz="0" w:space="0" w:color="auto"/>
        <w:left w:val="none" w:sz="0" w:space="0" w:color="auto"/>
        <w:bottom w:val="none" w:sz="0" w:space="0" w:color="auto"/>
        <w:right w:val="none" w:sz="0" w:space="0" w:color="auto"/>
      </w:divBdr>
    </w:div>
    <w:div w:id="1975483055">
      <w:bodyDiv w:val="1"/>
      <w:marLeft w:val="0"/>
      <w:marRight w:val="0"/>
      <w:marTop w:val="0"/>
      <w:marBottom w:val="0"/>
      <w:divBdr>
        <w:top w:val="none" w:sz="0" w:space="0" w:color="auto"/>
        <w:left w:val="none" w:sz="0" w:space="0" w:color="auto"/>
        <w:bottom w:val="none" w:sz="0" w:space="0" w:color="auto"/>
        <w:right w:val="none" w:sz="0" w:space="0" w:color="auto"/>
      </w:divBdr>
    </w:div>
    <w:div w:id="1975522180">
      <w:bodyDiv w:val="1"/>
      <w:marLeft w:val="0"/>
      <w:marRight w:val="0"/>
      <w:marTop w:val="0"/>
      <w:marBottom w:val="0"/>
      <w:divBdr>
        <w:top w:val="none" w:sz="0" w:space="0" w:color="auto"/>
        <w:left w:val="none" w:sz="0" w:space="0" w:color="auto"/>
        <w:bottom w:val="none" w:sz="0" w:space="0" w:color="auto"/>
        <w:right w:val="none" w:sz="0" w:space="0" w:color="auto"/>
      </w:divBdr>
    </w:div>
    <w:div w:id="1975596930">
      <w:bodyDiv w:val="1"/>
      <w:marLeft w:val="0"/>
      <w:marRight w:val="0"/>
      <w:marTop w:val="0"/>
      <w:marBottom w:val="0"/>
      <w:divBdr>
        <w:top w:val="none" w:sz="0" w:space="0" w:color="auto"/>
        <w:left w:val="none" w:sz="0" w:space="0" w:color="auto"/>
        <w:bottom w:val="none" w:sz="0" w:space="0" w:color="auto"/>
        <w:right w:val="none" w:sz="0" w:space="0" w:color="auto"/>
      </w:divBdr>
    </w:div>
    <w:div w:id="1975671023">
      <w:bodyDiv w:val="1"/>
      <w:marLeft w:val="0"/>
      <w:marRight w:val="0"/>
      <w:marTop w:val="0"/>
      <w:marBottom w:val="0"/>
      <w:divBdr>
        <w:top w:val="none" w:sz="0" w:space="0" w:color="auto"/>
        <w:left w:val="none" w:sz="0" w:space="0" w:color="auto"/>
        <w:bottom w:val="none" w:sz="0" w:space="0" w:color="auto"/>
        <w:right w:val="none" w:sz="0" w:space="0" w:color="auto"/>
      </w:divBdr>
    </w:div>
    <w:div w:id="1975719944">
      <w:bodyDiv w:val="1"/>
      <w:marLeft w:val="0"/>
      <w:marRight w:val="0"/>
      <w:marTop w:val="0"/>
      <w:marBottom w:val="0"/>
      <w:divBdr>
        <w:top w:val="none" w:sz="0" w:space="0" w:color="auto"/>
        <w:left w:val="none" w:sz="0" w:space="0" w:color="auto"/>
        <w:bottom w:val="none" w:sz="0" w:space="0" w:color="auto"/>
        <w:right w:val="none" w:sz="0" w:space="0" w:color="auto"/>
      </w:divBdr>
    </w:div>
    <w:div w:id="1975787465">
      <w:bodyDiv w:val="1"/>
      <w:marLeft w:val="0"/>
      <w:marRight w:val="0"/>
      <w:marTop w:val="0"/>
      <w:marBottom w:val="0"/>
      <w:divBdr>
        <w:top w:val="none" w:sz="0" w:space="0" w:color="auto"/>
        <w:left w:val="none" w:sz="0" w:space="0" w:color="auto"/>
        <w:bottom w:val="none" w:sz="0" w:space="0" w:color="auto"/>
        <w:right w:val="none" w:sz="0" w:space="0" w:color="auto"/>
      </w:divBdr>
    </w:div>
    <w:div w:id="1975789040">
      <w:bodyDiv w:val="1"/>
      <w:marLeft w:val="0"/>
      <w:marRight w:val="0"/>
      <w:marTop w:val="0"/>
      <w:marBottom w:val="0"/>
      <w:divBdr>
        <w:top w:val="none" w:sz="0" w:space="0" w:color="auto"/>
        <w:left w:val="none" w:sz="0" w:space="0" w:color="auto"/>
        <w:bottom w:val="none" w:sz="0" w:space="0" w:color="auto"/>
        <w:right w:val="none" w:sz="0" w:space="0" w:color="auto"/>
      </w:divBdr>
    </w:div>
    <w:div w:id="1975792613">
      <w:bodyDiv w:val="1"/>
      <w:marLeft w:val="0"/>
      <w:marRight w:val="0"/>
      <w:marTop w:val="0"/>
      <w:marBottom w:val="0"/>
      <w:divBdr>
        <w:top w:val="none" w:sz="0" w:space="0" w:color="auto"/>
        <w:left w:val="none" w:sz="0" w:space="0" w:color="auto"/>
        <w:bottom w:val="none" w:sz="0" w:space="0" w:color="auto"/>
        <w:right w:val="none" w:sz="0" w:space="0" w:color="auto"/>
      </w:divBdr>
    </w:div>
    <w:div w:id="1975870523">
      <w:bodyDiv w:val="1"/>
      <w:marLeft w:val="0"/>
      <w:marRight w:val="0"/>
      <w:marTop w:val="0"/>
      <w:marBottom w:val="0"/>
      <w:divBdr>
        <w:top w:val="none" w:sz="0" w:space="0" w:color="auto"/>
        <w:left w:val="none" w:sz="0" w:space="0" w:color="auto"/>
        <w:bottom w:val="none" w:sz="0" w:space="0" w:color="auto"/>
        <w:right w:val="none" w:sz="0" w:space="0" w:color="auto"/>
      </w:divBdr>
    </w:div>
    <w:div w:id="1975914641">
      <w:bodyDiv w:val="1"/>
      <w:marLeft w:val="0"/>
      <w:marRight w:val="0"/>
      <w:marTop w:val="0"/>
      <w:marBottom w:val="0"/>
      <w:divBdr>
        <w:top w:val="none" w:sz="0" w:space="0" w:color="auto"/>
        <w:left w:val="none" w:sz="0" w:space="0" w:color="auto"/>
        <w:bottom w:val="none" w:sz="0" w:space="0" w:color="auto"/>
        <w:right w:val="none" w:sz="0" w:space="0" w:color="auto"/>
      </w:divBdr>
    </w:div>
    <w:div w:id="1975941107">
      <w:bodyDiv w:val="1"/>
      <w:marLeft w:val="0"/>
      <w:marRight w:val="0"/>
      <w:marTop w:val="0"/>
      <w:marBottom w:val="0"/>
      <w:divBdr>
        <w:top w:val="none" w:sz="0" w:space="0" w:color="auto"/>
        <w:left w:val="none" w:sz="0" w:space="0" w:color="auto"/>
        <w:bottom w:val="none" w:sz="0" w:space="0" w:color="auto"/>
        <w:right w:val="none" w:sz="0" w:space="0" w:color="auto"/>
      </w:divBdr>
    </w:div>
    <w:div w:id="1975980472">
      <w:bodyDiv w:val="1"/>
      <w:marLeft w:val="0"/>
      <w:marRight w:val="0"/>
      <w:marTop w:val="0"/>
      <w:marBottom w:val="0"/>
      <w:divBdr>
        <w:top w:val="none" w:sz="0" w:space="0" w:color="auto"/>
        <w:left w:val="none" w:sz="0" w:space="0" w:color="auto"/>
        <w:bottom w:val="none" w:sz="0" w:space="0" w:color="auto"/>
        <w:right w:val="none" w:sz="0" w:space="0" w:color="auto"/>
      </w:divBdr>
    </w:div>
    <w:div w:id="1975989340">
      <w:bodyDiv w:val="1"/>
      <w:marLeft w:val="0"/>
      <w:marRight w:val="0"/>
      <w:marTop w:val="0"/>
      <w:marBottom w:val="0"/>
      <w:divBdr>
        <w:top w:val="none" w:sz="0" w:space="0" w:color="auto"/>
        <w:left w:val="none" w:sz="0" w:space="0" w:color="auto"/>
        <w:bottom w:val="none" w:sz="0" w:space="0" w:color="auto"/>
        <w:right w:val="none" w:sz="0" w:space="0" w:color="auto"/>
      </w:divBdr>
    </w:div>
    <w:div w:id="1975989992">
      <w:bodyDiv w:val="1"/>
      <w:marLeft w:val="0"/>
      <w:marRight w:val="0"/>
      <w:marTop w:val="0"/>
      <w:marBottom w:val="0"/>
      <w:divBdr>
        <w:top w:val="none" w:sz="0" w:space="0" w:color="auto"/>
        <w:left w:val="none" w:sz="0" w:space="0" w:color="auto"/>
        <w:bottom w:val="none" w:sz="0" w:space="0" w:color="auto"/>
        <w:right w:val="none" w:sz="0" w:space="0" w:color="auto"/>
      </w:divBdr>
    </w:div>
    <w:div w:id="1976060715">
      <w:bodyDiv w:val="1"/>
      <w:marLeft w:val="0"/>
      <w:marRight w:val="0"/>
      <w:marTop w:val="0"/>
      <w:marBottom w:val="0"/>
      <w:divBdr>
        <w:top w:val="none" w:sz="0" w:space="0" w:color="auto"/>
        <w:left w:val="none" w:sz="0" w:space="0" w:color="auto"/>
        <w:bottom w:val="none" w:sz="0" w:space="0" w:color="auto"/>
        <w:right w:val="none" w:sz="0" w:space="0" w:color="auto"/>
      </w:divBdr>
    </w:div>
    <w:div w:id="1976060892">
      <w:bodyDiv w:val="1"/>
      <w:marLeft w:val="0"/>
      <w:marRight w:val="0"/>
      <w:marTop w:val="0"/>
      <w:marBottom w:val="0"/>
      <w:divBdr>
        <w:top w:val="none" w:sz="0" w:space="0" w:color="auto"/>
        <w:left w:val="none" w:sz="0" w:space="0" w:color="auto"/>
        <w:bottom w:val="none" w:sz="0" w:space="0" w:color="auto"/>
        <w:right w:val="none" w:sz="0" w:space="0" w:color="auto"/>
      </w:divBdr>
    </w:div>
    <w:div w:id="1976107009">
      <w:bodyDiv w:val="1"/>
      <w:marLeft w:val="0"/>
      <w:marRight w:val="0"/>
      <w:marTop w:val="0"/>
      <w:marBottom w:val="0"/>
      <w:divBdr>
        <w:top w:val="none" w:sz="0" w:space="0" w:color="auto"/>
        <w:left w:val="none" w:sz="0" w:space="0" w:color="auto"/>
        <w:bottom w:val="none" w:sz="0" w:space="0" w:color="auto"/>
        <w:right w:val="none" w:sz="0" w:space="0" w:color="auto"/>
      </w:divBdr>
    </w:div>
    <w:div w:id="1976134575">
      <w:bodyDiv w:val="1"/>
      <w:marLeft w:val="0"/>
      <w:marRight w:val="0"/>
      <w:marTop w:val="0"/>
      <w:marBottom w:val="0"/>
      <w:divBdr>
        <w:top w:val="none" w:sz="0" w:space="0" w:color="auto"/>
        <w:left w:val="none" w:sz="0" w:space="0" w:color="auto"/>
        <w:bottom w:val="none" w:sz="0" w:space="0" w:color="auto"/>
        <w:right w:val="none" w:sz="0" w:space="0" w:color="auto"/>
      </w:divBdr>
    </w:div>
    <w:div w:id="1976256785">
      <w:bodyDiv w:val="1"/>
      <w:marLeft w:val="0"/>
      <w:marRight w:val="0"/>
      <w:marTop w:val="0"/>
      <w:marBottom w:val="0"/>
      <w:divBdr>
        <w:top w:val="none" w:sz="0" w:space="0" w:color="auto"/>
        <w:left w:val="none" w:sz="0" w:space="0" w:color="auto"/>
        <w:bottom w:val="none" w:sz="0" w:space="0" w:color="auto"/>
        <w:right w:val="none" w:sz="0" w:space="0" w:color="auto"/>
      </w:divBdr>
    </w:div>
    <w:div w:id="1976325836">
      <w:bodyDiv w:val="1"/>
      <w:marLeft w:val="0"/>
      <w:marRight w:val="0"/>
      <w:marTop w:val="0"/>
      <w:marBottom w:val="0"/>
      <w:divBdr>
        <w:top w:val="none" w:sz="0" w:space="0" w:color="auto"/>
        <w:left w:val="none" w:sz="0" w:space="0" w:color="auto"/>
        <w:bottom w:val="none" w:sz="0" w:space="0" w:color="auto"/>
        <w:right w:val="none" w:sz="0" w:space="0" w:color="auto"/>
      </w:divBdr>
    </w:div>
    <w:div w:id="1976330596">
      <w:bodyDiv w:val="1"/>
      <w:marLeft w:val="0"/>
      <w:marRight w:val="0"/>
      <w:marTop w:val="0"/>
      <w:marBottom w:val="0"/>
      <w:divBdr>
        <w:top w:val="none" w:sz="0" w:space="0" w:color="auto"/>
        <w:left w:val="none" w:sz="0" w:space="0" w:color="auto"/>
        <w:bottom w:val="none" w:sz="0" w:space="0" w:color="auto"/>
        <w:right w:val="none" w:sz="0" w:space="0" w:color="auto"/>
      </w:divBdr>
    </w:div>
    <w:div w:id="1976369848">
      <w:bodyDiv w:val="1"/>
      <w:marLeft w:val="0"/>
      <w:marRight w:val="0"/>
      <w:marTop w:val="0"/>
      <w:marBottom w:val="0"/>
      <w:divBdr>
        <w:top w:val="none" w:sz="0" w:space="0" w:color="auto"/>
        <w:left w:val="none" w:sz="0" w:space="0" w:color="auto"/>
        <w:bottom w:val="none" w:sz="0" w:space="0" w:color="auto"/>
        <w:right w:val="none" w:sz="0" w:space="0" w:color="auto"/>
      </w:divBdr>
    </w:div>
    <w:div w:id="1976401641">
      <w:bodyDiv w:val="1"/>
      <w:marLeft w:val="0"/>
      <w:marRight w:val="0"/>
      <w:marTop w:val="0"/>
      <w:marBottom w:val="0"/>
      <w:divBdr>
        <w:top w:val="none" w:sz="0" w:space="0" w:color="auto"/>
        <w:left w:val="none" w:sz="0" w:space="0" w:color="auto"/>
        <w:bottom w:val="none" w:sz="0" w:space="0" w:color="auto"/>
        <w:right w:val="none" w:sz="0" w:space="0" w:color="auto"/>
      </w:divBdr>
    </w:div>
    <w:div w:id="1976444898">
      <w:bodyDiv w:val="1"/>
      <w:marLeft w:val="0"/>
      <w:marRight w:val="0"/>
      <w:marTop w:val="0"/>
      <w:marBottom w:val="0"/>
      <w:divBdr>
        <w:top w:val="none" w:sz="0" w:space="0" w:color="auto"/>
        <w:left w:val="none" w:sz="0" w:space="0" w:color="auto"/>
        <w:bottom w:val="none" w:sz="0" w:space="0" w:color="auto"/>
        <w:right w:val="none" w:sz="0" w:space="0" w:color="auto"/>
      </w:divBdr>
    </w:div>
    <w:div w:id="1976520644">
      <w:bodyDiv w:val="1"/>
      <w:marLeft w:val="0"/>
      <w:marRight w:val="0"/>
      <w:marTop w:val="0"/>
      <w:marBottom w:val="0"/>
      <w:divBdr>
        <w:top w:val="none" w:sz="0" w:space="0" w:color="auto"/>
        <w:left w:val="none" w:sz="0" w:space="0" w:color="auto"/>
        <w:bottom w:val="none" w:sz="0" w:space="0" w:color="auto"/>
        <w:right w:val="none" w:sz="0" w:space="0" w:color="auto"/>
      </w:divBdr>
    </w:div>
    <w:div w:id="1976639524">
      <w:bodyDiv w:val="1"/>
      <w:marLeft w:val="0"/>
      <w:marRight w:val="0"/>
      <w:marTop w:val="0"/>
      <w:marBottom w:val="0"/>
      <w:divBdr>
        <w:top w:val="none" w:sz="0" w:space="0" w:color="auto"/>
        <w:left w:val="none" w:sz="0" w:space="0" w:color="auto"/>
        <w:bottom w:val="none" w:sz="0" w:space="0" w:color="auto"/>
        <w:right w:val="none" w:sz="0" w:space="0" w:color="auto"/>
      </w:divBdr>
    </w:div>
    <w:div w:id="1976643985">
      <w:bodyDiv w:val="1"/>
      <w:marLeft w:val="0"/>
      <w:marRight w:val="0"/>
      <w:marTop w:val="0"/>
      <w:marBottom w:val="0"/>
      <w:divBdr>
        <w:top w:val="none" w:sz="0" w:space="0" w:color="auto"/>
        <w:left w:val="none" w:sz="0" w:space="0" w:color="auto"/>
        <w:bottom w:val="none" w:sz="0" w:space="0" w:color="auto"/>
        <w:right w:val="none" w:sz="0" w:space="0" w:color="auto"/>
      </w:divBdr>
    </w:div>
    <w:div w:id="1976645433">
      <w:bodyDiv w:val="1"/>
      <w:marLeft w:val="0"/>
      <w:marRight w:val="0"/>
      <w:marTop w:val="0"/>
      <w:marBottom w:val="0"/>
      <w:divBdr>
        <w:top w:val="none" w:sz="0" w:space="0" w:color="auto"/>
        <w:left w:val="none" w:sz="0" w:space="0" w:color="auto"/>
        <w:bottom w:val="none" w:sz="0" w:space="0" w:color="auto"/>
        <w:right w:val="none" w:sz="0" w:space="0" w:color="auto"/>
      </w:divBdr>
    </w:div>
    <w:div w:id="1976720026">
      <w:bodyDiv w:val="1"/>
      <w:marLeft w:val="0"/>
      <w:marRight w:val="0"/>
      <w:marTop w:val="0"/>
      <w:marBottom w:val="0"/>
      <w:divBdr>
        <w:top w:val="none" w:sz="0" w:space="0" w:color="auto"/>
        <w:left w:val="none" w:sz="0" w:space="0" w:color="auto"/>
        <w:bottom w:val="none" w:sz="0" w:space="0" w:color="auto"/>
        <w:right w:val="none" w:sz="0" w:space="0" w:color="auto"/>
      </w:divBdr>
    </w:div>
    <w:div w:id="1977032046">
      <w:bodyDiv w:val="1"/>
      <w:marLeft w:val="0"/>
      <w:marRight w:val="0"/>
      <w:marTop w:val="0"/>
      <w:marBottom w:val="0"/>
      <w:divBdr>
        <w:top w:val="none" w:sz="0" w:space="0" w:color="auto"/>
        <w:left w:val="none" w:sz="0" w:space="0" w:color="auto"/>
        <w:bottom w:val="none" w:sz="0" w:space="0" w:color="auto"/>
        <w:right w:val="none" w:sz="0" w:space="0" w:color="auto"/>
      </w:divBdr>
    </w:div>
    <w:div w:id="1977173828">
      <w:bodyDiv w:val="1"/>
      <w:marLeft w:val="0"/>
      <w:marRight w:val="0"/>
      <w:marTop w:val="0"/>
      <w:marBottom w:val="0"/>
      <w:divBdr>
        <w:top w:val="none" w:sz="0" w:space="0" w:color="auto"/>
        <w:left w:val="none" w:sz="0" w:space="0" w:color="auto"/>
        <w:bottom w:val="none" w:sz="0" w:space="0" w:color="auto"/>
        <w:right w:val="none" w:sz="0" w:space="0" w:color="auto"/>
      </w:divBdr>
    </w:div>
    <w:div w:id="1977174611">
      <w:bodyDiv w:val="1"/>
      <w:marLeft w:val="0"/>
      <w:marRight w:val="0"/>
      <w:marTop w:val="0"/>
      <w:marBottom w:val="0"/>
      <w:divBdr>
        <w:top w:val="none" w:sz="0" w:space="0" w:color="auto"/>
        <w:left w:val="none" w:sz="0" w:space="0" w:color="auto"/>
        <w:bottom w:val="none" w:sz="0" w:space="0" w:color="auto"/>
        <w:right w:val="none" w:sz="0" w:space="0" w:color="auto"/>
      </w:divBdr>
    </w:div>
    <w:div w:id="1977179197">
      <w:bodyDiv w:val="1"/>
      <w:marLeft w:val="0"/>
      <w:marRight w:val="0"/>
      <w:marTop w:val="0"/>
      <w:marBottom w:val="0"/>
      <w:divBdr>
        <w:top w:val="none" w:sz="0" w:space="0" w:color="auto"/>
        <w:left w:val="none" w:sz="0" w:space="0" w:color="auto"/>
        <w:bottom w:val="none" w:sz="0" w:space="0" w:color="auto"/>
        <w:right w:val="none" w:sz="0" w:space="0" w:color="auto"/>
      </w:divBdr>
    </w:div>
    <w:div w:id="1977181663">
      <w:bodyDiv w:val="1"/>
      <w:marLeft w:val="0"/>
      <w:marRight w:val="0"/>
      <w:marTop w:val="0"/>
      <w:marBottom w:val="0"/>
      <w:divBdr>
        <w:top w:val="none" w:sz="0" w:space="0" w:color="auto"/>
        <w:left w:val="none" w:sz="0" w:space="0" w:color="auto"/>
        <w:bottom w:val="none" w:sz="0" w:space="0" w:color="auto"/>
        <w:right w:val="none" w:sz="0" w:space="0" w:color="auto"/>
      </w:divBdr>
    </w:div>
    <w:div w:id="1977223739">
      <w:bodyDiv w:val="1"/>
      <w:marLeft w:val="0"/>
      <w:marRight w:val="0"/>
      <w:marTop w:val="0"/>
      <w:marBottom w:val="0"/>
      <w:divBdr>
        <w:top w:val="none" w:sz="0" w:space="0" w:color="auto"/>
        <w:left w:val="none" w:sz="0" w:space="0" w:color="auto"/>
        <w:bottom w:val="none" w:sz="0" w:space="0" w:color="auto"/>
        <w:right w:val="none" w:sz="0" w:space="0" w:color="auto"/>
      </w:divBdr>
    </w:div>
    <w:div w:id="1977297864">
      <w:bodyDiv w:val="1"/>
      <w:marLeft w:val="0"/>
      <w:marRight w:val="0"/>
      <w:marTop w:val="0"/>
      <w:marBottom w:val="0"/>
      <w:divBdr>
        <w:top w:val="none" w:sz="0" w:space="0" w:color="auto"/>
        <w:left w:val="none" w:sz="0" w:space="0" w:color="auto"/>
        <w:bottom w:val="none" w:sz="0" w:space="0" w:color="auto"/>
        <w:right w:val="none" w:sz="0" w:space="0" w:color="auto"/>
      </w:divBdr>
    </w:div>
    <w:div w:id="1977489686">
      <w:bodyDiv w:val="1"/>
      <w:marLeft w:val="0"/>
      <w:marRight w:val="0"/>
      <w:marTop w:val="0"/>
      <w:marBottom w:val="0"/>
      <w:divBdr>
        <w:top w:val="none" w:sz="0" w:space="0" w:color="auto"/>
        <w:left w:val="none" w:sz="0" w:space="0" w:color="auto"/>
        <w:bottom w:val="none" w:sz="0" w:space="0" w:color="auto"/>
        <w:right w:val="none" w:sz="0" w:space="0" w:color="auto"/>
      </w:divBdr>
    </w:div>
    <w:div w:id="1977491166">
      <w:bodyDiv w:val="1"/>
      <w:marLeft w:val="0"/>
      <w:marRight w:val="0"/>
      <w:marTop w:val="0"/>
      <w:marBottom w:val="0"/>
      <w:divBdr>
        <w:top w:val="none" w:sz="0" w:space="0" w:color="auto"/>
        <w:left w:val="none" w:sz="0" w:space="0" w:color="auto"/>
        <w:bottom w:val="none" w:sz="0" w:space="0" w:color="auto"/>
        <w:right w:val="none" w:sz="0" w:space="0" w:color="auto"/>
      </w:divBdr>
    </w:div>
    <w:div w:id="1977567112">
      <w:bodyDiv w:val="1"/>
      <w:marLeft w:val="0"/>
      <w:marRight w:val="0"/>
      <w:marTop w:val="0"/>
      <w:marBottom w:val="0"/>
      <w:divBdr>
        <w:top w:val="none" w:sz="0" w:space="0" w:color="auto"/>
        <w:left w:val="none" w:sz="0" w:space="0" w:color="auto"/>
        <w:bottom w:val="none" w:sz="0" w:space="0" w:color="auto"/>
        <w:right w:val="none" w:sz="0" w:space="0" w:color="auto"/>
      </w:divBdr>
    </w:div>
    <w:div w:id="1977635767">
      <w:bodyDiv w:val="1"/>
      <w:marLeft w:val="0"/>
      <w:marRight w:val="0"/>
      <w:marTop w:val="0"/>
      <w:marBottom w:val="0"/>
      <w:divBdr>
        <w:top w:val="none" w:sz="0" w:space="0" w:color="auto"/>
        <w:left w:val="none" w:sz="0" w:space="0" w:color="auto"/>
        <w:bottom w:val="none" w:sz="0" w:space="0" w:color="auto"/>
        <w:right w:val="none" w:sz="0" w:space="0" w:color="auto"/>
      </w:divBdr>
    </w:div>
    <w:div w:id="1977641020">
      <w:bodyDiv w:val="1"/>
      <w:marLeft w:val="0"/>
      <w:marRight w:val="0"/>
      <w:marTop w:val="0"/>
      <w:marBottom w:val="0"/>
      <w:divBdr>
        <w:top w:val="none" w:sz="0" w:space="0" w:color="auto"/>
        <w:left w:val="none" w:sz="0" w:space="0" w:color="auto"/>
        <w:bottom w:val="none" w:sz="0" w:space="0" w:color="auto"/>
        <w:right w:val="none" w:sz="0" w:space="0" w:color="auto"/>
      </w:divBdr>
    </w:div>
    <w:div w:id="1977687327">
      <w:bodyDiv w:val="1"/>
      <w:marLeft w:val="0"/>
      <w:marRight w:val="0"/>
      <w:marTop w:val="0"/>
      <w:marBottom w:val="0"/>
      <w:divBdr>
        <w:top w:val="none" w:sz="0" w:space="0" w:color="auto"/>
        <w:left w:val="none" w:sz="0" w:space="0" w:color="auto"/>
        <w:bottom w:val="none" w:sz="0" w:space="0" w:color="auto"/>
        <w:right w:val="none" w:sz="0" w:space="0" w:color="auto"/>
      </w:divBdr>
    </w:div>
    <w:div w:id="1977753105">
      <w:bodyDiv w:val="1"/>
      <w:marLeft w:val="0"/>
      <w:marRight w:val="0"/>
      <w:marTop w:val="0"/>
      <w:marBottom w:val="0"/>
      <w:divBdr>
        <w:top w:val="none" w:sz="0" w:space="0" w:color="auto"/>
        <w:left w:val="none" w:sz="0" w:space="0" w:color="auto"/>
        <w:bottom w:val="none" w:sz="0" w:space="0" w:color="auto"/>
        <w:right w:val="none" w:sz="0" w:space="0" w:color="auto"/>
      </w:divBdr>
    </w:div>
    <w:div w:id="1977756852">
      <w:bodyDiv w:val="1"/>
      <w:marLeft w:val="0"/>
      <w:marRight w:val="0"/>
      <w:marTop w:val="0"/>
      <w:marBottom w:val="0"/>
      <w:divBdr>
        <w:top w:val="none" w:sz="0" w:space="0" w:color="auto"/>
        <w:left w:val="none" w:sz="0" w:space="0" w:color="auto"/>
        <w:bottom w:val="none" w:sz="0" w:space="0" w:color="auto"/>
        <w:right w:val="none" w:sz="0" w:space="0" w:color="auto"/>
      </w:divBdr>
    </w:div>
    <w:div w:id="1977878328">
      <w:bodyDiv w:val="1"/>
      <w:marLeft w:val="0"/>
      <w:marRight w:val="0"/>
      <w:marTop w:val="0"/>
      <w:marBottom w:val="0"/>
      <w:divBdr>
        <w:top w:val="none" w:sz="0" w:space="0" w:color="auto"/>
        <w:left w:val="none" w:sz="0" w:space="0" w:color="auto"/>
        <w:bottom w:val="none" w:sz="0" w:space="0" w:color="auto"/>
        <w:right w:val="none" w:sz="0" w:space="0" w:color="auto"/>
      </w:divBdr>
    </w:div>
    <w:div w:id="1978021855">
      <w:bodyDiv w:val="1"/>
      <w:marLeft w:val="0"/>
      <w:marRight w:val="0"/>
      <w:marTop w:val="0"/>
      <w:marBottom w:val="0"/>
      <w:divBdr>
        <w:top w:val="none" w:sz="0" w:space="0" w:color="auto"/>
        <w:left w:val="none" w:sz="0" w:space="0" w:color="auto"/>
        <w:bottom w:val="none" w:sz="0" w:space="0" w:color="auto"/>
        <w:right w:val="none" w:sz="0" w:space="0" w:color="auto"/>
      </w:divBdr>
    </w:div>
    <w:div w:id="1978022123">
      <w:bodyDiv w:val="1"/>
      <w:marLeft w:val="0"/>
      <w:marRight w:val="0"/>
      <w:marTop w:val="0"/>
      <w:marBottom w:val="0"/>
      <w:divBdr>
        <w:top w:val="none" w:sz="0" w:space="0" w:color="auto"/>
        <w:left w:val="none" w:sz="0" w:space="0" w:color="auto"/>
        <w:bottom w:val="none" w:sz="0" w:space="0" w:color="auto"/>
        <w:right w:val="none" w:sz="0" w:space="0" w:color="auto"/>
      </w:divBdr>
    </w:div>
    <w:div w:id="1978026655">
      <w:bodyDiv w:val="1"/>
      <w:marLeft w:val="0"/>
      <w:marRight w:val="0"/>
      <w:marTop w:val="0"/>
      <w:marBottom w:val="0"/>
      <w:divBdr>
        <w:top w:val="none" w:sz="0" w:space="0" w:color="auto"/>
        <w:left w:val="none" w:sz="0" w:space="0" w:color="auto"/>
        <w:bottom w:val="none" w:sz="0" w:space="0" w:color="auto"/>
        <w:right w:val="none" w:sz="0" w:space="0" w:color="auto"/>
      </w:divBdr>
    </w:div>
    <w:div w:id="1978027831">
      <w:bodyDiv w:val="1"/>
      <w:marLeft w:val="0"/>
      <w:marRight w:val="0"/>
      <w:marTop w:val="0"/>
      <w:marBottom w:val="0"/>
      <w:divBdr>
        <w:top w:val="none" w:sz="0" w:space="0" w:color="auto"/>
        <w:left w:val="none" w:sz="0" w:space="0" w:color="auto"/>
        <w:bottom w:val="none" w:sz="0" w:space="0" w:color="auto"/>
        <w:right w:val="none" w:sz="0" w:space="0" w:color="auto"/>
      </w:divBdr>
    </w:div>
    <w:div w:id="1978101946">
      <w:bodyDiv w:val="1"/>
      <w:marLeft w:val="0"/>
      <w:marRight w:val="0"/>
      <w:marTop w:val="0"/>
      <w:marBottom w:val="0"/>
      <w:divBdr>
        <w:top w:val="none" w:sz="0" w:space="0" w:color="auto"/>
        <w:left w:val="none" w:sz="0" w:space="0" w:color="auto"/>
        <w:bottom w:val="none" w:sz="0" w:space="0" w:color="auto"/>
        <w:right w:val="none" w:sz="0" w:space="0" w:color="auto"/>
      </w:divBdr>
    </w:div>
    <w:div w:id="1978146079">
      <w:bodyDiv w:val="1"/>
      <w:marLeft w:val="0"/>
      <w:marRight w:val="0"/>
      <w:marTop w:val="0"/>
      <w:marBottom w:val="0"/>
      <w:divBdr>
        <w:top w:val="none" w:sz="0" w:space="0" w:color="auto"/>
        <w:left w:val="none" w:sz="0" w:space="0" w:color="auto"/>
        <w:bottom w:val="none" w:sz="0" w:space="0" w:color="auto"/>
        <w:right w:val="none" w:sz="0" w:space="0" w:color="auto"/>
      </w:divBdr>
    </w:div>
    <w:div w:id="1978149345">
      <w:bodyDiv w:val="1"/>
      <w:marLeft w:val="0"/>
      <w:marRight w:val="0"/>
      <w:marTop w:val="0"/>
      <w:marBottom w:val="0"/>
      <w:divBdr>
        <w:top w:val="none" w:sz="0" w:space="0" w:color="auto"/>
        <w:left w:val="none" w:sz="0" w:space="0" w:color="auto"/>
        <w:bottom w:val="none" w:sz="0" w:space="0" w:color="auto"/>
        <w:right w:val="none" w:sz="0" w:space="0" w:color="auto"/>
      </w:divBdr>
    </w:div>
    <w:div w:id="1978215723">
      <w:bodyDiv w:val="1"/>
      <w:marLeft w:val="0"/>
      <w:marRight w:val="0"/>
      <w:marTop w:val="0"/>
      <w:marBottom w:val="0"/>
      <w:divBdr>
        <w:top w:val="none" w:sz="0" w:space="0" w:color="auto"/>
        <w:left w:val="none" w:sz="0" w:space="0" w:color="auto"/>
        <w:bottom w:val="none" w:sz="0" w:space="0" w:color="auto"/>
        <w:right w:val="none" w:sz="0" w:space="0" w:color="auto"/>
      </w:divBdr>
    </w:div>
    <w:div w:id="1978216398">
      <w:bodyDiv w:val="1"/>
      <w:marLeft w:val="0"/>
      <w:marRight w:val="0"/>
      <w:marTop w:val="0"/>
      <w:marBottom w:val="0"/>
      <w:divBdr>
        <w:top w:val="none" w:sz="0" w:space="0" w:color="auto"/>
        <w:left w:val="none" w:sz="0" w:space="0" w:color="auto"/>
        <w:bottom w:val="none" w:sz="0" w:space="0" w:color="auto"/>
        <w:right w:val="none" w:sz="0" w:space="0" w:color="auto"/>
      </w:divBdr>
    </w:div>
    <w:div w:id="1978295004">
      <w:bodyDiv w:val="1"/>
      <w:marLeft w:val="0"/>
      <w:marRight w:val="0"/>
      <w:marTop w:val="0"/>
      <w:marBottom w:val="0"/>
      <w:divBdr>
        <w:top w:val="none" w:sz="0" w:space="0" w:color="auto"/>
        <w:left w:val="none" w:sz="0" w:space="0" w:color="auto"/>
        <w:bottom w:val="none" w:sz="0" w:space="0" w:color="auto"/>
        <w:right w:val="none" w:sz="0" w:space="0" w:color="auto"/>
      </w:divBdr>
    </w:div>
    <w:div w:id="1978298083">
      <w:bodyDiv w:val="1"/>
      <w:marLeft w:val="0"/>
      <w:marRight w:val="0"/>
      <w:marTop w:val="0"/>
      <w:marBottom w:val="0"/>
      <w:divBdr>
        <w:top w:val="none" w:sz="0" w:space="0" w:color="auto"/>
        <w:left w:val="none" w:sz="0" w:space="0" w:color="auto"/>
        <w:bottom w:val="none" w:sz="0" w:space="0" w:color="auto"/>
        <w:right w:val="none" w:sz="0" w:space="0" w:color="auto"/>
      </w:divBdr>
    </w:div>
    <w:div w:id="1978299656">
      <w:bodyDiv w:val="1"/>
      <w:marLeft w:val="0"/>
      <w:marRight w:val="0"/>
      <w:marTop w:val="0"/>
      <w:marBottom w:val="0"/>
      <w:divBdr>
        <w:top w:val="none" w:sz="0" w:space="0" w:color="auto"/>
        <w:left w:val="none" w:sz="0" w:space="0" w:color="auto"/>
        <w:bottom w:val="none" w:sz="0" w:space="0" w:color="auto"/>
        <w:right w:val="none" w:sz="0" w:space="0" w:color="auto"/>
      </w:divBdr>
    </w:div>
    <w:div w:id="1978559777">
      <w:bodyDiv w:val="1"/>
      <w:marLeft w:val="0"/>
      <w:marRight w:val="0"/>
      <w:marTop w:val="0"/>
      <w:marBottom w:val="0"/>
      <w:divBdr>
        <w:top w:val="none" w:sz="0" w:space="0" w:color="auto"/>
        <w:left w:val="none" w:sz="0" w:space="0" w:color="auto"/>
        <w:bottom w:val="none" w:sz="0" w:space="0" w:color="auto"/>
        <w:right w:val="none" w:sz="0" w:space="0" w:color="auto"/>
      </w:divBdr>
    </w:div>
    <w:div w:id="1978562489">
      <w:bodyDiv w:val="1"/>
      <w:marLeft w:val="0"/>
      <w:marRight w:val="0"/>
      <w:marTop w:val="0"/>
      <w:marBottom w:val="0"/>
      <w:divBdr>
        <w:top w:val="none" w:sz="0" w:space="0" w:color="auto"/>
        <w:left w:val="none" w:sz="0" w:space="0" w:color="auto"/>
        <w:bottom w:val="none" w:sz="0" w:space="0" w:color="auto"/>
        <w:right w:val="none" w:sz="0" w:space="0" w:color="auto"/>
      </w:divBdr>
    </w:div>
    <w:div w:id="1978564531">
      <w:bodyDiv w:val="1"/>
      <w:marLeft w:val="0"/>
      <w:marRight w:val="0"/>
      <w:marTop w:val="0"/>
      <w:marBottom w:val="0"/>
      <w:divBdr>
        <w:top w:val="none" w:sz="0" w:space="0" w:color="auto"/>
        <w:left w:val="none" w:sz="0" w:space="0" w:color="auto"/>
        <w:bottom w:val="none" w:sz="0" w:space="0" w:color="auto"/>
        <w:right w:val="none" w:sz="0" w:space="0" w:color="auto"/>
      </w:divBdr>
    </w:div>
    <w:div w:id="1978602512">
      <w:bodyDiv w:val="1"/>
      <w:marLeft w:val="0"/>
      <w:marRight w:val="0"/>
      <w:marTop w:val="0"/>
      <w:marBottom w:val="0"/>
      <w:divBdr>
        <w:top w:val="none" w:sz="0" w:space="0" w:color="auto"/>
        <w:left w:val="none" w:sz="0" w:space="0" w:color="auto"/>
        <w:bottom w:val="none" w:sz="0" w:space="0" w:color="auto"/>
        <w:right w:val="none" w:sz="0" w:space="0" w:color="auto"/>
      </w:divBdr>
    </w:div>
    <w:div w:id="1978678156">
      <w:bodyDiv w:val="1"/>
      <w:marLeft w:val="0"/>
      <w:marRight w:val="0"/>
      <w:marTop w:val="0"/>
      <w:marBottom w:val="0"/>
      <w:divBdr>
        <w:top w:val="none" w:sz="0" w:space="0" w:color="auto"/>
        <w:left w:val="none" w:sz="0" w:space="0" w:color="auto"/>
        <w:bottom w:val="none" w:sz="0" w:space="0" w:color="auto"/>
        <w:right w:val="none" w:sz="0" w:space="0" w:color="auto"/>
      </w:divBdr>
    </w:div>
    <w:div w:id="1978754405">
      <w:bodyDiv w:val="1"/>
      <w:marLeft w:val="0"/>
      <w:marRight w:val="0"/>
      <w:marTop w:val="0"/>
      <w:marBottom w:val="0"/>
      <w:divBdr>
        <w:top w:val="none" w:sz="0" w:space="0" w:color="auto"/>
        <w:left w:val="none" w:sz="0" w:space="0" w:color="auto"/>
        <w:bottom w:val="none" w:sz="0" w:space="0" w:color="auto"/>
        <w:right w:val="none" w:sz="0" w:space="0" w:color="auto"/>
      </w:divBdr>
    </w:div>
    <w:div w:id="1978804370">
      <w:bodyDiv w:val="1"/>
      <w:marLeft w:val="0"/>
      <w:marRight w:val="0"/>
      <w:marTop w:val="0"/>
      <w:marBottom w:val="0"/>
      <w:divBdr>
        <w:top w:val="none" w:sz="0" w:space="0" w:color="auto"/>
        <w:left w:val="none" w:sz="0" w:space="0" w:color="auto"/>
        <w:bottom w:val="none" w:sz="0" w:space="0" w:color="auto"/>
        <w:right w:val="none" w:sz="0" w:space="0" w:color="auto"/>
      </w:divBdr>
    </w:div>
    <w:div w:id="1978877533">
      <w:bodyDiv w:val="1"/>
      <w:marLeft w:val="0"/>
      <w:marRight w:val="0"/>
      <w:marTop w:val="0"/>
      <w:marBottom w:val="0"/>
      <w:divBdr>
        <w:top w:val="none" w:sz="0" w:space="0" w:color="auto"/>
        <w:left w:val="none" w:sz="0" w:space="0" w:color="auto"/>
        <w:bottom w:val="none" w:sz="0" w:space="0" w:color="auto"/>
        <w:right w:val="none" w:sz="0" w:space="0" w:color="auto"/>
      </w:divBdr>
    </w:div>
    <w:div w:id="1978946089">
      <w:bodyDiv w:val="1"/>
      <w:marLeft w:val="0"/>
      <w:marRight w:val="0"/>
      <w:marTop w:val="0"/>
      <w:marBottom w:val="0"/>
      <w:divBdr>
        <w:top w:val="none" w:sz="0" w:space="0" w:color="auto"/>
        <w:left w:val="none" w:sz="0" w:space="0" w:color="auto"/>
        <w:bottom w:val="none" w:sz="0" w:space="0" w:color="auto"/>
        <w:right w:val="none" w:sz="0" w:space="0" w:color="auto"/>
      </w:divBdr>
    </w:div>
    <w:div w:id="1978947708">
      <w:bodyDiv w:val="1"/>
      <w:marLeft w:val="0"/>
      <w:marRight w:val="0"/>
      <w:marTop w:val="0"/>
      <w:marBottom w:val="0"/>
      <w:divBdr>
        <w:top w:val="none" w:sz="0" w:space="0" w:color="auto"/>
        <w:left w:val="none" w:sz="0" w:space="0" w:color="auto"/>
        <w:bottom w:val="none" w:sz="0" w:space="0" w:color="auto"/>
        <w:right w:val="none" w:sz="0" w:space="0" w:color="auto"/>
      </w:divBdr>
    </w:div>
    <w:div w:id="1978950434">
      <w:bodyDiv w:val="1"/>
      <w:marLeft w:val="0"/>
      <w:marRight w:val="0"/>
      <w:marTop w:val="0"/>
      <w:marBottom w:val="0"/>
      <w:divBdr>
        <w:top w:val="none" w:sz="0" w:space="0" w:color="auto"/>
        <w:left w:val="none" w:sz="0" w:space="0" w:color="auto"/>
        <w:bottom w:val="none" w:sz="0" w:space="0" w:color="auto"/>
        <w:right w:val="none" w:sz="0" w:space="0" w:color="auto"/>
      </w:divBdr>
    </w:div>
    <w:div w:id="1979072029">
      <w:bodyDiv w:val="1"/>
      <w:marLeft w:val="0"/>
      <w:marRight w:val="0"/>
      <w:marTop w:val="0"/>
      <w:marBottom w:val="0"/>
      <w:divBdr>
        <w:top w:val="none" w:sz="0" w:space="0" w:color="auto"/>
        <w:left w:val="none" w:sz="0" w:space="0" w:color="auto"/>
        <w:bottom w:val="none" w:sz="0" w:space="0" w:color="auto"/>
        <w:right w:val="none" w:sz="0" w:space="0" w:color="auto"/>
      </w:divBdr>
    </w:div>
    <w:div w:id="1979146229">
      <w:bodyDiv w:val="1"/>
      <w:marLeft w:val="0"/>
      <w:marRight w:val="0"/>
      <w:marTop w:val="0"/>
      <w:marBottom w:val="0"/>
      <w:divBdr>
        <w:top w:val="none" w:sz="0" w:space="0" w:color="auto"/>
        <w:left w:val="none" w:sz="0" w:space="0" w:color="auto"/>
        <w:bottom w:val="none" w:sz="0" w:space="0" w:color="auto"/>
        <w:right w:val="none" w:sz="0" w:space="0" w:color="auto"/>
      </w:divBdr>
    </w:div>
    <w:div w:id="1979189982">
      <w:bodyDiv w:val="1"/>
      <w:marLeft w:val="0"/>
      <w:marRight w:val="0"/>
      <w:marTop w:val="0"/>
      <w:marBottom w:val="0"/>
      <w:divBdr>
        <w:top w:val="none" w:sz="0" w:space="0" w:color="auto"/>
        <w:left w:val="none" w:sz="0" w:space="0" w:color="auto"/>
        <w:bottom w:val="none" w:sz="0" w:space="0" w:color="auto"/>
        <w:right w:val="none" w:sz="0" w:space="0" w:color="auto"/>
      </w:divBdr>
    </w:div>
    <w:div w:id="1979190027">
      <w:bodyDiv w:val="1"/>
      <w:marLeft w:val="0"/>
      <w:marRight w:val="0"/>
      <w:marTop w:val="0"/>
      <w:marBottom w:val="0"/>
      <w:divBdr>
        <w:top w:val="none" w:sz="0" w:space="0" w:color="auto"/>
        <w:left w:val="none" w:sz="0" w:space="0" w:color="auto"/>
        <w:bottom w:val="none" w:sz="0" w:space="0" w:color="auto"/>
        <w:right w:val="none" w:sz="0" w:space="0" w:color="auto"/>
      </w:divBdr>
    </w:div>
    <w:div w:id="1979218317">
      <w:bodyDiv w:val="1"/>
      <w:marLeft w:val="0"/>
      <w:marRight w:val="0"/>
      <w:marTop w:val="0"/>
      <w:marBottom w:val="0"/>
      <w:divBdr>
        <w:top w:val="none" w:sz="0" w:space="0" w:color="auto"/>
        <w:left w:val="none" w:sz="0" w:space="0" w:color="auto"/>
        <w:bottom w:val="none" w:sz="0" w:space="0" w:color="auto"/>
        <w:right w:val="none" w:sz="0" w:space="0" w:color="auto"/>
      </w:divBdr>
    </w:div>
    <w:div w:id="1979256915">
      <w:bodyDiv w:val="1"/>
      <w:marLeft w:val="0"/>
      <w:marRight w:val="0"/>
      <w:marTop w:val="0"/>
      <w:marBottom w:val="0"/>
      <w:divBdr>
        <w:top w:val="none" w:sz="0" w:space="0" w:color="auto"/>
        <w:left w:val="none" w:sz="0" w:space="0" w:color="auto"/>
        <w:bottom w:val="none" w:sz="0" w:space="0" w:color="auto"/>
        <w:right w:val="none" w:sz="0" w:space="0" w:color="auto"/>
      </w:divBdr>
    </w:div>
    <w:div w:id="1979259487">
      <w:bodyDiv w:val="1"/>
      <w:marLeft w:val="0"/>
      <w:marRight w:val="0"/>
      <w:marTop w:val="0"/>
      <w:marBottom w:val="0"/>
      <w:divBdr>
        <w:top w:val="none" w:sz="0" w:space="0" w:color="auto"/>
        <w:left w:val="none" w:sz="0" w:space="0" w:color="auto"/>
        <w:bottom w:val="none" w:sz="0" w:space="0" w:color="auto"/>
        <w:right w:val="none" w:sz="0" w:space="0" w:color="auto"/>
      </w:divBdr>
    </w:div>
    <w:div w:id="1979409651">
      <w:bodyDiv w:val="1"/>
      <w:marLeft w:val="0"/>
      <w:marRight w:val="0"/>
      <w:marTop w:val="0"/>
      <w:marBottom w:val="0"/>
      <w:divBdr>
        <w:top w:val="none" w:sz="0" w:space="0" w:color="auto"/>
        <w:left w:val="none" w:sz="0" w:space="0" w:color="auto"/>
        <w:bottom w:val="none" w:sz="0" w:space="0" w:color="auto"/>
        <w:right w:val="none" w:sz="0" w:space="0" w:color="auto"/>
      </w:divBdr>
    </w:div>
    <w:div w:id="1979414642">
      <w:bodyDiv w:val="1"/>
      <w:marLeft w:val="0"/>
      <w:marRight w:val="0"/>
      <w:marTop w:val="0"/>
      <w:marBottom w:val="0"/>
      <w:divBdr>
        <w:top w:val="none" w:sz="0" w:space="0" w:color="auto"/>
        <w:left w:val="none" w:sz="0" w:space="0" w:color="auto"/>
        <w:bottom w:val="none" w:sz="0" w:space="0" w:color="auto"/>
        <w:right w:val="none" w:sz="0" w:space="0" w:color="auto"/>
      </w:divBdr>
    </w:div>
    <w:div w:id="1979526231">
      <w:bodyDiv w:val="1"/>
      <w:marLeft w:val="0"/>
      <w:marRight w:val="0"/>
      <w:marTop w:val="0"/>
      <w:marBottom w:val="0"/>
      <w:divBdr>
        <w:top w:val="none" w:sz="0" w:space="0" w:color="auto"/>
        <w:left w:val="none" w:sz="0" w:space="0" w:color="auto"/>
        <w:bottom w:val="none" w:sz="0" w:space="0" w:color="auto"/>
        <w:right w:val="none" w:sz="0" w:space="0" w:color="auto"/>
      </w:divBdr>
    </w:div>
    <w:div w:id="1979530468">
      <w:bodyDiv w:val="1"/>
      <w:marLeft w:val="0"/>
      <w:marRight w:val="0"/>
      <w:marTop w:val="0"/>
      <w:marBottom w:val="0"/>
      <w:divBdr>
        <w:top w:val="none" w:sz="0" w:space="0" w:color="auto"/>
        <w:left w:val="none" w:sz="0" w:space="0" w:color="auto"/>
        <w:bottom w:val="none" w:sz="0" w:space="0" w:color="auto"/>
        <w:right w:val="none" w:sz="0" w:space="0" w:color="auto"/>
      </w:divBdr>
    </w:div>
    <w:div w:id="1979601563">
      <w:bodyDiv w:val="1"/>
      <w:marLeft w:val="0"/>
      <w:marRight w:val="0"/>
      <w:marTop w:val="0"/>
      <w:marBottom w:val="0"/>
      <w:divBdr>
        <w:top w:val="none" w:sz="0" w:space="0" w:color="auto"/>
        <w:left w:val="none" w:sz="0" w:space="0" w:color="auto"/>
        <w:bottom w:val="none" w:sz="0" w:space="0" w:color="auto"/>
        <w:right w:val="none" w:sz="0" w:space="0" w:color="auto"/>
      </w:divBdr>
    </w:div>
    <w:div w:id="1979604207">
      <w:bodyDiv w:val="1"/>
      <w:marLeft w:val="0"/>
      <w:marRight w:val="0"/>
      <w:marTop w:val="0"/>
      <w:marBottom w:val="0"/>
      <w:divBdr>
        <w:top w:val="none" w:sz="0" w:space="0" w:color="auto"/>
        <w:left w:val="none" w:sz="0" w:space="0" w:color="auto"/>
        <w:bottom w:val="none" w:sz="0" w:space="0" w:color="auto"/>
        <w:right w:val="none" w:sz="0" w:space="0" w:color="auto"/>
      </w:divBdr>
    </w:div>
    <w:div w:id="1979919699">
      <w:bodyDiv w:val="1"/>
      <w:marLeft w:val="0"/>
      <w:marRight w:val="0"/>
      <w:marTop w:val="0"/>
      <w:marBottom w:val="0"/>
      <w:divBdr>
        <w:top w:val="none" w:sz="0" w:space="0" w:color="auto"/>
        <w:left w:val="none" w:sz="0" w:space="0" w:color="auto"/>
        <w:bottom w:val="none" w:sz="0" w:space="0" w:color="auto"/>
        <w:right w:val="none" w:sz="0" w:space="0" w:color="auto"/>
      </w:divBdr>
    </w:div>
    <w:div w:id="1979991917">
      <w:bodyDiv w:val="1"/>
      <w:marLeft w:val="0"/>
      <w:marRight w:val="0"/>
      <w:marTop w:val="0"/>
      <w:marBottom w:val="0"/>
      <w:divBdr>
        <w:top w:val="none" w:sz="0" w:space="0" w:color="auto"/>
        <w:left w:val="none" w:sz="0" w:space="0" w:color="auto"/>
        <w:bottom w:val="none" w:sz="0" w:space="0" w:color="auto"/>
        <w:right w:val="none" w:sz="0" w:space="0" w:color="auto"/>
      </w:divBdr>
    </w:div>
    <w:div w:id="1980063219">
      <w:bodyDiv w:val="1"/>
      <w:marLeft w:val="0"/>
      <w:marRight w:val="0"/>
      <w:marTop w:val="0"/>
      <w:marBottom w:val="0"/>
      <w:divBdr>
        <w:top w:val="none" w:sz="0" w:space="0" w:color="auto"/>
        <w:left w:val="none" w:sz="0" w:space="0" w:color="auto"/>
        <w:bottom w:val="none" w:sz="0" w:space="0" w:color="auto"/>
        <w:right w:val="none" w:sz="0" w:space="0" w:color="auto"/>
      </w:divBdr>
    </w:div>
    <w:div w:id="1980256672">
      <w:bodyDiv w:val="1"/>
      <w:marLeft w:val="0"/>
      <w:marRight w:val="0"/>
      <w:marTop w:val="0"/>
      <w:marBottom w:val="0"/>
      <w:divBdr>
        <w:top w:val="none" w:sz="0" w:space="0" w:color="auto"/>
        <w:left w:val="none" w:sz="0" w:space="0" w:color="auto"/>
        <w:bottom w:val="none" w:sz="0" w:space="0" w:color="auto"/>
        <w:right w:val="none" w:sz="0" w:space="0" w:color="auto"/>
      </w:divBdr>
    </w:div>
    <w:div w:id="1980260836">
      <w:bodyDiv w:val="1"/>
      <w:marLeft w:val="0"/>
      <w:marRight w:val="0"/>
      <w:marTop w:val="0"/>
      <w:marBottom w:val="0"/>
      <w:divBdr>
        <w:top w:val="none" w:sz="0" w:space="0" w:color="auto"/>
        <w:left w:val="none" w:sz="0" w:space="0" w:color="auto"/>
        <w:bottom w:val="none" w:sz="0" w:space="0" w:color="auto"/>
        <w:right w:val="none" w:sz="0" w:space="0" w:color="auto"/>
      </w:divBdr>
    </w:div>
    <w:div w:id="1980459122">
      <w:bodyDiv w:val="1"/>
      <w:marLeft w:val="0"/>
      <w:marRight w:val="0"/>
      <w:marTop w:val="0"/>
      <w:marBottom w:val="0"/>
      <w:divBdr>
        <w:top w:val="none" w:sz="0" w:space="0" w:color="auto"/>
        <w:left w:val="none" w:sz="0" w:space="0" w:color="auto"/>
        <w:bottom w:val="none" w:sz="0" w:space="0" w:color="auto"/>
        <w:right w:val="none" w:sz="0" w:space="0" w:color="auto"/>
      </w:divBdr>
    </w:div>
    <w:div w:id="1980526867">
      <w:bodyDiv w:val="1"/>
      <w:marLeft w:val="0"/>
      <w:marRight w:val="0"/>
      <w:marTop w:val="0"/>
      <w:marBottom w:val="0"/>
      <w:divBdr>
        <w:top w:val="none" w:sz="0" w:space="0" w:color="auto"/>
        <w:left w:val="none" w:sz="0" w:space="0" w:color="auto"/>
        <w:bottom w:val="none" w:sz="0" w:space="0" w:color="auto"/>
        <w:right w:val="none" w:sz="0" w:space="0" w:color="auto"/>
      </w:divBdr>
    </w:div>
    <w:div w:id="1980646893">
      <w:bodyDiv w:val="1"/>
      <w:marLeft w:val="0"/>
      <w:marRight w:val="0"/>
      <w:marTop w:val="0"/>
      <w:marBottom w:val="0"/>
      <w:divBdr>
        <w:top w:val="none" w:sz="0" w:space="0" w:color="auto"/>
        <w:left w:val="none" w:sz="0" w:space="0" w:color="auto"/>
        <w:bottom w:val="none" w:sz="0" w:space="0" w:color="auto"/>
        <w:right w:val="none" w:sz="0" w:space="0" w:color="auto"/>
      </w:divBdr>
    </w:div>
    <w:div w:id="1980768606">
      <w:bodyDiv w:val="1"/>
      <w:marLeft w:val="0"/>
      <w:marRight w:val="0"/>
      <w:marTop w:val="0"/>
      <w:marBottom w:val="0"/>
      <w:divBdr>
        <w:top w:val="none" w:sz="0" w:space="0" w:color="auto"/>
        <w:left w:val="none" w:sz="0" w:space="0" w:color="auto"/>
        <w:bottom w:val="none" w:sz="0" w:space="0" w:color="auto"/>
        <w:right w:val="none" w:sz="0" w:space="0" w:color="auto"/>
      </w:divBdr>
    </w:div>
    <w:div w:id="1980842451">
      <w:bodyDiv w:val="1"/>
      <w:marLeft w:val="0"/>
      <w:marRight w:val="0"/>
      <w:marTop w:val="0"/>
      <w:marBottom w:val="0"/>
      <w:divBdr>
        <w:top w:val="none" w:sz="0" w:space="0" w:color="auto"/>
        <w:left w:val="none" w:sz="0" w:space="0" w:color="auto"/>
        <w:bottom w:val="none" w:sz="0" w:space="0" w:color="auto"/>
        <w:right w:val="none" w:sz="0" w:space="0" w:color="auto"/>
      </w:divBdr>
    </w:div>
    <w:div w:id="1981038849">
      <w:bodyDiv w:val="1"/>
      <w:marLeft w:val="0"/>
      <w:marRight w:val="0"/>
      <w:marTop w:val="0"/>
      <w:marBottom w:val="0"/>
      <w:divBdr>
        <w:top w:val="none" w:sz="0" w:space="0" w:color="auto"/>
        <w:left w:val="none" w:sz="0" w:space="0" w:color="auto"/>
        <w:bottom w:val="none" w:sz="0" w:space="0" w:color="auto"/>
        <w:right w:val="none" w:sz="0" w:space="0" w:color="auto"/>
      </w:divBdr>
    </w:div>
    <w:div w:id="1981109813">
      <w:bodyDiv w:val="1"/>
      <w:marLeft w:val="0"/>
      <w:marRight w:val="0"/>
      <w:marTop w:val="0"/>
      <w:marBottom w:val="0"/>
      <w:divBdr>
        <w:top w:val="none" w:sz="0" w:space="0" w:color="auto"/>
        <w:left w:val="none" w:sz="0" w:space="0" w:color="auto"/>
        <w:bottom w:val="none" w:sz="0" w:space="0" w:color="auto"/>
        <w:right w:val="none" w:sz="0" w:space="0" w:color="auto"/>
      </w:divBdr>
    </w:div>
    <w:div w:id="1981230901">
      <w:bodyDiv w:val="1"/>
      <w:marLeft w:val="0"/>
      <w:marRight w:val="0"/>
      <w:marTop w:val="0"/>
      <w:marBottom w:val="0"/>
      <w:divBdr>
        <w:top w:val="none" w:sz="0" w:space="0" w:color="auto"/>
        <w:left w:val="none" w:sz="0" w:space="0" w:color="auto"/>
        <w:bottom w:val="none" w:sz="0" w:space="0" w:color="auto"/>
        <w:right w:val="none" w:sz="0" w:space="0" w:color="auto"/>
      </w:divBdr>
    </w:div>
    <w:div w:id="1981567868">
      <w:bodyDiv w:val="1"/>
      <w:marLeft w:val="0"/>
      <w:marRight w:val="0"/>
      <w:marTop w:val="0"/>
      <w:marBottom w:val="0"/>
      <w:divBdr>
        <w:top w:val="none" w:sz="0" w:space="0" w:color="auto"/>
        <w:left w:val="none" w:sz="0" w:space="0" w:color="auto"/>
        <w:bottom w:val="none" w:sz="0" w:space="0" w:color="auto"/>
        <w:right w:val="none" w:sz="0" w:space="0" w:color="auto"/>
      </w:divBdr>
    </w:div>
    <w:div w:id="1981571894">
      <w:bodyDiv w:val="1"/>
      <w:marLeft w:val="0"/>
      <w:marRight w:val="0"/>
      <w:marTop w:val="0"/>
      <w:marBottom w:val="0"/>
      <w:divBdr>
        <w:top w:val="none" w:sz="0" w:space="0" w:color="auto"/>
        <w:left w:val="none" w:sz="0" w:space="0" w:color="auto"/>
        <w:bottom w:val="none" w:sz="0" w:space="0" w:color="auto"/>
        <w:right w:val="none" w:sz="0" w:space="0" w:color="auto"/>
      </w:divBdr>
    </w:div>
    <w:div w:id="1981574208">
      <w:bodyDiv w:val="1"/>
      <w:marLeft w:val="0"/>
      <w:marRight w:val="0"/>
      <w:marTop w:val="0"/>
      <w:marBottom w:val="0"/>
      <w:divBdr>
        <w:top w:val="none" w:sz="0" w:space="0" w:color="auto"/>
        <w:left w:val="none" w:sz="0" w:space="0" w:color="auto"/>
        <w:bottom w:val="none" w:sz="0" w:space="0" w:color="auto"/>
        <w:right w:val="none" w:sz="0" w:space="0" w:color="auto"/>
      </w:divBdr>
    </w:div>
    <w:div w:id="1981685686">
      <w:bodyDiv w:val="1"/>
      <w:marLeft w:val="0"/>
      <w:marRight w:val="0"/>
      <w:marTop w:val="0"/>
      <w:marBottom w:val="0"/>
      <w:divBdr>
        <w:top w:val="none" w:sz="0" w:space="0" w:color="auto"/>
        <w:left w:val="none" w:sz="0" w:space="0" w:color="auto"/>
        <w:bottom w:val="none" w:sz="0" w:space="0" w:color="auto"/>
        <w:right w:val="none" w:sz="0" w:space="0" w:color="auto"/>
      </w:divBdr>
    </w:div>
    <w:div w:id="1981810887">
      <w:bodyDiv w:val="1"/>
      <w:marLeft w:val="0"/>
      <w:marRight w:val="0"/>
      <w:marTop w:val="0"/>
      <w:marBottom w:val="0"/>
      <w:divBdr>
        <w:top w:val="none" w:sz="0" w:space="0" w:color="auto"/>
        <w:left w:val="none" w:sz="0" w:space="0" w:color="auto"/>
        <w:bottom w:val="none" w:sz="0" w:space="0" w:color="auto"/>
        <w:right w:val="none" w:sz="0" w:space="0" w:color="auto"/>
      </w:divBdr>
    </w:div>
    <w:div w:id="1982072965">
      <w:bodyDiv w:val="1"/>
      <w:marLeft w:val="0"/>
      <w:marRight w:val="0"/>
      <w:marTop w:val="0"/>
      <w:marBottom w:val="0"/>
      <w:divBdr>
        <w:top w:val="none" w:sz="0" w:space="0" w:color="auto"/>
        <w:left w:val="none" w:sz="0" w:space="0" w:color="auto"/>
        <w:bottom w:val="none" w:sz="0" w:space="0" w:color="auto"/>
        <w:right w:val="none" w:sz="0" w:space="0" w:color="auto"/>
      </w:divBdr>
    </w:div>
    <w:div w:id="1982075406">
      <w:bodyDiv w:val="1"/>
      <w:marLeft w:val="0"/>
      <w:marRight w:val="0"/>
      <w:marTop w:val="0"/>
      <w:marBottom w:val="0"/>
      <w:divBdr>
        <w:top w:val="none" w:sz="0" w:space="0" w:color="auto"/>
        <w:left w:val="none" w:sz="0" w:space="0" w:color="auto"/>
        <w:bottom w:val="none" w:sz="0" w:space="0" w:color="auto"/>
        <w:right w:val="none" w:sz="0" w:space="0" w:color="auto"/>
      </w:divBdr>
    </w:div>
    <w:div w:id="1982075677">
      <w:bodyDiv w:val="1"/>
      <w:marLeft w:val="0"/>
      <w:marRight w:val="0"/>
      <w:marTop w:val="0"/>
      <w:marBottom w:val="0"/>
      <w:divBdr>
        <w:top w:val="none" w:sz="0" w:space="0" w:color="auto"/>
        <w:left w:val="none" w:sz="0" w:space="0" w:color="auto"/>
        <w:bottom w:val="none" w:sz="0" w:space="0" w:color="auto"/>
        <w:right w:val="none" w:sz="0" w:space="0" w:color="auto"/>
      </w:divBdr>
    </w:div>
    <w:div w:id="1982148321">
      <w:bodyDiv w:val="1"/>
      <w:marLeft w:val="0"/>
      <w:marRight w:val="0"/>
      <w:marTop w:val="0"/>
      <w:marBottom w:val="0"/>
      <w:divBdr>
        <w:top w:val="none" w:sz="0" w:space="0" w:color="auto"/>
        <w:left w:val="none" w:sz="0" w:space="0" w:color="auto"/>
        <w:bottom w:val="none" w:sz="0" w:space="0" w:color="auto"/>
        <w:right w:val="none" w:sz="0" w:space="0" w:color="auto"/>
      </w:divBdr>
    </w:div>
    <w:div w:id="1982269814">
      <w:bodyDiv w:val="1"/>
      <w:marLeft w:val="0"/>
      <w:marRight w:val="0"/>
      <w:marTop w:val="0"/>
      <w:marBottom w:val="0"/>
      <w:divBdr>
        <w:top w:val="none" w:sz="0" w:space="0" w:color="auto"/>
        <w:left w:val="none" w:sz="0" w:space="0" w:color="auto"/>
        <w:bottom w:val="none" w:sz="0" w:space="0" w:color="auto"/>
        <w:right w:val="none" w:sz="0" w:space="0" w:color="auto"/>
      </w:divBdr>
    </w:div>
    <w:div w:id="1982299366">
      <w:bodyDiv w:val="1"/>
      <w:marLeft w:val="0"/>
      <w:marRight w:val="0"/>
      <w:marTop w:val="0"/>
      <w:marBottom w:val="0"/>
      <w:divBdr>
        <w:top w:val="none" w:sz="0" w:space="0" w:color="auto"/>
        <w:left w:val="none" w:sz="0" w:space="0" w:color="auto"/>
        <w:bottom w:val="none" w:sz="0" w:space="0" w:color="auto"/>
        <w:right w:val="none" w:sz="0" w:space="0" w:color="auto"/>
      </w:divBdr>
    </w:div>
    <w:div w:id="1982417889">
      <w:bodyDiv w:val="1"/>
      <w:marLeft w:val="0"/>
      <w:marRight w:val="0"/>
      <w:marTop w:val="0"/>
      <w:marBottom w:val="0"/>
      <w:divBdr>
        <w:top w:val="none" w:sz="0" w:space="0" w:color="auto"/>
        <w:left w:val="none" w:sz="0" w:space="0" w:color="auto"/>
        <w:bottom w:val="none" w:sz="0" w:space="0" w:color="auto"/>
        <w:right w:val="none" w:sz="0" w:space="0" w:color="auto"/>
      </w:divBdr>
    </w:div>
    <w:div w:id="1982419029">
      <w:bodyDiv w:val="1"/>
      <w:marLeft w:val="0"/>
      <w:marRight w:val="0"/>
      <w:marTop w:val="0"/>
      <w:marBottom w:val="0"/>
      <w:divBdr>
        <w:top w:val="none" w:sz="0" w:space="0" w:color="auto"/>
        <w:left w:val="none" w:sz="0" w:space="0" w:color="auto"/>
        <w:bottom w:val="none" w:sz="0" w:space="0" w:color="auto"/>
        <w:right w:val="none" w:sz="0" w:space="0" w:color="auto"/>
      </w:divBdr>
    </w:div>
    <w:div w:id="1982419066">
      <w:bodyDiv w:val="1"/>
      <w:marLeft w:val="0"/>
      <w:marRight w:val="0"/>
      <w:marTop w:val="0"/>
      <w:marBottom w:val="0"/>
      <w:divBdr>
        <w:top w:val="none" w:sz="0" w:space="0" w:color="auto"/>
        <w:left w:val="none" w:sz="0" w:space="0" w:color="auto"/>
        <w:bottom w:val="none" w:sz="0" w:space="0" w:color="auto"/>
        <w:right w:val="none" w:sz="0" w:space="0" w:color="auto"/>
      </w:divBdr>
    </w:div>
    <w:div w:id="1982423376">
      <w:bodyDiv w:val="1"/>
      <w:marLeft w:val="0"/>
      <w:marRight w:val="0"/>
      <w:marTop w:val="0"/>
      <w:marBottom w:val="0"/>
      <w:divBdr>
        <w:top w:val="none" w:sz="0" w:space="0" w:color="auto"/>
        <w:left w:val="none" w:sz="0" w:space="0" w:color="auto"/>
        <w:bottom w:val="none" w:sz="0" w:space="0" w:color="auto"/>
        <w:right w:val="none" w:sz="0" w:space="0" w:color="auto"/>
      </w:divBdr>
    </w:div>
    <w:div w:id="1982539358">
      <w:bodyDiv w:val="1"/>
      <w:marLeft w:val="0"/>
      <w:marRight w:val="0"/>
      <w:marTop w:val="0"/>
      <w:marBottom w:val="0"/>
      <w:divBdr>
        <w:top w:val="none" w:sz="0" w:space="0" w:color="auto"/>
        <w:left w:val="none" w:sz="0" w:space="0" w:color="auto"/>
        <w:bottom w:val="none" w:sz="0" w:space="0" w:color="auto"/>
        <w:right w:val="none" w:sz="0" w:space="0" w:color="auto"/>
      </w:divBdr>
    </w:div>
    <w:div w:id="1982541956">
      <w:bodyDiv w:val="1"/>
      <w:marLeft w:val="0"/>
      <w:marRight w:val="0"/>
      <w:marTop w:val="0"/>
      <w:marBottom w:val="0"/>
      <w:divBdr>
        <w:top w:val="none" w:sz="0" w:space="0" w:color="auto"/>
        <w:left w:val="none" w:sz="0" w:space="0" w:color="auto"/>
        <w:bottom w:val="none" w:sz="0" w:space="0" w:color="auto"/>
        <w:right w:val="none" w:sz="0" w:space="0" w:color="auto"/>
      </w:divBdr>
    </w:div>
    <w:div w:id="1982733042">
      <w:bodyDiv w:val="1"/>
      <w:marLeft w:val="0"/>
      <w:marRight w:val="0"/>
      <w:marTop w:val="0"/>
      <w:marBottom w:val="0"/>
      <w:divBdr>
        <w:top w:val="none" w:sz="0" w:space="0" w:color="auto"/>
        <w:left w:val="none" w:sz="0" w:space="0" w:color="auto"/>
        <w:bottom w:val="none" w:sz="0" w:space="0" w:color="auto"/>
        <w:right w:val="none" w:sz="0" w:space="0" w:color="auto"/>
      </w:divBdr>
    </w:div>
    <w:div w:id="1983000704">
      <w:bodyDiv w:val="1"/>
      <w:marLeft w:val="0"/>
      <w:marRight w:val="0"/>
      <w:marTop w:val="0"/>
      <w:marBottom w:val="0"/>
      <w:divBdr>
        <w:top w:val="none" w:sz="0" w:space="0" w:color="auto"/>
        <w:left w:val="none" w:sz="0" w:space="0" w:color="auto"/>
        <w:bottom w:val="none" w:sz="0" w:space="0" w:color="auto"/>
        <w:right w:val="none" w:sz="0" w:space="0" w:color="auto"/>
      </w:divBdr>
    </w:div>
    <w:div w:id="1983197774">
      <w:bodyDiv w:val="1"/>
      <w:marLeft w:val="0"/>
      <w:marRight w:val="0"/>
      <w:marTop w:val="0"/>
      <w:marBottom w:val="0"/>
      <w:divBdr>
        <w:top w:val="none" w:sz="0" w:space="0" w:color="auto"/>
        <w:left w:val="none" w:sz="0" w:space="0" w:color="auto"/>
        <w:bottom w:val="none" w:sz="0" w:space="0" w:color="auto"/>
        <w:right w:val="none" w:sz="0" w:space="0" w:color="auto"/>
      </w:divBdr>
    </w:div>
    <w:div w:id="1983267286">
      <w:bodyDiv w:val="1"/>
      <w:marLeft w:val="0"/>
      <w:marRight w:val="0"/>
      <w:marTop w:val="0"/>
      <w:marBottom w:val="0"/>
      <w:divBdr>
        <w:top w:val="none" w:sz="0" w:space="0" w:color="auto"/>
        <w:left w:val="none" w:sz="0" w:space="0" w:color="auto"/>
        <w:bottom w:val="none" w:sz="0" w:space="0" w:color="auto"/>
        <w:right w:val="none" w:sz="0" w:space="0" w:color="auto"/>
      </w:divBdr>
    </w:div>
    <w:div w:id="1983346313">
      <w:bodyDiv w:val="1"/>
      <w:marLeft w:val="0"/>
      <w:marRight w:val="0"/>
      <w:marTop w:val="0"/>
      <w:marBottom w:val="0"/>
      <w:divBdr>
        <w:top w:val="none" w:sz="0" w:space="0" w:color="auto"/>
        <w:left w:val="none" w:sz="0" w:space="0" w:color="auto"/>
        <w:bottom w:val="none" w:sz="0" w:space="0" w:color="auto"/>
        <w:right w:val="none" w:sz="0" w:space="0" w:color="auto"/>
      </w:divBdr>
    </w:div>
    <w:div w:id="1983348167">
      <w:bodyDiv w:val="1"/>
      <w:marLeft w:val="0"/>
      <w:marRight w:val="0"/>
      <w:marTop w:val="0"/>
      <w:marBottom w:val="0"/>
      <w:divBdr>
        <w:top w:val="none" w:sz="0" w:space="0" w:color="auto"/>
        <w:left w:val="none" w:sz="0" w:space="0" w:color="auto"/>
        <w:bottom w:val="none" w:sz="0" w:space="0" w:color="auto"/>
        <w:right w:val="none" w:sz="0" w:space="0" w:color="auto"/>
      </w:divBdr>
    </w:div>
    <w:div w:id="1983385606">
      <w:bodyDiv w:val="1"/>
      <w:marLeft w:val="0"/>
      <w:marRight w:val="0"/>
      <w:marTop w:val="0"/>
      <w:marBottom w:val="0"/>
      <w:divBdr>
        <w:top w:val="none" w:sz="0" w:space="0" w:color="auto"/>
        <w:left w:val="none" w:sz="0" w:space="0" w:color="auto"/>
        <w:bottom w:val="none" w:sz="0" w:space="0" w:color="auto"/>
        <w:right w:val="none" w:sz="0" w:space="0" w:color="auto"/>
      </w:divBdr>
    </w:div>
    <w:div w:id="1983388349">
      <w:bodyDiv w:val="1"/>
      <w:marLeft w:val="0"/>
      <w:marRight w:val="0"/>
      <w:marTop w:val="0"/>
      <w:marBottom w:val="0"/>
      <w:divBdr>
        <w:top w:val="none" w:sz="0" w:space="0" w:color="auto"/>
        <w:left w:val="none" w:sz="0" w:space="0" w:color="auto"/>
        <w:bottom w:val="none" w:sz="0" w:space="0" w:color="auto"/>
        <w:right w:val="none" w:sz="0" w:space="0" w:color="auto"/>
      </w:divBdr>
    </w:div>
    <w:div w:id="1983457899">
      <w:bodyDiv w:val="1"/>
      <w:marLeft w:val="0"/>
      <w:marRight w:val="0"/>
      <w:marTop w:val="0"/>
      <w:marBottom w:val="0"/>
      <w:divBdr>
        <w:top w:val="none" w:sz="0" w:space="0" w:color="auto"/>
        <w:left w:val="none" w:sz="0" w:space="0" w:color="auto"/>
        <w:bottom w:val="none" w:sz="0" w:space="0" w:color="auto"/>
        <w:right w:val="none" w:sz="0" w:space="0" w:color="auto"/>
      </w:divBdr>
    </w:div>
    <w:div w:id="1983536595">
      <w:bodyDiv w:val="1"/>
      <w:marLeft w:val="0"/>
      <w:marRight w:val="0"/>
      <w:marTop w:val="0"/>
      <w:marBottom w:val="0"/>
      <w:divBdr>
        <w:top w:val="none" w:sz="0" w:space="0" w:color="auto"/>
        <w:left w:val="none" w:sz="0" w:space="0" w:color="auto"/>
        <w:bottom w:val="none" w:sz="0" w:space="0" w:color="auto"/>
        <w:right w:val="none" w:sz="0" w:space="0" w:color="auto"/>
      </w:divBdr>
    </w:div>
    <w:div w:id="1983536788">
      <w:bodyDiv w:val="1"/>
      <w:marLeft w:val="0"/>
      <w:marRight w:val="0"/>
      <w:marTop w:val="0"/>
      <w:marBottom w:val="0"/>
      <w:divBdr>
        <w:top w:val="none" w:sz="0" w:space="0" w:color="auto"/>
        <w:left w:val="none" w:sz="0" w:space="0" w:color="auto"/>
        <w:bottom w:val="none" w:sz="0" w:space="0" w:color="auto"/>
        <w:right w:val="none" w:sz="0" w:space="0" w:color="auto"/>
      </w:divBdr>
    </w:div>
    <w:div w:id="1983580081">
      <w:bodyDiv w:val="1"/>
      <w:marLeft w:val="0"/>
      <w:marRight w:val="0"/>
      <w:marTop w:val="0"/>
      <w:marBottom w:val="0"/>
      <w:divBdr>
        <w:top w:val="none" w:sz="0" w:space="0" w:color="auto"/>
        <w:left w:val="none" w:sz="0" w:space="0" w:color="auto"/>
        <w:bottom w:val="none" w:sz="0" w:space="0" w:color="auto"/>
        <w:right w:val="none" w:sz="0" w:space="0" w:color="auto"/>
      </w:divBdr>
    </w:div>
    <w:div w:id="1983608317">
      <w:bodyDiv w:val="1"/>
      <w:marLeft w:val="0"/>
      <w:marRight w:val="0"/>
      <w:marTop w:val="0"/>
      <w:marBottom w:val="0"/>
      <w:divBdr>
        <w:top w:val="none" w:sz="0" w:space="0" w:color="auto"/>
        <w:left w:val="none" w:sz="0" w:space="0" w:color="auto"/>
        <w:bottom w:val="none" w:sz="0" w:space="0" w:color="auto"/>
        <w:right w:val="none" w:sz="0" w:space="0" w:color="auto"/>
      </w:divBdr>
    </w:div>
    <w:div w:id="1983653094">
      <w:bodyDiv w:val="1"/>
      <w:marLeft w:val="0"/>
      <w:marRight w:val="0"/>
      <w:marTop w:val="0"/>
      <w:marBottom w:val="0"/>
      <w:divBdr>
        <w:top w:val="none" w:sz="0" w:space="0" w:color="auto"/>
        <w:left w:val="none" w:sz="0" w:space="0" w:color="auto"/>
        <w:bottom w:val="none" w:sz="0" w:space="0" w:color="auto"/>
        <w:right w:val="none" w:sz="0" w:space="0" w:color="auto"/>
      </w:divBdr>
    </w:div>
    <w:div w:id="1983852110">
      <w:bodyDiv w:val="1"/>
      <w:marLeft w:val="0"/>
      <w:marRight w:val="0"/>
      <w:marTop w:val="0"/>
      <w:marBottom w:val="0"/>
      <w:divBdr>
        <w:top w:val="none" w:sz="0" w:space="0" w:color="auto"/>
        <w:left w:val="none" w:sz="0" w:space="0" w:color="auto"/>
        <w:bottom w:val="none" w:sz="0" w:space="0" w:color="auto"/>
        <w:right w:val="none" w:sz="0" w:space="0" w:color="auto"/>
      </w:divBdr>
    </w:div>
    <w:div w:id="1983852508">
      <w:bodyDiv w:val="1"/>
      <w:marLeft w:val="0"/>
      <w:marRight w:val="0"/>
      <w:marTop w:val="0"/>
      <w:marBottom w:val="0"/>
      <w:divBdr>
        <w:top w:val="none" w:sz="0" w:space="0" w:color="auto"/>
        <w:left w:val="none" w:sz="0" w:space="0" w:color="auto"/>
        <w:bottom w:val="none" w:sz="0" w:space="0" w:color="auto"/>
        <w:right w:val="none" w:sz="0" w:space="0" w:color="auto"/>
      </w:divBdr>
    </w:div>
    <w:div w:id="1983927434">
      <w:bodyDiv w:val="1"/>
      <w:marLeft w:val="0"/>
      <w:marRight w:val="0"/>
      <w:marTop w:val="0"/>
      <w:marBottom w:val="0"/>
      <w:divBdr>
        <w:top w:val="none" w:sz="0" w:space="0" w:color="auto"/>
        <w:left w:val="none" w:sz="0" w:space="0" w:color="auto"/>
        <w:bottom w:val="none" w:sz="0" w:space="0" w:color="auto"/>
        <w:right w:val="none" w:sz="0" w:space="0" w:color="auto"/>
      </w:divBdr>
    </w:div>
    <w:div w:id="1983998491">
      <w:bodyDiv w:val="1"/>
      <w:marLeft w:val="0"/>
      <w:marRight w:val="0"/>
      <w:marTop w:val="0"/>
      <w:marBottom w:val="0"/>
      <w:divBdr>
        <w:top w:val="none" w:sz="0" w:space="0" w:color="auto"/>
        <w:left w:val="none" w:sz="0" w:space="0" w:color="auto"/>
        <w:bottom w:val="none" w:sz="0" w:space="0" w:color="auto"/>
        <w:right w:val="none" w:sz="0" w:space="0" w:color="auto"/>
      </w:divBdr>
    </w:div>
    <w:div w:id="1984044971">
      <w:bodyDiv w:val="1"/>
      <w:marLeft w:val="0"/>
      <w:marRight w:val="0"/>
      <w:marTop w:val="0"/>
      <w:marBottom w:val="0"/>
      <w:divBdr>
        <w:top w:val="none" w:sz="0" w:space="0" w:color="auto"/>
        <w:left w:val="none" w:sz="0" w:space="0" w:color="auto"/>
        <w:bottom w:val="none" w:sz="0" w:space="0" w:color="auto"/>
        <w:right w:val="none" w:sz="0" w:space="0" w:color="auto"/>
      </w:divBdr>
    </w:div>
    <w:div w:id="1984118446">
      <w:bodyDiv w:val="1"/>
      <w:marLeft w:val="0"/>
      <w:marRight w:val="0"/>
      <w:marTop w:val="0"/>
      <w:marBottom w:val="0"/>
      <w:divBdr>
        <w:top w:val="none" w:sz="0" w:space="0" w:color="auto"/>
        <w:left w:val="none" w:sz="0" w:space="0" w:color="auto"/>
        <w:bottom w:val="none" w:sz="0" w:space="0" w:color="auto"/>
        <w:right w:val="none" w:sz="0" w:space="0" w:color="auto"/>
      </w:divBdr>
    </w:div>
    <w:div w:id="1984188745">
      <w:bodyDiv w:val="1"/>
      <w:marLeft w:val="0"/>
      <w:marRight w:val="0"/>
      <w:marTop w:val="0"/>
      <w:marBottom w:val="0"/>
      <w:divBdr>
        <w:top w:val="none" w:sz="0" w:space="0" w:color="auto"/>
        <w:left w:val="none" w:sz="0" w:space="0" w:color="auto"/>
        <w:bottom w:val="none" w:sz="0" w:space="0" w:color="auto"/>
        <w:right w:val="none" w:sz="0" w:space="0" w:color="auto"/>
      </w:divBdr>
    </w:div>
    <w:div w:id="1984191446">
      <w:bodyDiv w:val="1"/>
      <w:marLeft w:val="0"/>
      <w:marRight w:val="0"/>
      <w:marTop w:val="0"/>
      <w:marBottom w:val="0"/>
      <w:divBdr>
        <w:top w:val="none" w:sz="0" w:space="0" w:color="auto"/>
        <w:left w:val="none" w:sz="0" w:space="0" w:color="auto"/>
        <w:bottom w:val="none" w:sz="0" w:space="0" w:color="auto"/>
        <w:right w:val="none" w:sz="0" w:space="0" w:color="auto"/>
      </w:divBdr>
    </w:div>
    <w:div w:id="1984192615">
      <w:bodyDiv w:val="1"/>
      <w:marLeft w:val="0"/>
      <w:marRight w:val="0"/>
      <w:marTop w:val="0"/>
      <w:marBottom w:val="0"/>
      <w:divBdr>
        <w:top w:val="none" w:sz="0" w:space="0" w:color="auto"/>
        <w:left w:val="none" w:sz="0" w:space="0" w:color="auto"/>
        <w:bottom w:val="none" w:sz="0" w:space="0" w:color="auto"/>
        <w:right w:val="none" w:sz="0" w:space="0" w:color="auto"/>
      </w:divBdr>
    </w:div>
    <w:div w:id="1984195412">
      <w:bodyDiv w:val="1"/>
      <w:marLeft w:val="0"/>
      <w:marRight w:val="0"/>
      <w:marTop w:val="0"/>
      <w:marBottom w:val="0"/>
      <w:divBdr>
        <w:top w:val="none" w:sz="0" w:space="0" w:color="auto"/>
        <w:left w:val="none" w:sz="0" w:space="0" w:color="auto"/>
        <w:bottom w:val="none" w:sz="0" w:space="0" w:color="auto"/>
        <w:right w:val="none" w:sz="0" w:space="0" w:color="auto"/>
      </w:divBdr>
    </w:div>
    <w:div w:id="1984195618">
      <w:bodyDiv w:val="1"/>
      <w:marLeft w:val="0"/>
      <w:marRight w:val="0"/>
      <w:marTop w:val="0"/>
      <w:marBottom w:val="0"/>
      <w:divBdr>
        <w:top w:val="none" w:sz="0" w:space="0" w:color="auto"/>
        <w:left w:val="none" w:sz="0" w:space="0" w:color="auto"/>
        <w:bottom w:val="none" w:sz="0" w:space="0" w:color="auto"/>
        <w:right w:val="none" w:sz="0" w:space="0" w:color="auto"/>
      </w:divBdr>
    </w:div>
    <w:div w:id="1984263543">
      <w:bodyDiv w:val="1"/>
      <w:marLeft w:val="0"/>
      <w:marRight w:val="0"/>
      <w:marTop w:val="0"/>
      <w:marBottom w:val="0"/>
      <w:divBdr>
        <w:top w:val="none" w:sz="0" w:space="0" w:color="auto"/>
        <w:left w:val="none" w:sz="0" w:space="0" w:color="auto"/>
        <w:bottom w:val="none" w:sz="0" w:space="0" w:color="auto"/>
        <w:right w:val="none" w:sz="0" w:space="0" w:color="auto"/>
      </w:divBdr>
    </w:div>
    <w:div w:id="1984306960">
      <w:bodyDiv w:val="1"/>
      <w:marLeft w:val="0"/>
      <w:marRight w:val="0"/>
      <w:marTop w:val="0"/>
      <w:marBottom w:val="0"/>
      <w:divBdr>
        <w:top w:val="none" w:sz="0" w:space="0" w:color="auto"/>
        <w:left w:val="none" w:sz="0" w:space="0" w:color="auto"/>
        <w:bottom w:val="none" w:sz="0" w:space="0" w:color="auto"/>
        <w:right w:val="none" w:sz="0" w:space="0" w:color="auto"/>
      </w:divBdr>
    </w:div>
    <w:div w:id="1984383623">
      <w:bodyDiv w:val="1"/>
      <w:marLeft w:val="0"/>
      <w:marRight w:val="0"/>
      <w:marTop w:val="0"/>
      <w:marBottom w:val="0"/>
      <w:divBdr>
        <w:top w:val="none" w:sz="0" w:space="0" w:color="auto"/>
        <w:left w:val="none" w:sz="0" w:space="0" w:color="auto"/>
        <w:bottom w:val="none" w:sz="0" w:space="0" w:color="auto"/>
        <w:right w:val="none" w:sz="0" w:space="0" w:color="auto"/>
      </w:divBdr>
    </w:div>
    <w:div w:id="1984386188">
      <w:bodyDiv w:val="1"/>
      <w:marLeft w:val="0"/>
      <w:marRight w:val="0"/>
      <w:marTop w:val="0"/>
      <w:marBottom w:val="0"/>
      <w:divBdr>
        <w:top w:val="none" w:sz="0" w:space="0" w:color="auto"/>
        <w:left w:val="none" w:sz="0" w:space="0" w:color="auto"/>
        <w:bottom w:val="none" w:sz="0" w:space="0" w:color="auto"/>
        <w:right w:val="none" w:sz="0" w:space="0" w:color="auto"/>
      </w:divBdr>
    </w:div>
    <w:div w:id="1984582510">
      <w:bodyDiv w:val="1"/>
      <w:marLeft w:val="0"/>
      <w:marRight w:val="0"/>
      <w:marTop w:val="0"/>
      <w:marBottom w:val="0"/>
      <w:divBdr>
        <w:top w:val="none" w:sz="0" w:space="0" w:color="auto"/>
        <w:left w:val="none" w:sz="0" w:space="0" w:color="auto"/>
        <w:bottom w:val="none" w:sz="0" w:space="0" w:color="auto"/>
        <w:right w:val="none" w:sz="0" w:space="0" w:color="auto"/>
      </w:divBdr>
    </w:div>
    <w:div w:id="1984583390">
      <w:bodyDiv w:val="1"/>
      <w:marLeft w:val="0"/>
      <w:marRight w:val="0"/>
      <w:marTop w:val="0"/>
      <w:marBottom w:val="0"/>
      <w:divBdr>
        <w:top w:val="none" w:sz="0" w:space="0" w:color="auto"/>
        <w:left w:val="none" w:sz="0" w:space="0" w:color="auto"/>
        <w:bottom w:val="none" w:sz="0" w:space="0" w:color="auto"/>
        <w:right w:val="none" w:sz="0" w:space="0" w:color="auto"/>
      </w:divBdr>
    </w:div>
    <w:div w:id="1984655703">
      <w:bodyDiv w:val="1"/>
      <w:marLeft w:val="0"/>
      <w:marRight w:val="0"/>
      <w:marTop w:val="0"/>
      <w:marBottom w:val="0"/>
      <w:divBdr>
        <w:top w:val="none" w:sz="0" w:space="0" w:color="auto"/>
        <w:left w:val="none" w:sz="0" w:space="0" w:color="auto"/>
        <w:bottom w:val="none" w:sz="0" w:space="0" w:color="auto"/>
        <w:right w:val="none" w:sz="0" w:space="0" w:color="auto"/>
      </w:divBdr>
    </w:div>
    <w:div w:id="1984892162">
      <w:bodyDiv w:val="1"/>
      <w:marLeft w:val="0"/>
      <w:marRight w:val="0"/>
      <w:marTop w:val="0"/>
      <w:marBottom w:val="0"/>
      <w:divBdr>
        <w:top w:val="none" w:sz="0" w:space="0" w:color="auto"/>
        <w:left w:val="none" w:sz="0" w:space="0" w:color="auto"/>
        <w:bottom w:val="none" w:sz="0" w:space="0" w:color="auto"/>
        <w:right w:val="none" w:sz="0" w:space="0" w:color="auto"/>
      </w:divBdr>
    </w:div>
    <w:div w:id="1984893164">
      <w:bodyDiv w:val="1"/>
      <w:marLeft w:val="0"/>
      <w:marRight w:val="0"/>
      <w:marTop w:val="0"/>
      <w:marBottom w:val="0"/>
      <w:divBdr>
        <w:top w:val="none" w:sz="0" w:space="0" w:color="auto"/>
        <w:left w:val="none" w:sz="0" w:space="0" w:color="auto"/>
        <w:bottom w:val="none" w:sz="0" w:space="0" w:color="auto"/>
        <w:right w:val="none" w:sz="0" w:space="0" w:color="auto"/>
      </w:divBdr>
    </w:div>
    <w:div w:id="1985040083">
      <w:bodyDiv w:val="1"/>
      <w:marLeft w:val="0"/>
      <w:marRight w:val="0"/>
      <w:marTop w:val="0"/>
      <w:marBottom w:val="0"/>
      <w:divBdr>
        <w:top w:val="none" w:sz="0" w:space="0" w:color="auto"/>
        <w:left w:val="none" w:sz="0" w:space="0" w:color="auto"/>
        <w:bottom w:val="none" w:sz="0" w:space="0" w:color="auto"/>
        <w:right w:val="none" w:sz="0" w:space="0" w:color="auto"/>
      </w:divBdr>
    </w:div>
    <w:div w:id="1985043977">
      <w:bodyDiv w:val="1"/>
      <w:marLeft w:val="0"/>
      <w:marRight w:val="0"/>
      <w:marTop w:val="0"/>
      <w:marBottom w:val="0"/>
      <w:divBdr>
        <w:top w:val="none" w:sz="0" w:space="0" w:color="auto"/>
        <w:left w:val="none" w:sz="0" w:space="0" w:color="auto"/>
        <w:bottom w:val="none" w:sz="0" w:space="0" w:color="auto"/>
        <w:right w:val="none" w:sz="0" w:space="0" w:color="auto"/>
      </w:divBdr>
    </w:div>
    <w:div w:id="1985113203">
      <w:bodyDiv w:val="1"/>
      <w:marLeft w:val="0"/>
      <w:marRight w:val="0"/>
      <w:marTop w:val="0"/>
      <w:marBottom w:val="0"/>
      <w:divBdr>
        <w:top w:val="none" w:sz="0" w:space="0" w:color="auto"/>
        <w:left w:val="none" w:sz="0" w:space="0" w:color="auto"/>
        <w:bottom w:val="none" w:sz="0" w:space="0" w:color="auto"/>
        <w:right w:val="none" w:sz="0" w:space="0" w:color="auto"/>
      </w:divBdr>
    </w:div>
    <w:div w:id="1985117898">
      <w:bodyDiv w:val="1"/>
      <w:marLeft w:val="0"/>
      <w:marRight w:val="0"/>
      <w:marTop w:val="0"/>
      <w:marBottom w:val="0"/>
      <w:divBdr>
        <w:top w:val="none" w:sz="0" w:space="0" w:color="auto"/>
        <w:left w:val="none" w:sz="0" w:space="0" w:color="auto"/>
        <w:bottom w:val="none" w:sz="0" w:space="0" w:color="auto"/>
        <w:right w:val="none" w:sz="0" w:space="0" w:color="auto"/>
      </w:divBdr>
    </w:div>
    <w:div w:id="1985235833">
      <w:bodyDiv w:val="1"/>
      <w:marLeft w:val="0"/>
      <w:marRight w:val="0"/>
      <w:marTop w:val="0"/>
      <w:marBottom w:val="0"/>
      <w:divBdr>
        <w:top w:val="none" w:sz="0" w:space="0" w:color="auto"/>
        <w:left w:val="none" w:sz="0" w:space="0" w:color="auto"/>
        <w:bottom w:val="none" w:sz="0" w:space="0" w:color="auto"/>
        <w:right w:val="none" w:sz="0" w:space="0" w:color="auto"/>
      </w:divBdr>
    </w:div>
    <w:div w:id="1985349950">
      <w:bodyDiv w:val="1"/>
      <w:marLeft w:val="0"/>
      <w:marRight w:val="0"/>
      <w:marTop w:val="0"/>
      <w:marBottom w:val="0"/>
      <w:divBdr>
        <w:top w:val="none" w:sz="0" w:space="0" w:color="auto"/>
        <w:left w:val="none" w:sz="0" w:space="0" w:color="auto"/>
        <w:bottom w:val="none" w:sz="0" w:space="0" w:color="auto"/>
        <w:right w:val="none" w:sz="0" w:space="0" w:color="auto"/>
      </w:divBdr>
    </w:div>
    <w:div w:id="1985426883">
      <w:bodyDiv w:val="1"/>
      <w:marLeft w:val="0"/>
      <w:marRight w:val="0"/>
      <w:marTop w:val="0"/>
      <w:marBottom w:val="0"/>
      <w:divBdr>
        <w:top w:val="none" w:sz="0" w:space="0" w:color="auto"/>
        <w:left w:val="none" w:sz="0" w:space="0" w:color="auto"/>
        <w:bottom w:val="none" w:sz="0" w:space="0" w:color="auto"/>
        <w:right w:val="none" w:sz="0" w:space="0" w:color="auto"/>
      </w:divBdr>
    </w:div>
    <w:div w:id="1985549053">
      <w:bodyDiv w:val="1"/>
      <w:marLeft w:val="0"/>
      <w:marRight w:val="0"/>
      <w:marTop w:val="0"/>
      <w:marBottom w:val="0"/>
      <w:divBdr>
        <w:top w:val="none" w:sz="0" w:space="0" w:color="auto"/>
        <w:left w:val="none" w:sz="0" w:space="0" w:color="auto"/>
        <w:bottom w:val="none" w:sz="0" w:space="0" w:color="auto"/>
        <w:right w:val="none" w:sz="0" w:space="0" w:color="auto"/>
      </w:divBdr>
    </w:div>
    <w:div w:id="1985618879">
      <w:bodyDiv w:val="1"/>
      <w:marLeft w:val="0"/>
      <w:marRight w:val="0"/>
      <w:marTop w:val="0"/>
      <w:marBottom w:val="0"/>
      <w:divBdr>
        <w:top w:val="none" w:sz="0" w:space="0" w:color="auto"/>
        <w:left w:val="none" w:sz="0" w:space="0" w:color="auto"/>
        <w:bottom w:val="none" w:sz="0" w:space="0" w:color="auto"/>
        <w:right w:val="none" w:sz="0" w:space="0" w:color="auto"/>
      </w:divBdr>
    </w:div>
    <w:div w:id="1985624180">
      <w:bodyDiv w:val="1"/>
      <w:marLeft w:val="0"/>
      <w:marRight w:val="0"/>
      <w:marTop w:val="0"/>
      <w:marBottom w:val="0"/>
      <w:divBdr>
        <w:top w:val="none" w:sz="0" w:space="0" w:color="auto"/>
        <w:left w:val="none" w:sz="0" w:space="0" w:color="auto"/>
        <w:bottom w:val="none" w:sz="0" w:space="0" w:color="auto"/>
        <w:right w:val="none" w:sz="0" w:space="0" w:color="auto"/>
      </w:divBdr>
    </w:div>
    <w:div w:id="1985741299">
      <w:bodyDiv w:val="1"/>
      <w:marLeft w:val="0"/>
      <w:marRight w:val="0"/>
      <w:marTop w:val="0"/>
      <w:marBottom w:val="0"/>
      <w:divBdr>
        <w:top w:val="none" w:sz="0" w:space="0" w:color="auto"/>
        <w:left w:val="none" w:sz="0" w:space="0" w:color="auto"/>
        <w:bottom w:val="none" w:sz="0" w:space="0" w:color="auto"/>
        <w:right w:val="none" w:sz="0" w:space="0" w:color="auto"/>
      </w:divBdr>
    </w:div>
    <w:div w:id="1985742232">
      <w:bodyDiv w:val="1"/>
      <w:marLeft w:val="0"/>
      <w:marRight w:val="0"/>
      <w:marTop w:val="0"/>
      <w:marBottom w:val="0"/>
      <w:divBdr>
        <w:top w:val="none" w:sz="0" w:space="0" w:color="auto"/>
        <w:left w:val="none" w:sz="0" w:space="0" w:color="auto"/>
        <w:bottom w:val="none" w:sz="0" w:space="0" w:color="auto"/>
        <w:right w:val="none" w:sz="0" w:space="0" w:color="auto"/>
      </w:divBdr>
    </w:div>
    <w:div w:id="1985811953">
      <w:bodyDiv w:val="1"/>
      <w:marLeft w:val="0"/>
      <w:marRight w:val="0"/>
      <w:marTop w:val="0"/>
      <w:marBottom w:val="0"/>
      <w:divBdr>
        <w:top w:val="none" w:sz="0" w:space="0" w:color="auto"/>
        <w:left w:val="none" w:sz="0" w:space="0" w:color="auto"/>
        <w:bottom w:val="none" w:sz="0" w:space="0" w:color="auto"/>
        <w:right w:val="none" w:sz="0" w:space="0" w:color="auto"/>
      </w:divBdr>
    </w:div>
    <w:div w:id="1985960310">
      <w:bodyDiv w:val="1"/>
      <w:marLeft w:val="0"/>
      <w:marRight w:val="0"/>
      <w:marTop w:val="0"/>
      <w:marBottom w:val="0"/>
      <w:divBdr>
        <w:top w:val="none" w:sz="0" w:space="0" w:color="auto"/>
        <w:left w:val="none" w:sz="0" w:space="0" w:color="auto"/>
        <w:bottom w:val="none" w:sz="0" w:space="0" w:color="auto"/>
        <w:right w:val="none" w:sz="0" w:space="0" w:color="auto"/>
      </w:divBdr>
    </w:div>
    <w:div w:id="1985962996">
      <w:bodyDiv w:val="1"/>
      <w:marLeft w:val="0"/>
      <w:marRight w:val="0"/>
      <w:marTop w:val="0"/>
      <w:marBottom w:val="0"/>
      <w:divBdr>
        <w:top w:val="none" w:sz="0" w:space="0" w:color="auto"/>
        <w:left w:val="none" w:sz="0" w:space="0" w:color="auto"/>
        <w:bottom w:val="none" w:sz="0" w:space="0" w:color="auto"/>
        <w:right w:val="none" w:sz="0" w:space="0" w:color="auto"/>
      </w:divBdr>
    </w:div>
    <w:div w:id="1985967953">
      <w:bodyDiv w:val="1"/>
      <w:marLeft w:val="0"/>
      <w:marRight w:val="0"/>
      <w:marTop w:val="0"/>
      <w:marBottom w:val="0"/>
      <w:divBdr>
        <w:top w:val="none" w:sz="0" w:space="0" w:color="auto"/>
        <w:left w:val="none" w:sz="0" w:space="0" w:color="auto"/>
        <w:bottom w:val="none" w:sz="0" w:space="0" w:color="auto"/>
        <w:right w:val="none" w:sz="0" w:space="0" w:color="auto"/>
      </w:divBdr>
    </w:div>
    <w:div w:id="1986011412">
      <w:bodyDiv w:val="1"/>
      <w:marLeft w:val="0"/>
      <w:marRight w:val="0"/>
      <w:marTop w:val="0"/>
      <w:marBottom w:val="0"/>
      <w:divBdr>
        <w:top w:val="none" w:sz="0" w:space="0" w:color="auto"/>
        <w:left w:val="none" w:sz="0" w:space="0" w:color="auto"/>
        <w:bottom w:val="none" w:sz="0" w:space="0" w:color="auto"/>
        <w:right w:val="none" w:sz="0" w:space="0" w:color="auto"/>
      </w:divBdr>
    </w:div>
    <w:div w:id="1986084605">
      <w:bodyDiv w:val="1"/>
      <w:marLeft w:val="0"/>
      <w:marRight w:val="0"/>
      <w:marTop w:val="0"/>
      <w:marBottom w:val="0"/>
      <w:divBdr>
        <w:top w:val="none" w:sz="0" w:space="0" w:color="auto"/>
        <w:left w:val="none" w:sz="0" w:space="0" w:color="auto"/>
        <w:bottom w:val="none" w:sz="0" w:space="0" w:color="auto"/>
        <w:right w:val="none" w:sz="0" w:space="0" w:color="auto"/>
      </w:divBdr>
    </w:div>
    <w:div w:id="1986155103">
      <w:bodyDiv w:val="1"/>
      <w:marLeft w:val="0"/>
      <w:marRight w:val="0"/>
      <w:marTop w:val="0"/>
      <w:marBottom w:val="0"/>
      <w:divBdr>
        <w:top w:val="none" w:sz="0" w:space="0" w:color="auto"/>
        <w:left w:val="none" w:sz="0" w:space="0" w:color="auto"/>
        <w:bottom w:val="none" w:sz="0" w:space="0" w:color="auto"/>
        <w:right w:val="none" w:sz="0" w:space="0" w:color="auto"/>
      </w:divBdr>
    </w:div>
    <w:div w:id="1986160397">
      <w:bodyDiv w:val="1"/>
      <w:marLeft w:val="0"/>
      <w:marRight w:val="0"/>
      <w:marTop w:val="0"/>
      <w:marBottom w:val="0"/>
      <w:divBdr>
        <w:top w:val="none" w:sz="0" w:space="0" w:color="auto"/>
        <w:left w:val="none" w:sz="0" w:space="0" w:color="auto"/>
        <w:bottom w:val="none" w:sz="0" w:space="0" w:color="auto"/>
        <w:right w:val="none" w:sz="0" w:space="0" w:color="auto"/>
      </w:divBdr>
    </w:div>
    <w:div w:id="1986162625">
      <w:bodyDiv w:val="1"/>
      <w:marLeft w:val="0"/>
      <w:marRight w:val="0"/>
      <w:marTop w:val="0"/>
      <w:marBottom w:val="0"/>
      <w:divBdr>
        <w:top w:val="none" w:sz="0" w:space="0" w:color="auto"/>
        <w:left w:val="none" w:sz="0" w:space="0" w:color="auto"/>
        <w:bottom w:val="none" w:sz="0" w:space="0" w:color="auto"/>
        <w:right w:val="none" w:sz="0" w:space="0" w:color="auto"/>
      </w:divBdr>
    </w:div>
    <w:div w:id="1986203643">
      <w:bodyDiv w:val="1"/>
      <w:marLeft w:val="0"/>
      <w:marRight w:val="0"/>
      <w:marTop w:val="0"/>
      <w:marBottom w:val="0"/>
      <w:divBdr>
        <w:top w:val="none" w:sz="0" w:space="0" w:color="auto"/>
        <w:left w:val="none" w:sz="0" w:space="0" w:color="auto"/>
        <w:bottom w:val="none" w:sz="0" w:space="0" w:color="auto"/>
        <w:right w:val="none" w:sz="0" w:space="0" w:color="auto"/>
      </w:divBdr>
    </w:div>
    <w:div w:id="1986230244">
      <w:bodyDiv w:val="1"/>
      <w:marLeft w:val="0"/>
      <w:marRight w:val="0"/>
      <w:marTop w:val="0"/>
      <w:marBottom w:val="0"/>
      <w:divBdr>
        <w:top w:val="none" w:sz="0" w:space="0" w:color="auto"/>
        <w:left w:val="none" w:sz="0" w:space="0" w:color="auto"/>
        <w:bottom w:val="none" w:sz="0" w:space="0" w:color="auto"/>
        <w:right w:val="none" w:sz="0" w:space="0" w:color="auto"/>
      </w:divBdr>
    </w:div>
    <w:div w:id="1986230425">
      <w:bodyDiv w:val="1"/>
      <w:marLeft w:val="0"/>
      <w:marRight w:val="0"/>
      <w:marTop w:val="0"/>
      <w:marBottom w:val="0"/>
      <w:divBdr>
        <w:top w:val="none" w:sz="0" w:space="0" w:color="auto"/>
        <w:left w:val="none" w:sz="0" w:space="0" w:color="auto"/>
        <w:bottom w:val="none" w:sz="0" w:space="0" w:color="auto"/>
        <w:right w:val="none" w:sz="0" w:space="0" w:color="auto"/>
      </w:divBdr>
    </w:div>
    <w:div w:id="1986396469">
      <w:bodyDiv w:val="1"/>
      <w:marLeft w:val="0"/>
      <w:marRight w:val="0"/>
      <w:marTop w:val="0"/>
      <w:marBottom w:val="0"/>
      <w:divBdr>
        <w:top w:val="none" w:sz="0" w:space="0" w:color="auto"/>
        <w:left w:val="none" w:sz="0" w:space="0" w:color="auto"/>
        <w:bottom w:val="none" w:sz="0" w:space="0" w:color="auto"/>
        <w:right w:val="none" w:sz="0" w:space="0" w:color="auto"/>
      </w:divBdr>
    </w:div>
    <w:div w:id="1986472432">
      <w:bodyDiv w:val="1"/>
      <w:marLeft w:val="0"/>
      <w:marRight w:val="0"/>
      <w:marTop w:val="0"/>
      <w:marBottom w:val="0"/>
      <w:divBdr>
        <w:top w:val="none" w:sz="0" w:space="0" w:color="auto"/>
        <w:left w:val="none" w:sz="0" w:space="0" w:color="auto"/>
        <w:bottom w:val="none" w:sz="0" w:space="0" w:color="auto"/>
        <w:right w:val="none" w:sz="0" w:space="0" w:color="auto"/>
      </w:divBdr>
    </w:div>
    <w:div w:id="1986542674">
      <w:bodyDiv w:val="1"/>
      <w:marLeft w:val="0"/>
      <w:marRight w:val="0"/>
      <w:marTop w:val="0"/>
      <w:marBottom w:val="0"/>
      <w:divBdr>
        <w:top w:val="none" w:sz="0" w:space="0" w:color="auto"/>
        <w:left w:val="none" w:sz="0" w:space="0" w:color="auto"/>
        <w:bottom w:val="none" w:sz="0" w:space="0" w:color="auto"/>
        <w:right w:val="none" w:sz="0" w:space="0" w:color="auto"/>
      </w:divBdr>
    </w:div>
    <w:div w:id="1986619613">
      <w:bodyDiv w:val="1"/>
      <w:marLeft w:val="0"/>
      <w:marRight w:val="0"/>
      <w:marTop w:val="0"/>
      <w:marBottom w:val="0"/>
      <w:divBdr>
        <w:top w:val="none" w:sz="0" w:space="0" w:color="auto"/>
        <w:left w:val="none" w:sz="0" w:space="0" w:color="auto"/>
        <w:bottom w:val="none" w:sz="0" w:space="0" w:color="auto"/>
        <w:right w:val="none" w:sz="0" w:space="0" w:color="auto"/>
      </w:divBdr>
    </w:div>
    <w:div w:id="1986624918">
      <w:bodyDiv w:val="1"/>
      <w:marLeft w:val="0"/>
      <w:marRight w:val="0"/>
      <w:marTop w:val="0"/>
      <w:marBottom w:val="0"/>
      <w:divBdr>
        <w:top w:val="none" w:sz="0" w:space="0" w:color="auto"/>
        <w:left w:val="none" w:sz="0" w:space="0" w:color="auto"/>
        <w:bottom w:val="none" w:sz="0" w:space="0" w:color="auto"/>
        <w:right w:val="none" w:sz="0" w:space="0" w:color="auto"/>
      </w:divBdr>
    </w:div>
    <w:div w:id="1986742797">
      <w:bodyDiv w:val="1"/>
      <w:marLeft w:val="0"/>
      <w:marRight w:val="0"/>
      <w:marTop w:val="0"/>
      <w:marBottom w:val="0"/>
      <w:divBdr>
        <w:top w:val="none" w:sz="0" w:space="0" w:color="auto"/>
        <w:left w:val="none" w:sz="0" w:space="0" w:color="auto"/>
        <w:bottom w:val="none" w:sz="0" w:space="0" w:color="auto"/>
        <w:right w:val="none" w:sz="0" w:space="0" w:color="auto"/>
      </w:divBdr>
    </w:div>
    <w:div w:id="1986809663">
      <w:bodyDiv w:val="1"/>
      <w:marLeft w:val="0"/>
      <w:marRight w:val="0"/>
      <w:marTop w:val="0"/>
      <w:marBottom w:val="0"/>
      <w:divBdr>
        <w:top w:val="none" w:sz="0" w:space="0" w:color="auto"/>
        <w:left w:val="none" w:sz="0" w:space="0" w:color="auto"/>
        <w:bottom w:val="none" w:sz="0" w:space="0" w:color="auto"/>
        <w:right w:val="none" w:sz="0" w:space="0" w:color="auto"/>
      </w:divBdr>
    </w:div>
    <w:div w:id="1986813428">
      <w:bodyDiv w:val="1"/>
      <w:marLeft w:val="0"/>
      <w:marRight w:val="0"/>
      <w:marTop w:val="0"/>
      <w:marBottom w:val="0"/>
      <w:divBdr>
        <w:top w:val="none" w:sz="0" w:space="0" w:color="auto"/>
        <w:left w:val="none" w:sz="0" w:space="0" w:color="auto"/>
        <w:bottom w:val="none" w:sz="0" w:space="0" w:color="auto"/>
        <w:right w:val="none" w:sz="0" w:space="0" w:color="auto"/>
      </w:divBdr>
    </w:div>
    <w:div w:id="1987004759">
      <w:bodyDiv w:val="1"/>
      <w:marLeft w:val="0"/>
      <w:marRight w:val="0"/>
      <w:marTop w:val="0"/>
      <w:marBottom w:val="0"/>
      <w:divBdr>
        <w:top w:val="none" w:sz="0" w:space="0" w:color="auto"/>
        <w:left w:val="none" w:sz="0" w:space="0" w:color="auto"/>
        <w:bottom w:val="none" w:sz="0" w:space="0" w:color="auto"/>
        <w:right w:val="none" w:sz="0" w:space="0" w:color="auto"/>
      </w:divBdr>
    </w:div>
    <w:div w:id="1987006556">
      <w:bodyDiv w:val="1"/>
      <w:marLeft w:val="0"/>
      <w:marRight w:val="0"/>
      <w:marTop w:val="0"/>
      <w:marBottom w:val="0"/>
      <w:divBdr>
        <w:top w:val="none" w:sz="0" w:space="0" w:color="auto"/>
        <w:left w:val="none" w:sz="0" w:space="0" w:color="auto"/>
        <w:bottom w:val="none" w:sz="0" w:space="0" w:color="auto"/>
        <w:right w:val="none" w:sz="0" w:space="0" w:color="auto"/>
      </w:divBdr>
    </w:div>
    <w:div w:id="1987124967">
      <w:bodyDiv w:val="1"/>
      <w:marLeft w:val="0"/>
      <w:marRight w:val="0"/>
      <w:marTop w:val="0"/>
      <w:marBottom w:val="0"/>
      <w:divBdr>
        <w:top w:val="none" w:sz="0" w:space="0" w:color="auto"/>
        <w:left w:val="none" w:sz="0" w:space="0" w:color="auto"/>
        <w:bottom w:val="none" w:sz="0" w:space="0" w:color="auto"/>
        <w:right w:val="none" w:sz="0" w:space="0" w:color="auto"/>
      </w:divBdr>
    </w:div>
    <w:div w:id="1987125244">
      <w:bodyDiv w:val="1"/>
      <w:marLeft w:val="0"/>
      <w:marRight w:val="0"/>
      <w:marTop w:val="0"/>
      <w:marBottom w:val="0"/>
      <w:divBdr>
        <w:top w:val="none" w:sz="0" w:space="0" w:color="auto"/>
        <w:left w:val="none" w:sz="0" w:space="0" w:color="auto"/>
        <w:bottom w:val="none" w:sz="0" w:space="0" w:color="auto"/>
        <w:right w:val="none" w:sz="0" w:space="0" w:color="auto"/>
      </w:divBdr>
    </w:div>
    <w:div w:id="1987279236">
      <w:bodyDiv w:val="1"/>
      <w:marLeft w:val="0"/>
      <w:marRight w:val="0"/>
      <w:marTop w:val="0"/>
      <w:marBottom w:val="0"/>
      <w:divBdr>
        <w:top w:val="none" w:sz="0" w:space="0" w:color="auto"/>
        <w:left w:val="none" w:sz="0" w:space="0" w:color="auto"/>
        <w:bottom w:val="none" w:sz="0" w:space="0" w:color="auto"/>
        <w:right w:val="none" w:sz="0" w:space="0" w:color="auto"/>
      </w:divBdr>
    </w:div>
    <w:div w:id="1987314429">
      <w:bodyDiv w:val="1"/>
      <w:marLeft w:val="0"/>
      <w:marRight w:val="0"/>
      <w:marTop w:val="0"/>
      <w:marBottom w:val="0"/>
      <w:divBdr>
        <w:top w:val="none" w:sz="0" w:space="0" w:color="auto"/>
        <w:left w:val="none" w:sz="0" w:space="0" w:color="auto"/>
        <w:bottom w:val="none" w:sz="0" w:space="0" w:color="auto"/>
        <w:right w:val="none" w:sz="0" w:space="0" w:color="auto"/>
      </w:divBdr>
    </w:div>
    <w:div w:id="1987318541">
      <w:bodyDiv w:val="1"/>
      <w:marLeft w:val="0"/>
      <w:marRight w:val="0"/>
      <w:marTop w:val="0"/>
      <w:marBottom w:val="0"/>
      <w:divBdr>
        <w:top w:val="none" w:sz="0" w:space="0" w:color="auto"/>
        <w:left w:val="none" w:sz="0" w:space="0" w:color="auto"/>
        <w:bottom w:val="none" w:sz="0" w:space="0" w:color="auto"/>
        <w:right w:val="none" w:sz="0" w:space="0" w:color="auto"/>
      </w:divBdr>
    </w:div>
    <w:div w:id="1987392799">
      <w:bodyDiv w:val="1"/>
      <w:marLeft w:val="0"/>
      <w:marRight w:val="0"/>
      <w:marTop w:val="0"/>
      <w:marBottom w:val="0"/>
      <w:divBdr>
        <w:top w:val="none" w:sz="0" w:space="0" w:color="auto"/>
        <w:left w:val="none" w:sz="0" w:space="0" w:color="auto"/>
        <w:bottom w:val="none" w:sz="0" w:space="0" w:color="auto"/>
        <w:right w:val="none" w:sz="0" w:space="0" w:color="auto"/>
      </w:divBdr>
    </w:div>
    <w:div w:id="1987394427">
      <w:bodyDiv w:val="1"/>
      <w:marLeft w:val="0"/>
      <w:marRight w:val="0"/>
      <w:marTop w:val="0"/>
      <w:marBottom w:val="0"/>
      <w:divBdr>
        <w:top w:val="none" w:sz="0" w:space="0" w:color="auto"/>
        <w:left w:val="none" w:sz="0" w:space="0" w:color="auto"/>
        <w:bottom w:val="none" w:sz="0" w:space="0" w:color="auto"/>
        <w:right w:val="none" w:sz="0" w:space="0" w:color="auto"/>
      </w:divBdr>
    </w:div>
    <w:div w:id="1987469494">
      <w:bodyDiv w:val="1"/>
      <w:marLeft w:val="0"/>
      <w:marRight w:val="0"/>
      <w:marTop w:val="0"/>
      <w:marBottom w:val="0"/>
      <w:divBdr>
        <w:top w:val="none" w:sz="0" w:space="0" w:color="auto"/>
        <w:left w:val="none" w:sz="0" w:space="0" w:color="auto"/>
        <w:bottom w:val="none" w:sz="0" w:space="0" w:color="auto"/>
        <w:right w:val="none" w:sz="0" w:space="0" w:color="auto"/>
      </w:divBdr>
    </w:div>
    <w:div w:id="1987472527">
      <w:bodyDiv w:val="1"/>
      <w:marLeft w:val="0"/>
      <w:marRight w:val="0"/>
      <w:marTop w:val="0"/>
      <w:marBottom w:val="0"/>
      <w:divBdr>
        <w:top w:val="none" w:sz="0" w:space="0" w:color="auto"/>
        <w:left w:val="none" w:sz="0" w:space="0" w:color="auto"/>
        <w:bottom w:val="none" w:sz="0" w:space="0" w:color="auto"/>
        <w:right w:val="none" w:sz="0" w:space="0" w:color="auto"/>
      </w:divBdr>
    </w:div>
    <w:div w:id="1987737586">
      <w:bodyDiv w:val="1"/>
      <w:marLeft w:val="0"/>
      <w:marRight w:val="0"/>
      <w:marTop w:val="0"/>
      <w:marBottom w:val="0"/>
      <w:divBdr>
        <w:top w:val="none" w:sz="0" w:space="0" w:color="auto"/>
        <w:left w:val="none" w:sz="0" w:space="0" w:color="auto"/>
        <w:bottom w:val="none" w:sz="0" w:space="0" w:color="auto"/>
        <w:right w:val="none" w:sz="0" w:space="0" w:color="auto"/>
      </w:divBdr>
    </w:div>
    <w:div w:id="1987783733">
      <w:bodyDiv w:val="1"/>
      <w:marLeft w:val="0"/>
      <w:marRight w:val="0"/>
      <w:marTop w:val="0"/>
      <w:marBottom w:val="0"/>
      <w:divBdr>
        <w:top w:val="none" w:sz="0" w:space="0" w:color="auto"/>
        <w:left w:val="none" w:sz="0" w:space="0" w:color="auto"/>
        <w:bottom w:val="none" w:sz="0" w:space="0" w:color="auto"/>
        <w:right w:val="none" w:sz="0" w:space="0" w:color="auto"/>
      </w:divBdr>
    </w:div>
    <w:div w:id="1987971231">
      <w:bodyDiv w:val="1"/>
      <w:marLeft w:val="0"/>
      <w:marRight w:val="0"/>
      <w:marTop w:val="0"/>
      <w:marBottom w:val="0"/>
      <w:divBdr>
        <w:top w:val="none" w:sz="0" w:space="0" w:color="auto"/>
        <w:left w:val="none" w:sz="0" w:space="0" w:color="auto"/>
        <w:bottom w:val="none" w:sz="0" w:space="0" w:color="auto"/>
        <w:right w:val="none" w:sz="0" w:space="0" w:color="auto"/>
      </w:divBdr>
    </w:div>
    <w:div w:id="1988044909">
      <w:bodyDiv w:val="1"/>
      <w:marLeft w:val="0"/>
      <w:marRight w:val="0"/>
      <w:marTop w:val="0"/>
      <w:marBottom w:val="0"/>
      <w:divBdr>
        <w:top w:val="none" w:sz="0" w:space="0" w:color="auto"/>
        <w:left w:val="none" w:sz="0" w:space="0" w:color="auto"/>
        <w:bottom w:val="none" w:sz="0" w:space="0" w:color="auto"/>
        <w:right w:val="none" w:sz="0" w:space="0" w:color="auto"/>
      </w:divBdr>
    </w:div>
    <w:div w:id="1988053405">
      <w:bodyDiv w:val="1"/>
      <w:marLeft w:val="0"/>
      <w:marRight w:val="0"/>
      <w:marTop w:val="0"/>
      <w:marBottom w:val="0"/>
      <w:divBdr>
        <w:top w:val="none" w:sz="0" w:space="0" w:color="auto"/>
        <w:left w:val="none" w:sz="0" w:space="0" w:color="auto"/>
        <w:bottom w:val="none" w:sz="0" w:space="0" w:color="auto"/>
        <w:right w:val="none" w:sz="0" w:space="0" w:color="auto"/>
      </w:divBdr>
    </w:div>
    <w:div w:id="1988127307">
      <w:bodyDiv w:val="1"/>
      <w:marLeft w:val="0"/>
      <w:marRight w:val="0"/>
      <w:marTop w:val="0"/>
      <w:marBottom w:val="0"/>
      <w:divBdr>
        <w:top w:val="none" w:sz="0" w:space="0" w:color="auto"/>
        <w:left w:val="none" w:sz="0" w:space="0" w:color="auto"/>
        <w:bottom w:val="none" w:sz="0" w:space="0" w:color="auto"/>
        <w:right w:val="none" w:sz="0" w:space="0" w:color="auto"/>
      </w:divBdr>
    </w:div>
    <w:div w:id="1988196168">
      <w:bodyDiv w:val="1"/>
      <w:marLeft w:val="0"/>
      <w:marRight w:val="0"/>
      <w:marTop w:val="0"/>
      <w:marBottom w:val="0"/>
      <w:divBdr>
        <w:top w:val="none" w:sz="0" w:space="0" w:color="auto"/>
        <w:left w:val="none" w:sz="0" w:space="0" w:color="auto"/>
        <w:bottom w:val="none" w:sz="0" w:space="0" w:color="auto"/>
        <w:right w:val="none" w:sz="0" w:space="0" w:color="auto"/>
      </w:divBdr>
    </w:div>
    <w:div w:id="1988240095">
      <w:bodyDiv w:val="1"/>
      <w:marLeft w:val="0"/>
      <w:marRight w:val="0"/>
      <w:marTop w:val="0"/>
      <w:marBottom w:val="0"/>
      <w:divBdr>
        <w:top w:val="none" w:sz="0" w:space="0" w:color="auto"/>
        <w:left w:val="none" w:sz="0" w:space="0" w:color="auto"/>
        <w:bottom w:val="none" w:sz="0" w:space="0" w:color="auto"/>
        <w:right w:val="none" w:sz="0" w:space="0" w:color="auto"/>
      </w:divBdr>
    </w:div>
    <w:div w:id="1988244405">
      <w:bodyDiv w:val="1"/>
      <w:marLeft w:val="0"/>
      <w:marRight w:val="0"/>
      <w:marTop w:val="0"/>
      <w:marBottom w:val="0"/>
      <w:divBdr>
        <w:top w:val="none" w:sz="0" w:space="0" w:color="auto"/>
        <w:left w:val="none" w:sz="0" w:space="0" w:color="auto"/>
        <w:bottom w:val="none" w:sz="0" w:space="0" w:color="auto"/>
        <w:right w:val="none" w:sz="0" w:space="0" w:color="auto"/>
      </w:divBdr>
    </w:div>
    <w:div w:id="1988322247">
      <w:bodyDiv w:val="1"/>
      <w:marLeft w:val="0"/>
      <w:marRight w:val="0"/>
      <w:marTop w:val="0"/>
      <w:marBottom w:val="0"/>
      <w:divBdr>
        <w:top w:val="none" w:sz="0" w:space="0" w:color="auto"/>
        <w:left w:val="none" w:sz="0" w:space="0" w:color="auto"/>
        <w:bottom w:val="none" w:sz="0" w:space="0" w:color="auto"/>
        <w:right w:val="none" w:sz="0" w:space="0" w:color="auto"/>
      </w:divBdr>
    </w:div>
    <w:div w:id="1988364423">
      <w:bodyDiv w:val="1"/>
      <w:marLeft w:val="0"/>
      <w:marRight w:val="0"/>
      <w:marTop w:val="0"/>
      <w:marBottom w:val="0"/>
      <w:divBdr>
        <w:top w:val="none" w:sz="0" w:space="0" w:color="auto"/>
        <w:left w:val="none" w:sz="0" w:space="0" w:color="auto"/>
        <w:bottom w:val="none" w:sz="0" w:space="0" w:color="auto"/>
        <w:right w:val="none" w:sz="0" w:space="0" w:color="auto"/>
      </w:divBdr>
    </w:div>
    <w:div w:id="1988438754">
      <w:bodyDiv w:val="1"/>
      <w:marLeft w:val="0"/>
      <w:marRight w:val="0"/>
      <w:marTop w:val="0"/>
      <w:marBottom w:val="0"/>
      <w:divBdr>
        <w:top w:val="none" w:sz="0" w:space="0" w:color="auto"/>
        <w:left w:val="none" w:sz="0" w:space="0" w:color="auto"/>
        <w:bottom w:val="none" w:sz="0" w:space="0" w:color="auto"/>
        <w:right w:val="none" w:sz="0" w:space="0" w:color="auto"/>
      </w:divBdr>
    </w:div>
    <w:div w:id="1988506546">
      <w:bodyDiv w:val="1"/>
      <w:marLeft w:val="0"/>
      <w:marRight w:val="0"/>
      <w:marTop w:val="0"/>
      <w:marBottom w:val="0"/>
      <w:divBdr>
        <w:top w:val="none" w:sz="0" w:space="0" w:color="auto"/>
        <w:left w:val="none" w:sz="0" w:space="0" w:color="auto"/>
        <w:bottom w:val="none" w:sz="0" w:space="0" w:color="auto"/>
        <w:right w:val="none" w:sz="0" w:space="0" w:color="auto"/>
      </w:divBdr>
    </w:div>
    <w:div w:id="1988508216">
      <w:bodyDiv w:val="1"/>
      <w:marLeft w:val="0"/>
      <w:marRight w:val="0"/>
      <w:marTop w:val="0"/>
      <w:marBottom w:val="0"/>
      <w:divBdr>
        <w:top w:val="none" w:sz="0" w:space="0" w:color="auto"/>
        <w:left w:val="none" w:sz="0" w:space="0" w:color="auto"/>
        <w:bottom w:val="none" w:sz="0" w:space="0" w:color="auto"/>
        <w:right w:val="none" w:sz="0" w:space="0" w:color="auto"/>
      </w:divBdr>
    </w:div>
    <w:div w:id="1988629020">
      <w:bodyDiv w:val="1"/>
      <w:marLeft w:val="0"/>
      <w:marRight w:val="0"/>
      <w:marTop w:val="0"/>
      <w:marBottom w:val="0"/>
      <w:divBdr>
        <w:top w:val="none" w:sz="0" w:space="0" w:color="auto"/>
        <w:left w:val="none" w:sz="0" w:space="0" w:color="auto"/>
        <w:bottom w:val="none" w:sz="0" w:space="0" w:color="auto"/>
        <w:right w:val="none" w:sz="0" w:space="0" w:color="auto"/>
      </w:divBdr>
    </w:div>
    <w:div w:id="1988777620">
      <w:bodyDiv w:val="1"/>
      <w:marLeft w:val="0"/>
      <w:marRight w:val="0"/>
      <w:marTop w:val="0"/>
      <w:marBottom w:val="0"/>
      <w:divBdr>
        <w:top w:val="none" w:sz="0" w:space="0" w:color="auto"/>
        <w:left w:val="none" w:sz="0" w:space="0" w:color="auto"/>
        <w:bottom w:val="none" w:sz="0" w:space="0" w:color="auto"/>
        <w:right w:val="none" w:sz="0" w:space="0" w:color="auto"/>
      </w:divBdr>
    </w:div>
    <w:div w:id="1988968588">
      <w:bodyDiv w:val="1"/>
      <w:marLeft w:val="0"/>
      <w:marRight w:val="0"/>
      <w:marTop w:val="0"/>
      <w:marBottom w:val="0"/>
      <w:divBdr>
        <w:top w:val="none" w:sz="0" w:space="0" w:color="auto"/>
        <w:left w:val="none" w:sz="0" w:space="0" w:color="auto"/>
        <w:bottom w:val="none" w:sz="0" w:space="0" w:color="auto"/>
        <w:right w:val="none" w:sz="0" w:space="0" w:color="auto"/>
      </w:divBdr>
    </w:div>
    <w:div w:id="1989168104">
      <w:bodyDiv w:val="1"/>
      <w:marLeft w:val="0"/>
      <w:marRight w:val="0"/>
      <w:marTop w:val="0"/>
      <w:marBottom w:val="0"/>
      <w:divBdr>
        <w:top w:val="none" w:sz="0" w:space="0" w:color="auto"/>
        <w:left w:val="none" w:sz="0" w:space="0" w:color="auto"/>
        <w:bottom w:val="none" w:sz="0" w:space="0" w:color="auto"/>
        <w:right w:val="none" w:sz="0" w:space="0" w:color="auto"/>
      </w:divBdr>
    </w:div>
    <w:div w:id="1989286816">
      <w:bodyDiv w:val="1"/>
      <w:marLeft w:val="0"/>
      <w:marRight w:val="0"/>
      <w:marTop w:val="0"/>
      <w:marBottom w:val="0"/>
      <w:divBdr>
        <w:top w:val="none" w:sz="0" w:space="0" w:color="auto"/>
        <w:left w:val="none" w:sz="0" w:space="0" w:color="auto"/>
        <w:bottom w:val="none" w:sz="0" w:space="0" w:color="auto"/>
        <w:right w:val="none" w:sz="0" w:space="0" w:color="auto"/>
      </w:divBdr>
    </w:div>
    <w:div w:id="1989362902">
      <w:bodyDiv w:val="1"/>
      <w:marLeft w:val="0"/>
      <w:marRight w:val="0"/>
      <w:marTop w:val="0"/>
      <w:marBottom w:val="0"/>
      <w:divBdr>
        <w:top w:val="none" w:sz="0" w:space="0" w:color="auto"/>
        <w:left w:val="none" w:sz="0" w:space="0" w:color="auto"/>
        <w:bottom w:val="none" w:sz="0" w:space="0" w:color="auto"/>
        <w:right w:val="none" w:sz="0" w:space="0" w:color="auto"/>
      </w:divBdr>
    </w:div>
    <w:div w:id="1989436436">
      <w:bodyDiv w:val="1"/>
      <w:marLeft w:val="0"/>
      <w:marRight w:val="0"/>
      <w:marTop w:val="0"/>
      <w:marBottom w:val="0"/>
      <w:divBdr>
        <w:top w:val="none" w:sz="0" w:space="0" w:color="auto"/>
        <w:left w:val="none" w:sz="0" w:space="0" w:color="auto"/>
        <w:bottom w:val="none" w:sz="0" w:space="0" w:color="auto"/>
        <w:right w:val="none" w:sz="0" w:space="0" w:color="auto"/>
      </w:divBdr>
    </w:div>
    <w:div w:id="1989436439">
      <w:bodyDiv w:val="1"/>
      <w:marLeft w:val="0"/>
      <w:marRight w:val="0"/>
      <w:marTop w:val="0"/>
      <w:marBottom w:val="0"/>
      <w:divBdr>
        <w:top w:val="none" w:sz="0" w:space="0" w:color="auto"/>
        <w:left w:val="none" w:sz="0" w:space="0" w:color="auto"/>
        <w:bottom w:val="none" w:sz="0" w:space="0" w:color="auto"/>
        <w:right w:val="none" w:sz="0" w:space="0" w:color="auto"/>
      </w:divBdr>
    </w:div>
    <w:div w:id="1989477325">
      <w:bodyDiv w:val="1"/>
      <w:marLeft w:val="0"/>
      <w:marRight w:val="0"/>
      <w:marTop w:val="0"/>
      <w:marBottom w:val="0"/>
      <w:divBdr>
        <w:top w:val="none" w:sz="0" w:space="0" w:color="auto"/>
        <w:left w:val="none" w:sz="0" w:space="0" w:color="auto"/>
        <w:bottom w:val="none" w:sz="0" w:space="0" w:color="auto"/>
        <w:right w:val="none" w:sz="0" w:space="0" w:color="auto"/>
      </w:divBdr>
    </w:div>
    <w:div w:id="1989549577">
      <w:bodyDiv w:val="1"/>
      <w:marLeft w:val="0"/>
      <w:marRight w:val="0"/>
      <w:marTop w:val="0"/>
      <w:marBottom w:val="0"/>
      <w:divBdr>
        <w:top w:val="none" w:sz="0" w:space="0" w:color="auto"/>
        <w:left w:val="none" w:sz="0" w:space="0" w:color="auto"/>
        <w:bottom w:val="none" w:sz="0" w:space="0" w:color="auto"/>
        <w:right w:val="none" w:sz="0" w:space="0" w:color="auto"/>
      </w:divBdr>
    </w:div>
    <w:div w:id="1989553829">
      <w:bodyDiv w:val="1"/>
      <w:marLeft w:val="0"/>
      <w:marRight w:val="0"/>
      <w:marTop w:val="0"/>
      <w:marBottom w:val="0"/>
      <w:divBdr>
        <w:top w:val="none" w:sz="0" w:space="0" w:color="auto"/>
        <w:left w:val="none" w:sz="0" w:space="0" w:color="auto"/>
        <w:bottom w:val="none" w:sz="0" w:space="0" w:color="auto"/>
        <w:right w:val="none" w:sz="0" w:space="0" w:color="auto"/>
      </w:divBdr>
    </w:div>
    <w:div w:id="1989698612">
      <w:bodyDiv w:val="1"/>
      <w:marLeft w:val="0"/>
      <w:marRight w:val="0"/>
      <w:marTop w:val="0"/>
      <w:marBottom w:val="0"/>
      <w:divBdr>
        <w:top w:val="none" w:sz="0" w:space="0" w:color="auto"/>
        <w:left w:val="none" w:sz="0" w:space="0" w:color="auto"/>
        <w:bottom w:val="none" w:sz="0" w:space="0" w:color="auto"/>
        <w:right w:val="none" w:sz="0" w:space="0" w:color="auto"/>
      </w:divBdr>
    </w:div>
    <w:div w:id="1989742675">
      <w:bodyDiv w:val="1"/>
      <w:marLeft w:val="0"/>
      <w:marRight w:val="0"/>
      <w:marTop w:val="0"/>
      <w:marBottom w:val="0"/>
      <w:divBdr>
        <w:top w:val="none" w:sz="0" w:space="0" w:color="auto"/>
        <w:left w:val="none" w:sz="0" w:space="0" w:color="auto"/>
        <w:bottom w:val="none" w:sz="0" w:space="0" w:color="auto"/>
        <w:right w:val="none" w:sz="0" w:space="0" w:color="auto"/>
      </w:divBdr>
    </w:div>
    <w:div w:id="1989745593">
      <w:bodyDiv w:val="1"/>
      <w:marLeft w:val="0"/>
      <w:marRight w:val="0"/>
      <w:marTop w:val="0"/>
      <w:marBottom w:val="0"/>
      <w:divBdr>
        <w:top w:val="none" w:sz="0" w:space="0" w:color="auto"/>
        <w:left w:val="none" w:sz="0" w:space="0" w:color="auto"/>
        <w:bottom w:val="none" w:sz="0" w:space="0" w:color="auto"/>
        <w:right w:val="none" w:sz="0" w:space="0" w:color="auto"/>
      </w:divBdr>
    </w:div>
    <w:div w:id="1989818498">
      <w:bodyDiv w:val="1"/>
      <w:marLeft w:val="0"/>
      <w:marRight w:val="0"/>
      <w:marTop w:val="0"/>
      <w:marBottom w:val="0"/>
      <w:divBdr>
        <w:top w:val="none" w:sz="0" w:space="0" w:color="auto"/>
        <w:left w:val="none" w:sz="0" w:space="0" w:color="auto"/>
        <w:bottom w:val="none" w:sz="0" w:space="0" w:color="auto"/>
        <w:right w:val="none" w:sz="0" w:space="0" w:color="auto"/>
      </w:divBdr>
    </w:div>
    <w:div w:id="1989818762">
      <w:bodyDiv w:val="1"/>
      <w:marLeft w:val="0"/>
      <w:marRight w:val="0"/>
      <w:marTop w:val="0"/>
      <w:marBottom w:val="0"/>
      <w:divBdr>
        <w:top w:val="none" w:sz="0" w:space="0" w:color="auto"/>
        <w:left w:val="none" w:sz="0" w:space="0" w:color="auto"/>
        <w:bottom w:val="none" w:sz="0" w:space="0" w:color="auto"/>
        <w:right w:val="none" w:sz="0" w:space="0" w:color="auto"/>
      </w:divBdr>
    </w:div>
    <w:div w:id="1989940216">
      <w:bodyDiv w:val="1"/>
      <w:marLeft w:val="0"/>
      <w:marRight w:val="0"/>
      <w:marTop w:val="0"/>
      <w:marBottom w:val="0"/>
      <w:divBdr>
        <w:top w:val="none" w:sz="0" w:space="0" w:color="auto"/>
        <w:left w:val="none" w:sz="0" w:space="0" w:color="auto"/>
        <w:bottom w:val="none" w:sz="0" w:space="0" w:color="auto"/>
        <w:right w:val="none" w:sz="0" w:space="0" w:color="auto"/>
      </w:divBdr>
    </w:div>
    <w:div w:id="1989941952">
      <w:bodyDiv w:val="1"/>
      <w:marLeft w:val="0"/>
      <w:marRight w:val="0"/>
      <w:marTop w:val="0"/>
      <w:marBottom w:val="0"/>
      <w:divBdr>
        <w:top w:val="none" w:sz="0" w:space="0" w:color="auto"/>
        <w:left w:val="none" w:sz="0" w:space="0" w:color="auto"/>
        <w:bottom w:val="none" w:sz="0" w:space="0" w:color="auto"/>
        <w:right w:val="none" w:sz="0" w:space="0" w:color="auto"/>
      </w:divBdr>
    </w:div>
    <w:div w:id="1990014934">
      <w:bodyDiv w:val="1"/>
      <w:marLeft w:val="0"/>
      <w:marRight w:val="0"/>
      <w:marTop w:val="0"/>
      <w:marBottom w:val="0"/>
      <w:divBdr>
        <w:top w:val="none" w:sz="0" w:space="0" w:color="auto"/>
        <w:left w:val="none" w:sz="0" w:space="0" w:color="auto"/>
        <w:bottom w:val="none" w:sz="0" w:space="0" w:color="auto"/>
        <w:right w:val="none" w:sz="0" w:space="0" w:color="auto"/>
      </w:divBdr>
    </w:div>
    <w:div w:id="1990015185">
      <w:bodyDiv w:val="1"/>
      <w:marLeft w:val="0"/>
      <w:marRight w:val="0"/>
      <w:marTop w:val="0"/>
      <w:marBottom w:val="0"/>
      <w:divBdr>
        <w:top w:val="none" w:sz="0" w:space="0" w:color="auto"/>
        <w:left w:val="none" w:sz="0" w:space="0" w:color="auto"/>
        <w:bottom w:val="none" w:sz="0" w:space="0" w:color="auto"/>
        <w:right w:val="none" w:sz="0" w:space="0" w:color="auto"/>
      </w:divBdr>
    </w:div>
    <w:div w:id="1990085582">
      <w:bodyDiv w:val="1"/>
      <w:marLeft w:val="0"/>
      <w:marRight w:val="0"/>
      <w:marTop w:val="0"/>
      <w:marBottom w:val="0"/>
      <w:divBdr>
        <w:top w:val="none" w:sz="0" w:space="0" w:color="auto"/>
        <w:left w:val="none" w:sz="0" w:space="0" w:color="auto"/>
        <w:bottom w:val="none" w:sz="0" w:space="0" w:color="auto"/>
        <w:right w:val="none" w:sz="0" w:space="0" w:color="auto"/>
      </w:divBdr>
    </w:div>
    <w:div w:id="1990137013">
      <w:bodyDiv w:val="1"/>
      <w:marLeft w:val="0"/>
      <w:marRight w:val="0"/>
      <w:marTop w:val="0"/>
      <w:marBottom w:val="0"/>
      <w:divBdr>
        <w:top w:val="none" w:sz="0" w:space="0" w:color="auto"/>
        <w:left w:val="none" w:sz="0" w:space="0" w:color="auto"/>
        <w:bottom w:val="none" w:sz="0" w:space="0" w:color="auto"/>
        <w:right w:val="none" w:sz="0" w:space="0" w:color="auto"/>
      </w:divBdr>
    </w:div>
    <w:div w:id="1990162167">
      <w:bodyDiv w:val="1"/>
      <w:marLeft w:val="0"/>
      <w:marRight w:val="0"/>
      <w:marTop w:val="0"/>
      <w:marBottom w:val="0"/>
      <w:divBdr>
        <w:top w:val="none" w:sz="0" w:space="0" w:color="auto"/>
        <w:left w:val="none" w:sz="0" w:space="0" w:color="auto"/>
        <w:bottom w:val="none" w:sz="0" w:space="0" w:color="auto"/>
        <w:right w:val="none" w:sz="0" w:space="0" w:color="auto"/>
      </w:divBdr>
    </w:div>
    <w:div w:id="1990403064">
      <w:bodyDiv w:val="1"/>
      <w:marLeft w:val="0"/>
      <w:marRight w:val="0"/>
      <w:marTop w:val="0"/>
      <w:marBottom w:val="0"/>
      <w:divBdr>
        <w:top w:val="none" w:sz="0" w:space="0" w:color="auto"/>
        <w:left w:val="none" w:sz="0" w:space="0" w:color="auto"/>
        <w:bottom w:val="none" w:sz="0" w:space="0" w:color="auto"/>
        <w:right w:val="none" w:sz="0" w:space="0" w:color="auto"/>
      </w:divBdr>
    </w:div>
    <w:div w:id="1990472123">
      <w:bodyDiv w:val="1"/>
      <w:marLeft w:val="0"/>
      <w:marRight w:val="0"/>
      <w:marTop w:val="0"/>
      <w:marBottom w:val="0"/>
      <w:divBdr>
        <w:top w:val="none" w:sz="0" w:space="0" w:color="auto"/>
        <w:left w:val="none" w:sz="0" w:space="0" w:color="auto"/>
        <w:bottom w:val="none" w:sz="0" w:space="0" w:color="auto"/>
        <w:right w:val="none" w:sz="0" w:space="0" w:color="auto"/>
      </w:divBdr>
    </w:div>
    <w:div w:id="1990597426">
      <w:bodyDiv w:val="1"/>
      <w:marLeft w:val="0"/>
      <w:marRight w:val="0"/>
      <w:marTop w:val="0"/>
      <w:marBottom w:val="0"/>
      <w:divBdr>
        <w:top w:val="none" w:sz="0" w:space="0" w:color="auto"/>
        <w:left w:val="none" w:sz="0" w:space="0" w:color="auto"/>
        <w:bottom w:val="none" w:sz="0" w:space="0" w:color="auto"/>
        <w:right w:val="none" w:sz="0" w:space="0" w:color="auto"/>
      </w:divBdr>
    </w:div>
    <w:div w:id="1990671735">
      <w:bodyDiv w:val="1"/>
      <w:marLeft w:val="0"/>
      <w:marRight w:val="0"/>
      <w:marTop w:val="0"/>
      <w:marBottom w:val="0"/>
      <w:divBdr>
        <w:top w:val="none" w:sz="0" w:space="0" w:color="auto"/>
        <w:left w:val="none" w:sz="0" w:space="0" w:color="auto"/>
        <w:bottom w:val="none" w:sz="0" w:space="0" w:color="auto"/>
        <w:right w:val="none" w:sz="0" w:space="0" w:color="auto"/>
      </w:divBdr>
    </w:div>
    <w:div w:id="1990741898">
      <w:bodyDiv w:val="1"/>
      <w:marLeft w:val="0"/>
      <w:marRight w:val="0"/>
      <w:marTop w:val="0"/>
      <w:marBottom w:val="0"/>
      <w:divBdr>
        <w:top w:val="none" w:sz="0" w:space="0" w:color="auto"/>
        <w:left w:val="none" w:sz="0" w:space="0" w:color="auto"/>
        <w:bottom w:val="none" w:sz="0" w:space="0" w:color="auto"/>
        <w:right w:val="none" w:sz="0" w:space="0" w:color="auto"/>
      </w:divBdr>
    </w:div>
    <w:div w:id="1990792691">
      <w:bodyDiv w:val="1"/>
      <w:marLeft w:val="0"/>
      <w:marRight w:val="0"/>
      <w:marTop w:val="0"/>
      <w:marBottom w:val="0"/>
      <w:divBdr>
        <w:top w:val="none" w:sz="0" w:space="0" w:color="auto"/>
        <w:left w:val="none" w:sz="0" w:space="0" w:color="auto"/>
        <w:bottom w:val="none" w:sz="0" w:space="0" w:color="auto"/>
        <w:right w:val="none" w:sz="0" w:space="0" w:color="auto"/>
      </w:divBdr>
    </w:div>
    <w:div w:id="1990860584">
      <w:bodyDiv w:val="1"/>
      <w:marLeft w:val="0"/>
      <w:marRight w:val="0"/>
      <w:marTop w:val="0"/>
      <w:marBottom w:val="0"/>
      <w:divBdr>
        <w:top w:val="none" w:sz="0" w:space="0" w:color="auto"/>
        <w:left w:val="none" w:sz="0" w:space="0" w:color="auto"/>
        <w:bottom w:val="none" w:sz="0" w:space="0" w:color="auto"/>
        <w:right w:val="none" w:sz="0" w:space="0" w:color="auto"/>
      </w:divBdr>
    </w:div>
    <w:div w:id="1990938377">
      <w:bodyDiv w:val="1"/>
      <w:marLeft w:val="0"/>
      <w:marRight w:val="0"/>
      <w:marTop w:val="0"/>
      <w:marBottom w:val="0"/>
      <w:divBdr>
        <w:top w:val="none" w:sz="0" w:space="0" w:color="auto"/>
        <w:left w:val="none" w:sz="0" w:space="0" w:color="auto"/>
        <w:bottom w:val="none" w:sz="0" w:space="0" w:color="auto"/>
        <w:right w:val="none" w:sz="0" w:space="0" w:color="auto"/>
      </w:divBdr>
    </w:div>
    <w:div w:id="1991133253">
      <w:bodyDiv w:val="1"/>
      <w:marLeft w:val="0"/>
      <w:marRight w:val="0"/>
      <w:marTop w:val="0"/>
      <w:marBottom w:val="0"/>
      <w:divBdr>
        <w:top w:val="none" w:sz="0" w:space="0" w:color="auto"/>
        <w:left w:val="none" w:sz="0" w:space="0" w:color="auto"/>
        <w:bottom w:val="none" w:sz="0" w:space="0" w:color="auto"/>
        <w:right w:val="none" w:sz="0" w:space="0" w:color="auto"/>
      </w:divBdr>
    </w:div>
    <w:div w:id="1991212055">
      <w:bodyDiv w:val="1"/>
      <w:marLeft w:val="0"/>
      <w:marRight w:val="0"/>
      <w:marTop w:val="0"/>
      <w:marBottom w:val="0"/>
      <w:divBdr>
        <w:top w:val="none" w:sz="0" w:space="0" w:color="auto"/>
        <w:left w:val="none" w:sz="0" w:space="0" w:color="auto"/>
        <w:bottom w:val="none" w:sz="0" w:space="0" w:color="auto"/>
        <w:right w:val="none" w:sz="0" w:space="0" w:color="auto"/>
      </w:divBdr>
    </w:div>
    <w:div w:id="1991251755">
      <w:bodyDiv w:val="1"/>
      <w:marLeft w:val="0"/>
      <w:marRight w:val="0"/>
      <w:marTop w:val="0"/>
      <w:marBottom w:val="0"/>
      <w:divBdr>
        <w:top w:val="none" w:sz="0" w:space="0" w:color="auto"/>
        <w:left w:val="none" w:sz="0" w:space="0" w:color="auto"/>
        <w:bottom w:val="none" w:sz="0" w:space="0" w:color="auto"/>
        <w:right w:val="none" w:sz="0" w:space="0" w:color="auto"/>
      </w:divBdr>
    </w:div>
    <w:div w:id="1991400144">
      <w:bodyDiv w:val="1"/>
      <w:marLeft w:val="0"/>
      <w:marRight w:val="0"/>
      <w:marTop w:val="0"/>
      <w:marBottom w:val="0"/>
      <w:divBdr>
        <w:top w:val="none" w:sz="0" w:space="0" w:color="auto"/>
        <w:left w:val="none" w:sz="0" w:space="0" w:color="auto"/>
        <w:bottom w:val="none" w:sz="0" w:space="0" w:color="auto"/>
        <w:right w:val="none" w:sz="0" w:space="0" w:color="auto"/>
      </w:divBdr>
    </w:div>
    <w:div w:id="1991400285">
      <w:bodyDiv w:val="1"/>
      <w:marLeft w:val="0"/>
      <w:marRight w:val="0"/>
      <w:marTop w:val="0"/>
      <w:marBottom w:val="0"/>
      <w:divBdr>
        <w:top w:val="none" w:sz="0" w:space="0" w:color="auto"/>
        <w:left w:val="none" w:sz="0" w:space="0" w:color="auto"/>
        <w:bottom w:val="none" w:sz="0" w:space="0" w:color="auto"/>
        <w:right w:val="none" w:sz="0" w:space="0" w:color="auto"/>
      </w:divBdr>
    </w:div>
    <w:div w:id="1991404059">
      <w:bodyDiv w:val="1"/>
      <w:marLeft w:val="0"/>
      <w:marRight w:val="0"/>
      <w:marTop w:val="0"/>
      <w:marBottom w:val="0"/>
      <w:divBdr>
        <w:top w:val="none" w:sz="0" w:space="0" w:color="auto"/>
        <w:left w:val="none" w:sz="0" w:space="0" w:color="auto"/>
        <w:bottom w:val="none" w:sz="0" w:space="0" w:color="auto"/>
        <w:right w:val="none" w:sz="0" w:space="0" w:color="auto"/>
      </w:divBdr>
    </w:div>
    <w:div w:id="1991516482">
      <w:bodyDiv w:val="1"/>
      <w:marLeft w:val="0"/>
      <w:marRight w:val="0"/>
      <w:marTop w:val="0"/>
      <w:marBottom w:val="0"/>
      <w:divBdr>
        <w:top w:val="none" w:sz="0" w:space="0" w:color="auto"/>
        <w:left w:val="none" w:sz="0" w:space="0" w:color="auto"/>
        <w:bottom w:val="none" w:sz="0" w:space="0" w:color="auto"/>
        <w:right w:val="none" w:sz="0" w:space="0" w:color="auto"/>
      </w:divBdr>
    </w:div>
    <w:div w:id="1991519306">
      <w:bodyDiv w:val="1"/>
      <w:marLeft w:val="0"/>
      <w:marRight w:val="0"/>
      <w:marTop w:val="0"/>
      <w:marBottom w:val="0"/>
      <w:divBdr>
        <w:top w:val="none" w:sz="0" w:space="0" w:color="auto"/>
        <w:left w:val="none" w:sz="0" w:space="0" w:color="auto"/>
        <w:bottom w:val="none" w:sz="0" w:space="0" w:color="auto"/>
        <w:right w:val="none" w:sz="0" w:space="0" w:color="auto"/>
      </w:divBdr>
    </w:div>
    <w:div w:id="1991522336">
      <w:bodyDiv w:val="1"/>
      <w:marLeft w:val="0"/>
      <w:marRight w:val="0"/>
      <w:marTop w:val="0"/>
      <w:marBottom w:val="0"/>
      <w:divBdr>
        <w:top w:val="none" w:sz="0" w:space="0" w:color="auto"/>
        <w:left w:val="none" w:sz="0" w:space="0" w:color="auto"/>
        <w:bottom w:val="none" w:sz="0" w:space="0" w:color="auto"/>
        <w:right w:val="none" w:sz="0" w:space="0" w:color="auto"/>
      </w:divBdr>
    </w:div>
    <w:div w:id="1991594254">
      <w:bodyDiv w:val="1"/>
      <w:marLeft w:val="0"/>
      <w:marRight w:val="0"/>
      <w:marTop w:val="0"/>
      <w:marBottom w:val="0"/>
      <w:divBdr>
        <w:top w:val="none" w:sz="0" w:space="0" w:color="auto"/>
        <w:left w:val="none" w:sz="0" w:space="0" w:color="auto"/>
        <w:bottom w:val="none" w:sz="0" w:space="0" w:color="auto"/>
        <w:right w:val="none" w:sz="0" w:space="0" w:color="auto"/>
      </w:divBdr>
    </w:div>
    <w:div w:id="1991668256">
      <w:bodyDiv w:val="1"/>
      <w:marLeft w:val="0"/>
      <w:marRight w:val="0"/>
      <w:marTop w:val="0"/>
      <w:marBottom w:val="0"/>
      <w:divBdr>
        <w:top w:val="none" w:sz="0" w:space="0" w:color="auto"/>
        <w:left w:val="none" w:sz="0" w:space="0" w:color="auto"/>
        <w:bottom w:val="none" w:sz="0" w:space="0" w:color="auto"/>
        <w:right w:val="none" w:sz="0" w:space="0" w:color="auto"/>
      </w:divBdr>
    </w:div>
    <w:div w:id="1991710137">
      <w:bodyDiv w:val="1"/>
      <w:marLeft w:val="0"/>
      <w:marRight w:val="0"/>
      <w:marTop w:val="0"/>
      <w:marBottom w:val="0"/>
      <w:divBdr>
        <w:top w:val="none" w:sz="0" w:space="0" w:color="auto"/>
        <w:left w:val="none" w:sz="0" w:space="0" w:color="auto"/>
        <w:bottom w:val="none" w:sz="0" w:space="0" w:color="auto"/>
        <w:right w:val="none" w:sz="0" w:space="0" w:color="auto"/>
      </w:divBdr>
    </w:div>
    <w:div w:id="1991787640">
      <w:bodyDiv w:val="1"/>
      <w:marLeft w:val="0"/>
      <w:marRight w:val="0"/>
      <w:marTop w:val="0"/>
      <w:marBottom w:val="0"/>
      <w:divBdr>
        <w:top w:val="none" w:sz="0" w:space="0" w:color="auto"/>
        <w:left w:val="none" w:sz="0" w:space="0" w:color="auto"/>
        <w:bottom w:val="none" w:sz="0" w:space="0" w:color="auto"/>
        <w:right w:val="none" w:sz="0" w:space="0" w:color="auto"/>
      </w:divBdr>
    </w:div>
    <w:div w:id="1991903453">
      <w:bodyDiv w:val="1"/>
      <w:marLeft w:val="0"/>
      <w:marRight w:val="0"/>
      <w:marTop w:val="0"/>
      <w:marBottom w:val="0"/>
      <w:divBdr>
        <w:top w:val="none" w:sz="0" w:space="0" w:color="auto"/>
        <w:left w:val="none" w:sz="0" w:space="0" w:color="auto"/>
        <w:bottom w:val="none" w:sz="0" w:space="0" w:color="auto"/>
        <w:right w:val="none" w:sz="0" w:space="0" w:color="auto"/>
      </w:divBdr>
    </w:div>
    <w:div w:id="1991982734">
      <w:bodyDiv w:val="1"/>
      <w:marLeft w:val="0"/>
      <w:marRight w:val="0"/>
      <w:marTop w:val="0"/>
      <w:marBottom w:val="0"/>
      <w:divBdr>
        <w:top w:val="none" w:sz="0" w:space="0" w:color="auto"/>
        <w:left w:val="none" w:sz="0" w:space="0" w:color="auto"/>
        <w:bottom w:val="none" w:sz="0" w:space="0" w:color="auto"/>
        <w:right w:val="none" w:sz="0" w:space="0" w:color="auto"/>
      </w:divBdr>
    </w:div>
    <w:div w:id="1991982982">
      <w:bodyDiv w:val="1"/>
      <w:marLeft w:val="0"/>
      <w:marRight w:val="0"/>
      <w:marTop w:val="0"/>
      <w:marBottom w:val="0"/>
      <w:divBdr>
        <w:top w:val="none" w:sz="0" w:space="0" w:color="auto"/>
        <w:left w:val="none" w:sz="0" w:space="0" w:color="auto"/>
        <w:bottom w:val="none" w:sz="0" w:space="0" w:color="auto"/>
        <w:right w:val="none" w:sz="0" w:space="0" w:color="auto"/>
      </w:divBdr>
    </w:div>
    <w:div w:id="1991983625">
      <w:bodyDiv w:val="1"/>
      <w:marLeft w:val="0"/>
      <w:marRight w:val="0"/>
      <w:marTop w:val="0"/>
      <w:marBottom w:val="0"/>
      <w:divBdr>
        <w:top w:val="none" w:sz="0" w:space="0" w:color="auto"/>
        <w:left w:val="none" w:sz="0" w:space="0" w:color="auto"/>
        <w:bottom w:val="none" w:sz="0" w:space="0" w:color="auto"/>
        <w:right w:val="none" w:sz="0" w:space="0" w:color="auto"/>
      </w:divBdr>
    </w:div>
    <w:div w:id="1992056016">
      <w:bodyDiv w:val="1"/>
      <w:marLeft w:val="0"/>
      <w:marRight w:val="0"/>
      <w:marTop w:val="0"/>
      <w:marBottom w:val="0"/>
      <w:divBdr>
        <w:top w:val="none" w:sz="0" w:space="0" w:color="auto"/>
        <w:left w:val="none" w:sz="0" w:space="0" w:color="auto"/>
        <w:bottom w:val="none" w:sz="0" w:space="0" w:color="auto"/>
        <w:right w:val="none" w:sz="0" w:space="0" w:color="auto"/>
      </w:divBdr>
    </w:div>
    <w:div w:id="1992127628">
      <w:bodyDiv w:val="1"/>
      <w:marLeft w:val="0"/>
      <w:marRight w:val="0"/>
      <w:marTop w:val="0"/>
      <w:marBottom w:val="0"/>
      <w:divBdr>
        <w:top w:val="none" w:sz="0" w:space="0" w:color="auto"/>
        <w:left w:val="none" w:sz="0" w:space="0" w:color="auto"/>
        <w:bottom w:val="none" w:sz="0" w:space="0" w:color="auto"/>
        <w:right w:val="none" w:sz="0" w:space="0" w:color="auto"/>
      </w:divBdr>
    </w:div>
    <w:div w:id="1992295628">
      <w:bodyDiv w:val="1"/>
      <w:marLeft w:val="0"/>
      <w:marRight w:val="0"/>
      <w:marTop w:val="0"/>
      <w:marBottom w:val="0"/>
      <w:divBdr>
        <w:top w:val="none" w:sz="0" w:space="0" w:color="auto"/>
        <w:left w:val="none" w:sz="0" w:space="0" w:color="auto"/>
        <w:bottom w:val="none" w:sz="0" w:space="0" w:color="auto"/>
        <w:right w:val="none" w:sz="0" w:space="0" w:color="auto"/>
      </w:divBdr>
    </w:div>
    <w:div w:id="1992319748">
      <w:bodyDiv w:val="1"/>
      <w:marLeft w:val="0"/>
      <w:marRight w:val="0"/>
      <w:marTop w:val="0"/>
      <w:marBottom w:val="0"/>
      <w:divBdr>
        <w:top w:val="none" w:sz="0" w:space="0" w:color="auto"/>
        <w:left w:val="none" w:sz="0" w:space="0" w:color="auto"/>
        <w:bottom w:val="none" w:sz="0" w:space="0" w:color="auto"/>
        <w:right w:val="none" w:sz="0" w:space="0" w:color="auto"/>
      </w:divBdr>
    </w:div>
    <w:div w:id="1992324469">
      <w:bodyDiv w:val="1"/>
      <w:marLeft w:val="0"/>
      <w:marRight w:val="0"/>
      <w:marTop w:val="0"/>
      <w:marBottom w:val="0"/>
      <w:divBdr>
        <w:top w:val="none" w:sz="0" w:space="0" w:color="auto"/>
        <w:left w:val="none" w:sz="0" w:space="0" w:color="auto"/>
        <w:bottom w:val="none" w:sz="0" w:space="0" w:color="auto"/>
        <w:right w:val="none" w:sz="0" w:space="0" w:color="auto"/>
      </w:divBdr>
    </w:div>
    <w:div w:id="1992442520">
      <w:bodyDiv w:val="1"/>
      <w:marLeft w:val="0"/>
      <w:marRight w:val="0"/>
      <w:marTop w:val="0"/>
      <w:marBottom w:val="0"/>
      <w:divBdr>
        <w:top w:val="none" w:sz="0" w:space="0" w:color="auto"/>
        <w:left w:val="none" w:sz="0" w:space="0" w:color="auto"/>
        <w:bottom w:val="none" w:sz="0" w:space="0" w:color="auto"/>
        <w:right w:val="none" w:sz="0" w:space="0" w:color="auto"/>
      </w:divBdr>
    </w:div>
    <w:div w:id="1992444872">
      <w:bodyDiv w:val="1"/>
      <w:marLeft w:val="0"/>
      <w:marRight w:val="0"/>
      <w:marTop w:val="0"/>
      <w:marBottom w:val="0"/>
      <w:divBdr>
        <w:top w:val="none" w:sz="0" w:space="0" w:color="auto"/>
        <w:left w:val="none" w:sz="0" w:space="0" w:color="auto"/>
        <w:bottom w:val="none" w:sz="0" w:space="0" w:color="auto"/>
        <w:right w:val="none" w:sz="0" w:space="0" w:color="auto"/>
      </w:divBdr>
    </w:div>
    <w:div w:id="1992514419">
      <w:bodyDiv w:val="1"/>
      <w:marLeft w:val="0"/>
      <w:marRight w:val="0"/>
      <w:marTop w:val="0"/>
      <w:marBottom w:val="0"/>
      <w:divBdr>
        <w:top w:val="none" w:sz="0" w:space="0" w:color="auto"/>
        <w:left w:val="none" w:sz="0" w:space="0" w:color="auto"/>
        <w:bottom w:val="none" w:sz="0" w:space="0" w:color="auto"/>
        <w:right w:val="none" w:sz="0" w:space="0" w:color="auto"/>
      </w:divBdr>
    </w:div>
    <w:div w:id="1992519735">
      <w:bodyDiv w:val="1"/>
      <w:marLeft w:val="0"/>
      <w:marRight w:val="0"/>
      <w:marTop w:val="0"/>
      <w:marBottom w:val="0"/>
      <w:divBdr>
        <w:top w:val="none" w:sz="0" w:space="0" w:color="auto"/>
        <w:left w:val="none" w:sz="0" w:space="0" w:color="auto"/>
        <w:bottom w:val="none" w:sz="0" w:space="0" w:color="auto"/>
        <w:right w:val="none" w:sz="0" w:space="0" w:color="auto"/>
      </w:divBdr>
    </w:div>
    <w:div w:id="1992520318">
      <w:bodyDiv w:val="1"/>
      <w:marLeft w:val="0"/>
      <w:marRight w:val="0"/>
      <w:marTop w:val="0"/>
      <w:marBottom w:val="0"/>
      <w:divBdr>
        <w:top w:val="none" w:sz="0" w:space="0" w:color="auto"/>
        <w:left w:val="none" w:sz="0" w:space="0" w:color="auto"/>
        <w:bottom w:val="none" w:sz="0" w:space="0" w:color="auto"/>
        <w:right w:val="none" w:sz="0" w:space="0" w:color="auto"/>
      </w:divBdr>
    </w:div>
    <w:div w:id="1992563705">
      <w:bodyDiv w:val="1"/>
      <w:marLeft w:val="0"/>
      <w:marRight w:val="0"/>
      <w:marTop w:val="0"/>
      <w:marBottom w:val="0"/>
      <w:divBdr>
        <w:top w:val="none" w:sz="0" w:space="0" w:color="auto"/>
        <w:left w:val="none" w:sz="0" w:space="0" w:color="auto"/>
        <w:bottom w:val="none" w:sz="0" w:space="0" w:color="auto"/>
        <w:right w:val="none" w:sz="0" w:space="0" w:color="auto"/>
      </w:divBdr>
    </w:div>
    <w:div w:id="1992632281">
      <w:bodyDiv w:val="1"/>
      <w:marLeft w:val="0"/>
      <w:marRight w:val="0"/>
      <w:marTop w:val="0"/>
      <w:marBottom w:val="0"/>
      <w:divBdr>
        <w:top w:val="none" w:sz="0" w:space="0" w:color="auto"/>
        <w:left w:val="none" w:sz="0" w:space="0" w:color="auto"/>
        <w:bottom w:val="none" w:sz="0" w:space="0" w:color="auto"/>
        <w:right w:val="none" w:sz="0" w:space="0" w:color="auto"/>
      </w:divBdr>
    </w:div>
    <w:div w:id="1992757027">
      <w:bodyDiv w:val="1"/>
      <w:marLeft w:val="0"/>
      <w:marRight w:val="0"/>
      <w:marTop w:val="0"/>
      <w:marBottom w:val="0"/>
      <w:divBdr>
        <w:top w:val="none" w:sz="0" w:space="0" w:color="auto"/>
        <w:left w:val="none" w:sz="0" w:space="0" w:color="auto"/>
        <w:bottom w:val="none" w:sz="0" w:space="0" w:color="auto"/>
        <w:right w:val="none" w:sz="0" w:space="0" w:color="auto"/>
      </w:divBdr>
    </w:div>
    <w:div w:id="1992904893">
      <w:bodyDiv w:val="1"/>
      <w:marLeft w:val="0"/>
      <w:marRight w:val="0"/>
      <w:marTop w:val="0"/>
      <w:marBottom w:val="0"/>
      <w:divBdr>
        <w:top w:val="none" w:sz="0" w:space="0" w:color="auto"/>
        <w:left w:val="none" w:sz="0" w:space="0" w:color="auto"/>
        <w:bottom w:val="none" w:sz="0" w:space="0" w:color="auto"/>
        <w:right w:val="none" w:sz="0" w:space="0" w:color="auto"/>
      </w:divBdr>
    </w:div>
    <w:div w:id="1992974950">
      <w:bodyDiv w:val="1"/>
      <w:marLeft w:val="0"/>
      <w:marRight w:val="0"/>
      <w:marTop w:val="0"/>
      <w:marBottom w:val="0"/>
      <w:divBdr>
        <w:top w:val="none" w:sz="0" w:space="0" w:color="auto"/>
        <w:left w:val="none" w:sz="0" w:space="0" w:color="auto"/>
        <w:bottom w:val="none" w:sz="0" w:space="0" w:color="auto"/>
        <w:right w:val="none" w:sz="0" w:space="0" w:color="auto"/>
      </w:divBdr>
    </w:div>
    <w:div w:id="1993023051">
      <w:bodyDiv w:val="1"/>
      <w:marLeft w:val="0"/>
      <w:marRight w:val="0"/>
      <w:marTop w:val="0"/>
      <w:marBottom w:val="0"/>
      <w:divBdr>
        <w:top w:val="none" w:sz="0" w:space="0" w:color="auto"/>
        <w:left w:val="none" w:sz="0" w:space="0" w:color="auto"/>
        <w:bottom w:val="none" w:sz="0" w:space="0" w:color="auto"/>
        <w:right w:val="none" w:sz="0" w:space="0" w:color="auto"/>
      </w:divBdr>
    </w:div>
    <w:div w:id="1993213367">
      <w:bodyDiv w:val="1"/>
      <w:marLeft w:val="0"/>
      <w:marRight w:val="0"/>
      <w:marTop w:val="0"/>
      <w:marBottom w:val="0"/>
      <w:divBdr>
        <w:top w:val="none" w:sz="0" w:space="0" w:color="auto"/>
        <w:left w:val="none" w:sz="0" w:space="0" w:color="auto"/>
        <w:bottom w:val="none" w:sz="0" w:space="0" w:color="auto"/>
        <w:right w:val="none" w:sz="0" w:space="0" w:color="auto"/>
      </w:divBdr>
    </w:div>
    <w:div w:id="1993213596">
      <w:bodyDiv w:val="1"/>
      <w:marLeft w:val="0"/>
      <w:marRight w:val="0"/>
      <w:marTop w:val="0"/>
      <w:marBottom w:val="0"/>
      <w:divBdr>
        <w:top w:val="none" w:sz="0" w:space="0" w:color="auto"/>
        <w:left w:val="none" w:sz="0" w:space="0" w:color="auto"/>
        <w:bottom w:val="none" w:sz="0" w:space="0" w:color="auto"/>
        <w:right w:val="none" w:sz="0" w:space="0" w:color="auto"/>
      </w:divBdr>
    </w:div>
    <w:div w:id="1993216223">
      <w:bodyDiv w:val="1"/>
      <w:marLeft w:val="0"/>
      <w:marRight w:val="0"/>
      <w:marTop w:val="0"/>
      <w:marBottom w:val="0"/>
      <w:divBdr>
        <w:top w:val="none" w:sz="0" w:space="0" w:color="auto"/>
        <w:left w:val="none" w:sz="0" w:space="0" w:color="auto"/>
        <w:bottom w:val="none" w:sz="0" w:space="0" w:color="auto"/>
        <w:right w:val="none" w:sz="0" w:space="0" w:color="auto"/>
      </w:divBdr>
    </w:div>
    <w:div w:id="1993219980">
      <w:bodyDiv w:val="1"/>
      <w:marLeft w:val="0"/>
      <w:marRight w:val="0"/>
      <w:marTop w:val="0"/>
      <w:marBottom w:val="0"/>
      <w:divBdr>
        <w:top w:val="none" w:sz="0" w:space="0" w:color="auto"/>
        <w:left w:val="none" w:sz="0" w:space="0" w:color="auto"/>
        <w:bottom w:val="none" w:sz="0" w:space="0" w:color="auto"/>
        <w:right w:val="none" w:sz="0" w:space="0" w:color="auto"/>
      </w:divBdr>
    </w:div>
    <w:div w:id="1993287290">
      <w:bodyDiv w:val="1"/>
      <w:marLeft w:val="0"/>
      <w:marRight w:val="0"/>
      <w:marTop w:val="0"/>
      <w:marBottom w:val="0"/>
      <w:divBdr>
        <w:top w:val="none" w:sz="0" w:space="0" w:color="auto"/>
        <w:left w:val="none" w:sz="0" w:space="0" w:color="auto"/>
        <w:bottom w:val="none" w:sz="0" w:space="0" w:color="auto"/>
        <w:right w:val="none" w:sz="0" w:space="0" w:color="auto"/>
      </w:divBdr>
    </w:div>
    <w:div w:id="1993412870">
      <w:bodyDiv w:val="1"/>
      <w:marLeft w:val="0"/>
      <w:marRight w:val="0"/>
      <w:marTop w:val="0"/>
      <w:marBottom w:val="0"/>
      <w:divBdr>
        <w:top w:val="none" w:sz="0" w:space="0" w:color="auto"/>
        <w:left w:val="none" w:sz="0" w:space="0" w:color="auto"/>
        <w:bottom w:val="none" w:sz="0" w:space="0" w:color="auto"/>
        <w:right w:val="none" w:sz="0" w:space="0" w:color="auto"/>
      </w:divBdr>
    </w:div>
    <w:div w:id="1993485776">
      <w:bodyDiv w:val="1"/>
      <w:marLeft w:val="0"/>
      <w:marRight w:val="0"/>
      <w:marTop w:val="0"/>
      <w:marBottom w:val="0"/>
      <w:divBdr>
        <w:top w:val="none" w:sz="0" w:space="0" w:color="auto"/>
        <w:left w:val="none" w:sz="0" w:space="0" w:color="auto"/>
        <w:bottom w:val="none" w:sz="0" w:space="0" w:color="auto"/>
        <w:right w:val="none" w:sz="0" w:space="0" w:color="auto"/>
      </w:divBdr>
    </w:div>
    <w:div w:id="1993558115">
      <w:bodyDiv w:val="1"/>
      <w:marLeft w:val="0"/>
      <w:marRight w:val="0"/>
      <w:marTop w:val="0"/>
      <w:marBottom w:val="0"/>
      <w:divBdr>
        <w:top w:val="none" w:sz="0" w:space="0" w:color="auto"/>
        <w:left w:val="none" w:sz="0" w:space="0" w:color="auto"/>
        <w:bottom w:val="none" w:sz="0" w:space="0" w:color="auto"/>
        <w:right w:val="none" w:sz="0" w:space="0" w:color="auto"/>
      </w:divBdr>
    </w:div>
    <w:div w:id="1993561599">
      <w:bodyDiv w:val="1"/>
      <w:marLeft w:val="0"/>
      <w:marRight w:val="0"/>
      <w:marTop w:val="0"/>
      <w:marBottom w:val="0"/>
      <w:divBdr>
        <w:top w:val="none" w:sz="0" w:space="0" w:color="auto"/>
        <w:left w:val="none" w:sz="0" w:space="0" w:color="auto"/>
        <w:bottom w:val="none" w:sz="0" w:space="0" w:color="auto"/>
        <w:right w:val="none" w:sz="0" w:space="0" w:color="auto"/>
      </w:divBdr>
    </w:div>
    <w:div w:id="1993561762">
      <w:bodyDiv w:val="1"/>
      <w:marLeft w:val="0"/>
      <w:marRight w:val="0"/>
      <w:marTop w:val="0"/>
      <w:marBottom w:val="0"/>
      <w:divBdr>
        <w:top w:val="none" w:sz="0" w:space="0" w:color="auto"/>
        <w:left w:val="none" w:sz="0" w:space="0" w:color="auto"/>
        <w:bottom w:val="none" w:sz="0" w:space="0" w:color="auto"/>
        <w:right w:val="none" w:sz="0" w:space="0" w:color="auto"/>
      </w:divBdr>
    </w:div>
    <w:div w:id="1993630880">
      <w:bodyDiv w:val="1"/>
      <w:marLeft w:val="0"/>
      <w:marRight w:val="0"/>
      <w:marTop w:val="0"/>
      <w:marBottom w:val="0"/>
      <w:divBdr>
        <w:top w:val="none" w:sz="0" w:space="0" w:color="auto"/>
        <w:left w:val="none" w:sz="0" w:space="0" w:color="auto"/>
        <w:bottom w:val="none" w:sz="0" w:space="0" w:color="auto"/>
        <w:right w:val="none" w:sz="0" w:space="0" w:color="auto"/>
      </w:divBdr>
    </w:div>
    <w:div w:id="1993755633">
      <w:bodyDiv w:val="1"/>
      <w:marLeft w:val="0"/>
      <w:marRight w:val="0"/>
      <w:marTop w:val="0"/>
      <w:marBottom w:val="0"/>
      <w:divBdr>
        <w:top w:val="none" w:sz="0" w:space="0" w:color="auto"/>
        <w:left w:val="none" w:sz="0" w:space="0" w:color="auto"/>
        <w:bottom w:val="none" w:sz="0" w:space="0" w:color="auto"/>
        <w:right w:val="none" w:sz="0" w:space="0" w:color="auto"/>
      </w:divBdr>
    </w:div>
    <w:div w:id="1993824009">
      <w:bodyDiv w:val="1"/>
      <w:marLeft w:val="0"/>
      <w:marRight w:val="0"/>
      <w:marTop w:val="0"/>
      <w:marBottom w:val="0"/>
      <w:divBdr>
        <w:top w:val="none" w:sz="0" w:space="0" w:color="auto"/>
        <w:left w:val="none" w:sz="0" w:space="0" w:color="auto"/>
        <w:bottom w:val="none" w:sz="0" w:space="0" w:color="auto"/>
        <w:right w:val="none" w:sz="0" w:space="0" w:color="auto"/>
      </w:divBdr>
    </w:div>
    <w:div w:id="1993832542">
      <w:bodyDiv w:val="1"/>
      <w:marLeft w:val="0"/>
      <w:marRight w:val="0"/>
      <w:marTop w:val="0"/>
      <w:marBottom w:val="0"/>
      <w:divBdr>
        <w:top w:val="none" w:sz="0" w:space="0" w:color="auto"/>
        <w:left w:val="none" w:sz="0" w:space="0" w:color="auto"/>
        <w:bottom w:val="none" w:sz="0" w:space="0" w:color="auto"/>
        <w:right w:val="none" w:sz="0" w:space="0" w:color="auto"/>
      </w:divBdr>
    </w:div>
    <w:div w:id="1993899139">
      <w:bodyDiv w:val="1"/>
      <w:marLeft w:val="0"/>
      <w:marRight w:val="0"/>
      <w:marTop w:val="0"/>
      <w:marBottom w:val="0"/>
      <w:divBdr>
        <w:top w:val="none" w:sz="0" w:space="0" w:color="auto"/>
        <w:left w:val="none" w:sz="0" w:space="0" w:color="auto"/>
        <w:bottom w:val="none" w:sz="0" w:space="0" w:color="auto"/>
        <w:right w:val="none" w:sz="0" w:space="0" w:color="auto"/>
      </w:divBdr>
    </w:div>
    <w:div w:id="1993942712">
      <w:bodyDiv w:val="1"/>
      <w:marLeft w:val="0"/>
      <w:marRight w:val="0"/>
      <w:marTop w:val="0"/>
      <w:marBottom w:val="0"/>
      <w:divBdr>
        <w:top w:val="none" w:sz="0" w:space="0" w:color="auto"/>
        <w:left w:val="none" w:sz="0" w:space="0" w:color="auto"/>
        <w:bottom w:val="none" w:sz="0" w:space="0" w:color="auto"/>
        <w:right w:val="none" w:sz="0" w:space="0" w:color="auto"/>
      </w:divBdr>
    </w:div>
    <w:div w:id="1993944584">
      <w:bodyDiv w:val="1"/>
      <w:marLeft w:val="0"/>
      <w:marRight w:val="0"/>
      <w:marTop w:val="0"/>
      <w:marBottom w:val="0"/>
      <w:divBdr>
        <w:top w:val="none" w:sz="0" w:space="0" w:color="auto"/>
        <w:left w:val="none" w:sz="0" w:space="0" w:color="auto"/>
        <w:bottom w:val="none" w:sz="0" w:space="0" w:color="auto"/>
        <w:right w:val="none" w:sz="0" w:space="0" w:color="auto"/>
      </w:divBdr>
    </w:div>
    <w:div w:id="1993944619">
      <w:bodyDiv w:val="1"/>
      <w:marLeft w:val="0"/>
      <w:marRight w:val="0"/>
      <w:marTop w:val="0"/>
      <w:marBottom w:val="0"/>
      <w:divBdr>
        <w:top w:val="none" w:sz="0" w:space="0" w:color="auto"/>
        <w:left w:val="none" w:sz="0" w:space="0" w:color="auto"/>
        <w:bottom w:val="none" w:sz="0" w:space="0" w:color="auto"/>
        <w:right w:val="none" w:sz="0" w:space="0" w:color="auto"/>
      </w:divBdr>
    </w:div>
    <w:div w:id="1994017086">
      <w:bodyDiv w:val="1"/>
      <w:marLeft w:val="0"/>
      <w:marRight w:val="0"/>
      <w:marTop w:val="0"/>
      <w:marBottom w:val="0"/>
      <w:divBdr>
        <w:top w:val="none" w:sz="0" w:space="0" w:color="auto"/>
        <w:left w:val="none" w:sz="0" w:space="0" w:color="auto"/>
        <w:bottom w:val="none" w:sz="0" w:space="0" w:color="auto"/>
        <w:right w:val="none" w:sz="0" w:space="0" w:color="auto"/>
      </w:divBdr>
    </w:div>
    <w:div w:id="1994022683">
      <w:bodyDiv w:val="1"/>
      <w:marLeft w:val="0"/>
      <w:marRight w:val="0"/>
      <w:marTop w:val="0"/>
      <w:marBottom w:val="0"/>
      <w:divBdr>
        <w:top w:val="none" w:sz="0" w:space="0" w:color="auto"/>
        <w:left w:val="none" w:sz="0" w:space="0" w:color="auto"/>
        <w:bottom w:val="none" w:sz="0" w:space="0" w:color="auto"/>
        <w:right w:val="none" w:sz="0" w:space="0" w:color="auto"/>
      </w:divBdr>
    </w:div>
    <w:div w:id="1994064241">
      <w:bodyDiv w:val="1"/>
      <w:marLeft w:val="0"/>
      <w:marRight w:val="0"/>
      <w:marTop w:val="0"/>
      <w:marBottom w:val="0"/>
      <w:divBdr>
        <w:top w:val="none" w:sz="0" w:space="0" w:color="auto"/>
        <w:left w:val="none" w:sz="0" w:space="0" w:color="auto"/>
        <w:bottom w:val="none" w:sz="0" w:space="0" w:color="auto"/>
        <w:right w:val="none" w:sz="0" w:space="0" w:color="auto"/>
      </w:divBdr>
    </w:div>
    <w:div w:id="1994066454">
      <w:bodyDiv w:val="1"/>
      <w:marLeft w:val="0"/>
      <w:marRight w:val="0"/>
      <w:marTop w:val="0"/>
      <w:marBottom w:val="0"/>
      <w:divBdr>
        <w:top w:val="none" w:sz="0" w:space="0" w:color="auto"/>
        <w:left w:val="none" w:sz="0" w:space="0" w:color="auto"/>
        <w:bottom w:val="none" w:sz="0" w:space="0" w:color="auto"/>
        <w:right w:val="none" w:sz="0" w:space="0" w:color="auto"/>
      </w:divBdr>
    </w:div>
    <w:div w:id="1994068334">
      <w:bodyDiv w:val="1"/>
      <w:marLeft w:val="0"/>
      <w:marRight w:val="0"/>
      <w:marTop w:val="0"/>
      <w:marBottom w:val="0"/>
      <w:divBdr>
        <w:top w:val="none" w:sz="0" w:space="0" w:color="auto"/>
        <w:left w:val="none" w:sz="0" w:space="0" w:color="auto"/>
        <w:bottom w:val="none" w:sz="0" w:space="0" w:color="auto"/>
        <w:right w:val="none" w:sz="0" w:space="0" w:color="auto"/>
      </w:divBdr>
    </w:div>
    <w:div w:id="1994261226">
      <w:bodyDiv w:val="1"/>
      <w:marLeft w:val="0"/>
      <w:marRight w:val="0"/>
      <w:marTop w:val="0"/>
      <w:marBottom w:val="0"/>
      <w:divBdr>
        <w:top w:val="none" w:sz="0" w:space="0" w:color="auto"/>
        <w:left w:val="none" w:sz="0" w:space="0" w:color="auto"/>
        <w:bottom w:val="none" w:sz="0" w:space="0" w:color="auto"/>
        <w:right w:val="none" w:sz="0" w:space="0" w:color="auto"/>
      </w:divBdr>
    </w:div>
    <w:div w:id="1994292089">
      <w:bodyDiv w:val="1"/>
      <w:marLeft w:val="0"/>
      <w:marRight w:val="0"/>
      <w:marTop w:val="0"/>
      <w:marBottom w:val="0"/>
      <w:divBdr>
        <w:top w:val="none" w:sz="0" w:space="0" w:color="auto"/>
        <w:left w:val="none" w:sz="0" w:space="0" w:color="auto"/>
        <w:bottom w:val="none" w:sz="0" w:space="0" w:color="auto"/>
        <w:right w:val="none" w:sz="0" w:space="0" w:color="auto"/>
      </w:divBdr>
    </w:div>
    <w:div w:id="1994404731">
      <w:bodyDiv w:val="1"/>
      <w:marLeft w:val="0"/>
      <w:marRight w:val="0"/>
      <w:marTop w:val="0"/>
      <w:marBottom w:val="0"/>
      <w:divBdr>
        <w:top w:val="none" w:sz="0" w:space="0" w:color="auto"/>
        <w:left w:val="none" w:sz="0" w:space="0" w:color="auto"/>
        <w:bottom w:val="none" w:sz="0" w:space="0" w:color="auto"/>
        <w:right w:val="none" w:sz="0" w:space="0" w:color="auto"/>
      </w:divBdr>
    </w:div>
    <w:div w:id="1994408932">
      <w:bodyDiv w:val="1"/>
      <w:marLeft w:val="0"/>
      <w:marRight w:val="0"/>
      <w:marTop w:val="0"/>
      <w:marBottom w:val="0"/>
      <w:divBdr>
        <w:top w:val="none" w:sz="0" w:space="0" w:color="auto"/>
        <w:left w:val="none" w:sz="0" w:space="0" w:color="auto"/>
        <w:bottom w:val="none" w:sz="0" w:space="0" w:color="auto"/>
        <w:right w:val="none" w:sz="0" w:space="0" w:color="auto"/>
      </w:divBdr>
    </w:div>
    <w:div w:id="1994482667">
      <w:bodyDiv w:val="1"/>
      <w:marLeft w:val="0"/>
      <w:marRight w:val="0"/>
      <w:marTop w:val="0"/>
      <w:marBottom w:val="0"/>
      <w:divBdr>
        <w:top w:val="none" w:sz="0" w:space="0" w:color="auto"/>
        <w:left w:val="none" w:sz="0" w:space="0" w:color="auto"/>
        <w:bottom w:val="none" w:sz="0" w:space="0" w:color="auto"/>
        <w:right w:val="none" w:sz="0" w:space="0" w:color="auto"/>
      </w:divBdr>
    </w:div>
    <w:div w:id="1994529037">
      <w:bodyDiv w:val="1"/>
      <w:marLeft w:val="0"/>
      <w:marRight w:val="0"/>
      <w:marTop w:val="0"/>
      <w:marBottom w:val="0"/>
      <w:divBdr>
        <w:top w:val="none" w:sz="0" w:space="0" w:color="auto"/>
        <w:left w:val="none" w:sz="0" w:space="0" w:color="auto"/>
        <w:bottom w:val="none" w:sz="0" w:space="0" w:color="auto"/>
        <w:right w:val="none" w:sz="0" w:space="0" w:color="auto"/>
      </w:divBdr>
    </w:div>
    <w:div w:id="1994677463">
      <w:bodyDiv w:val="1"/>
      <w:marLeft w:val="0"/>
      <w:marRight w:val="0"/>
      <w:marTop w:val="0"/>
      <w:marBottom w:val="0"/>
      <w:divBdr>
        <w:top w:val="none" w:sz="0" w:space="0" w:color="auto"/>
        <w:left w:val="none" w:sz="0" w:space="0" w:color="auto"/>
        <w:bottom w:val="none" w:sz="0" w:space="0" w:color="auto"/>
        <w:right w:val="none" w:sz="0" w:space="0" w:color="auto"/>
      </w:divBdr>
    </w:div>
    <w:div w:id="1994748652">
      <w:bodyDiv w:val="1"/>
      <w:marLeft w:val="0"/>
      <w:marRight w:val="0"/>
      <w:marTop w:val="0"/>
      <w:marBottom w:val="0"/>
      <w:divBdr>
        <w:top w:val="none" w:sz="0" w:space="0" w:color="auto"/>
        <w:left w:val="none" w:sz="0" w:space="0" w:color="auto"/>
        <w:bottom w:val="none" w:sz="0" w:space="0" w:color="auto"/>
        <w:right w:val="none" w:sz="0" w:space="0" w:color="auto"/>
      </w:divBdr>
    </w:div>
    <w:div w:id="1995060046">
      <w:bodyDiv w:val="1"/>
      <w:marLeft w:val="0"/>
      <w:marRight w:val="0"/>
      <w:marTop w:val="0"/>
      <w:marBottom w:val="0"/>
      <w:divBdr>
        <w:top w:val="none" w:sz="0" w:space="0" w:color="auto"/>
        <w:left w:val="none" w:sz="0" w:space="0" w:color="auto"/>
        <w:bottom w:val="none" w:sz="0" w:space="0" w:color="auto"/>
        <w:right w:val="none" w:sz="0" w:space="0" w:color="auto"/>
      </w:divBdr>
    </w:div>
    <w:div w:id="1995065396">
      <w:bodyDiv w:val="1"/>
      <w:marLeft w:val="0"/>
      <w:marRight w:val="0"/>
      <w:marTop w:val="0"/>
      <w:marBottom w:val="0"/>
      <w:divBdr>
        <w:top w:val="none" w:sz="0" w:space="0" w:color="auto"/>
        <w:left w:val="none" w:sz="0" w:space="0" w:color="auto"/>
        <w:bottom w:val="none" w:sz="0" w:space="0" w:color="auto"/>
        <w:right w:val="none" w:sz="0" w:space="0" w:color="auto"/>
      </w:divBdr>
    </w:div>
    <w:div w:id="1995183645">
      <w:bodyDiv w:val="1"/>
      <w:marLeft w:val="0"/>
      <w:marRight w:val="0"/>
      <w:marTop w:val="0"/>
      <w:marBottom w:val="0"/>
      <w:divBdr>
        <w:top w:val="none" w:sz="0" w:space="0" w:color="auto"/>
        <w:left w:val="none" w:sz="0" w:space="0" w:color="auto"/>
        <w:bottom w:val="none" w:sz="0" w:space="0" w:color="auto"/>
        <w:right w:val="none" w:sz="0" w:space="0" w:color="auto"/>
      </w:divBdr>
    </w:div>
    <w:div w:id="1995258686">
      <w:bodyDiv w:val="1"/>
      <w:marLeft w:val="0"/>
      <w:marRight w:val="0"/>
      <w:marTop w:val="0"/>
      <w:marBottom w:val="0"/>
      <w:divBdr>
        <w:top w:val="none" w:sz="0" w:space="0" w:color="auto"/>
        <w:left w:val="none" w:sz="0" w:space="0" w:color="auto"/>
        <w:bottom w:val="none" w:sz="0" w:space="0" w:color="auto"/>
        <w:right w:val="none" w:sz="0" w:space="0" w:color="auto"/>
      </w:divBdr>
    </w:div>
    <w:div w:id="1995327507">
      <w:bodyDiv w:val="1"/>
      <w:marLeft w:val="0"/>
      <w:marRight w:val="0"/>
      <w:marTop w:val="0"/>
      <w:marBottom w:val="0"/>
      <w:divBdr>
        <w:top w:val="none" w:sz="0" w:space="0" w:color="auto"/>
        <w:left w:val="none" w:sz="0" w:space="0" w:color="auto"/>
        <w:bottom w:val="none" w:sz="0" w:space="0" w:color="auto"/>
        <w:right w:val="none" w:sz="0" w:space="0" w:color="auto"/>
      </w:divBdr>
    </w:div>
    <w:div w:id="1995451573">
      <w:bodyDiv w:val="1"/>
      <w:marLeft w:val="0"/>
      <w:marRight w:val="0"/>
      <w:marTop w:val="0"/>
      <w:marBottom w:val="0"/>
      <w:divBdr>
        <w:top w:val="none" w:sz="0" w:space="0" w:color="auto"/>
        <w:left w:val="none" w:sz="0" w:space="0" w:color="auto"/>
        <w:bottom w:val="none" w:sz="0" w:space="0" w:color="auto"/>
        <w:right w:val="none" w:sz="0" w:space="0" w:color="auto"/>
      </w:divBdr>
    </w:div>
    <w:div w:id="1995521358">
      <w:bodyDiv w:val="1"/>
      <w:marLeft w:val="0"/>
      <w:marRight w:val="0"/>
      <w:marTop w:val="0"/>
      <w:marBottom w:val="0"/>
      <w:divBdr>
        <w:top w:val="none" w:sz="0" w:space="0" w:color="auto"/>
        <w:left w:val="none" w:sz="0" w:space="0" w:color="auto"/>
        <w:bottom w:val="none" w:sz="0" w:space="0" w:color="auto"/>
        <w:right w:val="none" w:sz="0" w:space="0" w:color="auto"/>
      </w:divBdr>
    </w:div>
    <w:div w:id="1995524472">
      <w:bodyDiv w:val="1"/>
      <w:marLeft w:val="0"/>
      <w:marRight w:val="0"/>
      <w:marTop w:val="0"/>
      <w:marBottom w:val="0"/>
      <w:divBdr>
        <w:top w:val="none" w:sz="0" w:space="0" w:color="auto"/>
        <w:left w:val="none" w:sz="0" w:space="0" w:color="auto"/>
        <w:bottom w:val="none" w:sz="0" w:space="0" w:color="auto"/>
        <w:right w:val="none" w:sz="0" w:space="0" w:color="auto"/>
      </w:divBdr>
    </w:div>
    <w:div w:id="1995525934">
      <w:bodyDiv w:val="1"/>
      <w:marLeft w:val="0"/>
      <w:marRight w:val="0"/>
      <w:marTop w:val="0"/>
      <w:marBottom w:val="0"/>
      <w:divBdr>
        <w:top w:val="none" w:sz="0" w:space="0" w:color="auto"/>
        <w:left w:val="none" w:sz="0" w:space="0" w:color="auto"/>
        <w:bottom w:val="none" w:sz="0" w:space="0" w:color="auto"/>
        <w:right w:val="none" w:sz="0" w:space="0" w:color="auto"/>
      </w:divBdr>
    </w:div>
    <w:div w:id="1995601581">
      <w:bodyDiv w:val="1"/>
      <w:marLeft w:val="0"/>
      <w:marRight w:val="0"/>
      <w:marTop w:val="0"/>
      <w:marBottom w:val="0"/>
      <w:divBdr>
        <w:top w:val="none" w:sz="0" w:space="0" w:color="auto"/>
        <w:left w:val="none" w:sz="0" w:space="0" w:color="auto"/>
        <w:bottom w:val="none" w:sz="0" w:space="0" w:color="auto"/>
        <w:right w:val="none" w:sz="0" w:space="0" w:color="auto"/>
      </w:divBdr>
    </w:div>
    <w:div w:id="1995601922">
      <w:bodyDiv w:val="1"/>
      <w:marLeft w:val="0"/>
      <w:marRight w:val="0"/>
      <w:marTop w:val="0"/>
      <w:marBottom w:val="0"/>
      <w:divBdr>
        <w:top w:val="none" w:sz="0" w:space="0" w:color="auto"/>
        <w:left w:val="none" w:sz="0" w:space="0" w:color="auto"/>
        <w:bottom w:val="none" w:sz="0" w:space="0" w:color="auto"/>
        <w:right w:val="none" w:sz="0" w:space="0" w:color="auto"/>
      </w:divBdr>
    </w:div>
    <w:div w:id="1995642928">
      <w:bodyDiv w:val="1"/>
      <w:marLeft w:val="0"/>
      <w:marRight w:val="0"/>
      <w:marTop w:val="0"/>
      <w:marBottom w:val="0"/>
      <w:divBdr>
        <w:top w:val="none" w:sz="0" w:space="0" w:color="auto"/>
        <w:left w:val="none" w:sz="0" w:space="0" w:color="auto"/>
        <w:bottom w:val="none" w:sz="0" w:space="0" w:color="auto"/>
        <w:right w:val="none" w:sz="0" w:space="0" w:color="auto"/>
      </w:divBdr>
    </w:div>
    <w:div w:id="1995715443">
      <w:bodyDiv w:val="1"/>
      <w:marLeft w:val="0"/>
      <w:marRight w:val="0"/>
      <w:marTop w:val="0"/>
      <w:marBottom w:val="0"/>
      <w:divBdr>
        <w:top w:val="none" w:sz="0" w:space="0" w:color="auto"/>
        <w:left w:val="none" w:sz="0" w:space="0" w:color="auto"/>
        <w:bottom w:val="none" w:sz="0" w:space="0" w:color="auto"/>
        <w:right w:val="none" w:sz="0" w:space="0" w:color="auto"/>
      </w:divBdr>
    </w:div>
    <w:div w:id="1995796780">
      <w:bodyDiv w:val="1"/>
      <w:marLeft w:val="0"/>
      <w:marRight w:val="0"/>
      <w:marTop w:val="0"/>
      <w:marBottom w:val="0"/>
      <w:divBdr>
        <w:top w:val="none" w:sz="0" w:space="0" w:color="auto"/>
        <w:left w:val="none" w:sz="0" w:space="0" w:color="auto"/>
        <w:bottom w:val="none" w:sz="0" w:space="0" w:color="auto"/>
        <w:right w:val="none" w:sz="0" w:space="0" w:color="auto"/>
      </w:divBdr>
    </w:div>
    <w:div w:id="1995865795">
      <w:bodyDiv w:val="1"/>
      <w:marLeft w:val="0"/>
      <w:marRight w:val="0"/>
      <w:marTop w:val="0"/>
      <w:marBottom w:val="0"/>
      <w:divBdr>
        <w:top w:val="none" w:sz="0" w:space="0" w:color="auto"/>
        <w:left w:val="none" w:sz="0" w:space="0" w:color="auto"/>
        <w:bottom w:val="none" w:sz="0" w:space="0" w:color="auto"/>
        <w:right w:val="none" w:sz="0" w:space="0" w:color="auto"/>
      </w:divBdr>
    </w:div>
    <w:div w:id="1995907630">
      <w:bodyDiv w:val="1"/>
      <w:marLeft w:val="0"/>
      <w:marRight w:val="0"/>
      <w:marTop w:val="0"/>
      <w:marBottom w:val="0"/>
      <w:divBdr>
        <w:top w:val="none" w:sz="0" w:space="0" w:color="auto"/>
        <w:left w:val="none" w:sz="0" w:space="0" w:color="auto"/>
        <w:bottom w:val="none" w:sz="0" w:space="0" w:color="auto"/>
        <w:right w:val="none" w:sz="0" w:space="0" w:color="auto"/>
      </w:divBdr>
    </w:div>
    <w:div w:id="1995991360">
      <w:bodyDiv w:val="1"/>
      <w:marLeft w:val="0"/>
      <w:marRight w:val="0"/>
      <w:marTop w:val="0"/>
      <w:marBottom w:val="0"/>
      <w:divBdr>
        <w:top w:val="none" w:sz="0" w:space="0" w:color="auto"/>
        <w:left w:val="none" w:sz="0" w:space="0" w:color="auto"/>
        <w:bottom w:val="none" w:sz="0" w:space="0" w:color="auto"/>
        <w:right w:val="none" w:sz="0" w:space="0" w:color="auto"/>
      </w:divBdr>
    </w:div>
    <w:div w:id="1996183343">
      <w:bodyDiv w:val="1"/>
      <w:marLeft w:val="0"/>
      <w:marRight w:val="0"/>
      <w:marTop w:val="0"/>
      <w:marBottom w:val="0"/>
      <w:divBdr>
        <w:top w:val="none" w:sz="0" w:space="0" w:color="auto"/>
        <w:left w:val="none" w:sz="0" w:space="0" w:color="auto"/>
        <w:bottom w:val="none" w:sz="0" w:space="0" w:color="auto"/>
        <w:right w:val="none" w:sz="0" w:space="0" w:color="auto"/>
      </w:divBdr>
    </w:div>
    <w:div w:id="1996227041">
      <w:bodyDiv w:val="1"/>
      <w:marLeft w:val="0"/>
      <w:marRight w:val="0"/>
      <w:marTop w:val="0"/>
      <w:marBottom w:val="0"/>
      <w:divBdr>
        <w:top w:val="none" w:sz="0" w:space="0" w:color="auto"/>
        <w:left w:val="none" w:sz="0" w:space="0" w:color="auto"/>
        <w:bottom w:val="none" w:sz="0" w:space="0" w:color="auto"/>
        <w:right w:val="none" w:sz="0" w:space="0" w:color="auto"/>
      </w:divBdr>
    </w:div>
    <w:div w:id="1996298431">
      <w:bodyDiv w:val="1"/>
      <w:marLeft w:val="0"/>
      <w:marRight w:val="0"/>
      <w:marTop w:val="0"/>
      <w:marBottom w:val="0"/>
      <w:divBdr>
        <w:top w:val="none" w:sz="0" w:space="0" w:color="auto"/>
        <w:left w:val="none" w:sz="0" w:space="0" w:color="auto"/>
        <w:bottom w:val="none" w:sz="0" w:space="0" w:color="auto"/>
        <w:right w:val="none" w:sz="0" w:space="0" w:color="auto"/>
      </w:divBdr>
    </w:div>
    <w:div w:id="1996301873">
      <w:bodyDiv w:val="1"/>
      <w:marLeft w:val="0"/>
      <w:marRight w:val="0"/>
      <w:marTop w:val="0"/>
      <w:marBottom w:val="0"/>
      <w:divBdr>
        <w:top w:val="none" w:sz="0" w:space="0" w:color="auto"/>
        <w:left w:val="none" w:sz="0" w:space="0" w:color="auto"/>
        <w:bottom w:val="none" w:sz="0" w:space="0" w:color="auto"/>
        <w:right w:val="none" w:sz="0" w:space="0" w:color="auto"/>
      </w:divBdr>
    </w:div>
    <w:div w:id="1996686197">
      <w:bodyDiv w:val="1"/>
      <w:marLeft w:val="0"/>
      <w:marRight w:val="0"/>
      <w:marTop w:val="0"/>
      <w:marBottom w:val="0"/>
      <w:divBdr>
        <w:top w:val="none" w:sz="0" w:space="0" w:color="auto"/>
        <w:left w:val="none" w:sz="0" w:space="0" w:color="auto"/>
        <w:bottom w:val="none" w:sz="0" w:space="0" w:color="auto"/>
        <w:right w:val="none" w:sz="0" w:space="0" w:color="auto"/>
      </w:divBdr>
    </w:div>
    <w:div w:id="1996756956">
      <w:bodyDiv w:val="1"/>
      <w:marLeft w:val="0"/>
      <w:marRight w:val="0"/>
      <w:marTop w:val="0"/>
      <w:marBottom w:val="0"/>
      <w:divBdr>
        <w:top w:val="none" w:sz="0" w:space="0" w:color="auto"/>
        <w:left w:val="none" w:sz="0" w:space="0" w:color="auto"/>
        <w:bottom w:val="none" w:sz="0" w:space="0" w:color="auto"/>
        <w:right w:val="none" w:sz="0" w:space="0" w:color="auto"/>
      </w:divBdr>
    </w:div>
    <w:div w:id="1996759257">
      <w:bodyDiv w:val="1"/>
      <w:marLeft w:val="0"/>
      <w:marRight w:val="0"/>
      <w:marTop w:val="0"/>
      <w:marBottom w:val="0"/>
      <w:divBdr>
        <w:top w:val="none" w:sz="0" w:space="0" w:color="auto"/>
        <w:left w:val="none" w:sz="0" w:space="0" w:color="auto"/>
        <w:bottom w:val="none" w:sz="0" w:space="0" w:color="auto"/>
        <w:right w:val="none" w:sz="0" w:space="0" w:color="auto"/>
      </w:divBdr>
    </w:div>
    <w:div w:id="1996760831">
      <w:bodyDiv w:val="1"/>
      <w:marLeft w:val="0"/>
      <w:marRight w:val="0"/>
      <w:marTop w:val="0"/>
      <w:marBottom w:val="0"/>
      <w:divBdr>
        <w:top w:val="none" w:sz="0" w:space="0" w:color="auto"/>
        <w:left w:val="none" w:sz="0" w:space="0" w:color="auto"/>
        <w:bottom w:val="none" w:sz="0" w:space="0" w:color="auto"/>
        <w:right w:val="none" w:sz="0" w:space="0" w:color="auto"/>
      </w:divBdr>
    </w:div>
    <w:div w:id="1996833134">
      <w:bodyDiv w:val="1"/>
      <w:marLeft w:val="0"/>
      <w:marRight w:val="0"/>
      <w:marTop w:val="0"/>
      <w:marBottom w:val="0"/>
      <w:divBdr>
        <w:top w:val="none" w:sz="0" w:space="0" w:color="auto"/>
        <w:left w:val="none" w:sz="0" w:space="0" w:color="auto"/>
        <w:bottom w:val="none" w:sz="0" w:space="0" w:color="auto"/>
        <w:right w:val="none" w:sz="0" w:space="0" w:color="auto"/>
      </w:divBdr>
    </w:div>
    <w:div w:id="1996907835">
      <w:bodyDiv w:val="1"/>
      <w:marLeft w:val="0"/>
      <w:marRight w:val="0"/>
      <w:marTop w:val="0"/>
      <w:marBottom w:val="0"/>
      <w:divBdr>
        <w:top w:val="none" w:sz="0" w:space="0" w:color="auto"/>
        <w:left w:val="none" w:sz="0" w:space="0" w:color="auto"/>
        <w:bottom w:val="none" w:sz="0" w:space="0" w:color="auto"/>
        <w:right w:val="none" w:sz="0" w:space="0" w:color="auto"/>
      </w:divBdr>
    </w:div>
    <w:div w:id="1996910154">
      <w:bodyDiv w:val="1"/>
      <w:marLeft w:val="0"/>
      <w:marRight w:val="0"/>
      <w:marTop w:val="0"/>
      <w:marBottom w:val="0"/>
      <w:divBdr>
        <w:top w:val="none" w:sz="0" w:space="0" w:color="auto"/>
        <w:left w:val="none" w:sz="0" w:space="0" w:color="auto"/>
        <w:bottom w:val="none" w:sz="0" w:space="0" w:color="auto"/>
        <w:right w:val="none" w:sz="0" w:space="0" w:color="auto"/>
      </w:divBdr>
    </w:div>
    <w:div w:id="1996912862">
      <w:bodyDiv w:val="1"/>
      <w:marLeft w:val="0"/>
      <w:marRight w:val="0"/>
      <w:marTop w:val="0"/>
      <w:marBottom w:val="0"/>
      <w:divBdr>
        <w:top w:val="none" w:sz="0" w:space="0" w:color="auto"/>
        <w:left w:val="none" w:sz="0" w:space="0" w:color="auto"/>
        <w:bottom w:val="none" w:sz="0" w:space="0" w:color="auto"/>
        <w:right w:val="none" w:sz="0" w:space="0" w:color="auto"/>
      </w:divBdr>
    </w:div>
    <w:div w:id="1997025964">
      <w:bodyDiv w:val="1"/>
      <w:marLeft w:val="0"/>
      <w:marRight w:val="0"/>
      <w:marTop w:val="0"/>
      <w:marBottom w:val="0"/>
      <w:divBdr>
        <w:top w:val="none" w:sz="0" w:space="0" w:color="auto"/>
        <w:left w:val="none" w:sz="0" w:space="0" w:color="auto"/>
        <w:bottom w:val="none" w:sz="0" w:space="0" w:color="auto"/>
        <w:right w:val="none" w:sz="0" w:space="0" w:color="auto"/>
      </w:divBdr>
    </w:div>
    <w:div w:id="1997029900">
      <w:bodyDiv w:val="1"/>
      <w:marLeft w:val="0"/>
      <w:marRight w:val="0"/>
      <w:marTop w:val="0"/>
      <w:marBottom w:val="0"/>
      <w:divBdr>
        <w:top w:val="none" w:sz="0" w:space="0" w:color="auto"/>
        <w:left w:val="none" w:sz="0" w:space="0" w:color="auto"/>
        <w:bottom w:val="none" w:sz="0" w:space="0" w:color="auto"/>
        <w:right w:val="none" w:sz="0" w:space="0" w:color="auto"/>
      </w:divBdr>
    </w:div>
    <w:div w:id="1997030069">
      <w:bodyDiv w:val="1"/>
      <w:marLeft w:val="0"/>
      <w:marRight w:val="0"/>
      <w:marTop w:val="0"/>
      <w:marBottom w:val="0"/>
      <w:divBdr>
        <w:top w:val="none" w:sz="0" w:space="0" w:color="auto"/>
        <w:left w:val="none" w:sz="0" w:space="0" w:color="auto"/>
        <w:bottom w:val="none" w:sz="0" w:space="0" w:color="auto"/>
        <w:right w:val="none" w:sz="0" w:space="0" w:color="auto"/>
      </w:divBdr>
    </w:div>
    <w:div w:id="1997144525">
      <w:bodyDiv w:val="1"/>
      <w:marLeft w:val="0"/>
      <w:marRight w:val="0"/>
      <w:marTop w:val="0"/>
      <w:marBottom w:val="0"/>
      <w:divBdr>
        <w:top w:val="none" w:sz="0" w:space="0" w:color="auto"/>
        <w:left w:val="none" w:sz="0" w:space="0" w:color="auto"/>
        <w:bottom w:val="none" w:sz="0" w:space="0" w:color="auto"/>
        <w:right w:val="none" w:sz="0" w:space="0" w:color="auto"/>
      </w:divBdr>
    </w:div>
    <w:div w:id="1997175632">
      <w:bodyDiv w:val="1"/>
      <w:marLeft w:val="0"/>
      <w:marRight w:val="0"/>
      <w:marTop w:val="0"/>
      <w:marBottom w:val="0"/>
      <w:divBdr>
        <w:top w:val="none" w:sz="0" w:space="0" w:color="auto"/>
        <w:left w:val="none" w:sz="0" w:space="0" w:color="auto"/>
        <w:bottom w:val="none" w:sz="0" w:space="0" w:color="auto"/>
        <w:right w:val="none" w:sz="0" w:space="0" w:color="auto"/>
      </w:divBdr>
    </w:div>
    <w:div w:id="1997219718">
      <w:bodyDiv w:val="1"/>
      <w:marLeft w:val="0"/>
      <w:marRight w:val="0"/>
      <w:marTop w:val="0"/>
      <w:marBottom w:val="0"/>
      <w:divBdr>
        <w:top w:val="none" w:sz="0" w:space="0" w:color="auto"/>
        <w:left w:val="none" w:sz="0" w:space="0" w:color="auto"/>
        <w:bottom w:val="none" w:sz="0" w:space="0" w:color="auto"/>
        <w:right w:val="none" w:sz="0" w:space="0" w:color="auto"/>
      </w:divBdr>
    </w:div>
    <w:div w:id="1997370858">
      <w:bodyDiv w:val="1"/>
      <w:marLeft w:val="0"/>
      <w:marRight w:val="0"/>
      <w:marTop w:val="0"/>
      <w:marBottom w:val="0"/>
      <w:divBdr>
        <w:top w:val="none" w:sz="0" w:space="0" w:color="auto"/>
        <w:left w:val="none" w:sz="0" w:space="0" w:color="auto"/>
        <w:bottom w:val="none" w:sz="0" w:space="0" w:color="auto"/>
        <w:right w:val="none" w:sz="0" w:space="0" w:color="auto"/>
      </w:divBdr>
    </w:div>
    <w:div w:id="1997370963">
      <w:bodyDiv w:val="1"/>
      <w:marLeft w:val="0"/>
      <w:marRight w:val="0"/>
      <w:marTop w:val="0"/>
      <w:marBottom w:val="0"/>
      <w:divBdr>
        <w:top w:val="none" w:sz="0" w:space="0" w:color="auto"/>
        <w:left w:val="none" w:sz="0" w:space="0" w:color="auto"/>
        <w:bottom w:val="none" w:sz="0" w:space="0" w:color="auto"/>
        <w:right w:val="none" w:sz="0" w:space="0" w:color="auto"/>
      </w:divBdr>
    </w:div>
    <w:div w:id="1997417196">
      <w:bodyDiv w:val="1"/>
      <w:marLeft w:val="0"/>
      <w:marRight w:val="0"/>
      <w:marTop w:val="0"/>
      <w:marBottom w:val="0"/>
      <w:divBdr>
        <w:top w:val="none" w:sz="0" w:space="0" w:color="auto"/>
        <w:left w:val="none" w:sz="0" w:space="0" w:color="auto"/>
        <w:bottom w:val="none" w:sz="0" w:space="0" w:color="auto"/>
        <w:right w:val="none" w:sz="0" w:space="0" w:color="auto"/>
      </w:divBdr>
    </w:div>
    <w:div w:id="1997487105">
      <w:bodyDiv w:val="1"/>
      <w:marLeft w:val="0"/>
      <w:marRight w:val="0"/>
      <w:marTop w:val="0"/>
      <w:marBottom w:val="0"/>
      <w:divBdr>
        <w:top w:val="none" w:sz="0" w:space="0" w:color="auto"/>
        <w:left w:val="none" w:sz="0" w:space="0" w:color="auto"/>
        <w:bottom w:val="none" w:sz="0" w:space="0" w:color="auto"/>
        <w:right w:val="none" w:sz="0" w:space="0" w:color="auto"/>
      </w:divBdr>
    </w:div>
    <w:div w:id="1997566793">
      <w:bodyDiv w:val="1"/>
      <w:marLeft w:val="0"/>
      <w:marRight w:val="0"/>
      <w:marTop w:val="0"/>
      <w:marBottom w:val="0"/>
      <w:divBdr>
        <w:top w:val="none" w:sz="0" w:space="0" w:color="auto"/>
        <w:left w:val="none" w:sz="0" w:space="0" w:color="auto"/>
        <w:bottom w:val="none" w:sz="0" w:space="0" w:color="auto"/>
        <w:right w:val="none" w:sz="0" w:space="0" w:color="auto"/>
      </w:divBdr>
    </w:div>
    <w:div w:id="1997802896">
      <w:bodyDiv w:val="1"/>
      <w:marLeft w:val="0"/>
      <w:marRight w:val="0"/>
      <w:marTop w:val="0"/>
      <w:marBottom w:val="0"/>
      <w:divBdr>
        <w:top w:val="none" w:sz="0" w:space="0" w:color="auto"/>
        <w:left w:val="none" w:sz="0" w:space="0" w:color="auto"/>
        <w:bottom w:val="none" w:sz="0" w:space="0" w:color="auto"/>
        <w:right w:val="none" w:sz="0" w:space="0" w:color="auto"/>
      </w:divBdr>
    </w:div>
    <w:div w:id="1997806710">
      <w:bodyDiv w:val="1"/>
      <w:marLeft w:val="0"/>
      <w:marRight w:val="0"/>
      <w:marTop w:val="0"/>
      <w:marBottom w:val="0"/>
      <w:divBdr>
        <w:top w:val="none" w:sz="0" w:space="0" w:color="auto"/>
        <w:left w:val="none" w:sz="0" w:space="0" w:color="auto"/>
        <w:bottom w:val="none" w:sz="0" w:space="0" w:color="auto"/>
        <w:right w:val="none" w:sz="0" w:space="0" w:color="auto"/>
      </w:divBdr>
    </w:div>
    <w:div w:id="1997830657">
      <w:bodyDiv w:val="1"/>
      <w:marLeft w:val="0"/>
      <w:marRight w:val="0"/>
      <w:marTop w:val="0"/>
      <w:marBottom w:val="0"/>
      <w:divBdr>
        <w:top w:val="none" w:sz="0" w:space="0" w:color="auto"/>
        <w:left w:val="none" w:sz="0" w:space="0" w:color="auto"/>
        <w:bottom w:val="none" w:sz="0" w:space="0" w:color="auto"/>
        <w:right w:val="none" w:sz="0" w:space="0" w:color="auto"/>
      </w:divBdr>
    </w:div>
    <w:div w:id="1997878597">
      <w:bodyDiv w:val="1"/>
      <w:marLeft w:val="0"/>
      <w:marRight w:val="0"/>
      <w:marTop w:val="0"/>
      <w:marBottom w:val="0"/>
      <w:divBdr>
        <w:top w:val="none" w:sz="0" w:space="0" w:color="auto"/>
        <w:left w:val="none" w:sz="0" w:space="0" w:color="auto"/>
        <w:bottom w:val="none" w:sz="0" w:space="0" w:color="auto"/>
        <w:right w:val="none" w:sz="0" w:space="0" w:color="auto"/>
      </w:divBdr>
    </w:div>
    <w:div w:id="1997997385">
      <w:bodyDiv w:val="1"/>
      <w:marLeft w:val="0"/>
      <w:marRight w:val="0"/>
      <w:marTop w:val="0"/>
      <w:marBottom w:val="0"/>
      <w:divBdr>
        <w:top w:val="none" w:sz="0" w:space="0" w:color="auto"/>
        <w:left w:val="none" w:sz="0" w:space="0" w:color="auto"/>
        <w:bottom w:val="none" w:sz="0" w:space="0" w:color="auto"/>
        <w:right w:val="none" w:sz="0" w:space="0" w:color="auto"/>
      </w:divBdr>
    </w:div>
    <w:div w:id="1997998588">
      <w:bodyDiv w:val="1"/>
      <w:marLeft w:val="0"/>
      <w:marRight w:val="0"/>
      <w:marTop w:val="0"/>
      <w:marBottom w:val="0"/>
      <w:divBdr>
        <w:top w:val="none" w:sz="0" w:space="0" w:color="auto"/>
        <w:left w:val="none" w:sz="0" w:space="0" w:color="auto"/>
        <w:bottom w:val="none" w:sz="0" w:space="0" w:color="auto"/>
        <w:right w:val="none" w:sz="0" w:space="0" w:color="auto"/>
      </w:divBdr>
    </w:div>
    <w:div w:id="1997999043">
      <w:bodyDiv w:val="1"/>
      <w:marLeft w:val="0"/>
      <w:marRight w:val="0"/>
      <w:marTop w:val="0"/>
      <w:marBottom w:val="0"/>
      <w:divBdr>
        <w:top w:val="none" w:sz="0" w:space="0" w:color="auto"/>
        <w:left w:val="none" w:sz="0" w:space="0" w:color="auto"/>
        <w:bottom w:val="none" w:sz="0" w:space="0" w:color="auto"/>
        <w:right w:val="none" w:sz="0" w:space="0" w:color="auto"/>
      </w:divBdr>
    </w:div>
    <w:div w:id="1998076072">
      <w:bodyDiv w:val="1"/>
      <w:marLeft w:val="0"/>
      <w:marRight w:val="0"/>
      <w:marTop w:val="0"/>
      <w:marBottom w:val="0"/>
      <w:divBdr>
        <w:top w:val="none" w:sz="0" w:space="0" w:color="auto"/>
        <w:left w:val="none" w:sz="0" w:space="0" w:color="auto"/>
        <w:bottom w:val="none" w:sz="0" w:space="0" w:color="auto"/>
        <w:right w:val="none" w:sz="0" w:space="0" w:color="auto"/>
      </w:divBdr>
    </w:div>
    <w:div w:id="1998149665">
      <w:bodyDiv w:val="1"/>
      <w:marLeft w:val="0"/>
      <w:marRight w:val="0"/>
      <w:marTop w:val="0"/>
      <w:marBottom w:val="0"/>
      <w:divBdr>
        <w:top w:val="none" w:sz="0" w:space="0" w:color="auto"/>
        <w:left w:val="none" w:sz="0" w:space="0" w:color="auto"/>
        <w:bottom w:val="none" w:sz="0" w:space="0" w:color="auto"/>
        <w:right w:val="none" w:sz="0" w:space="0" w:color="auto"/>
      </w:divBdr>
    </w:div>
    <w:div w:id="1998225300">
      <w:bodyDiv w:val="1"/>
      <w:marLeft w:val="0"/>
      <w:marRight w:val="0"/>
      <w:marTop w:val="0"/>
      <w:marBottom w:val="0"/>
      <w:divBdr>
        <w:top w:val="none" w:sz="0" w:space="0" w:color="auto"/>
        <w:left w:val="none" w:sz="0" w:space="0" w:color="auto"/>
        <w:bottom w:val="none" w:sz="0" w:space="0" w:color="auto"/>
        <w:right w:val="none" w:sz="0" w:space="0" w:color="auto"/>
      </w:divBdr>
    </w:div>
    <w:div w:id="1998265298">
      <w:bodyDiv w:val="1"/>
      <w:marLeft w:val="0"/>
      <w:marRight w:val="0"/>
      <w:marTop w:val="0"/>
      <w:marBottom w:val="0"/>
      <w:divBdr>
        <w:top w:val="none" w:sz="0" w:space="0" w:color="auto"/>
        <w:left w:val="none" w:sz="0" w:space="0" w:color="auto"/>
        <w:bottom w:val="none" w:sz="0" w:space="0" w:color="auto"/>
        <w:right w:val="none" w:sz="0" w:space="0" w:color="auto"/>
      </w:divBdr>
    </w:div>
    <w:div w:id="1998268180">
      <w:bodyDiv w:val="1"/>
      <w:marLeft w:val="0"/>
      <w:marRight w:val="0"/>
      <w:marTop w:val="0"/>
      <w:marBottom w:val="0"/>
      <w:divBdr>
        <w:top w:val="none" w:sz="0" w:space="0" w:color="auto"/>
        <w:left w:val="none" w:sz="0" w:space="0" w:color="auto"/>
        <w:bottom w:val="none" w:sz="0" w:space="0" w:color="auto"/>
        <w:right w:val="none" w:sz="0" w:space="0" w:color="auto"/>
      </w:divBdr>
    </w:div>
    <w:div w:id="1998338431">
      <w:bodyDiv w:val="1"/>
      <w:marLeft w:val="0"/>
      <w:marRight w:val="0"/>
      <w:marTop w:val="0"/>
      <w:marBottom w:val="0"/>
      <w:divBdr>
        <w:top w:val="none" w:sz="0" w:space="0" w:color="auto"/>
        <w:left w:val="none" w:sz="0" w:space="0" w:color="auto"/>
        <w:bottom w:val="none" w:sz="0" w:space="0" w:color="auto"/>
        <w:right w:val="none" w:sz="0" w:space="0" w:color="auto"/>
      </w:divBdr>
    </w:div>
    <w:div w:id="1998339897">
      <w:bodyDiv w:val="1"/>
      <w:marLeft w:val="0"/>
      <w:marRight w:val="0"/>
      <w:marTop w:val="0"/>
      <w:marBottom w:val="0"/>
      <w:divBdr>
        <w:top w:val="none" w:sz="0" w:space="0" w:color="auto"/>
        <w:left w:val="none" w:sz="0" w:space="0" w:color="auto"/>
        <w:bottom w:val="none" w:sz="0" w:space="0" w:color="auto"/>
        <w:right w:val="none" w:sz="0" w:space="0" w:color="auto"/>
      </w:divBdr>
    </w:div>
    <w:div w:id="1998343730">
      <w:bodyDiv w:val="1"/>
      <w:marLeft w:val="0"/>
      <w:marRight w:val="0"/>
      <w:marTop w:val="0"/>
      <w:marBottom w:val="0"/>
      <w:divBdr>
        <w:top w:val="none" w:sz="0" w:space="0" w:color="auto"/>
        <w:left w:val="none" w:sz="0" w:space="0" w:color="auto"/>
        <w:bottom w:val="none" w:sz="0" w:space="0" w:color="auto"/>
        <w:right w:val="none" w:sz="0" w:space="0" w:color="auto"/>
      </w:divBdr>
    </w:div>
    <w:div w:id="1998343961">
      <w:bodyDiv w:val="1"/>
      <w:marLeft w:val="0"/>
      <w:marRight w:val="0"/>
      <w:marTop w:val="0"/>
      <w:marBottom w:val="0"/>
      <w:divBdr>
        <w:top w:val="none" w:sz="0" w:space="0" w:color="auto"/>
        <w:left w:val="none" w:sz="0" w:space="0" w:color="auto"/>
        <w:bottom w:val="none" w:sz="0" w:space="0" w:color="auto"/>
        <w:right w:val="none" w:sz="0" w:space="0" w:color="auto"/>
      </w:divBdr>
    </w:div>
    <w:div w:id="1998418724">
      <w:bodyDiv w:val="1"/>
      <w:marLeft w:val="0"/>
      <w:marRight w:val="0"/>
      <w:marTop w:val="0"/>
      <w:marBottom w:val="0"/>
      <w:divBdr>
        <w:top w:val="none" w:sz="0" w:space="0" w:color="auto"/>
        <w:left w:val="none" w:sz="0" w:space="0" w:color="auto"/>
        <w:bottom w:val="none" w:sz="0" w:space="0" w:color="auto"/>
        <w:right w:val="none" w:sz="0" w:space="0" w:color="auto"/>
      </w:divBdr>
    </w:div>
    <w:div w:id="1998455632">
      <w:bodyDiv w:val="1"/>
      <w:marLeft w:val="0"/>
      <w:marRight w:val="0"/>
      <w:marTop w:val="0"/>
      <w:marBottom w:val="0"/>
      <w:divBdr>
        <w:top w:val="none" w:sz="0" w:space="0" w:color="auto"/>
        <w:left w:val="none" w:sz="0" w:space="0" w:color="auto"/>
        <w:bottom w:val="none" w:sz="0" w:space="0" w:color="auto"/>
        <w:right w:val="none" w:sz="0" w:space="0" w:color="auto"/>
      </w:divBdr>
    </w:div>
    <w:div w:id="1998456233">
      <w:bodyDiv w:val="1"/>
      <w:marLeft w:val="0"/>
      <w:marRight w:val="0"/>
      <w:marTop w:val="0"/>
      <w:marBottom w:val="0"/>
      <w:divBdr>
        <w:top w:val="none" w:sz="0" w:space="0" w:color="auto"/>
        <w:left w:val="none" w:sz="0" w:space="0" w:color="auto"/>
        <w:bottom w:val="none" w:sz="0" w:space="0" w:color="auto"/>
        <w:right w:val="none" w:sz="0" w:space="0" w:color="auto"/>
      </w:divBdr>
    </w:div>
    <w:div w:id="1998487235">
      <w:bodyDiv w:val="1"/>
      <w:marLeft w:val="0"/>
      <w:marRight w:val="0"/>
      <w:marTop w:val="0"/>
      <w:marBottom w:val="0"/>
      <w:divBdr>
        <w:top w:val="none" w:sz="0" w:space="0" w:color="auto"/>
        <w:left w:val="none" w:sz="0" w:space="0" w:color="auto"/>
        <w:bottom w:val="none" w:sz="0" w:space="0" w:color="auto"/>
        <w:right w:val="none" w:sz="0" w:space="0" w:color="auto"/>
      </w:divBdr>
    </w:div>
    <w:div w:id="1998529811">
      <w:bodyDiv w:val="1"/>
      <w:marLeft w:val="0"/>
      <w:marRight w:val="0"/>
      <w:marTop w:val="0"/>
      <w:marBottom w:val="0"/>
      <w:divBdr>
        <w:top w:val="none" w:sz="0" w:space="0" w:color="auto"/>
        <w:left w:val="none" w:sz="0" w:space="0" w:color="auto"/>
        <w:bottom w:val="none" w:sz="0" w:space="0" w:color="auto"/>
        <w:right w:val="none" w:sz="0" w:space="0" w:color="auto"/>
      </w:divBdr>
    </w:div>
    <w:div w:id="1998533483">
      <w:bodyDiv w:val="1"/>
      <w:marLeft w:val="0"/>
      <w:marRight w:val="0"/>
      <w:marTop w:val="0"/>
      <w:marBottom w:val="0"/>
      <w:divBdr>
        <w:top w:val="none" w:sz="0" w:space="0" w:color="auto"/>
        <w:left w:val="none" w:sz="0" w:space="0" w:color="auto"/>
        <w:bottom w:val="none" w:sz="0" w:space="0" w:color="auto"/>
        <w:right w:val="none" w:sz="0" w:space="0" w:color="auto"/>
      </w:divBdr>
    </w:div>
    <w:div w:id="1998607147">
      <w:bodyDiv w:val="1"/>
      <w:marLeft w:val="0"/>
      <w:marRight w:val="0"/>
      <w:marTop w:val="0"/>
      <w:marBottom w:val="0"/>
      <w:divBdr>
        <w:top w:val="none" w:sz="0" w:space="0" w:color="auto"/>
        <w:left w:val="none" w:sz="0" w:space="0" w:color="auto"/>
        <w:bottom w:val="none" w:sz="0" w:space="0" w:color="auto"/>
        <w:right w:val="none" w:sz="0" w:space="0" w:color="auto"/>
      </w:divBdr>
    </w:div>
    <w:div w:id="1998652336">
      <w:bodyDiv w:val="1"/>
      <w:marLeft w:val="0"/>
      <w:marRight w:val="0"/>
      <w:marTop w:val="0"/>
      <w:marBottom w:val="0"/>
      <w:divBdr>
        <w:top w:val="none" w:sz="0" w:space="0" w:color="auto"/>
        <w:left w:val="none" w:sz="0" w:space="0" w:color="auto"/>
        <w:bottom w:val="none" w:sz="0" w:space="0" w:color="auto"/>
        <w:right w:val="none" w:sz="0" w:space="0" w:color="auto"/>
      </w:divBdr>
    </w:div>
    <w:div w:id="1998806587">
      <w:bodyDiv w:val="1"/>
      <w:marLeft w:val="0"/>
      <w:marRight w:val="0"/>
      <w:marTop w:val="0"/>
      <w:marBottom w:val="0"/>
      <w:divBdr>
        <w:top w:val="none" w:sz="0" w:space="0" w:color="auto"/>
        <w:left w:val="none" w:sz="0" w:space="0" w:color="auto"/>
        <w:bottom w:val="none" w:sz="0" w:space="0" w:color="auto"/>
        <w:right w:val="none" w:sz="0" w:space="0" w:color="auto"/>
      </w:divBdr>
    </w:div>
    <w:div w:id="1998921653">
      <w:bodyDiv w:val="1"/>
      <w:marLeft w:val="0"/>
      <w:marRight w:val="0"/>
      <w:marTop w:val="0"/>
      <w:marBottom w:val="0"/>
      <w:divBdr>
        <w:top w:val="none" w:sz="0" w:space="0" w:color="auto"/>
        <w:left w:val="none" w:sz="0" w:space="0" w:color="auto"/>
        <w:bottom w:val="none" w:sz="0" w:space="0" w:color="auto"/>
        <w:right w:val="none" w:sz="0" w:space="0" w:color="auto"/>
      </w:divBdr>
    </w:div>
    <w:div w:id="1998923364">
      <w:bodyDiv w:val="1"/>
      <w:marLeft w:val="0"/>
      <w:marRight w:val="0"/>
      <w:marTop w:val="0"/>
      <w:marBottom w:val="0"/>
      <w:divBdr>
        <w:top w:val="none" w:sz="0" w:space="0" w:color="auto"/>
        <w:left w:val="none" w:sz="0" w:space="0" w:color="auto"/>
        <w:bottom w:val="none" w:sz="0" w:space="0" w:color="auto"/>
        <w:right w:val="none" w:sz="0" w:space="0" w:color="auto"/>
      </w:divBdr>
    </w:div>
    <w:div w:id="1998991479">
      <w:bodyDiv w:val="1"/>
      <w:marLeft w:val="0"/>
      <w:marRight w:val="0"/>
      <w:marTop w:val="0"/>
      <w:marBottom w:val="0"/>
      <w:divBdr>
        <w:top w:val="none" w:sz="0" w:space="0" w:color="auto"/>
        <w:left w:val="none" w:sz="0" w:space="0" w:color="auto"/>
        <w:bottom w:val="none" w:sz="0" w:space="0" w:color="auto"/>
        <w:right w:val="none" w:sz="0" w:space="0" w:color="auto"/>
      </w:divBdr>
    </w:div>
    <w:div w:id="1999067919">
      <w:bodyDiv w:val="1"/>
      <w:marLeft w:val="0"/>
      <w:marRight w:val="0"/>
      <w:marTop w:val="0"/>
      <w:marBottom w:val="0"/>
      <w:divBdr>
        <w:top w:val="none" w:sz="0" w:space="0" w:color="auto"/>
        <w:left w:val="none" w:sz="0" w:space="0" w:color="auto"/>
        <w:bottom w:val="none" w:sz="0" w:space="0" w:color="auto"/>
        <w:right w:val="none" w:sz="0" w:space="0" w:color="auto"/>
      </w:divBdr>
    </w:div>
    <w:div w:id="1999072014">
      <w:bodyDiv w:val="1"/>
      <w:marLeft w:val="0"/>
      <w:marRight w:val="0"/>
      <w:marTop w:val="0"/>
      <w:marBottom w:val="0"/>
      <w:divBdr>
        <w:top w:val="none" w:sz="0" w:space="0" w:color="auto"/>
        <w:left w:val="none" w:sz="0" w:space="0" w:color="auto"/>
        <w:bottom w:val="none" w:sz="0" w:space="0" w:color="auto"/>
        <w:right w:val="none" w:sz="0" w:space="0" w:color="auto"/>
      </w:divBdr>
    </w:div>
    <w:div w:id="1999072529">
      <w:bodyDiv w:val="1"/>
      <w:marLeft w:val="0"/>
      <w:marRight w:val="0"/>
      <w:marTop w:val="0"/>
      <w:marBottom w:val="0"/>
      <w:divBdr>
        <w:top w:val="none" w:sz="0" w:space="0" w:color="auto"/>
        <w:left w:val="none" w:sz="0" w:space="0" w:color="auto"/>
        <w:bottom w:val="none" w:sz="0" w:space="0" w:color="auto"/>
        <w:right w:val="none" w:sz="0" w:space="0" w:color="auto"/>
      </w:divBdr>
    </w:div>
    <w:div w:id="1999185244">
      <w:bodyDiv w:val="1"/>
      <w:marLeft w:val="0"/>
      <w:marRight w:val="0"/>
      <w:marTop w:val="0"/>
      <w:marBottom w:val="0"/>
      <w:divBdr>
        <w:top w:val="none" w:sz="0" w:space="0" w:color="auto"/>
        <w:left w:val="none" w:sz="0" w:space="0" w:color="auto"/>
        <w:bottom w:val="none" w:sz="0" w:space="0" w:color="auto"/>
        <w:right w:val="none" w:sz="0" w:space="0" w:color="auto"/>
      </w:divBdr>
    </w:div>
    <w:div w:id="1999188371">
      <w:bodyDiv w:val="1"/>
      <w:marLeft w:val="0"/>
      <w:marRight w:val="0"/>
      <w:marTop w:val="0"/>
      <w:marBottom w:val="0"/>
      <w:divBdr>
        <w:top w:val="none" w:sz="0" w:space="0" w:color="auto"/>
        <w:left w:val="none" w:sz="0" w:space="0" w:color="auto"/>
        <w:bottom w:val="none" w:sz="0" w:space="0" w:color="auto"/>
        <w:right w:val="none" w:sz="0" w:space="0" w:color="auto"/>
      </w:divBdr>
    </w:div>
    <w:div w:id="1999260433">
      <w:bodyDiv w:val="1"/>
      <w:marLeft w:val="0"/>
      <w:marRight w:val="0"/>
      <w:marTop w:val="0"/>
      <w:marBottom w:val="0"/>
      <w:divBdr>
        <w:top w:val="none" w:sz="0" w:space="0" w:color="auto"/>
        <w:left w:val="none" w:sz="0" w:space="0" w:color="auto"/>
        <w:bottom w:val="none" w:sz="0" w:space="0" w:color="auto"/>
        <w:right w:val="none" w:sz="0" w:space="0" w:color="auto"/>
      </w:divBdr>
    </w:div>
    <w:div w:id="1999264978">
      <w:bodyDiv w:val="1"/>
      <w:marLeft w:val="0"/>
      <w:marRight w:val="0"/>
      <w:marTop w:val="0"/>
      <w:marBottom w:val="0"/>
      <w:divBdr>
        <w:top w:val="none" w:sz="0" w:space="0" w:color="auto"/>
        <w:left w:val="none" w:sz="0" w:space="0" w:color="auto"/>
        <w:bottom w:val="none" w:sz="0" w:space="0" w:color="auto"/>
        <w:right w:val="none" w:sz="0" w:space="0" w:color="auto"/>
      </w:divBdr>
    </w:div>
    <w:div w:id="1999337239">
      <w:bodyDiv w:val="1"/>
      <w:marLeft w:val="0"/>
      <w:marRight w:val="0"/>
      <w:marTop w:val="0"/>
      <w:marBottom w:val="0"/>
      <w:divBdr>
        <w:top w:val="none" w:sz="0" w:space="0" w:color="auto"/>
        <w:left w:val="none" w:sz="0" w:space="0" w:color="auto"/>
        <w:bottom w:val="none" w:sz="0" w:space="0" w:color="auto"/>
        <w:right w:val="none" w:sz="0" w:space="0" w:color="auto"/>
      </w:divBdr>
    </w:div>
    <w:div w:id="1999376926">
      <w:bodyDiv w:val="1"/>
      <w:marLeft w:val="0"/>
      <w:marRight w:val="0"/>
      <w:marTop w:val="0"/>
      <w:marBottom w:val="0"/>
      <w:divBdr>
        <w:top w:val="none" w:sz="0" w:space="0" w:color="auto"/>
        <w:left w:val="none" w:sz="0" w:space="0" w:color="auto"/>
        <w:bottom w:val="none" w:sz="0" w:space="0" w:color="auto"/>
        <w:right w:val="none" w:sz="0" w:space="0" w:color="auto"/>
      </w:divBdr>
    </w:div>
    <w:div w:id="1999378082">
      <w:bodyDiv w:val="1"/>
      <w:marLeft w:val="0"/>
      <w:marRight w:val="0"/>
      <w:marTop w:val="0"/>
      <w:marBottom w:val="0"/>
      <w:divBdr>
        <w:top w:val="none" w:sz="0" w:space="0" w:color="auto"/>
        <w:left w:val="none" w:sz="0" w:space="0" w:color="auto"/>
        <w:bottom w:val="none" w:sz="0" w:space="0" w:color="auto"/>
        <w:right w:val="none" w:sz="0" w:space="0" w:color="auto"/>
      </w:divBdr>
    </w:div>
    <w:div w:id="1999458232">
      <w:bodyDiv w:val="1"/>
      <w:marLeft w:val="0"/>
      <w:marRight w:val="0"/>
      <w:marTop w:val="0"/>
      <w:marBottom w:val="0"/>
      <w:divBdr>
        <w:top w:val="none" w:sz="0" w:space="0" w:color="auto"/>
        <w:left w:val="none" w:sz="0" w:space="0" w:color="auto"/>
        <w:bottom w:val="none" w:sz="0" w:space="0" w:color="auto"/>
        <w:right w:val="none" w:sz="0" w:space="0" w:color="auto"/>
      </w:divBdr>
    </w:div>
    <w:div w:id="1999459377">
      <w:bodyDiv w:val="1"/>
      <w:marLeft w:val="0"/>
      <w:marRight w:val="0"/>
      <w:marTop w:val="0"/>
      <w:marBottom w:val="0"/>
      <w:divBdr>
        <w:top w:val="none" w:sz="0" w:space="0" w:color="auto"/>
        <w:left w:val="none" w:sz="0" w:space="0" w:color="auto"/>
        <w:bottom w:val="none" w:sz="0" w:space="0" w:color="auto"/>
        <w:right w:val="none" w:sz="0" w:space="0" w:color="auto"/>
      </w:divBdr>
    </w:div>
    <w:div w:id="1999503807">
      <w:bodyDiv w:val="1"/>
      <w:marLeft w:val="0"/>
      <w:marRight w:val="0"/>
      <w:marTop w:val="0"/>
      <w:marBottom w:val="0"/>
      <w:divBdr>
        <w:top w:val="none" w:sz="0" w:space="0" w:color="auto"/>
        <w:left w:val="none" w:sz="0" w:space="0" w:color="auto"/>
        <w:bottom w:val="none" w:sz="0" w:space="0" w:color="auto"/>
        <w:right w:val="none" w:sz="0" w:space="0" w:color="auto"/>
      </w:divBdr>
    </w:div>
    <w:div w:id="1999653589">
      <w:bodyDiv w:val="1"/>
      <w:marLeft w:val="0"/>
      <w:marRight w:val="0"/>
      <w:marTop w:val="0"/>
      <w:marBottom w:val="0"/>
      <w:divBdr>
        <w:top w:val="none" w:sz="0" w:space="0" w:color="auto"/>
        <w:left w:val="none" w:sz="0" w:space="0" w:color="auto"/>
        <w:bottom w:val="none" w:sz="0" w:space="0" w:color="auto"/>
        <w:right w:val="none" w:sz="0" w:space="0" w:color="auto"/>
      </w:divBdr>
    </w:div>
    <w:div w:id="1999922612">
      <w:bodyDiv w:val="1"/>
      <w:marLeft w:val="0"/>
      <w:marRight w:val="0"/>
      <w:marTop w:val="0"/>
      <w:marBottom w:val="0"/>
      <w:divBdr>
        <w:top w:val="none" w:sz="0" w:space="0" w:color="auto"/>
        <w:left w:val="none" w:sz="0" w:space="0" w:color="auto"/>
        <w:bottom w:val="none" w:sz="0" w:space="0" w:color="auto"/>
        <w:right w:val="none" w:sz="0" w:space="0" w:color="auto"/>
      </w:divBdr>
    </w:div>
    <w:div w:id="1999923352">
      <w:bodyDiv w:val="1"/>
      <w:marLeft w:val="0"/>
      <w:marRight w:val="0"/>
      <w:marTop w:val="0"/>
      <w:marBottom w:val="0"/>
      <w:divBdr>
        <w:top w:val="none" w:sz="0" w:space="0" w:color="auto"/>
        <w:left w:val="none" w:sz="0" w:space="0" w:color="auto"/>
        <w:bottom w:val="none" w:sz="0" w:space="0" w:color="auto"/>
        <w:right w:val="none" w:sz="0" w:space="0" w:color="auto"/>
      </w:divBdr>
    </w:div>
    <w:div w:id="1999964597">
      <w:bodyDiv w:val="1"/>
      <w:marLeft w:val="0"/>
      <w:marRight w:val="0"/>
      <w:marTop w:val="0"/>
      <w:marBottom w:val="0"/>
      <w:divBdr>
        <w:top w:val="none" w:sz="0" w:space="0" w:color="auto"/>
        <w:left w:val="none" w:sz="0" w:space="0" w:color="auto"/>
        <w:bottom w:val="none" w:sz="0" w:space="0" w:color="auto"/>
        <w:right w:val="none" w:sz="0" w:space="0" w:color="auto"/>
      </w:divBdr>
    </w:div>
    <w:div w:id="2000037014">
      <w:bodyDiv w:val="1"/>
      <w:marLeft w:val="0"/>
      <w:marRight w:val="0"/>
      <w:marTop w:val="0"/>
      <w:marBottom w:val="0"/>
      <w:divBdr>
        <w:top w:val="none" w:sz="0" w:space="0" w:color="auto"/>
        <w:left w:val="none" w:sz="0" w:space="0" w:color="auto"/>
        <w:bottom w:val="none" w:sz="0" w:space="0" w:color="auto"/>
        <w:right w:val="none" w:sz="0" w:space="0" w:color="auto"/>
      </w:divBdr>
    </w:div>
    <w:div w:id="2000113136">
      <w:bodyDiv w:val="1"/>
      <w:marLeft w:val="0"/>
      <w:marRight w:val="0"/>
      <w:marTop w:val="0"/>
      <w:marBottom w:val="0"/>
      <w:divBdr>
        <w:top w:val="none" w:sz="0" w:space="0" w:color="auto"/>
        <w:left w:val="none" w:sz="0" w:space="0" w:color="auto"/>
        <w:bottom w:val="none" w:sz="0" w:space="0" w:color="auto"/>
        <w:right w:val="none" w:sz="0" w:space="0" w:color="auto"/>
      </w:divBdr>
    </w:div>
    <w:div w:id="2000159532">
      <w:bodyDiv w:val="1"/>
      <w:marLeft w:val="0"/>
      <w:marRight w:val="0"/>
      <w:marTop w:val="0"/>
      <w:marBottom w:val="0"/>
      <w:divBdr>
        <w:top w:val="none" w:sz="0" w:space="0" w:color="auto"/>
        <w:left w:val="none" w:sz="0" w:space="0" w:color="auto"/>
        <w:bottom w:val="none" w:sz="0" w:space="0" w:color="auto"/>
        <w:right w:val="none" w:sz="0" w:space="0" w:color="auto"/>
      </w:divBdr>
    </w:div>
    <w:div w:id="2000184329">
      <w:bodyDiv w:val="1"/>
      <w:marLeft w:val="0"/>
      <w:marRight w:val="0"/>
      <w:marTop w:val="0"/>
      <w:marBottom w:val="0"/>
      <w:divBdr>
        <w:top w:val="none" w:sz="0" w:space="0" w:color="auto"/>
        <w:left w:val="none" w:sz="0" w:space="0" w:color="auto"/>
        <w:bottom w:val="none" w:sz="0" w:space="0" w:color="auto"/>
        <w:right w:val="none" w:sz="0" w:space="0" w:color="auto"/>
      </w:divBdr>
    </w:div>
    <w:div w:id="2000189089">
      <w:bodyDiv w:val="1"/>
      <w:marLeft w:val="0"/>
      <w:marRight w:val="0"/>
      <w:marTop w:val="0"/>
      <w:marBottom w:val="0"/>
      <w:divBdr>
        <w:top w:val="none" w:sz="0" w:space="0" w:color="auto"/>
        <w:left w:val="none" w:sz="0" w:space="0" w:color="auto"/>
        <w:bottom w:val="none" w:sz="0" w:space="0" w:color="auto"/>
        <w:right w:val="none" w:sz="0" w:space="0" w:color="auto"/>
      </w:divBdr>
    </w:div>
    <w:div w:id="2000191041">
      <w:bodyDiv w:val="1"/>
      <w:marLeft w:val="0"/>
      <w:marRight w:val="0"/>
      <w:marTop w:val="0"/>
      <w:marBottom w:val="0"/>
      <w:divBdr>
        <w:top w:val="none" w:sz="0" w:space="0" w:color="auto"/>
        <w:left w:val="none" w:sz="0" w:space="0" w:color="auto"/>
        <w:bottom w:val="none" w:sz="0" w:space="0" w:color="auto"/>
        <w:right w:val="none" w:sz="0" w:space="0" w:color="auto"/>
      </w:divBdr>
    </w:div>
    <w:div w:id="2000226228">
      <w:bodyDiv w:val="1"/>
      <w:marLeft w:val="0"/>
      <w:marRight w:val="0"/>
      <w:marTop w:val="0"/>
      <w:marBottom w:val="0"/>
      <w:divBdr>
        <w:top w:val="none" w:sz="0" w:space="0" w:color="auto"/>
        <w:left w:val="none" w:sz="0" w:space="0" w:color="auto"/>
        <w:bottom w:val="none" w:sz="0" w:space="0" w:color="auto"/>
        <w:right w:val="none" w:sz="0" w:space="0" w:color="auto"/>
      </w:divBdr>
    </w:div>
    <w:div w:id="2000226568">
      <w:bodyDiv w:val="1"/>
      <w:marLeft w:val="0"/>
      <w:marRight w:val="0"/>
      <w:marTop w:val="0"/>
      <w:marBottom w:val="0"/>
      <w:divBdr>
        <w:top w:val="none" w:sz="0" w:space="0" w:color="auto"/>
        <w:left w:val="none" w:sz="0" w:space="0" w:color="auto"/>
        <w:bottom w:val="none" w:sz="0" w:space="0" w:color="auto"/>
        <w:right w:val="none" w:sz="0" w:space="0" w:color="auto"/>
      </w:divBdr>
    </w:div>
    <w:div w:id="2000230912">
      <w:bodyDiv w:val="1"/>
      <w:marLeft w:val="0"/>
      <w:marRight w:val="0"/>
      <w:marTop w:val="0"/>
      <w:marBottom w:val="0"/>
      <w:divBdr>
        <w:top w:val="none" w:sz="0" w:space="0" w:color="auto"/>
        <w:left w:val="none" w:sz="0" w:space="0" w:color="auto"/>
        <w:bottom w:val="none" w:sz="0" w:space="0" w:color="auto"/>
        <w:right w:val="none" w:sz="0" w:space="0" w:color="auto"/>
      </w:divBdr>
    </w:div>
    <w:div w:id="2000300907">
      <w:bodyDiv w:val="1"/>
      <w:marLeft w:val="0"/>
      <w:marRight w:val="0"/>
      <w:marTop w:val="0"/>
      <w:marBottom w:val="0"/>
      <w:divBdr>
        <w:top w:val="none" w:sz="0" w:space="0" w:color="auto"/>
        <w:left w:val="none" w:sz="0" w:space="0" w:color="auto"/>
        <w:bottom w:val="none" w:sz="0" w:space="0" w:color="auto"/>
        <w:right w:val="none" w:sz="0" w:space="0" w:color="auto"/>
      </w:divBdr>
    </w:div>
    <w:div w:id="2000385323">
      <w:bodyDiv w:val="1"/>
      <w:marLeft w:val="0"/>
      <w:marRight w:val="0"/>
      <w:marTop w:val="0"/>
      <w:marBottom w:val="0"/>
      <w:divBdr>
        <w:top w:val="none" w:sz="0" w:space="0" w:color="auto"/>
        <w:left w:val="none" w:sz="0" w:space="0" w:color="auto"/>
        <w:bottom w:val="none" w:sz="0" w:space="0" w:color="auto"/>
        <w:right w:val="none" w:sz="0" w:space="0" w:color="auto"/>
      </w:divBdr>
    </w:div>
    <w:div w:id="2000421107">
      <w:bodyDiv w:val="1"/>
      <w:marLeft w:val="0"/>
      <w:marRight w:val="0"/>
      <w:marTop w:val="0"/>
      <w:marBottom w:val="0"/>
      <w:divBdr>
        <w:top w:val="none" w:sz="0" w:space="0" w:color="auto"/>
        <w:left w:val="none" w:sz="0" w:space="0" w:color="auto"/>
        <w:bottom w:val="none" w:sz="0" w:space="0" w:color="auto"/>
        <w:right w:val="none" w:sz="0" w:space="0" w:color="auto"/>
      </w:divBdr>
    </w:div>
    <w:div w:id="2000452253">
      <w:bodyDiv w:val="1"/>
      <w:marLeft w:val="0"/>
      <w:marRight w:val="0"/>
      <w:marTop w:val="0"/>
      <w:marBottom w:val="0"/>
      <w:divBdr>
        <w:top w:val="none" w:sz="0" w:space="0" w:color="auto"/>
        <w:left w:val="none" w:sz="0" w:space="0" w:color="auto"/>
        <w:bottom w:val="none" w:sz="0" w:space="0" w:color="auto"/>
        <w:right w:val="none" w:sz="0" w:space="0" w:color="auto"/>
      </w:divBdr>
    </w:div>
    <w:div w:id="2000572238">
      <w:bodyDiv w:val="1"/>
      <w:marLeft w:val="0"/>
      <w:marRight w:val="0"/>
      <w:marTop w:val="0"/>
      <w:marBottom w:val="0"/>
      <w:divBdr>
        <w:top w:val="none" w:sz="0" w:space="0" w:color="auto"/>
        <w:left w:val="none" w:sz="0" w:space="0" w:color="auto"/>
        <w:bottom w:val="none" w:sz="0" w:space="0" w:color="auto"/>
        <w:right w:val="none" w:sz="0" w:space="0" w:color="auto"/>
      </w:divBdr>
    </w:div>
    <w:div w:id="2000574992">
      <w:bodyDiv w:val="1"/>
      <w:marLeft w:val="0"/>
      <w:marRight w:val="0"/>
      <w:marTop w:val="0"/>
      <w:marBottom w:val="0"/>
      <w:divBdr>
        <w:top w:val="none" w:sz="0" w:space="0" w:color="auto"/>
        <w:left w:val="none" w:sz="0" w:space="0" w:color="auto"/>
        <w:bottom w:val="none" w:sz="0" w:space="0" w:color="auto"/>
        <w:right w:val="none" w:sz="0" w:space="0" w:color="auto"/>
      </w:divBdr>
    </w:div>
    <w:div w:id="2000577605">
      <w:bodyDiv w:val="1"/>
      <w:marLeft w:val="0"/>
      <w:marRight w:val="0"/>
      <w:marTop w:val="0"/>
      <w:marBottom w:val="0"/>
      <w:divBdr>
        <w:top w:val="none" w:sz="0" w:space="0" w:color="auto"/>
        <w:left w:val="none" w:sz="0" w:space="0" w:color="auto"/>
        <w:bottom w:val="none" w:sz="0" w:space="0" w:color="auto"/>
        <w:right w:val="none" w:sz="0" w:space="0" w:color="auto"/>
      </w:divBdr>
    </w:div>
    <w:div w:id="2000578142">
      <w:bodyDiv w:val="1"/>
      <w:marLeft w:val="0"/>
      <w:marRight w:val="0"/>
      <w:marTop w:val="0"/>
      <w:marBottom w:val="0"/>
      <w:divBdr>
        <w:top w:val="none" w:sz="0" w:space="0" w:color="auto"/>
        <w:left w:val="none" w:sz="0" w:space="0" w:color="auto"/>
        <w:bottom w:val="none" w:sz="0" w:space="0" w:color="auto"/>
        <w:right w:val="none" w:sz="0" w:space="0" w:color="auto"/>
      </w:divBdr>
    </w:div>
    <w:div w:id="2000765714">
      <w:bodyDiv w:val="1"/>
      <w:marLeft w:val="0"/>
      <w:marRight w:val="0"/>
      <w:marTop w:val="0"/>
      <w:marBottom w:val="0"/>
      <w:divBdr>
        <w:top w:val="none" w:sz="0" w:space="0" w:color="auto"/>
        <w:left w:val="none" w:sz="0" w:space="0" w:color="auto"/>
        <w:bottom w:val="none" w:sz="0" w:space="0" w:color="auto"/>
        <w:right w:val="none" w:sz="0" w:space="0" w:color="auto"/>
      </w:divBdr>
    </w:div>
    <w:div w:id="2000841702">
      <w:bodyDiv w:val="1"/>
      <w:marLeft w:val="0"/>
      <w:marRight w:val="0"/>
      <w:marTop w:val="0"/>
      <w:marBottom w:val="0"/>
      <w:divBdr>
        <w:top w:val="none" w:sz="0" w:space="0" w:color="auto"/>
        <w:left w:val="none" w:sz="0" w:space="0" w:color="auto"/>
        <w:bottom w:val="none" w:sz="0" w:space="0" w:color="auto"/>
        <w:right w:val="none" w:sz="0" w:space="0" w:color="auto"/>
      </w:divBdr>
    </w:div>
    <w:div w:id="2001077769">
      <w:bodyDiv w:val="1"/>
      <w:marLeft w:val="0"/>
      <w:marRight w:val="0"/>
      <w:marTop w:val="0"/>
      <w:marBottom w:val="0"/>
      <w:divBdr>
        <w:top w:val="none" w:sz="0" w:space="0" w:color="auto"/>
        <w:left w:val="none" w:sz="0" w:space="0" w:color="auto"/>
        <w:bottom w:val="none" w:sz="0" w:space="0" w:color="auto"/>
        <w:right w:val="none" w:sz="0" w:space="0" w:color="auto"/>
      </w:divBdr>
    </w:div>
    <w:div w:id="2001228005">
      <w:bodyDiv w:val="1"/>
      <w:marLeft w:val="0"/>
      <w:marRight w:val="0"/>
      <w:marTop w:val="0"/>
      <w:marBottom w:val="0"/>
      <w:divBdr>
        <w:top w:val="none" w:sz="0" w:space="0" w:color="auto"/>
        <w:left w:val="none" w:sz="0" w:space="0" w:color="auto"/>
        <w:bottom w:val="none" w:sz="0" w:space="0" w:color="auto"/>
        <w:right w:val="none" w:sz="0" w:space="0" w:color="auto"/>
      </w:divBdr>
    </w:div>
    <w:div w:id="2001232381">
      <w:bodyDiv w:val="1"/>
      <w:marLeft w:val="0"/>
      <w:marRight w:val="0"/>
      <w:marTop w:val="0"/>
      <w:marBottom w:val="0"/>
      <w:divBdr>
        <w:top w:val="none" w:sz="0" w:space="0" w:color="auto"/>
        <w:left w:val="none" w:sz="0" w:space="0" w:color="auto"/>
        <w:bottom w:val="none" w:sz="0" w:space="0" w:color="auto"/>
        <w:right w:val="none" w:sz="0" w:space="0" w:color="auto"/>
      </w:divBdr>
    </w:div>
    <w:div w:id="2001304729">
      <w:bodyDiv w:val="1"/>
      <w:marLeft w:val="0"/>
      <w:marRight w:val="0"/>
      <w:marTop w:val="0"/>
      <w:marBottom w:val="0"/>
      <w:divBdr>
        <w:top w:val="none" w:sz="0" w:space="0" w:color="auto"/>
        <w:left w:val="none" w:sz="0" w:space="0" w:color="auto"/>
        <w:bottom w:val="none" w:sz="0" w:space="0" w:color="auto"/>
        <w:right w:val="none" w:sz="0" w:space="0" w:color="auto"/>
      </w:divBdr>
    </w:div>
    <w:div w:id="2001345569">
      <w:bodyDiv w:val="1"/>
      <w:marLeft w:val="0"/>
      <w:marRight w:val="0"/>
      <w:marTop w:val="0"/>
      <w:marBottom w:val="0"/>
      <w:divBdr>
        <w:top w:val="none" w:sz="0" w:space="0" w:color="auto"/>
        <w:left w:val="none" w:sz="0" w:space="0" w:color="auto"/>
        <w:bottom w:val="none" w:sz="0" w:space="0" w:color="auto"/>
        <w:right w:val="none" w:sz="0" w:space="0" w:color="auto"/>
      </w:divBdr>
    </w:div>
    <w:div w:id="2001346144">
      <w:bodyDiv w:val="1"/>
      <w:marLeft w:val="0"/>
      <w:marRight w:val="0"/>
      <w:marTop w:val="0"/>
      <w:marBottom w:val="0"/>
      <w:divBdr>
        <w:top w:val="none" w:sz="0" w:space="0" w:color="auto"/>
        <w:left w:val="none" w:sz="0" w:space="0" w:color="auto"/>
        <w:bottom w:val="none" w:sz="0" w:space="0" w:color="auto"/>
        <w:right w:val="none" w:sz="0" w:space="0" w:color="auto"/>
      </w:divBdr>
    </w:div>
    <w:div w:id="2001536722">
      <w:bodyDiv w:val="1"/>
      <w:marLeft w:val="0"/>
      <w:marRight w:val="0"/>
      <w:marTop w:val="0"/>
      <w:marBottom w:val="0"/>
      <w:divBdr>
        <w:top w:val="none" w:sz="0" w:space="0" w:color="auto"/>
        <w:left w:val="none" w:sz="0" w:space="0" w:color="auto"/>
        <w:bottom w:val="none" w:sz="0" w:space="0" w:color="auto"/>
        <w:right w:val="none" w:sz="0" w:space="0" w:color="auto"/>
      </w:divBdr>
    </w:div>
    <w:div w:id="2001540435">
      <w:bodyDiv w:val="1"/>
      <w:marLeft w:val="0"/>
      <w:marRight w:val="0"/>
      <w:marTop w:val="0"/>
      <w:marBottom w:val="0"/>
      <w:divBdr>
        <w:top w:val="none" w:sz="0" w:space="0" w:color="auto"/>
        <w:left w:val="none" w:sz="0" w:space="0" w:color="auto"/>
        <w:bottom w:val="none" w:sz="0" w:space="0" w:color="auto"/>
        <w:right w:val="none" w:sz="0" w:space="0" w:color="auto"/>
      </w:divBdr>
    </w:div>
    <w:div w:id="2001545084">
      <w:bodyDiv w:val="1"/>
      <w:marLeft w:val="0"/>
      <w:marRight w:val="0"/>
      <w:marTop w:val="0"/>
      <w:marBottom w:val="0"/>
      <w:divBdr>
        <w:top w:val="none" w:sz="0" w:space="0" w:color="auto"/>
        <w:left w:val="none" w:sz="0" w:space="0" w:color="auto"/>
        <w:bottom w:val="none" w:sz="0" w:space="0" w:color="auto"/>
        <w:right w:val="none" w:sz="0" w:space="0" w:color="auto"/>
      </w:divBdr>
    </w:div>
    <w:div w:id="2001613608">
      <w:bodyDiv w:val="1"/>
      <w:marLeft w:val="0"/>
      <w:marRight w:val="0"/>
      <w:marTop w:val="0"/>
      <w:marBottom w:val="0"/>
      <w:divBdr>
        <w:top w:val="none" w:sz="0" w:space="0" w:color="auto"/>
        <w:left w:val="none" w:sz="0" w:space="0" w:color="auto"/>
        <w:bottom w:val="none" w:sz="0" w:space="0" w:color="auto"/>
        <w:right w:val="none" w:sz="0" w:space="0" w:color="auto"/>
      </w:divBdr>
    </w:div>
    <w:div w:id="2001687374">
      <w:bodyDiv w:val="1"/>
      <w:marLeft w:val="0"/>
      <w:marRight w:val="0"/>
      <w:marTop w:val="0"/>
      <w:marBottom w:val="0"/>
      <w:divBdr>
        <w:top w:val="none" w:sz="0" w:space="0" w:color="auto"/>
        <w:left w:val="none" w:sz="0" w:space="0" w:color="auto"/>
        <w:bottom w:val="none" w:sz="0" w:space="0" w:color="auto"/>
        <w:right w:val="none" w:sz="0" w:space="0" w:color="auto"/>
      </w:divBdr>
    </w:div>
    <w:div w:id="2001733899">
      <w:bodyDiv w:val="1"/>
      <w:marLeft w:val="0"/>
      <w:marRight w:val="0"/>
      <w:marTop w:val="0"/>
      <w:marBottom w:val="0"/>
      <w:divBdr>
        <w:top w:val="none" w:sz="0" w:space="0" w:color="auto"/>
        <w:left w:val="none" w:sz="0" w:space="0" w:color="auto"/>
        <w:bottom w:val="none" w:sz="0" w:space="0" w:color="auto"/>
        <w:right w:val="none" w:sz="0" w:space="0" w:color="auto"/>
      </w:divBdr>
    </w:div>
    <w:div w:id="2001883630">
      <w:bodyDiv w:val="1"/>
      <w:marLeft w:val="0"/>
      <w:marRight w:val="0"/>
      <w:marTop w:val="0"/>
      <w:marBottom w:val="0"/>
      <w:divBdr>
        <w:top w:val="none" w:sz="0" w:space="0" w:color="auto"/>
        <w:left w:val="none" w:sz="0" w:space="0" w:color="auto"/>
        <w:bottom w:val="none" w:sz="0" w:space="0" w:color="auto"/>
        <w:right w:val="none" w:sz="0" w:space="0" w:color="auto"/>
      </w:divBdr>
    </w:div>
    <w:div w:id="2001886694">
      <w:bodyDiv w:val="1"/>
      <w:marLeft w:val="0"/>
      <w:marRight w:val="0"/>
      <w:marTop w:val="0"/>
      <w:marBottom w:val="0"/>
      <w:divBdr>
        <w:top w:val="none" w:sz="0" w:space="0" w:color="auto"/>
        <w:left w:val="none" w:sz="0" w:space="0" w:color="auto"/>
        <w:bottom w:val="none" w:sz="0" w:space="0" w:color="auto"/>
        <w:right w:val="none" w:sz="0" w:space="0" w:color="auto"/>
      </w:divBdr>
    </w:div>
    <w:div w:id="2001886881">
      <w:bodyDiv w:val="1"/>
      <w:marLeft w:val="0"/>
      <w:marRight w:val="0"/>
      <w:marTop w:val="0"/>
      <w:marBottom w:val="0"/>
      <w:divBdr>
        <w:top w:val="none" w:sz="0" w:space="0" w:color="auto"/>
        <w:left w:val="none" w:sz="0" w:space="0" w:color="auto"/>
        <w:bottom w:val="none" w:sz="0" w:space="0" w:color="auto"/>
        <w:right w:val="none" w:sz="0" w:space="0" w:color="auto"/>
      </w:divBdr>
    </w:div>
    <w:div w:id="2001928449">
      <w:bodyDiv w:val="1"/>
      <w:marLeft w:val="0"/>
      <w:marRight w:val="0"/>
      <w:marTop w:val="0"/>
      <w:marBottom w:val="0"/>
      <w:divBdr>
        <w:top w:val="none" w:sz="0" w:space="0" w:color="auto"/>
        <w:left w:val="none" w:sz="0" w:space="0" w:color="auto"/>
        <w:bottom w:val="none" w:sz="0" w:space="0" w:color="auto"/>
        <w:right w:val="none" w:sz="0" w:space="0" w:color="auto"/>
      </w:divBdr>
    </w:div>
    <w:div w:id="2001999825">
      <w:bodyDiv w:val="1"/>
      <w:marLeft w:val="0"/>
      <w:marRight w:val="0"/>
      <w:marTop w:val="0"/>
      <w:marBottom w:val="0"/>
      <w:divBdr>
        <w:top w:val="none" w:sz="0" w:space="0" w:color="auto"/>
        <w:left w:val="none" w:sz="0" w:space="0" w:color="auto"/>
        <w:bottom w:val="none" w:sz="0" w:space="0" w:color="auto"/>
        <w:right w:val="none" w:sz="0" w:space="0" w:color="auto"/>
      </w:divBdr>
    </w:div>
    <w:div w:id="2002005435">
      <w:bodyDiv w:val="1"/>
      <w:marLeft w:val="0"/>
      <w:marRight w:val="0"/>
      <w:marTop w:val="0"/>
      <w:marBottom w:val="0"/>
      <w:divBdr>
        <w:top w:val="none" w:sz="0" w:space="0" w:color="auto"/>
        <w:left w:val="none" w:sz="0" w:space="0" w:color="auto"/>
        <w:bottom w:val="none" w:sz="0" w:space="0" w:color="auto"/>
        <w:right w:val="none" w:sz="0" w:space="0" w:color="auto"/>
      </w:divBdr>
    </w:div>
    <w:div w:id="2002077621">
      <w:bodyDiv w:val="1"/>
      <w:marLeft w:val="0"/>
      <w:marRight w:val="0"/>
      <w:marTop w:val="0"/>
      <w:marBottom w:val="0"/>
      <w:divBdr>
        <w:top w:val="none" w:sz="0" w:space="0" w:color="auto"/>
        <w:left w:val="none" w:sz="0" w:space="0" w:color="auto"/>
        <w:bottom w:val="none" w:sz="0" w:space="0" w:color="auto"/>
        <w:right w:val="none" w:sz="0" w:space="0" w:color="auto"/>
      </w:divBdr>
    </w:div>
    <w:div w:id="2002192554">
      <w:bodyDiv w:val="1"/>
      <w:marLeft w:val="0"/>
      <w:marRight w:val="0"/>
      <w:marTop w:val="0"/>
      <w:marBottom w:val="0"/>
      <w:divBdr>
        <w:top w:val="none" w:sz="0" w:space="0" w:color="auto"/>
        <w:left w:val="none" w:sz="0" w:space="0" w:color="auto"/>
        <w:bottom w:val="none" w:sz="0" w:space="0" w:color="auto"/>
        <w:right w:val="none" w:sz="0" w:space="0" w:color="auto"/>
      </w:divBdr>
    </w:div>
    <w:div w:id="2002346711">
      <w:bodyDiv w:val="1"/>
      <w:marLeft w:val="0"/>
      <w:marRight w:val="0"/>
      <w:marTop w:val="0"/>
      <w:marBottom w:val="0"/>
      <w:divBdr>
        <w:top w:val="none" w:sz="0" w:space="0" w:color="auto"/>
        <w:left w:val="none" w:sz="0" w:space="0" w:color="auto"/>
        <w:bottom w:val="none" w:sz="0" w:space="0" w:color="auto"/>
        <w:right w:val="none" w:sz="0" w:space="0" w:color="auto"/>
      </w:divBdr>
    </w:div>
    <w:div w:id="2002464487">
      <w:bodyDiv w:val="1"/>
      <w:marLeft w:val="0"/>
      <w:marRight w:val="0"/>
      <w:marTop w:val="0"/>
      <w:marBottom w:val="0"/>
      <w:divBdr>
        <w:top w:val="none" w:sz="0" w:space="0" w:color="auto"/>
        <w:left w:val="none" w:sz="0" w:space="0" w:color="auto"/>
        <w:bottom w:val="none" w:sz="0" w:space="0" w:color="auto"/>
        <w:right w:val="none" w:sz="0" w:space="0" w:color="auto"/>
      </w:divBdr>
    </w:div>
    <w:div w:id="2002468101">
      <w:bodyDiv w:val="1"/>
      <w:marLeft w:val="0"/>
      <w:marRight w:val="0"/>
      <w:marTop w:val="0"/>
      <w:marBottom w:val="0"/>
      <w:divBdr>
        <w:top w:val="none" w:sz="0" w:space="0" w:color="auto"/>
        <w:left w:val="none" w:sz="0" w:space="0" w:color="auto"/>
        <w:bottom w:val="none" w:sz="0" w:space="0" w:color="auto"/>
        <w:right w:val="none" w:sz="0" w:space="0" w:color="auto"/>
      </w:divBdr>
    </w:div>
    <w:div w:id="2002468626">
      <w:bodyDiv w:val="1"/>
      <w:marLeft w:val="0"/>
      <w:marRight w:val="0"/>
      <w:marTop w:val="0"/>
      <w:marBottom w:val="0"/>
      <w:divBdr>
        <w:top w:val="none" w:sz="0" w:space="0" w:color="auto"/>
        <w:left w:val="none" w:sz="0" w:space="0" w:color="auto"/>
        <w:bottom w:val="none" w:sz="0" w:space="0" w:color="auto"/>
        <w:right w:val="none" w:sz="0" w:space="0" w:color="auto"/>
      </w:divBdr>
    </w:div>
    <w:div w:id="2002728543">
      <w:bodyDiv w:val="1"/>
      <w:marLeft w:val="0"/>
      <w:marRight w:val="0"/>
      <w:marTop w:val="0"/>
      <w:marBottom w:val="0"/>
      <w:divBdr>
        <w:top w:val="none" w:sz="0" w:space="0" w:color="auto"/>
        <w:left w:val="none" w:sz="0" w:space="0" w:color="auto"/>
        <w:bottom w:val="none" w:sz="0" w:space="0" w:color="auto"/>
        <w:right w:val="none" w:sz="0" w:space="0" w:color="auto"/>
      </w:divBdr>
    </w:div>
    <w:div w:id="2002735828">
      <w:bodyDiv w:val="1"/>
      <w:marLeft w:val="0"/>
      <w:marRight w:val="0"/>
      <w:marTop w:val="0"/>
      <w:marBottom w:val="0"/>
      <w:divBdr>
        <w:top w:val="none" w:sz="0" w:space="0" w:color="auto"/>
        <w:left w:val="none" w:sz="0" w:space="0" w:color="auto"/>
        <w:bottom w:val="none" w:sz="0" w:space="0" w:color="auto"/>
        <w:right w:val="none" w:sz="0" w:space="0" w:color="auto"/>
      </w:divBdr>
    </w:div>
    <w:div w:id="2002811885">
      <w:bodyDiv w:val="1"/>
      <w:marLeft w:val="0"/>
      <w:marRight w:val="0"/>
      <w:marTop w:val="0"/>
      <w:marBottom w:val="0"/>
      <w:divBdr>
        <w:top w:val="none" w:sz="0" w:space="0" w:color="auto"/>
        <w:left w:val="none" w:sz="0" w:space="0" w:color="auto"/>
        <w:bottom w:val="none" w:sz="0" w:space="0" w:color="auto"/>
        <w:right w:val="none" w:sz="0" w:space="0" w:color="auto"/>
      </w:divBdr>
    </w:div>
    <w:div w:id="2002812917">
      <w:bodyDiv w:val="1"/>
      <w:marLeft w:val="0"/>
      <w:marRight w:val="0"/>
      <w:marTop w:val="0"/>
      <w:marBottom w:val="0"/>
      <w:divBdr>
        <w:top w:val="none" w:sz="0" w:space="0" w:color="auto"/>
        <w:left w:val="none" w:sz="0" w:space="0" w:color="auto"/>
        <w:bottom w:val="none" w:sz="0" w:space="0" w:color="auto"/>
        <w:right w:val="none" w:sz="0" w:space="0" w:color="auto"/>
      </w:divBdr>
    </w:div>
    <w:div w:id="2002923588">
      <w:bodyDiv w:val="1"/>
      <w:marLeft w:val="0"/>
      <w:marRight w:val="0"/>
      <w:marTop w:val="0"/>
      <w:marBottom w:val="0"/>
      <w:divBdr>
        <w:top w:val="none" w:sz="0" w:space="0" w:color="auto"/>
        <w:left w:val="none" w:sz="0" w:space="0" w:color="auto"/>
        <w:bottom w:val="none" w:sz="0" w:space="0" w:color="auto"/>
        <w:right w:val="none" w:sz="0" w:space="0" w:color="auto"/>
      </w:divBdr>
    </w:div>
    <w:div w:id="2002928172">
      <w:bodyDiv w:val="1"/>
      <w:marLeft w:val="0"/>
      <w:marRight w:val="0"/>
      <w:marTop w:val="0"/>
      <w:marBottom w:val="0"/>
      <w:divBdr>
        <w:top w:val="none" w:sz="0" w:space="0" w:color="auto"/>
        <w:left w:val="none" w:sz="0" w:space="0" w:color="auto"/>
        <w:bottom w:val="none" w:sz="0" w:space="0" w:color="auto"/>
        <w:right w:val="none" w:sz="0" w:space="0" w:color="auto"/>
      </w:divBdr>
    </w:div>
    <w:div w:id="2003045787">
      <w:bodyDiv w:val="1"/>
      <w:marLeft w:val="0"/>
      <w:marRight w:val="0"/>
      <w:marTop w:val="0"/>
      <w:marBottom w:val="0"/>
      <w:divBdr>
        <w:top w:val="none" w:sz="0" w:space="0" w:color="auto"/>
        <w:left w:val="none" w:sz="0" w:space="0" w:color="auto"/>
        <w:bottom w:val="none" w:sz="0" w:space="0" w:color="auto"/>
        <w:right w:val="none" w:sz="0" w:space="0" w:color="auto"/>
      </w:divBdr>
    </w:div>
    <w:div w:id="2003196713">
      <w:bodyDiv w:val="1"/>
      <w:marLeft w:val="0"/>
      <w:marRight w:val="0"/>
      <w:marTop w:val="0"/>
      <w:marBottom w:val="0"/>
      <w:divBdr>
        <w:top w:val="none" w:sz="0" w:space="0" w:color="auto"/>
        <w:left w:val="none" w:sz="0" w:space="0" w:color="auto"/>
        <w:bottom w:val="none" w:sz="0" w:space="0" w:color="auto"/>
        <w:right w:val="none" w:sz="0" w:space="0" w:color="auto"/>
      </w:divBdr>
    </w:div>
    <w:div w:id="2003268409">
      <w:bodyDiv w:val="1"/>
      <w:marLeft w:val="0"/>
      <w:marRight w:val="0"/>
      <w:marTop w:val="0"/>
      <w:marBottom w:val="0"/>
      <w:divBdr>
        <w:top w:val="none" w:sz="0" w:space="0" w:color="auto"/>
        <w:left w:val="none" w:sz="0" w:space="0" w:color="auto"/>
        <w:bottom w:val="none" w:sz="0" w:space="0" w:color="auto"/>
        <w:right w:val="none" w:sz="0" w:space="0" w:color="auto"/>
      </w:divBdr>
    </w:div>
    <w:div w:id="2003268822">
      <w:bodyDiv w:val="1"/>
      <w:marLeft w:val="0"/>
      <w:marRight w:val="0"/>
      <w:marTop w:val="0"/>
      <w:marBottom w:val="0"/>
      <w:divBdr>
        <w:top w:val="none" w:sz="0" w:space="0" w:color="auto"/>
        <w:left w:val="none" w:sz="0" w:space="0" w:color="auto"/>
        <w:bottom w:val="none" w:sz="0" w:space="0" w:color="auto"/>
        <w:right w:val="none" w:sz="0" w:space="0" w:color="auto"/>
      </w:divBdr>
    </w:div>
    <w:div w:id="2003392438">
      <w:bodyDiv w:val="1"/>
      <w:marLeft w:val="0"/>
      <w:marRight w:val="0"/>
      <w:marTop w:val="0"/>
      <w:marBottom w:val="0"/>
      <w:divBdr>
        <w:top w:val="none" w:sz="0" w:space="0" w:color="auto"/>
        <w:left w:val="none" w:sz="0" w:space="0" w:color="auto"/>
        <w:bottom w:val="none" w:sz="0" w:space="0" w:color="auto"/>
        <w:right w:val="none" w:sz="0" w:space="0" w:color="auto"/>
      </w:divBdr>
    </w:div>
    <w:div w:id="2003463898">
      <w:bodyDiv w:val="1"/>
      <w:marLeft w:val="0"/>
      <w:marRight w:val="0"/>
      <w:marTop w:val="0"/>
      <w:marBottom w:val="0"/>
      <w:divBdr>
        <w:top w:val="none" w:sz="0" w:space="0" w:color="auto"/>
        <w:left w:val="none" w:sz="0" w:space="0" w:color="auto"/>
        <w:bottom w:val="none" w:sz="0" w:space="0" w:color="auto"/>
        <w:right w:val="none" w:sz="0" w:space="0" w:color="auto"/>
      </w:divBdr>
    </w:div>
    <w:div w:id="2003463933">
      <w:bodyDiv w:val="1"/>
      <w:marLeft w:val="0"/>
      <w:marRight w:val="0"/>
      <w:marTop w:val="0"/>
      <w:marBottom w:val="0"/>
      <w:divBdr>
        <w:top w:val="none" w:sz="0" w:space="0" w:color="auto"/>
        <w:left w:val="none" w:sz="0" w:space="0" w:color="auto"/>
        <w:bottom w:val="none" w:sz="0" w:space="0" w:color="auto"/>
        <w:right w:val="none" w:sz="0" w:space="0" w:color="auto"/>
      </w:divBdr>
    </w:div>
    <w:div w:id="2003583928">
      <w:bodyDiv w:val="1"/>
      <w:marLeft w:val="0"/>
      <w:marRight w:val="0"/>
      <w:marTop w:val="0"/>
      <w:marBottom w:val="0"/>
      <w:divBdr>
        <w:top w:val="none" w:sz="0" w:space="0" w:color="auto"/>
        <w:left w:val="none" w:sz="0" w:space="0" w:color="auto"/>
        <w:bottom w:val="none" w:sz="0" w:space="0" w:color="auto"/>
        <w:right w:val="none" w:sz="0" w:space="0" w:color="auto"/>
      </w:divBdr>
    </w:div>
    <w:div w:id="2003655071">
      <w:bodyDiv w:val="1"/>
      <w:marLeft w:val="0"/>
      <w:marRight w:val="0"/>
      <w:marTop w:val="0"/>
      <w:marBottom w:val="0"/>
      <w:divBdr>
        <w:top w:val="none" w:sz="0" w:space="0" w:color="auto"/>
        <w:left w:val="none" w:sz="0" w:space="0" w:color="auto"/>
        <w:bottom w:val="none" w:sz="0" w:space="0" w:color="auto"/>
        <w:right w:val="none" w:sz="0" w:space="0" w:color="auto"/>
      </w:divBdr>
    </w:div>
    <w:div w:id="2003657241">
      <w:bodyDiv w:val="1"/>
      <w:marLeft w:val="0"/>
      <w:marRight w:val="0"/>
      <w:marTop w:val="0"/>
      <w:marBottom w:val="0"/>
      <w:divBdr>
        <w:top w:val="none" w:sz="0" w:space="0" w:color="auto"/>
        <w:left w:val="none" w:sz="0" w:space="0" w:color="auto"/>
        <w:bottom w:val="none" w:sz="0" w:space="0" w:color="auto"/>
        <w:right w:val="none" w:sz="0" w:space="0" w:color="auto"/>
      </w:divBdr>
    </w:div>
    <w:div w:id="2003702751">
      <w:bodyDiv w:val="1"/>
      <w:marLeft w:val="0"/>
      <w:marRight w:val="0"/>
      <w:marTop w:val="0"/>
      <w:marBottom w:val="0"/>
      <w:divBdr>
        <w:top w:val="none" w:sz="0" w:space="0" w:color="auto"/>
        <w:left w:val="none" w:sz="0" w:space="0" w:color="auto"/>
        <w:bottom w:val="none" w:sz="0" w:space="0" w:color="auto"/>
        <w:right w:val="none" w:sz="0" w:space="0" w:color="auto"/>
      </w:divBdr>
    </w:div>
    <w:div w:id="2003773110">
      <w:bodyDiv w:val="1"/>
      <w:marLeft w:val="0"/>
      <w:marRight w:val="0"/>
      <w:marTop w:val="0"/>
      <w:marBottom w:val="0"/>
      <w:divBdr>
        <w:top w:val="none" w:sz="0" w:space="0" w:color="auto"/>
        <w:left w:val="none" w:sz="0" w:space="0" w:color="auto"/>
        <w:bottom w:val="none" w:sz="0" w:space="0" w:color="auto"/>
        <w:right w:val="none" w:sz="0" w:space="0" w:color="auto"/>
      </w:divBdr>
    </w:div>
    <w:div w:id="2004157133">
      <w:bodyDiv w:val="1"/>
      <w:marLeft w:val="0"/>
      <w:marRight w:val="0"/>
      <w:marTop w:val="0"/>
      <w:marBottom w:val="0"/>
      <w:divBdr>
        <w:top w:val="none" w:sz="0" w:space="0" w:color="auto"/>
        <w:left w:val="none" w:sz="0" w:space="0" w:color="auto"/>
        <w:bottom w:val="none" w:sz="0" w:space="0" w:color="auto"/>
        <w:right w:val="none" w:sz="0" w:space="0" w:color="auto"/>
      </w:divBdr>
    </w:div>
    <w:div w:id="2004309672">
      <w:bodyDiv w:val="1"/>
      <w:marLeft w:val="0"/>
      <w:marRight w:val="0"/>
      <w:marTop w:val="0"/>
      <w:marBottom w:val="0"/>
      <w:divBdr>
        <w:top w:val="none" w:sz="0" w:space="0" w:color="auto"/>
        <w:left w:val="none" w:sz="0" w:space="0" w:color="auto"/>
        <w:bottom w:val="none" w:sz="0" w:space="0" w:color="auto"/>
        <w:right w:val="none" w:sz="0" w:space="0" w:color="auto"/>
      </w:divBdr>
    </w:div>
    <w:div w:id="2004315616">
      <w:bodyDiv w:val="1"/>
      <w:marLeft w:val="0"/>
      <w:marRight w:val="0"/>
      <w:marTop w:val="0"/>
      <w:marBottom w:val="0"/>
      <w:divBdr>
        <w:top w:val="none" w:sz="0" w:space="0" w:color="auto"/>
        <w:left w:val="none" w:sz="0" w:space="0" w:color="auto"/>
        <w:bottom w:val="none" w:sz="0" w:space="0" w:color="auto"/>
        <w:right w:val="none" w:sz="0" w:space="0" w:color="auto"/>
      </w:divBdr>
    </w:div>
    <w:div w:id="2004358033">
      <w:bodyDiv w:val="1"/>
      <w:marLeft w:val="0"/>
      <w:marRight w:val="0"/>
      <w:marTop w:val="0"/>
      <w:marBottom w:val="0"/>
      <w:divBdr>
        <w:top w:val="none" w:sz="0" w:space="0" w:color="auto"/>
        <w:left w:val="none" w:sz="0" w:space="0" w:color="auto"/>
        <w:bottom w:val="none" w:sz="0" w:space="0" w:color="auto"/>
        <w:right w:val="none" w:sz="0" w:space="0" w:color="auto"/>
      </w:divBdr>
    </w:div>
    <w:div w:id="2004428365">
      <w:bodyDiv w:val="1"/>
      <w:marLeft w:val="0"/>
      <w:marRight w:val="0"/>
      <w:marTop w:val="0"/>
      <w:marBottom w:val="0"/>
      <w:divBdr>
        <w:top w:val="none" w:sz="0" w:space="0" w:color="auto"/>
        <w:left w:val="none" w:sz="0" w:space="0" w:color="auto"/>
        <w:bottom w:val="none" w:sz="0" w:space="0" w:color="auto"/>
        <w:right w:val="none" w:sz="0" w:space="0" w:color="auto"/>
      </w:divBdr>
    </w:div>
    <w:div w:id="2004435195">
      <w:bodyDiv w:val="1"/>
      <w:marLeft w:val="0"/>
      <w:marRight w:val="0"/>
      <w:marTop w:val="0"/>
      <w:marBottom w:val="0"/>
      <w:divBdr>
        <w:top w:val="none" w:sz="0" w:space="0" w:color="auto"/>
        <w:left w:val="none" w:sz="0" w:space="0" w:color="auto"/>
        <w:bottom w:val="none" w:sz="0" w:space="0" w:color="auto"/>
        <w:right w:val="none" w:sz="0" w:space="0" w:color="auto"/>
      </w:divBdr>
    </w:div>
    <w:div w:id="2004620326">
      <w:bodyDiv w:val="1"/>
      <w:marLeft w:val="0"/>
      <w:marRight w:val="0"/>
      <w:marTop w:val="0"/>
      <w:marBottom w:val="0"/>
      <w:divBdr>
        <w:top w:val="none" w:sz="0" w:space="0" w:color="auto"/>
        <w:left w:val="none" w:sz="0" w:space="0" w:color="auto"/>
        <w:bottom w:val="none" w:sz="0" w:space="0" w:color="auto"/>
        <w:right w:val="none" w:sz="0" w:space="0" w:color="auto"/>
      </w:divBdr>
    </w:div>
    <w:div w:id="2004622240">
      <w:bodyDiv w:val="1"/>
      <w:marLeft w:val="0"/>
      <w:marRight w:val="0"/>
      <w:marTop w:val="0"/>
      <w:marBottom w:val="0"/>
      <w:divBdr>
        <w:top w:val="none" w:sz="0" w:space="0" w:color="auto"/>
        <w:left w:val="none" w:sz="0" w:space="0" w:color="auto"/>
        <w:bottom w:val="none" w:sz="0" w:space="0" w:color="auto"/>
        <w:right w:val="none" w:sz="0" w:space="0" w:color="auto"/>
      </w:divBdr>
    </w:div>
    <w:div w:id="2004625922">
      <w:bodyDiv w:val="1"/>
      <w:marLeft w:val="0"/>
      <w:marRight w:val="0"/>
      <w:marTop w:val="0"/>
      <w:marBottom w:val="0"/>
      <w:divBdr>
        <w:top w:val="none" w:sz="0" w:space="0" w:color="auto"/>
        <w:left w:val="none" w:sz="0" w:space="0" w:color="auto"/>
        <w:bottom w:val="none" w:sz="0" w:space="0" w:color="auto"/>
        <w:right w:val="none" w:sz="0" w:space="0" w:color="auto"/>
      </w:divBdr>
    </w:div>
    <w:div w:id="2004746441">
      <w:bodyDiv w:val="1"/>
      <w:marLeft w:val="0"/>
      <w:marRight w:val="0"/>
      <w:marTop w:val="0"/>
      <w:marBottom w:val="0"/>
      <w:divBdr>
        <w:top w:val="none" w:sz="0" w:space="0" w:color="auto"/>
        <w:left w:val="none" w:sz="0" w:space="0" w:color="auto"/>
        <w:bottom w:val="none" w:sz="0" w:space="0" w:color="auto"/>
        <w:right w:val="none" w:sz="0" w:space="0" w:color="auto"/>
      </w:divBdr>
    </w:div>
    <w:div w:id="2004769756">
      <w:bodyDiv w:val="1"/>
      <w:marLeft w:val="0"/>
      <w:marRight w:val="0"/>
      <w:marTop w:val="0"/>
      <w:marBottom w:val="0"/>
      <w:divBdr>
        <w:top w:val="none" w:sz="0" w:space="0" w:color="auto"/>
        <w:left w:val="none" w:sz="0" w:space="0" w:color="auto"/>
        <w:bottom w:val="none" w:sz="0" w:space="0" w:color="auto"/>
        <w:right w:val="none" w:sz="0" w:space="0" w:color="auto"/>
      </w:divBdr>
    </w:div>
    <w:div w:id="2004819200">
      <w:bodyDiv w:val="1"/>
      <w:marLeft w:val="0"/>
      <w:marRight w:val="0"/>
      <w:marTop w:val="0"/>
      <w:marBottom w:val="0"/>
      <w:divBdr>
        <w:top w:val="none" w:sz="0" w:space="0" w:color="auto"/>
        <w:left w:val="none" w:sz="0" w:space="0" w:color="auto"/>
        <w:bottom w:val="none" w:sz="0" w:space="0" w:color="auto"/>
        <w:right w:val="none" w:sz="0" w:space="0" w:color="auto"/>
      </w:divBdr>
    </w:div>
    <w:div w:id="2005008557">
      <w:bodyDiv w:val="1"/>
      <w:marLeft w:val="0"/>
      <w:marRight w:val="0"/>
      <w:marTop w:val="0"/>
      <w:marBottom w:val="0"/>
      <w:divBdr>
        <w:top w:val="none" w:sz="0" w:space="0" w:color="auto"/>
        <w:left w:val="none" w:sz="0" w:space="0" w:color="auto"/>
        <w:bottom w:val="none" w:sz="0" w:space="0" w:color="auto"/>
        <w:right w:val="none" w:sz="0" w:space="0" w:color="auto"/>
      </w:divBdr>
    </w:div>
    <w:div w:id="2005015063">
      <w:bodyDiv w:val="1"/>
      <w:marLeft w:val="0"/>
      <w:marRight w:val="0"/>
      <w:marTop w:val="0"/>
      <w:marBottom w:val="0"/>
      <w:divBdr>
        <w:top w:val="none" w:sz="0" w:space="0" w:color="auto"/>
        <w:left w:val="none" w:sz="0" w:space="0" w:color="auto"/>
        <w:bottom w:val="none" w:sz="0" w:space="0" w:color="auto"/>
        <w:right w:val="none" w:sz="0" w:space="0" w:color="auto"/>
      </w:divBdr>
    </w:div>
    <w:div w:id="2005082143">
      <w:bodyDiv w:val="1"/>
      <w:marLeft w:val="0"/>
      <w:marRight w:val="0"/>
      <w:marTop w:val="0"/>
      <w:marBottom w:val="0"/>
      <w:divBdr>
        <w:top w:val="none" w:sz="0" w:space="0" w:color="auto"/>
        <w:left w:val="none" w:sz="0" w:space="0" w:color="auto"/>
        <w:bottom w:val="none" w:sz="0" w:space="0" w:color="auto"/>
        <w:right w:val="none" w:sz="0" w:space="0" w:color="auto"/>
      </w:divBdr>
    </w:div>
    <w:div w:id="2005085614">
      <w:bodyDiv w:val="1"/>
      <w:marLeft w:val="0"/>
      <w:marRight w:val="0"/>
      <w:marTop w:val="0"/>
      <w:marBottom w:val="0"/>
      <w:divBdr>
        <w:top w:val="none" w:sz="0" w:space="0" w:color="auto"/>
        <w:left w:val="none" w:sz="0" w:space="0" w:color="auto"/>
        <w:bottom w:val="none" w:sz="0" w:space="0" w:color="auto"/>
        <w:right w:val="none" w:sz="0" w:space="0" w:color="auto"/>
      </w:divBdr>
    </w:div>
    <w:div w:id="2005159729">
      <w:bodyDiv w:val="1"/>
      <w:marLeft w:val="0"/>
      <w:marRight w:val="0"/>
      <w:marTop w:val="0"/>
      <w:marBottom w:val="0"/>
      <w:divBdr>
        <w:top w:val="none" w:sz="0" w:space="0" w:color="auto"/>
        <w:left w:val="none" w:sz="0" w:space="0" w:color="auto"/>
        <w:bottom w:val="none" w:sz="0" w:space="0" w:color="auto"/>
        <w:right w:val="none" w:sz="0" w:space="0" w:color="auto"/>
      </w:divBdr>
    </w:div>
    <w:div w:id="2005351113">
      <w:bodyDiv w:val="1"/>
      <w:marLeft w:val="0"/>
      <w:marRight w:val="0"/>
      <w:marTop w:val="0"/>
      <w:marBottom w:val="0"/>
      <w:divBdr>
        <w:top w:val="none" w:sz="0" w:space="0" w:color="auto"/>
        <w:left w:val="none" w:sz="0" w:space="0" w:color="auto"/>
        <w:bottom w:val="none" w:sz="0" w:space="0" w:color="auto"/>
        <w:right w:val="none" w:sz="0" w:space="0" w:color="auto"/>
      </w:divBdr>
    </w:div>
    <w:div w:id="2005426453">
      <w:bodyDiv w:val="1"/>
      <w:marLeft w:val="0"/>
      <w:marRight w:val="0"/>
      <w:marTop w:val="0"/>
      <w:marBottom w:val="0"/>
      <w:divBdr>
        <w:top w:val="none" w:sz="0" w:space="0" w:color="auto"/>
        <w:left w:val="none" w:sz="0" w:space="0" w:color="auto"/>
        <w:bottom w:val="none" w:sz="0" w:space="0" w:color="auto"/>
        <w:right w:val="none" w:sz="0" w:space="0" w:color="auto"/>
      </w:divBdr>
    </w:div>
    <w:div w:id="2005432419">
      <w:bodyDiv w:val="1"/>
      <w:marLeft w:val="0"/>
      <w:marRight w:val="0"/>
      <w:marTop w:val="0"/>
      <w:marBottom w:val="0"/>
      <w:divBdr>
        <w:top w:val="none" w:sz="0" w:space="0" w:color="auto"/>
        <w:left w:val="none" w:sz="0" w:space="0" w:color="auto"/>
        <w:bottom w:val="none" w:sz="0" w:space="0" w:color="auto"/>
        <w:right w:val="none" w:sz="0" w:space="0" w:color="auto"/>
      </w:divBdr>
    </w:div>
    <w:div w:id="2005471670">
      <w:bodyDiv w:val="1"/>
      <w:marLeft w:val="0"/>
      <w:marRight w:val="0"/>
      <w:marTop w:val="0"/>
      <w:marBottom w:val="0"/>
      <w:divBdr>
        <w:top w:val="none" w:sz="0" w:space="0" w:color="auto"/>
        <w:left w:val="none" w:sz="0" w:space="0" w:color="auto"/>
        <w:bottom w:val="none" w:sz="0" w:space="0" w:color="auto"/>
        <w:right w:val="none" w:sz="0" w:space="0" w:color="auto"/>
      </w:divBdr>
    </w:div>
    <w:div w:id="2005545291">
      <w:bodyDiv w:val="1"/>
      <w:marLeft w:val="0"/>
      <w:marRight w:val="0"/>
      <w:marTop w:val="0"/>
      <w:marBottom w:val="0"/>
      <w:divBdr>
        <w:top w:val="none" w:sz="0" w:space="0" w:color="auto"/>
        <w:left w:val="none" w:sz="0" w:space="0" w:color="auto"/>
        <w:bottom w:val="none" w:sz="0" w:space="0" w:color="auto"/>
        <w:right w:val="none" w:sz="0" w:space="0" w:color="auto"/>
      </w:divBdr>
    </w:div>
    <w:div w:id="2005666011">
      <w:bodyDiv w:val="1"/>
      <w:marLeft w:val="0"/>
      <w:marRight w:val="0"/>
      <w:marTop w:val="0"/>
      <w:marBottom w:val="0"/>
      <w:divBdr>
        <w:top w:val="none" w:sz="0" w:space="0" w:color="auto"/>
        <w:left w:val="none" w:sz="0" w:space="0" w:color="auto"/>
        <w:bottom w:val="none" w:sz="0" w:space="0" w:color="auto"/>
        <w:right w:val="none" w:sz="0" w:space="0" w:color="auto"/>
      </w:divBdr>
    </w:div>
    <w:div w:id="2005814404">
      <w:bodyDiv w:val="1"/>
      <w:marLeft w:val="0"/>
      <w:marRight w:val="0"/>
      <w:marTop w:val="0"/>
      <w:marBottom w:val="0"/>
      <w:divBdr>
        <w:top w:val="none" w:sz="0" w:space="0" w:color="auto"/>
        <w:left w:val="none" w:sz="0" w:space="0" w:color="auto"/>
        <w:bottom w:val="none" w:sz="0" w:space="0" w:color="auto"/>
        <w:right w:val="none" w:sz="0" w:space="0" w:color="auto"/>
      </w:divBdr>
    </w:div>
    <w:div w:id="2005818568">
      <w:bodyDiv w:val="1"/>
      <w:marLeft w:val="0"/>
      <w:marRight w:val="0"/>
      <w:marTop w:val="0"/>
      <w:marBottom w:val="0"/>
      <w:divBdr>
        <w:top w:val="none" w:sz="0" w:space="0" w:color="auto"/>
        <w:left w:val="none" w:sz="0" w:space="0" w:color="auto"/>
        <w:bottom w:val="none" w:sz="0" w:space="0" w:color="auto"/>
        <w:right w:val="none" w:sz="0" w:space="0" w:color="auto"/>
      </w:divBdr>
    </w:div>
    <w:div w:id="2005819864">
      <w:bodyDiv w:val="1"/>
      <w:marLeft w:val="0"/>
      <w:marRight w:val="0"/>
      <w:marTop w:val="0"/>
      <w:marBottom w:val="0"/>
      <w:divBdr>
        <w:top w:val="none" w:sz="0" w:space="0" w:color="auto"/>
        <w:left w:val="none" w:sz="0" w:space="0" w:color="auto"/>
        <w:bottom w:val="none" w:sz="0" w:space="0" w:color="auto"/>
        <w:right w:val="none" w:sz="0" w:space="0" w:color="auto"/>
      </w:divBdr>
    </w:div>
    <w:div w:id="2005820564">
      <w:bodyDiv w:val="1"/>
      <w:marLeft w:val="0"/>
      <w:marRight w:val="0"/>
      <w:marTop w:val="0"/>
      <w:marBottom w:val="0"/>
      <w:divBdr>
        <w:top w:val="none" w:sz="0" w:space="0" w:color="auto"/>
        <w:left w:val="none" w:sz="0" w:space="0" w:color="auto"/>
        <w:bottom w:val="none" w:sz="0" w:space="0" w:color="auto"/>
        <w:right w:val="none" w:sz="0" w:space="0" w:color="auto"/>
      </w:divBdr>
    </w:div>
    <w:div w:id="2005862200">
      <w:bodyDiv w:val="1"/>
      <w:marLeft w:val="0"/>
      <w:marRight w:val="0"/>
      <w:marTop w:val="0"/>
      <w:marBottom w:val="0"/>
      <w:divBdr>
        <w:top w:val="none" w:sz="0" w:space="0" w:color="auto"/>
        <w:left w:val="none" w:sz="0" w:space="0" w:color="auto"/>
        <w:bottom w:val="none" w:sz="0" w:space="0" w:color="auto"/>
        <w:right w:val="none" w:sz="0" w:space="0" w:color="auto"/>
      </w:divBdr>
    </w:div>
    <w:div w:id="2005888210">
      <w:bodyDiv w:val="1"/>
      <w:marLeft w:val="0"/>
      <w:marRight w:val="0"/>
      <w:marTop w:val="0"/>
      <w:marBottom w:val="0"/>
      <w:divBdr>
        <w:top w:val="none" w:sz="0" w:space="0" w:color="auto"/>
        <w:left w:val="none" w:sz="0" w:space="0" w:color="auto"/>
        <w:bottom w:val="none" w:sz="0" w:space="0" w:color="auto"/>
        <w:right w:val="none" w:sz="0" w:space="0" w:color="auto"/>
      </w:divBdr>
    </w:div>
    <w:div w:id="2006086404">
      <w:bodyDiv w:val="1"/>
      <w:marLeft w:val="0"/>
      <w:marRight w:val="0"/>
      <w:marTop w:val="0"/>
      <w:marBottom w:val="0"/>
      <w:divBdr>
        <w:top w:val="none" w:sz="0" w:space="0" w:color="auto"/>
        <w:left w:val="none" w:sz="0" w:space="0" w:color="auto"/>
        <w:bottom w:val="none" w:sz="0" w:space="0" w:color="auto"/>
        <w:right w:val="none" w:sz="0" w:space="0" w:color="auto"/>
      </w:divBdr>
    </w:div>
    <w:div w:id="2006204695">
      <w:bodyDiv w:val="1"/>
      <w:marLeft w:val="0"/>
      <w:marRight w:val="0"/>
      <w:marTop w:val="0"/>
      <w:marBottom w:val="0"/>
      <w:divBdr>
        <w:top w:val="none" w:sz="0" w:space="0" w:color="auto"/>
        <w:left w:val="none" w:sz="0" w:space="0" w:color="auto"/>
        <w:bottom w:val="none" w:sz="0" w:space="0" w:color="auto"/>
        <w:right w:val="none" w:sz="0" w:space="0" w:color="auto"/>
      </w:divBdr>
    </w:div>
    <w:div w:id="2006273910">
      <w:bodyDiv w:val="1"/>
      <w:marLeft w:val="0"/>
      <w:marRight w:val="0"/>
      <w:marTop w:val="0"/>
      <w:marBottom w:val="0"/>
      <w:divBdr>
        <w:top w:val="none" w:sz="0" w:space="0" w:color="auto"/>
        <w:left w:val="none" w:sz="0" w:space="0" w:color="auto"/>
        <w:bottom w:val="none" w:sz="0" w:space="0" w:color="auto"/>
        <w:right w:val="none" w:sz="0" w:space="0" w:color="auto"/>
      </w:divBdr>
    </w:div>
    <w:div w:id="2006274985">
      <w:bodyDiv w:val="1"/>
      <w:marLeft w:val="0"/>
      <w:marRight w:val="0"/>
      <w:marTop w:val="0"/>
      <w:marBottom w:val="0"/>
      <w:divBdr>
        <w:top w:val="none" w:sz="0" w:space="0" w:color="auto"/>
        <w:left w:val="none" w:sz="0" w:space="0" w:color="auto"/>
        <w:bottom w:val="none" w:sz="0" w:space="0" w:color="auto"/>
        <w:right w:val="none" w:sz="0" w:space="0" w:color="auto"/>
      </w:divBdr>
    </w:div>
    <w:div w:id="2006275411">
      <w:bodyDiv w:val="1"/>
      <w:marLeft w:val="0"/>
      <w:marRight w:val="0"/>
      <w:marTop w:val="0"/>
      <w:marBottom w:val="0"/>
      <w:divBdr>
        <w:top w:val="none" w:sz="0" w:space="0" w:color="auto"/>
        <w:left w:val="none" w:sz="0" w:space="0" w:color="auto"/>
        <w:bottom w:val="none" w:sz="0" w:space="0" w:color="auto"/>
        <w:right w:val="none" w:sz="0" w:space="0" w:color="auto"/>
      </w:divBdr>
    </w:div>
    <w:div w:id="2006278054">
      <w:bodyDiv w:val="1"/>
      <w:marLeft w:val="0"/>
      <w:marRight w:val="0"/>
      <w:marTop w:val="0"/>
      <w:marBottom w:val="0"/>
      <w:divBdr>
        <w:top w:val="none" w:sz="0" w:space="0" w:color="auto"/>
        <w:left w:val="none" w:sz="0" w:space="0" w:color="auto"/>
        <w:bottom w:val="none" w:sz="0" w:space="0" w:color="auto"/>
        <w:right w:val="none" w:sz="0" w:space="0" w:color="auto"/>
      </w:divBdr>
    </w:div>
    <w:div w:id="2006278905">
      <w:bodyDiv w:val="1"/>
      <w:marLeft w:val="0"/>
      <w:marRight w:val="0"/>
      <w:marTop w:val="0"/>
      <w:marBottom w:val="0"/>
      <w:divBdr>
        <w:top w:val="none" w:sz="0" w:space="0" w:color="auto"/>
        <w:left w:val="none" w:sz="0" w:space="0" w:color="auto"/>
        <w:bottom w:val="none" w:sz="0" w:space="0" w:color="auto"/>
        <w:right w:val="none" w:sz="0" w:space="0" w:color="auto"/>
      </w:divBdr>
    </w:div>
    <w:div w:id="2006319647">
      <w:bodyDiv w:val="1"/>
      <w:marLeft w:val="0"/>
      <w:marRight w:val="0"/>
      <w:marTop w:val="0"/>
      <w:marBottom w:val="0"/>
      <w:divBdr>
        <w:top w:val="none" w:sz="0" w:space="0" w:color="auto"/>
        <w:left w:val="none" w:sz="0" w:space="0" w:color="auto"/>
        <w:bottom w:val="none" w:sz="0" w:space="0" w:color="auto"/>
        <w:right w:val="none" w:sz="0" w:space="0" w:color="auto"/>
      </w:divBdr>
    </w:div>
    <w:div w:id="2006320405">
      <w:bodyDiv w:val="1"/>
      <w:marLeft w:val="0"/>
      <w:marRight w:val="0"/>
      <w:marTop w:val="0"/>
      <w:marBottom w:val="0"/>
      <w:divBdr>
        <w:top w:val="none" w:sz="0" w:space="0" w:color="auto"/>
        <w:left w:val="none" w:sz="0" w:space="0" w:color="auto"/>
        <w:bottom w:val="none" w:sz="0" w:space="0" w:color="auto"/>
        <w:right w:val="none" w:sz="0" w:space="0" w:color="auto"/>
      </w:divBdr>
    </w:div>
    <w:div w:id="2006322162">
      <w:bodyDiv w:val="1"/>
      <w:marLeft w:val="0"/>
      <w:marRight w:val="0"/>
      <w:marTop w:val="0"/>
      <w:marBottom w:val="0"/>
      <w:divBdr>
        <w:top w:val="none" w:sz="0" w:space="0" w:color="auto"/>
        <w:left w:val="none" w:sz="0" w:space="0" w:color="auto"/>
        <w:bottom w:val="none" w:sz="0" w:space="0" w:color="auto"/>
        <w:right w:val="none" w:sz="0" w:space="0" w:color="auto"/>
      </w:divBdr>
    </w:div>
    <w:div w:id="2006401100">
      <w:bodyDiv w:val="1"/>
      <w:marLeft w:val="0"/>
      <w:marRight w:val="0"/>
      <w:marTop w:val="0"/>
      <w:marBottom w:val="0"/>
      <w:divBdr>
        <w:top w:val="none" w:sz="0" w:space="0" w:color="auto"/>
        <w:left w:val="none" w:sz="0" w:space="0" w:color="auto"/>
        <w:bottom w:val="none" w:sz="0" w:space="0" w:color="auto"/>
        <w:right w:val="none" w:sz="0" w:space="0" w:color="auto"/>
      </w:divBdr>
    </w:div>
    <w:div w:id="2006587591">
      <w:bodyDiv w:val="1"/>
      <w:marLeft w:val="0"/>
      <w:marRight w:val="0"/>
      <w:marTop w:val="0"/>
      <w:marBottom w:val="0"/>
      <w:divBdr>
        <w:top w:val="none" w:sz="0" w:space="0" w:color="auto"/>
        <w:left w:val="none" w:sz="0" w:space="0" w:color="auto"/>
        <w:bottom w:val="none" w:sz="0" w:space="0" w:color="auto"/>
        <w:right w:val="none" w:sz="0" w:space="0" w:color="auto"/>
      </w:divBdr>
    </w:div>
    <w:div w:id="2006665745">
      <w:bodyDiv w:val="1"/>
      <w:marLeft w:val="0"/>
      <w:marRight w:val="0"/>
      <w:marTop w:val="0"/>
      <w:marBottom w:val="0"/>
      <w:divBdr>
        <w:top w:val="none" w:sz="0" w:space="0" w:color="auto"/>
        <w:left w:val="none" w:sz="0" w:space="0" w:color="auto"/>
        <w:bottom w:val="none" w:sz="0" w:space="0" w:color="auto"/>
        <w:right w:val="none" w:sz="0" w:space="0" w:color="auto"/>
      </w:divBdr>
    </w:div>
    <w:div w:id="2006669593">
      <w:bodyDiv w:val="1"/>
      <w:marLeft w:val="0"/>
      <w:marRight w:val="0"/>
      <w:marTop w:val="0"/>
      <w:marBottom w:val="0"/>
      <w:divBdr>
        <w:top w:val="none" w:sz="0" w:space="0" w:color="auto"/>
        <w:left w:val="none" w:sz="0" w:space="0" w:color="auto"/>
        <w:bottom w:val="none" w:sz="0" w:space="0" w:color="auto"/>
        <w:right w:val="none" w:sz="0" w:space="0" w:color="auto"/>
      </w:divBdr>
    </w:div>
    <w:div w:id="2006781054">
      <w:bodyDiv w:val="1"/>
      <w:marLeft w:val="0"/>
      <w:marRight w:val="0"/>
      <w:marTop w:val="0"/>
      <w:marBottom w:val="0"/>
      <w:divBdr>
        <w:top w:val="none" w:sz="0" w:space="0" w:color="auto"/>
        <w:left w:val="none" w:sz="0" w:space="0" w:color="auto"/>
        <w:bottom w:val="none" w:sz="0" w:space="0" w:color="auto"/>
        <w:right w:val="none" w:sz="0" w:space="0" w:color="auto"/>
      </w:divBdr>
    </w:div>
    <w:div w:id="2006859496">
      <w:bodyDiv w:val="1"/>
      <w:marLeft w:val="0"/>
      <w:marRight w:val="0"/>
      <w:marTop w:val="0"/>
      <w:marBottom w:val="0"/>
      <w:divBdr>
        <w:top w:val="none" w:sz="0" w:space="0" w:color="auto"/>
        <w:left w:val="none" w:sz="0" w:space="0" w:color="auto"/>
        <w:bottom w:val="none" w:sz="0" w:space="0" w:color="auto"/>
        <w:right w:val="none" w:sz="0" w:space="0" w:color="auto"/>
      </w:divBdr>
    </w:div>
    <w:div w:id="2006977626">
      <w:bodyDiv w:val="1"/>
      <w:marLeft w:val="0"/>
      <w:marRight w:val="0"/>
      <w:marTop w:val="0"/>
      <w:marBottom w:val="0"/>
      <w:divBdr>
        <w:top w:val="none" w:sz="0" w:space="0" w:color="auto"/>
        <w:left w:val="none" w:sz="0" w:space="0" w:color="auto"/>
        <w:bottom w:val="none" w:sz="0" w:space="0" w:color="auto"/>
        <w:right w:val="none" w:sz="0" w:space="0" w:color="auto"/>
      </w:divBdr>
    </w:div>
    <w:div w:id="2007005167">
      <w:bodyDiv w:val="1"/>
      <w:marLeft w:val="0"/>
      <w:marRight w:val="0"/>
      <w:marTop w:val="0"/>
      <w:marBottom w:val="0"/>
      <w:divBdr>
        <w:top w:val="none" w:sz="0" w:space="0" w:color="auto"/>
        <w:left w:val="none" w:sz="0" w:space="0" w:color="auto"/>
        <w:bottom w:val="none" w:sz="0" w:space="0" w:color="auto"/>
        <w:right w:val="none" w:sz="0" w:space="0" w:color="auto"/>
      </w:divBdr>
    </w:div>
    <w:div w:id="2007006064">
      <w:bodyDiv w:val="1"/>
      <w:marLeft w:val="0"/>
      <w:marRight w:val="0"/>
      <w:marTop w:val="0"/>
      <w:marBottom w:val="0"/>
      <w:divBdr>
        <w:top w:val="none" w:sz="0" w:space="0" w:color="auto"/>
        <w:left w:val="none" w:sz="0" w:space="0" w:color="auto"/>
        <w:bottom w:val="none" w:sz="0" w:space="0" w:color="auto"/>
        <w:right w:val="none" w:sz="0" w:space="0" w:color="auto"/>
      </w:divBdr>
    </w:div>
    <w:div w:id="2007056491">
      <w:bodyDiv w:val="1"/>
      <w:marLeft w:val="0"/>
      <w:marRight w:val="0"/>
      <w:marTop w:val="0"/>
      <w:marBottom w:val="0"/>
      <w:divBdr>
        <w:top w:val="none" w:sz="0" w:space="0" w:color="auto"/>
        <w:left w:val="none" w:sz="0" w:space="0" w:color="auto"/>
        <w:bottom w:val="none" w:sz="0" w:space="0" w:color="auto"/>
        <w:right w:val="none" w:sz="0" w:space="0" w:color="auto"/>
      </w:divBdr>
    </w:div>
    <w:div w:id="2007122386">
      <w:bodyDiv w:val="1"/>
      <w:marLeft w:val="0"/>
      <w:marRight w:val="0"/>
      <w:marTop w:val="0"/>
      <w:marBottom w:val="0"/>
      <w:divBdr>
        <w:top w:val="none" w:sz="0" w:space="0" w:color="auto"/>
        <w:left w:val="none" w:sz="0" w:space="0" w:color="auto"/>
        <w:bottom w:val="none" w:sz="0" w:space="0" w:color="auto"/>
        <w:right w:val="none" w:sz="0" w:space="0" w:color="auto"/>
      </w:divBdr>
    </w:div>
    <w:div w:id="2007127689">
      <w:bodyDiv w:val="1"/>
      <w:marLeft w:val="0"/>
      <w:marRight w:val="0"/>
      <w:marTop w:val="0"/>
      <w:marBottom w:val="0"/>
      <w:divBdr>
        <w:top w:val="none" w:sz="0" w:space="0" w:color="auto"/>
        <w:left w:val="none" w:sz="0" w:space="0" w:color="auto"/>
        <w:bottom w:val="none" w:sz="0" w:space="0" w:color="auto"/>
        <w:right w:val="none" w:sz="0" w:space="0" w:color="auto"/>
      </w:divBdr>
    </w:div>
    <w:div w:id="2007244263">
      <w:bodyDiv w:val="1"/>
      <w:marLeft w:val="0"/>
      <w:marRight w:val="0"/>
      <w:marTop w:val="0"/>
      <w:marBottom w:val="0"/>
      <w:divBdr>
        <w:top w:val="none" w:sz="0" w:space="0" w:color="auto"/>
        <w:left w:val="none" w:sz="0" w:space="0" w:color="auto"/>
        <w:bottom w:val="none" w:sz="0" w:space="0" w:color="auto"/>
        <w:right w:val="none" w:sz="0" w:space="0" w:color="auto"/>
      </w:divBdr>
    </w:div>
    <w:div w:id="2007315844">
      <w:bodyDiv w:val="1"/>
      <w:marLeft w:val="0"/>
      <w:marRight w:val="0"/>
      <w:marTop w:val="0"/>
      <w:marBottom w:val="0"/>
      <w:divBdr>
        <w:top w:val="none" w:sz="0" w:space="0" w:color="auto"/>
        <w:left w:val="none" w:sz="0" w:space="0" w:color="auto"/>
        <w:bottom w:val="none" w:sz="0" w:space="0" w:color="auto"/>
        <w:right w:val="none" w:sz="0" w:space="0" w:color="auto"/>
      </w:divBdr>
    </w:div>
    <w:div w:id="2007315849">
      <w:bodyDiv w:val="1"/>
      <w:marLeft w:val="0"/>
      <w:marRight w:val="0"/>
      <w:marTop w:val="0"/>
      <w:marBottom w:val="0"/>
      <w:divBdr>
        <w:top w:val="none" w:sz="0" w:space="0" w:color="auto"/>
        <w:left w:val="none" w:sz="0" w:space="0" w:color="auto"/>
        <w:bottom w:val="none" w:sz="0" w:space="0" w:color="auto"/>
        <w:right w:val="none" w:sz="0" w:space="0" w:color="auto"/>
      </w:divBdr>
    </w:div>
    <w:div w:id="2007324887">
      <w:bodyDiv w:val="1"/>
      <w:marLeft w:val="0"/>
      <w:marRight w:val="0"/>
      <w:marTop w:val="0"/>
      <w:marBottom w:val="0"/>
      <w:divBdr>
        <w:top w:val="none" w:sz="0" w:space="0" w:color="auto"/>
        <w:left w:val="none" w:sz="0" w:space="0" w:color="auto"/>
        <w:bottom w:val="none" w:sz="0" w:space="0" w:color="auto"/>
        <w:right w:val="none" w:sz="0" w:space="0" w:color="auto"/>
      </w:divBdr>
    </w:div>
    <w:div w:id="2007510142">
      <w:bodyDiv w:val="1"/>
      <w:marLeft w:val="0"/>
      <w:marRight w:val="0"/>
      <w:marTop w:val="0"/>
      <w:marBottom w:val="0"/>
      <w:divBdr>
        <w:top w:val="none" w:sz="0" w:space="0" w:color="auto"/>
        <w:left w:val="none" w:sz="0" w:space="0" w:color="auto"/>
        <w:bottom w:val="none" w:sz="0" w:space="0" w:color="auto"/>
        <w:right w:val="none" w:sz="0" w:space="0" w:color="auto"/>
      </w:divBdr>
    </w:div>
    <w:div w:id="2007516992">
      <w:bodyDiv w:val="1"/>
      <w:marLeft w:val="0"/>
      <w:marRight w:val="0"/>
      <w:marTop w:val="0"/>
      <w:marBottom w:val="0"/>
      <w:divBdr>
        <w:top w:val="none" w:sz="0" w:space="0" w:color="auto"/>
        <w:left w:val="none" w:sz="0" w:space="0" w:color="auto"/>
        <w:bottom w:val="none" w:sz="0" w:space="0" w:color="auto"/>
        <w:right w:val="none" w:sz="0" w:space="0" w:color="auto"/>
      </w:divBdr>
    </w:div>
    <w:div w:id="2007631782">
      <w:bodyDiv w:val="1"/>
      <w:marLeft w:val="0"/>
      <w:marRight w:val="0"/>
      <w:marTop w:val="0"/>
      <w:marBottom w:val="0"/>
      <w:divBdr>
        <w:top w:val="none" w:sz="0" w:space="0" w:color="auto"/>
        <w:left w:val="none" w:sz="0" w:space="0" w:color="auto"/>
        <w:bottom w:val="none" w:sz="0" w:space="0" w:color="auto"/>
        <w:right w:val="none" w:sz="0" w:space="0" w:color="auto"/>
      </w:divBdr>
    </w:div>
    <w:div w:id="2007782368">
      <w:bodyDiv w:val="1"/>
      <w:marLeft w:val="0"/>
      <w:marRight w:val="0"/>
      <w:marTop w:val="0"/>
      <w:marBottom w:val="0"/>
      <w:divBdr>
        <w:top w:val="none" w:sz="0" w:space="0" w:color="auto"/>
        <w:left w:val="none" w:sz="0" w:space="0" w:color="auto"/>
        <w:bottom w:val="none" w:sz="0" w:space="0" w:color="auto"/>
        <w:right w:val="none" w:sz="0" w:space="0" w:color="auto"/>
      </w:divBdr>
    </w:div>
    <w:div w:id="2007828796">
      <w:bodyDiv w:val="1"/>
      <w:marLeft w:val="0"/>
      <w:marRight w:val="0"/>
      <w:marTop w:val="0"/>
      <w:marBottom w:val="0"/>
      <w:divBdr>
        <w:top w:val="none" w:sz="0" w:space="0" w:color="auto"/>
        <w:left w:val="none" w:sz="0" w:space="0" w:color="auto"/>
        <w:bottom w:val="none" w:sz="0" w:space="0" w:color="auto"/>
        <w:right w:val="none" w:sz="0" w:space="0" w:color="auto"/>
      </w:divBdr>
    </w:div>
    <w:div w:id="2007829411">
      <w:bodyDiv w:val="1"/>
      <w:marLeft w:val="0"/>
      <w:marRight w:val="0"/>
      <w:marTop w:val="0"/>
      <w:marBottom w:val="0"/>
      <w:divBdr>
        <w:top w:val="none" w:sz="0" w:space="0" w:color="auto"/>
        <w:left w:val="none" w:sz="0" w:space="0" w:color="auto"/>
        <w:bottom w:val="none" w:sz="0" w:space="0" w:color="auto"/>
        <w:right w:val="none" w:sz="0" w:space="0" w:color="auto"/>
      </w:divBdr>
    </w:div>
    <w:div w:id="2007855454">
      <w:bodyDiv w:val="1"/>
      <w:marLeft w:val="0"/>
      <w:marRight w:val="0"/>
      <w:marTop w:val="0"/>
      <w:marBottom w:val="0"/>
      <w:divBdr>
        <w:top w:val="none" w:sz="0" w:space="0" w:color="auto"/>
        <w:left w:val="none" w:sz="0" w:space="0" w:color="auto"/>
        <w:bottom w:val="none" w:sz="0" w:space="0" w:color="auto"/>
        <w:right w:val="none" w:sz="0" w:space="0" w:color="auto"/>
      </w:divBdr>
    </w:div>
    <w:div w:id="2007973883">
      <w:bodyDiv w:val="1"/>
      <w:marLeft w:val="0"/>
      <w:marRight w:val="0"/>
      <w:marTop w:val="0"/>
      <w:marBottom w:val="0"/>
      <w:divBdr>
        <w:top w:val="none" w:sz="0" w:space="0" w:color="auto"/>
        <w:left w:val="none" w:sz="0" w:space="0" w:color="auto"/>
        <w:bottom w:val="none" w:sz="0" w:space="0" w:color="auto"/>
        <w:right w:val="none" w:sz="0" w:space="0" w:color="auto"/>
      </w:divBdr>
    </w:div>
    <w:div w:id="2007975380">
      <w:bodyDiv w:val="1"/>
      <w:marLeft w:val="0"/>
      <w:marRight w:val="0"/>
      <w:marTop w:val="0"/>
      <w:marBottom w:val="0"/>
      <w:divBdr>
        <w:top w:val="none" w:sz="0" w:space="0" w:color="auto"/>
        <w:left w:val="none" w:sz="0" w:space="0" w:color="auto"/>
        <w:bottom w:val="none" w:sz="0" w:space="0" w:color="auto"/>
        <w:right w:val="none" w:sz="0" w:space="0" w:color="auto"/>
      </w:divBdr>
    </w:div>
    <w:div w:id="2008093066">
      <w:bodyDiv w:val="1"/>
      <w:marLeft w:val="0"/>
      <w:marRight w:val="0"/>
      <w:marTop w:val="0"/>
      <w:marBottom w:val="0"/>
      <w:divBdr>
        <w:top w:val="none" w:sz="0" w:space="0" w:color="auto"/>
        <w:left w:val="none" w:sz="0" w:space="0" w:color="auto"/>
        <w:bottom w:val="none" w:sz="0" w:space="0" w:color="auto"/>
        <w:right w:val="none" w:sz="0" w:space="0" w:color="auto"/>
      </w:divBdr>
    </w:div>
    <w:div w:id="2008241556">
      <w:bodyDiv w:val="1"/>
      <w:marLeft w:val="0"/>
      <w:marRight w:val="0"/>
      <w:marTop w:val="0"/>
      <w:marBottom w:val="0"/>
      <w:divBdr>
        <w:top w:val="none" w:sz="0" w:space="0" w:color="auto"/>
        <w:left w:val="none" w:sz="0" w:space="0" w:color="auto"/>
        <w:bottom w:val="none" w:sz="0" w:space="0" w:color="auto"/>
        <w:right w:val="none" w:sz="0" w:space="0" w:color="auto"/>
      </w:divBdr>
    </w:div>
    <w:div w:id="2008242704">
      <w:bodyDiv w:val="1"/>
      <w:marLeft w:val="0"/>
      <w:marRight w:val="0"/>
      <w:marTop w:val="0"/>
      <w:marBottom w:val="0"/>
      <w:divBdr>
        <w:top w:val="none" w:sz="0" w:space="0" w:color="auto"/>
        <w:left w:val="none" w:sz="0" w:space="0" w:color="auto"/>
        <w:bottom w:val="none" w:sz="0" w:space="0" w:color="auto"/>
        <w:right w:val="none" w:sz="0" w:space="0" w:color="auto"/>
      </w:divBdr>
    </w:div>
    <w:div w:id="2008245946">
      <w:bodyDiv w:val="1"/>
      <w:marLeft w:val="0"/>
      <w:marRight w:val="0"/>
      <w:marTop w:val="0"/>
      <w:marBottom w:val="0"/>
      <w:divBdr>
        <w:top w:val="none" w:sz="0" w:space="0" w:color="auto"/>
        <w:left w:val="none" w:sz="0" w:space="0" w:color="auto"/>
        <w:bottom w:val="none" w:sz="0" w:space="0" w:color="auto"/>
        <w:right w:val="none" w:sz="0" w:space="0" w:color="auto"/>
      </w:divBdr>
    </w:div>
    <w:div w:id="2008248604">
      <w:bodyDiv w:val="1"/>
      <w:marLeft w:val="0"/>
      <w:marRight w:val="0"/>
      <w:marTop w:val="0"/>
      <w:marBottom w:val="0"/>
      <w:divBdr>
        <w:top w:val="none" w:sz="0" w:space="0" w:color="auto"/>
        <w:left w:val="none" w:sz="0" w:space="0" w:color="auto"/>
        <w:bottom w:val="none" w:sz="0" w:space="0" w:color="auto"/>
        <w:right w:val="none" w:sz="0" w:space="0" w:color="auto"/>
      </w:divBdr>
    </w:div>
    <w:div w:id="2008287980">
      <w:bodyDiv w:val="1"/>
      <w:marLeft w:val="0"/>
      <w:marRight w:val="0"/>
      <w:marTop w:val="0"/>
      <w:marBottom w:val="0"/>
      <w:divBdr>
        <w:top w:val="none" w:sz="0" w:space="0" w:color="auto"/>
        <w:left w:val="none" w:sz="0" w:space="0" w:color="auto"/>
        <w:bottom w:val="none" w:sz="0" w:space="0" w:color="auto"/>
        <w:right w:val="none" w:sz="0" w:space="0" w:color="auto"/>
      </w:divBdr>
    </w:div>
    <w:div w:id="2008435166">
      <w:bodyDiv w:val="1"/>
      <w:marLeft w:val="0"/>
      <w:marRight w:val="0"/>
      <w:marTop w:val="0"/>
      <w:marBottom w:val="0"/>
      <w:divBdr>
        <w:top w:val="none" w:sz="0" w:space="0" w:color="auto"/>
        <w:left w:val="none" w:sz="0" w:space="0" w:color="auto"/>
        <w:bottom w:val="none" w:sz="0" w:space="0" w:color="auto"/>
        <w:right w:val="none" w:sz="0" w:space="0" w:color="auto"/>
      </w:divBdr>
    </w:div>
    <w:div w:id="2008483391">
      <w:bodyDiv w:val="1"/>
      <w:marLeft w:val="0"/>
      <w:marRight w:val="0"/>
      <w:marTop w:val="0"/>
      <w:marBottom w:val="0"/>
      <w:divBdr>
        <w:top w:val="none" w:sz="0" w:space="0" w:color="auto"/>
        <w:left w:val="none" w:sz="0" w:space="0" w:color="auto"/>
        <w:bottom w:val="none" w:sz="0" w:space="0" w:color="auto"/>
        <w:right w:val="none" w:sz="0" w:space="0" w:color="auto"/>
      </w:divBdr>
    </w:div>
    <w:div w:id="2008508855">
      <w:bodyDiv w:val="1"/>
      <w:marLeft w:val="0"/>
      <w:marRight w:val="0"/>
      <w:marTop w:val="0"/>
      <w:marBottom w:val="0"/>
      <w:divBdr>
        <w:top w:val="none" w:sz="0" w:space="0" w:color="auto"/>
        <w:left w:val="none" w:sz="0" w:space="0" w:color="auto"/>
        <w:bottom w:val="none" w:sz="0" w:space="0" w:color="auto"/>
        <w:right w:val="none" w:sz="0" w:space="0" w:color="auto"/>
      </w:divBdr>
    </w:div>
    <w:div w:id="2008556095">
      <w:bodyDiv w:val="1"/>
      <w:marLeft w:val="0"/>
      <w:marRight w:val="0"/>
      <w:marTop w:val="0"/>
      <w:marBottom w:val="0"/>
      <w:divBdr>
        <w:top w:val="none" w:sz="0" w:space="0" w:color="auto"/>
        <w:left w:val="none" w:sz="0" w:space="0" w:color="auto"/>
        <w:bottom w:val="none" w:sz="0" w:space="0" w:color="auto"/>
        <w:right w:val="none" w:sz="0" w:space="0" w:color="auto"/>
      </w:divBdr>
    </w:div>
    <w:div w:id="2008634018">
      <w:bodyDiv w:val="1"/>
      <w:marLeft w:val="0"/>
      <w:marRight w:val="0"/>
      <w:marTop w:val="0"/>
      <w:marBottom w:val="0"/>
      <w:divBdr>
        <w:top w:val="none" w:sz="0" w:space="0" w:color="auto"/>
        <w:left w:val="none" w:sz="0" w:space="0" w:color="auto"/>
        <w:bottom w:val="none" w:sz="0" w:space="0" w:color="auto"/>
        <w:right w:val="none" w:sz="0" w:space="0" w:color="auto"/>
      </w:divBdr>
    </w:div>
    <w:div w:id="2009093509">
      <w:bodyDiv w:val="1"/>
      <w:marLeft w:val="0"/>
      <w:marRight w:val="0"/>
      <w:marTop w:val="0"/>
      <w:marBottom w:val="0"/>
      <w:divBdr>
        <w:top w:val="none" w:sz="0" w:space="0" w:color="auto"/>
        <w:left w:val="none" w:sz="0" w:space="0" w:color="auto"/>
        <w:bottom w:val="none" w:sz="0" w:space="0" w:color="auto"/>
        <w:right w:val="none" w:sz="0" w:space="0" w:color="auto"/>
      </w:divBdr>
    </w:div>
    <w:div w:id="2009166122">
      <w:bodyDiv w:val="1"/>
      <w:marLeft w:val="0"/>
      <w:marRight w:val="0"/>
      <w:marTop w:val="0"/>
      <w:marBottom w:val="0"/>
      <w:divBdr>
        <w:top w:val="none" w:sz="0" w:space="0" w:color="auto"/>
        <w:left w:val="none" w:sz="0" w:space="0" w:color="auto"/>
        <w:bottom w:val="none" w:sz="0" w:space="0" w:color="auto"/>
        <w:right w:val="none" w:sz="0" w:space="0" w:color="auto"/>
      </w:divBdr>
    </w:div>
    <w:div w:id="2009212720">
      <w:bodyDiv w:val="1"/>
      <w:marLeft w:val="0"/>
      <w:marRight w:val="0"/>
      <w:marTop w:val="0"/>
      <w:marBottom w:val="0"/>
      <w:divBdr>
        <w:top w:val="none" w:sz="0" w:space="0" w:color="auto"/>
        <w:left w:val="none" w:sz="0" w:space="0" w:color="auto"/>
        <w:bottom w:val="none" w:sz="0" w:space="0" w:color="auto"/>
        <w:right w:val="none" w:sz="0" w:space="0" w:color="auto"/>
      </w:divBdr>
    </w:div>
    <w:div w:id="2009290818">
      <w:bodyDiv w:val="1"/>
      <w:marLeft w:val="0"/>
      <w:marRight w:val="0"/>
      <w:marTop w:val="0"/>
      <w:marBottom w:val="0"/>
      <w:divBdr>
        <w:top w:val="none" w:sz="0" w:space="0" w:color="auto"/>
        <w:left w:val="none" w:sz="0" w:space="0" w:color="auto"/>
        <w:bottom w:val="none" w:sz="0" w:space="0" w:color="auto"/>
        <w:right w:val="none" w:sz="0" w:space="0" w:color="auto"/>
      </w:divBdr>
    </w:div>
    <w:div w:id="2009402575">
      <w:bodyDiv w:val="1"/>
      <w:marLeft w:val="0"/>
      <w:marRight w:val="0"/>
      <w:marTop w:val="0"/>
      <w:marBottom w:val="0"/>
      <w:divBdr>
        <w:top w:val="none" w:sz="0" w:space="0" w:color="auto"/>
        <w:left w:val="none" w:sz="0" w:space="0" w:color="auto"/>
        <w:bottom w:val="none" w:sz="0" w:space="0" w:color="auto"/>
        <w:right w:val="none" w:sz="0" w:space="0" w:color="auto"/>
      </w:divBdr>
    </w:div>
    <w:div w:id="2009481925">
      <w:bodyDiv w:val="1"/>
      <w:marLeft w:val="0"/>
      <w:marRight w:val="0"/>
      <w:marTop w:val="0"/>
      <w:marBottom w:val="0"/>
      <w:divBdr>
        <w:top w:val="none" w:sz="0" w:space="0" w:color="auto"/>
        <w:left w:val="none" w:sz="0" w:space="0" w:color="auto"/>
        <w:bottom w:val="none" w:sz="0" w:space="0" w:color="auto"/>
        <w:right w:val="none" w:sz="0" w:space="0" w:color="auto"/>
      </w:divBdr>
    </w:div>
    <w:div w:id="2009556371">
      <w:bodyDiv w:val="1"/>
      <w:marLeft w:val="0"/>
      <w:marRight w:val="0"/>
      <w:marTop w:val="0"/>
      <w:marBottom w:val="0"/>
      <w:divBdr>
        <w:top w:val="none" w:sz="0" w:space="0" w:color="auto"/>
        <w:left w:val="none" w:sz="0" w:space="0" w:color="auto"/>
        <w:bottom w:val="none" w:sz="0" w:space="0" w:color="auto"/>
        <w:right w:val="none" w:sz="0" w:space="0" w:color="auto"/>
      </w:divBdr>
    </w:div>
    <w:div w:id="2009600874">
      <w:bodyDiv w:val="1"/>
      <w:marLeft w:val="0"/>
      <w:marRight w:val="0"/>
      <w:marTop w:val="0"/>
      <w:marBottom w:val="0"/>
      <w:divBdr>
        <w:top w:val="none" w:sz="0" w:space="0" w:color="auto"/>
        <w:left w:val="none" w:sz="0" w:space="0" w:color="auto"/>
        <w:bottom w:val="none" w:sz="0" w:space="0" w:color="auto"/>
        <w:right w:val="none" w:sz="0" w:space="0" w:color="auto"/>
      </w:divBdr>
    </w:div>
    <w:div w:id="2009667989">
      <w:bodyDiv w:val="1"/>
      <w:marLeft w:val="0"/>
      <w:marRight w:val="0"/>
      <w:marTop w:val="0"/>
      <w:marBottom w:val="0"/>
      <w:divBdr>
        <w:top w:val="none" w:sz="0" w:space="0" w:color="auto"/>
        <w:left w:val="none" w:sz="0" w:space="0" w:color="auto"/>
        <w:bottom w:val="none" w:sz="0" w:space="0" w:color="auto"/>
        <w:right w:val="none" w:sz="0" w:space="0" w:color="auto"/>
      </w:divBdr>
    </w:div>
    <w:div w:id="2009676041">
      <w:bodyDiv w:val="1"/>
      <w:marLeft w:val="0"/>
      <w:marRight w:val="0"/>
      <w:marTop w:val="0"/>
      <w:marBottom w:val="0"/>
      <w:divBdr>
        <w:top w:val="none" w:sz="0" w:space="0" w:color="auto"/>
        <w:left w:val="none" w:sz="0" w:space="0" w:color="auto"/>
        <w:bottom w:val="none" w:sz="0" w:space="0" w:color="auto"/>
        <w:right w:val="none" w:sz="0" w:space="0" w:color="auto"/>
      </w:divBdr>
    </w:div>
    <w:div w:id="2009747448">
      <w:bodyDiv w:val="1"/>
      <w:marLeft w:val="0"/>
      <w:marRight w:val="0"/>
      <w:marTop w:val="0"/>
      <w:marBottom w:val="0"/>
      <w:divBdr>
        <w:top w:val="none" w:sz="0" w:space="0" w:color="auto"/>
        <w:left w:val="none" w:sz="0" w:space="0" w:color="auto"/>
        <w:bottom w:val="none" w:sz="0" w:space="0" w:color="auto"/>
        <w:right w:val="none" w:sz="0" w:space="0" w:color="auto"/>
      </w:divBdr>
    </w:div>
    <w:div w:id="2009750595">
      <w:bodyDiv w:val="1"/>
      <w:marLeft w:val="0"/>
      <w:marRight w:val="0"/>
      <w:marTop w:val="0"/>
      <w:marBottom w:val="0"/>
      <w:divBdr>
        <w:top w:val="none" w:sz="0" w:space="0" w:color="auto"/>
        <w:left w:val="none" w:sz="0" w:space="0" w:color="auto"/>
        <w:bottom w:val="none" w:sz="0" w:space="0" w:color="auto"/>
        <w:right w:val="none" w:sz="0" w:space="0" w:color="auto"/>
      </w:divBdr>
    </w:div>
    <w:div w:id="2009822775">
      <w:bodyDiv w:val="1"/>
      <w:marLeft w:val="0"/>
      <w:marRight w:val="0"/>
      <w:marTop w:val="0"/>
      <w:marBottom w:val="0"/>
      <w:divBdr>
        <w:top w:val="none" w:sz="0" w:space="0" w:color="auto"/>
        <w:left w:val="none" w:sz="0" w:space="0" w:color="auto"/>
        <w:bottom w:val="none" w:sz="0" w:space="0" w:color="auto"/>
        <w:right w:val="none" w:sz="0" w:space="0" w:color="auto"/>
      </w:divBdr>
    </w:div>
    <w:div w:id="2009867091">
      <w:bodyDiv w:val="1"/>
      <w:marLeft w:val="0"/>
      <w:marRight w:val="0"/>
      <w:marTop w:val="0"/>
      <w:marBottom w:val="0"/>
      <w:divBdr>
        <w:top w:val="none" w:sz="0" w:space="0" w:color="auto"/>
        <w:left w:val="none" w:sz="0" w:space="0" w:color="auto"/>
        <w:bottom w:val="none" w:sz="0" w:space="0" w:color="auto"/>
        <w:right w:val="none" w:sz="0" w:space="0" w:color="auto"/>
      </w:divBdr>
    </w:div>
    <w:div w:id="2009940154">
      <w:bodyDiv w:val="1"/>
      <w:marLeft w:val="0"/>
      <w:marRight w:val="0"/>
      <w:marTop w:val="0"/>
      <w:marBottom w:val="0"/>
      <w:divBdr>
        <w:top w:val="none" w:sz="0" w:space="0" w:color="auto"/>
        <w:left w:val="none" w:sz="0" w:space="0" w:color="auto"/>
        <w:bottom w:val="none" w:sz="0" w:space="0" w:color="auto"/>
        <w:right w:val="none" w:sz="0" w:space="0" w:color="auto"/>
      </w:divBdr>
    </w:div>
    <w:div w:id="2010133307">
      <w:bodyDiv w:val="1"/>
      <w:marLeft w:val="0"/>
      <w:marRight w:val="0"/>
      <w:marTop w:val="0"/>
      <w:marBottom w:val="0"/>
      <w:divBdr>
        <w:top w:val="none" w:sz="0" w:space="0" w:color="auto"/>
        <w:left w:val="none" w:sz="0" w:space="0" w:color="auto"/>
        <w:bottom w:val="none" w:sz="0" w:space="0" w:color="auto"/>
        <w:right w:val="none" w:sz="0" w:space="0" w:color="auto"/>
      </w:divBdr>
    </w:div>
    <w:div w:id="2010212082">
      <w:bodyDiv w:val="1"/>
      <w:marLeft w:val="0"/>
      <w:marRight w:val="0"/>
      <w:marTop w:val="0"/>
      <w:marBottom w:val="0"/>
      <w:divBdr>
        <w:top w:val="none" w:sz="0" w:space="0" w:color="auto"/>
        <w:left w:val="none" w:sz="0" w:space="0" w:color="auto"/>
        <w:bottom w:val="none" w:sz="0" w:space="0" w:color="auto"/>
        <w:right w:val="none" w:sz="0" w:space="0" w:color="auto"/>
      </w:divBdr>
    </w:div>
    <w:div w:id="2010251337">
      <w:bodyDiv w:val="1"/>
      <w:marLeft w:val="0"/>
      <w:marRight w:val="0"/>
      <w:marTop w:val="0"/>
      <w:marBottom w:val="0"/>
      <w:divBdr>
        <w:top w:val="none" w:sz="0" w:space="0" w:color="auto"/>
        <w:left w:val="none" w:sz="0" w:space="0" w:color="auto"/>
        <w:bottom w:val="none" w:sz="0" w:space="0" w:color="auto"/>
        <w:right w:val="none" w:sz="0" w:space="0" w:color="auto"/>
      </w:divBdr>
    </w:div>
    <w:div w:id="2010449414">
      <w:bodyDiv w:val="1"/>
      <w:marLeft w:val="0"/>
      <w:marRight w:val="0"/>
      <w:marTop w:val="0"/>
      <w:marBottom w:val="0"/>
      <w:divBdr>
        <w:top w:val="none" w:sz="0" w:space="0" w:color="auto"/>
        <w:left w:val="none" w:sz="0" w:space="0" w:color="auto"/>
        <w:bottom w:val="none" w:sz="0" w:space="0" w:color="auto"/>
        <w:right w:val="none" w:sz="0" w:space="0" w:color="auto"/>
      </w:divBdr>
    </w:div>
    <w:div w:id="2010450168">
      <w:bodyDiv w:val="1"/>
      <w:marLeft w:val="0"/>
      <w:marRight w:val="0"/>
      <w:marTop w:val="0"/>
      <w:marBottom w:val="0"/>
      <w:divBdr>
        <w:top w:val="none" w:sz="0" w:space="0" w:color="auto"/>
        <w:left w:val="none" w:sz="0" w:space="0" w:color="auto"/>
        <w:bottom w:val="none" w:sz="0" w:space="0" w:color="auto"/>
        <w:right w:val="none" w:sz="0" w:space="0" w:color="auto"/>
      </w:divBdr>
    </w:div>
    <w:div w:id="2010519167">
      <w:bodyDiv w:val="1"/>
      <w:marLeft w:val="0"/>
      <w:marRight w:val="0"/>
      <w:marTop w:val="0"/>
      <w:marBottom w:val="0"/>
      <w:divBdr>
        <w:top w:val="none" w:sz="0" w:space="0" w:color="auto"/>
        <w:left w:val="none" w:sz="0" w:space="0" w:color="auto"/>
        <w:bottom w:val="none" w:sz="0" w:space="0" w:color="auto"/>
        <w:right w:val="none" w:sz="0" w:space="0" w:color="auto"/>
      </w:divBdr>
    </w:div>
    <w:div w:id="2010520448">
      <w:bodyDiv w:val="1"/>
      <w:marLeft w:val="0"/>
      <w:marRight w:val="0"/>
      <w:marTop w:val="0"/>
      <w:marBottom w:val="0"/>
      <w:divBdr>
        <w:top w:val="none" w:sz="0" w:space="0" w:color="auto"/>
        <w:left w:val="none" w:sz="0" w:space="0" w:color="auto"/>
        <w:bottom w:val="none" w:sz="0" w:space="0" w:color="auto"/>
        <w:right w:val="none" w:sz="0" w:space="0" w:color="auto"/>
      </w:divBdr>
    </w:div>
    <w:div w:id="2010598787">
      <w:bodyDiv w:val="1"/>
      <w:marLeft w:val="0"/>
      <w:marRight w:val="0"/>
      <w:marTop w:val="0"/>
      <w:marBottom w:val="0"/>
      <w:divBdr>
        <w:top w:val="none" w:sz="0" w:space="0" w:color="auto"/>
        <w:left w:val="none" w:sz="0" w:space="0" w:color="auto"/>
        <w:bottom w:val="none" w:sz="0" w:space="0" w:color="auto"/>
        <w:right w:val="none" w:sz="0" w:space="0" w:color="auto"/>
      </w:divBdr>
    </w:div>
    <w:div w:id="2010669431">
      <w:bodyDiv w:val="1"/>
      <w:marLeft w:val="0"/>
      <w:marRight w:val="0"/>
      <w:marTop w:val="0"/>
      <w:marBottom w:val="0"/>
      <w:divBdr>
        <w:top w:val="none" w:sz="0" w:space="0" w:color="auto"/>
        <w:left w:val="none" w:sz="0" w:space="0" w:color="auto"/>
        <w:bottom w:val="none" w:sz="0" w:space="0" w:color="auto"/>
        <w:right w:val="none" w:sz="0" w:space="0" w:color="auto"/>
      </w:divBdr>
    </w:div>
    <w:div w:id="2010711607">
      <w:bodyDiv w:val="1"/>
      <w:marLeft w:val="0"/>
      <w:marRight w:val="0"/>
      <w:marTop w:val="0"/>
      <w:marBottom w:val="0"/>
      <w:divBdr>
        <w:top w:val="none" w:sz="0" w:space="0" w:color="auto"/>
        <w:left w:val="none" w:sz="0" w:space="0" w:color="auto"/>
        <w:bottom w:val="none" w:sz="0" w:space="0" w:color="auto"/>
        <w:right w:val="none" w:sz="0" w:space="0" w:color="auto"/>
      </w:divBdr>
    </w:div>
    <w:div w:id="2010983059">
      <w:bodyDiv w:val="1"/>
      <w:marLeft w:val="0"/>
      <w:marRight w:val="0"/>
      <w:marTop w:val="0"/>
      <w:marBottom w:val="0"/>
      <w:divBdr>
        <w:top w:val="none" w:sz="0" w:space="0" w:color="auto"/>
        <w:left w:val="none" w:sz="0" w:space="0" w:color="auto"/>
        <w:bottom w:val="none" w:sz="0" w:space="0" w:color="auto"/>
        <w:right w:val="none" w:sz="0" w:space="0" w:color="auto"/>
      </w:divBdr>
    </w:div>
    <w:div w:id="2010986747">
      <w:bodyDiv w:val="1"/>
      <w:marLeft w:val="0"/>
      <w:marRight w:val="0"/>
      <w:marTop w:val="0"/>
      <w:marBottom w:val="0"/>
      <w:divBdr>
        <w:top w:val="none" w:sz="0" w:space="0" w:color="auto"/>
        <w:left w:val="none" w:sz="0" w:space="0" w:color="auto"/>
        <w:bottom w:val="none" w:sz="0" w:space="0" w:color="auto"/>
        <w:right w:val="none" w:sz="0" w:space="0" w:color="auto"/>
      </w:divBdr>
    </w:div>
    <w:div w:id="2010988176">
      <w:bodyDiv w:val="1"/>
      <w:marLeft w:val="0"/>
      <w:marRight w:val="0"/>
      <w:marTop w:val="0"/>
      <w:marBottom w:val="0"/>
      <w:divBdr>
        <w:top w:val="none" w:sz="0" w:space="0" w:color="auto"/>
        <w:left w:val="none" w:sz="0" w:space="0" w:color="auto"/>
        <w:bottom w:val="none" w:sz="0" w:space="0" w:color="auto"/>
        <w:right w:val="none" w:sz="0" w:space="0" w:color="auto"/>
      </w:divBdr>
    </w:div>
    <w:div w:id="2011063423">
      <w:bodyDiv w:val="1"/>
      <w:marLeft w:val="0"/>
      <w:marRight w:val="0"/>
      <w:marTop w:val="0"/>
      <w:marBottom w:val="0"/>
      <w:divBdr>
        <w:top w:val="none" w:sz="0" w:space="0" w:color="auto"/>
        <w:left w:val="none" w:sz="0" w:space="0" w:color="auto"/>
        <w:bottom w:val="none" w:sz="0" w:space="0" w:color="auto"/>
        <w:right w:val="none" w:sz="0" w:space="0" w:color="auto"/>
      </w:divBdr>
    </w:div>
    <w:div w:id="2011104168">
      <w:bodyDiv w:val="1"/>
      <w:marLeft w:val="0"/>
      <w:marRight w:val="0"/>
      <w:marTop w:val="0"/>
      <w:marBottom w:val="0"/>
      <w:divBdr>
        <w:top w:val="none" w:sz="0" w:space="0" w:color="auto"/>
        <w:left w:val="none" w:sz="0" w:space="0" w:color="auto"/>
        <w:bottom w:val="none" w:sz="0" w:space="0" w:color="auto"/>
        <w:right w:val="none" w:sz="0" w:space="0" w:color="auto"/>
      </w:divBdr>
    </w:div>
    <w:div w:id="2011178518">
      <w:bodyDiv w:val="1"/>
      <w:marLeft w:val="0"/>
      <w:marRight w:val="0"/>
      <w:marTop w:val="0"/>
      <w:marBottom w:val="0"/>
      <w:divBdr>
        <w:top w:val="none" w:sz="0" w:space="0" w:color="auto"/>
        <w:left w:val="none" w:sz="0" w:space="0" w:color="auto"/>
        <w:bottom w:val="none" w:sz="0" w:space="0" w:color="auto"/>
        <w:right w:val="none" w:sz="0" w:space="0" w:color="auto"/>
      </w:divBdr>
    </w:div>
    <w:div w:id="2011326844">
      <w:bodyDiv w:val="1"/>
      <w:marLeft w:val="0"/>
      <w:marRight w:val="0"/>
      <w:marTop w:val="0"/>
      <w:marBottom w:val="0"/>
      <w:divBdr>
        <w:top w:val="none" w:sz="0" w:space="0" w:color="auto"/>
        <w:left w:val="none" w:sz="0" w:space="0" w:color="auto"/>
        <w:bottom w:val="none" w:sz="0" w:space="0" w:color="auto"/>
        <w:right w:val="none" w:sz="0" w:space="0" w:color="auto"/>
      </w:divBdr>
    </w:div>
    <w:div w:id="2011366286">
      <w:bodyDiv w:val="1"/>
      <w:marLeft w:val="0"/>
      <w:marRight w:val="0"/>
      <w:marTop w:val="0"/>
      <w:marBottom w:val="0"/>
      <w:divBdr>
        <w:top w:val="none" w:sz="0" w:space="0" w:color="auto"/>
        <w:left w:val="none" w:sz="0" w:space="0" w:color="auto"/>
        <w:bottom w:val="none" w:sz="0" w:space="0" w:color="auto"/>
        <w:right w:val="none" w:sz="0" w:space="0" w:color="auto"/>
      </w:divBdr>
    </w:div>
    <w:div w:id="2011370098">
      <w:bodyDiv w:val="1"/>
      <w:marLeft w:val="0"/>
      <w:marRight w:val="0"/>
      <w:marTop w:val="0"/>
      <w:marBottom w:val="0"/>
      <w:divBdr>
        <w:top w:val="none" w:sz="0" w:space="0" w:color="auto"/>
        <w:left w:val="none" w:sz="0" w:space="0" w:color="auto"/>
        <w:bottom w:val="none" w:sz="0" w:space="0" w:color="auto"/>
        <w:right w:val="none" w:sz="0" w:space="0" w:color="auto"/>
      </w:divBdr>
    </w:div>
    <w:div w:id="2011374430">
      <w:bodyDiv w:val="1"/>
      <w:marLeft w:val="0"/>
      <w:marRight w:val="0"/>
      <w:marTop w:val="0"/>
      <w:marBottom w:val="0"/>
      <w:divBdr>
        <w:top w:val="none" w:sz="0" w:space="0" w:color="auto"/>
        <w:left w:val="none" w:sz="0" w:space="0" w:color="auto"/>
        <w:bottom w:val="none" w:sz="0" w:space="0" w:color="auto"/>
        <w:right w:val="none" w:sz="0" w:space="0" w:color="auto"/>
      </w:divBdr>
    </w:div>
    <w:div w:id="2011445433">
      <w:bodyDiv w:val="1"/>
      <w:marLeft w:val="0"/>
      <w:marRight w:val="0"/>
      <w:marTop w:val="0"/>
      <w:marBottom w:val="0"/>
      <w:divBdr>
        <w:top w:val="none" w:sz="0" w:space="0" w:color="auto"/>
        <w:left w:val="none" w:sz="0" w:space="0" w:color="auto"/>
        <w:bottom w:val="none" w:sz="0" w:space="0" w:color="auto"/>
        <w:right w:val="none" w:sz="0" w:space="0" w:color="auto"/>
      </w:divBdr>
    </w:div>
    <w:div w:id="2011522293">
      <w:bodyDiv w:val="1"/>
      <w:marLeft w:val="0"/>
      <w:marRight w:val="0"/>
      <w:marTop w:val="0"/>
      <w:marBottom w:val="0"/>
      <w:divBdr>
        <w:top w:val="none" w:sz="0" w:space="0" w:color="auto"/>
        <w:left w:val="none" w:sz="0" w:space="0" w:color="auto"/>
        <w:bottom w:val="none" w:sz="0" w:space="0" w:color="auto"/>
        <w:right w:val="none" w:sz="0" w:space="0" w:color="auto"/>
      </w:divBdr>
    </w:div>
    <w:div w:id="2011564645">
      <w:bodyDiv w:val="1"/>
      <w:marLeft w:val="0"/>
      <w:marRight w:val="0"/>
      <w:marTop w:val="0"/>
      <w:marBottom w:val="0"/>
      <w:divBdr>
        <w:top w:val="none" w:sz="0" w:space="0" w:color="auto"/>
        <w:left w:val="none" w:sz="0" w:space="0" w:color="auto"/>
        <w:bottom w:val="none" w:sz="0" w:space="0" w:color="auto"/>
        <w:right w:val="none" w:sz="0" w:space="0" w:color="auto"/>
      </w:divBdr>
    </w:div>
    <w:div w:id="2011567571">
      <w:bodyDiv w:val="1"/>
      <w:marLeft w:val="0"/>
      <w:marRight w:val="0"/>
      <w:marTop w:val="0"/>
      <w:marBottom w:val="0"/>
      <w:divBdr>
        <w:top w:val="none" w:sz="0" w:space="0" w:color="auto"/>
        <w:left w:val="none" w:sz="0" w:space="0" w:color="auto"/>
        <w:bottom w:val="none" w:sz="0" w:space="0" w:color="auto"/>
        <w:right w:val="none" w:sz="0" w:space="0" w:color="auto"/>
      </w:divBdr>
    </w:div>
    <w:div w:id="2011637548">
      <w:bodyDiv w:val="1"/>
      <w:marLeft w:val="0"/>
      <w:marRight w:val="0"/>
      <w:marTop w:val="0"/>
      <w:marBottom w:val="0"/>
      <w:divBdr>
        <w:top w:val="none" w:sz="0" w:space="0" w:color="auto"/>
        <w:left w:val="none" w:sz="0" w:space="0" w:color="auto"/>
        <w:bottom w:val="none" w:sz="0" w:space="0" w:color="auto"/>
        <w:right w:val="none" w:sz="0" w:space="0" w:color="auto"/>
      </w:divBdr>
    </w:div>
    <w:div w:id="2011641786">
      <w:bodyDiv w:val="1"/>
      <w:marLeft w:val="0"/>
      <w:marRight w:val="0"/>
      <w:marTop w:val="0"/>
      <w:marBottom w:val="0"/>
      <w:divBdr>
        <w:top w:val="none" w:sz="0" w:space="0" w:color="auto"/>
        <w:left w:val="none" w:sz="0" w:space="0" w:color="auto"/>
        <w:bottom w:val="none" w:sz="0" w:space="0" w:color="auto"/>
        <w:right w:val="none" w:sz="0" w:space="0" w:color="auto"/>
      </w:divBdr>
    </w:div>
    <w:div w:id="2011709104">
      <w:bodyDiv w:val="1"/>
      <w:marLeft w:val="0"/>
      <w:marRight w:val="0"/>
      <w:marTop w:val="0"/>
      <w:marBottom w:val="0"/>
      <w:divBdr>
        <w:top w:val="none" w:sz="0" w:space="0" w:color="auto"/>
        <w:left w:val="none" w:sz="0" w:space="0" w:color="auto"/>
        <w:bottom w:val="none" w:sz="0" w:space="0" w:color="auto"/>
        <w:right w:val="none" w:sz="0" w:space="0" w:color="auto"/>
      </w:divBdr>
    </w:div>
    <w:div w:id="2011785157">
      <w:bodyDiv w:val="1"/>
      <w:marLeft w:val="0"/>
      <w:marRight w:val="0"/>
      <w:marTop w:val="0"/>
      <w:marBottom w:val="0"/>
      <w:divBdr>
        <w:top w:val="none" w:sz="0" w:space="0" w:color="auto"/>
        <w:left w:val="none" w:sz="0" w:space="0" w:color="auto"/>
        <w:bottom w:val="none" w:sz="0" w:space="0" w:color="auto"/>
        <w:right w:val="none" w:sz="0" w:space="0" w:color="auto"/>
      </w:divBdr>
    </w:div>
    <w:div w:id="2011987179">
      <w:bodyDiv w:val="1"/>
      <w:marLeft w:val="0"/>
      <w:marRight w:val="0"/>
      <w:marTop w:val="0"/>
      <w:marBottom w:val="0"/>
      <w:divBdr>
        <w:top w:val="none" w:sz="0" w:space="0" w:color="auto"/>
        <w:left w:val="none" w:sz="0" w:space="0" w:color="auto"/>
        <w:bottom w:val="none" w:sz="0" w:space="0" w:color="auto"/>
        <w:right w:val="none" w:sz="0" w:space="0" w:color="auto"/>
      </w:divBdr>
      <w:divsChild>
        <w:div w:id="4678071">
          <w:marLeft w:val="0"/>
          <w:marRight w:val="0"/>
          <w:marTop w:val="0"/>
          <w:marBottom w:val="0"/>
          <w:divBdr>
            <w:top w:val="none" w:sz="0" w:space="0" w:color="auto"/>
            <w:left w:val="none" w:sz="0" w:space="0" w:color="auto"/>
            <w:bottom w:val="none" w:sz="0" w:space="0" w:color="auto"/>
            <w:right w:val="none" w:sz="0" w:space="0" w:color="auto"/>
          </w:divBdr>
        </w:div>
        <w:div w:id="15932400">
          <w:marLeft w:val="0"/>
          <w:marRight w:val="0"/>
          <w:marTop w:val="0"/>
          <w:marBottom w:val="0"/>
          <w:divBdr>
            <w:top w:val="none" w:sz="0" w:space="0" w:color="auto"/>
            <w:left w:val="none" w:sz="0" w:space="0" w:color="auto"/>
            <w:bottom w:val="none" w:sz="0" w:space="0" w:color="auto"/>
            <w:right w:val="none" w:sz="0" w:space="0" w:color="auto"/>
          </w:divBdr>
        </w:div>
        <w:div w:id="20055207">
          <w:marLeft w:val="0"/>
          <w:marRight w:val="0"/>
          <w:marTop w:val="0"/>
          <w:marBottom w:val="0"/>
          <w:divBdr>
            <w:top w:val="none" w:sz="0" w:space="0" w:color="auto"/>
            <w:left w:val="none" w:sz="0" w:space="0" w:color="auto"/>
            <w:bottom w:val="none" w:sz="0" w:space="0" w:color="auto"/>
            <w:right w:val="none" w:sz="0" w:space="0" w:color="auto"/>
          </w:divBdr>
        </w:div>
        <w:div w:id="26024623">
          <w:marLeft w:val="0"/>
          <w:marRight w:val="0"/>
          <w:marTop w:val="0"/>
          <w:marBottom w:val="0"/>
          <w:divBdr>
            <w:top w:val="none" w:sz="0" w:space="0" w:color="auto"/>
            <w:left w:val="none" w:sz="0" w:space="0" w:color="auto"/>
            <w:bottom w:val="none" w:sz="0" w:space="0" w:color="auto"/>
            <w:right w:val="none" w:sz="0" w:space="0" w:color="auto"/>
          </w:divBdr>
        </w:div>
        <w:div w:id="30688686">
          <w:marLeft w:val="0"/>
          <w:marRight w:val="0"/>
          <w:marTop w:val="0"/>
          <w:marBottom w:val="0"/>
          <w:divBdr>
            <w:top w:val="none" w:sz="0" w:space="0" w:color="auto"/>
            <w:left w:val="none" w:sz="0" w:space="0" w:color="auto"/>
            <w:bottom w:val="none" w:sz="0" w:space="0" w:color="auto"/>
            <w:right w:val="none" w:sz="0" w:space="0" w:color="auto"/>
          </w:divBdr>
        </w:div>
        <w:div w:id="39672605">
          <w:marLeft w:val="0"/>
          <w:marRight w:val="0"/>
          <w:marTop w:val="0"/>
          <w:marBottom w:val="0"/>
          <w:divBdr>
            <w:top w:val="none" w:sz="0" w:space="0" w:color="auto"/>
            <w:left w:val="none" w:sz="0" w:space="0" w:color="auto"/>
            <w:bottom w:val="none" w:sz="0" w:space="0" w:color="auto"/>
            <w:right w:val="none" w:sz="0" w:space="0" w:color="auto"/>
          </w:divBdr>
        </w:div>
        <w:div w:id="46952256">
          <w:marLeft w:val="0"/>
          <w:marRight w:val="0"/>
          <w:marTop w:val="0"/>
          <w:marBottom w:val="0"/>
          <w:divBdr>
            <w:top w:val="none" w:sz="0" w:space="0" w:color="auto"/>
            <w:left w:val="none" w:sz="0" w:space="0" w:color="auto"/>
            <w:bottom w:val="none" w:sz="0" w:space="0" w:color="auto"/>
            <w:right w:val="none" w:sz="0" w:space="0" w:color="auto"/>
          </w:divBdr>
        </w:div>
        <w:div w:id="65342368">
          <w:marLeft w:val="0"/>
          <w:marRight w:val="0"/>
          <w:marTop w:val="0"/>
          <w:marBottom w:val="0"/>
          <w:divBdr>
            <w:top w:val="none" w:sz="0" w:space="0" w:color="auto"/>
            <w:left w:val="none" w:sz="0" w:space="0" w:color="auto"/>
            <w:bottom w:val="none" w:sz="0" w:space="0" w:color="auto"/>
            <w:right w:val="none" w:sz="0" w:space="0" w:color="auto"/>
          </w:divBdr>
        </w:div>
        <w:div w:id="65540280">
          <w:marLeft w:val="0"/>
          <w:marRight w:val="0"/>
          <w:marTop w:val="0"/>
          <w:marBottom w:val="0"/>
          <w:divBdr>
            <w:top w:val="none" w:sz="0" w:space="0" w:color="auto"/>
            <w:left w:val="none" w:sz="0" w:space="0" w:color="auto"/>
            <w:bottom w:val="none" w:sz="0" w:space="0" w:color="auto"/>
            <w:right w:val="none" w:sz="0" w:space="0" w:color="auto"/>
          </w:divBdr>
        </w:div>
        <w:div w:id="74478297">
          <w:marLeft w:val="0"/>
          <w:marRight w:val="0"/>
          <w:marTop w:val="0"/>
          <w:marBottom w:val="0"/>
          <w:divBdr>
            <w:top w:val="none" w:sz="0" w:space="0" w:color="auto"/>
            <w:left w:val="none" w:sz="0" w:space="0" w:color="auto"/>
            <w:bottom w:val="none" w:sz="0" w:space="0" w:color="auto"/>
            <w:right w:val="none" w:sz="0" w:space="0" w:color="auto"/>
          </w:divBdr>
        </w:div>
        <w:div w:id="87848670">
          <w:marLeft w:val="0"/>
          <w:marRight w:val="0"/>
          <w:marTop w:val="0"/>
          <w:marBottom w:val="0"/>
          <w:divBdr>
            <w:top w:val="none" w:sz="0" w:space="0" w:color="auto"/>
            <w:left w:val="none" w:sz="0" w:space="0" w:color="auto"/>
            <w:bottom w:val="none" w:sz="0" w:space="0" w:color="auto"/>
            <w:right w:val="none" w:sz="0" w:space="0" w:color="auto"/>
          </w:divBdr>
        </w:div>
        <w:div w:id="89131213">
          <w:marLeft w:val="0"/>
          <w:marRight w:val="0"/>
          <w:marTop w:val="0"/>
          <w:marBottom w:val="0"/>
          <w:divBdr>
            <w:top w:val="none" w:sz="0" w:space="0" w:color="auto"/>
            <w:left w:val="none" w:sz="0" w:space="0" w:color="auto"/>
            <w:bottom w:val="none" w:sz="0" w:space="0" w:color="auto"/>
            <w:right w:val="none" w:sz="0" w:space="0" w:color="auto"/>
          </w:divBdr>
        </w:div>
        <w:div w:id="103115628">
          <w:marLeft w:val="0"/>
          <w:marRight w:val="0"/>
          <w:marTop w:val="0"/>
          <w:marBottom w:val="0"/>
          <w:divBdr>
            <w:top w:val="none" w:sz="0" w:space="0" w:color="auto"/>
            <w:left w:val="none" w:sz="0" w:space="0" w:color="auto"/>
            <w:bottom w:val="none" w:sz="0" w:space="0" w:color="auto"/>
            <w:right w:val="none" w:sz="0" w:space="0" w:color="auto"/>
          </w:divBdr>
        </w:div>
        <w:div w:id="104887991">
          <w:marLeft w:val="0"/>
          <w:marRight w:val="0"/>
          <w:marTop w:val="0"/>
          <w:marBottom w:val="0"/>
          <w:divBdr>
            <w:top w:val="none" w:sz="0" w:space="0" w:color="auto"/>
            <w:left w:val="none" w:sz="0" w:space="0" w:color="auto"/>
            <w:bottom w:val="none" w:sz="0" w:space="0" w:color="auto"/>
            <w:right w:val="none" w:sz="0" w:space="0" w:color="auto"/>
          </w:divBdr>
        </w:div>
        <w:div w:id="127744584">
          <w:marLeft w:val="0"/>
          <w:marRight w:val="0"/>
          <w:marTop w:val="0"/>
          <w:marBottom w:val="0"/>
          <w:divBdr>
            <w:top w:val="none" w:sz="0" w:space="0" w:color="auto"/>
            <w:left w:val="none" w:sz="0" w:space="0" w:color="auto"/>
            <w:bottom w:val="none" w:sz="0" w:space="0" w:color="auto"/>
            <w:right w:val="none" w:sz="0" w:space="0" w:color="auto"/>
          </w:divBdr>
        </w:div>
        <w:div w:id="142506885">
          <w:marLeft w:val="0"/>
          <w:marRight w:val="0"/>
          <w:marTop w:val="0"/>
          <w:marBottom w:val="0"/>
          <w:divBdr>
            <w:top w:val="none" w:sz="0" w:space="0" w:color="auto"/>
            <w:left w:val="none" w:sz="0" w:space="0" w:color="auto"/>
            <w:bottom w:val="none" w:sz="0" w:space="0" w:color="auto"/>
            <w:right w:val="none" w:sz="0" w:space="0" w:color="auto"/>
          </w:divBdr>
        </w:div>
        <w:div w:id="161359531">
          <w:marLeft w:val="0"/>
          <w:marRight w:val="0"/>
          <w:marTop w:val="0"/>
          <w:marBottom w:val="0"/>
          <w:divBdr>
            <w:top w:val="none" w:sz="0" w:space="0" w:color="auto"/>
            <w:left w:val="none" w:sz="0" w:space="0" w:color="auto"/>
            <w:bottom w:val="none" w:sz="0" w:space="0" w:color="auto"/>
            <w:right w:val="none" w:sz="0" w:space="0" w:color="auto"/>
          </w:divBdr>
        </w:div>
        <w:div w:id="170073700">
          <w:marLeft w:val="0"/>
          <w:marRight w:val="0"/>
          <w:marTop w:val="0"/>
          <w:marBottom w:val="0"/>
          <w:divBdr>
            <w:top w:val="none" w:sz="0" w:space="0" w:color="auto"/>
            <w:left w:val="none" w:sz="0" w:space="0" w:color="auto"/>
            <w:bottom w:val="none" w:sz="0" w:space="0" w:color="auto"/>
            <w:right w:val="none" w:sz="0" w:space="0" w:color="auto"/>
          </w:divBdr>
        </w:div>
        <w:div w:id="202139987">
          <w:marLeft w:val="0"/>
          <w:marRight w:val="0"/>
          <w:marTop w:val="0"/>
          <w:marBottom w:val="0"/>
          <w:divBdr>
            <w:top w:val="none" w:sz="0" w:space="0" w:color="auto"/>
            <w:left w:val="none" w:sz="0" w:space="0" w:color="auto"/>
            <w:bottom w:val="none" w:sz="0" w:space="0" w:color="auto"/>
            <w:right w:val="none" w:sz="0" w:space="0" w:color="auto"/>
          </w:divBdr>
        </w:div>
        <w:div w:id="202598475">
          <w:marLeft w:val="0"/>
          <w:marRight w:val="0"/>
          <w:marTop w:val="0"/>
          <w:marBottom w:val="0"/>
          <w:divBdr>
            <w:top w:val="none" w:sz="0" w:space="0" w:color="auto"/>
            <w:left w:val="none" w:sz="0" w:space="0" w:color="auto"/>
            <w:bottom w:val="none" w:sz="0" w:space="0" w:color="auto"/>
            <w:right w:val="none" w:sz="0" w:space="0" w:color="auto"/>
          </w:divBdr>
        </w:div>
        <w:div w:id="223444050">
          <w:marLeft w:val="0"/>
          <w:marRight w:val="0"/>
          <w:marTop w:val="0"/>
          <w:marBottom w:val="0"/>
          <w:divBdr>
            <w:top w:val="none" w:sz="0" w:space="0" w:color="auto"/>
            <w:left w:val="none" w:sz="0" w:space="0" w:color="auto"/>
            <w:bottom w:val="none" w:sz="0" w:space="0" w:color="auto"/>
            <w:right w:val="none" w:sz="0" w:space="0" w:color="auto"/>
          </w:divBdr>
        </w:div>
        <w:div w:id="241641723">
          <w:marLeft w:val="0"/>
          <w:marRight w:val="0"/>
          <w:marTop w:val="0"/>
          <w:marBottom w:val="0"/>
          <w:divBdr>
            <w:top w:val="none" w:sz="0" w:space="0" w:color="auto"/>
            <w:left w:val="none" w:sz="0" w:space="0" w:color="auto"/>
            <w:bottom w:val="none" w:sz="0" w:space="0" w:color="auto"/>
            <w:right w:val="none" w:sz="0" w:space="0" w:color="auto"/>
          </w:divBdr>
        </w:div>
        <w:div w:id="257642990">
          <w:marLeft w:val="0"/>
          <w:marRight w:val="0"/>
          <w:marTop w:val="0"/>
          <w:marBottom w:val="0"/>
          <w:divBdr>
            <w:top w:val="none" w:sz="0" w:space="0" w:color="auto"/>
            <w:left w:val="none" w:sz="0" w:space="0" w:color="auto"/>
            <w:bottom w:val="none" w:sz="0" w:space="0" w:color="auto"/>
            <w:right w:val="none" w:sz="0" w:space="0" w:color="auto"/>
          </w:divBdr>
        </w:div>
        <w:div w:id="263150274">
          <w:marLeft w:val="0"/>
          <w:marRight w:val="0"/>
          <w:marTop w:val="0"/>
          <w:marBottom w:val="0"/>
          <w:divBdr>
            <w:top w:val="none" w:sz="0" w:space="0" w:color="auto"/>
            <w:left w:val="none" w:sz="0" w:space="0" w:color="auto"/>
            <w:bottom w:val="none" w:sz="0" w:space="0" w:color="auto"/>
            <w:right w:val="none" w:sz="0" w:space="0" w:color="auto"/>
          </w:divBdr>
        </w:div>
        <w:div w:id="279193097">
          <w:marLeft w:val="0"/>
          <w:marRight w:val="0"/>
          <w:marTop w:val="0"/>
          <w:marBottom w:val="0"/>
          <w:divBdr>
            <w:top w:val="none" w:sz="0" w:space="0" w:color="auto"/>
            <w:left w:val="none" w:sz="0" w:space="0" w:color="auto"/>
            <w:bottom w:val="none" w:sz="0" w:space="0" w:color="auto"/>
            <w:right w:val="none" w:sz="0" w:space="0" w:color="auto"/>
          </w:divBdr>
        </w:div>
        <w:div w:id="289092827">
          <w:marLeft w:val="0"/>
          <w:marRight w:val="0"/>
          <w:marTop w:val="0"/>
          <w:marBottom w:val="0"/>
          <w:divBdr>
            <w:top w:val="none" w:sz="0" w:space="0" w:color="auto"/>
            <w:left w:val="none" w:sz="0" w:space="0" w:color="auto"/>
            <w:bottom w:val="none" w:sz="0" w:space="0" w:color="auto"/>
            <w:right w:val="none" w:sz="0" w:space="0" w:color="auto"/>
          </w:divBdr>
        </w:div>
        <w:div w:id="294331264">
          <w:marLeft w:val="0"/>
          <w:marRight w:val="0"/>
          <w:marTop w:val="0"/>
          <w:marBottom w:val="0"/>
          <w:divBdr>
            <w:top w:val="none" w:sz="0" w:space="0" w:color="auto"/>
            <w:left w:val="none" w:sz="0" w:space="0" w:color="auto"/>
            <w:bottom w:val="none" w:sz="0" w:space="0" w:color="auto"/>
            <w:right w:val="none" w:sz="0" w:space="0" w:color="auto"/>
          </w:divBdr>
        </w:div>
        <w:div w:id="296112934">
          <w:marLeft w:val="0"/>
          <w:marRight w:val="0"/>
          <w:marTop w:val="0"/>
          <w:marBottom w:val="0"/>
          <w:divBdr>
            <w:top w:val="none" w:sz="0" w:space="0" w:color="auto"/>
            <w:left w:val="none" w:sz="0" w:space="0" w:color="auto"/>
            <w:bottom w:val="none" w:sz="0" w:space="0" w:color="auto"/>
            <w:right w:val="none" w:sz="0" w:space="0" w:color="auto"/>
          </w:divBdr>
        </w:div>
        <w:div w:id="305399022">
          <w:marLeft w:val="0"/>
          <w:marRight w:val="0"/>
          <w:marTop w:val="0"/>
          <w:marBottom w:val="0"/>
          <w:divBdr>
            <w:top w:val="none" w:sz="0" w:space="0" w:color="auto"/>
            <w:left w:val="none" w:sz="0" w:space="0" w:color="auto"/>
            <w:bottom w:val="none" w:sz="0" w:space="0" w:color="auto"/>
            <w:right w:val="none" w:sz="0" w:space="0" w:color="auto"/>
          </w:divBdr>
        </w:div>
        <w:div w:id="309864880">
          <w:marLeft w:val="0"/>
          <w:marRight w:val="0"/>
          <w:marTop w:val="0"/>
          <w:marBottom w:val="0"/>
          <w:divBdr>
            <w:top w:val="none" w:sz="0" w:space="0" w:color="auto"/>
            <w:left w:val="none" w:sz="0" w:space="0" w:color="auto"/>
            <w:bottom w:val="none" w:sz="0" w:space="0" w:color="auto"/>
            <w:right w:val="none" w:sz="0" w:space="0" w:color="auto"/>
          </w:divBdr>
        </w:div>
        <w:div w:id="317880621">
          <w:marLeft w:val="0"/>
          <w:marRight w:val="0"/>
          <w:marTop w:val="0"/>
          <w:marBottom w:val="0"/>
          <w:divBdr>
            <w:top w:val="none" w:sz="0" w:space="0" w:color="auto"/>
            <w:left w:val="none" w:sz="0" w:space="0" w:color="auto"/>
            <w:bottom w:val="none" w:sz="0" w:space="0" w:color="auto"/>
            <w:right w:val="none" w:sz="0" w:space="0" w:color="auto"/>
          </w:divBdr>
        </w:div>
        <w:div w:id="324935972">
          <w:marLeft w:val="0"/>
          <w:marRight w:val="0"/>
          <w:marTop w:val="0"/>
          <w:marBottom w:val="0"/>
          <w:divBdr>
            <w:top w:val="none" w:sz="0" w:space="0" w:color="auto"/>
            <w:left w:val="none" w:sz="0" w:space="0" w:color="auto"/>
            <w:bottom w:val="none" w:sz="0" w:space="0" w:color="auto"/>
            <w:right w:val="none" w:sz="0" w:space="0" w:color="auto"/>
          </w:divBdr>
        </w:div>
        <w:div w:id="362363531">
          <w:marLeft w:val="0"/>
          <w:marRight w:val="0"/>
          <w:marTop w:val="0"/>
          <w:marBottom w:val="0"/>
          <w:divBdr>
            <w:top w:val="none" w:sz="0" w:space="0" w:color="auto"/>
            <w:left w:val="none" w:sz="0" w:space="0" w:color="auto"/>
            <w:bottom w:val="none" w:sz="0" w:space="0" w:color="auto"/>
            <w:right w:val="none" w:sz="0" w:space="0" w:color="auto"/>
          </w:divBdr>
        </w:div>
        <w:div w:id="363018153">
          <w:marLeft w:val="0"/>
          <w:marRight w:val="0"/>
          <w:marTop w:val="0"/>
          <w:marBottom w:val="0"/>
          <w:divBdr>
            <w:top w:val="none" w:sz="0" w:space="0" w:color="auto"/>
            <w:left w:val="none" w:sz="0" w:space="0" w:color="auto"/>
            <w:bottom w:val="none" w:sz="0" w:space="0" w:color="auto"/>
            <w:right w:val="none" w:sz="0" w:space="0" w:color="auto"/>
          </w:divBdr>
        </w:div>
        <w:div w:id="368535689">
          <w:marLeft w:val="0"/>
          <w:marRight w:val="0"/>
          <w:marTop w:val="0"/>
          <w:marBottom w:val="0"/>
          <w:divBdr>
            <w:top w:val="none" w:sz="0" w:space="0" w:color="auto"/>
            <w:left w:val="none" w:sz="0" w:space="0" w:color="auto"/>
            <w:bottom w:val="none" w:sz="0" w:space="0" w:color="auto"/>
            <w:right w:val="none" w:sz="0" w:space="0" w:color="auto"/>
          </w:divBdr>
        </w:div>
        <w:div w:id="371420799">
          <w:marLeft w:val="0"/>
          <w:marRight w:val="0"/>
          <w:marTop w:val="0"/>
          <w:marBottom w:val="0"/>
          <w:divBdr>
            <w:top w:val="none" w:sz="0" w:space="0" w:color="auto"/>
            <w:left w:val="none" w:sz="0" w:space="0" w:color="auto"/>
            <w:bottom w:val="none" w:sz="0" w:space="0" w:color="auto"/>
            <w:right w:val="none" w:sz="0" w:space="0" w:color="auto"/>
          </w:divBdr>
        </w:div>
        <w:div w:id="372851999">
          <w:marLeft w:val="0"/>
          <w:marRight w:val="0"/>
          <w:marTop w:val="0"/>
          <w:marBottom w:val="0"/>
          <w:divBdr>
            <w:top w:val="none" w:sz="0" w:space="0" w:color="auto"/>
            <w:left w:val="none" w:sz="0" w:space="0" w:color="auto"/>
            <w:bottom w:val="none" w:sz="0" w:space="0" w:color="auto"/>
            <w:right w:val="none" w:sz="0" w:space="0" w:color="auto"/>
          </w:divBdr>
        </w:div>
        <w:div w:id="375469138">
          <w:marLeft w:val="0"/>
          <w:marRight w:val="0"/>
          <w:marTop w:val="0"/>
          <w:marBottom w:val="0"/>
          <w:divBdr>
            <w:top w:val="none" w:sz="0" w:space="0" w:color="auto"/>
            <w:left w:val="none" w:sz="0" w:space="0" w:color="auto"/>
            <w:bottom w:val="none" w:sz="0" w:space="0" w:color="auto"/>
            <w:right w:val="none" w:sz="0" w:space="0" w:color="auto"/>
          </w:divBdr>
        </w:div>
        <w:div w:id="427120213">
          <w:marLeft w:val="0"/>
          <w:marRight w:val="0"/>
          <w:marTop w:val="0"/>
          <w:marBottom w:val="0"/>
          <w:divBdr>
            <w:top w:val="none" w:sz="0" w:space="0" w:color="auto"/>
            <w:left w:val="none" w:sz="0" w:space="0" w:color="auto"/>
            <w:bottom w:val="none" w:sz="0" w:space="0" w:color="auto"/>
            <w:right w:val="none" w:sz="0" w:space="0" w:color="auto"/>
          </w:divBdr>
        </w:div>
        <w:div w:id="433209776">
          <w:marLeft w:val="0"/>
          <w:marRight w:val="0"/>
          <w:marTop w:val="0"/>
          <w:marBottom w:val="0"/>
          <w:divBdr>
            <w:top w:val="none" w:sz="0" w:space="0" w:color="auto"/>
            <w:left w:val="none" w:sz="0" w:space="0" w:color="auto"/>
            <w:bottom w:val="none" w:sz="0" w:space="0" w:color="auto"/>
            <w:right w:val="none" w:sz="0" w:space="0" w:color="auto"/>
          </w:divBdr>
        </w:div>
        <w:div w:id="453712633">
          <w:marLeft w:val="0"/>
          <w:marRight w:val="0"/>
          <w:marTop w:val="0"/>
          <w:marBottom w:val="0"/>
          <w:divBdr>
            <w:top w:val="none" w:sz="0" w:space="0" w:color="auto"/>
            <w:left w:val="none" w:sz="0" w:space="0" w:color="auto"/>
            <w:bottom w:val="none" w:sz="0" w:space="0" w:color="auto"/>
            <w:right w:val="none" w:sz="0" w:space="0" w:color="auto"/>
          </w:divBdr>
        </w:div>
        <w:div w:id="457257569">
          <w:marLeft w:val="0"/>
          <w:marRight w:val="0"/>
          <w:marTop w:val="0"/>
          <w:marBottom w:val="0"/>
          <w:divBdr>
            <w:top w:val="none" w:sz="0" w:space="0" w:color="auto"/>
            <w:left w:val="none" w:sz="0" w:space="0" w:color="auto"/>
            <w:bottom w:val="none" w:sz="0" w:space="0" w:color="auto"/>
            <w:right w:val="none" w:sz="0" w:space="0" w:color="auto"/>
          </w:divBdr>
        </w:div>
        <w:div w:id="474299408">
          <w:marLeft w:val="0"/>
          <w:marRight w:val="0"/>
          <w:marTop w:val="0"/>
          <w:marBottom w:val="0"/>
          <w:divBdr>
            <w:top w:val="none" w:sz="0" w:space="0" w:color="auto"/>
            <w:left w:val="none" w:sz="0" w:space="0" w:color="auto"/>
            <w:bottom w:val="none" w:sz="0" w:space="0" w:color="auto"/>
            <w:right w:val="none" w:sz="0" w:space="0" w:color="auto"/>
          </w:divBdr>
        </w:div>
        <w:div w:id="492372804">
          <w:marLeft w:val="0"/>
          <w:marRight w:val="0"/>
          <w:marTop w:val="0"/>
          <w:marBottom w:val="0"/>
          <w:divBdr>
            <w:top w:val="none" w:sz="0" w:space="0" w:color="auto"/>
            <w:left w:val="none" w:sz="0" w:space="0" w:color="auto"/>
            <w:bottom w:val="none" w:sz="0" w:space="0" w:color="auto"/>
            <w:right w:val="none" w:sz="0" w:space="0" w:color="auto"/>
          </w:divBdr>
        </w:div>
        <w:div w:id="513878760">
          <w:marLeft w:val="0"/>
          <w:marRight w:val="0"/>
          <w:marTop w:val="0"/>
          <w:marBottom w:val="0"/>
          <w:divBdr>
            <w:top w:val="none" w:sz="0" w:space="0" w:color="auto"/>
            <w:left w:val="none" w:sz="0" w:space="0" w:color="auto"/>
            <w:bottom w:val="none" w:sz="0" w:space="0" w:color="auto"/>
            <w:right w:val="none" w:sz="0" w:space="0" w:color="auto"/>
          </w:divBdr>
        </w:div>
        <w:div w:id="533156611">
          <w:marLeft w:val="0"/>
          <w:marRight w:val="0"/>
          <w:marTop w:val="0"/>
          <w:marBottom w:val="0"/>
          <w:divBdr>
            <w:top w:val="none" w:sz="0" w:space="0" w:color="auto"/>
            <w:left w:val="none" w:sz="0" w:space="0" w:color="auto"/>
            <w:bottom w:val="none" w:sz="0" w:space="0" w:color="auto"/>
            <w:right w:val="none" w:sz="0" w:space="0" w:color="auto"/>
          </w:divBdr>
        </w:div>
        <w:div w:id="534083232">
          <w:marLeft w:val="0"/>
          <w:marRight w:val="0"/>
          <w:marTop w:val="0"/>
          <w:marBottom w:val="0"/>
          <w:divBdr>
            <w:top w:val="none" w:sz="0" w:space="0" w:color="auto"/>
            <w:left w:val="none" w:sz="0" w:space="0" w:color="auto"/>
            <w:bottom w:val="none" w:sz="0" w:space="0" w:color="auto"/>
            <w:right w:val="none" w:sz="0" w:space="0" w:color="auto"/>
          </w:divBdr>
        </w:div>
        <w:div w:id="564225616">
          <w:marLeft w:val="0"/>
          <w:marRight w:val="0"/>
          <w:marTop w:val="0"/>
          <w:marBottom w:val="0"/>
          <w:divBdr>
            <w:top w:val="none" w:sz="0" w:space="0" w:color="auto"/>
            <w:left w:val="none" w:sz="0" w:space="0" w:color="auto"/>
            <w:bottom w:val="none" w:sz="0" w:space="0" w:color="auto"/>
            <w:right w:val="none" w:sz="0" w:space="0" w:color="auto"/>
          </w:divBdr>
        </w:div>
        <w:div w:id="592738412">
          <w:marLeft w:val="0"/>
          <w:marRight w:val="0"/>
          <w:marTop w:val="0"/>
          <w:marBottom w:val="0"/>
          <w:divBdr>
            <w:top w:val="none" w:sz="0" w:space="0" w:color="auto"/>
            <w:left w:val="none" w:sz="0" w:space="0" w:color="auto"/>
            <w:bottom w:val="none" w:sz="0" w:space="0" w:color="auto"/>
            <w:right w:val="none" w:sz="0" w:space="0" w:color="auto"/>
          </w:divBdr>
        </w:div>
        <w:div w:id="597980003">
          <w:marLeft w:val="0"/>
          <w:marRight w:val="0"/>
          <w:marTop w:val="0"/>
          <w:marBottom w:val="0"/>
          <w:divBdr>
            <w:top w:val="none" w:sz="0" w:space="0" w:color="auto"/>
            <w:left w:val="none" w:sz="0" w:space="0" w:color="auto"/>
            <w:bottom w:val="none" w:sz="0" w:space="0" w:color="auto"/>
            <w:right w:val="none" w:sz="0" w:space="0" w:color="auto"/>
          </w:divBdr>
        </w:div>
        <w:div w:id="621887689">
          <w:marLeft w:val="0"/>
          <w:marRight w:val="0"/>
          <w:marTop w:val="0"/>
          <w:marBottom w:val="0"/>
          <w:divBdr>
            <w:top w:val="none" w:sz="0" w:space="0" w:color="auto"/>
            <w:left w:val="none" w:sz="0" w:space="0" w:color="auto"/>
            <w:bottom w:val="none" w:sz="0" w:space="0" w:color="auto"/>
            <w:right w:val="none" w:sz="0" w:space="0" w:color="auto"/>
          </w:divBdr>
        </w:div>
        <w:div w:id="628164461">
          <w:marLeft w:val="0"/>
          <w:marRight w:val="0"/>
          <w:marTop w:val="0"/>
          <w:marBottom w:val="0"/>
          <w:divBdr>
            <w:top w:val="none" w:sz="0" w:space="0" w:color="auto"/>
            <w:left w:val="none" w:sz="0" w:space="0" w:color="auto"/>
            <w:bottom w:val="none" w:sz="0" w:space="0" w:color="auto"/>
            <w:right w:val="none" w:sz="0" w:space="0" w:color="auto"/>
          </w:divBdr>
        </w:div>
        <w:div w:id="655500733">
          <w:marLeft w:val="0"/>
          <w:marRight w:val="0"/>
          <w:marTop w:val="0"/>
          <w:marBottom w:val="0"/>
          <w:divBdr>
            <w:top w:val="none" w:sz="0" w:space="0" w:color="auto"/>
            <w:left w:val="none" w:sz="0" w:space="0" w:color="auto"/>
            <w:bottom w:val="none" w:sz="0" w:space="0" w:color="auto"/>
            <w:right w:val="none" w:sz="0" w:space="0" w:color="auto"/>
          </w:divBdr>
        </w:div>
        <w:div w:id="659700973">
          <w:marLeft w:val="0"/>
          <w:marRight w:val="0"/>
          <w:marTop w:val="0"/>
          <w:marBottom w:val="0"/>
          <w:divBdr>
            <w:top w:val="none" w:sz="0" w:space="0" w:color="auto"/>
            <w:left w:val="none" w:sz="0" w:space="0" w:color="auto"/>
            <w:bottom w:val="none" w:sz="0" w:space="0" w:color="auto"/>
            <w:right w:val="none" w:sz="0" w:space="0" w:color="auto"/>
          </w:divBdr>
        </w:div>
        <w:div w:id="660356933">
          <w:marLeft w:val="0"/>
          <w:marRight w:val="0"/>
          <w:marTop w:val="0"/>
          <w:marBottom w:val="0"/>
          <w:divBdr>
            <w:top w:val="none" w:sz="0" w:space="0" w:color="auto"/>
            <w:left w:val="none" w:sz="0" w:space="0" w:color="auto"/>
            <w:bottom w:val="none" w:sz="0" w:space="0" w:color="auto"/>
            <w:right w:val="none" w:sz="0" w:space="0" w:color="auto"/>
          </w:divBdr>
        </w:div>
        <w:div w:id="705252634">
          <w:marLeft w:val="0"/>
          <w:marRight w:val="0"/>
          <w:marTop w:val="0"/>
          <w:marBottom w:val="0"/>
          <w:divBdr>
            <w:top w:val="none" w:sz="0" w:space="0" w:color="auto"/>
            <w:left w:val="none" w:sz="0" w:space="0" w:color="auto"/>
            <w:bottom w:val="none" w:sz="0" w:space="0" w:color="auto"/>
            <w:right w:val="none" w:sz="0" w:space="0" w:color="auto"/>
          </w:divBdr>
        </w:div>
        <w:div w:id="721440269">
          <w:marLeft w:val="0"/>
          <w:marRight w:val="0"/>
          <w:marTop w:val="0"/>
          <w:marBottom w:val="0"/>
          <w:divBdr>
            <w:top w:val="none" w:sz="0" w:space="0" w:color="auto"/>
            <w:left w:val="none" w:sz="0" w:space="0" w:color="auto"/>
            <w:bottom w:val="none" w:sz="0" w:space="0" w:color="auto"/>
            <w:right w:val="none" w:sz="0" w:space="0" w:color="auto"/>
          </w:divBdr>
        </w:div>
        <w:div w:id="739212034">
          <w:marLeft w:val="0"/>
          <w:marRight w:val="0"/>
          <w:marTop w:val="0"/>
          <w:marBottom w:val="0"/>
          <w:divBdr>
            <w:top w:val="none" w:sz="0" w:space="0" w:color="auto"/>
            <w:left w:val="none" w:sz="0" w:space="0" w:color="auto"/>
            <w:bottom w:val="none" w:sz="0" w:space="0" w:color="auto"/>
            <w:right w:val="none" w:sz="0" w:space="0" w:color="auto"/>
          </w:divBdr>
        </w:div>
        <w:div w:id="753403352">
          <w:marLeft w:val="0"/>
          <w:marRight w:val="0"/>
          <w:marTop w:val="0"/>
          <w:marBottom w:val="0"/>
          <w:divBdr>
            <w:top w:val="none" w:sz="0" w:space="0" w:color="auto"/>
            <w:left w:val="none" w:sz="0" w:space="0" w:color="auto"/>
            <w:bottom w:val="none" w:sz="0" w:space="0" w:color="auto"/>
            <w:right w:val="none" w:sz="0" w:space="0" w:color="auto"/>
          </w:divBdr>
        </w:div>
        <w:div w:id="804927245">
          <w:marLeft w:val="0"/>
          <w:marRight w:val="0"/>
          <w:marTop w:val="0"/>
          <w:marBottom w:val="0"/>
          <w:divBdr>
            <w:top w:val="none" w:sz="0" w:space="0" w:color="auto"/>
            <w:left w:val="none" w:sz="0" w:space="0" w:color="auto"/>
            <w:bottom w:val="none" w:sz="0" w:space="0" w:color="auto"/>
            <w:right w:val="none" w:sz="0" w:space="0" w:color="auto"/>
          </w:divBdr>
        </w:div>
        <w:div w:id="811405726">
          <w:marLeft w:val="0"/>
          <w:marRight w:val="0"/>
          <w:marTop w:val="0"/>
          <w:marBottom w:val="0"/>
          <w:divBdr>
            <w:top w:val="none" w:sz="0" w:space="0" w:color="auto"/>
            <w:left w:val="none" w:sz="0" w:space="0" w:color="auto"/>
            <w:bottom w:val="none" w:sz="0" w:space="0" w:color="auto"/>
            <w:right w:val="none" w:sz="0" w:space="0" w:color="auto"/>
          </w:divBdr>
        </w:div>
        <w:div w:id="822357843">
          <w:marLeft w:val="0"/>
          <w:marRight w:val="0"/>
          <w:marTop w:val="0"/>
          <w:marBottom w:val="0"/>
          <w:divBdr>
            <w:top w:val="none" w:sz="0" w:space="0" w:color="auto"/>
            <w:left w:val="none" w:sz="0" w:space="0" w:color="auto"/>
            <w:bottom w:val="none" w:sz="0" w:space="0" w:color="auto"/>
            <w:right w:val="none" w:sz="0" w:space="0" w:color="auto"/>
          </w:divBdr>
        </w:div>
        <w:div w:id="828178462">
          <w:marLeft w:val="0"/>
          <w:marRight w:val="0"/>
          <w:marTop w:val="0"/>
          <w:marBottom w:val="0"/>
          <w:divBdr>
            <w:top w:val="none" w:sz="0" w:space="0" w:color="auto"/>
            <w:left w:val="none" w:sz="0" w:space="0" w:color="auto"/>
            <w:bottom w:val="none" w:sz="0" w:space="0" w:color="auto"/>
            <w:right w:val="none" w:sz="0" w:space="0" w:color="auto"/>
          </w:divBdr>
        </w:div>
        <w:div w:id="842553750">
          <w:marLeft w:val="0"/>
          <w:marRight w:val="0"/>
          <w:marTop w:val="0"/>
          <w:marBottom w:val="0"/>
          <w:divBdr>
            <w:top w:val="none" w:sz="0" w:space="0" w:color="auto"/>
            <w:left w:val="none" w:sz="0" w:space="0" w:color="auto"/>
            <w:bottom w:val="none" w:sz="0" w:space="0" w:color="auto"/>
            <w:right w:val="none" w:sz="0" w:space="0" w:color="auto"/>
          </w:divBdr>
        </w:div>
        <w:div w:id="851333256">
          <w:marLeft w:val="0"/>
          <w:marRight w:val="0"/>
          <w:marTop w:val="0"/>
          <w:marBottom w:val="0"/>
          <w:divBdr>
            <w:top w:val="none" w:sz="0" w:space="0" w:color="auto"/>
            <w:left w:val="none" w:sz="0" w:space="0" w:color="auto"/>
            <w:bottom w:val="none" w:sz="0" w:space="0" w:color="auto"/>
            <w:right w:val="none" w:sz="0" w:space="0" w:color="auto"/>
          </w:divBdr>
        </w:div>
        <w:div w:id="882789763">
          <w:marLeft w:val="0"/>
          <w:marRight w:val="0"/>
          <w:marTop w:val="0"/>
          <w:marBottom w:val="0"/>
          <w:divBdr>
            <w:top w:val="none" w:sz="0" w:space="0" w:color="auto"/>
            <w:left w:val="none" w:sz="0" w:space="0" w:color="auto"/>
            <w:bottom w:val="none" w:sz="0" w:space="0" w:color="auto"/>
            <w:right w:val="none" w:sz="0" w:space="0" w:color="auto"/>
          </w:divBdr>
        </w:div>
        <w:div w:id="884755771">
          <w:marLeft w:val="0"/>
          <w:marRight w:val="0"/>
          <w:marTop w:val="0"/>
          <w:marBottom w:val="0"/>
          <w:divBdr>
            <w:top w:val="none" w:sz="0" w:space="0" w:color="auto"/>
            <w:left w:val="none" w:sz="0" w:space="0" w:color="auto"/>
            <w:bottom w:val="none" w:sz="0" w:space="0" w:color="auto"/>
            <w:right w:val="none" w:sz="0" w:space="0" w:color="auto"/>
          </w:divBdr>
        </w:div>
        <w:div w:id="894312321">
          <w:marLeft w:val="0"/>
          <w:marRight w:val="0"/>
          <w:marTop w:val="0"/>
          <w:marBottom w:val="0"/>
          <w:divBdr>
            <w:top w:val="none" w:sz="0" w:space="0" w:color="auto"/>
            <w:left w:val="none" w:sz="0" w:space="0" w:color="auto"/>
            <w:bottom w:val="none" w:sz="0" w:space="0" w:color="auto"/>
            <w:right w:val="none" w:sz="0" w:space="0" w:color="auto"/>
          </w:divBdr>
        </w:div>
        <w:div w:id="910116247">
          <w:marLeft w:val="0"/>
          <w:marRight w:val="0"/>
          <w:marTop w:val="0"/>
          <w:marBottom w:val="0"/>
          <w:divBdr>
            <w:top w:val="none" w:sz="0" w:space="0" w:color="auto"/>
            <w:left w:val="none" w:sz="0" w:space="0" w:color="auto"/>
            <w:bottom w:val="none" w:sz="0" w:space="0" w:color="auto"/>
            <w:right w:val="none" w:sz="0" w:space="0" w:color="auto"/>
          </w:divBdr>
        </w:div>
        <w:div w:id="910190059">
          <w:marLeft w:val="0"/>
          <w:marRight w:val="0"/>
          <w:marTop w:val="0"/>
          <w:marBottom w:val="0"/>
          <w:divBdr>
            <w:top w:val="none" w:sz="0" w:space="0" w:color="auto"/>
            <w:left w:val="none" w:sz="0" w:space="0" w:color="auto"/>
            <w:bottom w:val="none" w:sz="0" w:space="0" w:color="auto"/>
            <w:right w:val="none" w:sz="0" w:space="0" w:color="auto"/>
          </w:divBdr>
        </w:div>
        <w:div w:id="912859146">
          <w:marLeft w:val="0"/>
          <w:marRight w:val="0"/>
          <w:marTop w:val="0"/>
          <w:marBottom w:val="0"/>
          <w:divBdr>
            <w:top w:val="none" w:sz="0" w:space="0" w:color="auto"/>
            <w:left w:val="none" w:sz="0" w:space="0" w:color="auto"/>
            <w:bottom w:val="none" w:sz="0" w:space="0" w:color="auto"/>
            <w:right w:val="none" w:sz="0" w:space="0" w:color="auto"/>
          </w:divBdr>
        </w:div>
        <w:div w:id="916868544">
          <w:marLeft w:val="0"/>
          <w:marRight w:val="0"/>
          <w:marTop w:val="0"/>
          <w:marBottom w:val="0"/>
          <w:divBdr>
            <w:top w:val="none" w:sz="0" w:space="0" w:color="auto"/>
            <w:left w:val="none" w:sz="0" w:space="0" w:color="auto"/>
            <w:bottom w:val="none" w:sz="0" w:space="0" w:color="auto"/>
            <w:right w:val="none" w:sz="0" w:space="0" w:color="auto"/>
          </w:divBdr>
        </w:div>
        <w:div w:id="948194977">
          <w:marLeft w:val="0"/>
          <w:marRight w:val="0"/>
          <w:marTop w:val="0"/>
          <w:marBottom w:val="0"/>
          <w:divBdr>
            <w:top w:val="none" w:sz="0" w:space="0" w:color="auto"/>
            <w:left w:val="none" w:sz="0" w:space="0" w:color="auto"/>
            <w:bottom w:val="none" w:sz="0" w:space="0" w:color="auto"/>
            <w:right w:val="none" w:sz="0" w:space="0" w:color="auto"/>
          </w:divBdr>
        </w:div>
        <w:div w:id="956983272">
          <w:marLeft w:val="0"/>
          <w:marRight w:val="0"/>
          <w:marTop w:val="0"/>
          <w:marBottom w:val="0"/>
          <w:divBdr>
            <w:top w:val="none" w:sz="0" w:space="0" w:color="auto"/>
            <w:left w:val="none" w:sz="0" w:space="0" w:color="auto"/>
            <w:bottom w:val="none" w:sz="0" w:space="0" w:color="auto"/>
            <w:right w:val="none" w:sz="0" w:space="0" w:color="auto"/>
          </w:divBdr>
        </w:div>
        <w:div w:id="959458979">
          <w:marLeft w:val="0"/>
          <w:marRight w:val="0"/>
          <w:marTop w:val="0"/>
          <w:marBottom w:val="0"/>
          <w:divBdr>
            <w:top w:val="none" w:sz="0" w:space="0" w:color="auto"/>
            <w:left w:val="none" w:sz="0" w:space="0" w:color="auto"/>
            <w:bottom w:val="none" w:sz="0" w:space="0" w:color="auto"/>
            <w:right w:val="none" w:sz="0" w:space="0" w:color="auto"/>
          </w:divBdr>
        </w:div>
        <w:div w:id="959847943">
          <w:marLeft w:val="0"/>
          <w:marRight w:val="0"/>
          <w:marTop w:val="0"/>
          <w:marBottom w:val="0"/>
          <w:divBdr>
            <w:top w:val="none" w:sz="0" w:space="0" w:color="auto"/>
            <w:left w:val="none" w:sz="0" w:space="0" w:color="auto"/>
            <w:bottom w:val="none" w:sz="0" w:space="0" w:color="auto"/>
            <w:right w:val="none" w:sz="0" w:space="0" w:color="auto"/>
          </w:divBdr>
        </w:div>
        <w:div w:id="972639475">
          <w:marLeft w:val="0"/>
          <w:marRight w:val="0"/>
          <w:marTop w:val="0"/>
          <w:marBottom w:val="0"/>
          <w:divBdr>
            <w:top w:val="none" w:sz="0" w:space="0" w:color="auto"/>
            <w:left w:val="none" w:sz="0" w:space="0" w:color="auto"/>
            <w:bottom w:val="none" w:sz="0" w:space="0" w:color="auto"/>
            <w:right w:val="none" w:sz="0" w:space="0" w:color="auto"/>
          </w:divBdr>
        </w:div>
        <w:div w:id="973367289">
          <w:marLeft w:val="0"/>
          <w:marRight w:val="0"/>
          <w:marTop w:val="0"/>
          <w:marBottom w:val="0"/>
          <w:divBdr>
            <w:top w:val="none" w:sz="0" w:space="0" w:color="auto"/>
            <w:left w:val="none" w:sz="0" w:space="0" w:color="auto"/>
            <w:bottom w:val="none" w:sz="0" w:space="0" w:color="auto"/>
            <w:right w:val="none" w:sz="0" w:space="0" w:color="auto"/>
          </w:divBdr>
        </w:div>
        <w:div w:id="991644324">
          <w:marLeft w:val="0"/>
          <w:marRight w:val="0"/>
          <w:marTop w:val="0"/>
          <w:marBottom w:val="0"/>
          <w:divBdr>
            <w:top w:val="none" w:sz="0" w:space="0" w:color="auto"/>
            <w:left w:val="none" w:sz="0" w:space="0" w:color="auto"/>
            <w:bottom w:val="none" w:sz="0" w:space="0" w:color="auto"/>
            <w:right w:val="none" w:sz="0" w:space="0" w:color="auto"/>
          </w:divBdr>
        </w:div>
        <w:div w:id="999960767">
          <w:marLeft w:val="0"/>
          <w:marRight w:val="0"/>
          <w:marTop w:val="0"/>
          <w:marBottom w:val="0"/>
          <w:divBdr>
            <w:top w:val="none" w:sz="0" w:space="0" w:color="auto"/>
            <w:left w:val="none" w:sz="0" w:space="0" w:color="auto"/>
            <w:bottom w:val="none" w:sz="0" w:space="0" w:color="auto"/>
            <w:right w:val="none" w:sz="0" w:space="0" w:color="auto"/>
          </w:divBdr>
        </w:div>
        <w:div w:id="1005471504">
          <w:marLeft w:val="0"/>
          <w:marRight w:val="0"/>
          <w:marTop w:val="0"/>
          <w:marBottom w:val="0"/>
          <w:divBdr>
            <w:top w:val="none" w:sz="0" w:space="0" w:color="auto"/>
            <w:left w:val="none" w:sz="0" w:space="0" w:color="auto"/>
            <w:bottom w:val="none" w:sz="0" w:space="0" w:color="auto"/>
            <w:right w:val="none" w:sz="0" w:space="0" w:color="auto"/>
          </w:divBdr>
        </w:div>
        <w:div w:id="1013455210">
          <w:marLeft w:val="0"/>
          <w:marRight w:val="0"/>
          <w:marTop w:val="0"/>
          <w:marBottom w:val="0"/>
          <w:divBdr>
            <w:top w:val="none" w:sz="0" w:space="0" w:color="auto"/>
            <w:left w:val="none" w:sz="0" w:space="0" w:color="auto"/>
            <w:bottom w:val="none" w:sz="0" w:space="0" w:color="auto"/>
            <w:right w:val="none" w:sz="0" w:space="0" w:color="auto"/>
          </w:divBdr>
        </w:div>
        <w:div w:id="1015615374">
          <w:marLeft w:val="0"/>
          <w:marRight w:val="0"/>
          <w:marTop w:val="0"/>
          <w:marBottom w:val="0"/>
          <w:divBdr>
            <w:top w:val="none" w:sz="0" w:space="0" w:color="auto"/>
            <w:left w:val="none" w:sz="0" w:space="0" w:color="auto"/>
            <w:bottom w:val="none" w:sz="0" w:space="0" w:color="auto"/>
            <w:right w:val="none" w:sz="0" w:space="0" w:color="auto"/>
          </w:divBdr>
        </w:div>
        <w:div w:id="1017657030">
          <w:marLeft w:val="0"/>
          <w:marRight w:val="0"/>
          <w:marTop w:val="0"/>
          <w:marBottom w:val="0"/>
          <w:divBdr>
            <w:top w:val="none" w:sz="0" w:space="0" w:color="auto"/>
            <w:left w:val="none" w:sz="0" w:space="0" w:color="auto"/>
            <w:bottom w:val="none" w:sz="0" w:space="0" w:color="auto"/>
            <w:right w:val="none" w:sz="0" w:space="0" w:color="auto"/>
          </w:divBdr>
        </w:div>
        <w:div w:id="1034311499">
          <w:marLeft w:val="0"/>
          <w:marRight w:val="0"/>
          <w:marTop w:val="0"/>
          <w:marBottom w:val="0"/>
          <w:divBdr>
            <w:top w:val="none" w:sz="0" w:space="0" w:color="auto"/>
            <w:left w:val="none" w:sz="0" w:space="0" w:color="auto"/>
            <w:bottom w:val="none" w:sz="0" w:space="0" w:color="auto"/>
            <w:right w:val="none" w:sz="0" w:space="0" w:color="auto"/>
          </w:divBdr>
        </w:div>
        <w:div w:id="1079213345">
          <w:marLeft w:val="0"/>
          <w:marRight w:val="0"/>
          <w:marTop w:val="0"/>
          <w:marBottom w:val="0"/>
          <w:divBdr>
            <w:top w:val="none" w:sz="0" w:space="0" w:color="auto"/>
            <w:left w:val="none" w:sz="0" w:space="0" w:color="auto"/>
            <w:bottom w:val="none" w:sz="0" w:space="0" w:color="auto"/>
            <w:right w:val="none" w:sz="0" w:space="0" w:color="auto"/>
          </w:divBdr>
        </w:div>
        <w:div w:id="1121463075">
          <w:marLeft w:val="0"/>
          <w:marRight w:val="0"/>
          <w:marTop w:val="0"/>
          <w:marBottom w:val="0"/>
          <w:divBdr>
            <w:top w:val="none" w:sz="0" w:space="0" w:color="auto"/>
            <w:left w:val="none" w:sz="0" w:space="0" w:color="auto"/>
            <w:bottom w:val="none" w:sz="0" w:space="0" w:color="auto"/>
            <w:right w:val="none" w:sz="0" w:space="0" w:color="auto"/>
          </w:divBdr>
        </w:div>
        <w:div w:id="1121610419">
          <w:marLeft w:val="0"/>
          <w:marRight w:val="0"/>
          <w:marTop w:val="0"/>
          <w:marBottom w:val="0"/>
          <w:divBdr>
            <w:top w:val="none" w:sz="0" w:space="0" w:color="auto"/>
            <w:left w:val="none" w:sz="0" w:space="0" w:color="auto"/>
            <w:bottom w:val="none" w:sz="0" w:space="0" w:color="auto"/>
            <w:right w:val="none" w:sz="0" w:space="0" w:color="auto"/>
          </w:divBdr>
        </w:div>
        <w:div w:id="1128084563">
          <w:marLeft w:val="0"/>
          <w:marRight w:val="0"/>
          <w:marTop w:val="0"/>
          <w:marBottom w:val="0"/>
          <w:divBdr>
            <w:top w:val="none" w:sz="0" w:space="0" w:color="auto"/>
            <w:left w:val="none" w:sz="0" w:space="0" w:color="auto"/>
            <w:bottom w:val="none" w:sz="0" w:space="0" w:color="auto"/>
            <w:right w:val="none" w:sz="0" w:space="0" w:color="auto"/>
          </w:divBdr>
        </w:div>
        <w:div w:id="1144203706">
          <w:marLeft w:val="0"/>
          <w:marRight w:val="0"/>
          <w:marTop w:val="0"/>
          <w:marBottom w:val="0"/>
          <w:divBdr>
            <w:top w:val="none" w:sz="0" w:space="0" w:color="auto"/>
            <w:left w:val="none" w:sz="0" w:space="0" w:color="auto"/>
            <w:bottom w:val="none" w:sz="0" w:space="0" w:color="auto"/>
            <w:right w:val="none" w:sz="0" w:space="0" w:color="auto"/>
          </w:divBdr>
        </w:div>
        <w:div w:id="1144617808">
          <w:marLeft w:val="0"/>
          <w:marRight w:val="0"/>
          <w:marTop w:val="0"/>
          <w:marBottom w:val="0"/>
          <w:divBdr>
            <w:top w:val="none" w:sz="0" w:space="0" w:color="auto"/>
            <w:left w:val="none" w:sz="0" w:space="0" w:color="auto"/>
            <w:bottom w:val="none" w:sz="0" w:space="0" w:color="auto"/>
            <w:right w:val="none" w:sz="0" w:space="0" w:color="auto"/>
          </w:divBdr>
        </w:div>
        <w:div w:id="1166245265">
          <w:marLeft w:val="0"/>
          <w:marRight w:val="0"/>
          <w:marTop w:val="0"/>
          <w:marBottom w:val="0"/>
          <w:divBdr>
            <w:top w:val="none" w:sz="0" w:space="0" w:color="auto"/>
            <w:left w:val="none" w:sz="0" w:space="0" w:color="auto"/>
            <w:bottom w:val="none" w:sz="0" w:space="0" w:color="auto"/>
            <w:right w:val="none" w:sz="0" w:space="0" w:color="auto"/>
          </w:divBdr>
        </w:div>
        <w:div w:id="1171483220">
          <w:marLeft w:val="0"/>
          <w:marRight w:val="0"/>
          <w:marTop w:val="0"/>
          <w:marBottom w:val="0"/>
          <w:divBdr>
            <w:top w:val="none" w:sz="0" w:space="0" w:color="auto"/>
            <w:left w:val="none" w:sz="0" w:space="0" w:color="auto"/>
            <w:bottom w:val="none" w:sz="0" w:space="0" w:color="auto"/>
            <w:right w:val="none" w:sz="0" w:space="0" w:color="auto"/>
          </w:divBdr>
        </w:div>
        <w:div w:id="1177235266">
          <w:marLeft w:val="0"/>
          <w:marRight w:val="0"/>
          <w:marTop w:val="0"/>
          <w:marBottom w:val="0"/>
          <w:divBdr>
            <w:top w:val="none" w:sz="0" w:space="0" w:color="auto"/>
            <w:left w:val="none" w:sz="0" w:space="0" w:color="auto"/>
            <w:bottom w:val="none" w:sz="0" w:space="0" w:color="auto"/>
            <w:right w:val="none" w:sz="0" w:space="0" w:color="auto"/>
          </w:divBdr>
        </w:div>
        <w:div w:id="1177422326">
          <w:marLeft w:val="0"/>
          <w:marRight w:val="0"/>
          <w:marTop w:val="0"/>
          <w:marBottom w:val="0"/>
          <w:divBdr>
            <w:top w:val="none" w:sz="0" w:space="0" w:color="auto"/>
            <w:left w:val="none" w:sz="0" w:space="0" w:color="auto"/>
            <w:bottom w:val="none" w:sz="0" w:space="0" w:color="auto"/>
            <w:right w:val="none" w:sz="0" w:space="0" w:color="auto"/>
          </w:divBdr>
        </w:div>
        <w:div w:id="1183008275">
          <w:marLeft w:val="0"/>
          <w:marRight w:val="0"/>
          <w:marTop w:val="0"/>
          <w:marBottom w:val="0"/>
          <w:divBdr>
            <w:top w:val="none" w:sz="0" w:space="0" w:color="auto"/>
            <w:left w:val="none" w:sz="0" w:space="0" w:color="auto"/>
            <w:bottom w:val="none" w:sz="0" w:space="0" w:color="auto"/>
            <w:right w:val="none" w:sz="0" w:space="0" w:color="auto"/>
          </w:divBdr>
        </w:div>
        <w:div w:id="1193376664">
          <w:marLeft w:val="0"/>
          <w:marRight w:val="0"/>
          <w:marTop w:val="0"/>
          <w:marBottom w:val="0"/>
          <w:divBdr>
            <w:top w:val="none" w:sz="0" w:space="0" w:color="auto"/>
            <w:left w:val="none" w:sz="0" w:space="0" w:color="auto"/>
            <w:bottom w:val="none" w:sz="0" w:space="0" w:color="auto"/>
            <w:right w:val="none" w:sz="0" w:space="0" w:color="auto"/>
          </w:divBdr>
        </w:div>
        <w:div w:id="1209028342">
          <w:marLeft w:val="0"/>
          <w:marRight w:val="0"/>
          <w:marTop w:val="0"/>
          <w:marBottom w:val="0"/>
          <w:divBdr>
            <w:top w:val="none" w:sz="0" w:space="0" w:color="auto"/>
            <w:left w:val="none" w:sz="0" w:space="0" w:color="auto"/>
            <w:bottom w:val="none" w:sz="0" w:space="0" w:color="auto"/>
            <w:right w:val="none" w:sz="0" w:space="0" w:color="auto"/>
          </w:divBdr>
        </w:div>
        <w:div w:id="1209142208">
          <w:marLeft w:val="0"/>
          <w:marRight w:val="0"/>
          <w:marTop w:val="0"/>
          <w:marBottom w:val="0"/>
          <w:divBdr>
            <w:top w:val="none" w:sz="0" w:space="0" w:color="auto"/>
            <w:left w:val="none" w:sz="0" w:space="0" w:color="auto"/>
            <w:bottom w:val="none" w:sz="0" w:space="0" w:color="auto"/>
            <w:right w:val="none" w:sz="0" w:space="0" w:color="auto"/>
          </w:divBdr>
        </w:div>
        <w:div w:id="1219047212">
          <w:marLeft w:val="0"/>
          <w:marRight w:val="0"/>
          <w:marTop w:val="0"/>
          <w:marBottom w:val="0"/>
          <w:divBdr>
            <w:top w:val="none" w:sz="0" w:space="0" w:color="auto"/>
            <w:left w:val="none" w:sz="0" w:space="0" w:color="auto"/>
            <w:bottom w:val="none" w:sz="0" w:space="0" w:color="auto"/>
            <w:right w:val="none" w:sz="0" w:space="0" w:color="auto"/>
          </w:divBdr>
        </w:div>
        <w:div w:id="1222405075">
          <w:marLeft w:val="0"/>
          <w:marRight w:val="0"/>
          <w:marTop w:val="0"/>
          <w:marBottom w:val="0"/>
          <w:divBdr>
            <w:top w:val="none" w:sz="0" w:space="0" w:color="auto"/>
            <w:left w:val="none" w:sz="0" w:space="0" w:color="auto"/>
            <w:bottom w:val="none" w:sz="0" w:space="0" w:color="auto"/>
            <w:right w:val="none" w:sz="0" w:space="0" w:color="auto"/>
          </w:divBdr>
        </w:div>
        <w:div w:id="1222868615">
          <w:marLeft w:val="0"/>
          <w:marRight w:val="0"/>
          <w:marTop w:val="0"/>
          <w:marBottom w:val="0"/>
          <w:divBdr>
            <w:top w:val="none" w:sz="0" w:space="0" w:color="auto"/>
            <w:left w:val="none" w:sz="0" w:space="0" w:color="auto"/>
            <w:bottom w:val="none" w:sz="0" w:space="0" w:color="auto"/>
            <w:right w:val="none" w:sz="0" w:space="0" w:color="auto"/>
          </w:divBdr>
        </w:div>
        <w:div w:id="1224489592">
          <w:marLeft w:val="0"/>
          <w:marRight w:val="0"/>
          <w:marTop w:val="0"/>
          <w:marBottom w:val="0"/>
          <w:divBdr>
            <w:top w:val="none" w:sz="0" w:space="0" w:color="auto"/>
            <w:left w:val="none" w:sz="0" w:space="0" w:color="auto"/>
            <w:bottom w:val="none" w:sz="0" w:space="0" w:color="auto"/>
            <w:right w:val="none" w:sz="0" w:space="0" w:color="auto"/>
          </w:divBdr>
        </w:div>
        <w:div w:id="1243484985">
          <w:marLeft w:val="0"/>
          <w:marRight w:val="0"/>
          <w:marTop w:val="0"/>
          <w:marBottom w:val="0"/>
          <w:divBdr>
            <w:top w:val="none" w:sz="0" w:space="0" w:color="auto"/>
            <w:left w:val="none" w:sz="0" w:space="0" w:color="auto"/>
            <w:bottom w:val="none" w:sz="0" w:space="0" w:color="auto"/>
            <w:right w:val="none" w:sz="0" w:space="0" w:color="auto"/>
          </w:divBdr>
        </w:div>
        <w:div w:id="1261720009">
          <w:marLeft w:val="0"/>
          <w:marRight w:val="0"/>
          <w:marTop w:val="0"/>
          <w:marBottom w:val="0"/>
          <w:divBdr>
            <w:top w:val="none" w:sz="0" w:space="0" w:color="auto"/>
            <w:left w:val="none" w:sz="0" w:space="0" w:color="auto"/>
            <w:bottom w:val="none" w:sz="0" w:space="0" w:color="auto"/>
            <w:right w:val="none" w:sz="0" w:space="0" w:color="auto"/>
          </w:divBdr>
        </w:div>
        <w:div w:id="1261990094">
          <w:marLeft w:val="0"/>
          <w:marRight w:val="0"/>
          <w:marTop w:val="0"/>
          <w:marBottom w:val="0"/>
          <w:divBdr>
            <w:top w:val="none" w:sz="0" w:space="0" w:color="auto"/>
            <w:left w:val="none" w:sz="0" w:space="0" w:color="auto"/>
            <w:bottom w:val="none" w:sz="0" w:space="0" w:color="auto"/>
            <w:right w:val="none" w:sz="0" w:space="0" w:color="auto"/>
          </w:divBdr>
        </w:div>
        <w:div w:id="1269041083">
          <w:marLeft w:val="0"/>
          <w:marRight w:val="0"/>
          <w:marTop w:val="0"/>
          <w:marBottom w:val="0"/>
          <w:divBdr>
            <w:top w:val="none" w:sz="0" w:space="0" w:color="auto"/>
            <w:left w:val="none" w:sz="0" w:space="0" w:color="auto"/>
            <w:bottom w:val="none" w:sz="0" w:space="0" w:color="auto"/>
            <w:right w:val="none" w:sz="0" w:space="0" w:color="auto"/>
          </w:divBdr>
        </w:div>
        <w:div w:id="1300182828">
          <w:marLeft w:val="0"/>
          <w:marRight w:val="0"/>
          <w:marTop w:val="0"/>
          <w:marBottom w:val="0"/>
          <w:divBdr>
            <w:top w:val="none" w:sz="0" w:space="0" w:color="auto"/>
            <w:left w:val="none" w:sz="0" w:space="0" w:color="auto"/>
            <w:bottom w:val="none" w:sz="0" w:space="0" w:color="auto"/>
            <w:right w:val="none" w:sz="0" w:space="0" w:color="auto"/>
          </w:divBdr>
        </w:div>
        <w:div w:id="1324822773">
          <w:marLeft w:val="0"/>
          <w:marRight w:val="0"/>
          <w:marTop w:val="0"/>
          <w:marBottom w:val="0"/>
          <w:divBdr>
            <w:top w:val="none" w:sz="0" w:space="0" w:color="auto"/>
            <w:left w:val="none" w:sz="0" w:space="0" w:color="auto"/>
            <w:bottom w:val="none" w:sz="0" w:space="0" w:color="auto"/>
            <w:right w:val="none" w:sz="0" w:space="0" w:color="auto"/>
          </w:divBdr>
        </w:div>
        <w:div w:id="1345009125">
          <w:marLeft w:val="0"/>
          <w:marRight w:val="0"/>
          <w:marTop w:val="0"/>
          <w:marBottom w:val="0"/>
          <w:divBdr>
            <w:top w:val="none" w:sz="0" w:space="0" w:color="auto"/>
            <w:left w:val="none" w:sz="0" w:space="0" w:color="auto"/>
            <w:bottom w:val="none" w:sz="0" w:space="0" w:color="auto"/>
            <w:right w:val="none" w:sz="0" w:space="0" w:color="auto"/>
          </w:divBdr>
        </w:div>
        <w:div w:id="1381593647">
          <w:marLeft w:val="0"/>
          <w:marRight w:val="0"/>
          <w:marTop w:val="0"/>
          <w:marBottom w:val="0"/>
          <w:divBdr>
            <w:top w:val="none" w:sz="0" w:space="0" w:color="auto"/>
            <w:left w:val="none" w:sz="0" w:space="0" w:color="auto"/>
            <w:bottom w:val="none" w:sz="0" w:space="0" w:color="auto"/>
            <w:right w:val="none" w:sz="0" w:space="0" w:color="auto"/>
          </w:divBdr>
        </w:div>
        <w:div w:id="1384137256">
          <w:marLeft w:val="0"/>
          <w:marRight w:val="0"/>
          <w:marTop w:val="0"/>
          <w:marBottom w:val="0"/>
          <w:divBdr>
            <w:top w:val="none" w:sz="0" w:space="0" w:color="auto"/>
            <w:left w:val="none" w:sz="0" w:space="0" w:color="auto"/>
            <w:bottom w:val="none" w:sz="0" w:space="0" w:color="auto"/>
            <w:right w:val="none" w:sz="0" w:space="0" w:color="auto"/>
          </w:divBdr>
        </w:div>
        <w:div w:id="1415977976">
          <w:marLeft w:val="0"/>
          <w:marRight w:val="0"/>
          <w:marTop w:val="0"/>
          <w:marBottom w:val="0"/>
          <w:divBdr>
            <w:top w:val="none" w:sz="0" w:space="0" w:color="auto"/>
            <w:left w:val="none" w:sz="0" w:space="0" w:color="auto"/>
            <w:bottom w:val="none" w:sz="0" w:space="0" w:color="auto"/>
            <w:right w:val="none" w:sz="0" w:space="0" w:color="auto"/>
          </w:divBdr>
        </w:div>
        <w:div w:id="1432748350">
          <w:marLeft w:val="0"/>
          <w:marRight w:val="0"/>
          <w:marTop w:val="0"/>
          <w:marBottom w:val="0"/>
          <w:divBdr>
            <w:top w:val="none" w:sz="0" w:space="0" w:color="auto"/>
            <w:left w:val="none" w:sz="0" w:space="0" w:color="auto"/>
            <w:bottom w:val="none" w:sz="0" w:space="0" w:color="auto"/>
            <w:right w:val="none" w:sz="0" w:space="0" w:color="auto"/>
          </w:divBdr>
        </w:div>
        <w:div w:id="1438795757">
          <w:marLeft w:val="0"/>
          <w:marRight w:val="0"/>
          <w:marTop w:val="0"/>
          <w:marBottom w:val="0"/>
          <w:divBdr>
            <w:top w:val="none" w:sz="0" w:space="0" w:color="auto"/>
            <w:left w:val="none" w:sz="0" w:space="0" w:color="auto"/>
            <w:bottom w:val="none" w:sz="0" w:space="0" w:color="auto"/>
            <w:right w:val="none" w:sz="0" w:space="0" w:color="auto"/>
          </w:divBdr>
        </w:div>
        <w:div w:id="1446386793">
          <w:marLeft w:val="0"/>
          <w:marRight w:val="0"/>
          <w:marTop w:val="0"/>
          <w:marBottom w:val="0"/>
          <w:divBdr>
            <w:top w:val="none" w:sz="0" w:space="0" w:color="auto"/>
            <w:left w:val="none" w:sz="0" w:space="0" w:color="auto"/>
            <w:bottom w:val="none" w:sz="0" w:space="0" w:color="auto"/>
            <w:right w:val="none" w:sz="0" w:space="0" w:color="auto"/>
          </w:divBdr>
        </w:div>
        <w:div w:id="1454784304">
          <w:marLeft w:val="0"/>
          <w:marRight w:val="0"/>
          <w:marTop w:val="0"/>
          <w:marBottom w:val="0"/>
          <w:divBdr>
            <w:top w:val="none" w:sz="0" w:space="0" w:color="auto"/>
            <w:left w:val="none" w:sz="0" w:space="0" w:color="auto"/>
            <w:bottom w:val="none" w:sz="0" w:space="0" w:color="auto"/>
            <w:right w:val="none" w:sz="0" w:space="0" w:color="auto"/>
          </w:divBdr>
        </w:div>
        <w:div w:id="1461656228">
          <w:marLeft w:val="0"/>
          <w:marRight w:val="0"/>
          <w:marTop w:val="0"/>
          <w:marBottom w:val="0"/>
          <w:divBdr>
            <w:top w:val="none" w:sz="0" w:space="0" w:color="auto"/>
            <w:left w:val="none" w:sz="0" w:space="0" w:color="auto"/>
            <w:bottom w:val="none" w:sz="0" w:space="0" w:color="auto"/>
            <w:right w:val="none" w:sz="0" w:space="0" w:color="auto"/>
          </w:divBdr>
        </w:div>
        <w:div w:id="1473979147">
          <w:marLeft w:val="0"/>
          <w:marRight w:val="0"/>
          <w:marTop w:val="0"/>
          <w:marBottom w:val="0"/>
          <w:divBdr>
            <w:top w:val="none" w:sz="0" w:space="0" w:color="auto"/>
            <w:left w:val="none" w:sz="0" w:space="0" w:color="auto"/>
            <w:bottom w:val="none" w:sz="0" w:space="0" w:color="auto"/>
            <w:right w:val="none" w:sz="0" w:space="0" w:color="auto"/>
          </w:divBdr>
        </w:div>
        <w:div w:id="1504203732">
          <w:marLeft w:val="0"/>
          <w:marRight w:val="0"/>
          <w:marTop w:val="0"/>
          <w:marBottom w:val="0"/>
          <w:divBdr>
            <w:top w:val="none" w:sz="0" w:space="0" w:color="auto"/>
            <w:left w:val="none" w:sz="0" w:space="0" w:color="auto"/>
            <w:bottom w:val="none" w:sz="0" w:space="0" w:color="auto"/>
            <w:right w:val="none" w:sz="0" w:space="0" w:color="auto"/>
          </w:divBdr>
        </w:div>
        <w:div w:id="1521620388">
          <w:marLeft w:val="0"/>
          <w:marRight w:val="0"/>
          <w:marTop w:val="0"/>
          <w:marBottom w:val="0"/>
          <w:divBdr>
            <w:top w:val="none" w:sz="0" w:space="0" w:color="auto"/>
            <w:left w:val="none" w:sz="0" w:space="0" w:color="auto"/>
            <w:bottom w:val="none" w:sz="0" w:space="0" w:color="auto"/>
            <w:right w:val="none" w:sz="0" w:space="0" w:color="auto"/>
          </w:divBdr>
        </w:div>
        <w:div w:id="1524129884">
          <w:marLeft w:val="0"/>
          <w:marRight w:val="0"/>
          <w:marTop w:val="0"/>
          <w:marBottom w:val="0"/>
          <w:divBdr>
            <w:top w:val="none" w:sz="0" w:space="0" w:color="auto"/>
            <w:left w:val="none" w:sz="0" w:space="0" w:color="auto"/>
            <w:bottom w:val="none" w:sz="0" w:space="0" w:color="auto"/>
            <w:right w:val="none" w:sz="0" w:space="0" w:color="auto"/>
          </w:divBdr>
        </w:div>
        <w:div w:id="1524172912">
          <w:marLeft w:val="0"/>
          <w:marRight w:val="0"/>
          <w:marTop w:val="0"/>
          <w:marBottom w:val="0"/>
          <w:divBdr>
            <w:top w:val="none" w:sz="0" w:space="0" w:color="auto"/>
            <w:left w:val="none" w:sz="0" w:space="0" w:color="auto"/>
            <w:bottom w:val="none" w:sz="0" w:space="0" w:color="auto"/>
            <w:right w:val="none" w:sz="0" w:space="0" w:color="auto"/>
          </w:divBdr>
        </w:div>
        <w:div w:id="1535653962">
          <w:marLeft w:val="0"/>
          <w:marRight w:val="0"/>
          <w:marTop w:val="0"/>
          <w:marBottom w:val="0"/>
          <w:divBdr>
            <w:top w:val="none" w:sz="0" w:space="0" w:color="auto"/>
            <w:left w:val="none" w:sz="0" w:space="0" w:color="auto"/>
            <w:bottom w:val="none" w:sz="0" w:space="0" w:color="auto"/>
            <w:right w:val="none" w:sz="0" w:space="0" w:color="auto"/>
          </w:divBdr>
        </w:div>
        <w:div w:id="1541429424">
          <w:marLeft w:val="0"/>
          <w:marRight w:val="0"/>
          <w:marTop w:val="0"/>
          <w:marBottom w:val="0"/>
          <w:divBdr>
            <w:top w:val="none" w:sz="0" w:space="0" w:color="auto"/>
            <w:left w:val="none" w:sz="0" w:space="0" w:color="auto"/>
            <w:bottom w:val="none" w:sz="0" w:space="0" w:color="auto"/>
            <w:right w:val="none" w:sz="0" w:space="0" w:color="auto"/>
          </w:divBdr>
        </w:div>
        <w:div w:id="1547453280">
          <w:marLeft w:val="0"/>
          <w:marRight w:val="0"/>
          <w:marTop w:val="0"/>
          <w:marBottom w:val="0"/>
          <w:divBdr>
            <w:top w:val="none" w:sz="0" w:space="0" w:color="auto"/>
            <w:left w:val="none" w:sz="0" w:space="0" w:color="auto"/>
            <w:bottom w:val="none" w:sz="0" w:space="0" w:color="auto"/>
            <w:right w:val="none" w:sz="0" w:space="0" w:color="auto"/>
          </w:divBdr>
        </w:div>
        <w:div w:id="1552231083">
          <w:marLeft w:val="0"/>
          <w:marRight w:val="0"/>
          <w:marTop w:val="0"/>
          <w:marBottom w:val="0"/>
          <w:divBdr>
            <w:top w:val="none" w:sz="0" w:space="0" w:color="auto"/>
            <w:left w:val="none" w:sz="0" w:space="0" w:color="auto"/>
            <w:bottom w:val="none" w:sz="0" w:space="0" w:color="auto"/>
            <w:right w:val="none" w:sz="0" w:space="0" w:color="auto"/>
          </w:divBdr>
        </w:div>
        <w:div w:id="1602105549">
          <w:marLeft w:val="0"/>
          <w:marRight w:val="0"/>
          <w:marTop w:val="0"/>
          <w:marBottom w:val="0"/>
          <w:divBdr>
            <w:top w:val="none" w:sz="0" w:space="0" w:color="auto"/>
            <w:left w:val="none" w:sz="0" w:space="0" w:color="auto"/>
            <w:bottom w:val="none" w:sz="0" w:space="0" w:color="auto"/>
            <w:right w:val="none" w:sz="0" w:space="0" w:color="auto"/>
          </w:divBdr>
        </w:div>
        <w:div w:id="1613587284">
          <w:marLeft w:val="0"/>
          <w:marRight w:val="0"/>
          <w:marTop w:val="0"/>
          <w:marBottom w:val="0"/>
          <w:divBdr>
            <w:top w:val="none" w:sz="0" w:space="0" w:color="auto"/>
            <w:left w:val="none" w:sz="0" w:space="0" w:color="auto"/>
            <w:bottom w:val="none" w:sz="0" w:space="0" w:color="auto"/>
            <w:right w:val="none" w:sz="0" w:space="0" w:color="auto"/>
          </w:divBdr>
        </w:div>
        <w:div w:id="1619681320">
          <w:marLeft w:val="0"/>
          <w:marRight w:val="0"/>
          <w:marTop w:val="0"/>
          <w:marBottom w:val="0"/>
          <w:divBdr>
            <w:top w:val="none" w:sz="0" w:space="0" w:color="auto"/>
            <w:left w:val="none" w:sz="0" w:space="0" w:color="auto"/>
            <w:bottom w:val="none" w:sz="0" w:space="0" w:color="auto"/>
            <w:right w:val="none" w:sz="0" w:space="0" w:color="auto"/>
          </w:divBdr>
        </w:div>
        <w:div w:id="1630817506">
          <w:marLeft w:val="0"/>
          <w:marRight w:val="0"/>
          <w:marTop w:val="0"/>
          <w:marBottom w:val="0"/>
          <w:divBdr>
            <w:top w:val="none" w:sz="0" w:space="0" w:color="auto"/>
            <w:left w:val="none" w:sz="0" w:space="0" w:color="auto"/>
            <w:bottom w:val="none" w:sz="0" w:space="0" w:color="auto"/>
            <w:right w:val="none" w:sz="0" w:space="0" w:color="auto"/>
          </w:divBdr>
        </w:div>
        <w:div w:id="1630820796">
          <w:marLeft w:val="0"/>
          <w:marRight w:val="0"/>
          <w:marTop w:val="0"/>
          <w:marBottom w:val="0"/>
          <w:divBdr>
            <w:top w:val="none" w:sz="0" w:space="0" w:color="auto"/>
            <w:left w:val="none" w:sz="0" w:space="0" w:color="auto"/>
            <w:bottom w:val="none" w:sz="0" w:space="0" w:color="auto"/>
            <w:right w:val="none" w:sz="0" w:space="0" w:color="auto"/>
          </w:divBdr>
        </w:div>
        <w:div w:id="1633945779">
          <w:marLeft w:val="0"/>
          <w:marRight w:val="0"/>
          <w:marTop w:val="0"/>
          <w:marBottom w:val="0"/>
          <w:divBdr>
            <w:top w:val="none" w:sz="0" w:space="0" w:color="auto"/>
            <w:left w:val="none" w:sz="0" w:space="0" w:color="auto"/>
            <w:bottom w:val="none" w:sz="0" w:space="0" w:color="auto"/>
            <w:right w:val="none" w:sz="0" w:space="0" w:color="auto"/>
          </w:divBdr>
        </w:div>
        <w:div w:id="1655570848">
          <w:marLeft w:val="0"/>
          <w:marRight w:val="0"/>
          <w:marTop w:val="0"/>
          <w:marBottom w:val="0"/>
          <w:divBdr>
            <w:top w:val="none" w:sz="0" w:space="0" w:color="auto"/>
            <w:left w:val="none" w:sz="0" w:space="0" w:color="auto"/>
            <w:bottom w:val="none" w:sz="0" w:space="0" w:color="auto"/>
            <w:right w:val="none" w:sz="0" w:space="0" w:color="auto"/>
          </w:divBdr>
        </w:div>
        <w:div w:id="1658916246">
          <w:marLeft w:val="0"/>
          <w:marRight w:val="0"/>
          <w:marTop w:val="0"/>
          <w:marBottom w:val="0"/>
          <w:divBdr>
            <w:top w:val="none" w:sz="0" w:space="0" w:color="auto"/>
            <w:left w:val="none" w:sz="0" w:space="0" w:color="auto"/>
            <w:bottom w:val="none" w:sz="0" w:space="0" w:color="auto"/>
            <w:right w:val="none" w:sz="0" w:space="0" w:color="auto"/>
          </w:divBdr>
        </w:div>
        <w:div w:id="1708872696">
          <w:marLeft w:val="0"/>
          <w:marRight w:val="0"/>
          <w:marTop w:val="0"/>
          <w:marBottom w:val="0"/>
          <w:divBdr>
            <w:top w:val="none" w:sz="0" w:space="0" w:color="auto"/>
            <w:left w:val="none" w:sz="0" w:space="0" w:color="auto"/>
            <w:bottom w:val="none" w:sz="0" w:space="0" w:color="auto"/>
            <w:right w:val="none" w:sz="0" w:space="0" w:color="auto"/>
          </w:divBdr>
        </w:div>
        <w:div w:id="1719014274">
          <w:marLeft w:val="0"/>
          <w:marRight w:val="0"/>
          <w:marTop w:val="0"/>
          <w:marBottom w:val="0"/>
          <w:divBdr>
            <w:top w:val="none" w:sz="0" w:space="0" w:color="auto"/>
            <w:left w:val="none" w:sz="0" w:space="0" w:color="auto"/>
            <w:bottom w:val="none" w:sz="0" w:space="0" w:color="auto"/>
            <w:right w:val="none" w:sz="0" w:space="0" w:color="auto"/>
          </w:divBdr>
        </w:div>
        <w:div w:id="1721322601">
          <w:marLeft w:val="0"/>
          <w:marRight w:val="0"/>
          <w:marTop w:val="0"/>
          <w:marBottom w:val="0"/>
          <w:divBdr>
            <w:top w:val="none" w:sz="0" w:space="0" w:color="auto"/>
            <w:left w:val="none" w:sz="0" w:space="0" w:color="auto"/>
            <w:bottom w:val="none" w:sz="0" w:space="0" w:color="auto"/>
            <w:right w:val="none" w:sz="0" w:space="0" w:color="auto"/>
          </w:divBdr>
        </w:div>
        <w:div w:id="1734812171">
          <w:marLeft w:val="0"/>
          <w:marRight w:val="0"/>
          <w:marTop w:val="0"/>
          <w:marBottom w:val="0"/>
          <w:divBdr>
            <w:top w:val="none" w:sz="0" w:space="0" w:color="auto"/>
            <w:left w:val="none" w:sz="0" w:space="0" w:color="auto"/>
            <w:bottom w:val="none" w:sz="0" w:space="0" w:color="auto"/>
            <w:right w:val="none" w:sz="0" w:space="0" w:color="auto"/>
          </w:divBdr>
        </w:div>
        <w:div w:id="1761174163">
          <w:marLeft w:val="0"/>
          <w:marRight w:val="0"/>
          <w:marTop w:val="0"/>
          <w:marBottom w:val="0"/>
          <w:divBdr>
            <w:top w:val="none" w:sz="0" w:space="0" w:color="auto"/>
            <w:left w:val="none" w:sz="0" w:space="0" w:color="auto"/>
            <w:bottom w:val="none" w:sz="0" w:space="0" w:color="auto"/>
            <w:right w:val="none" w:sz="0" w:space="0" w:color="auto"/>
          </w:divBdr>
        </w:div>
        <w:div w:id="1796871148">
          <w:marLeft w:val="0"/>
          <w:marRight w:val="0"/>
          <w:marTop w:val="0"/>
          <w:marBottom w:val="0"/>
          <w:divBdr>
            <w:top w:val="none" w:sz="0" w:space="0" w:color="auto"/>
            <w:left w:val="none" w:sz="0" w:space="0" w:color="auto"/>
            <w:bottom w:val="none" w:sz="0" w:space="0" w:color="auto"/>
            <w:right w:val="none" w:sz="0" w:space="0" w:color="auto"/>
          </w:divBdr>
        </w:div>
        <w:div w:id="1806895479">
          <w:marLeft w:val="0"/>
          <w:marRight w:val="0"/>
          <w:marTop w:val="0"/>
          <w:marBottom w:val="0"/>
          <w:divBdr>
            <w:top w:val="none" w:sz="0" w:space="0" w:color="auto"/>
            <w:left w:val="none" w:sz="0" w:space="0" w:color="auto"/>
            <w:bottom w:val="none" w:sz="0" w:space="0" w:color="auto"/>
            <w:right w:val="none" w:sz="0" w:space="0" w:color="auto"/>
          </w:divBdr>
        </w:div>
        <w:div w:id="1828934106">
          <w:marLeft w:val="0"/>
          <w:marRight w:val="0"/>
          <w:marTop w:val="0"/>
          <w:marBottom w:val="0"/>
          <w:divBdr>
            <w:top w:val="none" w:sz="0" w:space="0" w:color="auto"/>
            <w:left w:val="none" w:sz="0" w:space="0" w:color="auto"/>
            <w:bottom w:val="none" w:sz="0" w:space="0" w:color="auto"/>
            <w:right w:val="none" w:sz="0" w:space="0" w:color="auto"/>
          </w:divBdr>
        </w:div>
        <w:div w:id="1833375956">
          <w:marLeft w:val="0"/>
          <w:marRight w:val="0"/>
          <w:marTop w:val="0"/>
          <w:marBottom w:val="0"/>
          <w:divBdr>
            <w:top w:val="none" w:sz="0" w:space="0" w:color="auto"/>
            <w:left w:val="none" w:sz="0" w:space="0" w:color="auto"/>
            <w:bottom w:val="none" w:sz="0" w:space="0" w:color="auto"/>
            <w:right w:val="none" w:sz="0" w:space="0" w:color="auto"/>
          </w:divBdr>
        </w:div>
        <w:div w:id="1837258568">
          <w:marLeft w:val="0"/>
          <w:marRight w:val="0"/>
          <w:marTop w:val="0"/>
          <w:marBottom w:val="0"/>
          <w:divBdr>
            <w:top w:val="none" w:sz="0" w:space="0" w:color="auto"/>
            <w:left w:val="none" w:sz="0" w:space="0" w:color="auto"/>
            <w:bottom w:val="none" w:sz="0" w:space="0" w:color="auto"/>
            <w:right w:val="none" w:sz="0" w:space="0" w:color="auto"/>
          </w:divBdr>
        </w:div>
        <w:div w:id="1837455652">
          <w:marLeft w:val="0"/>
          <w:marRight w:val="0"/>
          <w:marTop w:val="0"/>
          <w:marBottom w:val="0"/>
          <w:divBdr>
            <w:top w:val="none" w:sz="0" w:space="0" w:color="auto"/>
            <w:left w:val="none" w:sz="0" w:space="0" w:color="auto"/>
            <w:bottom w:val="none" w:sz="0" w:space="0" w:color="auto"/>
            <w:right w:val="none" w:sz="0" w:space="0" w:color="auto"/>
          </w:divBdr>
        </w:div>
        <w:div w:id="1853254798">
          <w:marLeft w:val="0"/>
          <w:marRight w:val="0"/>
          <w:marTop w:val="0"/>
          <w:marBottom w:val="0"/>
          <w:divBdr>
            <w:top w:val="none" w:sz="0" w:space="0" w:color="auto"/>
            <w:left w:val="none" w:sz="0" w:space="0" w:color="auto"/>
            <w:bottom w:val="none" w:sz="0" w:space="0" w:color="auto"/>
            <w:right w:val="none" w:sz="0" w:space="0" w:color="auto"/>
          </w:divBdr>
        </w:div>
        <w:div w:id="1868447090">
          <w:marLeft w:val="0"/>
          <w:marRight w:val="0"/>
          <w:marTop w:val="0"/>
          <w:marBottom w:val="0"/>
          <w:divBdr>
            <w:top w:val="none" w:sz="0" w:space="0" w:color="auto"/>
            <w:left w:val="none" w:sz="0" w:space="0" w:color="auto"/>
            <w:bottom w:val="none" w:sz="0" w:space="0" w:color="auto"/>
            <w:right w:val="none" w:sz="0" w:space="0" w:color="auto"/>
          </w:divBdr>
        </w:div>
        <w:div w:id="1873883319">
          <w:marLeft w:val="0"/>
          <w:marRight w:val="0"/>
          <w:marTop w:val="0"/>
          <w:marBottom w:val="0"/>
          <w:divBdr>
            <w:top w:val="none" w:sz="0" w:space="0" w:color="auto"/>
            <w:left w:val="none" w:sz="0" w:space="0" w:color="auto"/>
            <w:bottom w:val="none" w:sz="0" w:space="0" w:color="auto"/>
            <w:right w:val="none" w:sz="0" w:space="0" w:color="auto"/>
          </w:divBdr>
        </w:div>
        <w:div w:id="1883519467">
          <w:marLeft w:val="0"/>
          <w:marRight w:val="0"/>
          <w:marTop w:val="0"/>
          <w:marBottom w:val="0"/>
          <w:divBdr>
            <w:top w:val="none" w:sz="0" w:space="0" w:color="auto"/>
            <w:left w:val="none" w:sz="0" w:space="0" w:color="auto"/>
            <w:bottom w:val="none" w:sz="0" w:space="0" w:color="auto"/>
            <w:right w:val="none" w:sz="0" w:space="0" w:color="auto"/>
          </w:divBdr>
        </w:div>
        <w:div w:id="1913157811">
          <w:marLeft w:val="0"/>
          <w:marRight w:val="0"/>
          <w:marTop w:val="0"/>
          <w:marBottom w:val="0"/>
          <w:divBdr>
            <w:top w:val="none" w:sz="0" w:space="0" w:color="auto"/>
            <w:left w:val="none" w:sz="0" w:space="0" w:color="auto"/>
            <w:bottom w:val="none" w:sz="0" w:space="0" w:color="auto"/>
            <w:right w:val="none" w:sz="0" w:space="0" w:color="auto"/>
          </w:divBdr>
        </w:div>
        <w:div w:id="1913194015">
          <w:marLeft w:val="0"/>
          <w:marRight w:val="0"/>
          <w:marTop w:val="0"/>
          <w:marBottom w:val="0"/>
          <w:divBdr>
            <w:top w:val="none" w:sz="0" w:space="0" w:color="auto"/>
            <w:left w:val="none" w:sz="0" w:space="0" w:color="auto"/>
            <w:bottom w:val="none" w:sz="0" w:space="0" w:color="auto"/>
            <w:right w:val="none" w:sz="0" w:space="0" w:color="auto"/>
          </w:divBdr>
        </w:div>
        <w:div w:id="1914661220">
          <w:marLeft w:val="0"/>
          <w:marRight w:val="0"/>
          <w:marTop w:val="0"/>
          <w:marBottom w:val="0"/>
          <w:divBdr>
            <w:top w:val="none" w:sz="0" w:space="0" w:color="auto"/>
            <w:left w:val="none" w:sz="0" w:space="0" w:color="auto"/>
            <w:bottom w:val="none" w:sz="0" w:space="0" w:color="auto"/>
            <w:right w:val="none" w:sz="0" w:space="0" w:color="auto"/>
          </w:divBdr>
        </w:div>
        <w:div w:id="1917782674">
          <w:marLeft w:val="0"/>
          <w:marRight w:val="0"/>
          <w:marTop w:val="0"/>
          <w:marBottom w:val="0"/>
          <w:divBdr>
            <w:top w:val="none" w:sz="0" w:space="0" w:color="auto"/>
            <w:left w:val="none" w:sz="0" w:space="0" w:color="auto"/>
            <w:bottom w:val="none" w:sz="0" w:space="0" w:color="auto"/>
            <w:right w:val="none" w:sz="0" w:space="0" w:color="auto"/>
          </w:divBdr>
        </w:div>
        <w:div w:id="1922719927">
          <w:marLeft w:val="0"/>
          <w:marRight w:val="0"/>
          <w:marTop w:val="0"/>
          <w:marBottom w:val="0"/>
          <w:divBdr>
            <w:top w:val="none" w:sz="0" w:space="0" w:color="auto"/>
            <w:left w:val="none" w:sz="0" w:space="0" w:color="auto"/>
            <w:bottom w:val="none" w:sz="0" w:space="0" w:color="auto"/>
            <w:right w:val="none" w:sz="0" w:space="0" w:color="auto"/>
          </w:divBdr>
        </w:div>
        <w:div w:id="1932008047">
          <w:marLeft w:val="0"/>
          <w:marRight w:val="0"/>
          <w:marTop w:val="0"/>
          <w:marBottom w:val="0"/>
          <w:divBdr>
            <w:top w:val="none" w:sz="0" w:space="0" w:color="auto"/>
            <w:left w:val="none" w:sz="0" w:space="0" w:color="auto"/>
            <w:bottom w:val="none" w:sz="0" w:space="0" w:color="auto"/>
            <w:right w:val="none" w:sz="0" w:space="0" w:color="auto"/>
          </w:divBdr>
        </w:div>
        <w:div w:id="1948150691">
          <w:marLeft w:val="0"/>
          <w:marRight w:val="0"/>
          <w:marTop w:val="0"/>
          <w:marBottom w:val="0"/>
          <w:divBdr>
            <w:top w:val="none" w:sz="0" w:space="0" w:color="auto"/>
            <w:left w:val="none" w:sz="0" w:space="0" w:color="auto"/>
            <w:bottom w:val="none" w:sz="0" w:space="0" w:color="auto"/>
            <w:right w:val="none" w:sz="0" w:space="0" w:color="auto"/>
          </w:divBdr>
        </w:div>
        <w:div w:id="1958829119">
          <w:marLeft w:val="0"/>
          <w:marRight w:val="0"/>
          <w:marTop w:val="0"/>
          <w:marBottom w:val="0"/>
          <w:divBdr>
            <w:top w:val="none" w:sz="0" w:space="0" w:color="auto"/>
            <w:left w:val="none" w:sz="0" w:space="0" w:color="auto"/>
            <w:bottom w:val="none" w:sz="0" w:space="0" w:color="auto"/>
            <w:right w:val="none" w:sz="0" w:space="0" w:color="auto"/>
          </w:divBdr>
        </w:div>
        <w:div w:id="1962761690">
          <w:marLeft w:val="0"/>
          <w:marRight w:val="0"/>
          <w:marTop w:val="0"/>
          <w:marBottom w:val="0"/>
          <w:divBdr>
            <w:top w:val="none" w:sz="0" w:space="0" w:color="auto"/>
            <w:left w:val="none" w:sz="0" w:space="0" w:color="auto"/>
            <w:bottom w:val="none" w:sz="0" w:space="0" w:color="auto"/>
            <w:right w:val="none" w:sz="0" w:space="0" w:color="auto"/>
          </w:divBdr>
        </w:div>
        <w:div w:id="1981416743">
          <w:marLeft w:val="0"/>
          <w:marRight w:val="0"/>
          <w:marTop w:val="0"/>
          <w:marBottom w:val="0"/>
          <w:divBdr>
            <w:top w:val="none" w:sz="0" w:space="0" w:color="auto"/>
            <w:left w:val="none" w:sz="0" w:space="0" w:color="auto"/>
            <w:bottom w:val="none" w:sz="0" w:space="0" w:color="auto"/>
            <w:right w:val="none" w:sz="0" w:space="0" w:color="auto"/>
          </w:divBdr>
        </w:div>
        <w:div w:id="1996369198">
          <w:marLeft w:val="0"/>
          <w:marRight w:val="0"/>
          <w:marTop w:val="0"/>
          <w:marBottom w:val="0"/>
          <w:divBdr>
            <w:top w:val="none" w:sz="0" w:space="0" w:color="auto"/>
            <w:left w:val="none" w:sz="0" w:space="0" w:color="auto"/>
            <w:bottom w:val="none" w:sz="0" w:space="0" w:color="auto"/>
            <w:right w:val="none" w:sz="0" w:space="0" w:color="auto"/>
          </w:divBdr>
        </w:div>
        <w:div w:id="2013678414">
          <w:marLeft w:val="0"/>
          <w:marRight w:val="0"/>
          <w:marTop w:val="0"/>
          <w:marBottom w:val="0"/>
          <w:divBdr>
            <w:top w:val="none" w:sz="0" w:space="0" w:color="auto"/>
            <w:left w:val="none" w:sz="0" w:space="0" w:color="auto"/>
            <w:bottom w:val="none" w:sz="0" w:space="0" w:color="auto"/>
            <w:right w:val="none" w:sz="0" w:space="0" w:color="auto"/>
          </w:divBdr>
        </w:div>
        <w:div w:id="2014065563">
          <w:marLeft w:val="0"/>
          <w:marRight w:val="0"/>
          <w:marTop w:val="0"/>
          <w:marBottom w:val="0"/>
          <w:divBdr>
            <w:top w:val="none" w:sz="0" w:space="0" w:color="auto"/>
            <w:left w:val="none" w:sz="0" w:space="0" w:color="auto"/>
            <w:bottom w:val="none" w:sz="0" w:space="0" w:color="auto"/>
            <w:right w:val="none" w:sz="0" w:space="0" w:color="auto"/>
          </w:divBdr>
        </w:div>
        <w:div w:id="2015913501">
          <w:marLeft w:val="0"/>
          <w:marRight w:val="0"/>
          <w:marTop w:val="0"/>
          <w:marBottom w:val="0"/>
          <w:divBdr>
            <w:top w:val="none" w:sz="0" w:space="0" w:color="auto"/>
            <w:left w:val="none" w:sz="0" w:space="0" w:color="auto"/>
            <w:bottom w:val="none" w:sz="0" w:space="0" w:color="auto"/>
            <w:right w:val="none" w:sz="0" w:space="0" w:color="auto"/>
          </w:divBdr>
        </w:div>
      </w:divsChild>
    </w:div>
    <w:div w:id="2012023684">
      <w:bodyDiv w:val="1"/>
      <w:marLeft w:val="0"/>
      <w:marRight w:val="0"/>
      <w:marTop w:val="0"/>
      <w:marBottom w:val="0"/>
      <w:divBdr>
        <w:top w:val="none" w:sz="0" w:space="0" w:color="auto"/>
        <w:left w:val="none" w:sz="0" w:space="0" w:color="auto"/>
        <w:bottom w:val="none" w:sz="0" w:space="0" w:color="auto"/>
        <w:right w:val="none" w:sz="0" w:space="0" w:color="auto"/>
      </w:divBdr>
    </w:div>
    <w:div w:id="2012028431">
      <w:bodyDiv w:val="1"/>
      <w:marLeft w:val="0"/>
      <w:marRight w:val="0"/>
      <w:marTop w:val="0"/>
      <w:marBottom w:val="0"/>
      <w:divBdr>
        <w:top w:val="none" w:sz="0" w:space="0" w:color="auto"/>
        <w:left w:val="none" w:sz="0" w:space="0" w:color="auto"/>
        <w:bottom w:val="none" w:sz="0" w:space="0" w:color="auto"/>
        <w:right w:val="none" w:sz="0" w:space="0" w:color="auto"/>
      </w:divBdr>
    </w:div>
    <w:div w:id="2012172281">
      <w:bodyDiv w:val="1"/>
      <w:marLeft w:val="0"/>
      <w:marRight w:val="0"/>
      <w:marTop w:val="0"/>
      <w:marBottom w:val="0"/>
      <w:divBdr>
        <w:top w:val="none" w:sz="0" w:space="0" w:color="auto"/>
        <w:left w:val="none" w:sz="0" w:space="0" w:color="auto"/>
        <w:bottom w:val="none" w:sz="0" w:space="0" w:color="auto"/>
        <w:right w:val="none" w:sz="0" w:space="0" w:color="auto"/>
      </w:divBdr>
    </w:div>
    <w:div w:id="2012173354">
      <w:bodyDiv w:val="1"/>
      <w:marLeft w:val="0"/>
      <w:marRight w:val="0"/>
      <w:marTop w:val="0"/>
      <w:marBottom w:val="0"/>
      <w:divBdr>
        <w:top w:val="none" w:sz="0" w:space="0" w:color="auto"/>
        <w:left w:val="none" w:sz="0" w:space="0" w:color="auto"/>
        <w:bottom w:val="none" w:sz="0" w:space="0" w:color="auto"/>
        <w:right w:val="none" w:sz="0" w:space="0" w:color="auto"/>
      </w:divBdr>
    </w:div>
    <w:div w:id="2012179999">
      <w:bodyDiv w:val="1"/>
      <w:marLeft w:val="0"/>
      <w:marRight w:val="0"/>
      <w:marTop w:val="0"/>
      <w:marBottom w:val="0"/>
      <w:divBdr>
        <w:top w:val="none" w:sz="0" w:space="0" w:color="auto"/>
        <w:left w:val="none" w:sz="0" w:space="0" w:color="auto"/>
        <w:bottom w:val="none" w:sz="0" w:space="0" w:color="auto"/>
        <w:right w:val="none" w:sz="0" w:space="0" w:color="auto"/>
      </w:divBdr>
    </w:div>
    <w:div w:id="2012222887">
      <w:bodyDiv w:val="1"/>
      <w:marLeft w:val="0"/>
      <w:marRight w:val="0"/>
      <w:marTop w:val="0"/>
      <w:marBottom w:val="0"/>
      <w:divBdr>
        <w:top w:val="none" w:sz="0" w:space="0" w:color="auto"/>
        <w:left w:val="none" w:sz="0" w:space="0" w:color="auto"/>
        <w:bottom w:val="none" w:sz="0" w:space="0" w:color="auto"/>
        <w:right w:val="none" w:sz="0" w:space="0" w:color="auto"/>
      </w:divBdr>
    </w:div>
    <w:div w:id="2012294401">
      <w:bodyDiv w:val="1"/>
      <w:marLeft w:val="0"/>
      <w:marRight w:val="0"/>
      <w:marTop w:val="0"/>
      <w:marBottom w:val="0"/>
      <w:divBdr>
        <w:top w:val="none" w:sz="0" w:space="0" w:color="auto"/>
        <w:left w:val="none" w:sz="0" w:space="0" w:color="auto"/>
        <w:bottom w:val="none" w:sz="0" w:space="0" w:color="auto"/>
        <w:right w:val="none" w:sz="0" w:space="0" w:color="auto"/>
      </w:divBdr>
    </w:div>
    <w:div w:id="2012446281">
      <w:bodyDiv w:val="1"/>
      <w:marLeft w:val="0"/>
      <w:marRight w:val="0"/>
      <w:marTop w:val="0"/>
      <w:marBottom w:val="0"/>
      <w:divBdr>
        <w:top w:val="none" w:sz="0" w:space="0" w:color="auto"/>
        <w:left w:val="none" w:sz="0" w:space="0" w:color="auto"/>
        <w:bottom w:val="none" w:sz="0" w:space="0" w:color="auto"/>
        <w:right w:val="none" w:sz="0" w:space="0" w:color="auto"/>
      </w:divBdr>
    </w:div>
    <w:div w:id="2012563414">
      <w:bodyDiv w:val="1"/>
      <w:marLeft w:val="0"/>
      <w:marRight w:val="0"/>
      <w:marTop w:val="0"/>
      <w:marBottom w:val="0"/>
      <w:divBdr>
        <w:top w:val="none" w:sz="0" w:space="0" w:color="auto"/>
        <w:left w:val="none" w:sz="0" w:space="0" w:color="auto"/>
        <w:bottom w:val="none" w:sz="0" w:space="0" w:color="auto"/>
        <w:right w:val="none" w:sz="0" w:space="0" w:color="auto"/>
      </w:divBdr>
    </w:div>
    <w:div w:id="2012567180">
      <w:bodyDiv w:val="1"/>
      <w:marLeft w:val="0"/>
      <w:marRight w:val="0"/>
      <w:marTop w:val="0"/>
      <w:marBottom w:val="0"/>
      <w:divBdr>
        <w:top w:val="none" w:sz="0" w:space="0" w:color="auto"/>
        <w:left w:val="none" w:sz="0" w:space="0" w:color="auto"/>
        <w:bottom w:val="none" w:sz="0" w:space="0" w:color="auto"/>
        <w:right w:val="none" w:sz="0" w:space="0" w:color="auto"/>
      </w:divBdr>
    </w:div>
    <w:div w:id="2012637391">
      <w:bodyDiv w:val="1"/>
      <w:marLeft w:val="0"/>
      <w:marRight w:val="0"/>
      <w:marTop w:val="0"/>
      <w:marBottom w:val="0"/>
      <w:divBdr>
        <w:top w:val="none" w:sz="0" w:space="0" w:color="auto"/>
        <w:left w:val="none" w:sz="0" w:space="0" w:color="auto"/>
        <w:bottom w:val="none" w:sz="0" w:space="0" w:color="auto"/>
        <w:right w:val="none" w:sz="0" w:space="0" w:color="auto"/>
      </w:divBdr>
    </w:div>
    <w:div w:id="2012683059">
      <w:bodyDiv w:val="1"/>
      <w:marLeft w:val="0"/>
      <w:marRight w:val="0"/>
      <w:marTop w:val="0"/>
      <w:marBottom w:val="0"/>
      <w:divBdr>
        <w:top w:val="none" w:sz="0" w:space="0" w:color="auto"/>
        <w:left w:val="none" w:sz="0" w:space="0" w:color="auto"/>
        <w:bottom w:val="none" w:sz="0" w:space="0" w:color="auto"/>
        <w:right w:val="none" w:sz="0" w:space="0" w:color="auto"/>
      </w:divBdr>
    </w:div>
    <w:div w:id="2012759809">
      <w:bodyDiv w:val="1"/>
      <w:marLeft w:val="0"/>
      <w:marRight w:val="0"/>
      <w:marTop w:val="0"/>
      <w:marBottom w:val="0"/>
      <w:divBdr>
        <w:top w:val="none" w:sz="0" w:space="0" w:color="auto"/>
        <w:left w:val="none" w:sz="0" w:space="0" w:color="auto"/>
        <w:bottom w:val="none" w:sz="0" w:space="0" w:color="auto"/>
        <w:right w:val="none" w:sz="0" w:space="0" w:color="auto"/>
      </w:divBdr>
    </w:div>
    <w:div w:id="2012831244">
      <w:bodyDiv w:val="1"/>
      <w:marLeft w:val="0"/>
      <w:marRight w:val="0"/>
      <w:marTop w:val="0"/>
      <w:marBottom w:val="0"/>
      <w:divBdr>
        <w:top w:val="none" w:sz="0" w:space="0" w:color="auto"/>
        <w:left w:val="none" w:sz="0" w:space="0" w:color="auto"/>
        <w:bottom w:val="none" w:sz="0" w:space="0" w:color="auto"/>
        <w:right w:val="none" w:sz="0" w:space="0" w:color="auto"/>
      </w:divBdr>
    </w:div>
    <w:div w:id="2012878557">
      <w:bodyDiv w:val="1"/>
      <w:marLeft w:val="0"/>
      <w:marRight w:val="0"/>
      <w:marTop w:val="0"/>
      <w:marBottom w:val="0"/>
      <w:divBdr>
        <w:top w:val="none" w:sz="0" w:space="0" w:color="auto"/>
        <w:left w:val="none" w:sz="0" w:space="0" w:color="auto"/>
        <w:bottom w:val="none" w:sz="0" w:space="0" w:color="auto"/>
        <w:right w:val="none" w:sz="0" w:space="0" w:color="auto"/>
      </w:divBdr>
    </w:div>
    <w:div w:id="2012904878">
      <w:bodyDiv w:val="1"/>
      <w:marLeft w:val="0"/>
      <w:marRight w:val="0"/>
      <w:marTop w:val="0"/>
      <w:marBottom w:val="0"/>
      <w:divBdr>
        <w:top w:val="none" w:sz="0" w:space="0" w:color="auto"/>
        <w:left w:val="none" w:sz="0" w:space="0" w:color="auto"/>
        <w:bottom w:val="none" w:sz="0" w:space="0" w:color="auto"/>
        <w:right w:val="none" w:sz="0" w:space="0" w:color="auto"/>
      </w:divBdr>
    </w:div>
    <w:div w:id="2012905377">
      <w:bodyDiv w:val="1"/>
      <w:marLeft w:val="0"/>
      <w:marRight w:val="0"/>
      <w:marTop w:val="0"/>
      <w:marBottom w:val="0"/>
      <w:divBdr>
        <w:top w:val="none" w:sz="0" w:space="0" w:color="auto"/>
        <w:left w:val="none" w:sz="0" w:space="0" w:color="auto"/>
        <w:bottom w:val="none" w:sz="0" w:space="0" w:color="auto"/>
        <w:right w:val="none" w:sz="0" w:space="0" w:color="auto"/>
      </w:divBdr>
    </w:div>
    <w:div w:id="2012944803">
      <w:bodyDiv w:val="1"/>
      <w:marLeft w:val="0"/>
      <w:marRight w:val="0"/>
      <w:marTop w:val="0"/>
      <w:marBottom w:val="0"/>
      <w:divBdr>
        <w:top w:val="none" w:sz="0" w:space="0" w:color="auto"/>
        <w:left w:val="none" w:sz="0" w:space="0" w:color="auto"/>
        <w:bottom w:val="none" w:sz="0" w:space="0" w:color="auto"/>
        <w:right w:val="none" w:sz="0" w:space="0" w:color="auto"/>
      </w:divBdr>
    </w:div>
    <w:div w:id="2012952692">
      <w:bodyDiv w:val="1"/>
      <w:marLeft w:val="0"/>
      <w:marRight w:val="0"/>
      <w:marTop w:val="0"/>
      <w:marBottom w:val="0"/>
      <w:divBdr>
        <w:top w:val="none" w:sz="0" w:space="0" w:color="auto"/>
        <w:left w:val="none" w:sz="0" w:space="0" w:color="auto"/>
        <w:bottom w:val="none" w:sz="0" w:space="0" w:color="auto"/>
        <w:right w:val="none" w:sz="0" w:space="0" w:color="auto"/>
      </w:divBdr>
    </w:div>
    <w:div w:id="2012952778">
      <w:bodyDiv w:val="1"/>
      <w:marLeft w:val="0"/>
      <w:marRight w:val="0"/>
      <w:marTop w:val="0"/>
      <w:marBottom w:val="0"/>
      <w:divBdr>
        <w:top w:val="none" w:sz="0" w:space="0" w:color="auto"/>
        <w:left w:val="none" w:sz="0" w:space="0" w:color="auto"/>
        <w:bottom w:val="none" w:sz="0" w:space="0" w:color="auto"/>
        <w:right w:val="none" w:sz="0" w:space="0" w:color="auto"/>
      </w:divBdr>
    </w:div>
    <w:div w:id="2013028482">
      <w:bodyDiv w:val="1"/>
      <w:marLeft w:val="0"/>
      <w:marRight w:val="0"/>
      <w:marTop w:val="0"/>
      <w:marBottom w:val="0"/>
      <w:divBdr>
        <w:top w:val="none" w:sz="0" w:space="0" w:color="auto"/>
        <w:left w:val="none" w:sz="0" w:space="0" w:color="auto"/>
        <w:bottom w:val="none" w:sz="0" w:space="0" w:color="auto"/>
        <w:right w:val="none" w:sz="0" w:space="0" w:color="auto"/>
      </w:divBdr>
    </w:div>
    <w:div w:id="2013099037">
      <w:bodyDiv w:val="1"/>
      <w:marLeft w:val="0"/>
      <w:marRight w:val="0"/>
      <w:marTop w:val="0"/>
      <w:marBottom w:val="0"/>
      <w:divBdr>
        <w:top w:val="none" w:sz="0" w:space="0" w:color="auto"/>
        <w:left w:val="none" w:sz="0" w:space="0" w:color="auto"/>
        <w:bottom w:val="none" w:sz="0" w:space="0" w:color="auto"/>
        <w:right w:val="none" w:sz="0" w:space="0" w:color="auto"/>
      </w:divBdr>
    </w:div>
    <w:div w:id="2013141537">
      <w:bodyDiv w:val="1"/>
      <w:marLeft w:val="0"/>
      <w:marRight w:val="0"/>
      <w:marTop w:val="0"/>
      <w:marBottom w:val="0"/>
      <w:divBdr>
        <w:top w:val="none" w:sz="0" w:space="0" w:color="auto"/>
        <w:left w:val="none" w:sz="0" w:space="0" w:color="auto"/>
        <w:bottom w:val="none" w:sz="0" w:space="0" w:color="auto"/>
        <w:right w:val="none" w:sz="0" w:space="0" w:color="auto"/>
      </w:divBdr>
    </w:div>
    <w:div w:id="2013291882">
      <w:bodyDiv w:val="1"/>
      <w:marLeft w:val="0"/>
      <w:marRight w:val="0"/>
      <w:marTop w:val="0"/>
      <w:marBottom w:val="0"/>
      <w:divBdr>
        <w:top w:val="none" w:sz="0" w:space="0" w:color="auto"/>
        <w:left w:val="none" w:sz="0" w:space="0" w:color="auto"/>
        <w:bottom w:val="none" w:sz="0" w:space="0" w:color="auto"/>
        <w:right w:val="none" w:sz="0" w:space="0" w:color="auto"/>
      </w:divBdr>
    </w:div>
    <w:div w:id="2013409471">
      <w:bodyDiv w:val="1"/>
      <w:marLeft w:val="0"/>
      <w:marRight w:val="0"/>
      <w:marTop w:val="0"/>
      <w:marBottom w:val="0"/>
      <w:divBdr>
        <w:top w:val="none" w:sz="0" w:space="0" w:color="auto"/>
        <w:left w:val="none" w:sz="0" w:space="0" w:color="auto"/>
        <w:bottom w:val="none" w:sz="0" w:space="0" w:color="auto"/>
        <w:right w:val="none" w:sz="0" w:space="0" w:color="auto"/>
      </w:divBdr>
    </w:div>
    <w:div w:id="2013485584">
      <w:bodyDiv w:val="1"/>
      <w:marLeft w:val="0"/>
      <w:marRight w:val="0"/>
      <w:marTop w:val="0"/>
      <w:marBottom w:val="0"/>
      <w:divBdr>
        <w:top w:val="none" w:sz="0" w:space="0" w:color="auto"/>
        <w:left w:val="none" w:sz="0" w:space="0" w:color="auto"/>
        <w:bottom w:val="none" w:sz="0" w:space="0" w:color="auto"/>
        <w:right w:val="none" w:sz="0" w:space="0" w:color="auto"/>
      </w:divBdr>
    </w:div>
    <w:div w:id="2013528868">
      <w:bodyDiv w:val="1"/>
      <w:marLeft w:val="0"/>
      <w:marRight w:val="0"/>
      <w:marTop w:val="0"/>
      <w:marBottom w:val="0"/>
      <w:divBdr>
        <w:top w:val="none" w:sz="0" w:space="0" w:color="auto"/>
        <w:left w:val="none" w:sz="0" w:space="0" w:color="auto"/>
        <w:bottom w:val="none" w:sz="0" w:space="0" w:color="auto"/>
        <w:right w:val="none" w:sz="0" w:space="0" w:color="auto"/>
      </w:divBdr>
    </w:div>
    <w:div w:id="2013602744">
      <w:bodyDiv w:val="1"/>
      <w:marLeft w:val="0"/>
      <w:marRight w:val="0"/>
      <w:marTop w:val="0"/>
      <w:marBottom w:val="0"/>
      <w:divBdr>
        <w:top w:val="none" w:sz="0" w:space="0" w:color="auto"/>
        <w:left w:val="none" w:sz="0" w:space="0" w:color="auto"/>
        <w:bottom w:val="none" w:sz="0" w:space="0" w:color="auto"/>
        <w:right w:val="none" w:sz="0" w:space="0" w:color="auto"/>
      </w:divBdr>
    </w:div>
    <w:div w:id="2013603457">
      <w:bodyDiv w:val="1"/>
      <w:marLeft w:val="0"/>
      <w:marRight w:val="0"/>
      <w:marTop w:val="0"/>
      <w:marBottom w:val="0"/>
      <w:divBdr>
        <w:top w:val="none" w:sz="0" w:space="0" w:color="auto"/>
        <w:left w:val="none" w:sz="0" w:space="0" w:color="auto"/>
        <w:bottom w:val="none" w:sz="0" w:space="0" w:color="auto"/>
        <w:right w:val="none" w:sz="0" w:space="0" w:color="auto"/>
      </w:divBdr>
    </w:div>
    <w:div w:id="2013679483">
      <w:bodyDiv w:val="1"/>
      <w:marLeft w:val="0"/>
      <w:marRight w:val="0"/>
      <w:marTop w:val="0"/>
      <w:marBottom w:val="0"/>
      <w:divBdr>
        <w:top w:val="none" w:sz="0" w:space="0" w:color="auto"/>
        <w:left w:val="none" w:sz="0" w:space="0" w:color="auto"/>
        <w:bottom w:val="none" w:sz="0" w:space="0" w:color="auto"/>
        <w:right w:val="none" w:sz="0" w:space="0" w:color="auto"/>
      </w:divBdr>
    </w:div>
    <w:div w:id="2013683754">
      <w:bodyDiv w:val="1"/>
      <w:marLeft w:val="0"/>
      <w:marRight w:val="0"/>
      <w:marTop w:val="0"/>
      <w:marBottom w:val="0"/>
      <w:divBdr>
        <w:top w:val="none" w:sz="0" w:space="0" w:color="auto"/>
        <w:left w:val="none" w:sz="0" w:space="0" w:color="auto"/>
        <w:bottom w:val="none" w:sz="0" w:space="0" w:color="auto"/>
        <w:right w:val="none" w:sz="0" w:space="0" w:color="auto"/>
      </w:divBdr>
    </w:div>
    <w:div w:id="2013797133">
      <w:bodyDiv w:val="1"/>
      <w:marLeft w:val="0"/>
      <w:marRight w:val="0"/>
      <w:marTop w:val="0"/>
      <w:marBottom w:val="0"/>
      <w:divBdr>
        <w:top w:val="none" w:sz="0" w:space="0" w:color="auto"/>
        <w:left w:val="none" w:sz="0" w:space="0" w:color="auto"/>
        <w:bottom w:val="none" w:sz="0" w:space="0" w:color="auto"/>
        <w:right w:val="none" w:sz="0" w:space="0" w:color="auto"/>
      </w:divBdr>
    </w:div>
    <w:div w:id="2013800982">
      <w:bodyDiv w:val="1"/>
      <w:marLeft w:val="0"/>
      <w:marRight w:val="0"/>
      <w:marTop w:val="0"/>
      <w:marBottom w:val="0"/>
      <w:divBdr>
        <w:top w:val="none" w:sz="0" w:space="0" w:color="auto"/>
        <w:left w:val="none" w:sz="0" w:space="0" w:color="auto"/>
        <w:bottom w:val="none" w:sz="0" w:space="0" w:color="auto"/>
        <w:right w:val="none" w:sz="0" w:space="0" w:color="auto"/>
      </w:divBdr>
    </w:div>
    <w:div w:id="2013871630">
      <w:bodyDiv w:val="1"/>
      <w:marLeft w:val="0"/>
      <w:marRight w:val="0"/>
      <w:marTop w:val="0"/>
      <w:marBottom w:val="0"/>
      <w:divBdr>
        <w:top w:val="none" w:sz="0" w:space="0" w:color="auto"/>
        <w:left w:val="none" w:sz="0" w:space="0" w:color="auto"/>
        <w:bottom w:val="none" w:sz="0" w:space="0" w:color="auto"/>
        <w:right w:val="none" w:sz="0" w:space="0" w:color="auto"/>
      </w:divBdr>
    </w:div>
    <w:div w:id="2013944368">
      <w:bodyDiv w:val="1"/>
      <w:marLeft w:val="0"/>
      <w:marRight w:val="0"/>
      <w:marTop w:val="0"/>
      <w:marBottom w:val="0"/>
      <w:divBdr>
        <w:top w:val="none" w:sz="0" w:space="0" w:color="auto"/>
        <w:left w:val="none" w:sz="0" w:space="0" w:color="auto"/>
        <w:bottom w:val="none" w:sz="0" w:space="0" w:color="auto"/>
        <w:right w:val="none" w:sz="0" w:space="0" w:color="auto"/>
      </w:divBdr>
    </w:div>
    <w:div w:id="2013945633">
      <w:bodyDiv w:val="1"/>
      <w:marLeft w:val="0"/>
      <w:marRight w:val="0"/>
      <w:marTop w:val="0"/>
      <w:marBottom w:val="0"/>
      <w:divBdr>
        <w:top w:val="none" w:sz="0" w:space="0" w:color="auto"/>
        <w:left w:val="none" w:sz="0" w:space="0" w:color="auto"/>
        <w:bottom w:val="none" w:sz="0" w:space="0" w:color="auto"/>
        <w:right w:val="none" w:sz="0" w:space="0" w:color="auto"/>
      </w:divBdr>
    </w:div>
    <w:div w:id="2013991969">
      <w:bodyDiv w:val="1"/>
      <w:marLeft w:val="0"/>
      <w:marRight w:val="0"/>
      <w:marTop w:val="0"/>
      <w:marBottom w:val="0"/>
      <w:divBdr>
        <w:top w:val="none" w:sz="0" w:space="0" w:color="auto"/>
        <w:left w:val="none" w:sz="0" w:space="0" w:color="auto"/>
        <w:bottom w:val="none" w:sz="0" w:space="0" w:color="auto"/>
        <w:right w:val="none" w:sz="0" w:space="0" w:color="auto"/>
      </w:divBdr>
    </w:div>
    <w:div w:id="2014063350">
      <w:bodyDiv w:val="1"/>
      <w:marLeft w:val="0"/>
      <w:marRight w:val="0"/>
      <w:marTop w:val="0"/>
      <w:marBottom w:val="0"/>
      <w:divBdr>
        <w:top w:val="none" w:sz="0" w:space="0" w:color="auto"/>
        <w:left w:val="none" w:sz="0" w:space="0" w:color="auto"/>
        <w:bottom w:val="none" w:sz="0" w:space="0" w:color="auto"/>
        <w:right w:val="none" w:sz="0" w:space="0" w:color="auto"/>
      </w:divBdr>
    </w:div>
    <w:div w:id="2014066815">
      <w:bodyDiv w:val="1"/>
      <w:marLeft w:val="0"/>
      <w:marRight w:val="0"/>
      <w:marTop w:val="0"/>
      <w:marBottom w:val="0"/>
      <w:divBdr>
        <w:top w:val="none" w:sz="0" w:space="0" w:color="auto"/>
        <w:left w:val="none" w:sz="0" w:space="0" w:color="auto"/>
        <w:bottom w:val="none" w:sz="0" w:space="0" w:color="auto"/>
        <w:right w:val="none" w:sz="0" w:space="0" w:color="auto"/>
      </w:divBdr>
    </w:div>
    <w:div w:id="2014261115">
      <w:bodyDiv w:val="1"/>
      <w:marLeft w:val="0"/>
      <w:marRight w:val="0"/>
      <w:marTop w:val="0"/>
      <w:marBottom w:val="0"/>
      <w:divBdr>
        <w:top w:val="none" w:sz="0" w:space="0" w:color="auto"/>
        <w:left w:val="none" w:sz="0" w:space="0" w:color="auto"/>
        <w:bottom w:val="none" w:sz="0" w:space="0" w:color="auto"/>
        <w:right w:val="none" w:sz="0" w:space="0" w:color="auto"/>
      </w:divBdr>
    </w:div>
    <w:div w:id="2014337318">
      <w:bodyDiv w:val="1"/>
      <w:marLeft w:val="0"/>
      <w:marRight w:val="0"/>
      <w:marTop w:val="0"/>
      <w:marBottom w:val="0"/>
      <w:divBdr>
        <w:top w:val="none" w:sz="0" w:space="0" w:color="auto"/>
        <w:left w:val="none" w:sz="0" w:space="0" w:color="auto"/>
        <w:bottom w:val="none" w:sz="0" w:space="0" w:color="auto"/>
        <w:right w:val="none" w:sz="0" w:space="0" w:color="auto"/>
      </w:divBdr>
    </w:div>
    <w:div w:id="2014381460">
      <w:bodyDiv w:val="1"/>
      <w:marLeft w:val="0"/>
      <w:marRight w:val="0"/>
      <w:marTop w:val="0"/>
      <w:marBottom w:val="0"/>
      <w:divBdr>
        <w:top w:val="none" w:sz="0" w:space="0" w:color="auto"/>
        <w:left w:val="none" w:sz="0" w:space="0" w:color="auto"/>
        <w:bottom w:val="none" w:sz="0" w:space="0" w:color="auto"/>
        <w:right w:val="none" w:sz="0" w:space="0" w:color="auto"/>
      </w:divBdr>
    </w:div>
    <w:div w:id="2014456811">
      <w:bodyDiv w:val="1"/>
      <w:marLeft w:val="0"/>
      <w:marRight w:val="0"/>
      <w:marTop w:val="0"/>
      <w:marBottom w:val="0"/>
      <w:divBdr>
        <w:top w:val="none" w:sz="0" w:space="0" w:color="auto"/>
        <w:left w:val="none" w:sz="0" w:space="0" w:color="auto"/>
        <w:bottom w:val="none" w:sz="0" w:space="0" w:color="auto"/>
        <w:right w:val="none" w:sz="0" w:space="0" w:color="auto"/>
      </w:divBdr>
    </w:div>
    <w:div w:id="2014603945">
      <w:bodyDiv w:val="1"/>
      <w:marLeft w:val="0"/>
      <w:marRight w:val="0"/>
      <w:marTop w:val="0"/>
      <w:marBottom w:val="0"/>
      <w:divBdr>
        <w:top w:val="none" w:sz="0" w:space="0" w:color="auto"/>
        <w:left w:val="none" w:sz="0" w:space="0" w:color="auto"/>
        <w:bottom w:val="none" w:sz="0" w:space="0" w:color="auto"/>
        <w:right w:val="none" w:sz="0" w:space="0" w:color="auto"/>
      </w:divBdr>
    </w:div>
    <w:div w:id="2014650613">
      <w:bodyDiv w:val="1"/>
      <w:marLeft w:val="0"/>
      <w:marRight w:val="0"/>
      <w:marTop w:val="0"/>
      <w:marBottom w:val="0"/>
      <w:divBdr>
        <w:top w:val="none" w:sz="0" w:space="0" w:color="auto"/>
        <w:left w:val="none" w:sz="0" w:space="0" w:color="auto"/>
        <w:bottom w:val="none" w:sz="0" w:space="0" w:color="auto"/>
        <w:right w:val="none" w:sz="0" w:space="0" w:color="auto"/>
      </w:divBdr>
    </w:div>
    <w:div w:id="2014674454">
      <w:bodyDiv w:val="1"/>
      <w:marLeft w:val="0"/>
      <w:marRight w:val="0"/>
      <w:marTop w:val="0"/>
      <w:marBottom w:val="0"/>
      <w:divBdr>
        <w:top w:val="none" w:sz="0" w:space="0" w:color="auto"/>
        <w:left w:val="none" w:sz="0" w:space="0" w:color="auto"/>
        <w:bottom w:val="none" w:sz="0" w:space="0" w:color="auto"/>
        <w:right w:val="none" w:sz="0" w:space="0" w:color="auto"/>
      </w:divBdr>
    </w:div>
    <w:div w:id="2014717131">
      <w:bodyDiv w:val="1"/>
      <w:marLeft w:val="0"/>
      <w:marRight w:val="0"/>
      <w:marTop w:val="0"/>
      <w:marBottom w:val="0"/>
      <w:divBdr>
        <w:top w:val="none" w:sz="0" w:space="0" w:color="auto"/>
        <w:left w:val="none" w:sz="0" w:space="0" w:color="auto"/>
        <w:bottom w:val="none" w:sz="0" w:space="0" w:color="auto"/>
        <w:right w:val="none" w:sz="0" w:space="0" w:color="auto"/>
      </w:divBdr>
    </w:div>
    <w:div w:id="2014798641">
      <w:bodyDiv w:val="1"/>
      <w:marLeft w:val="0"/>
      <w:marRight w:val="0"/>
      <w:marTop w:val="0"/>
      <w:marBottom w:val="0"/>
      <w:divBdr>
        <w:top w:val="none" w:sz="0" w:space="0" w:color="auto"/>
        <w:left w:val="none" w:sz="0" w:space="0" w:color="auto"/>
        <w:bottom w:val="none" w:sz="0" w:space="0" w:color="auto"/>
        <w:right w:val="none" w:sz="0" w:space="0" w:color="auto"/>
      </w:divBdr>
    </w:div>
    <w:div w:id="2014800280">
      <w:bodyDiv w:val="1"/>
      <w:marLeft w:val="0"/>
      <w:marRight w:val="0"/>
      <w:marTop w:val="0"/>
      <w:marBottom w:val="0"/>
      <w:divBdr>
        <w:top w:val="none" w:sz="0" w:space="0" w:color="auto"/>
        <w:left w:val="none" w:sz="0" w:space="0" w:color="auto"/>
        <w:bottom w:val="none" w:sz="0" w:space="0" w:color="auto"/>
        <w:right w:val="none" w:sz="0" w:space="0" w:color="auto"/>
      </w:divBdr>
    </w:div>
    <w:div w:id="2014990418">
      <w:bodyDiv w:val="1"/>
      <w:marLeft w:val="0"/>
      <w:marRight w:val="0"/>
      <w:marTop w:val="0"/>
      <w:marBottom w:val="0"/>
      <w:divBdr>
        <w:top w:val="none" w:sz="0" w:space="0" w:color="auto"/>
        <w:left w:val="none" w:sz="0" w:space="0" w:color="auto"/>
        <w:bottom w:val="none" w:sz="0" w:space="0" w:color="auto"/>
        <w:right w:val="none" w:sz="0" w:space="0" w:color="auto"/>
      </w:divBdr>
    </w:div>
    <w:div w:id="2014994385">
      <w:bodyDiv w:val="1"/>
      <w:marLeft w:val="0"/>
      <w:marRight w:val="0"/>
      <w:marTop w:val="0"/>
      <w:marBottom w:val="0"/>
      <w:divBdr>
        <w:top w:val="none" w:sz="0" w:space="0" w:color="auto"/>
        <w:left w:val="none" w:sz="0" w:space="0" w:color="auto"/>
        <w:bottom w:val="none" w:sz="0" w:space="0" w:color="auto"/>
        <w:right w:val="none" w:sz="0" w:space="0" w:color="auto"/>
      </w:divBdr>
    </w:div>
    <w:div w:id="2015105139">
      <w:bodyDiv w:val="1"/>
      <w:marLeft w:val="0"/>
      <w:marRight w:val="0"/>
      <w:marTop w:val="0"/>
      <w:marBottom w:val="0"/>
      <w:divBdr>
        <w:top w:val="none" w:sz="0" w:space="0" w:color="auto"/>
        <w:left w:val="none" w:sz="0" w:space="0" w:color="auto"/>
        <w:bottom w:val="none" w:sz="0" w:space="0" w:color="auto"/>
        <w:right w:val="none" w:sz="0" w:space="0" w:color="auto"/>
      </w:divBdr>
    </w:div>
    <w:div w:id="2015258834">
      <w:bodyDiv w:val="1"/>
      <w:marLeft w:val="0"/>
      <w:marRight w:val="0"/>
      <w:marTop w:val="0"/>
      <w:marBottom w:val="0"/>
      <w:divBdr>
        <w:top w:val="none" w:sz="0" w:space="0" w:color="auto"/>
        <w:left w:val="none" w:sz="0" w:space="0" w:color="auto"/>
        <w:bottom w:val="none" w:sz="0" w:space="0" w:color="auto"/>
        <w:right w:val="none" w:sz="0" w:space="0" w:color="auto"/>
      </w:divBdr>
    </w:div>
    <w:div w:id="2015260319">
      <w:bodyDiv w:val="1"/>
      <w:marLeft w:val="0"/>
      <w:marRight w:val="0"/>
      <w:marTop w:val="0"/>
      <w:marBottom w:val="0"/>
      <w:divBdr>
        <w:top w:val="none" w:sz="0" w:space="0" w:color="auto"/>
        <w:left w:val="none" w:sz="0" w:space="0" w:color="auto"/>
        <w:bottom w:val="none" w:sz="0" w:space="0" w:color="auto"/>
        <w:right w:val="none" w:sz="0" w:space="0" w:color="auto"/>
      </w:divBdr>
    </w:div>
    <w:div w:id="2015261892">
      <w:bodyDiv w:val="1"/>
      <w:marLeft w:val="0"/>
      <w:marRight w:val="0"/>
      <w:marTop w:val="0"/>
      <w:marBottom w:val="0"/>
      <w:divBdr>
        <w:top w:val="none" w:sz="0" w:space="0" w:color="auto"/>
        <w:left w:val="none" w:sz="0" w:space="0" w:color="auto"/>
        <w:bottom w:val="none" w:sz="0" w:space="0" w:color="auto"/>
        <w:right w:val="none" w:sz="0" w:space="0" w:color="auto"/>
      </w:divBdr>
    </w:div>
    <w:div w:id="2015263706">
      <w:bodyDiv w:val="1"/>
      <w:marLeft w:val="0"/>
      <w:marRight w:val="0"/>
      <w:marTop w:val="0"/>
      <w:marBottom w:val="0"/>
      <w:divBdr>
        <w:top w:val="none" w:sz="0" w:space="0" w:color="auto"/>
        <w:left w:val="none" w:sz="0" w:space="0" w:color="auto"/>
        <w:bottom w:val="none" w:sz="0" w:space="0" w:color="auto"/>
        <w:right w:val="none" w:sz="0" w:space="0" w:color="auto"/>
      </w:divBdr>
    </w:div>
    <w:div w:id="2015298107">
      <w:bodyDiv w:val="1"/>
      <w:marLeft w:val="0"/>
      <w:marRight w:val="0"/>
      <w:marTop w:val="0"/>
      <w:marBottom w:val="0"/>
      <w:divBdr>
        <w:top w:val="none" w:sz="0" w:space="0" w:color="auto"/>
        <w:left w:val="none" w:sz="0" w:space="0" w:color="auto"/>
        <w:bottom w:val="none" w:sz="0" w:space="0" w:color="auto"/>
        <w:right w:val="none" w:sz="0" w:space="0" w:color="auto"/>
      </w:divBdr>
    </w:div>
    <w:div w:id="2015299895">
      <w:bodyDiv w:val="1"/>
      <w:marLeft w:val="0"/>
      <w:marRight w:val="0"/>
      <w:marTop w:val="0"/>
      <w:marBottom w:val="0"/>
      <w:divBdr>
        <w:top w:val="none" w:sz="0" w:space="0" w:color="auto"/>
        <w:left w:val="none" w:sz="0" w:space="0" w:color="auto"/>
        <w:bottom w:val="none" w:sz="0" w:space="0" w:color="auto"/>
        <w:right w:val="none" w:sz="0" w:space="0" w:color="auto"/>
      </w:divBdr>
    </w:div>
    <w:div w:id="2015305699">
      <w:bodyDiv w:val="1"/>
      <w:marLeft w:val="0"/>
      <w:marRight w:val="0"/>
      <w:marTop w:val="0"/>
      <w:marBottom w:val="0"/>
      <w:divBdr>
        <w:top w:val="none" w:sz="0" w:space="0" w:color="auto"/>
        <w:left w:val="none" w:sz="0" w:space="0" w:color="auto"/>
        <w:bottom w:val="none" w:sz="0" w:space="0" w:color="auto"/>
        <w:right w:val="none" w:sz="0" w:space="0" w:color="auto"/>
      </w:divBdr>
    </w:div>
    <w:div w:id="2015524771">
      <w:bodyDiv w:val="1"/>
      <w:marLeft w:val="0"/>
      <w:marRight w:val="0"/>
      <w:marTop w:val="0"/>
      <w:marBottom w:val="0"/>
      <w:divBdr>
        <w:top w:val="none" w:sz="0" w:space="0" w:color="auto"/>
        <w:left w:val="none" w:sz="0" w:space="0" w:color="auto"/>
        <w:bottom w:val="none" w:sz="0" w:space="0" w:color="auto"/>
        <w:right w:val="none" w:sz="0" w:space="0" w:color="auto"/>
      </w:divBdr>
    </w:div>
    <w:div w:id="2015567571">
      <w:bodyDiv w:val="1"/>
      <w:marLeft w:val="0"/>
      <w:marRight w:val="0"/>
      <w:marTop w:val="0"/>
      <w:marBottom w:val="0"/>
      <w:divBdr>
        <w:top w:val="none" w:sz="0" w:space="0" w:color="auto"/>
        <w:left w:val="none" w:sz="0" w:space="0" w:color="auto"/>
        <w:bottom w:val="none" w:sz="0" w:space="0" w:color="auto"/>
        <w:right w:val="none" w:sz="0" w:space="0" w:color="auto"/>
      </w:divBdr>
    </w:div>
    <w:div w:id="2015642915">
      <w:bodyDiv w:val="1"/>
      <w:marLeft w:val="0"/>
      <w:marRight w:val="0"/>
      <w:marTop w:val="0"/>
      <w:marBottom w:val="0"/>
      <w:divBdr>
        <w:top w:val="none" w:sz="0" w:space="0" w:color="auto"/>
        <w:left w:val="none" w:sz="0" w:space="0" w:color="auto"/>
        <w:bottom w:val="none" w:sz="0" w:space="0" w:color="auto"/>
        <w:right w:val="none" w:sz="0" w:space="0" w:color="auto"/>
      </w:divBdr>
    </w:div>
    <w:div w:id="2015693013">
      <w:bodyDiv w:val="1"/>
      <w:marLeft w:val="0"/>
      <w:marRight w:val="0"/>
      <w:marTop w:val="0"/>
      <w:marBottom w:val="0"/>
      <w:divBdr>
        <w:top w:val="none" w:sz="0" w:space="0" w:color="auto"/>
        <w:left w:val="none" w:sz="0" w:space="0" w:color="auto"/>
        <w:bottom w:val="none" w:sz="0" w:space="0" w:color="auto"/>
        <w:right w:val="none" w:sz="0" w:space="0" w:color="auto"/>
      </w:divBdr>
    </w:div>
    <w:div w:id="2015719735">
      <w:bodyDiv w:val="1"/>
      <w:marLeft w:val="0"/>
      <w:marRight w:val="0"/>
      <w:marTop w:val="0"/>
      <w:marBottom w:val="0"/>
      <w:divBdr>
        <w:top w:val="none" w:sz="0" w:space="0" w:color="auto"/>
        <w:left w:val="none" w:sz="0" w:space="0" w:color="auto"/>
        <w:bottom w:val="none" w:sz="0" w:space="0" w:color="auto"/>
        <w:right w:val="none" w:sz="0" w:space="0" w:color="auto"/>
      </w:divBdr>
    </w:div>
    <w:div w:id="2015760425">
      <w:bodyDiv w:val="1"/>
      <w:marLeft w:val="0"/>
      <w:marRight w:val="0"/>
      <w:marTop w:val="0"/>
      <w:marBottom w:val="0"/>
      <w:divBdr>
        <w:top w:val="none" w:sz="0" w:space="0" w:color="auto"/>
        <w:left w:val="none" w:sz="0" w:space="0" w:color="auto"/>
        <w:bottom w:val="none" w:sz="0" w:space="0" w:color="auto"/>
        <w:right w:val="none" w:sz="0" w:space="0" w:color="auto"/>
      </w:divBdr>
    </w:div>
    <w:div w:id="2015953569">
      <w:bodyDiv w:val="1"/>
      <w:marLeft w:val="0"/>
      <w:marRight w:val="0"/>
      <w:marTop w:val="0"/>
      <w:marBottom w:val="0"/>
      <w:divBdr>
        <w:top w:val="none" w:sz="0" w:space="0" w:color="auto"/>
        <w:left w:val="none" w:sz="0" w:space="0" w:color="auto"/>
        <w:bottom w:val="none" w:sz="0" w:space="0" w:color="auto"/>
        <w:right w:val="none" w:sz="0" w:space="0" w:color="auto"/>
      </w:divBdr>
    </w:div>
    <w:div w:id="2015955987">
      <w:bodyDiv w:val="1"/>
      <w:marLeft w:val="0"/>
      <w:marRight w:val="0"/>
      <w:marTop w:val="0"/>
      <w:marBottom w:val="0"/>
      <w:divBdr>
        <w:top w:val="none" w:sz="0" w:space="0" w:color="auto"/>
        <w:left w:val="none" w:sz="0" w:space="0" w:color="auto"/>
        <w:bottom w:val="none" w:sz="0" w:space="0" w:color="auto"/>
        <w:right w:val="none" w:sz="0" w:space="0" w:color="auto"/>
      </w:divBdr>
    </w:div>
    <w:div w:id="2016028026">
      <w:bodyDiv w:val="1"/>
      <w:marLeft w:val="0"/>
      <w:marRight w:val="0"/>
      <w:marTop w:val="0"/>
      <w:marBottom w:val="0"/>
      <w:divBdr>
        <w:top w:val="none" w:sz="0" w:space="0" w:color="auto"/>
        <w:left w:val="none" w:sz="0" w:space="0" w:color="auto"/>
        <w:bottom w:val="none" w:sz="0" w:space="0" w:color="auto"/>
        <w:right w:val="none" w:sz="0" w:space="0" w:color="auto"/>
      </w:divBdr>
    </w:div>
    <w:div w:id="2016104808">
      <w:bodyDiv w:val="1"/>
      <w:marLeft w:val="0"/>
      <w:marRight w:val="0"/>
      <w:marTop w:val="0"/>
      <w:marBottom w:val="0"/>
      <w:divBdr>
        <w:top w:val="none" w:sz="0" w:space="0" w:color="auto"/>
        <w:left w:val="none" w:sz="0" w:space="0" w:color="auto"/>
        <w:bottom w:val="none" w:sz="0" w:space="0" w:color="auto"/>
        <w:right w:val="none" w:sz="0" w:space="0" w:color="auto"/>
      </w:divBdr>
    </w:div>
    <w:div w:id="2016108109">
      <w:bodyDiv w:val="1"/>
      <w:marLeft w:val="0"/>
      <w:marRight w:val="0"/>
      <w:marTop w:val="0"/>
      <w:marBottom w:val="0"/>
      <w:divBdr>
        <w:top w:val="none" w:sz="0" w:space="0" w:color="auto"/>
        <w:left w:val="none" w:sz="0" w:space="0" w:color="auto"/>
        <w:bottom w:val="none" w:sz="0" w:space="0" w:color="auto"/>
        <w:right w:val="none" w:sz="0" w:space="0" w:color="auto"/>
      </w:divBdr>
    </w:div>
    <w:div w:id="2016109400">
      <w:bodyDiv w:val="1"/>
      <w:marLeft w:val="0"/>
      <w:marRight w:val="0"/>
      <w:marTop w:val="0"/>
      <w:marBottom w:val="0"/>
      <w:divBdr>
        <w:top w:val="none" w:sz="0" w:space="0" w:color="auto"/>
        <w:left w:val="none" w:sz="0" w:space="0" w:color="auto"/>
        <w:bottom w:val="none" w:sz="0" w:space="0" w:color="auto"/>
        <w:right w:val="none" w:sz="0" w:space="0" w:color="auto"/>
      </w:divBdr>
    </w:div>
    <w:div w:id="2016221749">
      <w:bodyDiv w:val="1"/>
      <w:marLeft w:val="0"/>
      <w:marRight w:val="0"/>
      <w:marTop w:val="0"/>
      <w:marBottom w:val="0"/>
      <w:divBdr>
        <w:top w:val="none" w:sz="0" w:space="0" w:color="auto"/>
        <w:left w:val="none" w:sz="0" w:space="0" w:color="auto"/>
        <w:bottom w:val="none" w:sz="0" w:space="0" w:color="auto"/>
        <w:right w:val="none" w:sz="0" w:space="0" w:color="auto"/>
      </w:divBdr>
    </w:div>
    <w:div w:id="2016229208">
      <w:bodyDiv w:val="1"/>
      <w:marLeft w:val="0"/>
      <w:marRight w:val="0"/>
      <w:marTop w:val="0"/>
      <w:marBottom w:val="0"/>
      <w:divBdr>
        <w:top w:val="none" w:sz="0" w:space="0" w:color="auto"/>
        <w:left w:val="none" w:sz="0" w:space="0" w:color="auto"/>
        <w:bottom w:val="none" w:sz="0" w:space="0" w:color="auto"/>
        <w:right w:val="none" w:sz="0" w:space="0" w:color="auto"/>
      </w:divBdr>
    </w:div>
    <w:div w:id="2016295988">
      <w:bodyDiv w:val="1"/>
      <w:marLeft w:val="0"/>
      <w:marRight w:val="0"/>
      <w:marTop w:val="0"/>
      <w:marBottom w:val="0"/>
      <w:divBdr>
        <w:top w:val="none" w:sz="0" w:space="0" w:color="auto"/>
        <w:left w:val="none" w:sz="0" w:space="0" w:color="auto"/>
        <w:bottom w:val="none" w:sz="0" w:space="0" w:color="auto"/>
        <w:right w:val="none" w:sz="0" w:space="0" w:color="auto"/>
      </w:divBdr>
    </w:div>
    <w:div w:id="2016298281">
      <w:bodyDiv w:val="1"/>
      <w:marLeft w:val="0"/>
      <w:marRight w:val="0"/>
      <w:marTop w:val="0"/>
      <w:marBottom w:val="0"/>
      <w:divBdr>
        <w:top w:val="none" w:sz="0" w:space="0" w:color="auto"/>
        <w:left w:val="none" w:sz="0" w:space="0" w:color="auto"/>
        <w:bottom w:val="none" w:sz="0" w:space="0" w:color="auto"/>
        <w:right w:val="none" w:sz="0" w:space="0" w:color="auto"/>
      </w:divBdr>
    </w:div>
    <w:div w:id="2016377718">
      <w:bodyDiv w:val="1"/>
      <w:marLeft w:val="0"/>
      <w:marRight w:val="0"/>
      <w:marTop w:val="0"/>
      <w:marBottom w:val="0"/>
      <w:divBdr>
        <w:top w:val="none" w:sz="0" w:space="0" w:color="auto"/>
        <w:left w:val="none" w:sz="0" w:space="0" w:color="auto"/>
        <w:bottom w:val="none" w:sz="0" w:space="0" w:color="auto"/>
        <w:right w:val="none" w:sz="0" w:space="0" w:color="auto"/>
      </w:divBdr>
    </w:div>
    <w:div w:id="2016378482">
      <w:bodyDiv w:val="1"/>
      <w:marLeft w:val="0"/>
      <w:marRight w:val="0"/>
      <w:marTop w:val="0"/>
      <w:marBottom w:val="0"/>
      <w:divBdr>
        <w:top w:val="none" w:sz="0" w:space="0" w:color="auto"/>
        <w:left w:val="none" w:sz="0" w:space="0" w:color="auto"/>
        <w:bottom w:val="none" w:sz="0" w:space="0" w:color="auto"/>
        <w:right w:val="none" w:sz="0" w:space="0" w:color="auto"/>
      </w:divBdr>
    </w:div>
    <w:div w:id="2016491828">
      <w:bodyDiv w:val="1"/>
      <w:marLeft w:val="0"/>
      <w:marRight w:val="0"/>
      <w:marTop w:val="0"/>
      <w:marBottom w:val="0"/>
      <w:divBdr>
        <w:top w:val="none" w:sz="0" w:space="0" w:color="auto"/>
        <w:left w:val="none" w:sz="0" w:space="0" w:color="auto"/>
        <w:bottom w:val="none" w:sz="0" w:space="0" w:color="auto"/>
        <w:right w:val="none" w:sz="0" w:space="0" w:color="auto"/>
      </w:divBdr>
    </w:div>
    <w:div w:id="2016492621">
      <w:bodyDiv w:val="1"/>
      <w:marLeft w:val="0"/>
      <w:marRight w:val="0"/>
      <w:marTop w:val="0"/>
      <w:marBottom w:val="0"/>
      <w:divBdr>
        <w:top w:val="none" w:sz="0" w:space="0" w:color="auto"/>
        <w:left w:val="none" w:sz="0" w:space="0" w:color="auto"/>
        <w:bottom w:val="none" w:sz="0" w:space="0" w:color="auto"/>
        <w:right w:val="none" w:sz="0" w:space="0" w:color="auto"/>
      </w:divBdr>
    </w:div>
    <w:div w:id="2016495709">
      <w:bodyDiv w:val="1"/>
      <w:marLeft w:val="0"/>
      <w:marRight w:val="0"/>
      <w:marTop w:val="0"/>
      <w:marBottom w:val="0"/>
      <w:divBdr>
        <w:top w:val="none" w:sz="0" w:space="0" w:color="auto"/>
        <w:left w:val="none" w:sz="0" w:space="0" w:color="auto"/>
        <w:bottom w:val="none" w:sz="0" w:space="0" w:color="auto"/>
        <w:right w:val="none" w:sz="0" w:space="0" w:color="auto"/>
      </w:divBdr>
    </w:div>
    <w:div w:id="2016571420">
      <w:bodyDiv w:val="1"/>
      <w:marLeft w:val="0"/>
      <w:marRight w:val="0"/>
      <w:marTop w:val="0"/>
      <w:marBottom w:val="0"/>
      <w:divBdr>
        <w:top w:val="none" w:sz="0" w:space="0" w:color="auto"/>
        <w:left w:val="none" w:sz="0" w:space="0" w:color="auto"/>
        <w:bottom w:val="none" w:sz="0" w:space="0" w:color="auto"/>
        <w:right w:val="none" w:sz="0" w:space="0" w:color="auto"/>
      </w:divBdr>
    </w:div>
    <w:div w:id="2016758182">
      <w:bodyDiv w:val="1"/>
      <w:marLeft w:val="0"/>
      <w:marRight w:val="0"/>
      <w:marTop w:val="0"/>
      <w:marBottom w:val="0"/>
      <w:divBdr>
        <w:top w:val="none" w:sz="0" w:space="0" w:color="auto"/>
        <w:left w:val="none" w:sz="0" w:space="0" w:color="auto"/>
        <w:bottom w:val="none" w:sz="0" w:space="0" w:color="auto"/>
        <w:right w:val="none" w:sz="0" w:space="0" w:color="auto"/>
      </w:divBdr>
    </w:div>
    <w:div w:id="2016805340">
      <w:bodyDiv w:val="1"/>
      <w:marLeft w:val="0"/>
      <w:marRight w:val="0"/>
      <w:marTop w:val="0"/>
      <w:marBottom w:val="0"/>
      <w:divBdr>
        <w:top w:val="none" w:sz="0" w:space="0" w:color="auto"/>
        <w:left w:val="none" w:sz="0" w:space="0" w:color="auto"/>
        <w:bottom w:val="none" w:sz="0" w:space="0" w:color="auto"/>
        <w:right w:val="none" w:sz="0" w:space="0" w:color="auto"/>
      </w:divBdr>
    </w:div>
    <w:div w:id="2016805604">
      <w:bodyDiv w:val="1"/>
      <w:marLeft w:val="0"/>
      <w:marRight w:val="0"/>
      <w:marTop w:val="0"/>
      <w:marBottom w:val="0"/>
      <w:divBdr>
        <w:top w:val="none" w:sz="0" w:space="0" w:color="auto"/>
        <w:left w:val="none" w:sz="0" w:space="0" w:color="auto"/>
        <w:bottom w:val="none" w:sz="0" w:space="0" w:color="auto"/>
        <w:right w:val="none" w:sz="0" w:space="0" w:color="auto"/>
      </w:divBdr>
    </w:div>
    <w:div w:id="2016810051">
      <w:bodyDiv w:val="1"/>
      <w:marLeft w:val="0"/>
      <w:marRight w:val="0"/>
      <w:marTop w:val="0"/>
      <w:marBottom w:val="0"/>
      <w:divBdr>
        <w:top w:val="none" w:sz="0" w:space="0" w:color="auto"/>
        <w:left w:val="none" w:sz="0" w:space="0" w:color="auto"/>
        <w:bottom w:val="none" w:sz="0" w:space="0" w:color="auto"/>
        <w:right w:val="none" w:sz="0" w:space="0" w:color="auto"/>
      </w:divBdr>
    </w:div>
    <w:div w:id="2016833734">
      <w:bodyDiv w:val="1"/>
      <w:marLeft w:val="0"/>
      <w:marRight w:val="0"/>
      <w:marTop w:val="0"/>
      <w:marBottom w:val="0"/>
      <w:divBdr>
        <w:top w:val="none" w:sz="0" w:space="0" w:color="auto"/>
        <w:left w:val="none" w:sz="0" w:space="0" w:color="auto"/>
        <w:bottom w:val="none" w:sz="0" w:space="0" w:color="auto"/>
        <w:right w:val="none" w:sz="0" w:space="0" w:color="auto"/>
      </w:divBdr>
    </w:div>
    <w:div w:id="2016833959">
      <w:bodyDiv w:val="1"/>
      <w:marLeft w:val="0"/>
      <w:marRight w:val="0"/>
      <w:marTop w:val="0"/>
      <w:marBottom w:val="0"/>
      <w:divBdr>
        <w:top w:val="none" w:sz="0" w:space="0" w:color="auto"/>
        <w:left w:val="none" w:sz="0" w:space="0" w:color="auto"/>
        <w:bottom w:val="none" w:sz="0" w:space="0" w:color="auto"/>
        <w:right w:val="none" w:sz="0" w:space="0" w:color="auto"/>
      </w:divBdr>
    </w:div>
    <w:div w:id="2016885013">
      <w:bodyDiv w:val="1"/>
      <w:marLeft w:val="0"/>
      <w:marRight w:val="0"/>
      <w:marTop w:val="0"/>
      <w:marBottom w:val="0"/>
      <w:divBdr>
        <w:top w:val="none" w:sz="0" w:space="0" w:color="auto"/>
        <w:left w:val="none" w:sz="0" w:space="0" w:color="auto"/>
        <w:bottom w:val="none" w:sz="0" w:space="0" w:color="auto"/>
        <w:right w:val="none" w:sz="0" w:space="0" w:color="auto"/>
      </w:divBdr>
    </w:div>
    <w:div w:id="2016958945">
      <w:bodyDiv w:val="1"/>
      <w:marLeft w:val="0"/>
      <w:marRight w:val="0"/>
      <w:marTop w:val="0"/>
      <w:marBottom w:val="0"/>
      <w:divBdr>
        <w:top w:val="none" w:sz="0" w:space="0" w:color="auto"/>
        <w:left w:val="none" w:sz="0" w:space="0" w:color="auto"/>
        <w:bottom w:val="none" w:sz="0" w:space="0" w:color="auto"/>
        <w:right w:val="none" w:sz="0" w:space="0" w:color="auto"/>
      </w:divBdr>
    </w:div>
    <w:div w:id="2017003226">
      <w:bodyDiv w:val="1"/>
      <w:marLeft w:val="0"/>
      <w:marRight w:val="0"/>
      <w:marTop w:val="0"/>
      <w:marBottom w:val="0"/>
      <w:divBdr>
        <w:top w:val="none" w:sz="0" w:space="0" w:color="auto"/>
        <w:left w:val="none" w:sz="0" w:space="0" w:color="auto"/>
        <w:bottom w:val="none" w:sz="0" w:space="0" w:color="auto"/>
        <w:right w:val="none" w:sz="0" w:space="0" w:color="auto"/>
      </w:divBdr>
    </w:div>
    <w:div w:id="2017034151">
      <w:bodyDiv w:val="1"/>
      <w:marLeft w:val="0"/>
      <w:marRight w:val="0"/>
      <w:marTop w:val="0"/>
      <w:marBottom w:val="0"/>
      <w:divBdr>
        <w:top w:val="none" w:sz="0" w:space="0" w:color="auto"/>
        <w:left w:val="none" w:sz="0" w:space="0" w:color="auto"/>
        <w:bottom w:val="none" w:sz="0" w:space="0" w:color="auto"/>
        <w:right w:val="none" w:sz="0" w:space="0" w:color="auto"/>
      </w:divBdr>
    </w:div>
    <w:div w:id="2017075530">
      <w:bodyDiv w:val="1"/>
      <w:marLeft w:val="0"/>
      <w:marRight w:val="0"/>
      <w:marTop w:val="0"/>
      <w:marBottom w:val="0"/>
      <w:divBdr>
        <w:top w:val="none" w:sz="0" w:space="0" w:color="auto"/>
        <w:left w:val="none" w:sz="0" w:space="0" w:color="auto"/>
        <w:bottom w:val="none" w:sz="0" w:space="0" w:color="auto"/>
        <w:right w:val="none" w:sz="0" w:space="0" w:color="auto"/>
      </w:divBdr>
    </w:div>
    <w:div w:id="2017075732">
      <w:bodyDiv w:val="1"/>
      <w:marLeft w:val="0"/>
      <w:marRight w:val="0"/>
      <w:marTop w:val="0"/>
      <w:marBottom w:val="0"/>
      <w:divBdr>
        <w:top w:val="none" w:sz="0" w:space="0" w:color="auto"/>
        <w:left w:val="none" w:sz="0" w:space="0" w:color="auto"/>
        <w:bottom w:val="none" w:sz="0" w:space="0" w:color="auto"/>
        <w:right w:val="none" w:sz="0" w:space="0" w:color="auto"/>
      </w:divBdr>
    </w:div>
    <w:div w:id="2017221965">
      <w:bodyDiv w:val="1"/>
      <w:marLeft w:val="0"/>
      <w:marRight w:val="0"/>
      <w:marTop w:val="0"/>
      <w:marBottom w:val="0"/>
      <w:divBdr>
        <w:top w:val="none" w:sz="0" w:space="0" w:color="auto"/>
        <w:left w:val="none" w:sz="0" w:space="0" w:color="auto"/>
        <w:bottom w:val="none" w:sz="0" w:space="0" w:color="auto"/>
        <w:right w:val="none" w:sz="0" w:space="0" w:color="auto"/>
      </w:divBdr>
    </w:div>
    <w:div w:id="2017464288">
      <w:bodyDiv w:val="1"/>
      <w:marLeft w:val="0"/>
      <w:marRight w:val="0"/>
      <w:marTop w:val="0"/>
      <w:marBottom w:val="0"/>
      <w:divBdr>
        <w:top w:val="none" w:sz="0" w:space="0" w:color="auto"/>
        <w:left w:val="none" w:sz="0" w:space="0" w:color="auto"/>
        <w:bottom w:val="none" w:sz="0" w:space="0" w:color="auto"/>
        <w:right w:val="none" w:sz="0" w:space="0" w:color="auto"/>
      </w:divBdr>
    </w:div>
    <w:div w:id="2017536862">
      <w:bodyDiv w:val="1"/>
      <w:marLeft w:val="0"/>
      <w:marRight w:val="0"/>
      <w:marTop w:val="0"/>
      <w:marBottom w:val="0"/>
      <w:divBdr>
        <w:top w:val="none" w:sz="0" w:space="0" w:color="auto"/>
        <w:left w:val="none" w:sz="0" w:space="0" w:color="auto"/>
        <w:bottom w:val="none" w:sz="0" w:space="0" w:color="auto"/>
        <w:right w:val="none" w:sz="0" w:space="0" w:color="auto"/>
      </w:divBdr>
    </w:div>
    <w:div w:id="2017606624">
      <w:bodyDiv w:val="1"/>
      <w:marLeft w:val="0"/>
      <w:marRight w:val="0"/>
      <w:marTop w:val="0"/>
      <w:marBottom w:val="0"/>
      <w:divBdr>
        <w:top w:val="none" w:sz="0" w:space="0" w:color="auto"/>
        <w:left w:val="none" w:sz="0" w:space="0" w:color="auto"/>
        <w:bottom w:val="none" w:sz="0" w:space="0" w:color="auto"/>
        <w:right w:val="none" w:sz="0" w:space="0" w:color="auto"/>
      </w:divBdr>
    </w:div>
    <w:div w:id="2017658024">
      <w:bodyDiv w:val="1"/>
      <w:marLeft w:val="0"/>
      <w:marRight w:val="0"/>
      <w:marTop w:val="0"/>
      <w:marBottom w:val="0"/>
      <w:divBdr>
        <w:top w:val="none" w:sz="0" w:space="0" w:color="auto"/>
        <w:left w:val="none" w:sz="0" w:space="0" w:color="auto"/>
        <w:bottom w:val="none" w:sz="0" w:space="0" w:color="auto"/>
        <w:right w:val="none" w:sz="0" w:space="0" w:color="auto"/>
      </w:divBdr>
    </w:div>
    <w:div w:id="2017876419">
      <w:bodyDiv w:val="1"/>
      <w:marLeft w:val="0"/>
      <w:marRight w:val="0"/>
      <w:marTop w:val="0"/>
      <w:marBottom w:val="0"/>
      <w:divBdr>
        <w:top w:val="none" w:sz="0" w:space="0" w:color="auto"/>
        <w:left w:val="none" w:sz="0" w:space="0" w:color="auto"/>
        <w:bottom w:val="none" w:sz="0" w:space="0" w:color="auto"/>
        <w:right w:val="none" w:sz="0" w:space="0" w:color="auto"/>
      </w:divBdr>
    </w:div>
    <w:div w:id="2017881618">
      <w:bodyDiv w:val="1"/>
      <w:marLeft w:val="0"/>
      <w:marRight w:val="0"/>
      <w:marTop w:val="0"/>
      <w:marBottom w:val="0"/>
      <w:divBdr>
        <w:top w:val="none" w:sz="0" w:space="0" w:color="auto"/>
        <w:left w:val="none" w:sz="0" w:space="0" w:color="auto"/>
        <w:bottom w:val="none" w:sz="0" w:space="0" w:color="auto"/>
        <w:right w:val="none" w:sz="0" w:space="0" w:color="auto"/>
      </w:divBdr>
    </w:div>
    <w:div w:id="2017924225">
      <w:bodyDiv w:val="1"/>
      <w:marLeft w:val="0"/>
      <w:marRight w:val="0"/>
      <w:marTop w:val="0"/>
      <w:marBottom w:val="0"/>
      <w:divBdr>
        <w:top w:val="none" w:sz="0" w:space="0" w:color="auto"/>
        <w:left w:val="none" w:sz="0" w:space="0" w:color="auto"/>
        <w:bottom w:val="none" w:sz="0" w:space="0" w:color="auto"/>
        <w:right w:val="none" w:sz="0" w:space="0" w:color="auto"/>
      </w:divBdr>
    </w:div>
    <w:div w:id="2017926422">
      <w:bodyDiv w:val="1"/>
      <w:marLeft w:val="0"/>
      <w:marRight w:val="0"/>
      <w:marTop w:val="0"/>
      <w:marBottom w:val="0"/>
      <w:divBdr>
        <w:top w:val="none" w:sz="0" w:space="0" w:color="auto"/>
        <w:left w:val="none" w:sz="0" w:space="0" w:color="auto"/>
        <w:bottom w:val="none" w:sz="0" w:space="0" w:color="auto"/>
        <w:right w:val="none" w:sz="0" w:space="0" w:color="auto"/>
      </w:divBdr>
    </w:div>
    <w:div w:id="2017993542">
      <w:bodyDiv w:val="1"/>
      <w:marLeft w:val="0"/>
      <w:marRight w:val="0"/>
      <w:marTop w:val="0"/>
      <w:marBottom w:val="0"/>
      <w:divBdr>
        <w:top w:val="none" w:sz="0" w:space="0" w:color="auto"/>
        <w:left w:val="none" w:sz="0" w:space="0" w:color="auto"/>
        <w:bottom w:val="none" w:sz="0" w:space="0" w:color="auto"/>
        <w:right w:val="none" w:sz="0" w:space="0" w:color="auto"/>
      </w:divBdr>
    </w:div>
    <w:div w:id="2018070446">
      <w:bodyDiv w:val="1"/>
      <w:marLeft w:val="0"/>
      <w:marRight w:val="0"/>
      <w:marTop w:val="0"/>
      <w:marBottom w:val="0"/>
      <w:divBdr>
        <w:top w:val="none" w:sz="0" w:space="0" w:color="auto"/>
        <w:left w:val="none" w:sz="0" w:space="0" w:color="auto"/>
        <w:bottom w:val="none" w:sz="0" w:space="0" w:color="auto"/>
        <w:right w:val="none" w:sz="0" w:space="0" w:color="auto"/>
      </w:divBdr>
    </w:div>
    <w:div w:id="2018073246">
      <w:bodyDiv w:val="1"/>
      <w:marLeft w:val="0"/>
      <w:marRight w:val="0"/>
      <w:marTop w:val="0"/>
      <w:marBottom w:val="0"/>
      <w:divBdr>
        <w:top w:val="none" w:sz="0" w:space="0" w:color="auto"/>
        <w:left w:val="none" w:sz="0" w:space="0" w:color="auto"/>
        <w:bottom w:val="none" w:sz="0" w:space="0" w:color="auto"/>
        <w:right w:val="none" w:sz="0" w:space="0" w:color="auto"/>
      </w:divBdr>
    </w:div>
    <w:div w:id="2018191532">
      <w:bodyDiv w:val="1"/>
      <w:marLeft w:val="0"/>
      <w:marRight w:val="0"/>
      <w:marTop w:val="0"/>
      <w:marBottom w:val="0"/>
      <w:divBdr>
        <w:top w:val="none" w:sz="0" w:space="0" w:color="auto"/>
        <w:left w:val="none" w:sz="0" w:space="0" w:color="auto"/>
        <w:bottom w:val="none" w:sz="0" w:space="0" w:color="auto"/>
        <w:right w:val="none" w:sz="0" w:space="0" w:color="auto"/>
      </w:divBdr>
    </w:div>
    <w:div w:id="2018194079">
      <w:bodyDiv w:val="1"/>
      <w:marLeft w:val="0"/>
      <w:marRight w:val="0"/>
      <w:marTop w:val="0"/>
      <w:marBottom w:val="0"/>
      <w:divBdr>
        <w:top w:val="none" w:sz="0" w:space="0" w:color="auto"/>
        <w:left w:val="none" w:sz="0" w:space="0" w:color="auto"/>
        <w:bottom w:val="none" w:sz="0" w:space="0" w:color="auto"/>
        <w:right w:val="none" w:sz="0" w:space="0" w:color="auto"/>
      </w:divBdr>
    </w:div>
    <w:div w:id="2018265492">
      <w:bodyDiv w:val="1"/>
      <w:marLeft w:val="0"/>
      <w:marRight w:val="0"/>
      <w:marTop w:val="0"/>
      <w:marBottom w:val="0"/>
      <w:divBdr>
        <w:top w:val="none" w:sz="0" w:space="0" w:color="auto"/>
        <w:left w:val="none" w:sz="0" w:space="0" w:color="auto"/>
        <w:bottom w:val="none" w:sz="0" w:space="0" w:color="auto"/>
        <w:right w:val="none" w:sz="0" w:space="0" w:color="auto"/>
      </w:divBdr>
    </w:div>
    <w:div w:id="2018313693">
      <w:bodyDiv w:val="1"/>
      <w:marLeft w:val="0"/>
      <w:marRight w:val="0"/>
      <w:marTop w:val="0"/>
      <w:marBottom w:val="0"/>
      <w:divBdr>
        <w:top w:val="none" w:sz="0" w:space="0" w:color="auto"/>
        <w:left w:val="none" w:sz="0" w:space="0" w:color="auto"/>
        <w:bottom w:val="none" w:sz="0" w:space="0" w:color="auto"/>
        <w:right w:val="none" w:sz="0" w:space="0" w:color="auto"/>
      </w:divBdr>
    </w:div>
    <w:div w:id="2018385533">
      <w:bodyDiv w:val="1"/>
      <w:marLeft w:val="0"/>
      <w:marRight w:val="0"/>
      <w:marTop w:val="0"/>
      <w:marBottom w:val="0"/>
      <w:divBdr>
        <w:top w:val="none" w:sz="0" w:space="0" w:color="auto"/>
        <w:left w:val="none" w:sz="0" w:space="0" w:color="auto"/>
        <w:bottom w:val="none" w:sz="0" w:space="0" w:color="auto"/>
        <w:right w:val="none" w:sz="0" w:space="0" w:color="auto"/>
      </w:divBdr>
    </w:div>
    <w:div w:id="2018456168">
      <w:bodyDiv w:val="1"/>
      <w:marLeft w:val="0"/>
      <w:marRight w:val="0"/>
      <w:marTop w:val="0"/>
      <w:marBottom w:val="0"/>
      <w:divBdr>
        <w:top w:val="none" w:sz="0" w:space="0" w:color="auto"/>
        <w:left w:val="none" w:sz="0" w:space="0" w:color="auto"/>
        <w:bottom w:val="none" w:sz="0" w:space="0" w:color="auto"/>
        <w:right w:val="none" w:sz="0" w:space="0" w:color="auto"/>
      </w:divBdr>
    </w:div>
    <w:div w:id="2018648959">
      <w:bodyDiv w:val="1"/>
      <w:marLeft w:val="0"/>
      <w:marRight w:val="0"/>
      <w:marTop w:val="0"/>
      <w:marBottom w:val="0"/>
      <w:divBdr>
        <w:top w:val="none" w:sz="0" w:space="0" w:color="auto"/>
        <w:left w:val="none" w:sz="0" w:space="0" w:color="auto"/>
        <w:bottom w:val="none" w:sz="0" w:space="0" w:color="auto"/>
        <w:right w:val="none" w:sz="0" w:space="0" w:color="auto"/>
      </w:divBdr>
    </w:div>
    <w:div w:id="2018656941">
      <w:bodyDiv w:val="1"/>
      <w:marLeft w:val="0"/>
      <w:marRight w:val="0"/>
      <w:marTop w:val="0"/>
      <w:marBottom w:val="0"/>
      <w:divBdr>
        <w:top w:val="none" w:sz="0" w:space="0" w:color="auto"/>
        <w:left w:val="none" w:sz="0" w:space="0" w:color="auto"/>
        <w:bottom w:val="none" w:sz="0" w:space="0" w:color="auto"/>
        <w:right w:val="none" w:sz="0" w:space="0" w:color="auto"/>
      </w:divBdr>
    </w:div>
    <w:div w:id="2018799309">
      <w:bodyDiv w:val="1"/>
      <w:marLeft w:val="0"/>
      <w:marRight w:val="0"/>
      <w:marTop w:val="0"/>
      <w:marBottom w:val="0"/>
      <w:divBdr>
        <w:top w:val="none" w:sz="0" w:space="0" w:color="auto"/>
        <w:left w:val="none" w:sz="0" w:space="0" w:color="auto"/>
        <w:bottom w:val="none" w:sz="0" w:space="0" w:color="auto"/>
        <w:right w:val="none" w:sz="0" w:space="0" w:color="auto"/>
      </w:divBdr>
    </w:div>
    <w:div w:id="2018799366">
      <w:bodyDiv w:val="1"/>
      <w:marLeft w:val="0"/>
      <w:marRight w:val="0"/>
      <w:marTop w:val="0"/>
      <w:marBottom w:val="0"/>
      <w:divBdr>
        <w:top w:val="none" w:sz="0" w:space="0" w:color="auto"/>
        <w:left w:val="none" w:sz="0" w:space="0" w:color="auto"/>
        <w:bottom w:val="none" w:sz="0" w:space="0" w:color="auto"/>
        <w:right w:val="none" w:sz="0" w:space="0" w:color="auto"/>
      </w:divBdr>
    </w:div>
    <w:div w:id="2018846083">
      <w:bodyDiv w:val="1"/>
      <w:marLeft w:val="0"/>
      <w:marRight w:val="0"/>
      <w:marTop w:val="0"/>
      <w:marBottom w:val="0"/>
      <w:divBdr>
        <w:top w:val="none" w:sz="0" w:space="0" w:color="auto"/>
        <w:left w:val="none" w:sz="0" w:space="0" w:color="auto"/>
        <w:bottom w:val="none" w:sz="0" w:space="0" w:color="auto"/>
        <w:right w:val="none" w:sz="0" w:space="0" w:color="auto"/>
      </w:divBdr>
    </w:div>
    <w:div w:id="2018923938">
      <w:bodyDiv w:val="1"/>
      <w:marLeft w:val="0"/>
      <w:marRight w:val="0"/>
      <w:marTop w:val="0"/>
      <w:marBottom w:val="0"/>
      <w:divBdr>
        <w:top w:val="none" w:sz="0" w:space="0" w:color="auto"/>
        <w:left w:val="none" w:sz="0" w:space="0" w:color="auto"/>
        <w:bottom w:val="none" w:sz="0" w:space="0" w:color="auto"/>
        <w:right w:val="none" w:sz="0" w:space="0" w:color="auto"/>
      </w:divBdr>
    </w:div>
    <w:div w:id="2019034906">
      <w:bodyDiv w:val="1"/>
      <w:marLeft w:val="0"/>
      <w:marRight w:val="0"/>
      <w:marTop w:val="0"/>
      <w:marBottom w:val="0"/>
      <w:divBdr>
        <w:top w:val="none" w:sz="0" w:space="0" w:color="auto"/>
        <w:left w:val="none" w:sz="0" w:space="0" w:color="auto"/>
        <w:bottom w:val="none" w:sz="0" w:space="0" w:color="auto"/>
        <w:right w:val="none" w:sz="0" w:space="0" w:color="auto"/>
      </w:divBdr>
    </w:div>
    <w:div w:id="2019110905">
      <w:bodyDiv w:val="1"/>
      <w:marLeft w:val="0"/>
      <w:marRight w:val="0"/>
      <w:marTop w:val="0"/>
      <w:marBottom w:val="0"/>
      <w:divBdr>
        <w:top w:val="none" w:sz="0" w:space="0" w:color="auto"/>
        <w:left w:val="none" w:sz="0" w:space="0" w:color="auto"/>
        <w:bottom w:val="none" w:sz="0" w:space="0" w:color="auto"/>
        <w:right w:val="none" w:sz="0" w:space="0" w:color="auto"/>
      </w:divBdr>
    </w:div>
    <w:div w:id="2019112510">
      <w:bodyDiv w:val="1"/>
      <w:marLeft w:val="0"/>
      <w:marRight w:val="0"/>
      <w:marTop w:val="0"/>
      <w:marBottom w:val="0"/>
      <w:divBdr>
        <w:top w:val="none" w:sz="0" w:space="0" w:color="auto"/>
        <w:left w:val="none" w:sz="0" w:space="0" w:color="auto"/>
        <w:bottom w:val="none" w:sz="0" w:space="0" w:color="auto"/>
        <w:right w:val="none" w:sz="0" w:space="0" w:color="auto"/>
      </w:divBdr>
    </w:div>
    <w:div w:id="2019313027">
      <w:bodyDiv w:val="1"/>
      <w:marLeft w:val="0"/>
      <w:marRight w:val="0"/>
      <w:marTop w:val="0"/>
      <w:marBottom w:val="0"/>
      <w:divBdr>
        <w:top w:val="none" w:sz="0" w:space="0" w:color="auto"/>
        <w:left w:val="none" w:sz="0" w:space="0" w:color="auto"/>
        <w:bottom w:val="none" w:sz="0" w:space="0" w:color="auto"/>
        <w:right w:val="none" w:sz="0" w:space="0" w:color="auto"/>
      </w:divBdr>
    </w:div>
    <w:div w:id="2019426785">
      <w:bodyDiv w:val="1"/>
      <w:marLeft w:val="0"/>
      <w:marRight w:val="0"/>
      <w:marTop w:val="0"/>
      <w:marBottom w:val="0"/>
      <w:divBdr>
        <w:top w:val="none" w:sz="0" w:space="0" w:color="auto"/>
        <w:left w:val="none" w:sz="0" w:space="0" w:color="auto"/>
        <w:bottom w:val="none" w:sz="0" w:space="0" w:color="auto"/>
        <w:right w:val="none" w:sz="0" w:space="0" w:color="auto"/>
      </w:divBdr>
    </w:div>
    <w:div w:id="2019580498">
      <w:bodyDiv w:val="1"/>
      <w:marLeft w:val="0"/>
      <w:marRight w:val="0"/>
      <w:marTop w:val="0"/>
      <w:marBottom w:val="0"/>
      <w:divBdr>
        <w:top w:val="none" w:sz="0" w:space="0" w:color="auto"/>
        <w:left w:val="none" w:sz="0" w:space="0" w:color="auto"/>
        <w:bottom w:val="none" w:sz="0" w:space="0" w:color="auto"/>
        <w:right w:val="none" w:sz="0" w:space="0" w:color="auto"/>
      </w:divBdr>
    </w:div>
    <w:div w:id="2019581897">
      <w:bodyDiv w:val="1"/>
      <w:marLeft w:val="0"/>
      <w:marRight w:val="0"/>
      <w:marTop w:val="0"/>
      <w:marBottom w:val="0"/>
      <w:divBdr>
        <w:top w:val="none" w:sz="0" w:space="0" w:color="auto"/>
        <w:left w:val="none" w:sz="0" w:space="0" w:color="auto"/>
        <w:bottom w:val="none" w:sz="0" w:space="0" w:color="auto"/>
        <w:right w:val="none" w:sz="0" w:space="0" w:color="auto"/>
      </w:divBdr>
    </w:div>
    <w:div w:id="2019695437">
      <w:bodyDiv w:val="1"/>
      <w:marLeft w:val="0"/>
      <w:marRight w:val="0"/>
      <w:marTop w:val="0"/>
      <w:marBottom w:val="0"/>
      <w:divBdr>
        <w:top w:val="none" w:sz="0" w:space="0" w:color="auto"/>
        <w:left w:val="none" w:sz="0" w:space="0" w:color="auto"/>
        <w:bottom w:val="none" w:sz="0" w:space="0" w:color="auto"/>
        <w:right w:val="none" w:sz="0" w:space="0" w:color="auto"/>
      </w:divBdr>
    </w:div>
    <w:div w:id="2019699353">
      <w:bodyDiv w:val="1"/>
      <w:marLeft w:val="0"/>
      <w:marRight w:val="0"/>
      <w:marTop w:val="0"/>
      <w:marBottom w:val="0"/>
      <w:divBdr>
        <w:top w:val="none" w:sz="0" w:space="0" w:color="auto"/>
        <w:left w:val="none" w:sz="0" w:space="0" w:color="auto"/>
        <w:bottom w:val="none" w:sz="0" w:space="0" w:color="auto"/>
        <w:right w:val="none" w:sz="0" w:space="0" w:color="auto"/>
      </w:divBdr>
    </w:div>
    <w:div w:id="2019841107">
      <w:bodyDiv w:val="1"/>
      <w:marLeft w:val="0"/>
      <w:marRight w:val="0"/>
      <w:marTop w:val="0"/>
      <w:marBottom w:val="0"/>
      <w:divBdr>
        <w:top w:val="none" w:sz="0" w:space="0" w:color="auto"/>
        <w:left w:val="none" w:sz="0" w:space="0" w:color="auto"/>
        <w:bottom w:val="none" w:sz="0" w:space="0" w:color="auto"/>
        <w:right w:val="none" w:sz="0" w:space="0" w:color="auto"/>
      </w:divBdr>
    </w:div>
    <w:div w:id="2020042359">
      <w:bodyDiv w:val="1"/>
      <w:marLeft w:val="0"/>
      <w:marRight w:val="0"/>
      <w:marTop w:val="0"/>
      <w:marBottom w:val="0"/>
      <w:divBdr>
        <w:top w:val="none" w:sz="0" w:space="0" w:color="auto"/>
        <w:left w:val="none" w:sz="0" w:space="0" w:color="auto"/>
        <w:bottom w:val="none" w:sz="0" w:space="0" w:color="auto"/>
        <w:right w:val="none" w:sz="0" w:space="0" w:color="auto"/>
      </w:divBdr>
    </w:div>
    <w:div w:id="2020110049">
      <w:bodyDiv w:val="1"/>
      <w:marLeft w:val="0"/>
      <w:marRight w:val="0"/>
      <w:marTop w:val="0"/>
      <w:marBottom w:val="0"/>
      <w:divBdr>
        <w:top w:val="none" w:sz="0" w:space="0" w:color="auto"/>
        <w:left w:val="none" w:sz="0" w:space="0" w:color="auto"/>
        <w:bottom w:val="none" w:sz="0" w:space="0" w:color="auto"/>
        <w:right w:val="none" w:sz="0" w:space="0" w:color="auto"/>
      </w:divBdr>
    </w:div>
    <w:div w:id="2020153348">
      <w:bodyDiv w:val="1"/>
      <w:marLeft w:val="0"/>
      <w:marRight w:val="0"/>
      <w:marTop w:val="0"/>
      <w:marBottom w:val="0"/>
      <w:divBdr>
        <w:top w:val="none" w:sz="0" w:space="0" w:color="auto"/>
        <w:left w:val="none" w:sz="0" w:space="0" w:color="auto"/>
        <w:bottom w:val="none" w:sz="0" w:space="0" w:color="auto"/>
        <w:right w:val="none" w:sz="0" w:space="0" w:color="auto"/>
      </w:divBdr>
    </w:div>
    <w:div w:id="2020158128">
      <w:bodyDiv w:val="1"/>
      <w:marLeft w:val="0"/>
      <w:marRight w:val="0"/>
      <w:marTop w:val="0"/>
      <w:marBottom w:val="0"/>
      <w:divBdr>
        <w:top w:val="none" w:sz="0" w:space="0" w:color="auto"/>
        <w:left w:val="none" w:sz="0" w:space="0" w:color="auto"/>
        <w:bottom w:val="none" w:sz="0" w:space="0" w:color="auto"/>
        <w:right w:val="none" w:sz="0" w:space="0" w:color="auto"/>
      </w:divBdr>
    </w:div>
    <w:div w:id="2020159946">
      <w:bodyDiv w:val="1"/>
      <w:marLeft w:val="0"/>
      <w:marRight w:val="0"/>
      <w:marTop w:val="0"/>
      <w:marBottom w:val="0"/>
      <w:divBdr>
        <w:top w:val="none" w:sz="0" w:space="0" w:color="auto"/>
        <w:left w:val="none" w:sz="0" w:space="0" w:color="auto"/>
        <w:bottom w:val="none" w:sz="0" w:space="0" w:color="auto"/>
        <w:right w:val="none" w:sz="0" w:space="0" w:color="auto"/>
      </w:divBdr>
    </w:div>
    <w:div w:id="2020229506">
      <w:bodyDiv w:val="1"/>
      <w:marLeft w:val="0"/>
      <w:marRight w:val="0"/>
      <w:marTop w:val="0"/>
      <w:marBottom w:val="0"/>
      <w:divBdr>
        <w:top w:val="none" w:sz="0" w:space="0" w:color="auto"/>
        <w:left w:val="none" w:sz="0" w:space="0" w:color="auto"/>
        <w:bottom w:val="none" w:sz="0" w:space="0" w:color="auto"/>
        <w:right w:val="none" w:sz="0" w:space="0" w:color="auto"/>
      </w:divBdr>
    </w:div>
    <w:div w:id="2020422005">
      <w:bodyDiv w:val="1"/>
      <w:marLeft w:val="0"/>
      <w:marRight w:val="0"/>
      <w:marTop w:val="0"/>
      <w:marBottom w:val="0"/>
      <w:divBdr>
        <w:top w:val="none" w:sz="0" w:space="0" w:color="auto"/>
        <w:left w:val="none" w:sz="0" w:space="0" w:color="auto"/>
        <w:bottom w:val="none" w:sz="0" w:space="0" w:color="auto"/>
        <w:right w:val="none" w:sz="0" w:space="0" w:color="auto"/>
      </w:divBdr>
    </w:div>
    <w:div w:id="2020497866">
      <w:bodyDiv w:val="1"/>
      <w:marLeft w:val="0"/>
      <w:marRight w:val="0"/>
      <w:marTop w:val="0"/>
      <w:marBottom w:val="0"/>
      <w:divBdr>
        <w:top w:val="none" w:sz="0" w:space="0" w:color="auto"/>
        <w:left w:val="none" w:sz="0" w:space="0" w:color="auto"/>
        <w:bottom w:val="none" w:sz="0" w:space="0" w:color="auto"/>
        <w:right w:val="none" w:sz="0" w:space="0" w:color="auto"/>
      </w:divBdr>
    </w:div>
    <w:div w:id="2020504309">
      <w:bodyDiv w:val="1"/>
      <w:marLeft w:val="0"/>
      <w:marRight w:val="0"/>
      <w:marTop w:val="0"/>
      <w:marBottom w:val="0"/>
      <w:divBdr>
        <w:top w:val="none" w:sz="0" w:space="0" w:color="auto"/>
        <w:left w:val="none" w:sz="0" w:space="0" w:color="auto"/>
        <w:bottom w:val="none" w:sz="0" w:space="0" w:color="auto"/>
        <w:right w:val="none" w:sz="0" w:space="0" w:color="auto"/>
      </w:divBdr>
    </w:div>
    <w:div w:id="2020542160">
      <w:bodyDiv w:val="1"/>
      <w:marLeft w:val="0"/>
      <w:marRight w:val="0"/>
      <w:marTop w:val="0"/>
      <w:marBottom w:val="0"/>
      <w:divBdr>
        <w:top w:val="none" w:sz="0" w:space="0" w:color="auto"/>
        <w:left w:val="none" w:sz="0" w:space="0" w:color="auto"/>
        <w:bottom w:val="none" w:sz="0" w:space="0" w:color="auto"/>
        <w:right w:val="none" w:sz="0" w:space="0" w:color="auto"/>
      </w:divBdr>
    </w:div>
    <w:div w:id="2020615277">
      <w:bodyDiv w:val="1"/>
      <w:marLeft w:val="0"/>
      <w:marRight w:val="0"/>
      <w:marTop w:val="0"/>
      <w:marBottom w:val="0"/>
      <w:divBdr>
        <w:top w:val="none" w:sz="0" w:space="0" w:color="auto"/>
        <w:left w:val="none" w:sz="0" w:space="0" w:color="auto"/>
        <w:bottom w:val="none" w:sz="0" w:space="0" w:color="auto"/>
        <w:right w:val="none" w:sz="0" w:space="0" w:color="auto"/>
      </w:divBdr>
    </w:div>
    <w:div w:id="2020617931">
      <w:bodyDiv w:val="1"/>
      <w:marLeft w:val="0"/>
      <w:marRight w:val="0"/>
      <w:marTop w:val="0"/>
      <w:marBottom w:val="0"/>
      <w:divBdr>
        <w:top w:val="none" w:sz="0" w:space="0" w:color="auto"/>
        <w:left w:val="none" w:sz="0" w:space="0" w:color="auto"/>
        <w:bottom w:val="none" w:sz="0" w:space="0" w:color="auto"/>
        <w:right w:val="none" w:sz="0" w:space="0" w:color="auto"/>
      </w:divBdr>
    </w:div>
    <w:div w:id="2020693100">
      <w:bodyDiv w:val="1"/>
      <w:marLeft w:val="0"/>
      <w:marRight w:val="0"/>
      <w:marTop w:val="0"/>
      <w:marBottom w:val="0"/>
      <w:divBdr>
        <w:top w:val="none" w:sz="0" w:space="0" w:color="auto"/>
        <w:left w:val="none" w:sz="0" w:space="0" w:color="auto"/>
        <w:bottom w:val="none" w:sz="0" w:space="0" w:color="auto"/>
        <w:right w:val="none" w:sz="0" w:space="0" w:color="auto"/>
      </w:divBdr>
    </w:div>
    <w:div w:id="2020698480">
      <w:bodyDiv w:val="1"/>
      <w:marLeft w:val="0"/>
      <w:marRight w:val="0"/>
      <w:marTop w:val="0"/>
      <w:marBottom w:val="0"/>
      <w:divBdr>
        <w:top w:val="none" w:sz="0" w:space="0" w:color="auto"/>
        <w:left w:val="none" w:sz="0" w:space="0" w:color="auto"/>
        <w:bottom w:val="none" w:sz="0" w:space="0" w:color="auto"/>
        <w:right w:val="none" w:sz="0" w:space="0" w:color="auto"/>
      </w:divBdr>
    </w:div>
    <w:div w:id="2020739812">
      <w:bodyDiv w:val="1"/>
      <w:marLeft w:val="0"/>
      <w:marRight w:val="0"/>
      <w:marTop w:val="0"/>
      <w:marBottom w:val="0"/>
      <w:divBdr>
        <w:top w:val="none" w:sz="0" w:space="0" w:color="auto"/>
        <w:left w:val="none" w:sz="0" w:space="0" w:color="auto"/>
        <w:bottom w:val="none" w:sz="0" w:space="0" w:color="auto"/>
        <w:right w:val="none" w:sz="0" w:space="0" w:color="auto"/>
      </w:divBdr>
    </w:div>
    <w:div w:id="2020816023">
      <w:bodyDiv w:val="1"/>
      <w:marLeft w:val="0"/>
      <w:marRight w:val="0"/>
      <w:marTop w:val="0"/>
      <w:marBottom w:val="0"/>
      <w:divBdr>
        <w:top w:val="none" w:sz="0" w:space="0" w:color="auto"/>
        <w:left w:val="none" w:sz="0" w:space="0" w:color="auto"/>
        <w:bottom w:val="none" w:sz="0" w:space="0" w:color="auto"/>
        <w:right w:val="none" w:sz="0" w:space="0" w:color="auto"/>
      </w:divBdr>
    </w:div>
    <w:div w:id="2020883533">
      <w:bodyDiv w:val="1"/>
      <w:marLeft w:val="0"/>
      <w:marRight w:val="0"/>
      <w:marTop w:val="0"/>
      <w:marBottom w:val="0"/>
      <w:divBdr>
        <w:top w:val="none" w:sz="0" w:space="0" w:color="auto"/>
        <w:left w:val="none" w:sz="0" w:space="0" w:color="auto"/>
        <w:bottom w:val="none" w:sz="0" w:space="0" w:color="auto"/>
        <w:right w:val="none" w:sz="0" w:space="0" w:color="auto"/>
      </w:divBdr>
    </w:div>
    <w:div w:id="2020886882">
      <w:bodyDiv w:val="1"/>
      <w:marLeft w:val="0"/>
      <w:marRight w:val="0"/>
      <w:marTop w:val="0"/>
      <w:marBottom w:val="0"/>
      <w:divBdr>
        <w:top w:val="none" w:sz="0" w:space="0" w:color="auto"/>
        <w:left w:val="none" w:sz="0" w:space="0" w:color="auto"/>
        <w:bottom w:val="none" w:sz="0" w:space="0" w:color="auto"/>
        <w:right w:val="none" w:sz="0" w:space="0" w:color="auto"/>
      </w:divBdr>
    </w:div>
    <w:div w:id="2020933753">
      <w:bodyDiv w:val="1"/>
      <w:marLeft w:val="0"/>
      <w:marRight w:val="0"/>
      <w:marTop w:val="0"/>
      <w:marBottom w:val="0"/>
      <w:divBdr>
        <w:top w:val="none" w:sz="0" w:space="0" w:color="auto"/>
        <w:left w:val="none" w:sz="0" w:space="0" w:color="auto"/>
        <w:bottom w:val="none" w:sz="0" w:space="0" w:color="auto"/>
        <w:right w:val="none" w:sz="0" w:space="0" w:color="auto"/>
      </w:divBdr>
    </w:div>
    <w:div w:id="2020960705">
      <w:bodyDiv w:val="1"/>
      <w:marLeft w:val="0"/>
      <w:marRight w:val="0"/>
      <w:marTop w:val="0"/>
      <w:marBottom w:val="0"/>
      <w:divBdr>
        <w:top w:val="none" w:sz="0" w:space="0" w:color="auto"/>
        <w:left w:val="none" w:sz="0" w:space="0" w:color="auto"/>
        <w:bottom w:val="none" w:sz="0" w:space="0" w:color="auto"/>
        <w:right w:val="none" w:sz="0" w:space="0" w:color="auto"/>
      </w:divBdr>
    </w:div>
    <w:div w:id="2020962728">
      <w:bodyDiv w:val="1"/>
      <w:marLeft w:val="0"/>
      <w:marRight w:val="0"/>
      <w:marTop w:val="0"/>
      <w:marBottom w:val="0"/>
      <w:divBdr>
        <w:top w:val="none" w:sz="0" w:space="0" w:color="auto"/>
        <w:left w:val="none" w:sz="0" w:space="0" w:color="auto"/>
        <w:bottom w:val="none" w:sz="0" w:space="0" w:color="auto"/>
        <w:right w:val="none" w:sz="0" w:space="0" w:color="auto"/>
      </w:divBdr>
    </w:div>
    <w:div w:id="2021004431">
      <w:bodyDiv w:val="1"/>
      <w:marLeft w:val="0"/>
      <w:marRight w:val="0"/>
      <w:marTop w:val="0"/>
      <w:marBottom w:val="0"/>
      <w:divBdr>
        <w:top w:val="none" w:sz="0" w:space="0" w:color="auto"/>
        <w:left w:val="none" w:sz="0" w:space="0" w:color="auto"/>
        <w:bottom w:val="none" w:sz="0" w:space="0" w:color="auto"/>
        <w:right w:val="none" w:sz="0" w:space="0" w:color="auto"/>
      </w:divBdr>
    </w:div>
    <w:div w:id="2021078378">
      <w:bodyDiv w:val="1"/>
      <w:marLeft w:val="0"/>
      <w:marRight w:val="0"/>
      <w:marTop w:val="0"/>
      <w:marBottom w:val="0"/>
      <w:divBdr>
        <w:top w:val="none" w:sz="0" w:space="0" w:color="auto"/>
        <w:left w:val="none" w:sz="0" w:space="0" w:color="auto"/>
        <w:bottom w:val="none" w:sz="0" w:space="0" w:color="auto"/>
        <w:right w:val="none" w:sz="0" w:space="0" w:color="auto"/>
      </w:divBdr>
    </w:div>
    <w:div w:id="2021151962">
      <w:bodyDiv w:val="1"/>
      <w:marLeft w:val="0"/>
      <w:marRight w:val="0"/>
      <w:marTop w:val="0"/>
      <w:marBottom w:val="0"/>
      <w:divBdr>
        <w:top w:val="none" w:sz="0" w:space="0" w:color="auto"/>
        <w:left w:val="none" w:sz="0" w:space="0" w:color="auto"/>
        <w:bottom w:val="none" w:sz="0" w:space="0" w:color="auto"/>
        <w:right w:val="none" w:sz="0" w:space="0" w:color="auto"/>
      </w:divBdr>
    </w:div>
    <w:div w:id="2021157668">
      <w:bodyDiv w:val="1"/>
      <w:marLeft w:val="0"/>
      <w:marRight w:val="0"/>
      <w:marTop w:val="0"/>
      <w:marBottom w:val="0"/>
      <w:divBdr>
        <w:top w:val="none" w:sz="0" w:space="0" w:color="auto"/>
        <w:left w:val="none" w:sz="0" w:space="0" w:color="auto"/>
        <w:bottom w:val="none" w:sz="0" w:space="0" w:color="auto"/>
        <w:right w:val="none" w:sz="0" w:space="0" w:color="auto"/>
      </w:divBdr>
    </w:div>
    <w:div w:id="2021196441">
      <w:bodyDiv w:val="1"/>
      <w:marLeft w:val="0"/>
      <w:marRight w:val="0"/>
      <w:marTop w:val="0"/>
      <w:marBottom w:val="0"/>
      <w:divBdr>
        <w:top w:val="none" w:sz="0" w:space="0" w:color="auto"/>
        <w:left w:val="none" w:sz="0" w:space="0" w:color="auto"/>
        <w:bottom w:val="none" w:sz="0" w:space="0" w:color="auto"/>
        <w:right w:val="none" w:sz="0" w:space="0" w:color="auto"/>
      </w:divBdr>
    </w:div>
    <w:div w:id="2021197882">
      <w:bodyDiv w:val="1"/>
      <w:marLeft w:val="0"/>
      <w:marRight w:val="0"/>
      <w:marTop w:val="0"/>
      <w:marBottom w:val="0"/>
      <w:divBdr>
        <w:top w:val="none" w:sz="0" w:space="0" w:color="auto"/>
        <w:left w:val="none" w:sz="0" w:space="0" w:color="auto"/>
        <w:bottom w:val="none" w:sz="0" w:space="0" w:color="auto"/>
        <w:right w:val="none" w:sz="0" w:space="0" w:color="auto"/>
      </w:divBdr>
    </w:div>
    <w:div w:id="2021278341">
      <w:bodyDiv w:val="1"/>
      <w:marLeft w:val="0"/>
      <w:marRight w:val="0"/>
      <w:marTop w:val="0"/>
      <w:marBottom w:val="0"/>
      <w:divBdr>
        <w:top w:val="none" w:sz="0" w:space="0" w:color="auto"/>
        <w:left w:val="none" w:sz="0" w:space="0" w:color="auto"/>
        <w:bottom w:val="none" w:sz="0" w:space="0" w:color="auto"/>
        <w:right w:val="none" w:sz="0" w:space="0" w:color="auto"/>
      </w:divBdr>
    </w:div>
    <w:div w:id="2021345010">
      <w:bodyDiv w:val="1"/>
      <w:marLeft w:val="0"/>
      <w:marRight w:val="0"/>
      <w:marTop w:val="0"/>
      <w:marBottom w:val="0"/>
      <w:divBdr>
        <w:top w:val="none" w:sz="0" w:space="0" w:color="auto"/>
        <w:left w:val="none" w:sz="0" w:space="0" w:color="auto"/>
        <w:bottom w:val="none" w:sz="0" w:space="0" w:color="auto"/>
        <w:right w:val="none" w:sz="0" w:space="0" w:color="auto"/>
      </w:divBdr>
    </w:div>
    <w:div w:id="2021351126">
      <w:bodyDiv w:val="1"/>
      <w:marLeft w:val="0"/>
      <w:marRight w:val="0"/>
      <w:marTop w:val="0"/>
      <w:marBottom w:val="0"/>
      <w:divBdr>
        <w:top w:val="none" w:sz="0" w:space="0" w:color="auto"/>
        <w:left w:val="none" w:sz="0" w:space="0" w:color="auto"/>
        <w:bottom w:val="none" w:sz="0" w:space="0" w:color="auto"/>
        <w:right w:val="none" w:sz="0" w:space="0" w:color="auto"/>
      </w:divBdr>
    </w:div>
    <w:div w:id="2021423054">
      <w:bodyDiv w:val="1"/>
      <w:marLeft w:val="0"/>
      <w:marRight w:val="0"/>
      <w:marTop w:val="0"/>
      <w:marBottom w:val="0"/>
      <w:divBdr>
        <w:top w:val="none" w:sz="0" w:space="0" w:color="auto"/>
        <w:left w:val="none" w:sz="0" w:space="0" w:color="auto"/>
        <w:bottom w:val="none" w:sz="0" w:space="0" w:color="auto"/>
        <w:right w:val="none" w:sz="0" w:space="0" w:color="auto"/>
      </w:divBdr>
    </w:div>
    <w:div w:id="2021468825">
      <w:bodyDiv w:val="1"/>
      <w:marLeft w:val="0"/>
      <w:marRight w:val="0"/>
      <w:marTop w:val="0"/>
      <w:marBottom w:val="0"/>
      <w:divBdr>
        <w:top w:val="none" w:sz="0" w:space="0" w:color="auto"/>
        <w:left w:val="none" w:sz="0" w:space="0" w:color="auto"/>
        <w:bottom w:val="none" w:sz="0" w:space="0" w:color="auto"/>
        <w:right w:val="none" w:sz="0" w:space="0" w:color="auto"/>
      </w:divBdr>
    </w:div>
    <w:div w:id="2021546216">
      <w:bodyDiv w:val="1"/>
      <w:marLeft w:val="0"/>
      <w:marRight w:val="0"/>
      <w:marTop w:val="0"/>
      <w:marBottom w:val="0"/>
      <w:divBdr>
        <w:top w:val="none" w:sz="0" w:space="0" w:color="auto"/>
        <w:left w:val="none" w:sz="0" w:space="0" w:color="auto"/>
        <w:bottom w:val="none" w:sz="0" w:space="0" w:color="auto"/>
        <w:right w:val="none" w:sz="0" w:space="0" w:color="auto"/>
      </w:divBdr>
    </w:div>
    <w:div w:id="2021616111">
      <w:bodyDiv w:val="1"/>
      <w:marLeft w:val="0"/>
      <w:marRight w:val="0"/>
      <w:marTop w:val="0"/>
      <w:marBottom w:val="0"/>
      <w:divBdr>
        <w:top w:val="none" w:sz="0" w:space="0" w:color="auto"/>
        <w:left w:val="none" w:sz="0" w:space="0" w:color="auto"/>
        <w:bottom w:val="none" w:sz="0" w:space="0" w:color="auto"/>
        <w:right w:val="none" w:sz="0" w:space="0" w:color="auto"/>
      </w:divBdr>
    </w:div>
    <w:div w:id="2021807758">
      <w:bodyDiv w:val="1"/>
      <w:marLeft w:val="0"/>
      <w:marRight w:val="0"/>
      <w:marTop w:val="0"/>
      <w:marBottom w:val="0"/>
      <w:divBdr>
        <w:top w:val="none" w:sz="0" w:space="0" w:color="auto"/>
        <w:left w:val="none" w:sz="0" w:space="0" w:color="auto"/>
        <w:bottom w:val="none" w:sz="0" w:space="0" w:color="auto"/>
        <w:right w:val="none" w:sz="0" w:space="0" w:color="auto"/>
      </w:divBdr>
    </w:div>
    <w:div w:id="2021851723">
      <w:bodyDiv w:val="1"/>
      <w:marLeft w:val="0"/>
      <w:marRight w:val="0"/>
      <w:marTop w:val="0"/>
      <w:marBottom w:val="0"/>
      <w:divBdr>
        <w:top w:val="none" w:sz="0" w:space="0" w:color="auto"/>
        <w:left w:val="none" w:sz="0" w:space="0" w:color="auto"/>
        <w:bottom w:val="none" w:sz="0" w:space="0" w:color="auto"/>
        <w:right w:val="none" w:sz="0" w:space="0" w:color="auto"/>
      </w:divBdr>
    </w:div>
    <w:div w:id="2021857336">
      <w:bodyDiv w:val="1"/>
      <w:marLeft w:val="0"/>
      <w:marRight w:val="0"/>
      <w:marTop w:val="0"/>
      <w:marBottom w:val="0"/>
      <w:divBdr>
        <w:top w:val="none" w:sz="0" w:space="0" w:color="auto"/>
        <w:left w:val="none" w:sz="0" w:space="0" w:color="auto"/>
        <w:bottom w:val="none" w:sz="0" w:space="0" w:color="auto"/>
        <w:right w:val="none" w:sz="0" w:space="0" w:color="auto"/>
      </w:divBdr>
    </w:div>
    <w:div w:id="2021933459">
      <w:bodyDiv w:val="1"/>
      <w:marLeft w:val="0"/>
      <w:marRight w:val="0"/>
      <w:marTop w:val="0"/>
      <w:marBottom w:val="0"/>
      <w:divBdr>
        <w:top w:val="none" w:sz="0" w:space="0" w:color="auto"/>
        <w:left w:val="none" w:sz="0" w:space="0" w:color="auto"/>
        <w:bottom w:val="none" w:sz="0" w:space="0" w:color="auto"/>
        <w:right w:val="none" w:sz="0" w:space="0" w:color="auto"/>
      </w:divBdr>
    </w:div>
    <w:div w:id="2022009746">
      <w:bodyDiv w:val="1"/>
      <w:marLeft w:val="0"/>
      <w:marRight w:val="0"/>
      <w:marTop w:val="0"/>
      <w:marBottom w:val="0"/>
      <w:divBdr>
        <w:top w:val="none" w:sz="0" w:space="0" w:color="auto"/>
        <w:left w:val="none" w:sz="0" w:space="0" w:color="auto"/>
        <w:bottom w:val="none" w:sz="0" w:space="0" w:color="auto"/>
        <w:right w:val="none" w:sz="0" w:space="0" w:color="auto"/>
      </w:divBdr>
    </w:div>
    <w:div w:id="2022051433">
      <w:bodyDiv w:val="1"/>
      <w:marLeft w:val="0"/>
      <w:marRight w:val="0"/>
      <w:marTop w:val="0"/>
      <w:marBottom w:val="0"/>
      <w:divBdr>
        <w:top w:val="none" w:sz="0" w:space="0" w:color="auto"/>
        <w:left w:val="none" w:sz="0" w:space="0" w:color="auto"/>
        <w:bottom w:val="none" w:sz="0" w:space="0" w:color="auto"/>
        <w:right w:val="none" w:sz="0" w:space="0" w:color="auto"/>
      </w:divBdr>
    </w:div>
    <w:div w:id="2022078489">
      <w:bodyDiv w:val="1"/>
      <w:marLeft w:val="0"/>
      <w:marRight w:val="0"/>
      <w:marTop w:val="0"/>
      <w:marBottom w:val="0"/>
      <w:divBdr>
        <w:top w:val="none" w:sz="0" w:space="0" w:color="auto"/>
        <w:left w:val="none" w:sz="0" w:space="0" w:color="auto"/>
        <w:bottom w:val="none" w:sz="0" w:space="0" w:color="auto"/>
        <w:right w:val="none" w:sz="0" w:space="0" w:color="auto"/>
      </w:divBdr>
    </w:div>
    <w:div w:id="2022078807">
      <w:bodyDiv w:val="1"/>
      <w:marLeft w:val="0"/>
      <w:marRight w:val="0"/>
      <w:marTop w:val="0"/>
      <w:marBottom w:val="0"/>
      <w:divBdr>
        <w:top w:val="none" w:sz="0" w:space="0" w:color="auto"/>
        <w:left w:val="none" w:sz="0" w:space="0" w:color="auto"/>
        <w:bottom w:val="none" w:sz="0" w:space="0" w:color="auto"/>
        <w:right w:val="none" w:sz="0" w:space="0" w:color="auto"/>
      </w:divBdr>
    </w:div>
    <w:div w:id="2022119063">
      <w:bodyDiv w:val="1"/>
      <w:marLeft w:val="0"/>
      <w:marRight w:val="0"/>
      <w:marTop w:val="0"/>
      <w:marBottom w:val="0"/>
      <w:divBdr>
        <w:top w:val="none" w:sz="0" w:space="0" w:color="auto"/>
        <w:left w:val="none" w:sz="0" w:space="0" w:color="auto"/>
        <w:bottom w:val="none" w:sz="0" w:space="0" w:color="auto"/>
        <w:right w:val="none" w:sz="0" w:space="0" w:color="auto"/>
      </w:divBdr>
    </w:div>
    <w:div w:id="2022315832">
      <w:bodyDiv w:val="1"/>
      <w:marLeft w:val="0"/>
      <w:marRight w:val="0"/>
      <w:marTop w:val="0"/>
      <w:marBottom w:val="0"/>
      <w:divBdr>
        <w:top w:val="none" w:sz="0" w:space="0" w:color="auto"/>
        <w:left w:val="none" w:sz="0" w:space="0" w:color="auto"/>
        <w:bottom w:val="none" w:sz="0" w:space="0" w:color="auto"/>
        <w:right w:val="none" w:sz="0" w:space="0" w:color="auto"/>
      </w:divBdr>
    </w:div>
    <w:div w:id="2022320853">
      <w:bodyDiv w:val="1"/>
      <w:marLeft w:val="0"/>
      <w:marRight w:val="0"/>
      <w:marTop w:val="0"/>
      <w:marBottom w:val="0"/>
      <w:divBdr>
        <w:top w:val="none" w:sz="0" w:space="0" w:color="auto"/>
        <w:left w:val="none" w:sz="0" w:space="0" w:color="auto"/>
        <w:bottom w:val="none" w:sz="0" w:space="0" w:color="auto"/>
        <w:right w:val="none" w:sz="0" w:space="0" w:color="auto"/>
      </w:divBdr>
    </w:div>
    <w:div w:id="2022388700">
      <w:bodyDiv w:val="1"/>
      <w:marLeft w:val="0"/>
      <w:marRight w:val="0"/>
      <w:marTop w:val="0"/>
      <w:marBottom w:val="0"/>
      <w:divBdr>
        <w:top w:val="none" w:sz="0" w:space="0" w:color="auto"/>
        <w:left w:val="none" w:sz="0" w:space="0" w:color="auto"/>
        <w:bottom w:val="none" w:sz="0" w:space="0" w:color="auto"/>
        <w:right w:val="none" w:sz="0" w:space="0" w:color="auto"/>
      </w:divBdr>
    </w:div>
    <w:div w:id="2022392157">
      <w:bodyDiv w:val="1"/>
      <w:marLeft w:val="0"/>
      <w:marRight w:val="0"/>
      <w:marTop w:val="0"/>
      <w:marBottom w:val="0"/>
      <w:divBdr>
        <w:top w:val="none" w:sz="0" w:space="0" w:color="auto"/>
        <w:left w:val="none" w:sz="0" w:space="0" w:color="auto"/>
        <w:bottom w:val="none" w:sz="0" w:space="0" w:color="auto"/>
        <w:right w:val="none" w:sz="0" w:space="0" w:color="auto"/>
      </w:divBdr>
    </w:div>
    <w:div w:id="2022655410">
      <w:bodyDiv w:val="1"/>
      <w:marLeft w:val="0"/>
      <w:marRight w:val="0"/>
      <w:marTop w:val="0"/>
      <w:marBottom w:val="0"/>
      <w:divBdr>
        <w:top w:val="none" w:sz="0" w:space="0" w:color="auto"/>
        <w:left w:val="none" w:sz="0" w:space="0" w:color="auto"/>
        <w:bottom w:val="none" w:sz="0" w:space="0" w:color="auto"/>
        <w:right w:val="none" w:sz="0" w:space="0" w:color="auto"/>
      </w:divBdr>
    </w:div>
    <w:div w:id="2022930024">
      <w:bodyDiv w:val="1"/>
      <w:marLeft w:val="0"/>
      <w:marRight w:val="0"/>
      <w:marTop w:val="0"/>
      <w:marBottom w:val="0"/>
      <w:divBdr>
        <w:top w:val="none" w:sz="0" w:space="0" w:color="auto"/>
        <w:left w:val="none" w:sz="0" w:space="0" w:color="auto"/>
        <w:bottom w:val="none" w:sz="0" w:space="0" w:color="auto"/>
        <w:right w:val="none" w:sz="0" w:space="0" w:color="auto"/>
      </w:divBdr>
    </w:div>
    <w:div w:id="2022932315">
      <w:bodyDiv w:val="1"/>
      <w:marLeft w:val="0"/>
      <w:marRight w:val="0"/>
      <w:marTop w:val="0"/>
      <w:marBottom w:val="0"/>
      <w:divBdr>
        <w:top w:val="none" w:sz="0" w:space="0" w:color="auto"/>
        <w:left w:val="none" w:sz="0" w:space="0" w:color="auto"/>
        <w:bottom w:val="none" w:sz="0" w:space="0" w:color="auto"/>
        <w:right w:val="none" w:sz="0" w:space="0" w:color="auto"/>
      </w:divBdr>
    </w:div>
    <w:div w:id="2022968892">
      <w:bodyDiv w:val="1"/>
      <w:marLeft w:val="0"/>
      <w:marRight w:val="0"/>
      <w:marTop w:val="0"/>
      <w:marBottom w:val="0"/>
      <w:divBdr>
        <w:top w:val="none" w:sz="0" w:space="0" w:color="auto"/>
        <w:left w:val="none" w:sz="0" w:space="0" w:color="auto"/>
        <w:bottom w:val="none" w:sz="0" w:space="0" w:color="auto"/>
        <w:right w:val="none" w:sz="0" w:space="0" w:color="auto"/>
      </w:divBdr>
    </w:div>
    <w:div w:id="2022971333">
      <w:bodyDiv w:val="1"/>
      <w:marLeft w:val="0"/>
      <w:marRight w:val="0"/>
      <w:marTop w:val="0"/>
      <w:marBottom w:val="0"/>
      <w:divBdr>
        <w:top w:val="none" w:sz="0" w:space="0" w:color="auto"/>
        <w:left w:val="none" w:sz="0" w:space="0" w:color="auto"/>
        <w:bottom w:val="none" w:sz="0" w:space="0" w:color="auto"/>
        <w:right w:val="none" w:sz="0" w:space="0" w:color="auto"/>
      </w:divBdr>
    </w:div>
    <w:div w:id="2022974757">
      <w:bodyDiv w:val="1"/>
      <w:marLeft w:val="0"/>
      <w:marRight w:val="0"/>
      <w:marTop w:val="0"/>
      <w:marBottom w:val="0"/>
      <w:divBdr>
        <w:top w:val="none" w:sz="0" w:space="0" w:color="auto"/>
        <w:left w:val="none" w:sz="0" w:space="0" w:color="auto"/>
        <w:bottom w:val="none" w:sz="0" w:space="0" w:color="auto"/>
        <w:right w:val="none" w:sz="0" w:space="0" w:color="auto"/>
      </w:divBdr>
    </w:div>
    <w:div w:id="2023126612">
      <w:bodyDiv w:val="1"/>
      <w:marLeft w:val="0"/>
      <w:marRight w:val="0"/>
      <w:marTop w:val="0"/>
      <w:marBottom w:val="0"/>
      <w:divBdr>
        <w:top w:val="none" w:sz="0" w:space="0" w:color="auto"/>
        <w:left w:val="none" w:sz="0" w:space="0" w:color="auto"/>
        <w:bottom w:val="none" w:sz="0" w:space="0" w:color="auto"/>
        <w:right w:val="none" w:sz="0" w:space="0" w:color="auto"/>
      </w:divBdr>
    </w:div>
    <w:div w:id="2023166993">
      <w:bodyDiv w:val="1"/>
      <w:marLeft w:val="0"/>
      <w:marRight w:val="0"/>
      <w:marTop w:val="0"/>
      <w:marBottom w:val="0"/>
      <w:divBdr>
        <w:top w:val="none" w:sz="0" w:space="0" w:color="auto"/>
        <w:left w:val="none" w:sz="0" w:space="0" w:color="auto"/>
        <w:bottom w:val="none" w:sz="0" w:space="0" w:color="auto"/>
        <w:right w:val="none" w:sz="0" w:space="0" w:color="auto"/>
      </w:divBdr>
    </w:div>
    <w:div w:id="2023239869">
      <w:bodyDiv w:val="1"/>
      <w:marLeft w:val="0"/>
      <w:marRight w:val="0"/>
      <w:marTop w:val="0"/>
      <w:marBottom w:val="0"/>
      <w:divBdr>
        <w:top w:val="none" w:sz="0" w:space="0" w:color="auto"/>
        <w:left w:val="none" w:sz="0" w:space="0" w:color="auto"/>
        <w:bottom w:val="none" w:sz="0" w:space="0" w:color="auto"/>
        <w:right w:val="none" w:sz="0" w:space="0" w:color="auto"/>
      </w:divBdr>
    </w:div>
    <w:div w:id="2023240193">
      <w:bodyDiv w:val="1"/>
      <w:marLeft w:val="0"/>
      <w:marRight w:val="0"/>
      <w:marTop w:val="0"/>
      <w:marBottom w:val="0"/>
      <w:divBdr>
        <w:top w:val="none" w:sz="0" w:space="0" w:color="auto"/>
        <w:left w:val="none" w:sz="0" w:space="0" w:color="auto"/>
        <w:bottom w:val="none" w:sz="0" w:space="0" w:color="auto"/>
        <w:right w:val="none" w:sz="0" w:space="0" w:color="auto"/>
      </w:divBdr>
    </w:div>
    <w:div w:id="2023318984">
      <w:bodyDiv w:val="1"/>
      <w:marLeft w:val="0"/>
      <w:marRight w:val="0"/>
      <w:marTop w:val="0"/>
      <w:marBottom w:val="0"/>
      <w:divBdr>
        <w:top w:val="none" w:sz="0" w:space="0" w:color="auto"/>
        <w:left w:val="none" w:sz="0" w:space="0" w:color="auto"/>
        <w:bottom w:val="none" w:sz="0" w:space="0" w:color="auto"/>
        <w:right w:val="none" w:sz="0" w:space="0" w:color="auto"/>
      </w:divBdr>
    </w:div>
    <w:div w:id="2023361365">
      <w:bodyDiv w:val="1"/>
      <w:marLeft w:val="0"/>
      <w:marRight w:val="0"/>
      <w:marTop w:val="0"/>
      <w:marBottom w:val="0"/>
      <w:divBdr>
        <w:top w:val="none" w:sz="0" w:space="0" w:color="auto"/>
        <w:left w:val="none" w:sz="0" w:space="0" w:color="auto"/>
        <w:bottom w:val="none" w:sz="0" w:space="0" w:color="auto"/>
        <w:right w:val="none" w:sz="0" w:space="0" w:color="auto"/>
      </w:divBdr>
    </w:div>
    <w:div w:id="2023385900">
      <w:bodyDiv w:val="1"/>
      <w:marLeft w:val="0"/>
      <w:marRight w:val="0"/>
      <w:marTop w:val="0"/>
      <w:marBottom w:val="0"/>
      <w:divBdr>
        <w:top w:val="none" w:sz="0" w:space="0" w:color="auto"/>
        <w:left w:val="none" w:sz="0" w:space="0" w:color="auto"/>
        <w:bottom w:val="none" w:sz="0" w:space="0" w:color="auto"/>
        <w:right w:val="none" w:sz="0" w:space="0" w:color="auto"/>
      </w:divBdr>
    </w:div>
    <w:div w:id="2023431834">
      <w:bodyDiv w:val="1"/>
      <w:marLeft w:val="0"/>
      <w:marRight w:val="0"/>
      <w:marTop w:val="0"/>
      <w:marBottom w:val="0"/>
      <w:divBdr>
        <w:top w:val="none" w:sz="0" w:space="0" w:color="auto"/>
        <w:left w:val="none" w:sz="0" w:space="0" w:color="auto"/>
        <w:bottom w:val="none" w:sz="0" w:space="0" w:color="auto"/>
        <w:right w:val="none" w:sz="0" w:space="0" w:color="auto"/>
      </w:divBdr>
    </w:div>
    <w:div w:id="2023434568">
      <w:bodyDiv w:val="1"/>
      <w:marLeft w:val="0"/>
      <w:marRight w:val="0"/>
      <w:marTop w:val="0"/>
      <w:marBottom w:val="0"/>
      <w:divBdr>
        <w:top w:val="none" w:sz="0" w:space="0" w:color="auto"/>
        <w:left w:val="none" w:sz="0" w:space="0" w:color="auto"/>
        <w:bottom w:val="none" w:sz="0" w:space="0" w:color="auto"/>
        <w:right w:val="none" w:sz="0" w:space="0" w:color="auto"/>
      </w:divBdr>
    </w:div>
    <w:div w:id="2023437945">
      <w:bodyDiv w:val="1"/>
      <w:marLeft w:val="0"/>
      <w:marRight w:val="0"/>
      <w:marTop w:val="0"/>
      <w:marBottom w:val="0"/>
      <w:divBdr>
        <w:top w:val="none" w:sz="0" w:space="0" w:color="auto"/>
        <w:left w:val="none" w:sz="0" w:space="0" w:color="auto"/>
        <w:bottom w:val="none" w:sz="0" w:space="0" w:color="auto"/>
        <w:right w:val="none" w:sz="0" w:space="0" w:color="auto"/>
      </w:divBdr>
    </w:div>
    <w:div w:id="2023507749">
      <w:bodyDiv w:val="1"/>
      <w:marLeft w:val="0"/>
      <w:marRight w:val="0"/>
      <w:marTop w:val="0"/>
      <w:marBottom w:val="0"/>
      <w:divBdr>
        <w:top w:val="none" w:sz="0" w:space="0" w:color="auto"/>
        <w:left w:val="none" w:sz="0" w:space="0" w:color="auto"/>
        <w:bottom w:val="none" w:sz="0" w:space="0" w:color="auto"/>
        <w:right w:val="none" w:sz="0" w:space="0" w:color="auto"/>
      </w:divBdr>
    </w:div>
    <w:div w:id="2023513376">
      <w:bodyDiv w:val="1"/>
      <w:marLeft w:val="0"/>
      <w:marRight w:val="0"/>
      <w:marTop w:val="0"/>
      <w:marBottom w:val="0"/>
      <w:divBdr>
        <w:top w:val="none" w:sz="0" w:space="0" w:color="auto"/>
        <w:left w:val="none" w:sz="0" w:space="0" w:color="auto"/>
        <w:bottom w:val="none" w:sz="0" w:space="0" w:color="auto"/>
        <w:right w:val="none" w:sz="0" w:space="0" w:color="auto"/>
      </w:divBdr>
    </w:div>
    <w:div w:id="2023628933">
      <w:bodyDiv w:val="1"/>
      <w:marLeft w:val="0"/>
      <w:marRight w:val="0"/>
      <w:marTop w:val="0"/>
      <w:marBottom w:val="0"/>
      <w:divBdr>
        <w:top w:val="none" w:sz="0" w:space="0" w:color="auto"/>
        <w:left w:val="none" w:sz="0" w:space="0" w:color="auto"/>
        <w:bottom w:val="none" w:sz="0" w:space="0" w:color="auto"/>
        <w:right w:val="none" w:sz="0" w:space="0" w:color="auto"/>
      </w:divBdr>
    </w:div>
    <w:div w:id="2023890524">
      <w:bodyDiv w:val="1"/>
      <w:marLeft w:val="0"/>
      <w:marRight w:val="0"/>
      <w:marTop w:val="0"/>
      <w:marBottom w:val="0"/>
      <w:divBdr>
        <w:top w:val="none" w:sz="0" w:space="0" w:color="auto"/>
        <w:left w:val="none" w:sz="0" w:space="0" w:color="auto"/>
        <w:bottom w:val="none" w:sz="0" w:space="0" w:color="auto"/>
        <w:right w:val="none" w:sz="0" w:space="0" w:color="auto"/>
      </w:divBdr>
    </w:div>
    <w:div w:id="2023966319">
      <w:bodyDiv w:val="1"/>
      <w:marLeft w:val="0"/>
      <w:marRight w:val="0"/>
      <w:marTop w:val="0"/>
      <w:marBottom w:val="0"/>
      <w:divBdr>
        <w:top w:val="none" w:sz="0" w:space="0" w:color="auto"/>
        <w:left w:val="none" w:sz="0" w:space="0" w:color="auto"/>
        <w:bottom w:val="none" w:sz="0" w:space="0" w:color="auto"/>
        <w:right w:val="none" w:sz="0" w:space="0" w:color="auto"/>
      </w:divBdr>
    </w:div>
    <w:div w:id="2023968847">
      <w:bodyDiv w:val="1"/>
      <w:marLeft w:val="0"/>
      <w:marRight w:val="0"/>
      <w:marTop w:val="0"/>
      <w:marBottom w:val="0"/>
      <w:divBdr>
        <w:top w:val="none" w:sz="0" w:space="0" w:color="auto"/>
        <w:left w:val="none" w:sz="0" w:space="0" w:color="auto"/>
        <w:bottom w:val="none" w:sz="0" w:space="0" w:color="auto"/>
        <w:right w:val="none" w:sz="0" w:space="0" w:color="auto"/>
      </w:divBdr>
    </w:div>
    <w:div w:id="2024241413">
      <w:bodyDiv w:val="1"/>
      <w:marLeft w:val="0"/>
      <w:marRight w:val="0"/>
      <w:marTop w:val="0"/>
      <w:marBottom w:val="0"/>
      <w:divBdr>
        <w:top w:val="none" w:sz="0" w:space="0" w:color="auto"/>
        <w:left w:val="none" w:sz="0" w:space="0" w:color="auto"/>
        <w:bottom w:val="none" w:sz="0" w:space="0" w:color="auto"/>
        <w:right w:val="none" w:sz="0" w:space="0" w:color="auto"/>
      </w:divBdr>
    </w:div>
    <w:div w:id="2024354736">
      <w:bodyDiv w:val="1"/>
      <w:marLeft w:val="0"/>
      <w:marRight w:val="0"/>
      <w:marTop w:val="0"/>
      <w:marBottom w:val="0"/>
      <w:divBdr>
        <w:top w:val="none" w:sz="0" w:space="0" w:color="auto"/>
        <w:left w:val="none" w:sz="0" w:space="0" w:color="auto"/>
        <w:bottom w:val="none" w:sz="0" w:space="0" w:color="auto"/>
        <w:right w:val="none" w:sz="0" w:space="0" w:color="auto"/>
      </w:divBdr>
    </w:div>
    <w:div w:id="2024361660">
      <w:bodyDiv w:val="1"/>
      <w:marLeft w:val="0"/>
      <w:marRight w:val="0"/>
      <w:marTop w:val="0"/>
      <w:marBottom w:val="0"/>
      <w:divBdr>
        <w:top w:val="none" w:sz="0" w:space="0" w:color="auto"/>
        <w:left w:val="none" w:sz="0" w:space="0" w:color="auto"/>
        <w:bottom w:val="none" w:sz="0" w:space="0" w:color="auto"/>
        <w:right w:val="none" w:sz="0" w:space="0" w:color="auto"/>
      </w:divBdr>
    </w:div>
    <w:div w:id="2024432003">
      <w:bodyDiv w:val="1"/>
      <w:marLeft w:val="0"/>
      <w:marRight w:val="0"/>
      <w:marTop w:val="0"/>
      <w:marBottom w:val="0"/>
      <w:divBdr>
        <w:top w:val="none" w:sz="0" w:space="0" w:color="auto"/>
        <w:left w:val="none" w:sz="0" w:space="0" w:color="auto"/>
        <w:bottom w:val="none" w:sz="0" w:space="0" w:color="auto"/>
        <w:right w:val="none" w:sz="0" w:space="0" w:color="auto"/>
      </w:divBdr>
    </w:div>
    <w:div w:id="2024476918">
      <w:bodyDiv w:val="1"/>
      <w:marLeft w:val="0"/>
      <w:marRight w:val="0"/>
      <w:marTop w:val="0"/>
      <w:marBottom w:val="0"/>
      <w:divBdr>
        <w:top w:val="none" w:sz="0" w:space="0" w:color="auto"/>
        <w:left w:val="none" w:sz="0" w:space="0" w:color="auto"/>
        <w:bottom w:val="none" w:sz="0" w:space="0" w:color="auto"/>
        <w:right w:val="none" w:sz="0" w:space="0" w:color="auto"/>
      </w:divBdr>
    </w:div>
    <w:div w:id="2024743494">
      <w:bodyDiv w:val="1"/>
      <w:marLeft w:val="0"/>
      <w:marRight w:val="0"/>
      <w:marTop w:val="0"/>
      <w:marBottom w:val="0"/>
      <w:divBdr>
        <w:top w:val="none" w:sz="0" w:space="0" w:color="auto"/>
        <w:left w:val="none" w:sz="0" w:space="0" w:color="auto"/>
        <w:bottom w:val="none" w:sz="0" w:space="0" w:color="auto"/>
        <w:right w:val="none" w:sz="0" w:space="0" w:color="auto"/>
      </w:divBdr>
    </w:div>
    <w:div w:id="2024744120">
      <w:bodyDiv w:val="1"/>
      <w:marLeft w:val="0"/>
      <w:marRight w:val="0"/>
      <w:marTop w:val="0"/>
      <w:marBottom w:val="0"/>
      <w:divBdr>
        <w:top w:val="none" w:sz="0" w:space="0" w:color="auto"/>
        <w:left w:val="none" w:sz="0" w:space="0" w:color="auto"/>
        <w:bottom w:val="none" w:sz="0" w:space="0" w:color="auto"/>
        <w:right w:val="none" w:sz="0" w:space="0" w:color="auto"/>
      </w:divBdr>
    </w:div>
    <w:div w:id="2024744835">
      <w:bodyDiv w:val="1"/>
      <w:marLeft w:val="0"/>
      <w:marRight w:val="0"/>
      <w:marTop w:val="0"/>
      <w:marBottom w:val="0"/>
      <w:divBdr>
        <w:top w:val="none" w:sz="0" w:space="0" w:color="auto"/>
        <w:left w:val="none" w:sz="0" w:space="0" w:color="auto"/>
        <w:bottom w:val="none" w:sz="0" w:space="0" w:color="auto"/>
        <w:right w:val="none" w:sz="0" w:space="0" w:color="auto"/>
      </w:divBdr>
    </w:div>
    <w:div w:id="2024935410">
      <w:bodyDiv w:val="1"/>
      <w:marLeft w:val="0"/>
      <w:marRight w:val="0"/>
      <w:marTop w:val="0"/>
      <w:marBottom w:val="0"/>
      <w:divBdr>
        <w:top w:val="none" w:sz="0" w:space="0" w:color="auto"/>
        <w:left w:val="none" w:sz="0" w:space="0" w:color="auto"/>
        <w:bottom w:val="none" w:sz="0" w:space="0" w:color="auto"/>
        <w:right w:val="none" w:sz="0" w:space="0" w:color="auto"/>
      </w:divBdr>
    </w:div>
    <w:div w:id="2025008046">
      <w:bodyDiv w:val="1"/>
      <w:marLeft w:val="0"/>
      <w:marRight w:val="0"/>
      <w:marTop w:val="0"/>
      <w:marBottom w:val="0"/>
      <w:divBdr>
        <w:top w:val="none" w:sz="0" w:space="0" w:color="auto"/>
        <w:left w:val="none" w:sz="0" w:space="0" w:color="auto"/>
        <w:bottom w:val="none" w:sz="0" w:space="0" w:color="auto"/>
        <w:right w:val="none" w:sz="0" w:space="0" w:color="auto"/>
      </w:divBdr>
    </w:div>
    <w:div w:id="2025083452">
      <w:bodyDiv w:val="1"/>
      <w:marLeft w:val="0"/>
      <w:marRight w:val="0"/>
      <w:marTop w:val="0"/>
      <w:marBottom w:val="0"/>
      <w:divBdr>
        <w:top w:val="none" w:sz="0" w:space="0" w:color="auto"/>
        <w:left w:val="none" w:sz="0" w:space="0" w:color="auto"/>
        <w:bottom w:val="none" w:sz="0" w:space="0" w:color="auto"/>
        <w:right w:val="none" w:sz="0" w:space="0" w:color="auto"/>
      </w:divBdr>
    </w:div>
    <w:div w:id="2025084095">
      <w:bodyDiv w:val="1"/>
      <w:marLeft w:val="0"/>
      <w:marRight w:val="0"/>
      <w:marTop w:val="0"/>
      <w:marBottom w:val="0"/>
      <w:divBdr>
        <w:top w:val="none" w:sz="0" w:space="0" w:color="auto"/>
        <w:left w:val="none" w:sz="0" w:space="0" w:color="auto"/>
        <w:bottom w:val="none" w:sz="0" w:space="0" w:color="auto"/>
        <w:right w:val="none" w:sz="0" w:space="0" w:color="auto"/>
      </w:divBdr>
    </w:div>
    <w:div w:id="2025210724">
      <w:bodyDiv w:val="1"/>
      <w:marLeft w:val="0"/>
      <w:marRight w:val="0"/>
      <w:marTop w:val="0"/>
      <w:marBottom w:val="0"/>
      <w:divBdr>
        <w:top w:val="none" w:sz="0" w:space="0" w:color="auto"/>
        <w:left w:val="none" w:sz="0" w:space="0" w:color="auto"/>
        <w:bottom w:val="none" w:sz="0" w:space="0" w:color="auto"/>
        <w:right w:val="none" w:sz="0" w:space="0" w:color="auto"/>
      </w:divBdr>
    </w:div>
    <w:div w:id="2025276377">
      <w:bodyDiv w:val="1"/>
      <w:marLeft w:val="0"/>
      <w:marRight w:val="0"/>
      <w:marTop w:val="0"/>
      <w:marBottom w:val="0"/>
      <w:divBdr>
        <w:top w:val="none" w:sz="0" w:space="0" w:color="auto"/>
        <w:left w:val="none" w:sz="0" w:space="0" w:color="auto"/>
        <w:bottom w:val="none" w:sz="0" w:space="0" w:color="auto"/>
        <w:right w:val="none" w:sz="0" w:space="0" w:color="auto"/>
      </w:divBdr>
    </w:div>
    <w:div w:id="2025553848">
      <w:bodyDiv w:val="1"/>
      <w:marLeft w:val="0"/>
      <w:marRight w:val="0"/>
      <w:marTop w:val="0"/>
      <w:marBottom w:val="0"/>
      <w:divBdr>
        <w:top w:val="none" w:sz="0" w:space="0" w:color="auto"/>
        <w:left w:val="none" w:sz="0" w:space="0" w:color="auto"/>
        <w:bottom w:val="none" w:sz="0" w:space="0" w:color="auto"/>
        <w:right w:val="none" w:sz="0" w:space="0" w:color="auto"/>
      </w:divBdr>
    </w:div>
    <w:div w:id="2025665395">
      <w:bodyDiv w:val="1"/>
      <w:marLeft w:val="0"/>
      <w:marRight w:val="0"/>
      <w:marTop w:val="0"/>
      <w:marBottom w:val="0"/>
      <w:divBdr>
        <w:top w:val="none" w:sz="0" w:space="0" w:color="auto"/>
        <w:left w:val="none" w:sz="0" w:space="0" w:color="auto"/>
        <w:bottom w:val="none" w:sz="0" w:space="0" w:color="auto"/>
        <w:right w:val="none" w:sz="0" w:space="0" w:color="auto"/>
      </w:divBdr>
    </w:div>
    <w:div w:id="2025740870">
      <w:bodyDiv w:val="1"/>
      <w:marLeft w:val="0"/>
      <w:marRight w:val="0"/>
      <w:marTop w:val="0"/>
      <w:marBottom w:val="0"/>
      <w:divBdr>
        <w:top w:val="none" w:sz="0" w:space="0" w:color="auto"/>
        <w:left w:val="none" w:sz="0" w:space="0" w:color="auto"/>
        <w:bottom w:val="none" w:sz="0" w:space="0" w:color="auto"/>
        <w:right w:val="none" w:sz="0" w:space="0" w:color="auto"/>
      </w:divBdr>
    </w:div>
    <w:div w:id="2025745115">
      <w:bodyDiv w:val="1"/>
      <w:marLeft w:val="0"/>
      <w:marRight w:val="0"/>
      <w:marTop w:val="0"/>
      <w:marBottom w:val="0"/>
      <w:divBdr>
        <w:top w:val="none" w:sz="0" w:space="0" w:color="auto"/>
        <w:left w:val="none" w:sz="0" w:space="0" w:color="auto"/>
        <w:bottom w:val="none" w:sz="0" w:space="0" w:color="auto"/>
        <w:right w:val="none" w:sz="0" w:space="0" w:color="auto"/>
      </w:divBdr>
    </w:div>
    <w:div w:id="2025787751">
      <w:bodyDiv w:val="1"/>
      <w:marLeft w:val="0"/>
      <w:marRight w:val="0"/>
      <w:marTop w:val="0"/>
      <w:marBottom w:val="0"/>
      <w:divBdr>
        <w:top w:val="none" w:sz="0" w:space="0" w:color="auto"/>
        <w:left w:val="none" w:sz="0" w:space="0" w:color="auto"/>
        <w:bottom w:val="none" w:sz="0" w:space="0" w:color="auto"/>
        <w:right w:val="none" w:sz="0" w:space="0" w:color="auto"/>
      </w:divBdr>
    </w:div>
    <w:div w:id="2025788071">
      <w:bodyDiv w:val="1"/>
      <w:marLeft w:val="0"/>
      <w:marRight w:val="0"/>
      <w:marTop w:val="0"/>
      <w:marBottom w:val="0"/>
      <w:divBdr>
        <w:top w:val="none" w:sz="0" w:space="0" w:color="auto"/>
        <w:left w:val="none" w:sz="0" w:space="0" w:color="auto"/>
        <w:bottom w:val="none" w:sz="0" w:space="0" w:color="auto"/>
        <w:right w:val="none" w:sz="0" w:space="0" w:color="auto"/>
      </w:divBdr>
    </w:div>
    <w:div w:id="2025789026">
      <w:bodyDiv w:val="1"/>
      <w:marLeft w:val="0"/>
      <w:marRight w:val="0"/>
      <w:marTop w:val="0"/>
      <w:marBottom w:val="0"/>
      <w:divBdr>
        <w:top w:val="none" w:sz="0" w:space="0" w:color="auto"/>
        <w:left w:val="none" w:sz="0" w:space="0" w:color="auto"/>
        <w:bottom w:val="none" w:sz="0" w:space="0" w:color="auto"/>
        <w:right w:val="none" w:sz="0" w:space="0" w:color="auto"/>
      </w:divBdr>
    </w:div>
    <w:div w:id="2025813892">
      <w:bodyDiv w:val="1"/>
      <w:marLeft w:val="0"/>
      <w:marRight w:val="0"/>
      <w:marTop w:val="0"/>
      <w:marBottom w:val="0"/>
      <w:divBdr>
        <w:top w:val="none" w:sz="0" w:space="0" w:color="auto"/>
        <w:left w:val="none" w:sz="0" w:space="0" w:color="auto"/>
        <w:bottom w:val="none" w:sz="0" w:space="0" w:color="auto"/>
        <w:right w:val="none" w:sz="0" w:space="0" w:color="auto"/>
      </w:divBdr>
    </w:div>
    <w:div w:id="2025816059">
      <w:bodyDiv w:val="1"/>
      <w:marLeft w:val="0"/>
      <w:marRight w:val="0"/>
      <w:marTop w:val="0"/>
      <w:marBottom w:val="0"/>
      <w:divBdr>
        <w:top w:val="none" w:sz="0" w:space="0" w:color="auto"/>
        <w:left w:val="none" w:sz="0" w:space="0" w:color="auto"/>
        <w:bottom w:val="none" w:sz="0" w:space="0" w:color="auto"/>
        <w:right w:val="none" w:sz="0" w:space="0" w:color="auto"/>
      </w:divBdr>
    </w:div>
    <w:div w:id="2025859546">
      <w:bodyDiv w:val="1"/>
      <w:marLeft w:val="0"/>
      <w:marRight w:val="0"/>
      <w:marTop w:val="0"/>
      <w:marBottom w:val="0"/>
      <w:divBdr>
        <w:top w:val="none" w:sz="0" w:space="0" w:color="auto"/>
        <w:left w:val="none" w:sz="0" w:space="0" w:color="auto"/>
        <w:bottom w:val="none" w:sz="0" w:space="0" w:color="auto"/>
        <w:right w:val="none" w:sz="0" w:space="0" w:color="auto"/>
      </w:divBdr>
    </w:div>
    <w:div w:id="2025865672">
      <w:bodyDiv w:val="1"/>
      <w:marLeft w:val="0"/>
      <w:marRight w:val="0"/>
      <w:marTop w:val="0"/>
      <w:marBottom w:val="0"/>
      <w:divBdr>
        <w:top w:val="none" w:sz="0" w:space="0" w:color="auto"/>
        <w:left w:val="none" w:sz="0" w:space="0" w:color="auto"/>
        <w:bottom w:val="none" w:sz="0" w:space="0" w:color="auto"/>
        <w:right w:val="none" w:sz="0" w:space="0" w:color="auto"/>
      </w:divBdr>
    </w:div>
    <w:div w:id="2025936225">
      <w:bodyDiv w:val="1"/>
      <w:marLeft w:val="0"/>
      <w:marRight w:val="0"/>
      <w:marTop w:val="0"/>
      <w:marBottom w:val="0"/>
      <w:divBdr>
        <w:top w:val="none" w:sz="0" w:space="0" w:color="auto"/>
        <w:left w:val="none" w:sz="0" w:space="0" w:color="auto"/>
        <w:bottom w:val="none" w:sz="0" w:space="0" w:color="auto"/>
        <w:right w:val="none" w:sz="0" w:space="0" w:color="auto"/>
      </w:divBdr>
    </w:div>
    <w:div w:id="2026050668">
      <w:bodyDiv w:val="1"/>
      <w:marLeft w:val="0"/>
      <w:marRight w:val="0"/>
      <w:marTop w:val="0"/>
      <w:marBottom w:val="0"/>
      <w:divBdr>
        <w:top w:val="none" w:sz="0" w:space="0" w:color="auto"/>
        <w:left w:val="none" w:sz="0" w:space="0" w:color="auto"/>
        <w:bottom w:val="none" w:sz="0" w:space="0" w:color="auto"/>
        <w:right w:val="none" w:sz="0" w:space="0" w:color="auto"/>
      </w:divBdr>
    </w:div>
    <w:div w:id="2026051663">
      <w:bodyDiv w:val="1"/>
      <w:marLeft w:val="0"/>
      <w:marRight w:val="0"/>
      <w:marTop w:val="0"/>
      <w:marBottom w:val="0"/>
      <w:divBdr>
        <w:top w:val="none" w:sz="0" w:space="0" w:color="auto"/>
        <w:left w:val="none" w:sz="0" w:space="0" w:color="auto"/>
        <w:bottom w:val="none" w:sz="0" w:space="0" w:color="auto"/>
        <w:right w:val="none" w:sz="0" w:space="0" w:color="auto"/>
      </w:divBdr>
    </w:div>
    <w:div w:id="2026055336">
      <w:bodyDiv w:val="1"/>
      <w:marLeft w:val="0"/>
      <w:marRight w:val="0"/>
      <w:marTop w:val="0"/>
      <w:marBottom w:val="0"/>
      <w:divBdr>
        <w:top w:val="none" w:sz="0" w:space="0" w:color="auto"/>
        <w:left w:val="none" w:sz="0" w:space="0" w:color="auto"/>
        <w:bottom w:val="none" w:sz="0" w:space="0" w:color="auto"/>
        <w:right w:val="none" w:sz="0" w:space="0" w:color="auto"/>
      </w:divBdr>
    </w:div>
    <w:div w:id="2026250238">
      <w:bodyDiv w:val="1"/>
      <w:marLeft w:val="0"/>
      <w:marRight w:val="0"/>
      <w:marTop w:val="0"/>
      <w:marBottom w:val="0"/>
      <w:divBdr>
        <w:top w:val="none" w:sz="0" w:space="0" w:color="auto"/>
        <w:left w:val="none" w:sz="0" w:space="0" w:color="auto"/>
        <w:bottom w:val="none" w:sz="0" w:space="0" w:color="auto"/>
        <w:right w:val="none" w:sz="0" w:space="0" w:color="auto"/>
      </w:divBdr>
    </w:div>
    <w:div w:id="2026320778">
      <w:bodyDiv w:val="1"/>
      <w:marLeft w:val="0"/>
      <w:marRight w:val="0"/>
      <w:marTop w:val="0"/>
      <w:marBottom w:val="0"/>
      <w:divBdr>
        <w:top w:val="none" w:sz="0" w:space="0" w:color="auto"/>
        <w:left w:val="none" w:sz="0" w:space="0" w:color="auto"/>
        <w:bottom w:val="none" w:sz="0" w:space="0" w:color="auto"/>
        <w:right w:val="none" w:sz="0" w:space="0" w:color="auto"/>
      </w:divBdr>
    </w:div>
    <w:div w:id="2026440718">
      <w:bodyDiv w:val="1"/>
      <w:marLeft w:val="0"/>
      <w:marRight w:val="0"/>
      <w:marTop w:val="0"/>
      <w:marBottom w:val="0"/>
      <w:divBdr>
        <w:top w:val="none" w:sz="0" w:space="0" w:color="auto"/>
        <w:left w:val="none" w:sz="0" w:space="0" w:color="auto"/>
        <w:bottom w:val="none" w:sz="0" w:space="0" w:color="auto"/>
        <w:right w:val="none" w:sz="0" w:space="0" w:color="auto"/>
      </w:divBdr>
    </w:div>
    <w:div w:id="2026441053">
      <w:bodyDiv w:val="1"/>
      <w:marLeft w:val="0"/>
      <w:marRight w:val="0"/>
      <w:marTop w:val="0"/>
      <w:marBottom w:val="0"/>
      <w:divBdr>
        <w:top w:val="none" w:sz="0" w:space="0" w:color="auto"/>
        <w:left w:val="none" w:sz="0" w:space="0" w:color="auto"/>
        <w:bottom w:val="none" w:sz="0" w:space="0" w:color="auto"/>
        <w:right w:val="none" w:sz="0" w:space="0" w:color="auto"/>
      </w:divBdr>
    </w:div>
    <w:div w:id="2026444729">
      <w:bodyDiv w:val="1"/>
      <w:marLeft w:val="0"/>
      <w:marRight w:val="0"/>
      <w:marTop w:val="0"/>
      <w:marBottom w:val="0"/>
      <w:divBdr>
        <w:top w:val="none" w:sz="0" w:space="0" w:color="auto"/>
        <w:left w:val="none" w:sz="0" w:space="0" w:color="auto"/>
        <w:bottom w:val="none" w:sz="0" w:space="0" w:color="auto"/>
        <w:right w:val="none" w:sz="0" w:space="0" w:color="auto"/>
      </w:divBdr>
    </w:div>
    <w:div w:id="2026469210">
      <w:bodyDiv w:val="1"/>
      <w:marLeft w:val="0"/>
      <w:marRight w:val="0"/>
      <w:marTop w:val="0"/>
      <w:marBottom w:val="0"/>
      <w:divBdr>
        <w:top w:val="none" w:sz="0" w:space="0" w:color="auto"/>
        <w:left w:val="none" w:sz="0" w:space="0" w:color="auto"/>
        <w:bottom w:val="none" w:sz="0" w:space="0" w:color="auto"/>
        <w:right w:val="none" w:sz="0" w:space="0" w:color="auto"/>
      </w:divBdr>
    </w:div>
    <w:div w:id="2026471374">
      <w:bodyDiv w:val="1"/>
      <w:marLeft w:val="0"/>
      <w:marRight w:val="0"/>
      <w:marTop w:val="0"/>
      <w:marBottom w:val="0"/>
      <w:divBdr>
        <w:top w:val="none" w:sz="0" w:space="0" w:color="auto"/>
        <w:left w:val="none" w:sz="0" w:space="0" w:color="auto"/>
        <w:bottom w:val="none" w:sz="0" w:space="0" w:color="auto"/>
        <w:right w:val="none" w:sz="0" w:space="0" w:color="auto"/>
      </w:divBdr>
    </w:div>
    <w:div w:id="2026590509">
      <w:bodyDiv w:val="1"/>
      <w:marLeft w:val="0"/>
      <w:marRight w:val="0"/>
      <w:marTop w:val="0"/>
      <w:marBottom w:val="0"/>
      <w:divBdr>
        <w:top w:val="none" w:sz="0" w:space="0" w:color="auto"/>
        <w:left w:val="none" w:sz="0" w:space="0" w:color="auto"/>
        <w:bottom w:val="none" w:sz="0" w:space="0" w:color="auto"/>
        <w:right w:val="none" w:sz="0" w:space="0" w:color="auto"/>
      </w:divBdr>
    </w:div>
    <w:div w:id="2026635501">
      <w:bodyDiv w:val="1"/>
      <w:marLeft w:val="0"/>
      <w:marRight w:val="0"/>
      <w:marTop w:val="0"/>
      <w:marBottom w:val="0"/>
      <w:divBdr>
        <w:top w:val="none" w:sz="0" w:space="0" w:color="auto"/>
        <w:left w:val="none" w:sz="0" w:space="0" w:color="auto"/>
        <w:bottom w:val="none" w:sz="0" w:space="0" w:color="auto"/>
        <w:right w:val="none" w:sz="0" w:space="0" w:color="auto"/>
      </w:divBdr>
    </w:div>
    <w:div w:id="2026709019">
      <w:bodyDiv w:val="1"/>
      <w:marLeft w:val="0"/>
      <w:marRight w:val="0"/>
      <w:marTop w:val="0"/>
      <w:marBottom w:val="0"/>
      <w:divBdr>
        <w:top w:val="none" w:sz="0" w:space="0" w:color="auto"/>
        <w:left w:val="none" w:sz="0" w:space="0" w:color="auto"/>
        <w:bottom w:val="none" w:sz="0" w:space="0" w:color="auto"/>
        <w:right w:val="none" w:sz="0" w:space="0" w:color="auto"/>
      </w:divBdr>
    </w:div>
    <w:div w:id="2026709841">
      <w:bodyDiv w:val="1"/>
      <w:marLeft w:val="0"/>
      <w:marRight w:val="0"/>
      <w:marTop w:val="0"/>
      <w:marBottom w:val="0"/>
      <w:divBdr>
        <w:top w:val="none" w:sz="0" w:space="0" w:color="auto"/>
        <w:left w:val="none" w:sz="0" w:space="0" w:color="auto"/>
        <w:bottom w:val="none" w:sz="0" w:space="0" w:color="auto"/>
        <w:right w:val="none" w:sz="0" w:space="0" w:color="auto"/>
      </w:divBdr>
    </w:div>
    <w:div w:id="2026785280">
      <w:bodyDiv w:val="1"/>
      <w:marLeft w:val="0"/>
      <w:marRight w:val="0"/>
      <w:marTop w:val="0"/>
      <w:marBottom w:val="0"/>
      <w:divBdr>
        <w:top w:val="none" w:sz="0" w:space="0" w:color="auto"/>
        <w:left w:val="none" w:sz="0" w:space="0" w:color="auto"/>
        <w:bottom w:val="none" w:sz="0" w:space="0" w:color="auto"/>
        <w:right w:val="none" w:sz="0" w:space="0" w:color="auto"/>
      </w:divBdr>
    </w:div>
    <w:div w:id="2026899561">
      <w:bodyDiv w:val="1"/>
      <w:marLeft w:val="0"/>
      <w:marRight w:val="0"/>
      <w:marTop w:val="0"/>
      <w:marBottom w:val="0"/>
      <w:divBdr>
        <w:top w:val="none" w:sz="0" w:space="0" w:color="auto"/>
        <w:left w:val="none" w:sz="0" w:space="0" w:color="auto"/>
        <w:bottom w:val="none" w:sz="0" w:space="0" w:color="auto"/>
        <w:right w:val="none" w:sz="0" w:space="0" w:color="auto"/>
      </w:divBdr>
    </w:div>
    <w:div w:id="2027049650">
      <w:bodyDiv w:val="1"/>
      <w:marLeft w:val="0"/>
      <w:marRight w:val="0"/>
      <w:marTop w:val="0"/>
      <w:marBottom w:val="0"/>
      <w:divBdr>
        <w:top w:val="none" w:sz="0" w:space="0" w:color="auto"/>
        <w:left w:val="none" w:sz="0" w:space="0" w:color="auto"/>
        <w:bottom w:val="none" w:sz="0" w:space="0" w:color="auto"/>
        <w:right w:val="none" w:sz="0" w:space="0" w:color="auto"/>
      </w:divBdr>
    </w:div>
    <w:div w:id="2027099619">
      <w:bodyDiv w:val="1"/>
      <w:marLeft w:val="0"/>
      <w:marRight w:val="0"/>
      <w:marTop w:val="0"/>
      <w:marBottom w:val="0"/>
      <w:divBdr>
        <w:top w:val="none" w:sz="0" w:space="0" w:color="auto"/>
        <w:left w:val="none" w:sz="0" w:space="0" w:color="auto"/>
        <w:bottom w:val="none" w:sz="0" w:space="0" w:color="auto"/>
        <w:right w:val="none" w:sz="0" w:space="0" w:color="auto"/>
      </w:divBdr>
    </w:div>
    <w:div w:id="2027249875">
      <w:bodyDiv w:val="1"/>
      <w:marLeft w:val="0"/>
      <w:marRight w:val="0"/>
      <w:marTop w:val="0"/>
      <w:marBottom w:val="0"/>
      <w:divBdr>
        <w:top w:val="none" w:sz="0" w:space="0" w:color="auto"/>
        <w:left w:val="none" w:sz="0" w:space="0" w:color="auto"/>
        <w:bottom w:val="none" w:sz="0" w:space="0" w:color="auto"/>
        <w:right w:val="none" w:sz="0" w:space="0" w:color="auto"/>
      </w:divBdr>
    </w:div>
    <w:div w:id="2027364470">
      <w:bodyDiv w:val="1"/>
      <w:marLeft w:val="0"/>
      <w:marRight w:val="0"/>
      <w:marTop w:val="0"/>
      <w:marBottom w:val="0"/>
      <w:divBdr>
        <w:top w:val="none" w:sz="0" w:space="0" w:color="auto"/>
        <w:left w:val="none" w:sz="0" w:space="0" w:color="auto"/>
        <w:bottom w:val="none" w:sz="0" w:space="0" w:color="auto"/>
        <w:right w:val="none" w:sz="0" w:space="0" w:color="auto"/>
      </w:divBdr>
    </w:div>
    <w:div w:id="2027438285">
      <w:bodyDiv w:val="1"/>
      <w:marLeft w:val="0"/>
      <w:marRight w:val="0"/>
      <w:marTop w:val="0"/>
      <w:marBottom w:val="0"/>
      <w:divBdr>
        <w:top w:val="none" w:sz="0" w:space="0" w:color="auto"/>
        <w:left w:val="none" w:sz="0" w:space="0" w:color="auto"/>
        <w:bottom w:val="none" w:sz="0" w:space="0" w:color="auto"/>
        <w:right w:val="none" w:sz="0" w:space="0" w:color="auto"/>
      </w:divBdr>
    </w:div>
    <w:div w:id="2027559368">
      <w:bodyDiv w:val="1"/>
      <w:marLeft w:val="0"/>
      <w:marRight w:val="0"/>
      <w:marTop w:val="0"/>
      <w:marBottom w:val="0"/>
      <w:divBdr>
        <w:top w:val="none" w:sz="0" w:space="0" w:color="auto"/>
        <w:left w:val="none" w:sz="0" w:space="0" w:color="auto"/>
        <w:bottom w:val="none" w:sz="0" w:space="0" w:color="auto"/>
        <w:right w:val="none" w:sz="0" w:space="0" w:color="auto"/>
      </w:divBdr>
    </w:div>
    <w:div w:id="2027562061">
      <w:bodyDiv w:val="1"/>
      <w:marLeft w:val="0"/>
      <w:marRight w:val="0"/>
      <w:marTop w:val="0"/>
      <w:marBottom w:val="0"/>
      <w:divBdr>
        <w:top w:val="none" w:sz="0" w:space="0" w:color="auto"/>
        <w:left w:val="none" w:sz="0" w:space="0" w:color="auto"/>
        <w:bottom w:val="none" w:sz="0" w:space="0" w:color="auto"/>
        <w:right w:val="none" w:sz="0" w:space="0" w:color="auto"/>
      </w:divBdr>
    </w:div>
    <w:div w:id="2027629564">
      <w:bodyDiv w:val="1"/>
      <w:marLeft w:val="0"/>
      <w:marRight w:val="0"/>
      <w:marTop w:val="0"/>
      <w:marBottom w:val="0"/>
      <w:divBdr>
        <w:top w:val="none" w:sz="0" w:space="0" w:color="auto"/>
        <w:left w:val="none" w:sz="0" w:space="0" w:color="auto"/>
        <w:bottom w:val="none" w:sz="0" w:space="0" w:color="auto"/>
        <w:right w:val="none" w:sz="0" w:space="0" w:color="auto"/>
      </w:divBdr>
    </w:div>
    <w:div w:id="2027636714">
      <w:bodyDiv w:val="1"/>
      <w:marLeft w:val="0"/>
      <w:marRight w:val="0"/>
      <w:marTop w:val="0"/>
      <w:marBottom w:val="0"/>
      <w:divBdr>
        <w:top w:val="none" w:sz="0" w:space="0" w:color="auto"/>
        <w:left w:val="none" w:sz="0" w:space="0" w:color="auto"/>
        <w:bottom w:val="none" w:sz="0" w:space="0" w:color="auto"/>
        <w:right w:val="none" w:sz="0" w:space="0" w:color="auto"/>
      </w:divBdr>
    </w:div>
    <w:div w:id="2027781321">
      <w:bodyDiv w:val="1"/>
      <w:marLeft w:val="0"/>
      <w:marRight w:val="0"/>
      <w:marTop w:val="0"/>
      <w:marBottom w:val="0"/>
      <w:divBdr>
        <w:top w:val="none" w:sz="0" w:space="0" w:color="auto"/>
        <w:left w:val="none" w:sz="0" w:space="0" w:color="auto"/>
        <w:bottom w:val="none" w:sz="0" w:space="0" w:color="auto"/>
        <w:right w:val="none" w:sz="0" w:space="0" w:color="auto"/>
      </w:divBdr>
    </w:div>
    <w:div w:id="2027904863">
      <w:bodyDiv w:val="1"/>
      <w:marLeft w:val="0"/>
      <w:marRight w:val="0"/>
      <w:marTop w:val="0"/>
      <w:marBottom w:val="0"/>
      <w:divBdr>
        <w:top w:val="none" w:sz="0" w:space="0" w:color="auto"/>
        <w:left w:val="none" w:sz="0" w:space="0" w:color="auto"/>
        <w:bottom w:val="none" w:sz="0" w:space="0" w:color="auto"/>
        <w:right w:val="none" w:sz="0" w:space="0" w:color="auto"/>
      </w:divBdr>
    </w:div>
    <w:div w:id="2027947732">
      <w:bodyDiv w:val="1"/>
      <w:marLeft w:val="0"/>
      <w:marRight w:val="0"/>
      <w:marTop w:val="0"/>
      <w:marBottom w:val="0"/>
      <w:divBdr>
        <w:top w:val="none" w:sz="0" w:space="0" w:color="auto"/>
        <w:left w:val="none" w:sz="0" w:space="0" w:color="auto"/>
        <w:bottom w:val="none" w:sz="0" w:space="0" w:color="auto"/>
        <w:right w:val="none" w:sz="0" w:space="0" w:color="auto"/>
      </w:divBdr>
    </w:div>
    <w:div w:id="2027975848">
      <w:bodyDiv w:val="1"/>
      <w:marLeft w:val="0"/>
      <w:marRight w:val="0"/>
      <w:marTop w:val="0"/>
      <w:marBottom w:val="0"/>
      <w:divBdr>
        <w:top w:val="none" w:sz="0" w:space="0" w:color="auto"/>
        <w:left w:val="none" w:sz="0" w:space="0" w:color="auto"/>
        <w:bottom w:val="none" w:sz="0" w:space="0" w:color="auto"/>
        <w:right w:val="none" w:sz="0" w:space="0" w:color="auto"/>
      </w:divBdr>
    </w:div>
    <w:div w:id="2028025122">
      <w:bodyDiv w:val="1"/>
      <w:marLeft w:val="0"/>
      <w:marRight w:val="0"/>
      <w:marTop w:val="0"/>
      <w:marBottom w:val="0"/>
      <w:divBdr>
        <w:top w:val="none" w:sz="0" w:space="0" w:color="auto"/>
        <w:left w:val="none" w:sz="0" w:space="0" w:color="auto"/>
        <w:bottom w:val="none" w:sz="0" w:space="0" w:color="auto"/>
        <w:right w:val="none" w:sz="0" w:space="0" w:color="auto"/>
      </w:divBdr>
    </w:div>
    <w:div w:id="2028094193">
      <w:bodyDiv w:val="1"/>
      <w:marLeft w:val="0"/>
      <w:marRight w:val="0"/>
      <w:marTop w:val="0"/>
      <w:marBottom w:val="0"/>
      <w:divBdr>
        <w:top w:val="none" w:sz="0" w:space="0" w:color="auto"/>
        <w:left w:val="none" w:sz="0" w:space="0" w:color="auto"/>
        <w:bottom w:val="none" w:sz="0" w:space="0" w:color="auto"/>
        <w:right w:val="none" w:sz="0" w:space="0" w:color="auto"/>
      </w:divBdr>
    </w:div>
    <w:div w:id="2028210607">
      <w:bodyDiv w:val="1"/>
      <w:marLeft w:val="0"/>
      <w:marRight w:val="0"/>
      <w:marTop w:val="0"/>
      <w:marBottom w:val="0"/>
      <w:divBdr>
        <w:top w:val="none" w:sz="0" w:space="0" w:color="auto"/>
        <w:left w:val="none" w:sz="0" w:space="0" w:color="auto"/>
        <w:bottom w:val="none" w:sz="0" w:space="0" w:color="auto"/>
        <w:right w:val="none" w:sz="0" w:space="0" w:color="auto"/>
      </w:divBdr>
    </w:div>
    <w:div w:id="2028216600">
      <w:bodyDiv w:val="1"/>
      <w:marLeft w:val="0"/>
      <w:marRight w:val="0"/>
      <w:marTop w:val="0"/>
      <w:marBottom w:val="0"/>
      <w:divBdr>
        <w:top w:val="none" w:sz="0" w:space="0" w:color="auto"/>
        <w:left w:val="none" w:sz="0" w:space="0" w:color="auto"/>
        <w:bottom w:val="none" w:sz="0" w:space="0" w:color="auto"/>
        <w:right w:val="none" w:sz="0" w:space="0" w:color="auto"/>
      </w:divBdr>
    </w:div>
    <w:div w:id="2028290315">
      <w:bodyDiv w:val="1"/>
      <w:marLeft w:val="0"/>
      <w:marRight w:val="0"/>
      <w:marTop w:val="0"/>
      <w:marBottom w:val="0"/>
      <w:divBdr>
        <w:top w:val="none" w:sz="0" w:space="0" w:color="auto"/>
        <w:left w:val="none" w:sz="0" w:space="0" w:color="auto"/>
        <w:bottom w:val="none" w:sz="0" w:space="0" w:color="auto"/>
        <w:right w:val="none" w:sz="0" w:space="0" w:color="auto"/>
      </w:divBdr>
    </w:div>
    <w:div w:id="2028365950">
      <w:bodyDiv w:val="1"/>
      <w:marLeft w:val="0"/>
      <w:marRight w:val="0"/>
      <w:marTop w:val="0"/>
      <w:marBottom w:val="0"/>
      <w:divBdr>
        <w:top w:val="none" w:sz="0" w:space="0" w:color="auto"/>
        <w:left w:val="none" w:sz="0" w:space="0" w:color="auto"/>
        <w:bottom w:val="none" w:sz="0" w:space="0" w:color="auto"/>
        <w:right w:val="none" w:sz="0" w:space="0" w:color="auto"/>
      </w:divBdr>
    </w:div>
    <w:div w:id="2028407078">
      <w:bodyDiv w:val="1"/>
      <w:marLeft w:val="0"/>
      <w:marRight w:val="0"/>
      <w:marTop w:val="0"/>
      <w:marBottom w:val="0"/>
      <w:divBdr>
        <w:top w:val="none" w:sz="0" w:space="0" w:color="auto"/>
        <w:left w:val="none" w:sz="0" w:space="0" w:color="auto"/>
        <w:bottom w:val="none" w:sz="0" w:space="0" w:color="auto"/>
        <w:right w:val="none" w:sz="0" w:space="0" w:color="auto"/>
      </w:divBdr>
    </w:div>
    <w:div w:id="2028484504">
      <w:bodyDiv w:val="1"/>
      <w:marLeft w:val="0"/>
      <w:marRight w:val="0"/>
      <w:marTop w:val="0"/>
      <w:marBottom w:val="0"/>
      <w:divBdr>
        <w:top w:val="none" w:sz="0" w:space="0" w:color="auto"/>
        <w:left w:val="none" w:sz="0" w:space="0" w:color="auto"/>
        <w:bottom w:val="none" w:sz="0" w:space="0" w:color="auto"/>
        <w:right w:val="none" w:sz="0" w:space="0" w:color="auto"/>
      </w:divBdr>
    </w:div>
    <w:div w:id="2028628396">
      <w:bodyDiv w:val="1"/>
      <w:marLeft w:val="0"/>
      <w:marRight w:val="0"/>
      <w:marTop w:val="0"/>
      <w:marBottom w:val="0"/>
      <w:divBdr>
        <w:top w:val="none" w:sz="0" w:space="0" w:color="auto"/>
        <w:left w:val="none" w:sz="0" w:space="0" w:color="auto"/>
        <w:bottom w:val="none" w:sz="0" w:space="0" w:color="auto"/>
        <w:right w:val="none" w:sz="0" w:space="0" w:color="auto"/>
      </w:divBdr>
    </w:div>
    <w:div w:id="2028633045">
      <w:bodyDiv w:val="1"/>
      <w:marLeft w:val="0"/>
      <w:marRight w:val="0"/>
      <w:marTop w:val="0"/>
      <w:marBottom w:val="0"/>
      <w:divBdr>
        <w:top w:val="none" w:sz="0" w:space="0" w:color="auto"/>
        <w:left w:val="none" w:sz="0" w:space="0" w:color="auto"/>
        <w:bottom w:val="none" w:sz="0" w:space="0" w:color="auto"/>
        <w:right w:val="none" w:sz="0" w:space="0" w:color="auto"/>
      </w:divBdr>
    </w:div>
    <w:div w:id="2028671937">
      <w:bodyDiv w:val="1"/>
      <w:marLeft w:val="0"/>
      <w:marRight w:val="0"/>
      <w:marTop w:val="0"/>
      <w:marBottom w:val="0"/>
      <w:divBdr>
        <w:top w:val="none" w:sz="0" w:space="0" w:color="auto"/>
        <w:left w:val="none" w:sz="0" w:space="0" w:color="auto"/>
        <w:bottom w:val="none" w:sz="0" w:space="0" w:color="auto"/>
        <w:right w:val="none" w:sz="0" w:space="0" w:color="auto"/>
      </w:divBdr>
    </w:div>
    <w:div w:id="2028675276">
      <w:bodyDiv w:val="1"/>
      <w:marLeft w:val="0"/>
      <w:marRight w:val="0"/>
      <w:marTop w:val="0"/>
      <w:marBottom w:val="0"/>
      <w:divBdr>
        <w:top w:val="none" w:sz="0" w:space="0" w:color="auto"/>
        <w:left w:val="none" w:sz="0" w:space="0" w:color="auto"/>
        <w:bottom w:val="none" w:sz="0" w:space="0" w:color="auto"/>
        <w:right w:val="none" w:sz="0" w:space="0" w:color="auto"/>
      </w:divBdr>
    </w:div>
    <w:div w:id="2028746818">
      <w:bodyDiv w:val="1"/>
      <w:marLeft w:val="0"/>
      <w:marRight w:val="0"/>
      <w:marTop w:val="0"/>
      <w:marBottom w:val="0"/>
      <w:divBdr>
        <w:top w:val="none" w:sz="0" w:space="0" w:color="auto"/>
        <w:left w:val="none" w:sz="0" w:space="0" w:color="auto"/>
        <w:bottom w:val="none" w:sz="0" w:space="0" w:color="auto"/>
        <w:right w:val="none" w:sz="0" w:space="0" w:color="auto"/>
      </w:divBdr>
    </w:div>
    <w:div w:id="2028752807">
      <w:bodyDiv w:val="1"/>
      <w:marLeft w:val="0"/>
      <w:marRight w:val="0"/>
      <w:marTop w:val="0"/>
      <w:marBottom w:val="0"/>
      <w:divBdr>
        <w:top w:val="none" w:sz="0" w:space="0" w:color="auto"/>
        <w:left w:val="none" w:sz="0" w:space="0" w:color="auto"/>
        <w:bottom w:val="none" w:sz="0" w:space="0" w:color="auto"/>
        <w:right w:val="none" w:sz="0" w:space="0" w:color="auto"/>
      </w:divBdr>
    </w:div>
    <w:div w:id="2028822984">
      <w:bodyDiv w:val="1"/>
      <w:marLeft w:val="0"/>
      <w:marRight w:val="0"/>
      <w:marTop w:val="0"/>
      <w:marBottom w:val="0"/>
      <w:divBdr>
        <w:top w:val="none" w:sz="0" w:space="0" w:color="auto"/>
        <w:left w:val="none" w:sz="0" w:space="0" w:color="auto"/>
        <w:bottom w:val="none" w:sz="0" w:space="0" w:color="auto"/>
        <w:right w:val="none" w:sz="0" w:space="0" w:color="auto"/>
      </w:divBdr>
    </w:div>
    <w:div w:id="2028823603">
      <w:bodyDiv w:val="1"/>
      <w:marLeft w:val="0"/>
      <w:marRight w:val="0"/>
      <w:marTop w:val="0"/>
      <w:marBottom w:val="0"/>
      <w:divBdr>
        <w:top w:val="none" w:sz="0" w:space="0" w:color="auto"/>
        <w:left w:val="none" w:sz="0" w:space="0" w:color="auto"/>
        <w:bottom w:val="none" w:sz="0" w:space="0" w:color="auto"/>
        <w:right w:val="none" w:sz="0" w:space="0" w:color="auto"/>
      </w:divBdr>
    </w:div>
    <w:div w:id="2028866792">
      <w:bodyDiv w:val="1"/>
      <w:marLeft w:val="0"/>
      <w:marRight w:val="0"/>
      <w:marTop w:val="0"/>
      <w:marBottom w:val="0"/>
      <w:divBdr>
        <w:top w:val="none" w:sz="0" w:space="0" w:color="auto"/>
        <w:left w:val="none" w:sz="0" w:space="0" w:color="auto"/>
        <w:bottom w:val="none" w:sz="0" w:space="0" w:color="auto"/>
        <w:right w:val="none" w:sz="0" w:space="0" w:color="auto"/>
      </w:divBdr>
    </w:div>
    <w:div w:id="2028944855">
      <w:bodyDiv w:val="1"/>
      <w:marLeft w:val="0"/>
      <w:marRight w:val="0"/>
      <w:marTop w:val="0"/>
      <w:marBottom w:val="0"/>
      <w:divBdr>
        <w:top w:val="none" w:sz="0" w:space="0" w:color="auto"/>
        <w:left w:val="none" w:sz="0" w:space="0" w:color="auto"/>
        <w:bottom w:val="none" w:sz="0" w:space="0" w:color="auto"/>
        <w:right w:val="none" w:sz="0" w:space="0" w:color="auto"/>
      </w:divBdr>
    </w:div>
    <w:div w:id="2029065863">
      <w:bodyDiv w:val="1"/>
      <w:marLeft w:val="0"/>
      <w:marRight w:val="0"/>
      <w:marTop w:val="0"/>
      <w:marBottom w:val="0"/>
      <w:divBdr>
        <w:top w:val="none" w:sz="0" w:space="0" w:color="auto"/>
        <w:left w:val="none" w:sz="0" w:space="0" w:color="auto"/>
        <w:bottom w:val="none" w:sz="0" w:space="0" w:color="auto"/>
        <w:right w:val="none" w:sz="0" w:space="0" w:color="auto"/>
      </w:divBdr>
    </w:div>
    <w:div w:id="2029137054">
      <w:bodyDiv w:val="1"/>
      <w:marLeft w:val="0"/>
      <w:marRight w:val="0"/>
      <w:marTop w:val="0"/>
      <w:marBottom w:val="0"/>
      <w:divBdr>
        <w:top w:val="none" w:sz="0" w:space="0" w:color="auto"/>
        <w:left w:val="none" w:sz="0" w:space="0" w:color="auto"/>
        <w:bottom w:val="none" w:sz="0" w:space="0" w:color="auto"/>
        <w:right w:val="none" w:sz="0" w:space="0" w:color="auto"/>
      </w:divBdr>
    </w:div>
    <w:div w:id="2029142237">
      <w:bodyDiv w:val="1"/>
      <w:marLeft w:val="0"/>
      <w:marRight w:val="0"/>
      <w:marTop w:val="0"/>
      <w:marBottom w:val="0"/>
      <w:divBdr>
        <w:top w:val="none" w:sz="0" w:space="0" w:color="auto"/>
        <w:left w:val="none" w:sz="0" w:space="0" w:color="auto"/>
        <w:bottom w:val="none" w:sz="0" w:space="0" w:color="auto"/>
        <w:right w:val="none" w:sz="0" w:space="0" w:color="auto"/>
      </w:divBdr>
    </w:div>
    <w:div w:id="2029209208">
      <w:bodyDiv w:val="1"/>
      <w:marLeft w:val="0"/>
      <w:marRight w:val="0"/>
      <w:marTop w:val="0"/>
      <w:marBottom w:val="0"/>
      <w:divBdr>
        <w:top w:val="none" w:sz="0" w:space="0" w:color="auto"/>
        <w:left w:val="none" w:sz="0" w:space="0" w:color="auto"/>
        <w:bottom w:val="none" w:sz="0" w:space="0" w:color="auto"/>
        <w:right w:val="none" w:sz="0" w:space="0" w:color="auto"/>
      </w:divBdr>
    </w:div>
    <w:div w:id="2029215878">
      <w:bodyDiv w:val="1"/>
      <w:marLeft w:val="0"/>
      <w:marRight w:val="0"/>
      <w:marTop w:val="0"/>
      <w:marBottom w:val="0"/>
      <w:divBdr>
        <w:top w:val="none" w:sz="0" w:space="0" w:color="auto"/>
        <w:left w:val="none" w:sz="0" w:space="0" w:color="auto"/>
        <w:bottom w:val="none" w:sz="0" w:space="0" w:color="auto"/>
        <w:right w:val="none" w:sz="0" w:space="0" w:color="auto"/>
      </w:divBdr>
    </w:div>
    <w:div w:id="2029217310">
      <w:bodyDiv w:val="1"/>
      <w:marLeft w:val="0"/>
      <w:marRight w:val="0"/>
      <w:marTop w:val="0"/>
      <w:marBottom w:val="0"/>
      <w:divBdr>
        <w:top w:val="none" w:sz="0" w:space="0" w:color="auto"/>
        <w:left w:val="none" w:sz="0" w:space="0" w:color="auto"/>
        <w:bottom w:val="none" w:sz="0" w:space="0" w:color="auto"/>
        <w:right w:val="none" w:sz="0" w:space="0" w:color="auto"/>
      </w:divBdr>
    </w:div>
    <w:div w:id="2029326123">
      <w:bodyDiv w:val="1"/>
      <w:marLeft w:val="0"/>
      <w:marRight w:val="0"/>
      <w:marTop w:val="0"/>
      <w:marBottom w:val="0"/>
      <w:divBdr>
        <w:top w:val="none" w:sz="0" w:space="0" w:color="auto"/>
        <w:left w:val="none" w:sz="0" w:space="0" w:color="auto"/>
        <w:bottom w:val="none" w:sz="0" w:space="0" w:color="auto"/>
        <w:right w:val="none" w:sz="0" w:space="0" w:color="auto"/>
      </w:divBdr>
    </w:div>
    <w:div w:id="2029326518">
      <w:bodyDiv w:val="1"/>
      <w:marLeft w:val="0"/>
      <w:marRight w:val="0"/>
      <w:marTop w:val="0"/>
      <w:marBottom w:val="0"/>
      <w:divBdr>
        <w:top w:val="none" w:sz="0" w:space="0" w:color="auto"/>
        <w:left w:val="none" w:sz="0" w:space="0" w:color="auto"/>
        <w:bottom w:val="none" w:sz="0" w:space="0" w:color="auto"/>
        <w:right w:val="none" w:sz="0" w:space="0" w:color="auto"/>
      </w:divBdr>
    </w:div>
    <w:div w:id="2029476888">
      <w:bodyDiv w:val="1"/>
      <w:marLeft w:val="0"/>
      <w:marRight w:val="0"/>
      <w:marTop w:val="0"/>
      <w:marBottom w:val="0"/>
      <w:divBdr>
        <w:top w:val="none" w:sz="0" w:space="0" w:color="auto"/>
        <w:left w:val="none" w:sz="0" w:space="0" w:color="auto"/>
        <w:bottom w:val="none" w:sz="0" w:space="0" w:color="auto"/>
        <w:right w:val="none" w:sz="0" w:space="0" w:color="auto"/>
      </w:divBdr>
    </w:div>
    <w:div w:id="2029481728">
      <w:bodyDiv w:val="1"/>
      <w:marLeft w:val="0"/>
      <w:marRight w:val="0"/>
      <w:marTop w:val="0"/>
      <w:marBottom w:val="0"/>
      <w:divBdr>
        <w:top w:val="none" w:sz="0" w:space="0" w:color="auto"/>
        <w:left w:val="none" w:sz="0" w:space="0" w:color="auto"/>
        <w:bottom w:val="none" w:sz="0" w:space="0" w:color="auto"/>
        <w:right w:val="none" w:sz="0" w:space="0" w:color="auto"/>
      </w:divBdr>
    </w:div>
    <w:div w:id="2029483692">
      <w:bodyDiv w:val="1"/>
      <w:marLeft w:val="0"/>
      <w:marRight w:val="0"/>
      <w:marTop w:val="0"/>
      <w:marBottom w:val="0"/>
      <w:divBdr>
        <w:top w:val="none" w:sz="0" w:space="0" w:color="auto"/>
        <w:left w:val="none" w:sz="0" w:space="0" w:color="auto"/>
        <w:bottom w:val="none" w:sz="0" w:space="0" w:color="auto"/>
        <w:right w:val="none" w:sz="0" w:space="0" w:color="auto"/>
      </w:divBdr>
    </w:div>
    <w:div w:id="2029717495">
      <w:bodyDiv w:val="1"/>
      <w:marLeft w:val="0"/>
      <w:marRight w:val="0"/>
      <w:marTop w:val="0"/>
      <w:marBottom w:val="0"/>
      <w:divBdr>
        <w:top w:val="none" w:sz="0" w:space="0" w:color="auto"/>
        <w:left w:val="none" w:sz="0" w:space="0" w:color="auto"/>
        <w:bottom w:val="none" w:sz="0" w:space="0" w:color="auto"/>
        <w:right w:val="none" w:sz="0" w:space="0" w:color="auto"/>
      </w:divBdr>
    </w:div>
    <w:div w:id="2029790481">
      <w:bodyDiv w:val="1"/>
      <w:marLeft w:val="0"/>
      <w:marRight w:val="0"/>
      <w:marTop w:val="0"/>
      <w:marBottom w:val="0"/>
      <w:divBdr>
        <w:top w:val="none" w:sz="0" w:space="0" w:color="auto"/>
        <w:left w:val="none" w:sz="0" w:space="0" w:color="auto"/>
        <w:bottom w:val="none" w:sz="0" w:space="0" w:color="auto"/>
        <w:right w:val="none" w:sz="0" w:space="0" w:color="auto"/>
      </w:divBdr>
    </w:div>
    <w:div w:id="2029791957">
      <w:bodyDiv w:val="1"/>
      <w:marLeft w:val="0"/>
      <w:marRight w:val="0"/>
      <w:marTop w:val="0"/>
      <w:marBottom w:val="0"/>
      <w:divBdr>
        <w:top w:val="none" w:sz="0" w:space="0" w:color="auto"/>
        <w:left w:val="none" w:sz="0" w:space="0" w:color="auto"/>
        <w:bottom w:val="none" w:sz="0" w:space="0" w:color="auto"/>
        <w:right w:val="none" w:sz="0" w:space="0" w:color="auto"/>
      </w:divBdr>
    </w:div>
    <w:div w:id="2029913800">
      <w:bodyDiv w:val="1"/>
      <w:marLeft w:val="0"/>
      <w:marRight w:val="0"/>
      <w:marTop w:val="0"/>
      <w:marBottom w:val="0"/>
      <w:divBdr>
        <w:top w:val="none" w:sz="0" w:space="0" w:color="auto"/>
        <w:left w:val="none" w:sz="0" w:space="0" w:color="auto"/>
        <w:bottom w:val="none" w:sz="0" w:space="0" w:color="auto"/>
        <w:right w:val="none" w:sz="0" w:space="0" w:color="auto"/>
      </w:divBdr>
    </w:div>
    <w:div w:id="2030061880">
      <w:bodyDiv w:val="1"/>
      <w:marLeft w:val="0"/>
      <w:marRight w:val="0"/>
      <w:marTop w:val="0"/>
      <w:marBottom w:val="0"/>
      <w:divBdr>
        <w:top w:val="none" w:sz="0" w:space="0" w:color="auto"/>
        <w:left w:val="none" w:sz="0" w:space="0" w:color="auto"/>
        <w:bottom w:val="none" w:sz="0" w:space="0" w:color="auto"/>
        <w:right w:val="none" w:sz="0" w:space="0" w:color="auto"/>
      </w:divBdr>
    </w:div>
    <w:div w:id="2030063510">
      <w:bodyDiv w:val="1"/>
      <w:marLeft w:val="0"/>
      <w:marRight w:val="0"/>
      <w:marTop w:val="0"/>
      <w:marBottom w:val="0"/>
      <w:divBdr>
        <w:top w:val="none" w:sz="0" w:space="0" w:color="auto"/>
        <w:left w:val="none" w:sz="0" w:space="0" w:color="auto"/>
        <w:bottom w:val="none" w:sz="0" w:space="0" w:color="auto"/>
        <w:right w:val="none" w:sz="0" w:space="0" w:color="auto"/>
      </w:divBdr>
    </w:div>
    <w:div w:id="2030133147">
      <w:bodyDiv w:val="1"/>
      <w:marLeft w:val="0"/>
      <w:marRight w:val="0"/>
      <w:marTop w:val="0"/>
      <w:marBottom w:val="0"/>
      <w:divBdr>
        <w:top w:val="none" w:sz="0" w:space="0" w:color="auto"/>
        <w:left w:val="none" w:sz="0" w:space="0" w:color="auto"/>
        <w:bottom w:val="none" w:sz="0" w:space="0" w:color="auto"/>
        <w:right w:val="none" w:sz="0" w:space="0" w:color="auto"/>
      </w:divBdr>
    </w:div>
    <w:div w:id="2030134438">
      <w:bodyDiv w:val="1"/>
      <w:marLeft w:val="0"/>
      <w:marRight w:val="0"/>
      <w:marTop w:val="0"/>
      <w:marBottom w:val="0"/>
      <w:divBdr>
        <w:top w:val="none" w:sz="0" w:space="0" w:color="auto"/>
        <w:left w:val="none" w:sz="0" w:space="0" w:color="auto"/>
        <w:bottom w:val="none" w:sz="0" w:space="0" w:color="auto"/>
        <w:right w:val="none" w:sz="0" w:space="0" w:color="auto"/>
      </w:divBdr>
    </w:div>
    <w:div w:id="2030254292">
      <w:bodyDiv w:val="1"/>
      <w:marLeft w:val="0"/>
      <w:marRight w:val="0"/>
      <w:marTop w:val="0"/>
      <w:marBottom w:val="0"/>
      <w:divBdr>
        <w:top w:val="none" w:sz="0" w:space="0" w:color="auto"/>
        <w:left w:val="none" w:sz="0" w:space="0" w:color="auto"/>
        <w:bottom w:val="none" w:sz="0" w:space="0" w:color="auto"/>
        <w:right w:val="none" w:sz="0" w:space="0" w:color="auto"/>
      </w:divBdr>
    </w:div>
    <w:div w:id="2030255446">
      <w:bodyDiv w:val="1"/>
      <w:marLeft w:val="0"/>
      <w:marRight w:val="0"/>
      <w:marTop w:val="0"/>
      <w:marBottom w:val="0"/>
      <w:divBdr>
        <w:top w:val="none" w:sz="0" w:space="0" w:color="auto"/>
        <w:left w:val="none" w:sz="0" w:space="0" w:color="auto"/>
        <w:bottom w:val="none" w:sz="0" w:space="0" w:color="auto"/>
        <w:right w:val="none" w:sz="0" w:space="0" w:color="auto"/>
      </w:divBdr>
    </w:div>
    <w:div w:id="2030330520">
      <w:bodyDiv w:val="1"/>
      <w:marLeft w:val="0"/>
      <w:marRight w:val="0"/>
      <w:marTop w:val="0"/>
      <w:marBottom w:val="0"/>
      <w:divBdr>
        <w:top w:val="none" w:sz="0" w:space="0" w:color="auto"/>
        <w:left w:val="none" w:sz="0" w:space="0" w:color="auto"/>
        <w:bottom w:val="none" w:sz="0" w:space="0" w:color="auto"/>
        <w:right w:val="none" w:sz="0" w:space="0" w:color="auto"/>
      </w:divBdr>
    </w:div>
    <w:div w:id="2030332323">
      <w:bodyDiv w:val="1"/>
      <w:marLeft w:val="0"/>
      <w:marRight w:val="0"/>
      <w:marTop w:val="0"/>
      <w:marBottom w:val="0"/>
      <w:divBdr>
        <w:top w:val="none" w:sz="0" w:space="0" w:color="auto"/>
        <w:left w:val="none" w:sz="0" w:space="0" w:color="auto"/>
        <w:bottom w:val="none" w:sz="0" w:space="0" w:color="auto"/>
        <w:right w:val="none" w:sz="0" w:space="0" w:color="auto"/>
      </w:divBdr>
    </w:div>
    <w:div w:id="2030334549">
      <w:bodyDiv w:val="1"/>
      <w:marLeft w:val="0"/>
      <w:marRight w:val="0"/>
      <w:marTop w:val="0"/>
      <w:marBottom w:val="0"/>
      <w:divBdr>
        <w:top w:val="none" w:sz="0" w:space="0" w:color="auto"/>
        <w:left w:val="none" w:sz="0" w:space="0" w:color="auto"/>
        <w:bottom w:val="none" w:sz="0" w:space="0" w:color="auto"/>
        <w:right w:val="none" w:sz="0" w:space="0" w:color="auto"/>
      </w:divBdr>
    </w:div>
    <w:div w:id="2030443770">
      <w:bodyDiv w:val="1"/>
      <w:marLeft w:val="0"/>
      <w:marRight w:val="0"/>
      <w:marTop w:val="0"/>
      <w:marBottom w:val="0"/>
      <w:divBdr>
        <w:top w:val="none" w:sz="0" w:space="0" w:color="auto"/>
        <w:left w:val="none" w:sz="0" w:space="0" w:color="auto"/>
        <w:bottom w:val="none" w:sz="0" w:space="0" w:color="auto"/>
        <w:right w:val="none" w:sz="0" w:space="0" w:color="auto"/>
      </w:divBdr>
    </w:div>
    <w:div w:id="2030447544">
      <w:bodyDiv w:val="1"/>
      <w:marLeft w:val="0"/>
      <w:marRight w:val="0"/>
      <w:marTop w:val="0"/>
      <w:marBottom w:val="0"/>
      <w:divBdr>
        <w:top w:val="none" w:sz="0" w:space="0" w:color="auto"/>
        <w:left w:val="none" w:sz="0" w:space="0" w:color="auto"/>
        <w:bottom w:val="none" w:sz="0" w:space="0" w:color="auto"/>
        <w:right w:val="none" w:sz="0" w:space="0" w:color="auto"/>
      </w:divBdr>
    </w:div>
    <w:div w:id="2030637056">
      <w:bodyDiv w:val="1"/>
      <w:marLeft w:val="0"/>
      <w:marRight w:val="0"/>
      <w:marTop w:val="0"/>
      <w:marBottom w:val="0"/>
      <w:divBdr>
        <w:top w:val="none" w:sz="0" w:space="0" w:color="auto"/>
        <w:left w:val="none" w:sz="0" w:space="0" w:color="auto"/>
        <w:bottom w:val="none" w:sz="0" w:space="0" w:color="auto"/>
        <w:right w:val="none" w:sz="0" w:space="0" w:color="auto"/>
      </w:divBdr>
    </w:div>
    <w:div w:id="2030716225">
      <w:bodyDiv w:val="1"/>
      <w:marLeft w:val="0"/>
      <w:marRight w:val="0"/>
      <w:marTop w:val="0"/>
      <w:marBottom w:val="0"/>
      <w:divBdr>
        <w:top w:val="none" w:sz="0" w:space="0" w:color="auto"/>
        <w:left w:val="none" w:sz="0" w:space="0" w:color="auto"/>
        <w:bottom w:val="none" w:sz="0" w:space="0" w:color="auto"/>
        <w:right w:val="none" w:sz="0" w:space="0" w:color="auto"/>
      </w:divBdr>
    </w:div>
    <w:div w:id="2030907729">
      <w:bodyDiv w:val="1"/>
      <w:marLeft w:val="0"/>
      <w:marRight w:val="0"/>
      <w:marTop w:val="0"/>
      <w:marBottom w:val="0"/>
      <w:divBdr>
        <w:top w:val="none" w:sz="0" w:space="0" w:color="auto"/>
        <w:left w:val="none" w:sz="0" w:space="0" w:color="auto"/>
        <w:bottom w:val="none" w:sz="0" w:space="0" w:color="auto"/>
        <w:right w:val="none" w:sz="0" w:space="0" w:color="auto"/>
      </w:divBdr>
    </w:div>
    <w:div w:id="2030910545">
      <w:bodyDiv w:val="1"/>
      <w:marLeft w:val="0"/>
      <w:marRight w:val="0"/>
      <w:marTop w:val="0"/>
      <w:marBottom w:val="0"/>
      <w:divBdr>
        <w:top w:val="none" w:sz="0" w:space="0" w:color="auto"/>
        <w:left w:val="none" w:sz="0" w:space="0" w:color="auto"/>
        <w:bottom w:val="none" w:sz="0" w:space="0" w:color="auto"/>
        <w:right w:val="none" w:sz="0" w:space="0" w:color="auto"/>
      </w:divBdr>
    </w:div>
    <w:div w:id="2030910851">
      <w:bodyDiv w:val="1"/>
      <w:marLeft w:val="0"/>
      <w:marRight w:val="0"/>
      <w:marTop w:val="0"/>
      <w:marBottom w:val="0"/>
      <w:divBdr>
        <w:top w:val="none" w:sz="0" w:space="0" w:color="auto"/>
        <w:left w:val="none" w:sz="0" w:space="0" w:color="auto"/>
        <w:bottom w:val="none" w:sz="0" w:space="0" w:color="auto"/>
        <w:right w:val="none" w:sz="0" w:space="0" w:color="auto"/>
      </w:divBdr>
    </w:div>
    <w:div w:id="2030912965">
      <w:bodyDiv w:val="1"/>
      <w:marLeft w:val="0"/>
      <w:marRight w:val="0"/>
      <w:marTop w:val="0"/>
      <w:marBottom w:val="0"/>
      <w:divBdr>
        <w:top w:val="none" w:sz="0" w:space="0" w:color="auto"/>
        <w:left w:val="none" w:sz="0" w:space="0" w:color="auto"/>
        <w:bottom w:val="none" w:sz="0" w:space="0" w:color="auto"/>
        <w:right w:val="none" w:sz="0" w:space="0" w:color="auto"/>
      </w:divBdr>
    </w:div>
    <w:div w:id="2030985964">
      <w:bodyDiv w:val="1"/>
      <w:marLeft w:val="0"/>
      <w:marRight w:val="0"/>
      <w:marTop w:val="0"/>
      <w:marBottom w:val="0"/>
      <w:divBdr>
        <w:top w:val="none" w:sz="0" w:space="0" w:color="auto"/>
        <w:left w:val="none" w:sz="0" w:space="0" w:color="auto"/>
        <w:bottom w:val="none" w:sz="0" w:space="0" w:color="auto"/>
        <w:right w:val="none" w:sz="0" w:space="0" w:color="auto"/>
      </w:divBdr>
    </w:div>
    <w:div w:id="2031030194">
      <w:bodyDiv w:val="1"/>
      <w:marLeft w:val="0"/>
      <w:marRight w:val="0"/>
      <w:marTop w:val="0"/>
      <w:marBottom w:val="0"/>
      <w:divBdr>
        <w:top w:val="none" w:sz="0" w:space="0" w:color="auto"/>
        <w:left w:val="none" w:sz="0" w:space="0" w:color="auto"/>
        <w:bottom w:val="none" w:sz="0" w:space="0" w:color="auto"/>
        <w:right w:val="none" w:sz="0" w:space="0" w:color="auto"/>
      </w:divBdr>
    </w:div>
    <w:div w:id="2031032104">
      <w:bodyDiv w:val="1"/>
      <w:marLeft w:val="0"/>
      <w:marRight w:val="0"/>
      <w:marTop w:val="0"/>
      <w:marBottom w:val="0"/>
      <w:divBdr>
        <w:top w:val="none" w:sz="0" w:space="0" w:color="auto"/>
        <w:left w:val="none" w:sz="0" w:space="0" w:color="auto"/>
        <w:bottom w:val="none" w:sz="0" w:space="0" w:color="auto"/>
        <w:right w:val="none" w:sz="0" w:space="0" w:color="auto"/>
      </w:divBdr>
    </w:div>
    <w:div w:id="2031250418">
      <w:bodyDiv w:val="1"/>
      <w:marLeft w:val="0"/>
      <w:marRight w:val="0"/>
      <w:marTop w:val="0"/>
      <w:marBottom w:val="0"/>
      <w:divBdr>
        <w:top w:val="none" w:sz="0" w:space="0" w:color="auto"/>
        <w:left w:val="none" w:sz="0" w:space="0" w:color="auto"/>
        <w:bottom w:val="none" w:sz="0" w:space="0" w:color="auto"/>
        <w:right w:val="none" w:sz="0" w:space="0" w:color="auto"/>
      </w:divBdr>
    </w:div>
    <w:div w:id="2031291860">
      <w:bodyDiv w:val="1"/>
      <w:marLeft w:val="0"/>
      <w:marRight w:val="0"/>
      <w:marTop w:val="0"/>
      <w:marBottom w:val="0"/>
      <w:divBdr>
        <w:top w:val="none" w:sz="0" w:space="0" w:color="auto"/>
        <w:left w:val="none" w:sz="0" w:space="0" w:color="auto"/>
        <w:bottom w:val="none" w:sz="0" w:space="0" w:color="auto"/>
        <w:right w:val="none" w:sz="0" w:space="0" w:color="auto"/>
      </w:divBdr>
    </w:div>
    <w:div w:id="2031292501">
      <w:bodyDiv w:val="1"/>
      <w:marLeft w:val="0"/>
      <w:marRight w:val="0"/>
      <w:marTop w:val="0"/>
      <w:marBottom w:val="0"/>
      <w:divBdr>
        <w:top w:val="none" w:sz="0" w:space="0" w:color="auto"/>
        <w:left w:val="none" w:sz="0" w:space="0" w:color="auto"/>
        <w:bottom w:val="none" w:sz="0" w:space="0" w:color="auto"/>
        <w:right w:val="none" w:sz="0" w:space="0" w:color="auto"/>
      </w:divBdr>
    </w:div>
    <w:div w:id="2031570168">
      <w:bodyDiv w:val="1"/>
      <w:marLeft w:val="0"/>
      <w:marRight w:val="0"/>
      <w:marTop w:val="0"/>
      <w:marBottom w:val="0"/>
      <w:divBdr>
        <w:top w:val="none" w:sz="0" w:space="0" w:color="auto"/>
        <w:left w:val="none" w:sz="0" w:space="0" w:color="auto"/>
        <w:bottom w:val="none" w:sz="0" w:space="0" w:color="auto"/>
        <w:right w:val="none" w:sz="0" w:space="0" w:color="auto"/>
      </w:divBdr>
    </w:div>
    <w:div w:id="2031757158">
      <w:bodyDiv w:val="1"/>
      <w:marLeft w:val="0"/>
      <w:marRight w:val="0"/>
      <w:marTop w:val="0"/>
      <w:marBottom w:val="0"/>
      <w:divBdr>
        <w:top w:val="none" w:sz="0" w:space="0" w:color="auto"/>
        <w:left w:val="none" w:sz="0" w:space="0" w:color="auto"/>
        <w:bottom w:val="none" w:sz="0" w:space="0" w:color="auto"/>
        <w:right w:val="none" w:sz="0" w:space="0" w:color="auto"/>
      </w:divBdr>
      <w:divsChild>
        <w:div w:id="8602163">
          <w:marLeft w:val="0"/>
          <w:marRight w:val="0"/>
          <w:marTop w:val="0"/>
          <w:marBottom w:val="0"/>
          <w:divBdr>
            <w:top w:val="none" w:sz="0" w:space="0" w:color="auto"/>
            <w:left w:val="none" w:sz="0" w:space="0" w:color="auto"/>
            <w:bottom w:val="none" w:sz="0" w:space="0" w:color="auto"/>
            <w:right w:val="none" w:sz="0" w:space="0" w:color="auto"/>
          </w:divBdr>
        </w:div>
        <w:div w:id="10303682">
          <w:marLeft w:val="0"/>
          <w:marRight w:val="0"/>
          <w:marTop w:val="0"/>
          <w:marBottom w:val="0"/>
          <w:divBdr>
            <w:top w:val="none" w:sz="0" w:space="0" w:color="auto"/>
            <w:left w:val="none" w:sz="0" w:space="0" w:color="auto"/>
            <w:bottom w:val="none" w:sz="0" w:space="0" w:color="auto"/>
            <w:right w:val="none" w:sz="0" w:space="0" w:color="auto"/>
          </w:divBdr>
        </w:div>
        <w:div w:id="14885397">
          <w:marLeft w:val="0"/>
          <w:marRight w:val="0"/>
          <w:marTop w:val="0"/>
          <w:marBottom w:val="0"/>
          <w:divBdr>
            <w:top w:val="none" w:sz="0" w:space="0" w:color="auto"/>
            <w:left w:val="none" w:sz="0" w:space="0" w:color="auto"/>
            <w:bottom w:val="none" w:sz="0" w:space="0" w:color="auto"/>
            <w:right w:val="none" w:sz="0" w:space="0" w:color="auto"/>
          </w:divBdr>
        </w:div>
        <w:div w:id="17315690">
          <w:marLeft w:val="0"/>
          <w:marRight w:val="0"/>
          <w:marTop w:val="0"/>
          <w:marBottom w:val="0"/>
          <w:divBdr>
            <w:top w:val="none" w:sz="0" w:space="0" w:color="auto"/>
            <w:left w:val="none" w:sz="0" w:space="0" w:color="auto"/>
            <w:bottom w:val="none" w:sz="0" w:space="0" w:color="auto"/>
            <w:right w:val="none" w:sz="0" w:space="0" w:color="auto"/>
          </w:divBdr>
        </w:div>
        <w:div w:id="18433420">
          <w:marLeft w:val="0"/>
          <w:marRight w:val="0"/>
          <w:marTop w:val="0"/>
          <w:marBottom w:val="0"/>
          <w:divBdr>
            <w:top w:val="none" w:sz="0" w:space="0" w:color="auto"/>
            <w:left w:val="none" w:sz="0" w:space="0" w:color="auto"/>
            <w:bottom w:val="none" w:sz="0" w:space="0" w:color="auto"/>
            <w:right w:val="none" w:sz="0" w:space="0" w:color="auto"/>
          </w:divBdr>
        </w:div>
        <w:div w:id="19748473">
          <w:marLeft w:val="0"/>
          <w:marRight w:val="0"/>
          <w:marTop w:val="0"/>
          <w:marBottom w:val="0"/>
          <w:divBdr>
            <w:top w:val="none" w:sz="0" w:space="0" w:color="auto"/>
            <w:left w:val="none" w:sz="0" w:space="0" w:color="auto"/>
            <w:bottom w:val="none" w:sz="0" w:space="0" w:color="auto"/>
            <w:right w:val="none" w:sz="0" w:space="0" w:color="auto"/>
          </w:divBdr>
        </w:div>
        <w:div w:id="20136456">
          <w:marLeft w:val="0"/>
          <w:marRight w:val="0"/>
          <w:marTop w:val="0"/>
          <w:marBottom w:val="0"/>
          <w:divBdr>
            <w:top w:val="none" w:sz="0" w:space="0" w:color="auto"/>
            <w:left w:val="none" w:sz="0" w:space="0" w:color="auto"/>
            <w:bottom w:val="none" w:sz="0" w:space="0" w:color="auto"/>
            <w:right w:val="none" w:sz="0" w:space="0" w:color="auto"/>
          </w:divBdr>
        </w:div>
        <w:div w:id="32928348">
          <w:marLeft w:val="0"/>
          <w:marRight w:val="0"/>
          <w:marTop w:val="0"/>
          <w:marBottom w:val="0"/>
          <w:divBdr>
            <w:top w:val="none" w:sz="0" w:space="0" w:color="auto"/>
            <w:left w:val="none" w:sz="0" w:space="0" w:color="auto"/>
            <w:bottom w:val="none" w:sz="0" w:space="0" w:color="auto"/>
            <w:right w:val="none" w:sz="0" w:space="0" w:color="auto"/>
          </w:divBdr>
        </w:div>
        <w:div w:id="36440525">
          <w:marLeft w:val="0"/>
          <w:marRight w:val="0"/>
          <w:marTop w:val="0"/>
          <w:marBottom w:val="0"/>
          <w:divBdr>
            <w:top w:val="none" w:sz="0" w:space="0" w:color="auto"/>
            <w:left w:val="none" w:sz="0" w:space="0" w:color="auto"/>
            <w:bottom w:val="none" w:sz="0" w:space="0" w:color="auto"/>
            <w:right w:val="none" w:sz="0" w:space="0" w:color="auto"/>
          </w:divBdr>
        </w:div>
        <w:div w:id="42605293">
          <w:marLeft w:val="0"/>
          <w:marRight w:val="0"/>
          <w:marTop w:val="0"/>
          <w:marBottom w:val="0"/>
          <w:divBdr>
            <w:top w:val="none" w:sz="0" w:space="0" w:color="auto"/>
            <w:left w:val="none" w:sz="0" w:space="0" w:color="auto"/>
            <w:bottom w:val="none" w:sz="0" w:space="0" w:color="auto"/>
            <w:right w:val="none" w:sz="0" w:space="0" w:color="auto"/>
          </w:divBdr>
        </w:div>
        <w:div w:id="47337681">
          <w:marLeft w:val="0"/>
          <w:marRight w:val="0"/>
          <w:marTop w:val="0"/>
          <w:marBottom w:val="0"/>
          <w:divBdr>
            <w:top w:val="none" w:sz="0" w:space="0" w:color="auto"/>
            <w:left w:val="none" w:sz="0" w:space="0" w:color="auto"/>
            <w:bottom w:val="none" w:sz="0" w:space="0" w:color="auto"/>
            <w:right w:val="none" w:sz="0" w:space="0" w:color="auto"/>
          </w:divBdr>
        </w:div>
        <w:div w:id="52241478">
          <w:marLeft w:val="0"/>
          <w:marRight w:val="0"/>
          <w:marTop w:val="0"/>
          <w:marBottom w:val="0"/>
          <w:divBdr>
            <w:top w:val="none" w:sz="0" w:space="0" w:color="auto"/>
            <w:left w:val="none" w:sz="0" w:space="0" w:color="auto"/>
            <w:bottom w:val="none" w:sz="0" w:space="0" w:color="auto"/>
            <w:right w:val="none" w:sz="0" w:space="0" w:color="auto"/>
          </w:divBdr>
        </w:div>
        <w:div w:id="56053960">
          <w:marLeft w:val="0"/>
          <w:marRight w:val="0"/>
          <w:marTop w:val="0"/>
          <w:marBottom w:val="0"/>
          <w:divBdr>
            <w:top w:val="none" w:sz="0" w:space="0" w:color="auto"/>
            <w:left w:val="none" w:sz="0" w:space="0" w:color="auto"/>
            <w:bottom w:val="none" w:sz="0" w:space="0" w:color="auto"/>
            <w:right w:val="none" w:sz="0" w:space="0" w:color="auto"/>
          </w:divBdr>
        </w:div>
        <w:div w:id="57092538">
          <w:marLeft w:val="0"/>
          <w:marRight w:val="0"/>
          <w:marTop w:val="0"/>
          <w:marBottom w:val="0"/>
          <w:divBdr>
            <w:top w:val="none" w:sz="0" w:space="0" w:color="auto"/>
            <w:left w:val="none" w:sz="0" w:space="0" w:color="auto"/>
            <w:bottom w:val="none" w:sz="0" w:space="0" w:color="auto"/>
            <w:right w:val="none" w:sz="0" w:space="0" w:color="auto"/>
          </w:divBdr>
        </w:div>
        <w:div w:id="57217688">
          <w:marLeft w:val="0"/>
          <w:marRight w:val="0"/>
          <w:marTop w:val="0"/>
          <w:marBottom w:val="0"/>
          <w:divBdr>
            <w:top w:val="none" w:sz="0" w:space="0" w:color="auto"/>
            <w:left w:val="none" w:sz="0" w:space="0" w:color="auto"/>
            <w:bottom w:val="none" w:sz="0" w:space="0" w:color="auto"/>
            <w:right w:val="none" w:sz="0" w:space="0" w:color="auto"/>
          </w:divBdr>
        </w:div>
        <w:div w:id="62800596">
          <w:marLeft w:val="0"/>
          <w:marRight w:val="0"/>
          <w:marTop w:val="0"/>
          <w:marBottom w:val="0"/>
          <w:divBdr>
            <w:top w:val="none" w:sz="0" w:space="0" w:color="auto"/>
            <w:left w:val="none" w:sz="0" w:space="0" w:color="auto"/>
            <w:bottom w:val="none" w:sz="0" w:space="0" w:color="auto"/>
            <w:right w:val="none" w:sz="0" w:space="0" w:color="auto"/>
          </w:divBdr>
        </w:div>
        <w:div w:id="67074072">
          <w:marLeft w:val="0"/>
          <w:marRight w:val="0"/>
          <w:marTop w:val="0"/>
          <w:marBottom w:val="0"/>
          <w:divBdr>
            <w:top w:val="none" w:sz="0" w:space="0" w:color="auto"/>
            <w:left w:val="none" w:sz="0" w:space="0" w:color="auto"/>
            <w:bottom w:val="none" w:sz="0" w:space="0" w:color="auto"/>
            <w:right w:val="none" w:sz="0" w:space="0" w:color="auto"/>
          </w:divBdr>
        </w:div>
        <w:div w:id="79565650">
          <w:marLeft w:val="0"/>
          <w:marRight w:val="0"/>
          <w:marTop w:val="0"/>
          <w:marBottom w:val="0"/>
          <w:divBdr>
            <w:top w:val="none" w:sz="0" w:space="0" w:color="auto"/>
            <w:left w:val="none" w:sz="0" w:space="0" w:color="auto"/>
            <w:bottom w:val="none" w:sz="0" w:space="0" w:color="auto"/>
            <w:right w:val="none" w:sz="0" w:space="0" w:color="auto"/>
          </w:divBdr>
        </w:div>
        <w:div w:id="82723087">
          <w:marLeft w:val="0"/>
          <w:marRight w:val="0"/>
          <w:marTop w:val="0"/>
          <w:marBottom w:val="0"/>
          <w:divBdr>
            <w:top w:val="none" w:sz="0" w:space="0" w:color="auto"/>
            <w:left w:val="none" w:sz="0" w:space="0" w:color="auto"/>
            <w:bottom w:val="none" w:sz="0" w:space="0" w:color="auto"/>
            <w:right w:val="none" w:sz="0" w:space="0" w:color="auto"/>
          </w:divBdr>
        </w:div>
        <w:div w:id="94175970">
          <w:marLeft w:val="0"/>
          <w:marRight w:val="0"/>
          <w:marTop w:val="0"/>
          <w:marBottom w:val="0"/>
          <w:divBdr>
            <w:top w:val="none" w:sz="0" w:space="0" w:color="auto"/>
            <w:left w:val="none" w:sz="0" w:space="0" w:color="auto"/>
            <w:bottom w:val="none" w:sz="0" w:space="0" w:color="auto"/>
            <w:right w:val="none" w:sz="0" w:space="0" w:color="auto"/>
          </w:divBdr>
        </w:div>
        <w:div w:id="99686730">
          <w:marLeft w:val="0"/>
          <w:marRight w:val="0"/>
          <w:marTop w:val="0"/>
          <w:marBottom w:val="0"/>
          <w:divBdr>
            <w:top w:val="none" w:sz="0" w:space="0" w:color="auto"/>
            <w:left w:val="none" w:sz="0" w:space="0" w:color="auto"/>
            <w:bottom w:val="none" w:sz="0" w:space="0" w:color="auto"/>
            <w:right w:val="none" w:sz="0" w:space="0" w:color="auto"/>
          </w:divBdr>
        </w:div>
        <w:div w:id="102844870">
          <w:marLeft w:val="0"/>
          <w:marRight w:val="0"/>
          <w:marTop w:val="0"/>
          <w:marBottom w:val="0"/>
          <w:divBdr>
            <w:top w:val="none" w:sz="0" w:space="0" w:color="auto"/>
            <w:left w:val="none" w:sz="0" w:space="0" w:color="auto"/>
            <w:bottom w:val="none" w:sz="0" w:space="0" w:color="auto"/>
            <w:right w:val="none" w:sz="0" w:space="0" w:color="auto"/>
          </w:divBdr>
        </w:div>
        <w:div w:id="106966691">
          <w:marLeft w:val="0"/>
          <w:marRight w:val="0"/>
          <w:marTop w:val="0"/>
          <w:marBottom w:val="0"/>
          <w:divBdr>
            <w:top w:val="none" w:sz="0" w:space="0" w:color="auto"/>
            <w:left w:val="none" w:sz="0" w:space="0" w:color="auto"/>
            <w:bottom w:val="none" w:sz="0" w:space="0" w:color="auto"/>
            <w:right w:val="none" w:sz="0" w:space="0" w:color="auto"/>
          </w:divBdr>
        </w:div>
        <w:div w:id="108091812">
          <w:marLeft w:val="0"/>
          <w:marRight w:val="0"/>
          <w:marTop w:val="0"/>
          <w:marBottom w:val="0"/>
          <w:divBdr>
            <w:top w:val="none" w:sz="0" w:space="0" w:color="auto"/>
            <w:left w:val="none" w:sz="0" w:space="0" w:color="auto"/>
            <w:bottom w:val="none" w:sz="0" w:space="0" w:color="auto"/>
            <w:right w:val="none" w:sz="0" w:space="0" w:color="auto"/>
          </w:divBdr>
        </w:div>
        <w:div w:id="119080476">
          <w:marLeft w:val="0"/>
          <w:marRight w:val="0"/>
          <w:marTop w:val="0"/>
          <w:marBottom w:val="0"/>
          <w:divBdr>
            <w:top w:val="none" w:sz="0" w:space="0" w:color="auto"/>
            <w:left w:val="none" w:sz="0" w:space="0" w:color="auto"/>
            <w:bottom w:val="none" w:sz="0" w:space="0" w:color="auto"/>
            <w:right w:val="none" w:sz="0" w:space="0" w:color="auto"/>
          </w:divBdr>
        </w:div>
        <w:div w:id="122774253">
          <w:marLeft w:val="0"/>
          <w:marRight w:val="0"/>
          <w:marTop w:val="0"/>
          <w:marBottom w:val="0"/>
          <w:divBdr>
            <w:top w:val="none" w:sz="0" w:space="0" w:color="auto"/>
            <w:left w:val="none" w:sz="0" w:space="0" w:color="auto"/>
            <w:bottom w:val="none" w:sz="0" w:space="0" w:color="auto"/>
            <w:right w:val="none" w:sz="0" w:space="0" w:color="auto"/>
          </w:divBdr>
        </w:div>
        <w:div w:id="125515907">
          <w:marLeft w:val="0"/>
          <w:marRight w:val="0"/>
          <w:marTop w:val="0"/>
          <w:marBottom w:val="0"/>
          <w:divBdr>
            <w:top w:val="none" w:sz="0" w:space="0" w:color="auto"/>
            <w:left w:val="none" w:sz="0" w:space="0" w:color="auto"/>
            <w:bottom w:val="none" w:sz="0" w:space="0" w:color="auto"/>
            <w:right w:val="none" w:sz="0" w:space="0" w:color="auto"/>
          </w:divBdr>
        </w:div>
        <w:div w:id="144931063">
          <w:marLeft w:val="0"/>
          <w:marRight w:val="0"/>
          <w:marTop w:val="0"/>
          <w:marBottom w:val="0"/>
          <w:divBdr>
            <w:top w:val="none" w:sz="0" w:space="0" w:color="auto"/>
            <w:left w:val="none" w:sz="0" w:space="0" w:color="auto"/>
            <w:bottom w:val="none" w:sz="0" w:space="0" w:color="auto"/>
            <w:right w:val="none" w:sz="0" w:space="0" w:color="auto"/>
          </w:divBdr>
        </w:div>
        <w:div w:id="149371178">
          <w:marLeft w:val="0"/>
          <w:marRight w:val="0"/>
          <w:marTop w:val="0"/>
          <w:marBottom w:val="0"/>
          <w:divBdr>
            <w:top w:val="none" w:sz="0" w:space="0" w:color="auto"/>
            <w:left w:val="none" w:sz="0" w:space="0" w:color="auto"/>
            <w:bottom w:val="none" w:sz="0" w:space="0" w:color="auto"/>
            <w:right w:val="none" w:sz="0" w:space="0" w:color="auto"/>
          </w:divBdr>
        </w:div>
        <w:div w:id="152726689">
          <w:marLeft w:val="0"/>
          <w:marRight w:val="0"/>
          <w:marTop w:val="0"/>
          <w:marBottom w:val="0"/>
          <w:divBdr>
            <w:top w:val="none" w:sz="0" w:space="0" w:color="auto"/>
            <w:left w:val="none" w:sz="0" w:space="0" w:color="auto"/>
            <w:bottom w:val="none" w:sz="0" w:space="0" w:color="auto"/>
            <w:right w:val="none" w:sz="0" w:space="0" w:color="auto"/>
          </w:divBdr>
        </w:div>
        <w:div w:id="161089342">
          <w:marLeft w:val="0"/>
          <w:marRight w:val="0"/>
          <w:marTop w:val="0"/>
          <w:marBottom w:val="0"/>
          <w:divBdr>
            <w:top w:val="none" w:sz="0" w:space="0" w:color="auto"/>
            <w:left w:val="none" w:sz="0" w:space="0" w:color="auto"/>
            <w:bottom w:val="none" w:sz="0" w:space="0" w:color="auto"/>
            <w:right w:val="none" w:sz="0" w:space="0" w:color="auto"/>
          </w:divBdr>
        </w:div>
        <w:div w:id="165094407">
          <w:marLeft w:val="0"/>
          <w:marRight w:val="0"/>
          <w:marTop w:val="0"/>
          <w:marBottom w:val="0"/>
          <w:divBdr>
            <w:top w:val="none" w:sz="0" w:space="0" w:color="auto"/>
            <w:left w:val="none" w:sz="0" w:space="0" w:color="auto"/>
            <w:bottom w:val="none" w:sz="0" w:space="0" w:color="auto"/>
            <w:right w:val="none" w:sz="0" w:space="0" w:color="auto"/>
          </w:divBdr>
        </w:div>
        <w:div w:id="165753956">
          <w:marLeft w:val="0"/>
          <w:marRight w:val="0"/>
          <w:marTop w:val="0"/>
          <w:marBottom w:val="0"/>
          <w:divBdr>
            <w:top w:val="none" w:sz="0" w:space="0" w:color="auto"/>
            <w:left w:val="none" w:sz="0" w:space="0" w:color="auto"/>
            <w:bottom w:val="none" w:sz="0" w:space="0" w:color="auto"/>
            <w:right w:val="none" w:sz="0" w:space="0" w:color="auto"/>
          </w:divBdr>
        </w:div>
        <w:div w:id="167907866">
          <w:marLeft w:val="0"/>
          <w:marRight w:val="0"/>
          <w:marTop w:val="0"/>
          <w:marBottom w:val="0"/>
          <w:divBdr>
            <w:top w:val="none" w:sz="0" w:space="0" w:color="auto"/>
            <w:left w:val="none" w:sz="0" w:space="0" w:color="auto"/>
            <w:bottom w:val="none" w:sz="0" w:space="0" w:color="auto"/>
            <w:right w:val="none" w:sz="0" w:space="0" w:color="auto"/>
          </w:divBdr>
        </w:div>
        <w:div w:id="172652423">
          <w:marLeft w:val="0"/>
          <w:marRight w:val="0"/>
          <w:marTop w:val="0"/>
          <w:marBottom w:val="0"/>
          <w:divBdr>
            <w:top w:val="none" w:sz="0" w:space="0" w:color="auto"/>
            <w:left w:val="none" w:sz="0" w:space="0" w:color="auto"/>
            <w:bottom w:val="none" w:sz="0" w:space="0" w:color="auto"/>
            <w:right w:val="none" w:sz="0" w:space="0" w:color="auto"/>
          </w:divBdr>
        </w:div>
        <w:div w:id="177424360">
          <w:marLeft w:val="0"/>
          <w:marRight w:val="0"/>
          <w:marTop w:val="0"/>
          <w:marBottom w:val="0"/>
          <w:divBdr>
            <w:top w:val="none" w:sz="0" w:space="0" w:color="auto"/>
            <w:left w:val="none" w:sz="0" w:space="0" w:color="auto"/>
            <w:bottom w:val="none" w:sz="0" w:space="0" w:color="auto"/>
            <w:right w:val="none" w:sz="0" w:space="0" w:color="auto"/>
          </w:divBdr>
        </w:div>
        <w:div w:id="178660115">
          <w:marLeft w:val="0"/>
          <w:marRight w:val="0"/>
          <w:marTop w:val="0"/>
          <w:marBottom w:val="0"/>
          <w:divBdr>
            <w:top w:val="none" w:sz="0" w:space="0" w:color="auto"/>
            <w:left w:val="none" w:sz="0" w:space="0" w:color="auto"/>
            <w:bottom w:val="none" w:sz="0" w:space="0" w:color="auto"/>
            <w:right w:val="none" w:sz="0" w:space="0" w:color="auto"/>
          </w:divBdr>
        </w:div>
        <w:div w:id="179706454">
          <w:marLeft w:val="0"/>
          <w:marRight w:val="0"/>
          <w:marTop w:val="0"/>
          <w:marBottom w:val="0"/>
          <w:divBdr>
            <w:top w:val="none" w:sz="0" w:space="0" w:color="auto"/>
            <w:left w:val="none" w:sz="0" w:space="0" w:color="auto"/>
            <w:bottom w:val="none" w:sz="0" w:space="0" w:color="auto"/>
            <w:right w:val="none" w:sz="0" w:space="0" w:color="auto"/>
          </w:divBdr>
        </w:div>
        <w:div w:id="183130003">
          <w:marLeft w:val="0"/>
          <w:marRight w:val="0"/>
          <w:marTop w:val="0"/>
          <w:marBottom w:val="0"/>
          <w:divBdr>
            <w:top w:val="none" w:sz="0" w:space="0" w:color="auto"/>
            <w:left w:val="none" w:sz="0" w:space="0" w:color="auto"/>
            <w:bottom w:val="none" w:sz="0" w:space="0" w:color="auto"/>
            <w:right w:val="none" w:sz="0" w:space="0" w:color="auto"/>
          </w:divBdr>
        </w:div>
        <w:div w:id="189492474">
          <w:marLeft w:val="0"/>
          <w:marRight w:val="0"/>
          <w:marTop w:val="0"/>
          <w:marBottom w:val="0"/>
          <w:divBdr>
            <w:top w:val="none" w:sz="0" w:space="0" w:color="auto"/>
            <w:left w:val="none" w:sz="0" w:space="0" w:color="auto"/>
            <w:bottom w:val="none" w:sz="0" w:space="0" w:color="auto"/>
            <w:right w:val="none" w:sz="0" w:space="0" w:color="auto"/>
          </w:divBdr>
        </w:div>
        <w:div w:id="193428562">
          <w:marLeft w:val="0"/>
          <w:marRight w:val="0"/>
          <w:marTop w:val="0"/>
          <w:marBottom w:val="0"/>
          <w:divBdr>
            <w:top w:val="none" w:sz="0" w:space="0" w:color="auto"/>
            <w:left w:val="none" w:sz="0" w:space="0" w:color="auto"/>
            <w:bottom w:val="none" w:sz="0" w:space="0" w:color="auto"/>
            <w:right w:val="none" w:sz="0" w:space="0" w:color="auto"/>
          </w:divBdr>
        </w:div>
        <w:div w:id="194662808">
          <w:marLeft w:val="0"/>
          <w:marRight w:val="0"/>
          <w:marTop w:val="0"/>
          <w:marBottom w:val="0"/>
          <w:divBdr>
            <w:top w:val="none" w:sz="0" w:space="0" w:color="auto"/>
            <w:left w:val="none" w:sz="0" w:space="0" w:color="auto"/>
            <w:bottom w:val="none" w:sz="0" w:space="0" w:color="auto"/>
            <w:right w:val="none" w:sz="0" w:space="0" w:color="auto"/>
          </w:divBdr>
        </w:div>
        <w:div w:id="216018799">
          <w:marLeft w:val="0"/>
          <w:marRight w:val="0"/>
          <w:marTop w:val="0"/>
          <w:marBottom w:val="0"/>
          <w:divBdr>
            <w:top w:val="none" w:sz="0" w:space="0" w:color="auto"/>
            <w:left w:val="none" w:sz="0" w:space="0" w:color="auto"/>
            <w:bottom w:val="none" w:sz="0" w:space="0" w:color="auto"/>
            <w:right w:val="none" w:sz="0" w:space="0" w:color="auto"/>
          </w:divBdr>
        </w:div>
        <w:div w:id="216168421">
          <w:marLeft w:val="0"/>
          <w:marRight w:val="0"/>
          <w:marTop w:val="0"/>
          <w:marBottom w:val="0"/>
          <w:divBdr>
            <w:top w:val="none" w:sz="0" w:space="0" w:color="auto"/>
            <w:left w:val="none" w:sz="0" w:space="0" w:color="auto"/>
            <w:bottom w:val="none" w:sz="0" w:space="0" w:color="auto"/>
            <w:right w:val="none" w:sz="0" w:space="0" w:color="auto"/>
          </w:divBdr>
        </w:div>
        <w:div w:id="218513537">
          <w:marLeft w:val="0"/>
          <w:marRight w:val="0"/>
          <w:marTop w:val="0"/>
          <w:marBottom w:val="0"/>
          <w:divBdr>
            <w:top w:val="none" w:sz="0" w:space="0" w:color="auto"/>
            <w:left w:val="none" w:sz="0" w:space="0" w:color="auto"/>
            <w:bottom w:val="none" w:sz="0" w:space="0" w:color="auto"/>
            <w:right w:val="none" w:sz="0" w:space="0" w:color="auto"/>
          </w:divBdr>
        </w:div>
        <w:div w:id="219489128">
          <w:marLeft w:val="0"/>
          <w:marRight w:val="0"/>
          <w:marTop w:val="0"/>
          <w:marBottom w:val="0"/>
          <w:divBdr>
            <w:top w:val="none" w:sz="0" w:space="0" w:color="auto"/>
            <w:left w:val="none" w:sz="0" w:space="0" w:color="auto"/>
            <w:bottom w:val="none" w:sz="0" w:space="0" w:color="auto"/>
            <w:right w:val="none" w:sz="0" w:space="0" w:color="auto"/>
          </w:divBdr>
        </w:div>
        <w:div w:id="224344544">
          <w:marLeft w:val="0"/>
          <w:marRight w:val="0"/>
          <w:marTop w:val="0"/>
          <w:marBottom w:val="0"/>
          <w:divBdr>
            <w:top w:val="none" w:sz="0" w:space="0" w:color="auto"/>
            <w:left w:val="none" w:sz="0" w:space="0" w:color="auto"/>
            <w:bottom w:val="none" w:sz="0" w:space="0" w:color="auto"/>
            <w:right w:val="none" w:sz="0" w:space="0" w:color="auto"/>
          </w:divBdr>
        </w:div>
        <w:div w:id="239675514">
          <w:marLeft w:val="0"/>
          <w:marRight w:val="0"/>
          <w:marTop w:val="0"/>
          <w:marBottom w:val="0"/>
          <w:divBdr>
            <w:top w:val="none" w:sz="0" w:space="0" w:color="auto"/>
            <w:left w:val="none" w:sz="0" w:space="0" w:color="auto"/>
            <w:bottom w:val="none" w:sz="0" w:space="0" w:color="auto"/>
            <w:right w:val="none" w:sz="0" w:space="0" w:color="auto"/>
          </w:divBdr>
        </w:div>
        <w:div w:id="243417600">
          <w:marLeft w:val="0"/>
          <w:marRight w:val="0"/>
          <w:marTop w:val="0"/>
          <w:marBottom w:val="0"/>
          <w:divBdr>
            <w:top w:val="none" w:sz="0" w:space="0" w:color="auto"/>
            <w:left w:val="none" w:sz="0" w:space="0" w:color="auto"/>
            <w:bottom w:val="none" w:sz="0" w:space="0" w:color="auto"/>
            <w:right w:val="none" w:sz="0" w:space="0" w:color="auto"/>
          </w:divBdr>
        </w:div>
        <w:div w:id="244455962">
          <w:marLeft w:val="0"/>
          <w:marRight w:val="0"/>
          <w:marTop w:val="0"/>
          <w:marBottom w:val="0"/>
          <w:divBdr>
            <w:top w:val="none" w:sz="0" w:space="0" w:color="auto"/>
            <w:left w:val="none" w:sz="0" w:space="0" w:color="auto"/>
            <w:bottom w:val="none" w:sz="0" w:space="0" w:color="auto"/>
            <w:right w:val="none" w:sz="0" w:space="0" w:color="auto"/>
          </w:divBdr>
        </w:div>
        <w:div w:id="250703677">
          <w:marLeft w:val="0"/>
          <w:marRight w:val="0"/>
          <w:marTop w:val="0"/>
          <w:marBottom w:val="0"/>
          <w:divBdr>
            <w:top w:val="none" w:sz="0" w:space="0" w:color="auto"/>
            <w:left w:val="none" w:sz="0" w:space="0" w:color="auto"/>
            <w:bottom w:val="none" w:sz="0" w:space="0" w:color="auto"/>
            <w:right w:val="none" w:sz="0" w:space="0" w:color="auto"/>
          </w:divBdr>
        </w:div>
        <w:div w:id="266624556">
          <w:marLeft w:val="0"/>
          <w:marRight w:val="0"/>
          <w:marTop w:val="0"/>
          <w:marBottom w:val="0"/>
          <w:divBdr>
            <w:top w:val="none" w:sz="0" w:space="0" w:color="auto"/>
            <w:left w:val="none" w:sz="0" w:space="0" w:color="auto"/>
            <w:bottom w:val="none" w:sz="0" w:space="0" w:color="auto"/>
            <w:right w:val="none" w:sz="0" w:space="0" w:color="auto"/>
          </w:divBdr>
        </w:div>
        <w:div w:id="277028663">
          <w:marLeft w:val="0"/>
          <w:marRight w:val="0"/>
          <w:marTop w:val="0"/>
          <w:marBottom w:val="0"/>
          <w:divBdr>
            <w:top w:val="none" w:sz="0" w:space="0" w:color="auto"/>
            <w:left w:val="none" w:sz="0" w:space="0" w:color="auto"/>
            <w:bottom w:val="none" w:sz="0" w:space="0" w:color="auto"/>
            <w:right w:val="none" w:sz="0" w:space="0" w:color="auto"/>
          </w:divBdr>
        </w:div>
        <w:div w:id="280042149">
          <w:marLeft w:val="0"/>
          <w:marRight w:val="0"/>
          <w:marTop w:val="0"/>
          <w:marBottom w:val="0"/>
          <w:divBdr>
            <w:top w:val="none" w:sz="0" w:space="0" w:color="auto"/>
            <w:left w:val="none" w:sz="0" w:space="0" w:color="auto"/>
            <w:bottom w:val="none" w:sz="0" w:space="0" w:color="auto"/>
            <w:right w:val="none" w:sz="0" w:space="0" w:color="auto"/>
          </w:divBdr>
        </w:div>
        <w:div w:id="286589958">
          <w:marLeft w:val="0"/>
          <w:marRight w:val="0"/>
          <w:marTop w:val="0"/>
          <w:marBottom w:val="0"/>
          <w:divBdr>
            <w:top w:val="none" w:sz="0" w:space="0" w:color="auto"/>
            <w:left w:val="none" w:sz="0" w:space="0" w:color="auto"/>
            <w:bottom w:val="none" w:sz="0" w:space="0" w:color="auto"/>
            <w:right w:val="none" w:sz="0" w:space="0" w:color="auto"/>
          </w:divBdr>
        </w:div>
        <w:div w:id="286931483">
          <w:marLeft w:val="0"/>
          <w:marRight w:val="0"/>
          <w:marTop w:val="0"/>
          <w:marBottom w:val="0"/>
          <w:divBdr>
            <w:top w:val="none" w:sz="0" w:space="0" w:color="auto"/>
            <w:left w:val="none" w:sz="0" w:space="0" w:color="auto"/>
            <w:bottom w:val="none" w:sz="0" w:space="0" w:color="auto"/>
            <w:right w:val="none" w:sz="0" w:space="0" w:color="auto"/>
          </w:divBdr>
        </w:div>
        <w:div w:id="289632851">
          <w:marLeft w:val="0"/>
          <w:marRight w:val="0"/>
          <w:marTop w:val="0"/>
          <w:marBottom w:val="0"/>
          <w:divBdr>
            <w:top w:val="none" w:sz="0" w:space="0" w:color="auto"/>
            <w:left w:val="none" w:sz="0" w:space="0" w:color="auto"/>
            <w:bottom w:val="none" w:sz="0" w:space="0" w:color="auto"/>
            <w:right w:val="none" w:sz="0" w:space="0" w:color="auto"/>
          </w:divBdr>
        </w:div>
        <w:div w:id="292491758">
          <w:marLeft w:val="0"/>
          <w:marRight w:val="0"/>
          <w:marTop w:val="0"/>
          <w:marBottom w:val="0"/>
          <w:divBdr>
            <w:top w:val="none" w:sz="0" w:space="0" w:color="auto"/>
            <w:left w:val="none" w:sz="0" w:space="0" w:color="auto"/>
            <w:bottom w:val="none" w:sz="0" w:space="0" w:color="auto"/>
            <w:right w:val="none" w:sz="0" w:space="0" w:color="auto"/>
          </w:divBdr>
        </w:div>
        <w:div w:id="292561231">
          <w:marLeft w:val="0"/>
          <w:marRight w:val="0"/>
          <w:marTop w:val="0"/>
          <w:marBottom w:val="0"/>
          <w:divBdr>
            <w:top w:val="none" w:sz="0" w:space="0" w:color="auto"/>
            <w:left w:val="none" w:sz="0" w:space="0" w:color="auto"/>
            <w:bottom w:val="none" w:sz="0" w:space="0" w:color="auto"/>
            <w:right w:val="none" w:sz="0" w:space="0" w:color="auto"/>
          </w:divBdr>
        </w:div>
        <w:div w:id="301663607">
          <w:marLeft w:val="0"/>
          <w:marRight w:val="0"/>
          <w:marTop w:val="0"/>
          <w:marBottom w:val="0"/>
          <w:divBdr>
            <w:top w:val="none" w:sz="0" w:space="0" w:color="auto"/>
            <w:left w:val="none" w:sz="0" w:space="0" w:color="auto"/>
            <w:bottom w:val="none" w:sz="0" w:space="0" w:color="auto"/>
            <w:right w:val="none" w:sz="0" w:space="0" w:color="auto"/>
          </w:divBdr>
        </w:div>
        <w:div w:id="304628425">
          <w:marLeft w:val="0"/>
          <w:marRight w:val="0"/>
          <w:marTop w:val="0"/>
          <w:marBottom w:val="0"/>
          <w:divBdr>
            <w:top w:val="none" w:sz="0" w:space="0" w:color="auto"/>
            <w:left w:val="none" w:sz="0" w:space="0" w:color="auto"/>
            <w:bottom w:val="none" w:sz="0" w:space="0" w:color="auto"/>
            <w:right w:val="none" w:sz="0" w:space="0" w:color="auto"/>
          </w:divBdr>
        </w:div>
        <w:div w:id="307131143">
          <w:marLeft w:val="0"/>
          <w:marRight w:val="0"/>
          <w:marTop w:val="0"/>
          <w:marBottom w:val="0"/>
          <w:divBdr>
            <w:top w:val="none" w:sz="0" w:space="0" w:color="auto"/>
            <w:left w:val="none" w:sz="0" w:space="0" w:color="auto"/>
            <w:bottom w:val="none" w:sz="0" w:space="0" w:color="auto"/>
            <w:right w:val="none" w:sz="0" w:space="0" w:color="auto"/>
          </w:divBdr>
        </w:div>
        <w:div w:id="309483939">
          <w:marLeft w:val="0"/>
          <w:marRight w:val="0"/>
          <w:marTop w:val="0"/>
          <w:marBottom w:val="0"/>
          <w:divBdr>
            <w:top w:val="none" w:sz="0" w:space="0" w:color="auto"/>
            <w:left w:val="none" w:sz="0" w:space="0" w:color="auto"/>
            <w:bottom w:val="none" w:sz="0" w:space="0" w:color="auto"/>
            <w:right w:val="none" w:sz="0" w:space="0" w:color="auto"/>
          </w:divBdr>
        </w:div>
        <w:div w:id="316225447">
          <w:marLeft w:val="0"/>
          <w:marRight w:val="0"/>
          <w:marTop w:val="0"/>
          <w:marBottom w:val="0"/>
          <w:divBdr>
            <w:top w:val="none" w:sz="0" w:space="0" w:color="auto"/>
            <w:left w:val="none" w:sz="0" w:space="0" w:color="auto"/>
            <w:bottom w:val="none" w:sz="0" w:space="0" w:color="auto"/>
            <w:right w:val="none" w:sz="0" w:space="0" w:color="auto"/>
          </w:divBdr>
        </w:div>
        <w:div w:id="316693088">
          <w:marLeft w:val="0"/>
          <w:marRight w:val="0"/>
          <w:marTop w:val="0"/>
          <w:marBottom w:val="0"/>
          <w:divBdr>
            <w:top w:val="none" w:sz="0" w:space="0" w:color="auto"/>
            <w:left w:val="none" w:sz="0" w:space="0" w:color="auto"/>
            <w:bottom w:val="none" w:sz="0" w:space="0" w:color="auto"/>
            <w:right w:val="none" w:sz="0" w:space="0" w:color="auto"/>
          </w:divBdr>
        </w:div>
        <w:div w:id="317805189">
          <w:marLeft w:val="0"/>
          <w:marRight w:val="0"/>
          <w:marTop w:val="0"/>
          <w:marBottom w:val="0"/>
          <w:divBdr>
            <w:top w:val="none" w:sz="0" w:space="0" w:color="auto"/>
            <w:left w:val="none" w:sz="0" w:space="0" w:color="auto"/>
            <w:bottom w:val="none" w:sz="0" w:space="0" w:color="auto"/>
            <w:right w:val="none" w:sz="0" w:space="0" w:color="auto"/>
          </w:divBdr>
        </w:div>
        <w:div w:id="326859432">
          <w:marLeft w:val="0"/>
          <w:marRight w:val="0"/>
          <w:marTop w:val="0"/>
          <w:marBottom w:val="0"/>
          <w:divBdr>
            <w:top w:val="none" w:sz="0" w:space="0" w:color="auto"/>
            <w:left w:val="none" w:sz="0" w:space="0" w:color="auto"/>
            <w:bottom w:val="none" w:sz="0" w:space="0" w:color="auto"/>
            <w:right w:val="none" w:sz="0" w:space="0" w:color="auto"/>
          </w:divBdr>
        </w:div>
        <w:div w:id="327097280">
          <w:marLeft w:val="0"/>
          <w:marRight w:val="0"/>
          <w:marTop w:val="0"/>
          <w:marBottom w:val="0"/>
          <w:divBdr>
            <w:top w:val="none" w:sz="0" w:space="0" w:color="auto"/>
            <w:left w:val="none" w:sz="0" w:space="0" w:color="auto"/>
            <w:bottom w:val="none" w:sz="0" w:space="0" w:color="auto"/>
            <w:right w:val="none" w:sz="0" w:space="0" w:color="auto"/>
          </w:divBdr>
        </w:div>
        <w:div w:id="330567047">
          <w:marLeft w:val="0"/>
          <w:marRight w:val="0"/>
          <w:marTop w:val="0"/>
          <w:marBottom w:val="0"/>
          <w:divBdr>
            <w:top w:val="none" w:sz="0" w:space="0" w:color="auto"/>
            <w:left w:val="none" w:sz="0" w:space="0" w:color="auto"/>
            <w:bottom w:val="none" w:sz="0" w:space="0" w:color="auto"/>
            <w:right w:val="none" w:sz="0" w:space="0" w:color="auto"/>
          </w:divBdr>
        </w:div>
        <w:div w:id="333384586">
          <w:marLeft w:val="0"/>
          <w:marRight w:val="0"/>
          <w:marTop w:val="0"/>
          <w:marBottom w:val="0"/>
          <w:divBdr>
            <w:top w:val="none" w:sz="0" w:space="0" w:color="auto"/>
            <w:left w:val="none" w:sz="0" w:space="0" w:color="auto"/>
            <w:bottom w:val="none" w:sz="0" w:space="0" w:color="auto"/>
            <w:right w:val="none" w:sz="0" w:space="0" w:color="auto"/>
          </w:divBdr>
        </w:div>
        <w:div w:id="334067419">
          <w:marLeft w:val="0"/>
          <w:marRight w:val="0"/>
          <w:marTop w:val="0"/>
          <w:marBottom w:val="0"/>
          <w:divBdr>
            <w:top w:val="none" w:sz="0" w:space="0" w:color="auto"/>
            <w:left w:val="none" w:sz="0" w:space="0" w:color="auto"/>
            <w:bottom w:val="none" w:sz="0" w:space="0" w:color="auto"/>
            <w:right w:val="none" w:sz="0" w:space="0" w:color="auto"/>
          </w:divBdr>
        </w:div>
        <w:div w:id="338194427">
          <w:marLeft w:val="0"/>
          <w:marRight w:val="0"/>
          <w:marTop w:val="0"/>
          <w:marBottom w:val="0"/>
          <w:divBdr>
            <w:top w:val="none" w:sz="0" w:space="0" w:color="auto"/>
            <w:left w:val="none" w:sz="0" w:space="0" w:color="auto"/>
            <w:bottom w:val="none" w:sz="0" w:space="0" w:color="auto"/>
            <w:right w:val="none" w:sz="0" w:space="0" w:color="auto"/>
          </w:divBdr>
        </w:div>
        <w:div w:id="339436082">
          <w:marLeft w:val="0"/>
          <w:marRight w:val="0"/>
          <w:marTop w:val="0"/>
          <w:marBottom w:val="0"/>
          <w:divBdr>
            <w:top w:val="none" w:sz="0" w:space="0" w:color="auto"/>
            <w:left w:val="none" w:sz="0" w:space="0" w:color="auto"/>
            <w:bottom w:val="none" w:sz="0" w:space="0" w:color="auto"/>
            <w:right w:val="none" w:sz="0" w:space="0" w:color="auto"/>
          </w:divBdr>
        </w:div>
        <w:div w:id="343747406">
          <w:marLeft w:val="0"/>
          <w:marRight w:val="0"/>
          <w:marTop w:val="0"/>
          <w:marBottom w:val="0"/>
          <w:divBdr>
            <w:top w:val="none" w:sz="0" w:space="0" w:color="auto"/>
            <w:left w:val="none" w:sz="0" w:space="0" w:color="auto"/>
            <w:bottom w:val="none" w:sz="0" w:space="0" w:color="auto"/>
            <w:right w:val="none" w:sz="0" w:space="0" w:color="auto"/>
          </w:divBdr>
        </w:div>
        <w:div w:id="347096781">
          <w:marLeft w:val="0"/>
          <w:marRight w:val="0"/>
          <w:marTop w:val="0"/>
          <w:marBottom w:val="0"/>
          <w:divBdr>
            <w:top w:val="none" w:sz="0" w:space="0" w:color="auto"/>
            <w:left w:val="none" w:sz="0" w:space="0" w:color="auto"/>
            <w:bottom w:val="none" w:sz="0" w:space="0" w:color="auto"/>
            <w:right w:val="none" w:sz="0" w:space="0" w:color="auto"/>
          </w:divBdr>
        </w:div>
        <w:div w:id="357897623">
          <w:marLeft w:val="0"/>
          <w:marRight w:val="0"/>
          <w:marTop w:val="0"/>
          <w:marBottom w:val="0"/>
          <w:divBdr>
            <w:top w:val="none" w:sz="0" w:space="0" w:color="auto"/>
            <w:left w:val="none" w:sz="0" w:space="0" w:color="auto"/>
            <w:bottom w:val="none" w:sz="0" w:space="0" w:color="auto"/>
            <w:right w:val="none" w:sz="0" w:space="0" w:color="auto"/>
          </w:divBdr>
        </w:div>
        <w:div w:id="364135971">
          <w:marLeft w:val="0"/>
          <w:marRight w:val="0"/>
          <w:marTop w:val="0"/>
          <w:marBottom w:val="0"/>
          <w:divBdr>
            <w:top w:val="none" w:sz="0" w:space="0" w:color="auto"/>
            <w:left w:val="none" w:sz="0" w:space="0" w:color="auto"/>
            <w:bottom w:val="none" w:sz="0" w:space="0" w:color="auto"/>
            <w:right w:val="none" w:sz="0" w:space="0" w:color="auto"/>
          </w:divBdr>
        </w:div>
        <w:div w:id="366832788">
          <w:marLeft w:val="0"/>
          <w:marRight w:val="0"/>
          <w:marTop w:val="0"/>
          <w:marBottom w:val="0"/>
          <w:divBdr>
            <w:top w:val="none" w:sz="0" w:space="0" w:color="auto"/>
            <w:left w:val="none" w:sz="0" w:space="0" w:color="auto"/>
            <w:bottom w:val="none" w:sz="0" w:space="0" w:color="auto"/>
            <w:right w:val="none" w:sz="0" w:space="0" w:color="auto"/>
          </w:divBdr>
        </w:div>
        <w:div w:id="375204551">
          <w:marLeft w:val="0"/>
          <w:marRight w:val="0"/>
          <w:marTop w:val="0"/>
          <w:marBottom w:val="0"/>
          <w:divBdr>
            <w:top w:val="none" w:sz="0" w:space="0" w:color="auto"/>
            <w:left w:val="none" w:sz="0" w:space="0" w:color="auto"/>
            <w:bottom w:val="none" w:sz="0" w:space="0" w:color="auto"/>
            <w:right w:val="none" w:sz="0" w:space="0" w:color="auto"/>
          </w:divBdr>
        </w:div>
        <w:div w:id="376316652">
          <w:marLeft w:val="0"/>
          <w:marRight w:val="0"/>
          <w:marTop w:val="0"/>
          <w:marBottom w:val="0"/>
          <w:divBdr>
            <w:top w:val="none" w:sz="0" w:space="0" w:color="auto"/>
            <w:left w:val="none" w:sz="0" w:space="0" w:color="auto"/>
            <w:bottom w:val="none" w:sz="0" w:space="0" w:color="auto"/>
            <w:right w:val="none" w:sz="0" w:space="0" w:color="auto"/>
          </w:divBdr>
        </w:div>
        <w:div w:id="382676906">
          <w:marLeft w:val="0"/>
          <w:marRight w:val="0"/>
          <w:marTop w:val="0"/>
          <w:marBottom w:val="0"/>
          <w:divBdr>
            <w:top w:val="none" w:sz="0" w:space="0" w:color="auto"/>
            <w:left w:val="none" w:sz="0" w:space="0" w:color="auto"/>
            <w:bottom w:val="none" w:sz="0" w:space="0" w:color="auto"/>
            <w:right w:val="none" w:sz="0" w:space="0" w:color="auto"/>
          </w:divBdr>
        </w:div>
        <w:div w:id="398862816">
          <w:marLeft w:val="0"/>
          <w:marRight w:val="0"/>
          <w:marTop w:val="0"/>
          <w:marBottom w:val="0"/>
          <w:divBdr>
            <w:top w:val="none" w:sz="0" w:space="0" w:color="auto"/>
            <w:left w:val="none" w:sz="0" w:space="0" w:color="auto"/>
            <w:bottom w:val="none" w:sz="0" w:space="0" w:color="auto"/>
            <w:right w:val="none" w:sz="0" w:space="0" w:color="auto"/>
          </w:divBdr>
        </w:div>
        <w:div w:id="399670439">
          <w:marLeft w:val="0"/>
          <w:marRight w:val="0"/>
          <w:marTop w:val="0"/>
          <w:marBottom w:val="0"/>
          <w:divBdr>
            <w:top w:val="none" w:sz="0" w:space="0" w:color="auto"/>
            <w:left w:val="none" w:sz="0" w:space="0" w:color="auto"/>
            <w:bottom w:val="none" w:sz="0" w:space="0" w:color="auto"/>
            <w:right w:val="none" w:sz="0" w:space="0" w:color="auto"/>
          </w:divBdr>
        </w:div>
        <w:div w:id="400176799">
          <w:marLeft w:val="0"/>
          <w:marRight w:val="0"/>
          <w:marTop w:val="0"/>
          <w:marBottom w:val="0"/>
          <w:divBdr>
            <w:top w:val="none" w:sz="0" w:space="0" w:color="auto"/>
            <w:left w:val="none" w:sz="0" w:space="0" w:color="auto"/>
            <w:bottom w:val="none" w:sz="0" w:space="0" w:color="auto"/>
            <w:right w:val="none" w:sz="0" w:space="0" w:color="auto"/>
          </w:divBdr>
        </w:div>
        <w:div w:id="400299786">
          <w:marLeft w:val="0"/>
          <w:marRight w:val="0"/>
          <w:marTop w:val="0"/>
          <w:marBottom w:val="0"/>
          <w:divBdr>
            <w:top w:val="none" w:sz="0" w:space="0" w:color="auto"/>
            <w:left w:val="none" w:sz="0" w:space="0" w:color="auto"/>
            <w:bottom w:val="none" w:sz="0" w:space="0" w:color="auto"/>
            <w:right w:val="none" w:sz="0" w:space="0" w:color="auto"/>
          </w:divBdr>
        </w:div>
        <w:div w:id="400910499">
          <w:marLeft w:val="0"/>
          <w:marRight w:val="0"/>
          <w:marTop w:val="0"/>
          <w:marBottom w:val="0"/>
          <w:divBdr>
            <w:top w:val="none" w:sz="0" w:space="0" w:color="auto"/>
            <w:left w:val="none" w:sz="0" w:space="0" w:color="auto"/>
            <w:bottom w:val="none" w:sz="0" w:space="0" w:color="auto"/>
            <w:right w:val="none" w:sz="0" w:space="0" w:color="auto"/>
          </w:divBdr>
        </w:div>
        <w:div w:id="410737920">
          <w:marLeft w:val="0"/>
          <w:marRight w:val="0"/>
          <w:marTop w:val="0"/>
          <w:marBottom w:val="0"/>
          <w:divBdr>
            <w:top w:val="none" w:sz="0" w:space="0" w:color="auto"/>
            <w:left w:val="none" w:sz="0" w:space="0" w:color="auto"/>
            <w:bottom w:val="none" w:sz="0" w:space="0" w:color="auto"/>
            <w:right w:val="none" w:sz="0" w:space="0" w:color="auto"/>
          </w:divBdr>
        </w:div>
        <w:div w:id="420757715">
          <w:marLeft w:val="0"/>
          <w:marRight w:val="0"/>
          <w:marTop w:val="0"/>
          <w:marBottom w:val="0"/>
          <w:divBdr>
            <w:top w:val="none" w:sz="0" w:space="0" w:color="auto"/>
            <w:left w:val="none" w:sz="0" w:space="0" w:color="auto"/>
            <w:bottom w:val="none" w:sz="0" w:space="0" w:color="auto"/>
            <w:right w:val="none" w:sz="0" w:space="0" w:color="auto"/>
          </w:divBdr>
        </w:div>
        <w:div w:id="421411523">
          <w:marLeft w:val="0"/>
          <w:marRight w:val="0"/>
          <w:marTop w:val="0"/>
          <w:marBottom w:val="0"/>
          <w:divBdr>
            <w:top w:val="none" w:sz="0" w:space="0" w:color="auto"/>
            <w:left w:val="none" w:sz="0" w:space="0" w:color="auto"/>
            <w:bottom w:val="none" w:sz="0" w:space="0" w:color="auto"/>
            <w:right w:val="none" w:sz="0" w:space="0" w:color="auto"/>
          </w:divBdr>
        </w:div>
        <w:div w:id="423649376">
          <w:marLeft w:val="0"/>
          <w:marRight w:val="0"/>
          <w:marTop w:val="0"/>
          <w:marBottom w:val="0"/>
          <w:divBdr>
            <w:top w:val="none" w:sz="0" w:space="0" w:color="auto"/>
            <w:left w:val="none" w:sz="0" w:space="0" w:color="auto"/>
            <w:bottom w:val="none" w:sz="0" w:space="0" w:color="auto"/>
            <w:right w:val="none" w:sz="0" w:space="0" w:color="auto"/>
          </w:divBdr>
        </w:div>
        <w:div w:id="425076864">
          <w:marLeft w:val="0"/>
          <w:marRight w:val="0"/>
          <w:marTop w:val="0"/>
          <w:marBottom w:val="0"/>
          <w:divBdr>
            <w:top w:val="none" w:sz="0" w:space="0" w:color="auto"/>
            <w:left w:val="none" w:sz="0" w:space="0" w:color="auto"/>
            <w:bottom w:val="none" w:sz="0" w:space="0" w:color="auto"/>
            <w:right w:val="none" w:sz="0" w:space="0" w:color="auto"/>
          </w:divBdr>
        </w:div>
        <w:div w:id="429936469">
          <w:marLeft w:val="0"/>
          <w:marRight w:val="0"/>
          <w:marTop w:val="0"/>
          <w:marBottom w:val="0"/>
          <w:divBdr>
            <w:top w:val="none" w:sz="0" w:space="0" w:color="auto"/>
            <w:left w:val="none" w:sz="0" w:space="0" w:color="auto"/>
            <w:bottom w:val="none" w:sz="0" w:space="0" w:color="auto"/>
            <w:right w:val="none" w:sz="0" w:space="0" w:color="auto"/>
          </w:divBdr>
        </w:div>
        <w:div w:id="432020875">
          <w:marLeft w:val="0"/>
          <w:marRight w:val="0"/>
          <w:marTop w:val="0"/>
          <w:marBottom w:val="0"/>
          <w:divBdr>
            <w:top w:val="none" w:sz="0" w:space="0" w:color="auto"/>
            <w:left w:val="none" w:sz="0" w:space="0" w:color="auto"/>
            <w:bottom w:val="none" w:sz="0" w:space="0" w:color="auto"/>
            <w:right w:val="none" w:sz="0" w:space="0" w:color="auto"/>
          </w:divBdr>
        </w:div>
        <w:div w:id="433793133">
          <w:marLeft w:val="0"/>
          <w:marRight w:val="0"/>
          <w:marTop w:val="0"/>
          <w:marBottom w:val="0"/>
          <w:divBdr>
            <w:top w:val="none" w:sz="0" w:space="0" w:color="auto"/>
            <w:left w:val="none" w:sz="0" w:space="0" w:color="auto"/>
            <w:bottom w:val="none" w:sz="0" w:space="0" w:color="auto"/>
            <w:right w:val="none" w:sz="0" w:space="0" w:color="auto"/>
          </w:divBdr>
        </w:div>
        <w:div w:id="438259162">
          <w:marLeft w:val="0"/>
          <w:marRight w:val="0"/>
          <w:marTop w:val="0"/>
          <w:marBottom w:val="0"/>
          <w:divBdr>
            <w:top w:val="none" w:sz="0" w:space="0" w:color="auto"/>
            <w:left w:val="none" w:sz="0" w:space="0" w:color="auto"/>
            <w:bottom w:val="none" w:sz="0" w:space="0" w:color="auto"/>
            <w:right w:val="none" w:sz="0" w:space="0" w:color="auto"/>
          </w:divBdr>
        </w:div>
        <w:div w:id="439763921">
          <w:marLeft w:val="0"/>
          <w:marRight w:val="0"/>
          <w:marTop w:val="0"/>
          <w:marBottom w:val="0"/>
          <w:divBdr>
            <w:top w:val="none" w:sz="0" w:space="0" w:color="auto"/>
            <w:left w:val="none" w:sz="0" w:space="0" w:color="auto"/>
            <w:bottom w:val="none" w:sz="0" w:space="0" w:color="auto"/>
            <w:right w:val="none" w:sz="0" w:space="0" w:color="auto"/>
          </w:divBdr>
        </w:div>
        <w:div w:id="442382279">
          <w:marLeft w:val="0"/>
          <w:marRight w:val="0"/>
          <w:marTop w:val="0"/>
          <w:marBottom w:val="0"/>
          <w:divBdr>
            <w:top w:val="none" w:sz="0" w:space="0" w:color="auto"/>
            <w:left w:val="none" w:sz="0" w:space="0" w:color="auto"/>
            <w:bottom w:val="none" w:sz="0" w:space="0" w:color="auto"/>
            <w:right w:val="none" w:sz="0" w:space="0" w:color="auto"/>
          </w:divBdr>
        </w:div>
        <w:div w:id="450129360">
          <w:marLeft w:val="0"/>
          <w:marRight w:val="0"/>
          <w:marTop w:val="0"/>
          <w:marBottom w:val="0"/>
          <w:divBdr>
            <w:top w:val="none" w:sz="0" w:space="0" w:color="auto"/>
            <w:left w:val="none" w:sz="0" w:space="0" w:color="auto"/>
            <w:bottom w:val="none" w:sz="0" w:space="0" w:color="auto"/>
            <w:right w:val="none" w:sz="0" w:space="0" w:color="auto"/>
          </w:divBdr>
        </w:div>
        <w:div w:id="451900810">
          <w:marLeft w:val="0"/>
          <w:marRight w:val="0"/>
          <w:marTop w:val="0"/>
          <w:marBottom w:val="0"/>
          <w:divBdr>
            <w:top w:val="none" w:sz="0" w:space="0" w:color="auto"/>
            <w:left w:val="none" w:sz="0" w:space="0" w:color="auto"/>
            <w:bottom w:val="none" w:sz="0" w:space="0" w:color="auto"/>
            <w:right w:val="none" w:sz="0" w:space="0" w:color="auto"/>
          </w:divBdr>
        </w:div>
        <w:div w:id="459303873">
          <w:marLeft w:val="0"/>
          <w:marRight w:val="0"/>
          <w:marTop w:val="0"/>
          <w:marBottom w:val="0"/>
          <w:divBdr>
            <w:top w:val="none" w:sz="0" w:space="0" w:color="auto"/>
            <w:left w:val="none" w:sz="0" w:space="0" w:color="auto"/>
            <w:bottom w:val="none" w:sz="0" w:space="0" w:color="auto"/>
            <w:right w:val="none" w:sz="0" w:space="0" w:color="auto"/>
          </w:divBdr>
        </w:div>
        <w:div w:id="462160791">
          <w:marLeft w:val="0"/>
          <w:marRight w:val="0"/>
          <w:marTop w:val="0"/>
          <w:marBottom w:val="0"/>
          <w:divBdr>
            <w:top w:val="none" w:sz="0" w:space="0" w:color="auto"/>
            <w:left w:val="none" w:sz="0" w:space="0" w:color="auto"/>
            <w:bottom w:val="none" w:sz="0" w:space="0" w:color="auto"/>
            <w:right w:val="none" w:sz="0" w:space="0" w:color="auto"/>
          </w:divBdr>
        </w:div>
        <w:div w:id="466779242">
          <w:marLeft w:val="0"/>
          <w:marRight w:val="0"/>
          <w:marTop w:val="0"/>
          <w:marBottom w:val="0"/>
          <w:divBdr>
            <w:top w:val="none" w:sz="0" w:space="0" w:color="auto"/>
            <w:left w:val="none" w:sz="0" w:space="0" w:color="auto"/>
            <w:bottom w:val="none" w:sz="0" w:space="0" w:color="auto"/>
            <w:right w:val="none" w:sz="0" w:space="0" w:color="auto"/>
          </w:divBdr>
        </w:div>
        <w:div w:id="469516558">
          <w:marLeft w:val="0"/>
          <w:marRight w:val="0"/>
          <w:marTop w:val="0"/>
          <w:marBottom w:val="0"/>
          <w:divBdr>
            <w:top w:val="none" w:sz="0" w:space="0" w:color="auto"/>
            <w:left w:val="none" w:sz="0" w:space="0" w:color="auto"/>
            <w:bottom w:val="none" w:sz="0" w:space="0" w:color="auto"/>
            <w:right w:val="none" w:sz="0" w:space="0" w:color="auto"/>
          </w:divBdr>
        </w:div>
        <w:div w:id="470250771">
          <w:marLeft w:val="0"/>
          <w:marRight w:val="0"/>
          <w:marTop w:val="0"/>
          <w:marBottom w:val="0"/>
          <w:divBdr>
            <w:top w:val="none" w:sz="0" w:space="0" w:color="auto"/>
            <w:left w:val="none" w:sz="0" w:space="0" w:color="auto"/>
            <w:bottom w:val="none" w:sz="0" w:space="0" w:color="auto"/>
            <w:right w:val="none" w:sz="0" w:space="0" w:color="auto"/>
          </w:divBdr>
        </w:div>
        <w:div w:id="471486012">
          <w:marLeft w:val="0"/>
          <w:marRight w:val="0"/>
          <w:marTop w:val="0"/>
          <w:marBottom w:val="0"/>
          <w:divBdr>
            <w:top w:val="none" w:sz="0" w:space="0" w:color="auto"/>
            <w:left w:val="none" w:sz="0" w:space="0" w:color="auto"/>
            <w:bottom w:val="none" w:sz="0" w:space="0" w:color="auto"/>
            <w:right w:val="none" w:sz="0" w:space="0" w:color="auto"/>
          </w:divBdr>
        </w:div>
        <w:div w:id="475804364">
          <w:marLeft w:val="0"/>
          <w:marRight w:val="0"/>
          <w:marTop w:val="0"/>
          <w:marBottom w:val="0"/>
          <w:divBdr>
            <w:top w:val="none" w:sz="0" w:space="0" w:color="auto"/>
            <w:left w:val="none" w:sz="0" w:space="0" w:color="auto"/>
            <w:bottom w:val="none" w:sz="0" w:space="0" w:color="auto"/>
            <w:right w:val="none" w:sz="0" w:space="0" w:color="auto"/>
          </w:divBdr>
        </w:div>
        <w:div w:id="475951525">
          <w:marLeft w:val="0"/>
          <w:marRight w:val="0"/>
          <w:marTop w:val="0"/>
          <w:marBottom w:val="0"/>
          <w:divBdr>
            <w:top w:val="none" w:sz="0" w:space="0" w:color="auto"/>
            <w:left w:val="none" w:sz="0" w:space="0" w:color="auto"/>
            <w:bottom w:val="none" w:sz="0" w:space="0" w:color="auto"/>
            <w:right w:val="none" w:sz="0" w:space="0" w:color="auto"/>
          </w:divBdr>
        </w:div>
        <w:div w:id="477383766">
          <w:marLeft w:val="0"/>
          <w:marRight w:val="0"/>
          <w:marTop w:val="0"/>
          <w:marBottom w:val="0"/>
          <w:divBdr>
            <w:top w:val="none" w:sz="0" w:space="0" w:color="auto"/>
            <w:left w:val="none" w:sz="0" w:space="0" w:color="auto"/>
            <w:bottom w:val="none" w:sz="0" w:space="0" w:color="auto"/>
            <w:right w:val="none" w:sz="0" w:space="0" w:color="auto"/>
          </w:divBdr>
        </w:div>
        <w:div w:id="477646445">
          <w:marLeft w:val="0"/>
          <w:marRight w:val="0"/>
          <w:marTop w:val="0"/>
          <w:marBottom w:val="0"/>
          <w:divBdr>
            <w:top w:val="none" w:sz="0" w:space="0" w:color="auto"/>
            <w:left w:val="none" w:sz="0" w:space="0" w:color="auto"/>
            <w:bottom w:val="none" w:sz="0" w:space="0" w:color="auto"/>
            <w:right w:val="none" w:sz="0" w:space="0" w:color="auto"/>
          </w:divBdr>
        </w:div>
        <w:div w:id="478621678">
          <w:marLeft w:val="0"/>
          <w:marRight w:val="0"/>
          <w:marTop w:val="0"/>
          <w:marBottom w:val="0"/>
          <w:divBdr>
            <w:top w:val="none" w:sz="0" w:space="0" w:color="auto"/>
            <w:left w:val="none" w:sz="0" w:space="0" w:color="auto"/>
            <w:bottom w:val="none" w:sz="0" w:space="0" w:color="auto"/>
            <w:right w:val="none" w:sz="0" w:space="0" w:color="auto"/>
          </w:divBdr>
        </w:div>
        <w:div w:id="481655078">
          <w:marLeft w:val="0"/>
          <w:marRight w:val="0"/>
          <w:marTop w:val="0"/>
          <w:marBottom w:val="0"/>
          <w:divBdr>
            <w:top w:val="none" w:sz="0" w:space="0" w:color="auto"/>
            <w:left w:val="none" w:sz="0" w:space="0" w:color="auto"/>
            <w:bottom w:val="none" w:sz="0" w:space="0" w:color="auto"/>
            <w:right w:val="none" w:sz="0" w:space="0" w:color="auto"/>
          </w:divBdr>
        </w:div>
        <w:div w:id="486433093">
          <w:marLeft w:val="0"/>
          <w:marRight w:val="0"/>
          <w:marTop w:val="0"/>
          <w:marBottom w:val="0"/>
          <w:divBdr>
            <w:top w:val="none" w:sz="0" w:space="0" w:color="auto"/>
            <w:left w:val="none" w:sz="0" w:space="0" w:color="auto"/>
            <w:bottom w:val="none" w:sz="0" w:space="0" w:color="auto"/>
            <w:right w:val="none" w:sz="0" w:space="0" w:color="auto"/>
          </w:divBdr>
        </w:div>
        <w:div w:id="487983164">
          <w:marLeft w:val="0"/>
          <w:marRight w:val="0"/>
          <w:marTop w:val="0"/>
          <w:marBottom w:val="0"/>
          <w:divBdr>
            <w:top w:val="none" w:sz="0" w:space="0" w:color="auto"/>
            <w:left w:val="none" w:sz="0" w:space="0" w:color="auto"/>
            <w:bottom w:val="none" w:sz="0" w:space="0" w:color="auto"/>
            <w:right w:val="none" w:sz="0" w:space="0" w:color="auto"/>
          </w:divBdr>
        </w:div>
        <w:div w:id="491410849">
          <w:marLeft w:val="0"/>
          <w:marRight w:val="0"/>
          <w:marTop w:val="0"/>
          <w:marBottom w:val="0"/>
          <w:divBdr>
            <w:top w:val="none" w:sz="0" w:space="0" w:color="auto"/>
            <w:left w:val="none" w:sz="0" w:space="0" w:color="auto"/>
            <w:bottom w:val="none" w:sz="0" w:space="0" w:color="auto"/>
            <w:right w:val="none" w:sz="0" w:space="0" w:color="auto"/>
          </w:divBdr>
        </w:div>
        <w:div w:id="491870885">
          <w:marLeft w:val="0"/>
          <w:marRight w:val="0"/>
          <w:marTop w:val="0"/>
          <w:marBottom w:val="0"/>
          <w:divBdr>
            <w:top w:val="none" w:sz="0" w:space="0" w:color="auto"/>
            <w:left w:val="none" w:sz="0" w:space="0" w:color="auto"/>
            <w:bottom w:val="none" w:sz="0" w:space="0" w:color="auto"/>
            <w:right w:val="none" w:sz="0" w:space="0" w:color="auto"/>
          </w:divBdr>
        </w:div>
        <w:div w:id="493645552">
          <w:marLeft w:val="0"/>
          <w:marRight w:val="0"/>
          <w:marTop w:val="0"/>
          <w:marBottom w:val="0"/>
          <w:divBdr>
            <w:top w:val="none" w:sz="0" w:space="0" w:color="auto"/>
            <w:left w:val="none" w:sz="0" w:space="0" w:color="auto"/>
            <w:bottom w:val="none" w:sz="0" w:space="0" w:color="auto"/>
            <w:right w:val="none" w:sz="0" w:space="0" w:color="auto"/>
          </w:divBdr>
        </w:div>
        <w:div w:id="504589302">
          <w:marLeft w:val="0"/>
          <w:marRight w:val="0"/>
          <w:marTop w:val="0"/>
          <w:marBottom w:val="0"/>
          <w:divBdr>
            <w:top w:val="none" w:sz="0" w:space="0" w:color="auto"/>
            <w:left w:val="none" w:sz="0" w:space="0" w:color="auto"/>
            <w:bottom w:val="none" w:sz="0" w:space="0" w:color="auto"/>
            <w:right w:val="none" w:sz="0" w:space="0" w:color="auto"/>
          </w:divBdr>
        </w:div>
        <w:div w:id="506792837">
          <w:marLeft w:val="0"/>
          <w:marRight w:val="0"/>
          <w:marTop w:val="0"/>
          <w:marBottom w:val="0"/>
          <w:divBdr>
            <w:top w:val="none" w:sz="0" w:space="0" w:color="auto"/>
            <w:left w:val="none" w:sz="0" w:space="0" w:color="auto"/>
            <w:bottom w:val="none" w:sz="0" w:space="0" w:color="auto"/>
            <w:right w:val="none" w:sz="0" w:space="0" w:color="auto"/>
          </w:divBdr>
        </w:div>
        <w:div w:id="513037650">
          <w:marLeft w:val="0"/>
          <w:marRight w:val="0"/>
          <w:marTop w:val="0"/>
          <w:marBottom w:val="0"/>
          <w:divBdr>
            <w:top w:val="none" w:sz="0" w:space="0" w:color="auto"/>
            <w:left w:val="none" w:sz="0" w:space="0" w:color="auto"/>
            <w:bottom w:val="none" w:sz="0" w:space="0" w:color="auto"/>
            <w:right w:val="none" w:sz="0" w:space="0" w:color="auto"/>
          </w:divBdr>
        </w:div>
        <w:div w:id="519467271">
          <w:marLeft w:val="0"/>
          <w:marRight w:val="0"/>
          <w:marTop w:val="0"/>
          <w:marBottom w:val="0"/>
          <w:divBdr>
            <w:top w:val="none" w:sz="0" w:space="0" w:color="auto"/>
            <w:left w:val="none" w:sz="0" w:space="0" w:color="auto"/>
            <w:bottom w:val="none" w:sz="0" w:space="0" w:color="auto"/>
            <w:right w:val="none" w:sz="0" w:space="0" w:color="auto"/>
          </w:divBdr>
        </w:div>
        <w:div w:id="526984535">
          <w:marLeft w:val="0"/>
          <w:marRight w:val="0"/>
          <w:marTop w:val="0"/>
          <w:marBottom w:val="0"/>
          <w:divBdr>
            <w:top w:val="none" w:sz="0" w:space="0" w:color="auto"/>
            <w:left w:val="none" w:sz="0" w:space="0" w:color="auto"/>
            <w:bottom w:val="none" w:sz="0" w:space="0" w:color="auto"/>
            <w:right w:val="none" w:sz="0" w:space="0" w:color="auto"/>
          </w:divBdr>
        </w:div>
        <w:div w:id="535697899">
          <w:marLeft w:val="0"/>
          <w:marRight w:val="0"/>
          <w:marTop w:val="0"/>
          <w:marBottom w:val="0"/>
          <w:divBdr>
            <w:top w:val="none" w:sz="0" w:space="0" w:color="auto"/>
            <w:left w:val="none" w:sz="0" w:space="0" w:color="auto"/>
            <w:bottom w:val="none" w:sz="0" w:space="0" w:color="auto"/>
            <w:right w:val="none" w:sz="0" w:space="0" w:color="auto"/>
          </w:divBdr>
        </w:div>
        <w:div w:id="537276293">
          <w:marLeft w:val="0"/>
          <w:marRight w:val="0"/>
          <w:marTop w:val="0"/>
          <w:marBottom w:val="0"/>
          <w:divBdr>
            <w:top w:val="none" w:sz="0" w:space="0" w:color="auto"/>
            <w:left w:val="none" w:sz="0" w:space="0" w:color="auto"/>
            <w:bottom w:val="none" w:sz="0" w:space="0" w:color="auto"/>
            <w:right w:val="none" w:sz="0" w:space="0" w:color="auto"/>
          </w:divBdr>
        </w:div>
        <w:div w:id="539047810">
          <w:marLeft w:val="0"/>
          <w:marRight w:val="0"/>
          <w:marTop w:val="0"/>
          <w:marBottom w:val="0"/>
          <w:divBdr>
            <w:top w:val="none" w:sz="0" w:space="0" w:color="auto"/>
            <w:left w:val="none" w:sz="0" w:space="0" w:color="auto"/>
            <w:bottom w:val="none" w:sz="0" w:space="0" w:color="auto"/>
            <w:right w:val="none" w:sz="0" w:space="0" w:color="auto"/>
          </w:divBdr>
        </w:div>
        <w:div w:id="543980072">
          <w:marLeft w:val="0"/>
          <w:marRight w:val="0"/>
          <w:marTop w:val="0"/>
          <w:marBottom w:val="0"/>
          <w:divBdr>
            <w:top w:val="none" w:sz="0" w:space="0" w:color="auto"/>
            <w:left w:val="none" w:sz="0" w:space="0" w:color="auto"/>
            <w:bottom w:val="none" w:sz="0" w:space="0" w:color="auto"/>
            <w:right w:val="none" w:sz="0" w:space="0" w:color="auto"/>
          </w:divBdr>
        </w:div>
        <w:div w:id="547452727">
          <w:marLeft w:val="0"/>
          <w:marRight w:val="0"/>
          <w:marTop w:val="0"/>
          <w:marBottom w:val="0"/>
          <w:divBdr>
            <w:top w:val="none" w:sz="0" w:space="0" w:color="auto"/>
            <w:left w:val="none" w:sz="0" w:space="0" w:color="auto"/>
            <w:bottom w:val="none" w:sz="0" w:space="0" w:color="auto"/>
            <w:right w:val="none" w:sz="0" w:space="0" w:color="auto"/>
          </w:divBdr>
        </w:div>
        <w:div w:id="547572561">
          <w:marLeft w:val="0"/>
          <w:marRight w:val="0"/>
          <w:marTop w:val="0"/>
          <w:marBottom w:val="0"/>
          <w:divBdr>
            <w:top w:val="none" w:sz="0" w:space="0" w:color="auto"/>
            <w:left w:val="none" w:sz="0" w:space="0" w:color="auto"/>
            <w:bottom w:val="none" w:sz="0" w:space="0" w:color="auto"/>
            <w:right w:val="none" w:sz="0" w:space="0" w:color="auto"/>
          </w:divBdr>
        </w:div>
        <w:div w:id="548301285">
          <w:marLeft w:val="0"/>
          <w:marRight w:val="0"/>
          <w:marTop w:val="0"/>
          <w:marBottom w:val="0"/>
          <w:divBdr>
            <w:top w:val="none" w:sz="0" w:space="0" w:color="auto"/>
            <w:left w:val="none" w:sz="0" w:space="0" w:color="auto"/>
            <w:bottom w:val="none" w:sz="0" w:space="0" w:color="auto"/>
            <w:right w:val="none" w:sz="0" w:space="0" w:color="auto"/>
          </w:divBdr>
        </w:div>
        <w:div w:id="556550161">
          <w:marLeft w:val="0"/>
          <w:marRight w:val="0"/>
          <w:marTop w:val="0"/>
          <w:marBottom w:val="0"/>
          <w:divBdr>
            <w:top w:val="none" w:sz="0" w:space="0" w:color="auto"/>
            <w:left w:val="none" w:sz="0" w:space="0" w:color="auto"/>
            <w:bottom w:val="none" w:sz="0" w:space="0" w:color="auto"/>
            <w:right w:val="none" w:sz="0" w:space="0" w:color="auto"/>
          </w:divBdr>
        </w:div>
        <w:div w:id="579828098">
          <w:marLeft w:val="0"/>
          <w:marRight w:val="0"/>
          <w:marTop w:val="0"/>
          <w:marBottom w:val="0"/>
          <w:divBdr>
            <w:top w:val="none" w:sz="0" w:space="0" w:color="auto"/>
            <w:left w:val="none" w:sz="0" w:space="0" w:color="auto"/>
            <w:bottom w:val="none" w:sz="0" w:space="0" w:color="auto"/>
            <w:right w:val="none" w:sz="0" w:space="0" w:color="auto"/>
          </w:divBdr>
        </w:div>
        <w:div w:id="582841961">
          <w:marLeft w:val="0"/>
          <w:marRight w:val="0"/>
          <w:marTop w:val="0"/>
          <w:marBottom w:val="0"/>
          <w:divBdr>
            <w:top w:val="none" w:sz="0" w:space="0" w:color="auto"/>
            <w:left w:val="none" w:sz="0" w:space="0" w:color="auto"/>
            <w:bottom w:val="none" w:sz="0" w:space="0" w:color="auto"/>
            <w:right w:val="none" w:sz="0" w:space="0" w:color="auto"/>
          </w:divBdr>
        </w:div>
        <w:div w:id="592512630">
          <w:marLeft w:val="0"/>
          <w:marRight w:val="0"/>
          <w:marTop w:val="0"/>
          <w:marBottom w:val="0"/>
          <w:divBdr>
            <w:top w:val="none" w:sz="0" w:space="0" w:color="auto"/>
            <w:left w:val="none" w:sz="0" w:space="0" w:color="auto"/>
            <w:bottom w:val="none" w:sz="0" w:space="0" w:color="auto"/>
            <w:right w:val="none" w:sz="0" w:space="0" w:color="auto"/>
          </w:divBdr>
        </w:div>
        <w:div w:id="594443289">
          <w:marLeft w:val="0"/>
          <w:marRight w:val="0"/>
          <w:marTop w:val="0"/>
          <w:marBottom w:val="0"/>
          <w:divBdr>
            <w:top w:val="none" w:sz="0" w:space="0" w:color="auto"/>
            <w:left w:val="none" w:sz="0" w:space="0" w:color="auto"/>
            <w:bottom w:val="none" w:sz="0" w:space="0" w:color="auto"/>
            <w:right w:val="none" w:sz="0" w:space="0" w:color="auto"/>
          </w:divBdr>
        </w:div>
        <w:div w:id="605115987">
          <w:marLeft w:val="0"/>
          <w:marRight w:val="0"/>
          <w:marTop w:val="0"/>
          <w:marBottom w:val="0"/>
          <w:divBdr>
            <w:top w:val="none" w:sz="0" w:space="0" w:color="auto"/>
            <w:left w:val="none" w:sz="0" w:space="0" w:color="auto"/>
            <w:bottom w:val="none" w:sz="0" w:space="0" w:color="auto"/>
            <w:right w:val="none" w:sz="0" w:space="0" w:color="auto"/>
          </w:divBdr>
        </w:div>
        <w:div w:id="606352331">
          <w:marLeft w:val="0"/>
          <w:marRight w:val="0"/>
          <w:marTop w:val="0"/>
          <w:marBottom w:val="0"/>
          <w:divBdr>
            <w:top w:val="none" w:sz="0" w:space="0" w:color="auto"/>
            <w:left w:val="none" w:sz="0" w:space="0" w:color="auto"/>
            <w:bottom w:val="none" w:sz="0" w:space="0" w:color="auto"/>
            <w:right w:val="none" w:sz="0" w:space="0" w:color="auto"/>
          </w:divBdr>
        </w:div>
        <w:div w:id="609359578">
          <w:marLeft w:val="0"/>
          <w:marRight w:val="0"/>
          <w:marTop w:val="0"/>
          <w:marBottom w:val="0"/>
          <w:divBdr>
            <w:top w:val="none" w:sz="0" w:space="0" w:color="auto"/>
            <w:left w:val="none" w:sz="0" w:space="0" w:color="auto"/>
            <w:bottom w:val="none" w:sz="0" w:space="0" w:color="auto"/>
            <w:right w:val="none" w:sz="0" w:space="0" w:color="auto"/>
          </w:divBdr>
        </w:div>
        <w:div w:id="615984704">
          <w:marLeft w:val="0"/>
          <w:marRight w:val="0"/>
          <w:marTop w:val="0"/>
          <w:marBottom w:val="0"/>
          <w:divBdr>
            <w:top w:val="none" w:sz="0" w:space="0" w:color="auto"/>
            <w:left w:val="none" w:sz="0" w:space="0" w:color="auto"/>
            <w:bottom w:val="none" w:sz="0" w:space="0" w:color="auto"/>
            <w:right w:val="none" w:sz="0" w:space="0" w:color="auto"/>
          </w:divBdr>
        </w:div>
        <w:div w:id="621886664">
          <w:marLeft w:val="0"/>
          <w:marRight w:val="0"/>
          <w:marTop w:val="0"/>
          <w:marBottom w:val="0"/>
          <w:divBdr>
            <w:top w:val="none" w:sz="0" w:space="0" w:color="auto"/>
            <w:left w:val="none" w:sz="0" w:space="0" w:color="auto"/>
            <w:bottom w:val="none" w:sz="0" w:space="0" w:color="auto"/>
            <w:right w:val="none" w:sz="0" w:space="0" w:color="auto"/>
          </w:divBdr>
        </w:div>
        <w:div w:id="626201605">
          <w:marLeft w:val="0"/>
          <w:marRight w:val="0"/>
          <w:marTop w:val="0"/>
          <w:marBottom w:val="0"/>
          <w:divBdr>
            <w:top w:val="none" w:sz="0" w:space="0" w:color="auto"/>
            <w:left w:val="none" w:sz="0" w:space="0" w:color="auto"/>
            <w:bottom w:val="none" w:sz="0" w:space="0" w:color="auto"/>
            <w:right w:val="none" w:sz="0" w:space="0" w:color="auto"/>
          </w:divBdr>
        </w:div>
        <w:div w:id="626668464">
          <w:marLeft w:val="0"/>
          <w:marRight w:val="0"/>
          <w:marTop w:val="0"/>
          <w:marBottom w:val="0"/>
          <w:divBdr>
            <w:top w:val="none" w:sz="0" w:space="0" w:color="auto"/>
            <w:left w:val="none" w:sz="0" w:space="0" w:color="auto"/>
            <w:bottom w:val="none" w:sz="0" w:space="0" w:color="auto"/>
            <w:right w:val="none" w:sz="0" w:space="0" w:color="auto"/>
          </w:divBdr>
        </w:div>
        <w:div w:id="626930779">
          <w:marLeft w:val="0"/>
          <w:marRight w:val="0"/>
          <w:marTop w:val="0"/>
          <w:marBottom w:val="0"/>
          <w:divBdr>
            <w:top w:val="none" w:sz="0" w:space="0" w:color="auto"/>
            <w:left w:val="none" w:sz="0" w:space="0" w:color="auto"/>
            <w:bottom w:val="none" w:sz="0" w:space="0" w:color="auto"/>
            <w:right w:val="none" w:sz="0" w:space="0" w:color="auto"/>
          </w:divBdr>
        </w:div>
        <w:div w:id="627660719">
          <w:marLeft w:val="0"/>
          <w:marRight w:val="0"/>
          <w:marTop w:val="0"/>
          <w:marBottom w:val="0"/>
          <w:divBdr>
            <w:top w:val="none" w:sz="0" w:space="0" w:color="auto"/>
            <w:left w:val="none" w:sz="0" w:space="0" w:color="auto"/>
            <w:bottom w:val="none" w:sz="0" w:space="0" w:color="auto"/>
            <w:right w:val="none" w:sz="0" w:space="0" w:color="auto"/>
          </w:divBdr>
        </w:div>
        <w:div w:id="632174337">
          <w:marLeft w:val="0"/>
          <w:marRight w:val="0"/>
          <w:marTop w:val="0"/>
          <w:marBottom w:val="0"/>
          <w:divBdr>
            <w:top w:val="none" w:sz="0" w:space="0" w:color="auto"/>
            <w:left w:val="none" w:sz="0" w:space="0" w:color="auto"/>
            <w:bottom w:val="none" w:sz="0" w:space="0" w:color="auto"/>
            <w:right w:val="none" w:sz="0" w:space="0" w:color="auto"/>
          </w:divBdr>
        </w:div>
        <w:div w:id="637879380">
          <w:marLeft w:val="0"/>
          <w:marRight w:val="0"/>
          <w:marTop w:val="0"/>
          <w:marBottom w:val="0"/>
          <w:divBdr>
            <w:top w:val="none" w:sz="0" w:space="0" w:color="auto"/>
            <w:left w:val="none" w:sz="0" w:space="0" w:color="auto"/>
            <w:bottom w:val="none" w:sz="0" w:space="0" w:color="auto"/>
            <w:right w:val="none" w:sz="0" w:space="0" w:color="auto"/>
          </w:divBdr>
        </w:div>
        <w:div w:id="639648275">
          <w:marLeft w:val="0"/>
          <w:marRight w:val="0"/>
          <w:marTop w:val="0"/>
          <w:marBottom w:val="0"/>
          <w:divBdr>
            <w:top w:val="none" w:sz="0" w:space="0" w:color="auto"/>
            <w:left w:val="none" w:sz="0" w:space="0" w:color="auto"/>
            <w:bottom w:val="none" w:sz="0" w:space="0" w:color="auto"/>
            <w:right w:val="none" w:sz="0" w:space="0" w:color="auto"/>
          </w:divBdr>
        </w:div>
        <w:div w:id="641037968">
          <w:marLeft w:val="0"/>
          <w:marRight w:val="0"/>
          <w:marTop w:val="0"/>
          <w:marBottom w:val="0"/>
          <w:divBdr>
            <w:top w:val="none" w:sz="0" w:space="0" w:color="auto"/>
            <w:left w:val="none" w:sz="0" w:space="0" w:color="auto"/>
            <w:bottom w:val="none" w:sz="0" w:space="0" w:color="auto"/>
            <w:right w:val="none" w:sz="0" w:space="0" w:color="auto"/>
          </w:divBdr>
        </w:div>
        <w:div w:id="643004351">
          <w:marLeft w:val="0"/>
          <w:marRight w:val="0"/>
          <w:marTop w:val="0"/>
          <w:marBottom w:val="0"/>
          <w:divBdr>
            <w:top w:val="none" w:sz="0" w:space="0" w:color="auto"/>
            <w:left w:val="none" w:sz="0" w:space="0" w:color="auto"/>
            <w:bottom w:val="none" w:sz="0" w:space="0" w:color="auto"/>
            <w:right w:val="none" w:sz="0" w:space="0" w:color="auto"/>
          </w:divBdr>
        </w:div>
        <w:div w:id="643436639">
          <w:marLeft w:val="0"/>
          <w:marRight w:val="0"/>
          <w:marTop w:val="0"/>
          <w:marBottom w:val="0"/>
          <w:divBdr>
            <w:top w:val="none" w:sz="0" w:space="0" w:color="auto"/>
            <w:left w:val="none" w:sz="0" w:space="0" w:color="auto"/>
            <w:bottom w:val="none" w:sz="0" w:space="0" w:color="auto"/>
            <w:right w:val="none" w:sz="0" w:space="0" w:color="auto"/>
          </w:divBdr>
        </w:div>
        <w:div w:id="643512051">
          <w:marLeft w:val="0"/>
          <w:marRight w:val="0"/>
          <w:marTop w:val="0"/>
          <w:marBottom w:val="0"/>
          <w:divBdr>
            <w:top w:val="none" w:sz="0" w:space="0" w:color="auto"/>
            <w:left w:val="none" w:sz="0" w:space="0" w:color="auto"/>
            <w:bottom w:val="none" w:sz="0" w:space="0" w:color="auto"/>
            <w:right w:val="none" w:sz="0" w:space="0" w:color="auto"/>
          </w:divBdr>
        </w:div>
        <w:div w:id="646203954">
          <w:marLeft w:val="0"/>
          <w:marRight w:val="0"/>
          <w:marTop w:val="0"/>
          <w:marBottom w:val="0"/>
          <w:divBdr>
            <w:top w:val="none" w:sz="0" w:space="0" w:color="auto"/>
            <w:left w:val="none" w:sz="0" w:space="0" w:color="auto"/>
            <w:bottom w:val="none" w:sz="0" w:space="0" w:color="auto"/>
            <w:right w:val="none" w:sz="0" w:space="0" w:color="auto"/>
          </w:divBdr>
        </w:div>
        <w:div w:id="646209344">
          <w:marLeft w:val="0"/>
          <w:marRight w:val="0"/>
          <w:marTop w:val="0"/>
          <w:marBottom w:val="0"/>
          <w:divBdr>
            <w:top w:val="none" w:sz="0" w:space="0" w:color="auto"/>
            <w:left w:val="none" w:sz="0" w:space="0" w:color="auto"/>
            <w:bottom w:val="none" w:sz="0" w:space="0" w:color="auto"/>
            <w:right w:val="none" w:sz="0" w:space="0" w:color="auto"/>
          </w:divBdr>
        </w:div>
        <w:div w:id="646738872">
          <w:marLeft w:val="0"/>
          <w:marRight w:val="0"/>
          <w:marTop w:val="0"/>
          <w:marBottom w:val="0"/>
          <w:divBdr>
            <w:top w:val="none" w:sz="0" w:space="0" w:color="auto"/>
            <w:left w:val="none" w:sz="0" w:space="0" w:color="auto"/>
            <w:bottom w:val="none" w:sz="0" w:space="0" w:color="auto"/>
            <w:right w:val="none" w:sz="0" w:space="0" w:color="auto"/>
          </w:divBdr>
        </w:div>
        <w:div w:id="649484062">
          <w:marLeft w:val="0"/>
          <w:marRight w:val="0"/>
          <w:marTop w:val="0"/>
          <w:marBottom w:val="0"/>
          <w:divBdr>
            <w:top w:val="none" w:sz="0" w:space="0" w:color="auto"/>
            <w:left w:val="none" w:sz="0" w:space="0" w:color="auto"/>
            <w:bottom w:val="none" w:sz="0" w:space="0" w:color="auto"/>
            <w:right w:val="none" w:sz="0" w:space="0" w:color="auto"/>
          </w:divBdr>
        </w:div>
        <w:div w:id="649596724">
          <w:marLeft w:val="0"/>
          <w:marRight w:val="0"/>
          <w:marTop w:val="0"/>
          <w:marBottom w:val="0"/>
          <w:divBdr>
            <w:top w:val="none" w:sz="0" w:space="0" w:color="auto"/>
            <w:left w:val="none" w:sz="0" w:space="0" w:color="auto"/>
            <w:bottom w:val="none" w:sz="0" w:space="0" w:color="auto"/>
            <w:right w:val="none" w:sz="0" w:space="0" w:color="auto"/>
          </w:divBdr>
        </w:div>
        <w:div w:id="650521752">
          <w:marLeft w:val="0"/>
          <w:marRight w:val="0"/>
          <w:marTop w:val="0"/>
          <w:marBottom w:val="0"/>
          <w:divBdr>
            <w:top w:val="none" w:sz="0" w:space="0" w:color="auto"/>
            <w:left w:val="none" w:sz="0" w:space="0" w:color="auto"/>
            <w:bottom w:val="none" w:sz="0" w:space="0" w:color="auto"/>
            <w:right w:val="none" w:sz="0" w:space="0" w:color="auto"/>
          </w:divBdr>
        </w:div>
        <w:div w:id="653724499">
          <w:marLeft w:val="0"/>
          <w:marRight w:val="0"/>
          <w:marTop w:val="0"/>
          <w:marBottom w:val="0"/>
          <w:divBdr>
            <w:top w:val="none" w:sz="0" w:space="0" w:color="auto"/>
            <w:left w:val="none" w:sz="0" w:space="0" w:color="auto"/>
            <w:bottom w:val="none" w:sz="0" w:space="0" w:color="auto"/>
            <w:right w:val="none" w:sz="0" w:space="0" w:color="auto"/>
          </w:divBdr>
        </w:div>
        <w:div w:id="654653179">
          <w:marLeft w:val="0"/>
          <w:marRight w:val="0"/>
          <w:marTop w:val="0"/>
          <w:marBottom w:val="0"/>
          <w:divBdr>
            <w:top w:val="none" w:sz="0" w:space="0" w:color="auto"/>
            <w:left w:val="none" w:sz="0" w:space="0" w:color="auto"/>
            <w:bottom w:val="none" w:sz="0" w:space="0" w:color="auto"/>
            <w:right w:val="none" w:sz="0" w:space="0" w:color="auto"/>
          </w:divBdr>
        </w:div>
        <w:div w:id="654841723">
          <w:marLeft w:val="0"/>
          <w:marRight w:val="0"/>
          <w:marTop w:val="0"/>
          <w:marBottom w:val="0"/>
          <w:divBdr>
            <w:top w:val="none" w:sz="0" w:space="0" w:color="auto"/>
            <w:left w:val="none" w:sz="0" w:space="0" w:color="auto"/>
            <w:bottom w:val="none" w:sz="0" w:space="0" w:color="auto"/>
            <w:right w:val="none" w:sz="0" w:space="0" w:color="auto"/>
          </w:divBdr>
        </w:div>
        <w:div w:id="663630465">
          <w:marLeft w:val="0"/>
          <w:marRight w:val="0"/>
          <w:marTop w:val="0"/>
          <w:marBottom w:val="0"/>
          <w:divBdr>
            <w:top w:val="none" w:sz="0" w:space="0" w:color="auto"/>
            <w:left w:val="none" w:sz="0" w:space="0" w:color="auto"/>
            <w:bottom w:val="none" w:sz="0" w:space="0" w:color="auto"/>
            <w:right w:val="none" w:sz="0" w:space="0" w:color="auto"/>
          </w:divBdr>
        </w:div>
        <w:div w:id="669064640">
          <w:marLeft w:val="0"/>
          <w:marRight w:val="0"/>
          <w:marTop w:val="0"/>
          <w:marBottom w:val="0"/>
          <w:divBdr>
            <w:top w:val="none" w:sz="0" w:space="0" w:color="auto"/>
            <w:left w:val="none" w:sz="0" w:space="0" w:color="auto"/>
            <w:bottom w:val="none" w:sz="0" w:space="0" w:color="auto"/>
            <w:right w:val="none" w:sz="0" w:space="0" w:color="auto"/>
          </w:divBdr>
        </w:div>
        <w:div w:id="671494479">
          <w:marLeft w:val="0"/>
          <w:marRight w:val="0"/>
          <w:marTop w:val="0"/>
          <w:marBottom w:val="0"/>
          <w:divBdr>
            <w:top w:val="none" w:sz="0" w:space="0" w:color="auto"/>
            <w:left w:val="none" w:sz="0" w:space="0" w:color="auto"/>
            <w:bottom w:val="none" w:sz="0" w:space="0" w:color="auto"/>
            <w:right w:val="none" w:sz="0" w:space="0" w:color="auto"/>
          </w:divBdr>
        </w:div>
        <w:div w:id="672223647">
          <w:marLeft w:val="0"/>
          <w:marRight w:val="0"/>
          <w:marTop w:val="0"/>
          <w:marBottom w:val="0"/>
          <w:divBdr>
            <w:top w:val="none" w:sz="0" w:space="0" w:color="auto"/>
            <w:left w:val="none" w:sz="0" w:space="0" w:color="auto"/>
            <w:bottom w:val="none" w:sz="0" w:space="0" w:color="auto"/>
            <w:right w:val="none" w:sz="0" w:space="0" w:color="auto"/>
          </w:divBdr>
        </w:div>
        <w:div w:id="672489880">
          <w:marLeft w:val="0"/>
          <w:marRight w:val="0"/>
          <w:marTop w:val="0"/>
          <w:marBottom w:val="0"/>
          <w:divBdr>
            <w:top w:val="none" w:sz="0" w:space="0" w:color="auto"/>
            <w:left w:val="none" w:sz="0" w:space="0" w:color="auto"/>
            <w:bottom w:val="none" w:sz="0" w:space="0" w:color="auto"/>
            <w:right w:val="none" w:sz="0" w:space="0" w:color="auto"/>
          </w:divBdr>
        </w:div>
        <w:div w:id="678193922">
          <w:marLeft w:val="0"/>
          <w:marRight w:val="0"/>
          <w:marTop w:val="0"/>
          <w:marBottom w:val="0"/>
          <w:divBdr>
            <w:top w:val="none" w:sz="0" w:space="0" w:color="auto"/>
            <w:left w:val="none" w:sz="0" w:space="0" w:color="auto"/>
            <w:bottom w:val="none" w:sz="0" w:space="0" w:color="auto"/>
            <w:right w:val="none" w:sz="0" w:space="0" w:color="auto"/>
          </w:divBdr>
        </w:div>
        <w:div w:id="691029819">
          <w:marLeft w:val="0"/>
          <w:marRight w:val="0"/>
          <w:marTop w:val="0"/>
          <w:marBottom w:val="0"/>
          <w:divBdr>
            <w:top w:val="none" w:sz="0" w:space="0" w:color="auto"/>
            <w:left w:val="none" w:sz="0" w:space="0" w:color="auto"/>
            <w:bottom w:val="none" w:sz="0" w:space="0" w:color="auto"/>
            <w:right w:val="none" w:sz="0" w:space="0" w:color="auto"/>
          </w:divBdr>
        </w:div>
        <w:div w:id="691688499">
          <w:marLeft w:val="0"/>
          <w:marRight w:val="0"/>
          <w:marTop w:val="0"/>
          <w:marBottom w:val="0"/>
          <w:divBdr>
            <w:top w:val="none" w:sz="0" w:space="0" w:color="auto"/>
            <w:left w:val="none" w:sz="0" w:space="0" w:color="auto"/>
            <w:bottom w:val="none" w:sz="0" w:space="0" w:color="auto"/>
            <w:right w:val="none" w:sz="0" w:space="0" w:color="auto"/>
          </w:divBdr>
        </w:div>
        <w:div w:id="692388246">
          <w:marLeft w:val="0"/>
          <w:marRight w:val="0"/>
          <w:marTop w:val="0"/>
          <w:marBottom w:val="0"/>
          <w:divBdr>
            <w:top w:val="none" w:sz="0" w:space="0" w:color="auto"/>
            <w:left w:val="none" w:sz="0" w:space="0" w:color="auto"/>
            <w:bottom w:val="none" w:sz="0" w:space="0" w:color="auto"/>
            <w:right w:val="none" w:sz="0" w:space="0" w:color="auto"/>
          </w:divBdr>
        </w:div>
        <w:div w:id="692462594">
          <w:marLeft w:val="0"/>
          <w:marRight w:val="0"/>
          <w:marTop w:val="0"/>
          <w:marBottom w:val="0"/>
          <w:divBdr>
            <w:top w:val="none" w:sz="0" w:space="0" w:color="auto"/>
            <w:left w:val="none" w:sz="0" w:space="0" w:color="auto"/>
            <w:bottom w:val="none" w:sz="0" w:space="0" w:color="auto"/>
            <w:right w:val="none" w:sz="0" w:space="0" w:color="auto"/>
          </w:divBdr>
        </w:div>
        <w:div w:id="692847791">
          <w:marLeft w:val="0"/>
          <w:marRight w:val="0"/>
          <w:marTop w:val="0"/>
          <w:marBottom w:val="0"/>
          <w:divBdr>
            <w:top w:val="none" w:sz="0" w:space="0" w:color="auto"/>
            <w:left w:val="none" w:sz="0" w:space="0" w:color="auto"/>
            <w:bottom w:val="none" w:sz="0" w:space="0" w:color="auto"/>
            <w:right w:val="none" w:sz="0" w:space="0" w:color="auto"/>
          </w:divBdr>
        </w:div>
        <w:div w:id="697511691">
          <w:marLeft w:val="0"/>
          <w:marRight w:val="0"/>
          <w:marTop w:val="0"/>
          <w:marBottom w:val="0"/>
          <w:divBdr>
            <w:top w:val="none" w:sz="0" w:space="0" w:color="auto"/>
            <w:left w:val="none" w:sz="0" w:space="0" w:color="auto"/>
            <w:bottom w:val="none" w:sz="0" w:space="0" w:color="auto"/>
            <w:right w:val="none" w:sz="0" w:space="0" w:color="auto"/>
          </w:divBdr>
        </w:div>
        <w:div w:id="703094819">
          <w:marLeft w:val="0"/>
          <w:marRight w:val="0"/>
          <w:marTop w:val="0"/>
          <w:marBottom w:val="0"/>
          <w:divBdr>
            <w:top w:val="none" w:sz="0" w:space="0" w:color="auto"/>
            <w:left w:val="none" w:sz="0" w:space="0" w:color="auto"/>
            <w:bottom w:val="none" w:sz="0" w:space="0" w:color="auto"/>
            <w:right w:val="none" w:sz="0" w:space="0" w:color="auto"/>
          </w:divBdr>
        </w:div>
        <w:div w:id="705566455">
          <w:marLeft w:val="0"/>
          <w:marRight w:val="0"/>
          <w:marTop w:val="0"/>
          <w:marBottom w:val="0"/>
          <w:divBdr>
            <w:top w:val="none" w:sz="0" w:space="0" w:color="auto"/>
            <w:left w:val="none" w:sz="0" w:space="0" w:color="auto"/>
            <w:bottom w:val="none" w:sz="0" w:space="0" w:color="auto"/>
            <w:right w:val="none" w:sz="0" w:space="0" w:color="auto"/>
          </w:divBdr>
        </w:div>
        <w:div w:id="714550940">
          <w:marLeft w:val="0"/>
          <w:marRight w:val="0"/>
          <w:marTop w:val="0"/>
          <w:marBottom w:val="0"/>
          <w:divBdr>
            <w:top w:val="none" w:sz="0" w:space="0" w:color="auto"/>
            <w:left w:val="none" w:sz="0" w:space="0" w:color="auto"/>
            <w:bottom w:val="none" w:sz="0" w:space="0" w:color="auto"/>
            <w:right w:val="none" w:sz="0" w:space="0" w:color="auto"/>
          </w:divBdr>
        </w:div>
        <w:div w:id="718482554">
          <w:marLeft w:val="0"/>
          <w:marRight w:val="0"/>
          <w:marTop w:val="0"/>
          <w:marBottom w:val="0"/>
          <w:divBdr>
            <w:top w:val="none" w:sz="0" w:space="0" w:color="auto"/>
            <w:left w:val="none" w:sz="0" w:space="0" w:color="auto"/>
            <w:bottom w:val="none" w:sz="0" w:space="0" w:color="auto"/>
            <w:right w:val="none" w:sz="0" w:space="0" w:color="auto"/>
          </w:divBdr>
        </w:div>
        <w:div w:id="719745860">
          <w:marLeft w:val="0"/>
          <w:marRight w:val="0"/>
          <w:marTop w:val="0"/>
          <w:marBottom w:val="0"/>
          <w:divBdr>
            <w:top w:val="none" w:sz="0" w:space="0" w:color="auto"/>
            <w:left w:val="none" w:sz="0" w:space="0" w:color="auto"/>
            <w:bottom w:val="none" w:sz="0" w:space="0" w:color="auto"/>
            <w:right w:val="none" w:sz="0" w:space="0" w:color="auto"/>
          </w:divBdr>
        </w:div>
        <w:div w:id="721442520">
          <w:marLeft w:val="0"/>
          <w:marRight w:val="0"/>
          <w:marTop w:val="0"/>
          <w:marBottom w:val="0"/>
          <w:divBdr>
            <w:top w:val="none" w:sz="0" w:space="0" w:color="auto"/>
            <w:left w:val="none" w:sz="0" w:space="0" w:color="auto"/>
            <w:bottom w:val="none" w:sz="0" w:space="0" w:color="auto"/>
            <w:right w:val="none" w:sz="0" w:space="0" w:color="auto"/>
          </w:divBdr>
        </w:div>
        <w:div w:id="723989919">
          <w:marLeft w:val="0"/>
          <w:marRight w:val="0"/>
          <w:marTop w:val="0"/>
          <w:marBottom w:val="0"/>
          <w:divBdr>
            <w:top w:val="none" w:sz="0" w:space="0" w:color="auto"/>
            <w:left w:val="none" w:sz="0" w:space="0" w:color="auto"/>
            <w:bottom w:val="none" w:sz="0" w:space="0" w:color="auto"/>
            <w:right w:val="none" w:sz="0" w:space="0" w:color="auto"/>
          </w:divBdr>
        </w:div>
        <w:div w:id="724253645">
          <w:marLeft w:val="0"/>
          <w:marRight w:val="0"/>
          <w:marTop w:val="0"/>
          <w:marBottom w:val="0"/>
          <w:divBdr>
            <w:top w:val="none" w:sz="0" w:space="0" w:color="auto"/>
            <w:left w:val="none" w:sz="0" w:space="0" w:color="auto"/>
            <w:bottom w:val="none" w:sz="0" w:space="0" w:color="auto"/>
            <w:right w:val="none" w:sz="0" w:space="0" w:color="auto"/>
          </w:divBdr>
        </w:div>
        <w:div w:id="726104117">
          <w:marLeft w:val="0"/>
          <w:marRight w:val="0"/>
          <w:marTop w:val="0"/>
          <w:marBottom w:val="0"/>
          <w:divBdr>
            <w:top w:val="none" w:sz="0" w:space="0" w:color="auto"/>
            <w:left w:val="none" w:sz="0" w:space="0" w:color="auto"/>
            <w:bottom w:val="none" w:sz="0" w:space="0" w:color="auto"/>
            <w:right w:val="none" w:sz="0" w:space="0" w:color="auto"/>
          </w:divBdr>
        </w:div>
        <w:div w:id="728267889">
          <w:marLeft w:val="0"/>
          <w:marRight w:val="0"/>
          <w:marTop w:val="0"/>
          <w:marBottom w:val="0"/>
          <w:divBdr>
            <w:top w:val="none" w:sz="0" w:space="0" w:color="auto"/>
            <w:left w:val="none" w:sz="0" w:space="0" w:color="auto"/>
            <w:bottom w:val="none" w:sz="0" w:space="0" w:color="auto"/>
            <w:right w:val="none" w:sz="0" w:space="0" w:color="auto"/>
          </w:divBdr>
        </w:div>
        <w:div w:id="730932682">
          <w:marLeft w:val="0"/>
          <w:marRight w:val="0"/>
          <w:marTop w:val="0"/>
          <w:marBottom w:val="0"/>
          <w:divBdr>
            <w:top w:val="none" w:sz="0" w:space="0" w:color="auto"/>
            <w:left w:val="none" w:sz="0" w:space="0" w:color="auto"/>
            <w:bottom w:val="none" w:sz="0" w:space="0" w:color="auto"/>
            <w:right w:val="none" w:sz="0" w:space="0" w:color="auto"/>
          </w:divBdr>
        </w:div>
        <w:div w:id="733896574">
          <w:marLeft w:val="0"/>
          <w:marRight w:val="0"/>
          <w:marTop w:val="0"/>
          <w:marBottom w:val="0"/>
          <w:divBdr>
            <w:top w:val="none" w:sz="0" w:space="0" w:color="auto"/>
            <w:left w:val="none" w:sz="0" w:space="0" w:color="auto"/>
            <w:bottom w:val="none" w:sz="0" w:space="0" w:color="auto"/>
            <w:right w:val="none" w:sz="0" w:space="0" w:color="auto"/>
          </w:divBdr>
        </w:div>
        <w:div w:id="741374125">
          <w:marLeft w:val="0"/>
          <w:marRight w:val="0"/>
          <w:marTop w:val="0"/>
          <w:marBottom w:val="0"/>
          <w:divBdr>
            <w:top w:val="none" w:sz="0" w:space="0" w:color="auto"/>
            <w:left w:val="none" w:sz="0" w:space="0" w:color="auto"/>
            <w:bottom w:val="none" w:sz="0" w:space="0" w:color="auto"/>
            <w:right w:val="none" w:sz="0" w:space="0" w:color="auto"/>
          </w:divBdr>
        </w:div>
        <w:div w:id="741485020">
          <w:marLeft w:val="0"/>
          <w:marRight w:val="0"/>
          <w:marTop w:val="0"/>
          <w:marBottom w:val="0"/>
          <w:divBdr>
            <w:top w:val="none" w:sz="0" w:space="0" w:color="auto"/>
            <w:left w:val="none" w:sz="0" w:space="0" w:color="auto"/>
            <w:bottom w:val="none" w:sz="0" w:space="0" w:color="auto"/>
            <w:right w:val="none" w:sz="0" w:space="0" w:color="auto"/>
          </w:divBdr>
        </w:div>
        <w:div w:id="752628810">
          <w:marLeft w:val="0"/>
          <w:marRight w:val="0"/>
          <w:marTop w:val="0"/>
          <w:marBottom w:val="0"/>
          <w:divBdr>
            <w:top w:val="none" w:sz="0" w:space="0" w:color="auto"/>
            <w:left w:val="none" w:sz="0" w:space="0" w:color="auto"/>
            <w:bottom w:val="none" w:sz="0" w:space="0" w:color="auto"/>
            <w:right w:val="none" w:sz="0" w:space="0" w:color="auto"/>
          </w:divBdr>
        </w:div>
        <w:div w:id="755899681">
          <w:marLeft w:val="0"/>
          <w:marRight w:val="0"/>
          <w:marTop w:val="0"/>
          <w:marBottom w:val="0"/>
          <w:divBdr>
            <w:top w:val="none" w:sz="0" w:space="0" w:color="auto"/>
            <w:left w:val="none" w:sz="0" w:space="0" w:color="auto"/>
            <w:bottom w:val="none" w:sz="0" w:space="0" w:color="auto"/>
            <w:right w:val="none" w:sz="0" w:space="0" w:color="auto"/>
          </w:divBdr>
        </w:div>
        <w:div w:id="756708681">
          <w:marLeft w:val="0"/>
          <w:marRight w:val="0"/>
          <w:marTop w:val="0"/>
          <w:marBottom w:val="0"/>
          <w:divBdr>
            <w:top w:val="none" w:sz="0" w:space="0" w:color="auto"/>
            <w:left w:val="none" w:sz="0" w:space="0" w:color="auto"/>
            <w:bottom w:val="none" w:sz="0" w:space="0" w:color="auto"/>
            <w:right w:val="none" w:sz="0" w:space="0" w:color="auto"/>
          </w:divBdr>
        </w:div>
        <w:div w:id="757024687">
          <w:marLeft w:val="0"/>
          <w:marRight w:val="0"/>
          <w:marTop w:val="0"/>
          <w:marBottom w:val="0"/>
          <w:divBdr>
            <w:top w:val="none" w:sz="0" w:space="0" w:color="auto"/>
            <w:left w:val="none" w:sz="0" w:space="0" w:color="auto"/>
            <w:bottom w:val="none" w:sz="0" w:space="0" w:color="auto"/>
            <w:right w:val="none" w:sz="0" w:space="0" w:color="auto"/>
          </w:divBdr>
        </w:div>
        <w:div w:id="758715834">
          <w:marLeft w:val="0"/>
          <w:marRight w:val="0"/>
          <w:marTop w:val="0"/>
          <w:marBottom w:val="0"/>
          <w:divBdr>
            <w:top w:val="none" w:sz="0" w:space="0" w:color="auto"/>
            <w:left w:val="none" w:sz="0" w:space="0" w:color="auto"/>
            <w:bottom w:val="none" w:sz="0" w:space="0" w:color="auto"/>
            <w:right w:val="none" w:sz="0" w:space="0" w:color="auto"/>
          </w:divBdr>
        </w:div>
        <w:div w:id="769087745">
          <w:marLeft w:val="0"/>
          <w:marRight w:val="0"/>
          <w:marTop w:val="0"/>
          <w:marBottom w:val="0"/>
          <w:divBdr>
            <w:top w:val="none" w:sz="0" w:space="0" w:color="auto"/>
            <w:left w:val="none" w:sz="0" w:space="0" w:color="auto"/>
            <w:bottom w:val="none" w:sz="0" w:space="0" w:color="auto"/>
            <w:right w:val="none" w:sz="0" w:space="0" w:color="auto"/>
          </w:divBdr>
        </w:div>
        <w:div w:id="771359448">
          <w:marLeft w:val="0"/>
          <w:marRight w:val="0"/>
          <w:marTop w:val="0"/>
          <w:marBottom w:val="0"/>
          <w:divBdr>
            <w:top w:val="none" w:sz="0" w:space="0" w:color="auto"/>
            <w:left w:val="none" w:sz="0" w:space="0" w:color="auto"/>
            <w:bottom w:val="none" w:sz="0" w:space="0" w:color="auto"/>
            <w:right w:val="none" w:sz="0" w:space="0" w:color="auto"/>
          </w:divBdr>
        </w:div>
        <w:div w:id="771633088">
          <w:marLeft w:val="0"/>
          <w:marRight w:val="0"/>
          <w:marTop w:val="0"/>
          <w:marBottom w:val="0"/>
          <w:divBdr>
            <w:top w:val="none" w:sz="0" w:space="0" w:color="auto"/>
            <w:left w:val="none" w:sz="0" w:space="0" w:color="auto"/>
            <w:bottom w:val="none" w:sz="0" w:space="0" w:color="auto"/>
            <w:right w:val="none" w:sz="0" w:space="0" w:color="auto"/>
          </w:divBdr>
        </w:div>
        <w:div w:id="772088923">
          <w:marLeft w:val="0"/>
          <w:marRight w:val="0"/>
          <w:marTop w:val="0"/>
          <w:marBottom w:val="0"/>
          <w:divBdr>
            <w:top w:val="none" w:sz="0" w:space="0" w:color="auto"/>
            <w:left w:val="none" w:sz="0" w:space="0" w:color="auto"/>
            <w:bottom w:val="none" w:sz="0" w:space="0" w:color="auto"/>
            <w:right w:val="none" w:sz="0" w:space="0" w:color="auto"/>
          </w:divBdr>
        </w:div>
        <w:div w:id="773135621">
          <w:marLeft w:val="0"/>
          <w:marRight w:val="0"/>
          <w:marTop w:val="0"/>
          <w:marBottom w:val="0"/>
          <w:divBdr>
            <w:top w:val="none" w:sz="0" w:space="0" w:color="auto"/>
            <w:left w:val="none" w:sz="0" w:space="0" w:color="auto"/>
            <w:bottom w:val="none" w:sz="0" w:space="0" w:color="auto"/>
            <w:right w:val="none" w:sz="0" w:space="0" w:color="auto"/>
          </w:divBdr>
        </w:div>
        <w:div w:id="775518268">
          <w:marLeft w:val="0"/>
          <w:marRight w:val="0"/>
          <w:marTop w:val="0"/>
          <w:marBottom w:val="0"/>
          <w:divBdr>
            <w:top w:val="none" w:sz="0" w:space="0" w:color="auto"/>
            <w:left w:val="none" w:sz="0" w:space="0" w:color="auto"/>
            <w:bottom w:val="none" w:sz="0" w:space="0" w:color="auto"/>
            <w:right w:val="none" w:sz="0" w:space="0" w:color="auto"/>
          </w:divBdr>
        </w:div>
        <w:div w:id="777140879">
          <w:marLeft w:val="0"/>
          <w:marRight w:val="0"/>
          <w:marTop w:val="0"/>
          <w:marBottom w:val="0"/>
          <w:divBdr>
            <w:top w:val="none" w:sz="0" w:space="0" w:color="auto"/>
            <w:left w:val="none" w:sz="0" w:space="0" w:color="auto"/>
            <w:bottom w:val="none" w:sz="0" w:space="0" w:color="auto"/>
            <w:right w:val="none" w:sz="0" w:space="0" w:color="auto"/>
          </w:divBdr>
        </w:div>
        <w:div w:id="777987797">
          <w:marLeft w:val="0"/>
          <w:marRight w:val="0"/>
          <w:marTop w:val="0"/>
          <w:marBottom w:val="0"/>
          <w:divBdr>
            <w:top w:val="none" w:sz="0" w:space="0" w:color="auto"/>
            <w:left w:val="none" w:sz="0" w:space="0" w:color="auto"/>
            <w:bottom w:val="none" w:sz="0" w:space="0" w:color="auto"/>
            <w:right w:val="none" w:sz="0" w:space="0" w:color="auto"/>
          </w:divBdr>
        </w:div>
        <w:div w:id="782503914">
          <w:marLeft w:val="0"/>
          <w:marRight w:val="0"/>
          <w:marTop w:val="0"/>
          <w:marBottom w:val="0"/>
          <w:divBdr>
            <w:top w:val="none" w:sz="0" w:space="0" w:color="auto"/>
            <w:left w:val="none" w:sz="0" w:space="0" w:color="auto"/>
            <w:bottom w:val="none" w:sz="0" w:space="0" w:color="auto"/>
            <w:right w:val="none" w:sz="0" w:space="0" w:color="auto"/>
          </w:divBdr>
        </w:div>
        <w:div w:id="790592770">
          <w:marLeft w:val="0"/>
          <w:marRight w:val="0"/>
          <w:marTop w:val="0"/>
          <w:marBottom w:val="0"/>
          <w:divBdr>
            <w:top w:val="none" w:sz="0" w:space="0" w:color="auto"/>
            <w:left w:val="none" w:sz="0" w:space="0" w:color="auto"/>
            <w:bottom w:val="none" w:sz="0" w:space="0" w:color="auto"/>
            <w:right w:val="none" w:sz="0" w:space="0" w:color="auto"/>
          </w:divBdr>
        </w:div>
        <w:div w:id="791359115">
          <w:marLeft w:val="0"/>
          <w:marRight w:val="0"/>
          <w:marTop w:val="0"/>
          <w:marBottom w:val="0"/>
          <w:divBdr>
            <w:top w:val="none" w:sz="0" w:space="0" w:color="auto"/>
            <w:left w:val="none" w:sz="0" w:space="0" w:color="auto"/>
            <w:bottom w:val="none" w:sz="0" w:space="0" w:color="auto"/>
            <w:right w:val="none" w:sz="0" w:space="0" w:color="auto"/>
          </w:divBdr>
        </w:div>
        <w:div w:id="792291535">
          <w:marLeft w:val="0"/>
          <w:marRight w:val="0"/>
          <w:marTop w:val="0"/>
          <w:marBottom w:val="0"/>
          <w:divBdr>
            <w:top w:val="none" w:sz="0" w:space="0" w:color="auto"/>
            <w:left w:val="none" w:sz="0" w:space="0" w:color="auto"/>
            <w:bottom w:val="none" w:sz="0" w:space="0" w:color="auto"/>
            <w:right w:val="none" w:sz="0" w:space="0" w:color="auto"/>
          </w:divBdr>
        </w:div>
        <w:div w:id="799692667">
          <w:marLeft w:val="0"/>
          <w:marRight w:val="0"/>
          <w:marTop w:val="0"/>
          <w:marBottom w:val="0"/>
          <w:divBdr>
            <w:top w:val="none" w:sz="0" w:space="0" w:color="auto"/>
            <w:left w:val="none" w:sz="0" w:space="0" w:color="auto"/>
            <w:bottom w:val="none" w:sz="0" w:space="0" w:color="auto"/>
            <w:right w:val="none" w:sz="0" w:space="0" w:color="auto"/>
          </w:divBdr>
        </w:div>
        <w:div w:id="813260901">
          <w:marLeft w:val="0"/>
          <w:marRight w:val="0"/>
          <w:marTop w:val="0"/>
          <w:marBottom w:val="0"/>
          <w:divBdr>
            <w:top w:val="none" w:sz="0" w:space="0" w:color="auto"/>
            <w:left w:val="none" w:sz="0" w:space="0" w:color="auto"/>
            <w:bottom w:val="none" w:sz="0" w:space="0" w:color="auto"/>
            <w:right w:val="none" w:sz="0" w:space="0" w:color="auto"/>
          </w:divBdr>
        </w:div>
        <w:div w:id="813910321">
          <w:marLeft w:val="0"/>
          <w:marRight w:val="0"/>
          <w:marTop w:val="0"/>
          <w:marBottom w:val="0"/>
          <w:divBdr>
            <w:top w:val="none" w:sz="0" w:space="0" w:color="auto"/>
            <w:left w:val="none" w:sz="0" w:space="0" w:color="auto"/>
            <w:bottom w:val="none" w:sz="0" w:space="0" w:color="auto"/>
            <w:right w:val="none" w:sz="0" w:space="0" w:color="auto"/>
          </w:divBdr>
        </w:div>
        <w:div w:id="817378473">
          <w:marLeft w:val="0"/>
          <w:marRight w:val="0"/>
          <w:marTop w:val="0"/>
          <w:marBottom w:val="0"/>
          <w:divBdr>
            <w:top w:val="none" w:sz="0" w:space="0" w:color="auto"/>
            <w:left w:val="none" w:sz="0" w:space="0" w:color="auto"/>
            <w:bottom w:val="none" w:sz="0" w:space="0" w:color="auto"/>
            <w:right w:val="none" w:sz="0" w:space="0" w:color="auto"/>
          </w:divBdr>
        </w:div>
        <w:div w:id="832141361">
          <w:marLeft w:val="0"/>
          <w:marRight w:val="0"/>
          <w:marTop w:val="0"/>
          <w:marBottom w:val="0"/>
          <w:divBdr>
            <w:top w:val="none" w:sz="0" w:space="0" w:color="auto"/>
            <w:left w:val="none" w:sz="0" w:space="0" w:color="auto"/>
            <w:bottom w:val="none" w:sz="0" w:space="0" w:color="auto"/>
            <w:right w:val="none" w:sz="0" w:space="0" w:color="auto"/>
          </w:divBdr>
        </w:div>
        <w:div w:id="832834348">
          <w:marLeft w:val="0"/>
          <w:marRight w:val="0"/>
          <w:marTop w:val="0"/>
          <w:marBottom w:val="0"/>
          <w:divBdr>
            <w:top w:val="none" w:sz="0" w:space="0" w:color="auto"/>
            <w:left w:val="none" w:sz="0" w:space="0" w:color="auto"/>
            <w:bottom w:val="none" w:sz="0" w:space="0" w:color="auto"/>
            <w:right w:val="none" w:sz="0" w:space="0" w:color="auto"/>
          </w:divBdr>
        </w:div>
        <w:div w:id="836921979">
          <w:marLeft w:val="0"/>
          <w:marRight w:val="0"/>
          <w:marTop w:val="0"/>
          <w:marBottom w:val="0"/>
          <w:divBdr>
            <w:top w:val="none" w:sz="0" w:space="0" w:color="auto"/>
            <w:left w:val="none" w:sz="0" w:space="0" w:color="auto"/>
            <w:bottom w:val="none" w:sz="0" w:space="0" w:color="auto"/>
            <w:right w:val="none" w:sz="0" w:space="0" w:color="auto"/>
          </w:divBdr>
        </w:div>
        <w:div w:id="837573409">
          <w:marLeft w:val="0"/>
          <w:marRight w:val="0"/>
          <w:marTop w:val="0"/>
          <w:marBottom w:val="0"/>
          <w:divBdr>
            <w:top w:val="none" w:sz="0" w:space="0" w:color="auto"/>
            <w:left w:val="none" w:sz="0" w:space="0" w:color="auto"/>
            <w:bottom w:val="none" w:sz="0" w:space="0" w:color="auto"/>
            <w:right w:val="none" w:sz="0" w:space="0" w:color="auto"/>
          </w:divBdr>
        </w:div>
        <w:div w:id="843014276">
          <w:marLeft w:val="0"/>
          <w:marRight w:val="0"/>
          <w:marTop w:val="0"/>
          <w:marBottom w:val="0"/>
          <w:divBdr>
            <w:top w:val="none" w:sz="0" w:space="0" w:color="auto"/>
            <w:left w:val="none" w:sz="0" w:space="0" w:color="auto"/>
            <w:bottom w:val="none" w:sz="0" w:space="0" w:color="auto"/>
            <w:right w:val="none" w:sz="0" w:space="0" w:color="auto"/>
          </w:divBdr>
        </w:div>
        <w:div w:id="844785950">
          <w:marLeft w:val="0"/>
          <w:marRight w:val="0"/>
          <w:marTop w:val="0"/>
          <w:marBottom w:val="0"/>
          <w:divBdr>
            <w:top w:val="none" w:sz="0" w:space="0" w:color="auto"/>
            <w:left w:val="none" w:sz="0" w:space="0" w:color="auto"/>
            <w:bottom w:val="none" w:sz="0" w:space="0" w:color="auto"/>
            <w:right w:val="none" w:sz="0" w:space="0" w:color="auto"/>
          </w:divBdr>
        </w:div>
        <w:div w:id="849297594">
          <w:marLeft w:val="0"/>
          <w:marRight w:val="0"/>
          <w:marTop w:val="0"/>
          <w:marBottom w:val="0"/>
          <w:divBdr>
            <w:top w:val="none" w:sz="0" w:space="0" w:color="auto"/>
            <w:left w:val="none" w:sz="0" w:space="0" w:color="auto"/>
            <w:bottom w:val="none" w:sz="0" w:space="0" w:color="auto"/>
            <w:right w:val="none" w:sz="0" w:space="0" w:color="auto"/>
          </w:divBdr>
        </w:div>
        <w:div w:id="852837178">
          <w:marLeft w:val="0"/>
          <w:marRight w:val="0"/>
          <w:marTop w:val="0"/>
          <w:marBottom w:val="0"/>
          <w:divBdr>
            <w:top w:val="none" w:sz="0" w:space="0" w:color="auto"/>
            <w:left w:val="none" w:sz="0" w:space="0" w:color="auto"/>
            <w:bottom w:val="none" w:sz="0" w:space="0" w:color="auto"/>
            <w:right w:val="none" w:sz="0" w:space="0" w:color="auto"/>
          </w:divBdr>
        </w:div>
        <w:div w:id="857085039">
          <w:marLeft w:val="0"/>
          <w:marRight w:val="0"/>
          <w:marTop w:val="0"/>
          <w:marBottom w:val="0"/>
          <w:divBdr>
            <w:top w:val="none" w:sz="0" w:space="0" w:color="auto"/>
            <w:left w:val="none" w:sz="0" w:space="0" w:color="auto"/>
            <w:bottom w:val="none" w:sz="0" w:space="0" w:color="auto"/>
            <w:right w:val="none" w:sz="0" w:space="0" w:color="auto"/>
          </w:divBdr>
        </w:div>
        <w:div w:id="857963794">
          <w:marLeft w:val="0"/>
          <w:marRight w:val="0"/>
          <w:marTop w:val="0"/>
          <w:marBottom w:val="0"/>
          <w:divBdr>
            <w:top w:val="none" w:sz="0" w:space="0" w:color="auto"/>
            <w:left w:val="none" w:sz="0" w:space="0" w:color="auto"/>
            <w:bottom w:val="none" w:sz="0" w:space="0" w:color="auto"/>
            <w:right w:val="none" w:sz="0" w:space="0" w:color="auto"/>
          </w:divBdr>
        </w:div>
        <w:div w:id="859392231">
          <w:marLeft w:val="0"/>
          <w:marRight w:val="0"/>
          <w:marTop w:val="0"/>
          <w:marBottom w:val="0"/>
          <w:divBdr>
            <w:top w:val="none" w:sz="0" w:space="0" w:color="auto"/>
            <w:left w:val="none" w:sz="0" w:space="0" w:color="auto"/>
            <w:bottom w:val="none" w:sz="0" w:space="0" w:color="auto"/>
            <w:right w:val="none" w:sz="0" w:space="0" w:color="auto"/>
          </w:divBdr>
        </w:div>
        <w:div w:id="865212411">
          <w:marLeft w:val="0"/>
          <w:marRight w:val="0"/>
          <w:marTop w:val="0"/>
          <w:marBottom w:val="0"/>
          <w:divBdr>
            <w:top w:val="none" w:sz="0" w:space="0" w:color="auto"/>
            <w:left w:val="none" w:sz="0" w:space="0" w:color="auto"/>
            <w:bottom w:val="none" w:sz="0" w:space="0" w:color="auto"/>
            <w:right w:val="none" w:sz="0" w:space="0" w:color="auto"/>
          </w:divBdr>
        </w:div>
        <w:div w:id="876964500">
          <w:marLeft w:val="0"/>
          <w:marRight w:val="0"/>
          <w:marTop w:val="0"/>
          <w:marBottom w:val="0"/>
          <w:divBdr>
            <w:top w:val="none" w:sz="0" w:space="0" w:color="auto"/>
            <w:left w:val="none" w:sz="0" w:space="0" w:color="auto"/>
            <w:bottom w:val="none" w:sz="0" w:space="0" w:color="auto"/>
            <w:right w:val="none" w:sz="0" w:space="0" w:color="auto"/>
          </w:divBdr>
        </w:div>
        <w:div w:id="877352913">
          <w:marLeft w:val="0"/>
          <w:marRight w:val="0"/>
          <w:marTop w:val="0"/>
          <w:marBottom w:val="0"/>
          <w:divBdr>
            <w:top w:val="none" w:sz="0" w:space="0" w:color="auto"/>
            <w:left w:val="none" w:sz="0" w:space="0" w:color="auto"/>
            <w:bottom w:val="none" w:sz="0" w:space="0" w:color="auto"/>
            <w:right w:val="none" w:sz="0" w:space="0" w:color="auto"/>
          </w:divBdr>
        </w:div>
        <w:div w:id="881021078">
          <w:marLeft w:val="0"/>
          <w:marRight w:val="0"/>
          <w:marTop w:val="0"/>
          <w:marBottom w:val="0"/>
          <w:divBdr>
            <w:top w:val="none" w:sz="0" w:space="0" w:color="auto"/>
            <w:left w:val="none" w:sz="0" w:space="0" w:color="auto"/>
            <w:bottom w:val="none" w:sz="0" w:space="0" w:color="auto"/>
            <w:right w:val="none" w:sz="0" w:space="0" w:color="auto"/>
          </w:divBdr>
        </w:div>
        <w:div w:id="882713395">
          <w:marLeft w:val="0"/>
          <w:marRight w:val="0"/>
          <w:marTop w:val="0"/>
          <w:marBottom w:val="0"/>
          <w:divBdr>
            <w:top w:val="none" w:sz="0" w:space="0" w:color="auto"/>
            <w:left w:val="none" w:sz="0" w:space="0" w:color="auto"/>
            <w:bottom w:val="none" w:sz="0" w:space="0" w:color="auto"/>
            <w:right w:val="none" w:sz="0" w:space="0" w:color="auto"/>
          </w:divBdr>
        </w:div>
        <w:div w:id="888345089">
          <w:marLeft w:val="0"/>
          <w:marRight w:val="0"/>
          <w:marTop w:val="0"/>
          <w:marBottom w:val="0"/>
          <w:divBdr>
            <w:top w:val="none" w:sz="0" w:space="0" w:color="auto"/>
            <w:left w:val="none" w:sz="0" w:space="0" w:color="auto"/>
            <w:bottom w:val="none" w:sz="0" w:space="0" w:color="auto"/>
            <w:right w:val="none" w:sz="0" w:space="0" w:color="auto"/>
          </w:divBdr>
        </w:div>
        <w:div w:id="890851577">
          <w:marLeft w:val="0"/>
          <w:marRight w:val="0"/>
          <w:marTop w:val="0"/>
          <w:marBottom w:val="0"/>
          <w:divBdr>
            <w:top w:val="none" w:sz="0" w:space="0" w:color="auto"/>
            <w:left w:val="none" w:sz="0" w:space="0" w:color="auto"/>
            <w:bottom w:val="none" w:sz="0" w:space="0" w:color="auto"/>
            <w:right w:val="none" w:sz="0" w:space="0" w:color="auto"/>
          </w:divBdr>
        </w:div>
        <w:div w:id="900991145">
          <w:marLeft w:val="0"/>
          <w:marRight w:val="0"/>
          <w:marTop w:val="0"/>
          <w:marBottom w:val="0"/>
          <w:divBdr>
            <w:top w:val="none" w:sz="0" w:space="0" w:color="auto"/>
            <w:left w:val="none" w:sz="0" w:space="0" w:color="auto"/>
            <w:bottom w:val="none" w:sz="0" w:space="0" w:color="auto"/>
            <w:right w:val="none" w:sz="0" w:space="0" w:color="auto"/>
          </w:divBdr>
        </w:div>
        <w:div w:id="901141658">
          <w:marLeft w:val="0"/>
          <w:marRight w:val="0"/>
          <w:marTop w:val="0"/>
          <w:marBottom w:val="0"/>
          <w:divBdr>
            <w:top w:val="none" w:sz="0" w:space="0" w:color="auto"/>
            <w:left w:val="none" w:sz="0" w:space="0" w:color="auto"/>
            <w:bottom w:val="none" w:sz="0" w:space="0" w:color="auto"/>
            <w:right w:val="none" w:sz="0" w:space="0" w:color="auto"/>
          </w:divBdr>
        </w:div>
        <w:div w:id="908925419">
          <w:marLeft w:val="0"/>
          <w:marRight w:val="0"/>
          <w:marTop w:val="0"/>
          <w:marBottom w:val="0"/>
          <w:divBdr>
            <w:top w:val="none" w:sz="0" w:space="0" w:color="auto"/>
            <w:left w:val="none" w:sz="0" w:space="0" w:color="auto"/>
            <w:bottom w:val="none" w:sz="0" w:space="0" w:color="auto"/>
            <w:right w:val="none" w:sz="0" w:space="0" w:color="auto"/>
          </w:divBdr>
        </w:div>
        <w:div w:id="914314438">
          <w:marLeft w:val="0"/>
          <w:marRight w:val="0"/>
          <w:marTop w:val="0"/>
          <w:marBottom w:val="0"/>
          <w:divBdr>
            <w:top w:val="none" w:sz="0" w:space="0" w:color="auto"/>
            <w:left w:val="none" w:sz="0" w:space="0" w:color="auto"/>
            <w:bottom w:val="none" w:sz="0" w:space="0" w:color="auto"/>
            <w:right w:val="none" w:sz="0" w:space="0" w:color="auto"/>
          </w:divBdr>
        </w:div>
        <w:div w:id="919095982">
          <w:marLeft w:val="0"/>
          <w:marRight w:val="0"/>
          <w:marTop w:val="0"/>
          <w:marBottom w:val="0"/>
          <w:divBdr>
            <w:top w:val="none" w:sz="0" w:space="0" w:color="auto"/>
            <w:left w:val="none" w:sz="0" w:space="0" w:color="auto"/>
            <w:bottom w:val="none" w:sz="0" w:space="0" w:color="auto"/>
            <w:right w:val="none" w:sz="0" w:space="0" w:color="auto"/>
          </w:divBdr>
        </w:div>
        <w:div w:id="921379716">
          <w:marLeft w:val="0"/>
          <w:marRight w:val="0"/>
          <w:marTop w:val="0"/>
          <w:marBottom w:val="0"/>
          <w:divBdr>
            <w:top w:val="none" w:sz="0" w:space="0" w:color="auto"/>
            <w:left w:val="none" w:sz="0" w:space="0" w:color="auto"/>
            <w:bottom w:val="none" w:sz="0" w:space="0" w:color="auto"/>
            <w:right w:val="none" w:sz="0" w:space="0" w:color="auto"/>
          </w:divBdr>
        </w:div>
        <w:div w:id="921527082">
          <w:marLeft w:val="0"/>
          <w:marRight w:val="0"/>
          <w:marTop w:val="0"/>
          <w:marBottom w:val="0"/>
          <w:divBdr>
            <w:top w:val="none" w:sz="0" w:space="0" w:color="auto"/>
            <w:left w:val="none" w:sz="0" w:space="0" w:color="auto"/>
            <w:bottom w:val="none" w:sz="0" w:space="0" w:color="auto"/>
            <w:right w:val="none" w:sz="0" w:space="0" w:color="auto"/>
          </w:divBdr>
        </w:div>
        <w:div w:id="921835635">
          <w:marLeft w:val="0"/>
          <w:marRight w:val="0"/>
          <w:marTop w:val="0"/>
          <w:marBottom w:val="0"/>
          <w:divBdr>
            <w:top w:val="none" w:sz="0" w:space="0" w:color="auto"/>
            <w:left w:val="none" w:sz="0" w:space="0" w:color="auto"/>
            <w:bottom w:val="none" w:sz="0" w:space="0" w:color="auto"/>
            <w:right w:val="none" w:sz="0" w:space="0" w:color="auto"/>
          </w:divBdr>
        </w:div>
        <w:div w:id="931207622">
          <w:marLeft w:val="0"/>
          <w:marRight w:val="0"/>
          <w:marTop w:val="0"/>
          <w:marBottom w:val="0"/>
          <w:divBdr>
            <w:top w:val="none" w:sz="0" w:space="0" w:color="auto"/>
            <w:left w:val="none" w:sz="0" w:space="0" w:color="auto"/>
            <w:bottom w:val="none" w:sz="0" w:space="0" w:color="auto"/>
            <w:right w:val="none" w:sz="0" w:space="0" w:color="auto"/>
          </w:divBdr>
        </w:div>
        <w:div w:id="937636417">
          <w:marLeft w:val="0"/>
          <w:marRight w:val="0"/>
          <w:marTop w:val="0"/>
          <w:marBottom w:val="0"/>
          <w:divBdr>
            <w:top w:val="none" w:sz="0" w:space="0" w:color="auto"/>
            <w:left w:val="none" w:sz="0" w:space="0" w:color="auto"/>
            <w:bottom w:val="none" w:sz="0" w:space="0" w:color="auto"/>
            <w:right w:val="none" w:sz="0" w:space="0" w:color="auto"/>
          </w:divBdr>
        </w:div>
        <w:div w:id="938366515">
          <w:marLeft w:val="0"/>
          <w:marRight w:val="0"/>
          <w:marTop w:val="0"/>
          <w:marBottom w:val="0"/>
          <w:divBdr>
            <w:top w:val="none" w:sz="0" w:space="0" w:color="auto"/>
            <w:left w:val="none" w:sz="0" w:space="0" w:color="auto"/>
            <w:bottom w:val="none" w:sz="0" w:space="0" w:color="auto"/>
            <w:right w:val="none" w:sz="0" w:space="0" w:color="auto"/>
          </w:divBdr>
        </w:div>
        <w:div w:id="941448404">
          <w:marLeft w:val="0"/>
          <w:marRight w:val="0"/>
          <w:marTop w:val="0"/>
          <w:marBottom w:val="0"/>
          <w:divBdr>
            <w:top w:val="none" w:sz="0" w:space="0" w:color="auto"/>
            <w:left w:val="none" w:sz="0" w:space="0" w:color="auto"/>
            <w:bottom w:val="none" w:sz="0" w:space="0" w:color="auto"/>
            <w:right w:val="none" w:sz="0" w:space="0" w:color="auto"/>
          </w:divBdr>
        </w:div>
        <w:div w:id="942690723">
          <w:marLeft w:val="0"/>
          <w:marRight w:val="0"/>
          <w:marTop w:val="0"/>
          <w:marBottom w:val="0"/>
          <w:divBdr>
            <w:top w:val="none" w:sz="0" w:space="0" w:color="auto"/>
            <w:left w:val="none" w:sz="0" w:space="0" w:color="auto"/>
            <w:bottom w:val="none" w:sz="0" w:space="0" w:color="auto"/>
            <w:right w:val="none" w:sz="0" w:space="0" w:color="auto"/>
          </w:divBdr>
        </w:div>
        <w:div w:id="943271003">
          <w:marLeft w:val="0"/>
          <w:marRight w:val="0"/>
          <w:marTop w:val="0"/>
          <w:marBottom w:val="0"/>
          <w:divBdr>
            <w:top w:val="none" w:sz="0" w:space="0" w:color="auto"/>
            <w:left w:val="none" w:sz="0" w:space="0" w:color="auto"/>
            <w:bottom w:val="none" w:sz="0" w:space="0" w:color="auto"/>
            <w:right w:val="none" w:sz="0" w:space="0" w:color="auto"/>
          </w:divBdr>
        </w:div>
        <w:div w:id="950942917">
          <w:marLeft w:val="0"/>
          <w:marRight w:val="0"/>
          <w:marTop w:val="0"/>
          <w:marBottom w:val="0"/>
          <w:divBdr>
            <w:top w:val="none" w:sz="0" w:space="0" w:color="auto"/>
            <w:left w:val="none" w:sz="0" w:space="0" w:color="auto"/>
            <w:bottom w:val="none" w:sz="0" w:space="0" w:color="auto"/>
            <w:right w:val="none" w:sz="0" w:space="0" w:color="auto"/>
          </w:divBdr>
        </w:div>
        <w:div w:id="952173836">
          <w:marLeft w:val="0"/>
          <w:marRight w:val="0"/>
          <w:marTop w:val="0"/>
          <w:marBottom w:val="0"/>
          <w:divBdr>
            <w:top w:val="none" w:sz="0" w:space="0" w:color="auto"/>
            <w:left w:val="none" w:sz="0" w:space="0" w:color="auto"/>
            <w:bottom w:val="none" w:sz="0" w:space="0" w:color="auto"/>
            <w:right w:val="none" w:sz="0" w:space="0" w:color="auto"/>
          </w:divBdr>
        </w:div>
        <w:div w:id="952633942">
          <w:marLeft w:val="0"/>
          <w:marRight w:val="0"/>
          <w:marTop w:val="0"/>
          <w:marBottom w:val="0"/>
          <w:divBdr>
            <w:top w:val="none" w:sz="0" w:space="0" w:color="auto"/>
            <w:left w:val="none" w:sz="0" w:space="0" w:color="auto"/>
            <w:bottom w:val="none" w:sz="0" w:space="0" w:color="auto"/>
            <w:right w:val="none" w:sz="0" w:space="0" w:color="auto"/>
          </w:divBdr>
        </w:div>
        <w:div w:id="956058474">
          <w:marLeft w:val="0"/>
          <w:marRight w:val="0"/>
          <w:marTop w:val="0"/>
          <w:marBottom w:val="0"/>
          <w:divBdr>
            <w:top w:val="none" w:sz="0" w:space="0" w:color="auto"/>
            <w:left w:val="none" w:sz="0" w:space="0" w:color="auto"/>
            <w:bottom w:val="none" w:sz="0" w:space="0" w:color="auto"/>
            <w:right w:val="none" w:sz="0" w:space="0" w:color="auto"/>
          </w:divBdr>
        </w:div>
        <w:div w:id="957301922">
          <w:marLeft w:val="0"/>
          <w:marRight w:val="0"/>
          <w:marTop w:val="0"/>
          <w:marBottom w:val="0"/>
          <w:divBdr>
            <w:top w:val="none" w:sz="0" w:space="0" w:color="auto"/>
            <w:left w:val="none" w:sz="0" w:space="0" w:color="auto"/>
            <w:bottom w:val="none" w:sz="0" w:space="0" w:color="auto"/>
            <w:right w:val="none" w:sz="0" w:space="0" w:color="auto"/>
          </w:divBdr>
        </w:div>
        <w:div w:id="958149797">
          <w:marLeft w:val="0"/>
          <w:marRight w:val="0"/>
          <w:marTop w:val="0"/>
          <w:marBottom w:val="0"/>
          <w:divBdr>
            <w:top w:val="none" w:sz="0" w:space="0" w:color="auto"/>
            <w:left w:val="none" w:sz="0" w:space="0" w:color="auto"/>
            <w:bottom w:val="none" w:sz="0" w:space="0" w:color="auto"/>
            <w:right w:val="none" w:sz="0" w:space="0" w:color="auto"/>
          </w:divBdr>
        </w:div>
        <w:div w:id="964043592">
          <w:marLeft w:val="0"/>
          <w:marRight w:val="0"/>
          <w:marTop w:val="0"/>
          <w:marBottom w:val="0"/>
          <w:divBdr>
            <w:top w:val="none" w:sz="0" w:space="0" w:color="auto"/>
            <w:left w:val="none" w:sz="0" w:space="0" w:color="auto"/>
            <w:bottom w:val="none" w:sz="0" w:space="0" w:color="auto"/>
            <w:right w:val="none" w:sz="0" w:space="0" w:color="auto"/>
          </w:divBdr>
        </w:div>
        <w:div w:id="968390765">
          <w:marLeft w:val="0"/>
          <w:marRight w:val="0"/>
          <w:marTop w:val="0"/>
          <w:marBottom w:val="0"/>
          <w:divBdr>
            <w:top w:val="none" w:sz="0" w:space="0" w:color="auto"/>
            <w:left w:val="none" w:sz="0" w:space="0" w:color="auto"/>
            <w:bottom w:val="none" w:sz="0" w:space="0" w:color="auto"/>
            <w:right w:val="none" w:sz="0" w:space="0" w:color="auto"/>
          </w:divBdr>
        </w:div>
        <w:div w:id="969243382">
          <w:marLeft w:val="0"/>
          <w:marRight w:val="0"/>
          <w:marTop w:val="0"/>
          <w:marBottom w:val="0"/>
          <w:divBdr>
            <w:top w:val="none" w:sz="0" w:space="0" w:color="auto"/>
            <w:left w:val="none" w:sz="0" w:space="0" w:color="auto"/>
            <w:bottom w:val="none" w:sz="0" w:space="0" w:color="auto"/>
            <w:right w:val="none" w:sz="0" w:space="0" w:color="auto"/>
          </w:divBdr>
        </w:div>
        <w:div w:id="978418483">
          <w:marLeft w:val="0"/>
          <w:marRight w:val="0"/>
          <w:marTop w:val="0"/>
          <w:marBottom w:val="0"/>
          <w:divBdr>
            <w:top w:val="none" w:sz="0" w:space="0" w:color="auto"/>
            <w:left w:val="none" w:sz="0" w:space="0" w:color="auto"/>
            <w:bottom w:val="none" w:sz="0" w:space="0" w:color="auto"/>
            <w:right w:val="none" w:sz="0" w:space="0" w:color="auto"/>
          </w:divBdr>
        </w:div>
        <w:div w:id="978725708">
          <w:marLeft w:val="0"/>
          <w:marRight w:val="0"/>
          <w:marTop w:val="0"/>
          <w:marBottom w:val="0"/>
          <w:divBdr>
            <w:top w:val="none" w:sz="0" w:space="0" w:color="auto"/>
            <w:left w:val="none" w:sz="0" w:space="0" w:color="auto"/>
            <w:bottom w:val="none" w:sz="0" w:space="0" w:color="auto"/>
            <w:right w:val="none" w:sz="0" w:space="0" w:color="auto"/>
          </w:divBdr>
        </w:div>
        <w:div w:id="978846423">
          <w:marLeft w:val="0"/>
          <w:marRight w:val="0"/>
          <w:marTop w:val="0"/>
          <w:marBottom w:val="0"/>
          <w:divBdr>
            <w:top w:val="none" w:sz="0" w:space="0" w:color="auto"/>
            <w:left w:val="none" w:sz="0" w:space="0" w:color="auto"/>
            <w:bottom w:val="none" w:sz="0" w:space="0" w:color="auto"/>
            <w:right w:val="none" w:sz="0" w:space="0" w:color="auto"/>
          </w:divBdr>
        </w:div>
        <w:div w:id="978993719">
          <w:marLeft w:val="0"/>
          <w:marRight w:val="0"/>
          <w:marTop w:val="0"/>
          <w:marBottom w:val="0"/>
          <w:divBdr>
            <w:top w:val="none" w:sz="0" w:space="0" w:color="auto"/>
            <w:left w:val="none" w:sz="0" w:space="0" w:color="auto"/>
            <w:bottom w:val="none" w:sz="0" w:space="0" w:color="auto"/>
            <w:right w:val="none" w:sz="0" w:space="0" w:color="auto"/>
          </w:divBdr>
        </w:div>
        <w:div w:id="982778940">
          <w:marLeft w:val="0"/>
          <w:marRight w:val="0"/>
          <w:marTop w:val="0"/>
          <w:marBottom w:val="0"/>
          <w:divBdr>
            <w:top w:val="none" w:sz="0" w:space="0" w:color="auto"/>
            <w:left w:val="none" w:sz="0" w:space="0" w:color="auto"/>
            <w:bottom w:val="none" w:sz="0" w:space="0" w:color="auto"/>
            <w:right w:val="none" w:sz="0" w:space="0" w:color="auto"/>
          </w:divBdr>
        </w:div>
        <w:div w:id="983042405">
          <w:marLeft w:val="0"/>
          <w:marRight w:val="0"/>
          <w:marTop w:val="0"/>
          <w:marBottom w:val="0"/>
          <w:divBdr>
            <w:top w:val="none" w:sz="0" w:space="0" w:color="auto"/>
            <w:left w:val="none" w:sz="0" w:space="0" w:color="auto"/>
            <w:bottom w:val="none" w:sz="0" w:space="0" w:color="auto"/>
            <w:right w:val="none" w:sz="0" w:space="0" w:color="auto"/>
          </w:divBdr>
        </w:div>
        <w:div w:id="996415666">
          <w:marLeft w:val="0"/>
          <w:marRight w:val="0"/>
          <w:marTop w:val="0"/>
          <w:marBottom w:val="0"/>
          <w:divBdr>
            <w:top w:val="none" w:sz="0" w:space="0" w:color="auto"/>
            <w:left w:val="none" w:sz="0" w:space="0" w:color="auto"/>
            <w:bottom w:val="none" w:sz="0" w:space="0" w:color="auto"/>
            <w:right w:val="none" w:sz="0" w:space="0" w:color="auto"/>
          </w:divBdr>
        </w:div>
        <w:div w:id="999652844">
          <w:marLeft w:val="0"/>
          <w:marRight w:val="0"/>
          <w:marTop w:val="0"/>
          <w:marBottom w:val="0"/>
          <w:divBdr>
            <w:top w:val="none" w:sz="0" w:space="0" w:color="auto"/>
            <w:left w:val="none" w:sz="0" w:space="0" w:color="auto"/>
            <w:bottom w:val="none" w:sz="0" w:space="0" w:color="auto"/>
            <w:right w:val="none" w:sz="0" w:space="0" w:color="auto"/>
          </w:divBdr>
        </w:div>
        <w:div w:id="1004011701">
          <w:marLeft w:val="0"/>
          <w:marRight w:val="0"/>
          <w:marTop w:val="0"/>
          <w:marBottom w:val="0"/>
          <w:divBdr>
            <w:top w:val="none" w:sz="0" w:space="0" w:color="auto"/>
            <w:left w:val="none" w:sz="0" w:space="0" w:color="auto"/>
            <w:bottom w:val="none" w:sz="0" w:space="0" w:color="auto"/>
            <w:right w:val="none" w:sz="0" w:space="0" w:color="auto"/>
          </w:divBdr>
        </w:div>
        <w:div w:id="1008630899">
          <w:marLeft w:val="0"/>
          <w:marRight w:val="0"/>
          <w:marTop w:val="0"/>
          <w:marBottom w:val="0"/>
          <w:divBdr>
            <w:top w:val="none" w:sz="0" w:space="0" w:color="auto"/>
            <w:left w:val="none" w:sz="0" w:space="0" w:color="auto"/>
            <w:bottom w:val="none" w:sz="0" w:space="0" w:color="auto"/>
            <w:right w:val="none" w:sz="0" w:space="0" w:color="auto"/>
          </w:divBdr>
        </w:div>
        <w:div w:id="1009333525">
          <w:marLeft w:val="0"/>
          <w:marRight w:val="0"/>
          <w:marTop w:val="0"/>
          <w:marBottom w:val="0"/>
          <w:divBdr>
            <w:top w:val="none" w:sz="0" w:space="0" w:color="auto"/>
            <w:left w:val="none" w:sz="0" w:space="0" w:color="auto"/>
            <w:bottom w:val="none" w:sz="0" w:space="0" w:color="auto"/>
            <w:right w:val="none" w:sz="0" w:space="0" w:color="auto"/>
          </w:divBdr>
        </w:div>
        <w:div w:id="1011107355">
          <w:marLeft w:val="0"/>
          <w:marRight w:val="0"/>
          <w:marTop w:val="0"/>
          <w:marBottom w:val="0"/>
          <w:divBdr>
            <w:top w:val="none" w:sz="0" w:space="0" w:color="auto"/>
            <w:left w:val="none" w:sz="0" w:space="0" w:color="auto"/>
            <w:bottom w:val="none" w:sz="0" w:space="0" w:color="auto"/>
            <w:right w:val="none" w:sz="0" w:space="0" w:color="auto"/>
          </w:divBdr>
        </w:div>
        <w:div w:id="1014264924">
          <w:marLeft w:val="0"/>
          <w:marRight w:val="0"/>
          <w:marTop w:val="0"/>
          <w:marBottom w:val="0"/>
          <w:divBdr>
            <w:top w:val="none" w:sz="0" w:space="0" w:color="auto"/>
            <w:left w:val="none" w:sz="0" w:space="0" w:color="auto"/>
            <w:bottom w:val="none" w:sz="0" w:space="0" w:color="auto"/>
            <w:right w:val="none" w:sz="0" w:space="0" w:color="auto"/>
          </w:divBdr>
        </w:div>
        <w:div w:id="1018041646">
          <w:marLeft w:val="0"/>
          <w:marRight w:val="0"/>
          <w:marTop w:val="0"/>
          <w:marBottom w:val="0"/>
          <w:divBdr>
            <w:top w:val="none" w:sz="0" w:space="0" w:color="auto"/>
            <w:left w:val="none" w:sz="0" w:space="0" w:color="auto"/>
            <w:bottom w:val="none" w:sz="0" w:space="0" w:color="auto"/>
            <w:right w:val="none" w:sz="0" w:space="0" w:color="auto"/>
          </w:divBdr>
        </w:div>
        <w:div w:id="1022048530">
          <w:marLeft w:val="0"/>
          <w:marRight w:val="0"/>
          <w:marTop w:val="0"/>
          <w:marBottom w:val="0"/>
          <w:divBdr>
            <w:top w:val="none" w:sz="0" w:space="0" w:color="auto"/>
            <w:left w:val="none" w:sz="0" w:space="0" w:color="auto"/>
            <w:bottom w:val="none" w:sz="0" w:space="0" w:color="auto"/>
            <w:right w:val="none" w:sz="0" w:space="0" w:color="auto"/>
          </w:divBdr>
        </w:div>
        <w:div w:id="1029528280">
          <w:marLeft w:val="0"/>
          <w:marRight w:val="0"/>
          <w:marTop w:val="0"/>
          <w:marBottom w:val="0"/>
          <w:divBdr>
            <w:top w:val="none" w:sz="0" w:space="0" w:color="auto"/>
            <w:left w:val="none" w:sz="0" w:space="0" w:color="auto"/>
            <w:bottom w:val="none" w:sz="0" w:space="0" w:color="auto"/>
            <w:right w:val="none" w:sz="0" w:space="0" w:color="auto"/>
          </w:divBdr>
        </w:div>
        <w:div w:id="1036933427">
          <w:marLeft w:val="0"/>
          <w:marRight w:val="0"/>
          <w:marTop w:val="0"/>
          <w:marBottom w:val="0"/>
          <w:divBdr>
            <w:top w:val="none" w:sz="0" w:space="0" w:color="auto"/>
            <w:left w:val="none" w:sz="0" w:space="0" w:color="auto"/>
            <w:bottom w:val="none" w:sz="0" w:space="0" w:color="auto"/>
            <w:right w:val="none" w:sz="0" w:space="0" w:color="auto"/>
          </w:divBdr>
        </w:div>
        <w:div w:id="1040862661">
          <w:marLeft w:val="0"/>
          <w:marRight w:val="0"/>
          <w:marTop w:val="0"/>
          <w:marBottom w:val="0"/>
          <w:divBdr>
            <w:top w:val="none" w:sz="0" w:space="0" w:color="auto"/>
            <w:left w:val="none" w:sz="0" w:space="0" w:color="auto"/>
            <w:bottom w:val="none" w:sz="0" w:space="0" w:color="auto"/>
            <w:right w:val="none" w:sz="0" w:space="0" w:color="auto"/>
          </w:divBdr>
        </w:div>
        <w:div w:id="1042559702">
          <w:marLeft w:val="0"/>
          <w:marRight w:val="0"/>
          <w:marTop w:val="0"/>
          <w:marBottom w:val="0"/>
          <w:divBdr>
            <w:top w:val="none" w:sz="0" w:space="0" w:color="auto"/>
            <w:left w:val="none" w:sz="0" w:space="0" w:color="auto"/>
            <w:bottom w:val="none" w:sz="0" w:space="0" w:color="auto"/>
            <w:right w:val="none" w:sz="0" w:space="0" w:color="auto"/>
          </w:divBdr>
        </w:div>
        <w:div w:id="1049065665">
          <w:marLeft w:val="0"/>
          <w:marRight w:val="0"/>
          <w:marTop w:val="0"/>
          <w:marBottom w:val="0"/>
          <w:divBdr>
            <w:top w:val="none" w:sz="0" w:space="0" w:color="auto"/>
            <w:left w:val="none" w:sz="0" w:space="0" w:color="auto"/>
            <w:bottom w:val="none" w:sz="0" w:space="0" w:color="auto"/>
            <w:right w:val="none" w:sz="0" w:space="0" w:color="auto"/>
          </w:divBdr>
        </w:div>
        <w:div w:id="1058672686">
          <w:marLeft w:val="0"/>
          <w:marRight w:val="0"/>
          <w:marTop w:val="0"/>
          <w:marBottom w:val="0"/>
          <w:divBdr>
            <w:top w:val="none" w:sz="0" w:space="0" w:color="auto"/>
            <w:left w:val="none" w:sz="0" w:space="0" w:color="auto"/>
            <w:bottom w:val="none" w:sz="0" w:space="0" w:color="auto"/>
            <w:right w:val="none" w:sz="0" w:space="0" w:color="auto"/>
          </w:divBdr>
        </w:div>
        <w:div w:id="1063022282">
          <w:marLeft w:val="0"/>
          <w:marRight w:val="0"/>
          <w:marTop w:val="0"/>
          <w:marBottom w:val="0"/>
          <w:divBdr>
            <w:top w:val="none" w:sz="0" w:space="0" w:color="auto"/>
            <w:left w:val="none" w:sz="0" w:space="0" w:color="auto"/>
            <w:bottom w:val="none" w:sz="0" w:space="0" w:color="auto"/>
            <w:right w:val="none" w:sz="0" w:space="0" w:color="auto"/>
          </w:divBdr>
        </w:div>
        <w:div w:id="1065376533">
          <w:marLeft w:val="0"/>
          <w:marRight w:val="0"/>
          <w:marTop w:val="0"/>
          <w:marBottom w:val="0"/>
          <w:divBdr>
            <w:top w:val="none" w:sz="0" w:space="0" w:color="auto"/>
            <w:left w:val="none" w:sz="0" w:space="0" w:color="auto"/>
            <w:bottom w:val="none" w:sz="0" w:space="0" w:color="auto"/>
            <w:right w:val="none" w:sz="0" w:space="0" w:color="auto"/>
          </w:divBdr>
        </w:div>
        <w:div w:id="1075665947">
          <w:marLeft w:val="0"/>
          <w:marRight w:val="0"/>
          <w:marTop w:val="0"/>
          <w:marBottom w:val="0"/>
          <w:divBdr>
            <w:top w:val="none" w:sz="0" w:space="0" w:color="auto"/>
            <w:left w:val="none" w:sz="0" w:space="0" w:color="auto"/>
            <w:bottom w:val="none" w:sz="0" w:space="0" w:color="auto"/>
            <w:right w:val="none" w:sz="0" w:space="0" w:color="auto"/>
          </w:divBdr>
        </w:div>
        <w:div w:id="1096170378">
          <w:marLeft w:val="0"/>
          <w:marRight w:val="0"/>
          <w:marTop w:val="0"/>
          <w:marBottom w:val="0"/>
          <w:divBdr>
            <w:top w:val="none" w:sz="0" w:space="0" w:color="auto"/>
            <w:left w:val="none" w:sz="0" w:space="0" w:color="auto"/>
            <w:bottom w:val="none" w:sz="0" w:space="0" w:color="auto"/>
            <w:right w:val="none" w:sz="0" w:space="0" w:color="auto"/>
          </w:divBdr>
        </w:div>
        <w:div w:id="1099715963">
          <w:marLeft w:val="0"/>
          <w:marRight w:val="0"/>
          <w:marTop w:val="0"/>
          <w:marBottom w:val="0"/>
          <w:divBdr>
            <w:top w:val="none" w:sz="0" w:space="0" w:color="auto"/>
            <w:left w:val="none" w:sz="0" w:space="0" w:color="auto"/>
            <w:bottom w:val="none" w:sz="0" w:space="0" w:color="auto"/>
            <w:right w:val="none" w:sz="0" w:space="0" w:color="auto"/>
          </w:divBdr>
        </w:div>
        <w:div w:id="1106659637">
          <w:marLeft w:val="0"/>
          <w:marRight w:val="0"/>
          <w:marTop w:val="0"/>
          <w:marBottom w:val="0"/>
          <w:divBdr>
            <w:top w:val="none" w:sz="0" w:space="0" w:color="auto"/>
            <w:left w:val="none" w:sz="0" w:space="0" w:color="auto"/>
            <w:bottom w:val="none" w:sz="0" w:space="0" w:color="auto"/>
            <w:right w:val="none" w:sz="0" w:space="0" w:color="auto"/>
          </w:divBdr>
        </w:div>
        <w:div w:id="1122193067">
          <w:marLeft w:val="0"/>
          <w:marRight w:val="0"/>
          <w:marTop w:val="0"/>
          <w:marBottom w:val="0"/>
          <w:divBdr>
            <w:top w:val="none" w:sz="0" w:space="0" w:color="auto"/>
            <w:left w:val="none" w:sz="0" w:space="0" w:color="auto"/>
            <w:bottom w:val="none" w:sz="0" w:space="0" w:color="auto"/>
            <w:right w:val="none" w:sz="0" w:space="0" w:color="auto"/>
          </w:divBdr>
        </w:div>
        <w:div w:id="1123499965">
          <w:marLeft w:val="0"/>
          <w:marRight w:val="0"/>
          <w:marTop w:val="0"/>
          <w:marBottom w:val="0"/>
          <w:divBdr>
            <w:top w:val="none" w:sz="0" w:space="0" w:color="auto"/>
            <w:left w:val="none" w:sz="0" w:space="0" w:color="auto"/>
            <w:bottom w:val="none" w:sz="0" w:space="0" w:color="auto"/>
            <w:right w:val="none" w:sz="0" w:space="0" w:color="auto"/>
          </w:divBdr>
        </w:div>
        <w:div w:id="1123885716">
          <w:marLeft w:val="0"/>
          <w:marRight w:val="0"/>
          <w:marTop w:val="0"/>
          <w:marBottom w:val="0"/>
          <w:divBdr>
            <w:top w:val="none" w:sz="0" w:space="0" w:color="auto"/>
            <w:left w:val="none" w:sz="0" w:space="0" w:color="auto"/>
            <w:bottom w:val="none" w:sz="0" w:space="0" w:color="auto"/>
            <w:right w:val="none" w:sz="0" w:space="0" w:color="auto"/>
          </w:divBdr>
        </w:div>
        <w:div w:id="1125586353">
          <w:marLeft w:val="0"/>
          <w:marRight w:val="0"/>
          <w:marTop w:val="0"/>
          <w:marBottom w:val="0"/>
          <w:divBdr>
            <w:top w:val="none" w:sz="0" w:space="0" w:color="auto"/>
            <w:left w:val="none" w:sz="0" w:space="0" w:color="auto"/>
            <w:bottom w:val="none" w:sz="0" w:space="0" w:color="auto"/>
            <w:right w:val="none" w:sz="0" w:space="0" w:color="auto"/>
          </w:divBdr>
        </w:div>
        <w:div w:id="1134718077">
          <w:marLeft w:val="0"/>
          <w:marRight w:val="0"/>
          <w:marTop w:val="0"/>
          <w:marBottom w:val="0"/>
          <w:divBdr>
            <w:top w:val="none" w:sz="0" w:space="0" w:color="auto"/>
            <w:left w:val="none" w:sz="0" w:space="0" w:color="auto"/>
            <w:bottom w:val="none" w:sz="0" w:space="0" w:color="auto"/>
            <w:right w:val="none" w:sz="0" w:space="0" w:color="auto"/>
          </w:divBdr>
        </w:div>
        <w:div w:id="1137261204">
          <w:marLeft w:val="0"/>
          <w:marRight w:val="0"/>
          <w:marTop w:val="0"/>
          <w:marBottom w:val="0"/>
          <w:divBdr>
            <w:top w:val="none" w:sz="0" w:space="0" w:color="auto"/>
            <w:left w:val="none" w:sz="0" w:space="0" w:color="auto"/>
            <w:bottom w:val="none" w:sz="0" w:space="0" w:color="auto"/>
            <w:right w:val="none" w:sz="0" w:space="0" w:color="auto"/>
          </w:divBdr>
        </w:div>
        <w:div w:id="1139490847">
          <w:marLeft w:val="0"/>
          <w:marRight w:val="0"/>
          <w:marTop w:val="0"/>
          <w:marBottom w:val="0"/>
          <w:divBdr>
            <w:top w:val="none" w:sz="0" w:space="0" w:color="auto"/>
            <w:left w:val="none" w:sz="0" w:space="0" w:color="auto"/>
            <w:bottom w:val="none" w:sz="0" w:space="0" w:color="auto"/>
            <w:right w:val="none" w:sz="0" w:space="0" w:color="auto"/>
          </w:divBdr>
        </w:div>
        <w:div w:id="1140002918">
          <w:marLeft w:val="0"/>
          <w:marRight w:val="0"/>
          <w:marTop w:val="0"/>
          <w:marBottom w:val="0"/>
          <w:divBdr>
            <w:top w:val="none" w:sz="0" w:space="0" w:color="auto"/>
            <w:left w:val="none" w:sz="0" w:space="0" w:color="auto"/>
            <w:bottom w:val="none" w:sz="0" w:space="0" w:color="auto"/>
            <w:right w:val="none" w:sz="0" w:space="0" w:color="auto"/>
          </w:divBdr>
        </w:div>
        <w:div w:id="1141002886">
          <w:marLeft w:val="0"/>
          <w:marRight w:val="0"/>
          <w:marTop w:val="0"/>
          <w:marBottom w:val="0"/>
          <w:divBdr>
            <w:top w:val="none" w:sz="0" w:space="0" w:color="auto"/>
            <w:left w:val="none" w:sz="0" w:space="0" w:color="auto"/>
            <w:bottom w:val="none" w:sz="0" w:space="0" w:color="auto"/>
            <w:right w:val="none" w:sz="0" w:space="0" w:color="auto"/>
          </w:divBdr>
        </w:div>
        <w:div w:id="1145705435">
          <w:marLeft w:val="0"/>
          <w:marRight w:val="0"/>
          <w:marTop w:val="0"/>
          <w:marBottom w:val="0"/>
          <w:divBdr>
            <w:top w:val="none" w:sz="0" w:space="0" w:color="auto"/>
            <w:left w:val="none" w:sz="0" w:space="0" w:color="auto"/>
            <w:bottom w:val="none" w:sz="0" w:space="0" w:color="auto"/>
            <w:right w:val="none" w:sz="0" w:space="0" w:color="auto"/>
          </w:divBdr>
        </w:div>
        <w:div w:id="1150712554">
          <w:marLeft w:val="0"/>
          <w:marRight w:val="0"/>
          <w:marTop w:val="0"/>
          <w:marBottom w:val="0"/>
          <w:divBdr>
            <w:top w:val="none" w:sz="0" w:space="0" w:color="auto"/>
            <w:left w:val="none" w:sz="0" w:space="0" w:color="auto"/>
            <w:bottom w:val="none" w:sz="0" w:space="0" w:color="auto"/>
            <w:right w:val="none" w:sz="0" w:space="0" w:color="auto"/>
          </w:divBdr>
        </w:div>
        <w:div w:id="1155532076">
          <w:marLeft w:val="0"/>
          <w:marRight w:val="0"/>
          <w:marTop w:val="0"/>
          <w:marBottom w:val="0"/>
          <w:divBdr>
            <w:top w:val="none" w:sz="0" w:space="0" w:color="auto"/>
            <w:left w:val="none" w:sz="0" w:space="0" w:color="auto"/>
            <w:bottom w:val="none" w:sz="0" w:space="0" w:color="auto"/>
            <w:right w:val="none" w:sz="0" w:space="0" w:color="auto"/>
          </w:divBdr>
        </w:div>
        <w:div w:id="1157183583">
          <w:marLeft w:val="0"/>
          <w:marRight w:val="0"/>
          <w:marTop w:val="0"/>
          <w:marBottom w:val="0"/>
          <w:divBdr>
            <w:top w:val="none" w:sz="0" w:space="0" w:color="auto"/>
            <w:left w:val="none" w:sz="0" w:space="0" w:color="auto"/>
            <w:bottom w:val="none" w:sz="0" w:space="0" w:color="auto"/>
            <w:right w:val="none" w:sz="0" w:space="0" w:color="auto"/>
          </w:divBdr>
        </w:div>
        <w:div w:id="1161771422">
          <w:marLeft w:val="0"/>
          <w:marRight w:val="0"/>
          <w:marTop w:val="0"/>
          <w:marBottom w:val="0"/>
          <w:divBdr>
            <w:top w:val="none" w:sz="0" w:space="0" w:color="auto"/>
            <w:left w:val="none" w:sz="0" w:space="0" w:color="auto"/>
            <w:bottom w:val="none" w:sz="0" w:space="0" w:color="auto"/>
            <w:right w:val="none" w:sz="0" w:space="0" w:color="auto"/>
          </w:divBdr>
        </w:div>
        <w:div w:id="1162428032">
          <w:marLeft w:val="0"/>
          <w:marRight w:val="0"/>
          <w:marTop w:val="0"/>
          <w:marBottom w:val="0"/>
          <w:divBdr>
            <w:top w:val="none" w:sz="0" w:space="0" w:color="auto"/>
            <w:left w:val="none" w:sz="0" w:space="0" w:color="auto"/>
            <w:bottom w:val="none" w:sz="0" w:space="0" w:color="auto"/>
            <w:right w:val="none" w:sz="0" w:space="0" w:color="auto"/>
          </w:divBdr>
        </w:div>
        <w:div w:id="1164390938">
          <w:marLeft w:val="0"/>
          <w:marRight w:val="0"/>
          <w:marTop w:val="0"/>
          <w:marBottom w:val="0"/>
          <w:divBdr>
            <w:top w:val="none" w:sz="0" w:space="0" w:color="auto"/>
            <w:left w:val="none" w:sz="0" w:space="0" w:color="auto"/>
            <w:bottom w:val="none" w:sz="0" w:space="0" w:color="auto"/>
            <w:right w:val="none" w:sz="0" w:space="0" w:color="auto"/>
          </w:divBdr>
        </w:div>
        <w:div w:id="1167287272">
          <w:marLeft w:val="0"/>
          <w:marRight w:val="0"/>
          <w:marTop w:val="0"/>
          <w:marBottom w:val="0"/>
          <w:divBdr>
            <w:top w:val="none" w:sz="0" w:space="0" w:color="auto"/>
            <w:left w:val="none" w:sz="0" w:space="0" w:color="auto"/>
            <w:bottom w:val="none" w:sz="0" w:space="0" w:color="auto"/>
            <w:right w:val="none" w:sz="0" w:space="0" w:color="auto"/>
          </w:divBdr>
        </w:div>
        <w:div w:id="1176463380">
          <w:marLeft w:val="0"/>
          <w:marRight w:val="0"/>
          <w:marTop w:val="0"/>
          <w:marBottom w:val="0"/>
          <w:divBdr>
            <w:top w:val="none" w:sz="0" w:space="0" w:color="auto"/>
            <w:left w:val="none" w:sz="0" w:space="0" w:color="auto"/>
            <w:bottom w:val="none" w:sz="0" w:space="0" w:color="auto"/>
            <w:right w:val="none" w:sz="0" w:space="0" w:color="auto"/>
          </w:divBdr>
        </w:div>
        <w:div w:id="1183936622">
          <w:marLeft w:val="0"/>
          <w:marRight w:val="0"/>
          <w:marTop w:val="0"/>
          <w:marBottom w:val="0"/>
          <w:divBdr>
            <w:top w:val="none" w:sz="0" w:space="0" w:color="auto"/>
            <w:left w:val="none" w:sz="0" w:space="0" w:color="auto"/>
            <w:bottom w:val="none" w:sz="0" w:space="0" w:color="auto"/>
            <w:right w:val="none" w:sz="0" w:space="0" w:color="auto"/>
          </w:divBdr>
        </w:div>
        <w:div w:id="1185903661">
          <w:marLeft w:val="0"/>
          <w:marRight w:val="0"/>
          <w:marTop w:val="0"/>
          <w:marBottom w:val="0"/>
          <w:divBdr>
            <w:top w:val="none" w:sz="0" w:space="0" w:color="auto"/>
            <w:left w:val="none" w:sz="0" w:space="0" w:color="auto"/>
            <w:bottom w:val="none" w:sz="0" w:space="0" w:color="auto"/>
            <w:right w:val="none" w:sz="0" w:space="0" w:color="auto"/>
          </w:divBdr>
        </w:div>
        <w:div w:id="1191383102">
          <w:marLeft w:val="0"/>
          <w:marRight w:val="0"/>
          <w:marTop w:val="0"/>
          <w:marBottom w:val="0"/>
          <w:divBdr>
            <w:top w:val="none" w:sz="0" w:space="0" w:color="auto"/>
            <w:left w:val="none" w:sz="0" w:space="0" w:color="auto"/>
            <w:bottom w:val="none" w:sz="0" w:space="0" w:color="auto"/>
            <w:right w:val="none" w:sz="0" w:space="0" w:color="auto"/>
          </w:divBdr>
        </w:div>
        <w:div w:id="1191918428">
          <w:marLeft w:val="0"/>
          <w:marRight w:val="0"/>
          <w:marTop w:val="0"/>
          <w:marBottom w:val="0"/>
          <w:divBdr>
            <w:top w:val="none" w:sz="0" w:space="0" w:color="auto"/>
            <w:left w:val="none" w:sz="0" w:space="0" w:color="auto"/>
            <w:bottom w:val="none" w:sz="0" w:space="0" w:color="auto"/>
            <w:right w:val="none" w:sz="0" w:space="0" w:color="auto"/>
          </w:divBdr>
        </w:div>
        <w:div w:id="1196388404">
          <w:marLeft w:val="0"/>
          <w:marRight w:val="0"/>
          <w:marTop w:val="0"/>
          <w:marBottom w:val="0"/>
          <w:divBdr>
            <w:top w:val="none" w:sz="0" w:space="0" w:color="auto"/>
            <w:left w:val="none" w:sz="0" w:space="0" w:color="auto"/>
            <w:bottom w:val="none" w:sz="0" w:space="0" w:color="auto"/>
            <w:right w:val="none" w:sz="0" w:space="0" w:color="auto"/>
          </w:divBdr>
        </w:div>
        <w:div w:id="1198615562">
          <w:marLeft w:val="0"/>
          <w:marRight w:val="0"/>
          <w:marTop w:val="0"/>
          <w:marBottom w:val="0"/>
          <w:divBdr>
            <w:top w:val="none" w:sz="0" w:space="0" w:color="auto"/>
            <w:left w:val="none" w:sz="0" w:space="0" w:color="auto"/>
            <w:bottom w:val="none" w:sz="0" w:space="0" w:color="auto"/>
            <w:right w:val="none" w:sz="0" w:space="0" w:color="auto"/>
          </w:divBdr>
        </w:div>
        <w:div w:id="1202086185">
          <w:marLeft w:val="0"/>
          <w:marRight w:val="0"/>
          <w:marTop w:val="0"/>
          <w:marBottom w:val="0"/>
          <w:divBdr>
            <w:top w:val="none" w:sz="0" w:space="0" w:color="auto"/>
            <w:left w:val="none" w:sz="0" w:space="0" w:color="auto"/>
            <w:bottom w:val="none" w:sz="0" w:space="0" w:color="auto"/>
            <w:right w:val="none" w:sz="0" w:space="0" w:color="auto"/>
          </w:divBdr>
        </w:div>
        <w:div w:id="1203326183">
          <w:marLeft w:val="0"/>
          <w:marRight w:val="0"/>
          <w:marTop w:val="0"/>
          <w:marBottom w:val="0"/>
          <w:divBdr>
            <w:top w:val="none" w:sz="0" w:space="0" w:color="auto"/>
            <w:left w:val="none" w:sz="0" w:space="0" w:color="auto"/>
            <w:bottom w:val="none" w:sz="0" w:space="0" w:color="auto"/>
            <w:right w:val="none" w:sz="0" w:space="0" w:color="auto"/>
          </w:divBdr>
        </w:div>
        <w:div w:id="1207909772">
          <w:marLeft w:val="0"/>
          <w:marRight w:val="0"/>
          <w:marTop w:val="0"/>
          <w:marBottom w:val="0"/>
          <w:divBdr>
            <w:top w:val="none" w:sz="0" w:space="0" w:color="auto"/>
            <w:left w:val="none" w:sz="0" w:space="0" w:color="auto"/>
            <w:bottom w:val="none" w:sz="0" w:space="0" w:color="auto"/>
            <w:right w:val="none" w:sz="0" w:space="0" w:color="auto"/>
          </w:divBdr>
        </w:div>
        <w:div w:id="1213348720">
          <w:marLeft w:val="0"/>
          <w:marRight w:val="0"/>
          <w:marTop w:val="0"/>
          <w:marBottom w:val="0"/>
          <w:divBdr>
            <w:top w:val="none" w:sz="0" w:space="0" w:color="auto"/>
            <w:left w:val="none" w:sz="0" w:space="0" w:color="auto"/>
            <w:bottom w:val="none" w:sz="0" w:space="0" w:color="auto"/>
            <w:right w:val="none" w:sz="0" w:space="0" w:color="auto"/>
          </w:divBdr>
        </w:div>
        <w:div w:id="1213425052">
          <w:marLeft w:val="0"/>
          <w:marRight w:val="0"/>
          <w:marTop w:val="0"/>
          <w:marBottom w:val="0"/>
          <w:divBdr>
            <w:top w:val="none" w:sz="0" w:space="0" w:color="auto"/>
            <w:left w:val="none" w:sz="0" w:space="0" w:color="auto"/>
            <w:bottom w:val="none" w:sz="0" w:space="0" w:color="auto"/>
            <w:right w:val="none" w:sz="0" w:space="0" w:color="auto"/>
          </w:divBdr>
        </w:div>
        <w:div w:id="1218736940">
          <w:marLeft w:val="0"/>
          <w:marRight w:val="0"/>
          <w:marTop w:val="0"/>
          <w:marBottom w:val="0"/>
          <w:divBdr>
            <w:top w:val="none" w:sz="0" w:space="0" w:color="auto"/>
            <w:left w:val="none" w:sz="0" w:space="0" w:color="auto"/>
            <w:bottom w:val="none" w:sz="0" w:space="0" w:color="auto"/>
            <w:right w:val="none" w:sz="0" w:space="0" w:color="auto"/>
          </w:divBdr>
        </w:div>
        <w:div w:id="1221600725">
          <w:marLeft w:val="0"/>
          <w:marRight w:val="0"/>
          <w:marTop w:val="0"/>
          <w:marBottom w:val="0"/>
          <w:divBdr>
            <w:top w:val="none" w:sz="0" w:space="0" w:color="auto"/>
            <w:left w:val="none" w:sz="0" w:space="0" w:color="auto"/>
            <w:bottom w:val="none" w:sz="0" w:space="0" w:color="auto"/>
            <w:right w:val="none" w:sz="0" w:space="0" w:color="auto"/>
          </w:divBdr>
        </w:div>
        <w:div w:id="1222056372">
          <w:marLeft w:val="0"/>
          <w:marRight w:val="0"/>
          <w:marTop w:val="0"/>
          <w:marBottom w:val="0"/>
          <w:divBdr>
            <w:top w:val="none" w:sz="0" w:space="0" w:color="auto"/>
            <w:left w:val="none" w:sz="0" w:space="0" w:color="auto"/>
            <w:bottom w:val="none" w:sz="0" w:space="0" w:color="auto"/>
            <w:right w:val="none" w:sz="0" w:space="0" w:color="auto"/>
          </w:divBdr>
        </w:div>
        <w:div w:id="1222907409">
          <w:marLeft w:val="0"/>
          <w:marRight w:val="0"/>
          <w:marTop w:val="0"/>
          <w:marBottom w:val="0"/>
          <w:divBdr>
            <w:top w:val="none" w:sz="0" w:space="0" w:color="auto"/>
            <w:left w:val="none" w:sz="0" w:space="0" w:color="auto"/>
            <w:bottom w:val="none" w:sz="0" w:space="0" w:color="auto"/>
            <w:right w:val="none" w:sz="0" w:space="0" w:color="auto"/>
          </w:divBdr>
        </w:div>
        <w:div w:id="1231577404">
          <w:marLeft w:val="0"/>
          <w:marRight w:val="0"/>
          <w:marTop w:val="0"/>
          <w:marBottom w:val="0"/>
          <w:divBdr>
            <w:top w:val="none" w:sz="0" w:space="0" w:color="auto"/>
            <w:left w:val="none" w:sz="0" w:space="0" w:color="auto"/>
            <w:bottom w:val="none" w:sz="0" w:space="0" w:color="auto"/>
            <w:right w:val="none" w:sz="0" w:space="0" w:color="auto"/>
          </w:divBdr>
        </w:div>
        <w:div w:id="1236086623">
          <w:marLeft w:val="0"/>
          <w:marRight w:val="0"/>
          <w:marTop w:val="0"/>
          <w:marBottom w:val="0"/>
          <w:divBdr>
            <w:top w:val="none" w:sz="0" w:space="0" w:color="auto"/>
            <w:left w:val="none" w:sz="0" w:space="0" w:color="auto"/>
            <w:bottom w:val="none" w:sz="0" w:space="0" w:color="auto"/>
            <w:right w:val="none" w:sz="0" w:space="0" w:color="auto"/>
          </w:divBdr>
        </w:div>
        <w:div w:id="1236891871">
          <w:marLeft w:val="0"/>
          <w:marRight w:val="0"/>
          <w:marTop w:val="0"/>
          <w:marBottom w:val="0"/>
          <w:divBdr>
            <w:top w:val="none" w:sz="0" w:space="0" w:color="auto"/>
            <w:left w:val="none" w:sz="0" w:space="0" w:color="auto"/>
            <w:bottom w:val="none" w:sz="0" w:space="0" w:color="auto"/>
            <w:right w:val="none" w:sz="0" w:space="0" w:color="auto"/>
          </w:divBdr>
        </w:div>
        <w:div w:id="1239361386">
          <w:marLeft w:val="0"/>
          <w:marRight w:val="0"/>
          <w:marTop w:val="0"/>
          <w:marBottom w:val="0"/>
          <w:divBdr>
            <w:top w:val="none" w:sz="0" w:space="0" w:color="auto"/>
            <w:left w:val="none" w:sz="0" w:space="0" w:color="auto"/>
            <w:bottom w:val="none" w:sz="0" w:space="0" w:color="auto"/>
            <w:right w:val="none" w:sz="0" w:space="0" w:color="auto"/>
          </w:divBdr>
        </w:div>
        <w:div w:id="1247615984">
          <w:marLeft w:val="0"/>
          <w:marRight w:val="0"/>
          <w:marTop w:val="0"/>
          <w:marBottom w:val="0"/>
          <w:divBdr>
            <w:top w:val="none" w:sz="0" w:space="0" w:color="auto"/>
            <w:left w:val="none" w:sz="0" w:space="0" w:color="auto"/>
            <w:bottom w:val="none" w:sz="0" w:space="0" w:color="auto"/>
            <w:right w:val="none" w:sz="0" w:space="0" w:color="auto"/>
          </w:divBdr>
        </w:div>
        <w:div w:id="1253929761">
          <w:marLeft w:val="0"/>
          <w:marRight w:val="0"/>
          <w:marTop w:val="0"/>
          <w:marBottom w:val="0"/>
          <w:divBdr>
            <w:top w:val="none" w:sz="0" w:space="0" w:color="auto"/>
            <w:left w:val="none" w:sz="0" w:space="0" w:color="auto"/>
            <w:bottom w:val="none" w:sz="0" w:space="0" w:color="auto"/>
            <w:right w:val="none" w:sz="0" w:space="0" w:color="auto"/>
          </w:divBdr>
        </w:div>
        <w:div w:id="1259099924">
          <w:marLeft w:val="0"/>
          <w:marRight w:val="0"/>
          <w:marTop w:val="0"/>
          <w:marBottom w:val="0"/>
          <w:divBdr>
            <w:top w:val="none" w:sz="0" w:space="0" w:color="auto"/>
            <w:left w:val="none" w:sz="0" w:space="0" w:color="auto"/>
            <w:bottom w:val="none" w:sz="0" w:space="0" w:color="auto"/>
            <w:right w:val="none" w:sz="0" w:space="0" w:color="auto"/>
          </w:divBdr>
        </w:div>
        <w:div w:id="1263219221">
          <w:marLeft w:val="0"/>
          <w:marRight w:val="0"/>
          <w:marTop w:val="0"/>
          <w:marBottom w:val="0"/>
          <w:divBdr>
            <w:top w:val="none" w:sz="0" w:space="0" w:color="auto"/>
            <w:left w:val="none" w:sz="0" w:space="0" w:color="auto"/>
            <w:bottom w:val="none" w:sz="0" w:space="0" w:color="auto"/>
            <w:right w:val="none" w:sz="0" w:space="0" w:color="auto"/>
          </w:divBdr>
        </w:div>
        <w:div w:id="1265115249">
          <w:marLeft w:val="0"/>
          <w:marRight w:val="0"/>
          <w:marTop w:val="0"/>
          <w:marBottom w:val="0"/>
          <w:divBdr>
            <w:top w:val="none" w:sz="0" w:space="0" w:color="auto"/>
            <w:left w:val="none" w:sz="0" w:space="0" w:color="auto"/>
            <w:bottom w:val="none" w:sz="0" w:space="0" w:color="auto"/>
            <w:right w:val="none" w:sz="0" w:space="0" w:color="auto"/>
          </w:divBdr>
        </w:div>
        <w:div w:id="1265915781">
          <w:marLeft w:val="0"/>
          <w:marRight w:val="0"/>
          <w:marTop w:val="0"/>
          <w:marBottom w:val="0"/>
          <w:divBdr>
            <w:top w:val="none" w:sz="0" w:space="0" w:color="auto"/>
            <w:left w:val="none" w:sz="0" w:space="0" w:color="auto"/>
            <w:bottom w:val="none" w:sz="0" w:space="0" w:color="auto"/>
            <w:right w:val="none" w:sz="0" w:space="0" w:color="auto"/>
          </w:divBdr>
        </w:div>
        <w:div w:id="1266500386">
          <w:marLeft w:val="0"/>
          <w:marRight w:val="0"/>
          <w:marTop w:val="0"/>
          <w:marBottom w:val="0"/>
          <w:divBdr>
            <w:top w:val="none" w:sz="0" w:space="0" w:color="auto"/>
            <w:left w:val="none" w:sz="0" w:space="0" w:color="auto"/>
            <w:bottom w:val="none" w:sz="0" w:space="0" w:color="auto"/>
            <w:right w:val="none" w:sz="0" w:space="0" w:color="auto"/>
          </w:divBdr>
        </w:div>
        <w:div w:id="1266765859">
          <w:marLeft w:val="0"/>
          <w:marRight w:val="0"/>
          <w:marTop w:val="0"/>
          <w:marBottom w:val="0"/>
          <w:divBdr>
            <w:top w:val="none" w:sz="0" w:space="0" w:color="auto"/>
            <w:left w:val="none" w:sz="0" w:space="0" w:color="auto"/>
            <w:bottom w:val="none" w:sz="0" w:space="0" w:color="auto"/>
            <w:right w:val="none" w:sz="0" w:space="0" w:color="auto"/>
          </w:divBdr>
        </w:div>
        <w:div w:id="1267731195">
          <w:marLeft w:val="0"/>
          <w:marRight w:val="0"/>
          <w:marTop w:val="0"/>
          <w:marBottom w:val="0"/>
          <w:divBdr>
            <w:top w:val="none" w:sz="0" w:space="0" w:color="auto"/>
            <w:left w:val="none" w:sz="0" w:space="0" w:color="auto"/>
            <w:bottom w:val="none" w:sz="0" w:space="0" w:color="auto"/>
            <w:right w:val="none" w:sz="0" w:space="0" w:color="auto"/>
          </w:divBdr>
        </w:div>
        <w:div w:id="1267734964">
          <w:marLeft w:val="0"/>
          <w:marRight w:val="0"/>
          <w:marTop w:val="0"/>
          <w:marBottom w:val="0"/>
          <w:divBdr>
            <w:top w:val="none" w:sz="0" w:space="0" w:color="auto"/>
            <w:left w:val="none" w:sz="0" w:space="0" w:color="auto"/>
            <w:bottom w:val="none" w:sz="0" w:space="0" w:color="auto"/>
            <w:right w:val="none" w:sz="0" w:space="0" w:color="auto"/>
          </w:divBdr>
        </w:div>
        <w:div w:id="1271402168">
          <w:marLeft w:val="0"/>
          <w:marRight w:val="0"/>
          <w:marTop w:val="0"/>
          <w:marBottom w:val="0"/>
          <w:divBdr>
            <w:top w:val="none" w:sz="0" w:space="0" w:color="auto"/>
            <w:left w:val="none" w:sz="0" w:space="0" w:color="auto"/>
            <w:bottom w:val="none" w:sz="0" w:space="0" w:color="auto"/>
            <w:right w:val="none" w:sz="0" w:space="0" w:color="auto"/>
          </w:divBdr>
        </w:div>
        <w:div w:id="1272057455">
          <w:marLeft w:val="0"/>
          <w:marRight w:val="0"/>
          <w:marTop w:val="0"/>
          <w:marBottom w:val="0"/>
          <w:divBdr>
            <w:top w:val="none" w:sz="0" w:space="0" w:color="auto"/>
            <w:left w:val="none" w:sz="0" w:space="0" w:color="auto"/>
            <w:bottom w:val="none" w:sz="0" w:space="0" w:color="auto"/>
            <w:right w:val="none" w:sz="0" w:space="0" w:color="auto"/>
          </w:divBdr>
        </w:div>
        <w:div w:id="1272277678">
          <w:marLeft w:val="0"/>
          <w:marRight w:val="0"/>
          <w:marTop w:val="0"/>
          <w:marBottom w:val="0"/>
          <w:divBdr>
            <w:top w:val="none" w:sz="0" w:space="0" w:color="auto"/>
            <w:left w:val="none" w:sz="0" w:space="0" w:color="auto"/>
            <w:bottom w:val="none" w:sz="0" w:space="0" w:color="auto"/>
            <w:right w:val="none" w:sz="0" w:space="0" w:color="auto"/>
          </w:divBdr>
        </w:div>
        <w:div w:id="1274287640">
          <w:marLeft w:val="0"/>
          <w:marRight w:val="0"/>
          <w:marTop w:val="0"/>
          <w:marBottom w:val="0"/>
          <w:divBdr>
            <w:top w:val="none" w:sz="0" w:space="0" w:color="auto"/>
            <w:left w:val="none" w:sz="0" w:space="0" w:color="auto"/>
            <w:bottom w:val="none" w:sz="0" w:space="0" w:color="auto"/>
            <w:right w:val="none" w:sz="0" w:space="0" w:color="auto"/>
          </w:divBdr>
        </w:div>
        <w:div w:id="1277253133">
          <w:marLeft w:val="0"/>
          <w:marRight w:val="0"/>
          <w:marTop w:val="0"/>
          <w:marBottom w:val="0"/>
          <w:divBdr>
            <w:top w:val="none" w:sz="0" w:space="0" w:color="auto"/>
            <w:left w:val="none" w:sz="0" w:space="0" w:color="auto"/>
            <w:bottom w:val="none" w:sz="0" w:space="0" w:color="auto"/>
            <w:right w:val="none" w:sz="0" w:space="0" w:color="auto"/>
          </w:divBdr>
        </w:div>
        <w:div w:id="1282611777">
          <w:marLeft w:val="0"/>
          <w:marRight w:val="0"/>
          <w:marTop w:val="0"/>
          <w:marBottom w:val="0"/>
          <w:divBdr>
            <w:top w:val="none" w:sz="0" w:space="0" w:color="auto"/>
            <w:left w:val="none" w:sz="0" w:space="0" w:color="auto"/>
            <w:bottom w:val="none" w:sz="0" w:space="0" w:color="auto"/>
            <w:right w:val="none" w:sz="0" w:space="0" w:color="auto"/>
          </w:divBdr>
        </w:div>
        <w:div w:id="1283149419">
          <w:marLeft w:val="0"/>
          <w:marRight w:val="0"/>
          <w:marTop w:val="0"/>
          <w:marBottom w:val="0"/>
          <w:divBdr>
            <w:top w:val="none" w:sz="0" w:space="0" w:color="auto"/>
            <w:left w:val="none" w:sz="0" w:space="0" w:color="auto"/>
            <w:bottom w:val="none" w:sz="0" w:space="0" w:color="auto"/>
            <w:right w:val="none" w:sz="0" w:space="0" w:color="auto"/>
          </w:divBdr>
        </w:div>
        <w:div w:id="1290090088">
          <w:marLeft w:val="0"/>
          <w:marRight w:val="0"/>
          <w:marTop w:val="0"/>
          <w:marBottom w:val="0"/>
          <w:divBdr>
            <w:top w:val="none" w:sz="0" w:space="0" w:color="auto"/>
            <w:left w:val="none" w:sz="0" w:space="0" w:color="auto"/>
            <w:bottom w:val="none" w:sz="0" w:space="0" w:color="auto"/>
            <w:right w:val="none" w:sz="0" w:space="0" w:color="auto"/>
          </w:divBdr>
        </w:div>
        <w:div w:id="1300068758">
          <w:marLeft w:val="0"/>
          <w:marRight w:val="0"/>
          <w:marTop w:val="0"/>
          <w:marBottom w:val="0"/>
          <w:divBdr>
            <w:top w:val="none" w:sz="0" w:space="0" w:color="auto"/>
            <w:left w:val="none" w:sz="0" w:space="0" w:color="auto"/>
            <w:bottom w:val="none" w:sz="0" w:space="0" w:color="auto"/>
            <w:right w:val="none" w:sz="0" w:space="0" w:color="auto"/>
          </w:divBdr>
        </w:div>
        <w:div w:id="1311473456">
          <w:marLeft w:val="0"/>
          <w:marRight w:val="0"/>
          <w:marTop w:val="0"/>
          <w:marBottom w:val="0"/>
          <w:divBdr>
            <w:top w:val="none" w:sz="0" w:space="0" w:color="auto"/>
            <w:left w:val="none" w:sz="0" w:space="0" w:color="auto"/>
            <w:bottom w:val="none" w:sz="0" w:space="0" w:color="auto"/>
            <w:right w:val="none" w:sz="0" w:space="0" w:color="auto"/>
          </w:divBdr>
        </w:div>
        <w:div w:id="1313212823">
          <w:marLeft w:val="0"/>
          <w:marRight w:val="0"/>
          <w:marTop w:val="0"/>
          <w:marBottom w:val="0"/>
          <w:divBdr>
            <w:top w:val="none" w:sz="0" w:space="0" w:color="auto"/>
            <w:left w:val="none" w:sz="0" w:space="0" w:color="auto"/>
            <w:bottom w:val="none" w:sz="0" w:space="0" w:color="auto"/>
            <w:right w:val="none" w:sz="0" w:space="0" w:color="auto"/>
          </w:divBdr>
        </w:div>
        <w:div w:id="1321425694">
          <w:marLeft w:val="0"/>
          <w:marRight w:val="0"/>
          <w:marTop w:val="0"/>
          <w:marBottom w:val="0"/>
          <w:divBdr>
            <w:top w:val="none" w:sz="0" w:space="0" w:color="auto"/>
            <w:left w:val="none" w:sz="0" w:space="0" w:color="auto"/>
            <w:bottom w:val="none" w:sz="0" w:space="0" w:color="auto"/>
            <w:right w:val="none" w:sz="0" w:space="0" w:color="auto"/>
          </w:divBdr>
        </w:div>
        <w:div w:id="1323269784">
          <w:marLeft w:val="0"/>
          <w:marRight w:val="0"/>
          <w:marTop w:val="0"/>
          <w:marBottom w:val="0"/>
          <w:divBdr>
            <w:top w:val="none" w:sz="0" w:space="0" w:color="auto"/>
            <w:left w:val="none" w:sz="0" w:space="0" w:color="auto"/>
            <w:bottom w:val="none" w:sz="0" w:space="0" w:color="auto"/>
            <w:right w:val="none" w:sz="0" w:space="0" w:color="auto"/>
          </w:divBdr>
        </w:div>
        <w:div w:id="1324896286">
          <w:marLeft w:val="0"/>
          <w:marRight w:val="0"/>
          <w:marTop w:val="0"/>
          <w:marBottom w:val="0"/>
          <w:divBdr>
            <w:top w:val="none" w:sz="0" w:space="0" w:color="auto"/>
            <w:left w:val="none" w:sz="0" w:space="0" w:color="auto"/>
            <w:bottom w:val="none" w:sz="0" w:space="0" w:color="auto"/>
            <w:right w:val="none" w:sz="0" w:space="0" w:color="auto"/>
          </w:divBdr>
        </w:div>
        <w:div w:id="1330908051">
          <w:marLeft w:val="0"/>
          <w:marRight w:val="0"/>
          <w:marTop w:val="0"/>
          <w:marBottom w:val="0"/>
          <w:divBdr>
            <w:top w:val="none" w:sz="0" w:space="0" w:color="auto"/>
            <w:left w:val="none" w:sz="0" w:space="0" w:color="auto"/>
            <w:bottom w:val="none" w:sz="0" w:space="0" w:color="auto"/>
            <w:right w:val="none" w:sz="0" w:space="0" w:color="auto"/>
          </w:divBdr>
        </w:div>
        <w:div w:id="1341543725">
          <w:marLeft w:val="0"/>
          <w:marRight w:val="0"/>
          <w:marTop w:val="0"/>
          <w:marBottom w:val="0"/>
          <w:divBdr>
            <w:top w:val="none" w:sz="0" w:space="0" w:color="auto"/>
            <w:left w:val="none" w:sz="0" w:space="0" w:color="auto"/>
            <w:bottom w:val="none" w:sz="0" w:space="0" w:color="auto"/>
            <w:right w:val="none" w:sz="0" w:space="0" w:color="auto"/>
          </w:divBdr>
        </w:div>
        <w:div w:id="1352486268">
          <w:marLeft w:val="0"/>
          <w:marRight w:val="0"/>
          <w:marTop w:val="0"/>
          <w:marBottom w:val="0"/>
          <w:divBdr>
            <w:top w:val="none" w:sz="0" w:space="0" w:color="auto"/>
            <w:left w:val="none" w:sz="0" w:space="0" w:color="auto"/>
            <w:bottom w:val="none" w:sz="0" w:space="0" w:color="auto"/>
            <w:right w:val="none" w:sz="0" w:space="0" w:color="auto"/>
          </w:divBdr>
        </w:div>
        <w:div w:id="1362434908">
          <w:marLeft w:val="0"/>
          <w:marRight w:val="0"/>
          <w:marTop w:val="0"/>
          <w:marBottom w:val="0"/>
          <w:divBdr>
            <w:top w:val="none" w:sz="0" w:space="0" w:color="auto"/>
            <w:left w:val="none" w:sz="0" w:space="0" w:color="auto"/>
            <w:bottom w:val="none" w:sz="0" w:space="0" w:color="auto"/>
            <w:right w:val="none" w:sz="0" w:space="0" w:color="auto"/>
          </w:divBdr>
        </w:div>
        <w:div w:id="1363088594">
          <w:marLeft w:val="0"/>
          <w:marRight w:val="0"/>
          <w:marTop w:val="0"/>
          <w:marBottom w:val="0"/>
          <w:divBdr>
            <w:top w:val="none" w:sz="0" w:space="0" w:color="auto"/>
            <w:left w:val="none" w:sz="0" w:space="0" w:color="auto"/>
            <w:bottom w:val="none" w:sz="0" w:space="0" w:color="auto"/>
            <w:right w:val="none" w:sz="0" w:space="0" w:color="auto"/>
          </w:divBdr>
        </w:div>
        <w:div w:id="1373388430">
          <w:marLeft w:val="0"/>
          <w:marRight w:val="0"/>
          <w:marTop w:val="0"/>
          <w:marBottom w:val="0"/>
          <w:divBdr>
            <w:top w:val="none" w:sz="0" w:space="0" w:color="auto"/>
            <w:left w:val="none" w:sz="0" w:space="0" w:color="auto"/>
            <w:bottom w:val="none" w:sz="0" w:space="0" w:color="auto"/>
            <w:right w:val="none" w:sz="0" w:space="0" w:color="auto"/>
          </w:divBdr>
        </w:div>
        <w:div w:id="1374113227">
          <w:marLeft w:val="0"/>
          <w:marRight w:val="0"/>
          <w:marTop w:val="0"/>
          <w:marBottom w:val="0"/>
          <w:divBdr>
            <w:top w:val="none" w:sz="0" w:space="0" w:color="auto"/>
            <w:left w:val="none" w:sz="0" w:space="0" w:color="auto"/>
            <w:bottom w:val="none" w:sz="0" w:space="0" w:color="auto"/>
            <w:right w:val="none" w:sz="0" w:space="0" w:color="auto"/>
          </w:divBdr>
        </w:div>
        <w:div w:id="1375887997">
          <w:marLeft w:val="0"/>
          <w:marRight w:val="0"/>
          <w:marTop w:val="0"/>
          <w:marBottom w:val="0"/>
          <w:divBdr>
            <w:top w:val="none" w:sz="0" w:space="0" w:color="auto"/>
            <w:left w:val="none" w:sz="0" w:space="0" w:color="auto"/>
            <w:bottom w:val="none" w:sz="0" w:space="0" w:color="auto"/>
            <w:right w:val="none" w:sz="0" w:space="0" w:color="auto"/>
          </w:divBdr>
        </w:div>
        <w:div w:id="1377074760">
          <w:marLeft w:val="0"/>
          <w:marRight w:val="0"/>
          <w:marTop w:val="0"/>
          <w:marBottom w:val="0"/>
          <w:divBdr>
            <w:top w:val="none" w:sz="0" w:space="0" w:color="auto"/>
            <w:left w:val="none" w:sz="0" w:space="0" w:color="auto"/>
            <w:bottom w:val="none" w:sz="0" w:space="0" w:color="auto"/>
            <w:right w:val="none" w:sz="0" w:space="0" w:color="auto"/>
          </w:divBdr>
        </w:div>
        <w:div w:id="1382443230">
          <w:marLeft w:val="0"/>
          <w:marRight w:val="0"/>
          <w:marTop w:val="0"/>
          <w:marBottom w:val="0"/>
          <w:divBdr>
            <w:top w:val="none" w:sz="0" w:space="0" w:color="auto"/>
            <w:left w:val="none" w:sz="0" w:space="0" w:color="auto"/>
            <w:bottom w:val="none" w:sz="0" w:space="0" w:color="auto"/>
            <w:right w:val="none" w:sz="0" w:space="0" w:color="auto"/>
          </w:divBdr>
        </w:div>
        <w:div w:id="1390036236">
          <w:marLeft w:val="0"/>
          <w:marRight w:val="0"/>
          <w:marTop w:val="0"/>
          <w:marBottom w:val="0"/>
          <w:divBdr>
            <w:top w:val="none" w:sz="0" w:space="0" w:color="auto"/>
            <w:left w:val="none" w:sz="0" w:space="0" w:color="auto"/>
            <w:bottom w:val="none" w:sz="0" w:space="0" w:color="auto"/>
            <w:right w:val="none" w:sz="0" w:space="0" w:color="auto"/>
          </w:divBdr>
        </w:div>
        <w:div w:id="1390836183">
          <w:marLeft w:val="0"/>
          <w:marRight w:val="0"/>
          <w:marTop w:val="0"/>
          <w:marBottom w:val="0"/>
          <w:divBdr>
            <w:top w:val="none" w:sz="0" w:space="0" w:color="auto"/>
            <w:left w:val="none" w:sz="0" w:space="0" w:color="auto"/>
            <w:bottom w:val="none" w:sz="0" w:space="0" w:color="auto"/>
            <w:right w:val="none" w:sz="0" w:space="0" w:color="auto"/>
          </w:divBdr>
        </w:div>
        <w:div w:id="1392730056">
          <w:marLeft w:val="0"/>
          <w:marRight w:val="0"/>
          <w:marTop w:val="0"/>
          <w:marBottom w:val="0"/>
          <w:divBdr>
            <w:top w:val="none" w:sz="0" w:space="0" w:color="auto"/>
            <w:left w:val="none" w:sz="0" w:space="0" w:color="auto"/>
            <w:bottom w:val="none" w:sz="0" w:space="0" w:color="auto"/>
            <w:right w:val="none" w:sz="0" w:space="0" w:color="auto"/>
          </w:divBdr>
        </w:div>
        <w:div w:id="1397168941">
          <w:marLeft w:val="0"/>
          <w:marRight w:val="0"/>
          <w:marTop w:val="0"/>
          <w:marBottom w:val="0"/>
          <w:divBdr>
            <w:top w:val="none" w:sz="0" w:space="0" w:color="auto"/>
            <w:left w:val="none" w:sz="0" w:space="0" w:color="auto"/>
            <w:bottom w:val="none" w:sz="0" w:space="0" w:color="auto"/>
            <w:right w:val="none" w:sz="0" w:space="0" w:color="auto"/>
          </w:divBdr>
        </w:div>
        <w:div w:id="1402826617">
          <w:marLeft w:val="0"/>
          <w:marRight w:val="0"/>
          <w:marTop w:val="0"/>
          <w:marBottom w:val="0"/>
          <w:divBdr>
            <w:top w:val="none" w:sz="0" w:space="0" w:color="auto"/>
            <w:left w:val="none" w:sz="0" w:space="0" w:color="auto"/>
            <w:bottom w:val="none" w:sz="0" w:space="0" w:color="auto"/>
            <w:right w:val="none" w:sz="0" w:space="0" w:color="auto"/>
          </w:divBdr>
        </w:div>
        <w:div w:id="1405837270">
          <w:marLeft w:val="0"/>
          <w:marRight w:val="0"/>
          <w:marTop w:val="0"/>
          <w:marBottom w:val="0"/>
          <w:divBdr>
            <w:top w:val="none" w:sz="0" w:space="0" w:color="auto"/>
            <w:left w:val="none" w:sz="0" w:space="0" w:color="auto"/>
            <w:bottom w:val="none" w:sz="0" w:space="0" w:color="auto"/>
            <w:right w:val="none" w:sz="0" w:space="0" w:color="auto"/>
          </w:divBdr>
        </w:div>
        <w:div w:id="1409111119">
          <w:marLeft w:val="0"/>
          <w:marRight w:val="0"/>
          <w:marTop w:val="0"/>
          <w:marBottom w:val="0"/>
          <w:divBdr>
            <w:top w:val="none" w:sz="0" w:space="0" w:color="auto"/>
            <w:left w:val="none" w:sz="0" w:space="0" w:color="auto"/>
            <w:bottom w:val="none" w:sz="0" w:space="0" w:color="auto"/>
            <w:right w:val="none" w:sz="0" w:space="0" w:color="auto"/>
          </w:divBdr>
        </w:div>
        <w:div w:id="1412897566">
          <w:marLeft w:val="0"/>
          <w:marRight w:val="0"/>
          <w:marTop w:val="0"/>
          <w:marBottom w:val="0"/>
          <w:divBdr>
            <w:top w:val="none" w:sz="0" w:space="0" w:color="auto"/>
            <w:left w:val="none" w:sz="0" w:space="0" w:color="auto"/>
            <w:bottom w:val="none" w:sz="0" w:space="0" w:color="auto"/>
            <w:right w:val="none" w:sz="0" w:space="0" w:color="auto"/>
          </w:divBdr>
        </w:div>
        <w:div w:id="1419719296">
          <w:marLeft w:val="0"/>
          <w:marRight w:val="0"/>
          <w:marTop w:val="0"/>
          <w:marBottom w:val="0"/>
          <w:divBdr>
            <w:top w:val="none" w:sz="0" w:space="0" w:color="auto"/>
            <w:left w:val="none" w:sz="0" w:space="0" w:color="auto"/>
            <w:bottom w:val="none" w:sz="0" w:space="0" w:color="auto"/>
            <w:right w:val="none" w:sz="0" w:space="0" w:color="auto"/>
          </w:divBdr>
        </w:div>
        <w:div w:id="1427770270">
          <w:marLeft w:val="0"/>
          <w:marRight w:val="0"/>
          <w:marTop w:val="0"/>
          <w:marBottom w:val="0"/>
          <w:divBdr>
            <w:top w:val="none" w:sz="0" w:space="0" w:color="auto"/>
            <w:left w:val="none" w:sz="0" w:space="0" w:color="auto"/>
            <w:bottom w:val="none" w:sz="0" w:space="0" w:color="auto"/>
            <w:right w:val="none" w:sz="0" w:space="0" w:color="auto"/>
          </w:divBdr>
        </w:div>
        <w:div w:id="1428043663">
          <w:marLeft w:val="0"/>
          <w:marRight w:val="0"/>
          <w:marTop w:val="0"/>
          <w:marBottom w:val="0"/>
          <w:divBdr>
            <w:top w:val="none" w:sz="0" w:space="0" w:color="auto"/>
            <w:left w:val="none" w:sz="0" w:space="0" w:color="auto"/>
            <w:bottom w:val="none" w:sz="0" w:space="0" w:color="auto"/>
            <w:right w:val="none" w:sz="0" w:space="0" w:color="auto"/>
          </w:divBdr>
        </w:div>
        <w:div w:id="1431002697">
          <w:marLeft w:val="0"/>
          <w:marRight w:val="0"/>
          <w:marTop w:val="0"/>
          <w:marBottom w:val="0"/>
          <w:divBdr>
            <w:top w:val="none" w:sz="0" w:space="0" w:color="auto"/>
            <w:left w:val="none" w:sz="0" w:space="0" w:color="auto"/>
            <w:bottom w:val="none" w:sz="0" w:space="0" w:color="auto"/>
            <w:right w:val="none" w:sz="0" w:space="0" w:color="auto"/>
          </w:divBdr>
        </w:div>
        <w:div w:id="1432162338">
          <w:marLeft w:val="0"/>
          <w:marRight w:val="0"/>
          <w:marTop w:val="0"/>
          <w:marBottom w:val="0"/>
          <w:divBdr>
            <w:top w:val="none" w:sz="0" w:space="0" w:color="auto"/>
            <w:left w:val="none" w:sz="0" w:space="0" w:color="auto"/>
            <w:bottom w:val="none" w:sz="0" w:space="0" w:color="auto"/>
            <w:right w:val="none" w:sz="0" w:space="0" w:color="auto"/>
          </w:divBdr>
        </w:div>
        <w:div w:id="1441146970">
          <w:marLeft w:val="0"/>
          <w:marRight w:val="0"/>
          <w:marTop w:val="0"/>
          <w:marBottom w:val="0"/>
          <w:divBdr>
            <w:top w:val="none" w:sz="0" w:space="0" w:color="auto"/>
            <w:left w:val="none" w:sz="0" w:space="0" w:color="auto"/>
            <w:bottom w:val="none" w:sz="0" w:space="0" w:color="auto"/>
            <w:right w:val="none" w:sz="0" w:space="0" w:color="auto"/>
          </w:divBdr>
        </w:div>
        <w:div w:id="1453675197">
          <w:marLeft w:val="0"/>
          <w:marRight w:val="0"/>
          <w:marTop w:val="0"/>
          <w:marBottom w:val="0"/>
          <w:divBdr>
            <w:top w:val="none" w:sz="0" w:space="0" w:color="auto"/>
            <w:left w:val="none" w:sz="0" w:space="0" w:color="auto"/>
            <w:bottom w:val="none" w:sz="0" w:space="0" w:color="auto"/>
            <w:right w:val="none" w:sz="0" w:space="0" w:color="auto"/>
          </w:divBdr>
        </w:div>
        <w:div w:id="1456215512">
          <w:marLeft w:val="0"/>
          <w:marRight w:val="0"/>
          <w:marTop w:val="0"/>
          <w:marBottom w:val="0"/>
          <w:divBdr>
            <w:top w:val="none" w:sz="0" w:space="0" w:color="auto"/>
            <w:left w:val="none" w:sz="0" w:space="0" w:color="auto"/>
            <w:bottom w:val="none" w:sz="0" w:space="0" w:color="auto"/>
            <w:right w:val="none" w:sz="0" w:space="0" w:color="auto"/>
          </w:divBdr>
        </w:div>
        <w:div w:id="1471360091">
          <w:marLeft w:val="0"/>
          <w:marRight w:val="0"/>
          <w:marTop w:val="0"/>
          <w:marBottom w:val="0"/>
          <w:divBdr>
            <w:top w:val="none" w:sz="0" w:space="0" w:color="auto"/>
            <w:left w:val="none" w:sz="0" w:space="0" w:color="auto"/>
            <w:bottom w:val="none" w:sz="0" w:space="0" w:color="auto"/>
            <w:right w:val="none" w:sz="0" w:space="0" w:color="auto"/>
          </w:divBdr>
        </w:div>
        <w:div w:id="1474643805">
          <w:marLeft w:val="0"/>
          <w:marRight w:val="0"/>
          <w:marTop w:val="0"/>
          <w:marBottom w:val="0"/>
          <w:divBdr>
            <w:top w:val="none" w:sz="0" w:space="0" w:color="auto"/>
            <w:left w:val="none" w:sz="0" w:space="0" w:color="auto"/>
            <w:bottom w:val="none" w:sz="0" w:space="0" w:color="auto"/>
            <w:right w:val="none" w:sz="0" w:space="0" w:color="auto"/>
          </w:divBdr>
        </w:div>
        <w:div w:id="1475831398">
          <w:marLeft w:val="0"/>
          <w:marRight w:val="0"/>
          <w:marTop w:val="0"/>
          <w:marBottom w:val="0"/>
          <w:divBdr>
            <w:top w:val="none" w:sz="0" w:space="0" w:color="auto"/>
            <w:left w:val="none" w:sz="0" w:space="0" w:color="auto"/>
            <w:bottom w:val="none" w:sz="0" w:space="0" w:color="auto"/>
            <w:right w:val="none" w:sz="0" w:space="0" w:color="auto"/>
          </w:divBdr>
        </w:div>
        <w:div w:id="1480074297">
          <w:marLeft w:val="0"/>
          <w:marRight w:val="0"/>
          <w:marTop w:val="0"/>
          <w:marBottom w:val="0"/>
          <w:divBdr>
            <w:top w:val="none" w:sz="0" w:space="0" w:color="auto"/>
            <w:left w:val="none" w:sz="0" w:space="0" w:color="auto"/>
            <w:bottom w:val="none" w:sz="0" w:space="0" w:color="auto"/>
            <w:right w:val="none" w:sz="0" w:space="0" w:color="auto"/>
          </w:divBdr>
        </w:div>
        <w:div w:id="1480420578">
          <w:marLeft w:val="0"/>
          <w:marRight w:val="0"/>
          <w:marTop w:val="0"/>
          <w:marBottom w:val="0"/>
          <w:divBdr>
            <w:top w:val="none" w:sz="0" w:space="0" w:color="auto"/>
            <w:left w:val="none" w:sz="0" w:space="0" w:color="auto"/>
            <w:bottom w:val="none" w:sz="0" w:space="0" w:color="auto"/>
            <w:right w:val="none" w:sz="0" w:space="0" w:color="auto"/>
          </w:divBdr>
        </w:div>
        <w:div w:id="1483042174">
          <w:marLeft w:val="0"/>
          <w:marRight w:val="0"/>
          <w:marTop w:val="0"/>
          <w:marBottom w:val="0"/>
          <w:divBdr>
            <w:top w:val="none" w:sz="0" w:space="0" w:color="auto"/>
            <w:left w:val="none" w:sz="0" w:space="0" w:color="auto"/>
            <w:bottom w:val="none" w:sz="0" w:space="0" w:color="auto"/>
            <w:right w:val="none" w:sz="0" w:space="0" w:color="auto"/>
          </w:divBdr>
        </w:div>
        <w:div w:id="1490437763">
          <w:marLeft w:val="0"/>
          <w:marRight w:val="0"/>
          <w:marTop w:val="0"/>
          <w:marBottom w:val="0"/>
          <w:divBdr>
            <w:top w:val="none" w:sz="0" w:space="0" w:color="auto"/>
            <w:left w:val="none" w:sz="0" w:space="0" w:color="auto"/>
            <w:bottom w:val="none" w:sz="0" w:space="0" w:color="auto"/>
            <w:right w:val="none" w:sz="0" w:space="0" w:color="auto"/>
          </w:divBdr>
        </w:div>
        <w:div w:id="1490711487">
          <w:marLeft w:val="0"/>
          <w:marRight w:val="0"/>
          <w:marTop w:val="0"/>
          <w:marBottom w:val="0"/>
          <w:divBdr>
            <w:top w:val="none" w:sz="0" w:space="0" w:color="auto"/>
            <w:left w:val="none" w:sz="0" w:space="0" w:color="auto"/>
            <w:bottom w:val="none" w:sz="0" w:space="0" w:color="auto"/>
            <w:right w:val="none" w:sz="0" w:space="0" w:color="auto"/>
          </w:divBdr>
        </w:div>
        <w:div w:id="1492067341">
          <w:marLeft w:val="0"/>
          <w:marRight w:val="0"/>
          <w:marTop w:val="0"/>
          <w:marBottom w:val="0"/>
          <w:divBdr>
            <w:top w:val="none" w:sz="0" w:space="0" w:color="auto"/>
            <w:left w:val="none" w:sz="0" w:space="0" w:color="auto"/>
            <w:bottom w:val="none" w:sz="0" w:space="0" w:color="auto"/>
            <w:right w:val="none" w:sz="0" w:space="0" w:color="auto"/>
          </w:divBdr>
        </w:div>
        <w:div w:id="1492481877">
          <w:marLeft w:val="0"/>
          <w:marRight w:val="0"/>
          <w:marTop w:val="0"/>
          <w:marBottom w:val="0"/>
          <w:divBdr>
            <w:top w:val="none" w:sz="0" w:space="0" w:color="auto"/>
            <w:left w:val="none" w:sz="0" w:space="0" w:color="auto"/>
            <w:bottom w:val="none" w:sz="0" w:space="0" w:color="auto"/>
            <w:right w:val="none" w:sz="0" w:space="0" w:color="auto"/>
          </w:divBdr>
        </w:div>
        <w:div w:id="1494762305">
          <w:marLeft w:val="0"/>
          <w:marRight w:val="0"/>
          <w:marTop w:val="0"/>
          <w:marBottom w:val="0"/>
          <w:divBdr>
            <w:top w:val="none" w:sz="0" w:space="0" w:color="auto"/>
            <w:left w:val="none" w:sz="0" w:space="0" w:color="auto"/>
            <w:bottom w:val="none" w:sz="0" w:space="0" w:color="auto"/>
            <w:right w:val="none" w:sz="0" w:space="0" w:color="auto"/>
          </w:divBdr>
        </w:div>
        <w:div w:id="1500850004">
          <w:marLeft w:val="0"/>
          <w:marRight w:val="0"/>
          <w:marTop w:val="0"/>
          <w:marBottom w:val="0"/>
          <w:divBdr>
            <w:top w:val="none" w:sz="0" w:space="0" w:color="auto"/>
            <w:left w:val="none" w:sz="0" w:space="0" w:color="auto"/>
            <w:bottom w:val="none" w:sz="0" w:space="0" w:color="auto"/>
            <w:right w:val="none" w:sz="0" w:space="0" w:color="auto"/>
          </w:divBdr>
        </w:div>
        <w:div w:id="1511526598">
          <w:marLeft w:val="0"/>
          <w:marRight w:val="0"/>
          <w:marTop w:val="0"/>
          <w:marBottom w:val="0"/>
          <w:divBdr>
            <w:top w:val="none" w:sz="0" w:space="0" w:color="auto"/>
            <w:left w:val="none" w:sz="0" w:space="0" w:color="auto"/>
            <w:bottom w:val="none" w:sz="0" w:space="0" w:color="auto"/>
            <w:right w:val="none" w:sz="0" w:space="0" w:color="auto"/>
          </w:divBdr>
        </w:div>
        <w:div w:id="1512136970">
          <w:marLeft w:val="0"/>
          <w:marRight w:val="0"/>
          <w:marTop w:val="0"/>
          <w:marBottom w:val="0"/>
          <w:divBdr>
            <w:top w:val="none" w:sz="0" w:space="0" w:color="auto"/>
            <w:left w:val="none" w:sz="0" w:space="0" w:color="auto"/>
            <w:bottom w:val="none" w:sz="0" w:space="0" w:color="auto"/>
            <w:right w:val="none" w:sz="0" w:space="0" w:color="auto"/>
          </w:divBdr>
        </w:div>
        <w:div w:id="1512378644">
          <w:marLeft w:val="0"/>
          <w:marRight w:val="0"/>
          <w:marTop w:val="0"/>
          <w:marBottom w:val="0"/>
          <w:divBdr>
            <w:top w:val="none" w:sz="0" w:space="0" w:color="auto"/>
            <w:left w:val="none" w:sz="0" w:space="0" w:color="auto"/>
            <w:bottom w:val="none" w:sz="0" w:space="0" w:color="auto"/>
            <w:right w:val="none" w:sz="0" w:space="0" w:color="auto"/>
          </w:divBdr>
        </w:div>
        <w:div w:id="1514799703">
          <w:marLeft w:val="0"/>
          <w:marRight w:val="0"/>
          <w:marTop w:val="0"/>
          <w:marBottom w:val="0"/>
          <w:divBdr>
            <w:top w:val="none" w:sz="0" w:space="0" w:color="auto"/>
            <w:left w:val="none" w:sz="0" w:space="0" w:color="auto"/>
            <w:bottom w:val="none" w:sz="0" w:space="0" w:color="auto"/>
            <w:right w:val="none" w:sz="0" w:space="0" w:color="auto"/>
          </w:divBdr>
        </w:div>
        <w:div w:id="1516653220">
          <w:marLeft w:val="0"/>
          <w:marRight w:val="0"/>
          <w:marTop w:val="0"/>
          <w:marBottom w:val="0"/>
          <w:divBdr>
            <w:top w:val="none" w:sz="0" w:space="0" w:color="auto"/>
            <w:left w:val="none" w:sz="0" w:space="0" w:color="auto"/>
            <w:bottom w:val="none" w:sz="0" w:space="0" w:color="auto"/>
            <w:right w:val="none" w:sz="0" w:space="0" w:color="auto"/>
          </w:divBdr>
        </w:div>
        <w:div w:id="1528251139">
          <w:marLeft w:val="0"/>
          <w:marRight w:val="0"/>
          <w:marTop w:val="0"/>
          <w:marBottom w:val="0"/>
          <w:divBdr>
            <w:top w:val="none" w:sz="0" w:space="0" w:color="auto"/>
            <w:left w:val="none" w:sz="0" w:space="0" w:color="auto"/>
            <w:bottom w:val="none" w:sz="0" w:space="0" w:color="auto"/>
            <w:right w:val="none" w:sz="0" w:space="0" w:color="auto"/>
          </w:divBdr>
        </w:div>
        <w:div w:id="1541090673">
          <w:marLeft w:val="0"/>
          <w:marRight w:val="0"/>
          <w:marTop w:val="0"/>
          <w:marBottom w:val="0"/>
          <w:divBdr>
            <w:top w:val="none" w:sz="0" w:space="0" w:color="auto"/>
            <w:left w:val="none" w:sz="0" w:space="0" w:color="auto"/>
            <w:bottom w:val="none" w:sz="0" w:space="0" w:color="auto"/>
            <w:right w:val="none" w:sz="0" w:space="0" w:color="auto"/>
          </w:divBdr>
        </w:div>
        <w:div w:id="1553928358">
          <w:marLeft w:val="0"/>
          <w:marRight w:val="0"/>
          <w:marTop w:val="0"/>
          <w:marBottom w:val="0"/>
          <w:divBdr>
            <w:top w:val="none" w:sz="0" w:space="0" w:color="auto"/>
            <w:left w:val="none" w:sz="0" w:space="0" w:color="auto"/>
            <w:bottom w:val="none" w:sz="0" w:space="0" w:color="auto"/>
            <w:right w:val="none" w:sz="0" w:space="0" w:color="auto"/>
          </w:divBdr>
        </w:div>
        <w:div w:id="1556813320">
          <w:marLeft w:val="0"/>
          <w:marRight w:val="0"/>
          <w:marTop w:val="0"/>
          <w:marBottom w:val="0"/>
          <w:divBdr>
            <w:top w:val="none" w:sz="0" w:space="0" w:color="auto"/>
            <w:left w:val="none" w:sz="0" w:space="0" w:color="auto"/>
            <w:bottom w:val="none" w:sz="0" w:space="0" w:color="auto"/>
            <w:right w:val="none" w:sz="0" w:space="0" w:color="auto"/>
          </w:divBdr>
        </w:div>
        <w:div w:id="1559321237">
          <w:marLeft w:val="0"/>
          <w:marRight w:val="0"/>
          <w:marTop w:val="0"/>
          <w:marBottom w:val="0"/>
          <w:divBdr>
            <w:top w:val="none" w:sz="0" w:space="0" w:color="auto"/>
            <w:left w:val="none" w:sz="0" w:space="0" w:color="auto"/>
            <w:bottom w:val="none" w:sz="0" w:space="0" w:color="auto"/>
            <w:right w:val="none" w:sz="0" w:space="0" w:color="auto"/>
          </w:divBdr>
        </w:div>
        <w:div w:id="1562012098">
          <w:marLeft w:val="0"/>
          <w:marRight w:val="0"/>
          <w:marTop w:val="0"/>
          <w:marBottom w:val="0"/>
          <w:divBdr>
            <w:top w:val="none" w:sz="0" w:space="0" w:color="auto"/>
            <w:left w:val="none" w:sz="0" w:space="0" w:color="auto"/>
            <w:bottom w:val="none" w:sz="0" w:space="0" w:color="auto"/>
            <w:right w:val="none" w:sz="0" w:space="0" w:color="auto"/>
          </w:divBdr>
        </w:div>
        <w:div w:id="1563757526">
          <w:marLeft w:val="0"/>
          <w:marRight w:val="0"/>
          <w:marTop w:val="0"/>
          <w:marBottom w:val="0"/>
          <w:divBdr>
            <w:top w:val="none" w:sz="0" w:space="0" w:color="auto"/>
            <w:left w:val="none" w:sz="0" w:space="0" w:color="auto"/>
            <w:bottom w:val="none" w:sz="0" w:space="0" w:color="auto"/>
            <w:right w:val="none" w:sz="0" w:space="0" w:color="auto"/>
          </w:divBdr>
        </w:div>
        <w:div w:id="1570340476">
          <w:marLeft w:val="0"/>
          <w:marRight w:val="0"/>
          <w:marTop w:val="0"/>
          <w:marBottom w:val="0"/>
          <w:divBdr>
            <w:top w:val="none" w:sz="0" w:space="0" w:color="auto"/>
            <w:left w:val="none" w:sz="0" w:space="0" w:color="auto"/>
            <w:bottom w:val="none" w:sz="0" w:space="0" w:color="auto"/>
            <w:right w:val="none" w:sz="0" w:space="0" w:color="auto"/>
          </w:divBdr>
        </w:div>
        <w:div w:id="1573351670">
          <w:marLeft w:val="0"/>
          <w:marRight w:val="0"/>
          <w:marTop w:val="0"/>
          <w:marBottom w:val="0"/>
          <w:divBdr>
            <w:top w:val="none" w:sz="0" w:space="0" w:color="auto"/>
            <w:left w:val="none" w:sz="0" w:space="0" w:color="auto"/>
            <w:bottom w:val="none" w:sz="0" w:space="0" w:color="auto"/>
            <w:right w:val="none" w:sz="0" w:space="0" w:color="auto"/>
          </w:divBdr>
          <w:divsChild>
            <w:div w:id="3217025">
              <w:marLeft w:val="0"/>
              <w:marRight w:val="0"/>
              <w:marTop w:val="0"/>
              <w:marBottom w:val="0"/>
              <w:divBdr>
                <w:top w:val="none" w:sz="0" w:space="0" w:color="auto"/>
                <w:left w:val="none" w:sz="0" w:space="0" w:color="auto"/>
                <w:bottom w:val="none" w:sz="0" w:space="0" w:color="auto"/>
                <w:right w:val="none" w:sz="0" w:space="0" w:color="auto"/>
              </w:divBdr>
            </w:div>
            <w:div w:id="5906459">
              <w:marLeft w:val="0"/>
              <w:marRight w:val="0"/>
              <w:marTop w:val="0"/>
              <w:marBottom w:val="0"/>
              <w:divBdr>
                <w:top w:val="none" w:sz="0" w:space="0" w:color="auto"/>
                <w:left w:val="none" w:sz="0" w:space="0" w:color="auto"/>
                <w:bottom w:val="none" w:sz="0" w:space="0" w:color="auto"/>
                <w:right w:val="none" w:sz="0" w:space="0" w:color="auto"/>
              </w:divBdr>
            </w:div>
            <w:div w:id="22705734">
              <w:marLeft w:val="0"/>
              <w:marRight w:val="0"/>
              <w:marTop w:val="0"/>
              <w:marBottom w:val="0"/>
              <w:divBdr>
                <w:top w:val="none" w:sz="0" w:space="0" w:color="auto"/>
                <w:left w:val="none" w:sz="0" w:space="0" w:color="auto"/>
                <w:bottom w:val="none" w:sz="0" w:space="0" w:color="auto"/>
                <w:right w:val="none" w:sz="0" w:space="0" w:color="auto"/>
              </w:divBdr>
            </w:div>
            <w:div w:id="39979862">
              <w:marLeft w:val="0"/>
              <w:marRight w:val="0"/>
              <w:marTop w:val="0"/>
              <w:marBottom w:val="0"/>
              <w:divBdr>
                <w:top w:val="none" w:sz="0" w:space="0" w:color="auto"/>
                <w:left w:val="none" w:sz="0" w:space="0" w:color="auto"/>
                <w:bottom w:val="none" w:sz="0" w:space="0" w:color="auto"/>
                <w:right w:val="none" w:sz="0" w:space="0" w:color="auto"/>
              </w:divBdr>
            </w:div>
            <w:div w:id="42563922">
              <w:marLeft w:val="0"/>
              <w:marRight w:val="0"/>
              <w:marTop w:val="0"/>
              <w:marBottom w:val="0"/>
              <w:divBdr>
                <w:top w:val="none" w:sz="0" w:space="0" w:color="auto"/>
                <w:left w:val="none" w:sz="0" w:space="0" w:color="auto"/>
                <w:bottom w:val="none" w:sz="0" w:space="0" w:color="auto"/>
                <w:right w:val="none" w:sz="0" w:space="0" w:color="auto"/>
              </w:divBdr>
            </w:div>
            <w:div w:id="45302634">
              <w:marLeft w:val="0"/>
              <w:marRight w:val="0"/>
              <w:marTop w:val="0"/>
              <w:marBottom w:val="0"/>
              <w:divBdr>
                <w:top w:val="none" w:sz="0" w:space="0" w:color="auto"/>
                <w:left w:val="none" w:sz="0" w:space="0" w:color="auto"/>
                <w:bottom w:val="none" w:sz="0" w:space="0" w:color="auto"/>
                <w:right w:val="none" w:sz="0" w:space="0" w:color="auto"/>
              </w:divBdr>
            </w:div>
            <w:div w:id="62608732">
              <w:marLeft w:val="0"/>
              <w:marRight w:val="0"/>
              <w:marTop w:val="0"/>
              <w:marBottom w:val="0"/>
              <w:divBdr>
                <w:top w:val="none" w:sz="0" w:space="0" w:color="auto"/>
                <w:left w:val="none" w:sz="0" w:space="0" w:color="auto"/>
                <w:bottom w:val="none" w:sz="0" w:space="0" w:color="auto"/>
                <w:right w:val="none" w:sz="0" w:space="0" w:color="auto"/>
              </w:divBdr>
            </w:div>
            <w:div w:id="79106413">
              <w:marLeft w:val="0"/>
              <w:marRight w:val="0"/>
              <w:marTop w:val="0"/>
              <w:marBottom w:val="0"/>
              <w:divBdr>
                <w:top w:val="none" w:sz="0" w:space="0" w:color="auto"/>
                <w:left w:val="none" w:sz="0" w:space="0" w:color="auto"/>
                <w:bottom w:val="none" w:sz="0" w:space="0" w:color="auto"/>
                <w:right w:val="none" w:sz="0" w:space="0" w:color="auto"/>
              </w:divBdr>
            </w:div>
            <w:div w:id="81529717">
              <w:marLeft w:val="0"/>
              <w:marRight w:val="0"/>
              <w:marTop w:val="0"/>
              <w:marBottom w:val="0"/>
              <w:divBdr>
                <w:top w:val="none" w:sz="0" w:space="0" w:color="auto"/>
                <w:left w:val="none" w:sz="0" w:space="0" w:color="auto"/>
                <w:bottom w:val="none" w:sz="0" w:space="0" w:color="auto"/>
                <w:right w:val="none" w:sz="0" w:space="0" w:color="auto"/>
              </w:divBdr>
            </w:div>
            <w:div w:id="98574291">
              <w:marLeft w:val="0"/>
              <w:marRight w:val="0"/>
              <w:marTop w:val="0"/>
              <w:marBottom w:val="0"/>
              <w:divBdr>
                <w:top w:val="none" w:sz="0" w:space="0" w:color="auto"/>
                <w:left w:val="none" w:sz="0" w:space="0" w:color="auto"/>
                <w:bottom w:val="none" w:sz="0" w:space="0" w:color="auto"/>
                <w:right w:val="none" w:sz="0" w:space="0" w:color="auto"/>
              </w:divBdr>
            </w:div>
            <w:div w:id="112334841">
              <w:marLeft w:val="0"/>
              <w:marRight w:val="0"/>
              <w:marTop w:val="0"/>
              <w:marBottom w:val="0"/>
              <w:divBdr>
                <w:top w:val="none" w:sz="0" w:space="0" w:color="auto"/>
                <w:left w:val="none" w:sz="0" w:space="0" w:color="auto"/>
                <w:bottom w:val="none" w:sz="0" w:space="0" w:color="auto"/>
                <w:right w:val="none" w:sz="0" w:space="0" w:color="auto"/>
              </w:divBdr>
            </w:div>
            <w:div w:id="117342115">
              <w:marLeft w:val="0"/>
              <w:marRight w:val="0"/>
              <w:marTop w:val="0"/>
              <w:marBottom w:val="0"/>
              <w:divBdr>
                <w:top w:val="none" w:sz="0" w:space="0" w:color="auto"/>
                <w:left w:val="none" w:sz="0" w:space="0" w:color="auto"/>
                <w:bottom w:val="none" w:sz="0" w:space="0" w:color="auto"/>
                <w:right w:val="none" w:sz="0" w:space="0" w:color="auto"/>
              </w:divBdr>
            </w:div>
            <w:div w:id="133060569">
              <w:marLeft w:val="0"/>
              <w:marRight w:val="0"/>
              <w:marTop w:val="0"/>
              <w:marBottom w:val="0"/>
              <w:divBdr>
                <w:top w:val="none" w:sz="0" w:space="0" w:color="auto"/>
                <w:left w:val="none" w:sz="0" w:space="0" w:color="auto"/>
                <w:bottom w:val="none" w:sz="0" w:space="0" w:color="auto"/>
                <w:right w:val="none" w:sz="0" w:space="0" w:color="auto"/>
              </w:divBdr>
            </w:div>
            <w:div w:id="173039986">
              <w:marLeft w:val="0"/>
              <w:marRight w:val="0"/>
              <w:marTop w:val="0"/>
              <w:marBottom w:val="0"/>
              <w:divBdr>
                <w:top w:val="none" w:sz="0" w:space="0" w:color="auto"/>
                <w:left w:val="none" w:sz="0" w:space="0" w:color="auto"/>
                <w:bottom w:val="none" w:sz="0" w:space="0" w:color="auto"/>
                <w:right w:val="none" w:sz="0" w:space="0" w:color="auto"/>
              </w:divBdr>
            </w:div>
            <w:div w:id="215898268">
              <w:marLeft w:val="0"/>
              <w:marRight w:val="0"/>
              <w:marTop w:val="0"/>
              <w:marBottom w:val="0"/>
              <w:divBdr>
                <w:top w:val="none" w:sz="0" w:space="0" w:color="auto"/>
                <w:left w:val="none" w:sz="0" w:space="0" w:color="auto"/>
                <w:bottom w:val="none" w:sz="0" w:space="0" w:color="auto"/>
                <w:right w:val="none" w:sz="0" w:space="0" w:color="auto"/>
              </w:divBdr>
            </w:div>
            <w:div w:id="237911054">
              <w:marLeft w:val="0"/>
              <w:marRight w:val="0"/>
              <w:marTop w:val="0"/>
              <w:marBottom w:val="0"/>
              <w:divBdr>
                <w:top w:val="none" w:sz="0" w:space="0" w:color="auto"/>
                <w:left w:val="none" w:sz="0" w:space="0" w:color="auto"/>
                <w:bottom w:val="none" w:sz="0" w:space="0" w:color="auto"/>
                <w:right w:val="none" w:sz="0" w:space="0" w:color="auto"/>
              </w:divBdr>
            </w:div>
            <w:div w:id="243951309">
              <w:marLeft w:val="0"/>
              <w:marRight w:val="0"/>
              <w:marTop w:val="0"/>
              <w:marBottom w:val="0"/>
              <w:divBdr>
                <w:top w:val="none" w:sz="0" w:space="0" w:color="auto"/>
                <w:left w:val="none" w:sz="0" w:space="0" w:color="auto"/>
                <w:bottom w:val="none" w:sz="0" w:space="0" w:color="auto"/>
                <w:right w:val="none" w:sz="0" w:space="0" w:color="auto"/>
              </w:divBdr>
            </w:div>
            <w:div w:id="255024242">
              <w:marLeft w:val="0"/>
              <w:marRight w:val="0"/>
              <w:marTop w:val="0"/>
              <w:marBottom w:val="0"/>
              <w:divBdr>
                <w:top w:val="none" w:sz="0" w:space="0" w:color="auto"/>
                <w:left w:val="none" w:sz="0" w:space="0" w:color="auto"/>
                <w:bottom w:val="none" w:sz="0" w:space="0" w:color="auto"/>
                <w:right w:val="none" w:sz="0" w:space="0" w:color="auto"/>
              </w:divBdr>
            </w:div>
            <w:div w:id="264189986">
              <w:marLeft w:val="0"/>
              <w:marRight w:val="0"/>
              <w:marTop w:val="0"/>
              <w:marBottom w:val="0"/>
              <w:divBdr>
                <w:top w:val="none" w:sz="0" w:space="0" w:color="auto"/>
                <w:left w:val="none" w:sz="0" w:space="0" w:color="auto"/>
                <w:bottom w:val="none" w:sz="0" w:space="0" w:color="auto"/>
                <w:right w:val="none" w:sz="0" w:space="0" w:color="auto"/>
              </w:divBdr>
            </w:div>
            <w:div w:id="299464632">
              <w:marLeft w:val="0"/>
              <w:marRight w:val="0"/>
              <w:marTop w:val="0"/>
              <w:marBottom w:val="0"/>
              <w:divBdr>
                <w:top w:val="none" w:sz="0" w:space="0" w:color="auto"/>
                <w:left w:val="none" w:sz="0" w:space="0" w:color="auto"/>
                <w:bottom w:val="none" w:sz="0" w:space="0" w:color="auto"/>
                <w:right w:val="none" w:sz="0" w:space="0" w:color="auto"/>
              </w:divBdr>
            </w:div>
            <w:div w:id="317153822">
              <w:marLeft w:val="0"/>
              <w:marRight w:val="0"/>
              <w:marTop w:val="0"/>
              <w:marBottom w:val="0"/>
              <w:divBdr>
                <w:top w:val="none" w:sz="0" w:space="0" w:color="auto"/>
                <w:left w:val="none" w:sz="0" w:space="0" w:color="auto"/>
                <w:bottom w:val="none" w:sz="0" w:space="0" w:color="auto"/>
                <w:right w:val="none" w:sz="0" w:space="0" w:color="auto"/>
              </w:divBdr>
            </w:div>
            <w:div w:id="322052980">
              <w:marLeft w:val="0"/>
              <w:marRight w:val="0"/>
              <w:marTop w:val="0"/>
              <w:marBottom w:val="0"/>
              <w:divBdr>
                <w:top w:val="none" w:sz="0" w:space="0" w:color="auto"/>
                <w:left w:val="none" w:sz="0" w:space="0" w:color="auto"/>
                <w:bottom w:val="none" w:sz="0" w:space="0" w:color="auto"/>
                <w:right w:val="none" w:sz="0" w:space="0" w:color="auto"/>
              </w:divBdr>
            </w:div>
            <w:div w:id="366831302">
              <w:marLeft w:val="0"/>
              <w:marRight w:val="0"/>
              <w:marTop w:val="0"/>
              <w:marBottom w:val="0"/>
              <w:divBdr>
                <w:top w:val="none" w:sz="0" w:space="0" w:color="auto"/>
                <w:left w:val="none" w:sz="0" w:space="0" w:color="auto"/>
                <w:bottom w:val="none" w:sz="0" w:space="0" w:color="auto"/>
                <w:right w:val="none" w:sz="0" w:space="0" w:color="auto"/>
              </w:divBdr>
            </w:div>
            <w:div w:id="376856070">
              <w:marLeft w:val="0"/>
              <w:marRight w:val="0"/>
              <w:marTop w:val="0"/>
              <w:marBottom w:val="0"/>
              <w:divBdr>
                <w:top w:val="none" w:sz="0" w:space="0" w:color="auto"/>
                <w:left w:val="none" w:sz="0" w:space="0" w:color="auto"/>
                <w:bottom w:val="none" w:sz="0" w:space="0" w:color="auto"/>
                <w:right w:val="none" w:sz="0" w:space="0" w:color="auto"/>
              </w:divBdr>
            </w:div>
            <w:div w:id="380598687">
              <w:marLeft w:val="0"/>
              <w:marRight w:val="0"/>
              <w:marTop w:val="0"/>
              <w:marBottom w:val="0"/>
              <w:divBdr>
                <w:top w:val="none" w:sz="0" w:space="0" w:color="auto"/>
                <w:left w:val="none" w:sz="0" w:space="0" w:color="auto"/>
                <w:bottom w:val="none" w:sz="0" w:space="0" w:color="auto"/>
                <w:right w:val="none" w:sz="0" w:space="0" w:color="auto"/>
              </w:divBdr>
            </w:div>
            <w:div w:id="389038123">
              <w:marLeft w:val="0"/>
              <w:marRight w:val="0"/>
              <w:marTop w:val="0"/>
              <w:marBottom w:val="0"/>
              <w:divBdr>
                <w:top w:val="none" w:sz="0" w:space="0" w:color="auto"/>
                <w:left w:val="none" w:sz="0" w:space="0" w:color="auto"/>
                <w:bottom w:val="none" w:sz="0" w:space="0" w:color="auto"/>
                <w:right w:val="none" w:sz="0" w:space="0" w:color="auto"/>
              </w:divBdr>
            </w:div>
            <w:div w:id="394007643">
              <w:marLeft w:val="0"/>
              <w:marRight w:val="0"/>
              <w:marTop w:val="0"/>
              <w:marBottom w:val="0"/>
              <w:divBdr>
                <w:top w:val="none" w:sz="0" w:space="0" w:color="auto"/>
                <w:left w:val="none" w:sz="0" w:space="0" w:color="auto"/>
                <w:bottom w:val="none" w:sz="0" w:space="0" w:color="auto"/>
                <w:right w:val="none" w:sz="0" w:space="0" w:color="auto"/>
              </w:divBdr>
            </w:div>
            <w:div w:id="421294027">
              <w:marLeft w:val="0"/>
              <w:marRight w:val="0"/>
              <w:marTop w:val="0"/>
              <w:marBottom w:val="0"/>
              <w:divBdr>
                <w:top w:val="none" w:sz="0" w:space="0" w:color="auto"/>
                <w:left w:val="none" w:sz="0" w:space="0" w:color="auto"/>
                <w:bottom w:val="none" w:sz="0" w:space="0" w:color="auto"/>
                <w:right w:val="none" w:sz="0" w:space="0" w:color="auto"/>
              </w:divBdr>
            </w:div>
            <w:div w:id="422725776">
              <w:marLeft w:val="0"/>
              <w:marRight w:val="0"/>
              <w:marTop w:val="0"/>
              <w:marBottom w:val="0"/>
              <w:divBdr>
                <w:top w:val="none" w:sz="0" w:space="0" w:color="auto"/>
                <w:left w:val="none" w:sz="0" w:space="0" w:color="auto"/>
                <w:bottom w:val="none" w:sz="0" w:space="0" w:color="auto"/>
                <w:right w:val="none" w:sz="0" w:space="0" w:color="auto"/>
              </w:divBdr>
            </w:div>
            <w:div w:id="447823643">
              <w:marLeft w:val="0"/>
              <w:marRight w:val="0"/>
              <w:marTop w:val="0"/>
              <w:marBottom w:val="0"/>
              <w:divBdr>
                <w:top w:val="none" w:sz="0" w:space="0" w:color="auto"/>
                <w:left w:val="none" w:sz="0" w:space="0" w:color="auto"/>
                <w:bottom w:val="none" w:sz="0" w:space="0" w:color="auto"/>
                <w:right w:val="none" w:sz="0" w:space="0" w:color="auto"/>
              </w:divBdr>
            </w:div>
            <w:div w:id="453060983">
              <w:marLeft w:val="0"/>
              <w:marRight w:val="0"/>
              <w:marTop w:val="0"/>
              <w:marBottom w:val="0"/>
              <w:divBdr>
                <w:top w:val="none" w:sz="0" w:space="0" w:color="auto"/>
                <w:left w:val="none" w:sz="0" w:space="0" w:color="auto"/>
                <w:bottom w:val="none" w:sz="0" w:space="0" w:color="auto"/>
                <w:right w:val="none" w:sz="0" w:space="0" w:color="auto"/>
              </w:divBdr>
            </w:div>
            <w:div w:id="463163944">
              <w:marLeft w:val="0"/>
              <w:marRight w:val="0"/>
              <w:marTop w:val="0"/>
              <w:marBottom w:val="0"/>
              <w:divBdr>
                <w:top w:val="none" w:sz="0" w:space="0" w:color="auto"/>
                <w:left w:val="none" w:sz="0" w:space="0" w:color="auto"/>
                <w:bottom w:val="none" w:sz="0" w:space="0" w:color="auto"/>
                <w:right w:val="none" w:sz="0" w:space="0" w:color="auto"/>
              </w:divBdr>
            </w:div>
            <w:div w:id="468282566">
              <w:marLeft w:val="0"/>
              <w:marRight w:val="0"/>
              <w:marTop w:val="0"/>
              <w:marBottom w:val="0"/>
              <w:divBdr>
                <w:top w:val="none" w:sz="0" w:space="0" w:color="auto"/>
                <w:left w:val="none" w:sz="0" w:space="0" w:color="auto"/>
                <w:bottom w:val="none" w:sz="0" w:space="0" w:color="auto"/>
                <w:right w:val="none" w:sz="0" w:space="0" w:color="auto"/>
              </w:divBdr>
            </w:div>
            <w:div w:id="486168478">
              <w:marLeft w:val="0"/>
              <w:marRight w:val="0"/>
              <w:marTop w:val="0"/>
              <w:marBottom w:val="0"/>
              <w:divBdr>
                <w:top w:val="none" w:sz="0" w:space="0" w:color="auto"/>
                <w:left w:val="none" w:sz="0" w:space="0" w:color="auto"/>
                <w:bottom w:val="none" w:sz="0" w:space="0" w:color="auto"/>
                <w:right w:val="none" w:sz="0" w:space="0" w:color="auto"/>
              </w:divBdr>
            </w:div>
            <w:div w:id="499735701">
              <w:marLeft w:val="0"/>
              <w:marRight w:val="0"/>
              <w:marTop w:val="0"/>
              <w:marBottom w:val="0"/>
              <w:divBdr>
                <w:top w:val="none" w:sz="0" w:space="0" w:color="auto"/>
                <w:left w:val="none" w:sz="0" w:space="0" w:color="auto"/>
                <w:bottom w:val="none" w:sz="0" w:space="0" w:color="auto"/>
                <w:right w:val="none" w:sz="0" w:space="0" w:color="auto"/>
              </w:divBdr>
            </w:div>
            <w:div w:id="533733223">
              <w:marLeft w:val="0"/>
              <w:marRight w:val="0"/>
              <w:marTop w:val="0"/>
              <w:marBottom w:val="0"/>
              <w:divBdr>
                <w:top w:val="none" w:sz="0" w:space="0" w:color="auto"/>
                <w:left w:val="none" w:sz="0" w:space="0" w:color="auto"/>
                <w:bottom w:val="none" w:sz="0" w:space="0" w:color="auto"/>
                <w:right w:val="none" w:sz="0" w:space="0" w:color="auto"/>
              </w:divBdr>
            </w:div>
            <w:div w:id="544760724">
              <w:marLeft w:val="0"/>
              <w:marRight w:val="0"/>
              <w:marTop w:val="0"/>
              <w:marBottom w:val="0"/>
              <w:divBdr>
                <w:top w:val="none" w:sz="0" w:space="0" w:color="auto"/>
                <w:left w:val="none" w:sz="0" w:space="0" w:color="auto"/>
                <w:bottom w:val="none" w:sz="0" w:space="0" w:color="auto"/>
                <w:right w:val="none" w:sz="0" w:space="0" w:color="auto"/>
              </w:divBdr>
            </w:div>
            <w:div w:id="577599052">
              <w:marLeft w:val="0"/>
              <w:marRight w:val="0"/>
              <w:marTop w:val="0"/>
              <w:marBottom w:val="0"/>
              <w:divBdr>
                <w:top w:val="none" w:sz="0" w:space="0" w:color="auto"/>
                <w:left w:val="none" w:sz="0" w:space="0" w:color="auto"/>
                <w:bottom w:val="none" w:sz="0" w:space="0" w:color="auto"/>
                <w:right w:val="none" w:sz="0" w:space="0" w:color="auto"/>
              </w:divBdr>
            </w:div>
            <w:div w:id="579994419">
              <w:marLeft w:val="0"/>
              <w:marRight w:val="0"/>
              <w:marTop w:val="0"/>
              <w:marBottom w:val="0"/>
              <w:divBdr>
                <w:top w:val="none" w:sz="0" w:space="0" w:color="auto"/>
                <w:left w:val="none" w:sz="0" w:space="0" w:color="auto"/>
                <w:bottom w:val="none" w:sz="0" w:space="0" w:color="auto"/>
                <w:right w:val="none" w:sz="0" w:space="0" w:color="auto"/>
              </w:divBdr>
            </w:div>
            <w:div w:id="597251732">
              <w:marLeft w:val="0"/>
              <w:marRight w:val="0"/>
              <w:marTop w:val="0"/>
              <w:marBottom w:val="0"/>
              <w:divBdr>
                <w:top w:val="none" w:sz="0" w:space="0" w:color="auto"/>
                <w:left w:val="none" w:sz="0" w:space="0" w:color="auto"/>
                <w:bottom w:val="none" w:sz="0" w:space="0" w:color="auto"/>
                <w:right w:val="none" w:sz="0" w:space="0" w:color="auto"/>
              </w:divBdr>
            </w:div>
            <w:div w:id="629436210">
              <w:marLeft w:val="0"/>
              <w:marRight w:val="0"/>
              <w:marTop w:val="0"/>
              <w:marBottom w:val="0"/>
              <w:divBdr>
                <w:top w:val="none" w:sz="0" w:space="0" w:color="auto"/>
                <w:left w:val="none" w:sz="0" w:space="0" w:color="auto"/>
                <w:bottom w:val="none" w:sz="0" w:space="0" w:color="auto"/>
                <w:right w:val="none" w:sz="0" w:space="0" w:color="auto"/>
              </w:divBdr>
            </w:div>
            <w:div w:id="630016534">
              <w:marLeft w:val="0"/>
              <w:marRight w:val="0"/>
              <w:marTop w:val="0"/>
              <w:marBottom w:val="0"/>
              <w:divBdr>
                <w:top w:val="none" w:sz="0" w:space="0" w:color="auto"/>
                <w:left w:val="none" w:sz="0" w:space="0" w:color="auto"/>
                <w:bottom w:val="none" w:sz="0" w:space="0" w:color="auto"/>
                <w:right w:val="none" w:sz="0" w:space="0" w:color="auto"/>
              </w:divBdr>
            </w:div>
            <w:div w:id="633489051">
              <w:marLeft w:val="0"/>
              <w:marRight w:val="0"/>
              <w:marTop w:val="0"/>
              <w:marBottom w:val="0"/>
              <w:divBdr>
                <w:top w:val="none" w:sz="0" w:space="0" w:color="auto"/>
                <w:left w:val="none" w:sz="0" w:space="0" w:color="auto"/>
                <w:bottom w:val="none" w:sz="0" w:space="0" w:color="auto"/>
                <w:right w:val="none" w:sz="0" w:space="0" w:color="auto"/>
              </w:divBdr>
            </w:div>
            <w:div w:id="635179562">
              <w:marLeft w:val="0"/>
              <w:marRight w:val="0"/>
              <w:marTop w:val="0"/>
              <w:marBottom w:val="0"/>
              <w:divBdr>
                <w:top w:val="none" w:sz="0" w:space="0" w:color="auto"/>
                <w:left w:val="none" w:sz="0" w:space="0" w:color="auto"/>
                <w:bottom w:val="none" w:sz="0" w:space="0" w:color="auto"/>
                <w:right w:val="none" w:sz="0" w:space="0" w:color="auto"/>
              </w:divBdr>
            </w:div>
            <w:div w:id="635254696">
              <w:marLeft w:val="0"/>
              <w:marRight w:val="0"/>
              <w:marTop w:val="0"/>
              <w:marBottom w:val="0"/>
              <w:divBdr>
                <w:top w:val="none" w:sz="0" w:space="0" w:color="auto"/>
                <w:left w:val="none" w:sz="0" w:space="0" w:color="auto"/>
                <w:bottom w:val="none" w:sz="0" w:space="0" w:color="auto"/>
                <w:right w:val="none" w:sz="0" w:space="0" w:color="auto"/>
              </w:divBdr>
            </w:div>
            <w:div w:id="635330102">
              <w:marLeft w:val="0"/>
              <w:marRight w:val="0"/>
              <w:marTop w:val="0"/>
              <w:marBottom w:val="0"/>
              <w:divBdr>
                <w:top w:val="none" w:sz="0" w:space="0" w:color="auto"/>
                <w:left w:val="none" w:sz="0" w:space="0" w:color="auto"/>
                <w:bottom w:val="none" w:sz="0" w:space="0" w:color="auto"/>
                <w:right w:val="none" w:sz="0" w:space="0" w:color="auto"/>
              </w:divBdr>
            </w:div>
            <w:div w:id="640229630">
              <w:marLeft w:val="0"/>
              <w:marRight w:val="0"/>
              <w:marTop w:val="0"/>
              <w:marBottom w:val="0"/>
              <w:divBdr>
                <w:top w:val="none" w:sz="0" w:space="0" w:color="auto"/>
                <w:left w:val="none" w:sz="0" w:space="0" w:color="auto"/>
                <w:bottom w:val="none" w:sz="0" w:space="0" w:color="auto"/>
                <w:right w:val="none" w:sz="0" w:space="0" w:color="auto"/>
              </w:divBdr>
            </w:div>
            <w:div w:id="653334204">
              <w:marLeft w:val="0"/>
              <w:marRight w:val="0"/>
              <w:marTop w:val="0"/>
              <w:marBottom w:val="0"/>
              <w:divBdr>
                <w:top w:val="none" w:sz="0" w:space="0" w:color="auto"/>
                <w:left w:val="none" w:sz="0" w:space="0" w:color="auto"/>
                <w:bottom w:val="none" w:sz="0" w:space="0" w:color="auto"/>
                <w:right w:val="none" w:sz="0" w:space="0" w:color="auto"/>
              </w:divBdr>
            </w:div>
            <w:div w:id="687563182">
              <w:marLeft w:val="0"/>
              <w:marRight w:val="0"/>
              <w:marTop w:val="0"/>
              <w:marBottom w:val="0"/>
              <w:divBdr>
                <w:top w:val="none" w:sz="0" w:space="0" w:color="auto"/>
                <w:left w:val="none" w:sz="0" w:space="0" w:color="auto"/>
                <w:bottom w:val="none" w:sz="0" w:space="0" w:color="auto"/>
                <w:right w:val="none" w:sz="0" w:space="0" w:color="auto"/>
              </w:divBdr>
            </w:div>
            <w:div w:id="700129097">
              <w:marLeft w:val="0"/>
              <w:marRight w:val="0"/>
              <w:marTop w:val="0"/>
              <w:marBottom w:val="0"/>
              <w:divBdr>
                <w:top w:val="none" w:sz="0" w:space="0" w:color="auto"/>
                <w:left w:val="none" w:sz="0" w:space="0" w:color="auto"/>
                <w:bottom w:val="none" w:sz="0" w:space="0" w:color="auto"/>
                <w:right w:val="none" w:sz="0" w:space="0" w:color="auto"/>
              </w:divBdr>
            </w:div>
            <w:div w:id="705451672">
              <w:marLeft w:val="0"/>
              <w:marRight w:val="0"/>
              <w:marTop w:val="0"/>
              <w:marBottom w:val="0"/>
              <w:divBdr>
                <w:top w:val="none" w:sz="0" w:space="0" w:color="auto"/>
                <w:left w:val="none" w:sz="0" w:space="0" w:color="auto"/>
                <w:bottom w:val="none" w:sz="0" w:space="0" w:color="auto"/>
                <w:right w:val="none" w:sz="0" w:space="0" w:color="auto"/>
              </w:divBdr>
            </w:div>
            <w:div w:id="707877145">
              <w:marLeft w:val="0"/>
              <w:marRight w:val="0"/>
              <w:marTop w:val="0"/>
              <w:marBottom w:val="0"/>
              <w:divBdr>
                <w:top w:val="none" w:sz="0" w:space="0" w:color="auto"/>
                <w:left w:val="none" w:sz="0" w:space="0" w:color="auto"/>
                <w:bottom w:val="none" w:sz="0" w:space="0" w:color="auto"/>
                <w:right w:val="none" w:sz="0" w:space="0" w:color="auto"/>
              </w:divBdr>
            </w:div>
            <w:div w:id="709645933">
              <w:marLeft w:val="0"/>
              <w:marRight w:val="0"/>
              <w:marTop w:val="0"/>
              <w:marBottom w:val="0"/>
              <w:divBdr>
                <w:top w:val="none" w:sz="0" w:space="0" w:color="auto"/>
                <w:left w:val="none" w:sz="0" w:space="0" w:color="auto"/>
                <w:bottom w:val="none" w:sz="0" w:space="0" w:color="auto"/>
                <w:right w:val="none" w:sz="0" w:space="0" w:color="auto"/>
              </w:divBdr>
            </w:div>
            <w:div w:id="731776446">
              <w:marLeft w:val="0"/>
              <w:marRight w:val="0"/>
              <w:marTop w:val="0"/>
              <w:marBottom w:val="0"/>
              <w:divBdr>
                <w:top w:val="none" w:sz="0" w:space="0" w:color="auto"/>
                <w:left w:val="none" w:sz="0" w:space="0" w:color="auto"/>
                <w:bottom w:val="none" w:sz="0" w:space="0" w:color="auto"/>
                <w:right w:val="none" w:sz="0" w:space="0" w:color="auto"/>
              </w:divBdr>
            </w:div>
            <w:div w:id="747384903">
              <w:marLeft w:val="0"/>
              <w:marRight w:val="0"/>
              <w:marTop w:val="0"/>
              <w:marBottom w:val="0"/>
              <w:divBdr>
                <w:top w:val="none" w:sz="0" w:space="0" w:color="auto"/>
                <w:left w:val="none" w:sz="0" w:space="0" w:color="auto"/>
                <w:bottom w:val="none" w:sz="0" w:space="0" w:color="auto"/>
                <w:right w:val="none" w:sz="0" w:space="0" w:color="auto"/>
              </w:divBdr>
            </w:div>
            <w:div w:id="747725179">
              <w:marLeft w:val="0"/>
              <w:marRight w:val="0"/>
              <w:marTop w:val="0"/>
              <w:marBottom w:val="0"/>
              <w:divBdr>
                <w:top w:val="none" w:sz="0" w:space="0" w:color="auto"/>
                <w:left w:val="none" w:sz="0" w:space="0" w:color="auto"/>
                <w:bottom w:val="none" w:sz="0" w:space="0" w:color="auto"/>
                <w:right w:val="none" w:sz="0" w:space="0" w:color="auto"/>
              </w:divBdr>
            </w:div>
            <w:div w:id="751898268">
              <w:marLeft w:val="0"/>
              <w:marRight w:val="0"/>
              <w:marTop w:val="0"/>
              <w:marBottom w:val="0"/>
              <w:divBdr>
                <w:top w:val="none" w:sz="0" w:space="0" w:color="auto"/>
                <w:left w:val="none" w:sz="0" w:space="0" w:color="auto"/>
                <w:bottom w:val="none" w:sz="0" w:space="0" w:color="auto"/>
                <w:right w:val="none" w:sz="0" w:space="0" w:color="auto"/>
              </w:divBdr>
            </w:div>
            <w:div w:id="763918407">
              <w:marLeft w:val="0"/>
              <w:marRight w:val="0"/>
              <w:marTop w:val="0"/>
              <w:marBottom w:val="0"/>
              <w:divBdr>
                <w:top w:val="none" w:sz="0" w:space="0" w:color="auto"/>
                <w:left w:val="none" w:sz="0" w:space="0" w:color="auto"/>
                <w:bottom w:val="none" w:sz="0" w:space="0" w:color="auto"/>
                <w:right w:val="none" w:sz="0" w:space="0" w:color="auto"/>
              </w:divBdr>
            </w:div>
            <w:div w:id="764813641">
              <w:marLeft w:val="0"/>
              <w:marRight w:val="0"/>
              <w:marTop w:val="0"/>
              <w:marBottom w:val="0"/>
              <w:divBdr>
                <w:top w:val="none" w:sz="0" w:space="0" w:color="auto"/>
                <w:left w:val="none" w:sz="0" w:space="0" w:color="auto"/>
                <w:bottom w:val="none" w:sz="0" w:space="0" w:color="auto"/>
                <w:right w:val="none" w:sz="0" w:space="0" w:color="auto"/>
              </w:divBdr>
            </w:div>
            <w:div w:id="779372163">
              <w:marLeft w:val="0"/>
              <w:marRight w:val="0"/>
              <w:marTop w:val="0"/>
              <w:marBottom w:val="0"/>
              <w:divBdr>
                <w:top w:val="none" w:sz="0" w:space="0" w:color="auto"/>
                <w:left w:val="none" w:sz="0" w:space="0" w:color="auto"/>
                <w:bottom w:val="none" w:sz="0" w:space="0" w:color="auto"/>
                <w:right w:val="none" w:sz="0" w:space="0" w:color="auto"/>
              </w:divBdr>
            </w:div>
            <w:div w:id="794256706">
              <w:marLeft w:val="0"/>
              <w:marRight w:val="0"/>
              <w:marTop w:val="0"/>
              <w:marBottom w:val="0"/>
              <w:divBdr>
                <w:top w:val="none" w:sz="0" w:space="0" w:color="auto"/>
                <w:left w:val="none" w:sz="0" w:space="0" w:color="auto"/>
                <w:bottom w:val="none" w:sz="0" w:space="0" w:color="auto"/>
                <w:right w:val="none" w:sz="0" w:space="0" w:color="auto"/>
              </w:divBdr>
            </w:div>
            <w:div w:id="823472797">
              <w:marLeft w:val="0"/>
              <w:marRight w:val="0"/>
              <w:marTop w:val="0"/>
              <w:marBottom w:val="0"/>
              <w:divBdr>
                <w:top w:val="none" w:sz="0" w:space="0" w:color="auto"/>
                <w:left w:val="none" w:sz="0" w:space="0" w:color="auto"/>
                <w:bottom w:val="none" w:sz="0" w:space="0" w:color="auto"/>
                <w:right w:val="none" w:sz="0" w:space="0" w:color="auto"/>
              </w:divBdr>
            </w:div>
            <w:div w:id="830220233">
              <w:marLeft w:val="0"/>
              <w:marRight w:val="0"/>
              <w:marTop w:val="0"/>
              <w:marBottom w:val="0"/>
              <w:divBdr>
                <w:top w:val="none" w:sz="0" w:space="0" w:color="auto"/>
                <w:left w:val="none" w:sz="0" w:space="0" w:color="auto"/>
                <w:bottom w:val="none" w:sz="0" w:space="0" w:color="auto"/>
                <w:right w:val="none" w:sz="0" w:space="0" w:color="auto"/>
              </w:divBdr>
            </w:div>
            <w:div w:id="841045324">
              <w:marLeft w:val="0"/>
              <w:marRight w:val="0"/>
              <w:marTop w:val="0"/>
              <w:marBottom w:val="0"/>
              <w:divBdr>
                <w:top w:val="none" w:sz="0" w:space="0" w:color="auto"/>
                <w:left w:val="none" w:sz="0" w:space="0" w:color="auto"/>
                <w:bottom w:val="none" w:sz="0" w:space="0" w:color="auto"/>
                <w:right w:val="none" w:sz="0" w:space="0" w:color="auto"/>
              </w:divBdr>
            </w:div>
            <w:div w:id="862480671">
              <w:marLeft w:val="0"/>
              <w:marRight w:val="0"/>
              <w:marTop w:val="0"/>
              <w:marBottom w:val="0"/>
              <w:divBdr>
                <w:top w:val="none" w:sz="0" w:space="0" w:color="auto"/>
                <w:left w:val="none" w:sz="0" w:space="0" w:color="auto"/>
                <w:bottom w:val="none" w:sz="0" w:space="0" w:color="auto"/>
                <w:right w:val="none" w:sz="0" w:space="0" w:color="auto"/>
              </w:divBdr>
            </w:div>
            <w:div w:id="874587770">
              <w:marLeft w:val="0"/>
              <w:marRight w:val="0"/>
              <w:marTop w:val="0"/>
              <w:marBottom w:val="0"/>
              <w:divBdr>
                <w:top w:val="none" w:sz="0" w:space="0" w:color="auto"/>
                <w:left w:val="none" w:sz="0" w:space="0" w:color="auto"/>
                <w:bottom w:val="none" w:sz="0" w:space="0" w:color="auto"/>
                <w:right w:val="none" w:sz="0" w:space="0" w:color="auto"/>
              </w:divBdr>
            </w:div>
            <w:div w:id="923951168">
              <w:marLeft w:val="0"/>
              <w:marRight w:val="0"/>
              <w:marTop w:val="0"/>
              <w:marBottom w:val="0"/>
              <w:divBdr>
                <w:top w:val="none" w:sz="0" w:space="0" w:color="auto"/>
                <w:left w:val="none" w:sz="0" w:space="0" w:color="auto"/>
                <w:bottom w:val="none" w:sz="0" w:space="0" w:color="auto"/>
                <w:right w:val="none" w:sz="0" w:space="0" w:color="auto"/>
              </w:divBdr>
            </w:div>
            <w:div w:id="925840155">
              <w:marLeft w:val="0"/>
              <w:marRight w:val="0"/>
              <w:marTop w:val="0"/>
              <w:marBottom w:val="0"/>
              <w:divBdr>
                <w:top w:val="none" w:sz="0" w:space="0" w:color="auto"/>
                <w:left w:val="none" w:sz="0" w:space="0" w:color="auto"/>
                <w:bottom w:val="none" w:sz="0" w:space="0" w:color="auto"/>
                <w:right w:val="none" w:sz="0" w:space="0" w:color="auto"/>
              </w:divBdr>
            </w:div>
            <w:div w:id="925840460">
              <w:marLeft w:val="0"/>
              <w:marRight w:val="0"/>
              <w:marTop w:val="0"/>
              <w:marBottom w:val="0"/>
              <w:divBdr>
                <w:top w:val="none" w:sz="0" w:space="0" w:color="auto"/>
                <w:left w:val="none" w:sz="0" w:space="0" w:color="auto"/>
                <w:bottom w:val="none" w:sz="0" w:space="0" w:color="auto"/>
                <w:right w:val="none" w:sz="0" w:space="0" w:color="auto"/>
              </w:divBdr>
            </w:div>
            <w:div w:id="935019187">
              <w:marLeft w:val="0"/>
              <w:marRight w:val="0"/>
              <w:marTop w:val="0"/>
              <w:marBottom w:val="0"/>
              <w:divBdr>
                <w:top w:val="none" w:sz="0" w:space="0" w:color="auto"/>
                <w:left w:val="none" w:sz="0" w:space="0" w:color="auto"/>
                <w:bottom w:val="none" w:sz="0" w:space="0" w:color="auto"/>
                <w:right w:val="none" w:sz="0" w:space="0" w:color="auto"/>
              </w:divBdr>
            </w:div>
            <w:div w:id="960265994">
              <w:marLeft w:val="0"/>
              <w:marRight w:val="0"/>
              <w:marTop w:val="0"/>
              <w:marBottom w:val="0"/>
              <w:divBdr>
                <w:top w:val="none" w:sz="0" w:space="0" w:color="auto"/>
                <w:left w:val="none" w:sz="0" w:space="0" w:color="auto"/>
                <w:bottom w:val="none" w:sz="0" w:space="0" w:color="auto"/>
                <w:right w:val="none" w:sz="0" w:space="0" w:color="auto"/>
              </w:divBdr>
            </w:div>
            <w:div w:id="976715247">
              <w:marLeft w:val="0"/>
              <w:marRight w:val="0"/>
              <w:marTop w:val="0"/>
              <w:marBottom w:val="0"/>
              <w:divBdr>
                <w:top w:val="none" w:sz="0" w:space="0" w:color="auto"/>
                <w:left w:val="none" w:sz="0" w:space="0" w:color="auto"/>
                <w:bottom w:val="none" w:sz="0" w:space="0" w:color="auto"/>
                <w:right w:val="none" w:sz="0" w:space="0" w:color="auto"/>
              </w:divBdr>
            </w:div>
            <w:div w:id="992370143">
              <w:marLeft w:val="0"/>
              <w:marRight w:val="0"/>
              <w:marTop w:val="0"/>
              <w:marBottom w:val="0"/>
              <w:divBdr>
                <w:top w:val="none" w:sz="0" w:space="0" w:color="auto"/>
                <w:left w:val="none" w:sz="0" w:space="0" w:color="auto"/>
                <w:bottom w:val="none" w:sz="0" w:space="0" w:color="auto"/>
                <w:right w:val="none" w:sz="0" w:space="0" w:color="auto"/>
              </w:divBdr>
            </w:div>
            <w:div w:id="996104557">
              <w:marLeft w:val="0"/>
              <w:marRight w:val="0"/>
              <w:marTop w:val="0"/>
              <w:marBottom w:val="0"/>
              <w:divBdr>
                <w:top w:val="none" w:sz="0" w:space="0" w:color="auto"/>
                <w:left w:val="none" w:sz="0" w:space="0" w:color="auto"/>
                <w:bottom w:val="none" w:sz="0" w:space="0" w:color="auto"/>
                <w:right w:val="none" w:sz="0" w:space="0" w:color="auto"/>
              </w:divBdr>
            </w:div>
            <w:div w:id="997921044">
              <w:marLeft w:val="0"/>
              <w:marRight w:val="0"/>
              <w:marTop w:val="0"/>
              <w:marBottom w:val="0"/>
              <w:divBdr>
                <w:top w:val="none" w:sz="0" w:space="0" w:color="auto"/>
                <w:left w:val="none" w:sz="0" w:space="0" w:color="auto"/>
                <w:bottom w:val="none" w:sz="0" w:space="0" w:color="auto"/>
                <w:right w:val="none" w:sz="0" w:space="0" w:color="auto"/>
              </w:divBdr>
            </w:div>
            <w:div w:id="1002974488">
              <w:marLeft w:val="0"/>
              <w:marRight w:val="0"/>
              <w:marTop w:val="0"/>
              <w:marBottom w:val="0"/>
              <w:divBdr>
                <w:top w:val="none" w:sz="0" w:space="0" w:color="auto"/>
                <w:left w:val="none" w:sz="0" w:space="0" w:color="auto"/>
                <w:bottom w:val="none" w:sz="0" w:space="0" w:color="auto"/>
                <w:right w:val="none" w:sz="0" w:space="0" w:color="auto"/>
              </w:divBdr>
            </w:div>
            <w:div w:id="1015837815">
              <w:marLeft w:val="0"/>
              <w:marRight w:val="0"/>
              <w:marTop w:val="0"/>
              <w:marBottom w:val="0"/>
              <w:divBdr>
                <w:top w:val="none" w:sz="0" w:space="0" w:color="auto"/>
                <w:left w:val="none" w:sz="0" w:space="0" w:color="auto"/>
                <w:bottom w:val="none" w:sz="0" w:space="0" w:color="auto"/>
                <w:right w:val="none" w:sz="0" w:space="0" w:color="auto"/>
              </w:divBdr>
            </w:div>
            <w:div w:id="1016922480">
              <w:marLeft w:val="0"/>
              <w:marRight w:val="0"/>
              <w:marTop w:val="0"/>
              <w:marBottom w:val="0"/>
              <w:divBdr>
                <w:top w:val="none" w:sz="0" w:space="0" w:color="auto"/>
                <w:left w:val="none" w:sz="0" w:space="0" w:color="auto"/>
                <w:bottom w:val="none" w:sz="0" w:space="0" w:color="auto"/>
                <w:right w:val="none" w:sz="0" w:space="0" w:color="auto"/>
              </w:divBdr>
            </w:div>
            <w:div w:id="1049038557">
              <w:marLeft w:val="0"/>
              <w:marRight w:val="0"/>
              <w:marTop w:val="0"/>
              <w:marBottom w:val="0"/>
              <w:divBdr>
                <w:top w:val="none" w:sz="0" w:space="0" w:color="auto"/>
                <w:left w:val="none" w:sz="0" w:space="0" w:color="auto"/>
                <w:bottom w:val="none" w:sz="0" w:space="0" w:color="auto"/>
                <w:right w:val="none" w:sz="0" w:space="0" w:color="auto"/>
              </w:divBdr>
            </w:div>
            <w:div w:id="1053963606">
              <w:marLeft w:val="0"/>
              <w:marRight w:val="0"/>
              <w:marTop w:val="0"/>
              <w:marBottom w:val="0"/>
              <w:divBdr>
                <w:top w:val="none" w:sz="0" w:space="0" w:color="auto"/>
                <w:left w:val="none" w:sz="0" w:space="0" w:color="auto"/>
                <w:bottom w:val="none" w:sz="0" w:space="0" w:color="auto"/>
                <w:right w:val="none" w:sz="0" w:space="0" w:color="auto"/>
              </w:divBdr>
            </w:div>
            <w:div w:id="1096175926">
              <w:marLeft w:val="0"/>
              <w:marRight w:val="0"/>
              <w:marTop w:val="0"/>
              <w:marBottom w:val="0"/>
              <w:divBdr>
                <w:top w:val="none" w:sz="0" w:space="0" w:color="auto"/>
                <w:left w:val="none" w:sz="0" w:space="0" w:color="auto"/>
                <w:bottom w:val="none" w:sz="0" w:space="0" w:color="auto"/>
                <w:right w:val="none" w:sz="0" w:space="0" w:color="auto"/>
              </w:divBdr>
            </w:div>
            <w:div w:id="1123695235">
              <w:marLeft w:val="0"/>
              <w:marRight w:val="0"/>
              <w:marTop w:val="0"/>
              <w:marBottom w:val="0"/>
              <w:divBdr>
                <w:top w:val="none" w:sz="0" w:space="0" w:color="auto"/>
                <w:left w:val="none" w:sz="0" w:space="0" w:color="auto"/>
                <w:bottom w:val="none" w:sz="0" w:space="0" w:color="auto"/>
                <w:right w:val="none" w:sz="0" w:space="0" w:color="auto"/>
              </w:divBdr>
            </w:div>
            <w:div w:id="1145515360">
              <w:marLeft w:val="0"/>
              <w:marRight w:val="0"/>
              <w:marTop w:val="0"/>
              <w:marBottom w:val="0"/>
              <w:divBdr>
                <w:top w:val="none" w:sz="0" w:space="0" w:color="auto"/>
                <w:left w:val="none" w:sz="0" w:space="0" w:color="auto"/>
                <w:bottom w:val="none" w:sz="0" w:space="0" w:color="auto"/>
                <w:right w:val="none" w:sz="0" w:space="0" w:color="auto"/>
              </w:divBdr>
            </w:div>
            <w:div w:id="1152138525">
              <w:marLeft w:val="0"/>
              <w:marRight w:val="0"/>
              <w:marTop w:val="0"/>
              <w:marBottom w:val="0"/>
              <w:divBdr>
                <w:top w:val="none" w:sz="0" w:space="0" w:color="auto"/>
                <w:left w:val="none" w:sz="0" w:space="0" w:color="auto"/>
                <w:bottom w:val="none" w:sz="0" w:space="0" w:color="auto"/>
                <w:right w:val="none" w:sz="0" w:space="0" w:color="auto"/>
              </w:divBdr>
            </w:div>
            <w:div w:id="1161772618">
              <w:marLeft w:val="0"/>
              <w:marRight w:val="0"/>
              <w:marTop w:val="0"/>
              <w:marBottom w:val="0"/>
              <w:divBdr>
                <w:top w:val="none" w:sz="0" w:space="0" w:color="auto"/>
                <w:left w:val="none" w:sz="0" w:space="0" w:color="auto"/>
                <w:bottom w:val="none" w:sz="0" w:space="0" w:color="auto"/>
                <w:right w:val="none" w:sz="0" w:space="0" w:color="auto"/>
              </w:divBdr>
            </w:div>
            <w:div w:id="1170293466">
              <w:marLeft w:val="0"/>
              <w:marRight w:val="0"/>
              <w:marTop w:val="0"/>
              <w:marBottom w:val="0"/>
              <w:divBdr>
                <w:top w:val="none" w:sz="0" w:space="0" w:color="auto"/>
                <w:left w:val="none" w:sz="0" w:space="0" w:color="auto"/>
                <w:bottom w:val="none" w:sz="0" w:space="0" w:color="auto"/>
                <w:right w:val="none" w:sz="0" w:space="0" w:color="auto"/>
              </w:divBdr>
            </w:div>
            <w:div w:id="1172255761">
              <w:marLeft w:val="0"/>
              <w:marRight w:val="0"/>
              <w:marTop w:val="0"/>
              <w:marBottom w:val="0"/>
              <w:divBdr>
                <w:top w:val="none" w:sz="0" w:space="0" w:color="auto"/>
                <w:left w:val="none" w:sz="0" w:space="0" w:color="auto"/>
                <w:bottom w:val="none" w:sz="0" w:space="0" w:color="auto"/>
                <w:right w:val="none" w:sz="0" w:space="0" w:color="auto"/>
              </w:divBdr>
            </w:div>
            <w:div w:id="1189489620">
              <w:marLeft w:val="0"/>
              <w:marRight w:val="0"/>
              <w:marTop w:val="0"/>
              <w:marBottom w:val="0"/>
              <w:divBdr>
                <w:top w:val="none" w:sz="0" w:space="0" w:color="auto"/>
                <w:left w:val="none" w:sz="0" w:space="0" w:color="auto"/>
                <w:bottom w:val="none" w:sz="0" w:space="0" w:color="auto"/>
                <w:right w:val="none" w:sz="0" w:space="0" w:color="auto"/>
              </w:divBdr>
            </w:div>
            <w:div w:id="1189875998">
              <w:marLeft w:val="0"/>
              <w:marRight w:val="0"/>
              <w:marTop w:val="0"/>
              <w:marBottom w:val="0"/>
              <w:divBdr>
                <w:top w:val="none" w:sz="0" w:space="0" w:color="auto"/>
                <w:left w:val="none" w:sz="0" w:space="0" w:color="auto"/>
                <w:bottom w:val="none" w:sz="0" w:space="0" w:color="auto"/>
                <w:right w:val="none" w:sz="0" w:space="0" w:color="auto"/>
              </w:divBdr>
            </w:div>
            <w:div w:id="1190996028">
              <w:marLeft w:val="0"/>
              <w:marRight w:val="0"/>
              <w:marTop w:val="0"/>
              <w:marBottom w:val="0"/>
              <w:divBdr>
                <w:top w:val="none" w:sz="0" w:space="0" w:color="auto"/>
                <w:left w:val="none" w:sz="0" w:space="0" w:color="auto"/>
                <w:bottom w:val="none" w:sz="0" w:space="0" w:color="auto"/>
                <w:right w:val="none" w:sz="0" w:space="0" w:color="auto"/>
              </w:divBdr>
            </w:div>
            <w:div w:id="1196389309">
              <w:marLeft w:val="0"/>
              <w:marRight w:val="0"/>
              <w:marTop w:val="0"/>
              <w:marBottom w:val="0"/>
              <w:divBdr>
                <w:top w:val="none" w:sz="0" w:space="0" w:color="auto"/>
                <w:left w:val="none" w:sz="0" w:space="0" w:color="auto"/>
                <w:bottom w:val="none" w:sz="0" w:space="0" w:color="auto"/>
                <w:right w:val="none" w:sz="0" w:space="0" w:color="auto"/>
              </w:divBdr>
            </w:div>
            <w:div w:id="1200584352">
              <w:marLeft w:val="0"/>
              <w:marRight w:val="0"/>
              <w:marTop w:val="0"/>
              <w:marBottom w:val="0"/>
              <w:divBdr>
                <w:top w:val="none" w:sz="0" w:space="0" w:color="auto"/>
                <w:left w:val="none" w:sz="0" w:space="0" w:color="auto"/>
                <w:bottom w:val="none" w:sz="0" w:space="0" w:color="auto"/>
                <w:right w:val="none" w:sz="0" w:space="0" w:color="auto"/>
              </w:divBdr>
            </w:div>
            <w:div w:id="1203664940">
              <w:marLeft w:val="0"/>
              <w:marRight w:val="0"/>
              <w:marTop w:val="0"/>
              <w:marBottom w:val="0"/>
              <w:divBdr>
                <w:top w:val="none" w:sz="0" w:space="0" w:color="auto"/>
                <w:left w:val="none" w:sz="0" w:space="0" w:color="auto"/>
                <w:bottom w:val="none" w:sz="0" w:space="0" w:color="auto"/>
                <w:right w:val="none" w:sz="0" w:space="0" w:color="auto"/>
              </w:divBdr>
            </w:div>
            <w:div w:id="1215894329">
              <w:marLeft w:val="0"/>
              <w:marRight w:val="0"/>
              <w:marTop w:val="0"/>
              <w:marBottom w:val="0"/>
              <w:divBdr>
                <w:top w:val="none" w:sz="0" w:space="0" w:color="auto"/>
                <w:left w:val="none" w:sz="0" w:space="0" w:color="auto"/>
                <w:bottom w:val="none" w:sz="0" w:space="0" w:color="auto"/>
                <w:right w:val="none" w:sz="0" w:space="0" w:color="auto"/>
              </w:divBdr>
            </w:div>
            <w:div w:id="1233660257">
              <w:marLeft w:val="0"/>
              <w:marRight w:val="0"/>
              <w:marTop w:val="0"/>
              <w:marBottom w:val="0"/>
              <w:divBdr>
                <w:top w:val="none" w:sz="0" w:space="0" w:color="auto"/>
                <w:left w:val="none" w:sz="0" w:space="0" w:color="auto"/>
                <w:bottom w:val="none" w:sz="0" w:space="0" w:color="auto"/>
                <w:right w:val="none" w:sz="0" w:space="0" w:color="auto"/>
              </w:divBdr>
            </w:div>
            <w:div w:id="1242255988">
              <w:marLeft w:val="0"/>
              <w:marRight w:val="0"/>
              <w:marTop w:val="0"/>
              <w:marBottom w:val="0"/>
              <w:divBdr>
                <w:top w:val="none" w:sz="0" w:space="0" w:color="auto"/>
                <w:left w:val="none" w:sz="0" w:space="0" w:color="auto"/>
                <w:bottom w:val="none" w:sz="0" w:space="0" w:color="auto"/>
                <w:right w:val="none" w:sz="0" w:space="0" w:color="auto"/>
              </w:divBdr>
            </w:div>
            <w:div w:id="1254246233">
              <w:marLeft w:val="0"/>
              <w:marRight w:val="0"/>
              <w:marTop w:val="0"/>
              <w:marBottom w:val="0"/>
              <w:divBdr>
                <w:top w:val="none" w:sz="0" w:space="0" w:color="auto"/>
                <w:left w:val="none" w:sz="0" w:space="0" w:color="auto"/>
                <w:bottom w:val="none" w:sz="0" w:space="0" w:color="auto"/>
                <w:right w:val="none" w:sz="0" w:space="0" w:color="auto"/>
              </w:divBdr>
            </w:div>
            <w:div w:id="1257907956">
              <w:marLeft w:val="0"/>
              <w:marRight w:val="0"/>
              <w:marTop w:val="0"/>
              <w:marBottom w:val="0"/>
              <w:divBdr>
                <w:top w:val="none" w:sz="0" w:space="0" w:color="auto"/>
                <w:left w:val="none" w:sz="0" w:space="0" w:color="auto"/>
                <w:bottom w:val="none" w:sz="0" w:space="0" w:color="auto"/>
                <w:right w:val="none" w:sz="0" w:space="0" w:color="auto"/>
              </w:divBdr>
            </w:div>
            <w:div w:id="1278874667">
              <w:marLeft w:val="0"/>
              <w:marRight w:val="0"/>
              <w:marTop w:val="0"/>
              <w:marBottom w:val="0"/>
              <w:divBdr>
                <w:top w:val="none" w:sz="0" w:space="0" w:color="auto"/>
                <w:left w:val="none" w:sz="0" w:space="0" w:color="auto"/>
                <w:bottom w:val="none" w:sz="0" w:space="0" w:color="auto"/>
                <w:right w:val="none" w:sz="0" w:space="0" w:color="auto"/>
              </w:divBdr>
            </w:div>
            <w:div w:id="1282568325">
              <w:marLeft w:val="0"/>
              <w:marRight w:val="0"/>
              <w:marTop w:val="0"/>
              <w:marBottom w:val="0"/>
              <w:divBdr>
                <w:top w:val="none" w:sz="0" w:space="0" w:color="auto"/>
                <w:left w:val="none" w:sz="0" w:space="0" w:color="auto"/>
                <w:bottom w:val="none" w:sz="0" w:space="0" w:color="auto"/>
                <w:right w:val="none" w:sz="0" w:space="0" w:color="auto"/>
              </w:divBdr>
            </w:div>
            <w:div w:id="1296184488">
              <w:marLeft w:val="0"/>
              <w:marRight w:val="0"/>
              <w:marTop w:val="0"/>
              <w:marBottom w:val="0"/>
              <w:divBdr>
                <w:top w:val="none" w:sz="0" w:space="0" w:color="auto"/>
                <w:left w:val="none" w:sz="0" w:space="0" w:color="auto"/>
                <w:bottom w:val="none" w:sz="0" w:space="0" w:color="auto"/>
                <w:right w:val="none" w:sz="0" w:space="0" w:color="auto"/>
              </w:divBdr>
            </w:div>
            <w:div w:id="1310328231">
              <w:marLeft w:val="0"/>
              <w:marRight w:val="0"/>
              <w:marTop w:val="0"/>
              <w:marBottom w:val="0"/>
              <w:divBdr>
                <w:top w:val="none" w:sz="0" w:space="0" w:color="auto"/>
                <w:left w:val="none" w:sz="0" w:space="0" w:color="auto"/>
                <w:bottom w:val="none" w:sz="0" w:space="0" w:color="auto"/>
                <w:right w:val="none" w:sz="0" w:space="0" w:color="auto"/>
              </w:divBdr>
            </w:div>
            <w:div w:id="1318537767">
              <w:marLeft w:val="0"/>
              <w:marRight w:val="0"/>
              <w:marTop w:val="0"/>
              <w:marBottom w:val="0"/>
              <w:divBdr>
                <w:top w:val="none" w:sz="0" w:space="0" w:color="auto"/>
                <w:left w:val="none" w:sz="0" w:space="0" w:color="auto"/>
                <w:bottom w:val="none" w:sz="0" w:space="0" w:color="auto"/>
                <w:right w:val="none" w:sz="0" w:space="0" w:color="auto"/>
              </w:divBdr>
            </w:div>
            <w:div w:id="1341153239">
              <w:marLeft w:val="0"/>
              <w:marRight w:val="0"/>
              <w:marTop w:val="0"/>
              <w:marBottom w:val="0"/>
              <w:divBdr>
                <w:top w:val="none" w:sz="0" w:space="0" w:color="auto"/>
                <w:left w:val="none" w:sz="0" w:space="0" w:color="auto"/>
                <w:bottom w:val="none" w:sz="0" w:space="0" w:color="auto"/>
                <w:right w:val="none" w:sz="0" w:space="0" w:color="auto"/>
              </w:divBdr>
            </w:div>
            <w:div w:id="1361317645">
              <w:marLeft w:val="0"/>
              <w:marRight w:val="0"/>
              <w:marTop w:val="0"/>
              <w:marBottom w:val="0"/>
              <w:divBdr>
                <w:top w:val="none" w:sz="0" w:space="0" w:color="auto"/>
                <w:left w:val="none" w:sz="0" w:space="0" w:color="auto"/>
                <w:bottom w:val="none" w:sz="0" w:space="0" w:color="auto"/>
                <w:right w:val="none" w:sz="0" w:space="0" w:color="auto"/>
              </w:divBdr>
            </w:div>
            <w:div w:id="1369915291">
              <w:marLeft w:val="0"/>
              <w:marRight w:val="0"/>
              <w:marTop w:val="0"/>
              <w:marBottom w:val="0"/>
              <w:divBdr>
                <w:top w:val="none" w:sz="0" w:space="0" w:color="auto"/>
                <w:left w:val="none" w:sz="0" w:space="0" w:color="auto"/>
                <w:bottom w:val="none" w:sz="0" w:space="0" w:color="auto"/>
                <w:right w:val="none" w:sz="0" w:space="0" w:color="auto"/>
              </w:divBdr>
            </w:div>
            <w:div w:id="1379360394">
              <w:marLeft w:val="0"/>
              <w:marRight w:val="0"/>
              <w:marTop w:val="0"/>
              <w:marBottom w:val="0"/>
              <w:divBdr>
                <w:top w:val="none" w:sz="0" w:space="0" w:color="auto"/>
                <w:left w:val="none" w:sz="0" w:space="0" w:color="auto"/>
                <w:bottom w:val="none" w:sz="0" w:space="0" w:color="auto"/>
                <w:right w:val="none" w:sz="0" w:space="0" w:color="auto"/>
              </w:divBdr>
            </w:div>
            <w:div w:id="1388845645">
              <w:marLeft w:val="0"/>
              <w:marRight w:val="0"/>
              <w:marTop w:val="0"/>
              <w:marBottom w:val="0"/>
              <w:divBdr>
                <w:top w:val="none" w:sz="0" w:space="0" w:color="auto"/>
                <w:left w:val="none" w:sz="0" w:space="0" w:color="auto"/>
                <w:bottom w:val="none" w:sz="0" w:space="0" w:color="auto"/>
                <w:right w:val="none" w:sz="0" w:space="0" w:color="auto"/>
              </w:divBdr>
            </w:div>
            <w:div w:id="1389495137">
              <w:marLeft w:val="0"/>
              <w:marRight w:val="0"/>
              <w:marTop w:val="0"/>
              <w:marBottom w:val="0"/>
              <w:divBdr>
                <w:top w:val="none" w:sz="0" w:space="0" w:color="auto"/>
                <w:left w:val="none" w:sz="0" w:space="0" w:color="auto"/>
                <w:bottom w:val="none" w:sz="0" w:space="0" w:color="auto"/>
                <w:right w:val="none" w:sz="0" w:space="0" w:color="auto"/>
              </w:divBdr>
            </w:div>
            <w:div w:id="1399861471">
              <w:marLeft w:val="0"/>
              <w:marRight w:val="0"/>
              <w:marTop w:val="0"/>
              <w:marBottom w:val="0"/>
              <w:divBdr>
                <w:top w:val="none" w:sz="0" w:space="0" w:color="auto"/>
                <w:left w:val="none" w:sz="0" w:space="0" w:color="auto"/>
                <w:bottom w:val="none" w:sz="0" w:space="0" w:color="auto"/>
                <w:right w:val="none" w:sz="0" w:space="0" w:color="auto"/>
              </w:divBdr>
            </w:div>
            <w:div w:id="1419787834">
              <w:marLeft w:val="0"/>
              <w:marRight w:val="0"/>
              <w:marTop w:val="0"/>
              <w:marBottom w:val="0"/>
              <w:divBdr>
                <w:top w:val="none" w:sz="0" w:space="0" w:color="auto"/>
                <w:left w:val="none" w:sz="0" w:space="0" w:color="auto"/>
                <w:bottom w:val="none" w:sz="0" w:space="0" w:color="auto"/>
                <w:right w:val="none" w:sz="0" w:space="0" w:color="auto"/>
              </w:divBdr>
            </w:div>
            <w:div w:id="1427265699">
              <w:marLeft w:val="0"/>
              <w:marRight w:val="0"/>
              <w:marTop w:val="0"/>
              <w:marBottom w:val="0"/>
              <w:divBdr>
                <w:top w:val="none" w:sz="0" w:space="0" w:color="auto"/>
                <w:left w:val="none" w:sz="0" w:space="0" w:color="auto"/>
                <w:bottom w:val="none" w:sz="0" w:space="0" w:color="auto"/>
                <w:right w:val="none" w:sz="0" w:space="0" w:color="auto"/>
              </w:divBdr>
            </w:div>
            <w:div w:id="1437945840">
              <w:marLeft w:val="0"/>
              <w:marRight w:val="0"/>
              <w:marTop w:val="0"/>
              <w:marBottom w:val="0"/>
              <w:divBdr>
                <w:top w:val="none" w:sz="0" w:space="0" w:color="auto"/>
                <w:left w:val="none" w:sz="0" w:space="0" w:color="auto"/>
                <w:bottom w:val="none" w:sz="0" w:space="0" w:color="auto"/>
                <w:right w:val="none" w:sz="0" w:space="0" w:color="auto"/>
              </w:divBdr>
            </w:div>
            <w:div w:id="1448234224">
              <w:marLeft w:val="0"/>
              <w:marRight w:val="0"/>
              <w:marTop w:val="0"/>
              <w:marBottom w:val="0"/>
              <w:divBdr>
                <w:top w:val="none" w:sz="0" w:space="0" w:color="auto"/>
                <w:left w:val="none" w:sz="0" w:space="0" w:color="auto"/>
                <w:bottom w:val="none" w:sz="0" w:space="0" w:color="auto"/>
                <w:right w:val="none" w:sz="0" w:space="0" w:color="auto"/>
              </w:divBdr>
            </w:div>
            <w:div w:id="1457455426">
              <w:marLeft w:val="0"/>
              <w:marRight w:val="0"/>
              <w:marTop w:val="0"/>
              <w:marBottom w:val="0"/>
              <w:divBdr>
                <w:top w:val="none" w:sz="0" w:space="0" w:color="auto"/>
                <w:left w:val="none" w:sz="0" w:space="0" w:color="auto"/>
                <w:bottom w:val="none" w:sz="0" w:space="0" w:color="auto"/>
                <w:right w:val="none" w:sz="0" w:space="0" w:color="auto"/>
              </w:divBdr>
            </w:div>
            <w:div w:id="1457792030">
              <w:marLeft w:val="0"/>
              <w:marRight w:val="0"/>
              <w:marTop w:val="0"/>
              <w:marBottom w:val="0"/>
              <w:divBdr>
                <w:top w:val="none" w:sz="0" w:space="0" w:color="auto"/>
                <w:left w:val="none" w:sz="0" w:space="0" w:color="auto"/>
                <w:bottom w:val="none" w:sz="0" w:space="0" w:color="auto"/>
                <w:right w:val="none" w:sz="0" w:space="0" w:color="auto"/>
              </w:divBdr>
            </w:div>
            <w:div w:id="1470781101">
              <w:marLeft w:val="0"/>
              <w:marRight w:val="0"/>
              <w:marTop w:val="0"/>
              <w:marBottom w:val="0"/>
              <w:divBdr>
                <w:top w:val="none" w:sz="0" w:space="0" w:color="auto"/>
                <w:left w:val="none" w:sz="0" w:space="0" w:color="auto"/>
                <w:bottom w:val="none" w:sz="0" w:space="0" w:color="auto"/>
                <w:right w:val="none" w:sz="0" w:space="0" w:color="auto"/>
              </w:divBdr>
            </w:div>
            <w:div w:id="1473407515">
              <w:marLeft w:val="0"/>
              <w:marRight w:val="0"/>
              <w:marTop w:val="0"/>
              <w:marBottom w:val="0"/>
              <w:divBdr>
                <w:top w:val="none" w:sz="0" w:space="0" w:color="auto"/>
                <w:left w:val="none" w:sz="0" w:space="0" w:color="auto"/>
                <w:bottom w:val="none" w:sz="0" w:space="0" w:color="auto"/>
                <w:right w:val="none" w:sz="0" w:space="0" w:color="auto"/>
              </w:divBdr>
            </w:div>
            <w:div w:id="1494301952">
              <w:marLeft w:val="0"/>
              <w:marRight w:val="0"/>
              <w:marTop w:val="0"/>
              <w:marBottom w:val="0"/>
              <w:divBdr>
                <w:top w:val="none" w:sz="0" w:space="0" w:color="auto"/>
                <w:left w:val="none" w:sz="0" w:space="0" w:color="auto"/>
                <w:bottom w:val="none" w:sz="0" w:space="0" w:color="auto"/>
                <w:right w:val="none" w:sz="0" w:space="0" w:color="auto"/>
              </w:divBdr>
            </w:div>
            <w:div w:id="1498766816">
              <w:marLeft w:val="0"/>
              <w:marRight w:val="0"/>
              <w:marTop w:val="0"/>
              <w:marBottom w:val="0"/>
              <w:divBdr>
                <w:top w:val="none" w:sz="0" w:space="0" w:color="auto"/>
                <w:left w:val="none" w:sz="0" w:space="0" w:color="auto"/>
                <w:bottom w:val="none" w:sz="0" w:space="0" w:color="auto"/>
                <w:right w:val="none" w:sz="0" w:space="0" w:color="auto"/>
              </w:divBdr>
            </w:div>
            <w:div w:id="1499270978">
              <w:marLeft w:val="0"/>
              <w:marRight w:val="0"/>
              <w:marTop w:val="0"/>
              <w:marBottom w:val="0"/>
              <w:divBdr>
                <w:top w:val="none" w:sz="0" w:space="0" w:color="auto"/>
                <w:left w:val="none" w:sz="0" w:space="0" w:color="auto"/>
                <w:bottom w:val="none" w:sz="0" w:space="0" w:color="auto"/>
                <w:right w:val="none" w:sz="0" w:space="0" w:color="auto"/>
              </w:divBdr>
            </w:div>
            <w:div w:id="1542015803">
              <w:marLeft w:val="0"/>
              <w:marRight w:val="0"/>
              <w:marTop w:val="0"/>
              <w:marBottom w:val="0"/>
              <w:divBdr>
                <w:top w:val="none" w:sz="0" w:space="0" w:color="auto"/>
                <w:left w:val="none" w:sz="0" w:space="0" w:color="auto"/>
                <w:bottom w:val="none" w:sz="0" w:space="0" w:color="auto"/>
                <w:right w:val="none" w:sz="0" w:space="0" w:color="auto"/>
              </w:divBdr>
            </w:div>
            <w:div w:id="1554583707">
              <w:marLeft w:val="0"/>
              <w:marRight w:val="0"/>
              <w:marTop w:val="0"/>
              <w:marBottom w:val="0"/>
              <w:divBdr>
                <w:top w:val="none" w:sz="0" w:space="0" w:color="auto"/>
                <w:left w:val="none" w:sz="0" w:space="0" w:color="auto"/>
                <w:bottom w:val="none" w:sz="0" w:space="0" w:color="auto"/>
                <w:right w:val="none" w:sz="0" w:space="0" w:color="auto"/>
              </w:divBdr>
            </w:div>
            <w:div w:id="1575044877">
              <w:marLeft w:val="0"/>
              <w:marRight w:val="0"/>
              <w:marTop w:val="0"/>
              <w:marBottom w:val="0"/>
              <w:divBdr>
                <w:top w:val="none" w:sz="0" w:space="0" w:color="auto"/>
                <w:left w:val="none" w:sz="0" w:space="0" w:color="auto"/>
                <w:bottom w:val="none" w:sz="0" w:space="0" w:color="auto"/>
                <w:right w:val="none" w:sz="0" w:space="0" w:color="auto"/>
              </w:divBdr>
            </w:div>
            <w:div w:id="1580094948">
              <w:marLeft w:val="0"/>
              <w:marRight w:val="0"/>
              <w:marTop w:val="0"/>
              <w:marBottom w:val="0"/>
              <w:divBdr>
                <w:top w:val="none" w:sz="0" w:space="0" w:color="auto"/>
                <w:left w:val="none" w:sz="0" w:space="0" w:color="auto"/>
                <w:bottom w:val="none" w:sz="0" w:space="0" w:color="auto"/>
                <w:right w:val="none" w:sz="0" w:space="0" w:color="auto"/>
              </w:divBdr>
            </w:div>
            <w:div w:id="1581716930">
              <w:marLeft w:val="0"/>
              <w:marRight w:val="0"/>
              <w:marTop w:val="0"/>
              <w:marBottom w:val="0"/>
              <w:divBdr>
                <w:top w:val="none" w:sz="0" w:space="0" w:color="auto"/>
                <w:left w:val="none" w:sz="0" w:space="0" w:color="auto"/>
                <w:bottom w:val="none" w:sz="0" w:space="0" w:color="auto"/>
                <w:right w:val="none" w:sz="0" w:space="0" w:color="auto"/>
              </w:divBdr>
            </w:div>
            <w:div w:id="1598831876">
              <w:marLeft w:val="0"/>
              <w:marRight w:val="0"/>
              <w:marTop w:val="0"/>
              <w:marBottom w:val="0"/>
              <w:divBdr>
                <w:top w:val="none" w:sz="0" w:space="0" w:color="auto"/>
                <w:left w:val="none" w:sz="0" w:space="0" w:color="auto"/>
                <w:bottom w:val="none" w:sz="0" w:space="0" w:color="auto"/>
                <w:right w:val="none" w:sz="0" w:space="0" w:color="auto"/>
              </w:divBdr>
            </w:div>
            <w:div w:id="1606228683">
              <w:marLeft w:val="0"/>
              <w:marRight w:val="0"/>
              <w:marTop w:val="0"/>
              <w:marBottom w:val="0"/>
              <w:divBdr>
                <w:top w:val="none" w:sz="0" w:space="0" w:color="auto"/>
                <w:left w:val="none" w:sz="0" w:space="0" w:color="auto"/>
                <w:bottom w:val="none" w:sz="0" w:space="0" w:color="auto"/>
                <w:right w:val="none" w:sz="0" w:space="0" w:color="auto"/>
              </w:divBdr>
            </w:div>
            <w:div w:id="1608737482">
              <w:marLeft w:val="0"/>
              <w:marRight w:val="0"/>
              <w:marTop w:val="0"/>
              <w:marBottom w:val="0"/>
              <w:divBdr>
                <w:top w:val="none" w:sz="0" w:space="0" w:color="auto"/>
                <w:left w:val="none" w:sz="0" w:space="0" w:color="auto"/>
                <w:bottom w:val="none" w:sz="0" w:space="0" w:color="auto"/>
                <w:right w:val="none" w:sz="0" w:space="0" w:color="auto"/>
              </w:divBdr>
            </w:div>
            <w:div w:id="1624576833">
              <w:marLeft w:val="0"/>
              <w:marRight w:val="0"/>
              <w:marTop w:val="0"/>
              <w:marBottom w:val="0"/>
              <w:divBdr>
                <w:top w:val="none" w:sz="0" w:space="0" w:color="auto"/>
                <w:left w:val="none" w:sz="0" w:space="0" w:color="auto"/>
                <w:bottom w:val="none" w:sz="0" w:space="0" w:color="auto"/>
                <w:right w:val="none" w:sz="0" w:space="0" w:color="auto"/>
              </w:divBdr>
            </w:div>
            <w:div w:id="1626426539">
              <w:marLeft w:val="0"/>
              <w:marRight w:val="0"/>
              <w:marTop w:val="0"/>
              <w:marBottom w:val="0"/>
              <w:divBdr>
                <w:top w:val="none" w:sz="0" w:space="0" w:color="auto"/>
                <w:left w:val="none" w:sz="0" w:space="0" w:color="auto"/>
                <w:bottom w:val="none" w:sz="0" w:space="0" w:color="auto"/>
                <w:right w:val="none" w:sz="0" w:space="0" w:color="auto"/>
              </w:divBdr>
            </w:div>
            <w:div w:id="1631400104">
              <w:marLeft w:val="0"/>
              <w:marRight w:val="0"/>
              <w:marTop w:val="0"/>
              <w:marBottom w:val="0"/>
              <w:divBdr>
                <w:top w:val="none" w:sz="0" w:space="0" w:color="auto"/>
                <w:left w:val="none" w:sz="0" w:space="0" w:color="auto"/>
                <w:bottom w:val="none" w:sz="0" w:space="0" w:color="auto"/>
                <w:right w:val="none" w:sz="0" w:space="0" w:color="auto"/>
              </w:divBdr>
            </w:div>
            <w:div w:id="1642802977">
              <w:marLeft w:val="0"/>
              <w:marRight w:val="0"/>
              <w:marTop w:val="0"/>
              <w:marBottom w:val="0"/>
              <w:divBdr>
                <w:top w:val="none" w:sz="0" w:space="0" w:color="auto"/>
                <w:left w:val="none" w:sz="0" w:space="0" w:color="auto"/>
                <w:bottom w:val="none" w:sz="0" w:space="0" w:color="auto"/>
                <w:right w:val="none" w:sz="0" w:space="0" w:color="auto"/>
              </w:divBdr>
            </w:div>
            <w:div w:id="1667635437">
              <w:marLeft w:val="0"/>
              <w:marRight w:val="0"/>
              <w:marTop w:val="0"/>
              <w:marBottom w:val="0"/>
              <w:divBdr>
                <w:top w:val="none" w:sz="0" w:space="0" w:color="auto"/>
                <w:left w:val="none" w:sz="0" w:space="0" w:color="auto"/>
                <w:bottom w:val="none" w:sz="0" w:space="0" w:color="auto"/>
                <w:right w:val="none" w:sz="0" w:space="0" w:color="auto"/>
              </w:divBdr>
            </w:div>
            <w:div w:id="1676110179">
              <w:marLeft w:val="0"/>
              <w:marRight w:val="0"/>
              <w:marTop w:val="0"/>
              <w:marBottom w:val="0"/>
              <w:divBdr>
                <w:top w:val="none" w:sz="0" w:space="0" w:color="auto"/>
                <w:left w:val="none" w:sz="0" w:space="0" w:color="auto"/>
                <w:bottom w:val="none" w:sz="0" w:space="0" w:color="auto"/>
                <w:right w:val="none" w:sz="0" w:space="0" w:color="auto"/>
              </w:divBdr>
            </w:div>
            <w:div w:id="1678922198">
              <w:marLeft w:val="0"/>
              <w:marRight w:val="0"/>
              <w:marTop w:val="0"/>
              <w:marBottom w:val="0"/>
              <w:divBdr>
                <w:top w:val="none" w:sz="0" w:space="0" w:color="auto"/>
                <w:left w:val="none" w:sz="0" w:space="0" w:color="auto"/>
                <w:bottom w:val="none" w:sz="0" w:space="0" w:color="auto"/>
                <w:right w:val="none" w:sz="0" w:space="0" w:color="auto"/>
              </w:divBdr>
            </w:div>
            <w:div w:id="1679578841">
              <w:marLeft w:val="0"/>
              <w:marRight w:val="0"/>
              <w:marTop w:val="0"/>
              <w:marBottom w:val="0"/>
              <w:divBdr>
                <w:top w:val="none" w:sz="0" w:space="0" w:color="auto"/>
                <w:left w:val="none" w:sz="0" w:space="0" w:color="auto"/>
                <w:bottom w:val="none" w:sz="0" w:space="0" w:color="auto"/>
                <w:right w:val="none" w:sz="0" w:space="0" w:color="auto"/>
              </w:divBdr>
            </w:div>
            <w:div w:id="1695304469">
              <w:marLeft w:val="0"/>
              <w:marRight w:val="0"/>
              <w:marTop w:val="0"/>
              <w:marBottom w:val="0"/>
              <w:divBdr>
                <w:top w:val="none" w:sz="0" w:space="0" w:color="auto"/>
                <w:left w:val="none" w:sz="0" w:space="0" w:color="auto"/>
                <w:bottom w:val="none" w:sz="0" w:space="0" w:color="auto"/>
                <w:right w:val="none" w:sz="0" w:space="0" w:color="auto"/>
              </w:divBdr>
            </w:div>
            <w:div w:id="1701128167">
              <w:marLeft w:val="0"/>
              <w:marRight w:val="0"/>
              <w:marTop w:val="0"/>
              <w:marBottom w:val="0"/>
              <w:divBdr>
                <w:top w:val="none" w:sz="0" w:space="0" w:color="auto"/>
                <w:left w:val="none" w:sz="0" w:space="0" w:color="auto"/>
                <w:bottom w:val="none" w:sz="0" w:space="0" w:color="auto"/>
                <w:right w:val="none" w:sz="0" w:space="0" w:color="auto"/>
              </w:divBdr>
            </w:div>
            <w:div w:id="1721592526">
              <w:marLeft w:val="0"/>
              <w:marRight w:val="0"/>
              <w:marTop w:val="0"/>
              <w:marBottom w:val="0"/>
              <w:divBdr>
                <w:top w:val="none" w:sz="0" w:space="0" w:color="auto"/>
                <w:left w:val="none" w:sz="0" w:space="0" w:color="auto"/>
                <w:bottom w:val="none" w:sz="0" w:space="0" w:color="auto"/>
                <w:right w:val="none" w:sz="0" w:space="0" w:color="auto"/>
              </w:divBdr>
            </w:div>
            <w:div w:id="1722096619">
              <w:marLeft w:val="0"/>
              <w:marRight w:val="0"/>
              <w:marTop w:val="0"/>
              <w:marBottom w:val="0"/>
              <w:divBdr>
                <w:top w:val="none" w:sz="0" w:space="0" w:color="auto"/>
                <w:left w:val="none" w:sz="0" w:space="0" w:color="auto"/>
                <w:bottom w:val="none" w:sz="0" w:space="0" w:color="auto"/>
                <w:right w:val="none" w:sz="0" w:space="0" w:color="auto"/>
              </w:divBdr>
            </w:div>
            <w:div w:id="1754668399">
              <w:marLeft w:val="0"/>
              <w:marRight w:val="0"/>
              <w:marTop w:val="0"/>
              <w:marBottom w:val="0"/>
              <w:divBdr>
                <w:top w:val="none" w:sz="0" w:space="0" w:color="auto"/>
                <w:left w:val="none" w:sz="0" w:space="0" w:color="auto"/>
                <w:bottom w:val="none" w:sz="0" w:space="0" w:color="auto"/>
                <w:right w:val="none" w:sz="0" w:space="0" w:color="auto"/>
              </w:divBdr>
            </w:div>
            <w:div w:id="1762214506">
              <w:marLeft w:val="0"/>
              <w:marRight w:val="0"/>
              <w:marTop w:val="0"/>
              <w:marBottom w:val="0"/>
              <w:divBdr>
                <w:top w:val="none" w:sz="0" w:space="0" w:color="auto"/>
                <w:left w:val="none" w:sz="0" w:space="0" w:color="auto"/>
                <w:bottom w:val="none" w:sz="0" w:space="0" w:color="auto"/>
                <w:right w:val="none" w:sz="0" w:space="0" w:color="auto"/>
              </w:divBdr>
            </w:div>
            <w:div w:id="1777141250">
              <w:marLeft w:val="0"/>
              <w:marRight w:val="0"/>
              <w:marTop w:val="0"/>
              <w:marBottom w:val="0"/>
              <w:divBdr>
                <w:top w:val="none" w:sz="0" w:space="0" w:color="auto"/>
                <w:left w:val="none" w:sz="0" w:space="0" w:color="auto"/>
                <w:bottom w:val="none" w:sz="0" w:space="0" w:color="auto"/>
                <w:right w:val="none" w:sz="0" w:space="0" w:color="auto"/>
              </w:divBdr>
            </w:div>
            <w:div w:id="1793280698">
              <w:marLeft w:val="0"/>
              <w:marRight w:val="0"/>
              <w:marTop w:val="0"/>
              <w:marBottom w:val="0"/>
              <w:divBdr>
                <w:top w:val="none" w:sz="0" w:space="0" w:color="auto"/>
                <w:left w:val="none" w:sz="0" w:space="0" w:color="auto"/>
                <w:bottom w:val="none" w:sz="0" w:space="0" w:color="auto"/>
                <w:right w:val="none" w:sz="0" w:space="0" w:color="auto"/>
              </w:divBdr>
            </w:div>
            <w:div w:id="1796361701">
              <w:marLeft w:val="0"/>
              <w:marRight w:val="0"/>
              <w:marTop w:val="0"/>
              <w:marBottom w:val="0"/>
              <w:divBdr>
                <w:top w:val="none" w:sz="0" w:space="0" w:color="auto"/>
                <w:left w:val="none" w:sz="0" w:space="0" w:color="auto"/>
                <w:bottom w:val="none" w:sz="0" w:space="0" w:color="auto"/>
                <w:right w:val="none" w:sz="0" w:space="0" w:color="auto"/>
              </w:divBdr>
            </w:div>
            <w:div w:id="1845704775">
              <w:marLeft w:val="0"/>
              <w:marRight w:val="0"/>
              <w:marTop w:val="0"/>
              <w:marBottom w:val="0"/>
              <w:divBdr>
                <w:top w:val="none" w:sz="0" w:space="0" w:color="auto"/>
                <w:left w:val="none" w:sz="0" w:space="0" w:color="auto"/>
                <w:bottom w:val="none" w:sz="0" w:space="0" w:color="auto"/>
                <w:right w:val="none" w:sz="0" w:space="0" w:color="auto"/>
              </w:divBdr>
            </w:div>
            <w:div w:id="1848516551">
              <w:marLeft w:val="0"/>
              <w:marRight w:val="0"/>
              <w:marTop w:val="0"/>
              <w:marBottom w:val="0"/>
              <w:divBdr>
                <w:top w:val="none" w:sz="0" w:space="0" w:color="auto"/>
                <w:left w:val="none" w:sz="0" w:space="0" w:color="auto"/>
                <w:bottom w:val="none" w:sz="0" w:space="0" w:color="auto"/>
                <w:right w:val="none" w:sz="0" w:space="0" w:color="auto"/>
              </w:divBdr>
            </w:div>
            <w:div w:id="1850751124">
              <w:marLeft w:val="0"/>
              <w:marRight w:val="0"/>
              <w:marTop w:val="0"/>
              <w:marBottom w:val="0"/>
              <w:divBdr>
                <w:top w:val="none" w:sz="0" w:space="0" w:color="auto"/>
                <w:left w:val="none" w:sz="0" w:space="0" w:color="auto"/>
                <w:bottom w:val="none" w:sz="0" w:space="0" w:color="auto"/>
                <w:right w:val="none" w:sz="0" w:space="0" w:color="auto"/>
              </w:divBdr>
            </w:div>
            <w:div w:id="1860047615">
              <w:marLeft w:val="0"/>
              <w:marRight w:val="0"/>
              <w:marTop w:val="0"/>
              <w:marBottom w:val="0"/>
              <w:divBdr>
                <w:top w:val="none" w:sz="0" w:space="0" w:color="auto"/>
                <w:left w:val="none" w:sz="0" w:space="0" w:color="auto"/>
                <w:bottom w:val="none" w:sz="0" w:space="0" w:color="auto"/>
                <w:right w:val="none" w:sz="0" w:space="0" w:color="auto"/>
              </w:divBdr>
            </w:div>
            <w:div w:id="1868759952">
              <w:marLeft w:val="0"/>
              <w:marRight w:val="0"/>
              <w:marTop w:val="0"/>
              <w:marBottom w:val="0"/>
              <w:divBdr>
                <w:top w:val="none" w:sz="0" w:space="0" w:color="auto"/>
                <w:left w:val="none" w:sz="0" w:space="0" w:color="auto"/>
                <w:bottom w:val="none" w:sz="0" w:space="0" w:color="auto"/>
                <w:right w:val="none" w:sz="0" w:space="0" w:color="auto"/>
              </w:divBdr>
            </w:div>
            <w:div w:id="1918593196">
              <w:marLeft w:val="0"/>
              <w:marRight w:val="0"/>
              <w:marTop w:val="0"/>
              <w:marBottom w:val="0"/>
              <w:divBdr>
                <w:top w:val="none" w:sz="0" w:space="0" w:color="auto"/>
                <w:left w:val="none" w:sz="0" w:space="0" w:color="auto"/>
                <w:bottom w:val="none" w:sz="0" w:space="0" w:color="auto"/>
                <w:right w:val="none" w:sz="0" w:space="0" w:color="auto"/>
              </w:divBdr>
            </w:div>
            <w:div w:id="1921063408">
              <w:marLeft w:val="0"/>
              <w:marRight w:val="0"/>
              <w:marTop w:val="0"/>
              <w:marBottom w:val="0"/>
              <w:divBdr>
                <w:top w:val="none" w:sz="0" w:space="0" w:color="auto"/>
                <w:left w:val="none" w:sz="0" w:space="0" w:color="auto"/>
                <w:bottom w:val="none" w:sz="0" w:space="0" w:color="auto"/>
                <w:right w:val="none" w:sz="0" w:space="0" w:color="auto"/>
              </w:divBdr>
            </w:div>
            <w:div w:id="1947039619">
              <w:marLeft w:val="0"/>
              <w:marRight w:val="0"/>
              <w:marTop w:val="0"/>
              <w:marBottom w:val="0"/>
              <w:divBdr>
                <w:top w:val="none" w:sz="0" w:space="0" w:color="auto"/>
                <w:left w:val="none" w:sz="0" w:space="0" w:color="auto"/>
                <w:bottom w:val="none" w:sz="0" w:space="0" w:color="auto"/>
                <w:right w:val="none" w:sz="0" w:space="0" w:color="auto"/>
              </w:divBdr>
            </w:div>
            <w:div w:id="1952541504">
              <w:marLeft w:val="0"/>
              <w:marRight w:val="0"/>
              <w:marTop w:val="0"/>
              <w:marBottom w:val="0"/>
              <w:divBdr>
                <w:top w:val="none" w:sz="0" w:space="0" w:color="auto"/>
                <w:left w:val="none" w:sz="0" w:space="0" w:color="auto"/>
                <w:bottom w:val="none" w:sz="0" w:space="0" w:color="auto"/>
                <w:right w:val="none" w:sz="0" w:space="0" w:color="auto"/>
              </w:divBdr>
            </w:div>
            <w:div w:id="1958633633">
              <w:marLeft w:val="0"/>
              <w:marRight w:val="0"/>
              <w:marTop w:val="0"/>
              <w:marBottom w:val="0"/>
              <w:divBdr>
                <w:top w:val="none" w:sz="0" w:space="0" w:color="auto"/>
                <w:left w:val="none" w:sz="0" w:space="0" w:color="auto"/>
                <w:bottom w:val="none" w:sz="0" w:space="0" w:color="auto"/>
                <w:right w:val="none" w:sz="0" w:space="0" w:color="auto"/>
              </w:divBdr>
            </w:div>
            <w:div w:id="1971474063">
              <w:marLeft w:val="0"/>
              <w:marRight w:val="0"/>
              <w:marTop w:val="0"/>
              <w:marBottom w:val="0"/>
              <w:divBdr>
                <w:top w:val="none" w:sz="0" w:space="0" w:color="auto"/>
                <w:left w:val="none" w:sz="0" w:space="0" w:color="auto"/>
                <w:bottom w:val="none" w:sz="0" w:space="0" w:color="auto"/>
                <w:right w:val="none" w:sz="0" w:space="0" w:color="auto"/>
              </w:divBdr>
            </w:div>
            <w:div w:id="1993873018">
              <w:marLeft w:val="0"/>
              <w:marRight w:val="0"/>
              <w:marTop w:val="0"/>
              <w:marBottom w:val="0"/>
              <w:divBdr>
                <w:top w:val="none" w:sz="0" w:space="0" w:color="auto"/>
                <w:left w:val="none" w:sz="0" w:space="0" w:color="auto"/>
                <w:bottom w:val="none" w:sz="0" w:space="0" w:color="auto"/>
                <w:right w:val="none" w:sz="0" w:space="0" w:color="auto"/>
              </w:divBdr>
            </w:div>
            <w:div w:id="2010517410">
              <w:marLeft w:val="0"/>
              <w:marRight w:val="0"/>
              <w:marTop w:val="0"/>
              <w:marBottom w:val="0"/>
              <w:divBdr>
                <w:top w:val="none" w:sz="0" w:space="0" w:color="auto"/>
                <w:left w:val="none" w:sz="0" w:space="0" w:color="auto"/>
                <w:bottom w:val="none" w:sz="0" w:space="0" w:color="auto"/>
                <w:right w:val="none" w:sz="0" w:space="0" w:color="auto"/>
              </w:divBdr>
            </w:div>
            <w:div w:id="2011131985">
              <w:marLeft w:val="0"/>
              <w:marRight w:val="0"/>
              <w:marTop w:val="0"/>
              <w:marBottom w:val="0"/>
              <w:divBdr>
                <w:top w:val="none" w:sz="0" w:space="0" w:color="auto"/>
                <w:left w:val="none" w:sz="0" w:space="0" w:color="auto"/>
                <w:bottom w:val="none" w:sz="0" w:space="0" w:color="auto"/>
                <w:right w:val="none" w:sz="0" w:space="0" w:color="auto"/>
              </w:divBdr>
            </w:div>
            <w:div w:id="2017925245">
              <w:marLeft w:val="0"/>
              <w:marRight w:val="0"/>
              <w:marTop w:val="0"/>
              <w:marBottom w:val="0"/>
              <w:divBdr>
                <w:top w:val="none" w:sz="0" w:space="0" w:color="auto"/>
                <w:left w:val="none" w:sz="0" w:space="0" w:color="auto"/>
                <w:bottom w:val="none" w:sz="0" w:space="0" w:color="auto"/>
                <w:right w:val="none" w:sz="0" w:space="0" w:color="auto"/>
              </w:divBdr>
            </w:div>
          </w:divsChild>
        </w:div>
        <w:div w:id="1573852350">
          <w:marLeft w:val="0"/>
          <w:marRight w:val="0"/>
          <w:marTop w:val="0"/>
          <w:marBottom w:val="0"/>
          <w:divBdr>
            <w:top w:val="none" w:sz="0" w:space="0" w:color="auto"/>
            <w:left w:val="none" w:sz="0" w:space="0" w:color="auto"/>
            <w:bottom w:val="none" w:sz="0" w:space="0" w:color="auto"/>
            <w:right w:val="none" w:sz="0" w:space="0" w:color="auto"/>
          </w:divBdr>
        </w:div>
        <w:div w:id="1575779680">
          <w:marLeft w:val="0"/>
          <w:marRight w:val="0"/>
          <w:marTop w:val="0"/>
          <w:marBottom w:val="0"/>
          <w:divBdr>
            <w:top w:val="none" w:sz="0" w:space="0" w:color="auto"/>
            <w:left w:val="none" w:sz="0" w:space="0" w:color="auto"/>
            <w:bottom w:val="none" w:sz="0" w:space="0" w:color="auto"/>
            <w:right w:val="none" w:sz="0" w:space="0" w:color="auto"/>
          </w:divBdr>
        </w:div>
        <w:div w:id="1577323543">
          <w:marLeft w:val="0"/>
          <w:marRight w:val="0"/>
          <w:marTop w:val="0"/>
          <w:marBottom w:val="0"/>
          <w:divBdr>
            <w:top w:val="none" w:sz="0" w:space="0" w:color="auto"/>
            <w:left w:val="none" w:sz="0" w:space="0" w:color="auto"/>
            <w:bottom w:val="none" w:sz="0" w:space="0" w:color="auto"/>
            <w:right w:val="none" w:sz="0" w:space="0" w:color="auto"/>
          </w:divBdr>
        </w:div>
        <w:div w:id="1578979861">
          <w:marLeft w:val="0"/>
          <w:marRight w:val="0"/>
          <w:marTop w:val="0"/>
          <w:marBottom w:val="0"/>
          <w:divBdr>
            <w:top w:val="none" w:sz="0" w:space="0" w:color="auto"/>
            <w:left w:val="none" w:sz="0" w:space="0" w:color="auto"/>
            <w:bottom w:val="none" w:sz="0" w:space="0" w:color="auto"/>
            <w:right w:val="none" w:sz="0" w:space="0" w:color="auto"/>
          </w:divBdr>
        </w:div>
        <w:div w:id="1581987541">
          <w:marLeft w:val="0"/>
          <w:marRight w:val="0"/>
          <w:marTop w:val="0"/>
          <w:marBottom w:val="0"/>
          <w:divBdr>
            <w:top w:val="none" w:sz="0" w:space="0" w:color="auto"/>
            <w:left w:val="none" w:sz="0" w:space="0" w:color="auto"/>
            <w:bottom w:val="none" w:sz="0" w:space="0" w:color="auto"/>
            <w:right w:val="none" w:sz="0" w:space="0" w:color="auto"/>
          </w:divBdr>
        </w:div>
        <w:div w:id="1582446144">
          <w:marLeft w:val="0"/>
          <w:marRight w:val="0"/>
          <w:marTop w:val="0"/>
          <w:marBottom w:val="0"/>
          <w:divBdr>
            <w:top w:val="none" w:sz="0" w:space="0" w:color="auto"/>
            <w:left w:val="none" w:sz="0" w:space="0" w:color="auto"/>
            <w:bottom w:val="none" w:sz="0" w:space="0" w:color="auto"/>
            <w:right w:val="none" w:sz="0" w:space="0" w:color="auto"/>
          </w:divBdr>
        </w:div>
        <w:div w:id="1585526041">
          <w:marLeft w:val="0"/>
          <w:marRight w:val="0"/>
          <w:marTop w:val="0"/>
          <w:marBottom w:val="0"/>
          <w:divBdr>
            <w:top w:val="none" w:sz="0" w:space="0" w:color="auto"/>
            <w:left w:val="none" w:sz="0" w:space="0" w:color="auto"/>
            <w:bottom w:val="none" w:sz="0" w:space="0" w:color="auto"/>
            <w:right w:val="none" w:sz="0" w:space="0" w:color="auto"/>
          </w:divBdr>
        </w:div>
        <w:div w:id="1586720809">
          <w:marLeft w:val="0"/>
          <w:marRight w:val="0"/>
          <w:marTop w:val="0"/>
          <w:marBottom w:val="0"/>
          <w:divBdr>
            <w:top w:val="none" w:sz="0" w:space="0" w:color="auto"/>
            <w:left w:val="none" w:sz="0" w:space="0" w:color="auto"/>
            <w:bottom w:val="none" w:sz="0" w:space="0" w:color="auto"/>
            <w:right w:val="none" w:sz="0" w:space="0" w:color="auto"/>
          </w:divBdr>
        </w:div>
        <w:div w:id="1590115857">
          <w:marLeft w:val="0"/>
          <w:marRight w:val="0"/>
          <w:marTop w:val="0"/>
          <w:marBottom w:val="0"/>
          <w:divBdr>
            <w:top w:val="none" w:sz="0" w:space="0" w:color="auto"/>
            <w:left w:val="none" w:sz="0" w:space="0" w:color="auto"/>
            <w:bottom w:val="none" w:sz="0" w:space="0" w:color="auto"/>
            <w:right w:val="none" w:sz="0" w:space="0" w:color="auto"/>
          </w:divBdr>
        </w:div>
        <w:div w:id="1595821362">
          <w:marLeft w:val="0"/>
          <w:marRight w:val="0"/>
          <w:marTop w:val="0"/>
          <w:marBottom w:val="0"/>
          <w:divBdr>
            <w:top w:val="none" w:sz="0" w:space="0" w:color="auto"/>
            <w:left w:val="none" w:sz="0" w:space="0" w:color="auto"/>
            <w:bottom w:val="none" w:sz="0" w:space="0" w:color="auto"/>
            <w:right w:val="none" w:sz="0" w:space="0" w:color="auto"/>
          </w:divBdr>
        </w:div>
        <w:div w:id="1598782668">
          <w:marLeft w:val="0"/>
          <w:marRight w:val="0"/>
          <w:marTop w:val="0"/>
          <w:marBottom w:val="0"/>
          <w:divBdr>
            <w:top w:val="none" w:sz="0" w:space="0" w:color="auto"/>
            <w:left w:val="none" w:sz="0" w:space="0" w:color="auto"/>
            <w:bottom w:val="none" w:sz="0" w:space="0" w:color="auto"/>
            <w:right w:val="none" w:sz="0" w:space="0" w:color="auto"/>
          </w:divBdr>
        </w:div>
        <w:div w:id="1600144005">
          <w:marLeft w:val="0"/>
          <w:marRight w:val="0"/>
          <w:marTop w:val="0"/>
          <w:marBottom w:val="0"/>
          <w:divBdr>
            <w:top w:val="none" w:sz="0" w:space="0" w:color="auto"/>
            <w:left w:val="none" w:sz="0" w:space="0" w:color="auto"/>
            <w:bottom w:val="none" w:sz="0" w:space="0" w:color="auto"/>
            <w:right w:val="none" w:sz="0" w:space="0" w:color="auto"/>
          </w:divBdr>
        </w:div>
        <w:div w:id="1605724150">
          <w:marLeft w:val="0"/>
          <w:marRight w:val="0"/>
          <w:marTop w:val="0"/>
          <w:marBottom w:val="0"/>
          <w:divBdr>
            <w:top w:val="none" w:sz="0" w:space="0" w:color="auto"/>
            <w:left w:val="none" w:sz="0" w:space="0" w:color="auto"/>
            <w:bottom w:val="none" w:sz="0" w:space="0" w:color="auto"/>
            <w:right w:val="none" w:sz="0" w:space="0" w:color="auto"/>
          </w:divBdr>
        </w:div>
        <w:div w:id="1608661303">
          <w:marLeft w:val="0"/>
          <w:marRight w:val="0"/>
          <w:marTop w:val="0"/>
          <w:marBottom w:val="0"/>
          <w:divBdr>
            <w:top w:val="none" w:sz="0" w:space="0" w:color="auto"/>
            <w:left w:val="none" w:sz="0" w:space="0" w:color="auto"/>
            <w:bottom w:val="none" w:sz="0" w:space="0" w:color="auto"/>
            <w:right w:val="none" w:sz="0" w:space="0" w:color="auto"/>
          </w:divBdr>
        </w:div>
        <w:div w:id="1611083086">
          <w:marLeft w:val="0"/>
          <w:marRight w:val="0"/>
          <w:marTop w:val="0"/>
          <w:marBottom w:val="0"/>
          <w:divBdr>
            <w:top w:val="none" w:sz="0" w:space="0" w:color="auto"/>
            <w:left w:val="none" w:sz="0" w:space="0" w:color="auto"/>
            <w:bottom w:val="none" w:sz="0" w:space="0" w:color="auto"/>
            <w:right w:val="none" w:sz="0" w:space="0" w:color="auto"/>
          </w:divBdr>
        </w:div>
        <w:div w:id="1618487842">
          <w:marLeft w:val="0"/>
          <w:marRight w:val="0"/>
          <w:marTop w:val="0"/>
          <w:marBottom w:val="0"/>
          <w:divBdr>
            <w:top w:val="none" w:sz="0" w:space="0" w:color="auto"/>
            <w:left w:val="none" w:sz="0" w:space="0" w:color="auto"/>
            <w:bottom w:val="none" w:sz="0" w:space="0" w:color="auto"/>
            <w:right w:val="none" w:sz="0" w:space="0" w:color="auto"/>
          </w:divBdr>
        </w:div>
        <w:div w:id="1622033396">
          <w:marLeft w:val="0"/>
          <w:marRight w:val="0"/>
          <w:marTop w:val="0"/>
          <w:marBottom w:val="0"/>
          <w:divBdr>
            <w:top w:val="none" w:sz="0" w:space="0" w:color="auto"/>
            <w:left w:val="none" w:sz="0" w:space="0" w:color="auto"/>
            <w:bottom w:val="none" w:sz="0" w:space="0" w:color="auto"/>
            <w:right w:val="none" w:sz="0" w:space="0" w:color="auto"/>
          </w:divBdr>
        </w:div>
        <w:div w:id="1635063716">
          <w:marLeft w:val="0"/>
          <w:marRight w:val="0"/>
          <w:marTop w:val="0"/>
          <w:marBottom w:val="0"/>
          <w:divBdr>
            <w:top w:val="none" w:sz="0" w:space="0" w:color="auto"/>
            <w:left w:val="none" w:sz="0" w:space="0" w:color="auto"/>
            <w:bottom w:val="none" w:sz="0" w:space="0" w:color="auto"/>
            <w:right w:val="none" w:sz="0" w:space="0" w:color="auto"/>
          </w:divBdr>
        </w:div>
        <w:div w:id="1643608526">
          <w:marLeft w:val="0"/>
          <w:marRight w:val="0"/>
          <w:marTop w:val="0"/>
          <w:marBottom w:val="0"/>
          <w:divBdr>
            <w:top w:val="none" w:sz="0" w:space="0" w:color="auto"/>
            <w:left w:val="none" w:sz="0" w:space="0" w:color="auto"/>
            <w:bottom w:val="none" w:sz="0" w:space="0" w:color="auto"/>
            <w:right w:val="none" w:sz="0" w:space="0" w:color="auto"/>
          </w:divBdr>
        </w:div>
        <w:div w:id="1646668323">
          <w:marLeft w:val="0"/>
          <w:marRight w:val="0"/>
          <w:marTop w:val="0"/>
          <w:marBottom w:val="0"/>
          <w:divBdr>
            <w:top w:val="none" w:sz="0" w:space="0" w:color="auto"/>
            <w:left w:val="none" w:sz="0" w:space="0" w:color="auto"/>
            <w:bottom w:val="none" w:sz="0" w:space="0" w:color="auto"/>
            <w:right w:val="none" w:sz="0" w:space="0" w:color="auto"/>
          </w:divBdr>
        </w:div>
        <w:div w:id="1656030290">
          <w:marLeft w:val="0"/>
          <w:marRight w:val="0"/>
          <w:marTop w:val="0"/>
          <w:marBottom w:val="0"/>
          <w:divBdr>
            <w:top w:val="none" w:sz="0" w:space="0" w:color="auto"/>
            <w:left w:val="none" w:sz="0" w:space="0" w:color="auto"/>
            <w:bottom w:val="none" w:sz="0" w:space="0" w:color="auto"/>
            <w:right w:val="none" w:sz="0" w:space="0" w:color="auto"/>
          </w:divBdr>
        </w:div>
        <w:div w:id="1657107520">
          <w:marLeft w:val="0"/>
          <w:marRight w:val="0"/>
          <w:marTop w:val="0"/>
          <w:marBottom w:val="0"/>
          <w:divBdr>
            <w:top w:val="none" w:sz="0" w:space="0" w:color="auto"/>
            <w:left w:val="none" w:sz="0" w:space="0" w:color="auto"/>
            <w:bottom w:val="none" w:sz="0" w:space="0" w:color="auto"/>
            <w:right w:val="none" w:sz="0" w:space="0" w:color="auto"/>
          </w:divBdr>
        </w:div>
        <w:div w:id="1658611357">
          <w:marLeft w:val="0"/>
          <w:marRight w:val="0"/>
          <w:marTop w:val="0"/>
          <w:marBottom w:val="0"/>
          <w:divBdr>
            <w:top w:val="none" w:sz="0" w:space="0" w:color="auto"/>
            <w:left w:val="none" w:sz="0" w:space="0" w:color="auto"/>
            <w:bottom w:val="none" w:sz="0" w:space="0" w:color="auto"/>
            <w:right w:val="none" w:sz="0" w:space="0" w:color="auto"/>
          </w:divBdr>
        </w:div>
        <w:div w:id="1661229795">
          <w:marLeft w:val="0"/>
          <w:marRight w:val="0"/>
          <w:marTop w:val="0"/>
          <w:marBottom w:val="0"/>
          <w:divBdr>
            <w:top w:val="none" w:sz="0" w:space="0" w:color="auto"/>
            <w:left w:val="none" w:sz="0" w:space="0" w:color="auto"/>
            <w:bottom w:val="none" w:sz="0" w:space="0" w:color="auto"/>
            <w:right w:val="none" w:sz="0" w:space="0" w:color="auto"/>
          </w:divBdr>
        </w:div>
        <w:div w:id="1667632571">
          <w:marLeft w:val="0"/>
          <w:marRight w:val="0"/>
          <w:marTop w:val="0"/>
          <w:marBottom w:val="0"/>
          <w:divBdr>
            <w:top w:val="none" w:sz="0" w:space="0" w:color="auto"/>
            <w:left w:val="none" w:sz="0" w:space="0" w:color="auto"/>
            <w:bottom w:val="none" w:sz="0" w:space="0" w:color="auto"/>
            <w:right w:val="none" w:sz="0" w:space="0" w:color="auto"/>
          </w:divBdr>
        </w:div>
        <w:div w:id="1672677346">
          <w:marLeft w:val="0"/>
          <w:marRight w:val="0"/>
          <w:marTop w:val="0"/>
          <w:marBottom w:val="0"/>
          <w:divBdr>
            <w:top w:val="none" w:sz="0" w:space="0" w:color="auto"/>
            <w:left w:val="none" w:sz="0" w:space="0" w:color="auto"/>
            <w:bottom w:val="none" w:sz="0" w:space="0" w:color="auto"/>
            <w:right w:val="none" w:sz="0" w:space="0" w:color="auto"/>
          </w:divBdr>
        </w:div>
        <w:div w:id="1673685004">
          <w:marLeft w:val="0"/>
          <w:marRight w:val="0"/>
          <w:marTop w:val="0"/>
          <w:marBottom w:val="0"/>
          <w:divBdr>
            <w:top w:val="none" w:sz="0" w:space="0" w:color="auto"/>
            <w:left w:val="none" w:sz="0" w:space="0" w:color="auto"/>
            <w:bottom w:val="none" w:sz="0" w:space="0" w:color="auto"/>
            <w:right w:val="none" w:sz="0" w:space="0" w:color="auto"/>
          </w:divBdr>
        </w:div>
        <w:div w:id="1684354946">
          <w:marLeft w:val="0"/>
          <w:marRight w:val="0"/>
          <w:marTop w:val="0"/>
          <w:marBottom w:val="0"/>
          <w:divBdr>
            <w:top w:val="none" w:sz="0" w:space="0" w:color="auto"/>
            <w:left w:val="none" w:sz="0" w:space="0" w:color="auto"/>
            <w:bottom w:val="none" w:sz="0" w:space="0" w:color="auto"/>
            <w:right w:val="none" w:sz="0" w:space="0" w:color="auto"/>
          </w:divBdr>
        </w:div>
        <w:div w:id="1688019759">
          <w:marLeft w:val="0"/>
          <w:marRight w:val="0"/>
          <w:marTop w:val="0"/>
          <w:marBottom w:val="0"/>
          <w:divBdr>
            <w:top w:val="none" w:sz="0" w:space="0" w:color="auto"/>
            <w:left w:val="none" w:sz="0" w:space="0" w:color="auto"/>
            <w:bottom w:val="none" w:sz="0" w:space="0" w:color="auto"/>
            <w:right w:val="none" w:sz="0" w:space="0" w:color="auto"/>
          </w:divBdr>
        </w:div>
        <w:div w:id="1692612321">
          <w:marLeft w:val="0"/>
          <w:marRight w:val="0"/>
          <w:marTop w:val="0"/>
          <w:marBottom w:val="0"/>
          <w:divBdr>
            <w:top w:val="none" w:sz="0" w:space="0" w:color="auto"/>
            <w:left w:val="none" w:sz="0" w:space="0" w:color="auto"/>
            <w:bottom w:val="none" w:sz="0" w:space="0" w:color="auto"/>
            <w:right w:val="none" w:sz="0" w:space="0" w:color="auto"/>
          </w:divBdr>
        </w:div>
        <w:div w:id="1697002050">
          <w:marLeft w:val="0"/>
          <w:marRight w:val="0"/>
          <w:marTop w:val="0"/>
          <w:marBottom w:val="0"/>
          <w:divBdr>
            <w:top w:val="none" w:sz="0" w:space="0" w:color="auto"/>
            <w:left w:val="none" w:sz="0" w:space="0" w:color="auto"/>
            <w:bottom w:val="none" w:sz="0" w:space="0" w:color="auto"/>
            <w:right w:val="none" w:sz="0" w:space="0" w:color="auto"/>
          </w:divBdr>
        </w:div>
        <w:div w:id="1698433494">
          <w:marLeft w:val="0"/>
          <w:marRight w:val="0"/>
          <w:marTop w:val="0"/>
          <w:marBottom w:val="0"/>
          <w:divBdr>
            <w:top w:val="none" w:sz="0" w:space="0" w:color="auto"/>
            <w:left w:val="none" w:sz="0" w:space="0" w:color="auto"/>
            <w:bottom w:val="none" w:sz="0" w:space="0" w:color="auto"/>
            <w:right w:val="none" w:sz="0" w:space="0" w:color="auto"/>
          </w:divBdr>
        </w:div>
        <w:div w:id="1699507634">
          <w:marLeft w:val="0"/>
          <w:marRight w:val="0"/>
          <w:marTop w:val="0"/>
          <w:marBottom w:val="0"/>
          <w:divBdr>
            <w:top w:val="none" w:sz="0" w:space="0" w:color="auto"/>
            <w:left w:val="none" w:sz="0" w:space="0" w:color="auto"/>
            <w:bottom w:val="none" w:sz="0" w:space="0" w:color="auto"/>
            <w:right w:val="none" w:sz="0" w:space="0" w:color="auto"/>
          </w:divBdr>
        </w:div>
        <w:div w:id="1699694444">
          <w:marLeft w:val="0"/>
          <w:marRight w:val="0"/>
          <w:marTop w:val="0"/>
          <w:marBottom w:val="0"/>
          <w:divBdr>
            <w:top w:val="none" w:sz="0" w:space="0" w:color="auto"/>
            <w:left w:val="none" w:sz="0" w:space="0" w:color="auto"/>
            <w:bottom w:val="none" w:sz="0" w:space="0" w:color="auto"/>
            <w:right w:val="none" w:sz="0" w:space="0" w:color="auto"/>
          </w:divBdr>
        </w:div>
        <w:div w:id="1702626656">
          <w:marLeft w:val="0"/>
          <w:marRight w:val="0"/>
          <w:marTop w:val="0"/>
          <w:marBottom w:val="0"/>
          <w:divBdr>
            <w:top w:val="none" w:sz="0" w:space="0" w:color="auto"/>
            <w:left w:val="none" w:sz="0" w:space="0" w:color="auto"/>
            <w:bottom w:val="none" w:sz="0" w:space="0" w:color="auto"/>
            <w:right w:val="none" w:sz="0" w:space="0" w:color="auto"/>
          </w:divBdr>
        </w:div>
        <w:div w:id="1703937851">
          <w:marLeft w:val="0"/>
          <w:marRight w:val="0"/>
          <w:marTop w:val="0"/>
          <w:marBottom w:val="0"/>
          <w:divBdr>
            <w:top w:val="none" w:sz="0" w:space="0" w:color="auto"/>
            <w:left w:val="none" w:sz="0" w:space="0" w:color="auto"/>
            <w:bottom w:val="none" w:sz="0" w:space="0" w:color="auto"/>
            <w:right w:val="none" w:sz="0" w:space="0" w:color="auto"/>
          </w:divBdr>
        </w:div>
        <w:div w:id="1705788472">
          <w:marLeft w:val="0"/>
          <w:marRight w:val="0"/>
          <w:marTop w:val="0"/>
          <w:marBottom w:val="0"/>
          <w:divBdr>
            <w:top w:val="none" w:sz="0" w:space="0" w:color="auto"/>
            <w:left w:val="none" w:sz="0" w:space="0" w:color="auto"/>
            <w:bottom w:val="none" w:sz="0" w:space="0" w:color="auto"/>
            <w:right w:val="none" w:sz="0" w:space="0" w:color="auto"/>
          </w:divBdr>
        </w:div>
        <w:div w:id="1728991694">
          <w:marLeft w:val="0"/>
          <w:marRight w:val="0"/>
          <w:marTop w:val="0"/>
          <w:marBottom w:val="0"/>
          <w:divBdr>
            <w:top w:val="none" w:sz="0" w:space="0" w:color="auto"/>
            <w:left w:val="none" w:sz="0" w:space="0" w:color="auto"/>
            <w:bottom w:val="none" w:sz="0" w:space="0" w:color="auto"/>
            <w:right w:val="none" w:sz="0" w:space="0" w:color="auto"/>
          </w:divBdr>
        </w:div>
        <w:div w:id="1754087752">
          <w:marLeft w:val="0"/>
          <w:marRight w:val="0"/>
          <w:marTop w:val="0"/>
          <w:marBottom w:val="0"/>
          <w:divBdr>
            <w:top w:val="none" w:sz="0" w:space="0" w:color="auto"/>
            <w:left w:val="none" w:sz="0" w:space="0" w:color="auto"/>
            <w:bottom w:val="none" w:sz="0" w:space="0" w:color="auto"/>
            <w:right w:val="none" w:sz="0" w:space="0" w:color="auto"/>
          </w:divBdr>
        </w:div>
        <w:div w:id="1756172870">
          <w:marLeft w:val="0"/>
          <w:marRight w:val="0"/>
          <w:marTop w:val="0"/>
          <w:marBottom w:val="0"/>
          <w:divBdr>
            <w:top w:val="none" w:sz="0" w:space="0" w:color="auto"/>
            <w:left w:val="none" w:sz="0" w:space="0" w:color="auto"/>
            <w:bottom w:val="none" w:sz="0" w:space="0" w:color="auto"/>
            <w:right w:val="none" w:sz="0" w:space="0" w:color="auto"/>
          </w:divBdr>
        </w:div>
        <w:div w:id="1757633260">
          <w:marLeft w:val="0"/>
          <w:marRight w:val="0"/>
          <w:marTop w:val="0"/>
          <w:marBottom w:val="0"/>
          <w:divBdr>
            <w:top w:val="none" w:sz="0" w:space="0" w:color="auto"/>
            <w:left w:val="none" w:sz="0" w:space="0" w:color="auto"/>
            <w:bottom w:val="none" w:sz="0" w:space="0" w:color="auto"/>
            <w:right w:val="none" w:sz="0" w:space="0" w:color="auto"/>
          </w:divBdr>
        </w:div>
        <w:div w:id="1769887576">
          <w:marLeft w:val="0"/>
          <w:marRight w:val="0"/>
          <w:marTop w:val="0"/>
          <w:marBottom w:val="0"/>
          <w:divBdr>
            <w:top w:val="none" w:sz="0" w:space="0" w:color="auto"/>
            <w:left w:val="none" w:sz="0" w:space="0" w:color="auto"/>
            <w:bottom w:val="none" w:sz="0" w:space="0" w:color="auto"/>
            <w:right w:val="none" w:sz="0" w:space="0" w:color="auto"/>
          </w:divBdr>
        </w:div>
        <w:div w:id="1772579388">
          <w:marLeft w:val="0"/>
          <w:marRight w:val="0"/>
          <w:marTop w:val="0"/>
          <w:marBottom w:val="0"/>
          <w:divBdr>
            <w:top w:val="none" w:sz="0" w:space="0" w:color="auto"/>
            <w:left w:val="none" w:sz="0" w:space="0" w:color="auto"/>
            <w:bottom w:val="none" w:sz="0" w:space="0" w:color="auto"/>
            <w:right w:val="none" w:sz="0" w:space="0" w:color="auto"/>
          </w:divBdr>
        </w:div>
        <w:div w:id="1776630723">
          <w:marLeft w:val="0"/>
          <w:marRight w:val="0"/>
          <w:marTop w:val="0"/>
          <w:marBottom w:val="0"/>
          <w:divBdr>
            <w:top w:val="none" w:sz="0" w:space="0" w:color="auto"/>
            <w:left w:val="none" w:sz="0" w:space="0" w:color="auto"/>
            <w:bottom w:val="none" w:sz="0" w:space="0" w:color="auto"/>
            <w:right w:val="none" w:sz="0" w:space="0" w:color="auto"/>
          </w:divBdr>
        </w:div>
        <w:div w:id="1778132208">
          <w:marLeft w:val="0"/>
          <w:marRight w:val="0"/>
          <w:marTop w:val="0"/>
          <w:marBottom w:val="0"/>
          <w:divBdr>
            <w:top w:val="none" w:sz="0" w:space="0" w:color="auto"/>
            <w:left w:val="none" w:sz="0" w:space="0" w:color="auto"/>
            <w:bottom w:val="none" w:sz="0" w:space="0" w:color="auto"/>
            <w:right w:val="none" w:sz="0" w:space="0" w:color="auto"/>
          </w:divBdr>
        </w:div>
        <w:div w:id="1780756326">
          <w:marLeft w:val="0"/>
          <w:marRight w:val="0"/>
          <w:marTop w:val="0"/>
          <w:marBottom w:val="0"/>
          <w:divBdr>
            <w:top w:val="none" w:sz="0" w:space="0" w:color="auto"/>
            <w:left w:val="none" w:sz="0" w:space="0" w:color="auto"/>
            <w:bottom w:val="none" w:sz="0" w:space="0" w:color="auto"/>
            <w:right w:val="none" w:sz="0" w:space="0" w:color="auto"/>
          </w:divBdr>
        </w:div>
        <w:div w:id="1781757950">
          <w:marLeft w:val="0"/>
          <w:marRight w:val="0"/>
          <w:marTop w:val="0"/>
          <w:marBottom w:val="0"/>
          <w:divBdr>
            <w:top w:val="none" w:sz="0" w:space="0" w:color="auto"/>
            <w:left w:val="none" w:sz="0" w:space="0" w:color="auto"/>
            <w:bottom w:val="none" w:sz="0" w:space="0" w:color="auto"/>
            <w:right w:val="none" w:sz="0" w:space="0" w:color="auto"/>
          </w:divBdr>
        </w:div>
        <w:div w:id="1783181643">
          <w:marLeft w:val="0"/>
          <w:marRight w:val="0"/>
          <w:marTop w:val="0"/>
          <w:marBottom w:val="0"/>
          <w:divBdr>
            <w:top w:val="none" w:sz="0" w:space="0" w:color="auto"/>
            <w:left w:val="none" w:sz="0" w:space="0" w:color="auto"/>
            <w:bottom w:val="none" w:sz="0" w:space="0" w:color="auto"/>
            <w:right w:val="none" w:sz="0" w:space="0" w:color="auto"/>
          </w:divBdr>
        </w:div>
        <w:div w:id="1787115671">
          <w:marLeft w:val="0"/>
          <w:marRight w:val="0"/>
          <w:marTop w:val="0"/>
          <w:marBottom w:val="0"/>
          <w:divBdr>
            <w:top w:val="none" w:sz="0" w:space="0" w:color="auto"/>
            <w:left w:val="none" w:sz="0" w:space="0" w:color="auto"/>
            <w:bottom w:val="none" w:sz="0" w:space="0" w:color="auto"/>
            <w:right w:val="none" w:sz="0" w:space="0" w:color="auto"/>
          </w:divBdr>
        </w:div>
        <w:div w:id="1788504547">
          <w:marLeft w:val="0"/>
          <w:marRight w:val="0"/>
          <w:marTop w:val="0"/>
          <w:marBottom w:val="0"/>
          <w:divBdr>
            <w:top w:val="none" w:sz="0" w:space="0" w:color="auto"/>
            <w:left w:val="none" w:sz="0" w:space="0" w:color="auto"/>
            <w:bottom w:val="none" w:sz="0" w:space="0" w:color="auto"/>
            <w:right w:val="none" w:sz="0" w:space="0" w:color="auto"/>
          </w:divBdr>
        </w:div>
        <w:div w:id="1791046170">
          <w:marLeft w:val="0"/>
          <w:marRight w:val="0"/>
          <w:marTop w:val="0"/>
          <w:marBottom w:val="0"/>
          <w:divBdr>
            <w:top w:val="none" w:sz="0" w:space="0" w:color="auto"/>
            <w:left w:val="none" w:sz="0" w:space="0" w:color="auto"/>
            <w:bottom w:val="none" w:sz="0" w:space="0" w:color="auto"/>
            <w:right w:val="none" w:sz="0" w:space="0" w:color="auto"/>
          </w:divBdr>
        </w:div>
        <w:div w:id="1795170142">
          <w:marLeft w:val="0"/>
          <w:marRight w:val="0"/>
          <w:marTop w:val="0"/>
          <w:marBottom w:val="0"/>
          <w:divBdr>
            <w:top w:val="none" w:sz="0" w:space="0" w:color="auto"/>
            <w:left w:val="none" w:sz="0" w:space="0" w:color="auto"/>
            <w:bottom w:val="none" w:sz="0" w:space="0" w:color="auto"/>
            <w:right w:val="none" w:sz="0" w:space="0" w:color="auto"/>
          </w:divBdr>
        </w:div>
        <w:div w:id="1795247896">
          <w:marLeft w:val="0"/>
          <w:marRight w:val="0"/>
          <w:marTop w:val="0"/>
          <w:marBottom w:val="0"/>
          <w:divBdr>
            <w:top w:val="none" w:sz="0" w:space="0" w:color="auto"/>
            <w:left w:val="none" w:sz="0" w:space="0" w:color="auto"/>
            <w:bottom w:val="none" w:sz="0" w:space="0" w:color="auto"/>
            <w:right w:val="none" w:sz="0" w:space="0" w:color="auto"/>
          </w:divBdr>
        </w:div>
        <w:div w:id="1797290146">
          <w:marLeft w:val="0"/>
          <w:marRight w:val="0"/>
          <w:marTop w:val="0"/>
          <w:marBottom w:val="0"/>
          <w:divBdr>
            <w:top w:val="none" w:sz="0" w:space="0" w:color="auto"/>
            <w:left w:val="none" w:sz="0" w:space="0" w:color="auto"/>
            <w:bottom w:val="none" w:sz="0" w:space="0" w:color="auto"/>
            <w:right w:val="none" w:sz="0" w:space="0" w:color="auto"/>
          </w:divBdr>
        </w:div>
        <w:div w:id="1799299096">
          <w:marLeft w:val="0"/>
          <w:marRight w:val="0"/>
          <w:marTop w:val="0"/>
          <w:marBottom w:val="0"/>
          <w:divBdr>
            <w:top w:val="none" w:sz="0" w:space="0" w:color="auto"/>
            <w:left w:val="none" w:sz="0" w:space="0" w:color="auto"/>
            <w:bottom w:val="none" w:sz="0" w:space="0" w:color="auto"/>
            <w:right w:val="none" w:sz="0" w:space="0" w:color="auto"/>
          </w:divBdr>
        </w:div>
        <w:div w:id="1803578086">
          <w:marLeft w:val="0"/>
          <w:marRight w:val="0"/>
          <w:marTop w:val="0"/>
          <w:marBottom w:val="0"/>
          <w:divBdr>
            <w:top w:val="none" w:sz="0" w:space="0" w:color="auto"/>
            <w:left w:val="none" w:sz="0" w:space="0" w:color="auto"/>
            <w:bottom w:val="none" w:sz="0" w:space="0" w:color="auto"/>
            <w:right w:val="none" w:sz="0" w:space="0" w:color="auto"/>
          </w:divBdr>
        </w:div>
        <w:div w:id="1804542259">
          <w:marLeft w:val="0"/>
          <w:marRight w:val="0"/>
          <w:marTop w:val="0"/>
          <w:marBottom w:val="0"/>
          <w:divBdr>
            <w:top w:val="none" w:sz="0" w:space="0" w:color="auto"/>
            <w:left w:val="none" w:sz="0" w:space="0" w:color="auto"/>
            <w:bottom w:val="none" w:sz="0" w:space="0" w:color="auto"/>
            <w:right w:val="none" w:sz="0" w:space="0" w:color="auto"/>
          </w:divBdr>
        </w:div>
        <w:div w:id="1808081268">
          <w:marLeft w:val="0"/>
          <w:marRight w:val="0"/>
          <w:marTop w:val="0"/>
          <w:marBottom w:val="0"/>
          <w:divBdr>
            <w:top w:val="none" w:sz="0" w:space="0" w:color="auto"/>
            <w:left w:val="none" w:sz="0" w:space="0" w:color="auto"/>
            <w:bottom w:val="none" w:sz="0" w:space="0" w:color="auto"/>
            <w:right w:val="none" w:sz="0" w:space="0" w:color="auto"/>
          </w:divBdr>
        </w:div>
        <w:div w:id="1814254163">
          <w:marLeft w:val="0"/>
          <w:marRight w:val="0"/>
          <w:marTop w:val="0"/>
          <w:marBottom w:val="0"/>
          <w:divBdr>
            <w:top w:val="none" w:sz="0" w:space="0" w:color="auto"/>
            <w:left w:val="none" w:sz="0" w:space="0" w:color="auto"/>
            <w:bottom w:val="none" w:sz="0" w:space="0" w:color="auto"/>
            <w:right w:val="none" w:sz="0" w:space="0" w:color="auto"/>
          </w:divBdr>
        </w:div>
        <w:div w:id="1815096756">
          <w:marLeft w:val="0"/>
          <w:marRight w:val="0"/>
          <w:marTop w:val="0"/>
          <w:marBottom w:val="0"/>
          <w:divBdr>
            <w:top w:val="none" w:sz="0" w:space="0" w:color="auto"/>
            <w:left w:val="none" w:sz="0" w:space="0" w:color="auto"/>
            <w:bottom w:val="none" w:sz="0" w:space="0" w:color="auto"/>
            <w:right w:val="none" w:sz="0" w:space="0" w:color="auto"/>
          </w:divBdr>
        </w:div>
        <w:div w:id="1828814065">
          <w:marLeft w:val="0"/>
          <w:marRight w:val="0"/>
          <w:marTop w:val="0"/>
          <w:marBottom w:val="0"/>
          <w:divBdr>
            <w:top w:val="none" w:sz="0" w:space="0" w:color="auto"/>
            <w:left w:val="none" w:sz="0" w:space="0" w:color="auto"/>
            <w:bottom w:val="none" w:sz="0" w:space="0" w:color="auto"/>
            <w:right w:val="none" w:sz="0" w:space="0" w:color="auto"/>
          </w:divBdr>
        </w:div>
        <w:div w:id="1832674768">
          <w:marLeft w:val="0"/>
          <w:marRight w:val="0"/>
          <w:marTop w:val="0"/>
          <w:marBottom w:val="0"/>
          <w:divBdr>
            <w:top w:val="none" w:sz="0" w:space="0" w:color="auto"/>
            <w:left w:val="none" w:sz="0" w:space="0" w:color="auto"/>
            <w:bottom w:val="none" w:sz="0" w:space="0" w:color="auto"/>
            <w:right w:val="none" w:sz="0" w:space="0" w:color="auto"/>
          </w:divBdr>
        </w:div>
        <w:div w:id="1833643988">
          <w:marLeft w:val="0"/>
          <w:marRight w:val="0"/>
          <w:marTop w:val="0"/>
          <w:marBottom w:val="0"/>
          <w:divBdr>
            <w:top w:val="none" w:sz="0" w:space="0" w:color="auto"/>
            <w:left w:val="none" w:sz="0" w:space="0" w:color="auto"/>
            <w:bottom w:val="none" w:sz="0" w:space="0" w:color="auto"/>
            <w:right w:val="none" w:sz="0" w:space="0" w:color="auto"/>
          </w:divBdr>
        </w:div>
        <w:div w:id="1834099160">
          <w:marLeft w:val="0"/>
          <w:marRight w:val="0"/>
          <w:marTop w:val="0"/>
          <w:marBottom w:val="0"/>
          <w:divBdr>
            <w:top w:val="none" w:sz="0" w:space="0" w:color="auto"/>
            <w:left w:val="none" w:sz="0" w:space="0" w:color="auto"/>
            <w:bottom w:val="none" w:sz="0" w:space="0" w:color="auto"/>
            <w:right w:val="none" w:sz="0" w:space="0" w:color="auto"/>
          </w:divBdr>
        </w:div>
        <w:div w:id="1837727603">
          <w:marLeft w:val="0"/>
          <w:marRight w:val="0"/>
          <w:marTop w:val="0"/>
          <w:marBottom w:val="0"/>
          <w:divBdr>
            <w:top w:val="none" w:sz="0" w:space="0" w:color="auto"/>
            <w:left w:val="none" w:sz="0" w:space="0" w:color="auto"/>
            <w:bottom w:val="none" w:sz="0" w:space="0" w:color="auto"/>
            <w:right w:val="none" w:sz="0" w:space="0" w:color="auto"/>
          </w:divBdr>
        </w:div>
        <w:div w:id="1847935914">
          <w:marLeft w:val="0"/>
          <w:marRight w:val="0"/>
          <w:marTop w:val="0"/>
          <w:marBottom w:val="0"/>
          <w:divBdr>
            <w:top w:val="none" w:sz="0" w:space="0" w:color="auto"/>
            <w:left w:val="none" w:sz="0" w:space="0" w:color="auto"/>
            <w:bottom w:val="none" w:sz="0" w:space="0" w:color="auto"/>
            <w:right w:val="none" w:sz="0" w:space="0" w:color="auto"/>
          </w:divBdr>
        </w:div>
        <w:div w:id="1855725748">
          <w:marLeft w:val="0"/>
          <w:marRight w:val="0"/>
          <w:marTop w:val="0"/>
          <w:marBottom w:val="0"/>
          <w:divBdr>
            <w:top w:val="none" w:sz="0" w:space="0" w:color="auto"/>
            <w:left w:val="none" w:sz="0" w:space="0" w:color="auto"/>
            <w:bottom w:val="none" w:sz="0" w:space="0" w:color="auto"/>
            <w:right w:val="none" w:sz="0" w:space="0" w:color="auto"/>
          </w:divBdr>
        </w:div>
        <w:div w:id="1859390990">
          <w:marLeft w:val="0"/>
          <w:marRight w:val="0"/>
          <w:marTop w:val="0"/>
          <w:marBottom w:val="0"/>
          <w:divBdr>
            <w:top w:val="none" w:sz="0" w:space="0" w:color="auto"/>
            <w:left w:val="none" w:sz="0" w:space="0" w:color="auto"/>
            <w:bottom w:val="none" w:sz="0" w:space="0" w:color="auto"/>
            <w:right w:val="none" w:sz="0" w:space="0" w:color="auto"/>
          </w:divBdr>
        </w:div>
        <w:div w:id="1859611537">
          <w:marLeft w:val="0"/>
          <w:marRight w:val="0"/>
          <w:marTop w:val="0"/>
          <w:marBottom w:val="0"/>
          <w:divBdr>
            <w:top w:val="none" w:sz="0" w:space="0" w:color="auto"/>
            <w:left w:val="none" w:sz="0" w:space="0" w:color="auto"/>
            <w:bottom w:val="none" w:sz="0" w:space="0" w:color="auto"/>
            <w:right w:val="none" w:sz="0" w:space="0" w:color="auto"/>
          </w:divBdr>
        </w:div>
        <w:div w:id="1860313816">
          <w:marLeft w:val="0"/>
          <w:marRight w:val="0"/>
          <w:marTop w:val="0"/>
          <w:marBottom w:val="0"/>
          <w:divBdr>
            <w:top w:val="none" w:sz="0" w:space="0" w:color="auto"/>
            <w:left w:val="none" w:sz="0" w:space="0" w:color="auto"/>
            <w:bottom w:val="none" w:sz="0" w:space="0" w:color="auto"/>
            <w:right w:val="none" w:sz="0" w:space="0" w:color="auto"/>
          </w:divBdr>
        </w:div>
        <w:div w:id="1874728786">
          <w:marLeft w:val="0"/>
          <w:marRight w:val="0"/>
          <w:marTop w:val="0"/>
          <w:marBottom w:val="0"/>
          <w:divBdr>
            <w:top w:val="none" w:sz="0" w:space="0" w:color="auto"/>
            <w:left w:val="none" w:sz="0" w:space="0" w:color="auto"/>
            <w:bottom w:val="none" w:sz="0" w:space="0" w:color="auto"/>
            <w:right w:val="none" w:sz="0" w:space="0" w:color="auto"/>
          </w:divBdr>
        </w:div>
        <w:div w:id="1877545093">
          <w:marLeft w:val="0"/>
          <w:marRight w:val="0"/>
          <w:marTop w:val="0"/>
          <w:marBottom w:val="0"/>
          <w:divBdr>
            <w:top w:val="none" w:sz="0" w:space="0" w:color="auto"/>
            <w:left w:val="none" w:sz="0" w:space="0" w:color="auto"/>
            <w:bottom w:val="none" w:sz="0" w:space="0" w:color="auto"/>
            <w:right w:val="none" w:sz="0" w:space="0" w:color="auto"/>
          </w:divBdr>
        </w:div>
        <w:div w:id="1879270324">
          <w:marLeft w:val="0"/>
          <w:marRight w:val="0"/>
          <w:marTop w:val="0"/>
          <w:marBottom w:val="0"/>
          <w:divBdr>
            <w:top w:val="none" w:sz="0" w:space="0" w:color="auto"/>
            <w:left w:val="none" w:sz="0" w:space="0" w:color="auto"/>
            <w:bottom w:val="none" w:sz="0" w:space="0" w:color="auto"/>
            <w:right w:val="none" w:sz="0" w:space="0" w:color="auto"/>
          </w:divBdr>
        </w:div>
        <w:div w:id="1883207453">
          <w:marLeft w:val="0"/>
          <w:marRight w:val="0"/>
          <w:marTop w:val="0"/>
          <w:marBottom w:val="0"/>
          <w:divBdr>
            <w:top w:val="none" w:sz="0" w:space="0" w:color="auto"/>
            <w:left w:val="none" w:sz="0" w:space="0" w:color="auto"/>
            <w:bottom w:val="none" w:sz="0" w:space="0" w:color="auto"/>
            <w:right w:val="none" w:sz="0" w:space="0" w:color="auto"/>
          </w:divBdr>
        </w:div>
        <w:div w:id="1891263823">
          <w:marLeft w:val="0"/>
          <w:marRight w:val="0"/>
          <w:marTop w:val="0"/>
          <w:marBottom w:val="0"/>
          <w:divBdr>
            <w:top w:val="none" w:sz="0" w:space="0" w:color="auto"/>
            <w:left w:val="none" w:sz="0" w:space="0" w:color="auto"/>
            <w:bottom w:val="none" w:sz="0" w:space="0" w:color="auto"/>
            <w:right w:val="none" w:sz="0" w:space="0" w:color="auto"/>
          </w:divBdr>
        </w:div>
        <w:div w:id="1907260106">
          <w:marLeft w:val="0"/>
          <w:marRight w:val="0"/>
          <w:marTop w:val="0"/>
          <w:marBottom w:val="0"/>
          <w:divBdr>
            <w:top w:val="none" w:sz="0" w:space="0" w:color="auto"/>
            <w:left w:val="none" w:sz="0" w:space="0" w:color="auto"/>
            <w:bottom w:val="none" w:sz="0" w:space="0" w:color="auto"/>
            <w:right w:val="none" w:sz="0" w:space="0" w:color="auto"/>
          </w:divBdr>
        </w:div>
        <w:div w:id="1909151781">
          <w:marLeft w:val="0"/>
          <w:marRight w:val="0"/>
          <w:marTop w:val="0"/>
          <w:marBottom w:val="0"/>
          <w:divBdr>
            <w:top w:val="none" w:sz="0" w:space="0" w:color="auto"/>
            <w:left w:val="none" w:sz="0" w:space="0" w:color="auto"/>
            <w:bottom w:val="none" w:sz="0" w:space="0" w:color="auto"/>
            <w:right w:val="none" w:sz="0" w:space="0" w:color="auto"/>
          </w:divBdr>
        </w:div>
        <w:div w:id="1911114082">
          <w:marLeft w:val="0"/>
          <w:marRight w:val="0"/>
          <w:marTop w:val="0"/>
          <w:marBottom w:val="0"/>
          <w:divBdr>
            <w:top w:val="none" w:sz="0" w:space="0" w:color="auto"/>
            <w:left w:val="none" w:sz="0" w:space="0" w:color="auto"/>
            <w:bottom w:val="none" w:sz="0" w:space="0" w:color="auto"/>
            <w:right w:val="none" w:sz="0" w:space="0" w:color="auto"/>
          </w:divBdr>
        </w:div>
        <w:div w:id="1913343804">
          <w:marLeft w:val="0"/>
          <w:marRight w:val="0"/>
          <w:marTop w:val="0"/>
          <w:marBottom w:val="0"/>
          <w:divBdr>
            <w:top w:val="none" w:sz="0" w:space="0" w:color="auto"/>
            <w:left w:val="none" w:sz="0" w:space="0" w:color="auto"/>
            <w:bottom w:val="none" w:sz="0" w:space="0" w:color="auto"/>
            <w:right w:val="none" w:sz="0" w:space="0" w:color="auto"/>
          </w:divBdr>
        </w:div>
        <w:div w:id="1921717327">
          <w:marLeft w:val="0"/>
          <w:marRight w:val="0"/>
          <w:marTop w:val="0"/>
          <w:marBottom w:val="0"/>
          <w:divBdr>
            <w:top w:val="none" w:sz="0" w:space="0" w:color="auto"/>
            <w:left w:val="none" w:sz="0" w:space="0" w:color="auto"/>
            <w:bottom w:val="none" w:sz="0" w:space="0" w:color="auto"/>
            <w:right w:val="none" w:sz="0" w:space="0" w:color="auto"/>
          </w:divBdr>
        </w:div>
        <w:div w:id="1924215646">
          <w:marLeft w:val="0"/>
          <w:marRight w:val="0"/>
          <w:marTop w:val="0"/>
          <w:marBottom w:val="0"/>
          <w:divBdr>
            <w:top w:val="none" w:sz="0" w:space="0" w:color="auto"/>
            <w:left w:val="none" w:sz="0" w:space="0" w:color="auto"/>
            <w:bottom w:val="none" w:sz="0" w:space="0" w:color="auto"/>
            <w:right w:val="none" w:sz="0" w:space="0" w:color="auto"/>
          </w:divBdr>
        </w:div>
        <w:div w:id="1927228919">
          <w:marLeft w:val="0"/>
          <w:marRight w:val="0"/>
          <w:marTop w:val="0"/>
          <w:marBottom w:val="0"/>
          <w:divBdr>
            <w:top w:val="none" w:sz="0" w:space="0" w:color="auto"/>
            <w:left w:val="none" w:sz="0" w:space="0" w:color="auto"/>
            <w:bottom w:val="none" w:sz="0" w:space="0" w:color="auto"/>
            <w:right w:val="none" w:sz="0" w:space="0" w:color="auto"/>
          </w:divBdr>
        </w:div>
        <w:div w:id="1929461530">
          <w:marLeft w:val="0"/>
          <w:marRight w:val="0"/>
          <w:marTop w:val="0"/>
          <w:marBottom w:val="0"/>
          <w:divBdr>
            <w:top w:val="none" w:sz="0" w:space="0" w:color="auto"/>
            <w:left w:val="none" w:sz="0" w:space="0" w:color="auto"/>
            <w:bottom w:val="none" w:sz="0" w:space="0" w:color="auto"/>
            <w:right w:val="none" w:sz="0" w:space="0" w:color="auto"/>
          </w:divBdr>
        </w:div>
        <w:div w:id="1930264225">
          <w:marLeft w:val="0"/>
          <w:marRight w:val="0"/>
          <w:marTop w:val="0"/>
          <w:marBottom w:val="0"/>
          <w:divBdr>
            <w:top w:val="none" w:sz="0" w:space="0" w:color="auto"/>
            <w:left w:val="none" w:sz="0" w:space="0" w:color="auto"/>
            <w:bottom w:val="none" w:sz="0" w:space="0" w:color="auto"/>
            <w:right w:val="none" w:sz="0" w:space="0" w:color="auto"/>
          </w:divBdr>
        </w:div>
        <w:div w:id="1930575314">
          <w:marLeft w:val="0"/>
          <w:marRight w:val="0"/>
          <w:marTop w:val="0"/>
          <w:marBottom w:val="0"/>
          <w:divBdr>
            <w:top w:val="none" w:sz="0" w:space="0" w:color="auto"/>
            <w:left w:val="none" w:sz="0" w:space="0" w:color="auto"/>
            <w:bottom w:val="none" w:sz="0" w:space="0" w:color="auto"/>
            <w:right w:val="none" w:sz="0" w:space="0" w:color="auto"/>
          </w:divBdr>
        </w:div>
        <w:div w:id="1940983724">
          <w:marLeft w:val="0"/>
          <w:marRight w:val="0"/>
          <w:marTop w:val="0"/>
          <w:marBottom w:val="0"/>
          <w:divBdr>
            <w:top w:val="none" w:sz="0" w:space="0" w:color="auto"/>
            <w:left w:val="none" w:sz="0" w:space="0" w:color="auto"/>
            <w:bottom w:val="none" w:sz="0" w:space="0" w:color="auto"/>
            <w:right w:val="none" w:sz="0" w:space="0" w:color="auto"/>
          </w:divBdr>
        </w:div>
        <w:div w:id="1943217189">
          <w:marLeft w:val="0"/>
          <w:marRight w:val="0"/>
          <w:marTop w:val="0"/>
          <w:marBottom w:val="0"/>
          <w:divBdr>
            <w:top w:val="none" w:sz="0" w:space="0" w:color="auto"/>
            <w:left w:val="none" w:sz="0" w:space="0" w:color="auto"/>
            <w:bottom w:val="none" w:sz="0" w:space="0" w:color="auto"/>
            <w:right w:val="none" w:sz="0" w:space="0" w:color="auto"/>
          </w:divBdr>
        </w:div>
        <w:div w:id="1943686961">
          <w:marLeft w:val="0"/>
          <w:marRight w:val="0"/>
          <w:marTop w:val="0"/>
          <w:marBottom w:val="0"/>
          <w:divBdr>
            <w:top w:val="none" w:sz="0" w:space="0" w:color="auto"/>
            <w:left w:val="none" w:sz="0" w:space="0" w:color="auto"/>
            <w:bottom w:val="none" w:sz="0" w:space="0" w:color="auto"/>
            <w:right w:val="none" w:sz="0" w:space="0" w:color="auto"/>
          </w:divBdr>
        </w:div>
        <w:div w:id="1949265404">
          <w:marLeft w:val="0"/>
          <w:marRight w:val="0"/>
          <w:marTop w:val="0"/>
          <w:marBottom w:val="0"/>
          <w:divBdr>
            <w:top w:val="none" w:sz="0" w:space="0" w:color="auto"/>
            <w:left w:val="none" w:sz="0" w:space="0" w:color="auto"/>
            <w:bottom w:val="none" w:sz="0" w:space="0" w:color="auto"/>
            <w:right w:val="none" w:sz="0" w:space="0" w:color="auto"/>
          </w:divBdr>
        </w:div>
        <w:div w:id="1952736951">
          <w:marLeft w:val="0"/>
          <w:marRight w:val="0"/>
          <w:marTop w:val="0"/>
          <w:marBottom w:val="0"/>
          <w:divBdr>
            <w:top w:val="none" w:sz="0" w:space="0" w:color="auto"/>
            <w:left w:val="none" w:sz="0" w:space="0" w:color="auto"/>
            <w:bottom w:val="none" w:sz="0" w:space="0" w:color="auto"/>
            <w:right w:val="none" w:sz="0" w:space="0" w:color="auto"/>
          </w:divBdr>
        </w:div>
        <w:div w:id="1957561738">
          <w:marLeft w:val="0"/>
          <w:marRight w:val="0"/>
          <w:marTop w:val="0"/>
          <w:marBottom w:val="0"/>
          <w:divBdr>
            <w:top w:val="none" w:sz="0" w:space="0" w:color="auto"/>
            <w:left w:val="none" w:sz="0" w:space="0" w:color="auto"/>
            <w:bottom w:val="none" w:sz="0" w:space="0" w:color="auto"/>
            <w:right w:val="none" w:sz="0" w:space="0" w:color="auto"/>
          </w:divBdr>
        </w:div>
        <w:div w:id="1957785250">
          <w:marLeft w:val="0"/>
          <w:marRight w:val="0"/>
          <w:marTop w:val="0"/>
          <w:marBottom w:val="0"/>
          <w:divBdr>
            <w:top w:val="none" w:sz="0" w:space="0" w:color="auto"/>
            <w:left w:val="none" w:sz="0" w:space="0" w:color="auto"/>
            <w:bottom w:val="none" w:sz="0" w:space="0" w:color="auto"/>
            <w:right w:val="none" w:sz="0" w:space="0" w:color="auto"/>
          </w:divBdr>
        </w:div>
        <w:div w:id="1958216133">
          <w:marLeft w:val="0"/>
          <w:marRight w:val="0"/>
          <w:marTop w:val="0"/>
          <w:marBottom w:val="0"/>
          <w:divBdr>
            <w:top w:val="none" w:sz="0" w:space="0" w:color="auto"/>
            <w:left w:val="none" w:sz="0" w:space="0" w:color="auto"/>
            <w:bottom w:val="none" w:sz="0" w:space="0" w:color="auto"/>
            <w:right w:val="none" w:sz="0" w:space="0" w:color="auto"/>
          </w:divBdr>
        </w:div>
        <w:div w:id="1963875758">
          <w:marLeft w:val="0"/>
          <w:marRight w:val="0"/>
          <w:marTop w:val="0"/>
          <w:marBottom w:val="0"/>
          <w:divBdr>
            <w:top w:val="none" w:sz="0" w:space="0" w:color="auto"/>
            <w:left w:val="none" w:sz="0" w:space="0" w:color="auto"/>
            <w:bottom w:val="none" w:sz="0" w:space="0" w:color="auto"/>
            <w:right w:val="none" w:sz="0" w:space="0" w:color="auto"/>
          </w:divBdr>
        </w:div>
        <w:div w:id="1964579007">
          <w:marLeft w:val="0"/>
          <w:marRight w:val="0"/>
          <w:marTop w:val="0"/>
          <w:marBottom w:val="0"/>
          <w:divBdr>
            <w:top w:val="none" w:sz="0" w:space="0" w:color="auto"/>
            <w:left w:val="none" w:sz="0" w:space="0" w:color="auto"/>
            <w:bottom w:val="none" w:sz="0" w:space="0" w:color="auto"/>
            <w:right w:val="none" w:sz="0" w:space="0" w:color="auto"/>
          </w:divBdr>
        </w:div>
        <w:div w:id="1972203261">
          <w:marLeft w:val="0"/>
          <w:marRight w:val="0"/>
          <w:marTop w:val="0"/>
          <w:marBottom w:val="0"/>
          <w:divBdr>
            <w:top w:val="none" w:sz="0" w:space="0" w:color="auto"/>
            <w:left w:val="none" w:sz="0" w:space="0" w:color="auto"/>
            <w:bottom w:val="none" w:sz="0" w:space="0" w:color="auto"/>
            <w:right w:val="none" w:sz="0" w:space="0" w:color="auto"/>
          </w:divBdr>
        </w:div>
        <w:div w:id="1978022333">
          <w:marLeft w:val="0"/>
          <w:marRight w:val="0"/>
          <w:marTop w:val="0"/>
          <w:marBottom w:val="0"/>
          <w:divBdr>
            <w:top w:val="none" w:sz="0" w:space="0" w:color="auto"/>
            <w:left w:val="none" w:sz="0" w:space="0" w:color="auto"/>
            <w:bottom w:val="none" w:sz="0" w:space="0" w:color="auto"/>
            <w:right w:val="none" w:sz="0" w:space="0" w:color="auto"/>
          </w:divBdr>
        </w:div>
        <w:div w:id="1982535717">
          <w:marLeft w:val="0"/>
          <w:marRight w:val="0"/>
          <w:marTop w:val="0"/>
          <w:marBottom w:val="0"/>
          <w:divBdr>
            <w:top w:val="none" w:sz="0" w:space="0" w:color="auto"/>
            <w:left w:val="none" w:sz="0" w:space="0" w:color="auto"/>
            <w:bottom w:val="none" w:sz="0" w:space="0" w:color="auto"/>
            <w:right w:val="none" w:sz="0" w:space="0" w:color="auto"/>
          </w:divBdr>
        </w:div>
        <w:div w:id="1986886535">
          <w:marLeft w:val="0"/>
          <w:marRight w:val="0"/>
          <w:marTop w:val="0"/>
          <w:marBottom w:val="0"/>
          <w:divBdr>
            <w:top w:val="none" w:sz="0" w:space="0" w:color="auto"/>
            <w:left w:val="none" w:sz="0" w:space="0" w:color="auto"/>
            <w:bottom w:val="none" w:sz="0" w:space="0" w:color="auto"/>
            <w:right w:val="none" w:sz="0" w:space="0" w:color="auto"/>
          </w:divBdr>
        </w:div>
        <w:div w:id="1988436004">
          <w:marLeft w:val="0"/>
          <w:marRight w:val="0"/>
          <w:marTop w:val="0"/>
          <w:marBottom w:val="0"/>
          <w:divBdr>
            <w:top w:val="none" w:sz="0" w:space="0" w:color="auto"/>
            <w:left w:val="none" w:sz="0" w:space="0" w:color="auto"/>
            <w:bottom w:val="none" w:sz="0" w:space="0" w:color="auto"/>
            <w:right w:val="none" w:sz="0" w:space="0" w:color="auto"/>
          </w:divBdr>
        </w:div>
        <w:div w:id="1996758940">
          <w:marLeft w:val="0"/>
          <w:marRight w:val="0"/>
          <w:marTop w:val="0"/>
          <w:marBottom w:val="0"/>
          <w:divBdr>
            <w:top w:val="none" w:sz="0" w:space="0" w:color="auto"/>
            <w:left w:val="none" w:sz="0" w:space="0" w:color="auto"/>
            <w:bottom w:val="none" w:sz="0" w:space="0" w:color="auto"/>
            <w:right w:val="none" w:sz="0" w:space="0" w:color="auto"/>
          </w:divBdr>
        </w:div>
        <w:div w:id="1997102107">
          <w:marLeft w:val="0"/>
          <w:marRight w:val="0"/>
          <w:marTop w:val="0"/>
          <w:marBottom w:val="0"/>
          <w:divBdr>
            <w:top w:val="none" w:sz="0" w:space="0" w:color="auto"/>
            <w:left w:val="none" w:sz="0" w:space="0" w:color="auto"/>
            <w:bottom w:val="none" w:sz="0" w:space="0" w:color="auto"/>
            <w:right w:val="none" w:sz="0" w:space="0" w:color="auto"/>
          </w:divBdr>
        </w:div>
        <w:div w:id="1997415937">
          <w:marLeft w:val="0"/>
          <w:marRight w:val="0"/>
          <w:marTop w:val="0"/>
          <w:marBottom w:val="0"/>
          <w:divBdr>
            <w:top w:val="none" w:sz="0" w:space="0" w:color="auto"/>
            <w:left w:val="none" w:sz="0" w:space="0" w:color="auto"/>
            <w:bottom w:val="none" w:sz="0" w:space="0" w:color="auto"/>
            <w:right w:val="none" w:sz="0" w:space="0" w:color="auto"/>
          </w:divBdr>
        </w:div>
        <w:div w:id="2003004922">
          <w:marLeft w:val="0"/>
          <w:marRight w:val="0"/>
          <w:marTop w:val="0"/>
          <w:marBottom w:val="0"/>
          <w:divBdr>
            <w:top w:val="none" w:sz="0" w:space="0" w:color="auto"/>
            <w:left w:val="none" w:sz="0" w:space="0" w:color="auto"/>
            <w:bottom w:val="none" w:sz="0" w:space="0" w:color="auto"/>
            <w:right w:val="none" w:sz="0" w:space="0" w:color="auto"/>
          </w:divBdr>
        </w:div>
        <w:div w:id="2011250772">
          <w:marLeft w:val="0"/>
          <w:marRight w:val="0"/>
          <w:marTop w:val="0"/>
          <w:marBottom w:val="0"/>
          <w:divBdr>
            <w:top w:val="none" w:sz="0" w:space="0" w:color="auto"/>
            <w:left w:val="none" w:sz="0" w:space="0" w:color="auto"/>
            <w:bottom w:val="none" w:sz="0" w:space="0" w:color="auto"/>
            <w:right w:val="none" w:sz="0" w:space="0" w:color="auto"/>
          </w:divBdr>
        </w:div>
        <w:div w:id="2018187676">
          <w:marLeft w:val="0"/>
          <w:marRight w:val="0"/>
          <w:marTop w:val="0"/>
          <w:marBottom w:val="0"/>
          <w:divBdr>
            <w:top w:val="none" w:sz="0" w:space="0" w:color="auto"/>
            <w:left w:val="none" w:sz="0" w:space="0" w:color="auto"/>
            <w:bottom w:val="none" w:sz="0" w:space="0" w:color="auto"/>
            <w:right w:val="none" w:sz="0" w:space="0" w:color="auto"/>
          </w:divBdr>
        </w:div>
        <w:div w:id="2023117826">
          <w:marLeft w:val="0"/>
          <w:marRight w:val="0"/>
          <w:marTop w:val="0"/>
          <w:marBottom w:val="0"/>
          <w:divBdr>
            <w:top w:val="none" w:sz="0" w:space="0" w:color="auto"/>
            <w:left w:val="none" w:sz="0" w:space="0" w:color="auto"/>
            <w:bottom w:val="none" w:sz="0" w:space="0" w:color="auto"/>
            <w:right w:val="none" w:sz="0" w:space="0" w:color="auto"/>
          </w:divBdr>
        </w:div>
        <w:div w:id="2023505725">
          <w:marLeft w:val="0"/>
          <w:marRight w:val="0"/>
          <w:marTop w:val="0"/>
          <w:marBottom w:val="0"/>
          <w:divBdr>
            <w:top w:val="none" w:sz="0" w:space="0" w:color="auto"/>
            <w:left w:val="none" w:sz="0" w:space="0" w:color="auto"/>
            <w:bottom w:val="none" w:sz="0" w:space="0" w:color="auto"/>
            <w:right w:val="none" w:sz="0" w:space="0" w:color="auto"/>
          </w:divBdr>
        </w:div>
        <w:div w:id="2029746604">
          <w:marLeft w:val="0"/>
          <w:marRight w:val="0"/>
          <w:marTop w:val="0"/>
          <w:marBottom w:val="0"/>
          <w:divBdr>
            <w:top w:val="none" w:sz="0" w:space="0" w:color="auto"/>
            <w:left w:val="none" w:sz="0" w:space="0" w:color="auto"/>
            <w:bottom w:val="none" w:sz="0" w:space="0" w:color="auto"/>
            <w:right w:val="none" w:sz="0" w:space="0" w:color="auto"/>
          </w:divBdr>
        </w:div>
      </w:divsChild>
    </w:div>
    <w:div w:id="2032220394">
      <w:bodyDiv w:val="1"/>
      <w:marLeft w:val="0"/>
      <w:marRight w:val="0"/>
      <w:marTop w:val="0"/>
      <w:marBottom w:val="0"/>
      <w:divBdr>
        <w:top w:val="none" w:sz="0" w:space="0" w:color="auto"/>
        <w:left w:val="none" w:sz="0" w:space="0" w:color="auto"/>
        <w:bottom w:val="none" w:sz="0" w:space="0" w:color="auto"/>
        <w:right w:val="none" w:sz="0" w:space="0" w:color="auto"/>
      </w:divBdr>
    </w:div>
    <w:div w:id="2032753487">
      <w:bodyDiv w:val="1"/>
      <w:marLeft w:val="0"/>
      <w:marRight w:val="0"/>
      <w:marTop w:val="0"/>
      <w:marBottom w:val="0"/>
      <w:divBdr>
        <w:top w:val="none" w:sz="0" w:space="0" w:color="auto"/>
        <w:left w:val="none" w:sz="0" w:space="0" w:color="auto"/>
        <w:bottom w:val="none" w:sz="0" w:space="0" w:color="auto"/>
        <w:right w:val="none" w:sz="0" w:space="0" w:color="auto"/>
      </w:divBdr>
    </w:div>
    <w:div w:id="2032798044">
      <w:bodyDiv w:val="1"/>
      <w:marLeft w:val="0"/>
      <w:marRight w:val="0"/>
      <w:marTop w:val="0"/>
      <w:marBottom w:val="0"/>
      <w:divBdr>
        <w:top w:val="none" w:sz="0" w:space="0" w:color="auto"/>
        <w:left w:val="none" w:sz="0" w:space="0" w:color="auto"/>
        <w:bottom w:val="none" w:sz="0" w:space="0" w:color="auto"/>
        <w:right w:val="none" w:sz="0" w:space="0" w:color="auto"/>
      </w:divBdr>
    </w:div>
    <w:div w:id="2032947275">
      <w:bodyDiv w:val="1"/>
      <w:marLeft w:val="0"/>
      <w:marRight w:val="0"/>
      <w:marTop w:val="0"/>
      <w:marBottom w:val="0"/>
      <w:divBdr>
        <w:top w:val="none" w:sz="0" w:space="0" w:color="auto"/>
        <w:left w:val="none" w:sz="0" w:space="0" w:color="auto"/>
        <w:bottom w:val="none" w:sz="0" w:space="0" w:color="auto"/>
        <w:right w:val="none" w:sz="0" w:space="0" w:color="auto"/>
      </w:divBdr>
    </w:div>
    <w:div w:id="2032950283">
      <w:bodyDiv w:val="1"/>
      <w:marLeft w:val="0"/>
      <w:marRight w:val="0"/>
      <w:marTop w:val="0"/>
      <w:marBottom w:val="0"/>
      <w:divBdr>
        <w:top w:val="none" w:sz="0" w:space="0" w:color="auto"/>
        <w:left w:val="none" w:sz="0" w:space="0" w:color="auto"/>
        <w:bottom w:val="none" w:sz="0" w:space="0" w:color="auto"/>
        <w:right w:val="none" w:sz="0" w:space="0" w:color="auto"/>
      </w:divBdr>
    </w:div>
    <w:div w:id="2033259570">
      <w:bodyDiv w:val="1"/>
      <w:marLeft w:val="0"/>
      <w:marRight w:val="0"/>
      <w:marTop w:val="0"/>
      <w:marBottom w:val="0"/>
      <w:divBdr>
        <w:top w:val="none" w:sz="0" w:space="0" w:color="auto"/>
        <w:left w:val="none" w:sz="0" w:space="0" w:color="auto"/>
        <w:bottom w:val="none" w:sz="0" w:space="0" w:color="auto"/>
        <w:right w:val="none" w:sz="0" w:space="0" w:color="auto"/>
      </w:divBdr>
    </w:div>
    <w:div w:id="2033605192">
      <w:bodyDiv w:val="1"/>
      <w:marLeft w:val="0"/>
      <w:marRight w:val="0"/>
      <w:marTop w:val="0"/>
      <w:marBottom w:val="0"/>
      <w:divBdr>
        <w:top w:val="none" w:sz="0" w:space="0" w:color="auto"/>
        <w:left w:val="none" w:sz="0" w:space="0" w:color="auto"/>
        <w:bottom w:val="none" w:sz="0" w:space="0" w:color="auto"/>
        <w:right w:val="none" w:sz="0" w:space="0" w:color="auto"/>
      </w:divBdr>
    </w:div>
    <w:div w:id="2034139002">
      <w:bodyDiv w:val="1"/>
      <w:marLeft w:val="0"/>
      <w:marRight w:val="0"/>
      <w:marTop w:val="0"/>
      <w:marBottom w:val="0"/>
      <w:divBdr>
        <w:top w:val="none" w:sz="0" w:space="0" w:color="auto"/>
        <w:left w:val="none" w:sz="0" w:space="0" w:color="auto"/>
        <w:bottom w:val="none" w:sz="0" w:space="0" w:color="auto"/>
        <w:right w:val="none" w:sz="0" w:space="0" w:color="auto"/>
      </w:divBdr>
    </w:div>
    <w:div w:id="2034794451">
      <w:bodyDiv w:val="1"/>
      <w:marLeft w:val="0"/>
      <w:marRight w:val="0"/>
      <w:marTop w:val="0"/>
      <w:marBottom w:val="0"/>
      <w:divBdr>
        <w:top w:val="none" w:sz="0" w:space="0" w:color="auto"/>
        <w:left w:val="none" w:sz="0" w:space="0" w:color="auto"/>
        <w:bottom w:val="none" w:sz="0" w:space="0" w:color="auto"/>
        <w:right w:val="none" w:sz="0" w:space="0" w:color="auto"/>
      </w:divBdr>
    </w:div>
    <w:div w:id="2035155488">
      <w:bodyDiv w:val="1"/>
      <w:marLeft w:val="0"/>
      <w:marRight w:val="0"/>
      <w:marTop w:val="0"/>
      <w:marBottom w:val="0"/>
      <w:divBdr>
        <w:top w:val="none" w:sz="0" w:space="0" w:color="auto"/>
        <w:left w:val="none" w:sz="0" w:space="0" w:color="auto"/>
        <w:bottom w:val="none" w:sz="0" w:space="0" w:color="auto"/>
        <w:right w:val="none" w:sz="0" w:space="0" w:color="auto"/>
      </w:divBdr>
    </w:div>
    <w:div w:id="2035306075">
      <w:bodyDiv w:val="1"/>
      <w:marLeft w:val="0"/>
      <w:marRight w:val="0"/>
      <w:marTop w:val="0"/>
      <w:marBottom w:val="0"/>
      <w:divBdr>
        <w:top w:val="none" w:sz="0" w:space="0" w:color="auto"/>
        <w:left w:val="none" w:sz="0" w:space="0" w:color="auto"/>
        <w:bottom w:val="none" w:sz="0" w:space="0" w:color="auto"/>
        <w:right w:val="none" w:sz="0" w:space="0" w:color="auto"/>
      </w:divBdr>
    </w:div>
    <w:div w:id="2035378386">
      <w:bodyDiv w:val="1"/>
      <w:marLeft w:val="0"/>
      <w:marRight w:val="0"/>
      <w:marTop w:val="0"/>
      <w:marBottom w:val="0"/>
      <w:divBdr>
        <w:top w:val="none" w:sz="0" w:space="0" w:color="auto"/>
        <w:left w:val="none" w:sz="0" w:space="0" w:color="auto"/>
        <w:bottom w:val="none" w:sz="0" w:space="0" w:color="auto"/>
        <w:right w:val="none" w:sz="0" w:space="0" w:color="auto"/>
      </w:divBdr>
    </w:div>
    <w:div w:id="2035426257">
      <w:bodyDiv w:val="1"/>
      <w:marLeft w:val="0"/>
      <w:marRight w:val="0"/>
      <w:marTop w:val="0"/>
      <w:marBottom w:val="0"/>
      <w:divBdr>
        <w:top w:val="none" w:sz="0" w:space="0" w:color="auto"/>
        <w:left w:val="none" w:sz="0" w:space="0" w:color="auto"/>
        <w:bottom w:val="none" w:sz="0" w:space="0" w:color="auto"/>
        <w:right w:val="none" w:sz="0" w:space="0" w:color="auto"/>
      </w:divBdr>
    </w:div>
    <w:div w:id="2035615805">
      <w:bodyDiv w:val="1"/>
      <w:marLeft w:val="0"/>
      <w:marRight w:val="0"/>
      <w:marTop w:val="0"/>
      <w:marBottom w:val="0"/>
      <w:divBdr>
        <w:top w:val="none" w:sz="0" w:space="0" w:color="auto"/>
        <w:left w:val="none" w:sz="0" w:space="0" w:color="auto"/>
        <w:bottom w:val="none" w:sz="0" w:space="0" w:color="auto"/>
        <w:right w:val="none" w:sz="0" w:space="0" w:color="auto"/>
      </w:divBdr>
    </w:div>
    <w:div w:id="2035954024">
      <w:bodyDiv w:val="1"/>
      <w:marLeft w:val="0"/>
      <w:marRight w:val="0"/>
      <w:marTop w:val="0"/>
      <w:marBottom w:val="0"/>
      <w:divBdr>
        <w:top w:val="none" w:sz="0" w:space="0" w:color="auto"/>
        <w:left w:val="none" w:sz="0" w:space="0" w:color="auto"/>
        <w:bottom w:val="none" w:sz="0" w:space="0" w:color="auto"/>
        <w:right w:val="none" w:sz="0" w:space="0" w:color="auto"/>
      </w:divBdr>
    </w:div>
    <w:div w:id="2037148534">
      <w:bodyDiv w:val="1"/>
      <w:marLeft w:val="0"/>
      <w:marRight w:val="0"/>
      <w:marTop w:val="0"/>
      <w:marBottom w:val="0"/>
      <w:divBdr>
        <w:top w:val="none" w:sz="0" w:space="0" w:color="auto"/>
        <w:left w:val="none" w:sz="0" w:space="0" w:color="auto"/>
        <w:bottom w:val="none" w:sz="0" w:space="0" w:color="auto"/>
        <w:right w:val="none" w:sz="0" w:space="0" w:color="auto"/>
      </w:divBdr>
    </w:div>
    <w:div w:id="2037533647">
      <w:bodyDiv w:val="1"/>
      <w:marLeft w:val="0"/>
      <w:marRight w:val="0"/>
      <w:marTop w:val="0"/>
      <w:marBottom w:val="0"/>
      <w:divBdr>
        <w:top w:val="none" w:sz="0" w:space="0" w:color="auto"/>
        <w:left w:val="none" w:sz="0" w:space="0" w:color="auto"/>
        <w:bottom w:val="none" w:sz="0" w:space="0" w:color="auto"/>
        <w:right w:val="none" w:sz="0" w:space="0" w:color="auto"/>
      </w:divBdr>
    </w:div>
    <w:div w:id="2037921434">
      <w:bodyDiv w:val="1"/>
      <w:marLeft w:val="0"/>
      <w:marRight w:val="0"/>
      <w:marTop w:val="0"/>
      <w:marBottom w:val="0"/>
      <w:divBdr>
        <w:top w:val="none" w:sz="0" w:space="0" w:color="auto"/>
        <w:left w:val="none" w:sz="0" w:space="0" w:color="auto"/>
        <w:bottom w:val="none" w:sz="0" w:space="0" w:color="auto"/>
        <w:right w:val="none" w:sz="0" w:space="0" w:color="auto"/>
      </w:divBdr>
    </w:div>
    <w:div w:id="2038191338">
      <w:bodyDiv w:val="1"/>
      <w:marLeft w:val="0"/>
      <w:marRight w:val="0"/>
      <w:marTop w:val="0"/>
      <w:marBottom w:val="0"/>
      <w:divBdr>
        <w:top w:val="none" w:sz="0" w:space="0" w:color="auto"/>
        <w:left w:val="none" w:sz="0" w:space="0" w:color="auto"/>
        <w:bottom w:val="none" w:sz="0" w:space="0" w:color="auto"/>
        <w:right w:val="none" w:sz="0" w:space="0" w:color="auto"/>
      </w:divBdr>
    </w:div>
    <w:div w:id="2038389456">
      <w:bodyDiv w:val="1"/>
      <w:marLeft w:val="0"/>
      <w:marRight w:val="0"/>
      <w:marTop w:val="0"/>
      <w:marBottom w:val="0"/>
      <w:divBdr>
        <w:top w:val="none" w:sz="0" w:space="0" w:color="auto"/>
        <w:left w:val="none" w:sz="0" w:space="0" w:color="auto"/>
        <w:bottom w:val="none" w:sz="0" w:space="0" w:color="auto"/>
        <w:right w:val="none" w:sz="0" w:space="0" w:color="auto"/>
      </w:divBdr>
    </w:div>
    <w:div w:id="2038891430">
      <w:bodyDiv w:val="1"/>
      <w:marLeft w:val="0"/>
      <w:marRight w:val="0"/>
      <w:marTop w:val="0"/>
      <w:marBottom w:val="0"/>
      <w:divBdr>
        <w:top w:val="none" w:sz="0" w:space="0" w:color="auto"/>
        <w:left w:val="none" w:sz="0" w:space="0" w:color="auto"/>
        <w:bottom w:val="none" w:sz="0" w:space="0" w:color="auto"/>
        <w:right w:val="none" w:sz="0" w:space="0" w:color="auto"/>
      </w:divBdr>
    </w:div>
    <w:div w:id="2038895764">
      <w:bodyDiv w:val="1"/>
      <w:marLeft w:val="0"/>
      <w:marRight w:val="0"/>
      <w:marTop w:val="0"/>
      <w:marBottom w:val="0"/>
      <w:divBdr>
        <w:top w:val="none" w:sz="0" w:space="0" w:color="auto"/>
        <w:left w:val="none" w:sz="0" w:space="0" w:color="auto"/>
        <w:bottom w:val="none" w:sz="0" w:space="0" w:color="auto"/>
        <w:right w:val="none" w:sz="0" w:space="0" w:color="auto"/>
      </w:divBdr>
    </w:div>
    <w:div w:id="2039695685">
      <w:bodyDiv w:val="1"/>
      <w:marLeft w:val="0"/>
      <w:marRight w:val="0"/>
      <w:marTop w:val="0"/>
      <w:marBottom w:val="0"/>
      <w:divBdr>
        <w:top w:val="none" w:sz="0" w:space="0" w:color="auto"/>
        <w:left w:val="none" w:sz="0" w:space="0" w:color="auto"/>
        <w:bottom w:val="none" w:sz="0" w:space="0" w:color="auto"/>
        <w:right w:val="none" w:sz="0" w:space="0" w:color="auto"/>
      </w:divBdr>
    </w:div>
    <w:div w:id="2040543992">
      <w:bodyDiv w:val="1"/>
      <w:marLeft w:val="0"/>
      <w:marRight w:val="0"/>
      <w:marTop w:val="0"/>
      <w:marBottom w:val="0"/>
      <w:divBdr>
        <w:top w:val="none" w:sz="0" w:space="0" w:color="auto"/>
        <w:left w:val="none" w:sz="0" w:space="0" w:color="auto"/>
        <w:bottom w:val="none" w:sz="0" w:space="0" w:color="auto"/>
        <w:right w:val="none" w:sz="0" w:space="0" w:color="auto"/>
      </w:divBdr>
    </w:div>
    <w:div w:id="2042123754">
      <w:bodyDiv w:val="1"/>
      <w:marLeft w:val="0"/>
      <w:marRight w:val="0"/>
      <w:marTop w:val="0"/>
      <w:marBottom w:val="0"/>
      <w:divBdr>
        <w:top w:val="none" w:sz="0" w:space="0" w:color="auto"/>
        <w:left w:val="none" w:sz="0" w:space="0" w:color="auto"/>
        <w:bottom w:val="none" w:sz="0" w:space="0" w:color="auto"/>
        <w:right w:val="none" w:sz="0" w:space="0" w:color="auto"/>
      </w:divBdr>
    </w:div>
    <w:div w:id="2042124988">
      <w:bodyDiv w:val="1"/>
      <w:marLeft w:val="0"/>
      <w:marRight w:val="0"/>
      <w:marTop w:val="0"/>
      <w:marBottom w:val="0"/>
      <w:divBdr>
        <w:top w:val="none" w:sz="0" w:space="0" w:color="auto"/>
        <w:left w:val="none" w:sz="0" w:space="0" w:color="auto"/>
        <w:bottom w:val="none" w:sz="0" w:space="0" w:color="auto"/>
        <w:right w:val="none" w:sz="0" w:space="0" w:color="auto"/>
      </w:divBdr>
    </w:div>
    <w:div w:id="2042126960">
      <w:bodyDiv w:val="1"/>
      <w:marLeft w:val="0"/>
      <w:marRight w:val="0"/>
      <w:marTop w:val="0"/>
      <w:marBottom w:val="0"/>
      <w:divBdr>
        <w:top w:val="none" w:sz="0" w:space="0" w:color="auto"/>
        <w:left w:val="none" w:sz="0" w:space="0" w:color="auto"/>
        <w:bottom w:val="none" w:sz="0" w:space="0" w:color="auto"/>
        <w:right w:val="none" w:sz="0" w:space="0" w:color="auto"/>
      </w:divBdr>
    </w:div>
    <w:div w:id="2042389806">
      <w:bodyDiv w:val="1"/>
      <w:marLeft w:val="0"/>
      <w:marRight w:val="0"/>
      <w:marTop w:val="0"/>
      <w:marBottom w:val="0"/>
      <w:divBdr>
        <w:top w:val="none" w:sz="0" w:space="0" w:color="auto"/>
        <w:left w:val="none" w:sz="0" w:space="0" w:color="auto"/>
        <w:bottom w:val="none" w:sz="0" w:space="0" w:color="auto"/>
        <w:right w:val="none" w:sz="0" w:space="0" w:color="auto"/>
      </w:divBdr>
    </w:div>
    <w:div w:id="2042852595">
      <w:bodyDiv w:val="1"/>
      <w:marLeft w:val="0"/>
      <w:marRight w:val="0"/>
      <w:marTop w:val="0"/>
      <w:marBottom w:val="0"/>
      <w:divBdr>
        <w:top w:val="none" w:sz="0" w:space="0" w:color="auto"/>
        <w:left w:val="none" w:sz="0" w:space="0" w:color="auto"/>
        <w:bottom w:val="none" w:sz="0" w:space="0" w:color="auto"/>
        <w:right w:val="none" w:sz="0" w:space="0" w:color="auto"/>
      </w:divBdr>
    </w:div>
    <w:div w:id="2042973633">
      <w:bodyDiv w:val="1"/>
      <w:marLeft w:val="0"/>
      <w:marRight w:val="0"/>
      <w:marTop w:val="0"/>
      <w:marBottom w:val="0"/>
      <w:divBdr>
        <w:top w:val="none" w:sz="0" w:space="0" w:color="auto"/>
        <w:left w:val="none" w:sz="0" w:space="0" w:color="auto"/>
        <w:bottom w:val="none" w:sz="0" w:space="0" w:color="auto"/>
        <w:right w:val="none" w:sz="0" w:space="0" w:color="auto"/>
      </w:divBdr>
    </w:div>
    <w:div w:id="2043165869">
      <w:bodyDiv w:val="1"/>
      <w:marLeft w:val="0"/>
      <w:marRight w:val="0"/>
      <w:marTop w:val="0"/>
      <w:marBottom w:val="0"/>
      <w:divBdr>
        <w:top w:val="none" w:sz="0" w:space="0" w:color="auto"/>
        <w:left w:val="none" w:sz="0" w:space="0" w:color="auto"/>
        <w:bottom w:val="none" w:sz="0" w:space="0" w:color="auto"/>
        <w:right w:val="none" w:sz="0" w:space="0" w:color="auto"/>
      </w:divBdr>
    </w:div>
    <w:div w:id="2043435898">
      <w:bodyDiv w:val="1"/>
      <w:marLeft w:val="0"/>
      <w:marRight w:val="0"/>
      <w:marTop w:val="0"/>
      <w:marBottom w:val="0"/>
      <w:divBdr>
        <w:top w:val="none" w:sz="0" w:space="0" w:color="auto"/>
        <w:left w:val="none" w:sz="0" w:space="0" w:color="auto"/>
        <w:bottom w:val="none" w:sz="0" w:space="0" w:color="auto"/>
        <w:right w:val="none" w:sz="0" w:space="0" w:color="auto"/>
      </w:divBdr>
    </w:div>
    <w:div w:id="2044089043">
      <w:bodyDiv w:val="1"/>
      <w:marLeft w:val="0"/>
      <w:marRight w:val="0"/>
      <w:marTop w:val="0"/>
      <w:marBottom w:val="0"/>
      <w:divBdr>
        <w:top w:val="none" w:sz="0" w:space="0" w:color="auto"/>
        <w:left w:val="none" w:sz="0" w:space="0" w:color="auto"/>
        <w:bottom w:val="none" w:sz="0" w:space="0" w:color="auto"/>
        <w:right w:val="none" w:sz="0" w:space="0" w:color="auto"/>
      </w:divBdr>
    </w:div>
    <w:div w:id="2044403192">
      <w:bodyDiv w:val="1"/>
      <w:marLeft w:val="0"/>
      <w:marRight w:val="0"/>
      <w:marTop w:val="0"/>
      <w:marBottom w:val="0"/>
      <w:divBdr>
        <w:top w:val="none" w:sz="0" w:space="0" w:color="auto"/>
        <w:left w:val="none" w:sz="0" w:space="0" w:color="auto"/>
        <w:bottom w:val="none" w:sz="0" w:space="0" w:color="auto"/>
        <w:right w:val="none" w:sz="0" w:space="0" w:color="auto"/>
      </w:divBdr>
    </w:div>
    <w:div w:id="2044550235">
      <w:bodyDiv w:val="1"/>
      <w:marLeft w:val="0"/>
      <w:marRight w:val="0"/>
      <w:marTop w:val="0"/>
      <w:marBottom w:val="0"/>
      <w:divBdr>
        <w:top w:val="none" w:sz="0" w:space="0" w:color="auto"/>
        <w:left w:val="none" w:sz="0" w:space="0" w:color="auto"/>
        <w:bottom w:val="none" w:sz="0" w:space="0" w:color="auto"/>
        <w:right w:val="none" w:sz="0" w:space="0" w:color="auto"/>
      </w:divBdr>
    </w:div>
    <w:div w:id="2044552643">
      <w:bodyDiv w:val="1"/>
      <w:marLeft w:val="0"/>
      <w:marRight w:val="0"/>
      <w:marTop w:val="0"/>
      <w:marBottom w:val="0"/>
      <w:divBdr>
        <w:top w:val="none" w:sz="0" w:space="0" w:color="auto"/>
        <w:left w:val="none" w:sz="0" w:space="0" w:color="auto"/>
        <w:bottom w:val="none" w:sz="0" w:space="0" w:color="auto"/>
        <w:right w:val="none" w:sz="0" w:space="0" w:color="auto"/>
      </w:divBdr>
    </w:div>
    <w:div w:id="2044868395">
      <w:bodyDiv w:val="1"/>
      <w:marLeft w:val="0"/>
      <w:marRight w:val="0"/>
      <w:marTop w:val="0"/>
      <w:marBottom w:val="0"/>
      <w:divBdr>
        <w:top w:val="none" w:sz="0" w:space="0" w:color="auto"/>
        <w:left w:val="none" w:sz="0" w:space="0" w:color="auto"/>
        <w:bottom w:val="none" w:sz="0" w:space="0" w:color="auto"/>
        <w:right w:val="none" w:sz="0" w:space="0" w:color="auto"/>
      </w:divBdr>
    </w:div>
    <w:div w:id="2044985405">
      <w:bodyDiv w:val="1"/>
      <w:marLeft w:val="0"/>
      <w:marRight w:val="0"/>
      <w:marTop w:val="0"/>
      <w:marBottom w:val="0"/>
      <w:divBdr>
        <w:top w:val="none" w:sz="0" w:space="0" w:color="auto"/>
        <w:left w:val="none" w:sz="0" w:space="0" w:color="auto"/>
        <w:bottom w:val="none" w:sz="0" w:space="0" w:color="auto"/>
        <w:right w:val="none" w:sz="0" w:space="0" w:color="auto"/>
      </w:divBdr>
    </w:div>
    <w:div w:id="2045666173">
      <w:bodyDiv w:val="1"/>
      <w:marLeft w:val="0"/>
      <w:marRight w:val="0"/>
      <w:marTop w:val="0"/>
      <w:marBottom w:val="0"/>
      <w:divBdr>
        <w:top w:val="none" w:sz="0" w:space="0" w:color="auto"/>
        <w:left w:val="none" w:sz="0" w:space="0" w:color="auto"/>
        <w:bottom w:val="none" w:sz="0" w:space="0" w:color="auto"/>
        <w:right w:val="none" w:sz="0" w:space="0" w:color="auto"/>
      </w:divBdr>
    </w:div>
    <w:div w:id="2045670551">
      <w:bodyDiv w:val="1"/>
      <w:marLeft w:val="0"/>
      <w:marRight w:val="0"/>
      <w:marTop w:val="0"/>
      <w:marBottom w:val="0"/>
      <w:divBdr>
        <w:top w:val="none" w:sz="0" w:space="0" w:color="auto"/>
        <w:left w:val="none" w:sz="0" w:space="0" w:color="auto"/>
        <w:bottom w:val="none" w:sz="0" w:space="0" w:color="auto"/>
        <w:right w:val="none" w:sz="0" w:space="0" w:color="auto"/>
      </w:divBdr>
    </w:div>
    <w:div w:id="2046709743">
      <w:bodyDiv w:val="1"/>
      <w:marLeft w:val="0"/>
      <w:marRight w:val="0"/>
      <w:marTop w:val="0"/>
      <w:marBottom w:val="0"/>
      <w:divBdr>
        <w:top w:val="none" w:sz="0" w:space="0" w:color="auto"/>
        <w:left w:val="none" w:sz="0" w:space="0" w:color="auto"/>
        <w:bottom w:val="none" w:sz="0" w:space="0" w:color="auto"/>
        <w:right w:val="none" w:sz="0" w:space="0" w:color="auto"/>
      </w:divBdr>
    </w:div>
    <w:div w:id="2046757204">
      <w:bodyDiv w:val="1"/>
      <w:marLeft w:val="0"/>
      <w:marRight w:val="0"/>
      <w:marTop w:val="0"/>
      <w:marBottom w:val="0"/>
      <w:divBdr>
        <w:top w:val="none" w:sz="0" w:space="0" w:color="auto"/>
        <w:left w:val="none" w:sz="0" w:space="0" w:color="auto"/>
        <w:bottom w:val="none" w:sz="0" w:space="0" w:color="auto"/>
        <w:right w:val="none" w:sz="0" w:space="0" w:color="auto"/>
      </w:divBdr>
    </w:div>
    <w:div w:id="2047632734">
      <w:bodyDiv w:val="1"/>
      <w:marLeft w:val="0"/>
      <w:marRight w:val="0"/>
      <w:marTop w:val="0"/>
      <w:marBottom w:val="0"/>
      <w:divBdr>
        <w:top w:val="none" w:sz="0" w:space="0" w:color="auto"/>
        <w:left w:val="none" w:sz="0" w:space="0" w:color="auto"/>
        <w:bottom w:val="none" w:sz="0" w:space="0" w:color="auto"/>
        <w:right w:val="none" w:sz="0" w:space="0" w:color="auto"/>
      </w:divBdr>
    </w:div>
    <w:div w:id="2047750340">
      <w:bodyDiv w:val="1"/>
      <w:marLeft w:val="0"/>
      <w:marRight w:val="0"/>
      <w:marTop w:val="0"/>
      <w:marBottom w:val="0"/>
      <w:divBdr>
        <w:top w:val="none" w:sz="0" w:space="0" w:color="auto"/>
        <w:left w:val="none" w:sz="0" w:space="0" w:color="auto"/>
        <w:bottom w:val="none" w:sz="0" w:space="0" w:color="auto"/>
        <w:right w:val="none" w:sz="0" w:space="0" w:color="auto"/>
      </w:divBdr>
    </w:div>
    <w:div w:id="2048022070">
      <w:bodyDiv w:val="1"/>
      <w:marLeft w:val="0"/>
      <w:marRight w:val="0"/>
      <w:marTop w:val="0"/>
      <w:marBottom w:val="0"/>
      <w:divBdr>
        <w:top w:val="none" w:sz="0" w:space="0" w:color="auto"/>
        <w:left w:val="none" w:sz="0" w:space="0" w:color="auto"/>
        <w:bottom w:val="none" w:sz="0" w:space="0" w:color="auto"/>
        <w:right w:val="none" w:sz="0" w:space="0" w:color="auto"/>
      </w:divBdr>
    </w:div>
    <w:div w:id="2048065681">
      <w:bodyDiv w:val="1"/>
      <w:marLeft w:val="0"/>
      <w:marRight w:val="0"/>
      <w:marTop w:val="0"/>
      <w:marBottom w:val="0"/>
      <w:divBdr>
        <w:top w:val="none" w:sz="0" w:space="0" w:color="auto"/>
        <w:left w:val="none" w:sz="0" w:space="0" w:color="auto"/>
        <w:bottom w:val="none" w:sz="0" w:space="0" w:color="auto"/>
        <w:right w:val="none" w:sz="0" w:space="0" w:color="auto"/>
      </w:divBdr>
    </w:div>
    <w:div w:id="2048135873">
      <w:bodyDiv w:val="1"/>
      <w:marLeft w:val="0"/>
      <w:marRight w:val="0"/>
      <w:marTop w:val="0"/>
      <w:marBottom w:val="0"/>
      <w:divBdr>
        <w:top w:val="none" w:sz="0" w:space="0" w:color="auto"/>
        <w:left w:val="none" w:sz="0" w:space="0" w:color="auto"/>
        <w:bottom w:val="none" w:sz="0" w:space="0" w:color="auto"/>
        <w:right w:val="none" w:sz="0" w:space="0" w:color="auto"/>
      </w:divBdr>
    </w:div>
    <w:div w:id="2048333257">
      <w:bodyDiv w:val="1"/>
      <w:marLeft w:val="0"/>
      <w:marRight w:val="0"/>
      <w:marTop w:val="0"/>
      <w:marBottom w:val="0"/>
      <w:divBdr>
        <w:top w:val="none" w:sz="0" w:space="0" w:color="auto"/>
        <w:left w:val="none" w:sz="0" w:space="0" w:color="auto"/>
        <w:bottom w:val="none" w:sz="0" w:space="0" w:color="auto"/>
        <w:right w:val="none" w:sz="0" w:space="0" w:color="auto"/>
      </w:divBdr>
    </w:div>
    <w:div w:id="2048480024">
      <w:bodyDiv w:val="1"/>
      <w:marLeft w:val="0"/>
      <w:marRight w:val="0"/>
      <w:marTop w:val="0"/>
      <w:marBottom w:val="0"/>
      <w:divBdr>
        <w:top w:val="none" w:sz="0" w:space="0" w:color="auto"/>
        <w:left w:val="none" w:sz="0" w:space="0" w:color="auto"/>
        <w:bottom w:val="none" w:sz="0" w:space="0" w:color="auto"/>
        <w:right w:val="none" w:sz="0" w:space="0" w:color="auto"/>
      </w:divBdr>
    </w:div>
    <w:div w:id="2048481109">
      <w:bodyDiv w:val="1"/>
      <w:marLeft w:val="0"/>
      <w:marRight w:val="0"/>
      <w:marTop w:val="0"/>
      <w:marBottom w:val="0"/>
      <w:divBdr>
        <w:top w:val="none" w:sz="0" w:space="0" w:color="auto"/>
        <w:left w:val="none" w:sz="0" w:space="0" w:color="auto"/>
        <w:bottom w:val="none" w:sz="0" w:space="0" w:color="auto"/>
        <w:right w:val="none" w:sz="0" w:space="0" w:color="auto"/>
      </w:divBdr>
    </w:div>
    <w:div w:id="2048725051">
      <w:bodyDiv w:val="1"/>
      <w:marLeft w:val="0"/>
      <w:marRight w:val="0"/>
      <w:marTop w:val="0"/>
      <w:marBottom w:val="0"/>
      <w:divBdr>
        <w:top w:val="none" w:sz="0" w:space="0" w:color="auto"/>
        <w:left w:val="none" w:sz="0" w:space="0" w:color="auto"/>
        <w:bottom w:val="none" w:sz="0" w:space="0" w:color="auto"/>
        <w:right w:val="none" w:sz="0" w:space="0" w:color="auto"/>
      </w:divBdr>
    </w:div>
    <w:div w:id="2048942886">
      <w:bodyDiv w:val="1"/>
      <w:marLeft w:val="0"/>
      <w:marRight w:val="0"/>
      <w:marTop w:val="0"/>
      <w:marBottom w:val="0"/>
      <w:divBdr>
        <w:top w:val="none" w:sz="0" w:space="0" w:color="auto"/>
        <w:left w:val="none" w:sz="0" w:space="0" w:color="auto"/>
        <w:bottom w:val="none" w:sz="0" w:space="0" w:color="auto"/>
        <w:right w:val="none" w:sz="0" w:space="0" w:color="auto"/>
      </w:divBdr>
    </w:div>
    <w:div w:id="2050255621">
      <w:bodyDiv w:val="1"/>
      <w:marLeft w:val="0"/>
      <w:marRight w:val="0"/>
      <w:marTop w:val="0"/>
      <w:marBottom w:val="0"/>
      <w:divBdr>
        <w:top w:val="none" w:sz="0" w:space="0" w:color="auto"/>
        <w:left w:val="none" w:sz="0" w:space="0" w:color="auto"/>
        <w:bottom w:val="none" w:sz="0" w:space="0" w:color="auto"/>
        <w:right w:val="none" w:sz="0" w:space="0" w:color="auto"/>
      </w:divBdr>
    </w:div>
    <w:div w:id="2050257572">
      <w:bodyDiv w:val="1"/>
      <w:marLeft w:val="0"/>
      <w:marRight w:val="0"/>
      <w:marTop w:val="0"/>
      <w:marBottom w:val="0"/>
      <w:divBdr>
        <w:top w:val="none" w:sz="0" w:space="0" w:color="auto"/>
        <w:left w:val="none" w:sz="0" w:space="0" w:color="auto"/>
        <w:bottom w:val="none" w:sz="0" w:space="0" w:color="auto"/>
        <w:right w:val="none" w:sz="0" w:space="0" w:color="auto"/>
      </w:divBdr>
    </w:div>
    <w:div w:id="2050260255">
      <w:bodyDiv w:val="1"/>
      <w:marLeft w:val="0"/>
      <w:marRight w:val="0"/>
      <w:marTop w:val="0"/>
      <w:marBottom w:val="0"/>
      <w:divBdr>
        <w:top w:val="none" w:sz="0" w:space="0" w:color="auto"/>
        <w:left w:val="none" w:sz="0" w:space="0" w:color="auto"/>
        <w:bottom w:val="none" w:sz="0" w:space="0" w:color="auto"/>
        <w:right w:val="none" w:sz="0" w:space="0" w:color="auto"/>
      </w:divBdr>
    </w:div>
    <w:div w:id="2050445616">
      <w:bodyDiv w:val="1"/>
      <w:marLeft w:val="0"/>
      <w:marRight w:val="0"/>
      <w:marTop w:val="0"/>
      <w:marBottom w:val="0"/>
      <w:divBdr>
        <w:top w:val="none" w:sz="0" w:space="0" w:color="auto"/>
        <w:left w:val="none" w:sz="0" w:space="0" w:color="auto"/>
        <w:bottom w:val="none" w:sz="0" w:space="0" w:color="auto"/>
        <w:right w:val="none" w:sz="0" w:space="0" w:color="auto"/>
      </w:divBdr>
    </w:div>
    <w:div w:id="2050567267">
      <w:bodyDiv w:val="1"/>
      <w:marLeft w:val="0"/>
      <w:marRight w:val="0"/>
      <w:marTop w:val="0"/>
      <w:marBottom w:val="0"/>
      <w:divBdr>
        <w:top w:val="none" w:sz="0" w:space="0" w:color="auto"/>
        <w:left w:val="none" w:sz="0" w:space="0" w:color="auto"/>
        <w:bottom w:val="none" w:sz="0" w:space="0" w:color="auto"/>
        <w:right w:val="none" w:sz="0" w:space="0" w:color="auto"/>
      </w:divBdr>
    </w:div>
    <w:div w:id="2050643243">
      <w:bodyDiv w:val="1"/>
      <w:marLeft w:val="0"/>
      <w:marRight w:val="0"/>
      <w:marTop w:val="0"/>
      <w:marBottom w:val="0"/>
      <w:divBdr>
        <w:top w:val="none" w:sz="0" w:space="0" w:color="auto"/>
        <w:left w:val="none" w:sz="0" w:space="0" w:color="auto"/>
        <w:bottom w:val="none" w:sz="0" w:space="0" w:color="auto"/>
        <w:right w:val="none" w:sz="0" w:space="0" w:color="auto"/>
      </w:divBdr>
    </w:div>
    <w:div w:id="2050958050">
      <w:bodyDiv w:val="1"/>
      <w:marLeft w:val="0"/>
      <w:marRight w:val="0"/>
      <w:marTop w:val="0"/>
      <w:marBottom w:val="0"/>
      <w:divBdr>
        <w:top w:val="none" w:sz="0" w:space="0" w:color="auto"/>
        <w:left w:val="none" w:sz="0" w:space="0" w:color="auto"/>
        <w:bottom w:val="none" w:sz="0" w:space="0" w:color="auto"/>
        <w:right w:val="none" w:sz="0" w:space="0" w:color="auto"/>
      </w:divBdr>
    </w:div>
    <w:div w:id="2052413547">
      <w:bodyDiv w:val="1"/>
      <w:marLeft w:val="0"/>
      <w:marRight w:val="0"/>
      <w:marTop w:val="0"/>
      <w:marBottom w:val="0"/>
      <w:divBdr>
        <w:top w:val="none" w:sz="0" w:space="0" w:color="auto"/>
        <w:left w:val="none" w:sz="0" w:space="0" w:color="auto"/>
        <w:bottom w:val="none" w:sz="0" w:space="0" w:color="auto"/>
        <w:right w:val="none" w:sz="0" w:space="0" w:color="auto"/>
      </w:divBdr>
    </w:div>
    <w:div w:id="2052654320">
      <w:bodyDiv w:val="1"/>
      <w:marLeft w:val="0"/>
      <w:marRight w:val="0"/>
      <w:marTop w:val="0"/>
      <w:marBottom w:val="0"/>
      <w:divBdr>
        <w:top w:val="none" w:sz="0" w:space="0" w:color="auto"/>
        <w:left w:val="none" w:sz="0" w:space="0" w:color="auto"/>
        <w:bottom w:val="none" w:sz="0" w:space="0" w:color="auto"/>
        <w:right w:val="none" w:sz="0" w:space="0" w:color="auto"/>
      </w:divBdr>
    </w:div>
    <w:div w:id="2052880833">
      <w:bodyDiv w:val="1"/>
      <w:marLeft w:val="0"/>
      <w:marRight w:val="0"/>
      <w:marTop w:val="0"/>
      <w:marBottom w:val="0"/>
      <w:divBdr>
        <w:top w:val="none" w:sz="0" w:space="0" w:color="auto"/>
        <w:left w:val="none" w:sz="0" w:space="0" w:color="auto"/>
        <w:bottom w:val="none" w:sz="0" w:space="0" w:color="auto"/>
        <w:right w:val="none" w:sz="0" w:space="0" w:color="auto"/>
      </w:divBdr>
    </w:div>
    <w:div w:id="2052997822">
      <w:bodyDiv w:val="1"/>
      <w:marLeft w:val="0"/>
      <w:marRight w:val="0"/>
      <w:marTop w:val="0"/>
      <w:marBottom w:val="0"/>
      <w:divBdr>
        <w:top w:val="none" w:sz="0" w:space="0" w:color="auto"/>
        <w:left w:val="none" w:sz="0" w:space="0" w:color="auto"/>
        <w:bottom w:val="none" w:sz="0" w:space="0" w:color="auto"/>
        <w:right w:val="none" w:sz="0" w:space="0" w:color="auto"/>
      </w:divBdr>
    </w:div>
    <w:div w:id="2054110873">
      <w:bodyDiv w:val="1"/>
      <w:marLeft w:val="0"/>
      <w:marRight w:val="0"/>
      <w:marTop w:val="0"/>
      <w:marBottom w:val="0"/>
      <w:divBdr>
        <w:top w:val="none" w:sz="0" w:space="0" w:color="auto"/>
        <w:left w:val="none" w:sz="0" w:space="0" w:color="auto"/>
        <w:bottom w:val="none" w:sz="0" w:space="0" w:color="auto"/>
        <w:right w:val="none" w:sz="0" w:space="0" w:color="auto"/>
      </w:divBdr>
    </w:div>
    <w:div w:id="2055539273">
      <w:bodyDiv w:val="1"/>
      <w:marLeft w:val="0"/>
      <w:marRight w:val="0"/>
      <w:marTop w:val="0"/>
      <w:marBottom w:val="0"/>
      <w:divBdr>
        <w:top w:val="none" w:sz="0" w:space="0" w:color="auto"/>
        <w:left w:val="none" w:sz="0" w:space="0" w:color="auto"/>
        <w:bottom w:val="none" w:sz="0" w:space="0" w:color="auto"/>
        <w:right w:val="none" w:sz="0" w:space="0" w:color="auto"/>
      </w:divBdr>
    </w:div>
    <w:div w:id="2055882560">
      <w:bodyDiv w:val="1"/>
      <w:marLeft w:val="0"/>
      <w:marRight w:val="0"/>
      <w:marTop w:val="0"/>
      <w:marBottom w:val="0"/>
      <w:divBdr>
        <w:top w:val="none" w:sz="0" w:space="0" w:color="auto"/>
        <w:left w:val="none" w:sz="0" w:space="0" w:color="auto"/>
        <w:bottom w:val="none" w:sz="0" w:space="0" w:color="auto"/>
        <w:right w:val="none" w:sz="0" w:space="0" w:color="auto"/>
      </w:divBdr>
    </w:div>
    <w:div w:id="2055888777">
      <w:bodyDiv w:val="1"/>
      <w:marLeft w:val="0"/>
      <w:marRight w:val="0"/>
      <w:marTop w:val="0"/>
      <w:marBottom w:val="0"/>
      <w:divBdr>
        <w:top w:val="none" w:sz="0" w:space="0" w:color="auto"/>
        <w:left w:val="none" w:sz="0" w:space="0" w:color="auto"/>
        <w:bottom w:val="none" w:sz="0" w:space="0" w:color="auto"/>
        <w:right w:val="none" w:sz="0" w:space="0" w:color="auto"/>
      </w:divBdr>
    </w:div>
    <w:div w:id="2055999101">
      <w:bodyDiv w:val="1"/>
      <w:marLeft w:val="0"/>
      <w:marRight w:val="0"/>
      <w:marTop w:val="0"/>
      <w:marBottom w:val="0"/>
      <w:divBdr>
        <w:top w:val="none" w:sz="0" w:space="0" w:color="auto"/>
        <w:left w:val="none" w:sz="0" w:space="0" w:color="auto"/>
        <w:bottom w:val="none" w:sz="0" w:space="0" w:color="auto"/>
        <w:right w:val="none" w:sz="0" w:space="0" w:color="auto"/>
      </w:divBdr>
    </w:div>
    <w:div w:id="2056006163">
      <w:bodyDiv w:val="1"/>
      <w:marLeft w:val="0"/>
      <w:marRight w:val="0"/>
      <w:marTop w:val="0"/>
      <w:marBottom w:val="0"/>
      <w:divBdr>
        <w:top w:val="none" w:sz="0" w:space="0" w:color="auto"/>
        <w:left w:val="none" w:sz="0" w:space="0" w:color="auto"/>
        <w:bottom w:val="none" w:sz="0" w:space="0" w:color="auto"/>
        <w:right w:val="none" w:sz="0" w:space="0" w:color="auto"/>
      </w:divBdr>
    </w:div>
    <w:div w:id="2056153428">
      <w:bodyDiv w:val="1"/>
      <w:marLeft w:val="0"/>
      <w:marRight w:val="0"/>
      <w:marTop w:val="0"/>
      <w:marBottom w:val="0"/>
      <w:divBdr>
        <w:top w:val="none" w:sz="0" w:space="0" w:color="auto"/>
        <w:left w:val="none" w:sz="0" w:space="0" w:color="auto"/>
        <w:bottom w:val="none" w:sz="0" w:space="0" w:color="auto"/>
        <w:right w:val="none" w:sz="0" w:space="0" w:color="auto"/>
      </w:divBdr>
    </w:div>
    <w:div w:id="2056469132">
      <w:bodyDiv w:val="1"/>
      <w:marLeft w:val="0"/>
      <w:marRight w:val="0"/>
      <w:marTop w:val="0"/>
      <w:marBottom w:val="0"/>
      <w:divBdr>
        <w:top w:val="none" w:sz="0" w:space="0" w:color="auto"/>
        <w:left w:val="none" w:sz="0" w:space="0" w:color="auto"/>
        <w:bottom w:val="none" w:sz="0" w:space="0" w:color="auto"/>
        <w:right w:val="none" w:sz="0" w:space="0" w:color="auto"/>
      </w:divBdr>
    </w:div>
    <w:div w:id="2057120695">
      <w:bodyDiv w:val="1"/>
      <w:marLeft w:val="0"/>
      <w:marRight w:val="0"/>
      <w:marTop w:val="0"/>
      <w:marBottom w:val="0"/>
      <w:divBdr>
        <w:top w:val="none" w:sz="0" w:space="0" w:color="auto"/>
        <w:left w:val="none" w:sz="0" w:space="0" w:color="auto"/>
        <w:bottom w:val="none" w:sz="0" w:space="0" w:color="auto"/>
        <w:right w:val="none" w:sz="0" w:space="0" w:color="auto"/>
      </w:divBdr>
    </w:div>
    <w:div w:id="2057267233">
      <w:bodyDiv w:val="1"/>
      <w:marLeft w:val="0"/>
      <w:marRight w:val="0"/>
      <w:marTop w:val="0"/>
      <w:marBottom w:val="0"/>
      <w:divBdr>
        <w:top w:val="none" w:sz="0" w:space="0" w:color="auto"/>
        <w:left w:val="none" w:sz="0" w:space="0" w:color="auto"/>
        <w:bottom w:val="none" w:sz="0" w:space="0" w:color="auto"/>
        <w:right w:val="none" w:sz="0" w:space="0" w:color="auto"/>
      </w:divBdr>
    </w:div>
    <w:div w:id="2057268942">
      <w:bodyDiv w:val="1"/>
      <w:marLeft w:val="0"/>
      <w:marRight w:val="0"/>
      <w:marTop w:val="0"/>
      <w:marBottom w:val="0"/>
      <w:divBdr>
        <w:top w:val="none" w:sz="0" w:space="0" w:color="auto"/>
        <w:left w:val="none" w:sz="0" w:space="0" w:color="auto"/>
        <w:bottom w:val="none" w:sz="0" w:space="0" w:color="auto"/>
        <w:right w:val="none" w:sz="0" w:space="0" w:color="auto"/>
      </w:divBdr>
    </w:div>
    <w:div w:id="2058312784">
      <w:bodyDiv w:val="1"/>
      <w:marLeft w:val="0"/>
      <w:marRight w:val="0"/>
      <w:marTop w:val="0"/>
      <w:marBottom w:val="0"/>
      <w:divBdr>
        <w:top w:val="none" w:sz="0" w:space="0" w:color="auto"/>
        <w:left w:val="none" w:sz="0" w:space="0" w:color="auto"/>
        <w:bottom w:val="none" w:sz="0" w:space="0" w:color="auto"/>
        <w:right w:val="none" w:sz="0" w:space="0" w:color="auto"/>
      </w:divBdr>
    </w:div>
    <w:div w:id="2058428089">
      <w:bodyDiv w:val="1"/>
      <w:marLeft w:val="0"/>
      <w:marRight w:val="0"/>
      <w:marTop w:val="0"/>
      <w:marBottom w:val="0"/>
      <w:divBdr>
        <w:top w:val="none" w:sz="0" w:space="0" w:color="auto"/>
        <w:left w:val="none" w:sz="0" w:space="0" w:color="auto"/>
        <w:bottom w:val="none" w:sz="0" w:space="0" w:color="auto"/>
        <w:right w:val="none" w:sz="0" w:space="0" w:color="auto"/>
      </w:divBdr>
    </w:div>
    <w:div w:id="2058506217">
      <w:bodyDiv w:val="1"/>
      <w:marLeft w:val="0"/>
      <w:marRight w:val="0"/>
      <w:marTop w:val="0"/>
      <w:marBottom w:val="0"/>
      <w:divBdr>
        <w:top w:val="none" w:sz="0" w:space="0" w:color="auto"/>
        <w:left w:val="none" w:sz="0" w:space="0" w:color="auto"/>
        <w:bottom w:val="none" w:sz="0" w:space="0" w:color="auto"/>
        <w:right w:val="none" w:sz="0" w:space="0" w:color="auto"/>
      </w:divBdr>
    </w:div>
    <w:div w:id="2058506285">
      <w:bodyDiv w:val="1"/>
      <w:marLeft w:val="0"/>
      <w:marRight w:val="0"/>
      <w:marTop w:val="0"/>
      <w:marBottom w:val="0"/>
      <w:divBdr>
        <w:top w:val="none" w:sz="0" w:space="0" w:color="auto"/>
        <w:left w:val="none" w:sz="0" w:space="0" w:color="auto"/>
        <w:bottom w:val="none" w:sz="0" w:space="0" w:color="auto"/>
        <w:right w:val="none" w:sz="0" w:space="0" w:color="auto"/>
      </w:divBdr>
    </w:div>
    <w:div w:id="2059741269">
      <w:bodyDiv w:val="1"/>
      <w:marLeft w:val="0"/>
      <w:marRight w:val="0"/>
      <w:marTop w:val="0"/>
      <w:marBottom w:val="0"/>
      <w:divBdr>
        <w:top w:val="none" w:sz="0" w:space="0" w:color="auto"/>
        <w:left w:val="none" w:sz="0" w:space="0" w:color="auto"/>
        <w:bottom w:val="none" w:sz="0" w:space="0" w:color="auto"/>
        <w:right w:val="none" w:sz="0" w:space="0" w:color="auto"/>
      </w:divBdr>
    </w:div>
    <w:div w:id="2060938683">
      <w:bodyDiv w:val="1"/>
      <w:marLeft w:val="0"/>
      <w:marRight w:val="0"/>
      <w:marTop w:val="0"/>
      <w:marBottom w:val="0"/>
      <w:divBdr>
        <w:top w:val="none" w:sz="0" w:space="0" w:color="auto"/>
        <w:left w:val="none" w:sz="0" w:space="0" w:color="auto"/>
        <w:bottom w:val="none" w:sz="0" w:space="0" w:color="auto"/>
        <w:right w:val="none" w:sz="0" w:space="0" w:color="auto"/>
      </w:divBdr>
    </w:div>
    <w:div w:id="2061245931">
      <w:bodyDiv w:val="1"/>
      <w:marLeft w:val="0"/>
      <w:marRight w:val="0"/>
      <w:marTop w:val="0"/>
      <w:marBottom w:val="0"/>
      <w:divBdr>
        <w:top w:val="none" w:sz="0" w:space="0" w:color="auto"/>
        <w:left w:val="none" w:sz="0" w:space="0" w:color="auto"/>
        <w:bottom w:val="none" w:sz="0" w:space="0" w:color="auto"/>
        <w:right w:val="none" w:sz="0" w:space="0" w:color="auto"/>
      </w:divBdr>
    </w:div>
    <w:div w:id="2061325500">
      <w:bodyDiv w:val="1"/>
      <w:marLeft w:val="0"/>
      <w:marRight w:val="0"/>
      <w:marTop w:val="0"/>
      <w:marBottom w:val="0"/>
      <w:divBdr>
        <w:top w:val="none" w:sz="0" w:space="0" w:color="auto"/>
        <w:left w:val="none" w:sz="0" w:space="0" w:color="auto"/>
        <w:bottom w:val="none" w:sz="0" w:space="0" w:color="auto"/>
        <w:right w:val="none" w:sz="0" w:space="0" w:color="auto"/>
      </w:divBdr>
    </w:div>
    <w:div w:id="2061396028">
      <w:bodyDiv w:val="1"/>
      <w:marLeft w:val="0"/>
      <w:marRight w:val="0"/>
      <w:marTop w:val="0"/>
      <w:marBottom w:val="0"/>
      <w:divBdr>
        <w:top w:val="none" w:sz="0" w:space="0" w:color="auto"/>
        <w:left w:val="none" w:sz="0" w:space="0" w:color="auto"/>
        <w:bottom w:val="none" w:sz="0" w:space="0" w:color="auto"/>
        <w:right w:val="none" w:sz="0" w:space="0" w:color="auto"/>
      </w:divBdr>
    </w:div>
    <w:div w:id="2061396418">
      <w:bodyDiv w:val="1"/>
      <w:marLeft w:val="0"/>
      <w:marRight w:val="0"/>
      <w:marTop w:val="0"/>
      <w:marBottom w:val="0"/>
      <w:divBdr>
        <w:top w:val="none" w:sz="0" w:space="0" w:color="auto"/>
        <w:left w:val="none" w:sz="0" w:space="0" w:color="auto"/>
        <w:bottom w:val="none" w:sz="0" w:space="0" w:color="auto"/>
        <w:right w:val="none" w:sz="0" w:space="0" w:color="auto"/>
      </w:divBdr>
    </w:div>
    <w:div w:id="2061896507">
      <w:bodyDiv w:val="1"/>
      <w:marLeft w:val="0"/>
      <w:marRight w:val="0"/>
      <w:marTop w:val="0"/>
      <w:marBottom w:val="0"/>
      <w:divBdr>
        <w:top w:val="none" w:sz="0" w:space="0" w:color="auto"/>
        <w:left w:val="none" w:sz="0" w:space="0" w:color="auto"/>
        <w:bottom w:val="none" w:sz="0" w:space="0" w:color="auto"/>
        <w:right w:val="none" w:sz="0" w:space="0" w:color="auto"/>
      </w:divBdr>
    </w:div>
    <w:div w:id="2061972134">
      <w:bodyDiv w:val="1"/>
      <w:marLeft w:val="0"/>
      <w:marRight w:val="0"/>
      <w:marTop w:val="0"/>
      <w:marBottom w:val="0"/>
      <w:divBdr>
        <w:top w:val="none" w:sz="0" w:space="0" w:color="auto"/>
        <w:left w:val="none" w:sz="0" w:space="0" w:color="auto"/>
        <w:bottom w:val="none" w:sz="0" w:space="0" w:color="auto"/>
        <w:right w:val="none" w:sz="0" w:space="0" w:color="auto"/>
      </w:divBdr>
    </w:div>
    <w:div w:id="2062174460">
      <w:bodyDiv w:val="1"/>
      <w:marLeft w:val="0"/>
      <w:marRight w:val="0"/>
      <w:marTop w:val="0"/>
      <w:marBottom w:val="0"/>
      <w:divBdr>
        <w:top w:val="none" w:sz="0" w:space="0" w:color="auto"/>
        <w:left w:val="none" w:sz="0" w:space="0" w:color="auto"/>
        <w:bottom w:val="none" w:sz="0" w:space="0" w:color="auto"/>
        <w:right w:val="none" w:sz="0" w:space="0" w:color="auto"/>
      </w:divBdr>
    </w:div>
    <w:div w:id="2062556493">
      <w:bodyDiv w:val="1"/>
      <w:marLeft w:val="0"/>
      <w:marRight w:val="0"/>
      <w:marTop w:val="0"/>
      <w:marBottom w:val="0"/>
      <w:divBdr>
        <w:top w:val="none" w:sz="0" w:space="0" w:color="auto"/>
        <w:left w:val="none" w:sz="0" w:space="0" w:color="auto"/>
        <w:bottom w:val="none" w:sz="0" w:space="0" w:color="auto"/>
        <w:right w:val="none" w:sz="0" w:space="0" w:color="auto"/>
      </w:divBdr>
    </w:div>
    <w:div w:id="2062556832">
      <w:bodyDiv w:val="1"/>
      <w:marLeft w:val="0"/>
      <w:marRight w:val="0"/>
      <w:marTop w:val="0"/>
      <w:marBottom w:val="0"/>
      <w:divBdr>
        <w:top w:val="none" w:sz="0" w:space="0" w:color="auto"/>
        <w:left w:val="none" w:sz="0" w:space="0" w:color="auto"/>
        <w:bottom w:val="none" w:sz="0" w:space="0" w:color="auto"/>
        <w:right w:val="none" w:sz="0" w:space="0" w:color="auto"/>
      </w:divBdr>
    </w:div>
    <w:div w:id="2063677594">
      <w:bodyDiv w:val="1"/>
      <w:marLeft w:val="0"/>
      <w:marRight w:val="0"/>
      <w:marTop w:val="0"/>
      <w:marBottom w:val="0"/>
      <w:divBdr>
        <w:top w:val="none" w:sz="0" w:space="0" w:color="auto"/>
        <w:left w:val="none" w:sz="0" w:space="0" w:color="auto"/>
        <w:bottom w:val="none" w:sz="0" w:space="0" w:color="auto"/>
        <w:right w:val="none" w:sz="0" w:space="0" w:color="auto"/>
      </w:divBdr>
    </w:div>
    <w:div w:id="2064332010">
      <w:bodyDiv w:val="1"/>
      <w:marLeft w:val="0"/>
      <w:marRight w:val="0"/>
      <w:marTop w:val="0"/>
      <w:marBottom w:val="0"/>
      <w:divBdr>
        <w:top w:val="none" w:sz="0" w:space="0" w:color="auto"/>
        <w:left w:val="none" w:sz="0" w:space="0" w:color="auto"/>
        <w:bottom w:val="none" w:sz="0" w:space="0" w:color="auto"/>
        <w:right w:val="none" w:sz="0" w:space="0" w:color="auto"/>
      </w:divBdr>
    </w:div>
    <w:div w:id="2064408686">
      <w:bodyDiv w:val="1"/>
      <w:marLeft w:val="0"/>
      <w:marRight w:val="0"/>
      <w:marTop w:val="0"/>
      <w:marBottom w:val="0"/>
      <w:divBdr>
        <w:top w:val="none" w:sz="0" w:space="0" w:color="auto"/>
        <w:left w:val="none" w:sz="0" w:space="0" w:color="auto"/>
        <w:bottom w:val="none" w:sz="0" w:space="0" w:color="auto"/>
        <w:right w:val="none" w:sz="0" w:space="0" w:color="auto"/>
      </w:divBdr>
    </w:div>
    <w:div w:id="2064939486">
      <w:bodyDiv w:val="1"/>
      <w:marLeft w:val="0"/>
      <w:marRight w:val="0"/>
      <w:marTop w:val="0"/>
      <w:marBottom w:val="0"/>
      <w:divBdr>
        <w:top w:val="none" w:sz="0" w:space="0" w:color="auto"/>
        <w:left w:val="none" w:sz="0" w:space="0" w:color="auto"/>
        <w:bottom w:val="none" w:sz="0" w:space="0" w:color="auto"/>
        <w:right w:val="none" w:sz="0" w:space="0" w:color="auto"/>
      </w:divBdr>
    </w:div>
    <w:div w:id="2064940505">
      <w:bodyDiv w:val="1"/>
      <w:marLeft w:val="0"/>
      <w:marRight w:val="0"/>
      <w:marTop w:val="0"/>
      <w:marBottom w:val="0"/>
      <w:divBdr>
        <w:top w:val="none" w:sz="0" w:space="0" w:color="auto"/>
        <w:left w:val="none" w:sz="0" w:space="0" w:color="auto"/>
        <w:bottom w:val="none" w:sz="0" w:space="0" w:color="auto"/>
        <w:right w:val="none" w:sz="0" w:space="0" w:color="auto"/>
      </w:divBdr>
    </w:div>
    <w:div w:id="2065255424">
      <w:bodyDiv w:val="1"/>
      <w:marLeft w:val="0"/>
      <w:marRight w:val="0"/>
      <w:marTop w:val="0"/>
      <w:marBottom w:val="0"/>
      <w:divBdr>
        <w:top w:val="none" w:sz="0" w:space="0" w:color="auto"/>
        <w:left w:val="none" w:sz="0" w:space="0" w:color="auto"/>
        <w:bottom w:val="none" w:sz="0" w:space="0" w:color="auto"/>
        <w:right w:val="none" w:sz="0" w:space="0" w:color="auto"/>
      </w:divBdr>
    </w:div>
    <w:div w:id="2065442595">
      <w:bodyDiv w:val="1"/>
      <w:marLeft w:val="0"/>
      <w:marRight w:val="0"/>
      <w:marTop w:val="0"/>
      <w:marBottom w:val="0"/>
      <w:divBdr>
        <w:top w:val="none" w:sz="0" w:space="0" w:color="auto"/>
        <w:left w:val="none" w:sz="0" w:space="0" w:color="auto"/>
        <w:bottom w:val="none" w:sz="0" w:space="0" w:color="auto"/>
        <w:right w:val="none" w:sz="0" w:space="0" w:color="auto"/>
      </w:divBdr>
    </w:div>
    <w:div w:id="2065761919">
      <w:bodyDiv w:val="1"/>
      <w:marLeft w:val="0"/>
      <w:marRight w:val="0"/>
      <w:marTop w:val="0"/>
      <w:marBottom w:val="0"/>
      <w:divBdr>
        <w:top w:val="none" w:sz="0" w:space="0" w:color="auto"/>
        <w:left w:val="none" w:sz="0" w:space="0" w:color="auto"/>
        <w:bottom w:val="none" w:sz="0" w:space="0" w:color="auto"/>
        <w:right w:val="none" w:sz="0" w:space="0" w:color="auto"/>
      </w:divBdr>
    </w:div>
    <w:div w:id="2066447128">
      <w:bodyDiv w:val="1"/>
      <w:marLeft w:val="0"/>
      <w:marRight w:val="0"/>
      <w:marTop w:val="0"/>
      <w:marBottom w:val="0"/>
      <w:divBdr>
        <w:top w:val="none" w:sz="0" w:space="0" w:color="auto"/>
        <w:left w:val="none" w:sz="0" w:space="0" w:color="auto"/>
        <w:bottom w:val="none" w:sz="0" w:space="0" w:color="auto"/>
        <w:right w:val="none" w:sz="0" w:space="0" w:color="auto"/>
      </w:divBdr>
    </w:div>
    <w:div w:id="2066948031">
      <w:bodyDiv w:val="1"/>
      <w:marLeft w:val="0"/>
      <w:marRight w:val="0"/>
      <w:marTop w:val="0"/>
      <w:marBottom w:val="0"/>
      <w:divBdr>
        <w:top w:val="none" w:sz="0" w:space="0" w:color="auto"/>
        <w:left w:val="none" w:sz="0" w:space="0" w:color="auto"/>
        <w:bottom w:val="none" w:sz="0" w:space="0" w:color="auto"/>
        <w:right w:val="none" w:sz="0" w:space="0" w:color="auto"/>
      </w:divBdr>
    </w:div>
    <w:div w:id="2067534068">
      <w:bodyDiv w:val="1"/>
      <w:marLeft w:val="0"/>
      <w:marRight w:val="0"/>
      <w:marTop w:val="0"/>
      <w:marBottom w:val="0"/>
      <w:divBdr>
        <w:top w:val="none" w:sz="0" w:space="0" w:color="auto"/>
        <w:left w:val="none" w:sz="0" w:space="0" w:color="auto"/>
        <w:bottom w:val="none" w:sz="0" w:space="0" w:color="auto"/>
        <w:right w:val="none" w:sz="0" w:space="0" w:color="auto"/>
      </w:divBdr>
    </w:div>
    <w:div w:id="2068721145">
      <w:bodyDiv w:val="1"/>
      <w:marLeft w:val="0"/>
      <w:marRight w:val="0"/>
      <w:marTop w:val="0"/>
      <w:marBottom w:val="0"/>
      <w:divBdr>
        <w:top w:val="none" w:sz="0" w:space="0" w:color="auto"/>
        <w:left w:val="none" w:sz="0" w:space="0" w:color="auto"/>
        <w:bottom w:val="none" w:sz="0" w:space="0" w:color="auto"/>
        <w:right w:val="none" w:sz="0" w:space="0" w:color="auto"/>
      </w:divBdr>
    </w:div>
    <w:div w:id="2069306207">
      <w:bodyDiv w:val="1"/>
      <w:marLeft w:val="0"/>
      <w:marRight w:val="0"/>
      <w:marTop w:val="0"/>
      <w:marBottom w:val="0"/>
      <w:divBdr>
        <w:top w:val="none" w:sz="0" w:space="0" w:color="auto"/>
        <w:left w:val="none" w:sz="0" w:space="0" w:color="auto"/>
        <w:bottom w:val="none" w:sz="0" w:space="0" w:color="auto"/>
        <w:right w:val="none" w:sz="0" w:space="0" w:color="auto"/>
      </w:divBdr>
    </w:div>
    <w:div w:id="2070297060">
      <w:bodyDiv w:val="1"/>
      <w:marLeft w:val="0"/>
      <w:marRight w:val="0"/>
      <w:marTop w:val="0"/>
      <w:marBottom w:val="0"/>
      <w:divBdr>
        <w:top w:val="none" w:sz="0" w:space="0" w:color="auto"/>
        <w:left w:val="none" w:sz="0" w:space="0" w:color="auto"/>
        <w:bottom w:val="none" w:sz="0" w:space="0" w:color="auto"/>
        <w:right w:val="none" w:sz="0" w:space="0" w:color="auto"/>
      </w:divBdr>
    </w:div>
    <w:div w:id="2071348188">
      <w:bodyDiv w:val="1"/>
      <w:marLeft w:val="0"/>
      <w:marRight w:val="0"/>
      <w:marTop w:val="0"/>
      <w:marBottom w:val="0"/>
      <w:divBdr>
        <w:top w:val="none" w:sz="0" w:space="0" w:color="auto"/>
        <w:left w:val="none" w:sz="0" w:space="0" w:color="auto"/>
        <w:bottom w:val="none" w:sz="0" w:space="0" w:color="auto"/>
        <w:right w:val="none" w:sz="0" w:space="0" w:color="auto"/>
      </w:divBdr>
    </w:div>
    <w:div w:id="2071539251">
      <w:bodyDiv w:val="1"/>
      <w:marLeft w:val="0"/>
      <w:marRight w:val="0"/>
      <w:marTop w:val="0"/>
      <w:marBottom w:val="0"/>
      <w:divBdr>
        <w:top w:val="none" w:sz="0" w:space="0" w:color="auto"/>
        <w:left w:val="none" w:sz="0" w:space="0" w:color="auto"/>
        <w:bottom w:val="none" w:sz="0" w:space="0" w:color="auto"/>
        <w:right w:val="none" w:sz="0" w:space="0" w:color="auto"/>
      </w:divBdr>
    </w:div>
    <w:div w:id="2071686703">
      <w:bodyDiv w:val="1"/>
      <w:marLeft w:val="0"/>
      <w:marRight w:val="0"/>
      <w:marTop w:val="0"/>
      <w:marBottom w:val="0"/>
      <w:divBdr>
        <w:top w:val="none" w:sz="0" w:space="0" w:color="auto"/>
        <w:left w:val="none" w:sz="0" w:space="0" w:color="auto"/>
        <w:bottom w:val="none" w:sz="0" w:space="0" w:color="auto"/>
        <w:right w:val="none" w:sz="0" w:space="0" w:color="auto"/>
      </w:divBdr>
    </w:div>
    <w:div w:id="2071687321">
      <w:bodyDiv w:val="1"/>
      <w:marLeft w:val="0"/>
      <w:marRight w:val="0"/>
      <w:marTop w:val="0"/>
      <w:marBottom w:val="0"/>
      <w:divBdr>
        <w:top w:val="none" w:sz="0" w:space="0" w:color="auto"/>
        <w:left w:val="none" w:sz="0" w:space="0" w:color="auto"/>
        <w:bottom w:val="none" w:sz="0" w:space="0" w:color="auto"/>
        <w:right w:val="none" w:sz="0" w:space="0" w:color="auto"/>
      </w:divBdr>
    </w:div>
    <w:div w:id="2072728550">
      <w:bodyDiv w:val="1"/>
      <w:marLeft w:val="0"/>
      <w:marRight w:val="0"/>
      <w:marTop w:val="0"/>
      <w:marBottom w:val="0"/>
      <w:divBdr>
        <w:top w:val="none" w:sz="0" w:space="0" w:color="auto"/>
        <w:left w:val="none" w:sz="0" w:space="0" w:color="auto"/>
        <w:bottom w:val="none" w:sz="0" w:space="0" w:color="auto"/>
        <w:right w:val="none" w:sz="0" w:space="0" w:color="auto"/>
      </w:divBdr>
    </w:div>
    <w:div w:id="2072996181">
      <w:bodyDiv w:val="1"/>
      <w:marLeft w:val="0"/>
      <w:marRight w:val="0"/>
      <w:marTop w:val="0"/>
      <w:marBottom w:val="0"/>
      <w:divBdr>
        <w:top w:val="none" w:sz="0" w:space="0" w:color="auto"/>
        <w:left w:val="none" w:sz="0" w:space="0" w:color="auto"/>
        <w:bottom w:val="none" w:sz="0" w:space="0" w:color="auto"/>
        <w:right w:val="none" w:sz="0" w:space="0" w:color="auto"/>
      </w:divBdr>
    </w:div>
    <w:div w:id="2073305898">
      <w:bodyDiv w:val="1"/>
      <w:marLeft w:val="0"/>
      <w:marRight w:val="0"/>
      <w:marTop w:val="0"/>
      <w:marBottom w:val="0"/>
      <w:divBdr>
        <w:top w:val="none" w:sz="0" w:space="0" w:color="auto"/>
        <w:left w:val="none" w:sz="0" w:space="0" w:color="auto"/>
        <w:bottom w:val="none" w:sz="0" w:space="0" w:color="auto"/>
        <w:right w:val="none" w:sz="0" w:space="0" w:color="auto"/>
      </w:divBdr>
    </w:div>
    <w:div w:id="2074161273">
      <w:bodyDiv w:val="1"/>
      <w:marLeft w:val="0"/>
      <w:marRight w:val="0"/>
      <w:marTop w:val="0"/>
      <w:marBottom w:val="0"/>
      <w:divBdr>
        <w:top w:val="none" w:sz="0" w:space="0" w:color="auto"/>
        <w:left w:val="none" w:sz="0" w:space="0" w:color="auto"/>
        <w:bottom w:val="none" w:sz="0" w:space="0" w:color="auto"/>
        <w:right w:val="none" w:sz="0" w:space="0" w:color="auto"/>
      </w:divBdr>
    </w:div>
    <w:div w:id="2075007691">
      <w:bodyDiv w:val="1"/>
      <w:marLeft w:val="0"/>
      <w:marRight w:val="0"/>
      <w:marTop w:val="0"/>
      <w:marBottom w:val="0"/>
      <w:divBdr>
        <w:top w:val="none" w:sz="0" w:space="0" w:color="auto"/>
        <w:left w:val="none" w:sz="0" w:space="0" w:color="auto"/>
        <w:bottom w:val="none" w:sz="0" w:space="0" w:color="auto"/>
        <w:right w:val="none" w:sz="0" w:space="0" w:color="auto"/>
      </w:divBdr>
    </w:div>
    <w:div w:id="2075157031">
      <w:bodyDiv w:val="1"/>
      <w:marLeft w:val="0"/>
      <w:marRight w:val="0"/>
      <w:marTop w:val="0"/>
      <w:marBottom w:val="0"/>
      <w:divBdr>
        <w:top w:val="none" w:sz="0" w:space="0" w:color="auto"/>
        <w:left w:val="none" w:sz="0" w:space="0" w:color="auto"/>
        <w:bottom w:val="none" w:sz="0" w:space="0" w:color="auto"/>
        <w:right w:val="none" w:sz="0" w:space="0" w:color="auto"/>
      </w:divBdr>
    </w:div>
    <w:div w:id="2075424225">
      <w:bodyDiv w:val="1"/>
      <w:marLeft w:val="0"/>
      <w:marRight w:val="0"/>
      <w:marTop w:val="0"/>
      <w:marBottom w:val="0"/>
      <w:divBdr>
        <w:top w:val="none" w:sz="0" w:space="0" w:color="auto"/>
        <w:left w:val="none" w:sz="0" w:space="0" w:color="auto"/>
        <w:bottom w:val="none" w:sz="0" w:space="0" w:color="auto"/>
        <w:right w:val="none" w:sz="0" w:space="0" w:color="auto"/>
      </w:divBdr>
    </w:div>
    <w:div w:id="2076658940">
      <w:bodyDiv w:val="1"/>
      <w:marLeft w:val="0"/>
      <w:marRight w:val="0"/>
      <w:marTop w:val="0"/>
      <w:marBottom w:val="0"/>
      <w:divBdr>
        <w:top w:val="none" w:sz="0" w:space="0" w:color="auto"/>
        <w:left w:val="none" w:sz="0" w:space="0" w:color="auto"/>
        <w:bottom w:val="none" w:sz="0" w:space="0" w:color="auto"/>
        <w:right w:val="none" w:sz="0" w:space="0" w:color="auto"/>
      </w:divBdr>
    </w:div>
    <w:div w:id="2076924695">
      <w:bodyDiv w:val="1"/>
      <w:marLeft w:val="0"/>
      <w:marRight w:val="0"/>
      <w:marTop w:val="0"/>
      <w:marBottom w:val="0"/>
      <w:divBdr>
        <w:top w:val="none" w:sz="0" w:space="0" w:color="auto"/>
        <w:left w:val="none" w:sz="0" w:space="0" w:color="auto"/>
        <w:bottom w:val="none" w:sz="0" w:space="0" w:color="auto"/>
        <w:right w:val="none" w:sz="0" w:space="0" w:color="auto"/>
      </w:divBdr>
    </w:div>
    <w:div w:id="2077049606">
      <w:bodyDiv w:val="1"/>
      <w:marLeft w:val="0"/>
      <w:marRight w:val="0"/>
      <w:marTop w:val="0"/>
      <w:marBottom w:val="0"/>
      <w:divBdr>
        <w:top w:val="none" w:sz="0" w:space="0" w:color="auto"/>
        <w:left w:val="none" w:sz="0" w:space="0" w:color="auto"/>
        <w:bottom w:val="none" w:sz="0" w:space="0" w:color="auto"/>
        <w:right w:val="none" w:sz="0" w:space="0" w:color="auto"/>
      </w:divBdr>
    </w:div>
    <w:div w:id="2077507118">
      <w:bodyDiv w:val="1"/>
      <w:marLeft w:val="0"/>
      <w:marRight w:val="0"/>
      <w:marTop w:val="0"/>
      <w:marBottom w:val="0"/>
      <w:divBdr>
        <w:top w:val="none" w:sz="0" w:space="0" w:color="auto"/>
        <w:left w:val="none" w:sz="0" w:space="0" w:color="auto"/>
        <w:bottom w:val="none" w:sz="0" w:space="0" w:color="auto"/>
        <w:right w:val="none" w:sz="0" w:space="0" w:color="auto"/>
      </w:divBdr>
    </w:div>
    <w:div w:id="2077586361">
      <w:bodyDiv w:val="1"/>
      <w:marLeft w:val="0"/>
      <w:marRight w:val="0"/>
      <w:marTop w:val="0"/>
      <w:marBottom w:val="0"/>
      <w:divBdr>
        <w:top w:val="none" w:sz="0" w:space="0" w:color="auto"/>
        <w:left w:val="none" w:sz="0" w:space="0" w:color="auto"/>
        <w:bottom w:val="none" w:sz="0" w:space="0" w:color="auto"/>
        <w:right w:val="none" w:sz="0" w:space="0" w:color="auto"/>
      </w:divBdr>
    </w:div>
    <w:div w:id="2077629169">
      <w:bodyDiv w:val="1"/>
      <w:marLeft w:val="0"/>
      <w:marRight w:val="0"/>
      <w:marTop w:val="0"/>
      <w:marBottom w:val="0"/>
      <w:divBdr>
        <w:top w:val="none" w:sz="0" w:space="0" w:color="auto"/>
        <w:left w:val="none" w:sz="0" w:space="0" w:color="auto"/>
        <w:bottom w:val="none" w:sz="0" w:space="0" w:color="auto"/>
        <w:right w:val="none" w:sz="0" w:space="0" w:color="auto"/>
      </w:divBdr>
    </w:div>
    <w:div w:id="2077774286">
      <w:bodyDiv w:val="1"/>
      <w:marLeft w:val="0"/>
      <w:marRight w:val="0"/>
      <w:marTop w:val="0"/>
      <w:marBottom w:val="0"/>
      <w:divBdr>
        <w:top w:val="none" w:sz="0" w:space="0" w:color="auto"/>
        <w:left w:val="none" w:sz="0" w:space="0" w:color="auto"/>
        <w:bottom w:val="none" w:sz="0" w:space="0" w:color="auto"/>
        <w:right w:val="none" w:sz="0" w:space="0" w:color="auto"/>
      </w:divBdr>
    </w:div>
    <w:div w:id="2078089293">
      <w:bodyDiv w:val="1"/>
      <w:marLeft w:val="0"/>
      <w:marRight w:val="0"/>
      <w:marTop w:val="0"/>
      <w:marBottom w:val="0"/>
      <w:divBdr>
        <w:top w:val="none" w:sz="0" w:space="0" w:color="auto"/>
        <w:left w:val="none" w:sz="0" w:space="0" w:color="auto"/>
        <w:bottom w:val="none" w:sz="0" w:space="0" w:color="auto"/>
        <w:right w:val="none" w:sz="0" w:space="0" w:color="auto"/>
      </w:divBdr>
    </w:div>
    <w:div w:id="2078474812">
      <w:bodyDiv w:val="1"/>
      <w:marLeft w:val="0"/>
      <w:marRight w:val="0"/>
      <w:marTop w:val="0"/>
      <w:marBottom w:val="0"/>
      <w:divBdr>
        <w:top w:val="none" w:sz="0" w:space="0" w:color="auto"/>
        <w:left w:val="none" w:sz="0" w:space="0" w:color="auto"/>
        <w:bottom w:val="none" w:sz="0" w:space="0" w:color="auto"/>
        <w:right w:val="none" w:sz="0" w:space="0" w:color="auto"/>
      </w:divBdr>
    </w:div>
    <w:div w:id="2078504741">
      <w:bodyDiv w:val="1"/>
      <w:marLeft w:val="0"/>
      <w:marRight w:val="0"/>
      <w:marTop w:val="0"/>
      <w:marBottom w:val="0"/>
      <w:divBdr>
        <w:top w:val="none" w:sz="0" w:space="0" w:color="auto"/>
        <w:left w:val="none" w:sz="0" w:space="0" w:color="auto"/>
        <w:bottom w:val="none" w:sz="0" w:space="0" w:color="auto"/>
        <w:right w:val="none" w:sz="0" w:space="0" w:color="auto"/>
      </w:divBdr>
    </w:div>
    <w:div w:id="2078936810">
      <w:bodyDiv w:val="1"/>
      <w:marLeft w:val="0"/>
      <w:marRight w:val="0"/>
      <w:marTop w:val="0"/>
      <w:marBottom w:val="0"/>
      <w:divBdr>
        <w:top w:val="none" w:sz="0" w:space="0" w:color="auto"/>
        <w:left w:val="none" w:sz="0" w:space="0" w:color="auto"/>
        <w:bottom w:val="none" w:sz="0" w:space="0" w:color="auto"/>
        <w:right w:val="none" w:sz="0" w:space="0" w:color="auto"/>
      </w:divBdr>
    </w:div>
    <w:div w:id="2079130948">
      <w:bodyDiv w:val="1"/>
      <w:marLeft w:val="0"/>
      <w:marRight w:val="0"/>
      <w:marTop w:val="0"/>
      <w:marBottom w:val="0"/>
      <w:divBdr>
        <w:top w:val="none" w:sz="0" w:space="0" w:color="auto"/>
        <w:left w:val="none" w:sz="0" w:space="0" w:color="auto"/>
        <w:bottom w:val="none" w:sz="0" w:space="0" w:color="auto"/>
        <w:right w:val="none" w:sz="0" w:space="0" w:color="auto"/>
      </w:divBdr>
    </w:div>
    <w:div w:id="2079135285">
      <w:bodyDiv w:val="1"/>
      <w:marLeft w:val="0"/>
      <w:marRight w:val="0"/>
      <w:marTop w:val="0"/>
      <w:marBottom w:val="0"/>
      <w:divBdr>
        <w:top w:val="none" w:sz="0" w:space="0" w:color="auto"/>
        <w:left w:val="none" w:sz="0" w:space="0" w:color="auto"/>
        <w:bottom w:val="none" w:sz="0" w:space="0" w:color="auto"/>
        <w:right w:val="none" w:sz="0" w:space="0" w:color="auto"/>
      </w:divBdr>
    </w:div>
    <w:div w:id="2079982017">
      <w:bodyDiv w:val="1"/>
      <w:marLeft w:val="0"/>
      <w:marRight w:val="0"/>
      <w:marTop w:val="0"/>
      <w:marBottom w:val="0"/>
      <w:divBdr>
        <w:top w:val="none" w:sz="0" w:space="0" w:color="auto"/>
        <w:left w:val="none" w:sz="0" w:space="0" w:color="auto"/>
        <w:bottom w:val="none" w:sz="0" w:space="0" w:color="auto"/>
        <w:right w:val="none" w:sz="0" w:space="0" w:color="auto"/>
      </w:divBdr>
    </w:div>
    <w:div w:id="2080009567">
      <w:bodyDiv w:val="1"/>
      <w:marLeft w:val="0"/>
      <w:marRight w:val="0"/>
      <w:marTop w:val="0"/>
      <w:marBottom w:val="0"/>
      <w:divBdr>
        <w:top w:val="none" w:sz="0" w:space="0" w:color="auto"/>
        <w:left w:val="none" w:sz="0" w:space="0" w:color="auto"/>
        <w:bottom w:val="none" w:sz="0" w:space="0" w:color="auto"/>
        <w:right w:val="none" w:sz="0" w:space="0" w:color="auto"/>
      </w:divBdr>
    </w:div>
    <w:div w:id="2082868807">
      <w:bodyDiv w:val="1"/>
      <w:marLeft w:val="0"/>
      <w:marRight w:val="0"/>
      <w:marTop w:val="0"/>
      <w:marBottom w:val="0"/>
      <w:divBdr>
        <w:top w:val="none" w:sz="0" w:space="0" w:color="auto"/>
        <w:left w:val="none" w:sz="0" w:space="0" w:color="auto"/>
        <w:bottom w:val="none" w:sz="0" w:space="0" w:color="auto"/>
        <w:right w:val="none" w:sz="0" w:space="0" w:color="auto"/>
      </w:divBdr>
    </w:div>
    <w:div w:id="2083066708">
      <w:bodyDiv w:val="1"/>
      <w:marLeft w:val="0"/>
      <w:marRight w:val="0"/>
      <w:marTop w:val="0"/>
      <w:marBottom w:val="0"/>
      <w:divBdr>
        <w:top w:val="none" w:sz="0" w:space="0" w:color="auto"/>
        <w:left w:val="none" w:sz="0" w:space="0" w:color="auto"/>
        <w:bottom w:val="none" w:sz="0" w:space="0" w:color="auto"/>
        <w:right w:val="none" w:sz="0" w:space="0" w:color="auto"/>
      </w:divBdr>
    </w:div>
    <w:div w:id="2083139566">
      <w:bodyDiv w:val="1"/>
      <w:marLeft w:val="0"/>
      <w:marRight w:val="0"/>
      <w:marTop w:val="0"/>
      <w:marBottom w:val="0"/>
      <w:divBdr>
        <w:top w:val="none" w:sz="0" w:space="0" w:color="auto"/>
        <w:left w:val="none" w:sz="0" w:space="0" w:color="auto"/>
        <w:bottom w:val="none" w:sz="0" w:space="0" w:color="auto"/>
        <w:right w:val="none" w:sz="0" w:space="0" w:color="auto"/>
      </w:divBdr>
    </w:div>
    <w:div w:id="2083402364">
      <w:bodyDiv w:val="1"/>
      <w:marLeft w:val="0"/>
      <w:marRight w:val="0"/>
      <w:marTop w:val="0"/>
      <w:marBottom w:val="0"/>
      <w:divBdr>
        <w:top w:val="none" w:sz="0" w:space="0" w:color="auto"/>
        <w:left w:val="none" w:sz="0" w:space="0" w:color="auto"/>
        <w:bottom w:val="none" w:sz="0" w:space="0" w:color="auto"/>
        <w:right w:val="none" w:sz="0" w:space="0" w:color="auto"/>
      </w:divBdr>
    </w:div>
    <w:div w:id="2083672317">
      <w:bodyDiv w:val="1"/>
      <w:marLeft w:val="0"/>
      <w:marRight w:val="0"/>
      <w:marTop w:val="0"/>
      <w:marBottom w:val="0"/>
      <w:divBdr>
        <w:top w:val="none" w:sz="0" w:space="0" w:color="auto"/>
        <w:left w:val="none" w:sz="0" w:space="0" w:color="auto"/>
        <w:bottom w:val="none" w:sz="0" w:space="0" w:color="auto"/>
        <w:right w:val="none" w:sz="0" w:space="0" w:color="auto"/>
      </w:divBdr>
    </w:div>
    <w:div w:id="2084444336">
      <w:bodyDiv w:val="1"/>
      <w:marLeft w:val="0"/>
      <w:marRight w:val="0"/>
      <w:marTop w:val="0"/>
      <w:marBottom w:val="0"/>
      <w:divBdr>
        <w:top w:val="none" w:sz="0" w:space="0" w:color="auto"/>
        <w:left w:val="none" w:sz="0" w:space="0" w:color="auto"/>
        <w:bottom w:val="none" w:sz="0" w:space="0" w:color="auto"/>
        <w:right w:val="none" w:sz="0" w:space="0" w:color="auto"/>
      </w:divBdr>
    </w:div>
    <w:div w:id="2084715554">
      <w:bodyDiv w:val="1"/>
      <w:marLeft w:val="0"/>
      <w:marRight w:val="0"/>
      <w:marTop w:val="0"/>
      <w:marBottom w:val="0"/>
      <w:divBdr>
        <w:top w:val="none" w:sz="0" w:space="0" w:color="auto"/>
        <w:left w:val="none" w:sz="0" w:space="0" w:color="auto"/>
        <w:bottom w:val="none" w:sz="0" w:space="0" w:color="auto"/>
        <w:right w:val="none" w:sz="0" w:space="0" w:color="auto"/>
      </w:divBdr>
    </w:div>
    <w:div w:id="2084719200">
      <w:bodyDiv w:val="1"/>
      <w:marLeft w:val="0"/>
      <w:marRight w:val="0"/>
      <w:marTop w:val="0"/>
      <w:marBottom w:val="0"/>
      <w:divBdr>
        <w:top w:val="none" w:sz="0" w:space="0" w:color="auto"/>
        <w:left w:val="none" w:sz="0" w:space="0" w:color="auto"/>
        <w:bottom w:val="none" w:sz="0" w:space="0" w:color="auto"/>
        <w:right w:val="none" w:sz="0" w:space="0" w:color="auto"/>
      </w:divBdr>
    </w:div>
    <w:div w:id="2085106601">
      <w:bodyDiv w:val="1"/>
      <w:marLeft w:val="0"/>
      <w:marRight w:val="0"/>
      <w:marTop w:val="0"/>
      <w:marBottom w:val="0"/>
      <w:divBdr>
        <w:top w:val="none" w:sz="0" w:space="0" w:color="auto"/>
        <w:left w:val="none" w:sz="0" w:space="0" w:color="auto"/>
        <w:bottom w:val="none" w:sz="0" w:space="0" w:color="auto"/>
        <w:right w:val="none" w:sz="0" w:space="0" w:color="auto"/>
      </w:divBdr>
    </w:div>
    <w:div w:id="2085488247">
      <w:bodyDiv w:val="1"/>
      <w:marLeft w:val="0"/>
      <w:marRight w:val="0"/>
      <w:marTop w:val="0"/>
      <w:marBottom w:val="0"/>
      <w:divBdr>
        <w:top w:val="none" w:sz="0" w:space="0" w:color="auto"/>
        <w:left w:val="none" w:sz="0" w:space="0" w:color="auto"/>
        <w:bottom w:val="none" w:sz="0" w:space="0" w:color="auto"/>
        <w:right w:val="none" w:sz="0" w:space="0" w:color="auto"/>
      </w:divBdr>
    </w:div>
    <w:div w:id="2086146550">
      <w:bodyDiv w:val="1"/>
      <w:marLeft w:val="0"/>
      <w:marRight w:val="0"/>
      <w:marTop w:val="0"/>
      <w:marBottom w:val="0"/>
      <w:divBdr>
        <w:top w:val="none" w:sz="0" w:space="0" w:color="auto"/>
        <w:left w:val="none" w:sz="0" w:space="0" w:color="auto"/>
        <w:bottom w:val="none" w:sz="0" w:space="0" w:color="auto"/>
        <w:right w:val="none" w:sz="0" w:space="0" w:color="auto"/>
      </w:divBdr>
    </w:div>
    <w:div w:id="2087074226">
      <w:bodyDiv w:val="1"/>
      <w:marLeft w:val="0"/>
      <w:marRight w:val="0"/>
      <w:marTop w:val="0"/>
      <w:marBottom w:val="0"/>
      <w:divBdr>
        <w:top w:val="none" w:sz="0" w:space="0" w:color="auto"/>
        <w:left w:val="none" w:sz="0" w:space="0" w:color="auto"/>
        <w:bottom w:val="none" w:sz="0" w:space="0" w:color="auto"/>
        <w:right w:val="none" w:sz="0" w:space="0" w:color="auto"/>
      </w:divBdr>
    </w:div>
    <w:div w:id="2087724366">
      <w:bodyDiv w:val="1"/>
      <w:marLeft w:val="0"/>
      <w:marRight w:val="0"/>
      <w:marTop w:val="0"/>
      <w:marBottom w:val="0"/>
      <w:divBdr>
        <w:top w:val="none" w:sz="0" w:space="0" w:color="auto"/>
        <w:left w:val="none" w:sz="0" w:space="0" w:color="auto"/>
        <w:bottom w:val="none" w:sz="0" w:space="0" w:color="auto"/>
        <w:right w:val="none" w:sz="0" w:space="0" w:color="auto"/>
      </w:divBdr>
    </w:div>
    <w:div w:id="2087922643">
      <w:bodyDiv w:val="1"/>
      <w:marLeft w:val="0"/>
      <w:marRight w:val="0"/>
      <w:marTop w:val="0"/>
      <w:marBottom w:val="0"/>
      <w:divBdr>
        <w:top w:val="none" w:sz="0" w:space="0" w:color="auto"/>
        <w:left w:val="none" w:sz="0" w:space="0" w:color="auto"/>
        <w:bottom w:val="none" w:sz="0" w:space="0" w:color="auto"/>
        <w:right w:val="none" w:sz="0" w:space="0" w:color="auto"/>
      </w:divBdr>
    </w:div>
    <w:div w:id="2088501768">
      <w:bodyDiv w:val="1"/>
      <w:marLeft w:val="0"/>
      <w:marRight w:val="0"/>
      <w:marTop w:val="0"/>
      <w:marBottom w:val="0"/>
      <w:divBdr>
        <w:top w:val="none" w:sz="0" w:space="0" w:color="auto"/>
        <w:left w:val="none" w:sz="0" w:space="0" w:color="auto"/>
        <w:bottom w:val="none" w:sz="0" w:space="0" w:color="auto"/>
        <w:right w:val="none" w:sz="0" w:space="0" w:color="auto"/>
      </w:divBdr>
    </w:div>
    <w:div w:id="2089688445">
      <w:bodyDiv w:val="1"/>
      <w:marLeft w:val="0"/>
      <w:marRight w:val="0"/>
      <w:marTop w:val="0"/>
      <w:marBottom w:val="0"/>
      <w:divBdr>
        <w:top w:val="none" w:sz="0" w:space="0" w:color="auto"/>
        <w:left w:val="none" w:sz="0" w:space="0" w:color="auto"/>
        <w:bottom w:val="none" w:sz="0" w:space="0" w:color="auto"/>
        <w:right w:val="none" w:sz="0" w:space="0" w:color="auto"/>
      </w:divBdr>
    </w:div>
    <w:div w:id="2089958656">
      <w:bodyDiv w:val="1"/>
      <w:marLeft w:val="0"/>
      <w:marRight w:val="0"/>
      <w:marTop w:val="0"/>
      <w:marBottom w:val="0"/>
      <w:divBdr>
        <w:top w:val="none" w:sz="0" w:space="0" w:color="auto"/>
        <w:left w:val="none" w:sz="0" w:space="0" w:color="auto"/>
        <w:bottom w:val="none" w:sz="0" w:space="0" w:color="auto"/>
        <w:right w:val="none" w:sz="0" w:space="0" w:color="auto"/>
      </w:divBdr>
    </w:div>
    <w:div w:id="2090157626">
      <w:bodyDiv w:val="1"/>
      <w:marLeft w:val="0"/>
      <w:marRight w:val="0"/>
      <w:marTop w:val="0"/>
      <w:marBottom w:val="0"/>
      <w:divBdr>
        <w:top w:val="none" w:sz="0" w:space="0" w:color="auto"/>
        <w:left w:val="none" w:sz="0" w:space="0" w:color="auto"/>
        <w:bottom w:val="none" w:sz="0" w:space="0" w:color="auto"/>
        <w:right w:val="none" w:sz="0" w:space="0" w:color="auto"/>
      </w:divBdr>
    </w:div>
    <w:div w:id="2090275622">
      <w:bodyDiv w:val="1"/>
      <w:marLeft w:val="0"/>
      <w:marRight w:val="0"/>
      <w:marTop w:val="0"/>
      <w:marBottom w:val="0"/>
      <w:divBdr>
        <w:top w:val="none" w:sz="0" w:space="0" w:color="auto"/>
        <w:left w:val="none" w:sz="0" w:space="0" w:color="auto"/>
        <w:bottom w:val="none" w:sz="0" w:space="0" w:color="auto"/>
        <w:right w:val="none" w:sz="0" w:space="0" w:color="auto"/>
      </w:divBdr>
    </w:div>
    <w:div w:id="2090731633">
      <w:bodyDiv w:val="1"/>
      <w:marLeft w:val="0"/>
      <w:marRight w:val="0"/>
      <w:marTop w:val="0"/>
      <w:marBottom w:val="0"/>
      <w:divBdr>
        <w:top w:val="none" w:sz="0" w:space="0" w:color="auto"/>
        <w:left w:val="none" w:sz="0" w:space="0" w:color="auto"/>
        <w:bottom w:val="none" w:sz="0" w:space="0" w:color="auto"/>
        <w:right w:val="none" w:sz="0" w:space="0" w:color="auto"/>
      </w:divBdr>
    </w:div>
    <w:div w:id="2090810880">
      <w:bodyDiv w:val="1"/>
      <w:marLeft w:val="0"/>
      <w:marRight w:val="0"/>
      <w:marTop w:val="0"/>
      <w:marBottom w:val="0"/>
      <w:divBdr>
        <w:top w:val="none" w:sz="0" w:space="0" w:color="auto"/>
        <w:left w:val="none" w:sz="0" w:space="0" w:color="auto"/>
        <w:bottom w:val="none" w:sz="0" w:space="0" w:color="auto"/>
        <w:right w:val="none" w:sz="0" w:space="0" w:color="auto"/>
      </w:divBdr>
    </w:div>
    <w:div w:id="2091929670">
      <w:bodyDiv w:val="1"/>
      <w:marLeft w:val="0"/>
      <w:marRight w:val="0"/>
      <w:marTop w:val="0"/>
      <w:marBottom w:val="0"/>
      <w:divBdr>
        <w:top w:val="none" w:sz="0" w:space="0" w:color="auto"/>
        <w:left w:val="none" w:sz="0" w:space="0" w:color="auto"/>
        <w:bottom w:val="none" w:sz="0" w:space="0" w:color="auto"/>
        <w:right w:val="none" w:sz="0" w:space="0" w:color="auto"/>
      </w:divBdr>
    </w:div>
    <w:div w:id="2092506643">
      <w:bodyDiv w:val="1"/>
      <w:marLeft w:val="0"/>
      <w:marRight w:val="0"/>
      <w:marTop w:val="0"/>
      <w:marBottom w:val="0"/>
      <w:divBdr>
        <w:top w:val="none" w:sz="0" w:space="0" w:color="auto"/>
        <w:left w:val="none" w:sz="0" w:space="0" w:color="auto"/>
        <w:bottom w:val="none" w:sz="0" w:space="0" w:color="auto"/>
        <w:right w:val="none" w:sz="0" w:space="0" w:color="auto"/>
      </w:divBdr>
    </w:div>
    <w:div w:id="2092576253">
      <w:bodyDiv w:val="1"/>
      <w:marLeft w:val="0"/>
      <w:marRight w:val="0"/>
      <w:marTop w:val="0"/>
      <w:marBottom w:val="0"/>
      <w:divBdr>
        <w:top w:val="none" w:sz="0" w:space="0" w:color="auto"/>
        <w:left w:val="none" w:sz="0" w:space="0" w:color="auto"/>
        <w:bottom w:val="none" w:sz="0" w:space="0" w:color="auto"/>
        <w:right w:val="none" w:sz="0" w:space="0" w:color="auto"/>
      </w:divBdr>
    </w:div>
    <w:div w:id="2092849146">
      <w:bodyDiv w:val="1"/>
      <w:marLeft w:val="0"/>
      <w:marRight w:val="0"/>
      <w:marTop w:val="0"/>
      <w:marBottom w:val="0"/>
      <w:divBdr>
        <w:top w:val="none" w:sz="0" w:space="0" w:color="auto"/>
        <w:left w:val="none" w:sz="0" w:space="0" w:color="auto"/>
        <w:bottom w:val="none" w:sz="0" w:space="0" w:color="auto"/>
        <w:right w:val="none" w:sz="0" w:space="0" w:color="auto"/>
      </w:divBdr>
    </w:div>
    <w:div w:id="2093428102">
      <w:bodyDiv w:val="1"/>
      <w:marLeft w:val="0"/>
      <w:marRight w:val="0"/>
      <w:marTop w:val="0"/>
      <w:marBottom w:val="0"/>
      <w:divBdr>
        <w:top w:val="none" w:sz="0" w:space="0" w:color="auto"/>
        <w:left w:val="none" w:sz="0" w:space="0" w:color="auto"/>
        <w:bottom w:val="none" w:sz="0" w:space="0" w:color="auto"/>
        <w:right w:val="none" w:sz="0" w:space="0" w:color="auto"/>
      </w:divBdr>
    </w:div>
    <w:div w:id="2093627078">
      <w:bodyDiv w:val="1"/>
      <w:marLeft w:val="0"/>
      <w:marRight w:val="0"/>
      <w:marTop w:val="0"/>
      <w:marBottom w:val="0"/>
      <w:divBdr>
        <w:top w:val="none" w:sz="0" w:space="0" w:color="auto"/>
        <w:left w:val="none" w:sz="0" w:space="0" w:color="auto"/>
        <w:bottom w:val="none" w:sz="0" w:space="0" w:color="auto"/>
        <w:right w:val="none" w:sz="0" w:space="0" w:color="auto"/>
      </w:divBdr>
    </w:div>
    <w:div w:id="2093813345">
      <w:bodyDiv w:val="1"/>
      <w:marLeft w:val="0"/>
      <w:marRight w:val="0"/>
      <w:marTop w:val="0"/>
      <w:marBottom w:val="0"/>
      <w:divBdr>
        <w:top w:val="none" w:sz="0" w:space="0" w:color="auto"/>
        <w:left w:val="none" w:sz="0" w:space="0" w:color="auto"/>
        <w:bottom w:val="none" w:sz="0" w:space="0" w:color="auto"/>
        <w:right w:val="none" w:sz="0" w:space="0" w:color="auto"/>
      </w:divBdr>
    </w:div>
    <w:div w:id="2094430301">
      <w:bodyDiv w:val="1"/>
      <w:marLeft w:val="0"/>
      <w:marRight w:val="0"/>
      <w:marTop w:val="0"/>
      <w:marBottom w:val="0"/>
      <w:divBdr>
        <w:top w:val="none" w:sz="0" w:space="0" w:color="auto"/>
        <w:left w:val="none" w:sz="0" w:space="0" w:color="auto"/>
        <w:bottom w:val="none" w:sz="0" w:space="0" w:color="auto"/>
        <w:right w:val="none" w:sz="0" w:space="0" w:color="auto"/>
      </w:divBdr>
    </w:div>
    <w:div w:id="2095085508">
      <w:bodyDiv w:val="1"/>
      <w:marLeft w:val="0"/>
      <w:marRight w:val="0"/>
      <w:marTop w:val="0"/>
      <w:marBottom w:val="0"/>
      <w:divBdr>
        <w:top w:val="none" w:sz="0" w:space="0" w:color="auto"/>
        <w:left w:val="none" w:sz="0" w:space="0" w:color="auto"/>
        <w:bottom w:val="none" w:sz="0" w:space="0" w:color="auto"/>
        <w:right w:val="none" w:sz="0" w:space="0" w:color="auto"/>
      </w:divBdr>
    </w:div>
    <w:div w:id="2095466157">
      <w:bodyDiv w:val="1"/>
      <w:marLeft w:val="0"/>
      <w:marRight w:val="0"/>
      <w:marTop w:val="0"/>
      <w:marBottom w:val="0"/>
      <w:divBdr>
        <w:top w:val="none" w:sz="0" w:space="0" w:color="auto"/>
        <w:left w:val="none" w:sz="0" w:space="0" w:color="auto"/>
        <w:bottom w:val="none" w:sz="0" w:space="0" w:color="auto"/>
        <w:right w:val="none" w:sz="0" w:space="0" w:color="auto"/>
      </w:divBdr>
    </w:div>
    <w:div w:id="2095930151">
      <w:bodyDiv w:val="1"/>
      <w:marLeft w:val="0"/>
      <w:marRight w:val="0"/>
      <w:marTop w:val="0"/>
      <w:marBottom w:val="0"/>
      <w:divBdr>
        <w:top w:val="none" w:sz="0" w:space="0" w:color="auto"/>
        <w:left w:val="none" w:sz="0" w:space="0" w:color="auto"/>
        <w:bottom w:val="none" w:sz="0" w:space="0" w:color="auto"/>
        <w:right w:val="none" w:sz="0" w:space="0" w:color="auto"/>
      </w:divBdr>
    </w:div>
    <w:div w:id="2096242891">
      <w:bodyDiv w:val="1"/>
      <w:marLeft w:val="0"/>
      <w:marRight w:val="0"/>
      <w:marTop w:val="0"/>
      <w:marBottom w:val="0"/>
      <w:divBdr>
        <w:top w:val="none" w:sz="0" w:space="0" w:color="auto"/>
        <w:left w:val="none" w:sz="0" w:space="0" w:color="auto"/>
        <w:bottom w:val="none" w:sz="0" w:space="0" w:color="auto"/>
        <w:right w:val="none" w:sz="0" w:space="0" w:color="auto"/>
      </w:divBdr>
    </w:div>
    <w:div w:id="2096393829">
      <w:bodyDiv w:val="1"/>
      <w:marLeft w:val="0"/>
      <w:marRight w:val="0"/>
      <w:marTop w:val="0"/>
      <w:marBottom w:val="0"/>
      <w:divBdr>
        <w:top w:val="none" w:sz="0" w:space="0" w:color="auto"/>
        <w:left w:val="none" w:sz="0" w:space="0" w:color="auto"/>
        <w:bottom w:val="none" w:sz="0" w:space="0" w:color="auto"/>
        <w:right w:val="none" w:sz="0" w:space="0" w:color="auto"/>
      </w:divBdr>
    </w:div>
    <w:div w:id="2096433129">
      <w:bodyDiv w:val="1"/>
      <w:marLeft w:val="0"/>
      <w:marRight w:val="0"/>
      <w:marTop w:val="0"/>
      <w:marBottom w:val="0"/>
      <w:divBdr>
        <w:top w:val="none" w:sz="0" w:space="0" w:color="auto"/>
        <w:left w:val="none" w:sz="0" w:space="0" w:color="auto"/>
        <w:bottom w:val="none" w:sz="0" w:space="0" w:color="auto"/>
        <w:right w:val="none" w:sz="0" w:space="0" w:color="auto"/>
      </w:divBdr>
    </w:div>
    <w:div w:id="2096441405">
      <w:bodyDiv w:val="1"/>
      <w:marLeft w:val="0"/>
      <w:marRight w:val="0"/>
      <w:marTop w:val="0"/>
      <w:marBottom w:val="0"/>
      <w:divBdr>
        <w:top w:val="none" w:sz="0" w:space="0" w:color="auto"/>
        <w:left w:val="none" w:sz="0" w:space="0" w:color="auto"/>
        <w:bottom w:val="none" w:sz="0" w:space="0" w:color="auto"/>
        <w:right w:val="none" w:sz="0" w:space="0" w:color="auto"/>
      </w:divBdr>
    </w:div>
    <w:div w:id="2096973953">
      <w:bodyDiv w:val="1"/>
      <w:marLeft w:val="0"/>
      <w:marRight w:val="0"/>
      <w:marTop w:val="0"/>
      <w:marBottom w:val="0"/>
      <w:divBdr>
        <w:top w:val="none" w:sz="0" w:space="0" w:color="auto"/>
        <w:left w:val="none" w:sz="0" w:space="0" w:color="auto"/>
        <w:bottom w:val="none" w:sz="0" w:space="0" w:color="auto"/>
        <w:right w:val="none" w:sz="0" w:space="0" w:color="auto"/>
      </w:divBdr>
    </w:div>
    <w:div w:id="2097360128">
      <w:bodyDiv w:val="1"/>
      <w:marLeft w:val="0"/>
      <w:marRight w:val="0"/>
      <w:marTop w:val="0"/>
      <w:marBottom w:val="0"/>
      <w:divBdr>
        <w:top w:val="none" w:sz="0" w:space="0" w:color="auto"/>
        <w:left w:val="none" w:sz="0" w:space="0" w:color="auto"/>
        <w:bottom w:val="none" w:sz="0" w:space="0" w:color="auto"/>
        <w:right w:val="none" w:sz="0" w:space="0" w:color="auto"/>
      </w:divBdr>
    </w:div>
    <w:div w:id="2097705569">
      <w:bodyDiv w:val="1"/>
      <w:marLeft w:val="0"/>
      <w:marRight w:val="0"/>
      <w:marTop w:val="0"/>
      <w:marBottom w:val="0"/>
      <w:divBdr>
        <w:top w:val="none" w:sz="0" w:space="0" w:color="auto"/>
        <w:left w:val="none" w:sz="0" w:space="0" w:color="auto"/>
        <w:bottom w:val="none" w:sz="0" w:space="0" w:color="auto"/>
        <w:right w:val="none" w:sz="0" w:space="0" w:color="auto"/>
      </w:divBdr>
    </w:div>
    <w:div w:id="2098018651">
      <w:bodyDiv w:val="1"/>
      <w:marLeft w:val="0"/>
      <w:marRight w:val="0"/>
      <w:marTop w:val="0"/>
      <w:marBottom w:val="0"/>
      <w:divBdr>
        <w:top w:val="none" w:sz="0" w:space="0" w:color="auto"/>
        <w:left w:val="none" w:sz="0" w:space="0" w:color="auto"/>
        <w:bottom w:val="none" w:sz="0" w:space="0" w:color="auto"/>
        <w:right w:val="none" w:sz="0" w:space="0" w:color="auto"/>
      </w:divBdr>
    </w:div>
    <w:div w:id="2098482592">
      <w:bodyDiv w:val="1"/>
      <w:marLeft w:val="0"/>
      <w:marRight w:val="0"/>
      <w:marTop w:val="0"/>
      <w:marBottom w:val="0"/>
      <w:divBdr>
        <w:top w:val="none" w:sz="0" w:space="0" w:color="auto"/>
        <w:left w:val="none" w:sz="0" w:space="0" w:color="auto"/>
        <w:bottom w:val="none" w:sz="0" w:space="0" w:color="auto"/>
        <w:right w:val="none" w:sz="0" w:space="0" w:color="auto"/>
      </w:divBdr>
    </w:div>
    <w:div w:id="2099137170">
      <w:bodyDiv w:val="1"/>
      <w:marLeft w:val="0"/>
      <w:marRight w:val="0"/>
      <w:marTop w:val="0"/>
      <w:marBottom w:val="0"/>
      <w:divBdr>
        <w:top w:val="none" w:sz="0" w:space="0" w:color="auto"/>
        <w:left w:val="none" w:sz="0" w:space="0" w:color="auto"/>
        <w:bottom w:val="none" w:sz="0" w:space="0" w:color="auto"/>
        <w:right w:val="none" w:sz="0" w:space="0" w:color="auto"/>
      </w:divBdr>
    </w:div>
    <w:div w:id="2099397718">
      <w:bodyDiv w:val="1"/>
      <w:marLeft w:val="0"/>
      <w:marRight w:val="0"/>
      <w:marTop w:val="0"/>
      <w:marBottom w:val="0"/>
      <w:divBdr>
        <w:top w:val="none" w:sz="0" w:space="0" w:color="auto"/>
        <w:left w:val="none" w:sz="0" w:space="0" w:color="auto"/>
        <w:bottom w:val="none" w:sz="0" w:space="0" w:color="auto"/>
        <w:right w:val="none" w:sz="0" w:space="0" w:color="auto"/>
      </w:divBdr>
    </w:div>
    <w:div w:id="2100562302">
      <w:bodyDiv w:val="1"/>
      <w:marLeft w:val="0"/>
      <w:marRight w:val="0"/>
      <w:marTop w:val="0"/>
      <w:marBottom w:val="0"/>
      <w:divBdr>
        <w:top w:val="none" w:sz="0" w:space="0" w:color="auto"/>
        <w:left w:val="none" w:sz="0" w:space="0" w:color="auto"/>
        <w:bottom w:val="none" w:sz="0" w:space="0" w:color="auto"/>
        <w:right w:val="none" w:sz="0" w:space="0" w:color="auto"/>
      </w:divBdr>
    </w:div>
    <w:div w:id="2101293774">
      <w:bodyDiv w:val="1"/>
      <w:marLeft w:val="0"/>
      <w:marRight w:val="0"/>
      <w:marTop w:val="0"/>
      <w:marBottom w:val="0"/>
      <w:divBdr>
        <w:top w:val="none" w:sz="0" w:space="0" w:color="auto"/>
        <w:left w:val="none" w:sz="0" w:space="0" w:color="auto"/>
        <w:bottom w:val="none" w:sz="0" w:space="0" w:color="auto"/>
        <w:right w:val="none" w:sz="0" w:space="0" w:color="auto"/>
      </w:divBdr>
    </w:div>
    <w:div w:id="2101759236">
      <w:bodyDiv w:val="1"/>
      <w:marLeft w:val="0"/>
      <w:marRight w:val="0"/>
      <w:marTop w:val="0"/>
      <w:marBottom w:val="0"/>
      <w:divBdr>
        <w:top w:val="none" w:sz="0" w:space="0" w:color="auto"/>
        <w:left w:val="none" w:sz="0" w:space="0" w:color="auto"/>
        <w:bottom w:val="none" w:sz="0" w:space="0" w:color="auto"/>
        <w:right w:val="none" w:sz="0" w:space="0" w:color="auto"/>
      </w:divBdr>
    </w:div>
    <w:div w:id="2102487756">
      <w:bodyDiv w:val="1"/>
      <w:marLeft w:val="0"/>
      <w:marRight w:val="0"/>
      <w:marTop w:val="0"/>
      <w:marBottom w:val="0"/>
      <w:divBdr>
        <w:top w:val="none" w:sz="0" w:space="0" w:color="auto"/>
        <w:left w:val="none" w:sz="0" w:space="0" w:color="auto"/>
        <w:bottom w:val="none" w:sz="0" w:space="0" w:color="auto"/>
        <w:right w:val="none" w:sz="0" w:space="0" w:color="auto"/>
      </w:divBdr>
    </w:div>
    <w:div w:id="2102681887">
      <w:bodyDiv w:val="1"/>
      <w:marLeft w:val="0"/>
      <w:marRight w:val="0"/>
      <w:marTop w:val="0"/>
      <w:marBottom w:val="0"/>
      <w:divBdr>
        <w:top w:val="none" w:sz="0" w:space="0" w:color="auto"/>
        <w:left w:val="none" w:sz="0" w:space="0" w:color="auto"/>
        <w:bottom w:val="none" w:sz="0" w:space="0" w:color="auto"/>
        <w:right w:val="none" w:sz="0" w:space="0" w:color="auto"/>
      </w:divBdr>
    </w:div>
    <w:div w:id="2102994465">
      <w:bodyDiv w:val="1"/>
      <w:marLeft w:val="0"/>
      <w:marRight w:val="0"/>
      <w:marTop w:val="0"/>
      <w:marBottom w:val="0"/>
      <w:divBdr>
        <w:top w:val="none" w:sz="0" w:space="0" w:color="auto"/>
        <w:left w:val="none" w:sz="0" w:space="0" w:color="auto"/>
        <w:bottom w:val="none" w:sz="0" w:space="0" w:color="auto"/>
        <w:right w:val="none" w:sz="0" w:space="0" w:color="auto"/>
      </w:divBdr>
    </w:div>
    <w:div w:id="2103137882">
      <w:bodyDiv w:val="1"/>
      <w:marLeft w:val="0"/>
      <w:marRight w:val="0"/>
      <w:marTop w:val="0"/>
      <w:marBottom w:val="0"/>
      <w:divBdr>
        <w:top w:val="none" w:sz="0" w:space="0" w:color="auto"/>
        <w:left w:val="none" w:sz="0" w:space="0" w:color="auto"/>
        <w:bottom w:val="none" w:sz="0" w:space="0" w:color="auto"/>
        <w:right w:val="none" w:sz="0" w:space="0" w:color="auto"/>
      </w:divBdr>
    </w:div>
    <w:div w:id="2103213073">
      <w:bodyDiv w:val="1"/>
      <w:marLeft w:val="0"/>
      <w:marRight w:val="0"/>
      <w:marTop w:val="0"/>
      <w:marBottom w:val="0"/>
      <w:divBdr>
        <w:top w:val="none" w:sz="0" w:space="0" w:color="auto"/>
        <w:left w:val="none" w:sz="0" w:space="0" w:color="auto"/>
        <w:bottom w:val="none" w:sz="0" w:space="0" w:color="auto"/>
        <w:right w:val="none" w:sz="0" w:space="0" w:color="auto"/>
      </w:divBdr>
    </w:div>
    <w:div w:id="2103719504">
      <w:bodyDiv w:val="1"/>
      <w:marLeft w:val="0"/>
      <w:marRight w:val="0"/>
      <w:marTop w:val="0"/>
      <w:marBottom w:val="0"/>
      <w:divBdr>
        <w:top w:val="none" w:sz="0" w:space="0" w:color="auto"/>
        <w:left w:val="none" w:sz="0" w:space="0" w:color="auto"/>
        <w:bottom w:val="none" w:sz="0" w:space="0" w:color="auto"/>
        <w:right w:val="none" w:sz="0" w:space="0" w:color="auto"/>
      </w:divBdr>
    </w:div>
    <w:div w:id="2103989574">
      <w:bodyDiv w:val="1"/>
      <w:marLeft w:val="0"/>
      <w:marRight w:val="0"/>
      <w:marTop w:val="0"/>
      <w:marBottom w:val="0"/>
      <w:divBdr>
        <w:top w:val="none" w:sz="0" w:space="0" w:color="auto"/>
        <w:left w:val="none" w:sz="0" w:space="0" w:color="auto"/>
        <w:bottom w:val="none" w:sz="0" w:space="0" w:color="auto"/>
        <w:right w:val="none" w:sz="0" w:space="0" w:color="auto"/>
      </w:divBdr>
    </w:div>
    <w:div w:id="2104033989">
      <w:bodyDiv w:val="1"/>
      <w:marLeft w:val="0"/>
      <w:marRight w:val="0"/>
      <w:marTop w:val="0"/>
      <w:marBottom w:val="0"/>
      <w:divBdr>
        <w:top w:val="none" w:sz="0" w:space="0" w:color="auto"/>
        <w:left w:val="none" w:sz="0" w:space="0" w:color="auto"/>
        <w:bottom w:val="none" w:sz="0" w:space="0" w:color="auto"/>
        <w:right w:val="none" w:sz="0" w:space="0" w:color="auto"/>
      </w:divBdr>
    </w:div>
    <w:div w:id="2104107416">
      <w:bodyDiv w:val="1"/>
      <w:marLeft w:val="0"/>
      <w:marRight w:val="0"/>
      <w:marTop w:val="0"/>
      <w:marBottom w:val="0"/>
      <w:divBdr>
        <w:top w:val="none" w:sz="0" w:space="0" w:color="auto"/>
        <w:left w:val="none" w:sz="0" w:space="0" w:color="auto"/>
        <w:bottom w:val="none" w:sz="0" w:space="0" w:color="auto"/>
        <w:right w:val="none" w:sz="0" w:space="0" w:color="auto"/>
      </w:divBdr>
    </w:div>
    <w:div w:id="2104186726">
      <w:bodyDiv w:val="1"/>
      <w:marLeft w:val="0"/>
      <w:marRight w:val="0"/>
      <w:marTop w:val="0"/>
      <w:marBottom w:val="0"/>
      <w:divBdr>
        <w:top w:val="none" w:sz="0" w:space="0" w:color="auto"/>
        <w:left w:val="none" w:sz="0" w:space="0" w:color="auto"/>
        <w:bottom w:val="none" w:sz="0" w:space="0" w:color="auto"/>
        <w:right w:val="none" w:sz="0" w:space="0" w:color="auto"/>
      </w:divBdr>
    </w:div>
    <w:div w:id="2104296713">
      <w:bodyDiv w:val="1"/>
      <w:marLeft w:val="0"/>
      <w:marRight w:val="0"/>
      <w:marTop w:val="0"/>
      <w:marBottom w:val="0"/>
      <w:divBdr>
        <w:top w:val="none" w:sz="0" w:space="0" w:color="auto"/>
        <w:left w:val="none" w:sz="0" w:space="0" w:color="auto"/>
        <w:bottom w:val="none" w:sz="0" w:space="0" w:color="auto"/>
        <w:right w:val="none" w:sz="0" w:space="0" w:color="auto"/>
      </w:divBdr>
    </w:div>
    <w:div w:id="2104954491">
      <w:bodyDiv w:val="1"/>
      <w:marLeft w:val="0"/>
      <w:marRight w:val="0"/>
      <w:marTop w:val="0"/>
      <w:marBottom w:val="0"/>
      <w:divBdr>
        <w:top w:val="none" w:sz="0" w:space="0" w:color="auto"/>
        <w:left w:val="none" w:sz="0" w:space="0" w:color="auto"/>
        <w:bottom w:val="none" w:sz="0" w:space="0" w:color="auto"/>
        <w:right w:val="none" w:sz="0" w:space="0" w:color="auto"/>
      </w:divBdr>
    </w:div>
    <w:div w:id="2105102305">
      <w:bodyDiv w:val="1"/>
      <w:marLeft w:val="0"/>
      <w:marRight w:val="0"/>
      <w:marTop w:val="0"/>
      <w:marBottom w:val="0"/>
      <w:divBdr>
        <w:top w:val="none" w:sz="0" w:space="0" w:color="auto"/>
        <w:left w:val="none" w:sz="0" w:space="0" w:color="auto"/>
        <w:bottom w:val="none" w:sz="0" w:space="0" w:color="auto"/>
        <w:right w:val="none" w:sz="0" w:space="0" w:color="auto"/>
      </w:divBdr>
    </w:div>
    <w:div w:id="2105228327">
      <w:bodyDiv w:val="1"/>
      <w:marLeft w:val="0"/>
      <w:marRight w:val="0"/>
      <w:marTop w:val="0"/>
      <w:marBottom w:val="0"/>
      <w:divBdr>
        <w:top w:val="none" w:sz="0" w:space="0" w:color="auto"/>
        <w:left w:val="none" w:sz="0" w:space="0" w:color="auto"/>
        <w:bottom w:val="none" w:sz="0" w:space="0" w:color="auto"/>
        <w:right w:val="none" w:sz="0" w:space="0" w:color="auto"/>
      </w:divBdr>
    </w:div>
    <w:div w:id="2105295754">
      <w:bodyDiv w:val="1"/>
      <w:marLeft w:val="0"/>
      <w:marRight w:val="0"/>
      <w:marTop w:val="0"/>
      <w:marBottom w:val="0"/>
      <w:divBdr>
        <w:top w:val="none" w:sz="0" w:space="0" w:color="auto"/>
        <w:left w:val="none" w:sz="0" w:space="0" w:color="auto"/>
        <w:bottom w:val="none" w:sz="0" w:space="0" w:color="auto"/>
        <w:right w:val="none" w:sz="0" w:space="0" w:color="auto"/>
      </w:divBdr>
    </w:div>
    <w:div w:id="2105373220">
      <w:bodyDiv w:val="1"/>
      <w:marLeft w:val="0"/>
      <w:marRight w:val="0"/>
      <w:marTop w:val="0"/>
      <w:marBottom w:val="0"/>
      <w:divBdr>
        <w:top w:val="none" w:sz="0" w:space="0" w:color="auto"/>
        <w:left w:val="none" w:sz="0" w:space="0" w:color="auto"/>
        <w:bottom w:val="none" w:sz="0" w:space="0" w:color="auto"/>
        <w:right w:val="none" w:sz="0" w:space="0" w:color="auto"/>
      </w:divBdr>
    </w:div>
    <w:div w:id="2106684121">
      <w:bodyDiv w:val="1"/>
      <w:marLeft w:val="0"/>
      <w:marRight w:val="0"/>
      <w:marTop w:val="0"/>
      <w:marBottom w:val="0"/>
      <w:divBdr>
        <w:top w:val="none" w:sz="0" w:space="0" w:color="auto"/>
        <w:left w:val="none" w:sz="0" w:space="0" w:color="auto"/>
        <w:bottom w:val="none" w:sz="0" w:space="0" w:color="auto"/>
        <w:right w:val="none" w:sz="0" w:space="0" w:color="auto"/>
      </w:divBdr>
    </w:div>
    <w:div w:id="2107144904">
      <w:bodyDiv w:val="1"/>
      <w:marLeft w:val="0"/>
      <w:marRight w:val="0"/>
      <w:marTop w:val="0"/>
      <w:marBottom w:val="0"/>
      <w:divBdr>
        <w:top w:val="none" w:sz="0" w:space="0" w:color="auto"/>
        <w:left w:val="none" w:sz="0" w:space="0" w:color="auto"/>
        <w:bottom w:val="none" w:sz="0" w:space="0" w:color="auto"/>
        <w:right w:val="none" w:sz="0" w:space="0" w:color="auto"/>
      </w:divBdr>
    </w:div>
    <w:div w:id="2107187167">
      <w:bodyDiv w:val="1"/>
      <w:marLeft w:val="0"/>
      <w:marRight w:val="0"/>
      <w:marTop w:val="0"/>
      <w:marBottom w:val="0"/>
      <w:divBdr>
        <w:top w:val="none" w:sz="0" w:space="0" w:color="auto"/>
        <w:left w:val="none" w:sz="0" w:space="0" w:color="auto"/>
        <w:bottom w:val="none" w:sz="0" w:space="0" w:color="auto"/>
        <w:right w:val="none" w:sz="0" w:space="0" w:color="auto"/>
      </w:divBdr>
    </w:div>
    <w:div w:id="2108694000">
      <w:bodyDiv w:val="1"/>
      <w:marLeft w:val="0"/>
      <w:marRight w:val="0"/>
      <w:marTop w:val="0"/>
      <w:marBottom w:val="0"/>
      <w:divBdr>
        <w:top w:val="none" w:sz="0" w:space="0" w:color="auto"/>
        <w:left w:val="none" w:sz="0" w:space="0" w:color="auto"/>
        <w:bottom w:val="none" w:sz="0" w:space="0" w:color="auto"/>
        <w:right w:val="none" w:sz="0" w:space="0" w:color="auto"/>
      </w:divBdr>
    </w:div>
    <w:div w:id="2109080994">
      <w:bodyDiv w:val="1"/>
      <w:marLeft w:val="0"/>
      <w:marRight w:val="0"/>
      <w:marTop w:val="0"/>
      <w:marBottom w:val="0"/>
      <w:divBdr>
        <w:top w:val="none" w:sz="0" w:space="0" w:color="auto"/>
        <w:left w:val="none" w:sz="0" w:space="0" w:color="auto"/>
        <w:bottom w:val="none" w:sz="0" w:space="0" w:color="auto"/>
        <w:right w:val="none" w:sz="0" w:space="0" w:color="auto"/>
      </w:divBdr>
    </w:div>
    <w:div w:id="2109085211">
      <w:bodyDiv w:val="1"/>
      <w:marLeft w:val="0"/>
      <w:marRight w:val="0"/>
      <w:marTop w:val="0"/>
      <w:marBottom w:val="0"/>
      <w:divBdr>
        <w:top w:val="none" w:sz="0" w:space="0" w:color="auto"/>
        <w:left w:val="none" w:sz="0" w:space="0" w:color="auto"/>
        <w:bottom w:val="none" w:sz="0" w:space="0" w:color="auto"/>
        <w:right w:val="none" w:sz="0" w:space="0" w:color="auto"/>
      </w:divBdr>
    </w:div>
    <w:div w:id="2109109877">
      <w:bodyDiv w:val="1"/>
      <w:marLeft w:val="0"/>
      <w:marRight w:val="0"/>
      <w:marTop w:val="0"/>
      <w:marBottom w:val="0"/>
      <w:divBdr>
        <w:top w:val="none" w:sz="0" w:space="0" w:color="auto"/>
        <w:left w:val="none" w:sz="0" w:space="0" w:color="auto"/>
        <w:bottom w:val="none" w:sz="0" w:space="0" w:color="auto"/>
        <w:right w:val="none" w:sz="0" w:space="0" w:color="auto"/>
      </w:divBdr>
    </w:div>
    <w:div w:id="2109347108">
      <w:bodyDiv w:val="1"/>
      <w:marLeft w:val="0"/>
      <w:marRight w:val="0"/>
      <w:marTop w:val="0"/>
      <w:marBottom w:val="0"/>
      <w:divBdr>
        <w:top w:val="none" w:sz="0" w:space="0" w:color="auto"/>
        <w:left w:val="none" w:sz="0" w:space="0" w:color="auto"/>
        <w:bottom w:val="none" w:sz="0" w:space="0" w:color="auto"/>
        <w:right w:val="none" w:sz="0" w:space="0" w:color="auto"/>
      </w:divBdr>
    </w:div>
    <w:div w:id="2109815577">
      <w:bodyDiv w:val="1"/>
      <w:marLeft w:val="0"/>
      <w:marRight w:val="0"/>
      <w:marTop w:val="0"/>
      <w:marBottom w:val="0"/>
      <w:divBdr>
        <w:top w:val="none" w:sz="0" w:space="0" w:color="auto"/>
        <w:left w:val="none" w:sz="0" w:space="0" w:color="auto"/>
        <w:bottom w:val="none" w:sz="0" w:space="0" w:color="auto"/>
        <w:right w:val="none" w:sz="0" w:space="0" w:color="auto"/>
      </w:divBdr>
    </w:div>
    <w:div w:id="2110084209">
      <w:bodyDiv w:val="1"/>
      <w:marLeft w:val="0"/>
      <w:marRight w:val="0"/>
      <w:marTop w:val="0"/>
      <w:marBottom w:val="0"/>
      <w:divBdr>
        <w:top w:val="none" w:sz="0" w:space="0" w:color="auto"/>
        <w:left w:val="none" w:sz="0" w:space="0" w:color="auto"/>
        <w:bottom w:val="none" w:sz="0" w:space="0" w:color="auto"/>
        <w:right w:val="none" w:sz="0" w:space="0" w:color="auto"/>
      </w:divBdr>
    </w:div>
    <w:div w:id="2110347171">
      <w:bodyDiv w:val="1"/>
      <w:marLeft w:val="0"/>
      <w:marRight w:val="0"/>
      <w:marTop w:val="0"/>
      <w:marBottom w:val="0"/>
      <w:divBdr>
        <w:top w:val="none" w:sz="0" w:space="0" w:color="auto"/>
        <w:left w:val="none" w:sz="0" w:space="0" w:color="auto"/>
        <w:bottom w:val="none" w:sz="0" w:space="0" w:color="auto"/>
        <w:right w:val="none" w:sz="0" w:space="0" w:color="auto"/>
      </w:divBdr>
    </w:div>
    <w:div w:id="2110467186">
      <w:bodyDiv w:val="1"/>
      <w:marLeft w:val="0"/>
      <w:marRight w:val="0"/>
      <w:marTop w:val="0"/>
      <w:marBottom w:val="0"/>
      <w:divBdr>
        <w:top w:val="none" w:sz="0" w:space="0" w:color="auto"/>
        <w:left w:val="none" w:sz="0" w:space="0" w:color="auto"/>
        <w:bottom w:val="none" w:sz="0" w:space="0" w:color="auto"/>
        <w:right w:val="none" w:sz="0" w:space="0" w:color="auto"/>
      </w:divBdr>
    </w:div>
    <w:div w:id="2111006952">
      <w:bodyDiv w:val="1"/>
      <w:marLeft w:val="0"/>
      <w:marRight w:val="0"/>
      <w:marTop w:val="0"/>
      <w:marBottom w:val="0"/>
      <w:divBdr>
        <w:top w:val="none" w:sz="0" w:space="0" w:color="auto"/>
        <w:left w:val="none" w:sz="0" w:space="0" w:color="auto"/>
        <w:bottom w:val="none" w:sz="0" w:space="0" w:color="auto"/>
        <w:right w:val="none" w:sz="0" w:space="0" w:color="auto"/>
      </w:divBdr>
    </w:div>
    <w:div w:id="2111268032">
      <w:bodyDiv w:val="1"/>
      <w:marLeft w:val="0"/>
      <w:marRight w:val="0"/>
      <w:marTop w:val="0"/>
      <w:marBottom w:val="0"/>
      <w:divBdr>
        <w:top w:val="none" w:sz="0" w:space="0" w:color="auto"/>
        <w:left w:val="none" w:sz="0" w:space="0" w:color="auto"/>
        <w:bottom w:val="none" w:sz="0" w:space="0" w:color="auto"/>
        <w:right w:val="none" w:sz="0" w:space="0" w:color="auto"/>
      </w:divBdr>
    </w:div>
    <w:div w:id="2111318261">
      <w:bodyDiv w:val="1"/>
      <w:marLeft w:val="0"/>
      <w:marRight w:val="0"/>
      <w:marTop w:val="0"/>
      <w:marBottom w:val="0"/>
      <w:divBdr>
        <w:top w:val="none" w:sz="0" w:space="0" w:color="auto"/>
        <w:left w:val="none" w:sz="0" w:space="0" w:color="auto"/>
        <w:bottom w:val="none" w:sz="0" w:space="0" w:color="auto"/>
        <w:right w:val="none" w:sz="0" w:space="0" w:color="auto"/>
      </w:divBdr>
    </w:div>
    <w:div w:id="2111971952">
      <w:bodyDiv w:val="1"/>
      <w:marLeft w:val="0"/>
      <w:marRight w:val="0"/>
      <w:marTop w:val="0"/>
      <w:marBottom w:val="0"/>
      <w:divBdr>
        <w:top w:val="none" w:sz="0" w:space="0" w:color="auto"/>
        <w:left w:val="none" w:sz="0" w:space="0" w:color="auto"/>
        <w:bottom w:val="none" w:sz="0" w:space="0" w:color="auto"/>
        <w:right w:val="none" w:sz="0" w:space="0" w:color="auto"/>
      </w:divBdr>
    </w:div>
    <w:div w:id="2112773310">
      <w:bodyDiv w:val="1"/>
      <w:marLeft w:val="0"/>
      <w:marRight w:val="0"/>
      <w:marTop w:val="0"/>
      <w:marBottom w:val="0"/>
      <w:divBdr>
        <w:top w:val="none" w:sz="0" w:space="0" w:color="auto"/>
        <w:left w:val="none" w:sz="0" w:space="0" w:color="auto"/>
        <w:bottom w:val="none" w:sz="0" w:space="0" w:color="auto"/>
        <w:right w:val="none" w:sz="0" w:space="0" w:color="auto"/>
      </w:divBdr>
    </w:div>
    <w:div w:id="2114858623">
      <w:bodyDiv w:val="1"/>
      <w:marLeft w:val="0"/>
      <w:marRight w:val="0"/>
      <w:marTop w:val="0"/>
      <w:marBottom w:val="0"/>
      <w:divBdr>
        <w:top w:val="none" w:sz="0" w:space="0" w:color="auto"/>
        <w:left w:val="none" w:sz="0" w:space="0" w:color="auto"/>
        <w:bottom w:val="none" w:sz="0" w:space="0" w:color="auto"/>
        <w:right w:val="none" w:sz="0" w:space="0" w:color="auto"/>
      </w:divBdr>
    </w:div>
    <w:div w:id="2115051887">
      <w:bodyDiv w:val="1"/>
      <w:marLeft w:val="0"/>
      <w:marRight w:val="0"/>
      <w:marTop w:val="0"/>
      <w:marBottom w:val="0"/>
      <w:divBdr>
        <w:top w:val="none" w:sz="0" w:space="0" w:color="auto"/>
        <w:left w:val="none" w:sz="0" w:space="0" w:color="auto"/>
        <w:bottom w:val="none" w:sz="0" w:space="0" w:color="auto"/>
        <w:right w:val="none" w:sz="0" w:space="0" w:color="auto"/>
      </w:divBdr>
    </w:div>
    <w:div w:id="2115399595">
      <w:bodyDiv w:val="1"/>
      <w:marLeft w:val="0"/>
      <w:marRight w:val="0"/>
      <w:marTop w:val="0"/>
      <w:marBottom w:val="0"/>
      <w:divBdr>
        <w:top w:val="none" w:sz="0" w:space="0" w:color="auto"/>
        <w:left w:val="none" w:sz="0" w:space="0" w:color="auto"/>
        <w:bottom w:val="none" w:sz="0" w:space="0" w:color="auto"/>
        <w:right w:val="none" w:sz="0" w:space="0" w:color="auto"/>
      </w:divBdr>
    </w:div>
    <w:div w:id="2115979022">
      <w:bodyDiv w:val="1"/>
      <w:marLeft w:val="0"/>
      <w:marRight w:val="0"/>
      <w:marTop w:val="0"/>
      <w:marBottom w:val="0"/>
      <w:divBdr>
        <w:top w:val="none" w:sz="0" w:space="0" w:color="auto"/>
        <w:left w:val="none" w:sz="0" w:space="0" w:color="auto"/>
        <w:bottom w:val="none" w:sz="0" w:space="0" w:color="auto"/>
        <w:right w:val="none" w:sz="0" w:space="0" w:color="auto"/>
      </w:divBdr>
    </w:div>
    <w:div w:id="2116779212">
      <w:bodyDiv w:val="1"/>
      <w:marLeft w:val="0"/>
      <w:marRight w:val="0"/>
      <w:marTop w:val="0"/>
      <w:marBottom w:val="0"/>
      <w:divBdr>
        <w:top w:val="none" w:sz="0" w:space="0" w:color="auto"/>
        <w:left w:val="none" w:sz="0" w:space="0" w:color="auto"/>
        <w:bottom w:val="none" w:sz="0" w:space="0" w:color="auto"/>
        <w:right w:val="none" w:sz="0" w:space="0" w:color="auto"/>
      </w:divBdr>
    </w:div>
    <w:div w:id="2116823539">
      <w:bodyDiv w:val="1"/>
      <w:marLeft w:val="0"/>
      <w:marRight w:val="0"/>
      <w:marTop w:val="0"/>
      <w:marBottom w:val="0"/>
      <w:divBdr>
        <w:top w:val="none" w:sz="0" w:space="0" w:color="auto"/>
        <w:left w:val="none" w:sz="0" w:space="0" w:color="auto"/>
        <w:bottom w:val="none" w:sz="0" w:space="0" w:color="auto"/>
        <w:right w:val="none" w:sz="0" w:space="0" w:color="auto"/>
      </w:divBdr>
    </w:div>
    <w:div w:id="2117358917">
      <w:bodyDiv w:val="1"/>
      <w:marLeft w:val="0"/>
      <w:marRight w:val="0"/>
      <w:marTop w:val="0"/>
      <w:marBottom w:val="0"/>
      <w:divBdr>
        <w:top w:val="none" w:sz="0" w:space="0" w:color="auto"/>
        <w:left w:val="none" w:sz="0" w:space="0" w:color="auto"/>
        <w:bottom w:val="none" w:sz="0" w:space="0" w:color="auto"/>
        <w:right w:val="none" w:sz="0" w:space="0" w:color="auto"/>
      </w:divBdr>
    </w:div>
    <w:div w:id="2117601916">
      <w:bodyDiv w:val="1"/>
      <w:marLeft w:val="0"/>
      <w:marRight w:val="0"/>
      <w:marTop w:val="0"/>
      <w:marBottom w:val="0"/>
      <w:divBdr>
        <w:top w:val="none" w:sz="0" w:space="0" w:color="auto"/>
        <w:left w:val="none" w:sz="0" w:space="0" w:color="auto"/>
        <w:bottom w:val="none" w:sz="0" w:space="0" w:color="auto"/>
        <w:right w:val="none" w:sz="0" w:space="0" w:color="auto"/>
      </w:divBdr>
    </w:div>
    <w:div w:id="2117865082">
      <w:bodyDiv w:val="1"/>
      <w:marLeft w:val="0"/>
      <w:marRight w:val="0"/>
      <w:marTop w:val="0"/>
      <w:marBottom w:val="0"/>
      <w:divBdr>
        <w:top w:val="none" w:sz="0" w:space="0" w:color="auto"/>
        <w:left w:val="none" w:sz="0" w:space="0" w:color="auto"/>
        <w:bottom w:val="none" w:sz="0" w:space="0" w:color="auto"/>
        <w:right w:val="none" w:sz="0" w:space="0" w:color="auto"/>
      </w:divBdr>
    </w:div>
    <w:div w:id="2118212050">
      <w:bodyDiv w:val="1"/>
      <w:marLeft w:val="0"/>
      <w:marRight w:val="0"/>
      <w:marTop w:val="0"/>
      <w:marBottom w:val="0"/>
      <w:divBdr>
        <w:top w:val="none" w:sz="0" w:space="0" w:color="auto"/>
        <w:left w:val="none" w:sz="0" w:space="0" w:color="auto"/>
        <w:bottom w:val="none" w:sz="0" w:space="0" w:color="auto"/>
        <w:right w:val="none" w:sz="0" w:space="0" w:color="auto"/>
      </w:divBdr>
    </w:div>
    <w:div w:id="2118482161">
      <w:bodyDiv w:val="1"/>
      <w:marLeft w:val="0"/>
      <w:marRight w:val="0"/>
      <w:marTop w:val="0"/>
      <w:marBottom w:val="0"/>
      <w:divBdr>
        <w:top w:val="none" w:sz="0" w:space="0" w:color="auto"/>
        <w:left w:val="none" w:sz="0" w:space="0" w:color="auto"/>
        <w:bottom w:val="none" w:sz="0" w:space="0" w:color="auto"/>
        <w:right w:val="none" w:sz="0" w:space="0" w:color="auto"/>
      </w:divBdr>
    </w:div>
    <w:div w:id="2118598437">
      <w:bodyDiv w:val="1"/>
      <w:marLeft w:val="0"/>
      <w:marRight w:val="0"/>
      <w:marTop w:val="0"/>
      <w:marBottom w:val="0"/>
      <w:divBdr>
        <w:top w:val="none" w:sz="0" w:space="0" w:color="auto"/>
        <w:left w:val="none" w:sz="0" w:space="0" w:color="auto"/>
        <w:bottom w:val="none" w:sz="0" w:space="0" w:color="auto"/>
        <w:right w:val="none" w:sz="0" w:space="0" w:color="auto"/>
      </w:divBdr>
    </w:div>
    <w:div w:id="2118866940">
      <w:bodyDiv w:val="1"/>
      <w:marLeft w:val="0"/>
      <w:marRight w:val="0"/>
      <w:marTop w:val="0"/>
      <w:marBottom w:val="0"/>
      <w:divBdr>
        <w:top w:val="none" w:sz="0" w:space="0" w:color="auto"/>
        <w:left w:val="none" w:sz="0" w:space="0" w:color="auto"/>
        <w:bottom w:val="none" w:sz="0" w:space="0" w:color="auto"/>
        <w:right w:val="none" w:sz="0" w:space="0" w:color="auto"/>
      </w:divBdr>
    </w:div>
    <w:div w:id="2119133129">
      <w:bodyDiv w:val="1"/>
      <w:marLeft w:val="0"/>
      <w:marRight w:val="0"/>
      <w:marTop w:val="0"/>
      <w:marBottom w:val="0"/>
      <w:divBdr>
        <w:top w:val="none" w:sz="0" w:space="0" w:color="auto"/>
        <w:left w:val="none" w:sz="0" w:space="0" w:color="auto"/>
        <w:bottom w:val="none" w:sz="0" w:space="0" w:color="auto"/>
        <w:right w:val="none" w:sz="0" w:space="0" w:color="auto"/>
      </w:divBdr>
    </w:div>
    <w:div w:id="2119325760">
      <w:bodyDiv w:val="1"/>
      <w:marLeft w:val="0"/>
      <w:marRight w:val="0"/>
      <w:marTop w:val="0"/>
      <w:marBottom w:val="0"/>
      <w:divBdr>
        <w:top w:val="none" w:sz="0" w:space="0" w:color="auto"/>
        <w:left w:val="none" w:sz="0" w:space="0" w:color="auto"/>
        <w:bottom w:val="none" w:sz="0" w:space="0" w:color="auto"/>
        <w:right w:val="none" w:sz="0" w:space="0" w:color="auto"/>
      </w:divBdr>
    </w:div>
    <w:div w:id="2119444838">
      <w:bodyDiv w:val="1"/>
      <w:marLeft w:val="0"/>
      <w:marRight w:val="0"/>
      <w:marTop w:val="0"/>
      <w:marBottom w:val="0"/>
      <w:divBdr>
        <w:top w:val="none" w:sz="0" w:space="0" w:color="auto"/>
        <w:left w:val="none" w:sz="0" w:space="0" w:color="auto"/>
        <w:bottom w:val="none" w:sz="0" w:space="0" w:color="auto"/>
        <w:right w:val="none" w:sz="0" w:space="0" w:color="auto"/>
      </w:divBdr>
    </w:div>
    <w:div w:id="2120101326">
      <w:bodyDiv w:val="1"/>
      <w:marLeft w:val="0"/>
      <w:marRight w:val="0"/>
      <w:marTop w:val="0"/>
      <w:marBottom w:val="0"/>
      <w:divBdr>
        <w:top w:val="none" w:sz="0" w:space="0" w:color="auto"/>
        <w:left w:val="none" w:sz="0" w:space="0" w:color="auto"/>
        <w:bottom w:val="none" w:sz="0" w:space="0" w:color="auto"/>
        <w:right w:val="none" w:sz="0" w:space="0" w:color="auto"/>
      </w:divBdr>
    </w:div>
    <w:div w:id="2120249432">
      <w:bodyDiv w:val="1"/>
      <w:marLeft w:val="0"/>
      <w:marRight w:val="0"/>
      <w:marTop w:val="0"/>
      <w:marBottom w:val="0"/>
      <w:divBdr>
        <w:top w:val="none" w:sz="0" w:space="0" w:color="auto"/>
        <w:left w:val="none" w:sz="0" w:space="0" w:color="auto"/>
        <w:bottom w:val="none" w:sz="0" w:space="0" w:color="auto"/>
        <w:right w:val="none" w:sz="0" w:space="0" w:color="auto"/>
      </w:divBdr>
    </w:div>
    <w:div w:id="2120295114">
      <w:bodyDiv w:val="1"/>
      <w:marLeft w:val="0"/>
      <w:marRight w:val="0"/>
      <w:marTop w:val="0"/>
      <w:marBottom w:val="0"/>
      <w:divBdr>
        <w:top w:val="none" w:sz="0" w:space="0" w:color="auto"/>
        <w:left w:val="none" w:sz="0" w:space="0" w:color="auto"/>
        <w:bottom w:val="none" w:sz="0" w:space="0" w:color="auto"/>
        <w:right w:val="none" w:sz="0" w:space="0" w:color="auto"/>
      </w:divBdr>
    </w:div>
    <w:div w:id="2120946095">
      <w:bodyDiv w:val="1"/>
      <w:marLeft w:val="0"/>
      <w:marRight w:val="0"/>
      <w:marTop w:val="0"/>
      <w:marBottom w:val="0"/>
      <w:divBdr>
        <w:top w:val="none" w:sz="0" w:space="0" w:color="auto"/>
        <w:left w:val="none" w:sz="0" w:space="0" w:color="auto"/>
        <w:bottom w:val="none" w:sz="0" w:space="0" w:color="auto"/>
        <w:right w:val="none" w:sz="0" w:space="0" w:color="auto"/>
      </w:divBdr>
    </w:div>
    <w:div w:id="2121289730">
      <w:bodyDiv w:val="1"/>
      <w:marLeft w:val="0"/>
      <w:marRight w:val="0"/>
      <w:marTop w:val="0"/>
      <w:marBottom w:val="0"/>
      <w:divBdr>
        <w:top w:val="none" w:sz="0" w:space="0" w:color="auto"/>
        <w:left w:val="none" w:sz="0" w:space="0" w:color="auto"/>
        <w:bottom w:val="none" w:sz="0" w:space="0" w:color="auto"/>
        <w:right w:val="none" w:sz="0" w:space="0" w:color="auto"/>
      </w:divBdr>
    </w:div>
    <w:div w:id="2122525420">
      <w:bodyDiv w:val="1"/>
      <w:marLeft w:val="0"/>
      <w:marRight w:val="0"/>
      <w:marTop w:val="0"/>
      <w:marBottom w:val="0"/>
      <w:divBdr>
        <w:top w:val="none" w:sz="0" w:space="0" w:color="auto"/>
        <w:left w:val="none" w:sz="0" w:space="0" w:color="auto"/>
        <w:bottom w:val="none" w:sz="0" w:space="0" w:color="auto"/>
        <w:right w:val="none" w:sz="0" w:space="0" w:color="auto"/>
      </w:divBdr>
    </w:div>
    <w:div w:id="2122872444">
      <w:bodyDiv w:val="1"/>
      <w:marLeft w:val="0"/>
      <w:marRight w:val="0"/>
      <w:marTop w:val="0"/>
      <w:marBottom w:val="0"/>
      <w:divBdr>
        <w:top w:val="none" w:sz="0" w:space="0" w:color="auto"/>
        <w:left w:val="none" w:sz="0" w:space="0" w:color="auto"/>
        <w:bottom w:val="none" w:sz="0" w:space="0" w:color="auto"/>
        <w:right w:val="none" w:sz="0" w:space="0" w:color="auto"/>
      </w:divBdr>
    </w:div>
    <w:div w:id="2123187806">
      <w:bodyDiv w:val="1"/>
      <w:marLeft w:val="0"/>
      <w:marRight w:val="0"/>
      <w:marTop w:val="0"/>
      <w:marBottom w:val="0"/>
      <w:divBdr>
        <w:top w:val="none" w:sz="0" w:space="0" w:color="auto"/>
        <w:left w:val="none" w:sz="0" w:space="0" w:color="auto"/>
        <w:bottom w:val="none" w:sz="0" w:space="0" w:color="auto"/>
        <w:right w:val="none" w:sz="0" w:space="0" w:color="auto"/>
      </w:divBdr>
    </w:div>
    <w:div w:id="2124299614">
      <w:bodyDiv w:val="1"/>
      <w:marLeft w:val="0"/>
      <w:marRight w:val="0"/>
      <w:marTop w:val="0"/>
      <w:marBottom w:val="0"/>
      <w:divBdr>
        <w:top w:val="none" w:sz="0" w:space="0" w:color="auto"/>
        <w:left w:val="none" w:sz="0" w:space="0" w:color="auto"/>
        <w:bottom w:val="none" w:sz="0" w:space="0" w:color="auto"/>
        <w:right w:val="none" w:sz="0" w:space="0" w:color="auto"/>
      </w:divBdr>
    </w:div>
    <w:div w:id="2124422976">
      <w:bodyDiv w:val="1"/>
      <w:marLeft w:val="0"/>
      <w:marRight w:val="0"/>
      <w:marTop w:val="0"/>
      <w:marBottom w:val="0"/>
      <w:divBdr>
        <w:top w:val="none" w:sz="0" w:space="0" w:color="auto"/>
        <w:left w:val="none" w:sz="0" w:space="0" w:color="auto"/>
        <w:bottom w:val="none" w:sz="0" w:space="0" w:color="auto"/>
        <w:right w:val="none" w:sz="0" w:space="0" w:color="auto"/>
      </w:divBdr>
    </w:div>
    <w:div w:id="2124685235">
      <w:bodyDiv w:val="1"/>
      <w:marLeft w:val="0"/>
      <w:marRight w:val="0"/>
      <w:marTop w:val="0"/>
      <w:marBottom w:val="0"/>
      <w:divBdr>
        <w:top w:val="none" w:sz="0" w:space="0" w:color="auto"/>
        <w:left w:val="none" w:sz="0" w:space="0" w:color="auto"/>
        <w:bottom w:val="none" w:sz="0" w:space="0" w:color="auto"/>
        <w:right w:val="none" w:sz="0" w:space="0" w:color="auto"/>
      </w:divBdr>
    </w:div>
    <w:div w:id="2124761372">
      <w:bodyDiv w:val="1"/>
      <w:marLeft w:val="0"/>
      <w:marRight w:val="0"/>
      <w:marTop w:val="0"/>
      <w:marBottom w:val="0"/>
      <w:divBdr>
        <w:top w:val="none" w:sz="0" w:space="0" w:color="auto"/>
        <w:left w:val="none" w:sz="0" w:space="0" w:color="auto"/>
        <w:bottom w:val="none" w:sz="0" w:space="0" w:color="auto"/>
        <w:right w:val="none" w:sz="0" w:space="0" w:color="auto"/>
      </w:divBdr>
    </w:div>
    <w:div w:id="2124954932">
      <w:bodyDiv w:val="1"/>
      <w:marLeft w:val="0"/>
      <w:marRight w:val="0"/>
      <w:marTop w:val="0"/>
      <w:marBottom w:val="0"/>
      <w:divBdr>
        <w:top w:val="none" w:sz="0" w:space="0" w:color="auto"/>
        <w:left w:val="none" w:sz="0" w:space="0" w:color="auto"/>
        <w:bottom w:val="none" w:sz="0" w:space="0" w:color="auto"/>
        <w:right w:val="none" w:sz="0" w:space="0" w:color="auto"/>
      </w:divBdr>
    </w:div>
    <w:div w:id="2125341750">
      <w:bodyDiv w:val="1"/>
      <w:marLeft w:val="0"/>
      <w:marRight w:val="0"/>
      <w:marTop w:val="0"/>
      <w:marBottom w:val="0"/>
      <w:divBdr>
        <w:top w:val="none" w:sz="0" w:space="0" w:color="auto"/>
        <w:left w:val="none" w:sz="0" w:space="0" w:color="auto"/>
        <w:bottom w:val="none" w:sz="0" w:space="0" w:color="auto"/>
        <w:right w:val="none" w:sz="0" w:space="0" w:color="auto"/>
      </w:divBdr>
    </w:div>
    <w:div w:id="2125417484">
      <w:bodyDiv w:val="1"/>
      <w:marLeft w:val="0"/>
      <w:marRight w:val="0"/>
      <w:marTop w:val="0"/>
      <w:marBottom w:val="0"/>
      <w:divBdr>
        <w:top w:val="none" w:sz="0" w:space="0" w:color="auto"/>
        <w:left w:val="none" w:sz="0" w:space="0" w:color="auto"/>
        <w:bottom w:val="none" w:sz="0" w:space="0" w:color="auto"/>
        <w:right w:val="none" w:sz="0" w:space="0" w:color="auto"/>
      </w:divBdr>
    </w:div>
    <w:div w:id="2125877821">
      <w:bodyDiv w:val="1"/>
      <w:marLeft w:val="0"/>
      <w:marRight w:val="0"/>
      <w:marTop w:val="0"/>
      <w:marBottom w:val="0"/>
      <w:divBdr>
        <w:top w:val="none" w:sz="0" w:space="0" w:color="auto"/>
        <w:left w:val="none" w:sz="0" w:space="0" w:color="auto"/>
        <w:bottom w:val="none" w:sz="0" w:space="0" w:color="auto"/>
        <w:right w:val="none" w:sz="0" w:space="0" w:color="auto"/>
      </w:divBdr>
    </w:div>
    <w:div w:id="2126001063">
      <w:bodyDiv w:val="1"/>
      <w:marLeft w:val="0"/>
      <w:marRight w:val="0"/>
      <w:marTop w:val="0"/>
      <w:marBottom w:val="0"/>
      <w:divBdr>
        <w:top w:val="none" w:sz="0" w:space="0" w:color="auto"/>
        <w:left w:val="none" w:sz="0" w:space="0" w:color="auto"/>
        <w:bottom w:val="none" w:sz="0" w:space="0" w:color="auto"/>
        <w:right w:val="none" w:sz="0" w:space="0" w:color="auto"/>
      </w:divBdr>
    </w:div>
    <w:div w:id="2126079563">
      <w:bodyDiv w:val="1"/>
      <w:marLeft w:val="0"/>
      <w:marRight w:val="0"/>
      <w:marTop w:val="0"/>
      <w:marBottom w:val="0"/>
      <w:divBdr>
        <w:top w:val="none" w:sz="0" w:space="0" w:color="auto"/>
        <w:left w:val="none" w:sz="0" w:space="0" w:color="auto"/>
        <w:bottom w:val="none" w:sz="0" w:space="0" w:color="auto"/>
        <w:right w:val="none" w:sz="0" w:space="0" w:color="auto"/>
      </w:divBdr>
    </w:div>
    <w:div w:id="2126120068">
      <w:bodyDiv w:val="1"/>
      <w:marLeft w:val="0"/>
      <w:marRight w:val="0"/>
      <w:marTop w:val="0"/>
      <w:marBottom w:val="0"/>
      <w:divBdr>
        <w:top w:val="none" w:sz="0" w:space="0" w:color="auto"/>
        <w:left w:val="none" w:sz="0" w:space="0" w:color="auto"/>
        <w:bottom w:val="none" w:sz="0" w:space="0" w:color="auto"/>
        <w:right w:val="none" w:sz="0" w:space="0" w:color="auto"/>
      </w:divBdr>
    </w:div>
    <w:div w:id="2126464674">
      <w:bodyDiv w:val="1"/>
      <w:marLeft w:val="0"/>
      <w:marRight w:val="0"/>
      <w:marTop w:val="0"/>
      <w:marBottom w:val="0"/>
      <w:divBdr>
        <w:top w:val="none" w:sz="0" w:space="0" w:color="auto"/>
        <w:left w:val="none" w:sz="0" w:space="0" w:color="auto"/>
        <w:bottom w:val="none" w:sz="0" w:space="0" w:color="auto"/>
        <w:right w:val="none" w:sz="0" w:space="0" w:color="auto"/>
      </w:divBdr>
    </w:div>
    <w:div w:id="2126845153">
      <w:bodyDiv w:val="1"/>
      <w:marLeft w:val="0"/>
      <w:marRight w:val="0"/>
      <w:marTop w:val="0"/>
      <w:marBottom w:val="0"/>
      <w:divBdr>
        <w:top w:val="none" w:sz="0" w:space="0" w:color="auto"/>
        <w:left w:val="none" w:sz="0" w:space="0" w:color="auto"/>
        <w:bottom w:val="none" w:sz="0" w:space="0" w:color="auto"/>
        <w:right w:val="none" w:sz="0" w:space="0" w:color="auto"/>
      </w:divBdr>
    </w:div>
    <w:div w:id="2127307910">
      <w:bodyDiv w:val="1"/>
      <w:marLeft w:val="0"/>
      <w:marRight w:val="0"/>
      <w:marTop w:val="0"/>
      <w:marBottom w:val="0"/>
      <w:divBdr>
        <w:top w:val="none" w:sz="0" w:space="0" w:color="auto"/>
        <w:left w:val="none" w:sz="0" w:space="0" w:color="auto"/>
        <w:bottom w:val="none" w:sz="0" w:space="0" w:color="auto"/>
        <w:right w:val="none" w:sz="0" w:space="0" w:color="auto"/>
      </w:divBdr>
    </w:div>
    <w:div w:id="2127430175">
      <w:bodyDiv w:val="1"/>
      <w:marLeft w:val="0"/>
      <w:marRight w:val="0"/>
      <w:marTop w:val="0"/>
      <w:marBottom w:val="0"/>
      <w:divBdr>
        <w:top w:val="none" w:sz="0" w:space="0" w:color="auto"/>
        <w:left w:val="none" w:sz="0" w:space="0" w:color="auto"/>
        <w:bottom w:val="none" w:sz="0" w:space="0" w:color="auto"/>
        <w:right w:val="none" w:sz="0" w:space="0" w:color="auto"/>
      </w:divBdr>
    </w:div>
    <w:div w:id="2127893480">
      <w:bodyDiv w:val="1"/>
      <w:marLeft w:val="0"/>
      <w:marRight w:val="0"/>
      <w:marTop w:val="0"/>
      <w:marBottom w:val="0"/>
      <w:divBdr>
        <w:top w:val="none" w:sz="0" w:space="0" w:color="auto"/>
        <w:left w:val="none" w:sz="0" w:space="0" w:color="auto"/>
        <w:bottom w:val="none" w:sz="0" w:space="0" w:color="auto"/>
        <w:right w:val="none" w:sz="0" w:space="0" w:color="auto"/>
      </w:divBdr>
    </w:div>
    <w:div w:id="2128042329">
      <w:bodyDiv w:val="1"/>
      <w:marLeft w:val="0"/>
      <w:marRight w:val="0"/>
      <w:marTop w:val="0"/>
      <w:marBottom w:val="0"/>
      <w:divBdr>
        <w:top w:val="none" w:sz="0" w:space="0" w:color="auto"/>
        <w:left w:val="none" w:sz="0" w:space="0" w:color="auto"/>
        <w:bottom w:val="none" w:sz="0" w:space="0" w:color="auto"/>
        <w:right w:val="none" w:sz="0" w:space="0" w:color="auto"/>
      </w:divBdr>
    </w:div>
    <w:div w:id="2128043287">
      <w:bodyDiv w:val="1"/>
      <w:marLeft w:val="0"/>
      <w:marRight w:val="0"/>
      <w:marTop w:val="0"/>
      <w:marBottom w:val="0"/>
      <w:divBdr>
        <w:top w:val="none" w:sz="0" w:space="0" w:color="auto"/>
        <w:left w:val="none" w:sz="0" w:space="0" w:color="auto"/>
        <w:bottom w:val="none" w:sz="0" w:space="0" w:color="auto"/>
        <w:right w:val="none" w:sz="0" w:space="0" w:color="auto"/>
      </w:divBdr>
    </w:div>
    <w:div w:id="2128229810">
      <w:bodyDiv w:val="1"/>
      <w:marLeft w:val="0"/>
      <w:marRight w:val="0"/>
      <w:marTop w:val="0"/>
      <w:marBottom w:val="0"/>
      <w:divBdr>
        <w:top w:val="none" w:sz="0" w:space="0" w:color="auto"/>
        <w:left w:val="none" w:sz="0" w:space="0" w:color="auto"/>
        <w:bottom w:val="none" w:sz="0" w:space="0" w:color="auto"/>
        <w:right w:val="none" w:sz="0" w:space="0" w:color="auto"/>
      </w:divBdr>
    </w:div>
    <w:div w:id="2129471333">
      <w:bodyDiv w:val="1"/>
      <w:marLeft w:val="0"/>
      <w:marRight w:val="0"/>
      <w:marTop w:val="0"/>
      <w:marBottom w:val="0"/>
      <w:divBdr>
        <w:top w:val="none" w:sz="0" w:space="0" w:color="auto"/>
        <w:left w:val="none" w:sz="0" w:space="0" w:color="auto"/>
        <w:bottom w:val="none" w:sz="0" w:space="0" w:color="auto"/>
        <w:right w:val="none" w:sz="0" w:space="0" w:color="auto"/>
      </w:divBdr>
    </w:div>
    <w:div w:id="2130278324">
      <w:bodyDiv w:val="1"/>
      <w:marLeft w:val="0"/>
      <w:marRight w:val="0"/>
      <w:marTop w:val="0"/>
      <w:marBottom w:val="0"/>
      <w:divBdr>
        <w:top w:val="none" w:sz="0" w:space="0" w:color="auto"/>
        <w:left w:val="none" w:sz="0" w:space="0" w:color="auto"/>
        <w:bottom w:val="none" w:sz="0" w:space="0" w:color="auto"/>
        <w:right w:val="none" w:sz="0" w:space="0" w:color="auto"/>
      </w:divBdr>
    </w:div>
    <w:div w:id="2130587622">
      <w:bodyDiv w:val="1"/>
      <w:marLeft w:val="0"/>
      <w:marRight w:val="0"/>
      <w:marTop w:val="0"/>
      <w:marBottom w:val="0"/>
      <w:divBdr>
        <w:top w:val="none" w:sz="0" w:space="0" w:color="auto"/>
        <w:left w:val="none" w:sz="0" w:space="0" w:color="auto"/>
        <w:bottom w:val="none" w:sz="0" w:space="0" w:color="auto"/>
        <w:right w:val="none" w:sz="0" w:space="0" w:color="auto"/>
      </w:divBdr>
    </w:div>
    <w:div w:id="2130858599">
      <w:bodyDiv w:val="1"/>
      <w:marLeft w:val="0"/>
      <w:marRight w:val="0"/>
      <w:marTop w:val="0"/>
      <w:marBottom w:val="0"/>
      <w:divBdr>
        <w:top w:val="none" w:sz="0" w:space="0" w:color="auto"/>
        <w:left w:val="none" w:sz="0" w:space="0" w:color="auto"/>
        <w:bottom w:val="none" w:sz="0" w:space="0" w:color="auto"/>
        <w:right w:val="none" w:sz="0" w:space="0" w:color="auto"/>
      </w:divBdr>
    </w:div>
    <w:div w:id="2131045513">
      <w:bodyDiv w:val="1"/>
      <w:marLeft w:val="0"/>
      <w:marRight w:val="0"/>
      <w:marTop w:val="0"/>
      <w:marBottom w:val="0"/>
      <w:divBdr>
        <w:top w:val="none" w:sz="0" w:space="0" w:color="auto"/>
        <w:left w:val="none" w:sz="0" w:space="0" w:color="auto"/>
        <w:bottom w:val="none" w:sz="0" w:space="0" w:color="auto"/>
        <w:right w:val="none" w:sz="0" w:space="0" w:color="auto"/>
      </w:divBdr>
    </w:div>
    <w:div w:id="2131125293">
      <w:bodyDiv w:val="1"/>
      <w:marLeft w:val="0"/>
      <w:marRight w:val="0"/>
      <w:marTop w:val="0"/>
      <w:marBottom w:val="0"/>
      <w:divBdr>
        <w:top w:val="none" w:sz="0" w:space="0" w:color="auto"/>
        <w:left w:val="none" w:sz="0" w:space="0" w:color="auto"/>
        <w:bottom w:val="none" w:sz="0" w:space="0" w:color="auto"/>
        <w:right w:val="none" w:sz="0" w:space="0" w:color="auto"/>
      </w:divBdr>
    </w:div>
    <w:div w:id="2131774141">
      <w:bodyDiv w:val="1"/>
      <w:marLeft w:val="0"/>
      <w:marRight w:val="0"/>
      <w:marTop w:val="0"/>
      <w:marBottom w:val="0"/>
      <w:divBdr>
        <w:top w:val="none" w:sz="0" w:space="0" w:color="auto"/>
        <w:left w:val="none" w:sz="0" w:space="0" w:color="auto"/>
        <w:bottom w:val="none" w:sz="0" w:space="0" w:color="auto"/>
        <w:right w:val="none" w:sz="0" w:space="0" w:color="auto"/>
      </w:divBdr>
    </w:div>
    <w:div w:id="2132166935">
      <w:bodyDiv w:val="1"/>
      <w:marLeft w:val="0"/>
      <w:marRight w:val="0"/>
      <w:marTop w:val="0"/>
      <w:marBottom w:val="0"/>
      <w:divBdr>
        <w:top w:val="none" w:sz="0" w:space="0" w:color="auto"/>
        <w:left w:val="none" w:sz="0" w:space="0" w:color="auto"/>
        <w:bottom w:val="none" w:sz="0" w:space="0" w:color="auto"/>
        <w:right w:val="none" w:sz="0" w:space="0" w:color="auto"/>
      </w:divBdr>
    </w:div>
    <w:div w:id="2132363065">
      <w:bodyDiv w:val="1"/>
      <w:marLeft w:val="0"/>
      <w:marRight w:val="0"/>
      <w:marTop w:val="0"/>
      <w:marBottom w:val="0"/>
      <w:divBdr>
        <w:top w:val="none" w:sz="0" w:space="0" w:color="auto"/>
        <w:left w:val="none" w:sz="0" w:space="0" w:color="auto"/>
        <w:bottom w:val="none" w:sz="0" w:space="0" w:color="auto"/>
        <w:right w:val="none" w:sz="0" w:space="0" w:color="auto"/>
      </w:divBdr>
    </w:div>
    <w:div w:id="2132432829">
      <w:bodyDiv w:val="1"/>
      <w:marLeft w:val="0"/>
      <w:marRight w:val="0"/>
      <w:marTop w:val="0"/>
      <w:marBottom w:val="0"/>
      <w:divBdr>
        <w:top w:val="none" w:sz="0" w:space="0" w:color="auto"/>
        <w:left w:val="none" w:sz="0" w:space="0" w:color="auto"/>
        <w:bottom w:val="none" w:sz="0" w:space="0" w:color="auto"/>
        <w:right w:val="none" w:sz="0" w:space="0" w:color="auto"/>
      </w:divBdr>
    </w:div>
    <w:div w:id="2133015644">
      <w:bodyDiv w:val="1"/>
      <w:marLeft w:val="0"/>
      <w:marRight w:val="0"/>
      <w:marTop w:val="0"/>
      <w:marBottom w:val="0"/>
      <w:divBdr>
        <w:top w:val="none" w:sz="0" w:space="0" w:color="auto"/>
        <w:left w:val="none" w:sz="0" w:space="0" w:color="auto"/>
        <w:bottom w:val="none" w:sz="0" w:space="0" w:color="auto"/>
        <w:right w:val="none" w:sz="0" w:space="0" w:color="auto"/>
      </w:divBdr>
    </w:div>
    <w:div w:id="2133472867">
      <w:bodyDiv w:val="1"/>
      <w:marLeft w:val="0"/>
      <w:marRight w:val="0"/>
      <w:marTop w:val="0"/>
      <w:marBottom w:val="0"/>
      <w:divBdr>
        <w:top w:val="none" w:sz="0" w:space="0" w:color="auto"/>
        <w:left w:val="none" w:sz="0" w:space="0" w:color="auto"/>
        <w:bottom w:val="none" w:sz="0" w:space="0" w:color="auto"/>
        <w:right w:val="none" w:sz="0" w:space="0" w:color="auto"/>
      </w:divBdr>
    </w:div>
    <w:div w:id="2133597896">
      <w:bodyDiv w:val="1"/>
      <w:marLeft w:val="0"/>
      <w:marRight w:val="0"/>
      <w:marTop w:val="0"/>
      <w:marBottom w:val="0"/>
      <w:divBdr>
        <w:top w:val="none" w:sz="0" w:space="0" w:color="auto"/>
        <w:left w:val="none" w:sz="0" w:space="0" w:color="auto"/>
        <w:bottom w:val="none" w:sz="0" w:space="0" w:color="auto"/>
        <w:right w:val="none" w:sz="0" w:space="0" w:color="auto"/>
      </w:divBdr>
    </w:div>
    <w:div w:id="2133791279">
      <w:bodyDiv w:val="1"/>
      <w:marLeft w:val="0"/>
      <w:marRight w:val="0"/>
      <w:marTop w:val="0"/>
      <w:marBottom w:val="0"/>
      <w:divBdr>
        <w:top w:val="none" w:sz="0" w:space="0" w:color="auto"/>
        <w:left w:val="none" w:sz="0" w:space="0" w:color="auto"/>
        <w:bottom w:val="none" w:sz="0" w:space="0" w:color="auto"/>
        <w:right w:val="none" w:sz="0" w:space="0" w:color="auto"/>
      </w:divBdr>
    </w:div>
    <w:div w:id="2133934865">
      <w:bodyDiv w:val="1"/>
      <w:marLeft w:val="0"/>
      <w:marRight w:val="0"/>
      <w:marTop w:val="0"/>
      <w:marBottom w:val="0"/>
      <w:divBdr>
        <w:top w:val="none" w:sz="0" w:space="0" w:color="auto"/>
        <w:left w:val="none" w:sz="0" w:space="0" w:color="auto"/>
        <w:bottom w:val="none" w:sz="0" w:space="0" w:color="auto"/>
        <w:right w:val="none" w:sz="0" w:space="0" w:color="auto"/>
      </w:divBdr>
    </w:div>
    <w:div w:id="2134207334">
      <w:bodyDiv w:val="1"/>
      <w:marLeft w:val="0"/>
      <w:marRight w:val="0"/>
      <w:marTop w:val="0"/>
      <w:marBottom w:val="0"/>
      <w:divBdr>
        <w:top w:val="none" w:sz="0" w:space="0" w:color="auto"/>
        <w:left w:val="none" w:sz="0" w:space="0" w:color="auto"/>
        <w:bottom w:val="none" w:sz="0" w:space="0" w:color="auto"/>
        <w:right w:val="none" w:sz="0" w:space="0" w:color="auto"/>
      </w:divBdr>
    </w:div>
    <w:div w:id="2134513944">
      <w:bodyDiv w:val="1"/>
      <w:marLeft w:val="0"/>
      <w:marRight w:val="0"/>
      <w:marTop w:val="0"/>
      <w:marBottom w:val="0"/>
      <w:divBdr>
        <w:top w:val="none" w:sz="0" w:space="0" w:color="auto"/>
        <w:left w:val="none" w:sz="0" w:space="0" w:color="auto"/>
        <w:bottom w:val="none" w:sz="0" w:space="0" w:color="auto"/>
        <w:right w:val="none" w:sz="0" w:space="0" w:color="auto"/>
      </w:divBdr>
    </w:div>
    <w:div w:id="2134520373">
      <w:bodyDiv w:val="1"/>
      <w:marLeft w:val="0"/>
      <w:marRight w:val="0"/>
      <w:marTop w:val="0"/>
      <w:marBottom w:val="0"/>
      <w:divBdr>
        <w:top w:val="none" w:sz="0" w:space="0" w:color="auto"/>
        <w:left w:val="none" w:sz="0" w:space="0" w:color="auto"/>
        <w:bottom w:val="none" w:sz="0" w:space="0" w:color="auto"/>
        <w:right w:val="none" w:sz="0" w:space="0" w:color="auto"/>
      </w:divBdr>
    </w:div>
    <w:div w:id="2134789454">
      <w:bodyDiv w:val="1"/>
      <w:marLeft w:val="0"/>
      <w:marRight w:val="0"/>
      <w:marTop w:val="0"/>
      <w:marBottom w:val="0"/>
      <w:divBdr>
        <w:top w:val="none" w:sz="0" w:space="0" w:color="auto"/>
        <w:left w:val="none" w:sz="0" w:space="0" w:color="auto"/>
        <w:bottom w:val="none" w:sz="0" w:space="0" w:color="auto"/>
        <w:right w:val="none" w:sz="0" w:space="0" w:color="auto"/>
      </w:divBdr>
    </w:div>
    <w:div w:id="2135098093">
      <w:bodyDiv w:val="1"/>
      <w:marLeft w:val="0"/>
      <w:marRight w:val="0"/>
      <w:marTop w:val="0"/>
      <w:marBottom w:val="0"/>
      <w:divBdr>
        <w:top w:val="none" w:sz="0" w:space="0" w:color="auto"/>
        <w:left w:val="none" w:sz="0" w:space="0" w:color="auto"/>
        <w:bottom w:val="none" w:sz="0" w:space="0" w:color="auto"/>
        <w:right w:val="none" w:sz="0" w:space="0" w:color="auto"/>
      </w:divBdr>
    </w:div>
    <w:div w:id="2135177207">
      <w:bodyDiv w:val="1"/>
      <w:marLeft w:val="0"/>
      <w:marRight w:val="0"/>
      <w:marTop w:val="0"/>
      <w:marBottom w:val="0"/>
      <w:divBdr>
        <w:top w:val="none" w:sz="0" w:space="0" w:color="auto"/>
        <w:left w:val="none" w:sz="0" w:space="0" w:color="auto"/>
        <w:bottom w:val="none" w:sz="0" w:space="0" w:color="auto"/>
        <w:right w:val="none" w:sz="0" w:space="0" w:color="auto"/>
      </w:divBdr>
    </w:div>
    <w:div w:id="2135714164">
      <w:bodyDiv w:val="1"/>
      <w:marLeft w:val="0"/>
      <w:marRight w:val="0"/>
      <w:marTop w:val="0"/>
      <w:marBottom w:val="0"/>
      <w:divBdr>
        <w:top w:val="none" w:sz="0" w:space="0" w:color="auto"/>
        <w:left w:val="none" w:sz="0" w:space="0" w:color="auto"/>
        <w:bottom w:val="none" w:sz="0" w:space="0" w:color="auto"/>
        <w:right w:val="none" w:sz="0" w:space="0" w:color="auto"/>
      </w:divBdr>
    </w:div>
    <w:div w:id="2135976307">
      <w:bodyDiv w:val="1"/>
      <w:marLeft w:val="0"/>
      <w:marRight w:val="0"/>
      <w:marTop w:val="0"/>
      <w:marBottom w:val="0"/>
      <w:divBdr>
        <w:top w:val="none" w:sz="0" w:space="0" w:color="auto"/>
        <w:left w:val="none" w:sz="0" w:space="0" w:color="auto"/>
        <w:bottom w:val="none" w:sz="0" w:space="0" w:color="auto"/>
        <w:right w:val="none" w:sz="0" w:space="0" w:color="auto"/>
      </w:divBdr>
    </w:div>
    <w:div w:id="2136172395">
      <w:bodyDiv w:val="1"/>
      <w:marLeft w:val="0"/>
      <w:marRight w:val="0"/>
      <w:marTop w:val="0"/>
      <w:marBottom w:val="0"/>
      <w:divBdr>
        <w:top w:val="none" w:sz="0" w:space="0" w:color="auto"/>
        <w:left w:val="none" w:sz="0" w:space="0" w:color="auto"/>
        <w:bottom w:val="none" w:sz="0" w:space="0" w:color="auto"/>
        <w:right w:val="none" w:sz="0" w:space="0" w:color="auto"/>
      </w:divBdr>
    </w:div>
    <w:div w:id="2136213317">
      <w:bodyDiv w:val="1"/>
      <w:marLeft w:val="0"/>
      <w:marRight w:val="0"/>
      <w:marTop w:val="0"/>
      <w:marBottom w:val="0"/>
      <w:divBdr>
        <w:top w:val="none" w:sz="0" w:space="0" w:color="auto"/>
        <w:left w:val="none" w:sz="0" w:space="0" w:color="auto"/>
        <w:bottom w:val="none" w:sz="0" w:space="0" w:color="auto"/>
        <w:right w:val="none" w:sz="0" w:space="0" w:color="auto"/>
      </w:divBdr>
    </w:div>
    <w:div w:id="2136215923">
      <w:bodyDiv w:val="1"/>
      <w:marLeft w:val="0"/>
      <w:marRight w:val="0"/>
      <w:marTop w:val="0"/>
      <w:marBottom w:val="0"/>
      <w:divBdr>
        <w:top w:val="none" w:sz="0" w:space="0" w:color="auto"/>
        <w:left w:val="none" w:sz="0" w:space="0" w:color="auto"/>
        <w:bottom w:val="none" w:sz="0" w:space="0" w:color="auto"/>
        <w:right w:val="none" w:sz="0" w:space="0" w:color="auto"/>
      </w:divBdr>
    </w:div>
    <w:div w:id="2136749981">
      <w:bodyDiv w:val="1"/>
      <w:marLeft w:val="0"/>
      <w:marRight w:val="0"/>
      <w:marTop w:val="0"/>
      <w:marBottom w:val="0"/>
      <w:divBdr>
        <w:top w:val="none" w:sz="0" w:space="0" w:color="auto"/>
        <w:left w:val="none" w:sz="0" w:space="0" w:color="auto"/>
        <w:bottom w:val="none" w:sz="0" w:space="0" w:color="auto"/>
        <w:right w:val="none" w:sz="0" w:space="0" w:color="auto"/>
      </w:divBdr>
    </w:div>
    <w:div w:id="2136831070">
      <w:bodyDiv w:val="1"/>
      <w:marLeft w:val="0"/>
      <w:marRight w:val="0"/>
      <w:marTop w:val="0"/>
      <w:marBottom w:val="0"/>
      <w:divBdr>
        <w:top w:val="none" w:sz="0" w:space="0" w:color="auto"/>
        <w:left w:val="none" w:sz="0" w:space="0" w:color="auto"/>
        <w:bottom w:val="none" w:sz="0" w:space="0" w:color="auto"/>
        <w:right w:val="none" w:sz="0" w:space="0" w:color="auto"/>
      </w:divBdr>
    </w:div>
    <w:div w:id="2137140413">
      <w:bodyDiv w:val="1"/>
      <w:marLeft w:val="0"/>
      <w:marRight w:val="0"/>
      <w:marTop w:val="0"/>
      <w:marBottom w:val="0"/>
      <w:divBdr>
        <w:top w:val="none" w:sz="0" w:space="0" w:color="auto"/>
        <w:left w:val="none" w:sz="0" w:space="0" w:color="auto"/>
        <w:bottom w:val="none" w:sz="0" w:space="0" w:color="auto"/>
        <w:right w:val="none" w:sz="0" w:space="0" w:color="auto"/>
      </w:divBdr>
    </w:div>
    <w:div w:id="2137143736">
      <w:bodyDiv w:val="1"/>
      <w:marLeft w:val="0"/>
      <w:marRight w:val="0"/>
      <w:marTop w:val="0"/>
      <w:marBottom w:val="0"/>
      <w:divBdr>
        <w:top w:val="none" w:sz="0" w:space="0" w:color="auto"/>
        <w:left w:val="none" w:sz="0" w:space="0" w:color="auto"/>
        <w:bottom w:val="none" w:sz="0" w:space="0" w:color="auto"/>
        <w:right w:val="none" w:sz="0" w:space="0" w:color="auto"/>
      </w:divBdr>
    </w:div>
    <w:div w:id="2137284858">
      <w:bodyDiv w:val="1"/>
      <w:marLeft w:val="0"/>
      <w:marRight w:val="0"/>
      <w:marTop w:val="0"/>
      <w:marBottom w:val="0"/>
      <w:divBdr>
        <w:top w:val="none" w:sz="0" w:space="0" w:color="auto"/>
        <w:left w:val="none" w:sz="0" w:space="0" w:color="auto"/>
        <w:bottom w:val="none" w:sz="0" w:space="0" w:color="auto"/>
        <w:right w:val="none" w:sz="0" w:space="0" w:color="auto"/>
      </w:divBdr>
    </w:div>
    <w:div w:id="2137481905">
      <w:bodyDiv w:val="1"/>
      <w:marLeft w:val="0"/>
      <w:marRight w:val="0"/>
      <w:marTop w:val="0"/>
      <w:marBottom w:val="0"/>
      <w:divBdr>
        <w:top w:val="none" w:sz="0" w:space="0" w:color="auto"/>
        <w:left w:val="none" w:sz="0" w:space="0" w:color="auto"/>
        <w:bottom w:val="none" w:sz="0" w:space="0" w:color="auto"/>
        <w:right w:val="none" w:sz="0" w:space="0" w:color="auto"/>
      </w:divBdr>
    </w:div>
    <w:div w:id="2138254195">
      <w:bodyDiv w:val="1"/>
      <w:marLeft w:val="0"/>
      <w:marRight w:val="0"/>
      <w:marTop w:val="0"/>
      <w:marBottom w:val="0"/>
      <w:divBdr>
        <w:top w:val="none" w:sz="0" w:space="0" w:color="auto"/>
        <w:left w:val="none" w:sz="0" w:space="0" w:color="auto"/>
        <w:bottom w:val="none" w:sz="0" w:space="0" w:color="auto"/>
        <w:right w:val="none" w:sz="0" w:space="0" w:color="auto"/>
      </w:divBdr>
    </w:div>
    <w:div w:id="2138257272">
      <w:bodyDiv w:val="1"/>
      <w:marLeft w:val="0"/>
      <w:marRight w:val="0"/>
      <w:marTop w:val="0"/>
      <w:marBottom w:val="0"/>
      <w:divBdr>
        <w:top w:val="none" w:sz="0" w:space="0" w:color="auto"/>
        <w:left w:val="none" w:sz="0" w:space="0" w:color="auto"/>
        <w:bottom w:val="none" w:sz="0" w:space="0" w:color="auto"/>
        <w:right w:val="none" w:sz="0" w:space="0" w:color="auto"/>
      </w:divBdr>
    </w:div>
    <w:div w:id="2138259894">
      <w:bodyDiv w:val="1"/>
      <w:marLeft w:val="0"/>
      <w:marRight w:val="0"/>
      <w:marTop w:val="0"/>
      <w:marBottom w:val="0"/>
      <w:divBdr>
        <w:top w:val="none" w:sz="0" w:space="0" w:color="auto"/>
        <w:left w:val="none" w:sz="0" w:space="0" w:color="auto"/>
        <w:bottom w:val="none" w:sz="0" w:space="0" w:color="auto"/>
        <w:right w:val="none" w:sz="0" w:space="0" w:color="auto"/>
      </w:divBdr>
    </w:div>
    <w:div w:id="2139836756">
      <w:bodyDiv w:val="1"/>
      <w:marLeft w:val="0"/>
      <w:marRight w:val="0"/>
      <w:marTop w:val="0"/>
      <w:marBottom w:val="0"/>
      <w:divBdr>
        <w:top w:val="none" w:sz="0" w:space="0" w:color="auto"/>
        <w:left w:val="none" w:sz="0" w:space="0" w:color="auto"/>
        <w:bottom w:val="none" w:sz="0" w:space="0" w:color="auto"/>
        <w:right w:val="none" w:sz="0" w:space="0" w:color="auto"/>
      </w:divBdr>
    </w:div>
    <w:div w:id="2139907821">
      <w:bodyDiv w:val="1"/>
      <w:marLeft w:val="0"/>
      <w:marRight w:val="0"/>
      <w:marTop w:val="0"/>
      <w:marBottom w:val="0"/>
      <w:divBdr>
        <w:top w:val="none" w:sz="0" w:space="0" w:color="auto"/>
        <w:left w:val="none" w:sz="0" w:space="0" w:color="auto"/>
        <w:bottom w:val="none" w:sz="0" w:space="0" w:color="auto"/>
        <w:right w:val="none" w:sz="0" w:space="0" w:color="auto"/>
      </w:divBdr>
    </w:div>
    <w:div w:id="2140951390">
      <w:bodyDiv w:val="1"/>
      <w:marLeft w:val="0"/>
      <w:marRight w:val="0"/>
      <w:marTop w:val="0"/>
      <w:marBottom w:val="0"/>
      <w:divBdr>
        <w:top w:val="none" w:sz="0" w:space="0" w:color="auto"/>
        <w:left w:val="none" w:sz="0" w:space="0" w:color="auto"/>
        <w:bottom w:val="none" w:sz="0" w:space="0" w:color="auto"/>
        <w:right w:val="none" w:sz="0" w:space="0" w:color="auto"/>
      </w:divBdr>
    </w:div>
    <w:div w:id="2140955735">
      <w:bodyDiv w:val="1"/>
      <w:marLeft w:val="0"/>
      <w:marRight w:val="0"/>
      <w:marTop w:val="0"/>
      <w:marBottom w:val="0"/>
      <w:divBdr>
        <w:top w:val="none" w:sz="0" w:space="0" w:color="auto"/>
        <w:left w:val="none" w:sz="0" w:space="0" w:color="auto"/>
        <w:bottom w:val="none" w:sz="0" w:space="0" w:color="auto"/>
        <w:right w:val="none" w:sz="0" w:space="0" w:color="auto"/>
      </w:divBdr>
    </w:div>
    <w:div w:id="2141416445">
      <w:bodyDiv w:val="1"/>
      <w:marLeft w:val="0"/>
      <w:marRight w:val="0"/>
      <w:marTop w:val="0"/>
      <w:marBottom w:val="0"/>
      <w:divBdr>
        <w:top w:val="none" w:sz="0" w:space="0" w:color="auto"/>
        <w:left w:val="none" w:sz="0" w:space="0" w:color="auto"/>
        <w:bottom w:val="none" w:sz="0" w:space="0" w:color="auto"/>
        <w:right w:val="none" w:sz="0" w:space="0" w:color="auto"/>
      </w:divBdr>
    </w:div>
    <w:div w:id="2141848684">
      <w:bodyDiv w:val="1"/>
      <w:marLeft w:val="0"/>
      <w:marRight w:val="0"/>
      <w:marTop w:val="0"/>
      <w:marBottom w:val="0"/>
      <w:divBdr>
        <w:top w:val="none" w:sz="0" w:space="0" w:color="auto"/>
        <w:left w:val="none" w:sz="0" w:space="0" w:color="auto"/>
        <w:bottom w:val="none" w:sz="0" w:space="0" w:color="auto"/>
        <w:right w:val="none" w:sz="0" w:space="0" w:color="auto"/>
      </w:divBdr>
    </w:div>
    <w:div w:id="2141918492">
      <w:bodyDiv w:val="1"/>
      <w:marLeft w:val="0"/>
      <w:marRight w:val="0"/>
      <w:marTop w:val="0"/>
      <w:marBottom w:val="0"/>
      <w:divBdr>
        <w:top w:val="none" w:sz="0" w:space="0" w:color="auto"/>
        <w:left w:val="none" w:sz="0" w:space="0" w:color="auto"/>
        <w:bottom w:val="none" w:sz="0" w:space="0" w:color="auto"/>
        <w:right w:val="none" w:sz="0" w:space="0" w:color="auto"/>
      </w:divBdr>
    </w:div>
    <w:div w:id="2142068451">
      <w:bodyDiv w:val="1"/>
      <w:marLeft w:val="0"/>
      <w:marRight w:val="0"/>
      <w:marTop w:val="0"/>
      <w:marBottom w:val="0"/>
      <w:divBdr>
        <w:top w:val="none" w:sz="0" w:space="0" w:color="auto"/>
        <w:left w:val="none" w:sz="0" w:space="0" w:color="auto"/>
        <w:bottom w:val="none" w:sz="0" w:space="0" w:color="auto"/>
        <w:right w:val="none" w:sz="0" w:space="0" w:color="auto"/>
      </w:divBdr>
    </w:div>
    <w:div w:id="2142074193">
      <w:bodyDiv w:val="1"/>
      <w:marLeft w:val="0"/>
      <w:marRight w:val="0"/>
      <w:marTop w:val="0"/>
      <w:marBottom w:val="0"/>
      <w:divBdr>
        <w:top w:val="none" w:sz="0" w:space="0" w:color="auto"/>
        <w:left w:val="none" w:sz="0" w:space="0" w:color="auto"/>
        <w:bottom w:val="none" w:sz="0" w:space="0" w:color="auto"/>
        <w:right w:val="none" w:sz="0" w:space="0" w:color="auto"/>
      </w:divBdr>
    </w:div>
    <w:div w:id="2143957009">
      <w:bodyDiv w:val="1"/>
      <w:marLeft w:val="0"/>
      <w:marRight w:val="0"/>
      <w:marTop w:val="0"/>
      <w:marBottom w:val="0"/>
      <w:divBdr>
        <w:top w:val="none" w:sz="0" w:space="0" w:color="auto"/>
        <w:left w:val="none" w:sz="0" w:space="0" w:color="auto"/>
        <w:bottom w:val="none" w:sz="0" w:space="0" w:color="auto"/>
        <w:right w:val="none" w:sz="0" w:space="0" w:color="auto"/>
      </w:divBdr>
    </w:div>
    <w:div w:id="2145417528">
      <w:bodyDiv w:val="1"/>
      <w:marLeft w:val="0"/>
      <w:marRight w:val="0"/>
      <w:marTop w:val="0"/>
      <w:marBottom w:val="0"/>
      <w:divBdr>
        <w:top w:val="none" w:sz="0" w:space="0" w:color="auto"/>
        <w:left w:val="none" w:sz="0" w:space="0" w:color="auto"/>
        <w:bottom w:val="none" w:sz="0" w:space="0" w:color="auto"/>
        <w:right w:val="none" w:sz="0" w:space="0" w:color="auto"/>
      </w:divBdr>
    </w:div>
    <w:div w:id="2145660076">
      <w:bodyDiv w:val="1"/>
      <w:marLeft w:val="0"/>
      <w:marRight w:val="0"/>
      <w:marTop w:val="0"/>
      <w:marBottom w:val="0"/>
      <w:divBdr>
        <w:top w:val="none" w:sz="0" w:space="0" w:color="auto"/>
        <w:left w:val="none" w:sz="0" w:space="0" w:color="auto"/>
        <w:bottom w:val="none" w:sz="0" w:space="0" w:color="auto"/>
        <w:right w:val="none" w:sz="0" w:space="0" w:color="auto"/>
      </w:divBdr>
    </w:div>
    <w:div w:id="2145930841">
      <w:bodyDiv w:val="1"/>
      <w:marLeft w:val="0"/>
      <w:marRight w:val="0"/>
      <w:marTop w:val="0"/>
      <w:marBottom w:val="0"/>
      <w:divBdr>
        <w:top w:val="none" w:sz="0" w:space="0" w:color="auto"/>
        <w:left w:val="none" w:sz="0" w:space="0" w:color="auto"/>
        <w:bottom w:val="none" w:sz="0" w:space="0" w:color="auto"/>
        <w:right w:val="none" w:sz="0" w:space="0" w:color="auto"/>
      </w:divBdr>
    </w:div>
    <w:div w:id="2145999920">
      <w:bodyDiv w:val="1"/>
      <w:marLeft w:val="0"/>
      <w:marRight w:val="0"/>
      <w:marTop w:val="0"/>
      <w:marBottom w:val="0"/>
      <w:divBdr>
        <w:top w:val="none" w:sz="0" w:space="0" w:color="auto"/>
        <w:left w:val="none" w:sz="0" w:space="0" w:color="auto"/>
        <w:bottom w:val="none" w:sz="0" w:space="0" w:color="auto"/>
        <w:right w:val="none" w:sz="0" w:space="0" w:color="auto"/>
      </w:divBdr>
    </w:div>
    <w:div w:id="2146577484">
      <w:bodyDiv w:val="1"/>
      <w:marLeft w:val="0"/>
      <w:marRight w:val="0"/>
      <w:marTop w:val="0"/>
      <w:marBottom w:val="0"/>
      <w:divBdr>
        <w:top w:val="none" w:sz="0" w:space="0" w:color="auto"/>
        <w:left w:val="none" w:sz="0" w:space="0" w:color="auto"/>
        <w:bottom w:val="none" w:sz="0" w:space="0" w:color="auto"/>
        <w:right w:val="none" w:sz="0" w:space="0" w:color="auto"/>
      </w:divBdr>
    </w:div>
    <w:div w:id="21467000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8.bin"/><Relationship Id="rId21" Type="http://schemas.openxmlformats.org/officeDocument/2006/relationships/hyperlink" Target="https://www.ncbi.nlm.nih.gov/pubmed/?term=Zaffaroni%20L%5BAuthor%5D&amp;cauthor=true&amp;cauthor_uid=29494148" TargetMode="External"/><Relationship Id="rId42" Type="http://schemas.openxmlformats.org/officeDocument/2006/relationships/image" Target="media/image2.png"/><Relationship Id="rId63" Type="http://schemas.openxmlformats.org/officeDocument/2006/relationships/image" Target="media/image18.emf"/><Relationship Id="rId84" Type="http://schemas.openxmlformats.org/officeDocument/2006/relationships/image" Target="media/image30.emf"/><Relationship Id="rId138" Type="http://schemas.openxmlformats.org/officeDocument/2006/relationships/image" Target="media/image61.jpeg"/><Relationship Id="rId107" Type="http://schemas.openxmlformats.org/officeDocument/2006/relationships/image" Target="media/image43.emf"/><Relationship Id="rId11" Type="http://schemas.openxmlformats.org/officeDocument/2006/relationships/hyperlink" Target="https://www.ncbi.nlm.nih.gov/pubmed/?term=Peri%20F%5BAuthor%5D&amp;cauthor=true&amp;cauthor_uid=30208782" TargetMode="External"/><Relationship Id="rId32" Type="http://schemas.openxmlformats.org/officeDocument/2006/relationships/hyperlink" Target="https://www.ncbi.nlm.nih.gov/pubmed/?term=Palmer%20C%5BAuthor%5D&amp;cauthor=true&amp;cauthor_uid=29494148" TargetMode="External"/><Relationship Id="rId53" Type="http://schemas.openxmlformats.org/officeDocument/2006/relationships/oleObject" Target="embeddings/oleObject1.bin"/><Relationship Id="rId74" Type="http://schemas.openxmlformats.org/officeDocument/2006/relationships/oleObject" Target="embeddings/oleObject11.bin"/><Relationship Id="rId128" Type="http://schemas.openxmlformats.org/officeDocument/2006/relationships/image" Target="media/image55.emf"/><Relationship Id="rId149" Type="http://schemas.openxmlformats.org/officeDocument/2006/relationships/oleObject" Target="embeddings/oleObject42.bin"/><Relationship Id="rId5" Type="http://schemas.openxmlformats.org/officeDocument/2006/relationships/styles" Target="styles.xml"/><Relationship Id="rId95" Type="http://schemas.openxmlformats.org/officeDocument/2006/relationships/image" Target="media/image36.emf"/><Relationship Id="rId22" Type="http://schemas.openxmlformats.org/officeDocument/2006/relationships/hyperlink" Target="https://www.ncbi.nlm.nih.gov/pubmed/?term=Minotti%20A%5BAuthor%5D&amp;cauthor=true&amp;cauthor_uid=29494148" TargetMode="External"/><Relationship Id="rId43" Type="http://schemas.openxmlformats.org/officeDocument/2006/relationships/image" Target="media/image3.png"/><Relationship Id="rId64" Type="http://schemas.openxmlformats.org/officeDocument/2006/relationships/oleObject" Target="embeddings/oleObject6.bin"/><Relationship Id="rId118" Type="http://schemas.openxmlformats.org/officeDocument/2006/relationships/image" Target="media/image50.emf"/><Relationship Id="rId139" Type="http://schemas.openxmlformats.org/officeDocument/2006/relationships/image" Target="media/image62.png"/><Relationship Id="rId80" Type="http://schemas.openxmlformats.org/officeDocument/2006/relationships/image" Target="media/image28.emf"/><Relationship Id="rId85" Type="http://schemas.openxmlformats.org/officeDocument/2006/relationships/oleObject" Target="embeddings/oleObject15.bin"/><Relationship Id="rId150" Type="http://schemas.openxmlformats.org/officeDocument/2006/relationships/image" Target="media/image68.png"/><Relationship Id="rId155" Type="http://schemas.openxmlformats.org/officeDocument/2006/relationships/fontTable" Target="fontTable.xml"/><Relationship Id="rId12" Type="http://schemas.openxmlformats.org/officeDocument/2006/relationships/hyperlink" Target="https://www.ncbi.nlm.nih.gov/pubmed/?term=Neumann%20F%5BAuthor%5D&amp;cauthor=true&amp;cauthor_uid=30208782" TargetMode="External"/><Relationship Id="rId17" Type="http://schemas.openxmlformats.org/officeDocument/2006/relationships/hyperlink" Target="https://www.ncbi.nlm.nih.gov/pubmed/?term=Leake%20DS%5BAuthor%5D&amp;cauthor=true&amp;cauthor_uid=30208782" TargetMode="External"/><Relationship Id="rId33" Type="http://schemas.openxmlformats.org/officeDocument/2006/relationships/hyperlink" Target="https://www.ncbi.nlm.nih.gov/pubmed/?term=Beyaert%20R%5BAuthor%5D&amp;cauthor=true&amp;cauthor_uid=29494148" TargetMode="External"/><Relationship Id="rId38" Type="http://schemas.openxmlformats.org/officeDocument/2006/relationships/hyperlink" Target="https://www.ncbi.nlm.nih.gov/pubmed/29494148" TargetMode="External"/><Relationship Id="rId59" Type="http://schemas.openxmlformats.org/officeDocument/2006/relationships/image" Target="media/image16.emf"/><Relationship Id="rId103" Type="http://schemas.openxmlformats.org/officeDocument/2006/relationships/image" Target="media/image40.tif"/><Relationship Id="rId108" Type="http://schemas.openxmlformats.org/officeDocument/2006/relationships/oleObject" Target="embeddings/oleObject25.bin"/><Relationship Id="rId124" Type="http://schemas.openxmlformats.org/officeDocument/2006/relationships/image" Target="media/image53.emf"/><Relationship Id="rId129" Type="http://schemas.openxmlformats.org/officeDocument/2006/relationships/oleObject" Target="embeddings/oleObject34.bin"/><Relationship Id="rId54" Type="http://schemas.openxmlformats.org/officeDocument/2006/relationships/image" Target="media/image13.png"/><Relationship Id="rId70" Type="http://schemas.openxmlformats.org/officeDocument/2006/relationships/oleObject" Target="embeddings/oleObject9.bin"/><Relationship Id="rId75" Type="http://schemas.openxmlformats.org/officeDocument/2006/relationships/image" Target="media/image24.png"/><Relationship Id="rId91" Type="http://schemas.openxmlformats.org/officeDocument/2006/relationships/oleObject" Target="embeddings/oleObject18.bin"/><Relationship Id="rId96" Type="http://schemas.openxmlformats.org/officeDocument/2006/relationships/oleObject" Target="embeddings/oleObject20.bin"/><Relationship Id="rId140" Type="http://schemas.openxmlformats.org/officeDocument/2006/relationships/image" Target="media/image63.png"/><Relationship Id="rId145" Type="http://schemas.openxmlformats.org/officeDocument/2006/relationships/oleObject" Target="embeddings/oleObject40.bin"/><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hyperlink" Target="https://www.ncbi.nlm.nih.gov/pubmed/?term=Rapisarda%20S%5BAuthor%5D&amp;cauthor=true&amp;cauthor_uid=29494148" TargetMode="External"/><Relationship Id="rId28" Type="http://schemas.openxmlformats.org/officeDocument/2006/relationships/hyperlink" Target="https://www.ncbi.nlm.nih.gov/pubmed/?term=Ciaramelli%20C%5BAuthor%5D&amp;cauthor=true&amp;cauthor_uid=29494148" TargetMode="External"/><Relationship Id="rId49" Type="http://schemas.openxmlformats.org/officeDocument/2006/relationships/image" Target="media/image9.png"/><Relationship Id="rId114" Type="http://schemas.openxmlformats.org/officeDocument/2006/relationships/image" Target="media/image47.png"/><Relationship Id="rId119" Type="http://schemas.openxmlformats.org/officeDocument/2006/relationships/oleObject" Target="embeddings/oleObject29.bin"/><Relationship Id="rId44" Type="http://schemas.openxmlformats.org/officeDocument/2006/relationships/image" Target="media/image4.jpeg"/><Relationship Id="rId60" Type="http://schemas.openxmlformats.org/officeDocument/2006/relationships/oleObject" Target="embeddings/oleObject4.bin"/><Relationship Id="rId65" Type="http://schemas.openxmlformats.org/officeDocument/2006/relationships/image" Target="media/image19.emf"/><Relationship Id="rId81" Type="http://schemas.openxmlformats.org/officeDocument/2006/relationships/oleObject" Target="embeddings/oleObject13.bin"/><Relationship Id="rId86" Type="http://schemas.openxmlformats.org/officeDocument/2006/relationships/image" Target="media/image31.emf"/><Relationship Id="rId130" Type="http://schemas.openxmlformats.org/officeDocument/2006/relationships/image" Target="media/image56.emf"/><Relationship Id="rId135" Type="http://schemas.openxmlformats.org/officeDocument/2006/relationships/oleObject" Target="embeddings/oleObject37.bin"/><Relationship Id="rId151" Type="http://schemas.openxmlformats.org/officeDocument/2006/relationships/oleObject" Target="embeddings/oleObject43.bin"/><Relationship Id="rId156" Type="http://schemas.openxmlformats.org/officeDocument/2006/relationships/glossaryDocument" Target="glossary/document.xml"/><Relationship Id="rId13" Type="http://schemas.openxmlformats.org/officeDocument/2006/relationships/hyperlink" Target="https://www.ncbi.nlm.nih.gov/pubmed/?term=Pirianov%20G%5BAuthor%5D&amp;cauthor=true&amp;cauthor_uid=30208782" TargetMode="External"/><Relationship Id="rId18" Type="http://schemas.openxmlformats.org/officeDocument/2006/relationships/hyperlink" Target="https://www.ncbi.nlm.nih.gov/pubmed/?term=Pirianov%20G%5BAuthor%5D&amp;cauthor=true&amp;cauthor_uid=30208782" TargetMode="External"/><Relationship Id="rId39" Type="http://schemas.openxmlformats.org/officeDocument/2006/relationships/footer" Target="footer1.xml"/><Relationship Id="rId109" Type="http://schemas.openxmlformats.org/officeDocument/2006/relationships/image" Target="media/image44.png"/><Relationship Id="rId34" Type="http://schemas.openxmlformats.org/officeDocument/2006/relationships/hyperlink" Target="https://www.ncbi.nlm.nih.gov/pubmed/?term=Lapenta%20F%5BAuthor%5D&amp;cauthor=true&amp;cauthor_uid=29494148" TargetMode="External"/><Relationship Id="rId50" Type="http://schemas.openxmlformats.org/officeDocument/2006/relationships/image" Target="media/image10.png"/><Relationship Id="rId55" Type="http://schemas.openxmlformats.org/officeDocument/2006/relationships/image" Target="media/image14.emf"/><Relationship Id="rId76" Type="http://schemas.openxmlformats.org/officeDocument/2006/relationships/image" Target="media/image25.png"/><Relationship Id="rId97" Type="http://schemas.openxmlformats.org/officeDocument/2006/relationships/image" Target="media/image37.emf"/><Relationship Id="rId104" Type="http://schemas.openxmlformats.org/officeDocument/2006/relationships/image" Target="media/image41.png"/><Relationship Id="rId120" Type="http://schemas.openxmlformats.org/officeDocument/2006/relationships/image" Target="media/image51.emf"/><Relationship Id="rId125" Type="http://schemas.openxmlformats.org/officeDocument/2006/relationships/oleObject" Target="embeddings/oleObject32.bin"/><Relationship Id="rId141" Type="http://schemas.openxmlformats.org/officeDocument/2006/relationships/oleObject" Target="embeddings/oleObject38.bin"/><Relationship Id="rId146" Type="http://schemas.openxmlformats.org/officeDocument/2006/relationships/image" Target="media/image66.png"/><Relationship Id="rId7" Type="http://schemas.openxmlformats.org/officeDocument/2006/relationships/webSettings" Target="webSettings.xml"/><Relationship Id="rId71" Type="http://schemas.openxmlformats.org/officeDocument/2006/relationships/image" Target="media/image22.emf"/><Relationship Id="rId92"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hyperlink" Target="https://www.ncbi.nlm.nih.gov/pubmed/?term=Billod%20JM%5BAuthor%5D&amp;cauthor=true&amp;cauthor_uid=29494148" TargetMode="External"/><Relationship Id="rId24" Type="http://schemas.openxmlformats.org/officeDocument/2006/relationships/hyperlink" Target="https://www.ncbi.nlm.nih.gov/pubmed/?term=Calabrese%20V%5BAuthor%5D&amp;cauthor=true&amp;cauthor_uid=29494148" TargetMode="External"/><Relationship Id="rId40" Type="http://schemas.openxmlformats.org/officeDocument/2006/relationships/footer" Target="footer2.xml"/><Relationship Id="rId45" Type="http://schemas.openxmlformats.org/officeDocument/2006/relationships/image" Target="media/image5.tiff"/><Relationship Id="rId66" Type="http://schemas.openxmlformats.org/officeDocument/2006/relationships/oleObject" Target="embeddings/oleObject7.bin"/><Relationship Id="rId87" Type="http://schemas.openxmlformats.org/officeDocument/2006/relationships/oleObject" Target="embeddings/oleObject16.bin"/><Relationship Id="rId110" Type="http://schemas.openxmlformats.org/officeDocument/2006/relationships/image" Target="media/image45.emf"/><Relationship Id="rId115" Type="http://schemas.openxmlformats.org/officeDocument/2006/relationships/image" Target="media/image48.png"/><Relationship Id="rId131" Type="http://schemas.openxmlformats.org/officeDocument/2006/relationships/oleObject" Target="embeddings/oleObject35.bin"/><Relationship Id="rId136" Type="http://schemas.openxmlformats.org/officeDocument/2006/relationships/image" Target="media/image59.tiff"/><Relationship Id="rId157" Type="http://schemas.openxmlformats.org/officeDocument/2006/relationships/theme" Target="theme/theme1.xml"/><Relationship Id="rId61" Type="http://schemas.openxmlformats.org/officeDocument/2006/relationships/image" Target="media/image17.emf"/><Relationship Id="rId82" Type="http://schemas.openxmlformats.org/officeDocument/2006/relationships/image" Target="media/image29.emf"/><Relationship Id="rId152" Type="http://schemas.openxmlformats.org/officeDocument/2006/relationships/image" Target="media/image69.png"/><Relationship Id="rId19" Type="http://schemas.openxmlformats.org/officeDocument/2006/relationships/hyperlink" Target="https://www.ncbi.nlm.nih.gov/pubmed/30208782" TargetMode="External"/><Relationship Id="rId14" Type="http://schemas.openxmlformats.org/officeDocument/2006/relationships/hyperlink" Target="https://www.ncbi.nlm.nih.gov/pubmed/?term=Palmer%20C%5BAuthor%5D&amp;cauthor=true&amp;cauthor_uid=30208782" TargetMode="External"/><Relationship Id="rId30" Type="http://schemas.openxmlformats.org/officeDocument/2006/relationships/hyperlink" Target="https://www.ncbi.nlm.nih.gov/pubmed/?term=Schromm%20AB%5BAuthor%5D&amp;cauthor=true&amp;cauthor_uid=29494148" TargetMode="External"/><Relationship Id="rId35" Type="http://schemas.openxmlformats.org/officeDocument/2006/relationships/hyperlink" Target="https://www.ncbi.nlm.nih.gov/pubmed/?term=Jerala%20R%5BAuthor%5D&amp;cauthor=true&amp;cauthor_uid=29494148" TargetMode="External"/><Relationship Id="rId56" Type="http://schemas.openxmlformats.org/officeDocument/2006/relationships/oleObject" Target="embeddings/oleObject2.bin"/><Relationship Id="rId77" Type="http://schemas.openxmlformats.org/officeDocument/2006/relationships/image" Target="media/image26.png"/><Relationship Id="rId100" Type="http://schemas.openxmlformats.org/officeDocument/2006/relationships/oleObject" Target="embeddings/oleObject22.bin"/><Relationship Id="rId105" Type="http://schemas.openxmlformats.org/officeDocument/2006/relationships/image" Target="media/image42.emf"/><Relationship Id="rId126" Type="http://schemas.openxmlformats.org/officeDocument/2006/relationships/image" Target="media/image54.emf"/><Relationship Id="rId147" Type="http://schemas.openxmlformats.org/officeDocument/2006/relationships/oleObject" Target="embeddings/oleObject41.bin"/><Relationship Id="rId8" Type="http://schemas.openxmlformats.org/officeDocument/2006/relationships/footnotes" Target="footnotes.xml"/><Relationship Id="rId51" Type="http://schemas.openxmlformats.org/officeDocument/2006/relationships/image" Target="media/image11.png"/><Relationship Id="rId72" Type="http://schemas.openxmlformats.org/officeDocument/2006/relationships/oleObject" Target="embeddings/oleObject10.bin"/><Relationship Id="rId93" Type="http://schemas.openxmlformats.org/officeDocument/2006/relationships/oleObject" Target="embeddings/oleObject19.bin"/><Relationship Id="rId98" Type="http://schemas.openxmlformats.org/officeDocument/2006/relationships/oleObject" Target="embeddings/oleObject21.bin"/><Relationship Id="rId121" Type="http://schemas.openxmlformats.org/officeDocument/2006/relationships/oleObject" Target="embeddings/oleObject30.bin"/><Relationship Id="rId142" Type="http://schemas.openxmlformats.org/officeDocument/2006/relationships/image" Target="media/image64.png"/><Relationship Id="rId3" Type="http://schemas.openxmlformats.org/officeDocument/2006/relationships/customXml" Target="../customXml/item2.xml"/><Relationship Id="rId25" Type="http://schemas.openxmlformats.org/officeDocument/2006/relationships/hyperlink" Target="https://www.ncbi.nlm.nih.gov/pubmed/?term=Forcella%20M%5BAuthor%5D&amp;cauthor=true&amp;cauthor_uid=29494148" TargetMode="External"/><Relationship Id="rId46" Type="http://schemas.openxmlformats.org/officeDocument/2006/relationships/image" Target="media/image6.tiff"/><Relationship Id="rId67" Type="http://schemas.openxmlformats.org/officeDocument/2006/relationships/image" Target="media/image20.emf"/><Relationship Id="rId116" Type="http://schemas.openxmlformats.org/officeDocument/2006/relationships/image" Target="media/image49.emf"/><Relationship Id="rId137" Type="http://schemas.openxmlformats.org/officeDocument/2006/relationships/image" Target="media/image60.jpeg"/><Relationship Id="rId20" Type="http://schemas.openxmlformats.org/officeDocument/2006/relationships/hyperlink" Target="https://www.ncbi.nlm.nih.gov/pubmed/?term=Facchini%20FA%5BAuthor%5D&amp;cauthor=true&amp;cauthor_uid=29494148" TargetMode="External"/><Relationship Id="rId41" Type="http://schemas.openxmlformats.org/officeDocument/2006/relationships/image" Target="media/image1.png"/><Relationship Id="rId62" Type="http://schemas.openxmlformats.org/officeDocument/2006/relationships/oleObject" Target="embeddings/oleObject5.bin"/><Relationship Id="rId83" Type="http://schemas.openxmlformats.org/officeDocument/2006/relationships/oleObject" Target="embeddings/oleObject14.bin"/><Relationship Id="rId88" Type="http://schemas.openxmlformats.org/officeDocument/2006/relationships/image" Target="media/image32.emf"/><Relationship Id="rId111" Type="http://schemas.openxmlformats.org/officeDocument/2006/relationships/oleObject" Target="embeddings/oleObject26.bin"/><Relationship Id="rId132" Type="http://schemas.openxmlformats.org/officeDocument/2006/relationships/image" Target="media/image57.emf"/><Relationship Id="rId153" Type="http://schemas.openxmlformats.org/officeDocument/2006/relationships/footer" Target="footer3.xml"/><Relationship Id="rId15" Type="http://schemas.openxmlformats.org/officeDocument/2006/relationships/hyperlink" Target="https://www.ncbi.nlm.nih.gov/pubmed/?term=Neumann%20F%5BAuthor%5D&amp;cauthor=true&amp;cauthor_uid=30208782" TargetMode="External"/><Relationship Id="rId36" Type="http://schemas.openxmlformats.org/officeDocument/2006/relationships/hyperlink" Target="https://www.ncbi.nlm.nih.gov/pubmed/?term=Pirianov%20G%5BAuthor%5D&amp;cauthor=true&amp;cauthor_uid=29494148" TargetMode="External"/><Relationship Id="rId57" Type="http://schemas.openxmlformats.org/officeDocument/2006/relationships/image" Target="media/image15.emf"/><Relationship Id="rId106" Type="http://schemas.openxmlformats.org/officeDocument/2006/relationships/oleObject" Target="embeddings/oleObject24.bin"/><Relationship Id="rId127" Type="http://schemas.openxmlformats.org/officeDocument/2006/relationships/oleObject" Target="embeddings/oleObject33.bin"/><Relationship Id="rId10" Type="http://schemas.openxmlformats.org/officeDocument/2006/relationships/hyperlink" Target="https://www.ncbi.nlm.nih.gov/pubmed/?term=Palmer%20C%5BAuthor%5D&amp;cauthor=true&amp;cauthor_uid=30208782" TargetMode="External"/><Relationship Id="rId31" Type="http://schemas.openxmlformats.org/officeDocument/2006/relationships/hyperlink" Target="https://www.ncbi.nlm.nih.gov/pubmed/?term=Braun%20H%5BAuthor%5D&amp;cauthor=true&amp;cauthor_uid=29494148" TargetMode="External"/><Relationship Id="rId52" Type="http://schemas.openxmlformats.org/officeDocument/2006/relationships/image" Target="media/image12.emf"/><Relationship Id="rId73" Type="http://schemas.openxmlformats.org/officeDocument/2006/relationships/image" Target="media/image23.emf"/><Relationship Id="rId78" Type="http://schemas.openxmlformats.org/officeDocument/2006/relationships/image" Target="media/image27.emf"/><Relationship Id="rId94" Type="http://schemas.openxmlformats.org/officeDocument/2006/relationships/image" Target="media/image35.png"/><Relationship Id="rId99" Type="http://schemas.openxmlformats.org/officeDocument/2006/relationships/image" Target="media/image38.emf"/><Relationship Id="rId101" Type="http://schemas.openxmlformats.org/officeDocument/2006/relationships/image" Target="media/image39.emf"/><Relationship Id="rId122" Type="http://schemas.openxmlformats.org/officeDocument/2006/relationships/image" Target="media/image52.emf"/><Relationship Id="rId143" Type="http://schemas.openxmlformats.org/officeDocument/2006/relationships/oleObject" Target="embeddings/oleObject39.bin"/><Relationship Id="rId148" Type="http://schemas.openxmlformats.org/officeDocument/2006/relationships/image" Target="media/image67.png"/><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hyperlink" Target="https://www.ncbi.nlm.nih.gov/pubmed/?term=Fusi%20P%5BAuthor%5D&amp;cauthor=true&amp;cauthor_uid=29494148" TargetMode="External"/><Relationship Id="rId47" Type="http://schemas.openxmlformats.org/officeDocument/2006/relationships/image" Target="media/image7.png"/><Relationship Id="rId68" Type="http://schemas.openxmlformats.org/officeDocument/2006/relationships/oleObject" Target="embeddings/oleObject8.bin"/><Relationship Id="rId89" Type="http://schemas.openxmlformats.org/officeDocument/2006/relationships/oleObject" Target="embeddings/oleObject17.bin"/><Relationship Id="rId112" Type="http://schemas.openxmlformats.org/officeDocument/2006/relationships/image" Target="media/image46.emf"/><Relationship Id="rId133" Type="http://schemas.openxmlformats.org/officeDocument/2006/relationships/oleObject" Target="embeddings/oleObject36.bin"/><Relationship Id="rId154" Type="http://schemas.openxmlformats.org/officeDocument/2006/relationships/footer" Target="footer4.xml"/><Relationship Id="rId16" Type="http://schemas.openxmlformats.org/officeDocument/2006/relationships/hyperlink" Target="https://www.ncbi.nlm.nih.gov/pubmed/?term=Ahmad%20F%5BAuthor%5D&amp;cauthor=true&amp;cauthor_uid=30208782" TargetMode="External"/><Relationship Id="rId37" Type="http://schemas.openxmlformats.org/officeDocument/2006/relationships/hyperlink" Target="https://www.ncbi.nlm.nih.gov/pubmed/?term=Peri%20F%5BAuthor%5D&amp;cauthor=true&amp;cauthor_uid=29494148" TargetMode="External"/><Relationship Id="rId58" Type="http://schemas.openxmlformats.org/officeDocument/2006/relationships/oleObject" Target="embeddings/oleObject3.bin"/><Relationship Id="rId79" Type="http://schemas.openxmlformats.org/officeDocument/2006/relationships/oleObject" Target="embeddings/oleObject12.bin"/><Relationship Id="rId102" Type="http://schemas.openxmlformats.org/officeDocument/2006/relationships/oleObject" Target="embeddings/oleObject23.bin"/><Relationship Id="rId123" Type="http://schemas.openxmlformats.org/officeDocument/2006/relationships/oleObject" Target="embeddings/oleObject31.bin"/><Relationship Id="rId144" Type="http://schemas.openxmlformats.org/officeDocument/2006/relationships/image" Target="media/image65.png"/><Relationship Id="rId90" Type="http://schemas.openxmlformats.org/officeDocument/2006/relationships/image" Target="media/image33.emf"/><Relationship Id="rId27" Type="http://schemas.openxmlformats.org/officeDocument/2006/relationships/hyperlink" Target="https://www.ncbi.nlm.nih.gov/pubmed/?term=Airoldi%20C%5BAuthor%5D&amp;cauthor=true&amp;cauthor_uid=29494148" TargetMode="External"/><Relationship Id="rId48" Type="http://schemas.openxmlformats.org/officeDocument/2006/relationships/image" Target="media/image8.tiff"/><Relationship Id="rId69" Type="http://schemas.openxmlformats.org/officeDocument/2006/relationships/image" Target="media/image21.emf"/><Relationship Id="rId113" Type="http://schemas.openxmlformats.org/officeDocument/2006/relationships/oleObject" Target="embeddings/oleObject27.bin"/><Relationship Id="rId134" Type="http://schemas.openxmlformats.org/officeDocument/2006/relationships/image" Target="media/image58.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5DCF6F982E24C62A6252ABF2D0221AB"/>
        <w:category>
          <w:name w:val="General"/>
          <w:gallery w:val="placeholder"/>
        </w:category>
        <w:types>
          <w:type w:val="bbPlcHdr"/>
        </w:types>
        <w:behaviors>
          <w:behavior w:val="content"/>
        </w:behaviors>
        <w:guid w:val="{501E63FB-922E-4FCD-9D5A-93E1F6BD7B7D}"/>
      </w:docPartPr>
      <w:docPartBody>
        <w:p w:rsidR="00304035" w:rsidRDefault="00304035" w:rsidP="00304035">
          <w:pPr>
            <w:pStyle w:val="B5DCF6F982E24C62A6252ABF2D0221AB"/>
          </w:pPr>
          <w:r>
            <w:rPr>
              <w:rFonts w:asciiTheme="majorHAnsi" w:eastAsiaTheme="majorEastAsia" w:hAnsiTheme="majorHAnsi" w:cstheme="majorBidi"/>
              <w:caps/>
              <w:color w:val="4472C4" w:themeColor="accent1"/>
              <w:sz w:val="80"/>
              <w:szCs w:val="80"/>
            </w:rPr>
            <w:t>[Document title]</w:t>
          </w:r>
        </w:p>
      </w:docPartBody>
    </w:docPart>
    <w:docPart>
      <w:docPartPr>
        <w:name w:val="DefaultPlaceholder_-1854013440"/>
        <w:category>
          <w:name w:val="General"/>
          <w:gallery w:val="placeholder"/>
        </w:category>
        <w:types>
          <w:type w:val="bbPlcHdr"/>
        </w:types>
        <w:behaviors>
          <w:behavior w:val="content"/>
        </w:behaviors>
        <w:guid w:val="{26900EC6-9F95-4813-ADB9-A2C0F7979EAC}"/>
      </w:docPartPr>
      <w:docPartBody>
        <w:p w:rsidR="00B137CE" w:rsidRDefault="00B137CE">
          <w:r w:rsidRPr="00A743AE">
            <w:rPr>
              <w:rStyle w:val="PlaceholderText"/>
            </w:rPr>
            <w:t>Click or tap here to enter text.</w:t>
          </w:r>
        </w:p>
      </w:docPartBody>
    </w:docPart>
    <w:docPart>
      <w:docPartPr>
        <w:name w:val="D32532C5C38B4B3A8251D697B34CB0C0"/>
        <w:category>
          <w:name w:val="General"/>
          <w:gallery w:val="placeholder"/>
        </w:category>
        <w:types>
          <w:type w:val="bbPlcHdr"/>
        </w:types>
        <w:behaviors>
          <w:behavior w:val="content"/>
        </w:behaviors>
        <w:guid w:val="{23FC82B7-DC22-4FD8-A719-558B3DBE5ABD}"/>
      </w:docPartPr>
      <w:docPartBody>
        <w:p w:rsidR="00B137CE" w:rsidRDefault="00B137CE" w:rsidP="00B137CE">
          <w:pPr>
            <w:pStyle w:val="D32532C5C38B4B3A8251D697B34CB0C0"/>
          </w:pPr>
          <w:r w:rsidRPr="00A743AE">
            <w:rPr>
              <w:rStyle w:val="PlaceholderText"/>
            </w:rPr>
            <w:t>Click or tap here to enter text.</w:t>
          </w:r>
        </w:p>
      </w:docPartBody>
    </w:docPart>
    <w:docPart>
      <w:docPartPr>
        <w:name w:val="3F3F3C0E42F64BB3B11EBFA28D8248B2"/>
        <w:category>
          <w:name w:val="General"/>
          <w:gallery w:val="placeholder"/>
        </w:category>
        <w:types>
          <w:type w:val="bbPlcHdr"/>
        </w:types>
        <w:behaviors>
          <w:behavior w:val="content"/>
        </w:behaviors>
        <w:guid w:val="{737DDB27-11F9-4525-BF35-F35AF6EB3206}"/>
      </w:docPartPr>
      <w:docPartBody>
        <w:p w:rsidR="00440280" w:rsidRDefault="00440280" w:rsidP="00440280">
          <w:pPr>
            <w:pStyle w:val="3F3F3C0E42F64BB3B11EBFA28D8248B2"/>
          </w:pPr>
          <w:r w:rsidRPr="00A743AE">
            <w:rPr>
              <w:rStyle w:val="PlaceholderText"/>
            </w:rPr>
            <w:t>Click or tap here to enter text.</w:t>
          </w:r>
        </w:p>
      </w:docPartBody>
    </w:docPart>
    <w:docPart>
      <w:docPartPr>
        <w:name w:val="F8E27EF8FBB34F3E96995139F0F6B97D"/>
        <w:category>
          <w:name w:val="General"/>
          <w:gallery w:val="placeholder"/>
        </w:category>
        <w:types>
          <w:type w:val="bbPlcHdr"/>
        </w:types>
        <w:behaviors>
          <w:behavior w:val="content"/>
        </w:behaviors>
        <w:guid w:val="{CFB72238-1759-420E-A529-10D2E728F58B}"/>
      </w:docPartPr>
      <w:docPartBody>
        <w:p w:rsidR="00440280" w:rsidRDefault="00440280" w:rsidP="00440280">
          <w:pPr>
            <w:pStyle w:val="F8E27EF8FBB34F3E96995139F0F6B97D"/>
          </w:pPr>
          <w:r w:rsidRPr="00A743AE">
            <w:rPr>
              <w:rStyle w:val="PlaceholderText"/>
            </w:rPr>
            <w:t>Click or tap here to enter text.</w:t>
          </w:r>
        </w:p>
      </w:docPartBody>
    </w:docPart>
    <w:docPart>
      <w:docPartPr>
        <w:name w:val="73974FE3C15E4A58BFA2FF3CA3786AF4"/>
        <w:category>
          <w:name w:val="General"/>
          <w:gallery w:val="placeholder"/>
        </w:category>
        <w:types>
          <w:type w:val="bbPlcHdr"/>
        </w:types>
        <w:behaviors>
          <w:behavior w:val="content"/>
        </w:behaviors>
        <w:guid w:val="{9D6710E8-D337-4087-BE97-F46FA4051F81}"/>
      </w:docPartPr>
      <w:docPartBody>
        <w:p w:rsidR="00E11B07" w:rsidRDefault="00440280" w:rsidP="00440280">
          <w:pPr>
            <w:pStyle w:val="73974FE3C15E4A58BFA2FF3CA3786AF4"/>
          </w:pPr>
          <w:r w:rsidRPr="00A743AE">
            <w:rPr>
              <w:rStyle w:val="PlaceholderText"/>
            </w:rPr>
            <w:t>Click or tap here to enter text.</w:t>
          </w:r>
        </w:p>
      </w:docPartBody>
    </w:docPart>
    <w:docPart>
      <w:docPartPr>
        <w:name w:val="9683EFF5EE9045B79DD32429DB798485"/>
        <w:category>
          <w:name w:val="General"/>
          <w:gallery w:val="placeholder"/>
        </w:category>
        <w:types>
          <w:type w:val="bbPlcHdr"/>
        </w:types>
        <w:behaviors>
          <w:behavior w:val="content"/>
        </w:behaviors>
        <w:guid w:val="{FE30D5BC-2711-4181-829D-6D12D0FA31A1}"/>
      </w:docPartPr>
      <w:docPartBody>
        <w:p w:rsidR="00E11B07" w:rsidRDefault="00440280" w:rsidP="00440280">
          <w:pPr>
            <w:pStyle w:val="9683EFF5EE9045B79DD32429DB798485"/>
          </w:pPr>
          <w:r w:rsidRPr="00A743AE">
            <w:rPr>
              <w:rStyle w:val="PlaceholderText"/>
            </w:rPr>
            <w:t>Click or tap here to enter text.</w:t>
          </w:r>
        </w:p>
      </w:docPartBody>
    </w:docPart>
    <w:docPart>
      <w:docPartPr>
        <w:name w:val="9B864765E96C49319D847FFA4169CCA1"/>
        <w:category>
          <w:name w:val="General"/>
          <w:gallery w:val="placeholder"/>
        </w:category>
        <w:types>
          <w:type w:val="bbPlcHdr"/>
        </w:types>
        <w:behaviors>
          <w:behavior w:val="content"/>
        </w:behaviors>
        <w:guid w:val="{7D739877-16E0-4EF2-B9BD-910BC4C579D0}"/>
      </w:docPartPr>
      <w:docPartBody>
        <w:p w:rsidR="00E11B07" w:rsidRDefault="00440280" w:rsidP="00440280">
          <w:pPr>
            <w:pStyle w:val="9B864765E96C49319D847FFA4169CCA1"/>
          </w:pPr>
          <w:r w:rsidRPr="00A743AE">
            <w:rPr>
              <w:rStyle w:val="PlaceholderText"/>
            </w:rPr>
            <w:t>Click or tap here to enter text.</w:t>
          </w:r>
        </w:p>
      </w:docPartBody>
    </w:docPart>
    <w:docPart>
      <w:docPartPr>
        <w:name w:val="03B8CE75686B4F1299146CDA617B97BC"/>
        <w:category>
          <w:name w:val="General"/>
          <w:gallery w:val="placeholder"/>
        </w:category>
        <w:types>
          <w:type w:val="bbPlcHdr"/>
        </w:types>
        <w:behaviors>
          <w:behavior w:val="content"/>
        </w:behaviors>
        <w:guid w:val="{FB59C1A7-52DD-4B5A-9BFF-7736B9EC23C2}"/>
      </w:docPartPr>
      <w:docPartBody>
        <w:p w:rsidR="00E11B07" w:rsidRDefault="00440280" w:rsidP="00440280">
          <w:pPr>
            <w:pStyle w:val="03B8CE75686B4F1299146CDA617B97BC"/>
          </w:pPr>
          <w:r w:rsidRPr="00A743AE">
            <w:rPr>
              <w:rStyle w:val="PlaceholderText"/>
            </w:rPr>
            <w:t>Click or tap here to enter text.</w:t>
          </w:r>
        </w:p>
      </w:docPartBody>
    </w:docPart>
    <w:docPart>
      <w:docPartPr>
        <w:name w:val="50FF9EDE09F84EEC936C7961AA8213C7"/>
        <w:category>
          <w:name w:val="General"/>
          <w:gallery w:val="placeholder"/>
        </w:category>
        <w:types>
          <w:type w:val="bbPlcHdr"/>
        </w:types>
        <w:behaviors>
          <w:behavior w:val="content"/>
        </w:behaviors>
        <w:guid w:val="{73672BCA-2E2B-43D4-AAE9-37D30DD6A98A}"/>
      </w:docPartPr>
      <w:docPartBody>
        <w:p w:rsidR="00E11B07" w:rsidRDefault="00440280" w:rsidP="00440280">
          <w:pPr>
            <w:pStyle w:val="50FF9EDE09F84EEC936C7961AA8213C7"/>
          </w:pPr>
          <w:r w:rsidRPr="00A743AE">
            <w:rPr>
              <w:rStyle w:val="PlaceholderText"/>
            </w:rPr>
            <w:t>Click or tap here to enter text.</w:t>
          </w:r>
        </w:p>
      </w:docPartBody>
    </w:docPart>
    <w:docPart>
      <w:docPartPr>
        <w:name w:val="646505F3329648238F0B601E97A6AA21"/>
        <w:category>
          <w:name w:val="General"/>
          <w:gallery w:val="placeholder"/>
        </w:category>
        <w:types>
          <w:type w:val="bbPlcHdr"/>
        </w:types>
        <w:behaviors>
          <w:behavior w:val="content"/>
        </w:behaviors>
        <w:guid w:val="{7CE4BAE4-E7D1-46E1-84AF-CC7E5EA14F20}"/>
      </w:docPartPr>
      <w:docPartBody>
        <w:p w:rsidR="00D15955" w:rsidRDefault="006117E1" w:rsidP="006117E1">
          <w:pPr>
            <w:pStyle w:val="646505F3329648238F0B601E97A6AA21"/>
          </w:pPr>
          <w:r w:rsidRPr="00A743AE">
            <w:rPr>
              <w:rStyle w:val="PlaceholderText"/>
            </w:rPr>
            <w:t>Click or tap here to enter text.</w:t>
          </w:r>
        </w:p>
      </w:docPartBody>
    </w:docPart>
    <w:docPart>
      <w:docPartPr>
        <w:name w:val="12B26F0E92EC492C842F141FD8A50B8A"/>
        <w:category>
          <w:name w:val="General"/>
          <w:gallery w:val="placeholder"/>
        </w:category>
        <w:types>
          <w:type w:val="bbPlcHdr"/>
        </w:types>
        <w:behaviors>
          <w:behavior w:val="content"/>
        </w:behaviors>
        <w:guid w:val="{BB65854B-595E-4DB1-854C-5E62A7EB7A22}"/>
      </w:docPartPr>
      <w:docPartBody>
        <w:p w:rsidR="00D15955" w:rsidRDefault="006117E1" w:rsidP="006117E1">
          <w:pPr>
            <w:pStyle w:val="12B26F0E92EC492C842F141FD8A50B8A"/>
          </w:pPr>
          <w:r w:rsidRPr="00A743AE">
            <w:rPr>
              <w:rStyle w:val="PlaceholderText"/>
            </w:rPr>
            <w:t>Click or tap here to enter text.</w:t>
          </w:r>
        </w:p>
      </w:docPartBody>
    </w:docPart>
    <w:docPart>
      <w:docPartPr>
        <w:name w:val="67DA86A78E6D400588F7F558755F13FA"/>
        <w:category>
          <w:name w:val="General"/>
          <w:gallery w:val="placeholder"/>
        </w:category>
        <w:types>
          <w:type w:val="bbPlcHdr"/>
        </w:types>
        <w:behaviors>
          <w:behavior w:val="content"/>
        </w:behaviors>
        <w:guid w:val="{729D6146-E885-4D39-A314-1A018B48FB93}"/>
      </w:docPartPr>
      <w:docPartBody>
        <w:p w:rsidR="00D15955" w:rsidRDefault="006117E1" w:rsidP="006117E1">
          <w:pPr>
            <w:pStyle w:val="67DA86A78E6D400588F7F558755F13FA"/>
          </w:pPr>
          <w:r w:rsidRPr="00A743AE">
            <w:rPr>
              <w:rStyle w:val="PlaceholderText"/>
            </w:rPr>
            <w:t>Click or tap here to enter text.</w:t>
          </w:r>
        </w:p>
      </w:docPartBody>
    </w:docPart>
    <w:docPart>
      <w:docPartPr>
        <w:name w:val="F127AD57D51640DAB669AA6C46DB36D3"/>
        <w:category>
          <w:name w:val="General"/>
          <w:gallery w:val="placeholder"/>
        </w:category>
        <w:types>
          <w:type w:val="bbPlcHdr"/>
        </w:types>
        <w:behaviors>
          <w:behavior w:val="content"/>
        </w:behaviors>
        <w:guid w:val="{47F70A5E-AC89-40A1-A55D-E44DD9FFA275}"/>
      </w:docPartPr>
      <w:docPartBody>
        <w:p w:rsidR="00454203" w:rsidRDefault="00D15955" w:rsidP="00D15955">
          <w:pPr>
            <w:pStyle w:val="F127AD57D51640DAB669AA6C46DB36D3"/>
          </w:pPr>
          <w:r w:rsidRPr="00A743AE">
            <w:rPr>
              <w:rStyle w:val="PlaceholderText"/>
            </w:rPr>
            <w:t>Click or tap here to enter text.</w:t>
          </w:r>
        </w:p>
      </w:docPartBody>
    </w:docPart>
    <w:docPart>
      <w:docPartPr>
        <w:name w:val="2ED880863FAA4F68824551E95F9DA2AB"/>
        <w:category>
          <w:name w:val="General"/>
          <w:gallery w:val="placeholder"/>
        </w:category>
        <w:types>
          <w:type w:val="bbPlcHdr"/>
        </w:types>
        <w:behaviors>
          <w:behavior w:val="content"/>
        </w:behaviors>
        <w:guid w:val="{D93AF512-20C5-4778-8623-3EE3329AE36A}"/>
      </w:docPartPr>
      <w:docPartBody>
        <w:p w:rsidR="007B28E7" w:rsidRDefault="007B28E7" w:rsidP="007B28E7">
          <w:pPr>
            <w:pStyle w:val="2ED880863FAA4F68824551E95F9DA2AB"/>
          </w:pPr>
          <w:r w:rsidRPr="00A743AE">
            <w:rPr>
              <w:rStyle w:val="PlaceholderText"/>
            </w:rPr>
            <w:t>Click or tap here to enter text.</w:t>
          </w:r>
        </w:p>
      </w:docPartBody>
    </w:docPart>
    <w:docPart>
      <w:docPartPr>
        <w:name w:val="03093A1257994FC195670024652F0444"/>
        <w:category>
          <w:name w:val="General"/>
          <w:gallery w:val="placeholder"/>
        </w:category>
        <w:types>
          <w:type w:val="bbPlcHdr"/>
        </w:types>
        <w:behaviors>
          <w:behavior w:val="content"/>
        </w:behaviors>
        <w:guid w:val="{6EF71029-6C83-421E-85F6-B511D67055C7}"/>
      </w:docPartPr>
      <w:docPartBody>
        <w:p w:rsidR="007B28E7" w:rsidRDefault="007B28E7" w:rsidP="007B28E7">
          <w:pPr>
            <w:pStyle w:val="03093A1257994FC195670024652F0444"/>
          </w:pPr>
          <w:r w:rsidRPr="00A743AE">
            <w:rPr>
              <w:rStyle w:val="PlaceholderText"/>
            </w:rPr>
            <w:t>Click or tap here to enter text.</w:t>
          </w:r>
        </w:p>
      </w:docPartBody>
    </w:docPart>
    <w:docPart>
      <w:docPartPr>
        <w:name w:val="3C1E966522F24DCABCA5C7FD28DAD2BA"/>
        <w:category>
          <w:name w:val="General"/>
          <w:gallery w:val="placeholder"/>
        </w:category>
        <w:types>
          <w:type w:val="bbPlcHdr"/>
        </w:types>
        <w:behaviors>
          <w:behavior w:val="content"/>
        </w:behaviors>
        <w:guid w:val="{7F2DAD31-3880-4EF9-9001-6ED1CDE56C93}"/>
      </w:docPartPr>
      <w:docPartBody>
        <w:p w:rsidR="007B28E7" w:rsidRDefault="007B28E7" w:rsidP="007B28E7">
          <w:pPr>
            <w:pStyle w:val="3C1E966522F24DCABCA5C7FD28DAD2BA"/>
          </w:pPr>
          <w:r w:rsidRPr="00A743AE">
            <w:rPr>
              <w:rStyle w:val="PlaceholderText"/>
            </w:rPr>
            <w:t>Click or tap here to enter text.</w:t>
          </w:r>
        </w:p>
      </w:docPartBody>
    </w:docPart>
    <w:docPart>
      <w:docPartPr>
        <w:name w:val="D487B2F0A99246E3B3ADFF6226B19F54"/>
        <w:category>
          <w:name w:val="General"/>
          <w:gallery w:val="placeholder"/>
        </w:category>
        <w:types>
          <w:type w:val="bbPlcHdr"/>
        </w:types>
        <w:behaviors>
          <w:behavior w:val="content"/>
        </w:behaviors>
        <w:guid w:val="{F36E1C4A-C860-4F68-8871-07CC1D78FD4F}"/>
      </w:docPartPr>
      <w:docPartBody>
        <w:p w:rsidR="007B28E7" w:rsidRDefault="007B28E7" w:rsidP="007B28E7">
          <w:pPr>
            <w:pStyle w:val="D487B2F0A99246E3B3ADFF6226B19F54"/>
          </w:pPr>
          <w:r w:rsidRPr="00A743AE">
            <w:rPr>
              <w:rStyle w:val="PlaceholderText"/>
            </w:rPr>
            <w:t>Click or tap here to enter text.</w:t>
          </w:r>
        </w:p>
      </w:docPartBody>
    </w:docPart>
    <w:docPart>
      <w:docPartPr>
        <w:name w:val="4CABB25BFB384F028B3A1B8340059AFE"/>
        <w:category>
          <w:name w:val="General"/>
          <w:gallery w:val="placeholder"/>
        </w:category>
        <w:types>
          <w:type w:val="bbPlcHdr"/>
        </w:types>
        <w:behaviors>
          <w:behavior w:val="content"/>
        </w:behaviors>
        <w:guid w:val="{D8379EE3-68C0-4C97-9A4E-F0210FB417D2}"/>
      </w:docPartPr>
      <w:docPartBody>
        <w:p w:rsidR="007B28E7" w:rsidRDefault="007B28E7" w:rsidP="007B28E7">
          <w:pPr>
            <w:pStyle w:val="4CABB25BFB384F028B3A1B8340059AFE"/>
          </w:pPr>
          <w:r w:rsidRPr="00A743AE">
            <w:rPr>
              <w:rStyle w:val="PlaceholderText"/>
            </w:rPr>
            <w:t>Click or tap here to enter text.</w:t>
          </w:r>
        </w:p>
      </w:docPartBody>
    </w:docPart>
    <w:docPart>
      <w:docPartPr>
        <w:name w:val="74608C4CAED1471981B0F19381158CC4"/>
        <w:category>
          <w:name w:val="General"/>
          <w:gallery w:val="placeholder"/>
        </w:category>
        <w:types>
          <w:type w:val="bbPlcHdr"/>
        </w:types>
        <w:behaviors>
          <w:behavior w:val="content"/>
        </w:behaviors>
        <w:guid w:val="{4BD956DB-AC2D-452E-B7D2-D7FA14BF55B1}"/>
      </w:docPartPr>
      <w:docPartBody>
        <w:p w:rsidR="007B28E7" w:rsidRDefault="007B28E7" w:rsidP="007B28E7">
          <w:pPr>
            <w:pStyle w:val="74608C4CAED1471981B0F19381158CC4"/>
          </w:pPr>
          <w:r w:rsidRPr="00A743AE">
            <w:rPr>
              <w:rStyle w:val="PlaceholderText"/>
            </w:rPr>
            <w:t>Click or tap here to enter text.</w:t>
          </w:r>
        </w:p>
      </w:docPartBody>
    </w:docPart>
    <w:docPart>
      <w:docPartPr>
        <w:name w:val="A02E1A9DAFD94D5D82075E6B9E8737F1"/>
        <w:category>
          <w:name w:val="General"/>
          <w:gallery w:val="placeholder"/>
        </w:category>
        <w:types>
          <w:type w:val="bbPlcHdr"/>
        </w:types>
        <w:behaviors>
          <w:behavior w:val="content"/>
        </w:behaviors>
        <w:guid w:val="{A9756BED-1016-4C59-8E05-233D3B6A6797}"/>
      </w:docPartPr>
      <w:docPartBody>
        <w:p w:rsidR="007B28E7" w:rsidRDefault="007B28E7" w:rsidP="007B28E7">
          <w:pPr>
            <w:pStyle w:val="A02E1A9DAFD94D5D82075E6B9E8737F1"/>
          </w:pPr>
          <w:r w:rsidRPr="00A743AE">
            <w:rPr>
              <w:rStyle w:val="PlaceholderText"/>
            </w:rPr>
            <w:t>Click or tap here to enter text.</w:t>
          </w:r>
        </w:p>
      </w:docPartBody>
    </w:docPart>
    <w:docPart>
      <w:docPartPr>
        <w:name w:val="D27AEA45F743480CB30BBD9E794F87D7"/>
        <w:category>
          <w:name w:val="General"/>
          <w:gallery w:val="placeholder"/>
        </w:category>
        <w:types>
          <w:type w:val="bbPlcHdr"/>
        </w:types>
        <w:behaviors>
          <w:behavior w:val="content"/>
        </w:behaviors>
        <w:guid w:val="{B92E13CC-D66C-4FFD-A4E8-E9BD7AD8989F}"/>
      </w:docPartPr>
      <w:docPartBody>
        <w:p w:rsidR="007B28E7" w:rsidRDefault="007B28E7" w:rsidP="007B28E7">
          <w:pPr>
            <w:pStyle w:val="D27AEA45F743480CB30BBD9E794F87D7"/>
          </w:pPr>
          <w:r w:rsidRPr="00A743AE">
            <w:rPr>
              <w:rStyle w:val="PlaceholderText"/>
            </w:rPr>
            <w:t>Click or tap here to enter text.</w:t>
          </w:r>
        </w:p>
      </w:docPartBody>
    </w:docPart>
    <w:docPart>
      <w:docPartPr>
        <w:name w:val="1066832DC09A497AB87DBD4EA19BEBF4"/>
        <w:category>
          <w:name w:val="General"/>
          <w:gallery w:val="placeholder"/>
        </w:category>
        <w:types>
          <w:type w:val="bbPlcHdr"/>
        </w:types>
        <w:behaviors>
          <w:behavior w:val="content"/>
        </w:behaviors>
        <w:guid w:val="{96BE17F1-3E39-4E86-B0C3-55116D51E82B}"/>
      </w:docPartPr>
      <w:docPartBody>
        <w:p w:rsidR="007B28E7" w:rsidRDefault="007B28E7" w:rsidP="007B28E7">
          <w:pPr>
            <w:pStyle w:val="1066832DC09A497AB87DBD4EA19BEBF4"/>
          </w:pPr>
          <w:r w:rsidRPr="00A743AE">
            <w:rPr>
              <w:rStyle w:val="PlaceholderText"/>
            </w:rPr>
            <w:t>Click or tap here to enter text.</w:t>
          </w:r>
        </w:p>
      </w:docPartBody>
    </w:docPart>
    <w:docPart>
      <w:docPartPr>
        <w:name w:val="29D0AA6D25AA4507964EA1AF97FE7341"/>
        <w:category>
          <w:name w:val="General"/>
          <w:gallery w:val="placeholder"/>
        </w:category>
        <w:types>
          <w:type w:val="bbPlcHdr"/>
        </w:types>
        <w:behaviors>
          <w:behavior w:val="content"/>
        </w:behaviors>
        <w:guid w:val="{DA261A74-11E6-40CF-9EA0-CD6EC9928D28}"/>
      </w:docPartPr>
      <w:docPartBody>
        <w:p w:rsidR="007B28E7" w:rsidRDefault="007B28E7" w:rsidP="007B28E7">
          <w:pPr>
            <w:pStyle w:val="29D0AA6D25AA4507964EA1AF97FE7341"/>
          </w:pPr>
          <w:r w:rsidRPr="00A743AE">
            <w:rPr>
              <w:rStyle w:val="PlaceholderText"/>
            </w:rPr>
            <w:t>Click or tap here to enter text.</w:t>
          </w:r>
        </w:p>
      </w:docPartBody>
    </w:docPart>
    <w:docPart>
      <w:docPartPr>
        <w:name w:val="FFDEAA31E3C94AECA6E1A11861D14FF9"/>
        <w:category>
          <w:name w:val="General"/>
          <w:gallery w:val="placeholder"/>
        </w:category>
        <w:types>
          <w:type w:val="bbPlcHdr"/>
        </w:types>
        <w:behaviors>
          <w:behavior w:val="content"/>
        </w:behaviors>
        <w:guid w:val="{F5B405A1-FADA-4572-9F70-1B815679DE5B}"/>
      </w:docPartPr>
      <w:docPartBody>
        <w:p w:rsidR="007B28E7" w:rsidRDefault="007B28E7" w:rsidP="007B28E7">
          <w:pPr>
            <w:pStyle w:val="FFDEAA31E3C94AECA6E1A11861D14FF9"/>
          </w:pPr>
          <w:r w:rsidRPr="00A743AE">
            <w:rPr>
              <w:rStyle w:val="PlaceholderText"/>
            </w:rPr>
            <w:t>Click or tap here to enter text.</w:t>
          </w:r>
        </w:p>
      </w:docPartBody>
    </w:docPart>
    <w:docPart>
      <w:docPartPr>
        <w:name w:val="B7FD4C6823F04FA28BB814211C53171A"/>
        <w:category>
          <w:name w:val="General"/>
          <w:gallery w:val="placeholder"/>
        </w:category>
        <w:types>
          <w:type w:val="bbPlcHdr"/>
        </w:types>
        <w:behaviors>
          <w:behavior w:val="content"/>
        </w:behaviors>
        <w:guid w:val="{BAB6FAEC-E6B2-487A-9B14-F5C7D03F2DE7}"/>
      </w:docPartPr>
      <w:docPartBody>
        <w:p w:rsidR="007B28E7" w:rsidRDefault="007B28E7" w:rsidP="007B28E7">
          <w:pPr>
            <w:pStyle w:val="B7FD4C6823F04FA28BB814211C53171A"/>
          </w:pPr>
          <w:r w:rsidRPr="00A743AE">
            <w:rPr>
              <w:rStyle w:val="PlaceholderText"/>
            </w:rPr>
            <w:t>Click or tap here to enter text.</w:t>
          </w:r>
        </w:p>
      </w:docPartBody>
    </w:docPart>
    <w:docPart>
      <w:docPartPr>
        <w:name w:val="402BA591C1B34D208834B55EE3D3752E"/>
        <w:category>
          <w:name w:val="General"/>
          <w:gallery w:val="placeholder"/>
        </w:category>
        <w:types>
          <w:type w:val="bbPlcHdr"/>
        </w:types>
        <w:behaviors>
          <w:behavior w:val="content"/>
        </w:behaviors>
        <w:guid w:val="{D1E1775D-DE91-4C27-A646-F6BB9ED76B12}"/>
      </w:docPartPr>
      <w:docPartBody>
        <w:p w:rsidR="007B28E7" w:rsidRDefault="007B28E7" w:rsidP="007B28E7">
          <w:pPr>
            <w:pStyle w:val="402BA591C1B34D208834B55EE3D3752E"/>
          </w:pPr>
          <w:r w:rsidRPr="00A743AE">
            <w:rPr>
              <w:rStyle w:val="PlaceholderText"/>
            </w:rPr>
            <w:t>Click or tap here to enter text.</w:t>
          </w:r>
        </w:p>
      </w:docPartBody>
    </w:docPart>
    <w:docPart>
      <w:docPartPr>
        <w:name w:val="AD0138C9C42E415F99A0700A751BD5A4"/>
        <w:category>
          <w:name w:val="General"/>
          <w:gallery w:val="placeholder"/>
        </w:category>
        <w:types>
          <w:type w:val="bbPlcHdr"/>
        </w:types>
        <w:behaviors>
          <w:behavior w:val="content"/>
        </w:behaviors>
        <w:guid w:val="{C47000FB-7237-47C5-8DAC-1679E30921C0}"/>
      </w:docPartPr>
      <w:docPartBody>
        <w:p w:rsidR="007B28E7" w:rsidRDefault="007B28E7" w:rsidP="007B28E7">
          <w:pPr>
            <w:pStyle w:val="AD0138C9C42E415F99A0700A751BD5A4"/>
          </w:pPr>
          <w:r w:rsidRPr="00A743AE">
            <w:rPr>
              <w:rStyle w:val="PlaceholderText"/>
            </w:rPr>
            <w:t>Click or tap here to enter text.</w:t>
          </w:r>
        </w:p>
      </w:docPartBody>
    </w:docPart>
    <w:docPart>
      <w:docPartPr>
        <w:name w:val="2B3B6FDE0787435B8223C419954B4848"/>
        <w:category>
          <w:name w:val="General"/>
          <w:gallery w:val="placeholder"/>
        </w:category>
        <w:types>
          <w:type w:val="bbPlcHdr"/>
        </w:types>
        <w:behaviors>
          <w:behavior w:val="content"/>
        </w:behaviors>
        <w:guid w:val="{83E720FD-3C98-4371-AA01-197BBCA26C0A}"/>
      </w:docPartPr>
      <w:docPartBody>
        <w:p w:rsidR="007B28E7" w:rsidRDefault="007B28E7" w:rsidP="007B28E7">
          <w:pPr>
            <w:pStyle w:val="2B3B6FDE0787435B8223C419954B4848"/>
          </w:pPr>
          <w:r w:rsidRPr="00A743AE">
            <w:rPr>
              <w:rStyle w:val="PlaceholderText"/>
            </w:rPr>
            <w:t>Click or tap here to enter text.</w:t>
          </w:r>
        </w:p>
      </w:docPartBody>
    </w:docPart>
    <w:docPart>
      <w:docPartPr>
        <w:name w:val="F4846370A95842D4AB8D4B603E775756"/>
        <w:category>
          <w:name w:val="General"/>
          <w:gallery w:val="placeholder"/>
        </w:category>
        <w:types>
          <w:type w:val="bbPlcHdr"/>
        </w:types>
        <w:behaviors>
          <w:behavior w:val="content"/>
        </w:behaviors>
        <w:guid w:val="{98CAF8BE-3F65-4D3D-AB78-166C411A120E}"/>
      </w:docPartPr>
      <w:docPartBody>
        <w:p w:rsidR="00DE1BAC" w:rsidRDefault="00721B32">
          <w:pPr>
            <w:pStyle w:val="F4846370A95842D4AB8D4B603E775756"/>
          </w:pPr>
          <w:r w:rsidRPr="00A743AE">
            <w:rPr>
              <w:rStyle w:val="PlaceholderText"/>
            </w:rPr>
            <w:t>Click or tap here to enter text.</w:t>
          </w:r>
        </w:p>
      </w:docPartBody>
    </w:docPart>
    <w:docPart>
      <w:docPartPr>
        <w:name w:val="0C1D251870C041AEA1388C1B7DCA384D"/>
        <w:category>
          <w:name w:val="General"/>
          <w:gallery w:val="placeholder"/>
        </w:category>
        <w:types>
          <w:type w:val="bbPlcHdr"/>
        </w:types>
        <w:behaviors>
          <w:behavior w:val="content"/>
        </w:behaviors>
        <w:guid w:val="{5699BCBC-6855-4A86-A7A3-1720DC8D5E30}"/>
      </w:docPartPr>
      <w:docPartBody>
        <w:p w:rsidR="00DE1BAC" w:rsidRDefault="00721B32">
          <w:pPr>
            <w:pStyle w:val="0C1D251870C041AEA1388C1B7DCA384D"/>
          </w:pPr>
          <w:r w:rsidRPr="00A743AE">
            <w:rPr>
              <w:rStyle w:val="PlaceholderText"/>
            </w:rPr>
            <w:t>Click or tap here to enter text.</w:t>
          </w:r>
        </w:p>
      </w:docPartBody>
    </w:docPart>
    <w:docPart>
      <w:docPartPr>
        <w:name w:val="6D11391497F44C93ACE8A5516DED1E53"/>
        <w:category>
          <w:name w:val="General"/>
          <w:gallery w:val="placeholder"/>
        </w:category>
        <w:types>
          <w:type w:val="bbPlcHdr"/>
        </w:types>
        <w:behaviors>
          <w:behavior w:val="content"/>
        </w:behaviors>
        <w:guid w:val="{1CEBD7A3-B15D-48E6-AF9F-92FA0545A74F}"/>
      </w:docPartPr>
      <w:docPartBody>
        <w:p w:rsidR="00DE1BAC" w:rsidRDefault="00721B32">
          <w:pPr>
            <w:pStyle w:val="6D11391497F44C93ACE8A5516DED1E53"/>
          </w:pPr>
          <w:r w:rsidRPr="00A743AE">
            <w:rPr>
              <w:rStyle w:val="PlaceholderText"/>
            </w:rPr>
            <w:t>Click or tap here to enter text.</w:t>
          </w:r>
        </w:p>
      </w:docPartBody>
    </w:docPart>
    <w:docPart>
      <w:docPartPr>
        <w:name w:val="4D62AD876F33481A9708A28C853B9A07"/>
        <w:category>
          <w:name w:val="General"/>
          <w:gallery w:val="placeholder"/>
        </w:category>
        <w:types>
          <w:type w:val="bbPlcHdr"/>
        </w:types>
        <w:behaviors>
          <w:behavior w:val="content"/>
        </w:behaviors>
        <w:guid w:val="{44F70112-D70C-41BC-8B73-D78E647FFBE4}"/>
      </w:docPartPr>
      <w:docPartBody>
        <w:p w:rsidR="00DE1BAC" w:rsidRDefault="00721B32">
          <w:pPr>
            <w:pStyle w:val="4D62AD876F33481A9708A28C853B9A07"/>
          </w:pPr>
          <w:r w:rsidRPr="00A743AE">
            <w:rPr>
              <w:rStyle w:val="PlaceholderText"/>
            </w:rPr>
            <w:t>Click or tap here to enter text.</w:t>
          </w:r>
        </w:p>
      </w:docPartBody>
    </w:docPart>
    <w:docPart>
      <w:docPartPr>
        <w:name w:val="135FDC7E77E241B98DE7A6242FEBF1D6"/>
        <w:category>
          <w:name w:val="General"/>
          <w:gallery w:val="placeholder"/>
        </w:category>
        <w:types>
          <w:type w:val="bbPlcHdr"/>
        </w:types>
        <w:behaviors>
          <w:behavior w:val="content"/>
        </w:behaviors>
        <w:guid w:val="{530FFF8C-A786-4E33-B7A5-D271DE092DF0}"/>
      </w:docPartPr>
      <w:docPartBody>
        <w:p w:rsidR="00DE1BAC" w:rsidRDefault="00721B32">
          <w:pPr>
            <w:pStyle w:val="135FDC7E77E241B98DE7A6242FEBF1D6"/>
          </w:pPr>
          <w:r w:rsidRPr="00A743AE">
            <w:rPr>
              <w:rStyle w:val="PlaceholderText"/>
            </w:rPr>
            <w:t>Click or tap here to enter text.</w:t>
          </w:r>
        </w:p>
      </w:docPartBody>
    </w:docPart>
    <w:docPart>
      <w:docPartPr>
        <w:name w:val="C121F144830040A68D015361EBEE8108"/>
        <w:category>
          <w:name w:val="General"/>
          <w:gallery w:val="placeholder"/>
        </w:category>
        <w:types>
          <w:type w:val="bbPlcHdr"/>
        </w:types>
        <w:behaviors>
          <w:behavior w:val="content"/>
        </w:behaviors>
        <w:guid w:val="{DB109A16-6194-433C-A44F-DEF4D3E47035}"/>
      </w:docPartPr>
      <w:docPartBody>
        <w:p w:rsidR="00DE1BAC" w:rsidRDefault="00721B32">
          <w:pPr>
            <w:pStyle w:val="C121F144830040A68D015361EBEE8108"/>
          </w:pPr>
          <w:r w:rsidRPr="00A743AE">
            <w:rPr>
              <w:rStyle w:val="PlaceholderText"/>
            </w:rPr>
            <w:t>Click or tap here to enter text.</w:t>
          </w:r>
        </w:p>
      </w:docPartBody>
    </w:docPart>
    <w:docPart>
      <w:docPartPr>
        <w:name w:val="26DFD0AAB1314B24AF8671199499E6F5"/>
        <w:category>
          <w:name w:val="General"/>
          <w:gallery w:val="placeholder"/>
        </w:category>
        <w:types>
          <w:type w:val="bbPlcHdr"/>
        </w:types>
        <w:behaviors>
          <w:behavior w:val="content"/>
        </w:behaviors>
        <w:guid w:val="{9A062270-586B-4865-B4C5-E9CC1D518D66}"/>
      </w:docPartPr>
      <w:docPartBody>
        <w:p w:rsidR="00DE1BAC" w:rsidRDefault="00721B32">
          <w:pPr>
            <w:pStyle w:val="26DFD0AAB1314B24AF8671199499E6F5"/>
          </w:pPr>
          <w:r w:rsidRPr="00A743AE">
            <w:rPr>
              <w:rStyle w:val="PlaceholderText"/>
            </w:rPr>
            <w:t>Click or tap here to enter text.</w:t>
          </w:r>
        </w:p>
      </w:docPartBody>
    </w:docPart>
    <w:docPart>
      <w:docPartPr>
        <w:name w:val="A4C7FF103EE44B27921DCE2C186E31FC"/>
        <w:category>
          <w:name w:val="General"/>
          <w:gallery w:val="placeholder"/>
        </w:category>
        <w:types>
          <w:type w:val="bbPlcHdr"/>
        </w:types>
        <w:behaviors>
          <w:behavior w:val="content"/>
        </w:behaviors>
        <w:guid w:val="{EA62E95F-6A3A-423D-924E-C7F7686A96B7}"/>
      </w:docPartPr>
      <w:docPartBody>
        <w:p w:rsidR="008C6D07" w:rsidRDefault="00DE1BAC" w:rsidP="00DE1BAC">
          <w:pPr>
            <w:pStyle w:val="A4C7FF103EE44B27921DCE2C186E31FC"/>
          </w:pPr>
          <w:r w:rsidRPr="00A743AE">
            <w:rPr>
              <w:rStyle w:val="PlaceholderText"/>
            </w:rPr>
            <w:t>Click or tap here to enter text.</w:t>
          </w:r>
        </w:p>
      </w:docPartBody>
    </w:docPart>
    <w:docPart>
      <w:docPartPr>
        <w:name w:val="16CDEC252D5F4276AADB1FAC8C913C8F"/>
        <w:category>
          <w:name w:val="General"/>
          <w:gallery w:val="placeholder"/>
        </w:category>
        <w:types>
          <w:type w:val="bbPlcHdr"/>
        </w:types>
        <w:behaviors>
          <w:behavior w:val="content"/>
        </w:behaviors>
        <w:guid w:val="{14A91AF0-CE9D-4C93-ACB0-3073A9153968}"/>
      </w:docPartPr>
      <w:docPartBody>
        <w:p w:rsidR="008C6D07" w:rsidRDefault="00DE1BAC" w:rsidP="00DE1BAC">
          <w:pPr>
            <w:pStyle w:val="16CDEC252D5F4276AADB1FAC8C913C8F"/>
          </w:pPr>
          <w:r w:rsidRPr="00E518FF">
            <w:rPr>
              <w:rStyle w:val="PlaceholderText"/>
            </w:rPr>
            <w:t>Click or tap here to enter text.</w:t>
          </w:r>
        </w:p>
      </w:docPartBody>
    </w:docPart>
    <w:docPart>
      <w:docPartPr>
        <w:name w:val="570322EBE31D4E93A538B2D59C916257"/>
        <w:category>
          <w:name w:val="General"/>
          <w:gallery w:val="placeholder"/>
        </w:category>
        <w:types>
          <w:type w:val="bbPlcHdr"/>
        </w:types>
        <w:behaviors>
          <w:behavior w:val="content"/>
        </w:behaviors>
        <w:guid w:val="{C3702A19-E104-44B1-A32B-CF3119FD337C}"/>
      </w:docPartPr>
      <w:docPartBody>
        <w:p w:rsidR="008C6D07" w:rsidRDefault="00DE1BAC" w:rsidP="00DE1BAC">
          <w:pPr>
            <w:pStyle w:val="570322EBE31D4E93A538B2D59C916257"/>
          </w:pPr>
          <w:r w:rsidRPr="00A743AE">
            <w:rPr>
              <w:rStyle w:val="PlaceholderText"/>
            </w:rPr>
            <w:t>Click or tap here to enter text.</w:t>
          </w:r>
        </w:p>
      </w:docPartBody>
    </w:docPart>
    <w:docPart>
      <w:docPartPr>
        <w:name w:val="83C8CA54BD744A978A8F91E5152DE828"/>
        <w:category>
          <w:name w:val="General"/>
          <w:gallery w:val="placeholder"/>
        </w:category>
        <w:types>
          <w:type w:val="bbPlcHdr"/>
        </w:types>
        <w:behaviors>
          <w:behavior w:val="content"/>
        </w:behaviors>
        <w:guid w:val="{53E084CF-602B-4A00-B045-DAAFD9970F43}"/>
      </w:docPartPr>
      <w:docPartBody>
        <w:p w:rsidR="008C6D07" w:rsidRDefault="00DE1BAC" w:rsidP="00DE1BAC">
          <w:pPr>
            <w:pStyle w:val="83C8CA54BD744A978A8F91E5152DE828"/>
          </w:pPr>
          <w:r w:rsidRPr="00E518FF">
            <w:rPr>
              <w:rStyle w:val="PlaceholderText"/>
            </w:rPr>
            <w:t>Click or tap here to enter text.</w:t>
          </w:r>
        </w:p>
      </w:docPartBody>
    </w:docPart>
    <w:docPart>
      <w:docPartPr>
        <w:name w:val="5C455F9A747D4925BA1E61112551D18B"/>
        <w:category>
          <w:name w:val="General"/>
          <w:gallery w:val="placeholder"/>
        </w:category>
        <w:types>
          <w:type w:val="bbPlcHdr"/>
        </w:types>
        <w:behaviors>
          <w:behavior w:val="content"/>
        </w:behaviors>
        <w:guid w:val="{1285829E-A7EA-4DD4-8398-C5EFC91A18B8}"/>
      </w:docPartPr>
      <w:docPartBody>
        <w:p w:rsidR="008C6D07" w:rsidRDefault="00DE1BAC" w:rsidP="00DE1BAC">
          <w:pPr>
            <w:pStyle w:val="5C455F9A747D4925BA1E61112551D18B"/>
          </w:pPr>
          <w:r w:rsidRPr="00A743AE">
            <w:rPr>
              <w:rStyle w:val="PlaceholderText"/>
            </w:rPr>
            <w:t>Click or tap here to enter text.</w:t>
          </w:r>
        </w:p>
      </w:docPartBody>
    </w:docPart>
    <w:docPart>
      <w:docPartPr>
        <w:name w:val="50145DF6F66F4F948ED8BFA8ED19811D"/>
        <w:category>
          <w:name w:val="General"/>
          <w:gallery w:val="placeholder"/>
        </w:category>
        <w:types>
          <w:type w:val="bbPlcHdr"/>
        </w:types>
        <w:behaviors>
          <w:behavior w:val="content"/>
        </w:behaviors>
        <w:guid w:val="{3932B102-6D38-4F10-A55B-4CCF0BDE1BCC}"/>
      </w:docPartPr>
      <w:docPartBody>
        <w:p w:rsidR="008C6D07" w:rsidRDefault="00DE1BAC" w:rsidP="00DE1BAC">
          <w:pPr>
            <w:pStyle w:val="50145DF6F66F4F948ED8BFA8ED19811D"/>
          </w:pPr>
          <w:r w:rsidRPr="00A743AE">
            <w:rPr>
              <w:rStyle w:val="PlaceholderText"/>
            </w:rPr>
            <w:t>Click or tap here to enter text.</w:t>
          </w:r>
        </w:p>
      </w:docPartBody>
    </w:docPart>
    <w:docPart>
      <w:docPartPr>
        <w:name w:val="59250FF165D04BF085A61A7192071464"/>
        <w:category>
          <w:name w:val="General"/>
          <w:gallery w:val="placeholder"/>
        </w:category>
        <w:types>
          <w:type w:val="bbPlcHdr"/>
        </w:types>
        <w:behaviors>
          <w:behavior w:val="content"/>
        </w:behaviors>
        <w:guid w:val="{412A6953-72AC-4770-B4AD-445B960683CE}"/>
      </w:docPartPr>
      <w:docPartBody>
        <w:p w:rsidR="008C6D07" w:rsidRDefault="00DE1BAC" w:rsidP="00DE1BAC">
          <w:pPr>
            <w:pStyle w:val="59250FF165D04BF085A61A7192071464"/>
          </w:pPr>
          <w:r w:rsidRPr="0022298C">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4035"/>
    <w:rsid w:val="000B5BDF"/>
    <w:rsid w:val="000D4C0F"/>
    <w:rsid w:val="000F4569"/>
    <w:rsid w:val="00101A76"/>
    <w:rsid w:val="001469FD"/>
    <w:rsid w:val="00157ACA"/>
    <w:rsid w:val="001C0C64"/>
    <w:rsid w:val="001E0A04"/>
    <w:rsid w:val="002E579E"/>
    <w:rsid w:val="00304035"/>
    <w:rsid w:val="003208AB"/>
    <w:rsid w:val="0040322C"/>
    <w:rsid w:val="00406E54"/>
    <w:rsid w:val="00440280"/>
    <w:rsid w:val="00454203"/>
    <w:rsid w:val="004A311C"/>
    <w:rsid w:val="004A75E3"/>
    <w:rsid w:val="004F694F"/>
    <w:rsid w:val="005B6DF9"/>
    <w:rsid w:val="006074D9"/>
    <w:rsid w:val="006117E1"/>
    <w:rsid w:val="00616423"/>
    <w:rsid w:val="00671733"/>
    <w:rsid w:val="006822C2"/>
    <w:rsid w:val="00692651"/>
    <w:rsid w:val="00701A5F"/>
    <w:rsid w:val="00705FBB"/>
    <w:rsid w:val="00721B32"/>
    <w:rsid w:val="00736BAF"/>
    <w:rsid w:val="007B28E7"/>
    <w:rsid w:val="00840168"/>
    <w:rsid w:val="008714D2"/>
    <w:rsid w:val="008C25B7"/>
    <w:rsid w:val="008C6D07"/>
    <w:rsid w:val="008F18E7"/>
    <w:rsid w:val="00901157"/>
    <w:rsid w:val="0091211C"/>
    <w:rsid w:val="00964A1D"/>
    <w:rsid w:val="009C1C49"/>
    <w:rsid w:val="009D2AB3"/>
    <w:rsid w:val="009F1F6B"/>
    <w:rsid w:val="00AF345F"/>
    <w:rsid w:val="00AF40BF"/>
    <w:rsid w:val="00B137CE"/>
    <w:rsid w:val="00B2738B"/>
    <w:rsid w:val="00B42A22"/>
    <w:rsid w:val="00C06E94"/>
    <w:rsid w:val="00D1303F"/>
    <w:rsid w:val="00D15955"/>
    <w:rsid w:val="00D30DA4"/>
    <w:rsid w:val="00D55EE2"/>
    <w:rsid w:val="00D9486A"/>
    <w:rsid w:val="00DE1BAC"/>
    <w:rsid w:val="00E11B07"/>
    <w:rsid w:val="00E5686C"/>
    <w:rsid w:val="00EE4D5F"/>
    <w:rsid w:val="00FC226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5DCF6F982E24C62A6252ABF2D0221AB">
    <w:name w:val="B5DCF6F982E24C62A6252ABF2D0221AB"/>
    <w:rsid w:val="00304035"/>
  </w:style>
  <w:style w:type="character" w:styleId="PlaceholderText">
    <w:name w:val="Placeholder Text"/>
    <w:basedOn w:val="DefaultParagraphFont"/>
    <w:uiPriority w:val="99"/>
    <w:semiHidden/>
    <w:rsid w:val="00DE1BAC"/>
    <w:rPr>
      <w:color w:val="808080"/>
    </w:rPr>
  </w:style>
  <w:style w:type="paragraph" w:customStyle="1" w:styleId="D32532C5C38B4B3A8251D697B34CB0C0">
    <w:name w:val="D32532C5C38B4B3A8251D697B34CB0C0"/>
    <w:rsid w:val="00B137CE"/>
  </w:style>
  <w:style w:type="paragraph" w:customStyle="1" w:styleId="3F3F3C0E42F64BB3B11EBFA28D8248B2">
    <w:name w:val="3F3F3C0E42F64BB3B11EBFA28D8248B2"/>
    <w:rsid w:val="00440280"/>
  </w:style>
  <w:style w:type="paragraph" w:customStyle="1" w:styleId="F8E27EF8FBB34F3E96995139F0F6B97D">
    <w:name w:val="F8E27EF8FBB34F3E96995139F0F6B97D"/>
    <w:rsid w:val="00440280"/>
  </w:style>
  <w:style w:type="paragraph" w:customStyle="1" w:styleId="73974FE3C15E4A58BFA2FF3CA3786AF4">
    <w:name w:val="73974FE3C15E4A58BFA2FF3CA3786AF4"/>
    <w:rsid w:val="00440280"/>
  </w:style>
  <w:style w:type="paragraph" w:customStyle="1" w:styleId="9683EFF5EE9045B79DD32429DB798485">
    <w:name w:val="9683EFF5EE9045B79DD32429DB798485"/>
    <w:rsid w:val="00440280"/>
  </w:style>
  <w:style w:type="paragraph" w:customStyle="1" w:styleId="9B864765E96C49319D847FFA4169CCA1">
    <w:name w:val="9B864765E96C49319D847FFA4169CCA1"/>
    <w:rsid w:val="00440280"/>
  </w:style>
  <w:style w:type="paragraph" w:customStyle="1" w:styleId="03B8CE75686B4F1299146CDA617B97BC">
    <w:name w:val="03B8CE75686B4F1299146CDA617B97BC"/>
    <w:rsid w:val="00440280"/>
  </w:style>
  <w:style w:type="paragraph" w:customStyle="1" w:styleId="50FF9EDE09F84EEC936C7961AA8213C7">
    <w:name w:val="50FF9EDE09F84EEC936C7961AA8213C7"/>
    <w:rsid w:val="00440280"/>
  </w:style>
  <w:style w:type="paragraph" w:customStyle="1" w:styleId="646505F3329648238F0B601E97A6AA21">
    <w:name w:val="646505F3329648238F0B601E97A6AA21"/>
    <w:rsid w:val="006117E1"/>
  </w:style>
  <w:style w:type="paragraph" w:customStyle="1" w:styleId="12B26F0E92EC492C842F141FD8A50B8A">
    <w:name w:val="12B26F0E92EC492C842F141FD8A50B8A"/>
    <w:rsid w:val="006117E1"/>
  </w:style>
  <w:style w:type="paragraph" w:customStyle="1" w:styleId="67DA86A78E6D400588F7F558755F13FA">
    <w:name w:val="67DA86A78E6D400588F7F558755F13FA"/>
    <w:rsid w:val="006117E1"/>
  </w:style>
  <w:style w:type="paragraph" w:customStyle="1" w:styleId="F127AD57D51640DAB669AA6C46DB36D3">
    <w:name w:val="F127AD57D51640DAB669AA6C46DB36D3"/>
    <w:rsid w:val="00D15955"/>
  </w:style>
  <w:style w:type="paragraph" w:customStyle="1" w:styleId="2ED880863FAA4F68824551E95F9DA2AB">
    <w:name w:val="2ED880863FAA4F68824551E95F9DA2AB"/>
    <w:rsid w:val="007B28E7"/>
  </w:style>
  <w:style w:type="paragraph" w:customStyle="1" w:styleId="03093A1257994FC195670024652F0444">
    <w:name w:val="03093A1257994FC195670024652F0444"/>
    <w:rsid w:val="007B28E7"/>
  </w:style>
  <w:style w:type="paragraph" w:customStyle="1" w:styleId="3C1E966522F24DCABCA5C7FD28DAD2BA">
    <w:name w:val="3C1E966522F24DCABCA5C7FD28DAD2BA"/>
    <w:rsid w:val="007B28E7"/>
  </w:style>
  <w:style w:type="paragraph" w:customStyle="1" w:styleId="D487B2F0A99246E3B3ADFF6226B19F54">
    <w:name w:val="D487B2F0A99246E3B3ADFF6226B19F54"/>
    <w:rsid w:val="007B28E7"/>
  </w:style>
  <w:style w:type="paragraph" w:customStyle="1" w:styleId="4CABB25BFB384F028B3A1B8340059AFE">
    <w:name w:val="4CABB25BFB384F028B3A1B8340059AFE"/>
    <w:rsid w:val="007B28E7"/>
  </w:style>
  <w:style w:type="paragraph" w:customStyle="1" w:styleId="74608C4CAED1471981B0F19381158CC4">
    <w:name w:val="74608C4CAED1471981B0F19381158CC4"/>
    <w:rsid w:val="007B28E7"/>
  </w:style>
  <w:style w:type="paragraph" w:customStyle="1" w:styleId="A02E1A9DAFD94D5D82075E6B9E8737F1">
    <w:name w:val="A02E1A9DAFD94D5D82075E6B9E8737F1"/>
    <w:rsid w:val="007B28E7"/>
  </w:style>
  <w:style w:type="paragraph" w:customStyle="1" w:styleId="D27AEA45F743480CB30BBD9E794F87D7">
    <w:name w:val="D27AEA45F743480CB30BBD9E794F87D7"/>
    <w:rsid w:val="007B28E7"/>
  </w:style>
  <w:style w:type="paragraph" w:customStyle="1" w:styleId="1066832DC09A497AB87DBD4EA19BEBF4">
    <w:name w:val="1066832DC09A497AB87DBD4EA19BEBF4"/>
    <w:rsid w:val="007B28E7"/>
  </w:style>
  <w:style w:type="paragraph" w:customStyle="1" w:styleId="29D0AA6D25AA4507964EA1AF97FE7341">
    <w:name w:val="29D0AA6D25AA4507964EA1AF97FE7341"/>
    <w:rsid w:val="007B28E7"/>
  </w:style>
  <w:style w:type="paragraph" w:customStyle="1" w:styleId="FFDEAA31E3C94AECA6E1A11861D14FF9">
    <w:name w:val="FFDEAA31E3C94AECA6E1A11861D14FF9"/>
    <w:rsid w:val="007B28E7"/>
  </w:style>
  <w:style w:type="paragraph" w:customStyle="1" w:styleId="B7FD4C6823F04FA28BB814211C53171A">
    <w:name w:val="B7FD4C6823F04FA28BB814211C53171A"/>
    <w:rsid w:val="007B28E7"/>
  </w:style>
  <w:style w:type="paragraph" w:customStyle="1" w:styleId="402BA591C1B34D208834B55EE3D3752E">
    <w:name w:val="402BA591C1B34D208834B55EE3D3752E"/>
    <w:rsid w:val="007B28E7"/>
  </w:style>
  <w:style w:type="paragraph" w:customStyle="1" w:styleId="AD0138C9C42E415F99A0700A751BD5A4">
    <w:name w:val="AD0138C9C42E415F99A0700A751BD5A4"/>
    <w:rsid w:val="007B28E7"/>
  </w:style>
  <w:style w:type="paragraph" w:customStyle="1" w:styleId="2B3B6FDE0787435B8223C419954B4848">
    <w:name w:val="2B3B6FDE0787435B8223C419954B4848"/>
    <w:rsid w:val="007B28E7"/>
  </w:style>
  <w:style w:type="paragraph" w:customStyle="1" w:styleId="F4846370A95842D4AB8D4B603E775756">
    <w:name w:val="F4846370A95842D4AB8D4B603E775756"/>
  </w:style>
  <w:style w:type="paragraph" w:customStyle="1" w:styleId="0C1D251870C041AEA1388C1B7DCA384D">
    <w:name w:val="0C1D251870C041AEA1388C1B7DCA384D"/>
  </w:style>
  <w:style w:type="paragraph" w:customStyle="1" w:styleId="6D11391497F44C93ACE8A5516DED1E53">
    <w:name w:val="6D11391497F44C93ACE8A5516DED1E53"/>
  </w:style>
  <w:style w:type="paragraph" w:customStyle="1" w:styleId="4D62AD876F33481A9708A28C853B9A07">
    <w:name w:val="4D62AD876F33481A9708A28C853B9A07"/>
  </w:style>
  <w:style w:type="paragraph" w:customStyle="1" w:styleId="135FDC7E77E241B98DE7A6242FEBF1D6">
    <w:name w:val="135FDC7E77E241B98DE7A6242FEBF1D6"/>
  </w:style>
  <w:style w:type="paragraph" w:customStyle="1" w:styleId="C121F144830040A68D015361EBEE8108">
    <w:name w:val="C121F144830040A68D015361EBEE8108"/>
  </w:style>
  <w:style w:type="paragraph" w:customStyle="1" w:styleId="26DFD0AAB1314B24AF8671199499E6F5">
    <w:name w:val="26DFD0AAB1314B24AF8671199499E6F5"/>
  </w:style>
  <w:style w:type="paragraph" w:customStyle="1" w:styleId="A4C7FF103EE44B27921DCE2C186E31FC">
    <w:name w:val="A4C7FF103EE44B27921DCE2C186E31FC"/>
    <w:rsid w:val="00DE1BAC"/>
  </w:style>
  <w:style w:type="paragraph" w:customStyle="1" w:styleId="16CDEC252D5F4276AADB1FAC8C913C8F">
    <w:name w:val="16CDEC252D5F4276AADB1FAC8C913C8F"/>
    <w:rsid w:val="00DE1BAC"/>
  </w:style>
  <w:style w:type="paragraph" w:customStyle="1" w:styleId="570322EBE31D4E93A538B2D59C916257">
    <w:name w:val="570322EBE31D4E93A538B2D59C916257"/>
    <w:rsid w:val="00DE1BAC"/>
  </w:style>
  <w:style w:type="paragraph" w:customStyle="1" w:styleId="83C8CA54BD744A978A8F91E5152DE828">
    <w:name w:val="83C8CA54BD744A978A8F91E5152DE828"/>
    <w:rsid w:val="00DE1BAC"/>
  </w:style>
  <w:style w:type="paragraph" w:customStyle="1" w:styleId="5C455F9A747D4925BA1E61112551D18B">
    <w:name w:val="5C455F9A747D4925BA1E61112551D18B"/>
    <w:rsid w:val="00DE1BAC"/>
  </w:style>
  <w:style w:type="paragraph" w:customStyle="1" w:styleId="50145DF6F66F4F948ED8BFA8ED19811D">
    <w:name w:val="50145DF6F66F4F948ED8BFA8ED19811D"/>
    <w:rsid w:val="00DE1BAC"/>
  </w:style>
  <w:style w:type="paragraph" w:customStyle="1" w:styleId="59250FF165D04BF085A61A7192071464">
    <w:name w:val="59250FF165D04BF085A61A7192071464"/>
    <w:rsid w:val="00DE1BA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02C5413-533C-4817-AC89-0E48112F5247}">
  <we:reference id="wa104382081" version="1.16.0.0" store="en-001" storeType="OMEX"/>
  <we:alternateReferences>
    <we:reference id="wa104382081" version="1.16.0.0" store="en-001" storeType="OMEX"/>
  </we:alternateReferences>
  <we:properties>
    <we:property name="MENDELEY_CITATIONS" value="[{&quot;citationID&quot;:&quot;MENDELEY_CITATION_2f5a0693-29eb-4eb6-840f-fd0dd5900bc0&quot;,&quot;citationItems&quot;:[{&quot;id&quot;:&quot;c6b11d8b-4e97-3309-ae20-9f24e6bbf3d9&quot;,&quot;itemData&quot;:{&quot;type&quot;:&quot;article-journal&quot;,&quot;id&quot;:&quot;c6b11d8b-4e97-3309-ae20-9f24e6bbf3d9&quot;,&quot;title&quot;:&quot;Toll-like receptor 4 contributes to vascular remodelling and endothelial dysfunction in angiotensin II-induced hypertension&quot;,&quot;author&quot;:[{&quot;family&quot;:&quot;Hernanz&quot;,&quot;given&quot;:&quot;R&quot;,&quot;parse-names&quot;:false,&quot;dropping-particle&quot;:&quot;&quot;,&quot;non-dropping-particle&quot;:&quot;&quot;},{&quot;family&quot;:&quot;Martínez-Revelles&quot;,&quot;given&quot;:&quot;S&quot;,&quot;parse-names&quot;:false,&quot;dropping-particle&quot;:&quot;&quot;,&quot;non-dropping-particle&quot;:&quot;&quot;},{&quot;family&quot;:&quot;Palacios&quot;,&quot;given&quot;:&quot;R&quot;,&quot;parse-names&quot;:false,&quot;dropping-particle&quot;:&quot;&quot;,&quot;non-dropping-particle&quot;:&quot;&quot;},{&quot;family&quot;:&quot;Martín&quot;,&quot;given&quot;:&quot;A&quot;,&quot;parse-names&quot;:false,&quot;dropping-particle&quot;:&quot;&quot;,&quot;non-dropping-particle&quot;:&quot;&quot;},{&quot;family&quot;:&quot;Cachofeiro&quot;,&quot;given&quot;:&quot;V&quot;,&quot;parse-names&quot;:false,&quot;dropping-particle&quot;:&quot;&quot;,&quot;non-dropping-particle&quot;:&quot;&quot;},{&quot;family&quot;:&quot;Aguado&quot;,&quot;given&quot;:&quot;A&quot;,&quot;parse-names&quot;:false,&quot;dropping-particle&quot;:&quot;&quot;,&quot;non-dropping-particle&quot;:&quot;&quot;},{&quot;family&quot;:&quot;García-Redondo&quot;,&quot;given&quot;:&quot;L&quot;,&quot;parse-names&quot;:false,&quot;dropping-particle&quot;:&quot;&quot;,&quot;non-dropping-particle&quot;:&quot;&quot;},{&quot;family&quot;:&quot;Barrús&quot;,&quot;given&quot;:&quot;M T&quot;,&quot;parse-names&quot;:false,&quot;dropping-particle&quot;:&quot;&quot;,&quot;non-dropping-particle&quot;:&quot;&quot;},{&quot;family&quot;:&quot;Batista&quot;,&quot;given&quot;:&quot;P R&quot;,&quot;parse-names&quot;:false,&quot;dropping-particle&quot;:&quot;&quot;,&quot;non-dropping-particle&quot;:&quot;de&quot;},{&quot;family&quot;:&quot;Briones&quot;,&quot;given&quot;:&quot;A M&quot;,&quot;parse-names&quot;:false,&quot;dropping-particle&quot;:&quot;&quot;,&quot;non-dropping-particle&quot;:&quot;&quot;},{&quot;family&quot;:&quot;Salaices&quot;,&quot;given&quot;:&quot;M&quot;,&quot;parse-names&quot;:false,&quot;dropping-particle&quot;:&quot;&quot;,&quot;non-dropping-particle&quot;:&quot;&quot;},{&quot;family&quot;:&quot;Alonso&quot;,&quot;given&quot;:&quot;M J&quot;,&quot;parse-names&quot;:false,&quot;dropping-particle&quot;:&quot;&quot;,&quot;non-dropping-particle&quot;:&quot;&quot;}],&quot;container-title&quot;:&quot;British Journal of Pharmacology&quot;,&quot;accessed&quot;:{&quot;date-parts&quot;:[[2018,4,5]]},&quot;DOI&quot;:&quot;10.1111/bph.13117&quot;,&quot;ISSN&quot;:&quot;00071188&quot;,&quot;URL&quot;:&quot;http://doi.wiley.com/10.1111/bph.13117&quot;,&quot;issued&quot;:{&quot;date-parts&quot;:[[2015,6,1]]},&quot;page&quot;:&quot;3159-3176&quot;,&quot;publisher&quot;:&quot;Wiley/Blackwell (10.1111)&quot;,&quot;issue&quot;:&quot;12&quot;,&quot;volume&quot;:&quot;172&quot;},&quot;isTemporary&quot;:false},{&quot;id&quot;:&quot;280b5466-c7d7-32f4-b268-72f001fd124e&quot;,&quot;itemData&quot;:{&quot;type&quot;:&quot;article-journal&quot;,&quot;id&quot;:&quot;280b5466-c7d7-32f4-b268-72f001fd124e&quot;,&quot;title&quot;:&quot;Role of toll-like receptor 4 in intimal foam cell accumulation in apolipoprotein E-deficient mice.&quot;,&quot;author&quot;:[{&quot;family&quot;:&quot;Higashimori&quot;,&quot;given&quot;:&quot;Mie&quot;,&quot;parse-names&quot;:false,&quot;dropping-particle&quot;:&quot;&quot;,&quot;non-dropping-particle&quot;:&quot;&quot;},{&quot;family&quot;:&quot;Tatro&quot;,&quot;given&quot;:&quot;Jeffrey B&quot;,&quot;parse-names&quot;:false,&quot;dropping-particle&quot;:&quot;&quot;,&quot;non-dropping-particle&quot;:&quot;&quot;},{&quot;family&quot;:&quot;Moore&quot;,&quot;given&quot;:&quot;Kathryn J&quot;,&quot;parse-names&quot;:false,&quot;dropping-particle&quot;:&quot;&quot;,&quot;non-dropping-particle&quot;:&quot;&quot;},{&quot;family&quot;:&quot;Mendelsohn&quot;,&quot;given&quot;:&quot;Michael E&quot;,&quot;parse-names&quot;:false,&quot;dropping-particle&quot;:&quot;&quot;,&quot;non-dropping-particle&quot;:&quot;&quot;},{&quot;family&quot;:&quot;Galper&quot;,&quot;given&quot;:&quot;Jonas B&quot;,&quot;parse-names&quot;:false,&quot;dropping-particle&quot;:&quot;&quot;,&quot;non-dropping-particle&quot;:&quot;&quot;},{&quot;family&quot;:&quot;Beasley&quot;,&quot;given&quot;:&quot;Debbie&quot;,&quot;parse-names&quot;:false,&quot;dropping-particle&quot;:&quot;&quot;,&quot;non-dropping-particle&quot;:&quot;&quot;}],&quot;container-title&quot;:&quot;Arteriosclerosis, thrombosis, and vascular biology&quot;,&quot;accessed&quot;:{&quot;date-parts&quot;:[[2018,4,5]]},&quot;DOI&quot;:&quot;10.1161/ATVBAHA.110.210971&quot;,&quot;ISSN&quot;:&quot;1524-4636&quot;,&quot;PMID&quot;:&quot;20966403&quot;,&quot;URL&quot;:&quot;http://www.ncbi.nlm.nih.gov/pubmed/20966403&quot;,&quot;issued&quot;:{&quot;date-parts&quot;:[[2011,1,1]]},&quot;page&quot;:&quot;50-7&quot;,&quot;abstract&quot;:&quot;OBJECTIVE Atherosclerosis encompasses a conspicuously maladaptive inflammatory response that might involve innate immunity. Here, we compared the role of Toll-like receptor 4 (TLR4) with that of TLR2 in intimal foam cell accumulation and inflammation in apolipoprotein E (ApoE) knockout (KO) mice in vivo and determined potential mechanisms of upstream activation and downstream action. METHODS AND RESULTS We measured lipid accumulation and gene expression in the lesion-prone lesser curvature of the aortic arch. TLR4 deficiency reduced intimal lipid by ≈75% in ApoE KO mice, despite unaltered total serum cholesterol and triglyceride levels, whereas TLR2 deficiency reduced it by ≈45%. TLR4 deficiency prevented the increased interleukin-1α (IL-1α) and monocyte chemoattractant protein-1 mRNA levels seen within lesional tissue, and it also lowered serum IL-1α levels. Smooth muscle cells (SMC) were present within the intima of the lesser curvature of the aortic arch at this early lesion stage, and they enveloped and permeated nascent lesions, which consisted of focal clusters of foam cells. Cholesterol enrichment of SMC in vitro stimulated acyl-coenzyme A:cholesterol acyltransferase-1 mRNA expression, cytoplasmic cholesterol ester accumulation, and monocyte chemoattractant protein-1 mRNA and protein expression in a TLR4-dependent manner. CONCLUSIONS TLR4 contributes to early-stage intimal foam cell accumulation at lesion-prone aortic sites in ApoE KO mice, as does TLR2 to a lesser extent. Intimal SMC surround and penetrate early lesions, where TLR4 signaling within them may influence lesion progression.&quot;,&quot;publisher&quot;:&quot;American Heart Association, Inc.&quot;,&quot;issue&quot;:&quot;1&quot;,&quot;volume&quot;:&quot;31&quot;},&quot;isTemporary&quot;:false}],&quot;properties&quot;:{&quot;noteIndex&quot;:0},&quot;isEdited&quot;:false,&quot;manualOverride&quot;:{&quot;isManuallyOverriden&quot;:false,&quot;citeprocText&quot;:&quot;(Higashimori &lt;i&gt;et al.&lt;/i&gt;, 2011; Hernanz &lt;i&gt;et al.&lt;/i&gt;, 2015)&quot;,&quot;manualOverrideText&quot;:&quot;&quot;},&quot;citationTag&quot;:&quot;MENDELEY_CITATION_v3_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&quot;},{&quot;citationID&quot;:&quot;MENDELEY_CITATION_ef451a58-3361-437a-b16d-8c5043d821f5&quot;,&quot;citationItems&quot;:[{&quot;id&quot;:&quot;885a5e5f-3bb8-3970-85e4-0894fc91c57c&quot;,&quot;itemData&quot;:{&quot;type&quot;:&quot;report&quot;,&quot;id&quot;:&quot;885a5e5f-3bb8-3970-85e4-0894fc91c57c&quot;,&quot;title&quot;:&quot;European Cardiovascular Disease Statistics 2017 edition&quot;,&quot;author&quot;:[{&quot;family&quot;:&quot;Wilkins&quot;,&quot;given&quot;:&quot;E&quot;,&quot;parse-names&quot;:false,&quot;dropping-particle&quot;:&quot;&quot;,&quot;non-dropping-particle&quot;:&quot;&quot;},{&quot;family&quot;:&quot;Wilson&quot;,&quot;given&quot;:&quot;L&quot;,&quot;parse-names&quot;:false,&quot;dropping-particle&quot;:&quot;&quot;,&quot;non-dropping-particle&quot;:&quot;&quot;},{&quot;family&quot;:&quot;Wickramasinghe&quot;,&quot;given&quot;:&quot;K&quot;,&quot;parse-names&quot;:false,&quot;dropping-particle&quot;:&quot;&quot;,&quot;non-dropping-particle&quot;:&quot;&quot;},{&quot;family&quot;:&quot;Bhatnagar&quot;,&quot;given&quot;:&quot;P&quot;,&quot;parse-names&quot;:false,&quot;dropping-particle&quot;:&quot;&quot;,&quot;non-dropping-particle&quot;:&quot;&quot;},{&quot;family&quot;:&quot;Leal&quot;,&quot;given&quot;:&quot;J&quot;,&quot;parse-names&quot;:false,&quot;dropping-particle&quot;:&quot;&quot;,&quot;non-dropping-particle&quot;:&quot;&quot;},{&quot;family&quot;:&quot;Luengo-Fernandez&quot;,&quot;given&quot;:&quot;R&quot;,&quot;parse-names&quot;:false,&quot;dropping-particle&quot;:&quot;&quot;,&quot;non-dropping-particle&quot;:&quot;&quot;},{&quot;family&quot;:&quot;Burns&quot;,&quot;given&quot;:&quot;R&quot;,&quot;parse-names&quot;:false,&quot;dropping-particle&quot;:&quot;&quot;,&quot;non-dropping-particle&quot;:&quot;&quot;},{&quot;family&quot;:&quot;Rayner&quot;,&quot;given&quot;:&quot;M&quot;,&quot;parse-names&quot;:false,&quot;dropping-particle&quot;:&quot;&quot;,&quot;non-dropping-particle&quot;:&quot;&quot;},{&quot;family&quot;:&quot;Townsend&quot;,&quot;given&quot;:&quot;N&quot;,&quot;parse-names&quot;:false,&quot;dropping-particle&quot;:&quot;&quot;,&quot;non-dropping-particle&quot;:&quot;&quot;}],&quot;accessed&quot;:{&quot;date-parts&quot;:[[2021,1,26]]},&quot;URL&quot;:&quot;www.ehnheart.org&quot;,&quot;issued&quot;:{&quot;date-parts&quot;:[[2017]]}},&quot;isTemporary&quot;:false}],&quot;properties&quot;:{&quot;noteIndex&quot;:0},&quot;isEdited&quot;:false,&quot;manualOverride&quot;:{&quot;isManuallyOverriden&quot;:false,&quot;citeprocText&quot;:&quot;(Wilkins &lt;i&gt;et al.&lt;/i&gt;, 2017)&quot;,&quot;manualOverrideText&quot;:&quot;&quot;},&quot;citationTag&quot;:&quot;MENDELEY_CITATION_v3_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&quot;},{&quot;citationID&quot;:&quot;MENDELEY_CITATION_446255c0-a748-449d-9424-dd5a089a8b91&quot;,&quot;citationItems&quot;:[{&quot;id&quot;:&quot;ba757b61-7ea6-38cf-9551-2799644b87f5&quot;,&quot;itemData&quot;:{&quot;type&quot;:&quot;article-journal&quot;,&quot;id&quot;:&quot;ba757b61-7ea6-38cf-9551-2799644b87f5&quot;,&quot;title&quot;:&quot;Lack of Toll-like receptor 4 or myeloid differentiation factor 88 reduces atherosclerosis and alters plaque phenotype in mice deficient in apolipoprotein E.&quot;,&quot;author&quot;:[{&quot;family&quot;:&quot;Michelsen&quot;,&quot;given&quot;:&quot;Kathrin S&quot;,&quot;parse-names&quot;:false,&quot;dropping-particle&quot;:&quot;&quot;,&quot;non-dropping-particle&quot;:&quot;&quot;},{&quot;family&quot;:&quot;Wong&quot;,&quot;given&quot;:&quot;Michelle H&quot;,&quot;parse-names&quot;:false,&quot;dropping-particle&quot;:&quot;&quot;,&quot;non-dropping-particle&quot;:&quot;&quot;},{&quot;family&quot;:&quot;Shah&quot;,&quot;given&quot;:&quot;Prediman K&quot;,&quot;parse-names&quot;:false,&quot;dropping-particle&quot;:&quot;&quot;,&quot;non-dropping-particle&quot;:&quot;&quot;},{&quot;family&quot;:&quot;Zhang&quot;,&quot;given&quot;:&quot;Wenxuan&quot;,&quot;parse-names&quot;:false,&quot;dropping-particle&quot;:&quot;&quot;,&quot;non-dropping-particle&quot;:&quot;&quot;},{&quot;family&quot;:&quot;Yano&quot;,&quot;given&quot;:&quot;Juliana&quot;,&quot;parse-names&quot;:false,&quot;dropping-particle&quot;:&quot;&quot;,&quot;non-dropping-particle&quot;:&quot;&quot;},{&quot;family&quot;:&quot;Doherty&quot;,&quot;given&quot;:&quot;Terence M&quot;,&quot;parse-names&quot;:false,&quot;dropping-particle&quot;:&quot;&quot;,&quot;non-dropping-particle&quot;:&quot;&quot;},{&quot;family&quot;:&quot;Akira&quot;,&quot;given&quot;:&quot;Shizuo&quot;,&quot;parse-names&quot;:false,&quot;dropping-particle&quot;:&quot;&quot;,&quot;non-dropping-particle&quot;:&quot;&quot;},{&quot;family&quot;:&quot;Rajavashisth&quot;,&quot;given&quot;:&quot;Tripathi B&quot;,&quot;parse-names&quot;:false,&quot;dropping-particle&quot;:&quot;&quot;,&quot;non-dropping-particle&quot;:&quot;&quot;},{&quot;family&quot;:&quot;Arditi&quot;,&quot;given&quot;:&quot;Moshe&quot;,&quot;parse-names&quot;:false,&quot;dropping-particle&quot;:&quot;&quot;,&quot;non-dropping-particle&quot;:&quot;&quot;}],&quot;container-title&quot;:&quot;Proceedings of the National Academy of Sciences of the United States of America&quot;,&quot;accessed&quot;:{&quot;date-parts&quot;:[[2018,4,5]]},&quot;DOI&quot;:&quot;10.1073/pnas.0403249101&quot;,&quot;ISSN&quot;:&quot;0027-8424&quot;,&quot;PMID&quot;:&quot;15249654&quot;,&quot;URL&quot;:&quot;http://www.ncbi.nlm.nih.gov/pubmed/15249654&quot;,&quot;issued&quot;:{&quot;date-parts&quot;:[[2004,7,20]]},&quot;page&quot;:&quot;10679-84&quot;,&quot;abstract&quot;:&quot;Toll-like receptors (TLRs) and the downstream adaptor molecule myeloid differentiation factor 88 (MyD88) play an essential role in the innate immune responses. Here, we demonstrate that genetic deficiency of TLR4 or MyD88 is associated with a significant reduction of aortic plaque areas in atherosclerosis-prone apolipoprotein E-deficient mice, despite persistent hypercholesterolemia, implying an important role for the innate immune system in atherogenesis. Apolipoprotein E-deficient mice that also lacked TLR4 or MyD88 demonstrated reduced aortic atherosclerosis that was associated with reductions in circulating levels of proinflammatory cytokines IL-12 or monocyte chemoattractant protein 1, plaque lipid content, numbers of macrophage, and cyclooxygenase 2 immunoreactivity in their plaques. Endothelial-leukocyte adhesion in response to minimally modified low-density lipoprotein was reduced in aortic endothelial cells derived from MyD88-deficient mice. Taken together, our results suggest an important role for TLR4 and MyD88 signaling in atherosclerosis in a hypercholesterolemic mouse model, providing a pathophysiologic link between innate immunity, inflammation, and atherogenesis.&quot;,&quot;publisher&quot;:&quot;National Academy of Sciences&quot;,&quot;issue&quot;:&quot;29&quot;,&quot;volume&quot;:&quot;101&quot;},&quot;isTemporary&quot;:false},{&quot;id&quot;:&quot;254365db-4978-3259-8eb7-b78b8eaceac3&quot;,&quot;itemData&quot;:{&quot;type&quot;:&quot;article-journal&quot;,&quot;id&quot;:&quot;254365db-4978-3259-8eb7-b78b8eaceac3&quot;,&quot;title&quot;:&quot;MyD88 deficiency attenuates angiotensin II-induced abdominal aortic aneurysm formation independent of signaling through Toll-like receptors 2 and 4.&quot;,&quot;author&quot;:[{&quot;family&quot;:&quot;Owens&quot;,&quot;given&quot;:&quot;A Phillip&quot;,&quot;parse-names&quot;:false,&quot;dropping-particle&quot;:&quot;&quot;,&quot;non-dropping-particle&quot;:&quot;&quot;},{&quot;family&quot;:&quot;Rateri&quot;,&quot;given&quot;:&quot;Debra L&quot;,&quot;parse-names&quot;:false,&quot;dropping-particle&quot;:&quot;&quot;,&quot;non-dropping-particle&quot;:&quot;&quot;},{&quot;family&quot;:&quot;Howatt&quot;,&quot;given&quot;:&quot;Deborah A&quot;,&quot;parse-names&quot;:false,&quot;dropping-particle&quot;:&quot;&quot;,&quot;non-dropping-particle&quot;:&quot;&quot;},{&quot;family&quot;:&quot;Moore&quot;,&quot;given&quot;:&quot;Kathryn J&quot;,&quot;parse-names&quot;:false,&quot;dropping-particle&quot;:&quot;&quot;,&quot;non-dropping-particle&quot;:&quot;&quot;},{&quot;family&quot;:&quot;Tobias&quot;,&quot;given&quot;:&quot;Peter S&quot;,&quot;parse-names&quot;:false,&quot;dropping-particle&quot;:&quot;&quot;,&quot;non-dropping-particle&quot;:&quot;&quot;},{&quot;family&quot;:&quot;Curtiss&quot;,&quot;given&quot;:&quot;Linda K&quot;,&quot;parse-names&quot;:false,&quot;dropping-particle&quot;:&quot;&quot;,&quot;non-dropping-particle&quot;:&quot;&quot;},{&quot;family&quot;:&quot;Lu&quot;,&quot;given&quot;:&quot;Hong&quot;,&quot;parse-names&quot;:false,&quot;dropping-particle&quot;:&quot;&quot;,&quot;non-dropping-particle&quot;:&quot;&quot;},{&quot;family&quot;:&quot;Cassis&quot;,&quot;given&quot;:&quot;Lisa A&quot;,&quot;parse-names&quot;:false,&quot;dropping-particle&quot;:&quot;&quot;,&quot;non-dropping-particle&quot;:&quot;&quot;},{&quot;family&quot;:&quot;Daugherty&quot;,&quot;given&quot;:&quot;Alan&quot;,&quot;parse-names&quot;:false,&quot;dropping-particle&quot;:&quot;&quot;,&quot;non-dropping-particle&quot;:&quot;&quot;}],&quot;container-title&quot;:&quot;Arteriosclerosis, thrombosis, and vascular biology&quot;,&quot;accessed&quot;:{&quot;date-parts&quot;:[[2018,4,5]]},&quot;DOI&quot;:&quot;10.1161/ATVBAHA.111.238642&quot;,&quot;ISSN&quot;:&quot;1524-4636&quot;,&quot;PMID&quot;:&quot;21960563&quot;,&quot;URL&quot;:&quot;http://www.ncbi.nlm.nih.gov/pubmed/21960563&quot;,&quot;issued&quot;:{&quot;date-parts&quot;:[[2011,12,1]]},&quot;page&quot;:&quot;2813-9&quot;,&quot;abstract&quot;:&quot;OBJECTIVE The purpose of this study was to determine whether myeloid differentiation factor 88 (MyD88) and its related Toll-like receptors (TLRs) 2 and 4 contributed to the development of angiotensin II (AngII)-induced abdominal aortic aneurysms (AAAs) and atherosclerosis. METHODS AND RESULTS AngII was infused into either apoE(-/-) or LDL receptor (LDLR)(-/-) male mice that were either MyD88(+/+) or (-/-). MyD88 deficiency profoundly reduced AngII-induced AAAs and atherosclerosis in both strains. To define whether deficiency of specific TLRs had similar effects, AngII was infused into LDLR(-/-) mice that were also deficient in either TLR2 or TLR4. TLR2 deficiency had no effect on AAA development but inhibited atherosclerosis. In contrast, TLR4 deficiency attenuated both AAAs and atherosclerosis. To resolve whether MyD88 and TLR4 exerted their effects through cells of hematopoietic lineage, LDLR(-/-) mice were lethally irradiated and repopulated with bone marrow-derived cells from either MyD88 or TLR4 strains. MyD88 deficiency in bone marrow-derived cells profoundly reduced both AngII-induced AAAs and atherosclerosis. However, TLR4 deficiency in bone marrow-derived cells had no effect on either pathology. CONCLUSIONS These studies demonstrate that MyD88 deficiency in leukocytes profoundly reduces AngII-induced AAAs and atherosclerosis via mechanisms independent of either TLR2 or TLR4.&quot;,&quot;publisher&quot;:&quot;American Heart Association, Inc.&quot;,&quot;issue&quot;:&quot;12&quot;,&quot;volume&quot;:&quot;31&quot;},&quot;isTemporary&quot;:false}],&quot;properties&quot;:{&quot;noteIndex&quot;:0},&quot;isEdited&quot;:false,&quot;manualOverride&quot;:{&quot;isManuallyOverriden&quot;:false,&quot;citeprocText&quot;:&quot;(Michelsen &lt;i&gt;et al.&lt;/i&gt;, 2004; Owens &lt;i&gt;et al.&lt;/i&gt;, 2011)&quot;,&quot;manualOverrideText&quot;:&quot;&quot;},&quot;citationTag&quot;:&quot;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&quot;},{&quot;citationID&quot;:&quot;MENDELEY_CITATION_bd8602c6-f9f4-48c9-a828-1653cee6b663&quot;,&quot;citationItems&quot;:[{&quot;id&quot;:&quot;c9729dc8-5957-3221-a1a6-1b5b75337323&quot;,&quot;itemData&quot;:{&quot;type&quot;:&quot;article-journal&quot;,&quot;id&quot;:&quot;c9729dc8-5957-3221-a1a6-1b5b75337323&quot;,&quot;title&quot;:&quot;The structural basis of lipopolysaccharide recognition by the TLR4–MD-2 complex&quot;,&quot;author&quot;:[{&quot;family&quot;:&quot;Park&quot;,&quot;given&quot;:&quot;Beom Seok&quot;,&quot;parse-names&quot;:false,&quot;dropping-particle&quot;:&quot;&quot;,&quot;non-dropping-particle&quot;:&quot;&quot;},{&quot;family&quot;:&quot;Song&quot;,&quot;given&quot;:&quot;Dong Hyun&quot;,&quot;parse-names&quot;:false,&quot;dropping-particle&quot;:&quot;&quot;,&quot;non-dropping-particle&quot;:&quot;&quot;},{&quot;family&quot;:&quot;Kim&quot;,&quot;given&quot;:&quot;Ho Min&quot;,&quot;parse-names&quot;:false,&quot;dropping-particle&quot;:&quot;&quot;,&quot;non-dropping-particle&quot;:&quot;&quot;},{&quot;family&quot;:&quot;Choi&quot;,&quot;given&quot;:&quot;Byong-Seok&quot;,&quot;parse-names&quot;:false,&quot;dropping-particle&quot;:&quot;&quot;,&quot;non-dropping-particle&quot;:&quot;&quot;},{&quot;family&quot;:&quot;Lee&quot;,&quot;given&quot;:&quot;Hayyoung&quot;,&quot;parse-names&quot;:false,&quot;dropping-particle&quot;:&quot;&quot;,&quot;non-dropping-particle&quot;:&quot;&quot;},{&quot;family&quot;:&quot;Lee&quot;,&quot;given&quot;:&quot;Jie-Oh&quot;,&quot;parse-names&quot;:false,&quot;dropping-particle&quot;:&quot;&quot;,&quot;non-dropping-particle&quot;:&quot;&quot;}],&quot;container-title&quot;:&quot;Nature&quot;,&quot;accessed&quot;:{&quot;date-parts&quot;:[[2018,4,5]]},&quot;DOI&quot;:&quot;10.1038/nature07830&quot;,&quot;ISSN&quot;:&quot;0028-0836&quot;,&quot;URL&quot;:&quot;http://www.nature.com/articles/nature07830&quot;,&quot;issued&quot;:{&quot;date-parts&quot;:[[2009,4,1]]},&quot;page&quot;:&quot;1191-1195&quot;,&quot;abstract&quot;:&quot;This paper describes the crystal structure of TLR4-MD-2-LPS, the complex between Toll-like receptor 4, myeloid differentiation factor 2 and lipopolysaccharide (LPS).The structure reveals how the TLR4-MD-2-receptor complex recognizes LPS, a major component of the outer membrane of Gram negative bacteria that induces strong inflammatory responses by activating the human innate immune system. This work throws light on the important role of Toll-like receptor in innate immunity.&quot;,&quot;publisher&quot;:&quot;Nature Publishing Group&quot;,&quot;issue&quot;:&quot;7242&quot;,&quot;volume&quot;:&quot;458&quot;},&quot;isTemporary&quot;:false}],&quot;properties&quot;:{&quot;noteIndex&quot;:0},&quot;isEdited&quot;:false,&quot;manualOverride&quot;:{&quot;isManuallyOverridden&quot;:false,&quot;citeprocText&quot;:&quot;(Park &lt;i&gt;et al.&lt;/i&gt;, 2009)&quot;,&quot;manualOverrideText&quot;:&quot;&quot;},&quot;citationTag&quot;:&quot;MENDELEY_CITATION_v3_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&quot;},{&quot;citationID&quot;:&quot;MENDELEY_CITATION_3c8c1f70-965a-44b3-8cba-4cc3e0b33be7&quot;,&quot;citationItems&quot;:[{&quot;id&quot;:&quot;3901ec35-6528-34f9-95aa-90091cf9786d&quot;,&quot;itemData&quot;:{&quot;type&quot;:&quot;article-journal&quot;,&quot;id&quot;:&quot;3901ec35-6528-34f9-95aa-90091cf9786d&quot;,&quot;title&quot;:&quot;Overexpression of hyaluronan in the tunica media promotes the development of atherosclerosis.&quot;,&quot;author&quot;:[{&quot;family&quot;:&quot;Chai&quot;,&quot;given&quot;:&quot;Song&quot;,&quot;parse-names&quot;:false,&quot;dropping-particle&quot;:&quot;&quot;,&quot;non-dropping-particle&quot;:&quot;&quot;},{&quot;family&quot;:&quot;Chai&quot;,&quot;given&quot;:&quot;Qing&quot;,&quot;parse-names&quot;:false,&quot;dropping-particle&quot;:&quot;&quot;,&quot;non-dropping-particle&quot;:&quot;&quot;},{&quot;family&quot;:&quot;Danielsen&quot;,&quot;given&quot;:&quot;Carl C&quot;,&quot;parse-names&quot;:false,&quot;dropping-particle&quot;:&quot;&quot;,&quot;non-dropping-particle&quot;:&quot;&quot;},{&quot;family&quot;:&quot;Hjorth&quot;,&quot;given&quot;:&quot;Peter&quot;,&quot;parse-names&quot;:false,&quot;dropping-particle&quot;:&quot;&quot;,&quot;non-dropping-particle&quot;:&quot;&quot;},{&quot;family&quot;:&quot;Nyengaard&quot;,&quot;given&quot;:&quot;Jene R&quot;,&quot;parse-names&quot;:false,&quot;dropping-particle&quot;:&quot;&quot;,&quot;non-dropping-particle&quot;:&quot;&quot;},{&quot;family&quot;:&quot;Ledet&quot;,&quot;given&quot;:&quot;Thomas&quot;,&quot;parse-names&quot;:false,&quot;dropping-particle&quot;:&quot;&quot;,&quot;non-dropping-particle&quot;:&quot;&quot;},{&quot;family&quot;:&quot;Yamaguchi&quot;,&quot;given&quot;:&quot;Yu&quot;,&quot;parse-names&quot;:false,&quot;dropping-particle&quot;:&quot;&quot;,&quot;non-dropping-particle&quot;:&quot;&quot;},{&quot;family&quot;:&quot;Rasmussen&quot;,&quot;given&quot;:&quot;Lars M&quot;,&quot;parse-names&quot;:false,&quot;dropping-particle&quot;:&quot;&quot;,&quot;non-dropping-particle&quot;:&quot;&quot;},{&quot;family&quot;:&quot;Wogensen&quot;,&quot;given&quot;:&quot;Lise&quot;,&quot;parse-names&quot;:false,&quot;dropping-particle&quot;:&quot;&quot;,&quot;non-dropping-particle&quot;:&quot;&quot;}],&quot;container-title&quot;:&quot;Circulation research&quot;,&quot;accessed&quot;:{&quot;date-parts&quot;:[[2018,4,5]]},&quot;DOI&quot;:&quot;10.1161/01.RES.0000158963.37132.8b&quot;,&quot;ISSN&quot;:&quot;1524-4571&quot;,&quot;PMID&quot;:&quot;15705963&quot;,&quot;URL&quot;:&quot;http://www.ncbi.nlm.nih.gov/pubmed/15705963&quot;,&quot;issued&quot;:{&quot;date-parts&quot;:[[2005,3,18]]},&quot;page&quot;:&quot;583-91&quot;,&quot;abstract&quot;:&quot;The arterial content of hyaluronan (HA) undergoes diffuse changes as part of the diabetic macroangiopathy. Because HA influences the phenotype of vascular cells in vitro such as proliferation, migration, and secretion, it is tempting to speculate that diabetes-induced hastened cardiovascular disease may be linked to the increased amount of HA. To explore the pathophysiological role of altered HA content in the arterial wall in vivo, we created transgenic (Tg) mice with HA overexpression in smooth muscle cells (SMCs) in large and small vessels, targeted by the alpha smooth-muscle-cell-actin (alphaSMA) promoter fused to the human hyaluronan synthase 2 (hHAS2) cDNA. RT-PCR demonstrated hHAS2 mRNA expression in the tunica media of large and small vessels. In situ hybridization confirmed that hHAS2 mRNA was targeted to the SMCs. The aortic HA content was elevated in the Tg mice, and by immunohistochemistry, it was seen that HA accumulated in the tunica media. The secretory profile of high- and low-molecular HA was similar in wild-type and Tg animals. Overproduction of HA in the aorta resulted in thinning of the elastic lamellae in Tg mice. Our data suggest that this may lead to increased mechanical stiffness and strength, as determined by controlled stretching until failure. Finally, overproduction of HA on the genetic background of the ApoE-deficient mouse strain promoted atherosclerosis development in the aorta. These results indicate that a single component of the diabetic macroangiopathy, diffuse accumulation of HA, accelerates the progression of atherosclerosis.&quot;,&quot;publisher&quot;:&quot;American Heart Association, Inc.&quot;,&quot;issue&quot;:&quot;5&quot;,&quot;volume&quot;:&quot;96&quot;},&quot;isTemporary&quot;:false},{&quot;id&quot;:&quot;4559c1fb-73be-3844-9a84-e03a146097ce&quot;,&quot;itemData&quot;:{&quot;type&quot;:&quot;article-journal&quot;,&quot;id&quot;:&quot;4559c1fb-73be-3844-9a84-e03a146097ce&quot;,&quot;title&quot;:&quot;Differential accumulation of proteoglycans and hyaluronan in culprit lesions: Insights into plaque erosion&quot;,&quot;author&quot;:[{&quot;family&quot;:&quot;Kolodgie&quot;,&quot;given&quot;:&quot;Frank D.&quot;,&quot;parse-names&quot;:false,&quot;dropping-particle&quot;:&quot;&quot;,&quot;non-dropping-particle&quot;:&quot;&quot;},{&quot;family&quot;:&quot;Burke&quot;,&quot;given&quot;:&quot;Allen P.&quot;,&quot;parse-names&quot;:false,&quot;dropping-particle&quot;:&quot;&quot;,&quot;non-dropping-particle&quot;:&quot;&quot;},{&quot;family&quot;:&quot;Farb&quot;,&quot;given&quot;:&quot;Andrew&quot;,&quot;parse-names&quot;:false,&quot;dropping-particle&quot;:&quot;&quot;,&quot;non-dropping-particle&quot;:&quot;&quot;},{&quot;family&quot;:&quot;Weber&quot;,&quot;given&quot;:&quot;Deena K.&quot;,&quot;parse-names&quot;:false,&quot;dropping-particle&quot;:&quot;&quot;,&quot;non-dropping-particle&quot;:&quot;&quot;},{&quot;family&quot;:&quot;Kutys&quot;,&quot;given&quot;:&quot;Robert&quot;,&quot;parse-names&quot;:false,&quot;dropping-particle&quot;:&quot;&quot;,&quot;non-dropping-particle&quot;:&quot;&quot;},{&quot;family&quot;:&quot;Wight&quot;,&quot;given&quot;:&quot;Thomas N.&quot;,&quot;parse-names&quot;:false,&quot;dropping-particle&quot;:&quot;&quot;,&quot;non-dropping-particle&quot;:&quot;&quot;},{&quot;family&quot;:&quot;Virmani&quot;,&quot;given&quot;:&quot;Renu&quot;,&quot;parse-names&quot;:false,&quot;dropping-particle&quot;:&quot;&quot;,&quot;non-dropping-particle&quot;:&quot;&quot;}],&quot;container-title&quot;:&quot;Arteriosclerosis, Thrombosis, and Vascular Biology&quot;,&quot;accessed&quot;:{&quot;date-parts&quot;:[[2021,1,26]]},&quot;DOI&quot;:&quot;10.1161/01.ATV.0000034021.92658.4C&quot;,&quot;ISSN&quot;:&quot;10795642&quot;,&quot;PMID&quot;:&quot;12377743&quot;,&quot;URL&quot;:&quot;https://www.ahajournals.org/doi/10.1161/01.ATV.0000034021.92658.4C&quot;,&quot;issued&quot;:{&quot;date-parts&quot;:[[2002,10,1]]},&quot;page&quot;:&quot;1642-1648&quot;,&quot;abstract&quot;:&quot;Objective - The importance of the extracellular matrix molecules versican, biglycan, decorin, and hyaluronan in plaque instability has not been recognized. Methods and Results - Coronary lesions with acute thrombi and stable plaques were examined for the accumulation and distribution of specific proteoglycans and hyaluronan at culprit sites. The cell surface receptor for hyaluronan, CD44, and smooth muscle (SM) cell maturation markers were also assessed. Proteoglycans and hyaluronan accumulated in distinct patterns depending on plaque type. The fibrous cap of stable lesions was enriched in versican and biglycan, with considerably less staining for decorin and hyaluronan, whereas picrosirius red revealed a heavy accumulation of collagen type I. In contrast, intense staining for hyaluronan and versican was found in erosions at the plaque/thrombus interface, with weak staining for biglycan and decorin; collagen content was predominantly type III. Rupture sites showed little immunoreactivity for proteoglycans or hyaluronan. CD44 was localized along the plaque/thrombus interface in erosions, whereas in ruptures and stable plaques, it was mostly confined to inflammatory cells. Positive immunostaining for immature SM cells (SM myosin heavy chain SM1 and SMemb) was present in stable and eroded plaques, whereas the presence of SM2 and smoothelin was weak or nonexistent. Conclusions - Specific accumulation of versican, hyaluronan, and CD44 at the sites of plaque erosion implicates an involvement of these molecules in events associated with acute coronary thrombosis.&quot;,&quot;publisher&quot;:&quot;Lippincott Williams &amp; Wilkins&quot;,&quot;issue&quot;:&quot;10&quot;,&quot;volume&quot;:&quot;22&quot;},&quot;isTemporary&quot;:false}],&quot;properties&quot;:{&quot;noteIndex&quot;:0},&quot;isEdited&quot;:false,&quot;manualOverride&quot;:{&quot;isManuallyOverriden&quot;:false,&quot;citeprocText&quot;:&quot;(Kolodgie &lt;i&gt;et al.&lt;/i&gt;, 2002; Chai &lt;i&gt;et al.&lt;/i&gt;, 2005)&quot;,&quot;manualOverrideText&quot;:&quot;&quot;},&quot;citationTag&quot;:&quot;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&quot;},{&quot;citationID&quot;:&quot;MENDELEY_CITATION_5b59572f-3995-49d1-b6b0-52fda0798f91&quot;,&quot;citationItems&quot;:[{&quot;id&quot;:&quot;de5c41c4-ad0e-3895-9ea4-d053cc930f20&quot;,&quot;itemData&quot;:{&quot;type&quot;:&quot;article-journal&quot;,&quot;id&quot;:&quot;de5c41c4-ad0e-3895-9ea4-d053cc930f20&quot;,&quot;title&quot;:&quot;Toll-like receptor 4-dependent and -independent cytokine secretion induced by minimally oxidized low-density lipoprotein in macrophages.&quot;,&quot;author&quot;:[{&quot;family&quot;:&quot;Miller&quot;,&quot;given&quot;:&quot;Yury I&quot;,&quot;parse-names&quot;:false,&quot;dropping-particle&quot;:&quot;&quot;,&quot;non-dropping-particle&quot;:&quot;&quot;},{&quot;family&quot;:&quot;Viriyakosol&quot;,&quot;given&quot;:&quot;Suganya&quot;,&quot;parse-names&quot;:false,&quot;dropping-particle&quot;:&quot;&quot;,&quot;non-dropping-particle&quot;:&quot;&quot;},{&quot;family&quot;:&quot;Worrall&quot;,&quot;given&quot;:&quot;Dorothy S&quot;,&quot;parse-names&quot;:false,&quot;dropping-particle&quot;:&quot;&quot;,&quot;non-dropping-particle&quot;:&quot;&quot;},{&quot;family&quot;:&quot;Boullier&quot;,&quot;given&quot;:&quot;Agnès&quot;,&quot;parse-names&quot;:false,&quot;dropping-particle&quot;:&quot;&quot;,&quot;non-dropping-particle&quot;:&quot;&quot;},{&quot;family&quot;:&quot;Butler&quot;,&quot;given&quot;:&quot;Susan&quot;,&quot;parse-names&quot;:false,&quot;dropping-particle&quot;:&quot;&quot;,&quot;non-dropping-particle&quot;:&quot;&quot;},{&quot;family&quot;:&quot;Witztum&quot;,&quot;given&quot;:&quot;Joseph L&quot;,&quot;parse-names&quot;:false,&quot;dropping-particle&quot;:&quot;&quot;,&quot;non-dropping-particle&quot;:&quot;&quot;}],&quot;container-title&quot;:&quot;Arteriosclerosis, thrombosis, and vascular biology&quot;,&quot;accessed&quot;:{&quot;date-parts&quot;:[[2018,3,22]]},&quot;DOI&quot;:&quot;10.1161/01.ATV.0000159891.73193.31&quot;,&quot;ISSN&quot;:&quot;1524-4636&quot;,&quot;PMID&quot;:&quot;15718493&quot;,&quot;URL&quot;:&quot;http://www.ncbi.nlm.nih.gov/pubmed/15718493&quot;,&quot;issued&quot;:{&quot;date-parts&quot;:[[2005,6,1]]},&quot;page&quot;:&quot;1213-9&quot;,&quot;abstract&quot;:&quot;OBJECTIVE Innate immune responses to oxidized low-density lipoprotein LDL (LDL) regulate the development of atherosclerosis. We demonstrated previously that an early form of oxidized LDL, minimally modified LDL (mmLDL), triggers cytoskeletal rearrangements in macrophages via CD14 and Toll-like receptor 4 (TLR4)/MD-2. Because lipopolysaccharide (LPS) activation of TLR4 leads to proinflammatory gene expression, in this study, we asked whether mmLDL also induced proinflammatory signaling. METHODS AND RESULTS We studied cytokine secretion and signaling in J774 and primary peritoneal macrophages stimulated with mmLDL, which was prepared by incubating LDL with cells expressing human 15-lipoxygenase. MmLDL stimulated robust phosphoinositide 3-kinase (PI3K) activation, and Akt and extracellular signal-regulated kinase 1/2 (ERK1/2) phosphorylation, which exceeded that induced by LPS. On the other hand, although mmLDL induced nuclear factor kappaB (NF-kappaB) p65 translocation to the nucleus, there was no detectable NF-kappaB activation. However, mmLDL induced early mRNA and protein expression of the cytokines MIP-2, MCP-1, tumor necrosis factor-alpha, and interleukin-6. Chemokine MIP-2 but not MCP-1 secretion depended on TLR4/MyD88, ERK1/2, and PI3K signaling. In turn, TLR4 regulated phosphorylation of ERK1/2 but not of Akt, suggesting that mmLDL-induced PI3K activation is TLR4 independent. CONCLUSIONS In macrophages, mmLDL activates TLR4-dependent and -independent signaling pathways, resulting in secretion of proinflammatory cytokines. These results provide new insights into the inflammatory origins of atherosclerosis.&quot;,&quot;publisher&quot;:&quot;American Heart Association, Inc.&quot;,&quot;issue&quot;:&quot;6&quot;,&quot;volume&quot;:&quot;25&quot;},&quot;isTemporary&quot;:false},{&quot;id&quot;:&quot;07597066-7b56-3876-b7c5-2bb45e930f57&quot;,&quot;itemData&quot;:{&quot;type&quot;:&quot;article-journal&quot;,&quot;id&quot;:&quot;07597066-7b56-3876-b7c5-2bb45e930f57&quot;,&quot;title&quot;:&quot;Hyaluronan fragments stimulate endothelial recognition of injury through TLR4.&quot;,&quot;author&quot;:[{&quot;family&quot;:&quot;Taylor&quot;,&quot;given&quot;:&quot;Kristen R&quot;,&quot;parse-names&quot;:false,&quot;dropping-particle&quot;:&quot;&quot;,&quot;non-dropping-particle&quot;:&quot;&quot;},{&quot;family&quot;:&quot;Trowbridge&quot;,&quot;given&quot;:&quot;Janet M&quot;,&quot;parse-names&quot;:false,&quot;dropping-particle&quot;:&quot;&quot;,&quot;non-dropping-particle&quot;:&quot;&quot;},{&quot;family&quot;:&quot;Rudisill&quot;,&quot;given&quot;:&quot;Jennifer A&quot;,&quot;parse-names&quot;:false,&quot;dropping-particle&quot;:&quot;&quot;,&quot;non-dropping-particle&quot;:&quot;&quot;},{&quot;family&quot;:&quot;Termeer&quot;,&quot;given&quot;:&quot;Christian C&quot;,&quot;parse-names&quot;:false,&quot;dropping-particle&quot;:&quot;&quot;,&quot;non-dropping-particle&quot;:&quot;&quot;},{&quot;family&quot;:&quot;Simon&quot;,&quot;given&quot;:&quot;Jan C&quot;,&quot;parse-names&quot;:false,&quot;dropping-particle&quot;:&quot;&quot;,&quot;non-dropping-particle&quot;:&quot;&quot;},{&quot;family&quot;:&quot;Gallo&quot;,&quot;given&quot;:&quot;Richard L&quot;,&quot;parse-names&quot;:false,&quot;dropping-particle&quot;:&quot;&quot;,&quot;non-dropping-particle&quot;:&quot;&quot;}],&quot;container-title&quot;:&quot;The Journal of biological chemistry&quot;,&quot;accessed&quot;:{&quot;date-parts&quot;:[[2018,4,5]]},&quot;DOI&quot;:&quot;10.1074/jbc.M310859200&quot;,&quot;ISSN&quot;:&quot;0021-9258&quot;,&quot;PMID&quot;:&quot;14764599&quot;,&quot;URL&quot;:&quot;http://www.jbc.org/lookup/doi/10.1074/jbc.M310859200&quot;,&quot;issued&quot;:{&quot;date-parts&quot;:[[2004,4,23]]},&quot;page&quot;:&quot;17079-84&quot;,&quot;abstract&quot;:&quot;Tissues must quickly recognize injury to respond to the rapid pace of microbial growth. In skin, dermal microvascular endothelial cells must also react to danger signals from the surrounding tissue and immediately participate by initiating the wound repair process. Components of the extracellular matrix such as hyaluronan are rapidly broken down into smaller molecular weight oligosaccharides in a wound, and these can activate a variety of biological processes. This study set out to determine if hyaluronan fragments released following injury can stimulate endothelial cells and what mechanism is responsible for this response. Using genechip microarray analysis, a response to hyaluronan fragments was detected in endothelial cells with the most significant increase observed for the chemokine IL-8. This observation was verified with qualitative reverse transcriptase-PCR and ELISA in human endothelial cell culture, and in a mouse model by observing serum levels of MIP-2 and KC following hyaluronan fragment administration in vivo. Activation was TLR4-dependent, as shown by use of TLR4 blocking antibody and TLR4-deficient mice, but not due to the presence of undetected contaminants as shown by inactivation following digestion with the hyaluronan-degrading enzyme chondroitinase ABC or incubation with the hyaluronan-specific blocking peptide Pep-1. Inactivation of LPS activity failed to diminish the action of hyaluronan fragments. These observations suggest that endogenous components of the extracellular matrix can stimulate endothelia to trigger recognition of injury in the initial stages of the wound defense and repair response.&quot;,&quot;issue&quot;:&quot;17&quot;,&quot;volume&quot;:&quot;279&quot;},&quot;isTemporary&quot;:false}],&quot;properties&quot;:{&quot;noteIndex&quot;:0},&quot;isEdited&quot;:false,&quot;manualOverride&quot;:{&quot;isManuallyOverriden&quot;:false,&quot;citeprocText&quot;:&quot;(Taylor &lt;i&gt;et al.&lt;/i&gt;, 2004; Miller &lt;i&gt;et al.&lt;/i&gt;, 2005)&quot;,&quot;manualOverrideText&quot;:&quot;&quot;},&quot;citationTag&quot;:&quot;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&quot;},{&quot;citationID&quot;:&quot;MENDELEY_CITATION_cbe203cd-ff83-4f56-9ef7-b037d6c95483&quot;,&quot;citationItems&quot;:[{&quot;id&quot;:&quot;469620b2-6f13-38ce-a5e0-76acae70603c&quot;,&quot;itemData&quot;:{&quot;type&quot;:&quot;article-journal&quot;,&quot;id&quot;:&quot;469620b2-6f13-38ce-a5e0-76acae70603c&quot;,&quot;title&quot;:&quot;CD36 ligands promote sterile inflammation through assembly of a Toll-like receptor 4 and 6 heterodimer&quot;,&quot;author&quot;:[{&quot;family&quot;:&quot;Stewart&quot;,&quot;given&quot;:&quot;Cameron R.&quot;,&quot;parse-names&quot;:false,&quot;dropping-particle&quot;:&quot;&quot;,&quot;non-dropping-particle&quot;:&quot;&quot;},{&quot;family&quot;:&quot;Stuart&quot;,&quot;given&quot;:&quot;Lynda M.&quot;,&quot;parse-names&quot;:false,&quot;dropping-particle&quot;:&quot;&quot;,&quot;non-dropping-particle&quot;:&quot;&quot;},{&quot;family&quot;:&quot;Wilkinson&quot;,&quot;given&quot;:&quot;Kim&quot;,&quot;parse-names&quot;:false,&quot;dropping-particle&quot;:&quot;&quot;,&quot;non-dropping-particle&quot;:&quot;&quot;},{&quot;family&quot;:&quot;Gils&quot;,&quot;given&quot;:&quot;Janine M.&quot;,&quot;parse-names&quot;:false,&quot;dropping-particle&quot;:&quot;&quot;,&quot;non-dropping-particle&quot;:&quot;van&quot;},{&quot;family&quot;:&quot;Deng&quot;,&quot;given&quot;:&quot;Jiusheng&quot;,&quot;parse-names&quot;:false,&quot;dropping-particle&quot;:&quot;&quot;,&quot;non-dropping-particle&quot;:&quot;&quot;},{&quot;family&quot;:&quot;Halle&quot;,&quot;given&quot;:&quot;Annett&quot;,&quot;parse-names&quot;:false,&quot;dropping-particle&quot;:&quot;&quot;,&quot;non-dropping-particle&quot;:&quot;&quot;},{&quot;family&quot;:&quot;Rayner&quot;,&quot;given&quot;:&quot;Katey J.&quot;,&quot;parse-names&quot;:false,&quot;dropping-particle&quot;:&quot;&quot;,&quot;non-dropping-particle&quot;:&quot;&quot;},{&quot;family&quot;:&quot;Boyer&quot;,&quot;given&quot;:&quot;Laurent&quot;,&quot;parse-names&quot;:false,&quot;dropping-particle&quot;:&quot;&quot;,&quot;non-dropping-particle&quot;:&quot;&quot;},{&quot;family&quot;:&quot;Zhong&quot;,&quot;given&quot;:&quot;Ruiqin&quot;,&quot;parse-names&quot;:false,&quot;dropping-particle&quot;:&quot;&quot;,&quot;non-dropping-particle&quot;:&quot;&quot;},{&quot;family&quot;:&quot;Frazier&quot;,&quot;given&quot;:&quot;William A.&quot;,&quot;parse-names&quot;:false,&quot;dropping-particle&quot;:&quot;&quot;,&quot;non-dropping-particle&quot;:&quot;&quot;},{&quot;family&quot;:&quot;Lacy-Hulbert&quot;,&quot;given&quot;:&quot;Adam&quot;,&quot;parse-names&quot;:false,&quot;dropping-particle&quot;:&quot;&quot;,&quot;non-dropping-particle&quot;:&quot;&quot;},{&quot;family&quot;:&quot;Khoury&quot;,&quot;given&quot;:&quot;Joseph&quot;,&quot;parse-names&quot;:false,&quot;dropping-particle&quot;:&quot;el&quot;,&quot;non-dropping-particle&quot;:&quot;&quot;},{&quot;family&quot;:&quot;Golenbock&quot;,&quot;given&quot;:&quot;Douglas T.&quot;,&quot;parse-names&quot;:false,&quot;dropping-particle&quot;:&quot;&quot;,&quot;non-dropping-particle&quot;:&quot;&quot;},{&quot;family&quot;:&quot;Moore&quot;,&quot;given&quot;:&quot;Kathryn J.&quot;,&quot;parse-names&quot;:false,&quot;dropping-particle&quot;:&quot;&quot;,&quot;non-dropping-particle&quot;:&quot;&quot;}],&quot;container-title&quot;:&quot;Nature Immunology&quot;,&quot;accessed&quot;:{&quot;date-parts&quot;:[[2021,1,26]]},&quot;DOI&quot;:&quot;10.1038/ni.1836&quot;,&quot;ISSN&quot;:&quot;15292908&quot;,&quot;PMID&quot;:&quot;20037584&quot;,&quot;URL&quot;:&quot;https://www.nature.com/articles/ni.1836&quot;,&quot;issued&quot;:{&quot;date-parts&quot;:[[2010,2,27]]},&quot;page&quot;:&quot;155-161&quot;,&quot;abstract&quot;:&quot;In atherosclerosis and Alzheimer's disease, deposition of the altered self components oxidized low-density lipoprotein (LDL) and amyloid-Β triggers a protracted sterile inflammatory response. Although chronic stimulation of the innate immune system is believed to underlie the pathology of these diseases, the molecular mechanisms of activation remain unclear. Here we show that oxidized LDL and amyloid-Β trigger inflammatory signaling through a heterodimer of Toll-like receptors 4 and 6. Assembly of this newly identified heterodimer is regulated by signals from the scavenger receptor CD36, a common receptor for these disparate ligands. Our results identify CD36-TLR4-TLR6 activation as a common molecular mechanism by which atherogenic lipids and amyloid-Β stimulate sterile inflammation and suggest a new model of TLR heterodimerization triggered by coreceptor signaling events. © 2010 Nature America, Inc. All rights reserved.&quot;,&quot;publisher&quot;:&quot;Nature Publishing Group&quot;,&quot;issue&quot;:&quot;2&quot;,&quot;volume&quot;:&quot;11&quot;},&quot;isTemporary&quot;:false}],&quot;properties&quot;:{&quot;noteIndex&quot;:0},&quot;isEdited&quot;:false,&quot;manualOverride&quot;:{&quot;isManuallyOverriden&quot;:false,&quot;citeprocText&quot;:&quot;(Stewart &lt;i&gt;et al.&lt;/i&gt;, 2010)&quot;,&quot;manualOverrideText&quot;:&quot;&quot;},&quot;citationTag&quot;:&quot;MENDELEY_CITATION_v3_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&quot;},{&quot;citationID&quot;:&quot;MENDELEY_CITATION_aa6c0cfe-8fb8-4f80-a8ed-21474a733899&quot;,&quot;citationItems&quot;:[{&quot;id&quot;:&quot;3a42d9d0-1b0a-3983-b301-7ee5ae454c59&quot;,&quot;itemData&quot;:{&quot;type&quot;:&quot;article-journal&quot;,&quot;id&quot;:&quot;3a42d9d0-1b0a-3983-b301-7ee5ae454c59&quot;,&quot;title&quot;:&quot;TNF neutralization results in disseminated disease during acute and latent &lt;i&gt;M. tuberculosis&lt;/i&gt; infection with normal granuloma structure&quot;,&quot;author&quot;:[{&quot;family&quot;:&quot;Lin&quot;,&quot;given&quot;:&quot;Philana Ling&quot;,&quot;parse-names&quot;:false,&quot;dropping-particle&quot;:&quot;&quot;,&quot;non-dropping-particle&quot;:&quot;&quot;},{&quot;family&quot;:&quot;Myers&quot;,&quot;given&quot;:&quot;Amy&quot;,&quot;parse-names&quot;:false,&quot;dropping-particle&quot;:&quot;&quot;,&quot;non-dropping-particle&quot;:&quot;&quot;},{&quot;family&quot;:&quot;Smith&quot;,&quot;given&quot;:&quot;Le'Kneitah&quot;,&quot;parse-names&quot;:false,&quot;dropping-particle&quot;:&quot;&quot;,&quot;non-dropping-particle&quot;:&quot;&quot;},{&quot;family&quot;:&quot;Bigbee&quot;,&quot;given&quot;:&quot;Carolyn&quot;,&quot;parse-names&quot;:false,&quot;dropping-particle&quot;:&quot;&quot;,&quot;non-dropping-particle&quot;:&quot;&quot;},{&quot;family&quot;:&quot;Bigbee&quot;,&quot;given&quot;:&quot;Matthew&quot;,&quot;parse-names&quot;:false,&quot;dropping-particle&quot;:&quot;&quot;,&quot;non-dropping-particle&quot;:&quot;&quot;},{&quot;family&quot;:&quot;Fuhrman&quot;,&quot;given&quot;:&quot;Carl&quot;,&quot;parse-names&quot;:false,&quot;dropping-particle&quot;:&quot;&quot;,&quot;non-dropping-particle&quot;:&quot;&quot;},{&quot;family&quot;:&quot;Grieser&quot;,&quot;given&quot;:&quot;Heather&quot;,&quot;parse-names&quot;:false,&quot;dropping-particle&quot;:&quot;&quot;,&quot;non-dropping-particle&quot;:&quot;&quot;},{&quot;family&quot;:&quot;Chiosea&quot;,&quot;given&quot;:&quot;Ion&quot;,&quot;parse-names&quot;:false,&quot;dropping-particle&quot;:&quot;&quot;,&quot;non-dropping-particle&quot;:&quot;&quot;},{&quot;family&quot;:&quot;Voitenek&quot;,&quot;given&quot;:&quot;Nikolai N.&quot;,&quot;parse-names&quot;:false,&quot;dropping-particle&quot;:&quot;&quot;,&quot;non-dropping-particle&quot;:&quot;&quot;},{&quot;family&quot;:&quot;Capuano&quot;,&quot;given&quot;:&quot;Saverio&quot;,&quot;parse-names&quot;:false,&quot;dropping-particle&quot;:&quot;v.&quot;,&quot;non-dropping-particle&quot;:&quot;&quot;},{&quot;family&quot;:&quot;Klein&quot;,&quot;given&quot;:&quot;Edwin&quot;,&quot;parse-names&quot;:false,&quot;dropping-particle&quot;:&quot;&quot;,&quot;non-dropping-particle&quot;:&quot;&quot;},{&quot;family&quot;:&quot;Flynn&quot;,&quot;given&quot;:&quot;JoAnne L.&quot;,&quot;parse-names&quot;:false,&quot;dropping-particle&quot;:&quot;&quot;,&quot;non-dropping-particle&quot;:&quot;&quot;}],&quot;container-title&quot;:&quot;Arthritis &amp; Rheumatism&quot;,&quot;accessed&quot;:{&quot;date-parts&quot;:[[2021,1,31]]},&quot;DOI&quot;:&quot;10.1002/art.27271&quot;,&quot;ISSN&quot;:&quot;00043591&quot;,&quot;URL&quot;:&quot;http://doi.wiley.com/10.1002/art.27271&quot;,&quot;issued&quot;:{&quot;date-parts&quot;:[[2010,2,1]]},&quot;page&quot;:&quot;NA-NA&quot;,&quot;abstract&quot;:&quot;Objective. An increased risk of tuberculosis has been documented in humans treated with tumor necrosis factor α (TNFα)-neutralizing agents. In murine models, impaired signaling by TNF causes exacerbation of both acute and chronic infection associated with aberrant granuloma formation and maintenance. This study was undertaken to investigate immune modulation in the setting of TNF neutralization in primary and latent tuberculosis in a non-human primate model. Methods. Cynomolgus macaques 4 years of age or older were infected with Mycobacterium tuberculosis and subjected to clinical, microbiologic, immunologic, and radiographic examinations. Monkeys were classified as having active or latent disease 6-8 months after infection, based on clinical criteria. Monkeys used in acute infection studies were randomized to receive either adalimumab (prior to and during infection) or no treatment. Monkeys with latent infection that were randomized to receive TNF-neutralizing agent were given either an inhibitor of soluble TNF, recombinant methionyl human soluble TNF receptor I (p55-TNFRI), or adalimumab. Control monkeys with latent infection were given no treatment or saline. Data from previously studied monkeys with active or latent disease were also used for comparison. Results. Administration of TNF-neutralizing agents prior to M tuberculosis infection resulted in fulminant and disseminated disease by 8 weeks after infection. Neutralization of TNF in latently infected cynomolgus macaques caused reactivation in a majority of animals as determined by gross pathologic examination and bacterial burden. A spectrum of dissemination was noted, including extrapulmonary disease. Surprisingly, monkeys that developed primary and reactivation tuberculosis after TNF neutralization had similar granuloma structure and composition to that of control monkeys with active disease. TNF neutralization was associated with increased levels of interleukin-12, decreased levels of CCL4, increased chemokine receptor expression, and reduced mycobacteria-induced interferon-γ production in blood but not in the affected mediastinal lymph nodes. Finally, the first signs of reactivation often occurred in thoracic lymph nodes. Conclusion. These findings have important clinical implications for determining the mechanism of TNF neutralization-related tuberculosis. © 2010, American College of Rheumatology.&quot;,&quot;publisher&quot;:&quot;John Wiley &amp; Sons, Ltd&quot;,&quot;issue&quot;:&quot;2&quot;,&quot;volume&quot;:&quot;62&quot;},&quot;isTemporary&quot;:false}],&quot;properties&quot;:{&quot;noteIndex&quot;:0},&quot;isEdited&quot;:false,&quot;manualOverride&quot;:{&quot;isManuallyOverriden&quot;:false,&quot;citeprocText&quot;:&quot;(Lin &lt;i&gt;et al.&lt;/i&gt;, 2010)&quot;,&quot;manualOverrideText&quot;:&quot;&quot;},&quot;citationTag&quot;:&quot;MENDELEY_CITATION_v3_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&quot;},{&quot;citationID&quot;:&quot;MENDELEY_CITATION_c7cec9fa-3940-4c54-a7cf-0065720373ce&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properties&quot;:{&quot;noteIndex&quot;:0},&quot;isEdited&quot;:false,&quot;manualOverride&quot;:{&quot;isManuallyOverriden&quot;:false,&quot;citeprocText&quot;:&quot;(Cighetti &lt;i&gt;et al.&lt;/i&gt;, 2014)&quot;,&quot;manualOverrideText&quot;:&quot;&quot;},&quot;citationTag&quot;:&quot;MENDELEY_CITATION_v3_eyJjaXRhdGlvbklEIjoiTUVOREVMRVlfQ0lUQVRJT05fYzdjZWM5ZmEtMzk0MC00YzU0LWE3Y2YtMDA2NTcyMDM3M2Nl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quot;},{&quot;citationID&quot;:&quot;MENDELEY_CITATION_79004d60-d17f-441a-bc71-3045f93986c7&quot;,&quot;citationItems&quot;:[{&quot;id&quot;:&quot;dd61b1b4-e4f0-3465-803b-be3cb9d6f594&quot;,&quot;itemData&quot;:{&quot;type&quot;:&quot;article-journal&quot;,&quot;id&quot;:&quot;dd61b1b4-e4f0-3465-803b-be3cb9d6f594&quot;,&quot;title&quot;:&quot;TLR4 antagonist FP7 inhibits LPS-induced cytokine production and glycolytic reprogramming in dendritic cells, and protects mice from lethal influenza infection&quot;,&quot;author&quot;:[{&quot;family&quot;:&quot;Perrin-Cocon&quot;,&quot;given&quot;:&quot;Laure&quot;,&quot;parse-names&quot;:false,&quot;dropping-particle&quot;:&quot;&quot;,&quot;non-dropping-particle&quot;:&quot;&quot;},{&quot;family&quot;:&quot;Aublin-Gex&quot;,&quot;given&quot;:&quot;Anne&quot;,&quot;parse-names&quot;:false,&quot;dropping-particle&quot;:&quot;&quot;,&quot;non-dropping-particle&quot;:&quot;&quot;},{&quot;family&quot;:&quot;Sestito&quot;,&quot;given&quot;:&quot;Stefania E.&quot;,&quot;parse-names&quot;:false,&quot;dropping-particle&quot;:&quot;&quot;,&quot;non-dropping-particle&quot;:&quot;&quot;},{&quot;family&quot;:&quot;Shirey&quot;,&quot;given&quot;:&quot;Kari Ann&quot;,&quot;parse-names&quot;:false,&quot;dropping-particle&quot;:&quot;&quot;,&quot;non-dropping-particle&quot;:&quot;&quot;},{&quot;family&quot;:&quot;Patel&quot;,&quot;given&quot;:&quot;Mira C.&quot;,&quot;parse-names&quot;:false,&quot;dropping-particle&quot;:&quot;&quot;,&quot;non-dropping-particle&quot;:&quot;&quot;},{&quot;family&quot;:&quot;André&quot;,&quot;given&quot;:&quot;Patrice&quot;,&quot;parse-names&quot;:false,&quot;dropping-particle&quot;:&quot;&quot;,&quot;non-dropping-particle&quot;:&quot;&quot;},{&quot;family&quot;:&quot;Blanco&quot;,&quot;given&quot;:&quot;Jorge C.&quot;,&quot;parse-names&quot;:false,&quot;dropping-particle&quot;:&quot;&quot;,&quot;non-dropping-particle&quot;:&quot;&quot;},{&quot;family&quot;:&quot;Vogel&quot;,&quot;given&quot;:&quot;Stefanie N.&quot;,&quot;parse-names&quot;:false,&quot;dropping-particle&quot;:&quot;&quot;,&quot;non-dropping-particle&quot;:&quot;&quot;},{&quot;family&quot;:&quot;Peri&quot;,&quot;given&quot;:&quot;Francesco&quot;,&quot;parse-names&quot;:false,&quot;dropping-particle&quot;:&quot;&quot;,&quot;non-dropping-particle&quot;:&quot;&quot;},{&quot;family&quot;:&quot;Lotteau&quot;,&quot;given&quot;:&quot;Vincent&quot;,&quot;parse-names&quot;:false,&quot;dropping-particle&quot;:&quot;&quot;,&quot;non-dropping-particle&quot;:&quot;&quot;}],&quot;container-title&quot;:&quot;Scientific Reports&quot;,&quot;accessed&quot;:{&quot;date-parts&quot;:[[2018,4,5]]},&quot;DOI&quot;:&quot;10.1038/srep40791&quot;,&quot;ISSN&quot;:&quot;2045-2322&quot;,&quot;URL&quot;:&quot;http://www.nature.com/articles/srep40791&quot;,&quot;issued&quot;:{&quot;date-parts&quot;:[[2017,1,20]]},&quot;page&quot;:&quot;40791&quot;,&quot;abstract&quot;:&quot;TLR4 antagonist FP7 inhibits LPS-induced cytokine production and glycolytic reprogramming in dendritic cells, and protects mice from lethal influenza infection&quot;,&quot;publisher&quot;:&quot;Nature Publishing Group&quot;,&quot;volume&quot;:&quot;7&quot;},&quot;isTemporary&quot;:false}],&quot;properties&quot;:{&quot;noteIndex&quot;:0},&quot;isEdited&quot;:false,&quot;manualOverride&quot;:{&quot;isManuallyOverriden&quot;:false,&quot;citeprocText&quot;:&quot;(Perrin-Cocon &lt;i&gt;et al.&lt;/i&gt;, 2017)&quot;,&quot;manualOverrideText&quot;:&quot;&quot;},&quot;citationTag&quot;:&quot;MENDELEY_CITATION_v3_eyJjaXRhdGlvbklEIjoiTUVOREVMRVlfQ0lUQVRJT05fNzkwMDRkNjAtZDE3Zi00NDFhLWJjNzEtMzA0NWY5Mzk4NmM3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quot;},{&quot;citationID&quot;:&quot;MENDELEY_CITATION_6d602488-799e-4ea9-8ddb-50a95927abf9&quot;,&quot;citationItems&quot;:[{&quot;id&quot;:&quot;b1d8786d-fb31-303e-add5-dd9e1c75cfb1&quot;,&quot;itemData&quot;:{&quot;type&quot;:&quot;article&quot;,&quot;id&quot;:&quot;b1d8786d-fb31-303e-add5-dd9e1c75cfb1&quot;,&quot;title&quot;:&quot;A conserved signaling pathway: The Drosophila toll-dorsal pathway&quot;,&quot;author&quot;:[{&quot;family&quot;:&quot;Belvin&quot;,&quot;given&quot;:&quot;Marcia P.&quot;,&quot;parse-names&quot;:false,&quot;dropping-particle&quot;:&quot;&quot;,&quot;non-dropping-particle&quot;:&quot;&quot;},{&quot;family&quot;:&quot;Anderson&quot;,&quot;given&quot;:&quot;Kathryn&quot;,&quot;parse-names&quot;:false,&quot;dropping-particle&quot;:&quot;v.&quot;,&quot;non-dropping-particle&quot;:&quot;&quot;}],&quot;container-title&quot;:&quot;Annual Review of Cell and Developmental Biology&quot;,&quot;accessed&quot;:{&quot;date-parts&quot;:[[2021,1,26]]},&quot;DOI&quot;:&quot;10.1146/annurev.cellbio.12.1.393&quot;,&quot;ISSN&quot;:&quot;10810706&quot;,&quot;PMID&quot;:&quot;8970732&quot;,&quot;URL&quot;:&quot;https://pubmed.ncbi.nlm.nih.gov/8970732/&quot;,&quot;issued&quot;:{&quot;date-parts&quot;:[[1996]]},&quot;page&quot;:&quot;393-416&quot;,&quot;abstract&quot;:&quot;The Toll-Dorsal pathway in Drosophila and the interleukin-1 receptor (IL-1R)-NF-κB pathway in mammals are homologous signal transduction pathways that mediate several different biological responses. In Drosophila, genetic analysis of dorsal-ventral patterning of the embryo has defined the series of genes that mediate the Toll-Dorsal pathway. Binding of extracellular ligand activates the transmembrane receptor Toll, which requires the novel protein Tube to activate the cytoplasmic serine/threonine kinase Pelle. Pelle activity controls the degradation of the Cactus protein, which is present in a cytoplasmic complex with the Dorsal protein. Once Cactus is degraded in response to signal, Dorsal is free to move into the nucleus where it regulates transcription of specific target genes. The Toll, tube, pelle, cactus, and dorsal genes also appear to be involved in Drosophila immune response. Because the IL-1R-NF-κB pathway plays a role in vertebrate innate immunity and because plant homologues of the Toll-Dorsal pathway are important in plant disease resistance, it is likely that this pathway arose before the divergence of plants and animals as a defense against pathogens.&quot;,&quot;publisher&quot;:&quot;Annu Rev Cell Dev Biol&quot;,&quot;volume&quot;:&quot;12&quot;},&quot;isTemporary&quot;:false}],&quot;properties&quot;:{&quot;noteIndex&quot;:0},&quot;isEdited&quot;:false,&quot;manualOverride&quot;:{&quot;isManuallyOverriden&quot;:false,&quot;citeprocText&quot;:&quot;(Belvin and Anderson, 1996)&quot;,&quot;manualOverrideText&quot;:&quot;&quot;},&quot;citationTag&quot;:&quot;MENDELEY_CITATION_v3_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&quot;},{&quot;citationID&quot;:&quot;MENDELEY_CITATION_2f2c90a3-9017-4452-b552-2e268268b214&quot;,&quot;citationItems&quot;:[{&quot;id&quot;:&quot;6805aecb-110d-31ce-9c5e-4ad78656f080&quot;,&quot;itemData&quot;:{&quot;type&quot;:&quot;article-journal&quot;,&quot;id&quot;:&quot;6805aecb-110d-31ce-9c5e-4ad78656f080&quot;,&quot;title&quot;:&quot;The dorsoventral regulatory gene cassette spatzle/Toll/Cactus controls the potent antifungal response in Drosophila adults&quot;,&quot;author&quot;:[{&quot;family&quot;:&quot;Lemaitre&quot;,&quot;given&quot;:&quot;Bruno&quot;,&quot;parse-names&quot;:false,&quot;dropping-particle&quot;:&quot;&quot;,&quot;non-dropping-particle&quot;:&quot;&quot;},{&quot;family&quot;:&quot;Nicolas&quot;,&quot;given&quot;:&quot;Emmanuelle&quot;,&quot;parse-names&quot;:false,&quot;dropping-particle&quot;:&quot;&quot;,&quot;non-dropping-particle&quot;:&quot;&quot;},{&quot;family&quot;:&quot;Michaut&quot;,&quot;given&quot;:&quot;Lydia&quot;,&quot;parse-names&quot;:false,&quot;dropping-particle&quot;:&quot;&quot;,&quot;non-dropping-particle&quot;:&quot;&quot;},{&quot;family&quot;:&quot;Reichhart&quot;,&quot;given&quot;:&quot;Jean Marc&quot;,&quot;parse-names&quot;:false,&quot;dropping-particle&quot;:&quot;&quot;,&quot;non-dropping-particle&quot;:&quot;&quot;},{&quot;family&quot;:&quot;Hoffmann&quot;,&quot;given&quot;:&quot;Jules A.&quot;,&quot;parse-names&quot;:false,&quot;dropping-particle&quot;:&quot;&quot;,&quot;non-dropping-particle&quot;:&quot;&quot;}],&quot;container-title&quot;:&quot;Cell&quot;,&quot;accessed&quot;:{&quot;date-parts&quot;:[[2021,1,31]]},&quot;DOI&quot;:&quot;10.1016/S0092-8674(00)80172-5&quot;,&quot;ISSN&quot;:&quot;00928674&quot;,&quot;PMID&quot;:&quot;8808632&quot;,&quot;issued&quot;:{&quot;date-parts&quot;:[[1996,9,20]]},&quot;page&quot;:&quot;973-983&quot;,&quot;abstract&quot;:&quot;The cytokine-induced activation cascade of NF-κB in mammals and the activation of the morphogen dorsal in Drosophila embryos show striking structural and functional similarities (Toll/IL-1, Cactus/I-κB, and dorsal/NF-κB). Here we demonstrate that these parallels extend to the immune response of Drosophila. In particular, the intracellular components of the dorsoventral signaling pathway (except for dorsal) and the extracellular Toll ligand, spatzle, control expression of the antifungal peptide gene drosomycin in adults. We also show that mutations in the Toll signaling pathway dramatically reduce survival after fungal infection. Antibacterial genes are induced either by a distinct pathway involving the immune deficiency gene (imd) or by combined activation of both imd and dorsoventral pathways.&quot;,&quot;publisher&quot;:&quot;Cell Press&quot;,&quot;issue&quot;:&quot;6&quot;,&quot;volume&quot;:&quot;86&quot;},&quot;isTemporary&quot;:false},{&quot;id&quot;:&quot;8da11bdc-c8e0-370e-897c-6129e04fc8b2&quot;,&quot;itemData&quot;:{&quot;type&quot;:&quot;article-journal&quot;,&quot;id&quot;:&quot;8da11bdc-c8e0-370e-897c-6129e04fc8b2&quot;,&quot;title&quot;:&quot;Drosophila Toll is activated by Gram-positive bacteria through a circulating peptidoglycan recognition protein&quot;,&quot;author&quot;:[{&quot;family&quot;:&quot;Michel&quot;,&quot;given&quot;:&quot;Tatiana&quot;,&quot;parse-names&quot;:false,&quot;dropping-particle&quot;:&quot;&quot;,&quot;non-dropping-particle&quot;:&quot;&quot;},{&quot;family&quot;:&quot;Relchhart&quot;,&quot;given&quot;:&quot;Jean Marc&quot;,&quot;parse-names&quot;:false,&quot;dropping-particle&quot;:&quot;&quot;,&quot;non-dropping-particle&quot;:&quot;&quot;},{&quot;family&quot;:&quot;Hoffmann&quot;,&quot;given&quot;:&quot;Jules A.&quot;,&quot;parse-names&quot;:false,&quot;dropping-particle&quot;:&quot;&quot;,&quot;non-dropping-particle&quot;:&quot;&quot;},{&quot;family&quot;:&quot;Royet&quot;,&quot;given&quot;:&quot;Julien&quot;,&quot;parse-names&quot;:false,&quot;dropping-particle&quot;:&quot;&quot;,&quot;non-dropping-particle&quot;:&quot;&quot;}],&quot;container-title&quot;:&quot;Nature&quot;,&quot;accessed&quot;:{&quot;date-parts&quot;:[[2021,1,26]]},&quot;DOI&quot;:&quot;10.1038/414756a&quot;,&quot;ISSN&quot;:&quot;00280836&quot;,&quot;PMID&quot;:&quot;11742401&quot;,&quot;URL&quot;:&quot;https://www.nature.com/articles/414756a&quot;,&quot;issued&quot;:{&quot;date-parts&quot;:[[2001,12,13]]},&quot;page&quot;:&quot;756-759&quot;,&quot;abstract&quot;:&quot;Microbial infection activates two distinct intracellular signalling cascades in the immune-responsive fat body of Drosophila1, 2. Gram-positive bacteria and fungi predominantly induce the Toll signalling pathway, whereas Gram-negative bacteria activate the Imd pathway3, 4. Loss-of-function mutants in either pathway reduce the resistance to corresponding infections4, 5. Genetic screens have identified a range of genes involved in these intracellular signalling cascades6-12, but how they are activated by microbial infection is largely unknown. Activation of the transmembrane receptor Toll requires a proteolytically cleaved form of an extracellular cytokine-like polypeptide, Spätzle13, suggesting that Toll does not itself function as a bona fide recognition receptor of microbial patterns. This is in apparent contrast with the mammalian Toll-like receptors14 and raises the question of which host molecules actually recognize microbial patterns to activate Toll through Spätzle. Here we present a mutation that blocks Toll activation by Gram-positive bacteria and significantly decreases resistance to this type of infection. The mutation semmelweis (seml) inactivates the gene encoding a peptidoglycan recognition protein (PGRP-SA). Interestingly, seml does not affect Toll activation by fungal infection, indicating the existence of a distinct recognition system for fungi to activate the Toll pathway.&quot;,&quot;publisher&quot;:&quot;Nature Publishing Group&quot;,&quot;issue&quot;:&quot;6865&quot;,&quot;volume&quot;:&quot;414&quot;},&quot;isTemporary&quot;:false}],&quot;properties&quot;:{&quot;noteIndex&quot;:0},&quot;isEdited&quot;:false,&quot;manualOverride&quot;:{&quot;isManuallyOverriden&quot;:false,&quot;citeprocText&quot;:&quot;(Lemaitre &lt;i&gt;et al.&lt;/i&gt;, 1996; Michel &lt;i&gt;et al.&lt;/i&gt;, 2001)&quot;,&quot;manualOverrideText&quot;:&quot;&quot;},&quot;citationTag&quot;:&quot;MENDELEY_CITATION_v3_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&quot;},{&quot;citationID&quot;:&quot;MENDELEY_CITATION_f2c2f19e-b599-481b-8594-975a99ffce8c&quot;,&quot;citationItems&quot;:[{&quot;id&quot;:&quot;98cdc1e4-37ae-32dc-9182-0c75408ed4dc&quot;,&quot;itemData&quot;:{&quot;type&quot;:&quot;article-journal&quot;,&quot;id&quot;:&quot;98cdc1e4-37ae-32dc-9182-0c75408ed4dc&quot;,&quot;title&quot;:&quot;A human homologue of the Drosophila toll protein signals activation of adaptive immunity&quot;,&quot;author&quot;:[{&quot;family&quot;:&quot;Medzhitov&quot;,&quot;given&quot;:&quot;Ruslan&quot;,&quot;parse-names&quot;:false,&quot;dropping-particle&quot;:&quot;&quot;,&quot;non-dropping-particle&quot;:&quot;&quot;},{&quot;family&quot;:&quot;Preston-Hurlburt&quot;,&quot;given&quot;:&quot;Paula&quot;,&quot;parse-names&quot;:false,&quot;dropping-particle&quot;:&quot;&quot;,&quot;non-dropping-particle&quot;:&quot;&quot;},{&quot;family&quot;:&quot;Janeway&quot;,&quot;given&quot;:&quot;Charles A.&quot;,&quot;parse-names&quot;:false,&quot;dropping-particle&quot;:&quot;&quot;,&quot;non-dropping-particle&quot;:&quot;&quot;}],&quot;container-title&quot;:&quot;Nature&quot;,&quot;accessed&quot;:{&quot;date-parts&quot;:[[2021,1,26]]},&quot;DOI&quot;:&quot;10.1038/41131&quot;,&quot;ISSN&quot;:&quot;00280836&quot;,&quot;PMID&quot;:&quot;9237759&quot;,&quot;URL&quot;:&quot;https://www.nature.com/articles/41131&quot;,&quot;issued&quot;:{&quot;date-parts&quot;:[[1997]]},&quot;page&quot;:&quot;394-397&quot;,&quot;abstract&quot;:&quot;Induction of the adaptive immune response depends on the expression of co-stimulatory molecules and cytokines by antigen-presenting cells. The mechanisms that control the initial induction of these signals upon infection are poorly understood. It has been proposed that their expression is controlled by the non-clonal, or innate, component of immunity that preceded in evolution the development of an adaptive immune system in vertebrates. We report here the cloning and characterization of a human homologue of the Drosophila toll protein (Toll) which has been shown to induce the innate immune response in adult Drosophila. Like Drosophila Toll, human Toll is a type I transmembrane protein with an extracellular domain consisting of a leucine-rich repeat (LRR) domain, and a cytoplasmic domain homologous to the cytoplasmic domain of the human interleukin (IL)-I receptor. Both Drosophila Toll and the IL-1 receptor are known to signal through the NF-κB pathway. We show that a constitutively active mutant of human Toll transfected into human cell lines can induce the activation of NF-κB and the expression of NF-κB- controlled genes for the inflammatory cytokines 1L-1, IL-6 and IL-8, as well as the expression of the costimulatory molecule B7.1, which is required for the activation of naive T cells.&quot;,&quot;publisher&quot;:&quot;Nature Publishing Group&quot;,&quot;issue&quot;:&quot;6640&quot;,&quot;volume&quot;:&quot;388&quot;},&quot;isTemporary&quot;:false}],&quot;properties&quot;:{&quot;noteIndex&quot;:0},&quot;isEdited&quot;:false,&quot;manualOverride&quot;:{&quot;isManuallyOverriden&quot;:false,&quot;citeprocText&quot;:&quot;(Medzhitov, Preston-Hurlburt and Janeway, 1997)&quot;,&quot;manualOverrideText&quot;:&quot;&quot;},&quot;citationTag&quot;:&quot;MENDELEY_CITATION_v3_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&quot;},{&quot;citationID&quot;:&quot;MENDELEY_CITATION_91c9bffa-febf-4a1a-9c56-62cea8b94b65&quot;,&quot;citationItems&quot;:[{&quot;id&quot;:&quot;973f1f5f-24aa-3c2e-bbfa-3a89d6fee105&quot;,&quot;itemData&quot;:{&quot;type&quot;:&quot;article-journal&quot;,&quot;id&quot;:&quot;973f1f5f-24aa-3c2e-bbfa-3a89d6fee105&quot;,&quot;title&quot;:&quot;Dynamic Evolution of Toll-Like Receptor Multigene Families in Echinoderms&quot;,&quot;author&quot;:[{&quot;family&quot;:&quot;Buckley&quot;,&quot;given&quot;:&quot;Katherine M.&quot;,&quot;parse-names&quot;:false,&quot;dropping-particle&quot;:&quot;&quot;,&quot;non-dropping-particle&quot;:&quot;&quot;},{&quot;family&quot;:&quot;Rast&quot;,&quot;given&quot;:&quot;Jonathan P.&quot;,&quot;parse-names&quot;:false,&quot;dropping-particle&quot;:&quot;&quot;,&quot;non-dropping-particle&quot;:&quot;&quot;}],&quot;container-title&quot;:&quot;Frontiers in Immunology&quot;,&quot;accessed&quot;:{&quot;date-parts&quot;:[[2021,1,26]]},&quot;DOI&quot;:&quot;10.3389/fimmu.2012.00136&quot;,&quot;ISSN&quot;:&quot;1664-3224&quot;,&quot;URL&quot;:&quot;http://journal.frontiersin.org/article/10.3389/fimmu.2012.00136/abstract&quot;,&quot;issued&quot;:{&quot;date-parts&quot;:[[2012,6,5]]},&quot;page&quot;:&quot;136&quot;,&quot;abstract&quot;:&quot;The genome sequence of the purple sea urchin, Strongylocentrotus purpuratus, a large and long-lived invertebrate, provides a new perspective on animal immunity. Analysis of this genome uncovered a highly complex immune system in which the gene families that encode homologs of the pattern recognition receptors that form the core of vertebrate innate immunity are encoded in large multigene families.The sea urchin genome contains 253 Toll-like receptor (TLR) sequences, more than 200 Nod-like receptors and 1095 scavenger receptor cysteine-rich domains, a 10-fold expansion relative to vertebrates. Given their stereotypic protein structure and simple intron-exon architecture, the TLRs are the most tractable of these families for more detailed analysis. A role for these receptors in immune defense is suggested by their similarity to TLRs in other organisms, sequence diversity, and expression in immunologically active tissues, including phagocytes.The complexity of the sea urchinTLR multigene families is largely derived from expansions independent of those in vertebrates and protostomes, although a small family ofTLRs with structure similar to that of Drosophila Toll can be traced to an ancient eumetazoan ancestor. Several other echinoderm sequences are now available, including Lytechinus variegatus, as well as partial sequences from two other sea urchin species. Here, we present an analysis of the invertebrate deuterostomeTLRs with emphasis on the echinoderms. Representatives of most of the S. purpuratus TLR subfamilies and homologs of the mccTLR sequences are found in L. variegatus, although the L. variegatusTLR gene family is notably smaller (68TLR sequences). The phylogeny of these genes within sea urchins highlights lineage-specific expansions at higher resolution than is evident at the phylum level.These analyses identify quickly evolvingTLR subfamilies that are likely to have novel immune recognition functions and other, more stable, subfamilies thatmay function more similarly to those of vertebrates. © 2012 Buckley and Rast.&quot;,&quot;publisher&quot;:&quot;Frontiers&quot;,&quot;issue&quot;:&quot;JUN&quot;,&quot;volume&quot;:&quot;3&quot;},&quot;isTemporary&quot;:false},{&quot;id&quot;:&quot;6d2801bb-300d-325e-83f5-e3d06e3f1f97&quot;,&quot;itemData&quot;:{&quot;type&quot;:&quot;article-journal&quot;,&quot;id&quot;:&quot;6d2801bb-300d-325e-83f5-e3d06e3f1f97&quot;,&quot;title&quot;:&quot;Toll-like receptor genes (TLRs) from Capitella capitata and Helobdella robusta (Annelida)&quot;,&quot;author&quot;:[{&quot;family&quot;:&quot;Davidson&quot;,&quot;given&quot;:&quot;Charis R.&quot;,&quot;parse-names&quot;:false,&quot;dropping-particle&quot;:&quot;&quot;,&quot;non-dropping-particle&quot;:&quot;&quot;},{&quot;family&quot;:&quot;Best&quot;,&quot;given&quot;:&quot;Natalie M.&quot;,&quot;parse-names&quot;:false,&quot;dropping-particle&quot;:&quot;&quot;,&quot;non-dropping-particle&quot;:&quot;&quot;},{&quot;family&quot;:&quot;Francis&quot;,&quot;given&quot;:&quot;Joseph W.&quot;,&quot;parse-names&quot;:false,&quot;dropping-particle&quot;:&quot;&quot;,&quot;non-dropping-particle&quot;:&quot;&quot;},{&quot;family&quot;:&quot;Cooper&quot;,&quot;given&quot;:&quot;Edwin L.&quot;,&quot;parse-names&quot;:false,&quot;dropping-particle&quot;:&quot;&quot;,&quot;non-dropping-particle&quot;:&quot;&quot;},{&quot;family&quot;:&quot;Wood&quot;,&quot;given&quot;:&quot;Todd Charles&quot;,&quot;parse-names&quot;:false,&quot;dropping-particle&quot;:&quot;&quot;,&quot;non-dropping-particle&quot;:&quot;&quot;}],&quot;container-title&quot;:&quot;Developmental and Comparative Immunology&quot;,&quot;accessed&quot;:{&quot;date-parts&quot;:[[2021,1,26]]},&quot;DOI&quot;:&quot;10.1016/j.dci.2007.11.004&quot;,&quot;ISSN&quot;:&quot;0145305X&quot;,&quot;PMID&quot;:&quot;18164761&quot;,&quot;issued&quot;:{&quot;date-parts&quot;:[[2008,1,1]]},&quot;page&quot;:&quot;608-612&quot;,&quot;abstract&quot;:&quot;Toll-like receptors (TLRs) are an important part of the innate immunity system and are found throughout the animal kingdom, but have not yet been reported in annelids. We searched shotgun reads of the genomes of the leech Helobdella and polychaete Capitella for TLR homologs. We found 105 TLR homologs in Capitella and 16 in Helobdella. The deduced phylogeny of these sequences, together with TLRs from other animal phyla, reveals three major clades. One clade consists of a mixture of both vertebrates and invertebrates, including sequences from Capitella and Helobdella, while the other two clades contain only invertebrate TLRs. © 2007 Elsevier Ltd. All rights reserved.&quot;,&quot;publisher&quot;:&quot;Pergamon&quot;,&quot;issue&quot;:&quot;6&quot;,&quot;volume&quot;:&quot;32&quot;},&quot;isTemporary&quot;:false},{&quot;id&quot;:&quot;599898b8-cc9e-390d-9e7b-aae1d44f2d55&quot;,&quot;itemData&quot;:{&quot;type&quot;:&quot;article-journal&quot;,&quot;id&quot;:&quot;599898b8-cc9e-390d-9e7b-aae1d44f2d55&quot;,&quot;title&quot;:&quot;A reverse genetic analysis of components of the Toll signaling pathway in Caenorhabditis elegans&quot;,&quot;author&quot;:[{&quot;family&quot;:&quot;Pujol&quot;,&quot;given&quot;:&quot;Nathalie&quot;,&quot;parse-names&quot;:false,&quot;dropping-particle&quot;:&quot;&quot;,&quot;non-dropping-particle&quot;:&quot;&quot;},{&quot;family&quot;:&quot;Link&quot;,&quot;given&quot;:&quot;Elizabeth M.&quot;,&quot;parse-names&quot;:false,&quot;dropping-particle&quot;:&quot;&quot;,&quot;non-dropping-particle&quot;:&quot;&quot;},{&quot;family&quot;:&quot;Liu&quot;,&quot;given&quot;:&quot;Leo X.&quot;,&quot;parse-names&quot;:false,&quot;dropping-particle&quot;:&quot;&quot;,&quot;non-dropping-particle&quot;:&quot;&quot;},{&quot;family&quot;:&quot;Kurz&quot;,&quot;given&quot;:&quot;C. Léopold&quot;,&quot;parse-names&quot;:false,&quot;dropping-particle&quot;:&quot;&quot;,&quot;non-dropping-particle&quot;:&quot;&quot;},{&quot;family&quot;:&quot;Alloing&quot;,&quot;given&quot;:&quot;Geneviève&quot;,&quot;parse-names&quot;:false,&quot;dropping-particle&quot;:&quot;&quot;,&quot;non-dropping-particle&quot;:&quot;&quot;},{&quot;family&quot;:&quot;Tan&quot;,&quot;given&quot;:&quot;Man Wah&quot;,&quot;parse-names&quot;:false,&quot;dropping-particle&quot;:&quot;&quot;,&quot;non-dropping-particle&quot;:&quot;&quot;},{&quot;family&quot;:&quot;Ray&quot;,&quot;given&quot;:&quot;Keith P.&quot;,&quot;parse-names&quot;:false,&quot;dropping-particle&quot;:&quot;&quot;,&quot;non-dropping-particle&quot;:&quot;&quot;},{&quot;family&quot;:&quot;Solari&quot;,&quot;given&quot;:&quot;Roberto&quot;,&quot;parse-names&quot;:false,&quot;dropping-particle&quot;:&quot;&quot;,&quot;non-dropping-particle&quot;:&quot;&quot;},{&quot;family&quot;:&quot;Johnson&quot;,&quot;given&quot;:&quot;Carl D.&quot;,&quot;parse-names&quot;:false,&quot;dropping-particle&quot;:&quot;&quot;,&quot;non-dropping-particle&quot;:&quot;&quot;},{&quot;family&quot;:&quot;Ewbank&quot;,&quot;given&quot;:&quot;Jonathan J.&quot;,&quot;parse-names&quot;:false,&quot;dropping-particle&quot;:&quot;&quot;,&quot;non-dropping-particle&quot;:&quot;&quot;}],&quot;container-title&quot;:&quot;Current Biology&quot;,&quot;accessed&quot;:{&quot;date-parts&quot;:[[2021,1,26]]},&quot;DOI&quot;:&quot;10.1016/S0960-9822(01)00241-X&quot;,&quot;ISSN&quot;:&quot;09609822&quot;,&quot;PMID&quot;:&quot;11516642&quot;,&quot;issued&quot;:{&quot;date-parts&quot;:[[2001,6,5]]},&quot;page&quot;:&quot;809-821&quot;,&quot;abstract&quot;:&quot;Background: Both animals and plants respond rapidly to pathogens by inducing the expression of defense-related genes. Whether such an inducible system of innate immunity is present in the model nematode Caenorhabditis elegans is currently an open question. Among conserved signaling pathways important for innate immunity, the Toll pathway is the best characterized. In Drosophila, this pathway also has an essential developmental role. C. elegans possesses structural homologs of components of this pathway, and this observation raises the possibility that a Toll pathway might also function in nematodes to trigger defense mechanisms or to control development. Results: We have generated and characterized deletion mutants for four genes supposed to function in a nematode Toll signaling pathway. These genes are tol-1, trf-1, pik-1, and ikb-1 and are homologous to the Drosophila melanogaster Toll, dTraf, pelle, and cactus genes, respectively. Of these four genes, only tol-1 is required for nematode development. None of them are important for the resistance of C. elegans to a number of pathogens. On the other hand, C. elegans is capable of distinguishing different bacterial species and has a tendency to avoid certain pathogens, including Serratia marcescens. The tol-1 mutants are defective in their avoidance of pathogenic S. marcescens, although other chemosensory behaviors are wild type. Conclusions: In C. elegans, tol-1 is important for development and pathogen recognition, as is Toll in Drosophila, but remarkably for the latter rôle, it functions in the context of a behavioral mechanism that keeps worms away from potential danger. © 2001 Elsevier Science Ltd.&quot;,&quot;publisher&quot;:&quot;Cell Press&quot;,&quot;issue&quot;:&quot;11&quot;,&quot;volume&quot;:&quot;11&quot;},&quot;isTemporary&quot;:false}],&quot;properties&quot;:{&quot;noteIndex&quot;:0},&quot;isEdited&quot;:false,&quot;manualOverride&quot;:{&quot;isManuallyOverriden&quot;:false,&quot;citeprocText&quot;:&quot;(Pujol &lt;i&gt;et al.&lt;/i&gt;, 2001; Davidson &lt;i&gt;et al.&lt;/i&gt;, 2008; Buckley and Rast, 2012)&quot;,&quot;manualOverrideText&quot;:&quot;&quot;},&quot;citationTag&quot;:&quot;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&quot;},{&quot;citationID&quot;:&quot;MENDELEY_CITATION_a1f0f7c9-0eff-474d-926d-25a51d199b0c&quot;,&quot;citationItems&quot;:[{&quot;id&quot;:&quot;d869f3c9-b0ee-3a2e-a1f3-794a2e553238&quot;,&quot;itemData&quot;:{&quot;type&quot;:&quot;article-journal&quot;,&quot;id&quot;:&quot;d869f3c9-b0ee-3a2e-a1f3-794a2e553238&quot;,&quot;title&quot;:&quot;Evolution of the chicken Toll-like receptor gene family: A story of gene gain and gene loss&quot;,&quot;author&quot;:[{&quot;family&quot;:&quot;Temperley&quot;,&quot;given&quot;:&quot;Nicholas D.&quot;,&quot;parse-names&quot;:false,&quot;dropping-particle&quot;:&quot;&quot;,&quot;non-dropping-particle&quot;:&quot;&quot;},{&quot;family&quot;:&quot;Berlin&quot;,&quot;given&quot;:&quot;Sofia&quot;,&quot;parse-names&quot;:false,&quot;dropping-particle&quot;:&quot;&quot;,&quot;non-dropping-particle&quot;:&quot;&quot;},{&quot;family&quot;:&quot;Paton&quot;,&quot;given&quot;:&quot;Ian R.&quot;,&quot;parse-names&quot;:false,&quot;dropping-particle&quot;:&quot;&quot;,&quot;non-dropping-particle&quot;:&quot;&quot;},{&quot;family&quot;:&quot;Griffin&quot;,&quot;given&quot;:&quot;Darren K.&quot;,&quot;parse-names&quot;:false,&quot;dropping-particle&quot;:&quot;&quot;,&quot;non-dropping-particle&quot;:&quot;&quot;},{&quot;family&quot;:&quot;Burt&quot;,&quot;given&quot;:&quot;David W.&quot;,&quot;parse-names&quot;:false,&quot;dropping-particle&quot;:&quot;&quot;,&quot;non-dropping-particle&quot;:&quot;&quot;}],&quot;container-title&quot;:&quot;BMC Genomics&quot;,&quot;accessed&quot;:{&quot;date-parts&quot;:[[2021,1,26]]},&quot;DOI&quot;:&quot;10.1186/1471-2164-9-62&quot;,&quot;ISSN&quot;:&quot;14712164&quot;,&quot;PMID&quot;:&quot;18241342&quot;,&quot;URL&quot;:&quot;http://bmcgenomics.biomedcentral.com/articles/10.1186/1471-2164-9-62&quot;,&quot;issued&quot;:{&quot;date-parts&quot;:[[2008,2,1]]},&quot;page&quot;:&quot;62&quot;,&quot;abstract&quot;:&quot;Background: Toll-like receptors (TLRs) perform a vital role in disease resistance through their recognition of pathogen associated molecular patterns (PAMPs). Recent advances in genomics allow comparison of TLR genes within and between many species. This study takes advantage of the recently sequenced chicken genome to determine the complete chicken TLR repertoire and place it in context of vertebrate genomic evolution. Results: The chicken TLR repertoire consists of ten genes. Phylogenetic analyses show that six of these genes have orthologs in mammals and fish, while one is only shared by fish and three appear to be unique to birds. Furthermore the phylogeny shows that TLR1-like genes arose independently in fish, birds and mammals from an ancestral gene also shared by TLR6 and TLR10. All other TLRs were already present prior to the divergence of major vertebrate lineages 550 Mya (million years ago) and have since been lost in certain lineages. Phylogenetic analysis shows the absence of TLRs 8 and 9 in chicken to be the result of gene loss. The notable exception to the tendency of gene loss in TLR evolution is found in chicken TLRs 1 and 2, each of which underwent gene duplication about 147 and 65 Mya, respectively. Conclusion: Comparative phylogenetic analysis of vertebrate TLR genes provides insight into their patterns and processes of gene evolution, with examples of both gene gain and gene loss. In addition, these comparisons clarify the nomenclature of TLR genes in vertebrates. © 2008 Temperley et al; licensee BioMed Central Ltd.&quot;,&quot;publisher&quot;:&quot;BioMed Central&quot;,&quot;issue&quot;:&quot;1&quot;,&quot;volume&quot;:&quot;9&quot;},&quot;isTemporary&quot;:false},{&quot;id&quot;:&quot;973b4acc-9351-34c2-aed9-00bca19301d1&quot;,&quot;itemData&quot;:{&quot;type&quot;:&quot;article-journal&quot;,&quot;id&quot;:&quot;973b4acc-9351-34c2-aed9-00bca19301d1&quot;,&quot;title&quot;:&quot;TLR15 Is Unique to Avian and Reptilian Lineages and Recognizes a Yeast-Derived Agonist&quot;,&quot;author&quot;:[{&quot;family&quot;:&quot;Boyd&quot;,&quot;given&quot;:&quot;Amy C.&quot;,&quot;parse-names&quot;:false,&quot;dropping-particle&quot;:&quot;&quot;,&quot;non-dropping-particle&quot;:&quot;&quot;},{&quot;family&quot;:&quot;Peroval&quot;,&quot;given&quot;:&quot;Marylene Y.&quot;,&quot;parse-names&quot;:false,&quot;dropping-particle&quot;:&quot;&quot;,&quot;non-dropping-particle&quot;:&quot;&quot;},{&quot;family&quot;:&quot;Hammond&quot;,&quot;given&quot;:&quot;John A.&quot;,&quot;parse-names&quot;:false,&quot;dropping-particle&quot;:&quot;&quot;,&quot;non-dropping-particle&quot;:&quot;&quot;},{&quot;family&quot;:&quot;Prickett&quot;,&quot;given&quot;:&quot;Michael D.&quot;,&quot;parse-names&quot;:false,&quot;dropping-particle&quot;:&quot;&quot;,&quot;non-dropping-particle&quot;:&quot;&quot;},{&quot;family&quot;:&quot;Young&quot;,&quot;given&quot;:&quot;John R.&quot;,&quot;parse-names&quot;:false,&quot;dropping-particle&quot;:&quot;&quot;,&quot;non-dropping-particle&quot;:&quot;&quot;},{&quot;family&quot;:&quot;Smith&quot;,&quot;given&quot;:&quot;Adrian L.&quot;,&quot;parse-names&quot;:false,&quot;dropping-particle&quot;:&quot;&quot;,&quot;non-dropping-particle&quot;:&quot;&quot;}],&quot;container-title&quot;:&quot;The Journal of Immunology&quot;,&quot;accessed&quot;:{&quot;date-parts&quot;:[[2021,1,26]]},&quot;DOI&quot;:&quot;10.4049/jimmunol.1101790&quot;,&quot;ISSN&quot;:&quot;0022-1767&quot;,&quot;PMID&quot;:&quot;23066147&quot;,&quot;URL&quot;:&quot;http://www.jimmunol.org/content/189/10/4930http://www.jimmunol.org/content/189/10/4930.full#ref-list-1&quot;,&quot;issued&quot;:{&quot;date-parts&quot;:[[2012,11,15]]},&quot;page&quot;:&quot;4930-4938&quot;,&quot;abstract&quot;:&quot;The TLRs represent a family of pattern recognition receptors critical in the induction of vertebrate immune responses. Between 10 and 13 different TLR genes can be identified in each vertebrate species, with many represented as orthologous genes in different species. The agonist specificity of orthologous TLR is also highly conserved. In contrast, TLR15 can only be identified in avian and reptilian genomes, suggesting that this receptor arose ∼320 million years ago after divergence of the bird/reptile and mammalian lineages. Transfection of a constitutively active form of chicken TLR15 led to NF-κB activation in HEK293 cells and induced cytokine mRNA upregulation in chicken cell lines. Full-length TLR15 mediated NF-κB induction in response to lysates from yeast, but not those derived from viral or bacterial pathogens, or a panel of well-characterized TLR agonists. TLR15 responses were induced by whole-cell lysates derived from Candida albicans, Saccharomyces cerevisiae, and Schizosaccharomyces pombe, but not zymosan preparations from S. cerevisiae. The ability of yeast lysate to activate TLR15-dependent NF-κB pathways (in transfection assays) or stimulate IL-1β mRNA upregulation in chicken macrophages was abrogated by heat inactivation or pre-exposure of the lysate to PMSF. Identification of yeast as an agonist source for TLR15 provides a functional framework for consideration of this TLR within the context of pattern recognition receptor evolution and may impact on the development of novel adjuvants. Copyright © 2012 by The American Association of Immunologists, Inc. All rights reserved.&quot;,&quot;publisher&quot;:&quot;The American Association of Immunologists&quot;,&quot;issue&quot;:&quot;10&quot;,&quot;volume&quot;:&quot;189&quot;},&quot;isTemporary&quot;:false}],&quot;properties&quot;:{&quot;noteIndex&quot;:0},&quot;isEdited&quot;:false,&quot;manualOverride&quot;:{&quot;isManuallyOverriden&quot;:false,&quot;citeprocText&quot;:&quot;(Temperley &lt;i&gt;et al.&lt;/i&gt;, 2008; Boyd &lt;i&gt;et al.&lt;/i&gt;, 2012)&quot;,&quot;manualOverrideText&quot;:&quot;&quot;},&quot;citationTag&quot;:&quot;MENDELEY_CITATION_v3_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&quot;},{&quot;citationID&quot;:&quot;MENDELEY_CITATION_d35dad25-d57a-443a-83e4-c680d218447f&quot;,&quot;citationItems&quot;:[{&quot;id&quot;:&quot;1521ded6-7a60-3ab1-90f4-bd25b943dd3f&quot;,&quot;itemData&quot;:{&quot;type&quot;:&quot;article-journal&quot;,&quot;id&quot;:&quot;1521ded6-7a60-3ab1-90f4-bd25b943dd3f&quot;,&quot;title&quot;:&quot;The evolution of vertebrate Toll-like receptors&quot;,&quot;author&quot;:[{&quot;family&quot;:&quot;Roach&quot;,&quot;given&quot;:&quot;Jared C.&quot;,&quot;parse-names&quot;:false,&quot;dropping-particle&quot;:&quot;&quot;,&quot;non-dropping-particle&quot;:&quot;&quot;},{&quot;family&quot;:&quot;Glusman&quot;,&quot;given&quot;:&quot;Gustavo&quot;,&quot;parse-names&quot;:false,&quot;dropping-particle&quot;:&quot;&quot;,&quot;non-dropping-particle&quot;:&quot;&quot;},{&quot;family&quot;:&quot;Rowen&quot;,&quot;given&quot;:&quot;Lee&quot;,&quot;parse-names&quot;:false,&quot;dropping-particle&quot;:&quot;&quot;,&quot;non-dropping-particle&quot;:&quot;&quot;},{&quot;family&quot;:&quot;Kaur&quot;,&quot;given&quot;:&quot;Amardeep&quot;,&quot;parse-names&quot;:false,&quot;dropping-particle&quot;:&quot;&quot;,&quot;non-dropping-particle&quot;:&quot;&quot;},{&quot;family&quot;:&quot;Purcell&quot;,&quot;given&quot;:&quot;Maureen K.&quot;,&quot;parse-names&quot;:false,&quot;dropping-particle&quot;:&quot;&quot;,&quot;non-dropping-particle&quot;:&quot;&quot;},{&quot;family&quot;:&quot;Smith&quot;,&quot;given&quot;:&quot;Kelly D.&quot;,&quot;parse-names&quot;:false,&quot;dropping-particle&quot;:&quot;&quot;,&quot;non-dropping-particle&quot;:&quot;&quot;},{&quot;family&quot;:&quot;Hood&quot;,&quot;given&quot;:&quot;Leroy E.&quot;,&quot;parse-names&quot;:false,&quot;dropping-particle&quot;:&quot;&quot;,&quot;non-dropping-particle&quot;:&quot;&quot;},{&quot;family&quot;:&quot;Aderem&quot;,&quot;given&quot;:&quot;Alan&quot;,&quot;parse-names&quot;:false,&quot;dropping-particle&quot;:&quot;&quot;,&quot;non-dropping-particle&quot;:&quot;&quot;}],&quot;container-title&quot;:&quot;Proceedings of the National Academy of Sciences of the United States of America&quot;,&quot;accessed&quot;:{&quot;date-parts&quot;:[[2021,1,31]]},&quot;DOI&quot;:&quot;10.1073/pnas.0502272102&quot;,&quot;ISSN&quot;:&quot;00278424&quot;,&quot;PMID&quot;:&quot;15976025&quot;,&quot;URL&quot;:&quot;www.pnas.orgcgidoi10.1073pnas.0502272102&quot;,&quot;issued&quot;:{&quot;date-parts&quot;:[[2005,7,5]]},&quot;page&quot;:&quot;9577-9582&quot;,&quot;abstract&quot;:&quot;The complete sequences of Takifugu Toll-like receptor (TLR) loci and gene predictions from many draft genomes enable comprehensive molecular phylogenetic analysis. Strong selective pressure for recognition of and response to pathogen-associated molecular patterns has maintained a largely unchanging TLR recognition in all vertebrates. There are six major families of vertebrate TLRs. This repertoire is distinct from that of invertebrates. TLRs within a family recognize a general class of pathogen-associated molecular patterns. Most vertebrates have exactly one gene ortholog for each TLR family. The family including TLR1 has more species-specific adaptations than other families. A major family including TLR11 is represented in humans only by a pseudogene. Coincidental evolution plays a minor role in TLR evolution. The sequencing phase of this study produced finished genomic sequences for the 12 Takifugu rubripes TLRs. In addition, we have produced &gt; 70 gene models, including sequences from the opossum, chicken, frog, dog, sea urchin, and sea squirt. © 2005 by The National Academy of Sciences of the USA.&quot;,&quot;publisher&quot;:&quot;National Academy of Sciences&quot;,&quot;issue&quot;:&quot;27&quot;,&quot;volume&quot;:&quot;102&quot;},&quot;isTemporary&quot;:false}],&quot;properties&quot;:{&quot;noteIndex&quot;:0},&quot;isEdited&quot;:false,&quot;manualOverride&quot;:{&quot;isManuallyOverriden&quot;:false,&quot;citeprocText&quot;:&quot;(Roach &lt;i&gt;et al.&lt;/i&gt;, 2005)&quot;,&quot;manualOverrideText&quot;:&quot;&quot;},&quot;citationTag&quot;:&quot;MENDELEY_CITATION_v3_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&quot;},{&quot;citationID&quot;:&quot;MENDELEY_CITATION_55038147-b512-4b04-b427-7233b4f7eead&quot;,&quot;citationItems&quot;:[{&quot;id&quot;:&quot;6f9b6e72-1f96-3e68-8e08-ae75c47743bd&quot;,&quot;itemData&quot;:{&quot;type&quot;:&quot;article-journal&quot;,&quot;id&quot;:&quot;6f9b6e72-1f96-3e68-8e08-ae75c47743bd&quot;,&quot;title&quot;:&quot;The Structural Biology of Toll-like Receptors&quot;,&quot;author&quot;:[{&quot;family&quot;:&quot;Botos&quot;,&quot;given&quot;:&quot;Istvan&quot;,&quot;parse-names&quot;:false,&quot;dropping-particle&quot;:&quot;&quot;,&quot;non-dropping-particle&quot;:&quot;&quot;},{&quot;family&quot;:&quot;Segal&quot;,&quot;given&quot;:&quot;David M.&quot;,&quot;parse-names&quot;:false,&quot;dropping-particle&quot;:&quot;&quot;,&quot;non-dropping-particle&quot;:&quot;&quot;},{&quot;family&quot;:&quot;Davies&quot;,&quot;given&quot;:&quot;David R.&quot;,&quot;parse-names&quot;:false,&quot;dropping-particle&quot;:&quot;&quot;,&quot;non-dropping-particle&quot;:&quot;&quot;}],&quot;container-title&quot;:&quot;Structure&quot;,&quot;accessed&quot;:{&quot;date-parts&quot;:[[2018,4,5]]},&quot;DOI&quot;:&quot;10.1016/J.STR.2011.02.004&quot;,&quot;ISSN&quot;:&quot;0969-2126&quot;,&quot;URL&quot;:&quot;https://www.sciencedirect.com/science/article/pii/S0969212611000724&quot;,&quot;issued&quot;:{&quot;date-parts&quot;:[[2011,4,13]]},&quot;page&quot;:&quot;447-459&quot;,&quot;abstract&quot;:&quot;The membrane-bound Toll-like receptors (TLRs) trigger innate immune responses after recognition of a wide variety of pathogen-derived compounds. Despite the wide range of ligands recognized by TLRs, the receptors share a common structural framework in their extracellular, ligand-binding domains. These domains all adopt horseshoe-shaped structures built from leucine-rich repeat motifs. Typically, on ligand binding, two extracellular domains form an “m”-shaped dimer sandwiching the ligand molecule bringing the transmembrane and cytoplasmic domains in close proximity and triggering a downstream signaling cascade. Although the ligand-induced dimerization of these receptors has many common features, the nature of the interactions of the TLR extracellular domains with their ligands varies markedly between TLR paralogs.&quot;,&quot;publisher&quot;:&quot;Cell Press&quot;,&quot;issue&quot;:&quot;4&quot;,&quot;volume&quot;:&quot;19&quot;},&quot;isTemporary&quot;:false}],&quot;properties&quot;:{&quot;noteIndex&quot;:0},&quot;isEdited&quot;:false,&quot;manualOverride&quot;:{&quot;isManuallyOverriden&quot;:false,&quot;citeprocText&quot;:&quot;(Botos, Segal and Davies, 2011)&quot;,&quot;manualOverrideText&quot;:&quot;&quot;},&quot;citationTag&quot;:&quot;MENDELEY_CITATION_v3_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&quot;},{&quot;citationID&quot;:&quot;MENDELEY_CITATION_8ada8c62-32ad-4229-bbbf-952cc20b3840&quot;,&quot;citationItems&quot;:[{&quot;id&quot;:&quot;1236e9fd-0071-36a5-904c-2937c7e02975&quot;,&quot;itemData&quot;:{&quot;type&quot;:&quot;article-journal&quot;,&quot;id&quot;:&quot;1236e9fd-0071-36a5-904c-2937c7e02975&quot;,&quot;title&quot;:&quot;Comparative sequence analysis of leucine-rich repeats (LRRs) within vertebrate toll-like receptors&quot;,&quot;author&quot;:[{&quot;family&quot;:&quot;Matsushima&quot;,&quot;given&quot;:&quot;Norio&quot;,&quot;parse-names&quot;:false,&quot;dropping-particle&quot;:&quot;&quot;,&quot;non-dropping-particle&quot;:&quot;&quot;},{&quot;family&quot;:&quot;Tanaka&quot;,&quot;given&quot;:&quot;Takanori&quot;,&quot;parse-names&quot;:false,&quot;dropping-particle&quot;:&quot;&quot;,&quot;non-dropping-particle&quot;:&quot;&quot;},{&quot;family&quot;:&quot;Enkhbayar&quot;,&quot;given&quot;:&quot;Purevjav&quot;,&quot;parse-names&quot;:false,&quot;dropping-particle&quot;:&quot;&quot;,&quot;non-dropping-particle&quot;:&quot;&quot;},{&quot;family&quot;:&quot;Mikami&quot;,&quot;given&quot;:&quot;Tomoko&quot;,&quot;parse-names&quot;:false,&quot;dropping-particle&quot;:&quot;&quot;,&quot;non-dropping-particle&quot;:&quot;&quot;},{&quot;family&quot;:&quot;Taga&quot;,&quot;given&quot;:&quot;Masae&quot;,&quot;parse-names&quot;:false,&quot;dropping-particle&quot;:&quot;&quot;,&quot;non-dropping-particle&quot;:&quot;&quot;},{&quot;family&quot;:&quot;Yamada&quot;,&quot;given&quot;:&quot;Keiko&quot;,&quot;parse-names&quot;:false,&quot;dropping-particle&quot;:&quot;&quot;,&quot;non-dropping-particle&quot;:&quot;&quot;},{&quot;family&quot;:&quot;Kuroki&quot;,&quot;given&quot;:&quot;Yoshio&quot;,&quot;parse-names&quot;:false,&quot;dropping-particle&quot;:&quot;&quot;,&quot;non-dropping-particle&quot;:&quot;&quot;}],&quot;container-title&quot;:&quot;BMC Genomics&quot;,&quot;accessed&quot;:{&quot;date-parts&quot;:[[2018,4,5]]},&quot;DOI&quot;:&quot;10.1186/1471-2164-8-124&quot;,&quot;ISSN&quot;:&quot;14712164&quot;,&quot;URL&quot;:&quot;http://bmcgenomics.biomedcentral.com/articles/10.1186/1471-2164-8-124&quot;,&quot;issued&quot;:{&quot;date-parts&quot;:[[2007,5,21]]},&quot;page&quot;:&quot;124&quot;,&quot;abstract&quot;:&quot;Toll-like receptors (TLRs) play a central role in innate immunity. TLRs are membrane glycoproteins and contain leucine rich repeat (LRR) motif in the ectodomain. TLRs recognize and respond to molecules such as lipopolysaccharide, peptidoglycan, flagellin, and RNA from bacteria or viruses. The LRR domains in TLRs have been inferred to be responsible for molecular recognition. All LRRs include the highly conserved segment, LxxLxLxxNxL, in which \&quot;L\&quot; is Leu, Ile, Val, or Phe and \&quot;N\&quot; is Asn, Thr, Ser, or Cys and \&quot;x\&quot; is any amino acid. There are seven classes of LRRs including \&quot;typical\&quot; (\&quot;T\&quot;) and \&quot;bacterial\&quot; (\&quot;S\&quot;). All known domain structures adopt an arc or horseshoe shape. Vertebrate TLRs form six major families. The repeat numbers of LRRs and their \&quot;phasing\&quot; in TLRs differ with isoforms and species; they are aligned differently in various databases. We identified and aligned LRRs in TLRs by a new method described here. The new method utilizes known LRR structures to recognize and align new LRR motifs in TLRs and incorporates multiple sequence alignments and secondary structure predictions. TLRs from thirty-four vertebrate were analyzed. The repeat numbers of the LRRs ranges from 16 to 28. The LRRs found in TLRs frequently consists of LxxLxLxxNxLxxLxxxxF/LxxLxx (\&quot;T\&quot;) and sometimes short motifs including LxxLxLxxNxLxxLPx(x)LPxx (\&quot;S\&quot;). The TLR7 family (TLR7, TLR8, and TLR9) contain 27 LRRs. The LRRs at the N-terminal part have a super-motif of STT with about 80 residues. The super-repeat is represented by STTSTTSTT or _TTSTTSTT. The LRRs in TLRs form one or two horseshoe domains and are mostly flanked by two cysteine clusters including two or four cysteine residue. Each of the six major TLR families is characterized by their constituent LRR motifs, their repeat numbers, and their patterns of cysteine clusters. The central parts of the TLR1 and TLR7 families and of TLR4 have more irregular or longer LRR motifs. These central parts are inferred to play a key role in the structure and/or function of their TLRs. Furthermore, the super-repeat in the TLR7 family suggests strongly that \&quot;bacterial\&quot; and \&quot;typical\&quot; LRRs evolved from a common precursor.&quot;,&quot;publisher&quot;:&quot;BioMed Central&quot;,&quot;issue&quot;:&quot;1&quot;,&quot;volume&quot;:&quot;8&quot;},&quot;isTemporary&quot;:false}],&quot;properties&quot;:{&quot;noteIndex&quot;:0},&quot;isEdited&quot;:false,&quot;manualOverride&quot;:{&quot;isManuallyOverriden&quot;:false,&quot;citeprocText&quot;:&quot;(Matsushima &lt;i&gt;et al.&lt;/i&gt;, 2007)&quot;,&quot;manualOverrideText&quot;:&quot;&quot;},&quot;citationTag&quot;:&quot;MENDELEY_CITATION_v3_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&quot;},{&quot;citationID&quot;:&quot;MENDELEY_CITATION_ec787f36-ad78-4c45-8b6d-92c6eb116100&quot;,&quot;citationItems&quot;:[{&quot;id&quot;:&quot;3a677243-4e1f-3690-ab44-bef911ac77b4&quot;,&quot;itemData&quot;:{&quot;type&quot;:&quot;article-journal&quot;,&quot;id&quot;:&quot;3a677243-4e1f-3690-ab44-bef911ac77b4&quot;,&quot;title&quot;:&quot;Structural basis of species-specific endotoxin sensing by innate immune receptor TLR4/MD-2.&quot;,&quot;author&quot;:[{&quot;family&quot;:&quot;Ohto&quot;,&quot;given&quot;:&quot;Umeharu&quot;,&quot;parse-names&quot;:false,&quot;dropping-particle&quot;:&quot;&quot;,&quot;non-dropping-particle&quot;:&quot;&quot;},{&quot;family&quot;:&quot;Fukase&quot;,&quot;given&quot;:&quot;Koichi&quot;,&quot;parse-names&quot;:false,&quot;dropping-particle&quot;:&quot;&quot;,&quot;non-dropping-particle&quot;:&quot;&quot;},{&quot;family&quot;:&quot;Miyake&quot;,&quot;given&quot;:&quot;Kensuke&quot;,&quot;parse-names&quot;:false,&quot;dropping-particle&quot;:&quot;&quot;,&quot;non-dropping-particle&quot;:&quot;&quot;},{&quot;family&quot;:&quot;Shimizu&quot;,&quot;given&quot;:&quot;Toshiyuki&quot;,&quot;parse-names&quot;:false,&quot;dropping-particle&quot;:&quot;&quot;,&quot;non-dropping-particle&quot;:&quot;&quot;}],&quot;container-title&quot;:&quot;Proceedings of the National Academy of Sciences of the United States of America&quot;,&quot;accessed&quot;:{&quot;date-parts&quot;:[[2018,4,5]]},&quot;DOI&quot;:&quot;10.1073/pnas.1201193109&quot;,&quot;ISSN&quot;:&quot;1091-6490&quot;,&quot;PMID&quot;:&quot;22532668&quot;,&quot;URL&quot;:&quot;http://www.ncbi.nlm.nih.gov/pubmed/22532668&quot;,&quot;issued&quot;:{&quot;date-parts&quot;:[[2012,5,8]]},&quot;page&quot;:&quot;7421-6&quot;,&quot;abstract&quot;:&quot;Lipopolysaccharide (LPS), also known as endotoxin, activates the innate immune response through toll-like receptor 4 (TLR4) and its coreceptor, MD-2. MD-2 has a unique hydrophobic cavity that directly binds to lipid A, the active center of LPS. Tetraacylated lipid IVa, a synthetic lipid A precursor, acts as a weak agonist to mouse TLR4/MD-2, but as an antagonist to human TLR4/MD-2. However, it remains unclear as to how LPS and lipid IVa show agonistic or antagonistic activities in a species-specific manner. The present study reports the crystal structures of mouse TLR4/MD-2/LPS and TLR4/MD-2/lipid IVa complexes at 2.5 and 2.7 Å resolutions, respectively. Mouse TLR4/MD-2/LPS exhibited an agonistic \&quot;m\&quot;-shaped 2:2:2 complex similar to the human TLR4/MD-2/LPS complex. Mouse TLR4/MD-2/lipid IVa complex also showed an agonistic structural feature, exhibiting architecture similar to the 2:2:2 complex. Remarkably, lipid IVa in the mouse TLR4/MD-2 complex occupied nearly the same space as LPS, although lipid IVa lacked the two acyl chains. Human MD-2 binds lipid IVa in an antagonistic manner completely differently from the way mouse MD-2 does. Together, the results provide structural evidence of the agonistic property of lipid IVa on mouse TLR4/MD-2 and deepen understanding of the ligand binding and dimerization mechanism by the structurally diverse LPS variants.&quot;,&quot;publisher&quot;:&quot;National Academy of Sciences&quot;,&quot;issue&quot;:&quot;19&quot;,&quot;volume&quot;:&quot;109&quot;},&quot;isTemporary&quot;:false}],&quot;properties&quot;:{&quot;noteIndex&quot;:0},&quot;isEdited&quot;:false,&quot;manualOverride&quot;:{&quot;isManuallyOverriden&quot;:false,&quot;citeprocText&quot;:&quot;(Ohto &lt;i&gt;et al.&lt;/i&gt;, 2012)&quot;,&quot;manualOverrideText&quot;:&quot;&quot;},&quot;citationTag&quot;:&quot;MENDELEY_CITATION_v3_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&quot;},{&quot;citationID&quot;:&quot;MENDELEY_CITATION_72f935a3-3fd4-442f-ac4c-469ba690fb80&quot;,&quot;citationItems&quot;:[{&quot;id&quot;:&quot;f2d1883e-00aa-3046-873b-6ec706b9533e&quot;,&quot;itemData&quot;:{&quot;type&quot;:&quot;article-journal&quot;,&quot;id&quot;:&quot;f2d1883e-00aa-3046-873b-6ec706b9533e&quot;,&quot;title&quot;:&quot;The Protein Imager: a full-featured online molecular viewer interface with server-side HQ-rendering capabilities&quot;,&quot;author&quot;:[{&quot;family&quot;:&quot;Tomasello&quot;,&quot;given&quot;:&quot;Gianluca&quot;,&quot;parse-names&quot;:false,&quot;dropping-particle&quot;:&quot;&quot;,&quot;non-dropping-particle&quot;:&quot;&quot;},{&quot;family&quot;:&quot;Armenia  Ilaria&quot;,&quot;given&quot;:&quot;&quot;,&quot;parse-names&quot;:false,&quot;dropping-particle&quot;:&quot;&quot;,&quot;non-dropping-particle&quot;:&quot;&quot;},{&quot;family&quot;:&quot;Molla&quot;,&quot;given&quot;:&quot;Gianluca&quot;,&quot;parse-names&quot;:false,&quot;dropping-particle&quot;:&quot;&quot;,&quot;non-dropping-particle&quot;:&quot;&quot;}],&quot;container-title&quot;:&quot;Bioinformatics (Oxford, England)&quot;,&quot;accessed&quot;:{&quot;date-parts&quot;:[[2021,8,4]]},&quot;DOI&quot;:&quot;10.1093/BIOINFORMATICS/BTAA009&quot;,&quot;ISSN&quot;:&quot;1367-4811&quot;,&quot;PMID&quot;:&quot;31930403&quot;,&quot;URL&quot;:&quot;https://pubmed.ncbi.nlm.nih.gov/31930403/&quot;,&quot;issued&quot;:{&quot;date-parts&quot;:[[2020,5,1]]},&quot;page&quot;:&quot;2909-2911&quot;,&quot;abstract&quot;:&quot;Molecular viewers' long learning curve is hindering researchers in approaching the field of structural biology for the first time. Herein, we present 'The Protein Imager', a lightweight, powerful and easy-to-use interface as a next-gen online molecular viewer. Furthermore, the interface is linked to an automated server-side rendering system able to generate publication-quality molecular illustrations. The Protein Imager interface has been designed for easy usage for beginners and experts in the field alike. The interface allows the preparation of very complex molecular views maintaining a high level of responsiveness even on mobile devices.&quot;,&quot;publisher&quot;:&quot;Bioinformatics&quot;,&quot;issue&quot;:&quot;9&quot;,&quot;volume&quot;:&quot;36&quot;},&quot;isTemporary&quot;:false}],&quot;properties&quot;:{&quot;noteIndex&quot;:0},&quot;isEdited&quot;:false,&quot;manualOverride&quot;:{&quot;isManuallyOverriden&quot;:false,&quot;citeprocText&quot;:&quot;(Tomasello, Armenia  Ilaria and Molla, 2020)&quot;,&quot;manualOverrideText&quot;:&quot;&quot;},&quot;citationTag&quot;:&quot;MENDELEY_CITATION_v3_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&quot;},{&quot;citationID&quot;:&quot;MENDELEY_CITATION_c3b97967-de2e-4249-986a-6bdd0d684b0f&quot;,&quot;citationItems&quot;:[{&quot;id&quot;:&quot;1a37876f-3b9b-3646-83e6-b51c979169fc&quot;,&quot;itemData&quot;:{&quot;type&quot;:&quot;article-journal&quot;,&quot;id&quot;:&quot;1a37876f-3b9b-3646-83e6-b51c979169fc&quot;,&quot;title&quot;:&quot;Crystal Structure of CD14 and Its Implications for Lipopolysaccharide Signaling * ♦&quot;,&quot;author&quot;:[{&quot;family&quot;:&quot;Kim&quot;,&quot;given&quot;:&quot;Jung-In&quot;,&quot;parse-names&quot;:false,&quot;dropping-particle&quot;:&quot;&quot;,&quot;non-dropping-particle&quot;:&quot;&quot;},{&quot;family&quot;:&quot;Lee&quot;,&quot;given&quot;:&quot;Chang Jun&quot;,&quot;parse-names&quot;:false,&quot;dropping-particle&quot;:&quot;&quot;,&quot;non-dropping-particle&quot;:&quot;&quot;},{&quot;family&quot;:&quot;Jin&quot;,&quot;given&quot;:&quot;Mi Sun&quot;,&quot;parse-names&quot;:false,&quot;dropping-particle&quot;:&quot;&quot;,&quot;non-dropping-particle&quot;:&quot;&quot;},{&quot;family&quot;:&quot;Lee&quot;,&quot;given&quot;:&quot;Cherl-Ho&quot;,&quot;parse-names&quot;:false,&quot;dropping-particle&quot;:&quot;&quot;,&quot;non-dropping-particle&quot;:&quot;&quot;},{&quot;family&quot;:&quot;Paik&quot;,&quot;given&quot;:&quot;Sang-Gi&quot;,&quot;parse-names&quot;:false,&quot;dropping-particle&quot;:&quot;&quot;,&quot;non-dropping-particle&quot;:&quot;&quot;},{&quot;family&quot;:&quot;Lee&quot;,&quot;given&quot;:&quot;Hayyoung&quot;,&quot;parse-names&quot;:false,&quot;dropping-particle&quot;:&quot;&quot;,&quot;non-dropping-particle&quot;:&quot;&quot;},{&quot;family&quot;:&quot;Lee&quot;,&quot;given&quot;:&quot;Jie-Oh&quot;,&quot;parse-names&quot;:false,&quot;dropping-particle&quot;:&quot;&quot;,&quot;non-dropping-particle&quot;:&quot;&quot;}],&quot;container-title&quot;:&quot;Journal of Biological Chemistry&quot;,&quot;accessed&quot;:{&quot;date-parts&quot;:[[2021,9,13]]},&quot;DOI&quot;:&quot;10.1074/JBC.M414607200&quot;,&quot;ISSN&quot;:&quot;0021-9258&quot;,&quot;PMID&quot;:&quot;15644310&quot;,&quot;URL&quot;:&quot;http://www.jbc.org/article/S0021925820808357/fulltext&quot;,&quot;issued&quot;:{&quot;date-parts&quot;:[[2005,3,25]]},&quot;page&quot;:&quot;11347-11351&quot;,&quot;abstract&quot;:&quot;&lt;p&gt;Lipopolysaccharide, the endotoxin of Gram-negative bacteria, induces extensive immune responses that can lead to fatal septic shock syndrome. The core receptors recognizing lipopolysaccharide are CD14, TLR4, and MD-2. CD14 binds to lipopolysaccharide and presents it to the TLR4/MD-2 complex, which initiates intracellular signaling. In addition to lipopolysaccharide, CD14 is capable of recognizing a few other microbial and cellular products. Here, we present the first crystal structure of CD14 to 2.5 Å resolution. A large hydrophobic pocket was found on the NH&lt;sub&gt;2&lt;/sub&gt;-terminal side of the horseshoe-like structure. Previously identified regions involved in lipopolysaccharide binding map to the rim and bottom of the pocket indicating that the pocket is the main component of the lipopolysaccharide-binding site. Mutations that interfere with lipopolysaccharide signaling but not with lipopolysaccharide binding are also clustered in a separate area near the pocket. Ligand diversity of CD14 could be explained by the generous size of the pocket, the considerable flexibility of the rim of the pocket, and the multiplicity of grooves available for ligand binding.&lt;/p&gt;&quot;,&quot;publisher&quot;:&quot;Elsevier&quot;,&quot;issue&quot;:&quot;12&quot;,&quot;volume&quot;:&quot;280&quot;},&quot;isTemporary&quot;:false}],&quot;properties&quot;:{&quot;noteIndex&quot;:0},&quot;isEdited&quot;:false,&quot;manualOverride&quot;:{&quot;isManuallyOverridden&quot;:false,&quot;citeprocText&quot;:&quot;(Kim &lt;i&gt;et al.&lt;/i&gt;, 2005)&quot;,&quot;manualOverrideText&quot;:&quot;&quot;},&quot;citationTag&quot;:&quot;MENDELEY_CITATION_v3_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&quot;},{&quot;citationID&quot;:&quot;MENDELEY_CITATION_c59c1491-06d0-4034-ac97-d43d6ee207fe&quot;,&quot;citationItems&quot;:[{&quot;id&quot;:&quot;4476e1d8-95e5-3fc6-950d-d725b62e83d7&quot;,&quot;itemData&quot;:{&quot;type&quot;:&quot;article-journal&quot;,&quot;id&quot;:&quot;4476e1d8-95e5-3fc6-950d-d725b62e83d7&quot;,&quot;title&quot;:&quot;Structural mechanism for NEK7-licensed activation of NLRP3 inflammasome&quot;,&quot;author&quot;:[{&quot;family&quot;:&quot;Sharif&quot;,&quot;given&quot;:&quot;Humayun&quot;,&quot;parse-names&quot;:false,&quot;dropping-particle&quot;:&quot;&quot;,&quot;non-dropping-particle&quot;:&quot;&quot;},{&quot;family&quot;:&quot;Wang&quot;,&quot;given&quot;:&quot;Li&quot;,&quot;parse-names&quot;:false,&quot;dropping-particle&quot;:&quot;&quot;,&quot;non-dropping-particle&quot;:&quot;&quot;},{&quot;family&quot;:&quot;Wang&quot;,&quot;given&quot;:&quot;Wei Li&quot;,&quot;parse-names&quot;:false,&quot;dropping-particle&quot;:&quot;&quot;,&quot;non-dropping-particle&quot;:&quot;&quot;},{&quot;family&quot;:&quot;Magupalli&quot;,&quot;given&quot;:&quot;Venkat Giri&quot;,&quot;parse-names&quot;:false,&quot;dropping-particle&quot;:&quot;&quot;,&quot;non-dropping-particle&quot;:&quot;&quot;},{&quot;family&quot;:&quot;Andreeva&quot;,&quot;given&quot;:&quot;Liudmila&quot;,&quot;parse-names&quot;:false,&quot;dropping-particle&quot;:&quot;&quot;,&quot;non-dropping-particle&quot;:&quot;&quot;},{&quot;family&quot;:&quot;Qiao&quot;,&quot;given&quot;:&quot;Qi&quot;,&quot;parse-names&quot;:false,&quot;dropping-particle&quot;:&quot;&quot;,&quot;non-dropping-particle&quot;:&quot;&quot;},{&quot;family&quot;:&quot;Hauenstein&quot;,&quot;given&quot;:&quot;Arthur&quot;,&quot;parse-names&quot;:false,&quot;dropping-particle&quot;:&quot;v.&quot;,&quot;non-dropping-particle&quot;:&quot;&quot;},{&quot;family&quot;:&quot;Wu&quot;,&quot;given&quot;:&quot;Zhaolong&quot;,&quot;parse-names&quot;:false,&quot;dropping-particle&quot;:&quot;&quot;,&quot;non-dropping-particle&quot;:&quot;&quot;},{&quot;family&quot;:&quot;Núñez&quot;,&quot;given&quot;:&quot;Gabriel&quot;,&quot;parse-names&quot;:false,&quot;dropping-particle&quot;:&quot;&quot;,&quot;non-dropping-particle&quot;:&quot;&quot;},{&quot;family&quot;:&quot;Mao&quot;,&quot;given&quot;:&quot;Youdong&quot;,&quot;parse-names&quot;:false,&quot;dropping-particle&quot;:&quot;&quot;,&quot;non-dropping-particle&quot;:&quot;&quot;},{&quot;family&quot;:&quot;Wu&quot;,&quot;given&quot;:&quot;Hao&quot;,&quot;parse-names&quot;:false,&quot;dropping-particle&quot;:&quot;&quot;,&quot;non-dropping-particle&quot;:&quot;&quot;}],&quot;container-title&quot;:&quot;Nature 2019 570:7761&quot;,&quot;accessed&quot;:{&quot;date-parts&quot;:[[2021,9,13]]},&quot;DOI&quot;:&quot;10.1038/s41586-019-1295-z&quot;,&quot;ISSN&quot;:&quot;1476-4687&quot;,&quot;URL&quot;:&quot;https://www.nature.com/articles/s41586-019-1295-z&quot;,&quot;issued&quot;:{&quot;date-parts&quot;:[[2019,6,12]]},&quot;page&quot;:&quot;338-343&quot;,&quot;abstract&quot;:&quot;The NLRP3 inflammasome can be activated by stimuli that include nigericin, uric acid crystals, amyloid-β fibrils and extracellular ATP. The mitotic kinase NEK7 licenses the assembly and activation of the NLRP3 inflammasome in interphase. Here we report a cryo-electron microscopy structure of inactive human NLRP3 in complex with NEK7, at a resolution of 3.8 Å. The earring-shaped NLRP3 consists of curved leucine-rich-repeat and globular NACHT domains, and the C-terminal lobe of NEK7 nestles against both NLRP3 domains. Structural recognition between NLRP3 and NEK7 is confirmed by mutagenesis both in vitro and in cells. Modelling of an active NLRP3–NEK7 conformation based on the NLRC4 inflammasome predicts an additional contact between an NLRP3-bound NEK7 and a neighbouring NLRP3. Mutations to this interface abolish the ability of NEK7 or NLRP3 to rescue NLRP3 activation in NEK7-knockout or NLRP3-knockout cells. These data suggest that NEK7 bridges adjacent NLRP3 subunits with bipartite interactions to mediate the activation of the NLRP3 inflammasome. A cryo-electron microscopy structure of human NLRP3 in complex with the mitotic kinase NEK7 provides insights into the interactions that mediate the activation of the NLRP3 inflammasome.&quot;,&quot;publisher&quot;:&quot;Nature Publishing Group&quot;,&quot;issue&quot;:&quot;7761&quot;,&quot;volume&quot;:&quot;570&quot;},&quot;isTemporary&quot;:false}],&quot;properties&quot;:{&quot;noteIndex&quot;:0},&quot;isEdited&quot;:false,&quot;manualOverride&quot;:{&quot;isManuallyOverridden&quot;:false,&quot;citeprocText&quot;:&quot;(Sharif &lt;i&gt;et al.&lt;/i&gt;, 2019)&quot;,&quot;manualOverrideText&quot;:&quot;&quot;},&quot;citationTag&quot;:&quot;MENDELEY_CITATION_v3_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&quot;},{&quot;citationID&quot;:&quot;MENDELEY_CITATION_a5ec6526-3bb4-4d16-922b-61303515f48b&quot;,&quot;citationItems&quot;:[{&quot;id&quot;:&quot;0ce2d165-19cf-370f-a8f1-64c1a05d1fe9&quot;,&quot;itemData&quot;:{&quot;type&quot;:&quot;article&quot;,&quot;id&quot;:&quot;0ce2d165-19cf-370f-a8f1-64c1a05d1fe9&quot;,&quot;title&quot;:&quot;Application of hybrid LRR technique to protein crystallization&quot;,&quot;author&quot;:[{&quot;family&quot;:&quot;Mi&quot;,&quot;given&quot;:&quot;Sun Jin&quot;,&quot;parse-names&quot;:false,&quot;dropping-particle&quot;:&quot;&quot;,&quot;non-dropping-particle&quot;:&quot;&quot;},{&quot;family&quot;:&quot;Lee&quot;,&quot;given&quot;:&quot;Jie Oh&quot;,&quot;parse-names&quot;:false,&quot;dropping-particle&quot;:&quot;&quot;,&quot;non-dropping-particle&quot;:&quot;&quot;}],&quot;container-title&quot;:&quot;Journal of Biochemistry and Molecular Biology&quot;,&quot;accessed&quot;:{&quot;date-parts&quot;:[[2021,1,26]]},&quot;DOI&quot;:&quot;10.5483/bmbrep.2008.41.5.353&quot;,&quot;ISSN&quot;:&quot;12258687&quot;,&quot;PMID&quot;:&quot;18510864&quot;,&quot;URL&quot;:&quot;http://bmbreports.org&quot;,&quot;issued&quot;:{&quot;date-parts&quot;:[[2008,5]]},&quot;page&quot;:&quot;353-357&quot;,&quot;abstract&quot;:&quot;LRR family proteins play important roles in a variety of physiological processes. To facilitate their production and crystallization, we have invented a novel method termed \&quot;Hybrid LRR Technique\&quot;. Using this technique, the first crystal structures of three TLR family proteins could be determined. In this review, design principles and application of the technique to protein crystallization will be summarized. For crystallization of TLRs, hagfish VLR receptors were chosen as the fusion partners and the TLR and the VLR fragments were fused at the conserved LxxLxLxxN motif to minimize local structural incompatibility. TLR-VLR hybridization did not disturb structures and functions of the target TLR proteins. The Hybrid LRR Technique is a general technique that can be applied to structural studies of other LRR proteins. It may also have broader application in biochemical and medical application of LRR proteins by modifying them without compromising their structural integrity.&quot;,&quot;publisher&quot;:&quot;Korean Society for Biochemistry and Molecular Biology&quot;,&quot;issue&quot;:&quot;5&quot;,&quot;volume&quot;:&quot;41&quot;},&quot;isTemporary&quot;:false}],&quot;properties&quot;:{&quot;noteIndex&quot;:0},&quot;isEdited&quot;:false,&quot;manualOverride&quot;:{&quot;isManuallyOverriden&quot;:false,&quot;citeprocText&quot;:&quot;(Mi and Lee, 2008)&quot;,&quot;manualOverrideText&quot;:&quot;&quot;},&quot;citationTag&quot;:&quot;MENDELEY_CITATION_v3_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&quot;},{&quot;citationID&quot;:&quot;MENDELEY_CITATION_c7ae3cc2-187d-44b8-ae4f-0d162636ed7b&quot;,&quot;citationItems&quot;:[{&quot;id&quot;:&quot;eefbcc32-9860-3632-b604-55463391dde7&quot;,&quot;itemData&quot;:{&quot;type&quot;:&quot;article-journal&quot;,&quot;id&quot;:&quot;eefbcc32-9860-3632-b604-55463391dde7&quot;,&quot;title&quot;:&quot;A family of human receptors structurally related to Drosophila Toll.&quot;,&quot;author&quot;:[{&quot;family&quot;:&quot;Rock&quot;,&quot;given&quot;:&quot;F L&quot;,&quot;parse-names&quot;:false,&quot;dropping-particle&quot;:&quot;&quot;,&quot;non-dropping-particle&quot;:&quot;&quot;},{&quot;family&quot;:&quot;Hardiman&quot;,&quot;given&quot;:&quot;G&quot;,&quot;parse-names&quot;:false,&quot;dropping-particle&quot;:&quot;&quot;,&quot;non-dropping-particle&quot;:&quot;&quot;},{&quot;family&quot;:&quot;Timans&quot;,&quot;given&quot;:&quot;J C&quot;,&quot;parse-names&quot;:false,&quot;dropping-particle&quot;:&quot;&quot;,&quot;non-dropping-particle&quot;:&quot;&quot;},{&quot;family&quot;:&quot;Kastelein&quot;,&quot;given&quot;:&quot;R A&quot;,&quot;parse-names&quot;:false,&quot;dropping-particle&quot;:&quot;&quot;,&quot;non-dropping-particle&quot;:&quot;&quot;},{&quot;family&quot;:&quot;Bazan&quot;,&quot;given&quot;:&quot;J F&quot;,&quot;parse-names&quot;:false,&quot;dropping-particle&quot;:&quot;&quot;,&quot;non-dropping-particle&quot;:&quot;&quot;},{&quot;family&quot;:&quot;Toshchakov&quot;,&quot;given&quot;:&quot;Vladimir Y.&quot;,&quot;parse-names&quot;:false,&quot;dropping-particle&quot;:&quot;&quot;,&quot;non-dropping-particle&quot;:&quot;&quot;}],&quot;container-title&quot;:&quot;Proceedings of the National Academy of Sciences of the United States of America&quot;,&quot;accessed&quot;:{&quot;date-parts&quot;:[[2018,4,5]]},&quot;DOI&quot;:&quot;10.1073/pnas.95.2.588&quot;,&quot;ISSN&quot;:&quot;0027-8424&quot;,&quot;PMID&quot;:&quot;9435236&quot;,&quot;URL&quot;:&quot;http://www.ncbi.nlm.nih.gov/pubmed/9435236&quot;,&quot;issued&quot;:{&quot;date-parts&quot;:[[1998,1,20]]},&quot;page&quot;:&quot;588-93&quot;,&quot;abstract&quot;:&quot;The discovery of sequence homology between the cytoplasmic domains of Drosophila Toll and human interleukin 1 receptors has sown the conviction that both molecules trigger related signaling pathways tied to the nuclear translocation of Rel-type transcription factors. This conserved signaling scheme governs an evolutionarily ancient immune response in both insects and vertebrates. We report the molecular cloning of a class of putative human receptors with a protein architecture that is similar to Drosophila Toll in both intra- and extracellular segments. Five human Toll-like receptors--named TLRs 1-5--are probably the direct homologs of the fly molecule and, as such, could constitute an important and unrecognized component of innate immunity in humans. Intriguingly, the evolutionary retention of TLRs in vertebrates may indicate another role--akin to Toll in the dorsoventralization of the Drosophila embryo--as regulators of early morphogenetic patterning. Multiple tissue mRNA blots indicate markedly different patterns of expression for the human TLRs. By using fluorescence in situ hybridization and sequence-tagged site database analyses, we also show that the cognate Tlr genes reside on chromosomes 4 (TLRs 1, 2, and 3), 9 (TLR4), and 1 (TLR5). Structure prediction of the aligned Toll-homology domains from varied insect and human TLRs, vertebrate interleukin 1 receptors and MyD88 factors, and plant disease-resistance proteins recognizes a parallel beta/alpha fold with an acidic active site; a similar structure notably recurs in a class of response regulators broadly involved in transducing sensory information in bacteria.&quot;,&quot;publisher&quot;:&quot;National Academy of Sciences&quot;,&quot;issue&quot;:&quot;2&quot;,&quot;volume&quot;:&quot;95&quot;},&quot;isTemporary&quot;:false}],&quot;properties&quot;:{&quot;noteIndex&quot;:0},&quot;isEdited&quot;:false,&quot;manualOverride&quot;:{&quot;isManuallyOverriden&quot;:false,&quot;citeprocText&quot;:&quot;(Rock &lt;i&gt;et al.&lt;/i&gt;, 1998)&quot;,&quot;manualOverrideText&quot;:&quot;&quot;},&quot;citationTag&quot;:&quot;MENDELEY_CITATION_v3_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&quot;},{&quot;citationID&quot;:&quot;MENDELEY_CITATION_965ed31d-91b1-4a4c-aa39-26ddf1280adc&quot;,&quot;citationItems&quot;:[{&quot;id&quot;:&quot;4ebe5ae9-ae3f-3d1c-9194-e324911e0d3a&quot;,&quot;itemData&quot;:{&quot;type&quot;:&quot;article-journal&quot;,&quot;id&quot;:&quot;4ebe5ae9-ae3f-3d1c-9194-e324911e0d3a&quot;,&quot;title&quot;:&quot;Structural basis of toll-like receptor 3 signaling with double-stranded RNA&quot;,&quot;author&quot;:[{&quot;family&quot;:&quot;Liu&quot;,&quot;given&quot;:&quot;Lin&quot;,&quot;parse-names&quot;:false,&quot;dropping-particle&quot;:&quot;&quot;,&quot;non-dropping-particle&quot;:&quot;&quot;},{&quot;family&quot;:&quot;Botos&quot;,&quot;given&quot;:&quot;Istvan&quot;,&quot;parse-names&quot;:false,&quot;dropping-particle&quot;:&quot;&quot;,&quot;non-dropping-particle&quot;:&quot;&quot;},{&quot;family&quot;:&quot;Wang&quot;,&quot;given&quot;:&quot;Yan&quot;,&quot;parse-names&quot;:false,&quot;dropping-particle&quot;:&quot;&quot;,&quot;non-dropping-particle&quot;:&quot;&quot;},{&quot;family&quot;:&quot;Leonard&quot;,&quot;given&quot;:&quot;Joshua N.&quot;,&quot;parse-names&quot;:false,&quot;dropping-particle&quot;:&quot;&quot;,&quot;non-dropping-particle&quot;:&quot;&quot;},{&quot;family&quot;:&quot;Shiloach&quot;,&quot;given&quot;:&quot;Joseph&quot;,&quot;parse-names&quot;:false,&quot;dropping-particle&quot;:&quot;&quot;,&quot;non-dropping-particle&quot;:&quot;&quot;},{&quot;family&quot;:&quot;Segal&quot;,&quot;given&quot;:&quot;David M.&quot;,&quot;parse-names&quot;:false,&quot;dropping-particle&quot;:&quot;&quot;,&quot;non-dropping-particle&quot;:&quot;&quot;},{&quot;family&quot;:&quot;Davies&quot;,&quot;given&quot;:&quot;David R.&quot;,&quot;parse-names&quot;:false,&quot;dropping-particle&quot;:&quot;&quot;,&quot;non-dropping-particle&quot;:&quot;&quot;}],&quot;container-title&quot;:&quot;Science&quot;,&quot;accessed&quot;:{&quot;date-parts&quot;:[[2021,1,26]]},&quot;DOI&quot;:&quot;10.1126/science.1155406&quot;,&quot;ISSN&quot;:&quot;00368075&quot;,&quot;PMID&quot;:&quot;18420935&quot;,&quot;URL&quot;:&quot;https://science.sciencemag.org/content/320/5874/379&quot;,&quot;issued&quot;:{&quot;date-parts&quot;:[[2008,4,18]]},&quot;page&quot;:&quot;379-381&quot;,&quot;abstract&quot;:&quot;Toll-like receptor 3 (TLR3) recognizes double-stranded RNA (dsRNA), a molecular signature of most viruses, and triggers inflammatory responses that prevent viral spread. TLR3 ectodomains (ECDs) dimerize on oligonucleotides of at least 40 to 50 base pairs in length, the minimal length required for signal transduction. To establish the molecular basis for ligand binding and signaling, we determined the crystal structure of a complex between two mouse TLR3-ECDs and dsRNA at 3.4 angstrom resolution. Each TLR3-ECD binds dsRNA at two sites located at opposite ends of the TLR3 horseshoe, and an intermolecular contact between the two TLR3-ECD C-terminal domains coordinates and stabilizes the dimer. This juxtaposition could mediate downstream signaling by dimerizing the cytoplasmic Toll interleukin-1 receptor (TIR) domains. The overall shape of the TLR3-ECD does not change upon binding to dsRNA.&quot;,&quot;publisher&quot;:&quot;American Association for the Advancement of Science&quot;,&quot;issue&quot;:&quot;5874&quot;,&quot;volume&quot;:&quot;320&quot;},&quot;isTemporary&quot;:false}],&quot;properties&quot;:{&quot;noteIndex&quot;:0},&quot;isEdited&quot;:false,&quot;manualOverride&quot;:{&quot;isManuallyOverriden&quot;:false,&quot;citeprocText&quot;:&quot;(Liu &lt;i&gt;et al.&lt;/i&gt;, 2008)&quot;,&quot;manualOverrideText&quot;:&quot;&quot;},&quot;citationTag&quot;:&quot;MENDELEY_CITATION_v3_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&quot;},{&quot;citationID&quot;:&quot;MENDELEY_CITATION_9643f4f7-8fca-4e26-b7fb-ac3b6f7d6791&quot;,&quot;citationItems&quot;:[{&quot;id&quot;:&quot;23ac476e-2b5c-3cfd-8c28-1df1ccea1ef1&quot;,&quot;itemData&quot;:{&quot;type&quot;:&quot;article-journal&quot;,&quot;id&quot;:&quot;23ac476e-2b5c-3cfd-8c28-1df1ccea1ef1&quot;,&quot;title&quot;:&quot;Four N-linked glycosylation sites in human toll-like receptor 2 cooperate to direct efficient biosynthesis and secretion&quot;,&quot;author&quot;:[{&quot;family&quot;:&quot;Weber&quot;,&quot;given&quot;:&quot;Alexander N.R.&quot;,&quot;parse-names&quot;:false,&quot;dropping-particle&quot;:&quot;&quot;,&quot;non-dropping-particle&quot;:&quot;&quot;},{&quot;family&quot;:&quot;Morse&quot;,&quot;given&quot;:&quot;Mary A.&quot;,&quot;parse-names&quot;:false,&quot;dropping-particle&quot;:&quot;&quot;,&quot;non-dropping-particle&quot;:&quot;&quot;},{&quot;family&quot;:&quot;Gay&quot;,&quot;given&quot;:&quot;Nicholas J.&quot;,&quot;parse-names&quot;:false,&quot;dropping-particle&quot;:&quot;&quot;,&quot;non-dropping-particle&quot;:&quot;&quot;}],&quot;container-title&quot;:&quot;Journal of Biological Chemistry&quot;,&quot;accessed&quot;:{&quot;date-parts&quot;:[[2021,1,26]]},&quot;DOI&quot;:&quot;10.1074/jbc.M403830200&quot;,&quot;ISSN&quot;:&quot;00219258&quot;,&quot;PMID&quot;:&quot;15173186&quot;,&quot;issued&quot;:{&quot;date-parts&quot;:[[2004,8,13]]},&quot;page&quot;:&quot;34589-34594&quot;,&quot;abstract&quot;:&quot;Most higher organisms have a system of innate immune defense that is mediated by a group of evolutionarily related, germ line-encoded receptors, so-called Toll-like receptors. In mammals Toll-like receptors signal in response to pathogen-associated microbial structures. For example, Toll-like receptor 2 appears to mediate responses to bacterial peptidoglycan and acylated lipoproteins and Toll-like receptor 4 to bacterial lipopolysaccharide. However, the structural principles that underlie recognition of these structures are poorly understood. Toll-like receptors have leucine-rich repeats in their extracellular domains and are thus believed to adopt solenoid structures, similar to that found in platelet glycoprotein Ib. Additionally, all Toll-like receptors contain N-linked glycosylation consensus sites, and Toll-like receptor 4 requires glycosylation for function. Toll-like receptor glycosylation is also likely to influence receptor surface representation, trafficking, and pattern recognition. Using circular dichroism spectroscopy, we show here that purified human Toll-like receptor 2 and 4 proteins have secondary structure contents similar to glycoprotein Ib. We have also analyzed where consensus glycosylation sites are located in the extracellular domains of other human Toll-like receptors. We found that there are significant differences in the location and degree of conservation between sites in different Toll-like receptors. Using site-directed mutagenesis, we have found that in Toll-like receptor 2 extracellular domain all four predicted glycosylation sites are substituted, although one site is inefficiently core-glycosylated and its removal drastically affects secretion. The remaining Toll-like receptor 2 glycosylation sites also contribute to efficient protein secretion, albeit to a lesser degree.&quot;,&quot;publisher&quot;:&quot;Elsevier&quot;,&quot;issue&quot;:&quot;33&quot;,&quot;volume&quot;:&quot;279&quot;},&quot;isTemporary&quot;:false}],&quot;properties&quot;:{&quot;noteIndex&quot;:0},&quot;isEdited&quot;:false,&quot;manualOverride&quot;:{&quot;isManuallyOverriden&quot;:false,&quot;citeprocText&quot;:&quot;(Weber, Morse and Gay, 2004)&quot;,&quot;manualOverrideText&quot;:&quot;&quot;},&quot;citationTag&quot;:&quot;MENDELEY_CITATION_v3_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&quot;},{&quot;citationID&quot;:&quot;MENDELEY_CITATION_37e46fd5-f0cf-46f0-b723-3dcd9f777ab3&quot;,&quot;citationItems&quot;:[{&quot;id&quot;:&quot;fa88376b-bbe5-3fd5-a1e2-9530b1ae09b5&quot;,&quot;itemData&quot;:{&quot;type&quot;:&quot;article-journal&quot;,&quot;id&quot;:&quot;fa88376b-bbe5-3fd5-a1e2-9530b1ae09b5&quot;,&quot;title&quot;:&quot;MD-2 and TLR4 N-linked glycosylations are important for a functional lipopolysaccharide receptor&quot;,&quot;author&quot;:[{&quot;family&quot;:&quot;Silva Correia&quot;,&quot;given&quot;:&quot;Jean&quot;,&quot;parse-names&quot;:false,&quot;dropping-particle&quot;:&quot;&quot;,&quot;non-dropping-particle&quot;:&quot;da&quot;},{&quot;family&quot;:&quot;Ulevitch&quot;,&quot;given&quot;:&quot;Richard J.&quot;,&quot;parse-names&quot;:false,&quot;dropping-particle&quot;:&quot;&quot;,&quot;non-dropping-particle&quot;:&quot;&quot;}],&quot;container-title&quot;:&quot;Journal of Biological Chemistry&quot;,&quot;accessed&quot;:{&quot;date-parts&quot;:[[2021,1,31]]},&quot;DOI&quot;:&quot;10.1074/jbc.M109910200&quot;,&quot;ISSN&quot;:&quot;00219258&quot;,&quot;PMID&quot;:&quot;11706042&quot;,&quot;issued&quot;:{&quot;date-parts&quot;:[[2002,1,18]]},&quot;page&quot;:&quot;1845-1854&quot;,&quot;abstract&quot;:&quot;The lipopolysaccharide (LPS) receptor is a multi-protein complex that consists of at least three proteins, CD14, TLR4, and MD-2. Because each of these proteins is glycosylated, we have examined the functional role of N-linked carbohydrates of both MD-2 and TLR4. We demonstrate that MD-2 contains 2 N-glycosylated sites at positions Asn26 and Asn114, whereas the amino-terminal ectodomain of human TLR4 contains 9 N-linked glycosylation sites. Site-directed mutagenesis studies showed that cell surface expression of MD-2 did not depend on the presence of either N-linked site, whereas in contrast, TLR4 mutants carrying substitutions in Asn526 or Asn575 failed to be transported to the cell surface. Using a UV-activated derivative of Re595 LPS (ASD-Re595 LPS) in cross-linking assays, we demonstrated a critical role of MD-2 and TLR4 carbohydrates in LPS cross-linking to the LPS receptor. The ability of the various glycosylation mutants to support cell activation was also evaluated in transiently transfected HeLa cells. The double mutant of MD-2 failed to support LPS-induced activation of an interleukin-8 (IL-8) promoter-driven luciferase reporter to induce IL-8 secretion or to activate amino-terminal c-Jun kinase (JNK). Similar results were observed with TLR4 mutants lacking three or more N-linked glycosylation sites. Surprisingly, the reduction in activation resulting from expression of the Asn mutants of MD-2 and TLR4 can be partially reversed by co-expression with CD14. This suggests that the functional integrity of the LPS receptor depends both on the surface expression of at least three proteins, CD14, MD-2, and TLR4, and that N-linked sites of both MD-2 and TLR4 are essential in maintaining the functional integrity of this receptor.&quot;,&quot;publisher&quot;:&quot;Elsevier&quot;,&quot;issue&quot;:&quot;3&quot;,&quot;volume&quot;:&quot;277&quot;},&quot;isTemporary&quot;:false}],&quot;properties&quot;:{&quot;noteIndex&quot;:0},&quot;isEdited&quot;:false,&quot;manualOverride&quot;:{&quot;isManuallyOverriden&quot;:false,&quot;citeprocText&quot;:&quot;(da Silva Correia and Ulevitch, 2002)&quot;,&quot;manualOverrideText&quot;:&quot;&quot;},&quot;citationTag&quot;:&quot;MENDELEY_CITATION_v3_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&quot;},{&quot;citationID&quot;:&quot;MENDELEY_CITATION_b7484efa-0097-4244-902e-55d97fe66565&quot;,&quot;citationItems&quot;:[{&quot;id&quot;:&quot;4ebe5ae9-ae3f-3d1c-9194-e324911e0d3a&quot;,&quot;itemData&quot;:{&quot;type&quot;:&quot;article-journal&quot;,&quot;id&quot;:&quot;4ebe5ae9-ae3f-3d1c-9194-e324911e0d3a&quot;,&quot;title&quot;:&quot;Structural basis of toll-like receptor 3 signaling with double-stranded RNA&quot;,&quot;author&quot;:[{&quot;family&quot;:&quot;Liu&quot;,&quot;given&quot;:&quot;Lin&quot;,&quot;parse-names&quot;:false,&quot;dropping-particle&quot;:&quot;&quot;,&quot;non-dropping-particle&quot;:&quot;&quot;},{&quot;family&quot;:&quot;Botos&quot;,&quot;given&quot;:&quot;Istvan&quot;,&quot;parse-names&quot;:false,&quot;dropping-particle&quot;:&quot;&quot;,&quot;non-dropping-particle&quot;:&quot;&quot;},{&quot;family&quot;:&quot;Wang&quot;,&quot;given&quot;:&quot;Yan&quot;,&quot;parse-names&quot;:false,&quot;dropping-particle&quot;:&quot;&quot;,&quot;non-dropping-particle&quot;:&quot;&quot;},{&quot;family&quot;:&quot;Leonard&quot;,&quot;given&quot;:&quot;Joshua N.&quot;,&quot;parse-names&quot;:false,&quot;dropping-particle&quot;:&quot;&quot;,&quot;non-dropping-particle&quot;:&quot;&quot;},{&quot;family&quot;:&quot;Shiloach&quot;,&quot;given&quot;:&quot;Joseph&quot;,&quot;parse-names&quot;:false,&quot;dropping-particle&quot;:&quot;&quot;,&quot;non-dropping-particle&quot;:&quot;&quot;},{&quot;family&quot;:&quot;Segal&quot;,&quot;given&quot;:&quot;David M.&quot;,&quot;parse-names&quot;:false,&quot;dropping-particle&quot;:&quot;&quot;,&quot;non-dropping-particle&quot;:&quot;&quot;},{&quot;family&quot;:&quot;Davies&quot;,&quot;given&quot;:&quot;David R.&quot;,&quot;parse-names&quot;:false,&quot;dropping-particle&quot;:&quot;&quot;,&quot;non-dropping-particle&quot;:&quot;&quot;}],&quot;container-title&quot;:&quot;Science&quot;,&quot;accessed&quot;:{&quot;date-parts&quot;:[[2021,1,26]]},&quot;DOI&quot;:&quot;10.1126/science.1155406&quot;,&quot;ISSN&quot;:&quot;00368075&quot;,&quot;PMID&quot;:&quot;18420935&quot;,&quot;URL&quot;:&quot;https://science.sciencemag.org/content/320/5874/379&quot;,&quot;issued&quot;:{&quot;date-parts&quot;:[[2008,4,18]]},&quot;page&quot;:&quot;379-381&quot;,&quot;abstract&quot;:&quot;Toll-like receptor 3 (TLR3) recognizes double-stranded RNA (dsRNA), a molecular signature of most viruses, and triggers inflammatory responses that prevent viral spread. TLR3 ectodomains (ECDs) dimerize on oligonucleotides of at least 40 to 50 base pairs in length, the minimal length required for signal transduction. To establish the molecular basis for ligand binding and signaling, we determined the crystal structure of a complex between two mouse TLR3-ECDs and dsRNA at 3.4 angstrom resolution. Each TLR3-ECD binds dsRNA at two sites located at opposite ends of the TLR3 horseshoe, and an intermolecular contact between the two TLR3-ECD C-terminal domains coordinates and stabilizes the dimer. This juxtaposition could mediate downstream signaling by dimerizing the cytoplasmic Toll interleukin-1 receptor (TIR) domains. The overall shape of the TLR3-ECD does not change upon binding to dsRNA.&quot;,&quot;publisher&quot;:&quot;American Association for the Advancement of Science&quot;,&quot;issue&quot;:&quot;5874&quot;,&quot;volume&quot;:&quot;320&quot;},&quot;isTemporary&quot;:false},{&quot;id&quot;:&quot;23ac476e-2b5c-3cfd-8c28-1df1ccea1ef1&quot;,&quot;itemData&quot;:{&quot;type&quot;:&quot;article-journal&quot;,&quot;id&quot;:&quot;23ac476e-2b5c-3cfd-8c28-1df1ccea1ef1&quot;,&quot;title&quot;:&quot;Four N-linked glycosylation sites in human toll-like receptor 2 cooperate to direct efficient biosynthesis and secretion&quot;,&quot;author&quot;:[{&quot;family&quot;:&quot;Weber&quot;,&quot;given&quot;:&quot;Alexander N.R.&quot;,&quot;parse-names&quot;:false,&quot;dropping-particle&quot;:&quot;&quot;,&quot;non-dropping-particle&quot;:&quot;&quot;},{&quot;family&quot;:&quot;Morse&quot;,&quot;given&quot;:&quot;Mary A.&quot;,&quot;parse-names&quot;:false,&quot;dropping-particle&quot;:&quot;&quot;,&quot;non-dropping-particle&quot;:&quot;&quot;},{&quot;family&quot;:&quot;Gay&quot;,&quot;given&quot;:&quot;Nicholas J.&quot;,&quot;parse-names&quot;:false,&quot;dropping-particle&quot;:&quot;&quot;,&quot;non-dropping-particle&quot;:&quot;&quot;}],&quot;container-title&quot;:&quot;Journal of Biological Chemistry&quot;,&quot;accessed&quot;:{&quot;date-parts&quot;:[[2021,1,26]]},&quot;DOI&quot;:&quot;10.1074/jbc.M403830200&quot;,&quot;ISSN&quot;:&quot;00219258&quot;,&quot;PMID&quot;:&quot;15173186&quot;,&quot;issued&quot;:{&quot;date-parts&quot;:[[2004,8,13]]},&quot;page&quot;:&quot;34589-34594&quot;,&quot;abstract&quot;:&quot;Most higher organisms have a system of innate immune defense that is mediated by a group of evolutionarily related, germ line-encoded receptors, so-called Toll-like receptors. In mammals Toll-like receptors signal in response to pathogen-associated microbial structures. For example, Toll-like receptor 2 appears to mediate responses to bacterial peptidoglycan and acylated lipoproteins and Toll-like receptor 4 to bacterial lipopolysaccharide. However, the structural principles that underlie recognition of these structures are poorly understood. Toll-like receptors have leucine-rich repeats in their extracellular domains and are thus believed to adopt solenoid structures, similar to that found in platelet glycoprotein Ib. Additionally, all Toll-like receptors contain N-linked glycosylation consensus sites, and Toll-like receptor 4 requires glycosylation for function. Toll-like receptor glycosylation is also likely to influence receptor surface representation, trafficking, and pattern recognition. Using circular dichroism spectroscopy, we show here that purified human Toll-like receptor 2 and 4 proteins have secondary structure contents similar to glycoprotein Ib. We have also analyzed where consensus glycosylation sites are located in the extracellular domains of other human Toll-like receptors. We found that there are significant differences in the location and degree of conservation between sites in different Toll-like receptors. Using site-directed mutagenesis, we have found that in Toll-like receptor 2 extracellular domain all four predicted glycosylation sites are substituted, although one site is inefficiently core-glycosylated and its removal drastically affects secretion. The remaining Toll-like receptor 2 glycosylation sites also contribute to efficient protein secretion, albeit to a lesser degree.&quot;,&quot;publisher&quot;:&quot;Elsevier&quot;,&quot;issue&quot;:&quot;33&quot;,&quot;volume&quot;:&quot;279&quot;},&quot;isTemporary&quot;:false}],&quot;properties&quot;:{&quot;noteIndex&quot;:0},&quot;isEdited&quot;:false,&quot;manualOverride&quot;:{&quot;isManuallyOverriden&quot;:false,&quot;citeprocText&quot;:&quot;(Weber, Morse and Gay, 2004; Liu &lt;i&gt;et al.&lt;/i&gt;, 2008)&quot;,&quot;manualOverrideText&quot;:&quot;&quot;},&quot;citationTag&quot;:&quot;MENDELEY_CITATION_v3_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&quot;},{&quot;citationID&quot;:&quot;MENDELEY_CITATION_303400c0-e62d-48ce-b6c1-4388a50ca1e9&quot;,&quot;citationItems&quot;:[{&quot;id&quot;:&quot;66dfb99b-2a26-3387-9d5a-3afbda7eb8c2&quot;,&quot;itemData&quot;:{&quot;type&quot;:&quot;article-journal&quot;,&quot;id&quot;:&quot;66dfb99b-2a26-3387-9d5a-3afbda7eb8c2&quot;,&quot;title&quot;:&quot;Structural basis for signal transduction by the toll/interleukin-1 receptor domains&quot;,&quot;author&quot;:[{&quot;family&quot;:&quot;Xu&quot;,&quot;given&quot;:&quot;Yingwu&quot;,&quot;parse-names&quot;:false,&quot;dropping-particle&quot;:&quot;&quot;,&quot;non-dropping-particle&quot;:&quot;&quot;},{&quot;family&quot;:&quot;Tao&quot;,&quot;given&quot;:&quot;Xiao&quot;,&quot;parse-names&quot;:false,&quot;dropping-particle&quot;:&quot;&quot;,&quot;non-dropping-particle&quot;:&quot;&quot;},{&quot;family&quot;:&quot;Shen&quot;,&quot;given&quot;:&quot;Baohe&quot;,&quot;parse-names&quot;:false,&quot;dropping-particle&quot;:&quot;&quot;,&quot;non-dropping-particle&quot;:&quot;&quot;},{&quot;family&quot;:&quot;Horng&quot;,&quot;given&quot;:&quot;Tiffany&quot;,&quot;parse-names&quot;:false,&quot;dropping-particle&quot;:&quot;&quot;,&quot;non-dropping-particle&quot;:&quot;&quot;},{&quot;family&quot;:&quot;Medzhitov&quot;,&quot;given&quot;:&quot;Ruslan&quot;,&quot;parse-names&quot;:false,&quot;dropping-particle&quot;:&quot;&quot;,&quot;non-dropping-particle&quot;:&quot;&quot;},{&quot;family&quot;:&quot;Manley&quot;,&quot;given&quot;:&quot;James L.&quot;,&quot;parse-names&quot;:false,&quot;dropping-particle&quot;:&quot;&quot;,&quot;non-dropping-particle&quot;:&quot;&quot;},{&quot;family&quot;:&quot;Tong&quot;,&quot;given&quot;:&quot;Liang&quot;,&quot;parse-names&quot;:false,&quot;dropping-particle&quot;:&quot;&quot;,&quot;non-dropping-particle&quot;:&quot;&quot;}],&quot;container-title&quot;:&quot;Nature&quot;,&quot;accessed&quot;:{&quot;date-parts&quot;:[[2021,1,26]]},&quot;DOI&quot;:&quot;10.1038/35040600&quot;,&quot;ISSN&quot;:&quot;00280836&quot;,&quot;PMID&quot;:&quot;11081518&quot;,&quot;URL&quot;:&quot;https://www.nature.com/articles/35040600&quot;,&quot;issued&quot;:{&quot;date-parts&quot;:[[2000,11,2]]},&quot;page&quot;:&quot;111-115&quot;,&quot;abstract&quot;:&quot;Toll-like receptors (TLRs) and the interleukin-1 receptor super-family (IL-1Rs) are integral to both innate and adaptive immunity for host defence. These receptors share a conserved cytoplasmic domain, known as the TIR domain. A single-point mutation in the TIR domain of murine TLR4 (Pro712His, the Lps(d) mutation) abolishes the host immune response to lipopolysaccharide (LPS), and mutation of the equivalent residue in TLR2, Pro681His, disrupts signal transduction in response to stimulation by yeast and Gram-positive bacteria. Here we report the crystal structures of the TIR domains of human TLR1 and TLR2 and of the Pro681His mutant of TLR2. The structures have a large conserved surface patch that also contains the site of the Lps(d) mutation. Mutagenesis and functional studies confirm that residues in this surface patch are crucial for receptor signalling. The Lps(d) mutation does not disturb the structure of the TIR domain itself. Instead, structural and functional studies indicate that the conserved surface patch may mediate interactions with the down-stream MyD88 adapter molecule, and that the Lps(d) mutation may abolish receptor signalling by disrupting this recruitment.&quot;,&quot;publisher&quot;:&quot;Nature Publishing Group&quot;,&quot;issue&quot;:&quot;6808&quot;,&quot;volume&quot;:&quot;408&quot;},&quot;isTemporary&quot;:false}],&quot;properties&quot;:{&quot;noteIndex&quot;:0},&quot;isEdited&quot;:false,&quot;manualOverride&quot;:{&quot;isManuallyOverriden&quot;:false,&quot;citeprocText&quot;:&quot;(Xu &lt;i&gt;et al.&lt;/i&gt;, 2000)&quot;,&quot;manualOverrideText&quot;:&quot;&quot;},&quot;citationTag&quot;:&quot;MENDELEY_CITATION_v3_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&quot;},{&quot;citationID&quot;:&quot;MENDELEY_CITATION_a229caad-6ea9-43c2-b75f-e6e4cb5776cc&quot;,&quot;citationItems&quot;:[{&quot;id&quot;:&quot;f2d1883e-00aa-3046-873b-6ec706b9533e&quot;,&quot;itemData&quot;:{&quot;type&quot;:&quot;article-journal&quot;,&quot;id&quot;:&quot;f2d1883e-00aa-3046-873b-6ec706b9533e&quot;,&quot;title&quot;:&quot;The Protein Imager: a full-featured online molecular viewer interface with server-side HQ-rendering capabilities&quot;,&quot;author&quot;:[{&quot;family&quot;:&quot;Tomasello&quot;,&quot;given&quot;:&quot;Gianluca&quot;,&quot;parse-names&quot;:false,&quot;dropping-particle&quot;:&quot;&quot;,&quot;non-dropping-particle&quot;:&quot;&quot;},{&quot;family&quot;:&quot;Armenia  Ilaria&quot;,&quot;given&quot;:&quot;&quot;,&quot;parse-names&quot;:false,&quot;dropping-particle&quot;:&quot;&quot;,&quot;non-dropping-particle&quot;:&quot;&quot;},{&quot;family&quot;:&quot;Molla&quot;,&quot;given&quot;:&quot;Gianluca&quot;,&quot;parse-names&quot;:false,&quot;dropping-particle&quot;:&quot;&quot;,&quot;non-dropping-particle&quot;:&quot;&quot;}],&quot;container-title&quot;:&quot;Bioinformatics (Oxford, England)&quot;,&quot;accessed&quot;:{&quot;date-parts&quot;:[[2021,8,4]]},&quot;DOI&quot;:&quot;10.1093/BIOINFORMATICS/BTAA009&quot;,&quot;ISSN&quot;:&quot;1367-4811&quot;,&quot;PMID&quot;:&quot;31930403&quot;,&quot;URL&quot;:&quot;https://pubmed.ncbi.nlm.nih.gov/31930403/&quot;,&quot;issued&quot;:{&quot;date-parts&quot;:[[2020,5,1]]},&quot;page&quot;:&quot;2909-2911&quot;,&quot;abstract&quot;:&quot;Molecular viewers' long learning curve is hindering researchers in approaching the field of structural biology for the first time. Herein, we present 'The Protein Imager', a lightweight, powerful and easy-to-use interface as a next-gen online molecular viewer. Furthermore, the interface is linked to an automated server-side rendering system able to generate publication-quality molecular illustrations. The Protein Imager interface has been designed for easy usage for beginners and experts in the field alike. The interface allows the preparation of very complex molecular views maintaining a high level of responsiveness even on mobile devices.&quot;,&quot;publisher&quot;:&quot;Bioinformatics&quot;,&quot;issue&quot;:&quot;9&quot;,&quot;volume&quot;:&quot;36&quot;},&quot;isTemporary&quot;:false}],&quot;properties&quot;:{&quot;noteIndex&quot;:0},&quot;isEdited&quot;:false,&quot;manualOverride&quot;:{&quot;isManuallyOverriden&quot;:false,&quot;citeprocText&quot;:&quot;(Tomasello, Armenia  Ilaria and Molla, 2020)&quot;,&quot;manualOverrideText&quot;:&quot;&quot;},&quot;citationTag&quot;:&quot;MENDELEY_CITATION_v3_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&quot;},{&quot;citationID&quot;:&quot;MENDELEY_CITATION_4c7ccb81-0b6f-4028-97be-11b95b454d93&quot;,&quot;citationItems&quot;:[{&quot;id&quot;:&quot;0ce2d165-19cf-370f-a8f1-64c1a05d1fe9&quot;,&quot;itemData&quot;:{&quot;type&quot;:&quot;article&quot;,&quot;id&quot;:&quot;0ce2d165-19cf-370f-a8f1-64c1a05d1fe9&quot;,&quot;title&quot;:&quot;Application of hybrid LRR technique to protein crystallization&quot;,&quot;author&quot;:[{&quot;family&quot;:&quot;Mi&quot;,&quot;given&quot;:&quot;Sun Jin&quot;,&quot;parse-names&quot;:false,&quot;dropping-particle&quot;:&quot;&quot;,&quot;non-dropping-particle&quot;:&quot;&quot;},{&quot;family&quot;:&quot;Lee&quot;,&quot;given&quot;:&quot;Jie Oh&quot;,&quot;parse-names&quot;:false,&quot;dropping-particle&quot;:&quot;&quot;,&quot;non-dropping-particle&quot;:&quot;&quot;}],&quot;container-title&quot;:&quot;Journal of Biochemistry and Molecular Biology&quot;,&quot;accessed&quot;:{&quot;date-parts&quot;:[[2021,1,26]]},&quot;DOI&quot;:&quot;10.5483/bmbrep.2008.41.5.353&quot;,&quot;ISSN&quot;:&quot;12258687&quot;,&quot;PMID&quot;:&quot;18510864&quot;,&quot;URL&quot;:&quot;http://bmbreports.org&quot;,&quot;issued&quot;:{&quot;date-parts&quot;:[[2008,5]]},&quot;page&quot;:&quot;353-357&quot;,&quot;abstract&quot;:&quot;LRR family proteins play important roles in a variety of physiological processes. To facilitate their production and crystallization, we have invented a novel method termed \&quot;Hybrid LRR Technique\&quot;. Using this technique, the first crystal structures of three TLR family proteins could be determined. In this review, design principles and application of the technique to protein crystallization will be summarized. For crystallization of TLRs, hagfish VLR receptors were chosen as the fusion partners and the TLR and the VLR fragments were fused at the conserved LxxLxLxxN motif to minimize local structural incompatibility. TLR-VLR hybridization did not disturb structures and functions of the target TLR proteins. The Hybrid LRR Technique is a general technique that can be applied to structural studies of other LRR proteins. It may also have broader application in biochemical and medical application of LRR proteins by modifying them without compromising their structural integrity.&quot;,&quot;publisher&quot;:&quot;Korean Society for Biochemistry and Molecular Biology&quot;,&quot;issue&quot;:&quot;5&quot;,&quot;volume&quot;:&quot;41&quot;},&quot;isTemporary&quot;:false}],&quot;properties&quot;:{&quot;noteIndex&quot;:0},&quot;isEdited&quot;:false,&quot;manualOverride&quot;:{&quot;isManuallyOverriden&quot;:false,&quot;citeprocText&quot;:&quot;(Mi and Lee, 2008)&quot;,&quot;manualOverrideText&quot;:&quot;&quot;},&quot;citationTag&quot;:&quot;MENDELEY_CITATION_v3_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&quot;},{&quot;citationID&quot;:&quot;MENDELEY_CITATION_63480379-73ad-45e3-b4f0-d11a4301bff4&quot;,&quot;citationItems&quot;:[{&quot;id&quot;:&quot;469620b2-6f13-38ce-a5e0-76acae70603c&quot;,&quot;itemData&quot;:{&quot;type&quot;:&quot;article-journal&quot;,&quot;id&quot;:&quot;469620b2-6f13-38ce-a5e0-76acae70603c&quot;,&quot;title&quot;:&quot;CD36 ligands promote sterile inflammation through assembly of a Toll-like receptor 4 and 6 heterodimer&quot;,&quot;author&quot;:[{&quot;family&quot;:&quot;Stewart&quot;,&quot;given&quot;:&quot;Cameron R.&quot;,&quot;parse-names&quot;:false,&quot;dropping-particle&quot;:&quot;&quot;,&quot;non-dropping-particle&quot;:&quot;&quot;},{&quot;family&quot;:&quot;Stuart&quot;,&quot;given&quot;:&quot;Lynda M.&quot;,&quot;parse-names&quot;:false,&quot;dropping-particle&quot;:&quot;&quot;,&quot;non-dropping-particle&quot;:&quot;&quot;},{&quot;family&quot;:&quot;Wilkinson&quot;,&quot;given&quot;:&quot;Kim&quot;,&quot;parse-names&quot;:false,&quot;dropping-particle&quot;:&quot;&quot;,&quot;non-dropping-particle&quot;:&quot;&quot;},{&quot;family&quot;:&quot;Gils&quot;,&quot;given&quot;:&quot;Janine M.&quot;,&quot;parse-names&quot;:false,&quot;dropping-particle&quot;:&quot;&quot;,&quot;non-dropping-particle&quot;:&quot;van&quot;},{&quot;family&quot;:&quot;Deng&quot;,&quot;given&quot;:&quot;Jiusheng&quot;,&quot;parse-names&quot;:false,&quot;dropping-particle&quot;:&quot;&quot;,&quot;non-dropping-particle&quot;:&quot;&quot;},{&quot;family&quot;:&quot;Halle&quot;,&quot;given&quot;:&quot;Annett&quot;,&quot;parse-names&quot;:false,&quot;dropping-particle&quot;:&quot;&quot;,&quot;non-dropping-particle&quot;:&quot;&quot;},{&quot;family&quot;:&quot;Rayner&quot;,&quot;given&quot;:&quot;Katey J.&quot;,&quot;parse-names&quot;:false,&quot;dropping-particle&quot;:&quot;&quot;,&quot;non-dropping-particle&quot;:&quot;&quot;},{&quot;family&quot;:&quot;Boyer&quot;,&quot;given&quot;:&quot;Laurent&quot;,&quot;parse-names&quot;:false,&quot;dropping-particle&quot;:&quot;&quot;,&quot;non-dropping-particle&quot;:&quot;&quot;},{&quot;family&quot;:&quot;Zhong&quot;,&quot;given&quot;:&quot;Ruiqin&quot;,&quot;parse-names&quot;:false,&quot;dropping-particle&quot;:&quot;&quot;,&quot;non-dropping-particle&quot;:&quot;&quot;},{&quot;family&quot;:&quot;Frazier&quot;,&quot;given&quot;:&quot;William A.&quot;,&quot;parse-names&quot;:false,&quot;dropping-particle&quot;:&quot;&quot;,&quot;non-dropping-particle&quot;:&quot;&quot;},{&quot;family&quot;:&quot;Lacy-Hulbert&quot;,&quot;given&quot;:&quot;Adam&quot;,&quot;parse-names&quot;:false,&quot;dropping-particle&quot;:&quot;&quot;,&quot;non-dropping-particle&quot;:&quot;&quot;},{&quot;family&quot;:&quot;Khoury&quot;,&quot;given&quot;:&quot;Joseph&quot;,&quot;parse-names&quot;:false,&quot;dropping-particle&quot;:&quot;el&quot;,&quot;non-dropping-particle&quot;:&quot;&quot;},{&quot;family&quot;:&quot;Golenbock&quot;,&quot;given&quot;:&quot;Douglas T.&quot;,&quot;parse-names&quot;:false,&quot;dropping-particle&quot;:&quot;&quot;,&quot;non-dropping-particle&quot;:&quot;&quot;},{&quot;family&quot;:&quot;Moore&quot;,&quot;given&quot;:&quot;Kathryn J.&quot;,&quot;parse-names&quot;:false,&quot;dropping-particle&quot;:&quot;&quot;,&quot;non-dropping-particle&quot;:&quot;&quot;}],&quot;container-title&quot;:&quot;Nature Immunology&quot;,&quot;accessed&quot;:{&quot;date-parts&quot;:[[2021,1,26]]},&quot;DOI&quot;:&quot;10.1038/ni.1836&quot;,&quot;ISSN&quot;:&quot;15292908&quot;,&quot;PMID&quot;:&quot;20037584&quot;,&quot;URL&quot;:&quot;https://www.nature.com/articles/ni.1836&quot;,&quot;issued&quot;:{&quot;date-parts&quot;:[[2010,2,27]]},&quot;page&quot;:&quot;155-161&quot;,&quot;abstract&quot;:&quot;In atherosclerosis and Alzheimer's disease, deposition of the altered self components oxidized low-density lipoprotein (LDL) and amyloid-Β triggers a protracted sterile inflammatory response. Although chronic stimulation of the innate immune system is believed to underlie the pathology of these diseases, the molecular mechanisms of activation remain unclear. Here we show that oxidized LDL and amyloid-Β trigger inflammatory signaling through a heterodimer of Toll-like receptors 4 and 6. Assembly of this newly identified heterodimer is regulated by signals from the scavenger receptor CD36, a common receptor for these disparate ligands. Our results identify CD36-TLR4-TLR6 activation as a common molecular mechanism by which atherogenic lipids and amyloid-Β stimulate sterile inflammation and suggest a new model of TLR heterodimerization triggered by coreceptor signaling events. © 2010 Nature America, Inc. All rights reserved.&quot;,&quot;publisher&quot;:&quot;Nature Publishing Group&quot;,&quot;issue&quot;:&quot;2&quot;,&quot;volume&quot;:&quot;11&quot;},&quot;isTemporary&quot;:false}],&quot;properties&quot;:{&quot;noteIndex&quot;:0},&quot;isEdited&quot;:false,&quot;manualOverride&quot;:{&quot;isManuallyOverriden&quot;:false,&quot;citeprocText&quot;:&quot;(Stewart &lt;i&gt;et al.&lt;/i&gt;, 2010)&quot;,&quot;manualOverrideText&quot;:&quot;&quot;},&quot;citationTag&quot;:&quot;MENDELEY_CITATION_v3_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&quot;},{&quot;citationID&quot;:&quot;MENDELEY_CITATION_c8349f52-b7b6-42ea-92b4-df2fdb9caa6c&quot;,&quot;citationItems&quot;:[{&quot;id&quot;:&quot;6f9b6e72-1f96-3e68-8e08-ae75c47743bd&quot;,&quot;itemData&quot;:{&quot;type&quot;:&quot;article-journal&quot;,&quot;id&quot;:&quot;6f9b6e72-1f96-3e68-8e08-ae75c47743bd&quot;,&quot;title&quot;:&quot;The Structural Biology of Toll-like Receptors&quot;,&quot;author&quot;:[{&quot;family&quot;:&quot;Botos&quot;,&quot;given&quot;:&quot;Istvan&quot;,&quot;parse-names&quot;:false,&quot;dropping-particle&quot;:&quot;&quot;,&quot;non-dropping-particle&quot;:&quot;&quot;},{&quot;family&quot;:&quot;Segal&quot;,&quot;given&quot;:&quot;David M.&quot;,&quot;parse-names&quot;:false,&quot;dropping-particle&quot;:&quot;&quot;,&quot;non-dropping-particle&quot;:&quot;&quot;},{&quot;family&quot;:&quot;Davies&quot;,&quot;given&quot;:&quot;David R.&quot;,&quot;parse-names&quot;:false,&quot;dropping-particle&quot;:&quot;&quot;,&quot;non-dropping-particle&quot;:&quot;&quot;}],&quot;container-title&quot;:&quot;Structure&quot;,&quot;accessed&quot;:{&quot;date-parts&quot;:[[2018,4,5]]},&quot;DOI&quot;:&quot;10.1016/J.STR.2011.02.004&quot;,&quot;ISSN&quot;:&quot;0969-2126&quot;,&quot;URL&quot;:&quot;https://www.sciencedirect.com/science/article/pii/S0969212611000724&quot;,&quot;issued&quot;:{&quot;date-parts&quot;:[[2011,4,13]]},&quot;page&quot;:&quot;447-459&quot;,&quot;abstract&quot;:&quot;The membrane-bound Toll-like receptors (TLRs) trigger innate immune responses after recognition of a wide variety of pathogen-derived compounds. Despite the wide range of ligands recognized by TLRs, the receptors share a common structural framework in their extracellular, ligand-binding domains. These domains all adopt horseshoe-shaped structures built from leucine-rich repeat motifs. Typically, on ligand binding, two extracellular domains form an “m”-shaped dimer sandwiching the ligand molecule bringing the transmembrane and cytoplasmic domains in close proximity and triggering a downstream signaling cascade. Although the ligand-induced dimerization of these receptors has many common features, the nature of the interactions of the TLR extracellular domains with their ligands varies markedly between TLR paralogs.&quot;,&quot;publisher&quot;:&quot;Cell Press&quot;,&quot;issue&quot;:&quot;4&quot;,&quot;volume&quot;:&quot;19&quot;},&quot;isTemporary&quot;:false}],&quot;properties&quot;:{&quot;noteIndex&quot;:0},&quot;isEdited&quot;:false,&quot;manualOverride&quot;:{&quot;isManuallyOverriden&quot;:false,&quot;citeprocText&quot;:&quot;(Botos, Segal and Davies, 2011)&quot;,&quot;manualOverrideText&quot;:&quot;&quot;},&quot;citationTag&quot;:&quot;MENDELEY_CITATION_v3_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&quot;},{&quot;citationID&quot;:&quot;MENDELEY_CITATION_6e010a49-ba71-49cc-b862-76f48e62d2bf&quot;,&quot;citationItems&quot;:[{&quot;id&quot;:&quot;66dfb99b-2a26-3387-9d5a-3afbda7eb8c2&quot;,&quot;itemData&quot;:{&quot;type&quot;:&quot;article-journal&quot;,&quot;id&quot;:&quot;66dfb99b-2a26-3387-9d5a-3afbda7eb8c2&quot;,&quot;title&quot;:&quot;Structural basis for signal transduction by the toll/interleukin-1 receptor domains&quot;,&quot;author&quot;:[{&quot;family&quot;:&quot;Xu&quot;,&quot;given&quot;:&quot;Yingwu&quot;,&quot;parse-names&quot;:false,&quot;dropping-particle&quot;:&quot;&quot;,&quot;non-dropping-particle&quot;:&quot;&quot;},{&quot;family&quot;:&quot;Tao&quot;,&quot;given&quot;:&quot;Xiao&quot;,&quot;parse-names&quot;:false,&quot;dropping-particle&quot;:&quot;&quot;,&quot;non-dropping-particle&quot;:&quot;&quot;},{&quot;family&quot;:&quot;Shen&quot;,&quot;given&quot;:&quot;Baohe&quot;,&quot;parse-names&quot;:false,&quot;dropping-particle&quot;:&quot;&quot;,&quot;non-dropping-particle&quot;:&quot;&quot;},{&quot;family&quot;:&quot;Horng&quot;,&quot;given&quot;:&quot;Tiffany&quot;,&quot;parse-names&quot;:false,&quot;dropping-particle&quot;:&quot;&quot;,&quot;non-dropping-particle&quot;:&quot;&quot;},{&quot;family&quot;:&quot;Medzhitov&quot;,&quot;given&quot;:&quot;Ruslan&quot;,&quot;parse-names&quot;:false,&quot;dropping-particle&quot;:&quot;&quot;,&quot;non-dropping-particle&quot;:&quot;&quot;},{&quot;family&quot;:&quot;Manley&quot;,&quot;given&quot;:&quot;James L.&quot;,&quot;parse-names&quot;:false,&quot;dropping-particle&quot;:&quot;&quot;,&quot;non-dropping-particle&quot;:&quot;&quot;},{&quot;family&quot;:&quot;Tong&quot;,&quot;given&quot;:&quot;Liang&quot;,&quot;parse-names&quot;:false,&quot;dropping-particle&quot;:&quot;&quot;,&quot;non-dropping-particle&quot;:&quot;&quot;}],&quot;container-title&quot;:&quot;Nature&quot;,&quot;accessed&quot;:{&quot;date-parts&quot;:[[2021,1,26]]},&quot;DOI&quot;:&quot;10.1038/35040600&quot;,&quot;ISSN&quot;:&quot;00280836&quot;,&quot;PMID&quot;:&quot;11081518&quot;,&quot;URL&quot;:&quot;https://www.nature.com/articles/35040600&quot;,&quot;issued&quot;:{&quot;date-parts&quot;:[[2000,11,2]]},&quot;page&quot;:&quot;111-115&quot;,&quot;abstract&quot;:&quot;Toll-like receptors (TLRs) and the interleukin-1 receptor super-family (IL-1Rs) are integral to both innate and adaptive immunity for host defence. These receptors share a conserved cytoplasmic domain, known as the TIR domain. A single-point mutation in the TIR domain of murine TLR4 (Pro712His, the Lps(d) mutation) abolishes the host immune response to lipopolysaccharide (LPS), and mutation of the equivalent residue in TLR2, Pro681His, disrupts signal transduction in response to stimulation by yeast and Gram-positive bacteria. Here we report the crystal structures of the TIR domains of human TLR1 and TLR2 and of the Pro681His mutant of TLR2. The structures have a large conserved surface patch that also contains the site of the Lps(d) mutation. Mutagenesis and functional studies confirm that residues in this surface patch are crucial for receptor signalling. The Lps(d) mutation does not disturb the structure of the TIR domain itself. Instead, structural and functional studies indicate that the conserved surface patch may mediate interactions with the down-stream MyD88 adapter molecule, and that the Lps(d) mutation may abolish receptor signalling by disrupting this recruitment.&quot;,&quot;publisher&quot;:&quot;Nature Publishing Group&quot;,&quot;issue&quot;:&quot;6808&quot;,&quot;volume&quot;:&quot;408&quot;},&quot;isTemporary&quot;:false}],&quot;properties&quot;:{&quot;noteIndex&quot;:0},&quot;isEdited&quot;:false,&quot;manualOverride&quot;:{&quot;isManuallyOverriden&quot;:false,&quot;citeprocText&quot;:&quot;(Xu &lt;i&gt;et al.&lt;/i&gt;, 2000)&quot;,&quot;manualOverrideText&quot;:&quot;&quot;},&quot;citationTag&quot;:&quot;MENDELEY_CITATION_v3_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&quot;},{&quot;citationID&quot;:&quot;MENDELEY_CITATION_76b80992-89c8-447b-a4c2-5abdd05da847&quot;,&quot;citationItems&quot;:[{&quot;id&quot;:&quot;66dfb99b-2a26-3387-9d5a-3afbda7eb8c2&quot;,&quot;itemData&quot;:{&quot;type&quot;:&quot;article-journal&quot;,&quot;id&quot;:&quot;66dfb99b-2a26-3387-9d5a-3afbda7eb8c2&quot;,&quot;title&quot;:&quot;Structural basis for signal transduction by the toll/interleukin-1 receptor domains&quot;,&quot;author&quot;:[{&quot;family&quot;:&quot;Xu&quot;,&quot;given&quot;:&quot;Yingwu&quot;,&quot;parse-names&quot;:false,&quot;dropping-particle&quot;:&quot;&quot;,&quot;non-dropping-particle&quot;:&quot;&quot;},{&quot;family&quot;:&quot;Tao&quot;,&quot;given&quot;:&quot;Xiao&quot;,&quot;parse-names&quot;:false,&quot;dropping-particle&quot;:&quot;&quot;,&quot;non-dropping-particle&quot;:&quot;&quot;},{&quot;family&quot;:&quot;Shen&quot;,&quot;given&quot;:&quot;Baohe&quot;,&quot;parse-names&quot;:false,&quot;dropping-particle&quot;:&quot;&quot;,&quot;non-dropping-particle&quot;:&quot;&quot;},{&quot;family&quot;:&quot;Horng&quot;,&quot;given&quot;:&quot;Tiffany&quot;,&quot;parse-names&quot;:false,&quot;dropping-particle&quot;:&quot;&quot;,&quot;non-dropping-particle&quot;:&quot;&quot;},{&quot;family&quot;:&quot;Medzhitov&quot;,&quot;given&quot;:&quot;Ruslan&quot;,&quot;parse-names&quot;:false,&quot;dropping-particle&quot;:&quot;&quot;,&quot;non-dropping-particle&quot;:&quot;&quot;},{&quot;family&quot;:&quot;Manley&quot;,&quot;given&quot;:&quot;James L.&quot;,&quot;parse-names&quot;:false,&quot;dropping-particle&quot;:&quot;&quot;,&quot;non-dropping-particle&quot;:&quot;&quot;},{&quot;family&quot;:&quot;Tong&quot;,&quot;given&quot;:&quot;Liang&quot;,&quot;parse-names&quot;:false,&quot;dropping-particle&quot;:&quot;&quot;,&quot;non-dropping-particle&quot;:&quot;&quot;}],&quot;container-title&quot;:&quot;Nature&quot;,&quot;accessed&quot;:{&quot;date-parts&quot;:[[2021,1,26]]},&quot;DOI&quot;:&quot;10.1038/35040600&quot;,&quot;ISSN&quot;:&quot;00280836&quot;,&quot;PMID&quot;:&quot;11081518&quot;,&quot;URL&quot;:&quot;https://www.nature.com/articles/35040600&quot;,&quot;issued&quot;:{&quot;date-parts&quot;:[[2000,11,2]]},&quot;page&quot;:&quot;111-115&quot;,&quot;abstract&quot;:&quot;Toll-like receptors (TLRs) and the interleukin-1 receptor super-family (IL-1Rs) are integral to both innate and adaptive immunity for host defence. These receptors share a conserved cytoplasmic domain, known as the TIR domain. A single-point mutation in the TIR domain of murine TLR4 (Pro712His, the Lps(d) mutation) abolishes the host immune response to lipopolysaccharide (LPS), and mutation of the equivalent residue in TLR2, Pro681His, disrupts signal transduction in response to stimulation by yeast and Gram-positive bacteria. Here we report the crystal structures of the TIR domains of human TLR1 and TLR2 and of the Pro681His mutant of TLR2. The structures have a large conserved surface patch that also contains the site of the Lps(d) mutation. Mutagenesis and functional studies confirm that residues in this surface patch are crucial for receptor signalling. The Lps(d) mutation does not disturb the structure of the TIR domain itself. Instead, structural and functional studies indicate that the conserved surface patch may mediate interactions with the down-stream MyD88 adapter molecule, and that the Lps(d) mutation may abolish receptor signalling by disrupting this recruitment.&quot;,&quot;publisher&quot;:&quot;Nature Publishing Group&quot;,&quot;issue&quot;:&quot;6808&quot;,&quot;volume&quot;:&quot;408&quot;},&quot;isTemporary&quot;:false}],&quot;properties&quot;:{&quot;noteIndex&quot;:0},&quot;isEdited&quot;:false,&quot;manualOverride&quot;:{&quot;isManuallyOverriden&quot;:false,&quot;citeprocText&quot;:&quot;(Xu &lt;i&gt;et al.&lt;/i&gt;, 2000)&quot;,&quot;manualOverrideText&quot;:&quot;&quot;},&quot;citationTag&quot;:&quot;MENDELEY_CITATION_v3_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&quot;},{&quot;citationID&quot;:&quot;MENDELEY_CITATION_fed0ba20-9078-46de-9c23-a88333ac5d28&quot;,&quot;citationItems&quot;:[{&quot;id&quot;:&quot;fba0e2bf-3c6b-3538-b29c-fcb77d5ca290&quot;,&quot;itemData&quot;:{&quot;type&quot;:&quot;article-journal&quot;,&quot;id&quot;:&quot;fba0e2bf-3c6b-3538-b29c-fcb77d5ca290&quot;,&quot;title&quot;:&quot;Identification of two major sites in the type I interleukin-1 receptor cytoplasmic region responsible for coupling to pro-inflammatory signaling pathways&quot;,&quot;author&quot;:[{&quot;family&quot;:&quot;Slack&quot;,&quot;given&quot;:&quot;Jennifer L.&quot;,&quot;parse-names&quot;:false,&quot;dropping-particle&quot;:&quot;&quot;,&quot;non-dropping-particle&quot;:&quot;&quot;},{&quot;family&quot;:&quot;Schooley&quot;,&quot;given&quot;:&quot;K.&quot;,&quot;parse-names&quot;:false,&quot;dropping-particle&quot;:&quot;&quot;,&quot;non-dropping-particle&quot;:&quot;&quot;},{&quot;family&quot;:&quot;Bonnert&quot;,&quot;given&quot;:&quot;Timothy P.&quot;,&quot;parse-names&quot;:false,&quot;dropping-particle&quot;:&quot;&quot;,&quot;non-dropping-particle&quot;:&quot;&quot;},{&quot;family&quot;:&quot;Mitcham&quot;,&quot;given&quot;:&quot;Jennifer L.&quot;,&quot;parse-names&quot;:false,&quot;dropping-particle&quot;:&quot;&quot;,&quot;non-dropping-particle&quot;:&quot;&quot;},{&quot;family&quot;:&quot;Qwarnstrom&quot;,&quot;given&quot;:&quot;Eva E.&quot;,&quot;parse-names&quot;:false,&quot;dropping-particle&quot;:&quot;&quot;,&quot;non-dropping-particle&quot;:&quot;&quot;},{&quot;family&quot;:&quot;Sims&quot;,&quot;given&quot;:&quot;John E.&quot;,&quot;parse-names&quot;:false,&quot;dropping-particle&quot;:&quot;&quot;,&quot;non-dropping-particle&quot;:&quot;&quot;},{&quot;family&quot;:&quot;Dower&quot;,&quot;given&quot;:&quot;Steven K.&quot;,&quot;parse-names&quot;:false,&quot;dropping-particle&quot;:&quot;&quot;,&quot;non-dropping-particle&quot;:&quot;&quot;}],&quot;container-title&quot;:&quot;Journal of Biological Chemistry&quot;,&quot;accessed&quot;:{&quot;date-parts&quot;:[[2021,1,26]]},&quot;DOI&quot;:&quot;10.1074/jbc.275.7.4670&quot;,&quot;ISSN&quot;:&quot;00219258&quot;,&quot;PMID&quot;:&quot;10671496&quot;,&quot;issued&quot;:{&quot;date-parts&quot;:[[2000,2,18]]},&quot;page&quot;:&quot;4670-4678&quot;,&quot;abstract&quot;:&quot;Type I interleukin-1 receptor is the prototype for a family of proteins, which play a central role in early responses to injury and infection. The similarity of function across the family is reflected in similarity in signaling: all members tested couple to activation of NFκB and stress kinases. The coupling to these pathways is mediated by a 200-residue intracellular domain (the Toll/interleukin-1 receptor domain), in which sequence conservation is primarily confined to three short motifs (boxes 1, 2, and 3) located at amino acid residue positions 10 (box 1), 60 (box 2), and 170 (box 3). We have analyzed the contribution of these motifs to function by alanine scanning mutagenesis of the human interleukin-1 receptor type I. Mutant receptors were tested for expression, ligand binding, activation of receptor-associated kinase(s), NFκB, stress kinases, and transcription. Mutations in all three motifs led to low cell surface expression. Mutants in box 3 were, however, wild type for signaling, whereas mutants in boxes 1 and 2 were defective. We conclude that the conserved motifs box 1 and box 2 mediate the coupling of molecules in the family to inflammation signaling pathways.&quot;,&quot;publisher&quot;:&quot;Elsevier&quot;,&quot;issue&quot;:&quot;7&quot;,&quot;volume&quot;:&quot;275&quot;},&quot;isTemporary&quot;:false}],&quot;properties&quot;:{&quot;noteIndex&quot;:0},&quot;isEdited&quot;:false,&quot;manualOverride&quot;:{&quot;isManuallyOverriden&quot;:false,&quot;citeprocText&quot;:&quot;(Slack &lt;i&gt;et al.&lt;/i&gt;, 2000)&quot;,&quot;manualOverrideText&quot;:&quot;&quot;},&quot;citationTag&quot;:&quot;MENDELEY_CITATION_v3_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&quot;},{&quot;citationID&quot;:&quot;MENDELEY_CITATION_200dc075-5d4d-4308-a0d7-d560b5a2190b&quot;,&quot;citationItems&quot;:[{&quot;id&quot;:&quot;6838633a-aced-3967-a0ff-29bad345869d&quot;,&quot;itemData&quot;:{&quot;type&quot;:&quot;article&quot;,&quot;id&quot;:&quot;6838633a-aced-3967-a0ff-29bad345869d&quot;,&quot;title&quot;:&quot;Accessory molecules for Toll-like receptors and their function&quot;,&quot;author&quot;:[{&quot;family&quot;:&quot;Lee&quot;,&quot;given&quot;:&quot;Clarissa C.&quot;,&quot;parse-names&quot;:false,&quot;dropping-particle&quot;:&quot;&quot;,&quot;non-dropping-particle&quot;:&quot;&quot;},{&quot;family&quot;:&quot;Avalos&quot;,&quot;given&quot;:&quot;Ana M.&quot;,&quot;parse-names&quot;:false,&quot;dropping-particle&quot;:&quot;&quot;,&quot;non-dropping-particle&quot;:&quot;&quot;},{&quot;family&quot;:&quot;Ploegh&quot;,&quot;given&quot;:&quot;Hidde L.&quot;,&quot;parse-names&quot;:false,&quot;dropping-particle&quot;:&quot;&quot;,&quot;non-dropping-particle&quot;:&quot;&quot;}],&quot;container-title&quot;:&quot;Nature Reviews Immunology&quot;,&quot;accessed&quot;:{&quot;date-parts&quot;:[[2021,1,26]]},&quot;DOI&quot;:&quot;10.1038/nri3151&quot;,&quot;ISSN&quot;:&quot;14741733&quot;,&quot;PMID&quot;:&quot;22301850&quot;,&quot;URL&quot;:&quot;https://www.nature.com/articles/nri3151&quot;,&quot;issued&quot;:{&quot;date-parts&quot;:[[2012,3,3]]},&quot;page&quot;:&quot;168-179&quot;,&quot;abstract&quot;:&quot;Toll-like receptors (TLRs) are essential components of the innate immune system. Accessory proteins are required for the biosynthesis and activation of TLRs. Here, we summarize recent findings on TLR accessory proteins that are required for cell-surface and endosomal TLR function, and we classify these proteins based on their function as ligand-recognition and delivery cofactors, chaperones and trafficking proteins. Because of their essential roles in TLR function, targeting of such accessory proteins may benefit strategies aimed at manipulating TLR activation for therapeutic applications. © 2012 Macmillan Publishers Limited. All rights reserved.&quot;,&quot;publisher&quot;:&quot;Nature Publishing Group&quot;,&quot;issue&quot;:&quot;3&quot;,&quot;volume&quot;:&quot;12&quot;},&quot;isTemporary&quot;:false}],&quot;properties&quot;:{&quot;noteIndex&quot;:0},&quot;isEdited&quot;:false,&quot;manualOverride&quot;:{&quot;isManuallyOverriden&quot;:false,&quot;citeprocText&quot;:&quot;(Lee, Avalos and Ploegh, 2012)&quot;,&quot;manualOverrideText&quot;:&quot;&quot;},&quot;citationTag&quot;:&quot;MENDELEY_CITATION_v3_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&quot;},{&quot;citationID&quot;:&quot;MENDELEY_CITATION_83a003fc-2ad2-46d4-9833-36120e766407&quot;,&quot;citationItems&quot;:[{&quot;id&quot;:&quot;0ce2d165-19cf-370f-a8f1-64c1a05d1fe9&quot;,&quot;itemData&quot;:{&quot;type&quot;:&quot;article&quot;,&quot;id&quot;:&quot;0ce2d165-19cf-370f-a8f1-64c1a05d1fe9&quot;,&quot;title&quot;:&quot;Application of hybrid LRR technique to protein crystallization&quot;,&quot;author&quot;:[{&quot;family&quot;:&quot;Mi&quot;,&quot;given&quot;:&quot;Sun Jin&quot;,&quot;parse-names&quot;:false,&quot;dropping-particle&quot;:&quot;&quot;,&quot;non-dropping-particle&quot;:&quot;&quot;},{&quot;family&quot;:&quot;Lee&quot;,&quot;given&quot;:&quot;Jie Oh&quot;,&quot;parse-names&quot;:false,&quot;dropping-particle&quot;:&quot;&quot;,&quot;non-dropping-particle&quot;:&quot;&quot;}],&quot;container-title&quot;:&quot;Journal of Biochemistry and Molecular Biology&quot;,&quot;accessed&quot;:{&quot;date-parts&quot;:[[2021,1,26]]},&quot;DOI&quot;:&quot;10.5483/bmbrep.2008.41.5.353&quot;,&quot;ISSN&quot;:&quot;12258687&quot;,&quot;PMID&quot;:&quot;18510864&quot;,&quot;URL&quot;:&quot;http://bmbreports.org&quot;,&quot;issued&quot;:{&quot;date-parts&quot;:[[2008,5]]},&quot;page&quot;:&quot;353-357&quot;,&quot;abstract&quot;:&quot;LRR family proteins play important roles in a variety of physiological processes. To facilitate their production and crystallization, we have invented a novel method termed \&quot;Hybrid LRR Technique\&quot;. Using this technique, the first crystal structures of three TLR family proteins could be determined. In this review, design principles and application of the technique to protein crystallization will be summarized. For crystallization of TLRs, hagfish VLR receptors were chosen as the fusion partners and the TLR and the VLR fragments were fused at the conserved LxxLxLxxN motif to minimize local structural incompatibility. TLR-VLR hybridization did not disturb structures and functions of the target TLR proteins. The Hybrid LRR Technique is a general technique that can be applied to structural studies of other LRR proteins. It may also have broader application in biochemical and medical application of LRR proteins by modifying them without compromising their structural integrity.&quot;,&quot;publisher&quot;:&quot;Korean Society for Biochemistry and Molecular Biology&quot;,&quot;issue&quot;:&quot;5&quot;,&quot;volume&quot;:&quot;41&quot;},&quot;isTemporary&quot;:false}],&quot;properties&quot;:{&quot;noteIndex&quot;:0},&quot;isEdited&quot;:false,&quot;manualOverride&quot;:{&quot;isManuallyOverriden&quot;:false,&quot;citeprocText&quot;:&quot;(Mi and Lee, 2008)&quot;,&quot;manualOverrideText&quot;:&quot;&quot;},&quot;citationTag&quot;:&quot;MENDELEY_CITATION_v3_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&quot;},{&quot;citationID&quot;:&quot;MENDELEY_CITATION_9ec41cab-9145-41bf-a90d-1a6ef318424b&quot;,&quot;citationItems&quot;:[{&quot;id&quot;:&quot;d19ed07f-53b7-3787-8b83-ecda27806700&quot;,&quot;itemData&quot;:{&quot;type&quot;:&quot;article&quot;,&quot;id&quot;:&quot;d19ed07f-53b7-3787-8b83-ecda27806700&quot;,&quot;title&quot;:&quot;The history of Toll-like receptors-redefining innate immunity&quot;,&quot;author&quot;:[{&quot;family&quot;:&quot;O'Neill&quot;,&quot;given&quot;:&quot;Luke A.J.&quot;,&quot;parse-names&quot;:false,&quot;dropping-particle&quot;:&quot;&quot;,&quot;non-dropping-particle&quot;:&quot;&quot;},{&quot;family&quot;:&quot;Golenbock&quot;,&quot;given&quot;:&quot;Douglas&quot;,&quot;parse-names&quot;:false,&quot;dropping-particle&quot;:&quot;&quot;,&quot;non-dropping-particle&quot;:&quot;&quot;},{&quot;family&quot;:&quot;Bowie&quot;,&quot;given&quot;:&quot;Andrew G.&quot;,&quot;parse-names&quot;:false,&quot;dropping-particle&quot;:&quot;&quot;,&quot;non-dropping-particle&quot;:&quot;&quot;}],&quot;container-title&quot;:&quot;Nature Reviews Immunology&quot;,&quot;accessed&quot;:{&quot;date-parts&quot;:[[2021,1,26]]},&quot;DOI&quot;:&quot;10.1038/nri3446&quot;,&quot;ISSN&quot;:&quot;14741733&quot;,&quot;PMID&quot;:&quot;23681101&quot;,&quot;URL&quot;:&quot;https://www.nature.com/articles/nri3446&quot;,&quot;issued&quot;:{&quot;date-parts&quot;:[[2013,6,17]]},&quot;page&quot;:&quot;453-460&quot;,&quot;abstract&quot;:&quot;The discovery of Toll-like receptors (TLRs) was an important event for immunology research and was recognized as such with the awarding of the 2011 Nobel Prize in Physiology or Medicine to Jules Hoffmann and Bruce Beutler, who, together with Ralph Steinman, the third winner of the 2011 Nobel Prize and the person who discovered the dendritic cell, were pioneers in the field of innate immunity. TLRs have a central role in immunity-in this Timeline article, we describe the landmark findings that gave rise to this important field of research. © 2013 Macmillan Publishers Limited. All rights reserved.&quot;,&quot;publisher&quot;:&quot;Nature Publishing Group&quot;,&quot;issue&quot;:&quot;6&quot;,&quot;volume&quot;:&quot;13&quot;},&quot;isTemporary&quot;:false}],&quot;properties&quot;:{&quot;noteIndex&quot;:0},&quot;isEdited&quot;:false,&quot;manualOverride&quot;:{&quot;isManuallyOverriden&quot;:false,&quot;citeprocText&quot;:&quot;(O’Neill, Golenbock and Bowie, 2013)&quot;,&quot;manualOverrideText&quot;:&quot;&quot;},&quot;citationTag&quot;:&quot;MENDELEY_CITATION_v3_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&quot;},{&quot;citationID&quot;:&quot;MENDELEY_CITATION_59c06102-1ca9-43e6-892a-19c657249516&quot;,&quot;citationItems&quot;:[{&quot;id&quot;:&quot;d19ed07f-53b7-3787-8b83-ecda27806700&quot;,&quot;itemData&quot;:{&quot;type&quot;:&quot;article&quot;,&quot;id&quot;:&quot;d19ed07f-53b7-3787-8b83-ecda27806700&quot;,&quot;title&quot;:&quot;The history of Toll-like receptors-redefining innate immunity&quot;,&quot;author&quot;:[{&quot;family&quot;:&quot;O'Neill&quot;,&quot;given&quot;:&quot;Luke A.J.&quot;,&quot;parse-names&quot;:false,&quot;dropping-particle&quot;:&quot;&quot;,&quot;non-dropping-particle&quot;:&quot;&quot;},{&quot;family&quot;:&quot;Golenbock&quot;,&quot;given&quot;:&quot;Douglas&quot;,&quot;parse-names&quot;:false,&quot;dropping-particle&quot;:&quot;&quot;,&quot;non-dropping-particle&quot;:&quot;&quot;},{&quot;family&quot;:&quot;Bowie&quot;,&quot;given&quot;:&quot;Andrew G.&quot;,&quot;parse-names&quot;:false,&quot;dropping-particle&quot;:&quot;&quot;,&quot;non-dropping-particle&quot;:&quot;&quot;}],&quot;container-title&quot;:&quot;Nature Reviews Immunology&quot;,&quot;accessed&quot;:{&quot;date-parts&quot;:[[2021,1,26]]},&quot;DOI&quot;:&quot;10.1038/nri3446&quot;,&quot;ISSN&quot;:&quot;14741733&quot;,&quot;PMID&quot;:&quot;23681101&quot;,&quot;URL&quot;:&quot;https://www.nature.com/articles/nri3446&quot;,&quot;issued&quot;:{&quot;date-parts&quot;:[[2013,6,17]]},&quot;page&quot;:&quot;453-460&quot;,&quot;abstract&quot;:&quot;The discovery of Toll-like receptors (TLRs) was an important event for immunology research and was recognized as such with the awarding of the 2011 Nobel Prize in Physiology or Medicine to Jules Hoffmann and Bruce Beutler, who, together with Ralph Steinman, the third winner of the 2011 Nobel Prize and the person who discovered the dendritic cell, were pioneers in the field of innate immunity. TLRs have a central role in immunity-in this Timeline article, we describe the landmark findings that gave rise to this important field of research. © 2013 Macmillan Publishers Limited. All rights reserved.&quot;,&quot;publisher&quot;:&quot;Nature Publishing Group&quot;,&quot;issue&quot;:&quot;6&quot;,&quot;volume&quot;:&quot;13&quot;},&quot;isTemporary&quot;:false}],&quot;properties&quot;:{&quot;noteIndex&quot;:0},&quot;isEdited&quot;:false,&quot;manualOverride&quot;:{&quot;isManuallyOverriden&quot;:false,&quot;citeprocText&quot;:&quot;(O’Neill, Golenbock and Bowie, 2013)&quot;,&quot;manualOverrideText&quot;:&quot;&quot;},&quot;citationTag&quot;:&quot;MENDELEY_CITATION_v3_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&quot;},{&quot;citationID&quot;:&quot;MENDELEY_CITATION_a5544c67-bf8a-4c4b-9870-46e5970dfda7&quot;,&quot;citationItems&quot;:[{&quot;id&quot;:&quot;13122c61-a2e6-33a4-831e-207280363dc2&quot;,&quot;itemData&quot;:{&quot;type&quot;:&quot;article-journal&quot;,&quot;id&quot;:&quot;13122c61-a2e6-33a4-831e-207280363dc2&quot;,&quot;title&quot;:&quot;Human TLR10 is an anti-inflammatory pattern-recognition receptor&quot;,&quot;author&quot;:[{&quot;family&quot;:&quot;Oosting&quot;,&quot;given&quot;:&quot;Marije&quot;,&quot;parse-names&quot;:false,&quot;dropping-particle&quot;:&quot;&quot;,&quot;non-dropping-particle&quot;:&quot;&quot;},{&quot;family&quot;:&quot;Cheng&quot;,&quot;given&quot;:&quot;Shih Chin&quot;,&quot;parse-names&quot;:false,&quot;dropping-particle&quot;:&quot;&quot;,&quot;non-dropping-particle&quot;:&quot;&quot;},{&quot;family&quot;:&quot;Bolscher&quot;,&quot;given&quot;:&quot;Judith M.&quot;,&quot;parse-names&quot;:false,&quot;dropping-particle&quot;:&quot;&quot;,&quot;non-dropping-particle&quot;:&quot;&quot;},{&quot;family&quot;:&quot;Vestering-Stenger&quot;,&quot;given&quot;:&quot;Rachel&quot;,&quot;parse-names&quot;:false,&quot;dropping-particle&quot;:&quot;&quot;,&quot;non-dropping-particle&quot;:&quot;&quot;},{&quot;family&quot;:&quot;Plantinga&quot;,&quot;given&quot;:&quot;Theo S.&quot;,&quot;parse-names&quot;:false,&quot;dropping-particle&quot;:&quot;&quot;,&quot;non-dropping-particle&quot;:&quot;&quot;},{&quot;family&quot;:&quot;Verschueren&quot;,&quot;given&quot;:&quot;Ineke C.&quot;,&quot;parse-names&quot;:false,&quot;dropping-particle&quot;:&quot;&quot;,&quot;non-dropping-particle&quot;:&quot;&quot;},{&quot;family&quot;:&quot;Arts&quot;,&quot;given&quot;:&quot;Peer&quot;,&quot;parse-names&quot;:false,&quot;dropping-particle&quot;:&quot;&quot;,&quot;non-dropping-particle&quot;:&quot;&quot;},{&quot;family&quot;:&quot;Garritsen&quot;,&quot;given&quot;:&quot;Anja&quot;,&quot;parse-names&quot;:false,&quot;dropping-particle&quot;:&quot;&quot;,&quot;non-dropping-particle&quot;:&quot;&quot;},{&quot;family&quot;:&quot;Eenennaam&quot;,&quot;given&quot;:&quot;Hans&quot;,&quot;parse-names&quot;:false,&quot;dropping-particle&quot;:&quot;&quot;,&quot;non-dropping-particle&quot;:&quot;van&quot;},{&quot;family&quot;:&quot;Sturm&quot;,&quot;given&quot;:&quot;Patrick&quot;,&quot;parse-names&quot;:false,&quot;dropping-particle&quot;:&quot;&quot;,&quot;non-dropping-particle&quot;:&quot;&quot;},{&quot;family&quot;:&quot;Kullberg&quot;,&quot;given&quot;:&quot;Bart Jan&quot;,&quot;parse-names&quot;:false,&quot;dropping-particle&quot;:&quot;&quot;,&quot;non-dropping-particle&quot;:&quot;&quot;},{&quot;family&quot;:&quot;Hoischen&quot;,&quot;given&quot;:&quot;Alexander&quot;,&quot;parse-names&quot;:false,&quot;dropping-particle&quot;:&quot;&quot;,&quot;non-dropping-particle&quot;:&quot;&quot;},{&quot;family&quot;:&quot;Adema&quot;,&quot;given&quot;:&quot;Gosse J.&quot;,&quot;parse-names&quot;:false,&quot;dropping-particle&quot;:&quot;&quot;,&quot;non-dropping-particle&quot;:&quot;&quot;},{&quot;family&quot;:&quot;Meer&quot;,&quot;given&quot;:&quot;Jos W.M.&quot;,&quot;parse-names&quot;:false,&quot;dropping-particle&quot;:&quot;&quot;,&quot;non-dropping-particle&quot;:&quot;van der&quot;},{&quot;family&quot;:&quot;Netea&quot;,&quot;given&quot;:&quot;Mihai G.&quot;,&quot;parse-names&quot;:false,&quot;dropping-particle&quot;:&quot;&quot;,&quot;non-dropping-particle&quot;:&quot;&quot;},{&quot;family&quot;:&quot;Joosten&quot;,&quot;given&quot;:&quot;Leo A.B.&quot;,&quot;parse-names&quot;:false,&quot;dropping-particle&quot;:&quot;&quot;,&quot;non-dropping-particle&quot;:&quot;&quot;}],&quot;container-title&quot;:&quot;Proceedings of the National Academy of Sciences of the United States of America&quot;,&quot;accessed&quot;:{&quot;date-parts&quot;:[[2021,1,26]]},&quot;DOI&quot;:&quot;10.1073/pnas.1410293111&quot;,&quot;ISSN&quot;:&quot;10916490&quot;,&quot;PMID&quot;:&quot;25288745&quot;,&quot;URL&quot;:&quot;www.pnas.org/cgi/doi/10.1073/pnas.1410293111&quot;,&quot;issued&quot;:{&quot;date-parts&quot;:[[2014,10,21]]},&quot;page&quot;:&quot;E4478-E4484&quot;,&quot;abstract&quot;:&quot;Toll-like receptor (TLR)10 is the only pattern-recognition receptor without known ligand specificity and biological function. We demonstrate that TLR10 is a modulatory receptor with mainly inhibitory effects. Blocking TLR10 by antagonistic antibodies enhanced proinflammatory cytokine production, including IL-1β, specifically after exposure to TLR2 ligands. Blocking TLR10 after stimulation of peripheral blood mononuclear cells with pam3CSK4 (Pam3Cys) led to production of 2,065 ± 106 pg/mL IL-1β (mean ± SEM) in comparison with 1,043 ± 51 pg/mL IL-1β after addition of nonspecific IgG antibodies. Several mechanisms mediate the modulatory effects of TLR10: on the one hand, cotransfection in human cell lines showed that TLR10 acts as an inhibitory receptor when forming heterodimers with TLR2; on the other hand, cross-linking experiments showed specific induction of the anti-inflammatory cytokine IL-1 receptor antagonist (IL-1Ra, 16 ± 1.7 ng/mL, mean ± SEM). After cross-linking anti-TLR10 antibody, no production of IL-1β and other proinflammatory cytokines could be found. Furthermore, individuals bearing TLR10 polymorphisms displayed an increased capacity to produce IL-1β, TNF-α, and IL-6 upon ligation of TLR2, in a gene-dose-dependent manner. The modulatory effects of TLR10 are complex, involving at least several mechanisms: there is competition for ligands or for the formation of heterodimer receptors with TLR2, as well as PI3K/Akt-mediated induction of the anti-inflammatory cytokine IL-1Ra. Finally, transgenic mice expressing human TLR10 produced fewer cytokines when challenged with a TLR2 agonist. In conclusion, to our knowledge we demonstrate for the first time that TLR10 is a modulatory pattern-recognition receptor with mainly inhibitory properties.&quot;,&quot;publisher&quot;:&quot;National Academy of Sciences&quot;,&quot;issue&quot;:&quot;42&quot;,&quot;volume&quot;:&quot;111&quot;},&quot;isTemporary&quot;:false},{&quot;id&quot;:&quot;9221208f-5b83-31b7-b75f-bbb11e389525&quot;,&quot;itemData&quot;:{&quot;type&quot;:&quot;article-journal&quot;,&quot;id&quot;:&quot;9221208f-5b83-31b7-b75f-bbb11e389525&quot;,&quot;title&quot;:&quot;TLR10 Is a Negative Regulator of Both MyD88-Dependent and -Independent TLR Signaling&quot;,&quot;author&quot;:[{&quot;family&quot;:&quot;Jiang&quot;,&quot;given&quot;:&quot;Song&quot;,&quot;parse-names&quot;:false,&quot;dropping-particle&quot;:&quot;&quot;,&quot;non-dropping-particle&quot;:&quot;&quot;},{&quot;family&quot;:&quot;Li&quot;,&quot;given&quot;:&quot;Xinyan&quot;,&quot;parse-names&quot;:false,&quot;dropping-particle&quot;:&quot;&quot;,&quot;non-dropping-particle&quot;:&quot;&quot;},{&quot;family&quot;:&quot;Hess&quot;,&quot;given&quot;:&quot;Nicholas J.&quot;,&quot;parse-names&quot;:false,&quot;dropping-particle&quot;:&quot;&quot;,&quot;non-dropping-particle&quot;:&quot;&quot;},{&quot;family&quot;:&quot;Guan&quot;,&quot;given&quot;:&quot;Yue&quot;,&quot;parse-names&quot;:false,&quot;dropping-particle&quot;:&quot;&quot;,&quot;non-dropping-particle&quot;:&quot;&quot;},{&quot;family&quot;:&quot;Tapping&quot;,&quot;given&quot;:&quot;Richard I.&quot;,&quot;parse-names&quot;:false,&quot;dropping-particle&quot;:&quot;&quot;,&quot;non-dropping-particle&quot;:&quot;&quot;}],&quot;container-title&quot;:&quot;The Journal of Immunology&quot;,&quot;accessed&quot;:{&quot;date-parts&quot;:[[2021,1,26]]},&quot;DOI&quot;:&quot;10.4049/jimmunol.1502599&quot;,&quot;ISSN&quot;:&quot;0022-1767&quot;,&quot;PMID&quot;:&quot;27022193&quot;,&quot;URL&quot;:&quot;http://www.jimmunol.org/content/196/9/3834&quot;,&quot;issued&quot;:{&quot;date-parts&quot;:[[2016,5,1]]},&quot;page&quot;:&quot;3834-3841&quot;,&quot;abstract&quot;:&quot;©.2016 by The American Association of Immunologists, Inc. TLRs are central components of the innate immune system which, upon recognition of bacterial, fungal or viral components, activate intracellular signals that lead to protective inflammatory responses. Among the 10-member human TLR family, TLR10 is the only remaining orphan receptor without a known ligand or signaling function. Murine TLR10 is a disrupted pseudogene, which precludes investigation using classic gene knockout approaches.We report here that TLR10 suppressed the production of an array of cytokines in stably transfected human myelomonocytic U937 cells in response to other TLR agonists. This broad TLR suppressive activity affects both MyD88-and TRIF-inducing IFN-b-mediated signaling pathways upstream of IkB and MAPK activation. Compared with nontransgenic littermate controls, monocytes of TLR10 transgenic mice exhibited blunted IL-6 production following ex vivo blood stimulation with other TLR agonists. After i.p. injection of LPS, lower levels of TNFa, IL-6, and type 1 IFN were measured in the serum of TLR10 transgenic mice compared to nontransgenic mice, but did not affect mouse survival in an LPS-induced septic shock model. Finally, treatment of human mononuclear cells with a monoclonal anti-TLR10 Ab suppressed proinflammatory cytokines released by LPS stimulation. These results demonstrate that TLR10 functions as a broad negative regulator of TLR signaling and suggests that TLR10 has a role in controlling immune responses in vivo.&quot;,&quot;publisher&quot;:&quot;The American Association of Immunologists&quot;,&quot;issue&quot;:&quot;9&quot;,&quot;volume&quot;:&quot;196&quot;},&quot;isTemporary&quot;:false}],&quot;properties&quot;:{&quot;noteIndex&quot;:0},&quot;isEdited&quot;:false,&quot;manualOverride&quot;:{&quot;isManuallyOverriden&quot;:false,&quot;citeprocText&quot;:&quot;(Oosting &lt;i&gt;et al.&lt;/i&gt;, 2014; Jiang &lt;i&gt;et al.&lt;/i&gt;, 2016)&quot;,&quot;manualOverrideText&quot;:&quot;&quot;},&quot;citationTag&quot;:&quot;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&quot;},{&quot;citationID&quot;:&quot;MENDELEY_CITATION_1de7ac01-bb2c-4278-b648-1b3e5c7b8cb6&quot;,&quot;citationItems&quot;:[{&quot;id&quot;:&quot;469620b2-6f13-38ce-a5e0-76acae70603c&quot;,&quot;itemData&quot;:{&quot;type&quot;:&quot;article-journal&quot;,&quot;id&quot;:&quot;469620b2-6f13-38ce-a5e0-76acae70603c&quot;,&quot;title&quot;:&quot;CD36 ligands promote sterile inflammation through assembly of a Toll-like receptor 4 and 6 heterodimer&quot;,&quot;author&quot;:[{&quot;family&quot;:&quot;Stewart&quot;,&quot;given&quot;:&quot;Cameron R.&quot;,&quot;parse-names&quot;:false,&quot;dropping-particle&quot;:&quot;&quot;,&quot;non-dropping-particle&quot;:&quot;&quot;},{&quot;family&quot;:&quot;Stuart&quot;,&quot;given&quot;:&quot;Lynda M.&quot;,&quot;parse-names&quot;:false,&quot;dropping-particle&quot;:&quot;&quot;,&quot;non-dropping-particle&quot;:&quot;&quot;},{&quot;family&quot;:&quot;Wilkinson&quot;,&quot;given&quot;:&quot;Kim&quot;,&quot;parse-names&quot;:false,&quot;dropping-particle&quot;:&quot;&quot;,&quot;non-dropping-particle&quot;:&quot;&quot;},{&quot;family&quot;:&quot;Gils&quot;,&quot;given&quot;:&quot;Janine M.&quot;,&quot;parse-names&quot;:false,&quot;dropping-particle&quot;:&quot;&quot;,&quot;non-dropping-particle&quot;:&quot;van&quot;},{&quot;family&quot;:&quot;Deng&quot;,&quot;given&quot;:&quot;Jiusheng&quot;,&quot;parse-names&quot;:false,&quot;dropping-particle&quot;:&quot;&quot;,&quot;non-dropping-particle&quot;:&quot;&quot;},{&quot;family&quot;:&quot;Halle&quot;,&quot;given&quot;:&quot;Annett&quot;,&quot;parse-names&quot;:false,&quot;dropping-particle&quot;:&quot;&quot;,&quot;non-dropping-particle&quot;:&quot;&quot;},{&quot;family&quot;:&quot;Rayner&quot;,&quot;given&quot;:&quot;Katey J.&quot;,&quot;parse-names&quot;:false,&quot;dropping-particle&quot;:&quot;&quot;,&quot;non-dropping-particle&quot;:&quot;&quot;},{&quot;family&quot;:&quot;Boyer&quot;,&quot;given&quot;:&quot;Laurent&quot;,&quot;parse-names&quot;:false,&quot;dropping-particle&quot;:&quot;&quot;,&quot;non-dropping-particle&quot;:&quot;&quot;},{&quot;family&quot;:&quot;Zhong&quot;,&quot;given&quot;:&quot;Ruiqin&quot;,&quot;parse-names&quot;:false,&quot;dropping-particle&quot;:&quot;&quot;,&quot;non-dropping-particle&quot;:&quot;&quot;},{&quot;family&quot;:&quot;Frazier&quot;,&quot;given&quot;:&quot;William A.&quot;,&quot;parse-names&quot;:false,&quot;dropping-particle&quot;:&quot;&quot;,&quot;non-dropping-particle&quot;:&quot;&quot;},{&quot;family&quot;:&quot;Lacy-Hulbert&quot;,&quot;given&quot;:&quot;Adam&quot;,&quot;parse-names&quot;:false,&quot;dropping-particle&quot;:&quot;&quot;,&quot;non-dropping-particle&quot;:&quot;&quot;},{&quot;family&quot;:&quot;Khoury&quot;,&quot;given&quot;:&quot;Joseph&quot;,&quot;parse-names&quot;:false,&quot;dropping-particle&quot;:&quot;el&quot;,&quot;non-dropping-particle&quot;:&quot;&quot;},{&quot;family&quot;:&quot;Golenbock&quot;,&quot;given&quot;:&quot;Douglas T.&quot;,&quot;parse-names&quot;:false,&quot;dropping-particle&quot;:&quot;&quot;,&quot;non-dropping-particle&quot;:&quot;&quot;},{&quot;family&quot;:&quot;Moore&quot;,&quot;given&quot;:&quot;Kathryn J.&quot;,&quot;parse-names&quot;:false,&quot;dropping-particle&quot;:&quot;&quot;,&quot;non-dropping-particle&quot;:&quot;&quot;}],&quot;container-title&quot;:&quot;Nature Immunology&quot;,&quot;accessed&quot;:{&quot;date-parts&quot;:[[2021,1,26]]},&quot;DOI&quot;:&quot;10.1038/ni.1836&quot;,&quot;ISSN&quot;:&quot;15292908&quot;,&quot;PMID&quot;:&quot;20037584&quot;,&quot;URL&quot;:&quot;https://www.nature.com/articles/ni.1836&quot;,&quot;issued&quot;:{&quot;date-parts&quot;:[[2010,2,27]]},&quot;page&quot;:&quot;155-161&quot;,&quot;abstract&quot;:&quot;In atherosclerosis and Alzheimer's disease, deposition of the altered self components oxidized low-density lipoprotein (LDL) and amyloid-Β triggers a protracted sterile inflammatory response. Although chronic stimulation of the innate immune system is believed to underlie the pathology of these diseases, the molecular mechanisms of activation remain unclear. Here we show that oxidized LDL and amyloid-Β trigger inflammatory signaling through a heterodimer of Toll-like receptors 4 and 6. Assembly of this newly identified heterodimer is regulated by signals from the scavenger receptor CD36, a common receptor for these disparate ligands. Our results identify CD36-TLR4-TLR6 activation as a common molecular mechanism by which atherogenic lipids and amyloid-Β stimulate sterile inflammation and suggest a new model of TLR heterodimerization triggered by coreceptor signaling events. © 2010 Nature America, Inc. All rights reserved.&quot;,&quot;publisher&quot;:&quot;Nature Publishing Group&quot;,&quot;issue&quot;:&quot;2&quot;,&quot;volume&quot;:&quot;11&quot;},&quot;isTemporary&quot;:false}],&quot;properties&quot;:{&quot;noteIndex&quot;:0},&quot;isEdited&quot;:false,&quot;manualOverride&quot;:{&quot;isManuallyOverriden&quot;:false,&quot;citeprocText&quot;:&quot;(Stewart &lt;i&gt;et al.&lt;/i&gt;, 2010)&quot;,&quot;manualOverrideText&quot;:&quot;&quot;},&quot;citationTag&quot;:&quot;MENDELEY_CITATION_v3_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&quot;},{&quot;citationID&quot;:&quot;MENDELEY_CITATION_21f9406a-e1ce-4a3f-b404-c041312c5449&quot;,&quot;citationItems&quot;:[{&quot;id&quot;:&quot;4dd57c65-1669-3005-b96b-7f288fe5a549&quot;,&quot;itemData&quot;:{&quot;type&quot;:&quot;article-journal&quot;,&quot;id&quot;:&quot;4dd57c65-1669-3005-b96b-7f288fe5a549&quot;,&quot;title&quot;:&quot;Circulating CD36 and oxLDL levels are associated with cardiovascular risk factors in young subjects&quot;,&quot;author&quot;:[{&quot;family&quot;:&quot;Ramos-Arellano&quot;,&quot;given&quot;:&quot;Luz E.&quot;,&quot;parse-names&quot;:false,&quot;dropping-particle&quot;:&quot;&quot;,&quot;non-dropping-particle&quot;:&quot;&quot;},{&quot;family&quot;:&quot;Muñoz-Valle&quot;,&quot;given&quot;:&quot;José F.&quot;,&quot;parse-names&quot;:false,&quot;dropping-particle&quot;:&quot;&quot;,&quot;non-dropping-particle&quot;:&quot;&quot;},{&quot;family&quot;:&quot;la Cruz-Mosso&quot;,&quot;given&quot;:&quot;Ulises&quot;,&quot;parse-names&quot;:false,&quot;dropping-particle&quot;:&quot;&quot;,&quot;non-dropping-particle&quot;:&quot;de&quot;},{&quot;family&quot;:&quot;Salgado-Bernabé&quot;,&quot;given&quot;:&quot;Aralia B.&quot;,&quot;parse-names&quot;:false,&quot;dropping-particle&quot;:&quot;&quot;,&quot;non-dropping-particle&quot;:&quot;&quot;},{&quot;family&quot;:&quot;Castro-Alarcón&quot;,&quot;given&quot;:&quot;Natividad&quot;,&quot;parse-names&quot;:false,&quot;dropping-particle&quot;:&quot;&quot;,&quot;non-dropping-particle&quot;:&quot;&quot;},{&quot;family&quot;:&quot;Parra-Rojas&quot;,&quot;given&quot;:&quot;Isela&quot;,&quot;parse-names&quot;:false,&quot;dropping-particle&quot;:&quot;&quot;,&quot;non-dropping-particle&quot;:&quot;&quot;}],&quot;container-title&quot;:&quot;BMC Cardiovascular Disorders&quot;,&quot;accessed&quot;:{&quot;date-parts&quot;:[[2021,1,26]]},&quot;DOI&quot;:&quot;10.1186/1471-2261-14-54&quot;,&quot;ISSN&quot;:&quot;14712261&quot;,&quot;PMID&quot;:&quot;24766787&quot;,&quot;URL&quot;:&quot;https://link.springer.com/articles/10.1186/1471-2261-14-54&quot;,&quot;issued&quot;:{&quot;date-parts&quot;:[[2014,4,28]]},&quot;page&quot;:&quot;1-7&quot;,&quot;abstract&quot;:&quot;Background: Cardiovascular disease (CVD) results from a combination of abnormalities in lipoprotein metabolism, oxidative stress, chronic inflammation, and susceptibility to thrombosis. Atherosclerosis is the major cause of CVD. CD36 has been shown to play a critical role in the development of atherosclerotic lesions by its capacity to bind and promote endocytosis of oxidized low-density lipoprotein (oxLDL) and is implicated in the formation of foam cells. The purpose of this research was to evaluate whether there is an association of sCD36 and oxLDL levels with cardiovascular risk factors in young subjects.Methods: A total of 188 subjects, 18 to 25 years old, 133 normal-weight and 55 obese subjects from the state of Guerrero, Mexico were recruited in the study. The lipid profile and glucose levels were measured by enzymatic colorimetric assays. Enzyme-linked immunosorbant assays (ELISA) for oxLDL and sCD36 were performed. Statistical analyses of data were performed with Wilcoxon- Mann Whitney and chi-square tests as well as with multinomial regression.Results: TC, LDL-C, TG, oxLDL and sCD36 levels were higher in obese subjects than in normal-weight controls, as well as, monocyte and platelet counts (P &lt; 0.05). Obese subjects had 5.8 times higher risk of sCD36 in the third tertil (&gt;97.8 ng/mL) than normal-weight controls (P = 0.014), and 7.4 times higher risk of oxLDL levels in third tertile (&gt;48 U/L) than control group. The subjects with hypercholesterolemia, hypertriglyceridemia, fasting impaired LDL-C had a higher risk of oxLDL levels in the third tertile (&gt;48 U/L) than the control group (P &lt; 0.05).Conclusions: Circulating CD36 and oxLDL levels are associated with cardiovascular risk factors in young subjects and may be potential early markers for cardiovascular disease (CVD). © 2014 Ramos-Arellano et al.; licensee BioMed Central Ltd.&quot;,&quot;publisher&quot;:&quot;BioMed Central Ltd.&quot;,&quot;issue&quot;:&quot;1&quot;,&quot;volume&quot;:&quot;14&quot;},&quot;isTemporary&quot;:false}],&quot;properties&quot;:{&quot;noteIndex&quot;:0},&quot;isEdited&quot;:false,&quot;manualOverride&quot;:{&quot;isManuallyOverriden&quot;:false,&quot;citeprocText&quot;:&quot;(Ramos-Arellano &lt;i&gt;et al.&lt;/i&gt;, 2014)&quot;,&quot;manualOverrideText&quot;:&quot;&quot;},&quot;citationTag&quot;:&quot;MENDELEY_CITATION_v3_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&quot;},{&quot;citationID&quot;:&quot;MENDELEY_CITATION_696b8b5f-7f6a-4fb9-926b-4c0cf044f7ed&quot;,&quot;citationItems&quot;:[{&quot;id&quot;:&quot;20b5d470-7ba7-349c-b30c-97e137a4a365&quot;,&quot;itemData&quot;:{&quot;type&quot;:&quot;article-journal&quot;,&quot;id&quot;:&quot;20b5d470-7ba7-349c-b30c-97e137a4a365&quot;,&quot;title&quot;:&quot;The role of TLR2, TLR4 and CD36 in macrophage activation and foam cell formation in response to oxLDL in humans&quot;,&quot;author&quot;:[{&quot;family&quot;:&quot;Chávez-Sánchez&quot;,&quot;given&quot;:&quot;Luis&quot;,&quot;parse-names&quot;:false,&quot;dropping-particle&quot;:&quot;&quot;,&quot;non-dropping-particle&quot;:&quot;&quot;},{&quot;family&quot;:&quot;Garza-Reyes&quot;,&quot;given&quot;:&quot;Montserrat Guadalupe&quot;,&quot;parse-names&quot;:false,&quot;dropping-particle&quot;:&quot;&quot;,&quot;non-dropping-particle&quot;:&quot;&quot;},{&quot;family&quot;:&quot;Espinosa-Luna&quot;,&quot;given&quot;:&quot;José Esteban&quot;,&quot;parse-names&quot;:false,&quot;dropping-particle&quot;:&quot;&quot;,&quot;non-dropping-particle&quot;:&quot;&quot;},{&quot;family&quot;:&quot;Chávez-Rueda&quot;,&quot;given&quot;:&quot;Karina&quot;,&quot;parse-names&quot;:false,&quot;dropping-particle&quot;:&quot;&quot;,&quot;non-dropping-particle&quot;:&quot;&quot;},{&quot;family&quot;:&quot;Legorreta-Haquet&quot;,&quot;given&quot;:&quot;María Victoria&quot;,&quot;parse-names&quot;:false,&quot;dropping-particle&quot;:&quot;&quot;,&quot;non-dropping-particle&quot;:&quot;&quot;},{&quot;family&quot;:&quot;Blanco-Favela&quot;,&quot;given&quot;:&quot;Francisco&quot;,&quot;parse-names&quot;:false,&quot;dropping-particle&quot;:&quot;&quot;,&quot;non-dropping-particle&quot;:&quot;&quot;}],&quot;container-title&quot;:&quot;Human Immunology&quot;,&quot;accessed&quot;:{&quot;date-parts&quot;:[[2018,4,5]]},&quot;DOI&quot;:&quot;10.1016/J.HUMIMM.2014.01.012&quot;,&quot;ISSN&quot;:&quot;0198-8859&quot;,&quot;URL&quot;:&quot;https://www.sciencedirect.com/science/article/pii/S0198885914000202&quot;,&quot;issued&quot;:{&quot;date-parts&quot;:[[2014,4,1]]},&quot;page&quot;:&quot;322-329&quot;,&quot;abstract&quot;:&quot;Toll-like receptor (TLR)2, TLR4 and CD36 are central in inflammation and the development of atherosclerosis. Oxidized low-density lipoprotein (oxLDL) plays a critical role in this disease through its involvement in the formation of foam cells and the activation of leukocytes. The aim of this research was to analyze the role of TLR2, TLR4 and CD36 in foam cell differentiation and macrophage activation. \n\nMETHODS\nHuman macrophages were incubated with monoclonal antibodies specific for TLR2, TLR4 and CD36 prior to stimulation with oxLDL. Subsequently, we analyzed foam cell formation, cytokine secretion, histocompatibility complex (MHC) class II molecules and CD86 expression and T cell proliferation. \n\nRESULTS\nThe stimulation of macrophages with oxLDL induced foam cell formation, cytokine secretion, HLA-DR and CD86 expression and T cell proliferation. The blockage of TLR2, TLR4 and CD36 reduced the secretion of IL-1β, IL-6 and IL-8, the expression of HLA-DR and CD86, T cell proliferation and foam cell formation. However, the blockage of TLR2 did not affect the formation of foam cells. \n\nCONCLUSION\nOur study demonstrates that TLR2, TLR4 and CD36 participate in the immune response to oxLDL by inducing an increase in pro-inflammatory cytokines, the expression HLA-DR and CD86 and the proliferation of T cells. However, TLR2 does not participate in the formation of foam cells, while TLR4 and CD36 play a relevant role in this process. These findings suggest that the activation of these receptors by oxLDL contributes to the pathogenesis of atherosclerosis.&quot;,&quot;publisher&quot;:&quot;Elsevier&quot;,&quot;issue&quot;:&quot;4&quot;,&quot;volume&quot;:&quot;75&quot;},&quot;isTemporary&quot;:false}],&quot;properties&quot;:{&quot;noteIndex&quot;:0},&quot;isEdited&quot;:false,&quot;manualOverride&quot;:{&quot;isManuallyOverriden&quot;:false,&quot;citeprocText&quot;:&quot;(Chávez-Sánchez &lt;i&gt;et al.&lt;/i&gt;, 2014)&quot;,&quot;manualOverrideText&quot;:&quot;&quot;},&quot;citationTag&quot;:&quot;MENDELEY_CITATION_v3_eyJjaXRhdGlvbklEIjoiTUVOREVMRVlfQ0lUQVRJT05fNjk2YjhiNWYtN2Y2YS00ZmI5LTkyNmItNGMwY2YwNDRmN2Vk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V0sInByb3BlcnRpZXMiOnsibm90ZUluZGV4IjowfSwiaXNFZGl0ZWQiOmZhbHNlLCJtYW51YWxPdmVycmlkZSI6eyJpc01hbnVhbGx5T3ZlcnJpZGVuIjpmYWxzZSwiY2l0ZXByb2NUZXh0IjoiKENow6F2ZXotU8OhbmNoZXogPGk+ZXQgYWwuPC9pPiwgMjAxNCkiLCJtYW51YWxPdmVycmlkZVRleHQiOiIifX0=&quot;},{&quot;citationID&quot;:&quot;MENDELEY_CITATION_167e5529-ba07-4148-9d0e-334358d31b11&quot;,&quot;citationItems&quot;:[{&quot;id&quot;:&quot;d34d43cd-a902-3c90-b703-f0ab9404f08c&quot;,&quot;itemData&quot;:{&quot;type&quot;:&quot;article-journal&quot;,&quot;id&quot;:&quot;d34d43cd-a902-3c90-b703-f0ab9404f08c&quot;,&quot;title&quot;:&quot;Circulating mitochondrial DAMPs cause inflammatory responses to injury&quot;,&quot;author&quot;:[{&quot;family&quot;:&quot;Zhang&quot;,&quot;given&quot;:&quot;Qin&quot;,&quot;parse-names&quot;:false,&quot;dropping-particle&quot;:&quot;&quot;,&quot;non-dropping-particle&quot;:&quot;&quot;},{&quot;family&quot;:&quot;Raoof&quot;,&quot;given&quot;:&quot;Mustafa&quot;,&quot;parse-names&quot;:false,&quot;dropping-particle&quot;:&quot;&quot;,&quot;non-dropping-particle&quot;:&quot;&quot;},{&quot;family&quot;:&quot;Chen&quot;,&quot;given&quot;:&quot;Yu&quot;,&quot;parse-names&quot;:false,&quot;dropping-particle&quot;:&quot;&quot;,&quot;non-dropping-particle&quot;:&quot;&quot;},{&quot;family&quot;:&quot;Sumi&quot;,&quot;given&quot;:&quot;Yuka&quot;,&quot;parse-names&quot;:false,&quot;dropping-particle&quot;:&quot;&quot;,&quot;non-dropping-particle&quot;:&quot;&quot;},{&quot;family&quot;:&quot;Sursal&quot;,&quot;given&quot;:&quot;Tolga&quot;,&quot;parse-names&quot;:false,&quot;dropping-particle&quot;:&quot;&quot;,&quot;non-dropping-particle&quot;:&quot;&quot;},{&quot;family&quot;:&quot;Junger&quot;,&quot;given&quot;:&quot;Wolfgang&quot;,&quot;parse-names&quot;:false,&quot;dropping-particle&quot;:&quot;&quot;,&quot;non-dropping-particle&quot;:&quot;&quot;},{&quot;family&quot;:&quot;Brohi&quot;,&quot;given&quot;:&quot;Karim&quot;,&quot;parse-names&quot;:false,&quot;dropping-particle&quot;:&quot;&quot;,&quot;non-dropping-particle&quot;:&quot;&quot;},{&quot;family&quot;:&quot;Itagaki&quot;,&quot;given&quot;:&quot;Kiyoshi&quot;,&quot;parse-names&quot;:false,&quot;dropping-particle&quot;:&quot;&quot;,&quot;non-dropping-particle&quot;:&quot;&quot;},{&quot;family&quot;:&quot;Hauser&quot;,&quot;given&quot;:&quot;Carl J.&quot;,&quot;parse-names&quot;:false,&quot;dropping-particle&quot;:&quot;&quot;,&quot;non-dropping-particle&quot;:&quot;&quot;}],&quot;container-title&quot;:&quot;Nature&quot;,&quot;accessed&quot;:{&quot;date-parts&quot;:[[2021,1,26]]},&quot;DOI&quot;:&quot;10.1038/nature08780&quot;,&quot;ISSN&quot;:&quot;00280836&quot;,&quot;PMID&quot;:&quot;20203610&quot;,&quot;URL&quot;:&quot;https://www.nature.com/articles/nature08780&quot;,&quot;issued&quot;:{&quot;date-parts&quot;:[[2010]]},&quot;page&quot;:&quot;104-107&quot;,&quot;abstract&quot;:&quot;Injury causes a systemic inflammatory response syndrome (SIRS) that is clinically much like sepsis. Microbial pathogen-associated molecular patterns (PAMPs) activate innate immunocytes through pattern recognition receptors. Similarly, cellular injury can release endogenous damage -associated molecular patterns (DAMPs) that activate innate immunity. Mitochondria are evolutionary endosymbionts that were derived from bacteria and so might bear bacterial molecular motifs. Here we show that injury releases mitochondrial DAMPs (MTDs) into the circulation with functionally important immune consequences. MTDs include formyl peptides and mitochondrial DNA. These activate human polymorphonuclear neutrophils (PMNs) through formyl peptide receptor-1 and Toll-like receptor (TLR) 9, respectively. MTDs promote PMN Ca 2+ flux and phosphorylation of mitogen-activated protein (MAP) kinases, thus leading to PMN migration and degranulation in vitro and in vivo. Circulating MTDs can elicit neutrophil-mediated organ injury. Cellular disruption by trauma releases mitochondrial DAMPs with evolutionarily conserved similarities to bacterial PAMPs into the circulation. These signal through innate immune pathways identical to those activated in sepsis to create a sepsis-like state. The release of such mitochondrial ĝ€̃ enemies withinĝ€ ™ by cellular injury is a key link between trauma, inflammation and SIRS. © 2010 Macmillan Publishers Limited. All rights reserved.&quot;,&quot;publisher&quot;:&quot;Nature Publishing Group&quot;,&quot;issue&quot;:&quot;7285&quot;,&quot;volume&quot;:&quot;464&quot;},&quot;isTemporary&quot;:false}],&quot;properties&quot;:{&quot;noteIndex&quot;:0},&quot;isEdited&quot;:false,&quot;manualOverride&quot;:{&quot;isManuallyOverriden&quot;:false,&quot;citeprocText&quot;:&quot;(Zhang &lt;i&gt;et al.&lt;/i&gt;, 2010)&quot;,&quot;manualOverrideText&quot;:&quot;&quot;},&quot;citationTag&quot;:&quot;MENDELEY_CITATION_v3_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&quot;},{&quot;citationID&quot;:&quot;MENDELEY_CITATION_cac81ab2-d274-4cc8-abcb-78b5bcb110c6&quot;,&quot;citationItems&quot;:[{&quot;id&quot;:&quot;635da74f-6e6e-3419-b789-eb4c12a29e3c&quot;,&quot;itemData&quot;:{&quot;type&quot;:&quot;article-journal&quot;,&quot;id&quot;:&quot;635da74f-6e6e-3419-b789-eb4c12a29e3c&quot;,&quot;title&quot;:&quot;Oxidized Mitochondrial DNA Activates the NLRP3 Inflammasome during Apoptosis&quot;,&quot;author&quot;:[{&quot;family&quot;:&quot;Shimada&quot;,&quot;given&quot;:&quot;Kenichi&quot;,&quot;parse-names&quot;:false,&quot;dropping-particle&quot;:&quot;&quot;,&quot;non-dropping-particle&quot;:&quot;&quot;},{&quot;family&quot;:&quot;Crother&quot;,&quot;given&quot;:&quot;Timothy R.&quot;,&quot;parse-names&quot;:false,&quot;dropping-particle&quot;:&quot;&quot;,&quot;non-dropping-particle&quot;:&quot;&quot;},{&quot;family&quot;:&quot;Karlin&quot;,&quot;given&quot;:&quot;Justin&quot;,&quot;parse-names&quot;:false,&quot;dropping-particle&quot;:&quot;&quot;,&quot;non-dropping-particle&quot;:&quot;&quot;},{&quot;family&quot;:&quot;Dagvadorj&quot;,&quot;given&quot;:&quot;Jargalsaikhan&quot;,&quot;parse-names&quot;:false,&quot;dropping-particle&quot;:&quot;&quot;,&quot;non-dropping-particle&quot;:&quot;&quot;},{&quot;family&quot;:&quot;Chiba&quot;,&quot;given&quot;:&quot;Norika&quot;,&quot;parse-names&quot;:false,&quot;dropping-particle&quot;:&quot;&quot;,&quot;non-dropping-particle&quot;:&quot;&quot;},{&quot;family&quot;:&quot;Chen&quot;,&quot;given&quot;:&quot;Shuang&quot;,&quot;parse-names&quot;:false,&quot;dropping-particle&quot;:&quot;&quot;,&quot;non-dropping-particle&quot;:&quot;&quot;},{&quot;family&quot;:&quot;Ramanujan&quot;,&quot;given&quot;:&quot;V. Krishnan&quot;,&quot;parse-names&quot;:false,&quot;dropping-particle&quot;:&quot;&quot;,&quot;non-dropping-particle&quot;:&quot;&quot;},{&quot;family&quot;:&quot;Wolf&quot;,&quot;given&quot;:&quot;Andrea J.&quot;,&quot;parse-names&quot;:false,&quot;dropping-particle&quot;:&quot;&quot;,&quot;non-dropping-particle&quot;:&quot;&quot;},{&quot;family&quot;:&quot;Vergnes&quot;,&quot;given&quot;:&quot;Laurent&quot;,&quot;parse-names&quot;:false,&quot;dropping-particle&quot;:&quot;&quot;,&quot;non-dropping-particle&quot;:&quot;&quot;},{&quot;family&quot;:&quot;Ojcius&quot;,&quot;given&quot;:&quot;David M.&quot;,&quot;parse-names&quot;:false,&quot;dropping-particle&quot;:&quot;&quot;,&quot;non-dropping-particle&quot;:&quot;&quot;},{&quot;family&quot;:&quot;Rentsendorj&quot;,&quot;given&quot;:&quot;Altan&quot;,&quot;parse-names&quot;:false,&quot;dropping-particle&quot;:&quot;&quot;,&quot;non-dropping-particle&quot;:&quot;&quot;},{&quot;family&quot;:&quot;Vargas&quot;,&quot;given&quot;:&quot;Mario&quot;,&quot;parse-names&quot;:false,&quot;dropping-particle&quot;:&quot;&quot;,&quot;non-dropping-particle&quot;:&quot;&quot;},{&quot;family&quot;:&quot;Guerrero&quot;,&quot;given&quot;:&quot;Candace&quot;,&quot;parse-names&quot;:false,&quot;dropping-particle&quot;:&quot;&quot;,&quot;non-dropping-particle&quot;:&quot;&quot;},{&quot;family&quot;:&quot;Wang&quot;,&quot;given&quot;:&quot;Yinsheng&quot;,&quot;parse-names&quot;:false,&quot;dropping-particle&quot;:&quot;&quot;,&quot;non-dropping-particle&quot;:&quot;&quot;},{&quot;family&quot;:&quot;Fitzgerald&quot;,&quot;given&quot;:&quot;Katherine A.&quot;,&quot;parse-names&quot;:false,&quot;dropping-particle&quot;:&quot;&quot;,&quot;non-dropping-particle&quot;:&quot;&quot;},{&quot;family&quot;:&quot;Underhill&quot;,&quot;given&quot;:&quot;David M.&quot;,&quot;parse-names&quot;:false,&quot;dropping-particle&quot;:&quot;&quot;,&quot;non-dropping-particle&quot;:&quot;&quot;},{&quot;family&quot;:&quot;Town&quot;,&quot;given&quot;:&quot;Terrence&quot;,&quot;parse-names&quot;:false,&quot;dropping-particle&quot;:&quot;&quot;,&quot;non-dropping-particle&quot;:&quot;&quot;},{&quot;family&quot;:&quot;Arditi&quot;,&quot;given&quot;:&quot;Moshe&quot;,&quot;parse-names&quot;:false,&quot;dropping-particle&quot;:&quot;&quot;,&quot;non-dropping-particle&quot;:&quot;&quot;}],&quot;container-title&quot;:&quot;Immunity&quot;,&quot;accessed&quot;:{&quot;date-parts&quot;:[[2021,1,26]]},&quot;DOI&quot;:&quot;10.1016/j.immuni.2012.01.009&quot;,&quot;ISSN&quot;:&quot;10747613&quot;,&quot;PMID&quot;:&quot;22342844&quot;,&quot;issued&quot;:{&quot;date-parts&quot;:[[2012,3,23]]},&quot;page&quot;:&quot;401-414&quot;,&quot;abstract&quot;:&quot;We report that in the presence of signal 1 (NF-κB), the NLRP3 inflammasome was activated by mitochondrial apoptotic signaling that licensed production of interleukin-1β (IL-1β). NLRP3 secondary signal activators such as ATP induced mitochondrial dysfunction and apoptosis, resulting in release of oxidized mitochondrial DNA (mtDNA) into the cytosol, where it bound to and activated the NLRP3 inflammasome. The antiapoptotic protein Bcl-2 inversely regulated mitochondrial dysfunction and NLRP3 inflammasome activation. Mitochondrial DNA directly induced NLRP3 inflammasome activation, because macrophages lacking mtDNA had severely attenuated IL-1β production, yet still underwent apoptosis. Both binding of oxidized mtDNA to the NLRP3 inflammasome and IL-1β secretion could be competitively inhibited by the oxidized nucleoside 8-OH-dG. Thus, our data reveal that oxidized mtDNA released during programmed cell death causes activation of the NLRP3 inflammasome. These results provide a missing link between apoptosis and inflammasome activation, via binding of cytosolic oxidized mtDNA to the NLRP3 inflammasome. © 2012 Elsevier Inc..&quot;,&quot;publisher&quot;:&quot;Cell Press&quot;,&quot;issue&quot;:&quot;3&quot;,&quot;volume&quot;:&quot;36&quot;},&quot;isTemporary&quot;:false}],&quot;properties&quot;:{&quot;noteIndex&quot;:0},&quot;isEdited&quot;:false,&quot;manualOverride&quot;:{&quot;isManuallyOverriden&quot;:false,&quot;citeprocText&quot;:&quot;(Shimada &lt;i&gt;et al.&lt;/i&gt;, 2012)&quot;,&quot;manualOverrideText&quot;:&quot;&quot;},&quot;citationTag&quot;:&quot;MENDELEY_CITATION_v3_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&quot;},{&quot;citationID&quot;:&quot;MENDELEY_CITATION_cda31dc2-d7c8-4894-9e8a-08b5a870959c&quot;,&quot;citationItems&quot;:[{&quot;id&quot;:&quot;104bcad2-c94d-34a0-ae0d-7c5d72ac6adc&quot;,&quot;itemData&quot;:{&quot;type&quot;:&quot;article-journal&quot;,&quot;id&quot;:&quot;104bcad2-c94d-34a0-ae0d-7c5d72ac6adc&quot;,&quot;title&quot;:&quot;TLR9 and the NLRP3 inflammasome link acinar cell death with inflammation in acute pancreatitis&quot;,&quot;author&quot;:[{&quot;family&quot;:&quot;Hoque&quot;,&quot;given&quot;:&quot;Rafaz&quot;,&quot;parse-names&quot;:false,&quot;dropping-particle&quot;:&quot;&quot;,&quot;non-dropping-particle&quot;:&quot;&quot;},{&quot;family&quot;:&quot;Sohail&quot;,&quot;given&quot;:&quot;Muhammad&quot;,&quot;parse-names&quot;:false,&quot;dropping-particle&quot;:&quot;&quot;,&quot;non-dropping-particle&quot;:&quot;&quot;},{&quot;family&quot;:&quot;Malik&quot;,&quot;given&quot;:&quot;Ahsan&quot;,&quot;parse-names&quot;:false,&quot;dropping-particle&quot;:&quot;&quot;,&quot;non-dropping-particle&quot;:&quot;&quot;},{&quot;family&quot;:&quot;Sarwar&quot;,&quot;given&quot;:&quot;Sherhayar&quot;,&quot;parse-names&quot;:false,&quot;dropping-particle&quot;:&quot;&quot;,&quot;non-dropping-particle&quot;:&quot;&quot;},{&quot;family&quot;:&quot;Luo&quot;,&quot;given&quot;:&quot;Yuhuan&quot;,&quot;parse-names&quot;:false,&quot;dropping-particle&quot;:&quot;&quot;,&quot;non-dropping-particle&quot;:&quot;&quot;},{&quot;family&quot;:&quot;Shah&quot;,&quot;given&quot;:&quot;Ahsan&quot;,&quot;parse-names&quot;:false,&quot;dropping-particle&quot;:&quot;&quot;,&quot;non-dropping-particle&quot;:&quot;&quot;},{&quot;family&quot;:&quot;Barrat&quot;,&quot;given&quot;:&quot;Franck&quot;,&quot;parse-names&quot;:false,&quot;dropping-particle&quot;:&quot;&quot;,&quot;non-dropping-particle&quot;:&quot;&quot;},{&quot;family&quot;:&quot;Flavell&quot;,&quot;given&quot;:&quot;Richard&quot;,&quot;parse-names&quot;:false,&quot;dropping-particle&quot;:&quot;&quot;,&quot;non-dropping-particle&quot;:&quot;&quot;},{&quot;family&quot;:&quot;Gorelick&quot;,&quot;given&quot;:&quot;Fred&quot;,&quot;parse-names&quot;:false,&quot;dropping-particle&quot;:&quot;&quot;,&quot;non-dropping-particle&quot;:&quot;&quot;},{&quot;family&quot;:&quot;Husain&quot;,&quot;given&quot;:&quot;Sohail&quot;,&quot;parse-names&quot;:false,&quot;dropping-particle&quot;:&quot;&quot;,&quot;non-dropping-particle&quot;:&quot;&quot;},{&quot;family&quot;:&quot;Mehal&quot;,&quot;given&quot;:&quot;Wajahat&quot;,&quot;parse-names&quot;:false,&quot;dropping-particle&quot;:&quot;&quot;,&quot;non-dropping-particle&quot;:&quot;&quot;}],&quot;container-title&quot;:&quot;Gastroenterology&quot;,&quot;accessed&quot;:{&quot;date-parts&quot;:[[2021,1,31]]},&quot;DOI&quot;:&quot;10.1053/j.gastro.2011.03.041&quot;,&quot;ISSN&quot;:&quot;15280012&quot;,&quot;issued&quot;:{&quot;date-parts&quot;:[[2011,7,1]]},&quot;page&quot;:&quot;358-369&quot;,&quot;abstract&quot;:&quot;Background &amp; Aims: Acute pancreatitis is characterized by early activation of intracellular proteases followed by acinar cell death and inflammation. Activation of damage-associated molecular pattern (DAMP) receptors and a cytosolic complex termed the inflammasome initiate forms of inflammation. In this study, we examined whether DAMP-receptors and the inflammasome provide the link between cell death and the initiation of inflammation in pancreatitis. Methods: Acute pancreatitis was induced by caerulein stimulation in wild-type mice and mice deficient in components of the inflammasome (apoptosis-associated speck-like protein containing a caspase recruitment domain [ASC], NLRP3, caspase-1), Toll-like receptor 9 (TLR9), or the purinergic receptor P2X 7. Resident and infiltrating immune cell populations and prointerleukin-1β expression were characterized in control and caerulein-treated adult murine pancreas. TLR9 expression was quantified in pancreatic cell populations. Additionally, wild-type mice were pretreated with a TLR9 antagonist before induction of acute pancreatitis by caerulein or retrograde bile duct infusion of taurolithocholic acid 3-sulfate. Results: Caspase-1, ASC, and NLRP3 were required for inflammation in acute pancreatitis. Genetic deletion of Tlr9 reduced pancreatic edema, inflammation, and proIL-1β expression in pancreatitis. TLR9 was expressed in resident immune cells of the pancreas, which are predominantly macrophages. Pretreatment with the TLR9 antagonist IRS954 reduced pancreatic edema, inflammatory infiltrate, and apoptosis. Pretreatment with IRS954 reduced pancreatic necrosis and lung inflammation in taurolithocholic acid 3-sulfateinduced acute pancreatitis. Conclusions: Components of the inflammasome, ASC, caspase-1, and NLRP3, are required for the development of inflammation in acute pancreatitis. TLR9 and P2X7 are important DAMP receptors upstream of inflammasome activation, and their antagonism could provide a new therapeutic strategy for treating acute pancreatitis. © 2011 AGA Institute.&quot;,&quot;publisher&quot;:&quot;W.B. Saunders&quot;,&quot;issue&quot;:&quot;1&quot;,&quot;volume&quot;:&quot;141&quot;},&quot;isTemporary&quot;:false}],&quot;properties&quot;:{&quot;noteIndex&quot;:0},&quot;isEdited&quot;:false,&quot;manualOverride&quot;:{&quot;isManuallyOverriden&quot;:false,&quot;citeprocText&quot;:&quot;(Hoque &lt;i&gt;et al.&lt;/i&gt;, 2011)&quot;,&quot;manualOverrideText&quot;:&quot;&quot;},&quot;citationTag&quot;:&quot;MENDELEY_CITATION_v3_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&quot;},{&quot;citationID&quot;:&quot;MENDELEY_CITATION_09c0d59f-860e-441e-9fa6-b985b80dedb5&quot;,&quot;citationItems&quot;:[{&quot;id&quot;:&quot;e35cfa9b-8719-33c1-a912-3f67c7a610ed&quot;,&quot;itemData&quot;:{&quot;type&quot;:&quot;article-journal&quot;,&quot;id&quot;:&quot;e35cfa9b-8719-33c1-a912-3f67c7a610ed&quot;,&quot;title&quot;:&quot;Regulation of lung injury and repair by Toll-like receptors and hyaluronan&quot;,&quot;author&quot;:[{&quot;family&quot;:&quot;Jiang&quot;,&quot;given&quot;:&quot;Dianhua&quot;,&quot;parse-names&quot;:false,&quot;dropping-particle&quot;:&quot;&quot;,&quot;non-dropping-particle&quot;:&quot;&quot;},{&quot;family&quot;:&quot;Liang&quot;,&quot;given&quot;:&quot;Jiurong&quot;,&quot;parse-names&quot;:false,&quot;dropping-particle&quot;:&quot;&quot;,&quot;non-dropping-particle&quot;:&quot;&quot;},{&quot;family&quot;:&quot;Fan&quot;,&quot;given&quot;:&quot;Juan&quot;,&quot;parse-names&quot;:false,&quot;dropping-particle&quot;:&quot;&quot;,&quot;non-dropping-particle&quot;:&quot;&quot;},{&quot;family&quot;:&quot;Yu&quot;,&quot;given&quot;:&quot;Shuang&quot;,&quot;parse-names&quot;:false,&quot;dropping-particle&quot;:&quot;&quot;,&quot;non-dropping-particle&quot;:&quot;&quot;},{&quot;family&quot;:&quot;Chen&quot;,&quot;given&quot;:&quot;Suping&quot;,&quot;parse-names&quot;:false,&quot;dropping-particle&quot;:&quot;&quot;,&quot;non-dropping-particle&quot;:&quot;&quot;},{&quot;family&quot;:&quot;Luo&quot;,&quot;given&quot;:&quot;Yi&quot;,&quot;parse-names&quot;:false,&quot;dropping-particle&quot;:&quot;&quot;,&quot;non-dropping-particle&quot;:&quot;&quot;},{&quot;family&quot;:&quot;Prestwich&quot;,&quot;given&quot;:&quot;Glenn D.&quot;,&quot;parse-names&quot;:false,&quot;dropping-particle&quot;:&quot;&quot;,&quot;non-dropping-particle&quot;:&quot;&quot;},{&quot;family&quot;:&quot;Mascarenhas&quot;,&quot;given&quot;:&quot;Marcella M.&quot;,&quot;parse-names&quot;:false,&quot;dropping-particle&quot;:&quot;&quot;,&quot;non-dropping-particle&quot;:&quot;&quot;},{&quot;family&quot;:&quot;Garg&quot;,&quot;given&quot;:&quot;Hari G.&quot;,&quot;parse-names&quot;:false,&quot;dropping-particle&quot;:&quot;&quot;,&quot;non-dropping-particle&quot;:&quot;&quot;},{&quot;family&quot;:&quot;Quinn&quot;,&quot;given&quot;:&quot;Deborah A.&quot;,&quot;parse-names&quot;:false,&quot;dropping-particle&quot;:&quot;&quot;,&quot;non-dropping-particle&quot;:&quot;&quot;},{&quot;family&quot;:&quot;Homer&quot;,&quot;given&quot;:&quot;Robert J.&quot;,&quot;parse-names&quot;:false,&quot;dropping-particle&quot;:&quot;&quot;,&quot;non-dropping-particle&quot;:&quot;&quot;},{&quot;family&quot;:&quot;Goldstein&quot;,&quot;given&quot;:&quot;Daniel R.&quot;,&quot;parse-names&quot;:false,&quot;dropping-particle&quot;:&quot;&quot;,&quot;non-dropping-particle&quot;:&quot;&quot;},{&quot;family&quot;:&quot;Bucala&quot;,&quot;given&quot;:&quot;Richard&quot;,&quot;parse-names&quot;:false,&quot;dropping-particle&quot;:&quot;&quot;,&quot;non-dropping-particle&quot;:&quot;&quot;},{&quot;family&quot;:&quot;Lee&quot;,&quot;given&quot;:&quot;Patty J.&quot;,&quot;parse-names&quot;:false,&quot;dropping-particle&quot;:&quot;&quot;,&quot;non-dropping-particle&quot;:&quot;&quot;},{&quot;family&quot;:&quot;Medzhitov&quot;,&quot;given&quot;:&quot;Ruslan&quot;,&quot;parse-names&quot;:false,&quot;dropping-particle&quot;:&quot;&quot;,&quot;non-dropping-particle&quot;:&quot;&quot;},{&quot;family&quot;:&quot;Noble&quot;,&quot;given&quot;:&quot;Paul W.&quot;,&quot;parse-names&quot;:false,&quot;dropping-particle&quot;:&quot;&quot;,&quot;non-dropping-particle&quot;:&quot;&quot;}],&quot;container-title&quot;:&quot;Nature Medicine&quot;,&quot;accessed&quot;:{&quot;date-parts&quot;:[[2021,1,26]]},&quot;DOI&quot;:&quot;10.1038/nm1315&quot;,&quot;ISSN&quot;:&quot;10788956&quot;,&quot;PMID&quot;:&quot;16244651&quot;,&quot;URL&quot;:&quot;https://www.nature.com/articles/nm1315&quot;,&quot;issued&quot;:{&quot;date-parts&quot;:[[2005,11,23]]},&quot;page&quot;:&quot;1173-1179&quot;,&quot;abstract&quot;:&quot;Mechanisms that regulate inflammation and repair after acute lung injury are incompletely understood. The extracellular matrix glycosaminoglycan hyaluronan is produced after tissue injury and impaired clearance results in unremitting inflammation. Here we report that hyaluronan degradation products require MyD88 and both Toll-like receptor (TLR)4 and TLR2 in vitro and in vivo to initiate inflammatory responses in acute lung injury. Hyaluronan fragments isolated from serum of individuals with acute lung injury stimulated macrophage chemokine production in a TLR4- and TLR2-dependent manner. Myd88-/- and Tlr4-/-Tlr2-/- mice showed impaired transepithelial migration of inflammatory cells but decreased survival and enhanced epithelial cell apoptosis after lung injury. Lung epithelial cell-specific overexpression of high-molecular-mass hyaluronan was protective against acute lung injury. Furthermore, epithelial cell-surface hyaluronan was protective against apoptosis, in part, through TLR-dependent basal activation of NF-κ. Hyaluronan-TLR2 and hyaluronan-TLR4 interactions provide signals that initiate inflammatory responses, maintain epithelial cell integrity and promote recovery from acute lung injury. © 2005 Nature Publishing Group.&quot;,&quot;publisher&quot;:&quot;Nature Publishing Group&quot;,&quot;issue&quot;:&quot;11&quot;,&quot;volume&quot;:&quot;11&quot;},&quot;isTemporary&quot;:false}],&quot;properties&quot;:{&quot;noteIndex&quot;:0},&quot;isEdited&quot;:false,&quot;manualOverride&quot;:{&quot;isManuallyOverriden&quot;:false,&quot;citeprocText&quot;:&quot;(Jiang &lt;i&gt;et al.&lt;/i&gt;, 2005)&quot;,&quot;manualOverrideText&quot;:&quot;&quot;},&quot;citationTag&quot;:&quot;MENDELEY_CITATION_v3_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&quot;},{&quot;citationID&quot;:&quot;MENDELEY_CITATION_e552f4fc-0693-4614-90c2-f388869bac06&quot;,&quot;citationItems&quot;:[{&quot;id&quot;:&quot;469620b2-6f13-38ce-a5e0-76acae70603c&quot;,&quot;itemData&quot;:{&quot;type&quot;:&quot;article-journal&quot;,&quot;id&quot;:&quot;469620b2-6f13-38ce-a5e0-76acae70603c&quot;,&quot;title&quot;:&quot;CD36 ligands promote sterile inflammation through assembly of a Toll-like receptor 4 and 6 heterodimer&quot;,&quot;author&quot;:[{&quot;family&quot;:&quot;Stewart&quot;,&quot;given&quot;:&quot;Cameron R.&quot;,&quot;parse-names&quot;:false,&quot;dropping-particle&quot;:&quot;&quot;,&quot;non-dropping-particle&quot;:&quot;&quot;},{&quot;family&quot;:&quot;Stuart&quot;,&quot;given&quot;:&quot;Lynda M.&quot;,&quot;parse-names&quot;:false,&quot;dropping-particle&quot;:&quot;&quot;,&quot;non-dropping-particle&quot;:&quot;&quot;},{&quot;family&quot;:&quot;Wilkinson&quot;,&quot;given&quot;:&quot;Kim&quot;,&quot;parse-names&quot;:false,&quot;dropping-particle&quot;:&quot;&quot;,&quot;non-dropping-particle&quot;:&quot;&quot;},{&quot;family&quot;:&quot;Gils&quot;,&quot;given&quot;:&quot;Janine M.&quot;,&quot;parse-names&quot;:false,&quot;dropping-particle&quot;:&quot;&quot;,&quot;non-dropping-particle&quot;:&quot;van&quot;},{&quot;family&quot;:&quot;Deng&quot;,&quot;given&quot;:&quot;Jiusheng&quot;,&quot;parse-names&quot;:false,&quot;dropping-particle&quot;:&quot;&quot;,&quot;non-dropping-particle&quot;:&quot;&quot;},{&quot;family&quot;:&quot;Halle&quot;,&quot;given&quot;:&quot;Annett&quot;,&quot;parse-names&quot;:false,&quot;dropping-particle&quot;:&quot;&quot;,&quot;non-dropping-particle&quot;:&quot;&quot;},{&quot;family&quot;:&quot;Rayner&quot;,&quot;given&quot;:&quot;Katey J.&quot;,&quot;parse-names&quot;:false,&quot;dropping-particle&quot;:&quot;&quot;,&quot;non-dropping-particle&quot;:&quot;&quot;},{&quot;family&quot;:&quot;Boyer&quot;,&quot;given&quot;:&quot;Laurent&quot;,&quot;parse-names&quot;:false,&quot;dropping-particle&quot;:&quot;&quot;,&quot;non-dropping-particle&quot;:&quot;&quot;},{&quot;family&quot;:&quot;Zhong&quot;,&quot;given&quot;:&quot;Ruiqin&quot;,&quot;parse-names&quot;:false,&quot;dropping-particle&quot;:&quot;&quot;,&quot;non-dropping-particle&quot;:&quot;&quot;},{&quot;family&quot;:&quot;Frazier&quot;,&quot;given&quot;:&quot;William A.&quot;,&quot;parse-names&quot;:false,&quot;dropping-particle&quot;:&quot;&quot;,&quot;non-dropping-particle&quot;:&quot;&quot;},{&quot;family&quot;:&quot;Lacy-Hulbert&quot;,&quot;given&quot;:&quot;Adam&quot;,&quot;parse-names&quot;:false,&quot;dropping-particle&quot;:&quot;&quot;,&quot;non-dropping-particle&quot;:&quot;&quot;},{&quot;family&quot;:&quot;Khoury&quot;,&quot;given&quot;:&quot;Joseph&quot;,&quot;parse-names&quot;:false,&quot;dropping-particle&quot;:&quot;el&quot;,&quot;non-dropping-particle&quot;:&quot;&quot;},{&quot;family&quot;:&quot;Golenbock&quot;,&quot;given&quot;:&quot;Douglas T.&quot;,&quot;parse-names&quot;:false,&quot;dropping-particle&quot;:&quot;&quot;,&quot;non-dropping-particle&quot;:&quot;&quot;},{&quot;family&quot;:&quot;Moore&quot;,&quot;given&quot;:&quot;Kathryn J.&quot;,&quot;parse-names&quot;:false,&quot;dropping-particle&quot;:&quot;&quot;,&quot;non-dropping-particle&quot;:&quot;&quot;}],&quot;container-title&quot;:&quot;Nature Immunology&quot;,&quot;accessed&quot;:{&quot;date-parts&quot;:[[2021,1,26]]},&quot;DOI&quot;:&quot;10.1038/ni.1836&quot;,&quot;ISSN&quot;:&quot;15292908&quot;,&quot;PMID&quot;:&quot;20037584&quot;,&quot;URL&quot;:&quot;https://www.nature.com/articles/ni.1836&quot;,&quot;issued&quot;:{&quot;date-parts&quot;:[[2010,2,27]]},&quot;page&quot;:&quot;155-161&quot;,&quot;abstract&quot;:&quot;In atherosclerosis and Alzheimer's disease, deposition of the altered self components oxidized low-density lipoprotein (LDL) and amyloid-Β triggers a protracted sterile inflammatory response. Although chronic stimulation of the innate immune system is believed to underlie the pathology of these diseases, the molecular mechanisms of activation remain unclear. Here we show that oxidized LDL and amyloid-Β trigger inflammatory signaling through a heterodimer of Toll-like receptors 4 and 6. Assembly of this newly identified heterodimer is regulated by signals from the scavenger receptor CD36, a common receptor for these disparate ligands. Our results identify CD36-TLR4-TLR6 activation as a common molecular mechanism by which atherogenic lipids and amyloid-Β stimulate sterile inflammation and suggest a new model of TLR heterodimerization triggered by coreceptor signaling events. © 2010 Nature America, Inc. All rights reserved.&quot;,&quot;publisher&quot;:&quot;Nature Publishing Group&quot;,&quot;issue&quot;:&quot;2&quot;,&quot;volume&quot;:&quot;11&quot;},&quot;isTemporary&quot;:false}],&quot;properties&quot;:{&quot;noteIndex&quot;:0},&quot;isEdited&quot;:false,&quot;manualOverride&quot;:{&quot;isManuallyOverriden&quot;:false,&quot;citeprocText&quot;:&quot;(Stewart &lt;i&gt;et al.&lt;/i&gt;, 2010)&quot;,&quot;manualOverrideText&quot;:&quot;&quot;},&quot;citationTag&quot;:&quot;MENDELEY_CITATION_v3_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&quot;},{&quot;citationID&quot;:&quot;MENDELEY_CITATION_2f152479-cda3-4929-a123-fa7d5debe618&quot;,&quot;citationItems&quot;:[{&quot;id&quot;:&quot;b56a16b5-06ec-3b04-b347-a60252123857&quot;,&quot;itemData&quot;:{&quot;type&quot;:&quot;article-journal&quot;,&quot;id&quot;:&quot;b56a16b5-06ec-3b04-b347-a60252123857&quot;,&quot;title&quot;:&quot;Key differences in TLR3/poly I:C signaling and cytokine induction by human primary cells: A phenomenon absent from murine cell systems&quot;,&quot;author&quot;:[{&quot;family&quot;:&quot;Lundberg&quot;,&quot;given&quot;:&quot;Anna M.&quot;,&quot;parse-names&quot;:false,&quot;dropping-particle&quot;:&quot;&quot;,&quot;non-dropping-particle&quot;:&quot;&quot;},{&quot;family&quot;:&quot;Drexler&quot;,&quot;given&quot;:&quot;Stefan K.&quot;,&quot;parse-names&quot;:false,&quot;dropping-particle&quot;:&quot;&quot;,&quot;non-dropping-particle&quot;:&quot;&quot;},{&quot;family&quot;:&quot;Monaco&quot;,&quot;given&quot;:&quot;Claudia&quot;,&quot;parse-names&quot;:false,&quot;dropping-particle&quot;:&quot;&quot;,&quot;non-dropping-particle&quot;:&quot;&quot;},{&quot;family&quot;:&quot;Williams&quot;,&quot;given&quot;:&quot;Lynn M.&quot;,&quot;parse-names&quot;:false,&quot;dropping-particle&quot;:&quot;&quot;,&quot;non-dropping-particle&quot;:&quot;&quot;},{&quot;family&quot;:&quot;Sacre&quot;,&quot;given&quot;:&quot;Sandra M.&quot;,&quot;parse-names&quot;:false,&quot;dropping-particle&quot;:&quot;&quot;,&quot;non-dropping-particle&quot;:&quot;&quot;},{&quot;family&quot;:&quot;Feldmann&quot;,&quot;given&quot;:&quot;Marc&quot;,&quot;parse-names&quot;:false,&quot;dropping-particle&quot;:&quot;&quot;,&quot;non-dropping-particle&quot;:&quot;&quot;},{&quot;family&quot;:&quot;Foxwell&quot;,&quot;given&quot;:&quot;Brian M.&quot;,&quot;parse-names&quot;:false,&quot;dropping-particle&quot;:&quot;&quot;,&quot;non-dropping-particle&quot;:&quot;&quot;}],&quot;container-title&quot;:&quot;Blood&quot;,&quot;accessed&quot;:{&quot;date-parts&quot;:[[2021,1,26]]},&quot;DOI&quot;:&quot;10.1182/blood-2007-02-072934&quot;,&quot;ISSN&quot;:&quot;00064971&quot;,&quot;PMID&quot;:&quot;17660379&quot;,&quot;URL&quot;:&quot;http://ashpublications.org/blood/article-pdf/110/9/3245/1476081/zh802107003245.pdf&quot;,&quot;issued&quot;:{&quot;date-parts&quot;:[[2007,11,1]]},&quot;page&quot;:&quot;3245-3252&quot;,&quot;abstract&quot;:&quot;TLR3 recognizes double-stranded RNA, a product associated with viral infections. Many details of TLR3-induced mechanisms have emerged from gene-targeted mice or inhibition studies in transformed cell lines. However, the pathways activated in human immune cells or cells from disease tissue are less well understood. We have investigated TLR3-induced mechanisms of human primary cells of the innate immune system, including dendritic cells (DCs), macrophages (MØs), endothelial cells (ECs), and synovial fibroblasts isolated from rheumatoid arthritis joint tissue (RA-SFs). Here, we report that while these cells all express TLR3, they differ substantially in their response to TLR3 stimulation. The key antiviral response chemokine IP-10 was produced by all cell types, while DCs and MØs failed to produce the proinflammatory cytokines TNFα and IL-6. Unexpectedly, TNFα was found secreted by TLR3-stimulated RA-SF. Furthermore, TLR3 stimulation did not activate NFκB, MAPKs, or IRF-3 in DCs and MØs, but was able to do so in ECs and RA-SF. These findings were specific for human cells, thereby revealing a complexity not previously expected. This is the first report of such cell type- and species-specific response for any TLR stimulation and helps to explain important difficulties in correlating murine models of inflammatory diseases and human inflammation. © 2007 by The American Society of Hematology.&quot;,&quot;publisher&quot;:&quot;American Society of Hematology&quot;,&quot;issue&quot;:&quot;9&quot;,&quot;volume&quot;:&quot;110&quot;},&quot;isTemporary&quot;:false}],&quot;properties&quot;:{&quot;noteIndex&quot;:0},&quot;isEdited&quot;:false,&quot;manualOverride&quot;:{&quot;isManuallyOverriden&quot;:false,&quot;citeprocText&quot;:&quot;(Lundberg &lt;i&gt;et al.&lt;/i&gt;, 2007)&quot;,&quot;manualOverrideText&quot;:&quot;&quot;},&quot;citationTag&quot;:&quot;MENDELEY_CITATION_v3_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&quot;},{&quot;citationID&quot;:&quot;MENDELEY_CITATION_8da52181-ddf6-4f16-987f-0d042b061bd3&quot;,&quot;citationItems&quot;:[{&quot;id&quot;:&quot;18e8b620-6708-3aee-bb3c-8a14bc1157a1&quot;,&quot;itemData&quot;:{&quot;type&quot;:&quot;article-journal&quot;,&quot;id&quot;:&quot;18e8b620-6708-3aee-bb3c-8a14bc1157a1&quot;,&quot;title&quot;:&quot;Gene Expressions of Toll-Like Receptor 2, But no Toll-Like-Receptor 4, Is induced by LPS and Inflammatory Cytokines in Mouse Macrophages&quot;,&quot;author&quot;:[{&quot;family&quot;:&quot;Matsuguchi&quot;,&quot;given&quot;:&quot;Tetsuya&quot;,&quot;parse-names&quot;:false,&quot;dropping-particle&quot;:&quot;&quot;,&quot;non-dropping-particle&quot;:&quot;&quot;},{&quot;family&quot;:&quot;Musikacharoen&quot;,&quot;given&quot;:&quot;Tipayaratn&quot;,&quot;parse-names&quot;:false,&quot;dropping-particle&quot;:&quot;&quot;,&quot;non-dropping-particle&quot;:&quot;&quot;},{&quot;family&quot;:&quot;Ogawa&quot;,&quot;given&quot;:&quot;Tomohiko&quot;,&quot;parse-names&quot;:false,&quot;dropping-particle&quot;:&quot;&quot;,&quot;non-dropping-particle&quot;:&quot;&quot;},{&quot;family&quot;:&quot;Yasunobu&quot;,&quot;given&quot;:&quot;Yoshikai&quot;,&quot;parse-names&quot;:false,&quot;dropping-particle&quot;:&quot;&quot;,&quot;non-dropping-particle&quot;:&quot;&quot;}],&quot;container-title&quot;:&quot;J Immunol References&quot;,&quot;accessed&quot;:{&quot;date-parts&quot;:[[2021,1,27]]},&quot;DOI&quot;:&quot;10.4049/jimmunol.165.10.5767&quot;,&quot;URL&quot;:&quot;http://www.jimmunol.org/content/165/10/5767http://www.jimmunol.org/content/165/10/5767.full#ref-list-1&quot;,&quot;issued&quot;:{&quot;date-parts&quot;:[[2000]]},&quot;page&quot;:&quot;5767-5772&quot;,&quot;volume&quot;:&quot;165&quot;},&quot;isTemporary&quot;:false}],&quot;properties&quot;:{&quot;noteIndex&quot;:0},&quot;isEdited&quot;:false,&quot;manualOverride&quot;:{&quot;isManuallyOverriden&quot;:false,&quot;citeprocText&quot;:&quot;(Matsuguchi &lt;i&gt;et al.&lt;/i&gt;, 2000)&quot;,&quot;manualOverrideText&quot;:&quot;&quot;},&quot;citationTag&quot;:&quot;MENDELEY_CITATION_v3_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&quot;},{&quot;citationID&quot;:&quot;MENDELEY_CITATION_b391de80-a18c-40f1-b450-60b4dcf2cdee&quot;,&quot;citationItems&quot;:[{&quot;id&quot;:&quot;3a677243-4e1f-3690-ab44-bef911ac77b4&quot;,&quot;itemData&quot;:{&quot;type&quot;:&quot;article-journal&quot;,&quot;id&quot;:&quot;3a677243-4e1f-3690-ab44-bef911ac77b4&quot;,&quot;title&quot;:&quot;Structural basis of species-specific endotoxin sensing by innate immune receptor TLR4/MD-2.&quot;,&quot;author&quot;:[{&quot;family&quot;:&quot;Ohto&quot;,&quot;given&quot;:&quot;Umeharu&quot;,&quot;parse-names&quot;:false,&quot;dropping-particle&quot;:&quot;&quot;,&quot;non-dropping-particle&quot;:&quot;&quot;},{&quot;family&quot;:&quot;Fukase&quot;,&quot;given&quot;:&quot;Koichi&quot;,&quot;parse-names&quot;:false,&quot;dropping-particle&quot;:&quot;&quot;,&quot;non-dropping-particle&quot;:&quot;&quot;},{&quot;family&quot;:&quot;Miyake&quot;,&quot;given&quot;:&quot;Kensuke&quot;,&quot;parse-names&quot;:false,&quot;dropping-particle&quot;:&quot;&quot;,&quot;non-dropping-particle&quot;:&quot;&quot;},{&quot;family&quot;:&quot;Shimizu&quot;,&quot;given&quot;:&quot;Toshiyuki&quot;,&quot;parse-names&quot;:false,&quot;dropping-particle&quot;:&quot;&quot;,&quot;non-dropping-particle&quot;:&quot;&quot;}],&quot;container-title&quot;:&quot;Proceedings of the National Academy of Sciences of the United States of America&quot;,&quot;accessed&quot;:{&quot;date-parts&quot;:[[2018,4,5]]},&quot;DOI&quot;:&quot;10.1073/pnas.1201193109&quot;,&quot;ISSN&quot;:&quot;1091-6490&quot;,&quot;PMID&quot;:&quot;22532668&quot;,&quot;URL&quot;:&quot;http://www.ncbi.nlm.nih.gov/pubmed/22532668&quot;,&quot;issued&quot;:{&quot;date-parts&quot;:[[2012,5,8]]},&quot;page&quot;:&quot;7421-6&quot;,&quot;abstract&quot;:&quot;Lipopolysaccharide (LPS), also known as endotoxin, activates the innate immune response through toll-like receptor 4 (TLR4) and its coreceptor, MD-2. MD-2 has a unique hydrophobic cavity that directly binds to lipid A, the active center of LPS. Tetraacylated lipid IVa, a synthetic lipid A precursor, acts as a weak agonist to mouse TLR4/MD-2, but as an antagonist to human TLR4/MD-2. However, it remains unclear as to how LPS and lipid IVa show agonistic or antagonistic activities in a species-specific manner. The present study reports the crystal structures of mouse TLR4/MD-2/LPS and TLR4/MD-2/lipid IVa complexes at 2.5 and 2.7 Å resolutions, respectively. Mouse TLR4/MD-2/LPS exhibited an agonistic \&quot;m\&quot;-shaped 2:2:2 complex similar to the human TLR4/MD-2/LPS complex. Mouse TLR4/MD-2/lipid IVa complex also showed an agonistic structural feature, exhibiting architecture similar to the 2:2:2 complex. Remarkably, lipid IVa in the mouse TLR4/MD-2 complex occupied nearly the same space as LPS, although lipid IVa lacked the two acyl chains. Human MD-2 binds lipid IVa in an antagonistic manner completely differently from the way mouse MD-2 does. Together, the results provide structural evidence of the agonistic property of lipid IVa on mouse TLR4/MD-2 and deepen understanding of the ligand binding and dimerization mechanism by the structurally diverse LPS variants.&quot;,&quot;publisher&quot;:&quot;National Academy of Sciences&quot;,&quot;issue&quot;:&quot;19&quot;,&quot;volume&quot;:&quot;109&quot;},&quot;isTemporary&quot;:false}],&quot;properties&quot;:{&quot;noteIndex&quot;:0},&quot;isEdited&quot;:false,&quot;manualOverride&quot;:{&quot;isManuallyOverriden&quot;:false,&quot;citeprocText&quot;:&quot;(Ohto &lt;i&gt;et al.&lt;/i&gt;, 2012)&quot;,&quot;manualOverrideText&quot;:&quot;&quot;},&quot;citationTag&quot;:&quot;MENDELEY_CITATION_v3_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&quot;},{&quot;citationID&quot;:&quot;MENDELEY_CITATION_b1d7a95d-2812-49cd-bc46-41824bdb483f&quot;,&quot;citationItems&quot;:[{&quot;id&quot;:&quot;c9729dc8-5957-3221-a1a6-1b5b75337323&quot;,&quot;itemData&quot;:{&quot;type&quot;:&quot;article-journal&quot;,&quot;id&quot;:&quot;c9729dc8-5957-3221-a1a6-1b5b75337323&quot;,&quot;title&quot;:&quot;The structural basis of lipopolysaccharide recognition by the TLR4–MD-2 complex&quot;,&quot;author&quot;:[{&quot;family&quot;:&quot;Park&quot;,&quot;given&quot;:&quot;Beom Seok&quot;,&quot;parse-names&quot;:false,&quot;dropping-particle&quot;:&quot;&quot;,&quot;non-dropping-particle&quot;:&quot;&quot;},{&quot;family&quot;:&quot;Song&quot;,&quot;given&quot;:&quot;Dong Hyun&quot;,&quot;parse-names&quot;:false,&quot;dropping-particle&quot;:&quot;&quot;,&quot;non-dropping-particle&quot;:&quot;&quot;},{&quot;family&quot;:&quot;Kim&quot;,&quot;given&quot;:&quot;Ho Min&quot;,&quot;parse-names&quot;:false,&quot;dropping-particle&quot;:&quot;&quot;,&quot;non-dropping-particle&quot;:&quot;&quot;},{&quot;family&quot;:&quot;Choi&quot;,&quot;given&quot;:&quot;Byong-Seok&quot;,&quot;parse-names&quot;:false,&quot;dropping-particle&quot;:&quot;&quot;,&quot;non-dropping-particle&quot;:&quot;&quot;},{&quot;family&quot;:&quot;Lee&quot;,&quot;given&quot;:&quot;Hayyoung&quot;,&quot;parse-names&quot;:false,&quot;dropping-particle&quot;:&quot;&quot;,&quot;non-dropping-particle&quot;:&quot;&quot;},{&quot;family&quot;:&quot;Lee&quot;,&quot;given&quot;:&quot;Jie-Oh&quot;,&quot;parse-names&quot;:false,&quot;dropping-particle&quot;:&quot;&quot;,&quot;non-dropping-particle&quot;:&quot;&quot;}],&quot;container-title&quot;:&quot;Nature&quot;,&quot;accessed&quot;:{&quot;date-parts&quot;:[[2018,4,5]]},&quot;DOI&quot;:&quot;10.1038/nature07830&quot;,&quot;ISSN&quot;:&quot;0028-0836&quot;,&quot;URL&quot;:&quot;http://www.nature.com/articles/nature07830&quot;,&quot;issued&quot;:{&quot;date-parts&quot;:[[2009,4,1]]},&quot;page&quot;:&quot;1191-1195&quot;,&quot;abstract&quot;:&quot;This paper describes the crystal structure of TLR4-MD-2-LPS, the complex between Toll-like receptor 4, myeloid differentiation factor 2 and lipopolysaccharide (LPS).The structure reveals how the TLR4-MD-2-receptor complex recognizes LPS, a major component of the outer membrane of Gram negative bacteria that induces strong inflammatory responses by activating the human innate immune system. This work throws light on the important role of Toll-like receptor in innate immunity.&quot;,&quot;publisher&quot;:&quot;Nature Publishing Group&quot;,&quot;issue&quot;:&quot;7242&quot;,&quot;volume&quot;:&quot;458&quot;},&quot;isTemporary&quot;:false}],&quot;properties&quot;:{&quot;noteIndex&quot;:0},&quot;isEdited&quot;:false,&quot;manualOverride&quot;:{&quot;isManuallyOverriden&quot;:false,&quot;citeprocText&quot;:&quot;(Park &lt;i&gt;et al.&lt;/i&gt;, 2009)&quot;,&quot;manualOverrideText&quot;:&quot;&quot;},&quot;citationTag&quot;:&quot;MENDELEY_CITATION_v3_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&quot;},{&quot;citationID&quot;:&quot;MENDELEY_CITATION_8d08fdc4-f8ce-4a18-8eb5-0d926a453138&quot;,&quot;citationItems&quot;:[{&quot;id&quot;:&quot;6a0b14f7-d9ec-3d1b-9d07-88546ad1416c&quot;,&quot;itemData&quot;:{&quot;type&quot;:&quot;article-journal&quot;,&quot;id&quot;:&quot;6a0b14f7-d9ec-3d1b-9d07-88546ad1416c&quot;,&quot;title&quot;:&quot;Species and mediator specific TLR4 antagonism in primary human and murine immune cells by βGlcN(1 ↔ 1)αGlc based lipid A mimetics&quot;,&quot;author&quot;:[{&quot;family&quot;:&quot;Chebrolu&quot;,&quot;given&quot;:&quot;Chiranjeevi&quot;,&quot;parse-names&quot;:false,&quot;dropping-particle&quot;:&quot;&quot;,&quot;non-dropping-particle&quot;:&quot;&quot;},{&quot;family&quot;:&quot;Artner&quot;,&quot;given&quot;:&quot;Daniel&quot;,&quot;parse-names&quot;:false,&quot;dropping-particle&quot;:&quot;&quot;,&quot;non-dropping-particle&quot;:&quot;&quot;},{&quot;family&quot;:&quot;Sigmund&quot;,&quot;given&quot;:&quot;Anna M.&quot;,&quot;parse-names&quot;:false,&quot;dropping-particle&quot;:&quot;&quot;,&quot;non-dropping-particle&quot;:&quot;&quot;},{&quot;family&quot;:&quot;Buer&quot;,&quot;given&quot;:&quot;Jan&quot;,&quot;parse-names&quot;:false,&quot;dropping-particle&quot;:&quot;&quot;,&quot;non-dropping-particle&quot;:&quot;&quot;},{&quot;family&quot;:&quot;Zamyatina&quot;,&quot;given&quot;:&quot;Alla&quot;,&quot;parse-names&quot;:false,&quot;dropping-particle&quot;:&quot;&quot;,&quot;non-dropping-particle&quot;:&quot;&quot;},{&quot;family&quot;:&quot;Kirschning&quot;,&quot;given&quot;:&quot;Carsten J.&quot;,&quot;parse-names&quot;:false,&quot;dropping-particle&quot;:&quot;&quot;,&quot;non-dropping-particle&quot;:&quot;&quot;}],&quot;container-title&quot;:&quot;Molecular Immunology&quot;,&quot;accessed&quot;:{&quot;date-parts&quot;:[[2018,4,5]]},&quot;DOI&quot;:&quot;10.1016/J.MOLIMM.2015.07.037&quot;,&quot;ISSN&quot;:&quot;0161-5890&quot;,&quot;URL&quot;:&quot;https://www.sciencedirect.com/science/article/pii/S0161589015300456&quot;,&quot;issued&quot;:{&quot;date-parts&quot;:[[2015,10,1]]},&quot;page&quot;:&quot;636-641&quot;,&quot;abstract&quot;:&quot;Immune stimulatory pathogen associated molecular patterns (PAMPs) are major drivers of infection pathology. Infections with Gram-negative bacteria or negatively polar and single stranded RNA influenza virus are prominent causes of morbidity and mortality. Toll-like receptor (TLR) 4 is a major host sensor for both of the two infections. In order to inhibit TLR4 driven immune activation we recently developed synthetic tetra-acylated lipid A mimetics based on a conformationally restricted βGlcN(1↔1)αGlcN disaccharide scaffold (DA-compounds) that antagonized ectopically overexpressed human and murine TLR4/MD-2 complexes. Here we comparatively analyzed human peripheral blood mononuclear cell (hPBMC) and murine bone marrow derived macrophage (mBM) activation upon 30min of preincubation in vitro with six variably acylated DA-compounds. 16h subsequent to consequent LPS challenge, we sampled culture supernatants for cytokine and NO concentration analysis. Four compounds significantly inhibited release of both TNF and IL-6 by hPBMCs upon LPS challenge. In contrast, three compounds effectively inhibited mBM production of MIP-2 and KC, and even five of them inhibited IL-6 and NO production. LPS driven like other TLR ligand driven mBM TNF release was largely unimpaired. The inhibitory effect was specific in that Clo75 driven cytokine release by both hPBMCs and mBMs was unimpaired by the compounds analyzed. Our results indicate biological species specificity of LPS antagonism by variably tetraacylated lipid A mimetics and validate three out of six DA-antagonists as promising candidates for development of therapeutically applicable anti-inflammatory compounds.&quot;,&quot;publisher&quot;:&quot;Pergamon&quot;,&quot;issue&quot;:&quot;2&quot;,&quot;volume&quot;:&quot;67&quot;},&quot;isTemporary&quot;:false}],&quot;properties&quot;:{&quot;noteIndex&quot;:0},&quot;isEdited&quot;:false,&quot;manualOverride&quot;:{&quot;isManuallyOverriden&quot;:false,&quot;citeprocText&quot;:&quot;(Chebrolu &lt;i&gt;et al.&lt;/i&gt;, 2015)&quot;,&quot;manualOverrideText&quot;:&quot;&quot;},&quot;citationTag&quot;:&quot;MENDELEY_CITATION_v3_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&quot;},{&quot;citationID&quot;:&quot;MENDELEY_CITATION_42538a9a-92ef-452c-a84c-5321ffdbda4e&quot;,&quot;citationItems&quot;:[{&quot;id&quot;:&quot;c015f0e2-1e6e-333b-a12b-2177f2eb6048&quot;,&quot;itemData&quot;:{&quot;type&quot;:&quot;article-journal&quot;,&quot;id&quot;:&quot;c015f0e2-1e6e-333b-a12b-2177f2eb6048&quot;,&quot;title&quot;:&quot;Defective LPS signaling in C3H/HeJ and C57BL/10ScCr mice: Mutations in Tlr4 gene&quot;,&quot;author&quot;:[{&quot;family&quot;:&quot;Poltorak&quot;,&quot;given&quot;:&quot;Alexander&quot;,&quot;parse-names&quot;:false,&quot;dropping-particle&quot;:&quot;&quot;,&quot;non-dropping-particle&quot;:&quot;&quot;},{&quot;family&quot;:&quot;He&quot;,&quot;given&quot;:&quot;Xiaolong&quot;,&quot;parse-names&quot;:false,&quot;dropping-particle&quot;:&quot;&quot;,&quot;non-dropping-particle&quot;:&quot;&quot;},{&quot;family&quot;:&quot;Smirnova&quot;,&quot;given&quot;:&quot;Irina&quot;,&quot;parse-names&quot;:false,&quot;dropping-particle&quot;:&quot;&quot;,&quot;non-dropping-particle&quot;:&quot;&quot;},{&quot;family&quot;:&quot;Liu&quot;,&quot;given&quot;:&quot;Mu Ya&quot;,&quot;parse-names&quot;:false,&quot;dropping-particle&quot;:&quot;&quot;,&quot;non-dropping-particle&quot;:&quot;&quot;},{&quot;family&quot;:&quot;Huffel&quot;,&quot;given&quot;:&quot;Christophe&quot;,&quot;parse-names&quot;:false,&quot;dropping-particle&quot;:&quot;&quot;,&quot;non-dropping-particle&quot;:&quot;van&quot;},{&quot;family&quot;:&quot;Du&quot;,&quot;given&quot;:&quot;Xin&quot;,&quot;parse-names&quot;:false,&quot;dropping-particle&quot;:&quot;&quot;,&quot;non-dropping-particle&quot;:&quot;&quot;},{&quot;family&quot;:&quot;Birdwell&quot;,&quot;given&quot;:&quot;Dale&quot;,&quot;parse-names&quot;:false,&quot;dropping-particle&quot;:&quot;&quot;,&quot;non-dropping-particle&quot;:&quot;&quot;},{&quot;family&quot;:&quot;Alejos&quot;,&quot;given&quot;:&quot;Erica&quot;,&quot;parse-names&quot;:false,&quot;dropping-particle&quot;:&quot;&quot;,&quot;non-dropping-particle&quot;:&quot;&quot;},{&quot;family&quot;:&quot;Silva&quot;,&quot;given&quot;:&quot;Maria&quot;,&quot;parse-names&quot;:false,&quot;dropping-particle&quot;:&quot;&quot;,&quot;non-dropping-particle&quot;:&quot;&quot;},{&quot;family&quot;:&quot;Galanos&quot;,&quot;given&quot;:&quot;Chris&quot;,&quot;parse-names&quot;:false,&quot;dropping-particle&quot;:&quot;&quot;,&quot;non-dropping-particle&quot;:&quot;&quot;},{&quot;family&quot;:&quot;Freudenberg&quot;,&quot;given&quot;:&quot;Marina&quot;,&quot;parse-names&quot;:false,&quot;dropping-particle&quot;:&quot;&quot;,&quot;non-dropping-particle&quot;:&quot;&quot;},{&quot;family&quot;:&quot;Ricciardi-Castagnoli&quot;,&quot;given&quot;:&quot;Paola&quot;,&quot;parse-names&quot;:false,&quot;dropping-particle&quot;:&quot;&quot;,&quot;non-dropping-particle&quot;:&quot;&quot;},{&quot;family&quot;:&quot;Layton&quot;,&quot;given&quot;:&quot;Betsy&quot;,&quot;parse-names&quot;:false,&quot;dropping-particle&quot;:&quot;&quot;,&quot;non-dropping-particle&quot;:&quot;&quot;},{&quot;family&quot;:&quot;Beutler&quot;,&quot;given&quot;:&quot;Bruce&quot;,&quot;parse-names&quot;:false,&quot;dropping-particle&quot;:&quot;&quot;,&quot;non-dropping-particle&quot;:&quot;&quot;}],&quot;container-title&quot;:&quot;Science&quot;,&quot;accessed&quot;:{&quot;date-parts&quot;:[[2021,1,29]]},&quot;DOI&quot;:&quot;10.1126/science.282.5396.2085&quot;,&quot;ISSN&quot;:&quot;00368075&quot;,&quot;PMID&quot;:&quot;9851930&quot;,&quot;URL&quot;:&quot;https://science.sciencemag.org/content/282/5396/2085&quot;,&quot;issued&quot;:{&quot;date-parts&quot;:[[1998,12,11]]},&quot;page&quot;:&quot;2085-2088&quot;,&quot;abstract&quot;:&quot;Mutations of the gene Lps selectively impede lipopolysaccharide (LPS) signal transduction in C3H/HeJ and C57BL/10ScCr mice, rendering them resistant to endotoxin yet highly susceptible to Gram-negative infection. The codominant Lps(d) allele of C3H/HeJ mice was shown to correspond to a missense mutation in the third exon of the Toll-like receptor-4 gene (Tlr4), predicted to replace proline with histidine at position 712 of the polypeptide chain. C57BL/10ScCr mice are homozygous for a null mutation of Tlr4. Thus, the mammalian Tlr4 protein has been adapted primarily to subserve the recognition of LPS and presumably transduces the LPS signal across the plasma membrane. Destructive mutations of Tlr4 predispose to the development of Gram-negative sepsis, leaving most aspects of immune function intact.&quot;,&quot;publisher&quot;:&quot;American Association for the Advancement of Science&quot;,&quot;issue&quot;:&quot;5396&quot;,&quot;volume&quot;:&quot;282&quot;},&quot;isTemporary&quot;:false}],&quot;properties&quot;:{&quot;noteIndex&quot;:0},&quot;isEdited&quot;:false,&quot;manualOverride&quot;:{&quot;isManuallyOverriden&quot;:false,&quot;citeprocText&quot;:&quot;(Poltorak &lt;i&gt;et al.&lt;/i&gt;, 1998)&quot;,&quot;manualOverrideText&quot;:&quot;&quot;},&quot;citationTag&quot;:&quot;MENDELEY_CITATION_v3_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&quot;},{&quot;citationID&quot;:&quot;MENDELEY_CITATION_7ecb1761-9924-4791-846c-32648387f33a&quot;,&quot;citationItems&quot;:[{&quot;id&quot;:&quot;911efd23-0d19-3d1d-be88-ee4a69a0bc31&quot;,&quot;itemData&quot;:{&quot;type&quot;:&quot;article-journal&quot;,&quot;id&quot;:&quot;911efd23-0d19-3d1d-be88-ee4a69a0bc31&quot;,&quot;title&quot;:&quot;The molecular mechanism of species-specific recognition of lipopolysaccharides by the MD-2/TLR4 receptor complex&quot;,&quot;author&quot;:[{&quot;family&quot;:&quot;Oblak&quot;,&quot;given&quot;:&quot;Alja&quot;,&quot;parse-names&quot;:false,&quot;dropping-particle&quot;:&quot;&quot;,&quot;non-dropping-particle&quot;:&quot;&quot;},{&quot;family&quot;:&quot;Jerala&quot;,&quot;given&quot;:&quot;Roman&quot;,&quot;parse-names&quot;:false,&quot;dropping-particle&quot;:&quot;&quot;,&quot;non-dropping-particle&quot;:&quot;&quot;}],&quot;container-title&quot;:&quot;Molecular Immunology&quot;,&quot;accessed&quot;:{&quot;date-parts&quot;:[[2018,4,5]]},&quot;DOI&quot;:&quot;10.1016/J.MOLIMM.2014.06.034&quot;,&quot;ISSN&quot;:&quot;0161-5890&quot;,&quot;URL&quot;:&quot;https://www.sciencedirect.com/science/article/pii/S0161589014001655&quot;,&quot;issued&quot;:{&quot;date-parts&quot;:[[2015,2,1]]},&quot;page&quot;:&quot;134-142&quot;,&quot;abstract&quot;:&quot;Lipid A, a component of bacterial lipopolysaccharide, is a conserved microbe-associated molecular pattern that activates the MD-2/TLR4 receptor complex. Nevertheless, bacteria produce lipid A molecules of considerable structural diversity. The human MD-2/TLR4 receptor most efficiently recognizes hexaacylated bisphosphorylated lipid A produced by enterobacteria, but in some animal species the immune response can be elicited also by alternative lipid A varieties, such as tetraacylated lipid IVa or pentaacylated lipid A of Rhodobacter spheroides. Several crystal structures revealed that hexaacylated lipid A and tetraacylated lipid IVa activate the murine MD-2/TLR4 in a similar manner, but failed to explain the antagonistic vs. agonistic activity of lipid IVa in the human vs. equine receptor, respectively. Targeted mutagenesis studies of the receptor complex revealed intricate combination of electrostatic and hydrophobic interactions primarily within the MD-2 co-receptor, but with a contribution of TLR4 as well, that contribute to species-specific recognition of lipid A. We will review current knowledge regarding lipid A diversity and species-specific activation of the MD-2/TLR4 receptor complex in different species (e.g. human, mouse or equine) by lipid A varieties.&quot;,&quot;publisher&quot;:&quot;Pergamon&quot;,&quot;issue&quot;:&quot;2&quot;,&quot;volume&quot;:&quot;63&quot;},&quot;isTemporary&quot;:false}],&quot;properties&quot;:{&quot;noteIndex&quot;:0},&quot;isEdited&quot;:false,&quot;manualOverride&quot;:{&quot;isManuallyOverriden&quot;:false,&quot;citeprocText&quot;:&quot;(Oblak and Jerala, 2015)&quot;,&quot;manualOverrideText&quot;:&quot;&quot;},&quot;citationTag&quot;:&quot;MENDELEY_CITATION_v3_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&quot;},{&quot;citationID&quot;:&quot;MENDELEY_CITATION_d9bbdc1f-ff75-43bb-aae7-89174518bd04&quot;,&quot;citationItems&quot;:[{&quot;id&quot;:&quot;911efd23-0d19-3d1d-be88-ee4a69a0bc31&quot;,&quot;itemData&quot;:{&quot;type&quot;:&quot;article-journal&quot;,&quot;id&quot;:&quot;911efd23-0d19-3d1d-be88-ee4a69a0bc31&quot;,&quot;title&quot;:&quot;The molecular mechanism of species-specific recognition of lipopolysaccharides by the MD-2/TLR4 receptor complex&quot;,&quot;author&quot;:[{&quot;family&quot;:&quot;Oblak&quot;,&quot;given&quot;:&quot;Alja&quot;,&quot;parse-names&quot;:false,&quot;dropping-particle&quot;:&quot;&quot;,&quot;non-dropping-particle&quot;:&quot;&quot;},{&quot;family&quot;:&quot;Jerala&quot;,&quot;given&quot;:&quot;Roman&quot;,&quot;parse-names&quot;:false,&quot;dropping-particle&quot;:&quot;&quot;,&quot;non-dropping-particle&quot;:&quot;&quot;}],&quot;container-title&quot;:&quot;Molecular Immunology&quot;,&quot;accessed&quot;:{&quot;date-parts&quot;:[[2018,4,5]]},&quot;DOI&quot;:&quot;10.1016/J.MOLIMM.2014.06.034&quot;,&quot;ISSN&quot;:&quot;0161-5890&quot;,&quot;URL&quot;:&quot;https://www.sciencedirect.com/science/article/pii/S0161589014001655&quot;,&quot;issued&quot;:{&quot;date-parts&quot;:[[2015,2,1]]},&quot;page&quot;:&quot;134-142&quot;,&quot;abstract&quot;:&quot;Lipid A, a component of bacterial lipopolysaccharide, is a conserved microbe-associated molecular pattern that activates the MD-2/TLR4 receptor complex. Nevertheless, bacteria produce lipid A molecules of considerable structural diversity. The human MD-2/TLR4 receptor most efficiently recognizes hexaacylated bisphosphorylated lipid A produced by enterobacteria, but in some animal species the immune response can be elicited also by alternative lipid A varieties, such as tetraacylated lipid IVa or pentaacylated lipid A of Rhodobacter spheroides. Several crystal structures revealed that hexaacylated lipid A and tetraacylated lipid IVa activate the murine MD-2/TLR4 in a similar manner, but failed to explain the antagonistic vs. agonistic activity of lipid IVa in the human vs. equine receptor, respectively. Targeted mutagenesis studies of the receptor complex revealed intricate combination of electrostatic and hydrophobic interactions primarily within the MD-2 co-receptor, but with a contribution of TLR4 as well, that contribute to species-specific recognition of lipid A. We will review current knowledge regarding lipid A diversity and species-specific activation of the MD-2/TLR4 receptor complex in different species (e.g. human, mouse or equine) by lipid A varieties.&quot;,&quot;publisher&quot;:&quot;Pergamon&quot;,&quot;issue&quot;:&quot;2&quot;,&quot;volume&quot;:&quot;63&quot;},&quot;isTemporary&quot;:false}],&quot;properties&quot;:{&quot;noteIndex&quot;:0},&quot;isEdited&quot;:false,&quot;manualOverride&quot;:{&quot;isManuallyOverriden&quot;:false,&quot;citeprocText&quot;:&quot;(Oblak and Jerala, 2015)&quot;,&quot;manualOverrideText&quot;:&quot;&quot;},&quot;citationTag&quot;:&quot;MENDELEY_CITATION_v3_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&quot;},{&quot;citationID&quot;:&quot;MENDELEY_CITATION_57627b6a-90bb-4a0c-b144-889693f2a889&quot;,&quot;citationItems&quot;:[{&quot;id&quot;:&quot;7a796a4f-d749-3d8a-bb7e-856a2f1868ba&quot;,&quot;itemData&quot;:{&quot;type&quot;:&quot;article-journal&quot;,&quot;id&quot;:&quot;7a796a4f-d749-3d8a-bb7e-856a2f1868ba&quot;,&quot;title&quot;:&quot;Signalling adaptors used by Toll-like receptors: An update&quot;,&quot;author&quot;:[{&quot;family&quot;:&quot;Kenny&quot;,&quot;given&quot;:&quot;Elaine F.&quot;,&quot;parse-names&quot;:false,&quot;dropping-particle&quot;:&quot;&quot;,&quot;non-dropping-particle&quot;:&quot;&quot;},{&quot;family&quot;:&quot;O’Neill&quot;,&quot;given&quot;:&quot;Luke A.J.&quot;,&quot;parse-names&quot;:false,&quot;dropping-particle&quot;:&quot;&quot;,&quot;non-dropping-particle&quot;:&quot;&quot;}],&quot;container-title&quot;:&quot;Cytokine&quot;,&quot;accessed&quot;:{&quot;date-parts&quot;:[[2018,4,5]]},&quot;DOI&quot;:&quot;10.1016/J.CYTO.2008.07.010&quot;,&quot;ISSN&quot;:&quot;1043-4666&quot;,&quot;URL&quot;:&quot;https://www.sciencedirect.com/science/article/pii/S1043466608002226&quot;,&quot;issued&quot;:{&quot;date-parts&quot;:[[2008,9,1]]},&quot;page&quot;:&quot;342-349&quot;,&quot;abstract&quot;:&quot;Research into the five Toll/IL1 receptor (TIR) adaptor proteins involved in innate immunity continues to advance. Here we outline some of the more recent findings. MyD88 has a key role in signalling by the IL1 receptor complex and TLRs. However, a MyD88-independent pathway of IL1β signalling in neurons has been described which involves the protein kinase Akt, and which has an anti-apoptotic effect. This pathway may also be important for the mechanism whereby Alum exerts its adjuvant effect since this depends on IL1β but is MyD88-independent. MyD88 is also involved in tumourigenesis in models of hepatocarcinoma and familial associated polyposis (FAP); negative regulation of TLR3 signalling and in PKCε activation. The adaptor Mal is regulated by phosphorylation and caspase-1 cleavage. A variant form of Mal in humans termed S180L confers protection in multiple infectious diseases. TRAM is controlled by myristoylation and phosphorylation and the localisation of TRAM with TLR4 to endosomes is required for activation of IRF3 and induction of IFNβ. Finally SARM has been shown to regulate TRIF and also appears to be involved in neuronal injury mediated by oxidative stress in mouse neurons. These advances confirm the importance for the TIR domain-containing adapters in host defence and inflammation.&quot;,&quot;publisher&quot;:&quot;Academic Press&quot;,&quot;issue&quot;:&quot;3&quot;,&quot;volume&quot;:&quot;43&quot;},&quot;isTemporary&quot;:false}],&quot;properties&quot;:{&quot;noteIndex&quot;:0},&quot;isEdited&quot;:false,&quot;manualOverride&quot;:{&quot;isManuallyOverriden&quot;:false,&quot;citeprocText&quot;:&quot;(Kenny and O’Neill, 2008)&quot;,&quot;manualOverrideText&quot;:&quot;&quot;},&quot;citationTag&quot;:&quot;MENDELEY_CITATION_v3_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&quot;},{&quot;citationID&quot;:&quot;MENDELEY_CITATION_1618b6dc-d82e-4710-8b82-3909fbe5e972&quot;,&quot;citationItems&quot;:[{&quot;id&quot;:&quot;156f79b4-d91b-3b0e-a584-580c6f376ac1&quot;,&quot;itemData&quot;:{&quot;type&quot;:&quot;article-journal&quot;,&quot;id&quot;:&quot;156f79b4-d91b-3b0e-a584-580c6f376ac1&quot;,&quot;title&quot;:&quot;TLR4 Signaling Pathway Modulators as Potential Therapeutics in Inflammation and Sepsis&quot;,&quot;author&quot;:[{&quot;family&quot;:&quot;Kuzmich&quot;,&quot;given&quot;:&quot;Nikolay&quot;,&quot;parse-names&quot;:false,&quot;dropping-particle&quot;:&quot;&quot;,&quot;non-dropping-particle&quot;:&quot;&quot;},{&quot;family&quot;:&quot;Sivak&quot;,&quot;given&quot;:&quot;Konstantin&quot;,&quot;parse-names&quot;:false,&quot;dropping-particle&quot;:&quot;&quot;,&quot;non-dropping-particle&quot;:&quot;&quot;},{&quot;family&quot;:&quot;Chubarev&quot;,&quot;given&quot;:&quot;Vladimir&quot;,&quot;parse-names&quot;:false,&quot;dropping-particle&quot;:&quot;&quot;,&quot;non-dropping-particle&quot;:&quot;&quot;},{&quot;family&quot;:&quot;Porozov&quot;,&quot;given&quot;:&quot;Yuri&quot;,&quot;parse-names&quot;:false,&quot;dropping-particle&quot;:&quot;&quot;,&quot;non-dropping-particle&quot;:&quot;&quot;},{&quot;family&quot;:&quot;Savateeva-Lyubimova&quot;,&quot;given&quot;:&quot;Tatiana&quot;,&quot;parse-names&quot;:false,&quot;dropping-particle&quot;:&quot;&quot;,&quot;non-dropping-particle&quot;:&quot;&quot;},{&quot;family&quot;:&quot;Peri&quot;,&quot;given&quot;:&quot;Francesco&quot;,&quot;parse-names&quot;:false,&quot;dropping-particle&quot;:&quot;&quot;,&quot;non-dropping-particle&quot;:&quot;&quot;}],&quot;container-title&quot;:&quot;Vaccines&quot;,&quot;accessed&quot;:{&quot;date-parts&quot;:[[2021,1,31]]},&quot;DOI&quot;:&quot;10.3390/vaccines5040034&quot;,&quot;ISSN&quot;:&quot;2076-393X&quot;,&quot;URL&quot;:&quot;http://www.mdpi.com/2076-393X/5/4/34&quot;,&quot;issued&quot;:{&quot;date-parts&quot;:[[2017,10,4]]},&quot;page&quot;:&quot;34&quot;,&quot;abstract&quot;:&quot;Toll-Like Receptor 4 (TLR4) signal pathway plays an important role in initiating the innate immune response and its activation by bacterial endotoxin is responsible for chronic and acute inflammatory disorders that are becoming more and more frequent in developed countries. Modulation of the TLR4 pathway is a potential strategy to specifically target these pathologies. Among the diseases caused by TLR4 abnormal activation by bacterial endotoxin, sepsis is the most dangerous one because it is a life-threatening acute system inflammatory condition that still lacks specific pharmacological treatment. Here, we review molecules at a preclinical or clinical phase of development, that are active in inhibiting the TLR4-MyD88 and TLR4-TRIF pathways in animal models. These are low-molecular weight compounds of natural and synthetic origin that can be considered leads for drug development. The results of in vivo studies in the sepsis model and the mechanisms of action of drug leads are presented and critically discussed, evidencing the differences in treatment results from rodents to humans.&quot;,&quot;publisher&quot;:&quot;MDPI AG&quot;,&quot;issue&quot;:&quot;4&quot;,&quot;volume&quot;:&quot;5&quot;},&quot;isTemporary&quot;:false}],&quot;properties&quot;:{&quot;noteIndex&quot;:0},&quot;isEdited&quot;:false,&quot;manualOverride&quot;:{&quot;isManuallyOverriden&quot;:false,&quot;citeprocText&quot;:&quot;(Kuzmich &lt;i&gt;et al.&lt;/i&gt;, 2017)&quot;,&quot;manualOverrideText&quot;:&quot;&quot;},&quot;citationTag&quot;:&quot;MENDELEY_CITATION_v3_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&quot;},{&quot;citationID&quot;:&quot;MENDELEY_CITATION_224c94ce-0717-43c6-92dc-6a56137d8990&quot;,&quot;citationItems&quot;:[{&quot;id&quot;:&quot;4795c182-bdaf-3430-9369-cd15d5739c1c&quot;,&quot;itemData&quot;:{&quot;type&quot;:&quot;article-journal&quot;,&quot;id&quot;:&quot;4795c182-bdaf-3430-9369-cd15d5739c1c&quot;,&quot;title&quot;:&quot;Global, regional, and national sepsis incidence and mortality, 1990–2017: analysis for the Global Burden of Disease Study&quot;,&quot;author&quot;:[{&quot;family&quot;:&quot;Rudd&quot;,&quot;given&quot;:&quot;Kristina E.&quot;,&quot;parse-names&quot;:false,&quot;dropping-particle&quot;:&quot;&quot;,&quot;non-dropping-particle&quot;:&quot;&quot;},{&quot;family&quot;:&quot;Johnson&quot;,&quot;given&quot;:&quot;Sarah Charlotte&quot;,&quot;parse-names&quot;:false,&quot;dropping-particle&quot;:&quot;&quot;,&quot;non-dropping-particle&quot;:&quot;&quot;},{&quot;family&quot;:&quot;Agesa&quot;,&quot;given&quot;:&quot;Kareha M.&quot;,&quot;parse-names&quot;:false,&quot;dropping-particle&quot;:&quot;&quot;,&quot;non-dropping-particle&quot;:&quot;&quot;},{&quot;family&quot;:&quot;Shackelford&quot;,&quot;given&quot;:&quot;Katya Anne&quot;,&quot;parse-names&quot;:false,&quot;dropping-particle&quot;:&quot;&quot;,&quot;non-dropping-particle&quot;:&quot;&quot;},{&quot;family&quot;:&quot;Tsoi&quot;,&quot;given&quot;:&quot;Derrick&quot;,&quot;parse-names&quot;:false,&quot;dropping-particle&quot;:&quot;&quot;,&quot;non-dropping-particle&quot;:&quot;&quot;},{&quot;family&quot;:&quot;Kievlan&quot;,&quot;given&quot;:&quot;Daniel Rhodes&quot;,&quot;parse-names&quot;:false,&quot;dropping-particle&quot;:&quot;&quot;,&quot;non-dropping-particle&quot;:&quot;&quot;},{&quot;family&quot;:&quot;Colombara&quot;,&quot;given&quot;:&quot;Danny&quot;,&quot;parse-names&quot;:false,&quot;dropping-particle&quot;:&quot;v.&quot;,&quot;non-dropping-particle&quot;:&quot;&quot;},{&quot;family&quot;:&quot;Ikuta&quot;,&quot;given&quot;:&quot;Kevin S.&quot;,&quot;parse-names&quot;:false,&quot;dropping-particle&quot;:&quot;&quot;,&quot;non-dropping-particle&quot;:&quot;&quot;},{&quot;family&quot;:&quot;Kissoon&quot;,&quot;given&quot;:&quot;Niranjan&quot;,&quot;parse-names&quot;:false,&quot;dropping-particle&quot;:&quot;&quot;,&quot;non-dropping-particle&quot;:&quot;&quot;},{&quot;family&quot;:&quot;Finfer&quot;,&quot;given&quot;:&quot;Simon&quot;,&quot;parse-names&quot;:false,&quot;dropping-particle&quot;:&quot;&quot;,&quot;non-dropping-particle&quot;:&quot;&quot;},{&quot;family&quot;:&quot;Fleischmann-Struzek&quot;,&quot;given&quot;:&quot;Carolin&quot;,&quot;parse-names&quot;:false,&quot;dropping-particle&quot;:&quot;&quot;,&quot;non-dropping-particle&quot;:&quot;&quot;},{&quot;family&quot;:&quot;Machado&quot;,&quot;given&quot;:&quot;Flavia R.&quot;,&quot;parse-names&quot;:false,&quot;dropping-particle&quot;:&quot;&quot;,&quot;non-dropping-particle&quot;:&quot;&quot;},{&quot;family&quot;:&quot;Reinhart&quot;,&quot;given&quot;:&quot;Konrad K.&quot;,&quot;parse-names&quot;:false,&quot;dropping-particle&quot;:&quot;&quot;,&quot;non-dropping-particle&quot;:&quot;&quot;},{&quot;family&quot;:&quot;Rowan&quot;,&quot;given&quot;:&quot;Kathryn&quot;,&quot;parse-names&quot;:false,&quot;dropping-particle&quot;:&quot;&quot;,&quot;non-dropping-particle&quot;:&quot;&quot;},{&quot;family&quot;:&quot;Seymour&quot;,&quot;given&quot;:&quot;Christopher W.&quot;,&quot;parse-names&quot;:false,&quot;dropping-particle&quot;:&quot;&quot;,&quot;non-dropping-particle&quot;:&quot;&quot;},{&quot;family&quot;:&quot;Watson&quot;,&quot;given&quot;:&quot;R. Scott&quot;,&quot;parse-names&quot;:false,&quot;dropping-particle&quot;:&quot;&quot;,&quot;non-dropping-particle&quot;:&quot;&quot;},{&quot;family&quot;:&quot;West&quot;,&quot;given&quot;:&quot;T. Eoin&quot;,&quot;parse-names&quot;:false,&quot;dropping-particle&quot;:&quot;&quot;,&quot;non-dropping-particle&quot;:&quot;&quot;},{&quot;family&quot;:&quot;Marinho&quot;,&quot;given&quot;:&quot;Fatima&quot;,&quot;parse-names&quot;:false,&quot;dropping-particle&quot;:&quot;&quot;,&quot;non-dropping-particle&quot;:&quot;&quot;},{&quot;family&quot;:&quot;Hay&quot;,&quot;given&quot;:&quot;Simon I.&quot;,&quot;parse-names&quot;:false,&quot;dropping-particle&quot;:&quot;&quot;,&quot;non-dropping-particle&quot;:&quot;&quot;},{&quot;family&quot;:&quot;Lozano&quot;,&quot;given&quot;:&quot;Rafael&quot;,&quot;parse-names&quot;:false,&quot;dropping-particle&quot;:&quot;&quot;,&quot;non-dropping-particle&quot;:&quot;&quot;},{&quot;family&quot;:&quot;Lopez&quot;,&quot;given&quot;:&quot;Alan D.&quot;,&quot;parse-names&quot;:false,&quot;dropping-particle&quot;:&quot;&quot;,&quot;non-dropping-particle&quot;:&quot;&quot;},{&quot;family&quot;:&quot;Angus&quot;,&quot;given&quot;:&quot;Derek C.&quot;,&quot;parse-names&quot;:false,&quot;dropping-particle&quot;:&quot;&quot;,&quot;non-dropping-particle&quot;:&quot;&quot;},{&quot;family&quot;:&quot;Murray&quot;,&quot;given&quot;:&quot;Christopher J.L.&quot;,&quot;parse-names&quot;:false,&quot;dropping-particle&quot;:&quot;&quot;,&quot;non-dropping-particle&quot;:&quot;&quot;},{&quot;family&quot;:&quot;Naghavi&quot;,&quot;given&quot;:&quot;Mohsen&quot;,&quot;parse-names&quot;:false,&quot;dropping-particle&quot;:&quot;&quot;,&quot;non-dropping-particle&quot;:&quot;&quot;}],&quot;container-title&quot;:&quot;The Lancet&quot;,&quot;accessed&quot;:{&quot;date-parts&quot;:[[2021,1,31]]},&quot;DOI&quot;:&quot;10.1016/S0140-6736(19)32989-7&quot;,&quot;ISSN&quot;:&quot;1474547X&quot;,&quot;PMID&quot;:&quot;31954465&quot;,&quot;issued&quot;:{&quot;date-parts&quot;:[[2020,1,18]]},&quot;page&quot;:&quot;200-211&quot;,&quot;abstract&quot;:&quot;Background: Sepsis is life-threatening organ dysfunction due to a dysregulated host response to infection. It is considered a major cause of health loss, but data for the global burden of sepsis are limited. As a syndrome caused by underlying infection, sepsis is not part of standard Global Burden of Diseases, Injuries, and Risk Factors Study (GBD) estimates. Accurate estimates are important to inform and monitor health policy interventions, allocation of resources, and clinical treatment initiatives. We estimated the global, regional, and national incidence of sepsis and mortality from this disorder using data from GBD 2017. Methods: We used multiple cause-of-death data from 109 million individual death records to calculate mortality related to sepsis among each of the 282 underlying causes of death in GBD 2017. The percentage of sepsis-related deaths by underlying GBD cause in each location worldwide was modelled using mixed-effects linear regression. Sepsis-related mortality for each age group, sex, location, GBD cause, and year (1990–2017) was estimated by applying modelled cause-specific fractions to GBD 2017 cause-of-death estimates. We used data for 8·7 million individual hospital records to calculate in-hospital sepsis-associated case-fatality, stratified by underlying GBD cause. In-hospital sepsis-associated case-fatality was modelled for each location using linear regression, and sepsis incidence was estimated by applying modelled case-fatality to sepsis-related mortality estimates. Findings: In 2017, an estimated 48·9 million (95% uncertainty interval [UI] 38·9–62·9) incident cases of sepsis were recorded worldwide and 11·0 million (10·1–12·0) sepsis-related deaths were reported, representing 19·7% (18·2–21·4) of all global deaths. Age-standardised sepsis incidence fell by 37·0% (95% UI 11·8–54·5) and mortality decreased by 52·8% (47·7–57·5) from 1990 to 2017. Sepsis incidence and mortality varied substantially across regions, with the highest burden in sub-Saharan Africa, Oceania, south Asia, east Asia, and southeast Asia. Interpretation: Despite declining age-standardised incidence and mortality, sepsis remains a major cause of health loss worldwide and has an especially high health-related burden in sub-Saharan Africa. Funding: The Bill &amp; Melinda Gates Foundation, the National Institutes of Health, the University of Pittsburgh, the British Columbia Children's Hospital Foundation, the Wellcome Trust, and the Fleming Fund.&quot;,&quot;publisher&quot;:&quot;Lancet Publishing Group&quot;,&quot;issue&quot;:&quot;10219&quot;,&quot;volume&quot;:&quot;395&quot;},&quot;isTemporary&quot;:false}],&quot;properties&quot;:{&quot;noteIndex&quot;:0},&quot;isEdited&quot;:false,&quot;manualOverride&quot;:{&quot;isManuallyOverriden&quot;:false,&quot;citeprocText&quot;:&quot;(Rudd &lt;i&gt;et al.&lt;/i&gt;, 2020)&quot;,&quot;manualOverrideText&quot;:&quot;&quot;},&quot;citationTag&quot;:&quot;MENDELEY_CITATION_v3_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&quot;},{&quot;citationID&quot;:&quot;MENDELEY_CITATION_e2795c78-2a38-414d-a525-fb4ee07805b3&quot;,&quot;citationItems&quot;:[{&quot;id&quot;:&quot;d3d3214a-8631-3532-8144-c3915ab1b2ea&quot;,&quot;itemData&quot;:{&quot;type&quot;:&quot;article-journal&quot;,&quot;id&quot;:&quot;d3d3214a-8631-3532-8144-c3915ab1b2ea&quot;,&quot;title&quot;:&quot;Sepsis induces long-lasting impairments in CD4+ T-cell responses despite rapid numerical recovery of T-lymphocyte populations&quot;,&quot;author&quot;:[{&quot;family&quot;:&quot;Ammer-Herrmenau&quot;,&quot;given&quot;:&quot;Christoph&quot;,&quot;parse-names&quot;:false,&quot;dropping-particle&quot;:&quot;&quot;,&quot;non-dropping-particle&quot;:&quot;&quot;},{&quot;family&quot;:&quot;Kulkarni&quot;,&quot;given&quot;:&quot;Upasana&quot;,&quot;parse-names&quot;:false,&quot;dropping-particle&quot;:&quot;&quot;,&quot;non-dropping-particle&quot;:&quot;&quot;},{&quot;family&quot;:&quot;Andreas&quot;,&quot;given&quot;:&quot;Nico&quot;,&quot;parse-names&quot;:false,&quot;dropping-particle&quot;:&quot;&quot;,&quot;non-dropping-particle&quot;:&quot;&quot;},{&quot;family&quot;:&quot;Ungelenk&quot;,&quot;given&quot;:&quot;Martin&quot;,&quot;parse-names&quot;:false,&quot;dropping-particle&quot;:&quot;&quot;,&quot;non-dropping-particle&quot;:&quot;&quot;},{&quot;family&quot;:&quot;Ravens&quot;,&quot;given&quot;:&quot;Sarina&quot;,&quot;parse-names&quot;:false,&quot;dropping-particle&quot;:&quot;&quot;,&quot;non-dropping-particle&quot;:&quot;&quot;},{&quot;family&quot;:&quot;Hübner&quot;,&quot;given&quot;:&quot;Christian&quot;,&quot;parse-names&quot;:false,&quot;dropping-particle&quot;:&quot;&quot;,&quot;non-dropping-particle&quot;:&quot;&quot;},{&quot;family&quot;:&quot;Kather&quot;,&quot;given&quot;:&quot;Angela&quot;,&quot;parse-names&quot;:false,&quot;dropping-particle&quot;:&quot;&quot;,&quot;non-dropping-particle&quot;:&quot;&quot;},{&quot;family&quot;:&quot;Kurth&quot;,&quot;given&quot;:&quot;Ingo&quot;,&quot;parse-names&quot;:false,&quot;dropping-particle&quot;:&quot;&quot;,&quot;non-dropping-particle&quot;:&quot;&quot;},{&quot;family&quot;:&quot;Bauer&quot;,&quot;given&quot;:&quot;Michael&quot;,&quot;parse-names&quot;:false,&quot;dropping-particle&quot;:&quot;&quot;,&quot;non-dropping-particle&quot;:&quot;&quot;},{&quot;family&quot;:&quot;Kamradt&quot;,&quot;given&quot;:&quot;Thomas&quot;,&quot;parse-names&quot;:false,&quot;dropping-particle&quot;:&quot;&quot;,&quot;non-dropping-particle&quot;:&quot;&quot;}],&quot;container-title&quot;:&quot;PLOS ONE&quot;,&quot;accessed&quot;:{&quot;date-parts&quot;:[[2021,1,31]]},&quot;editor&quot;:[{&quot;family&quot;:&quot;Ria&quot;,&quot;given&quot;:&quot;Francesco&quot;,&quot;parse-names&quot;:false,&quot;dropping-particle&quot;:&quot;&quot;,&quot;non-dropping-particle&quot;:&quot;&quot;}],&quot;DOI&quot;:&quot;10.1371/journal.pone.0211716&quot;,&quot;ISSN&quot;:&quot;1932-6203&quot;,&quot;URL&quot;:&quot;https://dx.plos.org/10.1371/journal.pone.0211716&quot;,&quot;issued&quot;:{&quot;date-parts&quot;:[[2019,2,7]]},&quot;page&quot;:&quot;e0211716&quot;,&quot;abstract&quot;:&quot;Massive apoptosis of lymphocytes is a hallmark of sepsis. The resulting immunosuppression is associated with secondary infections, which are often lethal. Moreover, sepsis-survivors are burdened with increased morbidity and mortality for several years after the sepsis episode. The duration and clinical consequences of sepsis induced-immunosuppression are currently unknown. We have used the mouse model of peritoneal contamination and infection (PCI) to investigate the quantitative and qualitative recovery of T lymphocytes for 3.5 months after sepsis with or without IL-7 treatment. Thymic output and the numbers of naive and effector/memory CD4 + and CD8 + lymphocytes quickly recovered after sepsis. IL-7 treatment resulted in an accelerated recovery of CD8 + lymphocytes. Next generation sequencing revealed no significant narrowing of the T cell receptor repertoire 3.5 months after sepsis. In contrast, detailed functional analyses of T helper (Th)-cell responses towards a fungal antigen revealed a significant loss of Th cells. Whereas cytokine production was not impaired at the single cell level, the absolute number of Th cells specific for the fungal antigen was reduced. Our data indicate a clinically relevant loss of pathogen-specific T cell clones after sepsis. Given the small number of naive T lymphocytes specific for a given antigen, this decrement of T cell clones remains undetected even by sensitive methods such as deep sequencing. Taken together, our data are compatible with long lasting impairments in CD4 + T-cell responses after sepsis despite rapid recovery of T lymphocyte populations.&quot;,&quot;publisher&quot;:&quot;Public Library of Science&quot;,&quot;issue&quot;:&quot;2&quot;,&quot;volume&quot;:&quot;14&quot;},&quot;isTemporary&quot;:false}],&quot;properties&quot;:{&quot;noteIndex&quot;:0},&quot;isEdited&quot;:false,&quot;manualOverride&quot;:{&quot;isManuallyOverriden&quot;:false,&quot;citeprocText&quot;:&quot;(Ammer-Herrmenau &lt;i&gt;et al.&lt;/i&gt;, 2019)&quot;,&quot;manualOverrideText&quot;:&quot;&quot;},&quot;citationTag&quot;:&quot;MENDELEY_CITATION_v3_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&quot;},{&quot;citationID&quot;:&quot;MENDELEY_CITATION_dbea5351-a80a-4b9c-ac52-9461919a313c&quot;,&quot;citationItems&quot;:[{&quot;id&quot;:&quot;c6b11d8b-4e97-3309-ae20-9f24e6bbf3d9&quot;,&quot;itemData&quot;:{&quot;type&quot;:&quot;article-journal&quot;,&quot;id&quot;:&quot;c6b11d8b-4e97-3309-ae20-9f24e6bbf3d9&quot;,&quot;title&quot;:&quot;Toll-like receptor 4 contributes to vascular remodelling and endothelial dysfunction in angiotensin II-induced hypertension&quot;,&quot;author&quot;:[{&quot;family&quot;:&quot;Hernanz&quot;,&quot;given&quot;:&quot;R&quot;,&quot;parse-names&quot;:false,&quot;dropping-particle&quot;:&quot;&quot;,&quot;non-dropping-particle&quot;:&quot;&quot;},{&quot;family&quot;:&quot;Martínez-Revelles&quot;,&quot;given&quot;:&quot;S&quot;,&quot;parse-names&quot;:false,&quot;dropping-particle&quot;:&quot;&quot;,&quot;non-dropping-particle&quot;:&quot;&quot;},{&quot;family&quot;:&quot;Palacios&quot;,&quot;given&quot;:&quot;R&quot;,&quot;parse-names&quot;:false,&quot;dropping-particle&quot;:&quot;&quot;,&quot;non-dropping-particle&quot;:&quot;&quot;},{&quot;family&quot;:&quot;Martín&quot;,&quot;given&quot;:&quot;A&quot;,&quot;parse-names&quot;:false,&quot;dropping-particle&quot;:&quot;&quot;,&quot;non-dropping-particle&quot;:&quot;&quot;},{&quot;family&quot;:&quot;Cachofeiro&quot;,&quot;given&quot;:&quot;V&quot;,&quot;parse-names&quot;:false,&quot;dropping-particle&quot;:&quot;&quot;,&quot;non-dropping-particle&quot;:&quot;&quot;},{&quot;family&quot;:&quot;Aguado&quot;,&quot;given&quot;:&quot;A&quot;,&quot;parse-names&quot;:false,&quot;dropping-particle&quot;:&quot;&quot;,&quot;non-dropping-particle&quot;:&quot;&quot;},{&quot;family&quot;:&quot;García-Redondo&quot;,&quot;given&quot;:&quot;L&quot;,&quot;parse-names&quot;:false,&quot;dropping-particle&quot;:&quot;&quot;,&quot;non-dropping-particle&quot;:&quot;&quot;},{&quot;family&quot;:&quot;Barrús&quot;,&quot;given&quot;:&quot;M T&quot;,&quot;parse-names&quot;:false,&quot;dropping-particle&quot;:&quot;&quot;,&quot;non-dropping-particle&quot;:&quot;&quot;},{&quot;family&quot;:&quot;Batista&quot;,&quot;given&quot;:&quot;P R&quot;,&quot;parse-names&quot;:false,&quot;dropping-particle&quot;:&quot;&quot;,&quot;non-dropping-particle&quot;:&quot;de&quot;},{&quot;family&quot;:&quot;Briones&quot;,&quot;given&quot;:&quot;A M&quot;,&quot;parse-names&quot;:false,&quot;dropping-particle&quot;:&quot;&quot;,&quot;non-dropping-particle&quot;:&quot;&quot;},{&quot;family&quot;:&quot;Salaices&quot;,&quot;given&quot;:&quot;M&quot;,&quot;parse-names&quot;:false,&quot;dropping-particle&quot;:&quot;&quot;,&quot;non-dropping-particle&quot;:&quot;&quot;},{&quot;family&quot;:&quot;Alonso&quot;,&quot;given&quot;:&quot;M J&quot;,&quot;parse-names&quot;:false,&quot;dropping-particle&quot;:&quot;&quot;,&quot;non-dropping-particle&quot;:&quot;&quot;}],&quot;container-title&quot;:&quot;British Journal of Pharmacology&quot;,&quot;accessed&quot;:{&quot;date-parts&quot;:[[2018,4,5]]},&quot;DOI&quot;:&quot;10.1111/bph.13117&quot;,&quot;ISSN&quot;:&quot;00071188&quot;,&quot;URL&quot;:&quot;http://doi.wiley.com/10.1111/bph.13117&quot;,&quot;issued&quot;:{&quot;date-parts&quot;:[[2015,6,1]]},&quot;page&quot;:&quot;3159-3176&quot;,&quot;publisher&quot;:&quot;Wiley/Blackwell (10.1111)&quot;,&quot;issue&quot;:&quot;12&quot;,&quot;volume&quot;:&quot;172&quot;},&quot;isTemporary&quot;:false},{&quot;id&quot;:&quot;280b5466-c7d7-32f4-b268-72f001fd124e&quot;,&quot;itemData&quot;:{&quot;type&quot;:&quot;article-journal&quot;,&quot;id&quot;:&quot;280b5466-c7d7-32f4-b268-72f001fd124e&quot;,&quot;title&quot;:&quot;Role of toll-like receptor 4 in intimal foam cell accumulation in apolipoprotein E-deficient mice.&quot;,&quot;author&quot;:[{&quot;family&quot;:&quot;Higashimori&quot;,&quot;given&quot;:&quot;Mie&quot;,&quot;parse-names&quot;:false,&quot;dropping-particle&quot;:&quot;&quot;,&quot;non-dropping-particle&quot;:&quot;&quot;},{&quot;family&quot;:&quot;Tatro&quot;,&quot;given&quot;:&quot;Jeffrey B&quot;,&quot;parse-names&quot;:false,&quot;dropping-particle&quot;:&quot;&quot;,&quot;non-dropping-particle&quot;:&quot;&quot;},{&quot;family&quot;:&quot;Moore&quot;,&quot;given&quot;:&quot;Kathryn J&quot;,&quot;parse-names&quot;:false,&quot;dropping-particle&quot;:&quot;&quot;,&quot;non-dropping-particle&quot;:&quot;&quot;},{&quot;family&quot;:&quot;Mendelsohn&quot;,&quot;given&quot;:&quot;Michael E&quot;,&quot;parse-names&quot;:false,&quot;dropping-particle&quot;:&quot;&quot;,&quot;non-dropping-particle&quot;:&quot;&quot;},{&quot;family&quot;:&quot;Galper&quot;,&quot;given&quot;:&quot;Jonas B&quot;,&quot;parse-names&quot;:false,&quot;dropping-particle&quot;:&quot;&quot;,&quot;non-dropping-particle&quot;:&quot;&quot;},{&quot;family&quot;:&quot;Beasley&quot;,&quot;given&quot;:&quot;Debbie&quot;,&quot;parse-names&quot;:false,&quot;dropping-particle&quot;:&quot;&quot;,&quot;non-dropping-particle&quot;:&quot;&quot;}],&quot;container-title&quot;:&quot;Arteriosclerosis, thrombosis, and vascular biology&quot;,&quot;accessed&quot;:{&quot;date-parts&quot;:[[2018,4,5]]},&quot;DOI&quot;:&quot;10.1161/ATVBAHA.110.210971&quot;,&quot;ISSN&quot;:&quot;1524-4636&quot;,&quot;PMID&quot;:&quot;20966403&quot;,&quot;URL&quot;:&quot;http://www.ncbi.nlm.nih.gov/pubmed/20966403&quot;,&quot;issued&quot;:{&quot;date-parts&quot;:[[2011,1,1]]},&quot;page&quot;:&quot;50-7&quot;,&quot;abstract&quot;:&quot;OBJECTIVE Atherosclerosis encompasses a conspicuously maladaptive inflammatory response that might involve innate immunity. Here, we compared the role of Toll-like receptor 4 (TLR4) with that of TLR2 in intimal foam cell accumulation and inflammation in apolipoprotein E (ApoE) knockout (KO) mice in vivo and determined potential mechanisms of upstream activation and downstream action. METHODS AND RESULTS We measured lipid accumulation and gene expression in the lesion-prone lesser curvature of the aortic arch. TLR4 deficiency reduced intimal lipid by ≈75% in ApoE KO mice, despite unaltered total serum cholesterol and triglyceride levels, whereas TLR2 deficiency reduced it by ≈45%. TLR4 deficiency prevented the increased interleukin-1α (IL-1α) and monocyte chemoattractant protein-1 mRNA levels seen within lesional tissue, and it also lowered serum IL-1α levels. Smooth muscle cells (SMC) were present within the intima of the lesser curvature of the aortic arch at this early lesion stage, and they enveloped and permeated nascent lesions, which consisted of focal clusters of foam cells. Cholesterol enrichment of SMC in vitro stimulated acyl-coenzyme A:cholesterol acyltransferase-1 mRNA expression, cytoplasmic cholesterol ester accumulation, and monocyte chemoattractant protein-1 mRNA and protein expression in a TLR4-dependent manner. CONCLUSIONS TLR4 contributes to early-stage intimal foam cell accumulation at lesion-prone aortic sites in ApoE KO mice, as does TLR2 to a lesser extent. Intimal SMC surround and penetrate early lesions, where TLR4 signaling within them may influence lesion progression.&quot;,&quot;publisher&quot;:&quot;American Heart Association, Inc.&quot;,&quot;issue&quot;:&quot;1&quot;,&quot;volume&quot;:&quot;31&quot;},&quot;isTemporary&quot;:false}],&quot;properties&quot;:{&quot;noteIndex&quot;:0},&quot;isEdited&quot;:false,&quot;manualOverride&quot;:{&quot;isManuallyOverriden&quot;:false,&quot;citeprocText&quot;:&quot;(Higashimori &lt;i&gt;et al.&lt;/i&gt;, 2011; Hernanz &lt;i&gt;et al.&lt;/i&gt;, 2015)&quot;,&quot;manualOverrideText&quot;:&quot;&quot;},&quot;citationTag&quot;:&quot;MENDELEY_CITATION_v3_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&quot;},{&quot;citationID&quot;:&quot;MENDELEY_CITATION_943a380a-b7d2-4d3a-bde4-f4dc55f0b151&quot;,&quot;citationItems&quot;:[{&quot;id&quot;:&quot;07597066-7b56-3876-b7c5-2bb45e930f57&quot;,&quot;itemData&quot;:{&quot;type&quot;:&quot;article-journal&quot;,&quot;id&quot;:&quot;07597066-7b56-3876-b7c5-2bb45e930f57&quot;,&quot;title&quot;:&quot;Hyaluronan fragments stimulate endothelial recognition of injury through TLR4.&quot;,&quot;author&quot;:[{&quot;family&quot;:&quot;Taylor&quot;,&quot;given&quot;:&quot;Kristen R&quot;,&quot;parse-names&quot;:false,&quot;dropping-particle&quot;:&quot;&quot;,&quot;non-dropping-particle&quot;:&quot;&quot;},{&quot;family&quot;:&quot;Trowbridge&quot;,&quot;given&quot;:&quot;Janet M&quot;,&quot;parse-names&quot;:false,&quot;dropping-particle&quot;:&quot;&quot;,&quot;non-dropping-particle&quot;:&quot;&quot;},{&quot;family&quot;:&quot;Rudisill&quot;,&quot;given&quot;:&quot;Jennifer A&quot;,&quot;parse-names&quot;:false,&quot;dropping-particle&quot;:&quot;&quot;,&quot;non-dropping-particle&quot;:&quot;&quot;},{&quot;family&quot;:&quot;Termeer&quot;,&quot;given&quot;:&quot;Christian C&quot;,&quot;parse-names&quot;:false,&quot;dropping-particle&quot;:&quot;&quot;,&quot;non-dropping-particle&quot;:&quot;&quot;},{&quot;family&quot;:&quot;Simon&quot;,&quot;given&quot;:&quot;Jan C&quot;,&quot;parse-names&quot;:false,&quot;dropping-particle&quot;:&quot;&quot;,&quot;non-dropping-particle&quot;:&quot;&quot;},{&quot;family&quot;:&quot;Gallo&quot;,&quot;given&quot;:&quot;Richard L&quot;,&quot;parse-names&quot;:false,&quot;dropping-particle&quot;:&quot;&quot;,&quot;non-dropping-particle&quot;:&quot;&quot;}],&quot;container-title&quot;:&quot;The Journal of biological chemistry&quot;,&quot;accessed&quot;:{&quot;date-parts&quot;:[[2018,4,5]]},&quot;DOI&quot;:&quot;10.1074/jbc.M310859200&quot;,&quot;ISSN&quot;:&quot;0021-9258&quot;,&quot;PMID&quot;:&quot;14764599&quot;,&quot;URL&quot;:&quot;http://www.jbc.org/lookup/doi/10.1074/jbc.M310859200&quot;,&quot;issued&quot;:{&quot;date-parts&quot;:[[2004,4,23]]},&quot;page&quot;:&quot;17079-84&quot;,&quot;abstract&quot;:&quot;Tissues must quickly recognize injury to respond to the rapid pace of microbial growth. In skin, dermal microvascular endothelial cells must also react to danger signals from the surrounding tissue and immediately participate by initiating the wound repair process. Components of the extracellular matrix such as hyaluronan are rapidly broken down into smaller molecular weight oligosaccharides in a wound, and these can activate a variety of biological processes. This study set out to determine if hyaluronan fragments released following injury can stimulate endothelial cells and what mechanism is responsible for this response. Using genechip microarray analysis, a response to hyaluronan fragments was detected in endothelial cells with the most significant increase observed for the chemokine IL-8. This observation was verified with qualitative reverse transcriptase-PCR and ELISA in human endothelial cell culture, and in a mouse model by observing serum levels of MIP-2 and KC following hyaluronan fragment administration in vivo. Activation was TLR4-dependent, as shown by use of TLR4 blocking antibody and TLR4-deficient mice, but not due to the presence of undetected contaminants as shown by inactivation following digestion with the hyaluronan-degrading enzyme chondroitinase ABC or incubation with the hyaluronan-specific blocking peptide Pep-1. Inactivation of LPS activity failed to diminish the action of hyaluronan fragments. These observations suggest that endogenous components of the extracellular matrix can stimulate endothelia to trigger recognition of injury in the initial stages of the wound defense and repair response.&quot;,&quot;issue&quot;:&quot;17&quot;,&quot;volume&quot;:&quot;279&quot;},&quot;isTemporary&quot;:false},{&quot;id&quot;:&quot;2ee8730d-ef26-365b-91f6-886875b9434f&quot;,&quot;itemData&quot;:{&quot;type&quot;:&quot;article-journal&quot;,&quot;id&quot;:&quot;2ee8730d-ef26-365b-91f6-886875b9434f&quot;,&quot;title&quot;:&quot;Toll-like receptor-4 is expressed by macrophages in murine and human lipid-rich atherosclerotic plaques and upregulated by oxidized LDL.&quot;,&quot;author&quot;:[{&quot;family&quot;:&quot;Xu&quot;,&quot;given&quot;:&quot;X H&quot;,&quot;parse-names&quot;:false,&quot;dropping-particle&quot;:&quot;&quot;,&quot;non-dropping-particle&quot;:&quot;&quot;},{&quot;family&quot;:&quot;Shah&quot;,&quot;given&quot;:&quot;P K&quot;,&quot;parse-names&quot;:false,&quot;dropping-particle&quot;:&quot;&quot;,&quot;non-dropping-particle&quot;:&quot;&quot;},{&quot;family&quot;:&quot;Faure&quot;,&quot;given&quot;:&quot;E&quot;,&quot;parse-names&quot;:false,&quot;dropping-particle&quot;:&quot;&quot;,&quot;non-dropping-particle&quot;:&quot;&quot;},{&quot;family&quot;:&quot;Equils&quot;,&quot;given&quot;:&quot;O&quot;,&quot;parse-names&quot;:false,&quot;dropping-particle&quot;:&quot;&quot;,&quot;non-dropping-particle&quot;:&quot;&quot;},{&quot;family&quot;:&quot;Thomas&quot;,&quot;given&quot;:&quot;L&quot;,&quot;parse-names&quot;:false,&quot;dropping-particle&quot;:&quot;&quot;,&quot;non-dropping-particle&quot;:&quot;&quot;},{&quot;family&quot;:&quot;Fishbein&quot;,&quot;given&quot;:&quot;M C&quot;,&quot;parse-names&quot;:false,&quot;dropping-particle&quot;:&quot;&quot;,&quot;non-dropping-particle&quot;:&quot;&quot;},{&quot;family&quot;:&quot;Luthringer&quot;,&quot;given&quot;:&quot;D&quot;,&quot;parse-names&quot;:false,&quot;dropping-particle&quot;:&quot;&quot;,&quot;non-dropping-particle&quot;:&quot;&quot;},{&quot;family&quot;:&quot;Xu&quot;,&quot;given&quot;:&quot;X P&quot;,&quot;parse-names&quot;:false,&quot;dropping-particle&quot;:&quot;&quot;,&quot;non-dropping-particle&quot;:&quot;&quot;},{&quot;family&quot;:&quot;Rajavashisth&quot;,&quot;given&quot;:&quot;T B&quot;,&quot;parse-names&quot;:false,&quot;dropping-particle&quot;:&quot;&quot;,&quot;non-dropping-particle&quot;:&quot;&quot;},{&quot;family&quot;:&quot;Yano&quot;,&quot;given&quot;:&quot;J&quot;,&quot;parse-names&quot;:false,&quot;dropping-particle&quot;:&quot;&quot;,&quot;non-dropping-particle&quot;:&quot;&quot;},{&quot;family&quot;:&quot;Kaul&quot;,&quot;given&quot;:&quot;S&quot;,&quot;parse-names&quot;:false,&quot;dropping-particle&quot;:&quot;&quot;,&quot;non-dropping-particle&quot;:&quot;&quot;},{&quot;family&quot;:&quot;Arditi&quot;,&quot;given&quot;:&quot;M&quot;,&quot;parse-names&quot;:false,&quot;dropping-particle&quot;:&quot;&quot;,&quot;non-dropping-particle&quot;:&quot;&quot;}],&quot;container-title&quot;:&quot;Circulation&quot;,&quot;accessed&quot;:{&quot;date-parts&quot;:[[2018,4,5]]},&quot;ISSN&quot;:&quot;1524-4539&quot;,&quot;PMID&quot;:&quot;11748108&quot;,&quot;URL&quot;:&quot;http://www.ncbi.nlm.nih.gov/pubmed/11748108&quot;,&quot;issued&quot;:{&quot;date-parts&quot;:[[2001,12,18]]},&quot;page&quot;:&quot;3103-8&quot;,&quot;abstract&quot;:&quot;BACKGROUND Inflammation is implicated in atherogenesis and plaque disruption. Toll-like receptor 2 (TLR-2) and TLR-4, a human homologue of drosophila Toll, play an important role in the innate and inflammatory signaling responses to microbial agents. To investigate a potential role of these receptors in atherosclerosis, we assessed the expression of TLR-2 and TLR-4 in murine and human atherosclerotic plaques. METHODS AND RESULTS Aortic root lesions of high-fat diet-fed apoE-deficient mice (n=5) and human coronary atherosclerotic plaques (n=9) obtained at autopsy were examined for TLR-4 and TLR-2 expression by immunohistochemistry. Aortic atherosclerotic lesions in all apoE-deficient mice expressed TLR-4, whereas aortic tissue obtained from control C57BL/6J mice showed no TLR-4 expression. All 5 lipid-rich human plaques expressed TRL-4, whereas the 4 fibrous plaques and 4 normal human arteries showed no or minimal expression. Serial sections and double immunostaining showed TLR-4 colocalizing with macrophages both in murine atherosclerotic lesions and at the shoulder region of human coronary artery plaques. In contrast to TLR-4, none of the plaques expressed TLR-2. Furthermore, basal TLR-4 mRNA expression by human monocyte-derived macrophages was upregulated by ox-LDL in vitro. CONCLUSIONS Our study demonstrates that TLR-4 is preferentially expressed by macrophages in murine and human lipid-rich atherosclerotic lesions, where it may play a role to enhance and sustain the innate immune and inflammatory responses. Moreover, upregulation of TLR-4 in macrophages by oxidized LDL suggests that TLR-4 may provide a potential pathophysiological link between lipids and infection/inflammation and atherosclerosis.&quot;,&quot;issue&quot;:&quot;25&quot;,&quot;volume&quot;:&quot;104&quot;},&quot;isTemporary&quot;:false}],&quot;properties&quot;:{&quot;noteIndex&quot;:0},&quot;isEdited&quot;:false,&quot;manualOverride&quot;:{&quot;isManuallyOverriden&quot;:false,&quot;citeprocText&quot;:&quot;(Xu &lt;i&gt;et al.&lt;/i&gt;, 2001; Taylor &lt;i&gt;et al.&lt;/i&gt;, 2004)&quot;,&quot;manualOverrideText&quot;:&quot;&quot;},&quot;citationTag&quot;:&quot;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&quot;},{&quot;citationID&quot;:&quot;MENDELEY_CITATION_73fb0f5a-9102-41cf-876b-904bca7aa963&quot;,&quot;citationItems&quot;:[{&quot;id&quot;:&quot;b6439939-570b-3742-9ac5-1d46ba196d5b&quot;,&quot;itemData&quot;:{&quot;type&quot;:&quot;article-journal&quot;,&quot;id&quot;:&quot;b6439939-570b-3742-9ac5-1d46ba196d5b&quot;,&quot;title&quot;:&quot;Signal transduction by the lipopolysaccharide receptor, Toll-like receptor-4&quot;,&quot;author&quot;:[{&quot;family&quot;:&quot;Palsson-McDermott&quot;,&quot;given&quot;:&quot;Eva M.&quot;,&quot;parse-names&quot;:false,&quot;dropping-particle&quot;:&quot;&quot;,&quot;non-dropping-particle&quot;:&quot;&quot;},{&quot;family&quot;:&quot;O'Neill&quot;,&quot;given&quot;:&quot;Luke A. J.&quot;,&quot;parse-names&quot;:false,&quot;dropping-particle&quot;:&quot;&quot;,&quot;non-dropping-particle&quot;:&quot;&quot;}],&quot;container-title&quot;:&quot;Immunology&quot;,&quot;accessed&quot;:{&quot;date-parts&quot;:[[2018,4,20]]},&quot;DOI&quot;:&quot;10.1111/j.1365-2567.2004.01976.x&quot;,&quot;ISSN&quot;:&quot;0019-2805&quot;,&quot;URL&quot;:&quot;http://doi.wiley.com/10.1111/j.1365-2567.2004.01976.x&quot;,&quot;issued&quot;:{&quot;date-parts&quot;:[[2004,10]]},&quot;page&quot;:&quot;153-162&quot;,&quot;issue&quot;:&quot;2&quot;,&quot;volume&quot;:&quot;113&quot;},&quot;isTemporary&quot;:false}],&quot;properties&quot;:{&quot;noteIndex&quot;:0},&quot;isEdited&quot;:false,&quot;manualOverride&quot;:{&quot;isManuallyOverriden&quot;:false,&quot;citeprocText&quot;:&quot;(Palsson-McDermott and O’Neill, 2004)&quot;,&quot;manualOverrideText&quot;:&quot;&quot;},&quot;citationTag&quot;:&quot;MENDELEY_CITATION_v3_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&quot;},{&quot;citationID&quot;:&quot;MENDELEY_CITATION_127dc757-dba8-4bdb-8f23-62a5820f3bb0&quot;,&quot;citationItems&quot;:[{&quot;id&quot;:&quot;7cf14243-d8e4-33d6-98e7-224884d56881&quot;,&quot;itemData&quot;:{&quot;type&quot;:&quot;article-journal&quot;,&quot;id&quot;:&quot;7cf14243-d8e4-33d6-98e7-224884d56881&quot;,&quot;title&quot;:&quot;Lipopolysaccharide (LPS)-binding protein accelerates the binding of LPS to CD14&quot;,&quot;author&quot;:[{&quot;family&quot;:&quot;Hailman&quot;,&quot;given&quot;:&quot;Eric&quot;,&quot;parse-names&quot;:false,&quot;dropping-particle&quot;:&quot;&quot;,&quot;non-dropping-particle&quot;:&quot;&quot;},{&quot;family&quot;:&quot;Lichenstein&quot;,&quot;given&quot;:&quot;Henri S.&quot;,&quot;parse-names&quot;:false,&quot;dropping-particle&quot;:&quot;&quot;,&quot;non-dropping-particle&quot;:&quot;&quot;},{&quot;family&quot;:&quot;Wurfel&quot;,&quot;given&quot;:&quot;Mark M.&quot;,&quot;parse-names&quot;:false,&quot;dropping-particle&quot;:&quot;&quot;,&quot;non-dropping-particle&quot;:&quot;&quot;},{&quot;family&quot;:&quot;Miller&quot;,&quot;given&quot;:&quot;David S.&quot;,&quot;parse-names&quot;:false,&quot;dropping-particle&quot;:&quot;&quot;,&quot;non-dropping-particle&quot;:&quot;&quot;},{&quot;family&quot;:&quot;Johnson&quot;,&quot;given&quot;:&quot;David A.&quot;,&quot;parse-names&quot;:false,&quot;dropping-particle&quot;:&quot;&quot;,&quot;non-dropping-particle&quot;:&quot;&quot;},{&quot;family&quot;:&quot;Kelley&quot;,&quot;given&quot;:&quot;Michael&quot;,&quot;parse-names&quot;:false,&quot;dropping-particle&quot;:&quot;&quot;,&quot;non-dropping-particle&quot;:&quot;&quot;},{&quot;family&quot;:&quot;Busse&quot;,&quot;given&quot;:&quot;Leigh A.&quot;,&quot;parse-names&quot;:false,&quot;dropping-particle&quot;:&quot;&quot;,&quot;non-dropping-particle&quot;:&quot;&quot;},{&quot;family&quot;:&quot;Zukowski&quot;,&quot;given&quot;:&quot;Mark M.&quot;,&quot;parse-names&quot;:false,&quot;dropping-particle&quot;:&quot;&quot;,&quot;non-dropping-particle&quot;:&quot;&quot;},{&quot;family&quot;:&quot;Wright&quot;,&quot;given&quot;:&quot;Samuel D.&quot;,&quot;parse-names&quot;:false,&quot;dropping-particle&quot;:&quot;&quot;,&quot;non-dropping-particle&quot;:&quot;&quot;}],&quot;container-title&quot;:&quot;Journal of Experimental Medicine&quot;,&quot;accessed&quot;:{&quot;date-parts&quot;:[[2021,1,31]]},&quot;DOI&quot;:&quot;10.1084/jem.179.1.269&quot;,&quot;ISSN&quot;:&quot;15409538&quot;,&quot;PMID&quot;:&quot;7505800&quot;,&quot;URL&quot;:&quot;http://rupress.org/jem/article-pdf/179/1/269/1395019/269.pdf&quot;,&quot;issued&quot;:{&quot;date-parts&quot;:[[1994,1,1]]},&quot;page&quot;:&quot;269-277&quot;,&quot;abstract&quot;:&quot;CD14 is a 55-kD protein found as a glycosylphosphatidylinositol (GPI)-anchored protein on the surface of monocytes, macrophages, and polymorphonuclear leukocytes, and as a soluble protein in the blood. Both forms of CD14 participate in the serum-dependent responses of cells to bacterial lipopolysaccharide (LPS). While CD14 has been described as a receptor for complexes of LPS with LPS-binding protein (LBP), there has been no direct evidence showing whether a ternary complex of LPS, LBP, and CD14 is formed, or whether CD14 binds LPS directly. Using nondenaturing polyacrylamide gel electrophoresis (native PAGE), we show that recombinant soluble CD14 (rsCD14) binds LPS in the absence of LBP or other proteins. Binding of LPS to CD14 is stable and of low stoichiometry (one or two molecules of LPS per rsCD14). Recombinant LBP (rLBP) does not form detectable ternary complexes with rsCD14 and LPS, but it does accelerate the binding of LPS to rsCD14, rLBP facilitates the interaction of LPS with rsCD14 at substoichiometric concentrations, suggesting that LBP functions catalytically, as a lipid transfer protein. Complexes of LPS and rsCD14 formed in the absence of LBP or other serum proteins strongly stimulate integrin function on PMN and expression of E-selectin on endothelial cells, demonstrating that LBP is not necessary for CD14-dependent stimulation of cells. These results suggest that CD14 acts as a soluble and cell surface receptor for LPS, and that LBP may function primarily to accelerate the binding of LPS to CD14. © 1994, Rockefeller University Press., All rights reserved.&quot;,&quot;publisher&quot;:&quot;The Rockefeller University Press&quot;,&quot;issue&quot;:&quot;1&quot;,&quot;volume&quot;:&quot;179&quot;},&quot;isTemporary&quot;:false}],&quot;properties&quot;:{&quot;noteIndex&quot;:0},&quot;isEdited&quot;:false,&quot;manualOverride&quot;:{&quot;isManuallyOverriden&quot;:false,&quot;citeprocText&quot;:&quot;(Hailman &lt;i&gt;et al.&lt;/i&gt;, 1994)&quot;,&quot;manualOverrideText&quot;:&quot;&quot;},&quot;citationTag&quot;:&quot;MENDELEY_CITATION_v3_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&quot;},{&quot;citationID&quot;:&quot;MENDELEY_CITATION_b1282035-9958-487b-8809-01b3c61956af&quot;,&quot;citationItems&quot;:[{&quot;id&quot;:&quot;b62de541-f398-368e-af1f-343a121b3508&quot;,&quot;itemData&quot;:{&quot;type&quot;:&quot;article-journal&quot;,&quot;id&quot;:&quot;b62de541-f398-368e-af1f-343a121b3508&quot;,&quot;title&quot;:&quot;Dynamic lipopolysaccharide transfer cascade to TLR4/MD2 complex via LBP and CD14&quot;,&quot;author&quot;:[{&quot;family&quot;:&quot;Kim&quot;,&quot;given&quot;:&quot;Soo Jin&quot;,&quot;parse-names&quot;:false,&quot;dropping-particle&quot;:&quot;&quot;,&quot;non-dropping-particle&quot;:&quot;&quot;},{&quot;family&quot;:&quot;Kim&quot;,&quot;given&quot;:&quot;Ho Min&quot;,&quot;parse-names&quot;:false,&quot;dropping-particle&quot;:&quot;&quot;,&quot;non-dropping-particle&quot;:&quot;&quot;}],&quot;container-title&quot;:&quot;BMB Reports&quot;,&quot;accessed&quot;:{&quot;date-parts&quot;:[[2021,1,31]]},&quot;DOI&quot;:&quot;10.5483/BMBRep.2017.50.2.011&quot;,&quot;ISSN&quot;:&quot;1976670X&quot;,&quot;PMID&quot;:&quot;28115037&quot;,&quot;URL&quot;:&quot;/pmc/articles/PMC5342866/?report=abstract&quot;,&quot;issued&quot;:{&quot;date-parts&quot;:[[2017]]},&quot;page&quot;:&quot;55-57&quot;,&quot;abstract&quot;:&quot;Toll-like receptor 4 (TLR4) together with MD2, one of the key pattern recognition receptors for a pathogen-associated molecular pattern, activates innate immunity by recognizing lipopolysaccharide (LPS) of Gram-negative bacteria. Although LBP and CD14 catalyze LPS transfer to the TLR4/MD2 complex, the detail mechanisms underlying this dynamic LPS transfer remain elusive. Using negative-stain electron microscopy, we visualized the dynamic intermediate complexes during LPS transfer-LBP/LPS micelles and ternary CD14/LBP/ LPS micelle complexes. We also reconstituted the entire cascade of LPS transfer to TLR4/MD2 in a total internal reflection fluorescence (TIRF) microscope for a single molecule fluorescence analysis. These analyses reveal longitudinal LBP binding to the surface of LPS micelles and multi-round binding/unbinding of CD14 to single LBP/LPS micelles via key charged residues on LBP and CD14. Finally, we reveal that a single LPS molecule bound to CD14 is transferred to TLR4/MD2 in a TLR4-dependent manner. These discoveries, which clarify the molecular mechanism of dynamic LPS transfer to TLR4/MD2 via LBP and CD14, provide novel insights into the initiation of innate immune responses.&quot;,&quot;publisher&quot;:&quot;The Biochemical Society of the Republic of Korea&quot;,&quot;issue&quot;:&quot;2&quot;,&quot;volume&quot;:&quot;50&quot;},&quot;isTemporary&quot;:false}],&quot;properties&quot;:{&quot;noteIndex&quot;:0},&quot;isEdited&quot;:false,&quot;manualOverride&quot;:{&quot;isManuallyOverriden&quot;:false,&quot;citeprocText&quot;:&quot;(Kim and Kim, 2017)&quot;,&quot;manualOverrideText&quot;:&quot;&quot;},&quot;citationTag&quot;:&quot;MENDELEY_CITATION_v3_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&quot;},{&quot;citationID&quot;:&quot;MENDELEY_CITATION_c6f8de8a-2d04-4dd6-b898-d436c21b4d8e&quot;,&quot;citationItems&quot;:[{&quot;id&quot;:&quot;b62de541-f398-368e-af1f-343a121b3508&quot;,&quot;itemData&quot;:{&quot;type&quot;:&quot;article-journal&quot;,&quot;id&quot;:&quot;b62de541-f398-368e-af1f-343a121b3508&quot;,&quot;title&quot;:&quot;Dynamic lipopolysaccharide transfer cascade to TLR4/MD2 complex via LBP and CD14&quot;,&quot;author&quot;:[{&quot;family&quot;:&quot;Kim&quot;,&quot;given&quot;:&quot;Soo Jin&quot;,&quot;parse-names&quot;:false,&quot;dropping-particle&quot;:&quot;&quot;,&quot;non-dropping-particle&quot;:&quot;&quot;},{&quot;family&quot;:&quot;Kim&quot;,&quot;given&quot;:&quot;Ho Min&quot;,&quot;parse-names&quot;:false,&quot;dropping-particle&quot;:&quot;&quot;,&quot;non-dropping-particle&quot;:&quot;&quot;}],&quot;container-title&quot;:&quot;BMB Reports&quot;,&quot;accessed&quot;:{&quot;date-parts&quot;:[[2021,1,31]]},&quot;DOI&quot;:&quot;10.5483/BMBRep.2017.50.2.011&quot;,&quot;ISSN&quot;:&quot;1976670X&quot;,&quot;PMID&quot;:&quot;28115037&quot;,&quot;URL&quot;:&quot;/pmc/articles/PMC5342866/?report=abstract&quot;,&quot;issued&quot;:{&quot;date-parts&quot;:[[2017]]},&quot;page&quot;:&quot;55-57&quot;,&quot;abstract&quot;:&quot;Toll-like receptor 4 (TLR4) together with MD2, one of the key pattern recognition receptors for a pathogen-associated molecular pattern, activates innate immunity by recognizing lipopolysaccharide (LPS) of Gram-negative bacteria. Although LBP and CD14 catalyze LPS transfer to the TLR4/MD2 complex, the detail mechanisms underlying this dynamic LPS transfer remain elusive. Using negative-stain electron microscopy, we visualized the dynamic intermediate complexes during LPS transfer-LBP/LPS micelles and ternary CD14/LBP/ LPS micelle complexes. We also reconstituted the entire cascade of LPS transfer to TLR4/MD2 in a total internal reflection fluorescence (TIRF) microscope for a single molecule fluorescence analysis. These analyses reveal longitudinal LBP binding to the surface of LPS micelles and multi-round binding/unbinding of CD14 to single LBP/LPS micelles via key charged residues on LBP and CD14. Finally, we reveal that a single LPS molecule bound to CD14 is transferred to TLR4/MD2 in a TLR4-dependent manner. These discoveries, which clarify the molecular mechanism of dynamic LPS transfer to TLR4/MD2 via LBP and CD14, provide novel insights into the initiation of innate immune responses.&quot;,&quot;publisher&quot;:&quot;The Biochemical Society of the Republic of Korea&quot;,&quot;issue&quot;:&quot;2&quot;,&quot;volume&quot;:&quot;50&quot;},&quot;isTemporary&quot;:false}],&quot;properties&quot;:{&quot;noteIndex&quot;:0},&quot;isEdited&quot;:false,&quot;manualOverride&quot;:{&quot;isManuallyOverriden&quot;:false,&quot;citeprocText&quot;:&quot;(Kim and Kim, 2017)&quot;,&quot;manualOverrideText&quot;:&quot;&quot;},&quot;citationTag&quot;:&quot;MENDELEY_CITATION_v3_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&quot;},{&quot;citationID&quot;:&quot;MENDELEY_CITATION_76223906-479c-4442-bc97-86305277dd1c&quot;,&quot;citationItems&quot;:[{&quot;id&quot;:&quot;8f2e01bc-4371-382f-8f12-7dd0b3de8ad2&quot;,&quot;itemData&quot;:{&quot;type&quot;:&quot;article-journal&quot;,&quot;id&quot;:&quot;8f2e01bc-4371-382f-8f12-7dd0b3de8ad2&quot;,&quot;title&quot;:&quot;Lipopolysaccharide Interaction with Cell Surface Toll-like Receptor 4-MD-2 Higher Affinity than That with MD-2 or CD14&quot;,&quot;author&quot;:[{&quot;family&quot;:&quot;Akashi&quot;,&quot;given&quot;:&quot;Sachiko&quot;,&quot;parse-names&quot;:false,&quot;dropping-particle&quot;:&quot;&quot;,&quot;non-dropping-particle&quot;:&quot;&quot;},{&quot;family&quot;:&quot;Saitoh&quot;,&quot;given&quot;:&quot;Shin-ichiroh&quot;,&quot;parse-names&quot;:false,&quot;dropping-particle&quot;:&quot;&quot;,&quot;non-dropping-particle&quot;:&quot;&quot;},{&quot;family&quot;:&quot;Wakabayashi&quot;,&quot;given&quot;:&quot;Yasutaka&quot;,&quot;parse-names&quot;:false,&quot;dropping-particle&quot;:&quot;&quot;,&quot;non-dropping-particle&quot;:&quot;&quot;},{&quot;family&quot;:&quot;Kikuchi&quot;,&quot;given&quot;:&quot;Takane&quot;,&quot;parse-names&quot;:false,&quot;dropping-particle&quot;:&quot;&quot;,&quot;non-dropping-particle&quot;:&quot;&quot;},{&quot;family&quot;:&quot;Takamura&quot;,&quot;given&quot;:&quot;Noriaki&quot;,&quot;parse-names&quot;:false,&quot;dropping-particle&quot;:&quot;&quot;,&quot;non-dropping-particle&quot;:&quot;&quot;},{&quot;family&quot;:&quot;Nagai&quot;,&quot;given&quot;:&quot;Yoshinori&quot;,&quot;parse-names&quot;:false,&quot;dropping-particle&quot;:&quot;&quot;,&quot;non-dropping-particle&quot;:&quot;&quot;},{&quot;family&quot;:&quot;Kusumoto&quot;,&quot;given&quot;:&quot;Yutaka&quot;,&quot;parse-names&quot;:false,&quot;dropping-particle&quot;:&quot;&quot;,&quot;non-dropping-particle&quot;:&quot;&quot;},{&quot;family&quot;:&quot;Fukase&quot;,&quot;given&quot;:&quot;Koichi&quot;,&quot;parse-names&quot;:false,&quot;dropping-particle&quot;:&quot;&quot;,&quot;non-dropping-particle&quot;:&quot;&quot;},{&quot;family&quot;:&quot;Kusumoto&quot;,&quot;given&quot;:&quot;Shoichi&quot;,&quot;parse-names&quot;:false,&quot;dropping-particle&quot;:&quot;&quot;,&quot;non-dropping-particle&quot;:&quot;&quot;},{&quot;family&quot;:&quot;Adachi&quot;,&quot;given&quot;:&quot;Yoshiyuki&quot;,&quot;parse-names&quot;:false,&quot;dropping-particle&quot;:&quot;&quot;,&quot;non-dropping-particle&quot;:&quot;&quot;},{&quot;family&quot;:&quot;Kosugi&quot;,&quot;given&quot;:&quot;Atsushi&quot;,&quot;parse-names&quot;:false,&quot;dropping-particle&quot;:&quot;&quot;,&quot;non-dropping-particle&quot;:&quot;&quot;},{&quot;family&quot;:&quot;Miyake&quot;,&quot;given&quot;:&quot;Kensuke&quot;,&quot;parse-names&quot;:false,&quot;dropping-particle&quot;:&quot;&quot;,&quot;non-dropping-particle&quot;:&quot;&quot;}],&quot;container-title&quot;:&quot;Journal of Experimental Medicine&quot;,&quot;accessed&quot;:{&quot;date-parts&quot;:[[2021,9,12]]},&quot;DOI&quot;:&quot;10.1084/JEM.20031076&quot;,&quot;ISSN&quot;:&quot;0022-1007&quot;,&quot;URL&quot;:&quot;http://www.jem.org/cgi/doi/10.1084/jem.20031076&quot;,&quot;issued&quot;:{&quot;date-parts&quot;:[[2003,10,6]]},&quot;page&quot;:&quot;1035-1042&quot;,&quot;abstract&quot;:&quot;Toll-like receptors (TLRs) are innate recognition molecules for microbial products, but their direct interactions with corresponding ligands remain unclarified. LPS, a membrane constituent of gram-negative bacteria, is the best-studied TLR ligand and is recognized by TLR4 and MD-2, a molecule associated with the extracellular domain of TLR4. Although TLR4-MD-2 recognizes LPS, little is known about the physical interaction between LPS and TLR4-MD-2. Here, we demonstrate cell surface LPS-TLR4-MD-2 complexes. CD14 greatly enhances the formation of LPS-TLR4-MD-2 complexes, but is not coprecipitated with LPS-TLR4-MD-2 complexes, suggesting a role for CD14 in LPS loading onto TLR4-MD-2 but not in the interaction itself between LPS and TLR4-MD-2. A tentative dissociation constant (Kd) for LPS-TLR4-MD-2 complexes was ∼3 nM, which is ∼10-20 times lower than the reported Kd for LPS-MD-2 or LPS-CD14. The presence of detergent disrupts LPS interaction with CD14 but not with TLR4-MD-2. E5531, a lipid A antagonist developed for therapeutic intervention of endotoxin shock, blocks LPS interaction with TLR4-MD-2 at a concentration 100 times lower than that required for blocking LPS interaction with CD14. These results reveal direct LPS interaction with cell surface TLR4-MD-2 that is distinct from that with MD-2 or CD14.&quot;,&quot;publisher&quot;:&quot;The Rockefeller University Press&quot;,&quot;issue&quot;:&quot;7&quot;,&quot;volume&quot;:&quot;198&quot;},&quot;isTemporary&quot;:false}],&quot;properties&quot;:{&quot;noteIndex&quot;:0},&quot;isEdited&quot;:false,&quot;manualOverride&quot;:{&quot;isManuallyOverridden&quot;:false,&quot;citeprocText&quot;:&quot;(Akashi &lt;i&gt;et al.&lt;/i&gt;, 2003)&quot;,&quot;manualOverrideText&quot;:&quot;&quot;},&quot;citationTag&quot;:&quot;MENDELEY_CITATION_v3_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&quot;},{&quot;citationID&quot;:&quot;MENDELEY_CITATION_93b9a538-bae0-4d9d-8b01-e5420e179eb5&quot;,&quot;citationItems&quot;:[{&quot;id&quot;:&quot;10d1d0d0-5142-3791-bc38-19d3e0905c84&quot;,&quot;itemData&quot;:{&quot;type&quot;:&quot;article-journal&quot;,&quot;id&quot;:&quot;10d1d0d0-5142-3791-bc38-19d3e0905c84&quot;,&quot;title&quot;:&quot;Essential role of MD-2 in LPS responsiveness and TLR4 distribution&quot;,&quot;author&quot;:[{&quot;family&quot;:&quot;Nagai&quot;,&quot;given&quot;:&quot;Yoshinori&quot;,&quot;parse-names&quot;:false,&quot;dropping-particle&quot;:&quot;&quot;,&quot;non-dropping-particle&quot;:&quot;&quot;},{&quot;family&quot;:&quot;Akashi&quot;,&quot;given&quot;:&quot;Sachiko&quot;,&quot;parse-names&quot;:false,&quot;dropping-particle&quot;:&quot;&quot;,&quot;non-dropping-particle&quot;:&quot;&quot;},{&quot;family&quot;:&quot;Nagafuku&quot;,&quot;given&quot;:&quot;Masakazu&quot;,&quot;parse-names&quot;:false,&quot;dropping-particle&quot;:&quot;&quot;,&quot;non-dropping-particle&quot;:&quot;&quot;},{&quot;family&quot;:&quot;Ogata&quot;,&quot;given&quot;:&quot;Masato&quot;,&quot;parse-names&quot;:false,&quot;dropping-particle&quot;:&quot;&quot;,&quot;non-dropping-particle&quot;:&quot;&quot;},{&quot;family&quot;:&quot;Iwakura&quot;,&quot;given&quot;:&quot;Yoichiro&quot;,&quot;parse-names&quot;:false,&quot;dropping-particle&quot;:&quot;&quot;,&quot;non-dropping-particle&quot;:&quot;&quot;},{&quot;family&quot;:&quot;Akira&quot;,&quot;given&quot;:&quot;Shizuo&quot;,&quot;parse-names&quot;:false,&quot;dropping-particle&quot;:&quot;&quot;,&quot;non-dropping-particle&quot;:&quot;&quot;},{&quot;family&quot;:&quot;Kitamura&quot;,&quot;given&quot;:&quot;Toshio&quot;,&quot;parse-names&quot;:false,&quot;dropping-particle&quot;:&quot;&quot;,&quot;non-dropping-particle&quot;:&quot;&quot;},{&quot;family&quot;:&quot;Kosugi&quot;,&quot;given&quot;:&quot;Atsushi&quot;,&quot;parse-names&quot;:false,&quot;dropping-particle&quot;:&quot;&quot;,&quot;non-dropping-particle&quot;:&quot;&quot;},{&quot;family&quot;:&quot;Kimoto&quot;,&quot;given&quot;:&quot;Masao&quot;,&quot;parse-names&quot;:false,&quot;dropping-particle&quot;:&quot;&quot;,&quot;non-dropping-particle&quot;:&quot;&quot;},{&quot;family&quot;:&quot;Miyake&quot;,&quot;given&quot;:&quot;Kensuke&quot;,&quot;parse-names&quot;:false,&quot;dropping-particle&quot;:&quot;&quot;,&quot;non-dropping-particle&quot;:&quot;&quot;}],&quot;container-title&quot;:&quot;Nature Immunology&quot;,&quot;accessed&quot;:{&quot;date-parts&quot;:[[2021,1,31]]},&quot;DOI&quot;:&quot;10.1038/ni809&quot;,&quot;ISSN&quot;:&quot;15292908&quot;,&quot;PMID&quot;:&quot;12055629&quot;,&quot;URL&quot;:&quot;https://www.nature.com/articles/ni809&quot;,&quot;issued&quot;:{&quot;date-parts&quot;:[[2002,6,10]]},&quot;page&quot;:&quot;667-672&quot;,&quot;abstract&quot;:&quot;Toll-like receptor 4 (TLR4) mediates lipopolysaccharide (LPS) signaling in a variety of cell types. MD-2 is associated with the extracellular domain of TLR4 and augments TLR4-dependent LPS responses in vitro. We show here that MD-2−/− mice do not respond to LPS, do survive endotoxic shock but are susceptible to Salmonella typhimurium infection. We found that in MD-2−/− embryonic fibroblasts, TLR4 was not able to reach the plasma membrane and predominantly resided in the Golgi apparatus, whereas TLR4 was distributed at the leading edge surface of cells in wild-type embryonic fibroblasts. Thus, MD-2 is essential for correct intracellular distribution and LPS-recognition of TLR4.&quot;,&quot;publisher&quot;:&quot;Nature Publishing Group&quot;,&quot;issue&quot;:&quot;7&quot;,&quot;volume&quot;:&quot;3&quot;},&quot;isTemporary&quot;:false},{&quot;id&quot;:&quot;0b5a5cd5-3ec7-33b4-8fd2-0a16c80cec6a&quot;,&quot;itemData&quot;:{&quot;type&quot;:&quot;article-journal&quot;,&quot;id&quot;:&quot;0b5a5cd5-3ec7-33b4-8fd2-0a16c80cec6a&quot;,&quot;title&quot;:&quot;Cutting edge: The induction of acute phase proteins by lipopolysaccharide uses a novel pathway that is CD14-independent&quot;,&quot;author&quot;:[{&quot;family&quot;:&quot;Haziot&quot;,&quot;given&quot;:&quot;A&quot;,&quot;parse-names&quot;:false,&quot;dropping-particle&quot;:&quot;&quot;,&quot;non-dropping-particle&quot;:&quot;&quot;},{&quot;family&quot;:&quot;Lin&quot;,&quot;given&quot;:&quot;XY&quot;,&quot;parse-names&quot;:false,&quot;dropping-particle&quot;:&quot;&quot;,&quot;non-dropping-particle&quot;:&quot;&quot;},{&quot;family&quot;:&quot;…&quot;,&quot;given&quot;:&quot;F Zhang - The Journal of&quot;,&quot;parse-names&quot;:false,&quot;dropping-particle&quot;:&quot;&quot;,&quot;non-dropping-particle&quot;:&quot;&quot;},{&quot;family&quot;:&quot;1998&quot;,&quot;given&quot;:&quot;undefined&quot;,&quot;parse-names&quot;:false,&quot;dropping-particle&quot;:&quot;&quot;,&quot;non-dropping-particle&quot;:&quot;&quot;}],&quot;container-title&quot;:&quot;Am Assoc Immnol&quot;,&quot;accessed&quot;:{&quot;date-parts&quot;:[[2021,9,12]]},&quot;URL&quot;:&quot;https://www.jimmunol.org/content/160/6/2570.short&quot;,&quot;issued&quot;:{&quot;date-parts&quot;:[[1998]]},&quot;page&quot;:&quot;2570-2572&quot;,&quot;abstract&quot;:&quot;LPS (endotoxin) and proinflammatory cytokines (IL-6, IL-1, and TNF-) are potent inducers of acute phase proteins (APP). Since LPS induces high levels of these cytokines after its interaction with CD14, a protein expressed on the surface of monocytes and neutrophils, it has been assumed that CD14 mediates the LPS induction of APP expression. To test this hypothesis, CD14-deficient and control mice were injected with low doses of LPS, and the expression of several APP that are normally up-regulated by LPS was measured. CD14-deficient mice showed no alteration in the induction of APP, including serum amyloid A, LPS-binding protein, fibrinogen, or cerulo-plasmin; in contrast, C3H/HeJ mice, which carry a mutation in the Lps gene, do not up-regulate the expression of these proteins. These studies show that the up-regulation of APP by LPS utilizes a non-CD14 receptor and requires a functional Lps gene.&quot;,&quot;volume&quot;:&quot;160&quot;},&quot;isTemporary&quot;:false}],&quot;properties&quot;:{&quot;noteIndex&quot;:0},&quot;isEdited&quot;:false,&quot;manualOverride&quot;:{&quot;isManuallyOverridden&quot;:false,&quot;citeprocText&quot;:&quot;(Haziot &lt;i&gt;et al.&lt;/i&gt;, 1998; Nagai &lt;i&gt;et al.&lt;/i&gt;, 2002)&quot;,&quot;manualOverrideText&quot;:&quot;&quot;},&quot;citationTag&quot;:&quot;MENDELEY_CITATION_v3_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&quot;},{&quot;citationID&quot;:&quot;MENDELEY_CITATION_030c25f9-101a-4b0a-8bc0-8c7d80cd3e99&quot;,&quot;citationItems&quot;:[{&quot;id&quot;:&quot;c9729dc8-5957-3221-a1a6-1b5b75337323&quot;,&quot;itemData&quot;:{&quot;type&quot;:&quot;article-journal&quot;,&quot;id&quot;:&quot;c9729dc8-5957-3221-a1a6-1b5b75337323&quot;,&quot;title&quot;:&quot;The structural basis of lipopolysaccharide recognition by the TLR4–MD-2 complex&quot;,&quot;author&quot;:[{&quot;family&quot;:&quot;Park&quot;,&quot;given&quot;:&quot;Beom Seok&quot;,&quot;parse-names&quot;:false,&quot;dropping-particle&quot;:&quot;&quot;,&quot;non-dropping-particle&quot;:&quot;&quot;},{&quot;family&quot;:&quot;Song&quot;,&quot;given&quot;:&quot;Dong Hyun&quot;,&quot;parse-names&quot;:false,&quot;dropping-particle&quot;:&quot;&quot;,&quot;non-dropping-particle&quot;:&quot;&quot;},{&quot;family&quot;:&quot;Kim&quot;,&quot;given&quot;:&quot;Ho Min&quot;,&quot;parse-names&quot;:false,&quot;dropping-particle&quot;:&quot;&quot;,&quot;non-dropping-particle&quot;:&quot;&quot;},{&quot;family&quot;:&quot;Choi&quot;,&quot;given&quot;:&quot;Byong-Seok&quot;,&quot;parse-names&quot;:false,&quot;dropping-particle&quot;:&quot;&quot;,&quot;non-dropping-particle&quot;:&quot;&quot;},{&quot;family&quot;:&quot;Lee&quot;,&quot;given&quot;:&quot;Hayyoung&quot;,&quot;parse-names&quot;:false,&quot;dropping-particle&quot;:&quot;&quot;,&quot;non-dropping-particle&quot;:&quot;&quot;},{&quot;family&quot;:&quot;Lee&quot;,&quot;given&quot;:&quot;Jie-Oh&quot;,&quot;parse-names&quot;:false,&quot;dropping-particle&quot;:&quot;&quot;,&quot;non-dropping-particle&quot;:&quot;&quot;}],&quot;container-title&quot;:&quot;Nature&quot;,&quot;accessed&quot;:{&quot;date-parts&quot;:[[2018,4,5]]},&quot;DOI&quot;:&quot;10.1038/nature07830&quot;,&quot;ISSN&quot;:&quot;0028-0836&quot;,&quot;URL&quot;:&quot;http://www.nature.com/articles/nature07830&quot;,&quot;issued&quot;:{&quot;date-parts&quot;:[[2009,4,1]]},&quot;page&quot;:&quot;1191-1195&quot;,&quot;abstract&quot;:&quot;This paper describes the crystal structure of TLR4-MD-2-LPS, the complex between Toll-like receptor 4, myeloid differentiation factor 2 and lipopolysaccharide (LPS).The structure reveals how the TLR4-MD-2-receptor complex recognizes LPS, a major component of the outer membrane of Gram negative bacteria that induces strong inflammatory responses by activating the human innate immune system. This work throws light on the important role of Toll-like receptor in innate immunity.&quot;,&quot;publisher&quot;:&quot;Nature Publishing Group&quot;,&quot;issue&quot;:&quot;7242&quot;,&quot;volume&quot;:&quot;458&quot;},&quot;isTemporary&quot;:false}],&quot;properties&quot;:{&quot;noteIndex&quot;:0},&quot;isEdited&quot;:false,&quot;manualOverride&quot;:{&quot;isManuallyOverriden&quot;:false,&quot;citeprocText&quot;:&quot;(Park &lt;i&gt;et al.&lt;/i&gt;, 2009)&quot;,&quot;manualOverrideText&quot;:&quot;&quot;},&quot;citationTag&quot;:&quot;MENDELEY_CITATION_v3_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&quot;},{&quot;citationID&quot;:&quot;MENDELEY_CITATION_2f24fdf7-442e-4779-9a3e-51f9e8cb55cc&quot;,&quot;citationItems&quot;:[{&quot;id&quot;:&quot;f2d1883e-00aa-3046-873b-6ec706b9533e&quot;,&quot;itemData&quot;:{&quot;type&quot;:&quot;article-journal&quot;,&quot;id&quot;:&quot;f2d1883e-00aa-3046-873b-6ec706b9533e&quot;,&quot;title&quot;:&quot;The Protein Imager: a full-featured online molecular viewer interface with server-side HQ-rendering capabilities&quot;,&quot;author&quot;:[{&quot;family&quot;:&quot;Tomasello&quot;,&quot;given&quot;:&quot;Gianluca&quot;,&quot;parse-names&quot;:false,&quot;dropping-particle&quot;:&quot;&quot;,&quot;non-dropping-particle&quot;:&quot;&quot;},{&quot;family&quot;:&quot;Armenia  Ilaria&quot;,&quot;given&quot;:&quot;&quot;,&quot;parse-names&quot;:false,&quot;dropping-particle&quot;:&quot;&quot;,&quot;non-dropping-particle&quot;:&quot;&quot;},{&quot;family&quot;:&quot;Molla&quot;,&quot;given&quot;:&quot;Gianluca&quot;,&quot;parse-names&quot;:false,&quot;dropping-particle&quot;:&quot;&quot;,&quot;non-dropping-particle&quot;:&quot;&quot;}],&quot;container-title&quot;:&quot;Bioinformatics (Oxford, England)&quot;,&quot;accessed&quot;:{&quot;date-parts&quot;:[[2021,8,4]]},&quot;DOI&quot;:&quot;10.1093/BIOINFORMATICS/BTAA009&quot;,&quot;ISSN&quot;:&quot;1367-4811&quot;,&quot;PMID&quot;:&quot;31930403&quot;,&quot;URL&quot;:&quot;https://pubmed.ncbi.nlm.nih.gov/31930403/&quot;,&quot;issued&quot;:{&quot;date-parts&quot;:[[2020,5,1]]},&quot;page&quot;:&quot;2909-2911&quot;,&quot;abstract&quot;:&quot;Molecular viewers' long learning curve is hindering researchers in approaching the field of structural biology for the first time. Herein, we present 'The Protein Imager', a lightweight, powerful and easy-to-use interface as a next-gen online molecular viewer. Furthermore, the interface is linked to an automated server-side rendering system able to generate publication-quality molecular illustrations. The Protein Imager interface has been designed for easy usage for beginners and experts in the field alike. The interface allows the preparation of very complex molecular views maintaining a high level of responsiveness even on mobile devices.&quot;,&quot;publisher&quot;:&quot;Bioinformatics&quot;,&quot;issue&quot;:&quot;9&quot;,&quot;volume&quot;:&quot;36&quot;},&quot;isTemporary&quot;:false}],&quot;properties&quot;:{&quot;noteIndex&quot;:0},&quot;isEdited&quot;:false,&quot;manualOverride&quot;:{&quot;isManuallyOverriden&quot;:false,&quot;citeprocText&quot;:&quot;(Tomasello, Armenia  Ilaria and Molla, 2020)&quot;,&quot;manualOverrideText&quot;:&quot;&quot;},&quot;citationTag&quot;:&quot;MENDELEY_CITATION_v3_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&quot;},{&quot;citationID&quot;:&quot;MENDELEY_CITATION_6f2594c3-1008-4c23-9dd7-a0532563320f&quot;,&quot;citationItems&quot;:[{&quot;id&quot;:&quot;10d1d0d0-5142-3791-bc38-19d3e0905c84&quot;,&quot;itemData&quot;:{&quot;type&quot;:&quot;article-journal&quot;,&quot;id&quot;:&quot;10d1d0d0-5142-3791-bc38-19d3e0905c84&quot;,&quot;title&quot;:&quot;Essential role of MD-2 in LPS responsiveness and TLR4 distribution&quot;,&quot;author&quot;:[{&quot;family&quot;:&quot;Nagai&quot;,&quot;given&quot;:&quot;Yoshinori&quot;,&quot;parse-names&quot;:false,&quot;dropping-particle&quot;:&quot;&quot;,&quot;non-dropping-particle&quot;:&quot;&quot;},{&quot;family&quot;:&quot;Akashi&quot;,&quot;given&quot;:&quot;Sachiko&quot;,&quot;parse-names&quot;:false,&quot;dropping-particle&quot;:&quot;&quot;,&quot;non-dropping-particle&quot;:&quot;&quot;},{&quot;family&quot;:&quot;Nagafuku&quot;,&quot;given&quot;:&quot;Masakazu&quot;,&quot;parse-names&quot;:false,&quot;dropping-particle&quot;:&quot;&quot;,&quot;non-dropping-particle&quot;:&quot;&quot;},{&quot;family&quot;:&quot;Ogata&quot;,&quot;given&quot;:&quot;Masato&quot;,&quot;parse-names&quot;:false,&quot;dropping-particle&quot;:&quot;&quot;,&quot;non-dropping-particle&quot;:&quot;&quot;},{&quot;family&quot;:&quot;Iwakura&quot;,&quot;given&quot;:&quot;Yoichiro&quot;,&quot;parse-names&quot;:false,&quot;dropping-particle&quot;:&quot;&quot;,&quot;non-dropping-particle&quot;:&quot;&quot;},{&quot;family&quot;:&quot;Akira&quot;,&quot;given&quot;:&quot;Shizuo&quot;,&quot;parse-names&quot;:false,&quot;dropping-particle&quot;:&quot;&quot;,&quot;non-dropping-particle&quot;:&quot;&quot;},{&quot;family&quot;:&quot;Kitamura&quot;,&quot;given&quot;:&quot;Toshio&quot;,&quot;parse-names&quot;:false,&quot;dropping-particle&quot;:&quot;&quot;,&quot;non-dropping-particle&quot;:&quot;&quot;},{&quot;family&quot;:&quot;Kosugi&quot;,&quot;given&quot;:&quot;Atsushi&quot;,&quot;parse-names&quot;:false,&quot;dropping-particle&quot;:&quot;&quot;,&quot;non-dropping-particle&quot;:&quot;&quot;},{&quot;family&quot;:&quot;Kimoto&quot;,&quot;given&quot;:&quot;Masao&quot;,&quot;parse-names&quot;:false,&quot;dropping-particle&quot;:&quot;&quot;,&quot;non-dropping-particle&quot;:&quot;&quot;},{&quot;family&quot;:&quot;Miyake&quot;,&quot;given&quot;:&quot;Kensuke&quot;,&quot;parse-names&quot;:false,&quot;dropping-particle&quot;:&quot;&quot;,&quot;non-dropping-particle&quot;:&quot;&quot;}],&quot;container-title&quot;:&quot;Nature Immunology&quot;,&quot;accessed&quot;:{&quot;date-parts&quot;:[[2021,1,31]]},&quot;DOI&quot;:&quot;10.1038/ni809&quot;,&quot;ISSN&quot;:&quot;15292908&quot;,&quot;PMID&quot;:&quot;12055629&quot;,&quot;URL&quot;:&quot;https://www.nature.com/articles/ni809&quot;,&quot;issued&quot;:{&quot;date-parts&quot;:[[2002,6,10]]},&quot;page&quot;:&quot;667-672&quot;,&quot;abstract&quot;:&quot;Toll-like receptor 4 (TLR4) mediates lipopolysaccharide (LPS) signaling in a variety of cell types. MD-2 is associated with the extracellular domain of TLR4 and augments TLR4-dependent LPS responses in vitro. We show here that MD-2−/− mice do not respond to LPS, do survive endotoxic shock but are susceptible to Salmonella typhimurium infection. We found that in MD-2−/− embryonic fibroblasts, TLR4 was not able to reach the plasma membrane and predominantly resided in the Golgi apparatus, whereas TLR4 was distributed at the leading edge surface of cells in wild-type embryonic fibroblasts. Thus, MD-2 is essential for correct intracellular distribution and LPS-recognition of TLR4.&quot;,&quot;publisher&quot;:&quot;Nature Publishing Group&quot;,&quot;issue&quot;:&quot;7&quot;,&quot;volume&quot;:&quot;3&quot;},&quot;isTemporary&quot;:false}],&quot;properties&quot;:{&quot;noteIndex&quot;:0},&quot;isEdited&quot;:false,&quot;manualOverride&quot;:{&quot;isManuallyOverriden&quot;:false,&quot;citeprocText&quot;:&quot;(Nagai &lt;i&gt;et al.&lt;/i&gt;, 2002)&quot;,&quot;manualOverrideText&quot;:&quot;&quot;},&quot;citationTag&quot;:&quot;MENDELEY_CITATION_v3_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&quot;},{&quot;citationID&quot;:&quot;MENDELEY_CITATION_e9b56f87-05a1-443b-bc72-9ae6aff62661&quot;,&quot;citationItems&quot;:[{&quot;id&quot;:&quot;b62de541-f398-368e-af1f-343a121b3508&quot;,&quot;itemData&quot;:{&quot;type&quot;:&quot;article-journal&quot;,&quot;id&quot;:&quot;b62de541-f398-368e-af1f-343a121b3508&quot;,&quot;title&quot;:&quot;Dynamic lipopolysaccharide transfer cascade to TLR4/MD2 complex via LBP and CD14&quot;,&quot;author&quot;:[{&quot;family&quot;:&quot;Kim&quot;,&quot;given&quot;:&quot;Soo Jin&quot;,&quot;parse-names&quot;:false,&quot;dropping-particle&quot;:&quot;&quot;,&quot;non-dropping-particle&quot;:&quot;&quot;},{&quot;family&quot;:&quot;Kim&quot;,&quot;given&quot;:&quot;Ho Min&quot;,&quot;parse-names&quot;:false,&quot;dropping-particle&quot;:&quot;&quot;,&quot;non-dropping-particle&quot;:&quot;&quot;}],&quot;container-title&quot;:&quot;BMB Reports&quot;,&quot;accessed&quot;:{&quot;date-parts&quot;:[[2021,1,31]]},&quot;DOI&quot;:&quot;10.5483/BMBRep.2017.50.2.011&quot;,&quot;ISSN&quot;:&quot;1976670X&quot;,&quot;PMID&quot;:&quot;28115037&quot;,&quot;URL&quot;:&quot;/pmc/articles/PMC5342866/?report=abstract&quot;,&quot;issued&quot;:{&quot;date-parts&quot;:[[2017]]},&quot;page&quot;:&quot;55-57&quot;,&quot;abstract&quot;:&quot;Toll-like receptor 4 (TLR4) together with MD2, one of the key pattern recognition receptors for a pathogen-associated molecular pattern, activates innate immunity by recognizing lipopolysaccharide (LPS) of Gram-negative bacteria. Although LBP and CD14 catalyze LPS transfer to the TLR4/MD2 complex, the detail mechanisms underlying this dynamic LPS transfer remain elusive. Using negative-stain electron microscopy, we visualized the dynamic intermediate complexes during LPS transfer-LBP/LPS micelles and ternary CD14/LBP/ LPS micelle complexes. We also reconstituted the entire cascade of LPS transfer to TLR4/MD2 in a total internal reflection fluorescence (TIRF) microscope for a single molecule fluorescence analysis. These analyses reveal longitudinal LBP binding to the surface of LPS micelles and multi-round binding/unbinding of CD14 to single LBP/LPS micelles via key charged residues on LBP and CD14. Finally, we reveal that a single LPS molecule bound to CD14 is transferred to TLR4/MD2 in a TLR4-dependent manner. These discoveries, which clarify the molecular mechanism of dynamic LPS transfer to TLR4/MD2 via LBP and CD14, provide novel insights into the initiation of innate immune responses.&quot;,&quot;publisher&quot;:&quot;The Biochemical Society of the Republic of Korea&quot;,&quot;issue&quot;:&quot;2&quot;,&quot;volume&quot;:&quot;50&quot;},&quot;isTemporary&quot;:false},{&quot;id&quot;:&quot;3a677243-4e1f-3690-ab44-bef911ac77b4&quot;,&quot;itemData&quot;:{&quot;type&quot;:&quot;article-journal&quot;,&quot;id&quot;:&quot;3a677243-4e1f-3690-ab44-bef911ac77b4&quot;,&quot;title&quot;:&quot;Structural basis of species-specific endotoxin sensing by innate immune receptor TLR4/MD-2.&quot;,&quot;author&quot;:[{&quot;family&quot;:&quot;Ohto&quot;,&quot;given&quot;:&quot;Umeharu&quot;,&quot;parse-names&quot;:false,&quot;dropping-particle&quot;:&quot;&quot;,&quot;non-dropping-particle&quot;:&quot;&quot;},{&quot;family&quot;:&quot;Fukase&quot;,&quot;given&quot;:&quot;Koichi&quot;,&quot;parse-names&quot;:false,&quot;dropping-particle&quot;:&quot;&quot;,&quot;non-dropping-particle&quot;:&quot;&quot;},{&quot;family&quot;:&quot;Miyake&quot;,&quot;given&quot;:&quot;Kensuke&quot;,&quot;parse-names&quot;:false,&quot;dropping-particle&quot;:&quot;&quot;,&quot;non-dropping-particle&quot;:&quot;&quot;},{&quot;family&quot;:&quot;Shimizu&quot;,&quot;given&quot;:&quot;Toshiyuki&quot;,&quot;parse-names&quot;:false,&quot;dropping-particle&quot;:&quot;&quot;,&quot;non-dropping-particle&quot;:&quot;&quot;}],&quot;container-title&quot;:&quot;Proceedings of the National Academy of Sciences of the United States of America&quot;,&quot;accessed&quot;:{&quot;date-parts&quot;:[[2018,4,5]]},&quot;DOI&quot;:&quot;10.1073/pnas.1201193109&quot;,&quot;ISSN&quot;:&quot;1091-6490&quot;,&quot;PMID&quot;:&quot;22532668&quot;,&quot;URL&quot;:&quot;http://www.ncbi.nlm.nih.gov/pubmed/22532668&quot;,&quot;issued&quot;:{&quot;date-parts&quot;:[[2012,5,8]]},&quot;page&quot;:&quot;7421-6&quot;,&quot;abstract&quot;:&quot;Lipopolysaccharide (LPS), also known as endotoxin, activates the innate immune response through toll-like receptor 4 (TLR4) and its coreceptor, MD-2. MD-2 has a unique hydrophobic cavity that directly binds to lipid A, the active center of LPS. Tetraacylated lipid IVa, a synthetic lipid A precursor, acts as a weak agonist to mouse TLR4/MD-2, but as an antagonist to human TLR4/MD-2. However, it remains unclear as to how LPS and lipid IVa show agonistic or antagonistic activities in a species-specific manner. The present study reports the crystal structures of mouse TLR4/MD-2/LPS and TLR4/MD-2/lipid IVa complexes at 2.5 and 2.7 Å resolutions, respectively. Mouse TLR4/MD-2/LPS exhibited an agonistic \&quot;m\&quot;-shaped 2:2:2 complex similar to the human TLR4/MD-2/LPS complex. Mouse TLR4/MD-2/lipid IVa complex also showed an agonistic structural feature, exhibiting architecture similar to the 2:2:2 complex. Remarkably, lipid IVa in the mouse TLR4/MD-2 complex occupied nearly the same space as LPS, although lipid IVa lacked the two acyl chains. Human MD-2 binds lipid IVa in an antagonistic manner completely differently from the way mouse MD-2 does. Together, the results provide structural evidence of the agonistic property of lipid IVa on mouse TLR4/MD-2 and deepen understanding of the ligand binding and dimerization mechanism by the structurally diverse LPS variants.&quot;,&quot;publisher&quot;:&quot;National Academy of Sciences&quot;,&quot;issue&quot;:&quot;19&quot;,&quot;volume&quot;:&quot;109&quot;},&quot;isTemporary&quot;:false}],&quot;properties&quot;:{&quot;noteIndex&quot;:0},&quot;isEdited&quot;:false,&quot;manualOverride&quot;:{&quot;isManuallyOverriden&quot;:false,&quot;citeprocText&quot;:&quot;(Ohto &lt;i&gt;et al.&lt;/i&gt;, 2012; Kim and Kim, 2017)&quot;,&quot;manualOverrideText&quot;:&quot;&quot;},&quot;citationTag&quot;:&quot;MENDELEY_CITATION_v3_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&quot;},{&quot;citationID&quot;:&quot;MENDELEY_CITATION_de730645-7c06-4766-a422-70c5bf7908ad&quot;,&quot;citationItems&quot;:[{&quot;id&quot;:&quot;c9729dc8-5957-3221-a1a6-1b5b75337323&quot;,&quot;itemData&quot;:{&quot;type&quot;:&quot;article-journal&quot;,&quot;id&quot;:&quot;c9729dc8-5957-3221-a1a6-1b5b75337323&quot;,&quot;title&quot;:&quot;The structural basis of lipopolysaccharide recognition by the TLR4–MD-2 complex&quot;,&quot;author&quot;:[{&quot;family&quot;:&quot;Park&quot;,&quot;given&quot;:&quot;Beom Seok&quot;,&quot;parse-names&quot;:false,&quot;dropping-particle&quot;:&quot;&quot;,&quot;non-dropping-particle&quot;:&quot;&quot;},{&quot;family&quot;:&quot;Song&quot;,&quot;given&quot;:&quot;Dong Hyun&quot;,&quot;parse-names&quot;:false,&quot;dropping-particle&quot;:&quot;&quot;,&quot;non-dropping-particle&quot;:&quot;&quot;},{&quot;family&quot;:&quot;Kim&quot;,&quot;given&quot;:&quot;Ho Min&quot;,&quot;parse-names&quot;:false,&quot;dropping-particle&quot;:&quot;&quot;,&quot;non-dropping-particle&quot;:&quot;&quot;},{&quot;family&quot;:&quot;Choi&quot;,&quot;given&quot;:&quot;Byong-Seok&quot;,&quot;parse-names&quot;:false,&quot;dropping-particle&quot;:&quot;&quot;,&quot;non-dropping-particle&quot;:&quot;&quot;},{&quot;family&quot;:&quot;Lee&quot;,&quot;given&quot;:&quot;Hayyoung&quot;,&quot;parse-names&quot;:false,&quot;dropping-particle&quot;:&quot;&quot;,&quot;non-dropping-particle&quot;:&quot;&quot;},{&quot;family&quot;:&quot;Lee&quot;,&quot;given&quot;:&quot;Jie-Oh&quot;,&quot;parse-names&quot;:false,&quot;dropping-particle&quot;:&quot;&quot;,&quot;non-dropping-particle&quot;:&quot;&quot;}],&quot;container-title&quot;:&quot;Nature&quot;,&quot;accessed&quot;:{&quot;date-parts&quot;:[[2018,4,5]]},&quot;DOI&quot;:&quot;10.1038/nature07830&quot;,&quot;ISSN&quot;:&quot;0028-0836&quot;,&quot;URL&quot;:&quot;http://www.nature.com/articles/nature07830&quot;,&quot;issued&quot;:{&quot;date-parts&quot;:[[2009,4,1]]},&quot;page&quot;:&quot;1191-1195&quot;,&quot;abstract&quot;:&quot;This paper describes the crystal structure of TLR4-MD-2-LPS, the complex between Toll-like receptor 4, myeloid differentiation factor 2 and lipopolysaccharide (LPS).The structure reveals how the TLR4-MD-2-receptor complex recognizes LPS, a major component of the outer membrane of Gram negative bacteria that induces strong inflammatory responses by activating the human innate immune system. This work throws light on the important role of Toll-like receptor in innate immunity.&quot;,&quot;publisher&quot;:&quot;Nature Publishing Group&quot;,&quot;issue&quot;:&quot;7242&quot;,&quot;volume&quot;:&quot;458&quot;},&quot;isTemporary&quot;:false}],&quot;properties&quot;:{&quot;noteIndex&quot;:0},&quot;isEdited&quot;:false,&quot;manualOverride&quot;:{&quot;isManuallyOverriden&quot;:false,&quot;citeprocText&quot;:&quot;(Park &lt;i&gt;et al.&lt;/i&gt;, 2009)&quot;,&quot;manualOverrideText&quot;:&quot;&quot;},&quot;citationTag&quot;:&quot;MENDELEY_CITATION_v3_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&quot;},{&quot;citationID&quot;:&quot;MENDELEY_CITATION_060e0bd7-65d5-48cc-bffe-06cfee99b50a&quot;,&quot;citationItems&quot;:[{&quot;id&quot;:&quot;b37bdf51-a0a8-3375-929e-b89694e7c5e0&quot;,&quot;itemData&quot;:{&quot;type&quot;:&quot;article-journal&quot;,&quot;id&quot;:&quot;b37bdf51-a0a8-3375-929e-b89694e7c5e0&quot;,&quot;title&quot;:&quot;TLR4/MD-2 activation by a synthetic agonist with no similarity to LPS&quot;,&quot;author&quot;:[{&quot;family&quot;:&quot;Wang&quot;,&quot;given&quot;:&quot;Ying&quot;,&quot;parse-names&quot;:false,&quot;dropping-particle&quot;:&quot;&quot;,&quot;non-dropping-particle&quot;:&quot;&quot;},{&quot;family&quot;:&quot;Su&quot;,&quot;given&quot;:&quot;Lijing&quot;,&quot;parse-names&quot;:false,&quot;dropping-particle&quot;:&quot;&quot;,&quot;non-dropping-particle&quot;:&quot;&quot;},{&quot;family&quot;:&quot;Morin&quot;,&quot;given&quot;:&quot;Matthew D.&quot;,&quot;parse-names&quot;:false,&quot;dropping-particle&quot;:&quot;&quot;,&quot;non-dropping-particle&quot;:&quot;&quot;},{&quot;family&quot;:&quot;Jones&quot;,&quot;given&quot;:&quot;Brian T.&quot;,&quot;parse-names&quot;:false,&quot;dropping-particle&quot;:&quot;&quot;,&quot;non-dropping-particle&quot;:&quot;&quot;},{&quot;family&quot;:&quot;Whitby&quot;,&quot;given&quot;:&quot;Landon R.&quot;,&quot;parse-names&quot;:false,&quot;dropping-particle&quot;:&quot;&quot;,&quot;non-dropping-particle&quot;:&quot;&quot;},{&quot;family&quot;:&quot;Surakattula&quot;,&quot;given&quot;:&quot;Murali M.R.P.&quot;,&quot;parse-names&quot;:false,&quot;dropping-particle&quot;:&quot;&quot;,&quot;non-dropping-particle&quot;:&quot;&quot;},{&quot;family&quot;:&quot;Huang&quot;,&quot;given&quot;:&quot;Hua&quot;,&quot;parse-names&quot;:false,&quot;dropping-particle&quot;:&quot;&quot;,&quot;non-dropping-particle&quot;:&quot;&quot;},{&quot;family&quot;:&quot;Shi&quot;,&quot;given&quot;:&quot;Hexin&quot;,&quot;parse-names&quot;:false,&quot;dropping-particle&quot;:&quot;&quot;,&quot;non-dropping-particle&quot;:&quot;&quot;},{&quot;family&quot;:&quot;Choi&quot;,&quot;given&quot;:&quot;Jin Huk&quot;,&quot;parse-names&quot;:false,&quot;dropping-particle&quot;:&quot;&quot;,&quot;non-dropping-particle&quot;:&quot;&quot;},{&quot;family&quot;:&quot;Wang&quot;,&quot;given&quot;:&quot;Kuan Wen&quot;,&quot;parse-names&quot;:false,&quot;dropping-particle&quot;:&quot;&quot;,&quot;non-dropping-particle&quot;:&quot;&quot;},{&quot;family&quot;:&quot;Moresco&quot;,&quot;given&quot;:&quot;Eva Marie Y.&quot;,&quot;parse-names&quot;:false,&quot;dropping-particle&quot;:&quot;&quot;,&quot;non-dropping-particle&quot;:&quot;&quot;},{&quot;family&quot;:&quot;Berger&quot;,&quot;given&quot;:&quot;Michael&quot;,&quot;parse-names&quot;:false,&quot;dropping-particle&quot;:&quot;&quot;,&quot;non-dropping-particle&quot;:&quot;&quot;},{&quot;family&quot;:&quot;Zhan&quot;,&quot;given&quot;:&quot;Xiaoming&quot;,&quot;parse-names&quot;:false,&quot;dropping-particle&quot;:&quot;&quot;,&quot;non-dropping-particle&quot;:&quot;&quot;},{&quot;family&quot;:&quot;Zhang&quot;,&quot;given&quot;:&quot;Hong&quot;,&quot;parse-names&quot;:false,&quot;dropping-particle&quot;:&quot;&quot;,&quot;non-dropping-particle&quot;:&quot;&quot;},{&quot;family&quot;:&quot;Boger&quot;,&quot;given&quot;:&quot;Dale L.&quot;,&quot;parse-names&quot;:false,&quot;dropping-particle&quot;:&quot;&quot;,&quot;non-dropping-particle&quot;:&quot;&quot;},{&quot;family&quot;:&quot;Beutler&quot;,&quot;given&quot;:&quot;Bruce&quot;,&quot;parse-names&quot;:false,&quot;dropping-particle&quot;:&quot;&quot;,&quot;non-dropping-particle&quot;:&quot;&quot;}],&quot;container-title&quot;:&quot;Proceedings of the National Academy of Sciences of the United States of America&quot;,&quot;accessed&quot;:{&quot;date-parts&quot;:[[2021,1,31]]},&quot;DOI&quot;:&quot;10.1073/pnas.1525639113&quot;,&quot;ISSN&quot;:&quot;10916490&quot;,&quot;PMID&quot;:&quot;26831104&quot;,&quot;URL&quot;:&quot;www.pnas.org/cgi/doi/10.1073/pnas.1525639113&quot;,&quot;issued&quot;:{&quot;date-parts&quot;:[[2016,2,16]]},&quot;page&quot;:&quot;E884-E893&quot;,&quot;abstract&quot;:&quot;Structurally disparate molecules reportedly engage and activate Toll-like receptor (TLR) 4 and other TLRs, yet the interactions that mediate binding and activation by dissimilar ligands remain unknown. We describe Neoseptins, chemically synthesized peptidomimetics that bear no structural similarity to the established TLR4 ligand, lipopolysaccharide (LPS), but productively engage the mouse TLR4 (mTLR4)/ myeloid differentiation factor 2 (MD-2) complex. Neoseptin-3 activates mTLR4/MD-2 independently of CD14 and triggers canonical myeloid differentiation primary response gene 88 (MyD88)- and Toll-interleukin 1 receptor (TIR) domain-containing adaptor inducing IFN-beta (TRIF)- dependent signaling. The crystal structure mTLR4/MD-2/Neoseptin-3 at 2.57-Å resolution reveals that Neoseptin-3 binds as an asymmetrical dimer within the hydrophobic pocket of MD-2, inducing an active receptor complex similar to that induced by lipid A. However, Neoseptin-3 and lipid A form dissimilar molecular contacts to achieve receptor activation; hence strong TLR4/MD-2 agonists need not mimic LPS.&quot;,&quot;publisher&quot;:&quot;National Academy of Sciences&quot;,&quot;issue&quot;:&quot;7&quot;,&quot;volume&quot;:&quot;113&quot;},&quot;isTemporary&quot;:false}],&quot;properties&quot;:{&quot;noteIndex&quot;:0},&quot;isEdited&quot;:false,&quot;manualOverride&quot;:{&quot;isManuallyOverriden&quot;:false,&quot;citeprocText&quot;:&quot;(Wang &lt;i&gt;et al.&lt;/i&gt;, 2016)&quot;,&quot;manualOverrideText&quot;:&quot;&quot;},&quot;citationTag&quot;:&quot;MENDELEY_CITATION_v3_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&quot;},{&quot;citationID&quot;:&quot;MENDELEY_CITATION_47519b9c-3fab-40f4-89cd-cd440e628c78&quot;,&quot;citationItems&quot;:[{&quot;id&quot;:&quot;7a796a4f-d749-3d8a-bb7e-856a2f1868ba&quot;,&quot;itemData&quot;:{&quot;type&quot;:&quot;article-journal&quot;,&quot;id&quot;:&quot;7a796a4f-d749-3d8a-bb7e-856a2f1868ba&quot;,&quot;title&quot;:&quot;Signalling adaptors used by Toll-like receptors: An update&quot;,&quot;author&quot;:[{&quot;family&quot;:&quot;Kenny&quot;,&quot;given&quot;:&quot;Elaine F.&quot;,&quot;parse-names&quot;:false,&quot;dropping-particle&quot;:&quot;&quot;,&quot;non-dropping-particle&quot;:&quot;&quot;},{&quot;family&quot;:&quot;O’Neill&quot;,&quot;given&quot;:&quot;Luke A.J.&quot;,&quot;parse-names&quot;:false,&quot;dropping-particle&quot;:&quot;&quot;,&quot;non-dropping-particle&quot;:&quot;&quot;}],&quot;container-title&quot;:&quot;Cytokine&quot;,&quot;accessed&quot;:{&quot;date-parts&quot;:[[2018,4,5]]},&quot;DOI&quot;:&quot;10.1016/J.CYTO.2008.07.010&quot;,&quot;ISSN&quot;:&quot;1043-4666&quot;,&quot;URL&quot;:&quot;https://www.sciencedirect.com/science/article/pii/S1043466608002226&quot;,&quot;issued&quot;:{&quot;date-parts&quot;:[[2008,9,1]]},&quot;page&quot;:&quot;342-349&quot;,&quot;abstract&quot;:&quot;Research into the five Toll/IL1 receptor (TIR) adaptor proteins involved in innate immunity continues to advance. Here we outline some of the more recent findings. MyD88 has a key role in signalling by the IL1 receptor complex and TLRs. However, a MyD88-independent pathway of IL1β signalling in neurons has been described which involves the protein kinase Akt, and which has an anti-apoptotic effect. This pathway may also be important for the mechanism whereby Alum exerts its adjuvant effect since this depends on IL1β but is MyD88-independent. MyD88 is also involved in tumourigenesis in models of hepatocarcinoma and familial associated polyposis (FAP); negative regulation of TLR3 signalling and in PKCε activation. The adaptor Mal is regulated by phosphorylation and caspase-1 cleavage. A variant form of Mal in humans termed S180L confers protection in multiple infectious diseases. TRAM is controlled by myristoylation and phosphorylation and the localisation of TRAM with TLR4 to endosomes is required for activation of IRF3 and induction of IFNβ. Finally SARM has been shown to regulate TRIF and also appears to be involved in neuronal injury mediated by oxidative stress in mouse neurons. These advances confirm the importance for the TIR domain-containing adapters in host defence and inflammation.&quot;,&quot;publisher&quot;:&quot;Academic Press&quot;,&quot;issue&quot;:&quot;3&quot;,&quot;volume&quot;:&quot;43&quot;},&quot;isTemporary&quot;:false}],&quot;properties&quot;:{&quot;noteIndex&quot;:0},&quot;isEdited&quot;:false,&quot;manualOverride&quot;:{&quot;isManuallyOverriden&quot;:false,&quot;citeprocText&quot;:&quot;(Kenny and O’Neill, 2008)&quot;,&quot;manualOverrideText&quot;:&quot;&quot;},&quot;citationTag&quot;:&quot;MENDELEY_CITATION_v3_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&quot;},{&quot;citationID&quot;:&quot;MENDELEY_CITATION_d0faa4c1-2daa-438e-867a-73bb4e1b2679&quot;,&quot;citationItems&quot;:[{&quot;id&quot;:&quot;cafabe87-434a-3022-bb07-3ece1af7b917&quot;,&quot;itemData&quot;:{&quot;type&quot;:&quot;article-journal&quot;,&quot;id&quot;:&quot;cafabe87-434a-3022-bb07-3ece1af7b917&quot;,&quot;title&quot;:&quot;Adaptors in Toll-Like Receptor Signaling and their Potential as Therapeutic Targets&quot;,&quot;author&quot;:[{&quot;family&quot;:&quot;Ve&quot;,&quot;given&quot;:&quot;Thomas&quot;,&quot;parse-names&quot;:false,&quot;dropping-particle&quot;:&quot;&quot;,&quot;non-dropping-particle&quot;:&quot;&quot;},{&quot;family&quot;:&quot;J. Gay&quot;,&quot;given&quot;:&quot;Nicholas&quot;,&quot;parse-names&quot;:false,&quot;dropping-particle&quot;:&quot;&quot;,&quot;non-dropping-particle&quot;:&quot;&quot;},{&quot;family&quot;:&quot;Mansell&quot;,&quot;given&quot;:&quot;Ashley&quot;,&quot;parse-names&quot;:false,&quot;dropping-particle&quot;:&quot;&quot;,&quot;non-dropping-particle&quot;:&quot;&quot;},{&quot;family&quot;:&quot;Kobe&quot;,&quot;given&quot;:&quot;Bostjan&quot;,&quot;parse-names&quot;:false,&quot;dropping-particle&quot;:&quot;&quot;,&quot;non-dropping-particle&quot;:&quot;&quot;},{&quot;family&quot;:&quot;Kellie&quot;,&quot;given&quot;:&quot;Stuart&quot;,&quot;parse-names&quot;:false,&quot;dropping-particle&quot;:&quot;&quot;,&quot;non-dropping-particle&quot;:&quot;&quot;}],&quot;container-title&quot;:&quot;Current Drug Targets&quot;,&quot;accessed&quot;:{&quot;date-parts&quot;:[[2021,9,12]]},&quot;DOI&quot;:&quot;10.2174/138945012803530260&quot;,&quot;issued&quot;:{&quot;date-parts&quot;:[[2012,10,24]]},&quot;page&quot;:&quot;1360-1374&quot;,&quot;abstract&quot;:&quot;To initiate the innate immune response, Toll-like receptors (TLRs) associate with cytoplasmic adaptor proteins through TIR (Toll/interleukin-1 receptor) domain interactions. The four principal signaling adaptor proteins include MyD88, MAL, TRIF and TRAM, and the fifth protein SARM, involved in negative regulation of TLR pathways, is usually considered a part of the TIR domain-containing adaptor protein group. Other TIR domain-containing proteins have also been shown to regulate these signaling pathways, including ST2 and SIGIRR, as well as several bacterial and viral TIR domain-containing proteins that modulate these pathways as virulence factors. TLR pathways and the adaptor proteins are associated with a number of diseases, including infection, sepsis, inflammatory, allergic and autoimmune diseases and cancer. We review our current understanding of the structure and function of adaptor proteins and their regulatory proteins, their association with disease and their potential as therapeutic targets in human disease.&quot;,&quot;publisher&quot;:&quot;Bentham Science Publishers Ltd.&quot;,&quot;issue&quot;:&quot;11&quot;,&quot;volume&quot;:&quot;13&quot;},&quot;isTemporary&quot;:false},{&quot;id&quot;:&quot;9ec3b8df-4392-31ac-8227-59ba902b08e6&quot;,&quot;itemData&quot;:{&quot;type&quot;:&quot;article-journal&quot;,&quot;id&quot;:&quot;9ec3b8df-4392-31ac-8227-59ba902b08e6&quot;,&quot;title&quot;:&quot;Structural basis of TIR-domain-assembly formation in MAL- and MyD88-dependent TLR4 signaling&quot;,&quot;author&quot;:[{&quot;family&quot;:&quot;Ve&quot;,&quot;given&quot;:&quot;Thomas&quot;,&quot;parse-names&quot;:false,&quot;dropping-particle&quot;:&quot;&quot;,&quot;non-dropping-particle&quot;:&quot;&quot;},{&quot;family&quot;:&quot;Vajjhala&quot;,&quot;given&quot;:&quot;Parimala R&quot;,&quot;parse-names&quot;:false,&quot;dropping-particle&quot;:&quot;&quot;,&quot;non-dropping-particle&quot;:&quot;&quot;},{&quot;family&quot;:&quot;Hedger&quot;,&quot;given&quot;:&quot;Andrew&quot;,&quot;parse-names&quot;:false,&quot;dropping-particle&quot;:&quot;&quot;,&quot;non-dropping-particle&quot;:&quot;&quot;},{&quot;family&quot;:&quot;Croll&quot;,&quot;given&quot;:&quot;Tristan&quot;,&quot;parse-names&quot;:false,&quot;dropping-particle&quot;:&quot;&quot;,&quot;non-dropping-particle&quot;:&quot;&quot;},{&quot;family&quot;:&quot;DiMaio&quot;,&quot;given&quot;:&quot;Frank&quot;,&quot;parse-names&quot;:false,&quot;dropping-particle&quot;:&quot;&quot;,&quot;non-dropping-particle&quot;:&quot;&quot;},{&quot;family&quot;:&quot;Horsefield&quot;,&quot;given&quot;:&quot;Shane&quot;,&quot;parse-names&quot;:false,&quot;dropping-particle&quot;:&quot;&quot;,&quot;non-dropping-particle&quot;:&quot;&quot;},{&quot;family&quot;:&quot;Yu&quot;,&quot;given&quot;:&quot;Xiong&quot;,&quot;parse-names&quot;:false,&quot;dropping-particle&quot;:&quot;&quot;,&quot;non-dropping-particle&quot;:&quot;&quot;},{&quot;family&quot;:&quot;Lavrencic&quot;,&quot;given&quot;:&quot;Peter&quot;,&quot;parse-names&quot;:false,&quot;dropping-particle&quot;:&quot;&quot;,&quot;non-dropping-particle&quot;:&quot;&quot;},{&quot;family&quot;:&quot;Hassan&quot;,&quot;given&quot;:&quot;Zahid&quot;,&quot;parse-names&quot;:false,&quot;dropping-particle&quot;:&quot;&quot;,&quot;non-dropping-particle&quot;:&quot;&quot;},{&quot;family&quot;:&quot;Morgan&quot;,&quot;given&quot;:&quot;Garry P&quot;,&quot;parse-names&quot;:false,&quot;dropping-particle&quot;:&quot;&quot;,&quot;non-dropping-particle&quot;:&quot;&quot;},{&quot;family&quot;:&quot;Mansell&quot;,&quot;given&quot;:&quot;Ashley&quot;,&quot;parse-names&quot;:false,&quot;dropping-particle&quot;:&quot;&quot;,&quot;non-dropping-particle&quot;:&quot;&quot;},{&quot;family&quot;:&quot;Mobli&quot;,&quot;given&quot;:&quot;Mehdi&quot;,&quot;parse-names&quot;:false,&quot;dropping-particle&quot;:&quot;&quot;,&quot;non-dropping-particle&quot;:&quot;&quot;},{&quot;family&quot;:&quot;O'Carroll&quot;,&quot;given&quot;:&quot;Ailis&quot;,&quot;parse-names&quot;:false,&quot;dropping-particle&quot;:&quot;&quot;,&quot;non-dropping-particle&quot;:&quot;&quot;},{&quot;family&quot;:&quot;Chauvin&quot;,&quot;given&quot;:&quot;Brieuc&quot;,&quot;parse-names&quot;:false,&quot;dropping-particle&quot;:&quot;&quot;,&quot;non-dropping-particle&quot;:&quot;&quot;},{&quot;family&quot;:&quot;Gambin&quot;,&quot;given&quot;:&quot;Yann&quot;,&quot;parse-names&quot;:false,&quot;dropping-particle&quot;:&quot;&quot;,&quot;non-dropping-particle&quot;:&quot;&quot;},{&quot;family&quot;:&quot;Sierecki&quot;,&quot;given&quot;:&quot;Emma&quot;,&quot;parse-names&quot;:false,&quot;dropping-particle&quot;:&quot;&quot;,&quot;non-dropping-particle&quot;:&quot;&quot;},{&quot;family&quot;:&quot;Landsberg&quot;,&quot;given&quot;:&quot;Michael J&quot;,&quot;parse-names&quot;:false,&quot;dropping-particle&quot;:&quot;&quot;,&quot;non-dropping-particle&quot;:&quot;&quot;},{&quot;family&quot;:&quot;Stacey&quot;,&quot;given&quot;:&quot;Katryn J&quot;,&quot;parse-names&quot;:false,&quot;dropping-particle&quot;:&quot;&quot;,&quot;non-dropping-particle&quot;:&quot;&quot;},{&quot;family&quot;:&quot;Egelman&quot;,&quot;given&quot;:&quot;Edward H&quot;,&quot;parse-names&quot;:false,&quot;dropping-particle&quot;:&quot;&quot;,&quot;non-dropping-particle&quot;:&quot;&quot;},{&quot;family&quot;:&quot;Kobe&quot;,&quot;given&quot;:&quot;Bostjan&quot;,&quot;parse-names&quot;:false,&quot;dropping-particle&quot;:&quot;&quot;,&quot;non-dropping-particle&quot;:&quot;&quot;}],&quot;container-title&quot;:&quot;Nature Structural &amp; Molecular Biology 2017 24:9&quot;,&quot;accessed&quot;:{&quot;date-parts&quot;:[[2021,9,12]]},&quot;DOI&quot;:&quot;10.1038/nsmb.3444&quot;,&quot;ISSN&quot;:&quot;1545-9985&quot;,&quot;URL&quot;:&quot;https://www.nature.com/articles/nsmb.3444&quot;,&quot;issued&quot;:{&quot;date-parts&quot;:[[2017,7,31]]},&quot;page&quot;:&quot;743-751&quot;,&quot;abstract&quot;:&quot;Structural insight into TIR-domain interactions, which are essential for the recruitment of signaling adapters to Toll-like receptors during innate immune responses, demonstrates a conserved interaction mode involved in both TLR and IL-1R signaling. Toll-like receptor (TLR) signaling is a key innate immunity response to pathogens. Recruitment of signaling adapters such as MAL (TIRAP) and MyD88 to the TLRs requires Toll/interleukin-1 receptor (TIR)-domain interactions, which remain structurally elusive. Here we show that MAL TIR domains spontaneously and reversibly form filaments in vitro. They also form cofilaments with TLR4 TIR domains and induce formation of MyD88 assemblies. A 7-Å-resolution cryo-EM structure reveals a stable MAL protofilament consisting of two parallel strands of TIR-domain subunits in a BB-loop-mediated head-to-tail arrangement. Interface residues that are important for the interaction are conserved among different TIR domains. Although large filaments of TLR4, MAL or MyD88 are unlikely to form during cellular signaling, structure-guided mutagenesis, combined with in vivo interaction assays, demonstrated that the MAL interactions defined within the filament represent a template for a conserved mode of TIR-domain interaction involved in both TLR and interleukin-1 receptor signaling.&quot;,&quot;publisher&quot;:&quot;Nature Publishing Group&quot;,&quot;issue&quot;:&quot;9&quot;,&quot;volume&quot;:&quot;24&quot;},&quot;isTemporary&quot;:false}],&quot;properties&quot;:{&quot;noteIndex&quot;:0},&quot;isEdited&quot;:false,&quot;manualOverride&quot;:{&quot;isManuallyOverridden&quot;:false,&quot;citeprocText&quot;:&quot;(Ve &lt;i&gt;et al.&lt;/i&gt;, 2012, 2017)&quot;,&quot;manualOverrideText&quot;:&quot;&quot;},&quot;citationTag&quot;:&quot;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&quot;},{&quot;citationID&quot;:&quot;MENDELEY_CITATION_49819a3c-2ef0-4c3e-93df-af7f463e570b&quot;,&quot;citationItems&quot;:[{&quot;id&quot;:&quot;dcf7ccd9-cc93-3bf1-b876-170a2c7f243b&quot;,&quot;itemData&quot;:{&quot;type&quot;:&quot;article-journal&quot;,&quot;id&quot;:&quot;dcf7ccd9-cc93-3bf1-b876-170a2c7f243b&quot;,&quot;title&quot;:&quot;Phosphoinositide-Mediated Adaptor Recruitment Controls Toll-like Receptor Signaling&quot;,&quot;author&quot;:[{&quot;family&quot;:&quot;Kagan&quot;,&quot;given&quot;:&quot;Jonathan C.&quot;,&quot;parse-names&quot;:false,&quot;dropping-particle&quot;:&quot;&quot;,&quot;non-dropping-particle&quot;:&quot;&quot;},{&quot;family&quot;:&quot;Medzhitov&quot;,&quot;given&quot;:&quot;Ruslan&quot;,&quot;parse-names&quot;:false,&quot;dropping-particle&quot;:&quot;&quot;,&quot;non-dropping-particle&quot;:&quot;&quot;}],&quot;container-title&quot;:&quot;Cell&quot;,&quot;accessed&quot;:{&quot;date-parts&quot;:[[2021,9,12]]},&quot;DOI&quot;:&quot;10.1016/J.CELL.2006.03.047&quot;,&quot;ISSN&quot;:&quot;0092-8674&quot;,&quot;issued&quot;:{&quot;date-parts&quot;:[[2006,6,2]]},&quot;page&quot;:&quot;943-955&quot;,&quot;abstract&quot;:&quot;Toll-like receptors (TLRs) play a critical role in the immune system as sensors of microbial infection. Signaling downstream from TLRs is initiated by the recruitment of adaptor proteins, including MyD88 and TIRAP. These adaptors play essential roles in TLR signaling, but the mechanism of their function is currently unknown. Here we demonstrate that TIRAP and MyD88 have distinct functions and describe a mechanism of recruitment of TIRAP and MyD88 to TLR4. We find that TIRAP contains a phosphatidylinositol 4,5-bisphosphate (PIP2) binding domain, which mediates TIRAP recruitment to the plasma membrane. TIRAP then functions to facilitate MyD88 delivery to activated TLR4 to initiate signal transduction. These results establish that phosphoinositide-mediated adaptor recruitment initiates a specific signal-transduction pathway. © 2006 Elsevier Inc. All rights reserved.&quot;,&quot;publisher&quot;:&quot;Cell Press&quot;,&quot;issue&quot;:&quot;5&quot;,&quot;volume&quot;:&quot;125&quot;},&quot;isTemporary&quot;:false}],&quot;properties&quot;:{&quot;noteIndex&quot;:0},&quot;isEdited&quot;:false,&quot;manualOverride&quot;:{&quot;isManuallyOverridden&quot;:false,&quot;citeprocText&quot;:&quot;(Kagan and Medzhitov, 2006)&quot;,&quot;manualOverrideText&quot;:&quot;&quot;},&quot;citationTag&quot;:&quot;MENDELEY_CITATION_v3_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&quot;},{&quot;citationID&quot;:&quot;MENDELEY_CITATION_b867f67b-1641-4767-bead-33bde780c303&quot;,&quot;citationItems&quot;:[{&quot;id&quot;:&quot;34bdba47-b22c-3ab9-a5af-f1deb37cfec2&quot;,&quot;itemData&quot;:{&quot;type&quot;:&quot;article-journal&quot;,&quot;id&quot;:&quot;34bdba47-b22c-3ab9-a5af-f1deb37cfec2&quot;,&quot;title&quot;:&quot;Roles for LPS-dependent interaction and relocation of TLR4 and TRAM in TRIF-signaling&quot;,&quot;author&quot;:[{&quot;family&quot;:&quot;Tanimura&quot;,&quot;given&quot;:&quot;Natsuko&quot;,&quot;parse-names&quot;:false,&quot;dropping-particle&quot;:&quot;&quot;,&quot;non-dropping-particle&quot;:&quot;&quot;},{&quot;family&quot;:&quot;Saitoh&quot;,&quot;given&quot;:&quot;Shinichiroh&quot;,&quot;parse-names&quot;:false,&quot;dropping-particle&quot;:&quot;&quot;,&quot;non-dropping-particle&quot;:&quot;&quot;},{&quot;family&quot;:&quot;Matsumoto&quot;,&quot;given&quot;:&quot;Fumi&quot;,&quot;parse-names&quot;:false,&quot;dropping-particle&quot;:&quot;&quot;,&quot;non-dropping-particle&quot;:&quot;&quot;},{&quot;family&quot;:&quot;Akashi-Takamura&quot;,&quot;given&quot;:&quot;Sachiko&quot;,&quot;parse-names&quot;:false,&quot;dropping-particle&quot;:&quot;&quot;,&quot;non-dropping-particle&quot;:&quot;&quot;},{&quot;family&quot;:&quot;Miyake&quot;,&quot;given&quot;:&quot;Kensuke&quot;,&quot;parse-names&quot;:false,&quot;dropping-particle&quot;:&quot;&quot;,&quot;non-dropping-particle&quot;:&quot;&quot;}],&quot;container-title&quot;:&quot;Biochemical and Biophysical Research Communications&quot;,&quot;accessed&quot;:{&quot;date-parts&quot;:[[2021,9,12]]},&quot;DOI&quot;:&quot;10.1016/J.BBRC.2008.01.061&quot;,&quot;ISSN&quot;:&quot;0006-291X&quot;,&quot;issued&quot;:{&quot;date-parts&quot;:[[2008,3,28]]},&quot;page&quot;:&quot;94-99&quot;,&quot;abstract&quot;:&quot;Toll-like receptor 4 (TLR4) activates two distinct signaling pathways inducing production of proinflammatory cytokines or type I interferons (IFNs), respectively. MyD88 and TIRAP/Mal are essential adaptor molecules for the former but not for the latter pathway. In contrast, TRIF/TICAM-1 and TRAM/TICAM-2 are essential for both. TIRAP is a sorting adaptor molecule recruiting MyD88 to activated TLR4 in the plasma membrane. TRAM is thought to bridge between TLR4 and TRIF by physical association. Little is known, however, how TRAM interacts with TLR4 or with TRIF during LPS response. Here, we show that TRAM recruits TRIF to the plasma membrane. Moreover, LPS induces upregulation of TLR4-association with TRAM and their subsequent translocation into endosome/lysosome. The internalized signaling complex consisting of TLR4 and TRAM colocalizes with TRAF3, a signaling molecule downstream of TRIF, in endosome/lysosome. These results suggest that TLR4 activates TRIF-signaling in endosome/lysosome after relocation from the cell surface. © 2008 Elsevier Inc. All rights reserved.&quot;,&quot;publisher&quot;:&quot;Academic Press&quot;,&quot;issue&quot;:&quot;1&quot;,&quot;volume&quot;:&quot;368&quot;},&quot;isTemporary&quot;:false},{&quot;id&quot;:&quot;6f34c683-47ca-3487-b582-492b771a3111&quot;,&quot;itemData&quot;:{&quot;type&quot;:&quot;article-journal&quot;,&quot;id&quot;:&quot;6f34c683-47ca-3487-b582-492b771a3111&quot;,&quot;title&quot;:&quot;The myristoylation of TRIF-related adaptor molecule is essential for Toll-like receptor 4 signal transduction&quot;,&quot;author&quot;:[{&quot;family&quot;:&quot;Rowe&quot;,&quot;given&quot;:&quot;Daniel C.&quot;,&quot;parse-names&quot;:false,&quot;dropping-particle&quot;:&quot;&quot;,&quot;non-dropping-particle&quot;:&quot;&quot;},{&quot;family&quot;:&quot;McGettrick&quot;,&quot;given&quot;:&quot;Anne F.&quot;,&quot;parse-names&quot;:false,&quot;dropping-particle&quot;:&quot;&quot;,&quot;non-dropping-particle&quot;:&quot;&quot;},{&quot;family&quot;:&quot;Latz&quot;,&quot;given&quot;:&quot;Eicke&quot;,&quot;parse-names&quot;:false,&quot;dropping-particle&quot;:&quot;&quot;,&quot;non-dropping-particle&quot;:&quot;&quot;},{&quot;family&quot;:&quot;Monks&quot;,&quot;given&quot;:&quot;Brian G.&quot;,&quot;parse-names&quot;:false,&quot;dropping-particle&quot;:&quot;&quot;,&quot;non-dropping-particle&quot;:&quot;&quot;},{&quot;family&quot;:&quot;Gay&quot;,&quot;given&quot;:&quot;Nicholas J.&quot;,&quot;parse-names&quot;:false,&quot;dropping-particle&quot;:&quot;&quot;,&quot;non-dropping-particle&quot;:&quot;&quot;},{&quot;family&quot;:&quot;Yamamoto&quot;,&quot;given&quot;:&quot;Masahiro&quot;,&quot;parse-names&quot;:false,&quot;dropping-particle&quot;:&quot;&quot;,&quot;non-dropping-particle&quot;:&quot;&quot;},{&quot;family&quot;:&quot;Akira&quot;,&quot;given&quot;:&quot;Shizuo&quot;,&quot;parse-names&quot;:false,&quot;dropping-particle&quot;:&quot;&quot;,&quot;non-dropping-particle&quot;:&quot;&quot;},{&quot;family&quot;:&quot;O’Neill&quot;,&quot;given&quot;:&quot;Luke A.&quot;,&quot;parse-names&quot;:false,&quot;dropping-particle&quot;:&quot;&quot;,&quot;non-dropping-particle&quot;:&quot;&quot;},{&quot;family&quot;:&quot;Fitzgerald&quot;,&quot;given&quot;:&quot;Katherine A.&quot;,&quot;parse-names&quot;:false,&quot;dropping-particle&quot;:&quot;&quot;,&quot;non-dropping-particle&quot;:&quot;&quot;},{&quot;family&quot;:&quot;Golenbock&quot;,&quot;given&quot;:&quot;Douglas T.&quot;,&quot;parse-names&quot;:false,&quot;dropping-particle&quot;:&quot;&quot;,&quot;non-dropping-particle&quot;:&quot;&quot;}],&quot;container-title&quot;:&quot;Proceedings of the National Academy of Sciences&quot;,&quot;accessed&quot;:{&quot;date-parts&quot;:[[2021,9,12]]},&quot;DOI&quot;:&quot;10.1073/PNAS.0510041103&quot;,&quot;ISSN&quot;:&quot;0027-8424&quot;,&quot;PMID&quot;:&quot;16603631&quot;,&quot;URL&quot;:&quot;https://www.pnas.org/content/103/16/6299&quot;,&quot;issued&quot;:{&quot;date-parts&quot;:[[2006,4,18]]},&quot;page&quot;:&quot;6299-6304&quot;,&quot;abstract&quot;:&quot;TRIF-related adaptor molecule (TRAM) is the fourth Toll/IL-1 resistance domain-containing adaptor to be described that participates in Toll-like receptor (TLR) signaling. TRAM functions exclusively in the TLR4 pathway. Here we show by confocal microscopy that TRAM is localized in the plasma membrane and the Golgi apparatus, where it colocalizes with TLR4. Membrane localization of TRAM is the result of myristoylation because mutation of a predicted myristoylation site in TRAM (TRAM-G2A) brought about dissociation of TRAM from the membrane and its relocation to the cytosol. Further, TRAM, but not TRAM-G2A, was radiolabeled with [3H]myristate in vivo . Unlike wild-type TRAM, overexpression of TRAM-G2A failed to elicit either IFN regulatory factor 3 or NF-κB signaling. Moreover, TRAM-G2A was unable to reconstitute LPS responses in bone marrow-derived macrophages from TRAM-deficient mice. These observations provide clear evidence that the myristoylation of TRAM targets it to the plasma membrane, where it is essential for LPS responses through the TLR4 signal transduction pathway, and suggest a hitherto unappreciated manner in which LPS responses can be regulated.&quot;,&quot;publisher&quot;:&quot;National Academy of Sciences&quot;,&quot;issue&quot;:&quot;16&quot;,&quot;volume&quot;:&quot;103&quot;},&quot;isTemporary&quot;:false}],&quot;properties&quot;:{&quot;noteIndex&quot;:0},&quot;isEdited&quot;:false,&quot;manualOverride&quot;:{&quot;isManuallyOverridden&quot;:false,&quot;citeprocText&quot;:&quot;(Rowe &lt;i&gt;et al.&lt;/i&gt;, 2006; Tanimura &lt;i&gt;et al.&lt;/i&gt;, 2008)&quot;,&quot;manualOverrideText&quot;:&quot;&quot;},&quot;citationTag&quot;:&quot;MENDELEY_CITATION_v3_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&quot;},{&quot;citationID&quot;:&quot;MENDELEY_CITATION_ce551e62-3858-4625-896a-7ccc7337ecdf&quot;,&quot;citationItems&quot;:[{&quot;id&quot;:&quot;66f30a40-a889-3ef0-b245-bdaa68a61057&quot;,&quot;itemData&quot;:{&quot;type&quot;:&quot;article-journal&quot;,&quot;id&quot;:&quot;66f30a40-a889-3ef0-b245-bdaa68a61057&quot;,&quot;title&quot;:&quot;Towards the structure of the TIR-domain signalosome&quot;,&quot;author&quot;:[{&quot;family&quot;:&quot;Nimma&quot;,&quot;given&quot;:&quot;Surekha&quot;,&quot;parse-names&quot;:false,&quot;dropping-particle&quot;:&quot;&quot;,&quot;non-dropping-particle&quot;:&quot;&quot;},{&quot;family&quot;:&quot;Ve&quot;,&quot;given&quot;:&quot;Thomas&quot;,&quot;parse-names&quot;:false,&quot;dropping-particle&quot;:&quot;&quot;,&quot;non-dropping-particle&quot;:&quot;&quot;},{&quot;family&quot;:&quot;Williams&quot;,&quot;given&quot;:&quot;Simon J.&quot;,&quot;parse-names&quot;:false,&quot;dropping-particle&quot;:&quot;&quot;,&quot;non-dropping-particle&quot;:&quot;&quot;},{&quot;family&quot;:&quot;Kobe&quot;,&quot;given&quot;:&quot;Bostjan&quot;,&quot;parse-names&quot;:false,&quot;dropping-particle&quot;:&quot;&quot;,&quot;non-dropping-particle&quot;:&quot;&quot;}],&quot;container-title&quot;:&quot;Current Opinion in Structural Biology&quot;,&quot;accessed&quot;:{&quot;date-parts&quot;:[[2021,9,12]]},&quot;DOI&quot;:&quot;10.1016/J.SBI.2016.12.014&quot;,&quot;ISSN&quot;:&quot;0959-440X&quot;,&quot;issued&quot;:{&quot;date-parts&quot;:[[2017,4,1]]},&quot;page&quot;:&quot;122-130&quot;,&quot;abstract&quot;:&quot;TIR (Toll/interleukin-1 receptor/resistance protein) domains feature in animal, plant and bacterial proteins involved in innate immunity pathways and associated processes. They function through protein:protein interactions, in particular self-association and homotypic association with other TIR domains. Structures of TIR domains from all phyla have been determined, but common association modes have only emerged for plant and bacterial TIR domains, and not for mammalian TIR domains. Numerous attempts involving hybrid approaches, which have combined structural, computational, mutagenesis and biophysical data, have failed to converge onto common models of how these domains associate and function. We propose that the available data can be reconciled in the context of higher-order assembly formation, and that TIR domains function through signaling by cooperative assembly formation (SCAF).&quot;,&quot;publisher&quot;:&quot;Elsevier Current Trends&quot;,&quot;volume&quot;:&quot;43&quot;},&quot;isTemporary&quot;:false}],&quot;properties&quot;:{&quot;noteIndex&quot;:0},&quot;isEdited&quot;:false,&quot;manualOverride&quot;:{&quot;isManuallyOverridden&quot;:false,&quot;citeprocText&quot;:&quot;(Nimma &lt;i&gt;et al.&lt;/i&gt;, 2017)&quot;,&quot;manualOverrideText&quot;:&quot;&quot;},&quot;citationTag&quot;:&quot;MENDELEY_CITATION_v3_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&quot;},{&quot;citationID&quot;:&quot;MENDELEY_CITATION_83dd284e-85f6-482c-8402-0908e6596ee7&quot;,&quot;citationItems&quot;:[{&quot;id&quot;:&quot;e426cc80-5360-30d4-b136-28a8763a780a&quot;,&quot;itemData&quot;:{&quot;type&quot;:&quot;article-journal&quot;,&quot;id&quot;:&quot;e426cc80-5360-30d4-b136-28a8763a780a&quot;,&quot;title&quot;:&quot;Helical assembly in the MyD88:IRAK4:IRAK2 complex in TLR/IL-1R signaling&quot;,&quot;author&quot;:[{&quot;family&quot;:&quot;Lin&quot;,&quot;given&quot;:&quot;Su-Chang&quot;,&quot;parse-names&quot;:false,&quot;dropping-particle&quot;:&quot;&quot;,&quot;non-dropping-particle&quot;:&quot;&quot;},{&quot;family&quot;:&quot;Lo&quot;,&quot;given&quot;:&quot;Yu-Chih&quot;,&quot;parse-names&quot;:false,&quot;dropping-particle&quot;:&quot;&quot;,&quot;non-dropping-particle&quot;:&quot;&quot;},{&quot;family&quot;:&quot;Wu&quot;,&quot;given&quot;:&quot;Hao&quot;,&quot;parse-names&quot;:false,&quot;dropping-particle&quot;:&quot;&quot;,&quot;non-dropping-particle&quot;:&quot;&quot;}],&quot;container-title&quot;:&quot;Nature&quot;,&quot;accessed&quot;:{&quot;date-parts&quot;:[[2021,9,12]]},&quot;DOI&quot;:&quot;10.1038/NATURE09121&quot;,&quot;PMID&quot;:&quot;20485341&quot;,&quot;URL&quot;:&quot;/pmc/articles/PMC2888693/&quot;,&quot;issued&quot;:{&quot;date-parts&quot;:[[2010,6,17]]},&quot;page&quot;:&quot;885&quot;,&quot;abstract&quot;:&quot;MyD88, IRAK4 and IRAK2 are critical signalling mediators of the TLR/IL1-R superfamily. Here we report the crystal structure of the MyD88-IRAK4-IRAK2 death domain (DD) complex, which surprisingly reveals a left-handed helical oligomer that consists of 6 MyD88, 4 IRAK4 and 4 IRAK2 DDs. Assembly of this helical signalling tower is hierarchical, in which MyD88 recruits IRAK4 and the MyD88-IRAK4 complex recruits the IRAK4 substrates IRAK2 or the related IRAK1. Formation of these Myddosome complexes brings the kinase domains of IRAKs into proximity for phosphorylation and activation. Composite binding sites are required for recruitment of the individual DDs in the complex, which are confirmed by mutagenesis and previously identified signalling mutations. Specificities in Myddosome formation are dictated by both molecular complementarity and correspondence of surface electrostatics. The MyD88-IRAK4-IRAK2 complex provides a template for Toll signalling in Drosophila and an elegant mechanism for versatile assembly and regulation of DD complexes in signal transduction. © Macmillan Publishers Limited. All rights reserved.&quot;,&quot;publisher&quot;:&quot;NIH Public Access&quot;,&quot;issue&quot;:&quot;7300&quot;,&quot;volume&quot;:&quot;465&quot;},&quot;isTemporary&quot;:false}],&quot;properties&quot;:{&quot;noteIndex&quot;:0},&quot;isEdited&quot;:false,&quot;manualOverride&quot;:{&quot;isManuallyOverridden&quot;:false,&quot;citeprocText&quot;:&quot;(Lin, Lo and Wu, 2010)&quot;,&quot;manualOverrideText&quot;:&quot;&quot;},&quot;citationTag&quot;:&quot;MENDELEY_CITATION_v3_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&quot;},{&quot;citationID&quot;:&quot;MENDELEY_CITATION_8f6a4930-cea4-4c0c-a075-3c5b41d06acb&quot;,&quot;citationItems&quot;:[{&quot;id&quot;:&quot;243876d3-b8ca-35fe-856d-a3f3cf23ab1d&quot;,&quot;itemData&quot;:{&quot;type&quot;:&quot;article-journal&quot;,&quot;id&quot;:&quot;243876d3-b8ca-35fe-856d-a3f3cf23ab1d&quot;,&quot;title&quot;:&quot;Role of adaptor TRIF in the MyD88-independent toll-like receptor signaling pathway&quot;,&quot;author&quot;:[{&quot;family&quot;:&quot;Yamamoto&quot;,&quot;given&quot;:&quot;Masahiro&quot;,&quot;parse-names&quot;:false,&quot;dropping-particle&quot;:&quot;&quot;,&quot;non-dropping-particle&quot;:&quot;&quot;},{&quot;family&quot;:&quot;Sato&quot;,&quot;given&quot;:&quot;Shintaro&quot;,&quot;parse-names&quot;:false,&quot;dropping-particle&quot;:&quot;&quot;,&quot;non-dropping-particle&quot;:&quot;&quot;},{&quot;family&quot;:&quot;Hemmi&quot;,&quot;given&quot;:&quot;Hiroaki&quot;,&quot;parse-names&quot;:false,&quot;dropping-particle&quot;:&quot;&quot;,&quot;non-dropping-particle&quot;:&quot;&quot;},{&quot;family&quot;:&quot;Hoshino&quot;,&quot;given&quot;:&quot;Katsuaki&quot;,&quot;parse-names&quot;:false,&quot;dropping-particle&quot;:&quot;&quot;,&quot;non-dropping-particle&quot;:&quot;&quot;},{&quot;family&quot;:&quot;Kaisho&quot;,&quot;given&quot;:&quot;Tsuneyasu&quot;,&quot;parse-names&quot;:false,&quot;dropping-particle&quot;:&quot;&quot;,&quot;non-dropping-particle&quot;:&quot;&quot;},{&quot;family&quot;:&quot;Sanjo&quot;,&quot;given&quot;:&quot;Hideki&quot;,&quot;parse-names&quot;:false,&quot;dropping-particle&quot;:&quot;&quot;,&quot;non-dropping-particle&quot;:&quot;&quot;},{&quot;family&quot;:&quot;Takeuchi&quot;,&quot;given&quot;:&quot;Osamu&quot;,&quot;parse-names&quot;:false,&quot;dropping-particle&quot;:&quot;&quot;,&quot;non-dropping-particle&quot;:&quot;&quot;},{&quot;family&quot;:&quot;Sugiyama&quot;,&quot;given&quot;:&quot;Masanaka&quot;,&quot;parse-names&quot;:false,&quot;dropping-particle&quot;:&quot;&quot;,&quot;non-dropping-particle&quot;:&quot;&quot;},{&quot;family&quot;:&quot;Okabe&quot;,&quot;given&quot;:&quot;Masaru&quot;,&quot;parse-names&quot;:false,&quot;dropping-particle&quot;:&quot;&quot;,&quot;non-dropping-particle&quot;:&quot;&quot;},{&quot;family&quot;:&quot;Takeda&quot;,&quot;given&quot;:&quot;Kiyoshi&quot;,&quot;parse-names&quot;:false,&quot;dropping-particle&quot;:&quot;&quot;,&quot;non-dropping-particle&quot;:&quot;&quot;},{&quot;family&quot;:&quot;Akira&quot;,&quot;given&quot;:&quot;Shizuo&quot;,&quot;parse-names&quot;:false,&quot;dropping-particle&quot;:&quot;&quot;,&quot;non-dropping-particle&quot;:&quot;&quot;}],&quot;container-title&quot;:&quot;Science&quot;,&quot;accessed&quot;:{&quot;date-parts&quot;:[[2021,1,31]]},&quot;DOI&quot;:&quot;10.1126/science.1087262&quot;,&quot;ISSN&quot;:&quot;00368075&quot;,&quot;PMID&quot;:&quot;12855817&quot;,&quot;URL&quot;:&quot;https://science.sciencemag.org/content/301/5633/640&quot;,&quot;issued&quot;:{&quot;date-parts&quot;:[[2003,8,1]]},&quot;page&quot;:&quot;640-643&quot;,&quot;abstract&quot;:&quot;Stimulation of Toll-like receptors (TLRs) triggers activation of a common MyD88-dependent signaling pathway as well as a MyD88-independent pathway that is unique to TLR3 and TLR4 signaling pathways leading to interferon (IFN)-β production. Here we disrupted the gene encoding a Toll/IL-1 receptor (TIR) domain-containing adaptor, TRIF. TRIF-deficient mice were defective in both TLR3- and TLR4-mediated expression of IFN-β and activation of IRF-3. Furthermore, inflammatory cytokine production in response to the TLR4 ligand, but not to other TLR ligands, was severely impaired in TRIF-deficient macrophages. Mice deficient in both MyD88 and TRIF showed complete loss of nuclear factor kappa B activation in response to TLR4 stimulation. These findings demonstrate that TRIF is essential for TLR3- and TLR4-mediated signaling pathways facilitating mammalian antiviral host defense.&quot;,&quot;publisher&quot;:&quot;American Association for the Advancement of Science&quot;,&quot;issue&quot;:&quot;5633&quot;,&quot;volume&quot;:&quot;301&quot;},&quot;isTemporary&quot;:false}],&quot;properties&quot;:{&quot;noteIndex&quot;:0},&quot;isEdited&quot;:false,&quot;manualOverride&quot;:{&quot;isManuallyOverridden&quot;:true,&quot;citeprocText&quot;:&quot;(Yamamoto &lt;i&gt;et al.&lt;/i&gt;, 2003)&quot;,&quot;manualOverrideText&quot;:&quot;(Yamamoto et al., 2003).&quot;},&quot;citationTag&quot;:&quot;MENDELEY_CITATION_v3_eyJjaXRhdGlvbklEIjoiTUVOREVMRVlfQ0lUQVRJT05fOGY2YTQ5MzAtY2VhNC00YzBjLWEwNzUtM2M1YjQxZDA2YWNi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GVuIjp0cnVlLCJjaXRlcHJvY1RleHQiOiIoWWFtYW1vdG8gPGk+ZXQgYWwuPC9pPiwgMjAwMykiLCJtYW51YWxPdmVycmlkZVRleHQiOiIoWWFtYW1vdG8gZXQgYWwuLCAyMDAzKS4ifX0=&quot;},{&quot;citationID&quot;:&quot;MENDELEY_CITATION_92ce5b3f-3779-49da-8f96-a75692d681a1&quot;,&quot;citationItems&quot;:[{&quot;id&quot;:&quot;243876d3-b8ca-35fe-856d-a3f3cf23ab1d&quot;,&quot;itemData&quot;:{&quot;type&quot;:&quot;article-journal&quot;,&quot;id&quot;:&quot;243876d3-b8ca-35fe-856d-a3f3cf23ab1d&quot;,&quot;title&quot;:&quot;Role of adaptor TRIF in the MyD88-independent toll-like receptor signaling pathway&quot;,&quot;author&quot;:[{&quot;family&quot;:&quot;Yamamoto&quot;,&quot;given&quot;:&quot;Masahiro&quot;,&quot;parse-names&quot;:false,&quot;dropping-particle&quot;:&quot;&quot;,&quot;non-dropping-particle&quot;:&quot;&quot;},{&quot;family&quot;:&quot;Sato&quot;,&quot;given&quot;:&quot;Shintaro&quot;,&quot;parse-names&quot;:false,&quot;dropping-particle&quot;:&quot;&quot;,&quot;non-dropping-particle&quot;:&quot;&quot;},{&quot;family&quot;:&quot;Hemmi&quot;,&quot;given&quot;:&quot;Hiroaki&quot;,&quot;parse-names&quot;:false,&quot;dropping-particle&quot;:&quot;&quot;,&quot;non-dropping-particle&quot;:&quot;&quot;},{&quot;family&quot;:&quot;Hoshino&quot;,&quot;given&quot;:&quot;Katsuaki&quot;,&quot;parse-names&quot;:false,&quot;dropping-particle&quot;:&quot;&quot;,&quot;non-dropping-particle&quot;:&quot;&quot;},{&quot;family&quot;:&quot;Kaisho&quot;,&quot;given&quot;:&quot;Tsuneyasu&quot;,&quot;parse-names&quot;:false,&quot;dropping-particle&quot;:&quot;&quot;,&quot;non-dropping-particle&quot;:&quot;&quot;},{&quot;family&quot;:&quot;Sanjo&quot;,&quot;given&quot;:&quot;Hideki&quot;,&quot;parse-names&quot;:false,&quot;dropping-particle&quot;:&quot;&quot;,&quot;non-dropping-particle&quot;:&quot;&quot;},{&quot;family&quot;:&quot;Takeuchi&quot;,&quot;given&quot;:&quot;Osamu&quot;,&quot;parse-names&quot;:false,&quot;dropping-particle&quot;:&quot;&quot;,&quot;non-dropping-particle&quot;:&quot;&quot;},{&quot;family&quot;:&quot;Sugiyama&quot;,&quot;given&quot;:&quot;Masanaka&quot;,&quot;parse-names&quot;:false,&quot;dropping-particle&quot;:&quot;&quot;,&quot;non-dropping-particle&quot;:&quot;&quot;},{&quot;family&quot;:&quot;Okabe&quot;,&quot;given&quot;:&quot;Masaru&quot;,&quot;parse-names&quot;:false,&quot;dropping-particle&quot;:&quot;&quot;,&quot;non-dropping-particle&quot;:&quot;&quot;},{&quot;family&quot;:&quot;Takeda&quot;,&quot;given&quot;:&quot;Kiyoshi&quot;,&quot;parse-names&quot;:false,&quot;dropping-particle&quot;:&quot;&quot;,&quot;non-dropping-particle&quot;:&quot;&quot;},{&quot;family&quot;:&quot;Akira&quot;,&quot;given&quot;:&quot;Shizuo&quot;,&quot;parse-names&quot;:false,&quot;dropping-particle&quot;:&quot;&quot;,&quot;non-dropping-particle&quot;:&quot;&quot;}],&quot;container-title&quot;:&quot;Science&quot;,&quot;accessed&quot;:{&quot;date-parts&quot;:[[2021,1,31]]},&quot;DOI&quot;:&quot;10.1126/science.1087262&quot;,&quot;ISSN&quot;:&quot;00368075&quot;,&quot;PMID&quot;:&quot;12855817&quot;,&quot;URL&quot;:&quot;https://science.sciencemag.org/content/301/5633/640&quot;,&quot;issued&quot;:{&quot;date-parts&quot;:[[2003,8,1]]},&quot;page&quot;:&quot;640-643&quot;,&quot;abstract&quot;:&quot;Stimulation of Toll-like receptors (TLRs) triggers activation of a common MyD88-dependent signaling pathway as well as a MyD88-independent pathway that is unique to TLR3 and TLR4 signaling pathways leading to interferon (IFN)-β production. Here we disrupted the gene encoding a Toll/IL-1 receptor (TIR) domain-containing adaptor, TRIF. TRIF-deficient mice were defective in both TLR3- and TLR4-mediated expression of IFN-β and activation of IRF-3. Furthermore, inflammatory cytokine production in response to the TLR4 ligand, but not to other TLR ligands, was severely impaired in TRIF-deficient macrophages. Mice deficient in both MyD88 and TRIF showed complete loss of nuclear factor kappa B activation in response to TLR4 stimulation. These findings demonstrate that TRIF is essential for TLR3- and TLR4-mediated signaling pathways facilitating mammalian antiviral host defense.&quot;,&quot;publisher&quot;:&quot;American Association for the Advancement of Science&quot;,&quot;issue&quot;:&quot;5633&quot;,&quot;volume&quot;:&quot;301&quot;},&quot;isTemporary&quot;:false}],&quot;properties&quot;:{&quot;noteIndex&quot;:0},&quot;isEdited&quot;:false,&quot;manualOverride&quot;:{&quot;isManuallyOverriden&quot;:false,&quot;citeprocText&quot;:&quot;(Yamamoto &lt;i&gt;et al.&lt;/i&gt;, 2003)&quot;,&quot;manualOverrideText&quot;:&quot;&quot;},&quot;citationTag&quot;:&quot;MENDELEY_CITATION_v3_eyJjaXRhdGlvbklEIjoiTUVOREVMRVlfQ0lUQVRJT05fOTJjZTViM2YtMzc3OS00OWRhLThmOTYtYTc1NjkyZDY4MWEx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W4iOmZhbHNlLCJjaXRlcHJvY1RleHQiOiIoWWFtYW1vdG8gPGk+ZXQgYWwuPC9pPiwgMjAwMykiLCJtYW51YWxPdmVycmlkZVRleHQiOiIifX0=&quot;},{&quot;citationID&quot;:&quot;MENDELEY_CITATION_fcecc552-8410-4521-a6e5-0cca90388158&quot;,&quot;citationItems&quot;:[{&quot;id&quot;:&quot;ddf98a53-f126-3301-9c88-6480480eb49f&quot;,&quot;itemData&quot;:{&quot;type&quot;:&quot;article-journal&quot;,&quot;id&quot;:&quot;ddf98a53-f126-3301-9c88-6480480eb49f&quot;,&quot;title&quot;:&quot;TAK1 is a ubiquitin-dependent kinase of MKK and IKK&quot;,&quot;author&quot;:[{&quot;family&quot;:&quot;Wang&quot;,&quot;given&quot;:&quot;Chen&quot;,&quot;parse-names&quot;:false,&quot;dropping-particle&quot;:&quot;&quot;,&quot;non-dropping-particle&quot;:&quot;&quot;},{&quot;family&quot;:&quot;Deng&quot;,&quot;given&quot;:&quot;Li&quot;,&quot;parse-names&quot;:false,&quot;dropping-particle&quot;:&quot;&quot;,&quot;non-dropping-particle&quot;:&quot;&quot;},{&quot;family&quot;:&quot;Hong&quot;,&quot;given&quot;:&quot;Mei&quot;,&quot;parse-names&quot;:false,&quot;dropping-particle&quot;:&quot;&quot;,&quot;non-dropping-particle&quot;:&quot;&quot;},{&quot;family&quot;:&quot;Akkaraju&quot;,&quot;given&quot;:&quot;Giridhar R.&quot;,&quot;parse-names&quot;:false,&quot;dropping-particle&quot;:&quot;&quot;,&quot;non-dropping-particle&quot;:&quot;&quot;},{&quot;family&quot;:&quot;Inoue&quot;,&quot;given&quot;:&quot;Jun-ichiro&quot;,&quot;parse-names&quot;:false,&quot;dropping-particle&quot;:&quot;&quot;,&quot;non-dropping-particle&quot;:&quot;&quot;},{&quot;family&quot;:&quot;Chen&quot;,&quot;given&quot;:&quot;Zhijian J.&quot;,&quot;parse-names&quot;:false,&quot;dropping-particle&quot;:&quot;&quot;,&quot;non-dropping-particle&quot;:&quot;&quot;}],&quot;container-title&quot;:&quot;Nature 2001 412:6844&quot;,&quot;accessed&quot;:{&quot;date-parts&quot;:[[2021,9,13]]},&quot;DOI&quot;:&quot;10.1038/35085597&quot;,&quot;ISSN&quot;:&quot;1476-4687&quot;,&quot;URL&quot;:&quot;https://www.nature.com/articles/35085597&quot;,&quot;issued&quot;:{&quot;date-parts&quot;:[[2001,7,19]]},&quot;page&quot;:&quot;346-351&quot;,&quot;abstract&quot;:&quot;TRAF6 is a signal transducer that activates IκB kinase (IKK) and Jun amino-terminal kinase (JNK) in response to pro-inflammatory mediators such as interleukin-1 (IL-1) and lipopolysaccharides (LPS)1,2,3,4. IKK activation by TRAF6 requires two intermediary factors, TRAF6-regulated IKK activator 1 (TRIKA1) and TRIKA2 (ref. 5). TRIKA1 is a dimeric ubiquitin-conjugating enzyme complex composed of Ubc13 and Uev1A (or the functionally equivalent Mms2). This Ubc complex, together with TRAF6, catalyses the formation of a Lys 63 (K63)-linked polyubiquitin chain that mediates IKK activation through a unique proteasome-independent mechanism5. Here we report the purification and identification of TRIKA2, which is composed of TAK1, TAB1 and TAB2, a protein kinase complex previously implicated in IKK activation through an unknown mechanism6,7. We find that the TAK1 kinase complex phosphorylates and activates IKK in a manner that depends on TRAF6 and Ubc13–Uev1A. Moreover, the activity of TAK1 to phosphorylate MKK6, which activates the JNK–p38 kinase pathway, is directly regulated by K63-linked polyubiquitination. We also provide evidence that TRAF6 is conjugated by the K63 polyubiquitin chains. These results indicate that ubiquitination has an important regulatory role in stress response pathways, including those of IKK and JNK.&quot;,&quot;publisher&quot;:&quot;Nature Publishing Group&quot;,&quot;issue&quot;:&quot;6844&quot;,&quot;volume&quot;:&quot;412&quot;},&quot;isTemporary&quot;:false},{&quot;id&quot;:&quot;5668d2a7-8cf8-3a79-ac74-d52643317349&quot;,&quot;itemData&quot;:{&quot;type&quot;:&quot;article-journal&quot;,&quot;id&quot;:&quot;5668d2a7-8cf8-3a79-ac74-d52643317349&quot;,&quot;title&quot;:&quot;LPS/TLR4 signal transduction pathway&quot;,&quot;author&quot;:[{&quot;family&quot;:&quot;Lu&quot;,&quot;given&quot;:&quot;Yong Chen&quot;,&quot;parse-names&quot;:false,&quot;dropping-particle&quot;:&quot;&quot;,&quot;non-dropping-particle&quot;:&quot;&quot;},{&quot;family&quot;:&quot;Yeh&quot;,&quot;given&quot;:&quot;Wen Chen&quot;,&quot;parse-names&quot;:false,&quot;dropping-particle&quot;:&quot;&quot;,&quot;non-dropping-particle&quot;:&quot;&quot;},{&quot;family&quot;:&quot;Ohashi&quot;,&quot;given&quot;:&quot;Pamela S.&quot;,&quot;parse-names&quot;:false,&quot;dropping-particle&quot;:&quot;&quot;,&quot;non-dropping-particle&quot;:&quot;&quot;}],&quot;container-title&quot;:&quot;Cytokine&quot;,&quot;accessed&quot;:{&quot;date-parts&quot;:[[2021,9,13]]},&quot;DOI&quot;:&quot;10.1016/J.CYTO.2008.01.006&quot;,&quot;ISSN&quot;:&quot;1043-4666&quot;,&quot;issued&quot;:{&quot;date-parts&quot;:[[2008,5,1]]},&quot;page&quot;:&quot;145-151&quot;,&quot;abstract&quot;:&quot;The stimulation of Toll-like receptor 4 (TLR4) by lipopolysaccharide (LPS) induces the release of critical proinflammatory cytokines that are necessary to activate potent immune responses. LPS/TLR4 signaling has been intensively studied in the past few years. Here we review molecules involved in TLR4-mediated signaling, including players that are involved in the negative regulation of this important pathway. © 2008 Elsevier Ltd. All rights reserved.&quot;,&quot;publisher&quot;:&quot;Academic Press&quot;,&quot;issue&quot;:&quot;2&quot;,&quot;volume&quot;:&quot;42&quot;},&quot;isTemporary&quot;:false}],&quot;properties&quot;:{&quot;noteIndex&quot;:0},&quot;isEdited&quot;:false,&quot;manualOverride&quot;:{&quot;isManuallyOverridden&quot;:true,&quot;citeprocText&quot;:&quot;(Wang, Deng, Hong, Akkaraju, J. Inoue, &lt;i&gt;et al.&lt;/i&gt;, 2001; Lu, Yeh and Ohashi, 2008)&quot;,&quot;manualOverrideText&quot;:&quot;(Wang et al., 2001; Lu, Yeh and Ohashi, 2008)&quot;},&quot;citationTag&quot;:&quot;MENDELEY_CITATION_v3_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&quot;},{&quot;citationID&quot;:&quot;MENDELEY_CITATION_67cae0fb-4f62-4c83-8bf0-57ea04795dca&quot;,&quot;citationItems&quot;:[{&quot;id&quot;:&quot;7401692f-d628-376b-9747-9c88155ab99a&quot;,&quot;itemData&quot;:{&quot;type&quot;:&quot;article-journal&quot;,&quot;id&quot;:&quot;7401692f-d628-376b-9747-9c88155ab99a&quot;,&quot;title&quot;:&quot;NF-κB activation by the Toll-IL-1 receptor domain protein MyD88 adapter-like is regulated by caspase-1&quot;,&quot;author&quot;:[{&quot;family&quot;:&quot;Miggin&quot;,&quot;given&quot;:&quot;Sinead M.&quot;,&quot;parse-names&quot;:false,&quot;dropping-particle&quot;:&quot;&quot;,&quot;non-dropping-particle&quot;:&quot;&quot;},{&quot;family&quot;:&quot;Pålsson-McDermott&quot;,&quot;given&quot;:&quot;Eva&quot;,&quot;parse-names&quot;:false,&quot;dropping-particle&quot;:&quot;&quot;,&quot;non-dropping-particle&quot;:&quot;&quot;},{&quot;family&quot;:&quot;Dunne&quot;,&quot;given&quot;:&quot;Aisling&quot;,&quot;parse-names&quot;:false,&quot;dropping-particle&quot;:&quot;&quot;,&quot;non-dropping-particle&quot;:&quot;&quot;},{&quot;family&quot;:&quot;Jefferies&quot;,&quot;given&quot;:&quot;Caroline&quot;,&quot;parse-names&quot;:false,&quot;dropping-particle&quot;:&quot;&quot;,&quot;non-dropping-particle&quot;:&quot;&quot;},{&quot;family&quot;:&quot;Pinteaux&quot;,&quot;given&quot;:&quot;Emmanuel&quot;,&quot;parse-names&quot;:false,&quot;dropping-particle&quot;:&quot;&quot;,&quot;non-dropping-particle&quot;:&quot;&quot;},{&quot;family&quot;:&quot;Banahan&quot;,&quot;given&quot;:&quot;Kathy&quot;,&quot;parse-names&quot;:false,&quot;dropping-particle&quot;:&quot;&quot;,&quot;non-dropping-particle&quot;:&quot;&quot;},{&quot;family&quot;:&quot;Murphy&quot;,&quot;given&quot;:&quot;Caroline&quot;,&quot;parse-names&quot;:false,&quot;dropping-particle&quot;:&quot;&quot;,&quot;non-dropping-particle&quot;:&quot;&quot;},{&quot;family&quot;:&quot;Moynagh&quot;,&quot;given&quot;:&quot;Paul&quot;,&quot;parse-names&quot;:false,&quot;dropping-particle&quot;:&quot;&quot;,&quot;non-dropping-particle&quot;:&quot;&quot;},{&quot;family&quot;:&quot;Yamamoto&quot;,&quot;given&quot;:&quot;Masahiro&quot;,&quot;parse-names&quot;:false,&quot;dropping-particle&quot;:&quot;&quot;,&quot;non-dropping-particle&quot;:&quot;&quot;},{&quot;family&quot;:&quot;Akira&quot;,&quot;given&quot;:&quot;Shizuo&quot;,&quot;parse-names&quot;:false,&quot;dropping-particle&quot;:&quot;&quot;,&quot;non-dropping-particle&quot;:&quot;&quot;},{&quot;family&quot;:&quot;Rothwell&quot;,&quot;given&quot;:&quot;Nancy&quot;,&quot;parse-names&quot;:false,&quot;dropping-particle&quot;:&quot;&quot;,&quot;non-dropping-particle&quot;:&quot;&quot;},{&quot;family&quot;:&quot;Golenbock&quot;,&quot;given&quot;:&quot;Douglas&quot;,&quot;parse-names&quot;:false,&quot;dropping-particle&quot;:&quot;&quot;,&quot;non-dropping-particle&quot;:&quot;&quot;},{&quot;family&quot;:&quot;Fitzgerald&quot;,&quot;given&quot;:&quot;Katherine A.&quot;,&quot;parse-names&quot;:false,&quot;dropping-particle&quot;:&quot;&quot;,&quot;non-dropping-particle&quot;:&quot;&quot;},{&quot;family&quot;:&quot;O'Neill&quot;,&quot;given&quot;:&quot;Luke A.J.&quot;,&quot;parse-names&quot;:false,&quot;dropping-particle&quot;:&quot;&quot;,&quot;non-dropping-particle&quot;:&quot;&quot;}],&quot;container-title&quot;:&quot;Proceedings of the National Academy of Sciences of the United States of America&quot;,&quot;accessed&quot;:{&quot;date-parts&quot;:[[2021,1,31]]},&quot;DOI&quot;:&quot;10.1073/pnas.0608100104&quot;,&quot;ISSN&quot;:&quot;00278424&quot;,&quot;PMID&quot;:&quot;17360653&quot;,&quot;URL&quot;:&quot;www.pnas.org/cgi/doi/10.1073/pnas.1317707110&quot;,&quot;issued&quot;:{&quot;date-parts&quot;:[[2007,2,27]]},&quot;page&quot;:&quot;3372-3377&quot;,&quot;abstract&quot;:&quot;Toll-like receptors (TLRs)-2 and -4 are important proteins in innate immunity, recognizing microbial products and eliciting host defense responses. Both use the adapter proteins MyD88 and MyD88 adapter-like (Mal) to activate signaling pathways. Here we report that Mal but not MyD88 interacts with caspase-1, the enzyme that processes the precursors of the proinflammatory cytokines IL-1β and IL-18. The interaction was found in a yeast two-hybrid screen and was confirmed by reciprocal GST pull-downs and coimmunoprecipitation of endogenous proteins. We were unable to implicate Mal in regulating caspase-1 activation. However, we found that Mal was cleaved by caspase-1 and that inhibition of caspase-1 activity blocked TLR2- and TLR4-mediated NF-κB and p38 MAP kinase activation but not IL-1 or TLR7 signaling, which are Mal independent. These responses, and the induction of TNF, were also attenuated in caspase-1-deficient cells. Finally, unlike wild-type Mal, a mutant Mal, which was not cleaved by caspase-1, was unable to signal and acted as a dominant negative inhibitor of TLR2 and TLR4 signaling. Our study therefore reveals a role for caspase-1 in the regulation of TLR2 and TLR4 signaling pathways via an effect on Mal. This functional interaction reveals an important aspect of the coordination between TLRs and caspase-1 during the innate response to pathogens. © 2007 by The National Academy of Sciences of the USA.&quot;,&quot;publisher&quot;:&quot;National Academy of Sciences&quot;,&quot;issue&quot;:&quot;9&quot;,&quot;volume&quot;:&quot;104&quot;},&quot;isTemporary&quot;:false}],&quot;properties&quot;:{&quot;noteIndex&quot;:0},&quot;isEdited&quot;:false,&quot;manualOverride&quot;:{&quot;isManuallyOverriden&quot;:false,&quot;citeprocText&quot;:&quot;(Miggin &lt;i&gt;et al.&lt;/i&gt;, 2007)&quot;,&quot;manualOverrideText&quot;:&quot;&quot;},&quot;citationTag&quot;:&quot;MENDELEY_CITATION_v3_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&quot;},{&quot;citationID&quot;:&quot;MENDELEY_CITATION_20381392-8f3a-4718-aa1f-d605a4619935&quot;,&quot;citationItems&quot;:[{&quot;id&quot;:&quot;88f61562-389d-3eec-961e-929ad183923d&quot;,&quot;itemData&quot;:{&quot;type&quot;:&quot;article-journal&quot;,&quot;id&quot;:&quot;88f61562-389d-3eec-961e-929ad183923d&quot;,&quot;title&quot;:&quot;IL-1 Receptor-Associated Kinase Modulates Host Responsiveness to Endotoxin&quot;,&quot;author&quot;:[{&quot;family&quot;:&quot;Swantek&quot;,&quot;given&quot;:&quot;Jennifer L.&quot;,&quot;parse-names&quot;:false,&quot;dropping-particle&quot;:&quot;&quot;,&quot;non-dropping-particle&quot;:&quot;&quot;},{&quot;family&quot;:&quot;Tsen&quot;,&quot;given&quot;:&quot;May F.&quot;,&quot;parse-names&quot;:false,&quot;dropping-particle&quot;:&quot;&quot;,&quot;non-dropping-particle&quot;:&quot;&quot;},{&quot;family&quot;:&quot;Cobb&quot;,&quot;given&quot;:&quot;Melanie H.&quot;,&quot;parse-names&quot;:false,&quot;dropping-particle&quot;:&quot;&quot;,&quot;non-dropping-particle&quot;:&quot;&quot;},{&quot;family&quot;:&quot;Thomas&quot;,&quot;given&quot;:&quot;James A.&quot;,&quot;parse-names&quot;:false,&quot;dropping-particle&quot;:&quot;&quot;,&quot;non-dropping-particle&quot;:&quot;&quot;}],&quot;container-title&quot;:&quot;The Journal of Immunology&quot;,&quot;accessed&quot;:{&quot;date-parts&quot;:[[2021,1,31]]},&quot;DOI&quot;:&quot;10.4049/jimmunol.164.8.4301&quot;,&quot;ISSN&quot;:&quot;0022-1767&quot;,&quot;PMID&quot;:&quot;10754329&quot;,&quot;URL&quot;:&quot;http://www.jimmunol.org/content/164/8/4301http://www.jimmunol.org/content/164/8/4301.full#ref-list-1&quot;,&quot;issued&quot;:{&quot;date-parts&quot;:[[2000,4,15]]},&quot;page&quot;:&quot;4301-4306&quot;,&quot;abstract&quot;:&quot;Endotoxin triggers many of the inflammatory, hemodynamic, and hematological derangements of Gram-negative septic shock. Recent genetic studies in mice have identified the Toll-like receptor 4 as the transmembrane endotoxin signal transducer. The IL-1 intracellular signaling pathway has been implicated in Toll-like receptor signal transduction. LPS-induced activation of the IL-1 receptor-associated kinase (IRAK), and the influence of IRAK on intracellular signaling and cellular responses to endotoxin has not been explored in relevant innate immune cells. We demonstrate that LPS activates IRAK in murine macrophages. IRAK-deficient macrophages, in contrast, are resistant to LPS. Deletion of IRAK disrupts several endotoxin-triggered signaling cascades. Furthermore, macrophages lacking IRAK exhibit impaired LPS-stimulated TNF-alpha production, and IRAK-deficient mice withstand the lethal effects of LPS. These findings, coupled with the critical role for IRAK in IL-1 and IL-18 signal transduction, demonstrate the importance of this kinase and the IL-1/Toll signaling cassette in sensing and responding to Gram-negative infection.&quot;,&quot;publisher&quot;:&quot;The American Association of Immunologists&quot;,&quot;issue&quot;:&quot;8&quot;,&quot;volume&quot;:&quot;164&quot;},&quot;isTemporary&quot;:false}],&quot;properties&quot;:{&quot;noteIndex&quot;:0},&quot;isEdited&quot;:false,&quot;manualOverride&quot;:{&quot;isManuallyOverriden&quot;:false,&quot;citeprocText&quot;:&quot;(Swantek &lt;i&gt;et al.&lt;/i&gt;, 2000)&quot;,&quot;manualOverrideText&quot;:&quot;&quot;},&quot;citationTag&quot;:&quot;MENDELEY_CITATION_v3_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&quot;},{&quot;citationID&quot;:&quot;MENDELEY_CITATION_39773e9c-d8f6-42a0-8788-3c7648d8c1a2&quot;,&quot;citationItems&quot;:[{&quot;id&quot;:&quot;478b1ef8-7c4d-39bf-bb7e-1b2ff93068a9&quot;,&quot;itemData&quot;:{&quot;type&quot;:&quot;article-journal&quot;,&quot;id&quot;:&quot;478b1ef8-7c4d-39bf-bb7e-1b2ff93068a9&quot;,&quot;title&quot;:&quot;Severe impairment of interleukin-1 and toll-like receptor signalling in mice lacking IRAK-4&quot;,&quot;author&quot;:[{&quot;family&quot;:&quot;Suzuki&quot;,&quot;given&quot;:&quot;Nobutaka&quot;,&quot;parse-names&quot;:false,&quot;dropping-particle&quot;:&quot;&quot;,&quot;non-dropping-particle&quot;:&quot;&quot;},{&quot;family&quot;:&quot;Suzuki&quot;,&quot;given&quot;:&quot;Shinobu&quot;,&quot;parse-names&quot;:false,&quot;dropping-particle&quot;:&quot;&quot;,&quot;non-dropping-particle&quot;:&quot;&quot;},{&quot;family&quot;:&quot;Duncan&quot;,&quot;given&quot;:&quot;Gordon S.&quot;,&quot;parse-names&quot;:false,&quot;dropping-particle&quot;:&quot;&quot;,&quot;non-dropping-particle&quot;:&quot;&quot;},{&quot;family&quot;:&quot;Millar&quot;,&quot;given&quot;:&quot;Douglas G.&quot;,&quot;parse-names&quot;:false,&quot;dropping-particle&quot;:&quot;&quot;,&quot;non-dropping-particle&quot;:&quot;&quot;},{&quot;family&quot;:&quot;Wada&quot;,&quot;given&quot;:&quot;Teiji&quot;,&quot;parse-names&quot;:false,&quot;dropping-particle&quot;:&quot;&quot;,&quot;non-dropping-particle&quot;:&quot;&quot;},{&quot;family&quot;:&quot;Mirtsos&quot;,&quot;given&quot;:&quot;Christine&quot;,&quot;parse-names&quot;:false,&quot;dropping-particle&quot;:&quot;&quot;,&quot;non-dropping-particle&quot;:&quot;&quot;},{&quot;family&quot;:&quot;Takada&quot;,&quot;given&quot;:&quot;Hidetoshi&quot;,&quot;parse-names&quot;:false,&quot;dropping-particle&quot;:&quot;&quot;,&quot;non-dropping-particle&quot;:&quot;&quot;},{&quot;family&quot;:&quot;Wakeham&quot;,&quot;given&quot;:&quot;Andrew&quot;,&quot;parse-names&quot;:false,&quot;dropping-particle&quot;:&quot;&quot;,&quot;non-dropping-particle&quot;:&quot;&quot;},{&quot;family&quot;:&quot;Itie&quot;,&quot;given&quot;:&quot;Annick&quot;,&quot;parse-names&quot;:false,&quot;dropping-particle&quot;:&quot;&quot;,&quot;non-dropping-particle&quot;:&quot;&quot;},{&quot;family&quot;:&quot;Li&quot;,&quot;given&quot;:&quot;Shyun&quot;,&quot;parse-names&quot;:false,&quot;dropping-particle&quot;:&quot;&quot;,&quot;non-dropping-particle&quot;:&quot;&quot;},{&quot;family&quot;:&quot;Penninger&quot;,&quot;given&quot;:&quot;Josef M.&quot;,&quot;parse-names&quot;:false,&quot;dropping-particle&quot;:&quot;&quot;,&quot;non-dropping-particle&quot;:&quot;&quot;},{&quot;family&quot;:&quot;Wesche&quot;,&quot;given&quot;:&quot;Holger&quot;,&quot;parse-names&quot;:false,&quot;dropping-particle&quot;:&quot;&quot;,&quot;non-dropping-particle&quot;:&quot;&quot;},{&quot;family&quot;:&quot;Ohashi&quot;,&quot;given&quot;:&quot;Pamela S.&quot;,&quot;parse-names&quot;:false,&quot;dropping-particle&quot;:&quot;&quot;,&quot;non-dropping-particle&quot;:&quot;&quot;},{&quot;family&quot;:&quot;Mak&quot;,&quot;given&quot;:&quot;Tak W.&quot;,&quot;parse-names&quot;:false,&quot;dropping-particle&quot;:&quot;&quot;,&quot;non-dropping-particle&quot;:&quot;&quot;},{&quot;family&quot;:&quot;Yeh&quot;,&quot;given&quot;:&quot;Wen Chen&quot;,&quot;parse-names&quot;:false,&quot;dropping-particle&quot;:&quot;&quot;,&quot;non-dropping-particle&quot;:&quot;&quot;}],&quot;container-title&quot;:&quot;Nature&quot;,&quot;accessed&quot;:{&quot;date-parts&quot;:[[2021,1,31]]},&quot;DOI&quot;:&quot;10.1038/nature736&quot;,&quot;ISSN&quot;:&quot;00280836&quot;,&quot;PMID&quot;:&quot;11923871&quot;,&quot;URL&quot;:&quot;https://www.nature.com/articles/nature736&quot;,&quot;issued&quot;:{&quot;date-parts&quot;:[[2002,3,31]]},&quot;page&quot;:&quot;750-754&quot;,&quot;abstract&quot;:&quot;Toll-like receptors (TLRs), which recognize pathogen-associated molecular patterns, and members of the pro-inflammatory interleukin-1 receptor (IL-1R) family, share homologies in their cytoplasmic domains called Toll/IL-IR/plant R gene homology (TIR) domains. Intracellular signalling mechanisms mediated by TIRs are similar, with MyD88 (refs 5-8) and TRAF6 (refs 9, 10) having critical roles. Signal transduction between MyD88 and TRAF6 is known to involve the serine-threonine kinase IL-1 receptor-associated kinase 1 (IRAK-1) and two homologous proteins, IRAK-2 (ref. 12) and IRAK-M. However, the physiological functions of the IRAK molecules remain unclear, and gene-targeting studies have shown that IRAK-1 is only partially required for IL-1R and TLR signalling. Here we show by genetargeting that IRAK-4, an IRAK molecule closely related to the Drosophila Pelle protein, is indispensable for the responses of animals and cultured cells to IL-1 and ligands that stimulate various TLRs. IRAK-4-deficient animals are completely resistant to a lethal dose of lipopolysaccharide (LPS). In addition, animals lacking IRAK-4 are severely impaired in their responses to viral and bacterial challenges. Our results indicate that IRAK-4 has an essential role in innate immunity.&quot;,&quot;publisher&quot;:&quot;Nature Publishing Group&quot;,&quot;issue&quot;:&quot;6882&quot;,&quot;volume&quot;:&quot;416&quot;},&quot;isTemporary&quot;:false}],&quot;properties&quot;:{&quot;noteIndex&quot;:0},&quot;isEdited&quot;:false,&quot;manualOverride&quot;:{&quot;isManuallyOverriden&quot;:false,&quot;citeprocText&quot;:&quot;(Suzuki &lt;i&gt;et al.&lt;/i&gt;, 2002)&quot;,&quot;manualOverrideText&quot;:&quot;&quot;},&quot;citationTag&quot;:&quot;MENDELEY_CITATION_v3_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&quot;},{&quot;citationID&quot;:&quot;MENDELEY_CITATION_cd06363b-81fa-436d-b168-ecf89bed54dd&quot;,&quot;citationItems&quot;:[{&quot;id&quot;:&quot;478b1ef8-7c4d-39bf-bb7e-1b2ff93068a9&quot;,&quot;itemData&quot;:{&quot;type&quot;:&quot;article-journal&quot;,&quot;id&quot;:&quot;478b1ef8-7c4d-39bf-bb7e-1b2ff93068a9&quot;,&quot;title&quot;:&quot;Severe impairment of interleukin-1 and toll-like receptor signalling in mice lacking IRAK-4&quot;,&quot;author&quot;:[{&quot;family&quot;:&quot;Suzuki&quot;,&quot;given&quot;:&quot;Nobutaka&quot;,&quot;parse-names&quot;:false,&quot;dropping-particle&quot;:&quot;&quot;,&quot;non-dropping-particle&quot;:&quot;&quot;},{&quot;family&quot;:&quot;Suzuki&quot;,&quot;given&quot;:&quot;Shinobu&quot;,&quot;parse-names&quot;:false,&quot;dropping-particle&quot;:&quot;&quot;,&quot;non-dropping-particle&quot;:&quot;&quot;},{&quot;family&quot;:&quot;Duncan&quot;,&quot;given&quot;:&quot;Gordon S.&quot;,&quot;parse-names&quot;:false,&quot;dropping-particle&quot;:&quot;&quot;,&quot;non-dropping-particle&quot;:&quot;&quot;},{&quot;family&quot;:&quot;Millar&quot;,&quot;given&quot;:&quot;Douglas G.&quot;,&quot;parse-names&quot;:false,&quot;dropping-particle&quot;:&quot;&quot;,&quot;non-dropping-particle&quot;:&quot;&quot;},{&quot;family&quot;:&quot;Wada&quot;,&quot;given&quot;:&quot;Teiji&quot;,&quot;parse-names&quot;:false,&quot;dropping-particle&quot;:&quot;&quot;,&quot;non-dropping-particle&quot;:&quot;&quot;},{&quot;family&quot;:&quot;Mirtsos&quot;,&quot;given&quot;:&quot;Christine&quot;,&quot;parse-names&quot;:false,&quot;dropping-particle&quot;:&quot;&quot;,&quot;non-dropping-particle&quot;:&quot;&quot;},{&quot;family&quot;:&quot;Takada&quot;,&quot;given&quot;:&quot;Hidetoshi&quot;,&quot;parse-names&quot;:false,&quot;dropping-particle&quot;:&quot;&quot;,&quot;non-dropping-particle&quot;:&quot;&quot;},{&quot;family&quot;:&quot;Wakeham&quot;,&quot;given&quot;:&quot;Andrew&quot;,&quot;parse-names&quot;:false,&quot;dropping-particle&quot;:&quot;&quot;,&quot;non-dropping-particle&quot;:&quot;&quot;},{&quot;family&quot;:&quot;Itie&quot;,&quot;given&quot;:&quot;Annick&quot;,&quot;parse-names&quot;:false,&quot;dropping-particle&quot;:&quot;&quot;,&quot;non-dropping-particle&quot;:&quot;&quot;},{&quot;family&quot;:&quot;Li&quot;,&quot;given&quot;:&quot;Shyun&quot;,&quot;parse-names&quot;:false,&quot;dropping-particle&quot;:&quot;&quot;,&quot;non-dropping-particle&quot;:&quot;&quot;},{&quot;family&quot;:&quot;Penninger&quot;,&quot;given&quot;:&quot;Josef M.&quot;,&quot;parse-names&quot;:false,&quot;dropping-particle&quot;:&quot;&quot;,&quot;non-dropping-particle&quot;:&quot;&quot;},{&quot;family&quot;:&quot;Wesche&quot;,&quot;given&quot;:&quot;Holger&quot;,&quot;parse-names&quot;:false,&quot;dropping-particle&quot;:&quot;&quot;,&quot;non-dropping-particle&quot;:&quot;&quot;},{&quot;family&quot;:&quot;Ohashi&quot;,&quot;given&quot;:&quot;Pamela S.&quot;,&quot;parse-names&quot;:false,&quot;dropping-particle&quot;:&quot;&quot;,&quot;non-dropping-particle&quot;:&quot;&quot;},{&quot;family&quot;:&quot;Mak&quot;,&quot;given&quot;:&quot;Tak W.&quot;,&quot;parse-names&quot;:false,&quot;dropping-particle&quot;:&quot;&quot;,&quot;non-dropping-particle&quot;:&quot;&quot;},{&quot;family&quot;:&quot;Yeh&quot;,&quot;given&quot;:&quot;Wen Chen&quot;,&quot;parse-names&quot;:false,&quot;dropping-particle&quot;:&quot;&quot;,&quot;non-dropping-particle&quot;:&quot;&quot;}],&quot;container-title&quot;:&quot;Nature&quot;,&quot;accessed&quot;:{&quot;date-parts&quot;:[[2021,1,31]]},&quot;DOI&quot;:&quot;10.1038/nature736&quot;,&quot;ISSN&quot;:&quot;00280836&quot;,&quot;PMID&quot;:&quot;11923871&quot;,&quot;URL&quot;:&quot;https://www.nature.com/articles/nature736&quot;,&quot;issued&quot;:{&quot;date-parts&quot;:[[2002,3,31]]},&quot;page&quot;:&quot;750-754&quot;,&quot;abstract&quot;:&quot;Toll-like receptors (TLRs), which recognize pathogen-associated molecular patterns, and members of the pro-inflammatory interleukin-1 receptor (IL-1R) family, share homologies in their cytoplasmic domains called Toll/IL-IR/plant R gene homology (TIR) domains. Intracellular signalling mechanisms mediated by TIRs are similar, with MyD88 (refs 5-8) and TRAF6 (refs 9, 10) having critical roles. Signal transduction between MyD88 and TRAF6 is known to involve the serine-threonine kinase IL-1 receptor-associated kinase 1 (IRAK-1) and two homologous proteins, IRAK-2 (ref. 12) and IRAK-M. However, the physiological functions of the IRAK molecules remain unclear, and gene-targeting studies have shown that IRAK-1 is only partially required for IL-1R and TLR signalling. Here we show by genetargeting that IRAK-4, an IRAK molecule closely related to the Drosophila Pelle protein, is indispensable for the responses of animals and cultured cells to IL-1 and ligands that stimulate various TLRs. IRAK-4-deficient animals are completely resistant to a lethal dose of lipopolysaccharide (LPS). In addition, animals lacking IRAK-4 are severely impaired in their responses to viral and bacterial challenges. Our results indicate that IRAK-4 has an essential role in innate immunity.&quot;,&quot;publisher&quot;:&quot;Nature Publishing Group&quot;,&quot;issue&quot;:&quot;6882&quot;,&quot;volume&quot;:&quot;416&quot;},&quot;isTemporary&quot;:false}],&quot;properties&quot;:{&quot;noteIndex&quot;:0},&quot;isEdited&quot;:false,&quot;manualOverride&quot;:{&quot;isManuallyOverriden&quot;:false,&quot;citeprocText&quot;:&quot;(Suzuki &lt;i&gt;et al.&lt;/i&gt;, 2002)&quot;,&quot;manualOverrideText&quot;:&quot;&quot;},&quot;citationTag&quot;:&quot;MENDELEY_CITATION_v3_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&quot;},{&quot;citationID&quot;:&quot;MENDELEY_CITATION_ee82d427-672e-4cd9-adf5-e54f34ae52db&quot;,&quot;citationItems&quot;:[{&quot;id&quot;:&quot;98ea94b3-89ea-32d0-8848-288cf58da2c2&quot;,&quot;itemData&quot;:{&quot;type&quot;:&quot;article-journal&quot;,&quot;id&quot;:&quot;98ea94b3-89ea-32d0-8848-288cf58da2c2&quot;,&quot;title&quot;:&quot;Cutting Edge: TNFR-Associated Factor (TRAF) 6 Is Essential for MyD88-Dependent Pathway but Not Toll/IL-1 Receptor Domain-Containing Adaptor-Inducing IFN-β (TRIF)-Dependent Pathway in TLR Signaling&quot;,&quot;author&quot;:[{&quot;family&quot;:&quot;Gohda&quot;,&quot;given&quot;:&quot;Jin&quot;,&quot;parse-names&quot;:false,&quot;dropping-particle&quot;:&quot;&quot;,&quot;non-dropping-particle&quot;:&quot;&quot;},{&quot;family&quot;:&quot;Matsumura&quot;,&quot;given&quot;:&quot;Takayuki&quot;,&quot;parse-names&quot;:false,&quot;dropping-particle&quot;:&quot;&quot;,&quot;non-dropping-particle&quot;:&quot;&quot;},{&quot;family&quot;:&quot;Inoue&quot;,&quot;given&quot;:&quot;Jun-ichiro&quot;,&quot;parse-names&quot;:false,&quot;dropping-particle&quot;:&quot;&quot;,&quot;non-dropping-particle&quot;:&quot;&quot;}],&quot;container-title&quot;:&quot;The Journal of Immunology&quot;,&quot;accessed&quot;:{&quot;date-parts&quot;:[[2021,1,31]]},&quot;DOI&quot;:&quot;10.4049/jimmunol.173.5.2913&quot;,&quot;ISSN&quot;:&quot;0022-1767&quot;,&quot;PMID&quot;:&quot;15322147&quot;,&quot;URL&quot;:&quot;http://www.jimmunol.org/content/173/5/2913http://www.jimmunol.org/content/173/5/2913.full#ref-list-1&quot;,&quot;issued&quot;:{&quot;date-parts&quot;:[[2004,9,1]]},&quot;page&quot;:&quot;2913-2917&quot;,&quot;abstract&quot;:&quot;Signaling pathways from TLRs are mediated by the Toll/IL-1R (TIR) domain-containing adaptor molecules. TNF receptor-associated factor (TRAF) 6 is thought to activate NF-κB and MAPKs downstream of these TIR domain-containing proteins to induce production of inflammatory cytokines. However, the precise role of TRAF6 in signaling from individual TLRs has not been appropriately addressed. We analyzed macrophages from TRAF6-deficient mice and made the following observations. In the absence of TRAF6, 1) ligands for TLR2, TLR5, TLR7, and TLR9 failed to induce activation of NF-κB and MAPKs or production of inflammatory cytokines; 2) TLR4 ligand-induced cytokine production was remarkably reduced and activation of NF-κB and MAPKs was observed, albeit with delayed kinetics; and 3) in contrast with previously reported findings, TLR3 signaling was not affected. These results indicate that TRAF6 is essential for MyD88-dependent signaling but is not required for TIR domain-containing adaptor-inducing IFN-β (TRIF)-dependent signaling.&quot;,&quot;publisher&quot;:&quot;The American Association of Immunologists&quot;,&quot;issue&quot;:&quot;5&quot;,&quot;volume&quot;:&quot;173&quot;},&quot;isTemporary&quot;:false}],&quot;properties&quot;:{&quot;noteIndex&quot;:0},&quot;isEdited&quot;:false,&quot;manualOverride&quot;:{&quot;isManuallyOverriden&quot;:false,&quot;citeprocText&quot;:&quot;(Gohda, Matsumura and Inoue, 2004)&quot;,&quot;manualOverrideText&quot;:&quot;&quot;},&quot;citationTag&quot;:&quot;MENDELEY_CITATION_v3_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&quot;},{&quot;citationID&quot;:&quot;MENDELEY_CITATION_acca0d27-a686-48b9-9b55-f96f6ec436ea&quot;,&quot;citationItems&quot;:[{&quot;id&quot;:&quot;243876d3-b8ca-35fe-856d-a3f3cf23ab1d&quot;,&quot;itemData&quot;:{&quot;type&quot;:&quot;article-journal&quot;,&quot;id&quot;:&quot;243876d3-b8ca-35fe-856d-a3f3cf23ab1d&quot;,&quot;title&quot;:&quot;Role of adaptor TRIF in the MyD88-independent toll-like receptor signaling pathway&quot;,&quot;author&quot;:[{&quot;family&quot;:&quot;Yamamoto&quot;,&quot;given&quot;:&quot;Masahiro&quot;,&quot;parse-names&quot;:false,&quot;dropping-particle&quot;:&quot;&quot;,&quot;non-dropping-particle&quot;:&quot;&quot;},{&quot;family&quot;:&quot;Sato&quot;,&quot;given&quot;:&quot;Shintaro&quot;,&quot;parse-names&quot;:false,&quot;dropping-particle&quot;:&quot;&quot;,&quot;non-dropping-particle&quot;:&quot;&quot;},{&quot;family&quot;:&quot;Hemmi&quot;,&quot;given&quot;:&quot;Hiroaki&quot;,&quot;parse-names&quot;:false,&quot;dropping-particle&quot;:&quot;&quot;,&quot;non-dropping-particle&quot;:&quot;&quot;},{&quot;family&quot;:&quot;Hoshino&quot;,&quot;given&quot;:&quot;Katsuaki&quot;,&quot;parse-names&quot;:false,&quot;dropping-particle&quot;:&quot;&quot;,&quot;non-dropping-particle&quot;:&quot;&quot;},{&quot;family&quot;:&quot;Kaisho&quot;,&quot;given&quot;:&quot;Tsuneyasu&quot;,&quot;parse-names&quot;:false,&quot;dropping-particle&quot;:&quot;&quot;,&quot;non-dropping-particle&quot;:&quot;&quot;},{&quot;family&quot;:&quot;Sanjo&quot;,&quot;given&quot;:&quot;Hideki&quot;,&quot;parse-names&quot;:false,&quot;dropping-particle&quot;:&quot;&quot;,&quot;non-dropping-particle&quot;:&quot;&quot;},{&quot;family&quot;:&quot;Takeuchi&quot;,&quot;given&quot;:&quot;Osamu&quot;,&quot;parse-names&quot;:false,&quot;dropping-particle&quot;:&quot;&quot;,&quot;non-dropping-particle&quot;:&quot;&quot;},{&quot;family&quot;:&quot;Sugiyama&quot;,&quot;given&quot;:&quot;Masanaka&quot;,&quot;parse-names&quot;:false,&quot;dropping-particle&quot;:&quot;&quot;,&quot;non-dropping-particle&quot;:&quot;&quot;},{&quot;family&quot;:&quot;Okabe&quot;,&quot;given&quot;:&quot;Masaru&quot;,&quot;parse-names&quot;:false,&quot;dropping-particle&quot;:&quot;&quot;,&quot;non-dropping-particle&quot;:&quot;&quot;},{&quot;family&quot;:&quot;Takeda&quot;,&quot;given&quot;:&quot;Kiyoshi&quot;,&quot;parse-names&quot;:false,&quot;dropping-particle&quot;:&quot;&quot;,&quot;non-dropping-particle&quot;:&quot;&quot;},{&quot;family&quot;:&quot;Akira&quot;,&quot;given&quot;:&quot;Shizuo&quot;,&quot;parse-names&quot;:false,&quot;dropping-particle&quot;:&quot;&quot;,&quot;non-dropping-particle&quot;:&quot;&quot;}],&quot;container-title&quot;:&quot;Science&quot;,&quot;accessed&quot;:{&quot;date-parts&quot;:[[2021,1,31]]},&quot;DOI&quot;:&quot;10.1126/science.1087262&quot;,&quot;ISSN&quot;:&quot;00368075&quot;,&quot;PMID&quot;:&quot;12855817&quot;,&quot;URL&quot;:&quot;https://science.sciencemag.org/content/301/5633/640&quot;,&quot;issued&quot;:{&quot;date-parts&quot;:[[2003,8,1]]},&quot;page&quot;:&quot;640-643&quot;,&quot;abstract&quot;:&quot;Stimulation of Toll-like receptors (TLRs) triggers activation of a common MyD88-dependent signaling pathway as well as a MyD88-independent pathway that is unique to TLR3 and TLR4 signaling pathways leading to interferon (IFN)-β production. Here we disrupted the gene encoding a Toll/IL-1 receptor (TIR) domain-containing adaptor, TRIF. TRIF-deficient mice were defective in both TLR3- and TLR4-mediated expression of IFN-β and activation of IRF-3. Furthermore, inflammatory cytokine production in response to the TLR4 ligand, but not to other TLR ligands, was severely impaired in TRIF-deficient macrophages. Mice deficient in both MyD88 and TRIF showed complete loss of nuclear factor kappa B activation in response to TLR4 stimulation. These findings demonstrate that TRIF is essential for TLR3- and TLR4-mediated signaling pathways facilitating mammalian antiviral host defense.&quot;,&quot;publisher&quot;:&quot;American Association for the Advancement of Science&quot;,&quot;issue&quot;:&quot;5633&quot;,&quot;volume&quot;:&quot;301&quot;},&quot;isTemporary&quot;:false}],&quot;properties&quot;:{&quot;noteIndex&quot;:0},&quot;isEdited&quot;:false,&quot;manualOverride&quot;:{&quot;isManuallyOverriden&quot;:false,&quot;citeprocText&quot;:&quot;(Yamamoto &lt;i&gt;et al.&lt;/i&gt;, 2003)&quot;,&quot;manualOverrideText&quot;:&quot;&quot;},&quot;citationTag&quot;:&quot;MENDELEY_CITATION_v3_eyJjaXRhdGlvbklEIjoiTUVOREVMRVlfQ0lUQVRJT05fYWNjYTBkMjctYTY4Ni00OGI5LTliNTUtZjk2ZjZlYzQzNmVh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W4iOmZhbHNlLCJjaXRlcHJvY1RleHQiOiIoWWFtYW1vdG8gPGk+ZXQgYWwuPC9pPiwgMjAwMykiLCJtYW51YWxPdmVycmlkZVRleHQiOiIifX0=&quot;},{&quot;citationID&quot;:&quot;MENDELEY_CITATION_be10991a-59b4-49ee-97a4-d1b935ab2190&quot;,&quot;citationItems&quot;:[{&quot;id&quot;:&quot;20389d81-359f-3399-84a5-70a600c99f6f&quot;,&quot;itemData&quot;:{&quot;type&quot;:&quot;article-journal&quot;,&quot;id&quot;:&quot;20389d81-359f-3399-84a5-70a600c99f6f&quot;,&quot;title&quot;:&quot;Lipopolysaccharide Stimulates the MyD88-Independent Pathway and Results in Activation of IFN-Regulatory Factor 3 and the Expression of a Subset of Lipopolysaccharide-Inducible Genes&quot;,&quot;author&quot;:[{&quot;family&quot;:&quot;Kawai&quot;,&quot;given&quot;:&quot;Taro&quot;,&quot;parse-names&quot;:false,&quot;dropping-particle&quot;:&quot;&quot;,&quot;non-dropping-particle&quot;:&quot;&quot;},{&quot;family&quot;:&quot;Takeuchi&quot;,&quot;given&quot;:&quot;Osamu&quot;,&quot;parse-names&quot;:false,&quot;dropping-particle&quot;:&quot;&quot;,&quot;non-dropping-particle&quot;:&quot;&quot;},{&quot;family&quot;:&quot;Fujita&quot;,&quot;given&quot;:&quot;Takashi&quot;,&quot;parse-names&quot;:false,&quot;dropping-particle&quot;:&quot;&quot;,&quot;non-dropping-particle&quot;:&quot;&quot;},{&quot;family&quot;:&quot;Inoue&quot;,&quot;given&quot;:&quot;Jun-ichiro&quot;,&quot;parse-names&quot;:false,&quot;dropping-particle&quot;:&quot;&quot;,&quot;non-dropping-particle&quot;:&quot;&quot;},{&quot;family&quot;:&quot;Mühlradt&quot;,&quot;given&quot;:&quot;Peter F.&quot;,&quot;parse-names&quot;:false,&quot;dropping-particle&quot;:&quot;&quot;,&quot;non-dropping-particle&quot;:&quot;&quot;},{&quot;family&quot;:&quot;Sato&quot;,&quot;given&quot;:&quot;Shintaro&quot;,&quot;parse-names&quot;:false,&quot;dropping-particle&quot;:&quot;&quot;,&quot;non-dropping-particle&quot;:&quot;&quot;},{&quot;family&quot;:&quot;Hoshino&quot;,&quot;given&quot;:&quot;Katsuaki&quot;,&quot;parse-names&quot;:false,&quot;dropping-particle&quot;:&quot;&quot;,&quot;non-dropping-particle&quot;:&quot;&quot;},{&quot;family&quot;:&quot;Akira&quot;,&quot;given&quot;:&quot;Shizuo&quot;,&quot;parse-names&quot;:false,&quot;dropping-particle&quot;:&quot;&quot;,&quot;non-dropping-particle&quot;:&quot;&quot;}],&quot;container-title&quot;:&quot;The Journal of Immunology&quot;,&quot;accessed&quot;:{&quot;date-parts&quot;:[[2021,8,26]]},&quot;DOI&quot;:&quot;10.4049/JIMMUNOL.167.10.5887&quot;,&quot;ISSN&quot;:&quot;0022-1767&quot;,&quot;PMID&quot;:&quot;11698465&quot;,&quot;URL&quot;:&quot;https://www.jimmunol.org/content/167/10/5887&quot;,&quot;issued&quot;:{&quot;date-parts&quot;:[[2001,11,15]]},&quot;page&quot;:&quot;5887-5894&quot;,&quot;abstract&quot;:&quot;Bacterial lipopolysaccharide (LPS) triggers innate immune responses through Toll-like receptor (TLR) 4, a member of the TLR family that participates in pathogen recognition. TLRs recruit a cytoplasmic protein, MyD88, upon pathogen recognition, mediating its function for immune responses. Two major pathways for LPS have been suggested in recent studies, which are referred to as MyD88-dependent and -independent pathways. We report in this study the characterization of the MyD88-independent pathway via TLR4. MyD88-deficient cells failed to produce inflammatory cytokines in response to LPS, whereas they responded to LPS by activating IFN-regulatory factor 3 as well as inducing the genes containing IFN-stimulated regulatory elements such as IP-10 . In contrast, a lipopeptide that activates TLR2 had no ability to activate IFN-regulatory factor 3. The MyD88-independent pathway was also activated in cells lacking both MyD88 and TNFR-associated factor 6. Thus, TLR4 signaling is composed of at least two distinct pathways, a MyD88-dependent pathway that is critical to the induction of inflammatory cytokines and a MyD88/TNFR-associated factor 6-independent pathway that regulates induction of IP-10.&quot;,&quot;publisher&quot;:&quot;American Association of Immunologists&quot;,&quot;issue&quot;:&quot;10&quot;,&quot;volume&quot;:&quot;167&quot;},&quot;isTemporary&quot;:false},{&quot;id&quot;:&quot;ec456096-34d2-39b1-ae69-9c8d9a703e91&quot;,&quot;itemData&quot;:{&quot;type&quot;:&quot;article-journal&quot;,&quot;id&quot;:&quot;ec456096-34d2-39b1-ae69-9c8d9a703e91&quot;,&quot;title&quot;:&quot;Unresponsiveness of MyD88-Deficient Mice to Endotoxin&quot;,&quot;author&quot;:[{&quot;family&quot;:&quot;Kawai&quot;,&quot;given&quot;:&quot;Taro&quot;,&quot;parse-names&quot;:false,&quot;dropping-particle&quot;:&quot;&quot;,&quot;non-dropping-particle&quot;:&quot;&quot;},{&quot;family&quot;:&quot;Adachi&quot;,&quot;given&quot;:&quot;Osamu&quot;,&quot;parse-names&quot;:false,&quot;dropping-particle&quot;:&quot;&quot;,&quot;non-dropping-particle&quot;:&quot;&quot;},{&quot;family&quot;:&quot;Ogawa&quot;,&quot;given&quot;:&quot;Tomohiko&quot;,&quot;parse-names&quot;:false,&quot;dropping-particle&quot;:&quot;&quot;,&quot;non-dropping-particle&quot;:&quot;&quot;},{&quot;family&quot;:&quot;Takeda&quot;,&quot;given&quot;:&quot;Kiyoshi&quot;,&quot;parse-names&quot;:false,&quot;dropping-particle&quot;:&quot;&quot;,&quot;non-dropping-particle&quot;:&quot;&quot;},{&quot;family&quot;:&quot;Akira&quot;,&quot;given&quot;:&quot;Shizuo&quot;,&quot;parse-names&quot;:false,&quot;dropping-particle&quot;:&quot;&quot;,&quot;non-dropping-particle&quot;:&quot;&quot;}],&quot;container-title&quot;:&quot;Immunity&quot;,&quot;accessed&quot;:{&quot;date-parts&quot;:[[2021,8,26]]},&quot;DOI&quot;:&quot;10.1016/S1074-7613(00)80086-2&quot;,&quot;ISSN&quot;:&quot;1074-7613&quot;,&quot;PMID&quot;:&quot;10435584&quot;,&quot;URL&quot;:&quot;http://www.cell.com/article/S1074761300800862/fulltext&quot;,&quot;issued&quot;:{&quot;date-parts&quot;:[[1999,7,1]]},&quot;page&quot;:&quot;115-122&quot;,&quot;abstract&quot;:&quot;&lt;h2&gt;Abstract&lt;/h2&gt;&lt;p&gt;MyD88 is a general adaptor protein that plays an important role in the Toll/IL-1 receptor family signalings. Recently, Toll-like receptors 2 and 4 (TLR2 and TLR4) have been suggested to be the signaling receptors for lipopolysaccharide (LPS). In this study, we demonstrate that MyD88 knockout mice lack the ability to respond to LPS as measured by shock response, B cell proliferative response, and secretion of cytokines by macrophages and embryonic fibroblasts. However, activation of neither NF-κB nor the mitogen-activated protein (MAP) kinase family is abolished in MyD88 knockout mice. These findings demonstrate that signaling via MyD88 is essential for LPS response, but the inability of MyD88 knockout mice to induce LPS-dependent gene expression cannot simply be attributed to lack of the activation of MAP kinases and NF-κB.&lt;/p&gt;&quot;,&quot;publisher&quot;:&quot;Elsevier&quot;,&quot;issue&quot;:&quot;1&quot;,&quot;volume&quot;:&quot;11&quot;},&quot;isTemporary&quot;:false}],&quot;properties&quot;:{&quot;noteIndex&quot;:0},&quot;isEdited&quot;:false,&quot;manualOverride&quot;:{&quot;isManuallyOverridden&quot;:false,&quot;citeprocText&quot;:&quot;(Kawai &lt;i&gt;et al.&lt;/i&gt;, 1999, 2001)&quot;,&quot;manualOverrideText&quot;:&quot;&quot;},&quot;citationTag&quot;:&quot;MENDELEY_CITATION_v3_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&quot;},{&quot;citationID&quot;:&quot;MENDELEY_CITATION_2ba0afe0-2fd4-474a-bd1d-cb663b5187bf&quot;,&quot;citationItems&quot;:[{&quot;id&quot;:&quot;243876d3-b8ca-35fe-856d-a3f3cf23ab1d&quot;,&quot;itemData&quot;:{&quot;type&quot;:&quot;article-journal&quot;,&quot;id&quot;:&quot;243876d3-b8ca-35fe-856d-a3f3cf23ab1d&quot;,&quot;title&quot;:&quot;Role of adaptor TRIF in the MyD88-independent toll-like receptor signaling pathway&quot;,&quot;author&quot;:[{&quot;family&quot;:&quot;Yamamoto&quot;,&quot;given&quot;:&quot;Masahiro&quot;,&quot;parse-names&quot;:false,&quot;dropping-particle&quot;:&quot;&quot;,&quot;non-dropping-particle&quot;:&quot;&quot;},{&quot;family&quot;:&quot;Sato&quot;,&quot;given&quot;:&quot;Shintaro&quot;,&quot;parse-names&quot;:false,&quot;dropping-particle&quot;:&quot;&quot;,&quot;non-dropping-particle&quot;:&quot;&quot;},{&quot;family&quot;:&quot;Hemmi&quot;,&quot;given&quot;:&quot;Hiroaki&quot;,&quot;parse-names&quot;:false,&quot;dropping-particle&quot;:&quot;&quot;,&quot;non-dropping-particle&quot;:&quot;&quot;},{&quot;family&quot;:&quot;Hoshino&quot;,&quot;given&quot;:&quot;Katsuaki&quot;,&quot;parse-names&quot;:false,&quot;dropping-particle&quot;:&quot;&quot;,&quot;non-dropping-particle&quot;:&quot;&quot;},{&quot;family&quot;:&quot;Kaisho&quot;,&quot;given&quot;:&quot;Tsuneyasu&quot;,&quot;parse-names&quot;:false,&quot;dropping-particle&quot;:&quot;&quot;,&quot;non-dropping-particle&quot;:&quot;&quot;},{&quot;family&quot;:&quot;Sanjo&quot;,&quot;given&quot;:&quot;Hideki&quot;,&quot;parse-names&quot;:false,&quot;dropping-particle&quot;:&quot;&quot;,&quot;non-dropping-particle&quot;:&quot;&quot;},{&quot;family&quot;:&quot;Takeuchi&quot;,&quot;given&quot;:&quot;Osamu&quot;,&quot;parse-names&quot;:false,&quot;dropping-particle&quot;:&quot;&quot;,&quot;non-dropping-particle&quot;:&quot;&quot;},{&quot;family&quot;:&quot;Sugiyama&quot;,&quot;given&quot;:&quot;Masanaka&quot;,&quot;parse-names&quot;:false,&quot;dropping-particle&quot;:&quot;&quot;,&quot;non-dropping-particle&quot;:&quot;&quot;},{&quot;family&quot;:&quot;Okabe&quot;,&quot;given&quot;:&quot;Masaru&quot;,&quot;parse-names&quot;:false,&quot;dropping-particle&quot;:&quot;&quot;,&quot;non-dropping-particle&quot;:&quot;&quot;},{&quot;family&quot;:&quot;Takeda&quot;,&quot;given&quot;:&quot;Kiyoshi&quot;,&quot;parse-names&quot;:false,&quot;dropping-particle&quot;:&quot;&quot;,&quot;non-dropping-particle&quot;:&quot;&quot;},{&quot;family&quot;:&quot;Akira&quot;,&quot;given&quot;:&quot;Shizuo&quot;,&quot;parse-names&quot;:false,&quot;dropping-particle&quot;:&quot;&quot;,&quot;non-dropping-particle&quot;:&quot;&quot;}],&quot;container-title&quot;:&quot;Science&quot;,&quot;accessed&quot;:{&quot;date-parts&quot;:[[2021,1,31]]},&quot;DOI&quot;:&quot;10.1126/science.1087262&quot;,&quot;ISSN&quot;:&quot;00368075&quot;,&quot;PMID&quot;:&quot;12855817&quot;,&quot;URL&quot;:&quot;https://science.sciencemag.org/content/301/5633/640&quot;,&quot;issued&quot;:{&quot;date-parts&quot;:[[2003,8,1]]},&quot;page&quot;:&quot;640-643&quot;,&quot;abstract&quot;:&quot;Stimulation of Toll-like receptors (TLRs) triggers activation of a common MyD88-dependent signaling pathway as well as a MyD88-independent pathway that is unique to TLR3 and TLR4 signaling pathways leading to interferon (IFN)-β production. Here we disrupted the gene encoding a Toll/IL-1 receptor (TIR) domain-containing adaptor, TRIF. TRIF-deficient mice were defective in both TLR3- and TLR4-mediated expression of IFN-β and activation of IRF-3. Furthermore, inflammatory cytokine production in response to the TLR4 ligand, but not to other TLR ligands, was severely impaired in TRIF-deficient macrophages. Mice deficient in both MyD88 and TRIF showed complete loss of nuclear factor kappa B activation in response to TLR4 stimulation. These findings demonstrate that TRIF is essential for TLR3- and TLR4-mediated signaling pathways facilitating mammalian antiviral host defense.&quot;,&quot;publisher&quot;:&quot;American Association for the Advancement of Science&quot;,&quot;issue&quot;:&quot;5633&quot;,&quot;volume&quot;:&quot;301&quot;},&quot;isTemporary&quot;:false}],&quot;properties&quot;:{&quot;noteIndex&quot;:0},&quot;isEdited&quot;:false,&quot;manualOverride&quot;:{&quot;isManuallyOverridden&quot;:true,&quot;citeprocText&quot;:&quot;(Yamamoto &lt;i&gt;et al.&lt;/i&gt;, 2003)&quot;,&quot;manualOverrideText&quot;:&quot;(Yamamoto et al., 2003).&quot;},&quot;citationTag&quot;:&quot;MENDELEY_CITATION_v3_eyJjaXRhdGlvbklEIjoiTUVOREVMRVlfQ0lUQVRJT05fMmJhMGFmZTAtMmZkNC00NzRhLWJkMWQtY2I2NjNiNTE4N2Jm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GVuIjp0cnVlLCJjaXRlcHJvY1RleHQiOiIoWWFtYW1vdG8gPGk+ZXQgYWwuPC9pPiwgMjAwMykiLCJtYW51YWxPdmVycmlkZVRleHQiOiIoWWFtYW1vdG8gZXQgYWwuLCAyMDAzKS4ifX0=&quot;},{&quot;citationID&quot;:&quot;MENDELEY_CITATION_13dba96f-2abf-4313-8044-b73b7a9cfd90&quot;,&quot;citationItems&quot;:[{&quot;id&quot;:&quot;243876d3-b8ca-35fe-856d-a3f3cf23ab1d&quot;,&quot;itemData&quot;:{&quot;type&quot;:&quot;article-journal&quot;,&quot;id&quot;:&quot;243876d3-b8ca-35fe-856d-a3f3cf23ab1d&quot;,&quot;title&quot;:&quot;Role of adaptor TRIF in the MyD88-independent toll-like receptor signaling pathway&quot;,&quot;author&quot;:[{&quot;family&quot;:&quot;Yamamoto&quot;,&quot;given&quot;:&quot;Masahiro&quot;,&quot;parse-names&quot;:false,&quot;dropping-particle&quot;:&quot;&quot;,&quot;non-dropping-particle&quot;:&quot;&quot;},{&quot;family&quot;:&quot;Sato&quot;,&quot;given&quot;:&quot;Shintaro&quot;,&quot;parse-names&quot;:false,&quot;dropping-particle&quot;:&quot;&quot;,&quot;non-dropping-particle&quot;:&quot;&quot;},{&quot;family&quot;:&quot;Hemmi&quot;,&quot;given&quot;:&quot;Hiroaki&quot;,&quot;parse-names&quot;:false,&quot;dropping-particle&quot;:&quot;&quot;,&quot;non-dropping-particle&quot;:&quot;&quot;},{&quot;family&quot;:&quot;Hoshino&quot;,&quot;given&quot;:&quot;Katsuaki&quot;,&quot;parse-names&quot;:false,&quot;dropping-particle&quot;:&quot;&quot;,&quot;non-dropping-particle&quot;:&quot;&quot;},{&quot;family&quot;:&quot;Kaisho&quot;,&quot;given&quot;:&quot;Tsuneyasu&quot;,&quot;parse-names&quot;:false,&quot;dropping-particle&quot;:&quot;&quot;,&quot;non-dropping-particle&quot;:&quot;&quot;},{&quot;family&quot;:&quot;Sanjo&quot;,&quot;given&quot;:&quot;Hideki&quot;,&quot;parse-names&quot;:false,&quot;dropping-particle&quot;:&quot;&quot;,&quot;non-dropping-particle&quot;:&quot;&quot;},{&quot;family&quot;:&quot;Takeuchi&quot;,&quot;given&quot;:&quot;Osamu&quot;,&quot;parse-names&quot;:false,&quot;dropping-particle&quot;:&quot;&quot;,&quot;non-dropping-particle&quot;:&quot;&quot;},{&quot;family&quot;:&quot;Sugiyama&quot;,&quot;given&quot;:&quot;Masanaka&quot;,&quot;parse-names&quot;:false,&quot;dropping-particle&quot;:&quot;&quot;,&quot;non-dropping-particle&quot;:&quot;&quot;},{&quot;family&quot;:&quot;Okabe&quot;,&quot;given&quot;:&quot;Masaru&quot;,&quot;parse-names&quot;:false,&quot;dropping-particle&quot;:&quot;&quot;,&quot;non-dropping-particle&quot;:&quot;&quot;},{&quot;family&quot;:&quot;Takeda&quot;,&quot;given&quot;:&quot;Kiyoshi&quot;,&quot;parse-names&quot;:false,&quot;dropping-particle&quot;:&quot;&quot;,&quot;non-dropping-particle&quot;:&quot;&quot;},{&quot;family&quot;:&quot;Akira&quot;,&quot;given&quot;:&quot;Shizuo&quot;,&quot;parse-names&quot;:false,&quot;dropping-particle&quot;:&quot;&quot;,&quot;non-dropping-particle&quot;:&quot;&quot;}],&quot;container-title&quot;:&quot;Science&quot;,&quot;accessed&quot;:{&quot;date-parts&quot;:[[2021,1,31]]},&quot;DOI&quot;:&quot;10.1126/science.1087262&quot;,&quot;ISSN&quot;:&quot;00368075&quot;,&quot;PMID&quot;:&quot;12855817&quot;,&quot;URL&quot;:&quot;https://science.sciencemag.org/content/301/5633/640&quot;,&quot;issued&quot;:{&quot;date-parts&quot;:[[2003,8,1]]},&quot;page&quot;:&quot;640-643&quot;,&quot;abstract&quot;:&quot;Stimulation of Toll-like receptors (TLRs) triggers activation of a common MyD88-dependent signaling pathway as well as a MyD88-independent pathway that is unique to TLR3 and TLR4 signaling pathways leading to interferon (IFN)-β production. Here we disrupted the gene encoding a Toll/IL-1 receptor (TIR) domain-containing adaptor, TRIF. TRIF-deficient mice were defective in both TLR3- and TLR4-mediated expression of IFN-β and activation of IRF-3. Furthermore, inflammatory cytokine production in response to the TLR4 ligand, but not to other TLR ligands, was severely impaired in TRIF-deficient macrophages. Mice deficient in both MyD88 and TRIF showed complete loss of nuclear factor kappa B activation in response to TLR4 stimulation. These findings demonstrate that TRIF is essential for TLR3- and TLR4-mediated signaling pathways facilitating mammalian antiviral host defense.&quot;,&quot;publisher&quot;:&quot;American Association for the Advancement of Science&quot;,&quot;issue&quot;:&quot;5633&quot;,&quot;volume&quot;:&quot;301&quot;},&quot;isTemporary&quot;:false}],&quot;properties&quot;:{&quot;noteIndex&quot;:0},&quot;isEdited&quot;:false,&quot;manualOverride&quot;:{&quot;isManuallyOverriden&quot;:false,&quot;citeprocText&quot;:&quot;(Yamamoto &lt;i&gt;et al.&lt;/i&gt;, 2003)&quot;,&quot;manualOverrideText&quot;:&quot;&quot;},&quot;citationTag&quot;:&quot;MENDELEY_CITATION_v3_eyJjaXRhdGlvbklEIjoiTUVOREVMRVlfQ0lUQVRJT05fMTNkYmE5NmYtMmFiZi00MzEzLTgwNDQtYjczYjdhOWNmZDkw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W4iOmZhbHNlLCJjaXRlcHJvY1RleHQiOiIoWWFtYW1vdG8gPGk+ZXQgYWwuPC9pPiwgMjAwMykiLCJtYW51YWxPdmVycmlkZVRleHQiOiIifX0=&quot;},{&quot;citationID&quot;:&quot;MENDELEY_CITATION_570c6058-3aab-4322-a1cc-fcea003fa813&quot;,&quot;citationItems&quot;:[{&quot;id&quot;:&quot;243876d3-b8ca-35fe-856d-a3f3cf23ab1d&quot;,&quot;itemData&quot;:{&quot;type&quot;:&quot;article-journal&quot;,&quot;id&quot;:&quot;243876d3-b8ca-35fe-856d-a3f3cf23ab1d&quot;,&quot;title&quot;:&quot;Role of adaptor TRIF in the MyD88-independent toll-like receptor signaling pathway&quot;,&quot;author&quot;:[{&quot;family&quot;:&quot;Yamamoto&quot;,&quot;given&quot;:&quot;Masahiro&quot;,&quot;parse-names&quot;:false,&quot;dropping-particle&quot;:&quot;&quot;,&quot;non-dropping-particle&quot;:&quot;&quot;},{&quot;family&quot;:&quot;Sato&quot;,&quot;given&quot;:&quot;Shintaro&quot;,&quot;parse-names&quot;:false,&quot;dropping-particle&quot;:&quot;&quot;,&quot;non-dropping-particle&quot;:&quot;&quot;},{&quot;family&quot;:&quot;Hemmi&quot;,&quot;given&quot;:&quot;Hiroaki&quot;,&quot;parse-names&quot;:false,&quot;dropping-particle&quot;:&quot;&quot;,&quot;non-dropping-particle&quot;:&quot;&quot;},{&quot;family&quot;:&quot;Hoshino&quot;,&quot;given&quot;:&quot;Katsuaki&quot;,&quot;parse-names&quot;:false,&quot;dropping-particle&quot;:&quot;&quot;,&quot;non-dropping-particle&quot;:&quot;&quot;},{&quot;family&quot;:&quot;Kaisho&quot;,&quot;given&quot;:&quot;Tsuneyasu&quot;,&quot;parse-names&quot;:false,&quot;dropping-particle&quot;:&quot;&quot;,&quot;non-dropping-particle&quot;:&quot;&quot;},{&quot;family&quot;:&quot;Sanjo&quot;,&quot;given&quot;:&quot;Hideki&quot;,&quot;parse-names&quot;:false,&quot;dropping-particle&quot;:&quot;&quot;,&quot;non-dropping-particle&quot;:&quot;&quot;},{&quot;family&quot;:&quot;Takeuchi&quot;,&quot;given&quot;:&quot;Osamu&quot;,&quot;parse-names&quot;:false,&quot;dropping-particle&quot;:&quot;&quot;,&quot;non-dropping-particle&quot;:&quot;&quot;},{&quot;family&quot;:&quot;Sugiyama&quot;,&quot;given&quot;:&quot;Masanaka&quot;,&quot;parse-names&quot;:false,&quot;dropping-particle&quot;:&quot;&quot;,&quot;non-dropping-particle&quot;:&quot;&quot;},{&quot;family&quot;:&quot;Okabe&quot;,&quot;given&quot;:&quot;Masaru&quot;,&quot;parse-names&quot;:false,&quot;dropping-particle&quot;:&quot;&quot;,&quot;non-dropping-particle&quot;:&quot;&quot;},{&quot;family&quot;:&quot;Takeda&quot;,&quot;given&quot;:&quot;Kiyoshi&quot;,&quot;parse-names&quot;:false,&quot;dropping-particle&quot;:&quot;&quot;,&quot;non-dropping-particle&quot;:&quot;&quot;},{&quot;family&quot;:&quot;Akira&quot;,&quot;given&quot;:&quot;Shizuo&quot;,&quot;parse-names&quot;:false,&quot;dropping-particle&quot;:&quot;&quot;,&quot;non-dropping-particle&quot;:&quot;&quot;}],&quot;container-title&quot;:&quot;Science&quot;,&quot;accessed&quot;:{&quot;date-parts&quot;:[[2021,1,31]]},&quot;DOI&quot;:&quot;10.1126/science.1087262&quot;,&quot;ISSN&quot;:&quot;00368075&quot;,&quot;PMID&quot;:&quot;12855817&quot;,&quot;URL&quot;:&quot;https://science.sciencemag.org/content/301/5633/640&quot;,&quot;issued&quot;:{&quot;date-parts&quot;:[[2003,8,1]]},&quot;page&quot;:&quot;640-643&quot;,&quot;abstract&quot;:&quot;Stimulation of Toll-like receptors (TLRs) triggers activation of a common MyD88-dependent signaling pathway as well as a MyD88-independent pathway that is unique to TLR3 and TLR4 signaling pathways leading to interferon (IFN)-β production. Here we disrupted the gene encoding a Toll/IL-1 receptor (TIR) domain-containing adaptor, TRIF. TRIF-deficient mice were defective in both TLR3- and TLR4-mediated expression of IFN-β and activation of IRF-3. Furthermore, inflammatory cytokine production in response to the TLR4 ligand, but not to other TLR ligands, was severely impaired in TRIF-deficient macrophages. Mice deficient in both MyD88 and TRIF showed complete loss of nuclear factor kappa B activation in response to TLR4 stimulation. These findings demonstrate that TRIF is essential for TLR3- and TLR4-mediated signaling pathways facilitating mammalian antiviral host defense.&quot;,&quot;publisher&quot;:&quot;American Association for the Advancement of Science&quot;,&quot;issue&quot;:&quot;5633&quot;,&quot;volume&quot;:&quot;301&quot;},&quot;isTemporary&quot;:false}],&quot;properties&quot;:{&quot;noteIndex&quot;:0},&quot;isEdited&quot;:false,&quot;manualOverride&quot;:{&quot;isManuallyOverriden&quot;:false,&quot;citeprocText&quot;:&quot;(Yamamoto &lt;i&gt;et al.&lt;/i&gt;, 2003)&quot;,&quot;manualOverrideText&quot;:&quot;&quot;},&quot;citationTag&quot;:&quot;MENDELEY_CITATION_v3_eyJjaXRhdGlvbklEIjoiTUVOREVMRVlfQ0lUQVRJT05fNTcwYzYwNTgtM2FhYi00MzIyLWExY2MtZmNlYTAwM2ZhODEz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W4iOmZhbHNlLCJjaXRlcHJvY1RleHQiOiIoWWFtYW1vdG8gPGk+ZXQgYWwuPC9pPiwgMjAwMykiLCJtYW51YWxPdmVycmlkZVRleHQiOiIifX0=&quot;},{&quot;citationID&quot;:&quot;MENDELEY_CITATION_1afef2c2-ae9e-410d-b57f-e057682b28cf&quot;,&quot;citationItems&quot;:[{&quot;id&quot;:&quot;243876d3-b8ca-35fe-856d-a3f3cf23ab1d&quot;,&quot;itemData&quot;:{&quot;type&quot;:&quot;article-journal&quot;,&quot;id&quot;:&quot;243876d3-b8ca-35fe-856d-a3f3cf23ab1d&quot;,&quot;title&quot;:&quot;Role of adaptor TRIF in the MyD88-independent toll-like receptor signaling pathway&quot;,&quot;author&quot;:[{&quot;family&quot;:&quot;Yamamoto&quot;,&quot;given&quot;:&quot;Masahiro&quot;,&quot;parse-names&quot;:false,&quot;dropping-particle&quot;:&quot;&quot;,&quot;non-dropping-particle&quot;:&quot;&quot;},{&quot;family&quot;:&quot;Sato&quot;,&quot;given&quot;:&quot;Shintaro&quot;,&quot;parse-names&quot;:false,&quot;dropping-particle&quot;:&quot;&quot;,&quot;non-dropping-particle&quot;:&quot;&quot;},{&quot;family&quot;:&quot;Hemmi&quot;,&quot;given&quot;:&quot;Hiroaki&quot;,&quot;parse-names&quot;:false,&quot;dropping-particle&quot;:&quot;&quot;,&quot;non-dropping-particle&quot;:&quot;&quot;},{&quot;family&quot;:&quot;Hoshino&quot;,&quot;given&quot;:&quot;Katsuaki&quot;,&quot;parse-names&quot;:false,&quot;dropping-particle&quot;:&quot;&quot;,&quot;non-dropping-particle&quot;:&quot;&quot;},{&quot;family&quot;:&quot;Kaisho&quot;,&quot;given&quot;:&quot;Tsuneyasu&quot;,&quot;parse-names&quot;:false,&quot;dropping-particle&quot;:&quot;&quot;,&quot;non-dropping-particle&quot;:&quot;&quot;},{&quot;family&quot;:&quot;Sanjo&quot;,&quot;given&quot;:&quot;Hideki&quot;,&quot;parse-names&quot;:false,&quot;dropping-particle&quot;:&quot;&quot;,&quot;non-dropping-particle&quot;:&quot;&quot;},{&quot;family&quot;:&quot;Takeuchi&quot;,&quot;given&quot;:&quot;Osamu&quot;,&quot;parse-names&quot;:false,&quot;dropping-particle&quot;:&quot;&quot;,&quot;non-dropping-particle&quot;:&quot;&quot;},{&quot;family&quot;:&quot;Sugiyama&quot;,&quot;given&quot;:&quot;Masanaka&quot;,&quot;parse-names&quot;:false,&quot;dropping-particle&quot;:&quot;&quot;,&quot;non-dropping-particle&quot;:&quot;&quot;},{&quot;family&quot;:&quot;Okabe&quot;,&quot;given&quot;:&quot;Masaru&quot;,&quot;parse-names&quot;:false,&quot;dropping-particle&quot;:&quot;&quot;,&quot;non-dropping-particle&quot;:&quot;&quot;},{&quot;family&quot;:&quot;Takeda&quot;,&quot;given&quot;:&quot;Kiyoshi&quot;,&quot;parse-names&quot;:false,&quot;dropping-particle&quot;:&quot;&quot;,&quot;non-dropping-particle&quot;:&quot;&quot;},{&quot;family&quot;:&quot;Akira&quot;,&quot;given&quot;:&quot;Shizuo&quot;,&quot;parse-names&quot;:false,&quot;dropping-particle&quot;:&quot;&quot;,&quot;non-dropping-particle&quot;:&quot;&quot;}],&quot;container-title&quot;:&quot;Science&quot;,&quot;accessed&quot;:{&quot;date-parts&quot;:[[2021,1,31]]},&quot;DOI&quot;:&quot;10.1126/science.1087262&quot;,&quot;ISSN&quot;:&quot;00368075&quot;,&quot;PMID&quot;:&quot;12855817&quot;,&quot;URL&quot;:&quot;https://science.sciencemag.org/content/301/5633/640&quot;,&quot;issued&quot;:{&quot;date-parts&quot;:[[2003,8,1]]},&quot;page&quot;:&quot;640-643&quot;,&quot;abstract&quot;:&quot;Stimulation of Toll-like receptors (TLRs) triggers activation of a common MyD88-dependent signaling pathway as well as a MyD88-independent pathway that is unique to TLR3 and TLR4 signaling pathways leading to interferon (IFN)-β production. Here we disrupted the gene encoding a Toll/IL-1 receptor (TIR) domain-containing adaptor, TRIF. TRIF-deficient mice were defective in both TLR3- and TLR4-mediated expression of IFN-β and activation of IRF-3. Furthermore, inflammatory cytokine production in response to the TLR4 ligand, but not to other TLR ligands, was severely impaired in TRIF-deficient macrophages. Mice deficient in both MyD88 and TRIF showed complete loss of nuclear factor kappa B activation in response to TLR4 stimulation. These findings demonstrate that TRIF is essential for TLR3- and TLR4-mediated signaling pathways facilitating mammalian antiviral host defense.&quot;,&quot;publisher&quot;:&quot;American Association for the Advancement of Science&quot;,&quot;issue&quot;:&quot;5633&quot;,&quot;volume&quot;:&quot;301&quot;},&quot;isTemporary&quot;:false}],&quot;properties&quot;:{&quot;noteIndex&quot;:0},&quot;isEdited&quot;:false,&quot;manualOverride&quot;:{&quot;isManuallyOverriden&quot;:false,&quot;citeprocText&quot;:&quot;(Yamamoto &lt;i&gt;et al.&lt;/i&gt;, 2003)&quot;,&quot;manualOverrideText&quot;:&quot;&quot;},&quot;citationTag&quot;:&quot;MENDELEY_CITATION_v3_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&quot;},{&quot;citationID&quot;:&quot;MENDELEY_CITATION_10943e98-27e9-4685-ad3e-36d38ffec400&quot;,&quot;citationItems&quot;:[{&quot;id&quot;:&quot;92216584-6795-3322-be90-fc276accc5bb&quot;,&quot;itemData&quot;:{&quot;type&quot;:&quot;article-journal&quot;,&quot;id&quot;:&quot;92216584-6795-3322-be90-fc276accc5bb&quot;,&quot;title&quot;:&quot;Toll/IL-1 Receptor Domain-Containing Adaptor Inducing IFN-β (TRIF) Associates with TNF Receptor-Associated Factor 6 and TANK-Binding Kinase 1, and Activates Two Distinct Transcription Factors, NF-κB and IFN-Regulatory Factor-3, in the Toll-Like Receptor Signaling&quot;,&quot;author&quot;:[{&quot;family&quot;:&quot;Sato&quot;,&quot;given&quot;:&quot;Shintaro&quot;,&quot;parse-names&quot;:false,&quot;dropping-particle&quot;:&quot;&quot;,&quot;non-dropping-particle&quot;:&quot;&quot;},{&quot;family&quot;:&quot;Sugiyama&quot;,&quot;given&quot;:&quot;Masanaka&quot;,&quot;parse-names&quot;:false,&quot;dropping-particle&quot;:&quot;&quot;,&quot;non-dropping-particle&quot;:&quot;&quot;},{&quot;family&quot;:&quot;Yamamoto&quot;,&quot;given&quot;:&quot;Masahiro&quot;,&quot;parse-names&quot;:false,&quot;dropping-particle&quot;:&quot;&quot;,&quot;non-dropping-particle&quot;:&quot;&quot;},{&quot;family&quot;:&quot;Watanabe&quot;,&quot;given&quot;:&quot;Yasuyuki&quot;,&quot;parse-names&quot;:false,&quot;dropping-particle&quot;:&quot;&quot;,&quot;non-dropping-particle&quot;:&quot;&quot;},{&quot;family&quot;:&quot;Kawai&quot;,&quot;given&quot;:&quot;Taro&quot;,&quot;parse-names&quot;:false,&quot;dropping-particle&quot;:&quot;&quot;,&quot;non-dropping-particle&quot;:&quot;&quot;},{&quot;family&quot;:&quot;Takeda&quot;,&quot;given&quot;:&quot;Kiyoshi&quot;,&quot;parse-names&quot;:false,&quot;dropping-particle&quot;:&quot;&quot;,&quot;non-dropping-particle&quot;:&quot;&quot;},{&quot;family&quot;:&quot;Akira&quot;,&quot;given&quot;:&quot;Shizuo&quot;,&quot;parse-names&quot;:false,&quot;dropping-particle&quot;:&quot;&quot;,&quot;non-dropping-particle&quot;:&quot;&quot;}],&quot;container-title&quot;:&quot;The Journal of Immunology&quot;,&quot;accessed&quot;:{&quot;date-parts&quot;:[[2021,1,31]]},&quot;DOI&quot;:&quot;10.4049/jimmunol.171.8.4304&quot;,&quot;ISSN&quot;:&quot;0022-1767&quot;,&quot;PMID&quot;:&quot;14530355&quot;,&quot;URL&quot;:&quot;http://www.jimmunol.org/content/171/8/4304http://www.jimmunol.org/content/171/8/4304.full#ref-list-1&quot;,&quot;issued&quot;:{&quot;date-parts&quot;:[[2003,10,15]]},&quot;page&quot;:&quot;4304-4310&quot;,&quot;abstract&quot;:&quot;We previously reported a new Toll/IL-1R (TIR)-containing molecule, named TIR domain-containing adaptor inducing IFN-beta (TRIF). Although initial study indicated that TRIF possesses the ability to activate not only the NF-kappaB-dependent but also the IFN-beta promoters, the molecular mechanisms of TRIF-induced signaling are poorly understood. In this study, we investigated the signaling cascades through TRIF. TNF receptor-associated factor (TRAF)6 interacted with TRIF through the TRAF domain of TRAF6 and TRAF6-binding motifs found in the N-terminal portion of TRIF. Disruption of TRAF6-binding motifs of TRIF disabled it from associating with TRAF6, and resulted in a reduction in the TRIF-induced activation of the NF-kappaB-dependent but not IFN-beta promoter. TANK-binding kinase (TBK)-1, which was recently reported to be a kinase of IFN regulatory factor-3, which is an essential transcription factor for IFN-beta expression, also associated with the N-terminal region of TRIF. Moreover, the association between TRIF and TBK1 appeared to require the kinase activity of TBK1, as well as phosphorylation of TRIF. Because TRAF6 and TBK1 bind close the region of TRIF, it seems that TRAF6 physically prevents the association between TRIF and TBK1. Taken together, these results demonstrate that TRIF associates with TRAF6 and TBK1 independently, and activates two distinct transcription factors, NF-kappaB and IFN regulatory factor-3, respectively.&quot;,&quot;publisher&quot;:&quot;The American Association of Immunologists&quot;,&quot;issue&quot;:&quot;8&quot;,&quot;volume&quot;:&quot;171&quot;},&quot;isTemporary&quot;:false}],&quot;properties&quot;:{&quot;noteIndex&quot;:0},&quot;isEdited&quot;:false,&quot;manualOverride&quot;:{&quot;isManuallyOverriden&quot;:false,&quot;citeprocText&quot;:&quot;(Sato &lt;i&gt;et al.&lt;/i&gt;, 2003)&quot;,&quot;manualOverrideText&quot;:&quot;&quot;},&quot;citationTag&quot;:&quot;MENDELEY_CITATION_v3_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&quot;},{&quot;citationID&quot;:&quot;MENDELEY_CITATION_8c05accb-2a96-4203-906b-0fde678619aa&quot;,&quot;citationItems&quot;:[{&quot;id&quot;:&quot;98ea94b3-89ea-32d0-8848-288cf58da2c2&quot;,&quot;itemData&quot;:{&quot;type&quot;:&quot;article-journal&quot;,&quot;id&quot;:&quot;98ea94b3-89ea-32d0-8848-288cf58da2c2&quot;,&quot;title&quot;:&quot;Cutting Edge: TNFR-Associated Factor (TRAF) 6 Is Essential for MyD88-Dependent Pathway but Not Toll/IL-1 Receptor Domain-Containing Adaptor-Inducing IFN-β (TRIF)-Dependent Pathway in TLR Signaling&quot;,&quot;author&quot;:[{&quot;family&quot;:&quot;Gohda&quot;,&quot;given&quot;:&quot;Jin&quot;,&quot;parse-names&quot;:false,&quot;dropping-particle&quot;:&quot;&quot;,&quot;non-dropping-particle&quot;:&quot;&quot;},{&quot;family&quot;:&quot;Matsumura&quot;,&quot;given&quot;:&quot;Takayuki&quot;,&quot;parse-names&quot;:false,&quot;dropping-particle&quot;:&quot;&quot;,&quot;non-dropping-particle&quot;:&quot;&quot;},{&quot;family&quot;:&quot;Inoue&quot;,&quot;given&quot;:&quot;Jun-ichiro&quot;,&quot;parse-names&quot;:false,&quot;dropping-particle&quot;:&quot;&quot;,&quot;non-dropping-particle&quot;:&quot;&quot;}],&quot;container-title&quot;:&quot;The Journal of Immunology&quot;,&quot;accessed&quot;:{&quot;date-parts&quot;:[[2021,1,31]]},&quot;DOI&quot;:&quot;10.4049/jimmunol.173.5.2913&quot;,&quot;ISSN&quot;:&quot;0022-1767&quot;,&quot;PMID&quot;:&quot;15322147&quot;,&quot;URL&quot;:&quot;http://www.jimmunol.org/content/173/5/2913http://www.jimmunol.org/content/173/5/2913.full#ref-list-1&quot;,&quot;issued&quot;:{&quot;date-parts&quot;:[[2004,9,1]]},&quot;page&quot;:&quot;2913-2917&quot;,&quot;abstract&quot;:&quot;Signaling pathways from TLRs are mediated by the Toll/IL-1R (TIR) domain-containing adaptor molecules. TNF receptor-associated factor (TRAF) 6 is thought to activate NF-κB and MAPKs downstream of these TIR domain-containing proteins to induce production of inflammatory cytokines. However, the precise role of TRAF6 in signaling from individual TLRs has not been appropriately addressed. We analyzed macrophages from TRAF6-deficient mice and made the following observations. In the absence of TRAF6, 1) ligands for TLR2, TLR5, TLR7, and TLR9 failed to induce activation of NF-κB and MAPKs or production of inflammatory cytokines; 2) TLR4 ligand-induced cytokine production was remarkably reduced and activation of NF-κB and MAPKs was observed, albeit with delayed kinetics; and 3) in contrast with previously reported findings, TLR3 signaling was not affected. These results indicate that TRAF6 is essential for MyD88-dependent signaling but is not required for TIR domain-containing adaptor-inducing IFN-β (TRIF)-dependent signaling.&quot;,&quot;publisher&quot;:&quot;The American Association of Immunologists&quot;,&quot;issue&quot;:&quot;5&quot;,&quot;volume&quot;:&quot;173&quot;},&quot;isTemporary&quot;:false}],&quot;properties&quot;:{&quot;noteIndex&quot;:0},&quot;isEdited&quot;:false,&quot;manualOverride&quot;:{&quot;isManuallyOverriden&quot;:false,&quot;citeprocText&quot;:&quot;(Gohda, Matsumura and Inoue, 2004)&quot;,&quot;manualOverrideText&quot;:&quot;&quot;},&quot;citationTag&quot;:&quot;MENDELEY_CITATION_v3_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&quot;},{&quot;citationID&quot;:&quot;MENDELEY_CITATION_0a7e9ae0-cfa5-4d97-9060-ec255c05a579&quot;,&quot;citationItems&quot;:[{&quot;id&quot;:&quot;7f4761f6-2491-3266-8384-58b97958f17c&quot;,&quot;itemData&quot;:{&quot;type&quot;:&quot;article-journal&quot;,&quot;id&quot;:&quot;7f4761f6-2491-3266-8384-58b97958f17c&quot;,&quot;title&quot;:&quot;TAK1 is a ubiquitin-dependent kinase of MKK and IKK&quot;,&quot;author&quot;:[{&quot;family&quot;:&quot;Wang&quot;,&quot;given&quot;:&quot;Chen&quot;,&quot;parse-names&quot;:false,&quot;dropping-particle&quot;:&quot;&quot;,&quot;non-dropping-particle&quot;:&quot;&quot;},{&quot;family&quot;:&quot;Deng&quot;,&quot;given&quot;:&quot;Li&quot;,&quot;parse-names&quot;:false,&quot;dropping-particle&quot;:&quot;&quot;,&quot;non-dropping-particle&quot;:&quot;&quot;},{&quot;family&quot;:&quot;Hong&quot;,&quot;given&quot;:&quot;Mei&quot;,&quot;parse-names&quot;:false,&quot;dropping-particle&quot;:&quot;&quot;,&quot;non-dropping-particle&quot;:&quot;&quot;},{&quot;family&quot;:&quot;Akkaraju&quot;,&quot;given&quot;:&quot;Giridhar R.&quot;,&quot;parse-names&quot;:false,&quot;dropping-particle&quot;:&quot;&quot;,&quot;non-dropping-particle&quot;:&quot;&quot;},{&quot;family&quot;:&quot;Inoue&quot;,&quot;given&quot;:&quot;Jun Ichiro&quot;,&quot;parse-names&quot;:false,&quot;dropping-particle&quot;:&quot;&quot;,&quot;non-dropping-particle&quot;:&quot;&quot;},{&quot;family&quot;:&quot;Chen&quot;,&quot;given&quot;:&quot;Zhijian J.&quot;,&quot;parse-names&quot;:false,&quot;dropping-particle&quot;:&quot;&quot;,&quot;non-dropping-particle&quot;:&quot;&quot;}],&quot;container-title&quot;:&quot;Nature&quot;,&quot;accessed&quot;:{&quot;date-parts&quot;:[[2021,1,31]]},&quot;DOI&quot;:&quot;10.1038/35085597&quot;,&quot;ISSN&quot;:&quot;00280836&quot;,&quot;PMID&quot;:&quot;11460167&quot;,&quot;URL&quot;:&quot;https://www.nature.com/articles/35085597&quot;,&quot;issued&quot;:{&quot;date-parts&quot;:[[2001,7,19]]},&quot;page&quot;:&quot;346-351&quot;,&quot;abstract&quot;:&quot;TRAF6 is a signal transducer that activates IκB kinase (IKK) and Jun amino-terminal kinase (JNK) in response to pro-inflammatory mediators such as interleukin-1 (IL-1) and lipopolysaccharides (LPS)1-4. IKK activation by TRAF6 requires two intermediary factors, TRAF6-regulated IKK activator 1 (TRIKA1) and TRIKA2 (ref. 5). TRIKA1 is a dimeric ubiquitin-conjugating enzyme complex composed of Ubc13 and Uev1A (or the functionally equivalent Mms2). This Ubc complex, together with TRAF6, catalyses the formation of a Lys 63 (K63)-linked polyubiquitin chain that mediates IKK activation through a unique proteasome-independent mechanism. Here we report the purification and identification of TRIKA2, which is composed of TAK1, TAB1 and TAB2, a protein kinase complex previously implicated in IKK activation through an unknown mechanism. We find that the TAK1 kinase complex phosphorylates and activates IKK in a manner that depends on TRAF6 and Ubc13-Uev1A. Moreover, the activity of TAK1 to phosphorylate MKK6, which activates the JNK-p38 kinase pathway, is directly regulated by K63-linked polyubiquitination. We also provide evidence that TRAF6 is conjugated by the K63 polyubiquitin chains. These results indicate that ubiquitination has an important regulatory role in stress response pathways, including those of IKK and INK.&quot;,&quot;publisher&quot;:&quot;Nature Publishing Group&quot;,&quot;issue&quot;:&quot;6844&quot;,&quot;volume&quot;:&quot;412&quot;},&quot;isTemporary&quot;:false}],&quot;properties&quot;:{&quot;noteIndex&quot;:0},&quot;isEdited&quot;:false,&quot;manualOverride&quot;:{&quot;isManuallyOverriden&quot;:false,&quot;citeprocText&quot;:&quot;(Wang, Deng, Hong, Akkaraju, J. I. Inoue, &lt;i&gt;et al.&lt;/i&gt;, 2001)&quot;,&quot;manualOverrideText&quot;:&quot;&quot;},&quot;citationTag&quot;:&quot;MENDELEY_CITATION_v3_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&quot;},{&quot;citationID&quot;:&quot;MENDELEY_CITATION_34d5682d-2656-439f-92d4-cd099e96dbe5&quot;,&quot;citationItems&quot;:[{&quot;id&quot;:&quot;9ccc6fc6-ee18-3699-82de-a0797a21f284&quot;,&quot;itemData&quot;:{&quot;type&quot;:&quot;article-journal&quot;,&quot;id&quot;:&quot;9ccc6fc6-ee18-3699-82de-a0797a21f284&quot;,&quot;title&quot;:&quot;Regulatory Roles for MD-2 and TLR4 in Ligand-Induced Receptor Clustering&quot;,&quot;author&quot;:[{&quot;family&quot;:&quot;Kobayashi&quot;,&quot;given&quot;:&quot;Makiko&quot;,&quot;parse-names&quot;:false,&quot;dropping-particle&quot;:&quot;&quot;,&quot;non-dropping-particle&quot;:&quot;&quot;},{&quot;family&quot;:&quot;Saitoh&quot;,&quot;given&quot;:&quot;Shin-ichiroh&quot;,&quot;parse-names&quot;:false,&quot;dropping-particle&quot;:&quot;&quot;,&quot;non-dropping-particle&quot;:&quot;&quot;},{&quot;family&quot;:&quot;Tanimura&quot;,&quot;given&quot;:&quot;Natsuko&quot;,&quot;parse-names&quot;:false,&quot;dropping-particle&quot;:&quot;&quot;,&quot;non-dropping-particle&quot;:&quot;&quot;},{&quot;family&quot;:&quot;Takahashi&quot;,&quot;given&quot;:&quot;Koichiro&quot;,&quot;parse-names&quot;:false,&quot;dropping-particle&quot;:&quot;&quot;,&quot;non-dropping-particle&quot;:&quot;&quot;},{&quot;family&quot;:&quot;Kawasaki&quot;,&quot;given&quot;:&quot;Kiyoshi&quot;,&quot;parse-names&quot;:false,&quot;dropping-particle&quot;:&quot;&quot;,&quot;non-dropping-particle&quot;:&quot;&quot;},{&quot;family&quot;:&quot;Nishijima&quot;,&quot;given&quot;:&quot;Masahiro&quot;,&quot;parse-names&quot;:false,&quot;dropping-particle&quot;:&quot;&quot;,&quot;non-dropping-particle&quot;:&quot;&quot;},{&quot;family&quot;:&quot;Fujimoto&quot;,&quot;given&quot;:&quot;Yukari&quot;,&quot;parse-names&quot;:false,&quot;dropping-particle&quot;:&quot;&quot;,&quot;non-dropping-particle&quot;:&quot;&quot;},{&quot;family&quot;:&quot;Fukase&quot;,&quot;given&quot;:&quot;Koichi&quot;,&quot;parse-names&quot;:false,&quot;dropping-particle&quot;:&quot;&quot;,&quot;non-dropping-particle&quot;:&quot;&quot;},{&quot;family&quot;:&quot;Akashi-Takamura&quot;,&quot;given&quot;:&quot;Sachiko&quot;,&quot;parse-names&quot;:false,&quot;dropping-particle&quot;:&quot;&quot;,&quot;non-dropping-particle&quot;:&quot;&quot;},{&quot;family&quot;:&quot;Miyake&quot;,&quot;given&quot;:&quot;Kensuke&quot;,&quot;parse-names&quot;:false,&quot;dropping-particle&quot;:&quot;&quot;,&quot;non-dropping-particle&quot;:&quot;&quot;}],&quot;container-title&quot;:&quot;The Journal of Immunology&quot;,&quot;accessed&quot;:{&quot;date-parts&quot;:[[2021,1,31]]},&quot;DOI&quot;:&quot;10.4049/jimmunol.176.10.6211&quot;,&quot;ISSN&quot;:&quot;0022-1767&quot;,&quot;PMID&quot;:&quot;16670331&quot;,&quot;URL&quot;:&quot;http://www.jimmunol.org/content/176/10/6211&quot;,&quot;issued&quot;:{&quot;date-parts&quot;:[[2006,5,15]]},&quot;page&quot;:&quot;6211-6218&quot;,&quot;abstract&quot;:&quot;LPS, a principal membrane component in Gram-negative bacteria, is recognized by a receptor complex consisting of TLR4 and MD-2. MD-2 is an extracellular molecule that is associated with the extracellular domain of TLR4 and has a critical role in LPS recognition. MD-2 directly interacts with LPS, and the region from Phe(119) to Lys(132) (Arg(132) in mice) has been shown to be important for interaction between LPS and TLR4/MD-2. With mouse MD-2 mutants, we show in this study that Gly(59) was found to be a novel critical amino acid for LPS binding outside the region 119-132. LPS signaling is thought to be triggered by ligand-induced TLR4 clustering, which is also regulated by MD-2. Little is known, however, about a region or an amino acid in the MD-2 molecule that regulates ligand-induced receptor clustering. MD-2 mutants substituting alanine for Phe(126) or Gly(129) impaired LPS-induced TLR4 clustering, but not LPS binding to TLR4/MD-2, demonstrating that ligand-induced receptor clustering is differentially regulated by MD-2 from ligand binding. We further show that dissociation of ligand-induced receptor clustering and of ligand-receptor interaction occurs in a manner dependent on TLR4 signaling and requires endosomal acidification. These results support a principal role for MD-2 in LPS recognition.&quot;,&quot;publisher&quot;:&quot;The American Association of Immunologists&quot;,&quot;issue&quot;:&quot;10&quot;,&quot;volume&quot;:&quot;176&quot;},&quot;isTemporary&quot;:false}],&quot;properties&quot;:{&quot;noteIndex&quot;:0},&quot;isEdited&quot;:false,&quot;manualOverride&quot;:{&quot;isManuallyOverriden&quot;:false,&quot;citeprocText&quot;:&quot;(Kobayashi &lt;i&gt;et al.&lt;/i&gt;, 2006)&quot;,&quot;manualOverrideText&quot;:&quot;&quot;},&quot;citationTag&quot;:&quot;MENDELEY_CITATION_v3_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&quot;},{&quot;citationID&quot;:&quot;MENDELEY_CITATION_045a684d-fbc8-454d-ae2c-b3807b740664&quot;,&quot;citationItems&quot;:[{&quot;id&quot;:&quot;b97cdd71-3e04-3fff-a727-781184d13169&quot;,&quot;itemData&quot;:{&quot;type&quot;:&quot;article-journal&quot;,&quot;id&quot;:&quot;b97cdd71-3e04-3fff-a727-781184d13169&quot;,&quot;title&quot;:&quot;TRAM couples endocytosis of Toll-like receptor 4 to the induction of interferon-β&quot;,&quot;author&quot;:[{&quot;family&quot;:&quot;Kagan&quot;,&quot;given&quot;:&quot;Jonathan C.&quot;,&quot;parse-names&quot;:false,&quot;dropping-particle&quot;:&quot;&quot;,&quot;non-dropping-particle&quot;:&quot;&quot;},{&quot;family&quot;:&quot;Su&quot;,&quot;given&quot;:&quot;Tian&quot;,&quot;parse-names&quot;:false,&quot;dropping-particle&quot;:&quot;&quot;,&quot;non-dropping-particle&quot;:&quot;&quot;},{&quot;family&quot;:&quot;Horng&quot;,&quot;given&quot;:&quot;Tiffany&quot;,&quot;parse-names&quot;:false,&quot;dropping-particle&quot;:&quot;&quot;,&quot;non-dropping-particle&quot;:&quot;&quot;},{&quot;family&quot;:&quot;Chow&quot;,&quot;given&quot;:&quot;Amy&quot;,&quot;parse-names&quot;:false,&quot;dropping-particle&quot;:&quot;&quot;,&quot;non-dropping-particle&quot;:&quot;&quot;},{&quot;family&quot;:&quot;Akira&quot;,&quot;given&quot;:&quot;Shizuo&quot;,&quot;parse-names&quot;:false,&quot;dropping-particle&quot;:&quot;&quot;,&quot;non-dropping-particle&quot;:&quot;&quot;},{&quot;family&quot;:&quot;Medzhitov&quot;,&quot;given&quot;:&quot;Ruslan&quot;,&quot;parse-names&quot;:false,&quot;dropping-particle&quot;:&quot;&quot;,&quot;non-dropping-particle&quot;:&quot;&quot;}],&quot;container-title&quot;:&quot;Nature Immunology&quot;,&quot;accessed&quot;:{&quot;date-parts&quot;:[[2021,1,31]]},&quot;DOI&quot;:&quot;10.1038/ni1569&quot;,&quot;ISSN&quot;:&quot;15292908&quot;,&quot;PMID&quot;:&quot;18297073&quot;,&quot;URL&quot;:&quot;https://www.nature.com/articles/ni1569&quot;,&quot;issued&quot;:{&quot;date-parts&quot;:[[2008,4,24]]},&quot;page&quot;:&quot;361-368&quot;,&quot;abstract&quot;:&quot;Toll-like receptor 4 (TLR4) induces two distinct signaling pathways controlled by the TIRAP-MyD88 and TRAM-TRIF pairs of adaptor proteins, which elicit the production of proinflammatory cytokines and type I interferons, respectively. How TLR4 coordinates the activation of these two pathways is unknown. Here we show that TLR4 activated these two signaling pathways sequentially in a process organized around endocytosis of the TLR4 complex. We propose that TLR4 first induces TIRAP-MyD88 signaling at the plasma membrane and is then endocytosed and activates TRAM-TRIF signaling from early endosomes. Our data emphasize a unifying theme in innate immune recognition whereby all type I interferon-inducing receptors signal from an intracellular location.&quot;,&quot;publisher&quot;:&quot;Nature Publishing Group&quot;,&quot;issue&quot;:&quot;4&quot;,&quot;volume&quot;:&quot;9&quot;},&quot;isTemporary&quot;:false}],&quot;properties&quot;:{&quot;noteIndex&quot;:0},&quot;isEdited&quot;:false,&quot;manualOverride&quot;:{&quot;isManuallyOverriden&quot;:false,&quot;citeprocText&quot;:&quot;(Kagan &lt;i&gt;et al.&lt;/i&gt;, 2008)&quot;,&quot;manualOverrideText&quot;:&quot;&quot;},&quot;citationTag&quot;:&quot;MENDELEY_CITATION_v3_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&quot;},{&quot;citationID&quot;:&quot;MENDELEY_CITATION_705781d7-3670-4dff-8dba-50bb4c8bba47&quot;,&quot;citationItems&quot;:[{&quot;id&quot;:&quot;34bdba47-b22c-3ab9-a5af-f1deb37cfec2&quot;,&quot;itemData&quot;:{&quot;type&quot;:&quot;article-journal&quot;,&quot;id&quot;:&quot;34bdba47-b22c-3ab9-a5af-f1deb37cfec2&quot;,&quot;title&quot;:&quot;Roles for LPS-dependent interaction and relocation of TLR4 and TRAM in TRIF-signaling&quot;,&quot;author&quot;:[{&quot;family&quot;:&quot;Tanimura&quot;,&quot;given&quot;:&quot;Natsuko&quot;,&quot;parse-names&quot;:false,&quot;dropping-particle&quot;:&quot;&quot;,&quot;non-dropping-particle&quot;:&quot;&quot;},{&quot;family&quot;:&quot;Saitoh&quot;,&quot;given&quot;:&quot;Shinichiroh&quot;,&quot;parse-names&quot;:false,&quot;dropping-particle&quot;:&quot;&quot;,&quot;non-dropping-particle&quot;:&quot;&quot;},{&quot;family&quot;:&quot;Matsumoto&quot;,&quot;given&quot;:&quot;Fumi&quot;,&quot;parse-names&quot;:false,&quot;dropping-particle&quot;:&quot;&quot;,&quot;non-dropping-particle&quot;:&quot;&quot;},{&quot;family&quot;:&quot;Akashi-Takamura&quot;,&quot;given&quot;:&quot;Sachiko&quot;,&quot;parse-names&quot;:false,&quot;dropping-particle&quot;:&quot;&quot;,&quot;non-dropping-particle&quot;:&quot;&quot;},{&quot;family&quot;:&quot;Miyake&quot;,&quot;given&quot;:&quot;Kensuke&quot;,&quot;parse-names&quot;:false,&quot;dropping-particle&quot;:&quot;&quot;,&quot;non-dropping-particle&quot;:&quot;&quot;}],&quot;container-title&quot;:&quot;Biochemical and Biophysical Research Communications&quot;,&quot;accessed&quot;:{&quot;date-parts&quot;:[[2021,9,12]]},&quot;DOI&quot;:&quot;10.1016/J.BBRC.2008.01.061&quot;,&quot;ISSN&quot;:&quot;0006-291X&quot;,&quot;issued&quot;:{&quot;date-parts&quot;:[[2008,3,28]]},&quot;page&quot;:&quot;94-99&quot;,&quot;abstract&quot;:&quot;Toll-like receptor 4 (TLR4) activates two distinct signaling pathways inducing production of proinflammatory cytokines or type I interferons (IFNs), respectively. MyD88 and TIRAP/Mal are essential adaptor molecules for the former but not for the latter pathway. In contrast, TRIF/TICAM-1 and TRAM/TICAM-2 are essential for both. TIRAP is a sorting adaptor molecule recruiting MyD88 to activated TLR4 in the plasma membrane. TRAM is thought to bridge between TLR4 and TRIF by physical association. Little is known, however, how TRAM interacts with TLR4 or with TRIF during LPS response. Here, we show that TRAM recruits TRIF to the plasma membrane. Moreover, LPS induces upregulation of TLR4-association with TRAM and their subsequent translocation into endosome/lysosome. The internalized signaling complex consisting of TLR4 and TRAM colocalizes with TRAF3, a signaling molecule downstream of TRIF, in endosome/lysosome. These results suggest that TLR4 activates TRIF-signaling in endosome/lysosome after relocation from the cell surface. © 2008 Elsevier Inc. All rights reserved.&quot;,&quot;publisher&quot;:&quot;Academic Press&quot;,&quot;issue&quot;:&quot;1&quot;,&quot;volume&quot;:&quot;368&quot;},&quot;isTemporary&quot;:false}],&quot;properties&quot;:{&quot;noteIndex&quot;:0},&quot;isEdited&quot;:false,&quot;manualOverride&quot;:{&quot;isManuallyOverridden&quot;:false,&quot;citeprocText&quot;:&quot;(Tanimura &lt;i&gt;et al.&lt;/i&gt;, 2008)&quot;,&quot;manualOverrideText&quot;:&quot;&quot;},&quot;citationTag&quot;:&quot;MENDELEY_CITATION_v3_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&quot;},{&quot;citationID&quot;:&quot;MENDELEY_CITATION_6867ecc8-4f7e-43b7-99a1-1633aab3afcf&quot;,&quot;citationItems&quot;:[{&quot;id&quot;:&quot;cf9d037b-2e30-3ebb-94c1-491fe2e96ff4&quot;,&quot;itemData&quot;:{&quot;type&quot;:&quot;article-journal&quot;,&quot;id&quot;:&quot;cf9d037b-2e30-3ebb-94c1-491fe2e96ff4&quot;,&quot;title&quot;:&quot;Lipopolysaccharide (LPS)-binding protein stimulates CD14-dependent Toll-like receptor 4 internalization and LPS-induced TBK1-IKKα-IRF3 axis activation&quot;,&quot;author&quot;:[{&quot;family&quot;:&quot;Tsukamoto&quot;,&quot;given&quot;:&quot;Hiroki&quot;,&quot;parse-names&quot;:false,&quot;dropping-particle&quot;:&quot;&quot;,&quot;non-dropping-particle&quot;:&quot;&quot;},{&quot;family&quot;:&quot;Takeuchi&quot;,&quot;given&quot;:&quot;Shino&quot;,&quot;parse-names&quot;:false,&quot;dropping-particle&quot;:&quot;&quot;,&quot;non-dropping-particle&quot;:&quot;&quot;},{&quot;family&quot;:&quot;Kubota&quot;,&quot;given&quot;:&quot;Kanae&quot;,&quot;parse-names&quot;:false,&quot;dropping-particle&quot;:&quot;&quot;,&quot;non-dropping-particle&quot;:&quot;&quot;},{&quot;family&quot;:&quot;Kobayashi&quot;,&quot;given&quot;:&quot;Yohei&quot;,&quot;parse-names&quot;:false,&quot;dropping-particle&quot;:&quot;&quot;,&quot;non-dropping-particle&quot;:&quot;&quot;},{&quot;family&quot;:&quot;Kozakai&quot;,&quot;given&quot;:&quot;Sao&quot;,&quot;parse-names&quot;:false,&quot;dropping-particle&quot;:&quot;&quot;,&quot;non-dropping-particle&quot;:&quot;&quot;},{&quot;family&quot;:&quot;Ukai&quot;,&quot;given&quot;:&quot;Ippo&quot;,&quot;parse-names&quot;:false,&quot;dropping-particle&quot;:&quot;&quot;,&quot;non-dropping-particle&quot;:&quot;&quot;},{&quot;family&quot;:&quot;Shichiku&quot;,&quot;given&quot;:&quot;Ayumi&quot;,&quot;parse-names&quot;:false,&quot;dropping-particle&quot;:&quot;&quot;,&quot;non-dropping-particle&quot;:&quot;&quot;},{&quot;family&quot;:&quot;Okubo&quot;,&quot;given&quot;:&quot;Misaki&quot;,&quot;parse-names&quot;:false,&quot;dropping-particle&quot;:&quot;&quot;,&quot;non-dropping-particle&quot;:&quot;&quot;},{&quot;family&quot;:&quot;Numasaki&quot;,&quot;given&quot;:&quot;Muneo&quot;,&quot;parse-names&quot;:false,&quot;dropping-particle&quot;:&quot;&quot;,&quot;non-dropping-particle&quot;:&quot;&quot;},{&quot;family&quot;:&quot;Kanemitsu&quot;,&quot;given&quot;:&quot;Yoshitomi&quot;,&quot;parse-names&quot;:false,&quot;dropping-particle&quot;:&quot;&quot;,&quot;non-dropping-particle&quot;:&quot;&quot;},{&quot;family&quot;:&quot;Matsumoto&quot;,&quot;given&quot;:&quot;Yotaro&quot;,&quot;parse-names&quot;:false,&quot;dropping-particle&quot;:&quot;&quot;,&quot;non-dropping-particle&quot;:&quot;&quot;},{&quot;family&quot;:&quot;Nochi&quot;,&quot;given&quot;:&quot;Tomonori&quot;,&quot;parse-names&quot;:false,&quot;dropping-particle&quot;:&quot;&quot;,&quot;non-dropping-particle&quot;:&quot;&quot;},{&quot;family&quot;:&quot;Watanabe&quot;,&quot;given&quot;:&quot;Koui Chi&quot;,&quot;parse-names&quot;:false,&quot;dropping-particle&quot;:&quot;&quot;,&quot;non-dropping-particle&quot;:&quot;&quot;},{&quot;family&quot;:&quot;Aso&quot;,&quot;given&quot;:&quot;Hisashi&quot;,&quot;parse-names&quot;:false,&quot;dropping-particle&quot;:&quot;&quot;,&quot;non-dropping-particle&quot;:&quot;&quot;},{&quot;family&quot;:&quot;Tomioka&quot;,&quot;given&quot;:&quot;Yoshihisa&quot;,&quot;parse-names&quot;:false,&quot;dropping-particle&quot;:&quot;&quot;,&quot;non-dropping-particle&quot;:&quot;&quot;}],&quot;container-title&quot;:&quot;Journal of Biological Chemistry&quot;,&quot;accessed&quot;:{&quot;date-parts&quot;:[[2021,1,31]]},&quot;DOI&quot;:&quot;10.1074/jbc.M117.796631&quot;,&quot;ISSN&quot;:&quot;1083351X&quot;,&quot;PMID&quot;:&quot;29760187&quot;,&quot;issued&quot;:{&quot;date-parts&quot;:[[2018,6,29]]},&quot;page&quot;:&quot;10186-10201&quot;,&quot;abstract&quot;:&quot;Toll-like receptor 4 (TLR4) is an indispensable immune receptor for lipopolysaccharide (LPS), a major component of the Gram-negative bacterial cell wall. Following LPS stimulation, TLR4 trnsmits the signal from the cell surface and becomes internalized in an endosome. However, the spatial regulation of TLR4 signaling is not fully understood. Here, we investigated the mechanisms of LPS-induced TLR4 internalization and clarified the roles of the extracellular LPS-binding molecules, LPSbinding protein (LBP), and glycerophosphatidylinositol-anchored protein (CD14). LPS stimulation of CD14-expressing cells inducedTLR4internalization in the presence of serum, and an inhibitory anti-LBP mAb blocked its internalization. Addition of LBP to serum-free cultures restored LPS-induced TLR4 internalization to comparable levels of serum. The secretory form of the CD14 (sCD14) induced internalization but required a much higher concentration than LBP. An inhibitory antisCD14mAbwas ineffective for serum-mediated internalization. LBP lacking the domain for LPS transfer to CD14 and a CD14 mutant with reduced LPS binding both attenuated TLR4 internalization. Accordingly, LBP is an essential serum molecule for TLR4 internalization, and its LPS transfer to membrane-anchored CD14 (mCD14) is a prerequisite. LBP induced the LPSstimulated phosphorylation of TBK1, IKKϵ, and IRF3, leading to IFN-β expression. However, LPS-stimulated late activation of NF-κB or necroptosis were not affected. Collectively, our results indicate that LBP controls LPS-induced TLR4 internalization, which induces TLR adaptor molecule 1 (TRIF)-dependent activation of the TBK1-IKKϵ-IRF3-IFN-β pathway. In summary, we showed that LBP-mediated LPS transfer to mCD14 is required for serum-dependent TLR4 internalization and activation of the TRIF pathway.&quot;,&quot;publisher&quot;:&quot;American Society for Biochemistry and Molecular Biology Inc.&quot;,&quot;issue&quot;:&quot;26&quot;,&quot;volume&quot;:&quot;293&quot;},&quot;isTemporary&quot;:false}],&quot;properties&quot;:{&quot;noteIndex&quot;:0},&quot;isEdited&quot;:false,&quot;manualOverride&quot;:{&quot;isManuallyOverriden&quot;:false,&quot;citeprocText&quot;:&quot;(Tsukamoto &lt;i&gt;et al.&lt;/i&gt;, 2018)&quot;,&quot;manualOverrideText&quot;:&quot;&quot;},&quot;citationTag&quot;:&quot;MENDELEY_CITATION_v3_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&quot;},{&quot;citationID&quot;:&quot;MENDELEY_CITATION_ff93d046-cd57-47c2-a5b9-d8cfe470bd3f&quot;,&quot;citationItems&quot;:[{&quot;id&quot;:&quot;cf9d037b-2e30-3ebb-94c1-491fe2e96ff4&quot;,&quot;itemData&quot;:{&quot;type&quot;:&quot;article-journal&quot;,&quot;id&quot;:&quot;cf9d037b-2e30-3ebb-94c1-491fe2e96ff4&quot;,&quot;title&quot;:&quot;Lipopolysaccharide (LPS)-binding protein stimulates CD14-dependent Toll-like receptor 4 internalization and LPS-induced TBK1-IKKα-IRF3 axis activation&quot;,&quot;author&quot;:[{&quot;family&quot;:&quot;Tsukamoto&quot;,&quot;given&quot;:&quot;Hiroki&quot;,&quot;parse-names&quot;:false,&quot;dropping-particle&quot;:&quot;&quot;,&quot;non-dropping-particle&quot;:&quot;&quot;},{&quot;family&quot;:&quot;Takeuchi&quot;,&quot;given&quot;:&quot;Shino&quot;,&quot;parse-names&quot;:false,&quot;dropping-particle&quot;:&quot;&quot;,&quot;non-dropping-particle&quot;:&quot;&quot;},{&quot;family&quot;:&quot;Kubota&quot;,&quot;given&quot;:&quot;Kanae&quot;,&quot;parse-names&quot;:false,&quot;dropping-particle&quot;:&quot;&quot;,&quot;non-dropping-particle&quot;:&quot;&quot;},{&quot;family&quot;:&quot;Kobayashi&quot;,&quot;given&quot;:&quot;Yohei&quot;,&quot;parse-names&quot;:false,&quot;dropping-particle&quot;:&quot;&quot;,&quot;non-dropping-particle&quot;:&quot;&quot;},{&quot;family&quot;:&quot;Kozakai&quot;,&quot;given&quot;:&quot;Sao&quot;,&quot;parse-names&quot;:false,&quot;dropping-particle&quot;:&quot;&quot;,&quot;non-dropping-particle&quot;:&quot;&quot;},{&quot;family&quot;:&quot;Ukai&quot;,&quot;given&quot;:&quot;Ippo&quot;,&quot;parse-names&quot;:false,&quot;dropping-particle&quot;:&quot;&quot;,&quot;non-dropping-particle&quot;:&quot;&quot;},{&quot;family&quot;:&quot;Shichiku&quot;,&quot;given&quot;:&quot;Ayumi&quot;,&quot;parse-names&quot;:false,&quot;dropping-particle&quot;:&quot;&quot;,&quot;non-dropping-particle&quot;:&quot;&quot;},{&quot;family&quot;:&quot;Okubo&quot;,&quot;given&quot;:&quot;Misaki&quot;,&quot;parse-names&quot;:false,&quot;dropping-particle&quot;:&quot;&quot;,&quot;non-dropping-particle&quot;:&quot;&quot;},{&quot;family&quot;:&quot;Numasaki&quot;,&quot;given&quot;:&quot;Muneo&quot;,&quot;parse-names&quot;:false,&quot;dropping-particle&quot;:&quot;&quot;,&quot;non-dropping-particle&quot;:&quot;&quot;},{&quot;family&quot;:&quot;Kanemitsu&quot;,&quot;given&quot;:&quot;Yoshitomi&quot;,&quot;parse-names&quot;:false,&quot;dropping-particle&quot;:&quot;&quot;,&quot;non-dropping-particle&quot;:&quot;&quot;},{&quot;family&quot;:&quot;Matsumoto&quot;,&quot;given&quot;:&quot;Yotaro&quot;,&quot;parse-names&quot;:false,&quot;dropping-particle&quot;:&quot;&quot;,&quot;non-dropping-particle&quot;:&quot;&quot;},{&quot;family&quot;:&quot;Nochi&quot;,&quot;given&quot;:&quot;Tomonori&quot;,&quot;parse-names&quot;:false,&quot;dropping-particle&quot;:&quot;&quot;,&quot;non-dropping-particle&quot;:&quot;&quot;},{&quot;family&quot;:&quot;Watanabe&quot;,&quot;given&quot;:&quot;Koui Chi&quot;,&quot;parse-names&quot;:false,&quot;dropping-particle&quot;:&quot;&quot;,&quot;non-dropping-particle&quot;:&quot;&quot;},{&quot;family&quot;:&quot;Aso&quot;,&quot;given&quot;:&quot;Hisashi&quot;,&quot;parse-names&quot;:false,&quot;dropping-particle&quot;:&quot;&quot;,&quot;non-dropping-particle&quot;:&quot;&quot;},{&quot;family&quot;:&quot;Tomioka&quot;,&quot;given&quot;:&quot;Yoshihisa&quot;,&quot;parse-names&quot;:false,&quot;dropping-particle&quot;:&quot;&quot;,&quot;non-dropping-particle&quot;:&quot;&quot;}],&quot;container-title&quot;:&quot;Journal of Biological Chemistry&quot;,&quot;accessed&quot;:{&quot;date-parts&quot;:[[2021,1,31]]},&quot;DOI&quot;:&quot;10.1074/jbc.M117.796631&quot;,&quot;ISSN&quot;:&quot;1083351X&quot;,&quot;PMID&quot;:&quot;29760187&quot;,&quot;issued&quot;:{&quot;date-parts&quot;:[[2018,6,29]]},&quot;page&quot;:&quot;10186-10201&quot;,&quot;abstract&quot;:&quot;Toll-like receptor 4 (TLR4) is an indispensable immune receptor for lipopolysaccharide (LPS), a major component of the Gram-negative bacterial cell wall. Following LPS stimulation, TLR4 trnsmits the signal from the cell surface and becomes internalized in an endosome. However, the spatial regulation of TLR4 signaling is not fully understood. Here, we investigated the mechanisms of LPS-induced TLR4 internalization and clarified the roles of the extracellular LPS-binding molecules, LPSbinding protein (LBP), and glycerophosphatidylinositol-anchored protein (CD14). LPS stimulation of CD14-expressing cells inducedTLR4internalization in the presence of serum, and an inhibitory anti-LBP mAb blocked its internalization. Addition of LBP to serum-free cultures restored LPS-induced TLR4 internalization to comparable levels of serum. The secretory form of the CD14 (sCD14) induced internalization but required a much higher concentration than LBP. An inhibitory antisCD14mAbwas ineffective for serum-mediated internalization. LBP lacking the domain for LPS transfer to CD14 and a CD14 mutant with reduced LPS binding both attenuated TLR4 internalization. Accordingly, LBP is an essential serum molecule for TLR4 internalization, and its LPS transfer to membrane-anchored CD14 (mCD14) is a prerequisite. LBP induced the LPSstimulated phosphorylation of TBK1, IKKϵ, and IRF3, leading to IFN-β expression. However, LPS-stimulated late activation of NF-κB or necroptosis were not affected. Collectively, our results indicate that LBP controls LPS-induced TLR4 internalization, which induces TLR adaptor molecule 1 (TRIF)-dependent activation of the TBK1-IKKϵ-IRF3-IFN-β pathway. In summary, we showed that LBP-mediated LPS transfer to mCD14 is required for serum-dependent TLR4 internalization and activation of the TRIF pathway.&quot;,&quot;publisher&quot;:&quot;American Society for Biochemistry and Molecular Biology Inc.&quot;,&quot;issue&quot;:&quot;26&quot;,&quot;volume&quot;:&quot;293&quot;},&quot;isTemporary&quot;:false}],&quot;properties&quot;:{&quot;noteIndex&quot;:0},&quot;isEdited&quot;:false,&quot;manualOverride&quot;:{&quot;isManuallyOverriden&quot;:false,&quot;citeprocText&quot;:&quot;(Tsukamoto &lt;i&gt;et al.&lt;/i&gt;, 2018)&quot;,&quot;manualOverrideText&quot;:&quot;&quot;},&quot;citationTag&quot;:&quot;MENDELEY_CITATION_v3_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&quot;},{&quot;citationID&quot;:&quot;MENDELEY_CITATION_12053614-6c21-4b46-9a48-35c49068fef5&quot;,&quot;citationItems&quot;:[{&quot;id&quot;:&quot;98ea94b3-89ea-32d0-8848-288cf58da2c2&quot;,&quot;itemData&quot;:{&quot;type&quot;:&quot;article-journal&quot;,&quot;id&quot;:&quot;98ea94b3-89ea-32d0-8848-288cf58da2c2&quot;,&quot;title&quot;:&quot;Cutting Edge: TNFR-Associated Factor (TRAF) 6 Is Essential for MyD88-Dependent Pathway but Not Toll/IL-1 Receptor Domain-Containing Adaptor-Inducing IFN-β (TRIF)-Dependent Pathway in TLR Signaling&quot;,&quot;author&quot;:[{&quot;family&quot;:&quot;Gohda&quot;,&quot;given&quot;:&quot;Jin&quot;,&quot;parse-names&quot;:false,&quot;dropping-particle&quot;:&quot;&quot;,&quot;non-dropping-particle&quot;:&quot;&quot;},{&quot;family&quot;:&quot;Matsumura&quot;,&quot;given&quot;:&quot;Takayuki&quot;,&quot;parse-names&quot;:false,&quot;dropping-particle&quot;:&quot;&quot;,&quot;non-dropping-particle&quot;:&quot;&quot;},{&quot;family&quot;:&quot;Inoue&quot;,&quot;given&quot;:&quot;Jun-ichiro&quot;,&quot;parse-names&quot;:false,&quot;dropping-particle&quot;:&quot;&quot;,&quot;non-dropping-particle&quot;:&quot;&quot;}],&quot;container-title&quot;:&quot;The Journal of Immunology&quot;,&quot;accessed&quot;:{&quot;date-parts&quot;:[[2021,1,31]]},&quot;DOI&quot;:&quot;10.4049/jimmunol.173.5.2913&quot;,&quot;ISSN&quot;:&quot;0022-1767&quot;,&quot;PMID&quot;:&quot;15322147&quot;,&quot;URL&quot;:&quot;http://www.jimmunol.org/content/173/5/2913http://www.jimmunol.org/content/173/5/2913.full#ref-list-1&quot;,&quot;issued&quot;:{&quot;date-parts&quot;:[[2004,9,1]]},&quot;page&quot;:&quot;2913-2917&quot;,&quot;abstract&quot;:&quot;Signaling pathways from TLRs are mediated by the Toll/IL-1R (TIR) domain-containing adaptor molecules. TNF receptor-associated factor (TRAF) 6 is thought to activate NF-κB and MAPKs downstream of these TIR domain-containing proteins to induce production of inflammatory cytokines. However, the precise role of TRAF6 in signaling from individual TLRs has not been appropriately addressed. We analyzed macrophages from TRAF6-deficient mice and made the following observations. In the absence of TRAF6, 1) ligands for TLR2, TLR5, TLR7, and TLR9 failed to induce activation of NF-κB and MAPKs or production of inflammatory cytokines; 2) TLR4 ligand-induced cytokine production was remarkably reduced and activation of NF-κB and MAPKs was observed, albeit with delayed kinetics; and 3) in contrast with previously reported findings, TLR3 signaling was not affected. These results indicate that TRAF6 is essential for MyD88-dependent signaling but is not required for TIR domain-containing adaptor-inducing IFN-β (TRIF)-dependent signaling.&quot;,&quot;publisher&quot;:&quot;The American Association of Immunologists&quot;,&quot;issue&quot;:&quot;5&quot;,&quot;volume&quot;:&quot;173&quot;},&quot;isTemporary&quot;:false},{&quot;id&quot;:&quot;478b1ef8-7c4d-39bf-bb7e-1b2ff93068a9&quot;,&quot;itemData&quot;:{&quot;type&quot;:&quot;article-journal&quot;,&quot;id&quot;:&quot;478b1ef8-7c4d-39bf-bb7e-1b2ff93068a9&quot;,&quot;title&quot;:&quot;Severe impairment of interleukin-1 and toll-like receptor signalling in mice lacking IRAK-4&quot;,&quot;author&quot;:[{&quot;family&quot;:&quot;Suzuki&quot;,&quot;given&quot;:&quot;Nobutaka&quot;,&quot;parse-names&quot;:false,&quot;dropping-particle&quot;:&quot;&quot;,&quot;non-dropping-particle&quot;:&quot;&quot;},{&quot;family&quot;:&quot;Suzuki&quot;,&quot;given&quot;:&quot;Shinobu&quot;,&quot;parse-names&quot;:false,&quot;dropping-particle&quot;:&quot;&quot;,&quot;non-dropping-particle&quot;:&quot;&quot;},{&quot;family&quot;:&quot;Duncan&quot;,&quot;given&quot;:&quot;Gordon S.&quot;,&quot;parse-names&quot;:false,&quot;dropping-particle&quot;:&quot;&quot;,&quot;non-dropping-particle&quot;:&quot;&quot;},{&quot;family&quot;:&quot;Millar&quot;,&quot;given&quot;:&quot;Douglas G.&quot;,&quot;parse-names&quot;:false,&quot;dropping-particle&quot;:&quot;&quot;,&quot;non-dropping-particle&quot;:&quot;&quot;},{&quot;family&quot;:&quot;Wada&quot;,&quot;given&quot;:&quot;Teiji&quot;,&quot;parse-names&quot;:false,&quot;dropping-particle&quot;:&quot;&quot;,&quot;non-dropping-particle&quot;:&quot;&quot;},{&quot;family&quot;:&quot;Mirtsos&quot;,&quot;given&quot;:&quot;Christine&quot;,&quot;parse-names&quot;:false,&quot;dropping-particle&quot;:&quot;&quot;,&quot;non-dropping-particle&quot;:&quot;&quot;},{&quot;family&quot;:&quot;Takada&quot;,&quot;given&quot;:&quot;Hidetoshi&quot;,&quot;parse-names&quot;:false,&quot;dropping-particle&quot;:&quot;&quot;,&quot;non-dropping-particle&quot;:&quot;&quot;},{&quot;family&quot;:&quot;Wakeham&quot;,&quot;given&quot;:&quot;Andrew&quot;,&quot;parse-names&quot;:false,&quot;dropping-particle&quot;:&quot;&quot;,&quot;non-dropping-particle&quot;:&quot;&quot;},{&quot;family&quot;:&quot;Itie&quot;,&quot;given&quot;:&quot;Annick&quot;,&quot;parse-names&quot;:false,&quot;dropping-particle&quot;:&quot;&quot;,&quot;non-dropping-particle&quot;:&quot;&quot;},{&quot;family&quot;:&quot;Li&quot;,&quot;given&quot;:&quot;Shyun&quot;,&quot;parse-names&quot;:false,&quot;dropping-particle&quot;:&quot;&quot;,&quot;non-dropping-particle&quot;:&quot;&quot;},{&quot;family&quot;:&quot;Penninger&quot;,&quot;given&quot;:&quot;Josef M.&quot;,&quot;parse-names&quot;:false,&quot;dropping-particle&quot;:&quot;&quot;,&quot;non-dropping-particle&quot;:&quot;&quot;},{&quot;family&quot;:&quot;Wesche&quot;,&quot;given&quot;:&quot;Holger&quot;,&quot;parse-names&quot;:false,&quot;dropping-particle&quot;:&quot;&quot;,&quot;non-dropping-particle&quot;:&quot;&quot;},{&quot;family&quot;:&quot;Ohashi&quot;,&quot;given&quot;:&quot;Pamela S.&quot;,&quot;parse-names&quot;:false,&quot;dropping-particle&quot;:&quot;&quot;,&quot;non-dropping-particle&quot;:&quot;&quot;},{&quot;family&quot;:&quot;Mak&quot;,&quot;given&quot;:&quot;Tak W.&quot;,&quot;parse-names&quot;:false,&quot;dropping-particle&quot;:&quot;&quot;,&quot;non-dropping-particle&quot;:&quot;&quot;},{&quot;family&quot;:&quot;Yeh&quot;,&quot;given&quot;:&quot;Wen Chen&quot;,&quot;parse-names&quot;:false,&quot;dropping-particle&quot;:&quot;&quot;,&quot;non-dropping-particle&quot;:&quot;&quot;}],&quot;container-title&quot;:&quot;Nature&quot;,&quot;accessed&quot;:{&quot;date-parts&quot;:[[2021,1,31]]},&quot;DOI&quot;:&quot;10.1038/nature736&quot;,&quot;ISSN&quot;:&quot;00280836&quot;,&quot;PMID&quot;:&quot;11923871&quot;,&quot;URL&quot;:&quot;https://www.nature.com/articles/nature736&quot;,&quot;issued&quot;:{&quot;date-parts&quot;:[[2002,3,31]]},&quot;page&quot;:&quot;750-754&quot;,&quot;abstract&quot;:&quot;Toll-like receptors (TLRs), which recognize pathogen-associated molecular patterns, and members of the pro-inflammatory interleukin-1 receptor (IL-1R) family, share homologies in their cytoplasmic domains called Toll/IL-IR/plant R gene homology (TIR) domains. Intracellular signalling mechanisms mediated by TIRs are similar, with MyD88 (refs 5-8) and TRAF6 (refs 9, 10) having critical roles. Signal transduction between MyD88 and TRAF6 is known to involve the serine-threonine kinase IL-1 receptor-associated kinase 1 (IRAK-1) and two homologous proteins, IRAK-2 (ref. 12) and IRAK-M. However, the physiological functions of the IRAK molecules remain unclear, and gene-targeting studies have shown that IRAK-1 is only partially required for IL-1R and TLR signalling. Here we show by genetargeting that IRAK-4, an IRAK molecule closely related to the Drosophila Pelle protein, is indispensable for the responses of animals and cultured cells to IL-1 and ligands that stimulate various TLRs. IRAK-4-deficient animals are completely resistant to a lethal dose of lipopolysaccharide (LPS). In addition, animals lacking IRAK-4 are severely impaired in their responses to viral and bacterial challenges. Our results indicate that IRAK-4 has an essential role in innate immunity.&quot;,&quot;publisher&quot;:&quot;Nature Publishing Group&quot;,&quot;issue&quot;:&quot;6882&quot;,&quot;volume&quot;:&quot;416&quot;},&quot;isTemporary&quot;:false}],&quot;properties&quot;:{&quot;noteIndex&quot;:0},&quot;isEdited&quot;:false,&quot;manualOverride&quot;:{&quot;isManuallyOverriden&quot;:false,&quot;citeprocText&quot;:&quot;(Suzuki &lt;i&gt;et al.&lt;/i&gt;, 2002; Gohda, Matsumura and Inoue, 2004)&quot;,&quot;manualOverrideText&quot;:&quot;&quot;},&quot;citationTag&quot;:&quot;MENDELEY_CITATION_v3_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&quot;},{&quot;citationID&quot;:&quot;MENDELEY_CITATION_2bb43dfe-daad-4336-b7e0-f9685ea4731d&quot;,&quot;citationItems&quot;:[{&quot;id&quot;:&quot;f3d30037-8311-36e0-a320-caf8371c3034&quot;,&quot;itemData&quot;:{&quot;type&quot;:&quot;article-journal&quot;,&quot;id&quot;:&quot;f3d30037-8311-36e0-a320-caf8371c3034&quot;,&quot;title&quot;:&quot;Interleukin-1β inhibits expression of p21(WAF1/CIP1) and p27(KIP1) and enhances proliferation in response to platelet-derived growth factor-BB in smooth muscle cells&quot;,&quot;author&quot;:[{&quot;family&quot;:&quot;Nathe&quot;,&quot;given&quot;:&quot;Tyler J.&quot;,&quot;parse-names&quot;:false,&quot;dropping-particle&quot;:&quot;&quot;,&quot;non-dropping-particle&quot;:&quot;&quot;},{&quot;family&quot;:&quot;Deou&quot;,&quot;given&quot;:&quot;Jessie&quot;,&quot;parse-names&quot;:false,&quot;dropping-particle&quot;:&quot;&quot;,&quot;non-dropping-particle&quot;:&quot;&quot;},{&quot;family&quot;:&quot;Walsh&quot;,&quot;given&quot;:&quot;Bethany&quot;,&quot;parse-names&quot;:false,&quot;dropping-particle&quot;:&quot;&quot;,&quot;non-dropping-particle&quot;:&quot;&quot;},{&quot;family&quot;:&quot;Bourns&quot;,&quot;given&quot;:&quot;Brenda&quot;,&quot;parse-names&quot;:false,&quot;dropping-particle&quot;:&quot;&quot;,&quot;non-dropping-particle&quot;:&quot;&quot;},{&quot;family&quot;:&quot;Clowes&quot;,&quot;given&quot;:&quot;Alexander W.&quot;,&quot;parse-names&quot;:false,&quot;dropping-particle&quot;:&quot;&quot;,&quot;non-dropping-particle&quot;:&quot;&quot;},{&quot;family&quot;:&quot;Daum&quot;,&quot;given&quot;:&quot;Gnter&quot;,&quot;parse-names&quot;:false,&quot;dropping-particle&quot;:&quot;&quot;,&quot;non-dropping-particle&quot;:&quot;&quot;}],&quot;container-title&quot;:&quot;Arteriosclerosis, Thrombosis, and Vascular Biology&quot;,&quot;accessed&quot;:{&quot;date-parts&quot;:[[2021,1,31]]},&quot;DOI&quot;:&quot;10.1161/01.ATV.0000023428.69244.49&quot;,&quot;ISSN&quot;:&quot;10795642&quot;,&quot;PMID&quot;:&quot;12171790&quot;,&quot;URL&quot;:&quot;https://www.ahajournals.org/doi/10.1161/01.ATV.0000023428.69244.49&quot;,&quot;issued&quot;:{&quot;date-parts&quot;:[[2002,8,1]]},&quot;page&quot;:&quot;1293-1298&quot;,&quot;abstract&quot;:&quot;Objective - Intimal growth depends on smooth muscle cell (SMC) migration and proliferation and is regulated by thrombotic and inflammatory responses to vascular injury. Platelet-derived growth factor (PDGF)-BB and interleukin (IL)-1β have been shown to contribute to intimal hyperplasia and lesion progression in atherosclerosis. Mitogenic effects of IL-1 on SMCs have been reported and have been attributed to the expression of PDGF-A chain. In some, but not all, studies, IL-1β was found to cooperate with growth factors, including PDGF, in stimulating proliferation. The molecular basis for such cooperative effects is unknown and is the subject of the present study. Methods and Results - We demonstrate that in baboon aortic SMCs, IL-1beta; enhances the proliferation induced by PDGF-BB independently of PDGF-A signaling. IL-1β increases the phosphorylation of retinoblastoma protein, a pivotal step in the G1-to-S transition in the cell cycle. Analysis of expression levels of cyclins and cyclin-dependent kinase (CDK) inhibitors suggests that IL-1β stimulates CDKs by downregulating p21 and p27. Consistent with this hypothesis is the finding that CDK2 activity, induced by PDGF-BB, is enhanced 2.3±0.2-fold in the presence of IL-1β. Conclusions - Our data suggest that IL-1β may promote SMC proliferation after vascular injury and in atherogenesis by suppression of PDGF-BB-induced p21 and p27.&quot;,&quot;publisher&quot;:&quot;Lippincott Williams &amp; Wilkins&quot;,&quot;issue&quot;:&quot;8&quot;,&quot;volume&quot;:&quot;22&quot;},&quot;isTemporary&quot;:false}],&quot;properties&quot;:{&quot;noteIndex&quot;:0},&quot;isEdited&quot;:false,&quot;manualOverride&quot;:{&quot;isManuallyOverriden&quot;:false,&quot;citeprocText&quot;:&quot;(Nathe &lt;i&gt;et al.&lt;/i&gt;, 2002)&quot;,&quot;manualOverrideText&quot;:&quot;(Nathe et al., 2002&quot;,&quot;isManuallyOverridden&quot;:true},&quot;citationTag&quot;:&quot;MENDELEY_CITATION_v3_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&quot;},{&quot;citationID&quot;:&quot;MENDELEY_CITATION_e36510a0-c6f9-41f7-bb91-47f6b778e3aa&quot;,&quot;citationItems&quot;:[{&quot;id&quot;:&quot;ecd385cf-a99a-3839-b50f-21e19ee7e9bb&quot;,&quot;itemData&quot;:{&quot;type&quot;:&quot;article-journal&quot;,&quot;id&quot;:&quot;ecd385cf-a99a-3839-b50f-21e19ee7e9bb&quot;,&quot;title&quot;:&quot;Lack of interleukin-1beta decreases the severity of atherosclerosis in ApoE-deficient mice.&quot;,&quot;author&quot;:[{&quot;family&quot;:&quot;Kirii&quot;,&quot;given&quot;:&quot;Hirokazu&quot;,&quot;parse-names&quot;:false,&quot;dropping-particle&quot;:&quot;&quot;,&quot;non-dropping-particle&quot;:&quot;&quot;},{&quot;family&quot;:&quot;Niwa&quot;,&quot;given&quot;:&quot;Tamikazu&quot;,&quot;parse-names&quot;:false,&quot;dropping-particle&quot;:&quot;&quot;,&quot;non-dropping-particle&quot;:&quot;&quot;},{&quot;family&quot;:&quot;Yamada&quot;,&quot;given&quot;:&quot;Yasuhiro&quot;,&quot;parse-names&quot;:false,&quot;dropping-particle&quot;:&quot;&quot;,&quot;non-dropping-particle&quot;:&quot;&quot;},{&quot;family&quot;:&quot;Wada&quot;,&quot;given&quot;:&quot;Hisayasu&quot;,&quot;parse-names&quot;:false,&quot;dropping-particle&quot;:&quot;&quot;,&quot;non-dropping-particle&quot;:&quot;&quot;},{&quot;family&quot;:&quot;Saito&quot;,&quot;given&quot;:&quot;Kuniaki&quot;,&quot;parse-names&quot;:false,&quot;dropping-particle&quot;:&quot;&quot;,&quot;non-dropping-particle&quot;:&quot;&quot;},{&quot;family&quot;:&quot;Iwakura&quot;,&quot;given&quot;:&quot;Yoichiro&quot;,&quot;parse-names&quot;:false,&quot;dropping-particle&quot;:&quot;&quot;,&quot;non-dropping-particle&quot;:&quot;&quot;},{&quot;family&quot;:&quot;Asano&quot;,&quot;given&quot;:&quot;Masahide&quot;,&quot;parse-names&quot;:false,&quot;dropping-particle&quot;:&quot;&quot;,&quot;non-dropping-particle&quot;:&quot;&quot;},{&quot;family&quot;:&quot;Moriwaki&quot;,&quot;given&quot;:&quot;Hisataka&quot;,&quot;parse-names&quot;:false,&quot;dropping-particle&quot;:&quot;&quot;,&quot;non-dropping-particle&quot;:&quot;&quot;},{&quot;family&quot;:&quot;Seishima&quot;,&quot;given&quot;:&quot;Mitsuru&quot;,&quot;parse-names&quot;:false,&quot;dropping-particle&quot;:&quot;&quot;,&quot;non-dropping-particle&quot;:&quot;&quot;}],&quot;container-title&quot;:&quot;Arteriosclerosis, thrombosis, and vascular biology&quot;,&quot;accessed&quot;:{&quot;date-parts&quot;:[[2021,1,31]]},&quot;DOI&quot;:&quot;10.1161/01.ATV.0000064374.15232.C3&quot;,&quot;ISSN&quot;:&quot;1524-4636&quot;,&quot;PMID&quot;:&quot;12615675&quot;,&quot;URL&quot;:&quot;http://www.ncbi.nlm.nih.gov/pubmed/12615675&quot;,&quot;issued&quot;:{&quot;date-parts&quot;:[[2003,4,1]]},&quot;page&quot;:&quot;656-60&quot;,&quot;abstract&quot;:&quot;OBJECTIVE Atherosclerosis is considered to be a chronic inflammatory disease and many cytokines participate in the development of atherosclerosis. We focused on the role of interleukin-1beta (IL-1beta), one of the proinflammatory cytokines secreted by monocytes/macrophages, in the progression of atherosclerosis. METHODS AND RESULTS We generated mice lacking both apoE and IL-1beta. The sizes of atherosclerotic lesions at the aortic sinus in apoE-/-/IL-1beta-/-mice at 12 and 24 weeks of age showed a significant decrease of approximately 30% compared with apoE-/-/IL-1beta+/+ mice, and the percentage of the atherosclerotic area to total area of apoE-/-/IL-1beta-/- at 24 weeks of age also showed a significant decrease of about 30% compared with apoE-/-/IL-1beta+/+. The mRNA levels of vascular cell adhesion molecule (VCAM)-1 and monocyte chemotactic protein-1 in the apoE-/-/IL-1beta-/- aorta were significantly reduced compared with the apoE-/-/IL-1beta+/+. Furthermore, VCAM-1 was also reduced at the protein level in apoE-/-/IL-1beta-/- aorta compared with apoE-/-/IL-1beta+/+. CONCLUSIONS The lack of IL-1beta decreases the severity of atherosclerosis in apoE deficient mice, possibly through increased expressions of VCAM-1 and monocyte chemotactic protein-1 in the aorta.&quot;,&quot;publisher&quot;:&quot;Lippincott Williams &amp; Wilkins&quot;,&quot;issue&quot;:&quot;4&quot;,&quot;volume&quot;:&quot;23&quot;},&quot;isTemporary&quot;:false}],&quot;properties&quot;:{&quot;noteIndex&quot;:0},&quot;isEdited&quot;:false,&quot;manualOverride&quot;:{&quot;isManuallyOverriden&quot;:false,&quot;citeprocText&quot;:&quot;(Kirii &lt;i&gt;et al.&lt;/i&gt;, 2003)&quot;,&quot;manualOverrideText&quot;:&quot;&quot;},&quot;citationTag&quot;:&quot;MENDELEY_CITATION_v3_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&quot;},{&quot;citationID&quot;:&quot;MENDELEY_CITATION_11c5d66e-2134-4f86-ab07-38d75918e060&quot;,&quot;citationItems&quot;:[{&quot;id&quot;:&quot;2bcd6cb6-7ead-301e-8803-8d6176aa5357&quot;,&quot;itemData&quot;:{&quot;type&quot;:&quot;article-journal&quot;,&quot;id&quot;:&quot;2bcd6cb6-7ead-301e-8803-8d6176aa5357&quot;,&quot;title&quot;:&quot;NLRP3 Inflammasome Expression and Activation in Human Atherosclerosis&quot;,&quot;author&quot;:[{&quot;family&quot;:&quot;Paramel Varghese&quot;,&quot;given&quot;:&quot;Geena&quot;,&quot;parse-names&quot;:false,&quot;dropping-particle&quot;:&quot;&quot;,&quot;non-dropping-particle&quot;:&quot;&quot;},{&quot;family&quot;:&quot;Folkersen&quot;,&quot;given&quot;:&quot;Lasse&quot;,&quot;parse-names&quot;:false,&quot;dropping-particle&quot;:&quot;&quot;,&quot;non-dropping-particle&quot;:&quot;&quot;},{&quot;family&quot;:&quot;Strawbridge&quot;,&quot;given&quot;:&quot;Rona J.&quot;,&quot;parse-names&quot;:false,&quot;dropping-particle&quot;:&quot;&quot;,&quot;non-dropping-particle&quot;:&quot;&quot;},{&quot;family&quot;:&quot;Halvorsen&quot;,&quot;given&quot;:&quot;Bente&quot;,&quot;parse-names&quot;:false,&quot;dropping-particle&quot;:&quot;&quot;,&quot;non-dropping-particle&quot;:&quot;&quot;},{&quot;family&quot;:&quot;Yndestad&quot;,&quot;given&quot;:&quot;Arne&quot;,&quot;parse-names&quot;:false,&quot;dropping-particle&quot;:&quot;&quot;,&quot;non-dropping-particle&quot;:&quot;&quot;},{&quot;family&quot;:&quot;Ranheim&quot;,&quot;given&quot;:&quot;Trine&quot;,&quot;parse-names&quot;:false,&quot;dropping-particle&quot;:&quot;&quot;,&quot;non-dropping-particle&quot;:&quot;&quot;},{&quot;family&quot;:&quot;Krohg-Sørensen&quot;,&quot;given&quot;:&quot;Kirsten&quot;,&quot;parse-names&quot;:false,&quot;dropping-particle&quot;:&quot;&quot;,&quot;non-dropping-particle&quot;:&quot;&quot;},{&quot;family&quot;:&quot;Skjelland&quot;,&quot;given&quot;:&quot;Mona&quot;,&quot;parse-names&quot;:false,&quot;dropping-particle&quot;:&quot;&quot;,&quot;non-dropping-particle&quot;:&quot;&quot;},{&quot;family&quot;:&quot;Espevik&quot;,&quot;given&quot;:&quot;Terje&quot;,&quot;parse-names&quot;:false,&quot;dropping-particle&quot;:&quot;&quot;,&quot;non-dropping-particle&quot;:&quot;&quot;},{&quot;family&quot;:&quot;Aukrust&quot;,&quot;given&quot;:&quot;Pål&quot;,&quot;parse-names&quot;:false,&quot;dropping-particle&quot;:&quot;&quot;,&quot;non-dropping-particle&quot;:&quot;&quot;},{&quot;family&quot;:&quot;Lengquist&quot;,&quot;given&quot;:&quot;Mariette&quot;,&quot;parse-names&quot;:false,&quot;dropping-particle&quot;:&quot;&quot;,&quot;non-dropping-particle&quot;:&quot;&quot;},{&quot;family&quot;:&quot;Hedin&quot;,&quot;given&quot;:&quot;Ulf&quot;,&quot;parse-names&quot;:false,&quot;dropping-particle&quot;:&quot;&quot;,&quot;non-dropping-particle&quot;:&quot;&quot;},{&quot;family&quot;:&quot;Jansson&quot;,&quot;given&quot;:&quot;Jan Håkan&quot;,&quot;parse-names&quot;:false,&quot;dropping-particle&quot;:&quot;&quot;,&quot;non-dropping-particle&quot;:&quot;&quot;},{&quot;family&quot;:&quot;Fransén&quot;,&quot;given&quot;:&quot;Karin&quot;,&quot;parse-names&quot;:false,&quot;dropping-particle&quot;:&quot;&quot;,&quot;non-dropping-particle&quot;:&quot;&quot;},{&quot;family&quot;:&quot;Hansson&quot;,&quot;given&quot;:&quot;Göran K.&quot;,&quot;parse-names&quot;:false,&quot;dropping-particle&quot;:&quot;&quot;,&quot;non-dropping-particle&quot;:&quot;&quot;},{&quot;family&quot;:&quot;Eriksson&quot;,&quot;given&quot;:&quot;Per&quot;,&quot;parse-names&quot;:false,&quot;dropping-particle&quot;:&quot;&quot;,&quot;non-dropping-particle&quot;:&quot;&quot;},{&quot;family&quot;:&quot;Sirsjö&quot;,&quot;given&quot;:&quot;Allan&quot;,&quot;parse-names&quot;:false,&quot;dropping-particle&quot;:&quot;&quot;,&quot;non-dropping-particle&quot;:&quot;&quot;}],&quot;container-title&quot;:&quot;Journal of the American Heart Association&quot;,&quot;accessed&quot;:{&quot;date-parts&quot;:[[2021,1,31]]},&quot;DOI&quot;:&quot;10.1161/JAHA.115.003031&quot;,&quot;ISSN&quot;:&quot;20479980&quot;,&quot;PMID&quot;:&quot;27207962&quot;,&quot;URL&quot;:&quot;https://www.ahajournals.org/doi/10.1161/JAHA.115.003031&quot;,&quot;issued&quot;:{&quot;date-parts&quot;:[[2016,5,1]]},&quot;abstract&quot;:&quot;Background: The NLR family, pyrin domain containing 3 (NLRP3) inflammasome is an interleukin (IL)-1β and IL-18 cytokine processing complex that is activated in inflammatory conditions. The role of the NLRP3 inflammasome in the pathogenesis of atherosclerosis and myocardial infarction is not fully understood. Methods and Results: Atherosclerotic plaques were analyzed for transcripts of the NLRP3 inflammasome, and for IL-1β release. The Swedish First-ever myocardial Infarction study in Ac-county (FIA) cohort consisting of DNA from 555 myocardial infarction patients and 1016 healthy individuals was used to determine the frequency of 4 single nucleotide polymorphisms (SNPs) from the downstream regulatory region of NLRP3. Expression of NLRP3, Apoptosis-associated speck-like protein containing a CARD (ASC), caspase-1 (CASP1), IL1B, and IL18 mRNA was significantly increased in atherosclerotic plaques compared to normal arteries. The expression of NLRP3 mRNA was significantly higher in plaques of symptomatic patients when compared to asymptomatic ones. CD68-positive macrophages were observed in the same areas of atherosclerotic lesions as NLRP3 and ASC expression. Occasionally, expression of NLRP3 and ASC was also present in smooth muscle cells. Cholesterol crystals and ATP induced IL-1β release from lipopolysaccharide-primed human atherosclerotic lesion plaques. The minor alleles of the variants rs4266924, rs6672995, and rs10733113 were associated with NLRP3 mRNA levels in peripheral blood mononuclear cells but not with the risk of myocardial infarction. Conclusions: Our results indicate a possible role of the NLRP3 inflammasome and its genetic variants in the pathogenesis of atherosclerosis.&quot;,&quot;publisher&quot;:&quot;American Heart Association Inc.&quot;,&quot;issue&quot;:&quot;5&quot;,&quot;volume&quot;:&quot;5&quot;},&quot;isTemporary&quot;:false}],&quot;properties&quot;:{&quot;noteIndex&quot;:0},&quot;isEdited&quot;:false,&quot;manualOverride&quot;:{&quot;isManuallyOverriden&quot;:false,&quot;citeprocText&quot;:&quot;(Paramel Varghese &lt;i&gt;et al.&lt;/i&gt;, 2016)&quot;,&quot;manualOverrideText&quot;:&quot;&quot;},&quot;citationTag&quot;:&quot;MENDELEY_CITATION_v3_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&quot;},{&quot;citationID&quot;:&quot;MENDELEY_CITATION_25098820-02e0-457f-81e7-4adcd2dc2486&quot;,&quot;citationItems&quot;:[{&quot;id&quot;:&quot;dbe324ff-1ca6-3bce-9ca6-cd375f70fd01&quot;,&quot;itemData&quot;:{&quot;type&quot;:&quot;article-journal&quot;,&quot;id&quot;:&quot;dbe324ff-1ca6-3bce-9ca6-cd375f70fd01&quot;,&quot;title&quot;:&quot;Cholesterol Crystals Activate the NLRP3 Inflammasome in Human Macrophages: A Novel Link between Cholesterol Metabolism and Inflammation&quot;,&quot;author&quot;:[{&quot;family&quot;:&quot;Rajamäki&quot;,&quot;given&quot;:&quot;Kristiina&quot;,&quot;parse-names&quot;:false,&quot;dropping-particle&quot;:&quot;&quot;,&quot;non-dropping-particle&quot;:&quot;&quot;},{&quot;family&quot;:&quot;Lappalainen&quot;,&quot;given&quot;:&quot;Jani&quot;,&quot;parse-names&quot;:false,&quot;dropping-particle&quot;:&quot;&quot;,&quot;non-dropping-particle&quot;:&quot;&quot;},{&quot;family&quot;:&quot;Öörni&quot;,&quot;given&quot;:&quot;Katariina&quot;,&quot;parse-names&quot;:false,&quot;dropping-particle&quot;:&quot;&quot;,&quot;non-dropping-particle&quot;:&quot;&quot;},{&quot;family&quot;:&quot;Välimäki&quot;,&quot;given&quot;:&quot;Elina&quot;,&quot;parse-names&quot;:false,&quot;dropping-particle&quot;:&quot;&quot;,&quot;non-dropping-particle&quot;:&quot;&quot;},{&quot;family&quot;:&quot;Matikainen&quot;,&quot;given&quot;:&quot;Sampsa&quot;,&quot;parse-names&quot;:false,&quot;dropping-particle&quot;:&quot;&quot;,&quot;non-dropping-particle&quot;:&quot;&quot;},{&quot;family&quot;:&quot;Kovanen&quot;,&quot;given&quot;:&quot;Petri T.&quot;,&quot;parse-names&quot;:false,&quot;dropping-particle&quot;:&quot;&quot;,&quot;non-dropping-particle&quot;:&quot;&quot;},{&quot;family&quot;:&quot;Eklund&quot;,&quot;given&quot;:&quot;Kari K.&quot;,&quot;parse-names&quot;:false,&quot;dropping-particle&quot;:&quot;&quot;,&quot;non-dropping-particle&quot;:&quot;&quot;}],&quot;container-title&quot;:&quot;PLoS ONE&quot;,&quot;accessed&quot;:{&quot;date-parts&quot;:[[2021,1,31]]},&quot;editor&quot;:[{&quot;family&quot;:&quot;Unutmaz&quot;,&quot;given&quot;:&quot;Derya&quot;,&quot;parse-names&quot;:false,&quot;dropping-particle&quot;:&quot;&quot;,&quot;non-dropping-particle&quot;:&quot;&quot;}],&quot;DOI&quot;:&quot;10.1371/journal.pone.0011765&quot;,&quot;ISSN&quot;:&quot;1932-6203&quot;,&quot;URL&quot;:&quot;https://dx.plos.org/10.1371/journal.pone.0011765&quot;,&quot;issued&quot;:{&quot;date-parts&quot;:[[2010,7,23]]},&quot;page&quot;:&quot;e11765&quot;,&quot;abstract&quot;:&quot;Background: Chronic inflammation of the arterial wall is a key element in the pathogenesis of atherosclerosis, yet the factors that trigger and sustain the inflammation remain elusive. Inflammasomes are cytoplasmic caspase-1-activating protein complexes that promote maturation and secretion of the proinflammatory cytokines interleukin(IL)-1b and IL-18. The most intensively studied inflammasome, NLRP3 inflammasome, is activated by diverse substances, including crystalline and particulate materials. As cholesterol crystals are abundant in atherosclerotic lesions, and IL-1b has been linked to atherogenesis, we explored the possibility that cholesterol crystals promote inflammation by activating the inflammasome pathway. Principal Findings: Here we show that human macrophages avidly phagocytose cholesterol crystals and store the ingested cholesterol as cholesteryl esters. Importantly, cholesterol crystals induced dose-dependent secretion of mature IL-1b from human monocytes and macrophages. The cholesterol crystal-induced secretion of IL-1b was caspase-1-dependent, suggesting the involvement of an inflammasome-mediated pathway. Silencing of the NLRP3 receptor, the crucial component in NLRP3 inflammasome, completely abolished crystal-induced IL-1b secretion, thus identifying NLRP3 inflammasome as the cholesterol crystal-responsive element in macrophages. The crystals were shown to induce leakage of the lysosomal protease cathepsin B into the cytoplasm and inhibition of this enzyme reduced cholesterol crystal-induced IL- 1b secretion, suggesting that NLRP3 inflammasome activation occurred via lysosomal destabilization. Conclusions: The cholesterol crystal-induced inflammasome activation in macrophages may represent an important link between cholesterol metabolism and inflammation in atherosclerotic lesions. © 2010 Rajamäki et al.&quot;,&quot;publisher&quot;:&quot;Public Library of Science&quot;,&quot;issue&quot;:&quot;7&quot;,&quot;volume&quot;:&quot;5&quot;},&quot;isTemporary&quot;:false}],&quot;properties&quot;:{&quot;noteIndex&quot;:0},&quot;isEdited&quot;:false,&quot;manualOverride&quot;:{&quot;isManuallyOverriden&quot;:false,&quot;citeprocText&quot;:&quot;(Rajamäki &lt;i&gt;et al.&lt;/i&gt;, 2010)&quot;,&quot;manualOverrideText&quot;:&quot;&quot;},&quot;citationTag&quot;:&quot;MENDELEY_CITATION_v3_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&quot;},{&quot;citationID&quot;:&quot;MENDELEY_CITATION_71de0267-8124-4fe0-bd5e-ece51a779ce0&quot;,&quot;citationItems&quot;:[{&quot;id&quot;:&quot;dbfa7581-9669-378a-b748-9410106af421&quot;,&quot;itemData&quot;:{&quot;type&quot;:&quot;article-journal&quot;,&quot;id&quot;:&quot;dbfa7581-9669-378a-b748-9410106af421&quot;,&quot;title&quot;:&quot;Amyloid load and clinical outcome in AA amyloidosis in relation to circulating concentration of serum amyloid A protein&quot;,&quot;author&quot;:[{&quot;family&quot;:&quot;Gillmore&quot;,&quot;given&quot;:&quot;Julian D.&quot;,&quot;parse-names&quot;:false,&quot;dropping-particle&quot;:&quot;&quot;,&quot;non-dropping-particle&quot;:&quot;&quot;},{&quot;family&quot;:&quot;Lovat&quot;,&quot;given&quot;:&quot;Laurence B.&quot;,&quot;parse-names&quot;:false,&quot;dropping-particle&quot;:&quot;&quot;,&quot;non-dropping-particle&quot;:&quot;&quot;},{&quot;family&quot;:&quot;Persey&quot;,&quot;given&quot;:&quot;Malcolm R.&quot;,&quot;parse-names&quot;:false,&quot;dropping-particle&quot;:&quot;&quot;,&quot;non-dropping-particle&quot;:&quot;&quot;},{&quot;family&quot;:&quot;Pepys&quot;,&quot;given&quot;:&quot;Mark B.&quot;,&quot;parse-names&quot;:false,&quot;dropping-particle&quot;:&quot;&quot;,&quot;non-dropping-particle&quot;:&quot;&quot;},{&quot;family&quot;:&quot;Hawkins&quot;,&quot;given&quot;:&quot;Philip N.&quot;,&quot;parse-names&quot;:false,&quot;dropping-particle&quot;:&quot;&quot;,&quot;non-dropping-particle&quot;:&quot;&quot;}],&quot;container-title&quot;:&quot;Lancet&quot;,&quot;accessed&quot;:{&quot;date-parts&quot;:[[2021,1,31]]},&quot;DOI&quot;:&quot;10.1016/S0140-6736(00)05252-1&quot;,&quot;ISSN&quot;:&quot;01406736&quot;,&quot;PMID&quot;:&quot;11454373&quot;,&quot;issued&quot;:{&quot;date-parts&quot;:[[2001,7,7]]},&quot;page&quot;:&quot;24-29&quot;,&quot;abstract&quot;:&quot;Background: Reactive systemic (AA, secondary) amyloidosis occurs in chronic inflammatory diseases, and most patients present with nephropathy. The amyloid fibrils are derived from the circulating acute-phase reactant serum amyloid A protein (SAA), but the relation between production of fibril precursor protein, amyloid load, and clinical outcome in AA and other types of amyloidosis is unclear. Methods: We studied amyloidotic organ function and survival prospectively for 12-117 months in 80 patients with systemic AA amyloidosis in whom serum SAA concentration was measured monthly and visceral amyloid deposits were assessed annually by serum amyloid P component scintigraphy. Underlying inflammatory diseases were treated as vigorously as possible. Findings: Amyloid deposits regressed in 25 of 42 patients whose median SAA values were within the reference range (&lt;10 mg/L) throughout follow-up, and amyloidotic organ function stabilised or improved in 39 of these cases. Outcome varied substantially among patients whose median SAA concentration exceeded 10 mg/L, but amyloid load increased and organ function deteriorated in most of those whose SAA was persistently above 50 mg/L. Estimated survival at 10 years was 90% in patients whose median SAA was under 10 mg/L, and 40% among those whose median SAA exceeded this value (p=0.0009). Interpretation: Although isolated amyloid fibrils are stable in vitro, AA amyloid deposits exist in a state of dynamic turnover, and outcome is favourable in AA amyloidosis when the SAA concentration is maintained below 10 mg/L. The potential for amyloid to regress and for the function of amyloidotic organs to recover support therapeutic strategies to decrease the supply of amyloid fibril precursor proteins in amyloidosis generally. © 2001 Elsevier Science Ltd.&quot;,&quot;publisher&quot;:&quot;Elsevier&quot;,&quot;issue&quot;:&quot;9275&quot;,&quot;volume&quot;:&quot;358&quot;},&quot;isTemporary&quot;:false},{&quot;id&quot;:&quot;2de9636f-b57f-3def-9eed-de7ca9ce2a04&quot;,&quot;itemData&quot;:{&quot;type&quot;:&quot;report&quot;,&quot;id&quot;:&quot;2de9636f-b57f-3def-9eed-de7ca9ce2a04&quot;,&quot;title&quot;:&quot;and the acute phase response&quot;,&quot;author&quot;:[{&quot;family&quot;:&quot;Heinrich&quot;,&quot;given&quot;:&quot;Peter C&quot;,&quot;parse-names&quot;:false,&quot;dropping-particle&quot;:&quot;&quot;,&quot;non-dropping-particle&quot;:&quot;&quot;},{&quot;family&quot;:&quot;Castellt&quot;,&quot;given&quot;:&quot;Jose&quot;,&quot;parse-names&quot;:false,&quot;dropping-particle&quot;:&quot;v&quot;,&quot;non-dropping-particle&quot;:&quot;&quot;},{&quot;family&quot;:&quot;Andust&quot;,&quot;given&quot;:&quot;Tilo&quot;,&quot;parse-names&quot;:false,&quot;dropping-particle&quot;:&quot;&quot;,&quot;non-dropping-particle&quot;:&quot;&quot;}],&quot;container-title&quot;:&quot;Printed in Great Britain) REVIEW ARTICLE Interleukin&quot;,&quot;accessed&quot;:{&quot;date-parts&quot;:[[2021,1,31]]},&quot;URL&quot;:&quot;http://portlandpress.com/biochemj/article-pdf/265/3/621/627756/bj2650621.pdf&quot;,&quot;issued&quot;:{&quot;date-parts&quot;:[[1990]]},&quot;number-of-pages&quot;:&quot;621-636&quot;,&quot;issue&quot;:&quot;6&quot;,&quot;volume&quot;:&quot;265&quot;},&quot;isTemporary&quot;:false}],&quot;properties&quot;:{&quot;noteIndex&quot;:0},&quot;isEdited&quot;:false,&quot;manualOverride&quot;:{&quot;isManuallyOverriden&quot;:false,&quot;citeprocText&quot;:&quot;(Heinrich, Castellt and Andust, 1990; Gillmore &lt;i&gt;et al.&lt;/i&gt;, 2001)&quot;,&quot;manualOverrideText&quot;:&quot;&quot;},&quot;citationTag&quot;:&quot;MENDELEY_CITATION_v3_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&quot;},{&quot;citationID&quot;:&quot;MENDELEY_CITATION_b31d2b06-5feb-4d8b-b064-6939c4ff5ca7&quot;,&quot;citationItems&quot;:[{&quot;id&quot;:&quot;0dfed718-a6b1-31f6-8e3e-bc6b5f684b48&quot;,&quot;itemData&quot;:{&quot;type&quot;:&quot;article-journal&quot;,&quot;id&quot;:&quot;0dfed718-a6b1-31f6-8e3e-bc6b5f684b48&quot;,&quot;title&quot;:&quot;Reciprocal developmental pathways for the generation of pathogenic effector TH17 and regulatory T cells&quot;,&quot;author&quot;:[{&quot;family&quot;:&quot;Bettelli&quot;,&quot;given&quot;:&quot;Estelle&quot;,&quot;parse-names&quot;:false,&quot;dropping-particle&quot;:&quot;&quot;,&quot;non-dropping-particle&quot;:&quot;&quot;},{&quot;family&quot;:&quot;Carrier&quot;,&quot;given&quot;:&quot;Yijun&quot;,&quot;parse-names&quot;:false,&quot;dropping-particle&quot;:&quot;&quot;,&quot;non-dropping-particle&quot;:&quot;&quot;},{&quot;family&quot;:&quot;Gao&quot;,&quot;given&quot;:&quot;Wenda&quot;,&quot;parse-names&quot;:false,&quot;dropping-particle&quot;:&quot;&quot;,&quot;non-dropping-particle&quot;:&quot;&quot;},{&quot;family&quot;:&quot;Korn&quot;,&quot;given&quot;:&quot;Thomas&quot;,&quot;parse-names&quot;:false,&quot;dropping-particle&quot;:&quot;&quot;,&quot;non-dropping-particle&quot;:&quot;&quot;},{&quot;family&quot;:&quot;Strom&quot;,&quot;given&quot;:&quot;Terry B.&quot;,&quot;parse-names&quot;:false,&quot;dropping-particle&quot;:&quot;&quot;,&quot;non-dropping-particle&quot;:&quot;&quot;},{&quot;family&quot;:&quot;Oukka&quot;,&quot;given&quot;:&quot;Mohamed&quot;,&quot;parse-names&quot;:false,&quot;dropping-particle&quot;:&quot;&quot;,&quot;non-dropping-particle&quot;:&quot;&quot;},{&quot;family&quot;:&quot;Weiner&quot;,&quot;given&quot;:&quot;Howard L.&quot;,&quot;parse-names&quot;:false,&quot;dropping-particle&quot;:&quot;&quot;,&quot;non-dropping-particle&quot;:&quot;&quot;},{&quot;family&quot;:&quot;Kuchroo&quot;,&quot;given&quot;:&quot;Vijay K.&quot;,&quot;parse-names&quot;:false,&quot;dropping-particle&quot;:&quot;&quot;,&quot;non-dropping-particle&quot;:&quot;&quot;}],&quot;container-title&quot;:&quot;Nature&quot;,&quot;accessed&quot;:{&quot;date-parts&quot;:[[2021,1,31]]},&quot;DOI&quot;:&quot;10.1038/nature04753&quot;,&quot;ISSN&quot;:&quot;00280836&quot;,&quot;PMID&quot;:&quot;16648838&quot;,&quot;URL&quot;:&quot;https://www.nature.com/articles/nature04753&quot;,&quot;issued&quot;:{&quot;date-parts&quot;:[[2006,5,11]]},&quot;page&quot;:&quot;235-238&quot;,&quot;abstract&quot;:&quot;On activation, T cells undergo distinct developmental pathways, attaining specialized properties and effector functions. T-helper (TH) cells are traditionally thought to differentiate into TH1 and T H2 cell subsets. TH1 cells are necessary to clear intracellular pathogens and TH2 cells are important for clearing extracellular organisms1,2. Recently, a subset of interleukin (IL)-17-producing T (TH17) cells distinct from TH1 or TH2 cells has been described and shown to have a crucial role in the induction of autoimmune tissue injury3,5. In contrast, CD4 +CD25+Foxp3+ regulatory T (Treg) cells inhibit autoimmunity and protect against tissue injury6. Transforming growth factor-β (TGF-β) is a critical differentiation factor for the generation of Treg cells7. Here we show, using mice with a reporter introduced into the endogenous Foxp3 locus, that IL-6, an acute phase protein induced during inflammation8,9, completely inhibits the generation of Foxp3+ Treg cells induced by TGF-β. We also demonstrate that IL-23 is not the differentiation factor for the generation of TH17 cells. Instead, IL-6 and TGF-β together induce the differentiation of pathogenic TH17 cells from naive T cells. Our data demonstrate a dichotomy in the generation of pathogenic (TH17) T cells that induce autoimmunity and regulatory (Foxp3+) T cells that inhibit autoimmune tissue injury. © 2006 Nature Publishing Group.&quot;,&quot;publisher&quot;:&quot;Nature Publishing Group&quot;,&quot;issue&quot;:&quot;7090&quot;,&quot;volume&quot;:&quot;441&quot;},&quot;isTemporary&quot;:false},{&quot;id&quot;:&quot;faa023aa-75af-3883-a280-f3f20937c0ac&quot;,&quot;itemData&quot;:{&quot;type&quot;:&quot;article-journal&quot;,&quot;id&quot;:&quot;faa023aa-75af-3883-a280-f3f20937c0ac&quot;,&quot;title&quot;:&quot;Basophil-derived IL-6 regulates TH17 cell differentiation and CD4 T cell immunity&quot;,&quot;author&quot;:[{&quot;family&quot;:&quot;Yuk&quot;,&quot;given&quot;:&quot;Chae Min&quot;,&quot;parse-names&quot;:false,&quot;dropping-particle&quot;:&quot;&quot;,&quot;non-dropping-particle&quot;:&quot;&quot;},{&quot;family&quot;:&quot;Park&quot;,&quot;given&quot;:&quot;Hyeung Ju&quot;,&quot;parse-names&quot;:false,&quot;dropping-particle&quot;:&quot;&quot;,&quot;non-dropping-particle&quot;:&quot;&quot;},{&quot;family&quot;:&quot;Kwon&quot;,&quot;given&quot;:&quot;Bo In&quot;,&quot;parse-names&quot;:false,&quot;dropping-particle&quot;:&quot;&quot;,&quot;non-dropping-particle&quot;:&quot;&quot;},{&quot;family&quot;:&quot;Lah&quot;,&quot;given&quot;:&quot;Sang Joon&quot;,&quot;parse-names&quot;:false,&quot;dropping-particle&quot;:&quot;&quot;,&quot;non-dropping-particle&quot;:&quot;&quot;},{&quot;family&quot;:&quot;Chang&quot;,&quot;given&quot;:&quot;Jun&quot;,&quot;parse-names&quot;:false,&quot;dropping-particle&quot;:&quot;&quot;,&quot;non-dropping-particle&quot;:&quot;&quot;},{&quot;family&quot;:&quot;Kim&quot;,&quot;given&quot;:&quot;Ji Young&quot;,&quot;parse-names&quot;:false,&quot;dropping-particle&quot;:&quot;&quot;,&quot;non-dropping-particle&quot;:&quot;&quot;},{&quot;family&quot;:&quot;Lee&quot;,&quot;given&quot;:&quot;Kyung Mi&quot;,&quot;parse-names&quot;:false,&quot;dropping-particle&quot;:&quot;&quot;,&quot;non-dropping-particle&quot;:&quot;&quot;},{&quot;family&quot;:&quot;Park&quot;,&quot;given&quot;:&quot;Su Hyung&quot;,&quot;parse-names&quot;:false,&quot;dropping-particle&quot;:&quot;&quot;,&quot;non-dropping-particle&quot;:&quot;&quot;},{&quot;family&quot;:&quot;Hong&quot;,&quot;given&quot;:&quot;Seokchan&quot;,&quot;parse-names&quot;:false,&quot;dropping-particle&quot;:&quot;&quot;,&quot;non-dropping-particle&quot;:&quot;&quot;},{&quot;family&quot;:&quot;Lee&quot;,&quot;given&quot;:&quot;Seung Hyo&quot;,&quot;parse-names&quot;:false,&quot;dropping-particle&quot;:&quot;&quot;,&quot;non-dropping-particle&quot;:&quot;&quot;}],&quot;container-title&quot;:&quot;Scientific Reports&quot;,&quot;accessed&quot;:{&quot;date-parts&quot;:[[2021,1,31]]},&quot;DOI&quot;:&quot;10.1038/srep41744&quot;,&quot;ISSN&quot;:&quot;20452322&quot;,&quot;PMID&quot;:&quot;28134325&quot;,&quot;URL&quot;:&quot;www.nature.com/scientificreports/&quot;,&quot;issued&quot;:{&quot;date-parts&quot;:[[2017,1,30]]},&quot;page&quot;:&quot;1-14&quot;,&quot;abstract&quot;:&quot;Basophils are rare, circulating granulocytes proposed to be involved in T helper (TH) type 2 immunity, mainly through secretion of interleukin (IL)-4. In addition to IL-4, basophils produce IL-6 and tumor necrosis factor (TNF)-a in response to immunoglobulin E (IgE) crosslinking. Differentiation of TH17 cells requires IL-6 and transforming growth factor (TGF)-β, but whether basophils play a significant role in TH17 induction is unknown. Here we show a role for basophils in TH17 cell development by using in vitro T cell differentiation and in vivo TH17-mediated inflammation models. Bone marrow derived-basophils (BMBs) and splenic basophils produce significant amounts of IL-6 as well as IL-4 following stimulation with IgE crosslink or cholera toxin (CT). In addition, through IL-6 secretion, BMBs cooperate with dendritic cells to promote TH17 cell differentiation. In the TH17 lung inflammation model, basophils are recruited to the inflamed lungs following CT challenge, and TH17 responses are significantly reduced in the absence of basophils or IL-6. Furthermore, reconstitution with wild-type, but not IL-6-deficient, basophils restored CT-mediated lung inflammation. Lastly, basophil-deficient mice showed reduced phenotypes of TH17-dependent experimental autoimmune encephalomyelitis. Therefore, our results indicate that basophils are an important inducer of TH17 cell differentiation, which is dependent on IL-6 secretion.&quot;,&quot;publisher&quot;:&quot;Nature Publishing Group&quot;,&quot;issue&quot;:&quot;1&quot;,&quot;volume&quot;:&quot;7&quot;},&quot;isTemporary&quot;:false}],&quot;properties&quot;:{&quot;noteIndex&quot;:0},&quot;isEdited&quot;:false,&quot;manualOverride&quot;:{&quot;isManuallyOverriden&quot;:false,&quot;citeprocText&quot;:&quot;(Bettelli &lt;i&gt;et al.&lt;/i&gt;, 2006; Yuk &lt;i&gt;et al.&lt;/i&gt;, 2017)&quot;,&quot;manualOverrideText&quot;:&quot;&quot;},&quot;citationTag&quot;:&quot;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&quot;},{&quot;citationID&quot;:&quot;MENDELEY_CITATION_19da9878-e1f2-43a4-b7a1-9d196386bfc1&quot;,&quot;citationItems&quot;:[{&quot;id&quot;:&quot;75037877-c96d-39c5-b2ef-73719d33c328&quot;,&quot;itemData&quot;:{&quot;type&quot;:&quot;article-journal&quot;,&quot;id&quot;:&quot;75037877-c96d-39c5-b2ef-73719d33c328&quot;,&quot;title&quot;:&quot;Interleukin (IL)-6 gene expression in the central nervous system is necessary for fever response to lipopolysaccharide or IL-1β: A study on IL-6-deficient mice&quot;,&quot;author&quot;:[{&quot;family&quot;:&quot;Chai&quot;,&quot;given&quot;:&quot;Z.&quot;,&quot;parse-names&quot;:false,&quot;dropping-particle&quot;:&quot;&quot;,&quot;non-dropping-particle&quot;:&quot;&quot;},{&quot;family&quot;:&quot;Gatti&quot;,&quot;given&quot;:&quot;S.&quot;,&quot;parse-names&quot;:false,&quot;dropping-particle&quot;:&quot;&quot;,&quot;non-dropping-particle&quot;:&quot;&quot;},{&quot;family&quot;:&quot;Toniatti&quot;,&quot;given&quot;:&quot;C.&quot;,&quot;parse-names&quot;:false,&quot;dropping-particle&quot;:&quot;&quot;,&quot;non-dropping-particle&quot;:&quot;&quot;},{&quot;family&quot;:&quot;Poli&quot;,&quot;given&quot;:&quot;V.&quot;,&quot;parse-names&quot;:false,&quot;dropping-particle&quot;:&quot;&quot;,&quot;non-dropping-particle&quot;:&quot;&quot;},{&quot;family&quot;:&quot;Bartfai&quot;,&quot;given&quot;:&quot;T.&quot;,&quot;parse-names&quot;:false,&quot;dropping-particle&quot;:&quot;&quot;,&quot;non-dropping-particle&quot;:&quot;&quot;}],&quot;container-title&quot;:&quot;Journal of Experimental Medicine&quot;,&quot;accessed&quot;:{&quot;date-parts&quot;:[[2021,1,31]]},&quot;DOI&quot;:&quot;10.1084/jem.183.1.311&quot;,&quot;ISSN&quot;:&quot;00221007&quot;,&quot;PMID&quot;:&quot;8551238&quot;,&quot;URL&quot;:&quot;http://rupress.org/jem/article-pdf/183/1/311/1107723/311.pdf&quot;,&quot;issued&quot;:{&quot;date-parts&quot;:[[1996,1,1]]},&quot;page&quot;:&quot;311-316&quot;,&quot;abstract&quot;:&quot;Interleukin (IL)-6, IL-1β, and tumor necrosis factor α (TNF-α) are considered to act as endogenous pyrogens. Because of the complex pattern of cross-inductions between these cytokines, the relative role of the central and peripheral production of these cytokines in eliciting the fever response has not yet been clarified. The purpose of this study was to determine the role of IL-6 in the fever response by making use of mice carrying a null mutation in the IL-6 gene. The intraperitoneal injections of lipopolysaccharide (LPS) (50 μg/kg) and recombinant murine (rm) IL-1β (10 μg/kg), respectively, failed to evoke fever response in IL-6-deficient mice, whereas the same doses of LPS and rmIL-1β caused fever response in wild-type mice. The fever response could be induced in the IL-6-deficient mice by intracerebroventricular injection of recombinant human (rh) IL-6 (500 ng/mouse), whereas intracerebroventricular injection of rmIL-1β (100 ng/mouse) failed to produce fever response in the IL-6-deficient mice. These results suggest that central IL-6 is a necessary component of the fever response to both endogenous (IL-1β) and exogenous (LPS) pyrogens in mice and that IL-6 acts downstream from both peripheral and central IL-1β.&quot;,&quot;publisher&quot;:&quot;Rockefeller University Press&quot;,&quot;issue&quot;:&quot;1&quot;,&quot;volume&quot;:&quot;183&quot;},&quot;isTemporary&quot;:false}],&quot;properties&quot;:{&quot;noteIndex&quot;:0},&quot;isEdited&quot;:false,&quot;manualOverride&quot;:{&quot;isManuallyOverriden&quot;:false,&quot;citeprocText&quot;:&quot;(Chai &lt;i&gt;et al.&lt;/i&gt;, 1996)&quot;,&quot;manualOverrideText&quot;:&quot;&quot;},&quot;citationTag&quot;:&quot;MENDELEY_CITATION_v3_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&quot;},{&quot;citationID&quot;:&quot;MENDELEY_CITATION_c77bfdae-7f8d-4c80-8d54-c9660962546b&quot;,&quot;citationItems&quot;:[{&quot;id&quot;:&quot;53ef4daa-87a4-3862-88dc-0d96c8529afb&quot;,&quot;itemData&quot;:{&quot;type&quot;:&quot;article-journal&quot;,&quot;id&quot;:&quot;53ef4daa-87a4-3862-88dc-0d96c8529afb&quot;,&quot;title&quot;:&quot;Interleukin 6 production during cardiac surgery correlates with increasing age&quot;,&quot;author&quot;:[{&quot;family&quot;:&quot;Howell&quot;,&quot;given&quot;:&quot;Kenneth W.&quot;,&quot;parse-names&quot;:false,&quot;dropping-particle&quot;:&quot;&quot;,&quot;non-dropping-particle&quot;:&quot;&quot;},{&quot;family&quot;:&quot;Cleveland&quot;,&quot;given&quot;:&quot;Joseph C.&quot;,&quot;parse-names&quot;:false,&quot;dropping-particle&quot;:&quot;&quot;,&quot;non-dropping-particle&quot;:&quot;&quot;},{&quot;family&quot;:&quot;Meng&quot;,&quot;given&quot;:&quot;Xianzhong&quot;,&quot;parse-names&quot;:false,&quot;dropping-particle&quot;:&quot;&quot;,&quot;non-dropping-particle&quot;:&quot;&quot;},{&quot;family&quot;:&quot;Ao&quot;,&quot;given&quot;:&quot;Lihua&quot;,&quot;parse-names&quot;:false,&quot;dropping-particle&quot;:&quot;&quot;,&quot;non-dropping-particle&quot;:&quot;&quot;},{&quot;family&quot;:&quot;Su&quot;,&quot;given&quot;:&quot;Xin&quot;,&quot;parse-names&quot;:false,&quot;dropping-particle&quot;:&quot;&quot;,&quot;non-dropping-particle&quot;:&quot;&quot;},{&quot;family&quot;:&quot;Schwartz&quot;,&quot;given&quot;:&quot;Robert S.&quot;,&quot;parse-names&quot;:false,&quot;dropping-particle&quot;:&quot;&quot;,&quot;non-dropping-particle&quot;:&quot;&quot;},{&quot;family&quot;:&quot;Fullerton&quot;,&quot;given&quot;:&quot;David A.&quot;,&quot;parse-names&quot;:false,&quot;dropping-particle&quot;:&quot;&quot;,&quot;non-dropping-particle&quot;:&quot;&quot;}],&quot;container-title&quot;:&quot;Journal of Surgical Research&quot;,&quot;accessed&quot;:{&quot;date-parts&quot;:[[2021,1,31]]},&quot;DOI&quot;:&quot;10.1016/j.jss.2015.10.016&quot;,&quot;ISSN&quot;:&quot;10958673&quot;,&quot;PMID&quot;:&quot;26850187&quot;,&quot;issued&quot;:{&quot;date-parts&quot;:[[2016,3,1]]},&quot;page&quot;:&quot;76-81&quot;,&quot;abstract&quot;:&quot;Background Cardiac surgery produces a proinflammatory response characterized by cytokine production. Proinflammatory cytokines such as interleukin 6 (IL-6) may contribute to morbidity and mortality after cardiopulmonary bypass (CPB). Elderly patients undergoing CPB are at increased risk of morbidity and mortality. We hypothesized that patients aged &gt;70 y produce more IL-6 during CPB. Methods Twenty-three patients (ages 23-80) undergoing cardiac surgery had blood sampled from the ascending aorta and coronary sinus on initial cannulation for bypass, at 30 min of aortic cross-clamp time, on release of the aortic cross-clamp, and at 20 min after reperfusion. Group 1 patients (n = 8) were aged &lt;60 y, group 2 patients (n = 7) were aged between 60 and 70 y, and group 3 patients (n = 8) were aged &gt;70 y. Plasma levels of tumor necrosis factor-alpha, IL-1, and IL-6 were analyzed. Results The three groups did not differ with respect to preoperative ejection fraction, New York Heart Association classification, mean aortic cross-clamp time, or mean CPB time. IL-6 levels rose throughout myocardial ischemia and reperfusion in all three age groups. The increase in IL-6 during ischemia and reperfusion in the age group &gt;70 was greater than the increase in younger patients. IL-6 was similar in the coronary sinus and the ascending aorta. Conclusions These data suggest that patients aged &gt;70 y undergoing cardiac operations generate more IL-6 during CPB. The increased circulating IL-6 in elderly patients may incite a proinflammatory state that could subsequently underlie the associated higher mortality and morbidity of these procedures in elderly patients.&quot;,&quot;publisher&quot;:&quot;Academic Press Inc.&quot;,&quot;issue&quot;:&quot;1&quot;,&quot;volume&quot;:&quot;201&quot;},&quot;isTemporary&quot;:false},{&quot;id&quot;:&quot;255260d5-ed76-377b-9a95-d47666b124f2&quot;,&quot;itemData&quot;:{&quot;type&quot;:&quot;article-journal&quot;,&quot;id&quot;:&quot;255260d5-ed76-377b-9a95-d47666b124f2&quot;,&quot;title&quot;:&quot;Pattern of release and relationship between HMGB-1 and IL-6 following blunt trauma&quot;,&quot;author&quot;:[{&quot;family&quot;:&quot;Giannoudis&quot;,&quot;given&quot;:&quot;Peter&quot;,&quot;parse-names&quot;:false,&quot;dropping-particle&quot;:&quot;v.&quot;,&quot;non-dropping-particle&quot;:&quot;&quot;},{&quot;family&quot;:&quot;Mallina&quot;,&quot;given&quot;:&quot;Ravi&quot;,&quot;parse-names&quot;:false,&quot;dropping-particle&quot;:&quot;&quot;,&quot;non-dropping-particle&quot;:&quot;&quot;},{&quot;family&quot;:&quot;Harwood&quot;,&quot;given&quot;:&quot;Paul&quot;,&quot;parse-names&quot;:false,&quot;dropping-particle&quot;:&quot;&quot;,&quot;non-dropping-particle&quot;:&quot;&quot;},{&quot;family&quot;:&quot;Perry&quot;,&quot;given&quot;:&quot;Sarah&quot;,&quot;parse-names&quot;:false,&quot;dropping-particle&quot;:&quot;&quot;,&quot;non-dropping-particle&quot;:&quot;&quot;},{&quot;family&quot;:&quot;Sante&quot;,&quot;given&quot;:&quot;Emilio Delli&quot;,&quot;parse-names&quot;:false,&quot;dropping-particle&quot;:&quot;&quot;,&quot;non-dropping-particle&quot;:&quot;&quot;},{&quot;family&quot;:&quot;Pape&quot;,&quot;given&quot;:&quot;Hans Christoph&quot;,&quot;parse-names&quot;:false,&quot;dropping-particle&quot;:&quot;&quot;,&quot;non-dropping-particle&quot;:&quot;&quot;}],&quot;container-title&quot;:&quot;Injury&quot;,&quot;accessed&quot;:{&quot;date-parts&quot;:[[2021,1,31]]},&quot;DOI&quot;:&quot;10.1016/j.injury.2010.09.012&quot;,&quot;ISSN&quot;:&quot;00201383&quot;,&quot;PMID&quot;:&quot;20887988&quot;,&quot;issued&quot;:{&quot;date-parts&quot;:[[2010,12,1]]},&quot;page&quot;:&quot;1323-1327&quot;,&quot;abstract&quot;:&quot;Background: High mobility group box-1 (HMGB-1), a recently identified inflammatory cytokine, is implicated in the pathogenesis of several inflammatory, infective and neoplastic processes. Patterns of expression following blunt trauma have not been adequately reported in the literature. This study aimed to quantify the serum concentrations of HMGB-1 following blunt trauma, and assess its relationship with the more established interleukin 6 (IL-6). Patients and methods: 20 patients with median injury severity score 17 (range 9-36) sustaining closed diaphyseal fractures of the femur treated by intramedullary nailing were included in the study. Serum concentrations of HMGB-1 and IL-6 were measured at several time points during their treatment. Results: A strong correlation was observed between admission and day 1 post-op concentrations of IL-6 and both the injury severity score (ISS) and the requirement for intensive care unit treatment. Serum concentrations of HMGB-1 did not demonstrate such a correlation. Around day 3 when IL-6 concentrations begin to fall, serum HMGB-1 concentrations were observed to increase. Conclusions: IL-6 concentration measured early after admission is again shown to be strongly associated with overall injury severity and requirement for intensive care unit treatment. In contrast, HMGB-1 appears to be a late inflammatory mediator with levels becoming elevated once serum concentrations of IL-6 begin to fall. However, we were unable to demonstrate any relationship with injury severity or requirement for ICU care at any stage. These preliminary findings may form the basis for future research in this area. © 2010 Elsevier Ltd. All rights reserved.&quot;,&quot;publisher&quot;:&quot;Elsevier&quot;,&quot;issue&quot;:&quot;12&quot;,&quot;volume&quot;:&quot;41&quot;},&quot;isTemporary&quot;:false}],&quot;properties&quot;:{&quot;noteIndex&quot;:0},&quot;isEdited&quot;:false,&quot;manualOverride&quot;:{&quot;isManuallyOverriden&quot;:false,&quot;citeprocText&quot;:&quot;(Giannoudis &lt;i&gt;et al.&lt;/i&gt;, 2010; Howell &lt;i&gt;et al.&lt;/i&gt;, 2016)&quot;,&quot;manualOverrideText&quot;:&quot;Giannoudis et al., 2010; Howell et al., 2016&quot;,&quot;isManuallyOverridden&quot;:true},&quot;citationTag&quot;:&quot;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&quot;},{&quot;citationID&quot;:&quot;MENDELEY_CITATION_8b8568d7-f9ba-48c5-89aa-611a78ee1681&quot;,&quot;citationItems&quot;:[{&quot;id&quot;:&quot;a6a6c605-4df5-3a26-92f1-d835bebc6a3d&quot;,&quot;itemData&quot;:{&quot;type&quot;:&quot;article-journal&quot;,&quot;id&quot;:&quot;a6a6c605-4df5-3a26-92f1-d835bebc6a3d&quot;,&quot;title&quot;:&quot;Anti-interleukin-6 receptor antibody therapy reduces vascular endothelial growth factor production in rheumatoid arthritis&quot;,&quot;author&quot;:[{&quot;family&quot;:&quot;Nakahara&quot;,&quot;given&quot;:&quot;Hideko&quot;,&quot;parse-names&quot;:false,&quot;dropping-particle&quot;:&quot;&quot;,&quot;non-dropping-particle&quot;:&quot;&quot;},{&quot;family&quot;:&quot;Song&quot;,&quot;given&quot;:&quot;Jian&quot;,&quot;parse-names&quot;:false,&quot;dropping-particle&quot;:&quot;&quot;,&quot;non-dropping-particle&quot;:&quot;&quot;},{&quot;family&quot;:&quot;Sugimoto&quot;,&quot;given&quot;:&quot;Masamichi&quot;,&quot;parse-names&quot;:false,&quot;dropping-particle&quot;:&quot;&quot;,&quot;non-dropping-particle&quot;:&quot;&quot;},{&quot;family&quot;:&quot;Hagihara&quot;,&quot;given&quot;:&quot;Keisuke&quot;,&quot;parse-names&quot;:false,&quot;dropping-particle&quot;:&quot;&quot;,&quot;non-dropping-particle&quot;:&quot;&quot;},{&quot;family&quot;:&quot;Kishimoto&quot;,&quot;given&quot;:&quot;Tadamitsu&quot;,&quot;parse-names&quot;:false,&quot;dropping-particle&quot;:&quot;&quot;,&quot;non-dropping-particle&quot;:&quot;&quot;},{&quot;family&quot;:&quot;Yoshizaki&quot;,&quot;given&quot;:&quot;Kazuyuki&quot;,&quot;parse-names&quot;:false,&quot;dropping-particle&quot;:&quot;&quot;,&quot;non-dropping-particle&quot;:&quot;&quot;},{&quot;family&quot;:&quot;Nishimoto&quot;,&quot;given&quot;:&quot;Norihiro&quot;,&quot;parse-names&quot;:false,&quot;dropping-particle&quot;:&quot;&quot;,&quot;non-dropping-particle&quot;:&quot;&quot;}],&quot;container-title&quot;:&quot;Arthritis &amp; Rheumatism&quot;,&quot;accessed&quot;:{&quot;date-parts&quot;:[[2021,1,31]]},&quot;DOI&quot;:&quot;10.1002/art.11143&quot;,&quot;ISSN&quot;:&quot;0004-3591&quot;,&quot;URL&quot;:&quot;http://doi.wiley.com/10.1002/art.11143&quot;,&quot;issued&quot;:{&quot;date-parts&quot;:[[2003,6,1]]},&quot;page&quot;:&quot;1521-1529&quot;,&quot;abstract&quot;:&quot;Objective. To investigate whether interleukin-6 (IL-6) is a regulator of vascular endothelial growth factor (VEGF) in rheumatoid arthritis (RA). Methods. Serum VEGF levels in RA patients were assayed before and after 8 weeks or 24 weeks of maintenance therapy with humanized anti-IL-6 receptor monoclonal antibody (anti-IL-6R mAb). VEGF secreted by RA synovial fibroblasts cultured in the presence of IL-6, IL-1β, and/or tumor necrosis factor α (TNFα) was measured. The inhibitory effect of anti-IL-6R mAb, recombinant IL-1 receptor antagonist (IL-1Ra), and anti-TNFα mAb on VEGF production was also examined. Results. Serum VEGF levels in RA patients before anti-IL-6R mAb therapy were significantly higher than those in healthy controls (P &lt; 0.0005). Treatment of RA patients with anti-IL-6R mAb normalized serum VEGF levels. In the in vitro study, IL-6 and IL-1β each induced a slight amount of VEGF production in synovial cells, but TNFα did not. Although VEGF-inducing activity of these cytokines was not remarkable when they were added alone, IL-6 acted synergistically with IL-1β or TNFα to induce VEGF production. There was no synergistic effect between IL-1β and TNFα. In the presence of all of these cytokines, anti-IL-6R mAb eliminated the synergistic effect of IL-6, IL-1β, and TNFα, while IL-1Ra or anti-TNFα mAb did not. Conclusion. Anti-IL-6R mAb therapy reduced VEGF production in RA. IL-6 is the pivotal cytokine that induces VEGF production in synergy with IL-1β or TNFα, and this may be the mechanism by which IL-6 blockade effectively suppresses VEGF production in synovial fibroblasts.&quot;,&quot;publisher&quot;:&quot;John Wiley &amp; Sons, Ltd&quot;,&quot;issue&quot;:&quot;6&quot;,&quot;volume&quot;:&quot;48&quot;},&quot;isTemporary&quot;:false}],&quot;properties&quot;:{&quot;noteIndex&quot;:0},&quot;isEdited&quot;:false,&quot;manualOverride&quot;:{&quot;isManuallyOverriden&quot;:false,&quot;citeprocText&quot;:&quot;(Nakahara &lt;i&gt;et al.&lt;/i&gt;, 2003)&quot;,&quot;manualOverrideText&quot;:&quot;&quot;},&quot;citationTag&quot;:&quot;MENDELEY_CITATION_v3_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&quot;},{&quot;citationID&quot;:&quot;MENDELEY_CITATION_648db087-59d9-4bda-b969-259c95a0f933&quot;,&quot;citationItems&quot;:[{&quot;id&quot;:&quot;a6a6c605-4df5-3a26-92f1-d835bebc6a3d&quot;,&quot;itemData&quot;:{&quot;type&quot;:&quot;article-journal&quot;,&quot;id&quot;:&quot;a6a6c605-4df5-3a26-92f1-d835bebc6a3d&quot;,&quot;title&quot;:&quot;Anti-interleukin-6 receptor antibody therapy reduces vascular endothelial growth factor production in rheumatoid arthritis&quot;,&quot;author&quot;:[{&quot;family&quot;:&quot;Nakahara&quot;,&quot;given&quot;:&quot;Hideko&quot;,&quot;parse-names&quot;:false,&quot;dropping-particle&quot;:&quot;&quot;,&quot;non-dropping-particle&quot;:&quot;&quot;},{&quot;family&quot;:&quot;Song&quot;,&quot;given&quot;:&quot;Jian&quot;,&quot;parse-names&quot;:false,&quot;dropping-particle&quot;:&quot;&quot;,&quot;non-dropping-particle&quot;:&quot;&quot;},{&quot;family&quot;:&quot;Sugimoto&quot;,&quot;given&quot;:&quot;Masamichi&quot;,&quot;parse-names&quot;:false,&quot;dropping-particle&quot;:&quot;&quot;,&quot;non-dropping-particle&quot;:&quot;&quot;},{&quot;family&quot;:&quot;Hagihara&quot;,&quot;given&quot;:&quot;Keisuke&quot;,&quot;parse-names&quot;:false,&quot;dropping-particle&quot;:&quot;&quot;,&quot;non-dropping-particle&quot;:&quot;&quot;},{&quot;family&quot;:&quot;Kishimoto&quot;,&quot;given&quot;:&quot;Tadamitsu&quot;,&quot;parse-names&quot;:false,&quot;dropping-particle&quot;:&quot;&quot;,&quot;non-dropping-particle&quot;:&quot;&quot;},{&quot;family&quot;:&quot;Yoshizaki&quot;,&quot;given&quot;:&quot;Kazuyuki&quot;,&quot;parse-names&quot;:false,&quot;dropping-particle&quot;:&quot;&quot;,&quot;non-dropping-particle&quot;:&quot;&quot;},{&quot;family&quot;:&quot;Nishimoto&quot;,&quot;given&quot;:&quot;Norihiro&quot;,&quot;parse-names&quot;:false,&quot;dropping-particle&quot;:&quot;&quot;,&quot;non-dropping-particle&quot;:&quot;&quot;}],&quot;container-title&quot;:&quot;Arthritis &amp; Rheumatism&quot;,&quot;accessed&quot;:{&quot;date-parts&quot;:[[2021,1,31]]},&quot;DOI&quot;:&quot;10.1002/art.11143&quot;,&quot;ISSN&quot;:&quot;0004-3591&quot;,&quot;URL&quot;:&quot;http://doi.wiley.com/10.1002/art.11143&quot;,&quot;issued&quot;:{&quot;date-parts&quot;:[[2003,6,1]]},&quot;page&quot;:&quot;1521-1529&quot;,&quot;abstract&quot;:&quot;Objective. To investigate whether interleukin-6 (IL-6) is a regulator of vascular endothelial growth factor (VEGF) in rheumatoid arthritis (RA). Methods. Serum VEGF levels in RA patients were assayed before and after 8 weeks or 24 weeks of maintenance therapy with humanized anti-IL-6 receptor monoclonal antibody (anti-IL-6R mAb). VEGF secreted by RA synovial fibroblasts cultured in the presence of IL-6, IL-1β, and/or tumor necrosis factor α (TNFα) was measured. The inhibitory effect of anti-IL-6R mAb, recombinant IL-1 receptor antagonist (IL-1Ra), and anti-TNFα mAb on VEGF production was also examined. Results. Serum VEGF levels in RA patients before anti-IL-6R mAb therapy were significantly higher than those in healthy controls (P &lt; 0.0005). Treatment of RA patients with anti-IL-6R mAb normalized serum VEGF levels. In the in vitro study, IL-6 and IL-1β each induced a slight amount of VEGF production in synovial cells, but TNFα did not. Although VEGF-inducing activity of these cytokines was not remarkable when they were added alone, IL-6 acted synergistically with IL-1β or TNFα to induce VEGF production. There was no synergistic effect between IL-1β and TNFα. In the presence of all of these cytokines, anti-IL-6R mAb eliminated the synergistic effect of IL-6, IL-1β, and TNFα, while IL-1Ra or anti-TNFα mAb did not. Conclusion. Anti-IL-6R mAb therapy reduced VEGF production in RA. IL-6 is the pivotal cytokine that induces VEGF production in synergy with IL-1β or TNFα, and this may be the mechanism by which IL-6 blockade effectively suppresses VEGF production in synovial fibroblasts.&quot;,&quot;publisher&quot;:&quot;John Wiley &amp; Sons, Ltd&quot;,&quot;issue&quot;:&quot;6&quot;,&quot;volume&quot;:&quot;48&quot;},&quot;isTemporary&quot;:false}],&quot;properties&quot;:{&quot;noteIndex&quot;:0},&quot;isEdited&quot;:false,&quot;manualOverride&quot;:{&quot;isManuallyOverriden&quot;:false,&quot;citeprocText&quot;:&quot;(Nakahara &lt;i&gt;et al.&lt;/i&gt;, 2003)&quot;,&quot;manualOverrideText&quot;:&quot;&quot;},&quot;citationTag&quot;:&quot;MENDELEY_CITATION_v3_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&quot;},{&quot;citationID&quot;:&quot;MENDELEY_CITATION_66c91769-ac59-4a59-b5fb-39b3fd8b99de&quot;,&quot;citationItems&quot;:[{&quot;id&quot;:&quot;48b7523d-274d-3737-bd03-e6f1a0beee82&quot;,&quot;itemData&quot;:{&quot;type&quot;:&quot;article-journal&quot;,&quot;id&quot;:&quot;48b7523d-274d-3737-bd03-e6f1a0beee82&quot;,&quot;title&quot;:&quot;Interleukin-6 as a Predictor of the Risk of Cardiovascular Disease: A Meta-Analysis of Prospective Epidemiological Studies&quot;,&quot;author&quot;:[{&quot;family&quot;:&quot;Zhang&quot;,&quot;given&quot;:&quot;Bo&quot;,&quot;parse-names&quot;:false,&quot;dropping-particle&quot;:&quot;&quot;,&quot;non-dropping-particle&quot;:&quot;&quot;},{&quot;family&quot;:&quot;Li&quot;,&quot;given&quot;:&quot;Xiao Ling&quot;,&quot;parse-names&quot;:false,&quot;dropping-particle&quot;:&quot;&quot;,&quot;non-dropping-particle&quot;:&quot;&quot;},{&quot;family&quot;:&quot;Zhao&quot;,&quot;given&quot;:&quot;Cun Rui&quot;,&quot;parse-names&quot;:false,&quot;dropping-particle&quot;:&quot;&quot;,&quot;non-dropping-particle&quot;:&quot;&quot;},{&quot;family&quot;:&quot;Pan&quot;,&quot;given&quot;:&quot;Chen Liang&quot;,&quot;parse-names&quot;:false,&quot;dropping-particle&quot;:&quot;&quot;,&quot;non-dropping-particle&quot;:&quot;&quot;},{&quot;family&quot;:&quot;Zhang&quot;,&quot;given&quot;:&quot;Zheng&quot;,&quot;parse-names&quot;:false,&quot;dropping-particle&quot;:&quot;&quot;,&quot;non-dropping-particle&quot;:&quot;&quot;}],&quot;container-title&quot;:&quot;Immunological Investigations&quot;,&quot;accessed&quot;:{&quot;date-parts&quot;:[[2021,1,31]]},&quot;DOI&quot;:&quot;10.1080/08820139.2018.1480034&quot;,&quot;ISSN&quot;:&quot;15324311&quot;,&quot;PMID&quot;:&quot;29873573&quot;,&quot;URL&quot;:&quot;https://www.tandfonline.com/doi/abs/10.1080/08820139.2018.1480034&quot;,&quot;issued&quot;:{&quot;date-parts&quot;:[[2018,10,3]]},&quot;page&quot;:&quot;689-699&quot;,&quot;abstract&quot;:&quot;Objective: The etiology of cardiovascular disease (CVD) is complex owing to the interactions of genetic variance with environmental factors. Inflammatory processes are now being increasingly implicated in the pathogenesis of CVD. This meta-analysis investigated the potential role of interleukin-6 (IL-6) as a risk factor for CVD development in healthy individuals. Methods: Literature search was carried out in multiple electronic databases, and study selection followed a priori eligibility criteria. Meta-analyses of standardized mean differences were carried out to determine an overall effect size of the difference in IL-6 levels between CVD cases and non-CVD matched controls. Meta-regression analyses were performed to examine the relationship between the IL-6 levels in CVD cases and several explanatory variables. Results: Seventeen studies enrolling 288738 healthy individuals with an average follow-up duration of 7.4 ± 4.1 years were found eligible. Overall, data of 5400 CVD cases and 14607 matched non-CVD controls are used in the present meta-analysis. Baseline IL-6 levels were significantly higher in CVD cases than in non-CVD controls (standardized mean difference [95% confidence interval]) of 0.14 [0.09, 0.20]/mean difference of 0.36 [0.28, 0.44] picogram per milliliter). Total cholesterol, LDL-cholesterol, and triglyceride levels were also significantly higher, and HDL-cholesterol levels were significantly lower in CVD cases in comparison with the controls. Systolic blood pressure and total cholesterol levels had a significantly positive relationship, whereas triglyceride levels had a significantly inverse relationship with the levels of IL-6. Conclusion: Higher IL-6 levels in healthy individuals are associated with CVD risk, which is co-associated with hypertension and hypercholesterolemia.&quot;,&quot;publisher&quot;:&quot;Taylor and Francis Ltd&quot;,&quot;issue&quot;:&quot;7&quot;,&quot;volume&quot;:&quot;47&quot;},&quot;isTemporary&quot;:false}],&quot;properties&quot;:{&quot;noteIndex&quot;:0},&quot;isEdited&quot;:false,&quot;manualOverride&quot;:{&quot;isManuallyOverriden&quot;:false,&quot;citeprocText&quot;:&quot;(Zhang &lt;i&gt;et al.&lt;/i&gt;, 2018)&quot;,&quot;manualOverrideText&quot;:&quot;&quot;},&quot;citationTag&quot;:&quot;MENDELEY_CITATION_v3_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&quot;},{&quot;citationID&quot;:&quot;MENDELEY_CITATION_1a4bc324-419c-4566-95f2-e73e54089632&quot;,&quot;citationItems&quot;:[{&quot;id&quot;:&quot;66efb658-616b-35a6-b5a7-2524e9fd5340&quot;,&quot;itemData&quot;:{&quot;type&quot;:&quot;article-journal&quot;,&quot;id&quot;:&quot;66efb658-616b-35a6-b5a7-2524e9fd5340&quot;,&quot;title&quot;:&quot;Interaction of IL-6 and TNF-α contributes to endothelial dysfunction in type 2 diabetic mouse hearts&quot;,&quot;author&quot;:[{&quot;family&quot;:&quot;Lee&quot;,&quot;given&quot;:&quot;Jonghae&quot;,&quot;parse-names&quot;:false,&quot;dropping-particle&quot;:&quot;&quot;,&quot;non-dropping-particle&quot;:&quot;&quot;},{&quot;family&quot;:&quot;Lee&quot;,&quot;given&quot;:&quot;Sewon&quot;,&quot;parse-names&quot;:false,&quot;dropping-particle&quot;:&quot;&quot;,&quot;non-dropping-particle&quot;:&quot;&quot;},{&quot;family&quot;:&quot;Zhang&quot;,&quot;given&quot;:&quot;Hanrui&quot;,&quot;parse-names&quot;:false,&quot;dropping-particle&quot;:&quot;&quot;,&quot;non-dropping-particle&quot;:&quot;&quot;},{&quot;family&quot;:&quot;Hill&quot;,&quot;given&quot;:&quot;Michael A.&quot;,&quot;parse-names&quot;:false,&quot;dropping-particle&quot;:&quot;&quot;,&quot;non-dropping-particle&quot;:&quot;&quot;},{&quot;family&quot;:&quot;Zhang&quot;,&quot;given&quot;:&quot;Cuihua&quot;,&quot;parse-names&quot;:false,&quot;dropping-particle&quot;:&quot;&quot;,&quot;non-dropping-particle&quot;:&quot;&quot;},{&quot;family&quot;:&quot;Park&quot;,&quot;given&quot;:&quot;Yoonjung&quot;,&quot;parse-names&quot;:false,&quot;dropping-particle&quot;:&quot;&quot;,&quot;non-dropping-particle&quot;:&quot;&quot;}],&quot;container-title&quot;:&quot;PLOS ONE&quot;,&quot;accessed&quot;:{&quot;date-parts&quot;:[[2021,1,31]]},&quot;editor&quot;:[{&quot;family&quot;:&quot;Bader&quot;,&quot;given&quot;:&quot;Michael&quot;,&quot;parse-names&quot;:false,&quot;dropping-particle&quot;:&quot;&quot;,&quot;non-dropping-particle&quot;:&quot;&quot;}],&quot;DOI&quot;:&quot;10.1371/journal.pone.0187189&quot;,&quot;ISSN&quot;:&quot;1932-6203&quot;,&quot;URL&quot;:&quot;https://dx.plos.org/10.1371/journal.pone.0187189&quot;,&quot;issued&quot;:{&quot;date-parts&quot;:[[2017,11,2]]},&quot;page&quot;:&quot;e0187189&quot;,&quot;abstract&quot;:&quot;Objectives: Inflammatory cytokines, such as tumor necrosis factor-α (TNF-α) and interleukin-6 (IL-6), are individually considered as important contributors to endothelial dysfunction in obesity and type 2 diabetes (T2D). However, their interactions in coronary arteriole endothelial dysfunction are uncertain. Therefore, this study aimed to determine the effects of TNF-α and IL-6 interactions on coronary endothelial dysfunction in experimental T2D. Methods: The studies used wild type (WT), diabetic mice (db/db), db/db null for TNF (dbTNF-/dbTNF-), and db/db mice treated with neutralizing antibody to IL-6 (anti-IL-6). Endothelium-dependent (acetylcholine [ACh], or luminal flow-induced shear stress) and endothelium-independent (sodium nitroprusside [SNP]) vasodilation of isolated and pressurized coronary arterioles were determined. Quantitative PCR, Western blot, and immunofluorescence staining were utilized for mechanistic studies. Results: Relative to WT, arteriolar dilation to both ACh and flow was attenuated in db/db mice and dbTNF-/dbTNF-. Treatment of dbTNF-/dbTNF- and db/db mice with anti-IL-6 improved arteriolar dilation compared to db/db mice. Immunofluorescence staining illustrated localization of IL-6 within the endothelial cells of coronary arterioles. In db/db mice, mRNA and protein expression of IL-6 and superoxide (O2-) production were higher, but reduced by anti-IL-6 treatment. Also, in db/db mice, mRNA and protein expression of TNF-α suppressed by the anti-IL-6 treatment and the reduced expression of mRNA and protein expression of IL-6 by the genetic deletion of TNF-α both supported a reciprocal regulation between TNF-α and IL-6. Superoxide dismutase 2 (SOD2) expression and phosphorylation of eNOS (p-eNOS/ eNOS) were lower in db/db mice coronary arterioles and were restored in db/db+Anti-IL-6 and dbTNF-/dbTNF- mice. Conclusion: The interactions between TNF-α and IL-6 exacerbate oxidative stress and reduce phosphorylation of eNOS, thereby contributing to coronary endothelial dysfunction in T2D mice.&quot;,&quot;publisher&quot;:&quot;Public Library of Science&quot;,&quot;issue&quot;:&quot;11&quot;,&quot;volume&quot;:&quot;12&quot;},&quot;isTemporary&quot;:false}],&quot;properties&quot;:{&quot;noteIndex&quot;:0},&quot;isEdited&quot;:false,&quot;manualOverride&quot;:{&quot;isManuallyOverriden&quot;:false,&quot;citeprocText&quot;:&quot;(Lee &lt;i&gt;et al.&lt;/i&gt;, 2017)&quot;,&quot;manualOverrideText&quot;:&quot;Lee et al., 2017&quot;,&quot;isManuallyOverridden&quot;:true},&quot;citationTag&quot;:&quot;MENDELEY_CITATION_v3_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&quot;},{&quot;citationID&quot;:&quot;MENDELEY_CITATION_8274c5e4-8715-4505-ba68-a5481a3a7f7b&quot;,&quot;citationItems&quot;:[{&quot;id&quot;:&quot;298654f7-0676-3f1d-b562-5fe451e3e30b&quot;,&quot;itemData&quot;:{&quot;type&quot;:&quot;article-journal&quot;,&quot;id&quot;:&quot;298654f7-0676-3f1d-b562-5fe451e3e30b&quot;,&quot;title&quot;:&quot;TNF-α mediates chemokine and cytokine expression and renal injury in cisplatin nephrotoxicity&quot;,&quot;author&quot;:[{&quot;family&quot;:&quot;Ramesh&quot;,&quot;given&quot;:&quot;Ganesan&quot;,&quot;parse-names&quot;:false,&quot;dropping-particle&quot;:&quot;&quot;,&quot;non-dropping-particle&quot;:&quot;&quot;},{&quot;family&quot;:&quot;Reeves&quot;,&quot;given&quot;:&quot;W. Brian&quot;,&quot;parse-names&quot;:false,&quot;dropping-particle&quot;:&quot;&quot;,&quot;non-dropping-particle&quot;:&quot;&quot;}],&quot;container-title&quot;:&quot;Journal of Clinical Investigation&quot;,&quot;accessed&quot;:{&quot;date-parts&quot;:[[2021,1,31]]},&quot;DOI&quot;:&quot;10.1172/jci15606&quot;,&quot;ISSN&quot;:&quot;0021-9738&quot;,&quot;PMID&quot;:&quot;12235115&quot;,&quot;issued&quot;:{&quot;date-parts&quot;:[[2002,9,15]]},&quot;page&quot;:&quot;835-842&quot;,&quot;abstract&quot;:&quot;The purpose of these studies was to examine the role of cytokines in the pathogenesis of cisplatin nephrotoxicity. Injection of mice with cisplatin (20 mg/kg) led to severe renal failure. The expression of cytokines, chemokines, and ICAM-1 in kidney was measured by ribonuclease protection assays and RT-PCR. We found significant upregulation of TNF-alpha, TGF-beta, RANTES, MIP-2, MCP-1, TCA3, IL-1beta, and ICAM-1 in kidneys from cisplatin-treated animals. In addition, serum, kidney, and urine levels of TNF-alpha measured by ELISA were increased by cisplatin. Inhibitors of TNF-alpha production (GM6001, pentoxifylline) and TNF-alpha Ab's reduced serum and kidney TNF-alpha protein levels and also blunted the cisplatin-induced increases in TNF-alpha, TGF-beta, RANTES, MIP-2, MCP-1, and IL-1beta, but not ICAM-1, mRNA. In addition, the TNF-alpha inhibitors also ameliorated cisplatin-induced renal dysfunction and reduced cisplatin-induced structural damage. Likewise, TNF-alpha-deficient mice were resistant to cisplatin nephrotoxicity. These results indicate cisplatin nephrotoxicity is characterized by activation of proinflammatory cytokines and chemokines. TNF-alpha appears to play a central role in the activation of this cytokine response and also in the pathogenesis of cisplatin renal injury.&quot;,&quot;publisher&quot;:&quot;American Society for Clinical Investigation&quot;,&quot;issue&quot;:&quot;6&quot;,&quot;volume&quot;:&quot;110&quot;},&quot;isTemporary&quot;:false},{&quot;id&quot;:&quot;4c59e18d-ef59-3e5a-8e4a-92f21e26ffb4&quot;,&quot;itemData&quot;:{&quot;type&quot;:&quot;article-journal&quot;,&quot;id&quot;:&quot;4c59e18d-ef59-3e5a-8e4a-92f21e26ffb4&quot;,&quot;title&quot;:&quot;Sudachitin Inhibits Matrix Metalloproteinase-1 and -3 Production in Tumor Necrosis Factor-α-Stimulated Human Periodontal Ligament Cells&quot;,&quot;author&quot;:[{&quot;family&quot;:&quot;Hosokawa&quot;,&quot;given&quot;:&quot;Yoshitaka&quot;,&quot;parse-names&quot;:false,&quot;dropping-particle&quot;:&quot;&quot;,&quot;non-dropping-particle&quot;:&quot;&quot;},{&quot;family&quot;:&quot;Hosokawa&quot;,&quot;given&quot;:&quot;Ikuko&quot;,&quot;parse-names&quot;:false,&quot;dropping-particle&quot;:&quot;&quot;,&quot;non-dropping-particle&quot;:&quot;&quot;},{&quot;family&quot;:&quot;Ozaki&quot;,&quot;given&quot;:&quot;Kazumi&quot;,&quot;parse-names&quot;:false,&quot;dropping-particle&quot;:&quot;&quot;,&quot;non-dropping-particle&quot;:&quot;&quot;},{&quot;family&quot;:&quot;Matsuo&quot;,&quot;given&quot;:&quot;Takashi&quot;,&quot;parse-names&quot;:false,&quot;dropping-particle&quot;:&quot;&quot;,&quot;non-dropping-particle&quot;:&quot;&quot;}],&quot;container-title&quot;:&quot;Inflammation&quot;,&quot;accessed&quot;:{&quot;date-parts&quot;:[[2021,1,31]]},&quot;DOI&quot;:&quot;10.1007/s10753-019-01007-z&quot;,&quot;ISSN&quot;:&quot;15732576&quot;,&quot;PMID&quot;:&quot;30997585&quot;,&quot;URL&quot;:&quot;https://link.springer.com/article/10.1007/s10753-019-01007-z&quot;,&quot;issued&quot;:{&quot;date-parts&quot;:[[2019,8,15]]},&quot;page&quot;:&quot;1456-1462&quot;,&quot;abstract&quot;:&quot;Sudachitin, a polymethoxylated flavonoid found in the skin of Citrus sudachi, is a biologically active substance. The aim of this study was to examine whether sudachitin could be used to inhibit the expression of matrix metalloproteinase (MMP)-1 and MMP-3, which are involved in the destruction of periodontal tissues in periodontal lesions, in tumor necrosis factor (TNF)-α-stimulated human periodontal ligament cells (HPDLC). Sudachitin suppressed TNF-α-induced MMP-1 and MMP-3 production in HPDLC. On the other hand, it enhanced tissue inhibitor of metalloproteinase (TIMP)-1 expression. The level of Akt phosphorylation in the TNF-α-stimulated HPDLC was decreased by sudachitin treatment. Moreover, an Akt inhibitor reduced MMP-1 and MMP-3 production and increased TIMP-1 production. These findings indicate that sudachitin reduces MMP-1 and MMP-3 production in TNF-α-stimulated HPDLC by inhibiting the Akt pathway.&quot;,&quot;publisher&quot;:&quot;Springer New York LLC&quot;,&quot;issue&quot;:&quot;4&quot;,&quot;volume&quot;:&quot;42&quot;},&quot;isTemporary&quot;:false}],&quot;properties&quot;:{&quot;noteIndex&quot;:0},&quot;isEdited&quot;:false,&quot;manualOverride&quot;:{&quot;isManuallyOverriden&quot;:false,&quot;citeprocText&quot;:&quot;(Ramesh and Reeves, 2002; Hosokawa &lt;i&gt;et al.&lt;/i&gt;, 2019)&quot;,&quot;manualOverrideText&quot;:&quot;&quot;},&quot;citationTag&quot;:&quot;MENDELEY_CITATION_v3_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&quot;},{&quot;citationID&quot;:&quot;MENDELEY_CITATION_dd35c39a-1d12-4fc8-9ed8-1e4d4900c7b0&quot;,&quot;citationItems&quot;:[{&quot;id&quot;:&quot;2f79a0ac-2949-3f3f-8e0b-95b07f416f0d&quot;,&quot;itemData&quot;:{&quot;type&quot;:&quot;article-journal&quot;,&quot;id&quot;:&quot;2f79a0ac-2949-3f3f-8e0b-95b07f416f0d&quot;,&quot;title&quot;:&quot;R-form LPS, the master key to the activation ofTLR4/MD-2-positive cells&quot;,&quot;author&quot;:[{&quot;family&quot;:&quot;Huber&quot;,&quot;given&quot;:&quot;Michael&quot;,&quot;parse-names&quot;:false,&quot;dropping-particle&quot;:&quot;&quot;,&quot;non-dropping-particle&quot;:&quot;&quot;},{&quot;family&quot;:&quot;Kalis&quot;,&quot;given&quot;:&quot;Christoph&quot;,&quot;parse-names&quot;:false,&quot;dropping-particle&quot;:&quot;&quot;,&quot;non-dropping-particle&quot;:&quot;&quot;},{&quot;family&quot;:&quot;Keck&quot;,&quot;given&quot;:&quot;Simone&quot;,&quot;parse-names&quot;:false,&quot;dropping-particle&quot;:&quot;&quot;,&quot;non-dropping-particle&quot;:&quot;&quot;},{&quot;family&quot;:&quot;Jiang&quot;,&quot;given&quot;:&quot;Zhengfan&quot;,&quot;parse-names&quot;:false,&quot;dropping-particle&quot;:&quot;&quot;,&quot;non-dropping-particle&quot;:&quot;&quot;},{&quot;family&quot;:&quot;Georgel&quot;,&quot;given&quot;:&quot;Philippe&quot;,&quot;parse-names&quot;:false,&quot;dropping-particle&quot;:&quot;&quot;,&quot;non-dropping-particle&quot;:&quot;&quot;},{&quot;family&quot;:&quot;Du&quot;,&quot;given&quot;:&quot;Xin&quot;,&quot;parse-names&quot;:false,&quot;dropping-particle&quot;:&quot;&quot;,&quot;non-dropping-particle&quot;:&quot;&quot;},{&quot;family&quot;:&quot;Shamel&quot;,&quot;given&quot;:&quot;Louis&quot;,&quot;parse-names&quot;:false,&quot;dropping-particle&quot;:&quot;&quot;,&quot;non-dropping-particle&quot;:&quot;&quot;},{&quot;family&quot;:&quot;Sovath&quot;,&quot;given&quot;:&quot;Sosathya&quot;,&quot;parse-names&quot;:false,&quot;dropping-particle&quot;:&quot;&quot;,&quot;non-dropping-particle&quot;:&quot;&quot;},{&quot;family&quot;:&quot;Mudd&quot;,&quot;given&quot;:&quot;Suzanne&quot;,&quot;parse-names&quot;:false,&quot;dropping-particle&quot;:&quot;&quot;,&quot;non-dropping-particle&quot;:&quot;&quot;},{&quot;family&quot;:&quot;Beutler&quot;,&quot;given&quot;:&quot;Bruce&quot;,&quot;parse-names&quot;:false,&quot;dropping-particle&quot;:&quot;&quot;,&quot;non-dropping-particle&quot;:&quot;&quot;},{&quot;family&quot;:&quot;Galanos&quot;,&quot;given&quot;:&quot;Chris&quot;,&quot;parse-names&quot;:false,&quot;dropping-particle&quot;:&quot;&quot;,&quot;non-dropping-particle&quot;:&quot;&quot;},{&quot;family&quot;:&quot;Freudenberg&quot;,&quot;given&quot;:&quot;Marina A.&quot;,&quot;parse-names&quot;:false,&quot;dropping-particle&quot;:&quot;&quot;,&quot;non-dropping-particle&quot;:&quot;&quot;}],&quot;container-title&quot;:&quot;European Journal of Immunology&quot;,&quot;accessed&quot;:{&quot;date-parts&quot;:[[2019,1,9]]},&quot;DOI&quot;:&quot;10.1002/eji.200535593&quot;,&quot;ISSN&quot;:&quot;0014-2980&quot;,&quot;URL&quot;:&quot;http://doi.wiley.com/10.1002/eji.200535593&quot;,&quot;issued&quot;:{&quot;date-parts&quot;:[[2006,3,1]]},&quot;page&quot;:&quot;701-711&quot;,&quot;publisher&quot;:&quot;John Wiley &amp; Sons, Ltd&quot;,&quot;issue&quot;:&quot;3&quot;,&quot;volume&quot;:&quot;36&quot;},&quot;isTemporary&quot;:false}],&quot;properties&quot;:{&quot;noteIndex&quot;:0},&quot;isEdited&quot;:false,&quot;manualOverride&quot;:{&quot;isManuallyOverriden&quot;:false,&quot;citeprocText&quot;:&quot;(Huber &lt;i&gt;et al.&lt;/i&gt;, 2006)&quot;,&quot;manualOverrideText&quot;:&quot;&quot;},&quot;citationTag&quot;:&quot;MENDELEY_CITATION_v3_eyJjaXRhdGlvbklEIjoiTUVOREVMRVlfQ0lUQVRJT05fZGQzNWMzOWEtMWQxMi00ZmM4LTllZDgtMWU0ZDQ5MDBjN2Iw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quot;},{&quot;citationID&quot;:&quot;MENDELEY_CITATION_54e8e465-92d9-4d5b-bf3c-217b7a56329b&quot;,&quot;citationItems&quot;:[{&quot;id&quot;:&quot;8a2da89e-74f3-38e7-99b9-5ee7798a97f9&quot;,&quot;itemData&quot;:{&quot;type&quot;:&quot;article-journal&quot;,&quot;id&quot;:&quot;8a2da89e-74f3-38e7-99b9-5ee7798a97f9&quot;,&quot;title&quot;:&quot;Molecular mechanisms for lipopolysaccharide-induced biphasic activation of nuclear factor-kappa B (NF-kappa B).&quot;,&quot;author&quot;:[{&quot;family&quot;:&quot;Han&quot;,&quot;given&quot;:&quot;Su-Ji&quot;,&quot;parse-names&quot;:false,&quot;dropping-particle&quot;:&quot;&quot;,&quot;non-dropping-particle&quot;:&quot;&quot;},{&quot;family&quot;:&quot;Ko&quot;,&quot;given&quot;:&quot;Hyun-Mi&quot;,&quot;parse-names&quot;:false,&quot;dropping-particle&quot;:&quot;&quot;,&quot;non-dropping-particle&quot;:&quot;&quot;},{&quot;family&quot;:&quot;Choi&quot;,&quot;given&quot;:&quot;Jung-Hwa&quot;,&quot;parse-names&quot;:false,&quot;dropping-particle&quot;:&quot;&quot;,&quot;non-dropping-particle&quot;:&quot;&quot;},{&quot;family&quot;:&quot;Seo&quot;,&quot;given&quot;:&quot;Kook Heon&quot;,&quot;parse-names&quot;:false,&quot;dropping-particle&quot;:&quot;&quot;,&quot;non-dropping-particle&quot;:&quot;&quot;},{&quot;family&quot;:&quot;Lee&quot;,&quot;given&quot;:&quot;Hyun-Suk&quot;,&quot;parse-names&quot;:false,&quot;dropping-particle&quot;:&quot;&quot;,&quot;non-dropping-particle&quot;:&quot;&quot;},{&quot;family&quot;:&quot;Choi&quot;,&quot;given&quot;:&quot;Eun-Kyoung&quot;,&quot;parse-names&quot;:false,&quot;dropping-particle&quot;:&quot;&quot;,&quot;non-dropping-particle&quot;:&quot;&quot;},{&quot;family&quot;:&quot;Choi&quot;,&quot;given&quot;:&quot;Il-Whan&quot;,&quot;parse-names&quot;:false,&quot;dropping-particle&quot;:&quot;&quot;,&quot;non-dropping-particle&quot;:&quot;&quot;},{&quot;family&quot;:&quot;Lee&quot;,&quot;given&quot;:&quot;Hern-Ku&quot;,&quot;parse-names&quot;:false,&quot;dropping-particle&quot;:&quot;&quot;,&quot;non-dropping-particle&quot;:&quot;&quot;},{&quot;family&quot;:&quot;Im&quot;,&quot;given&quot;:&quot;Suhn-Young&quot;,&quot;parse-names&quot;:false,&quot;dropping-particle&quot;:&quot;&quot;,&quot;non-dropping-particle&quot;:&quot;&quot;}],&quot;container-title&quot;:&quot;The Journal of biological chemistry&quot;,&quot;accessed&quot;:{&quot;date-parts&quot;:[[2019,3,30]]},&quot;DOI&quot;:&quot;10.1074/jbc.M202524200&quot;,&quot;ISSN&quot;:&quot;0021-9258&quot;,&quot;PMID&quot;:&quot;12235132&quot;,&quot;URL&quot;:&quot;http://www.ncbi.nlm.nih.gov/pubmed/12235132&quot;,&quot;issued&quot;:{&quot;date-parts&quot;:[[2002,11,22]]},&quot;page&quot;:&quot;44715-21&quot;,&quot;abstract&quot;:&quot;The nuclear factor-kappaB (NF-kappaB) is an important transcription factor necessary for initiating and sustaining inflammatory and immune reactions. The inducers of NF-kappaB are well characterized, but the molecular mechanisms underlying multiple in vivo NF-kappaB activation processes are poorly understood. The injection of lipopolysaccharide resulted in a biphasic activation of NF-kappaB during the 18-h observation period in various organs of mice. The early and late phases of NF-kappaB activation occurred at 0.5-2 h and 8-12 h, respectively. Platelet-activating factor, which is released in response to lipopolysaccharide injection, was responsible for the activation of the early phase of NF-kappaB. The early NF-kappaB activity led to the induction of proinflammatory cytokines, tumor necrosis factor (TNF), and interleukin (IL)-1beta, which are known to be efficient inducers of NF-kappaB. Using the TNF knockout and IL-1 receptor knockout mice, we found that TNF and IL-1beta had a role in the second phase activation of NF-kappaB. These cytokines did promote the synthesis of platelet-activating factor, which in turn induced the secondary activation of NF-kappaB. These observations describe a novel autoregulatory molecular mechanism for the biphasic activation of NF-kappaB.&quot;,&quot;publisher&quot;:&quot;American Society for Biochemistry and Molecular Biology&quot;,&quot;issue&quot;:&quot;47&quot;,&quot;volume&quot;:&quot;277&quot;},&quot;isTemporary&quot;:false}],&quot;properties&quot;:{&quot;noteIndex&quot;:0},&quot;isEdited&quot;:false,&quot;manualOverride&quot;:{&quot;isManuallyOverriden&quot;:false,&quot;citeprocText&quot;:&quot;(Han &lt;i&gt;et al.&lt;/i&gt;, 2002)&quot;,&quot;manualOverrideText&quot;:&quot;&quot;},&quot;citationTag&quot;:&quot;MENDELEY_CITATION_v3_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&quot;},{&quot;citationID&quot;:&quot;MENDELEY_CITATION_7c87c5fb-466a-4878-a4d2-2ee12675d01b&quot;,&quot;citationItems&quot;:[{&quot;id&quot;:&quot;66efb658-616b-35a6-b5a7-2524e9fd5340&quot;,&quot;itemData&quot;:{&quot;type&quot;:&quot;article-journal&quot;,&quot;id&quot;:&quot;66efb658-616b-35a6-b5a7-2524e9fd5340&quot;,&quot;title&quot;:&quot;Interaction of IL-6 and TNF-α contributes to endothelial dysfunction in type 2 diabetic mouse hearts&quot;,&quot;author&quot;:[{&quot;family&quot;:&quot;Lee&quot;,&quot;given&quot;:&quot;Jonghae&quot;,&quot;parse-names&quot;:false,&quot;dropping-particle&quot;:&quot;&quot;,&quot;non-dropping-particle&quot;:&quot;&quot;},{&quot;family&quot;:&quot;Lee&quot;,&quot;given&quot;:&quot;Sewon&quot;,&quot;parse-names&quot;:false,&quot;dropping-particle&quot;:&quot;&quot;,&quot;non-dropping-particle&quot;:&quot;&quot;},{&quot;family&quot;:&quot;Zhang&quot;,&quot;given&quot;:&quot;Hanrui&quot;,&quot;parse-names&quot;:false,&quot;dropping-particle&quot;:&quot;&quot;,&quot;non-dropping-particle&quot;:&quot;&quot;},{&quot;family&quot;:&quot;Hill&quot;,&quot;given&quot;:&quot;Michael A.&quot;,&quot;parse-names&quot;:false,&quot;dropping-particle&quot;:&quot;&quot;,&quot;non-dropping-particle&quot;:&quot;&quot;},{&quot;family&quot;:&quot;Zhang&quot;,&quot;given&quot;:&quot;Cuihua&quot;,&quot;parse-names&quot;:false,&quot;dropping-particle&quot;:&quot;&quot;,&quot;non-dropping-particle&quot;:&quot;&quot;},{&quot;family&quot;:&quot;Park&quot;,&quot;given&quot;:&quot;Yoonjung&quot;,&quot;parse-names&quot;:false,&quot;dropping-particle&quot;:&quot;&quot;,&quot;non-dropping-particle&quot;:&quot;&quot;}],&quot;container-title&quot;:&quot;PLOS ONE&quot;,&quot;accessed&quot;:{&quot;date-parts&quot;:[[2021,1,31]]},&quot;editor&quot;:[{&quot;family&quot;:&quot;Bader&quot;,&quot;given&quot;:&quot;Michael&quot;,&quot;parse-names&quot;:false,&quot;dropping-particle&quot;:&quot;&quot;,&quot;non-dropping-particle&quot;:&quot;&quot;}],&quot;DOI&quot;:&quot;10.1371/journal.pone.0187189&quot;,&quot;ISSN&quot;:&quot;1932-6203&quot;,&quot;URL&quot;:&quot;https://dx.plos.org/10.1371/journal.pone.0187189&quot;,&quot;issued&quot;:{&quot;date-parts&quot;:[[2017,11,2]]},&quot;page&quot;:&quot;e0187189&quot;,&quot;abstract&quot;:&quot;Objectives: Inflammatory cytokines, such as tumor necrosis factor-α (TNF-α) and interleukin-6 (IL-6), are individually considered as important contributors to endothelial dysfunction in obesity and type 2 diabetes (T2D). However, their interactions in coronary arteriole endothelial dysfunction are uncertain. Therefore, this study aimed to determine the effects of TNF-α and IL-6 interactions on coronary endothelial dysfunction in experimental T2D. Methods: The studies used wild type (WT), diabetic mice (db/db), db/db null for TNF (dbTNF-/dbTNF-), and db/db mice treated with neutralizing antibody to IL-6 (anti-IL-6). Endothelium-dependent (acetylcholine [ACh], or luminal flow-induced shear stress) and endothelium-independent (sodium nitroprusside [SNP]) vasodilation of isolated and pressurized coronary arterioles were determined. Quantitative PCR, Western blot, and immunofluorescence staining were utilized for mechanistic studies. Results: Relative to WT, arteriolar dilation to both ACh and flow was attenuated in db/db mice and dbTNF-/dbTNF-. Treatment of dbTNF-/dbTNF- and db/db mice with anti-IL-6 improved arteriolar dilation compared to db/db mice. Immunofluorescence staining illustrated localization of IL-6 within the endothelial cells of coronary arterioles. In db/db mice, mRNA and protein expression of IL-6 and superoxide (O2-) production were higher, but reduced by anti-IL-6 treatment. Also, in db/db mice, mRNA and protein expression of TNF-α suppressed by the anti-IL-6 treatment and the reduced expression of mRNA and protein expression of IL-6 by the genetic deletion of TNF-α both supported a reciprocal regulation between TNF-α and IL-6. Superoxide dismutase 2 (SOD2) expression and phosphorylation of eNOS (p-eNOS/ eNOS) were lower in db/db mice coronary arterioles and were restored in db/db+Anti-IL-6 and dbTNF-/dbTNF- mice. Conclusion: The interactions between TNF-α and IL-6 exacerbate oxidative stress and reduce phosphorylation of eNOS, thereby contributing to coronary endothelial dysfunction in T2D mice.&quot;,&quot;publisher&quot;:&quot;Public Library of Science&quot;,&quot;issue&quot;:&quot;11&quot;,&quot;volume&quot;:&quot;12&quot;},&quot;isTemporary&quot;:false},{&quot;id&quot;:&quot;f2217f99-8df3-3d84-8ad5-605b9b3b92b4&quot;,&quot;itemData&quot;:{&quot;type&quot;:&quot;article&quot;,&quot;id&quot;:&quot;f2217f99-8df3-3d84-8ad5-605b9b3b92b4&quot;,&quot;title&quot;:&quot;Role of TNF-α in vascular dysfunction&quot;,&quot;author&quot;:[{&quot;family&quot;:&quot;Zhang&quot;,&quot;given&quot;:&quot;Hanrui&quot;,&quot;parse-names&quot;:false,&quot;dropping-particle&quot;:&quot;&quot;,&quot;non-dropping-particle&quot;:&quot;&quot;},{&quot;family&quot;:&quot;Park&quot;,&quot;given&quot;:&quot;Yoonjung&quot;,&quot;parse-names&quot;:false,&quot;dropping-particle&quot;:&quot;&quot;,&quot;non-dropping-particle&quot;:&quot;&quot;},{&quot;family&quot;:&quot;Wu&quot;,&quot;given&quot;:&quot;Junxi&quot;,&quot;parse-names&quot;:false,&quot;dropping-particle&quot;:&quot;&quot;,&quot;non-dropping-particle&quot;:&quot;&quot;},{&quot;family&quot;:&quot;Chen&quot;,&quot;given&quot;:&quot;Xiu Ping&quot;,&quot;parse-names&quot;:false,&quot;dropping-particle&quot;:&quot;&quot;,&quot;non-dropping-particle&quot;:&quot;&quot;},{&quot;family&quot;:&quot;Lee&quot;,&quot;given&quot;:&quot;Sewon&quot;,&quot;parse-names&quot;:false,&quot;dropping-particle&quot;:&quot;&quot;,&quot;non-dropping-particle&quot;:&quot;&quot;},{&quot;family&quot;:&quot;Yang&quot;,&quot;given&quot;:&quot;Jiyeon&quot;,&quot;parse-names&quot;:false,&quot;dropping-particle&quot;:&quot;&quot;,&quot;non-dropping-particle&quot;:&quot;&quot;},{&quot;family&quot;:&quot;Dellsperger&quot;,&quot;given&quot;:&quot;Kevin C.&quot;,&quot;parse-names&quot;:false,&quot;dropping-particle&quot;:&quot;&quot;,&quot;non-dropping-particle&quot;:&quot;&quot;},{&quot;family&quot;:&quot;Zhang&quot;,&quot;given&quot;:&quot;Cuihua&quot;,&quot;parse-names&quot;:false,&quot;dropping-particle&quot;:&quot;&quot;,&quot;non-dropping-particle&quot;:&quot;&quot;}],&quot;container-title&quot;:&quot;Clinical Science&quot;,&quot;accessed&quot;:{&quot;date-parts&quot;:[[2021,1,31]]},&quot;DOI&quot;:&quot;10.1042/CS20080196&quot;,&quot;ISSN&quot;:&quot;01435221&quot;,&quot;PMID&quot;:&quot;19118493&quot;,&quot;URL&quot;:&quot;http://portlandpress.com/clinsci/article-pdf/116/3/219/882610/cs1160219.pdf&quot;,&quot;issued&quot;:{&quot;date-parts&quot;:[[2009,2,1]]},&quot;page&quot;:&quot;219-230&quot;,&quot;abstract&quot;:&quot;Healthy vascular function is primarily regulated by several factors including EDRF (endothelium-dependent relaxing factor), EDCF (endothelium-dependent contracting factor) and EDHF (endothelium-dependent hyperpolarizing factor). Vascular dysfunction or injury induced by aging, smoking, inflammation, trauma, hyperlipidaemia and hyperglycaemia are among a myriad of risk factors that may contribute to the pathogenesis of many cardiovascular diseases, such as hypertension, diabetes and atherosclerosis. However, the exact mechanisms underlying the impaired vascular activity remain unresolved and there is no current scientific consensus. Accumulating evidence suggests that the inflammatory cytokine TNF (tumour necrosis factor)-α plays a pivotal role in the disruption of macrovascular and microvascular circulation both in vivo and in vitro. AGEs (advanced glycation end-products)/RAGE (receptor for AGEs), LOX-1 [lectin-like oxidized low-density lipoprotein receptor-1) and NF-κB (nuclear factor κB) signalling play key roles in TNF-α expression through an increase in circulating and/or local vascular TNF-α production. The increase in TNF-α expression induces the production of ROS (reactive oxygen species), resulting in endothelial dysfunction in many pathophysiological conditions. Lipid metabolism, dietary supplements and physical activity affect TNF-α expression. The interaction between TNF-α and stem cells is also important in terms of vascular repair or regeneration. Careful scrutiny of these factors may help elucidate the mechanisms that induce vascular dysfunction. The focus of the present review is to summarize recent evidence showing the role of TNF-α in vascular dysfunction in cardiovascular disease. We believe these findings may prompt new directions for targeting inflammation in future therapies.&quot;,&quot;publisher&quot;:&quot;Portland Press&quot;,&quot;issue&quot;:&quot;3&quot;,&quot;volume&quot;:&quot;116&quot;},&quot;isTemporary&quot;:false}],&quot;properties&quot;:{&quot;noteIndex&quot;:0},&quot;isEdited&quot;:false,&quot;manualOverride&quot;:{&quot;isManuallyOverriden&quot;:false,&quot;citeprocText&quot;:&quot;(Zhang &lt;i&gt;et al.&lt;/i&gt;, 2009; Lee &lt;i&gt;et al.&lt;/i&gt;, 2017)&quot;,&quot;manualOverrideText&quot;:&quot;&quot;},&quot;citationTag&quot;:&quot;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&quot;},{&quot;citationID&quot;:&quot;MENDELEY_CITATION_6f01aa4a-b3e6-407a-ae58-9533831c84b1&quot;,&quot;citationItems&quot;:[{&quot;id&quot;:&quot;654835cf-bdc7-365d-9cde-fe74c17a840d&quot;,&quot;itemData&quot;:{&quot;type&quot;:&quot;article-journal&quot;,&quot;id&quot;:&quot;654835cf-bdc7-365d-9cde-fe74c17a840d&quot;,&quot;title&quot;:&quot;Immunocytochemical analysis of tumor necrosis factor and its receptors in Parkinson's disease&quot;,&quot;author&quot;:[{&quot;family&quot;:&quot;Boka&quot;,&quot;given&quot;:&quot;G.&quot;,&quot;parse-names&quot;:false,&quot;dropping-particle&quot;:&quot;&quot;,&quot;non-dropping-particle&quot;:&quot;&quot;},{&quot;family&quot;:&quot;Anglade&quot;,&quot;given&quot;:&quot;P.&quot;,&quot;parse-names&quot;:false,&quot;dropping-particle&quot;:&quot;&quot;,&quot;non-dropping-particle&quot;:&quot;&quot;},{&quot;family&quot;:&quot;Wallach&quot;,&quot;given&quot;:&quot;D.&quot;,&quot;parse-names&quot;:false,&quot;dropping-particle&quot;:&quot;&quot;,&quot;non-dropping-particle&quot;:&quot;&quot;},{&quot;family&quot;:&quot;Javoy-Agid&quot;,&quot;given&quot;:&quot;F.&quot;,&quot;parse-names&quot;:false,&quot;dropping-particle&quot;:&quot;&quot;,&quot;non-dropping-particle&quot;:&quot;&quot;},{&quot;family&quot;:&quot;Agid&quot;,&quot;given&quot;:&quot;Y.&quot;,&quot;parse-names&quot;:false,&quot;dropping-particle&quot;:&quot;&quot;,&quot;non-dropping-particle&quot;:&quot;&quot;},{&quot;family&quot;:&quot;Hirsch&quot;,&quot;given&quot;:&quot;E. C.&quot;,&quot;parse-names&quot;:false,&quot;dropping-particle&quot;:&quot;&quot;,&quot;non-dropping-particle&quot;:&quot;&quot;}],&quot;container-title&quot;:&quot;Neuroscience Letters&quot;,&quot;accessed&quot;:{&quot;date-parts&quot;:[[2021,1,31]]},&quot;DOI&quot;:&quot;10.1016/0304-3940(94)90684-X&quot;,&quot;ISSN&quot;:&quot;03043940&quot;,&quot;PMID&quot;:&quot;8084523&quot;,&quot;issued&quot;:{&quot;date-parts&quot;:[[1994,5,19]]},&quot;page&quot;:&quot;151-154&quot;,&quot;abstract&quot;:&quot;Activated glial cells observed in the substantia nigra in Parkinson's disease may participate in the mechanism of nerve cell death by producing toxic substances such as cytokines. Among these compounds, tumor necrosis factor-α (TNF) is of interest because it can provoke cell death. We detected TNF-immunoreactive glial cells in the substantia nigra of parkinsonian patients but not in those of control subjects. Immunoreactivity for TNF receptors was found in cell bodies and processes of most dopaminergic neurons of control and parkinsonian subjects, suggesting that nigral dopaminergic neurons might be sensitive to TNF produced in Parkinson's disease. These results suggest that TNF may participate in the degenerative processes occurring in Parkinson's disease, at least after a primary insult inducing a reactive gliosis. © 1994.&quot;,&quot;publisher&quot;:&quot;Elsevier&quot;,&quot;issue&quot;:&quot;1-2&quot;,&quot;volume&quot;:&quot;172&quot;},&quot;isTemporary&quot;:false}],&quot;properties&quot;:{&quot;noteIndex&quot;:0},&quot;isEdited&quot;:false,&quot;manualOverride&quot;:{&quot;isManuallyOverriden&quot;:false,&quot;citeprocText&quot;:&quot;(Boka &lt;i&gt;et al.&lt;/i&gt;, 1994)&quot;,&quot;manualOverrideText&quot;:&quot;Boka et al., 1994)&quot;,&quot;isManuallyOverridden&quot;:true},&quot;citationTag&quot;:&quot;MENDELEY_CITATION_v3_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&quot;},{&quot;citationID&quot;:&quot;MENDELEY_CITATION_59601f08-fc48-4605-bd56-e4b7bb949186&quot;,&quot;citationItems&quot;:[{&quot;id&quot;:&quot;3a42d9d0-1b0a-3983-b301-7ee5ae454c59&quot;,&quot;itemData&quot;:{&quot;type&quot;:&quot;article-journal&quot;,&quot;id&quot;:&quot;3a42d9d0-1b0a-3983-b301-7ee5ae454c59&quot;,&quot;title&quot;:&quot;TNF neutralization results in disseminated disease during acute and latent &lt;i&gt;M. tuberculosis&lt;/i&gt; infection with normal granuloma structure&quot;,&quot;author&quot;:[{&quot;family&quot;:&quot;Lin&quot;,&quot;given&quot;:&quot;Philana Ling&quot;,&quot;parse-names&quot;:false,&quot;dropping-particle&quot;:&quot;&quot;,&quot;non-dropping-particle&quot;:&quot;&quot;},{&quot;family&quot;:&quot;Myers&quot;,&quot;given&quot;:&quot;Amy&quot;,&quot;parse-names&quot;:false,&quot;dropping-particle&quot;:&quot;&quot;,&quot;non-dropping-particle&quot;:&quot;&quot;},{&quot;family&quot;:&quot;Smith&quot;,&quot;given&quot;:&quot;Le'Kneitah&quot;,&quot;parse-names&quot;:false,&quot;dropping-particle&quot;:&quot;&quot;,&quot;non-dropping-particle&quot;:&quot;&quot;},{&quot;family&quot;:&quot;Bigbee&quot;,&quot;given&quot;:&quot;Carolyn&quot;,&quot;parse-names&quot;:false,&quot;dropping-particle&quot;:&quot;&quot;,&quot;non-dropping-particle&quot;:&quot;&quot;},{&quot;family&quot;:&quot;Bigbee&quot;,&quot;given&quot;:&quot;Matthew&quot;,&quot;parse-names&quot;:false,&quot;dropping-particle&quot;:&quot;&quot;,&quot;non-dropping-particle&quot;:&quot;&quot;},{&quot;family&quot;:&quot;Fuhrman&quot;,&quot;given&quot;:&quot;Carl&quot;,&quot;parse-names&quot;:false,&quot;dropping-particle&quot;:&quot;&quot;,&quot;non-dropping-particle&quot;:&quot;&quot;},{&quot;family&quot;:&quot;Grieser&quot;,&quot;given&quot;:&quot;Heather&quot;,&quot;parse-names&quot;:false,&quot;dropping-particle&quot;:&quot;&quot;,&quot;non-dropping-particle&quot;:&quot;&quot;},{&quot;family&quot;:&quot;Chiosea&quot;,&quot;given&quot;:&quot;Ion&quot;,&quot;parse-names&quot;:false,&quot;dropping-particle&quot;:&quot;&quot;,&quot;non-dropping-particle&quot;:&quot;&quot;},{&quot;family&quot;:&quot;Voitenek&quot;,&quot;given&quot;:&quot;Nikolai N.&quot;,&quot;parse-names&quot;:false,&quot;dropping-particle&quot;:&quot;&quot;,&quot;non-dropping-particle&quot;:&quot;&quot;},{&quot;family&quot;:&quot;Capuano&quot;,&quot;given&quot;:&quot;Saverio&quot;,&quot;parse-names&quot;:false,&quot;dropping-particle&quot;:&quot;v.&quot;,&quot;non-dropping-particle&quot;:&quot;&quot;},{&quot;family&quot;:&quot;Klein&quot;,&quot;given&quot;:&quot;Edwin&quot;,&quot;parse-names&quot;:false,&quot;dropping-particle&quot;:&quot;&quot;,&quot;non-dropping-particle&quot;:&quot;&quot;},{&quot;family&quot;:&quot;Flynn&quot;,&quot;given&quot;:&quot;JoAnne L.&quot;,&quot;parse-names&quot;:false,&quot;dropping-particle&quot;:&quot;&quot;,&quot;non-dropping-particle&quot;:&quot;&quot;}],&quot;container-title&quot;:&quot;Arthritis &amp; Rheumatism&quot;,&quot;accessed&quot;:{&quot;date-parts&quot;:[[2021,1,31]]},&quot;DOI&quot;:&quot;10.1002/art.27271&quot;,&quot;ISSN&quot;:&quot;00043591&quot;,&quot;URL&quot;:&quot;http://doi.wiley.com/10.1002/art.27271&quot;,&quot;issued&quot;:{&quot;date-parts&quot;:[[2010,2,1]]},&quot;page&quot;:&quot;NA-NA&quot;,&quot;abstract&quot;:&quot;Objective. An increased risk of tuberculosis has been documented in humans treated with tumor necrosis factor α (TNFα)-neutralizing agents. In murine models, impaired signaling by TNF causes exacerbation of both acute and chronic infection associated with aberrant granuloma formation and maintenance. This study was undertaken to investigate immune modulation in the setting of TNF neutralization in primary and latent tuberculosis in a non-human primate model. Methods. Cynomolgus macaques 4 years of age or older were infected with Mycobacterium tuberculosis and subjected to clinical, microbiologic, immunologic, and radiographic examinations. Monkeys were classified as having active or latent disease 6-8 months after infection, based on clinical criteria. Monkeys used in acute infection studies were randomized to receive either adalimumab (prior to and during infection) or no treatment. Monkeys with latent infection that were randomized to receive TNF-neutralizing agent were given either an inhibitor of soluble TNF, recombinant methionyl human soluble TNF receptor I (p55-TNFRI), or adalimumab. Control monkeys with latent infection were given no treatment or saline. Data from previously studied monkeys with active or latent disease were also used for comparison. Results. Administration of TNF-neutralizing agents prior to M tuberculosis infection resulted in fulminant and disseminated disease by 8 weeks after infection. Neutralization of TNF in latently infected cynomolgus macaques caused reactivation in a majority of animals as determined by gross pathologic examination and bacterial burden. A spectrum of dissemination was noted, including extrapulmonary disease. Surprisingly, monkeys that developed primary and reactivation tuberculosis after TNF neutralization had similar granuloma structure and composition to that of control monkeys with active disease. TNF neutralization was associated with increased levels of interleukin-12, decreased levels of CCL4, increased chemokine receptor expression, and reduced mycobacteria-induced interferon-γ production in blood but not in the affected mediastinal lymph nodes. Finally, the first signs of reactivation often occurred in thoracic lymph nodes. Conclusion. These findings have important clinical implications for determining the mechanism of TNF neutralization-related tuberculosis. © 2010, American College of Rheumatology.&quot;,&quot;publisher&quot;:&quot;John Wiley &amp; Sons, Ltd&quot;,&quot;issue&quot;:&quot;2&quot;,&quot;volume&quot;:&quot;62&quot;},&quot;isTemporary&quot;:false}],&quot;properties&quot;:{&quot;noteIndex&quot;:0},&quot;isEdited&quot;:false,&quot;manualOverride&quot;:{&quot;isManuallyOverriden&quot;:false,&quot;citeprocText&quot;:&quot;(Lin &lt;i&gt;et al.&lt;/i&gt;, 2010)&quot;,&quot;manualOverrideText&quot;:&quot;&quot;},&quot;citationTag&quot;:&quot;MENDELEY_CITATION_v3_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&quot;},{&quot;citationID&quot;:&quot;MENDELEY_CITATION_718dc90a-62cd-4f0f-b0c7-d9b31d182c24&quot;,&quot;citationItems&quot;:[{&quot;id&quot;:&quot;87b0e0a6-e48f-3784-b318-86c76aa93bae&quot;,&quot;itemData&quot;:{&quot;type&quot;:&quot;article-journal&quot;,&quot;id&quot;:&quot;87b0e0a6-e48f-3784-b318-86c76aa93bae&quot;,&quot;title&quot;:&quot;Differential induction of the toll-like receptor 4-MyD88-dependent and -independent signaling pathways by endotoxins.&quot;,&quot;author&quot;:[{&quot;family&quot;:&quot;Zughaier&quot;,&quot;given&quot;:&quot;Susu M&quot;,&quot;parse-names&quot;:false,&quot;dropping-particle&quot;:&quot;&quot;,&quot;non-dropping-particle&quot;:&quot;&quot;},{&quot;family&quot;:&quot;Zimmer&quot;,&quot;given&quot;:&quot;Shanta M&quot;,&quot;parse-names&quot;:false,&quot;dropping-particle&quot;:&quot;&quot;,&quot;non-dropping-particle&quot;:&quot;&quot;},{&quot;family&quot;:&quot;Datta&quot;,&quot;given&quot;:&quot;Anup&quot;,&quot;parse-names&quot;:false,&quot;dropping-particle&quot;:&quot;&quot;,&quot;non-dropping-particle&quot;:&quot;&quot;},{&quot;family&quot;:&quot;Carlson&quot;,&quot;given&quot;:&quot;Russell W&quot;,&quot;parse-names&quot;:false,&quot;dropping-particle&quot;:&quot;&quot;,&quot;non-dropping-particle&quot;:&quot;&quot;},{&quot;family&quot;:&quot;Stephens&quot;,&quot;given&quot;:&quot;David S&quot;,&quot;parse-names&quot;:false,&quot;dropping-particle&quot;:&quot;&quot;,&quot;non-dropping-particle&quot;:&quot;&quot;}],&quot;container-title&quot;:&quot;Infection and immunity&quot;,&quot;accessed&quot;:{&quot;date-parts&quot;:[[2019,3,30]]},&quot;DOI&quot;:&quot;10.1128/IAI.73.5.2940-2950.2005&quot;,&quot;ISSN&quot;:&quot;0019-9567&quot;,&quot;PMID&quot;:&quot;15845500&quot;,&quot;URL&quot;:&quot;http://iai.asm.org/cgi/doi/10.1128/IAI.73.5.2940-2950.2005&quot;,&quot;issued&quot;:{&quot;date-parts&quot;:[[2005,5,1]]},&quot;page&quot;:&quot;2940-50&quot;,&quot;abstract&quot;:&quot;The biological response to endotoxin mediated through the Toll-like receptor 4 (TLR4)-MD-2 receptor complex is directly related to lipid A structure or configuration. Endotoxin structure may also influence activation of the MyD88-dependent and -independent signaling pathways of TLR4. To address this possibility, human macrophage-like cell lines (THP-1, U937, and MM6) or murine macrophage RAW 264.7 cells were stimulated with picomolar concentrations of highly purified endotoxins. Harvested supernatants from previously stimulated cells were also used to stimulate RAW 264.7 or 23ScCr (TLR4-deficient) macrophages (i.e., indirect induction). Neisseria meningitidis lipooligosaccharide (LOS) was a potent direct inducer of the MyD88-dependent pathway molecules tumor necrosis factor alpha (TNF-alpha), interleukin-1beta (IL-1beta), monocyte chemoattractant protein 1 (MCP-1), macrophage inflammatory protein 3alpha (MIP-3alpha), and the MyD88-independent molecules beta interferon (IFN-beta), nitric oxide, and IFN-gamma-inducible protein 10 (IP-10). Escherichia coli 55:B5 and Vibrio cholerae lipopolysaccharides (LPSs) at the same pmole/ml lipid A concentrations induced comparable levels of TNF-alpha, IL-1beta, and MIP-3alpha, but significantly less IFN-beta, nitric oxide, and IP-10. In contrast, LPS from Salmonella enterica serovars Minnesota and Typhimurium induced amounts of IFN-beta, nitric oxide, and IP-10 similar to meningococcal LOS but much less TNF-alpha and MIP-3alpha in time course and dose-response experiments. No MyD88-dependent or -independent response to endotoxin was seen in TLR4-deficient cell lines (C3H/HeJ and 23ScCr) and response was restored in TLR4-MD-2-transfected human embryonic kidney 293 cells. Blocking the MyD88-dependent pathway by DNMyD88 resulted in significant reduction of TNF-alpha release but did not influence nitric oxide release. IFN-beta polyclonal antibody and IFN-alpha/beta receptor 1 antibody significantly reduced nitric oxide release. N. meningitidis endotoxin was a potent agonist of both the MyD88-dependent and -independent signaling pathways of the TLR4 receptor complex of human macrophages. E. coli 55:B5 and Vibrio cholerae LPS, at the same picomolar lipid A concentrations, selectively induced the MyD88-dependent pathway, while Salmonella LPS activated the MyD88-independent pathway.&quot;,&quot;issue&quot;:&quot;5&quot;,&quot;volume&quot;:&quot;73&quot;},&quot;isTemporary&quot;:false}],&quot;properties&quot;:{&quot;noteIndex&quot;:0},&quot;isEdited&quot;:false,&quot;manualOverride&quot;:{&quot;isManuallyOverriden&quot;:false,&quot;citeprocText&quot;:&quot;(Zughaier &lt;i&gt;et al.&lt;/i&gt;, 2005)&quot;,&quot;manualOverrideText&quot;:&quot;&quot;},&quot;citationTag&quot;:&quot;MENDELEY_CITATION_v3_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&quot;},{&quot;citationID&quot;:&quot;MENDELEY_CITATION_8b57551f-5cea-4b8e-a81a-d6bf777d885f&quot;,&quot;citationItems&quot;:[{&quot;id&quot;:&quot;dbe0bfdd-5730-386a-b18f-af9f5e9d1150&quot;,&quot;itemData&quot;:{&quot;type&quot;:&quot;article-journal&quot;,&quot;id&quot;:&quot;dbe0bfdd-5730-386a-b18f-af9f5e9d1150&quot;,&quot;title&quot;:&quot;Long-term use of interferon-β in multiple sclerosis increases Vδ1-Vδ2-Vγ9- γδ T cells that are associated with a better outcome&quot;,&quot;author&quot;:[{&quot;family&quot;:&quot;Maimaitijiang&quot;,&quot;given&quot;:&quot;Guzailiayi&quot;,&quot;parse-names&quot;:false,&quot;dropping-particle&quot;:&quot;&quot;,&quot;non-dropping-particle&quot;:&quot;&quot;},{&quot;family&quot;:&quot;Watanabe&quot;,&quot;given&quot;:&quot;Mitsuru&quot;,&quot;parse-names&quot;:false,&quot;dropping-particle&quot;:&quot;&quot;,&quot;non-dropping-particle&quot;:&quot;&quot;},{&quot;family&quot;:&quot;Shinoda&quot;,&quot;given&quot;:&quot;Koji&quot;,&quot;parse-names&quot;:false,&quot;dropping-particle&quot;:&quot;&quot;,&quot;non-dropping-particle&quot;:&quot;&quot;},{&quot;family&quot;:&quot;Isobe&quot;,&quot;given&quot;:&quot;Noriko&quot;,&quot;parse-names&quot;:false,&quot;dropping-particle&quot;:&quot;&quot;,&quot;non-dropping-particle&quot;:&quot;&quot;},{&quot;family&quot;:&quot;Nakamura&quot;,&quot;given&quot;:&quot;Yuri&quot;,&quot;parse-names&quot;:false,&quot;dropping-particle&quot;:&quot;&quot;,&quot;non-dropping-particle&quot;:&quot;&quot;},{&quot;family&quot;:&quot;Masaki&quot;,&quot;given&quot;:&quot;Katsuhisa&quot;,&quot;parse-names&quot;:false,&quot;dropping-particle&quot;:&quot;&quot;,&quot;non-dropping-particle&quot;:&quot;&quot;},{&quot;family&quot;:&quot;Matsushita&quot;,&quot;given&quot;:&quot;Takuya&quot;,&quot;parse-names&quot;:false,&quot;dropping-particle&quot;:&quot;&quot;,&quot;non-dropping-particle&quot;:&quot;&quot;},{&quot;family&quot;:&quot;Yoshikai&quot;,&quot;given&quot;:&quot;Yasunobu&quot;,&quot;parse-names&quot;:false,&quot;dropping-particle&quot;:&quot;&quot;,&quot;non-dropping-particle&quot;:&quot;&quot;},{&quot;family&quot;:&quot;Kira&quot;,&quot;given&quot;:&quot;Jun Ichi&quot;,&quot;parse-names&quot;:false,&quot;dropping-particle&quot;:&quot;&quot;,&quot;non-dropping-particle&quot;:&quot;&quot;}],&quot;container-title&quot;:&quot;Journal of neuroinflammation&quot;,&quot;accessed&quot;:{&quot;date-parts&quot;:[[2021,1,31]]},&quot;DOI&quot;:&quot;10.1186/s12974-019-1574-5&quot;,&quot;ISSN&quot;:&quot;17422094&quot;,&quot;PMID&quot;:&quot;31519178&quot;,&quot;issued&quot;:{&quot;date-parts&quot;:[[2019,9,13]]},&quot;page&quot;:&quot;179&quot;,&quot;abstract&quot;:&quot;BACKGROUND: We previously reported that Vδ2+Vγ9+ γδ T cells were significantly decreased in multiple sclerosis (MS) patients without disease-modifying therapies (untreated MS) and were negatively correlated with Expanded Disability Status Scale (EDSS) scores, suggesting protective roles of Vδ2+Vγ9+ γδ T cells. Interferon-β (IFN-β) is one of the first-line disease-modifying drugs for MS. However, no previous studies have reported changes in γδ T cell subsets under IFN-β treatment. Therefore, we aimed to clarify the effects of the long-term usage of IFN-β on γδ T cell subsets in MS patients. METHODS: Comprehensive flow cytometric immunophenotyping was performed in 35 untreated MS and 21 MS patients on IFN-β for more than 2 years (IFN-β-treated MS) including eight super-responders fulfilling no evidence of disease activity criteria, and 44 healthy controls (HCs). RESULTS: The percentages of Vδ2+Vγ9+ cells in γδ T cells were significantly lower in untreated and IFN-β-treated MS patients than in HCs. By contrast, the percentages of Vδ1-Vδ2-Vγ9- cells in γδ T cells were markedly higher in IFN-β-treated MS patients than in HCs and untreated MS patients (both p &lt; 0.001). A significant negative correlation between the percentages of Vδ2+Vγ9+ cells in γδ T cells and EDSS scores was confirmed in untreated MS but not evident in IFN-β-treated MS. Moreover, class-switched memory B cells were decreased in IFN-β-treated MS compared with HCs (p &lt; 0.001) and untreated MS patients (p = 0.006). Interestingly, the percentages of Vδ1-Vδ2-Vγ9- cells in γδ T cells were negatively correlated with class-switched memory B cell percentages in all MS patients (r = - 0.369, p = 0.005), and the percentages of Vδ1-Vδ2-Vγ9- cells in Vδ1-Vδ2- γδ T cells were negatively correlated with EDSS scores only in IFN-β super-responders (r = - 0.976, p &lt; 0.001). CONCLUSIONS: The present study suggests that long-term usage of IFN-β increases Vδ1-Vδ2-Vγ9- γδ T cells, which are associated with a better outcome, especially in IFN-β super-responders. Thus, increased Vδ1-Vδ2-Vγ9- cells together with decreased class-switched memory B cells may contribute to the suppression of disease activity in MS patients under IFN-β treatment.&quot;,&quot;publisher&quot;:&quot;NLM (Medline)&quot;,&quot;issue&quot;:&quot;1&quot;,&quot;volume&quot;:&quot;16&quot;},&quot;isTemporary&quot;:false}],&quot;properties&quot;:{&quot;noteIndex&quot;:0},&quot;isEdited&quot;:false,&quot;manualOverride&quot;:{&quot;isManuallyOverriden&quot;:false,&quot;citeprocText&quot;:&quot;(Maimaitijiang &lt;i&gt;et al.&lt;/i&gt;, 2019)&quot;,&quot;manualOverrideText&quot;:&quot;&quot;},&quot;citationTag&quot;:&quot;MENDELEY_CITATION_v3_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&quot;},{&quot;citationID&quot;:&quot;MENDELEY_CITATION_16bb768e-dfc5-4ef9-bdeb-e10b69151a3d&quot;,&quot;citationItems&quot;:[{&quot;id&quot;:&quot;2cad384a-cf52-31cc-aeab-c1b5f54dc527&quot;,&quot;itemData&quot;:{&quot;type&quot;:&quot;article-journal&quot;,&quot;id&quot;:&quot;2cad384a-cf52-31cc-aeab-c1b5f54dc527&quot;,&quot;title&quot;:&quot;Interferon-beta represses cancer stem cell properties in triple-negative breast cancer&quot;,&quot;author&quot;:[{&quot;family&quot;:&quot;Doherty&quot;,&quot;given&quot;:&quot;Mary R.&quot;,&quot;parse-names&quot;:false,&quot;dropping-particle&quot;:&quot;&quot;,&quot;non-dropping-particle&quot;:&quot;&quot;},{&quot;family&quot;:&quot;Cheon&quot;,&quot;given&quot;:&quot;Hyeon Joo&quot;,&quot;parse-names&quot;:false,&quot;dropping-particle&quot;:&quot;&quot;,&quot;non-dropping-particle&quot;:&quot;&quot;},{&quot;family&quot;:&quot;Junk&quot;,&quot;given&quot;:&quot;Damian J.&quot;,&quot;parse-names&quot;:false,&quot;dropping-particle&quot;:&quot;&quot;,&quot;non-dropping-particle&quot;:&quot;&quot;},{&quot;family&quot;:&quot;Vinayak&quot;,&quot;given&quot;:&quot;Shaveta&quot;,&quot;parse-names&quot;:false,&quot;dropping-particle&quot;:&quot;&quot;,&quot;non-dropping-particle&quot;:&quot;&quot;},{&quot;family&quot;:&quot;Varadan&quot;,&quot;given&quot;:&quot;Vinay&quot;,&quot;parse-names&quot;:false,&quot;dropping-particle&quot;:&quot;&quot;,&quot;non-dropping-particle&quot;:&quot;&quot;},{&quot;family&quot;:&quot;Telli&quot;,&quot;given&quot;:&quot;Melinda L.&quot;,&quot;parse-names&quot;:false,&quot;dropping-particle&quot;:&quot;&quot;,&quot;non-dropping-particle&quot;:&quot;&quot;},{&quot;family&quot;:&quot;Ford&quot;,&quot;given&quot;:&quot;James M.&quot;,&quot;parse-names&quot;:false,&quot;dropping-particle&quot;:&quot;&quot;,&quot;non-dropping-particle&quot;:&quot;&quot;},{&quot;family&quot;:&quot;Stark&quot;,&quot;given&quot;:&quot;George R.&quot;,&quot;parse-names&quot;:false,&quot;dropping-particle&quot;:&quot;&quot;,&quot;non-dropping-particle&quot;:&quot;&quot;},{&quot;family&quot;:&quot;Jackson&quot;,&quot;given&quot;:&quot;Mark W.&quot;,&quot;parse-names&quot;:false,&quot;dropping-particle&quot;:&quot;&quot;,&quot;non-dropping-particle&quot;:&quot;&quot;}],&quot;container-title&quot;:&quot;Proceedings of the National Academy of Sciences of the United States of America&quot;,&quot;accessed&quot;:{&quot;date-parts&quot;:[[2021,1,31]]},&quot;DOI&quot;:&quot;10.1073/pnas.1713728114&quot;,&quot;ISSN&quot;:&quot;10916490&quot;,&quot;PMID&quot;:&quot;29229854&quot;,&quot;URL&quot;:&quot;www.pnas.org/cgi/doi/10.1073/pnas.1713728114&quot;,&quot;issued&quot;:{&quot;date-parts&quot;:[[2017,12,26]]},&quot;page&quot;:&quot;13792-13797&quot;,&quot;abstract&quot;:&quot;Triple-negative breast cancer (TNBC), the deadliest form of this disease, lacks a targeted therapy. TNBC tumors that fail to respond to chemotherapy are characterized by a repressed IFN/signal transducer and activator of transcription (IFN/STAT) gene signature and are often enriched for cancer stem cells (CSCs). We have found that human mammary epithelial cells that undergo an epithelial-tomesenchymal transition (EMT) following transformation acquire CSC properties. These mesenchymal/CSCs have a significantly repressed IFN/STAT gene expression signature and an enhanced ability to migrate and form tumor spheres. Treatment with IFN-beta (IFN-β) led to a less aggressive epithelial/non-CSC-like state, with repressed expression of mesenchymal proteins (VIMENTIN, SLUG), reduced migration and tumor sphere formation, and reexpression of CD24 (a surface marker for non-CSCs), concomitant with an epithelium-like morphology. The CSC-like properties were correlated with high levels of unphosphorylated IFN-stimulated gene factor 3 (U-ISGF3), which was previously linked to resistance to DNA damage. Inhibiting the expression of IRF9 (the DNA-binding component of U-ISGF3) reduced the migration of mesenchymal/CSCs. Here we report a positive translational role for IFN-β, as gene expression profiling of patient-derived TNBC tumors demonstrates that an IFN-β metagene signature correlates with improved patient survival, an immune response linked with tumor-infiltrating lymphocytes (TILs), and a repressed CSC metagene signature. Taken together, our findings indicate that repressed IFN signaling in TNBCs with CSC-like properties is due to high levels of U-ISGF3 and that treatment with IFN-β reduces CSC properties, suggesting a therapeutic strategy to treat drug-resistant, highly aggressive TNBC tumors.&quot;,&quot;publisher&quot;:&quot;National Academy of Sciences&quot;,&quot;issue&quot;:&quot;52&quot;,&quot;volume&quot;:&quot;114&quot;},&quot;isTemporary&quot;:false}],&quot;properties&quot;:{&quot;noteIndex&quot;:0},&quot;isEdited&quot;:false,&quot;manualOverride&quot;:{&quot;isManuallyOverriden&quot;:false,&quot;citeprocText&quot;:&quot;(Doherty &lt;i&gt;et al.&lt;/i&gt;, 2017)&quot;,&quot;manualOverrideText&quot;:&quot;&quot;},&quot;citationTag&quot;:&quot;MENDELEY_CITATION_v3_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&quot;},{&quot;citationID&quot;:&quot;MENDELEY_CITATION_b688a7df-dfdc-4298-8d2b-aedd3f58130d&quot;,&quot;citationItems&quot;:[{&quot;id&quot;:&quot;1e82afef-6da0-30c2-b3d8-3b68bf7f4555&quot;,&quot;itemData&quot;:{&quot;type&quot;:&quot;article-journal&quot;,&quot;id&quot;:&quot;1e82afef-6da0-30c2-b3d8-3b68bf7f4555&quot;,&quot;title&quot;:&quot;IFN-β affects the angiogenic potential of circulating angiogenic cells by activating calpain 1&quot;,&quot;author&quot;:[{&quot;family&quot;:&quot;Yıldırım&quot;,&quot;given&quot;:&quot;Cansu&quot;,&quot;parse-names&quot;:false,&quot;dropping-particle&quot;:&quot;&quot;,&quot;non-dropping-particle&quot;:&quot;&quot;},{&quot;family&quot;:&quot;Favre&quot;,&quot;given&quot;:&quot;Julie&quot;,&quot;parse-names&quot;:false,&quot;dropping-particle&quot;:&quot;&quot;,&quot;non-dropping-particle&quot;:&quot;&quot;},{&quot;family&quot;:&quot;Weijers&quot;,&quot;given&quot;:&quot;Ester M.&quot;,&quot;parse-names&quot;:false,&quot;dropping-particle&quot;:&quot;&quot;,&quot;non-dropping-particle&quot;:&quot;&quot;},{&quot;family&quot;:&quot;Fontijn&quot;,&quot;given&quot;:&quot;Ruud D.&quot;,&quot;parse-names&quot;:false,&quot;dropping-particle&quot;:&quot;&quot;,&quot;non-dropping-particle&quot;:&quot;&quot;},{&quot;family&quot;:&quot;Wijhe&quot;,&quot;given&quot;:&quot;Michiel H.&quot;,&quot;parse-names&quot;:false,&quot;dropping-particle&quot;:&quot;&quot;,&quot;non-dropping-particle&quot;:&quot;van&quot;},{&quot;family&quot;:&quot;Vliet&quot;,&quot;given&quot;:&quot;Sandra J.&quot;,&quot;parse-names&quot;:false,&quot;dropping-particle&quot;:&quot;&quot;,&quot;non-dropping-particle&quot;:&quot;van&quot;},{&quot;family&quot;:&quot;Boon&quot;,&quot;given&quot;:&quot;Reinier A.&quot;,&quot;parse-names&quot;:false,&quot;dropping-particle&quot;:&quot;&quot;,&quot;non-dropping-particle&quot;:&quot;&quot;},{&quot;family&quot;:&quot;Koolwijk&quot;,&quot;given&quot;:&quot;Pieter&quot;,&quot;parse-names&quot;:false,&quot;dropping-particle&quot;:&quot;&quot;,&quot;non-dropping-particle&quot;:&quot;&quot;},{&quot;family&quot;:&quot;Pouw Kraan&quot;,&quot;given&quot;:&quot;Tineke C. T. M.&quot;,&quot;parse-names&quot;:false,&quot;dropping-particle&quot;:&quot;&quot;,&quot;non-dropping-particle&quot;:&quot;van der&quot;},{&quot;family&quot;:&quot;Horrevoets&quot;,&quot;given&quot;:&quot;Anton J. G.&quot;,&quot;parse-names&quot;:false,&quot;dropping-particle&quot;:&quot;&quot;,&quot;non-dropping-particle&quot;:&quot;&quot;}],&quot;container-title&quot;:&quot;American Journal of Physiology-Heart and Circulatory Physiology&quot;,&quot;accessed&quot;:{&quot;date-parts&quot;:[[2021,1,31]]},&quot;DOI&quot;:&quot;10.1152/ajpheart.00810.2014&quot;,&quot;ISSN&quot;:&quot;0363-6135&quot;,&quot;URL&quot;:&quot;https://www.physiology.org/doi/10.1152/ajpheart.00810.2014&quot;,&quot;issued&quot;:{&quot;date-parts&quot;:[[2015,11,15]]},&quot;page&quot;:&quot;H1667-H1678&quot;,&quot;abstract&quot;:&quot;&lt;p&gt; Circulating angiogenic cells (CACs) are monocyte-derived cells with endothelial characteristics, which contribute to both angiogenesis and arteriogenesis in a paracrine way. Interferon-β (IFN-β) is known to inhibit these divergent processes in animals and patients. We hypothesized that IFN-β might act by affecting the differentiation and function of CACs. CACs were cultured from peripheral blood mononuclear cells and phenotypically characterized by surface expression of monocytic and endothelial markers. IFN-β significantly reduced the number of CACs by 18–64%. Apoptosis was not induced by IFN-β, neither in mononuclear cells during differentiation, nor after maturation to CACs. Rather, IFN-β impaired adhesion to, and spreading on, fibronectin, which was dependent on α &lt;sub&gt;5&lt;/sub&gt; β &lt;sub&gt;1&lt;/sub&gt; (VLA-5)-integrin. IFN-β affected the function of VLA-5 in mature CACs, leading to rounding and detachment of cells, by induction of calpain 1 activity. Cell rounding and detachment was completely reversed by inhibition of calpain 1 activity in mature CACs. During in vitro capillary formation, CAC addition and calpain 1 inhibition enhanced sprouting of endothelial cells to a comparable extent, but were not sufficient to rescue tube formation in the presence of IFN-β. We show that the IFN-β-induced reduction of the numbers of in vitro differentiated CACs is based on activation of calpain 1, resulting in an attenuated adhesion to extracellular matrix proteins via VLA-5. In vivo, this could lead to inhibition of vessel formation due to reduction of the locally recruited CAC numbers and their paracrine angiogenic factors. &lt;/p&gt;&quot;,&quot;publisher&quot;:&quot;American Physiological Society&quot;,&quot;issue&quot;:&quot;10&quot;,&quot;volume&quot;:&quot;309&quot;},&quot;isTemporary&quot;:false}],&quot;properties&quot;:{&quot;noteIndex&quot;:0},&quot;isEdited&quot;:false,&quot;manualOverride&quot;:{&quot;isManuallyOverriden&quot;:false,&quot;citeprocText&quot;:&quot;(Yıldırım &lt;i&gt;et al.&lt;/i&gt;, 2015)&quot;,&quot;manualOverrideText&quot;:&quot;&quot;},&quot;citationTag&quot;:&quot;MENDELEY_CITATION_v3_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&quot;},{&quot;citationID&quot;:&quot;MENDELEY_CITATION_cf9a15d4-c713-4077-8b34-5963cccc5ae6&quot;,&quot;citationItems&quot;:[{&quot;id&quot;:&quot;383b8f6e-6484-39a1-a563-4f2725c285fe&quot;,&quot;itemData&quot;:{&quot;type&quot;:&quot;article-journal&quot;,&quot;id&quot;:&quot;383b8f6e-6484-39a1-a563-4f2725c285fe&quot;,&quot;title&quot;:&quot;Blocking interferon β stimulates vascular smooth muscle cell proliferation and arteriogenesis&quot;,&quot;author&quot;:[{&quot;family&quot;:&quot;Schirmer&quot;,&quot;given&quot;:&quot;SH&quot;,&quot;parse-names&quot;:false,&quot;dropping-particle&quot;:&quot;&quot;,&quot;non-dropping-particle&quot;:&quot;&quot;},{&quot;family&quot;:&quot;Bot&quot;,&quot;given&quot;:&quot;PT&quot;,&quot;parse-names&quot;:false,&quot;dropping-particle&quot;:&quot;&quot;,&quot;non-dropping-particle&quot;:&quot;&quot;},{&quot;family&quot;:&quot;…&quot;,&quot;given&quot;:&quot;JO Fledderus - Journal of Biological&quot;,&quot;parse-names&quot;:false,&quot;dropping-particle&quot;:&quot;&quot;,&quot;non-dropping-particle&quot;:&quot;&quot;},{&quot;family&quot;:&quot;2010&quot;,&quot;given&quot;:&quot;undefined&quot;,&quot;parse-names&quot;:false,&quot;dropping-particle&quot;:&quot;&quot;,&quot;non-dropping-particle&quot;:&quot;&quot;}],&quot;container-title&quot;:&quot;Elsevier&quot;,&quot;accessed&quot;:{&quot;date-parts&quot;:[[2021,1,31]]},&quot;URL&quot;:&quot;https://www.sciencedirect.com/science/article/pii/S0021925820470097&quot;},&quot;isTemporary&quot;:false}],&quot;properties&quot;:{&quot;noteIndex&quot;:0},&quot;isEdited&quot;:false,&quot;manualOverride&quot;:{&quot;isManuallyOverriden&quot;:false,&quot;citeprocText&quot;:&quot;(Schirmer, Bot and …, 2010)&quot;,&quot;manualOverrideText&quot;:&quot;&quot;},&quot;citationTag&quot;:&quot;MENDELEY_CITATION_v3_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&quot;},{&quot;citationID&quot;:&quot;MENDELEY_CITATION_931868cc-9bc0-40b1-b49d-2e43eda1a10b&quot;,&quot;citationItems&quot;:[{&quot;id&quot;:&quot;92b80d95-f0fb-3da0-987d-94dee137f3fd&quot;,&quot;itemData&quot;:{&quot;type&quot;:&quot;article-journal&quot;,&quot;id&quot;:&quot;92b80d95-f0fb-3da0-987d-94dee137f3fd&quot;,&quot;title&quot;:&quot;Meningitis bacterium is viable without endotoxin&quot;,&quot;author&quot;:[{&quot;family&quot;:&quot;Steeghs&quot;,&quot;given&quot;:&quot;L&quot;,&quot;parse-names&quot;:false,&quot;dropping-particle&quot;:&quot;&quot;,&quot;non-dropping-particle&quot;:&quot;&quot;},{&quot;family&quot;:&quot;Hartog&quot;,&quot;given&quot;:&quot;R&quot;,&quot;parse-names&quot;:false,&quot;dropping-particle&quot;:&quot;den&quot;,&quot;non-dropping-particle&quot;:&quot;&quot;},{&quot;family&quot;:&quot;Boer&quot;,&quot;given&quot;:&quot;A&quot;,&quot;parse-names&quot;:false,&quot;dropping-particle&quot;:&quot;den&quot;,&quot;non-dropping-particle&quot;:&quot;&quot;},{&quot;family&quot;:&quot;Nature&quot;,&quot;given&quot;:&quot;B Zomer -&quot;,&quot;parse-names&quot;:false,&quot;dropping-particle&quot;:&quot;&quot;,&quot;non-dropping-particle&quot;:&quot;&quot;},{&quot;family&quot;:&quot;1998&quot;,&quot;given&quot;:&quot;undefined&quot;,&quot;parse-names&quot;:false,&quot;dropping-particle&quot;:&quot;&quot;,&quot;non-dropping-particle&quot;:&quot;&quot;}],&quot;container-title&quot;:&quot;nature.com&quot;,&quot;accessed&quot;:{&quot;date-parts&quot;:[[2021,1,31]]},&quot;URL&quot;:&quot;https://www.nature.com/articles/33046&quot;},&quot;isTemporary&quot;:false}],&quot;properties&quot;:{&quot;noteIndex&quot;:0},&quot;isEdited&quot;:false,&quot;manualOverride&quot;:{&quot;isManuallyOverriden&quot;:false,&quot;citeprocText&quot;:&quot;(Steeghs &lt;i&gt;et al.&lt;/i&gt;, 1998)&quot;,&quot;manualOverrideText&quot;:&quot;&quot;},&quot;citationTag&quot;:&quot;MENDELEY_CITATION_v3_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&quot;},{&quot;citationID&quot;:&quot;MENDELEY_CITATION_7b56067f-5843-4d47-b817-a304a9b33dbf&quot;,&quot;citationItems&quot;:[{&quot;id&quot;:&quot;fdf91d15-0166-33b8-be21-28f2250cb46c&quot;,&quot;itemData&quot;:{&quot;type&quot;:&quot;article-journal&quot;,&quot;id&quot;:&quot;fdf91d15-0166-33b8-be21-28f2250cb46c&quot;,&quot;title&quot;:&quot;Outer membrane composition of a lipopolysaccharide-deficient Neisseria meningitidis mutant&quot;,&quot;author&quot;:[{&quot;family&quot;:&quot;Steeghs&quot;,&quot;given&quot;:&quot;Liana&quot;,&quot;parse-names&quot;:false,&quot;dropping-particle&quot;:&quot;&quot;,&quot;non-dropping-particle&quot;:&quot;&quot;},{&quot;family&quot;:&quot;Cock&quot;,&quot;given&quot;:&quot;Hans&quot;,&quot;parse-names&quot;:false,&quot;dropping-particle&quot;:&quot;&quot;,&quot;non-dropping-particle&quot;:&quot;de&quot;},{&quot;family&quot;:&quot;Evers&quot;,&quot;given&quot;:&quot;Evert&quot;,&quot;parse-names&quot;:false,&quot;dropping-particle&quot;:&quot;&quot;,&quot;non-dropping-particle&quot;:&quot;&quot;},{&quot;family&quot;:&quot;Zomer&quot;,&quot;given&quot;:&quot;Bert&quot;,&quot;parse-names&quot;:false,&quot;dropping-particle&quot;:&quot;&quot;,&quot;non-dropping-particle&quot;:&quot;&quot;},{&quot;family&quot;:&quot;Tommassen&quot;,&quot;given&quot;:&quot;Jan&quot;,&quot;parse-names&quot;:false,&quot;dropping-particle&quot;:&quot;&quot;,&quot;non-dropping-particle&quot;:&quot;&quot;},{&quot;family&quot;:&quot;Ley&quot;,&quot;given&quot;:&quot;Peter&quot;,&quot;parse-names&quot;:false,&quot;dropping-particle&quot;:&quot;&quot;,&quot;non-dropping-particle&quot;:&quot;van der&quot;}],&quot;container-title&quot;:&quot;EMBO Journal&quot;,&quot;accessed&quot;:{&quot;date-parts&quot;:[[2021,1,31]]},&quot;DOI&quot;:&quot;10.1093/emboj/20.24.6937&quot;,&quot;ISSN&quot;:&quot;02614189&quot;,&quot;PMID&quot;:&quot;11742971&quot;,&quot;issued&quot;:{&quot;date-parts&quot;:[[2001,12,17]]},&quot;page&quot;:&quot;6937-6945&quot;,&quot;abstract&quot;:&quot;In the pathogen Neisseria meningitidis, a completely lipopolysaccharide (LPS)-deficient but viable mutant can be obtained by insertional inactivation of the lpxA gene, encoding UDP-GlcNAc acyltransferase required for the first step of lipid A biosynthesis. To study how outer membrane structure and biogenesis are affected by the absence of this normally major component, inner and outer membranes were separated and their composition analysed. The expression and assembly of integral outer membrane proteins appeared largely unaffected. However, the expression of iron limitation-inducible, cell surface-exposed lipoproteins was greatly reduced. Major changes were seen in the phospholipid composition, with a shift towards phosphatidylethanolamine and phosphatidylglycerol species containing mostly shorter chain, saturated fatty acids, one of which was unique to the LPS-deficient outer membrane. The presence of the capsular polysaccharide turned out to be essential for viability without LPS, as demonstrated by using a strain in which LPS biosynthesis could be switched on or off through a tac promoter-controlled lpxA gene. Taken together, these results can help to explain why meningococci have the unique ability to survive without LPS.&quot;,&quot;issue&quot;:&quot;24&quot;,&quot;volume&quot;:&quot;20&quot;},&quot;isTemporary&quot;:false}],&quot;properties&quot;:{&quot;noteIndex&quot;:0},&quot;isEdited&quot;:false,&quot;manualOverride&quot;:{&quot;isManuallyOverriden&quot;:false,&quot;citeprocText&quot;:&quot;(Steeghs &lt;i&gt;et al.&lt;/i&gt;, 2001)&quot;,&quot;manualOverrideText&quot;:&quot;&quot;},&quot;citationTag&quot;:&quot;MENDELEY_CITATION_v3_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&quot;},{&quot;citationID&quot;:&quot;MENDELEY_CITATION_51dd498f-fbb0-4b21-ae58-679421ca5446&quot;,&quot;citationItems&quot;:[{&quot;id&quot;:&quot;87b0e0a6-e48f-3784-b318-86c76aa93bae&quot;,&quot;itemData&quot;:{&quot;type&quot;:&quot;article-journal&quot;,&quot;id&quot;:&quot;87b0e0a6-e48f-3784-b318-86c76aa93bae&quot;,&quot;title&quot;:&quot;Differential induction of the toll-like receptor 4-MyD88-dependent and -independent signaling pathways by endotoxins.&quot;,&quot;author&quot;:[{&quot;family&quot;:&quot;Zughaier&quot;,&quot;given&quot;:&quot;Susu M&quot;,&quot;parse-names&quot;:false,&quot;dropping-particle&quot;:&quot;&quot;,&quot;non-dropping-particle&quot;:&quot;&quot;},{&quot;family&quot;:&quot;Zimmer&quot;,&quot;given&quot;:&quot;Shanta M&quot;,&quot;parse-names&quot;:false,&quot;dropping-particle&quot;:&quot;&quot;,&quot;non-dropping-particle&quot;:&quot;&quot;},{&quot;family&quot;:&quot;Datta&quot;,&quot;given&quot;:&quot;Anup&quot;,&quot;parse-names&quot;:false,&quot;dropping-particle&quot;:&quot;&quot;,&quot;non-dropping-particle&quot;:&quot;&quot;},{&quot;family&quot;:&quot;Carlson&quot;,&quot;given&quot;:&quot;Russell W&quot;,&quot;parse-names&quot;:false,&quot;dropping-particle&quot;:&quot;&quot;,&quot;non-dropping-particle&quot;:&quot;&quot;},{&quot;family&quot;:&quot;Stephens&quot;,&quot;given&quot;:&quot;David S&quot;,&quot;parse-names&quot;:false,&quot;dropping-particle&quot;:&quot;&quot;,&quot;non-dropping-particle&quot;:&quot;&quot;}],&quot;container-title&quot;:&quot;Infection and immunity&quot;,&quot;accessed&quot;:{&quot;date-parts&quot;:[[2019,3,30]]},&quot;DOI&quot;:&quot;10.1128/IAI.73.5.2940-2950.2005&quot;,&quot;ISSN&quot;:&quot;0019-9567&quot;,&quot;PMID&quot;:&quot;15845500&quot;,&quot;URL&quot;:&quot;http://iai.asm.org/cgi/doi/10.1128/IAI.73.5.2940-2950.2005&quot;,&quot;issued&quot;:{&quot;date-parts&quot;:[[2005,5,1]]},&quot;page&quot;:&quot;2940-50&quot;,&quot;abstract&quot;:&quot;The biological response to endotoxin mediated through the Toll-like receptor 4 (TLR4)-MD-2 receptor complex is directly related to lipid A structure or configuration. Endotoxin structure may also influence activation of the MyD88-dependent and -independent signaling pathways of TLR4. To address this possibility, human macrophage-like cell lines (THP-1, U937, and MM6) or murine macrophage RAW 264.7 cells were stimulated with picomolar concentrations of highly purified endotoxins. Harvested supernatants from previously stimulated cells were also used to stimulate RAW 264.7 or 23ScCr (TLR4-deficient) macrophages (i.e., indirect induction). Neisseria meningitidis lipooligosaccharide (LOS) was a potent direct inducer of the MyD88-dependent pathway molecules tumor necrosis factor alpha (TNF-alpha), interleukin-1beta (IL-1beta), monocyte chemoattractant protein 1 (MCP-1), macrophage inflammatory protein 3alpha (MIP-3alpha), and the MyD88-independent molecules beta interferon (IFN-beta), nitric oxide, and IFN-gamma-inducible protein 10 (IP-10). Escherichia coli 55:B5 and Vibrio cholerae lipopolysaccharides (LPSs) at the same pmole/ml lipid A concentrations induced comparable levels of TNF-alpha, IL-1beta, and MIP-3alpha, but significantly less IFN-beta, nitric oxide, and IP-10. In contrast, LPS from Salmonella enterica serovars Minnesota and Typhimurium induced amounts of IFN-beta, nitric oxide, and IP-10 similar to meningococcal LOS but much less TNF-alpha and MIP-3alpha in time course and dose-response experiments. No MyD88-dependent or -independent response to endotoxin was seen in TLR4-deficient cell lines (C3H/HeJ and 23ScCr) and response was restored in TLR4-MD-2-transfected human embryonic kidney 293 cells. Blocking the MyD88-dependent pathway by DNMyD88 resulted in significant reduction of TNF-alpha release but did not influence nitric oxide release. IFN-beta polyclonal antibody and IFN-alpha/beta receptor 1 antibody significantly reduced nitric oxide release. N. meningitidis endotoxin was a potent agonist of both the MyD88-dependent and -independent signaling pathways of the TLR4 receptor complex of human macrophages. E. coli 55:B5 and Vibrio cholerae LPS, at the same picomolar lipid A concentrations, selectively induced the MyD88-dependent pathway, while Salmonella LPS activated the MyD88-independent pathway.&quot;,&quot;issue&quot;:&quot;5&quot;,&quot;volume&quot;:&quot;73&quot;},&quot;isTemporary&quot;:false}],&quot;properties&quot;:{&quot;noteIndex&quot;:0},&quot;isEdited&quot;:false,&quot;manualOverride&quot;:{&quot;isManuallyOverriden&quot;:false,&quot;citeprocText&quot;:&quot;(Zughaier &lt;i&gt;et al.&lt;/i&gt;, 2005)&quot;,&quot;manualOverrideText&quot;:&quot;&quot;},&quot;citationTag&quot;:&quot;MENDELEY_CITATION_v3_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&quot;},{&quot;citationID&quot;:&quot;MENDELEY_CITATION_895adb09-d089-4b64-8743-656c0dcf009f&quot;,&quot;citationItems&quot;:[{&quot;id&quot;:&quot;cf9d037b-2e30-3ebb-94c1-491fe2e96ff4&quot;,&quot;itemData&quot;:{&quot;type&quot;:&quot;article-journal&quot;,&quot;id&quot;:&quot;cf9d037b-2e30-3ebb-94c1-491fe2e96ff4&quot;,&quot;title&quot;:&quot;Lipopolysaccharide (LPS)-binding protein stimulates CD14-dependent Toll-like receptor 4 internalization and LPS-induced TBK1-IKKα-IRF3 axis activation&quot;,&quot;author&quot;:[{&quot;family&quot;:&quot;Tsukamoto&quot;,&quot;given&quot;:&quot;Hiroki&quot;,&quot;parse-names&quot;:false,&quot;dropping-particle&quot;:&quot;&quot;,&quot;non-dropping-particle&quot;:&quot;&quot;},{&quot;family&quot;:&quot;Takeuchi&quot;,&quot;given&quot;:&quot;Shino&quot;,&quot;parse-names&quot;:false,&quot;dropping-particle&quot;:&quot;&quot;,&quot;non-dropping-particle&quot;:&quot;&quot;},{&quot;family&quot;:&quot;Kubota&quot;,&quot;given&quot;:&quot;Kanae&quot;,&quot;parse-names&quot;:false,&quot;dropping-particle&quot;:&quot;&quot;,&quot;non-dropping-particle&quot;:&quot;&quot;},{&quot;family&quot;:&quot;Kobayashi&quot;,&quot;given&quot;:&quot;Yohei&quot;,&quot;parse-names&quot;:false,&quot;dropping-particle&quot;:&quot;&quot;,&quot;non-dropping-particle&quot;:&quot;&quot;},{&quot;family&quot;:&quot;Kozakai&quot;,&quot;given&quot;:&quot;Sao&quot;,&quot;parse-names&quot;:false,&quot;dropping-particle&quot;:&quot;&quot;,&quot;non-dropping-particle&quot;:&quot;&quot;},{&quot;family&quot;:&quot;Ukai&quot;,&quot;given&quot;:&quot;Ippo&quot;,&quot;parse-names&quot;:false,&quot;dropping-particle&quot;:&quot;&quot;,&quot;non-dropping-particle&quot;:&quot;&quot;},{&quot;family&quot;:&quot;Shichiku&quot;,&quot;given&quot;:&quot;Ayumi&quot;,&quot;parse-names&quot;:false,&quot;dropping-particle&quot;:&quot;&quot;,&quot;non-dropping-particle&quot;:&quot;&quot;},{&quot;family&quot;:&quot;Okubo&quot;,&quot;given&quot;:&quot;Misaki&quot;,&quot;parse-names&quot;:false,&quot;dropping-particle&quot;:&quot;&quot;,&quot;non-dropping-particle&quot;:&quot;&quot;},{&quot;family&quot;:&quot;Numasaki&quot;,&quot;given&quot;:&quot;Muneo&quot;,&quot;parse-names&quot;:false,&quot;dropping-particle&quot;:&quot;&quot;,&quot;non-dropping-particle&quot;:&quot;&quot;},{&quot;family&quot;:&quot;Kanemitsu&quot;,&quot;given&quot;:&quot;Yoshitomi&quot;,&quot;parse-names&quot;:false,&quot;dropping-particle&quot;:&quot;&quot;,&quot;non-dropping-particle&quot;:&quot;&quot;},{&quot;family&quot;:&quot;Matsumoto&quot;,&quot;given&quot;:&quot;Yotaro&quot;,&quot;parse-names&quot;:false,&quot;dropping-particle&quot;:&quot;&quot;,&quot;non-dropping-particle&quot;:&quot;&quot;},{&quot;family&quot;:&quot;Nochi&quot;,&quot;given&quot;:&quot;Tomonori&quot;,&quot;parse-names&quot;:false,&quot;dropping-particle&quot;:&quot;&quot;,&quot;non-dropping-particle&quot;:&quot;&quot;},{&quot;family&quot;:&quot;Watanabe&quot;,&quot;given&quot;:&quot;Koui Chi&quot;,&quot;parse-names&quot;:false,&quot;dropping-particle&quot;:&quot;&quot;,&quot;non-dropping-particle&quot;:&quot;&quot;},{&quot;family&quot;:&quot;Aso&quot;,&quot;given&quot;:&quot;Hisashi&quot;,&quot;parse-names&quot;:false,&quot;dropping-particle&quot;:&quot;&quot;,&quot;non-dropping-particle&quot;:&quot;&quot;},{&quot;family&quot;:&quot;Tomioka&quot;,&quot;given&quot;:&quot;Yoshihisa&quot;,&quot;parse-names&quot;:false,&quot;dropping-particle&quot;:&quot;&quot;,&quot;non-dropping-particle&quot;:&quot;&quot;}],&quot;container-title&quot;:&quot;Journal of Biological Chemistry&quot;,&quot;accessed&quot;:{&quot;date-parts&quot;:[[2021,1,31]]},&quot;DOI&quot;:&quot;10.1074/jbc.M117.796631&quot;,&quot;ISSN&quot;:&quot;1083351X&quot;,&quot;PMID&quot;:&quot;29760187&quot;,&quot;issued&quot;:{&quot;date-parts&quot;:[[2018,6,29]]},&quot;page&quot;:&quot;10186-10201&quot;,&quot;abstract&quot;:&quot;Toll-like receptor 4 (TLR4) is an indispensable immune receptor for lipopolysaccharide (LPS), a major component of the Gram-negative bacterial cell wall. Following LPS stimulation, TLR4 trnsmits the signal from the cell surface and becomes internalized in an endosome. However, the spatial regulation of TLR4 signaling is not fully understood. Here, we investigated the mechanisms of LPS-induced TLR4 internalization and clarified the roles of the extracellular LPS-binding molecules, LPSbinding protein (LBP), and glycerophosphatidylinositol-anchored protein (CD14). LPS stimulation of CD14-expressing cells inducedTLR4internalization in the presence of serum, and an inhibitory anti-LBP mAb blocked its internalization. Addition of LBP to serum-free cultures restored LPS-induced TLR4 internalization to comparable levels of serum. The secretory form of the CD14 (sCD14) induced internalization but required a much higher concentration than LBP. An inhibitory antisCD14mAbwas ineffective for serum-mediated internalization. LBP lacking the domain for LPS transfer to CD14 and a CD14 mutant with reduced LPS binding both attenuated TLR4 internalization. Accordingly, LBP is an essential serum molecule for TLR4 internalization, and its LPS transfer to membrane-anchored CD14 (mCD14) is a prerequisite. LBP induced the LPSstimulated phosphorylation of TBK1, IKKϵ, and IRF3, leading to IFN-β expression. However, LPS-stimulated late activation of NF-κB or necroptosis were not affected. Collectively, our results indicate that LBP controls LPS-induced TLR4 internalization, which induces TLR adaptor molecule 1 (TRIF)-dependent activation of the TBK1-IKKϵ-IRF3-IFN-β pathway. In summary, we showed that LBP-mediated LPS transfer to mCD14 is required for serum-dependent TLR4 internalization and activation of the TRIF pathway.&quot;,&quot;publisher&quot;:&quot;American Society for Biochemistry and Molecular Biology Inc.&quot;,&quot;issue&quot;:&quot;26&quot;,&quot;volume&quot;:&quot;293&quot;},&quot;isTemporary&quot;:false}],&quot;properties&quot;:{&quot;noteIndex&quot;:0},&quot;isEdited&quot;:false,&quot;manualOverride&quot;:{&quot;isManuallyOverridden&quot;:false,&quot;citeprocText&quot;:&quot;(Tsukamoto &lt;i&gt;et al.&lt;/i&gt;, 2018)&quot;,&quot;manualOverrideText&quot;:&quot;&quot;},&quot;citationTag&quot;:&quot;MENDELEY_CITATION_v3_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&quot;},{&quot;citationID&quot;:&quot;MENDELEY_CITATION_e0b5d32b-6fce-469b-82aa-b50b57d86b81&quot;,&quot;citationItems&quot;:[{&quot;id&quot;:&quot;911efd23-0d19-3d1d-be88-ee4a69a0bc31&quot;,&quot;itemData&quot;:{&quot;type&quot;:&quot;article-journal&quot;,&quot;id&quot;:&quot;911efd23-0d19-3d1d-be88-ee4a69a0bc31&quot;,&quot;title&quot;:&quot;The molecular mechanism of species-specific recognition of lipopolysaccharides by the MD-2/TLR4 receptor complex&quot;,&quot;author&quot;:[{&quot;family&quot;:&quot;Oblak&quot;,&quot;given&quot;:&quot;Alja&quot;,&quot;parse-names&quot;:false,&quot;dropping-particle&quot;:&quot;&quot;,&quot;non-dropping-particle&quot;:&quot;&quot;},{&quot;family&quot;:&quot;Jerala&quot;,&quot;given&quot;:&quot;Roman&quot;,&quot;parse-names&quot;:false,&quot;dropping-particle&quot;:&quot;&quot;,&quot;non-dropping-particle&quot;:&quot;&quot;}],&quot;container-title&quot;:&quot;Molecular Immunology&quot;,&quot;accessed&quot;:{&quot;date-parts&quot;:[[2018,4,5]]},&quot;DOI&quot;:&quot;10.1016/J.MOLIMM.2014.06.034&quot;,&quot;ISSN&quot;:&quot;0161-5890&quot;,&quot;URL&quot;:&quot;https://www.sciencedirect.com/science/article/pii/S0161589014001655&quot;,&quot;issued&quot;:{&quot;date-parts&quot;:[[2015,2,1]]},&quot;page&quot;:&quot;134-142&quot;,&quot;abstract&quot;:&quot;Lipid A, a component of bacterial lipopolysaccharide, is a conserved microbe-associated molecular pattern that activates the MD-2/TLR4 receptor complex. Nevertheless, bacteria produce lipid A molecules of considerable structural diversity. The human MD-2/TLR4 receptor most efficiently recognizes hexaacylated bisphosphorylated lipid A produced by enterobacteria, but in some animal species the immune response can be elicited also by alternative lipid A varieties, such as tetraacylated lipid IVa or pentaacylated lipid A of Rhodobacter spheroides. Several crystal structures revealed that hexaacylated lipid A and tetraacylated lipid IVa activate the murine MD-2/TLR4 in a similar manner, but failed to explain the antagonistic vs. agonistic activity of lipid IVa in the human vs. equine receptor, respectively. Targeted mutagenesis studies of the receptor complex revealed intricate combination of electrostatic and hydrophobic interactions primarily within the MD-2 co-receptor, but with a contribution of TLR4 as well, that contribute to species-specific recognition of lipid A. We will review current knowledge regarding lipid A diversity and species-specific activation of the MD-2/TLR4 receptor complex in different species (e.g. human, mouse or equine) by lipid A varieties.&quot;,&quot;publisher&quot;:&quot;Pergamon&quot;,&quot;issue&quot;:&quot;2&quot;,&quot;volume&quot;:&quot;63&quot;},&quot;isTemporary&quot;:false},{&quot;id&quot;:&quot;0ce2d165-19cf-370f-a8f1-64c1a05d1fe9&quot;,&quot;itemData&quot;:{&quot;type&quot;:&quot;article&quot;,&quot;id&quot;:&quot;0ce2d165-19cf-370f-a8f1-64c1a05d1fe9&quot;,&quot;title&quot;:&quot;Application of hybrid LRR technique to protein crystallization&quot;,&quot;author&quot;:[{&quot;family&quot;:&quot;Mi&quot;,&quot;given&quot;:&quot;Sun Jin&quot;,&quot;parse-names&quot;:false,&quot;dropping-particle&quot;:&quot;&quot;,&quot;non-dropping-particle&quot;:&quot;&quot;},{&quot;family&quot;:&quot;Lee&quot;,&quot;given&quot;:&quot;Jie Oh&quot;,&quot;parse-names&quot;:false,&quot;dropping-particle&quot;:&quot;&quot;,&quot;non-dropping-particle&quot;:&quot;&quot;}],&quot;container-title&quot;:&quot;Journal of Biochemistry and Molecular Biology&quot;,&quot;accessed&quot;:{&quot;date-parts&quot;:[[2021,1,26]]},&quot;DOI&quot;:&quot;10.5483/bmbrep.2008.41.5.353&quot;,&quot;ISSN&quot;:&quot;12258687&quot;,&quot;PMID&quot;:&quot;18510864&quot;,&quot;URL&quot;:&quot;http://bmbreports.org&quot;,&quot;issued&quot;:{&quot;date-parts&quot;:[[2008,5]]},&quot;page&quot;:&quot;353-357&quot;,&quot;abstract&quot;:&quot;LRR family proteins play important roles in a variety of physiological processes. To facilitate their production and crystallization, we have invented a novel method termed \&quot;Hybrid LRR Technique\&quot;. Using this technique, the first crystal structures of three TLR family proteins could be determined. In this review, design principles and application of the technique to protein crystallization will be summarized. For crystallization of TLRs, hagfish VLR receptors were chosen as the fusion partners and the TLR and the VLR fragments were fused at the conserved LxxLxLxxN motif to minimize local structural incompatibility. TLR-VLR hybridization did not disturb structures and functions of the target TLR proteins. The Hybrid LRR Technique is a general technique that can be applied to structural studies of other LRR proteins. It may also have broader application in biochemical and medical application of LRR proteins by modifying them without compromising their structural integrity.&quot;,&quot;publisher&quot;:&quot;Korean Society for Biochemistry and Molecular Biology&quot;,&quot;issue&quot;:&quot;5&quot;,&quot;volume&quot;:&quot;41&quot;},&quot;isTemporary&quot;:false}],&quot;properties&quot;:{&quot;noteIndex&quot;:0},&quot;isEdited&quot;:false,&quot;manualOverride&quot;:{&quot;isManuallyOverriden&quot;:false,&quot;citeprocText&quot;:&quot;(Mi and Lee, 2008; Oblak and Jerala, 2015)&quot;,&quot;manualOverrideText&quot;:&quot;&quot;},&quot;citationTag&quot;:&quot;MENDELEY_CITATION_v3_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&quot;},{&quot;citationID&quot;:&quot;MENDELEY_CITATION_31f39c29-14e7-471f-b9fb-2ffec7b6d2b3&quot;,&quot;citationItems&quot;:[{&quot;id&quot;:&quot;69302d28-1d30-37e4-9b63-b893669d9ad2&quot;,&quot;itemData&quot;:{&quot;type&quot;:&quot;article-journal&quot;,&quot;id&quot;:&quot;69302d28-1d30-37e4-9b63-b893669d9ad2&quot;,&quot;title&quot;:&quot;Structure-Activity Relationship of Synthetic Toll-like Receptor 4 Agonists&quot;,&quot;author&quot;:[{&quot;family&quot;:&quot;Stöver&quot;,&quot;given&quot;:&quot;Axel G.&quot;,&quot;parse-names&quot;:false,&quot;dropping-particle&quot;:&quot;&quot;,&quot;non-dropping-particle&quot;:&quot;&quot;},{&quot;family&quot;:&quot;Silva Correia&quot;,&quot;given&quot;:&quot;Jean&quot;,&quot;parse-names&quot;:false,&quot;dropping-particle&quot;:&quot;&quot;,&quot;non-dropping-particle&quot;:&quot;da&quot;},{&quot;family&quot;:&quot;Evans&quot;,&quot;given&quot;:&quot;Jay T.&quot;,&quot;parse-names&quot;:false,&quot;dropping-particle&quot;:&quot;&quot;,&quot;non-dropping-particle&quot;:&quot;&quot;},{&quot;family&quot;:&quot;Cluff&quot;,&quot;given&quot;:&quot;Christopher W.&quot;,&quot;parse-names&quot;:false,&quot;dropping-particle&quot;:&quot;&quot;,&quot;non-dropping-particle&quot;:&quot;&quot;},{&quot;family&quot;:&quot;Elliott&quot;,&quot;given&quot;:&quot;Mark W.&quot;,&quot;parse-names&quot;:false,&quot;dropping-particle&quot;:&quot;&quot;,&quot;non-dropping-particle&quot;:&quot;&quot;},{&quot;family&quot;:&quot;Jeffery&quot;,&quot;given&quot;:&quot;Eric W.&quot;,&quot;parse-names&quot;:false,&quot;dropping-particle&quot;:&quot;&quot;,&quot;non-dropping-particle&quot;:&quot;&quot;},{&quot;family&quot;:&quot;Johnson&quot;,&quot;given&quot;:&quot;David A.&quot;,&quot;parse-names&quot;:false,&quot;dropping-particle&quot;:&quot;&quot;,&quot;non-dropping-particle&quot;:&quot;&quot;},{&quot;family&quot;:&quot;Lacy&quot;,&quot;given&quot;:&quot;Michael J.&quot;,&quot;parse-names&quot;:false,&quot;dropping-particle&quot;:&quot;&quot;,&quot;non-dropping-particle&quot;:&quot;&quot;},{&quot;family&quot;:&quot;Baldridge&quot;,&quot;given&quot;:&quot;Jory R.&quot;,&quot;parse-names&quot;:false,&quot;dropping-particle&quot;:&quot;&quot;,&quot;non-dropping-particle&quot;:&quot;&quot;},{&quot;family&quot;:&quot;Probst&quot;,&quot;given&quot;:&quot;Peter&quot;,&quot;parse-names&quot;:false,&quot;dropping-particle&quot;:&quot;&quot;,&quot;non-dropping-particle&quot;:&quot;&quot;},{&quot;family&quot;:&quot;Ulevitch&quot;,&quot;given&quot;:&quot;Richard J.&quot;,&quot;parse-names&quot;:false,&quot;dropping-particle&quot;:&quot;&quot;,&quot;non-dropping-particle&quot;:&quot;&quot;},{&quot;family&quot;:&quot;Persing&quot;,&quot;given&quot;:&quot;David H.&quot;,&quot;parse-names&quot;:false,&quot;dropping-particle&quot;:&quot;&quot;,&quot;non-dropping-particle&quot;:&quot;&quot;},{&quot;family&quot;:&quot;Hershberg&quot;,&quot;given&quot;:&quot;Robert M.&quot;,&quot;parse-names&quot;:false,&quot;dropping-particle&quot;:&quot;&quot;,&quot;non-dropping-particle&quot;:&quot;&quot;}],&quot;container-title&quot;:&quot;Journal of Biological Chemistry&quot;,&quot;accessed&quot;:{&quot;date-parts&quot;:[[2021,1,31]]},&quot;DOI&quot;:&quot;10.1074/jbc.M310760200&quot;,&quot;ISSN&quot;:&quot;00219258&quot;,&quot;PMID&quot;:&quot;14570885&quot;,&quot;issued&quot;:{&quot;date-parts&quot;:[[2004,2,6]]},&quot;page&quot;:&quot;4440-4449&quot;,&quot;abstract&quot;:&quot;Important questions remain regarding the impact of variations in the structure of the lipid A portion of lipopolysaccharide on activation of cells via the Toll-like receptor 4 complex. We have studied a series of synthetic lipid A mimetic compounds known as aminoalkyl glucosaminide phosphates in which the length of the secondary acyl chain has been systematically varied. Using transcriptional profiling of human monocytes and responses of Toll-like receptor 4 complex cell transfectants, we demonstrate a clear dependence of length on secondary acyl chain on Toll-like receptor 4 activation. Compounds with secondary acyl chains less than eight carbons in length have dramatically reduced activity, and substitutions of the left-sided secondary acyl chain had the most important effect on the Toll-like receptor 4 agonist activity of these molecules. The structure-function relationships of these compounds assessed via the induction of chemokines and cytokines following in vivo administration closely mirrored those seen with cell-based studies. This novel set of synthetic lipid A mimetics will be useful for Toll-like receptor 4-based investigations and may have clinical utility as stand-alone immunomodulators.&quot;,&quot;publisher&quot;:&quot;Elsevier&quot;,&quot;issue&quot;:&quot;6&quot;,&quot;volume&quot;:&quot;279&quot;},&quot;isTemporary&quot;:false}],&quot;properties&quot;:{&quot;noteIndex&quot;:0},&quot;isEdited&quot;:false,&quot;manualOverride&quot;:{&quot;isManuallyOverriden&quot;:false,&quot;citeprocText&quot;:&quot;(Stöver &lt;i&gt;et al.&lt;/i&gt;, 2004)&quot;,&quot;manualOverrideText&quot;:&quot;&quot;},&quot;citationTag&quot;:&quot;MENDELEY_CITATION_v3_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&quot;},{&quot;citationID&quot;:&quot;MENDELEY_CITATION_3975eeb1-43ed-4edc-b81b-a97041ca0178&quot;,&quot;citationItems&quot;:[{&quot;id&quot;:&quot;db38ab0c-9187-3697-b13b-51e7a6bb5d81&quot;,&quot;itemData&quot;:{&quot;type&quot;:&quot;article-journal&quot;,&quot;id&quot;:&quot;db38ab0c-9187-3697-b13b-51e7a6bb5d81&quot;,&quot;title&quot;:&quot;Hemin-Dependent Modulation of the Lipid A Structure of Porphyromonas gingivalis Lipopolysaccharide&quot;,&quot;author&quot;:[{&quot;family&quot;:&quot;Al-Qutub&quot;,&quot;given&quot;:&quot;Montaser N&quot;,&quot;parse-names&quot;:false,&quot;dropping-particle&quot;:&quot;&quot;,&quot;non-dropping-particle&quot;:&quot;&quot;},{&quot;family&quot;:&quot;Braham&quot;,&quot;given&quot;:&quot;Pamela H&quot;,&quot;parse-names&quot;:false,&quot;dropping-particle&quot;:&quot;&quot;,&quot;non-dropping-particle&quot;:&quot;&quot;},{&quot;family&quot;:&quot;Karimi-Naser&quot;,&quot;given&quot;:&quot;Lisa M&quot;,&quot;parse-names&quot;:false,&quot;dropping-particle&quot;:&quot;&quot;,&quot;non-dropping-particle&quot;:&quot;&quot;},{&quot;family&quot;:&quot;Liu&quot;,&quot;given&quot;:&quot;Xinyan&quot;,&quot;parse-names&quot;:false,&quot;dropping-particle&quot;:&quot;&quot;,&quot;non-dropping-particle&quot;:&quot;&quot;},{&quot;family&quot;:&quot;Genco&quot;,&quot;given&quot;:&quot;Caroline A&quot;,&quot;parse-names&quot;:false,&quot;dropping-particle&quot;:&quot;&quot;,&quot;non-dropping-particle&quot;:&quot;&quot;},{&quot;family&quot;:&quot;Darveau&quot;,&quot;given&quot;:&quot;Richard P&quot;,&quot;parse-names&quot;:false,&quot;dropping-particle&quot;:&quot;&quot;,&quot;non-dropping-particle&quot;:&quot;&quot;}],&quot;container-title&quot;:&quot;INFECTION AND IMMUNITY&quot;,&quot;accessed&quot;:{&quot;date-parts&quot;:[[2021,1,31]]},&quot;DOI&quot;:&quot;10.1128/IAI.01924-05&quot;,&quot;URL&quot;:&quot;http://iai.asm.org/&quot;,&quot;issued&quot;:{&quot;date-parts&quot;:[[2006]]},&quot;page&quot;:&quot;4474-4485&quot;,&quot;abstract&quot;:&quot;Porphyromonas gingivalis is a periopathogen strongly associated with the development of adult-type peri-odontitis. Both the virulence characteristics of periopathogens and host-related factors are believed to contribute to periodontitis. P. gingivalis lipopolysaccharide (LPS) displays a significant amount of lipid A structural heterogeneity, containing both penta-and tetra-acylated lipid A structures. However, little is known concerning how the lipid A structural content of P. gingivalis is regulated. Alterations in the lipid A content may facilitate the ability of P. gingivalis to modulate the innate host response to this bacterium. In this report, it is shown that the concentration of hemin in the growth medium significantly modulates the lipopolysaccharide lipid A structural content of P. gingivalis. Hemin is a key microenvironmental component of gingival cervicular fluid which is believed to vary depending upon the state of vascular ulceration. At low hemin concentrations, one major penta-acylated lipid A structure was found, whereas at high concentrations of hemin, multiple tetra-and penta-acylated lipid A structures were observed. Hemin concentrations, not iron acquisition, were responsible for the alterations in the lipid A structural content. The modifications of the lipid A structural content were independent of the LPS extraction procedure and occurred in a variety of laboratory strains as well as a freshly obtained clinical isolate. The known hemin binding proteins Kgp and HmuR contributed to the lipid A modulation sensing mechanism. To the best of our knowledge, this is the first report that hemin, a clinically relevant microenvironmental component for P. gingivalis, can modulate the lipid A structure found in a bacterium. Since tetra-and penta-acylated P. gingivalis lipid A structures have opposing effects on Toll-like receptor 4 activation, the alteration of the lipid A structural content may have significant effects on the host response to this bacterium.&quot;,&quot;issue&quot;:&quot;8&quot;,&quot;volume&quot;:&quot;74&quot;},&quot;isTemporary&quot;:false},{&quot;id&quot;:&quot;8bbb4f23-b5bb-3629-8e3a-7eb160272581&quot;,&quot;itemData&quot;:{&quot;type&quot;:&quot;article-journal&quot;,&quot;id&quot;:&quot;8bbb4f23-b5bb-3629-8e3a-7eb160272581&quot;,&quot;title&quot;:&quot;Porphyromonas gingivalis LPS stimulates the expression of LPS-binding protein in human oral keratinocytes in vitro&quot;,&quot;author&quot;:[{&quot;family&quot;:&quot;Ding&quot;,&quot;given&quot;:&quot;Pei Hui&quot;,&quot;parse-names&quot;:false,&quot;dropping-particle&quot;:&quot;&quot;,&quot;non-dropping-particle&quot;:&quot;&quot;},{&quot;family&quot;:&quot;Wang&quot;,&quot;given&quot;:&quot;Cun Yu&quot;,&quot;parse-names&quot;:false,&quot;dropping-particle&quot;:&quot;&quot;,&quot;non-dropping-particle&quot;:&quot;&quot;},{&quot;family&quot;:&quot;Darveau&quot;,&quot;given&quot;:&quot;Richard P.&quot;,&quot;parse-names&quot;:false,&quot;dropping-particle&quot;:&quot;&quot;,&quot;non-dropping-particle&quot;:&quot;&quot;},{&quot;family&quot;:&quot;Jin&quot;,&quot;given&quot;:&quot;Lijian&quot;,&quot;parse-names&quot;:false,&quot;dropping-particle&quot;:&quot;&quot;,&quot;non-dropping-particle&quot;:&quot;&quot;}],&quot;container-title&quot;:&quot;Innate Immunity&quot;,&quot;accessed&quot;:{&quot;date-parts&quot;:[[2021,1,31]]},&quot;DOI&quot;:&quot;10.1177/1753425912450348&quot;,&quot;ISSN&quot;:&quot;17534259&quot;,&quot;PMID&quot;:&quot;22736337&quot;,&quot;URL&quot;:&quot;http://journals.sagepub.com/doi/10.1177/1753425912450348&quot;,&quot;issued&quot;:{&quot;date-parts&quot;:[[2013,2,26]]},&quot;page&quot;:&quot;66-75&quot;,&quot;abstract&quot;:&quot;LPS-binding protein (LBP) functions as a crucial molecule in innate immune responses to bacterial challenge. Our study has shown the expression of LBP in human gingiva and its significant association with periodontal health and disease. Porphyromonas gingivalis is a key pathogen of periodontal disease. P. gingivalis LPS as a main virulence factor is strongly involved in periodontal pathogenesis and it displays a significant lipid A structural heterogeneity. Currently, it remains unknown whether, and to what extent, the lipid A structural heterogeneity of P. gingivalis LPS affects LBP expression. The present study investigated the expression profile of LBP in human oral keratinocytes (HOKs) stimulated by two isoforms of P. gingivalis LPS [tetra- (LPS1435/1449) and penta-acylated (LPS1690)] and Escherichia coli LPS, and the involvement of TLRs in LBP expression. The results showed that the expression of LBP mRNA and peptide was significantly up-regulated by P. gingivalis LPS1690 and E. coli LPS, while P. gingivalis LPS1435/1449 did not affect LBP expression. Blocking assay and siRNA gene silencing revealed that P. gingivalis LPS1690-induced LBP expression was through both TLR2 and TLR4. This in vitro study demonstrates that P. gingivalis LPS with a lipid A structural heterogeneity differentially modulates LBP expression in HOKs. © The Author(s) 2012 Reprints and permissions: sagepub.co.uk/journalsPermissions.nav.&quot;,&quot;publisher&quot;:&quot;SAGE PublicationsSage UK: London, England&quot;,&quot;issue&quot;:&quot;1&quot;,&quot;volume&quot;:&quot;19&quot;},&quot;isTemporary&quot;:false}],&quot;properties&quot;:{&quot;noteIndex&quot;:0},&quot;isEdited&quot;:false,&quot;manualOverride&quot;:{&quot;isManuallyOverriden&quot;:false,&quot;citeprocText&quot;:&quot;(Al-Qutub &lt;i&gt;et al.&lt;/i&gt;, 2006; Ding &lt;i&gt;et al.&lt;/i&gt;, 2013)&quot;,&quot;manualOverrideText&quot;:&quot;&quot;},&quot;citationTag&quot;:&quot;MENDELEY_CITATION_v3_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&quot;},{&quot;citationID&quot;:&quot;MENDELEY_CITATION_7ca26abd-5dd7-48a2-8fc6-b636f5484d81&quot;,&quot;citationItems&quot;:[{&quot;id&quot;:&quot;2f79a0ac-2949-3f3f-8e0b-95b07f416f0d&quot;,&quot;itemData&quot;:{&quot;type&quot;:&quot;article-journal&quot;,&quot;id&quot;:&quot;2f79a0ac-2949-3f3f-8e0b-95b07f416f0d&quot;,&quot;title&quot;:&quot;R-form LPS, the master key to the activation ofTLR4/MD-2-positive cells&quot;,&quot;author&quot;:[{&quot;family&quot;:&quot;Huber&quot;,&quot;given&quot;:&quot;Michael&quot;,&quot;parse-names&quot;:false,&quot;dropping-particle&quot;:&quot;&quot;,&quot;non-dropping-particle&quot;:&quot;&quot;},{&quot;family&quot;:&quot;Kalis&quot;,&quot;given&quot;:&quot;Christoph&quot;,&quot;parse-names&quot;:false,&quot;dropping-particle&quot;:&quot;&quot;,&quot;non-dropping-particle&quot;:&quot;&quot;},{&quot;family&quot;:&quot;Keck&quot;,&quot;given&quot;:&quot;Simone&quot;,&quot;parse-names&quot;:false,&quot;dropping-particle&quot;:&quot;&quot;,&quot;non-dropping-particle&quot;:&quot;&quot;},{&quot;family&quot;:&quot;Jiang&quot;,&quot;given&quot;:&quot;Zhengfan&quot;,&quot;parse-names&quot;:false,&quot;dropping-particle&quot;:&quot;&quot;,&quot;non-dropping-particle&quot;:&quot;&quot;},{&quot;family&quot;:&quot;Georgel&quot;,&quot;given&quot;:&quot;Philippe&quot;,&quot;parse-names&quot;:false,&quot;dropping-particle&quot;:&quot;&quot;,&quot;non-dropping-particle&quot;:&quot;&quot;},{&quot;family&quot;:&quot;Du&quot;,&quot;given&quot;:&quot;Xin&quot;,&quot;parse-names&quot;:false,&quot;dropping-particle&quot;:&quot;&quot;,&quot;non-dropping-particle&quot;:&quot;&quot;},{&quot;family&quot;:&quot;Shamel&quot;,&quot;given&quot;:&quot;Louis&quot;,&quot;parse-names&quot;:false,&quot;dropping-particle&quot;:&quot;&quot;,&quot;non-dropping-particle&quot;:&quot;&quot;},{&quot;family&quot;:&quot;Sovath&quot;,&quot;given&quot;:&quot;Sosathya&quot;,&quot;parse-names&quot;:false,&quot;dropping-particle&quot;:&quot;&quot;,&quot;non-dropping-particle&quot;:&quot;&quot;},{&quot;family&quot;:&quot;Mudd&quot;,&quot;given&quot;:&quot;Suzanne&quot;,&quot;parse-names&quot;:false,&quot;dropping-particle&quot;:&quot;&quot;,&quot;non-dropping-particle&quot;:&quot;&quot;},{&quot;family&quot;:&quot;Beutler&quot;,&quot;given&quot;:&quot;Bruce&quot;,&quot;parse-names&quot;:false,&quot;dropping-particle&quot;:&quot;&quot;,&quot;non-dropping-particle&quot;:&quot;&quot;},{&quot;family&quot;:&quot;Galanos&quot;,&quot;given&quot;:&quot;Chris&quot;,&quot;parse-names&quot;:false,&quot;dropping-particle&quot;:&quot;&quot;,&quot;non-dropping-particle&quot;:&quot;&quot;},{&quot;family&quot;:&quot;Freudenberg&quot;,&quot;given&quot;:&quot;Marina A.&quot;,&quot;parse-names&quot;:false,&quot;dropping-particle&quot;:&quot;&quot;,&quot;non-dropping-particle&quot;:&quot;&quot;}],&quot;container-title&quot;:&quot;European Journal of Immunology&quot;,&quot;accessed&quot;:{&quot;date-parts&quot;:[[2019,1,9]]},&quot;DOI&quot;:&quot;10.1002/eji.200535593&quot;,&quot;ISSN&quot;:&quot;0014-2980&quot;,&quot;URL&quot;:&quot;http://doi.wiley.com/10.1002/eji.200535593&quot;,&quot;issued&quot;:{&quot;date-parts&quot;:[[2006,3,1]]},&quot;page&quot;:&quot;701-711&quot;,&quot;publisher&quot;:&quot;John Wiley &amp; Sons, Ltd&quot;,&quot;issue&quot;:&quot;3&quot;,&quot;volume&quot;:&quot;36&quot;},&quot;isTemporary&quot;:false}],&quot;properties&quot;:{&quot;noteIndex&quot;:0},&quot;isEdited&quot;:false,&quot;manualOverride&quot;:{&quot;isManuallyOverriden&quot;:false,&quot;citeprocText&quot;:&quot;(Huber &lt;i&gt;et al.&lt;/i&gt;, 2006)&quot;,&quot;manualOverrideText&quot;:&quot;Huber et al., 2006&quot;,&quot;isManuallyOverridden&quot;:true},&quot;citationTag&quot;:&quot;MENDELEY_CITATION_v3_eyJjaXRhdGlvbklEIjoiTUVOREVMRVlfQ0lUQVRJT05fN2NhMjZhYmQtNWRkNy00OGEyLThmYzYtYjYzNmY1NDg0ZDgx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JIdWJlciBldCBhbC4sIDIwMDYiLCJpc01hbnVhbGx5T3ZlcnJpZGRlbiI6dHJ1ZX19&quot;},{&quot;citationID&quot;:&quot;MENDELEY_CITATION_ad010856-c62e-48d5-982a-a8daa5d4810c&quot;,&quot;citationItems&quot;:[{&quot;id&quot;:&quot;2f79a0ac-2949-3f3f-8e0b-95b07f416f0d&quot;,&quot;itemData&quot;:{&quot;type&quot;:&quot;article-journal&quot;,&quot;id&quot;:&quot;2f79a0ac-2949-3f3f-8e0b-95b07f416f0d&quot;,&quot;title&quot;:&quot;R-form LPS, the master key to the activation ofTLR4/MD-2-positive cells&quot;,&quot;author&quot;:[{&quot;family&quot;:&quot;Huber&quot;,&quot;given&quot;:&quot;Michael&quot;,&quot;parse-names&quot;:false,&quot;dropping-particle&quot;:&quot;&quot;,&quot;non-dropping-particle&quot;:&quot;&quot;},{&quot;family&quot;:&quot;Kalis&quot;,&quot;given&quot;:&quot;Christoph&quot;,&quot;parse-names&quot;:false,&quot;dropping-particle&quot;:&quot;&quot;,&quot;non-dropping-particle&quot;:&quot;&quot;},{&quot;family&quot;:&quot;Keck&quot;,&quot;given&quot;:&quot;Simone&quot;,&quot;parse-names&quot;:false,&quot;dropping-particle&quot;:&quot;&quot;,&quot;non-dropping-particle&quot;:&quot;&quot;},{&quot;family&quot;:&quot;Jiang&quot;,&quot;given&quot;:&quot;Zhengfan&quot;,&quot;parse-names&quot;:false,&quot;dropping-particle&quot;:&quot;&quot;,&quot;non-dropping-particle&quot;:&quot;&quot;},{&quot;family&quot;:&quot;Georgel&quot;,&quot;given&quot;:&quot;Philippe&quot;,&quot;parse-names&quot;:false,&quot;dropping-particle&quot;:&quot;&quot;,&quot;non-dropping-particle&quot;:&quot;&quot;},{&quot;family&quot;:&quot;Du&quot;,&quot;given&quot;:&quot;Xin&quot;,&quot;parse-names&quot;:false,&quot;dropping-particle&quot;:&quot;&quot;,&quot;non-dropping-particle&quot;:&quot;&quot;},{&quot;family&quot;:&quot;Shamel&quot;,&quot;given&quot;:&quot;Louis&quot;,&quot;parse-names&quot;:false,&quot;dropping-particle&quot;:&quot;&quot;,&quot;non-dropping-particle&quot;:&quot;&quot;},{&quot;family&quot;:&quot;Sovath&quot;,&quot;given&quot;:&quot;Sosathya&quot;,&quot;parse-names&quot;:false,&quot;dropping-particle&quot;:&quot;&quot;,&quot;non-dropping-particle&quot;:&quot;&quot;},{&quot;family&quot;:&quot;Mudd&quot;,&quot;given&quot;:&quot;Suzanne&quot;,&quot;parse-names&quot;:false,&quot;dropping-particle&quot;:&quot;&quot;,&quot;non-dropping-particle&quot;:&quot;&quot;},{&quot;family&quot;:&quot;Beutler&quot;,&quot;given&quot;:&quot;Bruce&quot;,&quot;parse-names&quot;:false,&quot;dropping-particle&quot;:&quot;&quot;,&quot;non-dropping-particle&quot;:&quot;&quot;},{&quot;family&quot;:&quot;Galanos&quot;,&quot;given&quot;:&quot;Chris&quot;,&quot;parse-names&quot;:false,&quot;dropping-particle&quot;:&quot;&quot;,&quot;non-dropping-particle&quot;:&quot;&quot;},{&quot;family&quot;:&quot;Freudenberg&quot;,&quot;given&quot;:&quot;Marina A.&quot;,&quot;parse-names&quot;:false,&quot;dropping-particle&quot;:&quot;&quot;,&quot;non-dropping-particle&quot;:&quot;&quot;}],&quot;container-title&quot;:&quot;European Journal of Immunology&quot;,&quot;accessed&quot;:{&quot;date-parts&quot;:[[2019,1,9]]},&quot;DOI&quot;:&quot;10.1002/eji.200535593&quot;,&quot;ISSN&quot;:&quot;0014-2980&quot;,&quot;URL&quot;:&quot;http://doi.wiley.com/10.1002/eji.200535593&quot;,&quot;issued&quot;:{&quot;date-parts&quot;:[[2006,3,1]]},&quot;page&quot;:&quot;701-711&quot;,&quot;publisher&quot;:&quot;John Wiley &amp; Sons, Ltd&quot;,&quot;issue&quot;:&quot;3&quot;,&quot;volume&quot;:&quot;36&quot;},&quot;isTemporary&quot;:false}],&quot;properties&quot;:{&quot;noteIndex&quot;:0},&quot;isEdited&quot;:false,&quot;manualOverride&quot;:{&quot;isManuallyOverriden&quot;:false,&quot;citeprocText&quot;:&quot;(Huber &lt;i&gt;et al.&lt;/i&gt;, 2006)&quot;,&quot;manualOverrideText&quot;:&quot;&quot;},&quot;citationTag&quot;:&quot;MENDELEY_CITATION_v3_eyJjaXRhdGlvbklEIjoiTUVOREVMRVlfQ0lUQVRJT05fYWQwMTA4NTYtYzYyZS00OGQ1LTk4MmEtYThkYWE1ZDQ4MTBj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quot;},{&quot;citationID&quot;:&quot;MENDELEY_CITATION_0b3a4e8f-abb3-4723-a253-bbc6bc8504c4&quot;,&quot;citationItems&quot;:[{&quot;id&quot;:&quot;2f79a0ac-2949-3f3f-8e0b-95b07f416f0d&quot;,&quot;itemData&quot;:{&quot;type&quot;:&quot;article-journal&quot;,&quot;id&quot;:&quot;2f79a0ac-2949-3f3f-8e0b-95b07f416f0d&quot;,&quot;title&quot;:&quot;R-form LPS, the master key to the activation ofTLR4/MD-2-positive cells&quot;,&quot;author&quot;:[{&quot;family&quot;:&quot;Huber&quot;,&quot;given&quot;:&quot;Michael&quot;,&quot;parse-names&quot;:false,&quot;dropping-particle&quot;:&quot;&quot;,&quot;non-dropping-particle&quot;:&quot;&quot;},{&quot;family&quot;:&quot;Kalis&quot;,&quot;given&quot;:&quot;Christoph&quot;,&quot;parse-names&quot;:false,&quot;dropping-particle&quot;:&quot;&quot;,&quot;non-dropping-particle&quot;:&quot;&quot;},{&quot;family&quot;:&quot;Keck&quot;,&quot;given&quot;:&quot;Simone&quot;,&quot;parse-names&quot;:false,&quot;dropping-particle&quot;:&quot;&quot;,&quot;non-dropping-particle&quot;:&quot;&quot;},{&quot;family&quot;:&quot;Jiang&quot;,&quot;given&quot;:&quot;Zhengfan&quot;,&quot;parse-names&quot;:false,&quot;dropping-particle&quot;:&quot;&quot;,&quot;non-dropping-particle&quot;:&quot;&quot;},{&quot;family&quot;:&quot;Georgel&quot;,&quot;given&quot;:&quot;Philippe&quot;,&quot;parse-names&quot;:false,&quot;dropping-particle&quot;:&quot;&quot;,&quot;non-dropping-particle&quot;:&quot;&quot;},{&quot;family&quot;:&quot;Du&quot;,&quot;given&quot;:&quot;Xin&quot;,&quot;parse-names&quot;:false,&quot;dropping-particle&quot;:&quot;&quot;,&quot;non-dropping-particle&quot;:&quot;&quot;},{&quot;family&quot;:&quot;Shamel&quot;,&quot;given&quot;:&quot;Louis&quot;,&quot;parse-names&quot;:false,&quot;dropping-particle&quot;:&quot;&quot;,&quot;non-dropping-particle&quot;:&quot;&quot;},{&quot;family&quot;:&quot;Sovath&quot;,&quot;given&quot;:&quot;Sosathya&quot;,&quot;parse-names&quot;:false,&quot;dropping-particle&quot;:&quot;&quot;,&quot;non-dropping-particle&quot;:&quot;&quot;},{&quot;family&quot;:&quot;Mudd&quot;,&quot;given&quot;:&quot;Suzanne&quot;,&quot;parse-names&quot;:false,&quot;dropping-particle&quot;:&quot;&quot;,&quot;non-dropping-particle&quot;:&quot;&quot;},{&quot;family&quot;:&quot;Beutler&quot;,&quot;given&quot;:&quot;Bruce&quot;,&quot;parse-names&quot;:false,&quot;dropping-particle&quot;:&quot;&quot;,&quot;non-dropping-particle&quot;:&quot;&quot;},{&quot;family&quot;:&quot;Galanos&quot;,&quot;given&quot;:&quot;Chris&quot;,&quot;parse-names&quot;:false,&quot;dropping-particle&quot;:&quot;&quot;,&quot;non-dropping-particle&quot;:&quot;&quot;},{&quot;family&quot;:&quot;Freudenberg&quot;,&quot;given&quot;:&quot;Marina A.&quot;,&quot;parse-names&quot;:false,&quot;dropping-particle&quot;:&quot;&quot;,&quot;non-dropping-particle&quot;:&quot;&quot;}],&quot;container-title&quot;:&quot;European Journal of Immunology&quot;,&quot;accessed&quot;:{&quot;date-parts&quot;:[[2019,1,9]]},&quot;DOI&quot;:&quot;10.1002/eji.200535593&quot;,&quot;ISSN&quot;:&quot;0014-2980&quot;,&quot;URL&quot;:&quot;http://doi.wiley.com/10.1002/eji.200535593&quot;,&quot;issued&quot;:{&quot;date-parts&quot;:[[2006,3,1]]},&quot;page&quot;:&quot;701-711&quot;,&quot;publisher&quot;:&quot;John Wiley &amp; Sons, Ltd&quot;,&quot;issue&quot;:&quot;3&quot;,&quot;volume&quot;:&quot;36&quot;},&quot;isTemporary&quot;:false}],&quot;properties&quot;:{&quot;noteIndex&quot;:0},&quot;isEdited&quot;:false,&quot;manualOverride&quot;:{&quot;isManuallyOverriden&quot;:false,&quot;citeprocText&quot;:&quot;(Huber &lt;i&gt;et al.&lt;/i&gt;, 2006)&quot;,&quot;manualOverrideText&quot;:&quot;&quot;},&quot;citationTag&quot;:&quot;MENDELEY_CITATION_v3_eyJjaXRhdGlvbklEIjoiTUVOREVMRVlfQ0lUQVRJT05fMGIzYTRlOGYtYWJiMy00NzIzLWEyNTMtYmJjNmJjODUwNGM0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quot;},{&quot;citationID&quot;:&quot;MENDELEY_CITATION_69073fda-b8d3-428f-94fd-d25d40534be1&quot;,&quot;citationItems&quot;:[{&quot;id&quot;:&quot;2f79a0ac-2949-3f3f-8e0b-95b07f416f0d&quot;,&quot;itemData&quot;:{&quot;type&quot;:&quot;article-journal&quot;,&quot;id&quot;:&quot;2f79a0ac-2949-3f3f-8e0b-95b07f416f0d&quot;,&quot;title&quot;:&quot;R-form LPS, the master key to the activation ofTLR4/MD-2-positive cells&quot;,&quot;author&quot;:[{&quot;family&quot;:&quot;Huber&quot;,&quot;given&quot;:&quot;Michael&quot;,&quot;parse-names&quot;:false,&quot;dropping-particle&quot;:&quot;&quot;,&quot;non-dropping-particle&quot;:&quot;&quot;},{&quot;family&quot;:&quot;Kalis&quot;,&quot;given&quot;:&quot;Christoph&quot;,&quot;parse-names&quot;:false,&quot;dropping-particle&quot;:&quot;&quot;,&quot;non-dropping-particle&quot;:&quot;&quot;},{&quot;family&quot;:&quot;Keck&quot;,&quot;given&quot;:&quot;Simone&quot;,&quot;parse-names&quot;:false,&quot;dropping-particle&quot;:&quot;&quot;,&quot;non-dropping-particle&quot;:&quot;&quot;},{&quot;family&quot;:&quot;Jiang&quot;,&quot;given&quot;:&quot;Zhengfan&quot;,&quot;parse-names&quot;:false,&quot;dropping-particle&quot;:&quot;&quot;,&quot;non-dropping-particle&quot;:&quot;&quot;},{&quot;family&quot;:&quot;Georgel&quot;,&quot;given&quot;:&quot;Philippe&quot;,&quot;parse-names&quot;:false,&quot;dropping-particle&quot;:&quot;&quot;,&quot;non-dropping-particle&quot;:&quot;&quot;},{&quot;family&quot;:&quot;Du&quot;,&quot;given&quot;:&quot;Xin&quot;,&quot;parse-names&quot;:false,&quot;dropping-particle&quot;:&quot;&quot;,&quot;non-dropping-particle&quot;:&quot;&quot;},{&quot;family&quot;:&quot;Shamel&quot;,&quot;given&quot;:&quot;Louis&quot;,&quot;parse-names&quot;:false,&quot;dropping-particle&quot;:&quot;&quot;,&quot;non-dropping-particle&quot;:&quot;&quot;},{&quot;family&quot;:&quot;Sovath&quot;,&quot;given&quot;:&quot;Sosathya&quot;,&quot;parse-names&quot;:false,&quot;dropping-particle&quot;:&quot;&quot;,&quot;non-dropping-particle&quot;:&quot;&quot;},{&quot;family&quot;:&quot;Mudd&quot;,&quot;given&quot;:&quot;Suzanne&quot;,&quot;parse-names&quot;:false,&quot;dropping-particle&quot;:&quot;&quot;,&quot;non-dropping-particle&quot;:&quot;&quot;},{&quot;family&quot;:&quot;Beutler&quot;,&quot;given&quot;:&quot;Bruce&quot;,&quot;parse-names&quot;:false,&quot;dropping-particle&quot;:&quot;&quot;,&quot;non-dropping-particle&quot;:&quot;&quot;},{&quot;family&quot;:&quot;Galanos&quot;,&quot;given&quot;:&quot;Chris&quot;,&quot;parse-names&quot;:false,&quot;dropping-particle&quot;:&quot;&quot;,&quot;non-dropping-particle&quot;:&quot;&quot;},{&quot;family&quot;:&quot;Freudenberg&quot;,&quot;given&quot;:&quot;Marina A.&quot;,&quot;parse-names&quot;:false,&quot;dropping-particle&quot;:&quot;&quot;,&quot;non-dropping-particle&quot;:&quot;&quot;}],&quot;container-title&quot;:&quot;European Journal of Immunology&quot;,&quot;accessed&quot;:{&quot;date-parts&quot;:[[2019,1,9]]},&quot;DOI&quot;:&quot;10.1002/eji.200535593&quot;,&quot;ISSN&quot;:&quot;0014-2980&quot;,&quot;URL&quot;:&quot;http://doi.wiley.com/10.1002/eji.200535593&quot;,&quot;issued&quot;:{&quot;date-parts&quot;:[[2006,3,1]]},&quot;page&quot;:&quot;701-711&quot;,&quot;publisher&quot;:&quot;John Wiley &amp; Sons, Ltd&quot;,&quot;issue&quot;:&quot;3&quot;,&quot;volume&quot;:&quot;36&quot;},&quot;isTemporary&quot;:false}],&quot;properties&quot;:{&quot;noteIndex&quot;:0},&quot;isEdited&quot;:false,&quot;manualOverride&quot;:{&quot;isManuallyOverriden&quot;:false,&quot;citeprocText&quot;:&quot;(Huber &lt;i&gt;et al.&lt;/i&gt;, 2006)&quot;,&quot;manualOverrideText&quot;:&quot;&quot;},&quot;citationTag&quot;:&quot;MENDELEY_CITATION_v3_eyJjaXRhdGlvbklEIjoiTUVOREVMRVlfQ0lUQVRJT05fNjkwNzNmZGEtYjhkMy00MjhmLTk0ZmQtZDI1ZDQwNTM0YmUx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quot;},{&quot;citationID&quot;:&quot;MENDELEY_CITATION_e3226cb1-d346-4d97-b929-077a90aa490a&quot;,&quot;citationItems&quot;:[{&quot;id&quot;:&quot;2f79a0ac-2949-3f3f-8e0b-95b07f416f0d&quot;,&quot;itemData&quot;:{&quot;type&quot;:&quot;article-journal&quot;,&quot;id&quot;:&quot;2f79a0ac-2949-3f3f-8e0b-95b07f416f0d&quot;,&quot;title&quot;:&quot;R-form LPS, the master key to the activation ofTLR4/MD-2-positive cells&quot;,&quot;author&quot;:[{&quot;family&quot;:&quot;Huber&quot;,&quot;given&quot;:&quot;Michael&quot;,&quot;parse-names&quot;:false,&quot;dropping-particle&quot;:&quot;&quot;,&quot;non-dropping-particle&quot;:&quot;&quot;},{&quot;family&quot;:&quot;Kalis&quot;,&quot;given&quot;:&quot;Christoph&quot;,&quot;parse-names&quot;:false,&quot;dropping-particle&quot;:&quot;&quot;,&quot;non-dropping-particle&quot;:&quot;&quot;},{&quot;family&quot;:&quot;Keck&quot;,&quot;given&quot;:&quot;Simone&quot;,&quot;parse-names&quot;:false,&quot;dropping-particle&quot;:&quot;&quot;,&quot;non-dropping-particle&quot;:&quot;&quot;},{&quot;family&quot;:&quot;Jiang&quot;,&quot;given&quot;:&quot;Zhengfan&quot;,&quot;parse-names&quot;:false,&quot;dropping-particle&quot;:&quot;&quot;,&quot;non-dropping-particle&quot;:&quot;&quot;},{&quot;family&quot;:&quot;Georgel&quot;,&quot;given&quot;:&quot;Philippe&quot;,&quot;parse-names&quot;:false,&quot;dropping-particle&quot;:&quot;&quot;,&quot;non-dropping-particle&quot;:&quot;&quot;},{&quot;family&quot;:&quot;Du&quot;,&quot;given&quot;:&quot;Xin&quot;,&quot;parse-names&quot;:false,&quot;dropping-particle&quot;:&quot;&quot;,&quot;non-dropping-particle&quot;:&quot;&quot;},{&quot;family&quot;:&quot;Shamel&quot;,&quot;given&quot;:&quot;Louis&quot;,&quot;parse-names&quot;:false,&quot;dropping-particle&quot;:&quot;&quot;,&quot;non-dropping-particle&quot;:&quot;&quot;},{&quot;family&quot;:&quot;Sovath&quot;,&quot;given&quot;:&quot;Sosathya&quot;,&quot;parse-names&quot;:false,&quot;dropping-particle&quot;:&quot;&quot;,&quot;non-dropping-particle&quot;:&quot;&quot;},{&quot;family&quot;:&quot;Mudd&quot;,&quot;given&quot;:&quot;Suzanne&quot;,&quot;parse-names&quot;:false,&quot;dropping-particle&quot;:&quot;&quot;,&quot;non-dropping-particle&quot;:&quot;&quot;},{&quot;family&quot;:&quot;Beutler&quot;,&quot;given&quot;:&quot;Bruce&quot;,&quot;parse-names&quot;:false,&quot;dropping-particle&quot;:&quot;&quot;,&quot;non-dropping-particle&quot;:&quot;&quot;},{&quot;family&quot;:&quot;Galanos&quot;,&quot;given&quot;:&quot;Chris&quot;,&quot;parse-names&quot;:false,&quot;dropping-particle&quot;:&quot;&quot;,&quot;non-dropping-particle&quot;:&quot;&quot;},{&quot;family&quot;:&quot;Freudenberg&quot;,&quot;given&quot;:&quot;Marina A.&quot;,&quot;parse-names&quot;:false,&quot;dropping-particle&quot;:&quot;&quot;,&quot;non-dropping-particle&quot;:&quot;&quot;}],&quot;container-title&quot;:&quot;European Journal of Immunology&quot;,&quot;accessed&quot;:{&quot;date-parts&quot;:[[2019,1,9]]},&quot;DOI&quot;:&quot;10.1002/eji.200535593&quot;,&quot;ISSN&quot;:&quot;0014-2980&quot;,&quot;URL&quot;:&quot;http://doi.wiley.com/10.1002/eji.200535593&quot;,&quot;issued&quot;:{&quot;date-parts&quot;:[[2006,3,1]]},&quot;page&quot;:&quot;701-711&quot;,&quot;publisher&quot;:&quot;John Wiley &amp; Sons, Ltd&quot;,&quot;issue&quot;:&quot;3&quot;,&quot;volume&quot;:&quot;36&quot;},&quot;isTemporary&quot;:false}],&quot;properties&quot;:{&quot;noteIndex&quot;:0},&quot;isEdited&quot;:false,&quot;manualOverride&quot;:{&quot;isManuallyOverriden&quot;:false,&quot;citeprocText&quot;:&quot;(Huber &lt;i&gt;et al.&lt;/i&gt;, 2006)&quot;,&quot;manualOverrideText&quot;:&quot;&quot;},&quot;citationTag&quot;:&quot;MENDELEY_CITATION_v3_eyJjaXRhdGlvbklEIjoiTUVOREVMRVlfQ0lUQVRJT05fZTMyMjZjYjEtZDM0Ni00ZDk3LWI5MjktMDc3YTkwYWE0OTBh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quot;},{&quot;citationID&quot;:&quot;MENDELEY_CITATION_d986ea70-8521-4568-8a50-b42b2a379097&quot;,&quot;citationItems&quot;:[{&quot;id&quot;:&quot;cf9d037b-2e30-3ebb-94c1-491fe2e96ff4&quot;,&quot;itemData&quot;:{&quot;type&quot;:&quot;article-journal&quot;,&quot;id&quot;:&quot;cf9d037b-2e30-3ebb-94c1-491fe2e96ff4&quot;,&quot;title&quot;:&quot;Lipopolysaccharide (LPS)-binding protein stimulates CD14-dependent Toll-like receptor 4 internalization and LPS-induced TBK1-IKKα-IRF3 axis activation&quot;,&quot;author&quot;:[{&quot;family&quot;:&quot;Tsukamoto&quot;,&quot;given&quot;:&quot;Hiroki&quot;,&quot;parse-names&quot;:false,&quot;dropping-particle&quot;:&quot;&quot;,&quot;non-dropping-particle&quot;:&quot;&quot;},{&quot;family&quot;:&quot;Takeuchi&quot;,&quot;given&quot;:&quot;Shino&quot;,&quot;parse-names&quot;:false,&quot;dropping-particle&quot;:&quot;&quot;,&quot;non-dropping-particle&quot;:&quot;&quot;},{&quot;family&quot;:&quot;Kubota&quot;,&quot;given&quot;:&quot;Kanae&quot;,&quot;parse-names&quot;:false,&quot;dropping-particle&quot;:&quot;&quot;,&quot;non-dropping-particle&quot;:&quot;&quot;},{&quot;family&quot;:&quot;Kobayashi&quot;,&quot;given&quot;:&quot;Yohei&quot;,&quot;parse-names&quot;:false,&quot;dropping-particle&quot;:&quot;&quot;,&quot;non-dropping-particle&quot;:&quot;&quot;},{&quot;family&quot;:&quot;Kozakai&quot;,&quot;given&quot;:&quot;Sao&quot;,&quot;parse-names&quot;:false,&quot;dropping-particle&quot;:&quot;&quot;,&quot;non-dropping-particle&quot;:&quot;&quot;},{&quot;family&quot;:&quot;Ukai&quot;,&quot;given&quot;:&quot;Ippo&quot;,&quot;parse-names&quot;:false,&quot;dropping-particle&quot;:&quot;&quot;,&quot;non-dropping-particle&quot;:&quot;&quot;},{&quot;family&quot;:&quot;Shichiku&quot;,&quot;given&quot;:&quot;Ayumi&quot;,&quot;parse-names&quot;:false,&quot;dropping-particle&quot;:&quot;&quot;,&quot;non-dropping-particle&quot;:&quot;&quot;},{&quot;family&quot;:&quot;Okubo&quot;,&quot;given&quot;:&quot;Misaki&quot;,&quot;parse-names&quot;:false,&quot;dropping-particle&quot;:&quot;&quot;,&quot;non-dropping-particle&quot;:&quot;&quot;},{&quot;family&quot;:&quot;Numasaki&quot;,&quot;given&quot;:&quot;Muneo&quot;,&quot;parse-names&quot;:false,&quot;dropping-particle&quot;:&quot;&quot;,&quot;non-dropping-particle&quot;:&quot;&quot;},{&quot;family&quot;:&quot;Kanemitsu&quot;,&quot;given&quot;:&quot;Yoshitomi&quot;,&quot;parse-names&quot;:false,&quot;dropping-particle&quot;:&quot;&quot;,&quot;non-dropping-particle&quot;:&quot;&quot;},{&quot;family&quot;:&quot;Matsumoto&quot;,&quot;given&quot;:&quot;Yotaro&quot;,&quot;parse-names&quot;:false,&quot;dropping-particle&quot;:&quot;&quot;,&quot;non-dropping-particle&quot;:&quot;&quot;},{&quot;family&quot;:&quot;Nochi&quot;,&quot;given&quot;:&quot;Tomonori&quot;,&quot;parse-names&quot;:false,&quot;dropping-particle&quot;:&quot;&quot;,&quot;non-dropping-particle&quot;:&quot;&quot;},{&quot;family&quot;:&quot;Watanabe&quot;,&quot;given&quot;:&quot;Koui Chi&quot;,&quot;parse-names&quot;:false,&quot;dropping-particle&quot;:&quot;&quot;,&quot;non-dropping-particle&quot;:&quot;&quot;},{&quot;family&quot;:&quot;Aso&quot;,&quot;given&quot;:&quot;Hisashi&quot;,&quot;parse-names&quot;:false,&quot;dropping-particle&quot;:&quot;&quot;,&quot;non-dropping-particle&quot;:&quot;&quot;},{&quot;family&quot;:&quot;Tomioka&quot;,&quot;given&quot;:&quot;Yoshihisa&quot;,&quot;parse-names&quot;:false,&quot;dropping-particle&quot;:&quot;&quot;,&quot;non-dropping-particle&quot;:&quot;&quot;}],&quot;container-title&quot;:&quot;Journal of Biological Chemistry&quot;,&quot;accessed&quot;:{&quot;date-parts&quot;:[[2021,1,31]]},&quot;DOI&quot;:&quot;10.1074/jbc.M117.796631&quot;,&quot;ISSN&quot;:&quot;1083351X&quot;,&quot;PMID&quot;:&quot;29760187&quot;,&quot;issued&quot;:{&quot;date-parts&quot;:[[2018,6,29]]},&quot;page&quot;:&quot;10186-10201&quot;,&quot;abstract&quot;:&quot;Toll-like receptor 4 (TLR4) is an indispensable immune receptor for lipopolysaccharide (LPS), a major component of the Gram-negative bacterial cell wall. Following LPS stimulation, TLR4 trnsmits the signal from the cell surface and becomes internalized in an endosome. However, the spatial regulation of TLR4 signaling is not fully understood. Here, we investigated the mechanisms of LPS-induced TLR4 internalization and clarified the roles of the extracellular LPS-binding molecules, LPSbinding protein (LBP), and glycerophosphatidylinositol-anchored protein (CD14). LPS stimulation of CD14-expressing cells inducedTLR4internalization in the presence of serum, and an inhibitory anti-LBP mAb blocked its internalization. Addition of LBP to serum-free cultures restored LPS-induced TLR4 internalization to comparable levels of serum. The secretory form of the CD14 (sCD14) induced internalization but required a much higher concentration than LBP. An inhibitory antisCD14mAbwas ineffective for serum-mediated internalization. LBP lacking the domain for LPS transfer to CD14 and a CD14 mutant with reduced LPS binding both attenuated TLR4 internalization. Accordingly, LBP is an essential serum molecule for TLR4 internalization, and its LPS transfer to membrane-anchored CD14 (mCD14) is a prerequisite. LBP induced the LPSstimulated phosphorylation of TBK1, IKKϵ, and IRF3, leading to IFN-β expression. However, LPS-stimulated late activation of NF-κB or necroptosis were not affected. Collectively, our results indicate that LBP controls LPS-induced TLR4 internalization, which induces TLR adaptor molecule 1 (TRIF)-dependent activation of the TBK1-IKKϵ-IRF3-IFN-β pathway. In summary, we showed that LBP-mediated LPS transfer to mCD14 is required for serum-dependent TLR4 internalization and activation of the TRIF pathway.&quot;,&quot;publisher&quot;:&quot;American Society for Biochemistry and Molecular Biology Inc.&quot;,&quot;issue&quot;:&quot;26&quot;,&quot;volume&quot;:&quot;293&quot;},&quot;isTemporary&quot;:false}],&quot;properties&quot;:{&quot;noteIndex&quot;:0},&quot;isEdited&quot;:false,&quot;manualOverride&quot;:{&quot;isManuallyOverriden&quot;:false,&quot;citeprocText&quot;:&quot;(Tsukamoto &lt;i&gt;et al.&lt;/i&gt;, 2018)&quot;,&quot;manualOverrideText&quot;:&quot;&quot;},&quot;citationTag&quot;:&quot;MENDELEY_CITATION_v3_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&quot;},{&quot;citationID&quot;:&quot;MENDELEY_CITATION_fc2c3c53-bc0b-4d12-8382-903844ea774d&quot;,&quot;citationItems&quot;:[{&quot;id&quot;:&quot;cc3f7221-41c9-3d7a-b712-6aefb4b401cc&quot;,&quot;itemData&quot;:{&quot;type&quot;:&quot;article-journal&quot;,&quot;id&quot;:&quot;cc3f7221-41c9-3d7a-b712-6aefb4b401cc&quot;,&quot;title&quot;:&quot;Altering the Length of the Lipopolysaccharide O Antigen Has an Impact on the Interaction of Salmonella enterica Serovar Typhimurium with Macrophages and Complement Downloaded from&quot;,&quot;author&quot;:[{&quot;family&quot;:&quot;Murray&quot;,&quot;given&quot;:&quot;Gerald L&quot;,&quot;parse-names&quot;:false,&quot;dropping-particle&quot;:&quot;&quot;,&quot;non-dropping-particle&quot;:&quot;&quot;},{&quot;family&quot;:&quot;Attridge&quot;,&quot;given&quot;:&quot;Stephen R&quot;,&quot;parse-names&quot;:false,&quot;dropping-particle&quot;:&quot;&quot;,&quot;non-dropping-particle&quot;:&quot;&quot;},{&quot;family&quot;:&quot;Morona&quot;,&quot;given&quot;:&quot;Renato&quot;,&quot;parse-names&quot;:false,&quot;dropping-particle&quot;:&quot;&quot;,&quot;non-dropping-particle&quot;:&quot;&quot;}],&quot;container-title&quot;:&quot;JOURNAL OF BACTERIOLOGY&quot;,&quot;accessed&quot;:{&quot;date-parts&quot;:[[2021,1,31]]},&quot;DOI&quot;:&quot;10.1128/JB.188.7.2735-2739.2006&quot;,&quot;ISBN&quot;:&quot;188.7.27352739.2&quot;,&quot;URL&quot;:&quot;http://jb.asm.org/&quot;,&quot;issued&quot;:{&quot;date-parts&quot;:[[2006]]},&quot;page&quot;:&quot;2735-2739&quot;,&quot;abstract&quot;:&quot;A panel of isogenic Salmonella enterica serovar Typhimurium strains that vary only in the length of the O antigen was constructed through complementation of a wzz double mutant (displaying unregulated O-antigen length) with one of two homologous (wzz ST and wzz fepE) or three heterologous (wzz O139 of Vibrio cholerae and wzz SF and wzz pHS-2 of Shigella flexneri) wzz genes. Each gene was functional in the S. enterica serovar Typhimurium host and specified production of O-antigen polymers with lengths typical of those synthesized by the donor bacteria (ranging from 2 to &gt;100 O-antigen repeat units). By use of this panel of strains, it was found that O-antigen length influences invasion/uptake by macrophage cells; this is the first time this has been shown with Salmonella. O-antigen length was confirmed to be related to complement resistance, with a minimum protective length of &gt;4 and &lt;15 repeat units. O antigen of 16 to 35 repeat units was found to activate complement more efficiently than other lengths, but this was unrelated to complement resistance. No evidence was found to suggest that modifying the length of the O-antigen polymer affected expression of the O1, O4, or O5 antigenic factors. The lipopolysaccharide (LPS) of smooth gram-negative bacteria comprises three components-lipid A, the core oligosac-charide, and O antigen (Oag). Oag is a polymer of a sugar repeat unit (RU); the numbers of RUs attached to lipid A-core are clustered around a modal value determined by Wzz proteins (3, 26). Each wzz gene specifies synthesis of an Oag of a characteristic length. Salmonella enterica serovar Typhimurium possesses two Wzz proteins: Wzz ST , which confers a modal range of 16 to 35 RUs, and Wzz fepE , which confers a very long modal length estimated to be 100 RUs (20). Mutation of both of the corresponding genes resulted in a smooth, unreg-ulated Oag phenotype characterized by predominantly short-length Oag chains and significantly compromised virulence and complement resistance (20, 21). The identification of wzz genes in many pathogenic bacterial species (18) suggests that the control of Oag length confers distinct advantages. Two functional wzz genes have been identified in Shigella flexneri (11), with the product of each wzz gene fulfilling a distinct role in pathogenesis (11, 17, 29). The interest in the role of S. enterica serovar Typhimurium Oag length is further increased by recent findings that this property is under regulatory control in vivo (2, 15, 21). Several approaches have been used to investigate the importance of Salmonella Oag length for pathogenic potential, but each has had its limitations. This study describes a new approach through complementation of a Salmonella enterica ser-ovar Typhimurium C5 double wzz mutant with heterologous wzz genes. The resulting panel of strains was used to examine new and revisit previously investigated relationships between Oag length and virulence. Our results indicate that Oag modal length impacts upon S. enterica serovar Typhimurium viru-lence-related properties. Construction of a panel of S. enterica serovar Typhimurium variants with different Oag modal lengths. C5wzz ST wzz fepE lacks the normal regulation of Oag modal length and produces predominantly short LPS Oag chains (Fig. 1, lanes 1 and 2) (20). To construct an isogenic panel of Oag modal-length variants , this double mutant was separately complemented with one of five wzz genes (wzz O139 , wzz SF , wzz ST , wzz pHS-2 , and wzz fepE) subcloned onto the low-copy-number vector pWSK29 (32). These wzz genes were chosen since they confer a variety of Oag modal lengths in their normal hosts (Table 1). The proteins encoded by the selected genes showed widely varying levels of similarity (from 20% to 70% identity). LPS was prepared from each of the resulting complemented strains, separated in a sodium dodecyl sulfate-15% polyacryl-amide gel, and detected by silver staining (20). Each of the heterologous Wzz proteins was functional in the S. enterica serovar Typhimurium C5 background, providing Oag modal-length regulation (Fig. 1, lanes 5 to 9) despite widely varying levels of similarity to the endogenous Wzz proteins. Each wzz conferred a modal length similar to that imposed in its natural host (summarized in Table 1). This demonstrates that regulation of LPS Oag modal length is a property intrinsic to Wzz proteins, confirming a previous report pertaining to S. flexneri (17). As judged by the level of staining, each strain had comparatively similar levels of core substitution with Oag. The panel of Oag variants generated in this study constitutes a unique resource for investigations into the role of Oag length in Salmonella virulence and possesses numerous advantages * Corresponding author. Mailing address: Discipline of Microbiology and Immunology,&quot;,&quot;issue&quot;:&quot;7&quot;,&quot;volume&quot;:&quot;188&quot;},&quot;isTemporary&quot;:false}],&quot;properties&quot;:{&quot;noteIndex&quot;:0},&quot;isEdited&quot;:false,&quot;manualOverride&quot;:{&quot;isManuallyOverriden&quot;:false,&quot;citeprocText&quot;:&quot;(Murray, Attridge and Morona, 2006)&quot;,&quot;manualOverrideText&quot;:&quot;&quot;},&quot;citationTag&quot;:&quot;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&quot;},{&quot;citationID&quot;:&quot;MENDELEY_CITATION_858f5997-e7a1-4b53-a792-6b7c430c0580&quot;,&quot;citationItems&quot;:[{&quot;id&quot;:&quot;885a5e5f-3bb8-3970-85e4-0894fc91c57c&quot;,&quot;itemData&quot;:{&quot;type&quot;:&quot;report&quot;,&quot;id&quot;:&quot;885a5e5f-3bb8-3970-85e4-0894fc91c57c&quot;,&quot;title&quot;:&quot;European Cardiovascular Disease Statistics 2017 edition&quot;,&quot;author&quot;:[{&quot;family&quot;:&quot;Wilkins&quot;,&quot;given&quot;:&quot;E&quot;,&quot;parse-names&quot;:false,&quot;dropping-particle&quot;:&quot;&quot;,&quot;non-dropping-particle&quot;:&quot;&quot;},{&quot;family&quot;:&quot;Wilson&quot;,&quot;given&quot;:&quot;L&quot;,&quot;parse-names&quot;:false,&quot;dropping-particle&quot;:&quot;&quot;,&quot;non-dropping-particle&quot;:&quot;&quot;},{&quot;family&quot;:&quot;Wickramasinghe&quot;,&quot;given&quot;:&quot;K&quot;,&quot;parse-names&quot;:false,&quot;dropping-particle&quot;:&quot;&quot;,&quot;non-dropping-particle&quot;:&quot;&quot;},{&quot;family&quot;:&quot;Bhatnagar&quot;,&quot;given&quot;:&quot;P&quot;,&quot;parse-names&quot;:false,&quot;dropping-particle&quot;:&quot;&quot;,&quot;non-dropping-particle&quot;:&quot;&quot;},{&quot;family&quot;:&quot;Leal&quot;,&quot;given&quot;:&quot;J&quot;,&quot;parse-names&quot;:false,&quot;dropping-particle&quot;:&quot;&quot;,&quot;non-dropping-particle&quot;:&quot;&quot;},{&quot;family&quot;:&quot;Luengo-Fernandez&quot;,&quot;given&quot;:&quot;R&quot;,&quot;parse-names&quot;:false,&quot;dropping-particle&quot;:&quot;&quot;,&quot;non-dropping-particle&quot;:&quot;&quot;},{&quot;family&quot;:&quot;Burns&quot;,&quot;given&quot;:&quot;R&quot;,&quot;parse-names&quot;:false,&quot;dropping-particle&quot;:&quot;&quot;,&quot;non-dropping-particle&quot;:&quot;&quot;},{&quot;family&quot;:&quot;Rayner&quot;,&quot;given&quot;:&quot;M&quot;,&quot;parse-names&quot;:false,&quot;dropping-particle&quot;:&quot;&quot;,&quot;non-dropping-particle&quot;:&quot;&quot;},{&quot;family&quot;:&quot;Townsend&quot;,&quot;given&quot;:&quot;N&quot;,&quot;parse-names&quot;:false,&quot;dropping-particle&quot;:&quot;&quot;,&quot;non-dropping-particle&quot;:&quot;&quot;}],&quot;accessed&quot;:{&quot;date-parts&quot;:[[2021,1,26]]},&quot;URL&quot;:&quot;www.ehnheart.org&quot;,&quot;issued&quot;:{&quot;date-parts&quot;:[[2017]]}},&quot;isTemporary&quot;:false}],&quot;properties&quot;:{&quot;noteIndex&quot;:0},&quot;isEdited&quot;:false,&quot;manualOverride&quot;:{&quot;isManuallyOverriden&quot;:false,&quot;citeprocText&quot;:&quot;(Wilkins &lt;i&gt;et al.&lt;/i&gt;, 2017)&quot;,&quot;manualOverrideText&quot;:&quot;Wilkins et al., 2017&quot;,&quot;isManuallyOverridden&quot;:true},&quot;citationTag&quot;:&quot;MENDELEY_CITATION_v3_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&quot;},{&quot;citationID&quot;:&quot;MENDELEY_CITATION_dbc77a5a-8640-4b4a-a558-6c42cdc66d27&quot;,&quot;citationItems&quot;:[{&quot;id&quot;:&quot;40f5dca4-66a8-3e00-9fe5-1ea6b71fd988&quot;,&quot;itemData&quot;:{&quot;type&quot;:&quot;article-journal&quot;,&quot;id&quot;:&quot;40f5dca4-66a8-3e00-9fe5-1ea6b71fd988&quot;,&quot;title&quot;:&quot;Prevalence of Conventional Risk Factors in Patients with Coronary Heart Disease&quot;,&quot;author&quot;:[{&quot;family&quot;:&quot;Khot&quot;,&quot;given&quot;:&quot;Umesh N.&quot;,&quot;parse-names&quot;:false,&quot;dropping-particle&quot;:&quot;&quot;,&quot;non-dropping-particle&quot;:&quot;&quot;},{&quot;family&quot;:&quot;Khot&quot;,&quot;given&quot;:&quot;Monica B.&quot;,&quot;parse-names&quot;:false,&quot;dropping-particle&quot;:&quot;&quot;,&quot;non-dropping-particle&quot;:&quot;&quot;},{&quot;family&quot;:&quot;Bajzer&quot;,&quot;given&quot;:&quot;Christopher T.&quot;,&quot;parse-names&quot;:false,&quot;dropping-particle&quot;:&quot;&quot;,&quot;non-dropping-particle&quot;:&quot;&quot;},{&quot;family&quot;:&quot;Sapp&quot;,&quot;given&quot;:&quot;Shelly K.&quot;,&quot;parse-names&quot;:false,&quot;dropping-particle&quot;:&quot;&quot;,&quot;non-dropping-particle&quot;:&quot;&quot;},{&quot;family&quot;:&quot;Ohman&quot;,&quot;given&quot;:&quot;E. Magnus&quot;,&quot;parse-names&quot;:false,&quot;dropping-particle&quot;:&quot;&quot;,&quot;non-dropping-particle&quot;:&quot;&quot;},{&quot;family&quot;:&quot;Brener&quot;,&quot;given&quot;:&quot;Sorin J.&quot;,&quot;parse-names&quot;:false,&quot;dropping-particle&quot;:&quot;&quot;,&quot;non-dropping-particle&quot;:&quot;&quot;},{&quot;family&quot;:&quot;Ellis&quot;,&quot;given&quot;:&quot;Stephen G.&quot;,&quot;parse-names&quot;:false,&quot;dropping-particle&quot;:&quot;&quot;,&quot;non-dropping-particle&quot;:&quot;&quot;},{&quot;family&quot;:&quot;Lincoff&quot;,&quot;given&quot;:&quot;A. Michael&quot;,&quot;parse-names&quot;:false,&quot;dropping-particle&quot;:&quot;&quot;,&quot;non-dropping-particle&quot;:&quot;&quot;},{&quot;family&quot;:&quot;Topol&quot;,&quot;given&quot;:&quot;Eric J.&quot;,&quot;parse-names&quot;:false,&quot;dropping-particle&quot;:&quot;&quot;,&quot;non-dropping-particle&quot;:&quot;&quot;}],&quot;container-title&quot;:&quot;Journal of the American Medical Association&quot;,&quot;accessed&quot;:{&quot;date-parts&quot;:[[2021,1,31]]},&quot;DOI&quot;:&quot;10.1001/jama.290.7.898&quot;,&quot;ISSN&quot;:&quot;00987484&quot;,&quot;PMID&quot;:&quot;12928466&quot;,&quot;URL&quot;:&quot;https://jamanetwork.com/&quot;,&quot;issued&quot;:{&quot;date-parts&quot;:[[2003,8,20]]},&quot;page&quot;:&quot;898-904&quot;,&quot;abstract&quot;:&quot;Context: It is commonly suggested that more than 50% of patients with coronary heart disease (CHD) lack any of the conventional risk factors (cigarette smoking, diabetes, hyperlipidemia, and hypertension). This claim implies that other factors play a significant role in CHD and has led to considerable interest in nontraditional risk factors and genetic causes of CHD. Objective: To determine the prevalence of the 4 conventional risk factors among patients with CHD. Design, Setting, and Patients: In 2002-2003, we analyzed data for 122458 patients enrolled in 14 international randomized clinical trials of CHD conducted during the prior decade. Patients included 76 716 with ST-elevation myocardial infarction, 35 527 with unstable angina/ non-ST-elevation myocardial infarction, and 10 215 undergoing percutaneous coronary intervention. Main Outcome: Measures Prevalence of each conventional risk factor and number of conventional risk factors present among patients with CHD, compared between men and women and by age at trial entry. Results: Among patients with CHD, at least 1 of the 4 conventional risk factors was present in 84.6% of women and 80.6% of men. In younger patients (men ≤55 years and women ≤65 years) and most patients presenting either with unstable angina or for percutaneous coronary intervention, only 10% to 15% of patients lacked any of the 4 conventional risk factors. This pattern was largely independent of sex, geographic region, trial entry criteria, or prior CHD. Premature CHD was related to cigarette smoking in men and cigarette smoking and diabetes in women. Smoking decreased the age at the time of CHD event (at trial entry) by nearly 1 decade in all risk factor combinations. Conclusions: In direct contrast with conventional thinking, 80% to 90% of patients with CHD have conventional risk factors. Although research on nontraditional risk factors and genetic causes of heart disease is important, clinical medicine, public health policies, and research efforts should place significant emphasis on the 4 conventional risk factors and the lifestyle behaviors causing them to reduce the epidemic of CHD.&quot;,&quot;publisher&quot;:&quot;American Medical Association&quot;,&quot;issue&quot;:&quot;7&quot;,&quot;volume&quot;:&quot;290&quot;},&quot;isTemporary&quot;:false}],&quot;properties&quot;:{&quot;noteIndex&quot;:0},&quot;isEdited&quot;:false,&quot;manualOverride&quot;:{&quot;isManuallyOverriden&quot;:false,&quot;citeprocText&quot;:&quot;(Khot &lt;i&gt;et al.&lt;/i&gt;, 2003)&quot;,&quot;manualOverrideText&quot;:&quot;&quot;},&quot;citationTag&quot;:&quot;MENDELEY_CITATION_v3_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&quot;},{&quot;citationID&quot;:&quot;MENDELEY_CITATION_3b858148-a615-4d8e-a3d6-847cf241ab6b&quot;,&quot;citationItems&quot;:[{&quot;id&quot;:&quot;9fc82e66-f109-3ec0-8f7b-055de2d324ed&quot;,&quot;itemData&quot;:{&quot;type&quot;:&quot;article&quot;,&quot;id&quot;:&quot;9fc82e66-f109-3ec0-8f7b-055de2d324ed&quot;,&quot;title&quot;:&quot;The clinical implications of endothelial dysfunction&quot;,&quot;author&quot;:[{&quot;family&quot;:&quot;Widlansky&quot;,&quot;given&quot;:&quot;Michael E.&quot;,&quot;parse-names&quot;:false,&quot;dropping-particle&quot;:&quot;&quot;,&quot;non-dropping-particle&quot;:&quot;&quot;},{&quot;family&quot;:&quot;Gokce&quot;,&quot;given&quot;:&quot;Noyan&quot;,&quot;parse-names&quot;:false,&quot;dropping-particle&quot;:&quot;&quot;,&quot;non-dropping-particle&quot;:&quot;&quot;},{&quot;family&quot;:&quot;Keaney&quot;,&quot;given&quot;:&quot;John F.&quot;,&quot;parse-names&quot;:false,&quot;dropping-particle&quot;:&quot;&quot;,&quot;non-dropping-particle&quot;:&quot;&quot;},{&quot;family&quot;:&quot;Vita&quot;,&quot;given&quot;:&quot;Joseph A.&quot;,&quot;parse-names&quot;:false,&quot;dropping-particle&quot;:&quot;&quot;,&quot;non-dropping-particle&quot;:&quot;&quot;}],&quot;container-title&quot;:&quot;Journal of the American College of Cardiology&quot;,&quot;accessed&quot;:{&quot;date-parts&quot;:[[2021,1,31]]},&quot;DOI&quot;:&quot;10.1016/S0735-1097(03)00994-X&quot;,&quot;ISSN&quot;:&quot;07351097&quot;,&quot;PMID&quot;:&quot;14522472&quot;,&quot;issued&quot;:{&quot;date-parts&quot;:[[2003,10,1]]},&quot;page&quot;:&quot;1149-1160&quot;,&quot;abstract&quot;:&quot;Defining new approaches for the prevention and treatment of atherosclerosis is an important priority. Recently, measurement of endothelial function in patients has emerged as a useful tool for atherosclerosis research. Risk factors are associated with impaired endothelial function, and clinical syndromes relate, in part, to a loss of endothelial control of vascular homeostasis. Recent studies have shown that the severity of endothelial dysfunction relates to cardiovascular risk. A growing number of interventions known to reduce cardiovascular risk have been shown to improve endothelial function. This work suggests that studies of endothelial function could be used in the care of patients and as a surrogate marker for the evaluation of new therapeutic strategies. This article will review this growing literature in an effort to evaluate the current clinical utility of endothelial dysfunction. © 2003 by the American College of Cardiology Foundation.&quot;,&quot;publisher&quot;:&quot;Elsevier Inc.&quot;,&quot;issue&quot;:&quot;7&quot;,&quot;volume&quot;:&quot;42&quot;},&quot;isTemporary&quot;:false}],&quot;properties&quot;:{&quot;noteIndex&quot;:0},&quot;isEdited&quot;:false,&quot;manualOverride&quot;:{&quot;isManuallyOverriden&quot;:false,&quot;citeprocText&quot;:&quot;(Widlansky &lt;i&gt;et al.&lt;/i&gt;, 2003)&quot;,&quot;manualOverrideText&quot;:&quot;Widlansky et al., 2003&quot;,&quot;isManuallyOverridden&quot;:true},&quot;citationTag&quot;:&quot;MENDELEY_CITATION_v3_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&quot;},{&quot;citationID&quot;:&quot;MENDELEY_CITATION_74633593-3d91-4468-b7a1-3315f1e4ccb1&quot;,&quot;citationItems&quot;:[{&quot;id&quot;:&quot;40f5dca4-66a8-3e00-9fe5-1ea6b71fd988&quot;,&quot;itemData&quot;:{&quot;type&quot;:&quot;article-journal&quot;,&quot;id&quot;:&quot;40f5dca4-66a8-3e00-9fe5-1ea6b71fd988&quot;,&quot;title&quot;:&quot;Prevalence of Conventional Risk Factors in Patients with Coronary Heart Disease&quot;,&quot;author&quot;:[{&quot;family&quot;:&quot;Khot&quot;,&quot;given&quot;:&quot;Umesh N.&quot;,&quot;parse-names&quot;:false,&quot;dropping-particle&quot;:&quot;&quot;,&quot;non-dropping-particle&quot;:&quot;&quot;},{&quot;family&quot;:&quot;Khot&quot;,&quot;given&quot;:&quot;Monica B.&quot;,&quot;parse-names&quot;:false,&quot;dropping-particle&quot;:&quot;&quot;,&quot;non-dropping-particle&quot;:&quot;&quot;},{&quot;family&quot;:&quot;Bajzer&quot;,&quot;given&quot;:&quot;Christopher T.&quot;,&quot;parse-names&quot;:false,&quot;dropping-particle&quot;:&quot;&quot;,&quot;non-dropping-particle&quot;:&quot;&quot;},{&quot;family&quot;:&quot;Sapp&quot;,&quot;given&quot;:&quot;Shelly K.&quot;,&quot;parse-names&quot;:false,&quot;dropping-particle&quot;:&quot;&quot;,&quot;non-dropping-particle&quot;:&quot;&quot;},{&quot;family&quot;:&quot;Ohman&quot;,&quot;given&quot;:&quot;E. Magnus&quot;,&quot;parse-names&quot;:false,&quot;dropping-particle&quot;:&quot;&quot;,&quot;non-dropping-particle&quot;:&quot;&quot;},{&quot;family&quot;:&quot;Brener&quot;,&quot;given&quot;:&quot;Sorin J.&quot;,&quot;parse-names&quot;:false,&quot;dropping-particle&quot;:&quot;&quot;,&quot;non-dropping-particle&quot;:&quot;&quot;},{&quot;family&quot;:&quot;Ellis&quot;,&quot;given&quot;:&quot;Stephen G.&quot;,&quot;parse-names&quot;:false,&quot;dropping-particle&quot;:&quot;&quot;,&quot;non-dropping-particle&quot;:&quot;&quot;},{&quot;family&quot;:&quot;Lincoff&quot;,&quot;given&quot;:&quot;A. Michael&quot;,&quot;parse-names&quot;:false,&quot;dropping-particle&quot;:&quot;&quot;,&quot;non-dropping-particle&quot;:&quot;&quot;},{&quot;family&quot;:&quot;Topol&quot;,&quot;given&quot;:&quot;Eric J.&quot;,&quot;parse-names&quot;:false,&quot;dropping-particle&quot;:&quot;&quot;,&quot;non-dropping-particle&quot;:&quot;&quot;}],&quot;container-title&quot;:&quot;Journal of the American Medical Association&quot;,&quot;accessed&quot;:{&quot;date-parts&quot;:[[2021,1,31]]},&quot;DOI&quot;:&quot;10.1001/jama.290.7.898&quot;,&quot;ISSN&quot;:&quot;00987484&quot;,&quot;PMID&quot;:&quot;12928466&quot;,&quot;URL&quot;:&quot;https://jamanetwork.com/&quot;,&quot;issued&quot;:{&quot;date-parts&quot;:[[2003,8,20]]},&quot;page&quot;:&quot;898-904&quot;,&quot;abstract&quot;:&quot;Context: It is commonly suggested that more than 50% of patients with coronary heart disease (CHD) lack any of the conventional risk factors (cigarette smoking, diabetes, hyperlipidemia, and hypertension). This claim implies that other factors play a significant role in CHD and has led to considerable interest in nontraditional risk factors and genetic causes of CHD. Objective: To determine the prevalence of the 4 conventional risk factors among patients with CHD. Design, Setting, and Patients: In 2002-2003, we analyzed data for 122458 patients enrolled in 14 international randomized clinical trials of CHD conducted during the prior decade. Patients included 76 716 with ST-elevation myocardial infarction, 35 527 with unstable angina/ non-ST-elevation myocardial infarction, and 10 215 undergoing percutaneous coronary intervention. Main Outcome: Measures Prevalence of each conventional risk factor and number of conventional risk factors present among patients with CHD, compared between men and women and by age at trial entry. Results: Among patients with CHD, at least 1 of the 4 conventional risk factors was present in 84.6% of women and 80.6% of men. In younger patients (men ≤55 years and women ≤65 years) and most patients presenting either with unstable angina or for percutaneous coronary intervention, only 10% to 15% of patients lacked any of the 4 conventional risk factors. This pattern was largely independent of sex, geographic region, trial entry criteria, or prior CHD. Premature CHD was related to cigarette smoking in men and cigarette smoking and diabetes in women. Smoking decreased the age at the time of CHD event (at trial entry) by nearly 1 decade in all risk factor combinations. Conclusions: In direct contrast with conventional thinking, 80% to 90% of patients with CHD have conventional risk factors. Although research on nontraditional risk factors and genetic causes of heart disease is important, clinical medicine, public health policies, and research efforts should place significant emphasis on the 4 conventional risk factors and the lifestyle behaviors causing them to reduce the epidemic of CHD.&quot;,&quot;publisher&quot;:&quot;American Medical Association&quot;,&quot;issue&quot;:&quot;7&quot;,&quot;volume&quot;:&quot;290&quot;},&quot;isTemporary&quot;:false}],&quot;properties&quot;:{&quot;noteIndex&quot;:0},&quot;isEdited&quot;:false,&quot;manualOverride&quot;:{&quot;isManuallyOverriden&quot;:false,&quot;citeprocText&quot;:&quot;(Khot &lt;i&gt;et al.&lt;/i&gt;, 2003)&quot;,&quot;manualOverrideText&quot;:&quot;&quot;},&quot;citationTag&quot;:&quot;MENDELEY_CITATION_v3_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&quot;},{&quot;citationID&quot;:&quot;MENDELEY_CITATION_017ea918-0743-498e-a647-1e30f5ddb5da&quot;,&quot;citationItems&quot;:[{&quot;id&quot;:&quot;2ee8730d-ef26-365b-91f6-886875b9434f&quot;,&quot;itemData&quot;:{&quot;type&quot;:&quot;article-journal&quot;,&quot;id&quot;:&quot;2ee8730d-ef26-365b-91f6-886875b9434f&quot;,&quot;title&quot;:&quot;Toll-like receptor-4 is expressed by macrophages in murine and human lipid-rich atherosclerotic plaques and upregulated by oxidized LDL.&quot;,&quot;author&quot;:[{&quot;family&quot;:&quot;Xu&quot;,&quot;given&quot;:&quot;X H&quot;,&quot;parse-names&quot;:false,&quot;dropping-particle&quot;:&quot;&quot;,&quot;non-dropping-particle&quot;:&quot;&quot;},{&quot;family&quot;:&quot;Shah&quot;,&quot;given&quot;:&quot;P K&quot;,&quot;parse-names&quot;:false,&quot;dropping-particle&quot;:&quot;&quot;,&quot;non-dropping-particle&quot;:&quot;&quot;},{&quot;family&quot;:&quot;Faure&quot;,&quot;given&quot;:&quot;E&quot;,&quot;parse-names&quot;:false,&quot;dropping-particle&quot;:&quot;&quot;,&quot;non-dropping-particle&quot;:&quot;&quot;},{&quot;family&quot;:&quot;Equils&quot;,&quot;given&quot;:&quot;O&quot;,&quot;parse-names&quot;:false,&quot;dropping-particle&quot;:&quot;&quot;,&quot;non-dropping-particle&quot;:&quot;&quot;},{&quot;family&quot;:&quot;Thomas&quot;,&quot;given&quot;:&quot;L&quot;,&quot;parse-names&quot;:false,&quot;dropping-particle&quot;:&quot;&quot;,&quot;non-dropping-particle&quot;:&quot;&quot;},{&quot;family&quot;:&quot;Fishbein&quot;,&quot;given&quot;:&quot;M C&quot;,&quot;parse-names&quot;:false,&quot;dropping-particle&quot;:&quot;&quot;,&quot;non-dropping-particle&quot;:&quot;&quot;},{&quot;family&quot;:&quot;Luthringer&quot;,&quot;given&quot;:&quot;D&quot;,&quot;parse-names&quot;:false,&quot;dropping-particle&quot;:&quot;&quot;,&quot;non-dropping-particle&quot;:&quot;&quot;},{&quot;family&quot;:&quot;Xu&quot;,&quot;given&quot;:&quot;X P&quot;,&quot;parse-names&quot;:false,&quot;dropping-particle&quot;:&quot;&quot;,&quot;non-dropping-particle&quot;:&quot;&quot;},{&quot;family&quot;:&quot;Rajavashisth&quot;,&quot;given&quot;:&quot;T B&quot;,&quot;parse-names&quot;:false,&quot;dropping-particle&quot;:&quot;&quot;,&quot;non-dropping-particle&quot;:&quot;&quot;},{&quot;family&quot;:&quot;Yano&quot;,&quot;given&quot;:&quot;J&quot;,&quot;parse-names&quot;:false,&quot;dropping-particle&quot;:&quot;&quot;,&quot;non-dropping-particle&quot;:&quot;&quot;},{&quot;family&quot;:&quot;Kaul&quot;,&quot;given&quot;:&quot;S&quot;,&quot;parse-names&quot;:false,&quot;dropping-particle&quot;:&quot;&quot;,&quot;non-dropping-particle&quot;:&quot;&quot;},{&quot;family&quot;:&quot;Arditi&quot;,&quot;given&quot;:&quot;M&quot;,&quot;parse-names&quot;:false,&quot;dropping-particle&quot;:&quot;&quot;,&quot;non-dropping-particle&quot;:&quot;&quot;}],&quot;container-title&quot;:&quot;Circulation&quot;,&quot;accessed&quot;:{&quot;date-parts&quot;:[[2018,4,5]]},&quot;ISSN&quot;:&quot;1524-4539&quot;,&quot;PMID&quot;:&quot;11748108&quot;,&quot;URL&quot;:&quot;http://www.ncbi.nlm.nih.gov/pubmed/11748108&quot;,&quot;issued&quot;:{&quot;date-parts&quot;:[[2001,12,18]]},&quot;page&quot;:&quot;3103-8&quot;,&quot;abstract&quot;:&quot;BACKGROUND Inflammation is implicated in atherogenesis and plaque disruption. Toll-like receptor 2 (TLR-2) and TLR-4, a human homologue of drosophila Toll, play an important role in the innate and inflammatory signaling responses to microbial agents. To investigate a potential role of these receptors in atherosclerosis, we assessed the expression of TLR-2 and TLR-4 in murine and human atherosclerotic plaques. METHODS AND RESULTS Aortic root lesions of high-fat diet-fed apoE-deficient mice (n=5) and human coronary atherosclerotic plaques (n=9) obtained at autopsy were examined for TLR-4 and TLR-2 expression by immunohistochemistry. Aortic atherosclerotic lesions in all apoE-deficient mice expressed TLR-4, whereas aortic tissue obtained from control C57BL/6J mice showed no TLR-4 expression. All 5 lipid-rich human plaques expressed TRL-4, whereas the 4 fibrous plaques and 4 normal human arteries showed no or minimal expression. Serial sections and double immunostaining showed TLR-4 colocalizing with macrophages both in murine atherosclerotic lesions and at the shoulder region of human coronary artery plaques. In contrast to TLR-4, none of the plaques expressed TLR-2. Furthermore, basal TLR-4 mRNA expression by human monocyte-derived macrophages was upregulated by ox-LDL in vitro. CONCLUSIONS Our study demonstrates that TLR-4 is preferentially expressed by macrophages in murine and human lipid-rich atherosclerotic lesions, where it may play a role to enhance and sustain the innate immune and inflammatory responses. Moreover, upregulation of TLR-4 in macrophages by oxidized LDL suggests that TLR-4 may provide a potential pathophysiological link between lipids and infection/inflammation and atherosclerosis.&quot;,&quot;issue&quot;:&quot;25&quot;,&quot;volume&quot;:&quot;104&quot;},&quot;isTemporary&quot;:false}],&quot;properties&quot;:{&quot;noteIndex&quot;:0},&quot;isEdited&quot;:false,&quot;manualOverride&quot;:{&quot;isManuallyOverriden&quot;:false,&quot;citeprocText&quot;:&quot;(Xu &lt;i&gt;et al.&lt;/i&gt;, 2001)&quot;,&quot;manualOverrideText&quot;:&quot;&quot;},&quot;citationTag&quot;:&quot;MENDELEY_CITATION_v3_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&quot;},{&quot;citationID&quot;:&quot;MENDELEY_CITATION_0b99ff45-f948-409d-9572-2f440265663b&quot;,&quot;citationItems&quot;:[{&quot;id&quot;:&quot;9daf2986-6c46-3380-aace-7c56cc54bd51&quot;,&quot;itemData&quot;:{&quot;type&quot;:&quot;article-journal&quot;,&quot;id&quot;:&quot;9daf2986-6c46-3380-aace-7c56cc54bd51&quot;,&quot;title&quot;:&quot;Association of alcohol consumption with selected cardiovascular disease outcomes: a systematic review and meta-analysis&quot;,&quot;author&quot;:[{&quot;family&quot;:&quot;Ronksley&quot;,&quot;given&quot;:&quot;Paul E&quot;,&quot;parse-names&quot;:false,&quot;dropping-particle&quot;:&quot;&quot;,&quot;non-dropping-particle&quot;:&quot;&quot;},{&quot;family&quot;:&quot;Brien&quot;,&quot;given&quot;:&quot;Susan E&quot;,&quot;parse-names&quot;:false,&quot;dropping-particle&quot;:&quot;&quot;,&quot;non-dropping-particle&quot;:&quot;&quot;},{&quot;family&quot;:&quot;Turner&quot;,&quot;given&quot;:&quot;Barbara J&quot;,&quot;parse-names&quot;:false,&quot;dropping-particle&quot;:&quot;&quot;,&quot;non-dropping-particle&quot;:&quot;&quot;}],&quot;accessed&quot;:{&quot;date-parts&quot;:[[2021,1,31]]},&quot;DOI&quot;:&quot;10.1136/bmj.d671&quot;,&quot;URL&quot;:&quot;http://www.bmj.com/&quot;,&quot;abstract&quot;:&quot;Objective To conduct a comprehensive systematic review and meta-analysis of studies assessing the effect of alcohol consumption on multiple cardiovascular outcomes. Design Systematic review and meta-analysis. Data sources A search of Medline (1950 through September 2009) and Embase (1980 through September 2009) supplemented by manual searches of bibliographies and conference proceedings. Inclusion criteria Prospective cohort studies on the association between alcohol consumption and overall mortality from cardiovascular disease, incidence of and mortality from coronary heart disease, and incidence of and mortality from stroke. Studies reviewed Of 4235 studies reviewed for eligibility, quality, and data extraction, 84 were included in the final analysis. Results The pooled adjusted relative risks for alcohol drinkers relative to non-drinkers in random effects models for the outcomes of interest were 0.75 (95% confidence interval 0.70 to 0.80) for cardiovascular disease mortality (21 studies), 0.71 (0.66 to 0.77) for incident coronary heart disease (29 studies), 0.75 (0.68 to 0.81) for coronary heart disease mortality (31 studies), 0.98 (0.91 to 1.06) for incident stroke (17 studies), and 1.06 (0.91 to 1.23) for stroke mortality (10 studies). Dose-response analysis revealed that the lowest risk of coronary heart disease mortality occurred with 1-2 drinks a day, but for stroke mortality it occurred with ≤1 drink per day. Secondary analysis of mortality from all causes showed lower risk for drinkers compared with non-drinkers (relative risk 0.87 (0.83 to 0.92)). Conclusions Light to moderate alcohol consumption is associated with a reduced risk of multiple cardiovascular outcomes.&quot;},&quot;isTemporary&quot;:false}],&quot;properties&quot;:{&quot;noteIndex&quot;:0},&quot;isEdited&quot;:false,&quot;manualOverride&quot;:{&quot;isManuallyOverriden&quot;:false,&quot;citeprocText&quot;:&quot;(Ronksley, Brien and Turner, 2011)&quot;,&quot;manualOverrideText&quot;:&quot;&quot;},&quot;citationTag&quot;:&quot;MENDELEY_CITATION_v3_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&quot;},{&quot;citationID&quot;:&quot;MENDELEY_CITATION_1c9929c5-bdfe-4dfa-8af0-4851a2267985&quot;,&quot;citationItems&quot;:[{&quot;id&quot;:&quot;fadb6016-1628-3337-a764-e256ecf1bcd1&quot;,&quot;itemData&quot;:{&quot;type&quot;:&quot;article-journal&quot;,&quot;id&quot;:&quot;fadb6016-1628-3337-a764-e256ecf1bcd1&quot;,&quot;title&quot;:&quot;Effects of Wine, Alcohol and Polyphenols on Cardiovascular Disease Risk Factors: Evidences from Human Studies&quot;,&quot;author&quot;:[{&quot;family&quot;:&quot;Chiva-Blanch&quot;,&quot;given&quot;:&quot;Gemma&quot;,&quot;parse-names&quot;:false,&quot;dropping-particle&quot;:&quot;&quot;,&quot;non-dropping-particle&quot;:&quot;&quot;},{&quot;family&quot;:&quot;Arranz&quot;,&quot;given&quot;:&quot;Sara&quot;,&quot;parse-names&quot;:false,&quot;dropping-particle&quot;:&quot;&quot;,&quot;non-dropping-particle&quot;:&quot;&quot;},{&quot;family&quot;:&quot;Lamuela-Raventos&quot;,&quot;given&quot;:&quot;Rosa M.&quot;,&quot;parse-names&quot;:false,&quot;dropping-particle&quot;:&quot;&quot;,&quot;non-dropping-particle&quot;:&quot;&quot;},{&quot;family&quot;:&quot;Estruch&quot;,&quot;given&quot;:&quot;Ramon&quot;,&quot;parse-names&quot;:false,&quot;dropping-particle&quot;:&quot;&quot;,&quot;non-dropping-particle&quot;:&quot;&quot;}],&quot;container-title&quot;:&quot;Alcohol and Alcoholism&quot;,&quot;accessed&quot;:{&quot;date-parts&quot;:[[2021,1,31]]},&quot;DOI&quot;:&quot;10.1093/alcalc/agt007&quot;,&quot;ISSN&quot;:&quot;1464-3502&quot;,&quot;URL&quot;:&quot;http://academic.oup.com/alcalc/article/48/3/270/244770/Effects-of-Wine-Alcohol-and-Polyphenols-on&quot;,&quot;issued&quot;:{&quot;date-parts&quot;:[[2013,5,1]]},&quot;page&quot;:&quot;270-277&quot;,&quot;abstract&quot;:&quot;Aims: The aim of this review was to focus on the knowledge of the cardiovascular benefits of moderate alcohol consumption, as well as to analyze the effects of the different types of alcoholic beverages. Methods: Systematic revision of human clinical studies and meta-analyses related to moderate alcohol consumption and cardiovascular disease (CVD) from 2000 to 2012. Results: Heavy or binge alcohol consumption unquestionably leads to increased morbidity and mortality. Nevertheless, moderate alcohol consumption, especially alcoholic beverages rich in polyphenols, such as wine and beer, seems to confer cardiovascular protective effects in patients with documented CVD and even in healthy subjects. Conclusions: In conclusion, wine and beer (but especially red wine) seem to confer greater cardiovascular protection than spirits because of their polyphenolic content. However, caution should be taken when making recommendations related to alcohol consumption. © The Author 2013. Medical Council on Alcohol and Oxford University Press. All rights reserved.&quot;,&quot;publisher&quot;:&quot;Oxford Academic&quot;,&quot;issue&quot;:&quot;3&quot;,&quot;volume&quot;:&quot;48&quot;},&quot;isTemporary&quot;:false}],&quot;properties&quot;:{&quot;noteIndex&quot;:0},&quot;isEdited&quot;:false,&quot;manualOverride&quot;:{&quot;isManuallyOverriden&quot;:false,&quot;citeprocText&quot;:&quot;(Chiva-Blanch &lt;i&gt;et al.&lt;/i&gt;, 2013)&quot;,&quot;manualOverrideText&quot;:&quot;&quot;},&quot;citationTag&quot;:&quot;MENDELEY_CITATION_v3_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&quot;},{&quot;citationID&quot;:&quot;MENDELEY_CITATION_bc067633-e255-4143-88ec-594cc1c5c857&quot;,&quot;citationItems&quot;:[{&quot;id&quot;:&quot;222a11a3-489d-3d62-b33b-e0038d187c33&quot;,&quot;itemData&quot;:{&quot;type&quot;:&quot;article&quot;,&quot;id&quot;:&quot;222a11a3-489d-3d62-b33b-e0038d187c33&quot;,&quot;title&quot;:&quot;Aging and atherosclerosis: Mechanisms, functional consequences, and potential therapeutics for cellular senescence&quot;,&quot;author&quot;:[{&quot;family&quot;:&quot;Wang&quot;,&quot;given&quot;:&quot;Julie C.&quot;,&quot;parse-names&quot;:false,&quot;dropping-particle&quot;:&quot;&quot;,&quot;non-dropping-particle&quot;:&quot;&quot;},{&quot;family&quot;:&quot;Bennett&quot;,&quot;given&quot;:&quot;Martin&quot;,&quot;parse-names&quot;:false,&quot;dropping-particle&quot;:&quot;&quot;,&quot;non-dropping-particle&quot;:&quot;&quot;}],&quot;container-title&quot;:&quot;Circulation Research&quot;,&quot;accessed&quot;:{&quot;date-parts&quot;:[[2021,1,31]]},&quot;DOI&quot;:&quot;10.1161/CIRCRESAHA.111.261388&quot;,&quot;ISSN&quot;:&quot;00097330&quot;,&quot;PMID&quot;:&quot;22773427&quot;,&quot;URL&quot;:&quot;https://www.ahajournals.org/doi/10.1161/CIRCRESAHA.111.261388&quot;,&quot;issued&quot;:{&quot;date-parts&quot;:[[2012,7,6]]},&quot;page&quot;:&quot;245-259&quot;,&quot;abstract&quot;:&quot;Atherosclerosis is classed as a disease of aging, such that increasing age is an independent risk factor for the development of atherosclerosis. Atherosclerosis is also associated with premature biological aging, as atherosclerotic plaques show evidence of cellular senescence characterized by reduced cell proliferation, irreversible growth arrest and apoptosis, elevated DNA damage, epigenetic modifications, and telomere shortening and dysfunction. Not only is cellular senescence associated with atherosclerosis, there is growing evidence that cellular senescence promotes atherosclerosis. This review examines the pathology of normal vascular aging, the evidence for cellular senescence in atherosclerosis, the mechanisms underlying cellular senescence including reactive oxygen species, replication exhaustion and DNA damage, the functional consequences of vascular cell senescence, and the possibility that preventing accelerated cellular senescence is a therapeutic target in atherosclerosis. © 2012 American Heart Association, Inc.&quot;,&quot;publisher&quot;:&quot;\nLippincott Williams &amp; Wilkins\nHagerstown, MD\n&quot;,&quot;issue&quot;:&quot;2&quot;,&quot;volume&quot;:&quot;111&quot;},&quot;isTemporary&quot;:false}],&quot;properties&quot;:{&quot;noteIndex&quot;:0},&quot;isEdited&quot;:false,&quot;manualOverride&quot;:{&quot;isManuallyOverriden&quot;:false,&quot;citeprocText&quot;:&quot;(Wang and Bennett, 2012)&quot;,&quot;manualOverrideText&quot;:&quot;&quot;},&quot;citationTag&quot;:&quot;MENDELEY_CITATION_v3_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&quot;},{&quot;citationID&quot;:&quot;MENDELEY_CITATION_27eae265-0179-43d1-ad22-23fe64f4622e&quot;,&quot;citationItems&quot;:[{&quot;id&quot;:&quot;222a11a3-489d-3d62-b33b-e0038d187c33&quot;,&quot;itemData&quot;:{&quot;type&quot;:&quot;article&quot;,&quot;id&quot;:&quot;222a11a3-489d-3d62-b33b-e0038d187c33&quot;,&quot;title&quot;:&quot;Aging and atherosclerosis: Mechanisms, functional consequences, and potential therapeutics for cellular senescence&quot;,&quot;author&quot;:[{&quot;family&quot;:&quot;Wang&quot;,&quot;given&quot;:&quot;Julie C.&quot;,&quot;parse-names&quot;:false,&quot;dropping-particle&quot;:&quot;&quot;,&quot;non-dropping-particle&quot;:&quot;&quot;},{&quot;family&quot;:&quot;Bennett&quot;,&quot;given&quot;:&quot;Martin&quot;,&quot;parse-names&quot;:false,&quot;dropping-particle&quot;:&quot;&quot;,&quot;non-dropping-particle&quot;:&quot;&quot;}],&quot;container-title&quot;:&quot;Circulation Research&quot;,&quot;accessed&quot;:{&quot;date-parts&quot;:[[2021,1,31]]},&quot;DOI&quot;:&quot;10.1161/CIRCRESAHA.111.261388&quot;,&quot;ISSN&quot;:&quot;00097330&quot;,&quot;PMID&quot;:&quot;22773427&quot;,&quot;URL&quot;:&quot;https://www.ahajournals.org/doi/10.1161/CIRCRESAHA.111.261388&quot;,&quot;issued&quot;:{&quot;date-parts&quot;:[[2012,7,6]]},&quot;page&quot;:&quot;245-259&quot;,&quot;abstract&quot;:&quot;Atherosclerosis is classed as a disease of aging, such that increasing age is an independent risk factor for the development of atherosclerosis. Atherosclerosis is also associated with premature biological aging, as atherosclerotic plaques show evidence of cellular senescence characterized by reduced cell proliferation, irreversible growth arrest and apoptosis, elevated DNA damage, epigenetic modifications, and telomere shortening and dysfunction. Not only is cellular senescence associated with atherosclerosis, there is growing evidence that cellular senescence promotes atherosclerosis. This review examines the pathology of normal vascular aging, the evidence for cellular senescence in atherosclerosis, the mechanisms underlying cellular senescence including reactive oxygen species, replication exhaustion and DNA damage, the functional consequences of vascular cell senescence, and the possibility that preventing accelerated cellular senescence is a therapeutic target in atherosclerosis. © 2012 American Heart Association, Inc.&quot;,&quot;publisher&quot;:&quot;\nLippincott Williams &amp; Wilkins\nHagerstown, MD\n&quot;,&quot;issue&quot;:&quot;2&quot;,&quot;volume&quot;:&quot;111&quot;},&quot;isTemporary&quot;:false}],&quot;properties&quot;:{&quot;noteIndex&quot;:0},&quot;isEdited&quot;:false,&quot;manualOverride&quot;:{&quot;isManuallyOverriden&quot;:false,&quot;citeprocText&quot;:&quot;(Wang and Bennett, 2012)&quot;,&quot;manualOverrideText&quot;:&quot;&quot;},&quot;citationTag&quot;:&quot;MENDELEY_CITATION_v3_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&quot;},{&quot;citationID&quot;:&quot;MENDELEY_CITATION_f12c6ec2-bcbe-46af-9e88-c8b364cc6faa&quot;,&quot;citationItems&quot;:[{&quot;id&quot;:&quot;6149f225-ef38-3fd4-a9c2-fc6feb5c7252&quot;,&quot;itemData&quot;:{&quot;type&quot;:&quot;article-journal&quot;,&quot;id&quot;:&quot;6149f225-ef38-3fd4-a9c2-fc6feb5c7252&quot;,&quot;title&quot;:&quot;Age-related Impairment of Vascular Structure and Functions.&quot;,&quot;author&quot;:[{&quot;family&quot;:&quot;Xu&quot;,&quot;given&quot;:&quot;Xianglai&quot;,&quot;parse-names&quot;:false,&quot;dropping-particle&quot;:&quot;&quot;,&quot;non-dropping-particle&quot;:&quot;&quot;},{&quot;family&quot;:&quot;Wang&quot;,&quot;given&quot;:&quot;Brian&quot;,&quot;parse-names&quot;:false,&quot;dropping-particle&quot;:&quot;&quot;,&quot;non-dropping-particle&quot;:&quot;&quot;},{&quot;family&quot;:&quot;Ren&quot;,&quot;given&quot;:&quot;Changhong&quot;,&quot;parse-names&quot;:false,&quot;dropping-particle&quot;:&quot;&quot;,&quot;non-dropping-particle&quot;:&quot;&quot;},{&quot;family&quot;:&quot;Hu&quot;,&quot;given&quot;:&quot;Jiangnan&quot;,&quot;parse-names&quot;:false,&quot;dropping-particle&quot;:&quot;&quot;,&quot;non-dropping-particle&quot;:&quot;&quot;},{&quot;family&quot;:&quot;Greenberg&quot;,&quot;given&quot;:&quot;David A&quot;,&quot;parse-names&quot;:false,&quot;dropping-particle&quot;:&quot;&quot;,&quot;non-dropping-particle&quot;:&quot;&quot;},{&quot;family&quot;:&quot;Chen&quot;,&quot;given&quot;:&quot;Tianxiang&quot;,&quot;parse-names&quot;:false,&quot;dropping-particle&quot;:&quot;&quot;,&quot;non-dropping-particle&quot;:&quot;&quot;},{&quot;family&quot;:&quot;Xie&quot;,&quot;given&quot;:&quot;Liping&quot;,&quot;parse-names&quot;:false,&quot;dropping-particle&quot;:&quot;&quot;,&quot;non-dropping-particle&quot;:&quot;&quot;},{&quot;family&quot;:&quot;Jin&quot;,&quot;given&quot;:&quot;Kunlin&quot;,&quot;parse-names&quot;:false,&quot;dropping-particle&quot;:&quot;&quot;,&quot;non-dropping-particle&quot;:&quot;&quot;}],&quot;container-title&quot;:&quot;Aging and disease&quot;,&quot;accessed&quot;:{&quot;date-parts&quot;:[[2019,3,29]]},&quot;DOI&quot;:&quot;10.14336/AD.2017.0430&quot;,&quot;ISSN&quot;:&quot;2152-5250&quot;,&quot;PMID&quot;:&quot;28966804&quot;,&quot;URL&quot;:&quot;http://www.ncbi.nlm.nih.gov/pubmed/28966804&quot;,&quot;issued&quot;:{&quot;date-parts&quot;:[[2017,10]]},&quot;page&quot;:&quot;590-610&quot;,&quot;abstract&quot;:&quot;Among age-related diseases, cardiovascular and cerebrovascular diseases are major causes of death. Vascular dysfunction is a key characteristic of these diseases wherein age is an independent and essential risk factor. The present work will review morphological alterations of aging vessels in-depth, which includes the discussion of age-related microvessel loss and changes to vasculature involving the capillary basement membrane, intima, media, and adventitia as well as the accompanying vascular dysfunctions arising from these alterations.&quot;,&quot;publisher&quot;:&quot;JKL International LLC&quot;,&quot;issue&quot;:&quot;5&quot;,&quot;volume&quot;:&quot;8&quot;},&quot;isTemporary&quot;:false}],&quot;properties&quot;:{&quot;noteIndex&quot;:0},&quot;isEdited&quot;:false,&quot;manualOverride&quot;:{&quot;isManuallyOverriden&quot;:false,&quot;citeprocText&quot;:&quot;(Xu &lt;i&gt;et al.&lt;/i&gt;, 2017)&quot;,&quot;manualOverrideText&quot;:&quot;&quot;},&quot;citationTag&quot;:&quot;MENDELEY_CITATION_v3_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&quot;},{&quot;citationID&quot;:&quot;MENDELEY_CITATION_49df8f3f-2912-4e11-bcaf-c1275e8fb132&quot;,&quot;citationItems&quot;:[{&quot;id&quot;:&quot;afbbcb13-2fb5-3951-b3aa-47ed9bcf27c0&quot;,&quot;itemData&quot;:{&quot;type&quot;:&quot;article&quot;,&quot;id&quot;:&quot;afbbcb13-2fb5-3951-b3aa-47ed9bcf27c0&quot;,&quot;title&quot;:&quot;Context-Dependent Role of Oxidized Lipids and Lipoproteins in Inflammation&quot;,&quot;author&quot;:[{&quot;family&quot;:&quot;Miller&quot;,&quot;given&quot;:&quot;Yury I.&quot;,&quot;parse-names&quot;:false,&quot;dropping-particle&quot;:&quot;&quot;,&quot;non-dropping-particle&quot;:&quot;&quot;},{&quot;family&quot;:&quot;Shyy&quot;,&quot;given&quot;:&quot;John Y.J.&quot;,&quot;parse-names&quot;:false,&quot;dropping-particle&quot;:&quot;&quot;,&quot;non-dropping-particle&quot;:&quot;&quot;}],&quot;container-title&quot;:&quot;Trends in Endocrinology and Metabolism&quot;,&quot;accessed&quot;:{&quot;date-parts&quot;:[[2021,1,31]]},&quot;DOI&quot;:&quot;10.1016/j.tem.2016.11.002&quot;,&quot;ISSN&quot;:&quot;18793061&quot;,&quot;PMID&quot;:&quot;27931771&quot;,&quot;issued&quot;:{&quot;date-parts&quot;:[[2017,2,1]]},&quot;page&quot;:&quot;143-152&quot;,&quot;abstract&quot;:&quot;Oxidized low-density lipoprotein (OxLDL), which contains hundreds of different oxidized lipid molecules, is a hallmark of hyperlipidemia and atherosclerosis. The same oxidized lipids found in OxLDL are also formed in apoptotic cells, and are present in tissues as well as in the circulation under pathological conditions. In many disease contexts, oxidized lipids constitute damage signals, or patterns, that activate pattern-recognition receptors (PRRs) and significantly contribute to inflammation. Here, we review recent discoveries and emerging trends in the field of oxidized lipids and the regulation of inflammation, focusing on oxidation products of polyunsaturated fatty acids esterified into cholesteryl esters (CEs) and phospholipids (PLs). We also highlight context-dependent activation and biased agonism of Toll-like receptor-4 (TLR4) and the NLRP3 inflammasome, among other signaling pathways activated by oxidized lipids.&quot;,&quot;publisher&quot;:&quot;Elsevier Inc.&quot;,&quot;issue&quot;:&quot;2&quot;,&quot;volume&quot;:&quot;28&quot;},&quot;isTemporary&quot;:false}],&quot;properties&quot;:{&quot;noteIndex&quot;:0},&quot;isEdited&quot;:false,&quot;manualOverride&quot;:{&quot;isManuallyOverriden&quot;:false,&quot;citeprocText&quot;:&quot;(Miller and Shyy, 2017)&quot;,&quot;manualOverrideText&quot;:&quot;&quot;},&quot;citationTag&quot;:&quot;MENDELEY_CITATION_v3_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&quot;},{&quot;citationID&quot;:&quot;MENDELEY_CITATION_17c364d7-03b0-4080-a1aa-0186b3c6cee1&quot;,&quot;citationItems&quot;:[{&quot;id&quot;:&quot;afbbcb13-2fb5-3951-b3aa-47ed9bcf27c0&quot;,&quot;itemData&quot;:{&quot;type&quot;:&quot;article&quot;,&quot;id&quot;:&quot;afbbcb13-2fb5-3951-b3aa-47ed9bcf27c0&quot;,&quot;title&quot;:&quot;Context-Dependent Role of Oxidized Lipids and Lipoproteins in Inflammation&quot;,&quot;author&quot;:[{&quot;family&quot;:&quot;Miller&quot;,&quot;given&quot;:&quot;Yury I.&quot;,&quot;parse-names&quot;:false,&quot;dropping-particle&quot;:&quot;&quot;,&quot;non-dropping-particle&quot;:&quot;&quot;},{&quot;family&quot;:&quot;Shyy&quot;,&quot;given&quot;:&quot;John Y.J.&quot;,&quot;parse-names&quot;:false,&quot;dropping-particle&quot;:&quot;&quot;,&quot;non-dropping-particle&quot;:&quot;&quot;}],&quot;container-title&quot;:&quot;Trends in Endocrinology and Metabolism&quot;,&quot;accessed&quot;:{&quot;date-parts&quot;:[[2021,1,31]]},&quot;DOI&quot;:&quot;10.1016/j.tem.2016.11.002&quot;,&quot;ISSN&quot;:&quot;18793061&quot;,&quot;PMID&quot;:&quot;27931771&quot;,&quot;issued&quot;:{&quot;date-parts&quot;:[[2017,2,1]]},&quot;page&quot;:&quot;143-152&quot;,&quot;abstract&quot;:&quot;Oxidized low-density lipoprotein (OxLDL), which contains hundreds of different oxidized lipid molecules, is a hallmark of hyperlipidemia and atherosclerosis. The same oxidized lipids found in OxLDL are also formed in apoptotic cells, and are present in tissues as well as in the circulation under pathological conditions. In many disease contexts, oxidized lipids constitute damage signals, or patterns, that activate pattern-recognition receptors (PRRs) and significantly contribute to inflammation. Here, we review recent discoveries and emerging trends in the field of oxidized lipids and the regulation of inflammation, focusing on oxidation products of polyunsaturated fatty acids esterified into cholesteryl esters (CEs) and phospholipids (PLs). We also highlight context-dependent activation and biased agonism of Toll-like receptor-4 (TLR4) and the NLRP3 inflammasome, among other signaling pathways activated by oxidized lipids.&quot;,&quot;publisher&quot;:&quot;Elsevier Inc.&quot;,&quot;issue&quot;:&quot;2&quot;,&quot;volume&quot;:&quot;28&quot;},&quot;isTemporary&quot;:false}],&quot;properties&quot;:{&quot;noteIndex&quot;:0},&quot;isEdited&quot;:false,&quot;manualOverride&quot;:{&quot;isManuallyOverriden&quot;:false,&quot;citeprocText&quot;:&quot;(Miller and Shyy, 2017)&quot;,&quot;manualOverrideText&quot;:&quot;&quot;},&quot;citationTag&quot;:&quot;MENDELEY_CITATION_v3_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&quot;},{&quot;citationID&quot;:&quot;MENDELEY_CITATION_f999c14f-fe73-4f29-8e8a-14614f56bf5d&quot;,&quot;citationItems&quot;:[{&quot;id&quot;:&quot;4adb0ac0-629d-3fbc-be51-fd63fc666d44&quot;,&quot;itemData&quot;:{&quot;type&quot;:&quot;article-journal&quot;,&quot;id&quot;:&quot;4adb0ac0-629d-3fbc-be51-fd63fc666d44&quot;,&quot;title&quot;:&quot;Toll-like receptor 4 mediates oxidized LDL-induced macrophage differentiation to foam cells.&quot;,&quot;author&quot;:[{&quot;family&quot;:&quot;Howell&quot;,&quot;given&quot;:&quot;Kenneth W&quot;,&quot;parse-names&quot;:false,&quot;dropping-particle&quot;:&quot;&quot;,&quot;non-dropping-particle&quot;:&quot;&quot;},{&quot;family&quot;:&quot;Meng&quot;,&quot;given&quot;:&quot;Xianzhong&quot;,&quot;parse-names&quot;:false,&quot;dropping-particle&quot;:&quot;&quot;,&quot;non-dropping-particle&quot;:&quot;&quot;},{&quot;family&quot;:&quot;Fullerton&quot;,&quot;given&quot;:&quot;David A&quot;,&quot;parse-names&quot;:false,&quot;dropping-particle&quot;:&quot;&quot;,&quot;non-dropping-particle&quot;:&quot;&quot;},{&quot;family&quot;:&quot;Jin&quot;,&quot;given&quot;:&quot;Chunhua&quot;,&quot;parse-names&quot;:false,&quot;dropping-particle&quot;:&quot;&quot;,&quot;non-dropping-particle&quot;:&quot;&quot;},{&quot;family&quot;:&quot;Reece&quot;,&quot;given&quot;:&quot;T Brett&quot;,&quot;parse-names&quot;:false,&quot;dropping-particle&quot;:&quot;&quot;,&quot;non-dropping-particle&quot;:&quot;&quot;},{&quot;family&quot;:&quot;Cleveland&quot;,&quot;given&quot;:&quot;Joseph C&quot;,&quot;parse-names&quot;:false,&quot;dropping-particle&quot;:&quot;&quot;,&quot;non-dropping-particle&quot;:&quot;&quot;}],&quot;container-title&quot;:&quot;The Journal of surgical research&quot;,&quot;accessed&quot;:{&quot;date-parts&quot;:[[2018,4,5]]},&quot;DOI&quot;:&quot;10.1016/j.jss.2011.06.033&quot;,&quot;ISSN&quot;:&quot;1095-8673&quot;,&quot;PMID&quot;:&quot;21920554&quot;,&quot;URL&quot;:&quot;http://www.ncbi.nlm.nih.gov/pubmed/21920554&quot;,&quot;issued&quot;:{&quot;date-parts&quot;:[[2011,11,1]]},&quot;page&quot;:&quot;e27-31&quot;,&quot;abstract&quot;:&quot;BACKGROUND Macrophage foam cells are central in the development of atherosclerosis, but the mechanism of foam cell formation is unclear. Toll-like receptor 4 (TLR4) signaling is known to participate in the pathogenesis of atherosclerosis. Further, oxidized low density lipoprotein (oxLDL) enhances TLR4 expression in macrophages. We hypothesized that TLR4 mediates macrophage differentiation to foam cells. METHODS Peritoneal macrophages were isolated by lavage from TLR4 competent C3H/HeN mice and TLR4 defective C3H/HeJ mice. Cells were treated with oxLDL, lipopolysaccharide (LPS), or oxLDL plus LPS. Cells were also treated with a TLR4 blocking antibody before oxLDL treatment. Foam cells were identified by Oil red O staining for intracellular lipids. Percent macrophage differentiation into foam cells were compared between C3H/HeN and C3H/HeJ macrophages. RESULTS Following oxLDL treatment 29% of TLR4 competent macrophages differentiated into foam cells compared to 5.8% of TLR4 defective macrophages (P &lt; 0.01). Pretreatment with a TLR4 blocking antibody decreased the differentiation of TLR4 competent cells to foam cells from 29% to 13% (P &lt; 0.01). Stimulation of TLR4 with LPS in the presence of oxLDL increased differentiation of TLR4 competent cells to foam cells from 29% to 60% (P &lt; 0.01). In addition, there was a pattern in the spatial relationship between foam cells that were consistently observed in clusters rather than as isolated cells. CONCLUSIONS TLR4 is necessary for oxLDL-induced macrophage differentiation to foam cells. Macrophage foam cell clustering may indicate an underlying intercellular signaling mechanism that facilitates foam cell formation. We conclude that TLR4 contributes to the pathogenesis of atherosclerosis by promoting foam cell formation.&quot;,&quot;publisher&quot;:&quot;Elsevier&quot;,&quot;issue&quot;:&quot;1&quot;,&quot;volume&quot;:&quot;171&quot;},&quot;isTemporary&quot;:false},{&quot;id&quot;:&quot;20b5d470-7ba7-349c-b30c-97e137a4a365&quot;,&quot;itemData&quot;:{&quot;type&quot;:&quot;article-journal&quot;,&quot;id&quot;:&quot;20b5d470-7ba7-349c-b30c-97e137a4a365&quot;,&quot;title&quot;:&quot;The role of TLR2, TLR4 and CD36 in macrophage activation and foam cell formation in response to oxLDL in humans&quot;,&quot;author&quot;:[{&quot;family&quot;:&quot;Chávez-Sánchez&quot;,&quot;given&quot;:&quot;Luis&quot;,&quot;parse-names&quot;:false,&quot;dropping-particle&quot;:&quot;&quot;,&quot;non-dropping-particle&quot;:&quot;&quot;},{&quot;family&quot;:&quot;Garza-Reyes&quot;,&quot;given&quot;:&quot;Montserrat Guadalupe&quot;,&quot;parse-names&quot;:false,&quot;dropping-particle&quot;:&quot;&quot;,&quot;non-dropping-particle&quot;:&quot;&quot;},{&quot;family&quot;:&quot;Espinosa-Luna&quot;,&quot;given&quot;:&quot;José Esteban&quot;,&quot;parse-names&quot;:false,&quot;dropping-particle&quot;:&quot;&quot;,&quot;non-dropping-particle&quot;:&quot;&quot;},{&quot;family&quot;:&quot;Chávez-Rueda&quot;,&quot;given&quot;:&quot;Karina&quot;,&quot;parse-names&quot;:false,&quot;dropping-particle&quot;:&quot;&quot;,&quot;non-dropping-particle&quot;:&quot;&quot;},{&quot;family&quot;:&quot;Legorreta-Haquet&quot;,&quot;given&quot;:&quot;María Victoria&quot;,&quot;parse-names&quot;:false,&quot;dropping-particle&quot;:&quot;&quot;,&quot;non-dropping-particle&quot;:&quot;&quot;},{&quot;family&quot;:&quot;Blanco-Favela&quot;,&quot;given&quot;:&quot;Francisco&quot;,&quot;parse-names&quot;:false,&quot;dropping-particle&quot;:&quot;&quot;,&quot;non-dropping-particle&quot;:&quot;&quot;}],&quot;container-title&quot;:&quot;Human Immunology&quot;,&quot;accessed&quot;:{&quot;date-parts&quot;:[[2018,4,5]]},&quot;DOI&quot;:&quot;10.1016/J.HUMIMM.2014.01.012&quot;,&quot;ISSN&quot;:&quot;0198-8859&quot;,&quot;URL&quot;:&quot;https://www.sciencedirect.com/science/article/pii/S0198885914000202&quot;,&quot;issued&quot;:{&quot;date-parts&quot;:[[2014,4,1]]},&quot;page&quot;:&quot;322-329&quot;,&quot;abstract&quot;:&quot;Toll-like receptor (TLR)2, TLR4 and CD36 are central in inflammation and the development of atherosclerosis. Oxidized low-density lipoprotein (oxLDL) plays a critical role in this disease through its involvement in the formation of foam cells and the activation of leukocytes. The aim of this research was to analyze the role of TLR2, TLR4 and CD36 in foam cell differentiation and macrophage activation. \n\nMETHODS\nHuman macrophages were incubated with monoclonal antibodies specific for TLR2, TLR4 and CD36 prior to stimulation with oxLDL. Subsequently, we analyzed foam cell formation, cytokine secretion, histocompatibility complex (MHC) class II molecules and CD86 expression and T cell proliferation. \n\nRESULTS\nThe stimulation of macrophages with oxLDL induced foam cell formation, cytokine secretion, HLA-DR and CD86 expression and T cell proliferation. The blockage of TLR2, TLR4 and CD36 reduced the secretion of IL-1β, IL-6 and IL-8, the expression of HLA-DR and CD86, T cell proliferation and foam cell formation. However, the blockage of TLR2 did not affect the formation of foam cells. \n\nCONCLUSION\nOur study demonstrates that TLR2, TLR4 and CD36 participate in the immune response to oxLDL by inducing an increase in pro-inflammatory cytokines, the expression HLA-DR and CD86 and the proliferation of T cells. However, TLR2 does not participate in the formation of foam cells, while TLR4 and CD36 play a relevant role in this process. These findings suggest that the activation of these receptors by oxLDL contributes to the pathogenesis of atherosclerosis.&quot;,&quot;publisher&quot;:&quot;Elsevier&quot;,&quot;issue&quot;:&quot;4&quot;,&quot;volume&quot;:&quot;75&quot;},&quot;isTemporary&quot;:false}],&quot;properties&quot;:{&quot;noteIndex&quot;:0},&quot;isEdited&quot;:false,&quot;manualOverride&quot;:{&quot;isManuallyOverriden&quot;:false,&quot;citeprocText&quot;:&quot;(Howell &lt;i&gt;et al.&lt;/i&gt;, 2011; Chávez-Sánchez &lt;i&gt;et al.&lt;/i&gt;, 2014)&quot;,&quot;manualOverrideText&quot;:&quot;&quot;},&quot;citationTag&quot;:&quot;MENDELEY_CITATION_v3_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V0sInByb3BlcnRpZXMiOnsibm90ZUluZGV4IjowfSwiaXNFZGl0ZWQiOmZhbHNlLCJtYW51YWxPdmVycmlkZSI6eyJpc01hbnVhbGx5T3ZlcnJpZGVuIjpmYWxzZSwiY2l0ZXByb2NUZXh0IjoiKEhvd2VsbCA8aT5ldCBhbC48L2k+LCAyMDExOyBDaMOhdmV6LVPDoW5jaGV6IDxpPmV0IGFsLjwvaT4sIDIwMTQpIiwibWFudWFsT3ZlcnJpZGVUZXh0IjoiIn19&quot;},{&quot;citationID&quot;:&quot;MENDELEY_CITATION_2ee077ff-03d6-4963-91f9-164b7add6575&quot;,&quot;citationItems&quot;:[{&quot;id&quot;:&quot;20b5d470-7ba7-349c-b30c-97e137a4a365&quot;,&quot;itemData&quot;:{&quot;type&quot;:&quot;article-journal&quot;,&quot;id&quot;:&quot;20b5d470-7ba7-349c-b30c-97e137a4a365&quot;,&quot;title&quot;:&quot;The role of TLR2, TLR4 and CD36 in macrophage activation and foam cell formation in response to oxLDL in humans&quot;,&quot;author&quot;:[{&quot;family&quot;:&quot;Chávez-Sánchez&quot;,&quot;given&quot;:&quot;Luis&quot;,&quot;parse-names&quot;:false,&quot;dropping-particle&quot;:&quot;&quot;,&quot;non-dropping-particle&quot;:&quot;&quot;},{&quot;family&quot;:&quot;Garza-Reyes&quot;,&quot;given&quot;:&quot;Montserrat Guadalupe&quot;,&quot;parse-names&quot;:false,&quot;dropping-particle&quot;:&quot;&quot;,&quot;non-dropping-particle&quot;:&quot;&quot;},{&quot;family&quot;:&quot;Espinosa-Luna&quot;,&quot;given&quot;:&quot;José Esteban&quot;,&quot;parse-names&quot;:false,&quot;dropping-particle&quot;:&quot;&quot;,&quot;non-dropping-particle&quot;:&quot;&quot;},{&quot;family&quot;:&quot;Chávez-Rueda&quot;,&quot;given&quot;:&quot;Karina&quot;,&quot;parse-names&quot;:false,&quot;dropping-particle&quot;:&quot;&quot;,&quot;non-dropping-particle&quot;:&quot;&quot;},{&quot;family&quot;:&quot;Legorreta-Haquet&quot;,&quot;given&quot;:&quot;María Victoria&quot;,&quot;parse-names&quot;:false,&quot;dropping-particle&quot;:&quot;&quot;,&quot;non-dropping-particle&quot;:&quot;&quot;},{&quot;family&quot;:&quot;Blanco-Favela&quot;,&quot;given&quot;:&quot;Francisco&quot;,&quot;parse-names&quot;:false,&quot;dropping-particle&quot;:&quot;&quot;,&quot;non-dropping-particle&quot;:&quot;&quot;}],&quot;container-title&quot;:&quot;Human Immunology&quot;,&quot;accessed&quot;:{&quot;date-parts&quot;:[[2018,4,5]]},&quot;DOI&quot;:&quot;10.1016/J.HUMIMM.2014.01.012&quot;,&quot;ISSN&quot;:&quot;0198-8859&quot;,&quot;URL&quot;:&quot;https://www.sciencedirect.com/science/article/pii/S0198885914000202&quot;,&quot;issued&quot;:{&quot;date-parts&quot;:[[2014,4,1]]},&quot;page&quot;:&quot;322-329&quot;,&quot;abstract&quot;:&quot;Toll-like receptor (TLR)2, TLR4 and CD36 are central in inflammation and the development of atherosclerosis. Oxidized low-density lipoprotein (oxLDL) plays a critical role in this disease through its involvement in the formation of foam cells and the activation of leukocytes. The aim of this research was to analyze the role of TLR2, TLR4 and CD36 in foam cell differentiation and macrophage activation. \n\nMETHODS\nHuman macrophages were incubated with monoclonal antibodies specific for TLR2, TLR4 and CD36 prior to stimulation with oxLDL. Subsequently, we analyzed foam cell formation, cytokine secretion, histocompatibility complex (MHC) class II molecules and CD86 expression and T cell proliferation. \n\nRESULTS\nThe stimulation of macrophages with oxLDL induced foam cell formation, cytokine secretion, HLA-DR and CD86 expression and T cell proliferation. The blockage of TLR2, TLR4 and CD36 reduced the secretion of IL-1β, IL-6 and IL-8, the expression of HLA-DR and CD86, T cell proliferation and foam cell formation. However, the blockage of TLR2 did not affect the formation of foam cells. \n\nCONCLUSION\nOur study demonstrates that TLR2, TLR4 and CD36 participate in the immune response to oxLDL by inducing an increase in pro-inflammatory cytokines, the expression HLA-DR and CD86 and the proliferation of T cells. However, TLR2 does not participate in the formation of foam cells, while TLR4 and CD36 play a relevant role in this process. These findings suggest that the activation of these receptors by oxLDL contributes to the pathogenesis of atherosclerosis.&quot;,&quot;publisher&quot;:&quot;Elsevier&quot;,&quot;issue&quot;:&quot;4&quot;,&quot;volume&quot;:&quot;75&quot;},&quot;isTemporary&quot;:false}],&quot;properties&quot;:{&quot;noteIndex&quot;:0},&quot;isEdited&quot;:false,&quot;manualOverride&quot;:{&quot;isManuallyOverriden&quot;:false,&quot;citeprocText&quot;:&quot;(Chávez-Sánchez &lt;i&gt;et al.&lt;/i&gt;, 2014)&quot;,&quot;manualOverrideText&quot;:&quot;&quot;},&quot;citationTag&quot;:&quot;MENDELEY_CITATION_v3_eyJjaXRhdGlvbklEIjoiTUVOREVMRVlfQ0lUQVRJT05fMmVlMDc3ZmYtMDNkNi00OTYzLTkxZjktMTY0YjdhZGQ2NTc1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V0sInByb3BlcnRpZXMiOnsibm90ZUluZGV4IjowfSwiaXNFZGl0ZWQiOmZhbHNlLCJtYW51YWxPdmVycmlkZSI6eyJpc01hbnVhbGx5T3ZlcnJpZGVuIjpmYWxzZSwiY2l0ZXByb2NUZXh0IjoiKENow6F2ZXotU8OhbmNoZXogPGk+ZXQgYWwuPC9pPiwgMjAxNCkiLCJtYW51YWxPdmVycmlkZVRleHQiOiIifX0=&quot;},{&quot;citationID&quot;:&quot;MENDELEY_CITATION_9afa4b83-5e1b-4558-9b2f-6dcf64262284&quot;,&quot;citationItems&quot;:[{&quot;id&quot;:&quot;02f21ea0-cb6e-3204-b3a8-66cbdca21e97&quot;,&quot;itemData&quot;:{&quot;type&quot;:&quot;article-journal&quot;,&quot;id&quot;:&quot;02f21ea0-cb6e-3204-b3a8-66cbdca21e97&quot;,&quot;title&quot;:&quot;Spleen Tyrosine Kinase Regulates AP-1 Dependent Transcriptional Response to Minimally Oxidized LDL&quot;,&quot;author&quot;:[{&quot;family&quot;:&quot;Choi&quot;,&quot;given&quot;:&quot;Soo-Ho&quot;,&quot;parse-names&quot;:false,&quot;dropping-particle&quot;:&quot;&quot;,&quot;non-dropping-particle&quot;:&quot;&quot;},{&quot;family&quot;:&quot;Wiesner&quot;,&quot;given&quot;:&quot;Philipp&quot;,&quot;parse-names&quot;:false,&quot;dropping-particle&quot;:&quot;&quot;,&quot;non-dropping-particle&quot;:&quot;&quot;},{&quot;family&quot;:&quot;Almazan&quot;,&quot;given&quot;:&quot;Felicidad&quot;,&quot;parse-names&quot;:false,&quot;dropping-particle&quot;:&quot;&quot;,&quot;non-dropping-particle&quot;:&quot;&quot;},{&quot;family&quot;:&quot;Kim&quot;,&quot;given&quot;:&quot;Jungsu&quot;,&quot;parse-names&quot;:false,&quot;dropping-particle&quot;:&quot;&quot;,&quot;non-dropping-particle&quot;:&quot;&quot;},{&quot;family&quot;:&quot;Miller&quot;,&quot;given&quot;:&quot;Yury I.&quot;,&quot;parse-names&quot;:false,&quot;dropping-particle&quot;:&quot;&quot;,&quot;non-dropping-particle&quot;:&quot;&quot;}],&quot;container-title&quot;:&quot;PLoS ONE&quot;,&quot;accessed&quot;:{&quot;date-parts&quot;:[[2018,4,20]]},&quot;editor&quot;:[{&quot;family&quot;:&quot;Ojcius&quot;,&quot;given&quot;:&quot;David M.&quot;,&quot;parse-names&quot;:false,&quot;dropping-particle&quot;:&quot;&quot;,&quot;non-dropping-particle&quot;:&quot;&quot;}],&quot;DOI&quot;:&quot;10.1371/journal.pone.0032378&quot;,&quot;ISSN&quot;:&quot;1932-6203&quot;,&quot;URL&quot;:&quot;http://dx.plos.org/10.1371/journal.pone.0032378&quot;,&quot;issued&quot;:{&quot;date-parts&quot;:[[2012,2,22]]},&quot;page&quot;:&quot;e32378&quot;,&quot;abstract&quot;:&quot;Oxidative modification of low-density lipoprotein (LDL) turns it into an endogenous ligand recognized by pattern-recognition receptors. We have demonstrated that minimally oxidized LDL (mmLDL) binds to CD14 and mediates TLR4/MD-2-dependent responses in macrophages, many of which are MyD88-independent. We have also demonstrated that the mmLDL activation leads to recruitment of spleen tyrosine kinase (Syk) to TLR4 and TLR4 and Syk phosphorylation. In this study, we produced a macrophage-specific Syk knockout mouse and used primary Syk−/− macrophages in our studies. We demonstrated that Syk mediated phosphorylation of ERK1/2 and JNK, which in turn phosphorylated c-Fos and c-Jun, respectively, as assessed by an in vitro kinase assay. c-Jun phosphorylation was also mediated by IKKε. c-Jun and c-Fos bound to consensus DNA sites and thereby completed an AP-1 transcriptional complex and induced expression of CXCL2 and IL-6. These results suggest that Syk plays a key role in TLR4-mediated macrophage responses to host-generated ligands, like mmLDL, with subsequent activation of an AP-1 transcription program.&quot;,&quot;publisher&quot;:&quot;Public Library of Science&quot;,&quot;issue&quot;:&quot;2&quot;,&quot;volume&quot;:&quot;7&quot;},&quot;isTemporary&quot;:false}],&quot;properties&quot;:{&quot;noteIndex&quot;:0},&quot;isEdited&quot;:false,&quot;manualOverride&quot;:{&quot;isManuallyOverriden&quot;:false,&quot;citeprocText&quot;:&quot;(Choi &lt;i&gt;et al.&lt;/i&gt;, 2012)&quot;,&quot;manualOverrideText&quot;:&quot;&quot;},&quot;citationTag&quot;:&quot;MENDELEY_CITATION_v3_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&quot;},{&quot;citationID&quot;:&quot;MENDELEY_CITATION_3bceed44-77b2-4011-9718-5c102bb0a37a&quot;,&quot;citationItems&quot;:[{&quot;id&quot;:&quot;afbbcb13-2fb5-3951-b3aa-47ed9bcf27c0&quot;,&quot;itemData&quot;:{&quot;type&quot;:&quot;article&quot;,&quot;id&quot;:&quot;afbbcb13-2fb5-3951-b3aa-47ed9bcf27c0&quot;,&quot;title&quot;:&quot;Context-Dependent Role of Oxidized Lipids and Lipoproteins in Inflammation&quot;,&quot;author&quot;:[{&quot;family&quot;:&quot;Miller&quot;,&quot;given&quot;:&quot;Yury I.&quot;,&quot;parse-names&quot;:false,&quot;dropping-particle&quot;:&quot;&quot;,&quot;non-dropping-particle&quot;:&quot;&quot;},{&quot;family&quot;:&quot;Shyy&quot;,&quot;given&quot;:&quot;John Y.J.&quot;,&quot;parse-names&quot;:false,&quot;dropping-particle&quot;:&quot;&quot;,&quot;non-dropping-particle&quot;:&quot;&quot;}],&quot;container-title&quot;:&quot;Trends in Endocrinology and Metabolism&quot;,&quot;accessed&quot;:{&quot;date-parts&quot;:[[2021,1,31]]},&quot;DOI&quot;:&quot;10.1016/j.tem.2016.11.002&quot;,&quot;ISSN&quot;:&quot;18793061&quot;,&quot;PMID&quot;:&quot;27931771&quot;,&quot;issued&quot;:{&quot;date-parts&quot;:[[2017,2,1]]},&quot;page&quot;:&quot;143-152&quot;,&quot;abstract&quot;:&quot;Oxidized low-density lipoprotein (OxLDL), which contains hundreds of different oxidized lipid molecules, is a hallmark of hyperlipidemia and atherosclerosis. The same oxidized lipids found in OxLDL are also formed in apoptotic cells, and are present in tissues as well as in the circulation under pathological conditions. In many disease contexts, oxidized lipids constitute damage signals, or patterns, that activate pattern-recognition receptors (PRRs) and significantly contribute to inflammation. Here, we review recent discoveries and emerging trends in the field of oxidized lipids and the regulation of inflammation, focusing on oxidation products of polyunsaturated fatty acids esterified into cholesteryl esters (CEs) and phospholipids (PLs). We also highlight context-dependent activation and biased agonism of Toll-like receptor-4 (TLR4) and the NLRP3 inflammasome, among other signaling pathways activated by oxidized lipids.&quot;,&quot;publisher&quot;:&quot;Elsevier Inc.&quot;,&quot;issue&quot;:&quot;2&quot;,&quot;volume&quot;:&quot;28&quot;},&quot;isTemporary&quot;:false}],&quot;properties&quot;:{&quot;noteIndex&quot;:0},&quot;isEdited&quot;:false,&quot;manualOverride&quot;:{&quot;isManuallyOverriden&quot;:false,&quot;citeprocText&quot;:&quot;(Miller and Shyy, 2017)&quot;,&quot;manualOverrideText&quot;:&quot;&quot;},&quot;citationTag&quot;:&quot;MENDELEY_CITATION_v3_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&quot;},{&quot;citationID&quot;:&quot;MENDELEY_CITATION_1d01080c-72f0-4ad8-aeb5-bc341a1ef912&quot;,&quot;citationItems&quot;:[{&quot;id&quot;:&quot;20b5d470-7ba7-349c-b30c-97e137a4a365&quot;,&quot;itemData&quot;:{&quot;type&quot;:&quot;article-journal&quot;,&quot;id&quot;:&quot;20b5d470-7ba7-349c-b30c-97e137a4a365&quot;,&quot;title&quot;:&quot;The role of TLR2, TLR4 and CD36 in macrophage activation and foam cell formation in response to oxLDL in humans&quot;,&quot;author&quot;:[{&quot;family&quot;:&quot;Chávez-Sánchez&quot;,&quot;given&quot;:&quot;Luis&quot;,&quot;parse-names&quot;:false,&quot;dropping-particle&quot;:&quot;&quot;,&quot;non-dropping-particle&quot;:&quot;&quot;},{&quot;family&quot;:&quot;Garza-Reyes&quot;,&quot;given&quot;:&quot;Montserrat Guadalupe&quot;,&quot;parse-names&quot;:false,&quot;dropping-particle&quot;:&quot;&quot;,&quot;non-dropping-particle&quot;:&quot;&quot;},{&quot;family&quot;:&quot;Espinosa-Luna&quot;,&quot;given&quot;:&quot;José Esteban&quot;,&quot;parse-names&quot;:false,&quot;dropping-particle&quot;:&quot;&quot;,&quot;non-dropping-particle&quot;:&quot;&quot;},{&quot;family&quot;:&quot;Chávez-Rueda&quot;,&quot;given&quot;:&quot;Karina&quot;,&quot;parse-names&quot;:false,&quot;dropping-particle&quot;:&quot;&quot;,&quot;non-dropping-particle&quot;:&quot;&quot;},{&quot;family&quot;:&quot;Legorreta-Haquet&quot;,&quot;given&quot;:&quot;María Victoria&quot;,&quot;parse-names&quot;:false,&quot;dropping-particle&quot;:&quot;&quot;,&quot;non-dropping-particle&quot;:&quot;&quot;},{&quot;family&quot;:&quot;Blanco-Favela&quot;,&quot;given&quot;:&quot;Francisco&quot;,&quot;parse-names&quot;:false,&quot;dropping-particle&quot;:&quot;&quot;,&quot;non-dropping-particle&quot;:&quot;&quot;}],&quot;container-title&quot;:&quot;Human Immunology&quot;,&quot;accessed&quot;:{&quot;date-parts&quot;:[[2018,4,5]]},&quot;DOI&quot;:&quot;10.1016/J.HUMIMM.2014.01.012&quot;,&quot;ISSN&quot;:&quot;0198-8859&quot;,&quot;URL&quot;:&quot;https://www.sciencedirect.com/science/article/pii/S0198885914000202&quot;,&quot;issued&quot;:{&quot;date-parts&quot;:[[2014,4,1]]},&quot;page&quot;:&quot;322-329&quot;,&quot;abstract&quot;:&quot;Toll-like receptor (TLR)2, TLR4 and CD36 are central in inflammation and the development of atherosclerosis. Oxidized low-density lipoprotein (oxLDL) plays a critical role in this disease through its involvement in the formation of foam cells and the activation of leukocytes. The aim of this research was to analyze the role of TLR2, TLR4 and CD36 in foam cell differentiation and macrophage activation. \n\nMETHODS\nHuman macrophages were incubated with monoclonal antibodies specific for TLR2, TLR4 and CD36 prior to stimulation with oxLDL. Subsequently, we analyzed foam cell formation, cytokine secretion, histocompatibility complex (MHC) class II molecules and CD86 expression and T cell proliferation. \n\nRESULTS\nThe stimulation of macrophages with oxLDL induced foam cell formation, cytokine secretion, HLA-DR and CD86 expression and T cell proliferation. The blockage of TLR2, TLR4 and CD36 reduced the secretion of IL-1β, IL-6 and IL-8, the expression of HLA-DR and CD86, T cell proliferation and foam cell formation. However, the blockage of TLR2 did not affect the formation of foam cells. \n\nCONCLUSION\nOur study demonstrates that TLR2, TLR4 and CD36 participate in the immune response to oxLDL by inducing an increase in pro-inflammatory cytokines, the expression HLA-DR and CD86 and the proliferation of T cells. However, TLR2 does not participate in the formation of foam cells, while TLR4 and CD36 play a relevant role in this process. These findings suggest that the activation of these receptors by oxLDL contributes to the pathogenesis of atherosclerosis.&quot;,&quot;publisher&quot;:&quot;Elsevier&quot;,&quot;issue&quot;:&quot;4&quot;,&quot;volume&quot;:&quot;75&quot;},&quot;isTemporary&quot;:false}],&quot;properties&quot;:{&quot;noteIndex&quot;:0},&quot;isEdited&quot;:false,&quot;manualOverride&quot;:{&quot;isManuallyOverriden&quot;:false,&quot;citeprocText&quot;:&quot;(Chávez-Sánchez &lt;i&gt;et al.&lt;/i&gt;, 2014)&quot;,&quot;manualOverrideText&quot;:&quot;&quot;},&quot;citationTag&quot;:&quot;MENDELEY_CITATION_v3_eyJjaXRhdGlvbklEIjoiTUVOREVMRVlfQ0lUQVRJT05fMWQwMTA4MGMtNzJmMC00YWQ4LWFlYjUtYmMzNDFhMWVmOTEy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V0sInByb3BlcnRpZXMiOnsibm90ZUluZGV4IjowfSwiaXNFZGl0ZWQiOmZhbHNlLCJtYW51YWxPdmVycmlkZSI6eyJpc01hbnVhbGx5T3ZlcnJpZGVuIjpmYWxzZSwiY2l0ZXByb2NUZXh0IjoiKENow6F2ZXotU8OhbmNoZXogPGk+ZXQgYWwuPC9pPiwgMjAxNCkiLCJtYW51YWxPdmVycmlkZVRleHQiOiIifX0=&quot;},{&quot;citationID&quot;:&quot;MENDELEY_CITATION_96a9dcb2-663a-48f1-ba93-bb0541f9c370&quot;,&quot;citationItems&quot;:[{&quot;id&quot;:&quot;4dd57c65-1669-3005-b96b-7f288fe5a549&quot;,&quot;itemData&quot;:{&quot;type&quot;:&quot;article-journal&quot;,&quot;id&quot;:&quot;4dd57c65-1669-3005-b96b-7f288fe5a549&quot;,&quot;title&quot;:&quot;Circulating CD36 and oxLDL levels are associated with cardiovascular risk factors in young subjects&quot;,&quot;author&quot;:[{&quot;family&quot;:&quot;Ramos-Arellano&quot;,&quot;given&quot;:&quot;Luz E.&quot;,&quot;parse-names&quot;:false,&quot;dropping-particle&quot;:&quot;&quot;,&quot;non-dropping-particle&quot;:&quot;&quot;},{&quot;family&quot;:&quot;Muñoz-Valle&quot;,&quot;given&quot;:&quot;José F.&quot;,&quot;parse-names&quot;:false,&quot;dropping-particle&quot;:&quot;&quot;,&quot;non-dropping-particle&quot;:&quot;&quot;},{&quot;family&quot;:&quot;la Cruz-Mosso&quot;,&quot;given&quot;:&quot;Ulises&quot;,&quot;parse-names&quot;:false,&quot;dropping-particle&quot;:&quot;&quot;,&quot;non-dropping-particle&quot;:&quot;de&quot;},{&quot;family&quot;:&quot;Salgado-Bernabé&quot;,&quot;given&quot;:&quot;Aralia B.&quot;,&quot;parse-names&quot;:false,&quot;dropping-particle&quot;:&quot;&quot;,&quot;non-dropping-particle&quot;:&quot;&quot;},{&quot;family&quot;:&quot;Castro-Alarcón&quot;,&quot;given&quot;:&quot;Natividad&quot;,&quot;parse-names&quot;:false,&quot;dropping-particle&quot;:&quot;&quot;,&quot;non-dropping-particle&quot;:&quot;&quot;},{&quot;family&quot;:&quot;Parra-Rojas&quot;,&quot;given&quot;:&quot;Isela&quot;,&quot;parse-names&quot;:false,&quot;dropping-particle&quot;:&quot;&quot;,&quot;non-dropping-particle&quot;:&quot;&quot;}],&quot;container-title&quot;:&quot;BMC Cardiovascular Disorders&quot;,&quot;accessed&quot;:{&quot;date-parts&quot;:[[2021,1,26]]},&quot;DOI&quot;:&quot;10.1186/1471-2261-14-54&quot;,&quot;ISSN&quot;:&quot;14712261&quot;,&quot;PMID&quot;:&quot;24766787&quot;,&quot;URL&quot;:&quot;https://link.springer.com/articles/10.1186/1471-2261-14-54&quot;,&quot;issued&quot;:{&quot;date-parts&quot;:[[2014,4,28]]},&quot;page&quot;:&quot;1-7&quot;,&quot;abstract&quot;:&quot;Background: Cardiovascular disease (CVD) results from a combination of abnormalities in lipoprotein metabolism, oxidative stress, chronic inflammation, and susceptibility to thrombosis. Atherosclerosis is the major cause of CVD. CD36 has been shown to play a critical role in the development of atherosclerotic lesions by its capacity to bind and promote endocytosis of oxidized low-density lipoprotein (oxLDL) and is implicated in the formation of foam cells. The purpose of this research was to evaluate whether there is an association of sCD36 and oxLDL levels with cardiovascular risk factors in young subjects.Methods: A total of 188 subjects, 18 to 25 years old, 133 normal-weight and 55 obese subjects from the state of Guerrero, Mexico were recruited in the study. The lipid profile and glucose levels were measured by enzymatic colorimetric assays. Enzyme-linked immunosorbant assays (ELISA) for oxLDL and sCD36 were performed. Statistical analyses of data were performed with Wilcoxon- Mann Whitney and chi-square tests as well as with multinomial regression.Results: TC, LDL-C, TG, oxLDL and sCD36 levels were higher in obese subjects than in normal-weight controls, as well as, monocyte and platelet counts (P &lt; 0.05). Obese subjects had 5.8 times higher risk of sCD36 in the third tertil (&gt;97.8 ng/mL) than normal-weight controls (P = 0.014), and 7.4 times higher risk of oxLDL levels in third tertile (&gt;48 U/L) than control group. The subjects with hypercholesterolemia, hypertriglyceridemia, fasting impaired LDL-C had a higher risk of oxLDL levels in the third tertile (&gt;48 U/L) than the control group (P &lt; 0.05).Conclusions: Circulating CD36 and oxLDL levels are associated with cardiovascular risk factors in young subjects and may be potential early markers for cardiovascular disease (CVD). © 2014 Ramos-Arellano et al.; licensee BioMed Central Ltd.&quot;,&quot;publisher&quot;:&quot;BioMed Central Ltd.&quot;,&quot;issue&quot;:&quot;1&quot;,&quot;volume&quot;:&quot;14&quot;},&quot;isTemporary&quot;:false}],&quot;properties&quot;:{&quot;noteIndex&quot;:0},&quot;isEdited&quot;:false,&quot;manualOverride&quot;:{&quot;isManuallyOverriden&quot;:false,&quot;citeprocText&quot;:&quot;(Ramos-Arellano &lt;i&gt;et al.&lt;/i&gt;, 2014)&quot;,&quot;manualOverrideText&quot;:&quot;&quot;},&quot;citationTag&quot;:&quot;MENDELEY_CITATION_v3_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&quot;},{&quot;citationID&quot;:&quot;MENDELEY_CITATION_c9d0d0b8-f40b-4b3f-9560-660929d96b0e&quot;,&quot;citationItems&quot;:[{&quot;id&quot;:&quot;469620b2-6f13-38ce-a5e0-76acae70603c&quot;,&quot;itemData&quot;:{&quot;type&quot;:&quot;article-journal&quot;,&quot;id&quot;:&quot;469620b2-6f13-38ce-a5e0-76acae70603c&quot;,&quot;title&quot;:&quot;CD36 ligands promote sterile inflammation through assembly of a Toll-like receptor 4 and 6 heterodimer&quot;,&quot;author&quot;:[{&quot;family&quot;:&quot;Stewart&quot;,&quot;given&quot;:&quot;Cameron R.&quot;,&quot;parse-names&quot;:false,&quot;dropping-particle&quot;:&quot;&quot;,&quot;non-dropping-particle&quot;:&quot;&quot;},{&quot;family&quot;:&quot;Stuart&quot;,&quot;given&quot;:&quot;Lynda M.&quot;,&quot;parse-names&quot;:false,&quot;dropping-particle&quot;:&quot;&quot;,&quot;non-dropping-particle&quot;:&quot;&quot;},{&quot;family&quot;:&quot;Wilkinson&quot;,&quot;given&quot;:&quot;Kim&quot;,&quot;parse-names&quot;:false,&quot;dropping-particle&quot;:&quot;&quot;,&quot;non-dropping-particle&quot;:&quot;&quot;},{&quot;family&quot;:&quot;Gils&quot;,&quot;given&quot;:&quot;Janine M.&quot;,&quot;parse-names&quot;:false,&quot;dropping-particle&quot;:&quot;&quot;,&quot;non-dropping-particle&quot;:&quot;van&quot;},{&quot;family&quot;:&quot;Deng&quot;,&quot;given&quot;:&quot;Jiusheng&quot;,&quot;parse-names&quot;:false,&quot;dropping-particle&quot;:&quot;&quot;,&quot;non-dropping-particle&quot;:&quot;&quot;},{&quot;family&quot;:&quot;Halle&quot;,&quot;given&quot;:&quot;Annett&quot;,&quot;parse-names&quot;:false,&quot;dropping-particle&quot;:&quot;&quot;,&quot;non-dropping-particle&quot;:&quot;&quot;},{&quot;family&quot;:&quot;Rayner&quot;,&quot;given&quot;:&quot;Katey J.&quot;,&quot;parse-names&quot;:false,&quot;dropping-particle&quot;:&quot;&quot;,&quot;non-dropping-particle&quot;:&quot;&quot;},{&quot;family&quot;:&quot;Boyer&quot;,&quot;given&quot;:&quot;Laurent&quot;,&quot;parse-names&quot;:false,&quot;dropping-particle&quot;:&quot;&quot;,&quot;non-dropping-particle&quot;:&quot;&quot;},{&quot;family&quot;:&quot;Zhong&quot;,&quot;given&quot;:&quot;Ruiqin&quot;,&quot;parse-names&quot;:false,&quot;dropping-particle&quot;:&quot;&quot;,&quot;non-dropping-particle&quot;:&quot;&quot;},{&quot;family&quot;:&quot;Frazier&quot;,&quot;given&quot;:&quot;William A.&quot;,&quot;parse-names&quot;:false,&quot;dropping-particle&quot;:&quot;&quot;,&quot;non-dropping-particle&quot;:&quot;&quot;},{&quot;family&quot;:&quot;Lacy-Hulbert&quot;,&quot;given&quot;:&quot;Adam&quot;,&quot;parse-names&quot;:false,&quot;dropping-particle&quot;:&quot;&quot;,&quot;non-dropping-particle&quot;:&quot;&quot;},{&quot;family&quot;:&quot;Khoury&quot;,&quot;given&quot;:&quot;Joseph&quot;,&quot;parse-names&quot;:false,&quot;dropping-particle&quot;:&quot;el&quot;,&quot;non-dropping-particle&quot;:&quot;&quot;},{&quot;family&quot;:&quot;Golenbock&quot;,&quot;given&quot;:&quot;Douglas T.&quot;,&quot;parse-names&quot;:false,&quot;dropping-particle&quot;:&quot;&quot;,&quot;non-dropping-particle&quot;:&quot;&quot;},{&quot;family&quot;:&quot;Moore&quot;,&quot;given&quot;:&quot;Kathryn J.&quot;,&quot;parse-names&quot;:false,&quot;dropping-particle&quot;:&quot;&quot;,&quot;non-dropping-particle&quot;:&quot;&quot;}],&quot;container-title&quot;:&quot;Nature Immunology&quot;,&quot;accessed&quot;:{&quot;date-parts&quot;:[[2021,1,26]]},&quot;DOI&quot;:&quot;10.1038/ni.1836&quot;,&quot;ISSN&quot;:&quot;15292908&quot;,&quot;PMID&quot;:&quot;20037584&quot;,&quot;URL&quot;:&quot;https://www.nature.com/articles/ni.1836&quot;,&quot;issued&quot;:{&quot;date-parts&quot;:[[2010,2,27]]},&quot;page&quot;:&quot;155-161&quot;,&quot;abstract&quot;:&quot;In atherosclerosis and Alzheimer's disease, deposition of the altered self components oxidized low-density lipoprotein (LDL) and amyloid-Β triggers a protracted sterile inflammatory response. Although chronic stimulation of the innate immune system is believed to underlie the pathology of these diseases, the molecular mechanisms of activation remain unclear. Here we show that oxidized LDL and amyloid-Β trigger inflammatory signaling through a heterodimer of Toll-like receptors 4 and 6. Assembly of this newly identified heterodimer is regulated by signals from the scavenger receptor CD36, a common receptor for these disparate ligands. Our results identify CD36-TLR4-TLR6 activation as a common molecular mechanism by which atherogenic lipids and amyloid-Β stimulate sterile inflammation and suggest a new model of TLR heterodimerization triggered by coreceptor signaling events. © 2010 Nature America, Inc. All rights reserved.&quot;,&quot;publisher&quot;:&quot;Nature Publishing Group&quot;,&quot;issue&quot;:&quot;2&quot;,&quot;volume&quot;:&quot;11&quot;},&quot;isTemporary&quot;:false}],&quot;properties&quot;:{&quot;noteIndex&quot;:0},&quot;isEdited&quot;:false,&quot;manualOverride&quot;:{&quot;isManuallyOverriden&quot;:false,&quot;citeprocText&quot;:&quot;(Stewart &lt;i&gt;et al.&lt;/i&gt;, 2010)&quot;,&quot;manualOverrideText&quot;:&quot;&quot;},&quot;citationTag&quot;:&quot;MENDELEY_CITATION_v3_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&quot;},{&quot;citationID&quot;:&quot;MENDELEY_CITATION_79240c67-ab3d-444d-b17b-7ea486e37d01&quot;,&quot;citationItems&quot;:[{&quot;id&quot;:&quot;0c59919f-4e75-3862-8ef7-709f6c5fb3dc&quot;,&quot;itemData&quot;:{&quot;type&quot;:&quot;article-journal&quot;,&quot;id&quot;:&quot;0c59919f-4e75-3862-8ef7-709f6c5fb3dc&quot;,&quot;title&quot;:&quot;The Binding of Oxidized Low Density Lipoprotein to Mouse CD36 Is Mediated in Part by Oxidized Phospholipids That Are Associated with Both the Lipid and Protein Moieties of the Lipoprotein *&quot;,&quot;author&quot;:[{&quot;family&quot;:&quot;Boullier&quot;,&quot;given&quot;:&quot;Agnès&quot;,&quot;parse-names&quot;:false,&quot;dropping-particle&quot;:&quot;&quot;,&quot;non-dropping-particle&quot;:&quot;&quot;},{&quot;family&quot;:&quot;Gillotte&quot;,&quot;given&quot;:&quot;Kristin L.&quot;,&quot;parse-names&quot;:false,&quot;dropping-particle&quot;:&quot;&quot;,&quot;non-dropping-particle&quot;:&quot;&quot;},{&quot;family&quot;:&quot;Hörkkö&quot;,&quot;given&quot;:&quot;Sohvi&quot;,&quot;parse-names&quot;:false,&quot;dropping-particle&quot;:&quot;&quot;,&quot;non-dropping-particle&quot;:&quot;&quot;},{&quot;family&quot;:&quot;Green&quot;,&quot;given&quot;:&quot;Simone R.&quot;,&quot;parse-names&quot;:false,&quot;dropping-particle&quot;:&quot;&quot;,&quot;non-dropping-particle&quot;:&quot;&quot;},{&quot;family&quot;:&quot;Friedman&quot;,&quot;given&quot;:&quot;Peter&quot;,&quot;parse-names&quot;:false,&quot;dropping-particle&quot;:&quot;&quot;,&quot;non-dropping-particle&quot;:&quot;&quot;},{&quot;family&quot;:&quot;Dennis&quot;,&quot;given&quot;:&quot;Edward A.&quot;,&quot;parse-names&quot;:false,&quot;dropping-particle&quot;:&quot;&quot;,&quot;non-dropping-particle&quot;:&quot;&quot;},{&quot;family&quot;:&quot;Witztum&quot;,&quot;given&quot;:&quot;Joseph L.&quot;,&quot;parse-names&quot;:false,&quot;dropping-particle&quot;:&quot;&quot;,&quot;non-dropping-particle&quot;:&quot;&quot;},{&quot;family&quot;:&quot;Steinberg&quot;,&quot;given&quot;:&quot;Daniel&quot;,&quot;parse-names&quot;:false,&quot;dropping-particle&quot;:&quot;&quot;,&quot;non-dropping-particle&quot;:&quot;&quot;},{&quot;family&quot;:&quot;Quehenberger&quot;,&quot;given&quot;:&quot;Oswald&quot;,&quot;parse-names&quot;:false,&quot;dropping-particle&quot;:&quot;&quot;,&quot;non-dropping-particle&quot;:&quot;&quot;}],&quot;container-title&quot;:&quot;Journal of Biological Chemistry&quot;,&quot;accessed&quot;:{&quot;date-parts&quot;:[[2021,9,18]]},&quot;DOI&quot;:&quot;10.1074/JBC.275.13.9163&quot;,&quot;ISSN&quot;:&quot;0021-9258&quot;,&quot;PMID&quot;:&quot;10734051&quot;,&quot;URL&quot;:&quot;http://www.jbc.org/article/S0021925818300188/fulltext&quot;,&quot;issued&quot;:{&quot;date-parts&quot;:[[2000,3,31]]},&quot;page&quot;:&quot;9163-9169&quot;,&quot;abstract&quot;:&quot;&lt;p&gt;There is growing evidence that CD36 has an important physiological function in the uptake of oxidized low density lipoprotein (OxLDL) by macrophages. However, the ligand specificity and the nature of the ligands on OxLDL that mediate the binding to CD36 remain ill defined. Results from recent studies suggested that some of the macrophage scavenger receptors involved in the uptake of OxLDL recognized &lt;i&gt;both&lt;/i&gt; the lipid and the protein moieties of OxLDL, but there was no conclusive direct evidence for this. The present studies were undertaken to test whether a single, well characterized OxLDL receptor, CD36, could bind both the lipid and protein moieties of OxLDL. COS-7 cells transiently transfected with mouse CD36 cDNA bound intact OxLDL with high affinity. This binding was very effectively inhibited (∼50%) both by the reconstituted apoB from OxLDL and by microemulsions prepared from OxLDL lipids. The specific binding of both moieties to CD36 was further confirmed by direct ligand binding analysis and by demonstrating reciprocal inhibition, &lt;i&gt;i.e.&lt;/i&gt; apoB from OxLDL inhibited the binding of the OxLDL lipids and &lt;i&gt;vice versa&lt;/i&gt;. Furthermore, a monoclonal mouse antibody that recognizes oxidation-specific epitopes in OxLDL inhibited the binding of intact OxLDL and also that of its purified protein and lipid moieties to CD36. This antibody recognizes the phospholipid 1-palmitoyl 2-(5′-oxovaleroyl) phosphatidylcholine. This model of an oxidized phospholipid was also an effective competitor for the CD36 binding of both the resolubilized apoB and the lipid microemulsions from OxLDL. Our results demonstrate that oxidized phospholipids in the lipid phase or covalently attached to apoB serve as ligands for recognition by CD36 and, at least in part, mediate the high affinity binding of OxLDL to macrophages.&lt;/p&gt;&quot;,&quot;publisher&quot;:&quot;Elsevier&quot;,&quot;issue&quot;:&quot;13&quot;,&quot;volume&quot;:&quot;275&quot;},&quot;isTemporary&quot;:false}],&quot;properties&quot;:{&quot;noteIndex&quot;:0},&quot;isEdited&quot;:false,&quot;manualOverride&quot;:{&quot;isManuallyOverridden&quot;:false,&quot;citeprocText&quot;:&quot;(Boullier &lt;i&gt;et al.&lt;/i&gt;, 2000)&quot;,&quot;manualOverrideText&quot;:&quot;&quot;},&quot;citationTag&quot;:&quot;MENDELEY_CITATION_v3_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&quot;},{&quot;citationID&quot;:&quot;MENDELEY_CITATION_429f18b7-fac9-407a-bed1-0aebfa932c1a&quot;,&quot;citationItems&quot;:[{&quot;id&quot;:&quot;63835fe9-08c7-34f3-ba3d-2760401f3ad5&quot;,&quot;itemData&quot;:{&quot;type&quot;:&quot;article-journal&quot;,&quot;id&quot;:&quot;63835fe9-08c7-34f3-ba3d-2760401f3ad5&quot;,&quot;title&quot;:&quot;The ω-carboxyl group of 7-ketocholesteryl-9-carboxynonanoate mediates the binding of oxLDL to CD36 receptor and enhances caveolin-1 expression in macrophages&quot;,&quot;author&quot;:[{&quot;family&quot;:&quot;Li&quot;,&quot;given&quot;:&quot;Jingda&quot;,&quot;parse-names&quot;:false,&quot;dropping-particle&quot;:&quot;&quot;,&quot;non-dropping-particle&quot;:&quot;&quot;},{&quot;family&quot;:&quot;Yu&quot;,&quot;given&quot;:&quot;Chengjie&quot;,&quot;parse-names&quot;:false,&quot;dropping-particle&quot;:&quot;&quot;,&quot;non-dropping-particle&quot;:&quot;&quot;},{&quot;family&quot;:&quot;Wang&quot;,&quot;given&quot;:&quot;Renjun&quot;,&quot;parse-names&quot;:false,&quot;dropping-particle&quot;:&quot;&quot;,&quot;non-dropping-particle&quot;:&quot;&quot;},{&quot;family&quot;:&quot;Xu&quot;,&quot;given&quot;:&quot;Jianrong&quot;,&quot;parse-names&quot;:false,&quot;dropping-particle&quot;:&quot;&quot;,&quot;non-dropping-particle&quot;:&quot;&quot;},{&quot;family&quot;:&quot;Chi&quot;,&quot;given&quot;:&quot;Yan&quot;,&quot;parse-names&quot;:false,&quot;dropping-particle&quot;:&quot;&quot;,&quot;non-dropping-particle&quot;:&quot;&quot;},{&quot;family&quot;:&quot;Qin&quot;,&quot;given&quot;:&quot;Jianzhong&quot;,&quot;parse-names&quot;:false,&quot;dropping-particle&quot;:&quot;&quot;,&quot;non-dropping-particle&quot;:&quot;&quot;},{&quot;family&quot;:&quot;Liu&quot;,&quot;given&quot;:&quot;Qingping&quot;,&quot;parse-names&quot;:false,&quot;dropping-particle&quot;:&quot;&quot;,&quot;non-dropping-particle&quot;:&quot;&quot;}],&quot;container-title&quot;:&quot;The International Journal of Biochemistry &amp; Cell Biology&quot;,&quot;accessed&quot;:{&quot;date-parts&quot;:[[2021,9,18]]},&quot;DOI&quot;:&quot;10.1016/J.BIOCEL.2017.07.022&quot;,&quot;ISSN&quot;:&quot;1357-2725&quot;,&quot;issued&quot;:{&quot;date-parts&quot;:[[2017,9,1]]},&quot;page&quot;:&quot;121-135&quot;,&quot;abstract&quot;:&quot;CD36 signal transduction modulates the uptake of oxidized low-density lipoprotein (oxLDL) and foam cell formation. We previously observed that 7-ketocholesteryl-9-carboxynonanoate (oxLig-1), the lipid moiety of oxLDL, activates the CD36-Src-JNK/ERK1/2 signalling pathway. In this study, we assessed the role of the ω-carboxyl group in the binding of oxLig-1 to CD36 and investigated whether the binding of the ω-carboxyl group to CD36 triggers CD36-mediated signalling, thereby resulting in the upregulation of caveolin-1 expression. Our results showed that oxLig-1 bound to CD36 and that the ω-carboxyl group was critical for this binding. Furthermore, immunoprecipitation and Western blot analyses showed that interaction between the ω-carboxyl group of oxLig-1 and CD36 triggered intracellular Src-JNK/ERK1/2 signal transduction. Moreover, the binding of the ω-carboxyl group to CD36 induced caveolin-1 expression and translocation to the membrane in macrophages. Additionally, inhibitors of Src, JNK and ERK and siRNA targeting CD36 and NF-κB significantly suppressed the enhanced caveolin-1 expression induced by oxLig-1. In conclusion, these observations suggest that oxLig-1 is a critical epitope of oxLDL that mediates the binding of oxLDL to CD36 and activates downstream Src-JNK/ERK1/2-NF-κB signal transduction, resulting in upregulation of caveolin-1 expression in macrophages.&quot;,&quot;publisher&quot;:&quot;Pergamon&quot;,&quot;volume&quot;:&quot;90&quot;},&quot;isTemporary&quot;:false}],&quot;properties&quot;:{&quot;noteIndex&quot;:0},&quot;isEdited&quot;:false,&quot;manualOverride&quot;:{&quot;isManuallyOverridden&quot;:false,&quot;citeprocText&quot;:&quot;(Li &lt;i&gt;et al.&lt;/i&gt;, 2017)&quot;,&quot;manualOverrideText&quot;:&quot;&quot;},&quot;citationTag&quot;:&quot;MENDELEY_CITATION_v3_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&quot;},{&quot;citationID&quot;:&quot;MENDELEY_CITATION_411085e0-520c-4fe6-8ad4-96756ecbd868&quot;,&quot;citationItems&quot;:[{&quot;id&quot;:&quot;995ce6a0-bc26-3cc2-a67a-fc99314f1be5&quot;,&quot;itemData&quot;:{&quot;type&quot;:&quot;article-journal&quot;,&quot;id&quot;:&quot;995ce6a0-bc26-3cc2-a67a-fc99314f1be5&quot;,&quot;title&quot;:&quot;oxLDL induces inflammatory responses in vascular smooth muscle cells via urokinase receptor association with CD36 and TLR4.&quot;,&quot;author&quot;:[{&quot;family&quot;:&quot;Kiyan&quot;,&quot;given&quot;:&quot;Yulia&quot;,&quot;parse-names&quot;:false,&quot;dropping-particle&quot;:&quot;&quot;,&quot;non-dropping-particle&quot;:&quot;&quot;},{&quot;family&quot;:&quot;Tkachuk&quot;,&quot;given&quot;:&quot;Sergey&quot;,&quot;parse-names&quot;:false,&quot;dropping-particle&quot;:&quot;&quot;,&quot;non-dropping-particle&quot;:&quot;&quot;},{&quot;family&quot;:&quot;Hilfiker-Kleiner&quot;,&quot;given&quot;:&quot;Denise&quot;,&quot;parse-names&quot;:false,&quot;dropping-particle&quot;:&quot;&quot;,&quot;non-dropping-particle&quot;:&quot;&quot;},{&quot;family&quot;:&quot;Haller&quot;,&quot;given&quot;:&quot;Hermann&quot;,&quot;parse-names&quot;:false,&quot;dropping-particle&quot;:&quot;&quot;,&quot;non-dropping-particle&quot;:&quot;&quot;},{&quot;family&quot;:&quot;Fuhrman&quot;,&quot;given&quot;:&quot;Bianca&quot;,&quot;parse-names&quot;:false,&quot;dropping-particle&quot;:&quot;&quot;,&quot;non-dropping-particle&quot;:&quot;&quot;},{&quot;family&quot;:&quot;Dumler&quot;,&quot;given&quot;:&quot;Inna&quot;,&quot;parse-names&quot;:false,&quot;dropping-particle&quot;:&quot;&quot;,&quot;non-dropping-particle&quot;:&quot;&quot;}],&quot;container-title&quot;:&quot;Journal of molecular and cellular cardiology&quot;,&quot;accessed&quot;:{&quot;date-parts&quot;:[[2018,4,5]]},&quot;DOI&quot;:&quot;10.1016/j.yjmcc.2013.11.005&quot;,&quot;ISSN&quot;:&quot;1095-8584&quot;,&quot;PMID&quot;:&quot;24239845&quot;,&quot;URL&quot;:&quot;http://www.ncbi.nlm.nih.gov/pubmed/24239845&quot;,&quot;issued&quot;:{&quot;date-parts&quot;:[[2014,1,1]]},&quot;page&quot;:&quot;72-82&quot;,&quot;abstract&quot;:&quot;The pathogenesis of atherosclerosis involves an imbalanced lipid metabolism and a deregulated immune response culminating in chronic inflammation of the arterial wall. Recent studies show that endogenous ligands, such as modified plasma lipoproteins, can trigger pattern recognition receptors (PRR) of innate immunity for cellular and humoral reactions. The underlying molecular pathways remain less explored. In this study, we investigated the mechanisms of inflammatory effects of oxidized low-density lipoproteins (oxLDL) on human primary coronary artery smooth muscle cells (VSMC). We show that already low concentration of oxLDL initiated atherogenic signals triggering VSMC transition to proinflammatory phenotype. oxLDL impaired the expression of contractile proteins and myocardin in VSMC and initiated changes in cell functional responses, including expression of proinflammatory molecules. The effects of oxLDL were abolished by downregulation of the multifunctional urokinase receptor (uPAR). In response to oxLDL uPAR associated with CD36 and TLR4, the two main PRR for both pathogen and endogenous ligands. We demonstrate that uPAR association with CD36 and TLR4 mediated oxLDL-induced and NF-κB-dependent G-CSF and GM-CSF expression and changes in VSMC contractile proteins. uPAR-mediated release of G-CSF and GM-CSF by VSMC affected macrophage behavior and production of MCP-1. We provide evidence for functional relevance of our in vitro findings to in vivo human atherosclerotic tissues. Our data imply uPAR as a part of a PRR cluster interfering structurally and functionally with CD36 and TLR4 and responding to endogenous atherogenic ligands. They further point to specific function of each component of this cluster in mediating the ultimate signaling pattern.&quot;,&quot;publisher&quot;:&quot;Elsevier&quot;,&quot;volume&quot;:&quot;66&quot;},&quot;isTemporary&quot;:false}],&quot;properties&quot;:{&quot;noteIndex&quot;:0},&quot;isEdited&quot;:false,&quot;manualOverride&quot;:{&quot;isManuallyOverriden&quot;:false,&quot;citeprocText&quot;:&quot;(Kiyan &lt;i&gt;et al.&lt;/i&gt;, 2014)&quot;,&quot;manualOverrideText&quot;:&quot;&quot;},&quot;citationTag&quot;:&quot;MENDELEY_CITATION_v3_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&quot;},{&quot;citationID&quot;:&quot;MENDELEY_CITATION_3002a802-a164-493a-9217-2bc0d1215505&quot;,&quot;citationItems&quot;:[{&quot;id&quot;:&quot;d8e0b626-9d56-3664-bf73-58e147170db0&quot;,&quot;itemData&quot;:{&quot;type&quot;:&quot;article&quot;,&quot;id&quot;:&quot;d8e0b626-9d56-3664-bf73-58e147170db0&quot;,&quot;title&quot;:&quot;Atherosclerosis: From biology to pharmacological treatment&quot;,&quot;author&quot;:[{&quot;family&quot;:&quot;Riccioni&quot;,&quot;given&quot;:&quot;Graziano&quot;,&quot;parse-names&quot;:false,&quot;dropping-particle&quot;:&quot;&quot;,&quot;non-dropping-particle&quot;:&quot;&quot;},{&quot;family&quot;:&quot;Sblendorio&quot;,&quot;given&quot;:&quot;Valeriana&quot;,&quot;parse-names&quot;:false,&quot;dropping-particle&quot;:&quot;&quot;,&quot;non-dropping-particle&quot;:&quot;&quot;}],&quot;container-title&quot;:&quot;Journal of Geriatric Cardiology&quot;,&quot;accessed&quot;:{&quot;date-parts&quot;:[[2021,2,1]]},&quot;DOI&quot;:&quot;10.3724/SP.J.1263.2012.02132&quot;,&quot;ISSN&quot;:&quot;16715411&quot;,&quot;URL&quot;:&quot;/pmc/articles/PMC3470030/?report=abstract&quot;,&quot;issued&quot;:{&quot;date-parts&quot;:[[2012]]},&quot;page&quot;:&quot;305-317&quot;,&quot;abstract&quot;:&quot;A recent explosion in the amount of cardiovascular risk has swept across the globe. Primary prevention is the preferred method to lower cardiovascular risk. Lowering the prevalence of obesity is the most urgent matter, and is pleiotropic since it affects blood pressure, lipid profiles, glucose metabolism, inflammation, and atherothrombotic disease progression. Given the current obstacles, success of primary prevention remains uncertain. At the same time, the consequences of delay and inaction will inevitably be disastrous, and the sense of urgency mounts. Pathological and epidemiological data confirm that atherosclerosis begins in early childhood, and advances seamlessly and inexorably throughout life. Risk factors in childhood are similar to those in adults, and track between stages of life. When indicated, aggressive treatment should begin at the earliest indication, and be continued for many years. For those patients at intermediate risk according to global risk scores, C-reactive protein, coronary artery calcium, and carotid intima-media thickness are available for further stratification. Using statins for primary prevention is recommended by guidelines, is prevalent, but remains under prescribed. Statin drugs are unrivaled, evidence-based, major weapons to lower cardiovascular risk. Even when low density lipoprotein cholesterol targets are attained, over half of patients continue to have disease progression and clinical events. Though clinical evidence is incomplete, altering or raising the blood high density lipoprotein cholesterol level continues to be pursued. The aim of this review is to point out the attention of key aspects of vulnerable plaques regarding their pathogenesis and treatment.&quot;,&quot;publisher&quot;:&quot;Institute of Geriatric Cardiology, Chinese PLA General Hospital&quot;,&quot;issue&quot;:&quot;3&quot;,&quot;volume&quot;:&quot;9&quot;},&quot;isTemporary&quot;:false}],&quot;properties&quot;:{&quot;noteIndex&quot;:0},&quot;isEdited&quot;:false,&quot;manualOverride&quot;:{&quot;isManuallyOverriden&quot;:false,&quot;citeprocText&quot;:&quot;(Riccioni and Sblendorio, 2012)&quot;,&quot;manualOverrideText&quot;:&quot;Riccioni and Sblendorio, 2012&quot;,&quot;isManuallyOverridden&quot;:true},&quot;citationTag&quot;:&quot;MENDELEY_CITATION_v3_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&quot;},{&quot;citationID&quot;:&quot;MENDELEY_CITATION_b13dc9ec-db2b-4006-a4a3-37b571ceaef6&quot;,&quot;citationItems&quot;:[{&quot;id&quot;:&quot;fb60a9e3-ee7f-3e7d-b757-f62e33c58316&quot;,&quot;itemData&quot;:{&quot;type&quot;:&quot;article-journal&quot;,&quot;id&quot;:&quot;fb60a9e3-ee7f-3e7d-b757-f62e33c58316&quot;,&quot;title&quot;:&quot;Atorvastatin affects TLR4 clustering via lipid raft modulation&quot;,&quot;author&quot;:[{&quot;family&quot;:&quot;Chansrichavala&quot;,&quot;given&quot;:&quot;Praveen&quot;,&quot;parse-names&quot;:false,&quot;dropping-particle&quot;:&quot;&quot;,&quot;non-dropping-particle&quot;:&quot;&quot;},{&quot;family&quot;:&quot;Chantharaksri&quot;,&quot;given&quot;:&quot;Udom&quot;,&quot;parse-names&quot;:false,&quot;dropping-particle&quot;:&quot;&quot;,&quot;non-dropping-particle&quot;:&quot;&quot;},{&quot;family&quot;:&quot;Sritara&quot;,&quot;given&quot;:&quot;Piyamitr&quot;,&quot;parse-names&quot;:false,&quot;dropping-particle&quot;:&quot;&quot;,&quot;non-dropping-particle&quot;:&quot;&quot;},{&quot;family&quot;:&quot;Ngaosuwankul&quot;,&quot;given&quot;:&quot;Nathamon&quot;,&quot;parse-names&quot;:false,&quot;dropping-particle&quot;:&quot;&quot;,&quot;non-dropping-particle&quot;:&quot;&quot;},{&quot;family&quot;:&quot;Chaiyaroj&quot;,&quot;given&quot;:&quot;Sansanee C.&quot;,&quot;parse-names&quot;:false,&quot;dropping-particle&quot;:&quot;&quot;,&quot;non-dropping-particle&quot;:&quot;&quot;}],&quot;container-title&quot;:&quot;International Immunopharmacology&quot;,&quot;accessed&quot;:{&quot;date-parts&quot;:[[2021,2,1]]},&quot;DOI&quot;:&quot;10.1016/j.intimp.2010.04.027&quot;,&quot;ISSN&quot;:&quot;15675769&quot;,&quot;PMID&quot;:&quot;20472098&quot;,&quot;issued&quot;:{&quot;date-parts&quot;:[[2010,8,1]]},&quot;page&quot;:&quot;892-899&quot;,&quot;abstract&quot;:&quot;Statins, HMG-CoA reductase inhibitors, are used widely in the treatment of hypercholesterolemia. Apart from lowering lipid levels, statins have been shown to have anti-inflammatory effects. Previously we showed that atorvastatin inhibits NF-κB activation, dose and time dependently, in LPS-TLR4 signaling pathway. In this study, we investigated the anti-inflammatory mechanism of atorvastatin via Toll-like receptor 4 (TLR4) in murine pro-B cell lines transfected with TLR4. Co-treatment of LPS-stimulated cells with both atorvastatin and mevalonate rescued NF-κB activation and TLR4 blockade demonstrated that atorvastatin does not exert its inhibitory effect via TLR4 receptor-ligand binding mechanism. Further investigation into the anti-inflammatory mechanism has shown that atorvastatin causes an impairment of TLR4 recruitment into the lipid raft thereby affecting anti-inflammatory responses. In contrast, mevalonate repaired lipid raft function leading to TLR4 clustering in the lipid raft. Together, these data suggest that atorvastatin exerts its anti-inflammatory effect via lipid raft modification. This novel finding offers another insight into the pleiotropic effects of atorvastatin and may be applicable to other pattern recognition receptors that utilize membrane lipid raft as a platform for signal transduction. © 2010 Elsevier B.V.&quot;,&quot;publisher&quot;:&quot;Elsevier&quot;,&quot;issue&quot;:&quot;8&quot;,&quot;volume&quot;:&quot;10&quot;},&quot;isTemporary&quot;:false}],&quot;properties&quot;:{&quot;noteIndex&quot;:0},&quot;isEdited&quot;:false,&quot;manualOverride&quot;:{&quot;isManuallyOverriden&quot;:false,&quot;citeprocText&quot;:&quot;(Chansrichavala &lt;i&gt;et al.&lt;/i&gt;, 2010)&quot;,&quot;manualOverrideText&quot;:&quot;&quot;},&quot;citationTag&quot;:&quot;MENDELEY_CITATION_v3_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&quot;},{&quot;citationID&quot;:&quot;MENDELEY_CITATION_b36df847-8b1a-41e5-8b1f-1e96b59e74c5&quot;,&quot;citationItems&quot;:[{&quot;id&quot;:&quot;a4da0737-dcac-31d9-a28f-d2345efd9602&quot;,&quot;itemData&quot;:{&quot;type&quot;:&quot;article-journal&quot;,&quot;id&quot;:&quot;a4da0737-dcac-31d9-a28f-d2345efd9602&quot;,&quot;title&quot;:&quot;Risks associated with statin therapy: A systematic overview of randomized clinical trials&quot;,&quot;author&quot;:[{&quot;family&quot;:&quot;Kashani&quot;,&quot;given&quot;:&quot;Amir&quot;,&quot;parse-names&quot;:false,&quot;dropping-particle&quot;:&quot;&quot;,&quot;non-dropping-particle&quot;:&quot;&quot;},{&quot;family&quot;:&quot;Phillips&quot;,&quot;given&quot;:&quot;Christopher O.&quot;,&quot;parse-names&quot;:false,&quot;dropping-particle&quot;:&quot;&quot;,&quot;non-dropping-particle&quot;:&quot;&quot;},{&quot;family&quot;:&quot;Foody&quot;,&quot;given&quot;:&quot;Jo Anne M.&quot;,&quot;parse-names&quot;:false,&quot;dropping-particle&quot;:&quot;&quot;,&quot;non-dropping-particle&quot;:&quot;&quot;},{&quot;family&quot;:&quot;Wang&quot;,&quot;given&quot;:&quot;Yongfei&quot;,&quot;parse-names&quot;:false,&quot;dropping-particle&quot;:&quot;&quot;,&quot;non-dropping-particle&quot;:&quot;&quot;},{&quot;family&quot;:&quot;Mangalmurti&quot;,&quot;given&quot;:&quot;Sandeep&quot;,&quot;parse-names&quot;:false,&quot;dropping-particle&quot;:&quot;&quot;,&quot;non-dropping-particle&quot;:&quot;&quot;},{&quot;family&quot;:&quot;Ko&quot;,&quot;given&quot;:&quot;Dennis T.&quot;,&quot;parse-names&quot;:false,&quot;dropping-particle&quot;:&quot;&quot;,&quot;non-dropping-particle&quot;:&quot;&quot;},{&quot;family&quot;:&quot;Krumholz&quot;,&quot;given&quot;:&quot;Harlan M.&quot;,&quot;parse-names&quot;:false,&quot;dropping-particle&quot;:&quot;&quot;,&quot;non-dropping-particle&quot;:&quot;&quot;}],&quot;container-title&quot;:&quot;Circulation&quot;,&quot;accessed&quot;:{&quot;date-parts&quot;:[[2021,2,1]]},&quot;DOI&quot;:&quot;10.1161/CIRCULATIONAHA.106.624890&quot;,&quot;ISSN&quot;:&quot;00097322&quot;,&quot;PMID&quot;:&quot;17159064&quot;,&quot;URL&quot;:&quot;https://www.ahajournals.org/doi/10.1161/CIRCULATIONAHA.106.624890&quot;,&quot;issued&quot;:{&quot;date-parts&quot;:[[2006,12,19]]},&quot;page&quot;:&quot;2788-2797&quot;,&quot;abstract&quot;:&quot;BACKGROUND - Although statins reduce the risk of cardiovascular events, concerns about adverse effects may deter physicians from prescribing these agents. We performed a systematic overview of randomized statin trials to quantify the risks of musculoskeletal, renal, and hepatic complications associated with therapy. METHODS AND RESULTS - Major statin trials were identified by electronic search of the MEDLINE database from 1966 to December 2005. We included English language reports of adults with documented hyperlipidemia; double-blind, random allocation of ≥100 patients to statin monotherapy versus placebo; and reports of myalgia, creatine kinase elevations, rhabdomyolysis, transaminase elevations, and discontinuation due to adverse events. Among 74 102 subjects enrolled in 35 trials (follow-up range, 1 to 65 months), statin therapy (excluding cerivastatin) did not result in significant absolute increases in risks of myalgias (risk difference/1000 patients [RD], 2.7; 95% CI, -3.2 to 8.7), creatine kinase elevations (RD, 0.2; 95% CI, -0.6 to 0.9), rhabdomyolysis (RD, 0.4; 95% CI, -0.1 to 0.9), or discontinuation due to any adverse event (RD, -0.5; 95% CI, -4.3 to 3.3). The absolute risk of transaminase elevations was significantly higher with statin therapy (RD, 4.2; 95% CI, 1.5 to 6.9). CONCLUSIONS - On the basis of data available from published clinical trials, statin therapy is associated with a small excess risk of transaminase elevations, but not of myalgias, creatine kinase elevations, rhabdomyolysis, or withdrawal of therapy compared with placebo. Further study is necessary to determine whether the results from these published clinical trials are similar to what occurs in routine practice, particularly among patients who are older, have more severe comorbid conditions, or receive higher statin doses than most patients in these clinical trials. © 2006 American Heart Association, Inc.&quot;,&quot;publisher&quot;:&quot;Lippincott Williams &amp; Wilkins&quot;,&quot;issue&quot;:&quot;25&quot;,&quot;volume&quot;:&quot;114&quot;},&quot;isTemporary&quot;:false}],&quot;properties&quot;:{&quot;noteIndex&quot;:0},&quot;isEdited&quot;:false,&quot;manualOverride&quot;:{&quot;isManuallyOverriden&quot;:false,&quot;citeprocText&quot;:&quot;(Kashani &lt;i&gt;et al.&lt;/i&gt;, 2006)&quot;,&quot;manualOverrideText&quot;:&quot;&quot;},&quot;citationTag&quot;:&quot;MENDELEY_CITATION_v3_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&quot;},{&quot;citationID&quot;:&quot;MENDELEY_CITATION_64dd23ef-fc40-418a-8ff9-55b7f2e07b93&quot;,&quot;citationItems&quot;:[{&quot;id&quot;:&quot;da36af75-9eda-3751-acdc-bfd89eb39657&quot;,&quot;itemData&quot;:{&quot;type&quot;:&quot;article-journal&quot;,&quot;id&quot;:&quot;da36af75-9eda-3751-acdc-bfd89eb39657&quot;,&quot;title&quot;:&quot;High density lipoprotein efficiently accepts surface but not internal oxidised lipids from oxidised low density lipoprotein&quot;,&quot;author&quot;:[{&quot;family&quot;:&quot;Rasmiena&quot;,&quot;given&quot;:&quot;Aliki A.&quot;,&quot;parse-names&quot;:false,&quot;dropping-particle&quot;:&quot;&quot;,&quot;non-dropping-particle&quot;:&quot;&quot;},{&quot;family&quot;:&quot;Barlow&quot;,&quot;given&quot;:&quot;Christopher K.&quot;,&quot;parse-names&quot;:false,&quot;dropping-particle&quot;:&quot;&quot;,&quot;non-dropping-particle&quot;:&quot;&quot;},{&quot;family&quot;:&quot;Ng&quot;,&quot;given&quot;:&quot;Theodore W.&quot;,&quot;parse-names&quot;:false,&quot;dropping-particle&quot;:&quot;&quot;,&quot;non-dropping-particle&quot;:&quot;&quot;},{&quot;family&quot;:&quot;Tull&quot;,&quot;given&quot;:&quot;Dedreia&quot;,&quot;parse-names&quot;:false,&quot;dropping-particle&quot;:&quot;&quot;,&quot;non-dropping-particle&quot;:&quot;&quot;},{&quot;family&quot;:&quot;Meikle&quot;,&quot;given&quot;:&quot;Peter J.&quot;,&quot;parse-names&quot;:false,&quot;dropping-particle&quot;:&quot;&quot;,&quot;non-dropping-particle&quot;:&quot;&quot;}],&quot;container-title&quot;:&quot;Biochimica et Biophysica Acta (BBA) - Molecular and Cell Biology of Lipids&quot;,&quot;accessed&quot;:{&quot;date-parts&quot;:[[2021,9,12]]},&quot;DOI&quot;:&quot;10.1016/J.BBALIP.2015.11.002&quot;,&quot;ISSN&quot;:&quot;1388-1981&quot;,&quot;issued&quot;:{&quot;date-parts&quot;:[[2016,2,1]]},&quot;page&quot;:&quot;69-77&quot;,&quot;abstract&quot;:&quot;Objective Oxidised low density lipoprotein (oxLDL) contributes to atherosclerosis, whereas high density lipoprotein (HDL) is known to be atheroprotective due, at least in part, to its ability to remove oxidised lipids from oxLDL. The molecular details of the lipid transfer process are not fully understood. We aimed to identify major oxidised lipid species of oxLDL and investigate their transfer upon co-incubation with HDL with varying levels of oxidation. Approach and results A total of 14 major species of oxidised phosphatidylcholine and oxidised cholesteryl ester from oxLDL were identified using an untargeted mass spectrometry approach. HDL obtained from pooled plasma of normolipidemic subjects (N = 5) was oxidised under mild and heavy oxidative conditions. Non-oxidised (native) HDL and oxidised HDL were co-incubated with oxLDL, re-isolated and lipidomic analysis was performed. Lipoprotein surface lipids, oxidised phosphatidylcholines and oxidised cholesterols (7-ketocholesterol and 7β-hydroxycholesterol), but not internal oxidised cholesteryl esters, were effectively transferred to native HDL. Saturated and monounsaturated lyso-phosphatidylcholines were also transferred from the oxLDL to native HDL. These processes were attenuated when HDL was oxidised under mild and heavy oxidative conditions. The impaired capacities were accompanied by an increase in a ratio of sphingomyelin to phosphatidylcholine and a reduction in phosphatidylserine content in oxidised HDL, both of which are potentially important regulators of the oxidised lipid transfer capacity of HDL. Conclusions Our study has revealed the differential transfer efficiency of surface and internal oxidised lipids from oxLDL and their acceptance onto HDL. These capacities were modulated when HDL was itself oxidised.&quot;,&quot;publisher&quot;:&quot;Elsevier&quot;,&quot;issue&quot;:&quot;2&quot;,&quot;volume&quot;:&quot;1861&quot;},&quot;isTemporary&quot;:false},{&quot;id&quot;:&quot;27ffc72b-f3f8-3eb5-b719-ff632284a998&quot;,&quot;itemData&quot;:{&quot;type&quot;:&quot;article-journal&quot;,&quot;id&quot;:&quot;27ffc72b-f3f8-3eb5-b719-ff632284a998&quot;,&quot;title&quot;:&quot;High-density lipoprotein inhibits the oxidative modification of low-density lipoprotein&quot;,&quot;author&quot;:[{&quot;family&quot;:&quot;Parthasarathy&quot;,&quot;given&quot;:&quot;Sampath&quot;,&quot;parse-names&quot;:false,&quot;dropping-particle&quot;:&quot;&quot;,&quot;non-dropping-particle&quot;:&quot;&quot;},{&quot;family&quot;:&quot;Barnett&quot;,&quot;given&quot;:&quot;Joellen&quot;,&quot;parse-names&quot;:false,&quot;dropping-particle&quot;:&quot;&quot;,&quot;non-dropping-particle&quot;:&quot;&quot;},{&quot;family&quot;:&quot;Fong&quot;,&quot;given&quot;:&quot;Loren G.&quot;,&quot;parse-names&quot;:false,&quot;dropping-particle&quot;:&quot;&quot;,&quot;non-dropping-particle&quot;:&quot;&quot;}],&quot;container-title&quot;:&quot;Biochimica et Biophysica Acta (BBA) - Lipids and Lipid Metabolism&quot;,&quot;accessed&quot;:{&quot;date-parts&quot;:[[2021,9,12]]},&quot;DOI&quot;:&quot;10.1016/0005-2760(90)90314-N&quot;,&quot;ISSN&quot;:&quot;0005-2760&quot;,&quot;issued&quot;:{&quot;date-parts&quot;:[[1990,5,22]]},&quot;page&quot;:&quot;275-283&quot;,&quot;abstract&quot;:&quot;Oxidatively modified low-density lipoprotein (LDL), generated as a result of incubation of LDL with specific cells (e.g., endothelial cells, EC) or redox metals like copper, has been suggested to be an atherogenic form of LDL. Epidemiological evidence suggests that higher concentrations of plasma high-density lipoprotein (HDL) are protective against the disease. The effect of HDL on the generation of the oxidatively modified LDL is described in the current study. Incubation of HDL with endothelial cells, or with copper, produced much lower amounts of thiobarbituric acid-reactive products (TBARS) as compared to incubations that contained LDL at equal protein concentrations. Such incubations also did not result in an enhanced degradation of the incubated HDL by macrophages in contrast to similarly incubated LDL. On the other hand, inclusion of HDL in the incubations that contained labeled LDL had a profound inhibitory effect on the subsequent degradation of the incubated LDL by the macrophages while having no effect on the generation of TBARS or the formation of conjugated dienes. This inhibition was not due to the modification of HDL as suggested by the following findings. (A) There was no enhanced macrophage degradation of the HDL incubated with EC or copper alone, together with LDL, despite an increased generation of TBARS. (B) HDL with the lysine groups blocked (acetyl HDL, malondialdehyde (MDA) HDL) was still able to prevent the modification of LDL and (C) acetyl HDL and MDA-HDL competed poorly for the degradation of oxidatively modified LDL. It is suggested that HDL may play a protective role in atherogenesis by preventing the generation of an oxidatively modified LDL. The mechanism of action of HDL may involve exchange of lipid peroxidation products between the lipoproteins. © 1990.&quot;,&quot;publisher&quot;:&quot;Elsevier&quot;,&quot;issue&quot;:&quot;2&quot;,&quot;volume&quot;:&quot;1044&quot;},&quot;isTemporary&quot;:false}],&quot;properties&quot;:{&quot;noteIndex&quot;:0},&quot;isEdited&quot;:false,&quot;manualOverride&quot;:{&quot;isManuallyOverridden&quot;:false,&quot;citeprocText&quot;:&quot;(Parthasarathy, Barnett and Fong, 1990; Rasmiena &lt;i&gt;et al.&lt;/i&gt;, 2016)&quot;,&quot;manualOverrideText&quot;:&quot;&quot;},&quot;citationTag&quot;:&quot;MENDELEY_CITATION_v3_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&quot;},{&quot;citationID&quot;:&quot;MENDELEY_CITATION_4d33a71c-dd9b-4cac-b382-234bf0e8d79e&quot;,&quot;citationItems&quot;:[{&quot;id&quot;:&quot;47b00d8d-a412-3fe9-b341-cbefcae06895&quot;,&quot;itemData&quot;:{&quot;type&quot;:&quot;article-journal&quot;,&quot;id&quot;:&quot;47b00d8d-a412-3fe9-b341-cbefcae06895&quot;,&quot;title&quot;:&quot;Circulating oxidised LDL lipids, when proportioned to HDL-c, emerged as a risk factor of all-cause mortality in a population-based survival study&quot;,&quot;author&quot;:[{&quot;family&quot;:&quot;Linna&quot;,&quot;given&quot;:&quot;M.&quot;,&quot;parse-names&quot;:false,&quot;dropping-particle&quot;:&quot;&quot;,&quot;non-dropping-particle&quot;:&quot;&quot;},{&quot;family&quot;:&quot;Ahotupa&quot;,&quot;given&quot;:&quot;M.&quot;,&quot;parse-names&quot;:false,&quot;dropping-particle&quot;:&quot;&quot;,&quot;non-dropping-particle&quot;:&quot;&quot;},{&quot;family&quot;:&quot;Lopponen&quot;,&quot;given&quot;:&quot;M. K.&quot;,&quot;parse-names&quot;:false,&quot;dropping-particle&quot;:&quot;&quot;,&quot;non-dropping-particle&quot;:&quot;&quot;},{&quot;family&quot;:&quot;Irjala&quot;,&quot;given&quot;:&quot;K.&quot;,&quot;parse-names&quot;:false,&quot;dropping-particle&quot;:&quot;&quot;,&quot;non-dropping-particle&quot;:&quot;&quot;},{&quot;family&quot;:&quot;Vasankari&quot;,&quot;given&quot;:&quot;T.&quot;,&quot;parse-names&quot;:false,&quot;dropping-particle&quot;:&quot;&quot;,&quot;non-dropping-particle&quot;:&quot;&quot;}],&quot;container-title&quot;:&quot;Age and Ageing&quot;,&quot;accessed&quot;:{&quot;date-parts&quot;:[[2021,2,1]]},&quot;DOI&quot;:&quot;10.1093/ageing/afs074&quot;,&quot;ISSN&quot;:&quot;0002-0729&quot;,&quot;URL&quot;:&quot;https://academic.oup.com/ageing/article-lookup/doi/10.1093/ageing/afs074&quot;,&quot;issued&quot;:{&quot;date-parts&quot;:[[2013,1,1]]},&quot;page&quot;:&quot;110-113&quot;,&quot;abstract&quot;:&quot;Background and objective: the data concerning the predictive role of oxidised LDL (ox-LDL) in all-cause mortality are scarce. We investigated whether circulating ox-LDL would stand out as a risk factor of total mortality in the elderly.Study subjects, design and methods: a total of 1,260 elderly inhabitants (533 men, 727 women) aged 64 years or more from Lieto, South-Western Finland participated the study in 1998-99. Medical records were re-examined approximately a decade later in January 2009. Circulating ox-LDL lipids were used as the main outcome measure. The comparisons were obtained by the Cox hazard ratio model.Results: during the 10-year follow-up, 467 participants had died (37%), of whom 36% had died of atherosclerotic cardiovascular diseases. Ox-LDL was a significant predictor of all-cause mortality, when proportioned to low-density lipoprotein cholesterol (LDL-c), high-density lipoprotein cholesterol (HDL-c) or apolipoprotein A1 (apoA1). These findings were independent of age, sex, body mass index, smoking, blood pressure and diabetes (P &lt; 0.05 for all).Conclusion: circulating ox-LDL lipids, when proportioned to LDL-c, HDL-c or apoaA1, stand out as a risk factor for all-cause mortality independent of major confounding attributes. In the prospective survival and increasing disease burden caused by accumulating age, oxidative stress may have a considerable role. © The Author 2012. Published by Oxford University Press on behalf of the British Geriatrics Society. All rights reserved.&quot;,&quot;publisher&quot;:&quot;Oxford Academic&quot;,&quot;issue&quot;:&quot;1&quot;,&quot;volume&quot;:&quot;42&quot;},&quot;isTemporary&quot;:false}],&quot;properties&quot;:{&quot;noteIndex&quot;:0},&quot;isEdited&quot;:false,&quot;manualOverride&quot;:{&quot;isManuallyOverriden&quot;:false,&quot;citeprocText&quot;:&quot;(Linna &lt;i&gt;et al.&lt;/i&gt;, 2013)&quot;,&quot;manualOverrideText&quot;:&quot;&quot;},&quot;citationTag&quot;:&quot;MENDELEY_CITATION_v3_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&quot;},{&quot;citationID&quot;:&quot;MENDELEY_CITATION_ef35a68e-13ba-4442-87be-2c8e7defff14&quot;,&quot;citationItems&quot;:[{&quot;id&quot;:&quot;47b00d8d-a412-3fe9-b341-cbefcae06895&quot;,&quot;itemData&quot;:{&quot;type&quot;:&quot;article-journal&quot;,&quot;id&quot;:&quot;47b00d8d-a412-3fe9-b341-cbefcae06895&quot;,&quot;title&quot;:&quot;Circulating oxidised LDL lipids, when proportioned to HDL-c, emerged as a risk factor of all-cause mortality in a population-based survival study&quot;,&quot;author&quot;:[{&quot;family&quot;:&quot;Linna&quot;,&quot;given&quot;:&quot;M.&quot;,&quot;parse-names&quot;:false,&quot;dropping-particle&quot;:&quot;&quot;,&quot;non-dropping-particle&quot;:&quot;&quot;},{&quot;family&quot;:&quot;Ahotupa&quot;,&quot;given&quot;:&quot;M.&quot;,&quot;parse-names&quot;:false,&quot;dropping-particle&quot;:&quot;&quot;,&quot;non-dropping-particle&quot;:&quot;&quot;},{&quot;family&quot;:&quot;Lopponen&quot;,&quot;given&quot;:&quot;M. K.&quot;,&quot;parse-names&quot;:false,&quot;dropping-particle&quot;:&quot;&quot;,&quot;non-dropping-particle&quot;:&quot;&quot;},{&quot;family&quot;:&quot;Irjala&quot;,&quot;given&quot;:&quot;K.&quot;,&quot;parse-names&quot;:false,&quot;dropping-particle&quot;:&quot;&quot;,&quot;non-dropping-particle&quot;:&quot;&quot;},{&quot;family&quot;:&quot;Vasankari&quot;,&quot;given&quot;:&quot;T.&quot;,&quot;parse-names&quot;:false,&quot;dropping-particle&quot;:&quot;&quot;,&quot;non-dropping-particle&quot;:&quot;&quot;}],&quot;container-title&quot;:&quot;Age and Ageing&quot;,&quot;accessed&quot;:{&quot;date-parts&quot;:[[2021,2,1]]},&quot;DOI&quot;:&quot;10.1093/ageing/afs074&quot;,&quot;ISSN&quot;:&quot;0002-0729&quot;,&quot;URL&quot;:&quot;https://academic.oup.com/ageing/article-lookup/doi/10.1093/ageing/afs074&quot;,&quot;issued&quot;:{&quot;date-parts&quot;:[[2013,1,1]]},&quot;page&quot;:&quot;110-113&quot;,&quot;abstract&quot;:&quot;Background and objective: the data concerning the predictive role of oxidised LDL (ox-LDL) in all-cause mortality are scarce. We investigated whether circulating ox-LDL would stand out as a risk factor of total mortality in the elderly.Study subjects, design and methods: a total of 1,260 elderly inhabitants (533 men, 727 women) aged 64 years or more from Lieto, South-Western Finland participated the study in 1998-99. Medical records were re-examined approximately a decade later in January 2009. Circulating ox-LDL lipids were used as the main outcome measure. The comparisons were obtained by the Cox hazard ratio model.Results: during the 10-year follow-up, 467 participants had died (37%), of whom 36% had died of atherosclerotic cardiovascular diseases. Ox-LDL was a significant predictor of all-cause mortality, when proportioned to low-density lipoprotein cholesterol (LDL-c), high-density lipoprotein cholesterol (HDL-c) or apolipoprotein A1 (apoA1). These findings were independent of age, sex, body mass index, smoking, blood pressure and diabetes (P &lt; 0.05 for all).Conclusion: circulating ox-LDL lipids, when proportioned to LDL-c, HDL-c or apoaA1, stand out as a risk factor for all-cause mortality independent of major confounding attributes. In the prospective survival and increasing disease burden caused by accumulating age, oxidative stress may have a considerable role. © The Author 2012. Published by Oxford University Press on behalf of the British Geriatrics Society. All rights reserved.&quot;,&quot;publisher&quot;:&quot;Oxford Academic&quot;,&quot;issue&quot;:&quot;1&quot;,&quot;volume&quot;:&quot;42&quot;},&quot;isTemporary&quot;:false},{&quot;id&quot;:&quot;cc586c09-8dba-38b4-bb33-8780d64639ad&quot;,&quot;itemData&quot;:{&quot;type&quot;:&quot;article&quot;,&quot;id&quot;:&quot;cc586c09-8dba-38b4-bb33-8780d64639ad&quot;,&quot;title&quot;:&quot;HDL-targeted therapies: Progress, failures and future&quot;,&quot;author&quot;:[{&quot;family&quot;:&quot;Kingwell&quot;,&quot;given&quot;:&quot;Bronwyn A.&quot;,&quot;parse-names&quot;:false,&quot;dropping-particle&quot;:&quot;&quot;,&quot;non-dropping-particle&quot;:&quot;&quot;},{&quot;family&quot;:&quot;Chapman&quot;,&quot;given&quot;:&quot;M. John&quot;,&quot;parse-names&quot;:false,&quot;dropping-particle&quot;:&quot;&quot;,&quot;non-dropping-particle&quot;:&quot;&quot;},{&quot;family&quot;:&quot;Kontush&quot;,&quot;given&quot;:&quot;Anatol&quot;,&quot;parse-names&quot;:false,&quot;dropping-particle&quot;:&quot;&quot;,&quot;non-dropping-particle&quot;:&quot;&quot;},{&quot;family&quot;:&quot;Miller&quot;,&quot;given&quot;:&quot;Norman E.&quot;,&quot;parse-names&quot;:false,&quot;dropping-particle&quot;:&quot;&quot;,&quot;non-dropping-particle&quot;:&quot;&quot;}],&quot;container-title&quot;:&quot;Nature Reviews Drug Discovery&quot;,&quot;accessed&quot;:{&quot;date-parts&quot;:[[2021,2,1]]},&quot;DOI&quot;:&quot;10.1038/nrd4279&quot;,&quot;ISSN&quot;:&quot;14741784&quot;,&quot;PMID&quot;:&quot;24854407&quot;,&quot;URL&quot;:&quot;https://www.nature.com/articles/nrd4279&quot;,&quot;issued&quot;:{&quot;date-parts&quot;:[[2014,5,23]]},&quot;page&quot;:&quot;445-464&quot;,&quot;abstract&quot;:&quot;Since the discovery in the 1970s that plasma levels of high-density lipoprotein cholesterol (HDL-C) are inversely associated with cardiovascular outcome, it has been postulated that HDL is anti-atherogenic and that increasing HDL-C levels is a promising therapeutic strategy. However, the recent failure of three orally active, HDL-C-raising agents has introduced considerable controversy, prompting the question of whether increasing the cholesterol cargo of HDL in a non-selective manner is an effective pharmacological approach for the translation of its atheroprotective and vasculoprotective activities. The interrelationships between HDL-C concentration, HDL particle number and levels of diverse HDL particle subpopulations of defined composition are complex, as are their relationships with reverse cholesterol transport and other anti-atherogenic functions. Such complexity highlights the incompleteness of our understanding of the biology of HDL particles. This article examines the HDL hypothesis in molecular and mechanistic terms, focusing on features that have been addressed, those that remain to be tested, and potential new targets for future pharmacological interventions. © 2014 Macmillan Publishers Limited. All rights reserved.&quot;,&quot;publisher&quot;:&quot;Nature Publishing Group&quot;,&quot;issue&quot;:&quot;6&quot;,&quot;volume&quot;:&quot;13&quot;},&quot;isTemporary&quot;:false}],&quot;properties&quot;:{&quot;noteIndex&quot;:0},&quot;isEdited&quot;:false,&quot;manualOverride&quot;:{&quot;isManuallyOverriden&quot;:false,&quot;citeprocText&quot;:&quot;(Linna &lt;i&gt;et al.&lt;/i&gt;, 2013; Kingwell &lt;i&gt;et al.&lt;/i&gt;, 2014)&quot;,&quot;manualOverrideText&quot;:&quot;&quot;},&quot;citationTag&quot;:&quot;MENDELEY_CITATION_v3_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&quot;},{&quot;citationID&quot;:&quot;MENDELEY_CITATION_9edcc88e-c3fc-4470-b4e3-8054ae181ad7&quot;,&quot;citationItems&quot;:[{&quot;id&quot;:&quot;410fad90-993d-38b0-a593-61e7703fb889&quot;,&quot;itemData&quot;:{&quot;type&quot;:&quot;article-journal&quot;,&quot;id&quot;:&quot;410fad90-993d-38b0-a593-61e7703fb889&quot;,&quot;title&quot;:&quot;Modulation of the interleukin-6 signalling pathway and incidence rates of atherosclerotic events and all-cause mortality: analyses from the Canakinumab Anti-Inflammatory Thrombosis Outcomes Study (CANTOS)&quot;,&quot;author&quot;:[{&quot;family&quot;:&quot;Ridker&quot;,&quot;given&quot;:&quot;Paul M&quot;,&quot;parse-names&quot;:false,&quot;dropping-particle&quot;:&quot;&quot;,&quot;non-dropping-particle&quot;:&quot;&quot;},{&quot;family&quot;:&quot;Libby&quot;,&quot;given&quot;:&quot;Peter&quot;,&quot;parse-names&quot;:false,&quot;dropping-particle&quot;:&quot;&quot;,&quot;non-dropping-particle&quot;:&quot;&quot;},{&quot;family&quot;:&quot;MacFadyen&quot;,&quot;given&quot;:&quot;Jean G&quot;,&quot;parse-names&quot;:false,&quot;dropping-particle&quot;:&quot;&quot;,&quot;non-dropping-particle&quot;:&quot;&quot;},{&quot;family&quot;:&quot;Thuren&quot;,&quot;given&quot;:&quot;Tom&quot;,&quot;parse-names&quot;:false,&quot;dropping-particle&quot;:&quot;&quot;,&quot;non-dropping-particle&quot;:&quot;&quot;},{&quot;family&quot;:&quot;Ballantyne&quot;,&quot;given&quot;:&quot;Christie&quot;,&quot;parse-names&quot;:false,&quot;dropping-particle&quot;:&quot;&quot;,&quot;non-dropping-particle&quot;:&quot;&quot;},{&quot;family&quot;:&quot;Fonseca&quot;,&quot;given&quot;:&quot;Francisco&quot;,&quot;parse-names&quot;:false,&quot;dropping-particle&quot;:&quot;&quot;,&quot;non-dropping-particle&quot;:&quot;&quot;},{&quot;family&quot;:&quot;Koenig&quot;,&quot;given&quot;:&quot;Wolfgang&quot;,&quot;parse-names&quot;:false,&quot;dropping-particle&quot;:&quot;&quot;,&quot;non-dropping-particle&quot;:&quot;&quot;},{&quot;family&quot;:&quot;Shimokawa&quot;,&quot;given&quot;:&quot;Hiroaki&quot;,&quot;parse-names&quot;:false,&quot;dropping-particle&quot;:&quot;&quot;,&quot;non-dropping-particle&quot;:&quot;&quot;},{&quot;family&quot;:&quot;Everett&quot;,&quot;given&quot;:&quot;Brendan M&quot;,&quot;parse-names&quot;:false,&quot;dropping-particle&quot;:&quot;&quot;,&quot;non-dropping-particle&quot;:&quot;&quot;},{&quot;family&quot;:&quot;Glynn&quot;,&quot;given&quot;:&quot;Robert J&quot;,&quot;parse-names&quot;:false,&quot;dropping-particle&quot;:&quot;&quot;,&quot;non-dropping-particle&quot;:&quot;&quot;}],&quot;container-title&quot;:&quot;European Heart Journal&quot;,&quot;accessed&quot;:{&quot;date-parts&quot;:[[2021,2,1]]},&quot;DOI&quot;:&quot;10.1093/eurheartj/ehy310&quot;,&quot;ISSN&quot;:&quot;0195-668X&quot;,&quot;URL&quot;:&quot;https://academic.oup.com/eurheartj/article/39/38/3499/5078464&quot;,&quot;issued&quot;:{&quot;date-parts&quot;:[[2018,10,7]]},&quot;page&quot;:&quot;3499-3507&quot;,&quot;abstract&quot;:&quot;Aims Canakinumab, a monoclonal antibody targeting interleukin (IL)-1b, reduces rates of recurrent cardiovascular events without lowering lipids. It is uncertain, however, to what extent these beneficial cardiovascular outcomes are mediated through interleukin-6 (IL-6) signalling, an issue with substantial pathophysiologic consequences and therapeutic implications. Methods and results A total of 4833 stable atherosclerosis patients in the Canakinumab Anti-Inflammatory Thrombosis Outcomes Study (CANTOS) had IL-6 levels measured before randomization and after treatment with placebo or one of three doses of canakinumab (50 mg, 150 mg, or 300 mg) given subcutaneously once every 3 months. Participants were followed for up to 5 years (median follow-up 3.7 years). Compared with those allocated to placebo, CANTOS participants receiving canakinumab who achieved on-treatment IL-6 levels below the study median value of 1.65 ng/L experienced a 32% reduction in major adverse cardiovascular events [MACE, multivariable adjusted hazard ratio (HRadj) 0.68, 95% confidence interval (CI) 0.56-0.82; P &lt; 0.0001], a 30% reduction in MACE plus the additional endpoint of hospitalization for unstable angina requiring urgent revascularization (MACE, HRadj 0.70, 95% CI 0.59-0.84; P &lt; 0.0001), a 52% reduction in cardiovascular mortality (HRadj 0.48, 95% CI 0.34-0.68; P &lt; 0.0001), and a 48% reduction in all-cause mortality (HRadj 0.52, 95% CI 0.40-0.68; P &lt; 0.0001) with prolonged treatment. In contrast, those with on-treatment IL-6 levels equal to or above 1.65 ng/L after taking the first dose of canakinumab had no significant benefit for any of these endpoints. These differential findings based on the magnitude of IL-6 response were seen in analyses alternatively based on tertiles of on-treatment IL-6 levels, and in analyses using a statistical inference approach to estimate the effect of treatment among individuals who would achieve a targeted IL-6 level. Conclusion CANTOS provides proof of concept evidence in humans that modulation of the IL-6 signalling pathway, at least with canakinumab, associates with reduced cardiovascular event rates, independent of lipid lowering. Clinical trial registration ClinicalTrials.gov NCT01327846.&quot;,&quot;publisher&quot;:&quot;Oxford University Press&quot;,&quot;issue&quot;:&quot;38&quot;,&quot;volume&quot;:&quot;39&quot;},&quot;isTemporary&quot;:false}],&quot;properties&quot;:{&quot;noteIndex&quot;:0},&quot;isEdited&quot;:false,&quot;manualOverride&quot;:{&quot;isManuallyOverriden&quot;:false,&quot;citeprocText&quot;:&quot;(Ridker &lt;i&gt;et al.&lt;/i&gt;, 2018)&quot;,&quot;manualOverrideText&quot;:&quot;&quot;},&quot;citationTag&quot;:&quot;MENDELEY_CITATION_v3_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&quot;},{&quot;citationID&quot;:&quot;MENDELEY_CITATION_06022013-6a8e-4a89-b0b0-5ebf85a04961&quot;,&quot;citationItems&quot;:[{&quot;id&quot;:&quot;2151e491-8b3a-33fd-8658-a46b7d1cb3e3&quot;,&quot;itemData&quot;:{&quot;type&quot;:&quot;article&quot;,&quot;id&quot;:&quot;2151e491-8b3a-33fd-8658-a46b7d1cb3e3&quot;,&quot;title&quot;:&quot;Abdominal aortic aneurysm&quot;,&quot;author&quot;:[{&quot;family&quot;:&quot;Sakalihasan&quot;,&quot;given&quot;:&quot;N.&quot;,&quot;parse-names&quot;:false,&quot;dropping-particle&quot;:&quot;&quot;,&quot;non-dropping-particle&quot;:&quot;&quot;},{&quot;family&quot;:&quot;Limet&quot;,&quot;given&quot;:&quot;R.&quot;,&quot;parse-names&quot;:false,&quot;dropping-particle&quot;:&quot;&quot;,&quot;non-dropping-particle&quot;:&quot;&quot;},{&quot;family&quot;:&quot;Defawe&quot;,&quot;given&quot;:&quot;O. D.&quot;,&quot;parse-names&quot;:false,&quot;dropping-particle&quot;:&quot;&quot;,&quot;non-dropping-particle&quot;:&quot;&quot;}],&quot;container-title&quot;:&quot;Lancet&quot;,&quot;accessed&quot;:{&quot;date-parts&quot;:[[2021,2,1]]},&quot;DOI&quot;:&quot;10.1016/S0140-6736(05)66459-8&quot;,&quot;ISSN&quot;:&quot;01406736&quot;,&quot;PMID&quot;:&quot;15866312&quot;,&quot;issued&quot;:{&quot;date-parts&quot;:[[2005,4,30]]},&quot;page&quot;:&quot;1577-1589&quot;,&quot;abstract&quot;:&quot;Abdominal aortic aneurysms cause 1.3% of all deaths among men aged 65-85 years in developed countries. These aneurysms are typically asymptomatic until the catastrophic event of rupture. Repair of large or symptomatic aneurysms by open surgery or endovascular repair is recommended, whereas repair of small abdominal aortic aneurysms does not provide a significant benefit. Abdominal aortic aneurysm is linked to the degradation of the elastic media of the atheromatous aorta. An inflammatory cell infiltrate, neovascularisation, and production and activation of various proteases and cytokines contribute to the development of this disorder, although the underlying mechanisms are unknown. In this Seminar, we aim to provide an updated review of the pathophysiology, current and new diagnostic procedures, assessment, and treatment of abdominal aortic aneurysm to provide family practitioners with a working knowledge of this disorder.&quot;,&quot;publisher&quot;:&quot;Elsevier Limited&quot;,&quot;issue&quot;:&quot;9470&quot;,&quot;volume&quot;:&quot;365&quot;},&quot;isTemporary&quot;:false}],&quot;properties&quot;:{&quot;noteIndex&quot;:0},&quot;isEdited&quot;:false,&quot;manualOverride&quot;:{&quot;isManuallyOverriden&quot;:false,&quot;citeprocText&quot;:&quot;(Sakalihasan, Limet and Defawe, 2005)&quot;,&quot;manualOverrideText&quot;:&quot;&quot;},&quot;citationTag&quot;:&quot;MENDELEY_CITATION_v3_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&quot;},{&quot;citationID&quot;:&quot;MENDELEY_CITATION_8edad5e0-fe23-4762-84d6-8c7f99297f7d&quot;,&quot;citationItems&quot;:[{&quot;id&quot;:&quot;8bb825c4-2b57-383d-aba6-fd352410af65&quot;,&quot;itemData&quot;:{&quot;type&quot;:&quot;article-journal&quot;,&quot;id&quot;:&quot;8bb825c4-2b57-383d-aba6-fd352410af65&quot;,&quot;title&quot;:&quot;TIMP-2 and PAI-1 mRNA levels are lower in aneurysmal as compared to athero-occlusive abdominal aortas&quot;,&quot;author&quot;:[{&quot;family&quot;:&quot;Defawe&quot;,&quot;given&quot;:&quot;Olivier D.&quot;,&quot;parse-names&quot;:false,&quot;dropping-particle&quot;:&quot;&quot;,&quot;non-dropping-particle&quot;:&quot;&quot;},{&quot;family&quot;:&quot;Colige&quot;,&quot;given&quot;:&quot;Alain&quot;,&quot;parse-names&quot;:false,&quot;dropping-particle&quot;:&quot;&quot;,&quot;non-dropping-particle&quot;:&quot;&quot;},{&quot;family&quot;:&quot;Lambert&quot;,&quot;given&quot;:&quot;Charles A.&quot;,&quot;parse-names&quot;:false,&quot;dropping-particle&quot;:&quot;&quot;,&quot;non-dropping-particle&quot;:&quot;&quot;},{&quot;family&quot;:&quot;Munaut&quot;,&quot;given&quot;:&quot;Carine&quot;,&quot;parse-names&quot;:false,&quot;dropping-particle&quot;:&quot;&quot;,&quot;non-dropping-particle&quot;:&quot;&quot;},{&quot;family&quot;:&quot;Delvenne&quot;,&quot;given&quot;:&quot;Philippe&quot;,&quot;parse-names&quot;:false,&quot;dropping-particle&quot;:&quot;&quot;,&quot;non-dropping-particle&quot;:&quot;&quot;},{&quot;family&quot;:&quot;Lapière&quot;,&quot;given&quot;:&quot;Charles M.&quot;,&quot;parse-names&quot;:false,&quot;dropping-particle&quot;:&quot;&quot;,&quot;non-dropping-particle&quot;:&quot;&quot;},{&quot;family&quot;:&quot;Limet&quot;,&quot;given&quot;:&quot;Raymond&quot;,&quot;parse-names&quot;:false,&quot;dropping-particle&quot;:&quot;&quot;,&quot;non-dropping-particle&quot;:&quot;&quot;},{&quot;family&quot;:&quot;Nusgens&quot;,&quot;given&quot;:&quot;Betty&quot;,&quot;parse-names&quot;:false,&quot;dropping-particle&quot;:&quot;v.&quot;,&quot;non-dropping-particle&quot;:&quot;&quot;},{&quot;family&quot;:&quot;Sakalihasan&quot;,&quot;given&quot;:&quot;Natzi&quot;,&quot;parse-names&quot;:false,&quot;dropping-particle&quot;:&quot;&quot;,&quot;non-dropping-particle&quot;:&quot;&quot;}],&quot;container-title&quot;:&quot;Cardiovascular Research&quot;,&quot;accessed&quot;:{&quot;date-parts&quot;:[[2021,2,1]]},&quot;DOI&quot;:&quot;10.1016/S0008-6363(03)00513-3&quot;,&quot;ISSN&quot;:&quot;00086363&quot;,&quot;PMID&quot;:&quot;14522424&quot;,&quot;URL&quot;:&quot;https://academic.oup.com/cardiovascres/article-lookup/doi/10.1016/S0008-6363(03)00513-3&quot;,&quot;issued&quot;:{&quot;date-parts&quot;:[[2003,11,1]]},&quot;page&quot;:&quot;205-213&quot;,&quot;abstract&quot;:&quot;Objective: Significant alterations of the vascular wall occurs in abdominal aortic aneurysm (AAA) and atherosclerotic occlusive disease (AOD) that ultimately may lead to either vascular rupture or obstruction. These modifications have been ascribed to one or a group of proteases, their inhibitors or to the matrix macromolecules involved in the repair process without considering the extent of the observed variations. Methods: The mRNA steady-state level of a large spectrum of proteolytic enzymes (matrix metalloproteinases: MMP-1, -2, -3, -8, -9, -11, -12, -13, -14; urokinase plasminogen activator: u-PA), their physiological inhibitors (tissue inhibitors of MMPs: TIMP-1, -2, -3; plasminogen activator inhibitor: PAI-1) and that of structural matrix proteins (collagens type I and III, decorin, elastin, fibrillins 1 and 2) was determined by RT-PCR made quantitative by using a synthetic RNA as internal standard in each reaction mixture. The profile of expression was evaluated in AAA (n=7) and AOD (n=5) and compared to non-diseased abdominal (CAA, n=7) and thoracic aorta (CTA, n=5). Results: The MMPs -8, -9, -12 and -13 mostly associated with inflammatory cells were not or barely detected in CAA and CTA while they were largely and similarly expressed in AAA and AOD. Expression of protease inhibitors or structural proteins were only slightly increased in both pathological conditions with the exception of elastin which was reduced. The main significant difference between AAA and AOD was a lower expression of TIMP-2 and PAI-1 in the aneurysmal lesions. Conclusions: The remodeling of the aortic wall in AAA and AOD involves gene activation of a large and similar spectrum of proteolytic enzymes while the expression of two physiological inhibitors, TIMP-2 and PAI-1, is significantly lower in AAA compared to AOD. The repair process in the aneurysmal disease seems similar to that of the occlusive disease. © 2003 European Society of Cardiology. Published by Elsevier B.V. All rights reserved.&quot;,&quot;publisher&quot;:&quot;Oxford Academic&quot;,&quot;issue&quot;:&quot;1&quot;,&quot;volume&quot;:&quot;60&quot;},&quot;isTemporary&quot;:false}],&quot;properties&quot;:{&quot;noteIndex&quot;:0},&quot;isEdited&quot;:false,&quot;manualOverride&quot;:{&quot;isManuallyOverriden&quot;:false,&quot;citeprocText&quot;:&quot;(Defawe &lt;i&gt;et al.&lt;/i&gt;, 2003)&quot;,&quot;manualOverrideText&quot;:&quot;&quot;},&quot;citationTag&quot;:&quot;MENDELEY_CITATION_v3_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&quot;},{&quot;citationID&quot;:&quot;MENDELEY_CITATION_e55b8fde-6828-4329-8c32-613ed655b499&quot;,&quot;citationItems&quot;:[{&quot;id&quot;:&quot;2151e491-8b3a-33fd-8658-a46b7d1cb3e3&quot;,&quot;itemData&quot;:{&quot;type&quot;:&quot;article&quot;,&quot;id&quot;:&quot;2151e491-8b3a-33fd-8658-a46b7d1cb3e3&quot;,&quot;title&quot;:&quot;Abdominal aortic aneurysm&quot;,&quot;author&quot;:[{&quot;family&quot;:&quot;Sakalihasan&quot;,&quot;given&quot;:&quot;N.&quot;,&quot;parse-names&quot;:false,&quot;dropping-particle&quot;:&quot;&quot;,&quot;non-dropping-particle&quot;:&quot;&quot;},{&quot;family&quot;:&quot;Limet&quot;,&quot;given&quot;:&quot;R.&quot;,&quot;parse-names&quot;:false,&quot;dropping-particle&quot;:&quot;&quot;,&quot;non-dropping-particle&quot;:&quot;&quot;},{&quot;family&quot;:&quot;Defawe&quot;,&quot;given&quot;:&quot;O. D.&quot;,&quot;parse-names&quot;:false,&quot;dropping-particle&quot;:&quot;&quot;,&quot;non-dropping-particle&quot;:&quot;&quot;}],&quot;container-title&quot;:&quot;Lancet&quot;,&quot;accessed&quot;:{&quot;date-parts&quot;:[[2021,2,1]]},&quot;DOI&quot;:&quot;10.1016/S0140-6736(05)66459-8&quot;,&quot;ISSN&quot;:&quot;01406736&quot;,&quot;PMID&quot;:&quot;15866312&quot;,&quot;issued&quot;:{&quot;date-parts&quot;:[[2005,4,30]]},&quot;page&quot;:&quot;1577-1589&quot;,&quot;abstract&quot;:&quot;Abdominal aortic aneurysms cause 1.3% of all deaths among men aged 65-85 years in developed countries. These aneurysms are typically asymptomatic until the catastrophic event of rupture. Repair of large or symptomatic aneurysms by open surgery or endovascular repair is recommended, whereas repair of small abdominal aortic aneurysms does not provide a significant benefit. Abdominal aortic aneurysm is linked to the degradation of the elastic media of the atheromatous aorta. An inflammatory cell infiltrate, neovascularisation, and production and activation of various proteases and cytokines contribute to the development of this disorder, although the underlying mechanisms are unknown. In this Seminar, we aim to provide an updated review of the pathophysiology, current and new diagnostic procedures, assessment, and treatment of abdominal aortic aneurysm to provide family practitioners with a working knowledge of this disorder.&quot;,&quot;publisher&quot;:&quot;Elsevier Limited&quot;,&quot;issue&quot;:&quot;9470&quot;,&quot;volume&quot;:&quot;365&quot;},&quot;isTemporary&quot;:false},{&quot;id&quot;:&quot;8bb825c4-2b57-383d-aba6-fd352410af65&quot;,&quot;itemData&quot;:{&quot;type&quot;:&quot;article-journal&quot;,&quot;id&quot;:&quot;8bb825c4-2b57-383d-aba6-fd352410af65&quot;,&quot;title&quot;:&quot;TIMP-2 and PAI-1 mRNA levels are lower in aneurysmal as compared to athero-occlusive abdominal aortas&quot;,&quot;author&quot;:[{&quot;family&quot;:&quot;Defawe&quot;,&quot;given&quot;:&quot;Olivier D.&quot;,&quot;parse-names&quot;:false,&quot;dropping-particle&quot;:&quot;&quot;,&quot;non-dropping-particle&quot;:&quot;&quot;},{&quot;family&quot;:&quot;Colige&quot;,&quot;given&quot;:&quot;Alain&quot;,&quot;parse-names&quot;:false,&quot;dropping-particle&quot;:&quot;&quot;,&quot;non-dropping-particle&quot;:&quot;&quot;},{&quot;family&quot;:&quot;Lambert&quot;,&quot;given&quot;:&quot;Charles A.&quot;,&quot;parse-names&quot;:false,&quot;dropping-particle&quot;:&quot;&quot;,&quot;non-dropping-particle&quot;:&quot;&quot;},{&quot;family&quot;:&quot;Munaut&quot;,&quot;given&quot;:&quot;Carine&quot;,&quot;parse-names&quot;:false,&quot;dropping-particle&quot;:&quot;&quot;,&quot;non-dropping-particle&quot;:&quot;&quot;},{&quot;family&quot;:&quot;Delvenne&quot;,&quot;given&quot;:&quot;Philippe&quot;,&quot;parse-names&quot;:false,&quot;dropping-particle&quot;:&quot;&quot;,&quot;non-dropping-particle&quot;:&quot;&quot;},{&quot;family&quot;:&quot;Lapière&quot;,&quot;given&quot;:&quot;Charles M.&quot;,&quot;parse-names&quot;:false,&quot;dropping-particle&quot;:&quot;&quot;,&quot;non-dropping-particle&quot;:&quot;&quot;},{&quot;family&quot;:&quot;Limet&quot;,&quot;given&quot;:&quot;Raymond&quot;,&quot;parse-names&quot;:false,&quot;dropping-particle&quot;:&quot;&quot;,&quot;non-dropping-particle&quot;:&quot;&quot;},{&quot;family&quot;:&quot;Nusgens&quot;,&quot;given&quot;:&quot;Betty&quot;,&quot;parse-names&quot;:false,&quot;dropping-particle&quot;:&quot;v.&quot;,&quot;non-dropping-particle&quot;:&quot;&quot;},{&quot;family&quot;:&quot;Sakalihasan&quot;,&quot;given&quot;:&quot;Natzi&quot;,&quot;parse-names&quot;:false,&quot;dropping-particle&quot;:&quot;&quot;,&quot;non-dropping-particle&quot;:&quot;&quot;}],&quot;container-title&quot;:&quot;Cardiovascular Research&quot;,&quot;accessed&quot;:{&quot;date-parts&quot;:[[2021,2,1]]},&quot;DOI&quot;:&quot;10.1016/S0008-6363(03)00513-3&quot;,&quot;ISSN&quot;:&quot;00086363&quot;,&quot;PMID&quot;:&quot;14522424&quot;,&quot;URL&quot;:&quot;https://academic.oup.com/cardiovascres/article-lookup/doi/10.1016/S0008-6363(03)00513-3&quot;,&quot;issued&quot;:{&quot;date-parts&quot;:[[2003,11,1]]},&quot;page&quot;:&quot;205-213&quot;,&quot;abstract&quot;:&quot;Objective: Significant alterations of the vascular wall occurs in abdominal aortic aneurysm (AAA) and atherosclerotic occlusive disease (AOD) that ultimately may lead to either vascular rupture or obstruction. These modifications have been ascribed to one or a group of proteases, their inhibitors or to the matrix macromolecules involved in the repair process without considering the extent of the observed variations. Methods: The mRNA steady-state level of a large spectrum of proteolytic enzymes (matrix metalloproteinases: MMP-1, -2, -3, -8, -9, -11, -12, -13, -14; urokinase plasminogen activator: u-PA), their physiological inhibitors (tissue inhibitors of MMPs: TIMP-1, -2, -3; plasminogen activator inhibitor: PAI-1) and that of structural matrix proteins (collagens type I and III, decorin, elastin, fibrillins 1 and 2) was determined by RT-PCR made quantitative by using a synthetic RNA as internal standard in each reaction mixture. The profile of expression was evaluated in AAA (n=7) and AOD (n=5) and compared to non-diseased abdominal (CAA, n=7) and thoracic aorta (CTA, n=5). Results: The MMPs -8, -9, -12 and -13 mostly associated with inflammatory cells were not or barely detected in CAA and CTA while they were largely and similarly expressed in AAA and AOD. Expression of protease inhibitors or structural proteins were only slightly increased in both pathological conditions with the exception of elastin which was reduced. The main significant difference between AAA and AOD was a lower expression of TIMP-2 and PAI-1 in the aneurysmal lesions. Conclusions: The remodeling of the aortic wall in AAA and AOD involves gene activation of a large and similar spectrum of proteolytic enzymes while the expression of two physiological inhibitors, TIMP-2 and PAI-1, is significantly lower in AAA compared to AOD. The repair process in the aneurysmal disease seems similar to that of the occlusive disease. © 2003 European Society of Cardiology. Published by Elsevier B.V. All rights reserved.&quot;,&quot;publisher&quot;:&quot;Oxford Academic&quot;,&quot;issue&quot;:&quot;1&quot;,&quot;volume&quot;:&quot;60&quot;},&quot;isTemporary&quot;:false}],&quot;properties&quot;:{&quot;noteIndex&quot;:0},&quot;isEdited&quot;:false,&quot;manualOverride&quot;:{&quot;isManuallyOverriden&quot;:false,&quot;citeprocText&quot;:&quot;(Defawe &lt;i&gt;et al.&lt;/i&gt;, 2003; Sakalihasan, Limet and Defawe, 2005)&quot;,&quot;manualOverrideText&quot;:&quot;&quot;},&quot;citationTag&quot;:&quot;MENDELEY_CITATION_v3_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&quot;},{&quot;citationID&quot;:&quot;MENDELEY_CITATION_4b810a57-ed70-40a2-b662-86ec33f6d226&quot;,&quot;citationItems&quot;:[{&quot;id&quot;:&quot;7ed85617-08ff-31f1-9a6c-ddd0983fb0d7&quot;,&quot;itemData&quot;:{&quot;type&quot;:&quot;article-journal&quot;,&quot;id&quot;:&quot;7ed85617-08ff-31f1-9a6c-ddd0983fb0d7&quot;,&quot;title&quot;:&quot;Differential effects of doxycycline, a broad-spectrum matrix metalloproteinase inhibitor, on angiotensin II-induced atherosclerosis and abdominal aortic aneurysms&quot;,&quot;author&quot;:[{&quot;family&quot;:&quot;Manning&quot;,&quot;given&quot;:&quot;Michael W.&quot;,&quot;parse-names&quot;:false,&quot;dropping-particle&quot;:&quot;&quot;,&quot;non-dropping-particle&quot;:&quot;&quot;},{&quot;family&quot;:&quot;Cassis&quot;,&quot;given&quot;:&quot;Lisa A.&quot;,&quot;parse-names&quot;:false,&quot;dropping-particle&quot;:&quot;&quot;,&quot;non-dropping-particle&quot;:&quot;&quot;},{&quot;family&quot;:&quot;Daugherty&quot;,&quot;given&quot;:&quot;Alan&quot;,&quot;parse-names&quot;:false,&quot;dropping-particle&quot;:&quot;&quot;,&quot;non-dropping-particle&quot;:&quot;&quot;}],&quot;container-title&quot;:&quot;Arteriosclerosis, Thrombosis, and Vascular Biology&quot;,&quot;accessed&quot;:{&quot;date-parts&quot;:[[2021,2,1]]},&quot;DOI&quot;:&quot;10.1161/01.ATV.0000058404.92759.32&quot;,&quot;ISSN&quot;:&quot;10795642&quot;,&quot;PMID&quot;:&quot;12615694&quot;,&quot;URL&quot;:&quot;https://www.ahajournals.org/doi/10.1161/01.ATV.0000058404.92759.32&quot;,&quot;issued&quot;:{&quot;date-parts&quot;:[[2003,3,1]]},&quot;page&quot;:&quot;483-488&quot;,&quot;abstract&quot;:&quot;Objective - Angiotensin II (AngII) infusion into hyperlipidemic mice leads to the rapid formation of atherosclerotic lesions and abdominal aortic aneurysms (AAAs). To define the role of matrix metalloproteinases (MMPs) in the development of these vascular pathologies, we administered the broad-spectrum MMP inhibitor doxycycline to saline- and AngII-infused LDL receptor-/- mice. Methods and Results - Mice were placed on a high-fat diet for 1 week before infusion with either saline or AngII (1000 ng · kg-1 · min-1) via osmotic pumps for 28 days. Doxycycline (30 mg · kg-1 · d-1) was administered in the drinking water to both saline- and AngII-infused mice. Administration of doxycycline did not significantly influence systolic blood pressure, serum cholesterol concentrations, or lipoprotein-cholesterol distribution. Doxycycline had no effect on the extent of atherosclerosis in saline- or AngII-infused mice. In contrast, doxycycline markedly reduced the incidence of AAA formation (86% vs 35%, AngII vs AngII + doxycycline, respectively; P&lt;0.05), in addition to reducing aneurysm severity. Conclusions - These data do not imply a role for MMPs in AngII-induced atherosclerosis but provide evidence consistent with a role in AngII-induced AAA formation.&quot;,&quot;publisher&quot;:&quot;Lippincott Williams &amp; Wilkins&quot;,&quot;issue&quot;:&quot;3&quot;,&quot;volume&quot;:&quot;23&quot;},&quot;isTemporary&quot;:false}],&quot;properties&quot;:{&quot;noteIndex&quot;:0},&quot;isEdited&quot;:false,&quot;manualOverride&quot;:{&quot;isManuallyOverriden&quot;:false,&quot;citeprocText&quot;:&quot;(Manning, Cassis and Daugherty, 2003)&quot;,&quot;manualOverrideText&quot;:&quot;Manning, Cassis and Daugherty, 2003&quot;,&quot;isManuallyOverridden&quot;:true},&quot;citationTag&quot;:&quot;MENDELEY_CITATION_v3_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&quot;},{&quot;citationID&quot;:&quot;MENDELEY_CITATION_c1c68608-5cbd-4039-a1e9-abdb733e1206&quot;,&quot;citationItems&quot;:[{&quot;id&quot;:&quot;b487ac47-fd35-3d2b-9438-d10b41a704b2&quot;,&quot;itemData&quot;:{&quot;type&quot;:&quot;article-journal&quot;,&quot;id&quot;:&quot;b487ac47-fd35-3d2b-9438-d10b41a704b2&quot;,&quot;title&quot;:&quot;TRIF adaptor signaling is important in abdominal aortic aneurysm formation&quot;,&quot;author&quot;:[{&quot;family&quot;:&quot;Vorkapic&quot;,&quot;given&quot;:&quot;Emina&quot;,&quot;parse-names&quot;:false,&quot;dropping-particle&quot;:&quot;&quot;,&quot;non-dropping-particle&quot;:&quot;&quot;},{&quot;family&quot;:&quot;Lundberg&quot;,&quot;given&quot;:&quot;Anna M.&quot;,&quot;parse-names&quot;:false,&quot;dropping-particle&quot;:&quot;&quot;,&quot;non-dropping-particle&quot;:&quot;&quot;},{&quot;family&quot;:&quot;Mäyränpää&quot;,&quot;given&quot;:&quot;Mikko I.&quot;,&quot;parse-names&quot;:false,&quot;dropping-particle&quot;:&quot;&quot;,&quot;non-dropping-particle&quot;:&quot;&quot;},{&quot;family&quot;:&quot;Eriksson&quot;,&quot;given&quot;:&quot;Per&quot;,&quot;parse-names&quot;:false,&quot;dropping-particle&quot;:&quot;&quot;,&quot;non-dropping-particle&quot;:&quot;&quot;},{&quot;family&quot;:&quot;Wågsäter&quot;,&quot;given&quot;:&quot;Dick&quot;,&quot;parse-names&quot;:false,&quot;dropping-particle&quot;:&quot;&quot;,&quot;non-dropping-particle&quot;:&quot;&quot;}],&quot;container-title&quot;:&quot;Atherosclerosis&quot;,&quot;accessed&quot;:{&quot;date-parts&quot;:[[2021,2,1]]},&quot;DOI&quot;:&quot;10.1016/j.atherosclerosis.2015.06.014&quot;,&quot;ISSN&quot;:&quot;18791484&quot;,&quot;PMID&quot;:&quot;26100679&quot;,&quot;issued&quot;:{&quot;date-parts&quot;:[[2015,8,1]]},&quot;page&quot;:&quot;561-568&quot;,&quot;abstract&quot;:&quot;Objective: Abdominal aortic aneurysm (AAA) is characterized by inflammation, loss of smooth muscle cells (SMCs), and degradation of the extracellular matrix in the vessel wall. Innate immune receptors such as Toll-like receptors (TLRs) were recently shown to regulate immunological processes leading to the formation and progression of atherosclerotic plaques as well as to other cardiovascular pathologies. Our aim was to investigate whether blockage of TLR signaling, under the control of TIR domain-containing adaptor protein including IFN-β (TRIF), could inhibit the inflammatory response and AAA development in mice. Results: In human AAA, an increased TLR3 and TLR4 expression in association with macrophages and T lymphocytes was demonstrated with immunohistochemical analysis. Angiotensin (Ang) II-induced aneurysm formation was significantly reduced by 30% in ApoE&lt;sup&gt;-/-&lt;/sup&gt;Trif&lt;sup&gt;-/-&lt;/sup&gt; mice compared to ApoE&lt;sup&gt;-/-&lt;/sup&gt; mice. Morphologically, AngII-infused ApoE&lt;sup&gt;-/-&lt;/sup&gt;Trif&lt;sup&gt;-/-&lt;/sup&gt; mice had a more intact cellular and extracellular matrix while ApoE&lt;sup&gt;-/-&lt;/sup&gt; mice infused with AngII displayed an increased medial thickness associated with aortic dissection, thrombus formation, and a more disorganized vessel wall. Gene expression analysis of the abdominal aorta revealed a profound decrease of the inflammatory genes CD68 (P&lt;0.05), CD11b (P&lt;0.05), and TNF-α (P&lt;0.05) and the protease gene MMP-12 (P&lt;0.01) in ApoE&lt;sup&gt;-/-&lt;/sup&gt;Trif&lt;sup&gt;-/-&lt;/sup&gt; mice compared to ApoE&lt;sup&gt;-/-&lt;/sup&gt; mice infused with AngII. Conclusion: Our results suggest that signaling through TRIF is important for the inflammatory response of AngII-induced AAA and that blockage of the TRIF pathway reduces vascular inflammation and protects against AAA formation.&quot;,&quot;publisher&quot;:&quot;Elsevier Ireland Ltd&quot;,&quot;issue&quot;:&quot;2&quot;,&quot;volume&quot;:&quot;241&quot;},&quot;isTemporary&quot;:false}],&quot;properties&quot;:{&quot;noteIndex&quot;:0},&quot;isEdited&quot;:false,&quot;manualOverride&quot;:{&quot;isManuallyOverriden&quot;:false,&quot;citeprocText&quot;:&quot;(Vorkapic &lt;i&gt;et al.&lt;/i&gt;, 2015)&quot;,&quot;manualOverrideText&quot;:&quot;&quot;},&quot;citationTag&quot;:&quot;MENDELEY_CITATION_v3_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&quot;},{&quot;citationID&quot;:&quot;MENDELEY_CITATION_e1242db8-698e-49f6-8794-35e2c1000ba9&quot;,&quot;citationItems&quot;:[{&quot;id&quot;:&quot;ba757b61-7ea6-38cf-9551-2799644b87f5&quot;,&quot;itemData&quot;:{&quot;type&quot;:&quot;article-journal&quot;,&quot;id&quot;:&quot;ba757b61-7ea6-38cf-9551-2799644b87f5&quot;,&quot;title&quot;:&quot;Lack of Toll-like receptor 4 or myeloid differentiation factor 88 reduces atherosclerosis and alters plaque phenotype in mice deficient in apolipoprotein E.&quot;,&quot;author&quot;:[{&quot;family&quot;:&quot;Michelsen&quot;,&quot;given&quot;:&quot;Kathrin S&quot;,&quot;parse-names&quot;:false,&quot;dropping-particle&quot;:&quot;&quot;,&quot;non-dropping-particle&quot;:&quot;&quot;},{&quot;family&quot;:&quot;Wong&quot;,&quot;given&quot;:&quot;Michelle H&quot;,&quot;parse-names&quot;:false,&quot;dropping-particle&quot;:&quot;&quot;,&quot;non-dropping-particle&quot;:&quot;&quot;},{&quot;family&quot;:&quot;Shah&quot;,&quot;given&quot;:&quot;Prediman K&quot;,&quot;parse-names&quot;:false,&quot;dropping-particle&quot;:&quot;&quot;,&quot;non-dropping-particle&quot;:&quot;&quot;},{&quot;family&quot;:&quot;Zhang&quot;,&quot;given&quot;:&quot;Wenxuan&quot;,&quot;parse-names&quot;:false,&quot;dropping-particle&quot;:&quot;&quot;,&quot;non-dropping-particle&quot;:&quot;&quot;},{&quot;family&quot;:&quot;Yano&quot;,&quot;given&quot;:&quot;Juliana&quot;,&quot;parse-names&quot;:false,&quot;dropping-particle&quot;:&quot;&quot;,&quot;non-dropping-particle&quot;:&quot;&quot;},{&quot;family&quot;:&quot;Doherty&quot;,&quot;given&quot;:&quot;Terence M&quot;,&quot;parse-names&quot;:false,&quot;dropping-particle&quot;:&quot;&quot;,&quot;non-dropping-particle&quot;:&quot;&quot;},{&quot;family&quot;:&quot;Akira&quot;,&quot;given&quot;:&quot;Shizuo&quot;,&quot;parse-names&quot;:false,&quot;dropping-particle&quot;:&quot;&quot;,&quot;non-dropping-particle&quot;:&quot;&quot;},{&quot;family&quot;:&quot;Rajavashisth&quot;,&quot;given&quot;:&quot;Tripathi B&quot;,&quot;parse-names&quot;:false,&quot;dropping-particle&quot;:&quot;&quot;,&quot;non-dropping-particle&quot;:&quot;&quot;},{&quot;family&quot;:&quot;Arditi&quot;,&quot;given&quot;:&quot;Moshe&quot;,&quot;parse-names&quot;:false,&quot;dropping-particle&quot;:&quot;&quot;,&quot;non-dropping-particle&quot;:&quot;&quot;}],&quot;container-title&quot;:&quot;Proceedings of the National Academy of Sciences of the United States of America&quot;,&quot;accessed&quot;:{&quot;date-parts&quot;:[[2018,4,5]]},&quot;DOI&quot;:&quot;10.1073/pnas.0403249101&quot;,&quot;ISSN&quot;:&quot;0027-8424&quot;,&quot;PMID&quot;:&quot;15249654&quot;,&quot;URL&quot;:&quot;http://www.ncbi.nlm.nih.gov/pubmed/15249654&quot;,&quot;issued&quot;:{&quot;date-parts&quot;:[[2004,7,20]]},&quot;page&quot;:&quot;10679-84&quot;,&quot;abstract&quot;:&quot;Toll-like receptors (TLRs) and the downstream adaptor molecule myeloid differentiation factor 88 (MyD88) play an essential role in the innate immune responses. Here, we demonstrate that genetic deficiency of TLR4 or MyD88 is associated with a significant reduction of aortic plaque areas in atherosclerosis-prone apolipoprotein E-deficient mice, despite persistent hypercholesterolemia, implying an important role for the innate immune system in atherogenesis. Apolipoprotein E-deficient mice that also lacked TLR4 or MyD88 demonstrated reduced aortic atherosclerosis that was associated with reductions in circulating levels of proinflammatory cytokines IL-12 or monocyte chemoattractant protein 1, plaque lipid content, numbers of macrophage, and cyclooxygenase 2 immunoreactivity in their plaques. Endothelial-leukocyte adhesion in response to minimally modified low-density lipoprotein was reduced in aortic endothelial cells derived from MyD88-deficient mice. Taken together, our results suggest an important role for TLR4 and MyD88 signaling in atherosclerosis in a hypercholesterolemic mouse model, providing a pathophysiologic link between innate immunity, inflammation, and atherogenesis.&quot;,&quot;publisher&quot;:&quot;National Academy of Sciences&quot;,&quot;issue&quot;:&quot;29&quot;,&quot;volume&quot;:&quot;101&quot;},&quot;isTemporary&quot;:false},{&quot;id&quot;:&quot;254365db-4978-3259-8eb7-b78b8eaceac3&quot;,&quot;itemData&quot;:{&quot;type&quot;:&quot;article-journal&quot;,&quot;id&quot;:&quot;254365db-4978-3259-8eb7-b78b8eaceac3&quot;,&quot;title&quot;:&quot;MyD88 deficiency attenuates angiotensin II-induced abdominal aortic aneurysm formation independent of signaling through Toll-like receptors 2 and 4.&quot;,&quot;author&quot;:[{&quot;family&quot;:&quot;Owens&quot;,&quot;given&quot;:&quot;A Phillip&quot;,&quot;parse-names&quot;:false,&quot;dropping-particle&quot;:&quot;&quot;,&quot;non-dropping-particle&quot;:&quot;&quot;},{&quot;family&quot;:&quot;Rateri&quot;,&quot;given&quot;:&quot;Debra L&quot;,&quot;parse-names&quot;:false,&quot;dropping-particle&quot;:&quot;&quot;,&quot;non-dropping-particle&quot;:&quot;&quot;},{&quot;family&quot;:&quot;Howatt&quot;,&quot;given&quot;:&quot;Deborah A&quot;,&quot;parse-names&quot;:false,&quot;dropping-particle&quot;:&quot;&quot;,&quot;non-dropping-particle&quot;:&quot;&quot;},{&quot;family&quot;:&quot;Moore&quot;,&quot;given&quot;:&quot;Kathryn J&quot;,&quot;parse-names&quot;:false,&quot;dropping-particle&quot;:&quot;&quot;,&quot;non-dropping-particle&quot;:&quot;&quot;},{&quot;family&quot;:&quot;Tobias&quot;,&quot;given&quot;:&quot;Peter S&quot;,&quot;parse-names&quot;:false,&quot;dropping-particle&quot;:&quot;&quot;,&quot;non-dropping-particle&quot;:&quot;&quot;},{&quot;family&quot;:&quot;Curtiss&quot;,&quot;given&quot;:&quot;Linda K&quot;,&quot;parse-names&quot;:false,&quot;dropping-particle&quot;:&quot;&quot;,&quot;non-dropping-particle&quot;:&quot;&quot;},{&quot;family&quot;:&quot;Lu&quot;,&quot;given&quot;:&quot;Hong&quot;,&quot;parse-names&quot;:false,&quot;dropping-particle&quot;:&quot;&quot;,&quot;non-dropping-particle&quot;:&quot;&quot;},{&quot;family&quot;:&quot;Cassis&quot;,&quot;given&quot;:&quot;Lisa A&quot;,&quot;parse-names&quot;:false,&quot;dropping-particle&quot;:&quot;&quot;,&quot;non-dropping-particle&quot;:&quot;&quot;},{&quot;family&quot;:&quot;Daugherty&quot;,&quot;given&quot;:&quot;Alan&quot;,&quot;parse-names&quot;:false,&quot;dropping-particle&quot;:&quot;&quot;,&quot;non-dropping-particle&quot;:&quot;&quot;}],&quot;container-title&quot;:&quot;Arteriosclerosis, thrombosis, and vascular biology&quot;,&quot;accessed&quot;:{&quot;date-parts&quot;:[[2018,4,5]]},&quot;DOI&quot;:&quot;10.1161/ATVBAHA.111.238642&quot;,&quot;ISSN&quot;:&quot;1524-4636&quot;,&quot;PMID&quot;:&quot;21960563&quot;,&quot;URL&quot;:&quot;http://www.ncbi.nlm.nih.gov/pubmed/21960563&quot;,&quot;issued&quot;:{&quot;date-parts&quot;:[[2011,12,1]]},&quot;page&quot;:&quot;2813-9&quot;,&quot;abstract&quot;:&quot;OBJECTIVE The purpose of this study was to determine whether myeloid differentiation factor 88 (MyD88) and its related Toll-like receptors (TLRs) 2 and 4 contributed to the development of angiotensin II (AngII)-induced abdominal aortic aneurysms (AAAs) and atherosclerosis. METHODS AND RESULTS AngII was infused into either apoE(-/-) or LDL receptor (LDLR)(-/-) male mice that were either MyD88(+/+) or (-/-). MyD88 deficiency profoundly reduced AngII-induced AAAs and atherosclerosis in both strains. To define whether deficiency of specific TLRs had similar effects, AngII was infused into LDLR(-/-) mice that were also deficient in either TLR2 or TLR4. TLR2 deficiency had no effect on AAA development but inhibited atherosclerosis. In contrast, TLR4 deficiency attenuated both AAAs and atherosclerosis. To resolve whether MyD88 and TLR4 exerted their effects through cells of hematopoietic lineage, LDLR(-/-) mice were lethally irradiated and repopulated with bone marrow-derived cells from either MyD88 or TLR4 strains. MyD88 deficiency in bone marrow-derived cells profoundly reduced both AngII-induced AAAs and atherosclerosis. However, TLR4 deficiency in bone marrow-derived cells had no effect on either pathology. CONCLUSIONS These studies demonstrate that MyD88 deficiency in leukocytes profoundly reduces AngII-induced AAAs and atherosclerosis via mechanisms independent of either TLR2 or TLR4.&quot;,&quot;publisher&quot;:&quot;American Heart Association, Inc.&quot;,&quot;issue&quot;:&quot;12&quot;,&quot;volume&quot;:&quot;31&quot;},&quot;isTemporary&quot;:false}],&quot;properties&quot;:{&quot;noteIndex&quot;:0},&quot;isEdited&quot;:false,&quot;manualOverride&quot;:{&quot;isManuallyOverriden&quot;:false,&quot;citeprocText&quot;:&quot;(Michelsen &lt;i&gt;et al.&lt;/i&gt;, 2004; Owens &lt;i&gt;et al.&lt;/i&gt;, 2011)&quot;,&quot;manualOverrideText&quot;:&quot;&quot;},&quot;citationTag&quot;:&quot;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&quot;},{&quot;citationID&quot;:&quot;MENDELEY_CITATION_d3f95774-0761-4128-95d8-5da664c44049&quot;,&quot;citationItems&quot;:[{&quot;id&quot;:&quot;b8649111-b26b-3911-8740-28c7ee587e32&quot;,&quot;itemData&quot;:{&quot;type&quot;:&quot;article-journal&quot;,&quot;id&quot;:&quot;b8649111-b26b-3911-8740-28c7ee587e32&quot;,&quot;title&quot;:&quot;In vivo evidence for a role of toll-like receptor 4 in the development of intimal lesions.&quot;,&quot;author&quot;:[{&quot;family&quot;:&quot;Vink&quot;,&quot;given&quot;:&quot;Aryan&quot;,&quot;parse-names&quot;:false,&quot;dropping-particle&quot;:&quot;&quot;,&quot;non-dropping-particle&quot;:&quot;&quot;},{&quot;family&quot;:&quot;Schoneveld&quot;,&quot;given&quot;:&quot;Arjan H&quot;,&quot;parse-names&quot;:false,&quot;dropping-particle&quot;:&quot;&quot;,&quot;non-dropping-particle&quot;:&quot;&quot;},{&quot;family&quot;:&quot;Meer&quot;,&quot;given&quot;:&quot;Jelger J&quot;,&quot;parse-names&quot;:false,&quot;dropping-particle&quot;:&quot;&quot;,&quot;non-dropping-particle&quot;:&quot;van der&quot;},{&quot;family&quot;:&quot;Middelaar&quot;,&quot;given&quot;:&quot;Ben J&quot;,&quot;parse-names&quot;:false,&quot;dropping-particle&quot;:&quot;&quot;,&quot;non-dropping-particle&quot;:&quot;van&quot;},{&quot;family&quot;:&quot;Sluijter&quot;,&quot;given&quot;:&quot;Joost P G&quot;,&quot;parse-names&quot;:false,&quot;dropping-particle&quot;:&quot;&quot;,&quot;non-dropping-particle&quot;:&quot;&quot;},{&quot;family&quot;:&quot;Smeets&quot;,&quot;given&quot;:&quot;Mirjam B&quot;,&quot;parse-names&quot;:false,&quot;dropping-particle&quot;:&quot;&quot;,&quot;non-dropping-particle&quot;:&quot;&quot;},{&quot;family&quot;:&quot;Quax&quot;,&quot;given&quot;:&quot;Paul H A&quot;,&quot;parse-names&quot;:false,&quot;dropping-particle&quot;:&quot;&quot;,&quot;non-dropping-particle&quot;:&quot;&quot;},{&quot;family&quot;:&quot;Lim&quot;,&quot;given&quot;:&quot;Sai Kiang&quot;,&quot;parse-names&quot;:false,&quot;dropping-particle&quot;:&quot;&quot;,&quot;non-dropping-particle&quot;:&quot;&quot;},{&quot;family&quot;:&quot;Borst&quot;,&quot;given&quot;:&quot;Cornelius&quot;,&quot;parse-names&quot;:false,&quot;dropping-particle&quot;:&quot;&quot;,&quot;non-dropping-particle&quot;:&quot;&quot;},{&quot;family&quot;:&quot;Pasterkamp&quot;,&quot;given&quot;:&quot;Gerard&quot;,&quot;parse-names&quot;:false,&quot;dropping-particle&quot;:&quot;&quot;,&quot;non-dropping-particle&quot;:&quot;&quot;},{&quot;family&quot;:&quot;Kleijn&quot;,&quot;given&quot;:&quot;Dominique P&quot;,&quot;parse-names&quot;:false,&quot;dropping-particle&quot;:&quot;v&quot;,&quot;non-dropping-particle&quot;:&quot;de&quot;}],&quot;container-title&quot;:&quot;Circulation&quot;,&quot;accessed&quot;:{&quot;date-parts&quot;:[[2018,4,5]]},&quot;ISSN&quot;:&quot;1524-4539&quot;,&quot;PMID&quot;:&quot;12370224&quot;,&quot;URL&quot;:&quot;http://www.ncbi.nlm.nih.gov/pubmed/12370224&quot;,&quot;issued&quot;:{&quot;date-parts&quot;:[[2002,10,8]]},&quot;page&quot;:&quot;1985-90&quot;,&quot;abstract&quot;:&quot;BACKGROUND Inflammation plays an important role in atherogenesis. The toll-like receptor 4 (TLR4) is the receptor for bacterial lipopolysaccharides and also recognizes cellular fibronectin and heat shock protein 60, endogenous peptides that are produced in response to tissue injury. To explore a possible role for this receptor in arterial obstructive disease, we determined the expression of TLR4 in the atherosclerotic arterial wall, including adventitia, and studied the effect of adventitial TLR4 activation on neointima formation in a mouse model. METHODS AND RESULTS Localization of TLR4 was studied in human atherosclerotic coronary arteries by immunohistochemistry and detected in plaque and adventitia. In the adventitia, not all TLR4-positive cells colocalized with macrophages. In primary human adventitial fibroblasts, expression of TLR4 was demonstrated by immunofluorescence, Western blot, and reverse transcriptase-polymerase chain reaction. Adding lipopolysaccharide to these fibroblasts induced activation of NF-kappaB and an increase of mRNAs of various cytokines. The effect of adventitial stimulation of TLR4 was studied in a mouse model. A peri-adventitial cuff was placed around the femoral artery. Application of lipopolysaccharide between cuff and artery augmented neointima formation induced by the cuff (intimal area+/-SEM, 9134+/-1714 versus 2353+/-1076 microm(2), P&lt;0.01). In TLR4-defective mice, application of cuff and lipopolysaccharide resulted in a smaller neointima than in wild-type mice (intimal area, 3859+/-904 microm(2), P=0.02 versus wild type). CONCLUSIONS A functional TLR4 is expressed in human adventitial fibroblasts and macrophages. Adventitial TLR4 activation augmented neointima formation in a mouse model. These results provide evidence for a link between the immune receptor TLR4 and intimal lesion formation.&quot;,&quot;issue&quot;:&quot;15&quot;,&quot;volume&quot;:&quot;106&quot;},&quot;isTemporary&quot;:false}],&quot;properties&quot;:{&quot;noteIndex&quot;:0},&quot;isEdited&quot;:false,&quot;manualOverride&quot;:{&quot;isManuallyOverriden&quot;:false,&quot;citeprocText&quot;:&quot;(Vink &lt;i&gt;et al.&lt;/i&gt;, 2002)&quot;,&quot;manualOverrideText&quot;:&quot;&quot;},&quot;citationTag&quot;:&quot;MENDELEY_CITATION_v3_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&quot;},{&quot;citationID&quot;:&quot;MENDELEY_CITATION_ac7d5e20-618a-4ee4-bc8d-2cfd83355457&quot;,&quot;citationItems&quot;:[{&quot;id&quot;:&quot;b8649111-b26b-3911-8740-28c7ee587e32&quot;,&quot;itemData&quot;:{&quot;type&quot;:&quot;article-journal&quot;,&quot;id&quot;:&quot;b8649111-b26b-3911-8740-28c7ee587e32&quot;,&quot;title&quot;:&quot;In vivo evidence for a role of toll-like receptor 4 in the development of intimal lesions.&quot;,&quot;author&quot;:[{&quot;family&quot;:&quot;Vink&quot;,&quot;given&quot;:&quot;Aryan&quot;,&quot;parse-names&quot;:false,&quot;dropping-particle&quot;:&quot;&quot;,&quot;non-dropping-particle&quot;:&quot;&quot;},{&quot;family&quot;:&quot;Schoneveld&quot;,&quot;given&quot;:&quot;Arjan H&quot;,&quot;parse-names&quot;:false,&quot;dropping-particle&quot;:&quot;&quot;,&quot;non-dropping-particle&quot;:&quot;&quot;},{&quot;family&quot;:&quot;Meer&quot;,&quot;given&quot;:&quot;Jelger J&quot;,&quot;parse-names&quot;:false,&quot;dropping-particle&quot;:&quot;&quot;,&quot;non-dropping-particle&quot;:&quot;van der&quot;},{&quot;family&quot;:&quot;Middelaar&quot;,&quot;given&quot;:&quot;Ben J&quot;,&quot;parse-names&quot;:false,&quot;dropping-particle&quot;:&quot;&quot;,&quot;non-dropping-particle&quot;:&quot;van&quot;},{&quot;family&quot;:&quot;Sluijter&quot;,&quot;given&quot;:&quot;Joost P G&quot;,&quot;parse-names&quot;:false,&quot;dropping-particle&quot;:&quot;&quot;,&quot;non-dropping-particle&quot;:&quot;&quot;},{&quot;family&quot;:&quot;Smeets&quot;,&quot;given&quot;:&quot;Mirjam B&quot;,&quot;parse-names&quot;:false,&quot;dropping-particle&quot;:&quot;&quot;,&quot;non-dropping-particle&quot;:&quot;&quot;},{&quot;family&quot;:&quot;Quax&quot;,&quot;given&quot;:&quot;Paul H A&quot;,&quot;parse-names&quot;:false,&quot;dropping-particle&quot;:&quot;&quot;,&quot;non-dropping-particle&quot;:&quot;&quot;},{&quot;family&quot;:&quot;Lim&quot;,&quot;given&quot;:&quot;Sai Kiang&quot;,&quot;parse-names&quot;:false,&quot;dropping-particle&quot;:&quot;&quot;,&quot;non-dropping-particle&quot;:&quot;&quot;},{&quot;family&quot;:&quot;Borst&quot;,&quot;given&quot;:&quot;Cornelius&quot;,&quot;parse-names&quot;:false,&quot;dropping-particle&quot;:&quot;&quot;,&quot;non-dropping-particle&quot;:&quot;&quot;},{&quot;family&quot;:&quot;Pasterkamp&quot;,&quot;given&quot;:&quot;Gerard&quot;,&quot;parse-names&quot;:false,&quot;dropping-particle&quot;:&quot;&quot;,&quot;non-dropping-particle&quot;:&quot;&quot;},{&quot;family&quot;:&quot;Kleijn&quot;,&quot;given&quot;:&quot;Dominique P&quot;,&quot;parse-names&quot;:false,&quot;dropping-particle&quot;:&quot;v&quot;,&quot;non-dropping-particle&quot;:&quot;de&quot;}],&quot;container-title&quot;:&quot;Circulation&quot;,&quot;accessed&quot;:{&quot;date-parts&quot;:[[2018,4,5]]},&quot;ISSN&quot;:&quot;1524-4539&quot;,&quot;PMID&quot;:&quot;12370224&quot;,&quot;URL&quot;:&quot;http://www.ncbi.nlm.nih.gov/pubmed/12370224&quot;,&quot;issued&quot;:{&quot;date-parts&quot;:[[2002,10,8]]},&quot;page&quot;:&quot;1985-90&quot;,&quot;abstract&quot;:&quot;BACKGROUND Inflammation plays an important role in atherogenesis. The toll-like receptor 4 (TLR4) is the receptor for bacterial lipopolysaccharides and also recognizes cellular fibronectin and heat shock protein 60, endogenous peptides that are produced in response to tissue injury. To explore a possible role for this receptor in arterial obstructive disease, we determined the expression of TLR4 in the atherosclerotic arterial wall, including adventitia, and studied the effect of adventitial TLR4 activation on neointima formation in a mouse model. METHODS AND RESULTS Localization of TLR4 was studied in human atherosclerotic coronary arteries by immunohistochemistry and detected in plaque and adventitia. In the adventitia, not all TLR4-positive cells colocalized with macrophages. In primary human adventitial fibroblasts, expression of TLR4 was demonstrated by immunofluorescence, Western blot, and reverse transcriptase-polymerase chain reaction. Adding lipopolysaccharide to these fibroblasts induced activation of NF-kappaB and an increase of mRNAs of various cytokines. The effect of adventitial stimulation of TLR4 was studied in a mouse model. A peri-adventitial cuff was placed around the femoral artery. Application of lipopolysaccharide between cuff and artery augmented neointima formation induced by the cuff (intimal area+/-SEM, 9134+/-1714 versus 2353+/-1076 microm(2), P&lt;0.01). In TLR4-defective mice, application of cuff and lipopolysaccharide resulted in a smaller neointima than in wild-type mice (intimal area, 3859+/-904 microm(2), P=0.02 versus wild type). CONCLUSIONS A functional TLR4 is expressed in human adventitial fibroblasts and macrophages. Adventitial TLR4 activation augmented neointima formation in a mouse model. These results provide evidence for a link between the immune receptor TLR4 and intimal lesion formation.&quot;,&quot;issue&quot;:&quot;15&quot;,&quot;volume&quot;:&quot;106&quot;},&quot;isTemporary&quot;:false}],&quot;properties&quot;:{&quot;noteIndex&quot;:0},&quot;isEdited&quot;:false,&quot;manualOverride&quot;:{&quot;isManuallyOverriden&quot;:false,&quot;citeprocText&quot;:&quot;(Vink &lt;i&gt;et al.&lt;/i&gt;, 2002)&quot;,&quot;manualOverrideText&quot;:&quot;&quot;},&quot;citationTag&quot;:&quot;MENDELEY_CITATION_v3_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&quot;},{&quot;citationID&quot;:&quot;MENDELEY_CITATION_b900c496-1c9c-41f0-b178-27631ec98268&quot;,&quot;citationItems&quot;:[{&quot;id&quot;:&quot;89283a8f-c1ba-3f2f-9a48-8fa136fe7ba0&quot;,&quot;itemData&quot;:{&quot;type&quot;:&quot;article-journal&quot;,&quot;id&quot;:&quot;89283a8f-c1ba-3f2f-9a48-8fa136fe7ba0&quot;,&quot;title&quot;:&quot;The immune response in atherosclerosis: a double-edged sword&quot;,&quot;author&quot;:[{&quot;family&quot;:&quot;Hansson&quot;,&quot;given&quot;:&quot;Göran K.&quot;,&quot;parse-names&quot;:false,&quot;dropping-particle&quot;:&quot;&quot;,&quot;non-dropping-particle&quot;:&quot;&quot;},{&quot;family&quot;:&quot;Libby&quot;,&quot;given&quot;:&quot;Peter&quot;,&quot;parse-names&quot;:false,&quot;dropping-particle&quot;:&quot;&quot;,&quot;non-dropping-particle&quot;:&quot;&quot;}],&quot;container-title&quot;:&quot;Nature Reviews Immunology&quot;,&quot;accessed&quot;:{&quot;date-parts&quot;:[[2019,3,31]]},&quot;DOI&quot;:&quot;10.1038/nri1882&quot;,&quot;ISSN&quot;:&quot;1474-1733&quot;,&quot;URL&quot;:&quot;http://www.nature.com/articles/nri1882&quot;,&quot;issued&quot;:{&quot;date-parts&quot;:[[2006,7,16]]},&quot;page&quot;:&quot;508-519&quot;,&quot;abstract&quot;:&quot;Recent advances in our understanding of the mechanisms of atherosclerosis, which is an inflammatory disease that involves the formation of plaques in the arteries, indicate that the immune response can both promote and reduce disease.&quot;,&quot;publisher&quot;:&quot;Nature Publishing Group&quot;,&quot;issue&quot;:&quot;7&quot;,&quot;volume&quot;:&quot;6&quot;},&quot;isTemporary&quot;:false}],&quot;properties&quot;:{&quot;noteIndex&quot;:0},&quot;isEdited&quot;:false,&quot;manualOverride&quot;:{&quot;isManuallyOverriden&quot;:false,&quot;citeprocText&quot;:&quot;(Hansson and Libby, 2006)&quot;,&quot;manualOverrideText&quot;:&quot;&quot;},&quot;citationTag&quot;:&quot;MENDELEY_CITATION_v3_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&quot;},{&quot;citationID&quot;:&quot;MENDELEY_CITATION_a863189b-943e-4ca4-88ea-410dd538f422&quot;,&quot;citationItems&quot;:[{&quot;id&quot;:&quot;ec0a16f7-af09-319b-9ef0-ee34d7998c4a&quot;,&quot;itemData&quot;:{&quot;type&quot;:&quot;article-journal&quot;,&quot;id&quot;:&quot;ec0a16f7-af09-319b-9ef0-ee34d7998c4a&quot;,&quot;title&quot;:&quot;Therapeutic targeting of innate immunity with Toll-like receptor 4 (TLR4) antagonists&quot;,&quot;author&quot;:[{&quot;family&quot;:&quot;Peri&quot;,&quot;given&quot;:&quot;Francesco&quot;,&quot;parse-names&quot;:false,&quot;dropping-particle&quot;:&quot;&quot;,&quot;non-dropping-particle&quot;:&quot;&quot;},{&quot;family&quot;:&quot;Piazza&quot;,&quot;given&quot;:&quot;Matteo&quot;,&quot;parse-names&quot;:false,&quot;dropping-particle&quot;:&quot;&quot;,&quot;non-dropping-particle&quot;:&quot;&quot;}],&quot;container-title&quot;:&quot;Biotechnology Advances&quot;,&quot;accessed&quot;:{&quot;date-parts&quot;:[[2018,4,5]]},&quot;DOI&quot;:&quot;10.1016/J.BIOTECHADV.2011.05.014&quot;,&quot;ISSN&quot;:&quot;0734-9750&quot;,&quot;URL&quot;:&quot;https://www.sciencedirect.com/science/article/pii/S0734975011000693&quot;,&quot;issued&quot;:{&quot;date-parts&quot;:[[2012,1,1]]},&quot;page&quot;:&quot;251-260&quot;,&quot;abstract&quot;:&quot;Early recognition of invading bacteria by the innate immune system has a crucial function in antibacterial defense by triggering inflammatory responses that prevent the spread of infection and suppress bacterial growth. Toll-like receptor 4 (TLR4), the innate immunity receptor of bacterial endotoxins, plays a pivotal role in the induction of inflammatory responses. TLR4 activation by bacterial lipopolysaccharide (LPS) is achieved by the coordinate and sequential action of three other proteins, LBP, CD14 and MD-2 receptors, that bind lipopolysaccharide (LPS) and present it to TLR4 by forming the activated (TLR4-MD-2-LPS)2 complex. Small molecules active in modulating the TLR4 activation process have great pharmacological interest as vaccine adjuvants, immunotherapeutics or antisepsis and anti-inflammatory agents. In this review we present natural and synthetic molecules active in inhibiting TLR4-mediated LPS signalling in humans and their therapeutic potential. New pharmacological applications of TLR4 antagonists will be also presented related to the recently discovered role of TLR4 in the insurgence and progression of neuropathic pain and sterile inflammations.&quot;,&quot;publisher&quot;:&quot;Elsevier&quot;,&quot;issue&quot;:&quot;1&quot;,&quot;volume&quot;:&quot;30&quot;},&quot;isTemporary&quot;:false}],&quot;properties&quot;:{&quot;noteIndex&quot;:0},&quot;isEdited&quot;:false,&quot;manualOverride&quot;:{&quot;isManuallyOverriden&quot;:false,&quot;citeprocText&quot;:&quot;(Peri and Piazza, 2012)&quot;,&quot;manualOverrideText&quot;:&quot;&quot;},&quot;citationTag&quot;:&quot;MENDELEY_CITATION_v3_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&quot;},{&quot;citationID&quot;:&quot;MENDELEY_CITATION_7635f067-9455-4c36-a1eb-715462ee0f23&quot;,&quot;citationItems&quot;:[{&quot;id&quot;:&quot;9089c8bd-68b3-3131-b48d-ac144f773474&quot;,&quot;itemData&quot;:{&quot;type&quot;:&quot;article-journal&quot;,&quot;id&quot;:&quot;9089c8bd-68b3-3131-b48d-ac144f773474&quot;,&quot;title&quot;:&quot;Antiinflammatory Therapy with Canakinumab for Atherosclerotic Disease&quot;,&quot;author&quot;:[{&quot;family&quot;:&quot;Ridker&quot;,&quot;given&quot;:&quot;Paul M&quot;,&quot;parse-names&quot;:false,&quot;dropping-particle&quot;:&quot;&quot;,&quot;non-dropping-particle&quot;:&quot;&quot;},{&quot;family&quot;:&quot;Everett&quot;,&quot;given&quot;:&quot;Brendan M.&quot;,&quot;parse-names&quot;:false,&quot;dropping-particle&quot;:&quot;&quot;,&quot;non-dropping-particle&quot;:&quot;&quot;},{&quot;family&quot;:&quot;Thuren&quot;,&quot;given&quot;:&quot;Tom&quot;,&quot;parse-names&quot;:false,&quot;dropping-particle&quot;:&quot;&quot;,&quot;non-dropping-particle&quot;:&quot;&quot;},{&quot;family&quot;:&quot;MacFadyen&quot;,&quot;given&quot;:&quot;Jean G.&quot;,&quot;parse-names&quot;:false,&quot;dropping-particle&quot;:&quot;&quot;,&quot;non-dropping-particle&quot;:&quot;&quot;},{&quot;family&quot;:&quot;Chang&quot;,&quot;given&quot;:&quot;William H.&quot;,&quot;parse-names&quot;:false,&quot;dropping-particle&quot;:&quot;&quot;,&quot;non-dropping-particle&quot;:&quot;&quot;},{&quot;family&quot;:&quot;Ballantyne&quot;,&quot;given&quot;:&quot;Christie&quot;,&quot;parse-names&quot;:false,&quot;dropping-particle&quot;:&quot;&quot;,&quot;non-dropping-particle&quot;:&quot;&quot;},{&quot;family&quot;:&quot;Fonseca&quot;,&quot;given&quot;:&quot;Francisco&quot;,&quot;parse-names&quot;:false,&quot;dropping-particle&quot;:&quot;&quot;,&quot;non-dropping-particle&quot;:&quot;&quot;},{&quot;family&quot;:&quot;Nicolau&quot;,&quot;given&quot;:&quot;Jose&quot;,&quot;parse-names&quot;:false,&quot;dropping-particle&quot;:&quot;&quot;,&quot;non-dropping-particle&quot;:&quot;&quot;},{&quot;family&quot;:&quot;Koenig&quot;,&quot;given&quot;:&quot;Wolfgang&quot;,&quot;parse-names&quot;:false,&quot;dropping-particle&quot;:&quot;&quot;,&quot;non-dropping-particle&quot;:&quot;&quot;},{&quot;family&quot;:&quot;Anker&quot;,&quot;given&quot;:&quot;Stefan D.&quot;,&quot;parse-names&quot;:false,&quot;dropping-particle&quot;:&quot;&quot;,&quot;non-dropping-particle&quot;:&quot;&quot;},{&quot;family&quot;:&quot;Kastelein&quot;,&quot;given&quot;:&quot;John J.P.&quot;,&quot;parse-names&quot;:false,&quot;dropping-particle&quot;:&quot;&quot;,&quot;non-dropping-particle&quot;:&quot;&quot;},{&quot;family&quot;:&quot;Cornel&quot;,&quot;given&quot;:&quot;Jan H.&quot;,&quot;parse-names&quot;:false,&quot;dropping-particle&quot;:&quot;&quot;,&quot;non-dropping-particle&quot;:&quot;&quot;},{&quot;family&quot;:&quot;Pais&quot;,&quot;given&quot;:&quot;Prem&quot;,&quot;parse-names&quot;:false,&quot;dropping-particle&quot;:&quot;&quot;,&quot;non-dropping-particle&quot;:&quot;&quot;},{&quot;family&quot;:&quot;Pella&quot;,&quot;given&quot;:&quot;Daniel&quot;,&quot;parse-names&quot;:false,&quot;dropping-particle&quot;:&quot;&quot;,&quot;non-dropping-particle&quot;:&quot;&quot;},{&quot;family&quot;:&quot;Genest&quot;,&quot;given&quot;:&quot;Jacques&quot;,&quot;parse-names&quot;:false,&quot;dropping-particle&quot;:&quot;&quot;,&quot;non-dropping-particle&quot;:&quot;&quot;},{&quot;family&quot;:&quot;Cifkova&quot;,&quot;given&quot;:&quot;Renata&quot;,&quot;parse-names&quot;:false,&quot;dropping-particle&quot;:&quot;&quot;,&quot;non-dropping-particle&quot;:&quot;&quot;},{&quot;family&quot;:&quot;Lorenzatti&quot;,&quot;given&quot;:&quot;Alberto&quot;,&quot;parse-names&quot;:false,&quot;dropping-particle&quot;:&quot;&quot;,&quot;non-dropping-particle&quot;:&quot;&quot;},{&quot;family&quot;:&quot;Forster&quot;,&quot;given&quot;:&quot;Tamas&quot;,&quot;parse-names&quot;:false,&quot;dropping-particle&quot;:&quot;&quot;,&quot;non-dropping-particle&quot;:&quot;&quot;},{&quot;family&quot;:&quot;Kobalava&quot;,&quot;given&quot;:&quot;Zhanna&quot;,&quot;parse-names&quot;:false,&quot;dropping-particle&quot;:&quot;&quot;,&quot;non-dropping-particle&quot;:&quot;&quot;},{&quot;family&quot;:&quot;Vida-Simiti&quot;,&quot;given&quot;:&quot;Luminita&quot;,&quot;parse-names&quot;:false,&quot;dropping-particle&quot;:&quot;&quot;,&quot;non-dropping-particle&quot;:&quot;&quot;},{&quot;family&quot;:&quot;Flather&quot;,&quot;given&quot;:&quot;Marcus&quot;,&quot;parse-names&quot;:false,&quot;dropping-particle&quot;:&quot;&quot;,&quot;non-dropping-particle&quot;:&quot;&quot;},{&quot;family&quot;:&quot;Shimokawa&quot;,&quot;given&quot;:&quot;Hiroaki&quot;,&quot;parse-names&quot;:false,&quot;dropping-particle&quot;:&quot;&quot;,&quot;non-dropping-particle&quot;:&quot;&quot;},{&quot;family&quot;:&quot;Ogawa&quot;,&quot;given&quot;:&quot;Hisao&quot;,&quot;parse-names&quot;:false,&quot;dropping-particle&quot;:&quot;&quot;,&quot;non-dropping-particle&quot;:&quot;&quot;},{&quot;family&quot;:&quot;Dellborg&quot;,&quot;given&quot;:&quot;Mikael&quot;,&quot;parse-names&quot;:false,&quot;dropping-particle&quot;:&quot;&quot;,&quot;non-dropping-particle&quot;:&quot;&quot;},{&quot;family&quot;:&quot;Rossi&quot;,&quot;given&quot;:&quot;Paulo R.F.&quot;,&quot;parse-names&quot;:false,&quot;dropping-particle&quot;:&quot;&quot;,&quot;non-dropping-particle&quot;:&quot;&quot;},{&quot;family&quot;:&quot;Troquay&quot;,&quot;given&quot;:&quot;Roland P.T.&quot;,&quot;parse-names&quot;:false,&quot;dropping-particle&quot;:&quot;&quot;,&quot;non-dropping-particle&quot;:&quot;&quot;},{&quot;family&quot;:&quot;Libby&quot;,&quot;given&quot;:&quot;Peter&quot;,&quot;parse-names&quot;:false,&quot;dropping-particle&quot;:&quot;&quot;,&quot;non-dropping-particle&quot;:&quot;&quot;},{&quot;family&quot;:&quot;Glynn&quot;,&quot;given&quot;:&quot;Robert J.&quot;,&quot;parse-names&quot;:false,&quot;dropping-particle&quot;:&quot;&quot;,&quot;non-dropping-particle&quot;:&quot;&quot;}],&quot;container-title&quot;:&quot;New England Journal of Medicine&quot;,&quot;accessed&quot;:{&quot;date-parts&quot;:[[2021,2,1]]},&quot;DOI&quot;:&quot;10.1056/nejmoa1707914&quot;,&quot;ISSN&quot;:&quot;0028-4793&quot;,&quot;PMID&quot;:&quot;28845751&quot;,&quot;URL&quot;:&quot;https://www.nejm.org/doi/full/10.1056/nejmoa1707914&quot;,&quot;issued&quot;:{&quot;date-parts&quot;:[[2017,9,21]]},&quot;page&quot;:&quot;1119-1131&quot;,&quot;abstract&quot;:&quot;BACKGROUND Experimental and clinical data suggest that reducing inflammation without affecting lipid levels may reduce the risk of cardiovascular disease. Yet, the inflammatory hypothesis of atherothrombosis has remained unproved. METHODS We conducted a randomized, double-blind trial of canakinumab, a therapeutic monoclonal antibody targeting interleukin-1β, involving 10,061 patients with previous myocardial infarction and a high-sensitivity C-reactive protein level of 2 mg or more per liter. The trial compared three doses of canakinumab (50 mg, 150 mg, and 300 mg, administered subcutaneously every 3 months) with placebo. The primary efficacy end point was nonfatal myocardial infarction, nonfatal stroke, or cardiovascular death. RESULTS At 48 months, the median reduction from baseline in the high-sensitivity C-reactive protein level was 26 percentage points greater in the group that received the 50-mg dose of canakinumab, 37 percentage points greater in the 150-mg group, and 41 percentage points greater in the 300-mg group than in the placebo group. Canakinumab did not reduce lipid levels from baseline. At a median follow-up of 3.7 years, the incidence rate for the primary end point was 4.50 events per 100 person-years in the placebo group, 4.11 events per 100 person-years in the 50-mg group, 3.86 events per 100 person-years in the 150-mg group, and 3.90 events per 100 person-years in the 300-mg group. The hazard ratios as compared with placebo were as follows: in the 50-mg group, 0.93 (95% confidence interval [CI], 0.80 to 1.07; P=0.30); in the 150-mg group, 0.85 (95% CI, 0.74 to 0.98; P=0.021); and in the 300-mg group, 0.86 (95% CI, 0.75 to 0.99; P=0.031). The 150-mg dose, but not the other doses, met the prespecified multiplicity-adjusted threshold for statistical significance for the primary end point and the secondary end point that additionally included hospitalization for unstable angina that led to urgent revascularization (hazard ratio vs. placebo, 0.83; 95% CI, 0.73 to 0.95; P=0.005). Canakinumab was associated with a higher incidence of fatal infection than was placebo. There was no significant difference in all-cause mortality (hazard ratio for all canakinumab doses vs. placebo, 0.94; 95% CI, 0.83 to 1.06; P=0.31). CONCLUSIONS Antiinflammatory therapy targeting the interleukin-1β innate immunity pathway with canakinumab at a dose of 150 mg every 3 months led to a significantly lower rate of recurrent cardiovascular events than placebo, independent of lipid-level lowering. (Funded by Novartis; CANTOS ClinicalTrials.gov number, NCT01327846 .).&quot;,&quot;publisher&quot;:&quot;Massachusetts Medical Society&quot;,&quot;issue&quot;:&quot;12&quot;,&quot;volume&quot;:&quot;377&quot;},&quot;isTemporary&quot;:false}],&quot;properties&quot;:{&quot;noteIndex&quot;:0},&quot;isEdited&quot;:false,&quot;manualOverride&quot;:{&quot;isManuallyOverriden&quot;:false,&quot;citeprocText&quot;:&quot;(Ridker &lt;i&gt;et al.&lt;/i&gt;, 2017)&quot;,&quot;manualOverrideText&quot;:&quot;&quot;},&quot;citationTag&quot;:&quot;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&quot;},{&quot;citationID&quot;:&quot;MENDELEY_CITATION_02ee15e6-4f99-419e-a1d3-72956cf3a786&quot;,&quot;citationItems&quot;:[{&quot;id&quot;:&quot;1fb56041-303b-3908-9d29-f02af60d53df&quot;,&quot;itemData&quot;:{&quot;type&quot;:&quot;article-journal&quot;,&quot;id&quot;:&quot;1fb56041-303b-3908-9d29-f02af60d53df&quot;,&quot;title&quot;:&quot;Lycopene prevention of oxysterol-induced proinflammatory cytokine cascade in human macrophages: inhibition of NF-κB nuclear binding and increase in PPARγ expression&quot;,&quot;author&quot;:[{&quot;family&quot;:&quot;Palozza&quot;,&quot;given&quot;:&quot;Paola&quot;,&quot;parse-names&quot;:false,&quot;dropping-particle&quot;:&quot;&quot;,&quot;non-dropping-particle&quot;:&quot;&quot;},{&quot;family&quot;:&quot;Simone&quot;,&quot;given&quot;:&quot;Rossella&quot;,&quot;parse-names&quot;:false,&quot;dropping-particle&quot;:&quot;&quot;,&quot;non-dropping-particle&quot;:&quot;&quot;},{&quot;family&quot;:&quot;Catalano&quot;,&quot;given&quot;:&quot;Assunta&quot;,&quot;parse-names&quot;:false,&quot;dropping-particle&quot;:&quot;&quot;,&quot;non-dropping-particle&quot;:&quot;&quot;},{&quot;family&quot;:&quot;Monego&quot;,&quot;given&quot;:&quot;Giovanni&quot;,&quot;parse-names&quot;:false,&quot;dropping-particle&quot;:&quot;&quot;,&quot;non-dropping-particle&quot;:&quot;&quot;},{&quot;family&quot;:&quot;Barini&quot;,&quot;given&quot;:&quot;Angela&quot;,&quot;parse-names&quot;:false,&quot;dropping-particle&quot;:&quot;&quot;,&quot;non-dropping-particle&quot;:&quot;&quot;},{&quot;family&quot;:&quot;Mele&quot;,&quot;given&quot;:&quot;Maria Cristina&quot;,&quot;parse-names&quot;:false,&quot;dropping-particle&quot;:&quot;&quot;,&quot;non-dropping-particle&quot;:&quot;&quot;},{&quot;family&quot;:&quot;Parrone&quot;,&quot;given&quot;:&quot;Nadia&quot;,&quot;parse-names&quot;:false,&quot;dropping-particle&quot;:&quot;&quot;,&quot;non-dropping-particle&quot;:&quot;&quot;},{&quot;family&quot;:&quot;Trombino&quot;,&quot;given&quot;:&quot;Sonia&quot;,&quot;parse-names&quot;:false,&quot;dropping-particle&quot;:&quot;&quot;,&quot;non-dropping-particle&quot;:&quot;&quot;},{&quot;family&quot;:&quot;Picci&quot;,&quot;given&quot;:&quot;Nevio&quot;,&quot;parse-names&quot;:false,&quot;dropping-particle&quot;:&quot;&quot;,&quot;non-dropping-particle&quot;:&quot;&quot;},{&quot;family&quot;:&quot;Ranelletti&quot;,&quot;given&quot;:&quot;Franco O.&quot;,&quot;parse-names&quot;:false,&quot;dropping-particle&quot;:&quot;&quot;,&quot;non-dropping-particle&quot;:&quot;&quot;}],&quot;container-title&quot;:&quot;The Journal of Nutritional Biochemistry&quot;,&quot;accessed&quot;:{&quot;date-parts&quot;:[[2018,4,5]]},&quot;DOI&quot;:&quot;10.1016/J.JNUTBIO.2010.02.003&quot;,&quot;ISSN&quot;:&quot;0955-2863&quot;,&quot;URL&quot;:&quot;https://www.sciencedirect.com/science/article/pii/S0955286310000616&quot;,&quot;issued&quot;:{&quot;date-parts&quot;:[[2011,3,1]]},&quot;page&quot;:&quot;259-268&quot;,&quot;abstract&quot;:&quot;It is now well accepted that oxysterols play important roles in the formation of atherosclerotic plaque, involving cytotoxic, pro-oxidant and proinflammatory processes. It has been recently suggested that tomato lycopene may act as a preventive agent in atherosclerosis, although the exact mechanism of such a protection is not clarified. The main aim of this study was to investigate whether lycopene is able to counteract oxysterol-induced proinflammatory cytokines cascade in human macrophages, limiting the formation of atherosclerotic plaque. Therefore, THP-1 macrophages were exposed to two different oxysterols, such as 7-keto-cholesterol (4-16 μM) and 25-hydroxycholesterol (2-4 μM), alone and in combination with lycopene (0.5–2 μM). Both oxysterols enhanced pro-inflammatory cytokine [interleukin (IL)-1β, IL-6, IL-8, tumor necrosis factor α) secretion and mRNA levels in a dose-dependent manner, although at different extent. These effects were associated with an increased reactive oxygen species (ROS) production through an enhanced expression of NAD(P)H oxidase. Moreover, a net increment of phosphorylation of extracellular regulated kinase 1/2, p-38 and Jun N-terminal kinase and of nuclear factor kB (NF-κB) nuclear binding was observed. Lycopene prevented oxysterol-induced increase in pro-inflammatory cytokine secretion and expression. Such an effect was accompanied by an inhibition of oxysterol-induced ROS production, mitogen-activated protein kinase phosphorylation and NF-κB activation. The inhibition of oxysterol-induced cytokine stimulation was also mimicked by the specific NF-κB inhibitor pyrrolidine dithiocarbamate. Moreover, the carotenoid increased peroxisome proliferator-activated receptor γ levels in THP-1 macrophages. Taken all together, these data bring new information on the anti-atherogenic properties of lycopene, and on its mechanisms of action in atherosclerosis prevention.&quot;,&quot;publisher&quot;:&quot;Elsevier&quot;,&quot;issue&quot;:&quot;3&quot;,&quot;volume&quot;:&quot;22&quot;},&quot;isTemporary&quot;:false}],&quot;properties&quot;:{&quot;noteIndex&quot;:0},&quot;isEdited&quot;:false,&quot;manualOverride&quot;:{&quot;isManuallyOverriden&quot;:false,&quot;citeprocText&quot;:&quot;(Palozza &lt;i&gt;et al.&lt;/i&gt;, 2011)&quot;,&quot;manualOverrideText&quot;:&quot;&quot;},&quot;citationTag&quot;:&quot;MENDELEY_CITATION_v3_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&quot;},{&quot;citationID&quot;:&quot;MENDELEY_CITATION_8a2d8cdf-ba05-4d78-83a1-7e0855ddf769&quot;,&quot;citationItems&quot;:[{&quot;id&quot;:&quot;97e71282-82f1-3ca3-b2d8-f60037dd74aa&quot;,&quot;itemData&quot;:{&quot;type&quot;:&quot;article-journal&quot;,&quot;id&quot;:&quot;97e71282-82f1-3ca3-b2d8-f60037dd74aa&quot;,&quot;title&quot;:&quot;Puerarin Inhibits oxLDL-Induced Macrophage Activation and Foam Cell Formation in Human THP1 Macrophage&quot;,&quot;author&quot;:[{&quot;family&quot;:&quot;Zhang&quot;,&quot;given&quot;:&quot;Heng&quot;,&quot;parse-names&quot;:false,&quot;dropping-particle&quot;:&quot;&quot;,&quot;non-dropping-particle&quot;:&quot;&quot;},{&quot;family&quot;:&quot;Zhai&quot;,&quot;given&quot;:&quot;Zhenhua&quot;,&quot;parse-names&quot;:false,&quot;dropping-particle&quot;:&quot;&quot;,&quot;non-dropping-particle&quot;:&quot;&quot;},{&quot;family&quot;:&quot;Zhou&quot;,&quot;given&quot;:&quot;Hongyu&quot;,&quot;parse-names&quot;:false,&quot;dropping-particle&quot;:&quot;&quot;,&quot;non-dropping-particle&quot;:&quot;&quot;},{&quot;family&quot;:&quot;Li&quot;,&quot;given&quot;:&quot;Yao&quot;,&quot;parse-names&quot;:false,&quot;dropping-particle&quot;:&quot;&quot;,&quot;non-dropping-particle&quot;:&quot;&quot;},{&quot;family&quot;:&quot;Li&quot;,&quot;given&quot;:&quot;Xiaojie&quot;,&quot;parse-names&quot;:false,&quot;dropping-particle&quot;:&quot;&quot;,&quot;non-dropping-particle&quot;:&quot;&quot;},{&quot;family&quot;:&quot;Lin&quot;,&quot;given&quot;:&quot;Yuhan&quot;,&quot;parse-names&quot;:false,&quot;dropping-particle&quot;:&quot;&quot;,&quot;non-dropping-particle&quot;:&quot;&quot;},{&quot;family&quot;:&quot;Li&quot;,&quot;given&quot;:&quot;Weihong&quot;,&quot;parse-names&quot;:false,&quot;dropping-particle&quot;:&quot;&quot;,&quot;non-dropping-particle&quot;:&quot;&quot;},{&quot;family&quot;:&quot;Shi&quot;,&quot;given&quot;:&quot;Yueping&quot;,&quot;parse-names&quot;:false,&quot;dropping-particle&quot;:&quot;&quot;,&quot;non-dropping-particle&quot;:&quot;&quot;},{&quot;family&quot;:&quot;Zhou&quot;,&quot;given&quot;:&quot;Ming-Sheng&quot;,&quot;parse-names&quot;:false,&quot;dropping-particle&quot;:&quot;&quot;,&quot;non-dropping-particle&quot;:&quot;&quot;}],&quot;container-title&quot;:&quot;BioMed Research International&quot;,&quot;accessed&quot;:{&quot;date-parts&quot;:[[2018,4,5]]},&quot;DOI&quot;:&quot;10.1155/2015/403616&quot;,&quot;ISSN&quot;:&quot;2314-6133&quot;,&quot;URL&quot;:&quot;http://www.hindawi.com/journals/bmri/2015/403616/&quot;,&quot;issued&quot;:{&quot;date-parts&quot;:[[2015,10,21]]},&quot;page&quot;:&quot;1-8&quot;,&quot;abstract&quot;:&quot;&lt;p&gt; Puerarin, an isoflavone derived from Kudzu roots, has been widely used for treatment of cardiovascular and cerebral vascular diseases in China and other Asian countries. However, the underlying mechanisms are largely unknown. The present study investigated whether puerarin inhibited atherogenic lipid oxLDL-mediated macrophage activation and foam cell formation in human THP1 macrophage. Treatment with oxLDL significantly increased the mRNA expression of proinflammatory cytokines tumor necrosis factor &lt;italic&gt;α&lt;/italic&gt; (TNF &lt;italic&gt;α&lt;/italic&gt; , 160%) and interleukin (IL) 1 &lt;italic&gt;β&lt;/italic&gt; (13 fold) accompanied by upregulation of toll-like receptor 4 (TLR4, 165%) and the ratio of phospho-I &lt;italic&gt;κ&lt;/italic&gt; B &lt;italic&gt;α&lt;/italic&gt; /I &lt;italic&gt;κ&lt;/italic&gt; B &lt;italic&gt;α&lt;/italic&gt; in THP1 macrophage. Puerarin dose-dependently prevented an increase in oxLDL-induced proinflammatory gene expression with downregulation of TLR4 and the ratio of phospho-I &lt;italic&gt;κ&lt;/italic&gt; B &lt;italic&gt;α&lt;/italic&gt; /I &lt;italic&gt;κ&lt;/italic&gt; B &lt;italic&gt;α&lt;/italic&gt; . Furthermore, puerarin prevented oxLDL-mediated lipid deposition and foam cell formation associated with downregulation of scavenger receptor CD36. Flow cytometry analysis showed that puerarin reduced the number of early apoptotic cells of macrophages induced by oxLDL. Our results show that puerarin has anti-inflammatory and antiatherogenic effects in vitro; the underlying mechanisms may involve the inhibition of TLR4/NF &lt;italic&gt;κ&lt;/italic&gt; B pathway and downregulation of CD36 expression. The results from the present study provide scientific evidence and may expand our armamentarium to use puerarin for prevention and treatment of cardiovascular and atherosclerotic diseases. &lt;/p&gt;&quot;,&quot;publisher&quot;:&quot;Hindawi&quot;,&quot;volume&quot;:&quot;2015&quot;},&quot;isTemporary&quot;:false}],&quot;properties&quot;:{&quot;noteIndex&quot;:0},&quot;isEdited&quot;:false,&quot;manualOverride&quot;:{&quot;isManuallyOverriden&quot;:false,&quot;citeprocText&quot;:&quot;(Zhang &lt;i&gt;et al.&lt;/i&gt;, 2015)&quot;,&quot;manualOverrideText&quot;:&quot;&quot;},&quot;citationTag&quot;:&quot;MENDELEY_CITATION_v3_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&quot;},{&quot;citationID&quot;:&quot;MENDELEY_CITATION_3c5f6e45-1195-4133-b827-719806aec2e8&quot;,&quot;citationItems&quot;:[{&quot;id&quot;:&quot;97e71282-82f1-3ca3-b2d8-f60037dd74aa&quot;,&quot;itemData&quot;:{&quot;type&quot;:&quot;article-journal&quot;,&quot;id&quot;:&quot;97e71282-82f1-3ca3-b2d8-f60037dd74aa&quot;,&quot;title&quot;:&quot;Puerarin Inhibits oxLDL-Induced Macrophage Activation and Foam Cell Formation in Human THP1 Macrophage&quot;,&quot;author&quot;:[{&quot;family&quot;:&quot;Zhang&quot;,&quot;given&quot;:&quot;Heng&quot;,&quot;parse-names&quot;:false,&quot;dropping-particle&quot;:&quot;&quot;,&quot;non-dropping-particle&quot;:&quot;&quot;},{&quot;family&quot;:&quot;Zhai&quot;,&quot;given&quot;:&quot;Zhenhua&quot;,&quot;parse-names&quot;:false,&quot;dropping-particle&quot;:&quot;&quot;,&quot;non-dropping-particle&quot;:&quot;&quot;},{&quot;family&quot;:&quot;Zhou&quot;,&quot;given&quot;:&quot;Hongyu&quot;,&quot;parse-names&quot;:false,&quot;dropping-particle&quot;:&quot;&quot;,&quot;non-dropping-particle&quot;:&quot;&quot;},{&quot;family&quot;:&quot;Li&quot;,&quot;given&quot;:&quot;Yao&quot;,&quot;parse-names&quot;:false,&quot;dropping-particle&quot;:&quot;&quot;,&quot;non-dropping-particle&quot;:&quot;&quot;},{&quot;family&quot;:&quot;Li&quot;,&quot;given&quot;:&quot;Xiaojie&quot;,&quot;parse-names&quot;:false,&quot;dropping-particle&quot;:&quot;&quot;,&quot;non-dropping-particle&quot;:&quot;&quot;},{&quot;family&quot;:&quot;Lin&quot;,&quot;given&quot;:&quot;Yuhan&quot;,&quot;parse-names&quot;:false,&quot;dropping-particle&quot;:&quot;&quot;,&quot;non-dropping-particle&quot;:&quot;&quot;},{&quot;family&quot;:&quot;Li&quot;,&quot;given&quot;:&quot;Weihong&quot;,&quot;parse-names&quot;:false,&quot;dropping-particle&quot;:&quot;&quot;,&quot;non-dropping-particle&quot;:&quot;&quot;},{&quot;family&quot;:&quot;Shi&quot;,&quot;given&quot;:&quot;Yueping&quot;,&quot;parse-names&quot;:false,&quot;dropping-particle&quot;:&quot;&quot;,&quot;non-dropping-particle&quot;:&quot;&quot;},{&quot;family&quot;:&quot;Zhou&quot;,&quot;given&quot;:&quot;Ming-Sheng&quot;,&quot;parse-names&quot;:false,&quot;dropping-particle&quot;:&quot;&quot;,&quot;non-dropping-particle&quot;:&quot;&quot;}],&quot;container-title&quot;:&quot;BioMed Research International&quot;,&quot;accessed&quot;:{&quot;date-parts&quot;:[[2018,4,5]]},&quot;DOI&quot;:&quot;10.1155/2015/403616&quot;,&quot;ISSN&quot;:&quot;2314-6133&quot;,&quot;URL&quot;:&quot;http://www.hindawi.com/journals/bmri/2015/403616/&quot;,&quot;issued&quot;:{&quot;date-parts&quot;:[[2015,10,21]]},&quot;page&quot;:&quot;1-8&quot;,&quot;abstract&quot;:&quot;&lt;p&gt; Puerarin, an isoflavone derived from Kudzu roots, has been widely used for treatment of cardiovascular and cerebral vascular diseases in China and other Asian countries. However, the underlying mechanisms are largely unknown. The present study investigated whether puerarin inhibited atherogenic lipid oxLDL-mediated macrophage activation and foam cell formation in human THP1 macrophage. Treatment with oxLDL significantly increased the mRNA expression of proinflammatory cytokines tumor necrosis factor &lt;italic&gt;α&lt;/italic&gt; (TNF &lt;italic&gt;α&lt;/italic&gt; , 160%) and interleukin (IL) 1 &lt;italic&gt;β&lt;/italic&gt; (13 fold) accompanied by upregulation of toll-like receptor 4 (TLR4, 165%) and the ratio of phospho-I &lt;italic&gt;κ&lt;/italic&gt; B &lt;italic&gt;α&lt;/italic&gt; /I &lt;italic&gt;κ&lt;/italic&gt; B &lt;italic&gt;α&lt;/italic&gt; in THP1 macrophage. Puerarin dose-dependently prevented an increase in oxLDL-induced proinflammatory gene expression with downregulation of TLR4 and the ratio of phospho-I &lt;italic&gt;κ&lt;/italic&gt; B &lt;italic&gt;α&lt;/italic&gt; /I &lt;italic&gt;κ&lt;/italic&gt; B &lt;italic&gt;α&lt;/italic&gt; . Furthermore, puerarin prevented oxLDL-mediated lipid deposition and foam cell formation associated with downregulation of scavenger receptor CD36. Flow cytometry analysis showed that puerarin reduced the number of early apoptotic cells of macrophages induced by oxLDL. Our results show that puerarin has anti-inflammatory and antiatherogenic effects in vitro; the underlying mechanisms may involve the inhibition of TLR4/NF &lt;italic&gt;κ&lt;/italic&gt; B pathway and downregulation of CD36 expression. The results from the present study provide scientific evidence and may expand our armamentarium to use puerarin for prevention and treatment of cardiovascular and atherosclerotic diseases. &lt;/p&gt;&quot;,&quot;publisher&quot;:&quot;Hindawi&quot;,&quot;volume&quot;:&quot;2015&quot;},&quot;isTemporary&quot;:false},{&quot;id&quot;:&quot;1fb56041-303b-3908-9d29-f02af60d53df&quot;,&quot;itemData&quot;:{&quot;type&quot;:&quot;article-journal&quot;,&quot;id&quot;:&quot;1fb56041-303b-3908-9d29-f02af60d53df&quot;,&quot;title&quot;:&quot;Lycopene prevention of oxysterol-induced proinflammatory cytokine cascade in human macrophages: inhibition of NF-κB nuclear binding and increase in PPARγ expression&quot;,&quot;author&quot;:[{&quot;family&quot;:&quot;Palozza&quot;,&quot;given&quot;:&quot;Paola&quot;,&quot;parse-names&quot;:false,&quot;dropping-particle&quot;:&quot;&quot;,&quot;non-dropping-particle&quot;:&quot;&quot;},{&quot;family&quot;:&quot;Simone&quot;,&quot;given&quot;:&quot;Rossella&quot;,&quot;parse-names&quot;:false,&quot;dropping-particle&quot;:&quot;&quot;,&quot;non-dropping-particle&quot;:&quot;&quot;},{&quot;family&quot;:&quot;Catalano&quot;,&quot;given&quot;:&quot;Assunta&quot;,&quot;parse-names&quot;:false,&quot;dropping-particle&quot;:&quot;&quot;,&quot;non-dropping-particle&quot;:&quot;&quot;},{&quot;family&quot;:&quot;Monego&quot;,&quot;given&quot;:&quot;Giovanni&quot;,&quot;parse-names&quot;:false,&quot;dropping-particle&quot;:&quot;&quot;,&quot;non-dropping-particle&quot;:&quot;&quot;},{&quot;family&quot;:&quot;Barini&quot;,&quot;given&quot;:&quot;Angela&quot;,&quot;parse-names&quot;:false,&quot;dropping-particle&quot;:&quot;&quot;,&quot;non-dropping-particle&quot;:&quot;&quot;},{&quot;family&quot;:&quot;Mele&quot;,&quot;given&quot;:&quot;Maria Cristina&quot;,&quot;parse-names&quot;:false,&quot;dropping-particle&quot;:&quot;&quot;,&quot;non-dropping-particle&quot;:&quot;&quot;},{&quot;family&quot;:&quot;Parrone&quot;,&quot;given&quot;:&quot;Nadia&quot;,&quot;parse-names&quot;:false,&quot;dropping-particle&quot;:&quot;&quot;,&quot;non-dropping-particle&quot;:&quot;&quot;},{&quot;family&quot;:&quot;Trombino&quot;,&quot;given&quot;:&quot;Sonia&quot;,&quot;parse-names&quot;:false,&quot;dropping-particle&quot;:&quot;&quot;,&quot;non-dropping-particle&quot;:&quot;&quot;},{&quot;family&quot;:&quot;Picci&quot;,&quot;given&quot;:&quot;Nevio&quot;,&quot;parse-names&quot;:false,&quot;dropping-particle&quot;:&quot;&quot;,&quot;non-dropping-particle&quot;:&quot;&quot;},{&quot;family&quot;:&quot;Ranelletti&quot;,&quot;given&quot;:&quot;Franco O.&quot;,&quot;parse-names&quot;:false,&quot;dropping-particle&quot;:&quot;&quot;,&quot;non-dropping-particle&quot;:&quot;&quot;}],&quot;container-title&quot;:&quot;The Journal of Nutritional Biochemistry&quot;,&quot;accessed&quot;:{&quot;date-parts&quot;:[[2018,4,5]]},&quot;DOI&quot;:&quot;10.1016/J.JNUTBIO.2010.02.003&quot;,&quot;ISSN&quot;:&quot;0955-2863&quot;,&quot;URL&quot;:&quot;https://www.sciencedirect.com/science/article/pii/S0955286310000616&quot;,&quot;issued&quot;:{&quot;date-parts&quot;:[[2011,3,1]]},&quot;page&quot;:&quot;259-268&quot;,&quot;abstract&quot;:&quot;It is now well accepted that oxysterols play important roles in the formation of atherosclerotic plaque, involving cytotoxic, pro-oxidant and proinflammatory processes. It has been recently suggested that tomato lycopene may act as a preventive agent in atherosclerosis, although the exact mechanism of such a protection is not clarified. The main aim of this study was to investigate whether lycopene is able to counteract oxysterol-induced proinflammatory cytokines cascade in human macrophages, limiting the formation of atherosclerotic plaque. Therefore, THP-1 macrophages were exposed to two different oxysterols, such as 7-keto-cholesterol (4-16 μM) and 25-hydroxycholesterol (2-4 μM), alone and in combination with lycopene (0.5–2 μM). Both oxysterols enhanced pro-inflammatory cytokine [interleukin (IL)-1β, IL-6, IL-8, tumor necrosis factor α) secretion and mRNA levels in a dose-dependent manner, although at different extent. These effects were associated with an increased reactive oxygen species (ROS) production through an enhanced expression of NAD(P)H oxidase. Moreover, a net increment of phosphorylation of extracellular regulated kinase 1/2, p-38 and Jun N-terminal kinase and of nuclear factor kB (NF-κB) nuclear binding was observed. Lycopene prevented oxysterol-induced increase in pro-inflammatory cytokine secretion and expression. Such an effect was accompanied by an inhibition of oxysterol-induced ROS production, mitogen-activated protein kinase phosphorylation and NF-κB activation. The inhibition of oxysterol-induced cytokine stimulation was also mimicked by the specific NF-κB inhibitor pyrrolidine dithiocarbamate. Moreover, the carotenoid increased peroxisome proliferator-activated receptor γ levels in THP-1 macrophages. Taken all together, these data bring new information on the anti-atherogenic properties of lycopene, and on its mechanisms of action in atherosclerosis prevention.&quot;,&quot;publisher&quot;:&quot;Elsevier&quot;,&quot;issue&quot;:&quot;3&quot;,&quot;volume&quot;:&quot;22&quot;},&quot;isTemporary&quot;:false}],&quot;properties&quot;:{&quot;noteIndex&quot;:0},&quot;isEdited&quot;:false,&quot;manualOverride&quot;:{&quot;isManuallyOverriden&quot;:false,&quot;citeprocText&quot;:&quot;(Palozza &lt;i&gt;et al.&lt;/i&gt;, 2011; Zhang &lt;i&gt;et al.&lt;/i&gt;, 2015)&quot;,&quot;manualOverrideText&quot;:&quot;&quot;},&quot;citationTag&quot;:&quot;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&quot;},{&quot;citationID&quot;:&quot;MENDELEY_CITATION_bda7bb86-2f87-4653-a065-a7764f018675&quot;,&quot;citationItems&quot;:[{&quot;id&quot;:&quot;478546b2-3762-3d73-ad49-2ab882f04979&quot;,&quot;itemData&quot;:{&quot;type&quot;:&quot;article-journal&quot;,&quot;id&quot;:&quot;478546b2-3762-3d73-ad49-2ab882f04979&quot;,&quot;title&quot;:&quot;Tissue-resident macrophages self-maintain locally throughout adult life with minimal contribution from circulating monocytes&quot;,&quot;author&quot;:[{&quot;family&quot;:&quot;Hashimoto&quot;,&quot;given&quot;:&quot;Daigo&quot;,&quot;parse-names&quot;:false,&quot;dropping-particle&quot;:&quot;&quot;,&quot;non-dropping-particle&quot;:&quot;&quot;},{&quot;family&quot;:&quot;Chow&quot;,&quot;given&quot;:&quot;Andrew&quot;,&quot;parse-names&quot;:false,&quot;dropping-particle&quot;:&quot;&quot;,&quot;non-dropping-particle&quot;:&quot;&quot;},{&quot;family&quot;:&quot;Noizat&quot;,&quot;given&quot;:&quot;Clara&quot;,&quot;parse-names&quot;:false,&quot;dropping-particle&quot;:&quot;&quot;,&quot;non-dropping-particle&quot;:&quot;&quot;},{&quot;family&quot;:&quot;Teo&quot;,&quot;given&quot;:&quot;Pearline&quot;,&quot;parse-names&quot;:false,&quot;dropping-particle&quot;:&quot;&quot;,&quot;non-dropping-particle&quot;:&quot;&quot;},{&quot;family&quot;:&quot;Beasley&quot;,&quot;given&quot;:&quot;Mary Beth&quot;,&quot;parse-names&quot;:false,&quot;dropping-particle&quot;:&quot;&quot;,&quot;non-dropping-particle&quot;:&quot;&quot;},{&quot;family&quot;:&quot;Leboeuf&quot;,&quot;given&quot;:&quot;Marylene&quot;,&quot;parse-names&quot;:false,&quot;dropping-particle&quot;:&quot;&quot;,&quot;non-dropping-particle&quot;:&quot;&quot;},{&quot;family&quot;:&quot;Becker&quot;,&quot;given&quot;:&quot;Christian D.&quot;,&quot;parse-names&quot;:false,&quot;dropping-particle&quot;:&quot;&quot;,&quot;non-dropping-particle&quot;:&quot;&quot;},{&quot;family&quot;:&quot;See&quot;,&quot;given&quot;:&quot;Peter&quot;,&quot;parse-names&quot;:false,&quot;dropping-particle&quot;:&quot;&quot;,&quot;non-dropping-particle&quot;:&quot;&quot;},{&quot;family&quot;:&quot;Price&quot;,&quot;given&quot;:&quot;Jeremy&quot;,&quot;parse-names&quot;:false,&quot;dropping-particle&quot;:&quot;&quot;,&quot;non-dropping-particle&quot;:&quot;&quot;},{&quot;family&quot;:&quot;Lucas&quot;,&quot;given&quot;:&quot;Daniel&quot;,&quot;parse-names&quot;:false,&quot;dropping-particle&quot;:&quot;&quot;,&quot;non-dropping-particle&quot;:&quot;&quot;},{&quot;family&quot;:&quot;Greter&quot;,&quot;given&quot;:&quot;Melanie&quot;,&quot;parse-names&quot;:false,&quot;dropping-particle&quot;:&quot;&quot;,&quot;non-dropping-particle&quot;:&quot;&quot;},{&quot;family&quot;:&quot;Mortha&quot;,&quot;given&quot;:&quot;Arthur&quot;,&quot;parse-names&quot;:false,&quot;dropping-particle&quot;:&quot;&quot;,&quot;non-dropping-particle&quot;:&quot;&quot;},{&quot;family&quot;:&quot;Boyer&quot;,&quot;given&quot;:&quot;Scott W.&quot;,&quot;parse-names&quot;:false,&quot;dropping-particle&quot;:&quot;&quot;,&quot;non-dropping-particle&quot;:&quot;&quot;},{&quot;family&quot;:&quot;Forsberg&quot;,&quot;given&quot;:&quot;E. Camilla&quot;,&quot;parse-names&quot;:false,&quot;dropping-particle&quot;:&quot;&quot;,&quot;non-dropping-particle&quot;:&quot;&quot;},{&quot;family&quot;:&quot;Tanaka&quot;,&quot;given&quot;:&quot;Masato&quot;,&quot;parse-names&quot;:false,&quot;dropping-particle&quot;:&quot;&quot;,&quot;non-dropping-particle&quot;:&quot;&quot;},{&quot;family&quot;:&quot;Rooijen&quot;,&quot;given&quot;:&quot;Nico&quot;,&quot;parse-names&quot;:false,&quot;dropping-particle&quot;:&quot;&quot;,&quot;non-dropping-particle&quot;:&quot;van&quot;},{&quot;family&quot;:&quot;García-Sastre&quot;,&quot;given&quot;:&quot;Adolfo&quot;,&quot;parse-names&quot;:false,&quot;dropping-particle&quot;:&quot;&quot;,&quot;non-dropping-particle&quot;:&quot;&quot;},{&quot;family&quot;:&quot;Stanley&quot;,&quot;given&quot;:&quot;E. Richard&quot;,&quot;parse-names&quot;:false,&quot;dropping-particle&quot;:&quot;&quot;,&quot;non-dropping-particle&quot;:&quot;&quot;},{&quot;family&quot;:&quot;Ginhoux&quot;,&quot;given&quot;:&quot;Florent&quot;,&quot;parse-names&quot;:false,&quot;dropping-particle&quot;:&quot;&quot;,&quot;non-dropping-particle&quot;:&quot;&quot;},{&quot;family&quot;:&quot;Frenette&quot;,&quot;given&quot;:&quot;Paul S.&quot;,&quot;parse-names&quot;:false,&quot;dropping-particle&quot;:&quot;&quot;,&quot;non-dropping-particle&quot;:&quot;&quot;},{&quot;family&quot;:&quot;Merad&quot;,&quot;given&quot;:&quot;Miriam&quot;,&quot;parse-names&quot;:false,&quot;dropping-particle&quot;:&quot;&quot;,&quot;non-dropping-particle&quot;:&quot;&quot;}],&quot;container-title&quot;:&quot;Immunity&quot;,&quot;accessed&quot;:{&quot;date-parts&quot;:[[2021,2,1]]},&quot;DOI&quot;:&quot;10.1016/j.immuni.2013.04.004&quot;,&quot;ISSN&quot;:&quot;10747613&quot;,&quot;PMID&quot;:&quot;23601688&quot;,&quot;issued&quot;:{&quot;date-parts&quot;:[[2013,4,18]]},&quot;page&quot;:&quot;792-804&quot;,&quot;abstract&quot;:&quot;Despite accumulating evidence suggesting local self-maintenance of tissue macrophages in the steady state, the dogma remains that tissue macrophages derive from monocytes. Using parabiosis and fate-mapping approaches, we confirmed that monocytes do not show significant contribution to tissue macrophages in the steady state. Similarly, we found that after depletion of lung macrophages, the majority of repopulation occurred by stochastic cellular proliferation in situ in a macrophage colony-stimulating factor (M-Csf)- and granulocyte macrophage (GM)-CSF-dependent manner but independently of interleukin-4. We also found that after bone marrow transplantation, host macrophages retained the capacity to expand when the development of donor macrophages was compromised. Expansion of host macrophages was functional and prevented the development of alveolar proteinosis in mice transplanted with GM-Csf-receptor-deficient progenitors. Collectively, these results indicate that tissue-resident macrophages and circulating monocytes should be classified as mononuclear phagocyte lineages that are independently maintained in the steady state. © 2013 Elsevier Inc.&quot;,&quot;publisher&quot;:&quot;Cell Press&quot;,&quot;issue&quot;:&quot;4&quot;,&quot;volume&quot;:&quot;38&quot;},&quot;isTemporary&quot;:false}],&quot;properties&quot;:{&quot;noteIndex&quot;:0},&quot;isEdited&quot;:false,&quot;manualOverride&quot;:{&quot;isManuallyOverriden&quot;:false,&quot;citeprocText&quot;:&quot;(Hashimoto &lt;i&gt;et al.&lt;/i&gt;, 2013)&quot;,&quot;manualOverrideText&quot;:&quot;&quot;},&quot;citationTag&quot;:&quot;MENDELEY_CITATION_v3_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&quot;},{&quot;citationID&quot;:&quot;MENDELEY_CITATION_7de3d399-6b31-40d7-8a8c-c2643d57d355&quot;,&quot;citationItems&quot;:[{&quot;id&quot;:&quot;e5a9dd49-c6ed-35c2-b81a-61e18ee7ef89&quot;,&quot;itemData&quot;:{&quot;type&quot;:&quot;article-journal&quot;,&quot;id&quot;:&quot;e5a9dd49-c6ed-35c2-b81a-61e18ee7ef89&quot;,&quot;title&quot;:&quot;Toward a Refined Definition of Monocyte Subsets&quot;,&quot;author&quot;:[{&quot;family&quot;:&quot;Ziegler-Heitbrock&quot;,&quot;given&quot;:&quot;Loems&quot;,&quot;parse-names&quot;:false,&quot;dropping-particle&quot;:&quot;&quot;,&quot;non-dropping-particle&quot;:&quot;&quot;},{&quot;family&quot;:&quot;Hofer&quot;,&quot;given&quot;:&quot;Thomas P. J.&quot;,&quot;parse-names&quot;:false,&quot;dropping-particle&quot;:&quot;&quot;,&quot;non-dropping-particle&quot;:&quot;&quot;}],&quot;container-title&quot;:&quot;Frontiers in Immunology&quot;,&quot;accessed&quot;:{&quot;date-parts&quot;:[[2021,2,1]]},&quot;DOI&quot;:&quot;10.3389/fimmu.2013.00023&quot;,&quot;ISSN&quot;:&quot;1664-3224&quot;,&quot;URL&quot;:&quot;http://journal.frontiersin.org/article/10.3389/fimmu.2013.00023/abstract&quot;,&quot;issued&quot;:{&quot;date-parts&quot;:[[2013,2,4]]},&quot;page&quot;:&quot;23&quot;,&quot;abstract&quot;:&quot;In a nomenclature proposal published in 2010 monocytes were subdivided into classical and non-classical cells and in addition an intermediate monocyte subset was proposed. Over the last couple of years many studies have analyzed these intermediate cells, their characteristics have been described, and their expansion has been documented in many clinical settings. While these cells appear to be in transition from classical to non-classical monocytes and hence may not form a distinct cell population in a strict sense, their separate analysis and enumeration is warranted in health and disease. © 2013 Ziegler-Heitbrock and Hofer.&quot;,&quot;publisher&quot;:&quot;Frontiers&quot;,&quot;issue&quot;:&quot;FRB&quot;,&quot;volume&quot;:&quot;4&quot;},&quot;isTemporary&quot;:false}],&quot;properties&quot;:{&quot;noteIndex&quot;:0},&quot;isEdited&quot;:false,&quot;manualOverride&quot;:{&quot;isManuallyOverriden&quot;:false,&quot;citeprocText&quot;:&quot;(Ziegler-Heitbrock and Hofer, 2013)&quot;,&quot;manualOverrideText&quot;:&quot;&quot;},&quot;citationTag&quot;:&quot;MENDELEY_CITATION_v3_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&quot;},{&quot;citationID&quot;:&quot;MENDELEY_CITATION_1a57e871-9d36-44a8-a70b-b118a53a5d0b&quot;,&quot;citationItems&quot;:[{&quot;id&quot;:&quot;e5a9dd49-c6ed-35c2-b81a-61e18ee7ef89&quot;,&quot;itemData&quot;:{&quot;type&quot;:&quot;article-journal&quot;,&quot;id&quot;:&quot;e5a9dd49-c6ed-35c2-b81a-61e18ee7ef89&quot;,&quot;title&quot;:&quot;Toward a Refined Definition of Monocyte Subsets&quot;,&quot;author&quot;:[{&quot;family&quot;:&quot;Ziegler-Heitbrock&quot;,&quot;given&quot;:&quot;Loems&quot;,&quot;parse-names&quot;:false,&quot;dropping-particle&quot;:&quot;&quot;,&quot;non-dropping-particle&quot;:&quot;&quot;},{&quot;family&quot;:&quot;Hofer&quot;,&quot;given&quot;:&quot;Thomas P. J.&quot;,&quot;parse-names&quot;:false,&quot;dropping-particle&quot;:&quot;&quot;,&quot;non-dropping-particle&quot;:&quot;&quot;}],&quot;container-title&quot;:&quot;Frontiers in Immunology&quot;,&quot;accessed&quot;:{&quot;date-parts&quot;:[[2021,2,1]]},&quot;DOI&quot;:&quot;10.3389/fimmu.2013.00023&quot;,&quot;ISSN&quot;:&quot;1664-3224&quot;,&quot;URL&quot;:&quot;http://journal.frontiersin.org/article/10.3389/fimmu.2013.00023/abstract&quot;,&quot;issued&quot;:{&quot;date-parts&quot;:[[2013,2,4]]},&quot;page&quot;:&quot;23&quot;,&quot;abstract&quot;:&quot;In a nomenclature proposal published in 2010 monocytes were subdivided into classical and non-classical cells and in addition an intermediate monocyte subset was proposed. Over the last couple of years many studies have analyzed these intermediate cells, their characteristics have been described, and their expansion has been documented in many clinical settings. While these cells appear to be in transition from classical to non-classical monocytes and hence may not form a distinct cell population in a strict sense, their separate analysis and enumeration is warranted in health and disease. © 2013 Ziegler-Heitbrock and Hofer.&quot;,&quot;publisher&quot;:&quot;Frontiers&quot;,&quot;issue&quot;:&quot;FRB&quot;,&quot;volume&quot;:&quot;4&quot;},&quot;isTemporary&quot;:false}],&quot;properties&quot;:{&quot;noteIndex&quot;:0},&quot;isEdited&quot;:false,&quot;manualOverride&quot;:{&quot;isManuallyOverriden&quot;:false,&quot;citeprocText&quot;:&quot;(Ziegler-Heitbrock and Hofer, 2013)&quot;,&quot;manualOverrideText&quot;:&quot;&quot;},&quot;citationTag&quot;:&quot;MENDELEY_CITATION_v3_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&quot;},{&quot;citationID&quot;:&quot;MENDELEY_CITATION_cb44d6ec-9b65-4b87-9237-9a489190bf41&quot;,&quot;citationItems&quot;:[{&quot;id&quot;:&quot;efbe2f77-e796-3edf-956d-e6eb81ff9a19&quot;,&quot;itemData&quot;:{&quot;type&quot;:&quot;article-journal&quot;,&quot;id&quot;:&quot;efbe2f77-e796-3edf-956d-e6eb81ff9a19&quot;,&quot;title&quot;:&quot;Effects of IL-13 on phenotype, cytokine production, and cytotoxic function of human monocytes. Comparison with IL-4 and modulation by IFN-gamma or IL-10.&quot;,&quot;author&quot;:[{&quot;family&quot;:&quot;Waal Malefyt&quot;,&quot;given&quot;:&quot;R&quot;,&quot;parse-names&quot;:false,&quot;dropping-particle&quot;:&quot;&quot;,&quot;non-dropping-particle&quot;:&quot;de&quot;},{&quot;family&quot;:&quot;Figdor&quot;,&quot;given&quot;:&quot;C G&quot;,&quot;parse-names&quot;:false,&quot;dropping-particle&quot;:&quot;&quot;,&quot;non-dropping-particle&quot;:&quot;&quot;},{&quot;family&quot;:&quot;Huijbens&quot;,&quot;given&quot;:&quot;R&quot;,&quot;parse-names&quot;:false,&quot;dropping-particle&quot;:&quot;&quot;,&quot;non-dropping-particle&quot;:&quot;&quot;},{&quot;family&quot;:&quot;Mohan-Peterson&quot;,&quot;given&quot;:&quot;S&quot;,&quot;parse-names&quot;:false,&quot;dropping-particle&quot;:&quot;&quot;,&quot;non-dropping-particle&quot;:&quot;&quot;},{&quot;family&quot;:&quot;Bennett&quot;,&quot;given&quot;:&quot;B&quot;,&quot;parse-names&quot;:false,&quot;dropping-particle&quot;:&quot;&quot;,&quot;non-dropping-particle&quot;:&quot;&quot;},{&quot;family&quot;:&quot;Culpepper&quot;,&quot;given&quot;:&quot;J&quot;,&quot;parse-names&quot;:false,&quot;dropping-particle&quot;:&quot;&quot;,&quot;non-dropping-particle&quot;:&quot;&quot;},{&quot;family&quot;:&quot;Dang&quot;,&quot;given&quot;:&quot;W&quot;,&quot;parse-names&quot;:false,&quot;dropping-particle&quot;:&quot;&quot;,&quot;non-dropping-particle&quot;:&quot;&quot;},{&quot;family&quot;:&quot;Zurawski&quot;,&quot;given&quot;:&quot;G&quot;,&quot;parse-names&quot;:false,&quot;dropping-particle&quot;:&quot;&quot;,&quot;non-dropping-particle&quot;:&quot;&quot;},{&quot;family&quot;:&quot;Vries&quot;,&quot;given&quot;:&quot;J E&quot;,&quot;parse-names&quot;:false,&quot;dropping-particle&quot;:&quot;&quot;,&quot;non-dropping-particle&quot;:&quot;de&quot;}],&quot;container-title&quot;:&quot;The Journal of Immunology&quot;,&quot;accessed&quot;:{&quot;date-parts&quot;:[[2021,2,1]]},&quot;issued&quot;:{&quot;date-parts&quot;:[[1993]]},&quot;issue&quot;:&quot;11&quot;,&quot;volume&quot;:&quot;151&quot;},&quot;isTemporary&quot;:false},{&quot;id&quot;:&quot;c718788e-866f-3d5b-b92a-c3c1b7669328&quot;,&quot;itemData&quot;:{&quot;type&quot;:&quot;article&quot;,&quot;id&quot;:&quot;c718788e-866f-3d5b-b92a-c3c1b7669328&quot;,&quot;title&quot;:&quot;Macrophage polarization: Different gene signatures in M1(Lps+) vs. Classically and M2(LPS-) vs. Alternatively activated macrophages&quot;,&quot;author&quot;:[{&quot;family&quot;:&quot;Orecchioni&quot;,&quot;given&quot;:&quot;Marco&quot;,&quot;parse-names&quot;:false,&quot;dropping-particle&quot;:&quot;&quot;,&quot;non-dropping-particle&quot;:&quot;&quot;},{&quot;family&quot;:&quot;Ghosheh&quot;,&quot;given&quot;:&quot;Yanal&quot;,&quot;parse-names&quot;:false,&quot;dropping-particle&quot;:&quot;&quot;,&quot;non-dropping-particle&quot;:&quot;&quot;},{&quot;family&quot;:&quot;Pramod&quot;,&quot;given&quot;:&quot;Akula Bala&quot;,&quot;parse-names&quot;:false,&quot;dropping-particle&quot;:&quot;&quot;,&quot;non-dropping-particle&quot;:&quot;&quot;},{&quot;family&quot;:&quot;Ley&quot;,&quot;given&quot;:&quot;Klaus&quot;,&quot;parse-names&quot;:false,&quot;dropping-particle&quot;:&quot;&quot;,&quot;non-dropping-particle&quot;:&quot;&quot;}],&quot;container-title&quot;:&quot;Frontiers in Immunology&quot;,&quot;accessed&quot;:{&quot;date-parts&quot;:[[2021,2,1]]},&quot;DOI&quot;:&quot;10.3389/fimmu.2019.01084&quot;,&quot;ISSN&quot;:&quot;16643224&quot;,&quot;PMID&quot;:&quot;31178859&quot;,&quot;URL&quot;:&quot;http://bioinfogp.cnb.csic.es/tools/venny/index.html&quot;,&quot;issued&quot;:{&quot;date-parts&quot;:[[2019,5,24]]},&quot;page&quot;:&quot;1084&quot;,&quot;abstract&quot;:&quot;Macrophages are found in tissues, body cavities, and mucosal surfaces. Most tissue macrophages are seeded in the early embryo before definitive hematopoiesis is established. Others are derived from blood monocytes. The macrophage lineage diversification and plasticity are key aspects of their functionality. Macrophages can also be generated from monocytes in vitro and undergo classical (LPS+IFN-γ) or alternative (IL-4) activation. In vivo, macrophages with different polarization and different activation markers coexist in tissues. Certain mouse strains preferentially promote T-helper-1 (Th1) responses and others Th2 responses. Their macrophages preferentially induce iNOS or arginase and have been called M1 and M2, respectively. In many publications, M1 and classically activated and M2 and alternatively activated are used interchangeably. We tested whether this is justified by comparing the gene lists positively [M1(=LPS+)] or negatively [M2(=LPS-)] correlated with the ratio of IL-12 and arginase 1 in transcriptomes of LPS-treated peritoneal macrophages with in vitro classically (LPS, IFN-γ) vs. alternatively activated (IL-4) bone marrow derived macrophages, both from published datasets. Although there is some overlap between in vivo M1(=LPS+) and in vitro classically activated (LPS+IFN-γ) and in vivo M2(=LPS-) and in vitro alternatively activated macrophages, many more genes are regulated in opposite or unrelated ways. Thus, M1(=LPS+) macrophages are not equivalent to classically activated, and M2(=LPS-) macrophages are not equivalent to alternatively activated macrophages. This fundamental discrepancy explains why most surface markers identified on in vitro generated macrophages do not translate to the in vivo situation. Valid in vivo M1/M2 surface markers remain to be discovered.&quot;,&quot;publisher&quot;:&quot;Frontiers Media S.A.&quot;,&quot;issue&quot;:&quot;MAY&quot;,&quot;volume&quot;:&quot;10&quot;},&quot;isTemporary&quot;:false}],&quot;properties&quot;:{&quot;noteIndex&quot;:0},&quot;isEdited&quot;:false,&quot;manualOverride&quot;:{&quot;isManuallyOverriden&quot;:false,&quot;citeprocText&quot;:&quot;(de Waal Malefyt &lt;i&gt;et al.&lt;/i&gt;, 1993; Orecchioni &lt;i&gt;et al.&lt;/i&gt;, 2019)&quot;,&quot;manualOverrideText&quot;:&quot;&quot;},&quot;citationTag&quot;:&quot;MENDELEY_CITATION_v3_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&quot;},{&quot;citationID&quot;:&quot;MENDELEY_CITATION_95faa806-b921-488f-9306-b80a715e870a&quot;,&quot;citationItems&quot;:[{&quot;id&quot;:&quot;399ca9c4-9cba-39bc-a5c1-f9983051082d&quot;,&quot;itemData&quot;:{&quot;type&quot;:&quot;article&quot;,&quot;id&quot;:&quot;399ca9c4-9cba-39bc-a5c1-f9983051082d&quot;,&quot;title&quot;:&quot;Macrophage Activation and Polarization: Nomenclature and Experimental Guidelines&quot;,&quot;author&quot;:[{&quot;family&quot;:&quot;Murray&quot;,&quot;given&quot;:&quot;Peter J.&quot;,&quot;parse-names&quot;:false,&quot;dropping-particle&quot;:&quot;&quot;,&quot;non-dropping-particle&quot;:&quot;&quot;},{&quot;family&quot;:&quot;Allen&quot;,&quot;given&quot;:&quot;Judith E.&quot;,&quot;parse-names&quot;:false,&quot;dropping-particle&quot;:&quot;&quot;,&quot;non-dropping-particle&quot;:&quot;&quot;},{&quot;family&quot;:&quot;Biswas&quot;,&quot;given&quot;:&quot;Subhra K.&quot;,&quot;parse-names&quot;:false,&quot;dropping-particle&quot;:&quot;&quot;,&quot;non-dropping-particle&quot;:&quot;&quot;},{&quot;family&quot;:&quot;Fisher&quot;,&quot;given&quot;:&quot;Edward A.&quot;,&quot;parse-names&quot;:false,&quot;dropping-particle&quot;:&quot;&quot;,&quot;non-dropping-particle&quot;:&quot;&quot;},{&quot;family&quot;:&quot;Gilroy&quot;,&quot;given&quot;:&quot;Derek W.&quot;,&quot;parse-names&quot;:false,&quot;dropping-particle&quot;:&quot;&quot;,&quot;non-dropping-particle&quot;:&quot;&quot;},{&quot;family&quot;:&quot;Goerdt&quot;,&quot;given&quot;:&quot;Sergij&quot;,&quot;parse-names&quot;:false,&quot;dropping-particle&quot;:&quot;&quot;,&quot;non-dropping-particle&quot;:&quot;&quot;},{&quot;family&quot;:&quot;Gordon&quot;,&quot;given&quot;:&quot;Siamon&quot;,&quot;parse-names&quot;:false,&quot;dropping-particle&quot;:&quot;&quot;,&quot;non-dropping-particle&quot;:&quot;&quot;},{&quot;family&quot;:&quot;Hamilton&quot;,&quot;given&quot;:&quot;John A.&quot;,&quot;parse-names&quot;:false,&quot;dropping-particle&quot;:&quot;&quot;,&quot;non-dropping-particle&quot;:&quot;&quot;},{&quot;family&quot;:&quot;Ivashkiv&quot;,&quot;given&quot;:&quot;Lionel B.&quot;,&quot;parse-names&quot;:false,&quot;dropping-particle&quot;:&quot;&quot;,&quot;non-dropping-particle&quot;:&quot;&quot;},{&quot;family&quot;:&quot;Lawrence&quot;,&quot;given&quot;:&quot;Toby&quot;,&quot;parse-names&quot;:false,&quot;dropping-particle&quot;:&quot;&quot;,&quot;non-dropping-particle&quot;:&quot;&quot;},{&quot;family&quot;:&quot;Locati&quot;,&quot;given&quot;:&quot;Massimo&quot;,&quot;parse-names&quot;:false,&quot;dropping-particle&quot;:&quot;&quot;,&quot;non-dropping-particle&quot;:&quot;&quot;},{&quot;family&quot;:&quot;Mantovani&quot;,&quot;given&quot;:&quot;Alberto&quot;,&quot;parse-names&quot;:false,&quot;dropping-particle&quot;:&quot;&quot;,&quot;non-dropping-particle&quot;:&quot;&quot;},{&quot;family&quot;:&quot;Martinez&quot;,&quot;given&quot;:&quot;Fernando O.&quot;,&quot;parse-names&quot;:false,&quot;dropping-particle&quot;:&quot;&quot;,&quot;non-dropping-particle&quot;:&quot;&quot;},{&quot;family&quot;:&quot;Mege&quot;,&quot;given&quot;:&quot;Jean Louis&quot;,&quot;parse-names&quot;:false,&quot;dropping-particle&quot;:&quot;&quot;,&quot;non-dropping-particle&quot;:&quot;&quot;},{&quot;family&quot;:&quot;Mosser&quot;,&quot;given&quot;:&quot;David M.&quot;,&quot;parse-names&quot;:false,&quot;dropping-particle&quot;:&quot;&quot;,&quot;non-dropping-particle&quot;:&quot;&quot;},{&quot;family&quot;:&quot;Natoli&quot;,&quot;given&quot;:&quot;Gioacchino&quot;,&quot;parse-names&quot;:false,&quot;dropping-particle&quot;:&quot;&quot;,&quot;non-dropping-particle&quot;:&quot;&quot;},{&quot;family&quot;:&quot;Saeij&quot;,&quot;given&quot;:&quot;Jeroen P.&quot;,&quot;parse-names&quot;:false,&quot;dropping-particle&quot;:&quot;&quot;,&quot;non-dropping-particle&quot;:&quot;&quot;},{&quot;family&quot;:&quot;Schultze&quot;,&quot;given&quot;:&quot;Joachim L.&quot;,&quot;parse-names&quot;:false,&quot;dropping-particle&quot;:&quot;&quot;,&quot;non-dropping-particle&quot;:&quot;&quot;},{&quot;family&quot;:&quot;Shirey&quot;,&quot;given&quot;:&quot;Kari Ann&quot;,&quot;parse-names&quot;:false,&quot;dropping-particle&quot;:&quot;&quot;,&quot;non-dropping-particle&quot;:&quot;&quot;},{&quot;family&quot;:&quot;Sica&quot;,&quot;given&quot;:&quot;Antonio&quot;,&quot;parse-names&quot;:false,&quot;dropping-particle&quot;:&quot;&quot;,&quot;non-dropping-particle&quot;:&quot;&quot;},{&quot;family&quot;:&quot;Suttles&quot;,&quot;given&quot;:&quot;Jill&quot;,&quot;parse-names&quot;:false,&quot;dropping-particle&quot;:&quot;&quot;,&quot;non-dropping-particle&quot;:&quot;&quot;},{&quot;family&quot;:&quot;Udalova&quot;,&quot;given&quot;:&quot;Irina&quot;,&quot;parse-names&quot;:false,&quot;dropping-particle&quot;:&quot;&quot;,&quot;non-dropping-particle&quot;:&quot;&quot;},{&quot;family&quot;:&quot;vanGinderachter&quot;,&quot;given&quot;:&quot;Jo A.&quot;,&quot;parse-names&quot;:false,&quot;dropping-particle&quot;:&quot;&quot;,&quot;non-dropping-particle&quot;:&quot;&quot;},{&quot;family&quot;:&quot;Vogel&quot;,&quot;given&quot;:&quot;Stefanie N.&quot;,&quot;parse-names&quot;:false,&quot;dropping-particle&quot;:&quot;&quot;,&quot;non-dropping-particle&quot;:&quot;&quot;},{&quot;family&quot;:&quot;Wynn&quot;,&quot;given&quot;:&quot;Thomas A.&quot;,&quot;parse-names&quot;:false,&quot;dropping-particle&quot;:&quot;&quot;,&quot;non-dropping-particle&quot;:&quot;&quot;}],&quot;container-title&quot;:&quot;Immunity&quot;,&quot;accessed&quot;:{&quot;date-parts&quot;:[[2021,2,1]]},&quot;DOI&quot;:&quot;10.1016/j.immuni.2014.06.008&quot;,&quot;ISSN&quot;:&quot;10974180&quot;,&quot;PMID&quot;:&quot;25035950&quot;,&quot;issued&quot;:{&quot;date-parts&quot;:[[2014,7,17]]},&quot;page&quot;:&quot;14-20&quot;,&quot;abstract&quot;:&quot;Description of macrophage activation is currently contentious and confusing. Like the biblical Tower of Babel, macrophage activation encompasses a panoply of descriptors used in different ways. The lack of consensus on how to define macrophage activation in experiments invitro and invivo impedes progress in multiple ways, including the fact that many researchers still consider there to be only two types of activated macrophages, often termed M1 and M2. Here, we describe a set of standards encompassing three principles-the source of macrophages, definition of the activators, and a consensus collection of markers to describe macrophage activation-with the goal of unifying experimental standards for diverse experimental scenarios. Collectively, we propose a common framework for macrophage-activation nomenclature. The description of macrophage activation status is contentious and confusing. Murray etal. propose a framework for macrophage-activation nomenclature. © 2014 Elsevier Inc.&quot;,&quot;publisher&quot;:&quot;Cell Press&quot;,&quot;issue&quot;:&quot;1&quot;,&quot;volume&quot;:&quot;41&quot;},&quot;isTemporary&quot;:false}],&quot;properties&quot;:{&quot;noteIndex&quot;:0},&quot;isEdited&quot;:false,&quot;manualOverride&quot;:{&quot;isManuallyOverriden&quot;:false,&quot;citeprocText&quot;:&quot;(Murray &lt;i&gt;et al.&lt;/i&gt;, 2014)&quot;,&quot;manualOverrideText&quot;:&quot;&quot;},&quot;citationTag&quot;:&quot;MENDELEY_CITATION_v3_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&quot;},{&quot;citationID&quot;:&quot;MENDELEY_CITATION_ed1e1c2a-d929-4713-8d15-8d5e9d54ac44&quot;,&quot;citationItems&quot;:[{&quot;id&quot;:&quot;b872837c-9e00-3a51-892a-1418ab2ac37d&quot;,&quot;itemData&quot;:{&quot;type&quot;:&quot;article-journal&quot;,&quot;id&quot;:&quot;b872837c-9e00-3a51-892a-1418ab2ac37d&quot;,&quot;title&quot;:&quot;Smoking-induced monocyte dysfunction is reversed by vitamin C supplementation in vivo&quot;,&quot;author&quot;:[{&quot;family&quot;:&quot;Stadler&quot;,&quot;given&quot;:&quot;Nadina&quot;,&quot;parse-names&quot;:false,&quot;dropping-particle&quot;:&quot;&quot;,&quot;non-dropping-particle&quot;:&quot;&quot;},{&quot;family&quot;:&quot;Eggermann&quot;,&quot;given&quot;:&quot;Juliane&quot;,&quot;parse-names&quot;:false,&quot;dropping-particle&quot;:&quot;&quot;,&quot;non-dropping-particle&quot;:&quot;&quot;},{&quot;family&quot;:&quot;Vöö&quot;,&quot;given&quot;:&quot;Stefan&quot;,&quot;parse-names&quot;:false,&quot;dropping-particle&quot;:&quot;&quot;,&quot;non-dropping-particle&quot;:&quot;&quot;},{&quot;family&quot;:&quot;Kranz&quot;,&quot;given&quot;:&quot;Andrea&quot;,&quot;parse-names&quot;:false,&quot;dropping-particle&quot;:&quot;&quot;,&quot;non-dropping-particle&quot;:&quot;&quot;},{&quot;family&quot;:&quot;Waltenberger&quot;,&quot;given&quot;:&quot;Johannes&quot;,&quot;parse-names&quot;:false,&quot;dropping-particle&quot;:&quot;&quot;,&quot;non-dropping-particle&quot;:&quot;&quot;}],&quot;container-title&quot;:&quot;Arteriosclerosis, Thrombosis, and Vascular Biology&quot;,&quot;accessed&quot;:{&quot;date-parts&quot;:[[2021,2,1]]},&quot;DOI&quot;:&quot;10.1161/01.ATV.0000250614.97896.4c&quot;,&quot;ISSN&quot;:&quot;10795642&quot;,&quot;PMID&quot;:&quot;17053168&quot;,&quot;URL&quot;:&quot;https://www.ahajournals.org/doi/10.1161/01.ATV.0000250614.97896.4c&quot;,&quot;issued&quot;:{&quot;date-parts&quot;:[[2007,1,1]]},&quot;page&quot;:&quot;120-126&quot;,&quot;abstract&quot;:&quot;OBJECTIVE - The role of antioxidants in preventing vascular disease remains controversial. Vascular endothelial growth factor (VEGF-A) is important for endothelial and monocyte function. This study investigated the negative effects of smoking on monocyte migratory responsiveness to VEGF-A and the usefulness of vitamin C to prevent smoking-induced monocyte dysfunction. METHODS AND RESULTS - The chemotactic response of isolated monocytes from a cohort of 17 non-smokers and 10 smokers toward VEGF-A was assessed. VEGF-A significantly stimulated the migration of monocytes in non-smokers; the monocytes from smokers failed to respond to VEGF-A. Repeated analysis after 2 weeks of vitamin C intake (2g/d) showed a fully restored VEGF-A-induced monocyte migration in smokers. VEGF-A serum levels were not altered by vitamin C. VEGF-A-inducible kinase activity was intact in monocytes from smokers as assessed by in vitro kinase assay. Monocyte dysfunction can be mimicked in vitro by challenging monocytes with a range of reactive oxygen species (ROS). CONCLUSIONS - Stimulation of monocyte migration by VEGF-A was severely attenuated in smokers, and the deficit observed was surmounted by vitamin C supplementation. The negative effects of smoking on monocyte function may translate into adverse impacts on VEGF-A-dependent repair processes such as arteriogenesis. These results propose a causative role of oxidative stress in smoking-induced monocyte dysfunction. © 2007 American Heart Association, Inc.&quot;,&quot;publisher&quot;:&quot;Lippincott Williams &amp; Wilkins&quot;,&quot;issue&quot;:&quot;1&quot;,&quot;volume&quot;:&quot;27&quot;},&quot;isTemporary&quot;:false}],&quot;properties&quot;:{&quot;noteIndex&quot;:0},&quot;isEdited&quot;:false,&quot;manualOverride&quot;:{&quot;isManuallyOverriden&quot;:false,&quot;citeprocText&quot;:&quot;(Stadler &lt;i&gt;et al.&lt;/i&gt;, 2007)&quot;,&quot;manualOverrideText&quot;:&quot;Stadler et al., 2007&quot;,&quot;isManuallyOverridden&quot;:true},&quot;citationTag&quot;:&quot;MENDELEY_CITATION_v3_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&quot;},{&quot;citationID&quot;:&quot;MENDELEY_CITATION_e1337b75-dcb9-47a3-80e4-4238441f8e28&quot;,&quot;citationItems&quot;:[{&quot;id&quot;:&quot;14fbfcaa-8235-3e5b-b084-b3d775e6a0b6&quot;,&quot;itemData&quot;:{&quot;type&quot;:&quot;article-journal&quot;,&quot;id&quot;:&quot;14fbfcaa-8235-3e5b-b084-b3d775e6a0b6&quot;,&quot;title&quot;:&quot;Defective angiogenesis delays thrombus resolution: A potential pathogenetic mechanism underlying chronic thromboembolic pulmonary hypertension&quot;,&quot;author&quot;:[{&quot;family&quot;:&quot;Alias&quot;,&quot;given&quot;:&quot;Sherin&quot;,&quot;parse-names&quot;:false,&quot;dropping-particle&quot;:&quot;&quot;,&quot;non-dropping-particle&quot;:&quot;&quot;},{&quot;family&quot;:&quot;Redwan&quot;,&quot;given&quot;:&quot;Bassam&quot;,&quot;parse-names&quot;:false,&quot;dropping-particle&quot;:&quot;&quot;,&quot;non-dropping-particle&quot;:&quot;&quot;},{&quot;family&quot;:&quot;Panzenböck&quot;,&quot;given&quot;:&quot;Adelheid&quot;,&quot;parse-names&quot;:false,&quot;dropping-particle&quot;:&quot;&quot;,&quot;non-dropping-particle&quot;:&quot;&quot;},{&quot;family&quot;:&quot;Winter&quot;,&quot;given&quot;:&quot;Max P.&quot;,&quot;parse-names&quot;:false,&quot;dropping-particle&quot;:&quot;&quot;,&quot;non-dropping-particle&quot;:&quot;&quot;},{&quot;family&quot;:&quot;Schubert&quot;,&quot;given&quot;:&quot;Uwe&quot;,&quot;parse-names&quot;:false,&quot;dropping-particle&quot;:&quot;&quot;,&quot;non-dropping-particle&quot;:&quot;&quot;},{&quot;family&quot;:&quot;Voswinckel&quot;,&quot;given&quot;:&quot;Robert&quot;,&quot;parse-names&quot;:false,&quot;dropping-particle&quot;:&quot;&quot;,&quot;non-dropping-particle&quot;:&quot;&quot;},{&quot;family&quot;:&quot;Frey&quot;,&quot;given&quot;:&quot;Maria K.&quot;,&quot;parse-names&quot;:false,&quot;dropping-particle&quot;:&quot;&quot;,&quot;non-dropping-particle&quot;:&quot;&quot;},{&quot;family&quot;:&quot;Jakowitsch&quot;,&quot;given&quot;:&quot;Johannes&quot;,&quot;parse-names&quot;:false,&quot;dropping-particle&quot;:&quot;&quot;,&quot;non-dropping-particle&quot;:&quot;&quot;},{&quot;family&quot;:&quot;Alimohammadi&quot;,&quot;given&quot;:&quot;Arman&quot;,&quot;parse-names&quot;:false,&quot;dropping-particle&quot;:&quot;&quot;,&quot;non-dropping-particle&quot;:&quot;&quot;},{&quot;family&quot;:&quot;Hobohm&quot;,&quot;given&quot;:&quot;Lukas&quot;,&quot;parse-names&quot;:false,&quot;dropping-particle&quot;:&quot;&quot;,&quot;non-dropping-particle&quot;:&quot;&quot;},{&quot;family&quot;:&quot;Mangold&quot;,&quot;given&quot;:&quot;Andreas&quot;,&quot;parse-names&quot;:false,&quot;dropping-particle&quot;:&quot;&quot;,&quot;non-dropping-particle&quot;:&quot;&quot;},{&quot;family&quot;:&quot;Bergmeister&quot;,&quot;given&quot;:&quot;Helga&quot;,&quot;parse-names&quot;:false,&quot;dropping-particle&quot;:&quot;&quot;,&quot;non-dropping-particle&quot;:&quot;&quot;},{&quot;family&quot;:&quot;Sibilia&quot;,&quot;given&quot;:&quot;Maria&quot;,&quot;parse-names&quot;:false,&quot;dropping-particle&quot;:&quot;&quot;,&quot;non-dropping-particle&quot;:&quot;&quot;},{&quot;family&quot;:&quot;Wagner&quot;,&quot;given&quot;:&quot;Erwin F.&quot;,&quot;parse-names&quot;:false,&quot;dropping-particle&quot;:&quot;&quot;,&quot;non-dropping-particle&quot;:&quot;&quot;},{&quot;family&quot;:&quot;Mayer&quot;,&quot;given&quot;:&quot;Eckhard&quot;,&quot;parse-names&quot;:false,&quot;dropping-particle&quot;:&quot;&quot;,&quot;non-dropping-particle&quot;:&quot;&quot;},{&quot;family&quot;:&quot;Klepetko&quot;,&quot;given&quot;:&quot;Walter&quot;,&quot;parse-names&quot;:false,&quot;dropping-particle&quot;:&quot;&quot;,&quot;non-dropping-particle&quot;:&quot;&quot;},{&quot;family&quot;:&quot;Hölzenbein&quot;,&quot;given&quot;:&quot;Thomas J.&quot;,&quot;parse-names&quot;:false,&quot;dropping-particle&quot;:&quot;&quot;,&quot;non-dropping-particle&quot;:&quot;&quot;},{&quot;family&quot;:&quot;Preissner&quot;,&quot;given&quot;:&quot;Klaus T.&quot;,&quot;parse-names&quot;:false,&quot;dropping-particle&quot;:&quot;&quot;,&quot;non-dropping-particle&quot;:&quot;&quot;},{&quot;family&quot;:&quot;Lang&quot;,&quot;given&quot;:&quot;Irene M.&quot;,&quot;parse-names&quot;:false,&quot;dropping-particle&quot;:&quot;&quot;,&quot;non-dropping-particle&quot;:&quot;&quot;}],&quot;container-title&quot;:&quot;Arteriosclerosis, Thrombosis, and Vascular Biology&quot;,&quot;accessed&quot;:{&quot;date-parts&quot;:[[2021,2,1]]},&quot;DOI&quot;:&quot;10.1161/ATVBAHA.113.302991&quot;,&quot;ISSN&quot;:&quot;15244636&quot;,&quot;PMID&quot;:&quot;24526692&quot;,&quot;URL&quot;:&quot;https://www.ahajournals.org/doi/10.1161/ATVBAHA.113.302991&quot;,&quot;issued&quot;:{&quot;date-parts&quot;:[[2014,4]]},&quot;page&quot;:&quot;810-819&quot;,&quot;abstract&quot;:&quot;Objective-Restoration of patency is a natural target of vascular remodeling after venous thrombosis that involves vascular endothelial cells and smooth muscle cells, as well as leukocytes. Acute pulmonary emboli usually resolve &lt;6 months. However, in some instances, thrombi transform into fibrous vascular obstructions, resulting in occlusion of the deep veins, or in chronic thromboembolic pulmonary hypertension (CTEPH). We proposed that dysregulated thrombus angiogenesis may contribute to thrombus persistence. Approach and results-Mice with an endothelial cell-specific conditional deletion of vascular endothelial growth factor receptor 2/kinase insert domain protein receptor were used in a model of stagnant flow venous thrombosis closely resembling human deep vein thrombosis. Biochemical and functional analyses were performed on pulmonary endarterectomy specimens from patients with CTEPH, a human model of nonresolving venous thromboembolism. Endothelial cell-specific deletion of kinase insert domain protein receptor and subsequent ablation of thrombus vascularization delayed thrombus resolution. In accordance with these findings, organized human CTEPH thrombi were largely devoid of vascular structures. Several vessel-specific genes, such as kinase insert domain protein receptor, vascular endothelial cadherin, and podoplanin, were expressed at lower levels in white CTEPH thrombi than in organizing deep vein thrombi and organizing thrombi from aortic aneurysms. In addition, red CTEPH thrombi attenuated the angiogenic response induced by vascular endothelial growth factor. Conclusions-In the present work, we propose a mechanism of thrombus nonresolution demonstrating that endothelial cell-specific deletion of kinase insert domain protein receptor abates thrombus vessel formation, misguiding thrombus resolution. Medical conditions associated with the development of CTEPH may be compromising early thrombus angiogenesis. © 2014 American Heart Association, Inc.&quot;,&quot;publisher&quot;:&quot;Lippincott Williams and Wilkins&quot;,&quot;issue&quot;:&quot;4&quot;,&quot;volume&quot;:&quot;34&quot;},&quot;isTemporary&quot;:false}],&quot;properties&quot;:{&quot;noteIndex&quot;:0},&quot;isEdited&quot;:false,&quot;manualOverride&quot;:{&quot;isManuallyOverriden&quot;:false,&quot;citeprocText&quot;:&quot;(Alias &lt;i&gt;et al.&lt;/i&gt;, 2014)&quot;,&quot;manualOverrideText&quot;:&quot;&quot;},&quot;citationTag&quot;:&quot;MENDELEY_CITATION_v3_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&quot;},{&quot;citationID&quot;:&quot;MENDELEY_CITATION_355d9445-9a7c-48cd-a74e-18bfd9dc5ee2&quot;,&quot;citationItems&quot;:[{&quot;id&quot;:&quot;453e5224-7183-304a-a517-b34d1ce66f5b&quot;,&quot;itemData&quot;:{&quot;type&quot;:&quot;article-journal&quot;,&quot;id&quot;:&quot;453e5224-7183-304a-a517-b34d1ce66f5b&quot;,&quot;title&quot;:&quot;Suppressed monocyte recruitment drives macrophage removal from atherosclerotic plaques of Apoe-/- mice during disease regression&quot;,&quot;author&quot;:[{&quot;family&quot;:&quot;Potteaux&quot;,&quot;given&quot;:&quot;Stephane&quot;,&quot;parse-names&quot;:false,&quot;dropping-particle&quot;:&quot;&quot;,&quot;non-dropping-particle&quot;:&quot;&quot;},{&quot;family&quot;:&quot;Gautier&quot;,&quot;given&quot;:&quot;Emmanuel L.&quot;,&quot;parse-names&quot;:false,&quot;dropping-particle&quot;:&quot;&quot;,&quot;non-dropping-particle&quot;:&quot;&quot;},{&quot;family&quot;:&quot;Hutchison&quot;,&quot;given&quot;:&quot;Susan B.&quot;,&quot;parse-names&quot;:false,&quot;dropping-particle&quot;:&quot;&quot;,&quot;non-dropping-particle&quot;:&quot;&quot;},{&quot;family&quot;:&quot;Rooijen&quot;,&quot;given&quot;:&quot;Nico&quot;,&quot;parse-names&quot;:false,&quot;dropping-particle&quot;:&quot;&quot;,&quot;non-dropping-particle&quot;:&quot;van&quot;},{&quot;family&quot;:&quot;Rader&quot;,&quot;given&quot;:&quot;Daniel J.&quot;,&quot;parse-names&quot;:false,&quot;dropping-particle&quot;:&quot;&quot;,&quot;non-dropping-particle&quot;:&quot;&quot;},{&quot;family&quot;:&quot;Thomas&quot;,&quot;given&quot;:&quot;Michael J.&quot;,&quot;parse-names&quot;:false,&quot;dropping-particle&quot;:&quot;&quot;,&quot;non-dropping-particle&quot;:&quot;&quot;},{&quot;family&quot;:&quot;Sorci-Thomas&quot;,&quot;given&quot;:&quot;Mary G.&quot;,&quot;parse-names&quot;:false,&quot;dropping-particle&quot;:&quot;&quot;,&quot;non-dropping-particle&quot;:&quot;&quot;},{&quot;family&quot;:&quot;Randolph&quot;,&quot;given&quot;:&quot;Gwendalyn J.&quot;,&quot;parse-names&quot;:false,&quot;dropping-particle&quot;:&quot;&quot;,&quot;non-dropping-particle&quot;:&quot;&quot;}],&quot;container-title&quot;:&quot;Journal of Clinical Investigation&quot;,&quot;accessed&quot;:{&quot;date-parts&quot;:[[2021,2,1]]},&quot;DOI&quot;:&quot;10.1172/JCI43802&quot;,&quot;ISSN&quot;:&quot;00219738&quot;,&quot;PMID&quot;:&quot;21505265&quot;,&quot;URL&quot;:&quot;http://www.jci.org&quot;,&quot;issued&quot;:{&quot;date-parts&quot;:[[2011,5,2]]},&quot;page&quot;:&quot;2025-2036&quot;,&quot;abstract&quot;:&quot;Experimental models of atherosclerosis suggest that recruitment of monocytes into plaques drives the progression of this chronic inflammatory condition. Cholesterol-lowering therapy leads to plaque stabilization or regression in human atherosclerosis, characterized by reduced macrophage content, but the mechanisms that underlie this reduction are incompletely understood. Mice lacking the gene Apoe (Apoe-/- mice) have high levels of cholesterol and spontaneously develop atherosclerotic lesions. Here, we treated Apoe-/- mice with apoE-encoding adenoviral vectors that induce plaque regression, and investigated whether macrophage removal from plaques during this regression resulted from quantitative alterations in the ability of monocytes to either enter or exit plaques. Within 2 days after apoE complementation, plasma cholesterol was normalized to wild-type levels, and HDL levels were increased 4-fold. Oil red O staining and quantitative mass spectroscopy revealed that esterified cholesterol content was markedly reduced. Plaque macrophage content decreased gradually and was 72% lower than baseline 4 weeks after apoE complementation. Importantly, this reduction in macrophages did not involve migratory egress from plaques or CCR7, a mediator of leukocyte emigration. Instead, marked suppression of monocyte recruitment coupled with a stable rate of apoptosis accounted for loss of plaque macrophages. These data suggest that therapies to inhibit monocyte recruitment to plaques may constitute a more viable strategy to reduce plaque macrophage burden than attempts to promote migratory egress. Copyright © 2011, The American Society for Clinical Investigation.&quot;,&quot;publisher&quot;:&quot;American Society for Clinical Investigation&quot;,&quot;issue&quot;:&quot;5&quot;,&quot;volume&quot;:&quot;121&quot;},&quot;isTemporary&quot;:false}],&quot;properties&quot;:{&quot;noteIndex&quot;:0},&quot;isEdited&quot;:false,&quot;manualOverride&quot;:{&quot;isManuallyOverriden&quot;:false,&quot;citeprocText&quot;:&quot;(Potteaux &lt;i&gt;et al.&lt;/i&gt;, 2011)&quot;,&quot;manualOverrideText&quot;:&quot;(Potteaux et al., 2011&quot;,&quot;isManuallyOverridden&quot;:true},&quot;citationTag&quot;:&quot;MENDELEY_CITATION_v3_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&quot;},{&quot;citationID&quot;:&quot;MENDELEY_CITATION_17517804-9eb8-4b0c-b190-86abf60e4a18&quot;,&quot;citationItems&quot;:[{&quot;id&quot;:&quot;cd00d500-1c0b-3822-8f3a-9e35840a73f2&quot;,&quot;itemData&quot;:{&quot;type&quot;:&quot;article-journal&quot;,&quot;id&quot;:&quot;cd00d500-1c0b-3822-8f3a-9e35840a73f2&quot;,&quot;title&quot;:&quot;The phenotype of infiltrating macrophages influences arteriosclerotic plaque vulnerability in the carotid artery.&quot;,&quot;author&quot;:[{&quot;family&quot;:&quot;Cho&quot;,&quot;given&quot;:&quot;Kyu Yong&quot;,&quot;parse-names&quot;:false,&quot;dropping-particle&quot;:&quot;&quot;,&quot;non-dropping-particle&quot;:&quot;&quot;},{&quot;family&quot;:&quot;Miyoshi&quot;,&quot;given&quot;:&quot;Hideaki&quot;,&quot;parse-names&quot;:false,&quot;dropping-particle&quot;:&quot;&quot;,&quot;non-dropping-particle&quot;:&quot;&quot;},{&quot;family&quot;:&quot;Kuroda&quot;,&quot;given&quot;:&quot;Satoshi&quot;,&quot;parse-names&quot;:false,&quot;dropping-particle&quot;:&quot;&quot;,&quot;non-dropping-particle&quot;:&quot;&quot;},{&quot;family&quot;:&quot;Yasuda&quot;,&quot;given&quot;:&quot;Hiroshi&quot;,&quot;parse-names&quot;:false,&quot;dropping-particle&quot;:&quot;&quot;,&quot;non-dropping-particle&quot;:&quot;&quot;},{&quot;family&quot;:&quot;Kamiyama&quot;,&quot;given&quot;:&quot;Kenji&quot;,&quot;parse-names&quot;:false,&quot;dropping-particle&quot;:&quot;&quot;,&quot;non-dropping-particle&quot;:&quot;&quot;},{&quot;family&quot;:&quot;Nakagawara&quot;,&quot;given&quot;:&quot;Joji&quot;,&quot;parse-names&quot;:false,&quot;dropping-particle&quot;:&quot;&quot;,&quot;non-dropping-particle&quot;:&quot;&quot;},{&quot;family&quot;:&quot;Takigami&quot;,&quot;given&quot;:&quot;Masayoshi&quot;,&quot;parse-names&quot;:false,&quot;dropping-particle&quot;:&quot;&quot;,&quot;non-dropping-particle&quot;:&quot;&quot;},{&quot;family&quot;:&quot;Kondo&quot;,&quot;given&quot;:&quot;Takuma&quot;,&quot;parse-names&quot;:false,&quot;dropping-particle&quot;:&quot;&quot;,&quot;non-dropping-particle&quot;:&quot;&quot;},{&quot;family&quot;:&quot;Atsumi&quot;,&quot;given&quot;:&quot;Tatsuya&quot;,&quot;parse-names&quot;:false,&quot;dropping-particle&quot;:&quot;&quot;,&quot;non-dropping-particle&quot;:&quot;&quot;}],&quot;container-title&quot;:&quot;Journal of stroke and cerebrovascular diseases : the official journal of National Stroke Association&quot;,&quot;accessed&quot;:{&quot;date-parts&quot;:[[2019,3,30]]},&quot;DOI&quot;:&quot;10.1016/j.jstrokecerebrovasdis.2012.11.020&quot;,&quot;ISSN&quot;:&quot;1532-8511&quot;,&quot;PMID&quot;:&quot;23273713&quot;,&quot;URL&quot;:&quot;https://linkinghub.elsevier.com/retrieve/pii/S105230571200403X&quot;,&quot;issued&quot;:{&quot;date-parts&quot;:[[2013,10]]},&quot;page&quot;:&quot;910-8&quot;,&quot;abstract&quot;:&quot;BACKGROUND Proinflammatory (M1) macrophages and anti-inflammatory (M2) macrophages have been identified in atherosclerotic plaques. While these macrophages have been speculated to be related to plaque vulnerability, there are limited studies investigating this relationship. Therefore, we examined the association between macrophage phenotype (M1 versus M2) and plaque vulnerability and clinical events. METHODS Patients undergoing carotid endarterectomy received an ultrasound of the carotid artery before surgery. Plaques were processed for analysis by immunohistochemistry, Western blotting, and real-time polymerase chain reaction studies. Medical history and clinical data were obtained from medical records. RESULTS Patients were divided into 2 groups: those suffering from acute ischemic attack (symptomatic, n = 31) and those that did not present with symptoms (asymptomatic, n = 34). Ultrasound analysis revealed that plaque vulnerability was greater in the symptomatic group (P= .033; Chi-square test). Immunohistochemistry revealed that plaques from the symptomatic group had a greater concentration of M1 macrophages (CD68-, CD11c-positive) while plaques from the asymptomatic group had more M2 macrophages (CD163-positive). This observation was confirmed by Western blotting. Characterization by real-time polymerase chain reaction studies revealed that plaques from the symptomatic group had increased expression of the M1 markers CD68 and CD11c, as well as monocyte chemoattractive protein-1, interleukin-6, and matrix metalloproteinase-9. In addition, more M1 macrophages expressed in unstable plaques were defined by ultrasound analysis, while more M2 macrophages were expressed in stable plaques. CONCLUSIONS Our data show that M1 macrophage content of atherosclerotic plaques is associated with clinical incidence of ischemic stroke and increased inflammation or fibrinolysis. We also show the benefits of using ultrasound to evaluate vulnerability in the plaques.&quot;,&quot;issue&quot;:&quot;7&quot;,&quot;volume&quot;:&quot;22&quot;},&quot;isTemporary&quot;:false}],&quot;properties&quot;:{&quot;noteIndex&quot;:0},&quot;isEdited&quot;:false,&quot;manualOverride&quot;:{&quot;isManuallyOverriden&quot;:false,&quot;citeprocText&quot;:&quot;(Cho &lt;i&gt;et al.&lt;/i&gt;, 2013)&quot;,&quot;manualOverrideText&quot;:&quot;&quot;},&quot;citationTag&quot;:&quot;MENDELEY_CITATION_v3_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&quot;},{&quot;citationID&quot;:&quot;MENDELEY_CITATION_0666b64e-bd4f-48a2-b173-55eadd927b22&quot;,&quot;citationItems&quot;:[{&quot;id&quot;:&quot;401f5458-69a4-38f2-95cf-76dd4b2b3ef4&quot;,&quot;itemData&quot;:{&quot;type&quot;:&quot;article-journal&quot;,&quot;id&quot;:&quot;401f5458-69a4-38f2-95cf-76dd4b2b3ef4&quot;,&quot;title&quot;:&quot;Lysosomal oxidation of LDL alters lysosomal pH, induces senescence, and increases secretion of pro-inflammatory cytokines in human macrophages&quot;,&quot;author&quot;:[{&quot;family&quot;:&quot;Ahmad&quot;,&quot;given&quot;:&quot;Feroz&quot;,&quot;parse-names&quot;:false,&quot;dropping-particle&quot;:&quot;&quot;,&quot;non-dropping-particle&quot;:&quot;&quot;},{&quot;family&quot;:&quot;Leake&quot;,&quot;given&quot;:&quot;David S.&quot;,&quot;parse-names&quot;:false,&quot;dropping-particle&quot;:&quot;&quot;,&quot;non-dropping-particle&quot;:&quot;&quot;}],&quot;container-title&quot;:&quot;Journal of Lipid Research&quot;,&quot;accessed&quot;:{&quot;date-parts&quot;:[[2019,3,31]]},&quot;DOI&quot;:&quot;10.1194/jlr.M088245&quot;,&quot;ISSN&quot;:&quot;0022-2275&quot;,&quot;PMID&quot;:&quot;30397186&quot;,&quot;URL&quot;:&quot;http://www.ncbi.nlm.nih.gov/pubmed/30397186&quot;,&quot;issued&quot;:{&quot;date-parts&quot;:[[2019,1]]},&quot;page&quot;:&quot;98-110&quot;,&quot;abstract&quot;:&quot;We have shown that aggregated LDL is internalized by macrophages and oxidized in lysosomes by redox-active iron. We have now investigated to determine whether the lysosomal oxidation of LDL impairs lysosomal function and whether a lysosomotropic antioxidant can prevent these alterations. LDL aggregated by SMase (SMase-LDL) caused increased lysosomal lipid peroxidation in human monocyte-derived macrophages or THP-1 macrophage-like cells, as shown by a fluorescent probe, Foam-LPO. The pH of the lysosomes was increased considerably by lysosomal LDL oxidation as shown by LysoSensor Yellow/Blue and LysoTracker Red. SMase-LDL induced senescence-like properties in the cells as shown by β-galactosidase staining and levels of p53 and p21. Inflammation plays a key role in atherosclerosis. SMase-LDL treatment increased the lipopolysaccharide-induced secretion of TNF-α, IL-6, and MCP-1. The lysosomotropic antioxidant, cysteamine, inhibited all of the above changes. Targeting lysosomes with antioxidants, such as cysteamine, to prevent the intralysosomal oxidation of LDL might be a novel therapy for atherosclerosis.&quot;,&quot;issue&quot;:&quot;1&quot;,&quot;volume&quot;:&quot;60&quot;},&quot;isTemporary&quot;:false}],&quot;properties&quot;:{&quot;noteIndex&quot;:0},&quot;isEdited&quot;:false,&quot;manualOverride&quot;:{&quot;isManuallyOverriden&quot;:false,&quot;citeprocText&quot;:&quot;(Ahmad and Leake, 2019)&quot;,&quot;manualOverrideText&quot;:&quot;&quot;},&quot;citationTag&quot;:&quot;MENDELEY_CITATION_v3_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&quot;},{&quot;citationID&quot;:&quot;MENDELEY_CITATION_abf34d23-fe91-46c3-b7da-3ccdc34f92ff&quot;,&quot;citationItems&quot;:[{&quot;id&quot;:&quot;253e5f5e-a429-3a28-ab1a-85b4acddd2ea&quot;,&quot;itemData&quot;:{&quot;type&quot;:&quot;article-journal&quot;,&quot;id&quot;:&quot;253e5f5e-a429-3a28-ab1a-85b4acddd2ea&quot;,&quot;title&quot;:&quot;Toll like receptor 4 in atherosclerosis and plaque destabilization&quot;,&quot;author&quot;:[{&quot;family&quot;:&quot;Dekker&quot;,&quot;given&quot;:&quot;Wijnand K.&quot;,&quot;parse-names&quot;:false,&quot;dropping-particle&quot;:&quot;&quot;,&quot;non-dropping-particle&quot;:&quot;den&quot;},{&quot;family&quot;:&quot;Cheng&quot;,&quot;given&quot;:&quot;Caroline&quot;,&quot;parse-names&quot;:false,&quot;dropping-particle&quot;:&quot;&quot;,&quot;non-dropping-particle&quot;:&quot;&quot;},{&quot;family&quot;:&quot;Pasterkamp&quot;,&quot;given&quot;:&quot;Gerard&quot;,&quot;parse-names&quot;:false,&quot;dropping-particle&quot;:&quot;&quot;,&quot;non-dropping-particle&quot;:&quot;&quot;},{&quot;family&quot;:&quot;Duckers&quot;,&quot;given&quot;:&quot;Hencricus J.&quot;,&quot;parse-names&quot;:false,&quot;dropping-particle&quot;:&quot;&quot;,&quot;non-dropping-particle&quot;:&quot;&quot;}],&quot;container-title&quot;:&quot;Atherosclerosis&quot;,&quot;accessed&quot;:{&quot;date-parts&quot;:[[2019,3,31]]},&quot;DOI&quot;:&quot;10.1016/j.atherosclerosis.2009.09.075&quot;,&quot;ISSN&quot;:&quot;00219150&quot;,&quot;PMID&quot;:&quot;19900676&quot;,&quot;URL&quot;:&quot;http://www.ncbi.nlm.nih.gov/pubmed/19900676&quot;,&quot;issued&quot;:{&quot;date-parts&quot;:[[2010,4]]},&quot;page&quot;:&quot;314-320&quot;,&quot;abstract&quot;:&quot;The immune system plays a pivotal role in initiation and progression of atherosclerosis. Monocytes and T-lymphocytes are the first cells to enter the damaged endothelium. Differentiation of monocytes into macrophages and ingestion of lipids by these macrophages turning them into foam cells is a crucial step in the development of a fatty streak, the first sign of atherosclerosis. In recent years there has been accumulating evidence for the involvement of Toll like receptor 4, a pattern recognition receptor of the innate immune system, in the pathogenesis of atherosclerosis. Different cell types present in the atherosclerotic plaque express TLR4 and several pro-atherogenic ligands have been shown to activate TLR4. The innate immune system and the TLR signaling cascade may play an important role not only in the pathogenesis of atherosclerosis, but also in plaque destabilization. In this review, we discuss the role of TLR4 in the pathogenesis of atherosclerosis and vulnerable plaque development.&quot;,&quot;issue&quot;:&quot;2&quot;,&quot;volume&quot;:&quot;209&quot;},&quot;isTemporary&quot;:false},{&quot;id&quot;:&quot;b8649111-b26b-3911-8740-28c7ee587e32&quot;,&quot;itemData&quot;:{&quot;type&quot;:&quot;article-journal&quot;,&quot;id&quot;:&quot;b8649111-b26b-3911-8740-28c7ee587e32&quot;,&quot;title&quot;:&quot;In vivo evidence for a role of toll-like receptor 4 in the development of intimal lesions.&quot;,&quot;author&quot;:[{&quot;family&quot;:&quot;Vink&quot;,&quot;given&quot;:&quot;Aryan&quot;,&quot;parse-names&quot;:false,&quot;dropping-particle&quot;:&quot;&quot;,&quot;non-dropping-particle&quot;:&quot;&quot;},{&quot;family&quot;:&quot;Schoneveld&quot;,&quot;given&quot;:&quot;Arjan H&quot;,&quot;parse-names&quot;:false,&quot;dropping-particle&quot;:&quot;&quot;,&quot;non-dropping-particle&quot;:&quot;&quot;},{&quot;family&quot;:&quot;Meer&quot;,&quot;given&quot;:&quot;Jelger J&quot;,&quot;parse-names&quot;:false,&quot;dropping-particle&quot;:&quot;&quot;,&quot;non-dropping-particle&quot;:&quot;van der&quot;},{&quot;family&quot;:&quot;Middelaar&quot;,&quot;given&quot;:&quot;Ben J&quot;,&quot;parse-names&quot;:false,&quot;dropping-particle&quot;:&quot;&quot;,&quot;non-dropping-particle&quot;:&quot;van&quot;},{&quot;family&quot;:&quot;Sluijter&quot;,&quot;given&quot;:&quot;Joost P G&quot;,&quot;parse-names&quot;:false,&quot;dropping-particle&quot;:&quot;&quot;,&quot;non-dropping-particle&quot;:&quot;&quot;},{&quot;family&quot;:&quot;Smeets&quot;,&quot;given&quot;:&quot;Mirjam B&quot;,&quot;parse-names&quot;:false,&quot;dropping-particle&quot;:&quot;&quot;,&quot;non-dropping-particle&quot;:&quot;&quot;},{&quot;family&quot;:&quot;Quax&quot;,&quot;given&quot;:&quot;Paul H A&quot;,&quot;parse-names&quot;:false,&quot;dropping-particle&quot;:&quot;&quot;,&quot;non-dropping-particle&quot;:&quot;&quot;},{&quot;family&quot;:&quot;Lim&quot;,&quot;given&quot;:&quot;Sai Kiang&quot;,&quot;parse-names&quot;:false,&quot;dropping-particle&quot;:&quot;&quot;,&quot;non-dropping-particle&quot;:&quot;&quot;},{&quot;family&quot;:&quot;Borst&quot;,&quot;given&quot;:&quot;Cornelius&quot;,&quot;parse-names&quot;:false,&quot;dropping-particle&quot;:&quot;&quot;,&quot;non-dropping-particle&quot;:&quot;&quot;},{&quot;family&quot;:&quot;Pasterkamp&quot;,&quot;given&quot;:&quot;Gerard&quot;,&quot;parse-names&quot;:false,&quot;dropping-particle&quot;:&quot;&quot;,&quot;non-dropping-particle&quot;:&quot;&quot;},{&quot;family&quot;:&quot;Kleijn&quot;,&quot;given&quot;:&quot;Dominique P&quot;,&quot;parse-names&quot;:false,&quot;dropping-particle&quot;:&quot;v&quot;,&quot;non-dropping-particle&quot;:&quot;de&quot;}],&quot;container-title&quot;:&quot;Circulation&quot;,&quot;accessed&quot;:{&quot;date-parts&quot;:[[2018,4,5]]},&quot;ISSN&quot;:&quot;1524-4539&quot;,&quot;PMID&quot;:&quot;12370224&quot;,&quot;URL&quot;:&quot;http://www.ncbi.nlm.nih.gov/pubmed/12370224&quot;,&quot;issued&quot;:{&quot;date-parts&quot;:[[2002,10,8]]},&quot;page&quot;:&quot;1985-90&quot;,&quot;abstract&quot;:&quot;BACKGROUND Inflammation plays an important role in atherogenesis. The toll-like receptor 4 (TLR4) is the receptor for bacterial lipopolysaccharides and also recognizes cellular fibronectin and heat shock protein 60, endogenous peptides that are produced in response to tissue injury. To explore a possible role for this receptor in arterial obstructive disease, we determined the expression of TLR4 in the atherosclerotic arterial wall, including adventitia, and studied the effect of adventitial TLR4 activation on neointima formation in a mouse model. METHODS AND RESULTS Localization of TLR4 was studied in human atherosclerotic coronary arteries by immunohistochemistry and detected in plaque and adventitia. In the adventitia, not all TLR4-positive cells colocalized with macrophages. In primary human adventitial fibroblasts, expression of TLR4 was demonstrated by immunofluorescence, Western blot, and reverse transcriptase-polymerase chain reaction. Adding lipopolysaccharide to these fibroblasts induced activation of NF-kappaB and an increase of mRNAs of various cytokines. The effect of adventitial stimulation of TLR4 was studied in a mouse model. A peri-adventitial cuff was placed around the femoral artery. Application of lipopolysaccharide between cuff and artery augmented neointima formation induced by the cuff (intimal area+/-SEM, 9134+/-1714 versus 2353+/-1076 microm(2), P&lt;0.01). In TLR4-defective mice, application of cuff and lipopolysaccharide resulted in a smaller neointima than in wild-type mice (intimal area, 3859+/-904 microm(2), P=0.02 versus wild type). CONCLUSIONS A functional TLR4 is expressed in human adventitial fibroblasts and macrophages. Adventitial TLR4 activation augmented neointima formation in a mouse model. These results provide evidence for a link between the immune receptor TLR4 and intimal lesion formation.&quot;,&quot;issue&quot;:&quot;15&quot;,&quot;volume&quot;:&quot;106&quot;},&quot;isTemporary&quot;:false}],&quot;properties&quot;:{&quot;noteIndex&quot;:0},&quot;isEdited&quot;:false,&quot;manualOverride&quot;:{&quot;isManuallyOverriden&quot;:false,&quot;citeprocText&quot;:&quot;(Vink &lt;i&gt;et al.&lt;/i&gt;, 2002; den Dekker &lt;i&gt;et al.&lt;/i&gt;, 2010)&quot;,&quot;manualOverrideText&quot;:&quot;Vink et al., 2002; den Dekker et al., 2010&quot;,&quot;isManuallyOverridden&quot;:true},&quot;citationTag&quot;:&quot;MENDELEY_CITATION_v3_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&quot;},{&quot;citationID&quot;:&quot;MENDELEY_CITATION_827716f7-c63c-459e-a740-84fb951ee748&quot;,&quot;citationItems&quot;:[{&quot;id&quot;:&quot;89283a8f-c1ba-3f2f-9a48-8fa136fe7ba0&quot;,&quot;itemData&quot;:{&quot;type&quot;:&quot;article-journal&quot;,&quot;id&quot;:&quot;89283a8f-c1ba-3f2f-9a48-8fa136fe7ba0&quot;,&quot;title&quot;:&quot;The immune response in atherosclerosis: a double-edged sword&quot;,&quot;author&quot;:[{&quot;family&quot;:&quot;Hansson&quot;,&quot;given&quot;:&quot;Göran K.&quot;,&quot;parse-names&quot;:false,&quot;dropping-particle&quot;:&quot;&quot;,&quot;non-dropping-particle&quot;:&quot;&quot;},{&quot;family&quot;:&quot;Libby&quot;,&quot;given&quot;:&quot;Peter&quot;,&quot;parse-names&quot;:false,&quot;dropping-particle&quot;:&quot;&quot;,&quot;non-dropping-particle&quot;:&quot;&quot;}],&quot;container-title&quot;:&quot;Nature Reviews Immunology&quot;,&quot;accessed&quot;:{&quot;date-parts&quot;:[[2019,3,31]]},&quot;DOI&quot;:&quot;10.1038/nri1882&quot;,&quot;ISSN&quot;:&quot;1474-1733&quot;,&quot;URL&quot;:&quot;http://www.nature.com/articles/nri1882&quot;,&quot;issued&quot;:{&quot;date-parts&quot;:[[2006,7,16]]},&quot;page&quot;:&quot;508-519&quot;,&quot;abstract&quot;:&quot;Recent advances in our understanding of the mechanisms of atherosclerosis, which is an inflammatory disease that involves the formation of plaques in the arteries, indicate that the immune response can both promote and reduce disease.&quot;,&quot;publisher&quot;:&quot;Nature Publishing Group&quot;,&quot;issue&quot;:&quot;7&quot;,&quot;volume&quot;:&quot;6&quot;},&quot;isTemporary&quot;:false}],&quot;properties&quot;:{&quot;noteIndex&quot;:0},&quot;isEdited&quot;:false,&quot;manualOverride&quot;:{&quot;isManuallyOverriden&quot;:false,&quot;citeprocText&quot;:&quot;(Hansson and Libby, 2006)&quot;,&quot;manualOverrideText&quot;:&quot;&quot;},&quot;citationTag&quot;:&quot;MENDELEY_CITATION_v3_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&quot;},{&quot;citationID&quot;:&quot;MENDELEY_CITATION_85a3d32b-fd65-479a-ba07-f721ae7f8a83&quot;,&quot;citationItems&quot;:[{&quot;id&quot;:&quot;970535ba-97d2-3964-a0a2-b0e9d01578c5&quot;,&quot;itemData&quot;:{&quot;type&quot;:&quot;article-journal&quot;,&quot;id&quot;:&quot;970535ba-97d2-3964-a0a2-b0e9d01578c5&quot;,&quot;title&quot;:&quot;Transcription profiles of LPS-stimulated THP-1 monocytes and macrophages: A tool to study inflammation modulating effects of food-derived compounds&quot;,&quot;author&quot;:[{&quot;family&quot;:&quot;Chanput&quot;,&quot;given&quot;:&quot;Wasaporn&quot;,&quot;parse-names&quot;:false,&quot;dropping-particle&quot;:&quot;&quot;,&quot;non-dropping-particle&quot;:&quot;&quot;},{&quot;family&quot;:&quot;Mes&quot;,&quot;given&quot;:&quot;Jurriaan&quot;,&quot;parse-names&quot;:false,&quot;dropping-particle&quot;:&quot;&quot;,&quot;non-dropping-particle&quot;:&quot;&quot;},{&quot;family&quot;:&quot;Vreeburg&quot;,&quot;given&quot;:&quot;Robert A.M.&quot;,&quot;parse-names&quot;:false,&quot;dropping-particle&quot;:&quot;&quot;,&quot;non-dropping-particle&quot;:&quot;&quot;},{&quot;family&quot;:&quot;Savelkoul&quot;,&quot;given&quot;:&quot;Huub F.J.&quot;,&quot;parse-names&quot;:false,&quot;dropping-particle&quot;:&quot;&quot;,&quot;non-dropping-particle&quot;:&quot;&quot;},{&quot;family&quot;:&quot;Wichers&quot;,&quot;given&quot;:&quot;Harry J.&quot;,&quot;parse-names&quot;:false,&quot;dropping-particle&quot;:&quot;&quot;,&quot;non-dropping-particle&quot;:&quot;&quot;}],&quot;container-title&quot;:&quot;Food and Function&quot;,&quot;accessed&quot;:{&quot;date-parts&quot;:[[2021,2,1]]},&quot;DOI&quot;:&quot;10.1039/c0fo00113a&quot;,&quot;ISSN&quot;:&quot;20426496&quot;,&quot;PMID&quot;:&quot;21776474&quot;,&quot;URL&quot;:&quot;https://pubs.rsc.org/en/content/articlehtml/2010/fo/c0fo00113a&quot;,&quot;issued&quot;:{&quot;date-parts&quot;:[[2010,12,30]]},&quot;page&quot;:&quot;254-261&quot;,&quot;abstract&quot;:&quot;An assay was developed to study inflammation-related immune responses of food compounds on monocytes and macrophages derived from THP-1 cell line. First strategy focused on the effects after stimulation with either lipopolysaccharide (LPS) or Concanavalin A (ConA). Gene expression kinetics of inflammation-related cytokines (IL-1β, IL-6, IL-8, IL-10 and TNF-α), inflammation-related enzymes (iNOS and COX-2), and transcription factors (NF-κB, AP-1 and SP-1) were analyzed using RT-PCR. Time dependent cytokine secretion was investigated to study the inflammation-related responses at protein level. LPS stimulation induced inflammation-related cytokine, COX-2 and NF-κB genes of THP-1 monocytes and THP-1 macrophages with the maximum up-regulation at 3 and 6 h, respectively. These time points, were subsequently selected to investigate inflammation modulating activity of three well known immuno-modulating food-derived compounds; quercetin, citrus pectin and barley glucan. Co-stimulation of LPS with either quercetin, citrus pectin, or barley glucan in THP-1 monocytes and macrophages showed different immuno-modulatory activity of these compounds. Therefore, we propose that simultaneously exposing THP-1 cells to LPS and food compounds, combined with gene expression response analysis are a promising in vitro screening tool to select, in a limited time frame, food compounds for inflammation modulating effects. © The Royal Society of Chemistry.&quot;,&quot;publisher&quot;:&quot;Royal Society of Chemistry&quot;,&quot;issue&quot;:&quot;3&quot;,&quot;volume&quot;:&quot;1&quot;},&quot;isTemporary&quot;:false}],&quot;properties&quot;:{&quot;noteIndex&quot;:0},&quot;isEdited&quot;:false,&quot;manualOverride&quot;:{&quot;isManuallyOverriden&quot;:false,&quot;citeprocText&quot;:&quot;(Chanput &lt;i&gt;et al.&lt;/i&gt;, 2010)&quot;,&quot;manualOverrideText&quot;:&quot;&quot;},&quot;citationTag&quot;:&quot;MENDELEY_CITATION_v3_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&quot;},{&quot;citationID&quot;:&quot;MENDELEY_CITATION_4c421ffd-628f-48c6-aec4-5bf9199d53e7&quot;,&quot;citationItems&quot;:[{&quot;id&quot;:&quot;8eb8ffb3-683a-3377-b4e7-c4bc01cc7423&quot;,&quot;itemData&quot;:{&quot;type&quot;:&quot;article-journal&quot;,&quot;id&quot;:&quot;8eb8ffb3-683a-3377-b4e7-c4bc01cc7423&quot;,&quot;title&quot;:&quot;Malarial pigment haemozoin, IFN-gamma, TNF-alpha, IL-1beta and LPS do not stimulate expression of inducible nitric oxide synthase and production of nitric oxide in immuno-purified human monocytes&quot;,&quot;author&quot;:[{&quot;family&quot;:&quot;Skorokhod&quot;,&quot;given&quot;:&quot;Oleksii A.&quot;,&quot;parse-names&quot;:false,&quot;dropping-particle&quot;:&quot;&quot;,&quot;non-dropping-particle&quot;:&quot;&quot;},{&quot;family&quot;:&quot;Schwarzer&quot;,&quot;given&quot;:&quot;Evelin&quot;,&quot;parse-names&quot;:false,&quot;dropping-particle&quot;:&quot;&quot;,&quot;non-dropping-particle&quot;:&quot;&quot;},{&quot;family&quot;:&quot;Ceretto&quot;,&quot;given&quot;:&quot;Monica&quot;,&quot;parse-names&quot;:false,&quot;dropping-particle&quot;:&quot;&quot;,&quot;non-dropping-particle&quot;:&quot;&quot;},{&quot;family&quot;:&quot;Arese&quot;,&quot;given&quot;:&quot;Paolo&quot;,&quot;parse-names&quot;:false,&quot;dropping-particle&quot;:&quot;&quot;,&quot;non-dropping-particle&quot;:&quot;&quot;}],&quot;container-title&quot;:&quot;Malaria Journal&quot;,&quot;accessed&quot;:{&quot;date-parts&quot;:[[2021,2,1]]},&quot;DOI&quot;:&quot;10.1186/1475-2875-6-73&quot;,&quot;ISSN&quot;:&quot;14752875&quot;,&quot;PMID&quot;:&quot;17543124&quot;,&quot;URL&quot;:&quot;http://malariajournal.biomedcentral.com/articles/10.1186/1475-2875-6-73&quot;,&quot;issued&quot;:{&quot;date-parts&quot;:[[2007,6,2]]},&quot;page&quot;:&quot;73&quot;,&quot;abstract&quot;:&quot;Background. Enhanced production of nitric oxide (NO) following upmodulation of the inducible isoform of NO synthase (iNOS) by haemozoin (HZ), inflammatory cytokines and LPS may provide protection against Plasmodium falciparum malaria by killing hepatic and blood forms of parasites and inhibiting the cytoadherence of parasitized erythrocytes (RBC) to endothelial cells. Monocytes and macrophages are considered to contribute importantly to protective upregulation of iNOS and production of NO. Data obtained with murine phagocytes fed with human HZ and synthetic HZ (sHZ) indicate that supplemental treatment of those cells with IFN-gamma elicited significant increases in protein and mRNA expression of iNOS and NO production, providing a potential mechanism linking HZ phagocytosis and increased production of NO. Purpose of this study was to analyse the effect of P. falciparum HZ and sHZ supplemental to treatment with IFN-gamma and/or a stimulatory cytokine-LPS mix on iNOS protein and mRNA expression in immuno-purified human monocytes. Methods. Adherent immunopurified human monocytes (purity &gt;85%), and murine phagocytic cell lines RAW 264.7, N11 and ANA1 were fed or not with P. falciparum HZ or sHZ and treated or not with IFN-gamma or a stimulatory cytokine-LPS mix. Production of NO was quantified in supernatants, iNOS protein and mRNA expression were measured after immunoprecipitation and Western blotting and quantitative RT-PCT, respectively. Results. Phagocytosis of HZ/sHZ by human monocytes did not increase iNOS protein and mRNA expression and NO production either after stimulation by IFN-gamma or the cytokine-LPS mix. By contrast, in HZ/sHZ-laden murine macrophages, identical treatment with IFN-gamma and the cytokine-LPS mix elicited significant increases in protein and mRNA expression of iNOS and NOS metabolites production, in agreement with literature data. Conclusion. Results indicate that human monocytes fed or not with HZ/sHZ were constantly unable to express iNOS and generate NOS metabolites even after stimulation with IFN-gamma or a cytokine-LSP mix that were very active on HZ-fed murine phagocytic lines. Present data do not support the hypothesis that monocytes are mediators of anti-parasitic defence in clinical malaria via activation of iNOS and production of NO, and suggest caution in extrapolating data obtained with murine or hybrid systems to human malaria. © 2007 Skorokhod et al; licensee BioMed Central Ltd.&quot;,&quot;publisher&quot;:&quot;BioMed Central&quot;,&quot;issue&quot;:&quot;1&quot;,&quot;volume&quot;:&quot;6&quot;},&quot;isTemporary&quot;:false}],&quot;properties&quot;:{&quot;noteIndex&quot;:0},&quot;isEdited&quot;:false,&quot;manualOverride&quot;:{&quot;isManuallyOverriden&quot;:false,&quot;citeprocText&quot;:&quot;(Skorokhod &lt;i&gt;et al.&lt;/i&gt;, 2007)&quot;,&quot;manualOverrideText&quot;:&quot;&quot;},&quot;citationTag&quot;:&quot;MENDELEY_CITATION_v3_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&quot;},{&quot;citationID&quot;:&quot;MENDELEY_CITATION_30f80295-6dbf-4dcd-9966-cc65b35d8e03&quot;,&quot;citationItems&quot;:[{&quot;id&quot;:&quot;87b0e0a6-e48f-3784-b318-86c76aa93bae&quot;,&quot;itemData&quot;:{&quot;type&quot;:&quot;article-journal&quot;,&quot;id&quot;:&quot;87b0e0a6-e48f-3784-b318-86c76aa93bae&quot;,&quot;title&quot;:&quot;Differential induction of the toll-like receptor 4-MyD88-dependent and -independent signaling pathways by endotoxins.&quot;,&quot;author&quot;:[{&quot;family&quot;:&quot;Zughaier&quot;,&quot;given&quot;:&quot;Susu M&quot;,&quot;parse-names&quot;:false,&quot;dropping-particle&quot;:&quot;&quot;,&quot;non-dropping-particle&quot;:&quot;&quot;},{&quot;family&quot;:&quot;Zimmer&quot;,&quot;given&quot;:&quot;Shanta M&quot;,&quot;parse-names&quot;:false,&quot;dropping-particle&quot;:&quot;&quot;,&quot;non-dropping-particle&quot;:&quot;&quot;},{&quot;family&quot;:&quot;Datta&quot;,&quot;given&quot;:&quot;Anup&quot;,&quot;parse-names&quot;:false,&quot;dropping-particle&quot;:&quot;&quot;,&quot;non-dropping-particle&quot;:&quot;&quot;},{&quot;family&quot;:&quot;Carlson&quot;,&quot;given&quot;:&quot;Russell W&quot;,&quot;parse-names&quot;:false,&quot;dropping-particle&quot;:&quot;&quot;,&quot;non-dropping-particle&quot;:&quot;&quot;},{&quot;family&quot;:&quot;Stephens&quot;,&quot;given&quot;:&quot;David S&quot;,&quot;parse-names&quot;:false,&quot;dropping-particle&quot;:&quot;&quot;,&quot;non-dropping-particle&quot;:&quot;&quot;}],&quot;container-title&quot;:&quot;Infection and immunity&quot;,&quot;accessed&quot;:{&quot;date-parts&quot;:[[2019,3,30]]},&quot;DOI&quot;:&quot;10.1128/IAI.73.5.2940-2950.2005&quot;,&quot;ISSN&quot;:&quot;0019-9567&quot;,&quot;PMID&quot;:&quot;15845500&quot;,&quot;URL&quot;:&quot;http://iai.asm.org/cgi/doi/10.1128/IAI.73.5.2940-2950.2005&quot;,&quot;issued&quot;:{&quot;date-parts&quot;:[[2005,5,1]]},&quot;page&quot;:&quot;2940-50&quot;,&quot;abstract&quot;:&quot;The biological response to endotoxin mediated through the Toll-like receptor 4 (TLR4)-MD-2 receptor complex is directly related to lipid A structure or configuration. Endotoxin structure may also influence activation of the MyD88-dependent and -independent signaling pathways of TLR4. To address this possibility, human macrophage-like cell lines (THP-1, U937, and MM6) or murine macrophage RAW 264.7 cells were stimulated with picomolar concentrations of highly purified endotoxins. Harvested supernatants from previously stimulated cells were also used to stimulate RAW 264.7 or 23ScCr (TLR4-deficient) macrophages (i.e., indirect induction). Neisseria meningitidis lipooligosaccharide (LOS) was a potent direct inducer of the MyD88-dependent pathway molecules tumor necrosis factor alpha (TNF-alpha), interleukin-1beta (IL-1beta), monocyte chemoattractant protein 1 (MCP-1), macrophage inflammatory protein 3alpha (MIP-3alpha), and the MyD88-independent molecules beta interferon (IFN-beta), nitric oxide, and IFN-gamma-inducible protein 10 (IP-10). Escherichia coli 55:B5 and Vibrio cholerae lipopolysaccharides (LPSs) at the same pmole/ml lipid A concentrations induced comparable levels of TNF-alpha, IL-1beta, and MIP-3alpha, but significantly less IFN-beta, nitric oxide, and IP-10. In contrast, LPS from Salmonella enterica serovars Minnesota and Typhimurium induced amounts of IFN-beta, nitric oxide, and IP-10 similar to meningococcal LOS but much less TNF-alpha and MIP-3alpha in time course and dose-response experiments. No MyD88-dependent or -independent response to endotoxin was seen in TLR4-deficient cell lines (C3H/HeJ and 23ScCr) and response was restored in TLR4-MD-2-transfected human embryonic kidney 293 cells. Blocking the MyD88-dependent pathway by DNMyD88 resulted in significant reduction of TNF-alpha release but did not influence nitric oxide release. IFN-beta polyclonal antibody and IFN-alpha/beta receptor 1 antibody significantly reduced nitric oxide release. N. meningitidis endotoxin was a potent agonist of both the MyD88-dependent and -independent signaling pathways of the TLR4 receptor complex of human macrophages. E. coli 55:B5 and Vibrio cholerae LPS, at the same picomolar lipid A concentrations, selectively induced the MyD88-dependent pathway, while Salmonella LPS activated the MyD88-independent pathway.&quot;,&quot;issue&quot;:&quot;5&quot;,&quot;volume&quot;:&quot;73&quot;},&quot;isTemporary&quot;:false}],&quot;properties&quot;:{&quot;noteIndex&quot;:0},&quot;isEdited&quot;:false,&quot;manualOverride&quot;:{&quot;isManuallyOverriden&quot;:false,&quot;citeprocText&quot;:&quot;(Zughaier &lt;i&gt;et al.&lt;/i&gt;, 2005)&quot;,&quot;manualOverrideText&quot;:&quot;&quot;},&quot;citationTag&quot;:&quot;MENDELEY_CITATION_v3_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&quot;},{&quot;citationID&quot;:&quot;MENDELEY_CITATION_c1a0a443-a168-4f61-9a16-280e3a836fdc&quot;,&quot;citationItems&quot;:[{&quot;id&quot;:&quot;d7826562-71b9-34f0-82e4-a6a6eb31695a&quot;,&quot;itemData&quot;:{&quot;type&quot;:&quot;article-journal&quot;,&quot;id&quot;:&quot;d7826562-71b9-34f0-82e4-a6a6eb31695a&quot;,&quot;title&quot;:&quot;Impact of oxLDL and LPS on C-type Natriuretic Peptide System is Different between THP-1 Cells and Human Peripheral Blood Monocytic Cells&quot;,&quot;author&quot;:[{&quot;family&quot;:&quot;Bruckmeier&quot;,&quot;given&quot;:&quot;Martin&quot;,&quot;parse-names&quot;:false,&quot;dropping-particle&quot;:&quot;&quot;,&quot;non-dropping-particle&quot;:&quot;&quot;},{&quot;family&quot;:&quot;Kuehnl&quot;,&quot;given&quot;:&quot;Andreas&quot;,&quot;parse-names&quot;:false,&quot;dropping-particle&quot;:&quot;&quot;,&quot;non-dropping-particle&quot;:&quot;&quot;},{&quot;family&quot;:&quot;Culmes&quot;,&quot;given&quot;:&quot;Mihaela&quot;,&quot;parse-names&quot;:false,&quot;dropping-particle&quot;:&quot;&quot;,&quot;non-dropping-particle&quot;:&quot;&quot;},{&quot;family&quot;:&quot;Pelisek&quot;,&quot;given&quot;:&quot;Jaroslav&quot;,&quot;parse-names&quot;:false,&quot;dropping-particle&quot;:&quot;&quot;,&quot;non-dropping-particle&quot;:&quot;&quot;},{&quot;family&quot;:&quot;Eckstein&quot;,&quot;given&quot;:&quot;Hans-Henning&quot;,&quot;parse-names&quot;:false,&quot;dropping-particle&quot;:&quot;&quot;,&quot;non-dropping-particle&quot;:&quot;&quot;}],&quot;container-title&quot;:&quot;Cellular Physiology and Biochemistry&quot;,&quot;accessed&quot;:{&quot;date-parts&quot;:[[2021,2,1]]},&quot;DOI&quot;:&quot;10.1159/000339044&quot;,&quot;ISSN&quot;:&quot;1421-9778&quot;,&quot;URL&quot;:&quot;https://www.karger.com/Article/FullText/339044&quot;,&quot;issued&quot;:{&quot;date-parts&quot;:[[2012]]},&quot;page&quot;:&quot;199-209&quot;,&quot;abstract&quot;:&quot;Background: The C-type natriuretic peptide (CNP) has anti-inflammatory, anti-proliferative, and anti-migratory properties. The purpose of this study was to investigate the occurrence of CNP and its receptors (NPR2 and NPR3) in a human monocytic cell line (THP-1 cells) as well as in peripheral blood monocytic cells (PBMC). Impact of both, LPS and human oxLDL on expression pattern of CNP and its receptors shall be studied. Methods: Cells were cultured in standard medium with or without LPS or oxLDL. Expression levels of CNP, NPR2, NPR3, TNF-α, IL-1β, IL-6, CD14 and CD68 were measured at baseline, 24h, and 48h. Results: Baseline expression of all analysed genes was significantly higher in PBMC compared to THP-1 cells (all p&lt;0.05). Expression levels of CNP, IL-1β, IL-6, and CD14 were significantly increased in PBMC following stimulation with LPS. In contrast, in THP-1 cells stimulated by LPS, significant increase in expression was found only for IL-6 (p=0.007). In THP-1 cells, oxLDL increased the expression levels of NPR3, TNF-α, IL-1β, IL-6, CD14, and CD68 significantly. In contrast, expression level of NPR2 was diminished by oxLDL (p=0.007). In PBMC NPR3 was significantly down-regulated (p=0.002). Treatment with oxLDL for 48h increased NPR2/3-ratio significantly in PBMC (22.5 vs. 4.8, p=0.010). In contrast, in THP-1 cells, NPR2/3-ratio was lowered significantly by oxLDL (0.31 vs. 17.0, p=0.008). Conclusion: Treatment with LPS or oxLDL leads to diverging changes in gene expression PBMC and THP-1 cells. With respect to CNP and its receptors, data gained from THP-1 cells should be further validated using naive human peripheral blood monocytes. However, THP-1 cells can serve as a negative control for e.g. future signalling pathway studies related to oxLDL effect on CNP system in monocytes/macrophages. © 2012 S. Karger AG, Basel.&quot;,&quot;publisher&quot;:&quot;Cell Physiol Biochem Press&quot;,&quot;issue&quot;:&quot;1&quot;,&quot;volume&quot;:&quot;30&quot;},&quot;isTemporary&quot;:false}],&quot;properties&quot;:{&quot;noteIndex&quot;:0},&quot;isEdited&quot;:false,&quot;manualOverride&quot;:{&quot;isManuallyOverriden&quot;:false,&quot;citeprocText&quot;:&quot;(Bruckmeier &lt;i&gt;et al.&lt;/i&gt;, 2012)&quot;,&quot;manualOverrideText&quot;:&quot;&quot;},&quot;citationTag&quot;:&quot;MENDELEY_CITATION_v3_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&quot;},{&quot;citationID&quot;:&quot;MENDELEY_CITATION_1d70ab81-f697-4b24-9b07-b6dfcbae40a3&quot;,&quot;citationItems&quot;:[{&quot;id&quot;:&quot;d7826562-71b9-34f0-82e4-a6a6eb31695a&quot;,&quot;itemData&quot;:{&quot;type&quot;:&quot;article-journal&quot;,&quot;id&quot;:&quot;d7826562-71b9-34f0-82e4-a6a6eb31695a&quot;,&quot;title&quot;:&quot;Impact of oxLDL and LPS on C-type Natriuretic Peptide System is Different between THP-1 Cells and Human Peripheral Blood Monocytic Cells&quot;,&quot;author&quot;:[{&quot;family&quot;:&quot;Bruckmeier&quot;,&quot;given&quot;:&quot;Martin&quot;,&quot;parse-names&quot;:false,&quot;dropping-particle&quot;:&quot;&quot;,&quot;non-dropping-particle&quot;:&quot;&quot;},{&quot;family&quot;:&quot;Kuehnl&quot;,&quot;given&quot;:&quot;Andreas&quot;,&quot;parse-names&quot;:false,&quot;dropping-particle&quot;:&quot;&quot;,&quot;non-dropping-particle&quot;:&quot;&quot;},{&quot;family&quot;:&quot;Culmes&quot;,&quot;given&quot;:&quot;Mihaela&quot;,&quot;parse-names&quot;:false,&quot;dropping-particle&quot;:&quot;&quot;,&quot;non-dropping-particle&quot;:&quot;&quot;},{&quot;family&quot;:&quot;Pelisek&quot;,&quot;given&quot;:&quot;Jaroslav&quot;,&quot;parse-names&quot;:false,&quot;dropping-particle&quot;:&quot;&quot;,&quot;non-dropping-particle&quot;:&quot;&quot;},{&quot;family&quot;:&quot;Eckstein&quot;,&quot;given&quot;:&quot;Hans-Henning&quot;,&quot;parse-names&quot;:false,&quot;dropping-particle&quot;:&quot;&quot;,&quot;non-dropping-particle&quot;:&quot;&quot;}],&quot;container-title&quot;:&quot;Cellular Physiology and Biochemistry&quot;,&quot;accessed&quot;:{&quot;date-parts&quot;:[[2021,2,1]]},&quot;DOI&quot;:&quot;10.1159/000339044&quot;,&quot;ISSN&quot;:&quot;1421-9778&quot;,&quot;URL&quot;:&quot;https://www.karger.com/Article/FullText/339044&quot;,&quot;issued&quot;:{&quot;date-parts&quot;:[[2012]]},&quot;page&quot;:&quot;199-209&quot;,&quot;abstract&quot;:&quot;Background: The C-type natriuretic peptide (CNP) has anti-inflammatory, anti-proliferative, and anti-migratory properties. The purpose of this study was to investigate the occurrence of CNP and its receptors (NPR2 and NPR3) in a human monocytic cell line (THP-1 cells) as well as in peripheral blood monocytic cells (PBMC). Impact of both, LPS and human oxLDL on expression pattern of CNP and its receptors shall be studied. Methods: Cells were cultured in standard medium with or without LPS or oxLDL. Expression levels of CNP, NPR2, NPR3, TNF-α, IL-1β, IL-6, CD14 and CD68 were measured at baseline, 24h, and 48h. Results: Baseline expression of all analysed genes was significantly higher in PBMC compared to THP-1 cells (all p&lt;0.05). Expression levels of CNP, IL-1β, IL-6, and CD14 were significantly increased in PBMC following stimulation with LPS. In contrast, in THP-1 cells stimulated by LPS, significant increase in expression was found only for IL-6 (p=0.007). In THP-1 cells, oxLDL increased the expression levels of NPR3, TNF-α, IL-1β, IL-6, CD14, and CD68 significantly. In contrast, expression level of NPR2 was diminished by oxLDL (p=0.007). In PBMC NPR3 was significantly down-regulated (p=0.002). Treatment with oxLDL for 48h increased NPR2/3-ratio significantly in PBMC (22.5 vs. 4.8, p=0.010). In contrast, in THP-1 cells, NPR2/3-ratio was lowered significantly by oxLDL (0.31 vs. 17.0, p=0.008). Conclusion: Treatment with LPS or oxLDL leads to diverging changes in gene expression PBMC and THP-1 cells. With respect to CNP and its receptors, data gained from THP-1 cells should be further validated using naive human peripheral blood monocytes. However, THP-1 cells can serve as a negative control for e.g. future signalling pathway studies related to oxLDL effect on CNP system in monocytes/macrophages. © 2012 S. Karger AG, Basel.&quot;,&quot;publisher&quot;:&quot;Cell Physiol Biochem Press&quot;,&quot;issue&quot;:&quot;1&quot;,&quot;volume&quot;:&quot;30&quot;},&quot;isTemporary&quot;:false},{&quot;id&quot;:&quot;1e3ea9a7-0ddd-3fef-a01c-0f917a72216b&quot;,&quot;itemData&quot;:{&quot;type&quot;:&quot;article-journal&quot;,&quot;id&quot;:&quot;1e3ea9a7-0ddd-3fef-a01c-0f917a72216b&quot;,&quot;title&quot;:&quot;Monocytes, peripheral blood mononuclear cells, and THP-1 cells exhibit different cytokine expression patterns following stimulation with lipopolysaccharide&quot;,&quot;author&quot;:[{&quot;family&quot;:&quot;Schildberger&quot;,&quot;given&quot;:&quot;Anita&quot;,&quot;parse-names&quot;:false,&quot;dropping-particle&quot;:&quot;&quot;,&quot;non-dropping-particle&quot;:&quot;&quot;},{&quot;family&quot;:&quot;Rossmanith&quot;,&quot;given&quot;:&quot;Eva&quot;,&quot;parse-names&quot;:false,&quot;dropping-particle&quot;:&quot;&quot;,&quot;non-dropping-particle&quot;:&quot;&quot;},{&quot;family&quot;:&quot;Eichhorn&quot;,&quot;given&quot;:&quot;Tanja&quot;,&quot;parse-names&quot;:false,&quot;dropping-particle&quot;:&quot;&quot;,&quot;non-dropping-particle&quot;:&quot;&quot;},{&quot;family&quot;:&quot;Strassl&quot;,&quot;given&quot;:&quot;Katharina&quot;,&quot;parse-names&quot;:false,&quot;dropping-particle&quot;:&quot;&quot;,&quot;non-dropping-particle&quot;:&quot;&quot;},{&quot;family&quot;:&quot;Weber&quot;,&quot;given&quot;:&quot;Viktoria&quot;,&quot;parse-names&quot;:false,&quot;dropping-particle&quot;:&quot;&quot;,&quot;non-dropping-particle&quot;:&quot;&quot;}],&quot;container-title&quot;:&quot;Mediators of Inflammation&quot;,&quot;accessed&quot;:{&quot;date-parts&quot;:[[2021,2,1]]},&quot;DOI&quot;:&quot;10.1155/2013/697972&quot;,&quot;ISSN&quot;:&quot;09629351&quot;,&quot;PMID&quot;:&quot;23818743&quot;,&quot;issued&quot;:{&quot;date-parts&quot;:[[2013]]},&quot;abstract&quot;:&quot;THP-1 cells are widely applied to mimic monocytes in cell culture models. In this study, we compared the cytokine release from THP-1, peripheral blood mononuclear cells (PBMC), monocytes, or whole blood after stimulation with lipopolysaccharide (LPS) and investigated the consequences of different cytokine profiles on human umbilical vein endothelial cell (HUVEC) activation. While Pseudomonas aeruginosa-stimulated (10 ng/mL) THP-1 secreted similar amounts of tumor necrosis factor alpha (TNF-α) as monocytes and PBMC, they produced lower amounts of interleukin(IL)-8 and no IL-6 and IL-10. Whole blood required a higher concentration of Pseudomonas aeruginosa (1000 ng/mL) to induce cytokine release than isolated monocytes or PBMC (10 ng/mL). HUVEC secreted more IL-6 and IL-8 after stimulation with conditioned medium derived from whole blood than from THP-1, despite equal concentrations of TNF-α in both media. Specific adsorption of TNF-α or selective cytokine adsorption from the conditioned media prior to HUVEC stimulation significantly reduced HUVEC activation. Our findings show that THP-1 differ from monocytes, PBMC, and whole blood with respect to cytokine release after stimulation with LPS. Additionally, we could demonstrate that adsorption of inflammatory mediators results in reduced endothelial activation, which supports the concept of extracorporeal mediator modulation as supportive therapy for sepsis. © 2013 Anita Schildberger et al.&quot;,&quot;volume&quot;:&quot;2013&quot;},&quot;isTemporary&quot;:false}],&quot;properties&quot;:{&quot;noteIndex&quot;:0},&quot;isEdited&quot;:false,&quot;manualOverride&quot;:{&quot;isManuallyOverriden&quot;:false,&quot;citeprocText&quot;:&quot;(Bruckmeier &lt;i&gt;et al.&lt;/i&gt;, 2012; Schildberger &lt;i&gt;et al.&lt;/i&gt;, 2013)&quot;,&quot;manualOverrideText&quot;:&quot;&quot;},&quot;citationTag&quot;:&quot;MENDELEY_CITATION_v3_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&quot;},{&quot;citationID&quot;:&quot;MENDELEY_CITATION_046d635c-2fc2-4727-8beb-8f4188344668&quot;,&quot;citationItems&quot;:[{&quot;id&quot;:&quot;f9d6136a-237f-31ed-8b6f-154305d67250&quot;,&quot;itemData&quot;:{&quot;type&quot;:&quot;article-journal&quot;,&quot;id&quot;:&quot;f9d6136a-237f-31ed-8b6f-154305d67250&quot;,&quot;title&quot;:&quot;Convenience versus Biological Significance: Are PMA-Differentiated THP-1 Cells a Reliable Substitute for Blood-Derived Macrophages When Studying in Vitro Polarization?&quot;,&quot;author&quot;:[{&quot;family&quot;:&quot;Tedesco&quot;,&quot;given&quot;:&quot;Serena&quot;,&quot;parse-names&quot;:false,&quot;dropping-particle&quot;:&quot;&quot;,&quot;non-dropping-particle&quot;:&quot;&quot;},{&quot;family&quot;:&quot;Majo&quot;,&quot;given&quot;:&quot;Federica&quot;,&quot;parse-names&quot;:false,&quot;dropping-particle&quot;:&quot;&quot;,&quot;non-dropping-particle&quot;:&quot;de&quot;},{&quot;family&quot;:&quot;Kim&quot;,&quot;given&quot;:&quot;Jieun&quot;,&quot;parse-names&quot;:false,&quot;dropping-particle&quot;:&quot;&quot;,&quot;non-dropping-particle&quot;:&quot;&quot;},{&quot;family&quot;:&quot;Trenti&quot;,&quot;given&quot;:&quot;Annalisa&quot;,&quot;parse-names&quot;:false,&quot;dropping-particle&quot;:&quot;&quot;,&quot;non-dropping-particle&quot;:&quot;&quot;},{&quot;family&quot;:&quot;Trevisi&quot;,&quot;given&quot;:&quot;Lucia&quot;,&quot;parse-names&quot;:false,&quot;dropping-particle&quot;:&quot;&quot;,&quot;non-dropping-particle&quot;:&quot;&quot;},{&quot;family&quot;:&quot;Fadini&quot;,&quot;given&quot;:&quot;Gian Paolo&quot;,&quot;parse-names&quot;:false,&quot;dropping-particle&quot;:&quot;&quot;,&quot;non-dropping-particle&quot;:&quot;&quot;},{&quot;family&quot;:&quot;Bolego&quot;,&quot;given&quot;:&quot;Chiara&quot;,&quot;parse-names&quot;:false,&quot;dropping-particle&quot;:&quot;&quot;,&quot;non-dropping-particle&quot;:&quot;&quot;},{&quot;family&quot;:&quot;Zandstra&quot;,&quot;given&quot;:&quot;Peter W.&quot;,&quot;parse-names&quot;:false,&quot;dropping-particle&quot;:&quot;&quot;,&quot;non-dropping-particle&quot;:&quot;&quot;},{&quot;family&quot;:&quot;Cignarella&quot;,&quot;given&quot;:&quot;Andrea&quot;,&quot;parse-names&quot;:false,&quot;dropping-particle&quot;:&quot;&quot;,&quot;non-dropping-particle&quot;:&quot;&quot;},{&quot;family&quot;:&quot;Vitiello&quot;,&quot;given&quot;:&quot;Libero&quot;,&quot;parse-names&quot;:false,&quot;dropping-particle&quot;:&quot;&quot;,&quot;non-dropping-particle&quot;:&quot;&quot;}],&quot;container-title&quot;:&quot;Frontiers in Pharmacology&quot;,&quot;accessed&quot;:{&quot;date-parts&quot;:[[2021,2,1]]},&quot;DOI&quot;:&quot;10.3389/fphar.2018.00071&quot;,&quot;ISSN&quot;:&quot;1663-9812&quot;,&quot;URL&quot;:&quot;http://journal.frontiersin.org/article/10.3389/fphar.2018.00071/full&quot;,&quot;issued&quot;:{&quot;date-parts&quot;:[[2018,2,22]]},&quot;page&quot;:&quot;71&quot;,&quot;abstract&quot;:&quot;Human peripheral-blood monocytes are used as an established in vitro system for generating macrophages. For several reasons, monocytic cell lines such as THP-1 have been considered as a possible alternative. In view of their distinct developmental origins and phenotypic attributes, we set out to assess the extent to which human monocyte-derived macrophages (MDMs) and phorbol-12-myristate-13-acetate (PMA)-differentiated THP-1 cells were overlapping across a variety of responses to activating stimuli. Resting (M0) macrophages were polarized toward M1 or M2 phenotypes by 48-h incubation with LPS (1 μg/ml) and IFN-γ (10 ng/ml) or with IL-4 (20 ng/ml) and IL-13 (5 ng/ml), respectively. At the end of stimulation, MDMs displayed more pronounced changes in marker gene expression than THP-1. Upon assaying an array of 41 cytokines, chemokines and growth factors in conditioned media (CM) using the Luminex technology, secretion of 29 out of the 41 proteins was affected by polarized activation. While in 12 of them THP-1 and MDM showed comparable trends, for the remaining 17 proteins their responses to activating stimuli did markedly differ. Quantitative comparison for selected analytes confirmed this pattern. In terms of phenotypic activation markers, measured by flow cytometry, M1 response was similar but the established MDM M2 marker CD163 was undetectable in THP-1 cells. In a beads-based assay, MDM activation did not induce significant changes, whereas M2 activation of THP-1 decreased phagocytic activity compared to M0 and M1. In further biological activity tests, both MDM and THP-1 CM failed to affect proliferation of mouse myogenic progenitors, whereas they both reduced adipogenic differentiation of mouse fibro-adipogenic progenitor cells (M2 to a lesser extent than M1 and M0). Finally, migration of human umbilical vein endothelial cells was enhanced by CM irrespective of cell type and activation state except for M0 CM from MDMs. In summary, PMA-differentiated THP-1 macrophages did not entirely reproduce the response spectrum of primary MDMs to activating stimuli. We suggest that THP-1 be regarded as a simplified model of human macrophages when investigating relatively straightforward biological processes, such as polarization and its functional implications, but not as an alternative source in more comprehensive immunopharmacology and drug screening programs.&quot;,&quot;publisher&quot;:&quot;Frontiers Media S.A.&quot;,&quot;issue&quot;:&quot;FEB&quot;,&quot;volume&quot;:&quot;9&quot;},&quot;isTemporary&quot;:false}],&quot;properties&quot;:{&quot;noteIndex&quot;:0},&quot;isEdited&quot;:false,&quot;manualOverride&quot;:{&quot;isManuallyOverriden&quot;:false,&quot;citeprocText&quot;:&quot;(Tedesco &lt;i&gt;et al.&lt;/i&gt;, 2018)&quot;,&quot;manualOverrideText&quot;:&quot;&quot;},&quot;citationTag&quot;:&quot;MENDELEY_CITATION_v3_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&quot;},{&quot;citationID&quot;:&quot;MENDELEY_CITATION_c8d48ac9-2619-45fb-a30d-d2f8e1f03452&quot;,&quot;citationItems&quot;:[{&quot;id&quot;:&quot;0077aa32-7956-3b08-a1d5-410d4bc574a5&quot;,&quot;itemData&quot;:{&quot;type&quot;:&quot;article&quot;,&quot;id&quot;:&quot;0077aa32-7956-3b08-a1d5-410d4bc574a5&quot;,&quot;title&quot;:&quot;Adoptive cell therapy for the treatment of patients with metastatic melanoma&quot;,&quot;author&quot;:[{&quot;family&quot;:&quot;Rosenberg&quot;,&quot;given&quot;:&quot;Steven A.&quot;,&quot;parse-names&quot;:false,&quot;dropping-particle&quot;:&quot;&quot;,&quot;non-dropping-particle&quot;:&quot;&quot;},{&quot;family&quot;:&quot;Dudley&quot;,&quot;given&quot;:&quot;Mark E.&quot;,&quot;parse-names&quot;:false,&quot;dropping-particle&quot;:&quot;&quot;,&quot;non-dropping-particle&quot;:&quot;&quot;}],&quot;container-title&quot;:&quot;Current Opinion in Immunology&quot;,&quot;accessed&quot;:{&quot;date-parts&quot;:[[2021,2,1]]},&quot;DOI&quot;:&quot;10.1016/j.coi.2009.03.002&quot;,&quot;ISSN&quot;:&quot;09527915&quot;,&quot;PMID&quot;:&quot;19304471&quot;,&quot;issued&quot;:{&quot;date-parts&quot;:[[2009,4,1]]},&quot;page&quot;:&quot;233-240&quot;,&quot;abstract&quot;:&quot;Adoptive cell therapy (ACT) is the best available treatment for patients with metastatic melanoma. In a recent series of three consecutive clinical trials using increasing lymphodepletion before infusion of autologous tumor infiltrating lymphocytes (TIL), objective response rates between 49% and 72% were seen. Persistence of infused cells in the circulation at one month was highly correlated with anti-tumor response as was the mean telomere length of the cells infused and the number of CD8+ CD27+ cells infused. Responses occur at all sites and appear to be durable with many patients in ongoing response beyond three years. In the most recent trial of 25 patients receiving maximum lymphodepletion, seven of the 25 patients (28%) achieved a complete response. Of the 12 patients in the three trials who achieved a complete response all but one are ongoing between 18 and 75 months. We recently demonstrated that ACT using autologous lymphocytes genetically modified to express anti-tumor T cell receptors can mediate tumor regression and this approach is now being applied to patients with common epithelial cancers.&quot;,&quot;publisher&quot;:&quot;Elsevier Current Trends&quot;,&quot;issue&quot;:&quot;2&quot;,&quot;volume&quot;:&quot;21&quot;},&quot;isTemporary&quot;:false},{&quot;id&quot;:&quot;b46561da-0dd4-307e-be96-300403c03955&quot;,&quot;itemData&quot;:{&quot;type&quot;:&quot;article&quot;,&quot;id&quot;:&quot;b46561da-0dd4-307e-be96-300403c03955&quot;,&quot;title&quot;:&quot;Novel cancer immunotherapy agents with survival benefit: Recent successes and next steps&quot;,&quot;author&quot;:[{&quot;family&quot;:&quot;Sharma&quot;,&quot;given&quot;:&quot;Padmanee&quot;,&quot;parse-names&quot;:false,&quot;dropping-particle&quot;:&quot;&quot;,&quot;non-dropping-particle&quot;:&quot;&quot;},{&quot;family&quot;:&quot;Wagner&quot;,&quot;given&quot;:&quot;Klaus&quot;,&quot;parse-names&quot;:false,&quot;dropping-particle&quot;:&quot;&quot;,&quot;non-dropping-particle&quot;:&quot;&quot;},{&quot;family&quot;:&quot;Wolchok&quot;,&quot;given&quot;:&quot;Jedd D.&quot;,&quot;parse-names&quot;:false,&quot;dropping-particle&quot;:&quot;&quot;,&quot;non-dropping-particle&quot;:&quot;&quot;},{&quot;family&quot;:&quot;Allison&quot;,&quot;given&quot;:&quot;James P.&quot;,&quot;parse-names&quot;:false,&quot;dropping-particle&quot;:&quot;&quot;,&quot;non-dropping-particle&quot;:&quot;&quot;}],&quot;container-title&quot;:&quot;Nature Reviews Cancer&quot;,&quot;accessed&quot;:{&quot;date-parts&quot;:[[2021,2,1]]},&quot;DOI&quot;:&quot;10.1038/nrc3153&quot;,&quot;ISSN&quot;:&quot;1474175X&quot;,&quot;PMID&quot;:&quot;22020206&quot;,&quot;URL&quot;:&quot;www.nature.com/reviews/cancer&quot;,&quot;issued&quot;:{&quot;date-parts&quot;:[[2011,11,24]]},&quot;page&quot;:&quot;805-812&quot;,&quot;abstract&quot;:&quot;The US Food and Drug Administration (FDA) recently approved two novel immunotherapy agents, sipuleucel-T and ipilimumab, which showed a survival benefit for patients with metastatic prostate cancer and melanoma, respectively. The mechanisms by which these agents provideclinical benefit are not completely understood. However, knowledge of these mechanisms will be crucial for probing human immune responses and tumour biology in order to understand what distinguishes responders from non-responders. The following next steps are necessary: first, the development of immune-monitoring strategies for the identification of relevant biomarkers; second, the establishment of guidelines for the assessment of clinical end points; and third, the evaluation of combination therapy strategies to improve clinical benefit. © 2011 Macmillan Publishers Limited. All rights reserved.&quot;,&quot;publisher&quot;:&quot;Nature Publishing Group&quot;,&quot;issue&quot;:&quot;11&quot;,&quot;volume&quot;:&quot;11&quot;},&quot;isTemporary&quot;:false}],&quot;properties&quot;:{&quot;noteIndex&quot;:0},&quot;isEdited&quot;:false,&quot;manualOverride&quot;:{&quot;isManuallyOverriden&quot;:false,&quot;citeprocText&quot;:&quot;(Rosenberg and Dudley, 2009; Sharma &lt;i&gt;et al.&lt;/i&gt;, 2011)&quot;,&quot;manualOverrideText&quot;:&quot;&quot;},&quot;citationTag&quot;:&quot;MENDELEY_CITATION_v3_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&quot;},{&quot;citationID&quot;:&quot;MENDELEY_CITATION_97a99617-f55d-4e24-bd0f-7235305a5fe0&quot;,&quot;citationItems&quot;:[{&quot;id&quot;:&quot;f2360418-6fa8-3e08-be95-3355e2f08679&quot;,&quot;itemData&quot;:{&quot;type&quot;:&quot;article-journal&quot;,&quot;id&quot;:&quot;f2360418-6fa8-3e08-be95-3355e2f08679&quot;,&quot;title&quot;:&quot;Vaccine adjuvant activity of a TLR4-activating synthetic glycolipid by promoting autophagy&quot;,&quot;author&quot;:[{&quot;family&quot;:&quot;Chou&quot;,&quot;given&quot;:&quot;Yi Ju&quot;,&quot;parse-names&quot;:false,&quot;dropping-particle&quot;:&quot;&quot;,&quot;non-dropping-particle&quot;:&quot;&quot;},{&quot;family&quot;:&quot;Lin&quot;,&quot;given&quot;:&quot;Ching Cheng&quot;,&quot;parse-names&quot;:false,&quot;dropping-particle&quot;:&quot;&quot;,&quot;non-dropping-particle&quot;:&quot;&quot;},{&quot;family&quot;:&quot;Dzhagalov&quot;,&quot;given&quot;:&quot;Ivan&quot;,&quot;parse-names&quot;:false,&quot;dropping-particle&quot;:&quot;&quot;,&quot;non-dropping-particle&quot;:&quot;&quot;},{&quot;family&quot;:&quot;Chen&quot;,&quot;given&quot;:&quot;Nien Jung&quot;,&quot;parse-names&quot;:false,&quot;dropping-particle&quot;:&quot;&quot;,&quot;non-dropping-particle&quot;:&quot;&quot;},{&quot;family&quot;:&quot;Lin&quot;,&quot;given&quot;:&quot;Chao Hsiung&quot;,&quot;parse-names&quot;:false,&quot;dropping-particle&quot;:&quot;&quot;,&quot;non-dropping-particle&quot;:&quot;&quot;},{&quot;family&quot;:&quot;Lin&quot;,&quot;given&quot;:&quot;Chun Cheng&quot;,&quot;parse-names&quot;:false,&quot;dropping-particle&quot;:&quot;&quot;,&quot;non-dropping-particle&quot;:&quot;&quot;},{&quot;family&quot;:&quot;Chen&quot;,&quot;given&quot;:&quot;Szu Ting&quot;,&quot;parse-names&quot;:false,&quot;dropping-particle&quot;:&quot;&quot;,&quot;non-dropping-particle&quot;:&quot;&quot;},{&quot;family&quot;:&quot;Chen&quot;,&quot;given&quot;:&quot;Kuo Hsin&quot;,&quot;parse-names&quot;:false,&quot;dropping-particle&quot;:&quot;&quot;,&quot;non-dropping-particle&quot;:&quot;&quot;},{&quot;family&quot;:&quot;Fu&quot;,&quot;given&quot;:&quot;Shu Ling&quot;,&quot;parse-names&quot;:false,&quot;dropping-particle&quot;:&quot;&quot;,&quot;non-dropping-particle&quot;:&quot;&quot;}],&quot;container-title&quot;:&quot;Scientific Reports&quot;,&quot;DOI&quot;:&quot;10.1038/s41598-020-65422-1&quot;,&quot;ISSN&quot;:&quot;20452322&quot;,&quot;PMID&quot;:&quot;32439945&quot;,&quot;URL&quot;:&quot;http://dx.doi.org/10.1038/s41598-020-65422-1&quot;,&quot;issued&quot;:{&quot;date-parts&quot;:[[2020]]},&quot;page&quot;:&quot;1-15&quot;,&quot;abstract&quot;:&quot;Toll-like receptors (TLRs) play crucial roles in host immune defenses. Recently, TLR-mediated autophagy is reported to promote immune responses via increasing antigen processing and presentation in antigen presenting cells. The present study examined whether the synthetic TLR4 activator (CCL-34) could induce autophagy to promote innate and adaptive immunity. In addition, the potential of CCL-34 as an immune adjuvant in vivo was also investigated. Our data using RAW264.7 cells and bone marrow-derived macrophages showed that CCL-34 induced autophagy through a TLR4-NF-κB pathway. The autophagy-related molecules (Nrf2, p62 and Beclin 1) were activated in RAW264.7 cells and bone marrow-derived macrophages under CCL-34 treatment. CCL-34-stimulated macrophages exhibited significant antigen-processing activity and induced the proliferation of antigen-specific CD4+T cells as well as the production of activated T cell-related cytokines, IL-2 and IFN-γ. Furthermore, CCL-34 immunization in mice induced infiltration of monocytes in the peritoneal cavity and elevation of antigen-specific IgG in the serum. CCL-34 treatment in vivo did not cause toxicity based on serum biochemical profiles. Notably, the antigen-specific responses induced by CCL-34 were attenuated by the autophagy inhibitor, 3-methyladenine. In summary, we demonstrated CCL-34 can induce autophagy to promote antigen-specific immune responses and act as an efficient adjuvant.&quot;,&quot;publisher&quot;:&quot;Springer US&quot;,&quot;issue&quot;:&quot;1&quot;,&quot;volume&quot;:&quot;10&quot;},&quot;isTemporary&quot;:false}],&quot;properties&quot;:{&quot;noteIndex&quot;:0},&quot;isEdited&quot;:false,&quot;manualOverride&quot;:{&quot;isManuallyOverriden&quot;:false,&quot;citeprocText&quot;:&quot;(Chou &lt;i&gt;et al.&lt;/i&gt;, 2020)&quot;,&quot;manualOverrideText&quot;:&quot;&quot;},&quot;citationTag&quot;:&quot;MENDELEY_CITATION_v3_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&quot;},{&quot;citationID&quot;:&quot;MENDELEY_CITATION_8409ab69-d166-456d-b176-2ee8bc0d5f59&quot;,&quot;citationItems&quot;:[{&quot;id&quot;:&quot;0b701965-fc80-328d-bcac-02cb9603554e&quot;,&quot;itemData&quot;:{&quot;type&quot;:&quot;article-journal&quot;,&quot;id&quot;:&quot;0b701965-fc80-328d-bcac-02cb9603554e&quot;,&quot;title&quot;:&quot;TLR1/TLR2 Agonist Induces Tumor Regression by Reciprocal Modulation of Effector and Regulatory T Cells&quot;,&quot;author&quot;:[{&quot;family&quot;:&quot;Zhang&quot;,&quot;given&quot;:&quot;Yi&quot;,&quot;parse-names&quot;:false,&quot;dropping-particle&quot;:&quot;&quot;,&quot;non-dropping-particle&quot;:&quot;&quot;},{&quot;family&quot;:&quot;Luo&quot;,&quot;given&quot;:&quot;Feifei&quot;,&quot;parse-names&quot;:false,&quot;dropping-particle&quot;:&quot;&quot;,&quot;non-dropping-particle&quot;:&quot;&quot;},{&quot;family&quot;:&quot;Cai&quot;,&quot;given&quot;:&quot;Yuchan&quot;,&quot;parse-names&quot;:false,&quot;dropping-particle&quot;:&quot;&quot;,&quot;non-dropping-particle&quot;:&quot;&quot;},{&quot;family&quot;:&quot;Liu&quot;,&quot;given&quot;:&quot;Nan&quot;,&quot;parse-names&quot;:false,&quot;dropping-particle&quot;:&quot;&quot;,&quot;non-dropping-particle&quot;:&quot;&quot;},{&quot;family&quot;:&quot;Wang&quot;,&quot;given&quot;:&quot;Luman&quot;,&quot;parse-names&quot;:false,&quot;dropping-particle&quot;:&quot;&quot;,&quot;non-dropping-particle&quot;:&quot;&quot;},{&quot;family&quot;:&quot;Xu&quot;,&quot;given&quot;:&quot;Damo&quot;,&quot;parse-names&quot;:false,&quot;dropping-particle&quot;:&quot;&quot;,&quot;non-dropping-particle&quot;:&quot;&quot;},{&quot;family&quot;:&quot;Chu&quot;,&quot;given&quot;:&quot;Yiwei&quot;,&quot;parse-names&quot;:false,&quot;dropping-particle&quot;:&quot;&quot;,&quot;non-dropping-particle&quot;:&quot;&quot;}],&quot;container-title&quot;:&quot;The Journal of Immunology&quot;,&quot;DOI&quot;:&quot;10.4049/jimmunol.1002320&quot;,&quot;ISSN&quot;:&quot;0022-1767&quot;,&quot;PMID&quot;:&quot;21217015&quot;,&quot;issued&quot;:{&quot;date-parts&quot;:[[2011]]},&quot;page&quot;:&quot;1963-1969&quot;,&quot;abstract&quot;:&quot;Using TLR agonists in cancer treatment can have either beneficial or detrimental effects. Therefore, it is important to determine their effect on the tumor growth and understand the underlying mechanisms in animal tumor models. In this study, we report a general immunotherapeutic activity of a synthetic bacterial lipoprotein (BLP), a TLR1/TLR2 agonist, on established lung carcinoma, leukemia, and melanoma in mice. Systemic treatment of 3LL tumor-bearing mice with BLP, but not LPS, led to a dose-dependent tumor regression and a long-lasting protective response against tumor rechallenge. The BLP-mediated tumor remission was neither mediated by a direct tumoricidal activity nor by innate immune cells, because it lacked therapeutic effect in immunodeficient SCID mice. Instead, BLP treatment reduced the suppressive function of Foxp3  +  regulatory T cells (Tregs) and enhanced the cytotoxicity of tumor-specific CTL in vitro and in vivo. Furthermore, adoptive cotransfer of BLP-pretreated but not untreated CTL and Tregs from wild-type but not from TLR2 -/-  mice was sufficient to restore antitumor immunity in SCID mice by reciprocally modulating Treg and CTL function. These results demonstrate that the TLR1/TLR2 agonist BLP may have a general tumor therapeutic property involving reciprocal downregulation of Treg and upregulation of CTL function. This property may play an important role in the development of novel antitumor strategies. Copyright © 2011 by The American Association of Immunologists, Inc.&quot;,&quot;issue&quot;:&quot;4&quot;,&quot;volume&quot;:&quot;186&quot;},&quot;isTemporary&quot;:false}],&quot;properties&quot;:{&quot;noteIndex&quot;:0},&quot;isEdited&quot;:false,&quot;manualOverride&quot;:{&quot;isManuallyOverriden&quot;:false,&quot;citeprocText&quot;:&quot;(Zhang &lt;i&gt;et al.&lt;/i&gt;, 2011)&quot;,&quot;manualOverrideText&quot;:&quot;&quot;},&quot;citationTag&quot;:&quot;MENDELEY_CITATION_v3_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&quot;},{&quot;citationID&quot;:&quot;MENDELEY_CITATION_4616b4ef-303b-4b13-9c54-79948c7321bf&quot;,&quot;citationItems&quot;:[{&quot;id&quot;:&quot;22bf644e-b66c-3b7e-ab55-b42835227058&quot;,&quot;itemData&quot;:{&quot;type&quot;:&quot;article-journal&quot;,&quot;id&quot;:&quot;22bf644e-b66c-3b7e-ab55-b42835227058&quot;,&quot;title&quot;:&quot;Dual TLR agonist nanodiscs as a strong adjuvant system for vaccines and immunotherapy&quot;,&quot;author&quot;:[{&quot;family&quot;:&quot;Kuai&quot;,&quot;given&quot;:&quot;Rui&quot;,&quot;parse-names&quot;:false,&quot;dropping-particle&quot;:&quot;&quot;,&quot;non-dropping-particle&quot;:&quot;&quot;},{&quot;family&quot;:&quot;Sun&quot;,&quot;given&quot;:&quot;Xiaoqi&quot;,&quot;parse-names&quot;:false,&quot;dropping-particle&quot;:&quot;&quot;,&quot;non-dropping-particle&quot;:&quot;&quot;},{&quot;family&quot;:&quot;Yuan&quot;,&quot;given&quot;:&quot;Wenmin&quot;,&quot;parse-names&quot;:false,&quot;dropping-particle&quot;:&quot;&quot;,&quot;non-dropping-particle&quot;:&quot;&quot;},{&quot;family&quot;:&quot;Ochyl&quot;,&quot;given&quot;:&quot;Lukasz J.&quot;,&quot;parse-names&quot;:false,&quot;dropping-particle&quot;:&quot;&quot;,&quot;non-dropping-particle&quot;:&quot;&quot;},{&quot;family&quot;:&quot;Xu&quot;,&quot;given&quot;:&quot;Yao&quot;,&quot;parse-names&quot;:false,&quot;dropping-particle&quot;:&quot;&quot;,&quot;non-dropping-particle&quot;:&quot;&quot;},{&quot;family&quot;:&quot;Hassani Najafabadi&quot;,&quot;given&quot;:&quot;Alireza&quot;,&quot;parse-names&quot;:false,&quot;dropping-particle&quot;:&quot;&quot;,&quot;non-dropping-particle&quot;:&quot;&quot;},{&quot;family&quot;:&quot;Scheetz&quot;,&quot;given&quot;:&quot;Lindsay&quot;,&quot;parse-names&quot;:false,&quot;dropping-particle&quot;:&quot;&quot;,&quot;non-dropping-particle&quot;:&quot;&quot;},{&quot;family&quot;:&quot;Yu&quot;,&quot;given&quot;:&quot;Min Zhi&quot;,&quot;parse-names&quot;:false,&quot;dropping-particle&quot;:&quot;&quot;,&quot;non-dropping-particle&quot;:&quot;&quot;},{&quot;family&quot;:&quot;Balwani&quot;,&quot;given&quot;:&quot;Ishina&quot;,&quot;parse-names&quot;:false,&quot;dropping-particle&quot;:&quot;&quot;,&quot;non-dropping-particle&quot;:&quot;&quot;},{&quot;family&quot;:&quot;Schwendeman&quot;,&quot;given&quot;:&quot;Anna&quot;,&quot;parse-names&quot;:false,&quot;dropping-particle&quot;:&quot;&quot;,&quot;non-dropping-particle&quot;:&quot;&quot;},{&quot;family&quot;:&quot;Moon&quot;,&quot;given&quot;:&quot;James J.&quot;,&quot;parse-names&quot;:false,&quot;dropping-particle&quot;:&quot;&quot;,&quot;non-dropping-particle&quot;:&quot;&quot;}],&quot;container-title&quot;:&quot;Journal of Controlled Release&quot;,&quot;DOI&quot;:&quot;10.1016/j.jconrel.2018.04.041&quot;,&quot;ISSN&quot;:&quot;18734995&quot;,&quot;PMID&quot;:&quot;29702142&quot;,&quot;URL&quot;:&quot;https://doi.org/10.1016/j.jconrel.2018.04.041&quot;,&quot;issued&quot;:{&quot;date-parts&quot;:[[2018]]},&quot;page&quot;:&quot;131-139&quot;,&quot;abstract&quot;:&quot;Recent studies have shown that certain combinations of Toll-like receptor (TLR) agonists can induce synergistic immune activation. However, it remains challenging to achieve such robust responses in vivo in a manner that is effective, facile, and amenable for clinical translation. Here, we show that MPLA, a TLR4 agonist, and CpG, a TLR9 agonist, can be efficiently co-loaded into synthetic high-density lipoprotein nanodiscs, forming a potent adjuvant system (ND-MPLA/CpG) that can be readily combined with a variety of subunit antigens, including proteins and peptides. ND-MPLA/CpG significantly enhanced activation of dendritic cells, compared with free dual adjuvants or nanodiscs delivering a single TLR agonist. Importantly, mice immunized with physical mixtures of protein antigens ND-MPLA/CpG generated strong humoral responses, including induction of IgG responses against protein convertase subtilisin/kexin 9 (PCSK9), leading to 17–30% reduction of the total plasma cholesterol levels. Moreover, ND-MPLA/CpG exerted strong anti-tumor efficacy in multiple murine tumor models. Compared with free adjuvants, ND-MPLA/CpG admixed with ovalbumin markedly improved antigen-specific CD8+ T cell responses by 8-fold and promoted regression of B16F10-OVA melanoma (P &lt; 0.0001). Furthermore, ND-MPLA/CpG admixed with E7 peptide antigen elicited ~20% E7-specific CD8+ T cell responses and achieved complete regression of established TC-1 tumors in all treated animals. Taken together, our work highlights the simplicity, versatility, and potency of dual TLR agonist nanodiscs for applications in vaccines and cancer immunotherapy.&quot;,&quot;publisher&quot;:&quot;Elsevier&quot;,&quot;issue&quot;:&quot;April&quot;,&quot;volume&quot;:&quot;282&quot;},&quot;isTemporary&quot;:false}],&quot;properties&quot;:{&quot;noteIndex&quot;:0},&quot;isEdited&quot;:false,&quot;manualOverride&quot;:{&quot;isManuallyOverriden&quot;:false,&quot;citeprocText&quot;:&quot;(Kuai &lt;i&gt;et al.&lt;/i&gt;, 2018)&quot;,&quot;manualOverrideText&quot;:&quot;&quot;},&quot;citationTag&quot;:&quot;MENDELEY_CITATION_v3_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&quot;},{&quot;citationID&quot;:&quot;MENDELEY_CITATION_3fe7e793-f6b1-4dbf-b240-8ab4ec53e7aa&quot;,&quot;citationItems&quot;:[{&quot;id&quot;:&quot;75fd6b10-2e73-3bd3-94e3-25e56a66e33e&quot;,&quot;itemData&quot;:{&quot;type&quot;:&quot;article-journal&quot;,&quot;id&quot;:&quot;75fd6b10-2e73-3bd3-94e3-25e56a66e33e&quot;,&quot;title&quot;:&quot;High mobility group box-1 protein regulate immunosuppression of regulatory T cells through toll-like receptor 4&quot;,&quot;author&quot;:[{&quot;family&quot;:&quot;Zhu&quot;,&quot;given&quot;:&quot;Xiao Mei&quot;,&quot;parse-names&quot;:false,&quot;dropping-particle&quot;:&quot;&quot;,&quot;non-dropping-particle&quot;:&quot;&quot;},{&quot;family&quot;:&quot;Yao&quot;,&quot;given&quot;:&quot;Yong Ming&quot;,&quot;parse-names&quot;:false,&quot;dropping-particle&quot;:&quot;&quot;,&quot;non-dropping-particle&quot;:&quot;&quot;},{&quot;family&quot;:&quot;Liang&quot;,&quot;given&quot;:&quot;Hua Ping&quot;,&quot;parse-names&quot;:false,&quot;dropping-particle&quot;:&quot;&quot;,&quot;non-dropping-particle&quot;:&quot;&quot;},{&quot;family&quot;:&quot;Xu&quot;,&quot;given&quot;:&quot;Chang Tao&quot;,&quot;parse-names&quot;:false,&quot;dropping-particle&quot;:&quot;&quot;,&quot;non-dropping-particle&quot;:&quot;&quot;},{&quot;family&quot;:&quot;Dong&quot;,&quot;given&quot;:&quot;Ning&quot;,&quot;parse-names&quot;:false,&quot;dropping-particle&quot;:&quot;&quot;,&quot;non-dropping-particle&quot;:&quot;&quot;},{&quot;family&quot;:&quot;Yu&quot;,&quot;given&quot;:&quot;Yan&quot;,&quot;parse-names&quot;:false,&quot;dropping-particle&quot;:&quot;&quot;,&quot;non-dropping-particle&quot;:&quot;&quot;},{&quot;family&quot;:&quot;Sheng&quot;,&quot;given&quot;:&quot;Zhi Yong&quot;,&quot;parse-names&quot;:false,&quot;dropping-particle&quot;:&quot;&quot;,&quot;non-dropping-particle&quot;:&quot;&quot;}],&quot;container-title&quot;:&quot;Cytokine&quot;,&quot;DOI&quot;:&quot;10.1016/j.cyto.2011.02.017&quot;,&quot;ISSN&quot;:&quot;10434666&quot;,&quot;PMID&quot;:&quot;21419643&quot;,&quot;URL&quot;:&quot;http://dx.doi.org/10.1016/j.cyto.2011.02.017&quot;,&quot;issued&quot;:{&quot;date-parts&quot;:[[2011]]},&quot;page&quot;:&quot;296-304&quot;,&quot;abstract&quot;:&quot;Introduction: High mobility group box-1 protein (HMGB1), a recently recognized mediator of immune response might contribute to immune suppression when released extracellularly. The present study was performed to clarify effects of HMGB1 on regulatory T cells (Tregs) and the involvement of toll-like receptor (TLR) 4 signaling. Methods: CD4+CD25+Tregs, isolated from spleens of normal mice and treated with HMGB1 in vitro, and those isolated from HMGB1-treated C3H/HeN (wild type) or C3H/HeJ (TLR4 mutant type) mice, were analyzed for expressions of cytotoxic T lymphocyte-associated antigen (CTLA)4, forkhead/winged helix transcription factor p3 (Foxp3) and interleukin (IL)-10 secretion. Results: HMGB1-treatment was found to markedly decrease the expressions of CTLA4 and Foxp3, as well as IL-10 secretion. Administration of TLR4 neutralizing antibody abolished the phenotypic and functional changes in Tregs induced by HMGB1. Tregs from HMGB1-treated normal mice showed lower expression of CTLA4, Foxp3, and IL-10 secretion when compared with non-treated mice. Yet opposite results were observed in that of C3H/HeJ mice. Moreover, HMGB1 stimulation could down-regulate the expression of TLR4 on Tregs. Conclusion: Our data suggest that HMGB1 has the ability to directly modulate the suppressive capacity of CD4+CD25+Tregs, and TLR4 might be a potential receptor essential for the negative effect of HMGB1 on CD4+CD25+Tregs activity. © 2011 Elsevier Ltd.&quot;,&quot;publisher&quot;:&quot;Elsevier Ltd&quot;,&quot;issue&quot;:&quot;3&quot;,&quot;volume&quot;:&quot;54&quot;},&quot;isTemporary&quot;:false}],&quot;properties&quot;:{&quot;noteIndex&quot;:0},&quot;isEdited&quot;:false,&quot;manualOverride&quot;:{&quot;isManuallyOverriden&quot;:false,&quot;citeprocText&quot;:&quot;(Zhu &lt;i&gt;et al.&lt;/i&gt;, 2011)&quot;,&quot;manualOverrideText&quot;:&quot;&quot;},&quot;citationTag&quot;:&quot;MENDELEY_CITATION_v3_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&quot;},{&quot;citationID&quot;:&quot;MENDELEY_CITATION_98364fec-787c-448b-82ca-cf8686f906bf&quot;,&quot;citationItems&quot;:[{&quot;id&quot;:&quot;f54396d5-c6fa-3546-869b-17e21e8e7981&quot;,&quot;itemData&quot;:{&quot;type&quot;:&quot;article-journal&quot;,&quot;id&quot;:&quot;f54396d5-c6fa-3546-869b-17e21e8e7981&quot;,&quot;title&quot;:&quot;Crystal Structure of the TLR4-MD-2 Complex with Bound Endotoxin Antagonist Eritoran&quot;,&quot;author&quot;:[{&quot;family&quot;:&quot;Kim&quot;,&quot;given&quot;:&quot;Ho Min&quot;,&quot;parse-names&quot;:false,&quot;dropping-particle&quot;:&quot;&quot;,&quot;non-dropping-particle&quot;:&quot;&quot;},{&quot;family&quot;:&quot;Park&quot;,&quot;given&quot;:&quot;Beom Seok&quot;,&quot;parse-names&quot;:false,&quot;dropping-particle&quot;:&quot;&quot;,&quot;non-dropping-particle&quot;:&quot;&quot;},{&quot;family&quot;:&quot;Kim&quot;,&quot;given&quot;:&quot;Jung In&quot;,&quot;parse-names&quot;:false,&quot;dropping-particle&quot;:&quot;&quot;,&quot;non-dropping-particle&quot;:&quot;&quot;},{&quot;family&quot;:&quot;Kim&quot;,&quot;given&quot;:&quot;Sung Eun&quot;,&quot;parse-names&quot;:false,&quot;dropping-particle&quot;:&quot;&quot;,&quot;non-dropping-particle&quot;:&quot;&quot;},{&quot;family&quot;:&quot;Lee&quot;,&quot;given&quot;:&quot;Judong&quot;,&quot;parse-names&quot;:false,&quot;dropping-particle&quot;:&quot;&quot;,&quot;non-dropping-particle&quot;:&quot;&quot;},{&quot;family&quot;:&quot;Oh&quot;,&quot;given&quot;:&quot;Se Cheol&quot;,&quot;parse-names&quot;:false,&quot;dropping-particle&quot;:&quot;&quot;,&quot;non-dropping-particle&quot;:&quot;&quot;},{&quot;family&quot;:&quot;Enkhbayar&quot;,&quot;given&quot;:&quot;Purevjav&quot;,&quot;parse-names&quot;:false,&quot;dropping-particle&quot;:&quot;&quot;,&quot;non-dropping-particle&quot;:&quot;&quot;},{&quot;family&quot;:&quot;Matsushima&quot;,&quot;given&quot;:&quot;Norio&quot;,&quot;parse-names&quot;:false,&quot;dropping-particle&quot;:&quot;&quot;,&quot;non-dropping-particle&quot;:&quot;&quot;},{&quot;family&quot;:&quot;Lee&quot;,&quot;given&quot;:&quot;Hayyoung&quot;,&quot;parse-names&quot;:false,&quot;dropping-particle&quot;:&quot;&quot;,&quot;non-dropping-particle&quot;:&quot;&quot;},{&quot;family&quot;:&quot;Yoo&quot;,&quot;given&quot;:&quot;Ook Joon&quot;,&quot;parse-names&quot;:false,&quot;dropping-particle&quot;:&quot;&quot;,&quot;non-dropping-particle&quot;:&quot;&quot;},{&quot;family&quot;:&quot;Lee&quot;,&quot;given&quot;:&quot;Jie Oh&quot;,&quot;parse-names&quot;:false,&quot;dropping-particle&quot;:&quot;&quot;,&quot;non-dropping-particle&quot;:&quot;&quot;}],&quot;container-title&quot;:&quot;Cell&quot;,&quot;accessed&quot;:{&quot;date-parts&quot;:[[2021,2,1]]},&quot;DOI&quot;:&quot;10.1016/j.cell.2007.08.002&quot;,&quot;ISSN&quot;:&quot;00928674&quot;,&quot;PMID&quot;:&quot;17803912&quot;,&quot;issued&quot;:{&quot;date-parts&quot;:[[2007,9,7]]},&quot;page&quot;:&quot;906-917&quot;,&quot;abstract&quot;:&quot;TLR4 and MD-2 form a heterodimer that recognizes LPS (lipopolysaccharide) from Gram-negative bacteria. Eritoran is an analog of LPS that antagonizes its activity by binding to the TLR4-MD-2 complex. We determined the structure of the full-length ectodomain of the mouse TLR4 and MD-2 complex. We also produced a series of hybrids of human TLR4 and hagfish VLR and determined their structures with and without bound MD-2 and Eritoran. TLR4 is an atypical member of the LRR family and is composed of N-terminal, central, and C-terminal domains. The β sheet of the central domain shows unusually small radii and large twist angles. MD-2 binds to the concave surface of the N-terminal and central domains. The interaction with Eritoran is mediated by a hydrophobic internal pocket in MD-2. Based on structural analysis and mutagenesis experiments on MD-2 and TLR4, we propose a model of TLR4-MD-2 dimerization induced by LPS. © 2007 Elsevier Inc. All rights reserved.&quot;,&quot;publisher&quot;:&quot;Cell Press&quot;,&quot;issue&quot;:&quot;5&quot;,&quot;volume&quot;:&quot;130&quot;},&quot;isTemporary&quot;:false}],&quot;properties&quot;:{&quot;noteIndex&quot;:0},&quot;isEdited&quot;:false,&quot;manualOverride&quot;:{&quot;isManuallyOverriden&quot;:false,&quot;citeprocText&quot;:&quot;(Kim &lt;i&gt;et al.&lt;/i&gt;, 2007)&quot;,&quot;manualOverrideText&quot;:&quot;&quot;},&quot;citationTag&quot;:&quot;MENDELEY_CITATION_v3_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&quot;},{&quot;citationID&quot;:&quot;MENDELEY_CITATION_d2e42f80-5414-4997-838b-c98a77cdf065&quot;,&quot;citationItems&quot;:[{&quot;id&quot;:&quot;05d6e175-cc85-3960-a6d3-f4237772e2cd&quot;,&quot;itemData&quot;:{&quot;type&quot;:&quot;article-journal&quot;,&quot;id&quot;:&quot;05d6e175-cc85-3960-a6d3-f4237772e2cd&quot;,&quot;title&quot;:&quot;Analysis of binding site for the novel small-molecule TLR4 signal transduction inhibitor TAK-242 and its therapeutic effect on mouse sepsis model&quot;,&quot;author&quot;:[{&quot;family&quot;:&quot;Takashima&quot;,&quot;given&quot;:&quot;K&quot;,&quot;parse-names&quot;:false,&quot;dropping-particle&quot;:&quot;&quot;,&quot;non-dropping-particle&quot;:&quot;&quot;},{&quot;family&quot;:&quot;Matsunaga&quot;,&quot;given&quot;:&quot;N&quot;,&quot;parse-names&quot;:false,&quot;dropping-particle&quot;:&quot;&quot;,&quot;non-dropping-particle&quot;:&quot;&quot;},{&quot;family&quot;:&quot;Yoshimatsu&quot;,&quot;given&quot;:&quot;M&quot;,&quot;parse-names&quot;:false,&quot;dropping-particle&quot;:&quot;&quot;,&quot;non-dropping-particle&quot;:&quot;&quot;},{&quot;family&quot;:&quot;Hazeki&quot;,&quot;given&quot;:&quot;K&quot;,&quot;parse-names&quot;:false,&quot;dropping-particle&quot;:&quot;&quot;,&quot;non-dropping-particle&quot;:&quot;&quot;},{&quot;family&quot;:&quot;Kaisho&quot;,&quot;given&quot;:&quot;T&quot;,&quot;parse-names&quot;:false,&quot;dropping-particle&quot;:&quot;&quot;,&quot;non-dropping-particle&quot;:&quot;&quot;},{&quot;family&quot;:&quot;Uekata&quot;,&quot;given&quot;:&quot;M&quot;,&quot;parse-names&quot;:false,&quot;dropping-particle&quot;:&quot;&quot;,&quot;non-dropping-particle&quot;:&quot;&quot;},{&quot;family&quot;:&quot;Hazeki&quot;,&quot;given&quot;:&quot;O&quot;,&quot;parse-names&quot;:false,&quot;dropping-particle&quot;:&quot;&quot;,&quot;non-dropping-particle&quot;:&quot;&quot;},{&quot;family&quot;:&quot;Akira&quot;,&quot;given&quot;:&quot;S&quot;,&quot;parse-names&quot;:false,&quot;dropping-particle&quot;:&quot;&quot;,&quot;non-dropping-particle&quot;:&quot;&quot;},{&quot;family&quot;:&quot;Iizawa&quot;,&quot;given&quot;:&quot;Y&quot;,&quot;parse-names&quot;:false,&quot;dropping-particle&quot;:&quot;&quot;,&quot;non-dropping-particle&quot;:&quot;&quot;},{&quot;family&quot;:&quot;Ii&quot;,&quot;given&quot;:&quot;M&quot;,&quot;parse-names&quot;:false,&quot;dropping-particle&quot;:&quot;&quot;,&quot;non-dropping-particle&quot;:&quot;&quot;}],&quot;container-title&quot;:&quot;British Journal of Pharmacology&quot;,&quot;accessed&quot;:{&quot;date-parts&quot;:[[2021,2,1]]},&quot;DOI&quot;:&quot;10.1111/j.1476-5381.2009.00297.x&quot;,&quot;ISSN&quot;:&quot;00071188&quot;,&quot;URL&quot;:&quot;http://doi.wiley.com/10.1111/j.1476-5381.2009.00297.x&quot;,&quot;issued&quot;:{&quot;date-parts&quot;:[[2009,8,1]]},&quot;page&quot;:&quot;1250-1262&quot;,&quot;abstract&quot;:&quot;Background and purpose: TAK-242, a novel synthetic small-molecule, suppresses production of multiple cytokines by inhibiting Toll-like receptor (TLR) 4 signalling. In this study, we investigated the target molecule of TAK-242 and examined its therapeutic effect in a mouse sepsis model. Experimental approach: Binding assay with [3H]-TAK-242 and nuclear factor-kB reporter assay were used to identify the target molecule and binding site of TAK-242. Bacillus calmette guerin (BCG)-primed mouse sepsis model using live Escherichia coli was used to estimate the efficacy of TAK-242 in sepsis. Key results: TAK-242 strongly bound to TLR4, but binding to TLR2, 3, 5, 9, TLR-related adaptor molecules and MD-2 was either not observed or marginal. Mutational analysis using TLR4 mutants indicated that TAK-242 inhibits TLR4 signalling by binding to Cys747 in the intracellular domain of TLR4. TAK-242 inhibited MyD88-independent pathway as well as MyD88-dependent pathway and its inhibitory effect was largely unaffected by lipopolysaccharide (LPS) concentration and types of TLR4 ligands. TAK-242 had no effect on the LPS-induced conformational change of TLR4-MD-2 and TLR4 homodimerization. In mouse sepsis model, although TAK-242 alone did not affect bacterial counts in blood, if co-administered with ceftazidime it inhibited the increases in serum cytokine levels and improved survival of mice. Conclusions and implications: TAK-242 suppressed TLR4 signalling by binding directly to a specific amino acid Cys747 in the intracellular domain of TLR4. When co-administered with antibiotics, TAK-242 showed potent therapeutic effects in an E. coli-induced sepsis model using BCG-primed mice. Thus, TAK-242 may be a promising therapeutic agent for sepsis. © 2009 The British Pharmacological Society All rights reserved.&quot;,&quot;publisher&quot;:&quot;John Wiley &amp; Sons, Ltd&quot;,&quot;issue&quot;:&quot;7&quot;,&quot;volume&quot;:&quot;157&quot;},&quot;isTemporary&quot;:false}],&quot;properties&quot;:{&quot;noteIndex&quot;:0},&quot;isEdited&quot;:false,&quot;manualOverride&quot;:{&quot;isManuallyOverriden&quot;:false,&quot;citeprocText&quot;:&quot;(Takashima &lt;i&gt;et al.&lt;/i&gt;, 2009)&quot;,&quot;manualOverrideText&quot;:&quot;&quot;},&quot;citationTag&quot;:&quot;MENDELEY_CITATION_v3_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&quot;},{&quot;citationID&quot;:&quot;MENDELEY_CITATION_52a4664a-e484-4d2e-847c-a680a508d13d&quot;,&quot;citationItems&quot;:[{&quot;id&quot;:&quot;eab033ee-50e2-37c7-acdd-40056a779547&quot;,&quot;itemData&quot;:{&quot;type&quot;:&quot;article-journal&quot;,&quot;id&quot;:&quot;eab033ee-50e2-37c7-acdd-40056a779547&quot;,&quot;title&quot;:&quot;TAK-242 selectively suppresses Toll-like receptor 4-signaling mediated by the intracellular domain&quot;,&quot;author&quot;:[{&quot;family&quot;:&quot;Kawamoto&quot;,&quot;given&quot;:&quot;Tomohiro&quot;,&quot;parse-names&quot;:false,&quot;dropping-particle&quot;:&quot;&quot;,&quot;non-dropping-particle&quot;:&quot;&quot;},{&quot;family&quot;:&quot;Ii&quot;,&quot;given&quot;:&quot;Masayuki&quot;,&quot;parse-names&quot;:false,&quot;dropping-particle&quot;:&quot;&quot;,&quot;non-dropping-particle&quot;:&quot;&quot;},{&quot;family&quot;:&quot;Kitazaki&quot;,&quot;given&quot;:&quot;Tomoyuki&quot;,&quot;parse-names&quot;:false,&quot;dropping-particle&quot;:&quot;&quot;,&quot;non-dropping-particle&quot;:&quot;&quot;},{&quot;family&quot;:&quot;Iizawa&quot;,&quot;given&quot;:&quot;Yuji&quot;,&quot;parse-names&quot;:false,&quot;dropping-particle&quot;:&quot;&quot;,&quot;non-dropping-particle&quot;:&quot;&quot;},{&quot;family&quot;:&quot;Kimura&quot;,&quot;given&quot;:&quot;Hiroyuki&quot;,&quot;parse-names&quot;:false,&quot;dropping-particle&quot;:&quot;&quot;,&quot;non-dropping-particle&quot;:&quot;&quot;}],&quot;container-title&quot;:&quot;European Journal of Pharmacology&quot;,&quot;accessed&quot;:{&quot;date-parts&quot;:[[2021,2,1]]},&quot;DOI&quot;:&quot;10.1016/j.ejphar.2008.01.026&quot;,&quot;ISSN&quot;:&quot;00142999&quot;,&quot;PMID&quot;:&quot;18299127&quot;,&quot;issued&quot;:{&quot;date-parts&quot;:[[2008,4,14]]},&quot;page&quot;:&quot;40-48&quot;,&quot;abstract&quot;:&quot;TAK-242, a small-molecule antisepsis agent, has shown to suppress lipopolysaccharide (LPS)-induced inflammation. In this study, we demonstrate that TAK-242 is a selective inhibitor of Toll-like receptor (TLR)-4 signaling. TAK-242 almost completely suppressed production of nitric oxide (NO) or tumor necrosis factor (TNF)-α induced by a TLR4-specific ligand, ultra-pure LPS, in mouse RAW264.7, human U-937 and P31/FUJ cells, whereas this agent showed little effect on other TLR ligands, Pam3CSK4 (TLR1/2), peptidoglycan (TLR2/6), double strand RNA (TLR3), R-848 (TLR7) and CpG oligonucleotide (TLR9). Furthermore, TAK-242 potently inhibited nuclear factor (NF)-κB activation induced by ultra-pure LPS in HEK293 cells transiently expressing TLR4 and co-receptors, myeloid differentiation protein-2 (MD2) and CD14, whereas this agent showed little effect on other TLRs, TLR1/2, TLR2/6, TLR3, TLR5, TLR7 and TLR9. TAK-242 also inhibited ligand-independent NF-κB activation resulting from over-expression of TLR4. Although chimera receptors, which are consist of the extracellular domain of CD4 and the intracellular domain of human or mouse TLR4, showed constitutive NF-κB activation, TAK-242 potently inhibited the signaling from CD4-TLR4 chimera receptors. In contrast, the NF-κB activation mediated by TLR4 adaptors, myeloid differentiation factor 88 (MyD88), TIR-associated protein (TIRAP), Toll/IL-1R homology (TIR)-domain-containing adaptor protein-inducing interferon-β (TRIF) or TRIF-related adaptor molecule (TRAM) was not affected by TAK-242. TAK-242 is therefore a selective inhibitor of signaling from the intracellular domain of TLR4 and represents a novel therapeutic approach to the treatment of TLR4-mediated diseases. © 2008 Elsevier B.V. All rights reserved.&quot;,&quot;publisher&quot;:&quot;Elsevier&quot;,&quot;issue&quot;:&quot;1&quot;,&quot;volume&quot;:&quot;584&quot;},&quot;isTemporary&quot;:false}],&quot;properties&quot;:{&quot;noteIndex&quot;:0},&quot;isEdited&quot;:false,&quot;manualOverride&quot;:{&quot;isManuallyOverriden&quot;:false,&quot;citeprocText&quot;:&quot;(Kawamoto &lt;i&gt;et al.&lt;/i&gt;, 2008)&quot;,&quot;manualOverrideText&quot;:&quot;&quot;},&quot;citationTag&quot;:&quot;MENDELEY_CITATION_v3_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&quot;},{&quot;citationID&quot;:&quot;MENDELEY_CITATION_3950afa7-5dd8-49db-91bc-a72169277fc1&quot;,&quot;citationItems&quot;:[{&quot;id&quot;:&quot;e5084f86-4ef8-3ce6-a99c-252cf43c5276&quot;,&quot;itemData&quot;:{&quot;type&quot;:&quot;article-journal&quot;,&quot;id&quot;:&quot;e5084f86-4ef8-3ce6-a99c-252cf43c5276&quot;,&quot;title&quot;:&quot;Effect of eritoran, an antagonist of MD2-TLR4, on mortality in patients with severe sepsis: The ACCESS randomized trial&quot;,&quot;author&quot;:[{&quot;family&quot;:&quot;Opal&quot;,&quot;given&quot;:&quot;Steven M.&quot;,&quot;parse-names&quot;:false,&quot;dropping-particle&quot;:&quot;&quot;,&quot;non-dropping-particle&quot;:&quot;&quot;},{&quot;family&quot;:&quot;Laterre&quot;,&quot;given&quot;:&quot;Pierre Francois&quot;,&quot;parse-names&quot;:false,&quot;dropping-particle&quot;:&quot;&quot;,&quot;non-dropping-particle&quot;:&quot;&quot;},{&quot;family&quot;:&quot;Francois&quot;,&quot;given&quot;:&quot;Bruno&quot;,&quot;parse-names&quot;:false,&quot;dropping-particle&quot;:&quot;&quot;,&quot;non-dropping-particle&quot;:&quot;&quot;},{&quot;family&quot;:&quot;LaRosa&quot;,&quot;given&quot;:&quot;Steven P.&quot;,&quot;parse-names&quot;:false,&quot;dropping-particle&quot;:&quot;&quot;,&quot;non-dropping-particle&quot;:&quot;&quot;},{&quot;family&quot;:&quot;Angus&quot;,&quot;given&quot;:&quot;Derek C.&quot;,&quot;parse-names&quot;:false,&quot;dropping-particle&quot;:&quot;&quot;,&quot;non-dropping-particle&quot;:&quot;&quot;},{&quot;family&quot;:&quot;Mira&quot;,&quot;given&quot;:&quot;Jean Paul&quot;,&quot;parse-names&quot;:false,&quot;dropping-particle&quot;:&quot;&quot;,&quot;non-dropping-particle&quot;:&quot;&quot;},{&quot;family&quot;:&quot;Wittebole&quot;,&quot;given&quot;:&quot;Xavier&quot;,&quot;parse-names&quot;:false,&quot;dropping-particle&quot;:&quot;&quot;,&quot;non-dropping-particle&quot;:&quot;&quot;},{&quot;family&quot;:&quot;Dugernier&quot;,&quot;given&quot;:&quot;Thierry&quot;,&quot;parse-names&quot;:false,&quot;dropping-particle&quot;:&quot;&quot;,&quot;non-dropping-particle&quot;:&quot;&quot;},{&quot;family&quot;:&quot;Perrotin&quot;,&quot;given&quot;:&quot;Dominique&quot;,&quot;parse-names&quot;:false,&quot;dropping-particle&quot;:&quot;&quot;,&quot;non-dropping-particle&quot;:&quot;&quot;},{&quot;family&quot;:&quot;Tidswell&quot;,&quot;given&quot;:&quot;Mark&quot;,&quot;parse-names&quot;:false,&quot;dropping-particle&quot;:&quot;&quot;,&quot;non-dropping-particle&quot;:&quot;&quot;},{&quot;family&quot;:&quot;Jauregui&quot;,&quot;given&quot;:&quot;Luis&quot;,&quot;parse-names&quot;:false,&quot;dropping-particle&quot;:&quot;&quot;,&quot;non-dropping-particle&quot;:&quot;&quot;},{&quot;family&quot;:&quot;Krell&quot;,&quot;given&quot;:&quot;Kenneth&quot;,&quot;parse-names&quot;:false,&quot;dropping-particle&quot;:&quot;&quot;,&quot;non-dropping-particle&quot;:&quot;&quot;},{&quot;family&quot;:&quot;Pachl&quot;,&quot;given&quot;:&quot;Jan&quot;,&quot;parse-names&quot;:false,&quot;dropping-particle&quot;:&quot;&quot;,&quot;non-dropping-particle&quot;:&quot;&quot;},{&quot;family&quot;:&quot;Peckelsen&quot;,&quot;given&quot;:&quot;Takeshi Takahashi Claus&quot;,&quot;parse-names&quot;:false,&quot;dropping-particle&quot;:&quot;&quot;,&quot;non-dropping-particle&quot;:&quot;&quot;},{&quot;family&quot;:&quot;Cordasco&quot;,&quot;given&quot;:&quot;Edward&quot;,&quot;parse-names&quot;:false,&quot;dropping-particle&quot;:&quot;&quot;,&quot;non-dropping-particle&quot;:&quot;&quot;},{&quot;family&quot;:&quot;Chang&quot;,&quot;given&quot;:&quot;Chia Sheng&quot;,&quot;parse-names&quot;:false,&quot;dropping-particle&quot;:&quot;&quot;,&quot;non-dropping-particle&quot;:&quot;&quot;},{&quot;family&quot;:&quot;Oeyen&quot;,&quot;given&quot;:&quot;Sandra&quot;,&quot;parse-names&quot;:false,&quot;dropping-particle&quot;:&quot;&quot;,&quot;non-dropping-particle&quot;:&quot;&quot;},{&quot;family&quot;:&quot;Aikawa&quot;,&quot;given&quot;:&quot;Naoki&quot;,&quot;parse-names&quot;:false,&quot;dropping-particle&quot;:&quot;&quot;,&quot;non-dropping-particle&quot;:&quot;&quot;},{&quot;family&quot;:&quot;Maruyama&quot;,&quot;given&quot;:&quot;Tatsuya&quot;,&quot;parse-names&quot;:false,&quot;dropping-particle&quot;:&quot;&quot;,&quot;non-dropping-particle&quot;:&quot;&quot;},{&quot;family&quot;:&quot;Schein&quot;,&quot;given&quot;:&quot;Roland&quot;,&quot;parse-names&quot;:false,&quot;dropping-particle&quot;:&quot;&quot;,&quot;non-dropping-particle&quot;:&quot;&quot;},{&quot;family&quot;:&quot;Kalil&quot;,&quot;given&quot;:&quot;Andre C.&quot;,&quot;parse-names&quot;:false,&quot;dropping-particle&quot;:&quot;&quot;,&quot;non-dropping-particle&quot;:&quot;&quot;},{&quot;family&quot;:&quot;Nuffelen&quot;,&quot;given&quot;:&quot;Marc&quot;,&quot;parse-names&quot;:false,&quot;dropping-particle&quot;:&quot;&quot;,&quot;non-dropping-particle&quot;:&quot;van&quot;},{&quot;family&quot;:&quot;Lynn&quot;,&quot;given&quot;:&quot;Melvyn&quot;,&quot;parse-names&quot;:false,&quot;dropping-particle&quot;:&quot;&quot;,&quot;non-dropping-particle&quot;:&quot;&quot;},{&quot;family&quot;:&quot;Rossignol&quot;,&quot;given&quot;:&quot;Daniel P.&quot;,&quot;parse-names&quot;:false,&quot;dropping-particle&quot;:&quot;&quot;,&quot;non-dropping-particle&quot;:&quot;&quot;},{&quot;family&quot;:&quot;Gogate&quot;,&quot;given&quot;:&quot;Jogadish&quot;,&quot;parse-names&quot;:false,&quot;dropping-particle&quot;:&quot;&quot;,&quot;non-dropping-particle&quot;:&quot;&quot;},{&quot;family&quot;:&quot;Roberts&quot;,&quot;given&quot;:&quot;Mary B.&quot;,&quot;parse-names&quot;:false,&quot;dropping-particle&quot;:&quot;&quot;,&quot;non-dropping-particle&quot;:&quot;&quot;},{&quot;family&quot;:&quot;Wheeler&quot;,&quot;given&quot;:&quot;Janice L.&quot;,&quot;parse-names&quot;:false,&quot;dropping-particle&quot;:&quot;&quot;,&quot;non-dropping-particle&quot;:&quot;&quot;},{&quot;family&quot;:&quot;Vincent&quot;,&quot;given&quot;:&quot;Jean Louis&quot;,&quot;parse-names&quot;:false,&quot;dropping-particle&quot;:&quot;&quot;,&quot;non-dropping-particle&quot;:&quot;&quot;}],&quot;container-title&quot;:&quot;JAMA - Journal of the American Medical Association&quot;,&quot;accessed&quot;:{&quot;date-parts&quot;:[[2021,2,1]]},&quot;DOI&quot;:&quot;10.1001/jama.2013.2194&quot;,&quot;ISSN&quot;:&quot;00987484&quot;,&quot;PMID&quot;:&quot;23512062&quot;,&quot;URL&quot;:&quot;www.jama.com&quot;,&quot;issued&quot;:{&quot;date-parts&quot;:[[2013,3,20]]},&quot;page&quot;:&quot;1154-1162&quot;,&quot;abstract&quot;:&quot;Importance: Eritoran is a synthetic lipid A antagonist that blocks lipopolysaccharide (LPS) from binding at the cell surface MD2-TLR4 receptor. LPS is a major component of the outer membrane of gram-negative bacteria and is a potent activator of the acute inflammatory response. Objective: To determine if eritoran, a TLR4 antagonist, would significantly reduce sepsis-induced mortality. Design, Setting, and Participants: We performed a randomized, double-blind, placebo-controlled, multinational phase 3 trial in 197 intensive care units. Patients were enrolled from June 2006 to September 2010 and final follow-up was completed in September 2011. Interventions: Patients with severe sepsis (n=1961) were randomized and treated within 12 hours of onset of first organ dysfunction in a 2:1 ratio with a 6-day course of either eritoran tetrasodium (105 mg total) or placebo, with n=1304 and n=657 patients, respectively. Main Outcome Measures: The primary end point was 28-day all-cause mortality. The secondary end points were all-cause mortality at 3, 6, and 12 months after beginning treatment. Results: Baseline characteristics of the 2 study groups were similar. In the modified intent-to-treat analysis (randomized patients who received at least 1 dose) there was no significant difference in the primary end point of 28-day all-cause mortality with 28.1% (366/1304) in the eritoran group vs 26.9% (177/657) in the placebo group (P=.59; hazard ratio, 1.05; 95% CI, 0.88-1.26; difference in mortality rate, -1.1; 95% CI, -5.3 to 3.1) or in the key secondary end point of 1-year all-cause mortality with 44.1% (290/657) in the eritoran group vs 43.3% (565/1304) in the placebo group, Kaplan-Meier analysis of time to death by 1 year, P=.79 (hazard ratio, 0.98; 0.85-1.13). No significant differences were observed in any of the prespecified subgroups. Adverse events, including secondary infection rates, did not differ between study groups. Conclusions and Relevance: Among patients with severe sepsis, the use of eritoran, compared with placebo, did not result in reduced 28-day mortality. Trial Registration: clinicaltrials.gov Identifier: NCT00334828 ©2013 American Medical Association. All rights reserved.&quot;,&quot;publisher&quot;:&quot;American Medical Association&quot;,&quot;issue&quot;:&quot;11&quot;,&quot;volume&quot;:&quot;309&quot;},&quot;isTemporary&quot;:false},{&quot;id&quot;:&quot;e0619739-824b-3070-be21-32e19a5a3976&quot;,&quot;itemData&quot;:{&quot;type&quot;:&quot;article-journal&quot;,&quot;id&quot;:&quot;e0619739-824b-3070-be21-32e19a5a3976&quot;,&quot;title&quot;:&quot;A randomized, double-blind, placebo-controlled trial of TAK-242 for the treatment of severe sepsis*&quot;,&quot;author&quot;:[{&quot;family&quot;:&quot;Rice&quot;,&quot;given&quot;:&quot;Todd W.&quot;,&quot;parse-names&quot;:false,&quot;dropping-particle&quot;:&quot;&quot;,&quot;non-dropping-particle&quot;:&quot;&quot;},{&quot;family&quot;:&quot;Wheeler&quot;,&quot;given&quot;:&quot;Arthur P.&quot;,&quot;parse-names&quot;:false,&quot;dropping-particle&quot;:&quot;&quot;,&quot;non-dropping-particle&quot;:&quot;&quot;},{&quot;family&quot;:&quot;Bernard&quot;,&quot;given&quot;:&quot;Gordon R.&quot;,&quot;parse-names&quot;:false,&quot;dropping-particle&quot;:&quot;&quot;,&quot;non-dropping-particle&quot;:&quot;&quot;},{&quot;family&quot;:&quot;Vincent&quot;,&quot;given&quot;:&quot;Jean-Louis&quot;,&quot;parse-names&quot;:false,&quot;dropping-particle&quot;:&quot;&quot;,&quot;non-dropping-particle&quot;:&quot;&quot;},{&quot;family&quot;:&quot;Angus&quot;,&quot;given&quot;:&quot;Derek C.&quot;,&quot;parse-names&quot;:false,&quot;dropping-particle&quot;:&quot;&quot;,&quot;non-dropping-particle&quot;:&quot;&quot;},{&quot;family&quot;:&quot;Aikawa&quot;,&quot;given&quot;:&quot;Naoki&quot;,&quot;parse-names&quot;:false,&quot;dropping-particle&quot;:&quot;&quot;,&quot;non-dropping-particle&quot;:&quot;&quot;},{&quot;family&quot;:&quot;Demeyer&quot;,&quot;given&quot;:&quot;Ignace&quot;,&quot;parse-names&quot;:false,&quot;dropping-particle&quot;:&quot;&quot;,&quot;non-dropping-particle&quot;:&quot;&quot;},{&quot;family&quot;:&quot;Sainati&quot;,&quot;given&quot;:&quot;Stephen&quot;,&quot;parse-names&quot;:false,&quot;dropping-particle&quot;:&quot;&quot;,&quot;non-dropping-particle&quot;:&quot;&quot;},{&quot;family&quot;:&quot;Amlot&quot;,&quot;given&quot;:&quot;Nicholas&quot;,&quot;parse-names&quot;:false,&quot;dropping-particle&quot;:&quot;&quot;,&quot;non-dropping-particle&quot;:&quot;&quot;},{&quot;family&quot;:&quot;Cao&quot;,&quot;given&quot;:&quot;Charlie&quot;,&quot;parse-names&quot;:false,&quot;dropping-particle&quot;:&quot;&quot;,&quot;non-dropping-particle&quot;:&quot;&quot;},{&quot;family&quot;:&quot;Ii&quot;,&quot;given&quot;:&quot;Masayuki&quot;,&quot;parse-names&quot;:false,&quot;dropping-particle&quot;:&quot;&quot;,&quot;non-dropping-particle&quot;:&quot;&quot;},{&quot;family&quot;:&quot;Matsuda&quot;,&quot;given&quot;:&quot;Hideyasu&quot;,&quot;parse-names&quot;:false,&quot;dropping-particle&quot;:&quot;&quot;,&quot;non-dropping-particle&quot;:&quot;&quot;},{&quot;family&quot;:&quot;Mouri&quot;,&quot;given&quot;:&quot;Kouji&quot;,&quot;parse-names&quot;:false,&quot;dropping-particle&quot;:&quot;&quot;,&quot;non-dropping-particle&quot;:&quot;&quot;},{&quot;family&quot;:&quot;Cohen&quot;,&quot;given&quot;:&quot;Jon&quot;,&quot;parse-names&quot;:false,&quot;dropping-particle&quot;:&quot;&quot;,&quot;non-dropping-particle&quot;:&quot;&quot;}],&quot;container-title&quot;:&quot;Critical Care Medicine&quot;,&quot;accessed&quot;:{&quot;date-parts&quot;:[[2018,4,5]]},&quot;DOI&quot;:&quot;10.1097/CCM.0b013e3181e7c5c9&quot;,&quot;ISSN&quot;:&quot;0090-3493&quot;,&quot;URL&quot;:&quot;https://insights.ovid.com/crossref?an=00003246-201008000-00009&quot;,&quot;issued&quot;:{&quot;date-parts&quot;:[[2010,8]]},&quot;page&quot;:&quot;1685-1694&quot;,&quot;issue&quot;:&quot;8&quot;,&quot;volume&quot;:&quot;38&quot;},&quot;isTemporary&quot;:false}],&quot;properties&quot;:{&quot;noteIndex&quot;:0},&quot;isEdited&quot;:false,&quot;manualOverride&quot;:{&quot;isManuallyOverriden&quot;:false,&quot;citeprocText&quot;:&quot;(Rice &lt;i&gt;et al.&lt;/i&gt;, 2010; Opal &lt;i&gt;et al.&lt;/i&gt;, 2013)&quot;,&quot;manualOverrideText&quot;:&quot;&quot;},&quot;citationTag&quot;:&quot;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&quot;},{&quot;citationID&quot;:&quot;MENDELEY_CITATION_242abe35-59c1-46d2-ac80-4b4c20ef6076&quot;,&quot;citationItems&quot;:[{&quot;id&quot;:&quot;406b2cf4-d39d-36ab-a558-b05fc1602156&quot;,&quot;itemData&quot;:{&quot;type&quot;:&quot;article-journal&quot;,&quot;id&quot;:&quot;406b2cf4-d39d-36ab-a558-b05fc1602156&quot;,&quot;title&quot;:&quot;A PILOT-CONTROLLED STUDY OF A POLYMYXIN B-IMMOBILIZED HEMOPERFUSION CARTRIDGE IN PATIENTS WITH SEVERE SEPSIS SECONDARY TO INTRA-ABDOMINAL INFECTION&quot;,&quot;author&quot;:[{&quot;family&quot;:&quot;Vincent&quot;,&quot;given&quot;:&quot;Jean-Louis&quot;,&quot;parse-names&quot;:false,&quot;dropping-particle&quot;:&quot;&quot;,&quot;non-dropping-particle&quot;:&quot;&quot;},{&quot;family&quot;:&quot;Laterre&quot;,&quot;given&quot;:&quot;Pierre-Fran??ois&quot;,&quot;parse-names&quot;:false,&quot;dropping-particle&quot;:&quot;&quot;,&quot;non-dropping-particle&quot;:&quot;&quot;},{&quot;family&quot;:&quot;Cohen&quot;,&quot;given&quot;:&quot;Jonathan&quot;,&quot;parse-names&quot;:false,&quot;dropping-particle&quot;:&quot;&quot;,&quot;non-dropping-particle&quot;:&quot;&quot;},{&quot;family&quot;:&quot;Burchardi&quot;,&quot;given&quot;:&quot;Hilmar&quot;,&quot;parse-names&quot;:false,&quot;dropping-particle&quot;:&quot;&quot;,&quot;non-dropping-particle&quot;:&quot;&quot;},{&quot;family&quot;:&quot;Bruining&quot;,&quot;given&quot;:&quot;Hajo&quot;,&quot;parse-names&quot;:false,&quot;dropping-particle&quot;:&quot;&quot;,&quot;non-dropping-particle&quot;:&quot;&quot;},{&quot;family&quot;:&quot;Lerma&quot;,&quot;given&quot;:&quot;Francisco Alvarez&quot;,&quot;parse-names&quot;:false,&quot;dropping-particle&quot;:&quot;&quot;,&quot;non-dropping-particle&quot;:&quot;&quot;},{&quot;family&quot;:&quot;Wittebole&quot;,&quot;given&quot;:&quot;Xavier&quot;,&quot;parse-names&quot;:false,&quot;dropping-particle&quot;:&quot;&quot;,&quot;non-dropping-particle&quot;:&quot;&quot;},{&quot;family&quot;:&quot;Backer&quot;,&quot;given&quot;:&quot;Daniel&quot;,&quot;parse-names&quot;:false,&quot;dropping-particle&quot;:&quot;&quot;,&quot;non-dropping-particle&quot;:&quot;de&quot;},{&quot;family&quot;:&quot;Brett&quot;,&quot;given&quot;:&quot;Stephen&quot;,&quot;parse-names&quot;:false,&quot;dropping-particle&quot;:&quot;&quot;,&quot;non-dropping-particle&quot;:&quot;&quot;},{&quot;family&quot;:&quot;Marzo&quot;,&quot;given&quot;:&quot;Dolores&quot;,&quot;parse-names&quot;:false,&quot;dropping-particle&quot;:&quot;&quot;,&quot;non-dropping-particle&quot;:&quot;&quot;},{&quot;family&quot;:&quot;Nakamura&quot;,&quot;given&quot;:&quot;Haruji&quot;,&quot;parse-names&quot;:false,&quot;dropping-particle&quot;:&quot;&quot;,&quot;non-dropping-particle&quot;:&quot;&quot;},{&quot;family&quot;:&quot;John&quot;,&quot;given&quot;:&quot;Stephanie&quot;,&quot;parse-names&quot;:false,&quot;dropping-particle&quot;:&quot;&quot;,&quot;non-dropping-particle&quot;:&quot;&quot;}],&quot;container-title&quot;:&quot;Shock&quot;,&quot;accessed&quot;:{&quot;date-parts&quot;:[[2021,2,1]]},&quot;DOI&quot;:&quot;10.1097/01.shk.0000159930.87737.8a&quot;,&quot;ISSN&quot;:&quot;1073-2322&quot;,&quot;URL&quot;:&quot;http://journals.lww.com/00024382-200505000-00002&quot;,&quot;issued&quot;:{&quot;date-parts&quot;:[[2005,5]]},&quot;page&quot;:&quot;400-405&quot;,&quot;abstract&quot;:&quot;Endotoxin is an important pathogenic trigger for sepsis. The polymyxin B-immobilized endotoxin removal hemoperfusion cartridge, Toraymyxin (hereafter PMX), has been shown to remove endotoxin in preclinical and open-label clinical studies. In a multicenter, open-label, pilot, randomized, controlled study conducted in the intensive care unit in six academic medical centers in Europe, 36 postsurgical patients with severe sepsis or septic shock secondary to intra-abdominal infection were randomized to PMX treatment of 2 h (n = 17) or standard therapy (n = 19). PMX was well tolerated and showed no significant side effects. There were no statistically significant differences in the change in endotoxin levels from baseline to 6 to 8 h after treatment or to 24 h after treatment between the two groups. There was also no significant difference in the change in interleukin (IL)-6 levels from baseline to 6 to 8 h after treatment or to 24 h after treatment between the two groups. Patients treated with PMX demonstrated significant increases in cardiac index (CI; P = 0.012 and 0.032 at days 1 and 2, respectively), left ventricular stroke work index (LVSWI, P = 0.015 at day 2), and oxygen delivery index (DO2I, P = 0.007 at day 2) compared with the controls. The need for continuous renal replacement therapy (CRRT) after study entry was reduced in the PMX group (P = 0.043). There was no significant difference between the groups in organ dysfunction as assessed by the Sequential Organ Failure Assessment (SOFA) scores from day O (baseline) to day 6. Treatment using the PMX cartridge is safe and may improve cardiac and renal dysfunction due to sepsis or septic shock. Further studies are needed to prove this effectiveness.&quot;,&quot;issue&quot;:&quot;5&quot;,&quot;volume&quot;:&quot;23&quot;},&quot;isTemporary&quot;:false}],&quot;properties&quot;:{&quot;noteIndex&quot;:0},&quot;isEdited&quot;:false,&quot;manualOverride&quot;:{&quot;isManuallyOverriden&quot;:false,&quot;citeprocText&quot;:&quot;(Vincent &lt;i&gt;et al.&lt;/i&gt;, 2005)&quot;,&quot;manualOverrideText&quot;:&quot;&quot;},&quot;citationTag&quot;:&quot;MENDELEY_CITATION_v3_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&quot;},{&quot;citationID&quot;:&quot;MENDELEY_CITATION_d2cb8e19-111b-49f0-bc01-49b6f4f1009c&quot;,&quot;citationItems&quot;:[{&quot;id&quot;:&quot;f06c26f2-1c6d-38ab-81e4-d3de348b5570&quot;,&quot;itemData&quot;:{&quot;type&quot;:&quot;article&quot;,&quot;id&quot;:&quot;f06c26f2-1c6d-38ab-81e4-d3de348b5570&quot;,&quot;title&quot;:&quot;Polymyxin B-immobilized hemoperfusion and mortality in critically ill adult patients with sepsis/septic shock: a systematic review with meta-analysis and trial sequential analysis&quot;,&quot;author&quot;:[{&quot;family&quot;:&quot;Fujii&quot;,&quot;given&quot;:&quot;Tomoko&quot;,&quot;parse-names&quot;:false,&quot;dropping-particle&quot;:&quot;&quot;,&quot;non-dropping-particle&quot;:&quot;&quot;},{&quot;family&quot;:&quot;Ganeko&quot;,&quot;given&quot;:&quot;Riki&quot;,&quot;parse-names&quot;:false,&quot;dropping-particle&quot;:&quot;&quot;,&quot;non-dropping-particle&quot;:&quot;&quot;},{&quot;family&quot;:&quot;Kataoka&quot;,&quot;given&quot;:&quot;Yuki&quot;,&quot;parse-names&quot;:false,&quot;dropping-particle&quot;:&quot;&quot;,&quot;non-dropping-particle&quot;:&quot;&quot;},{&quot;family&quot;:&quot;Furukawa&quot;,&quot;given&quot;:&quot;Toshi A.&quot;,&quot;parse-names&quot;:false,&quot;dropping-particle&quot;:&quot;&quot;,&quot;non-dropping-particle&quot;:&quot;&quot;},{&quot;family&quot;:&quot;Featherstone&quot;,&quot;given&quot;:&quot;Robin&quot;,&quot;parse-names&quot;:false,&quot;dropping-particle&quot;:&quot;&quot;,&quot;non-dropping-particle&quot;:&quot;&quot;},{&quot;family&quot;:&quot;Doi&quot;,&quot;given&quot;:&quot;Kent&quot;,&quot;parse-names&quot;:false,&quot;dropping-particle&quot;:&quot;&quot;,&quot;non-dropping-particle&quot;:&quot;&quot;},{&quot;family&quot;:&quot;Vincent&quot;,&quot;given&quot;:&quot;Jean Louis&quot;,&quot;parse-names&quot;:false,&quot;dropping-particle&quot;:&quot;&quot;,&quot;non-dropping-particle&quot;:&quot;&quot;},{&quot;family&quot;:&quot;Pasero&quot;,&quot;given&quot;:&quot;Daniela&quot;,&quot;parse-names&quot;:false,&quot;dropping-particle&quot;:&quot;&quot;,&quot;non-dropping-particle&quot;:&quot;&quot;},{&quot;family&quot;:&quot;Robert&quot;,&quot;given&quot;:&quot;René&quot;,&quot;parse-names&quot;:false,&quot;dropping-particle&quot;:&quot;&quot;,&quot;non-dropping-particle&quot;:&quot;&quot;},{&quot;family&quot;:&quot;Ronco&quot;,&quot;given&quot;:&quot;Claudio&quot;,&quot;parse-names&quot;:false,&quot;dropping-particle&quot;:&quot;&quot;,&quot;non-dropping-particle&quot;:&quot;&quot;},{&quot;family&quot;:&quot;Bagshaw&quot;,&quot;given&quot;:&quot;Sean M.&quot;,&quot;parse-names&quot;:false,&quot;dropping-particle&quot;:&quot;&quot;,&quot;non-dropping-particle&quot;:&quot;&quot;}],&quot;container-title&quot;:&quot;Intensive Care Medicine&quot;,&quot;accessed&quot;:{&quot;date-parts&quot;:[[2021,2,1]]},&quot;DOI&quot;:&quot;10.1007/s00134-017-5004-9&quot;,&quot;ISSN&quot;:&quot;14321238&quot;,&quot;PMID&quot;:&quot;29204670&quot;,&quot;URL&quot;:&quot;https://link.springer.com/article/10.1007/s00134-017-5004-9&quot;,&quot;issued&quot;:{&quot;date-parts&quot;:[[2018,2,1]]},&quot;page&quot;:&quot;167-178&quot;,&quot;abstract&quot;:&quot;Purpose: Polymyxin B-immobilized hemoperfusion (PMX-HP) is an adjuvant therapy for sepsis or septic shock that clears circulating endotoxin. Prior trials have shown that PMX-HP improves surrogate endpoints. We aimed to conduct an evidence synthesis to evaluate the efficacy and safety of PMX-HP in critically ill adult patients with sepsis or septic shock. Methods: We searched for randomized controlled trials (RCTs) in MEDLINE, EMBASE, the Cochrane Library, the Health Technology Assessment Database, CINAHL, “Igaku Chuo Zasshi”, the National Institute of Health Clinical Trials Register, the World Health Organization International Clinical Trials Registry Platform, the University Hospital Medical Information Network Clinical Trials Registry, the reference lists of retrieved articles, and publications by manufacturers of PMX-HP. The primary outcomes were 28-day all-cause mortality, the number of patients with at least one serious adverse event, and organ dysfunction scores. The GRADE methodology for the certainty of evidence was used. Results: Six trials (857 participants; weighted mean age 62.5 years) proved eligible. Patient-oriented primary outcomes were assessed. The pooled risk ratio (RR) for 28-day mortality associated with PMX-HP was 1.03 [95% confidence interval (CI) 0.78–1.36; I 2  = 25%; n = 797]. The pooled RR for adverse events was 2.17 (95% CI 0.68–6.94; I 2  = 0%; n = 717). Organ dysfunction scores over 24–72 h after PMX-HP treatment did not change significantly (standardized mean difference − 0.26; 95% CI − 0.64 to 0.12; I 2  = 78%; n = 797). The certainty of the body of evidence was judged as low for both benefit and harm using the GRADE methodology. Conclusions: There is currently insufficient evidence to support the routine use of PMX-HP to treat patients with sepsis or septic shock. Registration: PROSPERO International Prospective Register of Systematic Reviews (CRD42016038356).&quot;,&quot;publisher&quot;:&quot;Springer Verlag&quot;,&quot;issue&quot;:&quot;2&quot;,&quot;volume&quot;:&quot;44&quot;},&quot;isTemporary&quot;:false}],&quot;properties&quot;:{&quot;noteIndex&quot;:0},&quot;isEdited&quot;:false,&quot;manualOverride&quot;:{&quot;isManuallyOverriden&quot;:false,&quot;citeprocText&quot;:&quot;(Fujii &lt;i&gt;et al.&lt;/i&gt;, 2018)&quot;,&quot;manualOverrideText&quot;:&quot;(Fujii et al., 2018&quot;,&quot;isManuallyOverridden&quot;:true},&quot;citationTag&quot;:&quot;MENDELEY_CITATION_v3_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&quot;},{&quot;citationID&quot;:&quot;MENDELEY_CITATION_8c48b55d-cf81-43c6-92f2-b3ab3cb10121&quot;,&quot;citationItems&quot;:[{&quot;id&quot;:&quot;3bb762f4-6bb7-3bc5-af85-b0c020e2fe21&quot;,&quot;itemData&quot;:{&quot;type&quot;:&quot;article&quot;,&quot;id&quot;:&quot;3bb762f4-6bb7-3bc5-af85-b0c020e2fe21&quot;,&quot;title&quot;:&quot;Toll-like receptor 4 (TLR4) modulation by synthetic and natural compounds: An update&quot;,&quot;author&quot;:[{&quot;family&quot;:&quot;Peri&quot;,&quot;given&quot;:&quot;Francesco&quot;,&quot;parse-names&quot;:false,&quot;dropping-particle&quot;:&quot;&quot;,&quot;non-dropping-particle&quot;:&quot;&quot;},{&quot;family&quot;:&quot;Calabrese&quot;,&quot;given&quot;:&quot;Valentina&quot;,&quot;parse-names&quot;:false,&quot;dropping-particle&quot;:&quot;&quot;,&quot;non-dropping-particle&quot;:&quot;&quot;}],&quot;container-title&quot;:&quot;Journal of Medicinal Chemistry&quot;,&quot;accessed&quot;:{&quot;date-parts&quot;:[[2021,2,1]]},&quot;DOI&quot;:&quot;10.1021/jm401006s&quot;,&quot;ISSN&quot;:&quot;15204804&quot;,&quot;PMID&quot;:&quot;24188011&quot;,&quot;URL&quot;:&quot;https://pubs.acs.org/doi/abs/10.1021/jm401006s&quot;,&quot;issued&quot;:{&quot;date-parts&quot;:[[2014,5,8]]},&quot;page&quot;:&quot;3612-3622&quot;,&quot;abstract&quot;:&quot;Toll-like receptor 4 (TLR4), together with MD-2, binds bacterial endotoxins (E) with high affinity, triggering formation of the activated homodimer (E.MD-2.TLR4)2. Activated TLR4 induces intracellular signaling leading to activation of transcription factors that result in cytokine and chemokine production and initiation of inflammatory and immune responses. TLR4 also responds to endogenous ligands called danger associated molecular patterns (DAMPs). Increased sensitivity to infection and a variety of immune pathologies have been associated with either too little or too much TLR4 activation. We review here the molecular mechanisms of TLR4 activation (agonism) or inhibition (antagonism) by small organic molecules of both natural and synthetic origin. The role of co-receptors MD-2 and CD14 in the TLR4 modulation process is also discussed. Recent achievements in the field of chemical TLR4 modulation are reviewed, with special focus on nonclassical TLR4 ligands with a chemical structure different from that of lipid A. © 2013 American Chemical Society.&quot;,&quot;publisher&quot;:&quot;American Chemical Society&quot;,&quot;issue&quot;:&quot;9&quot;,&quot;volume&quot;:&quot;57&quot;},&quot;isTemporary&quot;:false}],&quot;properties&quot;:{&quot;noteIndex&quot;:0},&quot;isEdited&quot;:false,&quot;manualOverride&quot;:{&quot;isManuallyOverriden&quot;:false,&quot;citeprocText&quot;:&quot;(Peri and Calabrese, 2014)&quot;,&quot;manualOverrideText&quot;:&quot;&quot;},&quot;citationTag&quot;:&quot;MENDELEY_CITATION_v3_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&quot;},{&quot;citationID&quot;:&quot;MENDELEY_CITATION_94d53d8b-06ec-4336-a3c7-c79561d2ef9e&quot;,&quot;citationItems&quot;:[{&quot;id&quot;:&quot;ec0a16f7-af09-319b-9ef0-ee34d7998c4a&quot;,&quot;itemData&quot;:{&quot;type&quot;:&quot;article-journal&quot;,&quot;id&quot;:&quot;ec0a16f7-af09-319b-9ef0-ee34d7998c4a&quot;,&quot;title&quot;:&quot;Therapeutic targeting of innate immunity with Toll-like receptor 4 (TLR4) antagonists&quot;,&quot;author&quot;:[{&quot;family&quot;:&quot;Peri&quot;,&quot;given&quot;:&quot;Francesco&quot;,&quot;parse-names&quot;:false,&quot;dropping-particle&quot;:&quot;&quot;,&quot;non-dropping-particle&quot;:&quot;&quot;},{&quot;family&quot;:&quot;Piazza&quot;,&quot;given&quot;:&quot;Matteo&quot;,&quot;parse-names&quot;:false,&quot;dropping-particle&quot;:&quot;&quot;,&quot;non-dropping-particle&quot;:&quot;&quot;}],&quot;container-title&quot;:&quot;Biotechnology Advances&quot;,&quot;accessed&quot;:{&quot;date-parts&quot;:[[2018,4,5]]},&quot;DOI&quot;:&quot;10.1016/J.BIOTECHADV.2011.05.014&quot;,&quot;ISSN&quot;:&quot;0734-9750&quot;,&quot;URL&quot;:&quot;https://www.sciencedirect.com/science/article/pii/S0734975011000693&quot;,&quot;issued&quot;:{&quot;date-parts&quot;:[[2012,1,1]]},&quot;page&quot;:&quot;251-260&quot;,&quot;abstract&quot;:&quot;Early recognition of invading bacteria by the innate immune system has a crucial function in antibacterial defense by triggering inflammatory responses that prevent the spread of infection and suppress bacterial growth. Toll-like receptor 4 (TLR4), the innate immunity receptor of bacterial endotoxins, plays a pivotal role in the induction of inflammatory responses. TLR4 activation by bacterial lipopolysaccharide (LPS) is achieved by the coordinate and sequential action of three other proteins, LBP, CD14 and MD-2 receptors, that bind lipopolysaccharide (LPS) and present it to TLR4 by forming the activated (TLR4-MD-2-LPS)2 complex. Small molecules active in modulating the TLR4 activation process have great pharmacological interest as vaccine adjuvants, immunotherapeutics or antisepsis and anti-inflammatory agents. In this review we present natural and synthetic molecules active in inhibiting TLR4-mediated LPS signalling in humans and their therapeutic potential. New pharmacological applications of TLR4 antagonists will be also presented related to the recently discovered role of TLR4 in the insurgence and progression of neuropathic pain and sterile inflammations.&quot;,&quot;publisher&quot;:&quot;Elsevier&quot;,&quot;issue&quot;:&quot;1&quot;,&quot;volume&quot;:&quot;30&quot;},&quot;isTemporary&quot;:false},{&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properties&quot;:{&quot;noteIndex&quot;:0},&quot;isEdited&quot;:false,&quot;manualOverride&quot;:{&quot;isManuallyOverriden&quot;:false,&quot;citeprocText&quot;:&quot;(Peri and Piazza, 2012; Cighetti &lt;i&gt;et al.&lt;/i&gt;, 2014)&quot;,&quot;manualOverrideText&quot;:&quot;&quot;},&quot;citationTag&quot;:&quot;MENDELEY_CITATION_v3_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&quot;},{&quot;citationID&quot;:&quot;MENDELEY_CITATION_090af6ae-da92-436d-baad-a14e119d156f&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properties&quot;:{&quot;noteIndex&quot;:0},&quot;isEdited&quot;:false,&quot;manualOverride&quot;:{&quot;isManuallyOverriden&quot;:false,&quot;citeprocText&quot;:&quot;(Cighetti &lt;i&gt;et al.&lt;/i&gt;, 2014)&quot;,&quot;manualOverrideText&quot;:&quot;&quot;},&quot;citationTag&quot;:&quot;MENDELEY_CITATION_v3_eyJjaXRhdGlvbklEIjoiTUVOREVMRVlfQ0lUQVRJT05fMDkwYWY2YWUtZGE5Mi00MzZkLWJhYWQtYTE0ZTExOWQxNTZm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quot;},{&quot;citationID&quot;:&quot;MENDELEY_CITATION_4b56ef0c-d050-4871-852d-f400b9facaa5&quot;,&quot;citationItems&quot;:[{&quot;id&quot;:&quot;c9729dc8-5957-3221-a1a6-1b5b75337323&quot;,&quot;itemData&quot;:{&quot;type&quot;:&quot;article-journal&quot;,&quot;id&quot;:&quot;c9729dc8-5957-3221-a1a6-1b5b75337323&quot;,&quot;title&quot;:&quot;The structural basis of lipopolysaccharide recognition by the TLR4–MD-2 complex&quot;,&quot;author&quot;:[{&quot;family&quot;:&quot;Park&quot;,&quot;given&quot;:&quot;Beom Seok&quot;,&quot;parse-names&quot;:false,&quot;dropping-particle&quot;:&quot;&quot;,&quot;non-dropping-particle&quot;:&quot;&quot;},{&quot;family&quot;:&quot;Song&quot;,&quot;given&quot;:&quot;Dong Hyun&quot;,&quot;parse-names&quot;:false,&quot;dropping-particle&quot;:&quot;&quot;,&quot;non-dropping-particle&quot;:&quot;&quot;},{&quot;family&quot;:&quot;Kim&quot;,&quot;given&quot;:&quot;Ho Min&quot;,&quot;parse-names&quot;:false,&quot;dropping-particle&quot;:&quot;&quot;,&quot;non-dropping-particle&quot;:&quot;&quot;},{&quot;family&quot;:&quot;Choi&quot;,&quot;given&quot;:&quot;Byong-Seok&quot;,&quot;parse-names&quot;:false,&quot;dropping-particle&quot;:&quot;&quot;,&quot;non-dropping-particle&quot;:&quot;&quot;},{&quot;family&quot;:&quot;Lee&quot;,&quot;given&quot;:&quot;Hayyoung&quot;,&quot;parse-names&quot;:false,&quot;dropping-particle&quot;:&quot;&quot;,&quot;non-dropping-particle&quot;:&quot;&quot;},{&quot;family&quot;:&quot;Lee&quot;,&quot;given&quot;:&quot;Jie-Oh&quot;,&quot;parse-names&quot;:false,&quot;dropping-particle&quot;:&quot;&quot;,&quot;non-dropping-particle&quot;:&quot;&quot;}],&quot;container-title&quot;:&quot;Nature&quot;,&quot;accessed&quot;:{&quot;date-parts&quot;:[[2018,4,5]]},&quot;DOI&quot;:&quot;10.1038/nature07830&quot;,&quot;ISSN&quot;:&quot;0028-0836&quot;,&quot;URL&quot;:&quot;http://www.nature.com/articles/nature07830&quot;,&quot;issued&quot;:{&quot;date-parts&quot;:[[2009,4,1]]},&quot;page&quot;:&quot;1191-1195&quot;,&quot;abstract&quot;:&quot;This paper describes the crystal structure of TLR4-MD-2-LPS, the complex between Toll-like receptor 4, myeloid differentiation factor 2 and lipopolysaccharide (LPS).The structure reveals how the TLR4-MD-2-receptor complex recognizes LPS, a major component of the outer membrane of Gram negative bacteria that induces strong inflammatory responses by activating the human innate immune system. This work throws light on the important role of Toll-like receptor in innate immunity.&quot;,&quot;publisher&quot;:&quot;Nature Publishing Group&quot;,&quot;issue&quot;:&quot;7242&quot;,&quot;volume&quot;:&quot;458&quot;},&quot;isTemporary&quot;:false}],&quot;properties&quot;:{&quot;noteIndex&quot;:0},&quot;isEdited&quot;:false,&quot;manualOverride&quot;:{&quot;isManuallyOverriden&quot;:false,&quot;citeprocText&quot;:&quot;(Park &lt;i&gt;et al.&lt;/i&gt;, 2009)&quot;,&quot;manualOverrideText&quot;:&quot;&quot;},&quot;citationTag&quot;:&quot;MENDELEY_CITATION_v3_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&quot;},{&quot;citationID&quot;:&quot;MENDELEY_CITATION_2725bc37-c1ab-4fb9-afad-d706e4b773be&quot;,&quot;citationItems&quot;:[{&quot;id&quot;:&quot;f54396d5-c6fa-3546-869b-17e21e8e7981&quot;,&quot;itemData&quot;:{&quot;type&quot;:&quot;article-journal&quot;,&quot;id&quot;:&quot;f54396d5-c6fa-3546-869b-17e21e8e7981&quot;,&quot;title&quot;:&quot;Crystal Structure of the TLR4-MD-2 Complex with Bound Endotoxin Antagonist Eritoran&quot;,&quot;author&quot;:[{&quot;family&quot;:&quot;Kim&quot;,&quot;given&quot;:&quot;Ho Min&quot;,&quot;parse-names&quot;:false,&quot;dropping-particle&quot;:&quot;&quot;,&quot;non-dropping-particle&quot;:&quot;&quot;},{&quot;family&quot;:&quot;Park&quot;,&quot;given&quot;:&quot;Beom Seok&quot;,&quot;parse-names&quot;:false,&quot;dropping-particle&quot;:&quot;&quot;,&quot;non-dropping-particle&quot;:&quot;&quot;},{&quot;family&quot;:&quot;Kim&quot;,&quot;given&quot;:&quot;Jung In&quot;,&quot;parse-names&quot;:false,&quot;dropping-particle&quot;:&quot;&quot;,&quot;non-dropping-particle&quot;:&quot;&quot;},{&quot;family&quot;:&quot;Kim&quot;,&quot;given&quot;:&quot;Sung Eun&quot;,&quot;parse-names&quot;:false,&quot;dropping-particle&quot;:&quot;&quot;,&quot;non-dropping-particle&quot;:&quot;&quot;},{&quot;family&quot;:&quot;Lee&quot;,&quot;given&quot;:&quot;Judong&quot;,&quot;parse-names&quot;:false,&quot;dropping-particle&quot;:&quot;&quot;,&quot;non-dropping-particle&quot;:&quot;&quot;},{&quot;family&quot;:&quot;Oh&quot;,&quot;given&quot;:&quot;Se Cheol&quot;,&quot;parse-names&quot;:false,&quot;dropping-particle&quot;:&quot;&quot;,&quot;non-dropping-particle&quot;:&quot;&quot;},{&quot;family&quot;:&quot;Enkhbayar&quot;,&quot;given&quot;:&quot;Purevjav&quot;,&quot;parse-names&quot;:false,&quot;dropping-particle&quot;:&quot;&quot;,&quot;non-dropping-particle&quot;:&quot;&quot;},{&quot;family&quot;:&quot;Matsushima&quot;,&quot;given&quot;:&quot;Norio&quot;,&quot;parse-names&quot;:false,&quot;dropping-particle&quot;:&quot;&quot;,&quot;non-dropping-particle&quot;:&quot;&quot;},{&quot;family&quot;:&quot;Lee&quot;,&quot;given&quot;:&quot;Hayyoung&quot;,&quot;parse-names&quot;:false,&quot;dropping-particle&quot;:&quot;&quot;,&quot;non-dropping-particle&quot;:&quot;&quot;},{&quot;family&quot;:&quot;Yoo&quot;,&quot;given&quot;:&quot;Ook Joon&quot;,&quot;parse-names&quot;:false,&quot;dropping-particle&quot;:&quot;&quot;,&quot;non-dropping-particle&quot;:&quot;&quot;},{&quot;family&quot;:&quot;Lee&quot;,&quot;given&quot;:&quot;Jie Oh&quot;,&quot;parse-names&quot;:false,&quot;dropping-particle&quot;:&quot;&quot;,&quot;non-dropping-particle&quot;:&quot;&quot;}],&quot;container-title&quot;:&quot;Cell&quot;,&quot;accessed&quot;:{&quot;date-parts&quot;:[[2021,2,1]]},&quot;DOI&quot;:&quot;10.1016/j.cell.2007.08.002&quot;,&quot;ISSN&quot;:&quot;00928674&quot;,&quot;PMID&quot;:&quot;17803912&quot;,&quot;issued&quot;:{&quot;date-parts&quot;:[[2007,9,7]]},&quot;page&quot;:&quot;906-917&quot;,&quot;abstract&quot;:&quot;TLR4 and MD-2 form a heterodimer that recognizes LPS (lipopolysaccharide) from Gram-negative bacteria. Eritoran is an analog of LPS that antagonizes its activity by binding to the TLR4-MD-2 complex. We determined the structure of the full-length ectodomain of the mouse TLR4 and MD-2 complex. We also produced a series of hybrids of human TLR4 and hagfish VLR and determined their structures with and without bound MD-2 and Eritoran. TLR4 is an atypical member of the LRR family and is composed of N-terminal, central, and C-terminal domains. The β sheet of the central domain shows unusually small radii and large twist angles. MD-2 binds to the concave surface of the N-terminal and central domains. The interaction with Eritoran is mediated by a hydrophobic internal pocket in MD-2. Based on structural analysis and mutagenesis experiments on MD-2 and TLR4, we propose a model of TLR4-MD-2 dimerization induced by LPS. © 2007 Elsevier Inc. All rights reserved.&quot;,&quot;publisher&quot;:&quot;Cell Press&quot;,&quot;issue&quot;:&quot;5&quot;,&quot;volume&quot;:&quot;130&quot;},&quot;isTemporary&quot;:false},{&quot;id&quot;:&quot;3a677243-4e1f-3690-ab44-bef911ac77b4&quot;,&quot;itemData&quot;:{&quot;type&quot;:&quot;article-journal&quot;,&quot;id&quot;:&quot;3a677243-4e1f-3690-ab44-bef911ac77b4&quot;,&quot;title&quot;:&quot;Structural basis of species-specific endotoxin sensing by innate immune receptor TLR4/MD-2.&quot;,&quot;author&quot;:[{&quot;family&quot;:&quot;Ohto&quot;,&quot;given&quot;:&quot;Umeharu&quot;,&quot;parse-names&quot;:false,&quot;dropping-particle&quot;:&quot;&quot;,&quot;non-dropping-particle&quot;:&quot;&quot;},{&quot;family&quot;:&quot;Fukase&quot;,&quot;given&quot;:&quot;Koichi&quot;,&quot;parse-names&quot;:false,&quot;dropping-particle&quot;:&quot;&quot;,&quot;non-dropping-particle&quot;:&quot;&quot;},{&quot;family&quot;:&quot;Miyake&quot;,&quot;given&quot;:&quot;Kensuke&quot;,&quot;parse-names&quot;:false,&quot;dropping-particle&quot;:&quot;&quot;,&quot;non-dropping-particle&quot;:&quot;&quot;},{&quot;family&quot;:&quot;Shimizu&quot;,&quot;given&quot;:&quot;Toshiyuki&quot;,&quot;parse-names&quot;:false,&quot;dropping-particle&quot;:&quot;&quot;,&quot;non-dropping-particle&quot;:&quot;&quot;}],&quot;container-title&quot;:&quot;Proceedings of the National Academy of Sciences of the United States of America&quot;,&quot;accessed&quot;:{&quot;date-parts&quot;:[[2018,4,5]]},&quot;DOI&quot;:&quot;10.1073/pnas.1201193109&quot;,&quot;ISSN&quot;:&quot;1091-6490&quot;,&quot;PMID&quot;:&quot;22532668&quot;,&quot;URL&quot;:&quot;http://www.ncbi.nlm.nih.gov/pubmed/22532668&quot;,&quot;issued&quot;:{&quot;date-parts&quot;:[[2012,5,8]]},&quot;page&quot;:&quot;7421-6&quot;,&quot;abstract&quot;:&quot;Lipopolysaccharide (LPS), also known as endotoxin, activates the innate immune response through toll-like receptor 4 (TLR4) and its coreceptor, MD-2. MD-2 has a unique hydrophobic cavity that directly binds to lipid A, the active center of LPS. Tetraacylated lipid IVa, a synthetic lipid A precursor, acts as a weak agonist to mouse TLR4/MD-2, but as an antagonist to human TLR4/MD-2. However, it remains unclear as to how LPS and lipid IVa show agonistic or antagonistic activities in a species-specific manner. The present study reports the crystal structures of mouse TLR4/MD-2/LPS and TLR4/MD-2/lipid IVa complexes at 2.5 and 2.7 Å resolutions, respectively. Mouse TLR4/MD-2/LPS exhibited an agonistic \&quot;m\&quot;-shaped 2:2:2 complex similar to the human TLR4/MD-2/LPS complex. Mouse TLR4/MD-2/lipid IVa complex also showed an agonistic structural feature, exhibiting architecture similar to the 2:2:2 complex. Remarkably, lipid IVa in the mouse TLR4/MD-2 complex occupied nearly the same space as LPS, although lipid IVa lacked the two acyl chains. Human MD-2 binds lipid IVa in an antagonistic manner completely differently from the way mouse MD-2 does. Together, the results provide structural evidence of the agonistic property of lipid IVa on mouse TLR4/MD-2 and deepen understanding of the ligand binding and dimerization mechanism by the structurally diverse LPS variants.&quot;,&quot;publisher&quot;:&quot;National Academy of Sciences&quot;,&quot;issue&quot;:&quot;19&quot;,&quot;volume&quot;:&quot;109&quot;},&quot;isTemporary&quot;:false}],&quot;properties&quot;:{&quot;noteIndex&quot;:0},&quot;isEdited&quot;:false,&quot;manualOverride&quot;:{&quot;isManuallyOverriden&quot;:false,&quot;citeprocText&quot;:&quot;(Kim &lt;i&gt;et al.&lt;/i&gt;, 2007; Ohto &lt;i&gt;et al.&lt;/i&gt;, 2012)&quot;,&quot;manualOverrideText&quot;:&quot;&quot;},&quot;citationTag&quot;:&quot;MENDELEY_CITATION_v3_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&quot;},{&quot;citationID&quot;:&quot;MENDELEY_CITATION_56054581-4a67-4f71-98d0-a3634b053711&quot;,&quot;citationItems&quot;:[{&quot;id&quot;:&quot;69302d28-1d30-37e4-9b63-b893669d9ad2&quot;,&quot;itemData&quot;:{&quot;type&quot;:&quot;article-journal&quot;,&quot;id&quot;:&quot;69302d28-1d30-37e4-9b63-b893669d9ad2&quot;,&quot;title&quot;:&quot;Structure-Activity Relationship of Synthetic Toll-like Receptor 4 Agonists&quot;,&quot;author&quot;:[{&quot;family&quot;:&quot;Stöver&quot;,&quot;given&quot;:&quot;Axel G.&quot;,&quot;parse-names&quot;:false,&quot;dropping-particle&quot;:&quot;&quot;,&quot;non-dropping-particle&quot;:&quot;&quot;},{&quot;family&quot;:&quot;Silva Correia&quot;,&quot;given&quot;:&quot;Jean&quot;,&quot;parse-names&quot;:false,&quot;dropping-particle&quot;:&quot;&quot;,&quot;non-dropping-particle&quot;:&quot;da&quot;},{&quot;family&quot;:&quot;Evans&quot;,&quot;given&quot;:&quot;Jay T.&quot;,&quot;parse-names&quot;:false,&quot;dropping-particle&quot;:&quot;&quot;,&quot;non-dropping-particle&quot;:&quot;&quot;},{&quot;family&quot;:&quot;Cluff&quot;,&quot;given&quot;:&quot;Christopher W.&quot;,&quot;parse-names&quot;:false,&quot;dropping-particle&quot;:&quot;&quot;,&quot;non-dropping-particle&quot;:&quot;&quot;},{&quot;family&quot;:&quot;Elliott&quot;,&quot;given&quot;:&quot;Mark W.&quot;,&quot;parse-names&quot;:false,&quot;dropping-particle&quot;:&quot;&quot;,&quot;non-dropping-particle&quot;:&quot;&quot;},{&quot;family&quot;:&quot;Jeffery&quot;,&quot;given&quot;:&quot;Eric W.&quot;,&quot;parse-names&quot;:false,&quot;dropping-particle&quot;:&quot;&quot;,&quot;non-dropping-particle&quot;:&quot;&quot;},{&quot;family&quot;:&quot;Johnson&quot;,&quot;given&quot;:&quot;David A.&quot;,&quot;parse-names&quot;:false,&quot;dropping-particle&quot;:&quot;&quot;,&quot;non-dropping-particle&quot;:&quot;&quot;},{&quot;family&quot;:&quot;Lacy&quot;,&quot;given&quot;:&quot;Michael J.&quot;,&quot;parse-names&quot;:false,&quot;dropping-particle&quot;:&quot;&quot;,&quot;non-dropping-particle&quot;:&quot;&quot;},{&quot;family&quot;:&quot;Baldridge&quot;,&quot;given&quot;:&quot;Jory R.&quot;,&quot;parse-names&quot;:false,&quot;dropping-particle&quot;:&quot;&quot;,&quot;non-dropping-particle&quot;:&quot;&quot;},{&quot;family&quot;:&quot;Probst&quot;,&quot;given&quot;:&quot;Peter&quot;,&quot;parse-names&quot;:false,&quot;dropping-particle&quot;:&quot;&quot;,&quot;non-dropping-particle&quot;:&quot;&quot;},{&quot;family&quot;:&quot;Ulevitch&quot;,&quot;given&quot;:&quot;Richard J.&quot;,&quot;parse-names&quot;:false,&quot;dropping-particle&quot;:&quot;&quot;,&quot;non-dropping-particle&quot;:&quot;&quot;},{&quot;family&quot;:&quot;Persing&quot;,&quot;given&quot;:&quot;David H.&quot;,&quot;parse-names&quot;:false,&quot;dropping-particle&quot;:&quot;&quot;,&quot;non-dropping-particle&quot;:&quot;&quot;},{&quot;family&quot;:&quot;Hershberg&quot;,&quot;given&quot;:&quot;Robert M.&quot;,&quot;parse-names&quot;:false,&quot;dropping-particle&quot;:&quot;&quot;,&quot;non-dropping-particle&quot;:&quot;&quot;}],&quot;container-title&quot;:&quot;Journal of Biological Chemistry&quot;,&quot;accessed&quot;:{&quot;date-parts&quot;:[[2021,1,31]]},&quot;DOI&quot;:&quot;10.1074/jbc.M310760200&quot;,&quot;ISSN&quot;:&quot;00219258&quot;,&quot;PMID&quot;:&quot;14570885&quot;,&quot;issued&quot;:{&quot;date-parts&quot;:[[2004,2,6]]},&quot;page&quot;:&quot;4440-4449&quot;,&quot;abstract&quot;:&quot;Important questions remain regarding the impact of variations in the structure of the lipid A portion of lipopolysaccharide on activation of cells via the Toll-like receptor 4 complex. We have studied a series of synthetic lipid A mimetic compounds known as aminoalkyl glucosaminide phosphates in which the length of the secondary acyl chain has been systematically varied. Using transcriptional profiling of human monocytes and responses of Toll-like receptor 4 complex cell transfectants, we demonstrate a clear dependence of length on secondary acyl chain on Toll-like receptor 4 activation. Compounds with secondary acyl chains less than eight carbons in length have dramatically reduced activity, and substitutions of the left-sided secondary acyl chain had the most important effect on the Toll-like receptor 4 agonist activity of these molecules. The structure-function relationships of these compounds assessed via the induction of chemokines and cytokines following in vivo administration closely mirrored those seen with cell-based studies. This novel set of synthetic lipid A mimetics will be useful for Toll-like receptor 4-based investigations and may have clinical utility as stand-alone immunomodulators.&quot;,&quot;publisher&quot;:&quot;Elsevier&quot;,&quot;issue&quot;:&quot;6&quot;,&quot;volume&quot;:&quot;279&quot;},&quot;isTemporary&quot;:false}],&quot;properties&quot;:{&quot;noteIndex&quot;:0},&quot;isEdited&quot;:false,&quot;manualOverride&quot;:{&quot;isManuallyOverriden&quot;:false,&quot;citeprocText&quot;:&quot;(Stöver &lt;i&gt;et al.&lt;/i&gt;, 2004)&quot;,&quot;manualOverrideText&quot;:&quot;&quot;},&quot;citationTag&quot;:&quot;MENDELEY_CITATION_v3_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&quot;},{&quot;citationID&quot;:&quot;MENDELEY_CITATION_1448bb3e-d5fe-4654-8509-898526ce588c&quot;,&quot;citationItems&quot;:[{&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en&quot;:false,&quot;citeprocText&quot;:&quot;(Facchini &lt;i&gt;et al.&lt;/i&gt;, 2018)&quot;,&quot;manualOverrideText&quot;:&quot;(Facchini et al., 2018).&quot;,&quot;isManuallyOverridden&quot;:true},&quot;citationTag&quot;:&quot;MENDELEY_CITATION_v3_eyJjaXRhdGlvbklEIjoiTUVOREVMRVlfQ0lUQVRJT05fMTQ0OGJiM2UtZDVmZS00NjU0LTg1MDktODk4NTI2Y2U1ODhj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GYWNjaGluaSA8aT5ldCBhbC48L2k+LCAyMDE4KSIsIm1hbnVhbE92ZXJyaWRlVGV4dCI6IihGYWNjaGluaSBldCBhbC4sIDIwMTgpLiIsImlzTWFudWFsbHlPdmVycmlkZGVuIjp0cnVlfX0=&quot;},{&quot;citationID&quot;:&quot;MENDELEY_CITATION_2cd117f9-b9d4-447f-80f0-95a9e0563b78&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properties&quot;:{&quot;noteIndex&quot;:0},&quot;isEdited&quot;:false,&quot;manualOverride&quot;:{&quot;isManuallyOverriden&quot;:false,&quot;citeprocText&quot;:&quot;(Cighetti &lt;i&gt;et al.&lt;/i&gt;, 2014)&quot;,&quot;manualOverrideText&quot;:&quot;&quot;},&quot;citationTag&quot;:&quot;MENDELEY_CITATION_v3_eyJjaXRhdGlvbklEIjoiTUVOREVMRVlfQ0lUQVRJT05fMmNkMTE3ZjktYjlkNC00NDdmLTgwZjAtOTVhOWUwNTYzYjc4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quot;},{&quot;citationID&quot;:&quot;MENDELEY_CITATION_28f7e53d-1e2a-4e0a-b7a4-fdbc2fa3b07b&quot;,&quot;citationItems&quot;:[{&quot;id&quot;:&quot;dd61b1b4-e4f0-3465-803b-be3cb9d6f594&quot;,&quot;itemData&quot;:{&quot;type&quot;:&quot;article-journal&quot;,&quot;id&quot;:&quot;dd61b1b4-e4f0-3465-803b-be3cb9d6f594&quot;,&quot;title&quot;:&quot;TLR4 antagonist FP7 inhibits LPS-induced cytokine production and glycolytic reprogramming in dendritic cells, and protects mice from lethal influenza infection&quot;,&quot;author&quot;:[{&quot;family&quot;:&quot;Perrin-Cocon&quot;,&quot;given&quot;:&quot;Laure&quot;,&quot;parse-names&quot;:false,&quot;dropping-particle&quot;:&quot;&quot;,&quot;non-dropping-particle&quot;:&quot;&quot;},{&quot;family&quot;:&quot;Aublin-Gex&quot;,&quot;given&quot;:&quot;Anne&quot;,&quot;parse-names&quot;:false,&quot;dropping-particle&quot;:&quot;&quot;,&quot;non-dropping-particle&quot;:&quot;&quot;},{&quot;family&quot;:&quot;Sestito&quot;,&quot;given&quot;:&quot;Stefania E.&quot;,&quot;parse-names&quot;:false,&quot;dropping-particle&quot;:&quot;&quot;,&quot;non-dropping-particle&quot;:&quot;&quot;},{&quot;family&quot;:&quot;Shirey&quot;,&quot;given&quot;:&quot;Kari Ann&quot;,&quot;parse-names&quot;:false,&quot;dropping-particle&quot;:&quot;&quot;,&quot;non-dropping-particle&quot;:&quot;&quot;},{&quot;family&quot;:&quot;Patel&quot;,&quot;given&quot;:&quot;Mira C.&quot;,&quot;parse-names&quot;:false,&quot;dropping-particle&quot;:&quot;&quot;,&quot;non-dropping-particle&quot;:&quot;&quot;},{&quot;family&quot;:&quot;André&quot;,&quot;given&quot;:&quot;Patrice&quot;,&quot;parse-names&quot;:false,&quot;dropping-particle&quot;:&quot;&quot;,&quot;non-dropping-particle&quot;:&quot;&quot;},{&quot;family&quot;:&quot;Blanco&quot;,&quot;given&quot;:&quot;Jorge C.&quot;,&quot;parse-names&quot;:false,&quot;dropping-particle&quot;:&quot;&quot;,&quot;non-dropping-particle&quot;:&quot;&quot;},{&quot;family&quot;:&quot;Vogel&quot;,&quot;given&quot;:&quot;Stefanie N.&quot;,&quot;parse-names&quot;:false,&quot;dropping-particle&quot;:&quot;&quot;,&quot;non-dropping-particle&quot;:&quot;&quot;},{&quot;family&quot;:&quot;Peri&quot;,&quot;given&quot;:&quot;Francesco&quot;,&quot;parse-names&quot;:false,&quot;dropping-particle&quot;:&quot;&quot;,&quot;non-dropping-particle&quot;:&quot;&quot;},{&quot;family&quot;:&quot;Lotteau&quot;,&quot;given&quot;:&quot;Vincent&quot;,&quot;parse-names&quot;:false,&quot;dropping-particle&quot;:&quot;&quot;,&quot;non-dropping-particle&quot;:&quot;&quot;}],&quot;container-title&quot;:&quot;Scientific Reports&quot;,&quot;accessed&quot;:{&quot;date-parts&quot;:[[2018,4,5]]},&quot;DOI&quot;:&quot;10.1038/srep40791&quot;,&quot;ISSN&quot;:&quot;2045-2322&quot;,&quot;URL&quot;:&quot;http://www.nature.com/articles/srep40791&quot;,&quot;issued&quot;:{&quot;date-parts&quot;:[[2017,1,20]]},&quot;page&quot;:&quot;40791&quot;,&quot;abstract&quot;:&quot;TLR4 antagonist FP7 inhibits LPS-induced cytokine production and glycolytic reprogramming in dendritic cells, and protects mice from lethal influenza infection&quot;,&quot;publisher&quot;:&quot;Nature Publishing Group&quot;,&quot;volume&quot;:&quot;7&quot;},&quot;isTemporary&quot;:false}],&quot;properties&quot;:{&quot;noteIndex&quot;:0},&quot;isEdited&quot;:false,&quot;manualOverride&quot;:{&quot;isManuallyOverriden&quot;:false,&quot;citeprocText&quot;:&quot;(Perrin-Cocon &lt;i&gt;et al.&lt;/i&gt;, 2017)&quot;,&quot;manualOverrideText&quot;:&quot;&quot;},&quot;citationTag&quot;:&quot;MENDELEY_CITATION_v3_eyJjaXRhdGlvbklEIjoiTUVOREVMRVlfQ0lUQVRJT05fMjhmN2U1M2QtMWUyYS00ZTBhLWI3YTQtZmRiYzJmYTNiMDdi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quot;},{&quot;citationID&quot;:&quot;MENDELEY_CITATION_f57a586f-86f6-4938-825c-8d4dc6369220&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properties&quot;:{&quot;noteIndex&quot;:0},&quot;isEdited&quot;:false,&quot;manualOverride&quot;:{&quot;isManuallyOverriden&quot;:false,&quot;citeprocText&quot;:&quot;(Cighetti &lt;i&gt;et al.&lt;/i&gt;, 2014)&quot;,&quot;manualOverrideText&quot;:&quot;&quot;},&quot;citationTag&quot;:&quot;MENDELEY_CITATION_v3_eyJjaXRhdGlvbklEIjoiTUVOREVMRVlfQ0lUQVRJT05fZjU3YTU4NmYtODZmNi00OTM4LTgyNWMtOGQ0ZGM2MzY5MjIw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quot;},{&quot;citationID&quot;:&quot;MENDELEY_CITATION_e280af94-d54f-4c76-874f-3e73d0638fd5&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properties&quot;:{&quot;noteIndex&quot;:0},&quot;isEdited&quot;:false,&quot;manualOverride&quot;:{&quot;isManuallyOverriden&quot;:false,&quot;citeprocText&quot;:&quot;(Cighetti &lt;i&gt;et al.&lt;/i&gt;, 2014)&quot;,&quot;manualOverrideText&quot;:&quot;&quot;},&quot;citationTag&quot;:&quot;MENDELEY_CITATION_v3_eyJjaXRhdGlvbklEIjoiTUVOREVMRVlfQ0lUQVRJT05fZTI4MGFmOTQtZDU0Zi00Yzc2LTg3NGYtM2U3M2QwNjM4ZmQ1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quot;},{&quot;citationID&quot;:&quot;MENDELEY_CITATION_24c77c62-2f67-4894-a155-05f3cc4ed91e&quot;,&quot;citationItems&quot;:[{&quot;id&quot;:&quot;dd61b1b4-e4f0-3465-803b-be3cb9d6f594&quot;,&quot;itemData&quot;:{&quot;type&quot;:&quot;article-journal&quot;,&quot;id&quot;:&quot;dd61b1b4-e4f0-3465-803b-be3cb9d6f594&quot;,&quot;title&quot;:&quot;TLR4 antagonist FP7 inhibits LPS-induced cytokine production and glycolytic reprogramming in dendritic cells, and protects mice from lethal influenza infection&quot;,&quot;author&quot;:[{&quot;family&quot;:&quot;Perrin-Cocon&quot;,&quot;given&quot;:&quot;Laure&quot;,&quot;parse-names&quot;:false,&quot;dropping-particle&quot;:&quot;&quot;,&quot;non-dropping-particle&quot;:&quot;&quot;},{&quot;family&quot;:&quot;Aublin-Gex&quot;,&quot;given&quot;:&quot;Anne&quot;,&quot;parse-names&quot;:false,&quot;dropping-particle&quot;:&quot;&quot;,&quot;non-dropping-particle&quot;:&quot;&quot;},{&quot;family&quot;:&quot;Sestito&quot;,&quot;given&quot;:&quot;Stefania E.&quot;,&quot;parse-names&quot;:false,&quot;dropping-particle&quot;:&quot;&quot;,&quot;non-dropping-particle&quot;:&quot;&quot;},{&quot;family&quot;:&quot;Shirey&quot;,&quot;given&quot;:&quot;Kari Ann&quot;,&quot;parse-names&quot;:false,&quot;dropping-particle&quot;:&quot;&quot;,&quot;non-dropping-particle&quot;:&quot;&quot;},{&quot;family&quot;:&quot;Patel&quot;,&quot;given&quot;:&quot;Mira C.&quot;,&quot;parse-names&quot;:false,&quot;dropping-particle&quot;:&quot;&quot;,&quot;non-dropping-particle&quot;:&quot;&quot;},{&quot;family&quot;:&quot;André&quot;,&quot;given&quot;:&quot;Patrice&quot;,&quot;parse-names&quot;:false,&quot;dropping-particle&quot;:&quot;&quot;,&quot;non-dropping-particle&quot;:&quot;&quot;},{&quot;family&quot;:&quot;Blanco&quot;,&quot;given&quot;:&quot;Jorge C.&quot;,&quot;parse-names&quot;:false,&quot;dropping-particle&quot;:&quot;&quot;,&quot;non-dropping-particle&quot;:&quot;&quot;},{&quot;family&quot;:&quot;Vogel&quot;,&quot;given&quot;:&quot;Stefanie N.&quot;,&quot;parse-names&quot;:false,&quot;dropping-particle&quot;:&quot;&quot;,&quot;non-dropping-particle&quot;:&quot;&quot;},{&quot;family&quot;:&quot;Peri&quot;,&quot;given&quot;:&quot;Francesco&quot;,&quot;parse-names&quot;:false,&quot;dropping-particle&quot;:&quot;&quot;,&quot;non-dropping-particle&quot;:&quot;&quot;},{&quot;family&quot;:&quot;Lotteau&quot;,&quot;given&quot;:&quot;Vincent&quot;,&quot;parse-names&quot;:false,&quot;dropping-particle&quot;:&quot;&quot;,&quot;non-dropping-particle&quot;:&quot;&quot;}],&quot;container-title&quot;:&quot;Scientific Reports&quot;,&quot;accessed&quot;:{&quot;date-parts&quot;:[[2018,4,5]]},&quot;DOI&quot;:&quot;10.1038/srep40791&quot;,&quot;ISSN&quot;:&quot;2045-2322&quot;,&quot;URL&quot;:&quot;http://www.nature.com/articles/srep40791&quot;,&quot;issued&quot;:{&quot;date-parts&quot;:[[2017,1,20]]},&quot;page&quot;:&quot;40791&quot;,&quot;abstract&quot;:&quot;TLR4 antagonist FP7 inhibits LPS-induced cytokine production and glycolytic reprogramming in dendritic cells, and protects mice from lethal influenza infection&quot;,&quot;publisher&quot;:&quot;Nature Publishing Group&quot;,&quot;volume&quot;:&quot;7&quot;},&quot;isTemporary&quot;:false}],&quot;properties&quot;:{&quot;noteIndex&quot;:0},&quot;isEdited&quot;:false,&quot;manualOverride&quot;:{&quot;isManuallyOverriden&quot;:false,&quot;citeprocText&quot;:&quot;(Perrin-Cocon &lt;i&gt;et al.&lt;/i&gt;, 2017)&quot;,&quot;manualOverrideText&quot;:&quot;&quot;},&quot;citationTag&quot;:&quot;MENDELEY_CITATION_v3_eyJjaXRhdGlvbklEIjoiTUVOREVMRVlfQ0lUQVRJT05fMjRjNzdjNjItMmY2Ny00ODk0LWExNTUtMDVmM2NjNGVkOTFl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quot;},{&quot;citationID&quot;:&quot;MENDELEY_CITATION_c35257d0-436f-446f-9c61-e8020b02cae8&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properties&quot;:{&quot;noteIndex&quot;:0},&quot;isEdited&quot;:false,&quot;manualOverride&quot;:{&quot;isManuallyOverriden&quot;:false,&quot;citeprocText&quot;:&quot;(Cighetti &lt;i&gt;et al.&lt;/i&gt;, 2014)&quot;,&quot;manualOverrideText&quot;:&quot;&quot;},&quot;citationTag&quot;:&quot;MENDELEY_CITATION_v3_eyJjaXRhdGlvbklEIjoiTUVOREVMRVlfQ0lUQVRJT05fYzM1MjU3ZDAtNDM2Zi00NDZmLTljNjEtZTgwMjBiMDJjYWU4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quot;},{&quot;citationID&quot;:&quot;MENDELEY_CITATION_798aaf27-8a58-4bbc-88b6-23de514473f2&quot;,&quot;citationItems&quot;:[{&quot;id&quot;:&quot;dd9422d7-cf90-3762-b1b4-a724689d06ee&quot;,&quot;itemData&quot;:{&quot;type&quot;:&quot;article-journal&quot;,&quot;id&quot;:&quot;dd9422d7-cf90-3762-b1b4-a724689d06ee&quot;,&quot;title&quot;:&quot;The physicochemistry of endotoxins in relation to bioactivity&quot;,&quot;author&quot;:[{&quot;family&quot;:&quot;Gutsmann&quot;,&quot;given&quot;:&quot;Thomas&quot;,&quot;parse-names&quot;:false,&quot;dropping-particle&quot;:&quot;&quot;,&quot;non-dropping-particle&quot;:&quot;&quot;},{&quot;family&quot;:&quot;Schromm&quot;,&quot;given&quot;:&quot;Andra B.&quot;,&quot;parse-names&quot;:false,&quot;dropping-particle&quot;:&quot;&quot;,&quot;non-dropping-particle&quot;:&quot;&quot;},{&quot;family&quot;:&quot;Brandenburg&quot;,&quot;given&quot;:&quot;Klaus&quot;,&quot;parse-names&quot;:false,&quot;dropping-particle&quot;:&quot;&quot;,&quot;non-dropping-particle&quot;:&quot;&quot;}],&quot;container-title&quot;:&quot;International Journal of Medical Microbiology&quot;,&quot;accessed&quot;:{&quot;date-parts&quot;:[[2021,9,13]]},&quot;DOI&quot;:&quot;10.1016/J.IJMM.2007.03.004&quot;,&quot;ISSN&quot;:&quot;1438-4221&quot;,&quot;issued&quot;:{&quot;date-parts&quot;:[[2007,9,10]]},&quot;page&quot;:&quot;341-352&quot;,&quot;abstract&quot;:&quot;It is generally accepted that the interaction of bacterial pathogenicity factors such as endotoxin (lipopolysaccharide, LPS) with molecules and cells of the human immune system, which eventually may lead to pathophysiological effects like septic shock, is exerted by isolated molecules after their release from the bacteria. Therefore, the study of the direct, physical interaction of LPS with target structures by applying biophysical means is of high interest. The questions which arise in this context concern the biologically active unit of LPS (monomer, multimer, aggregate), the molecular conformation of the single molecules, the type of aggregation of LPS polymers, the strength of their binding to serum and membrane proteins and/or unspecific binding to membrane phospholipids. Here, recent progress is reviewed which has increased our understanding of the processes preceding LPS-induced immune cell activation. © 2007 Elsevier GmbH. All rights reserved.&quot;,&quot;publisher&quot;:&quot;Urban &amp; Fischer&quot;,&quot;issue&quot;:&quot;5&quot;,&quot;volume&quot;:&quot;297&quot;},&quot;isTemporary&quot;:false},{&quot;id&quot;:&quot;70447214-b586-3394-aace-5d0b83c706fd&quot;,&quot;itemData&quot;:{&quot;type&quot;:&quot;article-journal&quot;,&quot;id&quot;:&quot;70447214-b586-3394-aace-5d0b83c706fd&quot;,&quot;title&quot;:&quot;Aggregates Are the Biologically Active Units of Endotoxin *&quot;,&quot;author&quot;:[{&quot;family&quot;:&quot;Mueller&quot;,&quot;given&quot;:&quot;Mareike&quot;,&quot;parse-names&quot;:false,&quot;dropping-particle&quot;:&quot;&quot;,&quot;non-dropping-particle&quot;:&quot;&quot;},{&quot;family&quot;:&quot;Lindner&quot;,&quot;given&quot;:&quot;Buko&quot;,&quot;parse-names&quot;:false,&quot;dropping-particle&quot;:&quot;&quot;,&quot;non-dropping-particle&quot;:&quot;&quot;},{&quot;family&quot;:&quot;Kusumoto&quot;,&quot;given&quot;:&quot;Shoichi&quot;,&quot;parse-names&quot;:false,&quot;dropping-particle&quot;:&quot;&quot;,&quot;non-dropping-particle&quot;:&quot;&quot;},{&quot;family&quot;:&quot;Fukase&quot;,&quot;given&quot;:&quot;Koichi&quot;,&quot;parse-names&quot;:false,&quot;dropping-particle&quot;:&quot;&quot;,&quot;non-dropping-particle&quot;:&quot;&quot;},{&quot;family&quot;:&quot;Schromm&quot;,&quot;given&quot;:&quot;Andra B.&quot;,&quot;parse-names&quot;:false,&quot;dropping-particle&quot;:&quot;&quot;,&quot;non-dropping-particle&quot;:&quot;&quot;},{&quot;family&quot;:&quot;Seydel&quot;,&quot;given&quot;:&quot;Ulrich&quot;,&quot;parse-names&quot;:false,&quot;dropping-particle&quot;:&quot;&quot;,&quot;non-dropping-particle&quot;:&quot;&quot;}],&quot;container-title&quot;:&quot;Journal of Biological Chemistry&quot;,&quot;accessed&quot;:{&quot;date-parts&quot;:[[2021,9,13]]},&quot;DOI&quot;:&quot;10.1074/JBC.M401231200&quot;,&quot;ISSN&quot;:&quot;0021-9258&quot;,&quot;PMID&quot;:&quot;15096514&quot;,&quot;URL&quot;:&quot;http://www.jbc.org/article/S0021925820856130/fulltext&quot;,&quot;issued&quot;:{&quot;date-parts&quot;:[[2004,6,18]]},&quot;page&quot;:&quot;26307-26313&quot;,&quot;abstract&quot;:&quot;&lt;p&gt;For the elucidation of the very early steps of immune cell activation by endotoxins (lipopolysaccharide, LPS) leading to the production and release of proinflammatory cytokines the question concerning the biologically active unit of endotoxins has to be addressed: are monomeric endotoxin molecules able to activate cells or is the active unit represented by larger endotoxin aggregates? This question has been answered controversially in the past. Inspired by the observation that natural isolates of lipid A, the lipid moiety of LPS harboring its endotoxic principle, from &lt;i&gt;Escherichia coli&lt;/i&gt; express a higher endotoxic activity than the same amounts of the synthetic &lt;i&gt;E. coli&lt;/i&gt;-like hexaacylated lipid A (compound 506), we looked closer at the chemical composition of natural isolates. We found in these isolates that the largest fraction was hexaacylated, but also significant amounts of penta- and tetraacylated molecules were present that, when administered to human mononuclear cells, may antagonize the induction of cytokines by biologically active hexaacylated endotoxins. We prepared separate aggregates of either compound 506 or 406 (tetraacylated precursor IVa), mixed at different molar ratios, and mixed aggregates containing both compounds in the same ratios. Surprisingly, the latter mixtures showed higher endotoxic activity than that of the pure compound 506 up to an admixture of 20% of compound 406. Similar results were obtained when using various phospholipids instead of compound 406. These observations can only be understood by assuming that the active unit of endotoxins is the aggregate. We further confirmed this result by preparing monomeric lipid A and LPS by a dialysis procedure and found that, at the same concentrations, only the aggregates were biologically active, whereas the monomers showed no activity.&lt;/p&gt;&quot;,&quot;publisher&quot;:&quot;Elsevier&quot;,&quot;issue&quot;:&quot;25&quot;,&quot;volume&quot;:&quot;279&quot;},&quot;isTemporary&quot;:false}],&quot;properties&quot;:{&quot;noteIndex&quot;:0},&quot;isEdited&quot;:false,&quot;manualOverride&quot;:{&quot;isManuallyOverridden&quot;:false,&quot;citeprocText&quot;:&quot;(Mueller &lt;i&gt;et al.&lt;/i&gt;, 2004; Gutsmann, Schromm and Brandenburg, 2007)&quot;,&quot;manualOverrideText&quot;:&quot;&quot;},&quot;citationTag&quot;:&quot;MENDELEY_CITATION_v3_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&quot;},{&quot;citationID&quot;:&quot;MENDELEY_CITATION_04284082-aaae-4bce-8824-fe1bb16399bd&quot;,&quot;citationItems&quot;:[{&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den&quot;:false,&quot;citeprocText&quot;:&quot;(Facchini &lt;i&gt;et al.&lt;/i&gt;, 2018)&quot;,&quot;manualOverrideText&quot;:&quot;&quot;},&quot;citationTag&quot;:&quot;MENDELEY_CITATION_v3_eyJjaXRhdGlvbklEIjoiTUVOREVMRVlfQ0lUQVRJT05fMDQyODQwODItYWFhZS00YmNlLTg4MjQtZmUxYmIxNjM5OWJk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kZW4iOmZhbHNlLCJjaXRlcHJvY1RleHQiOiIoRmFjY2hpbmkgPGk+ZXQgYWwuPC9pPiwgMjAxOCkiLCJtYW51YWxPdmVycmlkZVRleHQiOiIifX0=&quot;},{&quot;citationID&quot;:&quot;MENDELEY_CITATION_b9600a87-5b69-4764-acc6-fc204be84a2d&quot;,&quot;citationItems&quot;:[{&quot;id&quot;:&quot;a3546f7f-7a4a-3fb1-a178-c0f460001747&quot;,&quot;itemData&quot;:{&quot;type&quot;:&quot;article-journal&quot;,&quot;id&quot;:&quot;a3546f7f-7a4a-3fb1-a178-c0f460001747&quot;,&quot;title&quot;:&quot;Synthetic Glycolipids as Molecular Vaccine Adjuvants: Mechanism of Action in Human Cells and In Vivo Activity&quot;,&quot;author&quot;:[{&quot;family&quot;:&quot;Facchini&quot;,&quot;given&quot;:&quot;Fabio A.&quot;,&quot;parse-names&quot;:false,&quot;dropping-particle&quot;:&quot;&quot;,&quot;non-dropping-particle&quot;:&quot;&quot;},{&quot;family&quot;:&quot;Minotti&quot;,&quot;given&quot;:&quot;Alberto&quot;,&quot;parse-names&quot;:false,&quot;dropping-particle&quot;:&quot;&quot;,&quot;non-dropping-particle&quot;:&quot;&quot;},{&quot;family&quot;:&quot;Luraghi&quot;,&quot;given&quot;:&quot;Andrea&quot;,&quot;parse-names&quot;:false,&quot;dropping-particle&quot;:&quot;&quot;,&quot;non-dropping-particle&quot;:&quot;&quot;},{&quot;family&quot;:&quot;Romerio&quot;,&quot;given&quot;:&quot;Alessio&quot;,&quot;parse-names&quot;:false,&quot;dropping-particle&quot;:&quot;&quot;,&quot;non-dropping-particle&quot;:&quot;&quot;},{&quot;family&quot;:&quot;Gotri&quot;,&quot;given&quot;:&quot;Nicole&quot;,&quot;parse-names&quot;:false,&quot;dropping-particle&quot;:&quot;&quot;,&quot;non-dropping-particle&quot;:&quot;&quot;},{&quot;family&quot;:&quot;Matamoros-Recio&quot;,&quot;given&quot;:&quot;Alejandra&quot;,&quot;parse-names&quot;:false,&quot;dropping-particle&quot;:&quot;&quot;,&quot;non-dropping-particle&quot;:&quot;&quot;},{&quot;family&quot;:&quot;Iannucci&quot;,&quot;given&quot;:&quot;Andrea&quot;,&quot;parse-names&quot;:false,&quot;dropping-particle&quot;:&quot;&quot;,&quot;non-dropping-particle&quot;:&quot;&quot;},{&quot;family&quot;:&quot;Palmer&quot;,&quot;given&quot;:&quot;Charys&quot;,&quot;parse-names&quot;:false,&quot;dropping-particle&quot;:&quot;&quot;,&quot;non-dropping-particle&quot;:&quot;&quot;},{&quot;family&quot;:&quot;Wang&quot;,&quot;given&quot;:&quot;Guanbo&quot;,&quot;parse-names&quot;:false,&quot;dropping-particle&quot;:&quot;&quot;,&quot;non-dropping-particle&quot;:&quot;&quot;},{&quot;family&quot;:&quot;Ingram&quot;,&quot;given&quot;:&quot;Rebecca&quot;,&quot;parse-names&quot;:false,&quot;dropping-particle&quot;:&quot;&quot;,&quot;non-dropping-particle&quot;:&quot;&quot;},{&quot;family&quot;:&quot;Martin-Santamaria&quot;,&quot;given&quot;:&quot;Sonsoles&quot;,&quot;parse-names&quot;:false,&quot;dropping-particle&quot;:&quot;&quot;,&quot;non-dropping-particle&quot;:&quot;&quot;},{&quot;family&quot;:&quot;Pirianov&quot;,&quot;given&quot;:&quot;Grisha&quot;,&quot;parse-names&quot;:false,&quot;dropping-particle&quot;:&quot;&quot;,&quot;non-dropping-particle&quot;:&quot;&quot;},{&quot;family&quot;:&quot;Andrea&quot;,&quot;given&quot;:&quot;Marco&quot;,&quot;parse-names&quot;:false,&quot;dropping-particle&quot;:&quot;de&quot;,&quot;non-dropping-particle&quot;:&quot;&quot;},{&quot;family&quot;:&quot;Valvano&quot;,&quot;given&quot;:&quot;Miguel A.&quot;,&quot;parse-names&quot;:false,&quot;dropping-particle&quot;:&quot;&quot;,&quot;non-dropping-particle&quot;:&quot;&quot;},{&quot;family&quot;:&quot;Peri&quot;,&quot;given&quot;:&quot;Francesco&quot;,&quot;parse-names&quot;:false,&quot;dropping-particle&quot;:&quot;&quot;,&quot;non-dropping-particle&quot;:&quot;&quot;}],&quot;container-title&quot;:&quot;Journal of Medicinal Chemistry&quot;,&quot;accessed&quot;:{&quot;date-parts&quot;:[[2021,9,13]]},&quot;DOI&quot;:&quot;10.1021/ACS.JMEDCHEM.1C00896&quot;,&quot;URL&quot;:&quot;https://pubs.acs.org/doi/abs/10.1021/acs.jmedchem.1c00896&quot;,&quot;issued&quot;:{&quot;date-parts&quot;:[[2021,8,26]]},&quot;page&quot;:&quot;12261-12272&quot;,&quot;abstract&quot;:&quot;Modern adjuvants for vaccine formulations are immunostimulating agents whose action is based on the activation of pattern recognition receptors (PRRs) by well-defined ligands to boost innate and ad...&quot;,&quot;publisher&quot;:&quot;American Chemical Society&quot;,&quot;issue&quot;:&quot;16&quot;,&quot;volume&quot;:&quot;64&quot;},&quot;isTemporary&quot;:false}],&quot;properties&quot;:{&quot;noteIndex&quot;:0},&quot;isEdited&quot;:false,&quot;manualOverride&quot;:{&quot;isManuallyOverridden&quot;:false,&quot;citeprocText&quot;:&quot;(Facchini &lt;i&gt;et al.&lt;/i&gt;, 2021)&quot;,&quot;manualOverrideText&quot;:&quot;&quot;},&quot;citationTag&quot;:&quot;MENDELEY_CITATION_v3_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&quot;},{&quot;citationID&quot;:&quot;MENDELEY_CITATION_6521c716-15d4-4632-8140-5a2b77393dba&quot;,&quot;citationItems&quot;:[{&quot;id&quot;:&quot;a3546f7f-7a4a-3fb1-a178-c0f460001747&quot;,&quot;itemData&quot;:{&quot;type&quot;:&quot;article-journal&quot;,&quot;id&quot;:&quot;a3546f7f-7a4a-3fb1-a178-c0f460001747&quot;,&quot;title&quot;:&quot;Synthetic Glycolipids as Molecular Vaccine Adjuvants: Mechanism of Action in Human Cells and In Vivo Activity&quot;,&quot;author&quot;:[{&quot;family&quot;:&quot;Facchini&quot;,&quot;given&quot;:&quot;Fabio A.&quot;,&quot;parse-names&quot;:false,&quot;dropping-particle&quot;:&quot;&quot;,&quot;non-dropping-particle&quot;:&quot;&quot;},{&quot;family&quot;:&quot;Minotti&quot;,&quot;given&quot;:&quot;Alberto&quot;,&quot;parse-names&quot;:false,&quot;dropping-particle&quot;:&quot;&quot;,&quot;non-dropping-particle&quot;:&quot;&quot;},{&quot;family&quot;:&quot;Luraghi&quot;,&quot;given&quot;:&quot;Andrea&quot;,&quot;parse-names&quot;:false,&quot;dropping-particle&quot;:&quot;&quot;,&quot;non-dropping-particle&quot;:&quot;&quot;},{&quot;family&quot;:&quot;Romerio&quot;,&quot;given&quot;:&quot;Alessio&quot;,&quot;parse-names&quot;:false,&quot;dropping-particle&quot;:&quot;&quot;,&quot;non-dropping-particle&quot;:&quot;&quot;},{&quot;family&quot;:&quot;Gotri&quot;,&quot;given&quot;:&quot;Nicole&quot;,&quot;parse-names&quot;:false,&quot;dropping-particle&quot;:&quot;&quot;,&quot;non-dropping-particle&quot;:&quot;&quot;},{&quot;family&quot;:&quot;Matamoros-Recio&quot;,&quot;given&quot;:&quot;Alejandra&quot;,&quot;parse-names&quot;:false,&quot;dropping-particle&quot;:&quot;&quot;,&quot;non-dropping-particle&quot;:&quot;&quot;},{&quot;family&quot;:&quot;Iannucci&quot;,&quot;given&quot;:&quot;Andrea&quot;,&quot;parse-names&quot;:false,&quot;dropping-particle&quot;:&quot;&quot;,&quot;non-dropping-particle&quot;:&quot;&quot;},{&quot;family&quot;:&quot;Palmer&quot;,&quot;given&quot;:&quot;Charys&quot;,&quot;parse-names&quot;:false,&quot;dropping-particle&quot;:&quot;&quot;,&quot;non-dropping-particle&quot;:&quot;&quot;},{&quot;family&quot;:&quot;Wang&quot;,&quot;given&quot;:&quot;Guanbo&quot;,&quot;parse-names&quot;:false,&quot;dropping-particle&quot;:&quot;&quot;,&quot;non-dropping-particle&quot;:&quot;&quot;},{&quot;family&quot;:&quot;Ingram&quot;,&quot;given&quot;:&quot;Rebecca&quot;,&quot;parse-names&quot;:false,&quot;dropping-particle&quot;:&quot;&quot;,&quot;non-dropping-particle&quot;:&quot;&quot;},{&quot;family&quot;:&quot;Martin-Santamaria&quot;,&quot;given&quot;:&quot;Sonsoles&quot;,&quot;parse-names&quot;:false,&quot;dropping-particle&quot;:&quot;&quot;,&quot;non-dropping-particle&quot;:&quot;&quot;},{&quot;family&quot;:&quot;Pirianov&quot;,&quot;given&quot;:&quot;Grisha&quot;,&quot;parse-names&quot;:false,&quot;dropping-particle&quot;:&quot;&quot;,&quot;non-dropping-particle&quot;:&quot;&quot;},{&quot;family&quot;:&quot;Andrea&quot;,&quot;given&quot;:&quot;Marco&quot;,&quot;parse-names&quot;:false,&quot;dropping-particle&quot;:&quot;de&quot;,&quot;non-dropping-particle&quot;:&quot;&quot;},{&quot;family&quot;:&quot;Valvano&quot;,&quot;given&quot;:&quot;Miguel A.&quot;,&quot;parse-names&quot;:false,&quot;dropping-particle&quot;:&quot;&quot;,&quot;non-dropping-particle&quot;:&quot;&quot;},{&quot;family&quot;:&quot;Peri&quot;,&quot;given&quot;:&quot;Francesco&quot;,&quot;parse-names&quot;:false,&quot;dropping-particle&quot;:&quot;&quot;,&quot;non-dropping-particle&quot;:&quot;&quot;}],&quot;container-title&quot;:&quot;Journal of Medicinal Chemistry&quot;,&quot;accessed&quot;:{&quot;date-parts&quot;:[[2021,9,13]]},&quot;DOI&quot;:&quot;10.1021/ACS.JMEDCHEM.1C00896&quot;,&quot;URL&quot;:&quot;https://pubs.acs.org/doi/abs/10.1021/acs.jmedchem.1c00896&quot;,&quot;issued&quot;:{&quot;date-parts&quot;:[[2021,8,26]]},&quot;page&quot;:&quot;12261-12272&quot;,&quot;abstract&quot;:&quot;Modern adjuvants for vaccine formulations are immunostimulating agents whose action is based on the activation of pattern recognition receptors (PRRs) by well-defined ligands to boost innate and ad...&quot;,&quot;publisher&quot;:&quot;American Chemical Society&quot;,&quot;issue&quot;:&quot;16&quot;,&quot;volume&quot;:&quot;64&quot;},&quot;isTemporary&quot;:false},{&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den&quot;:false,&quot;citeprocText&quot;:&quot;(Facchini &lt;i&gt;et al.&lt;/i&gt;, 2018, 2021)&quot;,&quot;manualOverrideText&quot;:&quot;&quot;},&quot;citationTag&quot;:&quot;MENDELEY_CITATION_v3_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kZW4iOmZhbHNlLCJjaXRlcHJvY1RleHQiOiIoRmFjY2hpbmkgPGk+ZXQgYWwuPC9pPiwgMjAxOCwgMjAyMSkiLCJtYW51YWxPdmVycmlkZVRleHQiOiIifX0=&quot;},{&quot;citationID&quot;:&quot;MENDELEY_CITATION_6f82617d-aa8c-4dd6-97c4-25520337ca3f&quot;,&quot;citationItems&quot;:[{&quot;id&quot;:&quot;dd61b1b4-e4f0-3465-803b-be3cb9d6f594&quot;,&quot;itemData&quot;:{&quot;type&quot;:&quot;article-journal&quot;,&quot;id&quot;:&quot;dd61b1b4-e4f0-3465-803b-be3cb9d6f594&quot;,&quot;title&quot;:&quot;TLR4 antagonist FP7 inhibits LPS-induced cytokine production and glycolytic reprogramming in dendritic cells, and protects mice from lethal influenza infection&quot;,&quot;author&quot;:[{&quot;family&quot;:&quot;Perrin-Cocon&quot;,&quot;given&quot;:&quot;Laure&quot;,&quot;parse-names&quot;:false,&quot;dropping-particle&quot;:&quot;&quot;,&quot;non-dropping-particle&quot;:&quot;&quot;},{&quot;family&quot;:&quot;Aublin-Gex&quot;,&quot;given&quot;:&quot;Anne&quot;,&quot;parse-names&quot;:false,&quot;dropping-particle&quot;:&quot;&quot;,&quot;non-dropping-particle&quot;:&quot;&quot;},{&quot;family&quot;:&quot;Sestito&quot;,&quot;given&quot;:&quot;Stefania E.&quot;,&quot;parse-names&quot;:false,&quot;dropping-particle&quot;:&quot;&quot;,&quot;non-dropping-particle&quot;:&quot;&quot;},{&quot;family&quot;:&quot;Shirey&quot;,&quot;given&quot;:&quot;Kari Ann&quot;,&quot;parse-names&quot;:false,&quot;dropping-particle&quot;:&quot;&quot;,&quot;non-dropping-particle&quot;:&quot;&quot;},{&quot;family&quot;:&quot;Patel&quot;,&quot;given&quot;:&quot;Mira C.&quot;,&quot;parse-names&quot;:false,&quot;dropping-particle&quot;:&quot;&quot;,&quot;non-dropping-particle&quot;:&quot;&quot;},{&quot;family&quot;:&quot;André&quot;,&quot;given&quot;:&quot;Patrice&quot;,&quot;parse-names&quot;:false,&quot;dropping-particle&quot;:&quot;&quot;,&quot;non-dropping-particle&quot;:&quot;&quot;},{&quot;family&quot;:&quot;Blanco&quot;,&quot;given&quot;:&quot;Jorge C.&quot;,&quot;parse-names&quot;:false,&quot;dropping-particle&quot;:&quot;&quot;,&quot;non-dropping-particle&quot;:&quot;&quot;},{&quot;family&quot;:&quot;Vogel&quot;,&quot;given&quot;:&quot;Stefanie N.&quot;,&quot;parse-names&quot;:false,&quot;dropping-particle&quot;:&quot;&quot;,&quot;non-dropping-particle&quot;:&quot;&quot;},{&quot;family&quot;:&quot;Peri&quot;,&quot;given&quot;:&quot;Francesco&quot;,&quot;parse-names&quot;:false,&quot;dropping-particle&quot;:&quot;&quot;,&quot;non-dropping-particle&quot;:&quot;&quot;},{&quot;family&quot;:&quot;Lotteau&quot;,&quot;given&quot;:&quot;Vincent&quot;,&quot;parse-names&quot;:false,&quot;dropping-particle&quot;:&quot;&quot;,&quot;non-dropping-particle&quot;:&quot;&quot;}],&quot;container-title&quot;:&quot;Scientific Reports&quot;,&quot;accessed&quot;:{&quot;date-parts&quot;:[[2018,4,5]]},&quot;DOI&quot;:&quot;10.1038/srep40791&quot;,&quot;ISSN&quot;:&quot;2045-2322&quot;,&quot;URL&quot;:&quot;http://www.nature.com/articles/srep40791&quot;,&quot;issued&quot;:{&quot;date-parts&quot;:[[2017,1,20]]},&quot;page&quot;:&quot;40791&quot;,&quot;abstract&quot;:&quot;TLR4 antagonist FP7 inhibits LPS-induced cytokine production and glycolytic reprogramming in dendritic cells, and protects mice from lethal influenza infection&quot;,&quot;publisher&quot;:&quot;Nature Publishing Group&quot;,&quot;volume&quot;:&quot;7&quot;},&quot;isTemporary&quot;:false}],&quot;properties&quot;:{&quot;noteIndex&quot;:0},&quot;isEdited&quot;:false,&quot;manualOverride&quot;:{&quot;isManuallyOverriden&quot;:false,&quot;citeprocText&quot;:&quot;(Perrin-Cocon &lt;i&gt;et al.&lt;/i&gt;, 2017)&quot;,&quot;manualOverrideText&quot;:&quot;&quot;},&quot;citationTag&quot;:&quot;MENDELEY_CITATION_v3_eyJjaXRhdGlvbklEIjoiTUVOREVMRVlfQ0lUQVRJT05fNmY4MjYxN2QtYWE4Yy00ZGQ2LTk3YzQtMjU1MjAzMzdjYTNm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quot;},{&quot;citationID&quot;:&quot;MENDELEY_CITATION_49e55fd7-1f4f-4b9f-b012-997471228410&quot;,&quot;citationItems&quot;:[{&quot;id&quot;:&quot;3959bfab-8a4e-3533-abb9-8b8f4c84b816&quot;,&quot;itemData&quot;:{&quot;type&quot;:&quot;article-journal&quot;,&quot;id&quot;:&quot;3959bfab-8a4e-3533-abb9-8b8f4c84b816&quot;,&quot;title&quot;:&quot;Synthetic and natural small molecule TLR4 antagonists inhibit motoneuron death in cultures from ALS mouse model&quot;,&quot;author&quot;:[{&quot;family&quot;:&quot;Paola&quot;,&quot;given&quot;:&quot;Massimiliano&quot;,&quot;parse-names&quot;:false,&quot;dropping-particle&quot;:&quot;&quot;,&quot;non-dropping-particle&quot;:&quot;de&quot;},{&quot;family&quot;:&quot;Sestito&quot;,&quot;given&quot;:&quot;Stefania E.&quot;,&quot;parse-names&quot;:false,&quot;dropping-particle&quot;:&quot;&quot;,&quot;non-dropping-particle&quot;:&quot;&quot;},{&quot;family&quot;:&quot;Mariani&quot;,&quot;given&quot;:&quot;Alessandro&quot;,&quot;parse-names&quot;:false,&quot;dropping-particle&quot;:&quot;&quot;,&quot;non-dropping-particle&quot;:&quot;&quot;},{&quot;family&quot;:&quot;Memo&quot;,&quot;given&quot;:&quot;Christian&quot;,&quot;parse-names&quot;:false,&quot;dropping-particle&quot;:&quot;&quot;,&quot;non-dropping-particle&quot;:&quot;&quot;},{&quot;family&quot;:&quot;Fanelli&quot;,&quot;given&quot;:&quot;Roberto&quot;,&quot;parse-names&quot;:false,&quot;dropping-particle&quot;:&quot;&quot;,&quot;non-dropping-particle&quot;:&quot;&quot;},{&quot;family&quot;:&quot;Freschi&quot;,&quot;given&quot;:&quot;Mattia&quot;,&quot;parse-names&quot;:false,&quot;dropping-particle&quot;:&quot;&quot;,&quot;non-dropping-particle&quot;:&quot;&quot;},{&quot;family&quot;:&quot;Bendotti&quot;,&quot;given&quot;:&quot;Caterina&quot;,&quot;parse-names&quot;:false,&quot;dropping-particle&quot;:&quot;&quot;,&quot;non-dropping-particle&quot;:&quot;&quot;},{&quot;family&quot;:&quot;Calabrese&quot;,&quot;given&quot;:&quot;Valentina&quot;,&quot;parse-names&quot;:false,&quot;dropping-particle&quot;:&quot;&quot;,&quot;non-dropping-particle&quot;:&quot;&quot;},{&quot;family&quot;:&quot;Peri&quot;,&quot;given&quot;:&quot;Francesco&quot;,&quot;parse-names&quot;:false,&quot;dropping-particle&quot;:&quot;&quot;,&quot;non-dropping-particle&quot;:&quot;&quot;}],&quot;container-title&quot;:&quot;Pharmacological Research&quot;,&quot;accessed&quot;:{&quot;date-parts&quot;:[[2018,4,5]]},&quot;DOI&quot;:&quot;10.1016/J.PHRS.2015.11.020&quot;,&quot;ISSN&quot;:&quot;1043-6618&quot;,&quot;URL&quot;:&quot;https://www.sciencedirect.com/science/article/pii/S1043661815300049&quot;,&quot;issued&quot;:{&quot;date-parts&quot;:[[2016,1,1]]},&quot;page&quot;:&quot;180-187&quot;,&quot;abstract&quot;:&quot;Increasing evidence indicates that inflammatory responses could play a critical role in the pathogenesis of motor neuron injury in amyotrophic lateral sclerosis (ALS). Recent findings have underlined the role of Toll-like receptors (TLRs) and the involvement of both the innate and adaptive immune responses in ALS pathogenesis. In particular, abnormal TLR4 signaling in pro-inflammatory microglia cells has been related to motoneuron degeneration leading to ALS. In this study the effect of small molecule TLR4 antagonists on in vitro ALS models has been investigated. Two different types of synthetic glycolipids and the phenol fraction extracted from commercial extra-virgin olive oil (EVOO) were selected since they efficiently inhibit TLR4 stimulus in HEK cells by interacting with the TLR4·MD-2 complex and CD14 co-receptor. Here, TLR4 antagonists efficiently protected motoneurons from LPS-induced lethality in spinal cord cultures, and inhibited the interleukine-1β production by LPS-stimulated microglia. In motoneurons/glia cocultures obtained from wild type or SOD1 G93A mice, motoneuron death induced by SOD1mut glia was counteracted by TLR4 antagonists. The release of nitric oxide by LPS treatment or SOD1mut glia was also inhibited by EVOO, suggesting that the action of this natural extract could be mainly related to the modulation of this inflammatory mediator.&quot;,&quot;publisher&quot;:&quot;Academic Press&quot;,&quot;volume&quot;:&quot;103&quot;},&quot;isTemporary&quot;:false}],&quot;properties&quot;:{&quot;noteIndex&quot;:0},&quot;isEdited&quot;:false,&quot;manualOverride&quot;:{&quot;isManuallyOverriden&quot;:false,&quot;citeprocText&quot;:&quot;(de Paola &lt;i&gt;et al.&lt;/i&gt;, 2016)&quot;,&quot;manualOverrideText&quot;:&quot;&quot;},&quot;citationTag&quot;:&quot;MENDELEY_CITATION_v3_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&quot;},{&quot;citationID&quot;:&quot;MENDELEY_CITATION_00cc561e-de9a-4148-b744-a8ef370769c1&quot;,&quot;citationItems&quot;:[{&quot;id&quot;:&quot;6a0b14f7-d9ec-3d1b-9d07-88546ad1416c&quot;,&quot;itemData&quot;:{&quot;type&quot;:&quot;article-journal&quot;,&quot;id&quot;:&quot;6a0b14f7-d9ec-3d1b-9d07-88546ad1416c&quot;,&quot;title&quot;:&quot;Species and mediator specific TLR4 antagonism in primary human and murine immune cells by βGlcN(1 ↔ 1)αGlc based lipid A mimetics&quot;,&quot;author&quot;:[{&quot;family&quot;:&quot;Chebrolu&quot;,&quot;given&quot;:&quot;Chiranjeevi&quot;,&quot;parse-names&quot;:false,&quot;dropping-particle&quot;:&quot;&quot;,&quot;non-dropping-particle&quot;:&quot;&quot;},{&quot;family&quot;:&quot;Artner&quot;,&quot;given&quot;:&quot;Daniel&quot;,&quot;parse-names&quot;:false,&quot;dropping-particle&quot;:&quot;&quot;,&quot;non-dropping-particle&quot;:&quot;&quot;},{&quot;family&quot;:&quot;Sigmund&quot;,&quot;given&quot;:&quot;Anna M.&quot;,&quot;parse-names&quot;:false,&quot;dropping-particle&quot;:&quot;&quot;,&quot;non-dropping-particle&quot;:&quot;&quot;},{&quot;family&quot;:&quot;Buer&quot;,&quot;given&quot;:&quot;Jan&quot;,&quot;parse-names&quot;:false,&quot;dropping-particle&quot;:&quot;&quot;,&quot;non-dropping-particle&quot;:&quot;&quot;},{&quot;family&quot;:&quot;Zamyatina&quot;,&quot;given&quot;:&quot;Alla&quot;,&quot;parse-names&quot;:false,&quot;dropping-particle&quot;:&quot;&quot;,&quot;non-dropping-particle&quot;:&quot;&quot;},{&quot;family&quot;:&quot;Kirschning&quot;,&quot;given&quot;:&quot;Carsten J.&quot;,&quot;parse-names&quot;:false,&quot;dropping-particle&quot;:&quot;&quot;,&quot;non-dropping-particle&quot;:&quot;&quot;}],&quot;container-title&quot;:&quot;Molecular Immunology&quot;,&quot;accessed&quot;:{&quot;date-parts&quot;:[[2018,4,5]]},&quot;DOI&quot;:&quot;10.1016/J.MOLIMM.2015.07.037&quot;,&quot;ISSN&quot;:&quot;0161-5890&quot;,&quot;URL&quot;:&quot;https://www.sciencedirect.com/science/article/pii/S0161589015300456&quot;,&quot;issued&quot;:{&quot;date-parts&quot;:[[2015,10,1]]},&quot;page&quot;:&quot;636-641&quot;,&quot;abstract&quot;:&quot;Immune stimulatory pathogen associated molecular patterns (PAMPs) are major drivers of infection pathology. Infections with Gram-negative bacteria or negatively polar and single stranded RNA influenza virus are prominent causes of morbidity and mortality. Toll-like receptor (TLR) 4 is a major host sensor for both of the two infections. In order to inhibit TLR4 driven immune activation we recently developed synthetic tetra-acylated lipid A mimetics based on a conformationally restricted βGlcN(1↔1)αGlcN disaccharide scaffold (DA-compounds) that antagonized ectopically overexpressed human and murine TLR4/MD-2 complexes. Here we comparatively analyzed human peripheral blood mononuclear cell (hPBMC) and murine bone marrow derived macrophage (mBM) activation upon 30min of preincubation in vitro with six variably acylated DA-compounds. 16h subsequent to consequent LPS challenge, we sampled culture supernatants for cytokine and NO concentration analysis. Four compounds significantly inhibited release of both TNF and IL-6 by hPBMCs upon LPS challenge. In contrast, three compounds effectively inhibited mBM production of MIP-2 and KC, and even five of them inhibited IL-6 and NO production. LPS driven like other TLR ligand driven mBM TNF release was largely unimpaired. The inhibitory effect was specific in that Clo75 driven cytokine release by both hPBMCs and mBMs was unimpaired by the compounds analyzed. Our results indicate biological species specificity of LPS antagonism by variably tetraacylated lipid A mimetics and validate three out of six DA-antagonists as promising candidates for development of therapeutically applicable anti-inflammatory compounds.&quot;,&quot;publisher&quot;:&quot;Pergamon&quot;,&quot;issue&quot;:&quot;2&quot;,&quot;volume&quot;:&quot;67&quot;},&quot;isTemporary&quot;:false}],&quot;properties&quot;:{&quot;noteIndex&quot;:0},&quot;isEdited&quot;:false,&quot;manualOverride&quot;:{&quot;isManuallyOverriden&quot;:false,&quot;citeprocText&quot;:&quot;(Chebrolu &lt;i&gt;et al.&lt;/i&gt;, 2015)&quot;,&quot;manualOverrideText&quot;:&quot;&quot;},&quot;citationTag&quot;:&quot;MENDELEY_CITATION_v3_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&quot;},{&quot;citationID&quot;:&quot;MENDELEY_CITATION_4f435954-57d7-410f-9ce5-3816271e54ff&quot;,&quot;citationItems&quot;:[{&quot;id&quot;:&quot;8a43cc81-7b2e-3ac9-9f03-cd5e26d722e2&quot;,&quot;itemData&quot;:{&quot;type&quot;:&quot;article-journal&quot;,&quot;id&quot;:&quot;8a43cc81-7b2e-3ac9-9f03-cd5e26d722e2&quot;,&quot;title&quot;:&quot;The synthetic glycolipid-based TLR4 antagonist FP7 negatively regulates &lt;i&gt;in vitro&lt;/i&gt; and &lt;i&gt;in vivo&lt;/i&gt; haematopoietic and non-haematopoietic vascular TLR4 signalling&quot;,&quot;author&quot;:[{&quot;family&quot;:&quot;Palmer&quot;,&quot;given&quot;:&quot;Charys&quot;,&quot;parse-names&quot;:false,&quot;dropping-particle&quot;:&quot;&quot;,&quot;non-dropping-particle&quot;:&quot;&quot;},{&quot;family&quot;:&quot;Peri&quot;,&quot;given&quot;:&quot;Francesco&quot;,&quot;parse-names&quot;:false,&quot;dropping-particle&quot;:&quot;&quot;,&quot;non-dropping-particle&quot;:&quot;&quot;},{&quot;family&quot;:&quot;Neumann&quot;,&quot;given&quot;:&quot;Frank&quot;,&quot;parse-names&quot;:false,&quot;dropping-particle&quot;:&quot;&quot;,&quot;non-dropping-particle&quot;:&quot;&quot;},{&quot;family&quot;:&quot;Ahmad&quot;,&quot;given&quot;:&quot;Feroz&quot;,&quot;parse-names&quot;:false,&quot;dropping-particle&quot;:&quot;&quot;,&quot;non-dropping-particle&quot;:&quot;&quot;},{&quot;family&quot;:&quot;Leake&quot;,&quot;given&quot;:&quot;David S.&quot;,&quot;parse-names&quot;:false,&quot;dropping-particle&quot;:&quot;&quot;,&quot;non-dropping-particle&quot;:&quot;&quot;},{&quot;family&quot;:&quot;Pirianov&quot;,&quot;given&quot;:&quot;Grisha&quot;,&quot;parse-names&quot;:false,&quot;dropping-particle&quot;:&quot;&quot;,&quot;non-dropping-particle&quot;:&quot;&quot;}],&quot;container-title&quot;:&quot;Innate Immunity&quot;,&quot;accessed&quot;:{&quot;date-parts&quot;:[[2019,3,31]]},&quot;DOI&quot;:&quot;10.1177/1753425918798904&quot;,&quot;ISSN&quot;:&quot;1753-4259&quot;,&quot;PMID&quot;:&quot;30208782&quot;,&quot;URL&quot;:&quot;http://www.ncbi.nlm.nih.gov/pubmed/30208782&quot;,&quot;issued&quot;:{&quot;date-parts&quot;:[[2018,10,12]]},&quot;page&quot;:&quot;411-421&quot;,&quot;abstract&quot;:&quot;TLRs, including TLR4, have been shown to play a crucial role in cardiovascular inflammatory-based diseases. The main goal of this study was to determine the potential of FP7, a synthetic glycolipid active as a TLR4 antagonist, to modulate haematopoietic and non-haematopoietic vascular TLR4 pro-inflammatory signalling. HUVEC, human THP-1 monocytes, THP-1-derived macrophages, mouse RAW-264.7 macrophages and Angiotensin II-infused apolipoprotein E-deficient mice were in vitro and in vivo models, respectively. Western blotting, Ab array and ELISA approaches were used to explore the effect of FP7 on TLR4 functional activity in response to bacterial LPS ( in vitro) and endogenous ligands of sterile inflammation ( in vitro and in vivo). Following activation of TLR4, in vitro and in vivo data revealed that FP7 inhibited p38 MAPK and p65 NF-kB phosphorylation associated with down-regulation of a number of TLR4-dependent pro-inflammatory proteins. In addition to inhibition of LPS-induced TLR4 signalling, FP7 negatively regulated TLR4 activation in response to ligands of sterile inflammation (hydroperoxide-rich oxidised LDL, in vitro and Angiotensin II infusion, in vivo). These results demonstrate the ability of FP7 to negatively regulate in vitro and in vivo haematopoietic and non-haematopoietic vascular TLR4 signalling both in humans and mice, suggesting the potential therapeutic use of this TLR4 antagonist for pharmacological intervention of vascular inflammatory diseases.&quot;,&quot;issue&quot;:&quot;7&quot;,&quot;volume&quot;:&quot;24&quot;},&quot;isTemporary&quot;:false}],&quot;properties&quot;:{&quot;noteIndex&quot;:0},&quot;isEdited&quot;:false,&quot;manualOverride&quot;:{&quot;isManuallyOverridden&quot;:false,&quot;citeprocText&quot;:&quot;(Charys Palmer &lt;i&gt;et al.&lt;/i&gt;, 2018)&quot;,&quot;manualOverrideText&quot;:&quot;&quot;},&quot;citationTag&quot;:&quot;MENDELEY_CITATION_v3_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&quot;},{&quot;citationID&quot;:&quot;MENDELEY_CITATION_51dc760b-f957-40f2-abbe-5ff8391ac1e3&quot;,&quot;citationItems&quot;:[{&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en&quot;:false,&quot;citeprocText&quot;:&quot;(Facchini &lt;i&gt;et al.&lt;/i&gt;, 2018)&quot;,&quot;manualOverrideText&quot;:&quot;&quot;},&quot;citationTag&quot;:&quot;MENDELEY_CITATION_v3_eyJjaXRhdGlvbklEIjoiTUVOREVMRVlfQ0lUQVRJT05fNTFkYzc2MGItZjk1Ny00MGYyLWFiYmUtNWZmODM5MWFjMWUz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GYWNjaGluaSA8aT5ldCBhbC48L2k+LCAyMDE4KSIsIm1hbnVhbE92ZXJyaWRlVGV4dCI6IiJ9fQ==&quot;},{&quot;citationID&quot;:&quot;MENDELEY_CITATION_2ab893e9-91e1-49b2-90fb-35a1ea85c0b9&quot;,&quot;citationItems&quot;:[{&quot;id&quot;:&quot;dd61b1b4-e4f0-3465-803b-be3cb9d6f594&quot;,&quot;itemData&quot;:{&quot;type&quot;:&quot;article-journal&quot;,&quot;id&quot;:&quot;dd61b1b4-e4f0-3465-803b-be3cb9d6f594&quot;,&quot;title&quot;:&quot;TLR4 antagonist FP7 inhibits LPS-induced cytokine production and glycolytic reprogramming in dendritic cells, and protects mice from lethal influenza infection&quot;,&quot;author&quot;:[{&quot;family&quot;:&quot;Perrin-Cocon&quot;,&quot;given&quot;:&quot;Laure&quot;,&quot;parse-names&quot;:false,&quot;dropping-particle&quot;:&quot;&quot;,&quot;non-dropping-particle&quot;:&quot;&quot;},{&quot;family&quot;:&quot;Aublin-Gex&quot;,&quot;given&quot;:&quot;Anne&quot;,&quot;parse-names&quot;:false,&quot;dropping-particle&quot;:&quot;&quot;,&quot;non-dropping-particle&quot;:&quot;&quot;},{&quot;family&quot;:&quot;Sestito&quot;,&quot;given&quot;:&quot;Stefania E.&quot;,&quot;parse-names&quot;:false,&quot;dropping-particle&quot;:&quot;&quot;,&quot;non-dropping-particle&quot;:&quot;&quot;},{&quot;family&quot;:&quot;Shirey&quot;,&quot;given&quot;:&quot;Kari Ann&quot;,&quot;parse-names&quot;:false,&quot;dropping-particle&quot;:&quot;&quot;,&quot;non-dropping-particle&quot;:&quot;&quot;},{&quot;family&quot;:&quot;Patel&quot;,&quot;given&quot;:&quot;Mira C.&quot;,&quot;parse-names&quot;:false,&quot;dropping-particle&quot;:&quot;&quot;,&quot;non-dropping-particle&quot;:&quot;&quot;},{&quot;family&quot;:&quot;André&quot;,&quot;given&quot;:&quot;Patrice&quot;,&quot;parse-names&quot;:false,&quot;dropping-particle&quot;:&quot;&quot;,&quot;non-dropping-particle&quot;:&quot;&quot;},{&quot;family&quot;:&quot;Blanco&quot;,&quot;given&quot;:&quot;Jorge C.&quot;,&quot;parse-names&quot;:false,&quot;dropping-particle&quot;:&quot;&quot;,&quot;non-dropping-particle&quot;:&quot;&quot;},{&quot;family&quot;:&quot;Vogel&quot;,&quot;given&quot;:&quot;Stefanie N.&quot;,&quot;parse-names&quot;:false,&quot;dropping-particle&quot;:&quot;&quot;,&quot;non-dropping-particle&quot;:&quot;&quot;},{&quot;family&quot;:&quot;Peri&quot;,&quot;given&quot;:&quot;Francesco&quot;,&quot;parse-names&quot;:false,&quot;dropping-particle&quot;:&quot;&quot;,&quot;non-dropping-particle&quot;:&quot;&quot;},{&quot;family&quot;:&quot;Lotteau&quot;,&quot;given&quot;:&quot;Vincent&quot;,&quot;parse-names&quot;:false,&quot;dropping-particle&quot;:&quot;&quot;,&quot;non-dropping-particle&quot;:&quot;&quot;}],&quot;container-title&quot;:&quot;Scientific Reports&quot;,&quot;accessed&quot;:{&quot;date-parts&quot;:[[2018,4,5]]},&quot;DOI&quot;:&quot;10.1038/srep40791&quot;,&quot;ISSN&quot;:&quot;2045-2322&quot;,&quot;URL&quot;:&quot;http://www.nature.com/articles/srep40791&quot;,&quot;issued&quot;:{&quot;date-parts&quot;:[[2017,1,20]]},&quot;page&quot;:&quot;40791&quot;,&quot;abstract&quot;:&quot;TLR4 antagonist FP7 inhibits LPS-induced cytokine production and glycolytic reprogramming in dendritic cells, and protects mice from lethal influenza infection&quot;,&quot;publisher&quot;:&quot;Nature Publishing Group&quot;,&quot;volume&quot;:&quot;7&quot;},&quot;isTemporary&quot;:false},{&quot;id&quot;:&quot;3959bfab-8a4e-3533-abb9-8b8f4c84b816&quot;,&quot;itemData&quot;:{&quot;type&quot;:&quot;article-journal&quot;,&quot;id&quot;:&quot;3959bfab-8a4e-3533-abb9-8b8f4c84b816&quot;,&quot;title&quot;:&quot;Synthetic and natural small molecule TLR4 antagonists inhibit motoneuron death in cultures from ALS mouse model&quot;,&quot;author&quot;:[{&quot;family&quot;:&quot;Paola&quot;,&quot;given&quot;:&quot;Massimiliano&quot;,&quot;parse-names&quot;:false,&quot;dropping-particle&quot;:&quot;&quot;,&quot;non-dropping-particle&quot;:&quot;de&quot;},{&quot;family&quot;:&quot;Sestito&quot;,&quot;given&quot;:&quot;Stefania E.&quot;,&quot;parse-names&quot;:false,&quot;dropping-particle&quot;:&quot;&quot;,&quot;non-dropping-particle&quot;:&quot;&quot;},{&quot;family&quot;:&quot;Mariani&quot;,&quot;given&quot;:&quot;Alessandro&quot;,&quot;parse-names&quot;:false,&quot;dropping-particle&quot;:&quot;&quot;,&quot;non-dropping-particle&quot;:&quot;&quot;},{&quot;family&quot;:&quot;Memo&quot;,&quot;given&quot;:&quot;Christian&quot;,&quot;parse-names&quot;:false,&quot;dropping-particle&quot;:&quot;&quot;,&quot;non-dropping-particle&quot;:&quot;&quot;},{&quot;family&quot;:&quot;Fanelli&quot;,&quot;given&quot;:&quot;Roberto&quot;,&quot;parse-names&quot;:false,&quot;dropping-particle&quot;:&quot;&quot;,&quot;non-dropping-particle&quot;:&quot;&quot;},{&quot;family&quot;:&quot;Freschi&quot;,&quot;given&quot;:&quot;Mattia&quot;,&quot;parse-names&quot;:false,&quot;dropping-particle&quot;:&quot;&quot;,&quot;non-dropping-particle&quot;:&quot;&quot;},{&quot;family&quot;:&quot;Bendotti&quot;,&quot;given&quot;:&quot;Caterina&quot;,&quot;parse-names&quot;:false,&quot;dropping-particle&quot;:&quot;&quot;,&quot;non-dropping-particle&quot;:&quot;&quot;},{&quot;family&quot;:&quot;Calabrese&quot;,&quot;given&quot;:&quot;Valentina&quot;,&quot;parse-names&quot;:false,&quot;dropping-particle&quot;:&quot;&quot;,&quot;non-dropping-particle&quot;:&quot;&quot;},{&quot;family&quot;:&quot;Peri&quot;,&quot;given&quot;:&quot;Francesco&quot;,&quot;parse-names&quot;:false,&quot;dropping-particle&quot;:&quot;&quot;,&quot;non-dropping-particle&quot;:&quot;&quot;}],&quot;container-title&quot;:&quot;Pharmacological Research&quot;,&quot;accessed&quot;:{&quot;date-parts&quot;:[[2018,4,5]]},&quot;DOI&quot;:&quot;10.1016/J.PHRS.2015.11.020&quot;,&quot;ISSN&quot;:&quot;1043-6618&quot;,&quot;URL&quot;:&quot;https://www.sciencedirect.com/science/article/pii/S1043661815300049&quot;,&quot;issued&quot;:{&quot;date-parts&quot;:[[2016,1,1]]},&quot;page&quot;:&quot;180-187&quot;,&quot;abstract&quot;:&quot;Increasing evidence indicates that inflammatory responses could play a critical role in the pathogenesis of motor neuron injury in amyotrophic lateral sclerosis (ALS). Recent findings have underlined the role of Toll-like receptors (TLRs) and the involvement of both the innate and adaptive immune responses in ALS pathogenesis. In particular, abnormal TLR4 signaling in pro-inflammatory microglia cells has been related to motoneuron degeneration leading to ALS. In this study the effect of small molecule TLR4 antagonists on in vitro ALS models has been investigated. Two different types of synthetic glycolipids and the phenol fraction extracted from commercial extra-virgin olive oil (EVOO) were selected since they efficiently inhibit TLR4 stimulus in HEK cells by interacting with the TLR4·MD-2 complex and CD14 co-receptor. Here, TLR4 antagonists efficiently protected motoneurons from LPS-induced lethality in spinal cord cultures, and inhibited the interleukine-1β production by LPS-stimulated microglia. In motoneurons/glia cocultures obtained from wild type or SOD1 G93A mice, motoneuron death induced by SOD1mut glia was counteracted by TLR4 antagonists. The release of nitric oxide by LPS treatment or SOD1mut glia was also inhibited by EVOO, suggesting that the action of this natural extract could be mainly related to the modulation of this inflammatory mediator.&quot;,&quot;publisher&quot;:&quot;Academic Press&quot;,&quot;volume&quot;:&quot;103&quot;},&quot;isTemporary&quot;:false}],&quot;properties&quot;:{&quot;noteIndex&quot;:0},&quot;isEdited&quot;:false,&quot;manualOverride&quot;:{&quot;isManuallyOverriden&quot;:false,&quot;citeprocText&quot;:&quot;(de Paola &lt;i&gt;et al.&lt;/i&gt;, 2016; Perrin-Cocon &lt;i&gt;et al.&lt;/i&gt;, 2017)&quot;,&quot;manualOverrideText&quot;:&quot;&quot;},&quot;citationTag&quot;:&quot;MENDELEY_CITATION_v3_eyJjaXRhdGlvbklEIjoiTUVOREVMRVlfQ0lUQVRJT05fMmFiODkzZTktOTFlMS00OWIyLTkwZmItMzVhMWVhODVjMGI5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&quot;},{&quot;citationID&quot;:&quot;MENDELEY_CITATION_256c10bf-c06c-4693-b650-1f33d9d8e81d&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properties&quot;:{&quot;noteIndex&quot;:0},&quot;isEdited&quot;:false,&quot;manualOverride&quot;:{&quot;isManuallyOverriden&quot;:false,&quot;citeprocText&quot;:&quot;(Cighetti &lt;i&gt;et al.&lt;/i&gt;, 2014)&quot;,&quot;manualOverrideText&quot;:&quot;&quot;},&quot;citationTag&quot;:&quot;MENDELEY_CITATION_v3_eyJjaXRhdGlvbklEIjoiTUVOREVMRVlfQ0lUQVRJT05fMjU2YzEwYmYtYzA2Yy00NjkzLWI2NTAtMWYzM2Q5ZDhlODFk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quot;},{&quot;citationID&quot;:&quot;MENDELEY_CITATION_646041b2-2e07-449f-a862-b22f6a35a8de&quot;,&quot;citationItems&quot;:[{&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den&quot;:false,&quot;citeprocText&quot;:&quot;(Facchini &lt;i&gt;et al.&lt;/i&gt;, 2018)&quot;,&quot;manualOverrideText&quot;:&quot;&quot;},&quot;citationTag&quot;:&quot;MENDELEY_CITATION_v3_eyJjaXRhdGlvbklEIjoiTUVOREVMRVlfQ0lUQVRJT05fNjQ2MDQxYjItMmUwNy00NDlmLWE4NjItYjIyZjZhMzVhOGRl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kZW4iOmZhbHNlLCJjaXRlcHJvY1RleHQiOiIoRmFjY2hpbmkgPGk+ZXQgYWwuPC9pPiwgMjAxOCkiLCJtYW51YWxPdmVycmlkZVRleHQiOiIifX0=&quot;},{&quot;citationID&quot;:&quot;MENDELEY_CITATION_6a2d781a-2529-45dd-80d3-eade6641d0be&quot;,&quot;citationItems&quot;:[{&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en&quot;:false,&quot;citeprocText&quot;:&quot;(Facchini &lt;i&gt;et al.&lt;/i&gt;, 2018)&quot;,&quot;manualOverrideText&quot;:&quot;&quot;},&quot;citationTag&quot;:&quot;MENDELEY_CITATION_v3_eyJjaXRhdGlvbklEIjoiTUVOREVMRVlfQ0lUQVRJT05fNmEyZDc4MWEtMjUyOS00NWRkLTgwZDMtZWFkZTY2NDFkMGJl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GYWNjaGluaSA8aT5ldCBhbC48L2k+LCAyMDE4KSIsIm1hbnVhbE92ZXJyaWRlVGV4dCI6IiJ9fQ==&quot;},{&quot;citationID&quot;:&quot;MENDELEY_CITATION_8a8805be-70e0-4582-a819-37a301fb9ed9&quot;,&quot;citationItems&quot;:[{&quot;id&quot;:&quot;dba944cb-0b58-32c2-8220-c112bd72b4aa&quot;,&quot;itemData&quot;:{&quot;type&quot;:&quot;article-journal&quot;,&quot;id&quot;:&quot;dba944cb-0b58-32c2-8220-c112bd72b4aa&quot;,&quot;title&quot;:&quot;A novel method for production of lipid hydroperoxide- or oxysterol-rich low-density lipoprotein.&quot;,&quot;author&quot;:[{&quot;family&quot;:&quot;Gerry&quot;,&quot;given&quot;:&quot;Andrew B&quot;,&quot;parse-names&quot;:false,&quot;dropping-particle&quot;:&quot;&quot;,&quot;non-dropping-particle&quot;:&quot;&quot;},{&quot;family&quot;:&quot;Satchell&quot;,&quot;given&quot;:&quot;Leanne&quot;,&quot;parse-names&quot;:false,&quot;dropping-particle&quot;:&quot;&quot;,&quot;non-dropping-particle&quot;:&quot;&quot;},{&quot;family&quot;:&quot;Leake&quot;,&quot;given&quot;:&quot;David S&quot;,&quot;parse-names&quot;:false,&quot;dropping-particle&quot;:&quot;&quot;,&quot;non-dropping-particle&quot;:&quot;&quot;}],&quot;container-title&quot;:&quot;Atherosclerosis&quot;,&quot;accessed&quot;:{&quot;date-parts&quot;:[[2018,4,5]]},&quot;DOI&quot;:&quot;10.1016/j.atherosclerosis.2007.08.026&quot;,&quot;ISSN&quot;:&quot;1879-1484&quot;,&quot;PMID&quot;:&quot;17945239&quot;,&quot;URL&quot;:&quot;http://www.ncbi.nlm.nih.gov/pubmed/17945239&quot;,&quot;issued&quot;:{&quot;date-parts&quot;:[[2008,4,1]]},&quot;page&quot;:&quot;579-87&quot;,&quot;abstract&quot;:&quot;LDL oxidation may be important in atherosclerosis. Extensive oxidation of LDL by copper induces increased uptake by macrophages, but results in decomposition of hydroperoxides, making it more difficult to investigate the effects of hydroperoxides in oxidised LDL on cell function. We describe here a simple method of oxidising LDL by dialysis against copper ions at 4 degrees C, which inhibits the decomposition of hydroperoxides, and allows the production of LDL rich in hydroperoxides (626+/-98 nmol/mg LDL protein) but low in oxysterols (3+/-1 nmol 7-ketocholesterol/mg LDL protein), whilst allowing sufficient modification (2.6+/-0.5 relative electrophoretic mobility) for rapid uptake by macrophages (5.49+/-0.75 microg (125)I-labelled hydroperoxide-rich LDL vs. 0.46+/-0.04 microg protein/mg cell protein in 18 h for native LDL). By dialysing under the same conditions, but at 37 degrees C, the hydroperoxides are decomposed extensively and the LDL becomes rich in oxysterols. This novel method of oxidising LDL with high yield to either a hydroperoxide- or oxysterol-rich form by simply altering the temperature of dialysis may provide a useful tool for determining the effects of these different oxidation products on cell function.&quot;,&quot;publisher&quot;:&quot;Elsevier&quot;,&quot;issue&quot;:&quot;2&quot;,&quot;volume&quot;:&quot;197&quot;},&quot;isTemporary&quot;:false}],&quot;properties&quot;:{&quot;noteIndex&quot;:0},&quot;isEdited&quot;:false,&quot;manualOverride&quot;:{&quot;isManuallyOverriden&quot;:false,&quot;citeprocText&quot;:&quot;(Gerry, Satchell and Leake, 2008)&quot;,&quot;manualOverrideText&quot;:&quot;(Gerry, Satchell and Leake, 2008&quot;,&quot;isManuallyOverridden&quot;:true},&quot;citationTag&quot;:&quot;MENDELEY_CITATION_v3_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&quot;},{&quot;citationID&quot;:&quot;MENDELEY_CITATION_6e922568-0bb0-4cd1-bc87-37f6de18b62f&quot;,&quot;citationItems&quot;:[{&quot;id&quot;:&quot;dba944cb-0b58-32c2-8220-c112bd72b4aa&quot;,&quot;itemData&quot;:{&quot;type&quot;:&quot;article-journal&quot;,&quot;id&quot;:&quot;dba944cb-0b58-32c2-8220-c112bd72b4aa&quot;,&quot;title&quot;:&quot;A novel method for production of lipid hydroperoxide- or oxysterol-rich low-density lipoprotein.&quot;,&quot;author&quot;:[{&quot;family&quot;:&quot;Gerry&quot;,&quot;given&quot;:&quot;Andrew B&quot;,&quot;parse-names&quot;:false,&quot;dropping-particle&quot;:&quot;&quot;,&quot;non-dropping-particle&quot;:&quot;&quot;},{&quot;family&quot;:&quot;Satchell&quot;,&quot;given&quot;:&quot;Leanne&quot;,&quot;parse-names&quot;:false,&quot;dropping-particle&quot;:&quot;&quot;,&quot;non-dropping-particle&quot;:&quot;&quot;},{&quot;family&quot;:&quot;Leake&quot;,&quot;given&quot;:&quot;David S&quot;,&quot;parse-names&quot;:false,&quot;dropping-particle&quot;:&quot;&quot;,&quot;non-dropping-particle&quot;:&quot;&quot;}],&quot;container-title&quot;:&quot;Atherosclerosis&quot;,&quot;accessed&quot;:{&quot;date-parts&quot;:[[2018,4,5]]},&quot;DOI&quot;:&quot;10.1016/j.atherosclerosis.2007.08.026&quot;,&quot;ISSN&quot;:&quot;1879-1484&quot;,&quot;PMID&quot;:&quot;17945239&quot;,&quot;URL&quot;:&quot;http://www.ncbi.nlm.nih.gov/pubmed/17945239&quot;,&quot;issued&quot;:{&quot;date-parts&quot;:[[2008,4,1]]},&quot;page&quot;:&quot;579-87&quot;,&quot;abstract&quot;:&quot;LDL oxidation may be important in atherosclerosis. Extensive oxidation of LDL by copper induces increased uptake by macrophages, but results in decomposition of hydroperoxides, making it more difficult to investigate the effects of hydroperoxides in oxidised LDL on cell function. We describe here a simple method of oxidising LDL by dialysis against copper ions at 4 degrees C, which inhibits the decomposition of hydroperoxides, and allows the production of LDL rich in hydroperoxides (626+/-98 nmol/mg LDL protein) but low in oxysterols (3+/-1 nmol 7-ketocholesterol/mg LDL protein), whilst allowing sufficient modification (2.6+/-0.5 relative electrophoretic mobility) for rapid uptake by macrophages (5.49+/-0.75 microg (125)I-labelled hydroperoxide-rich LDL vs. 0.46+/-0.04 microg protein/mg cell protein in 18 h for native LDL). By dialysing under the same conditions, but at 37 degrees C, the hydroperoxides are decomposed extensively and the LDL becomes rich in oxysterols. This novel method of oxidising LDL with high yield to either a hydroperoxide- or oxysterol-rich form by simply altering the temperature of dialysis may provide a useful tool for determining the effects of these different oxidation products on cell function.&quot;,&quot;publisher&quot;:&quot;Elsevier&quot;,&quot;issue&quot;:&quot;2&quot;,&quot;volume&quot;:&quot;197&quot;},&quot;isTemporary&quot;:false}],&quot;properties&quot;:{&quot;noteIndex&quot;:0},&quot;isEdited&quot;:false,&quot;manualOverride&quot;:{&quot;isManuallyOverriden&quot;:false,&quot;citeprocText&quot;:&quot;(Gerry, Satchell and Leake, 2008)&quot;,&quot;manualOverrideText&quot;:&quot;(Gerry, Satchell and Leake, 2008&quot;,&quot;isManuallyOverridden&quot;:true},&quot;citationTag&quot;:&quot;MENDELEY_CITATION_v3_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&quot;},{&quot;citationID&quot;:&quot;MENDELEY_CITATION_b4d4e057-2f8b-4612-816b-b8325157a190&quot;,&quot;citationItems&quot;:[{&quot;id&quot;:&quot;d7826562-71b9-34f0-82e4-a6a6eb31695a&quot;,&quot;itemData&quot;:{&quot;type&quot;:&quot;article-journal&quot;,&quot;id&quot;:&quot;d7826562-71b9-34f0-82e4-a6a6eb31695a&quot;,&quot;title&quot;:&quot;Impact of oxLDL and LPS on C-type Natriuretic Peptide System is Different between THP-1 Cells and Human Peripheral Blood Monocytic Cells&quot;,&quot;author&quot;:[{&quot;family&quot;:&quot;Bruckmeier&quot;,&quot;given&quot;:&quot;Martin&quot;,&quot;parse-names&quot;:false,&quot;dropping-particle&quot;:&quot;&quot;,&quot;non-dropping-particle&quot;:&quot;&quot;},{&quot;family&quot;:&quot;Kuehnl&quot;,&quot;given&quot;:&quot;Andreas&quot;,&quot;parse-names&quot;:false,&quot;dropping-particle&quot;:&quot;&quot;,&quot;non-dropping-particle&quot;:&quot;&quot;},{&quot;family&quot;:&quot;Culmes&quot;,&quot;given&quot;:&quot;Mihaela&quot;,&quot;parse-names&quot;:false,&quot;dropping-particle&quot;:&quot;&quot;,&quot;non-dropping-particle&quot;:&quot;&quot;},{&quot;family&quot;:&quot;Pelisek&quot;,&quot;given&quot;:&quot;Jaroslav&quot;,&quot;parse-names&quot;:false,&quot;dropping-particle&quot;:&quot;&quot;,&quot;non-dropping-particle&quot;:&quot;&quot;},{&quot;family&quot;:&quot;Eckstein&quot;,&quot;given&quot;:&quot;Hans-Henning&quot;,&quot;parse-names&quot;:false,&quot;dropping-particle&quot;:&quot;&quot;,&quot;non-dropping-particle&quot;:&quot;&quot;}],&quot;container-title&quot;:&quot;Cellular Physiology and Biochemistry&quot;,&quot;accessed&quot;:{&quot;date-parts&quot;:[[2021,2,1]]},&quot;DOI&quot;:&quot;10.1159/000339044&quot;,&quot;ISSN&quot;:&quot;1421-9778&quot;,&quot;URL&quot;:&quot;https://www.karger.com/Article/FullText/339044&quot;,&quot;issued&quot;:{&quot;date-parts&quot;:[[2012]]},&quot;page&quot;:&quot;199-209&quot;,&quot;abstract&quot;:&quot;Background: The C-type natriuretic peptide (CNP) has anti-inflammatory, anti-proliferative, and anti-migratory properties. The purpose of this study was to investigate the occurrence of CNP and its receptors (NPR2 and NPR3) in a human monocytic cell line (THP-1 cells) as well as in peripheral blood monocytic cells (PBMC). Impact of both, LPS and human oxLDL on expression pattern of CNP and its receptors shall be studied. Methods: Cells were cultured in standard medium with or without LPS or oxLDL. Expression levels of CNP, NPR2, NPR3, TNF-α, IL-1β, IL-6, CD14 and CD68 were measured at baseline, 24h, and 48h. Results: Baseline expression of all analysed genes was significantly higher in PBMC compared to THP-1 cells (all p&lt;0.05). Expression levels of CNP, IL-1β, IL-6, and CD14 were significantly increased in PBMC following stimulation with LPS. In contrast, in THP-1 cells stimulated by LPS, significant increase in expression was found only for IL-6 (p=0.007). In THP-1 cells, oxLDL increased the expression levels of NPR3, TNF-α, IL-1β, IL-6, CD14, and CD68 significantly. In contrast, expression level of NPR2 was diminished by oxLDL (p=0.007). In PBMC NPR3 was significantly down-regulated (p=0.002). Treatment with oxLDL for 48h increased NPR2/3-ratio significantly in PBMC (22.5 vs. 4.8, p=0.010). In contrast, in THP-1 cells, NPR2/3-ratio was lowered significantly by oxLDL (0.31 vs. 17.0, p=0.008). Conclusion: Treatment with LPS or oxLDL leads to diverging changes in gene expression PBMC and THP-1 cells. With respect to CNP and its receptors, data gained from THP-1 cells should be further validated using naive human peripheral blood monocytes. However, THP-1 cells can serve as a negative control for e.g. future signalling pathway studies related to oxLDL effect on CNP system in monocytes/macrophages. © 2012 S. Karger AG, Basel.&quot;,&quot;publisher&quot;:&quot;Cell Physiol Biochem Press&quot;,&quot;issue&quot;:&quot;1&quot;,&quot;volume&quot;:&quot;30&quot;},&quot;isTemporary&quot;:false},{&quot;id&quot;:&quot;1e3ea9a7-0ddd-3fef-a01c-0f917a72216b&quot;,&quot;itemData&quot;:{&quot;type&quot;:&quot;article-journal&quot;,&quot;id&quot;:&quot;1e3ea9a7-0ddd-3fef-a01c-0f917a72216b&quot;,&quot;title&quot;:&quot;Monocytes, peripheral blood mononuclear cells, and THP-1 cells exhibit different cytokine expression patterns following stimulation with lipopolysaccharide&quot;,&quot;author&quot;:[{&quot;family&quot;:&quot;Schildberger&quot;,&quot;given&quot;:&quot;Anita&quot;,&quot;parse-names&quot;:false,&quot;dropping-particle&quot;:&quot;&quot;,&quot;non-dropping-particle&quot;:&quot;&quot;},{&quot;family&quot;:&quot;Rossmanith&quot;,&quot;given&quot;:&quot;Eva&quot;,&quot;parse-names&quot;:false,&quot;dropping-particle&quot;:&quot;&quot;,&quot;non-dropping-particle&quot;:&quot;&quot;},{&quot;family&quot;:&quot;Eichhorn&quot;,&quot;given&quot;:&quot;Tanja&quot;,&quot;parse-names&quot;:false,&quot;dropping-particle&quot;:&quot;&quot;,&quot;non-dropping-particle&quot;:&quot;&quot;},{&quot;family&quot;:&quot;Strassl&quot;,&quot;given&quot;:&quot;Katharina&quot;,&quot;parse-names&quot;:false,&quot;dropping-particle&quot;:&quot;&quot;,&quot;non-dropping-particle&quot;:&quot;&quot;},{&quot;family&quot;:&quot;Weber&quot;,&quot;given&quot;:&quot;Viktoria&quot;,&quot;parse-names&quot;:false,&quot;dropping-particle&quot;:&quot;&quot;,&quot;non-dropping-particle&quot;:&quot;&quot;}],&quot;container-title&quot;:&quot;Mediators of Inflammation&quot;,&quot;accessed&quot;:{&quot;date-parts&quot;:[[2021,2,1]]},&quot;DOI&quot;:&quot;10.1155/2013/697972&quot;,&quot;ISSN&quot;:&quot;09629351&quot;,&quot;PMID&quot;:&quot;23818743&quot;,&quot;issued&quot;:{&quot;date-parts&quot;:[[2013]]},&quot;abstract&quot;:&quot;THP-1 cells are widely applied to mimic monocytes in cell culture models. In this study, we compared the cytokine release from THP-1, peripheral blood mononuclear cells (PBMC), monocytes, or whole blood after stimulation with lipopolysaccharide (LPS) and investigated the consequences of different cytokine profiles on human umbilical vein endothelial cell (HUVEC) activation. While Pseudomonas aeruginosa-stimulated (10 ng/mL) THP-1 secreted similar amounts of tumor necrosis factor alpha (TNF-α) as monocytes and PBMC, they produced lower amounts of interleukin(IL)-8 and no IL-6 and IL-10. Whole blood required a higher concentration of Pseudomonas aeruginosa (1000 ng/mL) to induce cytokine release than isolated monocytes or PBMC (10 ng/mL). HUVEC secreted more IL-6 and IL-8 after stimulation with conditioned medium derived from whole blood than from THP-1, despite equal concentrations of TNF-α in both media. Specific adsorption of TNF-α or selective cytokine adsorption from the conditioned media prior to HUVEC stimulation significantly reduced HUVEC activation. Our findings show that THP-1 differ from monocytes, PBMC, and whole blood with respect to cytokine release after stimulation with LPS. Additionally, we could demonstrate that adsorption of inflammatory mediators results in reduced endothelial activation, which supports the concept of extracorporeal mediator modulation as supportive therapy for sepsis. © 2013 Anita Schildberger et al.&quot;,&quot;volume&quot;:&quot;2013&quot;},&quot;isTemporary&quot;:false}],&quot;properties&quot;:{&quot;noteIndex&quot;:0},&quot;isEdited&quot;:false,&quot;manualOverride&quot;:{&quot;isManuallyOverriden&quot;:false,&quot;citeprocText&quot;:&quot;(Bruckmeier &lt;i&gt;et al.&lt;/i&gt;, 2012; Schildberger &lt;i&gt;et al.&lt;/i&gt;, 2013)&quot;,&quot;manualOverrideText&quot;:&quot;&quot;},&quot;citationTag&quot;:&quot;MENDELEY_CITATION_v3_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&quot;},{&quot;citationID&quot;:&quot;MENDELEY_CITATION_0bf2dd62-7799-4d02-97c8-b50278772170&quot;,&quot;citationItems&quot;:[{&quot;id&quot;:&quot;6d5033c9-c98c-3b5a-a60a-20b7903abba4&quot;,&quot;itemData&quot;:{&quot;type&quot;:&quot;article-journal&quot;,&quot;id&quot;:&quot;6d5033c9-c98c-3b5a-a60a-20b7903abba4&quot;,&quot;title&quot;:&quot;Interleukin 10 (IL-10) inhibits the release of proinflammatory cytokines from human polymorphonuclear leukocytes. Evidence for an autocrine role of tumor necrosis factor and IL-1 beta in mediating the production of IL-8 triggered by lipopolysaccharide.&quot;,&quot;author&quot;:[{&quot;family&quot;:&quot;Cassatella&quot;,&quot;given&quot;:&quot;M A&quot;,&quot;parse-names&quot;:false,&quot;dropping-particle&quot;:&quot;&quot;,&quot;non-dropping-particle&quot;:&quot;&quot;},{&quot;family&quot;:&quot;Meda&quot;,&quot;given&quot;:&quot;L&quot;,&quot;parse-names&quot;:false,&quot;dropping-particle&quot;:&quot;&quot;,&quot;non-dropping-particle&quot;:&quot;&quot;},{&quot;family&quot;:&quot;Bonora&quot;,&quot;given&quot;:&quot;S&quot;,&quot;parse-names&quot;:false,&quot;dropping-particle&quot;:&quot;&quot;,&quot;non-dropping-particle&quot;:&quot;&quot;},{&quot;family&quot;:&quot;Ceska&quot;,&quot;given&quot;:&quot;M&quot;,&quot;parse-names&quot;:false,&quot;dropping-particle&quot;:&quot;&quot;,&quot;non-dropping-particle&quot;:&quot;&quot;},{&quot;family&quot;:&quot;Constantin&quot;,&quot;given&quot;:&quot;G&quot;,&quot;parse-names&quot;:false,&quot;dropping-particle&quot;:&quot;&quot;,&quot;non-dropping-particle&quot;:&quot;&quot;}],&quot;container-title&quot;:&quot;Journal of Experimental Medicine&quot;,&quot;accessed&quot;:{&quot;date-parts&quot;:[[2021,9,15]]},&quot;DOI&quot;:&quot;10.1084/JEM.178.6.2207&quot;,&quot;ISSN&quot;:&quot;0022-1007&quot;,&quot;issued&quot;:{&quot;date-parts&quot;:[[1993,12,1]]},&quot;page&quot;:&quot;2207-2211&quot;,&quot;abstract&quot;:&quot;In this study we have examined the effects ofinterleukin 10 (IL-10) on polymorphonuclear leukocytes (PMN), and found that it is a potent inhibitor of tumor necrosis factor (TNF), IL-1γ, and IL-8 secretion triggered by lipopolysaccharide (LPS). Cytokine production by phagocytosing PMN was also inhibited by IL-10, but to a lesser extent than the LPS-induced production. As shown by Northern blot analysis, IL-10 diminished the levels of TNF, IL-1γ, and IL-8 mRNAs late after the onset of stimulation of PMN with LPS. In addition, we provide evidence that the kinetics of LPS-induced IL-8 production by PMN is composed of two distinct phases. Specifically, our experiments demonstrated that in the first phase, the production of IL-8 is a process directly induced by LPS that lasts for some hours. After this early wave, a second phase begins that is sustained and leads to an elevated production of IL-8 that appears to be due to the endogenous release of TNF and IL-1γ. This second wave can in fact be blocked by anti-TNF and anti-IL-1γ neutralizing antibodies, and by IL-10 as the consequence of its downregulatory effects on TNF and IL-1γ release. Taken together, these findings identify novel biological actions of IL-10 as a suppressor of the inflammatory response. © 1993, Rockefeller University Press., All rights reserved.&quot;,&quot;publisher&quot;:&quot;The Rockefeller University Press&quot;,&quot;issue&quot;:&quot;6&quot;,&quot;volume&quot;:&quot;178&quot;},&quot;isTemporary&quot;:false}],&quot;properties&quot;:{&quot;noteIndex&quot;:0},&quot;isEdited&quot;:false,&quot;manualOverride&quot;:{&quot;isManuallyOverridden&quot;:false,&quot;citeprocText&quot;:&quot;(Cassatella &lt;i&gt;et al.&lt;/i&gt;, 1993)&quot;,&quot;manualOverrideText&quot;:&quot;&quot;},&quot;citationTag&quot;:&quot;MENDELEY_CITATION_v3_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&quot;},{&quot;citationID&quot;:&quot;MENDELEY_CITATION_92fbde46-b517-4c71-82a9-2b71c3cab551&quot;,&quot;citationItems&quot;:[{&quot;id&quot;:&quot;6d5033c9-c98c-3b5a-a60a-20b7903abba4&quot;,&quot;itemData&quot;:{&quot;type&quot;:&quot;article-journal&quot;,&quot;id&quot;:&quot;6d5033c9-c98c-3b5a-a60a-20b7903abba4&quot;,&quot;title&quot;:&quot;Interleukin 10 (IL-10) inhibits the release of proinflammatory cytokines from human polymorphonuclear leukocytes. Evidence for an autocrine role of tumor necrosis factor and IL-1 beta in mediating the production of IL-8 triggered by lipopolysaccharide.&quot;,&quot;author&quot;:[{&quot;family&quot;:&quot;Cassatella&quot;,&quot;given&quot;:&quot;M A&quot;,&quot;parse-names&quot;:false,&quot;dropping-particle&quot;:&quot;&quot;,&quot;non-dropping-particle&quot;:&quot;&quot;},{&quot;family&quot;:&quot;Meda&quot;,&quot;given&quot;:&quot;L&quot;,&quot;parse-names&quot;:false,&quot;dropping-particle&quot;:&quot;&quot;,&quot;non-dropping-particle&quot;:&quot;&quot;},{&quot;family&quot;:&quot;Bonora&quot;,&quot;given&quot;:&quot;S&quot;,&quot;parse-names&quot;:false,&quot;dropping-particle&quot;:&quot;&quot;,&quot;non-dropping-particle&quot;:&quot;&quot;},{&quot;family&quot;:&quot;Ceska&quot;,&quot;given&quot;:&quot;M&quot;,&quot;parse-names&quot;:false,&quot;dropping-particle&quot;:&quot;&quot;,&quot;non-dropping-particle&quot;:&quot;&quot;},{&quot;family&quot;:&quot;Constantin&quot;,&quot;given&quot;:&quot;G&quot;,&quot;parse-names&quot;:false,&quot;dropping-particle&quot;:&quot;&quot;,&quot;non-dropping-particle&quot;:&quot;&quot;}],&quot;container-title&quot;:&quot;Journal of Experimental Medicine&quot;,&quot;accessed&quot;:{&quot;date-parts&quot;:[[2021,9,15]]},&quot;DOI&quot;:&quot;10.1084/JEM.178.6.2207&quot;,&quot;ISSN&quot;:&quot;0022-1007&quot;,&quot;issued&quot;:{&quot;date-parts&quot;:[[1993,12,1]]},&quot;page&quot;:&quot;2207-2211&quot;,&quot;abstract&quot;:&quot;In this study we have examined the effects ofinterleukin 10 (IL-10) on polymorphonuclear leukocytes (PMN), and found that it is a potent inhibitor of tumor necrosis factor (TNF), IL-1γ, and IL-8 secretion triggered by lipopolysaccharide (LPS). Cytokine production by phagocytosing PMN was also inhibited by IL-10, but to a lesser extent than the LPS-induced production. As shown by Northern blot analysis, IL-10 diminished the levels of TNF, IL-1γ, and IL-8 mRNAs late after the onset of stimulation of PMN with LPS. In addition, we provide evidence that the kinetics of LPS-induced IL-8 production by PMN is composed of two distinct phases. Specifically, our experiments demonstrated that in the first phase, the production of IL-8 is a process directly induced by LPS that lasts for some hours. After this early wave, a second phase begins that is sustained and leads to an elevated production of IL-8 that appears to be due to the endogenous release of TNF and IL-1γ. This second wave can in fact be blocked by anti-TNF and anti-IL-1γ neutralizing antibodies, and by IL-10 as the consequence of its downregulatory effects on TNF and IL-1γ release. Taken together, these findings identify novel biological actions of IL-10 as a suppressor of the inflammatory response. © 1993, Rockefeller University Press., All rights reserved.&quot;,&quot;publisher&quot;:&quot;The Rockefeller University Press&quot;,&quot;issue&quot;:&quot;6&quot;,&quot;volume&quot;:&quot;178&quot;},&quot;isTemporary&quot;:false}],&quot;properties&quot;:{&quot;noteIndex&quot;:0},&quot;isEdited&quot;:false,&quot;manualOverride&quot;:{&quot;isManuallyOverridden&quot;:false,&quot;citeprocText&quot;:&quot;(Cassatella &lt;i&gt;et al.&lt;/i&gt;, 1993)&quot;,&quot;manualOverrideText&quot;:&quot;&quot;},&quot;citationTag&quot;:&quot;MENDELEY_CITATION_v3_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&quot;},{&quot;citationID&quot;:&quot;MENDELEY_CITATION_5d08cca2-f172-45fb-81ca-a56e607ba17a&quot;,&quot;citationItems&quot;:[{&quot;id&quot;:&quot;a6a6c605-4df5-3a26-92f1-d835bebc6a3d&quot;,&quot;itemData&quot;:{&quot;type&quot;:&quot;article-journal&quot;,&quot;id&quot;:&quot;a6a6c605-4df5-3a26-92f1-d835bebc6a3d&quot;,&quot;title&quot;:&quot;Anti-interleukin-6 receptor antibody therapy reduces vascular endothelial growth factor production in rheumatoid arthritis&quot;,&quot;author&quot;:[{&quot;family&quot;:&quot;Nakahara&quot;,&quot;given&quot;:&quot;Hideko&quot;,&quot;parse-names&quot;:false,&quot;dropping-particle&quot;:&quot;&quot;,&quot;non-dropping-particle&quot;:&quot;&quot;},{&quot;family&quot;:&quot;Song&quot;,&quot;given&quot;:&quot;Jian&quot;,&quot;parse-names&quot;:false,&quot;dropping-particle&quot;:&quot;&quot;,&quot;non-dropping-particle&quot;:&quot;&quot;},{&quot;family&quot;:&quot;Sugimoto&quot;,&quot;given&quot;:&quot;Masamichi&quot;,&quot;parse-names&quot;:false,&quot;dropping-particle&quot;:&quot;&quot;,&quot;non-dropping-particle&quot;:&quot;&quot;},{&quot;family&quot;:&quot;Hagihara&quot;,&quot;given&quot;:&quot;Keisuke&quot;,&quot;parse-names&quot;:false,&quot;dropping-particle&quot;:&quot;&quot;,&quot;non-dropping-particle&quot;:&quot;&quot;},{&quot;family&quot;:&quot;Kishimoto&quot;,&quot;given&quot;:&quot;Tadamitsu&quot;,&quot;parse-names&quot;:false,&quot;dropping-particle&quot;:&quot;&quot;,&quot;non-dropping-particle&quot;:&quot;&quot;},{&quot;family&quot;:&quot;Yoshizaki&quot;,&quot;given&quot;:&quot;Kazuyuki&quot;,&quot;parse-names&quot;:false,&quot;dropping-particle&quot;:&quot;&quot;,&quot;non-dropping-particle&quot;:&quot;&quot;},{&quot;family&quot;:&quot;Nishimoto&quot;,&quot;given&quot;:&quot;Norihiro&quot;,&quot;parse-names&quot;:false,&quot;dropping-particle&quot;:&quot;&quot;,&quot;non-dropping-particle&quot;:&quot;&quot;}],&quot;container-title&quot;:&quot;Arthritis &amp; Rheumatism&quot;,&quot;accessed&quot;:{&quot;date-parts&quot;:[[2021,1,31]]},&quot;DOI&quot;:&quot;10.1002/art.11143&quot;,&quot;ISSN&quot;:&quot;0004-3591&quot;,&quot;URL&quot;:&quot;http://doi.wiley.com/10.1002/art.11143&quot;,&quot;issued&quot;:{&quot;date-parts&quot;:[[2003,6,1]]},&quot;page&quot;:&quot;1521-1529&quot;,&quot;abstract&quot;:&quot;Objective. To investigate whether interleukin-6 (IL-6) is a regulator of vascular endothelial growth factor (VEGF) in rheumatoid arthritis (RA). Methods. Serum VEGF levels in RA patients were assayed before and after 8 weeks or 24 weeks of maintenance therapy with humanized anti-IL-6 receptor monoclonal antibody (anti-IL-6R mAb). VEGF secreted by RA synovial fibroblasts cultured in the presence of IL-6, IL-1β, and/or tumor necrosis factor α (TNFα) was measured. The inhibitory effect of anti-IL-6R mAb, recombinant IL-1 receptor antagonist (IL-1Ra), and anti-TNFα mAb on VEGF production was also examined. Results. Serum VEGF levels in RA patients before anti-IL-6R mAb therapy were significantly higher than those in healthy controls (P &lt; 0.0005). Treatment of RA patients with anti-IL-6R mAb normalized serum VEGF levels. In the in vitro study, IL-6 and IL-1β each induced a slight amount of VEGF production in synovial cells, but TNFα did not. Although VEGF-inducing activity of these cytokines was not remarkable when they were added alone, IL-6 acted synergistically with IL-1β or TNFα to induce VEGF production. There was no synergistic effect between IL-1β and TNFα. In the presence of all of these cytokines, anti-IL-6R mAb eliminated the synergistic effect of IL-6, IL-1β, and TNFα, while IL-1Ra or anti-TNFα mAb did not. Conclusion. Anti-IL-6R mAb therapy reduced VEGF production in RA. IL-6 is the pivotal cytokine that induces VEGF production in synergy with IL-1β or TNFα, and this may be the mechanism by which IL-6 blockade effectively suppresses VEGF production in synovial fibroblasts.&quot;,&quot;publisher&quot;:&quot;John Wiley &amp; Sons, Ltd&quot;,&quot;issue&quot;:&quot;6&quot;,&quot;volume&quot;:&quot;48&quot;},&quot;isTemporary&quot;:false}],&quot;properties&quot;:{&quot;noteIndex&quot;:0},&quot;isEdited&quot;:false,&quot;manualOverride&quot;:{&quot;isManuallyOverridden&quot;:false,&quot;citeprocText&quot;:&quot;(Nakahara &lt;i&gt;et al.&lt;/i&gt;, 2003)&quot;,&quot;manualOverrideText&quot;:&quot;&quot;},&quot;citationTag&quot;:&quot;MENDELEY_CITATION_v3_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&quot;},{&quot;citationID&quot;:&quot;MENDELEY_CITATION_af4ca6b1-465c-4cab-9ebe-9c2078fefefb&quot;,&quot;citationItems&quot;:[{&quot;id&quot;:&quot;2a3d4916-b5a7-31ed-bda7-7a780c392419&quot;,&quot;itemData&quot;:{&quot;type&quot;:&quot;article-journal&quot;,&quot;id&quot;:&quot;2a3d4916-b5a7-31ed-bda7-7a780c392419&quot;,&quot;title&quot;:&quot;The synthetic glycolipid-based TLR4 antagonist FP7 negatively regulates in vitro and in vivo haematopoietic and non-haematopoietic vascular TLR4 signalling&quot;,&quot;author&quot;:[{&quot;family&quot;:&quot;Palmer&quot;,&quot;given&quot;:&quot;C.&quot;,&quot;parse-names&quot;:false,&quot;dropping-particle&quot;:&quot;&quot;,&quot;non-dropping-particle&quot;:&quot;&quot;},{&quot;family&quot;:&quot;Peri&quot;,&quot;given&quot;:&quot;F.&quot;,&quot;parse-names&quot;:false,&quot;dropping-particle&quot;:&quot;&quot;,&quot;non-dropping-particle&quot;:&quot;&quot;},{&quot;family&quot;:&quot;Neumann&quot;,&quot;given&quot;:&quot;F.&quot;,&quot;parse-names&quot;:false,&quot;dropping-particle&quot;:&quot;&quot;,&quot;non-dropping-particle&quot;:&quot;&quot;},{&quot;family&quot;:&quot;Ahmad&quot;,&quot;given&quot;:&quot;F.&quot;,&quot;parse-names&quot;:false,&quot;dropping-particle&quot;:&quot;&quot;,&quot;non-dropping-particle&quot;:&quot;&quot;},{&quot;family&quot;:&quot;Leake&quot;,&quot;given&quot;:&quot;D.S.&quot;,&quot;parse-names&quot;:false,&quot;dropping-particle&quot;:&quot;&quot;,&quot;non-dropping-particle&quot;:&quot;&quot;},{&quot;family&quot;:&quot;Pirianov&quot;,&quot;given&quot;:&quot;G.&quot;,&quot;parse-names&quot;:false,&quot;dropping-particle&quot;:&quot;&quot;,&quot;non-dropping-particle&quot;:&quot;&quot;}],&quot;container-title&quot;:&quot;Innate Immunity&quot;,&quot;DOI&quot;:&quot;10.1177/1753425918798904&quot;,&quot;ISSN&quot;:&quot;17534267&quot;,&quot;issued&quot;:{&quot;date-parts&quot;:[[2018]]},&quot;abstract&quot;:&quot;© The Author(s) 2018. TLRs, including TLR4, have been shown to play a crucial role in cardiovascular inflammatory-based diseases. The main goal of this study was to determine the potential of FP7, a synthetic glycolipid active as a TLR4 antagonist, to modulate haematopoietic and non-haematopoietic vascular TLR4 pro-inflammatory signalling. HUVEC, human THP-1 monocytes, THP-1-derived macrophages, mouse RAW-264.7 macrophages and Angiotensin II-infused apolipoprotein E-deficient mice were in vitro and in vivo models, respectively. Western blotting, Ab array and ELISA approaches were used to explore the effect of FP7 on TLR4 functional activity in response to bacterial LPS (in vitro) and endogenous ligands of sterile inflammation (in vitro and in vivo). Following activation of TLR4, in vitro and in vivo data revealed that FP7 inhibited p38 MAPK and p65 NF-kB phosphorylation associated with down-regulation of a number of TLR4-dependent pro-inflammatory proteins. In addition to inhibition of LPS-induced TLR4 signalling, FP7 negatively regulated TLR4 activation in response to ligands of sterile inflammation (hydroperoxide-rich oxidised LDL, in vitro and Angiotensin II infusion, in vivo). These results demonstrate the ability of FP7 to negatively regulate in vitro and in vivo haematopoietic and non-haematopoietic vascular TLR4 signalling both in humans and mice, suggesting the potential therapeutic use of this TLR4 antagonist for pharmacological intervention of vascular inflammatory diseases.&quot;,&quot;issue&quot;:&quot;7&quot;,&quot;volume&quot;:&quot;24&quot;},&quot;isTemporary&quot;:false}],&quot;properties&quot;:{&quot;noteIndex&quot;:0},&quot;isEdited&quot;:false,&quot;manualOverride&quot;:{&quot;isManuallyOverriden&quot;:false,&quot;citeprocText&quot;:&quot;(C. Palmer &lt;i&gt;et al.&lt;/i&gt;, 2018)&quot;,&quot;manualOverrideText&quot;:&quot;(C. Palmer et al., 2018)&quot;,&quot;isManuallyOverridden&quot;:true},&quot;citationTag&quot;:&quot;MENDELEY_CITATION_v3_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&quot;},{&quot;citationID&quot;:&quot;MENDELEY_CITATION_18e106e2-0994-4ad5-bdd3-d9dc39139463&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en&quot;:false,&quot;citeprocText&quot;:&quot;(Cighetti &lt;i&gt;et al.&lt;/i&gt;, 2014; Facchini &lt;i&gt;et al.&lt;/i&gt;, 2018)&quot;,&quot;manualOverrideText&quot;:&quot;&quot;},&quot;citationTag&quot;:&quot;MENDELEY_CITATION_v3_eyJjaXRhdGlvbklEIjoiTUVOREVMRVlfQ0lUQVRJT05fMThlMTA2ZTItMDk5NC00YWQ1LWJkZDMtZDlkYzM5MTM5NDYz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LH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DaWdoZXR0aSA8aT5ldCBhbC48L2k+LCAyMDE0OyBGYWNjaGluaSA8aT5ldCBhbC48L2k+LCAyMDE4KSIsIm1hbnVhbE92ZXJyaWRlVGV4dCI6IiJ9fQ==&quot;},{&quot;citationID&quot;:&quot;MENDELEY_CITATION_5ca833fb-05ac-4afb-a909-8dd936620629&quot;,&quot;citationItems&quot;:[{&quot;id&quot;:&quot;2a3d4916-b5a7-31ed-bda7-7a780c392419&quot;,&quot;itemData&quot;:{&quot;type&quot;:&quot;article-journal&quot;,&quot;id&quot;:&quot;2a3d4916-b5a7-31ed-bda7-7a780c392419&quot;,&quot;title&quot;:&quot;The synthetic glycolipid-based TLR4 antagonist FP7 negatively regulates in vitro and in vivo haematopoietic and non-haematopoietic vascular TLR4 signalling&quot;,&quot;author&quot;:[{&quot;family&quot;:&quot;Palmer&quot;,&quot;given&quot;:&quot;C.&quot;,&quot;parse-names&quot;:false,&quot;dropping-particle&quot;:&quot;&quot;,&quot;non-dropping-particle&quot;:&quot;&quot;},{&quot;family&quot;:&quot;Peri&quot;,&quot;given&quot;:&quot;F.&quot;,&quot;parse-names&quot;:false,&quot;dropping-particle&quot;:&quot;&quot;,&quot;non-dropping-particle&quot;:&quot;&quot;},{&quot;family&quot;:&quot;Neumann&quot;,&quot;given&quot;:&quot;F.&quot;,&quot;parse-names&quot;:false,&quot;dropping-particle&quot;:&quot;&quot;,&quot;non-dropping-particle&quot;:&quot;&quot;},{&quot;family&quot;:&quot;Ahmad&quot;,&quot;given&quot;:&quot;F.&quot;,&quot;parse-names&quot;:false,&quot;dropping-particle&quot;:&quot;&quot;,&quot;non-dropping-particle&quot;:&quot;&quot;},{&quot;family&quot;:&quot;Leake&quot;,&quot;given&quot;:&quot;D.S.&quot;,&quot;parse-names&quot;:false,&quot;dropping-particle&quot;:&quot;&quot;,&quot;non-dropping-particle&quot;:&quot;&quot;},{&quot;family&quot;:&quot;Pirianov&quot;,&quot;given&quot;:&quot;G.&quot;,&quot;parse-names&quot;:false,&quot;dropping-particle&quot;:&quot;&quot;,&quot;non-dropping-particle&quot;:&quot;&quot;}],&quot;container-title&quot;:&quot;Innate Immunity&quot;,&quot;DOI&quot;:&quot;10.1177/1753425918798904&quot;,&quot;ISSN&quot;:&quot;17534267&quot;,&quot;issued&quot;:{&quot;date-parts&quot;:[[2018]]},&quot;abstract&quot;:&quot;© The Author(s) 2018. TLRs, including TLR4, have been shown to play a crucial role in cardiovascular inflammatory-based diseases. The main goal of this study was to determine the potential of FP7, a synthetic glycolipid active as a TLR4 antagonist, to modulate haematopoietic and non-haematopoietic vascular TLR4 pro-inflammatory signalling. HUVEC, human THP-1 monocytes, THP-1-derived macrophages, mouse RAW-264.7 macrophages and Angiotensin II-infused apolipoprotein E-deficient mice were in vitro and in vivo models, respectively. Western blotting, Ab array and ELISA approaches were used to explore the effect of FP7 on TLR4 functional activity in response to bacterial LPS (in vitro) and endogenous ligands of sterile inflammation (in vitro and in vivo). Following activation of TLR4, in vitro and in vivo data revealed that FP7 inhibited p38 MAPK and p65 NF-kB phosphorylation associated with down-regulation of a number of TLR4-dependent pro-inflammatory proteins. In addition to inhibition of LPS-induced TLR4 signalling, FP7 negatively regulated TLR4 activation in response to ligands of sterile inflammation (hydroperoxide-rich oxidised LDL, in vitro and Angiotensin II infusion, in vivo). These results demonstrate the ability of FP7 to negatively regulate in vitro and in vivo haematopoietic and non-haematopoietic vascular TLR4 signalling both in humans and mice, suggesting the potential therapeutic use of this TLR4 antagonist for pharmacological intervention of vascular inflammatory diseases.&quot;,&quot;issue&quot;:&quot;7&quot;,&quot;volume&quot;:&quot;24&quot;},&quot;isTemporary&quot;:false}],&quot;properties&quot;:{&quot;noteIndex&quot;:0},&quot;isEdited&quot;:false,&quot;manualOverride&quot;:{&quot;isManuallyOverriden&quot;:false,&quot;citeprocText&quot;:&quot;(C. Palmer &lt;i&gt;et al.&lt;/i&gt;, 2018)&quot;,&quot;manualOverrideText&quot;:&quot;(C. Palmer et al., 2018)&quot;,&quot;isManuallyOverridden&quot;:true},&quot;citationTag&quot;:&quot;MENDELEY_CITATION_v3_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&quot;},{&quot;citationID&quot;:&quot;MENDELEY_CITATION_5c7287e0-a558-4f97-92e2-91a6bb1bc3da&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id&quot;:&quot;dd61b1b4-e4f0-3465-803b-be3cb9d6f594&quot;,&quot;itemData&quot;:{&quot;type&quot;:&quot;article-journal&quot;,&quot;id&quot;:&quot;dd61b1b4-e4f0-3465-803b-be3cb9d6f594&quot;,&quot;title&quot;:&quot;TLR4 antagonist FP7 inhibits LPS-induced cytokine production and glycolytic reprogramming in dendritic cells, and protects mice from lethal influenza infection&quot;,&quot;author&quot;:[{&quot;family&quot;:&quot;Perrin-Cocon&quot;,&quot;given&quot;:&quot;Laure&quot;,&quot;parse-names&quot;:false,&quot;dropping-particle&quot;:&quot;&quot;,&quot;non-dropping-particle&quot;:&quot;&quot;},{&quot;family&quot;:&quot;Aublin-Gex&quot;,&quot;given&quot;:&quot;Anne&quot;,&quot;parse-names&quot;:false,&quot;dropping-particle&quot;:&quot;&quot;,&quot;non-dropping-particle&quot;:&quot;&quot;},{&quot;family&quot;:&quot;Sestito&quot;,&quot;given&quot;:&quot;Stefania E.&quot;,&quot;parse-names&quot;:false,&quot;dropping-particle&quot;:&quot;&quot;,&quot;non-dropping-particle&quot;:&quot;&quot;},{&quot;family&quot;:&quot;Shirey&quot;,&quot;given&quot;:&quot;Kari Ann&quot;,&quot;parse-names&quot;:false,&quot;dropping-particle&quot;:&quot;&quot;,&quot;non-dropping-particle&quot;:&quot;&quot;},{&quot;family&quot;:&quot;Patel&quot;,&quot;given&quot;:&quot;Mira C.&quot;,&quot;parse-names&quot;:false,&quot;dropping-particle&quot;:&quot;&quot;,&quot;non-dropping-particle&quot;:&quot;&quot;},{&quot;family&quot;:&quot;André&quot;,&quot;given&quot;:&quot;Patrice&quot;,&quot;parse-names&quot;:false,&quot;dropping-particle&quot;:&quot;&quot;,&quot;non-dropping-particle&quot;:&quot;&quot;},{&quot;family&quot;:&quot;Blanco&quot;,&quot;given&quot;:&quot;Jorge C.&quot;,&quot;parse-names&quot;:false,&quot;dropping-particle&quot;:&quot;&quot;,&quot;non-dropping-particle&quot;:&quot;&quot;},{&quot;family&quot;:&quot;Vogel&quot;,&quot;given&quot;:&quot;Stefanie N.&quot;,&quot;parse-names&quot;:false,&quot;dropping-particle&quot;:&quot;&quot;,&quot;non-dropping-particle&quot;:&quot;&quot;},{&quot;family&quot;:&quot;Peri&quot;,&quot;given&quot;:&quot;Francesco&quot;,&quot;parse-names&quot;:false,&quot;dropping-particle&quot;:&quot;&quot;,&quot;non-dropping-particle&quot;:&quot;&quot;},{&quot;family&quot;:&quot;Lotteau&quot;,&quot;given&quot;:&quot;Vincent&quot;,&quot;parse-names&quot;:false,&quot;dropping-particle&quot;:&quot;&quot;,&quot;non-dropping-particle&quot;:&quot;&quot;}],&quot;container-title&quot;:&quot;Scientific Reports&quot;,&quot;accessed&quot;:{&quot;date-parts&quot;:[[2018,4,5]]},&quot;DOI&quot;:&quot;10.1038/srep40791&quot;,&quot;ISSN&quot;:&quot;2045-2322&quot;,&quot;URL&quot;:&quot;http://www.nature.com/articles/srep40791&quot;,&quot;issued&quot;:{&quot;date-parts&quot;:[[2017,1,20]]},&quot;page&quot;:&quot;40791&quot;,&quot;abstract&quot;:&quot;TLR4 antagonist FP7 inhibits LPS-induced cytokine production and glycolytic reprogramming in dendritic cells, and protects mice from lethal influenza infection&quot;,&quot;publisher&quot;:&quot;Nature Publishing Group&quot;,&quot;volume&quot;:&quot;7&quot;},&quot;isTemporary&quot;:false},{&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den&quot;:true,&quot;citeprocText&quot;:&quot;(Cighetti &lt;i&gt;et al.&lt;/i&gt;, 2014; Perrin-Cocon &lt;i&gt;et al.&lt;/i&gt;, 2017; Facchini &lt;i&gt;et al.&lt;/i&gt;, 2018)&quot;,&quot;manualOverrideText&quot;:&quot;(Cighetti et al., 2014; Facchini et al., 2018)&quot;},&quot;citationTag&quot;:&quot;MENDELEY_CITATION_v3_eyJjaXRhdGlvbklEIjoiTUVOREVMRVlfQ0lUQVRJT05fNWM3Mjg3ZTAtYTU1OC00Zjk3LTkyZTItOTFhNmJiMWJjM2Rh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LH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&quot;},{&quot;citationID&quot;:&quot;MENDELEY_CITATION_4cb2e06b-c588-4043-ad7c-ac69e01a9524&quot;,&quot;citationItems&quot;:[{&quot;id&quot;:&quot;b97cdd71-3e04-3fff-a727-781184d13169&quot;,&quot;itemData&quot;:{&quot;type&quot;:&quot;article-journal&quot;,&quot;id&quot;:&quot;b97cdd71-3e04-3fff-a727-781184d13169&quot;,&quot;title&quot;:&quot;TRAM couples endocytosis of Toll-like receptor 4 to the induction of interferon-β&quot;,&quot;author&quot;:[{&quot;family&quot;:&quot;Kagan&quot;,&quot;given&quot;:&quot;Jonathan C.&quot;,&quot;parse-names&quot;:false,&quot;dropping-particle&quot;:&quot;&quot;,&quot;non-dropping-particle&quot;:&quot;&quot;},{&quot;family&quot;:&quot;Su&quot;,&quot;given&quot;:&quot;Tian&quot;,&quot;parse-names&quot;:false,&quot;dropping-particle&quot;:&quot;&quot;,&quot;non-dropping-particle&quot;:&quot;&quot;},{&quot;family&quot;:&quot;Horng&quot;,&quot;given&quot;:&quot;Tiffany&quot;,&quot;parse-names&quot;:false,&quot;dropping-particle&quot;:&quot;&quot;,&quot;non-dropping-particle&quot;:&quot;&quot;},{&quot;family&quot;:&quot;Chow&quot;,&quot;given&quot;:&quot;Amy&quot;,&quot;parse-names&quot;:false,&quot;dropping-particle&quot;:&quot;&quot;,&quot;non-dropping-particle&quot;:&quot;&quot;},{&quot;family&quot;:&quot;Akira&quot;,&quot;given&quot;:&quot;Shizuo&quot;,&quot;parse-names&quot;:false,&quot;dropping-particle&quot;:&quot;&quot;,&quot;non-dropping-particle&quot;:&quot;&quot;},{&quot;family&quot;:&quot;Medzhitov&quot;,&quot;given&quot;:&quot;Ruslan&quot;,&quot;parse-names&quot;:false,&quot;dropping-particle&quot;:&quot;&quot;,&quot;non-dropping-particle&quot;:&quot;&quot;}],&quot;container-title&quot;:&quot;Nature Immunology&quot;,&quot;accessed&quot;:{&quot;date-parts&quot;:[[2021,1,31]]},&quot;DOI&quot;:&quot;10.1038/ni1569&quot;,&quot;ISSN&quot;:&quot;15292908&quot;,&quot;PMID&quot;:&quot;18297073&quot;,&quot;URL&quot;:&quot;https://www.nature.com/articles/ni1569&quot;,&quot;issued&quot;:{&quot;date-parts&quot;:[[2008,4,24]]},&quot;page&quot;:&quot;361-368&quot;,&quot;abstract&quot;:&quot;Toll-like receptor 4 (TLR4) induces two distinct signaling pathways controlled by the TIRAP-MyD88 and TRAM-TRIF pairs of adaptor proteins, which elicit the production of proinflammatory cytokines and type I interferons, respectively. How TLR4 coordinates the activation of these two pathways is unknown. Here we show that TLR4 activated these two signaling pathways sequentially in a process organized around endocytosis of the TLR4 complex. We propose that TLR4 first induces TIRAP-MyD88 signaling at the plasma membrane and is then endocytosed and activates TRAM-TRIF signaling from early endosomes. Our data emphasize a unifying theme in innate immune recognition whereby all type I interferon-inducing receptors signal from an intracellular location.&quot;,&quot;publisher&quot;:&quot;Nature Publishing Group&quot;,&quot;issue&quot;:&quot;4&quot;,&quot;volume&quot;:&quot;9&quot;},&quot;isTemporary&quot;:false}],&quot;properties&quot;:{&quot;noteIndex&quot;:0},&quot;isEdited&quot;:false,&quot;manualOverride&quot;:{&quot;isManuallyOverridden&quot;:false,&quot;citeprocText&quot;:&quot;(Kagan &lt;i&gt;et al.&lt;/i&gt;, 2008)&quot;,&quot;manualOverrideText&quot;:&quot;&quot;},&quot;citationTag&quot;:&quot;MENDELEY_CITATION_v3_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&quot;},{&quot;citationID&quot;:&quot;MENDELEY_CITATION_7f94852e-0877-4c78-9f5e-61c9b7754681&quot;,&quot;citationItems&quot;:[{&quot;id&quot;:&quot;f8921981-442c-3cef-abed-a8a718c286a9&quot;,&quot;itemData&quot;:{&quot;type&quot;:&quot;article-journal&quot;,&quot;id&quot;:&quot;f8921981-442c-3cef-abed-a8a718c286a9&quot;,&quot;title&quot;:&quot;TLR4 mutant mice are protected from renal fibrosis and chronic kidney disease progression&quot;,&quot;author&quot;:[{&quot;family&quot;:&quot;Souza&quot;,&quot;given&quot;:&quot;Ana C.P.&quot;,&quot;parse-names&quot;:false,&quot;dropping-particle&quot;:&quot;&quot;,&quot;non-dropping-particle&quot;:&quot;&quot;},{&quot;family&quot;:&quot;Tsuji&quot;,&quot;given&quot;:&quot;Takayuki&quot;,&quot;parse-names&quot;:false,&quot;dropping-particle&quot;:&quot;&quot;,&quot;non-dropping-particle&quot;:&quot;&quot;},{&quot;family&quot;:&quot;Baranova&quot;,&quot;given&quot;:&quot;Irina N.&quot;,&quot;parse-names&quot;:false,&quot;dropping-particle&quot;:&quot;&quot;,&quot;non-dropping-particle&quot;:&quot;&quot;},{&quot;family&quot;:&quot;Bocharov&quot;,&quot;given&quot;:&quot;Alexander&quot;,&quot;parse-names&quot;:false,&quot;dropping-particle&quot;:&quot;v.&quot;,&quot;non-dropping-particle&quot;:&quot;&quot;},{&quot;family&quot;:&quot;Wilkins&quot;,&quot;given&quot;:&quot;Kenneth J.&quot;,&quot;parse-names&quot;:false,&quot;dropping-particle&quot;:&quot;&quot;,&quot;non-dropping-particle&quot;:&quot;&quot;},{&quot;family&quot;:&quot;Street&quot;,&quot;given&quot;:&quot;Jonathan M.&quot;,&quot;parse-names&quot;:false,&quot;dropping-particle&quot;:&quot;&quot;,&quot;non-dropping-particle&quot;:&quot;&quot;},{&quot;family&quot;:&quot;Alvarez-Prats&quot;,&quot;given&quot;:&quot;Alejandro&quot;,&quot;parse-names&quot;:false,&quot;dropping-particle&quot;:&quot;&quot;,&quot;non-dropping-particle&quot;:&quot;&quot;},{&quot;family&quot;:&quot;Hu&quot;,&quot;given&quot;:&quot;Xuzhen&quot;,&quot;parse-names&quot;:false,&quot;dropping-particle&quot;:&quot;&quot;,&quot;non-dropping-particle&quot;:&quot;&quot;},{&quot;family&quot;:&quot;Eggerman&quot;,&quot;given&quot;:&quot;Thomas&quot;,&quot;parse-names&quot;:false,&quot;dropping-particle&quot;:&quot;&quot;,&quot;non-dropping-particle&quot;:&quot;&quot;},{&quot;family&quot;:&quot;Yuen&quot;,&quot;given&quot;:&quot;Peter S.T.&quot;,&quot;parse-names&quot;:false,&quot;dropping-particle&quot;:&quot;&quot;,&quot;non-dropping-particle&quot;:&quot;&quot;},{&quot;family&quot;:&quot;Star&quot;,&quot;given&quot;:&quot;Robert A.&quot;,&quot;parse-names&quot;:false,&quot;dropping-particle&quot;:&quot;&quot;,&quot;non-dropping-particle&quot;:&quot;&quot;}],&quot;container-title&quot;:&quot;Physiological Reports&quot;,&quot;DOI&quot;:&quot;10.14814/phy2.12558&quot;,&quot;ISSN&quot;:&quot;2051817X&quot;,&quot;issued&quot;:{&quot;date-parts&quot;:[[2015]]},&quot;page&quot;:&quot;1-12&quot;,&quot;abstract&quot;:&quot;Chronic kidney disease (CKD) is associated with persistent low-grade inflammation and immunosuppression. In this study we tested the role of Toll-like receptor 4, the main receptor for endotoxin (LPS), in a mouse model of renal fibrosis and in a model of progressive CKD that better resembles the human disease. C3HeJ (TLR4 mutant) mice have a missense point mutation in the TLR4 gene, rendering the receptor nonfunctional. In a model of renal fibrosis after folic acid injection, TLR4 mutant mice developed less interstititial fibrosis in comparison to wild-type (WT) mice. Furthermore, 4 weeks after 5/6 nephrectomy with continuous low-dose angiotensin II infusion, C3HeOuJ (TLR4 WT) mice developed progressive CKD with albuminuria, increased serum levels of BUN and creatinine, glomerulosclerosis, and interstitial fibrosis, whereas TLR4 mutant mice were significantly protected from CKD progression. TLR4 WT mice also developed low-grade systemic inflammation, splenocyte apoptosis and increased expression of the immune inhibitory receptor PD-1 in the spleen, which were not observed in TLR4 mutant mice. In vitro, endotoxin (LPS) directly upregulated NLRP3 inflammasome expression in renal epithelial cells via TLR4. In summary, TLR4 contributes to renal fibrosis and CKD progression, at least in part, via inflammasome activation in renal epithelial cells, and may also participate in the dysregulated immune response that is associated with CKD.&quot;,&quot;issue&quot;:&quot;9&quot;,&quot;volume&quot;:&quot;3&quot;},&quot;isTemporary&quot;:false}],&quot;properties&quot;:{&quot;noteIndex&quot;:0},&quot;isEdited&quot;:false,&quot;manualOverride&quot;:{&quot;isManuallyOverriden&quot;:false,&quot;citeprocText&quot;:&quot;(Souza &lt;i&gt;et al.&lt;/i&gt;, 2015)&quot;,&quot;manualOverrideText&quot;:&quot;&quot;},&quot;citationTag&quot;:&quot;MENDELEY_CITATION_v3_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&quot;},{&quot;citationID&quot;:&quot;MENDELEY_CITATION_6674ce92-8570-4eab-adfc-f82b59d1a635&quot;,&quot;citationItems&quot;:[{&quot;id&quot;:&quot;ba757b61-7ea6-38cf-9551-2799644b87f5&quot;,&quot;itemData&quot;:{&quot;type&quot;:&quot;article-journal&quot;,&quot;id&quot;:&quot;ba757b61-7ea6-38cf-9551-2799644b87f5&quot;,&quot;title&quot;:&quot;Lack of Toll-like receptor 4 or myeloid differentiation factor 88 reduces atherosclerosis and alters plaque phenotype in mice deficient in apolipoprotein E.&quot;,&quot;author&quot;:[{&quot;family&quot;:&quot;Michelsen&quot;,&quot;given&quot;:&quot;Kathrin S&quot;,&quot;parse-names&quot;:false,&quot;dropping-particle&quot;:&quot;&quot;,&quot;non-dropping-particle&quot;:&quot;&quot;},{&quot;family&quot;:&quot;Wong&quot;,&quot;given&quot;:&quot;Michelle H&quot;,&quot;parse-names&quot;:false,&quot;dropping-particle&quot;:&quot;&quot;,&quot;non-dropping-particle&quot;:&quot;&quot;},{&quot;family&quot;:&quot;Shah&quot;,&quot;given&quot;:&quot;Prediman K&quot;,&quot;parse-names&quot;:false,&quot;dropping-particle&quot;:&quot;&quot;,&quot;non-dropping-particle&quot;:&quot;&quot;},{&quot;family&quot;:&quot;Zhang&quot;,&quot;given&quot;:&quot;Wenxuan&quot;,&quot;parse-names&quot;:false,&quot;dropping-particle&quot;:&quot;&quot;,&quot;non-dropping-particle&quot;:&quot;&quot;},{&quot;family&quot;:&quot;Yano&quot;,&quot;given&quot;:&quot;Juliana&quot;,&quot;parse-names&quot;:false,&quot;dropping-particle&quot;:&quot;&quot;,&quot;non-dropping-particle&quot;:&quot;&quot;},{&quot;family&quot;:&quot;Doherty&quot;,&quot;given&quot;:&quot;Terence M&quot;,&quot;parse-names&quot;:false,&quot;dropping-particle&quot;:&quot;&quot;,&quot;non-dropping-particle&quot;:&quot;&quot;},{&quot;family&quot;:&quot;Akira&quot;,&quot;given&quot;:&quot;Shizuo&quot;,&quot;parse-names&quot;:false,&quot;dropping-particle&quot;:&quot;&quot;,&quot;non-dropping-particle&quot;:&quot;&quot;},{&quot;family&quot;:&quot;Rajavashisth&quot;,&quot;given&quot;:&quot;Tripathi B&quot;,&quot;parse-names&quot;:false,&quot;dropping-particle&quot;:&quot;&quot;,&quot;non-dropping-particle&quot;:&quot;&quot;},{&quot;family&quot;:&quot;Arditi&quot;,&quot;given&quot;:&quot;Moshe&quot;,&quot;parse-names&quot;:false,&quot;dropping-particle&quot;:&quot;&quot;,&quot;non-dropping-particle&quot;:&quot;&quot;}],&quot;container-title&quot;:&quot;Proceedings of the National Academy of Sciences of the United States of America&quot;,&quot;accessed&quot;:{&quot;date-parts&quot;:[[2018,4,5]]},&quot;DOI&quot;:&quot;10.1073/pnas.0403249101&quot;,&quot;ISSN&quot;:&quot;0027-8424&quot;,&quot;PMID&quot;:&quot;15249654&quot;,&quot;URL&quot;:&quot;http://www.ncbi.nlm.nih.gov/pubmed/15249654&quot;,&quot;issued&quot;:{&quot;date-parts&quot;:[[2004,7,20]]},&quot;page&quot;:&quot;10679-84&quot;,&quot;abstract&quot;:&quot;Toll-like receptors (TLRs) and the downstream adaptor molecule myeloid differentiation factor 88 (MyD88) play an essential role in the innate immune responses. Here, we demonstrate that genetic deficiency of TLR4 or MyD88 is associated with a significant reduction of aortic plaque areas in atherosclerosis-prone apolipoprotein E-deficient mice, despite persistent hypercholesterolemia, implying an important role for the innate immune system in atherogenesis. Apolipoprotein E-deficient mice that also lacked TLR4 or MyD88 demonstrated reduced aortic atherosclerosis that was associated with reductions in circulating levels of proinflammatory cytokines IL-12 or monocyte chemoattractant protein 1, plaque lipid content, numbers of macrophage, and cyclooxygenase 2 immunoreactivity in their plaques. Endothelial-leukocyte adhesion in response to minimally modified low-density lipoprotein was reduced in aortic endothelial cells derived from MyD88-deficient mice. Taken together, our results suggest an important role for TLR4 and MyD88 signaling in atherosclerosis in a hypercholesterolemic mouse model, providing a pathophysiologic link between innate immunity, inflammation, and atherogenesis.&quot;,&quot;publisher&quot;:&quot;National Academy of Sciences&quot;,&quot;issue&quot;:&quot;29&quot;,&quot;volume&quot;:&quot;101&quot;},&quot;isTemporary&quot;:false},{&quot;id&quot;:&quot;254365db-4978-3259-8eb7-b78b8eaceac3&quot;,&quot;itemData&quot;:{&quot;type&quot;:&quot;article-journal&quot;,&quot;id&quot;:&quot;254365db-4978-3259-8eb7-b78b8eaceac3&quot;,&quot;title&quot;:&quot;MyD88 deficiency attenuates angiotensin II-induced abdominal aortic aneurysm formation independent of signaling through Toll-like receptors 2 and 4.&quot;,&quot;author&quot;:[{&quot;family&quot;:&quot;Owens&quot;,&quot;given&quot;:&quot;A Phillip&quot;,&quot;parse-names&quot;:false,&quot;dropping-particle&quot;:&quot;&quot;,&quot;non-dropping-particle&quot;:&quot;&quot;},{&quot;family&quot;:&quot;Rateri&quot;,&quot;given&quot;:&quot;Debra L&quot;,&quot;parse-names&quot;:false,&quot;dropping-particle&quot;:&quot;&quot;,&quot;non-dropping-particle&quot;:&quot;&quot;},{&quot;family&quot;:&quot;Howatt&quot;,&quot;given&quot;:&quot;Deborah A&quot;,&quot;parse-names&quot;:false,&quot;dropping-particle&quot;:&quot;&quot;,&quot;non-dropping-particle&quot;:&quot;&quot;},{&quot;family&quot;:&quot;Moore&quot;,&quot;given&quot;:&quot;Kathryn J&quot;,&quot;parse-names&quot;:false,&quot;dropping-particle&quot;:&quot;&quot;,&quot;non-dropping-particle&quot;:&quot;&quot;},{&quot;family&quot;:&quot;Tobias&quot;,&quot;given&quot;:&quot;Peter S&quot;,&quot;parse-names&quot;:false,&quot;dropping-particle&quot;:&quot;&quot;,&quot;non-dropping-particle&quot;:&quot;&quot;},{&quot;family&quot;:&quot;Curtiss&quot;,&quot;given&quot;:&quot;Linda K&quot;,&quot;parse-names&quot;:false,&quot;dropping-particle&quot;:&quot;&quot;,&quot;non-dropping-particle&quot;:&quot;&quot;},{&quot;family&quot;:&quot;Lu&quot;,&quot;given&quot;:&quot;Hong&quot;,&quot;parse-names&quot;:false,&quot;dropping-particle&quot;:&quot;&quot;,&quot;non-dropping-particle&quot;:&quot;&quot;},{&quot;family&quot;:&quot;Cassis&quot;,&quot;given&quot;:&quot;Lisa A&quot;,&quot;parse-names&quot;:false,&quot;dropping-particle&quot;:&quot;&quot;,&quot;non-dropping-particle&quot;:&quot;&quot;},{&quot;family&quot;:&quot;Daugherty&quot;,&quot;given&quot;:&quot;Alan&quot;,&quot;parse-names&quot;:false,&quot;dropping-particle&quot;:&quot;&quot;,&quot;non-dropping-particle&quot;:&quot;&quot;}],&quot;container-title&quot;:&quot;Arteriosclerosis, thrombosis, and vascular biology&quot;,&quot;accessed&quot;:{&quot;date-parts&quot;:[[2018,4,5]]},&quot;DOI&quot;:&quot;10.1161/ATVBAHA.111.238642&quot;,&quot;ISSN&quot;:&quot;1524-4636&quot;,&quot;PMID&quot;:&quot;21960563&quot;,&quot;URL&quot;:&quot;http://www.ncbi.nlm.nih.gov/pubmed/21960563&quot;,&quot;issued&quot;:{&quot;date-parts&quot;:[[2011,12,1]]},&quot;page&quot;:&quot;2813-9&quot;,&quot;abstract&quot;:&quot;OBJECTIVE The purpose of this study was to determine whether myeloid differentiation factor 88 (MyD88) and its related Toll-like receptors (TLRs) 2 and 4 contributed to the development of angiotensin II (AngII)-induced abdominal aortic aneurysms (AAAs) and atherosclerosis. METHODS AND RESULTS AngII was infused into either apoE(-/-) or LDL receptor (LDLR)(-/-) male mice that were either MyD88(+/+) or (-/-). MyD88 deficiency profoundly reduced AngII-induced AAAs and atherosclerosis in both strains. To define whether deficiency of specific TLRs had similar effects, AngII was infused into LDLR(-/-) mice that were also deficient in either TLR2 or TLR4. TLR2 deficiency had no effect on AAA development but inhibited atherosclerosis. In contrast, TLR4 deficiency attenuated both AAAs and atherosclerosis. To resolve whether MyD88 and TLR4 exerted their effects through cells of hematopoietic lineage, LDLR(-/-) mice were lethally irradiated and repopulated with bone marrow-derived cells from either MyD88 or TLR4 strains. MyD88 deficiency in bone marrow-derived cells profoundly reduced both AngII-induced AAAs and atherosclerosis. However, TLR4 deficiency in bone marrow-derived cells had no effect on either pathology. CONCLUSIONS These studies demonstrate that MyD88 deficiency in leukocytes profoundly reduces AngII-induced AAAs and atherosclerosis via mechanisms independent of either TLR2 or TLR4.&quot;,&quot;publisher&quot;:&quot;American Heart Association, Inc.&quot;,&quot;issue&quot;:&quot;12&quot;,&quot;volume&quot;:&quot;31&quot;},&quot;isTemporary&quot;:false}],&quot;properties&quot;:{&quot;noteIndex&quot;:0},&quot;isEdited&quot;:false,&quot;manualOverride&quot;:{&quot;isManuallyOverriden&quot;:false,&quot;citeprocText&quot;:&quot;(Michelsen &lt;i&gt;et al.&lt;/i&gt;, 2004; Owens &lt;i&gt;et al.&lt;/i&gt;, 2011)&quot;,&quot;manualOverrideText&quot;:&quot;&quot;},&quot;citationTag&quot;:&quot;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&quot;},{&quot;citationID&quot;:&quot;MENDELEY_CITATION_e10bbd4a-9543-420d-893a-69ac0a75c9e1&quot;,&quot;citationItems&quot;:[{&quot;id&quot;:&quot;9681b5d9-9d3d-3040-b16f-c107ab04bcd1&quot;,&quot;itemData&quot;:{&quot;type&quot;:&quot;article-journal&quot;,&quot;id&quot;:&quot;9681b5d9-9d3d-3040-b16f-c107ab04bcd1&quot;,&quot;title&quot;:&quot;TLR-mediated metabolic reprogramming in the tumor microenvironment: potential novel strategies for cancer immunotherapy&quot;,&quot;author&quot;:[{&quot;family&quot;:&quot;Huang&quot;,&quot;given&quot;:&quot;Lan&quot;,&quot;parse-names&quot;:false,&quot;dropping-particle&quot;:&quot;&quot;,&quot;non-dropping-particle&quot;:&quot;&quot;},{&quot;family&quot;:&quot;Xu&quot;,&quot;given&quot;:&quot;Huaxi&quot;,&quot;parse-names&quot;:false,&quot;dropping-particle&quot;:&quot;&quot;,&quot;non-dropping-particle&quot;:&quot;&quot;},{&quot;family&quot;:&quot;Peng&quot;,&quot;given&quot;:&quot;Guangyong&quot;,&quot;parse-names&quot;:false,&quot;dropping-particle&quot;:&quot;&quot;,&quot;non-dropping-particle&quot;:&quot;&quot;}],&quot;container-title&quot;:&quot;Cellular and Molecular Immunology&quot;,&quot;DOI&quot;:&quot;10.1038/cmi.2018.4&quot;,&quot;ISSN&quot;:&quot;16727681&quot;,&quot;PMID&quot;:&quot;29553135&quot;,&quot;URL&quot;:&quot;http://dx.doi.org/10.1038/cmi.2018.4&quot;,&quot;issued&quot;:{&quot;date-parts&quot;:[[2018]]},&quot;page&quot;:&quot;428-437&quot;,&quot;abstract&quot;:&quot;Cellular energy metabolism not only promotes tumor cell growth and metastasis but also directs immune cell survival, proliferation and the ability to perform specific and functional immune responses within the tumor microenvironment. A better understanding of the molecular regulation of metabolism in different cell components in the tumor-suppressive microenvironment is critical for the development of effective strategies for human cancer treatments. Toll-like receptors (TLRs) have recently been recognized as critical factors involved in tumor pathogenesis, regulating both tumor cells and tumor-infiltrating innate and adaptive immune cells. However, little is known about the molecular crosstalk between TLR signaling and tumor or/and immune cell metabolism, although there is abundant expression of TLRs in these cells. In this review, we explore the functional role of TLR signaling in reprogramming cell metabolism in the tumor microenvironment. In particular, we discuss how malignant tumors regulate metabolism to support their growth and survival, summarize more recently identified metabolic profiles of different immune cell subsets and TLR-mediated regulation of cellular metabolism in both tumor and immune cells, and further explore potential strategies targeting cell metabolism for TLR-based cancer therapy. An improved understanding of these issues should open new avenues for the development of novel strategies via TLR-mediated metabolic reprogramming of the tumor microenvironment for cancer immunotherapy.&quot;,&quot;publisher&quot;:&quot;Nature Publishing Group&quot;,&quot;issue&quot;:&quot;5&quot;,&quot;volume&quot;:&quot;15&quot;},&quot;isTemporary&quot;:false}],&quot;properties&quot;:{&quot;noteIndex&quot;:0},&quot;isEdited&quot;:false,&quot;manualOverride&quot;:{&quot;isManuallyOverriden&quot;:false,&quot;citeprocText&quot;:&quot;(Huang, Xu and Peng, 2018)&quot;,&quot;manualOverrideText&quot;:&quot;&quot;},&quot;citationTag&quot;:&quot;MENDELEY_CITATION_v3_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&quot;},{&quot;citationID&quot;:&quot;MENDELEY_CITATION_5a7f8fb2-3224-48c8-8169-5be6dc788f0e&quot;,&quot;citationItems&quot;:[{&quot;id&quot;:&quot;4c100e76-2c78-3ee5-ab5d-da06fc39b98c&quot;,&quot;itemData&quot;:{&quot;type&quot;:&quot;article-journal&quot;,&quot;id&quot;:&quot;4c100e76-2c78-3ee5-ab5d-da06fc39b98c&quot;,&quot;title&quot;:&quot;Biomarkers as end points in clinical trials of severe sepsis: a garden of forking paths.&quot;,&quot;author&quot;:[{&quot;family&quot;:&quot;Salluh&quot;,&quot;given&quot;:&quot;Jorge I F&quot;,&quot;parse-names&quot;:false,&quot;dropping-particle&quot;:&quot;&quot;,&quot;non-dropping-particle&quot;:&quot;&quot;},{&quot;family&quot;:&quot;Póvoa&quot;,&quot;given&quot;:&quot;Pedro&quot;,&quot;parse-names&quot;:false,&quot;dropping-particle&quot;:&quot;&quot;,&quot;non-dropping-particle&quot;:&quot;&quot;}],&quot;container-title&quot;:&quot;Critical care medicine&quot;,&quot;accessed&quot;:{&quot;date-parts&quot;:[[2018,4,5]]},&quot;DOI&quot;:&quot;10.1097/CCM.0b013e3181e941f6&quot;,&quot;ISSN&quot;:&quot;1530-0293&quot;,&quot;PMID&quot;:&quot;20647805&quot;,&quot;URL&quot;:&quot;https://insights.ovid.com/crossref?an=00003246-201008000-00021&quot;,&quot;issued&quot;:{&quot;date-parts&quot;:[[2010,8,1]]},&quot;page&quot;:&quot;1749-51&quot;,&quot;abstract&quot;:&quot;&lt;MissingAbstract&gt;Sepsis represents a significant percentage of intensive care unit admissions (1). In the past decades, significant advances were made on the bench unraveling signaling pathways and molecular mechanisms involved in the pathogenesis of organ dysfunction. Furthermore, clinical studies implementing evidence-based interventions for early identification and treatment have improved patient care and survival rates (2). However, despite the implementation of the best available supportive care, both short-term and long-term mortality remain exceedingly high (1, 2). Therefore, numerous studies have focused on the identification of clinically useful adjunctive sepsis therapies.&lt;br&gt;In the current issue of Critical Care Medicine, Dr. Rice et al (3) present the results of a randomized, double-blind, placebo-controlled trial in which TAK-242, a small molecule inhibitor of Toll-like receptor-4 (TLR4)-mediated signaling, failed to suppress interleukin (IL)-6 concentrations in patients with severe sepsis and shock or respiratory failure, either with TAK-242 1.2 mg/kg per day or 2.4 mg/kg per day. Because IL-6 reduction was the primary end point, the trial was terminated for lack of efficacy, with only 274 patients included. The primary clinical end point, 28-day all-cause mortality, showed that the mortality rate was 24% in placebo, 22% in low-dose TAK-242, and 17% in high-dose TAK-242 (p = .26). However, with only 19% (274 of 1440) of the target sample size, the trial became clearly underpowered to assess clinical superiority.&lt;br&gt;After another disappointing result of a new potential treatment of severe sepsis in a very well-conducted trial, what are the lessons to be taken? Were the primary end points of this trial properly defined? Because it has been shown in animal models that TAK-242 suppresses cytokine expression, namely IL-6, the authors defined this effect as the primary end point and it was also defined as a stopping rule. In other words, the authors did not conceive that the study drug, TAK-242, could have any beneficial effects other than those mediated by the suppression of IL-6. This assumption leads us to several questions. First, it is well known that cytokine concentrations in patients with severe sepsis are highly variable and even patients with septic shock may present very low or undetectable levels (4). Second, TAK-242 could have a “not yet known” effect on survival of septic patients independent of IL-6 suppression, as the results seem to show. Unfortunately, the trial design did not allow assessing this potential effect. Third, the choice of the ideal biomarker may be profoundly affected by a potential lack of correlation between duration of disease and the type of cytokine chosen. In the present study, patients were included when shock and/or respiratory failure were present for up to 36 hrs. This could have blunted the effect of TLR4 blockade because this signaling pathway acts at upstream mediators in early stages of sepsis (5). Finally, clinical data demonstrates that IL-6 concentrations naturally decrease during the first week of sepsis, playing a foremost effect on the outcome measure chosen for the study (6).&lt;br&gt;Another issue that should be addressed is the patient's characterization. The inflammatory response to infection is not static, but always dynamic with marked changes in biomarkers occurring over time (7). Therefore, the assessment of the immune status, either hyperactive or hyporeactive, may help the evaluation of the appropriateness of adjunctive sepsis therapies aiming at suppressing proinflammatory mediators (8). Last, translating findings from sepsis models (especially lipopolysaccharide-induced) is often frustrating and it sounds unlikely that TLR4 signal blocking would work for a heterogeneous population of patients who had &lt;40% of Gram-negative infections (9).&lt;br&gt;In addition and because of the previously mentioned shortcomings, we believe that we should probably reevaluate our focus.&quot;,&quot;issue&quot;:&quot;8&quot;,&quot;volume&quot;:&quot;38&quot;},&quot;isTemporary&quot;:false},{&quot;id&quot;:&quot;e5084f86-4ef8-3ce6-a99c-252cf43c5276&quot;,&quot;itemData&quot;:{&quot;type&quot;:&quot;article-journal&quot;,&quot;id&quot;:&quot;e5084f86-4ef8-3ce6-a99c-252cf43c5276&quot;,&quot;title&quot;:&quot;Effect of eritoran, an antagonist of MD2-TLR4, on mortality in patients with severe sepsis: The ACCESS randomized trial&quot;,&quot;author&quot;:[{&quot;family&quot;:&quot;Opal&quot;,&quot;given&quot;:&quot;Steven M.&quot;,&quot;parse-names&quot;:false,&quot;dropping-particle&quot;:&quot;&quot;,&quot;non-dropping-particle&quot;:&quot;&quot;},{&quot;family&quot;:&quot;Laterre&quot;,&quot;given&quot;:&quot;Pierre Francois&quot;,&quot;parse-names&quot;:false,&quot;dropping-particle&quot;:&quot;&quot;,&quot;non-dropping-particle&quot;:&quot;&quot;},{&quot;family&quot;:&quot;Francois&quot;,&quot;given&quot;:&quot;Bruno&quot;,&quot;parse-names&quot;:false,&quot;dropping-particle&quot;:&quot;&quot;,&quot;non-dropping-particle&quot;:&quot;&quot;},{&quot;family&quot;:&quot;LaRosa&quot;,&quot;given&quot;:&quot;Steven P.&quot;,&quot;parse-names&quot;:false,&quot;dropping-particle&quot;:&quot;&quot;,&quot;non-dropping-particle&quot;:&quot;&quot;},{&quot;family&quot;:&quot;Angus&quot;,&quot;given&quot;:&quot;Derek C.&quot;,&quot;parse-names&quot;:false,&quot;dropping-particle&quot;:&quot;&quot;,&quot;non-dropping-particle&quot;:&quot;&quot;},{&quot;family&quot;:&quot;Mira&quot;,&quot;given&quot;:&quot;Jean Paul&quot;,&quot;parse-names&quot;:false,&quot;dropping-particle&quot;:&quot;&quot;,&quot;non-dropping-particle&quot;:&quot;&quot;},{&quot;family&quot;:&quot;Wittebole&quot;,&quot;given&quot;:&quot;Xavier&quot;,&quot;parse-names&quot;:false,&quot;dropping-particle&quot;:&quot;&quot;,&quot;non-dropping-particle&quot;:&quot;&quot;},{&quot;family&quot;:&quot;Dugernier&quot;,&quot;given&quot;:&quot;Thierry&quot;,&quot;parse-names&quot;:false,&quot;dropping-particle&quot;:&quot;&quot;,&quot;non-dropping-particle&quot;:&quot;&quot;},{&quot;family&quot;:&quot;Perrotin&quot;,&quot;given&quot;:&quot;Dominique&quot;,&quot;parse-names&quot;:false,&quot;dropping-particle&quot;:&quot;&quot;,&quot;non-dropping-particle&quot;:&quot;&quot;},{&quot;family&quot;:&quot;Tidswell&quot;,&quot;given&quot;:&quot;Mark&quot;,&quot;parse-names&quot;:false,&quot;dropping-particle&quot;:&quot;&quot;,&quot;non-dropping-particle&quot;:&quot;&quot;},{&quot;family&quot;:&quot;Jauregui&quot;,&quot;given&quot;:&quot;Luis&quot;,&quot;parse-names&quot;:false,&quot;dropping-particle&quot;:&quot;&quot;,&quot;non-dropping-particle&quot;:&quot;&quot;},{&quot;family&quot;:&quot;Krell&quot;,&quot;given&quot;:&quot;Kenneth&quot;,&quot;parse-names&quot;:false,&quot;dropping-particle&quot;:&quot;&quot;,&quot;non-dropping-particle&quot;:&quot;&quot;},{&quot;family&quot;:&quot;Pachl&quot;,&quot;given&quot;:&quot;Jan&quot;,&quot;parse-names&quot;:false,&quot;dropping-particle&quot;:&quot;&quot;,&quot;non-dropping-particle&quot;:&quot;&quot;},{&quot;family&quot;:&quot;Peckelsen&quot;,&quot;given&quot;:&quot;Takeshi Takahashi Claus&quot;,&quot;parse-names&quot;:false,&quot;dropping-particle&quot;:&quot;&quot;,&quot;non-dropping-particle&quot;:&quot;&quot;},{&quot;family&quot;:&quot;Cordasco&quot;,&quot;given&quot;:&quot;Edward&quot;,&quot;parse-names&quot;:false,&quot;dropping-particle&quot;:&quot;&quot;,&quot;non-dropping-particle&quot;:&quot;&quot;},{&quot;family&quot;:&quot;Chang&quot;,&quot;given&quot;:&quot;Chia Sheng&quot;,&quot;parse-names&quot;:false,&quot;dropping-particle&quot;:&quot;&quot;,&quot;non-dropping-particle&quot;:&quot;&quot;},{&quot;family&quot;:&quot;Oeyen&quot;,&quot;given&quot;:&quot;Sandra&quot;,&quot;parse-names&quot;:false,&quot;dropping-particle&quot;:&quot;&quot;,&quot;non-dropping-particle&quot;:&quot;&quot;},{&quot;family&quot;:&quot;Aikawa&quot;,&quot;given&quot;:&quot;Naoki&quot;,&quot;parse-names&quot;:false,&quot;dropping-particle&quot;:&quot;&quot;,&quot;non-dropping-particle&quot;:&quot;&quot;},{&quot;family&quot;:&quot;Maruyama&quot;,&quot;given&quot;:&quot;Tatsuya&quot;,&quot;parse-names&quot;:false,&quot;dropping-particle&quot;:&quot;&quot;,&quot;non-dropping-particle&quot;:&quot;&quot;},{&quot;family&quot;:&quot;Schein&quot;,&quot;given&quot;:&quot;Roland&quot;,&quot;parse-names&quot;:false,&quot;dropping-particle&quot;:&quot;&quot;,&quot;non-dropping-particle&quot;:&quot;&quot;},{&quot;family&quot;:&quot;Kalil&quot;,&quot;given&quot;:&quot;Andre C.&quot;,&quot;parse-names&quot;:false,&quot;dropping-particle&quot;:&quot;&quot;,&quot;non-dropping-particle&quot;:&quot;&quot;},{&quot;family&quot;:&quot;Nuffelen&quot;,&quot;given&quot;:&quot;Marc&quot;,&quot;parse-names&quot;:false,&quot;dropping-particle&quot;:&quot;&quot;,&quot;non-dropping-particle&quot;:&quot;van&quot;},{&quot;family&quot;:&quot;Lynn&quot;,&quot;given&quot;:&quot;Melvyn&quot;,&quot;parse-names&quot;:false,&quot;dropping-particle&quot;:&quot;&quot;,&quot;non-dropping-particle&quot;:&quot;&quot;},{&quot;family&quot;:&quot;Rossignol&quot;,&quot;given&quot;:&quot;Daniel P.&quot;,&quot;parse-names&quot;:false,&quot;dropping-particle&quot;:&quot;&quot;,&quot;non-dropping-particle&quot;:&quot;&quot;},{&quot;family&quot;:&quot;Gogate&quot;,&quot;given&quot;:&quot;Jogadish&quot;,&quot;parse-names&quot;:false,&quot;dropping-particle&quot;:&quot;&quot;,&quot;non-dropping-particle&quot;:&quot;&quot;},{&quot;family&quot;:&quot;Roberts&quot;,&quot;given&quot;:&quot;Mary B.&quot;,&quot;parse-names&quot;:false,&quot;dropping-particle&quot;:&quot;&quot;,&quot;non-dropping-particle&quot;:&quot;&quot;},{&quot;family&quot;:&quot;Wheeler&quot;,&quot;given&quot;:&quot;Janice L.&quot;,&quot;parse-names&quot;:false,&quot;dropping-particle&quot;:&quot;&quot;,&quot;non-dropping-particle&quot;:&quot;&quot;},{&quot;family&quot;:&quot;Vincent&quot;,&quot;given&quot;:&quot;Jean Louis&quot;,&quot;parse-names&quot;:false,&quot;dropping-particle&quot;:&quot;&quot;,&quot;non-dropping-particle&quot;:&quot;&quot;}],&quot;container-title&quot;:&quot;JAMA - Journal of the American Medical Association&quot;,&quot;accessed&quot;:{&quot;date-parts&quot;:[[2021,2,1]]},&quot;DOI&quot;:&quot;10.1001/jama.2013.2194&quot;,&quot;ISSN&quot;:&quot;00987484&quot;,&quot;PMID&quot;:&quot;23512062&quot;,&quot;URL&quot;:&quot;www.jama.com&quot;,&quot;issued&quot;:{&quot;date-parts&quot;:[[2013,3,20]]},&quot;page&quot;:&quot;1154-1162&quot;,&quot;abstract&quot;:&quot;Importance: Eritoran is a synthetic lipid A antagonist that blocks lipopolysaccharide (LPS) from binding at the cell surface MD2-TLR4 receptor. LPS is a major component of the outer membrane of gram-negative bacteria and is a potent activator of the acute inflammatory response. Objective: To determine if eritoran, a TLR4 antagonist, would significantly reduce sepsis-induced mortality. Design, Setting, and Participants: We performed a randomized, double-blind, placebo-controlled, multinational phase 3 trial in 197 intensive care units. Patients were enrolled from June 2006 to September 2010 and final follow-up was completed in September 2011. Interventions: Patients with severe sepsis (n=1961) were randomized and treated within 12 hours of onset of first organ dysfunction in a 2:1 ratio with a 6-day course of either eritoran tetrasodium (105 mg total) or placebo, with n=1304 and n=657 patients, respectively. Main Outcome Measures: The primary end point was 28-day all-cause mortality. The secondary end points were all-cause mortality at 3, 6, and 12 months after beginning treatment. Results: Baseline characteristics of the 2 study groups were similar. In the modified intent-to-treat analysis (randomized patients who received at least 1 dose) there was no significant difference in the primary end point of 28-day all-cause mortality with 28.1% (366/1304) in the eritoran group vs 26.9% (177/657) in the placebo group (P=.59; hazard ratio, 1.05; 95% CI, 0.88-1.26; difference in mortality rate, -1.1; 95% CI, -5.3 to 3.1) or in the key secondary end point of 1-year all-cause mortality with 44.1% (290/657) in the eritoran group vs 43.3% (565/1304) in the placebo group, Kaplan-Meier analysis of time to death by 1 year, P=.79 (hazard ratio, 0.98; 0.85-1.13). No significant differences were observed in any of the prespecified subgroups. Adverse events, including secondary infection rates, did not differ between study groups. Conclusions and Relevance: Among patients with severe sepsis, the use of eritoran, compared with placebo, did not result in reduced 28-day mortality. Trial Registration: clinicaltrials.gov Identifier: NCT00334828 ©2013 American Medical Association. All rights reserved.&quot;,&quot;publisher&quot;:&quot;American Medical Association&quot;,&quot;issue&quot;:&quot;11&quot;,&quot;volume&quot;:&quot;309&quot;},&quot;isTemporary&quot;:false},{&quot;id&quot;:&quot;d5dc8fa6-1647-372a-b67a-d0f68476889b&quot;,&quot;itemData&quot;:{&quot;type&quot;:&quot;article-journal&quot;,&quot;id&quot;:&quot;d5dc8fa6-1647-372a-b67a-d0f68476889b&quot;,&quot;title&quot;:&quot;Influence of Severity of Illness on the Effects of Eritoran Tetrasodium (E5564) and on Other Therapies for Severe Sepsis&quot;,&quot;author&quot;:[{&quot;family&quot;:&quot;Kalil&quot;,&quot;given&quot;:&quot;Andre C.&quot;,&quot;parse-names&quot;:false,&quot;dropping-particle&quot;:&quot;&quot;,&quot;non-dropping-particle&quot;:&quot;&quot;},{&quot;family&quot;:&quot;LaRosa&quot;,&quot;given&quot;:&quot;Steven P.&quot;,&quot;parse-names&quot;:false,&quot;dropping-particle&quot;:&quot;&quot;,&quot;non-dropping-particle&quot;:&quot;&quot;},{&quot;family&quot;:&quot;Gogate&quot;,&quot;given&quot;:&quot;Jagadish&quot;,&quot;parse-names&quot;:false,&quot;dropping-particle&quot;:&quot;&quot;,&quot;non-dropping-particle&quot;:&quot;&quot;},{&quot;family&quot;:&quot;Lynn&quot;,&quot;given&quot;:&quot;Melvyn&quot;,&quot;parse-names&quot;:false,&quot;dropping-particle&quot;:&quot;&quot;,&quot;non-dropping-particle&quot;:&quot;&quot;},{&quot;family&quot;:&quot;Opal&quot;,&quot;given&quot;:&quot;Steven M.&quot;,&quot;parse-names&quot;:false,&quot;dropping-particle&quot;:&quot;&quot;,&quot;non-dropping-particle&quot;:&quot;&quot;}],&quot;container-title&quot;:&quot;Shock&quot;,&quot;accessed&quot;:{&quot;date-parts&quot;:[[2021,2,1]]},&quot;DOI&quot;:&quot;10.1097/SHK.0b013e318227980e&quot;,&quot;ISSN&quot;:&quot;1073-2322&quot;,&quot;URL&quot;:&quot;http://journals.lww.com/00024382-201110000-00002&quot;,&quot;issued&quot;:{&quot;date-parts&quot;:[[2011,10]]},&quot;page&quot;:&quot;327-331&quot;,&quot;abstract&quot;:&quot;Disease severity varies widely in patients with severe sepsis. Eritoran tetrasodium (E5564), a TLR4 antagonist, blocks the binding of endotoxin and is being evaluated as a novel therapy for severe sepsis. This analysis aimed to assess the efficacy of eritoran based on severity of illness and similar effects in other recent sepsis trials. Prospective covariates from a randomized, double-blind, placebo-controlled, phase 2 trial were analyzed for treatment interaction measured by 28-day mortality. Five statistical interaction methodologies were used. The modified intent-to-treat population (n = 292), all-cause 28-day mortality was as follows: placebo, 33.3% (32/96); eritoran 45 mg/105 mg, 29.6% (58/196). Logistic regression analysis identified Acute Physiology and Chronic Health Evaluation II scores, predicted-risk-of-mortality scores, IL-6, age, sex, race, and eritoran use as associated with survival. Significant treatment interactions were observed (eritoran vs. placebo) for baseline covariates: Acute Physiology and Chronic Health Evaluation II (P = 0.035), predicted-risk-of-mortality scores (P = 0.008), number of organ failures (P = 0.079), international normalized ratio (P = 0.05), and acute physiology score (P = 0.039). I analysis showed that 38% of the total eritoran treatment variance was explained by the severity-of-illness heterogeneity rather than by chance. No interactions observed with other variables. Consistent with the finding in this eritoran trial, other sepsis trials (IL-1 receptor antagonist, TNFsr-p55, antithrombin, drotrecogin alfa-activated) also demonstrated significant treatment by severity interaction. Potential survival benefits of eritoran in severe sepsis patients were associated with high severity of illness. These findings were used to design a phase 3 trial. Similar treatment by severity-of-illness interaction was found in most recent sepsis trials. © 2011 by the Shock Society.&quot;,&quot;issue&quot;:&quot;4&quot;,&quot;volume&quot;:&quot;36&quot;},&quot;isTemporary&quot;:false},{&quot;id&quot;:&quot;e0619739-824b-3070-be21-32e19a5a3976&quot;,&quot;itemData&quot;:{&quot;type&quot;:&quot;article-journal&quot;,&quot;id&quot;:&quot;e0619739-824b-3070-be21-32e19a5a3976&quot;,&quot;title&quot;:&quot;A randomized, double-blind, placebo-controlled trial of TAK-242 for the treatment of severe sepsis*&quot;,&quot;author&quot;:[{&quot;family&quot;:&quot;Rice&quot;,&quot;given&quot;:&quot;Todd W.&quot;,&quot;parse-names&quot;:false,&quot;dropping-particle&quot;:&quot;&quot;,&quot;non-dropping-particle&quot;:&quot;&quot;},{&quot;family&quot;:&quot;Wheeler&quot;,&quot;given&quot;:&quot;Arthur P.&quot;,&quot;parse-names&quot;:false,&quot;dropping-particle&quot;:&quot;&quot;,&quot;non-dropping-particle&quot;:&quot;&quot;},{&quot;family&quot;:&quot;Bernard&quot;,&quot;given&quot;:&quot;Gordon R.&quot;,&quot;parse-names&quot;:false,&quot;dropping-particle&quot;:&quot;&quot;,&quot;non-dropping-particle&quot;:&quot;&quot;},{&quot;family&quot;:&quot;Vincent&quot;,&quot;given&quot;:&quot;Jean-Louis&quot;,&quot;parse-names&quot;:false,&quot;dropping-particle&quot;:&quot;&quot;,&quot;non-dropping-particle&quot;:&quot;&quot;},{&quot;family&quot;:&quot;Angus&quot;,&quot;given&quot;:&quot;Derek C.&quot;,&quot;parse-names&quot;:false,&quot;dropping-particle&quot;:&quot;&quot;,&quot;non-dropping-particle&quot;:&quot;&quot;},{&quot;family&quot;:&quot;Aikawa&quot;,&quot;given&quot;:&quot;Naoki&quot;,&quot;parse-names&quot;:false,&quot;dropping-particle&quot;:&quot;&quot;,&quot;non-dropping-particle&quot;:&quot;&quot;},{&quot;family&quot;:&quot;Demeyer&quot;,&quot;given&quot;:&quot;Ignace&quot;,&quot;parse-names&quot;:false,&quot;dropping-particle&quot;:&quot;&quot;,&quot;non-dropping-particle&quot;:&quot;&quot;},{&quot;family&quot;:&quot;Sainati&quot;,&quot;given&quot;:&quot;Stephen&quot;,&quot;parse-names&quot;:false,&quot;dropping-particle&quot;:&quot;&quot;,&quot;non-dropping-particle&quot;:&quot;&quot;},{&quot;family&quot;:&quot;Amlot&quot;,&quot;given&quot;:&quot;Nicholas&quot;,&quot;parse-names&quot;:false,&quot;dropping-particle&quot;:&quot;&quot;,&quot;non-dropping-particle&quot;:&quot;&quot;},{&quot;family&quot;:&quot;Cao&quot;,&quot;given&quot;:&quot;Charlie&quot;,&quot;parse-names&quot;:false,&quot;dropping-particle&quot;:&quot;&quot;,&quot;non-dropping-particle&quot;:&quot;&quot;},{&quot;family&quot;:&quot;Ii&quot;,&quot;given&quot;:&quot;Masayuki&quot;,&quot;parse-names&quot;:false,&quot;dropping-particle&quot;:&quot;&quot;,&quot;non-dropping-particle&quot;:&quot;&quot;},{&quot;family&quot;:&quot;Matsuda&quot;,&quot;given&quot;:&quot;Hideyasu&quot;,&quot;parse-names&quot;:false,&quot;dropping-particle&quot;:&quot;&quot;,&quot;non-dropping-particle&quot;:&quot;&quot;},{&quot;family&quot;:&quot;Mouri&quot;,&quot;given&quot;:&quot;Kouji&quot;,&quot;parse-names&quot;:false,&quot;dropping-particle&quot;:&quot;&quot;,&quot;non-dropping-particle&quot;:&quot;&quot;},{&quot;family&quot;:&quot;Cohen&quot;,&quot;given&quot;:&quot;Jon&quot;,&quot;parse-names&quot;:false,&quot;dropping-particle&quot;:&quot;&quot;,&quot;non-dropping-particle&quot;:&quot;&quot;}],&quot;container-title&quot;:&quot;Critical Care Medicine&quot;,&quot;accessed&quot;:{&quot;date-parts&quot;:[[2018,4,5]]},&quot;DOI&quot;:&quot;10.1097/CCM.0b013e3181e7c5c9&quot;,&quot;ISSN&quot;:&quot;0090-3493&quot;,&quot;URL&quot;:&quot;https://insights.ovid.com/crossref?an=00003246-201008000-00009&quot;,&quot;issued&quot;:{&quot;date-parts&quot;:[[2010,8]]},&quot;page&quot;:&quot;1685-1694&quot;,&quot;issue&quot;:&quot;8&quot;,&quot;volume&quot;:&quot;38&quot;},&quot;isTemporary&quot;:false}],&quot;properties&quot;:{&quot;noteIndex&quot;:0},&quot;isEdited&quot;:false,&quot;manualOverride&quot;:{&quot;isManuallyOverriden&quot;:false,&quot;citeprocText&quot;:&quot;(Rice &lt;i&gt;et al.&lt;/i&gt;, 2010; Salluh and Póvoa, 2010; Kalil &lt;i&gt;et al.&lt;/i&gt;, 2011; Opal &lt;i&gt;et al.&lt;/i&gt;, 2013)&quot;,&quot;manualOverrideText&quot;:&quot;&quot;},&quot;citationTag&quot;:&quot;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&quot;},{&quot;citationID&quot;:&quot;MENDELEY_CITATION_ab868759-3d39-47f0-b6e4-49002ff8a996&quot;,&quot;citationItems&quot;:[{&quot;id&quot;:&quot;f2360418-6fa8-3e08-be95-3355e2f08679&quot;,&quot;itemData&quot;:{&quot;type&quot;:&quot;article-journal&quot;,&quot;id&quot;:&quot;f2360418-6fa8-3e08-be95-3355e2f08679&quot;,&quot;title&quot;:&quot;Vaccine adjuvant activity of a TLR4-activating synthetic glycolipid by promoting autophagy&quot;,&quot;author&quot;:[{&quot;family&quot;:&quot;Chou&quot;,&quot;given&quot;:&quot;Yi Ju&quot;,&quot;parse-names&quot;:false,&quot;dropping-particle&quot;:&quot;&quot;,&quot;non-dropping-particle&quot;:&quot;&quot;},{&quot;family&quot;:&quot;Lin&quot;,&quot;given&quot;:&quot;Ching Cheng&quot;,&quot;parse-names&quot;:false,&quot;dropping-particle&quot;:&quot;&quot;,&quot;non-dropping-particle&quot;:&quot;&quot;},{&quot;family&quot;:&quot;Dzhagalov&quot;,&quot;given&quot;:&quot;Ivan&quot;,&quot;parse-names&quot;:false,&quot;dropping-particle&quot;:&quot;&quot;,&quot;non-dropping-particle&quot;:&quot;&quot;},{&quot;family&quot;:&quot;Chen&quot;,&quot;given&quot;:&quot;Nien Jung&quot;,&quot;parse-names&quot;:false,&quot;dropping-particle&quot;:&quot;&quot;,&quot;non-dropping-particle&quot;:&quot;&quot;},{&quot;family&quot;:&quot;Lin&quot;,&quot;given&quot;:&quot;Chao Hsiung&quot;,&quot;parse-names&quot;:false,&quot;dropping-particle&quot;:&quot;&quot;,&quot;non-dropping-particle&quot;:&quot;&quot;},{&quot;family&quot;:&quot;Lin&quot;,&quot;given&quot;:&quot;Chun Cheng&quot;,&quot;parse-names&quot;:false,&quot;dropping-particle&quot;:&quot;&quot;,&quot;non-dropping-particle&quot;:&quot;&quot;},{&quot;family&quot;:&quot;Chen&quot;,&quot;given&quot;:&quot;Szu Ting&quot;,&quot;parse-names&quot;:false,&quot;dropping-particle&quot;:&quot;&quot;,&quot;non-dropping-particle&quot;:&quot;&quot;},{&quot;family&quot;:&quot;Chen&quot;,&quot;given&quot;:&quot;Kuo Hsin&quot;,&quot;parse-names&quot;:false,&quot;dropping-particle&quot;:&quot;&quot;,&quot;non-dropping-particle&quot;:&quot;&quot;},{&quot;family&quot;:&quot;Fu&quot;,&quot;given&quot;:&quot;Shu Ling&quot;,&quot;parse-names&quot;:false,&quot;dropping-particle&quot;:&quot;&quot;,&quot;non-dropping-particle&quot;:&quot;&quot;}],&quot;container-title&quot;:&quot;Scientific Reports&quot;,&quot;DOI&quot;:&quot;10.1038/s41598-020-65422-1&quot;,&quot;ISSN&quot;:&quot;20452322&quot;,&quot;PMID&quot;:&quot;32439945&quot;,&quot;URL&quot;:&quot;http://dx.doi.org/10.1038/s41598-020-65422-1&quot;,&quot;issued&quot;:{&quot;date-parts&quot;:[[2020]]},&quot;page&quot;:&quot;1-15&quot;,&quot;abstract&quot;:&quot;Toll-like receptors (TLRs) play crucial roles in host immune defenses. Recently, TLR-mediated autophagy is reported to promote immune responses via increasing antigen processing and presentation in antigen presenting cells. The present study examined whether the synthetic TLR4 activator (CCL-34) could induce autophagy to promote innate and adaptive immunity. In addition, the potential of CCL-34 as an immune adjuvant in vivo was also investigated. Our data using RAW264.7 cells and bone marrow-derived macrophages showed that CCL-34 induced autophagy through a TLR4-NF-κB pathway. The autophagy-related molecules (Nrf2, p62 and Beclin 1) were activated in RAW264.7 cells and bone marrow-derived macrophages under CCL-34 treatment. CCL-34-stimulated macrophages exhibited significant antigen-processing activity and induced the proliferation of antigen-specific CD4+T cells as well as the production of activated T cell-related cytokines, IL-2 and IFN-γ. Furthermore, CCL-34 immunization in mice induced infiltration of monocytes in the peritoneal cavity and elevation of antigen-specific IgG in the serum. CCL-34 treatment in vivo did not cause toxicity based on serum biochemical profiles. Notably, the antigen-specific responses induced by CCL-34 were attenuated by the autophagy inhibitor, 3-methyladenine. In summary, we demonstrated CCL-34 can induce autophagy to promote antigen-specific immune responses and act as an efficient adjuvant.&quot;,&quot;publisher&quot;:&quot;Springer US&quot;,&quot;issue&quot;:&quot;1&quot;,&quot;volume&quot;:&quot;10&quot;},&quot;isTemporary&quot;:false},{&quot;id&quot;:&quot;22bf644e-b66c-3b7e-ab55-b42835227058&quot;,&quot;itemData&quot;:{&quot;type&quot;:&quot;article-journal&quot;,&quot;id&quot;:&quot;22bf644e-b66c-3b7e-ab55-b42835227058&quot;,&quot;title&quot;:&quot;Dual TLR agonist nanodiscs as a strong adjuvant system for vaccines and immunotherapy&quot;,&quot;author&quot;:[{&quot;family&quot;:&quot;Kuai&quot;,&quot;given&quot;:&quot;Rui&quot;,&quot;parse-names&quot;:false,&quot;dropping-particle&quot;:&quot;&quot;,&quot;non-dropping-particle&quot;:&quot;&quot;},{&quot;family&quot;:&quot;Sun&quot;,&quot;given&quot;:&quot;Xiaoqi&quot;,&quot;parse-names&quot;:false,&quot;dropping-particle&quot;:&quot;&quot;,&quot;non-dropping-particle&quot;:&quot;&quot;},{&quot;family&quot;:&quot;Yuan&quot;,&quot;given&quot;:&quot;Wenmin&quot;,&quot;parse-names&quot;:false,&quot;dropping-particle&quot;:&quot;&quot;,&quot;non-dropping-particle&quot;:&quot;&quot;},{&quot;family&quot;:&quot;Ochyl&quot;,&quot;given&quot;:&quot;Lukasz J.&quot;,&quot;parse-names&quot;:false,&quot;dropping-particle&quot;:&quot;&quot;,&quot;non-dropping-particle&quot;:&quot;&quot;},{&quot;family&quot;:&quot;Xu&quot;,&quot;given&quot;:&quot;Yao&quot;,&quot;parse-names&quot;:false,&quot;dropping-particle&quot;:&quot;&quot;,&quot;non-dropping-particle&quot;:&quot;&quot;},{&quot;family&quot;:&quot;Hassani Najafabadi&quot;,&quot;given&quot;:&quot;Alireza&quot;,&quot;parse-names&quot;:false,&quot;dropping-particle&quot;:&quot;&quot;,&quot;non-dropping-particle&quot;:&quot;&quot;},{&quot;family&quot;:&quot;Scheetz&quot;,&quot;given&quot;:&quot;Lindsay&quot;,&quot;parse-names&quot;:false,&quot;dropping-particle&quot;:&quot;&quot;,&quot;non-dropping-particle&quot;:&quot;&quot;},{&quot;family&quot;:&quot;Yu&quot;,&quot;given&quot;:&quot;Min Zhi&quot;,&quot;parse-names&quot;:false,&quot;dropping-particle&quot;:&quot;&quot;,&quot;non-dropping-particle&quot;:&quot;&quot;},{&quot;family&quot;:&quot;Balwani&quot;,&quot;given&quot;:&quot;Ishina&quot;,&quot;parse-names&quot;:false,&quot;dropping-particle&quot;:&quot;&quot;,&quot;non-dropping-particle&quot;:&quot;&quot;},{&quot;family&quot;:&quot;Schwendeman&quot;,&quot;given&quot;:&quot;Anna&quot;,&quot;parse-names&quot;:false,&quot;dropping-particle&quot;:&quot;&quot;,&quot;non-dropping-particle&quot;:&quot;&quot;},{&quot;family&quot;:&quot;Moon&quot;,&quot;given&quot;:&quot;James J.&quot;,&quot;parse-names&quot;:false,&quot;dropping-particle&quot;:&quot;&quot;,&quot;non-dropping-particle&quot;:&quot;&quot;}],&quot;container-title&quot;:&quot;Journal of Controlled Release&quot;,&quot;DOI&quot;:&quot;10.1016/j.jconrel.2018.04.041&quot;,&quot;ISSN&quot;:&quot;18734995&quot;,&quot;PMID&quot;:&quot;29702142&quot;,&quot;URL&quot;:&quot;https://doi.org/10.1016/j.jconrel.2018.04.041&quot;,&quot;issued&quot;:{&quot;date-parts&quot;:[[2018]]},&quot;page&quot;:&quot;131-139&quot;,&quot;abstract&quot;:&quot;Recent studies have shown that certain combinations of Toll-like receptor (TLR) agonists can induce synergistic immune activation. However, it remains challenging to achieve such robust responses in vivo in a manner that is effective, facile, and amenable for clinical translation. Here, we show that MPLA, a TLR4 agonist, and CpG, a TLR9 agonist, can be efficiently co-loaded into synthetic high-density lipoprotein nanodiscs, forming a potent adjuvant system (ND-MPLA/CpG) that can be readily combined with a variety of subunit antigens, including proteins and peptides. ND-MPLA/CpG significantly enhanced activation of dendritic cells, compared with free dual adjuvants or nanodiscs delivering a single TLR agonist. Importantly, mice immunized with physical mixtures of protein antigens ND-MPLA/CpG generated strong humoral responses, including induction of IgG responses against protein convertase subtilisin/kexin 9 (PCSK9), leading to 17–30% reduction of the total plasma cholesterol levels. Moreover, ND-MPLA/CpG exerted strong anti-tumor efficacy in multiple murine tumor models. Compared with free adjuvants, ND-MPLA/CpG admixed with ovalbumin markedly improved antigen-specific CD8+ T cell responses by 8-fold and promoted regression of B16F10-OVA melanoma (P &lt; 0.0001). Furthermore, ND-MPLA/CpG admixed with E7 peptide antigen elicited ~20% E7-specific CD8+ T cell responses and achieved complete regression of established TC-1 tumors in all treated animals. Taken together, our work highlights the simplicity, versatility, and potency of dual TLR agonist nanodiscs for applications in vaccines and cancer immunotherapy.&quot;,&quot;publisher&quot;:&quot;Elsevier&quot;,&quot;issue&quot;:&quot;April&quot;,&quot;volume&quot;:&quot;282&quot;},&quot;isTemporary&quot;:false}],&quot;properties&quot;:{&quot;noteIndex&quot;:0},&quot;isEdited&quot;:false,&quot;manualOverride&quot;:{&quot;isManuallyOverriden&quot;:false,&quot;citeprocText&quot;:&quot;(Kuai &lt;i&gt;et al.&lt;/i&gt;, 2018; Chou &lt;i&gt;et al.&lt;/i&gt;, 2020)&quot;,&quot;manualOverrideText&quot;:&quot;&quot;},&quot;citationTag&quot;:&quot;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&quot;},{&quot;citationID&quot;:&quot;MENDELEY_CITATION_13d6071d-d7a5-48cc-ad8d-ea5a2dd16988&quot;,&quot;citationItems&quot;:[{&quot;id&quot;:&quot;0b701965-fc80-328d-bcac-02cb9603554e&quot;,&quot;itemData&quot;:{&quot;type&quot;:&quot;article-journal&quot;,&quot;id&quot;:&quot;0b701965-fc80-328d-bcac-02cb9603554e&quot;,&quot;title&quot;:&quot;TLR1/TLR2 Agonist Induces Tumor Regression by Reciprocal Modulation of Effector and Regulatory T Cells&quot;,&quot;author&quot;:[{&quot;family&quot;:&quot;Zhang&quot;,&quot;given&quot;:&quot;Yi&quot;,&quot;parse-names&quot;:false,&quot;dropping-particle&quot;:&quot;&quot;,&quot;non-dropping-particle&quot;:&quot;&quot;},{&quot;family&quot;:&quot;Luo&quot;,&quot;given&quot;:&quot;Feifei&quot;,&quot;parse-names&quot;:false,&quot;dropping-particle&quot;:&quot;&quot;,&quot;non-dropping-particle&quot;:&quot;&quot;},{&quot;family&quot;:&quot;Cai&quot;,&quot;given&quot;:&quot;Yuchan&quot;,&quot;parse-names&quot;:false,&quot;dropping-particle&quot;:&quot;&quot;,&quot;non-dropping-particle&quot;:&quot;&quot;},{&quot;family&quot;:&quot;Liu&quot;,&quot;given&quot;:&quot;Nan&quot;,&quot;parse-names&quot;:false,&quot;dropping-particle&quot;:&quot;&quot;,&quot;non-dropping-particle&quot;:&quot;&quot;},{&quot;family&quot;:&quot;Wang&quot;,&quot;given&quot;:&quot;Luman&quot;,&quot;parse-names&quot;:false,&quot;dropping-particle&quot;:&quot;&quot;,&quot;non-dropping-particle&quot;:&quot;&quot;},{&quot;family&quot;:&quot;Xu&quot;,&quot;given&quot;:&quot;Damo&quot;,&quot;parse-names&quot;:false,&quot;dropping-particle&quot;:&quot;&quot;,&quot;non-dropping-particle&quot;:&quot;&quot;},{&quot;family&quot;:&quot;Chu&quot;,&quot;given&quot;:&quot;Yiwei&quot;,&quot;parse-names&quot;:false,&quot;dropping-particle&quot;:&quot;&quot;,&quot;non-dropping-particle&quot;:&quot;&quot;}],&quot;container-title&quot;:&quot;The Journal of Immunology&quot;,&quot;DOI&quot;:&quot;10.4049/jimmunol.1002320&quot;,&quot;ISSN&quot;:&quot;0022-1767&quot;,&quot;PMID&quot;:&quot;21217015&quot;,&quot;issued&quot;:{&quot;date-parts&quot;:[[2011]]},&quot;page&quot;:&quot;1963-1969&quot;,&quot;abstract&quot;:&quot;Using TLR agonists in cancer treatment can have either beneficial or detrimental effects. Therefore, it is important to determine their effect on the tumor growth and understand the underlying mechanisms in animal tumor models. In this study, we report a general immunotherapeutic activity of a synthetic bacterial lipoprotein (BLP), a TLR1/TLR2 agonist, on established lung carcinoma, leukemia, and melanoma in mice. Systemic treatment of 3LL tumor-bearing mice with BLP, but not LPS, led to a dose-dependent tumor regression and a long-lasting protective response against tumor rechallenge. The BLP-mediated tumor remission was neither mediated by a direct tumoricidal activity nor by innate immune cells, because it lacked therapeutic effect in immunodeficient SCID mice. Instead, BLP treatment reduced the suppressive function of Foxp3  +  regulatory T cells (Tregs) and enhanced the cytotoxicity of tumor-specific CTL in vitro and in vivo. Furthermore, adoptive cotransfer of BLP-pretreated but not untreated CTL and Tregs from wild-type but not from TLR2 -/-  mice was sufficient to restore antitumor immunity in SCID mice by reciprocally modulating Treg and CTL function. These results demonstrate that the TLR1/TLR2 agonist BLP may have a general tumor therapeutic property involving reciprocal downregulation of Treg and upregulation of CTL function. This property may play an important role in the development of novel antitumor strategies. Copyright © 2011 by The American Association of Immunologists, Inc.&quot;,&quot;issue&quot;:&quot;4&quot;,&quot;volume&quot;:&quot;186&quot;},&quot;isTemporary&quot;:false}],&quot;properties&quot;:{&quot;noteIndex&quot;:0},&quot;isEdited&quot;:false,&quot;manualOverride&quot;:{&quot;isManuallyOverriden&quot;:false,&quot;citeprocText&quot;:&quot;(Zhang &lt;i&gt;et al.&lt;/i&gt;, 2011)&quot;,&quot;manualOverrideText&quot;:&quot;&quot;},&quot;citationTag&quot;:&quot;MENDELEY_CITATION_v3_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&quot;},{&quot;citationID&quot;:&quot;MENDELEY_CITATION_b31bd082-bd2e-4f7d-87dc-3dcf41dca2cf&quot;,&quot;citationItems&quot;:[{&quot;id&quot;:&quot;22bf644e-b66c-3b7e-ab55-b42835227058&quot;,&quot;itemData&quot;:{&quot;type&quot;:&quot;article-journal&quot;,&quot;id&quot;:&quot;22bf644e-b66c-3b7e-ab55-b42835227058&quot;,&quot;title&quot;:&quot;Dual TLR agonist nanodiscs as a strong adjuvant system for vaccines and immunotherapy&quot;,&quot;author&quot;:[{&quot;family&quot;:&quot;Kuai&quot;,&quot;given&quot;:&quot;Rui&quot;,&quot;parse-names&quot;:false,&quot;dropping-particle&quot;:&quot;&quot;,&quot;non-dropping-particle&quot;:&quot;&quot;},{&quot;family&quot;:&quot;Sun&quot;,&quot;given&quot;:&quot;Xiaoqi&quot;,&quot;parse-names&quot;:false,&quot;dropping-particle&quot;:&quot;&quot;,&quot;non-dropping-particle&quot;:&quot;&quot;},{&quot;family&quot;:&quot;Yuan&quot;,&quot;given&quot;:&quot;Wenmin&quot;,&quot;parse-names&quot;:false,&quot;dropping-particle&quot;:&quot;&quot;,&quot;non-dropping-particle&quot;:&quot;&quot;},{&quot;family&quot;:&quot;Ochyl&quot;,&quot;given&quot;:&quot;Lukasz J.&quot;,&quot;parse-names&quot;:false,&quot;dropping-particle&quot;:&quot;&quot;,&quot;non-dropping-particle&quot;:&quot;&quot;},{&quot;family&quot;:&quot;Xu&quot;,&quot;given&quot;:&quot;Yao&quot;,&quot;parse-names&quot;:false,&quot;dropping-particle&quot;:&quot;&quot;,&quot;non-dropping-particle&quot;:&quot;&quot;},{&quot;family&quot;:&quot;Hassani Najafabadi&quot;,&quot;given&quot;:&quot;Alireza&quot;,&quot;parse-names&quot;:false,&quot;dropping-particle&quot;:&quot;&quot;,&quot;non-dropping-particle&quot;:&quot;&quot;},{&quot;family&quot;:&quot;Scheetz&quot;,&quot;given&quot;:&quot;Lindsay&quot;,&quot;parse-names&quot;:false,&quot;dropping-particle&quot;:&quot;&quot;,&quot;non-dropping-particle&quot;:&quot;&quot;},{&quot;family&quot;:&quot;Yu&quot;,&quot;given&quot;:&quot;Min Zhi&quot;,&quot;parse-names&quot;:false,&quot;dropping-particle&quot;:&quot;&quot;,&quot;non-dropping-particle&quot;:&quot;&quot;},{&quot;family&quot;:&quot;Balwani&quot;,&quot;given&quot;:&quot;Ishina&quot;,&quot;parse-names&quot;:false,&quot;dropping-particle&quot;:&quot;&quot;,&quot;non-dropping-particle&quot;:&quot;&quot;},{&quot;family&quot;:&quot;Schwendeman&quot;,&quot;given&quot;:&quot;Anna&quot;,&quot;parse-names&quot;:false,&quot;dropping-particle&quot;:&quot;&quot;,&quot;non-dropping-particle&quot;:&quot;&quot;},{&quot;family&quot;:&quot;Moon&quot;,&quot;given&quot;:&quot;James J.&quot;,&quot;parse-names&quot;:false,&quot;dropping-particle&quot;:&quot;&quot;,&quot;non-dropping-particle&quot;:&quot;&quot;}],&quot;container-title&quot;:&quot;Journal of Controlled Release&quot;,&quot;DOI&quot;:&quot;10.1016/j.jconrel.2018.04.041&quot;,&quot;ISSN&quot;:&quot;18734995&quot;,&quot;PMID&quot;:&quot;29702142&quot;,&quot;URL&quot;:&quot;https://doi.org/10.1016/j.jconrel.2018.04.041&quot;,&quot;issued&quot;:{&quot;date-parts&quot;:[[2018]]},&quot;page&quot;:&quot;131-139&quot;,&quot;abstract&quot;:&quot;Recent studies have shown that certain combinations of Toll-like receptor (TLR) agonists can induce synergistic immune activation. However, it remains challenging to achieve such robust responses in vivo in a manner that is effective, facile, and amenable for clinical translation. Here, we show that MPLA, a TLR4 agonist, and CpG, a TLR9 agonist, can be efficiently co-loaded into synthetic high-density lipoprotein nanodiscs, forming a potent adjuvant system (ND-MPLA/CpG) that can be readily combined with a variety of subunit antigens, including proteins and peptides. ND-MPLA/CpG significantly enhanced activation of dendritic cells, compared with free dual adjuvants or nanodiscs delivering a single TLR agonist. Importantly, mice immunized with physical mixtures of protein antigens ND-MPLA/CpG generated strong humoral responses, including induction of IgG responses against protein convertase subtilisin/kexin 9 (PCSK9), leading to 17–30% reduction of the total plasma cholesterol levels. Moreover, ND-MPLA/CpG exerted strong anti-tumor efficacy in multiple murine tumor models. Compared with free adjuvants, ND-MPLA/CpG admixed with ovalbumin markedly improved antigen-specific CD8+ T cell responses by 8-fold and promoted regression of B16F10-OVA melanoma (P &lt; 0.0001). Furthermore, ND-MPLA/CpG admixed with E7 peptide antigen elicited ~20% E7-specific CD8+ T cell responses and achieved complete regression of established TC-1 tumors in all treated animals. Taken together, our work highlights the simplicity, versatility, and potency of dual TLR agonist nanodiscs for applications in vaccines and cancer immunotherapy.&quot;,&quot;publisher&quot;:&quot;Elsevier&quot;,&quot;issue&quot;:&quot;April&quot;,&quot;volume&quot;:&quot;282&quot;},&quot;isTemporary&quot;:false}],&quot;properties&quot;:{&quot;noteIndex&quot;:0},&quot;isEdited&quot;:false,&quot;manualOverride&quot;:{&quot;isManuallyOverriden&quot;:false,&quot;citeprocText&quot;:&quot;(Kuai &lt;i&gt;et al.&lt;/i&gt;, 2018)&quot;,&quot;manualOverrideText&quot;:&quot;&quot;},&quot;citationTag&quot;:&quot;MENDELEY_CITATION_v3_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&quot;},{&quot;citationID&quot;:&quot;MENDELEY_CITATION_0d8a4069-39da-49a9-bc88-af6ef1d6aaf3&quot;,&quot;citationItems&quot;:[{&quot;id&quot;:&quot;359f8b94-a9a1-3e56-ab75-69da94e30485&quot;,&quot;itemData&quot;:{&quot;type&quot;:&quot;article-journal&quot;,&quot;id&quot;:&quot;359f8b94-a9a1-3e56-ab75-69da94e30485&quot;,&quot;title&quot;:&quot;Evidence of a Specific Interaction between New Synthetic Antisepsis Agents and CD14&quot;,&quot;author&quot;:[{&quot;family&quot;:&quot;Piazza&quot;,&quot;given&quot;:&quot;Matteo&quot;,&quot;parse-names&quot;:false,&quot;dropping-particle&quot;:&quot;&quot;,&quot;non-dropping-particle&quot;:&quot;&quot;},{&quot;family&quot;:&quot;Yu&quot;,&quot;given&quot;:&quot;Liping&quot;,&quot;parse-names&quot;:false,&quot;dropping-particle&quot;:&quot;&quot;,&quot;non-dropping-particle&quot;:&quot;&quot;},{&quot;family&quot;:&quot;Teghanemt&quot;,&quot;given&quot;:&quot;Athmane&quot;,&quot;parse-names&quot;:false,&quot;dropping-particle&quot;:&quot;&quot;,&quot;non-dropping-particle&quot;:&quot;&quot;},{&quot;family&quot;:&quot;Gioannini&quot;,&quot;given&quot;:&quot;Theresa&quot;,&quot;parse-names&quot;:false,&quot;dropping-particle&quot;:&quot;&quot;,&quot;non-dropping-particle&quot;:&quot;&quot;},{&quot;family&quot;:&quot;Weiss&quot;,&quot;given&quot;:&quot;Jerrold&quot;,&quot;parse-names&quot;:false,&quot;dropping-particle&quot;:&quot;&quot;,&quot;non-dropping-particle&quot;:&quot;&quot;},{&quot;family&quot;:&quot;Peri&quot;,&quot;given&quot;:&quot;Francesco&quot;,&quot;parse-names&quot;:false,&quot;dropping-particle&quot;:&quot;&quot;,&quot;non-dropping-particle&quot;:&quot;&quot;}],&quot;container-title&quot;:&quot;Biochemistry&quot;,&quot;accessed&quot;:{&quot;date-parts&quot;:[[2018,4,20]]},&quot;DOI&quot;:&quot;10.1021/bi901601b&quot;,&quot;ISSN&quot;:&quot;0006-2960&quot;,&quot;URL&quot;:&quot;http://pubs.acs.org/doi/abs/10.1021/bi901601b&quot;,&quot;issued&quot;:{&quot;date-parts&quot;:[[2009,12,29]]},&quot;page&quot;:&quot;12337-12344&quot;,&quot;abstract&quot;:&quot;Synthetic molecules derived from natural sugars with a positively charged amino group or ammonium salt and two lipophilic chains have been shown to inhibit TLR4 activation in vitro and in vivo. To characterize the mechanism of action of this class of molecules, we investigated possible interactions with the extracellular components that bind and shuttle endotoxin [lipopolysaccharide (LPS)] to TLR4, namely, LBP, CD14, and MD-2. Molecules that inhibited TLR4 activation inhibited LBP·CD14-dependent transfer of endotoxin monomers derived from aggregates of tritiated lipooligosaccharide ([3H]LOS) from Neisseria meninigitidis to MD-2·TLR4, resulting in a reduced level of formation of a ([3H]LOS·MD-2·TLR4ECD)2 (Mr ∼ 190000) complex. This effect was due to inhibition of the transfer of [3H]LOS from aggregates in solution to sCD14 with little or no effect on [3H]LOS shuttling from [3H]LOS·sCD14 to MD-2. These compounds also inhibited transfer of the [3H]LOS monomer from full-length CD14 to a truncated, polyhistidi...&quot;,&quot;publisher&quot;:&quot;American Chemical Society&quot;,&quot;issue&quot;:&quot;51&quot;,&quot;volume&quot;:&quot;48&quot;},&quot;isTemporary&quot;:false}],&quot;properties&quot;:{&quot;noteIndex&quot;:0},&quot;isEdited&quot;:false,&quot;manualOverride&quot;:{&quot;isManuallyOverriden&quot;:false,&quot;citeprocText&quot;:&quot;(Piazza &lt;i&gt;et al.&lt;/i&gt;, 2009)&quot;,&quot;manualOverrideText&quot;:&quot;&quot;},&quot;citationTag&quot;:&quot;MENDELEY_CITATION_v3_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&quot;},{&quot;citationID&quot;:&quot;MENDELEY_CITATION_187380b1-28c5-4cd5-ba65-25d27c04897e&quot;,&quot;citationItems&quot;:[{&quot;id&quot;:&quot;3a677243-4e1f-3690-ab44-bef911ac77b4&quot;,&quot;itemData&quot;:{&quot;type&quot;:&quot;article-journal&quot;,&quot;id&quot;:&quot;3a677243-4e1f-3690-ab44-bef911ac77b4&quot;,&quot;title&quot;:&quot;Structural basis of species-specific endotoxin sensing by innate immune receptor TLR4/MD-2.&quot;,&quot;author&quot;:[{&quot;family&quot;:&quot;Ohto&quot;,&quot;given&quot;:&quot;Umeharu&quot;,&quot;parse-names&quot;:false,&quot;dropping-particle&quot;:&quot;&quot;,&quot;non-dropping-particle&quot;:&quot;&quot;},{&quot;family&quot;:&quot;Fukase&quot;,&quot;given&quot;:&quot;Koichi&quot;,&quot;parse-names&quot;:false,&quot;dropping-particle&quot;:&quot;&quot;,&quot;non-dropping-particle&quot;:&quot;&quot;},{&quot;family&quot;:&quot;Miyake&quot;,&quot;given&quot;:&quot;Kensuke&quot;,&quot;parse-names&quot;:false,&quot;dropping-particle&quot;:&quot;&quot;,&quot;non-dropping-particle&quot;:&quot;&quot;},{&quot;family&quot;:&quot;Shimizu&quot;,&quot;given&quot;:&quot;Toshiyuki&quot;,&quot;parse-names&quot;:false,&quot;dropping-particle&quot;:&quot;&quot;,&quot;non-dropping-particle&quot;:&quot;&quot;}],&quot;container-title&quot;:&quot;Proceedings of the National Academy of Sciences of the United States of America&quot;,&quot;accessed&quot;:{&quot;date-parts&quot;:[[2018,4,5]]},&quot;DOI&quot;:&quot;10.1073/pnas.1201193109&quot;,&quot;ISSN&quot;:&quot;1091-6490&quot;,&quot;PMID&quot;:&quot;22532668&quot;,&quot;URL&quot;:&quot;http://www.ncbi.nlm.nih.gov/pubmed/22532668&quot;,&quot;issued&quot;:{&quot;date-parts&quot;:[[2012,5,8]]},&quot;page&quot;:&quot;7421-6&quot;,&quot;abstract&quot;:&quot;Lipopolysaccharide (LPS), also known as endotoxin, activates the innate immune response through toll-like receptor 4 (TLR4) and its coreceptor, MD-2. MD-2 has a unique hydrophobic cavity that directly binds to lipid A, the active center of LPS. Tetraacylated lipid IVa, a synthetic lipid A precursor, acts as a weak agonist to mouse TLR4/MD-2, but as an antagonist to human TLR4/MD-2. However, it remains unclear as to how LPS and lipid IVa show agonistic or antagonistic activities in a species-specific manner. The present study reports the crystal structures of mouse TLR4/MD-2/LPS and TLR4/MD-2/lipid IVa complexes at 2.5 and 2.7 Å resolutions, respectively. Mouse TLR4/MD-2/LPS exhibited an agonistic \&quot;m\&quot;-shaped 2:2:2 complex similar to the human TLR4/MD-2/LPS complex. Mouse TLR4/MD-2/lipid IVa complex also showed an agonistic structural feature, exhibiting architecture similar to the 2:2:2 complex. Remarkably, lipid IVa in the mouse TLR4/MD-2 complex occupied nearly the same space as LPS, although lipid IVa lacked the two acyl chains. Human MD-2 binds lipid IVa in an antagonistic manner completely differently from the way mouse MD-2 does. Together, the results provide structural evidence of the agonistic property of lipid IVa on mouse TLR4/MD-2 and deepen understanding of the ligand binding and dimerization mechanism by the structurally diverse LPS variants.&quot;,&quot;publisher&quot;:&quot;National Academy of Sciences&quot;,&quot;issue&quot;:&quot;19&quot;,&quot;volume&quot;:&quot;109&quot;},&quot;isTemporary&quot;:false}],&quot;properties&quot;:{&quot;noteIndex&quot;:0},&quot;isEdited&quot;:false,&quot;manualOverride&quot;:{&quot;isManuallyOverridden&quot;:false,&quot;citeprocText&quot;:&quot;(Ohto &lt;i&gt;et al.&lt;/i&gt;, 2012)&quot;,&quot;manualOverrideText&quot;:&quot;&quot;},&quot;citationTag&quot;:&quot;MENDELEY_CITATION_v3_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&quot;},{&quot;citationID&quot;:&quot;MENDELEY_CITATION_e72bca8a-450c-4f3c-a126-2a937549e718&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id&quot;:&quot;84abda51-dbda-30c6-9937-b32e3b3de2cb&quot;,&quot;itemData&quot;:{&quot;type&quot;:&quot;article-journal&quot;,&quot;id&quot;:&quot;84abda51-dbda-30c6-9937-b32e3b3de2cb&quot;,&quot;title&quot;:&quot;A novel small molecule TLR4 antagonist (IAXO-102) negatively regulates non-hematopoietic toll like receptor 4 signalling and inhibits aortic aneurysms development&quot;,&quot;author&quot;:[{&quot;family&quot;:&quot;Huggins&quot;,&quot;given&quot;:&quot;Christopher&quot;,&quot;parse-names&quot;:false,&quot;dropping-particle&quot;:&quot;&quot;,&quot;non-dropping-particle&quot;:&quot;&quot;},{&quot;family&quot;:&quot;Pearce&quot;,&quot;given&quot;:&quot;Stuart&quot;,&quot;parse-names&quot;:false,&quot;dropping-particle&quot;:&quot;&quot;,&quot;non-dropping-particle&quot;:&quot;&quot;},{&quot;family&quot;:&quot;Peri&quot;,&quot;given&quot;:&quot;Francesco&quot;,&quot;parse-names&quot;:false,&quot;dropping-particle&quot;:&quot;&quot;,&quot;non-dropping-particle&quot;:&quot;&quot;},{&quot;family&quot;:&quot;Neumann&quot;,&quot;given&quot;:&quot;Frank&quot;,&quot;parse-names&quot;:false,&quot;dropping-particle&quot;:&quot;&quot;,&quot;non-dropping-particle&quot;:&quot;&quot;},{&quot;family&quot;:&quot;Cockerill&quot;,&quot;given&quot;:&quot;Gillian&quot;,&quot;parse-names&quot;:false,&quot;dropping-particle&quot;:&quot;&quot;,&quot;non-dropping-particle&quot;:&quot;&quot;},{&quot;family&quot;:&quot;Pirianov&quot;,&quot;given&quot;:&quot;Grisha&quot;,&quot;parse-names&quot;:false,&quot;dropping-particle&quot;:&quot;&quot;,&quot;non-dropping-particle&quot;:&quot;&quot;}],&quot;container-title&quot;:&quot;Atherosclerosis&quot;,&quot;accessed&quot;:{&quot;date-parts&quot;:[[2017,11,13]]},&quot;DOI&quot;:&quot;10.1016/j.atherosclerosis.2015.08.010&quot;,&quot;ISBN&quot;:&quot;1879-1484 (Electronic)\\r0021-9150 (Linking)&quot;,&quot;ISSN&quot;:&quot;18791484&quot;,&quot;PMID&quot;:&quot;26318106&quot;,&quot;URL&quot;:&quot;http://www.sciencedirect.com/science/article/pii/S0021915015300733&quot;,&quot;issued&quot;:{&quot;date-parts&quot;:[[2015,10,1]]},&quot;page&quot;:&quot;563-570&quot;,&quot;abstract&quot;:&quot;Objectives: The toll-like receptors (TLRs), including TLR4, have been shown to play a crucial role in vascular inflammatory diseases, such as atherosclerosis and aneurysm. The main goal of this study was to determine the potential of IAXO-102 (Innaxon, Tewkesbury), a novel small molecule TLR4 antagonist, to modulate non-hematopoietic TLR4 proinflammatory signalling and inhibit experimental abdominal aortic aneurysm (AAA) development. Methods: Human umbilical vein endothelial cells (HUVEC) and Angiotensin II-induced experimental AAA development were our in vitro and in vivo models respectively. Western blotting, antibody array and ELISA approaches were used to explore the effect of IAXO-102 on TLR4 functional activity on two levels: modulation of TLR4-induced mitogen activated protein kinases (MAPK) and p65 NF-kB phosphorylation and expression of TLR4 dependent proinflammatory proteins. Results: Following activation of TLR4, in vitro/in vivo data revealed that IAXO-102 inhibited MAPK and p65 NF-kB phosphorylation associated with down regulation of the expression of TLR4 and TLR4 dependent proinflammatory proteins. Furthermore, IAXO-102 decreased Angiotensin II-induced aortic expansion, rupture and incidence of AAA. Conclusions: These results demonstrate the ability of IAXO-102 to negatively regulate TLR4 signalling and to inhibit experimental AAA development, suggesting the potential therapeutic use of this TLR4 antagonist for pharmacological intervention of AAA.&quot;,&quot;publisher&quot;:&quot;Elsevier&quot;,&quot;issue&quot;:&quot;2&quot;,&quot;volume&quot;:&quot;242&quot;},&quot;isTemporary&quot;:false},{&quot;id&quot;:&quot;243abd8a-57d2-3d98-9834-b39ec3781f6a&quot;,&quot;itemData&quot;:{&quot;type&quot;:&quot;article&quot;,&quot;id&quot;:&quot;243abd8a-57d2-3d98-9834-b39ec3781f6a&quot;,&quot;title&quot;:&quot;Exploring the LPS/TLR4 signal pathway with small molecules&quot;,&quot;author&quot;:[{&quot;family&quot;:&quot;Peri&quot;,&quot;given&quot;:&quot;Francesco&quot;,&quot;parse-names&quot;:false,&quot;dropping-particle&quot;:&quot;&quot;,&quot;non-dropping-particle&quot;:&quot;&quot;},{&quot;family&quot;:&quot;Piazza&quot;,&quot;given&quot;:&quot;Matteo&quot;,&quot;parse-names&quot;:false,&quot;dropping-particle&quot;:&quot;&quot;,&quot;non-dropping-particle&quot;:&quot;&quot;},{&quot;family&quot;:&quot;Calabrese&quot;,&quot;given&quot;:&quot;Valentina&quot;,&quot;parse-names&quot;:false,&quot;dropping-particle&quot;:&quot;&quot;,&quot;non-dropping-particle&quot;:&quot;&quot;},{&quot;family&quot;:&quot;Damore&quot;,&quot;given&quot;:&quot;Gaetana&quot;,&quot;parse-names&quot;:false,&quot;dropping-particle&quot;:&quot;&quot;,&quot;non-dropping-particle&quot;:&quot;&quot;},{&quot;family&quot;:&quot;Cighetti&quot;,&quot;given&quot;:&quot;Roberto&quot;,&quot;parse-names&quot;:false,&quot;dropping-particle&quot;:&quot;&quot;,&quot;non-dropping-particle&quot;:&quot;&quot;}],&quot;container-title&quot;:&quot;Biochemical Society Transactions&quot;,&quot;accessed&quot;:{&quot;date-parts&quot;:[[2021,2,1]]},&quot;DOI&quot;:&quot;10.1042/BST0381390&quot;,&quot;ISSN&quot;:&quot;03005127&quot;,&quot;PMID&quot;:&quot;20863319&quot;,&quot;URL&quot;:&quot;/biochemsoctrans/article/38/5/1390/83976/Exploring-the-LPS-TLR4-signal-pathway-with-small&quot;,&quot;issued&quot;:{&quot;date-parts&quot;:[[2010,10,1]]},&quot;page&quot;:&quot;1390-1395&quot;,&quot;abstract&quot;:&quot;The identification of the bacterial endotoxin receptors for innate immunity, most notably TLR4 (Toll-like receptor 4), has sparked great interest in therapeutic manipulation of the innate immune system. In the present mini-review, several natural and synthetic molecules that modulate the TLR4-mediated LPS (lipopolysaccharide) signalling in animals and humans are considered, and their mechanisms of action are discussed. The process of LPS sensing and signal amplification in humans is based on the sequential action of specific receptors situated in the extracellular side of the innate immunity cells, which bind and transfer LPS to TLR4: LBP (LPS-binding protein), CD14, MD-2 (myeloid differentiation protein 2). We classified the compounds active on TLR4 pathway depending on the specific molecular targets (LPS, LBP, CD14, MD-2 or TLR4). Small molecules developed by our group are described that inhibit LPS-stimulated TLR4 activation by selectively targeting the LPS-CD14 interaction. These compounds have an interesting antiseptic shock, anti-inflammatory and anti-neuropathic pain activity in vivo. ©The Authors.&quot;,&quot;publisher&quot;:&quot;Portland Press&quot;,&quot;issue&quot;:&quot;5&quot;,&quot;volume&quot;:&quot;38&quot;},&quot;isTemporary&quot;:false}],&quot;properties&quot;:{&quot;noteIndex&quot;:0},&quot;isEdited&quot;:false,&quot;manualOverride&quot;:{&quot;isManuallyOverriden&quot;:false,&quot;citeprocText&quot;:&quot;(Peri &lt;i&gt;et al.&lt;/i&gt;, 2010; Cighetti &lt;i&gt;et al.&lt;/i&gt;, 2014; Huggins &lt;i&gt;et al.&lt;/i&gt;, 2015; Facchini &lt;i&gt;et al.&lt;/i&gt;, 2018)&quot;,&quot;manualOverrideText&quot;:&quot;&quot;},&quot;citationTag&quot;:&quot;MENDELEY_CITATION_v3_eyJjaXRhdGlvbklEIjoiTUVOREVMRVlfQ0lUQVRJT05fZTcyYmNhOGEtNDUwYy00ZjNjLWExMjYtMmE5Mzc1NDllNzE4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LH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&quot;},{&quot;citationID&quot;:&quot;MENDELEY_CITATION_4bc93c2e-89ca-4646-9dfc-946af7ed3761&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id&quot;:&quot;dd61b1b4-e4f0-3465-803b-be3cb9d6f594&quot;,&quot;itemData&quot;:{&quot;type&quot;:&quot;article-journal&quot;,&quot;id&quot;:&quot;dd61b1b4-e4f0-3465-803b-be3cb9d6f594&quot;,&quot;title&quot;:&quot;TLR4 antagonist FP7 inhibits LPS-induced cytokine production and glycolytic reprogramming in dendritic cells, and protects mice from lethal influenza infection&quot;,&quot;author&quot;:[{&quot;family&quot;:&quot;Perrin-Cocon&quot;,&quot;given&quot;:&quot;Laure&quot;,&quot;parse-names&quot;:false,&quot;dropping-particle&quot;:&quot;&quot;,&quot;non-dropping-particle&quot;:&quot;&quot;},{&quot;family&quot;:&quot;Aublin-Gex&quot;,&quot;given&quot;:&quot;Anne&quot;,&quot;parse-names&quot;:false,&quot;dropping-particle&quot;:&quot;&quot;,&quot;non-dropping-particle&quot;:&quot;&quot;},{&quot;family&quot;:&quot;Sestito&quot;,&quot;given&quot;:&quot;Stefania E.&quot;,&quot;parse-names&quot;:false,&quot;dropping-particle&quot;:&quot;&quot;,&quot;non-dropping-particle&quot;:&quot;&quot;},{&quot;family&quot;:&quot;Shirey&quot;,&quot;given&quot;:&quot;Kari Ann&quot;,&quot;parse-names&quot;:false,&quot;dropping-particle&quot;:&quot;&quot;,&quot;non-dropping-particle&quot;:&quot;&quot;},{&quot;family&quot;:&quot;Patel&quot;,&quot;given&quot;:&quot;Mira C.&quot;,&quot;parse-names&quot;:false,&quot;dropping-particle&quot;:&quot;&quot;,&quot;non-dropping-particle&quot;:&quot;&quot;},{&quot;family&quot;:&quot;André&quot;,&quot;given&quot;:&quot;Patrice&quot;,&quot;parse-names&quot;:false,&quot;dropping-particle&quot;:&quot;&quot;,&quot;non-dropping-particle&quot;:&quot;&quot;},{&quot;family&quot;:&quot;Blanco&quot;,&quot;given&quot;:&quot;Jorge C.&quot;,&quot;parse-names&quot;:false,&quot;dropping-particle&quot;:&quot;&quot;,&quot;non-dropping-particle&quot;:&quot;&quot;},{&quot;family&quot;:&quot;Vogel&quot;,&quot;given&quot;:&quot;Stefanie N.&quot;,&quot;parse-names&quot;:false,&quot;dropping-particle&quot;:&quot;&quot;,&quot;non-dropping-particle&quot;:&quot;&quot;},{&quot;family&quot;:&quot;Peri&quot;,&quot;given&quot;:&quot;Francesco&quot;,&quot;parse-names&quot;:false,&quot;dropping-particle&quot;:&quot;&quot;,&quot;non-dropping-particle&quot;:&quot;&quot;},{&quot;family&quot;:&quot;Lotteau&quot;,&quot;given&quot;:&quot;Vincent&quot;,&quot;parse-names&quot;:false,&quot;dropping-particle&quot;:&quot;&quot;,&quot;non-dropping-particle&quot;:&quot;&quot;}],&quot;container-title&quot;:&quot;Scientific Reports&quot;,&quot;accessed&quot;:{&quot;date-parts&quot;:[[2018,4,5]]},&quot;DOI&quot;:&quot;10.1038/srep40791&quot;,&quot;ISSN&quot;:&quot;2045-2322&quot;,&quot;URL&quot;:&quot;http://www.nature.com/articles/srep40791&quot;,&quot;issued&quot;:{&quot;date-parts&quot;:[[2017,1,20]]},&quot;page&quot;:&quot;40791&quot;,&quot;abstract&quot;:&quot;TLR4 antagonist FP7 inhibits LPS-induced cytokine production and glycolytic reprogramming in dendritic cells, and protects mice from lethal influenza infection&quot;,&quot;publisher&quot;:&quot;Nature Publishing Group&quot;,&quot;volume&quot;:&quot;7&quot;},&quot;isTemporary&quot;:false}],&quot;properties&quot;:{&quot;noteIndex&quot;:0},&quot;isEdited&quot;:false,&quot;manualOverride&quot;:{&quot;isManuallyOverriden&quot;:false,&quot;citeprocText&quot;:&quot;(Cighetti &lt;i&gt;et al.&lt;/i&gt;, 2014; Perrin-Cocon &lt;i&gt;et al.&lt;/i&gt;, 2017)&quot;,&quot;manualOverrideText&quot;:&quot;&quot;},&quot;citationTag&quot;:&quot;MENDELEY_CITATION_v3_eyJjaXRhdGlvbklEIjoiTUVOREVMRVlfQ0lUQVRJT05fNGJjOTNjMmUtODljYS00NjQ2LTlkZmMtOTQ2YWY3ZWQzNzYx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LH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ENpZ2hldHRpIDxpPmV0IGFsLjwvaT4sIDIwMTQ7IFBlcnJpbi1Db2NvbiA8aT5ldCBhbC48L2k+LCAyMDE3KSIsIm1hbnVhbE92ZXJyaWRlVGV4dCI6IiJ9fQ==&quot;},{&quot;citationID&quot;:&quot;MENDELEY_CITATION_cb2eea22-2697-40df-8f39-cde1eae82385&quot;,&quot;citationItems&quot;:[{&quot;id&quot;:&quot;dd61b1b4-e4f0-3465-803b-be3cb9d6f594&quot;,&quot;itemData&quot;:{&quot;type&quot;:&quot;article-journal&quot;,&quot;id&quot;:&quot;dd61b1b4-e4f0-3465-803b-be3cb9d6f594&quot;,&quot;title&quot;:&quot;TLR4 antagonist FP7 inhibits LPS-induced cytokine production and glycolytic reprogramming in dendritic cells, and protects mice from lethal influenza infection&quot;,&quot;author&quot;:[{&quot;family&quot;:&quot;Perrin-Cocon&quot;,&quot;given&quot;:&quot;Laure&quot;,&quot;parse-names&quot;:false,&quot;dropping-particle&quot;:&quot;&quot;,&quot;non-dropping-particle&quot;:&quot;&quot;},{&quot;family&quot;:&quot;Aublin-Gex&quot;,&quot;given&quot;:&quot;Anne&quot;,&quot;parse-names&quot;:false,&quot;dropping-particle&quot;:&quot;&quot;,&quot;non-dropping-particle&quot;:&quot;&quot;},{&quot;family&quot;:&quot;Sestito&quot;,&quot;given&quot;:&quot;Stefania E.&quot;,&quot;parse-names&quot;:false,&quot;dropping-particle&quot;:&quot;&quot;,&quot;non-dropping-particle&quot;:&quot;&quot;},{&quot;family&quot;:&quot;Shirey&quot;,&quot;given&quot;:&quot;Kari Ann&quot;,&quot;parse-names&quot;:false,&quot;dropping-particle&quot;:&quot;&quot;,&quot;non-dropping-particle&quot;:&quot;&quot;},{&quot;family&quot;:&quot;Patel&quot;,&quot;given&quot;:&quot;Mira C.&quot;,&quot;parse-names&quot;:false,&quot;dropping-particle&quot;:&quot;&quot;,&quot;non-dropping-particle&quot;:&quot;&quot;},{&quot;family&quot;:&quot;André&quot;,&quot;given&quot;:&quot;Patrice&quot;,&quot;parse-names&quot;:false,&quot;dropping-particle&quot;:&quot;&quot;,&quot;non-dropping-particle&quot;:&quot;&quot;},{&quot;family&quot;:&quot;Blanco&quot;,&quot;given&quot;:&quot;Jorge C.&quot;,&quot;parse-names&quot;:false,&quot;dropping-particle&quot;:&quot;&quot;,&quot;non-dropping-particle&quot;:&quot;&quot;},{&quot;family&quot;:&quot;Vogel&quot;,&quot;given&quot;:&quot;Stefanie N.&quot;,&quot;parse-names&quot;:false,&quot;dropping-particle&quot;:&quot;&quot;,&quot;non-dropping-particle&quot;:&quot;&quot;},{&quot;family&quot;:&quot;Peri&quot;,&quot;given&quot;:&quot;Francesco&quot;,&quot;parse-names&quot;:false,&quot;dropping-particle&quot;:&quot;&quot;,&quot;non-dropping-particle&quot;:&quot;&quot;},{&quot;family&quot;:&quot;Lotteau&quot;,&quot;given&quot;:&quot;Vincent&quot;,&quot;parse-names&quot;:false,&quot;dropping-particle&quot;:&quot;&quot;,&quot;non-dropping-particle&quot;:&quot;&quot;}],&quot;container-title&quot;:&quot;Scientific Reports&quot;,&quot;accessed&quot;:{&quot;date-parts&quot;:[[2018,4,5]]},&quot;DOI&quot;:&quot;10.1038/srep40791&quot;,&quot;ISSN&quot;:&quot;2045-2322&quot;,&quot;URL&quot;:&quot;http://www.nature.com/articles/srep40791&quot;,&quot;issued&quot;:{&quot;date-parts&quot;:[[2017,1,20]]},&quot;page&quot;:&quot;40791&quot;,&quot;abstract&quot;:&quot;TLR4 antagonist FP7 inhibits LPS-induced cytokine production and glycolytic reprogramming in dendritic cells, and protects mice from lethal influenza infection&quot;,&quot;publisher&quot;:&quot;Nature Publishing Group&quot;,&quot;volume&quot;:&quot;7&quot;},&quot;isTemporary&quot;:false},{&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en&quot;:false,&quot;citeprocText&quot;:&quot;(Cighetti &lt;i&gt;et al.&lt;/i&gt;, 2014; Perrin-Cocon &lt;i&gt;et al.&lt;/i&gt;, 2017; Facchini &lt;i&gt;et al.&lt;/i&gt;, 2018)&quot;,&quot;manualOverrideText&quot;:&quot;&quot;},&quot;citationTag&quot;:&quot;MENDELEY_CITATION_v3_eyJjaXRhdGlvbklEIjoiTUVOREVMRVlfQ0lUQVRJT05fY2IyZWVhMjItMjY5Ny00MGRmLThmMzktY2RlMWVhZTgyMzg1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&quot;},{&quot;citationID&quot;:&quot;MENDELEY_CITATION_0ff48666-6a62-4cba-a6e6-c2d185983f37&quot;,&quot;citationItems&quot;:[{&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en&quot;:false,&quot;citeprocText&quot;:&quot;(Facchini &lt;i&gt;et al.&lt;/i&gt;, 2018)&quot;,&quot;manualOverrideText&quot;:&quot;&quot;},&quot;citationTag&quot;:&quot;MENDELEY_CITATION_v3_eyJjaXRhdGlvbklEIjoiTUVOREVMRVlfQ0lUQVRJT05fMGZmNDg2NjYtNmE2Mi00Y2JhLWE2ZTYtYzJkMTg1OTgzZjM3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GYWNjaGluaSA8aT5ldCBhbC48L2k+LCAyMDE4KSIsIm1hbnVhbE92ZXJyaWRlVGV4dCI6IiJ9fQ==&quot;},{&quot;citationID&quot;:&quot;MENDELEY_CITATION_8f2b7140-a560-4aa7-9f99-5cf421e9e643&quot;,&quot;citationItems&quot;:[{&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en&quot;:false,&quot;citeprocText&quot;:&quot;(Facchini &lt;i&gt;et al.&lt;/i&gt;, 2018)&quot;,&quot;manualOverrideText&quot;:&quot;(Facchini et al., 2018).&quot;,&quot;isManuallyOverridden&quot;:true},&quot;citationTag&quot;:&quot;MENDELEY_CITATION_v3_eyJjaXRhdGlvbklEIjoiTUVOREVMRVlfQ0lUQVRJT05fOGYyYjcxNDAtYTU2MC00YWE3LTlmOTktNWNmNDIxZTllNjQz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GYWNjaGluaSA8aT5ldCBhbC48L2k+LCAyMDE4KSIsIm1hbnVhbE92ZXJyaWRlVGV4dCI6IihGYWNjaGluaSBldCBhbC4sIDIwMTgpLiIsImlzTWFudWFsbHlPdmVycmlkZGVuIjp0cnVlfX0=&quot;},{&quot;citationID&quot;:&quot;MENDELEY_CITATION_0475885d-fd71-4fd0-8b9b-f8eba4a13375&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properties&quot;:{&quot;noteIndex&quot;:0},&quot;isEdited&quot;:false,&quot;manualOverride&quot;:{&quot;isManuallyOverriden&quot;:false,&quot;citeprocText&quot;:&quot;(Cighetti &lt;i&gt;et al.&lt;/i&gt;, 2014)&quot;,&quot;manualOverrideText&quot;:&quot;&quot;},&quot;citationTag&quot;:&quot;MENDELEY_CITATION_v3_eyJjaXRhdGlvbklEIjoiTUVOREVMRVlfQ0lUQVRJT05fMDQ3NTg4NWQtZmQ3MS00ZmQwLThiOWItZjhlYmE0YTEzMzc1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quot;},{&quot;citationID&quot;:&quot;MENDELEY_CITATION_99f72b97-dd70-426c-a614-06ac08516e19&quot;,&quot;citationItems&quot;:[{&quot;id&quot;:&quot;dd61b1b4-e4f0-3465-803b-be3cb9d6f594&quot;,&quot;itemData&quot;:{&quot;type&quot;:&quot;article-journal&quot;,&quot;id&quot;:&quot;dd61b1b4-e4f0-3465-803b-be3cb9d6f594&quot;,&quot;title&quot;:&quot;TLR4 antagonist FP7 inhibits LPS-induced cytokine production and glycolytic reprogramming in dendritic cells, and protects mice from lethal influenza infection&quot;,&quot;author&quot;:[{&quot;family&quot;:&quot;Perrin-Cocon&quot;,&quot;given&quot;:&quot;Laure&quot;,&quot;parse-names&quot;:false,&quot;dropping-particle&quot;:&quot;&quot;,&quot;non-dropping-particle&quot;:&quot;&quot;},{&quot;family&quot;:&quot;Aublin-Gex&quot;,&quot;given&quot;:&quot;Anne&quot;,&quot;parse-names&quot;:false,&quot;dropping-particle&quot;:&quot;&quot;,&quot;non-dropping-particle&quot;:&quot;&quot;},{&quot;family&quot;:&quot;Sestito&quot;,&quot;given&quot;:&quot;Stefania E.&quot;,&quot;parse-names&quot;:false,&quot;dropping-particle&quot;:&quot;&quot;,&quot;non-dropping-particle&quot;:&quot;&quot;},{&quot;family&quot;:&quot;Shirey&quot;,&quot;given&quot;:&quot;Kari Ann&quot;,&quot;parse-names&quot;:false,&quot;dropping-particle&quot;:&quot;&quot;,&quot;non-dropping-particle&quot;:&quot;&quot;},{&quot;family&quot;:&quot;Patel&quot;,&quot;given&quot;:&quot;Mira C.&quot;,&quot;parse-names&quot;:false,&quot;dropping-particle&quot;:&quot;&quot;,&quot;non-dropping-particle&quot;:&quot;&quot;},{&quot;family&quot;:&quot;André&quot;,&quot;given&quot;:&quot;Patrice&quot;,&quot;parse-names&quot;:false,&quot;dropping-particle&quot;:&quot;&quot;,&quot;non-dropping-particle&quot;:&quot;&quot;},{&quot;family&quot;:&quot;Blanco&quot;,&quot;given&quot;:&quot;Jorge C.&quot;,&quot;parse-names&quot;:false,&quot;dropping-particle&quot;:&quot;&quot;,&quot;non-dropping-particle&quot;:&quot;&quot;},{&quot;family&quot;:&quot;Vogel&quot;,&quot;given&quot;:&quot;Stefanie N.&quot;,&quot;parse-names&quot;:false,&quot;dropping-particle&quot;:&quot;&quot;,&quot;non-dropping-particle&quot;:&quot;&quot;},{&quot;family&quot;:&quot;Peri&quot;,&quot;given&quot;:&quot;Francesco&quot;,&quot;parse-names&quot;:false,&quot;dropping-particle&quot;:&quot;&quot;,&quot;non-dropping-particle&quot;:&quot;&quot;},{&quot;family&quot;:&quot;Lotteau&quot;,&quot;given&quot;:&quot;Vincent&quot;,&quot;parse-names&quot;:false,&quot;dropping-particle&quot;:&quot;&quot;,&quot;non-dropping-particle&quot;:&quot;&quot;}],&quot;container-title&quot;:&quot;Scientific Reports&quot;,&quot;accessed&quot;:{&quot;date-parts&quot;:[[2018,4,5]]},&quot;DOI&quot;:&quot;10.1038/srep40791&quot;,&quot;ISSN&quot;:&quot;2045-2322&quot;,&quot;URL&quot;:&quot;http://www.nature.com/articles/srep40791&quot;,&quot;issued&quot;:{&quot;date-parts&quot;:[[2017,1,20]]},&quot;page&quot;:&quot;40791&quot;,&quot;abstract&quot;:&quot;TLR4 antagonist FP7 inhibits LPS-induced cytokine production and glycolytic reprogramming in dendritic cells, and protects mice from lethal influenza infection&quot;,&quot;publisher&quot;:&quot;Nature Publishing Group&quot;,&quot;volume&quot;:&quot;7&quot;},&quot;isTemporary&quot;:false}],&quot;properties&quot;:{&quot;noteIndex&quot;:0},&quot;isEdited&quot;:false,&quot;manualOverride&quot;:{&quot;isManuallyOverriden&quot;:false,&quot;citeprocText&quot;:&quot;(Perrin-Cocon &lt;i&gt;et al.&lt;/i&gt;, 2017)&quot;,&quot;manualOverrideText&quot;:&quot;&quot;},&quot;citationTag&quot;:&quot;MENDELEY_CITATION_v3_eyJjaXRhdGlvbklEIjoiTUVOREVMRVlfQ0lUQVRJT05fOTlmNzJiOTctZGQ3MC00MjZjLWE2MTQtMDZhYzA4NTE2ZTE5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quot;},{&quot;citationID&quot;:&quot;MENDELEY_CITATION_58284863-ccac-4646-a16d-991e904757ec&quot;,&quot;citationItems&quot;:[{&quot;id&quot;:&quot;05d6e175-cc85-3960-a6d3-f4237772e2cd&quot;,&quot;itemData&quot;:{&quot;type&quot;:&quot;article-journal&quot;,&quot;id&quot;:&quot;05d6e175-cc85-3960-a6d3-f4237772e2cd&quot;,&quot;title&quot;:&quot;Analysis of binding site for the novel small-molecule TLR4 signal transduction inhibitor TAK-242 and its therapeutic effect on mouse sepsis model&quot;,&quot;author&quot;:[{&quot;family&quot;:&quot;Takashima&quot;,&quot;given&quot;:&quot;K&quot;,&quot;parse-names&quot;:false,&quot;dropping-particle&quot;:&quot;&quot;,&quot;non-dropping-particle&quot;:&quot;&quot;},{&quot;family&quot;:&quot;Matsunaga&quot;,&quot;given&quot;:&quot;N&quot;,&quot;parse-names&quot;:false,&quot;dropping-particle&quot;:&quot;&quot;,&quot;non-dropping-particle&quot;:&quot;&quot;},{&quot;family&quot;:&quot;Yoshimatsu&quot;,&quot;given&quot;:&quot;M&quot;,&quot;parse-names&quot;:false,&quot;dropping-particle&quot;:&quot;&quot;,&quot;non-dropping-particle&quot;:&quot;&quot;},{&quot;family&quot;:&quot;Hazeki&quot;,&quot;given&quot;:&quot;K&quot;,&quot;parse-names&quot;:false,&quot;dropping-particle&quot;:&quot;&quot;,&quot;non-dropping-particle&quot;:&quot;&quot;},{&quot;family&quot;:&quot;Kaisho&quot;,&quot;given&quot;:&quot;T&quot;,&quot;parse-names&quot;:false,&quot;dropping-particle&quot;:&quot;&quot;,&quot;non-dropping-particle&quot;:&quot;&quot;},{&quot;family&quot;:&quot;Uekata&quot;,&quot;given&quot;:&quot;M&quot;,&quot;parse-names&quot;:false,&quot;dropping-particle&quot;:&quot;&quot;,&quot;non-dropping-particle&quot;:&quot;&quot;},{&quot;family&quot;:&quot;Hazeki&quot;,&quot;given&quot;:&quot;O&quot;,&quot;parse-names&quot;:false,&quot;dropping-particle&quot;:&quot;&quot;,&quot;non-dropping-particle&quot;:&quot;&quot;},{&quot;family&quot;:&quot;Akira&quot;,&quot;given&quot;:&quot;S&quot;,&quot;parse-names&quot;:false,&quot;dropping-particle&quot;:&quot;&quot;,&quot;non-dropping-particle&quot;:&quot;&quot;},{&quot;family&quot;:&quot;Iizawa&quot;,&quot;given&quot;:&quot;Y&quot;,&quot;parse-names&quot;:false,&quot;dropping-particle&quot;:&quot;&quot;,&quot;non-dropping-particle&quot;:&quot;&quot;},{&quot;family&quot;:&quot;Ii&quot;,&quot;given&quot;:&quot;M&quot;,&quot;parse-names&quot;:false,&quot;dropping-particle&quot;:&quot;&quot;,&quot;non-dropping-particle&quot;:&quot;&quot;}],&quot;container-title&quot;:&quot;British Journal of Pharmacology&quot;,&quot;accessed&quot;:{&quot;date-parts&quot;:[[2021,2,1]]},&quot;DOI&quot;:&quot;10.1111/j.1476-5381.2009.00297.x&quot;,&quot;ISSN&quot;:&quot;00071188&quot;,&quot;URL&quot;:&quot;http://doi.wiley.com/10.1111/j.1476-5381.2009.00297.x&quot;,&quot;issued&quot;:{&quot;date-parts&quot;:[[2009,8,1]]},&quot;page&quot;:&quot;1250-1262&quot;,&quot;abstract&quot;:&quot;Background and purpose: TAK-242, a novel synthetic small-molecule, suppresses production of multiple cytokines by inhibiting Toll-like receptor (TLR) 4 signalling. In this study, we investigated the target molecule of TAK-242 and examined its therapeutic effect in a mouse sepsis model. Experimental approach: Binding assay with [3H]-TAK-242 and nuclear factor-kB reporter assay were used to identify the target molecule and binding site of TAK-242. Bacillus calmette guerin (BCG)-primed mouse sepsis model using live Escherichia coli was used to estimate the efficacy of TAK-242 in sepsis. Key results: TAK-242 strongly bound to TLR4, but binding to TLR2, 3, 5, 9, TLR-related adaptor molecules and MD-2 was either not observed or marginal. Mutational analysis using TLR4 mutants indicated that TAK-242 inhibits TLR4 signalling by binding to Cys747 in the intracellular domain of TLR4. TAK-242 inhibited MyD88-independent pathway as well as MyD88-dependent pathway and its inhibitory effect was largely unaffected by lipopolysaccharide (LPS) concentration and types of TLR4 ligands. TAK-242 had no effect on the LPS-induced conformational change of TLR4-MD-2 and TLR4 homodimerization. In mouse sepsis model, although TAK-242 alone did not affect bacterial counts in blood, if co-administered with ceftazidime it inhibited the increases in serum cytokine levels and improved survival of mice. Conclusions and implications: TAK-242 suppressed TLR4 signalling by binding directly to a specific amino acid Cys747 in the intracellular domain of TLR4. When co-administered with antibiotics, TAK-242 showed potent therapeutic effects in an E. coli-induced sepsis model using BCG-primed mice. Thus, TAK-242 may be a promising therapeutic agent for sepsis. © 2009 The British Pharmacological Society All rights reserved.&quot;,&quot;publisher&quot;:&quot;John Wiley &amp; Sons, Ltd&quot;,&quot;issue&quot;:&quot;7&quot;,&quot;volume&quot;:&quot;157&quot;},&quot;isTemporary&quot;:false}],&quot;properties&quot;:{&quot;noteIndex&quot;:0},&quot;isEdited&quot;:false,&quot;manualOverride&quot;:{&quot;isManuallyOverriden&quot;:false,&quot;citeprocText&quot;:&quot;(Takashima &lt;i&gt;et al.&lt;/i&gt;, 2009)&quot;,&quot;manualOverrideText&quot;:&quot;&quot;},&quot;citationTag&quot;:&quot;MENDELEY_CITATION_v3_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&quot;},{&quot;citationID&quot;:&quot;MENDELEY_CITATION_996045c1-9b87-40b0-9204-f31abb82e6fe&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properties&quot;:{&quot;noteIndex&quot;:0},&quot;isEdited&quot;:false,&quot;manualOverride&quot;:{&quot;isManuallyOverriden&quot;:false,&quot;citeprocText&quot;:&quot;(Cighetti &lt;i&gt;et al.&lt;/i&gt;, 2014)&quot;,&quot;manualOverrideText&quot;:&quot;&quot;},&quot;citationTag&quot;:&quot;MENDELEY_CITATION_v3_eyJjaXRhdGlvbklEIjoiTUVOREVMRVlfQ0lUQVRJT05fOTk2MDQ1YzEtOWI4Ny00MGIwLTkyMDQtZjMxYWJiODJlNmZl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quot;},{&quot;citationID&quot;:&quot;MENDELEY_CITATION_8793e5eb-fb7a-40ad-99c6-1283f7670c1d&quot;,&quot;citationItems&quot;:[{&quot;id&quot;:&quot;dd61b1b4-e4f0-3465-803b-be3cb9d6f594&quot;,&quot;itemData&quot;:{&quot;type&quot;:&quot;article-journal&quot;,&quot;id&quot;:&quot;dd61b1b4-e4f0-3465-803b-be3cb9d6f594&quot;,&quot;title&quot;:&quot;TLR4 antagonist FP7 inhibits LPS-induced cytokine production and glycolytic reprogramming in dendritic cells, and protects mice from lethal influenza infection&quot;,&quot;author&quot;:[{&quot;family&quot;:&quot;Perrin-Cocon&quot;,&quot;given&quot;:&quot;Laure&quot;,&quot;parse-names&quot;:false,&quot;dropping-particle&quot;:&quot;&quot;,&quot;non-dropping-particle&quot;:&quot;&quot;},{&quot;family&quot;:&quot;Aublin-Gex&quot;,&quot;given&quot;:&quot;Anne&quot;,&quot;parse-names&quot;:false,&quot;dropping-particle&quot;:&quot;&quot;,&quot;non-dropping-particle&quot;:&quot;&quot;},{&quot;family&quot;:&quot;Sestito&quot;,&quot;given&quot;:&quot;Stefania E.&quot;,&quot;parse-names&quot;:false,&quot;dropping-particle&quot;:&quot;&quot;,&quot;non-dropping-particle&quot;:&quot;&quot;},{&quot;family&quot;:&quot;Shirey&quot;,&quot;given&quot;:&quot;Kari Ann&quot;,&quot;parse-names&quot;:false,&quot;dropping-particle&quot;:&quot;&quot;,&quot;non-dropping-particle&quot;:&quot;&quot;},{&quot;family&quot;:&quot;Patel&quot;,&quot;given&quot;:&quot;Mira C.&quot;,&quot;parse-names&quot;:false,&quot;dropping-particle&quot;:&quot;&quot;,&quot;non-dropping-particle&quot;:&quot;&quot;},{&quot;family&quot;:&quot;André&quot;,&quot;given&quot;:&quot;Patrice&quot;,&quot;parse-names&quot;:false,&quot;dropping-particle&quot;:&quot;&quot;,&quot;non-dropping-particle&quot;:&quot;&quot;},{&quot;family&quot;:&quot;Blanco&quot;,&quot;given&quot;:&quot;Jorge C.&quot;,&quot;parse-names&quot;:false,&quot;dropping-particle&quot;:&quot;&quot;,&quot;non-dropping-particle&quot;:&quot;&quot;},{&quot;family&quot;:&quot;Vogel&quot;,&quot;given&quot;:&quot;Stefanie N.&quot;,&quot;parse-names&quot;:false,&quot;dropping-particle&quot;:&quot;&quot;,&quot;non-dropping-particle&quot;:&quot;&quot;},{&quot;family&quot;:&quot;Peri&quot;,&quot;given&quot;:&quot;Francesco&quot;,&quot;parse-names&quot;:false,&quot;dropping-particle&quot;:&quot;&quot;,&quot;non-dropping-particle&quot;:&quot;&quot;},{&quot;family&quot;:&quot;Lotteau&quot;,&quot;given&quot;:&quot;Vincent&quot;,&quot;parse-names&quot;:false,&quot;dropping-particle&quot;:&quot;&quot;,&quot;non-dropping-particle&quot;:&quot;&quot;}],&quot;container-title&quot;:&quot;Scientific Reports&quot;,&quot;accessed&quot;:{&quot;date-parts&quot;:[[2018,4,5]]},&quot;DOI&quot;:&quot;10.1038/srep40791&quot;,&quot;ISSN&quot;:&quot;2045-2322&quot;,&quot;URL&quot;:&quot;http://www.nature.com/articles/srep40791&quot;,&quot;issued&quot;:{&quot;date-parts&quot;:[[2017,1,20]]},&quot;page&quot;:&quot;40791&quot;,&quot;abstract&quot;:&quot;TLR4 antagonist FP7 inhibits LPS-induced cytokine production and glycolytic reprogramming in dendritic cells, and protects mice from lethal influenza infection&quot;,&quot;publisher&quot;:&quot;Nature Publishing Group&quot;,&quot;volume&quot;:&quot;7&quot;},&quot;isTemporary&quot;:false}],&quot;properties&quot;:{&quot;noteIndex&quot;:0},&quot;isEdited&quot;:false,&quot;manualOverride&quot;:{&quot;isManuallyOverriden&quot;:false,&quot;citeprocText&quot;:&quot;(Perrin-Cocon &lt;i&gt;et al.&lt;/i&gt;, 2017)&quot;,&quot;manualOverrideText&quot;:&quot;&quot;},&quot;citationTag&quot;:&quot;MENDELEY_CITATION_v3_eyJjaXRhdGlvbklEIjoiTUVOREVMRVlfQ0lUQVRJT05fODc5M2U1ZWItZmI3YS00MGFkLTk5YzYtMTI4M2Y3NjcwYzFk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quot;},{&quot;citationID&quot;:&quot;MENDELEY_CITATION_72484e1b-1588-4326-983e-699440159963&quot;,&quot;citationItems&quot;:[{&quot;id&quot;:&quot;3959bfab-8a4e-3533-abb9-8b8f4c84b816&quot;,&quot;itemData&quot;:{&quot;type&quot;:&quot;article-journal&quot;,&quot;id&quot;:&quot;3959bfab-8a4e-3533-abb9-8b8f4c84b816&quot;,&quot;title&quot;:&quot;Synthetic and natural small molecule TLR4 antagonists inhibit motoneuron death in cultures from ALS mouse model&quot;,&quot;author&quot;:[{&quot;family&quot;:&quot;Paola&quot;,&quot;given&quot;:&quot;Massimiliano&quot;,&quot;parse-names&quot;:false,&quot;dropping-particle&quot;:&quot;&quot;,&quot;non-dropping-particle&quot;:&quot;de&quot;},{&quot;family&quot;:&quot;Sestito&quot;,&quot;given&quot;:&quot;Stefania E.&quot;,&quot;parse-names&quot;:false,&quot;dropping-particle&quot;:&quot;&quot;,&quot;non-dropping-particle&quot;:&quot;&quot;},{&quot;family&quot;:&quot;Mariani&quot;,&quot;given&quot;:&quot;Alessandro&quot;,&quot;parse-names&quot;:false,&quot;dropping-particle&quot;:&quot;&quot;,&quot;non-dropping-particle&quot;:&quot;&quot;},{&quot;family&quot;:&quot;Memo&quot;,&quot;given&quot;:&quot;Christian&quot;,&quot;parse-names&quot;:false,&quot;dropping-particle&quot;:&quot;&quot;,&quot;non-dropping-particle&quot;:&quot;&quot;},{&quot;family&quot;:&quot;Fanelli&quot;,&quot;given&quot;:&quot;Roberto&quot;,&quot;parse-names&quot;:false,&quot;dropping-particle&quot;:&quot;&quot;,&quot;non-dropping-particle&quot;:&quot;&quot;},{&quot;family&quot;:&quot;Freschi&quot;,&quot;given&quot;:&quot;Mattia&quot;,&quot;parse-names&quot;:false,&quot;dropping-particle&quot;:&quot;&quot;,&quot;non-dropping-particle&quot;:&quot;&quot;},{&quot;family&quot;:&quot;Bendotti&quot;,&quot;given&quot;:&quot;Caterina&quot;,&quot;parse-names&quot;:false,&quot;dropping-particle&quot;:&quot;&quot;,&quot;non-dropping-particle&quot;:&quot;&quot;},{&quot;family&quot;:&quot;Calabrese&quot;,&quot;given&quot;:&quot;Valentina&quot;,&quot;parse-names&quot;:false,&quot;dropping-particle&quot;:&quot;&quot;,&quot;non-dropping-particle&quot;:&quot;&quot;},{&quot;family&quot;:&quot;Peri&quot;,&quot;given&quot;:&quot;Francesco&quot;,&quot;parse-names&quot;:false,&quot;dropping-particle&quot;:&quot;&quot;,&quot;non-dropping-particle&quot;:&quot;&quot;}],&quot;container-title&quot;:&quot;Pharmacological Research&quot;,&quot;accessed&quot;:{&quot;date-parts&quot;:[[2018,4,5]]},&quot;DOI&quot;:&quot;10.1016/J.PHRS.2015.11.020&quot;,&quot;ISSN&quot;:&quot;1043-6618&quot;,&quot;URL&quot;:&quot;https://www.sciencedirect.com/science/article/pii/S1043661815300049&quot;,&quot;issued&quot;:{&quot;date-parts&quot;:[[2016,1,1]]},&quot;page&quot;:&quot;180-187&quot;,&quot;abstract&quot;:&quot;Increasing evidence indicates that inflammatory responses could play a critical role in the pathogenesis of motor neuron injury in amyotrophic lateral sclerosis (ALS). Recent findings have underlined the role of Toll-like receptors (TLRs) and the involvement of both the innate and adaptive immune responses in ALS pathogenesis. In particular, abnormal TLR4 signaling in pro-inflammatory microglia cells has been related to motoneuron degeneration leading to ALS. In this study the effect of small molecule TLR4 antagonists on in vitro ALS models has been investigated. Two different types of synthetic glycolipids and the phenol fraction extracted from commercial extra-virgin olive oil (EVOO) were selected since they efficiently inhibit TLR4 stimulus in HEK cells by interacting with the TLR4·MD-2 complex and CD14 co-receptor. Here, TLR4 antagonists efficiently protected motoneurons from LPS-induced lethality in spinal cord cultures, and inhibited the interleukine-1β production by LPS-stimulated microglia. In motoneurons/glia cocultures obtained from wild type or SOD1 G93A mice, motoneuron death induced by SOD1mut glia was counteracted by TLR4 antagonists. The release of nitric oxide by LPS treatment or SOD1mut glia was also inhibited by EVOO, suggesting that the action of this natural extract could be mainly related to the modulation of this inflammatory mediator.&quot;,&quot;publisher&quot;:&quot;Academic Press&quot;,&quot;volume&quot;:&quot;103&quot;},&quot;isTemporary&quot;:false}],&quot;properties&quot;:{&quot;noteIndex&quot;:0},&quot;isEdited&quot;:false,&quot;manualOverride&quot;:{&quot;isManuallyOverriden&quot;:false,&quot;citeprocText&quot;:&quot;(de Paola &lt;i&gt;et al.&lt;/i&gt;, 2016)&quot;,&quot;manualOverrideText&quot;:&quot;&quot;},&quot;citationTag&quot;:&quot;MENDELEY_CITATION_v3_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&quot;},{&quot;citationID&quot;:&quot;MENDELEY_CITATION_28b0180b-bf65-4d08-8e81-bd4b465cbf4f&quot;,&quot;citationItems&quot;:[{&quot;id&quot;:&quot;635da74f-6e6e-3419-b789-eb4c12a29e3c&quot;,&quot;itemData&quot;:{&quot;type&quot;:&quot;article-journal&quot;,&quot;id&quot;:&quot;635da74f-6e6e-3419-b789-eb4c12a29e3c&quot;,&quot;title&quot;:&quot;Oxidized Mitochondrial DNA Activates the NLRP3 Inflammasome during Apoptosis&quot;,&quot;author&quot;:[{&quot;family&quot;:&quot;Shimada&quot;,&quot;given&quot;:&quot;Kenichi&quot;,&quot;parse-names&quot;:false,&quot;dropping-particle&quot;:&quot;&quot;,&quot;non-dropping-particle&quot;:&quot;&quot;},{&quot;family&quot;:&quot;Crother&quot;,&quot;given&quot;:&quot;Timothy R.&quot;,&quot;parse-names&quot;:false,&quot;dropping-particle&quot;:&quot;&quot;,&quot;non-dropping-particle&quot;:&quot;&quot;},{&quot;family&quot;:&quot;Karlin&quot;,&quot;given&quot;:&quot;Justin&quot;,&quot;parse-names&quot;:false,&quot;dropping-particle&quot;:&quot;&quot;,&quot;non-dropping-particle&quot;:&quot;&quot;},{&quot;family&quot;:&quot;Dagvadorj&quot;,&quot;given&quot;:&quot;Jargalsaikhan&quot;,&quot;parse-names&quot;:false,&quot;dropping-particle&quot;:&quot;&quot;,&quot;non-dropping-particle&quot;:&quot;&quot;},{&quot;family&quot;:&quot;Chiba&quot;,&quot;given&quot;:&quot;Norika&quot;,&quot;parse-names&quot;:false,&quot;dropping-particle&quot;:&quot;&quot;,&quot;non-dropping-particle&quot;:&quot;&quot;},{&quot;family&quot;:&quot;Chen&quot;,&quot;given&quot;:&quot;Shuang&quot;,&quot;parse-names&quot;:false,&quot;dropping-particle&quot;:&quot;&quot;,&quot;non-dropping-particle&quot;:&quot;&quot;},{&quot;family&quot;:&quot;Ramanujan&quot;,&quot;given&quot;:&quot;V. Krishnan&quot;,&quot;parse-names&quot;:false,&quot;dropping-particle&quot;:&quot;&quot;,&quot;non-dropping-particle&quot;:&quot;&quot;},{&quot;family&quot;:&quot;Wolf&quot;,&quot;given&quot;:&quot;Andrea J.&quot;,&quot;parse-names&quot;:false,&quot;dropping-particle&quot;:&quot;&quot;,&quot;non-dropping-particle&quot;:&quot;&quot;},{&quot;family&quot;:&quot;Vergnes&quot;,&quot;given&quot;:&quot;Laurent&quot;,&quot;parse-names&quot;:false,&quot;dropping-particle&quot;:&quot;&quot;,&quot;non-dropping-particle&quot;:&quot;&quot;},{&quot;family&quot;:&quot;Ojcius&quot;,&quot;given&quot;:&quot;David M.&quot;,&quot;parse-names&quot;:false,&quot;dropping-particle&quot;:&quot;&quot;,&quot;non-dropping-particle&quot;:&quot;&quot;},{&quot;family&quot;:&quot;Rentsendorj&quot;,&quot;given&quot;:&quot;Altan&quot;,&quot;parse-names&quot;:false,&quot;dropping-particle&quot;:&quot;&quot;,&quot;non-dropping-particle&quot;:&quot;&quot;},{&quot;family&quot;:&quot;Vargas&quot;,&quot;given&quot;:&quot;Mario&quot;,&quot;parse-names&quot;:false,&quot;dropping-particle&quot;:&quot;&quot;,&quot;non-dropping-particle&quot;:&quot;&quot;},{&quot;family&quot;:&quot;Guerrero&quot;,&quot;given&quot;:&quot;Candace&quot;,&quot;parse-names&quot;:false,&quot;dropping-particle&quot;:&quot;&quot;,&quot;non-dropping-particle&quot;:&quot;&quot;},{&quot;family&quot;:&quot;Wang&quot;,&quot;given&quot;:&quot;Yinsheng&quot;,&quot;parse-names&quot;:false,&quot;dropping-particle&quot;:&quot;&quot;,&quot;non-dropping-particle&quot;:&quot;&quot;},{&quot;family&quot;:&quot;Fitzgerald&quot;,&quot;given&quot;:&quot;Katherine A.&quot;,&quot;parse-names&quot;:false,&quot;dropping-particle&quot;:&quot;&quot;,&quot;non-dropping-particle&quot;:&quot;&quot;},{&quot;family&quot;:&quot;Underhill&quot;,&quot;given&quot;:&quot;David M.&quot;,&quot;parse-names&quot;:false,&quot;dropping-particle&quot;:&quot;&quot;,&quot;non-dropping-particle&quot;:&quot;&quot;},{&quot;family&quot;:&quot;Town&quot;,&quot;given&quot;:&quot;Terrence&quot;,&quot;parse-names&quot;:false,&quot;dropping-particle&quot;:&quot;&quot;,&quot;non-dropping-particle&quot;:&quot;&quot;},{&quot;family&quot;:&quot;Arditi&quot;,&quot;given&quot;:&quot;Moshe&quot;,&quot;parse-names&quot;:false,&quot;dropping-particle&quot;:&quot;&quot;,&quot;non-dropping-particle&quot;:&quot;&quot;}],&quot;container-title&quot;:&quot;Immunity&quot;,&quot;accessed&quot;:{&quot;date-parts&quot;:[[2021,1,26]]},&quot;DOI&quot;:&quot;10.1016/j.immuni.2012.01.009&quot;,&quot;ISSN&quot;:&quot;10747613&quot;,&quot;PMID&quot;:&quot;22342844&quot;,&quot;issued&quot;:{&quot;date-parts&quot;:[[2012,3,23]]},&quot;page&quot;:&quot;401-414&quot;,&quot;abstract&quot;:&quot;We report that in the presence of signal 1 (NF-κB), the NLRP3 inflammasome was activated by mitochondrial apoptotic signaling that licensed production of interleukin-1β (IL-1β). NLRP3 secondary signal activators such as ATP induced mitochondrial dysfunction and apoptosis, resulting in release of oxidized mitochondrial DNA (mtDNA) into the cytosol, where it bound to and activated the NLRP3 inflammasome. The antiapoptotic protein Bcl-2 inversely regulated mitochondrial dysfunction and NLRP3 inflammasome activation. Mitochondrial DNA directly induced NLRP3 inflammasome activation, because macrophages lacking mtDNA had severely attenuated IL-1β production, yet still underwent apoptosis. Both binding of oxidized mtDNA to the NLRP3 inflammasome and IL-1β secretion could be competitively inhibited by the oxidized nucleoside 8-OH-dG. Thus, our data reveal that oxidized mtDNA released during programmed cell death causes activation of the NLRP3 inflammasome. These results provide a missing link between apoptosis and inflammasome activation, via binding of cytosolic oxidized mtDNA to the NLRP3 inflammasome. © 2012 Elsevier Inc..&quot;,&quot;publisher&quot;:&quot;Cell Press&quot;,&quot;issue&quot;:&quot;3&quot;,&quot;volume&quot;:&quot;36&quot;},&quot;isTemporary&quot;:false}],&quot;properties&quot;:{&quot;noteIndex&quot;:0},&quot;isEdited&quot;:false,&quot;manualOverride&quot;:{&quot;isManuallyOverriden&quot;:false,&quot;citeprocText&quot;:&quot;(Shimada &lt;i&gt;et al.&lt;/i&gt;, 2012)&quot;,&quot;manualOverrideText&quot;:&quot;&quot;},&quot;citationTag&quot;:&quot;MENDELEY_CITATION_v3_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&quot;},{&quot;citationID&quot;:&quot;MENDELEY_CITATION_1e0be023-6d29-4e4d-9562-44515e0f5727&quot;,&quot;citationItems&quot;:[{&quot;id&quot;:&quot;995ce6a0-bc26-3cc2-a67a-fc99314f1be5&quot;,&quot;itemData&quot;:{&quot;type&quot;:&quot;article-journal&quot;,&quot;id&quot;:&quot;995ce6a0-bc26-3cc2-a67a-fc99314f1be5&quot;,&quot;title&quot;:&quot;oxLDL induces inflammatory responses in vascular smooth muscle cells via urokinase receptor association with CD36 and TLR4.&quot;,&quot;author&quot;:[{&quot;family&quot;:&quot;Kiyan&quot;,&quot;given&quot;:&quot;Yulia&quot;,&quot;parse-names&quot;:false,&quot;dropping-particle&quot;:&quot;&quot;,&quot;non-dropping-particle&quot;:&quot;&quot;},{&quot;family&quot;:&quot;Tkachuk&quot;,&quot;given&quot;:&quot;Sergey&quot;,&quot;parse-names&quot;:false,&quot;dropping-particle&quot;:&quot;&quot;,&quot;non-dropping-particle&quot;:&quot;&quot;},{&quot;family&quot;:&quot;Hilfiker-Kleiner&quot;,&quot;given&quot;:&quot;Denise&quot;,&quot;parse-names&quot;:false,&quot;dropping-particle&quot;:&quot;&quot;,&quot;non-dropping-particle&quot;:&quot;&quot;},{&quot;family&quot;:&quot;Haller&quot;,&quot;given&quot;:&quot;Hermann&quot;,&quot;parse-names&quot;:false,&quot;dropping-particle&quot;:&quot;&quot;,&quot;non-dropping-particle&quot;:&quot;&quot;},{&quot;family&quot;:&quot;Fuhrman&quot;,&quot;given&quot;:&quot;Bianca&quot;,&quot;parse-names&quot;:false,&quot;dropping-particle&quot;:&quot;&quot;,&quot;non-dropping-particle&quot;:&quot;&quot;},{&quot;family&quot;:&quot;Dumler&quot;,&quot;given&quot;:&quot;Inna&quot;,&quot;parse-names&quot;:false,&quot;dropping-particle&quot;:&quot;&quot;,&quot;non-dropping-particle&quot;:&quot;&quot;}],&quot;container-title&quot;:&quot;Journal of molecular and cellular cardiology&quot;,&quot;accessed&quot;:{&quot;date-parts&quot;:[[2018,4,5]]},&quot;DOI&quot;:&quot;10.1016/j.yjmcc.2013.11.005&quot;,&quot;ISSN&quot;:&quot;1095-8584&quot;,&quot;PMID&quot;:&quot;24239845&quot;,&quot;URL&quot;:&quot;http://www.ncbi.nlm.nih.gov/pubmed/24239845&quot;,&quot;issued&quot;:{&quot;date-parts&quot;:[[2014,1,1]]},&quot;page&quot;:&quot;72-82&quot;,&quot;abstract&quot;:&quot;The pathogenesis of atherosclerosis involves an imbalanced lipid metabolism and a deregulated immune response culminating in chronic inflammation of the arterial wall. Recent studies show that endogenous ligands, such as modified plasma lipoproteins, can trigger pattern recognition receptors (PRR) of innate immunity for cellular and humoral reactions. The underlying molecular pathways remain less explored. In this study, we investigated the mechanisms of inflammatory effects of oxidized low-density lipoproteins (oxLDL) on human primary coronary artery smooth muscle cells (VSMC). We show that already low concentration of oxLDL initiated atherogenic signals triggering VSMC transition to proinflammatory phenotype. oxLDL impaired the expression of contractile proteins and myocardin in VSMC and initiated changes in cell functional responses, including expression of proinflammatory molecules. The effects of oxLDL were abolished by downregulation of the multifunctional urokinase receptor (uPAR). In response to oxLDL uPAR associated with CD36 and TLR4, the two main PRR for both pathogen and endogenous ligands. We demonstrate that uPAR association with CD36 and TLR4 mediated oxLDL-induced and NF-κB-dependent G-CSF and GM-CSF expression and changes in VSMC contractile proteins. uPAR-mediated release of G-CSF and GM-CSF by VSMC affected macrophage behavior and production of MCP-1. We provide evidence for functional relevance of our in vitro findings to in vivo human atherosclerotic tissues. Our data imply uPAR as a part of a PRR cluster interfering structurally and functionally with CD36 and TLR4 and responding to endogenous atherogenic ligands. They further point to specific function of each component of this cluster in mediating the ultimate signaling pattern.&quot;,&quot;publisher&quot;:&quot;Elsevier&quot;,&quot;volume&quot;:&quot;66&quot;},&quot;isTemporary&quot;:false},{&quot;id&quot;:&quot;20b5d470-7ba7-349c-b30c-97e137a4a365&quot;,&quot;itemData&quot;:{&quot;type&quot;:&quot;article-journal&quot;,&quot;id&quot;:&quot;20b5d470-7ba7-349c-b30c-97e137a4a365&quot;,&quot;title&quot;:&quot;The role of TLR2, TLR4 and CD36 in macrophage activation and foam cell formation in response to oxLDL in humans&quot;,&quot;author&quot;:[{&quot;family&quot;:&quot;Chávez-Sánchez&quot;,&quot;given&quot;:&quot;Luis&quot;,&quot;parse-names&quot;:false,&quot;dropping-particle&quot;:&quot;&quot;,&quot;non-dropping-particle&quot;:&quot;&quot;},{&quot;family&quot;:&quot;Garza-Reyes&quot;,&quot;given&quot;:&quot;Montserrat Guadalupe&quot;,&quot;parse-names&quot;:false,&quot;dropping-particle&quot;:&quot;&quot;,&quot;non-dropping-particle&quot;:&quot;&quot;},{&quot;family&quot;:&quot;Espinosa-Luna&quot;,&quot;given&quot;:&quot;José Esteban&quot;,&quot;parse-names&quot;:false,&quot;dropping-particle&quot;:&quot;&quot;,&quot;non-dropping-particle&quot;:&quot;&quot;},{&quot;family&quot;:&quot;Chávez-Rueda&quot;,&quot;given&quot;:&quot;Karina&quot;,&quot;parse-names&quot;:false,&quot;dropping-particle&quot;:&quot;&quot;,&quot;non-dropping-particle&quot;:&quot;&quot;},{&quot;family&quot;:&quot;Legorreta-Haquet&quot;,&quot;given&quot;:&quot;María Victoria&quot;,&quot;parse-names&quot;:false,&quot;dropping-particle&quot;:&quot;&quot;,&quot;non-dropping-particle&quot;:&quot;&quot;},{&quot;family&quot;:&quot;Blanco-Favela&quot;,&quot;given&quot;:&quot;Francisco&quot;,&quot;parse-names&quot;:false,&quot;dropping-particle&quot;:&quot;&quot;,&quot;non-dropping-particle&quot;:&quot;&quot;}],&quot;container-title&quot;:&quot;Human Immunology&quot;,&quot;accessed&quot;:{&quot;date-parts&quot;:[[2018,4,5]]},&quot;DOI&quot;:&quot;10.1016/J.HUMIMM.2014.01.012&quot;,&quot;ISSN&quot;:&quot;0198-8859&quot;,&quot;URL&quot;:&quot;https://www.sciencedirect.com/science/article/pii/S0198885914000202&quot;,&quot;issued&quot;:{&quot;date-parts&quot;:[[2014,4,1]]},&quot;page&quot;:&quot;322-329&quot;,&quot;abstract&quot;:&quot;Toll-like receptor (TLR)2, TLR4 and CD36 are central in inflammation and the development of atherosclerosis. Oxidized low-density lipoprotein (oxLDL) plays a critical role in this disease through its involvement in the formation of foam cells and the activation of leukocytes. The aim of this research was to analyze the role of TLR2, TLR4 and CD36 in foam cell differentiation and macrophage activation. \n\nMETHODS\nHuman macrophages were incubated with monoclonal antibodies specific for TLR2, TLR4 and CD36 prior to stimulation with oxLDL. Subsequently, we analyzed foam cell formation, cytokine secretion, histocompatibility complex (MHC) class II molecules and CD86 expression and T cell proliferation. \n\nRESULTS\nThe stimulation of macrophages with oxLDL induced foam cell formation, cytokine secretion, HLA-DR and CD86 expression and T cell proliferation. The blockage of TLR2, TLR4 and CD36 reduced the secretion of IL-1β, IL-6 and IL-8, the expression of HLA-DR and CD86, T cell proliferation and foam cell formation. However, the blockage of TLR2 did not affect the formation of foam cells. \n\nCONCLUSION\nOur study demonstrates that TLR2, TLR4 and CD36 participate in the immune response to oxLDL by inducing an increase in pro-inflammatory cytokines, the expression HLA-DR and CD86 and the proliferation of T cells. However, TLR2 does not participate in the formation of foam cells, while TLR4 and CD36 play a relevant role in this process. These findings suggest that the activation of these receptors by oxLDL contributes to the pathogenesis of atherosclerosis.&quot;,&quot;publisher&quot;:&quot;Elsevier&quot;,&quot;issue&quot;:&quot;4&quot;,&quot;volume&quot;:&quot;75&quot;},&quot;isTemporary&quot;:false}],&quot;properties&quot;:{&quot;noteIndex&quot;:0},&quot;isEdited&quot;:false,&quot;manualOverride&quot;:{&quot;isManuallyOverriden&quot;:false,&quot;citeprocText&quot;:&quot;(Chávez-Sánchez &lt;i&gt;et al.&lt;/i&gt;, 2014; Kiyan &lt;i&gt;et al.&lt;/i&gt;, 2014)&quot;,&quot;manualOverrideText&quot;:&quot;&quot;},&quot;citationTag&quot;:&quot;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&quot;},{&quot;citationID&quot;:&quot;MENDELEY_CITATION_7e388e8e-8fb3-485f-8406-95d92d8ef827&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id&quot;:&quot;dd61b1b4-e4f0-3465-803b-be3cb9d6f594&quot;,&quot;itemData&quot;:{&quot;type&quot;:&quot;article-journal&quot;,&quot;id&quot;:&quot;dd61b1b4-e4f0-3465-803b-be3cb9d6f594&quot;,&quot;title&quot;:&quot;TLR4 antagonist FP7 inhibits LPS-induced cytokine production and glycolytic reprogramming in dendritic cells, and protects mice from lethal influenza infection&quot;,&quot;author&quot;:[{&quot;family&quot;:&quot;Perrin-Cocon&quot;,&quot;given&quot;:&quot;Laure&quot;,&quot;parse-names&quot;:false,&quot;dropping-particle&quot;:&quot;&quot;,&quot;non-dropping-particle&quot;:&quot;&quot;},{&quot;family&quot;:&quot;Aublin-Gex&quot;,&quot;given&quot;:&quot;Anne&quot;,&quot;parse-names&quot;:false,&quot;dropping-particle&quot;:&quot;&quot;,&quot;non-dropping-particle&quot;:&quot;&quot;},{&quot;family&quot;:&quot;Sestito&quot;,&quot;given&quot;:&quot;Stefania E.&quot;,&quot;parse-names&quot;:false,&quot;dropping-particle&quot;:&quot;&quot;,&quot;non-dropping-particle&quot;:&quot;&quot;},{&quot;family&quot;:&quot;Shirey&quot;,&quot;given&quot;:&quot;Kari Ann&quot;,&quot;parse-names&quot;:false,&quot;dropping-particle&quot;:&quot;&quot;,&quot;non-dropping-particle&quot;:&quot;&quot;},{&quot;family&quot;:&quot;Patel&quot;,&quot;given&quot;:&quot;Mira C.&quot;,&quot;parse-names&quot;:false,&quot;dropping-particle&quot;:&quot;&quot;,&quot;non-dropping-particle&quot;:&quot;&quot;},{&quot;family&quot;:&quot;André&quot;,&quot;given&quot;:&quot;Patrice&quot;,&quot;parse-names&quot;:false,&quot;dropping-particle&quot;:&quot;&quot;,&quot;non-dropping-particle&quot;:&quot;&quot;},{&quot;family&quot;:&quot;Blanco&quot;,&quot;given&quot;:&quot;Jorge C.&quot;,&quot;parse-names&quot;:false,&quot;dropping-particle&quot;:&quot;&quot;,&quot;non-dropping-particle&quot;:&quot;&quot;},{&quot;family&quot;:&quot;Vogel&quot;,&quot;given&quot;:&quot;Stefanie N.&quot;,&quot;parse-names&quot;:false,&quot;dropping-particle&quot;:&quot;&quot;,&quot;non-dropping-particle&quot;:&quot;&quot;},{&quot;family&quot;:&quot;Peri&quot;,&quot;given&quot;:&quot;Francesco&quot;,&quot;parse-names&quot;:false,&quot;dropping-particle&quot;:&quot;&quot;,&quot;non-dropping-particle&quot;:&quot;&quot;},{&quot;family&quot;:&quot;Lotteau&quot;,&quot;given&quot;:&quot;Vincent&quot;,&quot;parse-names&quot;:false,&quot;dropping-particle&quot;:&quot;&quot;,&quot;non-dropping-particle&quot;:&quot;&quot;}],&quot;container-title&quot;:&quot;Scientific Reports&quot;,&quot;accessed&quot;:{&quot;date-parts&quot;:[[2018,4,5]]},&quot;DOI&quot;:&quot;10.1038/srep40791&quot;,&quot;ISSN&quot;:&quot;2045-2322&quot;,&quot;URL&quot;:&quot;http://www.nature.com/articles/srep40791&quot;,&quot;issued&quot;:{&quot;date-parts&quot;:[[2017,1,20]]},&quot;page&quot;:&quot;40791&quot;,&quot;abstract&quot;:&quot;TLR4 antagonist FP7 inhibits LPS-induced cytokine production and glycolytic reprogramming in dendritic cells, and protects mice from lethal influenza infection&quot;,&quot;publisher&quot;:&quot;Nature Publishing Group&quot;,&quot;volume&quot;:&quot;7&quot;},&quot;isTemporary&quot;:false},{&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den&quot;:true,&quot;citeprocText&quot;:&quot;(Cighetti &lt;i&gt;et al.&lt;/i&gt;, 2014; Perrin-Cocon &lt;i&gt;et al.&lt;/i&gt;, 2017; Facchini &lt;i&gt;et al.&lt;/i&gt;, 2018)&quot;,&quot;manualOverrideText&quot;:&quot;(Cighetti et al., 2014; Facchini et al., 2018)&quot;},&quot;citationTag&quot;:&quot;MENDELEY_CITATION_v3_eyJjaXRhdGlvbklEIjoiTUVOREVMRVlfQ0lUQVRJT05fN2UzODhlOGUtOGZiMy00ODVmLTg0MDYtOTVkOTJkOGVmODI3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LH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&quot;},{&quot;citationID&quot;:&quot;MENDELEY_CITATION_4a7cef0f-d037-4829-9e0a-a96766fa0ce1&quot;,&quot;citationItems&quot;:[{&quot;id&quot;:&quot;20b5d470-7ba7-349c-b30c-97e137a4a365&quot;,&quot;itemData&quot;:{&quot;type&quot;:&quot;article-journal&quot;,&quot;id&quot;:&quot;20b5d470-7ba7-349c-b30c-97e137a4a365&quot;,&quot;title&quot;:&quot;The role of TLR2, TLR4 and CD36 in macrophage activation and foam cell formation in response to oxLDL in humans&quot;,&quot;author&quot;:[{&quot;family&quot;:&quot;Chávez-Sánchez&quot;,&quot;given&quot;:&quot;Luis&quot;,&quot;parse-names&quot;:false,&quot;dropping-particle&quot;:&quot;&quot;,&quot;non-dropping-particle&quot;:&quot;&quot;},{&quot;family&quot;:&quot;Garza-Reyes&quot;,&quot;given&quot;:&quot;Montserrat Guadalupe&quot;,&quot;parse-names&quot;:false,&quot;dropping-particle&quot;:&quot;&quot;,&quot;non-dropping-particle&quot;:&quot;&quot;},{&quot;family&quot;:&quot;Espinosa-Luna&quot;,&quot;given&quot;:&quot;José Esteban&quot;,&quot;parse-names&quot;:false,&quot;dropping-particle&quot;:&quot;&quot;,&quot;non-dropping-particle&quot;:&quot;&quot;},{&quot;family&quot;:&quot;Chávez-Rueda&quot;,&quot;given&quot;:&quot;Karina&quot;,&quot;parse-names&quot;:false,&quot;dropping-particle&quot;:&quot;&quot;,&quot;non-dropping-particle&quot;:&quot;&quot;},{&quot;family&quot;:&quot;Legorreta-Haquet&quot;,&quot;given&quot;:&quot;María Victoria&quot;,&quot;parse-names&quot;:false,&quot;dropping-particle&quot;:&quot;&quot;,&quot;non-dropping-particle&quot;:&quot;&quot;},{&quot;family&quot;:&quot;Blanco-Favela&quot;,&quot;given&quot;:&quot;Francisco&quot;,&quot;parse-names&quot;:false,&quot;dropping-particle&quot;:&quot;&quot;,&quot;non-dropping-particle&quot;:&quot;&quot;}],&quot;container-title&quot;:&quot;Human Immunology&quot;,&quot;accessed&quot;:{&quot;date-parts&quot;:[[2018,4,5]]},&quot;DOI&quot;:&quot;10.1016/J.HUMIMM.2014.01.012&quot;,&quot;ISSN&quot;:&quot;0198-8859&quot;,&quot;URL&quot;:&quot;https://www.sciencedirect.com/science/article/pii/S0198885914000202&quot;,&quot;issued&quot;:{&quot;date-parts&quot;:[[2014,4,1]]},&quot;page&quot;:&quot;322-329&quot;,&quot;abstract&quot;:&quot;Toll-like receptor (TLR)2, TLR4 and CD36 are central in inflammation and the development of atherosclerosis. Oxidized low-density lipoprotein (oxLDL) plays a critical role in this disease through its involvement in the formation of foam cells and the activation of leukocytes. The aim of this research was to analyze the role of TLR2, TLR4 and CD36 in foam cell differentiation and macrophage activation. \n\nMETHODS\nHuman macrophages were incubated with monoclonal antibodies specific for TLR2, TLR4 and CD36 prior to stimulation with oxLDL. Subsequently, we analyzed foam cell formation, cytokine secretion, histocompatibility complex (MHC) class II molecules and CD86 expression and T cell proliferation. \n\nRESULTS\nThe stimulation of macrophages with oxLDL induced foam cell formation, cytokine secretion, HLA-DR and CD86 expression and T cell proliferation. The blockage of TLR2, TLR4 and CD36 reduced the secretion of IL-1β, IL-6 and IL-8, the expression of HLA-DR and CD86, T cell proliferation and foam cell formation. However, the blockage of TLR2 did not affect the formation of foam cells. \n\nCONCLUSION\nOur study demonstrates that TLR2, TLR4 and CD36 participate in the immune response to oxLDL by inducing an increase in pro-inflammatory cytokines, the expression HLA-DR and CD86 and the proliferation of T cells. However, TLR2 does not participate in the formation of foam cells, while TLR4 and CD36 play a relevant role in this process. These findings suggest that the activation of these receptors by oxLDL contributes to the pathogenesis of atherosclerosis.&quot;,&quot;publisher&quot;:&quot;Elsevier&quot;,&quot;issue&quot;:&quot;4&quot;,&quot;volume&quot;:&quot;75&quot;},&quot;isTemporary&quot;:false},{&quot;id&quot;:&quot;02f21ea0-cb6e-3204-b3a8-66cbdca21e97&quot;,&quot;itemData&quot;:{&quot;type&quot;:&quot;article-journal&quot;,&quot;id&quot;:&quot;02f21ea0-cb6e-3204-b3a8-66cbdca21e97&quot;,&quot;title&quot;:&quot;Spleen Tyrosine Kinase Regulates AP-1 Dependent Transcriptional Response to Minimally Oxidized LDL&quot;,&quot;author&quot;:[{&quot;family&quot;:&quot;Choi&quot;,&quot;given&quot;:&quot;Soo-Ho&quot;,&quot;parse-names&quot;:false,&quot;dropping-particle&quot;:&quot;&quot;,&quot;non-dropping-particle&quot;:&quot;&quot;},{&quot;family&quot;:&quot;Wiesner&quot;,&quot;given&quot;:&quot;Philipp&quot;,&quot;parse-names&quot;:false,&quot;dropping-particle&quot;:&quot;&quot;,&quot;non-dropping-particle&quot;:&quot;&quot;},{&quot;family&quot;:&quot;Almazan&quot;,&quot;given&quot;:&quot;Felicidad&quot;,&quot;parse-names&quot;:false,&quot;dropping-particle&quot;:&quot;&quot;,&quot;non-dropping-particle&quot;:&quot;&quot;},{&quot;family&quot;:&quot;Kim&quot;,&quot;given&quot;:&quot;Jungsu&quot;,&quot;parse-names&quot;:false,&quot;dropping-particle&quot;:&quot;&quot;,&quot;non-dropping-particle&quot;:&quot;&quot;},{&quot;family&quot;:&quot;Miller&quot;,&quot;given&quot;:&quot;Yury I.&quot;,&quot;parse-names&quot;:false,&quot;dropping-particle&quot;:&quot;&quot;,&quot;non-dropping-particle&quot;:&quot;&quot;}],&quot;container-title&quot;:&quot;PLoS ONE&quot;,&quot;accessed&quot;:{&quot;date-parts&quot;:[[2018,4,20]]},&quot;editor&quot;:[{&quot;family&quot;:&quot;Ojcius&quot;,&quot;given&quot;:&quot;David M.&quot;,&quot;parse-names&quot;:false,&quot;dropping-particle&quot;:&quot;&quot;,&quot;non-dropping-particle&quot;:&quot;&quot;}],&quot;DOI&quot;:&quot;10.1371/journal.pone.0032378&quot;,&quot;ISSN&quot;:&quot;1932-6203&quot;,&quot;URL&quot;:&quot;http://dx.plos.org/10.1371/journal.pone.0032378&quot;,&quot;issued&quot;:{&quot;date-parts&quot;:[[2012,2,22]]},&quot;page&quot;:&quot;e32378&quot;,&quot;abstract&quot;:&quot;Oxidative modification of low-density lipoprotein (LDL) turns it into an endogenous ligand recognized by pattern-recognition receptors. We have demonstrated that minimally oxidized LDL (mmLDL) binds to CD14 and mediates TLR4/MD-2-dependent responses in macrophages, many of which are MyD88-independent. We have also demonstrated that the mmLDL activation leads to recruitment of spleen tyrosine kinase (Syk) to TLR4 and TLR4 and Syk phosphorylation. In this study, we produced a macrophage-specific Syk knockout mouse and used primary Syk−/− macrophages in our studies. We demonstrated that Syk mediated phosphorylation of ERK1/2 and JNK, which in turn phosphorylated c-Fos and c-Jun, respectively, as assessed by an in vitro kinase assay. c-Jun phosphorylation was also mediated by IKKε. c-Jun and c-Fos bound to consensus DNA sites and thereby completed an AP-1 transcriptional complex and induced expression of CXCL2 and IL-6. These results suggest that Syk plays a key role in TLR4-mediated macrophage responses to host-generated ligands, like mmLDL, with subsequent activation of an AP-1 transcription program.&quot;,&quot;publisher&quot;:&quot;Public Library of Science&quot;,&quot;issue&quot;:&quot;2&quot;,&quot;volume&quot;:&quot;7&quot;},&quot;isTemporary&quot;:false}],&quot;properties&quot;:{&quot;noteIndex&quot;:0},&quot;isEdited&quot;:false,&quot;manualOverride&quot;:{&quot;isManuallyOverriden&quot;:false,&quot;citeprocText&quot;:&quot;(Choi &lt;i&gt;et al.&lt;/i&gt;, 2012; Chávez-Sánchez &lt;i&gt;et al.&lt;/i&gt;, 2014)&quot;,&quot;manualOverrideText&quot;:&quot;&quot;},&quot;citationTag&quot;:&quot;MENDELEY_CITATION_v3_eyJjaXRhdGlvbklEIjoiTUVOREVMRVlfQ0lUQVRJT05fNGE3Y2VmMGYtZDAzNy00ODI5LTllMGEtYTk2NzY2ZmEwY2Ux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&quot;},{&quot;citationID&quot;:&quot;MENDELEY_CITATION_8bffcb1e-26ce-4661-a518-8daf8e6555bf&quot;,&quot;citationItems&quot;:[{&quot;id&quot;:&quot;dd61b1b4-e4f0-3465-803b-be3cb9d6f594&quot;,&quot;itemData&quot;:{&quot;type&quot;:&quot;article-journal&quot;,&quot;id&quot;:&quot;dd61b1b4-e4f0-3465-803b-be3cb9d6f594&quot;,&quot;title&quot;:&quot;TLR4 antagonist FP7 inhibits LPS-induced cytokine production and glycolytic reprogramming in dendritic cells, and protects mice from lethal influenza infection&quot;,&quot;author&quot;:[{&quot;family&quot;:&quot;Perrin-Cocon&quot;,&quot;given&quot;:&quot;Laure&quot;,&quot;parse-names&quot;:false,&quot;dropping-particle&quot;:&quot;&quot;,&quot;non-dropping-particle&quot;:&quot;&quot;},{&quot;family&quot;:&quot;Aublin-Gex&quot;,&quot;given&quot;:&quot;Anne&quot;,&quot;parse-names&quot;:false,&quot;dropping-particle&quot;:&quot;&quot;,&quot;non-dropping-particle&quot;:&quot;&quot;},{&quot;family&quot;:&quot;Sestito&quot;,&quot;given&quot;:&quot;Stefania E.&quot;,&quot;parse-names&quot;:false,&quot;dropping-particle&quot;:&quot;&quot;,&quot;non-dropping-particle&quot;:&quot;&quot;},{&quot;family&quot;:&quot;Shirey&quot;,&quot;given&quot;:&quot;Kari Ann&quot;,&quot;parse-names&quot;:false,&quot;dropping-particle&quot;:&quot;&quot;,&quot;non-dropping-particle&quot;:&quot;&quot;},{&quot;family&quot;:&quot;Patel&quot;,&quot;given&quot;:&quot;Mira C.&quot;,&quot;parse-names&quot;:false,&quot;dropping-particle&quot;:&quot;&quot;,&quot;non-dropping-particle&quot;:&quot;&quot;},{&quot;family&quot;:&quot;André&quot;,&quot;given&quot;:&quot;Patrice&quot;,&quot;parse-names&quot;:false,&quot;dropping-particle&quot;:&quot;&quot;,&quot;non-dropping-particle&quot;:&quot;&quot;},{&quot;family&quot;:&quot;Blanco&quot;,&quot;given&quot;:&quot;Jorge C.&quot;,&quot;parse-names&quot;:false,&quot;dropping-particle&quot;:&quot;&quot;,&quot;non-dropping-particle&quot;:&quot;&quot;},{&quot;family&quot;:&quot;Vogel&quot;,&quot;given&quot;:&quot;Stefanie N.&quot;,&quot;parse-names&quot;:false,&quot;dropping-particle&quot;:&quot;&quot;,&quot;non-dropping-particle&quot;:&quot;&quot;},{&quot;family&quot;:&quot;Peri&quot;,&quot;given&quot;:&quot;Francesco&quot;,&quot;parse-names&quot;:false,&quot;dropping-particle&quot;:&quot;&quot;,&quot;non-dropping-particle&quot;:&quot;&quot;},{&quot;family&quot;:&quot;Lotteau&quot;,&quot;given&quot;:&quot;Vincent&quot;,&quot;parse-names&quot;:false,&quot;dropping-particle&quot;:&quot;&quot;,&quot;non-dropping-particle&quot;:&quot;&quot;}],&quot;container-title&quot;:&quot;Scientific Reports&quot;,&quot;accessed&quot;:{&quot;date-parts&quot;:[[2018,4,5]]},&quot;DOI&quot;:&quot;10.1038/srep40791&quot;,&quot;ISSN&quot;:&quot;2045-2322&quot;,&quot;URL&quot;:&quot;http://www.nature.com/articles/srep40791&quot;,&quot;issued&quot;:{&quot;date-parts&quot;:[[2017,1,20]]},&quot;page&quot;:&quot;40791&quot;,&quot;abstract&quot;:&quot;TLR4 antagonist FP7 inhibits LPS-induced cytokine production and glycolytic reprogramming in dendritic cells, and protects mice from lethal influenza infection&quot;,&quot;publisher&quot;:&quot;Nature Publishing Group&quot;,&quot;volume&quot;:&quot;7&quot;},&quot;isTemporary&quot;:false}],&quot;properties&quot;:{&quot;noteIndex&quot;:0},&quot;isEdited&quot;:false,&quot;manualOverride&quot;:{&quot;isManuallyOverriden&quot;:false,&quot;citeprocText&quot;:&quot;(Perrin-Cocon &lt;i&gt;et al.&lt;/i&gt;, 2017)&quot;,&quot;manualOverrideText&quot;:&quot;&quot;},&quot;citationTag&quot;:&quot;MENDELEY_CITATION_v3_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&quot;},{&quot;citationID&quot;:&quot;MENDELEY_CITATION_f2dbceb6-d9d2-466f-ac3f-71fbf3f267b1&quot;,&quot;citationItems&quot;:[{&quot;id&quot;:&quot;afbbcb13-2fb5-3951-b3aa-47ed9bcf27c0&quot;,&quot;itemData&quot;:{&quot;type&quot;:&quot;article&quot;,&quot;id&quot;:&quot;afbbcb13-2fb5-3951-b3aa-47ed9bcf27c0&quot;,&quot;title&quot;:&quot;Context-Dependent Role of Oxidized Lipids and Lipoproteins in Inflammation&quot;,&quot;author&quot;:[{&quot;family&quot;:&quot;Miller&quot;,&quot;given&quot;:&quot;Yury I.&quot;,&quot;parse-names&quot;:false,&quot;dropping-particle&quot;:&quot;&quot;,&quot;non-dropping-particle&quot;:&quot;&quot;},{&quot;family&quot;:&quot;Shyy&quot;,&quot;given&quot;:&quot;John Y.J.&quot;,&quot;parse-names&quot;:false,&quot;dropping-particle&quot;:&quot;&quot;,&quot;non-dropping-particle&quot;:&quot;&quot;}],&quot;container-title&quot;:&quot;Trends in Endocrinology and Metabolism&quot;,&quot;accessed&quot;:{&quot;date-parts&quot;:[[2021,1,31]]},&quot;DOI&quot;:&quot;10.1016/j.tem.2016.11.002&quot;,&quot;ISSN&quot;:&quot;18793061&quot;,&quot;PMID&quot;:&quot;27931771&quot;,&quot;issued&quot;:{&quot;date-parts&quot;:[[2017,2,1]]},&quot;page&quot;:&quot;143-152&quot;,&quot;abstract&quot;:&quot;Oxidized low-density lipoprotein (OxLDL), which contains hundreds of different oxidized lipid molecules, is a hallmark of hyperlipidemia and atherosclerosis. The same oxidized lipids found in OxLDL are also formed in apoptotic cells, and are present in tissues as well as in the circulation under pathological conditions. In many disease contexts, oxidized lipids constitute damage signals, or patterns, that activate pattern-recognition receptors (PRRs) and significantly contribute to inflammation. Here, we review recent discoveries and emerging trends in the field of oxidized lipids and the regulation of inflammation, focusing on oxidation products of polyunsaturated fatty acids esterified into cholesteryl esters (CEs) and phospholipids (PLs). We also highlight context-dependent activation and biased agonism of Toll-like receptor-4 (TLR4) and the NLRP3 inflammasome, among other signaling pathways activated by oxidized lipids.&quot;,&quot;publisher&quot;:&quot;Elsevier Inc.&quot;,&quot;issue&quot;:&quot;2&quot;,&quot;volume&quot;:&quot;28&quot;},&quot;isTemporary&quot;:false}],&quot;properties&quot;:{&quot;noteIndex&quot;:0},&quot;isEdited&quot;:false,&quot;manualOverride&quot;:{&quot;isManuallyOverriden&quot;:false,&quot;citeprocText&quot;:&quot;(Miller and Shyy, 2017)&quot;,&quot;manualOverrideText&quot;:&quot;&quot;},&quot;citationTag&quot;:&quot;MENDELEY_CITATION_v3_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&quot;},{&quot;citationID&quot;:&quot;MENDELEY_CITATION_9f770cb1-47ea-448c-b8f5-05caa7fd0c03&quot;,&quot;citationItems&quot;:[{&quot;id&quot;:&quot;469620b2-6f13-38ce-a5e0-76acae70603c&quot;,&quot;itemData&quot;:{&quot;type&quot;:&quot;article-journal&quot;,&quot;id&quot;:&quot;469620b2-6f13-38ce-a5e0-76acae70603c&quot;,&quot;title&quot;:&quot;CD36 ligands promote sterile inflammation through assembly of a Toll-like receptor 4 and 6 heterodimer&quot;,&quot;author&quot;:[{&quot;family&quot;:&quot;Stewart&quot;,&quot;given&quot;:&quot;Cameron R.&quot;,&quot;parse-names&quot;:false,&quot;dropping-particle&quot;:&quot;&quot;,&quot;non-dropping-particle&quot;:&quot;&quot;},{&quot;family&quot;:&quot;Stuart&quot;,&quot;given&quot;:&quot;Lynda M.&quot;,&quot;parse-names&quot;:false,&quot;dropping-particle&quot;:&quot;&quot;,&quot;non-dropping-particle&quot;:&quot;&quot;},{&quot;family&quot;:&quot;Wilkinson&quot;,&quot;given&quot;:&quot;Kim&quot;,&quot;parse-names&quot;:false,&quot;dropping-particle&quot;:&quot;&quot;,&quot;non-dropping-particle&quot;:&quot;&quot;},{&quot;family&quot;:&quot;Gils&quot;,&quot;given&quot;:&quot;Janine M.&quot;,&quot;parse-names&quot;:false,&quot;dropping-particle&quot;:&quot;&quot;,&quot;non-dropping-particle&quot;:&quot;van&quot;},{&quot;family&quot;:&quot;Deng&quot;,&quot;given&quot;:&quot;Jiusheng&quot;,&quot;parse-names&quot;:false,&quot;dropping-particle&quot;:&quot;&quot;,&quot;non-dropping-particle&quot;:&quot;&quot;},{&quot;family&quot;:&quot;Halle&quot;,&quot;given&quot;:&quot;Annett&quot;,&quot;parse-names&quot;:false,&quot;dropping-particle&quot;:&quot;&quot;,&quot;non-dropping-particle&quot;:&quot;&quot;},{&quot;family&quot;:&quot;Rayner&quot;,&quot;given&quot;:&quot;Katey J.&quot;,&quot;parse-names&quot;:false,&quot;dropping-particle&quot;:&quot;&quot;,&quot;non-dropping-particle&quot;:&quot;&quot;},{&quot;family&quot;:&quot;Boyer&quot;,&quot;given&quot;:&quot;Laurent&quot;,&quot;parse-names&quot;:false,&quot;dropping-particle&quot;:&quot;&quot;,&quot;non-dropping-particle&quot;:&quot;&quot;},{&quot;family&quot;:&quot;Zhong&quot;,&quot;given&quot;:&quot;Ruiqin&quot;,&quot;parse-names&quot;:false,&quot;dropping-particle&quot;:&quot;&quot;,&quot;non-dropping-particle&quot;:&quot;&quot;},{&quot;family&quot;:&quot;Frazier&quot;,&quot;given&quot;:&quot;William A.&quot;,&quot;parse-names&quot;:false,&quot;dropping-particle&quot;:&quot;&quot;,&quot;non-dropping-particle&quot;:&quot;&quot;},{&quot;family&quot;:&quot;Lacy-Hulbert&quot;,&quot;given&quot;:&quot;Adam&quot;,&quot;parse-names&quot;:false,&quot;dropping-particle&quot;:&quot;&quot;,&quot;non-dropping-particle&quot;:&quot;&quot;},{&quot;family&quot;:&quot;Khoury&quot;,&quot;given&quot;:&quot;Joseph&quot;,&quot;parse-names&quot;:false,&quot;dropping-particle&quot;:&quot;el&quot;,&quot;non-dropping-particle&quot;:&quot;&quot;},{&quot;family&quot;:&quot;Golenbock&quot;,&quot;given&quot;:&quot;Douglas T.&quot;,&quot;parse-names&quot;:false,&quot;dropping-particle&quot;:&quot;&quot;,&quot;non-dropping-particle&quot;:&quot;&quot;},{&quot;family&quot;:&quot;Moore&quot;,&quot;given&quot;:&quot;Kathryn J.&quot;,&quot;parse-names&quot;:false,&quot;dropping-particle&quot;:&quot;&quot;,&quot;non-dropping-particle&quot;:&quot;&quot;}],&quot;container-title&quot;:&quot;Nature Immunology&quot;,&quot;accessed&quot;:{&quot;date-parts&quot;:[[2021,1,26]]},&quot;DOI&quot;:&quot;10.1038/ni.1836&quot;,&quot;ISSN&quot;:&quot;15292908&quot;,&quot;PMID&quot;:&quot;20037584&quot;,&quot;URL&quot;:&quot;https://www.nature.com/articles/ni.1836&quot;,&quot;issued&quot;:{&quot;date-parts&quot;:[[2010,2,27]]},&quot;page&quot;:&quot;155-161&quot;,&quot;abstract&quot;:&quot;In atherosclerosis and Alzheimer's disease, deposition of the altered self components oxidized low-density lipoprotein (LDL) and amyloid-Β triggers a protracted sterile inflammatory response. Although chronic stimulation of the innate immune system is believed to underlie the pathology of these diseases, the molecular mechanisms of activation remain unclear. Here we show that oxidized LDL and amyloid-Β trigger inflammatory signaling through a heterodimer of Toll-like receptors 4 and 6. Assembly of this newly identified heterodimer is regulated by signals from the scavenger receptor CD36, a common receptor for these disparate ligands. Our results identify CD36-TLR4-TLR6 activation as a common molecular mechanism by which atherogenic lipids and amyloid-Β stimulate sterile inflammation and suggest a new model of TLR heterodimerization triggered by coreceptor signaling events. © 2010 Nature America, Inc. All rights reserved.&quot;,&quot;publisher&quot;:&quot;Nature Publishing Group&quot;,&quot;issue&quot;:&quot;2&quot;,&quot;volume&quot;:&quot;11&quot;},&quot;isTemporary&quot;:false}],&quot;properties&quot;:{&quot;noteIndex&quot;:0},&quot;isEdited&quot;:false,&quot;manualOverride&quot;:{&quot;isManuallyOverriden&quot;:false,&quot;citeprocText&quot;:&quot;(Stewart &lt;i&gt;et al.&lt;/i&gt;, 2010)&quot;,&quot;manualOverrideText&quot;:&quot;&quot;},&quot;citationTag&quot;:&quot;MENDELEY_CITATION_v3_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&quot;},{&quot;citationID&quot;:&quot;MENDELEY_CITATION_c139e5ba-4ff0-4467-869c-8a685c93ccae&quot;,&quot;citationItems&quot;:[{&quot;id&quot;:&quot;20b5d470-7ba7-349c-b30c-97e137a4a365&quot;,&quot;itemData&quot;:{&quot;type&quot;:&quot;article-journal&quot;,&quot;id&quot;:&quot;20b5d470-7ba7-349c-b30c-97e137a4a365&quot;,&quot;title&quot;:&quot;The role of TLR2, TLR4 and CD36 in macrophage activation and foam cell formation in response to oxLDL in humans&quot;,&quot;author&quot;:[{&quot;family&quot;:&quot;Chávez-Sánchez&quot;,&quot;given&quot;:&quot;Luis&quot;,&quot;parse-names&quot;:false,&quot;dropping-particle&quot;:&quot;&quot;,&quot;non-dropping-particle&quot;:&quot;&quot;},{&quot;family&quot;:&quot;Garza-Reyes&quot;,&quot;given&quot;:&quot;Montserrat Guadalupe&quot;,&quot;parse-names&quot;:false,&quot;dropping-particle&quot;:&quot;&quot;,&quot;non-dropping-particle&quot;:&quot;&quot;},{&quot;family&quot;:&quot;Espinosa-Luna&quot;,&quot;given&quot;:&quot;José Esteban&quot;,&quot;parse-names&quot;:false,&quot;dropping-particle&quot;:&quot;&quot;,&quot;non-dropping-particle&quot;:&quot;&quot;},{&quot;family&quot;:&quot;Chávez-Rueda&quot;,&quot;given&quot;:&quot;Karina&quot;,&quot;parse-names&quot;:false,&quot;dropping-particle&quot;:&quot;&quot;,&quot;non-dropping-particle&quot;:&quot;&quot;},{&quot;family&quot;:&quot;Legorreta-Haquet&quot;,&quot;given&quot;:&quot;María Victoria&quot;,&quot;parse-names&quot;:false,&quot;dropping-particle&quot;:&quot;&quot;,&quot;non-dropping-particle&quot;:&quot;&quot;},{&quot;family&quot;:&quot;Blanco-Favela&quot;,&quot;given&quot;:&quot;Francisco&quot;,&quot;parse-names&quot;:false,&quot;dropping-particle&quot;:&quot;&quot;,&quot;non-dropping-particle&quot;:&quot;&quot;}],&quot;container-title&quot;:&quot;Human Immunology&quot;,&quot;accessed&quot;:{&quot;date-parts&quot;:[[2018,4,5]]},&quot;DOI&quot;:&quot;10.1016/J.HUMIMM.2014.01.012&quot;,&quot;ISSN&quot;:&quot;0198-8859&quot;,&quot;URL&quot;:&quot;https://www.sciencedirect.com/science/article/pii/S0198885914000202&quot;,&quot;issued&quot;:{&quot;date-parts&quot;:[[2014,4,1]]},&quot;page&quot;:&quot;322-329&quot;,&quot;abstract&quot;:&quot;Toll-like receptor (TLR)2, TLR4 and CD36 are central in inflammation and the development of atherosclerosis. Oxidized low-density lipoprotein (oxLDL) plays a critical role in this disease through its involvement in the formation of foam cells and the activation of leukocytes. The aim of this research was to analyze the role of TLR2, TLR4 and CD36 in foam cell differentiation and macrophage activation. \n\nMETHODS\nHuman macrophages were incubated with monoclonal antibodies specific for TLR2, TLR4 and CD36 prior to stimulation with oxLDL. Subsequently, we analyzed foam cell formation, cytokine secretion, histocompatibility complex (MHC) class II molecules and CD86 expression and T cell proliferation. \n\nRESULTS\nThe stimulation of macrophages with oxLDL induced foam cell formation, cytokine secretion, HLA-DR and CD86 expression and T cell proliferation. The blockage of TLR2, TLR4 and CD36 reduced the secretion of IL-1β, IL-6 and IL-8, the expression of HLA-DR and CD86, T cell proliferation and foam cell formation. However, the blockage of TLR2 did not affect the formation of foam cells. \n\nCONCLUSION\nOur study demonstrates that TLR2, TLR4 and CD36 participate in the immune response to oxLDL by inducing an increase in pro-inflammatory cytokines, the expression HLA-DR and CD86 and the proliferation of T cells. However, TLR2 does not participate in the formation of foam cells, while TLR4 and CD36 play a relevant role in this process. These findings suggest that the activation of these receptors by oxLDL contributes to the pathogenesis of atherosclerosis.&quot;,&quot;publisher&quot;:&quot;Elsevier&quot;,&quot;issue&quot;:&quot;4&quot;,&quot;volume&quot;:&quot;75&quot;},&quot;isTemporary&quot;:false},{&quot;id&quot;:&quot;02f21ea0-cb6e-3204-b3a8-66cbdca21e97&quot;,&quot;itemData&quot;:{&quot;type&quot;:&quot;article-journal&quot;,&quot;id&quot;:&quot;02f21ea0-cb6e-3204-b3a8-66cbdca21e97&quot;,&quot;title&quot;:&quot;Spleen Tyrosine Kinase Regulates AP-1 Dependent Transcriptional Response to Minimally Oxidized LDL&quot;,&quot;author&quot;:[{&quot;family&quot;:&quot;Choi&quot;,&quot;given&quot;:&quot;Soo-Ho&quot;,&quot;parse-names&quot;:false,&quot;dropping-particle&quot;:&quot;&quot;,&quot;non-dropping-particle&quot;:&quot;&quot;},{&quot;family&quot;:&quot;Wiesner&quot;,&quot;given&quot;:&quot;Philipp&quot;,&quot;parse-names&quot;:false,&quot;dropping-particle&quot;:&quot;&quot;,&quot;non-dropping-particle&quot;:&quot;&quot;},{&quot;family&quot;:&quot;Almazan&quot;,&quot;given&quot;:&quot;Felicidad&quot;,&quot;parse-names&quot;:false,&quot;dropping-particle&quot;:&quot;&quot;,&quot;non-dropping-particle&quot;:&quot;&quot;},{&quot;family&quot;:&quot;Kim&quot;,&quot;given&quot;:&quot;Jungsu&quot;,&quot;parse-names&quot;:false,&quot;dropping-particle&quot;:&quot;&quot;,&quot;non-dropping-particle&quot;:&quot;&quot;},{&quot;family&quot;:&quot;Miller&quot;,&quot;given&quot;:&quot;Yury I.&quot;,&quot;parse-names&quot;:false,&quot;dropping-particle&quot;:&quot;&quot;,&quot;non-dropping-particle&quot;:&quot;&quot;}],&quot;container-title&quot;:&quot;PLoS ONE&quot;,&quot;accessed&quot;:{&quot;date-parts&quot;:[[2018,4,20]]},&quot;editor&quot;:[{&quot;family&quot;:&quot;Ojcius&quot;,&quot;given&quot;:&quot;David M.&quot;,&quot;parse-names&quot;:false,&quot;dropping-particle&quot;:&quot;&quot;,&quot;non-dropping-particle&quot;:&quot;&quot;}],&quot;DOI&quot;:&quot;10.1371/journal.pone.0032378&quot;,&quot;ISSN&quot;:&quot;1932-6203&quot;,&quot;URL&quot;:&quot;http://dx.plos.org/10.1371/journal.pone.0032378&quot;,&quot;issued&quot;:{&quot;date-parts&quot;:[[2012,2,22]]},&quot;page&quot;:&quot;e32378&quot;,&quot;abstract&quot;:&quot;Oxidative modification of low-density lipoprotein (LDL) turns it into an endogenous ligand recognized by pattern-recognition receptors. We have demonstrated that minimally oxidized LDL (mmLDL) binds to CD14 and mediates TLR4/MD-2-dependent responses in macrophages, many of which are MyD88-independent. We have also demonstrated that the mmLDL activation leads to recruitment of spleen tyrosine kinase (Syk) to TLR4 and TLR4 and Syk phosphorylation. In this study, we produced a macrophage-specific Syk knockout mouse and used primary Syk−/− macrophages in our studies. We demonstrated that Syk mediated phosphorylation of ERK1/2 and JNK, which in turn phosphorylated c-Fos and c-Jun, respectively, as assessed by an in vitro kinase assay. c-Jun phosphorylation was also mediated by IKKε. c-Jun and c-Fos bound to consensus DNA sites and thereby completed an AP-1 transcriptional complex and induced expression of CXCL2 and IL-6. These results suggest that Syk plays a key role in TLR4-mediated macrophage responses to host-generated ligands, like mmLDL, with subsequent activation of an AP-1 transcription program.&quot;,&quot;publisher&quot;:&quot;Public Library of Science&quot;,&quot;issue&quot;:&quot;2&quot;,&quot;volume&quot;:&quot;7&quot;},&quot;isTemporary&quot;:false}],&quot;properties&quot;:{&quot;noteIndex&quot;:0},&quot;isEdited&quot;:false,&quot;manualOverride&quot;:{&quot;isManuallyOverriden&quot;:false,&quot;citeprocText&quot;:&quot;(Choi &lt;i&gt;et al.&lt;/i&gt;, 2012; Chávez-Sánchez &lt;i&gt;et al.&lt;/i&gt;, 2014)&quot;,&quot;manualOverrideText&quot;:&quot;&quot;},&quot;citationTag&quot;:&quot;MENDELEY_CITATION_v3_eyJjaXRhdGlvbklEIjoiTUVOREVMRVlfQ0lUQVRJT05fYzEzOWU1YmEtNGZmMC00NDY3LTg2OWMtOGE2ODVjOTNjY2Fl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&quot;},{&quot;citationID&quot;:&quot;MENDELEY_CITATION_78b23b03-b33f-4257-afcc-6e3005864c46&quot;,&quot;citationItems&quot;:[{&quot;id&quot;:&quot;dba944cb-0b58-32c2-8220-c112bd72b4aa&quot;,&quot;itemData&quot;:{&quot;type&quot;:&quot;article-journal&quot;,&quot;id&quot;:&quot;dba944cb-0b58-32c2-8220-c112bd72b4aa&quot;,&quot;title&quot;:&quot;A novel method for production of lipid hydroperoxide- or oxysterol-rich low-density lipoprotein.&quot;,&quot;author&quot;:[{&quot;family&quot;:&quot;Gerry&quot;,&quot;given&quot;:&quot;Andrew B&quot;,&quot;parse-names&quot;:false,&quot;dropping-particle&quot;:&quot;&quot;,&quot;non-dropping-particle&quot;:&quot;&quot;},{&quot;family&quot;:&quot;Satchell&quot;,&quot;given&quot;:&quot;Leanne&quot;,&quot;parse-names&quot;:false,&quot;dropping-particle&quot;:&quot;&quot;,&quot;non-dropping-particle&quot;:&quot;&quot;},{&quot;family&quot;:&quot;Leake&quot;,&quot;given&quot;:&quot;David S&quot;,&quot;parse-names&quot;:false,&quot;dropping-particle&quot;:&quot;&quot;,&quot;non-dropping-particle&quot;:&quot;&quot;}],&quot;container-title&quot;:&quot;Atherosclerosis&quot;,&quot;accessed&quot;:{&quot;date-parts&quot;:[[2018,4,5]]},&quot;DOI&quot;:&quot;10.1016/j.atherosclerosis.2007.08.026&quot;,&quot;ISSN&quot;:&quot;1879-1484&quot;,&quot;PMID&quot;:&quot;17945239&quot;,&quot;URL&quot;:&quot;http://www.ncbi.nlm.nih.gov/pubmed/17945239&quot;,&quot;issued&quot;:{&quot;date-parts&quot;:[[2008,4,1]]},&quot;page&quot;:&quot;579-87&quot;,&quot;abstract&quot;:&quot;LDL oxidation may be important in atherosclerosis. Extensive oxidation of LDL by copper induces increased uptake by macrophages, but results in decomposition of hydroperoxides, making it more difficult to investigate the effects of hydroperoxides in oxidised LDL on cell function. We describe here a simple method of oxidising LDL by dialysis against copper ions at 4 degrees C, which inhibits the decomposition of hydroperoxides, and allows the production of LDL rich in hydroperoxides (626+/-98 nmol/mg LDL protein) but low in oxysterols (3+/-1 nmol 7-ketocholesterol/mg LDL protein), whilst allowing sufficient modification (2.6+/-0.5 relative electrophoretic mobility) for rapid uptake by macrophages (5.49+/-0.75 microg (125)I-labelled hydroperoxide-rich LDL vs. 0.46+/-0.04 microg protein/mg cell protein in 18 h for native LDL). By dialysing under the same conditions, but at 37 degrees C, the hydroperoxides are decomposed extensively and the LDL becomes rich in oxysterols. This novel method of oxidising LDL with high yield to either a hydroperoxide- or oxysterol-rich form by simply altering the temperature of dialysis may provide a useful tool for determining the effects of these different oxidation products on cell function.&quot;,&quot;publisher&quot;:&quot;Elsevier&quot;,&quot;issue&quot;:&quot;2&quot;,&quot;volume&quot;:&quot;197&quot;},&quot;isTemporary&quot;:false}],&quot;properties&quot;:{&quot;noteIndex&quot;:0},&quot;isEdited&quot;:false,&quot;manualOverride&quot;:{&quot;isManuallyOverriden&quot;:false,&quot;citeprocText&quot;:&quot;(Gerry, Satchell and Leake, 2008)&quot;,&quot;manualOverrideText&quot;:&quot;&quot;},&quot;citationTag&quot;:&quot;MENDELEY_CITATION_v3_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&quot;},{&quot;citationID&quot;:&quot;MENDELEY_CITATION_495c8513-afca-4173-bf69-6c65f426acc9&quot;,&quot;citationItems&quot;:[{&quot;id&quot;:&quot;20b5d470-7ba7-349c-b30c-97e137a4a365&quot;,&quot;itemData&quot;:{&quot;type&quot;:&quot;article-journal&quot;,&quot;id&quot;:&quot;20b5d470-7ba7-349c-b30c-97e137a4a365&quot;,&quot;title&quot;:&quot;The role of TLR2, TLR4 and CD36 in macrophage activation and foam cell formation in response to oxLDL in humans&quot;,&quot;author&quot;:[{&quot;family&quot;:&quot;Chávez-Sánchez&quot;,&quot;given&quot;:&quot;Luis&quot;,&quot;parse-names&quot;:false,&quot;dropping-particle&quot;:&quot;&quot;,&quot;non-dropping-particle&quot;:&quot;&quot;},{&quot;family&quot;:&quot;Garza-Reyes&quot;,&quot;given&quot;:&quot;Montserrat Guadalupe&quot;,&quot;parse-names&quot;:false,&quot;dropping-particle&quot;:&quot;&quot;,&quot;non-dropping-particle&quot;:&quot;&quot;},{&quot;family&quot;:&quot;Espinosa-Luna&quot;,&quot;given&quot;:&quot;José Esteban&quot;,&quot;parse-names&quot;:false,&quot;dropping-particle&quot;:&quot;&quot;,&quot;non-dropping-particle&quot;:&quot;&quot;},{&quot;family&quot;:&quot;Chávez-Rueda&quot;,&quot;given&quot;:&quot;Karina&quot;,&quot;parse-names&quot;:false,&quot;dropping-particle&quot;:&quot;&quot;,&quot;non-dropping-particle&quot;:&quot;&quot;},{&quot;family&quot;:&quot;Legorreta-Haquet&quot;,&quot;given&quot;:&quot;María Victoria&quot;,&quot;parse-names&quot;:false,&quot;dropping-particle&quot;:&quot;&quot;,&quot;non-dropping-particle&quot;:&quot;&quot;},{&quot;family&quot;:&quot;Blanco-Favela&quot;,&quot;given&quot;:&quot;Francisco&quot;,&quot;parse-names&quot;:false,&quot;dropping-particle&quot;:&quot;&quot;,&quot;non-dropping-particle&quot;:&quot;&quot;}],&quot;container-title&quot;:&quot;Human Immunology&quot;,&quot;accessed&quot;:{&quot;date-parts&quot;:[[2018,4,5]]},&quot;DOI&quot;:&quot;10.1016/J.HUMIMM.2014.01.012&quot;,&quot;ISSN&quot;:&quot;0198-8859&quot;,&quot;URL&quot;:&quot;https://www.sciencedirect.com/science/article/pii/S0198885914000202&quot;,&quot;issued&quot;:{&quot;date-parts&quot;:[[2014,4,1]]},&quot;page&quot;:&quot;322-329&quot;,&quot;abstract&quot;:&quot;Toll-like receptor (TLR)2, TLR4 and CD36 are central in inflammation and the development of atherosclerosis. Oxidized low-density lipoprotein (oxLDL) plays a critical role in this disease through its involvement in the formation of foam cells and the activation of leukocytes. The aim of this research was to analyze the role of TLR2, TLR4 and CD36 in foam cell differentiation and macrophage activation. \n\nMETHODS\nHuman macrophages were incubated with monoclonal antibodies specific for TLR2, TLR4 and CD36 prior to stimulation with oxLDL. Subsequently, we analyzed foam cell formation, cytokine secretion, histocompatibility complex (MHC) class II molecules and CD86 expression and T cell proliferation. \n\nRESULTS\nThe stimulation of macrophages with oxLDL induced foam cell formation, cytokine secretion, HLA-DR and CD86 expression and T cell proliferation. The blockage of TLR2, TLR4 and CD36 reduced the secretion of IL-1β, IL-6 and IL-8, the expression of HLA-DR and CD86, T cell proliferation and foam cell formation. However, the blockage of TLR2 did not affect the formation of foam cells. \n\nCONCLUSION\nOur study demonstrates that TLR2, TLR4 and CD36 participate in the immune response to oxLDL by inducing an increase in pro-inflammatory cytokines, the expression HLA-DR and CD86 and the proliferation of T cells. However, TLR2 does not participate in the formation of foam cells, while TLR4 and CD36 play a relevant role in this process. These findings suggest that the activation of these receptors by oxLDL contributes to the pathogenesis of atherosclerosis.&quot;,&quot;publisher&quot;:&quot;Elsevier&quot;,&quot;issue&quot;:&quot;4&quot;,&quot;volume&quot;:&quot;75&quot;},&quot;isTemporary&quot;:false},{&quot;id&quot;:&quot;1e911aa6-658e-3ddf-9fb2-c5faff8d3345&quot;,&quot;itemData&quot;:{&quot;type&quot;:&quot;article-journal&quot;,&quot;id&quot;:&quot;1e911aa6-658e-3ddf-9fb2-c5faff8d3345&quot;,&quot;title&quot;:&quot;The SYK side of TLR4: signalling mechanisms in response to LPS and minimally oxidized LDL&quot;,&quot;author&quot;:[{&quot;family&quot;:&quot;Miller&quot;,&quot;given&quot;:&quot;Yury I&quot;,&quot;parse-names&quot;:false,&quot;dropping-particle&quot;:&quot;&quot;,&quot;non-dropping-particle&quot;:&quot;&quot;},{&quot;family&quot;:&quot;Choi&quot;,&quot;given&quot;:&quot;Soo-Ho&quot;,&quot;parse-names&quot;:false,&quot;dropping-particle&quot;:&quot;&quot;,&quot;non-dropping-particle&quot;:&quot;&quot;},{&quot;family&quot;:&quot;Wiesner&quot;,&quot;given&quot;:&quot;Philipp&quot;,&quot;parse-names&quot;:false,&quot;dropping-particle&quot;:&quot;&quot;,&quot;non-dropping-particle&quot;:&quot;&quot;},{&quot;family&quot;:&quot;Bae&quot;,&quot;given&quot;:&quot;Yun Soo&quot;,&quot;parse-names&quot;:false,&quot;dropping-particle&quot;:&quot;&quot;,&quot;non-dropping-particle&quot;:&quot;&quot;}],&quot;container-title&quot;:&quot;British Journal of Pharmacology&quot;,&quot;accessed&quot;:{&quot;date-parts&quot;:[[2018,3,8]]},&quot;DOI&quot;:&quot;10.1111/j.1476-5381.2012.02097.x&quot;,&quot;ISSN&quot;:&quot;00071188&quot;,&quot;URL&quot;:&quot;http://doi.wiley.com/10.1111/j.1476-5381.2012.02097.x&quot;,&quot;issued&quot;:{&quot;date-parts&quot;:[[2012,11,1]]},&quot;page&quot;:&quot;990-999&quot;,&quot;publisher&quot;:&quot;Blackwell Publishing Ltd&quot;,&quot;issue&quot;:&quot;5&quot;,&quot;volume&quot;:&quot;167&quot;},&quot;isTemporary&quot;:false}],&quot;properties&quot;:{&quot;noteIndex&quot;:0},&quot;isEdited&quot;:false,&quot;manualOverride&quot;:{&quot;isManuallyOverriden&quot;:false,&quot;citeprocText&quot;:&quot;(Miller &lt;i&gt;et al.&lt;/i&gt;, 2012; Chávez-Sánchez &lt;i&gt;et al.&lt;/i&gt;, 2014)&quot;,&quot;manualOverrideText&quot;:&quot;&quot;},&quot;citationTag&quot;:&quot;MENDELEY_CITATION_v3_eyJjaXRhdGlvbklEIjoiTUVOREVMRVlfQ0lUQVRJT05fNDk1Yzg1MTMtYWZjYS00MTczLWJmNjktNmM2NWY0MjZhY2M5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&quot;},{&quot;citationID&quot;:&quot;MENDELEY_CITATION_a9545cc3-c5dd-4aea-a83c-748f3ce12bff&quot;,&quot;citationItems&quot;:[{&quot;id&quot;:&quot;97e71282-82f1-3ca3-b2d8-f60037dd74aa&quot;,&quot;itemData&quot;:{&quot;type&quot;:&quot;article-journal&quot;,&quot;id&quot;:&quot;97e71282-82f1-3ca3-b2d8-f60037dd74aa&quot;,&quot;title&quot;:&quot;Puerarin Inhibits oxLDL-Induced Macrophage Activation and Foam Cell Formation in Human THP1 Macrophage&quot;,&quot;author&quot;:[{&quot;family&quot;:&quot;Zhang&quot;,&quot;given&quot;:&quot;Heng&quot;,&quot;parse-names&quot;:false,&quot;dropping-particle&quot;:&quot;&quot;,&quot;non-dropping-particle&quot;:&quot;&quot;},{&quot;family&quot;:&quot;Zhai&quot;,&quot;given&quot;:&quot;Zhenhua&quot;,&quot;parse-names&quot;:false,&quot;dropping-particle&quot;:&quot;&quot;,&quot;non-dropping-particle&quot;:&quot;&quot;},{&quot;family&quot;:&quot;Zhou&quot;,&quot;given&quot;:&quot;Hongyu&quot;,&quot;parse-names&quot;:false,&quot;dropping-particle&quot;:&quot;&quot;,&quot;non-dropping-particle&quot;:&quot;&quot;},{&quot;family&quot;:&quot;Li&quot;,&quot;given&quot;:&quot;Yao&quot;,&quot;parse-names&quot;:false,&quot;dropping-particle&quot;:&quot;&quot;,&quot;non-dropping-particle&quot;:&quot;&quot;},{&quot;family&quot;:&quot;Li&quot;,&quot;given&quot;:&quot;Xiaojie&quot;,&quot;parse-names&quot;:false,&quot;dropping-particle&quot;:&quot;&quot;,&quot;non-dropping-particle&quot;:&quot;&quot;},{&quot;family&quot;:&quot;Lin&quot;,&quot;given&quot;:&quot;Yuhan&quot;,&quot;parse-names&quot;:false,&quot;dropping-particle&quot;:&quot;&quot;,&quot;non-dropping-particle&quot;:&quot;&quot;},{&quot;family&quot;:&quot;Li&quot;,&quot;given&quot;:&quot;Weihong&quot;,&quot;parse-names&quot;:false,&quot;dropping-particle&quot;:&quot;&quot;,&quot;non-dropping-particle&quot;:&quot;&quot;},{&quot;family&quot;:&quot;Shi&quot;,&quot;given&quot;:&quot;Yueping&quot;,&quot;parse-names&quot;:false,&quot;dropping-particle&quot;:&quot;&quot;,&quot;non-dropping-particle&quot;:&quot;&quot;},{&quot;family&quot;:&quot;Zhou&quot;,&quot;given&quot;:&quot;Ming-Sheng&quot;,&quot;parse-names&quot;:false,&quot;dropping-particle&quot;:&quot;&quot;,&quot;non-dropping-particle&quot;:&quot;&quot;}],&quot;container-title&quot;:&quot;BioMed Research International&quot;,&quot;accessed&quot;:{&quot;date-parts&quot;:[[2018,4,5]]},&quot;DOI&quot;:&quot;10.1155/2015/403616&quot;,&quot;ISSN&quot;:&quot;2314-6133&quot;,&quot;URL&quot;:&quot;http://www.hindawi.com/journals/bmri/2015/403616/&quot;,&quot;issued&quot;:{&quot;date-parts&quot;:[[2015,10,21]]},&quot;page&quot;:&quot;1-8&quot;,&quot;abstract&quot;:&quot;&lt;p&gt; Puerarin, an isoflavone derived from Kudzu roots, has been widely used for treatment of cardiovascular and cerebral vascular diseases in China and other Asian countries. However, the underlying mechanisms are largely unknown. The present study investigated whether puerarin inhibited atherogenic lipid oxLDL-mediated macrophage activation and foam cell formation in human THP1 macrophage. Treatment with oxLDL significantly increased the mRNA expression of proinflammatory cytokines tumor necrosis factor &lt;italic&gt;α&lt;/italic&gt; (TNF &lt;italic&gt;α&lt;/italic&gt; , 160%) and interleukin (IL) 1 &lt;italic&gt;β&lt;/italic&gt; (13 fold) accompanied by upregulation of toll-like receptor 4 (TLR4, 165%) and the ratio of phospho-I &lt;italic&gt;κ&lt;/italic&gt; B &lt;italic&gt;α&lt;/italic&gt; /I &lt;italic&gt;κ&lt;/italic&gt; B &lt;italic&gt;α&lt;/italic&gt; in THP1 macrophage. Puerarin dose-dependently prevented an increase in oxLDL-induced proinflammatory gene expression with downregulation of TLR4 and the ratio of phospho-I &lt;italic&gt;κ&lt;/italic&gt; B &lt;italic&gt;α&lt;/italic&gt; /I &lt;italic&gt;κ&lt;/italic&gt; B &lt;italic&gt;α&lt;/italic&gt; . Furthermore, puerarin prevented oxLDL-mediated lipid deposition and foam cell formation associated with downregulation of scavenger receptor CD36. Flow cytometry analysis showed that puerarin reduced the number of early apoptotic cells of macrophages induced by oxLDL. Our results show that puerarin has anti-inflammatory and antiatherogenic effects in vitro; the underlying mechanisms may involve the inhibition of TLR4/NF &lt;italic&gt;κ&lt;/italic&gt; B pathway and downregulation of CD36 expression. The results from the present study provide scientific evidence and may expand our armamentarium to use puerarin for prevention and treatment of cardiovascular and atherosclerotic diseases. &lt;/p&gt;&quot;,&quot;publisher&quot;:&quot;Hindawi&quot;,&quot;volume&quot;:&quot;2015&quot;},&quot;isTemporary&quot;:false}],&quot;properties&quot;:{&quot;noteIndex&quot;:0},&quot;isEdited&quot;:false,&quot;manualOverride&quot;:{&quot;isManuallyOverriden&quot;:false,&quot;citeprocText&quot;:&quot;(Zhang &lt;i&gt;et al.&lt;/i&gt;, 2015)&quot;,&quot;manualOverrideText&quot;:&quot;&quot;},&quot;citationTag&quot;:&quot;MENDELEY_CITATION_v3_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&quot;},{&quot;citationID&quot;:&quot;MENDELEY_CITATION_e3fc1fd2-c43d-4fb6-b0fd-050676b83da6&quot;,&quot;citationItems&quot;:[{&quot;id&quot;:&quot;20b5d470-7ba7-349c-b30c-97e137a4a365&quot;,&quot;itemData&quot;:{&quot;type&quot;:&quot;article-journal&quot;,&quot;id&quot;:&quot;20b5d470-7ba7-349c-b30c-97e137a4a365&quot;,&quot;title&quot;:&quot;The role of TLR2, TLR4 and CD36 in macrophage activation and foam cell formation in response to oxLDL in humans&quot;,&quot;author&quot;:[{&quot;family&quot;:&quot;Chávez-Sánchez&quot;,&quot;given&quot;:&quot;Luis&quot;,&quot;parse-names&quot;:false,&quot;dropping-particle&quot;:&quot;&quot;,&quot;non-dropping-particle&quot;:&quot;&quot;},{&quot;family&quot;:&quot;Garza-Reyes&quot;,&quot;given&quot;:&quot;Montserrat Guadalupe&quot;,&quot;parse-names&quot;:false,&quot;dropping-particle&quot;:&quot;&quot;,&quot;non-dropping-particle&quot;:&quot;&quot;},{&quot;family&quot;:&quot;Espinosa-Luna&quot;,&quot;given&quot;:&quot;José Esteban&quot;,&quot;parse-names&quot;:false,&quot;dropping-particle&quot;:&quot;&quot;,&quot;non-dropping-particle&quot;:&quot;&quot;},{&quot;family&quot;:&quot;Chávez-Rueda&quot;,&quot;given&quot;:&quot;Karina&quot;,&quot;parse-names&quot;:false,&quot;dropping-particle&quot;:&quot;&quot;,&quot;non-dropping-particle&quot;:&quot;&quot;},{&quot;family&quot;:&quot;Legorreta-Haquet&quot;,&quot;given&quot;:&quot;María Victoria&quot;,&quot;parse-names&quot;:false,&quot;dropping-particle&quot;:&quot;&quot;,&quot;non-dropping-particle&quot;:&quot;&quot;},{&quot;family&quot;:&quot;Blanco-Favela&quot;,&quot;given&quot;:&quot;Francisco&quot;,&quot;parse-names&quot;:false,&quot;dropping-particle&quot;:&quot;&quot;,&quot;non-dropping-particle&quot;:&quot;&quot;}],&quot;container-title&quot;:&quot;Human Immunology&quot;,&quot;accessed&quot;:{&quot;date-parts&quot;:[[2018,4,5]]},&quot;DOI&quot;:&quot;10.1016/J.HUMIMM.2014.01.012&quot;,&quot;ISSN&quot;:&quot;0198-8859&quot;,&quot;URL&quot;:&quot;https://www.sciencedirect.com/science/article/pii/S0198885914000202&quot;,&quot;issued&quot;:{&quot;date-parts&quot;:[[2014,4,1]]},&quot;page&quot;:&quot;322-329&quot;,&quot;abstract&quot;:&quot;Toll-like receptor (TLR)2, TLR4 and CD36 are central in inflammation and the development of atherosclerosis. Oxidized low-density lipoprotein (oxLDL) plays a critical role in this disease through its involvement in the formation of foam cells and the activation of leukocytes. The aim of this research was to analyze the role of TLR2, TLR4 and CD36 in foam cell differentiation and macrophage activation. \n\nMETHODS\nHuman macrophages were incubated with monoclonal antibodies specific for TLR2, TLR4 and CD36 prior to stimulation with oxLDL. Subsequently, we analyzed foam cell formation, cytokine secretion, histocompatibility complex (MHC) class II molecules and CD86 expression and T cell proliferation. \n\nRESULTS\nThe stimulation of macrophages with oxLDL induced foam cell formation, cytokine secretion, HLA-DR and CD86 expression and T cell proliferation. The blockage of TLR2, TLR4 and CD36 reduced the secretion of IL-1β, IL-6 and IL-8, the expression of HLA-DR and CD86, T cell proliferation and foam cell formation. However, the blockage of TLR2 did not affect the formation of foam cells. \n\nCONCLUSION\nOur study demonstrates that TLR2, TLR4 and CD36 participate in the immune response to oxLDL by inducing an increase in pro-inflammatory cytokines, the expression HLA-DR and CD86 and the proliferation of T cells. However, TLR2 does not participate in the formation of foam cells, while TLR4 and CD36 play a relevant role in this process. These findings suggest that the activation of these receptors by oxLDL contributes to the pathogenesis of atherosclerosis.&quot;,&quot;publisher&quot;:&quot;Elsevier&quot;,&quot;issue&quot;:&quot;4&quot;,&quot;volume&quot;:&quot;75&quot;},&quot;isTemporary&quot;:false}],&quot;properties&quot;:{&quot;noteIndex&quot;:0},&quot;isEdited&quot;:false,&quot;manualOverride&quot;:{&quot;isManuallyOverriden&quot;:false,&quot;citeprocText&quot;:&quot;(Chávez-Sánchez &lt;i&gt;et al.&lt;/i&gt;, 2014)&quot;,&quot;manualOverrideText&quot;:&quot;&quot;},&quot;citationTag&quot;:&quot;MENDELEY_CITATION_v3_eyJjaXRhdGlvbklEIjoiTUVOREVMRVlfQ0lUQVRJT05fZTNmYzFmZDItYzQzZC00ZmI2LWIwZmQtMDUwNjc2YjgzZGE2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V0sInByb3BlcnRpZXMiOnsibm90ZUluZGV4IjowfSwiaXNFZGl0ZWQiOmZhbHNlLCJtYW51YWxPdmVycmlkZSI6eyJpc01hbnVhbGx5T3ZlcnJpZGVuIjpmYWxzZSwiY2l0ZXByb2NUZXh0IjoiKENow6F2ZXotU8OhbmNoZXogPGk+ZXQgYWwuPC9pPiwgMjAxNCkiLCJtYW51YWxPdmVycmlkZVRleHQiOiIifX0=&quot;},{&quot;citationID&quot;:&quot;MENDELEY_CITATION_b1cf5e9e-2cf7-4e37-bf57-7a130379b392&quot;,&quot;citationItems&quot;:[{&quot;id&quot;:&quot;20b5d470-7ba7-349c-b30c-97e137a4a365&quot;,&quot;itemData&quot;:{&quot;type&quot;:&quot;article-journal&quot;,&quot;id&quot;:&quot;20b5d470-7ba7-349c-b30c-97e137a4a365&quot;,&quot;title&quot;:&quot;The role of TLR2, TLR4 and CD36 in macrophage activation and foam cell formation in response to oxLDL in humans&quot;,&quot;author&quot;:[{&quot;family&quot;:&quot;Chávez-Sánchez&quot;,&quot;given&quot;:&quot;Luis&quot;,&quot;parse-names&quot;:false,&quot;dropping-particle&quot;:&quot;&quot;,&quot;non-dropping-particle&quot;:&quot;&quot;},{&quot;family&quot;:&quot;Garza-Reyes&quot;,&quot;given&quot;:&quot;Montserrat Guadalupe&quot;,&quot;parse-names&quot;:false,&quot;dropping-particle&quot;:&quot;&quot;,&quot;non-dropping-particle&quot;:&quot;&quot;},{&quot;family&quot;:&quot;Espinosa-Luna&quot;,&quot;given&quot;:&quot;José Esteban&quot;,&quot;parse-names&quot;:false,&quot;dropping-particle&quot;:&quot;&quot;,&quot;non-dropping-particle&quot;:&quot;&quot;},{&quot;family&quot;:&quot;Chávez-Rueda&quot;,&quot;given&quot;:&quot;Karina&quot;,&quot;parse-names&quot;:false,&quot;dropping-particle&quot;:&quot;&quot;,&quot;non-dropping-particle&quot;:&quot;&quot;},{&quot;family&quot;:&quot;Legorreta-Haquet&quot;,&quot;given&quot;:&quot;María Victoria&quot;,&quot;parse-names&quot;:false,&quot;dropping-particle&quot;:&quot;&quot;,&quot;non-dropping-particle&quot;:&quot;&quot;},{&quot;family&quot;:&quot;Blanco-Favela&quot;,&quot;given&quot;:&quot;Francisco&quot;,&quot;parse-names&quot;:false,&quot;dropping-particle&quot;:&quot;&quot;,&quot;non-dropping-particle&quot;:&quot;&quot;}],&quot;container-title&quot;:&quot;Human Immunology&quot;,&quot;accessed&quot;:{&quot;date-parts&quot;:[[2018,4,5]]},&quot;DOI&quot;:&quot;10.1016/J.HUMIMM.2014.01.012&quot;,&quot;ISSN&quot;:&quot;0198-8859&quot;,&quot;URL&quot;:&quot;https://www.sciencedirect.com/science/article/pii/S0198885914000202&quot;,&quot;issued&quot;:{&quot;date-parts&quot;:[[2014,4,1]]},&quot;page&quot;:&quot;322-329&quot;,&quot;abstract&quot;:&quot;Toll-like receptor (TLR)2, TLR4 and CD36 are central in inflammation and the development of atherosclerosis. Oxidized low-density lipoprotein (oxLDL) plays a critical role in this disease through its involvement in the formation of foam cells and the activation of leukocytes. The aim of this research was to analyze the role of TLR2, TLR4 and CD36 in foam cell differentiation and macrophage activation. \n\nMETHODS\nHuman macrophages were incubated with monoclonal antibodies specific for TLR2, TLR4 and CD36 prior to stimulation with oxLDL. Subsequently, we analyzed foam cell formation, cytokine secretion, histocompatibility complex (MHC) class II molecules and CD86 expression and T cell proliferation. \n\nRESULTS\nThe stimulation of macrophages with oxLDL induced foam cell formation, cytokine secretion, HLA-DR and CD86 expression and T cell proliferation. The blockage of TLR2, TLR4 and CD36 reduced the secretion of IL-1β, IL-6 and IL-8, the expression of HLA-DR and CD86, T cell proliferation and foam cell formation. However, the blockage of TLR2 did not affect the formation of foam cells. \n\nCONCLUSION\nOur study demonstrates that TLR2, TLR4 and CD36 participate in the immune response to oxLDL by inducing an increase in pro-inflammatory cytokines, the expression HLA-DR and CD86 and the proliferation of T cells. However, TLR2 does not participate in the formation of foam cells, while TLR4 and CD36 play a relevant role in this process. These findings suggest that the activation of these receptors by oxLDL contributes to the pathogenesis of atherosclerosis.&quot;,&quot;publisher&quot;:&quot;Elsevier&quot;,&quot;issue&quot;:&quot;4&quot;,&quot;volume&quot;:&quot;75&quot;},&quot;isTemporary&quot;:false}],&quot;properties&quot;:{&quot;noteIndex&quot;:0},&quot;isEdited&quot;:false,&quot;manualOverride&quot;:{&quot;isManuallyOverriden&quot;:false,&quot;citeprocText&quot;:&quot;(Chávez-Sánchez &lt;i&gt;et al.&lt;/i&gt;, 2014)&quot;,&quot;manualOverrideText&quot;:&quot;&quot;},&quot;citationTag&quot;:&quot;MENDELEY_CITATION_v3_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&quot;},{&quot;citationID&quot;:&quot;MENDELEY_CITATION_7213457f-8c48-4765-884b-bb781db1b027&quot;,&quot;citationItems&quot;:[{&quot;id&quot;:&quot;02f21ea0-cb6e-3204-b3a8-66cbdca21e97&quot;,&quot;itemData&quot;:{&quot;type&quot;:&quot;article-journal&quot;,&quot;id&quot;:&quot;02f21ea0-cb6e-3204-b3a8-66cbdca21e97&quot;,&quot;title&quot;:&quot;Spleen Tyrosine Kinase Regulates AP-1 Dependent Transcriptional Response to Minimally Oxidized LDL&quot;,&quot;author&quot;:[{&quot;family&quot;:&quot;Choi&quot;,&quot;given&quot;:&quot;Soo-Ho&quot;,&quot;parse-names&quot;:false,&quot;dropping-particle&quot;:&quot;&quot;,&quot;non-dropping-particle&quot;:&quot;&quot;},{&quot;family&quot;:&quot;Wiesner&quot;,&quot;given&quot;:&quot;Philipp&quot;,&quot;parse-names&quot;:false,&quot;dropping-particle&quot;:&quot;&quot;,&quot;non-dropping-particle&quot;:&quot;&quot;},{&quot;family&quot;:&quot;Almazan&quot;,&quot;given&quot;:&quot;Felicidad&quot;,&quot;parse-names&quot;:false,&quot;dropping-particle&quot;:&quot;&quot;,&quot;non-dropping-particle&quot;:&quot;&quot;},{&quot;family&quot;:&quot;Kim&quot;,&quot;given&quot;:&quot;Jungsu&quot;,&quot;parse-names&quot;:false,&quot;dropping-particle&quot;:&quot;&quot;,&quot;non-dropping-particle&quot;:&quot;&quot;},{&quot;family&quot;:&quot;Miller&quot;,&quot;given&quot;:&quot;Yury I.&quot;,&quot;parse-names&quot;:false,&quot;dropping-particle&quot;:&quot;&quot;,&quot;non-dropping-particle&quot;:&quot;&quot;}],&quot;container-title&quot;:&quot;PLoS ONE&quot;,&quot;accessed&quot;:{&quot;date-parts&quot;:[[2018,4,20]]},&quot;editor&quot;:[{&quot;family&quot;:&quot;Ojcius&quot;,&quot;given&quot;:&quot;David M.&quot;,&quot;parse-names&quot;:false,&quot;dropping-particle&quot;:&quot;&quot;,&quot;non-dropping-particle&quot;:&quot;&quot;}],&quot;DOI&quot;:&quot;10.1371/journal.pone.0032378&quot;,&quot;ISSN&quot;:&quot;1932-6203&quot;,&quot;URL&quot;:&quot;http://dx.plos.org/10.1371/journal.pone.0032378&quot;,&quot;issued&quot;:{&quot;date-parts&quot;:[[2012,2,22]]},&quot;page&quot;:&quot;e32378&quot;,&quot;abstract&quot;:&quot;Oxidative modification of low-density lipoprotein (LDL) turns it into an endogenous ligand recognized by pattern-recognition receptors. We have demonstrated that minimally oxidized LDL (mmLDL) binds to CD14 and mediates TLR4/MD-2-dependent responses in macrophages, many of which are MyD88-independent. We have also demonstrated that the mmLDL activation leads to recruitment of spleen tyrosine kinase (Syk) to TLR4 and TLR4 and Syk phosphorylation. In this study, we produced a macrophage-specific Syk knockout mouse and used primary Syk−/− macrophages in our studies. We demonstrated that Syk mediated phosphorylation of ERK1/2 and JNK, which in turn phosphorylated c-Fos and c-Jun, respectively, as assessed by an in vitro kinase assay. c-Jun phosphorylation was also mediated by IKKε. c-Jun and c-Fos bound to consensus DNA sites and thereby completed an AP-1 transcriptional complex and induced expression of CXCL2 and IL-6. These results suggest that Syk plays a key role in TLR4-mediated macrophage responses to host-generated ligands, like mmLDL, with subsequent activation of an AP-1 transcription program.&quot;,&quot;publisher&quot;:&quot;Public Library of Science&quot;,&quot;issue&quot;:&quot;2&quot;,&quot;volume&quot;:&quot;7&quot;},&quot;isTemporary&quot;:false},{&quot;id&quot;:&quot;97e71282-82f1-3ca3-b2d8-f60037dd74aa&quot;,&quot;itemData&quot;:{&quot;type&quot;:&quot;article-journal&quot;,&quot;id&quot;:&quot;97e71282-82f1-3ca3-b2d8-f60037dd74aa&quot;,&quot;title&quot;:&quot;Puerarin Inhibits oxLDL-Induced Macrophage Activation and Foam Cell Formation in Human THP1 Macrophage&quot;,&quot;author&quot;:[{&quot;family&quot;:&quot;Zhang&quot;,&quot;given&quot;:&quot;Heng&quot;,&quot;parse-names&quot;:false,&quot;dropping-particle&quot;:&quot;&quot;,&quot;non-dropping-particle&quot;:&quot;&quot;},{&quot;family&quot;:&quot;Zhai&quot;,&quot;given&quot;:&quot;Zhenhua&quot;,&quot;parse-names&quot;:false,&quot;dropping-particle&quot;:&quot;&quot;,&quot;non-dropping-particle&quot;:&quot;&quot;},{&quot;family&quot;:&quot;Zhou&quot;,&quot;given&quot;:&quot;Hongyu&quot;,&quot;parse-names&quot;:false,&quot;dropping-particle&quot;:&quot;&quot;,&quot;non-dropping-particle&quot;:&quot;&quot;},{&quot;family&quot;:&quot;Li&quot;,&quot;given&quot;:&quot;Yao&quot;,&quot;parse-names&quot;:false,&quot;dropping-particle&quot;:&quot;&quot;,&quot;non-dropping-particle&quot;:&quot;&quot;},{&quot;family&quot;:&quot;Li&quot;,&quot;given&quot;:&quot;Xiaojie&quot;,&quot;parse-names&quot;:false,&quot;dropping-particle&quot;:&quot;&quot;,&quot;non-dropping-particle&quot;:&quot;&quot;},{&quot;family&quot;:&quot;Lin&quot;,&quot;given&quot;:&quot;Yuhan&quot;,&quot;parse-names&quot;:false,&quot;dropping-particle&quot;:&quot;&quot;,&quot;non-dropping-particle&quot;:&quot;&quot;},{&quot;family&quot;:&quot;Li&quot;,&quot;given&quot;:&quot;Weihong&quot;,&quot;parse-names&quot;:false,&quot;dropping-particle&quot;:&quot;&quot;,&quot;non-dropping-particle&quot;:&quot;&quot;},{&quot;family&quot;:&quot;Shi&quot;,&quot;given&quot;:&quot;Yueping&quot;,&quot;parse-names&quot;:false,&quot;dropping-particle&quot;:&quot;&quot;,&quot;non-dropping-particle&quot;:&quot;&quot;},{&quot;family&quot;:&quot;Zhou&quot;,&quot;given&quot;:&quot;Ming-Sheng&quot;,&quot;parse-names&quot;:false,&quot;dropping-particle&quot;:&quot;&quot;,&quot;non-dropping-particle&quot;:&quot;&quot;}],&quot;container-title&quot;:&quot;BioMed Research International&quot;,&quot;accessed&quot;:{&quot;date-parts&quot;:[[2018,4,5]]},&quot;DOI&quot;:&quot;10.1155/2015/403616&quot;,&quot;ISSN&quot;:&quot;2314-6133&quot;,&quot;URL&quot;:&quot;http://www.hindawi.com/journals/bmri/2015/403616/&quot;,&quot;issued&quot;:{&quot;date-parts&quot;:[[2015,10,21]]},&quot;page&quot;:&quot;1-8&quot;,&quot;abstract&quot;:&quot;&lt;p&gt; Puerarin, an isoflavone derived from Kudzu roots, has been widely used for treatment of cardiovascular and cerebral vascular diseases in China and other Asian countries. However, the underlying mechanisms are largely unknown. The present study investigated whether puerarin inhibited atherogenic lipid oxLDL-mediated macrophage activation and foam cell formation in human THP1 macrophage. Treatment with oxLDL significantly increased the mRNA expression of proinflammatory cytokines tumor necrosis factor &lt;italic&gt;α&lt;/italic&gt; (TNF &lt;italic&gt;α&lt;/italic&gt; , 160%) and interleukin (IL) 1 &lt;italic&gt;β&lt;/italic&gt; (13 fold) accompanied by upregulation of toll-like receptor 4 (TLR4, 165%) and the ratio of phospho-I &lt;italic&gt;κ&lt;/italic&gt; B &lt;italic&gt;α&lt;/italic&gt; /I &lt;italic&gt;κ&lt;/italic&gt; B &lt;italic&gt;α&lt;/italic&gt; in THP1 macrophage. Puerarin dose-dependently prevented an increase in oxLDL-induced proinflammatory gene expression with downregulation of TLR4 and the ratio of phospho-I &lt;italic&gt;κ&lt;/italic&gt; B &lt;italic&gt;α&lt;/italic&gt; /I &lt;italic&gt;κ&lt;/italic&gt; B &lt;italic&gt;α&lt;/italic&gt; . Furthermore, puerarin prevented oxLDL-mediated lipid deposition and foam cell formation associated with downregulation of scavenger receptor CD36. Flow cytometry analysis showed that puerarin reduced the number of early apoptotic cells of macrophages induced by oxLDL. Our results show that puerarin has anti-inflammatory and antiatherogenic effects in vitro; the underlying mechanisms may involve the inhibition of TLR4/NF &lt;italic&gt;κ&lt;/italic&gt; B pathway and downregulation of CD36 expression. The results from the present study provide scientific evidence and may expand our armamentarium to use puerarin for prevention and treatment of cardiovascular and atherosclerotic diseases. &lt;/p&gt;&quot;,&quot;publisher&quot;:&quot;Hindawi&quot;,&quot;volume&quot;:&quot;2015&quot;},&quot;isTemporary&quot;:false}],&quot;properties&quot;:{&quot;noteIndex&quot;:0},&quot;isEdited&quot;:false,&quot;manualOverride&quot;:{&quot;isManuallyOverriden&quot;:false,&quot;citeprocText&quot;:&quot;(Choi &lt;i&gt;et al.&lt;/i&gt;, 2012; Zhang &lt;i&gt;et al.&lt;/i&gt;, 2015)&quot;,&quot;manualOverrideText&quot;:&quot;&quot;},&quot;citationTag&quot;:&quot;MENDELEY_CITATION_v3_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&quot;},{&quot;citationID&quot;:&quot;MENDELEY_CITATION_9f5a8c4c-7640-43a6-b8c1-f8f6536f9a6e&quot;,&quot;citationItems&quot;:[{&quot;id&quot;:&quot;aebd92d8-e0ef-3374-bbb2-db4e1f8bda52&quot;,&quot;itemData&quot;:{&quot;type&quot;:&quot;article-journal&quot;,&quot;id&quot;:&quot;aebd92d8-e0ef-3374-bbb2-db4e1f8bda52&quot;,&quot;title&quot;:&quot;Human MD-2 confers on mouse Toll-like receptor 4 species-specific lipopolysaccharide recognition&quot;,&quot;author&quot;:[{&quot;family&quot;:&quot;Akashi&quot;,&quot;given&quot;:&quot;Sachiko&quot;,&quot;parse-names&quot;:false,&quot;dropping-particle&quot;:&quot;&quot;,&quot;non-dropping-particle&quot;:&quot;&quot;},{&quot;family&quot;:&quot;Nagai&quot;,&quot;given&quot;:&quot;Yoshinori&quot;,&quot;parse-names&quot;:false,&quot;dropping-particle&quot;:&quot;&quot;,&quot;non-dropping-particle&quot;:&quot;&quot;},{&quot;family&quot;:&quot;Ogata&quot;,&quot;given&quot;:&quot;Hirotaka&quot;,&quot;parse-names&quot;:false,&quot;dropping-particle&quot;:&quot;&quot;,&quot;non-dropping-particle&quot;:&quot;&quot;},{&quot;family&quot;:&quot;Oikawa&quot;,&quot;given&quot;:&quot;Masato&quot;,&quot;parse-names&quot;:false,&quot;dropping-particle&quot;:&quot;&quot;,&quot;non-dropping-particle&quot;:&quot;&quot;},{&quot;family&quot;:&quot;Fukase&quot;,&quot;given&quot;:&quot;Koichi&quot;,&quot;parse-names&quot;:false,&quot;dropping-particle&quot;:&quot;&quot;,&quot;non-dropping-particle&quot;:&quot;&quot;},{&quot;family&quot;:&quot;Kusumoto&quot;,&quot;given&quot;:&quot;Shoichi&quot;,&quot;parse-names&quot;:false,&quot;dropping-particle&quot;:&quot;&quot;,&quot;non-dropping-particle&quot;:&quot;&quot;},{&quot;family&quot;:&quot;Kawasaki&quot;,&quot;given&quot;:&quot;Kiyoshi&quot;,&quot;parse-names&quot;:false,&quot;dropping-particle&quot;:&quot;&quot;,&quot;non-dropping-particle&quot;:&quot;&quot;},{&quot;family&quot;:&quot;Nishijima&quot;,&quot;given&quot;:&quot;Masahiro&quot;,&quot;parse-names&quot;:false,&quot;dropping-particle&quot;:&quot;&quot;,&quot;non-dropping-particle&quot;:&quot;&quot;},{&quot;family&quot;:&quot;Hayashi&quot;,&quot;given&quot;:&quot;Shinichiro&quot;,&quot;parse-names&quot;:false,&quot;dropping-particle&quot;:&quot;&quot;,&quot;non-dropping-particle&quot;:&quot;&quot;},{&quot;family&quot;:&quot;Kimoto&quot;,&quot;given&quot;:&quot;Masao&quot;,&quot;parse-names&quot;:false,&quot;dropping-particle&quot;:&quot;&quot;,&quot;non-dropping-particle&quot;:&quot;&quot;},{&quot;family&quot;:&quot;Miyake&quot;,&quot;given&quot;:&quot;Kensuke&quot;,&quot;parse-names&quot;:false,&quot;dropping-particle&quot;:&quot;&quot;,&quot;non-dropping-particle&quot;:&quot;&quot;}],&quot;container-title&quot;:&quot;International Immunology&quot;,&quot;accessed&quot;:{&quot;date-parts&quot;:[[2018,4,5]]},&quot;DOI&quot;:&quot;10.1093/intimm/13.12.1595&quot;,&quot;ISSN&quot;:&quot;1460-2377&quot;,&quot;URL&quot;:&quot;https://academic.oup.com/intimm/article-lookup/doi/10.1093/intimm/13.12.1595&quot;,&quot;issued&quot;:{&quot;date-parts&quot;:[[2001,12,1]]},&quot;page&quot;:&quot;1595-1599&quot;,&quot;publisher&quot;:&quot;Oxford University Press&quot;,&quot;issue&quot;:&quot;12&quot;,&quot;volume&quot;:&quot;13&quot;},&quot;isTemporary&quot;:false}],&quot;properties&quot;:{&quot;noteIndex&quot;:0},&quot;isEdited&quot;:false,&quot;manualOverride&quot;:{&quot;isManuallyOverriden&quot;:false,&quot;citeprocText&quot;:&quot;(Akashi &lt;i&gt;et al.&lt;/i&gt;, 2001)&quot;,&quot;manualOverrideText&quot;:&quot;&quot;},&quot;citationTag&quot;:&quot;MENDELEY_CITATION_v3_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&quot;},{&quot;citationID&quot;:&quot;MENDELEY_CITATION_db9c0117-a5b2-46fe-9774-a51c50fc1729&quot;,&quot;citationItems&quot;:[{&quot;id&quot;:&quot;6a0b14f7-d9ec-3d1b-9d07-88546ad1416c&quot;,&quot;itemData&quot;:{&quot;type&quot;:&quot;article-journal&quot;,&quot;id&quot;:&quot;6a0b14f7-d9ec-3d1b-9d07-88546ad1416c&quot;,&quot;title&quot;:&quot;Species and mediator specific TLR4 antagonism in primary human and murine immune cells by βGlcN(1 ↔ 1)αGlc based lipid A mimetics&quot;,&quot;author&quot;:[{&quot;family&quot;:&quot;Chebrolu&quot;,&quot;given&quot;:&quot;Chiranjeevi&quot;,&quot;parse-names&quot;:false,&quot;dropping-particle&quot;:&quot;&quot;,&quot;non-dropping-particle&quot;:&quot;&quot;},{&quot;family&quot;:&quot;Artner&quot;,&quot;given&quot;:&quot;Daniel&quot;,&quot;parse-names&quot;:false,&quot;dropping-particle&quot;:&quot;&quot;,&quot;non-dropping-particle&quot;:&quot;&quot;},{&quot;family&quot;:&quot;Sigmund&quot;,&quot;given&quot;:&quot;Anna M.&quot;,&quot;parse-names&quot;:false,&quot;dropping-particle&quot;:&quot;&quot;,&quot;non-dropping-particle&quot;:&quot;&quot;},{&quot;family&quot;:&quot;Buer&quot;,&quot;given&quot;:&quot;Jan&quot;,&quot;parse-names&quot;:false,&quot;dropping-particle&quot;:&quot;&quot;,&quot;non-dropping-particle&quot;:&quot;&quot;},{&quot;family&quot;:&quot;Zamyatina&quot;,&quot;given&quot;:&quot;Alla&quot;,&quot;parse-names&quot;:false,&quot;dropping-particle&quot;:&quot;&quot;,&quot;non-dropping-particle&quot;:&quot;&quot;},{&quot;family&quot;:&quot;Kirschning&quot;,&quot;given&quot;:&quot;Carsten J.&quot;,&quot;parse-names&quot;:false,&quot;dropping-particle&quot;:&quot;&quot;,&quot;non-dropping-particle&quot;:&quot;&quot;}],&quot;container-title&quot;:&quot;Molecular Immunology&quot;,&quot;accessed&quot;:{&quot;date-parts&quot;:[[2018,4,5]]},&quot;DOI&quot;:&quot;10.1016/J.MOLIMM.2015.07.037&quot;,&quot;ISSN&quot;:&quot;0161-5890&quot;,&quot;URL&quot;:&quot;https://www.sciencedirect.com/science/article/pii/S0161589015300456&quot;,&quot;issued&quot;:{&quot;date-parts&quot;:[[2015,10,1]]},&quot;page&quot;:&quot;636-641&quot;,&quot;abstract&quot;:&quot;Immune stimulatory pathogen associated molecular patterns (PAMPs) are major drivers of infection pathology. Infections with Gram-negative bacteria or negatively polar and single stranded RNA influenza virus are prominent causes of morbidity and mortality. Toll-like receptor (TLR) 4 is a major host sensor for both of the two infections. In order to inhibit TLR4 driven immune activation we recently developed synthetic tetra-acylated lipid A mimetics based on a conformationally restricted βGlcN(1↔1)αGlcN disaccharide scaffold (DA-compounds) that antagonized ectopically overexpressed human and murine TLR4/MD-2 complexes. Here we comparatively analyzed human peripheral blood mononuclear cell (hPBMC) and murine bone marrow derived macrophage (mBM) activation upon 30min of preincubation in vitro with six variably acylated DA-compounds. 16h subsequent to consequent LPS challenge, we sampled culture supernatants for cytokine and NO concentration analysis. Four compounds significantly inhibited release of both TNF and IL-6 by hPBMCs upon LPS challenge. In contrast, three compounds effectively inhibited mBM production of MIP-2 and KC, and even five of them inhibited IL-6 and NO production. LPS driven like other TLR ligand driven mBM TNF release was largely unimpaired. The inhibitory effect was specific in that Clo75 driven cytokine release by both hPBMCs and mBMs was unimpaired by the compounds analyzed. Our results indicate biological species specificity of LPS antagonism by variably tetraacylated lipid A mimetics and validate three out of six DA-antagonists as promising candidates for development of therapeutically applicable anti-inflammatory compounds.&quot;,&quot;publisher&quot;:&quot;Pergamon&quot;,&quot;issue&quot;:&quot;2&quot;,&quot;volume&quot;:&quot;67&quot;},&quot;isTemporary&quot;:false}],&quot;properties&quot;:{&quot;noteIndex&quot;:0},&quot;isEdited&quot;:false,&quot;manualOverride&quot;:{&quot;isManuallyOverriden&quot;:false,&quot;citeprocText&quot;:&quot;(Chebrolu &lt;i&gt;et al.&lt;/i&gt;, 2015)&quot;,&quot;manualOverrideText&quot;:&quot;&quot;},&quot;citationTag&quot;:&quot;MENDELEY_CITATION_v3_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&quot;},{&quot;citationID&quot;:&quot;MENDELEY_CITATION_f24ebefb-c0c1-41c8-96aa-b15befdc04e1&quot;,&quot;citationItems&quot;:[{&quot;id&quot;:&quot;3959bfab-8a4e-3533-abb9-8b8f4c84b816&quot;,&quot;itemData&quot;:{&quot;type&quot;:&quot;article-journal&quot;,&quot;id&quot;:&quot;3959bfab-8a4e-3533-abb9-8b8f4c84b816&quot;,&quot;title&quot;:&quot;Synthetic and natural small molecule TLR4 antagonists inhibit motoneuron death in cultures from ALS mouse model&quot;,&quot;author&quot;:[{&quot;family&quot;:&quot;Paola&quot;,&quot;given&quot;:&quot;Massimiliano&quot;,&quot;parse-names&quot;:false,&quot;dropping-particle&quot;:&quot;&quot;,&quot;non-dropping-particle&quot;:&quot;de&quot;},{&quot;family&quot;:&quot;Sestito&quot;,&quot;given&quot;:&quot;Stefania E.&quot;,&quot;parse-names&quot;:false,&quot;dropping-particle&quot;:&quot;&quot;,&quot;non-dropping-particle&quot;:&quot;&quot;},{&quot;family&quot;:&quot;Mariani&quot;,&quot;given&quot;:&quot;Alessandro&quot;,&quot;parse-names&quot;:false,&quot;dropping-particle&quot;:&quot;&quot;,&quot;non-dropping-particle&quot;:&quot;&quot;},{&quot;family&quot;:&quot;Memo&quot;,&quot;given&quot;:&quot;Christian&quot;,&quot;parse-names&quot;:false,&quot;dropping-particle&quot;:&quot;&quot;,&quot;non-dropping-particle&quot;:&quot;&quot;},{&quot;family&quot;:&quot;Fanelli&quot;,&quot;given&quot;:&quot;Roberto&quot;,&quot;parse-names&quot;:false,&quot;dropping-particle&quot;:&quot;&quot;,&quot;non-dropping-particle&quot;:&quot;&quot;},{&quot;family&quot;:&quot;Freschi&quot;,&quot;given&quot;:&quot;Mattia&quot;,&quot;parse-names&quot;:false,&quot;dropping-particle&quot;:&quot;&quot;,&quot;non-dropping-particle&quot;:&quot;&quot;},{&quot;family&quot;:&quot;Bendotti&quot;,&quot;given&quot;:&quot;Caterina&quot;,&quot;parse-names&quot;:false,&quot;dropping-particle&quot;:&quot;&quot;,&quot;non-dropping-particle&quot;:&quot;&quot;},{&quot;family&quot;:&quot;Calabrese&quot;,&quot;given&quot;:&quot;Valentina&quot;,&quot;parse-names&quot;:false,&quot;dropping-particle&quot;:&quot;&quot;,&quot;non-dropping-particle&quot;:&quot;&quot;},{&quot;family&quot;:&quot;Peri&quot;,&quot;given&quot;:&quot;Francesco&quot;,&quot;parse-names&quot;:false,&quot;dropping-particle&quot;:&quot;&quot;,&quot;non-dropping-particle&quot;:&quot;&quot;}],&quot;container-title&quot;:&quot;Pharmacological Research&quot;,&quot;accessed&quot;:{&quot;date-parts&quot;:[[2018,4,5]]},&quot;DOI&quot;:&quot;10.1016/J.PHRS.2015.11.020&quot;,&quot;ISSN&quot;:&quot;1043-6618&quot;,&quot;URL&quot;:&quot;https://www.sciencedirect.com/science/article/pii/S1043661815300049&quot;,&quot;issued&quot;:{&quot;date-parts&quot;:[[2016,1,1]]},&quot;page&quot;:&quot;180-187&quot;,&quot;abstract&quot;:&quot;Increasing evidence indicates that inflammatory responses could play a critical role in the pathogenesis of motor neuron injury in amyotrophic lateral sclerosis (ALS). Recent findings have underlined the role of Toll-like receptors (TLRs) and the involvement of both the innate and adaptive immune responses in ALS pathogenesis. In particular, abnormal TLR4 signaling in pro-inflammatory microglia cells has been related to motoneuron degeneration leading to ALS. In this study the effect of small molecule TLR4 antagonists on in vitro ALS models has been investigated. Two different types of synthetic glycolipids and the phenol fraction extracted from commercial extra-virgin olive oil (EVOO) were selected since they efficiently inhibit TLR4 stimulus in HEK cells by interacting with the TLR4·MD-2 complex and CD14 co-receptor. Here, TLR4 antagonists efficiently protected motoneurons from LPS-induced lethality in spinal cord cultures, and inhibited the interleukine-1β production by LPS-stimulated microglia. In motoneurons/glia cocultures obtained from wild type or SOD1 G93A mice, motoneuron death induced by SOD1mut glia was counteracted by TLR4 antagonists. The release of nitric oxide by LPS treatment or SOD1mut glia was also inhibited by EVOO, suggesting that the action of this natural extract could be mainly related to the modulation of this inflammatory mediator.&quot;,&quot;publisher&quot;:&quot;Academic Press&quot;,&quot;volume&quot;:&quot;103&quot;},&quot;isTemporary&quot;:false}],&quot;properties&quot;:{&quot;noteIndex&quot;:0},&quot;isEdited&quot;:false,&quot;manualOverride&quot;:{&quot;isManuallyOverriden&quot;:false,&quot;citeprocText&quot;:&quot;(de Paola &lt;i&gt;et al.&lt;/i&gt;, 2016)&quot;,&quot;manualOverrideText&quot;:&quot;&quot;},&quot;citationTag&quot;:&quot;MENDELEY_CITATION_v3_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&quot;},{&quot;citationID&quot;:&quot;MENDELEY_CITATION_d07ebc7a-4e19-48ca-a58c-85724aacf65a&quot;,&quot;citationItems&quot;:[{&quot;id&quot;:&quot;3a677243-4e1f-3690-ab44-bef911ac77b4&quot;,&quot;itemData&quot;:{&quot;type&quot;:&quot;article-journal&quot;,&quot;id&quot;:&quot;3a677243-4e1f-3690-ab44-bef911ac77b4&quot;,&quot;title&quot;:&quot;Structural basis of species-specific endotoxin sensing by innate immune receptor TLR4/MD-2.&quot;,&quot;author&quot;:[{&quot;family&quot;:&quot;Ohto&quot;,&quot;given&quot;:&quot;Umeharu&quot;,&quot;parse-names&quot;:false,&quot;dropping-particle&quot;:&quot;&quot;,&quot;non-dropping-particle&quot;:&quot;&quot;},{&quot;family&quot;:&quot;Fukase&quot;,&quot;given&quot;:&quot;Koichi&quot;,&quot;parse-names&quot;:false,&quot;dropping-particle&quot;:&quot;&quot;,&quot;non-dropping-particle&quot;:&quot;&quot;},{&quot;family&quot;:&quot;Miyake&quot;,&quot;given&quot;:&quot;Kensuke&quot;,&quot;parse-names&quot;:false,&quot;dropping-particle&quot;:&quot;&quot;,&quot;non-dropping-particle&quot;:&quot;&quot;},{&quot;family&quot;:&quot;Shimizu&quot;,&quot;given&quot;:&quot;Toshiyuki&quot;,&quot;parse-names&quot;:false,&quot;dropping-particle&quot;:&quot;&quot;,&quot;non-dropping-particle&quot;:&quot;&quot;}],&quot;container-title&quot;:&quot;Proceedings of the National Academy of Sciences of the United States of America&quot;,&quot;accessed&quot;:{&quot;date-parts&quot;:[[2018,4,5]]},&quot;DOI&quot;:&quot;10.1073/pnas.1201193109&quot;,&quot;ISSN&quot;:&quot;1091-6490&quot;,&quot;PMID&quot;:&quot;22532668&quot;,&quot;URL&quot;:&quot;http://www.ncbi.nlm.nih.gov/pubmed/22532668&quot;,&quot;issued&quot;:{&quot;date-parts&quot;:[[2012,5,8]]},&quot;page&quot;:&quot;7421-6&quot;,&quot;abstract&quot;:&quot;Lipopolysaccharide (LPS), also known as endotoxin, activates the innate immune response through toll-like receptor 4 (TLR4) and its coreceptor, MD-2. MD-2 has a unique hydrophobic cavity that directly binds to lipid A, the active center of LPS. Tetraacylated lipid IVa, a synthetic lipid A precursor, acts as a weak agonist to mouse TLR4/MD-2, but as an antagonist to human TLR4/MD-2. However, it remains unclear as to how LPS and lipid IVa show agonistic or antagonistic activities in a species-specific manner. The present study reports the crystal structures of mouse TLR4/MD-2/LPS and TLR4/MD-2/lipid IVa complexes at 2.5 and 2.7 Å resolutions, respectively. Mouse TLR4/MD-2/LPS exhibited an agonistic \&quot;m\&quot;-shaped 2:2:2 complex similar to the human TLR4/MD-2/LPS complex. Mouse TLR4/MD-2/lipid IVa complex also showed an agonistic structural feature, exhibiting architecture similar to the 2:2:2 complex. Remarkably, lipid IVa in the mouse TLR4/MD-2 complex occupied nearly the same space as LPS, although lipid IVa lacked the two acyl chains. Human MD-2 binds lipid IVa in an antagonistic manner completely differently from the way mouse MD-2 does. Together, the results provide structural evidence of the agonistic property of lipid IVa on mouse TLR4/MD-2 and deepen understanding of the ligand binding and dimerization mechanism by the structurally diverse LPS variants.&quot;,&quot;publisher&quot;:&quot;National Academy of Sciences&quot;,&quot;issue&quot;:&quot;19&quot;,&quot;volume&quot;:&quot;109&quot;},&quot;isTemporary&quot;:false},{&quot;id&quot;:&quot;6a0b14f7-d9ec-3d1b-9d07-88546ad1416c&quot;,&quot;itemData&quot;:{&quot;type&quot;:&quot;article-journal&quot;,&quot;id&quot;:&quot;6a0b14f7-d9ec-3d1b-9d07-88546ad1416c&quot;,&quot;title&quot;:&quot;Species and mediator specific TLR4 antagonism in primary human and murine immune cells by βGlcN(1 ↔ 1)αGlc based lipid A mimetics&quot;,&quot;author&quot;:[{&quot;family&quot;:&quot;Chebrolu&quot;,&quot;given&quot;:&quot;Chiranjeevi&quot;,&quot;parse-names&quot;:false,&quot;dropping-particle&quot;:&quot;&quot;,&quot;non-dropping-particle&quot;:&quot;&quot;},{&quot;family&quot;:&quot;Artner&quot;,&quot;given&quot;:&quot;Daniel&quot;,&quot;parse-names&quot;:false,&quot;dropping-particle&quot;:&quot;&quot;,&quot;non-dropping-particle&quot;:&quot;&quot;},{&quot;family&quot;:&quot;Sigmund&quot;,&quot;given&quot;:&quot;Anna M.&quot;,&quot;parse-names&quot;:false,&quot;dropping-particle&quot;:&quot;&quot;,&quot;non-dropping-particle&quot;:&quot;&quot;},{&quot;family&quot;:&quot;Buer&quot;,&quot;given&quot;:&quot;Jan&quot;,&quot;parse-names&quot;:false,&quot;dropping-particle&quot;:&quot;&quot;,&quot;non-dropping-particle&quot;:&quot;&quot;},{&quot;family&quot;:&quot;Zamyatina&quot;,&quot;given&quot;:&quot;Alla&quot;,&quot;parse-names&quot;:false,&quot;dropping-particle&quot;:&quot;&quot;,&quot;non-dropping-particle&quot;:&quot;&quot;},{&quot;family&quot;:&quot;Kirschning&quot;,&quot;given&quot;:&quot;Carsten J.&quot;,&quot;parse-names&quot;:false,&quot;dropping-particle&quot;:&quot;&quot;,&quot;non-dropping-particle&quot;:&quot;&quot;}],&quot;container-title&quot;:&quot;Molecular Immunology&quot;,&quot;accessed&quot;:{&quot;date-parts&quot;:[[2018,4,5]]},&quot;DOI&quot;:&quot;10.1016/J.MOLIMM.2015.07.037&quot;,&quot;ISSN&quot;:&quot;0161-5890&quot;,&quot;URL&quot;:&quot;https://www.sciencedirect.com/science/article/pii/S0161589015300456&quot;,&quot;issued&quot;:{&quot;date-parts&quot;:[[2015,10,1]]},&quot;page&quot;:&quot;636-641&quot;,&quot;abstract&quot;:&quot;Immune stimulatory pathogen associated molecular patterns (PAMPs) are major drivers of infection pathology. Infections with Gram-negative bacteria or negatively polar and single stranded RNA influenza virus are prominent causes of morbidity and mortality. Toll-like receptor (TLR) 4 is a major host sensor for both of the two infections. In order to inhibit TLR4 driven immune activation we recently developed synthetic tetra-acylated lipid A mimetics based on a conformationally restricted βGlcN(1↔1)αGlcN disaccharide scaffold (DA-compounds) that antagonized ectopically overexpressed human and murine TLR4/MD-2 complexes. Here we comparatively analyzed human peripheral blood mononuclear cell (hPBMC) and murine bone marrow derived macrophage (mBM) activation upon 30min of preincubation in vitro with six variably acylated DA-compounds. 16h subsequent to consequent LPS challenge, we sampled culture supernatants for cytokine and NO concentration analysis. Four compounds significantly inhibited release of both TNF and IL-6 by hPBMCs upon LPS challenge. In contrast, three compounds effectively inhibited mBM production of MIP-2 and KC, and even five of them inhibited IL-6 and NO production. LPS driven like other TLR ligand driven mBM TNF release was largely unimpaired. The inhibitory effect was specific in that Clo75 driven cytokine release by both hPBMCs and mBMs was unimpaired by the compounds analyzed. Our results indicate biological species specificity of LPS antagonism by variably tetraacylated lipid A mimetics and validate three out of six DA-antagonists as promising candidates for development of therapeutically applicable anti-inflammatory compounds.&quot;,&quot;publisher&quot;:&quot;Pergamon&quot;,&quot;issue&quot;:&quot;2&quot;,&quot;volume&quot;:&quot;67&quot;},&quot;isTemporary&quot;:false}],&quot;properties&quot;:{&quot;noteIndex&quot;:0},&quot;isEdited&quot;:false,&quot;manualOverride&quot;:{&quot;isManuallyOverriden&quot;:false,&quot;citeprocText&quot;:&quot;(Ohto &lt;i&gt;et al.&lt;/i&gt;, 2012; Chebrolu &lt;i&gt;et al.&lt;/i&gt;, 2015)&quot;,&quot;manualOverrideText&quot;:&quot;&quot;},&quot;citationTag&quot;:&quot;MENDELEY_CITATION_v3_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&quot;},{&quot;citationID&quot;:&quot;MENDELEY_CITATION_4aaeb4f9-52a2-4170-b8d0-2a287adf8c5a&quot;,&quot;citationItems&quot;:[{&quot;id&quot;:&quot;87b0e0a6-e48f-3784-b318-86c76aa93bae&quot;,&quot;itemData&quot;:{&quot;type&quot;:&quot;article-journal&quot;,&quot;id&quot;:&quot;87b0e0a6-e48f-3784-b318-86c76aa93bae&quot;,&quot;title&quot;:&quot;Differential induction of the toll-like receptor 4-MyD88-dependent and -independent signaling pathways by endotoxins.&quot;,&quot;author&quot;:[{&quot;family&quot;:&quot;Zughaier&quot;,&quot;given&quot;:&quot;Susu M&quot;,&quot;parse-names&quot;:false,&quot;dropping-particle&quot;:&quot;&quot;,&quot;non-dropping-particle&quot;:&quot;&quot;},{&quot;family&quot;:&quot;Zimmer&quot;,&quot;given&quot;:&quot;Shanta M&quot;,&quot;parse-names&quot;:false,&quot;dropping-particle&quot;:&quot;&quot;,&quot;non-dropping-particle&quot;:&quot;&quot;},{&quot;family&quot;:&quot;Datta&quot;,&quot;given&quot;:&quot;Anup&quot;,&quot;parse-names&quot;:false,&quot;dropping-particle&quot;:&quot;&quot;,&quot;non-dropping-particle&quot;:&quot;&quot;},{&quot;family&quot;:&quot;Carlson&quot;,&quot;given&quot;:&quot;Russell W&quot;,&quot;parse-names&quot;:false,&quot;dropping-particle&quot;:&quot;&quot;,&quot;non-dropping-particle&quot;:&quot;&quot;},{&quot;family&quot;:&quot;Stephens&quot;,&quot;given&quot;:&quot;David S&quot;,&quot;parse-names&quot;:false,&quot;dropping-particle&quot;:&quot;&quot;,&quot;non-dropping-particle&quot;:&quot;&quot;}],&quot;container-title&quot;:&quot;Infection and immunity&quot;,&quot;accessed&quot;:{&quot;date-parts&quot;:[[2019,3,30]]},&quot;DOI&quot;:&quot;10.1128/IAI.73.5.2940-2950.2005&quot;,&quot;ISSN&quot;:&quot;0019-9567&quot;,&quot;PMID&quot;:&quot;15845500&quot;,&quot;URL&quot;:&quot;http://iai.asm.org/cgi/doi/10.1128/IAI.73.5.2940-2950.2005&quot;,&quot;issued&quot;:{&quot;date-parts&quot;:[[2005,5,1]]},&quot;page&quot;:&quot;2940-50&quot;,&quot;abstract&quot;:&quot;The biological response to endotoxin mediated through the Toll-like receptor 4 (TLR4)-MD-2 receptor complex is directly related to lipid A structure or configuration. Endotoxin structure may also influence activation of the MyD88-dependent and -independent signaling pathways of TLR4. To address this possibility, human macrophage-like cell lines (THP-1, U937, and MM6) or murine macrophage RAW 264.7 cells were stimulated with picomolar concentrations of highly purified endotoxins. Harvested supernatants from previously stimulated cells were also used to stimulate RAW 264.7 or 23ScCr (TLR4-deficient) macrophages (i.e., indirect induction). Neisseria meningitidis lipooligosaccharide (LOS) was a potent direct inducer of the MyD88-dependent pathway molecules tumor necrosis factor alpha (TNF-alpha), interleukin-1beta (IL-1beta), monocyte chemoattractant protein 1 (MCP-1), macrophage inflammatory protein 3alpha (MIP-3alpha), and the MyD88-independent molecules beta interferon (IFN-beta), nitric oxide, and IFN-gamma-inducible protein 10 (IP-10). Escherichia coli 55:B5 and Vibrio cholerae lipopolysaccharides (LPSs) at the same pmole/ml lipid A concentrations induced comparable levels of TNF-alpha, IL-1beta, and MIP-3alpha, but significantly less IFN-beta, nitric oxide, and IP-10. In contrast, LPS from Salmonella enterica serovars Minnesota and Typhimurium induced amounts of IFN-beta, nitric oxide, and IP-10 similar to meningococcal LOS but much less TNF-alpha and MIP-3alpha in time course and dose-response experiments. No MyD88-dependent or -independent response to endotoxin was seen in TLR4-deficient cell lines (C3H/HeJ and 23ScCr) and response was restored in TLR4-MD-2-transfected human embryonic kidney 293 cells. Blocking the MyD88-dependent pathway by DNMyD88 resulted in significant reduction of TNF-alpha release but did not influence nitric oxide release. IFN-beta polyclonal antibody and IFN-alpha/beta receptor 1 antibody significantly reduced nitric oxide release. N. meningitidis endotoxin was a potent agonist of both the MyD88-dependent and -independent signaling pathways of the TLR4 receptor complex of human macrophages. E. coli 55:B5 and Vibrio cholerae LPS, at the same picomolar lipid A concentrations, selectively induced the MyD88-dependent pathway, while Salmonella LPS activated the MyD88-independent pathway.&quot;,&quot;issue&quot;:&quot;5&quot;,&quot;volume&quot;:&quot;73&quot;},&quot;isTemporary&quot;:false}],&quot;properties&quot;:{&quot;noteIndex&quot;:0},&quot;isEdited&quot;:false,&quot;manualOverride&quot;:{&quot;isManuallyOverriden&quot;:false,&quot;citeprocText&quot;:&quot;(Zughaier &lt;i&gt;et al.&lt;/i&gt;, 2005)&quot;,&quot;manualOverrideText&quot;:&quot;&quot;},&quot;citationTag&quot;:&quot;MENDELEY_CITATION_v3_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&quot;},{&quot;citationID&quot;:&quot;MENDELEY_CITATION_822dd85d-6467-4e63-adbd-790a419882e1&quot;,&quot;citationItems&quot;:[{&quot;id&quot;:&quot;2f79a0ac-2949-3f3f-8e0b-95b07f416f0d&quot;,&quot;itemData&quot;:{&quot;type&quot;:&quot;article-journal&quot;,&quot;id&quot;:&quot;2f79a0ac-2949-3f3f-8e0b-95b07f416f0d&quot;,&quot;title&quot;:&quot;R-form LPS, the master key to the activation ofTLR4/MD-2-positive cells&quot;,&quot;author&quot;:[{&quot;family&quot;:&quot;Huber&quot;,&quot;given&quot;:&quot;Michael&quot;,&quot;parse-names&quot;:false,&quot;dropping-particle&quot;:&quot;&quot;,&quot;non-dropping-particle&quot;:&quot;&quot;},{&quot;family&quot;:&quot;Kalis&quot;,&quot;given&quot;:&quot;Christoph&quot;,&quot;parse-names&quot;:false,&quot;dropping-particle&quot;:&quot;&quot;,&quot;non-dropping-particle&quot;:&quot;&quot;},{&quot;family&quot;:&quot;Keck&quot;,&quot;given&quot;:&quot;Simone&quot;,&quot;parse-names&quot;:false,&quot;dropping-particle&quot;:&quot;&quot;,&quot;non-dropping-particle&quot;:&quot;&quot;},{&quot;family&quot;:&quot;Jiang&quot;,&quot;given&quot;:&quot;Zhengfan&quot;,&quot;parse-names&quot;:false,&quot;dropping-particle&quot;:&quot;&quot;,&quot;non-dropping-particle&quot;:&quot;&quot;},{&quot;family&quot;:&quot;Georgel&quot;,&quot;given&quot;:&quot;Philippe&quot;,&quot;parse-names&quot;:false,&quot;dropping-particle&quot;:&quot;&quot;,&quot;non-dropping-particle&quot;:&quot;&quot;},{&quot;family&quot;:&quot;Du&quot;,&quot;given&quot;:&quot;Xin&quot;,&quot;parse-names&quot;:false,&quot;dropping-particle&quot;:&quot;&quot;,&quot;non-dropping-particle&quot;:&quot;&quot;},{&quot;family&quot;:&quot;Shamel&quot;,&quot;given&quot;:&quot;Louis&quot;,&quot;parse-names&quot;:false,&quot;dropping-particle&quot;:&quot;&quot;,&quot;non-dropping-particle&quot;:&quot;&quot;},{&quot;family&quot;:&quot;Sovath&quot;,&quot;given&quot;:&quot;Sosathya&quot;,&quot;parse-names&quot;:false,&quot;dropping-particle&quot;:&quot;&quot;,&quot;non-dropping-particle&quot;:&quot;&quot;},{&quot;family&quot;:&quot;Mudd&quot;,&quot;given&quot;:&quot;Suzanne&quot;,&quot;parse-names&quot;:false,&quot;dropping-particle&quot;:&quot;&quot;,&quot;non-dropping-particle&quot;:&quot;&quot;},{&quot;family&quot;:&quot;Beutler&quot;,&quot;given&quot;:&quot;Bruce&quot;,&quot;parse-names&quot;:false,&quot;dropping-particle&quot;:&quot;&quot;,&quot;non-dropping-particle&quot;:&quot;&quot;},{&quot;family&quot;:&quot;Galanos&quot;,&quot;given&quot;:&quot;Chris&quot;,&quot;parse-names&quot;:false,&quot;dropping-particle&quot;:&quot;&quot;,&quot;non-dropping-particle&quot;:&quot;&quot;},{&quot;family&quot;:&quot;Freudenberg&quot;,&quot;given&quot;:&quot;Marina A.&quot;,&quot;parse-names&quot;:false,&quot;dropping-particle&quot;:&quot;&quot;,&quot;non-dropping-particle&quot;:&quot;&quot;}],&quot;container-title&quot;:&quot;European Journal of Immunology&quot;,&quot;accessed&quot;:{&quot;date-parts&quot;:[[2019,1,9]]},&quot;DOI&quot;:&quot;10.1002/eji.200535593&quot;,&quot;ISSN&quot;:&quot;0014-2980&quot;,&quot;URL&quot;:&quot;http://doi.wiley.com/10.1002/eji.200535593&quot;,&quot;issued&quot;:{&quot;date-parts&quot;:[[2006,3,1]]},&quot;page&quot;:&quot;701-711&quot;,&quot;publisher&quot;:&quot;John Wiley &amp; Sons, Ltd&quot;,&quot;issue&quot;:&quot;3&quot;,&quot;volume&quot;:&quot;36&quot;},&quot;isTemporary&quot;:false}],&quot;properties&quot;:{&quot;noteIndex&quot;:0},&quot;isEdited&quot;:false,&quot;manualOverride&quot;:{&quot;isManuallyOverriden&quot;:false,&quot;citeprocText&quot;:&quot;(Huber &lt;i&gt;et al.&lt;/i&gt;, 2006)&quot;,&quot;manualOverrideText&quot;:&quot;&quot;},&quot;citationTag&quot;:&quot;MENDELEY_CITATION_v3_eyJjaXRhdGlvbklEIjoiTUVOREVMRVlfQ0lUQVRJT05fODIyZGQ4NWQtNjQ2Ny00ZTYzLWFkYmQtNzkwYTQxOTg4MmUx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quot;},{&quot;citationID&quot;:&quot;MENDELEY_CITATION_2b4ee9e3-f729-4889-8982-3eddf191db8d&quot;,&quot;citationItems&quot;:[{&quot;id&quot;:&quot;2f79a0ac-2949-3f3f-8e0b-95b07f416f0d&quot;,&quot;itemData&quot;:{&quot;type&quot;:&quot;article-journal&quot;,&quot;id&quot;:&quot;2f79a0ac-2949-3f3f-8e0b-95b07f416f0d&quot;,&quot;title&quot;:&quot;R-form LPS, the master key to the activation ofTLR4/MD-2-positive cells&quot;,&quot;author&quot;:[{&quot;family&quot;:&quot;Huber&quot;,&quot;given&quot;:&quot;Michael&quot;,&quot;parse-names&quot;:false,&quot;dropping-particle&quot;:&quot;&quot;,&quot;non-dropping-particle&quot;:&quot;&quot;},{&quot;family&quot;:&quot;Kalis&quot;,&quot;given&quot;:&quot;Christoph&quot;,&quot;parse-names&quot;:false,&quot;dropping-particle&quot;:&quot;&quot;,&quot;non-dropping-particle&quot;:&quot;&quot;},{&quot;family&quot;:&quot;Keck&quot;,&quot;given&quot;:&quot;Simone&quot;,&quot;parse-names&quot;:false,&quot;dropping-particle&quot;:&quot;&quot;,&quot;non-dropping-particle&quot;:&quot;&quot;},{&quot;family&quot;:&quot;Jiang&quot;,&quot;given&quot;:&quot;Zhengfan&quot;,&quot;parse-names&quot;:false,&quot;dropping-particle&quot;:&quot;&quot;,&quot;non-dropping-particle&quot;:&quot;&quot;},{&quot;family&quot;:&quot;Georgel&quot;,&quot;given&quot;:&quot;Philippe&quot;,&quot;parse-names&quot;:false,&quot;dropping-particle&quot;:&quot;&quot;,&quot;non-dropping-particle&quot;:&quot;&quot;},{&quot;family&quot;:&quot;Du&quot;,&quot;given&quot;:&quot;Xin&quot;,&quot;parse-names&quot;:false,&quot;dropping-particle&quot;:&quot;&quot;,&quot;non-dropping-particle&quot;:&quot;&quot;},{&quot;family&quot;:&quot;Shamel&quot;,&quot;given&quot;:&quot;Louis&quot;,&quot;parse-names&quot;:false,&quot;dropping-particle&quot;:&quot;&quot;,&quot;non-dropping-particle&quot;:&quot;&quot;},{&quot;family&quot;:&quot;Sovath&quot;,&quot;given&quot;:&quot;Sosathya&quot;,&quot;parse-names&quot;:false,&quot;dropping-particle&quot;:&quot;&quot;,&quot;non-dropping-particle&quot;:&quot;&quot;},{&quot;family&quot;:&quot;Mudd&quot;,&quot;given&quot;:&quot;Suzanne&quot;,&quot;parse-names&quot;:false,&quot;dropping-particle&quot;:&quot;&quot;,&quot;non-dropping-particle&quot;:&quot;&quot;},{&quot;family&quot;:&quot;Beutler&quot;,&quot;given&quot;:&quot;Bruce&quot;,&quot;parse-names&quot;:false,&quot;dropping-particle&quot;:&quot;&quot;,&quot;non-dropping-particle&quot;:&quot;&quot;},{&quot;family&quot;:&quot;Galanos&quot;,&quot;given&quot;:&quot;Chris&quot;,&quot;parse-names&quot;:false,&quot;dropping-particle&quot;:&quot;&quot;,&quot;non-dropping-particle&quot;:&quot;&quot;},{&quot;family&quot;:&quot;Freudenberg&quot;,&quot;given&quot;:&quot;Marina A.&quot;,&quot;parse-names&quot;:false,&quot;dropping-particle&quot;:&quot;&quot;,&quot;non-dropping-particle&quot;:&quot;&quot;}],&quot;container-title&quot;:&quot;European Journal of Immunology&quot;,&quot;accessed&quot;:{&quot;date-parts&quot;:[[2019,1,9]]},&quot;DOI&quot;:&quot;10.1002/eji.200535593&quot;,&quot;ISSN&quot;:&quot;0014-2980&quot;,&quot;URL&quot;:&quot;http://doi.wiley.com/10.1002/eji.200535593&quot;,&quot;issued&quot;:{&quot;date-parts&quot;:[[2006,3,1]]},&quot;page&quot;:&quot;701-711&quot;,&quot;publisher&quot;:&quot;John Wiley &amp; Sons, Ltd&quot;,&quot;issue&quot;:&quot;3&quot;,&quot;volume&quot;:&quot;36&quot;},&quot;isTemporary&quot;:false}],&quot;properties&quot;:{&quot;noteIndex&quot;:0},&quot;isEdited&quot;:false,&quot;manualOverride&quot;:{&quot;isManuallyOverriden&quot;:false,&quot;citeprocText&quot;:&quot;(Huber &lt;i&gt;et al.&lt;/i&gt;, 2006)&quot;,&quot;manualOverrideText&quot;:&quot;&quot;},&quot;citationTag&quot;:&quot;MENDELEY_CITATION_v3_eyJjaXRhdGlvbklEIjoiTUVOREVMRVlfQ0lUQVRJT05fMmI0ZWU5ZTMtZjcyOS00ODg5LTg5ODItM2VkZGYxOTFkYjhk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quot;},{&quot;citationID&quot;:&quot;MENDELEY_CITATION_58f1bb31-b6b0-449e-940d-b136aceec61f&quot;,&quot;citationItems&quot;:[{&quot;id&quot;:&quot;87b0e0a6-e48f-3784-b318-86c76aa93bae&quot;,&quot;itemData&quot;:{&quot;type&quot;:&quot;article-journal&quot;,&quot;id&quot;:&quot;87b0e0a6-e48f-3784-b318-86c76aa93bae&quot;,&quot;title&quot;:&quot;Differential induction of the toll-like receptor 4-MyD88-dependent and -independent signaling pathways by endotoxins.&quot;,&quot;author&quot;:[{&quot;family&quot;:&quot;Zughaier&quot;,&quot;given&quot;:&quot;Susu M&quot;,&quot;parse-names&quot;:false,&quot;dropping-particle&quot;:&quot;&quot;,&quot;non-dropping-particle&quot;:&quot;&quot;},{&quot;family&quot;:&quot;Zimmer&quot;,&quot;given&quot;:&quot;Shanta M&quot;,&quot;parse-names&quot;:false,&quot;dropping-particle&quot;:&quot;&quot;,&quot;non-dropping-particle&quot;:&quot;&quot;},{&quot;family&quot;:&quot;Datta&quot;,&quot;given&quot;:&quot;Anup&quot;,&quot;parse-names&quot;:false,&quot;dropping-particle&quot;:&quot;&quot;,&quot;non-dropping-particle&quot;:&quot;&quot;},{&quot;family&quot;:&quot;Carlson&quot;,&quot;given&quot;:&quot;Russell W&quot;,&quot;parse-names&quot;:false,&quot;dropping-particle&quot;:&quot;&quot;,&quot;non-dropping-particle&quot;:&quot;&quot;},{&quot;family&quot;:&quot;Stephens&quot;,&quot;given&quot;:&quot;David S&quot;,&quot;parse-names&quot;:false,&quot;dropping-particle&quot;:&quot;&quot;,&quot;non-dropping-particle&quot;:&quot;&quot;}],&quot;container-title&quot;:&quot;Infection and immunity&quot;,&quot;accessed&quot;:{&quot;date-parts&quot;:[[2019,3,30]]},&quot;DOI&quot;:&quot;10.1128/IAI.73.5.2940-2950.2005&quot;,&quot;ISSN&quot;:&quot;0019-9567&quot;,&quot;PMID&quot;:&quot;15845500&quot;,&quot;URL&quot;:&quot;http://iai.asm.org/cgi/doi/10.1128/IAI.73.5.2940-2950.2005&quot;,&quot;issued&quot;:{&quot;date-parts&quot;:[[2005,5,1]]},&quot;page&quot;:&quot;2940-50&quot;,&quot;abstract&quot;:&quot;The biological response to endotoxin mediated through the Toll-like receptor 4 (TLR4)-MD-2 receptor complex is directly related to lipid A structure or configuration. Endotoxin structure may also influence activation of the MyD88-dependent and -independent signaling pathways of TLR4. To address this possibility, human macrophage-like cell lines (THP-1, U937, and MM6) or murine macrophage RAW 264.7 cells were stimulated with picomolar concentrations of highly purified endotoxins. Harvested supernatants from previously stimulated cells were also used to stimulate RAW 264.7 or 23ScCr (TLR4-deficient) macrophages (i.e., indirect induction). Neisseria meningitidis lipooligosaccharide (LOS) was a potent direct inducer of the MyD88-dependent pathway molecules tumor necrosis factor alpha (TNF-alpha), interleukin-1beta (IL-1beta), monocyte chemoattractant protein 1 (MCP-1), macrophage inflammatory protein 3alpha (MIP-3alpha), and the MyD88-independent molecules beta interferon (IFN-beta), nitric oxide, and IFN-gamma-inducible protein 10 (IP-10). Escherichia coli 55:B5 and Vibrio cholerae lipopolysaccharides (LPSs) at the same pmole/ml lipid A concentrations induced comparable levels of TNF-alpha, IL-1beta, and MIP-3alpha, but significantly less IFN-beta, nitric oxide, and IP-10. In contrast, LPS from Salmonella enterica serovars Minnesota and Typhimurium induced amounts of IFN-beta, nitric oxide, and IP-10 similar to meningococcal LOS but much less TNF-alpha and MIP-3alpha in time course and dose-response experiments. No MyD88-dependent or -independent response to endotoxin was seen in TLR4-deficient cell lines (C3H/HeJ and 23ScCr) and response was restored in TLR4-MD-2-transfected human embryonic kidney 293 cells. Blocking the MyD88-dependent pathway by DNMyD88 resulted in significant reduction of TNF-alpha release but did not influence nitric oxide release. IFN-beta polyclonal antibody and IFN-alpha/beta receptor 1 antibody significantly reduced nitric oxide release. N. meningitidis endotoxin was a potent agonist of both the MyD88-dependent and -independent signaling pathways of the TLR4 receptor complex of human macrophages. E. coli 55:B5 and Vibrio cholerae LPS, at the same picomolar lipid A concentrations, selectively induced the MyD88-dependent pathway, while Salmonella LPS activated the MyD88-independent pathway.&quot;,&quot;issue&quot;:&quot;5&quot;,&quot;volume&quot;:&quot;73&quot;},&quot;isTemporary&quot;:false}],&quot;properties&quot;:{&quot;noteIndex&quot;:0},&quot;isEdited&quot;:false,&quot;manualOverride&quot;:{&quot;isManuallyOverriden&quot;:false,&quot;citeprocText&quot;:&quot;(Zughaier &lt;i&gt;et al.&lt;/i&gt;, 2005)&quot;,&quot;manualOverrideText&quot;:&quot;&quot;},&quot;citationTag&quot;:&quot;MENDELEY_CITATION_v3_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&quot;},{&quot;citationID&quot;:&quot;MENDELEY_CITATION_4e36995b-7def-42b6-aa98-57bc6985b8c5&quot;,&quot;citationItems&quot;:[{&quot;id&quot;:&quot;80b6a750-6450-3a3d-9a2f-6e904590ded5&quot;,&quot;itemData&quot;:{&quot;type&quot;:&quot;article-journal&quot;,&quot;id&quot;:&quot;80b6a750-6450-3a3d-9a2f-6e904590ded5&quot;,&quot;title&quot;:&quot;Modulation of CD14 and TLR4⋅MD-2 Activities by a Synthetic Lipid A Mimetic&quot;,&quot;author&quot;:[{&quot;family&quot;:&quot;Cighetti&quot;,&quot;given&quot;:&quot;Roberto&quot;,&quot;parse-names&quot;:false,&quot;dropping-particle&quot;:&quot;&quot;,&quot;non-dropping-particle&quot;:&quot;&quot;},{&quot;family&quot;:&quot;Ciaramelli&quot;,&quot;given&quot;:&quot;Carlotta&quot;,&quot;parse-names&quot;:false,&quot;dropping-particle&quot;:&quot;&quot;,&quot;non-dropping-particle&quot;:&quot;&quot;},{&quot;family&quot;:&quot;Sestito&quot;,&quot;given&quot;:&quot;Stefania Enza&quot;,&quot;parse-names&quot;:false,&quot;dropping-particle&quot;:&quot;&quot;,&quot;non-dropping-particle&quot;:&quot;&quot;},{&quot;family&quot;:&quot;Zanoni&quot;,&quot;given&quot;:&quot;Ivan&quot;,&quot;parse-names&quot;:false,&quot;dropping-particle&quot;:&quot;&quot;,&quot;non-dropping-particle&quot;:&quot;&quot;},{&quot;family&quot;:&quot;Kubik&quot;,&quot;given&quot;:&quot;Łukasz&quot;,&quot;parse-names&quot;:false,&quot;dropping-particle&quot;:&quot;&quot;,&quot;non-dropping-particle&quot;:&quot;&quot;},{&quot;family&quot;:&quot;Ardá-Freire&quot;,&quot;given&quot;:&quot;Ana&quot;,&quot;parse-names&quot;:false,&quot;dropping-particle&quot;:&quot;&quot;,&quot;non-dropping-particle&quot;:&quot;&quot;},{&quot;family&quot;:&quot;Calabrese&quot;,&quot;given&quot;:&quot;Valentina&quot;,&quot;parse-names&quot;:false,&quot;dropping-particle&quot;:&quot;&quot;,&quot;non-dropping-particle&quot;:&quot;&quot;},{&quot;family&quot;:&quot;Granucci&quot;,&quot;given&quot;:&quot;Francesca&quot;,&quot;parse-names&quot;:false,&quot;dropping-particle&quot;:&quot;&quot;,&quot;non-dropping-particle&quot;:&quot;&quot;},{&quot;family&quot;:&quot;Jerala&quot;,&quot;given&quot;:&quot;Roman&quot;,&quot;parse-names&quot;:false,&quot;dropping-particle&quot;:&quot;&quot;,&quot;non-dropping-particle&quot;:&quot;&quot;},{&quot;family&quot;:&quot;Martín-Santamaría&quot;,&quot;given&quot;:&quot;Sonsoles&quot;,&quot;parse-names&quot;:false,&quot;dropping-particle&quot;:&quot;&quot;,&quot;non-dropping-particle&quot;:&quot;&quot;},{&quot;family&quot;:&quot;Jiménez-Barbero&quot;,&quot;given&quot;:&quot;Jesus&quot;,&quot;parse-names&quot;:false,&quot;dropping-particle&quot;:&quot;&quot;,&quot;non-dropping-particle&quot;:&quot;&quot;},{&quot;family&quot;:&quot;Peri&quot;,&quot;given&quot;:&quot;Francesco&quot;,&quot;parse-names&quot;:false,&quot;dropping-particle&quot;:&quot;&quot;,&quot;non-dropping-particle&quot;:&quot;&quot;}],&quot;container-title&quot;:&quot;ChemBioChem&quot;,&quot;accessed&quot;:{&quot;date-parts&quot;:[[2018,4,5]]},&quot;DOI&quot;:&quot;10.1002/cbic.201300588&quot;,&quot;ISSN&quot;:&quot;14394227&quot;,&quot;URL&quot;:&quot;http://doi.wiley.com/10.1002/cbic.201300588&quot;,&quot;issued&quot;:{&quot;date-parts&quot;:[[2014,1,24]]},&quot;page&quot;:&quot;250-258&quot;,&quot;publisher&quot;:&quot;Wiley-Blackwell&quot;,&quot;issue&quot;:&quot;2&quot;,&quot;volume&quot;:&quot;15&quot;},&quot;isTemporary&quot;:false}],&quot;properties&quot;:{&quot;noteIndex&quot;:0},&quot;isEdited&quot;:false,&quot;manualOverride&quot;:{&quot;isManuallyOverriden&quot;:false,&quot;citeprocText&quot;:&quot;(Cighetti &lt;i&gt;et al.&lt;/i&gt;, 2014)&quot;,&quot;manualOverrideText&quot;:&quot;&quot;},&quot;citationTag&quot;:&quot;MENDELEY_CITATION_v3_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&quot;},{&quot;citationID&quot;:&quot;MENDELEY_CITATION_9cd5e659-8984-4fd4-b07d-864ff4952e90&quot;,&quot;citationItems&quot;:[{&quot;id&quot;:&quot;cf9d037b-2e30-3ebb-94c1-491fe2e96ff4&quot;,&quot;itemData&quot;:{&quot;type&quot;:&quot;article-journal&quot;,&quot;id&quot;:&quot;cf9d037b-2e30-3ebb-94c1-491fe2e96ff4&quot;,&quot;title&quot;:&quot;Lipopolysaccharide (LPS)-binding protein stimulates CD14-dependent Toll-like receptor 4 internalization and LPS-induced TBK1-IKKα-IRF3 axis activation&quot;,&quot;author&quot;:[{&quot;family&quot;:&quot;Tsukamoto&quot;,&quot;given&quot;:&quot;Hiroki&quot;,&quot;parse-names&quot;:false,&quot;dropping-particle&quot;:&quot;&quot;,&quot;non-dropping-particle&quot;:&quot;&quot;},{&quot;family&quot;:&quot;Takeuchi&quot;,&quot;given&quot;:&quot;Shino&quot;,&quot;parse-names&quot;:false,&quot;dropping-particle&quot;:&quot;&quot;,&quot;non-dropping-particle&quot;:&quot;&quot;},{&quot;family&quot;:&quot;Kubota&quot;,&quot;given&quot;:&quot;Kanae&quot;,&quot;parse-names&quot;:false,&quot;dropping-particle&quot;:&quot;&quot;,&quot;non-dropping-particle&quot;:&quot;&quot;},{&quot;family&quot;:&quot;Kobayashi&quot;,&quot;given&quot;:&quot;Yohei&quot;,&quot;parse-names&quot;:false,&quot;dropping-particle&quot;:&quot;&quot;,&quot;non-dropping-particle&quot;:&quot;&quot;},{&quot;family&quot;:&quot;Kozakai&quot;,&quot;given&quot;:&quot;Sao&quot;,&quot;parse-names&quot;:false,&quot;dropping-particle&quot;:&quot;&quot;,&quot;non-dropping-particle&quot;:&quot;&quot;},{&quot;family&quot;:&quot;Ukai&quot;,&quot;given&quot;:&quot;Ippo&quot;,&quot;parse-names&quot;:false,&quot;dropping-particle&quot;:&quot;&quot;,&quot;non-dropping-particle&quot;:&quot;&quot;},{&quot;family&quot;:&quot;Shichiku&quot;,&quot;given&quot;:&quot;Ayumi&quot;,&quot;parse-names&quot;:false,&quot;dropping-particle&quot;:&quot;&quot;,&quot;non-dropping-particle&quot;:&quot;&quot;},{&quot;family&quot;:&quot;Okubo&quot;,&quot;given&quot;:&quot;Misaki&quot;,&quot;parse-names&quot;:false,&quot;dropping-particle&quot;:&quot;&quot;,&quot;non-dropping-particle&quot;:&quot;&quot;},{&quot;family&quot;:&quot;Numasaki&quot;,&quot;given&quot;:&quot;Muneo&quot;,&quot;parse-names&quot;:false,&quot;dropping-particle&quot;:&quot;&quot;,&quot;non-dropping-particle&quot;:&quot;&quot;},{&quot;family&quot;:&quot;Kanemitsu&quot;,&quot;given&quot;:&quot;Yoshitomi&quot;,&quot;parse-names&quot;:false,&quot;dropping-particle&quot;:&quot;&quot;,&quot;non-dropping-particle&quot;:&quot;&quot;},{&quot;family&quot;:&quot;Matsumoto&quot;,&quot;given&quot;:&quot;Yotaro&quot;,&quot;parse-names&quot;:false,&quot;dropping-particle&quot;:&quot;&quot;,&quot;non-dropping-particle&quot;:&quot;&quot;},{&quot;family&quot;:&quot;Nochi&quot;,&quot;given&quot;:&quot;Tomonori&quot;,&quot;parse-names&quot;:false,&quot;dropping-particle&quot;:&quot;&quot;,&quot;non-dropping-particle&quot;:&quot;&quot;},{&quot;family&quot;:&quot;Watanabe&quot;,&quot;given&quot;:&quot;Koui Chi&quot;,&quot;parse-names&quot;:false,&quot;dropping-particle&quot;:&quot;&quot;,&quot;non-dropping-particle&quot;:&quot;&quot;},{&quot;family&quot;:&quot;Aso&quot;,&quot;given&quot;:&quot;Hisashi&quot;,&quot;parse-names&quot;:false,&quot;dropping-particle&quot;:&quot;&quot;,&quot;non-dropping-particle&quot;:&quot;&quot;},{&quot;family&quot;:&quot;Tomioka&quot;,&quot;given&quot;:&quot;Yoshihisa&quot;,&quot;parse-names&quot;:false,&quot;dropping-particle&quot;:&quot;&quot;,&quot;non-dropping-particle&quot;:&quot;&quot;}],&quot;container-title&quot;:&quot;Journal of Biological Chemistry&quot;,&quot;accessed&quot;:{&quot;date-parts&quot;:[[2021,1,31]]},&quot;DOI&quot;:&quot;10.1074/jbc.M117.796631&quot;,&quot;ISSN&quot;:&quot;1083351X&quot;,&quot;PMID&quot;:&quot;29760187&quot;,&quot;issued&quot;:{&quot;date-parts&quot;:[[2018,6,29]]},&quot;page&quot;:&quot;10186-10201&quot;,&quot;abstract&quot;:&quot;Toll-like receptor 4 (TLR4) is an indispensable immune receptor for lipopolysaccharide (LPS), a major component of the Gram-negative bacterial cell wall. Following LPS stimulation, TLR4 trnsmits the signal from the cell surface and becomes internalized in an endosome. However, the spatial regulation of TLR4 signaling is not fully understood. Here, we investigated the mechanisms of LPS-induced TLR4 internalization and clarified the roles of the extracellular LPS-binding molecules, LPSbinding protein (LBP), and glycerophosphatidylinositol-anchored protein (CD14). LPS stimulation of CD14-expressing cells inducedTLR4internalization in the presence of serum, and an inhibitory anti-LBP mAb blocked its internalization. Addition of LBP to serum-free cultures restored LPS-induced TLR4 internalization to comparable levels of serum. The secretory form of the CD14 (sCD14) induced internalization but required a much higher concentration than LBP. An inhibitory antisCD14mAbwas ineffective for serum-mediated internalization. LBP lacking the domain for LPS transfer to CD14 and a CD14 mutant with reduced LPS binding both attenuated TLR4 internalization. Accordingly, LBP is an essential serum molecule for TLR4 internalization, and its LPS transfer to membrane-anchored CD14 (mCD14) is a prerequisite. LBP induced the LPSstimulated phosphorylation of TBK1, IKKϵ, and IRF3, leading to IFN-β expression. However, LPS-stimulated late activation of NF-κB or necroptosis were not affected. Collectively, our results indicate that LBP controls LPS-induced TLR4 internalization, which induces TLR adaptor molecule 1 (TRIF)-dependent activation of the TBK1-IKKϵ-IRF3-IFN-β pathway. In summary, we showed that LBP-mediated LPS transfer to mCD14 is required for serum-dependent TLR4 internalization and activation of the TRIF pathway.&quot;,&quot;publisher&quot;:&quot;American Society for Biochemistry and Molecular Biology Inc.&quot;,&quot;issue&quot;:&quot;26&quot;,&quot;volume&quot;:&quot;293&quot;},&quot;isTemporary&quot;:false}],&quot;properties&quot;:{&quot;noteIndex&quot;:0},&quot;isEdited&quot;:false,&quot;manualOverride&quot;:{&quot;isManuallyOverriden&quot;:false,&quot;citeprocText&quot;:&quot;(Tsukamoto &lt;i&gt;et al.&lt;/i&gt;, 2018)&quot;,&quot;manualOverrideText&quot;:&quot;&quot;},&quot;citationTag&quot;:&quot;MENDELEY_CITATION_v3_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&quot;},{&quot;citationID&quot;:&quot;MENDELEY_CITATION_a6f18dfa-62f2-41bc-bafb-852f708b0def&quot;,&quot;citationItems&quot;:[{&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id&quot;:&quot;2a3d4916-b5a7-31ed-bda7-7a780c392419&quot;,&quot;itemData&quot;:{&quot;type&quot;:&quot;article-journal&quot;,&quot;id&quot;:&quot;2a3d4916-b5a7-31ed-bda7-7a780c392419&quot;,&quot;title&quot;:&quot;The synthetic glycolipid-based TLR4 antagonist FP7 negatively regulates in vitro and in vivo haematopoietic and non-haematopoietic vascular TLR4 signalling&quot;,&quot;author&quot;:[{&quot;family&quot;:&quot;Palmer&quot;,&quot;given&quot;:&quot;C.&quot;,&quot;parse-names&quot;:false,&quot;dropping-particle&quot;:&quot;&quot;,&quot;non-dropping-particle&quot;:&quot;&quot;},{&quot;family&quot;:&quot;Peri&quot;,&quot;given&quot;:&quot;F.&quot;,&quot;parse-names&quot;:false,&quot;dropping-particle&quot;:&quot;&quot;,&quot;non-dropping-particle&quot;:&quot;&quot;},{&quot;family&quot;:&quot;Neumann&quot;,&quot;given&quot;:&quot;F.&quot;,&quot;parse-names&quot;:false,&quot;dropping-particle&quot;:&quot;&quot;,&quot;non-dropping-particle&quot;:&quot;&quot;},{&quot;family&quot;:&quot;Ahmad&quot;,&quot;given&quot;:&quot;F.&quot;,&quot;parse-names&quot;:false,&quot;dropping-particle&quot;:&quot;&quot;,&quot;non-dropping-particle&quot;:&quot;&quot;},{&quot;family&quot;:&quot;Leake&quot;,&quot;given&quot;:&quot;D.S.&quot;,&quot;parse-names&quot;:false,&quot;dropping-particle&quot;:&quot;&quot;,&quot;non-dropping-particle&quot;:&quot;&quot;},{&quot;family&quot;:&quot;Pirianov&quot;,&quot;given&quot;:&quot;G.&quot;,&quot;parse-names&quot;:false,&quot;dropping-particle&quot;:&quot;&quot;,&quot;non-dropping-particle&quot;:&quot;&quot;}],&quot;container-title&quot;:&quot;Innate Immunity&quot;,&quot;DOI&quot;:&quot;10.1177/1753425918798904&quot;,&quot;ISSN&quot;:&quot;17534267&quot;,&quot;issued&quot;:{&quot;date-parts&quot;:[[2018]]},&quot;abstract&quot;:&quot;© The Author(s) 2018. TLRs, including TLR4, have been shown to play a crucial role in cardiovascular inflammatory-based diseases. The main goal of this study was to determine the potential of FP7, a synthetic glycolipid active as a TLR4 antagonist, to modulate haematopoietic and non-haematopoietic vascular TLR4 pro-inflammatory signalling. HUVEC, human THP-1 monocytes, THP-1-derived macrophages, mouse RAW-264.7 macrophages and Angiotensin II-infused apolipoprotein E-deficient mice were in vitro and in vivo models, respectively. Western blotting, Ab array and ELISA approaches were used to explore the effect of FP7 on TLR4 functional activity in response to bacterial LPS (in vitro) and endogenous ligands of sterile inflammation (in vitro and in vivo). Following activation of TLR4, in vitro and in vivo data revealed that FP7 inhibited p38 MAPK and p65 NF-kB phosphorylation associated with down-regulation of a number of TLR4-dependent pro-inflammatory proteins. In addition to inhibition of LPS-induced TLR4 signalling, FP7 negatively regulated TLR4 activation in response to ligands of sterile inflammation (hydroperoxide-rich oxidised LDL, in vitro and Angiotensin II infusion, in vivo). These results demonstrate the ability of FP7 to negatively regulate in vitro and in vivo haematopoietic and non-haematopoietic vascular TLR4 signalling both in humans and mice, suggesting the potential therapeutic use of this TLR4 antagonist for pharmacological intervention of vascular inflammatory diseases.&quot;,&quot;issue&quot;:&quot;7&quot;,&quot;volume&quot;:&quot;24&quot;},&quot;isTemporary&quot;:false}],&quot;properties&quot;:{&quot;noteIndex&quot;:0},&quot;isEdited&quot;:false,&quot;manualOverride&quot;:{&quot;isManuallyOverriden&quot;:false,&quot;citeprocText&quot;:&quot;(C. Palmer &lt;i&gt;et al.&lt;/i&gt;, 2018; Facchini &lt;i&gt;et al.&lt;/i&gt;, 2018)&quot;,&quot;manualOverrideText&quot;:&quot;(Facchini et al., 2018; C. Palmer et al., 2018)&quot;,&quot;isManuallyOverridden&quot;:true},&quot;citationTag&quot;:&quot;MENDELEY_CITATION_v3_eyJjaXRhdGlvbklEIjoiTUVOREVMRVlfQ0lUQVRJT05fYTZmMThkZmEtNjJmMi00MWJjLWJhZmItODUyZjcwOGIwZGVm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&quot;},{&quot;citationID&quot;:&quot;MENDELEY_CITATION_557fdbb1-d856-471d-8adf-d3cbdb9cf51a&quot;,&quot;citationItems&quot;:[{&quot;id&quot;:&quot;cd00d500-1c0b-3822-8f3a-9e35840a73f2&quot;,&quot;itemData&quot;:{&quot;type&quot;:&quot;article-journal&quot;,&quot;id&quot;:&quot;cd00d500-1c0b-3822-8f3a-9e35840a73f2&quot;,&quot;title&quot;:&quot;The phenotype of infiltrating macrophages influences arteriosclerotic plaque vulnerability in the carotid artery.&quot;,&quot;author&quot;:[{&quot;family&quot;:&quot;Cho&quot;,&quot;given&quot;:&quot;Kyu Yong&quot;,&quot;parse-names&quot;:false,&quot;dropping-particle&quot;:&quot;&quot;,&quot;non-dropping-particle&quot;:&quot;&quot;},{&quot;family&quot;:&quot;Miyoshi&quot;,&quot;given&quot;:&quot;Hideaki&quot;,&quot;parse-names&quot;:false,&quot;dropping-particle&quot;:&quot;&quot;,&quot;non-dropping-particle&quot;:&quot;&quot;},{&quot;family&quot;:&quot;Kuroda&quot;,&quot;given&quot;:&quot;Satoshi&quot;,&quot;parse-names&quot;:false,&quot;dropping-particle&quot;:&quot;&quot;,&quot;non-dropping-particle&quot;:&quot;&quot;},{&quot;family&quot;:&quot;Yasuda&quot;,&quot;given&quot;:&quot;Hiroshi&quot;,&quot;parse-names&quot;:false,&quot;dropping-particle&quot;:&quot;&quot;,&quot;non-dropping-particle&quot;:&quot;&quot;},{&quot;family&quot;:&quot;Kamiyama&quot;,&quot;given&quot;:&quot;Kenji&quot;,&quot;parse-names&quot;:false,&quot;dropping-particle&quot;:&quot;&quot;,&quot;non-dropping-particle&quot;:&quot;&quot;},{&quot;family&quot;:&quot;Nakagawara&quot;,&quot;given&quot;:&quot;Joji&quot;,&quot;parse-names&quot;:false,&quot;dropping-particle&quot;:&quot;&quot;,&quot;non-dropping-particle&quot;:&quot;&quot;},{&quot;family&quot;:&quot;Takigami&quot;,&quot;given&quot;:&quot;Masayoshi&quot;,&quot;parse-names&quot;:false,&quot;dropping-particle&quot;:&quot;&quot;,&quot;non-dropping-particle&quot;:&quot;&quot;},{&quot;family&quot;:&quot;Kondo&quot;,&quot;given&quot;:&quot;Takuma&quot;,&quot;parse-names&quot;:false,&quot;dropping-particle&quot;:&quot;&quot;,&quot;non-dropping-particle&quot;:&quot;&quot;},{&quot;family&quot;:&quot;Atsumi&quot;,&quot;given&quot;:&quot;Tatsuya&quot;,&quot;parse-names&quot;:false,&quot;dropping-particle&quot;:&quot;&quot;,&quot;non-dropping-particle&quot;:&quot;&quot;}],&quot;container-title&quot;:&quot;Journal of stroke and cerebrovascular diseases : the official journal of National Stroke Association&quot;,&quot;accessed&quot;:{&quot;date-parts&quot;:[[2019,3,30]]},&quot;DOI&quot;:&quot;10.1016/j.jstrokecerebrovasdis.2012.11.020&quot;,&quot;ISSN&quot;:&quot;1532-8511&quot;,&quot;PMID&quot;:&quot;23273713&quot;,&quot;URL&quot;:&quot;https://linkinghub.elsevier.com/retrieve/pii/S105230571200403X&quot;,&quot;issued&quot;:{&quot;date-parts&quot;:[[2013,10]]},&quot;page&quot;:&quot;910-8&quot;,&quot;abstract&quot;:&quot;BACKGROUND Proinflammatory (M1) macrophages and anti-inflammatory (M2) macrophages have been identified in atherosclerotic plaques. While these macrophages have been speculated to be related to plaque vulnerability, there are limited studies investigating this relationship. Therefore, we examined the association between macrophage phenotype (M1 versus M2) and plaque vulnerability and clinical events. METHODS Patients undergoing carotid endarterectomy received an ultrasound of the carotid artery before surgery. Plaques were processed for analysis by immunohistochemistry, Western blotting, and real-time polymerase chain reaction studies. Medical history and clinical data were obtained from medical records. RESULTS Patients were divided into 2 groups: those suffering from acute ischemic attack (symptomatic, n = 31) and those that did not present with symptoms (asymptomatic, n = 34). Ultrasound analysis revealed that plaque vulnerability was greater in the symptomatic group (P= .033; Chi-square test). Immunohistochemistry revealed that plaques from the symptomatic group had a greater concentration of M1 macrophages (CD68-, CD11c-positive) while plaques from the asymptomatic group had more M2 macrophages (CD163-positive). This observation was confirmed by Western blotting. Characterization by real-time polymerase chain reaction studies revealed that plaques from the symptomatic group had increased expression of the M1 markers CD68 and CD11c, as well as monocyte chemoattractive protein-1, interleukin-6, and matrix metalloproteinase-9. In addition, more M1 macrophages expressed in unstable plaques were defined by ultrasound analysis, while more M2 macrophages were expressed in stable plaques. CONCLUSIONS Our data show that M1 macrophage content of atherosclerotic plaques is associated with clinical incidence of ischemic stroke and increased inflammation or fibrinolysis. We also show the benefits of using ultrasound to evaluate vulnerability in the plaques.&quot;,&quot;issue&quot;:&quot;7&quot;,&quot;volume&quot;:&quot;22&quot;},&quot;isTemporary&quot;:false}],&quot;properties&quot;:{&quot;noteIndex&quot;:0},&quot;isEdited&quot;:false,&quot;manualOverride&quot;:{&quot;isManuallyOverriden&quot;:false,&quot;citeprocText&quot;:&quot;(Cho &lt;i&gt;et al.&lt;/i&gt;, 2013)&quot;,&quot;manualOverrideText&quot;:&quot;&quot;},&quot;citationTag&quot;:&quot;MENDELEY_CITATION_v3_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&quot;},{&quot;citationID&quot;:&quot;MENDELEY_CITATION_c51b904e-2746-4579-a947-20aec069d8a7&quot;,&quot;citationItems&quot;:[{&quot;id&quot;:&quot;bbfb64b3-06dd-3928-8761-3c4801e97ad6&quot;,&quot;itemData&quot;:{&quot;type&quot;:&quot;article-journal&quot;,&quot;id&quot;:&quot;bbfb64b3-06dd-3928-8761-3c4801e97ad6&quot;,&quot;title&quot;:&quot;The Role of TLR4 in M1 Macrophage-Induced Epithelial-Mesenchymal Transition of Peritoneal Mesothelial Cells&quot;,&quot;author&quot;:[{&quot;family&quot;:&quot;Shi&quot;,&quot;given&quot;:&quot;Jun&quot;,&quot;parse-names&quot;:false,&quot;dropping-particle&quot;:&quot;&quot;,&quot;non-dropping-particle&quot;:&quot;&quot;},{&quot;family&quot;:&quot;Li&quot;,&quot;given&quot;:&quot;Qing&quot;,&quot;parse-names&quot;:false,&quot;dropping-particle&quot;:&quot;&quot;,&quot;non-dropping-particle&quot;:&quot;&quot;},{&quot;family&quot;:&quot;Sheng&quot;,&quot;given&quot;:&quot;Meixiao&quot;,&quot;parse-names&quot;:false,&quot;dropping-particle&quot;:&quot;&quot;,&quot;non-dropping-particle&quot;:&quot;&quot;},{&quot;family&quot;:&quot;Zheng&quot;,&quot;given&quot;:&quot;Min&quot;,&quot;parse-names&quot;:false,&quot;dropping-particle&quot;:&quot;&quot;,&quot;non-dropping-particle&quot;:&quot;&quot;},{&quot;family&quot;:&quot;Yu&quot;,&quot;given&quot;:&quot;Manshu&quot;,&quot;parse-names&quot;:false,&quot;dropping-particle&quot;:&quot;&quot;,&quot;non-dropping-particle&quot;:&quot;&quot;},{&quot;family&quot;:&quot;Zhang&quot;,&quot;given&quot;:&quot;Lu&quot;,&quot;parse-names&quot;:false,&quot;dropping-particle&quot;:&quot;&quot;,&quot;non-dropping-particle&quot;:&quot;&quot;}],&quot;container-title&quot;:&quot;Cellular Physiology and Biochemistry&quot;,&quot;accessed&quot;:{&quot;date-parts&quot;:[[2019,3,31]]},&quot;DOI&quot;:&quot;10.1159/000453204&quot;,&quot;ISSN&quot;:&quot;1015-8987&quot;,&quot;PMID&quot;:&quot;27997892&quot;,&quot;URL&quot;:&quot;http://www.ncbi.nlm.nih.gov/pubmed/27997892&quot;,&quot;issued&quot;:{&quot;date-parts&quot;:[[2016]]},&quot;page&quot;:&quot;1538-1548&quot;,&quot;abstract&quot;:&quot;BACKGROUND/AIMS Peritoneal fibrosis is a frequent complication of peritoneal dialysis that follows inflammation. It is recognized that epithelial-mesenchymal transition (EMT) of peritoneal mesothelial cells (PMCs), plays a key role in fibrogenesis. However, the relationship between inflammatory macrophages and PMCs remains elusive. In this study, we investigated the effects of different polarized macrophages on EMT of HMrSV5 PMCs. METHODS Monocytes were polarized to M1/M2 macrophages before being added to HMrSV5 in direct or indirect contact. Morphological changes of HMrSV5 were observed and toll-like receptors 4 (TLR4) on macrophage surfaces was detected using flow cytometry. EMT markers and intracellular signals of HMrSV5 cells were assessed using real time-PCR and WB. RESULTS The typical epithelial cell morphology of HMrSV5 disappeared after co-culture with M1 macrophages and was accompanied by decreased E-cadherin and increased α-SMA, suggesting HMrSV5 undergo EMT. These effects depended on direct contact between the two cells, as indirect contact or co-culture with M2 macrophages had no effect. Intriguingly, we found TLR4 surface receptors were activated on sorted M1 cells in co-culture, and related signal adaptors, such as TRIF, were obviously upregulated. CONCLUSION Direct contact with M1 macrophages induces EMT of PMCs, during which TRIF-dependent TLR4 signaling pathway was activated.&quot;,&quot;publisher&quot;:&quot;Karger Publishers&quot;,&quot;issue&quot;:&quot;6&quot;,&quot;volume&quot;:&quot;40&quot;},&quot;isTemporary&quot;:false}],&quot;properties&quot;:{&quot;noteIndex&quot;:0},&quot;isEdited&quot;:false,&quot;manualOverride&quot;:{&quot;isManuallyOverriden&quot;:false,&quot;citeprocText&quot;:&quot;(Shi &lt;i&gt;et al.&lt;/i&gt;, 2016)&quot;,&quot;manualOverrideText&quot;:&quot;&quot;},&quot;citationTag&quot;:&quot;MENDELEY_CITATION_v3_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&quot;},{&quot;citationID&quot;:&quot;MENDELEY_CITATION_e6a78b9d-e76c-4a9f-84fb-6813c1c58583&quot;,&quot;citationItems&quot;:[{&quot;id&quot;:&quot;383b8f6e-6484-39a1-a563-4f2725c285fe&quot;,&quot;itemData&quot;:{&quot;type&quot;:&quot;article-journal&quot;,&quot;id&quot;:&quot;383b8f6e-6484-39a1-a563-4f2725c285fe&quot;,&quot;title&quot;:&quot;Blocking interferon β stimulates vascular smooth muscle cell proliferation and arteriogenesis&quot;,&quot;author&quot;:[{&quot;family&quot;:&quot;Schirmer&quot;,&quot;given&quot;:&quot;SH&quot;,&quot;parse-names&quot;:false,&quot;dropping-particle&quot;:&quot;&quot;,&quot;non-dropping-particle&quot;:&quot;&quot;},{&quot;family&quot;:&quot;Bot&quot;,&quot;given&quot;:&quot;PT&quot;,&quot;parse-names&quot;:false,&quot;dropping-particle&quot;:&quot;&quot;,&quot;non-dropping-particle&quot;:&quot;&quot;},{&quot;family&quot;:&quot;…&quot;,&quot;given&quot;:&quot;JO Fledderus&quot;,&quot;parse-names&quot;:false,&quot;dropping-particle&quot;:&quot;&quot;,&quot;non-dropping-particle&quot;:&quot;&quot;}],&quot;container-title&quot;:&quot;Journal of Biological&quot;,&quot;accessed&quot;:{&quot;date-parts&quot;:[[2021,1,31]]},&quot;URL&quot;:&quot;https://www.sciencedirect.com/science/article/pii/S0021925820470097&quot;,&quot;issued&quot;:{&quot;date-parts&quot;:[[2010]]}},&quot;isTemporary&quot;:false}],&quot;properties&quot;:{&quot;noteIndex&quot;:0},&quot;isEdited&quot;:false,&quot;manualOverride&quot;:{&quot;isManuallyOverriden&quot;:false,&quot;citeprocText&quot;:&quot;(Schirmer, Bot and …, 2010)&quot;,&quot;manualOverrideText&quot;:&quot;&quot;},&quot;citationTag&quot;:&quot;MENDELEY_CITATION_v3_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&quot;},{&quot;citationID&quot;:&quot;MENDELEY_CITATION_49b78eda-bfe5-47fa-9e37-69d5e59571ce&quot;,&quot;citationItems&quot;:[{&quot;id&quot;:&quot;b97cdd71-3e04-3fff-a727-781184d13169&quot;,&quot;itemData&quot;:{&quot;type&quot;:&quot;article-journal&quot;,&quot;id&quot;:&quot;b97cdd71-3e04-3fff-a727-781184d13169&quot;,&quot;title&quot;:&quot;TRAM couples endocytosis of Toll-like receptor 4 to the induction of interferon-β&quot;,&quot;author&quot;:[{&quot;family&quot;:&quot;Kagan&quot;,&quot;given&quot;:&quot;Jonathan C.&quot;,&quot;parse-names&quot;:false,&quot;dropping-particle&quot;:&quot;&quot;,&quot;non-dropping-particle&quot;:&quot;&quot;},{&quot;family&quot;:&quot;Su&quot;,&quot;given&quot;:&quot;Tian&quot;,&quot;parse-names&quot;:false,&quot;dropping-particle&quot;:&quot;&quot;,&quot;non-dropping-particle&quot;:&quot;&quot;},{&quot;family&quot;:&quot;Horng&quot;,&quot;given&quot;:&quot;Tiffany&quot;,&quot;parse-names&quot;:false,&quot;dropping-particle&quot;:&quot;&quot;,&quot;non-dropping-particle&quot;:&quot;&quot;},{&quot;family&quot;:&quot;Chow&quot;,&quot;given&quot;:&quot;Amy&quot;,&quot;parse-names&quot;:false,&quot;dropping-particle&quot;:&quot;&quot;,&quot;non-dropping-particle&quot;:&quot;&quot;},{&quot;family&quot;:&quot;Akira&quot;,&quot;given&quot;:&quot;Shizuo&quot;,&quot;parse-names&quot;:false,&quot;dropping-particle&quot;:&quot;&quot;,&quot;non-dropping-particle&quot;:&quot;&quot;},{&quot;family&quot;:&quot;Medzhitov&quot;,&quot;given&quot;:&quot;Ruslan&quot;,&quot;parse-names&quot;:false,&quot;dropping-particle&quot;:&quot;&quot;,&quot;non-dropping-particle&quot;:&quot;&quot;}],&quot;container-title&quot;:&quot;Nature Immunology&quot;,&quot;accessed&quot;:{&quot;date-parts&quot;:[[2021,1,31]]},&quot;DOI&quot;:&quot;10.1038/ni1569&quot;,&quot;ISSN&quot;:&quot;15292908&quot;,&quot;PMID&quot;:&quot;18297073&quot;,&quot;URL&quot;:&quot;https://www.nature.com/articles/ni1569&quot;,&quot;issued&quot;:{&quot;date-parts&quot;:[[2008,4,24]]},&quot;page&quot;:&quot;361-368&quot;,&quot;abstract&quot;:&quot;Toll-like receptor 4 (TLR4) induces two distinct signaling pathways controlled by the TIRAP-MyD88 and TRAM-TRIF pairs of adaptor proteins, which elicit the production of proinflammatory cytokines and type I interferons, respectively. How TLR4 coordinates the activation of these two pathways is unknown. Here we show that TLR4 activated these two signaling pathways sequentially in a process organized around endocytosis of the TLR4 complex. We propose that TLR4 first induces TIRAP-MyD88 signaling at the plasma membrane and is then endocytosed and activates TRAM-TRIF signaling from early endosomes. Our data emphasize a unifying theme in innate immune recognition whereby all type I interferon-inducing receptors signal from an intracellular location.&quot;,&quot;publisher&quot;:&quot;Nature Publishing Group&quot;,&quot;issue&quot;:&quot;4&quot;,&quot;volume&quot;:&quot;9&quot;},&quot;isTemporary&quot;:false}],&quot;properties&quot;:{&quot;noteIndex&quot;:0},&quot;isEdited&quot;:false,&quot;manualOverride&quot;:{&quot;isManuallyOverridden&quot;:false,&quot;citeprocText&quot;:&quot;(Kagan &lt;i&gt;et al.&lt;/i&gt;, 2008)&quot;,&quot;manualOverrideText&quot;:&quot;&quot;},&quot;citationTag&quot;:&quot;MENDELEY_CITATION_v3_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&quot;},{&quot;citationID&quot;:&quot;MENDELEY_CITATION_d9e30305-466e-4a90-80cf-8084bc0b41db&quot;,&quot;citationItems&quot;:[{&quot;id&quot;:&quot;b00a696f-8f6e-344a-bdd1-333c67df820e&quot;,&quot;itemData&quot;:{&quot;type&quot;:&quot;article-journal&quot;,&quot;id&quot;:&quot;b00a696f-8f6e-344a-bdd1-333c67df820e&quot;,&quot;title&quot;:&quot;Structure-activity relationship in monosaccharide-based toll-like receptor 4 (TLR4) antagonists&quot;,&quot;author&quot;:[{&quot;family&quot;:&quot;Facchini&quot;,&quot;given&quot;:&quot;F.A.&quot;,&quot;parse-names&quot;:false,&quot;dropping-particle&quot;:&quot;&quot;,&quot;non-dropping-particle&quot;:&quot;&quot;},{&quot;family&quot;:&quot;Zaffaroni&quot;,&quot;given&quot;:&quot;L.&quot;,&quot;parse-names&quot;:false,&quot;dropping-particle&quot;:&quot;&quot;,&quot;non-dropping-particle&quot;:&quot;&quot;},{&quot;family&quot;:&quot;Minotti&quot;,&quot;given&quot;:&quot;A.&quot;,&quot;parse-names&quot;:false,&quot;dropping-particle&quot;:&quot;&quot;,&quot;non-dropping-particle&quot;:&quot;&quot;},{&quot;family&quot;:&quot;Rapisarda&quot;,&quot;given&quot;:&quot;S.&quot;,&quot;parse-names&quot;:false,&quot;dropping-particle&quot;:&quot;&quot;,&quot;non-dropping-particle&quot;:&quot;&quot;},{&quot;family&quot;:&quot;Rapisarda&quot;,&quot;given&quot;:&quot;V.&quot;,&quot;parse-names&quot;:false,&quot;dropping-particle&quot;:&quot;&quot;,&quot;non-dropping-particle&quot;:&quot;&quot;},{&quot;family&quot;:&quot;Forcella&quot;,&quot;given&quot;:&quot;M.&quot;,&quot;parse-names&quot;:false,&quot;dropping-particle&quot;:&quot;&quot;,&quot;non-dropping-particle&quot;:&quot;&quot;},{&quot;family&quot;:&quot;Fusi&quot;,&quot;given&quot;:&quot;P.&quot;,&quot;parse-names&quot;:false,&quot;dropping-particle&quot;:&quot;&quot;,&quot;non-dropping-particle&quot;:&quot;&quot;},{&quot;family&quot;:&quot;Airoldi&quot;,&quot;given&quot;:&quot;C.&quot;,&quot;parse-names&quot;:false,&quot;dropping-particle&quot;:&quot;&quot;,&quot;non-dropping-particle&quot;:&quot;&quot;},{&quot;family&quot;:&quot;Ciaramelli&quot;,&quot;given&quot;:&quot;C.&quot;,&quot;parse-names&quot;:false,&quot;dropping-particle&quot;:&quot;&quot;,&quot;non-dropping-particle&quot;:&quot;&quot;},{&quot;family&quot;:&quot;Billod&quot;,&quot;given&quot;:&quot;J.-M.&quot;,&quot;parse-names&quot;:false,&quot;dropping-particle&quot;:&quot;&quot;,&quot;non-dropping-particle&quot;:&quot;&quot;},{&quot;family&quot;:&quot;Schromm&quot;,&quot;given&quot;:&quot;A.B.&quot;,&quot;parse-names&quot;:false,&quot;dropping-particle&quot;:&quot;&quot;,&quot;non-dropping-particle&quot;:&quot;&quot;},{&quot;family&quot;:&quot;Braun&quot;,&quot;given&quot;:&quot;H.&quot;,&quot;parse-names&quot;:false,&quot;dropping-particle&quot;:&quot;&quot;,&quot;non-dropping-particle&quot;:&quot;&quot;},{&quot;family&quot;:&quot;Palmer&quot;,&quot;given&quot;:&quot;C.&quot;,&quot;parse-names&quot;:false,&quot;dropping-particle&quot;:&quot;&quot;,&quot;non-dropping-particle&quot;:&quot;&quot;},{&quot;family&quot;:&quot;Beyaert&quot;,&quot;given&quot;:&quot;R.&quot;,&quot;parse-names&quot;:false,&quot;dropping-particle&quot;:&quot;&quot;,&quot;non-dropping-particle&quot;:&quot;&quot;},{&quot;family&quot;:&quot;Lapenta&quot;,&quot;given&quot;:&quot;F.&quot;,&quot;parse-names&quot;:false,&quot;dropping-particle&quot;:&quot;&quot;,&quot;non-dropping-particle&quot;:&quot;&quot;},{&quot;family&quot;:&quot;Jerala&quot;,&quot;given&quot;:&quot;R.&quot;,&quot;parse-names&quot;:false,&quot;dropping-particle&quot;:&quot;&quot;,&quot;non-dropping-particle&quot;:&quot;&quot;},{&quot;family&quot;:&quot;Pirianov&quot;,&quot;given&quot;:&quot;G.&quot;,&quot;parse-names&quot;:false,&quot;dropping-particle&quot;:&quot;&quot;,&quot;non-dropping-particle&quot;:&quot;&quot;},{&quot;family&quot;:&quot;Martin-Santamaria&quot;,&quot;given&quot;:&quot;S.&quot;,&quot;parse-names&quot;:false,&quot;dropping-particle&quot;:&quot;&quot;,&quot;non-dropping-particle&quot;:&quot;&quot;},{&quot;family&quot;:&quot;Peri&quot;,&quot;given&quot;:&quot;F.&quot;,&quot;parse-names&quot;:false,&quot;dropping-particle&quot;:&quot;&quot;,&quot;non-dropping-particle&quot;:&quot;&quot;}],&quot;container-title&quot;:&quot;Journal of Medicinal Chemistry&quot;,&quot;DOI&quot;:&quot;10.1021/acs.jmedchem.7b01803&quot;,&quot;ISSN&quot;:&quot;15204804&quot;,&quot;issued&quot;:{&quot;date-parts&quot;:[[2018]]},&quot;abstract&quot;:&quot;© 2018 Hindawi Limited. All rights reserved. The structure-activity relationship was investigated in a series of synthetic TLR4 antagonists formed by a glucosamine core linked to two phosphate esters and two linear carbon chains. Molecular modeling showed that the compounds with 10, 12, and 14 carbons chains are associated with higher stabilization of the MD-2/TLR4 antagonist conformation than in the case of the C16 variant. Binding experiments with human MD-2 showed that the C12 and C14 variants have higher affinity than C10, while the C16 variant did not interact with the protein. The molecules, with the exception of the C16 variant, inhibited the LPSstimulated TLR4 signal in human and murine cells, and the antagonist potency mirrored the MD-2 affinity calculated from in vitro binding experiments. Fourier-transform infrared, nuclear magnetic resonance, and small angle X-ray scattering measurements suggested that the aggregation state in aqueous solution depends on fatty acid chain lengths and that this property can influence TLR4 activity in this series of compounds.&quot;,&quot;issue&quot;:&quot;7&quot;,&quot;volume&quot;:&quot;61&quot;},&quot;isTemporary&quot;:false}],&quot;properties&quot;:{&quot;noteIndex&quot;:0},&quot;isEdited&quot;:false,&quot;manualOverride&quot;:{&quot;isManuallyOverriden&quot;:false,&quot;citeprocText&quot;:&quot;(Facchini &lt;i&gt;et al.&lt;/i&gt;, 2018)&quot;,&quot;manualOverrideText&quot;:&quot;&quot;},&quot;citationTag&quot;:&quot;MENDELEY_CITATION_v3_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&quot;},{&quot;citationID&quot;:&quot;MENDELEY_CITATION_348ec56e-4cf1-466b-aebd-8408cbfcc9fb&quot;,&quot;citationItems&quot;:[{&quot;id&quot;:&quot;2f79a0ac-2949-3f3f-8e0b-95b07f416f0d&quot;,&quot;itemData&quot;:{&quot;type&quot;:&quot;article-journal&quot;,&quot;id&quot;:&quot;2f79a0ac-2949-3f3f-8e0b-95b07f416f0d&quot;,&quot;title&quot;:&quot;R-form LPS, the master key to the activation ofTLR4/MD-2-positive cells&quot;,&quot;author&quot;:[{&quot;family&quot;:&quot;Huber&quot;,&quot;given&quot;:&quot;Michael&quot;,&quot;parse-names&quot;:false,&quot;dropping-particle&quot;:&quot;&quot;,&quot;non-dropping-particle&quot;:&quot;&quot;},{&quot;family&quot;:&quot;Kalis&quot;,&quot;given&quot;:&quot;Christoph&quot;,&quot;parse-names&quot;:false,&quot;dropping-particle&quot;:&quot;&quot;,&quot;non-dropping-particle&quot;:&quot;&quot;},{&quot;family&quot;:&quot;Keck&quot;,&quot;given&quot;:&quot;Simone&quot;,&quot;parse-names&quot;:false,&quot;dropping-particle&quot;:&quot;&quot;,&quot;non-dropping-particle&quot;:&quot;&quot;},{&quot;family&quot;:&quot;Jiang&quot;,&quot;given&quot;:&quot;Zhengfan&quot;,&quot;parse-names&quot;:false,&quot;dropping-particle&quot;:&quot;&quot;,&quot;non-dropping-particle&quot;:&quot;&quot;},{&quot;family&quot;:&quot;Georgel&quot;,&quot;given&quot;:&quot;Philippe&quot;,&quot;parse-names&quot;:false,&quot;dropping-particle&quot;:&quot;&quot;,&quot;non-dropping-particle&quot;:&quot;&quot;},{&quot;family&quot;:&quot;Du&quot;,&quot;given&quot;:&quot;Xin&quot;,&quot;parse-names&quot;:false,&quot;dropping-particle&quot;:&quot;&quot;,&quot;non-dropping-particle&quot;:&quot;&quot;},{&quot;family&quot;:&quot;Shamel&quot;,&quot;given&quot;:&quot;Louis&quot;,&quot;parse-names&quot;:false,&quot;dropping-particle&quot;:&quot;&quot;,&quot;non-dropping-particle&quot;:&quot;&quot;},{&quot;family&quot;:&quot;Sovath&quot;,&quot;given&quot;:&quot;Sosathya&quot;,&quot;parse-names&quot;:false,&quot;dropping-particle&quot;:&quot;&quot;,&quot;non-dropping-particle&quot;:&quot;&quot;},{&quot;family&quot;:&quot;Mudd&quot;,&quot;given&quot;:&quot;Suzanne&quot;,&quot;parse-names&quot;:false,&quot;dropping-particle&quot;:&quot;&quot;,&quot;non-dropping-particle&quot;:&quot;&quot;},{&quot;family&quot;:&quot;Beutler&quot;,&quot;given&quot;:&quot;Bruce&quot;,&quot;parse-names&quot;:false,&quot;dropping-particle&quot;:&quot;&quot;,&quot;non-dropping-particle&quot;:&quot;&quot;},{&quot;family&quot;:&quot;Galanos&quot;,&quot;given&quot;:&quot;Chris&quot;,&quot;parse-names&quot;:false,&quot;dropping-particle&quot;:&quot;&quot;,&quot;non-dropping-particle&quot;:&quot;&quot;},{&quot;family&quot;:&quot;Freudenberg&quot;,&quot;given&quot;:&quot;Marina A.&quot;,&quot;parse-names&quot;:false,&quot;dropping-particle&quot;:&quot;&quot;,&quot;non-dropping-particle&quot;:&quot;&quot;}],&quot;container-title&quot;:&quot;European Journal of Immunology&quot;,&quot;accessed&quot;:{&quot;date-parts&quot;:[[2019,1,9]]},&quot;DOI&quot;:&quot;10.1002/eji.200535593&quot;,&quot;ISSN&quot;:&quot;0014-2980&quot;,&quot;URL&quot;:&quot;http://doi.wiley.com/10.1002/eji.200535593&quot;,&quot;issued&quot;:{&quot;date-parts&quot;:[[2006,3,1]]},&quot;page&quot;:&quot;701-711&quot;,&quot;publisher&quot;:&quot;John Wiley &amp; Sons, Ltd&quot;,&quot;issue&quot;:&quot;3&quot;,&quot;volume&quot;:&quot;36&quot;},&quot;isTemporary&quot;:false}],&quot;properties&quot;:{&quot;noteIndex&quot;:0},&quot;isEdited&quot;:false,&quot;manualOverride&quot;:{&quot;isManuallyOverriden&quot;:false,&quot;citeprocText&quot;:&quot;(Huber &lt;i&gt;et al.&lt;/i&gt;, 2006)&quot;,&quot;manualOverrideText&quot;:&quot;&quot;},&quot;citationTag&quot;:&quot;MENDELEY_CITATION_v3_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&quot;}]"/>
    <we:property name="MENDELEY_CITATIONS_STYLE" value="&quot;https://www.zotero.org/styles/harvard-cite-them-right&quot;"/>
    <we:property name="MENDELEY_PROFILE_ID" value="&quot;ff23296ffdfb7221847534234372c5bbb2765566&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1F86557-B9FE-4EF7-B53C-8621779089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210</Pages>
  <Words>47477</Words>
  <Characters>270621</Characters>
  <Application>Microsoft Office Word</Application>
  <DocSecurity>0</DocSecurity>
  <Lines>2255</Lines>
  <Paragraphs>634</Paragraphs>
  <ScaleCrop>false</ScaleCrop>
  <HeadingPairs>
    <vt:vector size="2" baseType="variant">
      <vt:variant>
        <vt:lpstr>Title</vt:lpstr>
      </vt:variant>
      <vt:variant>
        <vt:i4>1</vt:i4>
      </vt:variant>
    </vt:vector>
  </HeadingPairs>
  <TitlesOfParts>
    <vt:vector size="1" baseType="lpstr">
      <vt:lpstr>Modulation of TLR4 Signalling by Novel Synthetic Glycolipids</vt:lpstr>
    </vt:vector>
  </TitlesOfParts>
  <Company>Anglia Ruskin University</Company>
  <LinksUpToDate>false</LinksUpToDate>
  <CharactersWithSpaces>317464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Modulation of TLR4 Signalling by Novel Synthetic Glycolipids</dc:title>
  <dc:subject>Charys Palmer [SID:0709337]</dc:subject>
  <dc:creator>Charys Palmer</dc:creator>
  <cp:keywords/>
  <dc:description/>
  <cp:lastModifiedBy>Blanshard, Lisa</cp:lastModifiedBy>
  <cp:revision>15</cp:revision>
  <cp:lastPrinted>2021-09-28T16:21:00Z</cp:lastPrinted>
  <dcterms:created xsi:type="dcterms:W3CDTF">2021-09-28T11:20:00Z</dcterms:created>
  <dcterms:modified xsi:type="dcterms:W3CDTF">2021-12-21T09:42:00Z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zotero-version="5.0.87"&gt;&lt;session id="D4EpMB4q"/&gt;&lt;style id="http://www.zotero.org/styles/elsevier-harvard" hasBibliography="1" bibliographyStyleHasBeenSet="1"/&gt;&lt;prefs&gt;&lt;pref name="fieldType" value="Field"/&gt;&lt;pref name="automaticJournal</vt:lpwstr>
  </property>
  <property fmtid="{D5CDD505-2E9C-101B-9397-08002B2CF9AE}" pid="3" name="ZOTERO_PREF_2">
    <vt:lpwstr>Abbreviations" value="true"/&gt;&lt;/prefs&gt;&lt;/data&gt;</vt:lpwstr>
  </property>
</Properties>
</file>